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842B8" w14:textId="77777777" w:rsidR="009948F1" w:rsidRDefault="009948F1">
      <w:pPr>
        <w:pStyle w:val="BodyText"/>
        <w:rPr>
          <w:rFonts w:ascii="Times New Roman"/>
          <w:sz w:val="20"/>
        </w:rPr>
      </w:pPr>
    </w:p>
    <w:p w14:paraId="4B047332" w14:textId="77777777" w:rsidR="009948F1" w:rsidRDefault="009948F1">
      <w:pPr>
        <w:pStyle w:val="BodyText"/>
        <w:rPr>
          <w:rFonts w:ascii="Times New Roman"/>
          <w:sz w:val="20"/>
        </w:rPr>
      </w:pPr>
    </w:p>
    <w:p w14:paraId="04C423CD" w14:textId="77777777" w:rsidR="009948F1" w:rsidRDefault="009948F1">
      <w:pPr>
        <w:pStyle w:val="BodyText"/>
        <w:rPr>
          <w:rFonts w:ascii="Times New Roman"/>
          <w:sz w:val="20"/>
        </w:rPr>
      </w:pPr>
    </w:p>
    <w:p w14:paraId="739E32C1" w14:textId="77777777" w:rsidR="009948F1" w:rsidRDefault="009948F1">
      <w:pPr>
        <w:pStyle w:val="BodyText"/>
        <w:rPr>
          <w:rFonts w:ascii="Times New Roman"/>
          <w:sz w:val="20"/>
        </w:rPr>
      </w:pPr>
    </w:p>
    <w:p w14:paraId="170E1AAA" w14:textId="77777777" w:rsidR="009948F1" w:rsidRDefault="009948F1">
      <w:pPr>
        <w:pStyle w:val="BodyText"/>
        <w:rPr>
          <w:rFonts w:ascii="Times New Roman"/>
          <w:sz w:val="20"/>
        </w:rPr>
      </w:pPr>
    </w:p>
    <w:p w14:paraId="1321ABAD" w14:textId="77777777" w:rsidR="009948F1" w:rsidRDefault="009948F1">
      <w:pPr>
        <w:pStyle w:val="BodyText"/>
        <w:rPr>
          <w:rFonts w:ascii="Times New Roman"/>
          <w:sz w:val="20"/>
        </w:rPr>
      </w:pPr>
    </w:p>
    <w:p w14:paraId="0DC3BD01" w14:textId="77777777" w:rsidR="009948F1" w:rsidRDefault="009948F1">
      <w:pPr>
        <w:pStyle w:val="BodyText"/>
        <w:rPr>
          <w:rFonts w:ascii="Times New Roman"/>
          <w:sz w:val="20"/>
        </w:rPr>
      </w:pPr>
    </w:p>
    <w:p w14:paraId="293688D6" w14:textId="77777777" w:rsidR="009948F1" w:rsidRDefault="009948F1">
      <w:pPr>
        <w:pStyle w:val="BodyText"/>
        <w:rPr>
          <w:rFonts w:ascii="Times New Roman"/>
          <w:sz w:val="20"/>
        </w:rPr>
      </w:pPr>
    </w:p>
    <w:p w14:paraId="2C2C396F" w14:textId="77777777" w:rsidR="009948F1" w:rsidRDefault="009948F1">
      <w:pPr>
        <w:pStyle w:val="BodyText"/>
        <w:rPr>
          <w:rFonts w:ascii="Times New Roman"/>
          <w:sz w:val="20"/>
        </w:rPr>
      </w:pPr>
    </w:p>
    <w:p w14:paraId="37A419F0" w14:textId="77777777" w:rsidR="009948F1" w:rsidRDefault="009948F1">
      <w:pPr>
        <w:pStyle w:val="BodyText"/>
        <w:spacing w:before="5"/>
        <w:rPr>
          <w:rFonts w:ascii="Times New Roman"/>
          <w:sz w:val="28"/>
        </w:rPr>
      </w:pPr>
    </w:p>
    <w:p w14:paraId="2D83D206" w14:textId="77777777" w:rsidR="009948F1" w:rsidRDefault="00BC0563">
      <w:pPr>
        <w:pStyle w:val="BodyText"/>
        <w:ind w:left="3652"/>
        <w:rPr>
          <w:rFonts w:ascii="Times New Roman"/>
          <w:sz w:val="20"/>
        </w:rPr>
      </w:pPr>
      <w:r>
        <w:rPr>
          <w:rFonts w:ascii="Times New Roman"/>
          <w:noProof/>
          <w:sz w:val="20"/>
          <w:lang w:val="en-GB" w:eastAsia="en-GB"/>
        </w:rPr>
        <w:drawing>
          <wp:inline distT="0" distB="0" distL="0" distR="0" wp14:anchorId="50F2B159" wp14:editId="098A8771">
            <wp:extent cx="1289761" cy="12893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89761" cy="1289303"/>
                    </a:xfrm>
                    <a:prstGeom prst="rect">
                      <a:avLst/>
                    </a:prstGeom>
                  </pic:spPr>
                </pic:pic>
              </a:graphicData>
            </a:graphic>
          </wp:inline>
        </w:drawing>
      </w:r>
    </w:p>
    <w:p w14:paraId="351CEEBF" w14:textId="77777777" w:rsidR="009948F1" w:rsidRDefault="009948F1">
      <w:pPr>
        <w:pStyle w:val="BodyText"/>
        <w:rPr>
          <w:rFonts w:ascii="Times New Roman"/>
          <w:sz w:val="20"/>
        </w:rPr>
      </w:pPr>
    </w:p>
    <w:p w14:paraId="31FFE290" w14:textId="77777777" w:rsidR="009948F1" w:rsidRDefault="009948F1">
      <w:pPr>
        <w:pStyle w:val="BodyText"/>
        <w:rPr>
          <w:rFonts w:ascii="Times New Roman"/>
          <w:sz w:val="20"/>
        </w:rPr>
      </w:pPr>
    </w:p>
    <w:p w14:paraId="40A38B99" w14:textId="77777777" w:rsidR="009948F1" w:rsidRDefault="009948F1">
      <w:pPr>
        <w:pStyle w:val="BodyText"/>
        <w:rPr>
          <w:rFonts w:ascii="Times New Roman"/>
          <w:sz w:val="20"/>
        </w:rPr>
      </w:pPr>
    </w:p>
    <w:p w14:paraId="5D2F4BE4" w14:textId="77777777" w:rsidR="009948F1" w:rsidRDefault="009948F1">
      <w:pPr>
        <w:pStyle w:val="BodyText"/>
        <w:rPr>
          <w:rFonts w:ascii="Times New Roman"/>
          <w:sz w:val="20"/>
        </w:rPr>
      </w:pPr>
    </w:p>
    <w:p w14:paraId="7A7F4576" w14:textId="77777777" w:rsidR="009948F1" w:rsidRDefault="009948F1">
      <w:pPr>
        <w:pStyle w:val="BodyText"/>
        <w:rPr>
          <w:rFonts w:ascii="Times New Roman"/>
          <w:sz w:val="20"/>
        </w:rPr>
      </w:pPr>
    </w:p>
    <w:p w14:paraId="7F98C5B0" w14:textId="77777777" w:rsidR="009948F1" w:rsidRDefault="009948F1">
      <w:pPr>
        <w:pStyle w:val="BodyText"/>
        <w:rPr>
          <w:rFonts w:ascii="Times New Roman"/>
          <w:sz w:val="20"/>
        </w:rPr>
      </w:pPr>
    </w:p>
    <w:p w14:paraId="22E4DAAA" w14:textId="77777777" w:rsidR="009948F1" w:rsidRDefault="009948F1">
      <w:pPr>
        <w:pStyle w:val="BodyText"/>
        <w:rPr>
          <w:rFonts w:ascii="Times New Roman"/>
          <w:sz w:val="20"/>
        </w:rPr>
      </w:pPr>
    </w:p>
    <w:p w14:paraId="40A56A9F" w14:textId="77777777" w:rsidR="009948F1" w:rsidRDefault="009948F1">
      <w:pPr>
        <w:pStyle w:val="BodyText"/>
        <w:rPr>
          <w:rFonts w:ascii="Times New Roman"/>
          <w:sz w:val="20"/>
        </w:rPr>
      </w:pPr>
    </w:p>
    <w:p w14:paraId="24F83ED0" w14:textId="77777777" w:rsidR="009948F1" w:rsidRDefault="009948F1">
      <w:pPr>
        <w:pStyle w:val="BodyText"/>
        <w:rPr>
          <w:rFonts w:ascii="Times New Roman"/>
          <w:sz w:val="20"/>
        </w:rPr>
      </w:pPr>
    </w:p>
    <w:p w14:paraId="628E7E5D" w14:textId="77777777" w:rsidR="009948F1" w:rsidRDefault="009948F1">
      <w:pPr>
        <w:pStyle w:val="BodyText"/>
        <w:rPr>
          <w:rFonts w:ascii="Times New Roman"/>
          <w:sz w:val="20"/>
        </w:rPr>
      </w:pPr>
    </w:p>
    <w:p w14:paraId="0F929699" w14:textId="77777777" w:rsidR="009948F1" w:rsidRDefault="009948F1">
      <w:pPr>
        <w:pStyle w:val="BodyText"/>
        <w:rPr>
          <w:rFonts w:ascii="Times New Roman"/>
          <w:sz w:val="20"/>
        </w:rPr>
      </w:pPr>
    </w:p>
    <w:p w14:paraId="05A812C6" w14:textId="77777777" w:rsidR="009948F1" w:rsidRDefault="009948F1">
      <w:pPr>
        <w:pStyle w:val="BodyText"/>
        <w:rPr>
          <w:rFonts w:ascii="Times New Roman"/>
          <w:sz w:val="20"/>
        </w:rPr>
      </w:pPr>
    </w:p>
    <w:p w14:paraId="1BE4E955" w14:textId="77777777" w:rsidR="009948F1" w:rsidRDefault="009948F1">
      <w:pPr>
        <w:pStyle w:val="BodyText"/>
        <w:rPr>
          <w:rFonts w:ascii="Times New Roman"/>
          <w:sz w:val="20"/>
        </w:rPr>
      </w:pPr>
    </w:p>
    <w:p w14:paraId="37D82C95" w14:textId="77777777" w:rsidR="009948F1" w:rsidRDefault="009948F1">
      <w:pPr>
        <w:pStyle w:val="BodyText"/>
        <w:rPr>
          <w:rFonts w:ascii="Times New Roman"/>
          <w:sz w:val="20"/>
        </w:rPr>
      </w:pPr>
    </w:p>
    <w:p w14:paraId="7B332DA3" w14:textId="77777777" w:rsidR="009948F1" w:rsidRDefault="009948F1">
      <w:pPr>
        <w:pStyle w:val="BodyText"/>
        <w:rPr>
          <w:rFonts w:ascii="Times New Roman"/>
          <w:sz w:val="20"/>
        </w:rPr>
      </w:pPr>
    </w:p>
    <w:p w14:paraId="756ABA6D" w14:textId="77777777" w:rsidR="009948F1" w:rsidRDefault="009948F1">
      <w:pPr>
        <w:pStyle w:val="BodyText"/>
        <w:rPr>
          <w:rFonts w:ascii="Times New Roman"/>
          <w:sz w:val="20"/>
        </w:rPr>
      </w:pPr>
    </w:p>
    <w:p w14:paraId="1A7EDD50" w14:textId="77777777" w:rsidR="009948F1" w:rsidRDefault="009948F1">
      <w:pPr>
        <w:pStyle w:val="BodyText"/>
        <w:rPr>
          <w:rFonts w:ascii="Times New Roman"/>
          <w:sz w:val="20"/>
        </w:rPr>
      </w:pPr>
    </w:p>
    <w:p w14:paraId="0FFD0754" w14:textId="77777777" w:rsidR="009948F1" w:rsidRDefault="009948F1">
      <w:pPr>
        <w:pStyle w:val="BodyText"/>
        <w:rPr>
          <w:rFonts w:ascii="Times New Roman"/>
          <w:sz w:val="20"/>
        </w:rPr>
      </w:pPr>
    </w:p>
    <w:p w14:paraId="790EDD01" w14:textId="77777777" w:rsidR="009948F1" w:rsidRDefault="009948F1">
      <w:pPr>
        <w:pStyle w:val="BodyText"/>
        <w:rPr>
          <w:rFonts w:ascii="Times New Roman"/>
          <w:sz w:val="20"/>
        </w:rPr>
      </w:pPr>
    </w:p>
    <w:p w14:paraId="4A41781B" w14:textId="77777777" w:rsidR="009948F1" w:rsidRDefault="009948F1">
      <w:pPr>
        <w:pStyle w:val="BodyText"/>
        <w:rPr>
          <w:rFonts w:ascii="Times New Roman"/>
          <w:sz w:val="20"/>
        </w:rPr>
      </w:pPr>
    </w:p>
    <w:p w14:paraId="4CA990AE" w14:textId="77777777" w:rsidR="009948F1" w:rsidRDefault="009948F1">
      <w:pPr>
        <w:pStyle w:val="BodyText"/>
        <w:rPr>
          <w:rFonts w:ascii="Times New Roman"/>
          <w:sz w:val="20"/>
        </w:rPr>
      </w:pPr>
    </w:p>
    <w:p w14:paraId="20203A21" w14:textId="77777777" w:rsidR="009948F1" w:rsidRDefault="009948F1">
      <w:pPr>
        <w:pStyle w:val="BodyText"/>
        <w:rPr>
          <w:rFonts w:ascii="Times New Roman"/>
          <w:sz w:val="20"/>
        </w:rPr>
      </w:pPr>
    </w:p>
    <w:p w14:paraId="0F62D271" w14:textId="77777777" w:rsidR="009948F1" w:rsidRDefault="009948F1">
      <w:pPr>
        <w:pStyle w:val="BodyText"/>
        <w:rPr>
          <w:rFonts w:ascii="Times New Roman"/>
          <w:sz w:val="20"/>
        </w:rPr>
      </w:pPr>
    </w:p>
    <w:p w14:paraId="5D2FF358" w14:textId="77777777" w:rsidR="009948F1" w:rsidRDefault="009948F1">
      <w:pPr>
        <w:pStyle w:val="BodyText"/>
        <w:rPr>
          <w:rFonts w:ascii="Times New Roman"/>
          <w:sz w:val="20"/>
        </w:rPr>
      </w:pPr>
    </w:p>
    <w:p w14:paraId="13975CF3" w14:textId="77777777" w:rsidR="009948F1" w:rsidRDefault="009948F1">
      <w:pPr>
        <w:pStyle w:val="BodyText"/>
        <w:rPr>
          <w:rFonts w:ascii="Times New Roman"/>
          <w:sz w:val="20"/>
        </w:rPr>
      </w:pPr>
    </w:p>
    <w:p w14:paraId="30D591EC" w14:textId="77777777" w:rsidR="009948F1" w:rsidRDefault="009948F1">
      <w:pPr>
        <w:pStyle w:val="BodyText"/>
        <w:rPr>
          <w:rFonts w:ascii="Times New Roman"/>
          <w:sz w:val="20"/>
        </w:rPr>
      </w:pPr>
    </w:p>
    <w:p w14:paraId="0C4BD4B1" w14:textId="77777777" w:rsidR="009948F1" w:rsidRDefault="009948F1">
      <w:pPr>
        <w:pStyle w:val="BodyText"/>
        <w:spacing w:before="10"/>
        <w:rPr>
          <w:rFonts w:ascii="Times New Roman"/>
          <w:sz w:val="24"/>
        </w:rPr>
      </w:pPr>
    </w:p>
    <w:p w14:paraId="542B487E" w14:textId="77777777" w:rsidR="009948F1" w:rsidRDefault="00244DD0">
      <w:pPr>
        <w:spacing w:before="79"/>
        <w:ind w:left="6070"/>
        <w:rPr>
          <w:rFonts w:ascii="Times New Roman"/>
          <w:sz w:val="49"/>
        </w:rPr>
      </w:pPr>
      <w:r>
        <w:pict w14:anchorId="227AA0F1">
          <v:rect id="_x0000_s2118" style="position:absolute;left:0;text-align:left;margin-left:360.95pt;margin-top:9.55pt;width:38.5pt;height:18.35pt;z-index:-35227648;mso-position-horizontal-relative:page" fillcolor="#606060" stroked="f">
            <w10:wrap anchorx="page"/>
          </v:rect>
        </w:pict>
      </w:r>
      <w:r>
        <w:pict w14:anchorId="557CFB71">
          <v:rect id="_x0000_s2117" style="position:absolute;left:0;text-align:left;margin-left:404.15pt;margin-top:9.55pt;width:53.65pt;height:18.35pt;z-index:-35227136;mso-position-horizontal-relative:page" fillcolor="#606060" stroked="f">
            <w10:wrap anchorx="page"/>
          </v:rect>
        </w:pict>
      </w:r>
      <w:bookmarkStart w:id="0" w:name="Page_1"/>
      <w:bookmarkEnd w:id="0"/>
      <w:r w:rsidR="00BC0563">
        <w:rPr>
          <w:rFonts w:ascii="Courier New"/>
          <w:color w:val="FFFFFF"/>
          <w:w w:val="80"/>
          <w:sz w:val="52"/>
        </w:rPr>
        <w:t>2Jl8</w:t>
      </w:r>
      <w:r w:rsidR="00BC0563">
        <w:rPr>
          <w:rFonts w:ascii="Courier New"/>
          <w:color w:val="FFFFFF"/>
          <w:spacing w:val="-181"/>
          <w:w w:val="80"/>
          <w:sz w:val="52"/>
        </w:rPr>
        <w:t xml:space="preserve"> </w:t>
      </w:r>
      <w:r w:rsidR="00BC0563">
        <w:rPr>
          <w:rFonts w:ascii="Times New Roman"/>
          <w:color w:val="FFFFFF"/>
          <w:w w:val="80"/>
          <w:sz w:val="49"/>
        </w:rPr>
        <w:t>- 2fi22</w:t>
      </w:r>
    </w:p>
    <w:p w14:paraId="1B88DA79" w14:textId="77777777" w:rsidR="009948F1" w:rsidRDefault="009948F1">
      <w:pPr>
        <w:rPr>
          <w:rFonts w:ascii="Times New Roman"/>
          <w:sz w:val="49"/>
        </w:rPr>
        <w:sectPr w:rsidR="009948F1">
          <w:type w:val="continuous"/>
          <w:pgSz w:w="11910" w:h="16840"/>
          <w:pgMar w:top="1580" w:right="1080" w:bottom="280" w:left="1120" w:header="720" w:footer="720" w:gutter="0"/>
          <w:cols w:space="720"/>
        </w:sectPr>
      </w:pPr>
    </w:p>
    <w:p w14:paraId="6C321F7B" w14:textId="77777777" w:rsidR="009948F1" w:rsidRDefault="00BC0563">
      <w:pPr>
        <w:pStyle w:val="Heading2"/>
        <w:spacing w:before="28"/>
        <w:ind w:right="1106"/>
      </w:pPr>
      <w:bookmarkStart w:id="1" w:name="Page_2"/>
      <w:bookmarkEnd w:id="1"/>
      <w:r>
        <w:rPr>
          <w:color w:val="231F20"/>
        </w:rPr>
        <w:lastRenderedPageBreak/>
        <w:t>MINISTRY OF HEALTH</w:t>
      </w:r>
    </w:p>
    <w:p w14:paraId="59EEB57B" w14:textId="77777777" w:rsidR="009948F1" w:rsidRDefault="009948F1">
      <w:pPr>
        <w:pStyle w:val="BodyText"/>
        <w:spacing w:before="4"/>
        <w:rPr>
          <w:b/>
          <w:sz w:val="19"/>
        </w:rPr>
      </w:pPr>
    </w:p>
    <w:p w14:paraId="35B51D01" w14:textId="77777777" w:rsidR="009948F1" w:rsidRDefault="00BC0563">
      <w:pPr>
        <w:pStyle w:val="Heading4"/>
        <w:spacing w:before="61"/>
        <w:ind w:left="134"/>
      </w:pPr>
      <w:r>
        <w:rPr>
          <w:color w:val="231F20"/>
        </w:rPr>
        <w:t>TABLE OF CONTENTS</w:t>
      </w:r>
    </w:p>
    <w:p w14:paraId="002689BB" w14:textId="77777777" w:rsidR="009948F1" w:rsidRDefault="009948F1">
      <w:pPr>
        <w:sectPr w:rsidR="009948F1">
          <w:footerReference w:type="default" r:id="rId9"/>
          <w:pgSz w:w="11910" w:h="16840"/>
          <w:pgMar w:top="1360" w:right="1080" w:bottom="1929" w:left="1120" w:header="0" w:footer="1235" w:gutter="0"/>
          <w:pgNumType w:start="1"/>
          <w:cols w:space="720"/>
        </w:sectPr>
      </w:pPr>
    </w:p>
    <w:sdt>
      <w:sdtPr>
        <w:rPr>
          <w:b w:val="0"/>
          <w:bCs w:val="0"/>
        </w:rPr>
        <w:id w:val="822701271"/>
        <w:docPartObj>
          <w:docPartGallery w:val="Table of Contents"/>
          <w:docPartUnique/>
        </w:docPartObj>
      </w:sdtPr>
      <w:sdtContent>
        <w:p w14:paraId="617E80A8" w14:textId="77777777" w:rsidR="009948F1" w:rsidRDefault="00244DD0">
          <w:pPr>
            <w:pStyle w:val="TOC1"/>
            <w:tabs>
              <w:tab w:val="right" w:leader="dot" w:pos="8746"/>
            </w:tabs>
            <w:spacing w:before="52"/>
            <w:rPr>
              <w:b w:val="0"/>
            </w:rPr>
          </w:pPr>
          <w:hyperlink w:anchor="_TOC_250045" w:history="1">
            <w:r w:rsidR="00BC0563">
              <w:rPr>
                <w:color w:val="231F20"/>
              </w:rPr>
              <w:t>List</w:t>
            </w:r>
            <w:r w:rsidR="00BC0563">
              <w:rPr>
                <w:color w:val="231F20"/>
                <w:spacing w:val="-27"/>
              </w:rPr>
              <w:t xml:space="preserve"> </w:t>
            </w:r>
            <w:r w:rsidR="00BC0563">
              <w:rPr>
                <w:color w:val="231F20"/>
              </w:rPr>
              <w:t>of</w:t>
            </w:r>
            <w:r w:rsidR="00BC0563">
              <w:rPr>
                <w:color w:val="231F20"/>
                <w:spacing w:val="-27"/>
              </w:rPr>
              <w:t xml:space="preserve"> </w:t>
            </w:r>
            <w:r w:rsidR="00BC0563">
              <w:rPr>
                <w:color w:val="231F20"/>
                <w:spacing w:val="-3"/>
              </w:rPr>
              <w:t>Tables</w:t>
            </w:r>
            <w:r w:rsidR="00BC0563">
              <w:rPr>
                <w:color w:val="231F20"/>
                <w:spacing w:val="-3"/>
              </w:rPr>
              <w:tab/>
            </w:r>
            <w:r w:rsidR="00BC0563">
              <w:rPr>
                <w:b w:val="0"/>
                <w:color w:val="231F20"/>
              </w:rPr>
              <w:t>3</w:t>
            </w:r>
          </w:hyperlink>
        </w:p>
        <w:p w14:paraId="4D1A8FF0" w14:textId="77777777" w:rsidR="009948F1" w:rsidRDefault="00BC0563">
          <w:pPr>
            <w:pStyle w:val="TOC1"/>
            <w:tabs>
              <w:tab w:val="right" w:leader="dot" w:pos="8786"/>
            </w:tabs>
            <w:spacing w:before="51"/>
            <w:rPr>
              <w:b w:val="0"/>
            </w:rPr>
          </w:pPr>
          <w:r>
            <w:rPr>
              <w:color w:val="231F20"/>
              <w:spacing w:val="-4"/>
            </w:rPr>
            <w:t>Table</w:t>
          </w:r>
          <w:r>
            <w:rPr>
              <w:color w:val="231F20"/>
              <w:spacing w:val="-27"/>
            </w:rPr>
            <w:t xml:space="preserve"> </w:t>
          </w:r>
          <w:r>
            <w:rPr>
              <w:color w:val="231F20"/>
            </w:rPr>
            <w:t>of</w:t>
          </w:r>
          <w:r>
            <w:rPr>
              <w:color w:val="231F20"/>
              <w:spacing w:val="-27"/>
            </w:rPr>
            <w:t xml:space="preserve"> </w:t>
          </w:r>
          <w:r>
            <w:rPr>
              <w:color w:val="231F20"/>
            </w:rPr>
            <w:t>Figures</w:t>
          </w:r>
          <w:r>
            <w:rPr>
              <w:color w:val="231F20"/>
            </w:rPr>
            <w:tab/>
          </w:r>
          <w:r>
            <w:rPr>
              <w:b w:val="0"/>
              <w:color w:val="231F20"/>
            </w:rPr>
            <w:t>3</w:t>
          </w:r>
        </w:p>
        <w:p w14:paraId="0F10C96D" w14:textId="77777777" w:rsidR="009948F1" w:rsidRDefault="00244DD0">
          <w:pPr>
            <w:pStyle w:val="TOC1"/>
            <w:tabs>
              <w:tab w:val="right" w:leader="dot" w:pos="8774"/>
            </w:tabs>
            <w:spacing w:before="52"/>
            <w:rPr>
              <w:b w:val="0"/>
            </w:rPr>
          </w:pPr>
          <w:hyperlink w:anchor="_TOC_250044" w:history="1">
            <w:r w:rsidR="00BC0563">
              <w:rPr>
                <w:color w:val="231F20"/>
              </w:rPr>
              <w:t>Acronyms</w:t>
            </w:r>
            <w:r w:rsidR="00BC0563">
              <w:rPr>
                <w:color w:val="231F20"/>
              </w:rPr>
              <w:tab/>
            </w:r>
            <w:r w:rsidR="00BC0563">
              <w:rPr>
                <w:b w:val="0"/>
                <w:color w:val="231F20"/>
              </w:rPr>
              <w:t>4</w:t>
            </w:r>
          </w:hyperlink>
        </w:p>
        <w:p w14:paraId="120C08E8" w14:textId="77777777" w:rsidR="009948F1" w:rsidRDefault="00244DD0">
          <w:pPr>
            <w:pStyle w:val="TOC1"/>
            <w:tabs>
              <w:tab w:val="right" w:leader="dot" w:pos="8761"/>
            </w:tabs>
            <w:spacing w:before="51"/>
            <w:rPr>
              <w:b w:val="0"/>
            </w:rPr>
          </w:pPr>
          <w:hyperlink w:anchor="_TOC_250043" w:history="1">
            <w:r w:rsidR="00BC0563">
              <w:rPr>
                <w:color w:val="231F20"/>
              </w:rPr>
              <w:t>Foreword</w:t>
            </w:r>
            <w:r w:rsidR="00BC0563">
              <w:rPr>
                <w:color w:val="231F20"/>
              </w:rPr>
              <w:tab/>
            </w:r>
            <w:r w:rsidR="00BC0563">
              <w:rPr>
                <w:b w:val="0"/>
                <w:color w:val="231F20"/>
              </w:rPr>
              <w:t>9</w:t>
            </w:r>
          </w:hyperlink>
        </w:p>
        <w:p w14:paraId="72BE697F" w14:textId="77777777" w:rsidR="009948F1" w:rsidRDefault="00244DD0">
          <w:pPr>
            <w:pStyle w:val="TOC1"/>
            <w:tabs>
              <w:tab w:val="right" w:leader="dot" w:pos="8828"/>
            </w:tabs>
            <w:spacing w:before="52"/>
            <w:rPr>
              <w:b w:val="0"/>
            </w:rPr>
          </w:pPr>
          <w:hyperlink w:anchor="_TOC_250042" w:history="1">
            <w:r w:rsidR="00BC0563">
              <w:rPr>
                <w:color w:val="231F20"/>
              </w:rPr>
              <w:t>Acknowledgment</w:t>
            </w:r>
            <w:r w:rsidR="00BC0563">
              <w:rPr>
                <w:color w:val="231F20"/>
              </w:rPr>
              <w:tab/>
            </w:r>
            <w:r w:rsidR="00BC0563">
              <w:rPr>
                <w:b w:val="0"/>
                <w:color w:val="231F20"/>
              </w:rPr>
              <w:t>10</w:t>
            </w:r>
          </w:hyperlink>
        </w:p>
        <w:p w14:paraId="0DE21657" w14:textId="77777777" w:rsidR="009948F1" w:rsidRDefault="00244DD0">
          <w:pPr>
            <w:pStyle w:val="TOC1"/>
            <w:tabs>
              <w:tab w:val="right" w:leader="dot" w:pos="8811"/>
            </w:tabs>
            <w:spacing w:before="51"/>
            <w:rPr>
              <w:b w:val="0"/>
            </w:rPr>
          </w:pPr>
          <w:hyperlink w:anchor="_TOC_250041" w:history="1">
            <w:r w:rsidR="00BC0563">
              <w:rPr>
                <w:color w:val="231F20"/>
              </w:rPr>
              <w:t>Executive</w:t>
            </w:r>
            <w:r w:rsidR="00BC0563">
              <w:rPr>
                <w:color w:val="231F20"/>
                <w:spacing w:val="-27"/>
              </w:rPr>
              <w:t xml:space="preserve"> </w:t>
            </w:r>
            <w:r w:rsidR="00BC0563">
              <w:rPr>
                <w:color w:val="231F20"/>
              </w:rPr>
              <w:t>summary</w:t>
            </w:r>
            <w:r w:rsidR="00BC0563">
              <w:rPr>
                <w:color w:val="231F20"/>
              </w:rPr>
              <w:tab/>
            </w:r>
            <w:r w:rsidR="00BC0563">
              <w:rPr>
                <w:b w:val="0"/>
                <w:color w:val="231F20"/>
                <w:spacing w:val="-9"/>
              </w:rPr>
              <w:t>11</w:t>
            </w:r>
          </w:hyperlink>
        </w:p>
        <w:p w14:paraId="357FBBFB" w14:textId="77777777" w:rsidR="009948F1" w:rsidRDefault="00244DD0">
          <w:pPr>
            <w:pStyle w:val="TOC1"/>
          </w:pPr>
          <w:hyperlink w:anchor="_TOC_250040" w:history="1">
            <w:r w:rsidR="00BC0563">
              <w:rPr>
                <w:color w:val="231F20"/>
              </w:rPr>
              <w:t>Chapter 1:</w:t>
            </w:r>
          </w:hyperlink>
        </w:p>
        <w:p w14:paraId="005B64C1" w14:textId="77777777" w:rsidR="009948F1" w:rsidRDefault="00244DD0">
          <w:pPr>
            <w:pStyle w:val="TOC2"/>
            <w:tabs>
              <w:tab w:val="right" w:leader="dot" w:pos="8763"/>
            </w:tabs>
            <w:spacing w:before="52"/>
            <w:ind w:left="134" w:firstLine="0"/>
          </w:pPr>
          <w:hyperlink w:anchor="_TOC_250039" w:history="1">
            <w:r w:rsidR="00BC0563">
              <w:rPr>
                <w:color w:val="231F20"/>
              </w:rPr>
              <w:t>Introduction…</w:t>
            </w:r>
            <w:r w:rsidR="00BC0563">
              <w:rPr>
                <w:color w:val="231F20"/>
              </w:rPr>
              <w:tab/>
              <w:t>14</w:t>
            </w:r>
          </w:hyperlink>
        </w:p>
        <w:p w14:paraId="4D34E80D" w14:textId="77777777" w:rsidR="009948F1" w:rsidRDefault="00244DD0">
          <w:pPr>
            <w:pStyle w:val="TOC2"/>
            <w:numPr>
              <w:ilvl w:val="1"/>
              <w:numId w:val="330"/>
            </w:numPr>
            <w:tabs>
              <w:tab w:val="left" w:pos="508"/>
              <w:tab w:val="right" w:leader="dot" w:pos="8802"/>
            </w:tabs>
          </w:pPr>
          <w:hyperlink w:anchor="_TOC_250038" w:history="1">
            <w:r w:rsidR="00BC0563">
              <w:rPr>
                <w:color w:val="231F20"/>
              </w:rPr>
              <w:t>Background…</w:t>
            </w:r>
            <w:r w:rsidR="00BC0563">
              <w:rPr>
                <w:color w:val="231F20"/>
              </w:rPr>
              <w:tab/>
              <w:t>14</w:t>
            </w:r>
          </w:hyperlink>
        </w:p>
        <w:p w14:paraId="01B70D73" w14:textId="77777777" w:rsidR="009948F1" w:rsidRDefault="00244DD0">
          <w:pPr>
            <w:pStyle w:val="TOC2"/>
            <w:numPr>
              <w:ilvl w:val="2"/>
              <w:numId w:val="330"/>
            </w:numPr>
            <w:tabs>
              <w:tab w:val="left" w:pos="708"/>
              <w:tab w:val="right" w:leader="dot" w:pos="8816"/>
            </w:tabs>
            <w:spacing w:before="52"/>
          </w:pPr>
          <w:hyperlink w:anchor="_TOC_250037" w:history="1">
            <w:r w:rsidR="00BC0563">
              <w:rPr>
                <w:color w:val="231F20"/>
              </w:rPr>
              <w:t>-National and</w:t>
            </w:r>
            <w:r w:rsidR="00BC0563">
              <w:rPr>
                <w:color w:val="231F20"/>
                <w:spacing w:val="-54"/>
              </w:rPr>
              <w:t xml:space="preserve"> </w:t>
            </w:r>
            <w:r w:rsidR="00BC0563">
              <w:rPr>
                <w:color w:val="231F20"/>
              </w:rPr>
              <w:t>State</w:t>
            </w:r>
            <w:r w:rsidR="00BC0563">
              <w:rPr>
                <w:color w:val="231F20"/>
                <w:spacing w:val="-27"/>
              </w:rPr>
              <w:t xml:space="preserve"> </w:t>
            </w:r>
            <w:r w:rsidR="00BC0563">
              <w:rPr>
                <w:color w:val="231F20"/>
              </w:rPr>
              <w:t>context…</w:t>
            </w:r>
            <w:r w:rsidR="00BC0563">
              <w:rPr>
                <w:color w:val="231F20"/>
              </w:rPr>
              <w:tab/>
              <w:t>14</w:t>
            </w:r>
          </w:hyperlink>
        </w:p>
        <w:p w14:paraId="668BA4A8" w14:textId="77777777" w:rsidR="009948F1" w:rsidRDefault="00244DD0">
          <w:pPr>
            <w:pStyle w:val="TOC2"/>
            <w:numPr>
              <w:ilvl w:val="2"/>
              <w:numId w:val="330"/>
            </w:numPr>
            <w:tabs>
              <w:tab w:val="left" w:pos="708"/>
              <w:tab w:val="right" w:leader="dot" w:pos="8802"/>
            </w:tabs>
          </w:pPr>
          <w:hyperlink w:anchor="_TOC_250036" w:history="1">
            <w:r w:rsidR="00BC0563">
              <w:rPr>
                <w:color w:val="231F20"/>
              </w:rPr>
              <w:t>-</w:t>
            </w:r>
            <w:r w:rsidR="00BC0563">
              <w:rPr>
                <w:color w:val="231F20"/>
                <w:spacing w:val="-27"/>
              </w:rPr>
              <w:t xml:space="preserve"> </w:t>
            </w:r>
            <w:r w:rsidR="00BC0563">
              <w:rPr>
                <w:color w:val="231F20"/>
              </w:rPr>
              <w:t>Policy</w:t>
            </w:r>
            <w:r w:rsidR="00BC0563">
              <w:rPr>
                <w:color w:val="231F20"/>
                <w:spacing w:val="-27"/>
              </w:rPr>
              <w:t xml:space="preserve"> </w:t>
            </w:r>
            <w:r w:rsidR="00BC0563">
              <w:rPr>
                <w:color w:val="231F20"/>
              </w:rPr>
              <w:t>Environment…</w:t>
            </w:r>
            <w:r w:rsidR="00BC0563">
              <w:rPr>
                <w:color w:val="231F20"/>
              </w:rPr>
              <w:tab/>
              <w:t>16</w:t>
            </w:r>
          </w:hyperlink>
        </w:p>
        <w:p w14:paraId="16389D7F" w14:textId="77777777" w:rsidR="009948F1" w:rsidRDefault="00244DD0">
          <w:pPr>
            <w:pStyle w:val="TOC2"/>
            <w:numPr>
              <w:ilvl w:val="1"/>
              <w:numId w:val="330"/>
            </w:numPr>
            <w:tabs>
              <w:tab w:val="left" w:pos="508"/>
              <w:tab w:val="right" w:leader="dot" w:pos="8802"/>
            </w:tabs>
          </w:pPr>
          <w:hyperlink w:anchor="_TOC_250035" w:history="1">
            <w:r w:rsidR="00BC0563">
              <w:rPr>
                <w:color w:val="231F20"/>
              </w:rPr>
              <w:t>State</w:t>
            </w:r>
            <w:r w:rsidR="00BC0563">
              <w:rPr>
                <w:color w:val="231F20"/>
                <w:spacing w:val="-27"/>
              </w:rPr>
              <w:t xml:space="preserve"> </w:t>
            </w:r>
            <w:r w:rsidR="00BC0563">
              <w:rPr>
                <w:color w:val="231F20"/>
              </w:rPr>
              <w:t>Profile…</w:t>
            </w:r>
            <w:r w:rsidR="00BC0563">
              <w:rPr>
                <w:color w:val="231F20"/>
              </w:rPr>
              <w:tab/>
              <w:t>17</w:t>
            </w:r>
          </w:hyperlink>
        </w:p>
        <w:p w14:paraId="14FEE12A" w14:textId="77777777" w:rsidR="009948F1" w:rsidRDefault="00244DD0">
          <w:pPr>
            <w:pStyle w:val="TOC2"/>
            <w:numPr>
              <w:ilvl w:val="1"/>
              <w:numId w:val="330"/>
            </w:numPr>
            <w:tabs>
              <w:tab w:val="left" w:pos="508"/>
              <w:tab w:val="right" w:leader="dot" w:pos="8773"/>
            </w:tabs>
            <w:spacing w:before="52"/>
          </w:pPr>
          <w:hyperlink w:anchor="_TOC_250034" w:history="1">
            <w:r w:rsidR="00BC0563">
              <w:rPr>
                <w:color w:val="231F20"/>
              </w:rPr>
              <w:t>Methodology</w:t>
            </w:r>
            <w:r w:rsidR="00BC0563">
              <w:rPr>
                <w:color w:val="231F20"/>
                <w:spacing w:val="-27"/>
              </w:rPr>
              <w:t xml:space="preserve"> </w:t>
            </w:r>
            <w:r w:rsidR="00BC0563">
              <w:rPr>
                <w:color w:val="231F20"/>
              </w:rPr>
              <w:t>for</w:t>
            </w:r>
            <w:r w:rsidR="00BC0563">
              <w:rPr>
                <w:color w:val="231F20"/>
                <w:spacing w:val="-28"/>
              </w:rPr>
              <w:t xml:space="preserve"> </w:t>
            </w:r>
            <w:r w:rsidR="00BC0563">
              <w:rPr>
                <w:color w:val="231F20"/>
              </w:rPr>
              <w:t>developing</w:t>
            </w:r>
            <w:r w:rsidR="00BC0563">
              <w:rPr>
                <w:color w:val="231F20"/>
                <w:spacing w:val="-27"/>
              </w:rPr>
              <w:t xml:space="preserve"> </w:t>
            </w:r>
            <w:r w:rsidR="00BC0563">
              <w:rPr>
                <w:color w:val="231F20"/>
              </w:rPr>
              <w:t>the</w:t>
            </w:r>
            <w:r w:rsidR="00BC0563">
              <w:rPr>
                <w:color w:val="231F20"/>
                <w:spacing w:val="-27"/>
              </w:rPr>
              <w:t xml:space="preserve"> </w:t>
            </w:r>
            <w:r w:rsidR="00BC0563">
              <w:rPr>
                <w:color w:val="231F20"/>
              </w:rPr>
              <w:t>SSHDP</w:t>
            </w:r>
            <w:r w:rsidR="00BC0563">
              <w:rPr>
                <w:color w:val="231F20"/>
                <w:spacing w:val="-31"/>
              </w:rPr>
              <w:t xml:space="preserve"> </w:t>
            </w:r>
            <w:r w:rsidR="00BC0563">
              <w:rPr>
                <w:color w:val="231F20"/>
              </w:rPr>
              <w:t>II…</w:t>
            </w:r>
            <w:r w:rsidR="00BC0563">
              <w:rPr>
                <w:color w:val="231F20"/>
              </w:rPr>
              <w:tab/>
              <w:t>18</w:t>
            </w:r>
          </w:hyperlink>
        </w:p>
        <w:p w14:paraId="1110BB70" w14:textId="77777777" w:rsidR="009948F1" w:rsidRDefault="00244DD0">
          <w:pPr>
            <w:pStyle w:val="TOC2"/>
            <w:numPr>
              <w:ilvl w:val="1"/>
              <w:numId w:val="330"/>
            </w:numPr>
            <w:tabs>
              <w:tab w:val="left" w:pos="508"/>
              <w:tab w:val="right" w:leader="dot" w:pos="8759"/>
            </w:tabs>
          </w:pPr>
          <w:hyperlink w:anchor="_TOC_250033" w:history="1">
            <w:r w:rsidR="00BC0563">
              <w:rPr>
                <w:color w:val="231F20"/>
              </w:rPr>
              <w:t>Structure</w:t>
            </w:r>
            <w:r w:rsidR="00BC0563">
              <w:rPr>
                <w:color w:val="231F20"/>
                <w:spacing w:val="-27"/>
              </w:rPr>
              <w:t xml:space="preserve"> </w:t>
            </w:r>
            <w:r w:rsidR="00BC0563">
              <w:rPr>
                <w:color w:val="231F20"/>
              </w:rPr>
              <w:t>of</w:t>
            </w:r>
            <w:r w:rsidR="00BC0563">
              <w:rPr>
                <w:color w:val="231F20"/>
                <w:spacing w:val="-27"/>
              </w:rPr>
              <w:t xml:space="preserve"> </w:t>
            </w:r>
            <w:r w:rsidR="00BC0563">
              <w:rPr>
                <w:color w:val="231F20"/>
              </w:rPr>
              <w:t>the</w:t>
            </w:r>
            <w:r w:rsidR="00BC0563">
              <w:rPr>
                <w:color w:val="231F20"/>
                <w:spacing w:val="-27"/>
              </w:rPr>
              <w:t xml:space="preserve"> </w:t>
            </w:r>
            <w:r w:rsidR="00BC0563">
              <w:rPr>
                <w:color w:val="231F20"/>
              </w:rPr>
              <w:t>National</w:t>
            </w:r>
            <w:r w:rsidR="00BC0563">
              <w:rPr>
                <w:color w:val="231F20"/>
                <w:spacing w:val="-28"/>
              </w:rPr>
              <w:t xml:space="preserve"> </w:t>
            </w:r>
            <w:r w:rsidR="00BC0563">
              <w:rPr>
                <w:color w:val="231F20"/>
              </w:rPr>
              <w:t>and</w:t>
            </w:r>
            <w:r w:rsidR="00BC0563">
              <w:rPr>
                <w:color w:val="231F20"/>
                <w:spacing w:val="-27"/>
              </w:rPr>
              <w:t xml:space="preserve"> </w:t>
            </w:r>
            <w:r w:rsidR="00BC0563">
              <w:rPr>
                <w:color w:val="231F20"/>
              </w:rPr>
              <w:t>SSHDP</w:t>
            </w:r>
            <w:r w:rsidR="00BC0563">
              <w:rPr>
                <w:color w:val="231F20"/>
                <w:spacing w:val="-31"/>
              </w:rPr>
              <w:t xml:space="preserve"> </w:t>
            </w:r>
            <w:r w:rsidR="00BC0563">
              <w:rPr>
                <w:color w:val="231F20"/>
              </w:rPr>
              <w:t>II…</w:t>
            </w:r>
            <w:r w:rsidR="00BC0563">
              <w:rPr>
                <w:color w:val="231F20"/>
              </w:rPr>
              <w:tab/>
              <w:t>19</w:t>
            </w:r>
          </w:hyperlink>
        </w:p>
        <w:p w14:paraId="49F36D7C" w14:textId="77777777" w:rsidR="009948F1" w:rsidRDefault="00244DD0">
          <w:pPr>
            <w:pStyle w:val="TOC1"/>
          </w:pPr>
          <w:hyperlink w:anchor="_TOC_250032" w:history="1">
            <w:r w:rsidR="00BC0563">
              <w:rPr>
                <w:color w:val="231F20"/>
              </w:rPr>
              <w:t>Chapter 2:</w:t>
            </w:r>
          </w:hyperlink>
        </w:p>
        <w:p w14:paraId="1ABC17EC" w14:textId="77777777" w:rsidR="009948F1" w:rsidRDefault="00244DD0">
          <w:pPr>
            <w:pStyle w:val="TOC2"/>
            <w:tabs>
              <w:tab w:val="right" w:leader="dot" w:pos="8802"/>
            </w:tabs>
            <w:spacing w:before="52"/>
            <w:ind w:left="134" w:firstLine="0"/>
          </w:pPr>
          <w:hyperlink w:anchor="_TOC_250031" w:history="1">
            <w:r w:rsidR="00BC0563">
              <w:rPr>
                <w:color w:val="231F20"/>
              </w:rPr>
              <w:t>Situation</w:t>
            </w:r>
            <w:r w:rsidR="00BC0563">
              <w:rPr>
                <w:color w:val="231F20"/>
                <w:spacing w:val="-40"/>
              </w:rPr>
              <w:t xml:space="preserve"> </w:t>
            </w:r>
            <w:r w:rsidR="00BC0563">
              <w:rPr>
                <w:color w:val="231F20"/>
              </w:rPr>
              <w:t>Analysis…</w:t>
            </w:r>
            <w:r w:rsidR="00BC0563">
              <w:rPr>
                <w:color w:val="231F20"/>
              </w:rPr>
              <w:tab/>
              <w:t>20</w:t>
            </w:r>
          </w:hyperlink>
        </w:p>
        <w:p w14:paraId="3CEE8576" w14:textId="77777777" w:rsidR="009948F1" w:rsidRDefault="00BC0563">
          <w:pPr>
            <w:pStyle w:val="TOC2"/>
            <w:numPr>
              <w:ilvl w:val="1"/>
              <w:numId w:val="329"/>
            </w:numPr>
            <w:tabs>
              <w:tab w:val="left" w:pos="508"/>
              <w:tab w:val="right" w:leader="dot" w:pos="8789"/>
            </w:tabs>
          </w:pPr>
          <w:r>
            <w:rPr>
              <w:color w:val="231F20"/>
            </w:rPr>
            <w:t>Socioeconomic</w:t>
          </w:r>
          <w:r>
            <w:rPr>
              <w:color w:val="231F20"/>
              <w:spacing w:val="-27"/>
            </w:rPr>
            <w:t xml:space="preserve"> </w:t>
          </w:r>
          <w:r>
            <w:rPr>
              <w:color w:val="231F20"/>
            </w:rPr>
            <w:t>and</w:t>
          </w:r>
          <w:r>
            <w:rPr>
              <w:color w:val="231F20"/>
              <w:spacing w:val="-27"/>
            </w:rPr>
            <w:t xml:space="preserve"> </w:t>
          </w:r>
          <w:r>
            <w:rPr>
              <w:color w:val="231F20"/>
            </w:rPr>
            <w:t>context…</w:t>
          </w:r>
          <w:r>
            <w:rPr>
              <w:color w:val="231F20"/>
            </w:rPr>
            <w:tab/>
            <w:t>20</w:t>
          </w:r>
        </w:p>
        <w:p w14:paraId="2582D9B5" w14:textId="77777777" w:rsidR="009948F1" w:rsidRDefault="00244DD0">
          <w:pPr>
            <w:pStyle w:val="TOC2"/>
            <w:numPr>
              <w:ilvl w:val="1"/>
              <w:numId w:val="329"/>
            </w:numPr>
            <w:tabs>
              <w:tab w:val="left" w:pos="508"/>
              <w:tab w:val="right" w:leader="dot" w:pos="8803"/>
            </w:tabs>
            <w:spacing w:before="52"/>
          </w:pPr>
          <w:hyperlink w:anchor="_TOC_250030" w:history="1">
            <w:r w:rsidR="00BC0563">
              <w:rPr>
                <w:color w:val="231F20"/>
              </w:rPr>
              <w:t>Health</w:t>
            </w:r>
            <w:r w:rsidR="00BC0563">
              <w:rPr>
                <w:color w:val="231F20"/>
                <w:spacing w:val="-27"/>
              </w:rPr>
              <w:t xml:space="preserve"> </w:t>
            </w:r>
            <w:r w:rsidR="00BC0563">
              <w:rPr>
                <w:color w:val="231F20"/>
              </w:rPr>
              <w:t>status</w:t>
            </w:r>
            <w:r w:rsidR="00BC0563">
              <w:rPr>
                <w:color w:val="231F20"/>
                <w:spacing w:val="-27"/>
              </w:rPr>
              <w:t xml:space="preserve"> </w:t>
            </w:r>
            <w:r w:rsidR="00BC0563">
              <w:rPr>
                <w:color w:val="231F20"/>
              </w:rPr>
              <w:t>of</w:t>
            </w:r>
            <w:r w:rsidR="00BC0563">
              <w:rPr>
                <w:color w:val="231F20"/>
                <w:spacing w:val="-28"/>
              </w:rPr>
              <w:t xml:space="preserve"> </w:t>
            </w:r>
            <w:r w:rsidR="00BC0563">
              <w:rPr>
                <w:color w:val="231F20"/>
              </w:rPr>
              <w:t>the</w:t>
            </w:r>
            <w:r w:rsidR="00BC0563">
              <w:rPr>
                <w:color w:val="231F20"/>
                <w:spacing w:val="-27"/>
              </w:rPr>
              <w:t xml:space="preserve"> </w:t>
            </w:r>
            <w:r w:rsidR="00BC0563">
              <w:rPr>
                <w:color w:val="231F20"/>
              </w:rPr>
              <w:t>population…</w:t>
            </w:r>
            <w:r w:rsidR="00BC0563">
              <w:rPr>
                <w:color w:val="231F20"/>
              </w:rPr>
              <w:tab/>
              <w:t>21</w:t>
            </w:r>
          </w:hyperlink>
        </w:p>
        <w:p w14:paraId="27E6C66D" w14:textId="77777777" w:rsidR="009948F1" w:rsidRDefault="00244DD0">
          <w:pPr>
            <w:pStyle w:val="TOC2"/>
            <w:numPr>
              <w:ilvl w:val="1"/>
              <w:numId w:val="329"/>
            </w:numPr>
            <w:tabs>
              <w:tab w:val="left" w:pos="508"/>
              <w:tab w:val="right" w:leader="dot" w:pos="8763"/>
            </w:tabs>
          </w:pPr>
          <w:hyperlink w:anchor="_TOC_250029" w:history="1">
            <w:r w:rsidR="00BC0563">
              <w:rPr>
                <w:color w:val="231F20"/>
              </w:rPr>
              <w:t>Overview</w:t>
            </w:r>
            <w:r w:rsidR="00BC0563">
              <w:rPr>
                <w:color w:val="231F20"/>
                <w:spacing w:val="-27"/>
              </w:rPr>
              <w:t xml:space="preserve"> </w:t>
            </w:r>
            <w:r w:rsidR="00BC0563">
              <w:rPr>
                <w:color w:val="231F20"/>
              </w:rPr>
              <w:t>of</w:t>
            </w:r>
            <w:r w:rsidR="00BC0563">
              <w:rPr>
                <w:color w:val="231F20"/>
                <w:spacing w:val="-27"/>
              </w:rPr>
              <w:t xml:space="preserve"> </w:t>
            </w:r>
            <w:r w:rsidR="00BC0563">
              <w:rPr>
                <w:color w:val="231F20"/>
              </w:rPr>
              <w:t>the</w:t>
            </w:r>
            <w:r w:rsidR="00BC0563">
              <w:rPr>
                <w:color w:val="231F20"/>
                <w:spacing w:val="-27"/>
              </w:rPr>
              <w:t xml:space="preserve"> </w:t>
            </w:r>
            <w:r w:rsidR="00BC0563">
              <w:rPr>
                <w:color w:val="231F20"/>
              </w:rPr>
              <w:t>State</w:t>
            </w:r>
            <w:r w:rsidR="00BC0563">
              <w:rPr>
                <w:color w:val="231F20"/>
                <w:spacing w:val="-28"/>
              </w:rPr>
              <w:t xml:space="preserve"> </w:t>
            </w:r>
            <w:r w:rsidR="00BC0563">
              <w:rPr>
                <w:color w:val="231F20"/>
              </w:rPr>
              <w:t>health</w:t>
            </w:r>
            <w:r w:rsidR="00BC0563">
              <w:rPr>
                <w:color w:val="231F20"/>
                <w:spacing w:val="-27"/>
              </w:rPr>
              <w:t xml:space="preserve"> </w:t>
            </w:r>
            <w:r w:rsidR="00BC0563">
              <w:rPr>
                <w:color w:val="231F20"/>
              </w:rPr>
              <w:t>system…</w:t>
            </w:r>
            <w:r w:rsidR="00BC0563">
              <w:rPr>
                <w:color w:val="231F20"/>
              </w:rPr>
              <w:tab/>
              <w:t>22</w:t>
            </w:r>
          </w:hyperlink>
        </w:p>
        <w:p w14:paraId="5B571CFC" w14:textId="77777777" w:rsidR="009948F1" w:rsidRDefault="00244DD0">
          <w:pPr>
            <w:pStyle w:val="TOC2"/>
            <w:numPr>
              <w:ilvl w:val="1"/>
              <w:numId w:val="329"/>
            </w:numPr>
            <w:tabs>
              <w:tab w:val="left" w:pos="508"/>
              <w:tab w:val="right" w:leader="dot" w:pos="8803"/>
            </w:tabs>
            <w:spacing w:before="52"/>
          </w:pPr>
          <w:hyperlink w:anchor="_TOC_250028" w:history="1">
            <w:r w:rsidR="00BC0563">
              <w:rPr>
                <w:color w:val="231F20"/>
              </w:rPr>
              <w:t>Health</w:t>
            </w:r>
            <w:r w:rsidR="00BC0563">
              <w:rPr>
                <w:color w:val="231F20"/>
                <w:spacing w:val="-27"/>
              </w:rPr>
              <w:t xml:space="preserve"> </w:t>
            </w:r>
            <w:r w:rsidR="00BC0563">
              <w:rPr>
                <w:color w:val="231F20"/>
              </w:rPr>
              <w:t>services</w:t>
            </w:r>
            <w:r w:rsidR="00BC0563">
              <w:rPr>
                <w:color w:val="231F20"/>
                <w:spacing w:val="-28"/>
              </w:rPr>
              <w:t xml:space="preserve"> </w:t>
            </w:r>
            <w:r w:rsidR="00BC0563">
              <w:rPr>
                <w:color w:val="231F20"/>
              </w:rPr>
              <w:t>provision</w:t>
            </w:r>
            <w:r w:rsidR="00BC0563">
              <w:rPr>
                <w:color w:val="231F20"/>
                <w:spacing w:val="-27"/>
              </w:rPr>
              <w:t xml:space="preserve"> </w:t>
            </w:r>
            <w:r w:rsidR="00BC0563">
              <w:rPr>
                <w:color w:val="231F20"/>
              </w:rPr>
              <w:t>and</w:t>
            </w:r>
            <w:r w:rsidR="00BC0563">
              <w:rPr>
                <w:color w:val="231F20"/>
                <w:spacing w:val="-27"/>
              </w:rPr>
              <w:t xml:space="preserve"> </w:t>
            </w:r>
            <w:r w:rsidR="00BC0563">
              <w:rPr>
                <w:color w:val="231F20"/>
              </w:rPr>
              <w:t>utilization…</w:t>
            </w:r>
            <w:r w:rsidR="00BC0563">
              <w:rPr>
                <w:color w:val="231F20"/>
              </w:rPr>
              <w:tab/>
              <w:t>27</w:t>
            </w:r>
          </w:hyperlink>
        </w:p>
        <w:p w14:paraId="37FFE423" w14:textId="77777777" w:rsidR="009948F1" w:rsidRDefault="00244DD0">
          <w:pPr>
            <w:pStyle w:val="TOC2"/>
            <w:numPr>
              <w:ilvl w:val="1"/>
              <w:numId w:val="329"/>
            </w:numPr>
            <w:tabs>
              <w:tab w:val="left" w:pos="508"/>
              <w:tab w:val="right" w:leader="dot" w:pos="8791"/>
            </w:tabs>
          </w:pPr>
          <w:hyperlink w:anchor="_TOC_250027" w:history="1">
            <w:r w:rsidR="00BC0563">
              <w:rPr>
                <w:color w:val="231F20"/>
              </w:rPr>
              <w:t>Implementation</w:t>
            </w:r>
            <w:r w:rsidR="00BC0563">
              <w:rPr>
                <w:color w:val="231F20"/>
                <w:spacing w:val="-28"/>
              </w:rPr>
              <w:t xml:space="preserve"> </w:t>
            </w:r>
            <w:r w:rsidR="00BC0563">
              <w:rPr>
                <w:color w:val="231F20"/>
              </w:rPr>
              <w:t>of</w:t>
            </w:r>
            <w:r w:rsidR="00BC0563">
              <w:rPr>
                <w:color w:val="231F20"/>
                <w:spacing w:val="-27"/>
              </w:rPr>
              <w:t xml:space="preserve"> </w:t>
            </w:r>
            <w:r w:rsidR="00BC0563">
              <w:rPr>
                <w:color w:val="231F20"/>
              </w:rPr>
              <w:t>the</w:t>
            </w:r>
            <w:r w:rsidR="00BC0563">
              <w:rPr>
                <w:color w:val="231F20"/>
                <w:spacing w:val="-27"/>
              </w:rPr>
              <w:t xml:space="preserve"> </w:t>
            </w:r>
            <w:r w:rsidR="00BC0563">
              <w:rPr>
                <w:color w:val="231F20"/>
              </w:rPr>
              <w:t>Rivers</w:t>
            </w:r>
            <w:r w:rsidR="00BC0563">
              <w:rPr>
                <w:color w:val="231F20"/>
                <w:spacing w:val="-27"/>
              </w:rPr>
              <w:t xml:space="preserve"> </w:t>
            </w:r>
            <w:r w:rsidR="00BC0563">
              <w:rPr>
                <w:color w:val="231F20"/>
              </w:rPr>
              <w:t>State</w:t>
            </w:r>
            <w:r w:rsidR="00BC0563">
              <w:rPr>
                <w:color w:val="231F20"/>
                <w:spacing w:val="-27"/>
              </w:rPr>
              <w:t xml:space="preserve"> </w:t>
            </w:r>
            <w:r w:rsidR="00BC0563">
              <w:rPr>
                <w:color w:val="231F20"/>
              </w:rPr>
              <w:t>Strategic</w:t>
            </w:r>
            <w:r w:rsidR="00BC0563">
              <w:rPr>
                <w:color w:val="231F20"/>
                <w:spacing w:val="-27"/>
              </w:rPr>
              <w:t xml:space="preserve"> </w:t>
            </w:r>
            <w:r w:rsidR="00BC0563">
              <w:rPr>
                <w:color w:val="231F20"/>
              </w:rPr>
              <w:t>Health</w:t>
            </w:r>
            <w:r w:rsidR="00BC0563">
              <w:rPr>
                <w:color w:val="231F20"/>
                <w:spacing w:val="-27"/>
              </w:rPr>
              <w:t xml:space="preserve"> </w:t>
            </w:r>
            <w:r w:rsidR="00BC0563">
              <w:rPr>
                <w:color w:val="231F20"/>
              </w:rPr>
              <w:t>Development</w:t>
            </w:r>
            <w:r w:rsidR="00BC0563">
              <w:rPr>
                <w:color w:val="231F20"/>
                <w:spacing w:val="-27"/>
              </w:rPr>
              <w:t xml:space="preserve"> </w:t>
            </w:r>
            <w:r w:rsidR="00BC0563">
              <w:rPr>
                <w:color w:val="231F20"/>
              </w:rPr>
              <w:t>Plan</w:t>
            </w:r>
            <w:r w:rsidR="00BC0563">
              <w:rPr>
                <w:color w:val="231F20"/>
                <w:spacing w:val="-27"/>
              </w:rPr>
              <w:t xml:space="preserve"> </w:t>
            </w:r>
            <w:r w:rsidR="00BC0563">
              <w:rPr>
                <w:color w:val="231F20"/>
              </w:rPr>
              <w:t>I…</w:t>
            </w:r>
            <w:r w:rsidR="00BC0563">
              <w:rPr>
                <w:color w:val="231F20"/>
              </w:rPr>
              <w:tab/>
              <w:t>28</w:t>
            </w:r>
          </w:hyperlink>
        </w:p>
        <w:p w14:paraId="6EDFDE77" w14:textId="75BD41F1" w:rsidR="009948F1" w:rsidRDefault="00BC0563">
          <w:pPr>
            <w:pStyle w:val="TOC2"/>
            <w:numPr>
              <w:ilvl w:val="1"/>
              <w:numId w:val="329"/>
            </w:numPr>
            <w:tabs>
              <w:tab w:val="left" w:pos="508"/>
              <w:tab w:val="right" w:leader="dot" w:pos="8783"/>
            </w:tabs>
            <w:spacing w:before="52"/>
          </w:pPr>
          <w:r>
            <w:rPr>
              <w:color w:val="231F20"/>
            </w:rPr>
            <w:t>SWOT</w:t>
          </w:r>
          <w:r w:rsidR="00777DF0">
            <w:rPr>
              <w:color w:val="231F20"/>
            </w:rPr>
            <w:t xml:space="preserve"> </w:t>
          </w:r>
          <w:r>
            <w:rPr>
              <w:color w:val="231F20"/>
            </w:rPr>
            <w:t>Analysis…</w:t>
          </w:r>
          <w:r>
            <w:rPr>
              <w:color w:val="231F20"/>
            </w:rPr>
            <w:tab/>
            <w:t>30</w:t>
          </w:r>
        </w:p>
        <w:p w14:paraId="1D666D93" w14:textId="77777777" w:rsidR="009948F1" w:rsidRDefault="00244DD0">
          <w:pPr>
            <w:pStyle w:val="TOC2"/>
            <w:numPr>
              <w:ilvl w:val="1"/>
              <w:numId w:val="329"/>
            </w:numPr>
            <w:tabs>
              <w:tab w:val="left" w:pos="535"/>
              <w:tab w:val="right" w:leader="dot" w:pos="8815"/>
            </w:tabs>
            <w:ind w:left="534" w:hanging="402"/>
          </w:pPr>
          <w:hyperlink w:anchor="_TOC_250026" w:history="1">
            <w:r w:rsidR="00BC0563">
              <w:rPr>
                <w:color w:val="231F20"/>
              </w:rPr>
              <w:t>Key issues</w:t>
            </w:r>
            <w:r w:rsidR="00BC0563">
              <w:rPr>
                <w:color w:val="231F20"/>
                <w:spacing w:val="-1"/>
              </w:rPr>
              <w:t xml:space="preserve"> </w:t>
            </w:r>
            <w:r w:rsidR="00BC0563">
              <w:rPr>
                <w:color w:val="231F20"/>
              </w:rPr>
              <w:t>and challenges…</w:t>
            </w:r>
            <w:r w:rsidR="00BC0563">
              <w:rPr>
                <w:color w:val="231F20"/>
              </w:rPr>
              <w:tab/>
              <w:t>31</w:t>
            </w:r>
          </w:hyperlink>
        </w:p>
        <w:p w14:paraId="7D865B11" w14:textId="77777777" w:rsidR="009948F1" w:rsidRDefault="00244DD0">
          <w:pPr>
            <w:pStyle w:val="TOC2"/>
            <w:numPr>
              <w:ilvl w:val="1"/>
              <w:numId w:val="329"/>
            </w:numPr>
            <w:tabs>
              <w:tab w:val="left" w:pos="508"/>
              <w:tab w:val="right" w:leader="dot" w:pos="8836"/>
            </w:tabs>
            <w:spacing w:before="52"/>
            <w:ind w:hanging="375"/>
          </w:pPr>
          <w:hyperlink w:anchor="_TOC_250025" w:history="1">
            <w:r w:rsidR="00BC0563">
              <w:rPr>
                <w:color w:val="231F20"/>
              </w:rPr>
              <w:t>Future</w:t>
            </w:r>
            <w:r w:rsidR="00BC0563">
              <w:rPr>
                <w:color w:val="231F20"/>
                <w:spacing w:val="-27"/>
              </w:rPr>
              <w:t xml:space="preserve"> </w:t>
            </w:r>
            <w:r w:rsidR="00BC0563">
              <w:rPr>
                <w:color w:val="231F20"/>
              </w:rPr>
              <w:t>Prospects</w:t>
            </w:r>
            <w:r w:rsidR="00BC0563">
              <w:rPr>
                <w:color w:val="231F20"/>
                <w:spacing w:val="-27"/>
              </w:rPr>
              <w:t xml:space="preserve"> </w:t>
            </w:r>
            <w:r w:rsidR="00BC0563">
              <w:rPr>
                <w:color w:val="231F20"/>
              </w:rPr>
              <w:t>for</w:t>
            </w:r>
            <w:r w:rsidR="00BC0563">
              <w:rPr>
                <w:color w:val="231F20"/>
                <w:spacing w:val="-28"/>
              </w:rPr>
              <w:t xml:space="preserve"> </w:t>
            </w:r>
            <w:r w:rsidR="00BC0563">
              <w:rPr>
                <w:color w:val="231F20"/>
              </w:rPr>
              <w:t>SSHDP</w:t>
            </w:r>
            <w:r w:rsidR="00BC0563">
              <w:rPr>
                <w:color w:val="231F20"/>
                <w:spacing w:val="-31"/>
              </w:rPr>
              <w:t xml:space="preserve"> </w:t>
            </w:r>
            <w:r w:rsidR="00BC0563">
              <w:rPr>
                <w:color w:val="231F20"/>
              </w:rPr>
              <w:t>II</w:t>
            </w:r>
            <w:r w:rsidR="00BC0563">
              <w:rPr>
                <w:color w:val="231F20"/>
                <w:spacing w:val="-27"/>
              </w:rPr>
              <w:t xml:space="preserve"> </w:t>
            </w:r>
            <w:r w:rsidR="00BC0563">
              <w:rPr>
                <w:color w:val="231F20"/>
              </w:rPr>
              <w:t>(Recommendation)…</w:t>
            </w:r>
            <w:r w:rsidR="00BC0563">
              <w:rPr>
                <w:color w:val="231F20"/>
              </w:rPr>
              <w:tab/>
              <w:t>31</w:t>
            </w:r>
          </w:hyperlink>
        </w:p>
        <w:p w14:paraId="2660A3FF" w14:textId="77777777" w:rsidR="009948F1" w:rsidRDefault="00244DD0">
          <w:pPr>
            <w:pStyle w:val="TOC1"/>
            <w:ind w:left="133"/>
          </w:pPr>
          <w:hyperlink w:anchor="_TOC_250024" w:history="1">
            <w:r w:rsidR="00BC0563">
              <w:rPr>
                <w:color w:val="231F20"/>
              </w:rPr>
              <w:t>Chapter 3</w:t>
            </w:r>
          </w:hyperlink>
        </w:p>
        <w:p w14:paraId="64803B30" w14:textId="77777777" w:rsidR="009948F1" w:rsidRDefault="00244DD0">
          <w:pPr>
            <w:pStyle w:val="TOC2"/>
            <w:tabs>
              <w:tab w:val="right" w:leader="dot" w:pos="8763"/>
            </w:tabs>
            <w:ind w:left="133" w:firstLine="0"/>
          </w:pPr>
          <w:hyperlink w:anchor="_TOC_250023" w:history="1">
            <w:r w:rsidR="00BC0563">
              <w:rPr>
                <w:color w:val="231F20"/>
              </w:rPr>
              <w:t>Strategic</w:t>
            </w:r>
            <w:r w:rsidR="00BC0563">
              <w:rPr>
                <w:color w:val="231F20"/>
                <w:spacing w:val="-27"/>
              </w:rPr>
              <w:t xml:space="preserve"> </w:t>
            </w:r>
            <w:r w:rsidR="00BC0563">
              <w:rPr>
                <w:color w:val="231F20"/>
              </w:rPr>
              <w:t>Directions</w:t>
            </w:r>
            <w:r w:rsidR="00BC0563">
              <w:rPr>
                <w:color w:val="231F20"/>
                <w:spacing w:val="-28"/>
              </w:rPr>
              <w:t xml:space="preserve"> </w:t>
            </w:r>
            <w:r w:rsidR="00BC0563">
              <w:rPr>
                <w:color w:val="231F20"/>
              </w:rPr>
              <w:t>of</w:t>
            </w:r>
            <w:r w:rsidR="00BC0563">
              <w:rPr>
                <w:color w:val="231F20"/>
                <w:spacing w:val="-27"/>
              </w:rPr>
              <w:t xml:space="preserve"> </w:t>
            </w:r>
            <w:r w:rsidR="00BC0563">
              <w:rPr>
                <w:color w:val="231F20"/>
              </w:rPr>
              <w:t>the</w:t>
            </w:r>
            <w:r w:rsidR="00BC0563">
              <w:rPr>
                <w:color w:val="231F20"/>
                <w:spacing w:val="-27"/>
              </w:rPr>
              <w:t xml:space="preserve"> </w:t>
            </w:r>
            <w:r w:rsidR="00BC0563">
              <w:rPr>
                <w:color w:val="231F20"/>
              </w:rPr>
              <w:t>Plan…</w:t>
            </w:r>
            <w:r w:rsidR="00BC0563">
              <w:rPr>
                <w:color w:val="231F20"/>
              </w:rPr>
              <w:tab/>
              <w:t>32</w:t>
            </w:r>
          </w:hyperlink>
        </w:p>
        <w:p w14:paraId="266B7A34" w14:textId="77777777" w:rsidR="009948F1" w:rsidRDefault="00244DD0">
          <w:pPr>
            <w:pStyle w:val="TOC1"/>
            <w:ind w:left="133"/>
          </w:pPr>
          <w:hyperlink w:anchor="_TOC_250022" w:history="1">
            <w:r w:rsidR="00BC0563">
              <w:rPr>
                <w:color w:val="231F20"/>
              </w:rPr>
              <w:t>Chapter 4</w:t>
            </w:r>
          </w:hyperlink>
        </w:p>
        <w:p w14:paraId="043BE799" w14:textId="77777777" w:rsidR="009948F1" w:rsidRDefault="00BC0563">
          <w:pPr>
            <w:pStyle w:val="TOC2"/>
            <w:tabs>
              <w:tab w:val="right" w:leader="dot" w:pos="8791"/>
            </w:tabs>
            <w:ind w:left="133" w:firstLine="0"/>
          </w:pPr>
          <w:r>
            <w:rPr>
              <w:color w:val="231F20"/>
            </w:rPr>
            <w:t>Enabled</w:t>
          </w:r>
          <w:r>
            <w:rPr>
              <w:color w:val="231F20"/>
              <w:spacing w:val="-27"/>
            </w:rPr>
            <w:t xml:space="preserve"> </w:t>
          </w:r>
          <w:r>
            <w:rPr>
              <w:color w:val="231F20"/>
            </w:rPr>
            <w:t>Environment</w:t>
          </w:r>
          <w:r>
            <w:rPr>
              <w:color w:val="231F20"/>
              <w:spacing w:val="-28"/>
            </w:rPr>
            <w:t xml:space="preserve"> </w:t>
          </w:r>
          <w:r>
            <w:rPr>
              <w:color w:val="231F20"/>
            </w:rPr>
            <w:t>for</w:t>
          </w:r>
          <w:r>
            <w:rPr>
              <w:color w:val="231F20"/>
              <w:spacing w:val="-40"/>
            </w:rPr>
            <w:t xml:space="preserve"> </w:t>
          </w:r>
          <w:r>
            <w:rPr>
              <w:color w:val="231F20"/>
            </w:rPr>
            <w:t>Attainment</w:t>
          </w:r>
          <w:r>
            <w:rPr>
              <w:color w:val="231F20"/>
              <w:spacing w:val="-27"/>
            </w:rPr>
            <w:t xml:space="preserve"> </w:t>
          </w:r>
          <w:r>
            <w:rPr>
              <w:color w:val="231F20"/>
            </w:rPr>
            <w:t>of</w:t>
          </w:r>
          <w:r>
            <w:rPr>
              <w:color w:val="231F20"/>
              <w:spacing w:val="-27"/>
            </w:rPr>
            <w:t xml:space="preserve"> </w:t>
          </w:r>
          <w:r>
            <w:rPr>
              <w:color w:val="231F20"/>
            </w:rPr>
            <w:t>Sectoral</w:t>
          </w:r>
          <w:r>
            <w:rPr>
              <w:color w:val="231F20"/>
              <w:spacing w:val="-27"/>
            </w:rPr>
            <w:t xml:space="preserve"> </w:t>
          </w:r>
          <w:r>
            <w:rPr>
              <w:color w:val="231F20"/>
            </w:rPr>
            <w:t>Goals…</w:t>
          </w:r>
          <w:r>
            <w:rPr>
              <w:color w:val="231F20"/>
            </w:rPr>
            <w:tab/>
            <w:t>36</w:t>
          </w:r>
        </w:p>
        <w:p w14:paraId="09308FBC" w14:textId="77777777" w:rsidR="009948F1" w:rsidRDefault="00244DD0">
          <w:pPr>
            <w:pStyle w:val="TOC1"/>
            <w:ind w:left="133"/>
          </w:pPr>
          <w:hyperlink w:anchor="_TOC_250021" w:history="1">
            <w:r w:rsidR="00BC0563">
              <w:rPr>
                <w:color w:val="231F20"/>
              </w:rPr>
              <w:t>Chapter 5</w:t>
            </w:r>
          </w:hyperlink>
        </w:p>
        <w:p w14:paraId="2706C6C9" w14:textId="77777777" w:rsidR="009948F1" w:rsidRDefault="00BC0563">
          <w:pPr>
            <w:pStyle w:val="TOC2"/>
            <w:tabs>
              <w:tab w:val="right" w:leader="dot" w:pos="8750"/>
            </w:tabs>
            <w:spacing w:before="52"/>
            <w:ind w:left="133" w:firstLine="0"/>
          </w:pPr>
          <w:r>
            <w:rPr>
              <w:color w:val="231F20"/>
            </w:rPr>
            <w:t>Provision</w:t>
          </w:r>
          <w:r>
            <w:rPr>
              <w:color w:val="231F20"/>
              <w:spacing w:val="-28"/>
            </w:rPr>
            <w:t xml:space="preserve"> </w:t>
          </w:r>
          <w:r>
            <w:rPr>
              <w:color w:val="231F20"/>
            </w:rPr>
            <w:t>of</w:t>
          </w:r>
          <w:r>
            <w:rPr>
              <w:color w:val="231F20"/>
              <w:spacing w:val="-27"/>
            </w:rPr>
            <w:t xml:space="preserve"> </w:t>
          </w:r>
          <w:r>
            <w:rPr>
              <w:color w:val="231F20"/>
            </w:rPr>
            <w:t>Essential</w:t>
          </w:r>
          <w:r>
            <w:rPr>
              <w:color w:val="231F20"/>
              <w:spacing w:val="-27"/>
            </w:rPr>
            <w:t xml:space="preserve"> </w:t>
          </w:r>
          <w:r>
            <w:rPr>
              <w:color w:val="231F20"/>
            </w:rPr>
            <w:t>Package</w:t>
          </w:r>
          <w:r>
            <w:rPr>
              <w:color w:val="231F20"/>
              <w:spacing w:val="-27"/>
            </w:rPr>
            <w:t xml:space="preserve"> </w:t>
          </w:r>
          <w:r>
            <w:rPr>
              <w:color w:val="231F20"/>
            </w:rPr>
            <w:t>of</w:t>
          </w:r>
          <w:r>
            <w:rPr>
              <w:color w:val="231F20"/>
              <w:spacing w:val="-27"/>
            </w:rPr>
            <w:t xml:space="preserve"> </w:t>
          </w:r>
          <w:r>
            <w:rPr>
              <w:color w:val="231F20"/>
            </w:rPr>
            <w:t>Health</w:t>
          </w:r>
          <w:r>
            <w:rPr>
              <w:color w:val="231F20"/>
              <w:spacing w:val="-27"/>
            </w:rPr>
            <w:t xml:space="preserve"> </w:t>
          </w:r>
          <w:r>
            <w:rPr>
              <w:color w:val="231F20"/>
            </w:rPr>
            <w:t>Care</w:t>
          </w:r>
          <w:r>
            <w:rPr>
              <w:color w:val="231F20"/>
              <w:spacing w:val="-27"/>
            </w:rPr>
            <w:t xml:space="preserve"> </w:t>
          </w:r>
          <w:r>
            <w:rPr>
              <w:color w:val="231F20"/>
            </w:rPr>
            <w:t>Services…</w:t>
          </w:r>
          <w:r>
            <w:rPr>
              <w:color w:val="231F20"/>
            </w:rPr>
            <w:tab/>
            <w:t>45</w:t>
          </w:r>
        </w:p>
        <w:p w14:paraId="4A04DC4B" w14:textId="77777777" w:rsidR="009948F1" w:rsidRDefault="00244DD0">
          <w:pPr>
            <w:pStyle w:val="TOC1"/>
            <w:ind w:left="133"/>
          </w:pPr>
          <w:hyperlink w:anchor="_TOC_250020" w:history="1">
            <w:r w:rsidR="00BC0563">
              <w:rPr>
                <w:color w:val="231F20"/>
              </w:rPr>
              <w:t>Chapter 6</w:t>
            </w:r>
          </w:hyperlink>
        </w:p>
        <w:p w14:paraId="378409D4" w14:textId="77777777" w:rsidR="009948F1" w:rsidRDefault="00BC0563">
          <w:pPr>
            <w:pStyle w:val="TOC2"/>
            <w:tabs>
              <w:tab w:val="right" w:leader="dot" w:pos="8776"/>
            </w:tabs>
            <w:spacing w:after="131"/>
            <w:ind w:left="133" w:firstLine="0"/>
          </w:pPr>
          <w:r>
            <w:rPr>
              <w:color w:val="231F20"/>
            </w:rPr>
            <w:t>Health</w:t>
          </w:r>
          <w:r>
            <w:rPr>
              <w:color w:val="231F20"/>
              <w:spacing w:val="-27"/>
            </w:rPr>
            <w:t xml:space="preserve"> </w:t>
          </w:r>
          <w:r>
            <w:rPr>
              <w:color w:val="231F20"/>
            </w:rPr>
            <w:t>System</w:t>
          </w:r>
          <w:r>
            <w:rPr>
              <w:color w:val="231F20"/>
              <w:spacing w:val="-27"/>
            </w:rPr>
            <w:t xml:space="preserve"> </w:t>
          </w:r>
          <w:r>
            <w:rPr>
              <w:color w:val="231F20"/>
            </w:rPr>
            <w:t>Support…</w:t>
          </w:r>
          <w:r>
            <w:rPr>
              <w:color w:val="231F20"/>
            </w:rPr>
            <w:tab/>
            <w:t>75</w:t>
          </w:r>
        </w:p>
        <w:p w14:paraId="5F79E906" w14:textId="77777777" w:rsidR="009948F1" w:rsidRDefault="00244DD0">
          <w:pPr>
            <w:pStyle w:val="TOC3"/>
            <w:spacing w:before="44"/>
          </w:pPr>
          <w:hyperlink w:anchor="_TOC_250019" w:history="1">
            <w:bookmarkStart w:id="2" w:name="Page_3"/>
            <w:bookmarkEnd w:id="2"/>
            <w:r w:rsidR="00BC0563">
              <w:rPr>
                <w:color w:val="231F20"/>
              </w:rPr>
              <w:t>Chapter 7</w:t>
            </w:r>
          </w:hyperlink>
        </w:p>
        <w:p w14:paraId="62ED714E" w14:textId="77777777" w:rsidR="009948F1" w:rsidRDefault="00BC0563">
          <w:pPr>
            <w:pStyle w:val="TOC4"/>
            <w:tabs>
              <w:tab w:val="left" w:leader="dot" w:pos="8572"/>
            </w:tabs>
            <w:spacing w:before="34"/>
          </w:pPr>
          <w:r>
            <w:rPr>
              <w:color w:val="231F20"/>
            </w:rPr>
            <w:t>Protection</w:t>
          </w:r>
          <w:r>
            <w:rPr>
              <w:color w:val="231F20"/>
              <w:spacing w:val="-28"/>
            </w:rPr>
            <w:t xml:space="preserve"> </w:t>
          </w:r>
          <w:r>
            <w:rPr>
              <w:color w:val="231F20"/>
            </w:rPr>
            <w:t>from</w:t>
          </w:r>
          <w:r>
            <w:rPr>
              <w:color w:val="231F20"/>
              <w:spacing w:val="-27"/>
            </w:rPr>
            <w:t xml:space="preserve"> </w:t>
          </w:r>
          <w:r>
            <w:rPr>
              <w:color w:val="231F20"/>
            </w:rPr>
            <w:t>Public</w:t>
          </w:r>
          <w:r>
            <w:rPr>
              <w:color w:val="231F20"/>
              <w:spacing w:val="-27"/>
            </w:rPr>
            <w:t xml:space="preserve"> </w:t>
          </w:r>
          <w:r>
            <w:rPr>
              <w:color w:val="231F20"/>
            </w:rPr>
            <w:t>Health</w:t>
          </w:r>
          <w:r>
            <w:rPr>
              <w:color w:val="231F20"/>
              <w:spacing w:val="-27"/>
            </w:rPr>
            <w:t xml:space="preserve"> </w:t>
          </w:r>
          <w:r>
            <w:rPr>
              <w:color w:val="231F20"/>
            </w:rPr>
            <w:t>Emergencies</w:t>
          </w:r>
          <w:r>
            <w:rPr>
              <w:color w:val="231F20"/>
              <w:spacing w:val="-27"/>
            </w:rPr>
            <w:t xml:space="preserve"> </w:t>
          </w:r>
          <w:r>
            <w:rPr>
              <w:color w:val="231F20"/>
            </w:rPr>
            <w:t>and</w:t>
          </w:r>
          <w:r>
            <w:rPr>
              <w:color w:val="231F20"/>
              <w:spacing w:val="-27"/>
            </w:rPr>
            <w:t xml:space="preserve"> </w:t>
          </w:r>
          <w:r>
            <w:rPr>
              <w:color w:val="231F20"/>
            </w:rPr>
            <w:t>Risks…</w:t>
          </w:r>
          <w:r>
            <w:rPr>
              <w:color w:val="231F20"/>
            </w:rPr>
            <w:tab/>
            <w:t>88</w:t>
          </w:r>
        </w:p>
        <w:p w14:paraId="4A20AD47" w14:textId="77777777" w:rsidR="009948F1" w:rsidRDefault="00244DD0">
          <w:pPr>
            <w:pStyle w:val="TOC3"/>
            <w:spacing w:before="342"/>
          </w:pPr>
          <w:hyperlink w:anchor="_TOC_250018" w:history="1">
            <w:r w:rsidR="00BC0563">
              <w:rPr>
                <w:color w:val="231F20"/>
              </w:rPr>
              <w:t>Chapter 8</w:t>
            </w:r>
          </w:hyperlink>
        </w:p>
        <w:p w14:paraId="62A464DE" w14:textId="77777777" w:rsidR="009948F1" w:rsidRDefault="00BC0563">
          <w:pPr>
            <w:pStyle w:val="TOC4"/>
            <w:tabs>
              <w:tab w:val="left" w:leader="dot" w:pos="8597"/>
            </w:tabs>
            <w:spacing w:before="34"/>
          </w:pPr>
          <w:r>
            <w:rPr>
              <w:color w:val="231F20"/>
            </w:rPr>
            <w:t>Health</w:t>
          </w:r>
          <w:r>
            <w:rPr>
              <w:color w:val="231F20"/>
              <w:spacing w:val="-28"/>
            </w:rPr>
            <w:t xml:space="preserve"> </w:t>
          </w:r>
          <w:r>
            <w:rPr>
              <w:color w:val="231F20"/>
            </w:rPr>
            <w:t>Financing</w:t>
          </w:r>
          <w:r>
            <w:rPr>
              <w:color w:val="231F20"/>
            </w:rPr>
            <w:tab/>
            <w:t>91</w:t>
          </w:r>
        </w:p>
        <w:p w14:paraId="57BE7DF3" w14:textId="77777777" w:rsidR="009948F1" w:rsidRDefault="00244DD0">
          <w:pPr>
            <w:pStyle w:val="TOC3"/>
            <w:spacing w:before="391"/>
          </w:pPr>
          <w:hyperlink w:anchor="_TOC_250017" w:history="1">
            <w:r w:rsidR="00BC0563">
              <w:rPr>
                <w:color w:val="231F20"/>
              </w:rPr>
              <w:t>Chapter 9</w:t>
            </w:r>
          </w:hyperlink>
        </w:p>
        <w:p w14:paraId="41F2C34C" w14:textId="77777777" w:rsidR="009948F1" w:rsidRDefault="00244DD0">
          <w:pPr>
            <w:pStyle w:val="TOC4"/>
            <w:tabs>
              <w:tab w:val="left" w:leader="dot" w:pos="8490"/>
            </w:tabs>
            <w:spacing w:before="81"/>
          </w:pPr>
          <w:hyperlink w:anchor="_TOC_250016" w:history="1">
            <w:r w:rsidR="00BC0563">
              <w:rPr>
                <w:color w:val="231F20"/>
              </w:rPr>
              <w:t>Resource</w:t>
            </w:r>
            <w:r w:rsidR="00BC0563">
              <w:rPr>
                <w:color w:val="231F20"/>
                <w:spacing w:val="-28"/>
              </w:rPr>
              <w:t xml:space="preserve"> </w:t>
            </w:r>
            <w:r w:rsidR="00BC0563">
              <w:rPr>
                <w:color w:val="231F20"/>
              </w:rPr>
              <w:t>Requirements…</w:t>
            </w:r>
            <w:r w:rsidR="00BC0563">
              <w:rPr>
                <w:color w:val="231F20"/>
              </w:rPr>
              <w:tab/>
              <w:t>95</w:t>
            </w:r>
          </w:hyperlink>
        </w:p>
        <w:p w14:paraId="193B034B" w14:textId="77777777" w:rsidR="009948F1" w:rsidRDefault="00244DD0">
          <w:pPr>
            <w:pStyle w:val="TOC4"/>
            <w:numPr>
              <w:ilvl w:val="1"/>
              <w:numId w:val="328"/>
            </w:numPr>
            <w:tabs>
              <w:tab w:val="left" w:pos="543"/>
              <w:tab w:val="left" w:leader="dot" w:pos="8516"/>
            </w:tabs>
            <w:spacing w:before="82"/>
            <w:ind w:hanging="375"/>
          </w:pPr>
          <w:hyperlink w:anchor="_TOC_250015" w:history="1">
            <w:r w:rsidR="00BC0563">
              <w:rPr>
                <w:color w:val="231F20"/>
              </w:rPr>
              <w:t>Human…</w:t>
            </w:r>
            <w:r w:rsidR="00BC0563">
              <w:rPr>
                <w:color w:val="231F20"/>
              </w:rPr>
              <w:tab/>
              <w:t>95</w:t>
            </w:r>
          </w:hyperlink>
        </w:p>
        <w:p w14:paraId="07FA0F12" w14:textId="77777777" w:rsidR="009948F1" w:rsidRDefault="00244DD0">
          <w:pPr>
            <w:pStyle w:val="TOC4"/>
            <w:numPr>
              <w:ilvl w:val="1"/>
              <w:numId w:val="328"/>
            </w:numPr>
            <w:tabs>
              <w:tab w:val="left" w:pos="543"/>
              <w:tab w:val="left" w:leader="dot" w:pos="8503"/>
            </w:tabs>
            <w:spacing w:before="82"/>
            <w:ind w:hanging="375"/>
          </w:pPr>
          <w:hyperlink w:anchor="_TOC_250014" w:history="1">
            <w:r w:rsidR="00BC0563">
              <w:rPr>
                <w:color w:val="231F20"/>
              </w:rPr>
              <w:t>Physical/Materials…</w:t>
            </w:r>
            <w:r w:rsidR="00BC0563">
              <w:rPr>
                <w:color w:val="231F20"/>
              </w:rPr>
              <w:tab/>
              <w:t>95</w:t>
            </w:r>
          </w:hyperlink>
        </w:p>
        <w:p w14:paraId="1F20C935" w14:textId="77777777" w:rsidR="009948F1" w:rsidRDefault="00244DD0">
          <w:pPr>
            <w:pStyle w:val="TOC4"/>
            <w:numPr>
              <w:ilvl w:val="1"/>
              <w:numId w:val="328"/>
            </w:numPr>
            <w:tabs>
              <w:tab w:val="left" w:pos="543"/>
              <w:tab w:val="left" w:leader="dot" w:pos="8489"/>
            </w:tabs>
            <w:spacing w:before="82"/>
            <w:ind w:hanging="375"/>
          </w:pPr>
          <w:hyperlink w:anchor="_TOC_250013" w:history="1">
            <w:r w:rsidR="00BC0563">
              <w:rPr>
                <w:color w:val="231F20"/>
              </w:rPr>
              <w:t>Financial…</w:t>
            </w:r>
            <w:r w:rsidR="00BC0563">
              <w:rPr>
                <w:color w:val="231F20"/>
              </w:rPr>
              <w:tab/>
              <w:t>95</w:t>
            </w:r>
          </w:hyperlink>
        </w:p>
        <w:p w14:paraId="47D3BB6A" w14:textId="77777777" w:rsidR="009948F1" w:rsidRDefault="00244DD0">
          <w:pPr>
            <w:pStyle w:val="TOC3"/>
            <w:spacing w:before="439"/>
          </w:pPr>
          <w:hyperlink w:anchor="_TOC_250012" w:history="1">
            <w:r w:rsidR="00BC0563">
              <w:rPr>
                <w:color w:val="231F20"/>
              </w:rPr>
              <w:t>Chapter 10</w:t>
            </w:r>
          </w:hyperlink>
        </w:p>
        <w:p w14:paraId="20C99E16" w14:textId="77777777" w:rsidR="009948F1" w:rsidRDefault="00244DD0">
          <w:pPr>
            <w:pStyle w:val="TOC4"/>
            <w:tabs>
              <w:tab w:val="left" w:leader="dot" w:pos="8544"/>
            </w:tabs>
            <w:spacing w:before="82"/>
          </w:pPr>
          <w:hyperlink w:anchor="_TOC_250011" w:history="1">
            <w:r w:rsidR="00BC0563">
              <w:rPr>
                <w:color w:val="231F20"/>
              </w:rPr>
              <w:t>Financing</w:t>
            </w:r>
            <w:r w:rsidR="00BC0563">
              <w:rPr>
                <w:color w:val="231F20"/>
                <w:spacing w:val="-28"/>
              </w:rPr>
              <w:t xml:space="preserve"> </w:t>
            </w:r>
            <w:r w:rsidR="00BC0563">
              <w:rPr>
                <w:color w:val="231F20"/>
              </w:rPr>
              <w:t>Plan…</w:t>
            </w:r>
            <w:r w:rsidR="00BC0563">
              <w:rPr>
                <w:color w:val="231F20"/>
              </w:rPr>
              <w:tab/>
              <w:t>97</w:t>
            </w:r>
          </w:hyperlink>
        </w:p>
        <w:p w14:paraId="71C27DE4" w14:textId="77777777" w:rsidR="009948F1" w:rsidRDefault="00BC0563">
          <w:pPr>
            <w:pStyle w:val="TOC4"/>
            <w:numPr>
              <w:ilvl w:val="1"/>
              <w:numId w:val="327"/>
            </w:numPr>
            <w:tabs>
              <w:tab w:val="left" w:pos="677"/>
              <w:tab w:val="left" w:leader="dot" w:pos="8517"/>
            </w:tabs>
            <w:ind w:hanging="509"/>
          </w:pPr>
          <w:r>
            <w:rPr>
              <w:color w:val="231F20"/>
            </w:rPr>
            <w:t>Costing</w:t>
          </w:r>
          <w:r>
            <w:rPr>
              <w:color w:val="231F20"/>
              <w:spacing w:val="-28"/>
            </w:rPr>
            <w:t xml:space="preserve"> </w:t>
          </w:r>
          <w:r>
            <w:rPr>
              <w:color w:val="231F20"/>
            </w:rPr>
            <w:t>Methodology</w:t>
          </w:r>
          <w:r>
            <w:rPr>
              <w:color w:val="231F20"/>
            </w:rPr>
            <w:tab/>
            <w:t>97</w:t>
          </w:r>
        </w:p>
        <w:p w14:paraId="4D64941B" w14:textId="77777777" w:rsidR="009948F1" w:rsidRDefault="00244DD0">
          <w:pPr>
            <w:pStyle w:val="TOC4"/>
            <w:numPr>
              <w:ilvl w:val="1"/>
              <w:numId w:val="327"/>
            </w:numPr>
            <w:tabs>
              <w:tab w:val="left" w:pos="677"/>
              <w:tab w:val="left" w:leader="dot" w:pos="8487"/>
            </w:tabs>
            <w:spacing w:before="52"/>
            <w:ind w:hanging="509"/>
          </w:pPr>
          <w:hyperlink w:anchor="_TOC_250010" w:history="1">
            <w:r w:rsidR="00BC0563">
              <w:rPr>
                <w:color w:val="231F20"/>
              </w:rPr>
              <w:t>Costing</w:t>
            </w:r>
            <w:r w:rsidR="00BC0563">
              <w:rPr>
                <w:color w:val="231F20"/>
                <w:spacing w:val="-28"/>
              </w:rPr>
              <w:t xml:space="preserve"> </w:t>
            </w:r>
            <w:r w:rsidR="00BC0563">
              <w:rPr>
                <w:color w:val="231F20"/>
              </w:rPr>
              <w:t>Scenarios</w:t>
            </w:r>
            <w:r w:rsidR="00BC0563">
              <w:rPr>
                <w:color w:val="231F20"/>
                <w:spacing w:val="-27"/>
              </w:rPr>
              <w:t xml:space="preserve"> </w:t>
            </w:r>
            <w:r w:rsidR="00BC0563">
              <w:rPr>
                <w:color w:val="231F20"/>
              </w:rPr>
              <w:t>and</w:t>
            </w:r>
            <w:r w:rsidR="00BC0563">
              <w:rPr>
                <w:color w:val="231F20"/>
                <w:spacing w:val="-40"/>
              </w:rPr>
              <w:t xml:space="preserve"> </w:t>
            </w:r>
            <w:r w:rsidR="00BC0563">
              <w:rPr>
                <w:color w:val="231F20"/>
              </w:rPr>
              <w:t>Assumptions</w:t>
            </w:r>
            <w:r w:rsidR="00BC0563">
              <w:rPr>
                <w:color w:val="231F20"/>
                <w:spacing w:val="-27"/>
              </w:rPr>
              <w:t xml:space="preserve"> </w:t>
            </w:r>
            <w:r w:rsidR="00BC0563">
              <w:rPr>
                <w:color w:val="231F20"/>
              </w:rPr>
              <w:t>for</w:t>
            </w:r>
            <w:r w:rsidR="00BC0563">
              <w:rPr>
                <w:color w:val="231F20"/>
                <w:spacing w:val="-27"/>
              </w:rPr>
              <w:t xml:space="preserve"> </w:t>
            </w:r>
            <w:r w:rsidR="00BC0563">
              <w:rPr>
                <w:color w:val="231F20"/>
              </w:rPr>
              <w:t>SSHDP</w:t>
            </w:r>
            <w:r w:rsidR="00BC0563">
              <w:rPr>
                <w:color w:val="231F20"/>
                <w:spacing w:val="-31"/>
              </w:rPr>
              <w:t xml:space="preserve"> </w:t>
            </w:r>
            <w:r w:rsidR="00BC0563">
              <w:rPr>
                <w:color w:val="231F20"/>
              </w:rPr>
              <w:t>II…</w:t>
            </w:r>
            <w:r w:rsidR="00BC0563">
              <w:rPr>
                <w:color w:val="231F20"/>
              </w:rPr>
              <w:tab/>
              <w:t>99</w:t>
            </w:r>
          </w:hyperlink>
        </w:p>
        <w:p w14:paraId="2692A873" w14:textId="77777777" w:rsidR="009948F1" w:rsidRDefault="00244DD0">
          <w:pPr>
            <w:pStyle w:val="TOC4"/>
            <w:numPr>
              <w:ilvl w:val="1"/>
              <w:numId w:val="327"/>
            </w:numPr>
            <w:tabs>
              <w:tab w:val="left" w:pos="703"/>
              <w:tab w:val="left" w:leader="dot" w:pos="8411"/>
            </w:tabs>
            <w:ind w:left="702" w:hanging="535"/>
          </w:pPr>
          <w:hyperlink w:anchor="_TOC_250009" w:history="1">
            <w:r w:rsidR="00BC0563">
              <w:rPr>
                <w:color w:val="231F20"/>
              </w:rPr>
              <w:t>Costs and Impact</w:t>
            </w:r>
            <w:r w:rsidR="00BC0563">
              <w:rPr>
                <w:color w:val="231F20"/>
                <w:spacing w:val="-1"/>
              </w:rPr>
              <w:t xml:space="preserve"> </w:t>
            </w:r>
            <w:r w:rsidR="00BC0563">
              <w:rPr>
                <w:color w:val="231F20"/>
              </w:rPr>
              <w:t>of Scaling-up</w:t>
            </w:r>
            <w:r w:rsidR="00BC0563">
              <w:rPr>
                <w:color w:val="231F20"/>
              </w:rPr>
              <w:tab/>
              <w:t>101</w:t>
            </w:r>
          </w:hyperlink>
        </w:p>
        <w:p w14:paraId="6355190B" w14:textId="77777777" w:rsidR="009948F1" w:rsidRDefault="00244DD0">
          <w:pPr>
            <w:pStyle w:val="TOC4"/>
            <w:numPr>
              <w:ilvl w:val="1"/>
              <w:numId w:val="327"/>
            </w:numPr>
            <w:tabs>
              <w:tab w:val="left" w:pos="676"/>
              <w:tab w:val="left" w:leader="dot" w:pos="8397"/>
            </w:tabs>
            <w:spacing w:before="52"/>
            <w:ind w:left="675"/>
          </w:pPr>
          <w:hyperlink w:anchor="_TOC_250008" w:history="1">
            <w:r w:rsidR="00BC0563">
              <w:rPr>
                <w:color w:val="231F20"/>
              </w:rPr>
              <w:t>Health System</w:t>
            </w:r>
            <w:r w:rsidR="00BC0563">
              <w:rPr>
                <w:color w:val="231F20"/>
                <w:spacing w:val="-55"/>
              </w:rPr>
              <w:t xml:space="preserve"> </w:t>
            </w:r>
            <w:r w:rsidR="00BC0563">
              <w:rPr>
                <w:color w:val="231F20"/>
              </w:rPr>
              <w:t>Capacity/Utilization</w:t>
            </w:r>
            <w:r w:rsidR="00BC0563">
              <w:rPr>
                <w:color w:val="231F20"/>
                <w:spacing w:val="-40"/>
              </w:rPr>
              <w:t xml:space="preserve"> </w:t>
            </w:r>
            <w:r w:rsidR="00BC0563">
              <w:rPr>
                <w:color w:val="231F20"/>
              </w:rPr>
              <w:t>Analysis…</w:t>
            </w:r>
            <w:r w:rsidR="00BC0563">
              <w:rPr>
                <w:color w:val="231F20"/>
              </w:rPr>
              <w:tab/>
              <w:t>107</w:t>
            </w:r>
          </w:hyperlink>
        </w:p>
        <w:p w14:paraId="52AEAFF5" w14:textId="77777777" w:rsidR="009948F1" w:rsidRDefault="00BC0563">
          <w:pPr>
            <w:pStyle w:val="TOC4"/>
            <w:numPr>
              <w:ilvl w:val="1"/>
              <w:numId w:val="327"/>
            </w:numPr>
            <w:tabs>
              <w:tab w:val="left" w:pos="676"/>
              <w:tab w:val="left" w:leader="dot" w:pos="8398"/>
            </w:tabs>
            <w:ind w:left="675"/>
          </w:pPr>
          <w:r>
            <w:rPr>
              <w:color w:val="231F20"/>
            </w:rPr>
            <w:t>Sustainable/Financing</w:t>
          </w:r>
          <w:r>
            <w:rPr>
              <w:color w:val="231F20"/>
              <w:spacing w:val="-28"/>
            </w:rPr>
            <w:t xml:space="preserve"> </w:t>
          </w:r>
          <w:r>
            <w:rPr>
              <w:color w:val="231F20"/>
            </w:rPr>
            <w:t>Gap</w:t>
          </w:r>
          <w:r>
            <w:rPr>
              <w:color w:val="231F20"/>
              <w:spacing w:val="-40"/>
            </w:rPr>
            <w:t xml:space="preserve"> </w:t>
          </w:r>
          <w:r>
            <w:rPr>
              <w:color w:val="231F20"/>
            </w:rPr>
            <w:t>Analysis</w:t>
          </w:r>
          <w:r>
            <w:rPr>
              <w:color w:val="231F20"/>
            </w:rPr>
            <w:tab/>
            <w:t>108</w:t>
          </w:r>
        </w:p>
        <w:p w14:paraId="12A1389A" w14:textId="77777777" w:rsidR="009948F1" w:rsidRDefault="00244DD0">
          <w:pPr>
            <w:pStyle w:val="TOC4"/>
            <w:numPr>
              <w:ilvl w:val="1"/>
              <w:numId w:val="327"/>
            </w:numPr>
            <w:tabs>
              <w:tab w:val="left" w:pos="676"/>
              <w:tab w:val="left" w:leader="dot" w:pos="8397"/>
            </w:tabs>
            <w:spacing w:before="52"/>
            <w:ind w:left="675"/>
          </w:pPr>
          <w:hyperlink w:anchor="_TOC_250007" w:history="1">
            <w:r w:rsidR="00BC0563">
              <w:rPr>
                <w:color w:val="231F20"/>
              </w:rPr>
              <w:t>Bridging the</w:t>
            </w:r>
            <w:r w:rsidR="00BC0563">
              <w:rPr>
                <w:color w:val="231F20"/>
                <w:spacing w:val="-55"/>
              </w:rPr>
              <w:t xml:space="preserve"> </w:t>
            </w:r>
            <w:r w:rsidR="00BC0563">
              <w:rPr>
                <w:color w:val="231F20"/>
              </w:rPr>
              <w:t>Resource</w:t>
            </w:r>
            <w:r w:rsidR="00BC0563">
              <w:rPr>
                <w:color w:val="231F20"/>
                <w:spacing w:val="-27"/>
              </w:rPr>
              <w:t xml:space="preserve"> </w:t>
            </w:r>
            <w:r w:rsidR="00BC0563">
              <w:rPr>
                <w:color w:val="231F20"/>
              </w:rPr>
              <w:t>Gap</w:t>
            </w:r>
            <w:r w:rsidR="00BC0563">
              <w:rPr>
                <w:color w:val="231F20"/>
              </w:rPr>
              <w:tab/>
            </w:r>
            <w:r w:rsidR="00BC0563">
              <w:rPr>
                <w:color w:val="231F20"/>
                <w:spacing w:val="-6"/>
              </w:rPr>
              <w:t>110</w:t>
            </w:r>
          </w:hyperlink>
        </w:p>
        <w:p w14:paraId="4E052351" w14:textId="77777777" w:rsidR="009948F1" w:rsidRDefault="00244DD0">
          <w:pPr>
            <w:pStyle w:val="TOC4"/>
            <w:numPr>
              <w:ilvl w:val="1"/>
              <w:numId w:val="327"/>
            </w:numPr>
            <w:tabs>
              <w:tab w:val="left" w:pos="676"/>
              <w:tab w:val="left" w:leader="dot" w:pos="8398"/>
            </w:tabs>
            <w:ind w:left="675"/>
          </w:pPr>
          <w:hyperlink w:anchor="_TOC_250006" w:history="1">
            <w:r w:rsidR="00BC0563">
              <w:rPr>
                <w:color w:val="231F20"/>
              </w:rPr>
              <w:t>Conclusions</w:t>
            </w:r>
            <w:r w:rsidR="00BC0563">
              <w:rPr>
                <w:color w:val="231F20"/>
                <w:spacing w:val="-28"/>
              </w:rPr>
              <w:t xml:space="preserve"> </w:t>
            </w:r>
            <w:r w:rsidR="00BC0563">
              <w:rPr>
                <w:color w:val="231F20"/>
              </w:rPr>
              <w:t>and</w:t>
            </w:r>
            <w:r w:rsidR="00BC0563">
              <w:rPr>
                <w:color w:val="231F20"/>
                <w:spacing w:val="-27"/>
              </w:rPr>
              <w:t xml:space="preserve"> </w:t>
            </w:r>
            <w:r w:rsidR="00BC0563">
              <w:rPr>
                <w:color w:val="231F20"/>
              </w:rPr>
              <w:t>Recommendations</w:t>
            </w:r>
            <w:r w:rsidR="00BC0563">
              <w:rPr>
                <w:color w:val="231F20"/>
              </w:rPr>
              <w:tab/>
            </w:r>
            <w:r w:rsidR="00BC0563">
              <w:rPr>
                <w:color w:val="231F20"/>
                <w:spacing w:val="-13"/>
              </w:rPr>
              <w:t>111</w:t>
            </w:r>
          </w:hyperlink>
        </w:p>
        <w:p w14:paraId="3628BD2F" w14:textId="77777777" w:rsidR="009948F1" w:rsidRDefault="00244DD0">
          <w:pPr>
            <w:pStyle w:val="TOC3"/>
          </w:pPr>
          <w:hyperlink w:anchor="_TOC_250005" w:history="1">
            <w:r w:rsidR="00BC0563">
              <w:rPr>
                <w:color w:val="231F20"/>
              </w:rPr>
              <w:t>Chapter 11</w:t>
            </w:r>
          </w:hyperlink>
        </w:p>
        <w:p w14:paraId="53EE76FC" w14:textId="77777777" w:rsidR="009948F1" w:rsidRDefault="00BC0563">
          <w:pPr>
            <w:pStyle w:val="TOC4"/>
            <w:tabs>
              <w:tab w:val="left" w:leader="dot" w:pos="8397"/>
            </w:tabs>
            <w:spacing w:before="52"/>
          </w:pPr>
          <w:r>
            <w:rPr>
              <w:color w:val="231F20"/>
            </w:rPr>
            <w:t>Implementation</w:t>
          </w:r>
          <w:r>
            <w:rPr>
              <w:color w:val="231F20"/>
              <w:spacing w:val="-28"/>
            </w:rPr>
            <w:t xml:space="preserve"> </w:t>
          </w:r>
          <w:r>
            <w:rPr>
              <w:color w:val="231F20"/>
            </w:rPr>
            <w:t>Framework…</w:t>
          </w:r>
          <w:r>
            <w:rPr>
              <w:color w:val="231F20"/>
            </w:rPr>
            <w:tab/>
          </w:r>
          <w:r>
            <w:rPr>
              <w:color w:val="231F20"/>
              <w:spacing w:val="-7"/>
            </w:rPr>
            <w:t>113</w:t>
          </w:r>
        </w:p>
        <w:p w14:paraId="7E578340" w14:textId="77777777" w:rsidR="009948F1" w:rsidRDefault="00244DD0">
          <w:pPr>
            <w:pStyle w:val="TOC3"/>
          </w:pPr>
          <w:hyperlink w:anchor="_TOC_250004" w:history="1">
            <w:r w:rsidR="00BC0563">
              <w:rPr>
                <w:color w:val="231F20"/>
              </w:rPr>
              <w:t>Chapter 12</w:t>
            </w:r>
          </w:hyperlink>
        </w:p>
        <w:p w14:paraId="7E53290E" w14:textId="77777777" w:rsidR="009948F1" w:rsidRDefault="00244DD0">
          <w:pPr>
            <w:pStyle w:val="TOC4"/>
            <w:tabs>
              <w:tab w:val="left" w:leader="dot" w:pos="8411"/>
            </w:tabs>
          </w:pPr>
          <w:hyperlink w:anchor="_TOC_250003" w:history="1">
            <w:r w:rsidR="00BC0563">
              <w:rPr>
                <w:color w:val="231F20"/>
              </w:rPr>
              <w:t>Monitoring</w:t>
            </w:r>
            <w:r w:rsidR="00BC0563">
              <w:rPr>
                <w:color w:val="231F20"/>
                <w:spacing w:val="-28"/>
              </w:rPr>
              <w:t xml:space="preserve"> </w:t>
            </w:r>
            <w:r w:rsidR="00BC0563">
              <w:rPr>
                <w:color w:val="231F20"/>
              </w:rPr>
              <w:t>and</w:t>
            </w:r>
            <w:r w:rsidR="00BC0563">
              <w:rPr>
                <w:color w:val="231F20"/>
                <w:spacing w:val="-27"/>
              </w:rPr>
              <w:t xml:space="preserve"> </w:t>
            </w:r>
            <w:r w:rsidR="00BC0563">
              <w:rPr>
                <w:color w:val="231F20"/>
              </w:rPr>
              <w:t>Evaluation</w:t>
            </w:r>
            <w:r w:rsidR="00BC0563">
              <w:rPr>
                <w:color w:val="231F20"/>
              </w:rPr>
              <w:tab/>
            </w:r>
            <w:r w:rsidR="00BC0563">
              <w:rPr>
                <w:color w:val="231F20"/>
                <w:spacing w:val="-7"/>
              </w:rPr>
              <w:t>114</w:t>
            </w:r>
          </w:hyperlink>
        </w:p>
        <w:p w14:paraId="575AF333" w14:textId="77777777" w:rsidR="009948F1" w:rsidRDefault="00244DD0">
          <w:pPr>
            <w:pStyle w:val="TOC3"/>
          </w:pPr>
          <w:hyperlink w:anchor="_TOC_250002" w:history="1">
            <w:r w:rsidR="00BC0563">
              <w:rPr>
                <w:color w:val="231F20"/>
              </w:rPr>
              <w:t>Chapter 13</w:t>
            </w:r>
          </w:hyperlink>
        </w:p>
        <w:p w14:paraId="5730C1C5" w14:textId="77777777" w:rsidR="009948F1" w:rsidRDefault="00244DD0">
          <w:pPr>
            <w:pStyle w:val="TOC4"/>
            <w:tabs>
              <w:tab w:val="left" w:leader="dot" w:pos="8423"/>
            </w:tabs>
            <w:spacing w:before="52"/>
          </w:pPr>
          <w:hyperlink w:anchor="_TOC_250001" w:history="1">
            <w:r w:rsidR="00BC0563">
              <w:rPr>
                <w:color w:val="231F20"/>
              </w:rPr>
              <w:t>Conclusion</w:t>
            </w:r>
            <w:r w:rsidR="00BC0563">
              <w:rPr>
                <w:color w:val="231F20"/>
              </w:rPr>
              <w:tab/>
            </w:r>
            <w:r w:rsidR="00BC0563">
              <w:rPr>
                <w:color w:val="231F20"/>
                <w:spacing w:val="-7"/>
              </w:rPr>
              <w:t>116</w:t>
            </w:r>
          </w:hyperlink>
        </w:p>
        <w:p w14:paraId="04867F08" w14:textId="77777777" w:rsidR="009948F1" w:rsidRDefault="00244DD0">
          <w:pPr>
            <w:pStyle w:val="TOC5"/>
            <w:tabs>
              <w:tab w:val="left" w:leader="dot" w:pos="8382"/>
            </w:tabs>
            <w:rPr>
              <w:b w:val="0"/>
              <w:i w:val="0"/>
              <w:sz w:val="24"/>
            </w:rPr>
          </w:pPr>
          <w:hyperlink w:anchor="_TOC_250000" w:history="1">
            <w:r w:rsidR="00BC0563">
              <w:rPr>
                <w:i w:val="0"/>
                <w:color w:val="231F20"/>
                <w:sz w:val="24"/>
              </w:rPr>
              <w:t>Appendices</w:t>
            </w:r>
            <w:r w:rsidR="00BC0563">
              <w:rPr>
                <w:i w:val="0"/>
                <w:color w:val="231F20"/>
                <w:sz w:val="24"/>
              </w:rPr>
              <w:tab/>
            </w:r>
            <w:r w:rsidR="00BC0563">
              <w:rPr>
                <w:b w:val="0"/>
                <w:i w:val="0"/>
                <w:color w:val="231F20"/>
                <w:spacing w:val="-6"/>
                <w:sz w:val="24"/>
              </w:rPr>
              <w:t>117</w:t>
            </w:r>
          </w:hyperlink>
        </w:p>
        <w:p w14:paraId="36C40EED" w14:textId="77777777" w:rsidR="009948F1" w:rsidRDefault="00BC0563">
          <w:pPr>
            <w:pStyle w:val="TOC3"/>
          </w:pPr>
          <w:r>
            <w:rPr>
              <w:color w:val="231F20"/>
            </w:rPr>
            <w:t>Appendix 1:</w:t>
          </w:r>
        </w:p>
        <w:p w14:paraId="1A7D7CB5" w14:textId="77777777" w:rsidR="009948F1" w:rsidRDefault="00BC0563">
          <w:pPr>
            <w:pStyle w:val="TOC4"/>
            <w:tabs>
              <w:tab w:val="left" w:leader="dot" w:pos="8370"/>
            </w:tabs>
          </w:pPr>
          <w:r>
            <w:rPr>
              <w:color w:val="231F20"/>
            </w:rPr>
            <w:t>For</w:t>
          </w:r>
          <w:r>
            <w:rPr>
              <w:color w:val="231F20"/>
              <w:spacing w:val="-28"/>
            </w:rPr>
            <w:t xml:space="preserve"> </w:t>
          </w:r>
          <w:r>
            <w:rPr>
              <w:color w:val="231F20"/>
            </w:rPr>
            <w:t>Costing</w:t>
          </w:r>
          <w:r>
            <w:rPr>
              <w:color w:val="231F20"/>
              <w:spacing w:val="-27"/>
            </w:rPr>
            <w:t xml:space="preserve"> </w:t>
          </w:r>
          <w:r>
            <w:rPr>
              <w:color w:val="231F20"/>
            </w:rPr>
            <w:t>Chapter…</w:t>
          </w:r>
          <w:r>
            <w:rPr>
              <w:color w:val="231F20"/>
            </w:rPr>
            <w:tab/>
          </w:r>
          <w:r>
            <w:rPr>
              <w:color w:val="231F20"/>
              <w:spacing w:val="-7"/>
            </w:rPr>
            <w:t>117</w:t>
          </w:r>
        </w:p>
        <w:p w14:paraId="5B25E0BA" w14:textId="77777777" w:rsidR="009948F1" w:rsidRDefault="00BC0563">
          <w:pPr>
            <w:pStyle w:val="TOC3"/>
          </w:pPr>
          <w:r>
            <w:rPr>
              <w:color w:val="231F20"/>
            </w:rPr>
            <w:t>Appendix 2:</w:t>
          </w:r>
        </w:p>
        <w:p w14:paraId="572B2985" w14:textId="77777777" w:rsidR="009948F1" w:rsidRDefault="00BC0563">
          <w:pPr>
            <w:pStyle w:val="TOC4"/>
            <w:tabs>
              <w:tab w:val="left" w:leader="dot" w:pos="8370"/>
            </w:tabs>
            <w:spacing w:before="52"/>
            <w:ind w:left="208"/>
          </w:pPr>
          <w:r>
            <w:rPr>
              <w:color w:val="231F20"/>
            </w:rPr>
            <w:t>List</w:t>
          </w:r>
          <w:r>
            <w:rPr>
              <w:color w:val="231F20"/>
              <w:spacing w:val="-28"/>
            </w:rPr>
            <w:t xml:space="preserve"> </w:t>
          </w:r>
          <w:r>
            <w:rPr>
              <w:color w:val="231F20"/>
            </w:rPr>
            <w:t>of</w:t>
          </w:r>
          <w:r>
            <w:rPr>
              <w:color w:val="231F20"/>
              <w:spacing w:val="-27"/>
            </w:rPr>
            <w:t xml:space="preserve"> </w:t>
          </w:r>
          <w:r>
            <w:rPr>
              <w:color w:val="231F20"/>
            </w:rPr>
            <w:t>Contributors…</w:t>
          </w:r>
          <w:r>
            <w:rPr>
              <w:color w:val="231F20"/>
            </w:rPr>
            <w:tab/>
          </w:r>
          <w:r>
            <w:rPr>
              <w:color w:val="231F20"/>
              <w:spacing w:val="-7"/>
            </w:rPr>
            <w:t>118</w:t>
          </w:r>
        </w:p>
      </w:sdtContent>
    </w:sdt>
    <w:p w14:paraId="2DE4A703" w14:textId="77777777" w:rsidR="009948F1" w:rsidRDefault="009948F1">
      <w:pPr>
        <w:sectPr w:rsidR="009948F1">
          <w:type w:val="continuous"/>
          <w:pgSz w:w="11910" w:h="16840"/>
          <w:pgMar w:top="1340" w:right="1080" w:bottom="1929" w:left="1120" w:header="720" w:footer="720" w:gutter="0"/>
          <w:cols w:space="720"/>
        </w:sectPr>
      </w:pPr>
    </w:p>
    <w:p w14:paraId="37E7F3CF" w14:textId="77777777" w:rsidR="009948F1" w:rsidRDefault="00BC0563">
      <w:pPr>
        <w:spacing w:before="379"/>
        <w:ind w:left="168"/>
        <w:rPr>
          <w:b/>
          <w:sz w:val="24"/>
        </w:rPr>
      </w:pPr>
      <w:r>
        <w:rPr>
          <w:b/>
          <w:color w:val="231F20"/>
          <w:sz w:val="24"/>
        </w:rPr>
        <w:t>Appendix 3:</w:t>
      </w:r>
    </w:p>
    <w:p w14:paraId="58811E3F" w14:textId="77777777" w:rsidR="009948F1" w:rsidRDefault="00BC0563">
      <w:pPr>
        <w:pStyle w:val="Heading5"/>
        <w:tabs>
          <w:tab w:val="left" w:leader="dot" w:pos="7927"/>
        </w:tabs>
        <w:spacing w:before="51"/>
        <w:ind w:left="168"/>
      </w:pPr>
      <w:r>
        <w:rPr>
          <w:color w:val="231F20"/>
        </w:rPr>
        <w:t>Detailed activities of the Rivers State</w:t>
      </w:r>
      <w:r>
        <w:rPr>
          <w:color w:val="231F20"/>
          <w:spacing w:val="-1"/>
        </w:rPr>
        <w:t xml:space="preserve"> </w:t>
      </w:r>
      <w:r>
        <w:rPr>
          <w:color w:val="231F20"/>
        </w:rPr>
        <w:t>SHDP</w:t>
      </w:r>
      <w:r>
        <w:rPr>
          <w:color w:val="231F20"/>
          <w:spacing w:val="-4"/>
        </w:rPr>
        <w:t xml:space="preserve"> </w:t>
      </w:r>
      <w:r>
        <w:rPr>
          <w:color w:val="231F20"/>
        </w:rPr>
        <w:t>II…</w:t>
      </w:r>
      <w:r>
        <w:rPr>
          <w:color w:val="231F20"/>
        </w:rPr>
        <w:tab/>
      </w:r>
      <w:r>
        <w:rPr>
          <w:color w:val="231F20"/>
          <w:spacing w:val="-3"/>
        </w:rPr>
        <w:t>119-173</w:t>
      </w:r>
    </w:p>
    <w:p w14:paraId="6C722CC1" w14:textId="77777777" w:rsidR="009948F1" w:rsidRDefault="009948F1">
      <w:pPr>
        <w:sectPr w:rsidR="009948F1">
          <w:type w:val="continuous"/>
          <w:pgSz w:w="11910" w:h="16840"/>
          <w:pgMar w:top="1320" w:right="1080" w:bottom="1420" w:left="1120" w:header="720" w:footer="720" w:gutter="0"/>
          <w:cols w:space="720"/>
        </w:sectPr>
      </w:pPr>
    </w:p>
    <w:p w14:paraId="732BC818" w14:textId="77777777" w:rsidR="009948F1" w:rsidRDefault="00BC0563">
      <w:pPr>
        <w:pStyle w:val="Heading2"/>
        <w:spacing w:before="26"/>
        <w:ind w:left="179"/>
        <w:jc w:val="left"/>
      </w:pPr>
      <w:bookmarkStart w:id="3" w:name="_TOC_250045"/>
      <w:r>
        <w:rPr>
          <w:color w:val="231F20"/>
        </w:rPr>
        <w:lastRenderedPageBreak/>
        <w:t>LIST OF</w:t>
      </w:r>
      <w:r>
        <w:rPr>
          <w:color w:val="231F20"/>
          <w:spacing w:val="-72"/>
        </w:rPr>
        <w:t xml:space="preserve"> </w:t>
      </w:r>
      <w:bookmarkEnd w:id="3"/>
      <w:r>
        <w:rPr>
          <w:color w:val="231F20"/>
          <w:spacing w:val="-4"/>
        </w:rPr>
        <w:t>TABLES</w:t>
      </w:r>
    </w:p>
    <w:p w14:paraId="71A834C8" w14:textId="77777777" w:rsidR="009948F1" w:rsidRDefault="00BC0563">
      <w:pPr>
        <w:tabs>
          <w:tab w:val="left" w:leader="dot" w:pos="8536"/>
        </w:tabs>
        <w:spacing w:before="234"/>
        <w:ind w:left="179"/>
        <w:rPr>
          <w:sz w:val="24"/>
        </w:rPr>
      </w:pPr>
      <w:r>
        <w:rPr>
          <w:color w:val="231F20"/>
          <w:spacing w:val="-6"/>
          <w:sz w:val="24"/>
        </w:rPr>
        <w:t>Table</w:t>
      </w:r>
      <w:r>
        <w:rPr>
          <w:color w:val="231F20"/>
          <w:spacing w:val="-27"/>
          <w:sz w:val="24"/>
        </w:rPr>
        <w:t xml:space="preserve"> </w:t>
      </w:r>
      <w:r>
        <w:rPr>
          <w:color w:val="231F20"/>
          <w:sz w:val="24"/>
        </w:rPr>
        <w:t>1:</w:t>
      </w:r>
      <w:r>
        <w:rPr>
          <w:color w:val="231F20"/>
          <w:spacing w:val="-27"/>
          <w:sz w:val="24"/>
        </w:rPr>
        <w:t xml:space="preserve"> </w:t>
      </w:r>
      <w:r>
        <w:rPr>
          <w:color w:val="231F20"/>
          <w:sz w:val="24"/>
        </w:rPr>
        <w:t>Policy</w:t>
      </w:r>
      <w:r>
        <w:rPr>
          <w:color w:val="231F20"/>
          <w:spacing w:val="-31"/>
          <w:sz w:val="24"/>
        </w:rPr>
        <w:t xml:space="preserve"> </w:t>
      </w:r>
      <w:r>
        <w:rPr>
          <w:color w:val="231F20"/>
          <w:sz w:val="24"/>
        </w:rPr>
        <w:t>Thrust</w:t>
      </w:r>
      <w:r>
        <w:rPr>
          <w:color w:val="231F20"/>
          <w:spacing w:val="-26"/>
          <w:sz w:val="24"/>
        </w:rPr>
        <w:t xml:space="preserve"> </w:t>
      </w:r>
      <w:r>
        <w:rPr>
          <w:color w:val="231F20"/>
          <w:sz w:val="24"/>
        </w:rPr>
        <w:t>of</w:t>
      </w:r>
      <w:r>
        <w:rPr>
          <w:color w:val="231F20"/>
          <w:spacing w:val="-27"/>
          <w:sz w:val="24"/>
        </w:rPr>
        <w:t xml:space="preserve"> </w:t>
      </w:r>
      <w:r>
        <w:rPr>
          <w:color w:val="231F20"/>
          <w:sz w:val="24"/>
        </w:rPr>
        <w:t>Rivers</w:t>
      </w:r>
      <w:r>
        <w:rPr>
          <w:color w:val="231F20"/>
          <w:spacing w:val="-27"/>
          <w:sz w:val="24"/>
        </w:rPr>
        <w:t xml:space="preserve"> </w:t>
      </w:r>
      <w:r>
        <w:rPr>
          <w:color w:val="231F20"/>
          <w:sz w:val="24"/>
        </w:rPr>
        <w:t>State…</w:t>
      </w:r>
      <w:r>
        <w:rPr>
          <w:color w:val="231F20"/>
          <w:sz w:val="24"/>
        </w:rPr>
        <w:tab/>
        <w:t>16</w:t>
      </w:r>
    </w:p>
    <w:p w14:paraId="5CFDC46E" w14:textId="77777777" w:rsidR="009948F1" w:rsidRDefault="00BC0563">
      <w:pPr>
        <w:tabs>
          <w:tab w:val="left" w:leader="dot" w:pos="8554"/>
        </w:tabs>
        <w:spacing w:before="190"/>
        <w:ind w:left="179"/>
        <w:rPr>
          <w:sz w:val="24"/>
        </w:rPr>
      </w:pPr>
      <w:r>
        <w:rPr>
          <w:color w:val="231F20"/>
          <w:spacing w:val="-6"/>
          <w:sz w:val="24"/>
        </w:rPr>
        <w:t>Table</w:t>
      </w:r>
      <w:r>
        <w:rPr>
          <w:color w:val="231F20"/>
          <w:spacing w:val="-27"/>
          <w:sz w:val="24"/>
        </w:rPr>
        <w:t xml:space="preserve"> </w:t>
      </w:r>
      <w:r>
        <w:rPr>
          <w:color w:val="231F20"/>
          <w:sz w:val="24"/>
        </w:rPr>
        <w:t>2:</w:t>
      </w:r>
      <w:r>
        <w:rPr>
          <w:color w:val="231F20"/>
          <w:spacing w:val="-27"/>
          <w:sz w:val="24"/>
        </w:rPr>
        <w:t xml:space="preserve"> </w:t>
      </w:r>
      <w:r>
        <w:rPr>
          <w:color w:val="231F20"/>
          <w:sz w:val="24"/>
        </w:rPr>
        <w:t>Rivers</w:t>
      </w:r>
      <w:r>
        <w:rPr>
          <w:color w:val="231F20"/>
          <w:spacing w:val="-27"/>
          <w:sz w:val="24"/>
        </w:rPr>
        <w:t xml:space="preserve"> </w:t>
      </w:r>
      <w:r>
        <w:rPr>
          <w:color w:val="231F20"/>
          <w:sz w:val="24"/>
        </w:rPr>
        <w:t>State</w:t>
      </w:r>
      <w:r>
        <w:rPr>
          <w:color w:val="231F20"/>
          <w:spacing w:val="-26"/>
          <w:sz w:val="24"/>
        </w:rPr>
        <w:t xml:space="preserve"> </w:t>
      </w:r>
      <w:r>
        <w:rPr>
          <w:color w:val="231F20"/>
          <w:sz w:val="24"/>
        </w:rPr>
        <w:t>Health</w:t>
      </w:r>
      <w:r>
        <w:rPr>
          <w:color w:val="231F20"/>
          <w:spacing w:val="-27"/>
          <w:sz w:val="24"/>
        </w:rPr>
        <w:t xml:space="preserve"> </w:t>
      </w:r>
      <w:r>
        <w:rPr>
          <w:color w:val="231F20"/>
          <w:sz w:val="24"/>
        </w:rPr>
        <w:t>Indicators…</w:t>
      </w:r>
      <w:r>
        <w:rPr>
          <w:color w:val="231F20"/>
          <w:sz w:val="24"/>
        </w:rPr>
        <w:tab/>
        <w:t>21</w:t>
      </w:r>
    </w:p>
    <w:p w14:paraId="0E659FD5" w14:textId="77777777" w:rsidR="009948F1" w:rsidRDefault="00BC0563">
      <w:pPr>
        <w:tabs>
          <w:tab w:val="left" w:leader="dot" w:pos="8541"/>
        </w:tabs>
        <w:spacing w:before="191"/>
        <w:ind w:left="179"/>
        <w:rPr>
          <w:sz w:val="24"/>
        </w:rPr>
      </w:pPr>
      <w:r>
        <w:rPr>
          <w:color w:val="231F20"/>
          <w:spacing w:val="-6"/>
          <w:sz w:val="24"/>
        </w:rPr>
        <w:t>Table</w:t>
      </w:r>
      <w:r>
        <w:rPr>
          <w:color w:val="231F20"/>
          <w:spacing w:val="-27"/>
          <w:sz w:val="24"/>
        </w:rPr>
        <w:t xml:space="preserve"> </w:t>
      </w:r>
      <w:r>
        <w:rPr>
          <w:color w:val="231F20"/>
          <w:sz w:val="24"/>
        </w:rPr>
        <w:t>3:</w:t>
      </w:r>
      <w:r>
        <w:rPr>
          <w:color w:val="231F20"/>
          <w:spacing w:val="-27"/>
          <w:sz w:val="24"/>
        </w:rPr>
        <w:t xml:space="preserve"> </w:t>
      </w:r>
      <w:r>
        <w:rPr>
          <w:color w:val="231F20"/>
          <w:sz w:val="24"/>
        </w:rPr>
        <w:t>Health</w:t>
      </w:r>
      <w:r>
        <w:rPr>
          <w:color w:val="231F20"/>
          <w:spacing w:val="-27"/>
          <w:sz w:val="24"/>
        </w:rPr>
        <w:t xml:space="preserve"> </w:t>
      </w:r>
      <w:r>
        <w:rPr>
          <w:color w:val="231F20"/>
          <w:sz w:val="24"/>
        </w:rPr>
        <w:t>Manpower</w:t>
      </w:r>
      <w:r>
        <w:rPr>
          <w:color w:val="231F20"/>
          <w:spacing w:val="-27"/>
          <w:sz w:val="24"/>
        </w:rPr>
        <w:t xml:space="preserve"> </w:t>
      </w:r>
      <w:r>
        <w:rPr>
          <w:color w:val="231F20"/>
          <w:sz w:val="24"/>
        </w:rPr>
        <w:t>in</w:t>
      </w:r>
      <w:r>
        <w:rPr>
          <w:color w:val="231F20"/>
          <w:spacing w:val="-26"/>
          <w:sz w:val="24"/>
        </w:rPr>
        <w:t xml:space="preserve"> </w:t>
      </w:r>
      <w:r>
        <w:rPr>
          <w:color w:val="231F20"/>
          <w:sz w:val="24"/>
        </w:rPr>
        <w:t>Rivers</w:t>
      </w:r>
      <w:r>
        <w:rPr>
          <w:color w:val="231F20"/>
          <w:spacing w:val="-27"/>
          <w:sz w:val="24"/>
        </w:rPr>
        <w:t xml:space="preserve"> </w:t>
      </w:r>
      <w:r>
        <w:rPr>
          <w:color w:val="231F20"/>
          <w:sz w:val="24"/>
        </w:rPr>
        <w:t>State…</w:t>
      </w:r>
      <w:r>
        <w:rPr>
          <w:color w:val="231F20"/>
          <w:sz w:val="24"/>
        </w:rPr>
        <w:tab/>
        <w:t>24</w:t>
      </w:r>
    </w:p>
    <w:p w14:paraId="6BB1691F" w14:textId="77777777" w:rsidR="009948F1" w:rsidRDefault="00BC0563">
      <w:pPr>
        <w:tabs>
          <w:tab w:val="left" w:leader="dot" w:pos="8515"/>
        </w:tabs>
        <w:spacing w:before="190"/>
        <w:ind w:left="179"/>
        <w:rPr>
          <w:sz w:val="24"/>
        </w:rPr>
      </w:pPr>
      <w:r>
        <w:rPr>
          <w:color w:val="231F20"/>
          <w:spacing w:val="-6"/>
          <w:sz w:val="24"/>
        </w:rPr>
        <w:t>Table</w:t>
      </w:r>
      <w:r>
        <w:rPr>
          <w:color w:val="231F20"/>
          <w:spacing w:val="-27"/>
          <w:sz w:val="24"/>
        </w:rPr>
        <w:t xml:space="preserve"> </w:t>
      </w:r>
      <w:r>
        <w:rPr>
          <w:color w:val="231F20"/>
          <w:sz w:val="24"/>
        </w:rPr>
        <w:t>4:</w:t>
      </w:r>
      <w:r>
        <w:rPr>
          <w:color w:val="231F20"/>
          <w:spacing w:val="-27"/>
          <w:sz w:val="24"/>
        </w:rPr>
        <w:t xml:space="preserve"> </w:t>
      </w:r>
      <w:r>
        <w:rPr>
          <w:color w:val="231F20"/>
          <w:sz w:val="24"/>
        </w:rPr>
        <w:t>Health</w:t>
      </w:r>
      <w:r>
        <w:rPr>
          <w:color w:val="231F20"/>
          <w:spacing w:val="-27"/>
          <w:sz w:val="24"/>
        </w:rPr>
        <w:t xml:space="preserve"> </w:t>
      </w:r>
      <w:r>
        <w:rPr>
          <w:color w:val="231F20"/>
          <w:sz w:val="24"/>
        </w:rPr>
        <w:t>Financing</w:t>
      </w:r>
      <w:r>
        <w:rPr>
          <w:color w:val="231F20"/>
          <w:spacing w:val="-27"/>
          <w:sz w:val="24"/>
        </w:rPr>
        <w:t xml:space="preserve"> </w:t>
      </w:r>
      <w:r>
        <w:rPr>
          <w:color w:val="231F20"/>
          <w:sz w:val="24"/>
        </w:rPr>
        <w:t>Indicators</w:t>
      </w:r>
      <w:r>
        <w:rPr>
          <w:color w:val="231F20"/>
          <w:spacing w:val="-26"/>
          <w:sz w:val="24"/>
        </w:rPr>
        <w:t xml:space="preserve"> </w:t>
      </w:r>
      <w:r>
        <w:rPr>
          <w:color w:val="231F20"/>
          <w:sz w:val="24"/>
        </w:rPr>
        <w:t>in</w:t>
      </w:r>
      <w:r>
        <w:rPr>
          <w:color w:val="231F20"/>
          <w:spacing w:val="-27"/>
          <w:sz w:val="24"/>
        </w:rPr>
        <w:t xml:space="preserve"> </w:t>
      </w:r>
      <w:r>
        <w:rPr>
          <w:color w:val="231F20"/>
          <w:sz w:val="24"/>
        </w:rPr>
        <w:t>Rivers</w:t>
      </w:r>
      <w:r>
        <w:rPr>
          <w:color w:val="231F20"/>
          <w:spacing w:val="-27"/>
          <w:sz w:val="24"/>
        </w:rPr>
        <w:t xml:space="preserve"> </w:t>
      </w:r>
      <w:r>
        <w:rPr>
          <w:color w:val="231F20"/>
          <w:sz w:val="24"/>
        </w:rPr>
        <w:t>State…</w:t>
      </w:r>
      <w:r>
        <w:rPr>
          <w:color w:val="231F20"/>
          <w:sz w:val="24"/>
        </w:rPr>
        <w:tab/>
        <w:t>25</w:t>
      </w:r>
    </w:p>
    <w:p w14:paraId="101AB3B0" w14:textId="77777777" w:rsidR="009948F1" w:rsidRDefault="00BC0563">
      <w:pPr>
        <w:tabs>
          <w:tab w:val="left" w:leader="dot" w:pos="8514"/>
        </w:tabs>
        <w:spacing w:before="191"/>
        <w:ind w:left="179"/>
        <w:rPr>
          <w:sz w:val="24"/>
        </w:rPr>
      </w:pPr>
      <w:r>
        <w:rPr>
          <w:color w:val="231F20"/>
          <w:spacing w:val="-6"/>
          <w:sz w:val="24"/>
        </w:rPr>
        <w:t>Table</w:t>
      </w:r>
      <w:r>
        <w:rPr>
          <w:color w:val="231F20"/>
          <w:spacing w:val="-27"/>
          <w:sz w:val="24"/>
        </w:rPr>
        <w:t xml:space="preserve"> </w:t>
      </w:r>
      <w:r>
        <w:rPr>
          <w:color w:val="231F20"/>
          <w:sz w:val="24"/>
        </w:rPr>
        <w:t>5:</w:t>
      </w:r>
      <w:r>
        <w:rPr>
          <w:color w:val="231F20"/>
          <w:spacing w:val="-27"/>
          <w:sz w:val="24"/>
        </w:rPr>
        <w:t xml:space="preserve"> </w:t>
      </w:r>
      <w:r>
        <w:rPr>
          <w:color w:val="231F20"/>
          <w:sz w:val="24"/>
        </w:rPr>
        <w:t>Health</w:t>
      </w:r>
      <w:r>
        <w:rPr>
          <w:color w:val="231F20"/>
          <w:spacing w:val="-27"/>
          <w:sz w:val="24"/>
        </w:rPr>
        <w:t xml:space="preserve"> </w:t>
      </w:r>
      <w:r>
        <w:rPr>
          <w:color w:val="231F20"/>
          <w:sz w:val="24"/>
        </w:rPr>
        <w:t>Indicators</w:t>
      </w:r>
      <w:r>
        <w:rPr>
          <w:color w:val="231F20"/>
          <w:spacing w:val="-27"/>
          <w:sz w:val="24"/>
        </w:rPr>
        <w:t xml:space="preserve"> </w:t>
      </w:r>
      <w:r>
        <w:rPr>
          <w:color w:val="231F20"/>
          <w:sz w:val="24"/>
        </w:rPr>
        <w:t>in</w:t>
      </w:r>
      <w:r>
        <w:rPr>
          <w:color w:val="231F20"/>
          <w:spacing w:val="-26"/>
          <w:sz w:val="24"/>
        </w:rPr>
        <w:t xml:space="preserve"> </w:t>
      </w:r>
      <w:r>
        <w:rPr>
          <w:color w:val="231F20"/>
          <w:sz w:val="24"/>
        </w:rPr>
        <w:t>Service</w:t>
      </w:r>
      <w:r>
        <w:rPr>
          <w:color w:val="231F20"/>
          <w:spacing w:val="-27"/>
          <w:sz w:val="24"/>
        </w:rPr>
        <w:t xml:space="preserve"> </w:t>
      </w:r>
      <w:r>
        <w:rPr>
          <w:color w:val="231F20"/>
          <w:sz w:val="24"/>
        </w:rPr>
        <w:t>Delivery…</w:t>
      </w:r>
      <w:r>
        <w:rPr>
          <w:color w:val="231F20"/>
          <w:sz w:val="24"/>
        </w:rPr>
        <w:tab/>
        <w:t>29</w:t>
      </w:r>
    </w:p>
    <w:p w14:paraId="6B6C304A" w14:textId="7897BC06" w:rsidR="009948F1" w:rsidRDefault="00BC0563">
      <w:pPr>
        <w:tabs>
          <w:tab w:val="left" w:leader="dot" w:pos="8562"/>
        </w:tabs>
        <w:spacing w:before="190"/>
        <w:ind w:left="179"/>
        <w:rPr>
          <w:sz w:val="24"/>
        </w:rPr>
      </w:pPr>
      <w:r>
        <w:rPr>
          <w:color w:val="231F20"/>
          <w:spacing w:val="-6"/>
          <w:sz w:val="24"/>
        </w:rPr>
        <w:t>Table</w:t>
      </w:r>
      <w:r>
        <w:rPr>
          <w:color w:val="231F20"/>
          <w:spacing w:val="-23"/>
          <w:sz w:val="24"/>
        </w:rPr>
        <w:t xml:space="preserve"> </w:t>
      </w:r>
      <w:r>
        <w:rPr>
          <w:color w:val="231F20"/>
          <w:sz w:val="24"/>
        </w:rPr>
        <w:t>6:</w:t>
      </w:r>
      <w:r>
        <w:rPr>
          <w:color w:val="231F20"/>
          <w:spacing w:val="-22"/>
          <w:sz w:val="24"/>
        </w:rPr>
        <w:t xml:space="preserve"> </w:t>
      </w:r>
      <w:r>
        <w:rPr>
          <w:color w:val="231F20"/>
          <w:sz w:val="24"/>
        </w:rPr>
        <w:t>SWOT</w:t>
      </w:r>
      <w:r w:rsidR="00777DF0">
        <w:rPr>
          <w:color w:val="231F20"/>
          <w:sz w:val="24"/>
        </w:rPr>
        <w:t xml:space="preserve"> </w:t>
      </w:r>
      <w:r>
        <w:rPr>
          <w:color w:val="231F20"/>
          <w:sz w:val="24"/>
        </w:rPr>
        <w:t>Analysis…</w:t>
      </w:r>
      <w:r>
        <w:rPr>
          <w:color w:val="231F20"/>
          <w:sz w:val="24"/>
        </w:rPr>
        <w:tab/>
        <w:t>30</w:t>
      </w:r>
    </w:p>
    <w:p w14:paraId="3085806B" w14:textId="77777777" w:rsidR="009948F1" w:rsidRDefault="00BC0563">
      <w:pPr>
        <w:spacing w:before="163"/>
        <w:ind w:left="179"/>
        <w:rPr>
          <w:sz w:val="24"/>
        </w:rPr>
      </w:pPr>
      <w:r>
        <w:rPr>
          <w:color w:val="231F20"/>
          <w:spacing w:val="-6"/>
          <w:sz w:val="24"/>
        </w:rPr>
        <w:t>Table</w:t>
      </w:r>
      <w:r>
        <w:rPr>
          <w:color w:val="231F20"/>
          <w:spacing w:val="-29"/>
          <w:sz w:val="24"/>
        </w:rPr>
        <w:t xml:space="preserve"> </w:t>
      </w:r>
      <w:r>
        <w:rPr>
          <w:color w:val="231F20"/>
          <w:sz w:val="24"/>
        </w:rPr>
        <w:t>7:</w:t>
      </w:r>
      <w:r>
        <w:rPr>
          <w:color w:val="231F20"/>
          <w:spacing w:val="-31"/>
          <w:sz w:val="24"/>
        </w:rPr>
        <w:t xml:space="preserve"> </w:t>
      </w:r>
      <w:r>
        <w:rPr>
          <w:color w:val="231F20"/>
          <w:spacing w:val="-6"/>
          <w:sz w:val="24"/>
        </w:rPr>
        <w:t>Total</w:t>
      </w:r>
      <w:r>
        <w:rPr>
          <w:color w:val="231F20"/>
          <w:spacing w:val="-29"/>
          <w:sz w:val="24"/>
        </w:rPr>
        <w:t xml:space="preserve"> </w:t>
      </w:r>
      <w:r>
        <w:rPr>
          <w:color w:val="231F20"/>
          <w:sz w:val="24"/>
        </w:rPr>
        <w:t>Cost</w:t>
      </w:r>
      <w:r>
        <w:rPr>
          <w:color w:val="231F20"/>
          <w:spacing w:val="-28"/>
          <w:sz w:val="24"/>
        </w:rPr>
        <w:t xml:space="preserve"> </w:t>
      </w:r>
      <w:r>
        <w:rPr>
          <w:color w:val="231F20"/>
          <w:sz w:val="24"/>
        </w:rPr>
        <w:t>of</w:t>
      </w:r>
      <w:r>
        <w:rPr>
          <w:color w:val="231F20"/>
          <w:spacing w:val="-28"/>
          <w:sz w:val="24"/>
        </w:rPr>
        <w:t xml:space="preserve"> </w:t>
      </w:r>
      <w:r>
        <w:rPr>
          <w:color w:val="231F20"/>
          <w:sz w:val="24"/>
        </w:rPr>
        <w:t>Rivers</w:t>
      </w:r>
      <w:r>
        <w:rPr>
          <w:color w:val="231F20"/>
          <w:spacing w:val="-28"/>
          <w:sz w:val="24"/>
        </w:rPr>
        <w:t xml:space="preserve"> </w:t>
      </w:r>
      <w:r>
        <w:rPr>
          <w:color w:val="231F20"/>
          <w:sz w:val="24"/>
        </w:rPr>
        <w:t>SSHDP</w:t>
      </w:r>
      <w:r>
        <w:rPr>
          <w:color w:val="231F20"/>
          <w:spacing w:val="-32"/>
          <w:sz w:val="24"/>
        </w:rPr>
        <w:t xml:space="preserve"> </w:t>
      </w:r>
      <w:r>
        <w:rPr>
          <w:color w:val="231F20"/>
          <w:sz w:val="24"/>
        </w:rPr>
        <w:t>II</w:t>
      </w:r>
      <w:r>
        <w:rPr>
          <w:color w:val="231F20"/>
          <w:spacing w:val="-28"/>
          <w:sz w:val="24"/>
        </w:rPr>
        <w:t xml:space="preserve"> </w:t>
      </w:r>
      <w:r>
        <w:rPr>
          <w:color w:val="231F20"/>
          <w:sz w:val="24"/>
        </w:rPr>
        <w:t>2017-2021</w:t>
      </w:r>
      <w:r>
        <w:rPr>
          <w:color w:val="231F20"/>
          <w:spacing w:val="-28"/>
          <w:sz w:val="24"/>
        </w:rPr>
        <w:t xml:space="preserve"> </w:t>
      </w:r>
      <w:r>
        <w:rPr>
          <w:color w:val="231F20"/>
          <w:sz w:val="24"/>
        </w:rPr>
        <w:t>by</w:t>
      </w:r>
      <w:r>
        <w:rPr>
          <w:color w:val="231F20"/>
          <w:spacing w:val="-28"/>
          <w:sz w:val="24"/>
        </w:rPr>
        <w:t xml:space="preserve"> </w:t>
      </w:r>
      <w:r>
        <w:rPr>
          <w:color w:val="231F20"/>
          <w:sz w:val="24"/>
        </w:rPr>
        <w:t>Scenarios,</w:t>
      </w:r>
      <w:r>
        <w:rPr>
          <w:color w:val="231F20"/>
          <w:spacing w:val="-28"/>
          <w:sz w:val="24"/>
        </w:rPr>
        <w:t xml:space="preserve"> </w:t>
      </w:r>
      <w:r>
        <w:rPr>
          <w:color w:val="231F20"/>
          <w:sz w:val="24"/>
        </w:rPr>
        <w:t>in</w:t>
      </w:r>
      <w:r>
        <w:rPr>
          <w:color w:val="231F20"/>
          <w:spacing w:val="-28"/>
          <w:sz w:val="24"/>
        </w:rPr>
        <w:t xml:space="preserve"> </w:t>
      </w:r>
      <w:r>
        <w:rPr>
          <w:color w:val="231F20"/>
          <w:sz w:val="24"/>
        </w:rPr>
        <w:t>Million</w:t>
      </w:r>
      <w:r>
        <w:rPr>
          <w:color w:val="231F20"/>
          <w:spacing w:val="-28"/>
          <w:sz w:val="24"/>
        </w:rPr>
        <w:t xml:space="preserve"> </w:t>
      </w:r>
      <w:r>
        <w:rPr>
          <w:color w:val="231F20"/>
          <w:sz w:val="24"/>
        </w:rPr>
        <w:t>(</w:t>
      </w:r>
      <w:proofErr w:type="gramStart"/>
      <w:r>
        <w:rPr>
          <w:color w:val="231F20"/>
          <w:sz w:val="24"/>
        </w:rPr>
        <w:t>?</w:t>
      </w:r>
      <w:r>
        <w:rPr>
          <w:color w:val="231F20"/>
          <w:spacing w:val="-20"/>
          <w:sz w:val="24"/>
        </w:rPr>
        <w:t xml:space="preserve"> </w:t>
      </w:r>
      <w:r>
        <w:rPr>
          <w:color w:val="231F20"/>
          <w:sz w:val="24"/>
        </w:rPr>
        <w:t>)</w:t>
      </w:r>
      <w:proofErr w:type="gramEnd"/>
      <w:r>
        <w:rPr>
          <w:color w:val="231F20"/>
          <w:sz w:val="24"/>
        </w:rPr>
        <w:t>…</w:t>
      </w:r>
      <w:r>
        <w:rPr>
          <w:color w:val="231F20"/>
          <w:spacing w:val="63"/>
          <w:sz w:val="24"/>
        </w:rPr>
        <w:t xml:space="preserve"> </w:t>
      </w:r>
      <w:r>
        <w:rPr>
          <w:color w:val="231F20"/>
          <w:sz w:val="24"/>
        </w:rPr>
        <w:t>101</w:t>
      </w:r>
    </w:p>
    <w:p w14:paraId="0C9C5454" w14:textId="77777777" w:rsidR="009948F1" w:rsidRDefault="00BC0563">
      <w:pPr>
        <w:tabs>
          <w:tab w:val="left" w:leader="dot" w:pos="8360"/>
        </w:tabs>
        <w:spacing w:before="164" w:line="381" w:lineRule="auto"/>
        <w:ind w:left="1105" w:right="942" w:hanging="927"/>
        <w:rPr>
          <w:sz w:val="24"/>
        </w:rPr>
      </w:pPr>
      <w:r>
        <w:rPr>
          <w:color w:val="231F20"/>
          <w:spacing w:val="-6"/>
          <w:sz w:val="24"/>
        </w:rPr>
        <w:t xml:space="preserve">Table </w:t>
      </w:r>
      <w:r>
        <w:rPr>
          <w:color w:val="231F20"/>
          <w:sz w:val="24"/>
        </w:rPr>
        <w:t xml:space="preserve">8: Summary costs by </w:t>
      </w:r>
      <w:proofErr w:type="spellStart"/>
      <w:r>
        <w:rPr>
          <w:color w:val="231F20"/>
          <w:sz w:val="24"/>
        </w:rPr>
        <w:t>Programme</w:t>
      </w:r>
      <w:proofErr w:type="spellEnd"/>
      <w:r>
        <w:rPr>
          <w:color w:val="231F20"/>
          <w:sz w:val="24"/>
        </w:rPr>
        <w:t xml:space="preserve"> area of Rivers SSHDP II 2018-2022 Essential Package Moderate Scale-up Scenario, in Million</w:t>
      </w:r>
      <w:r>
        <w:rPr>
          <w:color w:val="231F20"/>
          <w:spacing w:val="-18"/>
          <w:sz w:val="24"/>
        </w:rPr>
        <w:t xml:space="preserve"> </w:t>
      </w:r>
      <w:r>
        <w:rPr>
          <w:color w:val="231F20"/>
          <w:sz w:val="24"/>
        </w:rPr>
        <w:t>(?</w:t>
      </w:r>
      <w:r>
        <w:rPr>
          <w:color w:val="231F20"/>
          <w:spacing w:val="-21"/>
          <w:sz w:val="24"/>
        </w:rPr>
        <w:t xml:space="preserve"> </w:t>
      </w:r>
      <w:r>
        <w:rPr>
          <w:color w:val="231F20"/>
          <w:sz w:val="24"/>
        </w:rPr>
        <w:t>)…</w:t>
      </w:r>
      <w:r>
        <w:rPr>
          <w:color w:val="231F20"/>
          <w:sz w:val="24"/>
        </w:rPr>
        <w:tab/>
      </w:r>
      <w:r>
        <w:rPr>
          <w:color w:val="231F20"/>
          <w:spacing w:val="-6"/>
          <w:sz w:val="24"/>
        </w:rPr>
        <w:t>102</w:t>
      </w:r>
    </w:p>
    <w:p w14:paraId="645BCA9E" w14:textId="77777777" w:rsidR="009948F1" w:rsidRDefault="00BC0563">
      <w:pPr>
        <w:tabs>
          <w:tab w:val="left" w:leader="dot" w:pos="8394"/>
        </w:tabs>
        <w:spacing w:before="1" w:line="381" w:lineRule="auto"/>
        <w:ind w:left="1100" w:right="908" w:hanging="922"/>
        <w:rPr>
          <w:sz w:val="24"/>
        </w:rPr>
      </w:pPr>
      <w:r>
        <w:rPr>
          <w:color w:val="231F20"/>
          <w:spacing w:val="-6"/>
          <w:sz w:val="24"/>
        </w:rPr>
        <w:t xml:space="preserve">Table </w:t>
      </w:r>
      <w:r>
        <w:rPr>
          <w:color w:val="231F20"/>
          <w:sz w:val="24"/>
        </w:rPr>
        <w:t>9: Summary costs of Rivers SSHDP II 2018-2022 Essential Package Moderate Scale-up Scenario, in Million</w:t>
      </w:r>
      <w:r>
        <w:rPr>
          <w:color w:val="231F20"/>
          <w:spacing w:val="-16"/>
          <w:sz w:val="24"/>
        </w:rPr>
        <w:t xml:space="preserve"> </w:t>
      </w:r>
      <w:r>
        <w:rPr>
          <w:color w:val="231F20"/>
          <w:sz w:val="24"/>
        </w:rPr>
        <w:t>(</w:t>
      </w:r>
      <w:proofErr w:type="gramStart"/>
      <w:r>
        <w:rPr>
          <w:color w:val="231F20"/>
          <w:sz w:val="24"/>
        </w:rPr>
        <w:t>?</w:t>
      </w:r>
      <w:r>
        <w:rPr>
          <w:color w:val="231F20"/>
          <w:spacing w:val="-21"/>
          <w:sz w:val="24"/>
        </w:rPr>
        <w:t xml:space="preserve"> </w:t>
      </w:r>
      <w:r>
        <w:rPr>
          <w:color w:val="231F20"/>
          <w:sz w:val="24"/>
        </w:rPr>
        <w:t>)</w:t>
      </w:r>
      <w:proofErr w:type="gramEnd"/>
      <w:r>
        <w:rPr>
          <w:color w:val="231F20"/>
          <w:sz w:val="24"/>
        </w:rPr>
        <w:t>…</w:t>
      </w:r>
      <w:r>
        <w:rPr>
          <w:color w:val="231F20"/>
          <w:sz w:val="24"/>
        </w:rPr>
        <w:tab/>
      </w:r>
      <w:r>
        <w:rPr>
          <w:color w:val="231F20"/>
          <w:spacing w:val="-6"/>
          <w:sz w:val="24"/>
        </w:rPr>
        <w:t>103</w:t>
      </w:r>
    </w:p>
    <w:p w14:paraId="307900C4" w14:textId="77777777" w:rsidR="009948F1" w:rsidRDefault="00BC0563">
      <w:pPr>
        <w:tabs>
          <w:tab w:val="left" w:leader="dot" w:pos="8408"/>
        </w:tabs>
        <w:spacing w:before="1" w:line="381" w:lineRule="auto"/>
        <w:ind w:left="1100" w:right="894" w:hanging="922"/>
        <w:rPr>
          <w:sz w:val="24"/>
        </w:rPr>
      </w:pPr>
      <w:r>
        <w:rPr>
          <w:color w:val="231F20"/>
          <w:sz w:val="24"/>
        </w:rPr>
        <w:t xml:space="preserve">Table10:Summary costs by </w:t>
      </w:r>
      <w:proofErr w:type="spellStart"/>
      <w:r>
        <w:rPr>
          <w:color w:val="231F20"/>
          <w:sz w:val="24"/>
        </w:rPr>
        <w:t>Programme</w:t>
      </w:r>
      <w:proofErr w:type="spellEnd"/>
      <w:r>
        <w:rPr>
          <w:color w:val="231F20"/>
          <w:sz w:val="24"/>
        </w:rPr>
        <w:t xml:space="preserve"> area of Rivers SHDP II 2018-2022 Essential Package Aggressive Scale-up Scenario, in</w:t>
      </w:r>
      <w:r>
        <w:rPr>
          <w:color w:val="231F20"/>
          <w:spacing w:val="-30"/>
          <w:sz w:val="24"/>
        </w:rPr>
        <w:t xml:space="preserve"> </w:t>
      </w:r>
      <w:r>
        <w:rPr>
          <w:color w:val="231F20"/>
          <w:sz w:val="24"/>
        </w:rPr>
        <w:t>Million(?</w:t>
      </w:r>
      <w:r>
        <w:rPr>
          <w:color w:val="231F20"/>
          <w:spacing w:val="-21"/>
          <w:sz w:val="24"/>
        </w:rPr>
        <w:t xml:space="preserve"> </w:t>
      </w:r>
      <w:r>
        <w:rPr>
          <w:color w:val="231F20"/>
          <w:sz w:val="24"/>
        </w:rPr>
        <w:t>)…</w:t>
      </w:r>
      <w:r>
        <w:rPr>
          <w:color w:val="231F20"/>
          <w:sz w:val="24"/>
        </w:rPr>
        <w:tab/>
      </w:r>
      <w:r>
        <w:rPr>
          <w:color w:val="231F20"/>
          <w:spacing w:val="-6"/>
          <w:sz w:val="24"/>
        </w:rPr>
        <w:t>104</w:t>
      </w:r>
    </w:p>
    <w:p w14:paraId="2D1F323A" w14:textId="77777777" w:rsidR="009948F1" w:rsidRDefault="00BC0563">
      <w:pPr>
        <w:tabs>
          <w:tab w:val="left" w:leader="dot" w:pos="8407"/>
        </w:tabs>
        <w:spacing w:before="2" w:line="381" w:lineRule="auto"/>
        <w:ind w:left="1100" w:right="895" w:hanging="922"/>
        <w:rPr>
          <w:sz w:val="24"/>
        </w:rPr>
      </w:pPr>
      <w:r>
        <w:rPr>
          <w:color w:val="231F20"/>
          <w:spacing w:val="-3"/>
          <w:sz w:val="24"/>
        </w:rPr>
        <w:t>Table</w:t>
      </w:r>
      <w:proofErr w:type="gramStart"/>
      <w:r>
        <w:rPr>
          <w:color w:val="231F20"/>
          <w:spacing w:val="-3"/>
          <w:sz w:val="24"/>
        </w:rPr>
        <w:t>11:Summary</w:t>
      </w:r>
      <w:proofErr w:type="gramEnd"/>
      <w:r>
        <w:rPr>
          <w:color w:val="231F20"/>
          <w:spacing w:val="-3"/>
          <w:sz w:val="24"/>
        </w:rPr>
        <w:t xml:space="preserve"> </w:t>
      </w:r>
      <w:r>
        <w:rPr>
          <w:color w:val="231F20"/>
          <w:sz w:val="24"/>
        </w:rPr>
        <w:t>costs of Rivers SHDP II 2018-2022 Essential Package Aggressive Scale-up Scenario, in Million</w:t>
      </w:r>
      <w:r>
        <w:rPr>
          <w:color w:val="231F20"/>
          <w:spacing w:val="-16"/>
          <w:sz w:val="24"/>
        </w:rPr>
        <w:t xml:space="preserve"> </w:t>
      </w:r>
      <w:r>
        <w:rPr>
          <w:color w:val="231F20"/>
          <w:sz w:val="24"/>
        </w:rPr>
        <w:t>(?</w:t>
      </w:r>
      <w:r>
        <w:rPr>
          <w:color w:val="231F20"/>
          <w:spacing w:val="-21"/>
          <w:sz w:val="24"/>
        </w:rPr>
        <w:t xml:space="preserve"> </w:t>
      </w:r>
      <w:r>
        <w:rPr>
          <w:color w:val="231F20"/>
          <w:sz w:val="24"/>
        </w:rPr>
        <w:t>)…</w:t>
      </w:r>
      <w:r>
        <w:rPr>
          <w:color w:val="231F20"/>
          <w:sz w:val="24"/>
        </w:rPr>
        <w:tab/>
      </w:r>
      <w:r>
        <w:rPr>
          <w:color w:val="231F20"/>
          <w:spacing w:val="-6"/>
          <w:sz w:val="24"/>
        </w:rPr>
        <w:t>105</w:t>
      </w:r>
    </w:p>
    <w:p w14:paraId="20D69870" w14:textId="77777777" w:rsidR="009948F1" w:rsidRDefault="00BC0563">
      <w:pPr>
        <w:tabs>
          <w:tab w:val="left" w:leader="dot" w:pos="8369"/>
        </w:tabs>
        <w:spacing w:before="1"/>
        <w:ind w:left="179"/>
        <w:rPr>
          <w:sz w:val="24"/>
        </w:rPr>
      </w:pPr>
      <w:r>
        <w:rPr>
          <w:color w:val="231F20"/>
          <w:spacing w:val="-6"/>
          <w:sz w:val="24"/>
        </w:rPr>
        <w:t>Table</w:t>
      </w:r>
      <w:r>
        <w:rPr>
          <w:color w:val="231F20"/>
          <w:spacing w:val="-27"/>
          <w:sz w:val="24"/>
        </w:rPr>
        <w:t xml:space="preserve"> </w:t>
      </w:r>
      <w:r>
        <w:rPr>
          <w:color w:val="231F20"/>
          <w:sz w:val="24"/>
        </w:rPr>
        <w:t>12:</w:t>
      </w:r>
      <w:r>
        <w:rPr>
          <w:color w:val="231F20"/>
          <w:spacing w:val="-40"/>
          <w:sz w:val="24"/>
        </w:rPr>
        <w:t xml:space="preserve"> </w:t>
      </w:r>
      <w:r>
        <w:rPr>
          <w:color w:val="231F20"/>
          <w:sz w:val="24"/>
        </w:rPr>
        <w:t>Analysis</w:t>
      </w:r>
      <w:r>
        <w:rPr>
          <w:color w:val="231F20"/>
          <w:spacing w:val="-27"/>
          <w:sz w:val="24"/>
        </w:rPr>
        <w:t xml:space="preserve"> </w:t>
      </w:r>
      <w:r>
        <w:rPr>
          <w:color w:val="231F20"/>
          <w:sz w:val="24"/>
        </w:rPr>
        <w:t>of</w:t>
      </w:r>
      <w:r>
        <w:rPr>
          <w:color w:val="231F20"/>
          <w:spacing w:val="-27"/>
          <w:sz w:val="24"/>
        </w:rPr>
        <w:t xml:space="preserve"> </w:t>
      </w:r>
      <w:r>
        <w:rPr>
          <w:color w:val="231F20"/>
          <w:sz w:val="24"/>
        </w:rPr>
        <w:t>HSS</w:t>
      </w:r>
      <w:r>
        <w:rPr>
          <w:color w:val="231F20"/>
          <w:spacing w:val="-27"/>
          <w:sz w:val="24"/>
        </w:rPr>
        <w:t xml:space="preserve"> </w:t>
      </w:r>
      <w:r>
        <w:rPr>
          <w:color w:val="231F20"/>
          <w:sz w:val="24"/>
        </w:rPr>
        <w:t>Capacity</w:t>
      </w:r>
      <w:r>
        <w:rPr>
          <w:color w:val="231F20"/>
          <w:spacing w:val="-27"/>
          <w:sz w:val="24"/>
        </w:rPr>
        <w:t xml:space="preserve"> </w:t>
      </w:r>
      <w:r>
        <w:rPr>
          <w:color w:val="231F20"/>
          <w:sz w:val="24"/>
        </w:rPr>
        <w:t>Utilization</w:t>
      </w:r>
      <w:r>
        <w:rPr>
          <w:color w:val="231F20"/>
          <w:spacing w:val="-26"/>
          <w:sz w:val="24"/>
        </w:rPr>
        <w:t xml:space="preserve"> </w:t>
      </w:r>
      <w:r>
        <w:rPr>
          <w:color w:val="231F20"/>
          <w:sz w:val="24"/>
        </w:rPr>
        <w:t>across</w:t>
      </w:r>
      <w:r>
        <w:rPr>
          <w:color w:val="231F20"/>
          <w:spacing w:val="-27"/>
          <w:sz w:val="24"/>
        </w:rPr>
        <w:t xml:space="preserve"> </w:t>
      </w:r>
      <w:r>
        <w:rPr>
          <w:color w:val="231F20"/>
          <w:sz w:val="24"/>
        </w:rPr>
        <w:t>the</w:t>
      </w:r>
      <w:r>
        <w:rPr>
          <w:color w:val="231F20"/>
          <w:spacing w:val="-27"/>
          <w:sz w:val="24"/>
        </w:rPr>
        <w:t xml:space="preserve"> </w:t>
      </w:r>
      <w:r>
        <w:rPr>
          <w:color w:val="231F20"/>
          <w:sz w:val="24"/>
        </w:rPr>
        <w:t>three</w:t>
      </w:r>
      <w:r>
        <w:rPr>
          <w:color w:val="231F20"/>
          <w:spacing w:val="-27"/>
          <w:sz w:val="24"/>
        </w:rPr>
        <w:t xml:space="preserve"> </w:t>
      </w:r>
      <w:r>
        <w:rPr>
          <w:color w:val="231F20"/>
          <w:sz w:val="24"/>
        </w:rPr>
        <w:t>Scenarios…</w:t>
      </w:r>
      <w:r>
        <w:rPr>
          <w:color w:val="231F20"/>
          <w:sz w:val="24"/>
        </w:rPr>
        <w:tab/>
        <w:t>108</w:t>
      </w:r>
    </w:p>
    <w:p w14:paraId="63A2D175" w14:textId="77777777" w:rsidR="009948F1" w:rsidRDefault="00BC0563">
      <w:pPr>
        <w:tabs>
          <w:tab w:val="left" w:leader="dot" w:pos="8396"/>
        </w:tabs>
        <w:spacing w:before="163" w:line="381" w:lineRule="auto"/>
        <w:ind w:left="1100" w:right="906" w:hanging="922"/>
        <w:rPr>
          <w:sz w:val="24"/>
        </w:rPr>
      </w:pPr>
      <w:r>
        <w:rPr>
          <w:color w:val="231F20"/>
          <w:spacing w:val="-6"/>
          <w:sz w:val="24"/>
        </w:rPr>
        <w:t xml:space="preserve">Table </w:t>
      </w:r>
      <w:proofErr w:type="gramStart"/>
      <w:r>
        <w:rPr>
          <w:color w:val="231F20"/>
          <w:sz w:val="24"/>
        </w:rPr>
        <w:t>13:Financial</w:t>
      </w:r>
      <w:proofErr w:type="gramEnd"/>
      <w:r>
        <w:rPr>
          <w:color w:val="231F20"/>
          <w:sz w:val="24"/>
        </w:rPr>
        <w:t xml:space="preserve"> Sustain ability Analysis of Rivers SSHDP II 2017-2021 Essential Package Moderate Scale-up Scenario, in</w:t>
      </w:r>
      <w:r>
        <w:rPr>
          <w:color w:val="231F20"/>
          <w:spacing w:val="-1"/>
          <w:sz w:val="24"/>
        </w:rPr>
        <w:t xml:space="preserve"> </w:t>
      </w:r>
      <w:r>
        <w:rPr>
          <w:color w:val="231F20"/>
          <w:sz w:val="24"/>
        </w:rPr>
        <w:t>Million ($)…</w:t>
      </w:r>
      <w:r>
        <w:rPr>
          <w:color w:val="231F20"/>
          <w:sz w:val="24"/>
        </w:rPr>
        <w:tab/>
      </w:r>
      <w:r>
        <w:rPr>
          <w:color w:val="231F20"/>
          <w:spacing w:val="-6"/>
          <w:sz w:val="24"/>
        </w:rPr>
        <w:t>109</w:t>
      </w:r>
    </w:p>
    <w:p w14:paraId="784A6E5C" w14:textId="77777777" w:rsidR="009948F1" w:rsidRDefault="00BC0563">
      <w:pPr>
        <w:tabs>
          <w:tab w:val="left" w:leader="dot" w:pos="8383"/>
        </w:tabs>
        <w:spacing w:before="2" w:line="381" w:lineRule="auto"/>
        <w:ind w:left="1100" w:right="919" w:hanging="922"/>
        <w:rPr>
          <w:sz w:val="24"/>
        </w:rPr>
      </w:pPr>
      <w:r>
        <w:rPr>
          <w:color w:val="231F20"/>
          <w:sz w:val="24"/>
        </w:rPr>
        <w:t>Table</w:t>
      </w:r>
      <w:proofErr w:type="gramStart"/>
      <w:r>
        <w:rPr>
          <w:color w:val="231F20"/>
          <w:sz w:val="24"/>
        </w:rPr>
        <w:t>14:Financial</w:t>
      </w:r>
      <w:proofErr w:type="gramEnd"/>
      <w:r>
        <w:rPr>
          <w:color w:val="231F20"/>
          <w:sz w:val="24"/>
        </w:rPr>
        <w:t xml:space="preserve"> Sustain ability Analysis of Rivers SSHDP II 2018-2022 Essential Package Aggressive Scale-up Scenario, in</w:t>
      </w:r>
      <w:r>
        <w:rPr>
          <w:color w:val="231F20"/>
          <w:spacing w:val="-14"/>
          <w:sz w:val="24"/>
        </w:rPr>
        <w:t xml:space="preserve"> </w:t>
      </w:r>
      <w:r>
        <w:rPr>
          <w:color w:val="231F20"/>
          <w:sz w:val="24"/>
        </w:rPr>
        <w:t>Million ($)…</w:t>
      </w:r>
      <w:r>
        <w:rPr>
          <w:color w:val="231F20"/>
          <w:sz w:val="24"/>
        </w:rPr>
        <w:tab/>
      </w:r>
      <w:r>
        <w:rPr>
          <w:color w:val="231F20"/>
          <w:spacing w:val="-6"/>
          <w:sz w:val="24"/>
        </w:rPr>
        <w:t>109</w:t>
      </w:r>
    </w:p>
    <w:p w14:paraId="5A78BF19" w14:textId="77777777" w:rsidR="009948F1" w:rsidRDefault="009948F1">
      <w:pPr>
        <w:pStyle w:val="BodyText"/>
        <w:rPr>
          <w:sz w:val="24"/>
        </w:rPr>
      </w:pPr>
    </w:p>
    <w:p w14:paraId="65480FB3" w14:textId="77777777" w:rsidR="009948F1" w:rsidRDefault="009948F1">
      <w:pPr>
        <w:pStyle w:val="BodyText"/>
        <w:spacing w:before="5"/>
        <w:rPr>
          <w:sz w:val="25"/>
        </w:rPr>
      </w:pPr>
    </w:p>
    <w:p w14:paraId="188F3C44" w14:textId="77777777" w:rsidR="009948F1" w:rsidRDefault="00BC0563">
      <w:pPr>
        <w:ind w:left="179"/>
        <w:rPr>
          <w:b/>
          <w:sz w:val="32"/>
        </w:rPr>
      </w:pPr>
      <w:r>
        <w:rPr>
          <w:b/>
          <w:color w:val="231F20"/>
          <w:sz w:val="32"/>
        </w:rPr>
        <w:t>LIST OF FIGURES</w:t>
      </w:r>
    </w:p>
    <w:p w14:paraId="4A07C84E" w14:textId="77777777" w:rsidR="009948F1" w:rsidRDefault="00BC0563">
      <w:pPr>
        <w:tabs>
          <w:tab w:val="left" w:leader="dot" w:pos="8496"/>
        </w:tabs>
        <w:spacing w:before="146"/>
        <w:ind w:left="179"/>
        <w:rPr>
          <w:sz w:val="24"/>
        </w:rPr>
      </w:pPr>
      <w:r>
        <w:rPr>
          <w:color w:val="231F20"/>
          <w:sz w:val="24"/>
        </w:rPr>
        <w:t>Figure</w:t>
      </w:r>
      <w:r>
        <w:rPr>
          <w:color w:val="231F20"/>
          <w:spacing w:val="-28"/>
          <w:sz w:val="24"/>
        </w:rPr>
        <w:t xml:space="preserve"> </w:t>
      </w:r>
      <w:proofErr w:type="gramStart"/>
      <w:r>
        <w:rPr>
          <w:color w:val="231F20"/>
          <w:sz w:val="24"/>
        </w:rPr>
        <w:t>1:The</w:t>
      </w:r>
      <w:proofErr w:type="gramEnd"/>
      <w:r>
        <w:rPr>
          <w:color w:val="231F20"/>
          <w:spacing w:val="-27"/>
          <w:sz w:val="24"/>
        </w:rPr>
        <w:t xml:space="preserve"> </w:t>
      </w:r>
      <w:r>
        <w:rPr>
          <w:color w:val="231F20"/>
          <w:sz w:val="24"/>
        </w:rPr>
        <w:t>results</w:t>
      </w:r>
      <w:r>
        <w:rPr>
          <w:color w:val="231F20"/>
          <w:spacing w:val="-27"/>
          <w:sz w:val="24"/>
        </w:rPr>
        <w:t xml:space="preserve"> </w:t>
      </w:r>
      <w:r>
        <w:rPr>
          <w:color w:val="231F20"/>
          <w:sz w:val="24"/>
        </w:rPr>
        <w:t>Framework</w:t>
      </w:r>
      <w:r>
        <w:rPr>
          <w:color w:val="231F20"/>
          <w:spacing w:val="-27"/>
          <w:sz w:val="24"/>
        </w:rPr>
        <w:t xml:space="preserve"> </w:t>
      </w:r>
      <w:r>
        <w:rPr>
          <w:color w:val="231F20"/>
          <w:sz w:val="24"/>
        </w:rPr>
        <w:t>of</w:t>
      </w:r>
      <w:r>
        <w:rPr>
          <w:color w:val="231F20"/>
          <w:spacing w:val="-27"/>
          <w:sz w:val="24"/>
        </w:rPr>
        <w:t xml:space="preserve"> </w:t>
      </w:r>
      <w:r>
        <w:rPr>
          <w:color w:val="231F20"/>
          <w:sz w:val="24"/>
        </w:rPr>
        <w:t>the</w:t>
      </w:r>
      <w:r>
        <w:rPr>
          <w:color w:val="231F20"/>
          <w:spacing w:val="-27"/>
          <w:sz w:val="24"/>
        </w:rPr>
        <w:t xml:space="preserve"> </w:t>
      </w:r>
      <w:r>
        <w:rPr>
          <w:color w:val="231F20"/>
          <w:sz w:val="24"/>
        </w:rPr>
        <w:t>SSHDP</w:t>
      </w:r>
      <w:r>
        <w:rPr>
          <w:color w:val="231F20"/>
          <w:spacing w:val="-31"/>
          <w:sz w:val="24"/>
        </w:rPr>
        <w:t xml:space="preserve"> </w:t>
      </w:r>
      <w:r>
        <w:rPr>
          <w:color w:val="231F20"/>
          <w:sz w:val="24"/>
        </w:rPr>
        <w:t>Ii…</w:t>
      </w:r>
      <w:r>
        <w:rPr>
          <w:color w:val="231F20"/>
          <w:sz w:val="24"/>
        </w:rPr>
        <w:tab/>
        <w:t>35</w:t>
      </w:r>
    </w:p>
    <w:p w14:paraId="279C3CBE" w14:textId="77777777" w:rsidR="009948F1" w:rsidRDefault="009948F1">
      <w:pPr>
        <w:pStyle w:val="BodyText"/>
        <w:rPr>
          <w:sz w:val="24"/>
        </w:rPr>
      </w:pPr>
    </w:p>
    <w:p w14:paraId="2FD307C9" w14:textId="77777777" w:rsidR="009948F1" w:rsidRDefault="009948F1">
      <w:pPr>
        <w:pStyle w:val="BodyText"/>
        <w:spacing w:before="8"/>
        <w:rPr>
          <w:sz w:val="20"/>
        </w:rPr>
      </w:pPr>
    </w:p>
    <w:p w14:paraId="4DDE7DCA" w14:textId="77777777" w:rsidR="009948F1" w:rsidRDefault="00BC0563">
      <w:pPr>
        <w:tabs>
          <w:tab w:val="left" w:leader="dot" w:pos="8417"/>
        </w:tabs>
        <w:spacing w:line="273" w:lineRule="auto"/>
        <w:ind w:left="1095" w:right="885" w:hanging="917"/>
        <w:rPr>
          <w:sz w:val="24"/>
        </w:rPr>
      </w:pPr>
      <w:r>
        <w:rPr>
          <w:color w:val="231F20"/>
          <w:sz w:val="24"/>
        </w:rPr>
        <w:t>Figure2: Distribution of Program Activity Cost for Rivers S SHDP II 2018 -2022 Essential Service</w:t>
      </w:r>
      <w:r>
        <w:rPr>
          <w:color w:val="231F20"/>
          <w:spacing w:val="-1"/>
          <w:sz w:val="24"/>
        </w:rPr>
        <w:t xml:space="preserve"> </w:t>
      </w:r>
      <w:r>
        <w:rPr>
          <w:color w:val="231F20"/>
          <w:sz w:val="24"/>
        </w:rPr>
        <w:t>Moderate Scenario…</w:t>
      </w:r>
      <w:r>
        <w:rPr>
          <w:color w:val="231F20"/>
          <w:sz w:val="24"/>
        </w:rPr>
        <w:tab/>
      </w:r>
      <w:r>
        <w:rPr>
          <w:color w:val="231F20"/>
          <w:spacing w:val="-6"/>
          <w:sz w:val="24"/>
        </w:rPr>
        <w:t>103</w:t>
      </w:r>
    </w:p>
    <w:p w14:paraId="6B8C8B11" w14:textId="77777777" w:rsidR="009948F1" w:rsidRDefault="009948F1">
      <w:pPr>
        <w:pStyle w:val="BodyText"/>
        <w:spacing w:before="6"/>
        <w:rPr>
          <w:sz w:val="27"/>
        </w:rPr>
      </w:pPr>
    </w:p>
    <w:p w14:paraId="09BFFF78" w14:textId="77777777" w:rsidR="009948F1" w:rsidRDefault="00BC0563">
      <w:pPr>
        <w:tabs>
          <w:tab w:val="left" w:leader="dot" w:pos="8366"/>
        </w:tabs>
        <w:spacing w:line="273" w:lineRule="auto"/>
        <w:ind w:left="1084" w:right="936" w:hanging="906"/>
        <w:rPr>
          <w:sz w:val="24"/>
        </w:rPr>
      </w:pPr>
      <w:r>
        <w:rPr>
          <w:color w:val="231F20"/>
          <w:sz w:val="24"/>
        </w:rPr>
        <w:t>Figure 3:Distribution of Program Activity Cost for Rivers SSHDP II 2018 -2022 Essential Service</w:t>
      </w:r>
      <w:r>
        <w:rPr>
          <w:color w:val="231F20"/>
          <w:spacing w:val="-14"/>
          <w:sz w:val="24"/>
        </w:rPr>
        <w:t xml:space="preserve"> </w:t>
      </w:r>
      <w:r>
        <w:rPr>
          <w:color w:val="231F20"/>
          <w:sz w:val="24"/>
        </w:rPr>
        <w:t>Aggressive Scenario…</w:t>
      </w:r>
      <w:r>
        <w:rPr>
          <w:color w:val="231F20"/>
          <w:sz w:val="24"/>
        </w:rPr>
        <w:tab/>
      </w:r>
      <w:r>
        <w:rPr>
          <w:color w:val="231F20"/>
          <w:spacing w:val="-6"/>
          <w:sz w:val="24"/>
        </w:rPr>
        <w:t>105</w:t>
      </w:r>
    </w:p>
    <w:p w14:paraId="25B84E7A" w14:textId="7782B39F" w:rsidR="009948F1" w:rsidRDefault="00777DF0">
      <w:pPr>
        <w:spacing w:before="162"/>
        <w:ind w:left="179"/>
        <w:rPr>
          <w:sz w:val="24"/>
        </w:rPr>
      </w:pPr>
      <w:r>
        <w:rPr>
          <w:color w:val="231F20"/>
          <w:sz w:val="24"/>
        </w:rPr>
        <w:t xml:space="preserve">Figure </w:t>
      </w:r>
      <w:proofErr w:type="gramStart"/>
      <w:r>
        <w:rPr>
          <w:color w:val="231F20"/>
          <w:sz w:val="24"/>
        </w:rPr>
        <w:t>4:Financial</w:t>
      </w:r>
      <w:proofErr w:type="gramEnd"/>
      <w:r>
        <w:rPr>
          <w:color w:val="231F20"/>
          <w:sz w:val="24"/>
        </w:rPr>
        <w:t xml:space="preserve"> sustain</w:t>
      </w:r>
      <w:r w:rsidR="00BC0563">
        <w:rPr>
          <w:color w:val="231F20"/>
          <w:sz w:val="24"/>
        </w:rPr>
        <w:t>ability of RIVERS SSHDP II 2018-2022, in Millions.</w:t>
      </w:r>
      <w:r w:rsidR="00BC0563">
        <w:rPr>
          <w:color w:val="231F20"/>
          <w:spacing w:val="-6"/>
          <w:sz w:val="24"/>
        </w:rPr>
        <w:t xml:space="preserve"> </w:t>
      </w:r>
      <w:r w:rsidR="00BC0563">
        <w:rPr>
          <w:color w:val="231F20"/>
          <w:spacing w:val="-12"/>
          <w:sz w:val="24"/>
        </w:rPr>
        <w:t>111</w:t>
      </w:r>
    </w:p>
    <w:p w14:paraId="2AA7546C" w14:textId="77777777" w:rsidR="009948F1" w:rsidRDefault="009948F1">
      <w:pPr>
        <w:rPr>
          <w:sz w:val="24"/>
        </w:rPr>
        <w:sectPr w:rsidR="009948F1">
          <w:pgSz w:w="11910" w:h="16840"/>
          <w:pgMar w:top="1340" w:right="1080" w:bottom="1420" w:left="1120" w:header="0" w:footer="1235" w:gutter="0"/>
          <w:cols w:space="720"/>
        </w:sectPr>
      </w:pPr>
    </w:p>
    <w:p w14:paraId="705E6C41" w14:textId="77777777" w:rsidR="009948F1" w:rsidRDefault="00BC0563">
      <w:pPr>
        <w:spacing w:before="36"/>
        <w:ind w:left="141"/>
        <w:rPr>
          <w:b/>
          <w:sz w:val="24"/>
        </w:rPr>
      </w:pPr>
      <w:bookmarkStart w:id="4" w:name="_TOC_250044"/>
      <w:bookmarkEnd w:id="4"/>
      <w:r>
        <w:rPr>
          <w:b/>
          <w:color w:val="231F20"/>
          <w:sz w:val="24"/>
        </w:rPr>
        <w:lastRenderedPageBreak/>
        <w:t>ACRONYMS</w:t>
      </w:r>
    </w:p>
    <w:p w14:paraId="716BDC37" w14:textId="77777777" w:rsidR="009948F1" w:rsidRDefault="009948F1">
      <w:pPr>
        <w:pStyle w:val="BodyText"/>
        <w:spacing w:before="10"/>
        <w:rPr>
          <w:b/>
          <w:sz w:val="27"/>
        </w:rPr>
      </w:pPr>
    </w:p>
    <w:p w14:paraId="51EC2BAE" w14:textId="77777777" w:rsidR="009948F1" w:rsidRDefault="00BC0563">
      <w:pPr>
        <w:tabs>
          <w:tab w:val="left" w:pos="1581"/>
        </w:tabs>
        <w:spacing w:line="259" w:lineRule="auto"/>
        <w:ind w:left="141" w:right="3986"/>
        <w:rPr>
          <w:sz w:val="24"/>
        </w:rPr>
      </w:pPr>
      <w:r>
        <w:rPr>
          <w:color w:val="231F20"/>
          <w:sz w:val="24"/>
        </w:rPr>
        <w:t>AIDS</w:t>
      </w:r>
      <w:r>
        <w:rPr>
          <w:color w:val="231F20"/>
          <w:sz w:val="24"/>
        </w:rPr>
        <w:tab/>
        <w:t>Acquired</w:t>
      </w:r>
      <w:r>
        <w:rPr>
          <w:color w:val="231F20"/>
          <w:spacing w:val="-32"/>
          <w:sz w:val="24"/>
        </w:rPr>
        <w:t xml:space="preserve"> </w:t>
      </w:r>
      <w:r>
        <w:rPr>
          <w:color w:val="231F20"/>
          <w:sz w:val="24"/>
        </w:rPr>
        <w:t>Immune</w:t>
      </w:r>
      <w:r>
        <w:rPr>
          <w:color w:val="231F20"/>
          <w:spacing w:val="-31"/>
          <w:sz w:val="24"/>
        </w:rPr>
        <w:t xml:space="preserve"> </w:t>
      </w:r>
      <w:r>
        <w:rPr>
          <w:color w:val="231F20"/>
          <w:sz w:val="24"/>
        </w:rPr>
        <w:t>Deficiency</w:t>
      </w:r>
      <w:r>
        <w:rPr>
          <w:color w:val="231F20"/>
          <w:spacing w:val="-31"/>
          <w:sz w:val="24"/>
        </w:rPr>
        <w:t xml:space="preserve"> </w:t>
      </w:r>
      <w:r>
        <w:rPr>
          <w:color w:val="231F20"/>
          <w:sz w:val="24"/>
        </w:rPr>
        <w:t>Syndrome ANC</w:t>
      </w:r>
      <w:r>
        <w:rPr>
          <w:color w:val="231F20"/>
          <w:sz w:val="24"/>
        </w:rPr>
        <w:tab/>
        <w:t>Ante Natal</w:t>
      </w:r>
      <w:r>
        <w:rPr>
          <w:color w:val="231F20"/>
          <w:spacing w:val="-54"/>
          <w:sz w:val="24"/>
        </w:rPr>
        <w:t xml:space="preserve"> </w:t>
      </w:r>
      <w:r>
        <w:rPr>
          <w:color w:val="231F20"/>
          <w:sz w:val="24"/>
        </w:rPr>
        <w:t>Care</w:t>
      </w:r>
    </w:p>
    <w:p w14:paraId="6C549C3B" w14:textId="77777777" w:rsidR="009948F1" w:rsidRDefault="00BC0563">
      <w:pPr>
        <w:tabs>
          <w:tab w:val="left" w:pos="1581"/>
        </w:tabs>
        <w:spacing w:line="259" w:lineRule="auto"/>
        <w:ind w:left="141" w:right="5453"/>
        <w:rPr>
          <w:sz w:val="24"/>
        </w:rPr>
      </w:pPr>
      <w:r>
        <w:rPr>
          <w:color w:val="231F20"/>
          <w:sz w:val="24"/>
        </w:rPr>
        <w:t>AOPs</w:t>
      </w:r>
      <w:r>
        <w:rPr>
          <w:color w:val="231F20"/>
          <w:sz w:val="24"/>
        </w:rPr>
        <w:tab/>
        <w:t>Annual Operational</w:t>
      </w:r>
      <w:r>
        <w:rPr>
          <w:color w:val="231F20"/>
          <w:spacing w:val="-52"/>
          <w:sz w:val="24"/>
        </w:rPr>
        <w:t xml:space="preserve"> </w:t>
      </w:r>
      <w:r>
        <w:rPr>
          <w:color w:val="231F20"/>
          <w:spacing w:val="-4"/>
          <w:sz w:val="24"/>
        </w:rPr>
        <w:t xml:space="preserve">Plans </w:t>
      </w:r>
      <w:r>
        <w:rPr>
          <w:color w:val="231F20"/>
          <w:sz w:val="24"/>
        </w:rPr>
        <w:t>ART</w:t>
      </w:r>
      <w:r>
        <w:rPr>
          <w:color w:val="231F20"/>
          <w:sz w:val="24"/>
        </w:rPr>
        <w:tab/>
        <w:t>Anti-Retroviral</w:t>
      </w:r>
      <w:r>
        <w:rPr>
          <w:color w:val="231F20"/>
          <w:spacing w:val="-32"/>
          <w:sz w:val="24"/>
        </w:rPr>
        <w:t xml:space="preserve"> </w:t>
      </w:r>
      <w:r>
        <w:rPr>
          <w:color w:val="231F20"/>
          <w:sz w:val="24"/>
        </w:rPr>
        <w:t>Therapy</w:t>
      </w:r>
    </w:p>
    <w:p w14:paraId="04FA8477" w14:textId="77777777" w:rsidR="009948F1" w:rsidRDefault="00BC0563">
      <w:pPr>
        <w:tabs>
          <w:tab w:val="left" w:pos="1581"/>
        </w:tabs>
        <w:ind w:left="141"/>
        <w:rPr>
          <w:sz w:val="24"/>
        </w:rPr>
      </w:pPr>
      <w:r>
        <w:rPr>
          <w:color w:val="231F20"/>
          <w:sz w:val="24"/>
        </w:rPr>
        <w:t>APYIN</w:t>
      </w:r>
      <w:r>
        <w:rPr>
          <w:color w:val="231F20"/>
          <w:sz w:val="24"/>
        </w:rPr>
        <w:tab/>
        <w:t>Association</w:t>
      </w:r>
      <w:r>
        <w:rPr>
          <w:color w:val="231F20"/>
          <w:spacing w:val="-27"/>
          <w:sz w:val="24"/>
        </w:rPr>
        <w:t xml:space="preserve"> </w:t>
      </w:r>
      <w:r>
        <w:rPr>
          <w:color w:val="231F20"/>
          <w:sz w:val="24"/>
        </w:rPr>
        <w:t>of</w:t>
      </w:r>
      <w:r>
        <w:rPr>
          <w:color w:val="231F20"/>
          <w:spacing w:val="-27"/>
          <w:sz w:val="24"/>
        </w:rPr>
        <w:t xml:space="preserve"> </w:t>
      </w:r>
      <w:r>
        <w:rPr>
          <w:color w:val="231F20"/>
          <w:sz w:val="24"/>
        </w:rPr>
        <w:t>Positive</w:t>
      </w:r>
      <w:r>
        <w:rPr>
          <w:color w:val="231F20"/>
          <w:spacing w:val="-31"/>
          <w:sz w:val="24"/>
        </w:rPr>
        <w:t xml:space="preserve"> </w:t>
      </w:r>
      <w:r>
        <w:rPr>
          <w:color w:val="231F20"/>
          <w:spacing w:val="-5"/>
          <w:sz w:val="24"/>
        </w:rPr>
        <w:t>Youth</w:t>
      </w:r>
      <w:r>
        <w:rPr>
          <w:color w:val="231F20"/>
          <w:spacing w:val="-27"/>
          <w:sz w:val="24"/>
        </w:rPr>
        <w:t xml:space="preserve"> </w:t>
      </w:r>
      <w:r>
        <w:rPr>
          <w:color w:val="231F20"/>
          <w:sz w:val="24"/>
        </w:rPr>
        <w:t>in</w:t>
      </w:r>
      <w:r>
        <w:rPr>
          <w:color w:val="231F20"/>
          <w:spacing w:val="-27"/>
          <w:sz w:val="24"/>
        </w:rPr>
        <w:t xml:space="preserve"> </w:t>
      </w:r>
      <w:r>
        <w:rPr>
          <w:color w:val="231F20"/>
          <w:sz w:val="24"/>
        </w:rPr>
        <w:t>Nigeria</w:t>
      </w:r>
    </w:p>
    <w:p w14:paraId="19B8749E" w14:textId="77777777" w:rsidR="009948F1" w:rsidRDefault="00BC0563">
      <w:pPr>
        <w:tabs>
          <w:tab w:val="left" w:pos="1581"/>
        </w:tabs>
        <w:spacing w:before="22" w:line="259" w:lineRule="auto"/>
        <w:ind w:left="141" w:right="3199"/>
        <w:rPr>
          <w:sz w:val="24"/>
        </w:rPr>
      </w:pPr>
      <w:r>
        <w:rPr>
          <w:color w:val="231F20"/>
          <w:sz w:val="24"/>
        </w:rPr>
        <w:t>ARFH</w:t>
      </w:r>
      <w:r>
        <w:rPr>
          <w:color w:val="231F20"/>
          <w:sz w:val="24"/>
        </w:rPr>
        <w:tab/>
        <w:t>Association</w:t>
      </w:r>
      <w:r>
        <w:rPr>
          <w:color w:val="231F20"/>
          <w:spacing w:val="-27"/>
          <w:sz w:val="24"/>
        </w:rPr>
        <w:t xml:space="preserve"> </w:t>
      </w:r>
      <w:r>
        <w:rPr>
          <w:color w:val="231F20"/>
          <w:sz w:val="24"/>
        </w:rPr>
        <w:t>for</w:t>
      </w:r>
      <w:r>
        <w:rPr>
          <w:color w:val="231F20"/>
          <w:spacing w:val="-27"/>
          <w:sz w:val="24"/>
        </w:rPr>
        <w:t xml:space="preserve"> </w:t>
      </w:r>
      <w:r>
        <w:rPr>
          <w:color w:val="231F20"/>
          <w:sz w:val="24"/>
        </w:rPr>
        <w:t>Reproductive</w:t>
      </w:r>
      <w:r>
        <w:rPr>
          <w:color w:val="231F20"/>
          <w:spacing w:val="-26"/>
          <w:sz w:val="24"/>
        </w:rPr>
        <w:t xml:space="preserve"> </w:t>
      </w:r>
      <w:r>
        <w:rPr>
          <w:color w:val="231F20"/>
          <w:sz w:val="24"/>
        </w:rPr>
        <w:t>and</w:t>
      </w:r>
      <w:r>
        <w:rPr>
          <w:color w:val="231F20"/>
          <w:spacing w:val="-27"/>
          <w:sz w:val="24"/>
        </w:rPr>
        <w:t xml:space="preserve"> </w:t>
      </w:r>
      <w:r>
        <w:rPr>
          <w:color w:val="231F20"/>
          <w:sz w:val="24"/>
        </w:rPr>
        <w:t>Family</w:t>
      </w:r>
      <w:r>
        <w:rPr>
          <w:color w:val="231F20"/>
          <w:spacing w:val="-26"/>
          <w:sz w:val="24"/>
        </w:rPr>
        <w:t xml:space="preserve"> </w:t>
      </w:r>
      <w:r>
        <w:rPr>
          <w:color w:val="231F20"/>
          <w:spacing w:val="-3"/>
          <w:sz w:val="24"/>
        </w:rPr>
        <w:t xml:space="preserve">Health </w:t>
      </w:r>
      <w:r>
        <w:rPr>
          <w:color w:val="231F20"/>
          <w:sz w:val="24"/>
        </w:rPr>
        <w:t>BCC</w:t>
      </w:r>
      <w:r>
        <w:rPr>
          <w:color w:val="231F20"/>
          <w:sz w:val="24"/>
        </w:rPr>
        <w:tab/>
      </w:r>
      <w:proofErr w:type="spellStart"/>
      <w:r>
        <w:rPr>
          <w:color w:val="231F20"/>
          <w:sz w:val="24"/>
        </w:rPr>
        <w:t>Behaviour</w:t>
      </w:r>
      <w:proofErr w:type="spellEnd"/>
      <w:r>
        <w:rPr>
          <w:color w:val="231F20"/>
          <w:sz w:val="24"/>
        </w:rPr>
        <w:t xml:space="preserve"> Change</w:t>
      </w:r>
      <w:r>
        <w:rPr>
          <w:color w:val="231F20"/>
          <w:spacing w:val="-55"/>
          <w:sz w:val="24"/>
        </w:rPr>
        <w:t xml:space="preserve"> </w:t>
      </w:r>
      <w:r>
        <w:rPr>
          <w:color w:val="231F20"/>
          <w:sz w:val="24"/>
        </w:rPr>
        <w:t>Communication</w:t>
      </w:r>
    </w:p>
    <w:p w14:paraId="545E8B64" w14:textId="77777777" w:rsidR="009948F1" w:rsidRDefault="00BC0563">
      <w:pPr>
        <w:tabs>
          <w:tab w:val="left" w:pos="1581"/>
        </w:tabs>
        <w:spacing w:before="1" w:line="259" w:lineRule="auto"/>
        <w:ind w:left="141" w:right="4626"/>
        <w:rPr>
          <w:sz w:val="24"/>
        </w:rPr>
      </w:pPr>
      <w:r>
        <w:rPr>
          <w:color w:val="231F20"/>
          <w:sz w:val="24"/>
        </w:rPr>
        <w:t>BHCPF</w:t>
      </w:r>
      <w:r>
        <w:rPr>
          <w:color w:val="231F20"/>
          <w:sz w:val="24"/>
        </w:rPr>
        <w:tab/>
        <w:t>Basic</w:t>
      </w:r>
      <w:r>
        <w:rPr>
          <w:color w:val="231F20"/>
          <w:spacing w:val="-27"/>
          <w:sz w:val="24"/>
        </w:rPr>
        <w:t xml:space="preserve"> </w:t>
      </w:r>
      <w:r>
        <w:rPr>
          <w:color w:val="231F20"/>
          <w:sz w:val="24"/>
        </w:rPr>
        <w:t>Health</w:t>
      </w:r>
      <w:r>
        <w:rPr>
          <w:color w:val="231F20"/>
          <w:spacing w:val="-27"/>
          <w:sz w:val="24"/>
        </w:rPr>
        <w:t xml:space="preserve"> </w:t>
      </w:r>
      <w:r>
        <w:rPr>
          <w:color w:val="231F20"/>
          <w:sz w:val="24"/>
        </w:rPr>
        <w:t>Care</w:t>
      </w:r>
      <w:r>
        <w:rPr>
          <w:color w:val="231F20"/>
          <w:spacing w:val="-27"/>
          <w:sz w:val="24"/>
        </w:rPr>
        <w:t xml:space="preserve"> </w:t>
      </w:r>
      <w:r>
        <w:rPr>
          <w:color w:val="231F20"/>
          <w:sz w:val="24"/>
        </w:rPr>
        <w:t>Provision</w:t>
      </w:r>
      <w:r>
        <w:rPr>
          <w:color w:val="231F20"/>
          <w:spacing w:val="-27"/>
          <w:sz w:val="24"/>
        </w:rPr>
        <w:t xml:space="preserve"> </w:t>
      </w:r>
      <w:r>
        <w:rPr>
          <w:color w:val="231F20"/>
          <w:spacing w:val="-4"/>
          <w:sz w:val="24"/>
        </w:rPr>
        <w:t xml:space="preserve">Fund </w:t>
      </w:r>
      <w:r>
        <w:rPr>
          <w:color w:val="231F20"/>
          <w:sz w:val="24"/>
        </w:rPr>
        <w:t>BMHB</w:t>
      </w:r>
      <w:r>
        <w:rPr>
          <w:color w:val="231F20"/>
          <w:sz w:val="24"/>
        </w:rPr>
        <w:tab/>
        <w:t>Basic Minimum Health Benefit BSG</w:t>
      </w:r>
      <w:r>
        <w:rPr>
          <w:color w:val="231F20"/>
          <w:sz w:val="24"/>
        </w:rPr>
        <w:tab/>
        <w:t>Breastfeeding Support</w:t>
      </w:r>
      <w:r>
        <w:rPr>
          <w:color w:val="231F20"/>
          <w:spacing w:val="-55"/>
          <w:sz w:val="24"/>
        </w:rPr>
        <w:t xml:space="preserve"> </w:t>
      </w:r>
      <w:r>
        <w:rPr>
          <w:color w:val="231F20"/>
          <w:sz w:val="24"/>
        </w:rPr>
        <w:t>Group</w:t>
      </w:r>
    </w:p>
    <w:p w14:paraId="4A166BCC" w14:textId="77777777" w:rsidR="009948F1" w:rsidRDefault="00BC0563">
      <w:pPr>
        <w:tabs>
          <w:tab w:val="left" w:pos="1581"/>
        </w:tabs>
        <w:ind w:left="141"/>
        <w:rPr>
          <w:sz w:val="24"/>
        </w:rPr>
      </w:pPr>
      <w:r>
        <w:rPr>
          <w:color w:val="231F20"/>
          <w:sz w:val="24"/>
        </w:rPr>
        <w:t>CAP</w:t>
      </w:r>
      <w:r>
        <w:rPr>
          <w:color w:val="231F20"/>
          <w:sz w:val="24"/>
        </w:rPr>
        <w:tab/>
        <w:t>Common</w:t>
      </w:r>
      <w:r>
        <w:rPr>
          <w:color w:val="231F20"/>
          <w:spacing w:val="-40"/>
          <w:sz w:val="24"/>
        </w:rPr>
        <w:t xml:space="preserve"> </w:t>
      </w:r>
      <w:r>
        <w:rPr>
          <w:color w:val="231F20"/>
          <w:sz w:val="24"/>
        </w:rPr>
        <w:t>African</w:t>
      </w:r>
      <w:r>
        <w:rPr>
          <w:color w:val="231F20"/>
          <w:spacing w:val="-28"/>
          <w:sz w:val="24"/>
        </w:rPr>
        <w:t xml:space="preserve"> </w:t>
      </w:r>
      <w:r>
        <w:rPr>
          <w:color w:val="231F20"/>
          <w:sz w:val="24"/>
        </w:rPr>
        <w:t>Position</w:t>
      </w:r>
    </w:p>
    <w:p w14:paraId="59323D3C" w14:textId="77777777" w:rsidR="009948F1" w:rsidRDefault="00BC0563">
      <w:pPr>
        <w:tabs>
          <w:tab w:val="left" w:pos="1581"/>
        </w:tabs>
        <w:spacing w:before="22" w:line="259" w:lineRule="auto"/>
        <w:ind w:left="141" w:right="4253"/>
        <w:rPr>
          <w:sz w:val="24"/>
        </w:rPr>
      </w:pPr>
      <w:r>
        <w:rPr>
          <w:color w:val="231F20"/>
          <w:sz w:val="24"/>
        </w:rPr>
        <w:t>CBO</w:t>
      </w:r>
      <w:r>
        <w:rPr>
          <w:color w:val="231F20"/>
          <w:sz w:val="24"/>
        </w:rPr>
        <w:tab/>
        <w:t>Community Based Organisation CDC</w:t>
      </w:r>
      <w:r>
        <w:rPr>
          <w:color w:val="231F20"/>
          <w:sz w:val="24"/>
        </w:rPr>
        <w:tab/>
        <w:t>Community</w:t>
      </w:r>
      <w:r>
        <w:rPr>
          <w:color w:val="231F20"/>
          <w:spacing w:val="-34"/>
          <w:sz w:val="24"/>
        </w:rPr>
        <w:t xml:space="preserve"> </w:t>
      </w:r>
      <w:r>
        <w:rPr>
          <w:color w:val="231F20"/>
          <w:sz w:val="24"/>
        </w:rPr>
        <w:t>Development</w:t>
      </w:r>
      <w:r>
        <w:rPr>
          <w:color w:val="231F20"/>
          <w:spacing w:val="-33"/>
          <w:sz w:val="24"/>
        </w:rPr>
        <w:t xml:space="preserve"> </w:t>
      </w:r>
      <w:r>
        <w:rPr>
          <w:color w:val="231F20"/>
          <w:sz w:val="24"/>
        </w:rPr>
        <w:t>Committee</w:t>
      </w:r>
    </w:p>
    <w:p w14:paraId="7764159D" w14:textId="77777777" w:rsidR="009948F1" w:rsidRDefault="00BC0563">
      <w:pPr>
        <w:tabs>
          <w:tab w:val="left" w:pos="1581"/>
        </w:tabs>
        <w:spacing w:line="259" w:lineRule="auto"/>
        <w:ind w:left="141" w:right="3626"/>
        <w:rPr>
          <w:sz w:val="24"/>
        </w:rPr>
      </w:pPr>
      <w:r>
        <w:rPr>
          <w:color w:val="231F20"/>
          <w:sz w:val="24"/>
        </w:rPr>
        <w:t>CEMOC</w:t>
      </w:r>
      <w:r>
        <w:rPr>
          <w:color w:val="231F20"/>
          <w:sz w:val="24"/>
        </w:rPr>
        <w:tab/>
        <w:t>Comprehensive</w:t>
      </w:r>
      <w:r>
        <w:rPr>
          <w:color w:val="231F20"/>
          <w:spacing w:val="-27"/>
          <w:sz w:val="24"/>
        </w:rPr>
        <w:t xml:space="preserve"> </w:t>
      </w:r>
      <w:r>
        <w:rPr>
          <w:color w:val="231F20"/>
          <w:sz w:val="24"/>
        </w:rPr>
        <w:t>Emergency</w:t>
      </w:r>
      <w:r>
        <w:rPr>
          <w:color w:val="231F20"/>
          <w:spacing w:val="-27"/>
          <w:sz w:val="24"/>
        </w:rPr>
        <w:t xml:space="preserve"> </w:t>
      </w:r>
      <w:r>
        <w:rPr>
          <w:color w:val="231F20"/>
          <w:sz w:val="24"/>
        </w:rPr>
        <w:t>Obstetric</w:t>
      </w:r>
      <w:r>
        <w:rPr>
          <w:color w:val="231F20"/>
          <w:spacing w:val="-27"/>
          <w:sz w:val="24"/>
        </w:rPr>
        <w:t xml:space="preserve"> </w:t>
      </w:r>
      <w:r>
        <w:rPr>
          <w:color w:val="231F20"/>
          <w:spacing w:val="-4"/>
          <w:sz w:val="24"/>
        </w:rPr>
        <w:t xml:space="preserve">Care </w:t>
      </w:r>
      <w:r>
        <w:rPr>
          <w:color w:val="231F20"/>
          <w:sz w:val="24"/>
        </w:rPr>
        <w:t>CHAI</w:t>
      </w:r>
      <w:r>
        <w:rPr>
          <w:color w:val="231F20"/>
          <w:sz w:val="24"/>
        </w:rPr>
        <w:tab/>
        <w:t>Clinton</w:t>
      </w:r>
      <w:r>
        <w:rPr>
          <w:color w:val="231F20"/>
          <w:spacing w:val="-28"/>
          <w:sz w:val="24"/>
        </w:rPr>
        <w:t xml:space="preserve"> </w:t>
      </w:r>
      <w:r>
        <w:rPr>
          <w:color w:val="231F20"/>
          <w:sz w:val="24"/>
        </w:rPr>
        <w:t>Health</w:t>
      </w:r>
      <w:r>
        <w:rPr>
          <w:color w:val="231F20"/>
          <w:spacing w:val="-40"/>
          <w:sz w:val="24"/>
        </w:rPr>
        <w:t xml:space="preserve"> </w:t>
      </w:r>
      <w:r>
        <w:rPr>
          <w:color w:val="231F20"/>
          <w:sz w:val="24"/>
        </w:rPr>
        <w:t>Access</w:t>
      </w:r>
      <w:r>
        <w:rPr>
          <w:color w:val="231F20"/>
          <w:spacing w:val="-27"/>
          <w:sz w:val="24"/>
        </w:rPr>
        <w:t xml:space="preserve"> </w:t>
      </w:r>
      <w:r>
        <w:rPr>
          <w:color w:val="231F20"/>
          <w:sz w:val="24"/>
        </w:rPr>
        <w:t>Initiative</w:t>
      </w:r>
    </w:p>
    <w:p w14:paraId="559E1AAD" w14:textId="77777777" w:rsidR="009948F1" w:rsidRDefault="00BC0563">
      <w:pPr>
        <w:tabs>
          <w:tab w:val="left" w:pos="1581"/>
        </w:tabs>
        <w:spacing w:before="1" w:line="259" w:lineRule="auto"/>
        <w:ind w:left="141" w:right="2746"/>
        <w:rPr>
          <w:sz w:val="24"/>
        </w:rPr>
      </w:pPr>
      <w:r>
        <w:rPr>
          <w:color w:val="231F20"/>
          <w:sz w:val="24"/>
        </w:rPr>
        <w:t>CHIPS</w:t>
      </w:r>
      <w:r>
        <w:rPr>
          <w:color w:val="231F20"/>
          <w:sz w:val="24"/>
        </w:rPr>
        <w:tab/>
        <w:t>Community</w:t>
      </w:r>
      <w:r>
        <w:rPr>
          <w:color w:val="231F20"/>
          <w:spacing w:val="-26"/>
          <w:sz w:val="24"/>
        </w:rPr>
        <w:t xml:space="preserve"> </w:t>
      </w:r>
      <w:r>
        <w:rPr>
          <w:color w:val="231F20"/>
          <w:sz w:val="24"/>
        </w:rPr>
        <w:t>Health</w:t>
      </w:r>
      <w:r>
        <w:rPr>
          <w:color w:val="231F20"/>
          <w:spacing w:val="-26"/>
          <w:sz w:val="24"/>
        </w:rPr>
        <w:t xml:space="preserve"> </w:t>
      </w:r>
      <w:r>
        <w:rPr>
          <w:color w:val="231F20"/>
          <w:sz w:val="24"/>
        </w:rPr>
        <w:t>Influencers/Promoters</w:t>
      </w:r>
      <w:r>
        <w:rPr>
          <w:color w:val="231F20"/>
          <w:spacing w:val="-26"/>
          <w:sz w:val="24"/>
        </w:rPr>
        <w:t xml:space="preserve"> </w:t>
      </w:r>
      <w:r>
        <w:rPr>
          <w:color w:val="231F20"/>
          <w:sz w:val="24"/>
        </w:rPr>
        <w:t>&amp;</w:t>
      </w:r>
      <w:r>
        <w:rPr>
          <w:color w:val="231F20"/>
          <w:spacing w:val="-26"/>
          <w:sz w:val="24"/>
        </w:rPr>
        <w:t xml:space="preserve"> </w:t>
      </w:r>
      <w:r>
        <w:rPr>
          <w:color w:val="231F20"/>
          <w:spacing w:val="-3"/>
          <w:sz w:val="24"/>
        </w:rPr>
        <w:t xml:space="preserve">Service </w:t>
      </w:r>
      <w:r>
        <w:rPr>
          <w:color w:val="231F20"/>
          <w:sz w:val="24"/>
        </w:rPr>
        <w:t>CHIS</w:t>
      </w:r>
      <w:r>
        <w:rPr>
          <w:color w:val="231F20"/>
          <w:sz w:val="24"/>
        </w:rPr>
        <w:tab/>
        <w:t>Community</w:t>
      </w:r>
      <w:r>
        <w:rPr>
          <w:color w:val="231F20"/>
          <w:spacing w:val="-28"/>
          <w:sz w:val="24"/>
        </w:rPr>
        <w:t xml:space="preserve"> </w:t>
      </w:r>
      <w:r>
        <w:rPr>
          <w:color w:val="231F20"/>
          <w:sz w:val="24"/>
        </w:rPr>
        <w:t>Based</w:t>
      </w:r>
      <w:r>
        <w:rPr>
          <w:color w:val="231F20"/>
          <w:spacing w:val="-27"/>
          <w:sz w:val="24"/>
        </w:rPr>
        <w:t xml:space="preserve"> </w:t>
      </w:r>
      <w:r>
        <w:rPr>
          <w:color w:val="231F20"/>
          <w:sz w:val="24"/>
        </w:rPr>
        <w:t>Insurance</w:t>
      </w:r>
      <w:r>
        <w:rPr>
          <w:color w:val="231F20"/>
          <w:spacing w:val="-27"/>
          <w:sz w:val="24"/>
        </w:rPr>
        <w:t xml:space="preserve"> </w:t>
      </w:r>
      <w:r>
        <w:rPr>
          <w:color w:val="231F20"/>
          <w:sz w:val="24"/>
        </w:rPr>
        <w:t>Scheme</w:t>
      </w:r>
    </w:p>
    <w:p w14:paraId="2D723564" w14:textId="77777777" w:rsidR="009948F1" w:rsidRDefault="00BC0563">
      <w:pPr>
        <w:tabs>
          <w:tab w:val="left" w:pos="1581"/>
        </w:tabs>
        <w:spacing w:line="259" w:lineRule="auto"/>
        <w:ind w:left="141" w:right="4027"/>
        <w:rPr>
          <w:sz w:val="24"/>
        </w:rPr>
      </w:pPr>
      <w:r>
        <w:rPr>
          <w:color w:val="231F20"/>
          <w:sz w:val="24"/>
        </w:rPr>
        <w:t>CISHAN</w:t>
      </w:r>
      <w:r>
        <w:rPr>
          <w:color w:val="231F20"/>
          <w:sz w:val="24"/>
        </w:rPr>
        <w:tab/>
        <w:t>Civil</w:t>
      </w:r>
      <w:r>
        <w:rPr>
          <w:color w:val="231F20"/>
          <w:spacing w:val="-27"/>
          <w:sz w:val="24"/>
        </w:rPr>
        <w:t xml:space="preserve"> </w:t>
      </w:r>
      <w:r>
        <w:rPr>
          <w:color w:val="231F20"/>
          <w:sz w:val="24"/>
        </w:rPr>
        <w:t>Society</w:t>
      </w:r>
      <w:r>
        <w:rPr>
          <w:color w:val="231F20"/>
          <w:spacing w:val="-26"/>
          <w:sz w:val="24"/>
        </w:rPr>
        <w:t xml:space="preserve"> </w:t>
      </w:r>
      <w:r>
        <w:rPr>
          <w:color w:val="231F20"/>
          <w:sz w:val="24"/>
        </w:rPr>
        <w:t>for</w:t>
      </w:r>
      <w:r>
        <w:rPr>
          <w:color w:val="231F20"/>
          <w:spacing w:val="-26"/>
          <w:sz w:val="24"/>
        </w:rPr>
        <w:t xml:space="preserve"> </w:t>
      </w:r>
      <w:r>
        <w:rPr>
          <w:color w:val="231F20"/>
          <w:sz w:val="24"/>
        </w:rPr>
        <w:t>HIV</w:t>
      </w:r>
      <w:r>
        <w:rPr>
          <w:color w:val="231F20"/>
          <w:spacing w:val="-26"/>
          <w:sz w:val="24"/>
        </w:rPr>
        <w:t xml:space="preserve"> </w:t>
      </w:r>
      <w:r>
        <w:rPr>
          <w:color w:val="231F20"/>
          <w:sz w:val="24"/>
        </w:rPr>
        <w:t>and</w:t>
      </w:r>
      <w:r>
        <w:rPr>
          <w:color w:val="231F20"/>
          <w:spacing w:val="-40"/>
          <w:sz w:val="24"/>
        </w:rPr>
        <w:t xml:space="preserve"> </w:t>
      </w:r>
      <w:r>
        <w:rPr>
          <w:color w:val="231F20"/>
          <w:sz w:val="24"/>
        </w:rPr>
        <w:t>AIDS</w:t>
      </w:r>
      <w:r>
        <w:rPr>
          <w:color w:val="231F20"/>
          <w:spacing w:val="-26"/>
          <w:sz w:val="24"/>
        </w:rPr>
        <w:t xml:space="preserve"> </w:t>
      </w:r>
      <w:r>
        <w:rPr>
          <w:color w:val="231F20"/>
          <w:sz w:val="24"/>
        </w:rPr>
        <w:t>in</w:t>
      </w:r>
      <w:r>
        <w:rPr>
          <w:color w:val="231F20"/>
          <w:spacing w:val="-26"/>
          <w:sz w:val="24"/>
        </w:rPr>
        <w:t xml:space="preserve"> </w:t>
      </w:r>
      <w:r>
        <w:rPr>
          <w:color w:val="231F20"/>
          <w:spacing w:val="-3"/>
          <w:sz w:val="24"/>
        </w:rPr>
        <w:t xml:space="preserve">Nigeria </w:t>
      </w:r>
      <w:r>
        <w:rPr>
          <w:color w:val="231F20"/>
          <w:sz w:val="24"/>
        </w:rPr>
        <w:t>CHX</w:t>
      </w:r>
      <w:r>
        <w:rPr>
          <w:color w:val="231F20"/>
          <w:sz w:val="24"/>
        </w:rPr>
        <w:tab/>
        <w:t>Chlorhexidine</w:t>
      </w:r>
    </w:p>
    <w:p w14:paraId="11770F4E" w14:textId="77777777" w:rsidR="009948F1" w:rsidRDefault="00BC0563">
      <w:pPr>
        <w:tabs>
          <w:tab w:val="left" w:pos="1581"/>
        </w:tabs>
        <w:ind w:left="141"/>
        <w:rPr>
          <w:sz w:val="24"/>
        </w:rPr>
      </w:pPr>
      <w:r>
        <w:rPr>
          <w:color w:val="231F20"/>
          <w:sz w:val="24"/>
        </w:rPr>
        <w:t>CSOs</w:t>
      </w:r>
      <w:r>
        <w:rPr>
          <w:color w:val="231F20"/>
          <w:sz w:val="24"/>
        </w:rPr>
        <w:tab/>
        <w:t>Civil Society</w:t>
      </w:r>
      <w:r>
        <w:rPr>
          <w:color w:val="231F20"/>
          <w:spacing w:val="-54"/>
          <w:sz w:val="24"/>
        </w:rPr>
        <w:t xml:space="preserve"> </w:t>
      </w:r>
      <w:r>
        <w:rPr>
          <w:color w:val="231F20"/>
          <w:sz w:val="24"/>
        </w:rPr>
        <w:t>Organizations</w:t>
      </w:r>
    </w:p>
    <w:p w14:paraId="1F92CBE0" w14:textId="77777777" w:rsidR="009948F1" w:rsidRDefault="00BC0563">
      <w:pPr>
        <w:tabs>
          <w:tab w:val="left" w:pos="1581"/>
        </w:tabs>
        <w:spacing w:before="22" w:line="259" w:lineRule="auto"/>
        <w:ind w:left="141" w:right="2572"/>
        <w:rPr>
          <w:sz w:val="24"/>
        </w:rPr>
      </w:pPr>
      <w:r>
        <w:rPr>
          <w:color w:val="231F20"/>
          <w:sz w:val="24"/>
        </w:rPr>
        <w:t>CMAM</w:t>
      </w:r>
      <w:r>
        <w:rPr>
          <w:color w:val="231F20"/>
          <w:sz w:val="24"/>
        </w:rPr>
        <w:tab/>
        <w:t>Community-based</w:t>
      </w:r>
      <w:r>
        <w:rPr>
          <w:color w:val="231F20"/>
          <w:spacing w:val="-26"/>
          <w:sz w:val="24"/>
        </w:rPr>
        <w:t xml:space="preserve"> </w:t>
      </w:r>
      <w:r>
        <w:rPr>
          <w:color w:val="231F20"/>
          <w:sz w:val="24"/>
        </w:rPr>
        <w:t>Management</w:t>
      </w:r>
      <w:r>
        <w:rPr>
          <w:color w:val="231F20"/>
          <w:spacing w:val="-25"/>
          <w:sz w:val="24"/>
        </w:rPr>
        <w:t xml:space="preserve"> </w:t>
      </w:r>
      <w:r>
        <w:rPr>
          <w:color w:val="231F20"/>
          <w:sz w:val="24"/>
        </w:rPr>
        <w:t>of</w:t>
      </w:r>
      <w:r>
        <w:rPr>
          <w:color w:val="231F20"/>
          <w:spacing w:val="-38"/>
          <w:sz w:val="24"/>
        </w:rPr>
        <w:t xml:space="preserve"> </w:t>
      </w:r>
      <w:r>
        <w:rPr>
          <w:color w:val="231F20"/>
          <w:sz w:val="24"/>
        </w:rPr>
        <w:t>Acute</w:t>
      </w:r>
      <w:r>
        <w:rPr>
          <w:color w:val="231F20"/>
          <w:spacing w:val="-26"/>
          <w:sz w:val="24"/>
        </w:rPr>
        <w:t xml:space="preserve"> </w:t>
      </w:r>
      <w:r>
        <w:rPr>
          <w:color w:val="231F20"/>
          <w:spacing w:val="-2"/>
          <w:sz w:val="24"/>
        </w:rPr>
        <w:t xml:space="preserve">Malnutrition </w:t>
      </w:r>
      <w:r>
        <w:rPr>
          <w:color w:val="231F20"/>
          <w:sz w:val="24"/>
        </w:rPr>
        <w:t>CTC</w:t>
      </w:r>
      <w:r>
        <w:rPr>
          <w:color w:val="231F20"/>
          <w:sz w:val="24"/>
        </w:rPr>
        <w:tab/>
        <w:t>Core</w:t>
      </w:r>
      <w:r>
        <w:rPr>
          <w:color w:val="231F20"/>
          <w:spacing w:val="-55"/>
          <w:sz w:val="24"/>
        </w:rPr>
        <w:t xml:space="preserve"> </w:t>
      </w:r>
      <w:r>
        <w:rPr>
          <w:color w:val="231F20"/>
          <w:spacing w:val="-3"/>
          <w:sz w:val="24"/>
        </w:rPr>
        <w:t xml:space="preserve">Technical </w:t>
      </w:r>
      <w:r>
        <w:rPr>
          <w:color w:val="231F20"/>
          <w:sz w:val="24"/>
        </w:rPr>
        <w:t>Committee</w:t>
      </w:r>
    </w:p>
    <w:p w14:paraId="5DA40E1D" w14:textId="77777777" w:rsidR="009948F1" w:rsidRDefault="00BC0563">
      <w:pPr>
        <w:tabs>
          <w:tab w:val="left" w:pos="1581"/>
        </w:tabs>
        <w:spacing w:line="259" w:lineRule="auto"/>
        <w:ind w:left="141" w:right="4071"/>
        <w:rPr>
          <w:sz w:val="24"/>
        </w:rPr>
      </w:pPr>
      <w:r>
        <w:rPr>
          <w:color w:val="231F20"/>
          <w:sz w:val="24"/>
        </w:rPr>
        <w:t>CPR</w:t>
      </w:r>
      <w:r>
        <w:rPr>
          <w:color w:val="231F20"/>
          <w:sz w:val="24"/>
        </w:rPr>
        <w:tab/>
        <w:t>Cardiopulmonary Resuscitation CVHW</w:t>
      </w:r>
      <w:r>
        <w:rPr>
          <w:color w:val="231F20"/>
          <w:sz w:val="24"/>
        </w:rPr>
        <w:tab/>
        <w:t>Community</w:t>
      </w:r>
      <w:r>
        <w:rPr>
          <w:color w:val="231F20"/>
          <w:spacing w:val="-31"/>
          <w:sz w:val="24"/>
        </w:rPr>
        <w:t xml:space="preserve"> </w:t>
      </w:r>
      <w:r>
        <w:rPr>
          <w:color w:val="231F20"/>
          <w:sz w:val="24"/>
        </w:rPr>
        <w:t>Volunteers</w:t>
      </w:r>
      <w:r>
        <w:rPr>
          <w:color w:val="231F20"/>
          <w:spacing w:val="-30"/>
          <w:sz w:val="24"/>
        </w:rPr>
        <w:t xml:space="preserve"> </w:t>
      </w:r>
      <w:r>
        <w:rPr>
          <w:color w:val="231F20"/>
          <w:sz w:val="24"/>
        </w:rPr>
        <w:t>Health</w:t>
      </w:r>
      <w:r>
        <w:rPr>
          <w:color w:val="231F20"/>
          <w:spacing w:val="-31"/>
          <w:sz w:val="24"/>
        </w:rPr>
        <w:t xml:space="preserve"> </w:t>
      </w:r>
      <w:r>
        <w:rPr>
          <w:color w:val="231F20"/>
          <w:spacing w:val="-3"/>
          <w:sz w:val="24"/>
        </w:rPr>
        <w:t xml:space="preserve">Workers </w:t>
      </w:r>
      <w:r>
        <w:rPr>
          <w:color w:val="231F20"/>
          <w:sz w:val="24"/>
        </w:rPr>
        <w:t>DHIS</w:t>
      </w:r>
      <w:r>
        <w:rPr>
          <w:color w:val="231F20"/>
          <w:sz w:val="24"/>
        </w:rPr>
        <w:tab/>
        <w:t>District</w:t>
      </w:r>
      <w:r>
        <w:rPr>
          <w:color w:val="231F20"/>
          <w:spacing w:val="-27"/>
          <w:sz w:val="24"/>
        </w:rPr>
        <w:t xml:space="preserve"> </w:t>
      </w:r>
      <w:r>
        <w:rPr>
          <w:color w:val="231F20"/>
          <w:sz w:val="24"/>
        </w:rPr>
        <w:t>Health</w:t>
      </w:r>
      <w:r>
        <w:rPr>
          <w:color w:val="231F20"/>
          <w:spacing w:val="-28"/>
          <w:sz w:val="24"/>
        </w:rPr>
        <w:t xml:space="preserve"> </w:t>
      </w:r>
      <w:r>
        <w:rPr>
          <w:color w:val="231F20"/>
          <w:sz w:val="24"/>
        </w:rPr>
        <w:t>Information</w:t>
      </w:r>
      <w:r>
        <w:rPr>
          <w:color w:val="231F20"/>
          <w:spacing w:val="-27"/>
          <w:sz w:val="24"/>
        </w:rPr>
        <w:t xml:space="preserve"> </w:t>
      </w:r>
      <w:r>
        <w:rPr>
          <w:color w:val="231F20"/>
          <w:sz w:val="24"/>
        </w:rPr>
        <w:t>System</w:t>
      </w:r>
    </w:p>
    <w:p w14:paraId="79BE6225" w14:textId="77777777" w:rsidR="009948F1" w:rsidRDefault="00BC0563">
      <w:pPr>
        <w:tabs>
          <w:tab w:val="left" w:pos="1581"/>
        </w:tabs>
        <w:spacing w:before="1" w:line="259" w:lineRule="auto"/>
        <w:ind w:left="141" w:right="3133"/>
        <w:rPr>
          <w:sz w:val="24"/>
        </w:rPr>
      </w:pPr>
      <w:r>
        <w:rPr>
          <w:color w:val="231F20"/>
          <w:sz w:val="24"/>
        </w:rPr>
        <w:t>DHMIS</w:t>
      </w:r>
      <w:r>
        <w:rPr>
          <w:color w:val="231F20"/>
          <w:sz w:val="24"/>
        </w:rPr>
        <w:tab/>
        <w:t>District</w:t>
      </w:r>
      <w:r>
        <w:rPr>
          <w:color w:val="231F20"/>
          <w:spacing w:val="-27"/>
          <w:sz w:val="24"/>
        </w:rPr>
        <w:t xml:space="preserve"> </w:t>
      </w:r>
      <w:r>
        <w:rPr>
          <w:color w:val="231F20"/>
          <w:sz w:val="24"/>
        </w:rPr>
        <w:t>Health</w:t>
      </w:r>
      <w:r>
        <w:rPr>
          <w:color w:val="231F20"/>
          <w:spacing w:val="-27"/>
          <w:sz w:val="24"/>
        </w:rPr>
        <w:t xml:space="preserve"> </w:t>
      </w:r>
      <w:r>
        <w:rPr>
          <w:color w:val="231F20"/>
          <w:sz w:val="24"/>
        </w:rPr>
        <w:t>Management</w:t>
      </w:r>
      <w:r>
        <w:rPr>
          <w:color w:val="231F20"/>
          <w:spacing w:val="-26"/>
          <w:sz w:val="24"/>
        </w:rPr>
        <w:t xml:space="preserve"> </w:t>
      </w:r>
      <w:r>
        <w:rPr>
          <w:color w:val="231F20"/>
          <w:sz w:val="24"/>
        </w:rPr>
        <w:t>Information</w:t>
      </w:r>
      <w:r>
        <w:rPr>
          <w:color w:val="231F20"/>
          <w:spacing w:val="-27"/>
          <w:sz w:val="24"/>
        </w:rPr>
        <w:t xml:space="preserve"> </w:t>
      </w:r>
      <w:r>
        <w:rPr>
          <w:color w:val="231F20"/>
          <w:spacing w:val="-3"/>
          <w:sz w:val="24"/>
        </w:rPr>
        <w:t xml:space="preserve">System </w:t>
      </w:r>
      <w:r>
        <w:rPr>
          <w:color w:val="231F20"/>
          <w:sz w:val="24"/>
        </w:rPr>
        <w:t>DOTS</w:t>
      </w:r>
      <w:r>
        <w:rPr>
          <w:color w:val="231F20"/>
          <w:sz w:val="24"/>
        </w:rPr>
        <w:tab/>
        <w:t>Direct</w:t>
      </w:r>
      <w:r>
        <w:rPr>
          <w:color w:val="231F20"/>
          <w:spacing w:val="-28"/>
          <w:sz w:val="24"/>
        </w:rPr>
        <w:t xml:space="preserve"> </w:t>
      </w:r>
      <w:r>
        <w:rPr>
          <w:color w:val="231F20"/>
          <w:sz w:val="24"/>
        </w:rPr>
        <w:t>Observation</w:t>
      </w:r>
      <w:r>
        <w:rPr>
          <w:color w:val="231F20"/>
          <w:spacing w:val="-32"/>
          <w:sz w:val="24"/>
        </w:rPr>
        <w:t xml:space="preserve"> </w:t>
      </w:r>
      <w:r>
        <w:rPr>
          <w:color w:val="231F20"/>
          <w:sz w:val="24"/>
        </w:rPr>
        <w:t>Treatment</w:t>
      </w:r>
      <w:r>
        <w:rPr>
          <w:color w:val="231F20"/>
          <w:spacing w:val="-27"/>
          <w:sz w:val="24"/>
        </w:rPr>
        <w:t xml:space="preserve"> </w:t>
      </w:r>
      <w:r>
        <w:rPr>
          <w:color w:val="231F20"/>
          <w:sz w:val="24"/>
        </w:rPr>
        <w:t>Short-course</w:t>
      </w:r>
    </w:p>
    <w:p w14:paraId="17C83010" w14:textId="77777777" w:rsidR="009948F1" w:rsidRDefault="00BC0563">
      <w:pPr>
        <w:tabs>
          <w:tab w:val="left" w:pos="1581"/>
        </w:tabs>
        <w:ind w:left="141"/>
        <w:rPr>
          <w:sz w:val="24"/>
        </w:rPr>
      </w:pPr>
      <w:r>
        <w:rPr>
          <w:color w:val="231F20"/>
          <w:sz w:val="24"/>
        </w:rPr>
        <w:t>DP</w:t>
      </w:r>
      <w:r>
        <w:rPr>
          <w:color w:val="231F20"/>
          <w:sz w:val="24"/>
        </w:rPr>
        <w:tab/>
        <w:t>Development</w:t>
      </w:r>
      <w:r>
        <w:rPr>
          <w:color w:val="231F20"/>
          <w:spacing w:val="-27"/>
          <w:sz w:val="24"/>
        </w:rPr>
        <w:t xml:space="preserve"> </w:t>
      </w:r>
      <w:r>
        <w:rPr>
          <w:color w:val="231F20"/>
          <w:sz w:val="24"/>
        </w:rPr>
        <w:t>Partner</w:t>
      </w:r>
    </w:p>
    <w:p w14:paraId="75E88AC9" w14:textId="77777777" w:rsidR="009948F1" w:rsidRDefault="00BC0563">
      <w:pPr>
        <w:tabs>
          <w:tab w:val="left" w:pos="1581"/>
        </w:tabs>
        <w:spacing w:before="22" w:line="259" w:lineRule="auto"/>
        <w:ind w:left="141" w:right="3319"/>
        <w:rPr>
          <w:sz w:val="24"/>
        </w:rPr>
      </w:pPr>
      <w:r>
        <w:rPr>
          <w:color w:val="231F20"/>
          <w:sz w:val="24"/>
        </w:rPr>
        <w:t>DPRS</w:t>
      </w:r>
      <w:r>
        <w:rPr>
          <w:color w:val="231F20"/>
          <w:sz w:val="24"/>
        </w:rPr>
        <w:tab/>
        <w:t>Department</w:t>
      </w:r>
      <w:r>
        <w:rPr>
          <w:color w:val="231F20"/>
          <w:spacing w:val="-30"/>
          <w:sz w:val="24"/>
        </w:rPr>
        <w:t xml:space="preserve"> </w:t>
      </w:r>
      <w:r>
        <w:rPr>
          <w:color w:val="231F20"/>
          <w:sz w:val="24"/>
        </w:rPr>
        <w:t>of</w:t>
      </w:r>
      <w:r>
        <w:rPr>
          <w:color w:val="231F20"/>
          <w:spacing w:val="-30"/>
          <w:sz w:val="24"/>
        </w:rPr>
        <w:t xml:space="preserve"> </w:t>
      </w:r>
      <w:r>
        <w:rPr>
          <w:color w:val="231F20"/>
          <w:sz w:val="24"/>
        </w:rPr>
        <w:t>Planning,</w:t>
      </w:r>
      <w:r>
        <w:rPr>
          <w:color w:val="231F20"/>
          <w:spacing w:val="-30"/>
          <w:sz w:val="24"/>
        </w:rPr>
        <w:t xml:space="preserve"> </w:t>
      </w:r>
      <w:r>
        <w:rPr>
          <w:color w:val="231F20"/>
          <w:sz w:val="24"/>
        </w:rPr>
        <w:t>Research</w:t>
      </w:r>
      <w:r>
        <w:rPr>
          <w:color w:val="231F20"/>
          <w:spacing w:val="-29"/>
          <w:sz w:val="24"/>
        </w:rPr>
        <w:t xml:space="preserve"> </w:t>
      </w:r>
      <w:r>
        <w:rPr>
          <w:color w:val="231F20"/>
          <w:sz w:val="24"/>
        </w:rPr>
        <w:t>&amp;</w:t>
      </w:r>
      <w:r>
        <w:rPr>
          <w:color w:val="231F20"/>
          <w:spacing w:val="-30"/>
          <w:sz w:val="24"/>
        </w:rPr>
        <w:t xml:space="preserve"> </w:t>
      </w:r>
      <w:r>
        <w:rPr>
          <w:color w:val="231F20"/>
          <w:sz w:val="24"/>
        </w:rPr>
        <w:t>Statistics DQA</w:t>
      </w:r>
      <w:r>
        <w:rPr>
          <w:color w:val="231F20"/>
          <w:sz w:val="24"/>
        </w:rPr>
        <w:tab/>
        <w:t>Data</w:t>
      </w:r>
      <w:r>
        <w:rPr>
          <w:color w:val="231F20"/>
          <w:spacing w:val="-27"/>
          <w:sz w:val="24"/>
        </w:rPr>
        <w:t xml:space="preserve"> </w:t>
      </w:r>
      <w:r>
        <w:rPr>
          <w:color w:val="231F20"/>
          <w:sz w:val="24"/>
        </w:rPr>
        <w:t>Quality</w:t>
      </w:r>
      <w:r>
        <w:rPr>
          <w:color w:val="231F20"/>
          <w:spacing w:val="-40"/>
          <w:sz w:val="24"/>
        </w:rPr>
        <w:t xml:space="preserve"> </w:t>
      </w:r>
      <w:r>
        <w:rPr>
          <w:color w:val="231F20"/>
          <w:sz w:val="24"/>
        </w:rPr>
        <w:t>Assurance</w:t>
      </w:r>
    </w:p>
    <w:p w14:paraId="75212AF7" w14:textId="77777777" w:rsidR="009948F1" w:rsidRDefault="00BC0563">
      <w:pPr>
        <w:tabs>
          <w:tab w:val="left" w:pos="1581"/>
        </w:tabs>
        <w:ind w:left="141"/>
        <w:rPr>
          <w:sz w:val="24"/>
        </w:rPr>
      </w:pPr>
      <w:r>
        <w:rPr>
          <w:color w:val="231F20"/>
          <w:sz w:val="24"/>
        </w:rPr>
        <w:t>DQA</w:t>
      </w:r>
      <w:r>
        <w:rPr>
          <w:color w:val="231F20"/>
          <w:sz w:val="24"/>
        </w:rPr>
        <w:tab/>
        <w:t>Data</w:t>
      </w:r>
      <w:r>
        <w:rPr>
          <w:color w:val="231F20"/>
          <w:spacing w:val="-27"/>
          <w:sz w:val="24"/>
        </w:rPr>
        <w:t xml:space="preserve"> </w:t>
      </w:r>
      <w:r>
        <w:rPr>
          <w:color w:val="231F20"/>
          <w:sz w:val="24"/>
        </w:rPr>
        <w:t>Quality</w:t>
      </w:r>
      <w:r>
        <w:rPr>
          <w:color w:val="231F20"/>
          <w:spacing w:val="-40"/>
          <w:sz w:val="24"/>
        </w:rPr>
        <w:t xml:space="preserve"> </w:t>
      </w:r>
      <w:r>
        <w:rPr>
          <w:color w:val="231F20"/>
          <w:sz w:val="24"/>
        </w:rPr>
        <w:t>Assessment</w:t>
      </w:r>
    </w:p>
    <w:p w14:paraId="147A3FF1" w14:textId="77777777" w:rsidR="009948F1" w:rsidRDefault="00BC0563">
      <w:pPr>
        <w:tabs>
          <w:tab w:val="left" w:pos="1581"/>
        </w:tabs>
        <w:spacing w:before="23"/>
        <w:ind w:left="141"/>
        <w:rPr>
          <w:sz w:val="24"/>
        </w:rPr>
      </w:pPr>
      <w:r>
        <w:rPr>
          <w:color w:val="231F20"/>
          <w:sz w:val="24"/>
        </w:rPr>
        <w:t>DRF</w:t>
      </w:r>
      <w:r>
        <w:rPr>
          <w:color w:val="231F20"/>
          <w:sz w:val="24"/>
        </w:rPr>
        <w:tab/>
        <w:t>Drug Revolving</w:t>
      </w:r>
      <w:r>
        <w:rPr>
          <w:color w:val="231F20"/>
          <w:spacing w:val="-54"/>
          <w:sz w:val="24"/>
        </w:rPr>
        <w:t xml:space="preserve"> </w:t>
      </w:r>
      <w:r>
        <w:rPr>
          <w:color w:val="231F20"/>
          <w:sz w:val="24"/>
        </w:rPr>
        <w:t>Fund</w:t>
      </w:r>
    </w:p>
    <w:p w14:paraId="30F3BDEB" w14:textId="77777777" w:rsidR="009948F1" w:rsidRDefault="00BC0563">
      <w:pPr>
        <w:tabs>
          <w:tab w:val="left" w:pos="1581"/>
        </w:tabs>
        <w:spacing w:before="22"/>
        <w:ind w:left="141"/>
        <w:rPr>
          <w:sz w:val="24"/>
        </w:rPr>
      </w:pPr>
      <w:r>
        <w:rPr>
          <w:color w:val="231F20"/>
          <w:sz w:val="24"/>
        </w:rPr>
        <w:t>DSA</w:t>
      </w:r>
      <w:r>
        <w:rPr>
          <w:color w:val="231F20"/>
          <w:sz w:val="24"/>
        </w:rPr>
        <w:tab/>
        <w:t>Daily</w:t>
      </w:r>
      <w:r>
        <w:rPr>
          <w:color w:val="231F20"/>
          <w:spacing w:val="-27"/>
          <w:sz w:val="24"/>
        </w:rPr>
        <w:t xml:space="preserve"> </w:t>
      </w:r>
      <w:r>
        <w:rPr>
          <w:color w:val="231F20"/>
          <w:sz w:val="24"/>
        </w:rPr>
        <w:t>Subsistence</w:t>
      </w:r>
      <w:r>
        <w:rPr>
          <w:color w:val="231F20"/>
          <w:spacing w:val="-40"/>
          <w:sz w:val="24"/>
        </w:rPr>
        <w:t xml:space="preserve"> </w:t>
      </w:r>
      <w:r>
        <w:rPr>
          <w:color w:val="231F20"/>
          <w:sz w:val="24"/>
        </w:rPr>
        <w:t>Allowance</w:t>
      </w:r>
    </w:p>
    <w:p w14:paraId="11C9B126" w14:textId="77777777" w:rsidR="009948F1" w:rsidRDefault="00BC0563">
      <w:pPr>
        <w:tabs>
          <w:tab w:val="left" w:pos="1581"/>
        </w:tabs>
        <w:spacing w:before="22" w:line="259" w:lineRule="auto"/>
        <w:ind w:left="141" w:right="3737"/>
        <w:rPr>
          <w:sz w:val="24"/>
        </w:rPr>
      </w:pPr>
      <w:r>
        <w:rPr>
          <w:color w:val="231F20"/>
          <w:sz w:val="24"/>
        </w:rPr>
        <w:t>DSNO</w:t>
      </w:r>
      <w:r>
        <w:rPr>
          <w:color w:val="231F20"/>
          <w:sz w:val="24"/>
        </w:rPr>
        <w:tab/>
        <w:t>Disease</w:t>
      </w:r>
      <w:r>
        <w:rPr>
          <w:color w:val="231F20"/>
          <w:spacing w:val="-27"/>
          <w:sz w:val="24"/>
        </w:rPr>
        <w:t xml:space="preserve"> </w:t>
      </w:r>
      <w:r>
        <w:rPr>
          <w:color w:val="231F20"/>
          <w:sz w:val="24"/>
        </w:rPr>
        <w:t>Surveillance</w:t>
      </w:r>
      <w:r>
        <w:rPr>
          <w:color w:val="231F20"/>
          <w:spacing w:val="-27"/>
          <w:sz w:val="24"/>
        </w:rPr>
        <w:t xml:space="preserve"> </w:t>
      </w:r>
      <w:r>
        <w:rPr>
          <w:color w:val="231F20"/>
          <w:sz w:val="24"/>
        </w:rPr>
        <w:t>&amp;</w:t>
      </w:r>
      <w:r>
        <w:rPr>
          <w:color w:val="231F20"/>
          <w:spacing w:val="-27"/>
          <w:sz w:val="24"/>
        </w:rPr>
        <w:t xml:space="preserve"> </w:t>
      </w:r>
      <w:r>
        <w:rPr>
          <w:color w:val="231F20"/>
          <w:sz w:val="24"/>
        </w:rPr>
        <w:t>Notification</w:t>
      </w:r>
      <w:r>
        <w:rPr>
          <w:color w:val="231F20"/>
          <w:spacing w:val="-26"/>
          <w:sz w:val="24"/>
        </w:rPr>
        <w:t xml:space="preserve"> </w:t>
      </w:r>
      <w:r>
        <w:rPr>
          <w:color w:val="231F20"/>
          <w:spacing w:val="-3"/>
          <w:sz w:val="24"/>
        </w:rPr>
        <w:t xml:space="preserve">Officer </w:t>
      </w:r>
      <w:r>
        <w:rPr>
          <w:color w:val="231F20"/>
          <w:sz w:val="24"/>
        </w:rPr>
        <w:t>EBF</w:t>
      </w:r>
      <w:r>
        <w:rPr>
          <w:color w:val="231F20"/>
          <w:sz w:val="24"/>
        </w:rPr>
        <w:tab/>
        <w:t>Exclusive Breast</w:t>
      </w:r>
      <w:r>
        <w:rPr>
          <w:color w:val="231F20"/>
          <w:spacing w:val="-55"/>
          <w:sz w:val="24"/>
        </w:rPr>
        <w:t xml:space="preserve"> </w:t>
      </w:r>
      <w:r>
        <w:rPr>
          <w:color w:val="231F20"/>
          <w:sz w:val="24"/>
        </w:rPr>
        <w:t>Feeding</w:t>
      </w:r>
    </w:p>
    <w:p w14:paraId="019DAAF1" w14:textId="77777777" w:rsidR="009948F1" w:rsidRDefault="00BC0563">
      <w:pPr>
        <w:tabs>
          <w:tab w:val="left" w:pos="1581"/>
        </w:tabs>
        <w:ind w:left="141"/>
        <w:rPr>
          <w:sz w:val="24"/>
        </w:rPr>
      </w:pPr>
      <w:r>
        <w:rPr>
          <w:color w:val="231F20"/>
          <w:sz w:val="24"/>
        </w:rPr>
        <w:t>EHO</w:t>
      </w:r>
      <w:r>
        <w:rPr>
          <w:color w:val="231F20"/>
          <w:sz w:val="24"/>
        </w:rPr>
        <w:tab/>
        <w:t>Environmental Health</w:t>
      </w:r>
      <w:r>
        <w:rPr>
          <w:color w:val="231F20"/>
          <w:spacing w:val="-55"/>
          <w:sz w:val="24"/>
        </w:rPr>
        <w:t xml:space="preserve"> </w:t>
      </w:r>
      <w:r>
        <w:rPr>
          <w:color w:val="231F20"/>
          <w:sz w:val="24"/>
        </w:rPr>
        <w:t>Officer</w:t>
      </w:r>
    </w:p>
    <w:p w14:paraId="18B39281" w14:textId="77777777" w:rsidR="009948F1" w:rsidRDefault="00BC0563">
      <w:pPr>
        <w:tabs>
          <w:tab w:val="left" w:pos="1581"/>
        </w:tabs>
        <w:spacing w:before="22" w:line="259" w:lineRule="auto"/>
        <w:ind w:left="141" w:right="5347"/>
        <w:rPr>
          <w:sz w:val="24"/>
        </w:rPr>
      </w:pPr>
      <w:r>
        <w:rPr>
          <w:color w:val="231F20"/>
          <w:sz w:val="24"/>
        </w:rPr>
        <w:t>EID</w:t>
      </w:r>
      <w:r>
        <w:rPr>
          <w:color w:val="231F20"/>
          <w:sz w:val="24"/>
        </w:rPr>
        <w:tab/>
        <w:t xml:space="preserve">Early Infant Diagnosis </w:t>
      </w:r>
      <w:proofErr w:type="spellStart"/>
      <w:r>
        <w:rPr>
          <w:color w:val="231F20"/>
          <w:sz w:val="24"/>
        </w:rPr>
        <w:t>EmOC</w:t>
      </w:r>
      <w:proofErr w:type="spellEnd"/>
      <w:r>
        <w:rPr>
          <w:color w:val="231F20"/>
          <w:sz w:val="24"/>
        </w:rPr>
        <w:tab/>
        <w:t>Emergency Obstetric</w:t>
      </w:r>
      <w:r>
        <w:rPr>
          <w:color w:val="231F20"/>
          <w:spacing w:val="-55"/>
          <w:sz w:val="24"/>
        </w:rPr>
        <w:t xml:space="preserve"> </w:t>
      </w:r>
      <w:r>
        <w:rPr>
          <w:color w:val="231F20"/>
          <w:spacing w:val="-4"/>
          <w:sz w:val="24"/>
        </w:rPr>
        <w:t xml:space="preserve">Care </w:t>
      </w:r>
      <w:r>
        <w:rPr>
          <w:color w:val="231F20"/>
          <w:sz w:val="24"/>
        </w:rPr>
        <w:t>EMR</w:t>
      </w:r>
      <w:r>
        <w:rPr>
          <w:color w:val="231F20"/>
          <w:sz w:val="24"/>
        </w:rPr>
        <w:tab/>
        <w:t>Electronic Medical</w:t>
      </w:r>
      <w:r>
        <w:rPr>
          <w:color w:val="231F20"/>
          <w:spacing w:val="-55"/>
          <w:sz w:val="24"/>
        </w:rPr>
        <w:t xml:space="preserve"> </w:t>
      </w:r>
      <w:r>
        <w:rPr>
          <w:color w:val="231F20"/>
          <w:sz w:val="24"/>
        </w:rPr>
        <w:t>Record</w:t>
      </w:r>
    </w:p>
    <w:p w14:paraId="3C08261F" w14:textId="77777777" w:rsidR="009948F1" w:rsidRDefault="00BC0563">
      <w:pPr>
        <w:tabs>
          <w:tab w:val="left" w:pos="1581"/>
        </w:tabs>
        <w:spacing w:before="1" w:line="259" w:lineRule="auto"/>
        <w:ind w:left="141" w:right="5201"/>
        <w:rPr>
          <w:sz w:val="24"/>
        </w:rPr>
      </w:pPr>
      <w:r>
        <w:rPr>
          <w:color w:val="231F20"/>
          <w:sz w:val="24"/>
        </w:rPr>
        <w:t>EMS</w:t>
      </w:r>
      <w:r>
        <w:rPr>
          <w:color w:val="231F20"/>
          <w:sz w:val="24"/>
        </w:rPr>
        <w:tab/>
        <w:t>Emergency Medical</w:t>
      </w:r>
      <w:r>
        <w:rPr>
          <w:color w:val="231F20"/>
          <w:spacing w:val="-51"/>
          <w:sz w:val="24"/>
        </w:rPr>
        <w:t xml:space="preserve"> </w:t>
      </w:r>
      <w:r>
        <w:rPr>
          <w:color w:val="231F20"/>
          <w:spacing w:val="-3"/>
          <w:sz w:val="24"/>
        </w:rPr>
        <w:t xml:space="preserve">Service </w:t>
      </w:r>
      <w:r>
        <w:rPr>
          <w:color w:val="231F20"/>
          <w:sz w:val="24"/>
        </w:rPr>
        <w:t>ENBC</w:t>
      </w:r>
      <w:r>
        <w:rPr>
          <w:color w:val="231F20"/>
          <w:sz w:val="24"/>
        </w:rPr>
        <w:tab/>
        <w:t>Essential Newborn</w:t>
      </w:r>
      <w:r>
        <w:rPr>
          <w:color w:val="231F20"/>
          <w:spacing w:val="-55"/>
          <w:sz w:val="24"/>
        </w:rPr>
        <w:t xml:space="preserve"> </w:t>
      </w:r>
      <w:r>
        <w:rPr>
          <w:color w:val="231F20"/>
          <w:sz w:val="24"/>
        </w:rPr>
        <w:t>Care</w:t>
      </w:r>
    </w:p>
    <w:p w14:paraId="1FAB4EA4" w14:textId="77777777" w:rsidR="009948F1" w:rsidRDefault="00BC0563">
      <w:pPr>
        <w:tabs>
          <w:tab w:val="left" w:pos="1581"/>
        </w:tabs>
        <w:spacing w:line="259" w:lineRule="auto"/>
        <w:ind w:left="141" w:right="4774"/>
        <w:rPr>
          <w:sz w:val="24"/>
        </w:rPr>
      </w:pPr>
      <w:r>
        <w:rPr>
          <w:color w:val="231F20"/>
          <w:sz w:val="24"/>
        </w:rPr>
        <w:t>ENCC</w:t>
      </w:r>
      <w:r>
        <w:rPr>
          <w:color w:val="231F20"/>
          <w:sz w:val="24"/>
        </w:rPr>
        <w:tab/>
        <w:t>Essential</w:t>
      </w:r>
      <w:r>
        <w:rPr>
          <w:color w:val="231F20"/>
          <w:spacing w:val="-27"/>
          <w:sz w:val="24"/>
        </w:rPr>
        <w:t xml:space="preserve"> </w:t>
      </w:r>
      <w:r>
        <w:rPr>
          <w:color w:val="231F20"/>
          <w:sz w:val="24"/>
        </w:rPr>
        <w:t>Newborn</w:t>
      </w:r>
      <w:r>
        <w:rPr>
          <w:color w:val="231F20"/>
          <w:spacing w:val="-27"/>
          <w:sz w:val="24"/>
        </w:rPr>
        <w:t xml:space="preserve"> </w:t>
      </w:r>
      <w:r>
        <w:rPr>
          <w:color w:val="231F20"/>
          <w:sz w:val="24"/>
        </w:rPr>
        <w:t>Care</w:t>
      </w:r>
      <w:r>
        <w:rPr>
          <w:color w:val="231F20"/>
          <w:spacing w:val="-26"/>
          <w:sz w:val="24"/>
        </w:rPr>
        <w:t xml:space="preserve"> </w:t>
      </w:r>
      <w:r>
        <w:rPr>
          <w:color w:val="231F20"/>
          <w:spacing w:val="-3"/>
          <w:sz w:val="24"/>
        </w:rPr>
        <w:t xml:space="preserve">Course </w:t>
      </w:r>
      <w:r>
        <w:rPr>
          <w:color w:val="231F20"/>
          <w:sz w:val="24"/>
        </w:rPr>
        <w:t>EOC</w:t>
      </w:r>
      <w:r>
        <w:rPr>
          <w:color w:val="231F20"/>
          <w:sz w:val="24"/>
        </w:rPr>
        <w:tab/>
        <w:t>Emergency Operation</w:t>
      </w:r>
      <w:r>
        <w:rPr>
          <w:color w:val="231F20"/>
          <w:spacing w:val="-55"/>
          <w:sz w:val="24"/>
        </w:rPr>
        <w:t xml:space="preserve"> </w:t>
      </w:r>
      <w:r>
        <w:rPr>
          <w:color w:val="231F20"/>
          <w:sz w:val="24"/>
        </w:rPr>
        <w:t>Centre</w:t>
      </w:r>
    </w:p>
    <w:p w14:paraId="09F49D6F" w14:textId="77777777" w:rsidR="009948F1" w:rsidRDefault="009948F1">
      <w:pPr>
        <w:spacing w:line="259" w:lineRule="auto"/>
        <w:rPr>
          <w:sz w:val="24"/>
        </w:rPr>
        <w:sectPr w:rsidR="009948F1">
          <w:pgSz w:w="11910" w:h="16840"/>
          <w:pgMar w:top="1260" w:right="1080" w:bottom="1420" w:left="1120" w:header="0" w:footer="1235" w:gutter="0"/>
          <w:cols w:space="720"/>
        </w:sectPr>
      </w:pPr>
    </w:p>
    <w:p w14:paraId="0848531D" w14:textId="77777777" w:rsidR="009948F1" w:rsidRDefault="00BC0563">
      <w:pPr>
        <w:pStyle w:val="BodyText"/>
        <w:tabs>
          <w:tab w:val="left" w:pos="1598"/>
        </w:tabs>
        <w:spacing w:before="47"/>
        <w:ind w:left="158"/>
      </w:pPr>
      <w:bookmarkStart w:id="5" w:name="Page_6"/>
      <w:bookmarkEnd w:id="5"/>
      <w:r>
        <w:rPr>
          <w:color w:val="231F20"/>
        </w:rPr>
        <w:lastRenderedPageBreak/>
        <w:t>ETE</w:t>
      </w:r>
      <w:r>
        <w:rPr>
          <w:color w:val="231F20"/>
        </w:rPr>
        <w:tab/>
        <w:t>End</w:t>
      </w:r>
      <w:r>
        <w:rPr>
          <w:color w:val="231F20"/>
          <w:spacing w:val="-47"/>
        </w:rPr>
        <w:t xml:space="preserve"> </w:t>
      </w:r>
      <w:r>
        <w:rPr>
          <w:color w:val="231F20"/>
          <w:spacing w:val="-7"/>
        </w:rPr>
        <w:t xml:space="preserve">Term </w:t>
      </w:r>
      <w:r>
        <w:rPr>
          <w:color w:val="231F20"/>
        </w:rPr>
        <w:t>Evaluation</w:t>
      </w:r>
    </w:p>
    <w:p w14:paraId="59A94451" w14:textId="77777777" w:rsidR="009948F1" w:rsidRDefault="00BC0563">
      <w:pPr>
        <w:pStyle w:val="BodyText"/>
        <w:tabs>
          <w:tab w:val="left" w:pos="1598"/>
        </w:tabs>
        <w:spacing w:before="36" w:line="273" w:lineRule="auto"/>
        <w:ind w:left="158" w:right="4950"/>
      </w:pPr>
      <w:r>
        <w:rPr>
          <w:color w:val="231F20"/>
        </w:rPr>
        <w:t>ERGO</w:t>
      </w:r>
      <w:r>
        <w:rPr>
          <w:color w:val="231F20"/>
        </w:rPr>
        <w:tab/>
        <w:t>Economic</w:t>
      </w:r>
      <w:r>
        <w:rPr>
          <w:color w:val="231F20"/>
          <w:spacing w:val="-25"/>
        </w:rPr>
        <w:t xml:space="preserve"> </w:t>
      </w:r>
      <w:r>
        <w:rPr>
          <w:color w:val="231F20"/>
        </w:rPr>
        <w:t>Growth</w:t>
      </w:r>
      <w:r>
        <w:rPr>
          <w:color w:val="231F20"/>
          <w:spacing w:val="-25"/>
        </w:rPr>
        <w:t xml:space="preserve"> </w:t>
      </w:r>
      <w:r>
        <w:rPr>
          <w:color w:val="231F20"/>
        </w:rPr>
        <w:t>Recovery</w:t>
      </w:r>
      <w:r>
        <w:rPr>
          <w:color w:val="231F20"/>
          <w:spacing w:val="-25"/>
        </w:rPr>
        <w:t xml:space="preserve"> </w:t>
      </w:r>
      <w:r>
        <w:rPr>
          <w:color w:val="231F20"/>
          <w:spacing w:val="-4"/>
        </w:rPr>
        <w:t>Plan FANC</w:t>
      </w:r>
      <w:r>
        <w:rPr>
          <w:color w:val="231F20"/>
          <w:spacing w:val="-4"/>
        </w:rPr>
        <w:tab/>
      </w:r>
      <w:r>
        <w:rPr>
          <w:color w:val="231F20"/>
        </w:rPr>
        <w:t>Focused</w:t>
      </w:r>
      <w:r>
        <w:rPr>
          <w:color w:val="231F20"/>
          <w:spacing w:val="-37"/>
        </w:rPr>
        <w:t xml:space="preserve"> </w:t>
      </w:r>
      <w:r>
        <w:rPr>
          <w:color w:val="231F20"/>
        </w:rPr>
        <w:t>Antenatal</w:t>
      </w:r>
      <w:r>
        <w:rPr>
          <w:color w:val="231F20"/>
          <w:spacing w:val="-26"/>
        </w:rPr>
        <w:t xml:space="preserve"> </w:t>
      </w:r>
      <w:r>
        <w:rPr>
          <w:color w:val="231F20"/>
        </w:rPr>
        <w:t>Care</w:t>
      </w:r>
    </w:p>
    <w:p w14:paraId="4DAECDE3" w14:textId="77777777" w:rsidR="009948F1" w:rsidRDefault="00BC0563">
      <w:pPr>
        <w:pStyle w:val="BodyText"/>
        <w:tabs>
          <w:tab w:val="left" w:pos="1598"/>
        </w:tabs>
        <w:spacing w:before="1" w:line="273" w:lineRule="auto"/>
        <w:ind w:left="158" w:right="5158"/>
      </w:pPr>
      <w:r>
        <w:rPr>
          <w:color w:val="231F20"/>
        </w:rPr>
        <w:t>FBO</w:t>
      </w:r>
      <w:r>
        <w:rPr>
          <w:color w:val="231F20"/>
        </w:rPr>
        <w:tab/>
        <w:t>Faith-Based Organisation FHI360</w:t>
      </w:r>
      <w:r>
        <w:rPr>
          <w:color w:val="231F20"/>
        </w:rPr>
        <w:tab/>
        <w:t>Family Health International FMCP</w:t>
      </w:r>
      <w:r>
        <w:rPr>
          <w:color w:val="231F20"/>
        </w:rPr>
        <w:tab/>
        <w:t>Free</w:t>
      </w:r>
      <w:r>
        <w:rPr>
          <w:color w:val="231F20"/>
          <w:spacing w:val="-30"/>
        </w:rPr>
        <w:t xml:space="preserve"> </w:t>
      </w:r>
      <w:r>
        <w:rPr>
          <w:color w:val="231F20"/>
        </w:rPr>
        <w:t>Medical</w:t>
      </w:r>
      <w:r>
        <w:rPr>
          <w:color w:val="231F20"/>
          <w:spacing w:val="-29"/>
        </w:rPr>
        <w:t xml:space="preserve"> </w:t>
      </w:r>
      <w:r>
        <w:rPr>
          <w:color w:val="231F20"/>
        </w:rPr>
        <w:t>Care</w:t>
      </w:r>
      <w:r>
        <w:rPr>
          <w:color w:val="231F20"/>
          <w:spacing w:val="-29"/>
        </w:rPr>
        <w:t xml:space="preserve"> </w:t>
      </w:r>
      <w:proofErr w:type="spellStart"/>
      <w:r>
        <w:rPr>
          <w:color w:val="231F20"/>
        </w:rPr>
        <w:t>Programme</w:t>
      </w:r>
      <w:proofErr w:type="spellEnd"/>
      <w:r>
        <w:rPr>
          <w:color w:val="231F20"/>
        </w:rPr>
        <w:t xml:space="preserve"> FMOH</w:t>
      </w:r>
      <w:r>
        <w:rPr>
          <w:color w:val="231F20"/>
        </w:rPr>
        <w:tab/>
        <w:t>Federal</w:t>
      </w:r>
      <w:r>
        <w:rPr>
          <w:color w:val="231F20"/>
          <w:spacing w:val="-26"/>
        </w:rPr>
        <w:t xml:space="preserve"> </w:t>
      </w:r>
      <w:r>
        <w:rPr>
          <w:color w:val="231F20"/>
        </w:rPr>
        <w:t>Ministry</w:t>
      </w:r>
      <w:r>
        <w:rPr>
          <w:color w:val="231F20"/>
          <w:spacing w:val="-25"/>
        </w:rPr>
        <w:t xml:space="preserve"> </w:t>
      </w:r>
      <w:r>
        <w:rPr>
          <w:color w:val="231F20"/>
        </w:rPr>
        <w:t>of</w:t>
      </w:r>
      <w:r>
        <w:rPr>
          <w:color w:val="231F20"/>
          <w:spacing w:val="-25"/>
        </w:rPr>
        <w:t xml:space="preserve"> </w:t>
      </w:r>
      <w:r>
        <w:rPr>
          <w:color w:val="231F20"/>
        </w:rPr>
        <w:t>Health</w:t>
      </w:r>
    </w:p>
    <w:p w14:paraId="461D5DF9" w14:textId="77777777" w:rsidR="009948F1" w:rsidRDefault="00BC0563">
      <w:pPr>
        <w:pStyle w:val="BodyText"/>
        <w:tabs>
          <w:tab w:val="left" w:pos="1598"/>
        </w:tabs>
        <w:spacing w:before="1" w:line="273" w:lineRule="auto"/>
        <w:ind w:left="158" w:right="4889"/>
      </w:pPr>
      <w:r>
        <w:rPr>
          <w:color w:val="231F20"/>
        </w:rPr>
        <w:t>FRSC</w:t>
      </w:r>
      <w:r>
        <w:rPr>
          <w:color w:val="231F20"/>
        </w:rPr>
        <w:tab/>
        <w:t>Federal</w:t>
      </w:r>
      <w:r>
        <w:rPr>
          <w:color w:val="231F20"/>
          <w:spacing w:val="-30"/>
        </w:rPr>
        <w:t xml:space="preserve"> </w:t>
      </w:r>
      <w:r>
        <w:rPr>
          <w:color w:val="231F20"/>
        </w:rPr>
        <w:t>Road</w:t>
      </w:r>
      <w:r>
        <w:rPr>
          <w:color w:val="231F20"/>
          <w:spacing w:val="-29"/>
        </w:rPr>
        <w:t xml:space="preserve"> </w:t>
      </w:r>
      <w:r>
        <w:rPr>
          <w:color w:val="231F20"/>
        </w:rPr>
        <w:t>Safety</w:t>
      </w:r>
      <w:r>
        <w:rPr>
          <w:color w:val="231F20"/>
          <w:spacing w:val="-29"/>
        </w:rPr>
        <w:t xml:space="preserve"> </w:t>
      </w:r>
      <w:r>
        <w:rPr>
          <w:color w:val="231F20"/>
        </w:rPr>
        <w:t>Commission FTCs</w:t>
      </w:r>
      <w:r>
        <w:rPr>
          <w:color w:val="231F20"/>
        </w:rPr>
        <w:tab/>
        <w:t>Facility</w:t>
      </w:r>
      <w:r>
        <w:rPr>
          <w:color w:val="231F20"/>
          <w:spacing w:val="-51"/>
        </w:rPr>
        <w:t xml:space="preserve"> </w:t>
      </w:r>
      <w:r>
        <w:rPr>
          <w:color w:val="231F20"/>
          <w:spacing w:val="-3"/>
        </w:rPr>
        <w:t xml:space="preserve">Technical </w:t>
      </w:r>
      <w:r>
        <w:rPr>
          <w:color w:val="231F20"/>
        </w:rPr>
        <w:t>Committees</w:t>
      </w:r>
    </w:p>
    <w:p w14:paraId="6FAAF17F" w14:textId="77777777" w:rsidR="009948F1" w:rsidRDefault="00BC0563">
      <w:pPr>
        <w:pStyle w:val="BodyText"/>
        <w:tabs>
          <w:tab w:val="left" w:pos="1598"/>
        </w:tabs>
        <w:spacing w:before="1"/>
        <w:ind w:left="158"/>
      </w:pPr>
      <w:r>
        <w:rPr>
          <w:color w:val="231F20"/>
        </w:rPr>
        <w:t>GBV</w:t>
      </w:r>
      <w:r>
        <w:rPr>
          <w:color w:val="231F20"/>
        </w:rPr>
        <w:tab/>
        <w:t>Gender-Based</w:t>
      </w:r>
      <w:r>
        <w:rPr>
          <w:color w:val="231F20"/>
          <w:spacing w:val="-30"/>
        </w:rPr>
        <w:t xml:space="preserve"> </w:t>
      </w:r>
      <w:r>
        <w:rPr>
          <w:color w:val="231F20"/>
        </w:rPr>
        <w:t>Violence</w:t>
      </w:r>
    </w:p>
    <w:p w14:paraId="0BFF7F63" w14:textId="77777777" w:rsidR="009948F1" w:rsidRDefault="00BC0563">
      <w:pPr>
        <w:pStyle w:val="BodyText"/>
        <w:tabs>
          <w:tab w:val="left" w:pos="1598"/>
        </w:tabs>
        <w:spacing w:before="36"/>
        <w:ind w:left="158"/>
      </w:pPr>
      <w:r>
        <w:rPr>
          <w:color w:val="231F20"/>
        </w:rPr>
        <w:t>GDP</w:t>
      </w:r>
      <w:r>
        <w:rPr>
          <w:color w:val="231F20"/>
        </w:rPr>
        <w:tab/>
        <w:t>Gross Domestic</w:t>
      </w:r>
      <w:r>
        <w:rPr>
          <w:color w:val="231F20"/>
          <w:spacing w:val="-51"/>
        </w:rPr>
        <w:t xml:space="preserve"> </w:t>
      </w:r>
      <w:r>
        <w:rPr>
          <w:color w:val="231F20"/>
        </w:rPr>
        <w:t>Product</w:t>
      </w:r>
    </w:p>
    <w:p w14:paraId="63C6C251" w14:textId="77777777" w:rsidR="009948F1" w:rsidRDefault="00BC0563">
      <w:pPr>
        <w:pStyle w:val="BodyText"/>
        <w:tabs>
          <w:tab w:val="left" w:pos="1598"/>
        </w:tabs>
        <w:spacing w:before="35"/>
        <w:ind w:left="158"/>
      </w:pPr>
      <w:r>
        <w:rPr>
          <w:color w:val="231F20"/>
        </w:rPr>
        <w:t>GHW</w:t>
      </w:r>
      <w:r>
        <w:rPr>
          <w:color w:val="231F20"/>
        </w:rPr>
        <w:tab/>
        <w:t>Global Health</w:t>
      </w:r>
      <w:r>
        <w:rPr>
          <w:color w:val="231F20"/>
          <w:spacing w:val="-51"/>
        </w:rPr>
        <w:t xml:space="preserve"> </w:t>
      </w:r>
      <w:r>
        <w:rPr>
          <w:color w:val="231F20"/>
        </w:rPr>
        <w:t>Watch</w:t>
      </w:r>
    </w:p>
    <w:p w14:paraId="5B1996F5" w14:textId="77777777" w:rsidR="009948F1" w:rsidRDefault="00BC0563">
      <w:pPr>
        <w:pStyle w:val="BodyText"/>
        <w:tabs>
          <w:tab w:val="left" w:pos="1598"/>
        </w:tabs>
        <w:spacing w:before="36"/>
        <w:ind w:left="158"/>
      </w:pPr>
      <w:r>
        <w:rPr>
          <w:color w:val="231F20"/>
        </w:rPr>
        <w:t>GIS</w:t>
      </w:r>
      <w:r>
        <w:rPr>
          <w:color w:val="231F20"/>
        </w:rPr>
        <w:tab/>
        <w:t>Geographic Information</w:t>
      </w:r>
      <w:r>
        <w:rPr>
          <w:color w:val="231F20"/>
          <w:spacing w:val="-50"/>
        </w:rPr>
        <w:t xml:space="preserve"> </w:t>
      </w:r>
      <w:r>
        <w:rPr>
          <w:color w:val="231F20"/>
        </w:rPr>
        <w:t>System</w:t>
      </w:r>
    </w:p>
    <w:p w14:paraId="7FC126AB" w14:textId="77777777" w:rsidR="009948F1" w:rsidRDefault="00BC0563">
      <w:pPr>
        <w:pStyle w:val="BodyText"/>
        <w:tabs>
          <w:tab w:val="left" w:pos="1598"/>
        </w:tabs>
        <w:spacing w:before="36"/>
        <w:ind w:left="158"/>
      </w:pPr>
      <w:r>
        <w:rPr>
          <w:color w:val="231F20"/>
        </w:rPr>
        <w:t>HAI</w:t>
      </w:r>
      <w:r>
        <w:rPr>
          <w:color w:val="231F20"/>
        </w:rPr>
        <w:tab/>
        <w:t>Heartland</w:t>
      </w:r>
      <w:r>
        <w:rPr>
          <w:color w:val="231F20"/>
          <w:spacing w:val="-38"/>
        </w:rPr>
        <w:t xml:space="preserve"> </w:t>
      </w:r>
      <w:r>
        <w:rPr>
          <w:color w:val="231F20"/>
        </w:rPr>
        <w:t>Alliance</w:t>
      </w:r>
      <w:r>
        <w:rPr>
          <w:color w:val="231F20"/>
          <w:spacing w:val="-25"/>
        </w:rPr>
        <w:t xml:space="preserve"> </w:t>
      </w:r>
      <w:r>
        <w:rPr>
          <w:color w:val="231F20"/>
        </w:rPr>
        <w:t>International</w:t>
      </w:r>
    </w:p>
    <w:p w14:paraId="2FF55D04" w14:textId="77777777" w:rsidR="009948F1" w:rsidRDefault="00BC0563">
      <w:pPr>
        <w:pStyle w:val="BodyText"/>
        <w:tabs>
          <w:tab w:val="left" w:pos="1598"/>
        </w:tabs>
        <w:spacing w:before="36"/>
        <w:ind w:left="158"/>
      </w:pPr>
      <w:r>
        <w:rPr>
          <w:color w:val="231F20"/>
        </w:rPr>
        <w:t>HBFI</w:t>
      </w:r>
      <w:r>
        <w:rPr>
          <w:color w:val="231F20"/>
        </w:rPr>
        <w:tab/>
        <w:t>Hospital</w:t>
      </w:r>
      <w:r>
        <w:rPr>
          <w:color w:val="231F20"/>
          <w:spacing w:val="-26"/>
        </w:rPr>
        <w:t xml:space="preserve"> </w:t>
      </w:r>
      <w:r>
        <w:rPr>
          <w:color w:val="231F20"/>
        </w:rPr>
        <w:t>Baby</w:t>
      </w:r>
      <w:r>
        <w:rPr>
          <w:color w:val="231F20"/>
          <w:spacing w:val="-25"/>
        </w:rPr>
        <w:t xml:space="preserve"> </w:t>
      </w:r>
      <w:r>
        <w:rPr>
          <w:color w:val="231F20"/>
        </w:rPr>
        <w:t>Friendly</w:t>
      </w:r>
      <w:r>
        <w:rPr>
          <w:color w:val="231F20"/>
          <w:spacing w:val="-25"/>
        </w:rPr>
        <w:t xml:space="preserve"> </w:t>
      </w:r>
      <w:r>
        <w:rPr>
          <w:color w:val="231F20"/>
        </w:rPr>
        <w:t>Initiative</w:t>
      </w:r>
    </w:p>
    <w:p w14:paraId="72FE35B2" w14:textId="77777777" w:rsidR="009948F1" w:rsidRDefault="00BC0563">
      <w:pPr>
        <w:pStyle w:val="BodyText"/>
        <w:tabs>
          <w:tab w:val="left" w:pos="1598"/>
        </w:tabs>
        <w:spacing w:before="35"/>
        <w:ind w:left="158"/>
      </w:pPr>
      <w:r>
        <w:rPr>
          <w:color w:val="231F20"/>
        </w:rPr>
        <w:t>HBB</w:t>
      </w:r>
      <w:r>
        <w:rPr>
          <w:color w:val="231F20"/>
        </w:rPr>
        <w:tab/>
        <w:t>Helping Babies</w:t>
      </w:r>
      <w:r>
        <w:rPr>
          <w:color w:val="231F20"/>
          <w:spacing w:val="-50"/>
        </w:rPr>
        <w:t xml:space="preserve"> </w:t>
      </w:r>
      <w:r>
        <w:rPr>
          <w:color w:val="231F20"/>
        </w:rPr>
        <w:t>Breathe</w:t>
      </w:r>
    </w:p>
    <w:p w14:paraId="1D5EE64D" w14:textId="77777777" w:rsidR="009948F1" w:rsidRDefault="00BC0563">
      <w:pPr>
        <w:pStyle w:val="BodyText"/>
        <w:tabs>
          <w:tab w:val="left" w:pos="1598"/>
        </w:tabs>
        <w:spacing w:before="36"/>
        <w:ind w:left="158"/>
      </w:pPr>
      <w:r>
        <w:rPr>
          <w:color w:val="231F20"/>
        </w:rPr>
        <w:t>HBC</w:t>
      </w:r>
      <w:r>
        <w:rPr>
          <w:color w:val="231F20"/>
        </w:rPr>
        <w:tab/>
        <w:t>Home-Based</w:t>
      </w:r>
      <w:r>
        <w:rPr>
          <w:color w:val="231F20"/>
          <w:spacing w:val="-25"/>
        </w:rPr>
        <w:t xml:space="preserve"> </w:t>
      </w:r>
      <w:r>
        <w:rPr>
          <w:color w:val="231F20"/>
        </w:rPr>
        <w:t>Care</w:t>
      </w:r>
    </w:p>
    <w:p w14:paraId="5CB5DC88" w14:textId="77777777" w:rsidR="009948F1" w:rsidRDefault="00BC0563">
      <w:pPr>
        <w:pStyle w:val="BodyText"/>
        <w:tabs>
          <w:tab w:val="left" w:pos="1598"/>
        </w:tabs>
        <w:spacing w:before="36"/>
        <w:ind w:left="158"/>
      </w:pPr>
      <w:r>
        <w:rPr>
          <w:color w:val="231F20"/>
        </w:rPr>
        <w:t>HCT</w:t>
      </w:r>
      <w:r>
        <w:rPr>
          <w:color w:val="231F20"/>
        </w:rPr>
        <w:tab/>
        <w:t>HIV</w:t>
      </w:r>
      <w:r>
        <w:rPr>
          <w:color w:val="231F20"/>
          <w:spacing w:val="-25"/>
        </w:rPr>
        <w:t xml:space="preserve"> </w:t>
      </w:r>
      <w:r>
        <w:rPr>
          <w:color w:val="231F20"/>
        </w:rPr>
        <w:t>Counselling</w:t>
      </w:r>
      <w:r>
        <w:rPr>
          <w:color w:val="231F20"/>
          <w:spacing w:val="-25"/>
        </w:rPr>
        <w:t xml:space="preserve"> </w:t>
      </w:r>
      <w:r>
        <w:rPr>
          <w:color w:val="231F20"/>
        </w:rPr>
        <w:t>&amp;</w:t>
      </w:r>
      <w:r>
        <w:rPr>
          <w:color w:val="231F20"/>
          <w:spacing w:val="-29"/>
        </w:rPr>
        <w:t xml:space="preserve"> </w:t>
      </w:r>
      <w:r>
        <w:rPr>
          <w:color w:val="231F20"/>
          <w:spacing w:val="-4"/>
        </w:rPr>
        <w:t>Testing</w:t>
      </w:r>
    </w:p>
    <w:p w14:paraId="47DA2EF6" w14:textId="77777777" w:rsidR="009948F1" w:rsidRDefault="00BC0563">
      <w:pPr>
        <w:pStyle w:val="BodyText"/>
        <w:tabs>
          <w:tab w:val="left" w:pos="1598"/>
        </w:tabs>
        <w:spacing w:before="36"/>
        <w:ind w:left="158"/>
      </w:pPr>
      <w:r>
        <w:rPr>
          <w:color w:val="231F20"/>
        </w:rPr>
        <w:t>HCW</w:t>
      </w:r>
      <w:r>
        <w:rPr>
          <w:color w:val="231F20"/>
        </w:rPr>
        <w:tab/>
        <w:t>Health Care</w:t>
      </w:r>
      <w:r>
        <w:rPr>
          <w:color w:val="231F20"/>
          <w:spacing w:val="-51"/>
        </w:rPr>
        <w:t xml:space="preserve"> </w:t>
      </w:r>
      <w:r>
        <w:rPr>
          <w:color w:val="231F20"/>
        </w:rPr>
        <w:t>Workers</w:t>
      </w:r>
    </w:p>
    <w:p w14:paraId="1848803E" w14:textId="77777777" w:rsidR="009948F1" w:rsidRDefault="00BC0563">
      <w:pPr>
        <w:pStyle w:val="BodyText"/>
        <w:tabs>
          <w:tab w:val="left" w:pos="1598"/>
        </w:tabs>
        <w:spacing w:before="35" w:line="273" w:lineRule="auto"/>
        <w:ind w:left="158" w:right="4620"/>
      </w:pPr>
      <w:r>
        <w:rPr>
          <w:color w:val="231F20"/>
        </w:rPr>
        <w:t>HDCC</w:t>
      </w:r>
      <w:r>
        <w:rPr>
          <w:color w:val="231F20"/>
        </w:rPr>
        <w:tab/>
        <w:t>Health</w:t>
      </w:r>
      <w:r>
        <w:rPr>
          <w:color w:val="231F20"/>
          <w:spacing w:val="-30"/>
        </w:rPr>
        <w:t xml:space="preserve"> </w:t>
      </w:r>
      <w:r>
        <w:rPr>
          <w:color w:val="231F20"/>
        </w:rPr>
        <w:t>Data</w:t>
      </w:r>
      <w:r>
        <w:rPr>
          <w:color w:val="231F20"/>
          <w:spacing w:val="-29"/>
        </w:rPr>
        <w:t xml:space="preserve"> </w:t>
      </w:r>
      <w:r>
        <w:rPr>
          <w:color w:val="231F20"/>
        </w:rPr>
        <w:t>Consultative</w:t>
      </w:r>
      <w:r>
        <w:rPr>
          <w:color w:val="231F20"/>
          <w:spacing w:val="-29"/>
        </w:rPr>
        <w:t xml:space="preserve"> </w:t>
      </w:r>
      <w:r>
        <w:rPr>
          <w:color w:val="231F20"/>
        </w:rPr>
        <w:t>Committee HDGC</w:t>
      </w:r>
      <w:r>
        <w:rPr>
          <w:color w:val="231F20"/>
        </w:rPr>
        <w:tab/>
        <w:t>Health</w:t>
      </w:r>
      <w:r>
        <w:rPr>
          <w:color w:val="231F20"/>
          <w:spacing w:val="-26"/>
        </w:rPr>
        <w:t xml:space="preserve"> </w:t>
      </w:r>
      <w:r>
        <w:rPr>
          <w:color w:val="231F20"/>
        </w:rPr>
        <w:t>Data</w:t>
      </w:r>
      <w:r>
        <w:rPr>
          <w:color w:val="231F20"/>
          <w:spacing w:val="-25"/>
        </w:rPr>
        <w:t xml:space="preserve"> </w:t>
      </w:r>
      <w:r>
        <w:rPr>
          <w:color w:val="231F20"/>
        </w:rPr>
        <w:t>Governing</w:t>
      </w:r>
      <w:r>
        <w:rPr>
          <w:color w:val="231F20"/>
          <w:spacing w:val="-25"/>
        </w:rPr>
        <w:t xml:space="preserve"> </w:t>
      </w:r>
      <w:r>
        <w:rPr>
          <w:color w:val="231F20"/>
        </w:rPr>
        <w:t>Council</w:t>
      </w:r>
    </w:p>
    <w:p w14:paraId="306C7B14" w14:textId="77777777" w:rsidR="009948F1" w:rsidRDefault="00BC0563">
      <w:pPr>
        <w:pStyle w:val="BodyText"/>
        <w:tabs>
          <w:tab w:val="left" w:pos="1598"/>
        </w:tabs>
        <w:spacing w:before="1"/>
        <w:ind w:left="158"/>
      </w:pPr>
      <w:r>
        <w:rPr>
          <w:color w:val="231F20"/>
        </w:rPr>
        <w:t>HDI</w:t>
      </w:r>
      <w:r>
        <w:rPr>
          <w:color w:val="231F20"/>
        </w:rPr>
        <w:tab/>
        <w:t>Human Development</w:t>
      </w:r>
      <w:r>
        <w:rPr>
          <w:color w:val="231F20"/>
          <w:spacing w:val="-50"/>
        </w:rPr>
        <w:t xml:space="preserve"> </w:t>
      </w:r>
      <w:r>
        <w:rPr>
          <w:color w:val="231F20"/>
        </w:rPr>
        <w:t>Index</w:t>
      </w:r>
    </w:p>
    <w:p w14:paraId="4CBA7CB7" w14:textId="77777777" w:rsidR="009948F1" w:rsidRDefault="00BC0563">
      <w:pPr>
        <w:pStyle w:val="BodyText"/>
        <w:tabs>
          <w:tab w:val="left" w:pos="1598"/>
        </w:tabs>
        <w:spacing w:before="36"/>
        <w:ind w:left="158"/>
      </w:pPr>
      <w:r>
        <w:rPr>
          <w:color w:val="231F20"/>
        </w:rPr>
        <w:t>HE</w:t>
      </w:r>
      <w:r>
        <w:rPr>
          <w:color w:val="231F20"/>
        </w:rPr>
        <w:tab/>
        <w:t>Health</w:t>
      </w:r>
      <w:r>
        <w:rPr>
          <w:color w:val="231F20"/>
          <w:spacing w:val="-25"/>
        </w:rPr>
        <w:t xml:space="preserve"> </w:t>
      </w:r>
      <w:r>
        <w:rPr>
          <w:color w:val="231F20"/>
        </w:rPr>
        <w:t>Education</w:t>
      </w:r>
    </w:p>
    <w:p w14:paraId="294F5924" w14:textId="77777777" w:rsidR="009948F1" w:rsidRDefault="00BC0563">
      <w:pPr>
        <w:pStyle w:val="BodyText"/>
        <w:tabs>
          <w:tab w:val="left" w:pos="1598"/>
        </w:tabs>
        <w:spacing w:before="36"/>
        <w:ind w:left="158"/>
      </w:pPr>
      <w:r>
        <w:rPr>
          <w:color w:val="231F20"/>
        </w:rPr>
        <w:t>HFs</w:t>
      </w:r>
      <w:r>
        <w:rPr>
          <w:color w:val="231F20"/>
        </w:rPr>
        <w:tab/>
        <w:t>Health</w:t>
      </w:r>
      <w:r>
        <w:rPr>
          <w:color w:val="231F20"/>
          <w:spacing w:val="-25"/>
        </w:rPr>
        <w:t xml:space="preserve"> </w:t>
      </w:r>
      <w:r>
        <w:rPr>
          <w:color w:val="231F20"/>
        </w:rPr>
        <w:t>Facilities</w:t>
      </w:r>
    </w:p>
    <w:p w14:paraId="641B79B1" w14:textId="77777777" w:rsidR="009948F1" w:rsidRDefault="00BC0563">
      <w:pPr>
        <w:pStyle w:val="BodyText"/>
        <w:tabs>
          <w:tab w:val="left" w:pos="1598"/>
        </w:tabs>
        <w:spacing w:before="35"/>
        <w:ind w:left="158"/>
      </w:pPr>
      <w:r>
        <w:rPr>
          <w:color w:val="231F20"/>
        </w:rPr>
        <w:t>HFG</w:t>
      </w:r>
      <w:r>
        <w:rPr>
          <w:color w:val="231F20"/>
        </w:rPr>
        <w:tab/>
        <w:t>Health</w:t>
      </w:r>
      <w:r>
        <w:rPr>
          <w:color w:val="231F20"/>
          <w:spacing w:val="-25"/>
        </w:rPr>
        <w:t xml:space="preserve"> </w:t>
      </w:r>
      <w:r>
        <w:rPr>
          <w:color w:val="231F20"/>
        </w:rPr>
        <w:t>Finance</w:t>
      </w:r>
      <w:r>
        <w:rPr>
          <w:color w:val="231F20"/>
          <w:spacing w:val="-25"/>
        </w:rPr>
        <w:t xml:space="preserve"> </w:t>
      </w:r>
      <w:r>
        <w:rPr>
          <w:color w:val="231F20"/>
        </w:rPr>
        <w:t>and</w:t>
      </w:r>
      <w:r>
        <w:rPr>
          <w:color w:val="231F20"/>
          <w:spacing w:val="-26"/>
        </w:rPr>
        <w:t xml:space="preserve"> </w:t>
      </w:r>
      <w:r>
        <w:rPr>
          <w:color w:val="231F20"/>
        </w:rPr>
        <w:t>Governance</w:t>
      </w:r>
    </w:p>
    <w:p w14:paraId="0D185D4F" w14:textId="77777777" w:rsidR="009948F1" w:rsidRDefault="00BC0563">
      <w:pPr>
        <w:pStyle w:val="BodyText"/>
        <w:tabs>
          <w:tab w:val="left" w:pos="1598"/>
        </w:tabs>
        <w:spacing w:before="36"/>
        <w:ind w:left="158"/>
      </w:pPr>
      <w:r>
        <w:rPr>
          <w:color w:val="231F20"/>
        </w:rPr>
        <w:t>HFU</w:t>
      </w:r>
      <w:r>
        <w:rPr>
          <w:color w:val="231F20"/>
        </w:rPr>
        <w:tab/>
        <w:t>Health Finance</w:t>
      </w:r>
      <w:r>
        <w:rPr>
          <w:color w:val="231F20"/>
          <w:spacing w:val="-50"/>
        </w:rPr>
        <w:t xml:space="preserve"> </w:t>
      </w:r>
      <w:r>
        <w:rPr>
          <w:color w:val="231F20"/>
        </w:rPr>
        <w:t>Unit</w:t>
      </w:r>
    </w:p>
    <w:p w14:paraId="7AC069A6" w14:textId="77777777" w:rsidR="009948F1" w:rsidRDefault="00BC0563">
      <w:pPr>
        <w:pStyle w:val="BodyText"/>
        <w:tabs>
          <w:tab w:val="left" w:pos="1598"/>
        </w:tabs>
        <w:spacing w:before="36"/>
        <w:ind w:left="158"/>
      </w:pPr>
      <w:r>
        <w:rPr>
          <w:color w:val="231F20"/>
        </w:rPr>
        <w:t>HIO</w:t>
      </w:r>
      <w:r>
        <w:rPr>
          <w:color w:val="231F20"/>
        </w:rPr>
        <w:tab/>
        <w:t>Health Information</w:t>
      </w:r>
      <w:r>
        <w:rPr>
          <w:color w:val="231F20"/>
          <w:spacing w:val="-51"/>
        </w:rPr>
        <w:t xml:space="preserve"> </w:t>
      </w:r>
      <w:r>
        <w:rPr>
          <w:color w:val="231F20"/>
        </w:rPr>
        <w:t>Officer</w:t>
      </w:r>
    </w:p>
    <w:p w14:paraId="42A21039" w14:textId="77777777" w:rsidR="009948F1" w:rsidRDefault="00BC0563">
      <w:pPr>
        <w:pStyle w:val="BodyText"/>
        <w:tabs>
          <w:tab w:val="left" w:pos="1598"/>
        </w:tabs>
        <w:spacing w:before="36"/>
        <w:ind w:left="158"/>
      </w:pPr>
      <w:r>
        <w:rPr>
          <w:color w:val="231F20"/>
        </w:rPr>
        <w:t>HIS</w:t>
      </w:r>
      <w:r>
        <w:rPr>
          <w:color w:val="231F20"/>
        </w:rPr>
        <w:tab/>
        <w:t>Health Information</w:t>
      </w:r>
      <w:r>
        <w:rPr>
          <w:color w:val="231F20"/>
          <w:spacing w:val="-50"/>
        </w:rPr>
        <w:t xml:space="preserve"> </w:t>
      </w:r>
      <w:r>
        <w:rPr>
          <w:color w:val="231F20"/>
        </w:rPr>
        <w:t>System</w:t>
      </w:r>
    </w:p>
    <w:p w14:paraId="5E552B8E" w14:textId="77777777" w:rsidR="009948F1" w:rsidRDefault="00BC0563">
      <w:pPr>
        <w:pStyle w:val="BodyText"/>
        <w:tabs>
          <w:tab w:val="left" w:pos="1598"/>
        </w:tabs>
        <w:spacing w:before="35"/>
        <w:ind w:left="158"/>
      </w:pPr>
      <w:r>
        <w:rPr>
          <w:color w:val="231F20"/>
        </w:rPr>
        <w:t>HIS</w:t>
      </w:r>
      <w:r>
        <w:rPr>
          <w:color w:val="231F20"/>
        </w:rPr>
        <w:tab/>
        <w:t>Health Information</w:t>
      </w:r>
      <w:r>
        <w:rPr>
          <w:color w:val="231F20"/>
          <w:spacing w:val="-50"/>
        </w:rPr>
        <w:t xml:space="preserve"> </w:t>
      </w:r>
      <w:r>
        <w:rPr>
          <w:color w:val="231F20"/>
        </w:rPr>
        <w:t>Services</w:t>
      </w:r>
    </w:p>
    <w:p w14:paraId="0474C00E" w14:textId="77777777" w:rsidR="009948F1" w:rsidRDefault="00BC0563">
      <w:pPr>
        <w:pStyle w:val="BodyText"/>
        <w:tabs>
          <w:tab w:val="left" w:pos="1598"/>
        </w:tabs>
        <w:spacing w:before="36"/>
        <w:ind w:left="158"/>
      </w:pPr>
      <w:r>
        <w:rPr>
          <w:color w:val="231F20"/>
        </w:rPr>
        <w:t>HIV</w:t>
      </w:r>
      <w:r>
        <w:rPr>
          <w:color w:val="231F20"/>
        </w:rPr>
        <w:tab/>
        <w:t>Human Immuno-Deficiency</w:t>
      </w:r>
      <w:r>
        <w:rPr>
          <w:color w:val="231F20"/>
          <w:spacing w:val="-51"/>
        </w:rPr>
        <w:t xml:space="preserve"> </w:t>
      </w:r>
      <w:r>
        <w:rPr>
          <w:color w:val="231F20"/>
        </w:rPr>
        <w:t>Virus</w:t>
      </w:r>
    </w:p>
    <w:p w14:paraId="0DF887EB" w14:textId="77777777" w:rsidR="009948F1" w:rsidRDefault="00BC0563">
      <w:pPr>
        <w:pStyle w:val="BodyText"/>
        <w:tabs>
          <w:tab w:val="left" w:pos="1598"/>
        </w:tabs>
        <w:spacing w:before="36" w:line="273" w:lineRule="auto"/>
        <w:ind w:left="158" w:right="4106"/>
      </w:pPr>
      <w:r>
        <w:rPr>
          <w:color w:val="231F20"/>
        </w:rPr>
        <w:t>HMIS</w:t>
      </w:r>
      <w:r>
        <w:rPr>
          <w:color w:val="231F20"/>
        </w:rPr>
        <w:tab/>
        <w:t>Health Management Information System HPCC</w:t>
      </w:r>
      <w:r>
        <w:rPr>
          <w:color w:val="231F20"/>
        </w:rPr>
        <w:tab/>
        <w:t>Health</w:t>
      </w:r>
      <w:r>
        <w:rPr>
          <w:color w:val="231F20"/>
          <w:spacing w:val="-30"/>
        </w:rPr>
        <w:t xml:space="preserve"> </w:t>
      </w:r>
      <w:r>
        <w:rPr>
          <w:color w:val="231F20"/>
        </w:rPr>
        <w:t>Partners</w:t>
      </w:r>
      <w:r>
        <w:rPr>
          <w:color w:val="231F20"/>
          <w:spacing w:val="-29"/>
        </w:rPr>
        <w:t xml:space="preserve"> </w:t>
      </w:r>
      <w:r>
        <w:rPr>
          <w:color w:val="231F20"/>
        </w:rPr>
        <w:t>Coordinating</w:t>
      </w:r>
      <w:r>
        <w:rPr>
          <w:color w:val="231F20"/>
          <w:spacing w:val="-29"/>
        </w:rPr>
        <w:t xml:space="preserve"> </w:t>
      </w:r>
      <w:r>
        <w:rPr>
          <w:color w:val="231F20"/>
        </w:rPr>
        <w:t>Committees HR</w:t>
      </w:r>
      <w:r>
        <w:rPr>
          <w:color w:val="231F20"/>
        </w:rPr>
        <w:tab/>
        <w:t>Health</w:t>
      </w:r>
      <w:r>
        <w:rPr>
          <w:color w:val="231F20"/>
          <w:spacing w:val="-25"/>
        </w:rPr>
        <w:t xml:space="preserve"> </w:t>
      </w:r>
      <w:r>
        <w:rPr>
          <w:color w:val="231F20"/>
        </w:rPr>
        <w:t>Regulations</w:t>
      </w:r>
    </w:p>
    <w:p w14:paraId="12830A01" w14:textId="77777777" w:rsidR="009948F1" w:rsidRDefault="00BC0563">
      <w:pPr>
        <w:pStyle w:val="BodyText"/>
        <w:tabs>
          <w:tab w:val="left" w:pos="1598"/>
        </w:tabs>
        <w:spacing w:before="1" w:line="273" w:lineRule="auto"/>
        <w:ind w:left="158" w:right="4608"/>
      </w:pPr>
      <w:r>
        <w:rPr>
          <w:color w:val="231F20"/>
        </w:rPr>
        <w:t>HRH</w:t>
      </w:r>
      <w:r>
        <w:rPr>
          <w:color w:val="231F20"/>
        </w:rPr>
        <w:tab/>
        <w:t>Human Resources for Health HRHIS</w:t>
      </w:r>
      <w:r>
        <w:rPr>
          <w:color w:val="231F20"/>
        </w:rPr>
        <w:tab/>
        <w:t>Human</w:t>
      </w:r>
      <w:r>
        <w:rPr>
          <w:color w:val="231F20"/>
          <w:spacing w:val="-30"/>
        </w:rPr>
        <w:t xml:space="preserve"> </w:t>
      </w:r>
      <w:r>
        <w:rPr>
          <w:color w:val="231F20"/>
        </w:rPr>
        <w:t>Resource</w:t>
      </w:r>
      <w:r>
        <w:rPr>
          <w:color w:val="231F20"/>
          <w:spacing w:val="-29"/>
        </w:rPr>
        <w:t xml:space="preserve"> </w:t>
      </w:r>
      <w:r>
        <w:rPr>
          <w:color w:val="231F20"/>
        </w:rPr>
        <w:t>Health</w:t>
      </w:r>
      <w:r>
        <w:rPr>
          <w:color w:val="231F20"/>
          <w:spacing w:val="-30"/>
        </w:rPr>
        <w:t xml:space="preserve"> </w:t>
      </w:r>
      <w:r>
        <w:rPr>
          <w:color w:val="231F20"/>
        </w:rPr>
        <w:t>Information</w:t>
      </w:r>
    </w:p>
    <w:p w14:paraId="482394B7" w14:textId="77777777" w:rsidR="009948F1" w:rsidRDefault="00BC0563">
      <w:pPr>
        <w:pStyle w:val="BodyText"/>
        <w:tabs>
          <w:tab w:val="left" w:pos="1598"/>
        </w:tabs>
        <w:spacing w:before="1" w:line="273" w:lineRule="auto"/>
        <w:ind w:left="158" w:right="4241"/>
      </w:pPr>
      <w:r>
        <w:rPr>
          <w:color w:val="231F20"/>
        </w:rPr>
        <w:t>HSDF</w:t>
      </w:r>
      <w:r>
        <w:rPr>
          <w:color w:val="231F20"/>
        </w:rPr>
        <w:tab/>
        <w:t>Health</w:t>
      </w:r>
      <w:r>
        <w:rPr>
          <w:color w:val="231F20"/>
          <w:spacing w:val="-29"/>
        </w:rPr>
        <w:t xml:space="preserve"> </w:t>
      </w:r>
      <w:r>
        <w:rPr>
          <w:color w:val="231F20"/>
        </w:rPr>
        <w:t>Strategy</w:t>
      </w:r>
      <w:r>
        <w:rPr>
          <w:color w:val="231F20"/>
          <w:spacing w:val="-28"/>
        </w:rPr>
        <w:t xml:space="preserve"> </w:t>
      </w:r>
      <w:r>
        <w:rPr>
          <w:color w:val="231F20"/>
        </w:rPr>
        <w:t>and</w:t>
      </w:r>
      <w:r>
        <w:rPr>
          <w:color w:val="231F20"/>
          <w:spacing w:val="-29"/>
        </w:rPr>
        <w:t xml:space="preserve"> </w:t>
      </w:r>
      <w:r>
        <w:rPr>
          <w:color w:val="231F20"/>
        </w:rPr>
        <w:t>Delivery</w:t>
      </w:r>
      <w:r>
        <w:rPr>
          <w:color w:val="231F20"/>
          <w:spacing w:val="-28"/>
        </w:rPr>
        <w:t xml:space="preserve"> </w:t>
      </w:r>
      <w:r>
        <w:rPr>
          <w:color w:val="231F20"/>
        </w:rPr>
        <w:t>Foundation HTP</w:t>
      </w:r>
      <w:r>
        <w:rPr>
          <w:color w:val="231F20"/>
        </w:rPr>
        <w:tab/>
        <w:t>Harmful</w:t>
      </w:r>
      <w:r>
        <w:rPr>
          <w:color w:val="231F20"/>
          <w:spacing w:val="-30"/>
        </w:rPr>
        <w:t xml:space="preserve"> </w:t>
      </w:r>
      <w:r>
        <w:rPr>
          <w:color w:val="231F20"/>
        </w:rPr>
        <w:t>Traditional</w:t>
      </w:r>
      <w:r>
        <w:rPr>
          <w:color w:val="231F20"/>
          <w:spacing w:val="-25"/>
        </w:rPr>
        <w:t xml:space="preserve"> </w:t>
      </w:r>
      <w:r>
        <w:rPr>
          <w:color w:val="231F20"/>
        </w:rPr>
        <w:t>Practices</w:t>
      </w:r>
    </w:p>
    <w:p w14:paraId="180D0DD8" w14:textId="77777777" w:rsidR="009948F1" w:rsidRDefault="00BC0563">
      <w:pPr>
        <w:pStyle w:val="BodyText"/>
        <w:tabs>
          <w:tab w:val="left" w:pos="1598"/>
        </w:tabs>
        <w:ind w:left="158"/>
      </w:pPr>
      <w:r>
        <w:rPr>
          <w:color w:val="231F20"/>
        </w:rPr>
        <w:t>HTS</w:t>
      </w:r>
      <w:r>
        <w:rPr>
          <w:color w:val="231F20"/>
        </w:rPr>
        <w:tab/>
        <w:t>HIV</w:t>
      </w:r>
      <w:r>
        <w:rPr>
          <w:color w:val="231F20"/>
          <w:spacing w:val="-50"/>
        </w:rPr>
        <w:t xml:space="preserve"> </w:t>
      </w:r>
      <w:r>
        <w:rPr>
          <w:color w:val="231F20"/>
          <w:spacing w:val="-4"/>
        </w:rPr>
        <w:t xml:space="preserve">Testing </w:t>
      </w:r>
      <w:r>
        <w:rPr>
          <w:color w:val="231F20"/>
        </w:rPr>
        <w:t>Services</w:t>
      </w:r>
    </w:p>
    <w:p w14:paraId="47D8D762" w14:textId="77777777" w:rsidR="009948F1" w:rsidRDefault="00BC0563">
      <w:pPr>
        <w:pStyle w:val="BodyText"/>
        <w:tabs>
          <w:tab w:val="left" w:pos="1598"/>
        </w:tabs>
        <w:spacing w:before="36"/>
        <w:ind w:left="158"/>
      </w:pPr>
      <w:r>
        <w:rPr>
          <w:color w:val="231F20"/>
        </w:rPr>
        <w:t>HW</w:t>
      </w:r>
      <w:r>
        <w:rPr>
          <w:color w:val="231F20"/>
        </w:rPr>
        <w:tab/>
        <w:t>Health</w:t>
      </w:r>
      <w:r>
        <w:rPr>
          <w:color w:val="231F20"/>
          <w:spacing w:val="-26"/>
        </w:rPr>
        <w:t xml:space="preserve"> </w:t>
      </w:r>
      <w:r>
        <w:rPr>
          <w:color w:val="231F20"/>
        </w:rPr>
        <w:t>Worker</w:t>
      </w:r>
    </w:p>
    <w:p w14:paraId="64CBA21E" w14:textId="77777777" w:rsidR="009948F1" w:rsidRDefault="00BC0563">
      <w:pPr>
        <w:pStyle w:val="BodyText"/>
        <w:tabs>
          <w:tab w:val="left" w:pos="1598"/>
        </w:tabs>
        <w:spacing w:before="36" w:line="273" w:lineRule="auto"/>
        <w:ind w:left="158" w:right="3837"/>
      </w:pPr>
      <w:r>
        <w:rPr>
          <w:color w:val="231F20"/>
        </w:rPr>
        <w:t>IDSR</w:t>
      </w:r>
      <w:r>
        <w:rPr>
          <w:color w:val="231F20"/>
        </w:rPr>
        <w:tab/>
        <w:t>Integrated</w:t>
      </w:r>
      <w:r>
        <w:rPr>
          <w:color w:val="231F20"/>
          <w:spacing w:val="-29"/>
        </w:rPr>
        <w:t xml:space="preserve"> </w:t>
      </w:r>
      <w:r>
        <w:rPr>
          <w:color w:val="231F20"/>
        </w:rPr>
        <w:t>Disease</w:t>
      </w:r>
      <w:r>
        <w:rPr>
          <w:color w:val="231F20"/>
          <w:spacing w:val="-28"/>
        </w:rPr>
        <w:t xml:space="preserve"> </w:t>
      </w:r>
      <w:r>
        <w:rPr>
          <w:color w:val="231F20"/>
        </w:rPr>
        <w:t>Surveillance</w:t>
      </w:r>
      <w:r>
        <w:rPr>
          <w:color w:val="231F20"/>
          <w:spacing w:val="-28"/>
        </w:rPr>
        <w:t xml:space="preserve"> </w:t>
      </w:r>
      <w:r>
        <w:rPr>
          <w:color w:val="231F20"/>
        </w:rPr>
        <w:t>&amp;</w:t>
      </w:r>
      <w:r>
        <w:rPr>
          <w:color w:val="231F20"/>
          <w:spacing w:val="-29"/>
        </w:rPr>
        <w:t xml:space="preserve"> </w:t>
      </w:r>
      <w:r>
        <w:rPr>
          <w:color w:val="231F20"/>
        </w:rPr>
        <w:t>Response IDU</w:t>
      </w:r>
      <w:r>
        <w:rPr>
          <w:color w:val="231F20"/>
        </w:rPr>
        <w:tab/>
        <w:t>Intravenous Drug</w:t>
      </w:r>
      <w:r>
        <w:rPr>
          <w:color w:val="231F20"/>
          <w:spacing w:val="-51"/>
        </w:rPr>
        <w:t xml:space="preserve"> </w:t>
      </w:r>
      <w:r>
        <w:rPr>
          <w:color w:val="231F20"/>
        </w:rPr>
        <w:t>Users</w:t>
      </w:r>
    </w:p>
    <w:p w14:paraId="731738BB" w14:textId="77777777" w:rsidR="009948F1" w:rsidRDefault="00BC0563">
      <w:pPr>
        <w:pStyle w:val="BodyText"/>
        <w:tabs>
          <w:tab w:val="left" w:pos="1598"/>
        </w:tabs>
        <w:spacing w:before="1" w:line="273" w:lineRule="auto"/>
        <w:ind w:left="158" w:right="3373"/>
      </w:pPr>
      <w:r>
        <w:rPr>
          <w:color w:val="231F20"/>
        </w:rPr>
        <w:t>IEC</w:t>
      </w:r>
      <w:r>
        <w:rPr>
          <w:color w:val="231F20"/>
        </w:rPr>
        <w:tab/>
        <w:t>Information,</w:t>
      </w:r>
      <w:r>
        <w:rPr>
          <w:color w:val="231F20"/>
          <w:spacing w:val="-30"/>
        </w:rPr>
        <w:t xml:space="preserve"> </w:t>
      </w:r>
      <w:r>
        <w:rPr>
          <w:color w:val="231F20"/>
        </w:rPr>
        <w:t>Education,</w:t>
      </w:r>
      <w:r>
        <w:rPr>
          <w:color w:val="231F20"/>
          <w:spacing w:val="-29"/>
        </w:rPr>
        <w:t xml:space="preserve"> </w:t>
      </w:r>
      <w:r>
        <w:rPr>
          <w:color w:val="231F20"/>
        </w:rPr>
        <w:t>Communication</w:t>
      </w:r>
      <w:r>
        <w:rPr>
          <w:color w:val="231F20"/>
          <w:spacing w:val="-30"/>
        </w:rPr>
        <w:t xml:space="preserve"> </w:t>
      </w:r>
      <w:r>
        <w:rPr>
          <w:color w:val="231F20"/>
        </w:rPr>
        <w:t>Materials IHR</w:t>
      </w:r>
      <w:r>
        <w:rPr>
          <w:color w:val="231F20"/>
        </w:rPr>
        <w:tab/>
        <w:t>International Health</w:t>
      </w:r>
      <w:r>
        <w:rPr>
          <w:color w:val="231F20"/>
          <w:spacing w:val="-51"/>
        </w:rPr>
        <w:t xml:space="preserve"> </w:t>
      </w:r>
      <w:r>
        <w:rPr>
          <w:color w:val="231F20"/>
        </w:rPr>
        <w:t>Regulation</w:t>
      </w:r>
    </w:p>
    <w:p w14:paraId="5CE843FC" w14:textId="77777777" w:rsidR="009948F1" w:rsidRDefault="00BC0563">
      <w:pPr>
        <w:pStyle w:val="BodyText"/>
        <w:tabs>
          <w:tab w:val="left" w:pos="1597"/>
        </w:tabs>
        <w:spacing w:line="273" w:lineRule="auto"/>
        <w:ind w:left="158" w:right="3653"/>
      </w:pPr>
      <w:r>
        <w:rPr>
          <w:color w:val="231F20"/>
        </w:rPr>
        <w:t>IMCI</w:t>
      </w:r>
      <w:r>
        <w:rPr>
          <w:color w:val="231F20"/>
        </w:rPr>
        <w:tab/>
        <w:t>Integrated</w:t>
      </w:r>
      <w:r>
        <w:rPr>
          <w:color w:val="231F20"/>
          <w:spacing w:val="-28"/>
        </w:rPr>
        <w:t xml:space="preserve"> </w:t>
      </w:r>
      <w:r>
        <w:rPr>
          <w:color w:val="231F20"/>
        </w:rPr>
        <w:t>Management</w:t>
      </w:r>
      <w:r>
        <w:rPr>
          <w:color w:val="231F20"/>
          <w:spacing w:val="-28"/>
        </w:rPr>
        <w:t xml:space="preserve"> </w:t>
      </w:r>
      <w:r>
        <w:rPr>
          <w:color w:val="231F20"/>
        </w:rPr>
        <w:t>of</w:t>
      </w:r>
      <w:r>
        <w:rPr>
          <w:color w:val="231F20"/>
          <w:spacing w:val="-28"/>
        </w:rPr>
        <w:t xml:space="preserve"> </w:t>
      </w:r>
      <w:r>
        <w:rPr>
          <w:color w:val="231F20"/>
        </w:rPr>
        <w:t>Childhood</w:t>
      </w:r>
      <w:r>
        <w:rPr>
          <w:color w:val="231F20"/>
          <w:spacing w:val="-28"/>
        </w:rPr>
        <w:t xml:space="preserve"> </w:t>
      </w:r>
      <w:r>
        <w:rPr>
          <w:color w:val="231F20"/>
        </w:rPr>
        <w:t>Illnesses IPC</w:t>
      </w:r>
      <w:r>
        <w:rPr>
          <w:color w:val="231F20"/>
        </w:rPr>
        <w:tab/>
        <w:t>Infection,</w:t>
      </w:r>
      <w:r>
        <w:rPr>
          <w:color w:val="231F20"/>
          <w:spacing w:val="-26"/>
        </w:rPr>
        <w:t xml:space="preserve"> </w:t>
      </w:r>
      <w:r>
        <w:rPr>
          <w:color w:val="231F20"/>
        </w:rPr>
        <w:t>Prevention</w:t>
      </w:r>
      <w:r>
        <w:rPr>
          <w:color w:val="231F20"/>
          <w:spacing w:val="-25"/>
        </w:rPr>
        <w:t xml:space="preserve"> </w:t>
      </w:r>
      <w:r>
        <w:rPr>
          <w:color w:val="231F20"/>
        </w:rPr>
        <w:t>and</w:t>
      </w:r>
      <w:r>
        <w:rPr>
          <w:color w:val="231F20"/>
          <w:spacing w:val="-25"/>
        </w:rPr>
        <w:t xml:space="preserve"> </w:t>
      </w:r>
      <w:r>
        <w:rPr>
          <w:color w:val="231F20"/>
        </w:rPr>
        <w:t>Control</w:t>
      </w:r>
    </w:p>
    <w:p w14:paraId="558503AC" w14:textId="77777777" w:rsidR="009948F1" w:rsidRDefault="00BC0563">
      <w:pPr>
        <w:pStyle w:val="BodyText"/>
        <w:tabs>
          <w:tab w:val="left" w:pos="1597"/>
        </w:tabs>
        <w:spacing w:before="1"/>
        <w:ind w:left="158"/>
      </w:pPr>
      <w:r>
        <w:rPr>
          <w:color w:val="231F20"/>
        </w:rPr>
        <w:t>IPC</w:t>
      </w:r>
      <w:r>
        <w:rPr>
          <w:color w:val="231F20"/>
        </w:rPr>
        <w:tab/>
        <w:t>Interpersonal</w:t>
      </w:r>
      <w:r>
        <w:rPr>
          <w:color w:val="231F20"/>
          <w:spacing w:val="-25"/>
        </w:rPr>
        <w:t xml:space="preserve"> </w:t>
      </w:r>
      <w:r>
        <w:rPr>
          <w:color w:val="231F20"/>
        </w:rPr>
        <w:t>Communication</w:t>
      </w:r>
    </w:p>
    <w:p w14:paraId="6AEAB140" w14:textId="77777777" w:rsidR="009948F1" w:rsidRDefault="00BC0563">
      <w:pPr>
        <w:pStyle w:val="BodyText"/>
        <w:tabs>
          <w:tab w:val="left" w:pos="1597"/>
        </w:tabs>
        <w:spacing w:before="36"/>
        <w:ind w:left="158"/>
      </w:pPr>
      <w:r>
        <w:rPr>
          <w:color w:val="231F20"/>
        </w:rPr>
        <w:t>IPSM</w:t>
      </w:r>
      <w:r>
        <w:rPr>
          <w:color w:val="231F20"/>
        </w:rPr>
        <w:tab/>
        <w:t>Integrated</w:t>
      </w:r>
      <w:r>
        <w:rPr>
          <w:color w:val="231F20"/>
          <w:spacing w:val="-26"/>
        </w:rPr>
        <w:t xml:space="preserve"> </w:t>
      </w:r>
      <w:r>
        <w:rPr>
          <w:color w:val="231F20"/>
        </w:rPr>
        <w:t>Procurement</w:t>
      </w:r>
      <w:r>
        <w:rPr>
          <w:color w:val="231F20"/>
          <w:spacing w:val="-25"/>
        </w:rPr>
        <w:t xml:space="preserve"> </w:t>
      </w:r>
      <w:r>
        <w:rPr>
          <w:color w:val="231F20"/>
        </w:rPr>
        <w:t>&amp;</w:t>
      </w:r>
      <w:r>
        <w:rPr>
          <w:color w:val="231F20"/>
          <w:spacing w:val="-25"/>
        </w:rPr>
        <w:t xml:space="preserve"> </w:t>
      </w:r>
      <w:r>
        <w:rPr>
          <w:color w:val="231F20"/>
        </w:rPr>
        <w:t>Supply</w:t>
      </w:r>
      <w:r>
        <w:rPr>
          <w:color w:val="231F20"/>
          <w:spacing w:val="-25"/>
        </w:rPr>
        <w:t xml:space="preserve"> </w:t>
      </w:r>
      <w:r>
        <w:rPr>
          <w:color w:val="231F20"/>
        </w:rPr>
        <w:t>Chain</w:t>
      </w:r>
      <w:r>
        <w:rPr>
          <w:color w:val="231F20"/>
          <w:spacing w:val="-25"/>
        </w:rPr>
        <w:t xml:space="preserve"> </w:t>
      </w:r>
      <w:r>
        <w:rPr>
          <w:color w:val="231F20"/>
        </w:rPr>
        <w:t>Management</w:t>
      </w:r>
    </w:p>
    <w:p w14:paraId="489EE74D" w14:textId="77777777" w:rsidR="009948F1" w:rsidRDefault="009948F1">
      <w:pPr>
        <w:sectPr w:rsidR="009948F1">
          <w:pgSz w:w="11910" w:h="16840"/>
          <w:pgMar w:top="1220" w:right="1080" w:bottom="1420" w:left="1120" w:header="0" w:footer="1235" w:gutter="0"/>
          <w:cols w:space="720"/>
        </w:sectPr>
      </w:pPr>
    </w:p>
    <w:p w14:paraId="131C42FA" w14:textId="77777777" w:rsidR="009948F1" w:rsidRDefault="00BC0563">
      <w:pPr>
        <w:pStyle w:val="BodyText"/>
        <w:tabs>
          <w:tab w:val="left" w:pos="1587"/>
        </w:tabs>
        <w:spacing w:before="46" w:line="273" w:lineRule="auto"/>
        <w:ind w:left="147" w:right="3391"/>
      </w:pPr>
      <w:bookmarkStart w:id="6" w:name="Page_7"/>
      <w:bookmarkEnd w:id="6"/>
      <w:r>
        <w:rPr>
          <w:color w:val="231F20"/>
        </w:rPr>
        <w:lastRenderedPageBreak/>
        <w:t>IPSMTWG</w:t>
      </w:r>
      <w:r>
        <w:rPr>
          <w:color w:val="231F20"/>
        </w:rPr>
        <w:tab/>
        <w:t>Integrated</w:t>
      </w:r>
      <w:r>
        <w:rPr>
          <w:color w:val="231F20"/>
          <w:spacing w:val="-26"/>
        </w:rPr>
        <w:t xml:space="preserve"> </w:t>
      </w:r>
      <w:r>
        <w:rPr>
          <w:color w:val="231F20"/>
        </w:rPr>
        <w:t>Procurement</w:t>
      </w:r>
      <w:r>
        <w:rPr>
          <w:color w:val="231F20"/>
          <w:spacing w:val="-29"/>
        </w:rPr>
        <w:t xml:space="preserve"> </w:t>
      </w:r>
      <w:r>
        <w:rPr>
          <w:color w:val="231F20"/>
          <w:spacing w:val="-3"/>
        </w:rPr>
        <w:t>Technical</w:t>
      </w:r>
      <w:r>
        <w:rPr>
          <w:color w:val="231F20"/>
          <w:spacing w:val="-25"/>
        </w:rPr>
        <w:t xml:space="preserve"> </w:t>
      </w:r>
      <w:r>
        <w:rPr>
          <w:color w:val="231F20"/>
        </w:rPr>
        <w:t>Working</w:t>
      </w:r>
      <w:r>
        <w:rPr>
          <w:color w:val="231F20"/>
          <w:spacing w:val="-25"/>
        </w:rPr>
        <w:t xml:space="preserve"> </w:t>
      </w:r>
      <w:r>
        <w:rPr>
          <w:color w:val="231F20"/>
          <w:spacing w:val="-3"/>
        </w:rPr>
        <w:t xml:space="preserve">Group </w:t>
      </w:r>
      <w:r>
        <w:rPr>
          <w:color w:val="231F20"/>
        </w:rPr>
        <w:t>IPT</w:t>
      </w:r>
      <w:r>
        <w:rPr>
          <w:color w:val="231F20"/>
        </w:rPr>
        <w:tab/>
        <w:t>Intermittent</w:t>
      </w:r>
      <w:r>
        <w:rPr>
          <w:color w:val="231F20"/>
          <w:spacing w:val="-26"/>
        </w:rPr>
        <w:t xml:space="preserve"> </w:t>
      </w:r>
      <w:r>
        <w:rPr>
          <w:color w:val="231F20"/>
        </w:rPr>
        <w:t>Preventive</w:t>
      </w:r>
      <w:r>
        <w:rPr>
          <w:color w:val="231F20"/>
          <w:spacing w:val="-29"/>
        </w:rPr>
        <w:t xml:space="preserve"> </w:t>
      </w:r>
      <w:r>
        <w:rPr>
          <w:color w:val="231F20"/>
        </w:rPr>
        <w:t>Treatment</w:t>
      </w:r>
    </w:p>
    <w:p w14:paraId="3E4227AB" w14:textId="77777777" w:rsidR="009948F1" w:rsidRDefault="00BC0563">
      <w:pPr>
        <w:pStyle w:val="Heading5"/>
        <w:tabs>
          <w:tab w:val="left" w:pos="1587"/>
        </w:tabs>
        <w:spacing w:line="255" w:lineRule="exact"/>
      </w:pPr>
      <w:r>
        <w:rPr>
          <w:color w:val="231F20"/>
        </w:rPr>
        <w:t>IRS</w:t>
      </w:r>
      <w:r>
        <w:rPr>
          <w:color w:val="231F20"/>
        </w:rPr>
        <w:tab/>
        <w:t>Internal Revenue</w:t>
      </w:r>
      <w:r>
        <w:rPr>
          <w:color w:val="231F20"/>
          <w:spacing w:val="-54"/>
        </w:rPr>
        <w:t xml:space="preserve"> </w:t>
      </w:r>
      <w:r>
        <w:rPr>
          <w:color w:val="231F20"/>
        </w:rPr>
        <w:t>Service</w:t>
      </w:r>
    </w:p>
    <w:p w14:paraId="0AF8A377" w14:textId="77777777" w:rsidR="009948F1" w:rsidRDefault="00BC0563">
      <w:pPr>
        <w:tabs>
          <w:tab w:val="left" w:pos="1708"/>
        </w:tabs>
        <w:spacing w:before="12"/>
        <w:ind w:left="147"/>
        <w:rPr>
          <w:sz w:val="24"/>
        </w:rPr>
      </w:pPr>
      <w:r>
        <w:rPr>
          <w:color w:val="231F20"/>
          <w:sz w:val="24"/>
        </w:rPr>
        <w:t>ISS</w:t>
      </w:r>
      <w:r>
        <w:rPr>
          <w:color w:val="231F20"/>
          <w:sz w:val="24"/>
        </w:rPr>
        <w:tab/>
        <w:t>Independent Supportive</w:t>
      </w:r>
      <w:r>
        <w:rPr>
          <w:color w:val="231F20"/>
          <w:spacing w:val="-54"/>
          <w:sz w:val="24"/>
        </w:rPr>
        <w:t xml:space="preserve"> </w:t>
      </w:r>
      <w:r>
        <w:rPr>
          <w:color w:val="231F20"/>
          <w:sz w:val="24"/>
        </w:rPr>
        <w:t>System</w:t>
      </w:r>
    </w:p>
    <w:p w14:paraId="7FA3C59F" w14:textId="77777777" w:rsidR="009948F1" w:rsidRDefault="00BC0563">
      <w:pPr>
        <w:tabs>
          <w:tab w:val="left" w:pos="1587"/>
        </w:tabs>
        <w:spacing w:before="11"/>
        <w:ind w:left="147"/>
        <w:rPr>
          <w:sz w:val="24"/>
        </w:rPr>
      </w:pPr>
      <w:r>
        <w:rPr>
          <w:color w:val="231F20"/>
          <w:sz w:val="24"/>
        </w:rPr>
        <w:t>IVM</w:t>
      </w:r>
      <w:r>
        <w:rPr>
          <w:color w:val="231F20"/>
          <w:sz w:val="24"/>
        </w:rPr>
        <w:tab/>
        <w:t xml:space="preserve">Integrated </w:t>
      </w:r>
      <w:r>
        <w:rPr>
          <w:color w:val="231F20"/>
          <w:spacing w:val="-3"/>
          <w:sz w:val="24"/>
        </w:rPr>
        <w:t>Vector</w:t>
      </w:r>
      <w:r>
        <w:rPr>
          <w:color w:val="231F20"/>
          <w:spacing w:val="-54"/>
          <w:sz w:val="24"/>
        </w:rPr>
        <w:t xml:space="preserve"> </w:t>
      </w:r>
      <w:r>
        <w:rPr>
          <w:color w:val="231F20"/>
          <w:sz w:val="24"/>
        </w:rPr>
        <w:t>Management</w:t>
      </w:r>
    </w:p>
    <w:p w14:paraId="48E16A35" w14:textId="77777777" w:rsidR="009948F1" w:rsidRDefault="00BC0563">
      <w:pPr>
        <w:tabs>
          <w:tab w:val="left" w:pos="1587"/>
        </w:tabs>
        <w:spacing w:before="11"/>
        <w:ind w:left="147"/>
        <w:rPr>
          <w:sz w:val="24"/>
        </w:rPr>
      </w:pPr>
      <w:r>
        <w:rPr>
          <w:color w:val="231F20"/>
          <w:sz w:val="24"/>
        </w:rPr>
        <w:t>IYCF</w:t>
      </w:r>
      <w:r>
        <w:rPr>
          <w:color w:val="231F20"/>
          <w:sz w:val="24"/>
        </w:rPr>
        <w:tab/>
        <w:t>Infant</w:t>
      </w:r>
      <w:r>
        <w:rPr>
          <w:color w:val="231F20"/>
          <w:spacing w:val="-27"/>
          <w:sz w:val="24"/>
        </w:rPr>
        <w:t xml:space="preserve"> </w:t>
      </w:r>
      <w:r>
        <w:rPr>
          <w:color w:val="231F20"/>
          <w:sz w:val="24"/>
        </w:rPr>
        <w:t>&amp;</w:t>
      </w:r>
      <w:r>
        <w:rPr>
          <w:color w:val="231F20"/>
          <w:spacing w:val="-31"/>
          <w:sz w:val="24"/>
        </w:rPr>
        <w:t xml:space="preserve"> </w:t>
      </w:r>
      <w:r>
        <w:rPr>
          <w:color w:val="231F20"/>
          <w:spacing w:val="-5"/>
          <w:sz w:val="24"/>
        </w:rPr>
        <w:t>Young</w:t>
      </w:r>
      <w:r>
        <w:rPr>
          <w:color w:val="231F20"/>
          <w:spacing w:val="-27"/>
          <w:sz w:val="24"/>
        </w:rPr>
        <w:t xml:space="preserve"> </w:t>
      </w:r>
      <w:r>
        <w:rPr>
          <w:color w:val="231F20"/>
          <w:sz w:val="24"/>
        </w:rPr>
        <w:t>Child</w:t>
      </w:r>
      <w:r>
        <w:rPr>
          <w:color w:val="231F20"/>
          <w:spacing w:val="-27"/>
          <w:sz w:val="24"/>
        </w:rPr>
        <w:t xml:space="preserve"> </w:t>
      </w:r>
      <w:r>
        <w:rPr>
          <w:color w:val="231F20"/>
          <w:sz w:val="24"/>
        </w:rPr>
        <w:t>Feeding</w:t>
      </w:r>
    </w:p>
    <w:p w14:paraId="0AB4606E" w14:textId="77777777" w:rsidR="009948F1" w:rsidRDefault="00BC0563">
      <w:pPr>
        <w:tabs>
          <w:tab w:val="left" w:pos="1587"/>
        </w:tabs>
        <w:spacing w:before="12"/>
        <w:ind w:left="147"/>
        <w:rPr>
          <w:sz w:val="24"/>
        </w:rPr>
      </w:pPr>
      <w:r>
        <w:rPr>
          <w:color w:val="231F20"/>
          <w:sz w:val="24"/>
        </w:rPr>
        <w:t>JAR</w:t>
      </w:r>
      <w:r>
        <w:rPr>
          <w:color w:val="231F20"/>
          <w:sz w:val="24"/>
        </w:rPr>
        <w:tab/>
        <w:t>Joint</w:t>
      </w:r>
      <w:r>
        <w:rPr>
          <w:color w:val="231F20"/>
          <w:spacing w:val="-40"/>
          <w:sz w:val="24"/>
        </w:rPr>
        <w:t xml:space="preserve"> </w:t>
      </w:r>
      <w:r>
        <w:rPr>
          <w:color w:val="231F20"/>
          <w:sz w:val="24"/>
        </w:rPr>
        <w:t>Annual</w:t>
      </w:r>
      <w:r>
        <w:rPr>
          <w:color w:val="231F20"/>
          <w:spacing w:val="-27"/>
          <w:sz w:val="24"/>
        </w:rPr>
        <w:t xml:space="preserve"> </w:t>
      </w:r>
      <w:r>
        <w:rPr>
          <w:color w:val="231F20"/>
          <w:sz w:val="24"/>
        </w:rPr>
        <w:t>Review</w:t>
      </w:r>
    </w:p>
    <w:p w14:paraId="44E40206" w14:textId="77777777" w:rsidR="009948F1" w:rsidRDefault="00BC0563">
      <w:pPr>
        <w:tabs>
          <w:tab w:val="left" w:pos="1587"/>
        </w:tabs>
        <w:spacing w:before="11" w:line="249" w:lineRule="auto"/>
        <w:ind w:left="147" w:right="3847"/>
        <w:rPr>
          <w:sz w:val="24"/>
        </w:rPr>
      </w:pPr>
      <w:r>
        <w:rPr>
          <w:color w:val="231F20"/>
          <w:sz w:val="24"/>
        </w:rPr>
        <w:t>JCCR</w:t>
      </w:r>
      <w:r>
        <w:rPr>
          <w:color w:val="231F20"/>
          <w:sz w:val="24"/>
        </w:rPr>
        <w:tab/>
        <w:t>Joint</w:t>
      </w:r>
      <w:r>
        <w:rPr>
          <w:color w:val="231F20"/>
          <w:spacing w:val="-31"/>
          <w:sz w:val="24"/>
        </w:rPr>
        <w:t xml:space="preserve"> </w:t>
      </w:r>
      <w:r>
        <w:rPr>
          <w:color w:val="231F20"/>
          <w:sz w:val="24"/>
        </w:rPr>
        <w:t>Consultative</w:t>
      </w:r>
      <w:r>
        <w:rPr>
          <w:color w:val="231F20"/>
          <w:spacing w:val="-30"/>
          <w:sz w:val="24"/>
        </w:rPr>
        <w:t xml:space="preserve"> </w:t>
      </w:r>
      <w:r>
        <w:rPr>
          <w:color w:val="231F20"/>
          <w:sz w:val="24"/>
        </w:rPr>
        <w:t>Committee</w:t>
      </w:r>
      <w:r>
        <w:rPr>
          <w:color w:val="231F20"/>
          <w:spacing w:val="-31"/>
          <w:sz w:val="24"/>
        </w:rPr>
        <w:t xml:space="preserve"> </w:t>
      </w:r>
      <w:r>
        <w:rPr>
          <w:color w:val="231F20"/>
          <w:sz w:val="24"/>
        </w:rPr>
        <w:t>on</w:t>
      </w:r>
      <w:r>
        <w:rPr>
          <w:color w:val="231F20"/>
          <w:spacing w:val="-30"/>
          <w:sz w:val="24"/>
        </w:rPr>
        <w:t xml:space="preserve"> </w:t>
      </w:r>
      <w:r>
        <w:rPr>
          <w:color w:val="231F20"/>
          <w:sz w:val="24"/>
        </w:rPr>
        <w:t>Referral LAC</w:t>
      </w:r>
      <w:r>
        <w:rPr>
          <w:color w:val="231F20"/>
          <w:sz w:val="24"/>
        </w:rPr>
        <w:tab/>
        <w:t>Long</w:t>
      </w:r>
      <w:r>
        <w:rPr>
          <w:color w:val="231F20"/>
          <w:spacing w:val="-40"/>
          <w:sz w:val="24"/>
        </w:rPr>
        <w:t xml:space="preserve"> </w:t>
      </w:r>
      <w:r>
        <w:rPr>
          <w:color w:val="231F20"/>
          <w:sz w:val="24"/>
        </w:rPr>
        <w:t>Acting</w:t>
      </w:r>
      <w:r>
        <w:rPr>
          <w:color w:val="231F20"/>
          <w:spacing w:val="-28"/>
          <w:sz w:val="24"/>
        </w:rPr>
        <w:t xml:space="preserve"> </w:t>
      </w:r>
      <w:r>
        <w:rPr>
          <w:color w:val="231F20"/>
          <w:sz w:val="24"/>
        </w:rPr>
        <w:t>Contraceptive</w:t>
      </w:r>
    </w:p>
    <w:p w14:paraId="7A2E8481" w14:textId="77777777" w:rsidR="009948F1" w:rsidRDefault="00BC0563">
      <w:pPr>
        <w:tabs>
          <w:tab w:val="left" w:pos="1587"/>
        </w:tabs>
        <w:spacing w:line="249" w:lineRule="auto"/>
        <w:ind w:left="147" w:right="4193"/>
        <w:rPr>
          <w:sz w:val="24"/>
        </w:rPr>
      </w:pPr>
      <w:r>
        <w:rPr>
          <w:color w:val="231F20"/>
          <w:sz w:val="24"/>
        </w:rPr>
        <w:t>LARC</w:t>
      </w:r>
      <w:r>
        <w:rPr>
          <w:color w:val="231F20"/>
          <w:sz w:val="24"/>
        </w:rPr>
        <w:tab/>
        <w:t>Long</w:t>
      </w:r>
      <w:r>
        <w:rPr>
          <w:color w:val="231F20"/>
          <w:spacing w:val="-38"/>
          <w:sz w:val="24"/>
        </w:rPr>
        <w:t xml:space="preserve"> </w:t>
      </w:r>
      <w:r>
        <w:rPr>
          <w:color w:val="231F20"/>
          <w:sz w:val="24"/>
        </w:rPr>
        <w:t>Acting</w:t>
      </w:r>
      <w:r>
        <w:rPr>
          <w:color w:val="231F20"/>
          <w:spacing w:val="-24"/>
          <w:sz w:val="24"/>
        </w:rPr>
        <w:t xml:space="preserve"> </w:t>
      </w:r>
      <w:r>
        <w:rPr>
          <w:color w:val="231F20"/>
          <w:sz w:val="24"/>
        </w:rPr>
        <w:t>Reversible</w:t>
      </w:r>
      <w:r>
        <w:rPr>
          <w:color w:val="231F20"/>
          <w:spacing w:val="-24"/>
          <w:sz w:val="24"/>
        </w:rPr>
        <w:t xml:space="preserve"> </w:t>
      </w:r>
      <w:r>
        <w:rPr>
          <w:color w:val="231F20"/>
          <w:spacing w:val="-2"/>
          <w:sz w:val="24"/>
        </w:rPr>
        <w:t xml:space="preserve">Contraceptive </w:t>
      </w:r>
      <w:r>
        <w:rPr>
          <w:color w:val="231F20"/>
          <w:sz w:val="24"/>
        </w:rPr>
        <w:t>LGA</w:t>
      </w:r>
      <w:r>
        <w:rPr>
          <w:color w:val="231F20"/>
          <w:sz w:val="24"/>
        </w:rPr>
        <w:tab/>
        <w:t>Local</w:t>
      </w:r>
      <w:r>
        <w:rPr>
          <w:color w:val="231F20"/>
          <w:spacing w:val="-27"/>
          <w:sz w:val="24"/>
        </w:rPr>
        <w:t xml:space="preserve"> </w:t>
      </w:r>
      <w:r>
        <w:rPr>
          <w:color w:val="231F20"/>
          <w:sz w:val="24"/>
        </w:rPr>
        <w:t>Government</w:t>
      </w:r>
      <w:r>
        <w:rPr>
          <w:color w:val="231F20"/>
          <w:spacing w:val="-40"/>
          <w:sz w:val="24"/>
        </w:rPr>
        <w:t xml:space="preserve"> </w:t>
      </w:r>
      <w:r>
        <w:rPr>
          <w:color w:val="231F20"/>
          <w:sz w:val="24"/>
        </w:rPr>
        <w:t>Area</w:t>
      </w:r>
    </w:p>
    <w:p w14:paraId="659E5161" w14:textId="77777777" w:rsidR="009948F1" w:rsidRDefault="00BC0563">
      <w:pPr>
        <w:tabs>
          <w:tab w:val="left" w:pos="1587"/>
        </w:tabs>
        <w:spacing w:before="1"/>
        <w:ind w:left="147"/>
        <w:rPr>
          <w:sz w:val="24"/>
        </w:rPr>
      </w:pPr>
      <w:r>
        <w:rPr>
          <w:color w:val="231F20"/>
          <w:sz w:val="24"/>
        </w:rPr>
        <w:t>LLIN</w:t>
      </w:r>
      <w:r>
        <w:rPr>
          <w:color w:val="231F20"/>
          <w:sz w:val="24"/>
        </w:rPr>
        <w:tab/>
        <w:t>Long</w:t>
      </w:r>
      <w:r>
        <w:rPr>
          <w:color w:val="231F20"/>
          <w:spacing w:val="-27"/>
          <w:sz w:val="24"/>
        </w:rPr>
        <w:t xml:space="preserve"> </w:t>
      </w:r>
      <w:r>
        <w:rPr>
          <w:color w:val="231F20"/>
          <w:sz w:val="24"/>
        </w:rPr>
        <w:t>Lasting</w:t>
      </w:r>
      <w:r>
        <w:rPr>
          <w:color w:val="231F20"/>
          <w:spacing w:val="-27"/>
          <w:sz w:val="24"/>
        </w:rPr>
        <w:t xml:space="preserve"> </w:t>
      </w:r>
      <w:r>
        <w:rPr>
          <w:color w:val="231F20"/>
          <w:sz w:val="24"/>
        </w:rPr>
        <w:t>Insecticide</w:t>
      </w:r>
      <w:r>
        <w:rPr>
          <w:color w:val="231F20"/>
          <w:spacing w:val="-27"/>
          <w:sz w:val="24"/>
        </w:rPr>
        <w:t xml:space="preserve"> </w:t>
      </w:r>
      <w:r>
        <w:rPr>
          <w:color w:val="231F20"/>
          <w:sz w:val="24"/>
        </w:rPr>
        <w:t>Net</w:t>
      </w:r>
    </w:p>
    <w:p w14:paraId="05A4F4A5" w14:textId="77777777" w:rsidR="009948F1" w:rsidRDefault="00BC0563">
      <w:pPr>
        <w:tabs>
          <w:tab w:val="left" w:pos="1587"/>
        </w:tabs>
        <w:spacing w:before="11" w:line="249" w:lineRule="auto"/>
        <w:ind w:left="147" w:right="3873"/>
        <w:rPr>
          <w:sz w:val="24"/>
        </w:rPr>
      </w:pPr>
      <w:r>
        <w:rPr>
          <w:color w:val="231F20"/>
          <w:sz w:val="24"/>
        </w:rPr>
        <w:t>LMCU</w:t>
      </w:r>
      <w:r>
        <w:rPr>
          <w:color w:val="231F20"/>
          <w:sz w:val="24"/>
        </w:rPr>
        <w:tab/>
        <w:t>Logistics</w:t>
      </w:r>
      <w:r>
        <w:rPr>
          <w:color w:val="231F20"/>
          <w:spacing w:val="-27"/>
          <w:sz w:val="24"/>
        </w:rPr>
        <w:t xml:space="preserve"> </w:t>
      </w:r>
      <w:r>
        <w:rPr>
          <w:color w:val="231F20"/>
          <w:sz w:val="24"/>
        </w:rPr>
        <w:t>Management</w:t>
      </w:r>
      <w:r>
        <w:rPr>
          <w:color w:val="231F20"/>
          <w:spacing w:val="-27"/>
          <w:sz w:val="24"/>
        </w:rPr>
        <w:t xml:space="preserve"> </w:t>
      </w:r>
      <w:r>
        <w:rPr>
          <w:color w:val="231F20"/>
          <w:sz w:val="24"/>
        </w:rPr>
        <w:t>Coordinating</w:t>
      </w:r>
      <w:r>
        <w:rPr>
          <w:color w:val="231F20"/>
          <w:spacing w:val="-27"/>
          <w:sz w:val="24"/>
        </w:rPr>
        <w:t xml:space="preserve"> </w:t>
      </w:r>
      <w:r>
        <w:rPr>
          <w:color w:val="231F20"/>
          <w:spacing w:val="-4"/>
          <w:sz w:val="24"/>
        </w:rPr>
        <w:t xml:space="preserve">Unit </w:t>
      </w:r>
      <w:r>
        <w:rPr>
          <w:color w:val="231F20"/>
          <w:sz w:val="24"/>
        </w:rPr>
        <w:t>LMD</w:t>
      </w:r>
      <w:r>
        <w:rPr>
          <w:color w:val="231F20"/>
          <w:sz w:val="24"/>
        </w:rPr>
        <w:tab/>
        <w:t>Last Mile</w:t>
      </w:r>
      <w:r>
        <w:rPr>
          <w:color w:val="231F20"/>
          <w:spacing w:val="-55"/>
          <w:sz w:val="24"/>
        </w:rPr>
        <w:t xml:space="preserve"> </w:t>
      </w:r>
      <w:r>
        <w:rPr>
          <w:color w:val="231F20"/>
          <w:sz w:val="24"/>
        </w:rPr>
        <w:t>Distribution</w:t>
      </w:r>
    </w:p>
    <w:p w14:paraId="244A21D4" w14:textId="77777777" w:rsidR="009948F1" w:rsidRDefault="00BC0563">
      <w:pPr>
        <w:tabs>
          <w:tab w:val="left" w:pos="1587"/>
        </w:tabs>
        <w:spacing w:before="1"/>
        <w:ind w:left="147"/>
        <w:rPr>
          <w:sz w:val="24"/>
        </w:rPr>
      </w:pPr>
      <w:r>
        <w:rPr>
          <w:color w:val="231F20"/>
          <w:sz w:val="24"/>
        </w:rPr>
        <w:t>LMIC</w:t>
      </w:r>
      <w:r>
        <w:rPr>
          <w:color w:val="231F20"/>
          <w:sz w:val="24"/>
        </w:rPr>
        <w:tab/>
        <w:t>Low</w:t>
      </w:r>
      <w:r>
        <w:rPr>
          <w:color w:val="231F20"/>
          <w:spacing w:val="-27"/>
          <w:sz w:val="24"/>
        </w:rPr>
        <w:t xml:space="preserve"> </w:t>
      </w:r>
      <w:r>
        <w:rPr>
          <w:color w:val="231F20"/>
          <w:sz w:val="24"/>
        </w:rPr>
        <w:t>and</w:t>
      </w:r>
      <w:r>
        <w:rPr>
          <w:color w:val="231F20"/>
          <w:spacing w:val="-28"/>
          <w:sz w:val="24"/>
        </w:rPr>
        <w:t xml:space="preserve"> </w:t>
      </w:r>
      <w:r>
        <w:rPr>
          <w:color w:val="231F20"/>
          <w:sz w:val="24"/>
        </w:rPr>
        <w:t>Middle-Income</w:t>
      </w:r>
      <w:r>
        <w:rPr>
          <w:color w:val="231F20"/>
          <w:spacing w:val="-27"/>
          <w:sz w:val="24"/>
        </w:rPr>
        <w:t xml:space="preserve"> </w:t>
      </w:r>
      <w:r>
        <w:rPr>
          <w:color w:val="231F20"/>
          <w:sz w:val="24"/>
        </w:rPr>
        <w:t>Countries</w:t>
      </w:r>
    </w:p>
    <w:p w14:paraId="4B008B38" w14:textId="77777777" w:rsidR="009948F1" w:rsidRDefault="00BC0563">
      <w:pPr>
        <w:tabs>
          <w:tab w:val="left" w:pos="1587"/>
        </w:tabs>
        <w:spacing w:before="11" w:line="249" w:lineRule="auto"/>
        <w:ind w:left="147" w:right="3878"/>
        <w:rPr>
          <w:sz w:val="24"/>
        </w:rPr>
      </w:pPr>
      <w:r>
        <w:rPr>
          <w:color w:val="231F20"/>
          <w:sz w:val="24"/>
        </w:rPr>
        <w:t>LMIS</w:t>
      </w:r>
      <w:r>
        <w:rPr>
          <w:color w:val="231F20"/>
          <w:sz w:val="24"/>
        </w:rPr>
        <w:tab/>
        <w:t>Logistic</w:t>
      </w:r>
      <w:r>
        <w:rPr>
          <w:color w:val="231F20"/>
          <w:spacing w:val="-25"/>
          <w:sz w:val="24"/>
        </w:rPr>
        <w:t xml:space="preserve"> </w:t>
      </w:r>
      <w:r>
        <w:rPr>
          <w:color w:val="231F20"/>
          <w:sz w:val="24"/>
        </w:rPr>
        <w:t>Management</w:t>
      </w:r>
      <w:r>
        <w:rPr>
          <w:color w:val="231F20"/>
          <w:spacing w:val="-25"/>
          <w:sz w:val="24"/>
        </w:rPr>
        <w:t xml:space="preserve"> </w:t>
      </w:r>
      <w:r>
        <w:rPr>
          <w:color w:val="231F20"/>
          <w:sz w:val="24"/>
        </w:rPr>
        <w:t>Information</w:t>
      </w:r>
      <w:r>
        <w:rPr>
          <w:color w:val="231F20"/>
          <w:spacing w:val="-25"/>
          <w:sz w:val="24"/>
        </w:rPr>
        <w:t xml:space="preserve"> </w:t>
      </w:r>
      <w:r>
        <w:rPr>
          <w:color w:val="231F20"/>
          <w:spacing w:val="-4"/>
          <w:sz w:val="24"/>
        </w:rPr>
        <w:t xml:space="preserve">Officer </w:t>
      </w:r>
      <w:r>
        <w:rPr>
          <w:color w:val="231F20"/>
          <w:sz w:val="24"/>
        </w:rPr>
        <w:t>M&amp;E</w:t>
      </w:r>
      <w:r>
        <w:rPr>
          <w:color w:val="231F20"/>
          <w:sz w:val="24"/>
        </w:rPr>
        <w:tab/>
        <w:t>Monitoring &amp;</w:t>
      </w:r>
      <w:r>
        <w:rPr>
          <w:color w:val="231F20"/>
          <w:spacing w:val="-55"/>
          <w:sz w:val="24"/>
        </w:rPr>
        <w:t xml:space="preserve"> </w:t>
      </w:r>
      <w:r>
        <w:rPr>
          <w:color w:val="231F20"/>
          <w:sz w:val="24"/>
        </w:rPr>
        <w:t>Evaluation</w:t>
      </w:r>
    </w:p>
    <w:p w14:paraId="6EE9CEF0" w14:textId="77777777" w:rsidR="009948F1" w:rsidRDefault="00BC0563">
      <w:pPr>
        <w:tabs>
          <w:tab w:val="left" w:pos="1587"/>
        </w:tabs>
        <w:spacing w:before="1" w:line="249" w:lineRule="auto"/>
        <w:ind w:left="147" w:right="4660"/>
        <w:rPr>
          <w:sz w:val="24"/>
        </w:rPr>
      </w:pPr>
      <w:r>
        <w:rPr>
          <w:color w:val="231F20"/>
          <w:sz w:val="24"/>
        </w:rPr>
        <w:t>MDA</w:t>
      </w:r>
      <w:r>
        <w:rPr>
          <w:color w:val="231F20"/>
          <w:sz w:val="24"/>
        </w:rPr>
        <w:tab/>
        <w:t>Ministry,</w:t>
      </w:r>
      <w:r>
        <w:rPr>
          <w:color w:val="231F20"/>
          <w:spacing w:val="-33"/>
          <w:sz w:val="24"/>
        </w:rPr>
        <w:t xml:space="preserve"> </w:t>
      </w:r>
      <w:r>
        <w:rPr>
          <w:color w:val="231F20"/>
          <w:sz w:val="24"/>
        </w:rPr>
        <w:t>Department</w:t>
      </w:r>
      <w:r>
        <w:rPr>
          <w:color w:val="231F20"/>
          <w:spacing w:val="-32"/>
          <w:sz w:val="24"/>
        </w:rPr>
        <w:t xml:space="preserve"> </w:t>
      </w:r>
      <w:r>
        <w:rPr>
          <w:color w:val="231F20"/>
          <w:sz w:val="24"/>
        </w:rPr>
        <w:t>and</w:t>
      </w:r>
      <w:r>
        <w:rPr>
          <w:color w:val="231F20"/>
          <w:spacing w:val="-44"/>
          <w:sz w:val="24"/>
        </w:rPr>
        <w:t xml:space="preserve"> </w:t>
      </w:r>
      <w:r>
        <w:rPr>
          <w:color w:val="231F20"/>
          <w:sz w:val="24"/>
        </w:rPr>
        <w:t>Agency MFOC</w:t>
      </w:r>
      <w:r>
        <w:rPr>
          <w:color w:val="231F20"/>
          <w:sz w:val="24"/>
        </w:rPr>
        <w:tab/>
        <w:t>Fund Oversight Committee MHAs</w:t>
      </w:r>
      <w:r>
        <w:rPr>
          <w:color w:val="231F20"/>
          <w:sz w:val="24"/>
        </w:rPr>
        <w:tab/>
        <w:t>Mutual Health Associations MICS</w:t>
      </w:r>
      <w:r>
        <w:rPr>
          <w:color w:val="231F20"/>
          <w:sz w:val="24"/>
        </w:rPr>
        <w:tab/>
        <w:t>Multiple Indicator Cluster Survey MNCH</w:t>
      </w:r>
      <w:r>
        <w:rPr>
          <w:color w:val="231F20"/>
          <w:sz w:val="24"/>
        </w:rPr>
        <w:tab/>
        <w:t>Maternal</w:t>
      </w:r>
      <w:r>
        <w:rPr>
          <w:color w:val="231F20"/>
          <w:spacing w:val="-27"/>
          <w:sz w:val="24"/>
        </w:rPr>
        <w:t xml:space="preserve"> </w:t>
      </w:r>
      <w:r>
        <w:rPr>
          <w:color w:val="231F20"/>
          <w:sz w:val="24"/>
        </w:rPr>
        <w:t>Neonatal</w:t>
      </w:r>
      <w:r>
        <w:rPr>
          <w:color w:val="231F20"/>
          <w:spacing w:val="-26"/>
          <w:sz w:val="24"/>
        </w:rPr>
        <w:t xml:space="preserve"> </w:t>
      </w:r>
      <w:r>
        <w:rPr>
          <w:color w:val="231F20"/>
          <w:sz w:val="24"/>
        </w:rPr>
        <w:t>&amp;</w:t>
      </w:r>
      <w:r>
        <w:rPr>
          <w:color w:val="231F20"/>
          <w:spacing w:val="-27"/>
          <w:sz w:val="24"/>
        </w:rPr>
        <w:t xml:space="preserve"> </w:t>
      </w:r>
      <w:r>
        <w:rPr>
          <w:color w:val="231F20"/>
          <w:sz w:val="24"/>
        </w:rPr>
        <w:t>Child</w:t>
      </w:r>
      <w:r>
        <w:rPr>
          <w:color w:val="231F20"/>
          <w:spacing w:val="-26"/>
          <w:sz w:val="24"/>
        </w:rPr>
        <w:t xml:space="preserve"> </w:t>
      </w:r>
      <w:r>
        <w:rPr>
          <w:color w:val="231F20"/>
          <w:spacing w:val="-3"/>
          <w:sz w:val="24"/>
        </w:rPr>
        <w:t>Health</w:t>
      </w:r>
    </w:p>
    <w:p w14:paraId="1AB4C719" w14:textId="77777777" w:rsidR="009948F1" w:rsidRDefault="00BC0563">
      <w:pPr>
        <w:tabs>
          <w:tab w:val="left" w:pos="1587"/>
        </w:tabs>
        <w:spacing w:before="1" w:line="249" w:lineRule="auto"/>
        <w:ind w:left="147" w:right="3700" w:hanging="1"/>
        <w:rPr>
          <w:sz w:val="24"/>
        </w:rPr>
      </w:pPr>
      <w:r>
        <w:rPr>
          <w:color w:val="231F20"/>
          <w:sz w:val="24"/>
        </w:rPr>
        <w:t>MPPI</w:t>
      </w:r>
      <w:r>
        <w:rPr>
          <w:color w:val="231F20"/>
          <w:sz w:val="24"/>
        </w:rPr>
        <w:tab/>
        <w:t>Minimum</w:t>
      </w:r>
      <w:r>
        <w:rPr>
          <w:color w:val="231F20"/>
          <w:spacing w:val="-25"/>
          <w:sz w:val="24"/>
        </w:rPr>
        <w:t xml:space="preserve"> </w:t>
      </w:r>
      <w:r>
        <w:rPr>
          <w:color w:val="231F20"/>
          <w:sz w:val="24"/>
        </w:rPr>
        <w:t>Package</w:t>
      </w:r>
      <w:r>
        <w:rPr>
          <w:color w:val="231F20"/>
          <w:spacing w:val="-25"/>
          <w:sz w:val="24"/>
        </w:rPr>
        <w:t xml:space="preserve"> </w:t>
      </w:r>
      <w:r>
        <w:rPr>
          <w:color w:val="231F20"/>
          <w:sz w:val="24"/>
        </w:rPr>
        <w:t>Preventive</w:t>
      </w:r>
      <w:r>
        <w:rPr>
          <w:color w:val="231F20"/>
          <w:spacing w:val="-25"/>
          <w:sz w:val="24"/>
        </w:rPr>
        <w:t xml:space="preserve"> </w:t>
      </w:r>
      <w:r>
        <w:rPr>
          <w:color w:val="231F20"/>
          <w:spacing w:val="-2"/>
          <w:sz w:val="24"/>
        </w:rPr>
        <w:t xml:space="preserve">Intervention </w:t>
      </w:r>
      <w:r>
        <w:rPr>
          <w:color w:val="231F20"/>
          <w:sz w:val="24"/>
        </w:rPr>
        <w:t>MTR</w:t>
      </w:r>
      <w:r>
        <w:rPr>
          <w:color w:val="231F20"/>
          <w:sz w:val="24"/>
        </w:rPr>
        <w:tab/>
      </w:r>
      <w:r>
        <w:rPr>
          <w:color w:val="231F20"/>
          <w:spacing w:val="-4"/>
          <w:sz w:val="24"/>
        </w:rPr>
        <w:t>Mid-Term</w:t>
      </w:r>
      <w:r>
        <w:rPr>
          <w:color w:val="231F20"/>
          <w:spacing w:val="-27"/>
          <w:sz w:val="24"/>
        </w:rPr>
        <w:t xml:space="preserve"> </w:t>
      </w:r>
      <w:r>
        <w:rPr>
          <w:color w:val="231F20"/>
          <w:sz w:val="24"/>
        </w:rPr>
        <w:t>Review</w:t>
      </w:r>
    </w:p>
    <w:p w14:paraId="2446D1F1" w14:textId="77777777" w:rsidR="009948F1" w:rsidRDefault="00BC0563">
      <w:pPr>
        <w:tabs>
          <w:tab w:val="left" w:pos="1587"/>
        </w:tabs>
        <w:spacing w:before="1" w:line="249" w:lineRule="auto"/>
        <w:ind w:left="147" w:right="1698"/>
        <w:rPr>
          <w:sz w:val="24"/>
        </w:rPr>
      </w:pPr>
      <w:r>
        <w:rPr>
          <w:color w:val="231F20"/>
          <w:sz w:val="24"/>
        </w:rPr>
        <w:t>NAFDAC</w:t>
      </w:r>
      <w:r>
        <w:rPr>
          <w:color w:val="231F20"/>
          <w:sz w:val="24"/>
        </w:rPr>
        <w:tab/>
        <w:t>National</w:t>
      </w:r>
      <w:r>
        <w:rPr>
          <w:color w:val="231F20"/>
          <w:spacing w:val="-42"/>
          <w:sz w:val="24"/>
        </w:rPr>
        <w:t xml:space="preserve"> </w:t>
      </w:r>
      <w:r>
        <w:rPr>
          <w:color w:val="231F20"/>
          <w:sz w:val="24"/>
        </w:rPr>
        <w:t>Agency</w:t>
      </w:r>
      <w:r>
        <w:rPr>
          <w:color w:val="231F20"/>
          <w:spacing w:val="-29"/>
          <w:sz w:val="24"/>
        </w:rPr>
        <w:t xml:space="preserve"> </w:t>
      </w:r>
      <w:r>
        <w:rPr>
          <w:color w:val="231F20"/>
          <w:sz w:val="24"/>
        </w:rPr>
        <w:t>for</w:t>
      </w:r>
      <w:r>
        <w:rPr>
          <w:color w:val="231F20"/>
          <w:spacing w:val="-28"/>
          <w:sz w:val="24"/>
        </w:rPr>
        <w:t xml:space="preserve"> </w:t>
      </w:r>
      <w:r>
        <w:rPr>
          <w:color w:val="231F20"/>
          <w:sz w:val="24"/>
        </w:rPr>
        <w:t>Food</w:t>
      </w:r>
      <w:r>
        <w:rPr>
          <w:color w:val="231F20"/>
          <w:spacing w:val="-29"/>
          <w:sz w:val="24"/>
        </w:rPr>
        <w:t xml:space="preserve"> </w:t>
      </w:r>
      <w:r>
        <w:rPr>
          <w:color w:val="231F20"/>
          <w:sz w:val="24"/>
        </w:rPr>
        <w:t>and</w:t>
      </w:r>
      <w:r>
        <w:rPr>
          <w:color w:val="231F20"/>
          <w:spacing w:val="-29"/>
          <w:sz w:val="24"/>
        </w:rPr>
        <w:t xml:space="preserve"> </w:t>
      </w:r>
      <w:r>
        <w:rPr>
          <w:color w:val="231F20"/>
          <w:sz w:val="24"/>
        </w:rPr>
        <w:t>Drug</w:t>
      </w:r>
      <w:r>
        <w:rPr>
          <w:color w:val="231F20"/>
          <w:spacing w:val="-41"/>
          <w:sz w:val="24"/>
        </w:rPr>
        <w:t xml:space="preserve"> </w:t>
      </w:r>
      <w:r>
        <w:rPr>
          <w:color w:val="231F20"/>
          <w:sz w:val="24"/>
        </w:rPr>
        <w:t>Administration</w:t>
      </w:r>
      <w:r>
        <w:rPr>
          <w:color w:val="231F20"/>
          <w:spacing w:val="-29"/>
          <w:sz w:val="24"/>
        </w:rPr>
        <w:t xml:space="preserve"> </w:t>
      </w:r>
      <w:r>
        <w:rPr>
          <w:color w:val="231F20"/>
          <w:sz w:val="24"/>
        </w:rPr>
        <w:t>and</w:t>
      </w:r>
      <w:r>
        <w:rPr>
          <w:color w:val="231F20"/>
          <w:spacing w:val="-29"/>
          <w:sz w:val="24"/>
        </w:rPr>
        <w:t xml:space="preserve"> </w:t>
      </w:r>
      <w:r>
        <w:rPr>
          <w:color w:val="231F20"/>
          <w:sz w:val="24"/>
        </w:rPr>
        <w:t>Control NBTS</w:t>
      </w:r>
      <w:r>
        <w:rPr>
          <w:color w:val="231F20"/>
          <w:sz w:val="24"/>
        </w:rPr>
        <w:tab/>
        <w:t>National</w:t>
      </w:r>
      <w:r>
        <w:rPr>
          <w:color w:val="231F20"/>
          <w:spacing w:val="-28"/>
          <w:sz w:val="24"/>
        </w:rPr>
        <w:t xml:space="preserve"> </w:t>
      </w:r>
      <w:r>
        <w:rPr>
          <w:color w:val="231F20"/>
          <w:sz w:val="24"/>
        </w:rPr>
        <w:t>Blood</w:t>
      </w:r>
      <w:r>
        <w:rPr>
          <w:color w:val="231F20"/>
          <w:spacing w:val="-31"/>
          <w:sz w:val="24"/>
        </w:rPr>
        <w:t xml:space="preserve"> </w:t>
      </w:r>
      <w:r>
        <w:rPr>
          <w:color w:val="231F20"/>
          <w:sz w:val="24"/>
        </w:rPr>
        <w:t>Transfusion</w:t>
      </w:r>
      <w:r>
        <w:rPr>
          <w:color w:val="231F20"/>
          <w:spacing w:val="-27"/>
          <w:sz w:val="24"/>
        </w:rPr>
        <w:t xml:space="preserve"> </w:t>
      </w:r>
      <w:r>
        <w:rPr>
          <w:color w:val="231F20"/>
          <w:sz w:val="24"/>
        </w:rPr>
        <w:t>Services</w:t>
      </w:r>
    </w:p>
    <w:p w14:paraId="4BF0C572" w14:textId="77777777" w:rsidR="009948F1" w:rsidRDefault="00BC0563">
      <w:pPr>
        <w:tabs>
          <w:tab w:val="left" w:pos="1587"/>
        </w:tabs>
        <w:spacing w:before="1" w:line="249" w:lineRule="auto"/>
        <w:ind w:left="147" w:right="3874"/>
        <w:rPr>
          <w:sz w:val="24"/>
        </w:rPr>
      </w:pPr>
      <w:r>
        <w:rPr>
          <w:color w:val="231F20"/>
          <w:sz w:val="24"/>
        </w:rPr>
        <w:t>NASCP</w:t>
      </w:r>
      <w:r>
        <w:rPr>
          <w:color w:val="231F20"/>
          <w:sz w:val="24"/>
        </w:rPr>
        <w:tab/>
        <w:t>National</w:t>
      </w:r>
      <w:r>
        <w:rPr>
          <w:color w:val="231F20"/>
          <w:spacing w:val="-44"/>
          <w:sz w:val="24"/>
        </w:rPr>
        <w:t xml:space="preserve"> </w:t>
      </w:r>
      <w:r>
        <w:rPr>
          <w:color w:val="231F20"/>
          <w:sz w:val="24"/>
        </w:rPr>
        <w:t>AIDS/STDs</w:t>
      </w:r>
      <w:r>
        <w:rPr>
          <w:color w:val="231F20"/>
          <w:spacing w:val="-32"/>
          <w:sz w:val="24"/>
        </w:rPr>
        <w:t xml:space="preserve"> </w:t>
      </w:r>
      <w:r>
        <w:rPr>
          <w:color w:val="231F20"/>
          <w:sz w:val="24"/>
        </w:rPr>
        <w:t>Control</w:t>
      </w:r>
      <w:r>
        <w:rPr>
          <w:color w:val="231F20"/>
          <w:spacing w:val="-32"/>
          <w:sz w:val="24"/>
        </w:rPr>
        <w:t xml:space="preserve"> </w:t>
      </w:r>
      <w:proofErr w:type="spellStart"/>
      <w:r>
        <w:rPr>
          <w:color w:val="231F20"/>
          <w:sz w:val="24"/>
        </w:rPr>
        <w:t>Programme</w:t>
      </w:r>
      <w:proofErr w:type="spellEnd"/>
      <w:r>
        <w:rPr>
          <w:color w:val="231F20"/>
          <w:sz w:val="24"/>
        </w:rPr>
        <w:t xml:space="preserve"> NCD</w:t>
      </w:r>
      <w:r>
        <w:rPr>
          <w:color w:val="231F20"/>
          <w:sz w:val="24"/>
        </w:rPr>
        <w:tab/>
        <w:t>Non-Communicable</w:t>
      </w:r>
      <w:r>
        <w:rPr>
          <w:color w:val="231F20"/>
          <w:spacing w:val="-28"/>
          <w:sz w:val="24"/>
        </w:rPr>
        <w:t xml:space="preserve"> </w:t>
      </w:r>
      <w:r>
        <w:rPr>
          <w:color w:val="231F20"/>
          <w:sz w:val="24"/>
        </w:rPr>
        <w:t>Diseases</w:t>
      </w:r>
    </w:p>
    <w:p w14:paraId="6ED37769" w14:textId="77777777" w:rsidR="009948F1" w:rsidRDefault="00BC0563">
      <w:pPr>
        <w:tabs>
          <w:tab w:val="left" w:pos="1587"/>
        </w:tabs>
        <w:ind w:left="147"/>
        <w:rPr>
          <w:sz w:val="24"/>
        </w:rPr>
      </w:pPr>
      <w:r>
        <w:rPr>
          <w:color w:val="231F20"/>
          <w:sz w:val="24"/>
        </w:rPr>
        <w:t>NCH</w:t>
      </w:r>
      <w:r>
        <w:rPr>
          <w:color w:val="231F20"/>
          <w:sz w:val="24"/>
        </w:rPr>
        <w:tab/>
        <w:t>National</w:t>
      </w:r>
      <w:r>
        <w:rPr>
          <w:color w:val="231F20"/>
          <w:spacing w:val="-27"/>
          <w:sz w:val="24"/>
        </w:rPr>
        <w:t xml:space="preserve"> </w:t>
      </w:r>
      <w:r>
        <w:rPr>
          <w:color w:val="231F20"/>
          <w:sz w:val="24"/>
        </w:rPr>
        <w:t>Council</w:t>
      </w:r>
      <w:r>
        <w:rPr>
          <w:color w:val="231F20"/>
          <w:spacing w:val="-27"/>
          <w:sz w:val="24"/>
        </w:rPr>
        <w:t xml:space="preserve"> </w:t>
      </w:r>
      <w:r>
        <w:rPr>
          <w:color w:val="231F20"/>
          <w:sz w:val="24"/>
        </w:rPr>
        <w:t>on</w:t>
      </w:r>
      <w:r>
        <w:rPr>
          <w:color w:val="231F20"/>
          <w:spacing w:val="-28"/>
          <w:sz w:val="24"/>
        </w:rPr>
        <w:t xml:space="preserve"> </w:t>
      </w:r>
      <w:r>
        <w:rPr>
          <w:color w:val="231F20"/>
          <w:sz w:val="24"/>
        </w:rPr>
        <w:t>Health</w:t>
      </w:r>
    </w:p>
    <w:p w14:paraId="4198DE8C" w14:textId="77777777" w:rsidR="009948F1" w:rsidRDefault="00BC0563">
      <w:pPr>
        <w:tabs>
          <w:tab w:val="left" w:pos="1587"/>
        </w:tabs>
        <w:spacing w:before="12" w:line="249" w:lineRule="auto"/>
        <w:ind w:left="147" w:right="3500"/>
        <w:rPr>
          <w:sz w:val="24"/>
        </w:rPr>
      </w:pPr>
      <w:r>
        <w:rPr>
          <w:color w:val="231F20"/>
          <w:sz w:val="24"/>
        </w:rPr>
        <w:t>NDDC</w:t>
      </w:r>
      <w:r>
        <w:rPr>
          <w:color w:val="231F20"/>
          <w:sz w:val="24"/>
        </w:rPr>
        <w:tab/>
        <w:t>Niger Delta Development Commission NDHS</w:t>
      </w:r>
      <w:r>
        <w:rPr>
          <w:color w:val="231F20"/>
          <w:sz w:val="24"/>
        </w:rPr>
        <w:tab/>
        <w:t>Nigeria Demographic &amp; Health Survey NEPWHAN</w:t>
      </w:r>
      <w:r>
        <w:rPr>
          <w:color w:val="231F20"/>
          <w:sz w:val="24"/>
        </w:rPr>
        <w:tab/>
        <w:t>Network of People Living with HIV/AIDS NHRHP</w:t>
      </w:r>
      <w:r>
        <w:rPr>
          <w:color w:val="231F20"/>
          <w:sz w:val="24"/>
        </w:rPr>
        <w:tab/>
        <w:t>National</w:t>
      </w:r>
      <w:r>
        <w:rPr>
          <w:color w:val="231F20"/>
          <w:spacing w:val="-27"/>
          <w:sz w:val="24"/>
        </w:rPr>
        <w:t xml:space="preserve"> </w:t>
      </w:r>
      <w:r>
        <w:rPr>
          <w:color w:val="231F20"/>
          <w:sz w:val="24"/>
        </w:rPr>
        <w:t>Human</w:t>
      </w:r>
      <w:r>
        <w:rPr>
          <w:color w:val="231F20"/>
          <w:spacing w:val="-27"/>
          <w:sz w:val="24"/>
        </w:rPr>
        <w:t xml:space="preserve"> </w:t>
      </w:r>
      <w:r>
        <w:rPr>
          <w:color w:val="231F20"/>
          <w:sz w:val="24"/>
        </w:rPr>
        <w:t>Resources</w:t>
      </w:r>
      <w:r>
        <w:rPr>
          <w:color w:val="231F20"/>
          <w:spacing w:val="-26"/>
          <w:sz w:val="24"/>
        </w:rPr>
        <w:t xml:space="preserve"> </w:t>
      </w:r>
      <w:r>
        <w:rPr>
          <w:color w:val="231F20"/>
          <w:sz w:val="24"/>
        </w:rPr>
        <w:t>for</w:t>
      </w:r>
      <w:r>
        <w:rPr>
          <w:color w:val="231F20"/>
          <w:spacing w:val="-27"/>
          <w:sz w:val="24"/>
        </w:rPr>
        <w:t xml:space="preserve"> </w:t>
      </w:r>
      <w:r>
        <w:rPr>
          <w:color w:val="231F20"/>
          <w:sz w:val="24"/>
        </w:rPr>
        <w:t>Health</w:t>
      </w:r>
      <w:r>
        <w:rPr>
          <w:color w:val="231F20"/>
          <w:spacing w:val="-26"/>
          <w:sz w:val="24"/>
        </w:rPr>
        <w:t xml:space="preserve"> </w:t>
      </w:r>
      <w:r>
        <w:rPr>
          <w:color w:val="231F20"/>
          <w:spacing w:val="-3"/>
          <w:sz w:val="24"/>
        </w:rPr>
        <w:t>Policy</w:t>
      </w:r>
    </w:p>
    <w:p w14:paraId="209E6DD0" w14:textId="77777777" w:rsidR="009948F1" w:rsidRDefault="00BC0563">
      <w:pPr>
        <w:tabs>
          <w:tab w:val="left" w:pos="1587"/>
        </w:tabs>
        <w:spacing w:before="1" w:line="249" w:lineRule="auto"/>
        <w:ind w:left="147" w:right="992"/>
        <w:rPr>
          <w:sz w:val="24"/>
        </w:rPr>
      </w:pPr>
      <w:r>
        <w:rPr>
          <w:color w:val="231F20"/>
          <w:sz w:val="24"/>
        </w:rPr>
        <w:t>NHRH</w:t>
      </w:r>
      <w:r>
        <w:rPr>
          <w:color w:val="231F20"/>
          <w:spacing w:val="-28"/>
          <w:sz w:val="24"/>
        </w:rPr>
        <w:t xml:space="preserve"> </w:t>
      </w:r>
      <w:r>
        <w:rPr>
          <w:color w:val="231F20"/>
          <w:sz w:val="24"/>
        </w:rPr>
        <w:t>SIP</w:t>
      </w:r>
      <w:r>
        <w:rPr>
          <w:color w:val="231F20"/>
          <w:sz w:val="24"/>
        </w:rPr>
        <w:tab/>
        <w:t>National</w:t>
      </w:r>
      <w:r>
        <w:rPr>
          <w:color w:val="231F20"/>
          <w:spacing w:val="-26"/>
          <w:sz w:val="24"/>
        </w:rPr>
        <w:t xml:space="preserve"> </w:t>
      </w:r>
      <w:r>
        <w:rPr>
          <w:color w:val="231F20"/>
          <w:sz w:val="24"/>
        </w:rPr>
        <w:t>Human</w:t>
      </w:r>
      <w:r>
        <w:rPr>
          <w:color w:val="231F20"/>
          <w:spacing w:val="-27"/>
          <w:sz w:val="24"/>
        </w:rPr>
        <w:t xml:space="preserve"> </w:t>
      </w:r>
      <w:r>
        <w:rPr>
          <w:color w:val="231F20"/>
          <w:sz w:val="24"/>
        </w:rPr>
        <w:t>Resources</w:t>
      </w:r>
      <w:r>
        <w:rPr>
          <w:color w:val="231F20"/>
          <w:spacing w:val="-27"/>
          <w:sz w:val="24"/>
        </w:rPr>
        <w:t xml:space="preserve"> </w:t>
      </w:r>
      <w:r>
        <w:rPr>
          <w:color w:val="231F20"/>
          <w:sz w:val="24"/>
        </w:rPr>
        <w:t>for</w:t>
      </w:r>
      <w:r>
        <w:rPr>
          <w:color w:val="231F20"/>
          <w:spacing w:val="-27"/>
          <w:sz w:val="24"/>
        </w:rPr>
        <w:t xml:space="preserve"> </w:t>
      </w:r>
      <w:r>
        <w:rPr>
          <w:color w:val="231F20"/>
          <w:sz w:val="24"/>
        </w:rPr>
        <w:t>Health</w:t>
      </w:r>
      <w:r>
        <w:rPr>
          <w:color w:val="231F20"/>
          <w:spacing w:val="-27"/>
          <w:sz w:val="24"/>
        </w:rPr>
        <w:t xml:space="preserve"> </w:t>
      </w:r>
      <w:r>
        <w:rPr>
          <w:color w:val="231F20"/>
          <w:sz w:val="24"/>
        </w:rPr>
        <w:t>Strategic</w:t>
      </w:r>
      <w:r>
        <w:rPr>
          <w:color w:val="231F20"/>
          <w:spacing w:val="-27"/>
          <w:sz w:val="24"/>
        </w:rPr>
        <w:t xml:space="preserve"> </w:t>
      </w:r>
      <w:r>
        <w:rPr>
          <w:color w:val="231F20"/>
          <w:sz w:val="24"/>
        </w:rPr>
        <w:t>Implementation</w:t>
      </w:r>
      <w:r>
        <w:rPr>
          <w:color w:val="231F20"/>
          <w:spacing w:val="-26"/>
          <w:sz w:val="24"/>
        </w:rPr>
        <w:t xml:space="preserve"> </w:t>
      </w:r>
      <w:r>
        <w:rPr>
          <w:color w:val="231F20"/>
          <w:spacing w:val="-4"/>
          <w:sz w:val="24"/>
        </w:rPr>
        <w:t xml:space="preserve">Plan </w:t>
      </w:r>
      <w:r>
        <w:rPr>
          <w:color w:val="231F20"/>
          <w:sz w:val="24"/>
        </w:rPr>
        <w:t>NHRHSP</w:t>
      </w:r>
      <w:r>
        <w:rPr>
          <w:color w:val="231F20"/>
          <w:sz w:val="24"/>
        </w:rPr>
        <w:tab/>
        <w:t>National</w:t>
      </w:r>
      <w:r>
        <w:rPr>
          <w:color w:val="231F20"/>
          <w:spacing w:val="-28"/>
          <w:sz w:val="24"/>
        </w:rPr>
        <w:t xml:space="preserve"> </w:t>
      </w:r>
      <w:r>
        <w:rPr>
          <w:color w:val="231F20"/>
          <w:sz w:val="24"/>
        </w:rPr>
        <w:t>Human</w:t>
      </w:r>
      <w:r>
        <w:rPr>
          <w:color w:val="231F20"/>
          <w:spacing w:val="-27"/>
          <w:sz w:val="24"/>
        </w:rPr>
        <w:t xml:space="preserve"> </w:t>
      </w:r>
      <w:r>
        <w:rPr>
          <w:color w:val="231F20"/>
          <w:sz w:val="24"/>
        </w:rPr>
        <w:t>Resources</w:t>
      </w:r>
      <w:r>
        <w:rPr>
          <w:color w:val="231F20"/>
          <w:spacing w:val="-27"/>
          <w:sz w:val="24"/>
        </w:rPr>
        <w:t xml:space="preserve"> </w:t>
      </w:r>
      <w:r>
        <w:rPr>
          <w:color w:val="231F20"/>
          <w:sz w:val="24"/>
        </w:rPr>
        <w:t>for</w:t>
      </w:r>
      <w:r>
        <w:rPr>
          <w:color w:val="231F20"/>
          <w:spacing w:val="-27"/>
          <w:sz w:val="24"/>
        </w:rPr>
        <w:t xml:space="preserve"> </w:t>
      </w:r>
      <w:r>
        <w:rPr>
          <w:color w:val="231F20"/>
          <w:sz w:val="24"/>
        </w:rPr>
        <w:t>Health</w:t>
      </w:r>
      <w:r>
        <w:rPr>
          <w:color w:val="231F20"/>
          <w:spacing w:val="-27"/>
          <w:sz w:val="24"/>
        </w:rPr>
        <w:t xml:space="preserve"> </w:t>
      </w:r>
      <w:r>
        <w:rPr>
          <w:color w:val="231F20"/>
          <w:sz w:val="24"/>
        </w:rPr>
        <w:t>Strategic</w:t>
      </w:r>
      <w:r>
        <w:rPr>
          <w:color w:val="231F20"/>
          <w:spacing w:val="-27"/>
          <w:sz w:val="24"/>
        </w:rPr>
        <w:t xml:space="preserve"> </w:t>
      </w:r>
      <w:r>
        <w:rPr>
          <w:color w:val="231F20"/>
          <w:sz w:val="24"/>
        </w:rPr>
        <w:t>Plan</w:t>
      </w:r>
    </w:p>
    <w:p w14:paraId="78E78CF1" w14:textId="77777777" w:rsidR="009948F1" w:rsidRDefault="00BC0563">
      <w:pPr>
        <w:tabs>
          <w:tab w:val="left" w:pos="1587"/>
        </w:tabs>
        <w:spacing w:line="249" w:lineRule="auto"/>
        <w:ind w:left="147" w:right="2793"/>
        <w:rPr>
          <w:sz w:val="24"/>
        </w:rPr>
      </w:pPr>
      <w:r>
        <w:rPr>
          <w:color w:val="231F20"/>
          <w:sz w:val="24"/>
        </w:rPr>
        <w:t>NPHCDA</w:t>
      </w:r>
      <w:r>
        <w:rPr>
          <w:color w:val="231F20"/>
          <w:sz w:val="24"/>
        </w:rPr>
        <w:tab/>
        <w:t>National</w:t>
      </w:r>
      <w:r>
        <w:rPr>
          <w:color w:val="231F20"/>
          <w:spacing w:val="-27"/>
          <w:sz w:val="24"/>
        </w:rPr>
        <w:t xml:space="preserve"> </w:t>
      </w:r>
      <w:r>
        <w:rPr>
          <w:color w:val="231F20"/>
          <w:sz w:val="24"/>
        </w:rPr>
        <w:t>Primary</w:t>
      </w:r>
      <w:r>
        <w:rPr>
          <w:color w:val="231F20"/>
          <w:spacing w:val="-27"/>
          <w:sz w:val="24"/>
        </w:rPr>
        <w:t xml:space="preserve"> </w:t>
      </w:r>
      <w:r>
        <w:rPr>
          <w:color w:val="231F20"/>
          <w:sz w:val="24"/>
        </w:rPr>
        <w:t>Health</w:t>
      </w:r>
      <w:r>
        <w:rPr>
          <w:color w:val="231F20"/>
          <w:spacing w:val="-26"/>
          <w:sz w:val="24"/>
        </w:rPr>
        <w:t xml:space="preserve"> </w:t>
      </w:r>
      <w:r>
        <w:rPr>
          <w:color w:val="231F20"/>
          <w:sz w:val="24"/>
        </w:rPr>
        <w:t>Care</w:t>
      </w:r>
      <w:r>
        <w:rPr>
          <w:color w:val="231F20"/>
          <w:spacing w:val="-27"/>
          <w:sz w:val="24"/>
        </w:rPr>
        <w:t xml:space="preserve"> </w:t>
      </w:r>
      <w:r>
        <w:rPr>
          <w:color w:val="231F20"/>
          <w:sz w:val="24"/>
        </w:rPr>
        <w:t>Development</w:t>
      </w:r>
      <w:r>
        <w:rPr>
          <w:color w:val="231F20"/>
          <w:spacing w:val="-39"/>
          <w:sz w:val="24"/>
        </w:rPr>
        <w:t xml:space="preserve"> </w:t>
      </w:r>
      <w:r>
        <w:rPr>
          <w:color w:val="231F20"/>
          <w:spacing w:val="-3"/>
          <w:sz w:val="24"/>
        </w:rPr>
        <w:t xml:space="preserve">Agency </w:t>
      </w:r>
      <w:r>
        <w:rPr>
          <w:color w:val="231F20"/>
          <w:sz w:val="24"/>
        </w:rPr>
        <w:t>NPMCN</w:t>
      </w:r>
      <w:r>
        <w:rPr>
          <w:color w:val="231F20"/>
          <w:sz w:val="24"/>
        </w:rPr>
        <w:tab/>
        <w:t xml:space="preserve">National Postgraduate Medical College of Nigeria </w:t>
      </w:r>
      <w:proofErr w:type="spellStart"/>
      <w:r>
        <w:rPr>
          <w:color w:val="231F20"/>
          <w:sz w:val="24"/>
        </w:rPr>
        <w:t>NPopC</w:t>
      </w:r>
      <w:proofErr w:type="spellEnd"/>
      <w:r>
        <w:rPr>
          <w:color w:val="231F20"/>
          <w:sz w:val="24"/>
        </w:rPr>
        <w:tab/>
        <w:t>National Population</w:t>
      </w:r>
      <w:r>
        <w:rPr>
          <w:color w:val="231F20"/>
          <w:spacing w:val="-55"/>
          <w:sz w:val="24"/>
        </w:rPr>
        <w:t xml:space="preserve"> </w:t>
      </w:r>
      <w:r>
        <w:rPr>
          <w:color w:val="231F20"/>
          <w:sz w:val="24"/>
        </w:rPr>
        <w:t>Commission</w:t>
      </w:r>
    </w:p>
    <w:p w14:paraId="6616E539" w14:textId="77777777" w:rsidR="009948F1" w:rsidRDefault="00BC0563">
      <w:pPr>
        <w:tabs>
          <w:tab w:val="left" w:pos="1587"/>
        </w:tabs>
        <w:spacing w:before="1" w:line="249" w:lineRule="auto"/>
        <w:ind w:left="147" w:right="3113"/>
        <w:rPr>
          <w:sz w:val="24"/>
        </w:rPr>
      </w:pPr>
      <w:r>
        <w:rPr>
          <w:color w:val="231F20"/>
          <w:sz w:val="24"/>
        </w:rPr>
        <w:t>NPPB</w:t>
      </w:r>
      <w:r>
        <w:rPr>
          <w:color w:val="231F20"/>
          <w:sz w:val="24"/>
        </w:rPr>
        <w:tab/>
        <w:t>National</w:t>
      </w:r>
      <w:r>
        <w:rPr>
          <w:color w:val="231F20"/>
          <w:spacing w:val="-30"/>
          <w:sz w:val="24"/>
        </w:rPr>
        <w:t xml:space="preserve"> </w:t>
      </w:r>
      <w:proofErr w:type="spellStart"/>
      <w:r>
        <w:rPr>
          <w:color w:val="231F20"/>
          <w:sz w:val="24"/>
        </w:rPr>
        <w:t>Programme</w:t>
      </w:r>
      <w:proofErr w:type="spellEnd"/>
      <w:r>
        <w:rPr>
          <w:color w:val="231F20"/>
          <w:spacing w:val="-30"/>
          <w:sz w:val="24"/>
        </w:rPr>
        <w:t xml:space="preserve"> </w:t>
      </w:r>
      <w:r>
        <w:rPr>
          <w:color w:val="231F20"/>
          <w:sz w:val="24"/>
        </w:rPr>
        <w:t>for</w:t>
      </w:r>
      <w:r>
        <w:rPr>
          <w:color w:val="231F20"/>
          <w:spacing w:val="-30"/>
          <w:sz w:val="24"/>
        </w:rPr>
        <w:t xml:space="preserve"> </w:t>
      </w:r>
      <w:r>
        <w:rPr>
          <w:color w:val="231F20"/>
          <w:sz w:val="24"/>
        </w:rPr>
        <w:t>Prevention</w:t>
      </w:r>
      <w:r>
        <w:rPr>
          <w:color w:val="231F20"/>
          <w:spacing w:val="-29"/>
          <w:sz w:val="24"/>
        </w:rPr>
        <w:t xml:space="preserve"> </w:t>
      </w:r>
      <w:r>
        <w:rPr>
          <w:color w:val="231F20"/>
          <w:sz w:val="24"/>
        </w:rPr>
        <w:t>of</w:t>
      </w:r>
      <w:r>
        <w:rPr>
          <w:color w:val="231F20"/>
          <w:spacing w:val="-30"/>
          <w:sz w:val="24"/>
        </w:rPr>
        <w:t xml:space="preserve"> </w:t>
      </w:r>
      <w:r>
        <w:rPr>
          <w:color w:val="231F20"/>
          <w:sz w:val="24"/>
        </w:rPr>
        <w:t xml:space="preserve">Blindness </w:t>
      </w:r>
      <w:r>
        <w:rPr>
          <w:color w:val="231F20"/>
          <w:spacing w:val="-4"/>
          <w:sz w:val="24"/>
        </w:rPr>
        <w:t>NSPAN</w:t>
      </w:r>
      <w:r>
        <w:rPr>
          <w:color w:val="231F20"/>
          <w:spacing w:val="-4"/>
          <w:sz w:val="24"/>
        </w:rPr>
        <w:tab/>
      </w:r>
      <w:r>
        <w:rPr>
          <w:color w:val="231F20"/>
          <w:sz w:val="24"/>
        </w:rPr>
        <w:t>National Strategic Plan of Action for Nutrition NTD</w:t>
      </w:r>
      <w:r>
        <w:rPr>
          <w:color w:val="231F20"/>
          <w:sz w:val="24"/>
        </w:rPr>
        <w:tab/>
        <w:t>Neglected</w:t>
      </w:r>
      <w:r>
        <w:rPr>
          <w:color w:val="231F20"/>
          <w:spacing w:val="-32"/>
          <w:sz w:val="24"/>
        </w:rPr>
        <w:t xml:space="preserve"> </w:t>
      </w:r>
      <w:r>
        <w:rPr>
          <w:color w:val="231F20"/>
          <w:sz w:val="24"/>
        </w:rPr>
        <w:t>Tropical</w:t>
      </w:r>
      <w:r>
        <w:rPr>
          <w:color w:val="231F20"/>
          <w:spacing w:val="-27"/>
          <w:sz w:val="24"/>
        </w:rPr>
        <w:t xml:space="preserve"> </w:t>
      </w:r>
      <w:r>
        <w:rPr>
          <w:color w:val="231F20"/>
          <w:sz w:val="24"/>
        </w:rPr>
        <w:t>Diseases</w:t>
      </w:r>
    </w:p>
    <w:p w14:paraId="1764964C" w14:textId="77777777" w:rsidR="009948F1" w:rsidRDefault="00BC0563">
      <w:pPr>
        <w:tabs>
          <w:tab w:val="left" w:pos="1587"/>
        </w:tabs>
        <w:spacing w:before="1"/>
        <w:ind w:left="147"/>
        <w:rPr>
          <w:sz w:val="24"/>
        </w:rPr>
      </w:pPr>
      <w:r>
        <w:rPr>
          <w:color w:val="231F20"/>
          <w:sz w:val="24"/>
        </w:rPr>
        <w:t>OB</w:t>
      </w:r>
      <w:r>
        <w:rPr>
          <w:color w:val="231F20"/>
          <w:sz w:val="24"/>
        </w:rPr>
        <w:tab/>
        <w:t>Obstetrics</w:t>
      </w:r>
    </w:p>
    <w:p w14:paraId="08E6AC3E" w14:textId="77777777" w:rsidR="009948F1" w:rsidRDefault="00BC0563">
      <w:pPr>
        <w:tabs>
          <w:tab w:val="left" w:pos="1587"/>
        </w:tabs>
        <w:spacing w:before="12" w:line="249" w:lineRule="auto"/>
        <w:ind w:left="147" w:right="5398"/>
        <w:rPr>
          <w:sz w:val="24"/>
        </w:rPr>
      </w:pPr>
      <w:r>
        <w:rPr>
          <w:color w:val="231F20"/>
          <w:sz w:val="24"/>
        </w:rPr>
        <w:t>OB</w:t>
      </w:r>
      <w:r>
        <w:rPr>
          <w:color w:val="231F20"/>
          <w:spacing w:val="-27"/>
          <w:sz w:val="24"/>
        </w:rPr>
        <w:t xml:space="preserve"> </w:t>
      </w:r>
      <w:r>
        <w:rPr>
          <w:color w:val="231F20"/>
          <w:spacing w:val="-6"/>
          <w:sz w:val="24"/>
        </w:rPr>
        <w:t>Van</w:t>
      </w:r>
      <w:r>
        <w:rPr>
          <w:color w:val="231F20"/>
          <w:spacing w:val="-6"/>
          <w:sz w:val="24"/>
        </w:rPr>
        <w:tab/>
      </w:r>
      <w:r>
        <w:rPr>
          <w:color w:val="231F20"/>
          <w:sz w:val="24"/>
        </w:rPr>
        <w:t>Outside Broadcasting</w:t>
      </w:r>
      <w:r>
        <w:rPr>
          <w:color w:val="231F20"/>
          <w:spacing w:val="-53"/>
          <w:sz w:val="24"/>
        </w:rPr>
        <w:t xml:space="preserve"> </w:t>
      </w:r>
      <w:r>
        <w:rPr>
          <w:color w:val="231F20"/>
          <w:spacing w:val="-12"/>
          <w:sz w:val="24"/>
        </w:rPr>
        <w:t xml:space="preserve">Van </w:t>
      </w:r>
      <w:r>
        <w:rPr>
          <w:color w:val="231F20"/>
          <w:sz w:val="24"/>
        </w:rPr>
        <w:t>OF</w:t>
      </w:r>
      <w:r>
        <w:rPr>
          <w:color w:val="231F20"/>
          <w:sz w:val="24"/>
        </w:rPr>
        <w:tab/>
        <w:t>Obstetric</w:t>
      </w:r>
      <w:r>
        <w:rPr>
          <w:color w:val="231F20"/>
          <w:spacing w:val="-27"/>
          <w:sz w:val="24"/>
        </w:rPr>
        <w:t xml:space="preserve"> </w:t>
      </w:r>
      <w:r>
        <w:rPr>
          <w:color w:val="231F20"/>
          <w:sz w:val="24"/>
        </w:rPr>
        <w:t>Fistula</w:t>
      </w:r>
    </w:p>
    <w:p w14:paraId="146A76B5" w14:textId="77777777" w:rsidR="009948F1" w:rsidRDefault="00BC0563">
      <w:pPr>
        <w:tabs>
          <w:tab w:val="left" w:pos="1587"/>
        </w:tabs>
        <w:ind w:left="147"/>
        <w:rPr>
          <w:sz w:val="24"/>
        </w:rPr>
      </w:pPr>
      <w:r>
        <w:rPr>
          <w:color w:val="231F20"/>
          <w:sz w:val="24"/>
        </w:rPr>
        <w:t>ODK</w:t>
      </w:r>
      <w:r>
        <w:rPr>
          <w:color w:val="231F20"/>
          <w:sz w:val="24"/>
        </w:rPr>
        <w:tab/>
        <w:t>Open Data</w:t>
      </w:r>
      <w:r>
        <w:rPr>
          <w:color w:val="231F20"/>
          <w:spacing w:val="-54"/>
          <w:sz w:val="24"/>
        </w:rPr>
        <w:t xml:space="preserve"> </w:t>
      </w:r>
      <w:r>
        <w:rPr>
          <w:color w:val="231F20"/>
          <w:sz w:val="24"/>
        </w:rPr>
        <w:t>Kit</w:t>
      </w:r>
    </w:p>
    <w:p w14:paraId="5358A95C" w14:textId="77777777" w:rsidR="009948F1" w:rsidRDefault="00BC0563">
      <w:pPr>
        <w:tabs>
          <w:tab w:val="left" w:pos="1587"/>
        </w:tabs>
        <w:spacing w:before="12"/>
        <w:ind w:left="147"/>
        <w:rPr>
          <w:sz w:val="24"/>
        </w:rPr>
      </w:pPr>
      <w:r>
        <w:rPr>
          <w:color w:val="231F20"/>
          <w:sz w:val="24"/>
        </w:rPr>
        <w:t>OHT</w:t>
      </w:r>
      <w:r>
        <w:rPr>
          <w:color w:val="231F20"/>
          <w:sz w:val="24"/>
        </w:rPr>
        <w:tab/>
        <w:t>One</w:t>
      </w:r>
      <w:r>
        <w:rPr>
          <w:color w:val="231F20"/>
          <w:spacing w:val="-27"/>
          <w:sz w:val="24"/>
        </w:rPr>
        <w:t xml:space="preserve"> </w:t>
      </w:r>
      <w:r>
        <w:rPr>
          <w:color w:val="231F20"/>
          <w:sz w:val="24"/>
        </w:rPr>
        <w:t>Health</w:t>
      </w:r>
      <w:r>
        <w:rPr>
          <w:color w:val="231F20"/>
          <w:spacing w:val="-31"/>
          <w:sz w:val="24"/>
        </w:rPr>
        <w:t xml:space="preserve"> </w:t>
      </w:r>
      <w:r>
        <w:rPr>
          <w:color w:val="231F20"/>
          <w:spacing w:val="-7"/>
          <w:sz w:val="24"/>
        </w:rPr>
        <w:t>Tool</w:t>
      </w:r>
    </w:p>
    <w:p w14:paraId="0B6623B0" w14:textId="77777777" w:rsidR="009948F1" w:rsidRDefault="00BC0563">
      <w:pPr>
        <w:tabs>
          <w:tab w:val="left" w:pos="1587"/>
        </w:tabs>
        <w:spacing w:before="11"/>
        <w:ind w:left="147"/>
        <w:rPr>
          <w:sz w:val="24"/>
        </w:rPr>
      </w:pPr>
      <w:r>
        <w:rPr>
          <w:color w:val="231F20"/>
          <w:sz w:val="24"/>
        </w:rPr>
        <w:t>ORS</w:t>
      </w:r>
      <w:r>
        <w:rPr>
          <w:color w:val="231F20"/>
          <w:sz w:val="24"/>
        </w:rPr>
        <w:tab/>
        <w:t>Oral Rehydration</w:t>
      </w:r>
      <w:r>
        <w:rPr>
          <w:color w:val="231F20"/>
          <w:spacing w:val="-54"/>
          <w:sz w:val="24"/>
        </w:rPr>
        <w:t xml:space="preserve"> </w:t>
      </w:r>
      <w:r>
        <w:rPr>
          <w:color w:val="231F20"/>
          <w:sz w:val="24"/>
        </w:rPr>
        <w:t>Solution</w:t>
      </w:r>
    </w:p>
    <w:p w14:paraId="6873D4AD" w14:textId="77777777" w:rsidR="009948F1" w:rsidRDefault="009948F1">
      <w:pPr>
        <w:rPr>
          <w:sz w:val="24"/>
        </w:rPr>
        <w:sectPr w:rsidR="009948F1">
          <w:pgSz w:w="11910" w:h="16840"/>
          <w:pgMar w:top="1220" w:right="1080" w:bottom="1420" w:left="1120" w:header="0" w:footer="1235" w:gutter="0"/>
          <w:cols w:space="720"/>
        </w:sectPr>
      </w:pPr>
    </w:p>
    <w:p w14:paraId="3EB2E476" w14:textId="77777777" w:rsidR="009948F1" w:rsidRDefault="00BC0563">
      <w:pPr>
        <w:tabs>
          <w:tab w:val="left" w:pos="1588"/>
        </w:tabs>
        <w:spacing w:before="39"/>
        <w:ind w:left="148"/>
        <w:rPr>
          <w:sz w:val="24"/>
        </w:rPr>
      </w:pPr>
      <w:bookmarkStart w:id="7" w:name="Page_8"/>
      <w:bookmarkEnd w:id="7"/>
      <w:r>
        <w:rPr>
          <w:color w:val="231F20"/>
          <w:sz w:val="24"/>
        </w:rPr>
        <w:lastRenderedPageBreak/>
        <w:t>OVC</w:t>
      </w:r>
      <w:r>
        <w:rPr>
          <w:color w:val="231F20"/>
          <w:sz w:val="24"/>
        </w:rPr>
        <w:tab/>
        <w:t>Orphan</w:t>
      </w:r>
      <w:r>
        <w:rPr>
          <w:color w:val="231F20"/>
          <w:spacing w:val="-28"/>
          <w:sz w:val="24"/>
        </w:rPr>
        <w:t xml:space="preserve"> </w:t>
      </w:r>
      <w:r>
        <w:rPr>
          <w:color w:val="231F20"/>
          <w:sz w:val="24"/>
        </w:rPr>
        <w:t>and</w:t>
      </w:r>
      <w:r>
        <w:rPr>
          <w:color w:val="231F20"/>
          <w:spacing w:val="-27"/>
          <w:sz w:val="24"/>
        </w:rPr>
        <w:t xml:space="preserve"> </w:t>
      </w:r>
      <w:r>
        <w:rPr>
          <w:color w:val="231F20"/>
          <w:sz w:val="24"/>
        </w:rPr>
        <w:t>Vulnerable</w:t>
      </w:r>
      <w:r>
        <w:rPr>
          <w:color w:val="231F20"/>
          <w:spacing w:val="-27"/>
          <w:sz w:val="24"/>
        </w:rPr>
        <w:t xml:space="preserve"> </w:t>
      </w:r>
      <w:r>
        <w:rPr>
          <w:color w:val="231F20"/>
          <w:sz w:val="24"/>
        </w:rPr>
        <w:t>Child</w:t>
      </w:r>
    </w:p>
    <w:p w14:paraId="6FF3671E" w14:textId="77777777" w:rsidR="009948F1" w:rsidRDefault="00BC0563">
      <w:pPr>
        <w:tabs>
          <w:tab w:val="left" w:pos="1588"/>
        </w:tabs>
        <w:spacing w:before="13"/>
        <w:ind w:left="148"/>
        <w:rPr>
          <w:sz w:val="24"/>
        </w:rPr>
      </w:pPr>
      <w:r>
        <w:rPr>
          <w:color w:val="231F20"/>
          <w:sz w:val="24"/>
        </w:rPr>
        <w:t>PBF</w:t>
      </w:r>
      <w:r>
        <w:rPr>
          <w:color w:val="231F20"/>
          <w:sz w:val="24"/>
        </w:rPr>
        <w:tab/>
        <w:t>Performance-Based</w:t>
      </w:r>
      <w:r>
        <w:rPr>
          <w:color w:val="231F20"/>
          <w:spacing w:val="-27"/>
          <w:sz w:val="24"/>
        </w:rPr>
        <w:t xml:space="preserve"> </w:t>
      </w:r>
      <w:r>
        <w:rPr>
          <w:color w:val="231F20"/>
          <w:sz w:val="24"/>
        </w:rPr>
        <w:t>Financing</w:t>
      </w:r>
    </w:p>
    <w:p w14:paraId="67C7EB73" w14:textId="77777777" w:rsidR="009948F1" w:rsidRDefault="00BC0563">
      <w:pPr>
        <w:tabs>
          <w:tab w:val="left" w:pos="1588"/>
        </w:tabs>
        <w:spacing w:before="13"/>
        <w:ind w:left="148"/>
        <w:rPr>
          <w:sz w:val="24"/>
        </w:rPr>
      </w:pPr>
      <w:r>
        <w:rPr>
          <w:color w:val="231F20"/>
          <w:sz w:val="24"/>
        </w:rPr>
        <w:t>PHC</w:t>
      </w:r>
      <w:r>
        <w:rPr>
          <w:color w:val="231F20"/>
          <w:sz w:val="24"/>
        </w:rPr>
        <w:tab/>
        <w:t>Primary Health</w:t>
      </w:r>
      <w:r>
        <w:rPr>
          <w:color w:val="231F20"/>
          <w:spacing w:val="-54"/>
          <w:sz w:val="24"/>
        </w:rPr>
        <w:t xml:space="preserve"> </w:t>
      </w:r>
      <w:r>
        <w:rPr>
          <w:color w:val="231F20"/>
          <w:sz w:val="24"/>
        </w:rPr>
        <w:t>Care</w:t>
      </w:r>
    </w:p>
    <w:p w14:paraId="7BA076DC" w14:textId="77777777" w:rsidR="009948F1" w:rsidRDefault="00BC0563">
      <w:pPr>
        <w:tabs>
          <w:tab w:val="left" w:pos="1588"/>
        </w:tabs>
        <w:spacing w:before="13"/>
        <w:ind w:left="148"/>
        <w:rPr>
          <w:sz w:val="24"/>
        </w:rPr>
      </w:pPr>
      <w:r>
        <w:rPr>
          <w:color w:val="231F20"/>
          <w:sz w:val="24"/>
        </w:rPr>
        <w:t>PHE</w:t>
      </w:r>
      <w:r>
        <w:rPr>
          <w:color w:val="231F20"/>
          <w:sz w:val="24"/>
        </w:rPr>
        <w:tab/>
        <w:t>Public Health</w:t>
      </w:r>
      <w:r>
        <w:rPr>
          <w:color w:val="231F20"/>
          <w:spacing w:val="-54"/>
          <w:sz w:val="24"/>
        </w:rPr>
        <w:t xml:space="preserve"> </w:t>
      </w:r>
      <w:r>
        <w:rPr>
          <w:color w:val="231F20"/>
          <w:sz w:val="24"/>
        </w:rPr>
        <w:t>Emergency</w:t>
      </w:r>
    </w:p>
    <w:p w14:paraId="55FCDF31" w14:textId="77777777" w:rsidR="009948F1" w:rsidRDefault="00BC0563">
      <w:pPr>
        <w:tabs>
          <w:tab w:val="left" w:pos="1588"/>
        </w:tabs>
        <w:spacing w:before="13" w:line="252" w:lineRule="auto"/>
        <w:ind w:left="148" w:right="4260"/>
        <w:rPr>
          <w:sz w:val="24"/>
        </w:rPr>
      </w:pPr>
      <w:r>
        <w:rPr>
          <w:color w:val="231F20"/>
          <w:sz w:val="24"/>
        </w:rPr>
        <w:t>PFM</w:t>
      </w:r>
      <w:r>
        <w:rPr>
          <w:color w:val="231F20"/>
          <w:sz w:val="24"/>
        </w:rPr>
        <w:tab/>
        <w:t>Public Finance Management PHCUOR</w:t>
      </w:r>
      <w:r>
        <w:rPr>
          <w:color w:val="231F20"/>
          <w:sz w:val="24"/>
        </w:rPr>
        <w:tab/>
        <w:t>Primary</w:t>
      </w:r>
      <w:r>
        <w:rPr>
          <w:color w:val="231F20"/>
          <w:spacing w:val="-27"/>
          <w:sz w:val="24"/>
        </w:rPr>
        <w:t xml:space="preserve"> </w:t>
      </w:r>
      <w:r>
        <w:rPr>
          <w:color w:val="231F20"/>
          <w:sz w:val="24"/>
        </w:rPr>
        <w:t>Health</w:t>
      </w:r>
      <w:r>
        <w:rPr>
          <w:color w:val="231F20"/>
          <w:spacing w:val="-27"/>
          <w:sz w:val="24"/>
        </w:rPr>
        <w:t xml:space="preserve"> </w:t>
      </w:r>
      <w:r>
        <w:rPr>
          <w:color w:val="231F20"/>
          <w:sz w:val="24"/>
        </w:rPr>
        <w:t>Care</w:t>
      </w:r>
      <w:r>
        <w:rPr>
          <w:color w:val="231F20"/>
          <w:spacing w:val="-27"/>
          <w:sz w:val="24"/>
        </w:rPr>
        <w:t xml:space="preserve"> </w:t>
      </w:r>
      <w:r>
        <w:rPr>
          <w:color w:val="231F20"/>
          <w:sz w:val="24"/>
        </w:rPr>
        <w:t>Under</w:t>
      </w:r>
      <w:r>
        <w:rPr>
          <w:color w:val="231F20"/>
          <w:spacing w:val="-27"/>
          <w:sz w:val="24"/>
        </w:rPr>
        <w:t xml:space="preserve"> </w:t>
      </w:r>
      <w:r>
        <w:rPr>
          <w:color w:val="231F20"/>
          <w:sz w:val="24"/>
        </w:rPr>
        <w:t>One</w:t>
      </w:r>
      <w:r>
        <w:rPr>
          <w:color w:val="231F20"/>
          <w:spacing w:val="-27"/>
          <w:sz w:val="24"/>
        </w:rPr>
        <w:t xml:space="preserve"> </w:t>
      </w:r>
      <w:r>
        <w:rPr>
          <w:color w:val="231F20"/>
          <w:spacing w:val="-4"/>
          <w:sz w:val="24"/>
        </w:rPr>
        <w:t xml:space="preserve">Roof </w:t>
      </w:r>
      <w:r>
        <w:rPr>
          <w:color w:val="231F20"/>
          <w:sz w:val="24"/>
        </w:rPr>
        <w:t>PHL</w:t>
      </w:r>
      <w:r>
        <w:rPr>
          <w:color w:val="231F20"/>
          <w:sz w:val="24"/>
        </w:rPr>
        <w:tab/>
        <w:t>Public Health</w:t>
      </w:r>
      <w:r>
        <w:rPr>
          <w:color w:val="231F20"/>
          <w:spacing w:val="-55"/>
          <w:sz w:val="24"/>
        </w:rPr>
        <w:t xml:space="preserve"> </w:t>
      </w:r>
      <w:r>
        <w:rPr>
          <w:color w:val="231F20"/>
          <w:sz w:val="24"/>
        </w:rPr>
        <w:t>Laboratory</w:t>
      </w:r>
    </w:p>
    <w:p w14:paraId="610B2BA6" w14:textId="6C31DCC3" w:rsidR="009948F1" w:rsidRDefault="00BC0563">
      <w:pPr>
        <w:tabs>
          <w:tab w:val="left" w:pos="1587"/>
        </w:tabs>
        <w:spacing w:line="252" w:lineRule="auto"/>
        <w:ind w:left="148" w:right="4208"/>
        <w:rPr>
          <w:sz w:val="24"/>
        </w:rPr>
      </w:pPr>
      <w:r>
        <w:rPr>
          <w:color w:val="231F20"/>
          <w:sz w:val="24"/>
        </w:rPr>
        <w:t>PH</w:t>
      </w:r>
      <w:r w:rsidR="00777DF0">
        <w:rPr>
          <w:color w:val="231F20"/>
          <w:sz w:val="24"/>
        </w:rPr>
        <w:t>A</w:t>
      </w:r>
      <w:r>
        <w:rPr>
          <w:color w:val="231F20"/>
          <w:sz w:val="24"/>
        </w:rPr>
        <w:t>LGA</w:t>
      </w:r>
      <w:r>
        <w:rPr>
          <w:color w:val="231F20"/>
          <w:sz w:val="24"/>
        </w:rPr>
        <w:tab/>
        <w:t>Port</w:t>
      </w:r>
      <w:r>
        <w:rPr>
          <w:color w:val="231F20"/>
          <w:spacing w:val="-27"/>
          <w:sz w:val="24"/>
        </w:rPr>
        <w:t xml:space="preserve"> </w:t>
      </w:r>
      <w:r>
        <w:rPr>
          <w:color w:val="231F20"/>
          <w:sz w:val="24"/>
        </w:rPr>
        <w:t>Harcourt</w:t>
      </w:r>
      <w:r>
        <w:rPr>
          <w:color w:val="231F20"/>
          <w:spacing w:val="-26"/>
          <w:sz w:val="24"/>
        </w:rPr>
        <w:t xml:space="preserve"> </w:t>
      </w:r>
      <w:r>
        <w:rPr>
          <w:color w:val="231F20"/>
          <w:sz w:val="24"/>
        </w:rPr>
        <w:t>Local</w:t>
      </w:r>
      <w:r>
        <w:rPr>
          <w:color w:val="231F20"/>
          <w:spacing w:val="-26"/>
          <w:sz w:val="24"/>
        </w:rPr>
        <w:t xml:space="preserve"> </w:t>
      </w:r>
      <w:r>
        <w:rPr>
          <w:color w:val="231F20"/>
          <w:sz w:val="24"/>
        </w:rPr>
        <w:t>Government</w:t>
      </w:r>
      <w:r>
        <w:rPr>
          <w:color w:val="231F20"/>
          <w:spacing w:val="-40"/>
          <w:sz w:val="24"/>
        </w:rPr>
        <w:t xml:space="preserve"> </w:t>
      </w:r>
      <w:r>
        <w:rPr>
          <w:color w:val="231F20"/>
          <w:spacing w:val="-5"/>
          <w:sz w:val="24"/>
        </w:rPr>
        <w:t xml:space="preserve">Area </w:t>
      </w:r>
      <w:r>
        <w:rPr>
          <w:color w:val="231F20"/>
          <w:sz w:val="24"/>
        </w:rPr>
        <w:t>PM</w:t>
      </w:r>
      <w:r>
        <w:rPr>
          <w:color w:val="231F20"/>
          <w:sz w:val="24"/>
        </w:rPr>
        <w:tab/>
      </w:r>
      <w:proofErr w:type="spellStart"/>
      <w:r>
        <w:rPr>
          <w:color w:val="231F20"/>
          <w:sz w:val="24"/>
        </w:rPr>
        <w:t>Programme</w:t>
      </w:r>
      <w:proofErr w:type="spellEnd"/>
      <w:r>
        <w:rPr>
          <w:color w:val="231F20"/>
          <w:spacing w:val="-27"/>
          <w:sz w:val="24"/>
        </w:rPr>
        <w:t xml:space="preserve"> </w:t>
      </w:r>
      <w:r>
        <w:rPr>
          <w:color w:val="231F20"/>
          <w:sz w:val="24"/>
        </w:rPr>
        <w:t>Manager</w:t>
      </w:r>
    </w:p>
    <w:p w14:paraId="049658C6" w14:textId="77777777" w:rsidR="009948F1" w:rsidRDefault="00BC0563">
      <w:pPr>
        <w:tabs>
          <w:tab w:val="left" w:pos="1587"/>
        </w:tabs>
        <w:spacing w:line="275" w:lineRule="exact"/>
        <w:ind w:left="148"/>
        <w:rPr>
          <w:sz w:val="24"/>
        </w:rPr>
      </w:pPr>
      <w:r>
        <w:rPr>
          <w:color w:val="231F20"/>
          <w:sz w:val="24"/>
        </w:rPr>
        <w:t>PMS</w:t>
      </w:r>
      <w:r>
        <w:rPr>
          <w:color w:val="231F20"/>
          <w:sz w:val="24"/>
        </w:rPr>
        <w:tab/>
        <w:t>Performance Monitoring</w:t>
      </w:r>
      <w:r>
        <w:rPr>
          <w:color w:val="231F20"/>
          <w:spacing w:val="-54"/>
          <w:sz w:val="24"/>
        </w:rPr>
        <w:t xml:space="preserve"> </w:t>
      </w:r>
      <w:r>
        <w:rPr>
          <w:color w:val="231F20"/>
          <w:sz w:val="24"/>
        </w:rPr>
        <w:t>System</w:t>
      </w:r>
    </w:p>
    <w:p w14:paraId="16D852C3" w14:textId="77777777" w:rsidR="009948F1" w:rsidRDefault="00BC0563">
      <w:pPr>
        <w:tabs>
          <w:tab w:val="left" w:pos="1587"/>
        </w:tabs>
        <w:spacing w:before="11" w:line="252" w:lineRule="auto"/>
        <w:ind w:left="148" w:right="2939"/>
        <w:rPr>
          <w:sz w:val="24"/>
        </w:rPr>
      </w:pPr>
      <w:r>
        <w:rPr>
          <w:color w:val="231F20"/>
          <w:sz w:val="24"/>
        </w:rPr>
        <w:t>PMTCT</w:t>
      </w:r>
      <w:r>
        <w:rPr>
          <w:color w:val="231F20"/>
          <w:sz w:val="24"/>
        </w:rPr>
        <w:tab/>
        <w:t>Prevention</w:t>
      </w:r>
      <w:r>
        <w:rPr>
          <w:color w:val="231F20"/>
          <w:spacing w:val="-29"/>
          <w:sz w:val="24"/>
        </w:rPr>
        <w:t xml:space="preserve"> </w:t>
      </w:r>
      <w:r>
        <w:rPr>
          <w:color w:val="231F20"/>
          <w:sz w:val="24"/>
        </w:rPr>
        <w:t>of</w:t>
      </w:r>
      <w:r>
        <w:rPr>
          <w:color w:val="231F20"/>
          <w:spacing w:val="-28"/>
          <w:sz w:val="24"/>
        </w:rPr>
        <w:t xml:space="preserve"> </w:t>
      </w:r>
      <w:r>
        <w:rPr>
          <w:color w:val="231F20"/>
          <w:sz w:val="24"/>
        </w:rPr>
        <w:t>Mother-to</w:t>
      </w:r>
      <w:r>
        <w:rPr>
          <w:color w:val="231F20"/>
          <w:spacing w:val="-28"/>
          <w:sz w:val="24"/>
        </w:rPr>
        <w:t xml:space="preserve"> </w:t>
      </w:r>
      <w:r>
        <w:rPr>
          <w:color w:val="231F20"/>
          <w:sz w:val="24"/>
        </w:rPr>
        <w:t>Child</w:t>
      </w:r>
      <w:r>
        <w:rPr>
          <w:color w:val="231F20"/>
          <w:spacing w:val="-32"/>
          <w:sz w:val="24"/>
        </w:rPr>
        <w:t xml:space="preserve"> </w:t>
      </w:r>
      <w:r>
        <w:rPr>
          <w:color w:val="231F20"/>
          <w:sz w:val="24"/>
        </w:rPr>
        <w:t>Transmission</w:t>
      </w:r>
      <w:r>
        <w:rPr>
          <w:color w:val="231F20"/>
          <w:spacing w:val="-29"/>
          <w:sz w:val="24"/>
        </w:rPr>
        <w:t xml:space="preserve"> </w:t>
      </w:r>
      <w:r>
        <w:rPr>
          <w:color w:val="231F20"/>
          <w:sz w:val="24"/>
        </w:rPr>
        <w:t>of</w:t>
      </w:r>
      <w:r>
        <w:rPr>
          <w:color w:val="231F20"/>
          <w:spacing w:val="-28"/>
          <w:sz w:val="24"/>
        </w:rPr>
        <w:t xml:space="preserve"> </w:t>
      </w:r>
      <w:r>
        <w:rPr>
          <w:color w:val="231F20"/>
          <w:spacing w:val="-5"/>
          <w:sz w:val="24"/>
        </w:rPr>
        <w:t xml:space="preserve">HIV </w:t>
      </w:r>
      <w:r>
        <w:rPr>
          <w:color w:val="231F20"/>
          <w:sz w:val="24"/>
        </w:rPr>
        <w:t>PMV</w:t>
      </w:r>
      <w:r>
        <w:rPr>
          <w:color w:val="231F20"/>
          <w:sz w:val="24"/>
        </w:rPr>
        <w:tab/>
        <w:t>Patent Medicine</w:t>
      </w:r>
      <w:r>
        <w:rPr>
          <w:color w:val="231F20"/>
          <w:spacing w:val="-55"/>
          <w:sz w:val="24"/>
        </w:rPr>
        <w:t xml:space="preserve"> </w:t>
      </w:r>
      <w:r>
        <w:rPr>
          <w:color w:val="231F20"/>
          <w:sz w:val="24"/>
        </w:rPr>
        <w:t>Vendors</w:t>
      </w:r>
    </w:p>
    <w:p w14:paraId="03EBCA7A" w14:textId="77777777" w:rsidR="009948F1" w:rsidRDefault="00BC0563">
      <w:pPr>
        <w:tabs>
          <w:tab w:val="left" w:pos="1587"/>
        </w:tabs>
        <w:spacing w:line="275" w:lineRule="exact"/>
        <w:ind w:left="148"/>
        <w:rPr>
          <w:sz w:val="24"/>
        </w:rPr>
      </w:pPr>
      <w:r>
        <w:rPr>
          <w:color w:val="231F20"/>
          <w:sz w:val="24"/>
        </w:rPr>
        <w:t>PPE</w:t>
      </w:r>
      <w:r>
        <w:rPr>
          <w:color w:val="231F20"/>
          <w:sz w:val="24"/>
        </w:rPr>
        <w:tab/>
        <w:t>Personal Protective</w:t>
      </w:r>
      <w:r>
        <w:rPr>
          <w:color w:val="231F20"/>
          <w:spacing w:val="-54"/>
          <w:sz w:val="24"/>
        </w:rPr>
        <w:t xml:space="preserve"> </w:t>
      </w:r>
      <w:r>
        <w:rPr>
          <w:color w:val="231F20"/>
          <w:sz w:val="24"/>
        </w:rPr>
        <w:t>equipment</w:t>
      </w:r>
    </w:p>
    <w:p w14:paraId="07C35050" w14:textId="77777777" w:rsidR="009948F1" w:rsidRDefault="00BC0563">
      <w:pPr>
        <w:tabs>
          <w:tab w:val="left" w:pos="1587"/>
        </w:tabs>
        <w:spacing w:before="13" w:line="252" w:lineRule="auto"/>
        <w:ind w:left="148" w:right="4847"/>
        <w:rPr>
          <w:sz w:val="24"/>
        </w:rPr>
      </w:pPr>
      <w:r>
        <w:rPr>
          <w:color w:val="231F20"/>
          <w:sz w:val="24"/>
        </w:rPr>
        <w:t>PPP</w:t>
      </w:r>
      <w:r>
        <w:rPr>
          <w:color w:val="231F20"/>
          <w:sz w:val="24"/>
        </w:rPr>
        <w:tab/>
        <w:t>Public Private Partnership PPM</w:t>
      </w:r>
      <w:r>
        <w:rPr>
          <w:color w:val="231F20"/>
          <w:sz w:val="24"/>
        </w:rPr>
        <w:tab/>
        <w:t>Providers</w:t>
      </w:r>
      <w:r>
        <w:rPr>
          <w:color w:val="231F20"/>
          <w:spacing w:val="-33"/>
          <w:sz w:val="24"/>
        </w:rPr>
        <w:t xml:space="preserve"> </w:t>
      </w:r>
      <w:r>
        <w:rPr>
          <w:color w:val="231F20"/>
          <w:sz w:val="24"/>
        </w:rPr>
        <w:t>Payment</w:t>
      </w:r>
      <w:r>
        <w:rPr>
          <w:color w:val="231F20"/>
          <w:spacing w:val="-33"/>
          <w:sz w:val="24"/>
        </w:rPr>
        <w:t xml:space="preserve"> </w:t>
      </w:r>
      <w:r>
        <w:rPr>
          <w:color w:val="231F20"/>
          <w:sz w:val="24"/>
        </w:rPr>
        <w:t xml:space="preserve">Mechanism </w:t>
      </w:r>
      <w:r>
        <w:rPr>
          <w:color w:val="231F20"/>
          <w:spacing w:val="-6"/>
          <w:sz w:val="24"/>
        </w:rPr>
        <w:t>PTA</w:t>
      </w:r>
      <w:r>
        <w:rPr>
          <w:color w:val="231F20"/>
          <w:spacing w:val="-6"/>
          <w:sz w:val="24"/>
        </w:rPr>
        <w:tab/>
      </w:r>
      <w:r>
        <w:rPr>
          <w:color w:val="231F20"/>
          <w:sz w:val="24"/>
        </w:rPr>
        <w:t>Parents</w:t>
      </w:r>
      <w:r>
        <w:rPr>
          <w:color w:val="231F20"/>
          <w:spacing w:val="-31"/>
          <w:sz w:val="24"/>
        </w:rPr>
        <w:t xml:space="preserve"> </w:t>
      </w:r>
      <w:r>
        <w:rPr>
          <w:color w:val="231F20"/>
          <w:spacing w:val="-4"/>
          <w:sz w:val="24"/>
        </w:rPr>
        <w:t>Teachers</w:t>
      </w:r>
      <w:r>
        <w:rPr>
          <w:color w:val="231F20"/>
          <w:spacing w:val="-39"/>
          <w:sz w:val="24"/>
        </w:rPr>
        <w:t xml:space="preserve"> </w:t>
      </w:r>
      <w:r>
        <w:rPr>
          <w:color w:val="231F20"/>
          <w:sz w:val="24"/>
        </w:rPr>
        <w:t>Association</w:t>
      </w:r>
    </w:p>
    <w:p w14:paraId="6AECC40F" w14:textId="77777777" w:rsidR="009948F1" w:rsidRDefault="00BC0563">
      <w:pPr>
        <w:tabs>
          <w:tab w:val="left" w:pos="1587"/>
        </w:tabs>
        <w:spacing w:line="274" w:lineRule="exact"/>
        <w:ind w:left="147"/>
        <w:rPr>
          <w:sz w:val="24"/>
        </w:rPr>
      </w:pPr>
      <w:r>
        <w:rPr>
          <w:color w:val="231F20"/>
          <w:sz w:val="24"/>
        </w:rPr>
        <w:t>QA</w:t>
      </w:r>
      <w:r>
        <w:rPr>
          <w:color w:val="231F20"/>
          <w:sz w:val="24"/>
        </w:rPr>
        <w:tab/>
        <w:t>Quality</w:t>
      </w:r>
      <w:r>
        <w:rPr>
          <w:color w:val="231F20"/>
          <w:spacing w:val="-40"/>
          <w:sz w:val="24"/>
        </w:rPr>
        <w:t xml:space="preserve"> </w:t>
      </w:r>
      <w:r>
        <w:rPr>
          <w:color w:val="231F20"/>
          <w:sz w:val="24"/>
        </w:rPr>
        <w:t>Assurance</w:t>
      </w:r>
    </w:p>
    <w:p w14:paraId="182A59BB" w14:textId="77777777" w:rsidR="009948F1" w:rsidRDefault="00BC0563">
      <w:pPr>
        <w:tabs>
          <w:tab w:val="left" w:pos="1587"/>
        </w:tabs>
        <w:spacing w:before="13"/>
        <w:ind w:left="147"/>
        <w:rPr>
          <w:sz w:val="24"/>
        </w:rPr>
      </w:pPr>
      <w:r>
        <w:rPr>
          <w:color w:val="231F20"/>
          <w:sz w:val="24"/>
        </w:rPr>
        <w:t>R&amp;D</w:t>
      </w:r>
      <w:r>
        <w:rPr>
          <w:color w:val="231F20"/>
          <w:sz w:val="24"/>
        </w:rPr>
        <w:tab/>
        <w:t>Research and</w:t>
      </w:r>
      <w:r>
        <w:rPr>
          <w:color w:val="231F20"/>
          <w:spacing w:val="-54"/>
          <w:sz w:val="24"/>
        </w:rPr>
        <w:t xml:space="preserve"> </w:t>
      </w:r>
      <w:r>
        <w:rPr>
          <w:color w:val="231F20"/>
          <w:sz w:val="24"/>
        </w:rPr>
        <w:t>Development</w:t>
      </w:r>
    </w:p>
    <w:p w14:paraId="2BC10C2A" w14:textId="77777777" w:rsidR="009948F1" w:rsidRDefault="00BC0563">
      <w:pPr>
        <w:tabs>
          <w:tab w:val="left" w:pos="1587"/>
        </w:tabs>
        <w:spacing w:before="13"/>
        <w:ind w:left="147"/>
        <w:rPr>
          <w:sz w:val="24"/>
        </w:rPr>
      </w:pPr>
      <w:r>
        <w:rPr>
          <w:color w:val="231F20"/>
          <w:sz w:val="24"/>
        </w:rPr>
        <w:t>REW</w:t>
      </w:r>
      <w:r>
        <w:rPr>
          <w:color w:val="231F20"/>
          <w:sz w:val="24"/>
        </w:rPr>
        <w:tab/>
        <w:t>Reach Every</w:t>
      </w:r>
      <w:r>
        <w:rPr>
          <w:color w:val="231F20"/>
          <w:spacing w:val="-54"/>
          <w:sz w:val="24"/>
        </w:rPr>
        <w:t xml:space="preserve"> </w:t>
      </w:r>
      <w:r>
        <w:rPr>
          <w:color w:val="231F20"/>
          <w:spacing w:val="-3"/>
          <w:sz w:val="24"/>
        </w:rPr>
        <w:t>Ward</w:t>
      </w:r>
    </w:p>
    <w:p w14:paraId="27FC67B3" w14:textId="77777777" w:rsidR="009948F1" w:rsidRDefault="00BC0563">
      <w:pPr>
        <w:tabs>
          <w:tab w:val="left" w:pos="1587"/>
        </w:tabs>
        <w:spacing w:before="13"/>
        <w:ind w:left="147"/>
        <w:rPr>
          <w:sz w:val="24"/>
        </w:rPr>
      </w:pPr>
      <w:r>
        <w:rPr>
          <w:color w:val="231F20"/>
          <w:sz w:val="24"/>
        </w:rPr>
        <w:t>RI</w:t>
      </w:r>
      <w:r>
        <w:rPr>
          <w:color w:val="231F20"/>
          <w:sz w:val="24"/>
        </w:rPr>
        <w:tab/>
        <w:t>Routine</w:t>
      </w:r>
      <w:r>
        <w:rPr>
          <w:color w:val="231F20"/>
          <w:spacing w:val="-27"/>
          <w:sz w:val="24"/>
        </w:rPr>
        <w:t xml:space="preserve"> </w:t>
      </w:r>
      <w:proofErr w:type="spellStart"/>
      <w:r>
        <w:rPr>
          <w:color w:val="231F20"/>
          <w:sz w:val="24"/>
        </w:rPr>
        <w:t>Immunisation</w:t>
      </w:r>
      <w:proofErr w:type="spellEnd"/>
    </w:p>
    <w:p w14:paraId="1922F999" w14:textId="77777777" w:rsidR="009948F1" w:rsidRDefault="00BC0563">
      <w:pPr>
        <w:tabs>
          <w:tab w:val="left" w:pos="1587"/>
        </w:tabs>
        <w:spacing w:before="13"/>
        <w:ind w:left="147"/>
        <w:rPr>
          <w:sz w:val="24"/>
        </w:rPr>
      </w:pPr>
      <w:r>
        <w:rPr>
          <w:color w:val="231F20"/>
          <w:sz w:val="24"/>
        </w:rPr>
        <w:t>RIFO</w:t>
      </w:r>
      <w:r>
        <w:rPr>
          <w:color w:val="231F20"/>
          <w:sz w:val="24"/>
        </w:rPr>
        <w:tab/>
        <w:t>Routine</w:t>
      </w:r>
      <w:r>
        <w:rPr>
          <w:color w:val="231F20"/>
          <w:spacing w:val="-28"/>
          <w:sz w:val="24"/>
        </w:rPr>
        <w:t xml:space="preserve"> </w:t>
      </w:r>
      <w:proofErr w:type="spellStart"/>
      <w:r>
        <w:rPr>
          <w:color w:val="231F20"/>
          <w:sz w:val="24"/>
        </w:rPr>
        <w:t>Immunisation</w:t>
      </w:r>
      <w:proofErr w:type="spellEnd"/>
      <w:r>
        <w:rPr>
          <w:color w:val="231F20"/>
          <w:spacing w:val="-27"/>
          <w:sz w:val="24"/>
        </w:rPr>
        <w:t xml:space="preserve"> </w:t>
      </w:r>
      <w:r>
        <w:rPr>
          <w:color w:val="231F20"/>
          <w:sz w:val="24"/>
        </w:rPr>
        <w:t>Focal</w:t>
      </w:r>
      <w:r>
        <w:rPr>
          <w:color w:val="231F20"/>
          <w:spacing w:val="-27"/>
          <w:sz w:val="24"/>
        </w:rPr>
        <w:t xml:space="preserve"> </w:t>
      </w:r>
      <w:r>
        <w:rPr>
          <w:color w:val="231F20"/>
          <w:sz w:val="24"/>
        </w:rPr>
        <w:t>Officer</w:t>
      </w:r>
    </w:p>
    <w:p w14:paraId="6DCE2591" w14:textId="77777777" w:rsidR="009948F1" w:rsidRDefault="00BC0563">
      <w:pPr>
        <w:tabs>
          <w:tab w:val="left" w:pos="1587"/>
        </w:tabs>
        <w:spacing w:before="13" w:line="252" w:lineRule="auto"/>
        <w:ind w:left="147" w:right="2340"/>
        <w:rPr>
          <w:sz w:val="24"/>
        </w:rPr>
      </w:pPr>
      <w:r>
        <w:rPr>
          <w:color w:val="231F20"/>
          <w:sz w:val="24"/>
        </w:rPr>
        <w:t>RIVCHPP</w:t>
      </w:r>
      <w:r>
        <w:rPr>
          <w:color w:val="231F20"/>
          <w:sz w:val="24"/>
        </w:rPr>
        <w:tab/>
        <w:t>Rivers</w:t>
      </w:r>
      <w:r>
        <w:rPr>
          <w:color w:val="231F20"/>
          <w:spacing w:val="-30"/>
          <w:sz w:val="24"/>
        </w:rPr>
        <w:t xml:space="preserve"> </w:t>
      </w:r>
      <w:r>
        <w:rPr>
          <w:color w:val="231F20"/>
          <w:sz w:val="24"/>
        </w:rPr>
        <w:t>State</w:t>
      </w:r>
      <w:r>
        <w:rPr>
          <w:color w:val="231F20"/>
          <w:spacing w:val="-30"/>
          <w:sz w:val="24"/>
        </w:rPr>
        <w:t xml:space="preserve"> </w:t>
      </w:r>
      <w:r>
        <w:rPr>
          <w:color w:val="231F20"/>
          <w:sz w:val="24"/>
        </w:rPr>
        <w:t>Contributory</w:t>
      </w:r>
      <w:r>
        <w:rPr>
          <w:color w:val="231F20"/>
          <w:spacing w:val="-30"/>
          <w:sz w:val="24"/>
        </w:rPr>
        <w:t xml:space="preserve"> </w:t>
      </w:r>
      <w:r>
        <w:rPr>
          <w:color w:val="231F20"/>
          <w:sz w:val="24"/>
        </w:rPr>
        <w:t>Health</w:t>
      </w:r>
      <w:r>
        <w:rPr>
          <w:color w:val="231F20"/>
          <w:spacing w:val="-30"/>
          <w:sz w:val="24"/>
        </w:rPr>
        <w:t xml:space="preserve"> </w:t>
      </w:r>
      <w:r>
        <w:rPr>
          <w:color w:val="231F20"/>
          <w:sz w:val="24"/>
        </w:rPr>
        <w:t>Protection</w:t>
      </w:r>
      <w:r>
        <w:rPr>
          <w:color w:val="231F20"/>
          <w:spacing w:val="-29"/>
          <w:sz w:val="24"/>
        </w:rPr>
        <w:t xml:space="preserve"> </w:t>
      </w:r>
      <w:proofErr w:type="spellStart"/>
      <w:r>
        <w:rPr>
          <w:color w:val="231F20"/>
          <w:sz w:val="24"/>
        </w:rPr>
        <w:t>Programme</w:t>
      </w:r>
      <w:proofErr w:type="spellEnd"/>
      <w:r>
        <w:rPr>
          <w:color w:val="231F20"/>
          <w:sz w:val="24"/>
        </w:rPr>
        <w:t xml:space="preserve"> RIVSACA</w:t>
      </w:r>
      <w:r>
        <w:rPr>
          <w:color w:val="231F20"/>
          <w:sz w:val="24"/>
        </w:rPr>
        <w:tab/>
        <w:t>Rivers</w:t>
      </w:r>
      <w:r>
        <w:rPr>
          <w:color w:val="231F20"/>
          <w:spacing w:val="-27"/>
          <w:sz w:val="24"/>
        </w:rPr>
        <w:t xml:space="preserve"> </w:t>
      </w:r>
      <w:r>
        <w:rPr>
          <w:color w:val="231F20"/>
          <w:sz w:val="24"/>
        </w:rPr>
        <w:t>State</w:t>
      </w:r>
      <w:r>
        <w:rPr>
          <w:color w:val="231F20"/>
          <w:spacing w:val="-41"/>
          <w:sz w:val="24"/>
        </w:rPr>
        <w:t xml:space="preserve"> </w:t>
      </w:r>
      <w:r>
        <w:rPr>
          <w:color w:val="231F20"/>
          <w:sz w:val="24"/>
        </w:rPr>
        <w:t>Agency</w:t>
      </w:r>
      <w:r>
        <w:rPr>
          <w:color w:val="231F20"/>
          <w:spacing w:val="-27"/>
          <w:sz w:val="24"/>
        </w:rPr>
        <w:t xml:space="preserve"> </w:t>
      </w:r>
      <w:r>
        <w:rPr>
          <w:color w:val="231F20"/>
          <w:sz w:val="24"/>
        </w:rPr>
        <w:t>for</w:t>
      </w:r>
      <w:r>
        <w:rPr>
          <w:color w:val="231F20"/>
          <w:spacing w:val="-27"/>
          <w:sz w:val="24"/>
        </w:rPr>
        <w:t xml:space="preserve"> </w:t>
      </w:r>
      <w:r>
        <w:rPr>
          <w:color w:val="231F20"/>
          <w:sz w:val="24"/>
        </w:rPr>
        <w:t>Control</w:t>
      </w:r>
      <w:r>
        <w:rPr>
          <w:color w:val="231F20"/>
          <w:spacing w:val="-27"/>
          <w:sz w:val="24"/>
        </w:rPr>
        <w:t xml:space="preserve"> </w:t>
      </w:r>
      <w:r>
        <w:rPr>
          <w:color w:val="231F20"/>
          <w:sz w:val="24"/>
        </w:rPr>
        <w:t>of</w:t>
      </w:r>
      <w:r>
        <w:rPr>
          <w:color w:val="231F20"/>
          <w:spacing w:val="-40"/>
          <w:sz w:val="24"/>
        </w:rPr>
        <w:t xml:space="preserve"> </w:t>
      </w:r>
      <w:r>
        <w:rPr>
          <w:color w:val="231F20"/>
          <w:sz w:val="24"/>
        </w:rPr>
        <w:t>AIDS</w:t>
      </w:r>
    </w:p>
    <w:p w14:paraId="1884145A" w14:textId="77777777" w:rsidR="009948F1" w:rsidRDefault="00BC0563">
      <w:pPr>
        <w:tabs>
          <w:tab w:val="left" w:pos="1587"/>
        </w:tabs>
        <w:spacing w:line="275" w:lineRule="exact"/>
        <w:ind w:left="147"/>
        <w:rPr>
          <w:sz w:val="24"/>
        </w:rPr>
      </w:pPr>
      <w:r>
        <w:rPr>
          <w:color w:val="231F20"/>
          <w:sz w:val="24"/>
        </w:rPr>
        <w:t>RIWG</w:t>
      </w:r>
      <w:r>
        <w:rPr>
          <w:color w:val="231F20"/>
          <w:sz w:val="24"/>
        </w:rPr>
        <w:tab/>
        <w:t>Routine</w:t>
      </w:r>
      <w:r>
        <w:rPr>
          <w:color w:val="231F20"/>
          <w:spacing w:val="-28"/>
          <w:sz w:val="24"/>
        </w:rPr>
        <w:t xml:space="preserve"> </w:t>
      </w:r>
      <w:proofErr w:type="spellStart"/>
      <w:r>
        <w:rPr>
          <w:color w:val="231F20"/>
          <w:sz w:val="24"/>
        </w:rPr>
        <w:t>Immunisation</w:t>
      </w:r>
      <w:proofErr w:type="spellEnd"/>
      <w:r>
        <w:rPr>
          <w:color w:val="231F20"/>
          <w:spacing w:val="-27"/>
          <w:sz w:val="24"/>
        </w:rPr>
        <w:t xml:space="preserve"> </w:t>
      </w:r>
      <w:r>
        <w:rPr>
          <w:color w:val="231F20"/>
          <w:sz w:val="24"/>
        </w:rPr>
        <w:t>Working</w:t>
      </w:r>
      <w:r>
        <w:rPr>
          <w:color w:val="231F20"/>
          <w:spacing w:val="-27"/>
          <w:sz w:val="24"/>
        </w:rPr>
        <w:t xml:space="preserve"> </w:t>
      </w:r>
      <w:r>
        <w:rPr>
          <w:color w:val="231F20"/>
          <w:sz w:val="24"/>
        </w:rPr>
        <w:t>Group</w:t>
      </w:r>
    </w:p>
    <w:p w14:paraId="1E0D9119" w14:textId="77777777" w:rsidR="009948F1" w:rsidRDefault="00BC0563">
      <w:pPr>
        <w:tabs>
          <w:tab w:val="left" w:pos="1587"/>
        </w:tabs>
        <w:spacing w:before="13" w:line="252" w:lineRule="auto"/>
        <w:ind w:left="147" w:right="1005"/>
        <w:rPr>
          <w:sz w:val="24"/>
        </w:rPr>
      </w:pPr>
      <w:r>
        <w:rPr>
          <w:color w:val="231F20"/>
          <w:sz w:val="24"/>
        </w:rPr>
        <w:t>RMNCAH</w:t>
      </w:r>
      <w:r>
        <w:rPr>
          <w:color w:val="231F20"/>
          <w:sz w:val="24"/>
        </w:rPr>
        <w:tab/>
        <w:t>Reproductive</w:t>
      </w:r>
      <w:r>
        <w:rPr>
          <w:color w:val="231F20"/>
          <w:spacing w:val="-27"/>
          <w:sz w:val="24"/>
        </w:rPr>
        <w:t xml:space="preserve"> </w:t>
      </w:r>
      <w:r>
        <w:rPr>
          <w:color w:val="231F20"/>
          <w:sz w:val="24"/>
        </w:rPr>
        <w:t>health,</w:t>
      </w:r>
      <w:r>
        <w:rPr>
          <w:color w:val="231F20"/>
          <w:spacing w:val="-27"/>
          <w:sz w:val="24"/>
        </w:rPr>
        <w:t xml:space="preserve"> </w:t>
      </w:r>
      <w:r>
        <w:rPr>
          <w:color w:val="231F20"/>
          <w:sz w:val="24"/>
        </w:rPr>
        <w:t>Maternal</w:t>
      </w:r>
      <w:r>
        <w:rPr>
          <w:color w:val="231F20"/>
          <w:spacing w:val="-26"/>
          <w:sz w:val="24"/>
        </w:rPr>
        <w:t xml:space="preserve"> </w:t>
      </w:r>
      <w:r>
        <w:rPr>
          <w:color w:val="231F20"/>
          <w:sz w:val="24"/>
        </w:rPr>
        <w:t>&amp;Newborn,</w:t>
      </w:r>
      <w:r>
        <w:rPr>
          <w:color w:val="231F20"/>
          <w:spacing w:val="-27"/>
          <w:sz w:val="24"/>
        </w:rPr>
        <w:t xml:space="preserve"> </w:t>
      </w:r>
      <w:r>
        <w:rPr>
          <w:color w:val="231F20"/>
          <w:sz w:val="24"/>
        </w:rPr>
        <w:t>Child</w:t>
      </w:r>
      <w:r>
        <w:rPr>
          <w:color w:val="231F20"/>
          <w:spacing w:val="-27"/>
          <w:sz w:val="24"/>
        </w:rPr>
        <w:t xml:space="preserve"> </w:t>
      </w:r>
      <w:r>
        <w:rPr>
          <w:color w:val="231F20"/>
          <w:sz w:val="24"/>
        </w:rPr>
        <w:t>&amp;</w:t>
      </w:r>
      <w:r>
        <w:rPr>
          <w:color w:val="231F20"/>
          <w:spacing w:val="-39"/>
          <w:sz w:val="24"/>
        </w:rPr>
        <w:t xml:space="preserve"> </w:t>
      </w:r>
      <w:r>
        <w:rPr>
          <w:color w:val="231F20"/>
          <w:sz w:val="24"/>
        </w:rPr>
        <w:t>Adolescent</w:t>
      </w:r>
      <w:r>
        <w:rPr>
          <w:color w:val="231F20"/>
          <w:spacing w:val="-27"/>
          <w:sz w:val="24"/>
        </w:rPr>
        <w:t xml:space="preserve"> </w:t>
      </w:r>
      <w:r>
        <w:rPr>
          <w:color w:val="231F20"/>
          <w:spacing w:val="-3"/>
          <w:sz w:val="24"/>
        </w:rPr>
        <w:t xml:space="preserve">Health </w:t>
      </w:r>
      <w:r>
        <w:rPr>
          <w:color w:val="231F20"/>
          <w:sz w:val="24"/>
        </w:rPr>
        <w:t>RMNCAH+N Reproductive, Maternal, Newborn, Child Health and Nutrition RSPHCMB</w:t>
      </w:r>
      <w:r>
        <w:rPr>
          <w:color w:val="231F20"/>
          <w:sz w:val="24"/>
        </w:rPr>
        <w:tab/>
        <w:t>Primary</w:t>
      </w:r>
      <w:r>
        <w:rPr>
          <w:color w:val="231F20"/>
          <w:spacing w:val="-27"/>
          <w:sz w:val="24"/>
        </w:rPr>
        <w:t xml:space="preserve"> </w:t>
      </w:r>
      <w:r>
        <w:rPr>
          <w:color w:val="231F20"/>
          <w:sz w:val="24"/>
        </w:rPr>
        <w:t>Health</w:t>
      </w:r>
      <w:r>
        <w:rPr>
          <w:color w:val="231F20"/>
          <w:spacing w:val="-28"/>
          <w:sz w:val="24"/>
        </w:rPr>
        <w:t xml:space="preserve"> </w:t>
      </w:r>
      <w:r>
        <w:rPr>
          <w:color w:val="231F20"/>
          <w:sz w:val="24"/>
        </w:rPr>
        <w:t>Care</w:t>
      </w:r>
      <w:r>
        <w:rPr>
          <w:color w:val="231F20"/>
          <w:spacing w:val="-27"/>
          <w:sz w:val="24"/>
        </w:rPr>
        <w:t xml:space="preserve"> </w:t>
      </w:r>
      <w:r>
        <w:rPr>
          <w:color w:val="231F20"/>
          <w:sz w:val="24"/>
        </w:rPr>
        <w:t>Management</w:t>
      </w:r>
      <w:r>
        <w:rPr>
          <w:color w:val="231F20"/>
          <w:spacing w:val="-27"/>
          <w:sz w:val="24"/>
        </w:rPr>
        <w:t xml:space="preserve"> </w:t>
      </w:r>
      <w:r>
        <w:rPr>
          <w:color w:val="231F20"/>
          <w:sz w:val="24"/>
        </w:rPr>
        <w:t>Board</w:t>
      </w:r>
    </w:p>
    <w:p w14:paraId="09841BBD" w14:textId="77777777" w:rsidR="009948F1" w:rsidRDefault="00BC0563">
      <w:pPr>
        <w:tabs>
          <w:tab w:val="left" w:pos="1587"/>
        </w:tabs>
        <w:spacing w:line="252" w:lineRule="auto"/>
        <w:ind w:left="147" w:right="3687"/>
        <w:rPr>
          <w:sz w:val="24"/>
        </w:rPr>
      </w:pPr>
      <w:r>
        <w:rPr>
          <w:color w:val="231F20"/>
          <w:sz w:val="24"/>
        </w:rPr>
        <w:t>RSHMB</w:t>
      </w:r>
      <w:r>
        <w:rPr>
          <w:color w:val="231F20"/>
          <w:sz w:val="24"/>
        </w:rPr>
        <w:tab/>
        <w:t>Rivers</w:t>
      </w:r>
      <w:r>
        <w:rPr>
          <w:color w:val="231F20"/>
          <w:spacing w:val="-27"/>
          <w:sz w:val="24"/>
        </w:rPr>
        <w:t xml:space="preserve"> </w:t>
      </w:r>
      <w:r>
        <w:rPr>
          <w:color w:val="231F20"/>
          <w:sz w:val="24"/>
        </w:rPr>
        <w:t>State</w:t>
      </w:r>
      <w:r>
        <w:rPr>
          <w:color w:val="231F20"/>
          <w:spacing w:val="-26"/>
          <w:sz w:val="24"/>
        </w:rPr>
        <w:t xml:space="preserve"> </w:t>
      </w:r>
      <w:r>
        <w:rPr>
          <w:color w:val="231F20"/>
          <w:sz w:val="24"/>
        </w:rPr>
        <w:t>Hospitals</w:t>
      </w:r>
      <w:r>
        <w:rPr>
          <w:color w:val="231F20"/>
          <w:spacing w:val="-26"/>
          <w:sz w:val="24"/>
        </w:rPr>
        <w:t xml:space="preserve"> </w:t>
      </w:r>
      <w:r>
        <w:rPr>
          <w:color w:val="231F20"/>
          <w:sz w:val="24"/>
        </w:rPr>
        <w:t>Management</w:t>
      </w:r>
      <w:r>
        <w:rPr>
          <w:color w:val="231F20"/>
          <w:spacing w:val="-26"/>
          <w:sz w:val="24"/>
        </w:rPr>
        <w:t xml:space="preserve"> </w:t>
      </w:r>
      <w:r>
        <w:rPr>
          <w:color w:val="231F20"/>
          <w:spacing w:val="-4"/>
          <w:sz w:val="24"/>
        </w:rPr>
        <w:t xml:space="preserve">Board </w:t>
      </w:r>
      <w:r>
        <w:rPr>
          <w:color w:val="231F20"/>
          <w:sz w:val="24"/>
        </w:rPr>
        <w:t>RUTF</w:t>
      </w:r>
      <w:r>
        <w:rPr>
          <w:color w:val="231F20"/>
          <w:sz w:val="24"/>
        </w:rPr>
        <w:tab/>
        <w:t>Ready</w:t>
      </w:r>
      <w:r>
        <w:rPr>
          <w:color w:val="231F20"/>
          <w:spacing w:val="-28"/>
          <w:sz w:val="24"/>
        </w:rPr>
        <w:t xml:space="preserve"> </w:t>
      </w:r>
      <w:r>
        <w:rPr>
          <w:color w:val="231F20"/>
          <w:sz w:val="24"/>
        </w:rPr>
        <w:t>to</w:t>
      </w:r>
      <w:r>
        <w:rPr>
          <w:color w:val="231F20"/>
          <w:spacing w:val="-27"/>
          <w:sz w:val="24"/>
        </w:rPr>
        <w:t xml:space="preserve"> </w:t>
      </w:r>
      <w:r>
        <w:rPr>
          <w:color w:val="231F20"/>
          <w:sz w:val="24"/>
        </w:rPr>
        <w:t>Use</w:t>
      </w:r>
      <w:r>
        <w:rPr>
          <w:color w:val="231F20"/>
          <w:spacing w:val="-31"/>
          <w:sz w:val="24"/>
        </w:rPr>
        <w:t xml:space="preserve"> </w:t>
      </w:r>
      <w:r>
        <w:rPr>
          <w:color w:val="231F20"/>
          <w:sz w:val="24"/>
        </w:rPr>
        <w:t>Therapeutic</w:t>
      </w:r>
      <w:r>
        <w:rPr>
          <w:color w:val="231F20"/>
          <w:spacing w:val="-27"/>
          <w:sz w:val="24"/>
        </w:rPr>
        <w:t xml:space="preserve"> </w:t>
      </w:r>
      <w:r>
        <w:rPr>
          <w:color w:val="231F20"/>
          <w:sz w:val="24"/>
        </w:rPr>
        <w:t>Food</w:t>
      </w:r>
    </w:p>
    <w:p w14:paraId="2C28E938" w14:textId="77777777" w:rsidR="009948F1" w:rsidRDefault="00BC0563">
      <w:pPr>
        <w:tabs>
          <w:tab w:val="left" w:pos="1587"/>
        </w:tabs>
        <w:spacing w:line="252" w:lineRule="auto"/>
        <w:ind w:left="147" w:right="4581"/>
        <w:rPr>
          <w:sz w:val="24"/>
        </w:rPr>
      </w:pPr>
      <w:r>
        <w:rPr>
          <w:color w:val="231F20"/>
          <w:sz w:val="24"/>
        </w:rPr>
        <w:t>SAM</w:t>
      </w:r>
      <w:r>
        <w:rPr>
          <w:color w:val="231F20"/>
          <w:sz w:val="24"/>
        </w:rPr>
        <w:tab/>
        <w:t>Severe Acute Malnutrition SASCP</w:t>
      </w:r>
      <w:r>
        <w:rPr>
          <w:color w:val="231F20"/>
          <w:sz w:val="24"/>
        </w:rPr>
        <w:tab/>
        <w:t>State</w:t>
      </w:r>
      <w:r>
        <w:rPr>
          <w:color w:val="231F20"/>
          <w:spacing w:val="-40"/>
          <w:sz w:val="24"/>
        </w:rPr>
        <w:t xml:space="preserve"> </w:t>
      </w:r>
      <w:r>
        <w:rPr>
          <w:color w:val="231F20"/>
          <w:sz w:val="24"/>
        </w:rPr>
        <w:t>AIDS</w:t>
      </w:r>
      <w:r>
        <w:rPr>
          <w:color w:val="231F20"/>
          <w:spacing w:val="-26"/>
          <w:sz w:val="24"/>
        </w:rPr>
        <w:t xml:space="preserve"> </w:t>
      </w:r>
      <w:r>
        <w:rPr>
          <w:color w:val="231F20"/>
          <w:sz w:val="24"/>
        </w:rPr>
        <w:t>&amp;</w:t>
      </w:r>
      <w:r>
        <w:rPr>
          <w:color w:val="231F20"/>
          <w:spacing w:val="-26"/>
          <w:sz w:val="24"/>
        </w:rPr>
        <w:t xml:space="preserve"> </w:t>
      </w:r>
      <w:r>
        <w:rPr>
          <w:color w:val="231F20"/>
          <w:sz w:val="24"/>
        </w:rPr>
        <w:t>STI</w:t>
      </w:r>
      <w:r>
        <w:rPr>
          <w:color w:val="231F20"/>
          <w:spacing w:val="-26"/>
          <w:sz w:val="24"/>
        </w:rPr>
        <w:t xml:space="preserve"> </w:t>
      </w:r>
      <w:r>
        <w:rPr>
          <w:color w:val="231F20"/>
          <w:sz w:val="24"/>
        </w:rPr>
        <w:t>Control</w:t>
      </w:r>
      <w:r>
        <w:rPr>
          <w:color w:val="231F20"/>
          <w:spacing w:val="-26"/>
          <w:sz w:val="24"/>
        </w:rPr>
        <w:t xml:space="preserve"> </w:t>
      </w:r>
      <w:r>
        <w:rPr>
          <w:color w:val="231F20"/>
          <w:spacing w:val="-3"/>
          <w:sz w:val="24"/>
        </w:rPr>
        <w:t xml:space="preserve">Program </w:t>
      </w:r>
      <w:r>
        <w:rPr>
          <w:color w:val="231F20"/>
          <w:sz w:val="24"/>
        </w:rPr>
        <w:t>SCCO</w:t>
      </w:r>
      <w:r>
        <w:rPr>
          <w:color w:val="231F20"/>
          <w:sz w:val="24"/>
        </w:rPr>
        <w:tab/>
        <w:t>State</w:t>
      </w:r>
      <w:r>
        <w:rPr>
          <w:color w:val="231F20"/>
          <w:spacing w:val="-28"/>
          <w:sz w:val="24"/>
        </w:rPr>
        <w:t xml:space="preserve"> </w:t>
      </w:r>
      <w:r>
        <w:rPr>
          <w:color w:val="231F20"/>
          <w:sz w:val="24"/>
        </w:rPr>
        <w:t>Cold</w:t>
      </w:r>
      <w:r>
        <w:rPr>
          <w:color w:val="231F20"/>
          <w:spacing w:val="-27"/>
          <w:sz w:val="24"/>
        </w:rPr>
        <w:t xml:space="preserve"> </w:t>
      </w:r>
      <w:r>
        <w:rPr>
          <w:color w:val="231F20"/>
          <w:sz w:val="24"/>
        </w:rPr>
        <w:t>Chain</w:t>
      </w:r>
      <w:r>
        <w:rPr>
          <w:color w:val="231F20"/>
          <w:spacing w:val="-27"/>
          <w:sz w:val="24"/>
        </w:rPr>
        <w:t xml:space="preserve"> </w:t>
      </w:r>
      <w:r>
        <w:rPr>
          <w:color w:val="231F20"/>
          <w:sz w:val="24"/>
        </w:rPr>
        <w:t>Officer</w:t>
      </w:r>
    </w:p>
    <w:p w14:paraId="3887CEBA" w14:textId="77777777" w:rsidR="009948F1" w:rsidRDefault="00BC0563">
      <w:pPr>
        <w:tabs>
          <w:tab w:val="left" w:pos="1587"/>
        </w:tabs>
        <w:spacing w:line="274" w:lineRule="exact"/>
        <w:ind w:left="147"/>
        <w:rPr>
          <w:sz w:val="24"/>
        </w:rPr>
      </w:pPr>
      <w:r>
        <w:rPr>
          <w:color w:val="231F20"/>
          <w:sz w:val="24"/>
        </w:rPr>
        <w:t>SCH</w:t>
      </w:r>
      <w:r>
        <w:rPr>
          <w:color w:val="231F20"/>
          <w:sz w:val="24"/>
        </w:rPr>
        <w:tab/>
        <w:t>State</w:t>
      </w:r>
      <w:r>
        <w:rPr>
          <w:color w:val="231F20"/>
          <w:spacing w:val="-27"/>
          <w:sz w:val="24"/>
        </w:rPr>
        <w:t xml:space="preserve"> </w:t>
      </w:r>
      <w:r>
        <w:rPr>
          <w:color w:val="231F20"/>
          <w:sz w:val="24"/>
        </w:rPr>
        <w:t>Council</w:t>
      </w:r>
      <w:r>
        <w:rPr>
          <w:color w:val="231F20"/>
          <w:spacing w:val="-27"/>
          <w:sz w:val="24"/>
        </w:rPr>
        <w:t xml:space="preserve"> </w:t>
      </w:r>
      <w:r>
        <w:rPr>
          <w:color w:val="231F20"/>
          <w:sz w:val="24"/>
        </w:rPr>
        <w:t>on</w:t>
      </w:r>
      <w:r>
        <w:rPr>
          <w:color w:val="231F20"/>
          <w:spacing w:val="-27"/>
          <w:sz w:val="24"/>
        </w:rPr>
        <w:t xml:space="preserve"> </w:t>
      </w:r>
      <w:r>
        <w:rPr>
          <w:color w:val="231F20"/>
          <w:sz w:val="24"/>
        </w:rPr>
        <w:t>Health</w:t>
      </w:r>
    </w:p>
    <w:p w14:paraId="4D12970D" w14:textId="77777777" w:rsidR="009948F1" w:rsidRDefault="00BC0563">
      <w:pPr>
        <w:tabs>
          <w:tab w:val="left" w:pos="1587"/>
        </w:tabs>
        <w:spacing w:before="10" w:line="252" w:lineRule="auto"/>
        <w:ind w:left="147" w:right="4740"/>
        <w:rPr>
          <w:sz w:val="24"/>
        </w:rPr>
      </w:pPr>
      <w:r>
        <w:rPr>
          <w:color w:val="231F20"/>
          <w:sz w:val="24"/>
        </w:rPr>
        <w:t>SCM</w:t>
      </w:r>
      <w:r>
        <w:rPr>
          <w:color w:val="231F20"/>
          <w:sz w:val="24"/>
        </w:rPr>
        <w:tab/>
        <w:t>Supply Chain Management SDGs</w:t>
      </w:r>
      <w:r>
        <w:rPr>
          <w:color w:val="231F20"/>
          <w:sz w:val="24"/>
        </w:rPr>
        <w:tab/>
        <w:t>Sustainable Development</w:t>
      </w:r>
      <w:r>
        <w:rPr>
          <w:color w:val="231F20"/>
          <w:spacing w:val="-52"/>
          <w:sz w:val="24"/>
        </w:rPr>
        <w:t xml:space="preserve"> </w:t>
      </w:r>
      <w:r>
        <w:rPr>
          <w:color w:val="231F20"/>
          <w:spacing w:val="-4"/>
          <w:sz w:val="24"/>
        </w:rPr>
        <w:t xml:space="preserve">Goals </w:t>
      </w:r>
      <w:r>
        <w:rPr>
          <w:color w:val="231F20"/>
          <w:spacing w:val="-5"/>
          <w:sz w:val="24"/>
        </w:rPr>
        <w:t>SFA</w:t>
      </w:r>
      <w:r>
        <w:rPr>
          <w:color w:val="231F20"/>
          <w:spacing w:val="-5"/>
          <w:sz w:val="24"/>
        </w:rPr>
        <w:tab/>
      </w:r>
      <w:r>
        <w:rPr>
          <w:color w:val="231F20"/>
          <w:sz w:val="24"/>
        </w:rPr>
        <w:t>State</w:t>
      </w:r>
      <w:r>
        <w:rPr>
          <w:color w:val="231F20"/>
          <w:spacing w:val="-27"/>
          <w:sz w:val="24"/>
        </w:rPr>
        <w:t xml:space="preserve"> </w:t>
      </w:r>
      <w:r>
        <w:rPr>
          <w:color w:val="231F20"/>
          <w:sz w:val="24"/>
        </w:rPr>
        <w:t>Fund</w:t>
      </w:r>
      <w:r>
        <w:rPr>
          <w:color w:val="231F20"/>
          <w:spacing w:val="-41"/>
          <w:sz w:val="24"/>
        </w:rPr>
        <w:t xml:space="preserve"> </w:t>
      </w:r>
      <w:r>
        <w:rPr>
          <w:color w:val="231F20"/>
          <w:sz w:val="24"/>
        </w:rPr>
        <w:t>Administrator</w:t>
      </w:r>
    </w:p>
    <w:p w14:paraId="5D39B3A0" w14:textId="77777777" w:rsidR="009948F1" w:rsidRDefault="00BC0563">
      <w:pPr>
        <w:tabs>
          <w:tab w:val="left" w:pos="1587"/>
        </w:tabs>
        <w:spacing w:line="274" w:lineRule="exact"/>
        <w:ind w:left="147"/>
        <w:rPr>
          <w:sz w:val="24"/>
        </w:rPr>
      </w:pPr>
      <w:r>
        <w:rPr>
          <w:color w:val="231F20"/>
          <w:sz w:val="24"/>
        </w:rPr>
        <w:t>SFH</w:t>
      </w:r>
      <w:r>
        <w:rPr>
          <w:color w:val="231F20"/>
          <w:sz w:val="24"/>
        </w:rPr>
        <w:tab/>
        <w:t>Society</w:t>
      </w:r>
      <w:r>
        <w:rPr>
          <w:color w:val="231F20"/>
          <w:spacing w:val="-28"/>
          <w:sz w:val="24"/>
        </w:rPr>
        <w:t xml:space="preserve"> </w:t>
      </w:r>
      <w:r>
        <w:rPr>
          <w:color w:val="231F20"/>
          <w:sz w:val="24"/>
        </w:rPr>
        <w:t>for</w:t>
      </w:r>
      <w:r>
        <w:rPr>
          <w:color w:val="231F20"/>
          <w:spacing w:val="-27"/>
          <w:sz w:val="24"/>
        </w:rPr>
        <w:t xml:space="preserve"> </w:t>
      </w:r>
      <w:r>
        <w:rPr>
          <w:color w:val="231F20"/>
          <w:sz w:val="24"/>
        </w:rPr>
        <w:t>Family</w:t>
      </w:r>
      <w:r>
        <w:rPr>
          <w:color w:val="231F20"/>
          <w:spacing w:val="-27"/>
          <w:sz w:val="24"/>
        </w:rPr>
        <w:t xml:space="preserve"> </w:t>
      </w:r>
      <w:r>
        <w:rPr>
          <w:color w:val="231F20"/>
          <w:sz w:val="24"/>
        </w:rPr>
        <w:t>Health</w:t>
      </w:r>
    </w:p>
    <w:p w14:paraId="09ACDC2B" w14:textId="313D490E" w:rsidR="009948F1" w:rsidRDefault="00BC0563">
      <w:pPr>
        <w:tabs>
          <w:tab w:val="left" w:pos="1587"/>
        </w:tabs>
        <w:spacing w:before="13" w:line="252" w:lineRule="auto"/>
        <w:ind w:left="147" w:right="3860"/>
        <w:rPr>
          <w:sz w:val="24"/>
        </w:rPr>
      </w:pPr>
      <w:r>
        <w:rPr>
          <w:color w:val="231F20"/>
          <w:sz w:val="24"/>
        </w:rPr>
        <w:t>SHIS</w:t>
      </w:r>
      <w:r>
        <w:rPr>
          <w:color w:val="231F20"/>
          <w:sz w:val="24"/>
        </w:rPr>
        <w:tab/>
        <w:t>Social Health Insurance Scheme SHREC</w:t>
      </w:r>
      <w:r>
        <w:rPr>
          <w:color w:val="231F20"/>
          <w:sz w:val="24"/>
        </w:rPr>
        <w:tab/>
        <w:t>State</w:t>
      </w:r>
      <w:r>
        <w:rPr>
          <w:color w:val="231F20"/>
          <w:spacing w:val="-31"/>
          <w:sz w:val="24"/>
        </w:rPr>
        <w:t xml:space="preserve"> </w:t>
      </w:r>
      <w:r>
        <w:rPr>
          <w:color w:val="231F20"/>
          <w:sz w:val="24"/>
        </w:rPr>
        <w:t>Health</w:t>
      </w:r>
      <w:r>
        <w:rPr>
          <w:color w:val="231F20"/>
          <w:spacing w:val="-30"/>
          <w:sz w:val="24"/>
        </w:rPr>
        <w:t xml:space="preserve"> </w:t>
      </w:r>
      <w:r>
        <w:rPr>
          <w:color w:val="231F20"/>
          <w:sz w:val="24"/>
        </w:rPr>
        <w:t>Research</w:t>
      </w:r>
      <w:r>
        <w:rPr>
          <w:color w:val="231F20"/>
          <w:spacing w:val="-30"/>
          <w:sz w:val="24"/>
        </w:rPr>
        <w:t xml:space="preserve"> </w:t>
      </w:r>
      <w:r>
        <w:rPr>
          <w:color w:val="231F20"/>
          <w:sz w:val="24"/>
        </w:rPr>
        <w:t>Ethics</w:t>
      </w:r>
      <w:r>
        <w:rPr>
          <w:color w:val="231F20"/>
          <w:spacing w:val="-31"/>
          <w:sz w:val="24"/>
        </w:rPr>
        <w:t xml:space="preserve"> </w:t>
      </w:r>
      <w:r>
        <w:rPr>
          <w:color w:val="231F20"/>
          <w:sz w:val="24"/>
        </w:rPr>
        <w:t>Committee SMO</w:t>
      </w:r>
      <w:r>
        <w:rPr>
          <w:color w:val="231F20"/>
          <w:sz w:val="24"/>
        </w:rPr>
        <w:tab/>
        <w:t xml:space="preserve">Social </w:t>
      </w:r>
      <w:proofErr w:type="gramStart"/>
      <w:r w:rsidR="00777DF0">
        <w:rPr>
          <w:color w:val="231F20"/>
          <w:sz w:val="24"/>
        </w:rPr>
        <w:t xml:space="preserve">Mobilization </w:t>
      </w:r>
      <w:r>
        <w:rPr>
          <w:color w:val="231F20"/>
          <w:spacing w:val="-55"/>
          <w:sz w:val="24"/>
        </w:rPr>
        <w:t xml:space="preserve"> </w:t>
      </w:r>
      <w:r>
        <w:rPr>
          <w:color w:val="231F20"/>
          <w:sz w:val="24"/>
        </w:rPr>
        <w:t>Officer</w:t>
      </w:r>
      <w:proofErr w:type="gramEnd"/>
    </w:p>
    <w:p w14:paraId="47870555" w14:textId="77777777" w:rsidR="009948F1" w:rsidRDefault="00BC0563">
      <w:pPr>
        <w:tabs>
          <w:tab w:val="left" w:pos="1587"/>
        </w:tabs>
        <w:spacing w:line="274" w:lineRule="exact"/>
        <w:ind w:left="147"/>
        <w:rPr>
          <w:sz w:val="24"/>
        </w:rPr>
      </w:pPr>
      <w:r>
        <w:rPr>
          <w:color w:val="231F20"/>
          <w:sz w:val="24"/>
        </w:rPr>
        <w:t>SMOH</w:t>
      </w:r>
      <w:r>
        <w:rPr>
          <w:color w:val="231F20"/>
          <w:sz w:val="24"/>
        </w:rPr>
        <w:tab/>
        <w:t>State</w:t>
      </w:r>
      <w:r>
        <w:rPr>
          <w:color w:val="231F20"/>
          <w:spacing w:val="-27"/>
          <w:sz w:val="24"/>
        </w:rPr>
        <w:t xml:space="preserve"> </w:t>
      </w:r>
      <w:r>
        <w:rPr>
          <w:color w:val="231F20"/>
          <w:sz w:val="24"/>
        </w:rPr>
        <w:t>Ministry</w:t>
      </w:r>
      <w:r>
        <w:rPr>
          <w:color w:val="231F20"/>
          <w:spacing w:val="-27"/>
          <w:sz w:val="24"/>
        </w:rPr>
        <w:t xml:space="preserve"> </w:t>
      </w:r>
      <w:r>
        <w:rPr>
          <w:color w:val="231F20"/>
          <w:sz w:val="24"/>
        </w:rPr>
        <w:t>of</w:t>
      </w:r>
      <w:r>
        <w:rPr>
          <w:color w:val="231F20"/>
          <w:spacing w:val="-27"/>
          <w:sz w:val="24"/>
        </w:rPr>
        <w:t xml:space="preserve"> </w:t>
      </w:r>
      <w:r>
        <w:rPr>
          <w:color w:val="231F20"/>
          <w:sz w:val="24"/>
        </w:rPr>
        <w:t>Health</w:t>
      </w:r>
    </w:p>
    <w:p w14:paraId="21E4720F" w14:textId="77777777" w:rsidR="009948F1" w:rsidRDefault="00BC0563">
      <w:pPr>
        <w:tabs>
          <w:tab w:val="left" w:pos="1587"/>
        </w:tabs>
        <w:spacing w:before="13" w:line="252" w:lineRule="auto"/>
        <w:ind w:left="147" w:right="3046"/>
        <w:rPr>
          <w:sz w:val="24"/>
        </w:rPr>
      </w:pPr>
      <w:r>
        <w:rPr>
          <w:color w:val="231F20"/>
          <w:sz w:val="24"/>
        </w:rPr>
        <w:t>SOGON</w:t>
      </w:r>
      <w:r>
        <w:rPr>
          <w:color w:val="231F20"/>
          <w:sz w:val="24"/>
        </w:rPr>
        <w:tab/>
        <w:t>Society</w:t>
      </w:r>
      <w:r>
        <w:rPr>
          <w:color w:val="231F20"/>
          <w:spacing w:val="-27"/>
          <w:sz w:val="24"/>
        </w:rPr>
        <w:t xml:space="preserve"> </w:t>
      </w:r>
      <w:r>
        <w:rPr>
          <w:color w:val="231F20"/>
          <w:sz w:val="24"/>
        </w:rPr>
        <w:t>of</w:t>
      </w:r>
      <w:r>
        <w:rPr>
          <w:color w:val="231F20"/>
          <w:spacing w:val="-26"/>
          <w:sz w:val="24"/>
        </w:rPr>
        <w:t xml:space="preserve"> </w:t>
      </w:r>
      <w:proofErr w:type="spellStart"/>
      <w:r>
        <w:rPr>
          <w:color w:val="231F20"/>
          <w:sz w:val="24"/>
        </w:rPr>
        <w:t>Gynaecology</w:t>
      </w:r>
      <w:proofErr w:type="spellEnd"/>
      <w:r>
        <w:rPr>
          <w:color w:val="231F20"/>
          <w:spacing w:val="-26"/>
          <w:sz w:val="24"/>
        </w:rPr>
        <w:t xml:space="preserve"> </w:t>
      </w:r>
      <w:r>
        <w:rPr>
          <w:color w:val="231F20"/>
          <w:sz w:val="24"/>
        </w:rPr>
        <w:t>and</w:t>
      </w:r>
      <w:r>
        <w:rPr>
          <w:color w:val="231F20"/>
          <w:spacing w:val="-26"/>
          <w:sz w:val="24"/>
        </w:rPr>
        <w:t xml:space="preserve"> </w:t>
      </w:r>
      <w:r>
        <w:rPr>
          <w:color w:val="231F20"/>
          <w:sz w:val="24"/>
        </w:rPr>
        <w:t>Obstetrics</w:t>
      </w:r>
      <w:r>
        <w:rPr>
          <w:color w:val="231F20"/>
          <w:spacing w:val="-26"/>
          <w:sz w:val="24"/>
        </w:rPr>
        <w:t xml:space="preserve"> </w:t>
      </w:r>
      <w:r>
        <w:rPr>
          <w:color w:val="231F20"/>
          <w:sz w:val="24"/>
        </w:rPr>
        <w:t>of</w:t>
      </w:r>
      <w:r>
        <w:rPr>
          <w:color w:val="231F20"/>
          <w:spacing w:val="-26"/>
          <w:sz w:val="24"/>
        </w:rPr>
        <w:t xml:space="preserve"> </w:t>
      </w:r>
      <w:r>
        <w:rPr>
          <w:color w:val="231F20"/>
          <w:spacing w:val="-3"/>
          <w:sz w:val="24"/>
        </w:rPr>
        <w:t xml:space="preserve">Nigeria </w:t>
      </w:r>
      <w:r>
        <w:rPr>
          <w:color w:val="231F20"/>
          <w:sz w:val="24"/>
        </w:rPr>
        <w:t>SOP</w:t>
      </w:r>
      <w:r>
        <w:rPr>
          <w:color w:val="231F20"/>
          <w:sz w:val="24"/>
        </w:rPr>
        <w:tab/>
        <w:t>Standard Operating</w:t>
      </w:r>
      <w:r>
        <w:rPr>
          <w:color w:val="231F20"/>
          <w:spacing w:val="-55"/>
          <w:sz w:val="24"/>
        </w:rPr>
        <w:t xml:space="preserve"> </w:t>
      </w:r>
      <w:r>
        <w:rPr>
          <w:color w:val="231F20"/>
          <w:sz w:val="24"/>
        </w:rPr>
        <w:t>Procedure</w:t>
      </w:r>
    </w:p>
    <w:p w14:paraId="53F87DAB" w14:textId="77777777" w:rsidR="009948F1" w:rsidRDefault="00BC0563">
      <w:pPr>
        <w:tabs>
          <w:tab w:val="left" w:pos="1587"/>
        </w:tabs>
        <w:spacing w:line="275" w:lineRule="exact"/>
        <w:ind w:left="147"/>
        <w:rPr>
          <w:sz w:val="24"/>
        </w:rPr>
      </w:pPr>
      <w:r>
        <w:rPr>
          <w:color w:val="231F20"/>
          <w:sz w:val="24"/>
        </w:rPr>
        <w:t>SOT</w:t>
      </w:r>
      <w:r>
        <w:rPr>
          <w:color w:val="231F20"/>
          <w:sz w:val="24"/>
        </w:rPr>
        <w:tab/>
        <w:t>Standards</w:t>
      </w:r>
      <w:r>
        <w:rPr>
          <w:color w:val="231F20"/>
          <w:spacing w:val="-28"/>
          <w:sz w:val="24"/>
        </w:rPr>
        <w:t xml:space="preserve"> </w:t>
      </w:r>
      <w:r>
        <w:rPr>
          <w:color w:val="231F20"/>
          <w:sz w:val="24"/>
        </w:rPr>
        <w:t>of</w:t>
      </w:r>
      <w:r>
        <w:rPr>
          <w:color w:val="231F20"/>
          <w:spacing w:val="-31"/>
          <w:sz w:val="24"/>
        </w:rPr>
        <w:t xml:space="preserve"> </w:t>
      </w:r>
      <w:r>
        <w:rPr>
          <w:color w:val="231F20"/>
          <w:sz w:val="24"/>
        </w:rPr>
        <w:t>Training</w:t>
      </w:r>
    </w:p>
    <w:p w14:paraId="7EF9E940" w14:textId="77777777" w:rsidR="009948F1" w:rsidRDefault="00BC0563">
      <w:pPr>
        <w:tabs>
          <w:tab w:val="left" w:pos="1587"/>
        </w:tabs>
        <w:spacing w:before="13"/>
        <w:ind w:left="147"/>
        <w:rPr>
          <w:sz w:val="24"/>
        </w:rPr>
      </w:pPr>
      <w:r>
        <w:rPr>
          <w:color w:val="231F20"/>
          <w:sz w:val="24"/>
        </w:rPr>
        <w:t>SP</w:t>
      </w:r>
      <w:r>
        <w:rPr>
          <w:color w:val="231F20"/>
          <w:sz w:val="24"/>
        </w:rPr>
        <w:tab/>
      </w:r>
      <w:proofErr w:type="spellStart"/>
      <w:r>
        <w:rPr>
          <w:color w:val="231F20"/>
          <w:sz w:val="24"/>
        </w:rPr>
        <w:t>Sulphadoxine</w:t>
      </w:r>
      <w:proofErr w:type="spellEnd"/>
      <w:r>
        <w:rPr>
          <w:color w:val="231F20"/>
          <w:spacing w:val="-27"/>
          <w:sz w:val="24"/>
        </w:rPr>
        <w:t xml:space="preserve"> </w:t>
      </w:r>
      <w:r>
        <w:rPr>
          <w:color w:val="231F20"/>
          <w:sz w:val="24"/>
        </w:rPr>
        <w:t>Pyrimethamine</w:t>
      </w:r>
    </w:p>
    <w:p w14:paraId="54763E2D" w14:textId="77777777" w:rsidR="009948F1" w:rsidRDefault="00BC0563">
      <w:pPr>
        <w:tabs>
          <w:tab w:val="left" w:pos="1587"/>
        </w:tabs>
        <w:spacing w:before="13" w:line="252" w:lineRule="auto"/>
        <w:ind w:left="147" w:right="3927"/>
        <w:rPr>
          <w:sz w:val="24"/>
        </w:rPr>
      </w:pPr>
      <w:r>
        <w:rPr>
          <w:color w:val="231F20"/>
          <w:sz w:val="24"/>
        </w:rPr>
        <w:t>SPDC</w:t>
      </w:r>
      <w:r>
        <w:rPr>
          <w:color w:val="231F20"/>
          <w:sz w:val="24"/>
        </w:rPr>
        <w:tab/>
        <w:t>Shell</w:t>
      </w:r>
      <w:r>
        <w:rPr>
          <w:color w:val="231F20"/>
          <w:spacing w:val="-26"/>
          <w:sz w:val="24"/>
        </w:rPr>
        <w:t xml:space="preserve"> </w:t>
      </w:r>
      <w:r>
        <w:rPr>
          <w:color w:val="231F20"/>
          <w:sz w:val="24"/>
        </w:rPr>
        <w:t>Petroleum</w:t>
      </w:r>
      <w:r>
        <w:rPr>
          <w:color w:val="231F20"/>
          <w:spacing w:val="-26"/>
          <w:sz w:val="24"/>
        </w:rPr>
        <w:t xml:space="preserve"> </w:t>
      </w:r>
      <w:r>
        <w:rPr>
          <w:color w:val="231F20"/>
          <w:sz w:val="24"/>
        </w:rPr>
        <w:t>Development</w:t>
      </w:r>
      <w:r>
        <w:rPr>
          <w:color w:val="231F20"/>
          <w:spacing w:val="-26"/>
          <w:sz w:val="24"/>
        </w:rPr>
        <w:t xml:space="preserve"> </w:t>
      </w:r>
      <w:r>
        <w:rPr>
          <w:color w:val="231F20"/>
          <w:spacing w:val="-3"/>
          <w:sz w:val="24"/>
        </w:rPr>
        <w:t xml:space="preserve">Company </w:t>
      </w:r>
      <w:r>
        <w:rPr>
          <w:color w:val="231F20"/>
          <w:sz w:val="24"/>
        </w:rPr>
        <w:t>SPT</w:t>
      </w:r>
      <w:r>
        <w:rPr>
          <w:color w:val="231F20"/>
          <w:sz w:val="24"/>
        </w:rPr>
        <w:tab/>
        <w:t>State</w:t>
      </w:r>
      <w:r>
        <w:rPr>
          <w:color w:val="231F20"/>
          <w:spacing w:val="-27"/>
          <w:sz w:val="24"/>
        </w:rPr>
        <w:t xml:space="preserve"> </w:t>
      </w:r>
      <w:r>
        <w:rPr>
          <w:color w:val="231F20"/>
          <w:sz w:val="24"/>
        </w:rPr>
        <w:t>Planning</w:t>
      </w:r>
      <w:r>
        <w:rPr>
          <w:color w:val="231F20"/>
          <w:spacing w:val="-31"/>
          <w:sz w:val="24"/>
        </w:rPr>
        <w:t xml:space="preserve"> </w:t>
      </w:r>
      <w:r>
        <w:rPr>
          <w:color w:val="231F20"/>
          <w:spacing w:val="-7"/>
          <w:sz w:val="24"/>
        </w:rPr>
        <w:t>Team</w:t>
      </w:r>
    </w:p>
    <w:p w14:paraId="573C1CFD" w14:textId="77777777" w:rsidR="009948F1" w:rsidRDefault="009948F1">
      <w:pPr>
        <w:spacing w:line="252" w:lineRule="auto"/>
        <w:rPr>
          <w:sz w:val="24"/>
        </w:rPr>
        <w:sectPr w:rsidR="009948F1">
          <w:pgSz w:w="11910" w:h="16840"/>
          <w:pgMar w:top="1240" w:right="1080" w:bottom="1420" w:left="1120" w:header="0" w:footer="1235" w:gutter="0"/>
          <w:cols w:space="720"/>
        </w:sectPr>
      </w:pPr>
    </w:p>
    <w:p w14:paraId="3830EB2E" w14:textId="77777777" w:rsidR="009948F1" w:rsidRDefault="00BC0563">
      <w:pPr>
        <w:tabs>
          <w:tab w:val="left" w:pos="1606"/>
        </w:tabs>
        <w:spacing w:before="47" w:line="268" w:lineRule="auto"/>
        <w:ind w:left="166" w:right="3667"/>
        <w:rPr>
          <w:sz w:val="24"/>
        </w:rPr>
      </w:pPr>
      <w:bookmarkStart w:id="8" w:name="Page_9"/>
      <w:bookmarkEnd w:id="8"/>
      <w:r>
        <w:rPr>
          <w:color w:val="231F20"/>
          <w:sz w:val="24"/>
        </w:rPr>
        <w:lastRenderedPageBreak/>
        <w:t>SSHDP</w:t>
      </w:r>
      <w:r>
        <w:rPr>
          <w:color w:val="231F20"/>
          <w:spacing w:val="-31"/>
          <w:sz w:val="24"/>
        </w:rPr>
        <w:t xml:space="preserve"> </w:t>
      </w:r>
      <w:r>
        <w:rPr>
          <w:color w:val="231F20"/>
          <w:sz w:val="24"/>
        </w:rPr>
        <w:t>II</w:t>
      </w:r>
      <w:r>
        <w:rPr>
          <w:color w:val="231F20"/>
          <w:sz w:val="24"/>
        </w:rPr>
        <w:tab/>
        <w:t>State</w:t>
      </w:r>
      <w:r>
        <w:rPr>
          <w:color w:val="231F20"/>
          <w:spacing w:val="-27"/>
          <w:sz w:val="24"/>
        </w:rPr>
        <w:t xml:space="preserve"> </w:t>
      </w:r>
      <w:r>
        <w:rPr>
          <w:color w:val="231F20"/>
          <w:sz w:val="24"/>
        </w:rPr>
        <w:t>Strategic</w:t>
      </w:r>
      <w:r>
        <w:rPr>
          <w:color w:val="231F20"/>
          <w:spacing w:val="-27"/>
          <w:sz w:val="24"/>
        </w:rPr>
        <w:t xml:space="preserve"> </w:t>
      </w:r>
      <w:r>
        <w:rPr>
          <w:color w:val="231F20"/>
          <w:sz w:val="24"/>
        </w:rPr>
        <w:t>Health</w:t>
      </w:r>
      <w:r>
        <w:rPr>
          <w:color w:val="231F20"/>
          <w:spacing w:val="-27"/>
          <w:sz w:val="24"/>
        </w:rPr>
        <w:t xml:space="preserve"> </w:t>
      </w:r>
      <w:r>
        <w:rPr>
          <w:color w:val="231F20"/>
          <w:sz w:val="24"/>
        </w:rPr>
        <w:t>Development</w:t>
      </w:r>
      <w:r>
        <w:rPr>
          <w:color w:val="231F20"/>
          <w:spacing w:val="-27"/>
          <w:sz w:val="24"/>
        </w:rPr>
        <w:t xml:space="preserve"> </w:t>
      </w:r>
      <w:r>
        <w:rPr>
          <w:color w:val="231F20"/>
          <w:sz w:val="24"/>
        </w:rPr>
        <w:t>Plan</w:t>
      </w:r>
      <w:r>
        <w:rPr>
          <w:color w:val="231F20"/>
          <w:spacing w:val="-27"/>
          <w:sz w:val="24"/>
        </w:rPr>
        <w:t xml:space="preserve"> </w:t>
      </w:r>
      <w:r>
        <w:rPr>
          <w:color w:val="231F20"/>
          <w:spacing w:val="-8"/>
          <w:sz w:val="24"/>
        </w:rPr>
        <w:t xml:space="preserve">II </w:t>
      </w:r>
      <w:r>
        <w:rPr>
          <w:color w:val="231F20"/>
          <w:sz w:val="24"/>
        </w:rPr>
        <w:t>STG</w:t>
      </w:r>
      <w:r>
        <w:rPr>
          <w:color w:val="231F20"/>
          <w:sz w:val="24"/>
        </w:rPr>
        <w:tab/>
        <w:t>Standard</w:t>
      </w:r>
      <w:r>
        <w:rPr>
          <w:color w:val="231F20"/>
          <w:spacing w:val="-32"/>
          <w:sz w:val="24"/>
        </w:rPr>
        <w:t xml:space="preserve"> </w:t>
      </w:r>
      <w:r>
        <w:rPr>
          <w:color w:val="231F20"/>
          <w:sz w:val="24"/>
        </w:rPr>
        <w:t>Treatment</w:t>
      </w:r>
      <w:r>
        <w:rPr>
          <w:color w:val="231F20"/>
          <w:spacing w:val="-27"/>
          <w:sz w:val="24"/>
        </w:rPr>
        <w:t xml:space="preserve"> </w:t>
      </w:r>
      <w:r>
        <w:rPr>
          <w:color w:val="231F20"/>
          <w:sz w:val="24"/>
        </w:rPr>
        <w:t>Guideline</w:t>
      </w:r>
    </w:p>
    <w:p w14:paraId="47BB1250" w14:textId="77777777" w:rsidR="009948F1" w:rsidRDefault="00BC0563">
      <w:pPr>
        <w:tabs>
          <w:tab w:val="left" w:pos="1606"/>
        </w:tabs>
        <w:spacing w:before="2" w:line="268" w:lineRule="auto"/>
        <w:ind w:left="166" w:right="5375"/>
        <w:rPr>
          <w:sz w:val="24"/>
        </w:rPr>
      </w:pPr>
      <w:r>
        <w:rPr>
          <w:color w:val="231F20"/>
          <w:sz w:val="24"/>
        </w:rPr>
        <w:t>STM</w:t>
      </w:r>
      <w:r>
        <w:rPr>
          <w:color w:val="231F20"/>
          <w:sz w:val="24"/>
        </w:rPr>
        <w:tab/>
        <w:t xml:space="preserve">State </w:t>
      </w:r>
      <w:r>
        <w:rPr>
          <w:color w:val="231F20"/>
          <w:spacing w:val="-7"/>
          <w:sz w:val="24"/>
        </w:rPr>
        <w:t xml:space="preserve">Team </w:t>
      </w:r>
      <w:r>
        <w:rPr>
          <w:color w:val="231F20"/>
          <w:sz w:val="24"/>
        </w:rPr>
        <w:t>Members SWAPS</w:t>
      </w:r>
      <w:r>
        <w:rPr>
          <w:color w:val="231F20"/>
          <w:sz w:val="24"/>
        </w:rPr>
        <w:tab/>
        <w:t>Sector</w:t>
      </w:r>
      <w:r>
        <w:rPr>
          <w:color w:val="231F20"/>
          <w:spacing w:val="-37"/>
          <w:sz w:val="24"/>
        </w:rPr>
        <w:t xml:space="preserve"> </w:t>
      </w:r>
      <w:r>
        <w:rPr>
          <w:color w:val="231F20"/>
          <w:sz w:val="24"/>
        </w:rPr>
        <w:t>–Wide</w:t>
      </w:r>
      <w:r>
        <w:rPr>
          <w:color w:val="231F20"/>
          <w:spacing w:val="-47"/>
          <w:sz w:val="24"/>
        </w:rPr>
        <w:t xml:space="preserve"> </w:t>
      </w:r>
      <w:r>
        <w:rPr>
          <w:color w:val="231F20"/>
          <w:sz w:val="24"/>
        </w:rPr>
        <w:t>Approaches</w:t>
      </w:r>
    </w:p>
    <w:p w14:paraId="6EBA4F4A" w14:textId="77777777" w:rsidR="009948F1" w:rsidRDefault="00BC0563">
      <w:pPr>
        <w:tabs>
          <w:tab w:val="left" w:pos="1606"/>
        </w:tabs>
        <w:spacing w:before="1" w:line="268" w:lineRule="auto"/>
        <w:ind w:left="166" w:right="2769"/>
        <w:rPr>
          <w:sz w:val="24"/>
        </w:rPr>
      </w:pPr>
      <w:r>
        <w:rPr>
          <w:color w:val="231F20"/>
          <w:sz w:val="24"/>
        </w:rPr>
        <w:t>SWOT</w:t>
      </w:r>
      <w:r>
        <w:rPr>
          <w:color w:val="231F20"/>
          <w:sz w:val="24"/>
        </w:rPr>
        <w:tab/>
        <w:t>Strengths,</w:t>
      </w:r>
      <w:r>
        <w:rPr>
          <w:color w:val="231F20"/>
          <w:spacing w:val="-27"/>
          <w:sz w:val="24"/>
        </w:rPr>
        <w:t xml:space="preserve"> </w:t>
      </w:r>
      <w:r>
        <w:rPr>
          <w:color w:val="231F20"/>
          <w:sz w:val="24"/>
        </w:rPr>
        <w:t>Weaknesses,</w:t>
      </w:r>
      <w:r>
        <w:rPr>
          <w:color w:val="231F20"/>
          <w:spacing w:val="-27"/>
          <w:sz w:val="24"/>
        </w:rPr>
        <w:t xml:space="preserve"> </w:t>
      </w:r>
      <w:r>
        <w:rPr>
          <w:color w:val="231F20"/>
          <w:sz w:val="24"/>
        </w:rPr>
        <w:t>Opportunities</w:t>
      </w:r>
      <w:r>
        <w:rPr>
          <w:color w:val="231F20"/>
          <w:spacing w:val="-27"/>
          <w:sz w:val="24"/>
        </w:rPr>
        <w:t xml:space="preserve"> </w:t>
      </w:r>
      <w:r>
        <w:rPr>
          <w:color w:val="231F20"/>
          <w:sz w:val="24"/>
        </w:rPr>
        <w:t>and</w:t>
      </w:r>
      <w:r>
        <w:rPr>
          <w:color w:val="231F20"/>
          <w:spacing w:val="-31"/>
          <w:sz w:val="24"/>
        </w:rPr>
        <w:t xml:space="preserve"> </w:t>
      </w:r>
      <w:r>
        <w:rPr>
          <w:color w:val="231F20"/>
          <w:spacing w:val="-3"/>
          <w:sz w:val="24"/>
        </w:rPr>
        <w:t xml:space="preserve">Threats </w:t>
      </w:r>
      <w:r>
        <w:rPr>
          <w:color w:val="231F20"/>
          <w:sz w:val="24"/>
        </w:rPr>
        <w:t>TBAs</w:t>
      </w:r>
      <w:r>
        <w:rPr>
          <w:color w:val="231F20"/>
          <w:sz w:val="24"/>
        </w:rPr>
        <w:tab/>
        <w:t>Traditional</w:t>
      </w:r>
      <w:r>
        <w:rPr>
          <w:color w:val="231F20"/>
          <w:spacing w:val="-28"/>
          <w:sz w:val="24"/>
        </w:rPr>
        <w:t xml:space="preserve"> </w:t>
      </w:r>
      <w:r>
        <w:rPr>
          <w:color w:val="231F20"/>
          <w:sz w:val="24"/>
        </w:rPr>
        <w:t>Birth</w:t>
      </w:r>
      <w:r>
        <w:rPr>
          <w:color w:val="231F20"/>
          <w:spacing w:val="-40"/>
          <w:sz w:val="24"/>
        </w:rPr>
        <w:t xml:space="preserve"> </w:t>
      </w:r>
      <w:r>
        <w:rPr>
          <w:color w:val="231F20"/>
          <w:sz w:val="24"/>
        </w:rPr>
        <w:t>Attendants</w:t>
      </w:r>
    </w:p>
    <w:p w14:paraId="7C80CDFA" w14:textId="77777777" w:rsidR="009948F1" w:rsidRDefault="00BC0563">
      <w:pPr>
        <w:tabs>
          <w:tab w:val="left" w:pos="1606"/>
        </w:tabs>
        <w:spacing w:before="1" w:line="268" w:lineRule="auto"/>
        <w:ind w:left="166" w:right="4344"/>
        <w:rPr>
          <w:sz w:val="24"/>
        </w:rPr>
      </w:pPr>
      <w:r>
        <w:rPr>
          <w:color w:val="231F20"/>
          <w:sz w:val="24"/>
        </w:rPr>
        <w:t>TBLS</w:t>
      </w:r>
      <w:r>
        <w:rPr>
          <w:color w:val="231F20"/>
          <w:sz w:val="24"/>
        </w:rPr>
        <w:tab/>
        <w:t>Tuberculosis</w:t>
      </w:r>
      <w:r>
        <w:rPr>
          <w:color w:val="231F20"/>
          <w:spacing w:val="-34"/>
          <w:sz w:val="24"/>
        </w:rPr>
        <w:t xml:space="preserve"> </w:t>
      </w:r>
      <w:r>
        <w:rPr>
          <w:color w:val="231F20"/>
          <w:sz w:val="24"/>
        </w:rPr>
        <w:t>&amp;</w:t>
      </w:r>
      <w:r>
        <w:rPr>
          <w:color w:val="231F20"/>
          <w:spacing w:val="-34"/>
          <w:sz w:val="24"/>
        </w:rPr>
        <w:t xml:space="preserve"> </w:t>
      </w:r>
      <w:r>
        <w:rPr>
          <w:color w:val="231F20"/>
          <w:sz w:val="24"/>
        </w:rPr>
        <w:t>Leprosy</w:t>
      </w:r>
      <w:r>
        <w:rPr>
          <w:color w:val="231F20"/>
          <w:spacing w:val="-34"/>
          <w:sz w:val="24"/>
        </w:rPr>
        <w:t xml:space="preserve"> </w:t>
      </w:r>
      <w:r>
        <w:rPr>
          <w:color w:val="231F20"/>
          <w:sz w:val="24"/>
        </w:rPr>
        <w:t>Supervisors TMB</w:t>
      </w:r>
      <w:r>
        <w:rPr>
          <w:color w:val="231F20"/>
          <w:sz w:val="24"/>
        </w:rPr>
        <w:tab/>
        <w:t>Traditional Medicine</w:t>
      </w:r>
      <w:r>
        <w:rPr>
          <w:color w:val="231F20"/>
          <w:spacing w:val="-55"/>
          <w:sz w:val="24"/>
        </w:rPr>
        <w:t xml:space="preserve"> </w:t>
      </w:r>
      <w:r>
        <w:rPr>
          <w:color w:val="231F20"/>
          <w:sz w:val="24"/>
        </w:rPr>
        <w:t>Board</w:t>
      </w:r>
    </w:p>
    <w:p w14:paraId="746AF903" w14:textId="77777777" w:rsidR="009948F1" w:rsidRDefault="00BC0563">
      <w:pPr>
        <w:tabs>
          <w:tab w:val="left" w:pos="1606"/>
        </w:tabs>
        <w:spacing w:before="2"/>
        <w:ind w:left="166"/>
        <w:rPr>
          <w:sz w:val="24"/>
        </w:rPr>
      </w:pPr>
      <w:r>
        <w:rPr>
          <w:color w:val="231F20"/>
          <w:sz w:val="24"/>
        </w:rPr>
        <w:t>TOT</w:t>
      </w:r>
      <w:r>
        <w:rPr>
          <w:color w:val="231F20"/>
          <w:sz w:val="24"/>
        </w:rPr>
        <w:tab/>
        <w:t>Training</w:t>
      </w:r>
      <w:r>
        <w:rPr>
          <w:color w:val="231F20"/>
          <w:spacing w:val="-28"/>
          <w:sz w:val="24"/>
        </w:rPr>
        <w:t xml:space="preserve"> </w:t>
      </w:r>
      <w:r>
        <w:rPr>
          <w:color w:val="231F20"/>
          <w:sz w:val="24"/>
        </w:rPr>
        <w:t>of</w:t>
      </w:r>
      <w:r>
        <w:rPr>
          <w:color w:val="231F20"/>
          <w:spacing w:val="-31"/>
          <w:sz w:val="24"/>
        </w:rPr>
        <w:t xml:space="preserve"> </w:t>
      </w:r>
      <w:r>
        <w:rPr>
          <w:color w:val="231F20"/>
          <w:sz w:val="24"/>
        </w:rPr>
        <w:t>Trainer</w:t>
      </w:r>
    </w:p>
    <w:p w14:paraId="46DFD868" w14:textId="77777777" w:rsidR="009948F1" w:rsidRDefault="00BC0563">
      <w:pPr>
        <w:tabs>
          <w:tab w:val="left" w:pos="1606"/>
        </w:tabs>
        <w:spacing w:before="33" w:line="268" w:lineRule="auto"/>
        <w:ind w:left="166" w:right="5335"/>
        <w:rPr>
          <w:sz w:val="24"/>
        </w:rPr>
      </w:pPr>
      <w:r>
        <w:rPr>
          <w:color w:val="231F20"/>
          <w:sz w:val="24"/>
        </w:rPr>
        <w:t>TSTS</w:t>
      </w:r>
      <w:r>
        <w:rPr>
          <w:color w:val="231F20"/>
          <w:sz w:val="24"/>
        </w:rPr>
        <w:tab/>
      </w:r>
      <w:r>
        <w:rPr>
          <w:color w:val="231F20"/>
          <w:spacing w:val="-7"/>
          <w:sz w:val="24"/>
        </w:rPr>
        <w:t xml:space="preserve">Task </w:t>
      </w:r>
      <w:r>
        <w:rPr>
          <w:color w:val="231F20"/>
          <w:spacing w:val="-3"/>
          <w:sz w:val="24"/>
        </w:rPr>
        <w:t>Shifting/Task</w:t>
      </w:r>
      <w:r>
        <w:rPr>
          <w:color w:val="231F20"/>
          <w:spacing w:val="-33"/>
          <w:sz w:val="24"/>
        </w:rPr>
        <w:t xml:space="preserve"> </w:t>
      </w:r>
      <w:r>
        <w:rPr>
          <w:color w:val="231F20"/>
          <w:spacing w:val="-3"/>
          <w:sz w:val="24"/>
        </w:rPr>
        <w:t xml:space="preserve">Sharing </w:t>
      </w:r>
      <w:r>
        <w:rPr>
          <w:color w:val="231F20"/>
          <w:sz w:val="24"/>
        </w:rPr>
        <w:t>TWG</w:t>
      </w:r>
      <w:r>
        <w:rPr>
          <w:color w:val="231F20"/>
          <w:sz w:val="24"/>
        </w:rPr>
        <w:tab/>
      </w:r>
      <w:r>
        <w:rPr>
          <w:color w:val="231F20"/>
          <w:spacing w:val="-3"/>
          <w:sz w:val="24"/>
        </w:rPr>
        <w:t xml:space="preserve">Technical </w:t>
      </w:r>
      <w:r>
        <w:rPr>
          <w:color w:val="231F20"/>
          <w:sz w:val="24"/>
        </w:rPr>
        <w:t>Working</w:t>
      </w:r>
      <w:r>
        <w:rPr>
          <w:color w:val="231F20"/>
          <w:spacing w:val="-53"/>
          <w:sz w:val="24"/>
        </w:rPr>
        <w:t xml:space="preserve"> </w:t>
      </w:r>
      <w:r>
        <w:rPr>
          <w:color w:val="231F20"/>
          <w:sz w:val="24"/>
        </w:rPr>
        <w:t>Group</w:t>
      </w:r>
    </w:p>
    <w:p w14:paraId="147DF26A" w14:textId="77777777" w:rsidR="009948F1" w:rsidRDefault="00BC0563">
      <w:pPr>
        <w:tabs>
          <w:tab w:val="left" w:pos="1606"/>
        </w:tabs>
        <w:spacing w:before="2" w:line="268" w:lineRule="auto"/>
        <w:ind w:left="166" w:right="4862"/>
        <w:rPr>
          <w:sz w:val="24"/>
        </w:rPr>
      </w:pPr>
      <w:r>
        <w:rPr>
          <w:color w:val="231F20"/>
          <w:sz w:val="24"/>
        </w:rPr>
        <w:t>UHC</w:t>
      </w:r>
      <w:r>
        <w:rPr>
          <w:color w:val="231F20"/>
          <w:sz w:val="24"/>
        </w:rPr>
        <w:tab/>
        <w:t>Universal Health Coverage UNICEF</w:t>
      </w:r>
      <w:r>
        <w:rPr>
          <w:color w:val="231F20"/>
          <w:sz w:val="24"/>
        </w:rPr>
        <w:tab/>
        <w:t>United</w:t>
      </w:r>
      <w:r>
        <w:rPr>
          <w:color w:val="231F20"/>
          <w:spacing w:val="-27"/>
          <w:sz w:val="24"/>
        </w:rPr>
        <w:t xml:space="preserve"> </w:t>
      </w:r>
      <w:r>
        <w:rPr>
          <w:color w:val="231F20"/>
          <w:sz w:val="24"/>
        </w:rPr>
        <w:t>Nations</w:t>
      </w:r>
      <w:r>
        <w:rPr>
          <w:color w:val="231F20"/>
          <w:spacing w:val="-27"/>
          <w:sz w:val="24"/>
        </w:rPr>
        <w:t xml:space="preserve"> </w:t>
      </w:r>
      <w:r>
        <w:rPr>
          <w:color w:val="231F20"/>
          <w:sz w:val="24"/>
        </w:rPr>
        <w:t>Children's</w:t>
      </w:r>
      <w:r>
        <w:rPr>
          <w:color w:val="231F20"/>
          <w:spacing w:val="-27"/>
          <w:sz w:val="24"/>
        </w:rPr>
        <w:t xml:space="preserve"> </w:t>
      </w:r>
      <w:r>
        <w:rPr>
          <w:color w:val="231F20"/>
          <w:spacing w:val="-4"/>
          <w:sz w:val="24"/>
        </w:rPr>
        <w:t>Fund</w:t>
      </w:r>
    </w:p>
    <w:p w14:paraId="3EC97DD0" w14:textId="77777777" w:rsidR="009948F1" w:rsidRDefault="00BC0563">
      <w:pPr>
        <w:tabs>
          <w:tab w:val="left" w:pos="1606"/>
        </w:tabs>
        <w:spacing w:before="1" w:line="268" w:lineRule="auto"/>
        <w:ind w:left="166" w:right="2720"/>
        <w:rPr>
          <w:sz w:val="24"/>
        </w:rPr>
      </w:pPr>
      <w:r>
        <w:rPr>
          <w:color w:val="231F20"/>
          <w:sz w:val="24"/>
        </w:rPr>
        <w:t>UPTH</w:t>
      </w:r>
      <w:r>
        <w:rPr>
          <w:color w:val="231F20"/>
          <w:sz w:val="24"/>
        </w:rPr>
        <w:tab/>
        <w:t xml:space="preserve">University of Port Harcourt </w:t>
      </w:r>
      <w:r>
        <w:rPr>
          <w:color w:val="231F20"/>
          <w:spacing w:val="-4"/>
          <w:sz w:val="24"/>
        </w:rPr>
        <w:t xml:space="preserve">Teaching </w:t>
      </w:r>
      <w:r>
        <w:rPr>
          <w:color w:val="231F20"/>
          <w:sz w:val="24"/>
        </w:rPr>
        <w:t>Hospital USAID</w:t>
      </w:r>
      <w:r>
        <w:rPr>
          <w:color w:val="231F20"/>
          <w:sz w:val="24"/>
        </w:rPr>
        <w:tab/>
        <w:t>United</w:t>
      </w:r>
      <w:r>
        <w:rPr>
          <w:color w:val="231F20"/>
          <w:spacing w:val="-30"/>
          <w:sz w:val="24"/>
        </w:rPr>
        <w:t xml:space="preserve"> </w:t>
      </w:r>
      <w:r>
        <w:rPr>
          <w:color w:val="231F20"/>
          <w:sz w:val="24"/>
        </w:rPr>
        <w:t>States</w:t>
      </w:r>
      <w:r>
        <w:rPr>
          <w:color w:val="231F20"/>
          <w:spacing w:val="-42"/>
          <w:sz w:val="24"/>
        </w:rPr>
        <w:t xml:space="preserve"> </w:t>
      </w:r>
      <w:r>
        <w:rPr>
          <w:color w:val="231F20"/>
          <w:sz w:val="24"/>
        </w:rPr>
        <w:t>Agency</w:t>
      </w:r>
      <w:r>
        <w:rPr>
          <w:color w:val="231F20"/>
          <w:spacing w:val="-30"/>
          <w:sz w:val="24"/>
        </w:rPr>
        <w:t xml:space="preserve"> </w:t>
      </w:r>
      <w:r>
        <w:rPr>
          <w:color w:val="231F20"/>
          <w:sz w:val="24"/>
        </w:rPr>
        <w:t>for</w:t>
      </w:r>
      <w:r>
        <w:rPr>
          <w:color w:val="231F20"/>
          <w:spacing w:val="-30"/>
          <w:sz w:val="24"/>
        </w:rPr>
        <w:t xml:space="preserve"> </w:t>
      </w:r>
      <w:r>
        <w:rPr>
          <w:color w:val="231F20"/>
          <w:sz w:val="24"/>
        </w:rPr>
        <w:t>International</w:t>
      </w:r>
      <w:r>
        <w:rPr>
          <w:color w:val="231F20"/>
          <w:spacing w:val="-30"/>
          <w:sz w:val="24"/>
        </w:rPr>
        <w:t xml:space="preserve"> </w:t>
      </w:r>
      <w:r>
        <w:rPr>
          <w:color w:val="231F20"/>
          <w:sz w:val="24"/>
        </w:rPr>
        <w:t>Development VDCs</w:t>
      </w:r>
      <w:r>
        <w:rPr>
          <w:color w:val="231F20"/>
          <w:sz w:val="24"/>
        </w:rPr>
        <w:tab/>
        <w:t>Village Development</w:t>
      </w:r>
      <w:r>
        <w:rPr>
          <w:color w:val="231F20"/>
          <w:spacing w:val="-55"/>
          <w:sz w:val="24"/>
        </w:rPr>
        <w:t xml:space="preserve"> </w:t>
      </w:r>
      <w:r>
        <w:rPr>
          <w:color w:val="231F20"/>
          <w:sz w:val="24"/>
        </w:rPr>
        <w:t>Committees</w:t>
      </w:r>
    </w:p>
    <w:p w14:paraId="52EC5BF8" w14:textId="77777777" w:rsidR="009948F1" w:rsidRDefault="00BC0563">
      <w:pPr>
        <w:tabs>
          <w:tab w:val="left" w:pos="1606"/>
        </w:tabs>
        <w:spacing w:before="2"/>
        <w:ind w:left="166"/>
        <w:rPr>
          <w:sz w:val="24"/>
        </w:rPr>
      </w:pPr>
      <w:r>
        <w:rPr>
          <w:color w:val="231F20"/>
          <w:sz w:val="24"/>
        </w:rPr>
        <w:t>VHC</w:t>
      </w:r>
      <w:r>
        <w:rPr>
          <w:color w:val="231F20"/>
          <w:sz w:val="24"/>
        </w:rPr>
        <w:tab/>
        <w:t>Village Health</w:t>
      </w:r>
      <w:r>
        <w:rPr>
          <w:color w:val="231F20"/>
          <w:spacing w:val="-55"/>
          <w:sz w:val="24"/>
        </w:rPr>
        <w:t xml:space="preserve"> </w:t>
      </w:r>
      <w:r>
        <w:rPr>
          <w:color w:val="231F20"/>
          <w:sz w:val="24"/>
        </w:rPr>
        <w:t>Committees</w:t>
      </w:r>
    </w:p>
    <w:p w14:paraId="509116E7" w14:textId="77777777" w:rsidR="009948F1" w:rsidRDefault="00BC0563">
      <w:pPr>
        <w:tabs>
          <w:tab w:val="left" w:pos="1606"/>
        </w:tabs>
        <w:spacing w:before="34"/>
        <w:ind w:left="166"/>
        <w:rPr>
          <w:sz w:val="24"/>
        </w:rPr>
      </w:pPr>
      <w:r>
        <w:rPr>
          <w:color w:val="231F20"/>
          <w:sz w:val="24"/>
        </w:rPr>
        <w:t>VHF</w:t>
      </w:r>
      <w:r>
        <w:rPr>
          <w:color w:val="231F20"/>
          <w:sz w:val="24"/>
        </w:rPr>
        <w:tab/>
        <w:t xml:space="preserve">Viral </w:t>
      </w:r>
      <w:proofErr w:type="spellStart"/>
      <w:r>
        <w:rPr>
          <w:color w:val="231F20"/>
          <w:sz w:val="24"/>
        </w:rPr>
        <w:t>Haemorrhagic</w:t>
      </w:r>
      <w:proofErr w:type="spellEnd"/>
      <w:r>
        <w:rPr>
          <w:color w:val="231F20"/>
          <w:spacing w:val="-55"/>
          <w:sz w:val="24"/>
        </w:rPr>
        <w:t xml:space="preserve"> </w:t>
      </w:r>
      <w:r>
        <w:rPr>
          <w:color w:val="231F20"/>
          <w:sz w:val="24"/>
        </w:rPr>
        <w:t>Fever</w:t>
      </w:r>
    </w:p>
    <w:p w14:paraId="692885A4" w14:textId="77777777" w:rsidR="009948F1" w:rsidRDefault="00BC0563">
      <w:pPr>
        <w:tabs>
          <w:tab w:val="left" w:pos="1606"/>
        </w:tabs>
        <w:spacing w:before="33" w:line="268" w:lineRule="auto"/>
        <w:ind w:left="166" w:right="4499"/>
        <w:rPr>
          <w:sz w:val="24"/>
        </w:rPr>
      </w:pPr>
      <w:r>
        <w:rPr>
          <w:color w:val="231F20"/>
          <w:spacing w:val="-3"/>
          <w:sz w:val="24"/>
        </w:rPr>
        <w:t>WACP</w:t>
      </w:r>
      <w:r>
        <w:rPr>
          <w:color w:val="231F20"/>
          <w:spacing w:val="-3"/>
          <w:sz w:val="24"/>
        </w:rPr>
        <w:tab/>
      </w:r>
      <w:r>
        <w:rPr>
          <w:color w:val="231F20"/>
          <w:sz w:val="24"/>
        </w:rPr>
        <w:t>West</w:t>
      </w:r>
      <w:r>
        <w:rPr>
          <w:color w:val="231F20"/>
          <w:spacing w:val="-44"/>
          <w:sz w:val="24"/>
        </w:rPr>
        <w:t xml:space="preserve"> </w:t>
      </w:r>
      <w:r>
        <w:rPr>
          <w:color w:val="231F20"/>
          <w:sz w:val="24"/>
        </w:rPr>
        <w:t>African</w:t>
      </w:r>
      <w:r>
        <w:rPr>
          <w:color w:val="231F20"/>
          <w:spacing w:val="-31"/>
          <w:sz w:val="24"/>
        </w:rPr>
        <w:t xml:space="preserve"> </w:t>
      </w:r>
      <w:r>
        <w:rPr>
          <w:color w:val="231F20"/>
          <w:sz w:val="24"/>
        </w:rPr>
        <w:t>College</w:t>
      </w:r>
      <w:r>
        <w:rPr>
          <w:color w:val="231F20"/>
          <w:spacing w:val="-32"/>
          <w:sz w:val="24"/>
        </w:rPr>
        <w:t xml:space="preserve"> </w:t>
      </w:r>
      <w:r>
        <w:rPr>
          <w:color w:val="231F20"/>
          <w:sz w:val="24"/>
        </w:rPr>
        <w:t>of</w:t>
      </w:r>
      <w:r>
        <w:rPr>
          <w:color w:val="231F20"/>
          <w:spacing w:val="-32"/>
          <w:sz w:val="24"/>
        </w:rPr>
        <w:t xml:space="preserve"> </w:t>
      </w:r>
      <w:r>
        <w:rPr>
          <w:color w:val="231F20"/>
          <w:sz w:val="24"/>
        </w:rPr>
        <w:t xml:space="preserve">Physicians </w:t>
      </w:r>
      <w:r>
        <w:rPr>
          <w:color w:val="231F20"/>
          <w:spacing w:val="-5"/>
          <w:sz w:val="24"/>
        </w:rPr>
        <w:t>WATSAN</w:t>
      </w:r>
      <w:r>
        <w:rPr>
          <w:color w:val="231F20"/>
          <w:spacing w:val="-5"/>
          <w:sz w:val="24"/>
        </w:rPr>
        <w:tab/>
      </w:r>
      <w:r>
        <w:rPr>
          <w:color w:val="231F20"/>
          <w:sz w:val="24"/>
        </w:rPr>
        <w:t>Water &amp;</w:t>
      </w:r>
      <w:r>
        <w:rPr>
          <w:color w:val="231F20"/>
          <w:spacing w:val="-55"/>
          <w:sz w:val="24"/>
        </w:rPr>
        <w:t xml:space="preserve"> </w:t>
      </w:r>
      <w:r>
        <w:rPr>
          <w:color w:val="231F20"/>
          <w:sz w:val="24"/>
        </w:rPr>
        <w:t>Sanitation</w:t>
      </w:r>
    </w:p>
    <w:p w14:paraId="529BC9BB" w14:textId="77777777" w:rsidR="009948F1" w:rsidRDefault="00BC0563">
      <w:pPr>
        <w:tabs>
          <w:tab w:val="left" w:pos="1606"/>
        </w:tabs>
        <w:spacing w:before="2" w:line="268" w:lineRule="auto"/>
        <w:ind w:left="166" w:right="4944"/>
        <w:rPr>
          <w:sz w:val="24"/>
        </w:rPr>
      </w:pPr>
      <w:r>
        <w:rPr>
          <w:color w:val="231F20"/>
          <w:spacing w:val="-3"/>
          <w:sz w:val="24"/>
        </w:rPr>
        <w:t>WASH</w:t>
      </w:r>
      <w:r>
        <w:rPr>
          <w:color w:val="231F20"/>
          <w:spacing w:val="-3"/>
          <w:sz w:val="24"/>
        </w:rPr>
        <w:tab/>
      </w:r>
      <w:r>
        <w:rPr>
          <w:color w:val="231F20"/>
          <w:spacing w:val="-4"/>
          <w:sz w:val="24"/>
        </w:rPr>
        <w:t>Water,</w:t>
      </w:r>
      <w:r>
        <w:rPr>
          <w:color w:val="231F20"/>
          <w:spacing w:val="-26"/>
          <w:sz w:val="24"/>
        </w:rPr>
        <w:t xml:space="preserve"> </w:t>
      </w:r>
      <w:r>
        <w:rPr>
          <w:color w:val="231F20"/>
          <w:sz w:val="24"/>
        </w:rPr>
        <w:t>Sanitation</w:t>
      </w:r>
      <w:r>
        <w:rPr>
          <w:color w:val="231F20"/>
          <w:spacing w:val="-25"/>
          <w:sz w:val="24"/>
        </w:rPr>
        <w:t xml:space="preserve"> </w:t>
      </w:r>
      <w:r>
        <w:rPr>
          <w:color w:val="231F20"/>
          <w:sz w:val="24"/>
        </w:rPr>
        <w:t>and</w:t>
      </w:r>
      <w:r>
        <w:rPr>
          <w:color w:val="231F20"/>
          <w:spacing w:val="-25"/>
          <w:sz w:val="24"/>
        </w:rPr>
        <w:t xml:space="preserve"> </w:t>
      </w:r>
      <w:r>
        <w:rPr>
          <w:color w:val="231F20"/>
          <w:spacing w:val="-3"/>
          <w:sz w:val="24"/>
        </w:rPr>
        <w:t xml:space="preserve">Hygiene </w:t>
      </w:r>
      <w:r>
        <w:rPr>
          <w:color w:val="231F20"/>
          <w:sz w:val="24"/>
        </w:rPr>
        <w:t>WB</w:t>
      </w:r>
      <w:r>
        <w:rPr>
          <w:color w:val="231F20"/>
          <w:sz w:val="24"/>
        </w:rPr>
        <w:tab/>
        <w:t>World</w:t>
      </w:r>
      <w:r>
        <w:rPr>
          <w:color w:val="231F20"/>
          <w:spacing w:val="-28"/>
          <w:sz w:val="24"/>
        </w:rPr>
        <w:t xml:space="preserve"> </w:t>
      </w:r>
      <w:r>
        <w:rPr>
          <w:color w:val="231F20"/>
          <w:sz w:val="24"/>
        </w:rPr>
        <w:t>Bank</w:t>
      </w:r>
    </w:p>
    <w:p w14:paraId="3D96ED04" w14:textId="77777777" w:rsidR="009948F1" w:rsidRDefault="00BC0563">
      <w:pPr>
        <w:tabs>
          <w:tab w:val="left" w:pos="1606"/>
        </w:tabs>
        <w:spacing w:before="1" w:line="268" w:lineRule="auto"/>
        <w:ind w:left="166" w:right="4878"/>
        <w:rPr>
          <w:sz w:val="24"/>
        </w:rPr>
      </w:pPr>
      <w:r>
        <w:rPr>
          <w:color w:val="231F20"/>
          <w:sz w:val="24"/>
        </w:rPr>
        <w:t>WDC</w:t>
      </w:r>
      <w:r>
        <w:rPr>
          <w:color w:val="231F20"/>
          <w:sz w:val="24"/>
        </w:rPr>
        <w:tab/>
      </w:r>
      <w:r>
        <w:rPr>
          <w:color w:val="231F20"/>
          <w:spacing w:val="-3"/>
          <w:sz w:val="24"/>
        </w:rPr>
        <w:t>Ward</w:t>
      </w:r>
      <w:r>
        <w:rPr>
          <w:color w:val="231F20"/>
          <w:spacing w:val="-33"/>
          <w:sz w:val="24"/>
        </w:rPr>
        <w:t xml:space="preserve"> </w:t>
      </w:r>
      <w:r>
        <w:rPr>
          <w:color w:val="231F20"/>
          <w:sz w:val="24"/>
        </w:rPr>
        <w:t>Development</w:t>
      </w:r>
      <w:r>
        <w:rPr>
          <w:color w:val="231F20"/>
          <w:spacing w:val="-32"/>
          <w:sz w:val="24"/>
        </w:rPr>
        <w:t xml:space="preserve"> </w:t>
      </w:r>
      <w:r>
        <w:rPr>
          <w:color w:val="231F20"/>
          <w:sz w:val="24"/>
        </w:rPr>
        <w:t>Committee WHO</w:t>
      </w:r>
      <w:r>
        <w:rPr>
          <w:color w:val="231F20"/>
          <w:sz w:val="24"/>
        </w:rPr>
        <w:tab/>
        <w:t>World Health</w:t>
      </w:r>
      <w:r>
        <w:rPr>
          <w:color w:val="231F20"/>
          <w:spacing w:val="-55"/>
          <w:sz w:val="24"/>
        </w:rPr>
        <w:t xml:space="preserve"> </w:t>
      </w:r>
      <w:r>
        <w:rPr>
          <w:color w:val="231F20"/>
          <w:sz w:val="24"/>
        </w:rPr>
        <w:t>Organization</w:t>
      </w:r>
    </w:p>
    <w:p w14:paraId="620F8360" w14:textId="77777777" w:rsidR="009948F1" w:rsidRDefault="00BC0563">
      <w:pPr>
        <w:tabs>
          <w:tab w:val="left" w:pos="1606"/>
        </w:tabs>
        <w:spacing w:before="1"/>
        <w:ind w:left="166"/>
        <w:rPr>
          <w:sz w:val="24"/>
        </w:rPr>
      </w:pPr>
      <w:r>
        <w:rPr>
          <w:color w:val="231F20"/>
          <w:sz w:val="24"/>
        </w:rPr>
        <w:t>WRAG</w:t>
      </w:r>
      <w:r>
        <w:rPr>
          <w:color w:val="231F20"/>
          <w:sz w:val="24"/>
        </w:rPr>
        <w:tab/>
        <w:t>Women</w:t>
      </w:r>
      <w:r>
        <w:rPr>
          <w:color w:val="231F20"/>
          <w:spacing w:val="-28"/>
          <w:sz w:val="24"/>
        </w:rPr>
        <w:t xml:space="preserve"> </w:t>
      </w:r>
      <w:r>
        <w:rPr>
          <w:color w:val="231F20"/>
          <w:sz w:val="24"/>
        </w:rPr>
        <w:t>of</w:t>
      </w:r>
      <w:r>
        <w:rPr>
          <w:color w:val="231F20"/>
          <w:spacing w:val="-27"/>
          <w:sz w:val="24"/>
        </w:rPr>
        <w:t xml:space="preserve"> </w:t>
      </w:r>
      <w:r>
        <w:rPr>
          <w:color w:val="231F20"/>
          <w:sz w:val="24"/>
        </w:rPr>
        <w:t>Reproductive</w:t>
      </w:r>
      <w:r>
        <w:rPr>
          <w:color w:val="231F20"/>
          <w:spacing w:val="-40"/>
          <w:sz w:val="24"/>
        </w:rPr>
        <w:t xml:space="preserve"> </w:t>
      </w:r>
      <w:r>
        <w:rPr>
          <w:color w:val="231F20"/>
          <w:sz w:val="24"/>
        </w:rPr>
        <w:t>Age</w:t>
      </w:r>
      <w:r>
        <w:rPr>
          <w:color w:val="231F20"/>
          <w:spacing w:val="-27"/>
          <w:sz w:val="24"/>
        </w:rPr>
        <w:t xml:space="preserve"> </w:t>
      </w:r>
      <w:r>
        <w:rPr>
          <w:color w:val="231F20"/>
          <w:sz w:val="24"/>
        </w:rPr>
        <w:t>Group.</w:t>
      </w:r>
    </w:p>
    <w:p w14:paraId="082FDA50" w14:textId="77777777" w:rsidR="009948F1" w:rsidRDefault="009948F1">
      <w:pPr>
        <w:rPr>
          <w:sz w:val="24"/>
        </w:rPr>
        <w:sectPr w:rsidR="009948F1">
          <w:pgSz w:w="11910" w:h="16840"/>
          <w:pgMar w:top="1220" w:right="1080" w:bottom="1420" w:left="1120" w:header="0" w:footer="1235" w:gutter="0"/>
          <w:cols w:space="720"/>
        </w:sectPr>
      </w:pPr>
    </w:p>
    <w:p w14:paraId="2ED6D9C6" w14:textId="77777777" w:rsidR="009948F1" w:rsidRDefault="00BC0563">
      <w:pPr>
        <w:pStyle w:val="Heading2"/>
        <w:spacing w:before="33"/>
        <w:ind w:right="1037"/>
      </w:pPr>
      <w:bookmarkStart w:id="9" w:name="_TOC_250043"/>
      <w:bookmarkEnd w:id="9"/>
      <w:r>
        <w:rPr>
          <w:color w:val="231F20"/>
        </w:rPr>
        <w:lastRenderedPageBreak/>
        <w:t>FOREWORD</w:t>
      </w:r>
    </w:p>
    <w:p w14:paraId="036D48F1" w14:textId="77777777" w:rsidR="009948F1" w:rsidRDefault="009948F1">
      <w:pPr>
        <w:pStyle w:val="BodyText"/>
        <w:rPr>
          <w:b/>
          <w:sz w:val="20"/>
        </w:rPr>
      </w:pPr>
    </w:p>
    <w:p w14:paraId="1293E805" w14:textId="77777777" w:rsidR="009948F1" w:rsidRDefault="009948F1">
      <w:pPr>
        <w:pStyle w:val="BodyText"/>
        <w:rPr>
          <w:b/>
          <w:sz w:val="20"/>
        </w:rPr>
      </w:pPr>
    </w:p>
    <w:p w14:paraId="4F38D092" w14:textId="77777777" w:rsidR="009948F1" w:rsidRDefault="00244DD0">
      <w:pPr>
        <w:pStyle w:val="BodyText"/>
        <w:spacing w:before="9"/>
        <w:rPr>
          <w:b/>
          <w:sz w:val="16"/>
        </w:rPr>
      </w:pPr>
      <w:r>
        <w:pict w14:anchorId="36C6F93D">
          <v:group id="_x0000_s2114" style="position:absolute;margin-left:59.75pt;margin-top:11.6pt;width:472.8pt;height:518.9pt;z-index:-15727616;mso-wrap-distance-left:0;mso-wrap-distance-right:0;mso-position-horizontal-relative:page" coordorigin="1195,232" coordsize="9456,10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1194;top:232;width:9456;height:10378">
              <v:imagedata r:id="rId10" o:title=""/>
            </v:shape>
            <v:shape id="_x0000_s2115" type="#_x0000_t75" style="position:absolute;left:1324;top:9120;width:3009;height:588">
              <v:imagedata r:id="rId11" o:title=""/>
            </v:shape>
            <w10:wrap type="topAndBottom" anchorx="page"/>
          </v:group>
        </w:pict>
      </w:r>
    </w:p>
    <w:p w14:paraId="51A65930" w14:textId="77777777" w:rsidR="009948F1" w:rsidRDefault="009948F1">
      <w:pPr>
        <w:rPr>
          <w:sz w:val="16"/>
        </w:rPr>
        <w:sectPr w:rsidR="009948F1">
          <w:pgSz w:w="11910" w:h="16840"/>
          <w:pgMar w:top="1340" w:right="1080" w:bottom="1420" w:left="1120" w:header="0" w:footer="1235" w:gutter="0"/>
          <w:cols w:space="720"/>
        </w:sectPr>
      </w:pPr>
    </w:p>
    <w:p w14:paraId="75B872B5" w14:textId="77777777" w:rsidR="009948F1" w:rsidRDefault="00244DD0">
      <w:pPr>
        <w:pStyle w:val="Heading2"/>
        <w:spacing w:before="31"/>
        <w:ind w:left="1022" w:right="1225"/>
      </w:pPr>
      <w:r>
        <w:lastRenderedPageBreak/>
        <w:pict w14:anchorId="0A54752D">
          <v:group id="_x0000_s2111" style="position:absolute;left:0;text-align:left;margin-left:45.05pt;margin-top:114.4pt;width:498.05pt;height:461.75pt;z-index:15730176;mso-position-horizontal-relative:page;mso-position-vertical-relative:page" coordorigin="901,2288" coordsize="9961,9235">
            <v:shape id="_x0000_s2113" type="#_x0000_t75" style="position:absolute;left:901;top:2287;width:9961;height:9235">
              <v:imagedata r:id="rId12" o:title=""/>
            </v:shape>
            <v:shape id="_x0000_s2112" type="#_x0000_t75" style="position:absolute;left:1636;top:9178;width:2146;height:929">
              <v:imagedata r:id="rId13" o:title=""/>
            </v:shape>
            <w10:wrap anchorx="page" anchory="page"/>
          </v:group>
        </w:pict>
      </w:r>
      <w:bookmarkStart w:id="10" w:name="_TOC_250042"/>
      <w:bookmarkEnd w:id="10"/>
      <w:r w:rsidR="00BC0563">
        <w:rPr>
          <w:color w:val="231F20"/>
        </w:rPr>
        <w:t>ACKNOWLEDGMENT</w:t>
      </w:r>
    </w:p>
    <w:p w14:paraId="401575A7" w14:textId="77777777" w:rsidR="009948F1" w:rsidRDefault="009948F1">
      <w:pPr>
        <w:sectPr w:rsidR="009948F1">
          <w:pgSz w:w="11910" w:h="16840"/>
          <w:pgMar w:top="1560" w:right="1080" w:bottom="1420" w:left="1120" w:header="0" w:footer="1235" w:gutter="0"/>
          <w:cols w:space="720"/>
        </w:sectPr>
      </w:pPr>
    </w:p>
    <w:p w14:paraId="124F50BA" w14:textId="77777777" w:rsidR="009948F1" w:rsidRDefault="00BC0563">
      <w:pPr>
        <w:spacing w:before="36"/>
        <w:ind w:left="153"/>
        <w:jc w:val="both"/>
        <w:rPr>
          <w:b/>
          <w:sz w:val="30"/>
        </w:rPr>
      </w:pPr>
      <w:bookmarkStart w:id="11" w:name="_TOC_250041"/>
      <w:bookmarkEnd w:id="11"/>
      <w:r>
        <w:rPr>
          <w:b/>
          <w:color w:val="231F20"/>
          <w:sz w:val="30"/>
        </w:rPr>
        <w:lastRenderedPageBreak/>
        <w:t>EXECUTIVE SUMMARY</w:t>
      </w:r>
    </w:p>
    <w:p w14:paraId="07D8A6DF" w14:textId="77777777" w:rsidR="009948F1" w:rsidRDefault="009948F1">
      <w:pPr>
        <w:pStyle w:val="BodyText"/>
        <w:spacing w:before="5"/>
        <w:rPr>
          <w:b/>
          <w:sz w:val="26"/>
        </w:rPr>
      </w:pPr>
    </w:p>
    <w:p w14:paraId="1D866E70" w14:textId="77777777" w:rsidR="009948F1" w:rsidRDefault="00BC0563">
      <w:pPr>
        <w:pStyle w:val="BodyText"/>
        <w:spacing w:line="271" w:lineRule="auto"/>
        <w:ind w:left="153" w:right="168"/>
        <w:jc w:val="both"/>
      </w:pPr>
      <w:r>
        <w:rPr>
          <w:color w:val="231F20"/>
        </w:rPr>
        <w:t>Rivers</w:t>
      </w:r>
      <w:r>
        <w:rPr>
          <w:color w:val="231F20"/>
          <w:spacing w:val="-11"/>
        </w:rPr>
        <w:t xml:space="preserve"> </w:t>
      </w:r>
      <w:r>
        <w:rPr>
          <w:color w:val="231F20"/>
        </w:rPr>
        <w:t>State</w:t>
      </w:r>
      <w:r>
        <w:rPr>
          <w:color w:val="231F20"/>
          <w:spacing w:val="-10"/>
        </w:rPr>
        <w:t xml:space="preserve"> </w:t>
      </w:r>
      <w:r>
        <w:rPr>
          <w:color w:val="231F20"/>
        </w:rPr>
        <w:t>is</w:t>
      </w:r>
      <w:r>
        <w:rPr>
          <w:color w:val="231F20"/>
          <w:spacing w:val="-10"/>
        </w:rPr>
        <w:t xml:space="preserve"> </w:t>
      </w:r>
      <w:r>
        <w:rPr>
          <w:color w:val="231F20"/>
        </w:rPr>
        <w:t>located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oil</w:t>
      </w:r>
      <w:r>
        <w:rPr>
          <w:color w:val="231F20"/>
          <w:spacing w:val="-10"/>
        </w:rPr>
        <w:t xml:space="preserve"> </w:t>
      </w:r>
      <w:r>
        <w:rPr>
          <w:color w:val="231F20"/>
        </w:rPr>
        <w:t>rich</w:t>
      </w:r>
      <w:r>
        <w:rPr>
          <w:color w:val="231F20"/>
          <w:spacing w:val="-10"/>
        </w:rPr>
        <w:t xml:space="preserve"> </w:t>
      </w:r>
      <w:r>
        <w:rPr>
          <w:color w:val="231F20"/>
        </w:rPr>
        <w:t>Niger</w:t>
      </w:r>
      <w:r>
        <w:rPr>
          <w:color w:val="231F20"/>
          <w:spacing w:val="-10"/>
        </w:rPr>
        <w:t xml:space="preserve"> </w:t>
      </w:r>
      <w:r>
        <w:rPr>
          <w:color w:val="231F20"/>
        </w:rPr>
        <w:t>Delta</w:t>
      </w:r>
      <w:r>
        <w:rPr>
          <w:color w:val="231F20"/>
          <w:spacing w:val="-10"/>
        </w:rPr>
        <w:t xml:space="preserve"> </w:t>
      </w:r>
      <w:r>
        <w:rPr>
          <w:color w:val="231F20"/>
        </w:rPr>
        <w:t>region</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South-South</w:t>
      </w:r>
      <w:r>
        <w:rPr>
          <w:color w:val="231F20"/>
          <w:spacing w:val="-10"/>
        </w:rPr>
        <w:t xml:space="preserve"> </w:t>
      </w:r>
      <w:r>
        <w:rPr>
          <w:color w:val="231F20"/>
        </w:rPr>
        <w:t>geopolitical</w:t>
      </w:r>
      <w:r>
        <w:rPr>
          <w:color w:val="231F20"/>
          <w:spacing w:val="-10"/>
        </w:rPr>
        <w:t xml:space="preserve"> </w:t>
      </w:r>
      <w:r>
        <w:rPr>
          <w:color w:val="231F20"/>
        </w:rPr>
        <w:t>zone</w:t>
      </w:r>
      <w:r>
        <w:rPr>
          <w:color w:val="231F20"/>
          <w:spacing w:val="-10"/>
        </w:rPr>
        <w:t xml:space="preserve"> </w:t>
      </w:r>
      <w:r>
        <w:rPr>
          <w:color w:val="231F20"/>
        </w:rPr>
        <w:t>and</w:t>
      </w:r>
      <w:r>
        <w:rPr>
          <w:color w:val="231F20"/>
          <w:spacing w:val="-10"/>
        </w:rPr>
        <w:t xml:space="preserve"> </w:t>
      </w:r>
      <w:r>
        <w:rPr>
          <w:color w:val="231F20"/>
          <w:spacing w:val="-8"/>
        </w:rPr>
        <w:t xml:space="preserve">is </w:t>
      </w:r>
      <w:r>
        <w:rPr>
          <w:color w:val="231F20"/>
        </w:rPr>
        <w:t>made up of 23 Local Government Areas and 319 political wards, with Port Harcourt as the State capital.</w:t>
      </w:r>
      <w:r>
        <w:rPr>
          <w:color w:val="231F20"/>
          <w:spacing w:val="-23"/>
        </w:rPr>
        <w:t xml:space="preserve"> </w:t>
      </w:r>
      <w:r>
        <w:rPr>
          <w:color w:val="231F20"/>
        </w:rPr>
        <w:t>Rivers</w:t>
      </w:r>
      <w:r>
        <w:rPr>
          <w:color w:val="231F20"/>
          <w:spacing w:val="-23"/>
        </w:rPr>
        <w:t xml:space="preserve"> </w:t>
      </w:r>
      <w:r>
        <w:rPr>
          <w:color w:val="231F20"/>
        </w:rPr>
        <w:t>State</w:t>
      </w:r>
      <w:r>
        <w:rPr>
          <w:color w:val="231F20"/>
          <w:spacing w:val="-23"/>
        </w:rPr>
        <w:t xml:space="preserve"> </w:t>
      </w:r>
      <w:r>
        <w:rPr>
          <w:color w:val="231F20"/>
        </w:rPr>
        <w:t>vegetation</w:t>
      </w:r>
      <w:r>
        <w:rPr>
          <w:color w:val="231F20"/>
          <w:spacing w:val="-23"/>
        </w:rPr>
        <w:t xml:space="preserve"> </w:t>
      </w:r>
      <w:r>
        <w:rPr>
          <w:color w:val="231F20"/>
        </w:rPr>
        <w:t>is</w:t>
      </w:r>
      <w:r>
        <w:rPr>
          <w:color w:val="231F20"/>
          <w:spacing w:val="-23"/>
        </w:rPr>
        <w:t xml:space="preserve"> </w:t>
      </w:r>
      <w:r>
        <w:rPr>
          <w:color w:val="231F20"/>
        </w:rPr>
        <w:t>characterized</w:t>
      </w:r>
      <w:r>
        <w:rPr>
          <w:color w:val="231F20"/>
          <w:spacing w:val="-22"/>
        </w:rPr>
        <w:t xml:space="preserve"> </w:t>
      </w:r>
      <w:r>
        <w:rPr>
          <w:color w:val="231F20"/>
        </w:rPr>
        <w:t>by</w:t>
      </w:r>
      <w:r>
        <w:rPr>
          <w:color w:val="231F20"/>
          <w:spacing w:val="-23"/>
        </w:rPr>
        <w:t xml:space="preserve"> </w:t>
      </w:r>
      <w:r>
        <w:rPr>
          <w:color w:val="231F20"/>
        </w:rPr>
        <w:t>mangrove</w:t>
      </w:r>
      <w:r>
        <w:rPr>
          <w:color w:val="231F20"/>
          <w:spacing w:val="-23"/>
        </w:rPr>
        <w:t xml:space="preserve"> </w:t>
      </w:r>
      <w:r>
        <w:rPr>
          <w:color w:val="231F20"/>
        </w:rPr>
        <w:t>forest</w:t>
      </w:r>
      <w:r>
        <w:rPr>
          <w:color w:val="231F20"/>
          <w:spacing w:val="-23"/>
        </w:rPr>
        <w:t xml:space="preserve"> </w:t>
      </w:r>
      <w:r>
        <w:rPr>
          <w:color w:val="231F20"/>
        </w:rPr>
        <w:t>and</w:t>
      </w:r>
      <w:r>
        <w:rPr>
          <w:color w:val="231F20"/>
          <w:spacing w:val="-23"/>
        </w:rPr>
        <w:t xml:space="preserve"> </w:t>
      </w:r>
      <w:r>
        <w:rPr>
          <w:color w:val="231F20"/>
        </w:rPr>
        <w:t>thick</w:t>
      </w:r>
      <w:r>
        <w:rPr>
          <w:color w:val="231F20"/>
          <w:spacing w:val="-23"/>
        </w:rPr>
        <w:t xml:space="preserve"> </w:t>
      </w:r>
      <w:r>
        <w:rPr>
          <w:color w:val="231F20"/>
        </w:rPr>
        <w:t>rain</w:t>
      </w:r>
      <w:r>
        <w:rPr>
          <w:color w:val="231F20"/>
          <w:spacing w:val="-22"/>
        </w:rPr>
        <w:t xml:space="preserve"> </w:t>
      </w:r>
      <w:r>
        <w:rPr>
          <w:color w:val="231F20"/>
        </w:rPr>
        <w:t>forest</w:t>
      </w:r>
      <w:r>
        <w:rPr>
          <w:color w:val="231F20"/>
          <w:spacing w:val="-23"/>
        </w:rPr>
        <w:t xml:space="preserve"> </w:t>
      </w:r>
      <w:r>
        <w:rPr>
          <w:color w:val="231F20"/>
        </w:rPr>
        <w:t>with</w:t>
      </w:r>
      <w:r>
        <w:rPr>
          <w:color w:val="231F20"/>
          <w:spacing w:val="-23"/>
        </w:rPr>
        <w:t xml:space="preserve"> </w:t>
      </w:r>
      <w:r>
        <w:rPr>
          <w:color w:val="231F20"/>
        </w:rPr>
        <w:t xml:space="preserve">arable land. Over one third of the State is occupied by water even Port Harcourt still </w:t>
      </w:r>
      <w:r>
        <w:rPr>
          <w:color w:val="231F20"/>
          <w:spacing w:val="-5"/>
        </w:rPr>
        <w:t xml:space="preserve">has </w:t>
      </w:r>
      <w:r>
        <w:rPr>
          <w:color w:val="231F20"/>
        </w:rPr>
        <w:t>communities/settlements that can only be accessed by the use of canoes and small motorized boats.</w:t>
      </w:r>
      <w:r>
        <w:rPr>
          <w:color w:val="231F20"/>
          <w:spacing w:val="-8"/>
        </w:rPr>
        <w:t xml:space="preserve"> </w:t>
      </w:r>
      <w:r>
        <w:rPr>
          <w:color w:val="231F20"/>
        </w:rPr>
        <w:t>This</w:t>
      </w:r>
      <w:r>
        <w:rPr>
          <w:color w:val="231F20"/>
          <w:spacing w:val="-3"/>
        </w:rPr>
        <w:t xml:space="preserve"> </w:t>
      </w:r>
      <w:r>
        <w:rPr>
          <w:color w:val="231F20"/>
        </w:rPr>
        <w:t>terrain</w:t>
      </w:r>
      <w:r>
        <w:rPr>
          <w:color w:val="231F20"/>
          <w:spacing w:val="-3"/>
        </w:rPr>
        <w:t xml:space="preserve"> </w:t>
      </w:r>
      <w:r>
        <w:rPr>
          <w:color w:val="231F20"/>
        </w:rPr>
        <w:t>makes</w:t>
      </w:r>
      <w:r>
        <w:rPr>
          <w:color w:val="231F20"/>
          <w:spacing w:val="-4"/>
        </w:rPr>
        <w:t xml:space="preserve"> </w:t>
      </w:r>
      <w:r>
        <w:rPr>
          <w:color w:val="231F20"/>
        </w:rPr>
        <w:t>service</w:t>
      </w:r>
      <w:r>
        <w:rPr>
          <w:color w:val="231F20"/>
          <w:spacing w:val="-3"/>
        </w:rPr>
        <w:t xml:space="preserve"> </w:t>
      </w:r>
      <w:r>
        <w:rPr>
          <w:color w:val="231F20"/>
        </w:rPr>
        <w:t>delivery</w:t>
      </w:r>
      <w:r>
        <w:rPr>
          <w:color w:val="231F20"/>
          <w:spacing w:val="-3"/>
        </w:rPr>
        <w:t xml:space="preserve"> </w:t>
      </w:r>
      <w:r>
        <w:rPr>
          <w:color w:val="231F20"/>
        </w:rPr>
        <w:t>difficult</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health</w:t>
      </w:r>
      <w:r>
        <w:rPr>
          <w:color w:val="231F20"/>
          <w:spacing w:val="-4"/>
        </w:rPr>
        <w:t xml:space="preserve"> </w:t>
      </w:r>
      <w:r>
        <w:rPr>
          <w:color w:val="231F20"/>
        </w:rPr>
        <w:t>workforce</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state</w:t>
      </w:r>
      <w:r>
        <w:rPr>
          <w:color w:val="231F20"/>
          <w:spacing w:val="-3"/>
        </w:rPr>
        <w:t xml:space="preserve"> </w:t>
      </w:r>
      <w:r>
        <w:rPr>
          <w:color w:val="231F20"/>
        </w:rPr>
        <w:t>but</w:t>
      </w:r>
      <w:r>
        <w:rPr>
          <w:color w:val="231F20"/>
          <w:spacing w:val="-3"/>
        </w:rPr>
        <w:t xml:space="preserve"> </w:t>
      </w:r>
      <w:r>
        <w:rPr>
          <w:color w:val="231F20"/>
        </w:rPr>
        <w:t>despite this</w:t>
      </w:r>
      <w:r>
        <w:rPr>
          <w:color w:val="231F20"/>
          <w:spacing w:val="-16"/>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408</w:t>
      </w:r>
      <w:r>
        <w:rPr>
          <w:color w:val="231F20"/>
          <w:spacing w:val="-16"/>
        </w:rPr>
        <w:t xml:space="preserve"> </w:t>
      </w:r>
      <w:r>
        <w:rPr>
          <w:color w:val="231F20"/>
        </w:rPr>
        <w:t>Public</w:t>
      </w:r>
      <w:r>
        <w:rPr>
          <w:color w:val="231F20"/>
          <w:spacing w:val="-15"/>
        </w:rPr>
        <w:t xml:space="preserve"> </w:t>
      </w:r>
      <w:r>
        <w:rPr>
          <w:color w:val="231F20"/>
        </w:rPr>
        <w:t>health</w:t>
      </w:r>
      <w:r>
        <w:rPr>
          <w:color w:val="231F20"/>
          <w:spacing w:val="-15"/>
        </w:rPr>
        <w:t xml:space="preserve"> </w:t>
      </w:r>
      <w:r>
        <w:rPr>
          <w:color w:val="231F20"/>
        </w:rPr>
        <w:t>facilities</w:t>
      </w:r>
      <w:r>
        <w:rPr>
          <w:color w:val="231F20"/>
          <w:spacing w:val="-16"/>
        </w:rPr>
        <w:t xml:space="preserve"> </w:t>
      </w:r>
      <w:r>
        <w:rPr>
          <w:color w:val="231F20"/>
        </w:rPr>
        <w:t>(385</w:t>
      </w:r>
      <w:r>
        <w:rPr>
          <w:color w:val="231F20"/>
          <w:spacing w:val="-15"/>
        </w:rPr>
        <w:t xml:space="preserve"> </w:t>
      </w:r>
      <w:r>
        <w:rPr>
          <w:color w:val="231F20"/>
          <w:spacing w:val="-3"/>
        </w:rPr>
        <w:t>Primary,</w:t>
      </w:r>
      <w:r>
        <w:rPr>
          <w:color w:val="231F20"/>
          <w:spacing w:val="-15"/>
        </w:rPr>
        <w:t xml:space="preserve"> </w:t>
      </w:r>
      <w:r>
        <w:rPr>
          <w:color w:val="231F20"/>
        </w:rPr>
        <w:t>18</w:t>
      </w:r>
      <w:r>
        <w:rPr>
          <w:color w:val="231F20"/>
          <w:spacing w:val="-16"/>
        </w:rPr>
        <w:t xml:space="preserve"> </w:t>
      </w:r>
      <w:r>
        <w:rPr>
          <w:color w:val="231F20"/>
        </w:rPr>
        <w:t>secondary</w:t>
      </w:r>
      <w:r>
        <w:rPr>
          <w:color w:val="231F20"/>
          <w:spacing w:val="-15"/>
        </w:rPr>
        <w:t xml:space="preserve"> </w:t>
      </w:r>
      <w:r>
        <w:rPr>
          <w:color w:val="231F20"/>
        </w:rPr>
        <w:t>and</w:t>
      </w:r>
      <w:r>
        <w:rPr>
          <w:color w:val="231F20"/>
          <w:spacing w:val="-15"/>
        </w:rPr>
        <w:t xml:space="preserve"> </w:t>
      </w:r>
      <w:r>
        <w:rPr>
          <w:color w:val="231F20"/>
        </w:rPr>
        <w:t>5</w:t>
      </w:r>
      <w:r>
        <w:rPr>
          <w:color w:val="231F20"/>
          <w:spacing w:val="-16"/>
        </w:rPr>
        <w:t xml:space="preserve"> </w:t>
      </w:r>
      <w:r>
        <w:rPr>
          <w:color w:val="231F20"/>
        </w:rPr>
        <w:t>tertiary</w:t>
      </w:r>
      <w:r>
        <w:rPr>
          <w:color w:val="231F20"/>
          <w:spacing w:val="-15"/>
        </w:rPr>
        <w:t xml:space="preserve"> </w:t>
      </w:r>
      <w:r>
        <w:rPr>
          <w:color w:val="231F20"/>
        </w:rPr>
        <w:t>facilities)</w:t>
      </w:r>
      <w:r>
        <w:rPr>
          <w:color w:val="231F20"/>
          <w:spacing w:val="-15"/>
        </w:rPr>
        <w:t xml:space="preserve"> </w:t>
      </w:r>
      <w:r>
        <w:rPr>
          <w:color w:val="231F20"/>
          <w:spacing w:val="-3"/>
        </w:rPr>
        <w:t xml:space="preserve">spread </w:t>
      </w:r>
      <w:r>
        <w:rPr>
          <w:color w:val="231F20"/>
        </w:rPr>
        <w:t>across the</w:t>
      </w:r>
      <w:r>
        <w:rPr>
          <w:color w:val="231F20"/>
          <w:spacing w:val="-50"/>
        </w:rPr>
        <w:t xml:space="preserve"> </w:t>
      </w:r>
      <w:r>
        <w:rPr>
          <w:color w:val="231F20"/>
        </w:rPr>
        <w:t>State.</w:t>
      </w:r>
    </w:p>
    <w:p w14:paraId="494785B8" w14:textId="77777777" w:rsidR="009948F1" w:rsidRDefault="009948F1">
      <w:pPr>
        <w:pStyle w:val="BodyText"/>
        <w:spacing w:before="6"/>
        <w:rPr>
          <w:sz w:val="25"/>
        </w:rPr>
      </w:pPr>
    </w:p>
    <w:p w14:paraId="57E1C52D" w14:textId="77777777" w:rsidR="009948F1" w:rsidRDefault="00BC0563">
      <w:pPr>
        <w:pStyle w:val="BodyText"/>
        <w:spacing w:before="1" w:line="271" w:lineRule="auto"/>
        <w:ind w:left="153" w:right="168"/>
        <w:jc w:val="both"/>
      </w:pPr>
      <w:r>
        <w:rPr>
          <w:color w:val="231F20"/>
        </w:rPr>
        <w:t>Rivers</w:t>
      </w:r>
      <w:r>
        <w:rPr>
          <w:color w:val="231F20"/>
          <w:spacing w:val="-18"/>
        </w:rPr>
        <w:t xml:space="preserve"> </w:t>
      </w:r>
      <w:r>
        <w:rPr>
          <w:color w:val="231F20"/>
        </w:rPr>
        <w:t>State</w:t>
      </w:r>
      <w:r>
        <w:rPr>
          <w:color w:val="231F20"/>
          <w:spacing w:val="-17"/>
        </w:rPr>
        <w:t xml:space="preserve"> </w:t>
      </w:r>
      <w:r>
        <w:rPr>
          <w:color w:val="231F20"/>
        </w:rPr>
        <w:t>health</w:t>
      </w:r>
      <w:r>
        <w:rPr>
          <w:color w:val="231F20"/>
          <w:spacing w:val="-17"/>
        </w:rPr>
        <w:t xml:space="preserve"> </w:t>
      </w:r>
      <w:r>
        <w:rPr>
          <w:color w:val="231F20"/>
        </w:rPr>
        <w:t>status</w:t>
      </w:r>
      <w:r>
        <w:rPr>
          <w:color w:val="231F20"/>
          <w:spacing w:val="-17"/>
        </w:rPr>
        <w:t xml:space="preserve"> </w:t>
      </w:r>
      <w:r>
        <w:rPr>
          <w:color w:val="231F20"/>
        </w:rPr>
        <w:t>indicators</w:t>
      </w:r>
      <w:r>
        <w:rPr>
          <w:color w:val="231F20"/>
          <w:spacing w:val="-17"/>
        </w:rPr>
        <w:t xml:space="preserve"> </w:t>
      </w:r>
      <w:r>
        <w:rPr>
          <w:color w:val="231F20"/>
        </w:rPr>
        <w:t>are</w:t>
      </w:r>
      <w:r>
        <w:rPr>
          <w:color w:val="231F20"/>
          <w:spacing w:val="-17"/>
        </w:rPr>
        <w:t xml:space="preserve"> </w:t>
      </w:r>
      <w:r>
        <w:rPr>
          <w:color w:val="231F20"/>
        </w:rPr>
        <w:t>still</w:t>
      </w:r>
      <w:r>
        <w:rPr>
          <w:color w:val="231F20"/>
          <w:spacing w:val="-17"/>
        </w:rPr>
        <w:t xml:space="preserve"> </w:t>
      </w:r>
      <w:r>
        <w:rPr>
          <w:color w:val="231F20"/>
        </w:rPr>
        <w:t>unacceptable.</w:t>
      </w:r>
      <w:r>
        <w:rPr>
          <w:color w:val="231F20"/>
          <w:spacing w:val="-17"/>
        </w:rPr>
        <w:t xml:space="preserve"> </w:t>
      </w:r>
      <w:r>
        <w:rPr>
          <w:color w:val="231F20"/>
        </w:rPr>
        <w:t>Rivers</w:t>
      </w:r>
      <w:r>
        <w:rPr>
          <w:color w:val="231F20"/>
          <w:spacing w:val="-17"/>
        </w:rPr>
        <w:t xml:space="preserve"> </w:t>
      </w:r>
      <w:r>
        <w:rPr>
          <w:color w:val="231F20"/>
        </w:rPr>
        <w:t>State</w:t>
      </w:r>
      <w:r>
        <w:rPr>
          <w:color w:val="231F20"/>
          <w:spacing w:val="-17"/>
        </w:rPr>
        <w:t xml:space="preserve"> </w:t>
      </w:r>
      <w:r>
        <w:rPr>
          <w:color w:val="231F20"/>
        </w:rPr>
        <w:t>has</w:t>
      </w:r>
      <w:r>
        <w:rPr>
          <w:color w:val="231F20"/>
          <w:spacing w:val="-18"/>
        </w:rPr>
        <w:t xml:space="preserve"> </w:t>
      </w:r>
      <w:r>
        <w:rPr>
          <w:color w:val="231F20"/>
        </w:rPr>
        <w:t>a</w:t>
      </w:r>
      <w:r>
        <w:rPr>
          <w:color w:val="231F20"/>
          <w:spacing w:val="-17"/>
        </w:rPr>
        <w:t xml:space="preserve"> </w:t>
      </w:r>
      <w:r>
        <w:rPr>
          <w:color w:val="231F20"/>
        </w:rPr>
        <w:t>high</w:t>
      </w:r>
      <w:r>
        <w:rPr>
          <w:color w:val="231F20"/>
          <w:spacing w:val="-17"/>
        </w:rPr>
        <w:t xml:space="preserve"> </w:t>
      </w:r>
      <w:r>
        <w:rPr>
          <w:color w:val="231F20"/>
        </w:rPr>
        <w:t>prevalence</w:t>
      </w:r>
      <w:r>
        <w:rPr>
          <w:color w:val="231F20"/>
          <w:spacing w:val="-17"/>
        </w:rPr>
        <w:t xml:space="preserve"> </w:t>
      </w:r>
      <w:r>
        <w:rPr>
          <w:color w:val="231F20"/>
        </w:rPr>
        <w:t>rate of</w:t>
      </w:r>
      <w:r>
        <w:rPr>
          <w:color w:val="231F20"/>
          <w:spacing w:val="-22"/>
        </w:rPr>
        <w:t xml:space="preserve"> </w:t>
      </w:r>
      <w:r>
        <w:rPr>
          <w:color w:val="231F20"/>
        </w:rPr>
        <w:t>HIV/AIDS</w:t>
      </w:r>
      <w:r>
        <w:rPr>
          <w:color w:val="231F20"/>
          <w:spacing w:val="-21"/>
        </w:rPr>
        <w:t xml:space="preserve"> </w:t>
      </w:r>
      <w:r>
        <w:rPr>
          <w:color w:val="231F20"/>
        </w:rPr>
        <w:t>of</w:t>
      </w:r>
      <w:r>
        <w:rPr>
          <w:color w:val="231F20"/>
          <w:spacing w:val="-21"/>
        </w:rPr>
        <w:t xml:space="preserve"> </w:t>
      </w:r>
      <w:r>
        <w:rPr>
          <w:color w:val="231F20"/>
        </w:rPr>
        <w:t>5.8%</w:t>
      </w:r>
      <w:r>
        <w:rPr>
          <w:color w:val="231F20"/>
          <w:spacing w:val="-21"/>
        </w:rPr>
        <w:t xml:space="preserve"> </w:t>
      </w:r>
      <w:r>
        <w:rPr>
          <w:color w:val="231F20"/>
        </w:rPr>
        <w:t>and</w:t>
      </w:r>
      <w:r>
        <w:rPr>
          <w:color w:val="231F20"/>
          <w:spacing w:val="-21"/>
        </w:rPr>
        <w:t xml:space="preserve"> </w:t>
      </w:r>
      <w:r>
        <w:rPr>
          <w:color w:val="231F20"/>
        </w:rPr>
        <w:t>is</w:t>
      </w:r>
      <w:r>
        <w:rPr>
          <w:color w:val="231F20"/>
          <w:spacing w:val="-21"/>
        </w:rPr>
        <w:t xml:space="preserve"> </w:t>
      </w:r>
      <w:r>
        <w:rPr>
          <w:color w:val="231F20"/>
        </w:rPr>
        <w:t>among</w:t>
      </w:r>
      <w:r>
        <w:rPr>
          <w:color w:val="231F20"/>
          <w:spacing w:val="-21"/>
        </w:rPr>
        <w:t xml:space="preserve"> </w:t>
      </w:r>
      <w:r>
        <w:rPr>
          <w:color w:val="231F20"/>
        </w:rPr>
        <w:t>the</w:t>
      </w:r>
      <w:r>
        <w:rPr>
          <w:color w:val="231F20"/>
          <w:spacing w:val="-21"/>
        </w:rPr>
        <w:t xml:space="preserve"> </w:t>
      </w:r>
      <w:r>
        <w:rPr>
          <w:color w:val="231F20"/>
        </w:rPr>
        <w:t>12+1</w:t>
      </w:r>
      <w:r>
        <w:rPr>
          <w:color w:val="231F20"/>
          <w:spacing w:val="-21"/>
        </w:rPr>
        <w:t xml:space="preserve"> </w:t>
      </w:r>
      <w:r>
        <w:rPr>
          <w:color w:val="231F20"/>
        </w:rPr>
        <w:t>states</w:t>
      </w:r>
      <w:r>
        <w:rPr>
          <w:color w:val="231F20"/>
          <w:spacing w:val="-21"/>
        </w:rPr>
        <w:t xml:space="preserve"> </w:t>
      </w:r>
      <w:r>
        <w:rPr>
          <w:color w:val="231F20"/>
        </w:rPr>
        <w:t>sharing</w:t>
      </w:r>
      <w:r>
        <w:rPr>
          <w:color w:val="231F20"/>
          <w:spacing w:val="-21"/>
        </w:rPr>
        <w:t xml:space="preserve"> </w:t>
      </w:r>
      <w:r>
        <w:rPr>
          <w:color w:val="231F20"/>
        </w:rPr>
        <w:t>70%</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national</w:t>
      </w:r>
      <w:r>
        <w:rPr>
          <w:color w:val="231F20"/>
          <w:spacing w:val="-21"/>
        </w:rPr>
        <w:t xml:space="preserve"> </w:t>
      </w:r>
      <w:r>
        <w:rPr>
          <w:color w:val="231F20"/>
        </w:rPr>
        <w:t>disease</w:t>
      </w:r>
      <w:r>
        <w:rPr>
          <w:color w:val="231F20"/>
          <w:spacing w:val="-21"/>
        </w:rPr>
        <w:t xml:space="preserve"> </w:t>
      </w:r>
      <w:r>
        <w:rPr>
          <w:color w:val="231F20"/>
        </w:rPr>
        <w:t>burden.</w:t>
      </w:r>
      <w:r>
        <w:rPr>
          <w:color w:val="231F20"/>
          <w:spacing w:val="-25"/>
        </w:rPr>
        <w:t xml:space="preserve"> </w:t>
      </w:r>
      <w:r>
        <w:rPr>
          <w:color w:val="231F20"/>
          <w:spacing w:val="-5"/>
        </w:rPr>
        <w:t xml:space="preserve">The </w:t>
      </w:r>
      <w:r>
        <w:rPr>
          <w:color w:val="231F20"/>
        </w:rPr>
        <w:t>maternal mortality ratio of 338.1 per 100,000 live births (DHIS 2) was low as against the National maternal</w:t>
      </w:r>
      <w:r>
        <w:rPr>
          <w:color w:val="231F20"/>
          <w:spacing w:val="-16"/>
        </w:rPr>
        <w:t xml:space="preserve"> </w:t>
      </w:r>
      <w:r>
        <w:rPr>
          <w:color w:val="231F20"/>
        </w:rPr>
        <w:t>mortality</w:t>
      </w:r>
      <w:r>
        <w:rPr>
          <w:color w:val="231F20"/>
          <w:spacing w:val="-16"/>
        </w:rPr>
        <w:t xml:space="preserve"> </w:t>
      </w:r>
      <w:r>
        <w:rPr>
          <w:color w:val="231F20"/>
        </w:rPr>
        <w:t>ratio</w:t>
      </w:r>
      <w:r>
        <w:rPr>
          <w:color w:val="231F20"/>
          <w:spacing w:val="-16"/>
        </w:rPr>
        <w:t xml:space="preserve"> </w:t>
      </w:r>
      <w:r>
        <w:rPr>
          <w:color w:val="231F20"/>
        </w:rPr>
        <w:t>of</w:t>
      </w:r>
      <w:r>
        <w:rPr>
          <w:color w:val="231F20"/>
          <w:spacing w:val="-16"/>
        </w:rPr>
        <w:t xml:space="preserve"> </w:t>
      </w:r>
      <w:r>
        <w:rPr>
          <w:color w:val="231F20"/>
        </w:rPr>
        <w:t>576/100,000.</w:t>
      </w:r>
      <w:r>
        <w:rPr>
          <w:color w:val="231F20"/>
          <w:spacing w:val="-20"/>
        </w:rPr>
        <w:t xml:space="preserve"> </w:t>
      </w:r>
      <w:r>
        <w:rPr>
          <w:color w:val="231F20"/>
        </w:rPr>
        <w:t>The</w:t>
      </w:r>
      <w:r>
        <w:rPr>
          <w:color w:val="231F20"/>
          <w:spacing w:val="-16"/>
        </w:rPr>
        <w:t xml:space="preserve"> </w:t>
      </w:r>
      <w:r>
        <w:rPr>
          <w:color w:val="231F20"/>
        </w:rPr>
        <w:t>other</w:t>
      </w:r>
      <w:r>
        <w:rPr>
          <w:color w:val="231F20"/>
          <w:spacing w:val="-16"/>
        </w:rPr>
        <w:t xml:space="preserve"> </w:t>
      </w:r>
      <w:r>
        <w:rPr>
          <w:color w:val="231F20"/>
        </w:rPr>
        <w:t>health</w:t>
      </w:r>
      <w:r>
        <w:rPr>
          <w:color w:val="231F20"/>
          <w:spacing w:val="-15"/>
        </w:rPr>
        <w:t xml:space="preserve"> </w:t>
      </w:r>
      <w:r>
        <w:rPr>
          <w:color w:val="231F20"/>
        </w:rPr>
        <w:t>status</w:t>
      </w:r>
      <w:r>
        <w:rPr>
          <w:color w:val="231F20"/>
          <w:spacing w:val="-16"/>
        </w:rPr>
        <w:t xml:space="preserve"> </w:t>
      </w:r>
      <w:r>
        <w:rPr>
          <w:color w:val="231F20"/>
        </w:rPr>
        <w:t>indicators:</w:t>
      </w:r>
      <w:r>
        <w:rPr>
          <w:color w:val="231F20"/>
          <w:spacing w:val="-16"/>
        </w:rPr>
        <w:t xml:space="preserve"> </w:t>
      </w:r>
      <w:r>
        <w:rPr>
          <w:color w:val="231F20"/>
        </w:rPr>
        <w:t>under-five</w:t>
      </w:r>
      <w:r>
        <w:rPr>
          <w:color w:val="231F20"/>
          <w:spacing w:val="-16"/>
        </w:rPr>
        <w:t xml:space="preserve"> </w:t>
      </w:r>
      <w:r>
        <w:rPr>
          <w:color w:val="231F20"/>
        </w:rPr>
        <w:t>mortality</w:t>
      </w:r>
      <w:r>
        <w:rPr>
          <w:color w:val="231F20"/>
          <w:spacing w:val="-16"/>
        </w:rPr>
        <w:t xml:space="preserve"> </w:t>
      </w:r>
      <w:r>
        <w:rPr>
          <w:color w:val="231F20"/>
          <w:spacing w:val="-4"/>
        </w:rPr>
        <w:t xml:space="preserve">rate </w:t>
      </w:r>
      <w:r>
        <w:rPr>
          <w:color w:val="231F20"/>
        </w:rPr>
        <w:t>of</w:t>
      </w:r>
      <w:r>
        <w:rPr>
          <w:color w:val="231F20"/>
          <w:spacing w:val="-17"/>
        </w:rPr>
        <w:t xml:space="preserve"> </w:t>
      </w:r>
      <w:r>
        <w:rPr>
          <w:color w:val="231F20"/>
        </w:rPr>
        <w:t>58/1000,</w:t>
      </w:r>
      <w:r>
        <w:rPr>
          <w:color w:val="231F20"/>
          <w:spacing w:val="-16"/>
        </w:rPr>
        <w:t xml:space="preserve"> </w:t>
      </w:r>
      <w:r>
        <w:rPr>
          <w:color w:val="231F20"/>
        </w:rPr>
        <w:t>infant</w:t>
      </w:r>
      <w:r>
        <w:rPr>
          <w:color w:val="231F20"/>
          <w:spacing w:val="-16"/>
        </w:rPr>
        <w:t xml:space="preserve"> </w:t>
      </w:r>
      <w:r>
        <w:rPr>
          <w:color w:val="231F20"/>
        </w:rPr>
        <w:t>mortality</w:t>
      </w:r>
      <w:r>
        <w:rPr>
          <w:color w:val="231F20"/>
          <w:spacing w:val="-16"/>
        </w:rPr>
        <w:t xml:space="preserve"> </w:t>
      </w:r>
      <w:r>
        <w:rPr>
          <w:color w:val="231F20"/>
        </w:rPr>
        <w:t>rate</w:t>
      </w:r>
      <w:r>
        <w:rPr>
          <w:color w:val="231F20"/>
          <w:spacing w:val="-16"/>
        </w:rPr>
        <w:t xml:space="preserve"> </w:t>
      </w:r>
      <w:r>
        <w:rPr>
          <w:color w:val="231F20"/>
        </w:rPr>
        <w:t>of</w:t>
      </w:r>
      <w:r>
        <w:rPr>
          <w:color w:val="231F20"/>
          <w:spacing w:val="-16"/>
        </w:rPr>
        <w:t xml:space="preserve"> </w:t>
      </w:r>
      <w:r>
        <w:rPr>
          <w:color w:val="231F20"/>
        </w:rPr>
        <w:t>41/1000</w:t>
      </w:r>
      <w:r>
        <w:rPr>
          <w:color w:val="231F20"/>
          <w:spacing w:val="-16"/>
        </w:rPr>
        <w:t xml:space="preserve"> </w:t>
      </w:r>
      <w:r>
        <w:rPr>
          <w:color w:val="231F20"/>
        </w:rPr>
        <w:t>and</w:t>
      </w:r>
      <w:r>
        <w:rPr>
          <w:color w:val="231F20"/>
          <w:spacing w:val="-16"/>
        </w:rPr>
        <w:t xml:space="preserve"> </w:t>
      </w:r>
      <w:r>
        <w:rPr>
          <w:color w:val="231F20"/>
        </w:rPr>
        <w:t>child</w:t>
      </w:r>
      <w:r>
        <w:rPr>
          <w:color w:val="231F20"/>
          <w:spacing w:val="-16"/>
        </w:rPr>
        <w:t xml:space="preserve"> </w:t>
      </w:r>
      <w:r>
        <w:rPr>
          <w:color w:val="231F20"/>
        </w:rPr>
        <w:t>mortality</w:t>
      </w:r>
      <w:r>
        <w:rPr>
          <w:color w:val="231F20"/>
          <w:spacing w:val="-16"/>
        </w:rPr>
        <w:t xml:space="preserve"> </w:t>
      </w:r>
      <w:r>
        <w:rPr>
          <w:color w:val="231F20"/>
        </w:rPr>
        <w:t>rate</w:t>
      </w:r>
      <w:r>
        <w:rPr>
          <w:color w:val="231F20"/>
          <w:spacing w:val="-16"/>
        </w:rPr>
        <w:t xml:space="preserve"> </w:t>
      </w:r>
      <w:r>
        <w:rPr>
          <w:color w:val="231F20"/>
        </w:rPr>
        <w:t>(18/1000).</w:t>
      </w:r>
      <w:r>
        <w:rPr>
          <w:color w:val="231F20"/>
          <w:spacing w:val="-20"/>
        </w:rPr>
        <w:t xml:space="preserve"> </w:t>
      </w:r>
      <w:r>
        <w:rPr>
          <w:color w:val="231F20"/>
        </w:rPr>
        <w:t>The</w:t>
      </w:r>
      <w:r>
        <w:rPr>
          <w:color w:val="231F20"/>
          <w:spacing w:val="-16"/>
        </w:rPr>
        <w:t xml:space="preserve"> </w:t>
      </w:r>
      <w:r>
        <w:rPr>
          <w:color w:val="231F20"/>
        </w:rPr>
        <w:t>life</w:t>
      </w:r>
      <w:r>
        <w:rPr>
          <w:color w:val="231F20"/>
          <w:spacing w:val="-16"/>
        </w:rPr>
        <w:t xml:space="preserve"> </w:t>
      </w:r>
      <w:r>
        <w:rPr>
          <w:color w:val="231F20"/>
        </w:rPr>
        <w:t>expectancies for male, 52.6 years and female, 53.8 years are still low compared to 54 and 57 years (2008) respectively,</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national</w:t>
      </w:r>
      <w:r>
        <w:rPr>
          <w:color w:val="231F20"/>
          <w:spacing w:val="-13"/>
        </w:rPr>
        <w:t xml:space="preserve"> </w:t>
      </w:r>
      <w:r>
        <w:rPr>
          <w:color w:val="231F20"/>
        </w:rPr>
        <w:t>54.5</w:t>
      </w:r>
      <w:r>
        <w:rPr>
          <w:color w:val="231F20"/>
          <w:spacing w:val="-13"/>
        </w:rPr>
        <w:t xml:space="preserve"> </w:t>
      </w:r>
      <w:r>
        <w:rPr>
          <w:color w:val="231F20"/>
        </w:rPr>
        <w:t>years</w:t>
      </w:r>
      <w:r>
        <w:rPr>
          <w:color w:val="231F20"/>
          <w:spacing w:val="-13"/>
        </w:rPr>
        <w:t xml:space="preserve"> </w:t>
      </w:r>
      <w:r>
        <w:rPr>
          <w:color w:val="231F20"/>
        </w:rPr>
        <w:t>and</w:t>
      </w:r>
      <w:r>
        <w:rPr>
          <w:color w:val="231F20"/>
          <w:spacing w:val="-13"/>
        </w:rPr>
        <w:t xml:space="preserve"> </w:t>
      </w:r>
      <w:r>
        <w:rPr>
          <w:color w:val="231F20"/>
        </w:rPr>
        <w:t>global</w:t>
      </w:r>
      <w:r>
        <w:rPr>
          <w:color w:val="231F20"/>
          <w:spacing w:val="-14"/>
        </w:rPr>
        <w:t xml:space="preserve"> </w:t>
      </w:r>
      <w:r>
        <w:rPr>
          <w:color w:val="231F20"/>
        </w:rPr>
        <w:t>average</w:t>
      </w:r>
      <w:r>
        <w:rPr>
          <w:color w:val="231F20"/>
          <w:spacing w:val="-13"/>
        </w:rPr>
        <w:t xml:space="preserve"> </w:t>
      </w:r>
      <w:r>
        <w:rPr>
          <w:color w:val="231F20"/>
        </w:rPr>
        <w:t>of</w:t>
      </w:r>
      <w:r>
        <w:rPr>
          <w:color w:val="231F20"/>
          <w:spacing w:val="-13"/>
        </w:rPr>
        <w:t xml:space="preserve"> </w:t>
      </w:r>
      <w:r>
        <w:rPr>
          <w:color w:val="231F20"/>
        </w:rPr>
        <w:t>71.4</w:t>
      </w:r>
      <w:r>
        <w:rPr>
          <w:color w:val="231F20"/>
          <w:spacing w:val="-13"/>
        </w:rPr>
        <w:t xml:space="preserve"> </w:t>
      </w:r>
      <w:r>
        <w:rPr>
          <w:color w:val="231F20"/>
        </w:rPr>
        <w:t>years.</w:t>
      </w:r>
      <w:r>
        <w:rPr>
          <w:color w:val="231F20"/>
          <w:spacing w:val="-17"/>
        </w:rPr>
        <w:t xml:space="preserve"> </w:t>
      </w:r>
      <w:r>
        <w:rPr>
          <w:color w:val="231F20"/>
        </w:rPr>
        <w:t>The</w:t>
      </w:r>
      <w:r>
        <w:rPr>
          <w:color w:val="231F20"/>
          <w:spacing w:val="-13"/>
        </w:rPr>
        <w:t xml:space="preserve"> </w:t>
      </w:r>
      <w:r>
        <w:rPr>
          <w:color w:val="231F20"/>
        </w:rPr>
        <w:t>indices</w:t>
      </w:r>
      <w:r>
        <w:rPr>
          <w:color w:val="231F20"/>
          <w:spacing w:val="-13"/>
        </w:rPr>
        <w:t xml:space="preserve"> </w:t>
      </w:r>
      <w:r>
        <w:rPr>
          <w:color w:val="231F20"/>
        </w:rPr>
        <w:t>of</w:t>
      </w:r>
      <w:r>
        <w:rPr>
          <w:color w:val="231F20"/>
          <w:spacing w:val="-14"/>
        </w:rPr>
        <w:t xml:space="preserve"> </w:t>
      </w:r>
      <w:r>
        <w:rPr>
          <w:color w:val="231F20"/>
        </w:rPr>
        <w:t>health</w:t>
      </w:r>
      <w:r>
        <w:rPr>
          <w:color w:val="231F20"/>
          <w:spacing w:val="-13"/>
        </w:rPr>
        <w:t xml:space="preserve"> </w:t>
      </w:r>
      <w:r>
        <w:rPr>
          <w:color w:val="231F20"/>
        </w:rPr>
        <w:t>in the State are still below acceptable limits</w:t>
      </w:r>
      <w:r>
        <w:rPr>
          <w:color w:val="ED2129"/>
        </w:rPr>
        <w:t xml:space="preserve">. </w:t>
      </w:r>
      <w:r>
        <w:rPr>
          <w:color w:val="231F20"/>
        </w:rPr>
        <w:t>Expansion of access to quality health care services is necessary</w:t>
      </w:r>
      <w:r>
        <w:rPr>
          <w:color w:val="231F20"/>
          <w:spacing w:val="-18"/>
        </w:rPr>
        <w:t xml:space="preserve"> </w:t>
      </w:r>
      <w:r>
        <w:rPr>
          <w:color w:val="231F20"/>
        </w:rPr>
        <w:t>if</w:t>
      </w:r>
      <w:r>
        <w:rPr>
          <w:color w:val="231F20"/>
          <w:spacing w:val="-18"/>
        </w:rPr>
        <w:t xml:space="preserve"> </w:t>
      </w:r>
      <w:r>
        <w:rPr>
          <w:color w:val="231F20"/>
        </w:rPr>
        <w:t>Rivers</w:t>
      </w:r>
      <w:r>
        <w:rPr>
          <w:color w:val="231F20"/>
          <w:spacing w:val="-18"/>
        </w:rPr>
        <w:t xml:space="preserve"> </w:t>
      </w:r>
      <w:r>
        <w:rPr>
          <w:color w:val="231F20"/>
        </w:rPr>
        <w:t>State</w:t>
      </w:r>
      <w:r>
        <w:rPr>
          <w:color w:val="231F20"/>
          <w:spacing w:val="-18"/>
        </w:rPr>
        <w:t xml:space="preserve"> </w:t>
      </w:r>
      <w:r>
        <w:rPr>
          <w:color w:val="231F20"/>
        </w:rPr>
        <w:t>is</w:t>
      </w:r>
      <w:r>
        <w:rPr>
          <w:color w:val="231F20"/>
          <w:spacing w:val="-18"/>
        </w:rPr>
        <w:t xml:space="preserve"> </w:t>
      </w:r>
      <w:r>
        <w:rPr>
          <w:color w:val="231F20"/>
        </w:rPr>
        <w:t>to</w:t>
      </w:r>
      <w:r>
        <w:rPr>
          <w:color w:val="231F20"/>
          <w:spacing w:val="-18"/>
        </w:rPr>
        <w:t xml:space="preserve"> </w:t>
      </w:r>
      <w:r>
        <w:rPr>
          <w:color w:val="231F20"/>
        </w:rPr>
        <w:t>attain</w:t>
      </w:r>
      <w:r>
        <w:rPr>
          <w:color w:val="231F20"/>
          <w:spacing w:val="-18"/>
        </w:rPr>
        <w:t xml:space="preserve"> </w:t>
      </w:r>
      <w:r>
        <w:rPr>
          <w:color w:val="231F20"/>
        </w:rPr>
        <w:t>the</w:t>
      </w:r>
      <w:r>
        <w:rPr>
          <w:color w:val="231F20"/>
          <w:spacing w:val="-18"/>
        </w:rPr>
        <w:t xml:space="preserve"> </w:t>
      </w:r>
      <w:r>
        <w:rPr>
          <w:color w:val="231F20"/>
        </w:rPr>
        <w:t>Social</w:t>
      </w:r>
      <w:r>
        <w:rPr>
          <w:color w:val="231F20"/>
          <w:spacing w:val="-17"/>
        </w:rPr>
        <w:t xml:space="preserve"> </w:t>
      </w:r>
      <w:r>
        <w:rPr>
          <w:color w:val="231F20"/>
        </w:rPr>
        <w:t>Development</w:t>
      </w:r>
      <w:r>
        <w:rPr>
          <w:color w:val="231F20"/>
          <w:spacing w:val="-17"/>
        </w:rPr>
        <w:t xml:space="preserve"> </w:t>
      </w:r>
      <w:r>
        <w:rPr>
          <w:color w:val="231F20"/>
        </w:rPr>
        <w:t>Goal</w:t>
      </w:r>
      <w:r>
        <w:rPr>
          <w:color w:val="231F20"/>
          <w:spacing w:val="-18"/>
        </w:rPr>
        <w:t xml:space="preserve"> </w:t>
      </w:r>
      <w:r>
        <w:rPr>
          <w:color w:val="231F20"/>
        </w:rPr>
        <w:t>3</w:t>
      </w:r>
      <w:r>
        <w:rPr>
          <w:color w:val="231F20"/>
          <w:spacing w:val="-18"/>
        </w:rPr>
        <w:t xml:space="preserve"> </w:t>
      </w:r>
      <w:r>
        <w:rPr>
          <w:color w:val="231F20"/>
        </w:rPr>
        <w:t>target</w:t>
      </w:r>
      <w:r>
        <w:rPr>
          <w:color w:val="231F20"/>
          <w:spacing w:val="-18"/>
        </w:rPr>
        <w:t xml:space="preserve"> </w:t>
      </w:r>
      <w:r>
        <w:rPr>
          <w:color w:val="231F20"/>
        </w:rPr>
        <w:t>of</w:t>
      </w:r>
      <w:r>
        <w:rPr>
          <w:color w:val="231F20"/>
          <w:spacing w:val="-18"/>
        </w:rPr>
        <w:t xml:space="preserve"> </w:t>
      </w:r>
      <w:r>
        <w:rPr>
          <w:color w:val="231F20"/>
        </w:rPr>
        <w:t>universal</w:t>
      </w:r>
      <w:r>
        <w:rPr>
          <w:color w:val="231F20"/>
          <w:spacing w:val="-18"/>
        </w:rPr>
        <w:t xml:space="preserve"> </w:t>
      </w:r>
      <w:r>
        <w:rPr>
          <w:color w:val="231F20"/>
        </w:rPr>
        <w:t>access</w:t>
      </w:r>
      <w:r>
        <w:rPr>
          <w:color w:val="231F20"/>
          <w:spacing w:val="-18"/>
        </w:rPr>
        <w:t xml:space="preserve"> </w:t>
      </w:r>
      <w:r>
        <w:rPr>
          <w:color w:val="231F20"/>
        </w:rPr>
        <w:t>of</w:t>
      </w:r>
      <w:r>
        <w:rPr>
          <w:color w:val="231F20"/>
          <w:spacing w:val="-18"/>
        </w:rPr>
        <w:t xml:space="preserve"> </w:t>
      </w:r>
      <w:r>
        <w:rPr>
          <w:color w:val="231F20"/>
        </w:rPr>
        <w:t>all to health care services. This access to quality health care and prevention is also vital for poverty reduction</w:t>
      </w:r>
      <w:r>
        <w:rPr>
          <w:color w:val="231F20"/>
          <w:spacing w:val="-26"/>
        </w:rPr>
        <w:t xml:space="preserve"> </w:t>
      </w:r>
      <w:r>
        <w:rPr>
          <w:color w:val="231F20"/>
        </w:rPr>
        <w:t>and</w:t>
      </w:r>
      <w:r>
        <w:rPr>
          <w:color w:val="231F20"/>
          <w:spacing w:val="-25"/>
        </w:rPr>
        <w:t xml:space="preserve"> </w:t>
      </w:r>
      <w:r>
        <w:rPr>
          <w:color w:val="231F20"/>
        </w:rPr>
        <w:t>economic</w:t>
      </w:r>
      <w:r>
        <w:rPr>
          <w:color w:val="231F20"/>
          <w:spacing w:val="-25"/>
        </w:rPr>
        <w:t xml:space="preserve"> </w:t>
      </w:r>
      <w:r>
        <w:rPr>
          <w:color w:val="231F20"/>
        </w:rPr>
        <w:t>growth,</w:t>
      </w:r>
      <w:r>
        <w:rPr>
          <w:color w:val="231F20"/>
          <w:spacing w:val="-25"/>
        </w:rPr>
        <w:t xml:space="preserve"> </w:t>
      </w:r>
      <w:r>
        <w:rPr>
          <w:color w:val="231F20"/>
        </w:rPr>
        <w:t>which</w:t>
      </w:r>
      <w:r>
        <w:rPr>
          <w:color w:val="231F20"/>
          <w:spacing w:val="-25"/>
        </w:rPr>
        <w:t xml:space="preserve"> </w:t>
      </w:r>
      <w:r>
        <w:rPr>
          <w:color w:val="231F20"/>
        </w:rPr>
        <w:t>is</w:t>
      </w:r>
      <w:r>
        <w:rPr>
          <w:color w:val="231F20"/>
          <w:spacing w:val="-25"/>
        </w:rPr>
        <w:t xml:space="preserve"> </w:t>
      </w:r>
      <w:r>
        <w:rPr>
          <w:color w:val="231F20"/>
        </w:rPr>
        <w:t>key</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rPr>
        <w:t>her</w:t>
      </w:r>
      <w:r>
        <w:rPr>
          <w:color w:val="231F20"/>
          <w:spacing w:val="-25"/>
        </w:rPr>
        <w:t xml:space="preserve"> </w:t>
      </w:r>
      <w:r>
        <w:rPr>
          <w:color w:val="231F20"/>
        </w:rPr>
        <w:t>Vision</w:t>
      </w:r>
      <w:r>
        <w:rPr>
          <w:color w:val="231F20"/>
          <w:spacing w:val="-26"/>
        </w:rPr>
        <w:t xml:space="preserve"> </w:t>
      </w:r>
      <w:r>
        <w:rPr>
          <w:color w:val="231F20"/>
        </w:rPr>
        <w:t>2020.</w:t>
      </w:r>
    </w:p>
    <w:p w14:paraId="0B562751" w14:textId="77777777" w:rsidR="009948F1" w:rsidRDefault="009948F1">
      <w:pPr>
        <w:pStyle w:val="BodyText"/>
        <w:spacing w:before="9"/>
        <w:rPr>
          <w:sz w:val="25"/>
        </w:rPr>
      </w:pPr>
    </w:p>
    <w:p w14:paraId="032F0B59" w14:textId="77777777" w:rsidR="009948F1" w:rsidRDefault="00BC0563">
      <w:pPr>
        <w:pStyle w:val="BodyText"/>
        <w:spacing w:line="271" w:lineRule="auto"/>
        <w:ind w:left="152" w:right="168"/>
        <w:jc w:val="both"/>
      </w:pPr>
      <w:r>
        <w:rPr>
          <w:color w:val="231F20"/>
        </w:rPr>
        <w:t xml:space="preserve">The NSHDP II Framework, was used by Rivers State along with other States, to develop </w:t>
      </w:r>
      <w:r>
        <w:rPr>
          <w:color w:val="231F20"/>
          <w:spacing w:val="-5"/>
        </w:rPr>
        <w:t xml:space="preserve">the </w:t>
      </w:r>
      <w:r>
        <w:rPr>
          <w:color w:val="231F20"/>
        </w:rPr>
        <w:t>SSHDP</w:t>
      </w:r>
      <w:r>
        <w:rPr>
          <w:color w:val="231F20"/>
          <w:spacing w:val="-27"/>
        </w:rPr>
        <w:t xml:space="preserve"> </w:t>
      </w:r>
      <w:r>
        <w:rPr>
          <w:color w:val="231F20"/>
        </w:rPr>
        <w:t>II.</w:t>
      </w:r>
      <w:r>
        <w:rPr>
          <w:color w:val="231F20"/>
          <w:spacing w:val="-26"/>
        </w:rPr>
        <w:t xml:space="preserve"> </w:t>
      </w:r>
      <w:r>
        <w:rPr>
          <w:color w:val="231F20"/>
        </w:rPr>
        <w:t>The</w:t>
      </w:r>
      <w:r>
        <w:rPr>
          <w:color w:val="231F20"/>
          <w:spacing w:val="-22"/>
        </w:rPr>
        <w:t xml:space="preserve"> </w:t>
      </w:r>
      <w:r>
        <w:rPr>
          <w:color w:val="231F20"/>
        </w:rPr>
        <w:t>plan</w:t>
      </w:r>
      <w:r>
        <w:rPr>
          <w:color w:val="231F20"/>
          <w:spacing w:val="-22"/>
        </w:rPr>
        <w:t xml:space="preserve"> </w:t>
      </w:r>
      <w:r>
        <w:rPr>
          <w:color w:val="231F20"/>
        </w:rPr>
        <w:t>was</w:t>
      </w:r>
      <w:r>
        <w:rPr>
          <w:color w:val="231F20"/>
          <w:spacing w:val="-22"/>
        </w:rPr>
        <w:t xml:space="preserve"> </w:t>
      </w:r>
      <w:r>
        <w:rPr>
          <w:color w:val="231F20"/>
        </w:rPr>
        <w:t>prepared</w:t>
      </w:r>
      <w:r>
        <w:rPr>
          <w:color w:val="231F20"/>
          <w:spacing w:val="-23"/>
        </w:rPr>
        <w:t xml:space="preserve"> </w:t>
      </w:r>
      <w:r>
        <w:rPr>
          <w:color w:val="231F20"/>
        </w:rPr>
        <w:t>within</w:t>
      </w:r>
      <w:r>
        <w:rPr>
          <w:color w:val="231F20"/>
          <w:spacing w:val="-22"/>
        </w:rPr>
        <w:t xml:space="preserve"> </w:t>
      </w:r>
      <w:r>
        <w:rPr>
          <w:color w:val="231F20"/>
        </w:rPr>
        <w:t>the</w:t>
      </w:r>
      <w:r>
        <w:rPr>
          <w:color w:val="231F20"/>
          <w:spacing w:val="-22"/>
        </w:rPr>
        <w:t xml:space="preserve"> </w:t>
      </w:r>
      <w:r>
        <w:rPr>
          <w:color w:val="231F20"/>
        </w:rPr>
        <w:t>framework</w:t>
      </w:r>
      <w:r>
        <w:rPr>
          <w:color w:val="231F20"/>
          <w:spacing w:val="-22"/>
        </w:rPr>
        <w:t xml:space="preserve"> </w:t>
      </w:r>
      <w:r>
        <w:rPr>
          <w:color w:val="231F20"/>
        </w:rPr>
        <w:t>of</w:t>
      </w:r>
      <w:r>
        <w:rPr>
          <w:color w:val="231F20"/>
          <w:spacing w:val="-22"/>
        </w:rPr>
        <w:t xml:space="preserve"> </w:t>
      </w:r>
      <w:r>
        <w:rPr>
          <w:color w:val="231F20"/>
        </w:rPr>
        <w:t>Vision</w:t>
      </w:r>
      <w:r>
        <w:rPr>
          <w:color w:val="231F20"/>
          <w:spacing w:val="-23"/>
        </w:rPr>
        <w:t xml:space="preserve"> </w:t>
      </w:r>
      <w:r>
        <w:rPr>
          <w:color w:val="231F20"/>
        </w:rPr>
        <w:t>2020,</w:t>
      </w:r>
      <w:r>
        <w:rPr>
          <w:color w:val="231F20"/>
          <w:spacing w:val="-22"/>
        </w:rPr>
        <w:t xml:space="preserve"> </w:t>
      </w:r>
      <w:r>
        <w:rPr>
          <w:color w:val="231F20"/>
        </w:rPr>
        <w:t>the</w:t>
      </w:r>
      <w:r>
        <w:rPr>
          <w:color w:val="231F20"/>
          <w:spacing w:val="-22"/>
        </w:rPr>
        <w:t xml:space="preserve"> </w:t>
      </w:r>
      <w:r>
        <w:rPr>
          <w:color w:val="231F20"/>
        </w:rPr>
        <w:t>Economic</w:t>
      </w:r>
      <w:r>
        <w:rPr>
          <w:color w:val="231F20"/>
          <w:spacing w:val="-22"/>
        </w:rPr>
        <w:t xml:space="preserve"> </w:t>
      </w:r>
      <w:r>
        <w:rPr>
          <w:color w:val="231F20"/>
        </w:rPr>
        <w:t>Recovery</w:t>
      </w:r>
      <w:r>
        <w:rPr>
          <w:color w:val="231F20"/>
          <w:spacing w:val="-22"/>
        </w:rPr>
        <w:t xml:space="preserve"> </w:t>
      </w:r>
      <w:r>
        <w:rPr>
          <w:color w:val="231F20"/>
          <w:spacing w:val="-5"/>
        </w:rPr>
        <w:t xml:space="preserve">and </w:t>
      </w:r>
      <w:r>
        <w:rPr>
          <w:color w:val="231F20"/>
        </w:rPr>
        <w:t>Growth</w:t>
      </w:r>
      <w:r>
        <w:rPr>
          <w:color w:val="231F20"/>
          <w:spacing w:val="-15"/>
        </w:rPr>
        <w:t xml:space="preserve"> </w:t>
      </w:r>
      <w:r>
        <w:rPr>
          <w:color w:val="231F20"/>
        </w:rPr>
        <w:t>Plan</w:t>
      </w:r>
      <w:r>
        <w:rPr>
          <w:color w:val="231F20"/>
          <w:spacing w:val="-15"/>
        </w:rPr>
        <w:t xml:space="preserve"> </w:t>
      </w:r>
      <w:r>
        <w:rPr>
          <w:color w:val="231F20"/>
        </w:rPr>
        <w:t>(2017</w:t>
      </w:r>
      <w:r>
        <w:rPr>
          <w:color w:val="231F20"/>
          <w:spacing w:val="-15"/>
        </w:rPr>
        <w:t xml:space="preserve"> </w:t>
      </w:r>
      <w:r>
        <w:rPr>
          <w:color w:val="231F20"/>
        </w:rPr>
        <w:t>2020),</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2016</w:t>
      </w:r>
      <w:r>
        <w:rPr>
          <w:color w:val="231F20"/>
          <w:spacing w:val="-15"/>
        </w:rPr>
        <w:t xml:space="preserve"> </w:t>
      </w:r>
      <w:r>
        <w:rPr>
          <w:color w:val="231F20"/>
        </w:rPr>
        <w:t>revised</w:t>
      </w:r>
      <w:r>
        <w:rPr>
          <w:color w:val="231F20"/>
          <w:spacing w:val="-14"/>
        </w:rPr>
        <w:t xml:space="preserve"> </w:t>
      </w:r>
      <w:r>
        <w:rPr>
          <w:color w:val="231F20"/>
        </w:rPr>
        <w:t>National</w:t>
      </w:r>
      <w:r>
        <w:rPr>
          <w:color w:val="231F20"/>
          <w:spacing w:val="-14"/>
        </w:rPr>
        <w:t xml:space="preserve"> </w:t>
      </w:r>
      <w:r>
        <w:rPr>
          <w:color w:val="231F20"/>
        </w:rPr>
        <w:t>Health</w:t>
      </w:r>
      <w:r>
        <w:rPr>
          <w:color w:val="231F20"/>
          <w:spacing w:val="-15"/>
        </w:rPr>
        <w:t xml:space="preserve"> </w:t>
      </w:r>
      <w:r>
        <w:rPr>
          <w:color w:val="231F20"/>
          <w:spacing w:val="-3"/>
        </w:rPr>
        <w:t>Policy.</w:t>
      </w:r>
      <w:r>
        <w:rPr>
          <w:color w:val="231F20"/>
          <w:spacing w:val="-15"/>
        </w:rPr>
        <w:t xml:space="preserve"> </w:t>
      </w:r>
      <w:r>
        <w:rPr>
          <w:color w:val="231F20"/>
        </w:rPr>
        <w:t>It</w:t>
      </w:r>
      <w:r>
        <w:rPr>
          <w:color w:val="231F20"/>
          <w:spacing w:val="-15"/>
        </w:rPr>
        <w:t xml:space="preserve"> </w:t>
      </w:r>
      <w:r>
        <w:rPr>
          <w:color w:val="231F20"/>
        </w:rPr>
        <w:t>was</w:t>
      </w:r>
      <w:r>
        <w:rPr>
          <w:color w:val="231F20"/>
          <w:spacing w:val="-15"/>
        </w:rPr>
        <w:t xml:space="preserve"> </w:t>
      </w:r>
      <w:r>
        <w:rPr>
          <w:color w:val="231F20"/>
        </w:rPr>
        <w:t>also</w:t>
      </w:r>
      <w:r>
        <w:rPr>
          <w:color w:val="231F20"/>
          <w:spacing w:val="-15"/>
        </w:rPr>
        <w:t xml:space="preserve"> </w:t>
      </w:r>
      <w:r>
        <w:rPr>
          <w:color w:val="231F20"/>
        </w:rPr>
        <w:t>being</w:t>
      </w:r>
      <w:r>
        <w:rPr>
          <w:color w:val="231F20"/>
          <w:spacing w:val="-14"/>
        </w:rPr>
        <w:t xml:space="preserve"> </w:t>
      </w:r>
      <w:r>
        <w:rPr>
          <w:color w:val="231F20"/>
        </w:rPr>
        <w:t>guided</w:t>
      </w:r>
      <w:r>
        <w:rPr>
          <w:color w:val="231F20"/>
          <w:spacing w:val="-14"/>
        </w:rPr>
        <w:t xml:space="preserve"> </w:t>
      </w:r>
      <w:r>
        <w:rPr>
          <w:color w:val="231F20"/>
        </w:rPr>
        <w:t xml:space="preserve">by all relevant extant policies and legislations, notably the National Health Act and international declarations, majorly the UN-Social Development Goals (SDGs). The end product is </w:t>
      </w:r>
      <w:r>
        <w:rPr>
          <w:color w:val="231F20"/>
          <w:spacing w:val="-5"/>
        </w:rPr>
        <w:t xml:space="preserve">the </w:t>
      </w:r>
      <w:r>
        <w:rPr>
          <w:color w:val="231F20"/>
        </w:rPr>
        <w:t>harmonized</w:t>
      </w:r>
      <w:r>
        <w:rPr>
          <w:color w:val="231F20"/>
          <w:spacing w:val="-22"/>
        </w:rPr>
        <w:t xml:space="preserve"> </w:t>
      </w:r>
      <w:r>
        <w:rPr>
          <w:color w:val="231F20"/>
        </w:rPr>
        <w:t>National</w:t>
      </w:r>
      <w:r>
        <w:rPr>
          <w:color w:val="231F20"/>
          <w:spacing w:val="-21"/>
        </w:rPr>
        <w:t xml:space="preserve"> </w:t>
      </w:r>
      <w:r>
        <w:rPr>
          <w:color w:val="231F20"/>
        </w:rPr>
        <w:t>Strategic</w:t>
      </w:r>
      <w:r>
        <w:rPr>
          <w:color w:val="231F20"/>
          <w:spacing w:val="-21"/>
        </w:rPr>
        <w:t xml:space="preserve"> </w:t>
      </w:r>
      <w:r>
        <w:rPr>
          <w:color w:val="231F20"/>
        </w:rPr>
        <w:t>Health</w:t>
      </w:r>
      <w:r>
        <w:rPr>
          <w:color w:val="231F20"/>
          <w:spacing w:val="-21"/>
        </w:rPr>
        <w:t xml:space="preserve"> </w:t>
      </w:r>
      <w:r>
        <w:rPr>
          <w:color w:val="231F20"/>
        </w:rPr>
        <w:t>Development</w:t>
      </w:r>
      <w:r>
        <w:rPr>
          <w:color w:val="231F20"/>
          <w:spacing w:val="-21"/>
        </w:rPr>
        <w:t xml:space="preserve"> </w:t>
      </w:r>
      <w:r>
        <w:rPr>
          <w:color w:val="231F20"/>
        </w:rPr>
        <w:t>Plan</w:t>
      </w:r>
      <w:r>
        <w:rPr>
          <w:color w:val="231F20"/>
          <w:spacing w:val="-22"/>
        </w:rPr>
        <w:t xml:space="preserve"> </w:t>
      </w:r>
      <w:r>
        <w:rPr>
          <w:color w:val="231F20"/>
        </w:rPr>
        <w:t>with</w:t>
      </w:r>
      <w:r>
        <w:rPr>
          <w:color w:val="231F20"/>
          <w:spacing w:val="-21"/>
        </w:rPr>
        <w:t xml:space="preserve"> </w:t>
      </w:r>
      <w:r>
        <w:rPr>
          <w:color w:val="231F20"/>
        </w:rPr>
        <w:t>its</w:t>
      </w:r>
      <w:r>
        <w:rPr>
          <w:color w:val="231F20"/>
          <w:spacing w:val="-21"/>
        </w:rPr>
        <w:t xml:space="preserve"> </w:t>
      </w:r>
      <w:r>
        <w:rPr>
          <w:color w:val="231F20"/>
        </w:rPr>
        <w:t>appropriate</w:t>
      </w:r>
      <w:r>
        <w:rPr>
          <w:color w:val="231F20"/>
          <w:spacing w:val="-21"/>
        </w:rPr>
        <w:t xml:space="preserve"> </w:t>
      </w:r>
      <w:r>
        <w:rPr>
          <w:color w:val="231F20"/>
        </w:rPr>
        <w:t>costing,</w:t>
      </w:r>
      <w:r>
        <w:rPr>
          <w:color w:val="231F20"/>
          <w:spacing w:val="-21"/>
        </w:rPr>
        <w:t xml:space="preserve"> </w:t>
      </w:r>
      <w:r>
        <w:rPr>
          <w:color w:val="231F20"/>
        </w:rPr>
        <w:t>will</w:t>
      </w:r>
      <w:r>
        <w:rPr>
          <w:color w:val="231F20"/>
          <w:spacing w:val="-22"/>
        </w:rPr>
        <w:t xml:space="preserve"> </w:t>
      </w:r>
      <w:r>
        <w:rPr>
          <w:color w:val="231F20"/>
        </w:rPr>
        <w:t xml:space="preserve">thereafter serve as the basis for collective ownership, adequate resource allocation, inter-sectoral collaboration, decentralization, </w:t>
      </w:r>
      <w:r>
        <w:rPr>
          <w:color w:val="231F20"/>
          <w:spacing w:val="-3"/>
        </w:rPr>
        <w:t xml:space="preserve">equity, </w:t>
      </w:r>
      <w:r>
        <w:rPr>
          <w:color w:val="231F20"/>
        </w:rPr>
        <w:t xml:space="preserve">harmonization, alignment, and mutual accountability </w:t>
      </w:r>
      <w:r>
        <w:rPr>
          <w:color w:val="231F20"/>
          <w:spacing w:val="-7"/>
        </w:rPr>
        <w:t xml:space="preserve">in </w:t>
      </w:r>
      <w:r>
        <w:rPr>
          <w:color w:val="231F20"/>
        </w:rPr>
        <w:t>Nigeria. It would also stipulate requirements for future health investments towards achieving sustainable</w:t>
      </w:r>
      <w:r>
        <w:rPr>
          <w:color w:val="231F20"/>
          <w:spacing w:val="-26"/>
        </w:rPr>
        <w:t xml:space="preserve"> </w:t>
      </w:r>
      <w:r>
        <w:rPr>
          <w:color w:val="231F20"/>
        </w:rPr>
        <w:t>universal</w:t>
      </w:r>
      <w:r>
        <w:rPr>
          <w:color w:val="231F20"/>
          <w:spacing w:val="-25"/>
        </w:rPr>
        <w:t xml:space="preserve"> </w:t>
      </w:r>
      <w:r>
        <w:rPr>
          <w:color w:val="231F20"/>
        </w:rPr>
        <w:t>access</w:t>
      </w:r>
      <w:r>
        <w:rPr>
          <w:color w:val="231F20"/>
          <w:spacing w:val="-25"/>
        </w:rPr>
        <w:t xml:space="preserve"> </w:t>
      </w:r>
      <w:r>
        <w:rPr>
          <w:color w:val="231F20"/>
        </w:rPr>
        <w:t>and</w:t>
      </w:r>
      <w:r>
        <w:rPr>
          <w:color w:val="231F20"/>
          <w:spacing w:val="-25"/>
        </w:rPr>
        <w:t xml:space="preserve"> </w:t>
      </w:r>
      <w:r>
        <w:rPr>
          <w:color w:val="231F20"/>
        </w:rPr>
        <w:t>coverage</w:t>
      </w:r>
      <w:r>
        <w:rPr>
          <w:color w:val="231F20"/>
          <w:spacing w:val="-25"/>
        </w:rPr>
        <w:t xml:space="preserve"> </w:t>
      </w:r>
      <w:r>
        <w:rPr>
          <w:color w:val="231F20"/>
        </w:rPr>
        <w:t>within</w:t>
      </w:r>
      <w:r>
        <w:rPr>
          <w:color w:val="231F20"/>
          <w:spacing w:val="-25"/>
        </w:rPr>
        <w:t xml:space="preserve"> </w:t>
      </w:r>
      <w:r>
        <w:rPr>
          <w:color w:val="231F20"/>
        </w:rPr>
        <w:t>the</w:t>
      </w:r>
      <w:r>
        <w:rPr>
          <w:color w:val="231F20"/>
          <w:spacing w:val="-25"/>
        </w:rPr>
        <w:t xml:space="preserve"> </w:t>
      </w:r>
      <w:r>
        <w:rPr>
          <w:color w:val="231F20"/>
        </w:rPr>
        <w:t>planned</w:t>
      </w:r>
      <w:r>
        <w:rPr>
          <w:color w:val="231F20"/>
          <w:spacing w:val="-25"/>
        </w:rPr>
        <w:t xml:space="preserve"> </w:t>
      </w:r>
      <w:r>
        <w:rPr>
          <w:color w:val="231F20"/>
        </w:rPr>
        <w:t>period</w:t>
      </w:r>
      <w:r>
        <w:rPr>
          <w:color w:val="231F20"/>
          <w:spacing w:val="-25"/>
        </w:rPr>
        <w:t xml:space="preserve"> </w:t>
      </w:r>
      <w:r>
        <w:rPr>
          <w:color w:val="231F20"/>
        </w:rPr>
        <w:t>of</w:t>
      </w:r>
      <w:r>
        <w:rPr>
          <w:color w:val="231F20"/>
          <w:spacing w:val="-25"/>
        </w:rPr>
        <w:t xml:space="preserve"> </w:t>
      </w:r>
      <w:r>
        <w:rPr>
          <w:color w:val="231F20"/>
        </w:rPr>
        <w:t>2018</w:t>
      </w:r>
      <w:r>
        <w:rPr>
          <w:color w:val="231F20"/>
          <w:spacing w:val="-25"/>
        </w:rPr>
        <w:t xml:space="preserve"> </w:t>
      </w:r>
      <w:r>
        <w:rPr>
          <w:color w:val="231F20"/>
        </w:rPr>
        <w:t>-</w:t>
      </w:r>
      <w:r>
        <w:rPr>
          <w:color w:val="231F20"/>
          <w:spacing w:val="-25"/>
        </w:rPr>
        <w:t xml:space="preserve"> </w:t>
      </w:r>
      <w:r>
        <w:rPr>
          <w:color w:val="231F20"/>
        </w:rPr>
        <w:t>2022.</w:t>
      </w:r>
    </w:p>
    <w:p w14:paraId="3ED2FC4C" w14:textId="77777777" w:rsidR="009948F1" w:rsidRDefault="009948F1">
      <w:pPr>
        <w:pStyle w:val="BodyText"/>
        <w:spacing w:before="8"/>
        <w:rPr>
          <w:sz w:val="25"/>
        </w:rPr>
      </w:pPr>
    </w:p>
    <w:p w14:paraId="3F25B479" w14:textId="77777777" w:rsidR="009948F1" w:rsidRDefault="00BC0563">
      <w:pPr>
        <w:pStyle w:val="BodyText"/>
        <w:spacing w:line="271" w:lineRule="auto"/>
        <w:ind w:left="152" w:right="169"/>
        <w:jc w:val="both"/>
      </w:pPr>
      <w:r>
        <w:rPr>
          <w:color w:val="231F20"/>
        </w:rPr>
        <w:t>Unlike, the SSHDP I with priority concern on improving the Rivers State health service delivery system.</w:t>
      </w:r>
      <w:r>
        <w:rPr>
          <w:color w:val="231F20"/>
          <w:spacing w:val="-15"/>
        </w:rPr>
        <w:t xml:space="preserve"> </w:t>
      </w:r>
      <w:r>
        <w:rPr>
          <w:color w:val="231F20"/>
        </w:rPr>
        <w:t>The</w:t>
      </w:r>
      <w:r>
        <w:rPr>
          <w:color w:val="231F20"/>
          <w:spacing w:val="-11"/>
        </w:rPr>
        <w:t xml:space="preserve"> </w:t>
      </w:r>
      <w:r>
        <w:rPr>
          <w:color w:val="231F20"/>
        </w:rPr>
        <w:t>services</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delivered</w:t>
      </w:r>
      <w:r>
        <w:rPr>
          <w:color w:val="231F20"/>
          <w:spacing w:val="-11"/>
        </w:rPr>
        <w:t xml:space="preserve"> </w:t>
      </w:r>
      <w:r>
        <w:rPr>
          <w:color w:val="231F20"/>
        </w:rPr>
        <w:t>were</w:t>
      </w:r>
      <w:r>
        <w:rPr>
          <w:color w:val="231F20"/>
          <w:spacing w:val="-11"/>
        </w:rPr>
        <w:t xml:space="preserve"> </w:t>
      </w:r>
      <w:r>
        <w:rPr>
          <w:color w:val="231F20"/>
        </w:rPr>
        <w:t>not</w:t>
      </w:r>
      <w:r>
        <w:rPr>
          <w:color w:val="231F20"/>
          <w:spacing w:val="-11"/>
        </w:rPr>
        <w:t xml:space="preserve"> </w:t>
      </w:r>
      <w:r>
        <w:rPr>
          <w:color w:val="231F20"/>
        </w:rPr>
        <w:t>given</w:t>
      </w:r>
      <w:r>
        <w:rPr>
          <w:color w:val="231F20"/>
          <w:spacing w:val="-11"/>
        </w:rPr>
        <w:t xml:space="preserve"> </w:t>
      </w:r>
      <w:r>
        <w:rPr>
          <w:color w:val="231F20"/>
        </w:rPr>
        <w:t>adequate</w:t>
      </w:r>
      <w:r>
        <w:rPr>
          <w:color w:val="231F20"/>
          <w:spacing w:val="-11"/>
        </w:rPr>
        <w:t xml:space="preserve"> </w:t>
      </w:r>
      <w:r>
        <w:rPr>
          <w:color w:val="231F20"/>
        </w:rPr>
        <w:t>attention,</w:t>
      </w:r>
      <w:r>
        <w:rPr>
          <w:color w:val="231F20"/>
          <w:spacing w:val="-11"/>
        </w:rPr>
        <w:t xml:space="preserve"> </w:t>
      </w:r>
      <w:r>
        <w:rPr>
          <w:color w:val="231F20"/>
        </w:rPr>
        <w:t>so</w:t>
      </w:r>
      <w:r>
        <w:rPr>
          <w:color w:val="231F20"/>
          <w:spacing w:val="-11"/>
        </w:rPr>
        <w:t xml:space="preserve"> </w:t>
      </w:r>
      <w:r>
        <w:rPr>
          <w:color w:val="231F20"/>
        </w:rPr>
        <w:t>the</w:t>
      </w:r>
      <w:r>
        <w:rPr>
          <w:color w:val="231F20"/>
          <w:spacing w:val="-11"/>
        </w:rPr>
        <w:t xml:space="preserve"> </w:t>
      </w:r>
      <w:r>
        <w:rPr>
          <w:color w:val="231F20"/>
        </w:rPr>
        <w:t>SSHDP</w:t>
      </w:r>
      <w:r>
        <w:rPr>
          <w:color w:val="231F20"/>
          <w:spacing w:val="-15"/>
        </w:rPr>
        <w:t xml:space="preserve"> </w:t>
      </w:r>
      <w:r>
        <w:rPr>
          <w:color w:val="231F20"/>
        </w:rPr>
        <w:t>II</w:t>
      </w:r>
      <w:r>
        <w:rPr>
          <w:color w:val="231F20"/>
          <w:spacing w:val="-12"/>
        </w:rPr>
        <w:t xml:space="preserve"> </w:t>
      </w:r>
      <w:r>
        <w:rPr>
          <w:color w:val="231F20"/>
        </w:rPr>
        <w:t>includes the</w:t>
      </w:r>
      <w:r>
        <w:rPr>
          <w:color w:val="231F20"/>
          <w:spacing w:val="-7"/>
        </w:rPr>
        <w:t xml:space="preserve"> </w:t>
      </w:r>
      <w:r>
        <w:rPr>
          <w:color w:val="231F20"/>
        </w:rPr>
        <w:t>technical</w:t>
      </w:r>
      <w:r>
        <w:rPr>
          <w:color w:val="231F20"/>
          <w:spacing w:val="-5"/>
        </w:rPr>
        <w:t xml:space="preserve"> </w:t>
      </w:r>
      <w:r>
        <w:rPr>
          <w:color w:val="231F20"/>
        </w:rPr>
        <w:t>health</w:t>
      </w:r>
      <w:r>
        <w:rPr>
          <w:color w:val="231F20"/>
          <w:spacing w:val="-5"/>
        </w:rPr>
        <w:t xml:space="preserve"> </w:t>
      </w:r>
      <w:r>
        <w:rPr>
          <w:color w:val="231F20"/>
        </w:rPr>
        <w:t>service</w:t>
      </w:r>
      <w:r>
        <w:rPr>
          <w:color w:val="231F20"/>
          <w:spacing w:val="-6"/>
        </w:rPr>
        <w:t xml:space="preserve"> </w:t>
      </w:r>
      <w:proofErr w:type="spellStart"/>
      <w:r>
        <w:rPr>
          <w:color w:val="231F20"/>
        </w:rPr>
        <w:t>programmes</w:t>
      </w:r>
      <w:proofErr w:type="spellEnd"/>
      <w:r>
        <w:rPr>
          <w:color w:val="231F20"/>
          <w:spacing w:val="-5"/>
        </w:rPr>
        <w:t xml:space="preserve"> </w:t>
      </w:r>
      <w:r>
        <w:rPr>
          <w:color w:val="231F20"/>
        </w:rPr>
        <w:t>in</w:t>
      </w:r>
      <w:r>
        <w:rPr>
          <w:color w:val="231F20"/>
          <w:spacing w:val="-6"/>
        </w:rPr>
        <w:t xml:space="preserve"> </w:t>
      </w:r>
      <w:r>
        <w:rPr>
          <w:color w:val="231F20"/>
        </w:rPr>
        <w:t>its</w:t>
      </w:r>
      <w:r>
        <w:rPr>
          <w:color w:val="231F20"/>
          <w:spacing w:val="-6"/>
        </w:rPr>
        <w:t xml:space="preserve"> </w:t>
      </w:r>
      <w:r>
        <w:rPr>
          <w:color w:val="231F20"/>
        </w:rPr>
        <w:t>plan.</w:t>
      </w:r>
      <w:r>
        <w:rPr>
          <w:color w:val="231F20"/>
          <w:spacing w:val="-9"/>
        </w:rPr>
        <w:t xml:space="preserve"> </w:t>
      </w:r>
      <w:r>
        <w:rPr>
          <w:color w:val="231F20"/>
        </w:rPr>
        <w:t>These</w:t>
      </w:r>
      <w:r>
        <w:rPr>
          <w:color w:val="231F20"/>
          <w:spacing w:val="-6"/>
        </w:rPr>
        <w:t xml:space="preserve"> </w:t>
      </w:r>
      <w:r>
        <w:rPr>
          <w:color w:val="231F20"/>
        </w:rPr>
        <w:t>health</w:t>
      </w:r>
      <w:r>
        <w:rPr>
          <w:color w:val="231F20"/>
          <w:spacing w:val="-5"/>
        </w:rPr>
        <w:t xml:space="preserve"> </w:t>
      </w:r>
      <w:r>
        <w:rPr>
          <w:color w:val="231F20"/>
        </w:rPr>
        <w:t>service</w:t>
      </w:r>
      <w:r>
        <w:rPr>
          <w:color w:val="231F20"/>
          <w:spacing w:val="-6"/>
        </w:rPr>
        <w:t xml:space="preserve"> </w:t>
      </w:r>
      <w:proofErr w:type="spellStart"/>
      <w:r>
        <w:rPr>
          <w:color w:val="231F20"/>
        </w:rPr>
        <w:t>programmes</w:t>
      </w:r>
      <w:proofErr w:type="spellEnd"/>
      <w:r>
        <w:rPr>
          <w:color w:val="231F20"/>
        </w:rPr>
        <w:t>,</w:t>
      </w:r>
      <w:r>
        <w:rPr>
          <w:color w:val="231F20"/>
          <w:spacing w:val="-5"/>
        </w:rPr>
        <w:t xml:space="preserve"> </w:t>
      </w:r>
      <w:r>
        <w:rPr>
          <w:color w:val="231F20"/>
        </w:rPr>
        <w:t>which</w:t>
      </w:r>
      <w:r>
        <w:rPr>
          <w:color w:val="231F20"/>
          <w:spacing w:val="-5"/>
        </w:rPr>
        <w:t xml:space="preserve"> </w:t>
      </w:r>
      <w:r>
        <w:rPr>
          <w:color w:val="231F20"/>
          <w:spacing w:val="-4"/>
        </w:rPr>
        <w:t xml:space="preserve">are </w:t>
      </w:r>
      <w:r>
        <w:rPr>
          <w:color w:val="231F20"/>
        </w:rPr>
        <w:t>being proposed as the essential health care package, and derived from the national health</w:t>
      </w:r>
      <w:r>
        <w:rPr>
          <w:color w:val="231F20"/>
          <w:spacing w:val="-41"/>
        </w:rPr>
        <w:t xml:space="preserve"> </w:t>
      </w:r>
      <w:r>
        <w:rPr>
          <w:color w:val="231F20"/>
        </w:rPr>
        <w:t>policy comprises:</w:t>
      </w:r>
    </w:p>
    <w:p w14:paraId="24894DAA" w14:textId="77777777" w:rsidR="009948F1" w:rsidRDefault="00BC0563">
      <w:pPr>
        <w:pStyle w:val="BodyText"/>
        <w:spacing w:line="271" w:lineRule="auto"/>
        <w:ind w:left="872" w:right="167" w:hanging="360"/>
        <w:jc w:val="both"/>
      </w:pPr>
      <w:r>
        <w:rPr>
          <w:rFonts w:ascii="Symbol" w:hAnsi="Symbol"/>
          <w:color w:val="231F20"/>
          <w:spacing w:val="-248"/>
          <w:w w:val="600"/>
        </w:rPr>
        <w:t></w:t>
      </w:r>
      <w:r>
        <w:rPr>
          <w:color w:val="231F20"/>
          <w:w w:val="99"/>
        </w:rPr>
        <w:t>Reproductive,</w:t>
      </w:r>
      <w:r>
        <w:rPr>
          <w:color w:val="231F20"/>
        </w:rPr>
        <w:t xml:space="preserve"> </w:t>
      </w:r>
      <w:r>
        <w:rPr>
          <w:color w:val="231F20"/>
          <w:w w:val="99"/>
        </w:rPr>
        <w:t>maternal,</w:t>
      </w:r>
      <w:r>
        <w:rPr>
          <w:color w:val="231F20"/>
        </w:rPr>
        <w:t xml:space="preserve"> </w:t>
      </w:r>
      <w:r>
        <w:rPr>
          <w:color w:val="231F20"/>
          <w:w w:val="99"/>
        </w:rPr>
        <w:t>newborn,</w:t>
      </w:r>
      <w:r>
        <w:rPr>
          <w:color w:val="231F20"/>
        </w:rPr>
        <w:t xml:space="preserve"> </w:t>
      </w:r>
      <w:r>
        <w:rPr>
          <w:color w:val="231F20"/>
          <w:w w:val="99"/>
        </w:rPr>
        <w:t>child</w:t>
      </w:r>
      <w:r>
        <w:rPr>
          <w:color w:val="231F20"/>
        </w:rPr>
        <w:t xml:space="preserve"> </w:t>
      </w:r>
      <w:r>
        <w:rPr>
          <w:color w:val="231F20"/>
          <w:w w:val="99"/>
        </w:rPr>
        <w:t>health</w:t>
      </w:r>
      <w:r>
        <w:rPr>
          <w:color w:val="231F20"/>
        </w:rPr>
        <w:t xml:space="preserve"> </w:t>
      </w:r>
      <w:r>
        <w:rPr>
          <w:color w:val="231F20"/>
          <w:w w:val="99"/>
        </w:rPr>
        <w:t>and</w:t>
      </w:r>
      <w:r>
        <w:rPr>
          <w:color w:val="231F20"/>
        </w:rPr>
        <w:t xml:space="preserve"> </w:t>
      </w:r>
      <w:r>
        <w:rPr>
          <w:color w:val="231F20"/>
          <w:w w:val="99"/>
        </w:rPr>
        <w:t>nutrition–related</w:t>
      </w:r>
      <w:r>
        <w:rPr>
          <w:color w:val="231F20"/>
        </w:rPr>
        <w:t xml:space="preserve"> </w:t>
      </w:r>
      <w:proofErr w:type="spellStart"/>
      <w:r>
        <w:rPr>
          <w:color w:val="231F20"/>
          <w:w w:val="99"/>
        </w:rPr>
        <w:t>programmes</w:t>
      </w:r>
      <w:proofErr w:type="spellEnd"/>
      <w:r>
        <w:rPr>
          <w:color w:val="231F20"/>
          <w:w w:val="99"/>
        </w:rPr>
        <w:t>;</w:t>
      </w:r>
      <w:r>
        <w:rPr>
          <w:color w:val="231F20"/>
        </w:rPr>
        <w:t xml:space="preserve"> </w:t>
      </w:r>
      <w:r>
        <w:rPr>
          <w:color w:val="231F20"/>
          <w:spacing w:val="-3"/>
          <w:w w:val="99"/>
        </w:rPr>
        <w:t>Control</w:t>
      </w:r>
      <w:r>
        <w:rPr>
          <w:color w:val="231F20"/>
          <w:w w:val="99"/>
        </w:rPr>
        <w:t xml:space="preserve"> </w:t>
      </w:r>
      <w:r>
        <w:rPr>
          <w:color w:val="231F20"/>
        </w:rPr>
        <w:t>of communicable diseases (malaria, tuberculosis, HIV/AIDS, hepatitis and neglected tropical diseases);</w:t>
      </w:r>
    </w:p>
    <w:p w14:paraId="42754614" w14:textId="77777777" w:rsidR="009948F1" w:rsidRDefault="00BC0563">
      <w:pPr>
        <w:pStyle w:val="BodyText"/>
        <w:spacing w:line="254" w:lineRule="exact"/>
        <w:ind w:left="512"/>
        <w:jc w:val="both"/>
      </w:pPr>
      <w:r>
        <w:rPr>
          <w:rFonts w:ascii="Symbol" w:hAnsi="Symbol"/>
          <w:color w:val="231F20"/>
          <w:spacing w:val="-248"/>
          <w:w w:val="600"/>
        </w:rPr>
        <w:t></w:t>
      </w:r>
      <w:r>
        <w:rPr>
          <w:color w:val="231F20"/>
          <w:w w:val="99"/>
        </w:rPr>
        <w:t>Control</w:t>
      </w:r>
      <w:r>
        <w:rPr>
          <w:color w:val="231F20"/>
          <w:spacing w:val="-25"/>
        </w:rPr>
        <w:t xml:space="preserve"> </w:t>
      </w:r>
      <w:r>
        <w:rPr>
          <w:color w:val="231F20"/>
        </w:rPr>
        <w:t>of</w:t>
      </w:r>
      <w:r>
        <w:rPr>
          <w:color w:val="231F20"/>
          <w:spacing w:val="-25"/>
        </w:rPr>
        <w:t xml:space="preserve"> </w:t>
      </w:r>
      <w:r>
        <w:rPr>
          <w:color w:val="231F20"/>
          <w:w w:val="99"/>
        </w:rPr>
        <w:t>non-communicable</w:t>
      </w:r>
      <w:r>
        <w:rPr>
          <w:color w:val="231F20"/>
          <w:spacing w:val="-25"/>
        </w:rPr>
        <w:t xml:space="preserve"> </w:t>
      </w:r>
      <w:r>
        <w:rPr>
          <w:color w:val="231F20"/>
          <w:w w:val="99"/>
        </w:rPr>
        <w:t>diseases;</w:t>
      </w:r>
    </w:p>
    <w:p w14:paraId="280E4682" w14:textId="77777777" w:rsidR="009948F1" w:rsidRDefault="00BC0563">
      <w:pPr>
        <w:pStyle w:val="BodyText"/>
        <w:spacing w:before="7"/>
        <w:ind w:left="512"/>
      </w:pPr>
      <w:r>
        <w:rPr>
          <w:rFonts w:ascii="Symbol" w:hAnsi="Symbol"/>
          <w:color w:val="231F20"/>
          <w:spacing w:val="-248"/>
          <w:w w:val="600"/>
        </w:rPr>
        <w:t></w:t>
      </w:r>
      <w:r>
        <w:rPr>
          <w:color w:val="231F20"/>
          <w:w w:val="99"/>
        </w:rPr>
        <w:t>Mental</w:t>
      </w:r>
      <w:r>
        <w:rPr>
          <w:color w:val="231F20"/>
          <w:spacing w:val="-25"/>
        </w:rPr>
        <w:t xml:space="preserve"> </w:t>
      </w:r>
      <w:r>
        <w:rPr>
          <w:color w:val="231F20"/>
          <w:w w:val="99"/>
        </w:rPr>
        <w:t>health;</w:t>
      </w:r>
    </w:p>
    <w:p w14:paraId="46B3A984" w14:textId="77777777" w:rsidR="009948F1" w:rsidRDefault="00BC0563">
      <w:pPr>
        <w:pStyle w:val="BodyText"/>
        <w:spacing w:before="18"/>
        <w:ind w:left="512"/>
      </w:pPr>
      <w:r>
        <w:rPr>
          <w:rFonts w:ascii="Symbol" w:hAnsi="Symbol"/>
          <w:color w:val="231F20"/>
          <w:spacing w:val="-248"/>
          <w:w w:val="600"/>
        </w:rPr>
        <w:t></w:t>
      </w:r>
      <w:r>
        <w:rPr>
          <w:color w:val="231F20"/>
          <w:w w:val="99"/>
        </w:rPr>
        <w:t>Care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w w:val="99"/>
        </w:rPr>
        <w:t>elderly;</w:t>
      </w:r>
    </w:p>
    <w:p w14:paraId="757B00F2" w14:textId="77777777" w:rsidR="009948F1" w:rsidRDefault="00BC0563">
      <w:pPr>
        <w:pStyle w:val="BodyText"/>
        <w:spacing w:before="17"/>
        <w:ind w:left="512"/>
      </w:pPr>
      <w:r>
        <w:rPr>
          <w:rFonts w:ascii="Symbol" w:hAnsi="Symbol"/>
          <w:color w:val="231F20"/>
          <w:spacing w:val="-248"/>
          <w:w w:val="600"/>
        </w:rPr>
        <w:t></w:t>
      </w:r>
      <w:r>
        <w:rPr>
          <w:color w:val="231F20"/>
          <w:w w:val="99"/>
        </w:rPr>
        <w:t>Public</w:t>
      </w:r>
      <w:r>
        <w:rPr>
          <w:color w:val="231F20"/>
          <w:spacing w:val="-25"/>
        </w:rPr>
        <w:t xml:space="preserve"> </w:t>
      </w:r>
      <w:r>
        <w:rPr>
          <w:color w:val="231F20"/>
          <w:w w:val="99"/>
        </w:rPr>
        <w:t>health</w:t>
      </w:r>
      <w:r>
        <w:rPr>
          <w:color w:val="231F20"/>
          <w:spacing w:val="-25"/>
        </w:rPr>
        <w:t xml:space="preserve"> </w:t>
      </w:r>
      <w:r>
        <w:rPr>
          <w:color w:val="231F20"/>
          <w:w w:val="99"/>
        </w:rPr>
        <w:t>emergencies;</w:t>
      </w:r>
    </w:p>
    <w:p w14:paraId="0AE03582" w14:textId="77777777" w:rsidR="009948F1" w:rsidRDefault="00BC0563">
      <w:pPr>
        <w:pStyle w:val="BodyText"/>
        <w:spacing w:before="17"/>
        <w:ind w:left="512"/>
      </w:pPr>
      <w:r>
        <w:rPr>
          <w:rFonts w:ascii="Symbol" w:hAnsi="Symbol"/>
          <w:color w:val="231F20"/>
          <w:spacing w:val="-248"/>
          <w:w w:val="600"/>
        </w:rPr>
        <w:t></w:t>
      </w:r>
      <w:r>
        <w:rPr>
          <w:color w:val="231F20"/>
          <w:w w:val="99"/>
        </w:rPr>
        <w:t>Oral</w:t>
      </w:r>
      <w:r>
        <w:rPr>
          <w:color w:val="231F20"/>
          <w:spacing w:val="-25"/>
          <w:w w:val="99"/>
        </w:rPr>
        <w:t xml:space="preserve"> </w:t>
      </w:r>
      <w:r>
        <w:rPr>
          <w:color w:val="231F20"/>
          <w:w w:val="99"/>
        </w:rPr>
        <w:t>health;</w:t>
      </w:r>
    </w:p>
    <w:p w14:paraId="56717DCA" w14:textId="77777777" w:rsidR="009948F1" w:rsidRDefault="009948F1">
      <w:pPr>
        <w:sectPr w:rsidR="009948F1">
          <w:pgSz w:w="11910" w:h="16840"/>
          <w:pgMar w:top="1260" w:right="1080" w:bottom="1420" w:left="1120" w:header="0" w:footer="1235" w:gutter="0"/>
          <w:cols w:space="720"/>
        </w:sectPr>
      </w:pPr>
    </w:p>
    <w:p w14:paraId="5AF385BF" w14:textId="77777777" w:rsidR="009948F1" w:rsidRDefault="00BC0563">
      <w:pPr>
        <w:pStyle w:val="BodyText"/>
        <w:spacing w:before="31"/>
        <w:ind w:left="539"/>
      </w:pPr>
      <w:bookmarkStart w:id="12" w:name="Page_13"/>
      <w:bookmarkEnd w:id="12"/>
      <w:r>
        <w:rPr>
          <w:rFonts w:ascii="Symbol" w:hAnsi="Symbol"/>
          <w:color w:val="231F20"/>
          <w:spacing w:val="-248"/>
          <w:w w:val="600"/>
        </w:rPr>
        <w:lastRenderedPageBreak/>
        <w:t></w:t>
      </w:r>
      <w:r>
        <w:rPr>
          <w:color w:val="231F20"/>
          <w:w w:val="99"/>
        </w:rPr>
        <w:t>Eye</w:t>
      </w:r>
      <w:r>
        <w:rPr>
          <w:color w:val="231F20"/>
          <w:spacing w:val="-25"/>
          <w:w w:val="99"/>
        </w:rPr>
        <w:t xml:space="preserve"> </w:t>
      </w:r>
      <w:r>
        <w:rPr>
          <w:color w:val="231F20"/>
          <w:w w:val="99"/>
        </w:rPr>
        <w:t>health;</w:t>
      </w:r>
    </w:p>
    <w:p w14:paraId="4B5EE8A5" w14:textId="045CA4F8" w:rsidR="009948F1" w:rsidRDefault="00BC0563">
      <w:pPr>
        <w:pStyle w:val="BodyText"/>
        <w:spacing w:before="17" w:line="268" w:lineRule="auto"/>
        <w:ind w:left="899" w:hanging="360"/>
      </w:pPr>
      <w:r>
        <w:rPr>
          <w:rFonts w:ascii="Symbol" w:hAnsi="Symbol"/>
          <w:color w:val="231F20"/>
          <w:spacing w:val="-248"/>
          <w:w w:val="600"/>
        </w:rPr>
        <w:t></w:t>
      </w:r>
      <w:r w:rsidR="00C40945">
        <w:rPr>
          <w:color w:val="231F20"/>
          <w:w w:val="99"/>
        </w:rPr>
        <w:t>Environmental</w:t>
      </w:r>
      <w:r w:rsidR="00C40945">
        <w:rPr>
          <w:color w:val="231F20"/>
        </w:rPr>
        <w:t xml:space="preserve"> health (</w:t>
      </w:r>
      <w:r w:rsidR="00C40945">
        <w:rPr>
          <w:color w:val="231F20"/>
          <w:w w:val="99"/>
        </w:rPr>
        <w:t>water</w:t>
      </w:r>
      <w:r w:rsidR="00C40945">
        <w:rPr>
          <w:color w:val="231F20"/>
        </w:rPr>
        <w:t xml:space="preserve"> and sanitation</w:t>
      </w:r>
      <w:r w:rsidR="00C40945">
        <w:rPr>
          <w:color w:val="231F20"/>
          <w:w w:val="99"/>
        </w:rPr>
        <w:t>,</w:t>
      </w:r>
      <w:r w:rsidR="00C40945">
        <w:rPr>
          <w:color w:val="231F20"/>
        </w:rPr>
        <w:t xml:space="preserve"> food safety, snakebites and</w:t>
      </w:r>
      <w:r>
        <w:rPr>
          <w:color w:val="231F20"/>
        </w:rPr>
        <w:t xml:space="preserve"> </w:t>
      </w:r>
      <w:r>
        <w:rPr>
          <w:color w:val="231F20"/>
          <w:w w:val="99"/>
        </w:rPr>
        <w:t xml:space="preserve">chemical </w:t>
      </w:r>
      <w:proofErr w:type="spellStart"/>
      <w:r>
        <w:rPr>
          <w:color w:val="231F20"/>
          <w:w w:val="105"/>
        </w:rPr>
        <w:t>programme</w:t>
      </w:r>
      <w:proofErr w:type="spellEnd"/>
      <w:r>
        <w:rPr>
          <w:color w:val="231F20"/>
          <w:w w:val="105"/>
        </w:rPr>
        <w:t>);</w:t>
      </w:r>
    </w:p>
    <w:p w14:paraId="130FF03D" w14:textId="77777777" w:rsidR="009948F1" w:rsidRDefault="00BC0563">
      <w:pPr>
        <w:pStyle w:val="BodyText"/>
        <w:spacing w:line="258" w:lineRule="exact"/>
        <w:ind w:left="539"/>
      </w:pPr>
      <w:r>
        <w:rPr>
          <w:rFonts w:ascii="Symbol" w:hAnsi="Symbol"/>
          <w:color w:val="231F20"/>
          <w:spacing w:val="-248"/>
          <w:w w:val="600"/>
        </w:rPr>
        <w:t></w:t>
      </w:r>
      <w:r>
        <w:rPr>
          <w:color w:val="231F20"/>
          <w:w w:val="99"/>
        </w:rPr>
        <w:t>General</w:t>
      </w:r>
      <w:r>
        <w:rPr>
          <w:color w:val="231F20"/>
          <w:spacing w:val="-25"/>
        </w:rPr>
        <w:t xml:space="preserve"> </w:t>
      </w:r>
      <w:r>
        <w:rPr>
          <w:color w:val="231F20"/>
          <w:w w:val="99"/>
        </w:rPr>
        <w:t>and</w:t>
      </w:r>
      <w:r>
        <w:rPr>
          <w:color w:val="231F20"/>
          <w:spacing w:val="-25"/>
        </w:rPr>
        <w:t xml:space="preserve"> </w:t>
      </w:r>
      <w:r>
        <w:rPr>
          <w:color w:val="231F20"/>
          <w:w w:val="99"/>
        </w:rPr>
        <w:t>emergency</w:t>
      </w:r>
      <w:r>
        <w:rPr>
          <w:color w:val="231F20"/>
          <w:spacing w:val="-25"/>
        </w:rPr>
        <w:t xml:space="preserve"> </w:t>
      </w:r>
      <w:r>
        <w:rPr>
          <w:color w:val="231F20"/>
          <w:w w:val="99"/>
        </w:rPr>
        <w:t>hospital</w:t>
      </w:r>
      <w:r>
        <w:rPr>
          <w:color w:val="231F20"/>
          <w:spacing w:val="-25"/>
        </w:rPr>
        <w:t xml:space="preserve"> </w:t>
      </w:r>
      <w:r>
        <w:rPr>
          <w:color w:val="231F20"/>
        </w:rPr>
        <w:t>services;</w:t>
      </w:r>
    </w:p>
    <w:p w14:paraId="65801605" w14:textId="77777777" w:rsidR="009948F1" w:rsidRDefault="00BC0563">
      <w:pPr>
        <w:pStyle w:val="BodyText"/>
        <w:spacing w:before="18"/>
        <w:ind w:left="539"/>
      </w:pPr>
      <w:r>
        <w:rPr>
          <w:rFonts w:ascii="Symbol" w:hAnsi="Symbol"/>
          <w:color w:val="231F20"/>
          <w:spacing w:val="-248"/>
          <w:w w:val="600"/>
        </w:rPr>
        <w:t></w:t>
      </w:r>
      <w:r>
        <w:rPr>
          <w:color w:val="231F20"/>
          <w:w w:val="99"/>
        </w:rPr>
        <w:t>Health</w:t>
      </w:r>
      <w:r>
        <w:rPr>
          <w:color w:val="231F20"/>
          <w:spacing w:val="-25"/>
        </w:rPr>
        <w:t xml:space="preserve"> </w:t>
      </w:r>
      <w:r>
        <w:rPr>
          <w:color w:val="231F20"/>
          <w:w w:val="99"/>
        </w:rPr>
        <w:t>promotion.</w:t>
      </w:r>
    </w:p>
    <w:p w14:paraId="7DD9B10D" w14:textId="77777777" w:rsidR="009948F1" w:rsidRDefault="00BC0563">
      <w:pPr>
        <w:pStyle w:val="BodyText"/>
        <w:spacing w:before="32" w:line="271" w:lineRule="auto"/>
        <w:ind w:left="179" w:right="193"/>
        <w:jc w:val="both"/>
      </w:pPr>
      <w:r>
        <w:rPr>
          <w:color w:val="231F20"/>
        </w:rPr>
        <w:t xml:space="preserve">This framework provides the context, goals, strategic objectives, and recommended evidence- based and cost-effective interventions required to deliver improved performance of the </w:t>
      </w:r>
      <w:r>
        <w:rPr>
          <w:color w:val="231F20"/>
          <w:spacing w:val="-3"/>
        </w:rPr>
        <w:t xml:space="preserve">health </w:t>
      </w:r>
      <w:r>
        <w:rPr>
          <w:color w:val="231F20"/>
        </w:rPr>
        <w:t>system</w:t>
      </w:r>
      <w:r>
        <w:rPr>
          <w:color w:val="231F20"/>
          <w:spacing w:val="-7"/>
        </w:rPr>
        <w:t xml:space="preserve"> </w:t>
      </w:r>
      <w:r>
        <w:rPr>
          <w:color w:val="231F20"/>
        </w:rPr>
        <w:t>and</w:t>
      </w:r>
      <w:r>
        <w:rPr>
          <w:color w:val="231F20"/>
          <w:spacing w:val="-7"/>
        </w:rPr>
        <w:t xml:space="preserve"> </w:t>
      </w:r>
      <w:r>
        <w:rPr>
          <w:color w:val="231F20"/>
        </w:rPr>
        <w:t>health</w:t>
      </w:r>
      <w:r>
        <w:rPr>
          <w:color w:val="231F20"/>
          <w:spacing w:val="-7"/>
        </w:rPr>
        <w:t xml:space="preserve"> </w:t>
      </w:r>
      <w:r>
        <w:rPr>
          <w:color w:val="231F20"/>
        </w:rPr>
        <w:t>outcomes</w:t>
      </w:r>
      <w:r>
        <w:rPr>
          <w:color w:val="231F20"/>
          <w:spacing w:val="-7"/>
        </w:rPr>
        <w:t xml:space="preserve"> </w:t>
      </w:r>
      <w:r>
        <w:rPr>
          <w:color w:val="231F20"/>
        </w:rPr>
        <w:t>for</w:t>
      </w:r>
      <w:r>
        <w:rPr>
          <w:color w:val="231F20"/>
          <w:spacing w:val="-7"/>
        </w:rPr>
        <w:t xml:space="preserve"> </w:t>
      </w:r>
      <w:r>
        <w:rPr>
          <w:color w:val="231F20"/>
        </w:rPr>
        <w:t>Rivers</w:t>
      </w:r>
      <w:r>
        <w:rPr>
          <w:color w:val="231F20"/>
          <w:spacing w:val="-6"/>
        </w:rPr>
        <w:t xml:space="preserve"> </w:t>
      </w:r>
      <w:r>
        <w:rPr>
          <w:color w:val="231F20"/>
        </w:rPr>
        <w:t>people</w:t>
      </w:r>
      <w:r>
        <w:rPr>
          <w:color w:val="231F20"/>
          <w:spacing w:val="-7"/>
        </w:rPr>
        <w:t xml:space="preserve"> </w:t>
      </w:r>
      <w:r>
        <w:rPr>
          <w:color w:val="231F20"/>
        </w:rPr>
        <w:t>for</w:t>
      </w:r>
      <w:r>
        <w:rPr>
          <w:color w:val="231F20"/>
          <w:spacing w:val="-7"/>
        </w:rPr>
        <w:t xml:space="preserve"> </w:t>
      </w:r>
      <w:r>
        <w:rPr>
          <w:color w:val="231F20"/>
        </w:rPr>
        <w:t>each</w:t>
      </w:r>
      <w:r>
        <w:rPr>
          <w:color w:val="231F20"/>
          <w:spacing w:val="-7"/>
        </w:rPr>
        <w:t xml:space="preserve"> </w:t>
      </w:r>
      <w:r>
        <w:rPr>
          <w:color w:val="231F20"/>
        </w:rPr>
        <w:t>prioritized</w:t>
      </w:r>
      <w:r>
        <w:rPr>
          <w:color w:val="231F20"/>
          <w:spacing w:val="-7"/>
        </w:rPr>
        <w:t xml:space="preserve"> </w:t>
      </w:r>
      <w:r>
        <w:rPr>
          <w:color w:val="231F20"/>
        </w:rPr>
        <w:t>health</w:t>
      </w:r>
      <w:r>
        <w:rPr>
          <w:color w:val="231F20"/>
          <w:spacing w:val="-7"/>
        </w:rPr>
        <w:t xml:space="preserve"> </w:t>
      </w:r>
      <w:r>
        <w:rPr>
          <w:color w:val="231F20"/>
        </w:rPr>
        <w:t>system</w:t>
      </w:r>
      <w:r>
        <w:rPr>
          <w:color w:val="231F20"/>
          <w:spacing w:val="-6"/>
        </w:rPr>
        <w:t xml:space="preserve"> </w:t>
      </w:r>
      <w:r>
        <w:rPr>
          <w:color w:val="231F20"/>
        </w:rPr>
        <w:t>area.</w:t>
      </w:r>
      <w:r>
        <w:rPr>
          <w:color w:val="231F20"/>
          <w:spacing w:val="-11"/>
        </w:rPr>
        <w:t xml:space="preserve"> </w:t>
      </w:r>
      <w:r>
        <w:rPr>
          <w:color w:val="231F20"/>
        </w:rPr>
        <w:t>The</w:t>
      </w:r>
      <w:r>
        <w:rPr>
          <w:color w:val="231F20"/>
          <w:spacing w:val="-7"/>
        </w:rPr>
        <w:t xml:space="preserve"> </w:t>
      </w:r>
      <w:r>
        <w:rPr>
          <w:color w:val="231F20"/>
          <w:spacing w:val="-3"/>
        </w:rPr>
        <w:t xml:space="preserve">areas </w:t>
      </w:r>
      <w:r>
        <w:rPr>
          <w:color w:val="231F20"/>
        </w:rPr>
        <w:t>given</w:t>
      </w:r>
      <w:r>
        <w:rPr>
          <w:color w:val="231F20"/>
          <w:spacing w:val="-25"/>
        </w:rPr>
        <w:t xml:space="preserve"> </w:t>
      </w:r>
      <w:r>
        <w:rPr>
          <w:color w:val="231F20"/>
        </w:rPr>
        <w:t>high</w:t>
      </w:r>
      <w:r>
        <w:rPr>
          <w:color w:val="231F20"/>
          <w:spacing w:val="-25"/>
        </w:rPr>
        <w:t xml:space="preserve"> </w:t>
      </w:r>
      <w:r>
        <w:rPr>
          <w:color w:val="231F20"/>
        </w:rPr>
        <w:t>priority</w:t>
      </w:r>
      <w:r>
        <w:rPr>
          <w:color w:val="231F20"/>
          <w:spacing w:val="-25"/>
        </w:rPr>
        <w:t xml:space="preserve"> </w:t>
      </w:r>
      <w:r>
        <w:rPr>
          <w:color w:val="231F20"/>
        </w:rPr>
        <w:t>in</w:t>
      </w:r>
      <w:r>
        <w:rPr>
          <w:color w:val="231F20"/>
          <w:spacing w:val="-25"/>
        </w:rPr>
        <w:t xml:space="preserve"> </w:t>
      </w:r>
      <w:r>
        <w:rPr>
          <w:color w:val="231F20"/>
        </w:rPr>
        <w:t>the</w:t>
      </w:r>
      <w:r>
        <w:rPr>
          <w:color w:val="231F20"/>
          <w:spacing w:val="-26"/>
        </w:rPr>
        <w:t xml:space="preserve"> </w:t>
      </w:r>
      <w:r>
        <w:rPr>
          <w:color w:val="231F20"/>
        </w:rPr>
        <w:t>SSHDP</w:t>
      </w:r>
      <w:r>
        <w:rPr>
          <w:color w:val="231F20"/>
          <w:spacing w:val="-29"/>
        </w:rPr>
        <w:t xml:space="preserve"> </w:t>
      </w:r>
      <w:r>
        <w:rPr>
          <w:color w:val="231F20"/>
        </w:rPr>
        <w:t>II</w:t>
      </w:r>
      <w:r>
        <w:rPr>
          <w:color w:val="231F20"/>
          <w:spacing w:val="-25"/>
        </w:rPr>
        <w:t xml:space="preserve"> </w:t>
      </w:r>
      <w:r>
        <w:rPr>
          <w:color w:val="231F20"/>
        </w:rPr>
        <w:t>are:</w:t>
      </w:r>
    </w:p>
    <w:p w14:paraId="236A4DDD" w14:textId="111DFCDE" w:rsidR="009948F1" w:rsidRDefault="00BC0563">
      <w:pPr>
        <w:pStyle w:val="BodyText"/>
        <w:spacing w:line="268" w:lineRule="auto"/>
        <w:ind w:left="899" w:right="193" w:hanging="360"/>
        <w:jc w:val="both"/>
      </w:pPr>
      <w:r>
        <w:rPr>
          <w:rFonts w:ascii="Symbol" w:hAnsi="Symbol"/>
          <w:color w:val="231F20"/>
          <w:spacing w:val="-248"/>
          <w:w w:val="600"/>
        </w:rPr>
        <w:t></w:t>
      </w:r>
      <w:r>
        <w:rPr>
          <w:color w:val="231F20"/>
          <w:w w:val="99"/>
        </w:rPr>
        <w:t>Ensuring</w:t>
      </w:r>
      <w:r>
        <w:rPr>
          <w:color w:val="231F20"/>
        </w:rPr>
        <w:t xml:space="preserve"> e</w:t>
      </w:r>
      <w:r>
        <w:rPr>
          <w:color w:val="231F20"/>
          <w:spacing w:val="-4"/>
        </w:rPr>
        <w:t>f</w:t>
      </w:r>
      <w:r>
        <w:rPr>
          <w:color w:val="231F20"/>
        </w:rPr>
        <w:t xml:space="preserve">fective </w:t>
      </w:r>
      <w:proofErr w:type="gramStart"/>
      <w:r>
        <w:rPr>
          <w:color w:val="231F20"/>
          <w:w w:val="99"/>
        </w:rPr>
        <w:t>leadership</w:t>
      </w:r>
      <w:r>
        <w:rPr>
          <w:color w:val="231F20"/>
        </w:rPr>
        <w:t xml:space="preserve"> </w:t>
      </w:r>
      <w:r>
        <w:rPr>
          <w:color w:val="231F20"/>
          <w:spacing w:val="-16"/>
        </w:rPr>
        <w:t xml:space="preserve"> </w:t>
      </w:r>
      <w:r>
        <w:rPr>
          <w:color w:val="231F20"/>
          <w:w w:val="99"/>
        </w:rPr>
        <w:t>and</w:t>
      </w:r>
      <w:proofErr w:type="gramEnd"/>
      <w:r>
        <w:rPr>
          <w:color w:val="231F20"/>
        </w:rPr>
        <w:t xml:space="preserve"> </w:t>
      </w:r>
      <w:r>
        <w:rPr>
          <w:color w:val="231F20"/>
          <w:spacing w:val="-16"/>
        </w:rPr>
        <w:t xml:space="preserve"> </w:t>
      </w:r>
      <w:r>
        <w:rPr>
          <w:color w:val="231F20"/>
          <w:w w:val="99"/>
        </w:rPr>
        <w:t>governance</w:t>
      </w:r>
      <w:r>
        <w:rPr>
          <w:color w:val="231F20"/>
        </w:rPr>
        <w:t xml:space="preserve"> </w:t>
      </w:r>
      <w:r>
        <w:rPr>
          <w:color w:val="231F20"/>
          <w:spacing w:val="-16"/>
        </w:rPr>
        <w:t xml:space="preserve"> </w:t>
      </w:r>
      <w:r>
        <w:rPr>
          <w:color w:val="231F20"/>
          <w:w w:val="99"/>
        </w:rPr>
        <w:t>with</w:t>
      </w:r>
      <w:r>
        <w:rPr>
          <w:color w:val="231F20"/>
        </w:rPr>
        <w:t xml:space="preserve"> </w:t>
      </w:r>
      <w:r>
        <w:rPr>
          <w:color w:val="231F20"/>
          <w:spacing w:val="-16"/>
        </w:rPr>
        <w:t xml:space="preserve"> </w:t>
      </w:r>
      <w:r>
        <w:rPr>
          <w:color w:val="231F20"/>
          <w:w w:val="99"/>
        </w:rPr>
        <w:t>emphasis</w:t>
      </w:r>
      <w:r>
        <w:rPr>
          <w:color w:val="231F20"/>
        </w:rPr>
        <w:t xml:space="preserve"> </w:t>
      </w:r>
      <w:r>
        <w:rPr>
          <w:color w:val="231F20"/>
          <w:spacing w:val="-16"/>
        </w:rPr>
        <w:t xml:space="preserve"> </w:t>
      </w:r>
      <w:r>
        <w:rPr>
          <w:color w:val="231F20"/>
          <w:w w:val="99"/>
        </w:rPr>
        <w:t>on</w:t>
      </w:r>
      <w:r>
        <w:rPr>
          <w:color w:val="231F20"/>
        </w:rPr>
        <w:t xml:space="preserve"> </w:t>
      </w:r>
      <w:r>
        <w:rPr>
          <w:color w:val="231F20"/>
          <w:spacing w:val="-16"/>
        </w:rPr>
        <w:t xml:space="preserve"> </w:t>
      </w:r>
      <w:r>
        <w:rPr>
          <w:color w:val="231F20"/>
          <w:w w:val="99"/>
        </w:rPr>
        <w:t>increasing</w:t>
      </w:r>
      <w:r>
        <w:rPr>
          <w:color w:val="231F20"/>
        </w:rPr>
        <w:t xml:space="preserve"> </w:t>
      </w:r>
      <w:r>
        <w:rPr>
          <w:color w:val="231F20"/>
          <w:spacing w:val="-16"/>
        </w:rPr>
        <w:t xml:space="preserve"> </w:t>
      </w:r>
      <w:r>
        <w:rPr>
          <w:color w:val="231F20"/>
          <w:spacing w:val="-2"/>
          <w:w w:val="99"/>
        </w:rPr>
        <w:t>resource</w:t>
      </w:r>
      <w:r>
        <w:rPr>
          <w:color w:val="231F20"/>
          <w:w w:val="99"/>
        </w:rPr>
        <w:t xml:space="preserve"> </w:t>
      </w:r>
      <w:r>
        <w:rPr>
          <w:color w:val="231F20"/>
          <w:w w:val="105"/>
        </w:rPr>
        <w:t>mobilization</w:t>
      </w:r>
      <w:r>
        <w:rPr>
          <w:color w:val="231F20"/>
          <w:spacing w:val="-30"/>
          <w:w w:val="105"/>
        </w:rPr>
        <w:t xml:space="preserve"> </w:t>
      </w:r>
      <w:r>
        <w:rPr>
          <w:color w:val="231F20"/>
          <w:w w:val="105"/>
        </w:rPr>
        <w:t>and</w:t>
      </w:r>
      <w:r>
        <w:rPr>
          <w:color w:val="231F20"/>
          <w:spacing w:val="-29"/>
          <w:w w:val="105"/>
        </w:rPr>
        <w:t xml:space="preserve"> </w:t>
      </w:r>
      <w:r>
        <w:rPr>
          <w:color w:val="231F20"/>
          <w:w w:val="105"/>
        </w:rPr>
        <w:t>aligning</w:t>
      </w:r>
      <w:r>
        <w:rPr>
          <w:color w:val="231F20"/>
          <w:spacing w:val="-30"/>
          <w:w w:val="105"/>
        </w:rPr>
        <w:t xml:space="preserve"> </w:t>
      </w:r>
      <w:r>
        <w:rPr>
          <w:color w:val="231F20"/>
          <w:w w:val="105"/>
        </w:rPr>
        <w:t>funding</w:t>
      </w:r>
      <w:r>
        <w:rPr>
          <w:color w:val="231F20"/>
          <w:spacing w:val="-29"/>
          <w:w w:val="105"/>
        </w:rPr>
        <w:t xml:space="preserve"> </w:t>
      </w:r>
      <w:r>
        <w:rPr>
          <w:color w:val="231F20"/>
          <w:w w:val="105"/>
        </w:rPr>
        <w:t>to</w:t>
      </w:r>
      <w:r>
        <w:rPr>
          <w:color w:val="231F20"/>
          <w:spacing w:val="-30"/>
          <w:w w:val="105"/>
        </w:rPr>
        <w:t xml:space="preserve"> </w:t>
      </w:r>
      <w:r>
        <w:rPr>
          <w:color w:val="231F20"/>
          <w:w w:val="105"/>
        </w:rPr>
        <w:t>UHC;</w:t>
      </w:r>
    </w:p>
    <w:p w14:paraId="4039E0CA" w14:textId="77777777" w:rsidR="009948F1" w:rsidRDefault="00BC0563">
      <w:pPr>
        <w:pStyle w:val="BodyText"/>
        <w:spacing w:line="271" w:lineRule="auto"/>
        <w:ind w:left="898" w:right="193" w:hanging="360"/>
        <w:jc w:val="both"/>
      </w:pPr>
      <w:r>
        <w:rPr>
          <w:rFonts w:ascii="Symbol" w:hAnsi="Symbol"/>
          <w:color w:val="231F20"/>
          <w:spacing w:val="-248"/>
          <w:w w:val="600"/>
        </w:rPr>
        <w:t></w:t>
      </w:r>
      <w:r>
        <w:rPr>
          <w:color w:val="231F20"/>
          <w:w w:val="99"/>
        </w:rPr>
        <w:t>Reducing</w:t>
      </w:r>
      <w:r>
        <w:rPr>
          <w:color w:val="231F20"/>
          <w:spacing w:val="-19"/>
        </w:rPr>
        <w:t xml:space="preserve"> </w:t>
      </w:r>
      <w:r>
        <w:rPr>
          <w:color w:val="231F20"/>
          <w:w w:val="99"/>
        </w:rPr>
        <w:t>geographic</w:t>
      </w:r>
      <w:r>
        <w:rPr>
          <w:color w:val="231F20"/>
          <w:spacing w:val="-19"/>
        </w:rPr>
        <w:t xml:space="preserve"> </w:t>
      </w:r>
      <w:r>
        <w:rPr>
          <w:color w:val="231F20"/>
          <w:w w:val="99"/>
        </w:rPr>
        <w:t>and</w:t>
      </w:r>
      <w:r>
        <w:rPr>
          <w:color w:val="231F20"/>
          <w:spacing w:val="-19"/>
        </w:rPr>
        <w:t xml:space="preserve"> </w:t>
      </w:r>
      <w:r>
        <w:rPr>
          <w:color w:val="231F20"/>
          <w:w w:val="99"/>
        </w:rPr>
        <w:t>socioeconomic</w:t>
      </w:r>
      <w:r>
        <w:rPr>
          <w:color w:val="231F20"/>
          <w:spacing w:val="-19"/>
        </w:rPr>
        <w:t xml:space="preserve"> </w:t>
      </w:r>
      <w:r>
        <w:rPr>
          <w:color w:val="231F20"/>
          <w:w w:val="99"/>
        </w:rPr>
        <w:t>barriers</w:t>
      </w:r>
      <w:r>
        <w:rPr>
          <w:color w:val="231F20"/>
          <w:spacing w:val="-19"/>
        </w:rPr>
        <w:t xml:space="preserve"> </w:t>
      </w:r>
      <w:r>
        <w:rPr>
          <w:color w:val="231F20"/>
        </w:rPr>
        <w:t>to</w:t>
      </w:r>
      <w:r>
        <w:rPr>
          <w:color w:val="231F20"/>
          <w:spacing w:val="-19"/>
        </w:rPr>
        <w:t xml:space="preserve"> </w:t>
      </w:r>
      <w:r>
        <w:rPr>
          <w:color w:val="231F20"/>
        </w:rPr>
        <w:t>access,</w:t>
      </w:r>
      <w:r>
        <w:rPr>
          <w:color w:val="231F20"/>
          <w:spacing w:val="-19"/>
        </w:rPr>
        <w:t xml:space="preserve"> </w:t>
      </w:r>
      <w:r>
        <w:rPr>
          <w:color w:val="231F20"/>
          <w:w w:val="99"/>
        </w:rPr>
        <w:t>strengthening</w:t>
      </w:r>
      <w:r>
        <w:rPr>
          <w:color w:val="231F20"/>
          <w:spacing w:val="-19"/>
        </w:rPr>
        <w:t xml:space="preserve"> </w:t>
      </w:r>
      <w:r>
        <w:rPr>
          <w:color w:val="231F20"/>
          <w:w w:val="99"/>
        </w:rPr>
        <w:t>coordination</w:t>
      </w:r>
      <w:r>
        <w:rPr>
          <w:color w:val="231F20"/>
          <w:spacing w:val="-19"/>
        </w:rPr>
        <w:t xml:space="preserve"> </w:t>
      </w:r>
      <w:r>
        <w:rPr>
          <w:color w:val="231F20"/>
          <w:spacing w:val="-7"/>
        </w:rPr>
        <w:t>of</w:t>
      </w:r>
      <w:r>
        <w:rPr>
          <w:color w:val="231F20"/>
        </w:rPr>
        <w:t xml:space="preserve"> different levels of the health care system and also among various stakeholders </w:t>
      </w:r>
      <w:r>
        <w:rPr>
          <w:color w:val="231F20"/>
          <w:spacing w:val="-5"/>
        </w:rPr>
        <w:t xml:space="preserve">and </w:t>
      </w:r>
      <w:r>
        <w:rPr>
          <w:color w:val="231F20"/>
        </w:rPr>
        <w:t>strengthening</w:t>
      </w:r>
      <w:r>
        <w:rPr>
          <w:color w:val="231F20"/>
          <w:spacing w:val="-22"/>
        </w:rPr>
        <w:t xml:space="preserve"> </w:t>
      </w:r>
      <w:r>
        <w:rPr>
          <w:color w:val="231F20"/>
        </w:rPr>
        <w:t>regulatory</w:t>
      </w:r>
      <w:r>
        <w:rPr>
          <w:color w:val="231F20"/>
          <w:spacing w:val="-21"/>
        </w:rPr>
        <w:t xml:space="preserve"> </w:t>
      </w:r>
      <w:r>
        <w:rPr>
          <w:color w:val="231F20"/>
        </w:rPr>
        <w:t>institutions</w:t>
      </w:r>
      <w:r>
        <w:rPr>
          <w:color w:val="231F20"/>
          <w:spacing w:val="-22"/>
        </w:rPr>
        <w:t xml:space="preserve"> </w:t>
      </w:r>
      <w:r>
        <w:rPr>
          <w:color w:val="231F20"/>
        </w:rPr>
        <w:t>to</w:t>
      </w:r>
      <w:r>
        <w:rPr>
          <w:color w:val="231F20"/>
          <w:spacing w:val="-22"/>
        </w:rPr>
        <w:t xml:space="preserve"> </w:t>
      </w:r>
      <w:r>
        <w:rPr>
          <w:color w:val="231F20"/>
        </w:rPr>
        <w:t>ensure</w:t>
      </w:r>
      <w:r>
        <w:rPr>
          <w:color w:val="231F20"/>
          <w:spacing w:val="-21"/>
        </w:rPr>
        <w:t xml:space="preserve"> </w:t>
      </w:r>
      <w:r>
        <w:rPr>
          <w:color w:val="231F20"/>
        </w:rPr>
        <w:t>effective</w:t>
      </w:r>
      <w:r>
        <w:rPr>
          <w:color w:val="231F20"/>
          <w:spacing w:val="-23"/>
        </w:rPr>
        <w:t xml:space="preserve"> </w:t>
      </w:r>
      <w:r>
        <w:rPr>
          <w:color w:val="231F20"/>
        </w:rPr>
        <w:t>functionality;</w:t>
      </w:r>
      <w:r>
        <w:rPr>
          <w:color w:val="231F20"/>
          <w:spacing w:val="-21"/>
        </w:rPr>
        <w:t xml:space="preserve"> </w:t>
      </w:r>
      <w:r>
        <w:rPr>
          <w:color w:val="231F20"/>
        </w:rPr>
        <w:t>and</w:t>
      </w:r>
      <w:r>
        <w:rPr>
          <w:color w:val="231F20"/>
          <w:spacing w:val="-22"/>
        </w:rPr>
        <w:t xml:space="preserve"> </w:t>
      </w:r>
      <w:r>
        <w:rPr>
          <w:color w:val="231F20"/>
        </w:rPr>
        <w:t>Improving</w:t>
      </w:r>
      <w:r>
        <w:rPr>
          <w:color w:val="231F20"/>
          <w:spacing w:val="-22"/>
        </w:rPr>
        <w:t xml:space="preserve"> </w:t>
      </w:r>
      <w:r>
        <w:rPr>
          <w:color w:val="231F20"/>
          <w:spacing w:val="-3"/>
        </w:rPr>
        <w:t xml:space="preserve">human </w:t>
      </w:r>
      <w:r>
        <w:rPr>
          <w:color w:val="231F20"/>
        </w:rPr>
        <w:t xml:space="preserve">resource management through effective performance appraisals and reward </w:t>
      </w:r>
      <w:r>
        <w:rPr>
          <w:color w:val="231F20"/>
          <w:spacing w:val="-3"/>
        </w:rPr>
        <w:t xml:space="preserve">systems </w:t>
      </w:r>
      <w:r>
        <w:rPr>
          <w:color w:val="231F20"/>
        </w:rPr>
        <w:t>based on</w:t>
      </w:r>
      <w:r>
        <w:rPr>
          <w:color w:val="231F20"/>
          <w:spacing w:val="-50"/>
        </w:rPr>
        <w:t xml:space="preserve"> </w:t>
      </w:r>
      <w:r>
        <w:rPr>
          <w:color w:val="231F20"/>
        </w:rPr>
        <w:t>performance;</w:t>
      </w:r>
    </w:p>
    <w:p w14:paraId="0771867E" w14:textId="77777777" w:rsidR="009948F1" w:rsidRDefault="00BC0563">
      <w:pPr>
        <w:pStyle w:val="BodyText"/>
        <w:spacing w:line="271" w:lineRule="auto"/>
        <w:ind w:left="898" w:right="193" w:hanging="360"/>
        <w:jc w:val="both"/>
      </w:pPr>
      <w:r>
        <w:rPr>
          <w:rFonts w:ascii="Symbol" w:hAnsi="Symbol"/>
          <w:color w:val="231F20"/>
          <w:spacing w:val="-248"/>
          <w:w w:val="600"/>
        </w:rPr>
        <w:t></w:t>
      </w:r>
      <w:r>
        <w:rPr>
          <w:color w:val="231F20"/>
          <w:w w:val="99"/>
        </w:rPr>
        <w:t>Review</w:t>
      </w:r>
      <w:r>
        <w:rPr>
          <w:color w:val="231F20"/>
        </w:rPr>
        <w:t xml:space="preserve"> </w:t>
      </w:r>
      <w:r>
        <w:rPr>
          <w:color w:val="231F20"/>
          <w:spacing w:val="-9"/>
        </w:rPr>
        <w:t xml:space="preserve"> </w:t>
      </w:r>
      <w:r>
        <w:rPr>
          <w:color w:val="231F20"/>
          <w:w w:val="99"/>
        </w:rPr>
        <w:t>financing</w:t>
      </w:r>
      <w:r>
        <w:rPr>
          <w:color w:val="231F20"/>
        </w:rPr>
        <w:t xml:space="preserve"> </w:t>
      </w:r>
      <w:r>
        <w:rPr>
          <w:color w:val="231F20"/>
          <w:spacing w:val="-9"/>
        </w:rPr>
        <w:t xml:space="preserve"> </w:t>
      </w:r>
      <w:r>
        <w:rPr>
          <w:color w:val="231F20"/>
          <w:w w:val="99"/>
        </w:rPr>
        <w:t>mechanisms</w:t>
      </w:r>
      <w:r>
        <w:rPr>
          <w:color w:val="231F20"/>
        </w:rPr>
        <w:t xml:space="preserve"> </w:t>
      </w:r>
      <w:r>
        <w:rPr>
          <w:color w:val="231F20"/>
          <w:spacing w:val="-9"/>
        </w:rPr>
        <w:t xml:space="preserve"> </w:t>
      </w:r>
      <w:r>
        <w:rPr>
          <w:color w:val="231F20"/>
        </w:rPr>
        <w:t xml:space="preserve">to </w:t>
      </w:r>
      <w:r>
        <w:rPr>
          <w:color w:val="231F20"/>
          <w:spacing w:val="-9"/>
        </w:rPr>
        <w:t xml:space="preserve"> </w:t>
      </w:r>
      <w:r>
        <w:rPr>
          <w:color w:val="231F20"/>
          <w:w w:val="99"/>
        </w:rPr>
        <w:t>ensure</w:t>
      </w:r>
      <w:r>
        <w:rPr>
          <w:color w:val="231F20"/>
        </w:rPr>
        <w:t xml:space="preserve"> </w:t>
      </w:r>
      <w:r>
        <w:rPr>
          <w:color w:val="231F20"/>
          <w:spacing w:val="-9"/>
        </w:rPr>
        <w:t xml:space="preserve"> </w:t>
      </w:r>
      <w:r>
        <w:rPr>
          <w:color w:val="231F20"/>
          <w:w w:val="99"/>
        </w:rPr>
        <w:t>functionalit</w:t>
      </w:r>
      <w:r>
        <w:rPr>
          <w:color w:val="231F20"/>
          <w:spacing w:val="-17"/>
          <w:w w:val="99"/>
        </w:rPr>
        <w:t>y</w:t>
      </w:r>
      <w:r>
        <w:rPr>
          <w:color w:val="231F20"/>
        </w:rPr>
        <w:t xml:space="preserve">, </w:t>
      </w:r>
      <w:r>
        <w:rPr>
          <w:color w:val="231F20"/>
          <w:spacing w:val="-9"/>
        </w:rPr>
        <w:t xml:space="preserve"> </w:t>
      </w:r>
      <w:r>
        <w:rPr>
          <w:color w:val="231F20"/>
          <w:w w:val="99"/>
        </w:rPr>
        <w:t>allocative</w:t>
      </w:r>
      <w:r>
        <w:rPr>
          <w:color w:val="231F20"/>
        </w:rPr>
        <w:t xml:space="preserve"> </w:t>
      </w:r>
      <w:r>
        <w:rPr>
          <w:color w:val="231F20"/>
          <w:spacing w:val="-9"/>
        </w:rPr>
        <w:t xml:space="preserve"> </w:t>
      </w:r>
      <w:r>
        <w:rPr>
          <w:color w:val="231F20"/>
        </w:rPr>
        <w:t>e</w:t>
      </w:r>
      <w:r>
        <w:rPr>
          <w:color w:val="231F20"/>
          <w:spacing w:val="-4"/>
        </w:rPr>
        <w:t>f</w:t>
      </w:r>
      <w:r>
        <w:rPr>
          <w:color w:val="231F20"/>
          <w:w w:val="99"/>
        </w:rPr>
        <w:t>ficiency</w:t>
      </w:r>
      <w:r>
        <w:rPr>
          <w:color w:val="231F20"/>
        </w:rPr>
        <w:t xml:space="preserve"> </w:t>
      </w:r>
      <w:r>
        <w:rPr>
          <w:color w:val="231F20"/>
          <w:spacing w:val="-9"/>
        </w:rPr>
        <w:t xml:space="preserve"> </w:t>
      </w:r>
      <w:r>
        <w:rPr>
          <w:color w:val="231F20"/>
          <w:w w:val="99"/>
        </w:rPr>
        <w:t>and</w:t>
      </w:r>
      <w:r>
        <w:rPr>
          <w:color w:val="231F20"/>
        </w:rPr>
        <w:t xml:space="preserve"> </w:t>
      </w:r>
      <w:r>
        <w:rPr>
          <w:color w:val="231F20"/>
          <w:spacing w:val="-9"/>
        </w:rPr>
        <w:t xml:space="preserve"> </w:t>
      </w:r>
      <w:r>
        <w:rPr>
          <w:color w:val="231F20"/>
          <w:w w:val="99"/>
        </w:rPr>
        <w:t xml:space="preserve">rapid </w:t>
      </w:r>
      <w:r>
        <w:rPr>
          <w:color w:val="231F20"/>
        </w:rPr>
        <w:t>expansion of social health insurance so as to increase risk protection and increased funding, including government's increased funding to the health sector in line with Abuja Declaration;</w:t>
      </w:r>
    </w:p>
    <w:p w14:paraId="294152D6" w14:textId="77777777" w:rsidR="009948F1" w:rsidRDefault="00BC0563">
      <w:pPr>
        <w:pStyle w:val="BodyText"/>
        <w:spacing w:line="255" w:lineRule="exact"/>
        <w:ind w:left="538"/>
        <w:jc w:val="both"/>
      </w:pPr>
      <w:r>
        <w:rPr>
          <w:rFonts w:ascii="Symbol" w:hAnsi="Symbol"/>
          <w:color w:val="231F20"/>
          <w:spacing w:val="-248"/>
          <w:w w:val="600"/>
        </w:rPr>
        <w:t></w:t>
      </w:r>
      <w:r>
        <w:rPr>
          <w:color w:val="231F20"/>
          <w:w w:val="99"/>
        </w:rPr>
        <w:t>Strengthen</w:t>
      </w:r>
      <w:r>
        <w:rPr>
          <w:color w:val="231F20"/>
        </w:rPr>
        <w:t xml:space="preserve"> </w:t>
      </w:r>
      <w:r>
        <w:rPr>
          <w:color w:val="231F20"/>
          <w:w w:val="99"/>
        </w:rPr>
        <w:t>PHC</w:t>
      </w:r>
      <w:r>
        <w:rPr>
          <w:color w:val="231F20"/>
        </w:rPr>
        <w:t xml:space="preserve"> </w:t>
      </w:r>
      <w:r>
        <w:rPr>
          <w:color w:val="231F20"/>
          <w:w w:val="99"/>
        </w:rPr>
        <w:t>and</w:t>
      </w:r>
      <w:r>
        <w:rPr>
          <w:color w:val="231F20"/>
          <w:spacing w:val="-3"/>
        </w:rPr>
        <w:t xml:space="preserve"> </w:t>
      </w:r>
      <w:r>
        <w:rPr>
          <w:color w:val="231F20"/>
          <w:w w:val="99"/>
        </w:rPr>
        <w:t>other</w:t>
      </w:r>
      <w:r>
        <w:rPr>
          <w:color w:val="231F20"/>
        </w:rPr>
        <w:t xml:space="preserve"> </w:t>
      </w:r>
      <w:r>
        <w:rPr>
          <w:color w:val="231F20"/>
          <w:w w:val="99"/>
        </w:rPr>
        <w:t>levels</w:t>
      </w:r>
      <w:r>
        <w:rPr>
          <w:color w:val="231F20"/>
        </w:rPr>
        <w:t xml:space="preserve"> of</w:t>
      </w:r>
      <w:r>
        <w:rPr>
          <w:color w:val="231F20"/>
          <w:spacing w:val="-3"/>
        </w:rPr>
        <w:t xml:space="preserve"> </w:t>
      </w:r>
      <w:r>
        <w:rPr>
          <w:color w:val="231F20"/>
        </w:rPr>
        <w:t xml:space="preserve">the </w:t>
      </w:r>
      <w:r>
        <w:rPr>
          <w:color w:val="231F20"/>
          <w:w w:val="99"/>
        </w:rPr>
        <w:t>health</w:t>
      </w:r>
      <w:r>
        <w:rPr>
          <w:color w:val="231F20"/>
        </w:rPr>
        <w:t xml:space="preserve"> </w:t>
      </w:r>
      <w:r>
        <w:rPr>
          <w:color w:val="231F20"/>
          <w:w w:val="99"/>
        </w:rPr>
        <w:t>care</w:t>
      </w:r>
      <w:r>
        <w:rPr>
          <w:color w:val="231F20"/>
          <w:spacing w:val="-3"/>
        </w:rPr>
        <w:t xml:space="preserve"> </w:t>
      </w:r>
      <w:r>
        <w:rPr>
          <w:color w:val="231F20"/>
        </w:rPr>
        <w:t xml:space="preserve">system </w:t>
      </w:r>
      <w:r>
        <w:rPr>
          <w:color w:val="231F20"/>
          <w:w w:val="99"/>
        </w:rPr>
        <w:t>by</w:t>
      </w:r>
      <w:r>
        <w:rPr>
          <w:color w:val="231F20"/>
        </w:rPr>
        <w:t xml:space="preserve"> </w:t>
      </w:r>
      <w:r>
        <w:rPr>
          <w:color w:val="231F20"/>
          <w:w w:val="99"/>
        </w:rPr>
        <w:t>defining</w:t>
      </w:r>
      <w:r>
        <w:rPr>
          <w:color w:val="231F20"/>
          <w:spacing w:val="-3"/>
        </w:rPr>
        <w:t xml:space="preserve"> </w:t>
      </w:r>
      <w:r>
        <w:rPr>
          <w:color w:val="231F20"/>
          <w:w w:val="99"/>
        </w:rPr>
        <w:t>and</w:t>
      </w:r>
      <w:r>
        <w:rPr>
          <w:color w:val="231F20"/>
        </w:rPr>
        <w:t xml:space="preserve"> </w:t>
      </w:r>
      <w:r>
        <w:rPr>
          <w:color w:val="231F20"/>
          <w:w w:val="99"/>
        </w:rPr>
        <w:t>approving</w:t>
      </w:r>
      <w:r>
        <w:rPr>
          <w:color w:val="231F20"/>
        </w:rPr>
        <w:t xml:space="preserve"> </w:t>
      </w:r>
      <w:r>
        <w:rPr>
          <w:color w:val="231F20"/>
          <w:w w:val="99"/>
        </w:rPr>
        <w:t>an</w:t>
      </w:r>
    </w:p>
    <w:p w14:paraId="4A13A506" w14:textId="77777777" w:rsidR="009948F1" w:rsidRDefault="00BC0563">
      <w:pPr>
        <w:pStyle w:val="BodyText"/>
        <w:ind w:left="898"/>
        <w:jc w:val="both"/>
      </w:pPr>
      <w:r>
        <w:rPr>
          <w:color w:val="231F20"/>
        </w:rPr>
        <w:t xml:space="preserve">essential health care package for all Rivers </w:t>
      </w:r>
      <w:proofErr w:type="gramStart"/>
      <w:r>
        <w:rPr>
          <w:color w:val="231F20"/>
        </w:rPr>
        <w:t>people;</w:t>
      </w:r>
      <w:proofErr w:type="gramEnd"/>
    </w:p>
    <w:p w14:paraId="6EAEA361" w14:textId="02B67D01" w:rsidR="009948F1" w:rsidRDefault="00BC0563">
      <w:pPr>
        <w:pStyle w:val="BodyText"/>
        <w:spacing w:before="16" w:line="268" w:lineRule="auto"/>
        <w:ind w:left="898" w:hanging="360"/>
      </w:pPr>
      <w:r>
        <w:rPr>
          <w:rFonts w:ascii="Symbol" w:hAnsi="Symbol"/>
          <w:color w:val="231F20"/>
          <w:spacing w:val="-248"/>
          <w:w w:val="600"/>
        </w:rPr>
        <w:t></w:t>
      </w:r>
      <w:r>
        <w:rPr>
          <w:color w:val="231F20"/>
          <w:w w:val="99"/>
        </w:rPr>
        <w:t>Strengthening</w:t>
      </w:r>
      <w:r w:rsidR="00777DF0">
        <w:rPr>
          <w:color w:val="231F20"/>
        </w:rPr>
        <w:t xml:space="preserve"> </w:t>
      </w:r>
      <w:r>
        <w:rPr>
          <w:color w:val="231F20"/>
        </w:rPr>
        <w:t>LGA/</w:t>
      </w:r>
      <w:proofErr w:type="gramStart"/>
      <w:r>
        <w:rPr>
          <w:color w:val="231F20"/>
        </w:rPr>
        <w:t xml:space="preserve">primary  </w:t>
      </w:r>
      <w:r>
        <w:rPr>
          <w:color w:val="231F20"/>
          <w:w w:val="99"/>
        </w:rPr>
        <w:t>health</w:t>
      </w:r>
      <w:proofErr w:type="gramEnd"/>
      <w:r>
        <w:rPr>
          <w:color w:val="231F20"/>
        </w:rPr>
        <w:t xml:space="preserve">  </w:t>
      </w:r>
      <w:r>
        <w:rPr>
          <w:color w:val="231F20"/>
          <w:w w:val="99"/>
        </w:rPr>
        <w:t>care</w:t>
      </w:r>
      <w:r>
        <w:rPr>
          <w:color w:val="231F20"/>
        </w:rPr>
        <w:t xml:space="preserve">  </w:t>
      </w:r>
      <w:r>
        <w:rPr>
          <w:color w:val="231F20"/>
          <w:w w:val="99"/>
        </w:rPr>
        <w:t>services</w:t>
      </w:r>
      <w:r>
        <w:rPr>
          <w:color w:val="231F20"/>
        </w:rPr>
        <w:t xml:space="preserve">  </w:t>
      </w:r>
      <w:r>
        <w:rPr>
          <w:color w:val="231F20"/>
          <w:w w:val="99"/>
        </w:rPr>
        <w:t>and</w:t>
      </w:r>
      <w:r>
        <w:rPr>
          <w:color w:val="231F20"/>
        </w:rPr>
        <w:t xml:space="preserve">  community  systems  to  </w:t>
      </w:r>
      <w:r>
        <w:rPr>
          <w:color w:val="231F20"/>
          <w:w w:val="99"/>
        </w:rPr>
        <w:t xml:space="preserve">ensure </w:t>
      </w:r>
      <w:r>
        <w:rPr>
          <w:color w:val="231F20"/>
        </w:rPr>
        <w:t>resilience and guarantee health security;</w:t>
      </w:r>
    </w:p>
    <w:p w14:paraId="3CBEB607" w14:textId="77777777" w:rsidR="009948F1" w:rsidRDefault="00BC0563">
      <w:pPr>
        <w:pStyle w:val="BodyText"/>
        <w:spacing w:line="268" w:lineRule="auto"/>
        <w:ind w:left="898" w:right="187" w:hanging="360"/>
      </w:pPr>
      <w:r>
        <w:rPr>
          <w:rFonts w:ascii="Symbol" w:hAnsi="Symbol"/>
          <w:color w:val="231F20"/>
          <w:spacing w:val="-248"/>
          <w:w w:val="600"/>
        </w:rPr>
        <w:t></w:t>
      </w:r>
      <w:r>
        <w:rPr>
          <w:color w:val="231F20"/>
          <w:w w:val="99"/>
        </w:rPr>
        <w:t>Develop</w:t>
      </w:r>
      <w:r>
        <w:rPr>
          <w:color w:val="231F20"/>
        </w:rPr>
        <w:t xml:space="preserve"> </w:t>
      </w:r>
      <w:r>
        <w:rPr>
          <w:color w:val="231F20"/>
          <w:spacing w:val="-8"/>
        </w:rPr>
        <w:t xml:space="preserve"> </w:t>
      </w:r>
      <w:r>
        <w:rPr>
          <w:color w:val="231F20"/>
          <w:w w:val="99"/>
        </w:rPr>
        <w:t>standards</w:t>
      </w:r>
      <w:r>
        <w:rPr>
          <w:color w:val="231F20"/>
        </w:rPr>
        <w:t xml:space="preserve"> </w:t>
      </w:r>
      <w:r>
        <w:rPr>
          <w:color w:val="231F20"/>
          <w:spacing w:val="-8"/>
        </w:rPr>
        <w:t xml:space="preserve"> </w:t>
      </w:r>
      <w:r>
        <w:rPr>
          <w:color w:val="231F20"/>
        </w:rPr>
        <w:t xml:space="preserve">of </w:t>
      </w:r>
      <w:r>
        <w:rPr>
          <w:color w:val="231F20"/>
          <w:spacing w:val="-8"/>
        </w:rPr>
        <w:t xml:space="preserve"> </w:t>
      </w:r>
      <w:r>
        <w:rPr>
          <w:color w:val="231F20"/>
          <w:w w:val="99"/>
        </w:rPr>
        <w:t>practice</w:t>
      </w:r>
      <w:r>
        <w:rPr>
          <w:color w:val="231F20"/>
        </w:rPr>
        <w:t xml:space="preserve"> </w:t>
      </w:r>
      <w:r>
        <w:rPr>
          <w:color w:val="231F20"/>
          <w:spacing w:val="-8"/>
        </w:rPr>
        <w:t xml:space="preserve"> </w:t>
      </w:r>
      <w:r>
        <w:rPr>
          <w:color w:val="231F20"/>
        </w:rPr>
        <w:t xml:space="preserve">at </w:t>
      </w:r>
      <w:r>
        <w:rPr>
          <w:color w:val="231F20"/>
          <w:spacing w:val="-8"/>
        </w:rPr>
        <w:t xml:space="preserve"> </w:t>
      </w:r>
      <w:r>
        <w:rPr>
          <w:color w:val="231F20"/>
          <w:w w:val="99"/>
        </w:rPr>
        <w:t>di</w:t>
      </w:r>
      <w:r>
        <w:rPr>
          <w:color w:val="231F20"/>
          <w:spacing w:val="-4"/>
          <w:w w:val="99"/>
        </w:rPr>
        <w:t>f</w:t>
      </w:r>
      <w:r>
        <w:rPr>
          <w:color w:val="231F20"/>
          <w:w w:val="99"/>
        </w:rPr>
        <w:t>ferent</w:t>
      </w:r>
      <w:r>
        <w:rPr>
          <w:color w:val="231F20"/>
        </w:rPr>
        <w:t xml:space="preserve"> </w:t>
      </w:r>
      <w:r>
        <w:rPr>
          <w:color w:val="231F20"/>
          <w:spacing w:val="-8"/>
        </w:rPr>
        <w:t xml:space="preserve"> </w:t>
      </w:r>
      <w:r>
        <w:rPr>
          <w:color w:val="231F20"/>
          <w:w w:val="99"/>
        </w:rPr>
        <w:t>levels</w:t>
      </w:r>
      <w:r>
        <w:rPr>
          <w:color w:val="231F20"/>
        </w:rPr>
        <w:t xml:space="preserve"> </w:t>
      </w:r>
      <w:r>
        <w:rPr>
          <w:color w:val="231F20"/>
          <w:spacing w:val="-8"/>
        </w:rPr>
        <w:t xml:space="preserve"> </w:t>
      </w:r>
      <w:r>
        <w:rPr>
          <w:color w:val="231F20"/>
        </w:rPr>
        <w:t xml:space="preserve">of </w:t>
      </w:r>
      <w:r>
        <w:rPr>
          <w:color w:val="231F20"/>
          <w:spacing w:val="-8"/>
        </w:rPr>
        <w:t xml:space="preserve"> </w:t>
      </w:r>
      <w:r>
        <w:rPr>
          <w:color w:val="231F20"/>
        </w:rPr>
        <w:t xml:space="preserve">the </w:t>
      </w:r>
      <w:r>
        <w:rPr>
          <w:color w:val="231F20"/>
          <w:spacing w:val="-8"/>
        </w:rPr>
        <w:t xml:space="preserve"> </w:t>
      </w:r>
      <w:r>
        <w:rPr>
          <w:color w:val="231F20"/>
          <w:w w:val="99"/>
        </w:rPr>
        <w:t>health</w:t>
      </w:r>
      <w:r>
        <w:rPr>
          <w:color w:val="231F20"/>
        </w:rPr>
        <w:t xml:space="preserve"> </w:t>
      </w:r>
      <w:r>
        <w:rPr>
          <w:color w:val="231F20"/>
          <w:spacing w:val="-8"/>
        </w:rPr>
        <w:t xml:space="preserve"> </w:t>
      </w:r>
      <w:r>
        <w:rPr>
          <w:color w:val="231F20"/>
          <w:w w:val="99"/>
        </w:rPr>
        <w:t>care</w:t>
      </w:r>
      <w:r>
        <w:rPr>
          <w:color w:val="231F20"/>
        </w:rPr>
        <w:t xml:space="preserve"> </w:t>
      </w:r>
      <w:r>
        <w:rPr>
          <w:color w:val="231F20"/>
          <w:spacing w:val="-8"/>
        </w:rPr>
        <w:t xml:space="preserve"> </w:t>
      </w:r>
      <w:r>
        <w:rPr>
          <w:color w:val="231F20"/>
        </w:rPr>
        <w:t xml:space="preserve">system, </w:t>
      </w:r>
      <w:r>
        <w:rPr>
          <w:color w:val="231F20"/>
          <w:spacing w:val="-8"/>
        </w:rPr>
        <w:t xml:space="preserve"> </w:t>
      </w:r>
      <w:r>
        <w:rPr>
          <w:color w:val="231F20"/>
          <w:w w:val="99"/>
        </w:rPr>
        <w:t xml:space="preserve">referral </w:t>
      </w:r>
      <w:r>
        <w:rPr>
          <w:color w:val="231F20"/>
          <w:w w:val="105"/>
        </w:rPr>
        <w:t>guidelines</w:t>
      </w:r>
      <w:r>
        <w:rPr>
          <w:color w:val="231F20"/>
          <w:spacing w:val="-31"/>
          <w:w w:val="105"/>
        </w:rPr>
        <w:t xml:space="preserve"> </w:t>
      </w:r>
      <w:r>
        <w:rPr>
          <w:color w:val="231F20"/>
          <w:w w:val="105"/>
        </w:rPr>
        <w:t>and</w:t>
      </w:r>
      <w:r>
        <w:rPr>
          <w:color w:val="231F20"/>
          <w:spacing w:val="-31"/>
          <w:w w:val="105"/>
        </w:rPr>
        <w:t xml:space="preserve"> </w:t>
      </w:r>
      <w:r>
        <w:rPr>
          <w:color w:val="231F20"/>
          <w:w w:val="105"/>
        </w:rPr>
        <w:t>ensure</w:t>
      </w:r>
      <w:r>
        <w:rPr>
          <w:color w:val="231F20"/>
          <w:spacing w:val="-31"/>
          <w:w w:val="105"/>
        </w:rPr>
        <w:t xml:space="preserve"> </w:t>
      </w:r>
      <w:r>
        <w:rPr>
          <w:color w:val="231F20"/>
          <w:w w:val="105"/>
        </w:rPr>
        <w:t>functionality</w:t>
      </w:r>
      <w:r>
        <w:rPr>
          <w:color w:val="231F20"/>
          <w:spacing w:val="-30"/>
          <w:w w:val="105"/>
        </w:rPr>
        <w:t xml:space="preserve"> </w:t>
      </w:r>
      <w:r>
        <w:rPr>
          <w:color w:val="231F20"/>
          <w:w w:val="105"/>
        </w:rPr>
        <w:t>of</w:t>
      </w:r>
      <w:r>
        <w:rPr>
          <w:color w:val="231F20"/>
          <w:spacing w:val="-31"/>
          <w:w w:val="105"/>
        </w:rPr>
        <w:t xml:space="preserve"> </w:t>
      </w:r>
      <w:r>
        <w:rPr>
          <w:color w:val="231F20"/>
          <w:w w:val="105"/>
        </w:rPr>
        <w:t>the</w:t>
      </w:r>
      <w:r>
        <w:rPr>
          <w:color w:val="231F20"/>
          <w:spacing w:val="-31"/>
          <w:w w:val="105"/>
        </w:rPr>
        <w:t xml:space="preserve"> </w:t>
      </w:r>
      <w:r>
        <w:rPr>
          <w:color w:val="231F20"/>
          <w:w w:val="105"/>
        </w:rPr>
        <w:t>referral</w:t>
      </w:r>
      <w:r>
        <w:rPr>
          <w:color w:val="231F20"/>
          <w:spacing w:val="-31"/>
          <w:w w:val="105"/>
        </w:rPr>
        <w:t xml:space="preserve"> </w:t>
      </w:r>
      <w:r>
        <w:rPr>
          <w:color w:val="231F20"/>
          <w:w w:val="105"/>
        </w:rPr>
        <w:t>system;</w:t>
      </w:r>
    </w:p>
    <w:p w14:paraId="7B59F2B2" w14:textId="77777777" w:rsidR="009948F1" w:rsidRDefault="00BC0563">
      <w:pPr>
        <w:pStyle w:val="BodyText"/>
        <w:spacing w:line="268" w:lineRule="auto"/>
        <w:ind w:left="898" w:right="188" w:hanging="360"/>
      </w:pPr>
      <w:r>
        <w:rPr>
          <w:rFonts w:ascii="Symbol" w:hAnsi="Symbol"/>
          <w:color w:val="231F20"/>
          <w:spacing w:val="-248"/>
          <w:w w:val="600"/>
        </w:rPr>
        <w:t></w:t>
      </w:r>
      <w:r>
        <w:rPr>
          <w:color w:val="231F20"/>
          <w:w w:val="99"/>
        </w:rPr>
        <w:t>Reduce</w:t>
      </w:r>
      <w:r>
        <w:rPr>
          <w:color w:val="231F20"/>
          <w:spacing w:val="-16"/>
        </w:rPr>
        <w:t xml:space="preserve"> </w:t>
      </w:r>
      <w:r>
        <w:rPr>
          <w:color w:val="231F20"/>
          <w:w w:val="99"/>
        </w:rPr>
        <w:t>medical</w:t>
      </w:r>
      <w:r>
        <w:rPr>
          <w:color w:val="231F20"/>
          <w:spacing w:val="-16"/>
        </w:rPr>
        <w:t xml:space="preserve"> </w:t>
      </w:r>
      <w:r>
        <w:rPr>
          <w:color w:val="231F20"/>
        </w:rPr>
        <w:t>tourism</w:t>
      </w:r>
      <w:r>
        <w:rPr>
          <w:color w:val="231F20"/>
          <w:spacing w:val="-17"/>
        </w:rPr>
        <w:t xml:space="preserve"> </w:t>
      </w:r>
      <w:r>
        <w:rPr>
          <w:color w:val="231F20"/>
          <w:w w:val="99"/>
        </w:rPr>
        <w:t>by</w:t>
      </w:r>
      <w:r>
        <w:rPr>
          <w:color w:val="231F20"/>
          <w:spacing w:val="-17"/>
        </w:rPr>
        <w:t xml:space="preserve"> </w:t>
      </w:r>
      <w:r>
        <w:rPr>
          <w:color w:val="231F20"/>
          <w:w w:val="99"/>
        </w:rPr>
        <w:t>improvement</w:t>
      </w:r>
      <w:r>
        <w:rPr>
          <w:color w:val="231F20"/>
          <w:spacing w:val="-16"/>
        </w:rPr>
        <w:t xml:space="preserve"> </w:t>
      </w:r>
      <w:r>
        <w:rPr>
          <w:color w:val="231F20"/>
          <w:w w:val="99"/>
        </w:rPr>
        <w:t>in</w:t>
      </w:r>
      <w:r>
        <w:rPr>
          <w:color w:val="231F20"/>
          <w:spacing w:val="-17"/>
        </w:rPr>
        <w:t xml:space="preserve"> </w:t>
      </w:r>
      <w:r>
        <w:rPr>
          <w:color w:val="231F20"/>
          <w:w w:val="99"/>
        </w:rPr>
        <w:t>quality</w:t>
      </w:r>
      <w:r>
        <w:rPr>
          <w:color w:val="231F20"/>
          <w:spacing w:val="-16"/>
        </w:rPr>
        <w:t xml:space="preserve"> </w:t>
      </w:r>
      <w:r>
        <w:rPr>
          <w:color w:val="231F20"/>
        </w:rPr>
        <w:t>of</w:t>
      </w:r>
      <w:r>
        <w:rPr>
          <w:color w:val="231F20"/>
          <w:spacing w:val="-17"/>
        </w:rPr>
        <w:t xml:space="preserve"> </w:t>
      </w:r>
      <w:r>
        <w:rPr>
          <w:color w:val="231F20"/>
          <w:w w:val="99"/>
        </w:rPr>
        <w:t>care</w:t>
      </w:r>
      <w:r>
        <w:rPr>
          <w:color w:val="231F20"/>
          <w:spacing w:val="-17"/>
        </w:rPr>
        <w:t xml:space="preserve"> </w:t>
      </w:r>
      <w:r>
        <w:rPr>
          <w:color w:val="231F20"/>
          <w:w w:val="99"/>
        </w:rPr>
        <w:t>and</w:t>
      </w:r>
      <w:r>
        <w:rPr>
          <w:color w:val="231F20"/>
          <w:spacing w:val="-17"/>
        </w:rPr>
        <w:t xml:space="preserve"> </w:t>
      </w:r>
      <w:r>
        <w:rPr>
          <w:color w:val="231F20"/>
        </w:rPr>
        <w:t>enforcements</w:t>
      </w:r>
      <w:r>
        <w:rPr>
          <w:color w:val="231F20"/>
          <w:spacing w:val="-16"/>
        </w:rPr>
        <w:t xml:space="preserve"> </w:t>
      </w:r>
      <w:r>
        <w:rPr>
          <w:color w:val="231F20"/>
        </w:rPr>
        <w:t>of</w:t>
      </w:r>
      <w:r>
        <w:rPr>
          <w:color w:val="231F20"/>
          <w:spacing w:val="-17"/>
        </w:rPr>
        <w:t xml:space="preserve"> </w:t>
      </w:r>
      <w:r>
        <w:rPr>
          <w:color w:val="231F20"/>
        </w:rPr>
        <w:t xml:space="preserve">standards. </w:t>
      </w:r>
      <w:r>
        <w:rPr>
          <w:color w:val="231F20"/>
          <w:w w:val="105"/>
        </w:rPr>
        <w:t>Increase</w:t>
      </w:r>
      <w:r>
        <w:rPr>
          <w:color w:val="231F20"/>
          <w:spacing w:val="-33"/>
          <w:w w:val="105"/>
        </w:rPr>
        <w:t xml:space="preserve"> </w:t>
      </w:r>
      <w:r>
        <w:rPr>
          <w:color w:val="231F20"/>
          <w:w w:val="105"/>
        </w:rPr>
        <w:t>investments</w:t>
      </w:r>
      <w:r>
        <w:rPr>
          <w:color w:val="231F20"/>
          <w:spacing w:val="-32"/>
          <w:w w:val="105"/>
        </w:rPr>
        <w:t xml:space="preserve"> </w:t>
      </w:r>
      <w:r>
        <w:rPr>
          <w:color w:val="231F20"/>
          <w:w w:val="105"/>
        </w:rPr>
        <w:t>in</w:t>
      </w:r>
      <w:r>
        <w:rPr>
          <w:color w:val="231F20"/>
          <w:spacing w:val="-32"/>
          <w:w w:val="105"/>
        </w:rPr>
        <w:t xml:space="preserve"> </w:t>
      </w:r>
      <w:r>
        <w:rPr>
          <w:color w:val="231F20"/>
          <w:w w:val="105"/>
        </w:rPr>
        <w:t>health</w:t>
      </w:r>
      <w:r>
        <w:rPr>
          <w:color w:val="231F20"/>
          <w:spacing w:val="-32"/>
          <w:w w:val="105"/>
        </w:rPr>
        <w:t xml:space="preserve"> </w:t>
      </w:r>
      <w:r>
        <w:rPr>
          <w:color w:val="231F20"/>
          <w:w w:val="105"/>
        </w:rPr>
        <w:t>promotion</w:t>
      </w:r>
      <w:r>
        <w:rPr>
          <w:color w:val="231F20"/>
          <w:spacing w:val="-32"/>
          <w:w w:val="105"/>
        </w:rPr>
        <w:t xml:space="preserve"> </w:t>
      </w:r>
      <w:r>
        <w:rPr>
          <w:color w:val="231F20"/>
          <w:w w:val="105"/>
        </w:rPr>
        <w:t>and</w:t>
      </w:r>
      <w:r>
        <w:rPr>
          <w:color w:val="231F20"/>
          <w:spacing w:val="-32"/>
          <w:w w:val="105"/>
        </w:rPr>
        <w:t xml:space="preserve"> </w:t>
      </w:r>
      <w:r>
        <w:rPr>
          <w:color w:val="231F20"/>
          <w:w w:val="105"/>
        </w:rPr>
        <w:t>disease</w:t>
      </w:r>
      <w:r>
        <w:rPr>
          <w:color w:val="231F20"/>
          <w:spacing w:val="-33"/>
          <w:w w:val="105"/>
        </w:rPr>
        <w:t xml:space="preserve"> </w:t>
      </w:r>
      <w:r>
        <w:rPr>
          <w:color w:val="231F20"/>
          <w:w w:val="105"/>
        </w:rPr>
        <w:t>prevention;</w:t>
      </w:r>
    </w:p>
    <w:p w14:paraId="44C093CB" w14:textId="77777777" w:rsidR="009948F1" w:rsidRDefault="00BC0563">
      <w:pPr>
        <w:pStyle w:val="BodyText"/>
        <w:spacing w:line="268" w:lineRule="auto"/>
        <w:ind w:left="898" w:hanging="360"/>
      </w:pPr>
      <w:r>
        <w:rPr>
          <w:rFonts w:ascii="Symbol" w:hAnsi="Symbol"/>
          <w:color w:val="231F20"/>
          <w:spacing w:val="-248"/>
          <w:w w:val="600"/>
        </w:rPr>
        <w:t></w:t>
      </w:r>
      <w:r>
        <w:rPr>
          <w:color w:val="231F20"/>
          <w:w w:val="99"/>
        </w:rPr>
        <w:t>Redress</w:t>
      </w:r>
      <w:r>
        <w:rPr>
          <w:color w:val="231F20"/>
        </w:rPr>
        <w:t xml:space="preserve"> </w:t>
      </w:r>
      <w:r>
        <w:rPr>
          <w:color w:val="231F20"/>
          <w:w w:val="99"/>
        </w:rPr>
        <w:t>human</w:t>
      </w:r>
      <w:r>
        <w:rPr>
          <w:color w:val="231F20"/>
        </w:rPr>
        <w:t xml:space="preserve"> </w:t>
      </w:r>
      <w:r>
        <w:rPr>
          <w:color w:val="231F20"/>
          <w:w w:val="99"/>
        </w:rPr>
        <w:t>resource</w:t>
      </w:r>
      <w:r>
        <w:rPr>
          <w:color w:val="231F20"/>
        </w:rPr>
        <w:t xml:space="preserve"> </w:t>
      </w:r>
      <w:r>
        <w:rPr>
          <w:color w:val="231F20"/>
          <w:w w:val="99"/>
        </w:rPr>
        <w:t>gaps,</w:t>
      </w:r>
      <w:r>
        <w:rPr>
          <w:color w:val="231F20"/>
        </w:rPr>
        <w:t xml:space="preserve"> </w:t>
      </w:r>
      <w:r>
        <w:rPr>
          <w:color w:val="231F20"/>
          <w:w w:val="99"/>
        </w:rPr>
        <w:t>promote</w:t>
      </w:r>
      <w:r>
        <w:rPr>
          <w:color w:val="231F20"/>
        </w:rPr>
        <w:t xml:space="preserve"> </w:t>
      </w:r>
      <w:r>
        <w:rPr>
          <w:color w:val="231F20"/>
          <w:w w:val="99"/>
        </w:rPr>
        <w:t>industrial</w:t>
      </w:r>
      <w:r>
        <w:rPr>
          <w:color w:val="231F20"/>
        </w:rPr>
        <w:t xml:space="preserve"> </w:t>
      </w:r>
      <w:r>
        <w:rPr>
          <w:color w:val="231F20"/>
          <w:w w:val="99"/>
        </w:rPr>
        <w:t>harmony</w:t>
      </w:r>
      <w:r>
        <w:rPr>
          <w:color w:val="231F20"/>
        </w:rPr>
        <w:t xml:space="preserve"> </w:t>
      </w:r>
      <w:r>
        <w:rPr>
          <w:color w:val="231F20"/>
          <w:w w:val="99"/>
        </w:rPr>
        <w:t>and</w:t>
      </w:r>
      <w:r>
        <w:rPr>
          <w:color w:val="231F20"/>
        </w:rPr>
        <w:t xml:space="preserve"> </w:t>
      </w:r>
      <w:r>
        <w:rPr>
          <w:color w:val="231F20"/>
          <w:w w:val="99"/>
        </w:rPr>
        <w:t>reduce</w:t>
      </w:r>
      <w:r>
        <w:rPr>
          <w:color w:val="231F20"/>
        </w:rPr>
        <w:t xml:space="preserve"> strikes </w:t>
      </w:r>
      <w:r>
        <w:rPr>
          <w:color w:val="231F20"/>
          <w:w w:val="99"/>
        </w:rPr>
        <w:t>within</w:t>
      </w:r>
      <w:r>
        <w:rPr>
          <w:color w:val="231F20"/>
        </w:rPr>
        <w:t xml:space="preserve"> </w:t>
      </w:r>
      <w:r>
        <w:rPr>
          <w:color w:val="231F20"/>
          <w:spacing w:val="-4"/>
        </w:rPr>
        <w:t>the</w:t>
      </w:r>
      <w:r>
        <w:rPr>
          <w:color w:val="231F20"/>
        </w:rPr>
        <w:t xml:space="preserve"> </w:t>
      </w:r>
      <w:r>
        <w:rPr>
          <w:color w:val="231F20"/>
          <w:w w:val="105"/>
        </w:rPr>
        <w:t>sector, and invest in health research and innovations.</w:t>
      </w:r>
    </w:p>
    <w:p w14:paraId="2AF2B9C6" w14:textId="77777777" w:rsidR="009948F1" w:rsidRDefault="00BC0563">
      <w:pPr>
        <w:pStyle w:val="BodyText"/>
        <w:spacing w:line="271" w:lineRule="auto"/>
        <w:ind w:left="178" w:right="191"/>
        <w:jc w:val="both"/>
      </w:pPr>
      <w:r>
        <w:rPr>
          <w:color w:val="231F20"/>
        </w:rPr>
        <w:t>The overall purpose of the plan is to reduce disease burden from all causes of ill health in</w:t>
      </w:r>
      <w:r>
        <w:rPr>
          <w:color w:val="231F20"/>
          <w:spacing w:val="-33"/>
        </w:rPr>
        <w:t xml:space="preserve"> </w:t>
      </w:r>
      <w:r>
        <w:rPr>
          <w:color w:val="231F20"/>
          <w:spacing w:val="-3"/>
        </w:rPr>
        <w:t xml:space="preserve">Rivers </w:t>
      </w:r>
      <w:r>
        <w:rPr>
          <w:color w:val="231F20"/>
        </w:rPr>
        <w:t xml:space="preserve">State, and reduce disparities by increasing access to a comprehensive package of appropriate, affordable, </w:t>
      </w:r>
      <w:r>
        <w:rPr>
          <w:color w:val="231F20"/>
          <w:spacing w:val="-3"/>
        </w:rPr>
        <w:t xml:space="preserve">quality, </w:t>
      </w:r>
      <w:r>
        <w:rPr>
          <w:color w:val="231F20"/>
        </w:rPr>
        <w:t xml:space="preserve">equitable and integrated essential health care services within the context of </w:t>
      </w:r>
      <w:r>
        <w:rPr>
          <w:color w:val="231F20"/>
          <w:spacing w:val="-14"/>
        </w:rPr>
        <w:t xml:space="preserve">a </w:t>
      </w:r>
      <w:r>
        <w:rPr>
          <w:color w:val="231F20"/>
        </w:rPr>
        <w:t>strengthened health care system, aligning resources in relation to needs. The entry point for the delivery of the essential package of health care services will be the strengthened LGA and ward primary</w:t>
      </w:r>
      <w:r>
        <w:rPr>
          <w:color w:val="231F20"/>
          <w:spacing w:val="-26"/>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system</w:t>
      </w:r>
      <w:r>
        <w:rPr>
          <w:color w:val="231F20"/>
          <w:spacing w:val="-25"/>
        </w:rPr>
        <w:t xml:space="preserve"> </w:t>
      </w:r>
      <w:r>
        <w:rPr>
          <w:color w:val="231F20"/>
        </w:rPr>
        <w:t>and</w:t>
      </w:r>
      <w:r>
        <w:rPr>
          <w:color w:val="231F20"/>
          <w:spacing w:val="-25"/>
        </w:rPr>
        <w:t xml:space="preserve"> </w:t>
      </w:r>
      <w:r>
        <w:rPr>
          <w:color w:val="231F20"/>
        </w:rPr>
        <w:t>appropriate</w:t>
      </w:r>
      <w:r>
        <w:rPr>
          <w:color w:val="231F20"/>
          <w:spacing w:val="-25"/>
        </w:rPr>
        <w:t xml:space="preserve"> </w:t>
      </w:r>
      <w:r>
        <w:rPr>
          <w:color w:val="231F20"/>
        </w:rPr>
        <w:t>referral</w:t>
      </w:r>
      <w:r>
        <w:rPr>
          <w:color w:val="231F20"/>
          <w:spacing w:val="-25"/>
        </w:rPr>
        <w:t xml:space="preserve"> </w:t>
      </w:r>
      <w:r>
        <w:rPr>
          <w:color w:val="231F20"/>
        </w:rPr>
        <w:t>pathways</w:t>
      </w:r>
      <w:r>
        <w:rPr>
          <w:color w:val="231F20"/>
          <w:spacing w:val="-25"/>
        </w:rPr>
        <w:t xml:space="preserve"> </w:t>
      </w:r>
      <w:r>
        <w:rPr>
          <w:color w:val="231F20"/>
        </w:rPr>
        <w:t>to</w:t>
      </w:r>
      <w:r>
        <w:rPr>
          <w:color w:val="231F20"/>
          <w:spacing w:val="-25"/>
        </w:rPr>
        <w:t xml:space="preserve"> </w:t>
      </w:r>
      <w:r>
        <w:rPr>
          <w:color w:val="231F20"/>
        </w:rPr>
        <w:t>other</w:t>
      </w:r>
      <w:r>
        <w:rPr>
          <w:color w:val="231F20"/>
          <w:spacing w:val="-25"/>
        </w:rPr>
        <w:t xml:space="preserve"> </w:t>
      </w:r>
      <w:r>
        <w:rPr>
          <w:color w:val="231F20"/>
        </w:rPr>
        <w:t>levels</w:t>
      </w:r>
      <w:r>
        <w:rPr>
          <w:color w:val="231F20"/>
          <w:spacing w:val="-25"/>
        </w:rPr>
        <w:t xml:space="preserve"> </w:t>
      </w:r>
      <w:r>
        <w:rPr>
          <w:color w:val="231F20"/>
        </w:rPr>
        <w:t>of</w:t>
      </w:r>
      <w:r>
        <w:rPr>
          <w:color w:val="231F20"/>
          <w:spacing w:val="-25"/>
        </w:rPr>
        <w:t xml:space="preserve"> </w:t>
      </w:r>
      <w:r>
        <w:rPr>
          <w:color w:val="231F20"/>
        </w:rPr>
        <w:t>care.</w:t>
      </w:r>
    </w:p>
    <w:p w14:paraId="3CCDB167" w14:textId="77777777" w:rsidR="009948F1" w:rsidRDefault="009948F1">
      <w:pPr>
        <w:pStyle w:val="BodyText"/>
        <w:spacing w:before="4"/>
        <w:rPr>
          <w:sz w:val="20"/>
        </w:rPr>
      </w:pPr>
    </w:p>
    <w:p w14:paraId="3A1B9968" w14:textId="77777777" w:rsidR="009948F1" w:rsidRDefault="00BC0563">
      <w:pPr>
        <w:pStyle w:val="BodyText"/>
        <w:spacing w:line="244" w:lineRule="auto"/>
        <w:ind w:left="178" w:right="194"/>
        <w:jc w:val="both"/>
      </w:pPr>
      <w:r>
        <w:rPr>
          <w:color w:val="231F20"/>
        </w:rPr>
        <w:t>In</w:t>
      </w:r>
      <w:r>
        <w:rPr>
          <w:color w:val="231F20"/>
          <w:spacing w:val="-25"/>
        </w:rPr>
        <w:t xml:space="preserve"> </w:t>
      </w:r>
      <w:r>
        <w:rPr>
          <w:color w:val="231F20"/>
        </w:rPr>
        <w:t>order</w:t>
      </w:r>
      <w:r>
        <w:rPr>
          <w:color w:val="231F20"/>
          <w:spacing w:val="-25"/>
        </w:rPr>
        <w:t xml:space="preserve"> </w:t>
      </w:r>
      <w:r>
        <w:rPr>
          <w:color w:val="231F20"/>
        </w:rPr>
        <w:t>to</w:t>
      </w:r>
      <w:r>
        <w:rPr>
          <w:color w:val="231F20"/>
          <w:spacing w:val="-25"/>
        </w:rPr>
        <w:t xml:space="preserve"> </w:t>
      </w:r>
      <w:r>
        <w:rPr>
          <w:color w:val="231F20"/>
        </w:rPr>
        <w:t>strengthen</w:t>
      </w:r>
      <w:r>
        <w:rPr>
          <w:color w:val="231F20"/>
          <w:spacing w:val="-24"/>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system</w:t>
      </w:r>
      <w:r>
        <w:rPr>
          <w:color w:val="231F20"/>
          <w:spacing w:val="-25"/>
        </w:rPr>
        <w:t xml:space="preserve"> </w:t>
      </w:r>
      <w:r>
        <w:rPr>
          <w:color w:val="231F20"/>
        </w:rPr>
        <w:t>to</w:t>
      </w:r>
      <w:r>
        <w:rPr>
          <w:color w:val="231F20"/>
          <w:spacing w:val="-25"/>
        </w:rPr>
        <w:t xml:space="preserve"> </w:t>
      </w:r>
      <w:r>
        <w:rPr>
          <w:color w:val="231F20"/>
        </w:rPr>
        <w:t>deliver</w:t>
      </w:r>
      <w:r>
        <w:rPr>
          <w:color w:val="231F20"/>
          <w:spacing w:val="-24"/>
        </w:rPr>
        <w:t xml:space="preserve"> </w:t>
      </w:r>
      <w:r>
        <w:rPr>
          <w:color w:val="231F20"/>
        </w:rPr>
        <w:t>the</w:t>
      </w:r>
      <w:r>
        <w:rPr>
          <w:color w:val="231F20"/>
          <w:spacing w:val="-25"/>
        </w:rPr>
        <w:t xml:space="preserve"> </w:t>
      </w:r>
      <w:r>
        <w:rPr>
          <w:color w:val="231F20"/>
        </w:rPr>
        <w:t>essential</w:t>
      </w:r>
      <w:r>
        <w:rPr>
          <w:color w:val="231F20"/>
          <w:spacing w:val="-25"/>
        </w:rPr>
        <w:t xml:space="preserve"> </w:t>
      </w:r>
      <w:r>
        <w:rPr>
          <w:color w:val="231F20"/>
        </w:rPr>
        <w:t>health</w:t>
      </w:r>
      <w:r>
        <w:rPr>
          <w:color w:val="231F20"/>
          <w:spacing w:val="-25"/>
        </w:rPr>
        <w:t xml:space="preserve"> </w:t>
      </w:r>
      <w:r>
        <w:rPr>
          <w:color w:val="231F20"/>
        </w:rPr>
        <w:t>package</w:t>
      </w:r>
      <w:r>
        <w:rPr>
          <w:color w:val="231F20"/>
          <w:spacing w:val="-24"/>
        </w:rPr>
        <w:t xml:space="preserve"> </w:t>
      </w:r>
      <w:r>
        <w:rPr>
          <w:color w:val="231F20"/>
        </w:rPr>
        <w:t>five</w:t>
      </w:r>
      <w:r>
        <w:rPr>
          <w:color w:val="231F20"/>
          <w:spacing w:val="-25"/>
        </w:rPr>
        <w:t xml:space="preserve"> </w:t>
      </w:r>
      <w:r>
        <w:rPr>
          <w:color w:val="231F20"/>
        </w:rPr>
        <w:t>Strategic</w:t>
      </w:r>
      <w:r>
        <w:rPr>
          <w:color w:val="231F20"/>
          <w:spacing w:val="-25"/>
        </w:rPr>
        <w:t xml:space="preserve"> </w:t>
      </w:r>
      <w:r>
        <w:rPr>
          <w:color w:val="231F20"/>
        </w:rPr>
        <w:t>Pillars with</w:t>
      </w:r>
      <w:r>
        <w:rPr>
          <w:color w:val="231F20"/>
          <w:spacing w:val="-8"/>
        </w:rPr>
        <w:t xml:space="preserve"> </w:t>
      </w:r>
      <w:r>
        <w:rPr>
          <w:color w:val="231F20"/>
        </w:rPr>
        <w:t>fifteen</w:t>
      </w:r>
      <w:r>
        <w:rPr>
          <w:color w:val="231F20"/>
          <w:spacing w:val="-8"/>
        </w:rPr>
        <w:t xml:space="preserve"> </w:t>
      </w:r>
      <w:r>
        <w:rPr>
          <w:color w:val="231F20"/>
        </w:rPr>
        <w:t>evidence-based</w:t>
      </w:r>
      <w:r>
        <w:rPr>
          <w:color w:val="231F20"/>
          <w:spacing w:val="-8"/>
        </w:rPr>
        <w:t xml:space="preserve"> </w:t>
      </w:r>
      <w:r>
        <w:rPr>
          <w:color w:val="231F20"/>
        </w:rPr>
        <w:t>Priority</w:t>
      </w:r>
      <w:r>
        <w:rPr>
          <w:color w:val="231F20"/>
          <w:spacing w:val="-20"/>
        </w:rPr>
        <w:t xml:space="preserve"> </w:t>
      </w:r>
      <w:r>
        <w:rPr>
          <w:color w:val="231F20"/>
        </w:rPr>
        <w:t>Areas</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identified</w:t>
      </w:r>
      <w:r>
        <w:rPr>
          <w:color w:val="231F20"/>
          <w:spacing w:val="-8"/>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the</w:t>
      </w:r>
      <w:r>
        <w:rPr>
          <w:color w:val="231F20"/>
          <w:spacing w:val="-8"/>
        </w:rPr>
        <w:t xml:space="preserve"> </w:t>
      </w:r>
      <w:r>
        <w:rPr>
          <w:color w:val="231F20"/>
        </w:rPr>
        <w:t>performance</w:t>
      </w:r>
      <w:r>
        <w:rPr>
          <w:color w:val="231F20"/>
          <w:spacing w:val="-8"/>
        </w:rPr>
        <w:t xml:space="preserve"> </w:t>
      </w:r>
      <w:r>
        <w:rPr>
          <w:color w:val="231F20"/>
        </w:rPr>
        <w:t>of</w:t>
      </w:r>
      <w:r>
        <w:rPr>
          <w:color w:val="231F20"/>
          <w:spacing w:val="-8"/>
        </w:rPr>
        <w:t xml:space="preserve"> </w:t>
      </w:r>
      <w:r>
        <w:rPr>
          <w:color w:val="231F20"/>
          <w:spacing w:val="-4"/>
        </w:rPr>
        <w:t xml:space="preserve">the </w:t>
      </w:r>
      <w:r>
        <w:rPr>
          <w:color w:val="231F20"/>
        </w:rPr>
        <w:t>health sector, through a holistic approach at all levels of healthcare delivery. For each of these priority</w:t>
      </w:r>
      <w:r>
        <w:rPr>
          <w:color w:val="231F20"/>
          <w:spacing w:val="-26"/>
        </w:rPr>
        <w:t xml:space="preserve"> </w:t>
      </w:r>
      <w:r>
        <w:rPr>
          <w:color w:val="231F20"/>
        </w:rPr>
        <w:t>areas,</w:t>
      </w:r>
      <w:r>
        <w:rPr>
          <w:color w:val="231F20"/>
          <w:spacing w:val="-25"/>
        </w:rPr>
        <w:t xml:space="preserve"> </w:t>
      </w:r>
      <w:r>
        <w:rPr>
          <w:color w:val="231F20"/>
        </w:rPr>
        <w:t>there</w:t>
      </w:r>
      <w:r>
        <w:rPr>
          <w:color w:val="231F20"/>
          <w:spacing w:val="-25"/>
        </w:rPr>
        <w:t xml:space="preserve"> </w:t>
      </w:r>
      <w:r>
        <w:rPr>
          <w:color w:val="231F20"/>
        </w:rPr>
        <w:t>is</w:t>
      </w:r>
      <w:r>
        <w:rPr>
          <w:color w:val="231F20"/>
          <w:spacing w:val="-25"/>
        </w:rPr>
        <w:t xml:space="preserve"> </w:t>
      </w:r>
      <w:r>
        <w:rPr>
          <w:color w:val="231F20"/>
        </w:rPr>
        <w:t>a</w:t>
      </w:r>
      <w:r>
        <w:rPr>
          <w:color w:val="231F20"/>
          <w:spacing w:val="-25"/>
        </w:rPr>
        <w:t xml:space="preserve"> </w:t>
      </w:r>
      <w:r>
        <w:rPr>
          <w:color w:val="231F20"/>
        </w:rPr>
        <w:t>goal</w:t>
      </w:r>
      <w:r>
        <w:rPr>
          <w:color w:val="231F20"/>
          <w:spacing w:val="-25"/>
        </w:rPr>
        <w:t xml:space="preserve"> </w:t>
      </w:r>
      <w:r>
        <w:rPr>
          <w:color w:val="231F20"/>
        </w:rPr>
        <w:t>with</w:t>
      </w:r>
      <w:r>
        <w:rPr>
          <w:color w:val="231F20"/>
          <w:spacing w:val="-25"/>
        </w:rPr>
        <w:t xml:space="preserve"> </w:t>
      </w:r>
      <w:r>
        <w:rPr>
          <w:color w:val="231F20"/>
        </w:rPr>
        <w:t>strategic</w:t>
      </w:r>
      <w:r>
        <w:rPr>
          <w:color w:val="231F20"/>
          <w:spacing w:val="-25"/>
        </w:rPr>
        <w:t xml:space="preserve"> </w:t>
      </w:r>
      <w:r>
        <w:rPr>
          <w:color w:val="231F20"/>
        </w:rPr>
        <w:t>objective,</w:t>
      </w:r>
      <w:r>
        <w:rPr>
          <w:color w:val="231F20"/>
          <w:spacing w:val="-25"/>
        </w:rPr>
        <w:t xml:space="preserve"> </w:t>
      </w:r>
      <w:r>
        <w:rPr>
          <w:color w:val="231F20"/>
        </w:rPr>
        <w:t>interventions</w:t>
      </w:r>
      <w:r>
        <w:rPr>
          <w:color w:val="231F20"/>
          <w:spacing w:val="-25"/>
        </w:rPr>
        <w:t xml:space="preserve"> </w:t>
      </w:r>
      <w:r>
        <w:rPr>
          <w:color w:val="231F20"/>
        </w:rPr>
        <w:t>and</w:t>
      </w:r>
      <w:r>
        <w:rPr>
          <w:color w:val="231F20"/>
          <w:spacing w:val="-25"/>
        </w:rPr>
        <w:t xml:space="preserve"> </w:t>
      </w:r>
      <w:r>
        <w:rPr>
          <w:color w:val="231F20"/>
        </w:rPr>
        <w:t>activities.</w:t>
      </w:r>
    </w:p>
    <w:p w14:paraId="4FD8EE37" w14:textId="77777777" w:rsidR="009948F1" w:rsidRDefault="00BC0563">
      <w:pPr>
        <w:pStyle w:val="BodyText"/>
        <w:spacing w:before="5"/>
        <w:ind w:left="178"/>
        <w:jc w:val="both"/>
      </w:pPr>
      <w:r>
        <w:rPr>
          <w:color w:val="231F20"/>
        </w:rPr>
        <w:t>These activities have targets and verifiable indicators. The strategic pillars &amp; priority areas are:</w:t>
      </w:r>
    </w:p>
    <w:p w14:paraId="5037A01A" w14:textId="77777777" w:rsidR="009948F1" w:rsidRDefault="009948F1">
      <w:pPr>
        <w:pStyle w:val="BodyText"/>
        <w:spacing w:before="5"/>
        <w:rPr>
          <w:sz w:val="25"/>
        </w:rPr>
      </w:pPr>
    </w:p>
    <w:p w14:paraId="0105E369" w14:textId="77777777" w:rsidR="009948F1" w:rsidRDefault="00BC0563">
      <w:pPr>
        <w:pStyle w:val="Heading7"/>
        <w:ind w:left="178"/>
      </w:pPr>
      <w:r>
        <w:rPr>
          <w:color w:val="231F20"/>
        </w:rPr>
        <w:t>Strategic Pillar One: Enabled environment for attainment of sectoral goal</w:t>
      </w:r>
    </w:p>
    <w:p w14:paraId="59F1DE14" w14:textId="77777777" w:rsidR="009948F1" w:rsidRDefault="00BC0563">
      <w:pPr>
        <w:pStyle w:val="BodyText"/>
        <w:spacing w:before="34" w:line="271" w:lineRule="auto"/>
        <w:ind w:left="178" w:right="5347"/>
      </w:pPr>
      <w:r>
        <w:rPr>
          <w:color w:val="231F20"/>
        </w:rPr>
        <w:t>Priority</w:t>
      </w:r>
      <w:r>
        <w:rPr>
          <w:color w:val="231F20"/>
          <w:spacing w:val="-39"/>
        </w:rPr>
        <w:t xml:space="preserve"> </w:t>
      </w:r>
      <w:r>
        <w:rPr>
          <w:color w:val="231F20"/>
        </w:rPr>
        <w:t>Area</w:t>
      </w:r>
      <w:r>
        <w:rPr>
          <w:color w:val="231F20"/>
          <w:spacing w:val="-28"/>
        </w:rPr>
        <w:t xml:space="preserve"> </w:t>
      </w:r>
      <w:r>
        <w:rPr>
          <w:color w:val="231F20"/>
        </w:rPr>
        <w:t>1:</w:t>
      </w:r>
      <w:r>
        <w:rPr>
          <w:color w:val="231F20"/>
          <w:spacing w:val="-28"/>
        </w:rPr>
        <w:t xml:space="preserve"> </w:t>
      </w:r>
      <w:r>
        <w:rPr>
          <w:color w:val="231F20"/>
        </w:rPr>
        <w:t>Leadership</w:t>
      </w:r>
      <w:r>
        <w:rPr>
          <w:color w:val="231F20"/>
          <w:spacing w:val="-28"/>
        </w:rPr>
        <w:t xml:space="preserve"> </w:t>
      </w:r>
      <w:r>
        <w:rPr>
          <w:color w:val="231F20"/>
        </w:rPr>
        <w:t>and</w:t>
      </w:r>
      <w:r>
        <w:rPr>
          <w:color w:val="231F20"/>
          <w:spacing w:val="-27"/>
        </w:rPr>
        <w:t xml:space="preserve"> </w:t>
      </w:r>
      <w:r>
        <w:rPr>
          <w:color w:val="231F20"/>
        </w:rPr>
        <w:t>Governance Priority Area 2: Community Participation Priority</w:t>
      </w:r>
      <w:r>
        <w:rPr>
          <w:color w:val="231F20"/>
          <w:spacing w:val="-38"/>
        </w:rPr>
        <w:t xml:space="preserve"> </w:t>
      </w:r>
      <w:r>
        <w:rPr>
          <w:color w:val="231F20"/>
        </w:rPr>
        <w:t>Area</w:t>
      </w:r>
      <w:r>
        <w:rPr>
          <w:color w:val="231F20"/>
          <w:spacing w:val="-25"/>
        </w:rPr>
        <w:t xml:space="preserve"> </w:t>
      </w:r>
      <w:r>
        <w:rPr>
          <w:color w:val="231F20"/>
        </w:rPr>
        <w:t>3:</w:t>
      </w:r>
      <w:r>
        <w:rPr>
          <w:color w:val="231F20"/>
          <w:spacing w:val="-25"/>
        </w:rPr>
        <w:t xml:space="preserve"> </w:t>
      </w:r>
      <w:r>
        <w:rPr>
          <w:color w:val="231F20"/>
        </w:rPr>
        <w:t>Partnerships</w:t>
      </w:r>
      <w:r>
        <w:rPr>
          <w:color w:val="231F20"/>
          <w:spacing w:val="-25"/>
        </w:rPr>
        <w:t xml:space="preserve"> </w:t>
      </w:r>
      <w:r>
        <w:rPr>
          <w:color w:val="231F20"/>
        </w:rPr>
        <w:t>for</w:t>
      </w:r>
      <w:r>
        <w:rPr>
          <w:color w:val="231F20"/>
          <w:spacing w:val="-25"/>
        </w:rPr>
        <w:t xml:space="preserve"> </w:t>
      </w:r>
      <w:r>
        <w:rPr>
          <w:color w:val="231F20"/>
        </w:rPr>
        <w:t>Health</w:t>
      </w:r>
    </w:p>
    <w:p w14:paraId="2EE1822E" w14:textId="77777777" w:rsidR="009948F1" w:rsidRDefault="009948F1">
      <w:pPr>
        <w:spacing w:line="271" w:lineRule="auto"/>
        <w:sectPr w:rsidR="009948F1">
          <w:pgSz w:w="11910" w:h="16840"/>
          <w:pgMar w:top="1540" w:right="1080" w:bottom="1420" w:left="1120" w:header="0" w:footer="1235" w:gutter="0"/>
          <w:cols w:space="720"/>
        </w:sectPr>
      </w:pPr>
    </w:p>
    <w:p w14:paraId="1C4BE6A5" w14:textId="77777777" w:rsidR="009948F1" w:rsidRDefault="00BC0563">
      <w:pPr>
        <w:pStyle w:val="Heading7"/>
        <w:spacing w:before="42"/>
        <w:ind w:left="141"/>
      </w:pPr>
      <w:bookmarkStart w:id="13" w:name="Page_14"/>
      <w:bookmarkEnd w:id="13"/>
      <w:r>
        <w:rPr>
          <w:color w:val="231F20"/>
        </w:rPr>
        <w:lastRenderedPageBreak/>
        <w:t>Strategic Pillar Two: Provision of essential package of health care services</w:t>
      </w:r>
    </w:p>
    <w:p w14:paraId="26DC09CE" w14:textId="2BE360D6" w:rsidR="009948F1" w:rsidRDefault="00BC0563">
      <w:pPr>
        <w:pStyle w:val="BodyText"/>
        <w:spacing w:before="33" w:line="271" w:lineRule="auto"/>
        <w:ind w:left="141" w:right="788"/>
      </w:pPr>
      <w:r>
        <w:rPr>
          <w:color w:val="231F20"/>
        </w:rPr>
        <w:t>Priority</w:t>
      </w:r>
      <w:r>
        <w:rPr>
          <w:color w:val="231F20"/>
          <w:spacing w:val="-38"/>
        </w:rPr>
        <w:t xml:space="preserve"> </w:t>
      </w:r>
      <w:r>
        <w:rPr>
          <w:color w:val="231F20"/>
        </w:rPr>
        <w:t>Area</w:t>
      </w:r>
      <w:r>
        <w:rPr>
          <w:color w:val="231F20"/>
          <w:spacing w:val="-25"/>
        </w:rPr>
        <w:t xml:space="preserve"> </w:t>
      </w:r>
      <w:r>
        <w:rPr>
          <w:color w:val="231F20"/>
        </w:rPr>
        <w:t>4:</w:t>
      </w:r>
      <w:r>
        <w:rPr>
          <w:color w:val="231F20"/>
          <w:spacing w:val="-25"/>
        </w:rPr>
        <w:t xml:space="preserve"> </w:t>
      </w:r>
      <w:r>
        <w:rPr>
          <w:color w:val="231F20"/>
        </w:rPr>
        <w:t>Reproductive,</w:t>
      </w:r>
      <w:r>
        <w:rPr>
          <w:color w:val="231F20"/>
          <w:spacing w:val="-25"/>
        </w:rPr>
        <w:t xml:space="preserve"> </w:t>
      </w:r>
      <w:r>
        <w:rPr>
          <w:color w:val="231F20"/>
        </w:rPr>
        <w:t>Maternal,</w:t>
      </w:r>
      <w:r>
        <w:rPr>
          <w:color w:val="231F20"/>
          <w:spacing w:val="-25"/>
        </w:rPr>
        <w:t xml:space="preserve"> </w:t>
      </w:r>
      <w:r>
        <w:rPr>
          <w:color w:val="231F20"/>
        </w:rPr>
        <w:t>Newborn,</w:t>
      </w:r>
      <w:r>
        <w:rPr>
          <w:color w:val="231F20"/>
          <w:spacing w:val="-25"/>
        </w:rPr>
        <w:t xml:space="preserve"> </w:t>
      </w:r>
      <w:r>
        <w:rPr>
          <w:color w:val="231F20"/>
        </w:rPr>
        <w:t>Child</w:t>
      </w:r>
      <w:r>
        <w:rPr>
          <w:color w:val="231F20"/>
          <w:spacing w:val="-25"/>
        </w:rPr>
        <w:t xml:space="preserve"> </w:t>
      </w:r>
      <w:r>
        <w:rPr>
          <w:color w:val="231F20"/>
        </w:rPr>
        <w:t>and</w:t>
      </w:r>
      <w:r>
        <w:rPr>
          <w:color w:val="231F20"/>
          <w:spacing w:val="-37"/>
        </w:rPr>
        <w:t xml:space="preserve"> </w:t>
      </w:r>
      <w:r>
        <w:rPr>
          <w:color w:val="231F20"/>
        </w:rPr>
        <w:t>Adolescent</w:t>
      </w:r>
      <w:r>
        <w:rPr>
          <w:color w:val="231F20"/>
          <w:spacing w:val="-26"/>
        </w:rPr>
        <w:t xml:space="preserve"> </w:t>
      </w:r>
      <w:r>
        <w:rPr>
          <w:color w:val="231F20"/>
        </w:rPr>
        <w:t>Health</w:t>
      </w:r>
      <w:r>
        <w:rPr>
          <w:color w:val="231F20"/>
          <w:spacing w:val="-25"/>
        </w:rPr>
        <w:t xml:space="preserve"> </w:t>
      </w:r>
      <w:r>
        <w:rPr>
          <w:color w:val="231F20"/>
        </w:rPr>
        <w:t>Plus</w:t>
      </w:r>
      <w:r>
        <w:rPr>
          <w:color w:val="231F20"/>
          <w:spacing w:val="-25"/>
        </w:rPr>
        <w:t xml:space="preserve"> </w:t>
      </w:r>
      <w:r>
        <w:rPr>
          <w:color w:val="231F20"/>
        </w:rPr>
        <w:t>Nutrition Priority</w:t>
      </w:r>
      <w:r>
        <w:rPr>
          <w:color w:val="231F20"/>
          <w:spacing w:val="-37"/>
        </w:rPr>
        <w:t xml:space="preserve"> </w:t>
      </w:r>
      <w:r>
        <w:rPr>
          <w:color w:val="231F20"/>
        </w:rPr>
        <w:t>Area</w:t>
      </w:r>
      <w:r>
        <w:rPr>
          <w:color w:val="231F20"/>
          <w:spacing w:val="-25"/>
        </w:rPr>
        <w:t xml:space="preserve"> </w:t>
      </w:r>
      <w:r>
        <w:rPr>
          <w:color w:val="231F20"/>
        </w:rPr>
        <w:t>5:</w:t>
      </w:r>
      <w:r>
        <w:rPr>
          <w:color w:val="231F20"/>
          <w:spacing w:val="-25"/>
        </w:rPr>
        <w:t xml:space="preserve"> </w:t>
      </w:r>
      <w:r>
        <w:rPr>
          <w:color w:val="231F20"/>
        </w:rPr>
        <w:t>Communicable</w:t>
      </w:r>
      <w:r>
        <w:rPr>
          <w:color w:val="231F20"/>
          <w:spacing w:val="-24"/>
        </w:rPr>
        <w:t xml:space="preserve"> </w:t>
      </w:r>
      <w:r>
        <w:rPr>
          <w:color w:val="231F20"/>
        </w:rPr>
        <w:t>Diseases</w:t>
      </w:r>
      <w:r>
        <w:rPr>
          <w:color w:val="231F20"/>
          <w:spacing w:val="-25"/>
        </w:rPr>
        <w:t xml:space="preserve"> </w:t>
      </w:r>
      <w:r>
        <w:rPr>
          <w:color w:val="231F20"/>
        </w:rPr>
        <w:t>(Malaria,</w:t>
      </w:r>
      <w:r>
        <w:rPr>
          <w:color w:val="231F20"/>
          <w:spacing w:val="-29"/>
        </w:rPr>
        <w:t xml:space="preserve"> </w:t>
      </w:r>
      <w:r>
        <w:rPr>
          <w:color w:val="231F20"/>
        </w:rPr>
        <w:t>TB,</w:t>
      </w:r>
      <w:r>
        <w:rPr>
          <w:color w:val="231F20"/>
          <w:spacing w:val="-24"/>
        </w:rPr>
        <w:t xml:space="preserve"> </w:t>
      </w:r>
      <w:r>
        <w:rPr>
          <w:color w:val="231F20"/>
          <w:spacing w:val="-3"/>
        </w:rPr>
        <w:t>Leprosy,</w:t>
      </w:r>
      <w:r>
        <w:rPr>
          <w:color w:val="231F20"/>
          <w:spacing w:val="-25"/>
        </w:rPr>
        <w:t xml:space="preserve"> </w:t>
      </w:r>
      <w:r>
        <w:rPr>
          <w:color w:val="231F20"/>
        </w:rPr>
        <w:t>HIV/AIDS</w:t>
      </w:r>
      <w:r w:rsidR="00C40945">
        <w:rPr>
          <w:color w:val="231F20"/>
        </w:rPr>
        <w:t>)</w:t>
      </w:r>
      <w:r w:rsidR="00C40945">
        <w:rPr>
          <w:color w:val="231F20"/>
          <w:spacing w:val="-37"/>
        </w:rPr>
        <w:t xml:space="preserve"> and</w:t>
      </w:r>
      <w:r>
        <w:rPr>
          <w:color w:val="231F20"/>
          <w:spacing w:val="-24"/>
        </w:rPr>
        <w:t xml:space="preserve"> </w:t>
      </w:r>
      <w:r>
        <w:rPr>
          <w:color w:val="231F20"/>
        </w:rPr>
        <w:t>Neglected</w:t>
      </w:r>
    </w:p>
    <w:p w14:paraId="6270F0B6" w14:textId="77777777" w:rsidR="009948F1" w:rsidRDefault="00BC0563">
      <w:pPr>
        <w:pStyle w:val="BodyText"/>
        <w:spacing w:before="1"/>
        <w:ind w:left="1581"/>
      </w:pPr>
      <w:r>
        <w:rPr>
          <w:color w:val="231F20"/>
        </w:rPr>
        <w:t>Tropical Diseases</w:t>
      </w:r>
    </w:p>
    <w:p w14:paraId="21CF5DE5" w14:textId="529042E7" w:rsidR="009948F1" w:rsidRDefault="00BC0563">
      <w:pPr>
        <w:pStyle w:val="BodyText"/>
        <w:spacing w:before="34" w:line="271" w:lineRule="auto"/>
        <w:ind w:left="1581" w:right="908" w:hanging="1440"/>
      </w:pPr>
      <w:r>
        <w:rPr>
          <w:color w:val="231F20"/>
        </w:rPr>
        <w:t>Priority</w:t>
      </w:r>
      <w:r>
        <w:rPr>
          <w:color w:val="231F20"/>
          <w:spacing w:val="-37"/>
        </w:rPr>
        <w:t xml:space="preserve"> </w:t>
      </w:r>
      <w:r>
        <w:rPr>
          <w:color w:val="231F20"/>
        </w:rPr>
        <w:t>Area</w:t>
      </w:r>
      <w:r>
        <w:rPr>
          <w:color w:val="231F20"/>
          <w:spacing w:val="-24"/>
        </w:rPr>
        <w:t xml:space="preserve"> </w:t>
      </w:r>
      <w:r>
        <w:rPr>
          <w:color w:val="231F20"/>
        </w:rPr>
        <w:t>6:</w:t>
      </w:r>
      <w:r>
        <w:rPr>
          <w:color w:val="231F20"/>
          <w:spacing w:val="-25"/>
        </w:rPr>
        <w:t xml:space="preserve"> </w:t>
      </w:r>
      <w:r>
        <w:rPr>
          <w:color w:val="231F20"/>
        </w:rPr>
        <w:t>Non-Communicable</w:t>
      </w:r>
      <w:r>
        <w:rPr>
          <w:color w:val="231F20"/>
          <w:spacing w:val="-23"/>
        </w:rPr>
        <w:t xml:space="preserve"> </w:t>
      </w:r>
      <w:r>
        <w:rPr>
          <w:color w:val="231F20"/>
        </w:rPr>
        <w:t>Disease,</w:t>
      </w:r>
      <w:r>
        <w:rPr>
          <w:color w:val="231F20"/>
          <w:spacing w:val="-24"/>
        </w:rPr>
        <w:t xml:space="preserve"> </w:t>
      </w:r>
      <w:r>
        <w:rPr>
          <w:color w:val="231F20"/>
        </w:rPr>
        <w:t>Care</w:t>
      </w:r>
      <w:r>
        <w:rPr>
          <w:color w:val="231F20"/>
          <w:spacing w:val="-25"/>
        </w:rPr>
        <w:t xml:space="preserve"> </w:t>
      </w:r>
      <w:r>
        <w:rPr>
          <w:color w:val="231F20"/>
        </w:rPr>
        <w:t>of</w:t>
      </w:r>
      <w:r>
        <w:rPr>
          <w:color w:val="231F20"/>
          <w:spacing w:val="-28"/>
        </w:rPr>
        <w:t xml:space="preserve"> </w:t>
      </w:r>
      <w:r w:rsidR="00C40945">
        <w:rPr>
          <w:color w:val="231F20"/>
        </w:rPr>
        <w:t>the</w:t>
      </w:r>
      <w:r>
        <w:rPr>
          <w:color w:val="231F20"/>
          <w:spacing w:val="-25"/>
        </w:rPr>
        <w:t xml:space="preserve"> </w:t>
      </w:r>
      <w:r>
        <w:rPr>
          <w:color w:val="231F20"/>
          <w:spacing w:val="-3"/>
        </w:rPr>
        <w:t>Elderly,</w:t>
      </w:r>
      <w:r>
        <w:rPr>
          <w:color w:val="231F20"/>
          <w:spacing w:val="-24"/>
        </w:rPr>
        <w:t xml:space="preserve"> </w:t>
      </w:r>
      <w:r>
        <w:rPr>
          <w:color w:val="231F20"/>
        </w:rPr>
        <w:t>Mental</w:t>
      </w:r>
      <w:r>
        <w:rPr>
          <w:color w:val="231F20"/>
          <w:spacing w:val="-24"/>
        </w:rPr>
        <w:t xml:space="preserve"> </w:t>
      </w:r>
      <w:r>
        <w:rPr>
          <w:color w:val="231F20"/>
        </w:rPr>
        <w:t>Health,</w:t>
      </w:r>
      <w:r>
        <w:rPr>
          <w:color w:val="231F20"/>
          <w:spacing w:val="-25"/>
        </w:rPr>
        <w:t xml:space="preserve"> </w:t>
      </w:r>
      <w:r>
        <w:rPr>
          <w:color w:val="231F20"/>
          <w:spacing w:val="-3"/>
        </w:rPr>
        <w:t xml:space="preserve">Oral </w:t>
      </w:r>
      <w:r>
        <w:rPr>
          <w:color w:val="231F20"/>
        </w:rPr>
        <w:t>Health, Eye</w:t>
      </w:r>
      <w:r>
        <w:rPr>
          <w:color w:val="231F20"/>
          <w:spacing w:val="-50"/>
        </w:rPr>
        <w:t xml:space="preserve"> </w:t>
      </w:r>
      <w:r>
        <w:rPr>
          <w:color w:val="231F20"/>
        </w:rPr>
        <w:t>Healthcare</w:t>
      </w:r>
    </w:p>
    <w:p w14:paraId="2B51E39F" w14:textId="77777777" w:rsidR="009948F1" w:rsidRDefault="00BC0563">
      <w:pPr>
        <w:spacing w:before="1" w:line="271" w:lineRule="auto"/>
        <w:ind w:left="141" w:right="3199"/>
        <w:rPr>
          <w:b/>
        </w:rPr>
      </w:pPr>
      <w:r>
        <w:rPr>
          <w:color w:val="231F20"/>
        </w:rPr>
        <w:t>Priority</w:t>
      </w:r>
      <w:r>
        <w:rPr>
          <w:color w:val="231F20"/>
          <w:spacing w:val="-38"/>
        </w:rPr>
        <w:t xml:space="preserve"> </w:t>
      </w:r>
      <w:r>
        <w:rPr>
          <w:color w:val="231F20"/>
        </w:rPr>
        <w:t>Area</w:t>
      </w:r>
      <w:r>
        <w:rPr>
          <w:color w:val="231F20"/>
          <w:spacing w:val="-25"/>
        </w:rPr>
        <w:t xml:space="preserve"> </w:t>
      </w:r>
      <w:r>
        <w:rPr>
          <w:color w:val="231F20"/>
        </w:rPr>
        <w:t>7:</w:t>
      </w:r>
      <w:r>
        <w:rPr>
          <w:color w:val="231F20"/>
          <w:spacing w:val="-25"/>
        </w:rPr>
        <w:t xml:space="preserve"> </w:t>
      </w:r>
      <w:r>
        <w:rPr>
          <w:color w:val="231F20"/>
        </w:rPr>
        <w:t>Emergency</w:t>
      </w:r>
      <w:r>
        <w:rPr>
          <w:color w:val="231F20"/>
          <w:spacing w:val="-25"/>
        </w:rPr>
        <w:t xml:space="preserve"> </w:t>
      </w:r>
      <w:r>
        <w:rPr>
          <w:color w:val="231F20"/>
        </w:rPr>
        <w:t>Medical</w:t>
      </w:r>
      <w:r>
        <w:rPr>
          <w:color w:val="231F20"/>
          <w:spacing w:val="-25"/>
        </w:rPr>
        <w:t xml:space="preserve"> </w:t>
      </w:r>
      <w:r>
        <w:rPr>
          <w:color w:val="231F20"/>
        </w:rPr>
        <w:t>Services</w:t>
      </w:r>
      <w:r>
        <w:rPr>
          <w:color w:val="231F20"/>
          <w:spacing w:val="-25"/>
        </w:rPr>
        <w:t xml:space="preserve"> </w:t>
      </w:r>
      <w:r>
        <w:rPr>
          <w:color w:val="231F20"/>
        </w:rPr>
        <w:t>and</w:t>
      </w:r>
      <w:r>
        <w:rPr>
          <w:color w:val="231F20"/>
          <w:spacing w:val="-25"/>
        </w:rPr>
        <w:t xml:space="preserve"> </w:t>
      </w:r>
      <w:r>
        <w:rPr>
          <w:color w:val="231F20"/>
        </w:rPr>
        <w:t>Hospital</w:t>
      </w:r>
      <w:r>
        <w:rPr>
          <w:color w:val="231F20"/>
          <w:spacing w:val="-25"/>
        </w:rPr>
        <w:t xml:space="preserve"> </w:t>
      </w:r>
      <w:r>
        <w:rPr>
          <w:color w:val="231F20"/>
          <w:spacing w:val="-3"/>
        </w:rPr>
        <w:t xml:space="preserve">Care </w:t>
      </w:r>
      <w:r>
        <w:rPr>
          <w:color w:val="231F20"/>
        </w:rPr>
        <w:t xml:space="preserve">Priority Area 8: Health Promotion and Environmental Health </w:t>
      </w:r>
      <w:r>
        <w:rPr>
          <w:b/>
          <w:color w:val="231F20"/>
        </w:rPr>
        <w:t>Strategic</w:t>
      </w:r>
      <w:r>
        <w:rPr>
          <w:b/>
          <w:color w:val="231F20"/>
          <w:spacing w:val="-26"/>
        </w:rPr>
        <w:t xml:space="preserve"> </w:t>
      </w:r>
      <w:r>
        <w:rPr>
          <w:b/>
          <w:color w:val="231F20"/>
        </w:rPr>
        <w:t>Pillar</w:t>
      </w:r>
      <w:r>
        <w:rPr>
          <w:b/>
          <w:color w:val="231F20"/>
          <w:spacing w:val="-25"/>
        </w:rPr>
        <w:t xml:space="preserve"> </w:t>
      </w:r>
      <w:r>
        <w:rPr>
          <w:b/>
          <w:color w:val="231F20"/>
        </w:rPr>
        <w:t>Three:</w:t>
      </w:r>
      <w:r>
        <w:rPr>
          <w:b/>
          <w:color w:val="231F20"/>
          <w:spacing w:val="-25"/>
        </w:rPr>
        <w:t xml:space="preserve"> </w:t>
      </w:r>
      <w:r>
        <w:rPr>
          <w:b/>
          <w:color w:val="231F20"/>
        </w:rPr>
        <w:t>Health</w:t>
      </w:r>
      <w:r>
        <w:rPr>
          <w:b/>
          <w:color w:val="231F20"/>
          <w:spacing w:val="-25"/>
        </w:rPr>
        <w:t xml:space="preserve"> </w:t>
      </w:r>
      <w:r>
        <w:rPr>
          <w:b/>
          <w:color w:val="231F20"/>
        </w:rPr>
        <w:t>system</w:t>
      </w:r>
      <w:r>
        <w:rPr>
          <w:b/>
          <w:color w:val="231F20"/>
          <w:spacing w:val="-25"/>
        </w:rPr>
        <w:t xml:space="preserve"> </w:t>
      </w:r>
      <w:r>
        <w:rPr>
          <w:b/>
          <w:color w:val="231F20"/>
        </w:rPr>
        <w:t>support</w:t>
      </w:r>
    </w:p>
    <w:p w14:paraId="7F9624E6" w14:textId="77777777" w:rsidR="009948F1" w:rsidRDefault="00BC0563">
      <w:pPr>
        <w:pStyle w:val="BodyText"/>
        <w:spacing w:before="2" w:line="271" w:lineRule="auto"/>
        <w:ind w:left="141" w:right="5453"/>
      </w:pPr>
      <w:r>
        <w:rPr>
          <w:color w:val="231F20"/>
        </w:rPr>
        <w:t>Priority</w:t>
      </w:r>
      <w:r>
        <w:rPr>
          <w:color w:val="231F20"/>
          <w:spacing w:val="-37"/>
        </w:rPr>
        <w:t xml:space="preserve"> </w:t>
      </w:r>
      <w:r>
        <w:rPr>
          <w:color w:val="231F20"/>
        </w:rPr>
        <w:t>Area</w:t>
      </w:r>
      <w:r>
        <w:rPr>
          <w:color w:val="231F20"/>
          <w:spacing w:val="-25"/>
        </w:rPr>
        <w:t xml:space="preserve"> </w:t>
      </w:r>
      <w:r>
        <w:rPr>
          <w:color w:val="231F20"/>
        </w:rPr>
        <w:t>9:</w:t>
      </w:r>
      <w:r>
        <w:rPr>
          <w:color w:val="231F20"/>
          <w:spacing w:val="-24"/>
        </w:rPr>
        <w:t xml:space="preserve"> </w:t>
      </w:r>
      <w:r>
        <w:rPr>
          <w:color w:val="231F20"/>
        </w:rPr>
        <w:t>Human</w:t>
      </w:r>
      <w:r>
        <w:rPr>
          <w:color w:val="231F20"/>
          <w:spacing w:val="-24"/>
        </w:rPr>
        <w:t xml:space="preserve"> </w:t>
      </w:r>
      <w:r>
        <w:rPr>
          <w:color w:val="231F20"/>
        </w:rPr>
        <w:t>Resource</w:t>
      </w:r>
      <w:r>
        <w:rPr>
          <w:color w:val="231F20"/>
          <w:spacing w:val="-25"/>
        </w:rPr>
        <w:t xml:space="preserve"> </w:t>
      </w:r>
      <w:r>
        <w:rPr>
          <w:color w:val="231F20"/>
        </w:rPr>
        <w:t>for</w:t>
      </w:r>
      <w:r>
        <w:rPr>
          <w:color w:val="231F20"/>
          <w:spacing w:val="-24"/>
        </w:rPr>
        <w:t xml:space="preserve"> </w:t>
      </w:r>
      <w:r>
        <w:rPr>
          <w:color w:val="231F20"/>
          <w:spacing w:val="-3"/>
        </w:rPr>
        <w:t xml:space="preserve">Health </w:t>
      </w:r>
      <w:r>
        <w:rPr>
          <w:color w:val="231F20"/>
        </w:rPr>
        <w:t>Priority</w:t>
      </w:r>
      <w:r>
        <w:rPr>
          <w:color w:val="231F20"/>
          <w:spacing w:val="-37"/>
        </w:rPr>
        <w:t xml:space="preserve"> </w:t>
      </w:r>
      <w:r>
        <w:rPr>
          <w:color w:val="231F20"/>
        </w:rPr>
        <w:t>Area</w:t>
      </w:r>
      <w:r>
        <w:rPr>
          <w:color w:val="231F20"/>
          <w:spacing w:val="-26"/>
        </w:rPr>
        <w:t xml:space="preserve"> </w:t>
      </w:r>
      <w:r>
        <w:rPr>
          <w:color w:val="231F20"/>
        </w:rPr>
        <w:t>10:</w:t>
      </w:r>
      <w:r>
        <w:rPr>
          <w:color w:val="231F20"/>
          <w:spacing w:val="-25"/>
        </w:rPr>
        <w:t xml:space="preserve"> </w:t>
      </w:r>
      <w:r>
        <w:rPr>
          <w:color w:val="231F20"/>
        </w:rPr>
        <w:t>Health</w:t>
      </w:r>
      <w:r>
        <w:rPr>
          <w:color w:val="231F20"/>
          <w:spacing w:val="-25"/>
        </w:rPr>
        <w:t xml:space="preserve"> </w:t>
      </w:r>
      <w:r>
        <w:rPr>
          <w:color w:val="231F20"/>
        </w:rPr>
        <w:t>Infrastructure</w:t>
      </w:r>
    </w:p>
    <w:p w14:paraId="3E12791A" w14:textId="77777777" w:rsidR="009948F1" w:rsidRDefault="00BC0563">
      <w:pPr>
        <w:pStyle w:val="BodyText"/>
        <w:spacing w:before="1" w:line="271" w:lineRule="auto"/>
        <w:ind w:left="141" w:right="2720"/>
      </w:pPr>
      <w:r>
        <w:rPr>
          <w:color w:val="231F20"/>
        </w:rPr>
        <w:t>Priority</w:t>
      </w:r>
      <w:r>
        <w:rPr>
          <w:color w:val="231F20"/>
          <w:spacing w:val="-38"/>
        </w:rPr>
        <w:t xml:space="preserve"> </w:t>
      </w:r>
      <w:r>
        <w:rPr>
          <w:color w:val="231F20"/>
        </w:rPr>
        <w:t>Area</w:t>
      </w:r>
      <w:r>
        <w:rPr>
          <w:color w:val="231F20"/>
          <w:spacing w:val="-26"/>
        </w:rPr>
        <w:t xml:space="preserve"> </w:t>
      </w:r>
      <w:r>
        <w:rPr>
          <w:color w:val="231F20"/>
          <w:spacing w:val="-6"/>
        </w:rPr>
        <w:t>11:</w:t>
      </w:r>
      <w:r>
        <w:rPr>
          <w:color w:val="231F20"/>
          <w:spacing w:val="-26"/>
        </w:rPr>
        <w:t xml:space="preserve"> </w:t>
      </w:r>
      <w:r>
        <w:rPr>
          <w:color w:val="231F20"/>
        </w:rPr>
        <w:t>Medicines,</w:t>
      </w:r>
      <w:r>
        <w:rPr>
          <w:color w:val="231F20"/>
          <w:spacing w:val="-25"/>
        </w:rPr>
        <w:t xml:space="preserve"> </w:t>
      </w:r>
      <w:r>
        <w:rPr>
          <w:color w:val="231F20"/>
        </w:rPr>
        <w:t>Vaccines,</w:t>
      </w:r>
      <w:r>
        <w:rPr>
          <w:color w:val="231F20"/>
          <w:spacing w:val="-26"/>
        </w:rPr>
        <w:t xml:space="preserve"> </w:t>
      </w:r>
      <w:r>
        <w:rPr>
          <w:color w:val="231F20"/>
        </w:rPr>
        <w:t>Health</w:t>
      </w:r>
      <w:r>
        <w:rPr>
          <w:color w:val="231F20"/>
          <w:spacing w:val="-30"/>
        </w:rPr>
        <w:t xml:space="preserve"> </w:t>
      </w:r>
      <w:r>
        <w:rPr>
          <w:color w:val="231F20"/>
          <w:spacing w:val="-3"/>
        </w:rPr>
        <w:t>Technologies</w:t>
      </w:r>
      <w:r>
        <w:rPr>
          <w:color w:val="231F20"/>
          <w:spacing w:val="-26"/>
        </w:rPr>
        <w:t xml:space="preserve"> </w:t>
      </w:r>
      <w:r>
        <w:rPr>
          <w:color w:val="231F20"/>
        </w:rPr>
        <w:t>and</w:t>
      </w:r>
      <w:r>
        <w:rPr>
          <w:color w:val="231F20"/>
          <w:spacing w:val="-25"/>
        </w:rPr>
        <w:t xml:space="preserve"> </w:t>
      </w:r>
      <w:r>
        <w:rPr>
          <w:color w:val="231F20"/>
        </w:rPr>
        <w:t>Supplies Priority</w:t>
      </w:r>
      <w:r>
        <w:rPr>
          <w:color w:val="231F20"/>
          <w:spacing w:val="-37"/>
        </w:rPr>
        <w:t xml:space="preserve"> </w:t>
      </w:r>
      <w:r>
        <w:rPr>
          <w:color w:val="231F20"/>
        </w:rPr>
        <w:t>Area</w:t>
      </w:r>
      <w:r>
        <w:rPr>
          <w:color w:val="231F20"/>
          <w:spacing w:val="-25"/>
        </w:rPr>
        <w:t xml:space="preserve"> </w:t>
      </w:r>
      <w:r>
        <w:rPr>
          <w:color w:val="231F20"/>
        </w:rPr>
        <w:t>12:</w:t>
      </w:r>
      <w:r>
        <w:rPr>
          <w:color w:val="231F20"/>
          <w:spacing w:val="-25"/>
        </w:rPr>
        <w:t xml:space="preserve"> </w:t>
      </w:r>
      <w:r>
        <w:rPr>
          <w:color w:val="231F20"/>
        </w:rPr>
        <w:t>Health</w:t>
      </w:r>
      <w:r>
        <w:rPr>
          <w:color w:val="231F20"/>
          <w:spacing w:val="-26"/>
        </w:rPr>
        <w:t xml:space="preserve"> </w:t>
      </w:r>
      <w:r>
        <w:rPr>
          <w:color w:val="231F20"/>
        </w:rPr>
        <w:t>Information</w:t>
      </w:r>
    </w:p>
    <w:p w14:paraId="65BCA380" w14:textId="77777777" w:rsidR="009948F1" w:rsidRDefault="00BC0563">
      <w:pPr>
        <w:pStyle w:val="BodyText"/>
        <w:spacing w:before="1"/>
        <w:ind w:left="141"/>
      </w:pPr>
      <w:r>
        <w:rPr>
          <w:color w:val="231F20"/>
        </w:rPr>
        <w:t>Priority Area 13: Health Research</w:t>
      </w:r>
    </w:p>
    <w:p w14:paraId="10D9432A" w14:textId="77777777" w:rsidR="009948F1" w:rsidRDefault="00BC0563">
      <w:pPr>
        <w:spacing w:before="33" w:line="271" w:lineRule="auto"/>
        <w:ind w:left="141" w:right="1698"/>
        <w:rPr>
          <w:b/>
        </w:rPr>
      </w:pPr>
      <w:r>
        <w:rPr>
          <w:b/>
          <w:color w:val="231F20"/>
        </w:rPr>
        <w:t>Strategic</w:t>
      </w:r>
      <w:r>
        <w:rPr>
          <w:b/>
          <w:color w:val="231F20"/>
          <w:spacing w:val="-25"/>
        </w:rPr>
        <w:t xml:space="preserve"> </w:t>
      </w:r>
      <w:r>
        <w:rPr>
          <w:b/>
          <w:color w:val="231F20"/>
        </w:rPr>
        <w:t>Pillar</w:t>
      </w:r>
      <w:r>
        <w:rPr>
          <w:b/>
          <w:color w:val="231F20"/>
          <w:spacing w:val="-25"/>
        </w:rPr>
        <w:t xml:space="preserve"> </w:t>
      </w:r>
      <w:r>
        <w:rPr>
          <w:b/>
          <w:color w:val="231F20"/>
        </w:rPr>
        <w:t>Four:</w:t>
      </w:r>
      <w:r>
        <w:rPr>
          <w:b/>
          <w:color w:val="231F20"/>
          <w:spacing w:val="-25"/>
        </w:rPr>
        <w:t xml:space="preserve"> </w:t>
      </w:r>
      <w:r>
        <w:rPr>
          <w:b/>
          <w:color w:val="231F20"/>
        </w:rPr>
        <w:t>Protection</w:t>
      </w:r>
      <w:r>
        <w:rPr>
          <w:b/>
          <w:color w:val="231F20"/>
          <w:spacing w:val="-25"/>
        </w:rPr>
        <w:t xml:space="preserve"> </w:t>
      </w:r>
      <w:r>
        <w:rPr>
          <w:b/>
          <w:color w:val="231F20"/>
        </w:rPr>
        <w:t>from</w:t>
      </w:r>
      <w:r>
        <w:rPr>
          <w:b/>
          <w:color w:val="231F20"/>
          <w:spacing w:val="-24"/>
        </w:rPr>
        <w:t xml:space="preserve"> </w:t>
      </w:r>
      <w:r>
        <w:rPr>
          <w:b/>
          <w:color w:val="231F20"/>
        </w:rPr>
        <w:t>Public Health</w:t>
      </w:r>
      <w:r>
        <w:rPr>
          <w:b/>
          <w:color w:val="231F20"/>
          <w:spacing w:val="-25"/>
        </w:rPr>
        <w:t xml:space="preserve"> </w:t>
      </w:r>
      <w:r>
        <w:rPr>
          <w:b/>
          <w:color w:val="231F20"/>
        </w:rPr>
        <w:t>Emergencies</w:t>
      </w:r>
      <w:r>
        <w:rPr>
          <w:b/>
          <w:color w:val="231F20"/>
          <w:spacing w:val="-25"/>
        </w:rPr>
        <w:t xml:space="preserve"> </w:t>
      </w:r>
      <w:r>
        <w:rPr>
          <w:b/>
          <w:color w:val="231F20"/>
        </w:rPr>
        <w:t>and</w:t>
      </w:r>
      <w:r>
        <w:rPr>
          <w:b/>
          <w:color w:val="231F20"/>
          <w:spacing w:val="-25"/>
        </w:rPr>
        <w:t xml:space="preserve"> </w:t>
      </w:r>
      <w:r>
        <w:rPr>
          <w:b/>
          <w:color w:val="231F20"/>
          <w:spacing w:val="-3"/>
        </w:rPr>
        <w:t xml:space="preserve">Risks </w:t>
      </w:r>
      <w:r>
        <w:rPr>
          <w:color w:val="231F20"/>
        </w:rPr>
        <w:t xml:space="preserve">Priority Area 14: Public Health Emergencies: Preparedness and Response </w:t>
      </w:r>
      <w:r>
        <w:rPr>
          <w:b/>
          <w:color w:val="231F20"/>
        </w:rPr>
        <w:t>Strategic Pillars Five: Health</w:t>
      </w:r>
      <w:r>
        <w:rPr>
          <w:b/>
          <w:color w:val="231F20"/>
          <w:spacing w:val="-39"/>
        </w:rPr>
        <w:t xml:space="preserve"> </w:t>
      </w:r>
      <w:r>
        <w:rPr>
          <w:b/>
          <w:color w:val="231F20"/>
        </w:rPr>
        <w:t>Financing</w:t>
      </w:r>
    </w:p>
    <w:p w14:paraId="79F257AE" w14:textId="77777777" w:rsidR="009948F1" w:rsidRDefault="00BC0563">
      <w:pPr>
        <w:pStyle w:val="BodyText"/>
        <w:spacing w:before="2"/>
        <w:ind w:left="141"/>
      </w:pPr>
      <w:r>
        <w:rPr>
          <w:color w:val="231F20"/>
        </w:rPr>
        <w:t>Priority Area 15: Health Financing</w:t>
      </w:r>
    </w:p>
    <w:p w14:paraId="611A9B9B" w14:textId="77777777" w:rsidR="009948F1" w:rsidRDefault="009948F1">
      <w:pPr>
        <w:pStyle w:val="BodyText"/>
        <w:spacing w:before="9"/>
      </w:pPr>
    </w:p>
    <w:p w14:paraId="54D06AA4" w14:textId="77777777" w:rsidR="009948F1" w:rsidRDefault="00BC0563">
      <w:pPr>
        <w:pStyle w:val="BodyText"/>
        <w:spacing w:before="1" w:line="264" w:lineRule="auto"/>
        <w:ind w:left="141" w:right="176"/>
        <w:jc w:val="both"/>
      </w:pPr>
      <w:r>
        <w:rPr>
          <w:color w:val="231F20"/>
        </w:rPr>
        <w:t>The preferred policy option for Rivers SSHDP II (2018-2022)was the Essential Service Moderate Scenario</w:t>
      </w:r>
      <w:r>
        <w:rPr>
          <w:color w:val="231F20"/>
          <w:spacing w:val="-23"/>
        </w:rPr>
        <w:t xml:space="preserve"> </w:t>
      </w:r>
      <w:r>
        <w:rPr>
          <w:color w:val="231F20"/>
        </w:rPr>
        <w:t>with</w:t>
      </w:r>
      <w:r>
        <w:rPr>
          <w:color w:val="231F20"/>
          <w:spacing w:val="-23"/>
        </w:rPr>
        <w:t xml:space="preserve"> </w:t>
      </w:r>
      <w:r>
        <w:rPr>
          <w:color w:val="231F20"/>
        </w:rPr>
        <w:t>an</w:t>
      </w:r>
      <w:r>
        <w:rPr>
          <w:color w:val="231F20"/>
          <w:spacing w:val="-22"/>
        </w:rPr>
        <w:t xml:space="preserve"> </w:t>
      </w:r>
      <w:r>
        <w:rPr>
          <w:color w:val="231F20"/>
        </w:rPr>
        <w:t>estimated</w:t>
      </w:r>
      <w:r>
        <w:rPr>
          <w:color w:val="231F20"/>
          <w:spacing w:val="-23"/>
        </w:rPr>
        <w:t xml:space="preserve"> </w:t>
      </w:r>
      <w:r>
        <w:rPr>
          <w:color w:val="231F20"/>
        </w:rPr>
        <w:t>Cost</w:t>
      </w:r>
      <w:r>
        <w:rPr>
          <w:color w:val="231F20"/>
          <w:spacing w:val="-23"/>
        </w:rPr>
        <w:t xml:space="preserve"> </w:t>
      </w:r>
      <w:r>
        <w:rPr>
          <w:color w:val="231F20"/>
        </w:rPr>
        <w:t>of</w:t>
      </w:r>
      <w:r>
        <w:rPr>
          <w:color w:val="231F20"/>
          <w:spacing w:val="-26"/>
        </w:rPr>
        <w:t xml:space="preserve"> </w:t>
      </w:r>
      <w:r>
        <w:rPr>
          <w:color w:val="231F20"/>
          <w:spacing w:val="-5"/>
        </w:rPr>
        <w:t>Two</w:t>
      </w:r>
      <w:r>
        <w:rPr>
          <w:color w:val="231F20"/>
          <w:spacing w:val="-23"/>
        </w:rPr>
        <w:t xml:space="preserve"> </w:t>
      </w:r>
      <w:r>
        <w:rPr>
          <w:color w:val="231F20"/>
        </w:rPr>
        <w:t>Hundred</w:t>
      </w:r>
      <w:r>
        <w:rPr>
          <w:color w:val="231F20"/>
          <w:spacing w:val="-23"/>
        </w:rPr>
        <w:t xml:space="preserve"> </w:t>
      </w:r>
      <w:r>
        <w:rPr>
          <w:color w:val="231F20"/>
        </w:rPr>
        <w:t>and</w:t>
      </w:r>
      <w:r>
        <w:rPr>
          <w:color w:val="231F20"/>
          <w:spacing w:val="-26"/>
        </w:rPr>
        <w:t xml:space="preserve"> </w:t>
      </w:r>
      <w:r>
        <w:rPr>
          <w:color w:val="231F20"/>
          <w:spacing w:val="-3"/>
        </w:rPr>
        <w:t>Twenty</w:t>
      </w:r>
      <w:r>
        <w:rPr>
          <w:color w:val="231F20"/>
          <w:spacing w:val="-23"/>
        </w:rPr>
        <w:t xml:space="preserve"> </w:t>
      </w:r>
      <w:r>
        <w:rPr>
          <w:color w:val="231F20"/>
        </w:rPr>
        <w:t>Billion,</w:t>
      </w:r>
      <w:r>
        <w:rPr>
          <w:color w:val="231F20"/>
          <w:spacing w:val="-22"/>
        </w:rPr>
        <w:t xml:space="preserve"> </w:t>
      </w:r>
      <w:r>
        <w:rPr>
          <w:color w:val="231F20"/>
        </w:rPr>
        <w:t>One</w:t>
      </w:r>
      <w:r>
        <w:rPr>
          <w:color w:val="231F20"/>
          <w:spacing w:val="-23"/>
        </w:rPr>
        <w:t xml:space="preserve"> </w:t>
      </w:r>
      <w:r>
        <w:rPr>
          <w:color w:val="231F20"/>
        </w:rPr>
        <w:t>Hundred</w:t>
      </w:r>
      <w:r>
        <w:rPr>
          <w:color w:val="231F20"/>
          <w:spacing w:val="-23"/>
        </w:rPr>
        <w:t xml:space="preserve"> </w:t>
      </w:r>
      <w:r>
        <w:rPr>
          <w:color w:val="231F20"/>
        </w:rPr>
        <w:t>and</w:t>
      </w:r>
      <w:r>
        <w:rPr>
          <w:color w:val="231F20"/>
          <w:spacing w:val="-22"/>
        </w:rPr>
        <w:t xml:space="preserve"> </w:t>
      </w:r>
      <w:r>
        <w:rPr>
          <w:color w:val="231F20"/>
        </w:rPr>
        <w:t>Eighty-</w:t>
      </w:r>
      <w:r>
        <w:rPr>
          <w:color w:val="231F20"/>
          <w:spacing w:val="-23"/>
        </w:rPr>
        <w:t xml:space="preserve"> </w:t>
      </w:r>
      <w:r>
        <w:rPr>
          <w:color w:val="231F20"/>
        </w:rPr>
        <w:t>Nine Million</w:t>
      </w:r>
      <w:r>
        <w:rPr>
          <w:color w:val="231F20"/>
          <w:spacing w:val="-26"/>
        </w:rPr>
        <w:t xml:space="preserve"> </w:t>
      </w:r>
      <w:r>
        <w:rPr>
          <w:color w:val="231F20"/>
        </w:rPr>
        <w:t>Naira</w:t>
      </w:r>
      <w:r>
        <w:rPr>
          <w:color w:val="231F20"/>
          <w:spacing w:val="-25"/>
        </w:rPr>
        <w:t xml:space="preserve"> </w:t>
      </w:r>
      <w:r>
        <w:rPr>
          <w:color w:val="231F20"/>
        </w:rPr>
        <w:t>(?</w:t>
      </w:r>
      <w:r>
        <w:rPr>
          <w:color w:val="231F20"/>
          <w:spacing w:val="-18"/>
        </w:rPr>
        <w:t xml:space="preserve"> </w:t>
      </w:r>
      <w:r>
        <w:rPr>
          <w:color w:val="231F20"/>
        </w:rPr>
        <w:t>220,189,000,000)for</w:t>
      </w:r>
      <w:r>
        <w:rPr>
          <w:color w:val="231F20"/>
          <w:spacing w:val="-25"/>
        </w:rPr>
        <w:t xml:space="preserve"> </w:t>
      </w:r>
      <w:r>
        <w:rPr>
          <w:color w:val="231F20"/>
        </w:rPr>
        <w:t>the</w:t>
      </w:r>
      <w:r>
        <w:rPr>
          <w:color w:val="231F20"/>
          <w:spacing w:val="-26"/>
        </w:rPr>
        <w:t xml:space="preserve"> </w:t>
      </w:r>
      <w:r>
        <w:rPr>
          <w:color w:val="231F20"/>
        </w:rPr>
        <w:t>5-year</w:t>
      </w:r>
      <w:r>
        <w:rPr>
          <w:color w:val="231F20"/>
          <w:spacing w:val="-25"/>
        </w:rPr>
        <w:t xml:space="preserve"> </w:t>
      </w:r>
      <w:r>
        <w:rPr>
          <w:color w:val="231F20"/>
        </w:rPr>
        <w:t>plan.</w:t>
      </w:r>
    </w:p>
    <w:p w14:paraId="5A97ED8B" w14:textId="77777777" w:rsidR="009948F1" w:rsidRDefault="009948F1">
      <w:pPr>
        <w:pStyle w:val="BodyText"/>
        <w:spacing w:before="8"/>
        <w:rPr>
          <w:sz w:val="25"/>
        </w:rPr>
      </w:pPr>
    </w:p>
    <w:p w14:paraId="1180D0C7" w14:textId="77777777" w:rsidR="009948F1" w:rsidRDefault="00BC0563">
      <w:pPr>
        <w:pStyle w:val="BodyText"/>
        <w:spacing w:line="271" w:lineRule="auto"/>
        <w:ind w:left="141" w:right="178"/>
        <w:jc w:val="both"/>
      </w:pPr>
      <w:r>
        <w:rPr>
          <w:color w:val="231F20"/>
        </w:rPr>
        <w:t xml:space="preserve">The Rivers State Ministry of Health (RSMOH), under the leadership of the </w:t>
      </w:r>
      <w:proofErr w:type="spellStart"/>
      <w:r>
        <w:rPr>
          <w:color w:val="231F20"/>
        </w:rPr>
        <w:t>Honourable</w:t>
      </w:r>
      <w:proofErr w:type="spellEnd"/>
      <w:r>
        <w:rPr>
          <w:color w:val="231F20"/>
        </w:rPr>
        <w:t xml:space="preserve"> Commissioner,</w:t>
      </w:r>
      <w:r>
        <w:rPr>
          <w:color w:val="231F20"/>
          <w:spacing w:val="-11"/>
        </w:rPr>
        <w:t xml:space="preserve"> </w:t>
      </w:r>
      <w:r>
        <w:rPr>
          <w:color w:val="231F20"/>
        </w:rPr>
        <w:t>the</w:t>
      </w:r>
      <w:r>
        <w:rPr>
          <w:color w:val="231F20"/>
          <w:spacing w:val="-10"/>
        </w:rPr>
        <w:t xml:space="preserve"> </w:t>
      </w:r>
      <w:r>
        <w:rPr>
          <w:color w:val="231F20"/>
        </w:rPr>
        <w:t>Chief</w:t>
      </w:r>
      <w:r>
        <w:rPr>
          <w:color w:val="231F20"/>
          <w:spacing w:val="-10"/>
        </w:rPr>
        <w:t xml:space="preserve"> </w:t>
      </w:r>
      <w:r>
        <w:rPr>
          <w:color w:val="231F20"/>
        </w:rPr>
        <w:t>Executive</w:t>
      </w:r>
      <w:r>
        <w:rPr>
          <w:color w:val="231F20"/>
          <w:spacing w:val="-11"/>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Permanent</w:t>
      </w:r>
      <w:r>
        <w:rPr>
          <w:color w:val="231F20"/>
          <w:spacing w:val="-10"/>
        </w:rPr>
        <w:t xml:space="preserve"> </w:t>
      </w:r>
      <w:r>
        <w:rPr>
          <w:color w:val="231F20"/>
        </w:rPr>
        <w:t>Secretary,</w:t>
      </w:r>
      <w:r>
        <w:rPr>
          <w:color w:val="231F20"/>
          <w:spacing w:val="-11"/>
        </w:rPr>
        <w:t xml:space="preserve"> </w:t>
      </w:r>
      <w:r>
        <w:rPr>
          <w:color w:val="231F20"/>
        </w:rPr>
        <w:t>the</w:t>
      </w:r>
      <w:r>
        <w:rPr>
          <w:color w:val="231F20"/>
          <w:spacing w:val="-10"/>
        </w:rPr>
        <w:t xml:space="preserve"> </w:t>
      </w:r>
      <w:r>
        <w:rPr>
          <w:color w:val="231F20"/>
        </w:rPr>
        <w:t>Chief</w:t>
      </w:r>
      <w:r>
        <w:rPr>
          <w:color w:val="231F20"/>
          <w:spacing w:val="-22"/>
        </w:rPr>
        <w:t xml:space="preserve"> </w:t>
      </w:r>
      <w:r>
        <w:rPr>
          <w:color w:val="231F20"/>
        </w:rPr>
        <w:t>Administrative</w:t>
      </w:r>
      <w:r>
        <w:rPr>
          <w:color w:val="231F20"/>
          <w:spacing w:val="-10"/>
        </w:rPr>
        <w:t xml:space="preserve"> </w:t>
      </w:r>
      <w:r>
        <w:rPr>
          <w:color w:val="231F20"/>
          <w:spacing w:val="-3"/>
        </w:rPr>
        <w:t xml:space="preserve">Officer </w:t>
      </w:r>
      <w:r>
        <w:rPr>
          <w:color w:val="231F20"/>
        </w:rPr>
        <w:t xml:space="preserve">of the Ministry is responsible for formulating the State health policy and ensuring </w:t>
      </w:r>
      <w:r>
        <w:rPr>
          <w:color w:val="231F20"/>
          <w:spacing w:val="-4"/>
        </w:rPr>
        <w:t>its</w:t>
      </w:r>
      <w:r>
        <w:rPr>
          <w:color w:val="231F20"/>
          <w:spacing w:val="53"/>
        </w:rPr>
        <w:t xml:space="preserve"> </w:t>
      </w:r>
      <w:r>
        <w:rPr>
          <w:color w:val="231F20"/>
        </w:rPr>
        <w:t xml:space="preserve">implementations. The RSMOH has parastatals, agencies and training institutions with </w:t>
      </w:r>
      <w:r>
        <w:rPr>
          <w:color w:val="231F20"/>
          <w:spacing w:val="-3"/>
        </w:rPr>
        <w:t xml:space="preserve">their </w:t>
      </w:r>
      <w:r>
        <w:rPr>
          <w:color w:val="231F20"/>
        </w:rPr>
        <w:t>administrative</w:t>
      </w:r>
      <w:r>
        <w:rPr>
          <w:color w:val="231F20"/>
          <w:spacing w:val="-9"/>
        </w:rPr>
        <w:t xml:space="preserve"> </w:t>
      </w:r>
      <w:r>
        <w:rPr>
          <w:color w:val="231F20"/>
        </w:rPr>
        <w:t>heads</w:t>
      </w:r>
      <w:r>
        <w:rPr>
          <w:color w:val="231F20"/>
          <w:spacing w:val="-8"/>
        </w:rPr>
        <w:t xml:space="preserve"> </w:t>
      </w:r>
      <w:r>
        <w:rPr>
          <w:color w:val="231F20"/>
        </w:rPr>
        <w:t>that</w:t>
      </w:r>
      <w:r>
        <w:rPr>
          <w:color w:val="231F20"/>
          <w:spacing w:val="-8"/>
        </w:rPr>
        <w:t xml:space="preserve"> </w:t>
      </w:r>
      <w:r>
        <w:rPr>
          <w:color w:val="231F20"/>
        </w:rPr>
        <w:t>provide</w:t>
      </w:r>
      <w:r>
        <w:rPr>
          <w:color w:val="231F20"/>
          <w:spacing w:val="-8"/>
        </w:rPr>
        <w:t xml:space="preserve"> </w:t>
      </w:r>
      <w:r>
        <w:rPr>
          <w:color w:val="231F20"/>
        </w:rPr>
        <w:t>manpower</w:t>
      </w:r>
      <w:r>
        <w:rPr>
          <w:color w:val="231F20"/>
          <w:spacing w:val="-8"/>
        </w:rPr>
        <w:t xml:space="preserve"> </w:t>
      </w:r>
      <w:r>
        <w:rPr>
          <w:color w:val="231F20"/>
        </w:rPr>
        <w:t>needs</w:t>
      </w:r>
      <w:r>
        <w:rPr>
          <w:color w:val="231F20"/>
          <w:spacing w:val="-9"/>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secondary</w:t>
      </w:r>
      <w:r>
        <w:rPr>
          <w:color w:val="231F20"/>
          <w:spacing w:val="-8"/>
        </w:rPr>
        <w:t xml:space="preserve"> </w:t>
      </w:r>
      <w:r>
        <w:rPr>
          <w:color w:val="231F20"/>
        </w:rPr>
        <w:t>and</w:t>
      </w:r>
      <w:r>
        <w:rPr>
          <w:color w:val="231F20"/>
          <w:spacing w:val="-8"/>
        </w:rPr>
        <w:t xml:space="preserve"> </w:t>
      </w:r>
      <w:r>
        <w:rPr>
          <w:color w:val="231F20"/>
        </w:rPr>
        <w:t>tertiary</w:t>
      </w:r>
      <w:r>
        <w:rPr>
          <w:color w:val="231F20"/>
          <w:spacing w:val="-8"/>
        </w:rPr>
        <w:t xml:space="preserve"> </w:t>
      </w:r>
      <w:r>
        <w:rPr>
          <w:color w:val="231F20"/>
        </w:rPr>
        <w:t>health</w:t>
      </w:r>
      <w:r>
        <w:rPr>
          <w:color w:val="231F20"/>
          <w:spacing w:val="-9"/>
        </w:rPr>
        <w:t xml:space="preserve"> </w:t>
      </w:r>
      <w:r>
        <w:rPr>
          <w:color w:val="231F20"/>
        </w:rPr>
        <w:t xml:space="preserve">facilities. All these would make sure the SSHDP II is put into proper practice and the various </w:t>
      </w:r>
      <w:proofErr w:type="spellStart"/>
      <w:r>
        <w:rPr>
          <w:color w:val="231F20"/>
        </w:rPr>
        <w:t>programmes</w:t>
      </w:r>
      <w:proofErr w:type="spellEnd"/>
      <w:r>
        <w:rPr>
          <w:color w:val="231F20"/>
        </w:rPr>
        <w:t xml:space="preserve"> actualized.</w:t>
      </w:r>
    </w:p>
    <w:p w14:paraId="15D62F9F" w14:textId="77777777" w:rsidR="009948F1" w:rsidRDefault="009948F1">
      <w:pPr>
        <w:pStyle w:val="BodyText"/>
        <w:spacing w:before="3"/>
        <w:rPr>
          <w:sz w:val="25"/>
        </w:rPr>
      </w:pPr>
    </w:p>
    <w:p w14:paraId="54EDAB9F" w14:textId="77777777" w:rsidR="009948F1" w:rsidRDefault="00BC0563">
      <w:pPr>
        <w:pStyle w:val="BodyText"/>
        <w:spacing w:line="271" w:lineRule="auto"/>
        <w:ind w:left="140" w:right="177"/>
        <w:jc w:val="both"/>
      </w:pPr>
      <w:r>
        <w:rPr>
          <w:color w:val="231F20"/>
        </w:rPr>
        <w:t>Monitoring</w:t>
      </w:r>
      <w:r>
        <w:rPr>
          <w:color w:val="231F20"/>
          <w:spacing w:val="-10"/>
        </w:rPr>
        <w:t xml:space="preserve"> </w:t>
      </w:r>
      <w:r>
        <w:rPr>
          <w:color w:val="231F20"/>
        </w:rPr>
        <w:t>and</w:t>
      </w:r>
      <w:r>
        <w:rPr>
          <w:color w:val="231F20"/>
          <w:spacing w:val="-9"/>
        </w:rPr>
        <w:t xml:space="preserve"> </w:t>
      </w:r>
      <w:r>
        <w:rPr>
          <w:color w:val="231F20"/>
        </w:rPr>
        <w:t>Evaluation</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done</w:t>
      </w:r>
      <w:r>
        <w:rPr>
          <w:color w:val="231F20"/>
          <w:spacing w:val="-9"/>
        </w:rPr>
        <w:t xml:space="preserve"> </w:t>
      </w:r>
      <w:r>
        <w:rPr>
          <w:color w:val="231F20"/>
        </w:rPr>
        <w:t>by</w:t>
      </w:r>
      <w:r>
        <w:rPr>
          <w:color w:val="231F20"/>
          <w:spacing w:val="-11"/>
        </w:rPr>
        <w:t xml:space="preserve"> </w:t>
      </w:r>
      <w:r>
        <w:rPr>
          <w:color w:val="231F20"/>
        </w:rPr>
        <w:t>the</w:t>
      </w:r>
      <w:r>
        <w:rPr>
          <w:color w:val="231F20"/>
          <w:spacing w:val="-10"/>
        </w:rPr>
        <w:t xml:space="preserve"> </w:t>
      </w:r>
      <w:r>
        <w:rPr>
          <w:color w:val="231F20"/>
        </w:rPr>
        <w:t>implementing</w:t>
      </w:r>
      <w:r>
        <w:rPr>
          <w:color w:val="231F20"/>
          <w:spacing w:val="-9"/>
        </w:rPr>
        <w:t xml:space="preserve"> </w:t>
      </w:r>
      <w:r>
        <w:rPr>
          <w:color w:val="231F20"/>
        </w:rPr>
        <w:t>departments</w:t>
      </w:r>
      <w:r>
        <w:rPr>
          <w:color w:val="231F20"/>
          <w:spacing w:val="-9"/>
        </w:rPr>
        <w:t xml:space="preserve"> </w:t>
      </w:r>
      <w:r>
        <w:rPr>
          <w:color w:val="231F20"/>
        </w:rPr>
        <w:t>and</w:t>
      </w:r>
      <w:r>
        <w:rPr>
          <w:color w:val="231F20"/>
          <w:spacing w:val="-9"/>
        </w:rPr>
        <w:t xml:space="preserve"> </w:t>
      </w:r>
      <w:r>
        <w:rPr>
          <w:color w:val="231F20"/>
        </w:rPr>
        <w:t>special</w:t>
      </w:r>
      <w:r>
        <w:rPr>
          <w:color w:val="231F20"/>
          <w:spacing w:val="-9"/>
        </w:rPr>
        <w:t xml:space="preserve"> </w:t>
      </w:r>
      <w:r>
        <w:rPr>
          <w:color w:val="231F20"/>
        </w:rPr>
        <w:t>units</w:t>
      </w:r>
      <w:r>
        <w:rPr>
          <w:color w:val="231F20"/>
          <w:spacing w:val="-9"/>
        </w:rPr>
        <w:t xml:space="preserve"> </w:t>
      </w:r>
      <w:r>
        <w:rPr>
          <w:color w:val="231F20"/>
        </w:rPr>
        <w:t>(inbuilt M</w:t>
      </w:r>
      <w:r>
        <w:rPr>
          <w:color w:val="231F20"/>
          <w:spacing w:val="-11"/>
        </w:rPr>
        <w:t xml:space="preserve"> </w:t>
      </w:r>
      <w:r>
        <w:rPr>
          <w:color w:val="231F20"/>
        </w:rPr>
        <w:t>&amp;</w:t>
      </w:r>
      <w:r>
        <w:rPr>
          <w:color w:val="231F20"/>
          <w:spacing w:val="-11"/>
        </w:rPr>
        <w:t xml:space="preserve"> </w:t>
      </w:r>
      <w:r>
        <w:rPr>
          <w:color w:val="231F20"/>
        </w:rPr>
        <w:t>E)</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central</w:t>
      </w:r>
      <w:r>
        <w:rPr>
          <w:color w:val="231F20"/>
          <w:spacing w:val="-11"/>
        </w:rPr>
        <w:t xml:space="preserve"> </w:t>
      </w:r>
      <w:r>
        <w:rPr>
          <w:color w:val="231F20"/>
        </w:rPr>
        <w:t>M</w:t>
      </w:r>
      <w:r>
        <w:rPr>
          <w:color w:val="231F20"/>
          <w:spacing w:val="-11"/>
        </w:rPr>
        <w:t xml:space="preserve"> </w:t>
      </w:r>
      <w:r>
        <w:rPr>
          <w:color w:val="231F20"/>
        </w:rPr>
        <w:t>&amp;</w:t>
      </w:r>
      <w:r>
        <w:rPr>
          <w:color w:val="231F20"/>
          <w:spacing w:val="-11"/>
        </w:rPr>
        <w:t xml:space="preserve"> </w:t>
      </w:r>
      <w:r>
        <w:rPr>
          <w:color w:val="231F20"/>
        </w:rPr>
        <w:t>E</w:t>
      </w:r>
      <w:r>
        <w:rPr>
          <w:color w:val="231F20"/>
          <w:spacing w:val="-11"/>
        </w:rPr>
        <w:t xml:space="preserve"> </w:t>
      </w:r>
      <w:r>
        <w:rPr>
          <w:color w:val="231F20"/>
        </w:rPr>
        <w:t>Unit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PRS</w:t>
      </w:r>
      <w:r>
        <w:rPr>
          <w:color w:val="231F20"/>
          <w:spacing w:val="-11"/>
        </w:rPr>
        <w:t xml:space="preserve"> </w:t>
      </w:r>
      <w:r>
        <w:rPr>
          <w:color w:val="231F20"/>
        </w:rPr>
        <w:t>Department.</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important</w:t>
      </w:r>
      <w:r>
        <w:rPr>
          <w:color w:val="231F20"/>
          <w:spacing w:val="-11"/>
        </w:rPr>
        <w:t xml:space="preserve"> </w:t>
      </w:r>
      <w:r>
        <w:rPr>
          <w:color w:val="231F20"/>
        </w:rPr>
        <w:t>to</w:t>
      </w:r>
      <w:r>
        <w:rPr>
          <w:color w:val="231F20"/>
          <w:spacing w:val="-11"/>
        </w:rPr>
        <w:t xml:space="preserve"> </w:t>
      </w:r>
      <w:r>
        <w:rPr>
          <w:color w:val="231F20"/>
        </w:rPr>
        <w:t>monitor</w:t>
      </w:r>
      <w:r>
        <w:rPr>
          <w:color w:val="231F20"/>
          <w:spacing w:val="-11"/>
        </w:rPr>
        <w:t xml:space="preserve"> </w:t>
      </w:r>
      <w:r>
        <w:rPr>
          <w:color w:val="231F20"/>
        </w:rPr>
        <w:t>and</w:t>
      </w:r>
      <w:r>
        <w:rPr>
          <w:color w:val="231F20"/>
          <w:spacing w:val="-11"/>
        </w:rPr>
        <w:t xml:space="preserve"> </w:t>
      </w:r>
      <w:r>
        <w:rPr>
          <w:color w:val="231F20"/>
        </w:rPr>
        <w:t>evaluate</w:t>
      </w:r>
      <w:r>
        <w:rPr>
          <w:color w:val="231F20"/>
          <w:spacing w:val="-11"/>
        </w:rPr>
        <w:t xml:space="preserve"> </w:t>
      </w:r>
      <w:r>
        <w:rPr>
          <w:color w:val="231F20"/>
          <w:spacing w:val="-4"/>
        </w:rPr>
        <w:t xml:space="preserve">the </w:t>
      </w:r>
      <w:r>
        <w:rPr>
          <w:color w:val="231F20"/>
        </w:rPr>
        <w:t xml:space="preserve">plan's operational elements (the required activities) that are essential ingredients in ensuring </w:t>
      </w:r>
      <w:r>
        <w:rPr>
          <w:color w:val="231F20"/>
          <w:spacing w:val="-5"/>
        </w:rPr>
        <w:t xml:space="preserve">the </w:t>
      </w:r>
      <w:r>
        <w:rPr>
          <w:color w:val="231F20"/>
        </w:rPr>
        <w:t xml:space="preserve">successful implementation of the plan and it is equally important to monitor and evaluate </w:t>
      </w:r>
      <w:proofErr w:type="spellStart"/>
      <w:r>
        <w:rPr>
          <w:color w:val="231F20"/>
        </w:rPr>
        <w:t>programme</w:t>
      </w:r>
      <w:proofErr w:type="spellEnd"/>
      <w:r>
        <w:rPr>
          <w:color w:val="231F20"/>
          <w:spacing w:val="-7"/>
        </w:rPr>
        <w:t xml:space="preserve"> </w:t>
      </w:r>
      <w:r>
        <w:rPr>
          <w:color w:val="231F20"/>
        </w:rPr>
        <w:t>outputs</w:t>
      </w:r>
      <w:r>
        <w:rPr>
          <w:color w:val="231F20"/>
          <w:spacing w:val="-6"/>
        </w:rPr>
        <w:t xml:space="preserve"> </w:t>
      </w:r>
      <w:r>
        <w:rPr>
          <w:color w:val="231F20"/>
        </w:rPr>
        <w:t>and</w:t>
      </w:r>
      <w:r>
        <w:rPr>
          <w:color w:val="231F20"/>
          <w:spacing w:val="-6"/>
        </w:rPr>
        <w:t xml:space="preserve"> </w:t>
      </w:r>
      <w:r>
        <w:rPr>
          <w:color w:val="231F20"/>
        </w:rPr>
        <w:t>impacts</w:t>
      </w:r>
      <w:r>
        <w:rPr>
          <w:color w:val="231F20"/>
          <w:spacing w:val="-6"/>
        </w:rPr>
        <w:t xml:space="preserve"> </w:t>
      </w:r>
      <w:r>
        <w:rPr>
          <w:color w:val="231F20"/>
        </w:rPr>
        <w:t>for</w:t>
      </w:r>
      <w:r>
        <w:rPr>
          <w:color w:val="231F20"/>
          <w:spacing w:val="-6"/>
        </w:rPr>
        <w:t xml:space="preserve"> </w:t>
      </w:r>
      <w:r>
        <w:rPr>
          <w:color w:val="231F20"/>
        </w:rPr>
        <w:t>measurable</w:t>
      </w:r>
      <w:r>
        <w:rPr>
          <w:color w:val="231F20"/>
          <w:spacing w:val="-6"/>
        </w:rPr>
        <w:t xml:space="preserve"> </w:t>
      </w:r>
      <w:r>
        <w:rPr>
          <w:color w:val="231F20"/>
        </w:rPr>
        <w:t>variables</w:t>
      </w:r>
      <w:r>
        <w:rPr>
          <w:color w:val="231F20"/>
          <w:spacing w:val="-6"/>
        </w:rPr>
        <w:t xml:space="preserve"> </w:t>
      </w:r>
      <w:r>
        <w:rPr>
          <w:color w:val="231F20"/>
        </w:rPr>
        <w:t>and</w:t>
      </w:r>
      <w:r>
        <w:rPr>
          <w:color w:val="231F20"/>
          <w:spacing w:val="-6"/>
        </w:rPr>
        <w:t xml:space="preserve"> </w:t>
      </w:r>
      <w:r>
        <w:rPr>
          <w:color w:val="231F20"/>
        </w:rPr>
        <w:t>changes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health</w:t>
      </w:r>
      <w:r>
        <w:rPr>
          <w:color w:val="231F20"/>
          <w:spacing w:val="-6"/>
        </w:rPr>
        <w:t xml:space="preserve"> </w:t>
      </w:r>
      <w:r>
        <w:rPr>
          <w:color w:val="231F20"/>
        </w:rPr>
        <w:t>status</w:t>
      </w:r>
      <w:r>
        <w:rPr>
          <w:color w:val="231F20"/>
          <w:spacing w:val="-6"/>
        </w:rPr>
        <w:t xml:space="preserve"> </w:t>
      </w:r>
      <w:r>
        <w:rPr>
          <w:color w:val="231F20"/>
        </w:rPr>
        <w:t>of</w:t>
      </w:r>
      <w:r>
        <w:rPr>
          <w:color w:val="231F20"/>
          <w:spacing w:val="-6"/>
        </w:rPr>
        <w:t xml:space="preserve"> </w:t>
      </w:r>
      <w:r>
        <w:rPr>
          <w:color w:val="231F20"/>
          <w:spacing w:val="-4"/>
        </w:rPr>
        <w:t xml:space="preserve">the </w:t>
      </w:r>
      <w:r>
        <w:rPr>
          <w:color w:val="231F20"/>
        </w:rPr>
        <w:t>population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health</w:t>
      </w:r>
      <w:r>
        <w:rPr>
          <w:color w:val="231F20"/>
          <w:spacing w:val="-5"/>
        </w:rPr>
        <w:t xml:space="preserve"> </w:t>
      </w:r>
      <w:r>
        <w:rPr>
          <w:color w:val="231F20"/>
        </w:rPr>
        <w:t>services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consequence</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implementation</w:t>
      </w:r>
      <w:r>
        <w:rPr>
          <w:color w:val="231F20"/>
          <w:spacing w:val="-5"/>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SHDP</w:t>
      </w:r>
      <w:r>
        <w:rPr>
          <w:color w:val="231F20"/>
          <w:spacing w:val="-10"/>
        </w:rPr>
        <w:t xml:space="preserve"> </w:t>
      </w:r>
      <w:r>
        <w:rPr>
          <w:color w:val="231F20"/>
        </w:rPr>
        <w:t>also</w:t>
      </w:r>
      <w:r>
        <w:rPr>
          <w:color w:val="231F20"/>
          <w:spacing w:val="-6"/>
        </w:rPr>
        <w:t xml:space="preserve"> </w:t>
      </w:r>
      <w:r>
        <w:rPr>
          <w:color w:val="231F20"/>
        </w:rPr>
        <w:t>the health</w:t>
      </w:r>
      <w:r>
        <w:rPr>
          <w:color w:val="231F20"/>
          <w:spacing w:val="-10"/>
        </w:rPr>
        <w:t xml:space="preserve"> </w:t>
      </w:r>
      <w:r>
        <w:rPr>
          <w:color w:val="231F20"/>
        </w:rPr>
        <w:t>prevention</w:t>
      </w:r>
      <w:r>
        <w:rPr>
          <w:color w:val="231F20"/>
          <w:spacing w:val="-9"/>
        </w:rPr>
        <w:t xml:space="preserve"> </w:t>
      </w:r>
      <w:r>
        <w:rPr>
          <w:color w:val="231F20"/>
        </w:rPr>
        <w:t>and</w:t>
      </w:r>
      <w:r>
        <w:rPr>
          <w:color w:val="231F20"/>
          <w:spacing w:val="-9"/>
        </w:rPr>
        <w:t xml:space="preserve"> </w:t>
      </w:r>
      <w:r>
        <w:rPr>
          <w:color w:val="231F20"/>
        </w:rPr>
        <w:t>utilization</w:t>
      </w:r>
      <w:r>
        <w:rPr>
          <w:color w:val="231F20"/>
          <w:spacing w:val="-9"/>
        </w:rPr>
        <w:t xml:space="preserve"> </w:t>
      </w:r>
      <w:r>
        <w:rPr>
          <w:color w:val="231F20"/>
        </w:rPr>
        <w:t>indicators.</w:t>
      </w:r>
      <w:r>
        <w:rPr>
          <w:color w:val="231F20"/>
          <w:spacing w:val="-13"/>
        </w:rPr>
        <w:t xml:space="preserve"> </w:t>
      </w:r>
      <w:r>
        <w:rPr>
          <w:color w:val="231F20"/>
        </w:rPr>
        <w:t>The</w:t>
      </w:r>
      <w:r>
        <w:rPr>
          <w:color w:val="231F20"/>
          <w:spacing w:val="-9"/>
        </w:rPr>
        <w:t xml:space="preserve"> </w:t>
      </w:r>
      <w:r>
        <w:rPr>
          <w:color w:val="231F20"/>
        </w:rPr>
        <w:t>major</w:t>
      </w:r>
      <w:r>
        <w:rPr>
          <w:color w:val="231F20"/>
          <w:spacing w:val="-9"/>
        </w:rPr>
        <w:t xml:space="preserve"> </w:t>
      </w:r>
      <w:r>
        <w:rPr>
          <w:color w:val="231F20"/>
        </w:rPr>
        <w:t>categories</w:t>
      </w:r>
      <w:r>
        <w:rPr>
          <w:color w:val="231F20"/>
          <w:spacing w:val="-9"/>
        </w:rPr>
        <w:t xml:space="preserve"> </w:t>
      </w:r>
      <w:r>
        <w:rPr>
          <w:color w:val="231F20"/>
        </w:rPr>
        <w:t>of</w:t>
      </w:r>
      <w:r>
        <w:rPr>
          <w:color w:val="231F20"/>
          <w:spacing w:val="-9"/>
        </w:rPr>
        <w:t xml:space="preserve"> </w:t>
      </w:r>
      <w:r>
        <w:rPr>
          <w:color w:val="231F20"/>
        </w:rPr>
        <w:t>indicators</w:t>
      </w:r>
      <w:r>
        <w:rPr>
          <w:color w:val="231F20"/>
          <w:spacing w:val="-9"/>
        </w:rPr>
        <w:t xml:space="preserve"> </w:t>
      </w:r>
      <w:r>
        <w:rPr>
          <w:color w:val="231F20"/>
        </w:rPr>
        <w:t>that</w:t>
      </w:r>
      <w:r>
        <w:rPr>
          <w:color w:val="231F20"/>
          <w:spacing w:val="-9"/>
        </w:rPr>
        <w:t xml:space="preserve"> </w:t>
      </w:r>
      <w:r>
        <w:rPr>
          <w:color w:val="231F20"/>
        </w:rPr>
        <w:t>are</w:t>
      </w:r>
      <w:r>
        <w:rPr>
          <w:color w:val="231F20"/>
          <w:spacing w:val="-9"/>
        </w:rPr>
        <w:t xml:space="preserve"> </w:t>
      </w:r>
      <w:r>
        <w:rPr>
          <w:color w:val="231F20"/>
        </w:rPr>
        <w:t>relevant</w:t>
      </w:r>
      <w:r>
        <w:rPr>
          <w:color w:val="231F20"/>
          <w:spacing w:val="-9"/>
        </w:rPr>
        <w:t xml:space="preserve"> </w:t>
      </w:r>
      <w:r>
        <w:rPr>
          <w:color w:val="231F20"/>
          <w:spacing w:val="-4"/>
        </w:rPr>
        <w:t xml:space="preserve">for </w:t>
      </w:r>
      <w:r>
        <w:rPr>
          <w:color w:val="231F20"/>
        </w:rPr>
        <w:t>monitoring</w:t>
      </w:r>
      <w:r>
        <w:rPr>
          <w:color w:val="231F20"/>
          <w:spacing w:val="-26"/>
        </w:rPr>
        <w:t xml:space="preserve"> </w:t>
      </w:r>
      <w:r>
        <w:rPr>
          <w:color w:val="231F20"/>
        </w:rPr>
        <w:t>and</w:t>
      </w:r>
      <w:r>
        <w:rPr>
          <w:color w:val="231F20"/>
          <w:spacing w:val="-25"/>
        </w:rPr>
        <w:t xml:space="preserve"> </w:t>
      </w:r>
      <w:r>
        <w:rPr>
          <w:color w:val="231F20"/>
        </w:rPr>
        <w:t>evaluating</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SHDP</w:t>
      </w:r>
      <w:r>
        <w:rPr>
          <w:color w:val="231F20"/>
          <w:spacing w:val="-29"/>
        </w:rPr>
        <w:t xml:space="preserve"> </w:t>
      </w:r>
      <w:r>
        <w:rPr>
          <w:color w:val="231F20"/>
        </w:rPr>
        <w:t>include</w:t>
      </w:r>
      <w:r>
        <w:rPr>
          <w:color w:val="231F20"/>
          <w:spacing w:val="-25"/>
        </w:rPr>
        <w:t xml:space="preserve"> </w:t>
      </w:r>
      <w:r>
        <w:rPr>
          <w:color w:val="231F20"/>
        </w:rPr>
        <w:t>the</w:t>
      </w:r>
      <w:r>
        <w:rPr>
          <w:color w:val="231F20"/>
          <w:spacing w:val="-25"/>
        </w:rPr>
        <w:t xml:space="preserve"> </w:t>
      </w:r>
      <w:r>
        <w:rPr>
          <w:color w:val="231F20"/>
        </w:rPr>
        <w:t>policy</w:t>
      </w:r>
      <w:r>
        <w:rPr>
          <w:color w:val="231F20"/>
          <w:spacing w:val="-25"/>
        </w:rPr>
        <w:t xml:space="preserve"> </w:t>
      </w:r>
      <w:r>
        <w:rPr>
          <w:color w:val="231F20"/>
        </w:rPr>
        <w:t>and</w:t>
      </w:r>
      <w:r>
        <w:rPr>
          <w:color w:val="231F20"/>
          <w:spacing w:val="-25"/>
        </w:rPr>
        <w:t xml:space="preserve"> </w:t>
      </w:r>
      <w:r>
        <w:rPr>
          <w:color w:val="231F20"/>
        </w:rPr>
        <w:t>socioeconomic</w:t>
      </w:r>
      <w:r>
        <w:rPr>
          <w:color w:val="231F20"/>
          <w:spacing w:val="-25"/>
        </w:rPr>
        <w:t xml:space="preserve"> </w:t>
      </w:r>
      <w:r>
        <w:rPr>
          <w:color w:val="231F20"/>
        </w:rPr>
        <w:t>indicators.</w:t>
      </w:r>
    </w:p>
    <w:p w14:paraId="3CDDC9D4" w14:textId="77777777" w:rsidR="009948F1" w:rsidRDefault="009948F1">
      <w:pPr>
        <w:spacing w:line="271" w:lineRule="auto"/>
        <w:jc w:val="both"/>
        <w:sectPr w:rsidR="009948F1">
          <w:pgSz w:w="11910" w:h="16840"/>
          <w:pgMar w:top="1480" w:right="1080" w:bottom="1420" w:left="1120" w:header="0" w:footer="1235" w:gutter="0"/>
          <w:cols w:space="720"/>
        </w:sectPr>
      </w:pPr>
    </w:p>
    <w:p w14:paraId="2394A667" w14:textId="77777777" w:rsidR="009948F1" w:rsidRDefault="00BC0563">
      <w:pPr>
        <w:pStyle w:val="Heading1"/>
        <w:spacing w:line="476" w:lineRule="exact"/>
        <w:ind w:right="1068"/>
      </w:pPr>
      <w:bookmarkStart w:id="14" w:name="_TOC_250040"/>
      <w:bookmarkEnd w:id="14"/>
      <w:r>
        <w:rPr>
          <w:color w:val="231F20"/>
        </w:rPr>
        <w:lastRenderedPageBreak/>
        <w:t>CHAPTER 1</w:t>
      </w:r>
    </w:p>
    <w:p w14:paraId="18C095D6" w14:textId="77777777" w:rsidR="009948F1" w:rsidRDefault="00BC0563">
      <w:pPr>
        <w:pStyle w:val="Heading3"/>
        <w:spacing w:before="67"/>
        <w:ind w:right="1067"/>
      </w:pPr>
      <w:bookmarkStart w:id="15" w:name="_TOC_250039"/>
      <w:bookmarkEnd w:id="15"/>
      <w:r>
        <w:rPr>
          <w:color w:val="231F20"/>
        </w:rPr>
        <w:t>INTRODUCTION</w:t>
      </w:r>
    </w:p>
    <w:p w14:paraId="2F40F31B" w14:textId="77777777" w:rsidR="009948F1" w:rsidRDefault="009948F1">
      <w:pPr>
        <w:pStyle w:val="BodyText"/>
        <w:spacing w:before="11"/>
        <w:rPr>
          <w:rFonts w:ascii="Tahoma"/>
          <w:b/>
          <w:sz w:val="15"/>
        </w:rPr>
      </w:pPr>
    </w:p>
    <w:p w14:paraId="69BB2DC5" w14:textId="77777777" w:rsidR="009948F1" w:rsidRDefault="00BC0563">
      <w:pPr>
        <w:pStyle w:val="Heading7"/>
        <w:numPr>
          <w:ilvl w:val="1"/>
          <w:numId w:val="326"/>
        </w:numPr>
        <w:tabs>
          <w:tab w:val="left" w:pos="873"/>
        </w:tabs>
        <w:spacing w:before="65"/>
        <w:ind w:hanging="721"/>
        <w:jc w:val="both"/>
      </w:pPr>
      <w:bookmarkStart w:id="16" w:name="_TOC_250038"/>
      <w:bookmarkEnd w:id="16"/>
      <w:r>
        <w:rPr>
          <w:color w:val="231F20"/>
        </w:rPr>
        <w:t>BACKGROUND</w:t>
      </w:r>
    </w:p>
    <w:p w14:paraId="4CD7CC09" w14:textId="77777777" w:rsidR="009948F1" w:rsidRDefault="00BC0563">
      <w:pPr>
        <w:pStyle w:val="ListParagraph"/>
        <w:numPr>
          <w:ilvl w:val="2"/>
          <w:numId w:val="326"/>
        </w:numPr>
        <w:tabs>
          <w:tab w:val="left" w:pos="679"/>
        </w:tabs>
        <w:spacing w:before="47"/>
        <w:ind w:left="678" w:hanging="527"/>
        <w:rPr>
          <w:b/>
          <w:color w:val="231F20"/>
        </w:rPr>
      </w:pPr>
      <w:r>
        <w:rPr>
          <w:b/>
          <w:color w:val="231F20"/>
        </w:rPr>
        <w:t>Purpose:</w:t>
      </w:r>
    </w:p>
    <w:p w14:paraId="0DBB5D93" w14:textId="77777777" w:rsidR="009948F1" w:rsidRDefault="00BC0563">
      <w:pPr>
        <w:pStyle w:val="BodyText"/>
        <w:spacing w:before="46" w:line="283" w:lineRule="auto"/>
        <w:ind w:left="152" w:right="176"/>
        <w:jc w:val="both"/>
      </w:pPr>
      <w:r>
        <w:rPr>
          <w:color w:val="231F20"/>
        </w:rPr>
        <w:t xml:space="preserve">The first five-year Rivers State Strategic Health Development Plan 2010-2015 was aimed </w:t>
      </w:r>
      <w:r>
        <w:rPr>
          <w:color w:val="231F20"/>
          <w:spacing w:val="-7"/>
        </w:rPr>
        <w:t xml:space="preserve">at </w:t>
      </w:r>
      <w:r>
        <w:rPr>
          <w:color w:val="231F20"/>
        </w:rPr>
        <w:t>engendering</w:t>
      </w:r>
      <w:r>
        <w:rPr>
          <w:color w:val="231F20"/>
          <w:spacing w:val="-4"/>
        </w:rPr>
        <w:t xml:space="preserve"> </w:t>
      </w:r>
      <w:r>
        <w:rPr>
          <w:color w:val="231F20"/>
        </w:rPr>
        <w:t>significant</w:t>
      </w:r>
      <w:r>
        <w:rPr>
          <w:color w:val="231F20"/>
          <w:spacing w:val="-4"/>
        </w:rPr>
        <w:t xml:space="preserve"> </w:t>
      </w:r>
      <w:r>
        <w:rPr>
          <w:color w:val="231F20"/>
        </w:rPr>
        <w:t>improvement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health</w:t>
      </w:r>
      <w:r>
        <w:rPr>
          <w:color w:val="231F20"/>
          <w:spacing w:val="-4"/>
        </w:rPr>
        <w:t xml:space="preserve"> </w:t>
      </w:r>
      <w:r>
        <w:rPr>
          <w:color w:val="231F20"/>
        </w:rPr>
        <w:t>care</w:t>
      </w:r>
      <w:r>
        <w:rPr>
          <w:color w:val="231F20"/>
          <w:spacing w:val="-4"/>
        </w:rPr>
        <w:t xml:space="preserve"> </w:t>
      </w:r>
      <w:r>
        <w:rPr>
          <w:color w:val="231F20"/>
        </w:rPr>
        <w:t>delivery</w:t>
      </w:r>
      <w:r>
        <w:rPr>
          <w:color w:val="231F20"/>
          <w:spacing w:val="-4"/>
        </w:rPr>
        <w:t xml:space="preserve"> </w:t>
      </w:r>
      <w:r>
        <w:rPr>
          <w:color w:val="231F20"/>
        </w:rPr>
        <w:t>system</w:t>
      </w:r>
      <w:r>
        <w:rPr>
          <w:color w:val="231F20"/>
          <w:spacing w:val="-4"/>
        </w:rPr>
        <w:t xml:space="preserve"> </w:t>
      </w:r>
      <w:r>
        <w:rPr>
          <w:color w:val="231F20"/>
        </w:rPr>
        <w:t>to</w:t>
      </w:r>
      <w:r>
        <w:rPr>
          <w:color w:val="231F20"/>
          <w:spacing w:val="-4"/>
        </w:rPr>
        <w:t xml:space="preserve"> </w:t>
      </w:r>
      <w:r>
        <w:rPr>
          <w:color w:val="231F20"/>
        </w:rPr>
        <w:t>enable</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in</w:t>
      </w:r>
      <w:r>
        <w:rPr>
          <w:color w:val="231F20"/>
          <w:spacing w:val="-4"/>
        </w:rPr>
        <w:t xml:space="preserve"> line </w:t>
      </w:r>
      <w:r>
        <w:rPr>
          <w:color w:val="231F20"/>
        </w:rPr>
        <w:t>with</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meet</w:t>
      </w:r>
      <w:r>
        <w:rPr>
          <w:color w:val="231F20"/>
          <w:spacing w:val="-10"/>
        </w:rPr>
        <w:t xml:space="preserve"> </w:t>
      </w:r>
      <w:r>
        <w:rPr>
          <w:color w:val="231F20"/>
        </w:rPr>
        <w:t>the</w:t>
      </w:r>
      <w:r>
        <w:rPr>
          <w:color w:val="231F20"/>
          <w:spacing w:val="-10"/>
        </w:rPr>
        <w:t xml:space="preserve"> </w:t>
      </w:r>
      <w:r>
        <w:rPr>
          <w:color w:val="231F20"/>
        </w:rPr>
        <w:t>relevant</w:t>
      </w:r>
      <w:r>
        <w:rPr>
          <w:color w:val="231F20"/>
          <w:spacing w:val="-10"/>
        </w:rPr>
        <w:t xml:space="preserve"> </w:t>
      </w:r>
      <w:r>
        <w:rPr>
          <w:color w:val="231F20"/>
        </w:rPr>
        <w:t>Millennium</w:t>
      </w:r>
      <w:r>
        <w:rPr>
          <w:color w:val="231F20"/>
          <w:spacing w:val="-10"/>
        </w:rPr>
        <w:t xml:space="preserve"> </w:t>
      </w:r>
      <w:r>
        <w:rPr>
          <w:color w:val="231F20"/>
        </w:rPr>
        <w:t>Development</w:t>
      </w:r>
      <w:r>
        <w:rPr>
          <w:color w:val="231F20"/>
          <w:spacing w:val="-10"/>
        </w:rPr>
        <w:t xml:space="preserve"> </w:t>
      </w:r>
      <w:r>
        <w:rPr>
          <w:color w:val="231F20"/>
        </w:rPr>
        <w:t>Goals,</w:t>
      </w:r>
      <w:r>
        <w:rPr>
          <w:color w:val="231F20"/>
          <w:spacing w:val="-9"/>
        </w:rPr>
        <w:t xml:space="preserve"> </w:t>
      </w:r>
      <w:r>
        <w:rPr>
          <w:color w:val="231F20"/>
        </w:rPr>
        <w:t>(MDGs)</w:t>
      </w:r>
      <w:r>
        <w:rPr>
          <w:color w:val="231F20"/>
          <w:spacing w:val="-10"/>
        </w:rPr>
        <w:t xml:space="preserve"> </w:t>
      </w:r>
      <w:r>
        <w:rPr>
          <w:color w:val="231F20"/>
        </w:rPr>
        <w:t>by</w:t>
      </w:r>
      <w:r>
        <w:rPr>
          <w:color w:val="231F20"/>
          <w:spacing w:val="-10"/>
        </w:rPr>
        <w:t xml:space="preserve"> </w:t>
      </w:r>
      <w:r>
        <w:rPr>
          <w:color w:val="231F20"/>
        </w:rPr>
        <w:t>2015,</w:t>
      </w:r>
      <w:r>
        <w:rPr>
          <w:color w:val="231F20"/>
          <w:spacing w:val="-10"/>
        </w:rPr>
        <w:t xml:space="preserve"> </w:t>
      </w:r>
      <w:r>
        <w:rPr>
          <w:color w:val="231F20"/>
        </w:rPr>
        <w:t>improve</w:t>
      </w:r>
      <w:r>
        <w:rPr>
          <w:color w:val="231F20"/>
          <w:spacing w:val="-10"/>
        </w:rPr>
        <w:t xml:space="preserve"> </w:t>
      </w:r>
      <w:r>
        <w:rPr>
          <w:color w:val="231F20"/>
          <w:spacing w:val="-5"/>
        </w:rPr>
        <w:t xml:space="preserve">the </w:t>
      </w:r>
      <w:r>
        <w:rPr>
          <w:color w:val="231F20"/>
        </w:rPr>
        <w:t>well-being</w:t>
      </w:r>
      <w:r>
        <w:rPr>
          <w:color w:val="231F20"/>
          <w:spacing w:val="-17"/>
        </w:rPr>
        <w:t xml:space="preserve"> </w:t>
      </w:r>
      <w:r>
        <w:rPr>
          <w:color w:val="231F20"/>
        </w:rPr>
        <w:t>of</w:t>
      </w:r>
      <w:r>
        <w:rPr>
          <w:color w:val="231F20"/>
          <w:spacing w:val="-16"/>
        </w:rPr>
        <w:t xml:space="preserve"> </w:t>
      </w:r>
      <w:r>
        <w:rPr>
          <w:color w:val="231F20"/>
        </w:rPr>
        <w:t>Rivers</w:t>
      </w:r>
      <w:r>
        <w:rPr>
          <w:color w:val="231F20"/>
          <w:spacing w:val="-16"/>
        </w:rPr>
        <w:t xml:space="preserve"> </w:t>
      </w:r>
      <w:r>
        <w:rPr>
          <w:color w:val="231F20"/>
        </w:rPr>
        <w:t>indigenes,</w:t>
      </w:r>
      <w:r>
        <w:rPr>
          <w:color w:val="231F20"/>
          <w:spacing w:val="-16"/>
        </w:rPr>
        <w:t xml:space="preserve"> </w:t>
      </w:r>
      <w:r>
        <w:rPr>
          <w:color w:val="231F20"/>
        </w:rPr>
        <w:t>as</w:t>
      </w:r>
      <w:r>
        <w:rPr>
          <w:color w:val="231F20"/>
          <w:spacing w:val="-16"/>
        </w:rPr>
        <w:t xml:space="preserve"> </w:t>
      </w:r>
      <w:r>
        <w:rPr>
          <w:color w:val="231F20"/>
        </w:rPr>
        <w:t>well</w:t>
      </w:r>
      <w:r>
        <w:rPr>
          <w:color w:val="231F20"/>
          <w:spacing w:val="-16"/>
        </w:rPr>
        <w:t xml:space="preserve"> </w:t>
      </w:r>
      <w:r>
        <w:rPr>
          <w:color w:val="231F20"/>
        </w:rPr>
        <w:t>as</w:t>
      </w:r>
      <w:r>
        <w:rPr>
          <w:color w:val="231F20"/>
          <w:spacing w:val="-16"/>
        </w:rPr>
        <w:t xml:space="preserve"> </w:t>
      </w:r>
      <w:r>
        <w:rPr>
          <w:color w:val="231F20"/>
        </w:rPr>
        <w:t>Nigeria's</w:t>
      </w:r>
      <w:r>
        <w:rPr>
          <w:color w:val="231F20"/>
          <w:spacing w:val="-17"/>
        </w:rPr>
        <w:t xml:space="preserve"> </w:t>
      </w:r>
      <w:r>
        <w:rPr>
          <w:color w:val="231F20"/>
        </w:rPr>
        <w:t>ranking</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global</w:t>
      </w:r>
      <w:r>
        <w:rPr>
          <w:color w:val="231F20"/>
          <w:spacing w:val="-16"/>
        </w:rPr>
        <w:t xml:space="preserve"> </w:t>
      </w:r>
      <w:r>
        <w:rPr>
          <w:color w:val="231F20"/>
        </w:rPr>
        <w:t>human</w:t>
      </w:r>
      <w:r>
        <w:rPr>
          <w:color w:val="231F20"/>
          <w:spacing w:val="-16"/>
        </w:rPr>
        <w:t xml:space="preserve"> </w:t>
      </w:r>
      <w:r>
        <w:rPr>
          <w:color w:val="231F20"/>
        </w:rPr>
        <w:t>development</w:t>
      </w:r>
      <w:r>
        <w:rPr>
          <w:color w:val="231F20"/>
          <w:spacing w:val="-16"/>
        </w:rPr>
        <w:t xml:space="preserve"> </w:t>
      </w:r>
      <w:r>
        <w:rPr>
          <w:color w:val="231F20"/>
        </w:rPr>
        <w:t>index (HDI).</w:t>
      </w:r>
    </w:p>
    <w:p w14:paraId="68017DE2" w14:textId="77777777" w:rsidR="009948F1" w:rsidRDefault="009948F1">
      <w:pPr>
        <w:pStyle w:val="BodyText"/>
        <w:spacing w:before="6"/>
        <w:rPr>
          <w:sz w:val="26"/>
        </w:rPr>
      </w:pPr>
    </w:p>
    <w:p w14:paraId="1C472AC2" w14:textId="092942A3" w:rsidR="009948F1" w:rsidRDefault="00BC0563">
      <w:pPr>
        <w:pStyle w:val="BodyText"/>
        <w:spacing w:line="283" w:lineRule="auto"/>
        <w:ind w:left="151" w:right="176"/>
        <w:jc w:val="both"/>
      </w:pPr>
      <w:r>
        <w:rPr>
          <w:color w:val="231F20"/>
        </w:rPr>
        <w:t>Although Rivers State has made significant improvement</w:t>
      </w:r>
      <w:r w:rsidR="00777DF0">
        <w:rPr>
          <w:color w:val="231F20"/>
        </w:rPr>
        <w:t>s in the health sector, the</w:t>
      </w:r>
      <w:r>
        <w:rPr>
          <w:color w:val="231F20"/>
        </w:rPr>
        <w:t xml:space="preserve"> health status</w:t>
      </w:r>
      <w:r>
        <w:rPr>
          <w:color w:val="231F20"/>
          <w:spacing w:val="-19"/>
        </w:rPr>
        <w:t xml:space="preserve"> </w:t>
      </w:r>
      <w:r>
        <w:rPr>
          <w:color w:val="231F20"/>
        </w:rPr>
        <w:t>of</w:t>
      </w:r>
      <w:r>
        <w:rPr>
          <w:color w:val="231F20"/>
          <w:spacing w:val="-18"/>
        </w:rPr>
        <w:t xml:space="preserve"> </w:t>
      </w:r>
      <w:r>
        <w:rPr>
          <w:color w:val="231F20"/>
        </w:rPr>
        <w:t>her</w:t>
      </w:r>
      <w:r>
        <w:rPr>
          <w:color w:val="231F20"/>
          <w:spacing w:val="-18"/>
        </w:rPr>
        <w:t xml:space="preserve"> </w:t>
      </w:r>
      <w:r>
        <w:rPr>
          <w:color w:val="231F20"/>
        </w:rPr>
        <w:t>citizens</w:t>
      </w:r>
      <w:r>
        <w:rPr>
          <w:color w:val="231F20"/>
          <w:spacing w:val="-18"/>
        </w:rPr>
        <w:t xml:space="preserve"> </w:t>
      </w:r>
      <w:r>
        <w:rPr>
          <w:color w:val="231F20"/>
        </w:rPr>
        <w:t>is</w:t>
      </w:r>
      <w:r>
        <w:rPr>
          <w:color w:val="231F20"/>
          <w:spacing w:val="-18"/>
        </w:rPr>
        <w:t xml:space="preserve"> </w:t>
      </w:r>
      <w:r w:rsidR="00777DF0">
        <w:rPr>
          <w:color w:val="231F20"/>
        </w:rPr>
        <w:t xml:space="preserve">still </w:t>
      </w:r>
      <w:r>
        <w:rPr>
          <w:color w:val="231F20"/>
        </w:rPr>
        <w:t>unacceptable.</w:t>
      </w:r>
      <w:r>
        <w:rPr>
          <w:color w:val="231F20"/>
          <w:spacing w:val="-22"/>
        </w:rPr>
        <w:t xml:space="preserve"> </w:t>
      </w:r>
      <w:r>
        <w:rPr>
          <w:color w:val="231F20"/>
        </w:rPr>
        <w:t>The</w:t>
      </w:r>
      <w:r>
        <w:rPr>
          <w:color w:val="231F20"/>
          <w:spacing w:val="-18"/>
        </w:rPr>
        <w:t xml:space="preserve"> </w:t>
      </w:r>
      <w:r>
        <w:rPr>
          <w:color w:val="231F20"/>
        </w:rPr>
        <w:t>disease</w:t>
      </w:r>
      <w:r>
        <w:rPr>
          <w:color w:val="231F20"/>
          <w:spacing w:val="-18"/>
        </w:rPr>
        <w:t xml:space="preserve"> </w:t>
      </w:r>
      <w:r>
        <w:rPr>
          <w:color w:val="231F20"/>
        </w:rPr>
        <w:t>burden</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State</w:t>
      </w:r>
      <w:r>
        <w:rPr>
          <w:color w:val="231F20"/>
          <w:spacing w:val="-19"/>
        </w:rPr>
        <w:t xml:space="preserve"> </w:t>
      </w:r>
      <w:r>
        <w:rPr>
          <w:color w:val="231F20"/>
        </w:rPr>
        <w:t>is</w:t>
      </w:r>
      <w:r>
        <w:rPr>
          <w:color w:val="231F20"/>
          <w:spacing w:val="-18"/>
        </w:rPr>
        <w:t xml:space="preserve"> </w:t>
      </w:r>
      <w:r>
        <w:rPr>
          <w:color w:val="231F20"/>
        </w:rPr>
        <w:t>mostly</w:t>
      </w:r>
      <w:r>
        <w:rPr>
          <w:color w:val="231F20"/>
          <w:spacing w:val="-18"/>
        </w:rPr>
        <w:t xml:space="preserve"> </w:t>
      </w:r>
      <w:r>
        <w:rPr>
          <w:color w:val="231F20"/>
        </w:rPr>
        <w:t>due to</w:t>
      </w:r>
      <w:r>
        <w:rPr>
          <w:color w:val="231F20"/>
          <w:spacing w:val="-10"/>
        </w:rPr>
        <w:t xml:space="preserve"> </w:t>
      </w:r>
      <w:r>
        <w:rPr>
          <w:color w:val="231F20"/>
        </w:rPr>
        <w:t>preventable</w:t>
      </w:r>
      <w:r>
        <w:rPr>
          <w:color w:val="231F20"/>
          <w:spacing w:val="-8"/>
        </w:rPr>
        <w:t xml:space="preserve"> </w:t>
      </w:r>
      <w:r>
        <w:rPr>
          <w:color w:val="231F20"/>
        </w:rPr>
        <w:t>diseases</w:t>
      </w:r>
      <w:r>
        <w:rPr>
          <w:color w:val="231F20"/>
          <w:spacing w:val="-9"/>
        </w:rPr>
        <w:t xml:space="preserve"> </w:t>
      </w:r>
      <w:r>
        <w:rPr>
          <w:color w:val="231F20"/>
        </w:rPr>
        <w:t>including</w:t>
      </w:r>
      <w:r>
        <w:rPr>
          <w:color w:val="231F20"/>
          <w:spacing w:val="-8"/>
        </w:rPr>
        <w:t xml:space="preserve"> </w:t>
      </w:r>
      <w:r>
        <w:rPr>
          <w:color w:val="231F20"/>
        </w:rPr>
        <w:t>malaria,</w:t>
      </w:r>
      <w:r>
        <w:rPr>
          <w:color w:val="231F20"/>
          <w:spacing w:val="-9"/>
        </w:rPr>
        <w:t xml:space="preserve"> </w:t>
      </w:r>
      <w:r>
        <w:rPr>
          <w:color w:val="231F20"/>
        </w:rPr>
        <w:t>upper</w:t>
      </w:r>
      <w:r>
        <w:rPr>
          <w:color w:val="231F20"/>
          <w:spacing w:val="-9"/>
        </w:rPr>
        <w:t xml:space="preserve"> </w:t>
      </w:r>
      <w:r>
        <w:rPr>
          <w:color w:val="231F20"/>
        </w:rPr>
        <w:t>respiratory</w:t>
      </w:r>
      <w:r>
        <w:rPr>
          <w:color w:val="231F20"/>
          <w:spacing w:val="-9"/>
        </w:rPr>
        <w:t xml:space="preserve"> </w:t>
      </w:r>
      <w:r>
        <w:rPr>
          <w:color w:val="231F20"/>
        </w:rPr>
        <w:t>tract</w:t>
      </w:r>
      <w:r>
        <w:rPr>
          <w:color w:val="231F20"/>
          <w:spacing w:val="-9"/>
        </w:rPr>
        <w:t xml:space="preserve"> </w:t>
      </w:r>
      <w:r>
        <w:rPr>
          <w:color w:val="231F20"/>
        </w:rPr>
        <w:t>infection,</w:t>
      </w:r>
      <w:r>
        <w:rPr>
          <w:color w:val="231F20"/>
          <w:spacing w:val="-10"/>
        </w:rPr>
        <w:t xml:space="preserve"> </w:t>
      </w:r>
      <w:proofErr w:type="spellStart"/>
      <w:r>
        <w:rPr>
          <w:color w:val="231F20"/>
        </w:rPr>
        <w:t>diarrhoea</w:t>
      </w:r>
      <w:proofErr w:type="spellEnd"/>
      <w:r>
        <w:rPr>
          <w:color w:val="231F20"/>
          <w:spacing w:val="-8"/>
        </w:rPr>
        <w:t xml:space="preserve"> </w:t>
      </w:r>
      <w:r>
        <w:rPr>
          <w:color w:val="231F20"/>
        </w:rPr>
        <w:t>etc.</w:t>
      </w:r>
      <w:r>
        <w:rPr>
          <w:color w:val="231F20"/>
          <w:spacing w:val="-9"/>
        </w:rPr>
        <w:t xml:space="preserve"> </w:t>
      </w:r>
      <w:r>
        <w:rPr>
          <w:color w:val="231F20"/>
        </w:rPr>
        <w:t>Poverty is the major cause of the high disease burden in the State. Other contributory factors to the poor health</w:t>
      </w:r>
      <w:r>
        <w:rPr>
          <w:color w:val="231F20"/>
          <w:spacing w:val="-16"/>
        </w:rPr>
        <w:t xml:space="preserve"> </w:t>
      </w:r>
      <w:r>
        <w:rPr>
          <w:color w:val="231F20"/>
        </w:rPr>
        <w:t>status</w:t>
      </w:r>
      <w:r>
        <w:rPr>
          <w:color w:val="231F20"/>
          <w:spacing w:val="-16"/>
        </w:rPr>
        <w:t xml:space="preserve"> </w:t>
      </w:r>
      <w:r>
        <w:rPr>
          <w:color w:val="231F20"/>
        </w:rPr>
        <w:t>include</w:t>
      </w:r>
      <w:r>
        <w:rPr>
          <w:color w:val="231F20"/>
          <w:spacing w:val="-15"/>
        </w:rPr>
        <w:t xml:space="preserve"> </w:t>
      </w:r>
      <w:r>
        <w:rPr>
          <w:color w:val="231F20"/>
        </w:rPr>
        <w:t>militancy,</w:t>
      </w:r>
      <w:r>
        <w:rPr>
          <w:color w:val="231F20"/>
          <w:spacing w:val="-16"/>
        </w:rPr>
        <w:t xml:space="preserve"> </w:t>
      </w:r>
      <w:r>
        <w:rPr>
          <w:color w:val="231F20"/>
        </w:rPr>
        <w:t>youth</w:t>
      </w:r>
      <w:r>
        <w:rPr>
          <w:color w:val="231F20"/>
          <w:spacing w:val="-16"/>
        </w:rPr>
        <w:t xml:space="preserve"> </w:t>
      </w:r>
      <w:r>
        <w:rPr>
          <w:color w:val="231F20"/>
        </w:rPr>
        <w:t>restiveness,</w:t>
      </w:r>
      <w:r>
        <w:rPr>
          <w:color w:val="231F20"/>
          <w:spacing w:val="-17"/>
        </w:rPr>
        <w:t xml:space="preserve"> </w:t>
      </w:r>
      <w:r>
        <w:rPr>
          <w:color w:val="231F20"/>
        </w:rPr>
        <w:t>kidnapping,</w:t>
      </w:r>
      <w:r>
        <w:rPr>
          <w:color w:val="231F20"/>
          <w:spacing w:val="-15"/>
        </w:rPr>
        <w:t xml:space="preserve"> </w:t>
      </w:r>
      <w:r>
        <w:rPr>
          <w:color w:val="231F20"/>
        </w:rPr>
        <w:t>difficult</w:t>
      </w:r>
      <w:r>
        <w:rPr>
          <w:color w:val="231F20"/>
          <w:spacing w:val="-16"/>
        </w:rPr>
        <w:t xml:space="preserve"> </w:t>
      </w:r>
      <w:r>
        <w:rPr>
          <w:color w:val="231F20"/>
        </w:rPr>
        <w:t>geographical</w:t>
      </w:r>
      <w:r>
        <w:rPr>
          <w:color w:val="231F20"/>
          <w:spacing w:val="-15"/>
        </w:rPr>
        <w:t xml:space="preserve"> </w:t>
      </w:r>
      <w:r>
        <w:rPr>
          <w:color w:val="231F20"/>
        </w:rPr>
        <w:t>terrain</w:t>
      </w:r>
      <w:r>
        <w:rPr>
          <w:color w:val="231F20"/>
          <w:spacing w:val="-16"/>
        </w:rPr>
        <w:t xml:space="preserve"> </w:t>
      </w:r>
      <w:r>
        <w:rPr>
          <w:color w:val="231F20"/>
        </w:rPr>
        <w:t>making it</w:t>
      </w:r>
      <w:r>
        <w:rPr>
          <w:color w:val="231F20"/>
          <w:spacing w:val="-16"/>
        </w:rPr>
        <w:t xml:space="preserve"> </w:t>
      </w:r>
      <w:r>
        <w:rPr>
          <w:color w:val="231F20"/>
        </w:rPr>
        <w:t>almost</w:t>
      </w:r>
      <w:r>
        <w:rPr>
          <w:color w:val="231F20"/>
          <w:spacing w:val="-15"/>
        </w:rPr>
        <w:t xml:space="preserve"> </w:t>
      </w:r>
      <w:r>
        <w:rPr>
          <w:color w:val="231F20"/>
        </w:rPr>
        <w:t>impossible</w:t>
      </w:r>
      <w:r>
        <w:rPr>
          <w:color w:val="231F20"/>
          <w:spacing w:val="-16"/>
        </w:rPr>
        <w:t xml:space="preserve"> </w:t>
      </w:r>
      <w:r>
        <w:rPr>
          <w:color w:val="231F20"/>
        </w:rPr>
        <w:t>for</w:t>
      </w:r>
      <w:r>
        <w:rPr>
          <w:color w:val="231F20"/>
          <w:spacing w:val="-15"/>
        </w:rPr>
        <w:t xml:space="preserve"> </w:t>
      </w:r>
      <w:r>
        <w:rPr>
          <w:color w:val="231F20"/>
        </w:rPr>
        <w:t>health</w:t>
      </w:r>
      <w:r>
        <w:rPr>
          <w:color w:val="231F20"/>
          <w:spacing w:val="-15"/>
        </w:rPr>
        <w:t xml:space="preserve"> </w:t>
      </w:r>
      <w:r>
        <w:rPr>
          <w:color w:val="231F20"/>
        </w:rPr>
        <w:t>workers</w:t>
      </w:r>
      <w:r>
        <w:rPr>
          <w:color w:val="231F20"/>
          <w:spacing w:val="-16"/>
        </w:rPr>
        <w:t xml:space="preserve"> </w:t>
      </w:r>
      <w:r>
        <w:rPr>
          <w:color w:val="231F20"/>
        </w:rPr>
        <w:t>to</w:t>
      </w:r>
      <w:r>
        <w:rPr>
          <w:color w:val="231F20"/>
          <w:spacing w:val="-15"/>
        </w:rPr>
        <w:t xml:space="preserve"> </w:t>
      </w:r>
      <w:r>
        <w:rPr>
          <w:color w:val="231F20"/>
        </w:rPr>
        <w:t>reach</w:t>
      </w:r>
      <w:r>
        <w:rPr>
          <w:color w:val="231F20"/>
          <w:spacing w:val="-15"/>
        </w:rPr>
        <w:t xml:space="preserve"> </w:t>
      </w:r>
      <w:r>
        <w:rPr>
          <w:color w:val="231F20"/>
        </w:rPr>
        <w:t>the</w:t>
      </w:r>
      <w:r>
        <w:rPr>
          <w:color w:val="231F20"/>
          <w:spacing w:val="-16"/>
        </w:rPr>
        <w:t xml:space="preserve"> </w:t>
      </w:r>
      <w:r>
        <w:rPr>
          <w:color w:val="231F20"/>
        </w:rPr>
        <w:t>riverine</w:t>
      </w:r>
      <w:r>
        <w:rPr>
          <w:color w:val="231F20"/>
          <w:spacing w:val="-15"/>
        </w:rPr>
        <w:t xml:space="preserve"> </w:t>
      </w:r>
      <w:r>
        <w:rPr>
          <w:color w:val="231F20"/>
        </w:rPr>
        <w:t>communities</w:t>
      </w:r>
      <w:r>
        <w:rPr>
          <w:color w:val="231F20"/>
          <w:spacing w:val="-15"/>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State.</w:t>
      </w:r>
      <w:r>
        <w:rPr>
          <w:color w:val="231F20"/>
          <w:spacing w:val="-17"/>
        </w:rPr>
        <w:t xml:space="preserve"> </w:t>
      </w:r>
      <w:r>
        <w:rPr>
          <w:color w:val="231F20"/>
          <w:spacing w:val="-2"/>
        </w:rPr>
        <w:t xml:space="preserve">Furthermore, </w:t>
      </w:r>
      <w:r>
        <w:rPr>
          <w:color w:val="231F20"/>
        </w:rPr>
        <w:t xml:space="preserve">environmental degradation occasioned by the exploration of oil and gas, Lassa </w:t>
      </w:r>
      <w:r>
        <w:rPr>
          <w:color w:val="231F20"/>
          <w:spacing w:val="-3"/>
        </w:rPr>
        <w:t xml:space="preserve">fever, </w:t>
      </w:r>
      <w:r>
        <w:rPr>
          <w:color w:val="231F20"/>
        </w:rPr>
        <w:t>HIV/AIDS, Ebola</w:t>
      </w:r>
      <w:r>
        <w:rPr>
          <w:color w:val="231F20"/>
          <w:spacing w:val="-10"/>
        </w:rPr>
        <w:t xml:space="preserve"> </w:t>
      </w:r>
      <w:r>
        <w:rPr>
          <w:color w:val="231F20"/>
        </w:rPr>
        <w:t>and</w:t>
      </w:r>
      <w:r>
        <w:rPr>
          <w:color w:val="231F20"/>
          <w:spacing w:val="-9"/>
        </w:rPr>
        <w:t xml:space="preserve"> </w:t>
      </w:r>
      <w:r>
        <w:rPr>
          <w:color w:val="231F20"/>
        </w:rPr>
        <w:t>most</w:t>
      </w:r>
      <w:r>
        <w:rPr>
          <w:color w:val="231F20"/>
          <w:spacing w:val="-9"/>
        </w:rPr>
        <w:t xml:space="preserve"> </w:t>
      </w:r>
      <w:r>
        <w:rPr>
          <w:color w:val="231F20"/>
        </w:rPr>
        <w:t>recently</w:t>
      </w:r>
      <w:r>
        <w:rPr>
          <w:color w:val="231F20"/>
          <w:spacing w:val="-9"/>
        </w:rPr>
        <w:t xml:space="preserve"> </w:t>
      </w:r>
      <w:r>
        <w:rPr>
          <w:color w:val="231F20"/>
        </w:rPr>
        <w:t>the</w:t>
      </w:r>
      <w:r>
        <w:rPr>
          <w:color w:val="231F20"/>
          <w:spacing w:val="-9"/>
        </w:rPr>
        <w:t xml:space="preserve"> </w:t>
      </w:r>
      <w:r>
        <w:rPr>
          <w:color w:val="231F20"/>
        </w:rPr>
        <w:t>high</w:t>
      </w:r>
      <w:r>
        <w:rPr>
          <w:color w:val="231F20"/>
          <w:spacing w:val="-9"/>
        </w:rPr>
        <w:t xml:space="preserve"> </w:t>
      </w:r>
      <w:r>
        <w:rPr>
          <w:color w:val="231F20"/>
        </w:rPr>
        <w:t>atmospheric</w:t>
      </w:r>
      <w:r>
        <w:rPr>
          <w:color w:val="231F20"/>
          <w:spacing w:val="-9"/>
        </w:rPr>
        <w:t xml:space="preserve"> </w:t>
      </w:r>
      <w:r>
        <w:rPr>
          <w:color w:val="231F20"/>
        </w:rPr>
        <w:t>soot</w:t>
      </w:r>
      <w:r>
        <w:rPr>
          <w:color w:val="231F20"/>
          <w:spacing w:val="-9"/>
        </w:rPr>
        <w:t xml:space="preserve"> </w:t>
      </w:r>
      <w:r>
        <w:rPr>
          <w:color w:val="231F20"/>
        </w:rPr>
        <w:t>deposits</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menace</w:t>
      </w:r>
      <w:r>
        <w:rPr>
          <w:color w:val="231F20"/>
          <w:spacing w:val="-10"/>
        </w:rPr>
        <w:t xml:space="preserve"> </w:t>
      </w:r>
      <w:r>
        <w:rPr>
          <w:color w:val="231F20"/>
        </w:rPr>
        <w:t>of</w:t>
      </w:r>
      <w:r>
        <w:rPr>
          <w:color w:val="231F20"/>
          <w:spacing w:val="-9"/>
        </w:rPr>
        <w:t xml:space="preserve"> </w:t>
      </w:r>
      <w:r>
        <w:rPr>
          <w:color w:val="231F20"/>
        </w:rPr>
        <w:t>artisanal</w:t>
      </w:r>
      <w:r>
        <w:rPr>
          <w:color w:val="231F20"/>
          <w:spacing w:val="-9"/>
        </w:rPr>
        <w:t xml:space="preserve"> </w:t>
      </w:r>
      <w:r>
        <w:rPr>
          <w:color w:val="231F20"/>
        </w:rPr>
        <w:t>refining</w:t>
      </w:r>
      <w:r>
        <w:rPr>
          <w:color w:val="231F20"/>
          <w:spacing w:val="-9"/>
        </w:rPr>
        <w:t xml:space="preserve"> </w:t>
      </w:r>
      <w:r>
        <w:rPr>
          <w:color w:val="231F20"/>
        </w:rPr>
        <w:t>of stolen</w:t>
      </w:r>
      <w:r>
        <w:rPr>
          <w:color w:val="231F20"/>
          <w:spacing w:val="-23"/>
        </w:rPr>
        <w:t xml:space="preserve"> </w:t>
      </w:r>
      <w:r>
        <w:rPr>
          <w:color w:val="231F20"/>
        </w:rPr>
        <w:t>crude</w:t>
      </w:r>
      <w:r>
        <w:rPr>
          <w:color w:val="231F20"/>
          <w:spacing w:val="-22"/>
        </w:rPr>
        <w:t xml:space="preserve"> </w:t>
      </w:r>
      <w:r>
        <w:rPr>
          <w:color w:val="231F20"/>
        </w:rPr>
        <w:t>oil</w:t>
      </w:r>
      <w:r>
        <w:rPr>
          <w:color w:val="231F20"/>
          <w:spacing w:val="-22"/>
        </w:rPr>
        <w:t xml:space="preserve"> </w:t>
      </w:r>
      <w:r>
        <w:rPr>
          <w:color w:val="231F20"/>
        </w:rPr>
        <w:t>and</w:t>
      </w:r>
      <w:r>
        <w:rPr>
          <w:color w:val="231F20"/>
          <w:spacing w:val="-22"/>
        </w:rPr>
        <w:t xml:space="preserve"> </w:t>
      </w:r>
      <w:r>
        <w:rPr>
          <w:color w:val="231F20"/>
        </w:rPr>
        <w:t>uncontrolled</w:t>
      </w:r>
      <w:r>
        <w:rPr>
          <w:color w:val="231F20"/>
          <w:spacing w:val="-22"/>
        </w:rPr>
        <w:t xml:space="preserve"> </w:t>
      </w:r>
      <w:r>
        <w:rPr>
          <w:color w:val="231F20"/>
        </w:rPr>
        <w:t>emission</w:t>
      </w:r>
      <w:r>
        <w:rPr>
          <w:color w:val="231F20"/>
          <w:spacing w:val="-22"/>
        </w:rPr>
        <w:t xml:space="preserve"> </w:t>
      </w:r>
      <w:r>
        <w:rPr>
          <w:color w:val="231F20"/>
        </w:rPr>
        <w:t>of</w:t>
      </w:r>
      <w:r>
        <w:rPr>
          <w:color w:val="231F20"/>
          <w:spacing w:val="-22"/>
        </w:rPr>
        <w:t xml:space="preserve"> </w:t>
      </w:r>
      <w:r>
        <w:rPr>
          <w:color w:val="231F20"/>
        </w:rPr>
        <w:t>hydro</w:t>
      </w:r>
      <w:r>
        <w:rPr>
          <w:color w:val="231F20"/>
          <w:spacing w:val="-22"/>
        </w:rPr>
        <w:t xml:space="preserve"> </w:t>
      </w:r>
      <w:r>
        <w:rPr>
          <w:color w:val="231F20"/>
        </w:rPr>
        <w:t>carbon</w:t>
      </w:r>
      <w:r>
        <w:rPr>
          <w:color w:val="231F20"/>
          <w:spacing w:val="-23"/>
        </w:rPr>
        <w:t xml:space="preserve"> </w:t>
      </w:r>
      <w:r>
        <w:rPr>
          <w:color w:val="231F20"/>
        </w:rPr>
        <w:t>by</w:t>
      </w:r>
      <w:r>
        <w:rPr>
          <w:color w:val="231F20"/>
          <w:spacing w:val="-22"/>
        </w:rPr>
        <w:t xml:space="preserve"> </w:t>
      </w:r>
      <w:r>
        <w:rPr>
          <w:color w:val="231F20"/>
        </w:rPr>
        <w:t>oil</w:t>
      </w:r>
      <w:r>
        <w:rPr>
          <w:color w:val="231F20"/>
          <w:spacing w:val="-22"/>
        </w:rPr>
        <w:t xml:space="preserve"> </w:t>
      </w:r>
      <w:r>
        <w:rPr>
          <w:color w:val="231F20"/>
        </w:rPr>
        <w:t>exploration</w:t>
      </w:r>
      <w:r>
        <w:rPr>
          <w:color w:val="231F20"/>
          <w:spacing w:val="-22"/>
        </w:rPr>
        <w:t xml:space="preserve"> </w:t>
      </w:r>
      <w:r>
        <w:rPr>
          <w:color w:val="231F20"/>
        </w:rPr>
        <w:t>companies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State are</w:t>
      </w:r>
      <w:r>
        <w:rPr>
          <w:color w:val="231F20"/>
          <w:spacing w:val="-25"/>
        </w:rPr>
        <w:t xml:space="preserve"> </w:t>
      </w:r>
      <w:r>
        <w:rPr>
          <w:color w:val="231F20"/>
        </w:rPr>
        <w:t>of</w:t>
      </w:r>
      <w:r>
        <w:rPr>
          <w:color w:val="231F20"/>
          <w:spacing w:val="-25"/>
        </w:rPr>
        <w:t xml:space="preserve"> </w:t>
      </w:r>
      <w:r>
        <w:rPr>
          <w:color w:val="231F20"/>
        </w:rPr>
        <w:t>great</w:t>
      </w:r>
      <w:r>
        <w:rPr>
          <w:color w:val="231F20"/>
          <w:spacing w:val="-25"/>
        </w:rPr>
        <w:t xml:space="preserve"> </w:t>
      </w:r>
      <w:r>
        <w:rPr>
          <w:color w:val="231F20"/>
        </w:rPr>
        <w:t>concern.</w:t>
      </w:r>
    </w:p>
    <w:p w14:paraId="71401E47" w14:textId="77777777" w:rsidR="009948F1" w:rsidRDefault="009948F1">
      <w:pPr>
        <w:pStyle w:val="BodyText"/>
        <w:spacing w:before="10"/>
        <w:rPr>
          <w:sz w:val="26"/>
        </w:rPr>
      </w:pPr>
    </w:p>
    <w:p w14:paraId="43D686C6" w14:textId="77777777" w:rsidR="009948F1" w:rsidRDefault="00BC0563">
      <w:pPr>
        <w:pStyle w:val="BodyText"/>
        <w:spacing w:line="283" w:lineRule="auto"/>
        <w:ind w:left="151" w:right="177"/>
        <w:jc w:val="both"/>
      </w:pPr>
      <w:r>
        <w:rPr>
          <w:color w:val="231F20"/>
        </w:rPr>
        <w:t>The</w:t>
      </w:r>
      <w:r>
        <w:rPr>
          <w:color w:val="231F20"/>
          <w:spacing w:val="-8"/>
        </w:rPr>
        <w:t xml:space="preserve"> </w:t>
      </w:r>
      <w:r>
        <w:rPr>
          <w:color w:val="231F20"/>
        </w:rPr>
        <w:t>End</w:t>
      </w:r>
      <w:r>
        <w:rPr>
          <w:color w:val="231F20"/>
          <w:spacing w:val="-12"/>
        </w:rPr>
        <w:t xml:space="preserve"> </w:t>
      </w:r>
      <w:r>
        <w:rPr>
          <w:color w:val="231F20"/>
          <w:spacing w:val="-7"/>
        </w:rPr>
        <w:t>Term</w:t>
      </w:r>
      <w:r>
        <w:rPr>
          <w:color w:val="231F20"/>
          <w:spacing w:val="-8"/>
        </w:rPr>
        <w:t xml:space="preserve"> </w:t>
      </w:r>
      <w:r>
        <w:rPr>
          <w:color w:val="231F20"/>
        </w:rPr>
        <w:t>Evaluation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SSHDP</w:t>
      </w:r>
      <w:r>
        <w:rPr>
          <w:color w:val="231F20"/>
          <w:spacing w:val="-12"/>
        </w:rPr>
        <w:t xml:space="preserve"> </w:t>
      </w:r>
      <w:r>
        <w:rPr>
          <w:color w:val="231F20"/>
        </w:rPr>
        <w:t>I</w:t>
      </w:r>
      <w:r>
        <w:rPr>
          <w:color w:val="231F20"/>
          <w:spacing w:val="-7"/>
        </w:rPr>
        <w:t xml:space="preserve"> </w:t>
      </w:r>
      <w:r>
        <w:rPr>
          <w:color w:val="231F20"/>
        </w:rPr>
        <w:t>revealed</w:t>
      </w:r>
      <w:r>
        <w:rPr>
          <w:color w:val="231F20"/>
          <w:spacing w:val="-7"/>
        </w:rPr>
        <w:t xml:space="preserve"> </w:t>
      </w:r>
      <w:r>
        <w:rPr>
          <w:color w:val="231F20"/>
        </w:rPr>
        <w:t>that</w:t>
      </w:r>
      <w:r>
        <w:rPr>
          <w:color w:val="231F20"/>
          <w:spacing w:val="-8"/>
        </w:rPr>
        <w:t xml:space="preserve"> </w:t>
      </w:r>
      <w:r>
        <w:rPr>
          <w:color w:val="231F20"/>
        </w:rPr>
        <w:t>progress</w:t>
      </w:r>
      <w:r>
        <w:rPr>
          <w:color w:val="231F20"/>
          <w:spacing w:val="-7"/>
        </w:rPr>
        <w:t xml:space="preserve"> </w:t>
      </w:r>
      <w:r>
        <w:rPr>
          <w:color w:val="231F20"/>
        </w:rPr>
        <w:t>was</w:t>
      </w:r>
      <w:r>
        <w:rPr>
          <w:color w:val="231F20"/>
          <w:spacing w:val="-8"/>
        </w:rPr>
        <w:t xml:space="preserve"> </w:t>
      </w:r>
      <w:r>
        <w:rPr>
          <w:color w:val="231F20"/>
        </w:rPr>
        <w:t>made</w:t>
      </w:r>
      <w:r>
        <w:rPr>
          <w:color w:val="231F20"/>
          <w:spacing w:val="-8"/>
        </w:rPr>
        <w:t xml:space="preserve"> </w:t>
      </w:r>
      <w:r>
        <w:rPr>
          <w:color w:val="231F20"/>
        </w:rPr>
        <w:t>but</w:t>
      </w:r>
      <w:r>
        <w:rPr>
          <w:color w:val="231F20"/>
          <w:spacing w:val="-8"/>
        </w:rPr>
        <w:t xml:space="preserve"> </w:t>
      </w:r>
      <w:r>
        <w:rPr>
          <w:color w:val="231F20"/>
        </w:rPr>
        <w:t>the</w:t>
      </w:r>
      <w:r>
        <w:rPr>
          <w:color w:val="231F20"/>
          <w:spacing w:val="-7"/>
        </w:rPr>
        <w:t xml:space="preserve"> </w:t>
      </w:r>
      <w:r>
        <w:rPr>
          <w:color w:val="231F20"/>
        </w:rPr>
        <w:t xml:space="preserve">achievements were lower than expected. The 2015 targets were largely unmet for most of the indicators. </w:t>
      </w:r>
      <w:r>
        <w:rPr>
          <w:color w:val="231F20"/>
          <w:spacing w:val="-5"/>
        </w:rPr>
        <w:t xml:space="preserve">The </w:t>
      </w:r>
      <w:r>
        <w:rPr>
          <w:color w:val="231F20"/>
        </w:rPr>
        <w:t>Rivers</w:t>
      </w:r>
      <w:r>
        <w:rPr>
          <w:color w:val="231F20"/>
          <w:spacing w:val="-21"/>
        </w:rPr>
        <w:t xml:space="preserve"> </w:t>
      </w:r>
      <w:r>
        <w:rPr>
          <w:color w:val="231F20"/>
        </w:rPr>
        <w:t>State</w:t>
      </w:r>
      <w:r>
        <w:rPr>
          <w:color w:val="231F20"/>
          <w:spacing w:val="-20"/>
        </w:rPr>
        <w:t xml:space="preserve"> </w:t>
      </w:r>
      <w:r>
        <w:rPr>
          <w:color w:val="231F20"/>
        </w:rPr>
        <w:t>Strategic</w:t>
      </w:r>
      <w:r>
        <w:rPr>
          <w:color w:val="231F20"/>
          <w:spacing w:val="-20"/>
        </w:rPr>
        <w:t xml:space="preserve"> </w:t>
      </w:r>
      <w:r>
        <w:rPr>
          <w:color w:val="231F20"/>
        </w:rPr>
        <w:t>Health</w:t>
      </w:r>
      <w:r>
        <w:rPr>
          <w:color w:val="231F20"/>
          <w:spacing w:val="-20"/>
        </w:rPr>
        <w:t xml:space="preserve"> </w:t>
      </w:r>
      <w:r>
        <w:rPr>
          <w:color w:val="231F20"/>
        </w:rPr>
        <w:t>Development</w:t>
      </w:r>
      <w:r>
        <w:rPr>
          <w:color w:val="231F20"/>
          <w:spacing w:val="-20"/>
        </w:rPr>
        <w:t xml:space="preserve"> </w:t>
      </w:r>
      <w:r>
        <w:rPr>
          <w:color w:val="231F20"/>
        </w:rPr>
        <w:t>Plan</w:t>
      </w:r>
      <w:r>
        <w:rPr>
          <w:color w:val="231F20"/>
          <w:spacing w:val="-20"/>
        </w:rPr>
        <w:t xml:space="preserve"> </w:t>
      </w:r>
      <w:r>
        <w:rPr>
          <w:color w:val="231F20"/>
        </w:rPr>
        <w:t>(RSSHDP)</w:t>
      </w:r>
      <w:r>
        <w:rPr>
          <w:color w:val="231F20"/>
          <w:spacing w:val="-20"/>
        </w:rPr>
        <w:t xml:space="preserve"> </w:t>
      </w:r>
      <w:r>
        <w:rPr>
          <w:color w:val="231F20"/>
        </w:rPr>
        <w:t>2018</w:t>
      </w:r>
      <w:r>
        <w:rPr>
          <w:color w:val="231F20"/>
          <w:spacing w:val="-20"/>
        </w:rPr>
        <w:t xml:space="preserve"> </w:t>
      </w:r>
      <w:r>
        <w:rPr>
          <w:color w:val="231F20"/>
        </w:rPr>
        <w:t>–</w:t>
      </w:r>
      <w:r>
        <w:rPr>
          <w:color w:val="231F20"/>
          <w:spacing w:val="-20"/>
        </w:rPr>
        <w:t xml:space="preserve"> </w:t>
      </w:r>
      <w:r>
        <w:rPr>
          <w:color w:val="231F20"/>
        </w:rPr>
        <w:t>2022</w:t>
      </w:r>
      <w:r>
        <w:rPr>
          <w:color w:val="231F20"/>
          <w:spacing w:val="-20"/>
        </w:rPr>
        <w:t xml:space="preserve"> </w:t>
      </w:r>
      <w:r>
        <w:rPr>
          <w:color w:val="231F20"/>
        </w:rPr>
        <w:t>is</w:t>
      </w:r>
      <w:r>
        <w:rPr>
          <w:color w:val="231F20"/>
          <w:spacing w:val="-20"/>
        </w:rPr>
        <w:t xml:space="preserve"> </w:t>
      </w:r>
      <w:r>
        <w:rPr>
          <w:color w:val="231F20"/>
        </w:rPr>
        <w:t>the</w:t>
      </w:r>
      <w:r>
        <w:rPr>
          <w:color w:val="231F20"/>
          <w:spacing w:val="-21"/>
        </w:rPr>
        <w:t xml:space="preserve"> </w:t>
      </w:r>
      <w:r>
        <w:rPr>
          <w:color w:val="231F20"/>
        </w:rPr>
        <w:t>second</w:t>
      </w:r>
      <w:r>
        <w:rPr>
          <w:color w:val="231F20"/>
          <w:spacing w:val="-20"/>
        </w:rPr>
        <w:t xml:space="preserve"> </w:t>
      </w:r>
      <w:r>
        <w:rPr>
          <w:color w:val="231F20"/>
        </w:rPr>
        <w:t>state</w:t>
      </w:r>
      <w:r>
        <w:rPr>
          <w:color w:val="231F20"/>
          <w:spacing w:val="-20"/>
        </w:rPr>
        <w:t xml:space="preserve"> </w:t>
      </w:r>
      <w:r>
        <w:rPr>
          <w:color w:val="231F20"/>
        </w:rPr>
        <w:t xml:space="preserve">health plan being designed within the context of placing health at the </w:t>
      </w:r>
      <w:proofErr w:type="spellStart"/>
      <w:r>
        <w:rPr>
          <w:color w:val="231F20"/>
        </w:rPr>
        <w:t>centre</w:t>
      </w:r>
      <w:proofErr w:type="spellEnd"/>
      <w:r>
        <w:rPr>
          <w:color w:val="231F20"/>
        </w:rPr>
        <w:t xml:space="preserve"> of socioeconomic development</w:t>
      </w:r>
      <w:r>
        <w:rPr>
          <w:color w:val="231F20"/>
          <w:spacing w:val="-7"/>
        </w:rPr>
        <w:t xml:space="preserve"> </w:t>
      </w:r>
      <w:r>
        <w:rPr>
          <w:color w:val="231F20"/>
        </w:rPr>
        <w:t>and</w:t>
      </w:r>
      <w:r>
        <w:rPr>
          <w:color w:val="231F20"/>
          <w:spacing w:val="-7"/>
        </w:rPr>
        <w:t xml:space="preserve"> </w:t>
      </w:r>
      <w:r>
        <w:rPr>
          <w:color w:val="231F20"/>
        </w:rPr>
        <w:t>presents</w:t>
      </w:r>
      <w:r>
        <w:rPr>
          <w:color w:val="231F20"/>
          <w:spacing w:val="-7"/>
        </w:rPr>
        <w:t xml:space="preserve"> </w:t>
      </w:r>
      <w:r>
        <w:rPr>
          <w:color w:val="231F20"/>
        </w:rPr>
        <w:t>a</w:t>
      </w:r>
      <w:r>
        <w:rPr>
          <w:color w:val="231F20"/>
          <w:spacing w:val="-7"/>
        </w:rPr>
        <w:t xml:space="preserve"> </w:t>
      </w:r>
      <w:r>
        <w:rPr>
          <w:color w:val="231F20"/>
        </w:rPr>
        <w:t>clear</w:t>
      </w:r>
      <w:r>
        <w:rPr>
          <w:color w:val="231F20"/>
          <w:spacing w:val="-6"/>
        </w:rPr>
        <w:t xml:space="preserve"> </w:t>
      </w:r>
      <w:r>
        <w:rPr>
          <w:color w:val="231F20"/>
        </w:rPr>
        <w:t>shift</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role</w:t>
      </w:r>
      <w:r>
        <w:rPr>
          <w:color w:val="231F20"/>
          <w:spacing w:val="-6"/>
        </w:rPr>
        <w:t xml:space="preserve"> </w:t>
      </w:r>
      <w:r>
        <w:rPr>
          <w:color w:val="231F20"/>
        </w:rPr>
        <w:t>of</w:t>
      </w:r>
      <w:r>
        <w:rPr>
          <w:color w:val="231F20"/>
          <w:spacing w:val="-7"/>
        </w:rPr>
        <w:t xml:space="preserve"> </w:t>
      </w:r>
      <w:r>
        <w:rPr>
          <w:color w:val="231F20"/>
        </w:rPr>
        <w:t>health</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State</w:t>
      </w:r>
      <w:r>
        <w:rPr>
          <w:color w:val="231F20"/>
          <w:spacing w:val="-6"/>
        </w:rPr>
        <w:t xml:space="preserve"> </w:t>
      </w:r>
      <w:r>
        <w:rPr>
          <w:color w:val="231F20"/>
        </w:rPr>
        <w:t>and</w:t>
      </w:r>
      <w:r>
        <w:rPr>
          <w:color w:val="231F20"/>
          <w:spacing w:val="-7"/>
        </w:rPr>
        <w:t xml:space="preserve"> </w:t>
      </w:r>
      <w:r>
        <w:rPr>
          <w:color w:val="231F20"/>
        </w:rPr>
        <w:t>national</w:t>
      </w:r>
      <w:r>
        <w:rPr>
          <w:color w:val="231F20"/>
          <w:spacing w:val="-7"/>
        </w:rPr>
        <w:t xml:space="preserve"> </w:t>
      </w:r>
      <w:r>
        <w:rPr>
          <w:color w:val="231F20"/>
        </w:rPr>
        <w:t>development framework.</w:t>
      </w:r>
    </w:p>
    <w:p w14:paraId="17FD32DF" w14:textId="77777777" w:rsidR="009948F1" w:rsidRDefault="009948F1">
      <w:pPr>
        <w:pStyle w:val="BodyText"/>
        <w:spacing w:before="7"/>
        <w:rPr>
          <w:sz w:val="26"/>
        </w:rPr>
      </w:pPr>
    </w:p>
    <w:p w14:paraId="67955FCA" w14:textId="77777777" w:rsidR="009948F1" w:rsidRDefault="00BC0563">
      <w:pPr>
        <w:pStyle w:val="Heading7"/>
        <w:numPr>
          <w:ilvl w:val="2"/>
          <w:numId w:val="326"/>
        </w:numPr>
        <w:tabs>
          <w:tab w:val="left" w:pos="872"/>
        </w:tabs>
        <w:ind w:left="871" w:hanging="721"/>
        <w:jc w:val="both"/>
        <w:rPr>
          <w:color w:val="231F20"/>
        </w:rPr>
      </w:pPr>
      <w:bookmarkStart w:id="17" w:name="_TOC_250037"/>
      <w:r>
        <w:rPr>
          <w:color w:val="231F20"/>
        </w:rPr>
        <w:t>National</w:t>
      </w:r>
      <w:r>
        <w:rPr>
          <w:color w:val="231F20"/>
          <w:spacing w:val="-25"/>
        </w:rPr>
        <w:t xml:space="preserve"> </w:t>
      </w:r>
      <w:r>
        <w:rPr>
          <w:color w:val="231F20"/>
        </w:rPr>
        <w:t>and</w:t>
      </w:r>
      <w:r>
        <w:rPr>
          <w:color w:val="231F20"/>
          <w:spacing w:val="-25"/>
        </w:rPr>
        <w:t xml:space="preserve"> </w:t>
      </w:r>
      <w:r>
        <w:rPr>
          <w:color w:val="231F20"/>
        </w:rPr>
        <w:t>State</w:t>
      </w:r>
      <w:r>
        <w:rPr>
          <w:color w:val="231F20"/>
          <w:spacing w:val="-25"/>
        </w:rPr>
        <w:t xml:space="preserve"> </w:t>
      </w:r>
      <w:bookmarkEnd w:id="17"/>
      <w:r>
        <w:rPr>
          <w:color w:val="231F20"/>
        </w:rPr>
        <w:t>Context:</w:t>
      </w:r>
    </w:p>
    <w:p w14:paraId="6888ACDC" w14:textId="77777777" w:rsidR="009948F1" w:rsidRDefault="00BC0563">
      <w:pPr>
        <w:pStyle w:val="BodyText"/>
        <w:spacing w:before="46" w:line="283" w:lineRule="auto"/>
        <w:ind w:left="151" w:right="177"/>
        <w:jc w:val="both"/>
      </w:pPr>
      <w:r>
        <w:rPr>
          <w:color w:val="231F20"/>
        </w:rPr>
        <w:t xml:space="preserve">The Federal Ministry of Health (FMOH) in collaboration with Development Partners, commenced the process of developing the second National Strategic Health Development Plan (NSHDP </w:t>
      </w:r>
      <w:r>
        <w:rPr>
          <w:color w:val="231F20"/>
          <w:spacing w:val="-5"/>
        </w:rPr>
        <w:t xml:space="preserve">II) </w:t>
      </w:r>
      <w:r>
        <w:rPr>
          <w:color w:val="231F20"/>
        </w:rPr>
        <w:t xml:space="preserve">2018-2022. The validated framework was used by both Federal and States Ministry of Health </w:t>
      </w:r>
      <w:r>
        <w:rPr>
          <w:color w:val="231F20"/>
          <w:spacing w:val="-6"/>
        </w:rPr>
        <w:t xml:space="preserve">to </w:t>
      </w:r>
      <w:r>
        <w:rPr>
          <w:color w:val="231F20"/>
        </w:rPr>
        <w:t xml:space="preserve">develop their specific plans. Rivers State has used the validated framework to develop their </w:t>
      </w:r>
      <w:r>
        <w:rPr>
          <w:color w:val="231F20"/>
          <w:spacing w:val="-4"/>
        </w:rPr>
        <w:t xml:space="preserve">own </w:t>
      </w:r>
      <w:r>
        <w:rPr>
          <w:color w:val="231F20"/>
        </w:rPr>
        <w:t>Strategic</w:t>
      </w:r>
      <w:r>
        <w:rPr>
          <w:color w:val="231F20"/>
          <w:spacing w:val="-21"/>
        </w:rPr>
        <w:t xml:space="preserve"> </w:t>
      </w:r>
      <w:r>
        <w:rPr>
          <w:color w:val="231F20"/>
        </w:rPr>
        <w:t>Health</w:t>
      </w:r>
      <w:r>
        <w:rPr>
          <w:color w:val="231F20"/>
          <w:spacing w:val="-20"/>
        </w:rPr>
        <w:t xml:space="preserve"> </w:t>
      </w:r>
      <w:r>
        <w:rPr>
          <w:color w:val="231F20"/>
        </w:rPr>
        <w:t>Development</w:t>
      </w:r>
      <w:r>
        <w:rPr>
          <w:color w:val="231F20"/>
          <w:spacing w:val="-19"/>
        </w:rPr>
        <w:t xml:space="preserve"> </w:t>
      </w:r>
      <w:r>
        <w:rPr>
          <w:color w:val="231F20"/>
        </w:rPr>
        <w:t>Plan</w:t>
      </w:r>
      <w:r>
        <w:rPr>
          <w:color w:val="231F20"/>
          <w:spacing w:val="-20"/>
        </w:rPr>
        <w:t xml:space="preserve"> </w:t>
      </w:r>
      <w:r>
        <w:rPr>
          <w:color w:val="231F20"/>
        </w:rPr>
        <w:t>(SSHDP</w:t>
      </w:r>
      <w:r>
        <w:rPr>
          <w:color w:val="231F20"/>
          <w:spacing w:val="-24"/>
        </w:rPr>
        <w:t xml:space="preserve"> </w:t>
      </w:r>
      <w:r>
        <w:rPr>
          <w:color w:val="231F20"/>
        </w:rPr>
        <w:t>II),</w:t>
      </w:r>
      <w:r>
        <w:rPr>
          <w:color w:val="231F20"/>
          <w:spacing w:val="-20"/>
        </w:rPr>
        <w:t xml:space="preserve"> </w:t>
      </w:r>
      <w:r>
        <w:rPr>
          <w:color w:val="231F20"/>
        </w:rPr>
        <w:t>which</w:t>
      </w:r>
      <w:r>
        <w:rPr>
          <w:color w:val="231F20"/>
          <w:spacing w:val="-20"/>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harmonized</w:t>
      </w:r>
      <w:r>
        <w:rPr>
          <w:color w:val="231F20"/>
          <w:spacing w:val="-19"/>
        </w:rPr>
        <w:t xml:space="preserve"> </w:t>
      </w:r>
      <w:r>
        <w:rPr>
          <w:color w:val="231F20"/>
        </w:rPr>
        <w:t>with</w:t>
      </w:r>
      <w:r>
        <w:rPr>
          <w:color w:val="231F20"/>
          <w:spacing w:val="-20"/>
        </w:rPr>
        <w:t xml:space="preserve"> </w:t>
      </w:r>
      <w:r>
        <w:rPr>
          <w:color w:val="231F20"/>
        </w:rPr>
        <w:t>those</w:t>
      </w:r>
      <w:r>
        <w:rPr>
          <w:color w:val="231F20"/>
          <w:spacing w:val="-21"/>
        </w:rPr>
        <w:t xml:space="preserve"> </w:t>
      </w:r>
      <w:r>
        <w:rPr>
          <w:color w:val="231F20"/>
        </w:rPr>
        <w:t>of</w:t>
      </w:r>
      <w:r>
        <w:rPr>
          <w:color w:val="231F20"/>
          <w:spacing w:val="-20"/>
        </w:rPr>
        <w:t xml:space="preserve"> </w:t>
      </w:r>
      <w:r>
        <w:rPr>
          <w:color w:val="231F20"/>
        </w:rPr>
        <w:t>other</w:t>
      </w:r>
      <w:r>
        <w:rPr>
          <w:color w:val="231F20"/>
          <w:spacing w:val="-20"/>
        </w:rPr>
        <w:t xml:space="preserve"> </w:t>
      </w:r>
      <w:r>
        <w:rPr>
          <w:color w:val="231F20"/>
        </w:rPr>
        <w:t xml:space="preserve">states and the Federal into ONE </w:t>
      </w:r>
      <w:r>
        <w:rPr>
          <w:color w:val="231F20"/>
          <w:spacing w:val="-3"/>
        </w:rPr>
        <w:t xml:space="preserve">NATIONAL </w:t>
      </w:r>
      <w:r>
        <w:rPr>
          <w:color w:val="231F20"/>
        </w:rPr>
        <w:t>PLAN for implementation over a period of 5 years. The Parastatals, agencies and health institutions under the Rivers State Ministries of Health</w:t>
      </w:r>
      <w:r>
        <w:rPr>
          <w:color w:val="231F20"/>
          <w:spacing w:val="-38"/>
        </w:rPr>
        <w:t xml:space="preserve"> </w:t>
      </w:r>
      <w:r>
        <w:rPr>
          <w:color w:val="231F20"/>
        </w:rPr>
        <w:t xml:space="preserve">including Local Government health authorities and the private health care providers are all responsible </w:t>
      </w:r>
      <w:r>
        <w:rPr>
          <w:color w:val="231F20"/>
          <w:spacing w:val="-4"/>
        </w:rPr>
        <w:t xml:space="preserve">for </w:t>
      </w:r>
      <w:r>
        <w:rPr>
          <w:color w:val="231F20"/>
        </w:rPr>
        <w:t>healthcare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E5C6403" w14:textId="77777777" w:rsidR="009948F1" w:rsidRDefault="009948F1">
      <w:pPr>
        <w:pStyle w:val="BodyText"/>
        <w:spacing w:before="9"/>
        <w:rPr>
          <w:sz w:val="29"/>
        </w:rPr>
      </w:pPr>
    </w:p>
    <w:p w14:paraId="1975BD1B" w14:textId="77777777" w:rsidR="009948F1" w:rsidRDefault="00BC0563">
      <w:pPr>
        <w:ind w:left="211"/>
        <w:jc w:val="both"/>
        <w:rPr>
          <w:rFonts w:ascii="Carlito"/>
          <w:sz w:val="18"/>
        </w:rPr>
      </w:pPr>
      <w:r>
        <w:rPr>
          <w:rFonts w:ascii="Carlito"/>
          <w:color w:val="231F20"/>
          <w:sz w:val="18"/>
          <w:vertAlign w:val="superscript"/>
        </w:rPr>
        <w:t>1</w:t>
      </w:r>
      <w:r>
        <w:rPr>
          <w:rFonts w:ascii="Carlito"/>
          <w:color w:val="231F20"/>
          <w:sz w:val="18"/>
        </w:rPr>
        <w:t xml:space="preserve"> National Strategic Health Development Plan </w:t>
      </w:r>
      <w:proofErr w:type="gramStart"/>
      <w:r>
        <w:rPr>
          <w:rFonts w:ascii="Carlito"/>
          <w:color w:val="231F20"/>
          <w:sz w:val="18"/>
        </w:rPr>
        <w:t>( NSHDP</w:t>
      </w:r>
      <w:proofErr w:type="gramEnd"/>
      <w:r>
        <w:rPr>
          <w:rFonts w:ascii="Carlito"/>
          <w:color w:val="231F20"/>
          <w:sz w:val="18"/>
        </w:rPr>
        <w:t xml:space="preserve"> II) framework</w:t>
      </w:r>
    </w:p>
    <w:p w14:paraId="54E46B81" w14:textId="77777777" w:rsidR="009948F1" w:rsidRDefault="00BC0563">
      <w:pPr>
        <w:spacing w:before="59"/>
        <w:ind w:left="204"/>
        <w:jc w:val="both"/>
        <w:rPr>
          <w:sz w:val="18"/>
        </w:rPr>
      </w:pPr>
      <w:r>
        <w:rPr>
          <w:color w:val="231F20"/>
          <w:sz w:val="18"/>
          <w:vertAlign w:val="superscript"/>
        </w:rPr>
        <w:t>2</w:t>
      </w:r>
      <w:r>
        <w:rPr>
          <w:color w:val="231F20"/>
          <w:sz w:val="18"/>
        </w:rPr>
        <w:t xml:space="preserve"> State Strategic Health Development Plan (SSHDP 2010-2015)</w:t>
      </w:r>
    </w:p>
    <w:p w14:paraId="59FD24A1" w14:textId="77777777" w:rsidR="009948F1" w:rsidRDefault="00BC0563">
      <w:pPr>
        <w:spacing w:before="69"/>
        <w:ind w:left="204"/>
        <w:jc w:val="both"/>
        <w:rPr>
          <w:sz w:val="18"/>
        </w:rPr>
      </w:pPr>
      <w:r>
        <w:rPr>
          <w:color w:val="231F20"/>
          <w:sz w:val="18"/>
          <w:vertAlign w:val="superscript"/>
        </w:rPr>
        <w:t>3</w:t>
      </w:r>
      <w:r>
        <w:rPr>
          <w:color w:val="231F20"/>
          <w:sz w:val="18"/>
        </w:rPr>
        <w:t xml:space="preserve"> Joint Annual Review/ Mid-term Review 2012 (JAR/MTR)</w:t>
      </w:r>
    </w:p>
    <w:p w14:paraId="5F731C7D" w14:textId="77777777" w:rsidR="009948F1" w:rsidRDefault="009948F1">
      <w:pPr>
        <w:jc w:val="both"/>
        <w:rPr>
          <w:sz w:val="18"/>
        </w:rPr>
        <w:sectPr w:rsidR="009948F1">
          <w:pgSz w:w="11910" w:h="16840"/>
          <w:pgMar w:top="1340" w:right="1080" w:bottom="1420" w:left="1120" w:header="0" w:footer="1235" w:gutter="0"/>
          <w:cols w:space="720"/>
        </w:sectPr>
      </w:pPr>
    </w:p>
    <w:p w14:paraId="5E18C5BE" w14:textId="77777777" w:rsidR="009948F1" w:rsidRDefault="00BC0563">
      <w:pPr>
        <w:pStyle w:val="BodyText"/>
        <w:spacing w:before="37" w:line="271" w:lineRule="auto"/>
        <w:ind w:left="139" w:right="147"/>
        <w:jc w:val="both"/>
      </w:pPr>
      <w:bookmarkStart w:id="18" w:name="Page_16"/>
      <w:bookmarkEnd w:id="18"/>
      <w:r>
        <w:rPr>
          <w:color w:val="231F20"/>
        </w:rPr>
        <w:lastRenderedPageBreak/>
        <w:t>At</w:t>
      </w:r>
      <w:r>
        <w:rPr>
          <w:color w:val="231F20"/>
          <w:spacing w:val="-14"/>
        </w:rPr>
        <w:t xml:space="preserve"> </w:t>
      </w:r>
      <w:r>
        <w:rPr>
          <w:color w:val="231F20"/>
        </w:rPr>
        <w:t>the</w:t>
      </w:r>
      <w:r>
        <w:rPr>
          <w:color w:val="231F20"/>
          <w:spacing w:val="-13"/>
        </w:rPr>
        <w:t xml:space="preserve"> </w:t>
      </w:r>
      <w:r>
        <w:rPr>
          <w:color w:val="231F20"/>
        </w:rPr>
        <w:t>national</w:t>
      </w:r>
      <w:r>
        <w:rPr>
          <w:color w:val="231F20"/>
          <w:spacing w:val="-13"/>
        </w:rPr>
        <w:t xml:space="preserve"> </w:t>
      </w:r>
      <w:r>
        <w:rPr>
          <w:color w:val="231F20"/>
        </w:rPr>
        <w:t>level,</w:t>
      </w:r>
      <w:r>
        <w:rPr>
          <w:color w:val="231F20"/>
          <w:spacing w:val="-13"/>
        </w:rPr>
        <w:t xml:space="preserve"> </w:t>
      </w:r>
      <w:r>
        <w:rPr>
          <w:color w:val="231F20"/>
        </w:rPr>
        <w:t>the</w:t>
      </w:r>
      <w:r>
        <w:rPr>
          <w:color w:val="231F20"/>
          <w:spacing w:val="-13"/>
        </w:rPr>
        <w:t xml:space="preserve"> </w:t>
      </w:r>
      <w:r>
        <w:rPr>
          <w:color w:val="231F20"/>
        </w:rPr>
        <w:t>health</w:t>
      </w:r>
      <w:r>
        <w:rPr>
          <w:color w:val="231F20"/>
          <w:spacing w:val="-13"/>
        </w:rPr>
        <w:t xml:space="preserve"> </w:t>
      </w:r>
      <w:r>
        <w:rPr>
          <w:color w:val="231F20"/>
        </w:rPr>
        <w:t>Sector</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is</w:t>
      </w:r>
      <w:r>
        <w:rPr>
          <w:color w:val="231F20"/>
          <w:spacing w:val="-13"/>
        </w:rPr>
        <w:t xml:space="preserve"> </w:t>
      </w:r>
      <w:r>
        <w:rPr>
          <w:color w:val="231F20"/>
        </w:rPr>
        <w:t>expected</w:t>
      </w:r>
      <w:r>
        <w:rPr>
          <w:color w:val="231F20"/>
          <w:spacing w:val="-13"/>
        </w:rPr>
        <w:t xml:space="preserve"> </w:t>
      </w:r>
      <w:r>
        <w:rPr>
          <w:color w:val="231F20"/>
        </w:rPr>
        <w:t>to</w:t>
      </w:r>
      <w:r>
        <w:rPr>
          <w:color w:val="231F20"/>
          <w:spacing w:val="-13"/>
        </w:rPr>
        <w:t xml:space="preserve"> </w:t>
      </w:r>
      <w:r>
        <w:rPr>
          <w:color w:val="231F20"/>
        </w:rPr>
        <w:t>contribute</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attainment</w:t>
      </w:r>
      <w:r>
        <w:rPr>
          <w:color w:val="231F20"/>
          <w:spacing w:val="-13"/>
        </w:rPr>
        <w:t xml:space="preserve"> </w:t>
      </w:r>
      <w:r>
        <w:rPr>
          <w:color w:val="231F20"/>
        </w:rPr>
        <w:t>of</w:t>
      </w:r>
      <w:r>
        <w:rPr>
          <w:color w:val="231F20"/>
          <w:spacing w:val="-13"/>
        </w:rPr>
        <w:t xml:space="preserve"> </w:t>
      </w:r>
      <w:r>
        <w:rPr>
          <w:color w:val="231F20"/>
        </w:rPr>
        <w:t>the Nigeria's</w:t>
      </w:r>
      <w:r>
        <w:rPr>
          <w:color w:val="231F20"/>
          <w:spacing w:val="-12"/>
        </w:rPr>
        <w:t xml:space="preserve"> </w:t>
      </w:r>
      <w:r>
        <w:rPr>
          <w:color w:val="231F20"/>
        </w:rPr>
        <w:t>Development</w:t>
      </w:r>
      <w:r>
        <w:rPr>
          <w:color w:val="231F20"/>
          <w:spacing w:val="-22"/>
        </w:rPr>
        <w:t xml:space="preserve"> </w:t>
      </w:r>
      <w:r>
        <w:rPr>
          <w:color w:val="231F20"/>
        </w:rPr>
        <w:t>Agenda;</w:t>
      </w:r>
      <w:r>
        <w:rPr>
          <w:color w:val="231F20"/>
          <w:spacing w:val="-11"/>
        </w:rPr>
        <w:t xml:space="preserve"> </w:t>
      </w:r>
      <w:r>
        <w:rPr>
          <w:color w:val="231F20"/>
        </w:rPr>
        <w:t>Vision</w:t>
      </w:r>
      <w:r>
        <w:rPr>
          <w:color w:val="231F20"/>
          <w:spacing w:val="-11"/>
        </w:rPr>
        <w:t xml:space="preserve"> </w:t>
      </w:r>
      <w:r>
        <w:rPr>
          <w:color w:val="231F20"/>
        </w:rPr>
        <w:t>20:2020</w:t>
      </w:r>
      <w:r>
        <w:rPr>
          <w:color w:val="231F20"/>
          <w:spacing w:val="-11"/>
        </w:rPr>
        <w:t xml:space="preserve"> </w:t>
      </w:r>
      <w:r>
        <w:rPr>
          <w:color w:val="231F20"/>
        </w:rPr>
        <w:t>through</w:t>
      </w:r>
      <w:r>
        <w:rPr>
          <w:color w:val="231F20"/>
          <w:spacing w:val="-11"/>
        </w:rPr>
        <w:t xml:space="preserve"> </w:t>
      </w:r>
      <w:r>
        <w:rPr>
          <w:color w:val="231F20"/>
        </w:rPr>
        <w:t>ensuring</w:t>
      </w:r>
      <w:r>
        <w:rPr>
          <w:color w:val="231F20"/>
          <w:spacing w:val="-11"/>
        </w:rPr>
        <w:t xml:space="preserve"> </w:t>
      </w:r>
      <w:r>
        <w:rPr>
          <w:color w:val="231F20"/>
        </w:rPr>
        <w:t>a</w:t>
      </w:r>
      <w:r>
        <w:rPr>
          <w:color w:val="231F20"/>
          <w:spacing w:val="-11"/>
        </w:rPr>
        <w:t xml:space="preserve"> </w:t>
      </w:r>
      <w:r>
        <w:rPr>
          <w:color w:val="231F20"/>
          <w:spacing w:val="-3"/>
        </w:rPr>
        <w:t>healthy,</w:t>
      </w:r>
      <w:r>
        <w:rPr>
          <w:color w:val="231F20"/>
          <w:spacing w:val="-11"/>
        </w:rPr>
        <w:t xml:space="preserve"> </w:t>
      </w:r>
      <w:r>
        <w:rPr>
          <w:color w:val="231F20"/>
        </w:rPr>
        <w:t>vibrant</w:t>
      </w:r>
      <w:r>
        <w:rPr>
          <w:color w:val="231F20"/>
          <w:spacing w:val="-11"/>
        </w:rPr>
        <w:t xml:space="preserve"> </w:t>
      </w:r>
      <w:r>
        <w:rPr>
          <w:color w:val="231F20"/>
        </w:rPr>
        <w:t>and</w:t>
      </w:r>
      <w:r>
        <w:rPr>
          <w:color w:val="231F20"/>
          <w:spacing w:val="-12"/>
        </w:rPr>
        <w:t xml:space="preserve"> </w:t>
      </w:r>
      <w:r>
        <w:rPr>
          <w:color w:val="231F20"/>
        </w:rPr>
        <w:t xml:space="preserve">productive </w:t>
      </w:r>
      <w:proofErr w:type="spellStart"/>
      <w:r>
        <w:rPr>
          <w:color w:val="231F20"/>
        </w:rPr>
        <w:t>labour</w:t>
      </w:r>
      <w:proofErr w:type="spellEnd"/>
      <w:r>
        <w:rPr>
          <w:color w:val="231F20"/>
          <w:spacing w:val="-14"/>
        </w:rPr>
        <w:t xml:space="preserve"> </w:t>
      </w:r>
      <w:r>
        <w:rPr>
          <w:color w:val="231F20"/>
        </w:rPr>
        <w:t>force.</w:t>
      </w:r>
      <w:r>
        <w:rPr>
          <w:color w:val="231F20"/>
          <w:spacing w:val="-17"/>
        </w:rPr>
        <w:t xml:space="preserve"> </w:t>
      </w:r>
      <w:r>
        <w:rPr>
          <w:color w:val="231F20"/>
        </w:rPr>
        <w:t>The</w:t>
      </w:r>
      <w:r>
        <w:rPr>
          <w:color w:val="231F20"/>
          <w:spacing w:val="-13"/>
        </w:rPr>
        <w:t xml:space="preserve"> </w:t>
      </w:r>
      <w:r>
        <w:rPr>
          <w:color w:val="231F20"/>
        </w:rPr>
        <w:t>long-term</w:t>
      </w:r>
      <w:r>
        <w:rPr>
          <w:color w:val="231F20"/>
          <w:spacing w:val="-13"/>
        </w:rPr>
        <w:t xml:space="preserve"> </w:t>
      </w:r>
      <w:r>
        <w:rPr>
          <w:color w:val="231F20"/>
        </w:rPr>
        <w:t>goal</w:t>
      </w:r>
      <w:r>
        <w:rPr>
          <w:color w:val="231F20"/>
          <w:spacing w:val="-13"/>
        </w:rPr>
        <w:t xml:space="preserve"> </w:t>
      </w:r>
      <w:r>
        <w:rPr>
          <w:color w:val="231F20"/>
        </w:rPr>
        <w:t>is</w:t>
      </w:r>
      <w:r>
        <w:rPr>
          <w:color w:val="231F20"/>
          <w:spacing w:val="-13"/>
        </w:rPr>
        <w:t xml:space="preserve"> </w:t>
      </w:r>
      <w:r>
        <w:rPr>
          <w:color w:val="231F20"/>
        </w:rPr>
        <w:t>for</w:t>
      </w:r>
      <w:r>
        <w:rPr>
          <w:color w:val="231F20"/>
          <w:spacing w:val="-13"/>
        </w:rPr>
        <w:t xml:space="preserve"> </w:t>
      </w:r>
      <w:r>
        <w:rPr>
          <w:color w:val="231F20"/>
        </w:rPr>
        <w:t>Nigeria</w:t>
      </w:r>
      <w:r>
        <w:rPr>
          <w:color w:val="231F20"/>
          <w:spacing w:val="-13"/>
        </w:rPr>
        <w:t xml:space="preserve"> </w:t>
      </w:r>
      <w:r>
        <w:rPr>
          <w:color w:val="231F20"/>
        </w:rPr>
        <w:t>becoming</w:t>
      </w:r>
      <w:r>
        <w:rPr>
          <w:color w:val="231F20"/>
          <w:spacing w:val="-13"/>
        </w:rPr>
        <w:t xml:space="preserve"> </w:t>
      </w:r>
      <w:r>
        <w:rPr>
          <w:color w:val="231F20"/>
        </w:rPr>
        <w:t>one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twenty</w:t>
      </w:r>
      <w:r>
        <w:rPr>
          <w:color w:val="231F20"/>
          <w:spacing w:val="-13"/>
        </w:rPr>
        <w:t xml:space="preserve"> </w:t>
      </w:r>
      <w:r>
        <w:rPr>
          <w:color w:val="231F20"/>
        </w:rPr>
        <w:t>largest</w:t>
      </w:r>
      <w:r>
        <w:rPr>
          <w:color w:val="231F20"/>
          <w:spacing w:val="-13"/>
        </w:rPr>
        <w:t xml:space="preserve"> </w:t>
      </w:r>
      <w:r>
        <w:rPr>
          <w:color w:val="231F20"/>
        </w:rPr>
        <w:t>economies</w:t>
      </w:r>
      <w:r>
        <w:rPr>
          <w:color w:val="231F20"/>
          <w:spacing w:val="-13"/>
        </w:rPr>
        <w:t xml:space="preserve"> </w:t>
      </w:r>
      <w:r>
        <w:rPr>
          <w:color w:val="231F20"/>
        </w:rPr>
        <w:t>in</w:t>
      </w:r>
      <w:r>
        <w:rPr>
          <w:color w:val="231F20"/>
          <w:spacing w:val="-13"/>
        </w:rPr>
        <w:t xml:space="preserve"> </w:t>
      </w:r>
      <w:r>
        <w:rPr>
          <w:color w:val="231F20"/>
          <w:spacing w:val="-4"/>
        </w:rPr>
        <w:t xml:space="preserve">the </w:t>
      </w:r>
      <w:r>
        <w:rPr>
          <w:color w:val="231F20"/>
        </w:rPr>
        <w:t>world by the year 2020. Nigeria also has a medium-term plan; Economic Growth Recovery Plan (EGRP)</w:t>
      </w:r>
      <w:r>
        <w:rPr>
          <w:color w:val="231F20"/>
          <w:spacing w:val="-22"/>
        </w:rPr>
        <w:t xml:space="preserve"> </w:t>
      </w:r>
      <w:r>
        <w:rPr>
          <w:color w:val="231F20"/>
        </w:rPr>
        <w:t>2017-2020,</w:t>
      </w:r>
      <w:r>
        <w:rPr>
          <w:color w:val="231F20"/>
          <w:spacing w:val="-21"/>
        </w:rPr>
        <w:t xml:space="preserve"> </w:t>
      </w:r>
      <w:r>
        <w:rPr>
          <w:color w:val="231F20"/>
        </w:rPr>
        <w:t>that</w:t>
      </w:r>
      <w:r>
        <w:rPr>
          <w:color w:val="231F20"/>
          <w:spacing w:val="-21"/>
        </w:rPr>
        <w:t xml:space="preserve"> </w:t>
      </w:r>
      <w:r>
        <w:rPr>
          <w:color w:val="231F20"/>
        </w:rPr>
        <w:t>has</w:t>
      </w:r>
      <w:r>
        <w:rPr>
          <w:color w:val="231F20"/>
          <w:spacing w:val="-21"/>
        </w:rPr>
        <w:t xml:space="preserve"> </w:t>
      </w:r>
      <w:r>
        <w:rPr>
          <w:color w:val="231F20"/>
        </w:rPr>
        <w:t>three</w:t>
      </w:r>
      <w:r>
        <w:rPr>
          <w:color w:val="231F20"/>
          <w:spacing w:val="-21"/>
        </w:rPr>
        <w:t xml:space="preserve"> </w:t>
      </w:r>
      <w:r>
        <w:rPr>
          <w:color w:val="231F20"/>
        </w:rPr>
        <w:t>broad</w:t>
      </w:r>
      <w:r>
        <w:rPr>
          <w:color w:val="231F20"/>
          <w:spacing w:val="-21"/>
        </w:rPr>
        <w:t xml:space="preserve"> </w:t>
      </w:r>
      <w:r>
        <w:rPr>
          <w:color w:val="231F20"/>
        </w:rPr>
        <w:t>strategic</w:t>
      </w:r>
      <w:r>
        <w:rPr>
          <w:color w:val="231F20"/>
          <w:spacing w:val="-21"/>
        </w:rPr>
        <w:t xml:space="preserve"> </w:t>
      </w:r>
      <w:r>
        <w:rPr>
          <w:color w:val="231F20"/>
        </w:rPr>
        <w:t>objectives,</w:t>
      </w:r>
      <w:r>
        <w:rPr>
          <w:color w:val="231F20"/>
          <w:spacing w:val="-21"/>
        </w:rPr>
        <w:t xml:space="preserve"> </w:t>
      </w:r>
      <w:r>
        <w:rPr>
          <w:color w:val="231F20"/>
        </w:rPr>
        <w:t>which</w:t>
      </w:r>
      <w:r>
        <w:rPr>
          <w:color w:val="231F20"/>
          <w:spacing w:val="-21"/>
        </w:rPr>
        <w:t xml:space="preserve"> </w:t>
      </w:r>
      <w:r>
        <w:rPr>
          <w:color w:val="231F20"/>
        </w:rPr>
        <w:t>are;</w:t>
      </w:r>
      <w:r>
        <w:rPr>
          <w:color w:val="231F20"/>
          <w:spacing w:val="-21"/>
        </w:rPr>
        <w:t xml:space="preserve"> </w:t>
      </w:r>
      <w:r>
        <w:rPr>
          <w:color w:val="231F20"/>
        </w:rPr>
        <w:t>restoring</w:t>
      </w:r>
      <w:r>
        <w:rPr>
          <w:color w:val="231F20"/>
          <w:spacing w:val="-21"/>
        </w:rPr>
        <w:t xml:space="preserve"> </w:t>
      </w:r>
      <w:r>
        <w:rPr>
          <w:color w:val="231F20"/>
        </w:rPr>
        <w:t>growth;</w:t>
      </w:r>
      <w:r>
        <w:rPr>
          <w:color w:val="231F20"/>
          <w:spacing w:val="-22"/>
        </w:rPr>
        <w:t xml:space="preserve"> </w:t>
      </w:r>
      <w:r>
        <w:rPr>
          <w:color w:val="231F20"/>
        </w:rPr>
        <w:t>investing in</w:t>
      </w:r>
      <w:r>
        <w:rPr>
          <w:color w:val="231F20"/>
          <w:spacing w:val="-25"/>
        </w:rPr>
        <w:t xml:space="preserve"> </w:t>
      </w:r>
      <w:r>
        <w:rPr>
          <w:color w:val="231F20"/>
        </w:rPr>
        <w:t>our</w:t>
      </w:r>
      <w:r>
        <w:rPr>
          <w:color w:val="231F20"/>
          <w:spacing w:val="-25"/>
        </w:rPr>
        <w:t xml:space="preserve"> </w:t>
      </w:r>
      <w:r>
        <w:rPr>
          <w:color w:val="231F20"/>
        </w:rPr>
        <w:t>people,</w:t>
      </w:r>
      <w:r>
        <w:rPr>
          <w:color w:val="231F20"/>
          <w:spacing w:val="-25"/>
        </w:rPr>
        <w:t xml:space="preserve"> </w:t>
      </w:r>
      <w:r>
        <w:rPr>
          <w:color w:val="231F20"/>
        </w:rPr>
        <w:t>and</w:t>
      </w:r>
      <w:r>
        <w:rPr>
          <w:color w:val="231F20"/>
          <w:spacing w:val="-25"/>
        </w:rPr>
        <w:t xml:space="preserve"> </w:t>
      </w:r>
      <w:r>
        <w:rPr>
          <w:color w:val="231F20"/>
        </w:rPr>
        <w:t>building</w:t>
      </w:r>
      <w:r>
        <w:rPr>
          <w:color w:val="231F20"/>
          <w:spacing w:val="-25"/>
        </w:rPr>
        <w:t xml:space="preserve"> </w:t>
      </w:r>
      <w:r>
        <w:rPr>
          <w:color w:val="231F20"/>
        </w:rPr>
        <w:t>a</w:t>
      </w:r>
      <w:r>
        <w:rPr>
          <w:color w:val="231F20"/>
          <w:spacing w:val="-25"/>
        </w:rPr>
        <w:t xml:space="preserve"> </w:t>
      </w:r>
      <w:r>
        <w:rPr>
          <w:color w:val="231F20"/>
        </w:rPr>
        <w:t>globally</w:t>
      </w:r>
      <w:r>
        <w:rPr>
          <w:color w:val="231F20"/>
          <w:spacing w:val="-25"/>
        </w:rPr>
        <w:t xml:space="preserve"> </w:t>
      </w:r>
      <w:r>
        <w:rPr>
          <w:color w:val="231F20"/>
        </w:rPr>
        <w:t>competitive</w:t>
      </w:r>
      <w:r>
        <w:rPr>
          <w:color w:val="231F20"/>
          <w:spacing w:val="-25"/>
        </w:rPr>
        <w:t xml:space="preserve"> </w:t>
      </w:r>
      <w:r>
        <w:rPr>
          <w:color w:val="231F20"/>
          <w:spacing w:val="-3"/>
        </w:rPr>
        <w:t>economy.</w:t>
      </w:r>
    </w:p>
    <w:p w14:paraId="7766FE29" w14:textId="77777777" w:rsidR="009948F1" w:rsidRDefault="009948F1">
      <w:pPr>
        <w:pStyle w:val="BodyText"/>
        <w:spacing w:before="3"/>
        <w:rPr>
          <w:sz w:val="29"/>
        </w:rPr>
      </w:pPr>
    </w:p>
    <w:p w14:paraId="45315990" w14:textId="167747B2" w:rsidR="009948F1" w:rsidRDefault="00BC0563">
      <w:pPr>
        <w:pStyle w:val="BodyText"/>
        <w:spacing w:before="1" w:line="295" w:lineRule="auto"/>
        <w:ind w:left="139" w:right="146"/>
        <w:jc w:val="both"/>
      </w:pPr>
      <w:r>
        <w:rPr>
          <w:color w:val="231F20"/>
        </w:rPr>
        <w:t xml:space="preserve">The EGRP sets 10 policy objectives for the health sector as </w:t>
      </w:r>
      <w:r w:rsidR="00C40945">
        <w:rPr>
          <w:color w:val="231F20"/>
        </w:rPr>
        <w:t>follows: Improve</w:t>
      </w:r>
      <w:r>
        <w:rPr>
          <w:color w:val="231F20"/>
        </w:rPr>
        <w:t xml:space="preserve"> the availability, accessibility, affordability and quality of health services; Expand healthcare coverage to all Local Governments; Provide sustainable financing for the health care sector; Revitalize 10,000 </w:t>
      </w:r>
      <w:r>
        <w:rPr>
          <w:color w:val="231F20"/>
          <w:spacing w:val="-3"/>
        </w:rPr>
        <w:t xml:space="preserve">Primary </w:t>
      </w:r>
      <w:r>
        <w:rPr>
          <w:color w:val="231F20"/>
        </w:rPr>
        <w:t>health</w:t>
      </w:r>
      <w:r>
        <w:rPr>
          <w:color w:val="231F20"/>
          <w:spacing w:val="-17"/>
        </w:rPr>
        <w:t xml:space="preserve"> </w:t>
      </w:r>
      <w:r>
        <w:rPr>
          <w:color w:val="231F20"/>
        </w:rPr>
        <w:t>care</w:t>
      </w:r>
      <w:r>
        <w:rPr>
          <w:color w:val="231F20"/>
          <w:spacing w:val="-16"/>
        </w:rPr>
        <w:t xml:space="preserve"> </w:t>
      </w:r>
      <w:proofErr w:type="spellStart"/>
      <w:r>
        <w:rPr>
          <w:color w:val="231F20"/>
        </w:rPr>
        <w:t>centres</w:t>
      </w:r>
      <w:proofErr w:type="spellEnd"/>
      <w:r>
        <w:rPr>
          <w:color w:val="231F20"/>
          <w:spacing w:val="-16"/>
        </w:rPr>
        <w:t xml:space="preserve"> </w:t>
      </w:r>
      <w:r>
        <w:rPr>
          <w:color w:val="231F20"/>
        </w:rPr>
        <w:t>and</w:t>
      </w:r>
      <w:r>
        <w:rPr>
          <w:color w:val="231F20"/>
          <w:spacing w:val="-16"/>
        </w:rPr>
        <w:t xml:space="preserve"> </w:t>
      </w:r>
      <w:r>
        <w:rPr>
          <w:color w:val="231F20"/>
        </w:rPr>
        <w:t>establish</w:t>
      </w:r>
      <w:r>
        <w:rPr>
          <w:color w:val="231F20"/>
          <w:spacing w:val="-16"/>
        </w:rPr>
        <w:t xml:space="preserve"> </w:t>
      </w:r>
      <w:r>
        <w:rPr>
          <w:color w:val="231F20"/>
        </w:rPr>
        <w:t>at</w:t>
      </w:r>
      <w:r>
        <w:rPr>
          <w:color w:val="231F20"/>
          <w:spacing w:val="-16"/>
        </w:rPr>
        <w:t xml:space="preserve"> </w:t>
      </w:r>
      <w:r>
        <w:rPr>
          <w:color w:val="231F20"/>
        </w:rPr>
        <w:t>least</w:t>
      </w:r>
      <w:r>
        <w:rPr>
          <w:color w:val="231F20"/>
          <w:spacing w:val="-16"/>
        </w:rPr>
        <w:t xml:space="preserve"> </w:t>
      </w:r>
      <w:r>
        <w:rPr>
          <w:color w:val="231F20"/>
        </w:rPr>
        <w:t>one</w:t>
      </w:r>
      <w:r>
        <w:rPr>
          <w:color w:val="231F20"/>
          <w:spacing w:val="-16"/>
        </w:rPr>
        <w:t xml:space="preserve"> </w:t>
      </w:r>
      <w:r>
        <w:rPr>
          <w:color w:val="231F20"/>
        </w:rPr>
        <w:t>functional</w:t>
      </w:r>
      <w:r>
        <w:rPr>
          <w:color w:val="231F20"/>
          <w:spacing w:val="-16"/>
        </w:rPr>
        <w:t xml:space="preserve"> </w:t>
      </w:r>
      <w:r>
        <w:rPr>
          <w:color w:val="231F20"/>
        </w:rPr>
        <w:t>Primary</w:t>
      </w:r>
      <w:r>
        <w:rPr>
          <w:color w:val="231F20"/>
          <w:spacing w:val="-16"/>
        </w:rPr>
        <w:t xml:space="preserve"> </w:t>
      </w:r>
      <w:r>
        <w:rPr>
          <w:color w:val="231F20"/>
        </w:rPr>
        <w:t>Health</w:t>
      </w:r>
      <w:r>
        <w:rPr>
          <w:color w:val="231F20"/>
          <w:spacing w:val="-16"/>
        </w:rPr>
        <w:t xml:space="preserve"> </w:t>
      </w:r>
      <w:r>
        <w:rPr>
          <w:color w:val="231F20"/>
        </w:rPr>
        <w:t>Centre</w:t>
      </w:r>
      <w:r>
        <w:rPr>
          <w:color w:val="231F20"/>
          <w:spacing w:val="-17"/>
        </w:rPr>
        <w:t xml:space="preserve"> </w:t>
      </w:r>
      <w:r>
        <w:rPr>
          <w:color w:val="231F20"/>
        </w:rPr>
        <w:t>(PHC)</w:t>
      </w:r>
      <w:r>
        <w:rPr>
          <w:color w:val="231F20"/>
          <w:spacing w:val="-16"/>
        </w:rPr>
        <w:t xml:space="preserve"> </w:t>
      </w:r>
      <w:r>
        <w:rPr>
          <w:color w:val="231F20"/>
        </w:rPr>
        <w:t>in</w:t>
      </w:r>
      <w:r>
        <w:rPr>
          <w:color w:val="231F20"/>
          <w:spacing w:val="-16"/>
        </w:rPr>
        <w:t xml:space="preserve"> </w:t>
      </w:r>
      <w:r>
        <w:rPr>
          <w:color w:val="231F20"/>
        </w:rPr>
        <w:t>each</w:t>
      </w:r>
      <w:r>
        <w:rPr>
          <w:color w:val="231F20"/>
          <w:spacing w:val="-16"/>
        </w:rPr>
        <w:t xml:space="preserve"> </w:t>
      </w:r>
      <w:r>
        <w:rPr>
          <w:color w:val="231F20"/>
        </w:rPr>
        <w:t>ward to</w:t>
      </w:r>
      <w:r>
        <w:rPr>
          <w:color w:val="231F20"/>
          <w:spacing w:val="-22"/>
        </w:rPr>
        <w:t xml:space="preserve"> </w:t>
      </w:r>
      <w:r>
        <w:rPr>
          <w:color w:val="231F20"/>
        </w:rPr>
        <w:t>improve</w:t>
      </w:r>
      <w:r>
        <w:rPr>
          <w:color w:val="231F20"/>
          <w:spacing w:val="-21"/>
        </w:rPr>
        <w:t xml:space="preserve"> </w:t>
      </w:r>
      <w:r>
        <w:rPr>
          <w:color w:val="231F20"/>
        </w:rPr>
        <w:t>access</w:t>
      </w:r>
      <w:r>
        <w:rPr>
          <w:color w:val="231F20"/>
          <w:spacing w:val="-21"/>
        </w:rPr>
        <w:t xml:space="preserve"> </w:t>
      </w:r>
      <w:r>
        <w:rPr>
          <w:color w:val="231F20"/>
        </w:rPr>
        <w:t>to</w:t>
      </w:r>
      <w:r>
        <w:rPr>
          <w:color w:val="231F20"/>
          <w:spacing w:val="-21"/>
        </w:rPr>
        <w:t xml:space="preserve"> </w:t>
      </w:r>
      <w:r>
        <w:rPr>
          <w:color w:val="231F20"/>
        </w:rPr>
        <w:t>health</w:t>
      </w:r>
      <w:r>
        <w:rPr>
          <w:color w:val="231F20"/>
          <w:spacing w:val="-21"/>
        </w:rPr>
        <w:t xml:space="preserve"> </w:t>
      </w:r>
      <w:r>
        <w:rPr>
          <w:color w:val="231F20"/>
        </w:rPr>
        <w:t>care;</w:t>
      </w:r>
      <w:r>
        <w:rPr>
          <w:color w:val="231F20"/>
          <w:spacing w:val="-21"/>
        </w:rPr>
        <w:t xml:space="preserve"> </w:t>
      </w:r>
      <w:r>
        <w:rPr>
          <w:color w:val="231F20"/>
        </w:rPr>
        <w:t>Fully</w:t>
      </w:r>
      <w:r>
        <w:rPr>
          <w:color w:val="231F20"/>
          <w:spacing w:val="-21"/>
        </w:rPr>
        <w:t xml:space="preserve"> </w:t>
      </w:r>
      <w:r>
        <w:rPr>
          <w:color w:val="231F20"/>
        </w:rPr>
        <w:t>implement</w:t>
      </w:r>
      <w:r>
        <w:rPr>
          <w:color w:val="231F20"/>
          <w:spacing w:val="-21"/>
        </w:rPr>
        <w:t xml:space="preserve"> </w:t>
      </w:r>
      <w:r>
        <w:rPr>
          <w:color w:val="231F20"/>
        </w:rPr>
        <w:t>the</w:t>
      </w:r>
      <w:r>
        <w:rPr>
          <w:color w:val="231F20"/>
          <w:spacing w:val="-21"/>
        </w:rPr>
        <w:t xml:space="preserve"> </w:t>
      </w:r>
      <w:r>
        <w:rPr>
          <w:color w:val="231F20"/>
        </w:rPr>
        <w:t>primary</w:t>
      </w:r>
      <w:r>
        <w:rPr>
          <w:color w:val="231F20"/>
          <w:spacing w:val="-21"/>
        </w:rPr>
        <w:t xml:space="preserve"> </w:t>
      </w:r>
      <w:r>
        <w:rPr>
          <w:color w:val="231F20"/>
        </w:rPr>
        <w:t>health</w:t>
      </w:r>
      <w:r>
        <w:rPr>
          <w:color w:val="231F20"/>
          <w:spacing w:val="-21"/>
        </w:rPr>
        <w:t xml:space="preserve"> </w:t>
      </w:r>
      <w:r>
        <w:rPr>
          <w:color w:val="231F20"/>
        </w:rPr>
        <w:t>care</w:t>
      </w:r>
      <w:r>
        <w:rPr>
          <w:color w:val="231F20"/>
          <w:spacing w:val="-21"/>
        </w:rPr>
        <w:t xml:space="preserve"> </w:t>
      </w:r>
      <w:r>
        <w:rPr>
          <w:color w:val="231F20"/>
        </w:rPr>
        <w:t>refinancing</w:t>
      </w:r>
      <w:r>
        <w:rPr>
          <w:color w:val="231F20"/>
          <w:spacing w:val="-21"/>
        </w:rPr>
        <w:t xml:space="preserve"> </w:t>
      </w:r>
      <w:proofErr w:type="spellStart"/>
      <w:r>
        <w:rPr>
          <w:color w:val="231F20"/>
        </w:rPr>
        <w:t>programme</w:t>
      </w:r>
      <w:proofErr w:type="spellEnd"/>
      <w:r>
        <w:rPr>
          <w:color w:val="231F20"/>
          <w:spacing w:val="-21"/>
        </w:rPr>
        <w:t xml:space="preserve"> </w:t>
      </w:r>
      <w:r>
        <w:rPr>
          <w:color w:val="231F20"/>
          <w:spacing w:val="-7"/>
        </w:rPr>
        <w:t xml:space="preserve">to </w:t>
      </w:r>
      <w:r>
        <w:rPr>
          <w:color w:val="231F20"/>
        </w:rPr>
        <w:t>mobilize</w:t>
      </w:r>
      <w:r>
        <w:rPr>
          <w:color w:val="231F20"/>
          <w:spacing w:val="-13"/>
        </w:rPr>
        <w:t xml:space="preserve"> </w:t>
      </w:r>
      <w:r>
        <w:rPr>
          <w:color w:val="231F20"/>
        </w:rPr>
        <w:t>domestic</w:t>
      </w:r>
      <w:r>
        <w:rPr>
          <w:color w:val="231F20"/>
          <w:spacing w:val="-13"/>
        </w:rPr>
        <w:t xml:space="preserve"> </w:t>
      </w:r>
      <w:r>
        <w:rPr>
          <w:color w:val="231F20"/>
        </w:rPr>
        <w:t>resources;</w:t>
      </w:r>
      <w:r>
        <w:rPr>
          <w:color w:val="231F20"/>
          <w:spacing w:val="-13"/>
        </w:rPr>
        <w:t xml:space="preserve"> </w:t>
      </w:r>
      <w:r>
        <w:rPr>
          <w:color w:val="231F20"/>
        </w:rPr>
        <w:t>Drive</w:t>
      </w:r>
      <w:r>
        <w:rPr>
          <w:color w:val="231F20"/>
          <w:spacing w:val="-13"/>
        </w:rPr>
        <w:t xml:space="preserve"> </w:t>
      </w:r>
      <w:r>
        <w:rPr>
          <w:color w:val="231F20"/>
        </w:rPr>
        <w:t>progress</w:t>
      </w:r>
      <w:r>
        <w:rPr>
          <w:color w:val="231F20"/>
          <w:spacing w:val="-13"/>
        </w:rPr>
        <w:t xml:space="preserve"> </w:t>
      </w:r>
      <w:r>
        <w:rPr>
          <w:color w:val="231F20"/>
        </w:rPr>
        <w:t>to</w:t>
      </w:r>
      <w:r>
        <w:rPr>
          <w:color w:val="231F20"/>
          <w:spacing w:val="-13"/>
        </w:rPr>
        <w:t xml:space="preserve"> </w:t>
      </w:r>
      <w:r>
        <w:rPr>
          <w:color w:val="231F20"/>
        </w:rPr>
        <w:t>meet</w:t>
      </w:r>
      <w:r>
        <w:rPr>
          <w:color w:val="231F20"/>
          <w:spacing w:val="-13"/>
        </w:rPr>
        <w:t xml:space="preserve"> </w:t>
      </w:r>
      <w:r>
        <w:rPr>
          <w:color w:val="231F20"/>
        </w:rPr>
        <w:t>United</w:t>
      </w:r>
      <w:r>
        <w:rPr>
          <w:color w:val="231F20"/>
          <w:spacing w:val="-13"/>
        </w:rPr>
        <w:t xml:space="preserve"> </w:t>
      </w:r>
      <w:r>
        <w:rPr>
          <w:color w:val="231F20"/>
        </w:rPr>
        <w:t>Nations</w:t>
      </w:r>
      <w:r>
        <w:rPr>
          <w:color w:val="231F20"/>
          <w:spacing w:val="-13"/>
        </w:rPr>
        <w:t xml:space="preserve"> </w:t>
      </w:r>
      <w:r>
        <w:rPr>
          <w:color w:val="231F20"/>
        </w:rPr>
        <w:t>Strategic</w:t>
      </w:r>
      <w:r>
        <w:rPr>
          <w:color w:val="231F20"/>
          <w:spacing w:val="-13"/>
        </w:rPr>
        <w:t xml:space="preserve"> </w:t>
      </w:r>
      <w:r>
        <w:rPr>
          <w:color w:val="231F20"/>
        </w:rPr>
        <w:t>Development</w:t>
      </w:r>
      <w:r>
        <w:rPr>
          <w:color w:val="231F20"/>
          <w:spacing w:val="-13"/>
        </w:rPr>
        <w:t xml:space="preserve"> </w:t>
      </w:r>
      <w:r>
        <w:rPr>
          <w:color w:val="231F20"/>
        </w:rPr>
        <w:t>Goals (UN SDGs) health targets; Reduce infant and maternal mortality rates; Roll out universal health coverage (NHIS); Strengthen delivery beyond the primary health care system; Reduce</w:t>
      </w:r>
      <w:r>
        <w:rPr>
          <w:color w:val="231F20"/>
          <w:spacing w:val="-27"/>
        </w:rPr>
        <w:t xml:space="preserve"> </w:t>
      </w:r>
      <w:r>
        <w:rPr>
          <w:color w:val="231F20"/>
        </w:rPr>
        <w:t>under-five mortality</w:t>
      </w:r>
      <w:r>
        <w:rPr>
          <w:color w:val="231F20"/>
          <w:spacing w:val="-25"/>
        </w:rPr>
        <w:t xml:space="preserve"> </w:t>
      </w:r>
      <w:r>
        <w:rPr>
          <w:color w:val="231F20"/>
        </w:rPr>
        <w:t>rates.</w:t>
      </w:r>
    </w:p>
    <w:p w14:paraId="1145CE18" w14:textId="77777777" w:rsidR="009948F1" w:rsidRDefault="009948F1">
      <w:pPr>
        <w:pStyle w:val="BodyText"/>
        <w:spacing w:before="5"/>
        <w:rPr>
          <w:sz w:val="27"/>
        </w:rPr>
      </w:pPr>
    </w:p>
    <w:p w14:paraId="3E002DF5" w14:textId="77777777" w:rsidR="009948F1" w:rsidRDefault="00BC0563">
      <w:pPr>
        <w:pStyle w:val="BodyText"/>
        <w:spacing w:line="295" w:lineRule="auto"/>
        <w:ind w:left="139" w:right="148"/>
        <w:jc w:val="both"/>
      </w:pPr>
      <w:r>
        <w:rPr>
          <w:color w:val="231F20"/>
        </w:rPr>
        <w:t xml:space="preserve">These policy goals have </w:t>
      </w:r>
      <w:r w:rsidRPr="005F489E">
        <w:rPr>
          <w:color w:val="231F20"/>
        </w:rPr>
        <w:t>been considered in the development of the NHSDP II accordingly. The national</w:t>
      </w:r>
      <w:r w:rsidRPr="005F489E">
        <w:rPr>
          <w:color w:val="231F20"/>
          <w:spacing w:val="-23"/>
        </w:rPr>
        <w:t xml:space="preserve"> </w:t>
      </w:r>
      <w:r w:rsidRPr="005F489E">
        <w:rPr>
          <w:color w:val="231F20"/>
        </w:rPr>
        <w:t>aligns</w:t>
      </w:r>
      <w:r w:rsidRPr="005F489E">
        <w:rPr>
          <w:color w:val="231F20"/>
          <w:spacing w:val="-22"/>
        </w:rPr>
        <w:t xml:space="preserve"> </w:t>
      </w:r>
      <w:r w:rsidRPr="005F489E">
        <w:rPr>
          <w:color w:val="231F20"/>
        </w:rPr>
        <w:t>with</w:t>
      </w:r>
      <w:r w:rsidRPr="005F489E">
        <w:rPr>
          <w:color w:val="231F20"/>
          <w:spacing w:val="-22"/>
        </w:rPr>
        <w:t xml:space="preserve"> </w:t>
      </w:r>
      <w:r w:rsidRPr="005F489E">
        <w:rPr>
          <w:color w:val="231F20"/>
        </w:rPr>
        <w:t>both</w:t>
      </w:r>
      <w:r w:rsidRPr="005F489E">
        <w:rPr>
          <w:color w:val="231F20"/>
          <w:spacing w:val="-22"/>
        </w:rPr>
        <w:t xml:space="preserve"> </w:t>
      </w:r>
      <w:r w:rsidRPr="005F489E">
        <w:rPr>
          <w:color w:val="231F20"/>
        </w:rPr>
        <w:t>the</w:t>
      </w:r>
      <w:r w:rsidRPr="005F489E">
        <w:rPr>
          <w:color w:val="231F20"/>
          <w:spacing w:val="-22"/>
        </w:rPr>
        <w:t xml:space="preserve"> </w:t>
      </w:r>
      <w:r w:rsidRPr="005F489E">
        <w:rPr>
          <w:color w:val="231F20"/>
        </w:rPr>
        <w:t>policies</w:t>
      </w:r>
      <w:r w:rsidRPr="005F489E">
        <w:rPr>
          <w:color w:val="231F20"/>
          <w:spacing w:val="-22"/>
        </w:rPr>
        <w:t xml:space="preserve"> </w:t>
      </w:r>
      <w:r w:rsidRPr="005F489E">
        <w:rPr>
          <w:color w:val="231F20"/>
        </w:rPr>
        <w:t>made</w:t>
      </w:r>
      <w:r w:rsidRPr="005F489E">
        <w:rPr>
          <w:color w:val="231F20"/>
          <w:spacing w:val="-22"/>
        </w:rPr>
        <w:t xml:space="preserve"> </w:t>
      </w:r>
      <w:r w:rsidRPr="005F489E">
        <w:rPr>
          <w:color w:val="231F20"/>
        </w:rPr>
        <w:t>at</w:t>
      </w:r>
      <w:r w:rsidRPr="005F489E">
        <w:rPr>
          <w:color w:val="231F20"/>
          <w:spacing w:val="-22"/>
        </w:rPr>
        <w:t xml:space="preserve"> </w:t>
      </w:r>
      <w:r w:rsidRPr="005F489E">
        <w:rPr>
          <w:color w:val="231F20"/>
        </w:rPr>
        <w:t>the</w:t>
      </w:r>
      <w:r w:rsidRPr="005F489E">
        <w:rPr>
          <w:color w:val="231F20"/>
          <w:spacing w:val="-23"/>
        </w:rPr>
        <w:t xml:space="preserve"> </w:t>
      </w:r>
      <w:r w:rsidRPr="005F489E">
        <w:rPr>
          <w:color w:val="231F20"/>
        </w:rPr>
        <w:t>Regional</w:t>
      </w:r>
      <w:r w:rsidRPr="005F489E">
        <w:rPr>
          <w:color w:val="231F20"/>
          <w:spacing w:val="-22"/>
        </w:rPr>
        <w:t xml:space="preserve"> </w:t>
      </w:r>
      <w:r w:rsidRPr="005F489E">
        <w:rPr>
          <w:color w:val="231F20"/>
        </w:rPr>
        <w:t>level;</w:t>
      </w:r>
      <w:r w:rsidRPr="005F489E">
        <w:rPr>
          <w:color w:val="231F20"/>
          <w:spacing w:val="-22"/>
        </w:rPr>
        <w:t xml:space="preserve"> </w:t>
      </w:r>
      <w:r w:rsidRPr="005F489E">
        <w:rPr>
          <w:color w:val="231F20"/>
        </w:rPr>
        <w:t>like</w:t>
      </w:r>
      <w:r w:rsidRPr="005F489E">
        <w:rPr>
          <w:color w:val="231F20"/>
          <w:spacing w:val="-22"/>
        </w:rPr>
        <w:t xml:space="preserve"> </w:t>
      </w:r>
      <w:r w:rsidRPr="005F489E">
        <w:rPr>
          <w:color w:val="231F20"/>
        </w:rPr>
        <w:t>the</w:t>
      </w:r>
      <w:r w:rsidRPr="005F489E">
        <w:rPr>
          <w:color w:val="231F20"/>
          <w:spacing w:val="-34"/>
        </w:rPr>
        <w:t xml:space="preserve"> </w:t>
      </w:r>
      <w:r w:rsidRPr="005F489E">
        <w:rPr>
          <w:color w:val="231F20"/>
        </w:rPr>
        <w:t>Abuja</w:t>
      </w:r>
      <w:r w:rsidRPr="005F489E">
        <w:rPr>
          <w:color w:val="231F20"/>
          <w:spacing w:val="-22"/>
        </w:rPr>
        <w:t xml:space="preserve"> </w:t>
      </w:r>
      <w:r w:rsidRPr="005F489E">
        <w:rPr>
          <w:color w:val="231F20"/>
        </w:rPr>
        <w:t>2001</w:t>
      </w:r>
      <w:r w:rsidRPr="005F489E">
        <w:rPr>
          <w:color w:val="231F20"/>
          <w:spacing w:val="-22"/>
        </w:rPr>
        <w:t xml:space="preserve"> </w:t>
      </w:r>
      <w:r w:rsidRPr="005F489E">
        <w:rPr>
          <w:color w:val="231F20"/>
        </w:rPr>
        <w:t>Declaration</w:t>
      </w:r>
      <w:r w:rsidRPr="005F489E">
        <w:rPr>
          <w:color w:val="231F20"/>
          <w:spacing w:val="-22"/>
        </w:rPr>
        <w:t xml:space="preserve"> </w:t>
      </w:r>
      <w:r w:rsidRPr="005F489E">
        <w:rPr>
          <w:color w:val="231F20"/>
        </w:rPr>
        <w:t>and Abuja+12</w:t>
      </w:r>
      <w:r w:rsidRPr="005F489E">
        <w:rPr>
          <w:color w:val="231F20"/>
          <w:spacing w:val="-20"/>
        </w:rPr>
        <w:t xml:space="preserve"> </w:t>
      </w:r>
      <w:r w:rsidRPr="005F489E">
        <w:rPr>
          <w:color w:val="231F20"/>
        </w:rPr>
        <w:t>Declaration</w:t>
      </w:r>
      <w:r w:rsidRPr="005F489E">
        <w:rPr>
          <w:color w:val="231F20"/>
          <w:spacing w:val="-19"/>
        </w:rPr>
        <w:t xml:space="preserve"> </w:t>
      </w:r>
      <w:r w:rsidRPr="005F489E">
        <w:rPr>
          <w:color w:val="231F20"/>
        </w:rPr>
        <w:t>which</w:t>
      </w:r>
      <w:r w:rsidRPr="005F489E">
        <w:rPr>
          <w:color w:val="231F20"/>
          <w:spacing w:val="-19"/>
        </w:rPr>
        <w:t xml:space="preserve"> </w:t>
      </w:r>
      <w:r w:rsidRPr="005F489E">
        <w:rPr>
          <w:color w:val="231F20"/>
        </w:rPr>
        <w:t>committed</w:t>
      </w:r>
      <w:r w:rsidRPr="005F489E">
        <w:rPr>
          <w:color w:val="231F20"/>
          <w:spacing w:val="-19"/>
        </w:rPr>
        <w:t xml:space="preserve"> </w:t>
      </w:r>
      <w:r w:rsidRPr="005F489E">
        <w:rPr>
          <w:color w:val="231F20"/>
        </w:rPr>
        <w:t>the</w:t>
      </w:r>
      <w:r w:rsidRPr="005F489E">
        <w:rPr>
          <w:color w:val="231F20"/>
          <w:spacing w:val="-31"/>
        </w:rPr>
        <w:t xml:space="preserve"> </w:t>
      </w:r>
      <w:r w:rsidRPr="005F489E">
        <w:rPr>
          <w:color w:val="231F20"/>
        </w:rPr>
        <w:t>African</w:t>
      </w:r>
      <w:r w:rsidRPr="005F489E">
        <w:rPr>
          <w:color w:val="231F20"/>
          <w:spacing w:val="-19"/>
        </w:rPr>
        <w:t xml:space="preserve"> </w:t>
      </w:r>
      <w:r w:rsidRPr="005F489E">
        <w:rPr>
          <w:color w:val="231F20"/>
        </w:rPr>
        <w:t>Union</w:t>
      </w:r>
      <w:r w:rsidRPr="005F489E">
        <w:rPr>
          <w:color w:val="231F20"/>
          <w:spacing w:val="-19"/>
        </w:rPr>
        <w:t xml:space="preserve"> </w:t>
      </w:r>
      <w:r w:rsidRPr="005F489E">
        <w:rPr>
          <w:color w:val="231F20"/>
        </w:rPr>
        <w:t>Member</w:t>
      </w:r>
      <w:r w:rsidRPr="005F489E">
        <w:rPr>
          <w:color w:val="231F20"/>
          <w:spacing w:val="-19"/>
        </w:rPr>
        <w:t xml:space="preserve"> </w:t>
      </w:r>
      <w:r w:rsidRPr="005F489E">
        <w:rPr>
          <w:color w:val="231F20"/>
        </w:rPr>
        <w:t>States</w:t>
      </w:r>
      <w:r w:rsidRPr="005F489E">
        <w:rPr>
          <w:color w:val="231F20"/>
          <w:spacing w:val="-19"/>
        </w:rPr>
        <w:t xml:space="preserve"> </w:t>
      </w:r>
      <w:r w:rsidRPr="005F489E">
        <w:rPr>
          <w:color w:val="231F20"/>
        </w:rPr>
        <w:t>to</w:t>
      </w:r>
      <w:r w:rsidRPr="005F489E">
        <w:rPr>
          <w:color w:val="231F20"/>
          <w:spacing w:val="-19"/>
        </w:rPr>
        <w:t xml:space="preserve"> </w:t>
      </w:r>
      <w:r w:rsidRPr="005F489E">
        <w:rPr>
          <w:color w:val="231F20"/>
        </w:rPr>
        <w:t>allocate</w:t>
      </w:r>
      <w:r w:rsidRPr="005F489E">
        <w:rPr>
          <w:color w:val="231F20"/>
          <w:spacing w:val="-19"/>
        </w:rPr>
        <w:t xml:space="preserve"> </w:t>
      </w:r>
      <w:r w:rsidRPr="005F489E">
        <w:rPr>
          <w:color w:val="231F20"/>
        </w:rPr>
        <w:t>at</w:t>
      </w:r>
      <w:r w:rsidRPr="005F489E">
        <w:rPr>
          <w:color w:val="231F20"/>
          <w:spacing w:val="-19"/>
        </w:rPr>
        <w:t xml:space="preserve"> </w:t>
      </w:r>
      <w:r w:rsidRPr="005F489E">
        <w:rPr>
          <w:color w:val="231F20"/>
        </w:rPr>
        <w:t>least</w:t>
      </w:r>
      <w:r w:rsidRPr="005F489E">
        <w:rPr>
          <w:color w:val="231F20"/>
          <w:spacing w:val="-19"/>
        </w:rPr>
        <w:t xml:space="preserve"> </w:t>
      </w:r>
      <w:r w:rsidRPr="005F489E">
        <w:rPr>
          <w:color w:val="231F20"/>
        </w:rPr>
        <w:t>15%</w:t>
      </w:r>
      <w:r w:rsidRPr="005F489E">
        <w:rPr>
          <w:color w:val="231F20"/>
          <w:spacing w:val="-19"/>
        </w:rPr>
        <w:t xml:space="preserve"> </w:t>
      </w:r>
      <w:r w:rsidRPr="005F489E">
        <w:rPr>
          <w:color w:val="231F20"/>
          <w:spacing w:val="-7"/>
        </w:rPr>
        <w:t xml:space="preserve">of </w:t>
      </w:r>
      <w:r w:rsidRPr="005F489E">
        <w:rPr>
          <w:color w:val="231F20"/>
        </w:rPr>
        <w:t xml:space="preserve">their annual national budget to health and the Common African Position (CAP) on the Post </w:t>
      </w:r>
      <w:r w:rsidRPr="005F489E">
        <w:rPr>
          <w:color w:val="231F20"/>
          <w:spacing w:val="-3"/>
        </w:rPr>
        <w:t xml:space="preserve">2015 </w:t>
      </w:r>
      <w:r w:rsidRPr="005F489E">
        <w:rPr>
          <w:color w:val="231F20"/>
        </w:rPr>
        <w:t>Agenda (African Union 2</w:t>
      </w:r>
      <w:r>
        <w:rPr>
          <w:color w:val="231F20"/>
        </w:rPr>
        <w:t>014)which seeks to achieve universal and equitable access to quality health care on the continent, prioritizing improvement in MNCH, enhanced access to sexual and reproductive</w:t>
      </w:r>
      <w:r>
        <w:rPr>
          <w:color w:val="231F20"/>
          <w:spacing w:val="-13"/>
        </w:rPr>
        <w:t xml:space="preserve"> </w:t>
      </w:r>
      <w:r>
        <w:rPr>
          <w:color w:val="231F20"/>
        </w:rPr>
        <w:t>health</w:t>
      </w:r>
      <w:r>
        <w:rPr>
          <w:color w:val="231F20"/>
          <w:spacing w:val="-12"/>
        </w:rPr>
        <w:t xml:space="preserve"> </w:t>
      </w:r>
      <w:r>
        <w:rPr>
          <w:color w:val="231F20"/>
        </w:rPr>
        <w:t>and</w:t>
      </w:r>
      <w:r>
        <w:rPr>
          <w:color w:val="231F20"/>
          <w:spacing w:val="-12"/>
        </w:rPr>
        <w:t xml:space="preserve"> </w:t>
      </w:r>
      <w:r>
        <w:rPr>
          <w:color w:val="231F20"/>
        </w:rPr>
        <w:t>family</w:t>
      </w:r>
      <w:r>
        <w:rPr>
          <w:color w:val="231F20"/>
          <w:spacing w:val="-12"/>
        </w:rPr>
        <w:t xml:space="preserve"> </w:t>
      </w:r>
      <w:r>
        <w:rPr>
          <w:color w:val="231F20"/>
        </w:rPr>
        <w:t>planning,</w:t>
      </w:r>
      <w:r>
        <w:rPr>
          <w:color w:val="231F20"/>
          <w:spacing w:val="-12"/>
        </w:rPr>
        <w:t xml:space="preserve"> </w:t>
      </w:r>
      <w:r>
        <w:rPr>
          <w:color w:val="231F20"/>
        </w:rPr>
        <w:t>with</w:t>
      </w:r>
      <w:r>
        <w:rPr>
          <w:color w:val="231F20"/>
          <w:spacing w:val="-12"/>
        </w:rPr>
        <w:t xml:space="preserve"> </w:t>
      </w:r>
      <w:r>
        <w:rPr>
          <w:color w:val="231F20"/>
        </w:rPr>
        <w:t>special</w:t>
      </w:r>
      <w:r>
        <w:rPr>
          <w:color w:val="231F20"/>
          <w:spacing w:val="-12"/>
        </w:rPr>
        <w:t xml:space="preserve"> </w:t>
      </w:r>
      <w:r>
        <w:rPr>
          <w:color w:val="231F20"/>
        </w:rPr>
        <w:t>focus</w:t>
      </w:r>
      <w:r>
        <w:rPr>
          <w:color w:val="231F20"/>
          <w:spacing w:val="-13"/>
        </w:rPr>
        <w:t xml:space="preserve"> </w:t>
      </w:r>
      <w:r>
        <w:rPr>
          <w:color w:val="231F20"/>
        </w:rPr>
        <w:t>on</w:t>
      </w:r>
      <w:r>
        <w:rPr>
          <w:color w:val="231F20"/>
          <w:spacing w:val="-12"/>
        </w:rPr>
        <w:t xml:space="preserve"> </w:t>
      </w:r>
      <w:r>
        <w:rPr>
          <w:color w:val="231F20"/>
        </w:rPr>
        <w:t>vulnerable</w:t>
      </w:r>
      <w:r>
        <w:rPr>
          <w:color w:val="231F20"/>
          <w:spacing w:val="-12"/>
        </w:rPr>
        <w:t xml:space="preserve"> </w:t>
      </w:r>
      <w:r>
        <w:rPr>
          <w:color w:val="231F20"/>
        </w:rPr>
        <w:t>groups,</w:t>
      </w:r>
      <w:r>
        <w:rPr>
          <w:color w:val="231F20"/>
          <w:spacing w:val="-12"/>
        </w:rPr>
        <w:t xml:space="preserve"> </w:t>
      </w:r>
      <w:r>
        <w:rPr>
          <w:color w:val="231F20"/>
        </w:rPr>
        <w:t>including</w:t>
      </w:r>
      <w:r>
        <w:rPr>
          <w:color w:val="231F20"/>
          <w:spacing w:val="-12"/>
        </w:rPr>
        <w:t xml:space="preserve"> </w:t>
      </w:r>
      <w:r>
        <w:rPr>
          <w:color w:val="231F20"/>
        </w:rPr>
        <w:t>youths, unemployed,</w:t>
      </w:r>
      <w:r>
        <w:rPr>
          <w:color w:val="231F20"/>
          <w:spacing w:val="-9"/>
        </w:rPr>
        <w:t xml:space="preserve"> </w:t>
      </w:r>
      <w:r>
        <w:rPr>
          <w:color w:val="231F20"/>
        </w:rPr>
        <w:t>children,</w:t>
      </w:r>
      <w:r>
        <w:rPr>
          <w:color w:val="231F20"/>
          <w:spacing w:val="-8"/>
        </w:rPr>
        <w:t xml:space="preserve"> </w:t>
      </w:r>
      <w:r>
        <w:rPr>
          <w:color w:val="231F20"/>
        </w:rPr>
        <w:t>elderly</w:t>
      </w:r>
      <w:r>
        <w:rPr>
          <w:color w:val="231F20"/>
          <w:spacing w:val="-9"/>
        </w:rPr>
        <w:t xml:space="preserve"> </w:t>
      </w:r>
      <w:r>
        <w:rPr>
          <w:color w:val="231F20"/>
        </w:rPr>
        <w:t>and</w:t>
      </w:r>
      <w:r>
        <w:rPr>
          <w:color w:val="231F20"/>
          <w:spacing w:val="-8"/>
        </w:rPr>
        <w:t xml:space="preserve"> </w:t>
      </w:r>
      <w:r>
        <w:rPr>
          <w:color w:val="231F20"/>
        </w:rPr>
        <w:t>people</w:t>
      </w:r>
      <w:r>
        <w:rPr>
          <w:color w:val="231F20"/>
          <w:spacing w:val="-8"/>
        </w:rPr>
        <w:t xml:space="preserve"> </w:t>
      </w:r>
      <w:r>
        <w:rPr>
          <w:color w:val="231F20"/>
        </w:rPr>
        <w:t>with</w:t>
      </w:r>
      <w:r>
        <w:rPr>
          <w:color w:val="231F20"/>
          <w:spacing w:val="-9"/>
        </w:rPr>
        <w:t xml:space="preserve"> </w:t>
      </w:r>
      <w:r>
        <w:rPr>
          <w:color w:val="231F20"/>
        </w:rPr>
        <w:t>disabilities;</w:t>
      </w:r>
      <w:r>
        <w:rPr>
          <w:color w:val="231F20"/>
          <w:spacing w:val="-8"/>
        </w:rPr>
        <w:t xml:space="preserve"> </w:t>
      </w:r>
      <w:r>
        <w:rPr>
          <w:color w:val="231F20"/>
        </w:rPr>
        <w:t>reduction</w:t>
      </w:r>
      <w:r>
        <w:rPr>
          <w:color w:val="231F20"/>
          <w:spacing w:val="-9"/>
        </w:rPr>
        <w:t xml:space="preserve"> </w:t>
      </w:r>
      <w:r>
        <w:rPr>
          <w:color w:val="231F20"/>
        </w:rPr>
        <w:t>in</w:t>
      </w:r>
      <w:r>
        <w:rPr>
          <w:color w:val="231F20"/>
          <w:spacing w:val="-8"/>
        </w:rPr>
        <w:t xml:space="preserve"> </w:t>
      </w:r>
      <w:r>
        <w:rPr>
          <w:color w:val="231F20"/>
        </w:rPr>
        <w:t>incidence</w:t>
      </w:r>
      <w:r>
        <w:rPr>
          <w:color w:val="231F20"/>
          <w:spacing w:val="-8"/>
        </w:rPr>
        <w:t xml:space="preserve"> </w:t>
      </w:r>
      <w:r>
        <w:rPr>
          <w:color w:val="231F20"/>
        </w:rPr>
        <w:t>of</w:t>
      </w:r>
      <w:r>
        <w:rPr>
          <w:color w:val="231F20"/>
          <w:spacing w:val="-9"/>
        </w:rPr>
        <w:t xml:space="preserve"> </w:t>
      </w:r>
      <w:r>
        <w:rPr>
          <w:color w:val="231F20"/>
          <w:spacing w:val="-2"/>
        </w:rPr>
        <w:t xml:space="preserve">communicable </w:t>
      </w:r>
      <w:r>
        <w:rPr>
          <w:color w:val="231F20"/>
        </w:rPr>
        <w:t>diseases</w:t>
      </w:r>
      <w:r>
        <w:rPr>
          <w:color w:val="231F20"/>
          <w:spacing w:val="-7"/>
        </w:rPr>
        <w:t xml:space="preserve"> </w:t>
      </w:r>
      <w:r>
        <w:rPr>
          <w:color w:val="231F20"/>
        </w:rPr>
        <w:t>(HIV/AIDS,</w:t>
      </w:r>
      <w:r>
        <w:rPr>
          <w:color w:val="231F20"/>
          <w:spacing w:val="-6"/>
        </w:rPr>
        <w:t xml:space="preserve"> </w:t>
      </w:r>
      <w:r>
        <w:rPr>
          <w:color w:val="231F20"/>
        </w:rPr>
        <w:t>malaria</w:t>
      </w:r>
      <w:r>
        <w:rPr>
          <w:color w:val="231F20"/>
          <w:spacing w:val="-6"/>
        </w:rPr>
        <w:t xml:space="preserve"> </w:t>
      </w:r>
      <w:r>
        <w:rPr>
          <w:color w:val="231F20"/>
        </w:rPr>
        <w:t>and</w:t>
      </w:r>
      <w:r>
        <w:rPr>
          <w:color w:val="231F20"/>
          <w:spacing w:val="-10"/>
        </w:rPr>
        <w:t xml:space="preserve"> </w:t>
      </w:r>
      <w:r>
        <w:rPr>
          <w:color w:val="231F20"/>
        </w:rPr>
        <w:t>TB),</w:t>
      </w:r>
      <w:r>
        <w:rPr>
          <w:color w:val="231F20"/>
          <w:spacing w:val="-6"/>
        </w:rPr>
        <w:t xml:space="preserve"> </w:t>
      </w:r>
      <w:r>
        <w:rPr>
          <w:color w:val="231F20"/>
        </w:rPr>
        <w:t>and</w:t>
      </w:r>
      <w:r>
        <w:rPr>
          <w:color w:val="231F20"/>
          <w:spacing w:val="-6"/>
        </w:rPr>
        <w:t xml:space="preserve"> </w:t>
      </w:r>
      <w:r>
        <w:rPr>
          <w:color w:val="231F20"/>
        </w:rPr>
        <w:t>NCDs</w:t>
      </w:r>
      <w:r>
        <w:rPr>
          <w:color w:val="231F20"/>
          <w:spacing w:val="-7"/>
        </w:rPr>
        <w:t xml:space="preserve"> </w:t>
      </w:r>
      <w:r>
        <w:rPr>
          <w:color w:val="231F20"/>
        </w:rPr>
        <w:t>including</w:t>
      </w:r>
      <w:r>
        <w:rPr>
          <w:color w:val="231F20"/>
          <w:spacing w:val="-6"/>
        </w:rPr>
        <w:t xml:space="preserve"> </w:t>
      </w:r>
      <w:r>
        <w:rPr>
          <w:color w:val="231F20"/>
        </w:rPr>
        <w:t>mental</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emerging</w:t>
      </w:r>
      <w:r>
        <w:rPr>
          <w:color w:val="231F20"/>
          <w:spacing w:val="-6"/>
        </w:rPr>
        <w:t xml:space="preserve"> </w:t>
      </w:r>
      <w:r>
        <w:rPr>
          <w:color w:val="231F20"/>
        </w:rPr>
        <w:t>diseases; as well as strengthening health systems, including health financing, improved hygiene and sanitation</w:t>
      </w:r>
      <w:r>
        <w:rPr>
          <w:color w:val="231F20"/>
          <w:spacing w:val="-26"/>
        </w:rPr>
        <w:t xml:space="preserve"> </w:t>
      </w:r>
      <w:r>
        <w:rPr>
          <w:color w:val="231F20"/>
        </w:rPr>
        <w:t>and</w:t>
      </w:r>
      <w:r>
        <w:rPr>
          <w:color w:val="231F20"/>
          <w:spacing w:val="37"/>
        </w:rPr>
        <w:t xml:space="preserve"> </w:t>
      </w:r>
      <w:r>
        <w:rPr>
          <w:color w:val="231F20"/>
        </w:rPr>
        <w:t>improving</w:t>
      </w:r>
      <w:r>
        <w:rPr>
          <w:color w:val="231F20"/>
          <w:spacing w:val="-26"/>
        </w:rPr>
        <w:t xml:space="preserve"> </w:t>
      </w:r>
      <w:r>
        <w:rPr>
          <w:color w:val="231F20"/>
        </w:rPr>
        <w:t>monitoring</w:t>
      </w:r>
      <w:r>
        <w:rPr>
          <w:color w:val="231F20"/>
          <w:spacing w:val="-25"/>
        </w:rPr>
        <w:t xml:space="preserve"> </w:t>
      </w:r>
      <w:r>
        <w:rPr>
          <w:color w:val="231F20"/>
        </w:rPr>
        <w:t>and</w:t>
      </w:r>
      <w:r>
        <w:rPr>
          <w:color w:val="231F20"/>
          <w:spacing w:val="-25"/>
        </w:rPr>
        <w:t xml:space="preserve"> </w:t>
      </w:r>
      <w:r>
        <w:rPr>
          <w:color w:val="231F20"/>
        </w:rPr>
        <w:t>evaluation</w:t>
      </w:r>
      <w:r>
        <w:rPr>
          <w:color w:val="231F20"/>
          <w:spacing w:val="-25"/>
        </w:rPr>
        <w:t xml:space="preserve"> </w:t>
      </w:r>
      <w:r>
        <w:rPr>
          <w:color w:val="231F20"/>
        </w:rPr>
        <w:t>and</w:t>
      </w:r>
      <w:r>
        <w:rPr>
          <w:color w:val="231F20"/>
          <w:spacing w:val="-25"/>
        </w:rPr>
        <w:t xml:space="preserve"> </w:t>
      </w:r>
      <w:r>
        <w:rPr>
          <w:color w:val="231F20"/>
        </w:rPr>
        <w:t>quality</w:t>
      </w:r>
      <w:r>
        <w:rPr>
          <w:color w:val="231F20"/>
          <w:spacing w:val="-25"/>
        </w:rPr>
        <w:t xml:space="preserve"> </w:t>
      </w:r>
      <w:r>
        <w:rPr>
          <w:color w:val="231F20"/>
        </w:rPr>
        <w:t>assurance</w:t>
      </w:r>
      <w:r>
        <w:rPr>
          <w:color w:val="231F20"/>
          <w:spacing w:val="-25"/>
        </w:rPr>
        <w:t xml:space="preserve"> </w:t>
      </w:r>
      <w:r>
        <w:rPr>
          <w:color w:val="231F20"/>
        </w:rPr>
        <w:t>systems.</w:t>
      </w:r>
    </w:p>
    <w:p w14:paraId="27EFF589" w14:textId="77777777" w:rsidR="009948F1" w:rsidRDefault="009948F1">
      <w:pPr>
        <w:pStyle w:val="BodyText"/>
        <w:spacing w:before="6"/>
        <w:rPr>
          <w:sz w:val="27"/>
        </w:rPr>
      </w:pPr>
    </w:p>
    <w:p w14:paraId="3BAB40F7" w14:textId="41689838" w:rsidR="009948F1" w:rsidRDefault="00BC0563">
      <w:pPr>
        <w:pStyle w:val="BodyText"/>
        <w:spacing w:before="1" w:line="295" w:lineRule="auto"/>
        <w:ind w:left="139" w:right="148"/>
        <w:jc w:val="both"/>
      </w:pPr>
      <w:r>
        <w:rPr>
          <w:color w:val="231F20"/>
        </w:rPr>
        <w:t xml:space="preserve">The attainment of Sustainable Development Goals 2016-2030 (SDGs) especially SDG three is </w:t>
      </w:r>
      <w:r>
        <w:rPr>
          <w:color w:val="231F20"/>
          <w:spacing w:val="-15"/>
        </w:rPr>
        <w:t xml:space="preserve">a </w:t>
      </w:r>
      <w:r>
        <w:rPr>
          <w:color w:val="231F20"/>
        </w:rPr>
        <w:t>priority</w:t>
      </w:r>
      <w:r>
        <w:rPr>
          <w:color w:val="231F20"/>
          <w:spacing w:val="-15"/>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health</w:t>
      </w:r>
      <w:r>
        <w:rPr>
          <w:color w:val="231F20"/>
          <w:spacing w:val="-15"/>
        </w:rPr>
        <w:t xml:space="preserve"> </w:t>
      </w:r>
      <w:r>
        <w:rPr>
          <w:color w:val="231F20"/>
        </w:rPr>
        <w:t>sector.</w:t>
      </w:r>
      <w:r>
        <w:rPr>
          <w:color w:val="231F20"/>
          <w:spacing w:val="-14"/>
        </w:rPr>
        <w:t xml:space="preserve"> </w:t>
      </w:r>
      <w:r>
        <w:rPr>
          <w:color w:val="231F20"/>
        </w:rPr>
        <w:t>SDG</w:t>
      </w:r>
      <w:r>
        <w:rPr>
          <w:color w:val="231F20"/>
          <w:spacing w:val="-15"/>
        </w:rPr>
        <w:t xml:space="preserve"> </w:t>
      </w:r>
      <w:r>
        <w:rPr>
          <w:color w:val="231F20"/>
        </w:rPr>
        <w:t>3</w:t>
      </w:r>
      <w:r>
        <w:rPr>
          <w:color w:val="231F20"/>
          <w:spacing w:val="-15"/>
        </w:rPr>
        <w:t xml:space="preserve"> </w:t>
      </w:r>
      <w:r>
        <w:rPr>
          <w:color w:val="231F20"/>
        </w:rPr>
        <w:t>focuses</w:t>
      </w:r>
      <w:r>
        <w:rPr>
          <w:color w:val="231F20"/>
          <w:spacing w:val="-14"/>
        </w:rPr>
        <w:t xml:space="preserve"> </w:t>
      </w:r>
      <w:r>
        <w:rPr>
          <w:color w:val="231F20"/>
        </w:rPr>
        <w:t>on</w:t>
      </w:r>
      <w:r>
        <w:rPr>
          <w:color w:val="231F20"/>
          <w:spacing w:val="-15"/>
        </w:rPr>
        <w:t xml:space="preserve"> </w:t>
      </w:r>
      <w:r>
        <w:rPr>
          <w:color w:val="231F20"/>
        </w:rPr>
        <w:t>health</w:t>
      </w:r>
      <w:r>
        <w:rPr>
          <w:color w:val="231F20"/>
          <w:spacing w:val="-14"/>
        </w:rPr>
        <w:t xml:space="preserve"> </w:t>
      </w:r>
      <w:r>
        <w:rPr>
          <w:color w:val="231F20"/>
        </w:rPr>
        <w:t>and</w:t>
      </w:r>
      <w:r>
        <w:rPr>
          <w:color w:val="231F20"/>
          <w:spacing w:val="-15"/>
        </w:rPr>
        <w:t xml:space="preserve"> </w:t>
      </w:r>
      <w:r>
        <w:rPr>
          <w:color w:val="231F20"/>
        </w:rPr>
        <w:t>has</w:t>
      </w:r>
      <w:r>
        <w:rPr>
          <w:color w:val="231F20"/>
          <w:spacing w:val="-15"/>
        </w:rPr>
        <w:t xml:space="preserve"> </w:t>
      </w:r>
      <w:r>
        <w:rPr>
          <w:color w:val="231F20"/>
        </w:rPr>
        <w:t>as</w:t>
      </w:r>
      <w:r>
        <w:rPr>
          <w:color w:val="231F20"/>
          <w:spacing w:val="-14"/>
        </w:rPr>
        <w:t xml:space="preserve"> </w:t>
      </w:r>
      <w:r>
        <w:rPr>
          <w:color w:val="231F20"/>
        </w:rPr>
        <w:t>a</w:t>
      </w:r>
      <w:r>
        <w:rPr>
          <w:color w:val="231F20"/>
          <w:spacing w:val="-15"/>
        </w:rPr>
        <w:t xml:space="preserve"> </w:t>
      </w:r>
      <w:r>
        <w:rPr>
          <w:color w:val="231F20"/>
        </w:rPr>
        <w:t>goal</w:t>
      </w:r>
      <w:r>
        <w:rPr>
          <w:color w:val="231F20"/>
          <w:spacing w:val="-14"/>
        </w:rPr>
        <w:t xml:space="preserve"> </w:t>
      </w:r>
      <w:r>
        <w:rPr>
          <w:color w:val="231F20"/>
        </w:rPr>
        <w:t>to</w:t>
      </w:r>
      <w:r>
        <w:rPr>
          <w:color w:val="231F20"/>
          <w:spacing w:val="-15"/>
        </w:rPr>
        <w:t xml:space="preserve"> </w:t>
      </w:r>
      <w:r>
        <w:rPr>
          <w:color w:val="231F20"/>
        </w:rPr>
        <w:t>'</w:t>
      </w:r>
      <w:r>
        <w:rPr>
          <w:i/>
          <w:color w:val="231F20"/>
        </w:rPr>
        <w:t>Ensure</w:t>
      </w:r>
      <w:r>
        <w:rPr>
          <w:i/>
          <w:color w:val="231F20"/>
          <w:spacing w:val="-15"/>
        </w:rPr>
        <w:t xml:space="preserve"> </w:t>
      </w:r>
      <w:r>
        <w:rPr>
          <w:i/>
          <w:color w:val="231F20"/>
        </w:rPr>
        <w:t>healthy</w:t>
      </w:r>
      <w:r>
        <w:rPr>
          <w:i/>
          <w:color w:val="231F20"/>
          <w:spacing w:val="-14"/>
        </w:rPr>
        <w:t xml:space="preserve"> </w:t>
      </w:r>
      <w:r>
        <w:rPr>
          <w:i/>
          <w:color w:val="231F20"/>
        </w:rPr>
        <w:t>lives</w:t>
      </w:r>
      <w:r>
        <w:rPr>
          <w:i/>
          <w:color w:val="231F20"/>
          <w:spacing w:val="-15"/>
        </w:rPr>
        <w:t xml:space="preserve"> </w:t>
      </w:r>
      <w:r>
        <w:rPr>
          <w:i/>
          <w:color w:val="231F20"/>
          <w:spacing w:val="-5"/>
        </w:rPr>
        <w:t xml:space="preserve">and </w:t>
      </w:r>
      <w:r>
        <w:rPr>
          <w:i/>
          <w:color w:val="231F20"/>
        </w:rPr>
        <w:t xml:space="preserve">wellbeing for all ages' </w:t>
      </w:r>
      <w:r>
        <w:rPr>
          <w:color w:val="231F20"/>
        </w:rPr>
        <w:t>with 13 targets that include the “unfinished Millennium Development Goal agenda”</w:t>
      </w:r>
      <w:r>
        <w:rPr>
          <w:color w:val="231F20"/>
          <w:spacing w:val="-9"/>
        </w:rPr>
        <w:t xml:space="preserve"> </w:t>
      </w:r>
      <w:r>
        <w:rPr>
          <w:color w:val="231F20"/>
        </w:rPr>
        <w:t>from</w:t>
      </w:r>
      <w:r>
        <w:rPr>
          <w:color w:val="231F20"/>
          <w:spacing w:val="-8"/>
        </w:rPr>
        <w:t xml:space="preserve"> </w:t>
      </w:r>
      <w:r>
        <w:rPr>
          <w:color w:val="231F20"/>
        </w:rPr>
        <w:t>MDG.</w:t>
      </w:r>
      <w:r>
        <w:rPr>
          <w:color w:val="231F20"/>
          <w:spacing w:val="-8"/>
        </w:rPr>
        <w:t xml:space="preserve"> </w:t>
      </w:r>
      <w:r>
        <w:rPr>
          <w:color w:val="231F20"/>
        </w:rPr>
        <w:t>New</w:t>
      </w:r>
      <w:r>
        <w:rPr>
          <w:color w:val="231F20"/>
          <w:spacing w:val="-8"/>
        </w:rPr>
        <w:t xml:space="preserve"> </w:t>
      </w:r>
      <w:r>
        <w:rPr>
          <w:color w:val="231F20"/>
        </w:rPr>
        <w:t>targets</w:t>
      </w:r>
      <w:r>
        <w:rPr>
          <w:color w:val="231F20"/>
          <w:spacing w:val="-8"/>
        </w:rPr>
        <w:t xml:space="preserve"> </w:t>
      </w:r>
      <w:r>
        <w:rPr>
          <w:color w:val="231F20"/>
        </w:rPr>
        <w:t>to</w:t>
      </w:r>
      <w:r>
        <w:rPr>
          <w:color w:val="231F20"/>
          <w:spacing w:val="-8"/>
        </w:rPr>
        <w:t xml:space="preserve"> </w:t>
      </w:r>
      <w:r>
        <w:rPr>
          <w:color w:val="231F20"/>
        </w:rPr>
        <w:t>address</w:t>
      </w:r>
      <w:r>
        <w:rPr>
          <w:color w:val="231F20"/>
          <w:spacing w:val="-8"/>
        </w:rPr>
        <w:t xml:space="preserve"> </w:t>
      </w:r>
      <w:r>
        <w:rPr>
          <w:color w:val="231F20"/>
        </w:rPr>
        <w:t>the</w:t>
      </w:r>
      <w:r>
        <w:rPr>
          <w:color w:val="231F20"/>
          <w:spacing w:val="-8"/>
        </w:rPr>
        <w:t xml:space="preserve"> </w:t>
      </w:r>
      <w:r>
        <w:rPr>
          <w:color w:val="231F20"/>
        </w:rPr>
        <w:t>other</w:t>
      </w:r>
      <w:r>
        <w:rPr>
          <w:color w:val="231F20"/>
          <w:spacing w:val="-8"/>
        </w:rPr>
        <w:t xml:space="preserve"> </w:t>
      </w:r>
      <w:r>
        <w:rPr>
          <w:color w:val="231F20"/>
        </w:rPr>
        <w:t>health</w:t>
      </w:r>
      <w:r>
        <w:rPr>
          <w:color w:val="231F20"/>
          <w:spacing w:val="-8"/>
        </w:rPr>
        <w:t xml:space="preserve"> </w:t>
      </w:r>
      <w:r>
        <w:rPr>
          <w:color w:val="231F20"/>
        </w:rPr>
        <w:t>threats</w:t>
      </w:r>
      <w:r>
        <w:rPr>
          <w:color w:val="231F20"/>
          <w:spacing w:val="-8"/>
        </w:rPr>
        <w:t xml:space="preserve"> </w:t>
      </w:r>
      <w:r>
        <w:rPr>
          <w:color w:val="231F20"/>
        </w:rPr>
        <w:t>and</w:t>
      </w:r>
      <w:r>
        <w:rPr>
          <w:color w:val="231F20"/>
          <w:spacing w:val="-8"/>
        </w:rPr>
        <w:t xml:space="preserve"> </w:t>
      </w:r>
      <w:r>
        <w:rPr>
          <w:color w:val="231F20"/>
        </w:rPr>
        <w:t>challenges</w:t>
      </w:r>
      <w:r>
        <w:rPr>
          <w:color w:val="231F20"/>
          <w:spacing w:val="-8"/>
        </w:rPr>
        <w:t xml:space="preserve"> </w:t>
      </w:r>
      <w:r>
        <w:rPr>
          <w:color w:val="231F20"/>
        </w:rPr>
        <w:t>that</w:t>
      </w:r>
      <w:r>
        <w:rPr>
          <w:color w:val="231F20"/>
          <w:spacing w:val="-8"/>
        </w:rPr>
        <w:t xml:space="preserve"> </w:t>
      </w:r>
      <w:r>
        <w:rPr>
          <w:color w:val="231F20"/>
        </w:rPr>
        <w:t>cover</w:t>
      </w:r>
      <w:r>
        <w:rPr>
          <w:color w:val="231F20"/>
          <w:spacing w:val="-9"/>
        </w:rPr>
        <w:t xml:space="preserve"> </w:t>
      </w:r>
      <w:r>
        <w:rPr>
          <w:color w:val="231F20"/>
        </w:rPr>
        <w:t xml:space="preserve">the means of implementation are also addressed. It is worthy to note that the lack of universal </w:t>
      </w:r>
      <w:r>
        <w:rPr>
          <w:color w:val="231F20"/>
          <w:spacing w:val="-3"/>
        </w:rPr>
        <w:t xml:space="preserve">health </w:t>
      </w:r>
      <w:r>
        <w:rPr>
          <w:color w:val="231F20"/>
        </w:rPr>
        <w:t>coverage</w:t>
      </w:r>
      <w:r>
        <w:rPr>
          <w:color w:val="231F20"/>
          <w:spacing w:val="-21"/>
        </w:rPr>
        <w:t xml:space="preserve"> </w:t>
      </w:r>
      <w:r>
        <w:rPr>
          <w:color w:val="231F20"/>
        </w:rPr>
        <w:t>and</w:t>
      </w:r>
      <w:r>
        <w:rPr>
          <w:color w:val="231F20"/>
          <w:spacing w:val="-20"/>
        </w:rPr>
        <w:t xml:space="preserve"> </w:t>
      </w:r>
      <w:r>
        <w:rPr>
          <w:color w:val="231F20"/>
        </w:rPr>
        <w:t>financing</w:t>
      </w:r>
      <w:r>
        <w:rPr>
          <w:color w:val="231F20"/>
          <w:spacing w:val="-20"/>
        </w:rPr>
        <w:t xml:space="preserve"> </w:t>
      </w:r>
      <w:r>
        <w:rPr>
          <w:color w:val="231F20"/>
        </w:rPr>
        <w:t>gaps</w:t>
      </w:r>
      <w:r>
        <w:rPr>
          <w:color w:val="231F20"/>
          <w:spacing w:val="-20"/>
        </w:rPr>
        <w:t xml:space="preserve"> </w:t>
      </w:r>
      <w:r>
        <w:rPr>
          <w:color w:val="231F20"/>
        </w:rPr>
        <w:t>were</w:t>
      </w:r>
      <w:r>
        <w:rPr>
          <w:color w:val="231F20"/>
          <w:spacing w:val="-20"/>
        </w:rPr>
        <w:t xml:space="preserve"> </w:t>
      </w:r>
      <w:r>
        <w:rPr>
          <w:color w:val="231F20"/>
        </w:rPr>
        <w:t>identified</w:t>
      </w:r>
      <w:r>
        <w:rPr>
          <w:color w:val="231F20"/>
          <w:spacing w:val="-20"/>
        </w:rPr>
        <w:t xml:space="preserve"> </w:t>
      </w:r>
      <w:r>
        <w:rPr>
          <w:color w:val="231F20"/>
        </w:rPr>
        <w:t>as</w:t>
      </w:r>
      <w:r>
        <w:rPr>
          <w:color w:val="231F20"/>
          <w:spacing w:val="-20"/>
        </w:rPr>
        <w:t xml:space="preserve"> </w:t>
      </w:r>
      <w:r>
        <w:rPr>
          <w:color w:val="231F20"/>
        </w:rPr>
        <w:t>the</w:t>
      </w:r>
      <w:r>
        <w:rPr>
          <w:color w:val="231F20"/>
          <w:spacing w:val="-20"/>
        </w:rPr>
        <w:t xml:space="preserve"> </w:t>
      </w:r>
      <w:r>
        <w:rPr>
          <w:color w:val="231F20"/>
        </w:rPr>
        <w:t>major</w:t>
      </w:r>
      <w:r>
        <w:rPr>
          <w:color w:val="231F20"/>
          <w:spacing w:val="-20"/>
        </w:rPr>
        <w:t xml:space="preserve"> </w:t>
      </w:r>
      <w:r>
        <w:rPr>
          <w:color w:val="231F20"/>
        </w:rPr>
        <w:t>factors</w:t>
      </w:r>
      <w:r>
        <w:rPr>
          <w:color w:val="231F20"/>
          <w:spacing w:val="-20"/>
        </w:rPr>
        <w:t xml:space="preserve"> </w:t>
      </w:r>
      <w:r>
        <w:rPr>
          <w:color w:val="231F20"/>
        </w:rPr>
        <w:t>militating</w:t>
      </w:r>
      <w:r>
        <w:rPr>
          <w:color w:val="231F20"/>
          <w:spacing w:val="-21"/>
        </w:rPr>
        <w:t xml:space="preserve"> </w:t>
      </w:r>
      <w:r>
        <w:rPr>
          <w:color w:val="231F20"/>
        </w:rPr>
        <w:t>against</w:t>
      </w:r>
      <w:r>
        <w:rPr>
          <w:color w:val="231F20"/>
          <w:spacing w:val="-20"/>
        </w:rPr>
        <w:t xml:space="preserve"> </w:t>
      </w:r>
      <w:r>
        <w:rPr>
          <w:color w:val="231F20"/>
        </w:rPr>
        <w:t>the</w:t>
      </w:r>
      <w:r>
        <w:rPr>
          <w:color w:val="231F20"/>
          <w:spacing w:val="-20"/>
        </w:rPr>
        <w:t xml:space="preserve"> </w:t>
      </w:r>
      <w:r>
        <w:rPr>
          <w:color w:val="231F20"/>
        </w:rPr>
        <w:t>attainment</w:t>
      </w:r>
      <w:r>
        <w:rPr>
          <w:color w:val="231F20"/>
          <w:spacing w:val="-20"/>
        </w:rPr>
        <w:t xml:space="preserve"> </w:t>
      </w:r>
      <w:r>
        <w:rPr>
          <w:color w:val="231F20"/>
        </w:rPr>
        <w:t xml:space="preserve">of health-related MDGs in low and Middle-Income Countries (LMIC). The need to address the </w:t>
      </w:r>
      <w:r>
        <w:rPr>
          <w:color w:val="231F20"/>
          <w:spacing w:val="-4"/>
        </w:rPr>
        <w:t xml:space="preserve">on- </w:t>
      </w:r>
      <w:r>
        <w:rPr>
          <w:color w:val="231F20"/>
        </w:rPr>
        <w:t xml:space="preserve">going public health challenges of acute epidemic diseases, disasters and conflict situations, </w:t>
      </w:r>
      <w:r>
        <w:rPr>
          <w:color w:val="231F20"/>
          <w:spacing w:val="-5"/>
        </w:rPr>
        <w:t xml:space="preserve">the </w:t>
      </w:r>
      <w:r>
        <w:rPr>
          <w:color w:val="231F20"/>
        </w:rPr>
        <w:t>burgeoning epidemic of non-communicable diseases,</w:t>
      </w:r>
      <w:r w:rsidR="005F489E">
        <w:rPr>
          <w:color w:val="231F20"/>
        </w:rPr>
        <w:t xml:space="preserve"> </w:t>
      </w:r>
      <w:r>
        <w:rPr>
          <w:color w:val="231F20"/>
        </w:rPr>
        <w:t xml:space="preserve">including mental health disorders are </w:t>
      </w:r>
      <w:r>
        <w:rPr>
          <w:color w:val="231F20"/>
          <w:spacing w:val="-3"/>
        </w:rPr>
        <w:t xml:space="preserve">also </w:t>
      </w:r>
      <w:r>
        <w:rPr>
          <w:color w:val="231F20"/>
        </w:rPr>
        <w:t>incorporated</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NSHDPII.</w:t>
      </w:r>
    </w:p>
    <w:p w14:paraId="33E82669" w14:textId="77777777" w:rsidR="009948F1" w:rsidRDefault="009948F1">
      <w:pPr>
        <w:pStyle w:val="BodyText"/>
      </w:pPr>
    </w:p>
    <w:p w14:paraId="6C166C73" w14:textId="77777777" w:rsidR="009948F1" w:rsidRDefault="00BC0563">
      <w:pPr>
        <w:spacing w:before="132"/>
        <w:ind w:left="424" w:right="938" w:hanging="183"/>
        <w:rPr>
          <w:rFonts w:ascii="Carlito"/>
          <w:sz w:val="18"/>
        </w:rPr>
      </w:pPr>
      <w:r>
        <w:rPr>
          <w:rFonts w:ascii="Carlito"/>
          <w:color w:val="231F20"/>
          <w:sz w:val="18"/>
          <w:vertAlign w:val="superscript"/>
        </w:rPr>
        <w:t>4</w:t>
      </w:r>
      <w:r>
        <w:rPr>
          <w:rFonts w:ascii="Carlito"/>
          <w:color w:val="231F20"/>
          <w:sz w:val="18"/>
        </w:rPr>
        <w:t xml:space="preserve"> National Bureau of Statistics (2010). Nigeria Vision 20: 2020 Abridged Version (Online) Availablefr</w:t>
      </w:r>
      <w:hyperlink r:id="rId14">
        <w:r>
          <w:rPr>
            <w:rFonts w:ascii="Carlito"/>
            <w:color w:val="231F20"/>
            <w:sz w:val="18"/>
          </w:rPr>
          <w:t>om:http://www.nigerians</w:t>
        </w:r>
      </w:hyperlink>
      <w:r>
        <w:rPr>
          <w:rFonts w:ascii="Carlito"/>
          <w:color w:val="231F20"/>
          <w:sz w:val="18"/>
        </w:rPr>
        <w:t>t</w:t>
      </w:r>
      <w:hyperlink r:id="rId15">
        <w:r>
          <w:rPr>
            <w:rFonts w:ascii="Carlito"/>
            <w:color w:val="231F20"/>
            <w:sz w:val="18"/>
          </w:rPr>
          <w:t>at.gov.ng/pdfuploads/Abridged_V</w:t>
        </w:r>
      </w:hyperlink>
      <w:r>
        <w:rPr>
          <w:rFonts w:ascii="Carlito"/>
          <w:color w:val="231F20"/>
          <w:sz w:val="18"/>
        </w:rPr>
        <w:t>er</w:t>
      </w:r>
      <w:hyperlink r:id="rId16">
        <w:r>
          <w:rPr>
            <w:rFonts w:ascii="Carlito"/>
            <w:color w:val="231F20"/>
            <w:sz w:val="18"/>
          </w:rPr>
          <w:t xml:space="preserve">sion_of_Nigeria%20 </w:t>
        </w:r>
      </w:hyperlink>
      <w:r>
        <w:rPr>
          <w:rFonts w:ascii="Carlito"/>
          <w:color w:val="231F20"/>
          <w:sz w:val="18"/>
        </w:rPr>
        <w:t>Vision %202020.pdf (Accessed 27</w:t>
      </w:r>
      <w:proofErr w:type="spellStart"/>
      <w:r>
        <w:rPr>
          <w:rFonts w:ascii="Carlito"/>
          <w:color w:val="231F20"/>
          <w:position w:val="9"/>
          <w:sz w:val="9"/>
        </w:rPr>
        <w:t>th</w:t>
      </w:r>
      <w:proofErr w:type="spellEnd"/>
      <w:r>
        <w:rPr>
          <w:rFonts w:ascii="Carlito"/>
          <w:color w:val="231F20"/>
          <w:position w:val="9"/>
          <w:sz w:val="9"/>
        </w:rPr>
        <w:t xml:space="preserve"> </w:t>
      </w:r>
      <w:r>
        <w:rPr>
          <w:rFonts w:ascii="Carlito"/>
          <w:color w:val="231F20"/>
          <w:sz w:val="18"/>
        </w:rPr>
        <w:t>June 2017)</w:t>
      </w:r>
    </w:p>
    <w:p w14:paraId="334B5D9B" w14:textId="77777777" w:rsidR="009948F1" w:rsidRDefault="00BC0563">
      <w:pPr>
        <w:ind w:left="241"/>
        <w:rPr>
          <w:rFonts w:ascii="Carlito"/>
          <w:i/>
          <w:sz w:val="18"/>
        </w:rPr>
      </w:pPr>
      <w:r>
        <w:rPr>
          <w:rFonts w:ascii="Carlito"/>
          <w:i/>
          <w:color w:val="231F20"/>
          <w:position w:val="4"/>
          <w:sz w:val="12"/>
        </w:rPr>
        <w:t xml:space="preserve">5 </w:t>
      </w:r>
      <w:r>
        <w:rPr>
          <w:rFonts w:ascii="Carlito"/>
          <w:i/>
          <w:color w:val="231F20"/>
          <w:sz w:val="18"/>
        </w:rPr>
        <w:t>African Union 2014</w:t>
      </w:r>
    </w:p>
    <w:p w14:paraId="6D52D773" w14:textId="77777777" w:rsidR="009948F1" w:rsidRDefault="00BC0563">
      <w:pPr>
        <w:spacing w:before="56"/>
        <w:ind w:left="241"/>
        <w:rPr>
          <w:rFonts w:ascii="Carlito"/>
          <w:i/>
          <w:sz w:val="18"/>
        </w:rPr>
      </w:pPr>
      <w:r>
        <w:rPr>
          <w:rFonts w:ascii="Carlito"/>
          <w:i/>
          <w:color w:val="231F20"/>
          <w:sz w:val="18"/>
          <w:vertAlign w:val="superscript"/>
        </w:rPr>
        <w:t>6</w:t>
      </w:r>
      <w:r>
        <w:rPr>
          <w:rFonts w:ascii="Carlito"/>
          <w:i/>
          <w:color w:val="231F20"/>
          <w:sz w:val="18"/>
        </w:rPr>
        <w:t xml:space="preserve"> Sustainable Development Goals (SDGs)</w:t>
      </w:r>
    </w:p>
    <w:p w14:paraId="1E20564F" w14:textId="77777777" w:rsidR="009948F1" w:rsidRDefault="009948F1">
      <w:pPr>
        <w:rPr>
          <w:rFonts w:ascii="Carlito"/>
          <w:sz w:val="18"/>
        </w:rPr>
        <w:sectPr w:rsidR="009948F1">
          <w:pgSz w:w="11910" w:h="16840"/>
          <w:pgMar w:top="1220" w:right="1080" w:bottom="1420" w:left="1120" w:header="0" w:footer="1235" w:gutter="0"/>
          <w:cols w:space="720"/>
        </w:sectPr>
      </w:pPr>
    </w:p>
    <w:p w14:paraId="599BCE2B" w14:textId="77777777" w:rsidR="009948F1" w:rsidRDefault="00BC0563">
      <w:pPr>
        <w:pStyle w:val="Heading7"/>
        <w:numPr>
          <w:ilvl w:val="2"/>
          <w:numId w:val="326"/>
        </w:numPr>
        <w:tabs>
          <w:tab w:val="left" w:pos="872"/>
          <w:tab w:val="left" w:pos="873"/>
        </w:tabs>
        <w:spacing w:before="52"/>
        <w:ind w:left="872" w:hanging="721"/>
        <w:rPr>
          <w:color w:val="231F20"/>
        </w:rPr>
      </w:pPr>
      <w:bookmarkStart w:id="19" w:name="Page_17"/>
      <w:bookmarkStart w:id="20" w:name="_TOC_250036"/>
      <w:bookmarkEnd w:id="19"/>
      <w:r>
        <w:rPr>
          <w:color w:val="231F20"/>
        </w:rPr>
        <w:lastRenderedPageBreak/>
        <w:t>Policy</w:t>
      </w:r>
      <w:r>
        <w:rPr>
          <w:color w:val="231F20"/>
          <w:spacing w:val="-25"/>
        </w:rPr>
        <w:t xml:space="preserve"> </w:t>
      </w:r>
      <w:bookmarkEnd w:id="20"/>
      <w:r>
        <w:rPr>
          <w:color w:val="231F20"/>
        </w:rPr>
        <w:t>Environment:</w:t>
      </w:r>
    </w:p>
    <w:p w14:paraId="49412DAC" w14:textId="77777777" w:rsidR="009948F1" w:rsidRDefault="009948F1">
      <w:pPr>
        <w:pStyle w:val="BodyText"/>
        <w:rPr>
          <w:b/>
          <w:sz w:val="26"/>
        </w:rPr>
      </w:pPr>
    </w:p>
    <w:p w14:paraId="64820875" w14:textId="77777777" w:rsidR="009948F1" w:rsidRDefault="00BC0563">
      <w:pPr>
        <w:pStyle w:val="BodyText"/>
        <w:spacing w:line="261" w:lineRule="auto"/>
        <w:ind w:left="151" w:right="219"/>
        <w:jc w:val="both"/>
      </w:pPr>
      <w:r>
        <w:rPr>
          <w:color w:val="231F20"/>
        </w:rPr>
        <w:t>In</w:t>
      </w:r>
      <w:r>
        <w:rPr>
          <w:color w:val="231F20"/>
          <w:spacing w:val="-20"/>
        </w:rPr>
        <w:t xml:space="preserve"> </w:t>
      </w:r>
      <w:r>
        <w:rPr>
          <w:color w:val="231F20"/>
        </w:rPr>
        <w:t>line</w:t>
      </w:r>
      <w:r>
        <w:rPr>
          <w:color w:val="231F20"/>
          <w:spacing w:val="-20"/>
        </w:rPr>
        <w:t xml:space="preserve"> </w:t>
      </w:r>
      <w:r>
        <w:rPr>
          <w:color w:val="231F20"/>
        </w:rPr>
        <w:t>with</w:t>
      </w:r>
      <w:r>
        <w:rPr>
          <w:color w:val="231F20"/>
          <w:spacing w:val="-19"/>
        </w:rPr>
        <w:t xml:space="preserve"> </w:t>
      </w:r>
      <w:r>
        <w:rPr>
          <w:color w:val="231F20"/>
        </w:rPr>
        <w:t>the</w:t>
      </w:r>
      <w:r>
        <w:rPr>
          <w:color w:val="231F20"/>
          <w:spacing w:val="-20"/>
        </w:rPr>
        <w:t xml:space="preserve"> </w:t>
      </w:r>
      <w:r>
        <w:rPr>
          <w:color w:val="231F20"/>
        </w:rPr>
        <w:t>revised</w:t>
      </w:r>
      <w:r>
        <w:rPr>
          <w:color w:val="231F20"/>
          <w:spacing w:val="-20"/>
        </w:rPr>
        <w:t xml:space="preserve"> </w:t>
      </w:r>
      <w:r>
        <w:rPr>
          <w:color w:val="231F20"/>
        </w:rPr>
        <w:t>National</w:t>
      </w:r>
      <w:r>
        <w:rPr>
          <w:color w:val="231F20"/>
          <w:spacing w:val="-19"/>
        </w:rPr>
        <w:t xml:space="preserve"> </w:t>
      </w:r>
      <w:r>
        <w:rPr>
          <w:color w:val="231F20"/>
        </w:rPr>
        <w:t>Health</w:t>
      </w:r>
      <w:r>
        <w:rPr>
          <w:color w:val="231F20"/>
          <w:spacing w:val="-20"/>
        </w:rPr>
        <w:t xml:space="preserve"> </w:t>
      </w:r>
      <w:r>
        <w:rPr>
          <w:color w:val="231F20"/>
          <w:spacing w:val="-3"/>
        </w:rPr>
        <w:t>policy,</w:t>
      </w:r>
      <w:r>
        <w:rPr>
          <w:color w:val="231F20"/>
          <w:spacing w:val="-20"/>
        </w:rPr>
        <w:t xml:space="preserve"> </w:t>
      </w:r>
      <w:r>
        <w:rPr>
          <w:color w:val="231F20"/>
        </w:rPr>
        <w:t>the</w:t>
      </w:r>
      <w:r>
        <w:rPr>
          <w:color w:val="231F20"/>
          <w:spacing w:val="-20"/>
        </w:rPr>
        <w:t xml:space="preserve"> </w:t>
      </w:r>
      <w:r>
        <w:rPr>
          <w:color w:val="231F20"/>
        </w:rPr>
        <w:t>SSHDP</w:t>
      </w:r>
      <w:r>
        <w:rPr>
          <w:color w:val="231F20"/>
          <w:spacing w:val="-23"/>
        </w:rPr>
        <w:t xml:space="preserve"> </w:t>
      </w:r>
      <w:r>
        <w:rPr>
          <w:color w:val="231F20"/>
        </w:rPr>
        <w:t>II</w:t>
      </w:r>
      <w:r>
        <w:rPr>
          <w:color w:val="231F20"/>
          <w:spacing w:val="-20"/>
        </w:rPr>
        <w:t xml:space="preserve"> </w:t>
      </w:r>
      <w:r>
        <w:rPr>
          <w:color w:val="231F20"/>
        </w:rPr>
        <w:t>(2018-2022)</w:t>
      </w:r>
      <w:r>
        <w:rPr>
          <w:color w:val="231F20"/>
          <w:spacing w:val="-19"/>
        </w:rPr>
        <w:t xml:space="preserve"> </w:t>
      </w:r>
      <w:r>
        <w:rPr>
          <w:color w:val="231F20"/>
        </w:rPr>
        <w:t>aims</w:t>
      </w:r>
      <w:r>
        <w:rPr>
          <w:color w:val="231F20"/>
          <w:spacing w:val="-20"/>
        </w:rPr>
        <w:t xml:space="preserve"> </w:t>
      </w:r>
      <w:r>
        <w:rPr>
          <w:color w:val="231F20"/>
        </w:rPr>
        <w:t>to</w:t>
      </w:r>
      <w:r>
        <w:rPr>
          <w:color w:val="231F20"/>
          <w:spacing w:val="-20"/>
        </w:rPr>
        <w:t xml:space="preserve"> </w:t>
      </w:r>
      <w:r>
        <w:rPr>
          <w:color w:val="231F20"/>
        </w:rPr>
        <w:t>promote</w:t>
      </w:r>
      <w:r>
        <w:rPr>
          <w:color w:val="231F20"/>
          <w:spacing w:val="-19"/>
        </w:rPr>
        <w:t xml:space="preserve"> </w:t>
      </w:r>
      <w:r>
        <w:rPr>
          <w:color w:val="231F20"/>
        </w:rPr>
        <w:t>universal access</w:t>
      </w:r>
      <w:r>
        <w:rPr>
          <w:color w:val="231F20"/>
          <w:spacing w:val="-14"/>
        </w:rPr>
        <w:t xml:space="preserve"> </w:t>
      </w:r>
      <w:r>
        <w:rPr>
          <w:color w:val="231F20"/>
        </w:rPr>
        <w:t>to</w:t>
      </w:r>
      <w:r>
        <w:rPr>
          <w:color w:val="231F20"/>
          <w:spacing w:val="-15"/>
        </w:rPr>
        <w:t xml:space="preserve"> </w:t>
      </w:r>
      <w:r>
        <w:rPr>
          <w:color w:val="231F20"/>
        </w:rPr>
        <w:t>essential</w:t>
      </w:r>
      <w:r>
        <w:rPr>
          <w:color w:val="231F20"/>
          <w:spacing w:val="-14"/>
        </w:rPr>
        <w:t xml:space="preserve"> </w:t>
      </w:r>
      <w:r>
        <w:rPr>
          <w:color w:val="231F20"/>
        </w:rPr>
        <w:t>health</w:t>
      </w:r>
      <w:r>
        <w:rPr>
          <w:color w:val="231F20"/>
          <w:spacing w:val="-14"/>
        </w:rPr>
        <w:t xml:space="preserve"> </w:t>
      </w:r>
      <w:r>
        <w:rPr>
          <w:color w:val="231F20"/>
        </w:rPr>
        <w:t>care</w:t>
      </w:r>
      <w:r>
        <w:rPr>
          <w:color w:val="231F20"/>
          <w:spacing w:val="-13"/>
        </w:rPr>
        <w:t xml:space="preserve"> </w:t>
      </w:r>
      <w:r>
        <w:rPr>
          <w:color w:val="231F20"/>
        </w:rPr>
        <w:t>services</w:t>
      </w:r>
      <w:r>
        <w:rPr>
          <w:color w:val="231F20"/>
          <w:spacing w:val="-14"/>
        </w:rPr>
        <w:t xml:space="preserve"> </w:t>
      </w:r>
      <w:r>
        <w:rPr>
          <w:color w:val="231F20"/>
        </w:rPr>
        <w:t>by</w:t>
      </w:r>
      <w:r>
        <w:rPr>
          <w:color w:val="231F20"/>
          <w:spacing w:val="-14"/>
        </w:rPr>
        <w:t xml:space="preserve"> </w:t>
      </w:r>
      <w:r>
        <w:rPr>
          <w:color w:val="231F20"/>
        </w:rPr>
        <w:t>strengthening</w:t>
      </w:r>
      <w:r>
        <w:rPr>
          <w:color w:val="231F20"/>
          <w:spacing w:val="-14"/>
        </w:rPr>
        <w:t xml:space="preserve"> </w:t>
      </w:r>
      <w:r>
        <w:rPr>
          <w:color w:val="231F20"/>
        </w:rPr>
        <w:t>and</w:t>
      </w:r>
      <w:r>
        <w:rPr>
          <w:color w:val="231F20"/>
          <w:spacing w:val="-13"/>
        </w:rPr>
        <w:t xml:space="preserve"> </w:t>
      </w:r>
      <w:r>
        <w:rPr>
          <w:color w:val="231F20"/>
        </w:rPr>
        <w:t>expanding</w:t>
      </w:r>
      <w:r>
        <w:rPr>
          <w:color w:val="231F20"/>
          <w:spacing w:val="-14"/>
        </w:rPr>
        <w:t xml:space="preserve"> </w:t>
      </w:r>
      <w:r>
        <w:rPr>
          <w:color w:val="231F20"/>
        </w:rPr>
        <w:t>access</w:t>
      </w:r>
      <w:r>
        <w:rPr>
          <w:color w:val="231F20"/>
          <w:spacing w:val="-14"/>
        </w:rPr>
        <w:t xml:space="preserve"> </w:t>
      </w:r>
      <w:r>
        <w:rPr>
          <w:color w:val="231F20"/>
        </w:rPr>
        <w:t>to</w:t>
      </w:r>
      <w:r>
        <w:rPr>
          <w:color w:val="231F20"/>
          <w:spacing w:val="-15"/>
        </w:rPr>
        <w:t xml:space="preserve"> </w:t>
      </w:r>
      <w:r>
        <w:rPr>
          <w:color w:val="231F20"/>
        </w:rPr>
        <w:t>primary</w:t>
      </w:r>
      <w:r>
        <w:rPr>
          <w:color w:val="231F20"/>
          <w:spacing w:val="-13"/>
        </w:rPr>
        <w:t xml:space="preserve"> </w:t>
      </w:r>
      <w:r>
        <w:rPr>
          <w:color w:val="231F20"/>
          <w:spacing w:val="-3"/>
        </w:rPr>
        <w:t xml:space="preserve">health </w:t>
      </w:r>
      <w:r>
        <w:rPr>
          <w:color w:val="231F20"/>
        </w:rPr>
        <w:t>care,</w:t>
      </w:r>
      <w:r>
        <w:rPr>
          <w:color w:val="231F20"/>
          <w:spacing w:val="-25"/>
        </w:rPr>
        <w:t xml:space="preserve"> </w:t>
      </w:r>
      <w:r>
        <w:rPr>
          <w:color w:val="231F20"/>
        </w:rPr>
        <w:t>redress</w:t>
      </w:r>
      <w:r>
        <w:rPr>
          <w:color w:val="231F20"/>
          <w:spacing w:val="-24"/>
        </w:rPr>
        <w:t xml:space="preserve"> </w:t>
      </w:r>
      <w:r>
        <w:rPr>
          <w:color w:val="231F20"/>
        </w:rPr>
        <w:t>inequity</w:t>
      </w:r>
      <w:r>
        <w:rPr>
          <w:color w:val="231F20"/>
          <w:spacing w:val="-24"/>
        </w:rPr>
        <w:t xml:space="preserve"> </w:t>
      </w:r>
      <w:r>
        <w:rPr>
          <w:color w:val="231F20"/>
        </w:rPr>
        <w:t>and</w:t>
      </w:r>
      <w:r>
        <w:rPr>
          <w:color w:val="231F20"/>
          <w:spacing w:val="-24"/>
        </w:rPr>
        <w:t xml:space="preserve"> </w:t>
      </w:r>
      <w:r>
        <w:rPr>
          <w:color w:val="231F20"/>
        </w:rPr>
        <w:t>ensure</w:t>
      </w:r>
      <w:r>
        <w:rPr>
          <w:color w:val="231F20"/>
          <w:spacing w:val="-24"/>
        </w:rPr>
        <w:t xml:space="preserve"> </w:t>
      </w:r>
      <w:r>
        <w:rPr>
          <w:color w:val="231F20"/>
        </w:rPr>
        <w:t>financial</w:t>
      </w:r>
      <w:r>
        <w:rPr>
          <w:color w:val="231F20"/>
          <w:spacing w:val="-24"/>
        </w:rPr>
        <w:t xml:space="preserve"> </w:t>
      </w:r>
      <w:r>
        <w:rPr>
          <w:color w:val="231F20"/>
        </w:rPr>
        <w:t>risk</w:t>
      </w:r>
      <w:r>
        <w:rPr>
          <w:color w:val="231F20"/>
          <w:spacing w:val="-24"/>
        </w:rPr>
        <w:t xml:space="preserve"> </w:t>
      </w:r>
      <w:r>
        <w:rPr>
          <w:color w:val="231F20"/>
        </w:rPr>
        <w:t>protection</w:t>
      </w:r>
      <w:r>
        <w:rPr>
          <w:color w:val="231F20"/>
          <w:spacing w:val="-24"/>
        </w:rPr>
        <w:t xml:space="preserve"> </w:t>
      </w:r>
      <w:r>
        <w:rPr>
          <w:color w:val="231F20"/>
        </w:rPr>
        <w:t>by</w:t>
      </w:r>
      <w:r>
        <w:rPr>
          <w:color w:val="231F20"/>
          <w:spacing w:val="-25"/>
        </w:rPr>
        <w:t xml:space="preserve"> </w:t>
      </w:r>
      <w:r>
        <w:rPr>
          <w:color w:val="231F20"/>
        </w:rPr>
        <w:t>expanding</w:t>
      </w:r>
      <w:r>
        <w:rPr>
          <w:color w:val="231F20"/>
          <w:spacing w:val="-24"/>
        </w:rPr>
        <w:t xml:space="preserve"> </w:t>
      </w:r>
      <w:r>
        <w:rPr>
          <w:color w:val="231F20"/>
        </w:rPr>
        <w:t>coverage</w:t>
      </w:r>
      <w:r>
        <w:rPr>
          <w:color w:val="231F20"/>
          <w:spacing w:val="-24"/>
        </w:rPr>
        <w:t xml:space="preserve"> </w:t>
      </w:r>
      <w:r>
        <w:rPr>
          <w:color w:val="231F20"/>
        </w:rPr>
        <w:t>with</w:t>
      </w:r>
      <w:r>
        <w:rPr>
          <w:color w:val="231F20"/>
          <w:spacing w:val="-24"/>
        </w:rPr>
        <w:t xml:space="preserve"> </w:t>
      </w:r>
      <w:r>
        <w:rPr>
          <w:color w:val="231F20"/>
        </w:rPr>
        <w:t>social</w:t>
      </w:r>
      <w:r>
        <w:rPr>
          <w:color w:val="231F20"/>
          <w:spacing w:val="-24"/>
        </w:rPr>
        <w:t xml:space="preserve"> </w:t>
      </w:r>
      <w:r>
        <w:rPr>
          <w:color w:val="231F20"/>
        </w:rPr>
        <w:t xml:space="preserve">health insurance. The various policies used included: National policy on the health and development </w:t>
      </w:r>
      <w:r>
        <w:rPr>
          <w:color w:val="231F20"/>
          <w:spacing w:val="-6"/>
        </w:rPr>
        <w:t xml:space="preserve">of </w:t>
      </w:r>
      <w:r>
        <w:rPr>
          <w:color w:val="231F20"/>
        </w:rPr>
        <w:t xml:space="preserve">National Health Management Information System (2006); Primary Health Care (launched </w:t>
      </w:r>
      <w:r>
        <w:rPr>
          <w:color w:val="231F20"/>
          <w:spacing w:val="-7"/>
        </w:rPr>
        <w:t xml:space="preserve">in </w:t>
      </w:r>
      <w:r>
        <w:rPr>
          <w:color w:val="231F20"/>
        </w:rPr>
        <w:t xml:space="preserve">Nigeria in 1988); National Health Policy (2016); National Health Insurance Scheme (1999); National Health Act (2014); etc. The </w:t>
      </w:r>
      <w:r>
        <w:rPr>
          <w:color w:val="231F20"/>
          <w:spacing w:val="-5"/>
        </w:rPr>
        <w:t xml:space="preserve">SSHDP, </w:t>
      </w:r>
      <w:r>
        <w:rPr>
          <w:color w:val="231F20"/>
        </w:rPr>
        <w:t xml:space="preserve">2018-2022 aims to address issues that will </w:t>
      </w:r>
      <w:r>
        <w:rPr>
          <w:color w:val="231F20"/>
          <w:spacing w:val="-3"/>
        </w:rPr>
        <w:t xml:space="preserve">ensure </w:t>
      </w:r>
      <w:r>
        <w:rPr>
          <w:color w:val="231F20"/>
        </w:rPr>
        <w:t>achieving</w:t>
      </w:r>
      <w:r>
        <w:rPr>
          <w:color w:val="231F20"/>
          <w:spacing w:val="-17"/>
        </w:rPr>
        <w:t xml:space="preserve"> </w:t>
      </w:r>
      <w:r>
        <w:rPr>
          <w:color w:val="231F20"/>
        </w:rPr>
        <w:t>the</w:t>
      </w:r>
      <w:r>
        <w:rPr>
          <w:color w:val="231F20"/>
          <w:spacing w:val="-17"/>
        </w:rPr>
        <w:t xml:space="preserve"> </w:t>
      </w:r>
      <w:r>
        <w:rPr>
          <w:color w:val="231F20"/>
        </w:rPr>
        <w:t>Sustainable</w:t>
      </w:r>
      <w:r>
        <w:rPr>
          <w:color w:val="231F20"/>
          <w:spacing w:val="-17"/>
        </w:rPr>
        <w:t xml:space="preserve"> </w:t>
      </w:r>
      <w:r>
        <w:rPr>
          <w:color w:val="231F20"/>
        </w:rPr>
        <w:t>Development</w:t>
      </w:r>
      <w:r>
        <w:rPr>
          <w:color w:val="231F20"/>
          <w:spacing w:val="-17"/>
        </w:rPr>
        <w:t xml:space="preserve"> </w:t>
      </w:r>
      <w:r>
        <w:rPr>
          <w:color w:val="231F20"/>
        </w:rPr>
        <w:t>Goals</w:t>
      </w:r>
      <w:r>
        <w:rPr>
          <w:color w:val="231F20"/>
          <w:spacing w:val="-17"/>
        </w:rPr>
        <w:t xml:space="preserve"> </w:t>
      </w:r>
      <w:r>
        <w:rPr>
          <w:color w:val="231F20"/>
        </w:rPr>
        <w:t>(SDGs).</w:t>
      </w:r>
      <w:r>
        <w:rPr>
          <w:color w:val="231F20"/>
          <w:spacing w:val="-21"/>
        </w:rPr>
        <w:t xml:space="preserve"> </w:t>
      </w:r>
      <w:r>
        <w:rPr>
          <w:color w:val="231F20"/>
        </w:rPr>
        <w:t>The</w:t>
      </w:r>
      <w:r>
        <w:rPr>
          <w:color w:val="231F20"/>
          <w:spacing w:val="-17"/>
        </w:rPr>
        <w:t xml:space="preserve"> </w:t>
      </w:r>
      <w:r>
        <w:rPr>
          <w:color w:val="231F20"/>
        </w:rPr>
        <w:t>Health</w:t>
      </w:r>
      <w:r>
        <w:rPr>
          <w:color w:val="231F20"/>
          <w:spacing w:val="-17"/>
        </w:rPr>
        <w:t xml:space="preserve"> </w:t>
      </w:r>
      <w:r>
        <w:rPr>
          <w:color w:val="231F20"/>
        </w:rPr>
        <w:t>Policy</w:t>
      </w:r>
      <w:r>
        <w:rPr>
          <w:color w:val="231F20"/>
          <w:spacing w:val="-17"/>
        </w:rPr>
        <w:t xml:space="preserve"> </w:t>
      </w:r>
      <w:r>
        <w:rPr>
          <w:color w:val="231F20"/>
        </w:rPr>
        <w:t>direction</w:t>
      </w:r>
      <w:r>
        <w:rPr>
          <w:color w:val="231F20"/>
          <w:spacing w:val="-17"/>
        </w:rPr>
        <w:t xml:space="preserve"> </w:t>
      </w:r>
      <w:r>
        <w:rPr>
          <w:color w:val="231F20"/>
        </w:rPr>
        <w:t>of</w:t>
      </w:r>
      <w:r>
        <w:rPr>
          <w:color w:val="231F20"/>
          <w:spacing w:val="-17"/>
        </w:rPr>
        <w:t xml:space="preserve"> </w:t>
      </w:r>
      <w:r>
        <w:rPr>
          <w:color w:val="231F20"/>
        </w:rPr>
        <w:t>Rivers</w:t>
      </w:r>
      <w:r>
        <w:rPr>
          <w:color w:val="231F20"/>
          <w:spacing w:val="-17"/>
        </w:rPr>
        <w:t xml:space="preserve"> </w:t>
      </w:r>
      <w:r>
        <w:rPr>
          <w:color w:val="231F20"/>
          <w:spacing w:val="-3"/>
        </w:rPr>
        <w:t xml:space="preserve">State </w:t>
      </w:r>
      <w:r>
        <w:rPr>
          <w:color w:val="231F20"/>
        </w:rPr>
        <w:t xml:space="preserve">is Universal access to affordable and quality health care for everyone who resides in the State </w:t>
      </w:r>
      <w:r>
        <w:rPr>
          <w:color w:val="231F20"/>
          <w:spacing w:val="-5"/>
        </w:rPr>
        <w:t>(Table</w:t>
      </w:r>
      <w:r>
        <w:rPr>
          <w:color w:val="231F20"/>
          <w:spacing w:val="-25"/>
        </w:rPr>
        <w:t xml:space="preserve"> </w:t>
      </w:r>
      <w:r>
        <w:rPr>
          <w:color w:val="231F20"/>
        </w:rPr>
        <w:t>1).</w:t>
      </w:r>
    </w:p>
    <w:p w14:paraId="6B8B5CB3" w14:textId="77777777" w:rsidR="009948F1" w:rsidRDefault="009948F1">
      <w:pPr>
        <w:pStyle w:val="BodyText"/>
      </w:pPr>
    </w:p>
    <w:p w14:paraId="5C7023F4" w14:textId="77777777" w:rsidR="009948F1" w:rsidRDefault="009948F1">
      <w:pPr>
        <w:pStyle w:val="BodyText"/>
      </w:pPr>
    </w:p>
    <w:p w14:paraId="55203B41" w14:textId="77777777" w:rsidR="009948F1" w:rsidRDefault="00BC0563">
      <w:pPr>
        <w:spacing w:before="198" w:after="36"/>
        <w:ind w:left="176"/>
        <w:jc w:val="both"/>
        <w:rPr>
          <w:b/>
          <w:i/>
          <w:sz w:val="20"/>
        </w:rPr>
      </w:pPr>
      <w:r>
        <w:rPr>
          <w:b/>
          <w:i/>
          <w:color w:val="231F20"/>
          <w:w w:val="110"/>
          <w:sz w:val="20"/>
        </w:rPr>
        <w:t>Table 1: Policy thrust in Rivers State</w:t>
      </w:r>
    </w:p>
    <w:tbl>
      <w:tblPr>
        <w:tblW w:w="0" w:type="auto"/>
        <w:tblInd w:w="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5"/>
        <w:gridCol w:w="1978"/>
        <w:gridCol w:w="1163"/>
        <w:gridCol w:w="4777"/>
        <w:gridCol w:w="721"/>
      </w:tblGrid>
      <w:tr w:rsidR="009948F1" w14:paraId="0AB52FB2" w14:textId="77777777">
        <w:trPr>
          <w:trHeight w:val="348"/>
        </w:trPr>
        <w:tc>
          <w:tcPr>
            <w:tcW w:w="545" w:type="dxa"/>
          </w:tcPr>
          <w:p w14:paraId="508E10DE" w14:textId="77777777" w:rsidR="009948F1" w:rsidRDefault="00BC0563">
            <w:pPr>
              <w:pStyle w:val="TableParagraph"/>
              <w:spacing w:line="207" w:lineRule="exact"/>
              <w:ind w:left="106"/>
              <w:rPr>
                <w:b/>
                <w:sz w:val="18"/>
              </w:rPr>
            </w:pPr>
            <w:r>
              <w:rPr>
                <w:b/>
                <w:color w:val="231F20"/>
                <w:w w:val="110"/>
                <w:sz w:val="18"/>
              </w:rPr>
              <w:t>SN</w:t>
            </w:r>
          </w:p>
        </w:tc>
        <w:tc>
          <w:tcPr>
            <w:tcW w:w="1978" w:type="dxa"/>
          </w:tcPr>
          <w:p w14:paraId="7529EFD5" w14:textId="77777777" w:rsidR="009948F1" w:rsidRDefault="00BC0563">
            <w:pPr>
              <w:pStyle w:val="TableParagraph"/>
              <w:spacing w:line="207" w:lineRule="exact"/>
              <w:ind w:left="106"/>
              <w:rPr>
                <w:b/>
                <w:sz w:val="18"/>
              </w:rPr>
            </w:pPr>
            <w:r>
              <w:rPr>
                <w:b/>
                <w:color w:val="231F20"/>
                <w:w w:val="110"/>
                <w:sz w:val="18"/>
              </w:rPr>
              <w:t>Policies</w:t>
            </w:r>
          </w:p>
        </w:tc>
        <w:tc>
          <w:tcPr>
            <w:tcW w:w="1163" w:type="dxa"/>
          </w:tcPr>
          <w:p w14:paraId="64E2C0C1" w14:textId="77777777" w:rsidR="009948F1" w:rsidRDefault="00BC0563">
            <w:pPr>
              <w:pStyle w:val="TableParagraph"/>
              <w:spacing w:line="207" w:lineRule="exact"/>
              <w:ind w:left="105"/>
              <w:rPr>
                <w:b/>
                <w:sz w:val="18"/>
              </w:rPr>
            </w:pPr>
            <w:r>
              <w:rPr>
                <w:b/>
                <w:color w:val="231F20"/>
                <w:w w:val="110"/>
                <w:sz w:val="18"/>
              </w:rPr>
              <w:t>Year</w:t>
            </w:r>
          </w:p>
        </w:tc>
        <w:tc>
          <w:tcPr>
            <w:tcW w:w="5498" w:type="dxa"/>
            <w:gridSpan w:val="2"/>
          </w:tcPr>
          <w:p w14:paraId="6A09880C" w14:textId="77777777" w:rsidR="009948F1" w:rsidRDefault="00BC0563">
            <w:pPr>
              <w:pStyle w:val="TableParagraph"/>
              <w:spacing w:line="207" w:lineRule="exact"/>
              <w:ind w:left="105"/>
              <w:rPr>
                <w:b/>
                <w:sz w:val="18"/>
              </w:rPr>
            </w:pPr>
            <w:r>
              <w:rPr>
                <w:b/>
                <w:color w:val="231F20"/>
                <w:w w:val="110"/>
                <w:sz w:val="18"/>
              </w:rPr>
              <w:t>Key Provisions/Purpose</w:t>
            </w:r>
          </w:p>
        </w:tc>
      </w:tr>
      <w:tr w:rsidR="009948F1" w14:paraId="40C56058" w14:textId="77777777">
        <w:trPr>
          <w:trHeight w:val="716"/>
        </w:trPr>
        <w:tc>
          <w:tcPr>
            <w:tcW w:w="545" w:type="dxa"/>
            <w:tcBorders>
              <w:bottom w:val="nil"/>
            </w:tcBorders>
          </w:tcPr>
          <w:p w14:paraId="63F37263" w14:textId="77777777" w:rsidR="009948F1" w:rsidRDefault="00BC0563">
            <w:pPr>
              <w:pStyle w:val="TableParagraph"/>
              <w:spacing w:line="207" w:lineRule="exact"/>
              <w:ind w:left="106"/>
              <w:rPr>
                <w:sz w:val="18"/>
              </w:rPr>
            </w:pPr>
            <w:r>
              <w:rPr>
                <w:color w:val="231F20"/>
                <w:w w:val="109"/>
                <w:sz w:val="18"/>
              </w:rPr>
              <w:t>1</w:t>
            </w:r>
          </w:p>
        </w:tc>
        <w:tc>
          <w:tcPr>
            <w:tcW w:w="1978" w:type="dxa"/>
            <w:tcBorders>
              <w:bottom w:val="nil"/>
            </w:tcBorders>
          </w:tcPr>
          <w:p w14:paraId="0D783F0C" w14:textId="77777777" w:rsidR="009948F1" w:rsidRDefault="00BC0563">
            <w:pPr>
              <w:pStyle w:val="TableParagraph"/>
              <w:spacing w:line="207" w:lineRule="exact"/>
              <w:ind w:left="160"/>
              <w:rPr>
                <w:sz w:val="18"/>
              </w:rPr>
            </w:pPr>
            <w:r>
              <w:rPr>
                <w:color w:val="231F20"/>
                <w:w w:val="110"/>
                <w:sz w:val="18"/>
              </w:rPr>
              <w:t>Free Medical Care</w:t>
            </w:r>
          </w:p>
        </w:tc>
        <w:tc>
          <w:tcPr>
            <w:tcW w:w="1163" w:type="dxa"/>
            <w:tcBorders>
              <w:bottom w:val="nil"/>
            </w:tcBorders>
          </w:tcPr>
          <w:p w14:paraId="5917653B" w14:textId="77777777" w:rsidR="009948F1" w:rsidRDefault="00BC0563">
            <w:pPr>
              <w:pStyle w:val="TableParagraph"/>
              <w:spacing w:line="207" w:lineRule="exact"/>
              <w:ind w:right="328"/>
              <w:jc w:val="right"/>
              <w:rPr>
                <w:sz w:val="18"/>
              </w:rPr>
            </w:pPr>
            <w:r>
              <w:rPr>
                <w:color w:val="231F20"/>
                <w:w w:val="105"/>
                <w:sz w:val="18"/>
              </w:rPr>
              <w:t>2000</w:t>
            </w:r>
          </w:p>
        </w:tc>
        <w:tc>
          <w:tcPr>
            <w:tcW w:w="5498" w:type="dxa"/>
            <w:gridSpan w:val="2"/>
            <w:tcBorders>
              <w:bottom w:val="nil"/>
            </w:tcBorders>
          </w:tcPr>
          <w:p w14:paraId="71937946" w14:textId="77777777" w:rsidR="009948F1" w:rsidRDefault="00BC0563">
            <w:pPr>
              <w:pStyle w:val="TableParagraph"/>
              <w:tabs>
                <w:tab w:val="left" w:pos="460"/>
              </w:tabs>
              <w:spacing w:line="256" w:lineRule="auto"/>
              <w:ind w:left="460" w:right="110" w:hanging="356"/>
              <w:rPr>
                <w:sz w:val="18"/>
              </w:rPr>
            </w:pPr>
            <w:r>
              <w:rPr>
                <w:rFonts w:ascii="Courier New"/>
                <w:color w:val="231F20"/>
                <w:w w:val="110"/>
                <w:sz w:val="18"/>
              </w:rPr>
              <w:t>o</w:t>
            </w:r>
            <w:r>
              <w:rPr>
                <w:rFonts w:ascii="Courier New"/>
                <w:color w:val="231F20"/>
                <w:w w:val="110"/>
                <w:sz w:val="18"/>
              </w:rPr>
              <w:tab/>
            </w:r>
            <w:r>
              <w:rPr>
                <w:color w:val="231F20"/>
                <w:w w:val="110"/>
                <w:sz w:val="18"/>
              </w:rPr>
              <w:t>Aimed</w:t>
            </w:r>
            <w:r>
              <w:rPr>
                <w:color w:val="231F20"/>
                <w:spacing w:val="-6"/>
                <w:w w:val="110"/>
                <w:sz w:val="18"/>
              </w:rPr>
              <w:t xml:space="preserve"> </w:t>
            </w:r>
            <w:r>
              <w:rPr>
                <w:color w:val="231F20"/>
                <w:w w:val="110"/>
                <w:sz w:val="18"/>
              </w:rPr>
              <w:t>at</w:t>
            </w:r>
            <w:r>
              <w:rPr>
                <w:color w:val="231F20"/>
                <w:spacing w:val="-5"/>
                <w:w w:val="110"/>
                <w:sz w:val="18"/>
              </w:rPr>
              <w:t xml:space="preserve"> </w:t>
            </w:r>
            <w:r>
              <w:rPr>
                <w:color w:val="231F20"/>
                <w:w w:val="110"/>
                <w:sz w:val="18"/>
              </w:rPr>
              <w:t>free</w:t>
            </w:r>
            <w:r>
              <w:rPr>
                <w:color w:val="231F20"/>
                <w:spacing w:val="-5"/>
                <w:w w:val="110"/>
                <w:sz w:val="18"/>
              </w:rPr>
              <w:t xml:space="preserve"> </w:t>
            </w:r>
            <w:r>
              <w:rPr>
                <w:color w:val="231F20"/>
                <w:w w:val="110"/>
                <w:sz w:val="18"/>
              </w:rPr>
              <w:t>medical</w:t>
            </w:r>
            <w:r>
              <w:rPr>
                <w:color w:val="231F20"/>
                <w:spacing w:val="-5"/>
                <w:w w:val="110"/>
                <w:sz w:val="18"/>
              </w:rPr>
              <w:t xml:space="preserve"> </w:t>
            </w:r>
            <w:r>
              <w:rPr>
                <w:color w:val="231F20"/>
                <w:w w:val="110"/>
                <w:sz w:val="18"/>
              </w:rPr>
              <w:t>care</w:t>
            </w:r>
            <w:r>
              <w:rPr>
                <w:color w:val="231F20"/>
                <w:spacing w:val="-5"/>
                <w:w w:val="110"/>
                <w:sz w:val="18"/>
              </w:rPr>
              <w:t xml:space="preserve"> </w:t>
            </w:r>
            <w:r>
              <w:rPr>
                <w:color w:val="231F20"/>
                <w:w w:val="110"/>
                <w:sz w:val="18"/>
              </w:rPr>
              <w:t>for</w:t>
            </w:r>
            <w:r>
              <w:rPr>
                <w:color w:val="231F20"/>
                <w:spacing w:val="-5"/>
                <w:w w:val="110"/>
                <w:sz w:val="18"/>
              </w:rPr>
              <w:t xml:space="preserve"> </w:t>
            </w:r>
            <w:r>
              <w:rPr>
                <w:color w:val="231F20"/>
                <w:w w:val="110"/>
                <w:sz w:val="18"/>
              </w:rPr>
              <w:t>children</w:t>
            </w:r>
            <w:r>
              <w:rPr>
                <w:color w:val="231F20"/>
                <w:spacing w:val="-5"/>
                <w:w w:val="110"/>
                <w:sz w:val="18"/>
              </w:rPr>
              <w:t xml:space="preserve"> </w:t>
            </w:r>
            <w:r>
              <w:rPr>
                <w:color w:val="231F20"/>
                <w:w w:val="110"/>
                <w:sz w:val="18"/>
              </w:rPr>
              <w:t>less</w:t>
            </w:r>
            <w:r>
              <w:rPr>
                <w:color w:val="231F20"/>
                <w:spacing w:val="-6"/>
                <w:w w:val="110"/>
                <w:sz w:val="18"/>
              </w:rPr>
              <w:t xml:space="preserve"> </w:t>
            </w:r>
            <w:r>
              <w:rPr>
                <w:color w:val="231F20"/>
                <w:w w:val="110"/>
                <w:sz w:val="18"/>
              </w:rPr>
              <w:t>than</w:t>
            </w:r>
            <w:r>
              <w:rPr>
                <w:color w:val="231F20"/>
                <w:spacing w:val="-5"/>
                <w:w w:val="110"/>
                <w:sz w:val="18"/>
              </w:rPr>
              <w:t xml:space="preserve"> </w:t>
            </w:r>
            <w:r>
              <w:rPr>
                <w:color w:val="231F20"/>
                <w:w w:val="110"/>
                <w:sz w:val="18"/>
              </w:rPr>
              <w:t>6</w:t>
            </w:r>
            <w:r>
              <w:rPr>
                <w:color w:val="231F20"/>
                <w:spacing w:val="-5"/>
                <w:w w:val="110"/>
                <w:sz w:val="18"/>
              </w:rPr>
              <w:t xml:space="preserve"> </w:t>
            </w:r>
            <w:r>
              <w:rPr>
                <w:color w:val="231F20"/>
                <w:w w:val="110"/>
                <w:sz w:val="18"/>
              </w:rPr>
              <w:t>years and adult above 60 years of age in all State</w:t>
            </w:r>
            <w:r>
              <w:rPr>
                <w:color w:val="231F20"/>
                <w:spacing w:val="-9"/>
                <w:w w:val="110"/>
                <w:sz w:val="18"/>
              </w:rPr>
              <w:t xml:space="preserve"> </w:t>
            </w:r>
            <w:r>
              <w:rPr>
                <w:color w:val="231F20"/>
                <w:w w:val="110"/>
                <w:sz w:val="18"/>
              </w:rPr>
              <w:t>government</w:t>
            </w:r>
          </w:p>
          <w:p w14:paraId="41A06166" w14:textId="77777777" w:rsidR="009948F1" w:rsidRDefault="00BC0563">
            <w:pPr>
              <w:pStyle w:val="TableParagraph"/>
              <w:spacing w:before="18"/>
              <w:ind w:left="460"/>
              <w:rPr>
                <w:sz w:val="18"/>
              </w:rPr>
            </w:pPr>
            <w:r>
              <w:rPr>
                <w:color w:val="231F20"/>
                <w:w w:val="110"/>
                <w:sz w:val="18"/>
              </w:rPr>
              <w:t>hospitals.</w:t>
            </w:r>
          </w:p>
        </w:tc>
      </w:tr>
      <w:tr w:rsidR="009948F1" w14:paraId="737BFDFF" w14:textId="77777777">
        <w:trPr>
          <w:trHeight w:val="1020"/>
        </w:trPr>
        <w:tc>
          <w:tcPr>
            <w:tcW w:w="545" w:type="dxa"/>
            <w:tcBorders>
              <w:top w:val="nil"/>
            </w:tcBorders>
          </w:tcPr>
          <w:p w14:paraId="6F0DE516" w14:textId="77777777" w:rsidR="009948F1" w:rsidRDefault="009948F1">
            <w:pPr>
              <w:pStyle w:val="TableParagraph"/>
              <w:rPr>
                <w:rFonts w:ascii="Times New Roman"/>
                <w:sz w:val="20"/>
              </w:rPr>
            </w:pPr>
          </w:p>
        </w:tc>
        <w:tc>
          <w:tcPr>
            <w:tcW w:w="1978" w:type="dxa"/>
            <w:tcBorders>
              <w:top w:val="nil"/>
            </w:tcBorders>
          </w:tcPr>
          <w:p w14:paraId="031A6406" w14:textId="77777777" w:rsidR="009948F1" w:rsidRDefault="009948F1">
            <w:pPr>
              <w:pStyle w:val="TableParagraph"/>
              <w:rPr>
                <w:rFonts w:ascii="Times New Roman"/>
                <w:sz w:val="20"/>
              </w:rPr>
            </w:pPr>
          </w:p>
        </w:tc>
        <w:tc>
          <w:tcPr>
            <w:tcW w:w="1163" w:type="dxa"/>
            <w:tcBorders>
              <w:top w:val="nil"/>
            </w:tcBorders>
          </w:tcPr>
          <w:p w14:paraId="267BE45E" w14:textId="77777777" w:rsidR="009948F1" w:rsidRDefault="009948F1">
            <w:pPr>
              <w:pStyle w:val="TableParagraph"/>
              <w:rPr>
                <w:b/>
                <w:i/>
                <w:sz w:val="18"/>
              </w:rPr>
            </w:pPr>
          </w:p>
          <w:p w14:paraId="79F4A7BD" w14:textId="77777777" w:rsidR="009948F1" w:rsidRDefault="009948F1">
            <w:pPr>
              <w:pStyle w:val="TableParagraph"/>
              <w:rPr>
                <w:b/>
                <w:i/>
                <w:sz w:val="18"/>
              </w:rPr>
            </w:pPr>
          </w:p>
          <w:p w14:paraId="39D3FA57" w14:textId="77777777" w:rsidR="009948F1" w:rsidRDefault="009948F1">
            <w:pPr>
              <w:pStyle w:val="TableParagraph"/>
              <w:spacing w:before="7"/>
              <w:rPr>
                <w:b/>
                <w:i/>
              </w:rPr>
            </w:pPr>
          </w:p>
          <w:p w14:paraId="1437BF0A" w14:textId="77777777" w:rsidR="009948F1" w:rsidRDefault="00BC0563">
            <w:pPr>
              <w:pStyle w:val="TableParagraph"/>
              <w:ind w:right="328"/>
              <w:jc w:val="right"/>
              <w:rPr>
                <w:sz w:val="18"/>
              </w:rPr>
            </w:pPr>
            <w:r>
              <w:rPr>
                <w:color w:val="231F20"/>
                <w:w w:val="105"/>
                <w:sz w:val="18"/>
              </w:rPr>
              <w:t>2010</w:t>
            </w:r>
          </w:p>
        </w:tc>
        <w:tc>
          <w:tcPr>
            <w:tcW w:w="5498" w:type="dxa"/>
            <w:gridSpan w:val="2"/>
            <w:tcBorders>
              <w:top w:val="nil"/>
            </w:tcBorders>
          </w:tcPr>
          <w:p w14:paraId="39A89788" w14:textId="77777777" w:rsidR="009948F1" w:rsidRDefault="00BC0563">
            <w:pPr>
              <w:pStyle w:val="TableParagraph"/>
              <w:numPr>
                <w:ilvl w:val="0"/>
                <w:numId w:val="325"/>
              </w:numPr>
              <w:tabs>
                <w:tab w:val="left" w:pos="460"/>
                <w:tab w:val="left" w:pos="461"/>
              </w:tabs>
              <w:spacing w:before="1"/>
              <w:rPr>
                <w:sz w:val="18"/>
              </w:rPr>
            </w:pPr>
            <w:r>
              <w:rPr>
                <w:color w:val="231F20"/>
                <w:w w:val="110"/>
                <w:sz w:val="18"/>
              </w:rPr>
              <w:t>Free Caesarean Sections for</w:t>
            </w:r>
            <w:r>
              <w:rPr>
                <w:color w:val="231F20"/>
                <w:spacing w:val="-9"/>
                <w:w w:val="110"/>
                <w:sz w:val="18"/>
              </w:rPr>
              <w:t xml:space="preserve"> </w:t>
            </w:r>
            <w:r>
              <w:rPr>
                <w:color w:val="231F20"/>
                <w:w w:val="110"/>
                <w:sz w:val="18"/>
              </w:rPr>
              <w:t>adolescents.</w:t>
            </w:r>
          </w:p>
          <w:p w14:paraId="13CA1F64" w14:textId="77777777" w:rsidR="009948F1" w:rsidRDefault="00BC0563">
            <w:pPr>
              <w:pStyle w:val="TableParagraph"/>
              <w:numPr>
                <w:ilvl w:val="0"/>
                <w:numId w:val="325"/>
              </w:numPr>
              <w:tabs>
                <w:tab w:val="left" w:pos="460"/>
                <w:tab w:val="left" w:pos="461"/>
              </w:tabs>
              <w:spacing w:before="16" w:line="256" w:lineRule="auto"/>
              <w:ind w:right="181"/>
              <w:rPr>
                <w:sz w:val="18"/>
              </w:rPr>
            </w:pPr>
            <w:r>
              <w:rPr>
                <w:color w:val="231F20"/>
                <w:w w:val="110"/>
                <w:sz w:val="18"/>
              </w:rPr>
              <w:t>Treatment</w:t>
            </w:r>
            <w:r>
              <w:rPr>
                <w:color w:val="231F20"/>
                <w:spacing w:val="-10"/>
                <w:w w:val="110"/>
                <w:sz w:val="18"/>
              </w:rPr>
              <w:t xml:space="preserve"> </w:t>
            </w:r>
            <w:r>
              <w:rPr>
                <w:color w:val="231F20"/>
                <w:w w:val="110"/>
                <w:sz w:val="18"/>
              </w:rPr>
              <w:t>of</w:t>
            </w:r>
            <w:r>
              <w:rPr>
                <w:color w:val="231F20"/>
                <w:spacing w:val="-9"/>
                <w:w w:val="110"/>
                <w:sz w:val="18"/>
              </w:rPr>
              <w:t xml:space="preserve"> </w:t>
            </w:r>
            <w:r>
              <w:rPr>
                <w:color w:val="231F20"/>
                <w:w w:val="110"/>
                <w:sz w:val="18"/>
              </w:rPr>
              <w:t>medical</w:t>
            </w:r>
            <w:r>
              <w:rPr>
                <w:color w:val="231F20"/>
                <w:spacing w:val="-10"/>
                <w:w w:val="110"/>
                <w:sz w:val="18"/>
              </w:rPr>
              <w:t xml:space="preserve"> </w:t>
            </w:r>
            <w:r>
              <w:rPr>
                <w:color w:val="231F20"/>
                <w:w w:val="110"/>
                <w:sz w:val="18"/>
              </w:rPr>
              <w:t>emergencies</w:t>
            </w:r>
            <w:r>
              <w:rPr>
                <w:color w:val="231F20"/>
                <w:spacing w:val="-9"/>
                <w:w w:val="110"/>
                <w:sz w:val="18"/>
              </w:rPr>
              <w:t xml:space="preserve"> </w:t>
            </w:r>
            <w:r>
              <w:rPr>
                <w:color w:val="231F20"/>
                <w:w w:val="110"/>
                <w:sz w:val="18"/>
              </w:rPr>
              <w:t>and</w:t>
            </w:r>
            <w:r>
              <w:rPr>
                <w:color w:val="231F20"/>
                <w:spacing w:val="-10"/>
                <w:w w:val="110"/>
                <w:sz w:val="18"/>
              </w:rPr>
              <w:t xml:space="preserve"> </w:t>
            </w:r>
            <w:r>
              <w:rPr>
                <w:color w:val="231F20"/>
                <w:w w:val="110"/>
                <w:sz w:val="18"/>
              </w:rPr>
              <w:t>accident</w:t>
            </w:r>
            <w:r>
              <w:rPr>
                <w:color w:val="231F20"/>
                <w:spacing w:val="-9"/>
                <w:w w:val="110"/>
                <w:sz w:val="18"/>
              </w:rPr>
              <w:t xml:space="preserve"> </w:t>
            </w:r>
            <w:r>
              <w:rPr>
                <w:color w:val="231F20"/>
                <w:w w:val="110"/>
                <w:sz w:val="18"/>
              </w:rPr>
              <w:t>victims for the first 24</w:t>
            </w:r>
            <w:r>
              <w:rPr>
                <w:color w:val="231F20"/>
                <w:spacing w:val="-6"/>
                <w:w w:val="110"/>
                <w:sz w:val="18"/>
              </w:rPr>
              <w:t xml:space="preserve"> </w:t>
            </w:r>
            <w:r>
              <w:rPr>
                <w:color w:val="231F20"/>
                <w:w w:val="110"/>
                <w:sz w:val="18"/>
              </w:rPr>
              <w:t>hours.</w:t>
            </w:r>
          </w:p>
          <w:p w14:paraId="4C22F0C8" w14:textId="77777777" w:rsidR="009948F1" w:rsidRDefault="00BC0563">
            <w:pPr>
              <w:pStyle w:val="TableParagraph"/>
              <w:numPr>
                <w:ilvl w:val="0"/>
                <w:numId w:val="325"/>
              </w:numPr>
              <w:tabs>
                <w:tab w:val="left" w:pos="460"/>
                <w:tab w:val="left" w:pos="461"/>
              </w:tabs>
              <w:spacing w:before="18"/>
              <w:rPr>
                <w:sz w:val="18"/>
              </w:rPr>
            </w:pPr>
            <w:r>
              <w:rPr>
                <w:color w:val="231F20"/>
                <w:w w:val="110"/>
                <w:sz w:val="18"/>
              </w:rPr>
              <w:t>Made universal to all residents in the</w:t>
            </w:r>
            <w:r>
              <w:rPr>
                <w:color w:val="231F20"/>
                <w:spacing w:val="-16"/>
                <w:w w:val="110"/>
                <w:sz w:val="18"/>
              </w:rPr>
              <w:t xml:space="preserve"> </w:t>
            </w:r>
            <w:r>
              <w:rPr>
                <w:color w:val="231F20"/>
                <w:w w:val="110"/>
                <w:sz w:val="18"/>
              </w:rPr>
              <w:t>State.</w:t>
            </w:r>
          </w:p>
        </w:tc>
      </w:tr>
      <w:tr w:rsidR="009948F1" w14:paraId="4738E47D" w14:textId="77777777">
        <w:trPr>
          <w:trHeight w:val="825"/>
        </w:trPr>
        <w:tc>
          <w:tcPr>
            <w:tcW w:w="545" w:type="dxa"/>
          </w:tcPr>
          <w:p w14:paraId="76CC1B91" w14:textId="77777777" w:rsidR="009948F1" w:rsidRDefault="00BC0563">
            <w:pPr>
              <w:pStyle w:val="TableParagraph"/>
              <w:spacing w:line="207" w:lineRule="exact"/>
              <w:ind w:left="106"/>
              <w:rPr>
                <w:sz w:val="18"/>
              </w:rPr>
            </w:pPr>
            <w:r>
              <w:rPr>
                <w:color w:val="231F20"/>
                <w:w w:val="109"/>
                <w:sz w:val="18"/>
              </w:rPr>
              <w:t>2</w:t>
            </w:r>
          </w:p>
        </w:tc>
        <w:tc>
          <w:tcPr>
            <w:tcW w:w="1978" w:type="dxa"/>
          </w:tcPr>
          <w:p w14:paraId="0F4A744D" w14:textId="77777777" w:rsidR="009948F1" w:rsidRDefault="00BC0563">
            <w:pPr>
              <w:pStyle w:val="TableParagraph"/>
              <w:spacing w:line="276" w:lineRule="auto"/>
              <w:ind w:left="106" w:right="143"/>
              <w:rPr>
                <w:sz w:val="18"/>
              </w:rPr>
            </w:pPr>
            <w:r>
              <w:rPr>
                <w:color w:val="231F20"/>
                <w:w w:val="110"/>
                <w:sz w:val="18"/>
              </w:rPr>
              <w:t>Primary Health Care Management Boards Law</w:t>
            </w:r>
          </w:p>
        </w:tc>
        <w:tc>
          <w:tcPr>
            <w:tcW w:w="1163" w:type="dxa"/>
          </w:tcPr>
          <w:p w14:paraId="365C73BB" w14:textId="77777777" w:rsidR="009948F1" w:rsidRDefault="00BC0563">
            <w:pPr>
              <w:pStyle w:val="TableParagraph"/>
              <w:spacing w:line="207" w:lineRule="exact"/>
              <w:ind w:right="350"/>
              <w:jc w:val="right"/>
              <w:rPr>
                <w:sz w:val="18"/>
              </w:rPr>
            </w:pPr>
            <w:r>
              <w:rPr>
                <w:color w:val="231F20"/>
                <w:w w:val="105"/>
                <w:sz w:val="18"/>
              </w:rPr>
              <w:t>2011</w:t>
            </w:r>
          </w:p>
        </w:tc>
        <w:tc>
          <w:tcPr>
            <w:tcW w:w="5498" w:type="dxa"/>
            <w:gridSpan w:val="2"/>
          </w:tcPr>
          <w:p w14:paraId="13D0AAE6" w14:textId="77777777" w:rsidR="009948F1" w:rsidRDefault="00BC0563">
            <w:pPr>
              <w:pStyle w:val="TableParagraph"/>
              <w:spacing w:line="276" w:lineRule="auto"/>
              <w:ind w:left="105" w:right="141"/>
              <w:rPr>
                <w:sz w:val="18"/>
              </w:rPr>
            </w:pPr>
            <w:r>
              <w:rPr>
                <w:color w:val="231F20"/>
                <w:w w:val="110"/>
                <w:sz w:val="18"/>
              </w:rPr>
              <w:t>This law seeks to make primary health care facilities should be autonomous through the establishment of Boards and the direct funding of these facilities.</w:t>
            </w:r>
          </w:p>
        </w:tc>
      </w:tr>
      <w:tr w:rsidR="009948F1" w14:paraId="04F3C122" w14:textId="77777777">
        <w:trPr>
          <w:trHeight w:val="823"/>
        </w:trPr>
        <w:tc>
          <w:tcPr>
            <w:tcW w:w="545" w:type="dxa"/>
          </w:tcPr>
          <w:p w14:paraId="6CA26C52" w14:textId="77777777" w:rsidR="009948F1" w:rsidRDefault="00BC0563">
            <w:pPr>
              <w:pStyle w:val="TableParagraph"/>
              <w:spacing w:line="207" w:lineRule="exact"/>
              <w:ind w:left="106"/>
              <w:rPr>
                <w:sz w:val="18"/>
              </w:rPr>
            </w:pPr>
            <w:r>
              <w:rPr>
                <w:color w:val="231F20"/>
                <w:w w:val="109"/>
                <w:sz w:val="18"/>
              </w:rPr>
              <w:t>3</w:t>
            </w:r>
          </w:p>
        </w:tc>
        <w:tc>
          <w:tcPr>
            <w:tcW w:w="1978" w:type="dxa"/>
          </w:tcPr>
          <w:p w14:paraId="2E22689F" w14:textId="77777777" w:rsidR="009948F1" w:rsidRDefault="00BC0563">
            <w:pPr>
              <w:pStyle w:val="TableParagraph"/>
              <w:spacing w:line="276" w:lineRule="auto"/>
              <w:ind w:left="106" w:right="143"/>
              <w:rPr>
                <w:sz w:val="18"/>
              </w:rPr>
            </w:pPr>
            <w:r>
              <w:rPr>
                <w:color w:val="231F20"/>
                <w:w w:val="110"/>
                <w:sz w:val="18"/>
              </w:rPr>
              <w:t>Rivers State Agency for the Control of AIDS</w:t>
            </w:r>
          </w:p>
        </w:tc>
        <w:tc>
          <w:tcPr>
            <w:tcW w:w="1163" w:type="dxa"/>
          </w:tcPr>
          <w:p w14:paraId="791465B6" w14:textId="77777777" w:rsidR="009948F1" w:rsidRDefault="009948F1">
            <w:pPr>
              <w:pStyle w:val="TableParagraph"/>
              <w:rPr>
                <w:rFonts w:ascii="Times New Roman"/>
                <w:sz w:val="20"/>
              </w:rPr>
            </w:pPr>
          </w:p>
        </w:tc>
        <w:tc>
          <w:tcPr>
            <w:tcW w:w="4777" w:type="dxa"/>
            <w:tcBorders>
              <w:right w:val="nil"/>
            </w:tcBorders>
          </w:tcPr>
          <w:p w14:paraId="1E8F0209" w14:textId="77777777" w:rsidR="009948F1" w:rsidRDefault="00BC0563">
            <w:pPr>
              <w:pStyle w:val="TableParagraph"/>
              <w:spacing w:line="276" w:lineRule="auto"/>
              <w:ind w:left="105"/>
              <w:rPr>
                <w:sz w:val="18"/>
              </w:rPr>
            </w:pPr>
            <w:r>
              <w:rPr>
                <w:color w:val="231F20"/>
                <w:w w:val="110"/>
                <w:sz w:val="18"/>
              </w:rPr>
              <w:t>Aimed at strengthening coordination mechanisms for HIV/AIDS prevention and control across all sectors state.</w:t>
            </w:r>
          </w:p>
        </w:tc>
        <w:tc>
          <w:tcPr>
            <w:tcW w:w="721" w:type="dxa"/>
            <w:tcBorders>
              <w:left w:val="nil"/>
            </w:tcBorders>
          </w:tcPr>
          <w:p w14:paraId="6F4DE41D" w14:textId="77777777" w:rsidR="009948F1" w:rsidRDefault="009948F1">
            <w:pPr>
              <w:pStyle w:val="TableParagraph"/>
              <w:spacing w:before="8"/>
              <w:rPr>
                <w:b/>
                <w:i/>
                <w:sz w:val="20"/>
              </w:rPr>
            </w:pPr>
          </w:p>
          <w:p w14:paraId="1A352C5E" w14:textId="77777777" w:rsidR="009948F1" w:rsidRDefault="00BC0563">
            <w:pPr>
              <w:pStyle w:val="TableParagraph"/>
              <w:ind w:left="84"/>
              <w:rPr>
                <w:sz w:val="18"/>
              </w:rPr>
            </w:pPr>
            <w:r>
              <w:rPr>
                <w:color w:val="231F20"/>
                <w:w w:val="110"/>
                <w:sz w:val="18"/>
              </w:rPr>
              <w:t>of the</w:t>
            </w:r>
          </w:p>
        </w:tc>
      </w:tr>
      <w:tr w:rsidR="009948F1" w14:paraId="1F2C4068" w14:textId="77777777">
        <w:trPr>
          <w:trHeight w:val="1196"/>
        </w:trPr>
        <w:tc>
          <w:tcPr>
            <w:tcW w:w="545" w:type="dxa"/>
            <w:tcBorders>
              <w:bottom w:val="nil"/>
            </w:tcBorders>
          </w:tcPr>
          <w:p w14:paraId="1644E48F" w14:textId="77777777" w:rsidR="009948F1" w:rsidRDefault="00BC0563">
            <w:pPr>
              <w:pStyle w:val="TableParagraph"/>
              <w:spacing w:before="2"/>
              <w:ind w:left="106"/>
              <w:rPr>
                <w:sz w:val="18"/>
              </w:rPr>
            </w:pPr>
            <w:r>
              <w:rPr>
                <w:color w:val="231F20"/>
                <w:w w:val="109"/>
                <w:sz w:val="18"/>
              </w:rPr>
              <w:t>4</w:t>
            </w:r>
          </w:p>
        </w:tc>
        <w:tc>
          <w:tcPr>
            <w:tcW w:w="1978" w:type="dxa"/>
            <w:tcBorders>
              <w:bottom w:val="nil"/>
            </w:tcBorders>
          </w:tcPr>
          <w:p w14:paraId="6C01060F" w14:textId="77777777" w:rsidR="009948F1" w:rsidRDefault="00BC0563">
            <w:pPr>
              <w:pStyle w:val="TableParagraph"/>
              <w:spacing w:before="2" w:line="276" w:lineRule="auto"/>
              <w:ind w:left="106" w:right="700"/>
              <w:rPr>
                <w:b/>
                <w:sz w:val="3"/>
              </w:rPr>
            </w:pPr>
            <w:r>
              <w:rPr>
                <w:color w:val="3F3A2C"/>
                <w:w w:val="110"/>
                <w:sz w:val="18"/>
              </w:rPr>
              <w:t xml:space="preserve">Rivers State </w:t>
            </w:r>
            <w:r>
              <w:rPr>
                <w:color w:val="3F3A2C"/>
                <w:w w:val="109"/>
                <w:sz w:val="18"/>
              </w:rPr>
              <w:t>Government’</w:t>
            </w:r>
            <w:r>
              <w:rPr>
                <w:b/>
                <w:color w:val="3F3A2C"/>
                <w:w w:val="102"/>
                <w:sz w:val="3"/>
              </w:rPr>
              <w:t>s</w:t>
            </w:r>
          </w:p>
          <w:p w14:paraId="7E524B8E" w14:textId="77777777" w:rsidR="009948F1" w:rsidRDefault="00BC0563">
            <w:pPr>
              <w:pStyle w:val="TableParagraph"/>
              <w:spacing w:before="1"/>
              <w:ind w:left="106"/>
              <w:rPr>
                <w:b/>
                <w:sz w:val="3"/>
              </w:rPr>
            </w:pPr>
            <w:r>
              <w:rPr>
                <w:color w:val="3F3A2C"/>
                <w:w w:val="110"/>
                <w:sz w:val="18"/>
              </w:rPr>
              <w:t xml:space="preserve">health policy of “60 </w:t>
            </w:r>
            <w:r>
              <w:rPr>
                <w:b/>
                <w:color w:val="3F3A2C"/>
                <w:w w:val="110"/>
                <w:sz w:val="3"/>
              </w:rPr>
              <w:t>-</w:t>
            </w:r>
          </w:p>
          <w:p w14:paraId="36298C2F" w14:textId="77777777" w:rsidR="009948F1" w:rsidRDefault="00BC0563">
            <w:pPr>
              <w:pStyle w:val="TableParagraph"/>
              <w:spacing w:before="32"/>
              <w:ind w:left="106"/>
              <w:rPr>
                <w:sz w:val="18"/>
              </w:rPr>
            </w:pPr>
            <w:r>
              <w:rPr>
                <w:color w:val="3F3A2C"/>
                <w:w w:val="109"/>
                <w:sz w:val="18"/>
              </w:rPr>
              <w:t>6</w:t>
            </w:r>
            <w:r>
              <w:rPr>
                <w:color w:val="3F3A2C"/>
                <w:spacing w:val="-1"/>
                <w:w w:val="109"/>
                <w:sz w:val="18"/>
              </w:rPr>
              <w:t>0</w:t>
            </w:r>
            <w:r>
              <w:rPr>
                <w:b/>
                <w:color w:val="3F3A2C"/>
                <w:w w:val="102"/>
                <w:sz w:val="3"/>
              </w:rPr>
              <w:t>-</w:t>
            </w:r>
            <w:r>
              <w:rPr>
                <w:b/>
                <w:color w:val="3F3A2C"/>
                <w:sz w:val="3"/>
              </w:rPr>
              <w:t xml:space="preserve">      </w:t>
            </w:r>
            <w:r>
              <w:rPr>
                <w:b/>
                <w:color w:val="3F3A2C"/>
                <w:spacing w:val="-3"/>
                <w:sz w:val="3"/>
              </w:rPr>
              <w:t xml:space="preserve"> </w:t>
            </w:r>
            <w:r>
              <w:rPr>
                <w:color w:val="3F3A2C"/>
                <w:w w:val="109"/>
                <w:sz w:val="18"/>
              </w:rPr>
              <w:t>60”</w:t>
            </w:r>
            <w:r>
              <w:rPr>
                <w:color w:val="3F3A2C"/>
                <w:spacing w:val="4"/>
                <w:sz w:val="18"/>
              </w:rPr>
              <w:t xml:space="preserve"> </w:t>
            </w:r>
            <w:r>
              <w:rPr>
                <w:color w:val="3F3A2C"/>
                <w:spacing w:val="-1"/>
                <w:w w:val="109"/>
                <w:sz w:val="18"/>
              </w:rPr>
              <w:t>Pr</w:t>
            </w:r>
            <w:r>
              <w:rPr>
                <w:color w:val="3F3A2C"/>
                <w:w w:val="109"/>
                <w:sz w:val="18"/>
              </w:rPr>
              <w:t>oje</w:t>
            </w:r>
            <w:r>
              <w:rPr>
                <w:color w:val="3F3A2C"/>
                <w:spacing w:val="-1"/>
                <w:w w:val="109"/>
                <w:sz w:val="18"/>
              </w:rPr>
              <w:t>c</w:t>
            </w:r>
            <w:r>
              <w:rPr>
                <w:color w:val="3F3A2C"/>
                <w:w w:val="109"/>
                <w:sz w:val="18"/>
              </w:rPr>
              <w:t>t</w:t>
            </w:r>
          </w:p>
        </w:tc>
        <w:tc>
          <w:tcPr>
            <w:tcW w:w="1163" w:type="dxa"/>
            <w:tcBorders>
              <w:bottom w:val="nil"/>
            </w:tcBorders>
          </w:tcPr>
          <w:p w14:paraId="72F3BBD1" w14:textId="77777777" w:rsidR="009948F1" w:rsidRDefault="00BC0563">
            <w:pPr>
              <w:pStyle w:val="TableParagraph"/>
              <w:spacing w:before="2"/>
              <w:ind w:left="385"/>
              <w:rPr>
                <w:sz w:val="18"/>
              </w:rPr>
            </w:pPr>
            <w:r>
              <w:rPr>
                <w:color w:val="231F20"/>
                <w:w w:val="110"/>
                <w:sz w:val="18"/>
              </w:rPr>
              <w:t>2010-</w:t>
            </w:r>
          </w:p>
          <w:p w14:paraId="0B792B7A" w14:textId="77777777" w:rsidR="009948F1" w:rsidRDefault="00BC0563">
            <w:pPr>
              <w:pStyle w:val="TableParagraph"/>
              <w:spacing w:before="31"/>
              <w:ind w:left="385"/>
              <w:rPr>
                <w:sz w:val="18"/>
              </w:rPr>
            </w:pPr>
            <w:r>
              <w:rPr>
                <w:color w:val="231F20"/>
                <w:w w:val="110"/>
                <w:sz w:val="18"/>
              </w:rPr>
              <w:t>2012</w:t>
            </w:r>
          </w:p>
        </w:tc>
        <w:tc>
          <w:tcPr>
            <w:tcW w:w="5498" w:type="dxa"/>
            <w:gridSpan w:val="2"/>
            <w:tcBorders>
              <w:bottom w:val="nil"/>
            </w:tcBorders>
          </w:tcPr>
          <w:p w14:paraId="4285A62F" w14:textId="77777777" w:rsidR="009948F1" w:rsidRDefault="00BC0563">
            <w:pPr>
              <w:pStyle w:val="TableParagraph"/>
              <w:spacing w:before="2" w:line="276" w:lineRule="auto"/>
              <w:ind w:left="460" w:right="47" w:hanging="356"/>
              <w:rPr>
                <w:sz w:val="18"/>
              </w:rPr>
            </w:pPr>
            <w:r>
              <w:rPr>
                <w:color w:val="231F20"/>
                <w:w w:val="110"/>
                <w:sz w:val="18"/>
              </w:rPr>
              <w:t xml:space="preserve">The 60 -60-60 project was commissioned to deliver 60 PHC to 60 communities in 60 days so that over 100 new PHC </w:t>
            </w:r>
            <w:proofErr w:type="spellStart"/>
            <w:r>
              <w:rPr>
                <w:color w:val="231F20"/>
                <w:w w:val="110"/>
                <w:sz w:val="18"/>
              </w:rPr>
              <w:t>centres</w:t>
            </w:r>
            <w:proofErr w:type="spellEnd"/>
            <w:r>
              <w:rPr>
                <w:color w:val="231F20"/>
                <w:w w:val="110"/>
                <w:sz w:val="18"/>
              </w:rPr>
              <w:t xml:space="preserve"> were been built and fully equipped.</w:t>
            </w:r>
          </w:p>
          <w:p w14:paraId="1C454220" w14:textId="77777777" w:rsidR="009948F1" w:rsidRDefault="00BC0563">
            <w:pPr>
              <w:pStyle w:val="TableParagraph"/>
              <w:spacing w:before="2"/>
              <w:ind w:left="105"/>
              <w:rPr>
                <w:sz w:val="18"/>
              </w:rPr>
            </w:pPr>
            <w:r>
              <w:rPr>
                <w:color w:val="231F20"/>
                <w:w w:val="110"/>
                <w:sz w:val="18"/>
              </w:rPr>
              <w:t>To address these inadequacies, the State Government</w:t>
            </w:r>
          </w:p>
          <w:p w14:paraId="2806926E" w14:textId="77777777" w:rsidR="009948F1" w:rsidRDefault="00BC0563">
            <w:pPr>
              <w:pStyle w:val="TableParagraph"/>
              <w:spacing w:before="31"/>
              <w:ind w:left="460"/>
              <w:rPr>
                <w:sz w:val="18"/>
              </w:rPr>
            </w:pPr>
            <w:r>
              <w:rPr>
                <w:color w:val="231F20"/>
                <w:w w:val="110"/>
                <w:sz w:val="18"/>
              </w:rPr>
              <w:t>adopted a health policy that gave priority to</w:t>
            </w:r>
          </w:p>
        </w:tc>
      </w:tr>
      <w:tr w:rsidR="009948F1" w14:paraId="7A2212F3" w14:textId="77777777">
        <w:trPr>
          <w:trHeight w:val="1195"/>
        </w:trPr>
        <w:tc>
          <w:tcPr>
            <w:tcW w:w="545" w:type="dxa"/>
            <w:tcBorders>
              <w:top w:val="nil"/>
            </w:tcBorders>
          </w:tcPr>
          <w:p w14:paraId="7FAFA354" w14:textId="77777777" w:rsidR="009948F1" w:rsidRDefault="009948F1">
            <w:pPr>
              <w:pStyle w:val="TableParagraph"/>
              <w:rPr>
                <w:rFonts w:ascii="Times New Roman"/>
                <w:sz w:val="20"/>
              </w:rPr>
            </w:pPr>
          </w:p>
        </w:tc>
        <w:tc>
          <w:tcPr>
            <w:tcW w:w="1978" w:type="dxa"/>
            <w:tcBorders>
              <w:top w:val="nil"/>
            </w:tcBorders>
          </w:tcPr>
          <w:p w14:paraId="1019CDA5" w14:textId="77777777" w:rsidR="009948F1" w:rsidRDefault="009948F1">
            <w:pPr>
              <w:pStyle w:val="TableParagraph"/>
              <w:rPr>
                <w:rFonts w:ascii="Times New Roman"/>
                <w:sz w:val="20"/>
              </w:rPr>
            </w:pPr>
          </w:p>
        </w:tc>
        <w:tc>
          <w:tcPr>
            <w:tcW w:w="1163" w:type="dxa"/>
            <w:tcBorders>
              <w:top w:val="nil"/>
            </w:tcBorders>
          </w:tcPr>
          <w:p w14:paraId="48F2FDCB" w14:textId="77777777" w:rsidR="009948F1" w:rsidRDefault="009948F1">
            <w:pPr>
              <w:pStyle w:val="TableParagraph"/>
              <w:rPr>
                <w:rFonts w:ascii="Times New Roman"/>
                <w:sz w:val="20"/>
              </w:rPr>
            </w:pPr>
          </w:p>
        </w:tc>
        <w:tc>
          <w:tcPr>
            <w:tcW w:w="5498" w:type="dxa"/>
            <w:gridSpan w:val="2"/>
            <w:tcBorders>
              <w:top w:val="nil"/>
            </w:tcBorders>
          </w:tcPr>
          <w:p w14:paraId="2CFF4032" w14:textId="617D59EA" w:rsidR="009948F1" w:rsidRDefault="00BC0563">
            <w:pPr>
              <w:pStyle w:val="TableParagraph"/>
              <w:spacing w:before="1" w:line="276" w:lineRule="auto"/>
              <w:ind w:left="460" w:right="108"/>
              <w:rPr>
                <w:sz w:val="18"/>
              </w:rPr>
            </w:pPr>
            <w:r>
              <w:rPr>
                <w:color w:val="231F20"/>
                <w:w w:val="110"/>
                <w:sz w:val="18"/>
              </w:rPr>
              <w:t>strengthening of the primary health care system with a view to improving the performance of the health sector. The Government’s objective was to provide good quality, efficient effective and affordable essential health</w:t>
            </w:r>
          </w:p>
          <w:p w14:paraId="574E83C5" w14:textId="77777777" w:rsidR="009948F1" w:rsidRDefault="00BC0563">
            <w:pPr>
              <w:pStyle w:val="TableParagraph"/>
              <w:spacing w:before="3"/>
              <w:ind w:left="460"/>
              <w:rPr>
                <w:sz w:val="18"/>
              </w:rPr>
            </w:pPr>
            <w:r>
              <w:rPr>
                <w:color w:val="231F20"/>
                <w:w w:val="110"/>
                <w:sz w:val="18"/>
              </w:rPr>
              <w:t>services across the state.</w:t>
            </w:r>
          </w:p>
        </w:tc>
      </w:tr>
      <w:tr w:rsidR="009948F1" w14:paraId="347E1A8C" w14:textId="77777777">
        <w:trPr>
          <w:trHeight w:val="1194"/>
        </w:trPr>
        <w:tc>
          <w:tcPr>
            <w:tcW w:w="545" w:type="dxa"/>
          </w:tcPr>
          <w:p w14:paraId="083DF42F" w14:textId="77777777" w:rsidR="009948F1" w:rsidRDefault="00BC0563">
            <w:pPr>
              <w:pStyle w:val="TableParagraph"/>
              <w:spacing w:line="207" w:lineRule="exact"/>
              <w:ind w:left="106"/>
              <w:rPr>
                <w:sz w:val="18"/>
              </w:rPr>
            </w:pPr>
            <w:r>
              <w:rPr>
                <w:color w:val="231F20"/>
                <w:w w:val="109"/>
                <w:sz w:val="18"/>
              </w:rPr>
              <w:t>5</w:t>
            </w:r>
          </w:p>
        </w:tc>
        <w:tc>
          <w:tcPr>
            <w:tcW w:w="1978" w:type="dxa"/>
          </w:tcPr>
          <w:p w14:paraId="4BCD64F3" w14:textId="77777777" w:rsidR="009948F1" w:rsidRDefault="00BC0563">
            <w:pPr>
              <w:pStyle w:val="TableParagraph"/>
              <w:spacing w:line="276" w:lineRule="auto"/>
              <w:ind w:left="106"/>
              <w:rPr>
                <w:sz w:val="18"/>
              </w:rPr>
            </w:pPr>
            <w:r>
              <w:rPr>
                <w:color w:val="3F3A2C"/>
                <w:w w:val="110"/>
                <w:sz w:val="18"/>
              </w:rPr>
              <w:t>Public Private Partnership</w:t>
            </w:r>
          </w:p>
        </w:tc>
        <w:tc>
          <w:tcPr>
            <w:tcW w:w="1163" w:type="dxa"/>
          </w:tcPr>
          <w:p w14:paraId="21A688C2" w14:textId="77777777" w:rsidR="009948F1" w:rsidRDefault="009948F1">
            <w:pPr>
              <w:pStyle w:val="TableParagraph"/>
              <w:rPr>
                <w:rFonts w:ascii="Times New Roman"/>
                <w:sz w:val="20"/>
              </w:rPr>
            </w:pPr>
          </w:p>
        </w:tc>
        <w:tc>
          <w:tcPr>
            <w:tcW w:w="5498" w:type="dxa"/>
            <w:gridSpan w:val="2"/>
          </w:tcPr>
          <w:p w14:paraId="0CD94316" w14:textId="77777777" w:rsidR="009948F1" w:rsidRDefault="00BC0563">
            <w:pPr>
              <w:pStyle w:val="TableParagraph"/>
              <w:spacing w:line="276" w:lineRule="auto"/>
              <w:ind w:left="460" w:hanging="356"/>
              <w:rPr>
                <w:sz w:val="18"/>
              </w:rPr>
            </w:pPr>
            <w:r>
              <w:rPr>
                <w:color w:val="231F20"/>
                <w:w w:val="110"/>
                <w:sz w:val="18"/>
              </w:rPr>
              <w:t>In a bid to strengthen the referral system, a 120 bed Kelsey Harrison Hospital was built and equipped.</w:t>
            </w:r>
          </w:p>
          <w:p w14:paraId="05EF56D9" w14:textId="77777777" w:rsidR="009948F1" w:rsidRDefault="00BC0563">
            <w:pPr>
              <w:pStyle w:val="TableParagraph"/>
              <w:spacing w:before="1"/>
              <w:ind w:left="105"/>
              <w:rPr>
                <w:sz w:val="18"/>
              </w:rPr>
            </w:pPr>
            <w:r>
              <w:rPr>
                <w:color w:val="231F20"/>
                <w:w w:val="110"/>
                <w:sz w:val="18"/>
              </w:rPr>
              <w:t>The building of six other zonal referral hospitals in the State.</w:t>
            </w:r>
          </w:p>
          <w:p w14:paraId="49E36A9E" w14:textId="77777777" w:rsidR="009948F1" w:rsidRDefault="00BC0563">
            <w:pPr>
              <w:pStyle w:val="TableParagraph"/>
              <w:spacing w:before="8" w:line="240" w:lineRule="exact"/>
              <w:ind w:left="460" w:right="47" w:hanging="356"/>
              <w:rPr>
                <w:sz w:val="18"/>
              </w:rPr>
            </w:pPr>
            <w:r>
              <w:rPr>
                <w:color w:val="231F20"/>
                <w:w w:val="110"/>
                <w:sz w:val="18"/>
              </w:rPr>
              <w:t>In addition, a new dental and maxilla -facial hospital has also been constructed.</w:t>
            </w:r>
          </w:p>
        </w:tc>
      </w:tr>
      <w:tr w:rsidR="009948F1" w14:paraId="5E226716" w14:textId="77777777">
        <w:trPr>
          <w:trHeight w:val="711"/>
        </w:trPr>
        <w:tc>
          <w:tcPr>
            <w:tcW w:w="545" w:type="dxa"/>
            <w:tcBorders>
              <w:bottom w:val="nil"/>
            </w:tcBorders>
          </w:tcPr>
          <w:p w14:paraId="64CD3CF5" w14:textId="77777777" w:rsidR="009948F1" w:rsidRDefault="00BC0563">
            <w:pPr>
              <w:pStyle w:val="TableParagraph"/>
              <w:spacing w:line="207" w:lineRule="exact"/>
              <w:ind w:left="106"/>
              <w:rPr>
                <w:sz w:val="18"/>
              </w:rPr>
            </w:pPr>
            <w:r>
              <w:rPr>
                <w:color w:val="231F20"/>
                <w:w w:val="109"/>
                <w:sz w:val="18"/>
              </w:rPr>
              <w:t>6</w:t>
            </w:r>
          </w:p>
        </w:tc>
        <w:tc>
          <w:tcPr>
            <w:tcW w:w="1978" w:type="dxa"/>
            <w:tcBorders>
              <w:bottom w:val="nil"/>
            </w:tcBorders>
          </w:tcPr>
          <w:p w14:paraId="30A86383" w14:textId="77777777" w:rsidR="009948F1" w:rsidRDefault="00BC0563">
            <w:pPr>
              <w:pStyle w:val="TableParagraph"/>
              <w:spacing w:line="276" w:lineRule="auto"/>
              <w:ind w:left="106"/>
              <w:rPr>
                <w:sz w:val="18"/>
              </w:rPr>
            </w:pPr>
            <w:r>
              <w:rPr>
                <w:color w:val="231F20"/>
                <w:w w:val="110"/>
                <w:sz w:val="18"/>
              </w:rPr>
              <w:t>Rivers State Contributory Health</w:t>
            </w:r>
          </w:p>
          <w:p w14:paraId="46FE70A1" w14:textId="77777777" w:rsidR="009948F1" w:rsidRDefault="00BC0563">
            <w:pPr>
              <w:pStyle w:val="TableParagraph"/>
              <w:spacing w:before="1"/>
              <w:ind w:left="106"/>
              <w:rPr>
                <w:sz w:val="18"/>
              </w:rPr>
            </w:pPr>
            <w:r>
              <w:rPr>
                <w:color w:val="231F20"/>
                <w:w w:val="110"/>
                <w:sz w:val="18"/>
              </w:rPr>
              <w:t>Protection</w:t>
            </w:r>
          </w:p>
        </w:tc>
        <w:tc>
          <w:tcPr>
            <w:tcW w:w="1163" w:type="dxa"/>
            <w:tcBorders>
              <w:bottom w:val="nil"/>
            </w:tcBorders>
          </w:tcPr>
          <w:p w14:paraId="2A33BABD" w14:textId="77777777" w:rsidR="009948F1" w:rsidRDefault="00BC0563">
            <w:pPr>
              <w:pStyle w:val="TableParagraph"/>
              <w:spacing w:line="207" w:lineRule="exact"/>
              <w:ind w:right="328"/>
              <w:jc w:val="right"/>
              <w:rPr>
                <w:sz w:val="18"/>
              </w:rPr>
            </w:pPr>
            <w:r>
              <w:rPr>
                <w:color w:val="231F20"/>
                <w:w w:val="105"/>
                <w:sz w:val="18"/>
              </w:rPr>
              <w:t>2017</w:t>
            </w:r>
          </w:p>
        </w:tc>
        <w:tc>
          <w:tcPr>
            <w:tcW w:w="5498" w:type="dxa"/>
            <w:gridSpan w:val="2"/>
            <w:vMerge w:val="restart"/>
          </w:tcPr>
          <w:p w14:paraId="1D8FADDE" w14:textId="77777777" w:rsidR="009948F1" w:rsidRDefault="00BC0563">
            <w:pPr>
              <w:pStyle w:val="TableParagraph"/>
              <w:numPr>
                <w:ilvl w:val="0"/>
                <w:numId w:val="324"/>
              </w:numPr>
              <w:tabs>
                <w:tab w:val="left" w:pos="460"/>
                <w:tab w:val="left" w:pos="461"/>
              </w:tabs>
              <w:spacing w:line="256" w:lineRule="auto"/>
              <w:ind w:right="153"/>
              <w:rPr>
                <w:sz w:val="18"/>
              </w:rPr>
            </w:pPr>
            <w:r>
              <w:rPr>
                <w:color w:val="231F20"/>
                <w:w w:val="110"/>
                <w:sz w:val="18"/>
              </w:rPr>
              <w:t>The</w:t>
            </w:r>
            <w:r>
              <w:rPr>
                <w:color w:val="231F20"/>
                <w:spacing w:val="-6"/>
                <w:w w:val="110"/>
                <w:sz w:val="18"/>
              </w:rPr>
              <w:t xml:space="preserve"> </w:t>
            </w:r>
            <w:r>
              <w:rPr>
                <w:color w:val="231F20"/>
                <w:w w:val="110"/>
                <w:sz w:val="18"/>
              </w:rPr>
              <w:t>aim</w:t>
            </w:r>
            <w:r>
              <w:rPr>
                <w:color w:val="231F20"/>
                <w:spacing w:val="-6"/>
                <w:w w:val="110"/>
                <w:sz w:val="18"/>
              </w:rPr>
              <w:t xml:space="preserve"> </w:t>
            </w:r>
            <w:r>
              <w:rPr>
                <w:color w:val="231F20"/>
                <w:w w:val="110"/>
                <w:sz w:val="18"/>
              </w:rPr>
              <w:t>is</w:t>
            </w:r>
            <w:r>
              <w:rPr>
                <w:color w:val="231F20"/>
                <w:spacing w:val="-6"/>
                <w:w w:val="110"/>
                <w:sz w:val="18"/>
              </w:rPr>
              <w:t xml:space="preserve"> </w:t>
            </w:r>
            <w:r>
              <w:rPr>
                <w:color w:val="231F20"/>
                <w:w w:val="110"/>
                <w:sz w:val="18"/>
              </w:rPr>
              <w:t>to</w:t>
            </w:r>
            <w:r>
              <w:rPr>
                <w:color w:val="231F20"/>
                <w:spacing w:val="-6"/>
                <w:w w:val="110"/>
                <w:sz w:val="18"/>
              </w:rPr>
              <w:t xml:space="preserve"> </w:t>
            </w:r>
            <w:r>
              <w:rPr>
                <w:color w:val="231F20"/>
                <w:w w:val="110"/>
                <w:sz w:val="18"/>
              </w:rPr>
              <w:t>prevent</w:t>
            </w:r>
            <w:r>
              <w:rPr>
                <w:color w:val="231F20"/>
                <w:spacing w:val="-6"/>
                <w:w w:val="110"/>
                <w:sz w:val="18"/>
              </w:rPr>
              <w:t xml:space="preserve"> </w:t>
            </w:r>
            <w:r>
              <w:rPr>
                <w:color w:val="231F20"/>
                <w:w w:val="110"/>
                <w:sz w:val="18"/>
              </w:rPr>
              <w:t>the</w:t>
            </w:r>
            <w:r>
              <w:rPr>
                <w:color w:val="231F20"/>
                <w:spacing w:val="-6"/>
                <w:w w:val="110"/>
                <w:sz w:val="18"/>
              </w:rPr>
              <w:t xml:space="preserve"> </w:t>
            </w:r>
            <w:r>
              <w:rPr>
                <w:color w:val="231F20"/>
                <w:w w:val="110"/>
                <w:sz w:val="18"/>
              </w:rPr>
              <w:t>financial</w:t>
            </w:r>
            <w:r>
              <w:rPr>
                <w:color w:val="231F20"/>
                <w:spacing w:val="-6"/>
                <w:w w:val="110"/>
                <w:sz w:val="18"/>
              </w:rPr>
              <w:t xml:space="preserve"> </w:t>
            </w:r>
            <w:r>
              <w:rPr>
                <w:color w:val="231F20"/>
                <w:w w:val="110"/>
                <w:sz w:val="18"/>
              </w:rPr>
              <w:t>hardship</w:t>
            </w:r>
            <w:r>
              <w:rPr>
                <w:color w:val="231F20"/>
                <w:spacing w:val="-6"/>
                <w:w w:val="110"/>
                <w:sz w:val="18"/>
              </w:rPr>
              <w:t xml:space="preserve"> </w:t>
            </w:r>
            <w:r>
              <w:rPr>
                <w:color w:val="231F20"/>
                <w:w w:val="110"/>
                <w:sz w:val="18"/>
              </w:rPr>
              <w:t>experienced by</w:t>
            </w:r>
            <w:r>
              <w:rPr>
                <w:color w:val="231F20"/>
                <w:spacing w:val="-6"/>
                <w:w w:val="110"/>
                <w:sz w:val="18"/>
              </w:rPr>
              <w:t xml:space="preserve"> </w:t>
            </w:r>
            <w:r>
              <w:rPr>
                <w:color w:val="231F20"/>
                <w:w w:val="110"/>
                <w:sz w:val="18"/>
              </w:rPr>
              <w:t>families</w:t>
            </w:r>
            <w:r>
              <w:rPr>
                <w:color w:val="231F20"/>
                <w:spacing w:val="-6"/>
                <w:w w:val="110"/>
                <w:sz w:val="18"/>
              </w:rPr>
              <w:t xml:space="preserve"> </w:t>
            </w:r>
            <w:r>
              <w:rPr>
                <w:color w:val="231F20"/>
                <w:w w:val="110"/>
                <w:sz w:val="18"/>
              </w:rPr>
              <w:t>and</w:t>
            </w:r>
            <w:r>
              <w:rPr>
                <w:color w:val="231F20"/>
                <w:spacing w:val="-6"/>
                <w:w w:val="110"/>
                <w:sz w:val="18"/>
              </w:rPr>
              <w:t xml:space="preserve"> </w:t>
            </w:r>
            <w:r>
              <w:rPr>
                <w:color w:val="231F20"/>
                <w:w w:val="110"/>
                <w:sz w:val="18"/>
              </w:rPr>
              <w:t>move</w:t>
            </w:r>
            <w:r>
              <w:rPr>
                <w:color w:val="231F20"/>
                <w:spacing w:val="-6"/>
                <w:w w:val="110"/>
                <w:sz w:val="18"/>
              </w:rPr>
              <w:t xml:space="preserve"> </w:t>
            </w:r>
            <w:r>
              <w:rPr>
                <w:color w:val="231F20"/>
                <w:w w:val="110"/>
                <w:sz w:val="18"/>
              </w:rPr>
              <w:t>toward</w:t>
            </w:r>
            <w:r>
              <w:rPr>
                <w:color w:val="231F20"/>
                <w:spacing w:val="-6"/>
                <w:w w:val="110"/>
                <w:sz w:val="18"/>
              </w:rPr>
              <w:t xml:space="preserve"> </w:t>
            </w:r>
            <w:r>
              <w:rPr>
                <w:color w:val="231F20"/>
                <w:w w:val="110"/>
                <w:sz w:val="18"/>
              </w:rPr>
              <w:t>health</w:t>
            </w:r>
            <w:r>
              <w:rPr>
                <w:color w:val="231F20"/>
                <w:spacing w:val="-5"/>
                <w:w w:val="110"/>
                <w:sz w:val="18"/>
              </w:rPr>
              <w:t xml:space="preserve"> </w:t>
            </w:r>
            <w:r>
              <w:rPr>
                <w:color w:val="231F20"/>
                <w:w w:val="110"/>
                <w:sz w:val="18"/>
              </w:rPr>
              <w:t>insurance</w:t>
            </w:r>
            <w:r>
              <w:rPr>
                <w:color w:val="231F20"/>
                <w:spacing w:val="-6"/>
                <w:w w:val="110"/>
                <w:sz w:val="18"/>
              </w:rPr>
              <w:t xml:space="preserve"> </w:t>
            </w:r>
            <w:r>
              <w:rPr>
                <w:color w:val="231F20"/>
                <w:w w:val="110"/>
                <w:sz w:val="18"/>
              </w:rPr>
              <w:t>scheme.</w:t>
            </w:r>
          </w:p>
          <w:p w14:paraId="2C0DE2E2" w14:textId="77777777" w:rsidR="009948F1" w:rsidRDefault="00BC0563">
            <w:pPr>
              <w:pStyle w:val="TableParagraph"/>
              <w:numPr>
                <w:ilvl w:val="0"/>
                <w:numId w:val="324"/>
              </w:numPr>
              <w:tabs>
                <w:tab w:val="left" w:pos="460"/>
                <w:tab w:val="left" w:pos="461"/>
              </w:tabs>
              <w:spacing w:before="18" w:line="271" w:lineRule="auto"/>
              <w:ind w:right="125"/>
              <w:rPr>
                <w:sz w:val="18"/>
              </w:rPr>
            </w:pPr>
            <w:r>
              <w:rPr>
                <w:color w:val="231F20"/>
                <w:w w:val="110"/>
                <w:sz w:val="18"/>
              </w:rPr>
              <w:t>The (RIVCHPP) draft bill has been sent to the State Executive</w:t>
            </w:r>
            <w:r>
              <w:rPr>
                <w:color w:val="231F20"/>
                <w:spacing w:val="-4"/>
                <w:w w:val="110"/>
                <w:sz w:val="18"/>
              </w:rPr>
              <w:t xml:space="preserve"> </w:t>
            </w:r>
            <w:r>
              <w:rPr>
                <w:color w:val="231F20"/>
                <w:w w:val="110"/>
                <w:sz w:val="18"/>
              </w:rPr>
              <w:t>Council</w:t>
            </w:r>
            <w:r>
              <w:rPr>
                <w:color w:val="231F20"/>
                <w:spacing w:val="-8"/>
                <w:w w:val="110"/>
                <w:sz w:val="18"/>
              </w:rPr>
              <w:t xml:space="preserve"> </w:t>
            </w:r>
            <w:r>
              <w:rPr>
                <w:color w:val="231F20"/>
                <w:w w:val="110"/>
                <w:sz w:val="18"/>
              </w:rPr>
              <w:t>for</w:t>
            </w:r>
            <w:r>
              <w:rPr>
                <w:color w:val="231F20"/>
                <w:spacing w:val="-8"/>
                <w:w w:val="110"/>
                <w:sz w:val="18"/>
              </w:rPr>
              <w:t xml:space="preserve"> </w:t>
            </w:r>
            <w:r>
              <w:rPr>
                <w:color w:val="231F20"/>
                <w:w w:val="110"/>
                <w:sz w:val="18"/>
              </w:rPr>
              <w:t>approval</w:t>
            </w:r>
            <w:r>
              <w:rPr>
                <w:color w:val="231F20"/>
                <w:spacing w:val="-8"/>
                <w:w w:val="110"/>
                <w:sz w:val="18"/>
              </w:rPr>
              <w:t xml:space="preserve"> </w:t>
            </w:r>
            <w:r>
              <w:rPr>
                <w:color w:val="231F20"/>
                <w:w w:val="110"/>
                <w:sz w:val="18"/>
              </w:rPr>
              <w:t>and</w:t>
            </w:r>
            <w:r>
              <w:rPr>
                <w:color w:val="231F20"/>
                <w:spacing w:val="-8"/>
                <w:w w:val="110"/>
                <w:sz w:val="18"/>
              </w:rPr>
              <w:t xml:space="preserve"> </w:t>
            </w:r>
            <w:r>
              <w:rPr>
                <w:color w:val="231F20"/>
                <w:w w:val="110"/>
                <w:sz w:val="18"/>
              </w:rPr>
              <w:t>onward</w:t>
            </w:r>
            <w:r>
              <w:rPr>
                <w:color w:val="231F20"/>
                <w:spacing w:val="-8"/>
                <w:w w:val="110"/>
                <w:sz w:val="18"/>
              </w:rPr>
              <w:t xml:space="preserve"> </w:t>
            </w:r>
            <w:r>
              <w:rPr>
                <w:color w:val="231F20"/>
                <w:w w:val="110"/>
                <w:sz w:val="18"/>
              </w:rPr>
              <w:t>transmission to the Rivers State House of Assembly for public hearing and signing into</w:t>
            </w:r>
            <w:r>
              <w:rPr>
                <w:color w:val="231F20"/>
                <w:spacing w:val="-6"/>
                <w:w w:val="110"/>
                <w:sz w:val="18"/>
              </w:rPr>
              <w:t xml:space="preserve"> </w:t>
            </w:r>
            <w:r>
              <w:rPr>
                <w:color w:val="231F20"/>
                <w:w w:val="110"/>
                <w:sz w:val="18"/>
              </w:rPr>
              <w:t>law.</w:t>
            </w:r>
          </w:p>
          <w:p w14:paraId="2BC5CBA6" w14:textId="77777777" w:rsidR="009948F1" w:rsidRDefault="00BC0563">
            <w:pPr>
              <w:pStyle w:val="TableParagraph"/>
              <w:numPr>
                <w:ilvl w:val="0"/>
                <w:numId w:val="324"/>
              </w:numPr>
              <w:tabs>
                <w:tab w:val="left" w:pos="460"/>
                <w:tab w:val="left" w:pos="461"/>
              </w:tabs>
              <w:spacing w:before="5" w:line="218" w:lineRule="exact"/>
              <w:rPr>
                <w:sz w:val="18"/>
              </w:rPr>
            </w:pPr>
            <w:r>
              <w:rPr>
                <w:color w:val="231F20"/>
                <w:w w:val="110"/>
                <w:sz w:val="18"/>
              </w:rPr>
              <w:t>Is yet to become</w:t>
            </w:r>
            <w:r>
              <w:rPr>
                <w:color w:val="231F20"/>
                <w:spacing w:val="-6"/>
                <w:w w:val="110"/>
                <w:sz w:val="18"/>
              </w:rPr>
              <w:t xml:space="preserve"> </w:t>
            </w:r>
            <w:r>
              <w:rPr>
                <w:color w:val="231F20"/>
                <w:w w:val="110"/>
                <w:sz w:val="18"/>
              </w:rPr>
              <w:t>operational</w:t>
            </w:r>
          </w:p>
        </w:tc>
      </w:tr>
      <w:tr w:rsidR="009948F1" w14:paraId="5B957186" w14:textId="77777777">
        <w:trPr>
          <w:trHeight w:val="949"/>
        </w:trPr>
        <w:tc>
          <w:tcPr>
            <w:tcW w:w="545" w:type="dxa"/>
            <w:tcBorders>
              <w:top w:val="nil"/>
            </w:tcBorders>
          </w:tcPr>
          <w:p w14:paraId="68D99147" w14:textId="77777777" w:rsidR="009948F1" w:rsidRDefault="009948F1">
            <w:pPr>
              <w:pStyle w:val="TableParagraph"/>
              <w:rPr>
                <w:rFonts w:ascii="Times New Roman"/>
                <w:sz w:val="20"/>
              </w:rPr>
            </w:pPr>
          </w:p>
        </w:tc>
        <w:tc>
          <w:tcPr>
            <w:tcW w:w="1978" w:type="dxa"/>
            <w:tcBorders>
              <w:top w:val="nil"/>
            </w:tcBorders>
          </w:tcPr>
          <w:p w14:paraId="7DA74C45" w14:textId="77777777" w:rsidR="009948F1" w:rsidRDefault="00BC0563">
            <w:pPr>
              <w:pStyle w:val="TableParagraph"/>
              <w:spacing w:line="203" w:lineRule="exact"/>
              <w:ind w:left="106"/>
              <w:rPr>
                <w:sz w:val="18"/>
              </w:rPr>
            </w:pPr>
            <w:r>
              <w:rPr>
                <w:color w:val="231F20"/>
                <w:w w:val="110"/>
                <w:sz w:val="18"/>
              </w:rPr>
              <w:t>(RIVCHPP)</w:t>
            </w:r>
          </w:p>
          <w:p w14:paraId="16260075" w14:textId="77777777" w:rsidR="009948F1" w:rsidRDefault="00BC0563">
            <w:pPr>
              <w:pStyle w:val="TableParagraph"/>
              <w:spacing w:before="31" w:line="276" w:lineRule="auto"/>
              <w:ind w:left="106" w:right="143"/>
              <w:rPr>
                <w:sz w:val="18"/>
              </w:rPr>
            </w:pPr>
            <w:proofErr w:type="spellStart"/>
            <w:r>
              <w:rPr>
                <w:color w:val="231F20"/>
                <w:w w:val="110"/>
                <w:sz w:val="18"/>
              </w:rPr>
              <w:t>Programme</w:t>
            </w:r>
            <w:proofErr w:type="spellEnd"/>
            <w:r>
              <w:rPr>
                <w:color w:val="231F20"/>
                <w:w w:val="110"/>
                <w:sz w:val="18"/>
              </w:rPr>
              <w:t xml:space="preserve"> draft Bill</w:t>
            </w:r>
          </w:p>
        </w:tc>
        <w:tc>
          <w:tcPr>
            <w:tcW w:w="1163" w:type="dxa"/>
            <w:tcBorders>
              <w:top w:val="nil"/>
            </w:tcBorders>
          </w:tcPr>
          <w:p w14:paraId="4AEC590D" w14:textId="77777777" w:rsidR="009948F1" w:rsidRDefault="009948F1">
            <w:pPr>
              <w:pStyle w:val="TableParagraph"/>
              <w:rPr>
                <w:rFonts w:ascii="Times New Roman"/>
                <w:sz w:val="20"/>
              </w:rPr>
            </w:pPr>
          </w:p>
        </w:tc>
        <w:tc>
          <w:tcPr>
            <w:tcW w:w="5498" w:type="dxa"/>
            <w:gridSpan w:val="2"/>
            <w:vMerge/>
            <w:tcBorders>
              <w:top w:val="nil"/>
            </w:tcBorders>
          </w:tcPr>
          <w:p w14:paraId="68212BAD" w14:textId="77777777" w:rsidR="009948F1" w:rsidRDefault="009948F1">
            <w:pPr>
              <w:rPr>
                <w:sz w:val="2"/>
                <w:szCs w:val="2"/>
              </w:rPr>
            </w:pPr>
          </w:p>
        </w:tc>
      </w:tr>
    </w:tbl>
    <w:p w14:paraId="0F310E2E" w14:textId="77777777" w:rsidR="009948F1" w:rsidRDefault="009948F1">
      <w:pPr>
        <w:rPr>
          <w:sz w:val="2"/>
          <w:szCs w:val="2"/>
        </w:rPr>
        <w:sectPr w:rsidR="009948F1">
          <w:pgSz w:w="11910" w:h="16840"/>
          <w:pgMar w:top="1260" w:right="1080" w:bottom="1420" w:left="1120" w:header="0" w:footer="1235" w:gutter="0"/>
          <w:cols w:space="720"/>
        </w:sectPr>
      </w:pPr>
    </w:p>
    <w:p w14:paraId="67F9AEC9" w14:textId="77777777" w:rsidR="009948F1" w:rsidRDefault="00BC0563">
      <w:pPr>
        <w:pStyle w:val="Heading7"/>
        <w:numPr>
          <w:ilvl w:val="1"/>
          <w:numId w:val="326"/>
        </w:numPr>
        <w:tabs>
          <w:tab w:val="left" w:pos="862"/>
        </w:tabs>
        <w:spacing w:before="38"/>
        <w:ind w:left="861" w:hanging="721"/>
        <w:jc w:val="both"/>
      </w:pPr>
      <w:bookmarkStart w:id="21" w:name="Page_18"/>
      <w:bookmarkStart w:id="22" w:name="_TOC_250035"/>
      <w:bookmarkEnd w:id="21"/>
      <w:r>
        <w:rPr>
          <w:color w:val="231F20"/>
        </w:rPr>
        <w:lastRenderedPageBreak/>
        <w:t>State</w:t>
      </w:r>
      <w:r>
        <w:rPr>
          <w:color w:val="231F20"/>
          <w:spacing w:val="-25"/>
        </w:rPr>
        <w:t xml:space="preserve"> </w:t>
      </w:r>
      <w:bookmarkEnd w:id="22"/>
      <w:r>
        <w:rPr>
          <w:color w:val="231F20"/>
        </w:rPr>
        <w:t>Profile</w:t>
      </w:r>
    </w:p>
    <w:p w14:paraId="70B33812" w14:textId="77777777" w:rsidR="009948F1" w:rsidRDefault="00BC0563">
      <w:pPr>
        <w:pStyle w:val="BodyText"/>
        <w:spacing w:before="23" w:line="256" w:lineRule="auto"/>
        <w:ind w:left="141" w:right="182"/>
        <w:jc w:val="both"/>
      </w:pPr>
      <w:r>
        <w:rPr>
          <w:color w:val="231F20"/>
        </w:rPr>
        <w:t>Rivers</w:t>
      </w:r>
      <w:r>
        <w:rPr>
          <w:color w:val="231F20"/>
          <w:spacing w:val="-16"/>
        </w:rPr>
        <w:t xml:space="preserve"> </w:t>
      </w:r>
      <w:r>
        <w:rPr>
          <w:color w:val="231F20"/>
        </w:rPr>
        <w:t>State,</w:t>
      </w:r>
      <w:r>
        <w:rPr>
          <w:color w:val="231F20"/>
          <w:spacing w:val="-15"/>
        </w:rPr>
        <w:t xml:space="preserve"> </w:t>
      </w:r>
      <w:r>
        <w:rPr>
          <w:color w:val="231F20"/>
        </w:rPr>
        <w:t>one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thirty-six</w:t>
      </w:r>
      <w:r>
        <w:rPr>
          <w:color w:val="231F20"/>
          <w:spacing w:val="-15"/>
        </w:rPr>
        <w:t xml:space="preserve"> </w:t>
      </w:r>
      <w:r>
        <w:rPr>
          <w:color w:val="231F20"/>
        </w:rPr>
        <w:t>states</w:t>
      </w:r>
      <w:r>
        <w:rPr>
          <w:color w:val="231F20"/>
          <w:spacing w:val="-15"/>
        </w:rPr>
        <w:t xml:space="preserve"> </w:t>
      </w:r>
      <w:r>
        <w:rPr>
          <w:color w:val="231F20"/>
        </w:rPr>
        <w:t>in</w:t>
      </w:r>
      <w:r>
        <w:rPr>
          <w:color w:val="231F20"/>
          <w:spacing w:val="-15"/>
        </w:rPr>
        <w:t xml:space="preserve"> </w:t>
      </w:r>
      <w:r>
        <w:rPr>
          <w:color w:val="231F20"/>
        </w:rPr>
        <w:t>Nigeria,</w:t>
      </w:r>
      <w:r>
        <w:rPr>
          <w:color w:val="231F20"/>
          <w:spacing w:val="-15"/>
        </w:rPr>
        <w:t xml:space="preserve"> </w:t>
      </w:r>
      <w:r>
        <w:rPr>
          <w:color w:val="231F20"/>
        </w:rPr>
        <w:t>is</w:t>
      </w:r>
      <w:r>
        <w:rPr>
          <w:color w:val="231F20"/>
          <w:spacing w:val="-15"/>
        </w:rPr>
        <w:t xml:space="preserve"> </w:t>
      </w:r>
      <w:r>
        <w:rPr>
          <w:color w:val="231F20"/>
        </w:rPr>
        <w:t>located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southern</w:t>
      </w:r>
      <w:r>
        <w:rPr>
          <w:color w:val="231F20"/>
          <w:spacing w:val="-15"/>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country</w:t>
      </w:r>
      <w:r>
        <w:rPr>
          <w:color w:val="231F20"/>
          <w:spacing w:val="-15"/>
        </w:rPr>
        <w:t xml:space="preserve"> </w:t>
      </w:r>
      <w:r>
        <w:rPr>
          <w:color w:val="231F20"/>
          <w:spacing w:val="-5"/>
        </w:rPr>
        <w:t xml:space="preserve">and </w:t>
      </w:r>
      <w:r>
        <w:rPr>
          <w:color w:val="231F20"/>
        </w:rPr>
        <w:t>is embedded in the Niger delta region. It was created on May 27, 1967 and, on 1</w:t>
      </w:r>
      <w:proofErr w:type="spellStart"/>
      <w:r>
        <w:rPr>
          <w:color w:val="231F20"/>
          <w:position w:val="11"/>
          <w:sz w:val="11"/>
        </w:rPr>
        <w:t>st</w:t>
      </w:r>
      <w:proofErr w:type="spellEnd"/>
      <w:r>
        <w:rPr>
          <w:color w:val="231F20"/>
          <w:position w:val="11"/>
          <w:sz w:val="11"/>
        </w:rPr>
        <w:t xml:space="preserve"> </w:t>
      </w:r>
      <w:r>
        <w:rPr>
          <w:color w:val="231F20"/>
        </w:rPr>
        <w:t xml:space="preserve">October </w:t>
      </w:r>
      <w:r>
        <w:rPr>
          <w:color w:val="231F20"/>
          <w:spacing w:val="-3"/>
        </w:rPr>
        <w:t xml:space="preserve">1996, </w:t>
      </w:r>
      <w:r>
        <w:rPr>
          <w:color w:val="231F20"/>
        </w:rPr>
        <w:t>Bayelsa State was carved out of Rivers State</w:t>
      </w:r>
      <w:r>
        <w:rPr>
          <w:color w:val="231F20"/>
          <w:position w:val="11"/>
          <w:sz w:val="11"/>
        </w:rPr>
        <w:t>2</w:t>
      </w:r>
      <w:r>
        <w:rPr>
          <w:color w:val="231F20"/>
        </w:rPr>
        <w:t xml:space="preserve">. The present Rivers State is made up of 23 </w:t>
      </w:r>
      <w:r>
        <w:rPr>
          <w:color w:val="231F20"/>
          <w:spacing w:val="-3"/>
        </w:rPr>
        <w:t xml:space="preserve">Local </w:t>
      </w:r>
      <w:r>
        <w:rPr>
          <w:color w:val="231F20"/>
        </w:rPr>
        <w:t>Government</w:t>
      </w:r>
      <w:r>
        <w:rPr>
          <w:color w:val="231F20"/>
          <w:spacing w:val="-38"/>
        </w:rPr>
        <w:t xml:space="preserve"> </w:t>
      </w:r>
      <w:r>
        <w:rPr>
          <w:color w:val="231F20"/>
        </w:rPr>
        <w:t>Areas</w:t>
      </w:r>
      <w:r>
        <w:rPr>
          <w:color w:val="231F20"/>
          <w:spacing w:val="-25"/>
        </w:rPr>
        <w:t xml:space="preserve"> </w:t>
      </w:r>
      <w:r>
        <w:rPr>
          <w:color w:val="231F20"/>
        </w:rPr>
        <w:t>and</w:t>
      </w:r>
      <w:r>
        <w:rPr>
          <w:color w:val="231F20"/>
          <w:spacing w:val="-25"/>
        </w:rPr>
        <w:t xml:space="preserve"> </w:t>
      </w:r>
      <w:r>
        <w:rPr>
          <w:color w:val="231F20"/>
        </w:rPr>
        <w:t>319</w:t>
      </w:r>
      <w:r>
        <w:rPr>
          <w:color w:val="231F20"/>
          <w:spacing w:val="-25"/>
        </w:rPr>
        <w:t xml:space="preserve"> </w:t>
      </w:r>
      <w:r>
        <w:rPr>
          <w:color w:val="231F20"/>
        </w:rPr>
        <w:t>political</w:t>
      </w:r>
      <w:r>
        <w:rPr>
          <w:color w:val="231F20"/>
          <w:spacing w:val="-25"/>
        </w:rPr>
        <w:t xml:space="preserve"> </w:t>
      </w:r>
      <w:r>
        <w:rPr>
          <w:color w:val="231F20"/>
        </w:rPr>
        <w:t>wards,</w:t>
      </w:r>
      <w:r>
        <w:rPr>
          <w:color w:val="231F20"/>
          <w:spacing w:val="-25"/>
        </w:rPr>
        <w:t xml:space="preserve"> </w:t>
      </w:r>
      <w:r>
        <w:rPr>
          <w:color w:val="231F20"/>
        </w:rPr>
        <w:t>with</w:t>
      </w:r>
      <w:r>
        <w:rPr>
          <w:color w:val="231F20"/>
          <w:spacing w:val="-25"/>
        </w:rPr>
        <w:t xml:space="preserve"> </w:t>
      </w:r>
      <w:r>
        <w:rPr>
          <w:color w:val="231F20"/>
        </w:rPr>
        <w:t>Port</w:t>
      </w:r>
      <w:r>
        <w:rPr>
          <w:color w:val="231F20"/>
          <w:spacing w:val="-25"/>
        </w:rPr>
        <w:t xml:space="preserve"> </w:t>
      </w:r>
      <w:r>
        <w:rPr>
          <w:color w:val="231F20"/>
        </w:rPr>
        <w:t>Harcourt</w:t>
      </w:r>
      <w:r>
        <w:rPr>
          <w:color w:val="231F20"/>
          <w:spacing w:val="-25"/>
        </w:rPr>
        <w:t xml:space="preserve"> </w:t>
      </w:r>
      <w:r>
        <w:rPr>
          <w:color w:val="231F20"/>
        </w:rPr>
        <w:t>as</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capital.</w:t>
      </w:r>
    </w:p>
    <w:p w14:paraId="267B0FB0" w14:textId="77777777" w:rsidR="009948F1" w:rsidRDefault="00BC0563">
      <w:pPr>
        <w:pStyle w:val="BodyText"/>
        <w:spacing w:before="7" w:line="261" w:lineRule="auto"/>
        <w:ind w:left="141" w:right="182"/>
        <w:jc w:val="both"/>
      </w:pPr>
      <w:r>
        <w:rPr>
          <w:color w:val="231F20"/>
        </w:rPr>
        <w:t xml:space="preserve">There are 385 Primary health care </w:t>
      </w:r>
      <w:proofErr w:type="spellStart"/>
      <w:r>
        <w:rPr>
          <w:color w:val="231F20"/>
        </w:rPr>
        <w:t>Centres</w:t>
      </w:r>
      <w:proofErr w:type="spellEnd"/>
      <w:r>
        <w:rPr>
          <w:color w:val="231F20"/>
        </w:rPr>
        <w:t xml:space="preserve"> spread across the 319 political wards while at the Secondary</w:t>
      </w:r>
      <w:r>
        <w:rPr>
          <w:color w:val="231F20"/>
          <w:spacing w:val="-11"/>
        </w:rPr>
        <w:t xml:space="preserve"> </w:t>
      </w:r>
      <w:r>
        <w:rPr>
          <w:color w:val="231F20"/>
        </w:rPr>
        <w:t>health</w:t>
      </w:r>
      <w:r>
        <w:rPr>
          <w:color w:val="231F20"/>
          <w:spacing w:val="-11"/>
        </w:rPr>
        <w:t xml:space="preserve"> </w:t>
      </w:r>
      <w:r>
        <w:rPr>
          <w:color w:val="231F20"/>
        </w:rPr>
        <w:t>care</w:t>
      </w:r>
      <w:r>
        <w:rPr>
          <w:color w:val="231F20"/>
          <w:spacing w:val="-11"/>
        </w:rPr>
        <w:t xml:space="preserve"> </w:t>
      </w:r>
      <w:r>
        <w:rPr>
          <w:color w:val="231F20"/>
        </w:rPr>
        <w:t>level</w:t>
      </w:r>
      <w:r>
        <w:rPr>
          <w:color w:val="231F20"/>
          <w:spacing w:val="-11"/>
        </w:rPr>
        <w:t xml:space="preserve"> </w:t>
      </w:r>
      <w:r>
        <w:rPr>
          <w:color w:val="231F20"/>
        </w:rPr>
        <w:t>there</w:t>
      </w:r>
      <w:r>
        <w:rPr>
          <w:color w:val="231F20"/>
          <w:spacing w:val="-11"/>
        </w:rPr>
        <w:t xml:space="preserve"> </w:t>
      </w:r>
      <w:r>
        <w:rPr>
          <w:color w:val="231F20"/>
        </w:rPr>
        <w:t>are</w:t>
      </w:r>
      <w:r>
        <w:rPr>
          <w:color w:val="231F20"/>
          <w:spacing w:val="-11"/>
        </w:rPr>
        <w:t xml:space="preserve"> </w:t>
      </w:r>
      <w:r>
        <w:rPr>
          <w:color w:val="231F20"/>
        </w:rPr>
        <w:t>36</w:t>
      </w:r>
      <w:r>
        <w:rPr>
          <w:color w:val="231F20"/>
          <w:spacing w:val="-11"/>
        </w:rPr>
        <w:t xml:space="preserve"> </w:t>
      </w:r>
      <w:r>
        <w:rPr>
          <w:color w:val="231F20"/>
        </w:rPr>
        <w:t>general</w:t>
      </w:r>
      <w:r>
        <w:rPr>
          <w:color w:val="231F20"/>
          <w:spacing w:val="-10"/>
        </w:rPr>
        <w:t xml:space="preserve"> </w:t>
      </w:r>
      <w:r>
        <w:rPr>
          <w:color w:val="231F20"/>
        </w:rPr>
        <w:t>hospitals</w:t>
      </w:r>
      <w:r>
        <w:rPr>
          <w:color w:val="231F20"/>
          <w:spacing w:val="-11"/>
        </w:rPr>
        <w:t xml:space="preserve"> </w:t>
      </w:r>
      <w:r>
        <w:rPr>
          <w:color w:val="231F20"/>
        </w:rPr>
        <w:t>spread</w:t>
      </w:r>
      <w:r>
        <w:rPr>
          <w:color w:val="231F20"/>
          <w:spacing w:val="-11"/>
        </w:rPr>
        <w:t xml:space="preserve"> </w:t>
      </w:r>
      <w:r>
        <w:rPr>
          <w:color w:val="231F20"/>
        </w:rPr>
        <w:t>across</w:t>
      </w:r>
      <w:r>
        <w:rPr>
          <w:color w:val="231F20"/>
          <w:spacing w:val="-11"/>
        </w:rPr>
        <w:t xml:space="preserve"> </w:t>
      </w:r>
      <w:r>
        <w:rPr>
          <w:color w:val="231F20"/>
        </w:rPr>
        <w:t>the</w:t>
      </w:r>
      <w:r>
        <w:rPr>
          <w:color w:val="231F20"/>
          <w:spacing w:val="-11"/>
        </w:rPr>
        <w:t xml:space="preserve"> </w:t>
      </w:r>
      <w:r>
        <w:rPr>
          <w:color w:val="231F20"/>
        </w:rPr>
        <w:t>23</w:t>
      </w:r>
      <w:r>
        <w:rPr>
          <w:color w:val="231F20"/>
          <w:spacing w:val="-11"/>
        </w:rPr>
        <w:t xml:space="preserve"> </w:t>
      </w:r>
      <w:r>
        <w:rPr>
          <w:color w:val="231F20"/>
        </w:rPr>
        <w:t>LGAs</w:t>
      </w:r>
      <w:r>
        <w:rPr>
          <w:color w:val="231F20"/>
          <w:spacing w:val="-11"/>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spacing w:val="-3"/>
        </w:rPr>
        <w:t xml:space="preserve">state </w:t>
      </w:r>
      <w:r>
        <w:rPr>
          <w:color w:val="231F20"/>
        </w:rPr>
        <w:t>with</w:t>
      </w:r>
      <w:r>
        <w:rPr>
          <w:color w:val="231F20"/>
          <w:spacing w:val="-25"/>
        </w:rPr>
        <w:t xml:space="preserve"> </w:t>
      </w:r>
      <w:r>
        <w:rPr>
          <w:color w:val="231F20"/>
        </w:rPr>
        <w:t>only</w:t>
      </w:r>
      <w:r>
        <w:rPr>
          <w:color w:val="231F20"/>
          <w:spacing w:val="-25"/>
        </w:rPr>
        <w:t xml:space="preserve"> </w:t>
      </w:r>
      <w:r>
        <w:rPr>
          <w:color w:val="231F20"/>
        </w:rPr>
        <w:t>18</w:t>
      </w:r>
      <w:r>
        <w:rPr>
          <w:color w:val="231F20"/>
          <w:spacing w:val="-25"/>
        </w:rPr>
        <w:t xml:space="preserve"> </w:t>
      </w:r>
      <w:r>
        <w:rPr>
          <w:color w:val="231F20"/>
        </w:rPr>
        <w:t>functional.</w:t>
      </w:r>
    </w:p>
    <w:p w14:paraId="5A15A43C" w14:textId="77777777" w:rsidR="009948F1" w:rsidRDefault="00BC0563">
      <w:pPr>
        <w:pStyle w:val="BodyText"/>
        <w:spacing w:before="1" w:line="259" w:lineRule="auto"/>
        <w:ind w:left="141" w:right="182"/>
        <w:jc w:val="both"/>
      </w:pPr>
      <w:r>
        <w:rPr>
          <w:color w:val="231F20"/>
        </w:rPr>
        <w:t xml:space="preserve">Rivers State is located in the oil rich Niger Delta region in the South-South geopolitical zone. It occupies an area of about 37,000 square </w:t>
      </w:r>
      <w:proofErr w:type="spellStart"/>
      <w:r>
        <w:rPr>
          <w:color w:val="231F20"/>
        </w:rPr>
        <w:t>kilometres</w:t>
      </w:r>
      <w:proofErr w:type="spellEnd"/>
      <w:r>
        <w:rPr>
          <w:color w:val="231F20"/>
        </w:rPr>
        <w:t xml:space="preserve"> and is bounded on the south by the Atlantic Ocean, to the North by Imo and </w:t>
      </w:r>
      <w:proofErr w:type="spellStart"/>
      <w:r>
        <w:rPr>
          <w:color w:val="231F20"/>
        </w:rPr>
        <w:t>Abia</w:t>
      </w:r>
      <w:proofErr w:type="spellEnd"/>
      <w:r>
        <w:rPr>
          <w:color w:val="231F20"/>
        </w:rPr>
        <w:t xml:space="preserve"> States, to the East by </w:t>
      </w:r>
      <w:proofErr w:type="spellStart"/>
      <w:r>
        <w:rPr>
          <w:color w:val="231F20"/>
        </w:rPr>
        <w:t>Akwa</w:t>
      </w:r>
      <w:proofErr w:type="spellEnd"/>
      <w:r>
        <w:rPr>
          <w:color w:val="231F20"/>
        </w:rPr>
        <w:t xml:space="preserve"> Ibom State and to the West by Bayelsa and Delta States. Its shores form part of the West African Coastline </w:t>
      </w:r>
      <w:r>
        <w:rPr>
          <w:color w:val="231F20"/>
          <w:position w:val="11"/>
          <w:sz w:val="11"/>
        </w:rPr>
        <w:t>2</w:t>
      </w:r>
      <w:r>
        <w:rPr>
          <w:color w:val="231F20"/>
        </w:rPr>
        <w:t>.</w:t>
      </w:r>
    </w:p>
    <w:p w14:paraId="0B4A6EB6" w14:textId="77777777" w:rsidR="009948F1" w:rsidRDefault="009948F1">
      <w:pPr>
        <w:pStyle w:val="BodyText"/>
        <w:spacing w:before="4"/>
        <w:rPr>
          <w:sz w:val="24"/>
        </w:rPr>
      </w:pPr>
    </w:p>
    <w:p w14:paraId="4185F896" w14:textId="77777777" w:rsidR="009948F1" w:rsidRDefault="00BC0563">
      <w:pPr>
        <w:pStyle w:val="BodyText"/>
        <w:spacing w:line="261" w:lineRule="auto"/>
        <w:ind w:left="151" w:right="186"/>
        <w:jc w:val="both"/>
      </w:pPr>
      <w:r>
        <w:rPr>
          <w:color w:val="231F20"/>
        </w:rPr>
        <w:t>The</w:t>
      </w:r>
      <w:r>
        <w:rPr>
          <w:color w:val="231F20"/>
          <w:spacing w:val="-11"/>
        </w:rPr>
        <w:t xml:space="preserve"> </w:t>
      </w:r>
      <w:r>
        <w:rPr>
          <w:color w:val="231F20"/>
        </w:rPr>
        <w:t>vegetation</w:t>
      </w:r>
      <w:r>
        <w:rPr>
          <w:color w:val="231F20"/>
          <w:spacing w:val="-11"/>
        </w:rPr>
        <w:t xml:space="preserve"> </w:t>
      </w:r>
      <w:r>
        <w:rPr>
          <w:color w:val="231F20"/>
        </w:rPr>
        <w:t>of</w:t>
      </w:r>
      <w:r>
        <w:rPr>
          <w:color w:val="231F20"/>
          <w:spacing w:val="-11"/>
        </w:rPr>
        <w:t xml:space="preserve"> </w:t>
      </w:r>
      <w:r>
        <w:rPr>
          <w:color w:val="231F20"/>
        </w:rPr>
        <w:t>Rivers</w:t>
      </w:r>
      <w:r>
        <w:rPr>
          <w:color w:val="231F20"/>
          <w:spacing w:val="-11"/>
        </w:rPr>
        <w:t xml:space="preserve"> </w:t>
      </w:r>
      <w:r>
        <w:rPr>
          <w:color w:val="231F20"/>
        </w:rPr>
        <w:t>State</w:t>
      </w:r>
      <w:r>
        <w:rPr>
          <w:color w:val="231F20"/>
          <w:spacing w:val="-11"/>
        </w:rPr>
        <w:t xml:space="preserve"> </w:t>
      </w:r>
      <w:r>
        <w:rPr>
          <w:color w:val="231F20"/>
        </w:rPr>
        <w:t>is</w:t>
      </w:r>
      <w:r>
        <w:rPr>
          <w:color w:val="231F20"/>
          <w:spacing w:val="-11"/>
        </w:rPr>
        <w:t xml:space="preserve"> </w:t>
      </w:r>
      <w:r>
        <w:rPr>
          <w:color w:val="231F20"/>
        </w:rPr>
        <w:t>characterized</w:t>
      </w:r>
      <w:r>
        <w:rPr>
          <w:color w:val="231F20"/>
          <w:spacing w:val="-11"/>
        </w:rPr>
        <w:t xml:space="preserve"> </w:t>
      </w:r>
      <w:r>
        <w:rPr>
          <w:color w:val="231F20"/>
        </w:rPr>
        <w:t>by</w:t>
      </w:r>
      <w:r>
        <w:rPr>
          <w:color w:val="231F20"/>
          <w:spacing w:val="-11"/>
        </w:rPr>
        <w:t xml:space="preserve"> </w:t>
      </w:r>
      <w:r>
        <w:rPr>
          <w:color w:val="231F20"/>
        </w:rPr>
        <w:t>mangrove</w:t>
      </w:r>
      <w:r>
        <w:rPr>
          <w:color w:val="231F20"/>
          <w:spacing w:val="-11"/>
        </w:rPr>
        <w:t xml:space="preserve"> </w:t>
      </w:r>
      <w:r>
        <w:rPr>
          <w:color w:val="231F20"/>
        </w:rPr>
        <w:t>forest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south</w:t>
      </w:r>
      <w:r>
        <w:rPr>
          <w:color w:val="231F20"/>
          <w:spacing w:val="-11"/>
        </w:rPr>
        <w:t xml:space="preserve"> </w:t>
      </w:r>
      <w:r>
        <w:rPr>
          <w:color w:val="231F20"/>
        </w:rPr>
        <w:t>while</w:t>
      </w:r>
      <w:r>
        <w:rPr>
          <w:color w:val="231F20"/>
          <w:spacing w:val="-11"/>
        </w:rPr>
        <w:t xml:space="preserve"> </w:t>
      </w:r>
      <w:r>
        <w:rPr>
          <w:color w:val="231F20"/>
        </w:rPr>
        <w:t>the</w:t>
      </w:r>
      <w:r>
        <w:rPr>
          <w:color w:val="231F20"/>
          <w:spacing w:val="-11"/>
        </w:rPr>
        <w:t xml:space="preserve"> </w:t>
      </w:r>
      <w:r>
        <w:rPr>
          <w:color w:val="231F20"/>
        </w:rPr>
        <w:t>northern part</w:t>
      </w:r>
      <w:r>
        <w:rPr>
          <w:color w:val="231F20"/>
          <w:spacing w:val="-17"/>
        </w:rPr>
        <w:t xml:space="preserve"> </w:t>
      </w:r>
      <w:r>
        <w:rPr>
          <w:color w:val="231F20"/>
        </w:rPr>
        <w:t>has</w:t>
      </w:r>
      <w:r>
        <w:rPr>
          <w:color w:val="231F20"/>
          <w:spacing w:val="-17"/>
        </w:rPr>
        <w:t xml:space="preserve"> </w:t>
      </w:r>
      <w:r>
        <w:rPr>
          <w:color w:val="231F20"/>
        </w:rPr>
        <w:t>thick</w:t>
      </w:r>
      <w:r>
        <w:rPr>
          <w:color w:val="231F20"/>
          <w:spacing w:val="-17"/>
        </w:rPr>
        <w:t xml:space="preserve"> </w:t>
      </w:r>
      <w:r>
        <w:rPr>
          <w:color w:val="231F20"/>
        </w:rPr>
        <w:t>rain</w:t>
      </w:r>
      <w:r>
        <w:rPr>
          <w:color w:val="231F20"/>
          <w:spacing w:val="-17"/>
        </w:rPr>
        <w:t xml:space="preserve"> </w:t>
      </w:r>
      <w:r>
        <w:rPr>
          <w:color w:val="231F20"/>
        </w:rPr>
        <w:t>forest</w:t>
      </w:r>
      <w:r>
        <w:rPr>
          <w:color w:val="231F20"/>
          <w:spacing w:val="-17"/>
        </w:rPr>
        <w:t xml:space="preserve"> </w:t>
      </w:r>
      <w:r>
        <w:rPr>
          <w:color w:val="231F20"/>
        </w:rPr>
        <w:t>with</w:t>
      </w:r>
      <w:r>
        <w:rPr>
          <w:color w:val="231F20"/>
          <w:spacing w:val="-16"/>
        </w:rPr>
        <w:t xml:space="preserve"> </w:t>
      </w:r>
      <w:r>
        <w:rPr>
          <w:color w:val="231F20"/>
        </w:rPr>
        <w:t>arable</w:t>
      </w:r>
      <w:r>
        <w:rPr>
          <w:color w:val="231F20"/>
          <w:spacing w:val="-17"/>
        </w:rPr>
        <w:t xml:space="preserve"> </w:t>
      </w:r>
      <w:r>
        <w:rPr>
          <w:color w:val="231F20"/>
        </w:rPr>
        <w:t>land.</w:t>
      </w:r>
      <w:r>
        <w:rPr>
          <w:color w:val="231F20"/>
          <w:spacing w:val="-17"/>
        </w:rPr>
        <w:t xml:space="preserve"> </w:t>
      </w:r>
      <w:r>
        <w:rPr>
          <w:color w:val="231F20"/>
        </w:rPr>
        <w:t>Rainfall</w:t>
      </w:r>
      <w:r>
        <w:rPr>
          <w:color w:val="231F20"/>
          <w:spacing w:val="-17"/>
        </w:rPr>
        <w:t xml:space="preserve"> </w:t>
      </w:r>
      <w:r>
        <w:rPr>
          <w:color w:val="231F20"/>
        </w:rPr>
        <w:t>is</w:t>
      </w:r>
      <w:r>
        <w:rPr>
          <w:color w:val="231F20"/>
          <w:spacing w:val="-17"/>
        </w:rPr>
        <w:t xml:space="preserve"> </w:t>
      </w:r>
      <w:r>
        <w:rPr>
          <w:color w:val="231F20"/>
        </w:rPr>
        <w:t>heavy</w:t>
      </w:r>
      <w:r>
        <w:rPr>
          <w:color w:val="231F20"/>
          <w:spacing w:val="-16"/>
        </w:rPr>
        <w:t xml:space="preserve"> </w:t>
      </w:r>
      <w:r>
        <w:rPr>
          <w:color w:val="231F20"/>
        </w:rPr>
        <w:t>throughout</w:t>
      </w:r>
      <w:r>
        <w:rPr>
          <w:color w:val="231F20"/>
          <w:spacing w:val="-17"/>
        </w:rPr>
        <w:t xml:space="preserve"> </w:t>
      </w:r>
      <w:r>
        <w:rPr>
          <w:color w:val="231F20"/>
        </w:rPr>
        <w:t>the</w:t>
      </w:r>
      <w:r>
        <w:rPr>
          <w:color w:val="231F20"/>
          <w:spacing w:val="-17"/>
        </w:rPr>
        <w:t xml:space="preserve"> </w:t>
      </w:r>
      <w:r>
        <w:rPr>
          <w:color w:val="231F20"/>
          <w:spacing w:val="-3"/>
        </w:rPr>
        <w:t>year,</w:t>
      </w:r>
      <w:r>
        <w:rPr>
          <w:color w:val="231F20"/>
          <w:spacing w:val="-17"/>
        </w:rPr>
        <w:t xml:space="preserve"> </w:t>
      </w:r>
      <w:r>
        <w:rPr>
          <w:color w:val="231F20"/>
        </w:rPr>
        <w:t>but</w:t>
      </w:r>
      <w:r>
        <w:rPr>
          <w:color w:val="231F20"/>
          <w:spacing w:val="-17"/>
        </w:rPr>
        <w:t xml:space="preserve"> </w:t>
      </w:r>
      <w:r>
        <w:rPr>
          <w:color w:val="231F20"/>
        </w:rPr>
        <w:t>decreases</w:t>
      </w:r>
      <w:r>
        <w:rPr>
          <w:color w:val="231F20"/>
          <w:spacing w:val="-16"/>
        </w:rPr>
        <w:t xml:space="preserve"> </w:t>
      </w:r>
      <w:r>
        <w:rPr>
          <w:color w:val="231F20"/>
          <w:spacing w:val="-4"/>
        </w:rPr>
        <w:t xml:space="preserve">from </w:t>
      </w:r>
      <w:r>
        <w:rPr>
          <w:color w:val="231F20"/>
        </w:rPr>
        <w:t>430 cm to 342 cm towards the north. The dry season usually lasts from November to April, interrupted</w:t>
      </w:r>
      <w:r>
        <w:rPr>
          <w:color w:val="231F20"/>
          <w:spacing w:val="-26"/>
        </w:rPr>
        <w:t xml:space="preserve"> </w:t>
      </w:r>
      <w:r>
        <w:rPr>
          <w:color w:val="231F20"/>
        </w:rPr>
        <w:t>occasionally</w:t>
      </w:r>
      <w:r>
        <w:rPr>
          <w:color w:val="231F20"/>
          <w:spacing w:val="-25"/>
        </w:rPr>
        <w:t xml:space="preserve"> </w:t>
      </w:r>
      <w:r>
        <w:rPr>
          <w:color w:val="231F20"/>
        </w:rPr>
        <w:t>by</w:t>
      </w:r>
      <w:r>
        <w:rPr>
          <w:color w:val="231F20"/>
          <w:spacing w:val="-25"/>
        </w:rPr>
        <w:t xml:space="preserve"> </w:t>
      </w:r>
      <w:r>
        <w:rPr>
          <w:color w:val="231F20"/>
        </w:rPr>
        <w:t>sporadic</w:t>
      </w:r>
      <w:r>
        <w:rPr>
          <w:color w:val="231F20"/>
          <w:spacing w:val="-25"/>
        </w:rPr>
        <w:t xml:space="preserve"> </w:t>
      </w:r>
      <w:r>
        <w:rPr>
          <w:color w:val="231F20"/>
        </w:rPr>
        <w:t>downpour.</w:t>
      </w:r>
    </w:p>
    <w:p w14:paraId="4B9E5C5F" w14:textId="77777777" w:rsidR="009948F1" w:rsidRDefault="00BC0563">
      <w:pPr>
        <w:pStyle w:val="BodyText"/>
        <w:spacing w:before="1" w:line="261" w:lineRule="auto"/>
        <w:ind w:left="150" w:right="186"/>
        <w:jc w:val="both"/>
      </w:pPr>
      <w:r>
        <w:rPr>
          <w:color w:val="231F20"/>
        </w:rPr>
        <w:t>The inhabitants of the State are of different ethnic groups with cultural diversity expressed in language,</w:t>
      </w:r>
      <w:r>
        <w:rPr>
          <w:color w:val="231F20"/>
          <w:spacing w:val="-12"/>
        </w:rPr>
        <w:t xml:space="preserve"> </w:t>
      </w:r>
      <w:r>
        <w:rPr>
          <w:color w:val="231F20"/>
        </w:rPr>
        <w:t>beliefs,</w:t>
      </w:r>
      <w:r>
        <w:rPr>
          <w:color w:val="231F20"/>
          <w:spacing w:val="-11"/>
        </w:rPr>
        <w:t xml:space="preserve"> </w:t>
      </w:r>
      <w:r>
        <w:rPr>
          <w:color w:val="231F20"/>
        </w:rPr>
        <w:t>dress</w:t>
      </w:r>
      <w:r>
        <w:rPr>
          <w:color w:val="231F20"/>
          <w:spacing w:val="-11"/>
        </w:rPr>
        <w:t xml:space="preserve"> </w:t>
      </w:r>
      <w:r>
        <w:rPr>
          <w:color w:val="231F20"/>
        </w:rPr>
        <w:t>codes</w:t>
      </w:r>
      <w:r>
        <w:rPr>
          <w:color w:val="231F20"/>
          <w:spacing w:val="-11"/>
        </w:rPr>
        <w:t xml:space="preserve"> </w:t>
      </w:r>
      <w:r>
        <w:rPr>
          <w:color w:val="231F20"/>
        </w:rPr>
        <w:t>and</w:t>
      </w:r>
      <w:r>
        <w:rPr>
          <w:color w:val="231F20"/>
          <w:spacing w:val="-11"/>
        </w:rPr>
        <w:t xml:space="preserve"> </w:t>
      </w:r>
      <w:r>
        <w:rPr>
          <w:color w:val="231F20"/>
        </w:rPr>
        <w:t>music.</w:t>
      </w:r>
      <w:r>
        <w:rPr>
          <w:color w:val="231F20"/>
          <w:spacing w:val="60"/>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mainly</w:t>
      </w:r>
      <w:r>
        <w:rPr>
          <w:color w:val="231F20"/>
          <w:spacing w:val="-11"/>
        </w:rPr>
        <w:t xml:space="preserve"> </w:t>
      </w:r>
      <w:r>
        <w:rPr>
          <w:color w:val="231F20"/>
        </w:rPr>
        <w:t>Christians,</w:t>
      </w:r>
      <w:r>
        <w:rPr>
          <w:color w:val="231F20"/>
          <w:spacing w:val="-11"/>
        </w:rPr>
        <w:t xml:space="preserve"> </w:t>
      </w:r>
      <w:r>
        <w:rPr>
          <w:color w:val="231F20"/>
        </w:rPr>
        <w:t>though</w:t>
      </w:r>
      <w:r>
        <w:rPr>
          <w:color w:val="231F20"/>
          <w:spacing w:val="-11"/>
        </w:rPr>
        <w:t xml:space="preserve"> </w:t>
      </w:r>
      <w:r>
        <w:rPr>
          <w:color w:val="231F20"/>
        </w:rPr>
        <w:t>a</w:t>
      </w:r>
      <w:r>
        <w:rPr>
          <w:color w:val="231F20"/>
          <w:spacing w:val="-11"/>
        </w:rPr>
        <w:t xml:space="preserve"> </w:t>
      </w:r>
      <w:r>
        <w:rPr>
          <w:color w:val="231F20"/>
        </w:rPr>
        <w:t>few</w:t>
      </w:r>
      <w:r>
        <w:rPr>
          <w:color w:val="231F20"/>
          <w:spacing w:val="-12"/>
        </w:rPr>
        <w:t xml:space="preserve"> </w:t>
      </w:r>
      <w:r>
        <w:rPr>
          <w:color w:val="231F20"/>
        </w:rPr>
        <w:t>Muslims</w:t>
      </w:r>
      <w:r>
        <w:rPr>
          <w:color w:val="231F20"/>
          <w:spacing w:val="-11"/>
        </w:rPr>
        <w:t xml:space="preserve"> </w:t>
      </w:r>
      <w:r>
        <w:rPr>
          <w:color w:val="231F20"/>
        </w:rPr>
        <w:t xml:space="preserve">and traditional worshipers exist. They include the </w:t>
      </w:r>
      <w:proofErr w:type="spellStart"/>
      <w:r>
        <w:rPr>
          <w:color w:val="231F20"/>
        </w:rPr>
        <w:t>Abuans</w:t>
      </w:r>
      <w:proofErr w:type="spellEnd"/>
      <w:r>
        <w:rPr>
          <w:color w:val="231F20"/>
        </w:rPr>
        <w:t xml:space="preserve">, </w:t>
      </w:r>
      <w:proofErr w:type="spellStart"/>
      <w:r>
        <w:rPr>
          <w:color w:val="231F20"/>
        </w:rPr>
        <w:t>Andonis</w:t>
      </w:r>
      <w:proofErr w:type="spellEnd"/>
      <w:r>
        <w:rPr>
          <w:color w:val="231F20"/>
        </w:rPr>
        <w:t xml:space="preserve">, </w:t>
      </w:r>
      <w:proofErr w:type="spellStart"/>
      <w:r>
        <w:rPr>
          <w:color w:val="231F20"/>
        </w:rPr>
        <w:t>Ekpeyes</w:t>
      </w:r>
      <w:proofErr w:type="spellEnd"/>
      <w:r>
        <w:rPr>
          <w:color w:val="231F20"/>
        </w:rPr>
        <w:t xml:space="preserve">, </w:t>
      </w:r>
      <w:proofErr w:type="spellStart"/>
      <w:r>
        <w:rPr>
          <w:color w:val="231F20"/>
        </w:rPr>
        <w:t>Engenis</w:t>
      </w:r>
      <w:proofErr w:type="spellEnd"/>
      <w:r>
        <w:rPr>
          <w:color w:val="231F20"/>
        </w:rPr>
        <w:t xml:space="preserve">, Etches, </w:t>
      </w:r>
      <w:proofErr w:type="spellStart"/>
      <w:r>
        <w:rPr>
          <w:color w:val="231F20"/>
        </w:rPr>
        <w:t>Ikwerres</w:t>
      </w:r>
      <w:proofErr w:type="spellEnd"/>
      <w:r>
        <w:rPr>
          <w:color w:val="231F20"/>
        </w:rPr>
        <w:t>,</w:t>
      </w:r>
      <w:r>
        <w:rPr>
          <w:color w:val="231F20"/>
          <w:spacing w:val="-7"/>
        </w:rPr>
        <w:t xml:space="preserve"> </w:t>
      </w:r>
      <w:proofErr w:type="spellStart"/>
      <w:r>
        <w:rPr>
          <w:color w:val="231F20"/>
        </w:rPr>
        <w:t>Kalabaris</w:t>
      </w:r>
      <w:proofErr w:type="spellEnd"/>
      <w:r>
        <w:rPr>
          <w:color w:val="231F20"/>
        </w:rPr>
        <w:t>,</w:t>
      </w:r>
      <w:r>
        <w:rPr>
          <w:color w:val="231F20"/>
          <w:spacing w:val="-5"/>
        </w:rPr>
        <w:t xml:space="preserve"> </w:t>
      </w:r>
      <w:r>
        <w:rPr>
          <w:color w:val="231F20"/>
        </w:rPr>
        <w:t>Ogba-</w:t>
      </w:r>
      <w:proofErr w:type="spellStart"/>
      <w:r>
        <w:rPr>
          <w:color w:val="231F20"/>
        </w:rPr>
        <w:t>Egbema</w:t>
      </w:r>
      <w:proofErr w:type="spellEnd"/>
      <w:r>
        <w:rPr>
          <w:color w:val="231F20"/>
        </w:rPr>
        <w:t>-</w:t>
      </w:r>
      <w:proofErr w:type="spellStart"/>
      <w:r>
        <w:rPr>
          <w:color w:val="231F20"/>
        </w:rPr>
        <w:t>NdoniOgonis</w:t>
      </w:r>
      <w:proofErr w:type="spellEnd"/>
      <w:r>
        <w:rPr>
          <w:color w:val="231F20"/>
        </w:rPr>
        <w:t>,</w:t>
      </w:r>
      <w:r>
        <w:rPr>
          <w:color w:val="231F20"/>
          <w:spacing w:val="-6"/>
        </w:rPr>
        <w:t xml:space="preserve"> </w:t>
      </w:r>
      <w:r>
        <w:rPr>
          <w:color w:val="231F20"/>
        </w:rPr>
        <w:t>the</w:t>
      </w:r>
      <w:r>
        <w:rPr>
          <w:color w:val="231F20"/>
          <w:spacing w:val="-6"/>
        </w:rPr>
        <w:t xml:space="preserve"> </w:t>
      </w:r>
      <w:proofErr w:type="spellStart"/>
      <w:r>
        <w:rPr>
          <w:color w:val="231F20"/>
        </w:rPr>
        <w:t>Wakrikes</w:t>
      </w:r>
      <w:proofErr w:type="spellEnd"/>
      <w:r>
        <w:rPr>
          <w:color w:val="231F20"/>
        </w:rPr>
        <w:t>,</w:t>
      </w:r>
      <w:r>
        <w:rPr>
          <w:color w:val="231F20"/>
          <w:spacing w:val="-7"/>
        </w:rPr>
        <w:t xml:space="preserve"> </w:t>
      </w:r>
      <w:r>
        <w:rPr>
          <w:color w:val="231F20"/>
        </w:rPr>
        <w:t>amongst</w:t>
      </w:r>
      <w:r>
        <w:rPr>
          <w:color w:val="231F20"/>
          <w:spacing w:val="-5"/>
        </w:rPr>
        <w:t xml:space="preserve"> </w:t>
      </w:r>
      <w:r>
        <w:rPr>
          <w:color w:val="231F20"/>
        </w:rPr>
        <w:t>others.</w:t>
      </w:r>
      <w:r>
        <w:rPr>
          <w:color w:val="231F20"/>
          <w:spacing w:val="-10"/>
        </w:rPr>
        <w:t xml:space="preserve"> </w:t>
      </w:r>
      <w:r>
        <w:rPr>
          <w:color w:val="231F20"/>
        </w:rPr>
        <w:t>The</w:t>
      </w:r>
      <w:r>
        <w:rPr>
          <w:color w:val="231F20"/>
          <w:spacing w:val="-7"/>
        </w:rPr>
        <w:t xml:space="preserve"> </w:t>
      </w:r>
      <w:r>
        <w:rPr>
          <w:color w:val="231F20"/>
        </w:rPr>
        <w:t>waterways are</w:t>
      </w:r>
      <w:r>
        <w:rPr>
          <w:color w:val="231F20"/>
          <w:spacing w:val="-10"/>
        </w:rPr>
        <w:t xml:space="preserve"> </w:t>
      </w:r>
      <w:r>
        <w:rPr>
          <w:color w:val="231F20"/>
        </w:rPr>
        <w:t>vital</w:t>
      </w:r>
      <w:r>
        <w:rPr>
          <w:color w:val="231F20"/>
          <w:spacing w:val="-10"/>
        </w:rPr>
        <w:t xml:space="preserve"> </w:t>
      </w:r>
      <w:r>
        <w:rPr>
          <w:color w:val="231F20"/>
        </w:rPr>
        <w:t>transport</w:t>
      </w:r>
      <w:r>
        <w:rPr>
          <w:color w:val="231F20"/>
          <w:spacing w:val="-10"/>
        </w:rPr>
        <w:t xml:space="preserve"> </w:t>
      </w:r>
      <w:r>
        <w:rPr>
          <w:color w:val="231F20"/>
        </w:rPr>
        <w:t>system</w:t>
      </w:r>
      <w:r>
        <w:rPr>
          <w:color w:val="231F20"/>
          <w:spacing w:val="-9"/>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4"/>
        </w:rPr>
        <w:t xml:space="preserve"> </w:t>
      </w:r>
      <w:r>
        <w:rPr>
          <w:color w:val="231F20"/>
        </w:rPr>
        <w:t>The</w:t>
      </w:r>
      <w:r>
        <w:rPr>
          <w:color w:val="231F20"/>
          <w:spacing w:val="-9"/>
        </w:rPr>
        <w:t xml:space="preserve"> </w:t>
      </w:r>
      <w:r>
        <w:rPr>
          <w:color w:val="231F20"/>
        </w:rPr>
        <w:t>major</w:t>
      </w:r>
      <w:r>
        <w:rPr>
          <w:color w:val="231F20"/>
          <w:spacing w:val="-10"/>
        </w:rPr>
        <w:t xml:space="preserve"> </w:t>
      </w:r>
      <w:r>
        <w:rPr>
          <w:color w:val="231F20"/>
        </w:rPr>
        <w:t>rivers</w:t>
      </w:r>
      <w:r>
        <w:rPr>
          <w:color w:val="231F20"/>
          <w:spacing w:val="-10"/>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State</w:t>
      </w:r>
      <w:r>
        <w:rPr>
          <w:color w:val="231F20"/>
          <w:spacing w:val="-10"/>
        </w:rPr>
        <w:t xml:space="preserve"> </w:t>
      </w:r>
      <w:r>
        <w:rPr>
          <w:color w:val="231F20"/>
        </w:rPr>
        <w:t>include:</w:t>
      </w:r>
      <w:r>
        <w:rPr>
          <w:color w:val="231F20"/>
          <w:spacing w:val="-10"/>
        </w:rPr>
        <w:t xml:space="preserve"> </w:t>
      </w:r>
      <w:r>
        <w:rPr>
          <w:color w:val="231F20"/>
        </w:rPr>
        <w:t>River</w:t>
      </w:r>
      <w:r>
        <w:rPr>
          <w:color w:val="231F20"/>
          <w:spacing w:val="-10"/>
        </w:rPr>
        <w:t xml:space="preserve"> </w:t>
      </w:r>
      <w:r>
        <w:rPr>
          <w:color w:val="231F20"/>
        </w:rPr>
        <w:t>Niger,</w:t>
      </w:r>
      <w:r>
        <w:rPr>
          <w:color w:val="231F20"/>
          <w:spacing w:val="-9"/>
        </w:rPr>
        <w:t xml:space="preserve"> </w:t>
      </w:r>
      <w:r>
        <w:rPr>
          <w:color w:val="231F20"/>
          <w:spacing w:val="-3"/>
        </w:rPr>
        <w:t xml:space="preserve">River </w:t>
      </w:r>
      <w:proofErr w:type="spellStart"/>
      <w:r>
        <w:rPr>
          <w:color w:val="231F20"/>
        </w:rPr>
        <w:t>Sombreiro</w:t>
      </w:r>
      <w:proofErr w:type="spellEnd"/>
      <w:r>
        <w:rPr>
          <w:color w:val="231F20"/>
        </w:rPr>
        <w:t>,</w:t>
      </w:r>
      <w:r>
        <w:rPr>
          <w:color w:val="231F20"/>
          <w:spacing w:val="-25"/>
        </w:rPr>
        <w:t xml:space="preserve"> </w:t>
      </w:r>
      <w:r>
        <w:rPr>
          <w:color w:val="231F20"/>
        </w:rPr>
        <w:t>River</w:t>
      </w:r>
      <w:r>
        <w:rPr>
          <w:color w:val="231F20"/>
          <w:spacing w:val="-25"/>
        </w:rPr>
        <w:t xml:space="preserve"> </w:t>
      </w:r>
      <w:proofErr w:type="spellStart"/>
      <w:r>
        <w:rPr>
          <w:color w:val="231F20"/>
        </w:rPr>
        <w:t>Orashi</w:t>
      </w:r>
      <w:proofErr w:type="spellEnd"/>
      <w:r>
        <w:rPr>
          <w:color w:val="231F20"/>
        </w:rPr>
        <w:t>,</w:t>
      </w:r>
      <w:r>
        <w:rPr>
          <w:color w:val="231F20"/>
          <w:spacing w:val="-25"/>
        </w:rPr>
        <w:t xml:space="preserve"> </w:t>
      </w:r>
      <w:r>
        <w:rPr>
          <w:color w:val="231F20"/>
        </w:rPr>
        <w:t>New</w:t>
      </w:r>
      <w:r>
        <w:rPr>
          <w:color w:val="231F20"/>
          <w:spacing w:val="-25"/>
        </w:rPr>
        <w:t xml:space="preserve"> </w:t>
      </w:r>
      <w:r>
        <w:rPr>
          <w:color w:val="231F20"/>
        </w:rPr>
        <w:t>Calabar</w:t>
      </w:r>
      <w:r>
        <w:rPr>
          <w:color w:val="231F20"/>
          <w:spacing w:val="-25"/>
        </w:rPr>
        <w:t xml:space="preserve"> </w:t>
      </w:r>
      <w:r>
        <w:rPr>
          <w:color w:val="231F20"/>
          <w:spacing w:val="-3"/>
        </w:rPr>
        <w:t>River,</w:t>
      </w:r>
      <w:r>
        <w:rPr>
          <w:color w:val="231F20"/>
          <w:spacing w:val="-25"/>
        </w:rPr>
        <w:t xml:space="preserve"> </w:t>
      </w:r>
      <w:r>
        <w:rPr>
          <w:color w:val="231F20"/>
        </w:rPr>
        <w:t>Bonny</w:t>
      </w:r>
      <w:r>
        <w:rPr>
          <w:color w:val="231F20"/>
          <w:spacing w:val="-24"/>
        </w:rPr>
        <w:t xml:space="preserve"> </w:t>
      </w:r>
      <w:r>
        <w:rPr>
          <w:color w:val="231F20"/>
        </w:rPr>
        <w:t>River</w:t>
      </w:r>
      <w:r>
        <w:rPr>
          <w:color w:val="231F20"/>
          <w:spacing w:val="-25"/>
        </w:rPr>
        <w:t xml:space="preserve"> </w:t>
      </w:r>
      <w:r>
        <w:rPr>
          <w:color w:val="231F20"/>
        </w:rPr>
        <w:t>and</w:t>
      </w:r>
      <w:r>
        <w:rPr>
          <w:color w:val="231F20"/>
          <w:spacing w:val="-37"/>
        </w:rPr>
        <w:t xml:space="preserve"> </w:t>
      </w:r>
      <w:proofErr w:type="spellStart"/>
      <w:r>
        <w:rPr>
          <w:color w:val="231F20"/>
        </w:rPr>
        <w:t>Andoni</w:t>
      </w:r>
      <w:proofErr w:type="spellEnd"/>
      <w:r>
        <w:rPr>
          <w:color w:val="231F20"/>
          <w:spacing w:val="-25"/>
        </w:rPr>
        <w:t xml:space="preserve"> </w:t>
      </w:r>
      <w:r>
        <w:rPr>
          <w:color w:val="231F20"/>
          <w:spacing w:val="-3"/>
        </w:rPr>
        <w:t>River,</w:t>
      </w:r>
      <w:r>
        <w:rPr>
          <w:color w:val="231F20"/>
          <w:spacing w:val="-25"/>
        </w:rPr>
        <w:t xml:space="preserve"> </w:t>
      </w:r>
      <w:r>
        <w:rPr>
          <w:color w:val="231F20"/>
        </w:rPr>
        <w:t>etc.</w:t>
      </w:r>
    </w:p>
    <w:p w14:paraId="154A861A" w14:textId="77777777" w:rsidR="009948F1" w:rsidRDefault="009948F1">
      <w:pPr>
        <w:pStyle w:val="BodyText"/>
        <w:spacing w:before="2"/>
        <w:rPr>
          <w:sz w:val="24"/>
        </w:rPr>
      </w:pPr>
    </w:p>
    <w:p w14:paraId="670741E6" w14:textId="77777777" w:rsidR="009948F1" w:rsidRDefault="00BC0563">
      <w:pPr>
        <w:pStyle w:val="BodyText"/>
        <w:spacing w:line="261" w:lineRule="auto"/>
        <w:ind w:left="140" w:right="182"/>
        <w:jc w:val="both"/>
      </w:pPr>
      <w:r>
        <w:rPr>
          <w:color w:val="231F20"/>
        </w:rPr>
        <w:t>Demographically,</w:t>
      </w:r>
      <w:r>
        <w:rPr>
          <w:color w:val="231F20"/>
          <w:spacing w:val="-14"/>
        </w:rPr>
        <w:t xml:space="preserve"> </w:t>
      </w:r>
      <w:r>
        <w:rPr>
          <w:color w:val="231F20"/>
        </w:rPr>
        <w:t>Rivers</w:t>
      </w:r>
      <w:r>
        <w:rPr>
          <w:color w:val="231F20"/>
          <w:spacing w:val="-12"/>
        </w:rPr>
        <w:t xml:space="preserve"> </w:t>
      </w:r>
      <w:r>
        <w:rPr>
          <w:color w:val="231F20"/>
        </w:rPr>
        <w:t>State</w:t>
      </w:r>
      <w:r>
        <w:rPr>
          <w:color w:val="231F20"/>
          <w:spacing w:val="-13"/>
        </w:rPr>
        <w:t xml:space="preserve"> </w:t>
      </w:r>
      <w:r>
        <w:rPr>
          <w:color w:val="231F20"/>
        </w:rPr>
        <w:t>has</w:t>
      </w:r>
      <w:r>
        <w:rPr>
          <w:color w:val="231F20"/>
          <w:spacing w:val="-12"/>
        </w:rPr>
        <w:t xml:space="preserve"> </w:t>
      </w:r>
      <w:r>
        <w:rPr>
          <w:color w:val="231F20"/>
        </w:rPr>
        <w:t>a</w:t>
      </w:r>
      <w:r>
        <w:rPr>
          <w:color w:val="231F20"/>
          <w:spacing w:val="-13"/>
        </w:rPr>
        <w:t xml:space="preserve"> </w:t>
      </w:r>
      <w:r>
        <w:rPr>
          <w:color w:val="231F20"/>
        </w:rPr>
        <w:t>population</w:t>
      </w:r>
      <w:r>
        <w:rPr>
          <w:color w:val="231F20"/>
          <w:spacing w:val="-13"/>
        </w:rPr>
        <w:t xml:space="preserve"> </w:t>
      </w:r>
      <w:r>
        <w:rPr>
          <w:color w:val="231F20"/>
        </w:rPr>
        <w:t>of</w:t>
      </w:r>
      <w:r>
        <w:rPr>
          <w:color w:val="231F20"/>
          <w:spacing w:val="-13"/>
        </w:rPr>
        <w:t xml:space="preserve"> </w:t>
      </w:r>
      <w:r>
        <w:rPr>
          <w:color w:val="231F20"/>
        </w:rPr>
        <w:t>7,244,152</w:t>
      </w:r>
      <w:r>
        <w:rPr>
          <w:color w:val="231F20"/>
          <w:spacing w:val="-12"/>
        </w:rPr>
        <w:t xml:space="preserve"> </w:t>
      </w:r>
      <w:r>
        <w:rPr>
          <w:color w:val="231F20"/>
        </w:rPr>
        <w:t>based</w:t>
      </w:r>
      <w:r>
        <w:rPr>
          <w:color w:val="231F20"/>
          <w:spacing w:val="-12"/>
        </w:rPr>
        <w:t xml:space="preserve"> </w:t>
      </w:r>
      <w:r>
        <w:rPr>
          <w:color w:val="231F20"/>
        </w:rPr>
        <w:t>on</w:t>
      </w:r>
      <w:r>
        <w:rPr>
          <w:color w:val="231F20"/>
          <w:spacing w:val="-12"/>
        </w:rPr>
        <w:t xml:space="preserve"> </w:t>
      </w:r>
      <w:r>
        <w:rPr>
          <w:color w:val="231F20"/>
        </w:rPr>
        <w:t>the</w:t>
      </w:r>
      <w:r>
        <w:rPr>
          <w:color w:val="231F20"/>
          <w:spacing w:val="-14"/>
        </w:rPr>
        <w:t xml:space="preserve"> </w:t>
      </w:r>
      <w:r>
        <w:rPr>
          <w:color w:val="231F20"/>
        </w:rPr>
        <w:t>projected</w:t>
      </w:r>
      <w:r>
        <w:rPr>
          <w:color w:val="231F20"/>
          <w:spacing w:val="-12"/>
        </w:rPr>
        <w:t xml:space="preserve"> </w:t>
      </w:r>
      <w:r>
        <w:rPr>
          <w:color w:val="231F20"/>
        </w:rPr>
        <w:t>population</w:t>
      </w:r>
      <w:r>
        <w:rPr>
          <w:color w:val="231F20"/>
          <w:spacing w:val="-12"/>
        </w:rPr>
        <w:t xml:space="preserve"> </w:t>
      </w:r>
      <w:r>
        <w:rPr>
          <w:color w:val="231F20"/>
          <w:spacing w:val="-6"/>
        </w:rPr>
        <w:t xml:space="preserve">of </w:t>
      </w:r>
      <w:r>
        <w:rPr>
          <w:color w:val="231F20"/>
        </w:rPr>
        <w:t>2016 (2006 Nat. Provisional Result at Population Growth Rate of 3.4%), adults and adolescents aged</w:t>
      </w:r>
      <w:r>
        <w:rPr>
          <w:color w:val="231F20"/>
          <w:spacing w:val="-12"/>
        </w:rPr>
        <w:t xml:space="preserve"> </w:t>
      </w:r>
      <w:r>
        <w:rPr>
          <w:color w:val="231F20"/>
        </w:rPr>
        <w:t>15</w:t>
      </w:r>
      <w:r>
        <w:rPr>
          <w:color w:val="231F20"/>
          <w:spacing w:val="-11"/>
        </w:rPr>
        <w:t xml:space="preserve"> </w:t>
      </w:r>
      <w:r>
        <w:rPr>
          <w:color w:val="231F20"/>
        </w:rPr>
        <w:t>to</w:t>
      </w:r>
      <w:r>
        <w:rPr>
          <w:color w:val="231F20"/>
          <w:spacing w:val="-12"/>
        </w:rPr>
        <w:t xml:space="preserve"> </w:t>
      </w:r>
      <w:r>
        <w:rPr>
          <w:color w:val="231F20"/>
        </w:rPr>
        <w:t>64</w:t>
      </w:r>
      <w:r>
        <w:rPr>
          <w:color w:val="231F20"/>
          <w:spacing w:val="-11"/>
        </w:rPr>
        <w:t xml:space="preserve"> </w:t>
      </w:r>
      <w:r>
        <w:rPr>
          <w:color w:val="231F20"/>
        </w:rPr>
        <w:t>years</w:t>
      </w:r>
      <w:r>
        <w:rPr>
          <w:color w:val="231F20"/>
          <w:spacing w:val="-11"/>
        </w:rPr>
        <w:t xml:space="preserve"> </w:t>
      </w:r>
      <w:r>
        <w:rPr>
          <w:color w:val="231F20"/>
        </w:rPr>
        <w:t>accounted</w:t>
      </w:r>
      <w:r>
        <w:rPr>
          <w:color w:val="231F20"/>
          <w:spacing w:val="-11"/>
        </w:rPr>
        <w:t xml:space="preserve"> </w:t>
      </w:r>
      <w:r>
        <w:rPr>
          <w:color w:val="231F20"/>
        </w:rPr>
        <w:t>for</w:t>
      </w:r>
      <w:r>
        <w:rPr>
          <w:color w:val="231F20"/>
          <w:spacing w:val="-12"/>
        </w:rPr>
        <w:t xml:space="preserve"> </w:t>
      </w:r>
      <w:r>
        <w:rPr>
          <w:color w:val="231F20"/>
        </w:rPr>
        <w:t>61%</w:t>
      </w:r>
      <w:r>
        <w:rPr>
          <w:color w:val="231F20"/>
          <w:spacing w:val="-11"/>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population</w:t>
      </w:r>
      <w:r>
        <w:rPr>
          <w:color w:val="231F20"/>
          <w:spacing w:val="-11"/>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Children</w:t>
      </w:r>
      <w:r>
        <w:rPr>
          <w:color w:val="231F20"/>
          <w:spacing w:val="-11"/>
        </w:rPr>
        <w:t xml:space="preserve"> </w:t>
      </w:r>
      <w:r>
        <w:rPr>
          <w:color w:val="231F20"/>
        </w:rPr>
        <w:t>below</w:t>
      </w:r>
      <w:r>
        <w:rPr>
          <w:color w:val="231F20"/>
          <w:spacing w:val="-11"/>
        </w:rPr>
        <w:t xml:space="preserve"> </w:t>
      </w:r>
      <w:r>
        <w:rPr>
          <w:color w:val="231F20"/>
        </w:rPr>
        <w:t>the</w:t>
      </w:r>
      <w:r>
        <w:rPr>
          <w:color w:val="231F20"/>
          <w:spacing w:val="-11"/>
        </w:rPr>
        <w:t xml:space="preserve"> </w:t>
      </w:r>
      <w:r>
        <w:rPr>
          <w:color w:val="231F20"/>
        </w:rPr>
        <w:t>age</w:t>
      </w:r>
      <w:r>
        <w:rPr>
          <w:color w:val="231F20"/>
          <w:spacing w:val="-11"/>
        </w:rPr>
        <w:t xml:space="preserve"> </w:t>
      </w:r>
      <w:r>
        <w:rPr>
          <w:color w:val="231F20"/>
        </w:rPr>
        <w:t>of</w:t>
      </w:r>
      <w:r>
        <w:rPr>
          <w:color w:val="231F20"/>
          <w:spacing w:val="-12"/>
        </w:rPr>
        <w:t xml:space="preserve"> </w:t>
      </w:r>
      <w:r>
        <w:rPr>
          <w:color w:val="231F20"/>
        </w:rPr>
        <w:t xml:space="preserve">15 accounted for 36% of the population and those aged 65 years and above, another 3%. </w:t>
      </w:r>
      <w:r>
        <w:rPr>
          <w:color w:val="231F20"/>
          <w:spacing w:val="-4"/>
        </w:rPr>
        <w:t xml:space="preserve">The </w:t>
      </w:r>
      <w:r>
        <w:rPr>
          <w:color w:val="231F20"/>
        </w:rPr>
        <w:t>population of Rivers State was 4% of the population of Nigeria based on the National Bureau of Statistics</w:t>
      </w:r>
      <w:r>
        <w:rPr>
          <w:color w:val="231F20"/>
          <w:spacing w:val="-25"/>
        </w:rPr>
        <w:t xml:space="preserve"> </w:t>
      </w:r>
      <w:r>
        <w:rPr>
          <w:color w:val="231F20"/>
        </w:rPr>
        <w:t>projection.</w:t>
      </w:r>
    </w:p>
    <w:p w14:paraId="1C780613" w14:textId="77777777" w:rsidR="009948F1" w:rsidRDefault="00BC0563">
      <w:pPr>
        <w:pStyle w:val="BodyText"/>
        <w:spacing w:line="259" w:lineRule="auto"/>
        <w:ind w:left="140" w:right="181"/>
        <w:jc w:val="both"/>
      </w:pPr>
      <w:r>
        <w:rPr>
          <w:color w:val="231F20"/>
        </w:rPr>
        <w:t>Rivers</w:t>
      </w:r>
      <w:r>
        <w:rPr>
          <w:color w:val="231F20"/>
          <w:spacing w:val="-26"/>
        </w:rPr>
        <w:t xml:space="preserve"> </w:t>
      </w:r>
      <w:r>
        <w:rPr>
          <w:color w:val="231F20"/>
        </w:rPr>
        <w:t>State</w:t>
      </w:r>
      <w:r>
        <w:rPr>
          <w:color w:val="231F20"/>
          <w:spacing w:val="-25"/>
        </w:rPr>
        <w:t xml:space="preserve"> </w:t>
      </w:r>
      <w:r>
        <w:rPr>
          <w:color w:val="231F20"/>
        </w:rPr>
        <w:t>is</w:t>
      </w:r>
      <w:r>
        <w:rPr>
          <w:color w:val="231F20"/>
          <w:spacing w:val="-25"/>
        </w:rPr>
        <w:t xml:space="preserve"> </w:t>
      </w:r>
      <w:r>
        <w:rPr>
          <w:color w:val="231F20"/>
        </w:rPr>
        <w:t>the</w:t>
      </w:r>
      <w:r>
        <w:rPr>
          <w:color w:val="231F20"/>
          <w:spacing w:val="-25"/>
        </w:rPr>
        <w:t xml:space="preserve"> </w:t>
      </w:r>
      <w:r>
        <w:rPr>
          <w:color w:val="231F20"/>
        </w:rPr>
        <w:t>second</w:t>
      </w:r>
      <w:r>
        <w:rPr>
          <w:color w:val="231F20"/>
          <w:spacing w:val="-25"/>
        </w:rPr>
        <w:t xml:space="preserve"> </w:t>
      </w:r>
      <w:r>
        <w:rPr>
          <w:color w:val="231F20"/>
        </w:rPr>
        <w:t>largest</w:t>
      </w:r>
      <w:r>
        <w:rPr>
          <w:color w:val="231F20"/>
          <w:spacing w:val="-25"/>
        </w:rPr>
        <w:t xml:space="preserve"> </w:t>
      </w:r>
      <w:r>
        <w:rPr>
          <w:color w:val="231F20"/>
        </w:rPr>
        <w:t>economy</w:t>
      </w:r>
      <w:r>
        <w:rPr>
          <w:color w:val="231F20"/>
          <w:spacing w:val="-25"/>
        </w:rPr>
        <w:t xml:space="preserve"> </w:t>
      </w:r>
      <w:r>
        <w:rPr>
          <w:color w:val="231F20"/>
        </w:rPr>
        <w:t>in</w:t>
      </w:r>
      <w:r>
        <w:rPr>
          <w:color w:val="231F20"/>
          <w:spacing w:val="-25"/>
        </w:rPr>
        <w:t xml:space="preserve"> </w:t>
      </w:r>
      <w:r>
        <w:rPr>
          <w:color w:val="231F20"/>
        </w:rPr>
        <w:t>Nigeria</w:t>
      </w:r>
      <w:r>
        <w:rPr>
          <w:color w:val="231F20"/>
          <w:spacing w:val="-25"/>
        </w:rPr>
        <w:t xml:space="preserve"> </w:t>
      </w:r>
      <w:r>
        <w:rPr>
          <w:color w:val="231F20"/>
        </w:rPr>
        <w:t>after</w:t>
      </w:r>
      <w:r>
        <w:rPr>
          <w:color w:val="231F20"/>
          <w:spacing w:val="-25"/>
        </w:rPr>
        <w:t xml:space="preserve"> </w:t>
      </w:r>
      <w:r>
        <w:rPr>
          <w:color w:val="231F20"/>
        </w:rPr>
        <w:t>Lagos</w:t>
      </w:r>
      <w:r>
        <w:rPr>
          <w:color w:val="231F20"/>
          <w:spacing w:val="-25"/>
        </w:rPr>
        <w:t xml:space="preserve"> </w:t>
      </w:r>
      <w:r>
        <w:rPr>
          <w:color w:val="231F20"/>
        </w:rPr>
        <w:t>State</w:t>
      </w:r>
      <w:r>
        <w:rPr>
          <w:color w:val="231F20"/>
          <w:position w:val="11"/>
          <w:sz w:val="11"/>
        </w:rPr>
        <w:t>2</w:t>
      </w:r>
      <w:r>
        <w:rPr>
          <w:color w:val="231F20"/>
        </w:rPr>
        <w:t>.</w:t>
      </w:r>
      <w:r>
        <w:rPr>
          <w:color w:val="231F20"/>
          <w:spacing w:val="-25"/>
        </w:rPr>
        <w:t xml:space="preserve"> </w:t>
      </w:r>
      <w:r>
        <w:rPr>
          <w:color w:val="231F20"/>
        </w:rPr>
        <w:t>It</w:t>
      </w:r>
      <w:r>
        <w:rPr>
          <w:color w:val="231F20"/>
          <w:spacing w:val="-25"/>
        </w:rPr>
        <w:t xml:space="preserve"> </w:t>
      </w:r>
      <w:r>
        <w:rPr>
          <w:color w:val="231F20"/>
        </w:rPr>
        <w:t>has</w:t>
      </w:r>
      <w:r>
        <w:rPr>
          <w:color w:val="231F20"/>
          <w:spacing w:val="-25"/>
        </w:rPr>
        <w:t xml:space="preserve"> </w:t>
      </w:r>
      <w:r>
        <w:rPr>
          <w:color w:val="231F20"/>
        </w:rPr>
        <w:t>a</w:t>
      </w:r>
      <w:r>
        <w:rPr>
          <w:color w:val="231F20"/>
          <w:spacing w:val="-25"/>
        </w:rPr>
        <w:t xml:space="preserve"> </w:t>
      </w:r>
      <w:r>
        <w:rPr>
          <w:color w:val="231F20"/>
        </w:rPr>
        <w:t>GDP</w:t>
      </w:r>
      <w:r>
        <w:rPr>
          <w:color w:val="231F20"/>
          <w:spacing w:val="-29"/>
        </w:rPr>
        <w:t xml:space="preserve"> </w:t>
      </w:r>
      <w:r>
        <w:rPr>
          <w:color w:val="231F20"/>
        </w:rPr>
        <w:t>of</w:t>
      </w:r>
      <w:r>
        <w:rPr>
          <w:color w:val="231F20"/>
          <w:spacing w:val="-26"/>
        </w:rPr>
        <w:t xml:space="preserve"> </w:t>
      </w:r>
      <w:r>
        <w:rPr>
          <w:color w:val="231F20"/>
        </w:rPr>
        <w:t>21.1</w:t>
      </w:r>
      <w:r>
        <w:rPr>
          <w:color w:val="231F20"/>
          <w:spacing w:val="-25"/>
        </w:rPr>
        <w:t xml:space="preserve"> </w:t>
      </w:r>
      <w:r>
        <w:rPr>
          <w:color w:val="231F20"/>
        </w:rPr>
        <w:t>million USD</w:t>
      </w:r>
      <w:r>
        <w:rPr>
          <w:color w:val="231F20"/>
          <w:position w:val="11"/>
          <w:sz w:val="11"/>
        </w:rPr>
        <w:t xml:space="preserve">8 </w:t>
      </w:r>
      <w:r>
        <w:rPr>
          <w:color w:val="231F20"/>
        </w:rPr>
        <w:t>which is larger than most national GDPs in the African continent. The State has two major refineries, two major seaports and airports and various industrial estates spread across the</w:t>
      </w:r>
      <w:r>
        <w:rPr>
          <w:color w:val="231F20"/>
          <w:spacing w:val="-25"/>
        </w:rPr>
        <w:t xml:space="preserve"> </w:t>
      </w:r>
      <w:r>
        <w:rPr>
          <w:color w:val="231F20"/>
          <w:spacing w:val="-3"/>
        </w:rPr>
        <w:t xml:space="preserve">State </w:t>
      </w:r>
      <w:r>
        <w:rPr>
          <w:color w:val="231F20"/>
        </w:rPr>
        <w:t xml:space="preserve">particularly in the state capital </w:t>
      </w:r>
      <w:r>
        <w:rPr>
          <w:color w:val="231F20"/>
          <w:position w:val="11"/>
          <w:sz w:val="11"/>
        </w:rPr>
        <w:t>2</w:t>
      </w:r>
      <w:r>
        <w:rPr>
          <w:color w:val="231F20"/>
        </w:rPr>
        <w:t>. The State has a per capita income of 4 USD. While the State's economy</w:t>
      </w:r>
      <w:r>
        <w:rPr>
          <w:color w:val="231F20"/>
          <w:spacing w:val="-10"/>
        </w:rPr>
        <w:t xml:space="preserve"> </w:t>
      </w:r>
      <w:r>
        <w:rPr>
          <w:color w:val="231F20"/>
        </w:rPr>
        <w:t>is</w:t>
      </w:r>
      <w:r>
        <w:rPr>
          <w:color w:val="231F20"/>
          <w:spacing w:val="-9"/>
        </w:rPr>
        <w:t xml:space="preserve"> </w:t>
      </w:r>
      <w:r>
        <w:rPr>
          <w:color w:val="231F20"/>
        </w:rPr>
        <w:t>still</w:t>
      </w:r>
      <w:r>
        <w:rPr>
          <w:color w:val="231F20"/>
          <w:spacing w:val="-9"/>
        </w:rPr>
        <w:t xml:space="preserve"> </w:t>
      </w:r>
      <w:r>
        <w:rPr>
          <w:color w:val="231F20"/>
        </w:rPr>
        <w:t>largely</w:t>
      </w:r>
      <w:r>
        <w:rPr>
          <w:color w:val="231F20"/>
          <w:spacing w:val="-8"/>
        </w:rPr>
        <w:t xml:space="preserve"> </w:t>
      </w:r>
      <w:r>
        <w:rPr>
          <w:color w:val="231F20"/>
        </w:rPr>
        <w:t>dependent</w:t>
      </w:r>
      <w:r>
        <w:rPr>
          <w:color w:val="231F20"/>
          <w:spacing w:val="-8"/>
        </w:rPr>
        <w:t xml:space="preserve"> </w:t>
      </w:r>
      <w:r>
        <w:rPr>
          <w:color w:val="231F20"/>
        </w:rPr>
        <w:t>on</w:t>
      </w:r>
      <w:r>
        <w:rPr>
          <w:color w:val="231F20"/>
          <w:spacing w:val="-9"/>
        </w:rPr>
        <w:t xml:space="preserve"> </w:t>
      </w:r>
      <w:r>
        <w:rPr>
          <w:color w:val="231F20"/>
        </w:rPr>
        <w:t>oil,</w:t>
      </w:r>
      <w:r>
        <w:rPr>
          <w:color w:val="231F20"/>
          <w:spacing w:val="-9"/>
        </w:rPr>
        <w:t xml:space="preserve"> </w:t>
      </w:r>
      <w:r>
        <w:rPr>
          <w:color w:val="231F20"/>
        </w:rPr>
        <w:t>the</w:t>
      </w:r>
      <w:r>
        <w:rPr>
          <w:color w:val="231F20"/>
          <w:spacing w:val="-9"/>
        </w:rPr>
        <w:t xml:space="preserve"> </w:t>
      </w:r>
      <w:r>
        <w:rPr>
          <w:color w:val="231F20"/>
        </w:rPr>
        <w:t>declining</w:t>
      </w:r>
      <w:r>
        <w:rPr>
          <w:color w:val="231F20"/>
          <w:spacing w:val="-9"/>
        </w:rPr>
        <w:t xml:space="preserve"> </w:t>
      </w:r>
      <w:r>
        <w:rPr>
          <w:color w:val="231F20"/>
        </w:rPr>
        <w:t>oil</w:t>
      </w:r>
      <w:r>
        <w:rPr>
          <w:color w:val="231F20"/>
          <w:spacing w:val="-9"/>
        </w:rPr>
        <w:t xml:space="preserve"> </w:t>
      </w:r>
      <w:r>
        <w:rPr>
          <w:color w:val="231F20"/>
        </w:rPr>
        <w:t>price,</w:t>
      </w:r>
      <w:r>
        <w:rPr>
          <w:color w:val="231F20"/>
          <w:spacing w:val="-9"/>
        </w:rPr>
        <w:t xml:space="preserve"> </w:t>
      </w:r>
      <w:r>
        <w:rPr>
          <w:color w:val="231F20"/>
        </w:rPr>
        <w:t>ongoing</w:t>
      </w:r>
      <w:r>
        <w:rPr>
          <w:color w:val="231F20"/>
          <w:spacing w:val="-8"/>
        </w:rPr>
        <w:t xml:space="preserve"> </w:t>
      </w:r>
      <w:r>
        <w:rPr>
          <w:color w:val="231F20"/>
        </w:rPr>
        <w:t>security</w:t>
      </w:r>
      <w:r>
        <w:rPr>
          <w:color w:val="231F20"/>
          <w:spacing w:val="-9"/>
        </w:rPr>
        <w:t xml:space="preserve"> </w:t>
      </w:r>
      <w:r>
        <w:rPr>
          <w:color w:val="231F20"/>
        </w:rPr>
        <w:t>challenges</w:t>
      </w:r>
      <w:r>
        <w:rPr>
          <w:color w:val="231F20"/>
          <w:spacing w:val="-8"/>
        </w:rPr>
        <w:t xml:space="preserve"> </w:t>
      </w:r>
      <w:r>
        <w:rPr>
          <w:color w:val="231F20"/>
        </w:rPr>
        <w:t>in</w:t>
      </w:r>
      <w:r>
        <w:rPr>
          <w:color w:val="231F20"/>
          <w:spacing w:val="-9"/>
        </w:rPr>
        <w:t xml:space="preserve"> </w:t>
      </w:r>
      <w:r>
        <w:rPr>
          <w:color w:val="231F20"/>
        </w:rPr>
        <w:t>the Niger</w:t>
      </w:r>
      <w:r>
        <w:rPr>
          <w:color w:val="231F20"/>
          <w:spacing w:val="-26"/>
        </w:rPr>
        <w:t xml:space="preserve"> </w:t>
      </w:r>
      <w:r>
        <w:rPr>
          <w:color w:val="231F20"/>
        </w:rPr>
        <w:t>Delta</w:t>
      </w:r>
      <w:r>
        <w:rPr>
          <w:color w:val="231F20"/>
          <w:spacing w:val="-25"/>
        </w:rPr>
        <w:t xml:space="preserve"> </w:t>
      </w:r>
      <w:r>
        <w:rPr>
          <w:color w:val="231F20"/>
        </w:rPr>
        <w:t>and</w:t>
      </w:r>
      <w:r>
        <w:rPr>
          <w:color w:val="231F20"/>
          <w:spacing w:val="-25"/>
        </w:rPr>
        <w:t xml:space="preserve"> </w:t>
      </w:r>
      <w:r>
        <w:rPr>
          <w:color w:val="231F20"/>
        </w:rPr>
        <w:t>the</w:t>
      </w:r>
      <w:r>
        <w:rPr>
          <w:color w:val="231F20"/>
          <w:spacing w:val="-25"/>
        </w:rPr>
        <w:t xml:space="preserve"> </w:t>
      </w:r>
      <w:r>
        <w:rPr>
          <w:color w:val="231F20"/>
        </w:rPr>
        <w:t>subsequent</w:t>
      </w:r>
      <w:r>
        <w:rPr>
          <w:color w:val="231F20"/>
          <w:spacing w:val="-25"/>
        </w:rPr>
        <w:t xml:space="preserve"> </w:t>
      </w:r>
      <w:r>
        <w:rPr>
          <w:color w:val="231F20"/>
        </w:rPr>
        <w:t>recession</w:t>
      </w:r>
      <w:r>
        <w:rPr>
          <w:color w:val="231F20"/>
          <w:spacing w:val="-25"/>
        </w:rPr>
        <w:t xml:space="preserve"> </w:t>
      </w:r>
      <w:r>
        <w:rPr>
          <w:color w:val="231F20"/>
        </w:rPr>
        <w:t>has</w:t>
      </w:r>
      <w:r>
        <w:rPr>
          <w:color w:val="231F20"/>
          <w:spacing w:val="-25"/>
        </w:rPr>
        <w:t xml:space="preserve"> </w:t>
      </w:r>
      <w:r>
        <w:rPr>
          <w:color w:val="231F20"/>
        </w:rPr>
        <w:t>caused</w:t>
      </w:r>
      <w:r>
        <w:rPr>
          <w:color w:val="231F20"/>
          <w:spacing w:val="-25"/>
        </w:rPr>
        <w:t xml:space="preserve"> </w:t>
      </w:r>
      <w:r>
        <w:rPr>
          <w:color w:val="231F20"/>
        </w:rPr>
        <w:t>a</w:t>
      </w:r>
      <w:r>
        <w:rPr>
          <w:color w:val="231F20"/>
          <w:spacing w:val="-25"/>
        </w:rPr>
        <w:t xml:space="preserve"> </w:t>
      </w:r>
      <w:r>
        <w:rPr>
          <w:color w:val="231F20"/>
        </w:rPr>
        <w:t>steady</w:t>
      </w:r>
      <w:r>
        <w:rPr>
          <w:color w:val="231F20"/>
          <w:spacing w:val="-25"/>
        </w:rPr>
        <w:t xml:space="preserve"> </w:t>
      </w:r>
      <w:r>
        <w:rPr>
          <w:color w:val="231F20"/>
        </w:rPr>
        <w:t>decline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economy</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State.</w:t>
      </w:r>
    </w:p>
    <w:p w14:paraId="438DC17F" w14:textId="77777777" w:rsidR="009948F1" w:rsidRDefault="009948F1">
      <w:pPr>
        <w:pStyle w:val="BodyText"/>
        <w:spacing w:before="9"/>
        <w:rPr>
          <w:sz w:val="23"/>
        </w:rPr>
      </w:pPr>
    </w:p>
    <w:p w14:paraId="304500A0" w14:textId="77777777" w:rsidR="009948F1" w:rsidRDefault="00BC0563">
      <w:pPr>
        <w:pStyle w:val="Heading7"/>
        <w:numPr>
          <w:ilvl w:val="2"/>
          <w:numId w:val="326"/>
        </w:numPr>
        <w:tabs>
          <w:tab w:val="left" w:pos="861"/>
        </w:tabs>
        <w:spacing w:line="249" w:lineRule="exact"/>
        <w:ind w:hanging="721"/>
        <w:jc w:val="both"/>
        <w:rPr>
          <w:color w:val="231F20"/>
        </w:rPr>
      </w:pPr>
      <w:r>
        <w:rPr>
          <w:color w:val="231F20"/>
        </w:rPr>
        <w:t>Literacy</w:t>
      </w:r>
      <w:r>
        <w:rPr>
          <w:color w:val="231F20"/>
          <w:spacing w:val="-25"/>
        </w:rPr>
        <w:t xml:space="preserve"> </w:t>
      </w:r>
      <w:r>
        <w:rPr>
          <w:color w:val="231F20"/>
        </w:rPr>
        <w:t>Rate</w:t>
      </w:r>
    </w:p>
    <w:p w14:paraId="6235CBA5" w14:textId="77777777" w:rsidR="009948F1" w:rsidRDefault="00BC0563">
      <w:pPr>
        <w:pStyle w:val="BodyText"/>
        <w:spacing w:line="249" w:lineRule="exact"/>
        <w:ind w:left="140"/>
        <w:jc w:val="both"/>
      </w:pPr>
      <w:r>
        <w:rPr>
          <w:color w:val="231F20"/>
        </w:rPr>
        <w:t>There is a relationship between female literacy levels and rate of change in maternal</w:t>
      </w:r>
    </w:p>
    <w:p w14:paraId="44D26AC2" w14:textId="77777777" w:rsidR="009948F1" w:rsidRDefault="009948F1">
      <w:pPr>
        <w:pStyle w:val="BodyText"/>
      </w:pPr>
    </w:p>
    <w:p w14:paraId="57566AF1" w14:textId="77777777" w:rsidR="009948F1" w:rsidRDefault="009948F1">
      <w:pPr>
        <w:pStyle w:val="BodyText"/>
      </w:pPr>
    </w:p>
    <w:p w14:paraId="295190EB" w14:textId="77777777" w:rsidR="009948F1" w:rsidRDefault="009948F1">
      <w:pPr>
        <w:pStyle w:val="BodyText"/>
      </w:pPr>
    </w:p>
    <w:p w14:paraId="39315A64" w14:textId="77777777" w:rsidR="009948F1" w:rsidRDefault="009948F1">
      <w:pPr>
        <w:pStyle w:val="BodyText"/>
      </w:pPr>
    </w:p>
    <w:p w14:paraId="3565920F" w14:textId="77777777" w:rsidR="009948F1" w:rsidRDefault="009948F1">
      <w:pPr>
        <w:pStyle w:val="BodyText"/>
      </w:pPr>
    </w:p>
    <w:p w14:paraId="14A11A3A" w14:textId="77777777" w:rsidR="009948F1" w:rsidRDefault="009948F1">
      <w:pPr>
        <w:pStyle w:val="BodyText"/>
      </w:pPr>
    </w:p>
    <w:p w14:paraId="0377CF35" w14:textId="77777777" w:rsidR="009948F1" w:rsidRDefault="009948F1">
      <w:pPr>
        <w:pStyle w:val="BodyText"/>
        <w:spacing w:before="6"/>
        <w:rPr>
          <w:sz w:val="27"/>
        </w:rPr>
      </w:pPr>
    </w:p>
    <w:p w14:paraId="2654D735" w14:textId="77777777" w:rsidR="009948F1" w:rsidRDefault="00BC0563">
      <w:pPr>
        <w:spacing w:line="360" w:lineRule="auto"/>
        <w:ind w:left="325" w:right="3199" w:hanging="184"/>
        <w:rPr>
          <w:i/>
          <w:sz w:val="18"/>
        </w:rPr>
      </w:pPr>
      <w:r>
        <w:rPr>
          <w:color w:val="231F20"/>
          <w:sz w:val="18"/>
          <w:vertAlign w:val="superscript"/>
        </w:rPr>
        <w:t>7</w:t>
      </w:r>
      <w:r>
        <w:rPr>
          <w:color w:val="231F20"/>
          <w:sz w:val="18"/>
        </w:rPr>
        <w:t xml:space="preserve"> National Provisional Result, National Population Commission (2010). 2006 Population and Housing </w:t>
      </w:r>
      <w:proofErr w:type="spellStart"/>
      <w:proofErr w:type="gramStart"/>
      <w:r>
        <w:rPr>
          <w:color w:val="231F20"/>
          <w:sz w:val="18"/>
        </w:rPr>
        <w:t>Census:Abuja</w:t>
      </w:r>
      <w:proofErr w:type="spellEnd"/>
      <w:proofErr w:type="gramEnd"/>
      <w:r>
        <w:rPr>
          <w:color w:val="231F20"/>
          <w:sz w:val="18"/>
        </w:rPr>
        <w:t>: NPC</w:t>
      </w:r>
      <w:r>
        <w:rPr>
          <w:i/>
          <w:color w:val="231F20"/>
          <w:sz w:val="18"/>
        </w:rPr>
        <w:t>, p9</w:t>
      </w:r>
    </w:p>
    <w:p w14:paraId="1FD0D383" w14:textId="77777777" w:rsidR="009948F1" w:rsidRDefault="00BC0563">
      <w:pPr>
        <w:spacing w:line="173" w:lineRule="exact"/>
        <w:ind w:left="141"/>
        <w:rPr>
          <w:sz w:val="18"/>
        </w:rPr>
      </w:pPr>
      <w:r>
        <w:rPr>
          <w:color w:val="231F20"/>
          <w:sz w:val="18"/>
          <w:vertAlign w:val="superscript"/>
        </w:rPr>
        <w:t>8</w:t>
      </w:r>
      <w:r>
        <w:rPr>
          <w:color w:val="231F20"/>
          <w:sz w:val="18"/>
        </w:rPr>
        <w:t xml:space="preserve"> National Bureau of Statistics (NBS 2017).</w:t>
      </w:r>
    </w:p>
    <w:p w14:paraId="294F1877" w14:textId="77777777" w:rsidR="009948F1" w:rsidRDefault="009948F1">
      <w:pPr>
        <w:spacing w:line="173" w:lineRule="exact"/>
        <w:rPr>
          <w:sz w:val="18"/>
        </w:rPr>
        <w:sectPr w:rsidR="009948F1">
          <w:pgSz w:w="11910" w:h="16840"/>
          <w:pgMar w:top="1280" w:right="1080" w:bottom="1420" w:left="1120" w:header="0" w:footer="1235" w:gutter="0"/>
          <w:cols w:space="720"/>
        </w:sectPr>
      </w:pPr>
    </w:p>
    <w:p w14:paraId="5A6A58D5" w14:textId="77777777" w:rsidR="009948F1" w:rsidRDefault="00BC0563">
      <w:pPr>
        <w:pStyle w:val="BodyText"/>
        <w:spacing w:before="63" w:line="285" w:lineRule="auto"/>
        <w:ind w:left="159" w:right="195"/>
        <w:jc w:val="both"/>
      </w:pPr>
      <w:bookmarkStart w:id="23" w:name="Page_19"/>
      <w:bookmarkEnd w:id="23"/>
      <w:r>
        <w:rPr>
          <w:color w:val="231F20"/>
        </w:rPr>
        <w:lastRenderedPageBreak/>
        <w:t>mortality</w:t>
      </w:r>
      <w:r>
        <w:rPr>
          <w:color w:val="231F20"/>
          <w:spacing w:val="-7"/>
        </w:rPr>
        <w:t xml:space="preserve"> </w:t>
      </w:r>
      <w:r>
        <w:rPr>
          <w:color w:val="231F20"/>
        </w:rPr>
        <w:t>ratios.</w:t>
      </w:r>
      <w:r>
        <w:rPr>
          <w:color w:val="231F20"/>
          <w:spacing w:val="-11"/>
        </w:rPr>
        <w:t xml:space="preserve"> </w:t>
      </w:r>
      <w:r>
        <w:rPr>
          <w:color w:val="231F20"/>
        </w:rPr>
        <w:t>The</w:t>
      </w:r>
      <w:r>
        <w:rPr>
          <w:color w:val="231F20"/>
          <w:spacing w:val="-7"/>
        </w:rPr>
        <w:t xml:space="preserve"> </w:t>
      </w:r>
      <w:r>
        <w:rPr>
          <w:color w:val="231F20"/>
        </w:rPr>
        <w:t>female</w:t>
      </w:r>
      <w:r>
        <w:rPr>
          <w:color w:val="231F20"/>
          <w:spacing w:val="-7"/>
        </w:rPr>
        <w:t xml:space="preserve"> </w:t>
      </w:r>
      <w:r>
        <w:rPr>
          <w:color w:val="231F20"/>
        </w:rPr>
        <w:t>literacy</w:t>
      </w:r>
      <w:r>
        <w:rPr>
          <w:color w:val="231F20"/>
          <w:spacing w:val="-6"/>
        </w:rPr>
        <w:t xml:space="preserve"> </w:t>
      </w:r>
      <w:r>
        <w:rPr>
          <w:color w:val="231F20"/>
        </w:rPr>
        <w:t>rate</w:t>
      </w:r>
      <w:r>
        <w:rPr>
          <w:color w:val="231F20"/>
          <w:spacing w:val="-7"/>
        </w:rPr>
        <w:t xml:space="preserve"> </w:t>
      </w:r>
      <w:r>
        <w:rPr>
          <w:color w:val="231F20"/>
        </w:rPr>
        <w:t>is</w:t>
      </w:r>
      <w:r>
        <w:rPr>
          <w:color w:val="231F20"/>
          <w:spacing w:val="-7"/>
        </w:rPr>
        <w:t xml:space="preserve"> </w:t>
      </w:r>
      <w:r>
        <w:rPr>
          <w:color w:val="231F20"/>
        </w:rPr>
        <w:t>about</w:t>
      </w:r>
      <w:r>
        <w:rPr>
          <w:color w:val="231F20"/>
          <w:spacing w:val="-7"/>
        </w:rPr>
        <w:t xml:space="preserve"> </w:t>
      </w:r>
      <w:r>
        <w:rPr>
          <w:color w:val="231F20"/>
        </w:rPr>
        <w:t>98.1%</w:t>
      </w:r>
      <w:r>
        <w:rPr>
          <w:color w:val="231F20"/>
          <w:position w:val="11"/>
          <w:sz w:val="11"/>
        </w:rPr>
        <w:t>9</w:t>
      </w:r>
      <w:r>
        <w:rPr>
          <w:color w:val="231F20"/>
          <w:spacing w:val="24"/>
          <w:position w:val="11"/>
          <w:sz w:val="11"/>
        </w:rPr>
        <w:t xml:space="preserve"> </w:t>
      </w:r>
      <w:r>
        <w:rPr>
          <w:color w:val="231F20"/>
        </w:rPr>
        <w:t>in</w:t>
      </w:r>
      <w:r>
        <w:rPr>
          <w:color w:val="231F20"/>
          <w:spacing w:val="-7"/>
        </w:rPr>
        <w:t xml:space="preserve"> </w:t>
      </w:r>
      <w:r>
        <w:rPr>
          <w:color w:val="231F20"/>
        </w:rPr>
        <w:t>Rivers</w:t>
      </w:r>
      <w:r>
        <w:rPr>
          <w:color w:val="231F20"/>
          <w:spacing w:val="-6"/>
        </w:rPr>
        <w:t xml:space="preserve"> </w:t>
      </w:r>
      <w:r>
        <w:rPr>
          <w:color w:val="231F20"/>
        </w:rPr>
        <w:t>State</w:t>
      </w:r>
      <w:r>
        <w:rPr>
          <w:color w:val="231F20"/>
          <w:spacing w:val="-7"/>
        </w:rPr>
        <w:t xml:space="preserve"> </w:t>
      </w:r>
      <w:r>
        <w:rPr>
          <w:color w:val="231F20"/>
        </w:rPr>
        <w:t>women</w:t>
      </w:r>
      <w:r>
        <w:rPr>
          <w:color w:val="231F20"/>
          <w:spacing w:val="-7"/>
        </w:rPr>
        <w:t xml:space="preserve"> </w:t>
      </w:r>
      <w:r>
        <w:rPr>
          <w:color w:val="231F20"/>
          <w:spacing w:val="-5"/>
        </w:rPr>
        <w:t>(Table</w:t>
      </w:r>
      <w:r>
        <w:rPr>
          <w:color w:val="231F20"/>
          <w:spacing w:val="-7"/>
        </w:rPr>
        <w:t xml:space="preserve"> </w:t>
      </w:r>
      <w:r>
        <w:rPr>
          <w:color w:val="231F20"/>
        </w:rPr>
        <w:t>1)</w:t>
      </w:r>
      <w:r>
        <w:rPr>
          <w:color w:val="231F20"/>
          <w:spacing w:val="-6"/>
        </w:rPr>
        <w:t xml:space="preserve"> </w:t>
      </w:r>
      <w:r>
        <w:rPr>
          <w:color w:val="231F20"/>
        </w:rPr>
        <w:t>which</w:t>
      </w:r>
      <w:r>
        <w:rPr>
          <w:color w:val="231F20"/>
          <w:spacing w:val="-7"/>
        </w:rPr>
        <w:t xml:space="preserve"> </w:t>
      </w:r>
      <w:r>
        <w:rPr>
          <w:color w:val="231F20"/>
        </w:rPr>
        <w:t>is relatively</w:t>
      </w:r>
      <w:r>
        <w:rPr>
          <w:color w:val="231F20"/>
          <w:spacing w:val="-5"/>
        </w:rPr>
        <w:t xml:space="preserve"> </w:t>
      </w:r>
      <w:r>
        <w:rPr>
          <w:color w:val="231F20"/>
        </w:rPr>
        <w:t>high</w:t>
      </w:r>
      <w:r>
        <w:rPr>
          <w:color w:val="231F20"/>
          <w:spacing w:val="-4"/>
        </w:rPr>
        <w:t xml:space="preserve"> </w:t>
      </w:r>
      <w:r>
        <w:rPr>
          <w:color w:val="231F20"/>
        </w:rPr>
        <w:t>despite</w:t>
      </w:r>
      <w:r>
        <w:rPr>
          <w:color w:val="231F20"/>
          <w:spacing w:val="-4"/>
        </w:rPr>
        <w:t xml:space="preserve"> </w:t>
      </w:r>
      <w:r>
        <w:rPr>
          <w:color w:val="231F20"/>
        </w:rPr>
        <w:t>the</w:t>
      </w:r>
      <w:r>
        <w:rPr>
          <w:color w:val="231F20"/>
          <w:spacing w:val="-6"/>
        </w:rPr>
        <w:t xml:space="preserve"> </w:t>
      </w:r>
      <w:r>
        <w:rPr>
          <w:color w:val="231F20"/>
        </w:rPr>
        <w:t>poor</w:t>
      </w:r>
      <w:r>
        <w:rPr>
          <w:color w:val="231F20"/>
          <w:spacing w:val="-5"/>
        </w:rPr>
        <w:t xml:space="preserve"> </w:t>
      </w:r>
      <w:r>
        <w:rPr>
          <w:color w:val="231F20"/>
        </w:rPr>
        <w:t>health</w:t>
      </w:r>
      <w:r>
        <w:rPr>
          <w:color w:val="231F20"/>
          <w:spacing w:val="-4"/>
        </w:rPr>
        <w:t xml:space="preserve"> </w:t>
      </w:r>
      <w:r>
        <w:rPr>
          <w:color w:val="231F20"/>
        </w:rPr>
        <w:t>indices.</w:t>
      </w:r>
      <w:r>
        <w:rPr>
          <w:color w:val="231F20"/>
          <w:spacing w:val="-5"/>
        </w:rPr>
        <w:t xml:space="preserve"> </w:t>
      </w:r>
      <w:r>
        <w:rPr>
          <w:color w:val="231F20"/>
        </w:rPr>
        <w:t>We</w:t>
      </w:r>
      <w:r>
        <w:rPr>
          <w:color w:val="231F20"/>
          <w:spacing w:val="-5"/>
        </w:rPr>
        <w:t xml:space="preserve"> </w:t>
      </w:r>
      <w:r>
        <w:rPr>
          <w:color w:val="231F20"/>
        </w:rPr>
        <w:t>know</w:t>
      </w:r>
      <w:r>
        <w:rPr>
          <w:color w:val="231F20"/>
          <w:spacing w:val="-4"/>
        </w:rPr>
        <w:t xml:space="preserve"> </w:t>
      </w:r>
      <w:r>
        <w:rPr>
          <w:color w:val="231F20"/>
        </w:rPr>
        <w:t>that</w:t>
      </w:r>
      <w:r>
        <w:rPr>
          <w:color w:val="231F20"/>
          <w:spacing w:val="-6"/>
        </w:rPr>
        <w:t xml:space="preserve"> </w:t>
      </w:r>
      <w:r>
        <w:rPr>
          <w:color w:val="231F20"/>
        </w:rPr>
        <w:t>literate</w:t>
      </w:r>
      <w:r>
        <w:rPr>
          <w:color w:val="231F20"/>
          <w:spacing w:val="-5"/>
        </w:rPr>
        <w:t xml:space="preserve"> </w:t>
      </w:r>
      <w:r>
        <w:rPr>
          <w:color w:val="231F20"/>
        </w:rPr>
        <w:t>women</w:t>
      </w:r>
      <w:r>
        <w:rPr>
          <w:color w:val="231F20"/>
          <w:spacing w:val="-4"/>
        </w:rPr>
        <w:t xml:space="preserve"> </w:t>
      </w:r>
      <w:r>
        <w:rPr>
          <w:color w:val="231F20"/>
        </w:rPr>
        <w:t>care</w:t>
      </w:r>
      <w:r>
        <w:rPr>
          <w:color w:val="231F20"/>
          <w:spacing w:val="-6"/>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health</w:t>
      </w:r>
      <w:r>
        <w:rPr>
          <w:color w:val="231F20"/>
          <w:spacing w:val="-5"/>
        </w:rPr>
        <w:t xml:space="preserve"> </w:t>
      </w:r>
      <w:r>
        <w:rPr>
          <w:color w:val="231F20"/>
        </w:rPr>
        <w:t>of their family especially their children. They are more likely to complete the immunization</w:t>
      </w:r>
      <w:r>
        <w:rPr>
          <w:color w:val="231F20"/>
          <w:spacing w:val="-40"/>
        </w:rPr>
        <w:t xml:space="preserve"> </w:t>
      </w:r>
      <w:r>
        <w:rPr>
          <w:color w:val="231F20"/>
        </w:rPr>
        <w:t>schedule than</w:t>
      </w:r>
      <w:r>
        <w:rPr>
          <w:color w:val="231F20"/>
          <w:spacing w:val="-25"/>
        </w:rPr>
        <w:t xml:space="preserve"> </w:t>
      </w:r>
      <w:r>
        <w:rPr>
          <w:color w:val="231F20"/>
        </w:rPr>
        <w:t>others.</w:t>
      </w:r>
    </w:p>
    <w:p w14:paraId="3CDEC7C9" w14:textId="77777777" w:rsidR="009948F1" w:rsidRDefault="009948F1">
      <w:pPr>
        <w:pStyle w:val="BodyText"/>
        <w:rPr>
          <w:sz w:val="26"/>
        </w:rPr>
      </w:pPr>
    </w:p>
    <w:p w14:paraId="49A32CC8" w14:textId="77777777" w:rsidR="009948F1" w:rsidRDefault="00BC0563">
      <w:pPr>
        <w:pStyle w:val="Heading7"/>
        <w:numPr>
          <w:ilvl w:val="2"/>
          <w:numId w:val="326"/>
        </w:numPr>
        <w:tabs>
          <w:tab w:val="left" w:pos="880"/>
        </w:tabs>
        <w:spacing w:before="1"/>
        <w:ind w:left="879" w:hanging="721"/>
        <w:jc w:val="both"/>
        <w:rPr>
          <w:color w:val="231F20"/>
        </w:rPr>
      </w:pPr>
      <w:r>
        <w:rPr>
          <w:color w:val="231F20"/>
        </w:rPr>
        <w:t>Transportation</w:t>
      </w:r>
    </w:p>
    <w:p w14:paraId="13F9C86E" w14:textId="77777777" w:rsidR="009948F1" w:rsidRDefault="00BC0563">
      <w:pPr>
        <w:pStyle w:val="BodyText"/>
        <w:spacing w:before="47" w:line="285" w:lineRule="auto"/>
        <w:ind w:left="168" w:right="197"/>
        <w:jc w:val="both"/>
      </w:pPr>
      <w:r>
        <w:rPr>
          <w:color w:val="231F20"/>
        </w:rPr>
        <w:t>Over</w:t>
      </w:r>
      <w:r>
        <w:rPr>
          <w:color w:val="231F20"/>
          <w:spacing w:val="-26"/>
        </w:rPr>
        <w:t xml:space="preserve"> </w:t>
      </w:r>
      <w:r>
        <w:rPr>
          <w:color w:val="231F20"/>
        </w:rPr>
        <w:t>one</w:t>
      </w:r>
      <w:r>
        <w:rPr>
          <w:color w:val="231F20"/>
          <w:spacing w:val="-25"/>
        </w:rPr>
        <w:t xml:space="preserve"> </w:t>
      </w:r>
      <w:r>
        <w:rPr>
          <w:color w:val="231F20"/>
        </w:rPr>
        <w:t>third</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is</w:t>
      </w:r>
      <w:r>
        <w:rPr>
          <w:color w:val="231F20"/>
          <w:spacing w:val="-25"/>
        </w:rPr>
        <w:t xml:space="preserve"> </w:t>
      </w:r>
      <w:r>
        <w:rPr>
          <w:color w:val="231F20"/>
        </w:rPr>
        <w:t>occupied</w:t>
      </w:r>
      <w:r>
        <w:rPr>
          <w:color w:val="231F20"/>
          <w:spacing w:val="-24"/>
        </w:rPr>
        <w:t xml:space="preserve"> </w:t>
      </w:r>
      <w:r>
        <w:rPr>
          <w:color w:val="231F20"/>
        </w:rPr>
        <w:t>by</w:t>
      </w:r>
      <w:r>
        <w:rPr>
          <w:color w:val="231F20"/>
          <w:spacing w:val="-25"/>
        </w:rPr>
        <w:t xml:space="preserve"> </w:t>
      </w:r>
      <w:r>
        <w:rPr>
          <w:color w:val="231F20"/>
        </w:rPr>
        <w:t>water</w:t>
      </w:r>
      <w:r>
        <w:rPr>
          <w:color w:val="231F20"/>
          <w:spacing w:val="-25"/>
        </w:rPr>
        <w:t xml:space="preserve"> </w:t>
      </w:r>
      <w:r>
        <w:rPr>
          <w:color w:val="231F20"/>
        </w:rPr>
        <w:t>with</w:t>
      </w:r>
      <w:r>
        <w:rPr>
          <w:color w:val="231F20"/>
          <w:spacing w:val="-25"/>
        </w:rPr>
        <w:t xml:space="preserve"> </w:t>
      </w:r>
      <w:r>
        <w:rPr>
          <w:color w:val="231F20"/>
        </w:rPr>
        <w:t>a</w:t>
      </w:r>
      <w:r>
        <w:rPr>
          <w:color w:val="231F20"/>
          <w:spacing w:val="-25"/>
        </w:rPr>
        <w:t xml:space="preserve"> </w:t>
      </w:r>
      <w:r>
        <w:rPr>
          <w:color w:val="231F20"/>
        </w:rPr>
        <w:t>low</w:t>
      </w:r>
      <w:r>
        <w:rPr>
          <w:color w:val="231F20"/>
          <w:spacing w:val="-25"/>
        </w:rPr>
        <w:t xml:space="preserve"> </w:t>
      </w:r>
      <w:r>
        <w:rPr>
          <w:color w:val="231F20"/>
        </w:rPr>
        <w:t>land</w:t>
      </w:r>
      <w:r>
        <w:rPr>
          <w:color w:val="231F20"/>
          <w:spacing w:val="-25"/>
        </w:rPr>
        <w:t xml:space="preserve"> </w:t>
      </w:r>
      <w:r>
        <w:rPr>
          <w:color w:val="231F20"/>
        </w:rPr>
        <w:t>stretching</w:t>
      </w:r>
      <w:r>
        <w:rPr>
          <w:color w:val="231F20"/>
          <w:spacing w:val="-25"/>
        </w:rPr>
        <w:t xml:space="preserve"> </w:t>
      </w:r>
      <w:r>
        <w:rPr>
          <w:color w:val="231F20"/>
        </w:rPr>
        <w:t>from</w:t>
      </w:r>
      <w:r>
        <w:rPr>
          <w:color w:val="231F20"/>
          <w:spacing w:val="-25"/>
        </w:rPr>
        <w:t xml:space="preserve"> </w:t>
      </w:r>
      <w:r>
        <w:rPr>
          <w:color w:val="231F20"/>
        </w:rPr>
        <w:t>Bonny</w:t>
      </w:r>
      <w:r>
        <w:rPr>
          <w:color w:val="231F20"/>
          <w:spacing w:val="-25"/>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rPr>
        <w:t>South</w:t>
      </w:r>
      <w:r>
        <w:rPr>
          <w:color w:val="231F20"/>
          <w:spacing w:val="-25"/>
        </w:rPr>
        <w:t xml:space="preserve"> </w:t>
      </w:r>
      <w:r>
        <w:rPr>
          <w:color w:val="231F20"/>
        </w:rPr>
        <w:t xml:space="preserve">to </w:t>
      </w:r>
      <w:proofErr w:type="spellStart"/>
      <w:r>
        <w:rPr>
          <w:color w:val="231F20"/>
        </w:rPr>
        <w:t>Ndoni</w:t>
      </w:r>
      <w:proofErr w:type="spellEnd"/>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North.</w:t>
      </w:r>
      <w:r>
        <w:rPr>
          <w:color w:val="231F20"/>
          <w:spacing w:val="-28"/>
        </w:rPr>
        <w:t xml:space="preserve"> </w:t>
      </w:r>
      <w:r>
        <w:rPr>
          <w:color w:val="231F20"/>
        </w:rPr>
        <w:t>A</w:t>
      </w:r>
      <w:r>
        <w:rPr>
          <w:color w:val="231F20"/>
          <w:spacing w:val="-28"/>
        </w:rPr>
        <w:t xml:space="preserve"> </w:t>
      </w:r>
      <w:r>
        <w:rPr>
          <w:color w:val="231F20"/>
        </w:rPr>
        <w:t>network</w:t>
      </w:r>
      <w:r>
        <w:rPr>
          <w:color w:val="231F20"/>
          <w:spacing w:val="-15"/>
        </w:rPr>
        <w:t xml:space="preserve"> </w:t>
      </w:r>
      <w:r>
        <w:rPr>
          <w:color w:val="231F20"/>
        </w:rPr>
        <w:t>of</w:t>
      </w:r>
      <w:r>
        <w:rPr>
          <w:color w:val="231F20"/>
          <w:spacing w:val="-14"/>
        </w:rPr>
        <w:t xml:space="preserve"> </w:t>
      </w:r>
      <w:r>
        <w:rPr>
          <w:color w:val="231F20"/>
        </w:rPr>
        <w:t>creeks</w:t>
      </w:r>
      <w:r>
        <w:rPr>
          <w:color w:val="231F20"/>
          <w:spacing w:val="-15"/>
        </w:rPr>
        <w:t xml:space="preserve"> </w:t>
      </w:r>
      <w:r>
        <w:rPr>
          <w:color w:val="231F20"/>
        </w:rPr>
        <w:t>spans</w:t>
      </w:r>
      <w:r>
        <w:rPr>
          <w:color w:val="231F20"/>
          <w:spacing w:val="-15"/>
        </w:rPr>
        <w:t xml:space="preserve"> </w:t>
      </w:r>
      <w:r>
        <w:rPr>
          <w:color w:val="231F20"/>
        </w:rPr>
        <w:t>the</w:t>
      </w:r>
      <w:r>
        <w:rPr>
          <w:color w:val="231F20"/>
          <w:spacing w:val="-15"/>
        </w:rPr>
        <w:t xml:space="preserve"> </w:t>
      </w:r>
      <w:r>
        <w:rPr>
          <w:color w:val="231F20"/>
        </w:rPr>
        <w:t>riverine</w:t>
      </w:r>
      <w:r>
        <w:rPr>
          <w:color w:val="231F20"/>
          <w:spacing w:val="-15"/>
        </w:rPr>
        <w:t xml:space="preserve"> </w:t>
      </w:r>
      <w:r>
        <w:rPr>
          <w:color w:val="231F20"/>
        </w:rPr>
        <w:t>South,</w:t>
      </w:r>
      <w:r>
        <w:rPr>
          <w:color w:val="231F20"/>
          <w:spacing w:val="-14"/>
        </w:rPr>
        <w:t xml:space="preserve"> </w:t>
      </w:r>
      <w:r>
        <w:rPr>
          <w:color w:val="231F20"/>
        </w:rPr>
        <w:t>stretching</w:t>
      </w:r>
      <w:r>
        <w:rPr>
          <w:color w:val="231F20"/>
          <w:spacing w:val="-15"/>
        </w:rPr>
        <w:t xml:space="preserve"> </w:t>
      </w:r>
      <w:r>
        <w:rPr>
          <w:color w:val="231F20"/>
        </w:rPr>
        <w:t>into</w:t>
      </w:r>
      <w:r>
        <w:rPr>
          <w:color w:val="231F20"/>
          <w:spacing w:val="-15"/>
        </w:rPr>
        <w:t xml:space="preserve"> </w:t>
      </w:r>
      <w:r>
        <w:rPr>
          <w:color w:val="231F20"/>
        </w:rPr>
        <w:t>the</w:t>
      </w:r>
      <w:r>
        <w:rPr>
          <w:color w:val="231F20"/>
          <w:spacing w:val="-28"/>
        </w:rPr>
        <w:t xml:space="preserve"> </w:t>
      </w:r>
      <w:r>
        <w:rPr>
          <w:color w:val="231F20"/>
        </w:rPr>
        <w:t>Atlantic</w:t>
      </w:r>
      <w:r>
        <w:rPr>
          <w:color w:val="231F20"/>
          <w:spacing w:val="-15"/>
        </w:rPr>
        <w:t xml:space="preserve"> </w:t>
      </w:r>
      <w:r>
        <w:rPr>
          <w:color w:val="231F20"/>
          <w:spacing w:val="-3"/>
        </w:rPr>
        <w:t xml:space="preserve">Ocean </w:t>
      </w:r>
      <w:r>
        <w:rPr>
          <w:color w:val="231F20"/>
        </w:rPr>
        <w:t>through</w:t>
      </w:r>
      <w:r>
        <w:rPr>
          <w:color w:val="231F20"/>
          <w:spacing w:val="-6"/>
        </w:rPr>
        <w:t xml:space="preserve"> </w:t>
      </w:r>
      <w:r>
        <w:rPr>
          <w:color w:val="231F20"/>
          <w:spacing w:val="-3"/>
        </w:rPr>
        <w:t>Bonny,</w:t>
      </w:r>
      <w:r>
        <w:rPr>
          <w:color w:val="231F20"/>
          <w:spacing w:val="-6"/>
        </w:rPr>
        <w:t xml:space="preserve"> </w:t>
      </w:r>
      <w:r>
        <w:rPr>
          <w:color w:val="231F20"/>
        </w:rPr>
        <w:t>Opobo,</w:t>
      </w:r>
      <w:r>
        <w:rPr>
          <w:color w:val="231F20"/>
          <w:spacing w:val="-5"/>
        </w:rPr>
        <w:t xml:space="preserve"> </w:t>
      </w:r>
      <w:r>
        <w:rPr>
          <w:color w:val="231F20"/>
        </w:rPr>
        <w:t>etc.</w:t>
      </w:r>
      <w:r>
        <w:rPr>
          <w:color w:val="231F20"/>
          <w:spacing w:val="-6"/>
        </w:rPr>
        <w:t xml:space="preserve"> </w:t>
      </w:r>
      <w:r>
        <w:rPr>
          <w:color w:val="231F20"/>
        </w:rPr>
        <w:t>In</w:t>
      </w:r>
      <w:r>
        <w:rPr>
          <w:color w:val="231F20"/>
          <w:spacing w:val="-6"/>
        </w:rPr>
        <w:t xml:space="preserve"> </w:t>
      </w:r>
      <w:r>
        <w:rPr>
          <w:color w:val="231F20"/>
        </w:rPr>
        <w:t>terms</w:t>
      </w:r>
      <w:r>
        <w:rPr>
          <w:color w:val="231F20"/>
          <w:spacing w:val="-5"/>
        </w:rPr>
        <w:t xml:space="preserve"> </w:t>
      </w:r>
      <w:r>
        <w:rPr>
          <w:color w:val="231F20"/>
        </w:rPr>
        <w:t>of</w:t>
      </w:r>
      <w:r>
        <w:rPr>
          <w:color w:val="231F20"/>
          <w:spacing w:val="-6"/>
        </w:rPr>
        <w:t xml:space="preserve"> </w:t>
      </w:r>
      <w:r>
        <w:rPr>
          <w:color w:val="231F20"/>
        </w:rPr>
        <w:t>terrain</w:t>
      </w:r>
      <w:r>
        <w:rPr>
          <w:color w:val="231F20"/>
          <w:spacing w:val="-5"/>
        </w:rPr>
        <w:t xml:space="preserve"> </w:t>
      </w:r>
      <w:r>
        <w:rPr>
          <w:color w:val="231F20"/>
        </w:rPr>
        <w:t>the</w:t>
      </w:r>
      <w:r>
        <w:rPr>
          <w:color w:val="231F20"/>
          <w:spacing w:val="-6"/>
        </w:rPr>
        <w:t xml:space="preserve"> </w:t>
      </w:r>
      <w:r>
        <w:rPr>
          <w:color w:val="231F20"/>
        </w:rPr>
        <w:t>core</w:t>
      </w:r>
      <w:r>
        <w:rPr>
          <w:color w:val="231F20"/>
          <w:spacing w:val="-6"/>
        </w:rPr>
        <w:t xml:space="preserve"> </w:t>
      </w:r>
      <w:r>
        <w:rPr>
          <w:color w:val="231F20"/>
        </w:rPr>
        <w:t>riverine</w:t>
      </w:r>
      <w:r>
        <w:rPr>
          <w:color w:val="231F20"/>
          <w:spacing w:val="-5"/>
        </w:rPr>
        <w:t xml:space="preserve"> </w:t>
      </w:r>
      <w:r>
        <w:rPr>
          <w:color w:val="231F20"/>
        </w:rPr>
        <w:t>LGAs</w:t>
      </w:r>
      <w:r>
        <w:rPr>
          <w:color w:val="231F20"/>
          <w:spacing w:val="-6"/>
        </w:rPr>
        <w:t xml:space="preserve"> </w:t>
      </w:r>
      <w:r>
        <w:rPr>
          <w:color w:val="231F20"/>
        </w:rPr>
        <w:t>are</w:t>
      </w:r>
      <w:r>
        <w:rPr>
          <w:color w:val="231F20"/>
          <w:spacing w:val="-6"/>
        </w:rPr>
        <w:t xml:space="preserve"> </w:t>
      </w:r>
      <w:r>
        <w:rPr>
          <w:color w:val="231F20"/>
          <w:spacing w:val="-3"/>
        </w:rPr>
        <w:t>Bonny,</w:t>
      </w:r>
      <w:r>
        <w:rPr>
          <w:color w:val="231F20"/>
          <w:spacing w:val="-17"/>
        </w:rPr>
        <w:t xml:space="preserve"> </w:t>
      </w:r>
      <w:proofErr w:type="spellStart"/>
      <w:r>
        <w:rPr>
          <w:color w:val="231F20"/>
        </w:rPr>
        <w:t>Andoni</w:t>
      </w:r>
      <w:proofErr w:type="spellEnd"/>
      <w:r>
        <w:rPr>
          <w:color w:val="231F20"/>
        </w:rPr>
        <w:t>,</w:t>
      </w:r>
      <w:r>
        <w:rPr>
          <w:color w:val="231F20"/>
          <w:spacing w:val="-6"/>
        </w:rPr>
        <w:t xml:space="preserve"> </w:t>
      </w:r>
      <w:r>
        <w:rPr>
          <w:color w:val="231F20"/>
        </w:rPr>
        <w:t xml:space="preserve">Opobo- </w:t>
      </w:r>
      <w:proofErr w:type="spellStart"/>
      <w:r>
        <w:rPr>
          <w:color w:val="231F20"/>
        </w:rPr>
        <w:t>Nkoro</w:t>
      </w:r>
      <w:proofErr w:type="spellEnd"/>
      <w:r>
        <w:rPr>
          <w:color w:val="231F20"/>
        </w:rPr>
        <w:t xml:space="preserve">, </w:t>
      </w:r>
      <w:proofErr w:type="spellStart"/>
      <w:r>
        <w:rPr>
          <w:color w:val="231F20"/>
        </w:rPr>
        <w:t>Okrika</w:t>
      </w:r>
      <w:proofErr w:type="spellEnd"/>
      <w:r>
        <w:rPr>
          <w:color w:val="231F20"/>
        </w:rPr>
        <w:t xml:space="preserve">, </w:t>
      </w:r>
      <w:proofErr w:type="spellStart"/>
      <w:r>
        <w:rPr>
          <w:color w:val="231F20"/>
        </w:rPr>
        <w:t>Ogu</w:t>
      </w:r>
      <w:proofErr w:type="spellEnd"/>
      <w:r>
        <w:rPr>
          <w:color w:val="231F20"/>
        </w:rPr>
        <w:t xml:space="preserve">-Bolo, </w:t>
      </w:r>
      <w:proofErr w:type="spellStart"/>
      <w:r>
        <w:rPr>
          <w:color w:val="231F20"/>
        </w:rPr>
        <w:t>Asari</w:t>
      </w:r>
      <w:proofErr w:type="spellEnd"/>
      <w:r>
        <w:rPr>
          <w:color w:val="231F20"/>
        </w:rPr>
        <w:t xml:space="preserve"> </w:t>
      </w:r>
      <w:r>
        <w:rPr>
          <w:color w:val="231F20"/>
          <w:spacing w:val="-6"/>
        </w:rPr>
        <w:t xml:space="preserve">Toru, </w:t>
      </w:r>
      <w:proofErr w:type="spellStart"/>
      <w:r>
        <w:rPr>
          <w:color w:val="231F20"/>
        </w:rPr>
        <w:t>Akuku</w:t>
      </w:r>
      <w:proofErr w:type="spellEnd"/>
      <w:r>
        <w:rPr>
          <w:color w:val="231F20"/>
        </w:rPr>
        <w:t xml:space="preserve"> </w:t>
      </w:r>
      <w:r>
        <w:rPr>
          <w:color w:val="231F20"/>
          <w:spacing w:val="-7"/>
        </w:rPr>
        <w:t xml:space="preserve">Toru </w:t>
      </w:r>
      <w:r>
        <w:rPr>
          <w:color w:val="231F20"/>
        </w:rPr>
        <w:t xml:space="preserve">and Degema LGAs. The upland LGAs are </w:t>
      </w:r>
      <w:r>
        <w:rPr>
          <w:color w:val="231F20"/>
          <w:spacing w:val="-3"/>
        </w:rPr>
        <w:t xml:space="preserve">Port </w:t>
      </w:r>
      <w:r>
        <w:rPr>
          <w:color w:val="231F20"/>
        </w:rPr>
        <w:t>Harcourt</w:t>
      </w:r>
      <w:r>
        <w:rPr>
          <w:color w:val="231F20"/>
          <w:spacing w:val="-15"/>
        </w:rPr>
        <w:t xml:space="preserve"> </w:t>
      </w:r>
      <w:r>
        <w:rPr>
          <w:color w:val="231F20"/>
          <w:spacing w:val="-4"/>
        </w:rPr>
        <w:t>City,</w:t>
      </w:r>
      <w:r>
        <w:rPr>
          <w:color w:val="231F20"/>
          <w:spacing w:val="-16"/>
        </w:rPr>
        <w:t xml:space="preserve"> </w:t>
      </w:r>
      <w:proofErr w:type="spellStart"/>
      <w:r>
        <w:rPr>
          <w:color w:val="231F20"/>
        </w:rPr>
        <w:t>Khana</w:t>
      </w:r>
      <w:proofErr w:type="spellEnd"/>
      <w:r>
        <w:rPr>
          <w:color w:val="231F20"/>
        </w:rPr>
        <w:t>,</w:t>
      </w:r>
      <w:r>
        <w:rPr>
          <w:color w:val="231F20"/>
          <w:spacing w:val="-14"/>
        </w:rPr>
        <w:t xml:space="preserve"> </w:t>
      </w:r>
      <w:proofErr w:type="spellStart"/>
      <w:r>
        <w:rPr>
          <w:color w:val="231F20"/>
        </w:rPr>
        <w:t>Obio-Akpor</w:t>
      </w:r>
      <w:proofErr w:type="spellEnd"/>
      <w:r>
        <w:rPr>
          <w:color w:val="231F20"/>
        </w:rPr>
        <w:t>,</w:t>
      </w:r>
      <w:r>
        <w:rPr>
          <w:color w:val="231F20"/>
          <w:spacing w:val="-16"/>
        </w:rPr>
        <w:t xml:space="preserve"> </w:t>
      </w:r>
      <w:r>
        <w:rPr>
          <w:color w:val="231F20"/>
        </w:rPr>
        <w:t>Eleme,</w:t>
      </w:r>
      <w:r>
        <w:rPr>
          <w:color w:val="231F20"/>
          <w:spacing w:val="-15"/>
        </w:rPr>
        <w:t xml:space="preserve"> </w:t>
      </w:r>
      <w:r>
        <w:rPr>
          <w:color w:val="231F20"/>
        </w:rPr>
        <w:t>Oyibo,</w:t>
      </w:r>
      <w:r>
        <w:rPr>
          <w:color w:val="231F20"/>
          <w:spacing w:val="-18"/>
        </w:rPr>
        <w:t xml:space="preserve"> </w:t>
      </w:r>
      <w:r>
        <w:rPr>
          <w:color w:val="231F20"/>
          <w:spacing w:val="-7"/>
        </w:rPr>
        <w:t>Tai,</w:t>
      </w:r>
      <w:r>
        <w:rPr>
          <w:color w:val="231F20"/>
          <w:spacing w:val="-15"/>
        </w:rPr>
        <w:t xml:space="preserve"> </w:t>
      </w:r>
      <w:proofErr w:type="spellStart"/>
      <w:r>
        <w:rPr>
          <w:color w:val="231F20"/>
        </w:rPr>
        <w:t>Omuma</w:t>
      </w:r>
      <w:proofErr w:type="spellEnd"/>
      <w:r>
        <w:rPr>
          <w:color w:val="231F20"/>
        </w:rPr>
        <w:t>,</w:t>
      </w:r>
      <w:r>
        <w:rPr>
          <w:color w:val="231F20"/>
          <w:spacing w:val="-15"/>
        </w:rPr>
        <w:t xml:space="preserve"> </w:t>
      </w:r>
      <w:proofErr w:type="spellStart"/>
      <w:r>
        <w:rPr>
          <w:color w:val="231F20"/>
        </w:rPr>
        <w:t>Etche</w:t>
      </w:r>
      <w:proofErr w:type="spellEnd"/>
      <w:r>
        <w:rPr>
          <w:color w:val="231F20"/>
        </w:rPr>
        <w:t>,</w:t>
      </w:r>
      <w:r>
        <w:rPr>
          <w:color w:val="231F20"/>
          <w:spacing w:val="-16"/>
        </w:rPr>
        <w:t xml:space="preserve"> </w:t>
      </w:r>
      <w:proofErr w:type="spellStart"/>
      <w:r>
        <w:rPr>
          <w:color w:val="231F20"/>
        </w:rPr>
        <w:t>Emohua</w:t>
      </w:r>
      <w:proofErr w:type="spellEnd"/>
      <w:r>
        <w:rPr>
          <w:color w:val="231F20"/>
          <w:spacing w:val="-15"/>
        </w:rPr>
        <w:t xml:space="preserve"> </w:t>
      </w:r>
      <w:r>
        <w:rPr>
          <w:color w:val="231F20"/>
        </w:rPr>
        <w:t>and</w:t>
      </w:r>
      <w:r>
        <w:rPr>
          <w:color w:val="231F20"/>
          <w:spacing w:val="-14"/>
        </w:rPr>
        <w:t xml:space="preserve"> </w:t>
      </w:r>
      <w:proofErr w:type="spellStart"/>
      <w:r>
        <w:rPr>
          <w:color w:val="231F20"/>
        </w:rPr>
        <w:t>Ikwerre</w:t>
      </w:r>
      <w:proofErr w:type="spellEnd"/>
      <w:r>
        <w:rPr>
          <w:color w:val="231F20"/>
        </w:rPr>
        <w:t>.</w:t>
      </w:r>
      <w:r>
        <w:rPr>
          <w:color w:val="231F20"/>
          <w:spacing w:val="-15"/>
        </w:rPr>
        <w:t xml:space="preserve"> </w:t>
      </w:r>
      <w:r>
        <w:rPr>
          <w:color w:val="231F20"/>
        </w:rPr>
        <w:t>LGAs with mixed terrain are Ogba–</w:t>
      </w:r>
      <w:proofErr w:type="spellStart"/>
      <w:r>
        <w:rPr>
          <w:color w:val="231F20"/>
        </w:rPr>
        <w:t>Egbema-Ndoni</w:t>
      </w:r>
      <w:proofErr w:type="spellEnd"/>
      <w:r>
        <w:rPr>
          <w:color w:val="231F20"/>
        </w:rPr>
        <w:t xml:space="preserve">, </w:t>
      </w:r>
      <w:proofErr w:type="spellStart"/>
      <w:r>
        <w:rPr>
          <w:color w:val="231F20"/>
        </w:rPr>
        <w:t>Ahoada</w:t>
      </w:r>
      <w:proofErr w:type="spellEnd"/>
      <w:r>
        <w:rPr>
          <w:color w:val="231F20"/>
        </w:rPr>
        <w:t xml:space="preserve"> East, </w:t>
      </w:r>
      <w:proofErr w:type="spellStart"/>
      <w:r>
        <w:rPr>
          <w:color w:val="231F20"/>
        </w:rPr>
        <w:t>Ahoada</w:t>
      </w:r>
      <w:proofErr w:type="spellEnd"/>
      <w:r>
        <w:rPr>
          <w:color w:val="231F20"/>
        </w:rPr>
        <w:t xml:space="preserve"> West and </w:t>
      </w:r>
      <w:proofErr w:type="spellStart"/>
      <w:r>
        <w:rPr>
          <w:color w:val="231F20"/>
          <w:spacing w:val="-2"/>
        </w:rPr>
        <w:t>Abua</w:t>
      </w:r>
      <w:proofErr w:type="spellEnd"/>
      <w:r>
        <w:rPr>
          <w:color w:val="231F20"/>
          <w:spacing w:val="-2"/>
        </w:rPr>
        <w:t>–Odual</w:t>
      </w:r>
      <w:r w:rsidRPr="005F489E">
        <w:rPr>
          <w:color w:val="231F20"/>
          <w:spacing w:val="-2"/>
          <w:vertAlign w:val="superscript"/>
        </w:rPr>
        <w:t>2</w:t>
      </w:r>
      <w:r>
        <w:rPr>
          <w:color w:val="231F20"/>
          <w:spacing w:val="-2"/>
        </w:rPr>
        <w:t xml:space="preserve">. </w:t>
      </w:r>
      <w:r>
        <w:rPr>
          <w:color w:val="231F20"/>
        </w:rPr>
        <w:t xml:space="preserve">However, LGAs like </w:t>
      </w:r>
      <w:proofErr w:type="spellStart"/>
      <w:r>
        <w:rPr>
          <w:color w:val="231F20"/>
        </w:rPr>
        <w:t>Khana</w:t>
      </w:r>
      <w:proofErr w:type="spellEnd"/>
      <w:r>
        <w:rPr>
          <w:color w:val="231F20"/>
        </w:rPr>
        <w:t xml:space="preserve">, </w:t>
      </w:r>
      <w:proofErr w:type="spellStart"/>
      <w:r>
        <w:rPr>
          <w:color w:val="231F20"/>
        </w:rPr>
        <w:t>Gokana</w:t>
      </w:r>
      <w:proofErr w:type="spellEnd"/>
      <w:r>
        <w:rPr>
          <w:color w:val="231F20"/>
        </w:rPr>
        <w:t xml:space="preserve">, </w:t>
      </w:r>
      <w:proofErr w:type="spellStart"/>
      <w:r>
        <w:rPr>
          <w:color w:val="231F20"/>
        </w:rPr>
        <w:t>Omuma</w:t>
      </w:r>
      <w:proofErr w:type="spellEnd"/>
      <w:r>
        <w:rPr>
          <w:color w:val="231F20"/>
        </w:rPr>
        <w:t xml:space="preserve">, </w:t>
      </w:r>
      <w:proofErr w:type="spellStart"/>
      <w:r>
        <w:rPr>
          <w:color w:val="231F20"/>
        </w:rPr>
        <w:t>Emohua</w:t>
      </w:r>
      <w:proofErr w:type="spellEnd"/>
      <w:r>
        <w:rPr>
          <w:color w:val="231F20"/>
        </w:rPr>
        <w:t xml:space="preserve"> and Port Harcourt still have communities/settlements that can only be accessed by the use of hand pulled canoes and </w:t>
      </w:r>
      <w:r>
        <w:rPr>
          <w:color w:val="231F20"/>
          <w:spacing w:val="-3"/>
        </w:rPr>
        <w:t xml:space="preserve">small </w:t>
      </w:r>
      <w:r>
        <w:rPr>
          <w:color w:val="231F20"/>
        </w:rPr>
        <w:t xml:space="preserve">motorized boats. The terrain makes service delivery difficult for the health workforce. The </w:t>
      </w:r>
      <w:r>
        <w:rPr>
          <w:color w:val="231F20"/>
          <w:spacing w:val="-10"/>
        </w:rPr>
        <w:t xml:space="preserve">Task </w:t>
      </w:r>
      <w:r>
        <w:rPr>
          <w:color w:val="231F20"/>
        </w:rPr>
        <w:t>shifting</w:t>
      </w:r>
      <w:r>
        <w:rPr>
          <w:color w:val="231F20"/>
          <w:spacing w:val="-26"/>
        </w:rPr>
        <w:t xml:space="preserve"> </w:t>
      </w:r>
      <w:r>
        <w:rPr>
          <w:color w:val="231F20"/>
        </w:rPr>
        <w:t>and</w:t>
      </w:r>
      <w:r>
        <w:rPr>
          <w:color w:val="231F20"/>
          <w:spacing w:val="-25"/>
        </w:rPr>
        <w:t xml:space="preserve"> </w:t>
      </w:r>
      <w:r>
        <w:rPr>
          <w:color w:val="231F20"/>
        </w:rPr>
        <w:t>sharing</w:t>
      </w:r>
      <w:r>
        <w:rPr>
          <w:color w:val="231F20"/>
          <w:spacing w:val="-25"/>
        </w:rPr>
        <w:t xml:space="preserve"> </w:t>
      </w:r>
      <w:r>
        <w:rPr>
          <w:color w:val="231F20"/>
        </w:rPr>
        <w:t>policy</w:t>
      </w:r>
      <w:r>
        <w:rPr>
          <w:color w:val="231F20"/>
          <w:spacing w:val="-25"/>
        </w:rPr>
        <w:t xml:space="preserve"> </w:t>
      </w:r>
      <w:r>
        <w:rPr>
          <w:color w:val="231F20"/>
        </w:rPr>
        <w:t>embarked</w:t>
      </w:r>
      <w:r>
        <w:rPr>
          <w:color w:val="231F20"/>
          <w:spacing w:val="-25"/>
        </w:rPr>
        <w:t xml:space="preserve"> </w:t>
      </w:r>
      <w:r>
        <w:rPr>
          <w:color w:val="231F20"/>
        </w:rPr>
        <w:t>upon</w:t>
      </w:r>
      <w:r>
        <w:rPr>
          <w:color w:val="231F20"/>
          <w:spacing w:val="-25"/>
        </w:rPr>
        <w:t xml:space="preserve"> </w:t>
      </w:r>
      <w:r>
        <w:rPr>
          <w:color w:val="231F20"/>
        </w:rPr>
        <w:t>would</w:t>
      </w:r>
      <w:r>
        <w:rPr>
          <w:color w:val="231F20"/>
          <w:spacing w:val="-25"/>
        </w:rPr>
        <w:t xml:space="preserve"> </w:t>
      </w:r>
      <w:r>
        <w:rPr>
          <w:color w:val="231F20"/>
        </w:rPr>
        <w:t>help</w:t>
      </w:r>
      <w:r>
        <w:rPr>
          <w:color w:val="231F20"/>
          <w:spacing w:val="-25"/>
        </w:rPr>
        <w:t xml:space="preserve"> </w:t>
      </w:r>
      <w:r>
        <w:rPr>
          <w:color w:val="231F20"/>
        </w:rPr>
        <w:t>to</w:t>
      </w:r>
      <w:r>
        <w:rPr>
          <w:color w:val="231F20"/>
          <w:spacing w:val="-25"/>
        </w:rPr>
        <w:t xml:space="preserve"> </w:t>
      </w:r>
      <w:r>
        <w:rPr>
          <w:color w:val="231F20"/>
        </w:rPr>
        <w:t>alleviate</w:t>
      </w:r>
      <w:r>
        <w:rPr>
          <w:color w:val="231F20"/>
          <w:spacing w:val="-25"/>
        </w:rPr>
        <w:t xml:space="preserve"> </w:t>
      </w:r>
      <w:r>
        <w:rPr>
          <w:color w:val="231F20"/>
        </w:rPr>
        <w:t>this</w:t>
      </w:r>
      <w:r>
        <w:rPr>
          <w:color w:val="231F20"/>
          <w:spacing w:val="-25"/>
        </w:rPr>
        <w:t xml:space="preserve"> </w:t>
      </w:r>
      <w:r>
        <w:rPr>
          <w:color w:val="231F20"/>
        </w:rPr>
        <w:t>problem.</w:t>
      </w:r>
    </w:p>
    <w:p w14:paraId="708ADA48" w14:textId="77777777" w:rsidR="009948F1" w:rsidRDefault="009948F1">
      <w:pPr>
        <w:pStyle w:val="BodyText"/>
        <w:spacing w:before="11"/>
        <w:rPr>
          <w:sz w:val="25"/>
        </w:rPr>
      </w:pPr>
    </w:p>
    <w:p w14:paraId="19E4F073" w14:textId="77777777" w:rsidR="009948F1" w:rsidRDefault="00BC0563">
      <w:pPr>
        <w:pStyle w:val="Heading7"/>
        <w:numPr>
          <w:ilvl w:val="1"/>
          <w:numId w:val="326"/>
        </w:numPr>
        <w:tabs>
          <w:tab w:val="left" w:pos="879"/>
        </w:tabs>
        <w:ind w:left="878" w:hanging="721"/>
        <w:jc w:val="both"/>
      </w:pPr>
      <w:bookmarkStart w:id="24" w:name="_TOC_250034"/>
      <w:r>
        <w:rPr>
          <w:color w:val="231F20"/>
        </w:rPr>
        <w:t>Methodology</w:t>
      </w:r>
      <w:r>
        <w:rPr>
          <w:color w:val="231F20"/>
          <w:spacing w:val="-25"/>
        </w:rPr>
        <w:t xml:space="preserve"> </w:t>
      </w:r>
      <w:r>
        <w:rPr>
          <w:color w:val="231F20"/>
        </w:rPr>
        <w:t>for</w:t>
      </w:r>
      <w:r>
        <w:rPr>
          <w:color w:val="231F20"/>
          <w:spacing w:val="-25"/>
        </w:rPr>
        <w:t xml:space="preserve"> </w:t>
      </w:r>
      <w:r>
        <w:rPr>
          <w:color w:val="231F20"/>
        </w:rPr>
        <w:t>Developing</w:t>
      </w:r>
      <w:r>
        <w:rPr>
          <w:color w:val="231F20"/>
          <w:spacing w:val="-25"/>
        </w:rPr>
        <w:t xml:space="preserve"> </w:t>
      </w:r>
      <w:r>
        <w:rPr>
          <w:color w:val="231F20"/>
        </w:rPr>
        <w:t>the</w:t>
      </w:r>
      <w:r>
        <w:rPr>
          <w:color w:val="231F20"/>
          <w:spacing w:val="-25"/>
        </w:rPr>
        <w:t xml:space="preserve"> </w:t>
      </w:r>
      <w:r>
        <w:rPr>
          <w:color w:val="231F20"/>
        </w:rPr>
        <w:t>SSHDP</w:t>
      </w:r>
      <w:r>
        <w:rPr>
          <w:color w:val="231F20"/>
          <w:spacing w:val="-29"/>
        </w:rPr>
        <w:t xml:space="preserve"> </w:t>
      </w:r>
      <w:bookmarkEnd w:id="24"/>
      <w:r>
        <w:rPr>
          <w:color w:val="231F20"/>
        </w:rPr>
        <w:t>II</w:t>
      </w:r>
    </w:p>
    <w:p w14:paraId="7EE91BA7" w14:textId="77777777" w:rsidR="009948F1" w:rsidRDefault="00BC0563">
      <w:pPr>
        <w:pStyle w:val="BodyText"/>
        <w:spacing w:before="48" w:line="285" w:lineRule="auto"/>
        <w:ind w:left="158" w:right="198"/>
        <w:jc w:val="both"/>
      </w:pPr>
      <w:r>
        <w:rPr>
          <w:color w:val="231F20"/>
        </w:rPr>
        <w:t xml:space="preserve">The </w:t>
      </w:r>
      <w:r>
        <w:rPr>
          <w:color w:val="231F20"/>
          <w:spacing w:val="-5"/>
        </w:rPr>
        <w:t xml:space="preserve">SSHDP, </w:t>
      </w:r>
      <w:r>
        <w:rPr>
          <w:color w:val="231F20"/>
        </w:rPr>
        <w:t xml:space="preserve">(2018-2022) adopts a comprehensive, inclusive and holistic approach organized along three parts in line with the NSHDP II; Service delivery; which covers Reproductive Health, Maternal Newborn, </w:t>
      </w:r>
      <w:proofErr w:type="spellStart"/>
      <w:r>
        <w:rPr>
          <w:color w:val="231F20"/>
        </w:rPr>
        <w:t>Chilld</w:t>
      </w:r>
      <w:proofErr w:type="spellEnd"/>
      <w:r>
        <w:rPr>
          <w:color w:val="231F20"/>
        </w:rPr>
        <w:t xml:space="preserve"> and Adolescent Health (RMNCAH), Communicable and </w:t>
      </w:r>
      <w:r>
        <w:rPr>
          <w:color w:val="231F20"/>
          <w:spacing w:val="-4"/>
        </w:rPr>
        <w:t>Non-</w:t>
      </w:r>
      <w:r>
        <w:rPr>
          <w:color w:val="231F20"/>
          <w:spacing w:val="53"/>
        </w:rPr>
        <w:t xml:space="preserve"> </w:t>
      </w:r>
      <w:r>
        <w:rPr>
          <w:color w:val="231F20"/>
        </w:rPr>
        <w:t xml:space="preserve">Communicable diseases, Mental Health, Care of the </w:t>
      </w:r>
      <w:r>
        <w:rPr>
          <w:color w:val="231F20"/>
          <w:spacing w:val="-3"/>
        </w:rPr>
        <w:t xml:space="preserve">Elderly, </w:t>
      </w:r>
      <w:r>
        <w:rPr>
          <w:color w:val="231F20"/>
        </w:rPr>
        <w:t xml:space="preserve">NTD's etc. The Health Systems component which focuses on the nine thrusts of the National Health </w:t>
      </w:r>
      <w:r>
        <w:rPr>
          <w:color w:val="231F20"/>
          <w:spacing w:val="-3"/>
        </w:rPr>
        <w:t xml:space="preserve">Policy, </w:t>
      </w:r>
      <w:r>
        <w:rPr>
          <w:color w:val="231F20"/>
        </w:rPr>
        <w:t xml:space="preserve">2016; governance, human resources, financing, health information system, medicines, vaccines and </w:t>
      </w:r>
      <w:r>
        <w:rPr>
          <w:color w:val="231F20"/>
          <w:spacing w:val="-3"/>
        </w:rPr>
        <w:t>other</w:t>
      </w:r>
      <w:r>
        <w:rPr>
          <w:color w:val="231F20"/>
          <w:spacing w:val="55"/>
        </w:rPr>
        <w:t xml:space="preserve"> </w:t>
      </w:r>
      <w:r>
        <w:rPr>
          <w:color w:val="231F20"/>
        </w:rPr>
        <w:t xml:space="preserve">technologies, research etc., and the M&amp;E component which cuts across all the </w:t>
      </w:r>
      <w:proofErr w:type="spellStart"/>
      <w:r>
        <w:rPr>
          <w:color w:val="231F20"/>
        </w:rPr>
        <w:t>programmes</w:t>
      </w:r>
      <w:proofErr w:type="spellEnd"/>
      <w:r>
        <w:rPr>
          <w:color w:val="231F20"/>
        </w:rPr>
        <w:t>.</w:t>
      </w:r>
    </w:p>
    <w:p w14:paraId="4FD6D87E" w14:textId="77777777" w:rsidR="009948F1" w:rsidRDefault="00BC0563">
      <w:pPr>
        <w:spacing w:before="91" w:line="285" w:lineRule="auto"/>
        <w:ind w:left="158" w:right="198"/>
        <w:jc w:val="both"/>
      </w:pPr>
      <w:r>
        <w:rPr>
          <w:color w:val="231F20"/>
        </w:rPr>
        <w:t>The SSHDP, 2018-2022 anchors on five Strategic Pillars using 15 Priority Areas</w:t>
      </w:r>
      <w:r>
        <w:rPr>
          <w:color w:val="231F20"/>
          <w:position w:val="11"/>
          <w:sz w:val="11"/>
        </w:rPr>
        <w:t xml:space="preserve">1 </w:t>
      </w:r>
      <w:r>
        <w:rPr>
          <w:color w:val="231F20"/>
        </w:rPr>
        <w:t>to achieve equitably reduced morbidity and mortality and improved socioeconomic wellbeing that will aid in '</w:t>
      </w:r>
      <w:r>
        <w:rPr>
          <w:i/>
          <w:color w:val="231F20"/>
        </w:rPr>
        <w:t>Ensuring healthy lives and promoting well-being of the Rivers populace at all ages</w:t>
      </w:r>
      <w:r>
        <w:rPr>
          <w:color w:val="231F20"/>
        </w:rPr>
        <w:t>'.</w:t>
      </w:r>
    </w:p>
    <w:p w14:paraId="003C3950" w14:textId="77777777" w:rsidR="009948F1" w:rsidRDefault="00BC0563">
      <w:pPr>
        <w:pStyle w:val="BodyText"/>
        <w:spacing w:line="285" w:lineRule="auto"/>
        <w:ind w:left="158" w:right="198"/>
        <w:jc w:val="both"/>
      </w:pPr>
      <w:r>
        <w:rPr>
          <w:color w:val="231F20"/>
        </w:rPr>
        <w:t>At</w:t>
      </w:r>
      <w:r>
        <w:rPr>
          <w:color w:val="231F20"/>
          <w:spacing w:val="-5"/>
        </w:rPr>
        <w:t xml:space="preserve"> </w:t>
      </w:r>
      <w:r>
        <w:rPr>
          <w:color w:val="231F20"/>
        </w:rPr>
        <w:t>the</w:t>
      </w:r>
      <w:r>
        <w:rPr>
          <w:color w:val="231F20"/>
          <w:spacing w:val="-4"/>
        </w:rPr>
        <w:t xml:space="preserve"> </w:t>
      </w:r>
      <w:r>
        <w:rPr>
          <w:color w:val="231F20"/>
        </w:rPr>
        <w:t>National</w:t>
      </w:r>
      <w:r>
        <w:rPr>
          <w:color w:val="231F20"/>
          <w:spacing w:val="-4"/>
        </w:rPr>
        <w:t xml:space="preserve"> </w:t>
      </w:r>
      <w:r>
        <w:rPr>
          <w:color w:val="231F20"/>
        </w:rPr>
        <w:t>level</w:t>
      </w:r>
      <w:r>
        <w:rPr>
          <w:color w:val="231F20"/>
          <w:spacing w:val="-4"/>
        </w:rPr>
        <w:t xml:space="preserve"> </w:t>
      </w:r>
      <w:r>
        <w:rPr>
          <w:color w:val="231F20"/>
        </w:rPr>
        <w:t>the</w:t>
      </w:r>
      <w:r>
        <w:rPr>
          <w:color w:val="231F20"/>
          <w:spacing w:val="-4"/>
        </w:rPr>
        <w:t xml:space="preserve"> </w:t>
      </w:r>
      <w:r>
        <w:rPr>
          <w:color w:val="231F20"/>
        </w:rPr>
        <w:t>NSHDP</w:t>
      </w:r>
      <w:r>
        <w:rPr>
          <w:color w:val="231F20"/>
          <w:spacing w:val="-8"/>
        </w:rPr>
        <w:t xml:space="preserve"> </w:t>
      </w:r>
      <w:r>
        <w:rPr>
          <w:color w:val="231F20"/>
        </w:rPr>
        <w:t>II</w:t>
      </w:r>
      <w:r>
        <w:rPr>
          <w:color w:val="231F20"/>
          <w:spacing w:val="-4"/>
        </w:rPr>
        <w:t xml:space="preserve"> </w:t>
      </w:r>
      <w:r>
        <w:rPr>
          <w:color w:val="231F20"/>
        </w:rPr>
        <w:t>Framework</w:t>
      </w:r>
      <w:r>
        <w:rPr>
          <w:color w:val="231F20"/>
          <w:spacing w:val="-4"/>
        </w:rPr>
        <w:t xml:space="preserve"> </w:t>
      </w:r>
      <w:r>
        <w:rPr>
          <w:color w:val="231F20"/>
        </w:rPr>
        <w:t>was</w:t>
      </w:r>
      <w:r>
        <w:rPr>
          <w:color w:val="231F20"/>
          <w:spacing w:val="-4"/>
        </w:rPr>
        <w:t xml:space="preserve"> </w:t>
      </w:r>
      <w:r>
        <w:rPr>
          <w:color w:val="231F20"/>
        </w:rPr>
        <w:t>developed.</w:t>
      </w:r>
      <w:r>
        <w:rPr>
          <w:color w:val="231F20"/>
          <w:spacing w:val="-8"/>
        </w:rPr>
        <w:t xml:space="preserve"> </w:t>
      </w:r>
      <w:r>
        <w:rPr>
          <w:color w:val="231F20"/>
        </w:rPr>
        <w:t>Then</w:t>
      </w:r>
      <w:r>
        <w:rPr>
          <w:color w:val="231F20"/>
          <w:spacing w:val="-4"/>
        </w:rPr>
        <w:t xml:space="preserve"> </w:t>
      </w:r>
      <w:r>
        <w:rPr>
          <w:color w:val="231F20"/>
        </w:rPr>
        <w:t>there</w:t>
      </w:r>
      <w:r>
        <w:rPr>
          <w:color w:val="231F20"/>
          <w:spacing w:val="-5"/>
        </w:rPr>
        <w:t xml:space="preserve"> </w:t>
      </w:r>
      <w:r>
        <w:rPr>
          <w:color w:val="231F20"/>
        </w:rPr>
        <w:t>was</w:t>
      </w:r>
      <w:r>
        <w:rPr>
          <w:color w:val="231F20"/>
          <w:spacing w:val="-4"/>
        </w:rPr>
        <w:t xml:space="preserve"> </w:t>
      </w:r>
      <w:r>
        <w:rPr>
          <w:color w:val="231F20"/>
        </w:rPr>
        <w:t>wide-stakeholder consultations</w:t>
      </w:r>
      <w:r>
        <w:rPr>
          <w:color w:val="231F20"/>
          <w:spacing w:val="-6"/>
        </w:rPr>
        <w:t xml:space="preserve"> </w:t>
      </w:r>
      <w:r>
        <w:rPr>
          <w:color w:val="231F20"/>
        </w:rPr>
        <w:t>with</w:t>
      </w:r>
      <w:r>
        <w:rPr>
          <w:color w:val="231F20"/>
          <w:spacing w:val="-6"/>
        </w:rPr>
        <w:t xml:space="preserve"> </w:t>
      </w:r>
      <w:r>
        <w:rPr>
          <w:color w:val="231F20"/>
        </w:rPr>
        <w:t>key</w:t>
      </w:r>
      <w:r>
        <w:rPr>
          <w:color w:val="231F20"/>
          <w:spacing w:val="-6"/>
        </w:rPr>
        <w:t xml:space="preserve"> </w:t>
      </w:r>
      <w:r>
        <w:rPr>
          <w:color w:val="231F20"/>
        </w:rPr>
        <w:t>actors</w:t>
      </w:r>
      <w:r>
        <w:rPr>
          <w:color w:val="231F20"/>
          <w:spacing w:val="-6"/>
        </w:rPr>
        <w:t xml:space="preserve"> </w:t>
      </w:r>
      <w:r>
        <w:rPr>
          <w:color w:val="231F20"/>
        </w:rPr>
        <w:t>at</w:t>
      </w:r>
      <w:r>
        <w:rPr>
          <w:color w:val="231F20"/>
          <w:spacing w:val="-6"/>
        </w:rPr>
        <w:t xml:space="preserve"> </w:t>
      </w:r>
      <w:r>
        <w:rPr>
          <w:color w:val="231F20"/>
        </w:rPr>
        <w:t>Federal,</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LGA</w:t>
      </w:r>
      <w:r>
        <w:rPr>
          <w:color w:val="231F20"/>
          <w:spacing w:val="-17"/>
        </w:rPr>
        <w:t xml:space="preserve"> </w:t>
      </w:r>
      <w:r>
        <w:rPr>
          <w:color w:val="231F20"/>
        </w:rPr>
        <w:t>levels.</w:t>
      </w:r>
      <w:r>
        <w:rPr>
          <w:color w:val="231F20"/>
          <w:spacing w:val="-10"/>
        </w:rPr>
        <w:t xml:space="preserve"> </w:t>
      </w:r>
      <w:r>
        <w:rPr>
          <w:color w:val="231F20"/>
        </w:rPr>
        <w:t>This</w:t>
      </w:r>
      <w:r>
        <w:rPr>
          <w:color w:val="231F20"/>
          <w:spacing w:val="-6"/>
        </w:rPr>
        <w:t xml:space="preserve"> </w:t>
      </w:r>
      <w:r>
        <w:rPr>
          <w:color w:val="231F20"/>
        </w:rPr>
        <w:t>was</w:t>
      </w:r>
      <w:r>
        <w:rPr>
          <w:color w:val="231F20"/>
          <w:spacing w:val="-6"/>
        </w:rPr>
        <w:t xml:space="preserve"> </w:t>
      </w:r>
      <w:r>
        <w:rPr>
          <w:color w:val="231F20"/>
        </w:rPr>
        <w:t>followed</w:t>
      </w:r>
      <w:r>
        <w:rPr>
          <w:color w:val="231F20"/>
          <w:spacing w:val="-6"/>
        </w:rPr>
        <w:t xml:space="preserve"> </w:t>
      </w:r>
      <w:r>
        <w:rPr>
          <w:color w:val="231F20"/>
        </w:rPr>
        <w:t>by</w:t>
      </w:r>
      <w:r>
        <w:rPr>
          <w:color w:val="231F20"/>
          <w:spacing w:val="-6"/>
        </w:rPr>
        <w:t xml:space="preserve"> </w:t>
      </w:r>
      <w:r>
        <w:rPr>
          <w:color w:val="231F20"/>
        </w:rPr>
        <w:t>Stakeholder validation</w:t>
      </w:r>
      <w:r>
        <w:rPr>
          <w:color w:val="231F20"/>
          <w:spacing w:val="-7"/>
        </w:rPr>
        <w:t xml:space="preserve"> </w:t>
      </w:r>
      <w:r>
        <w:rPr>
          <w:color w:val="231F20"/>
        </w:rPr>
        <w:t>workshops;</w:t>
      </w:r>
      <w:r>
        <w:rPr>
          <w:color w:val="231F20"/>
          <w:spacing w:val="-7"/>
        </w:rPr>
        <w:t xml:space="preserve"> </w:t>
      </w:r>
      <w:r>
        <w:rPr>
          <w:color w:val="231F20"/>
        </w:rPr>
        <w:t>and</w:t>
      </w:r>
      <w:r>
        <w:rPr>
          <w:color w:val="231F20"/>
          <w:spacing w:val="-7"/>
        </w:rPr>
        <w:t xml:space="preserve"> </w:t>
      </w:r>
      <w:r>
        <w:rPr>
          <w:color w:val="231F20"/>
        </w:rPr>
        <w:t>dissemination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framework</w:t>
      </w:r>
      <w:r>
        <w:rPr>
          <w:color w:val="231F20"/>
          <w:spacing w:val="-7"/>
        </w:rPr>
        <w:t xml:space="preserve"> </w:t>
      </w:r>
      <w:r>
        <w:rPr>
          <w:color w:val="231F20"/>
        </w:rPr>
        <w:t>to</w:t>
      </w:r>
      <w:r>
        <w:rPr>
          <w:color w:val="231F20"/>
          <w:spacing w:val="-7"/>
        </w:rPr>
        <w:t xml:space="preserve"> </w:t>
      </w:r>
      <w:r>
        <w:rPr>
          <w:color w:val="231F20"/>
        </w:rPr>
        <w:t>Federal</w:t>
      </w:r>
      <w:r>
        <w:rPr>
          <w:color w:val="231F20"/>
          <w:spacing w:val="-7"/>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rPr>
        <w:t>States,</w:t>
      </w:r>
      <w:r>
        <w:rPr>
          <w:color w:val="231F20"/>
          <w:spacing w:val="-7"/>
        </w:rPr>
        <w:t xml:space="preserve"> </w:t>
      </w:r>
      <w:r>
        <w:rPr>
          <w:color w:val="231F20"/>
        </w:rPr>
        <w:t>to</w:t>
      </w:r>
      <w:r>
        <w:rPr>
          <w:color w:val="231F20"/>
          <w:spacing w:val="-7"/>
        </w:rPr>
        <w:t xml:space="preserve"> </w:t>
      </w:r>
      <w:r>
        <w:rPr>
          <w:color w:val="231F20"/>
        </w:rPr>
        <w:t>guide</w:t>
      </w:r>
      <w:r>
        <w:rPr>
          <w:color w:val="231F20"/>
          <w:spacing w:val="-7"/>
        </w:rPr>
        <w:t xml:space="preserve"> </w:t>
      </w:r>
      <w:r>
        <w:rPr>
          <w:color w:val="231F20"/>
          <w:spacing w:val="-5"/>
        </w:rPr>
        <w:t xml:space="preserve">the </w:t>
      </w:r>
      <w:r>
        <w:rPr>
          <w:color w:val="231F20"/>
        </w:rPr>
        <w:t>formulation</w:t>
      </w:r>
      <w:r>
        <w:rPr>
          <w:color w:val="231F20"/>
          <w:spacing w:val="-26"/>
        </w:rPr>
        <w:t xml:space="preserve"> </w:t>
      </w:r>
      <w:r>
        <w:rPr>
          <w:color w:val="231F20"/>
        </w:rPr>
        <w:t>of</w:t>
      </w:r>
      <w:r>
        <w:rPr>
          <w:color w:val="231F20"/>
          <w:spacing w:val="-25"/>
        </w:rPr>
        <w:t xml:space="preserve"> </w:t>
      </w:r>
      <w:r>
        <w:rPr>
          <w:color w:val="231F20"/>
        </w:rPr>
        <w:t>their</w:t>
      </w:r>
      <w:r>
        <w:rPr>
          <w:color w:val="231F20"/>
          <w:spacing w:val="-25"/>
        </w:rPr>
        <w:t xml:space="preserve"> </w:t>
      </w:r>
      <w:r>
        <w:rPr>
          <w:color w:val="231F20"/>
        </w:rPr>
        <w:t>respective</w:t>
      </w:r>
      <w:r>
        <w:rPr>
          <w:color w:val="231F20"/>
          <w:spacing w:val="-25"/>
        </w:rPr>
        <w:t xml:space="preserve"> </w:t>
      </w:r>
      <w:r>
        <w:rPr>
          <w:color w:val="231F20"/>
        </w:rPr>
        <w:t>plans.</w:t>
      </w:r>
      <w:r>
        <w:rPr>
          <w:color w:val="231F20"/>
          <w:spacing w:val="-29"/>
        </w:rPr>
        <w:t xml:space="preserve"> </w:t>
      </w:r>
      <w:r>
        <w:rPr>
          <w:color w:val="231F20"/>
        </w:rPr>
        <w:t>These</w:t>
      </w:r>
      <w:r>
        <w:rPr>
          <w:color w:val="231F20"/>
          <w:spacing w:val="-25"/>
        </w:rPr>
        <w:t xml:space="preserve"> </w:t>
      </w:r>
      <w:r>
        <w:rPr>
          <w:color w:val="231F20"/>
        </w:rPr>
        <w:t>state</w:t>
      </w:r>
      <w:r>
        <w:rPr>
          <w:color w:val="231F20"/>
          <w:spacing w:val="-25"/>
        </w:rPr>
        <w:t xml:space="preserve"> </w:t>
      </w:r>
      <w:r>
        <w:rPr>
          <w:color w:val="231F20"/>
        </w:rPr>
        <w:t>plans</w:t>
      </w:r>
      <w:r>
        <w:rPr>
          <w:color w:val="231F20"/>
          <w:spacing w:val="-25"/>
        </w:rPr>
        <w:t xml:space="preserve"> </w:t>
      </w:r>
      <w:r>
        <w:rPr>
          <w:color w:val="231F20"/>
        </w:rPr>
        <w:t>and</w:t>
      </w:r>
      <w:r>
        <w:rPr>
          <w:color w:val="231F20"/>
          <w:spacing w:val="-25"/>
        </w:rPr>
        <w:t xml:space="preserve"> </w:t>
      </w:r>
      <w:r>
        <w:rPr>
          <w:color w:val="231F20"/>
        </w:rPr>
        <w:t>FCT</w:t>
      </w:r>
      <w:r>
        <w:rPr>
          <w:color w:val="231F20"/>
          <w:spacing w:val="-29"/>
        </w:rPr>
        <w:t xml:space="preserve"> </w:t>
      </w:r>
      <w:r>
        <w:rPr>
          <w:color w:val="231F20"/>
        </w:rPr>
        <w:t>would</w:t>
      </w:r>
      <w:r>
        <w:rPr>
          <w:color w:val="231F20"/>
          <w:spacing w:val="-25"/>
        </w:rPr>
        <w:t xml:space="preserve"> </w:t>
      </w:r>
      <w:r>
        <w:rPr>
          <w:color w:val="231F20"/>
        </w:rPr>
        <w:t>be</w:t>
      </w:r>
      <w:r>
        <w:rPr>
          <w:color w:val="231F20"/>
          <w:spacing w:val="-25"/>
        </w:rPr>
        <w:t xml:space="preserve"> </w:t>
      </w:r>
      <w:r>
        <w:rPr>
          <w:color w:val="231F20"/>
        </w:rPr>
        <w:t>harmonized</w:t>
      </w:r>
      <w:r>
        <w:rPr>
          <w:color w:val="231F20"/>
          <w:spacing w:val="-25"/>
        </w:rPr>
        <w:t xml:space="preserve"> </w:t>
      </w:r>
      <w:r>
        <w:rPr>
          <w:color w:val="231F20"/>
        </w:rPr>
        <w:t>into</w:t>
      </w:r>
    </w:p>
    <w:p w14:paraId="216F55E1" w14:textId="77777777" w:rsidR="009948F1" w:rsidRDefault="00BC0563">
      <w:pPr>
        <w:pStyle w:val="BodyText"/>
        <w:spacing w:line="252" w:lineRule="exact"/>
        <w:ind w:left="158"/>
        <w:jc w:val="both"/>
      </w:pPr>
      <w:r>
        <w:rPr>
          <w:color w:val="231F20"/>
        </w:rPr>
        <w:t>NSHDP II.</w:t>
      </w:r>
    </w:p>
    <w:p w14:paraId="473E6BD6" w14:textId="77777777" w:rsidR="009948F1" w:rsidRDefault="00BC0563">
      <w:pPr>
        <w:pStyle w:val="BodyText"/>
        <w:spacing w:before="47"/>
        <w:ind w:left="158"/>
        <w:jc w:val="both"/>
      </w:pPr>
      <w:r>
        <w:rPr>
          <w:color w:val="231F20"/>
        </w:rPr>
        <w:t>The process for the development of the Rivers State SHDP comprised of the following steps:</w:t>
      </w:r>
    </w:p>
    <w:p w14:paraId="40BBC377" w14:textId="77777777" w:rsidR="009948F1" w:rsidRDefault="00BC0563">
      <w:pPr>
        <w:pStyle w:val="ListParagraph"/>
        <w:numPr>
          <w:ilvl w:val="0"/>
          <w:numId w:val="323"/>
        </w:numPr>
        <w:tabs>
          <w:tab w:val="left" w:pos="879"/>
        </w:tabs>
        <w:spacing w:before="48" w:line="285" w:lineRule="auto"/>
        <w:ind w:right="198"/>
      </w:pPr>
      <w:r>
        <w:rPr>
          <w:color w:val="231F20"/>
        </w:rPr>
        <w:t>State</w:t>
      </w:r>
      <w:r>
        <w:rPr>
          <w:color w:val="231F20"/>
          <w:spacing w:val="-16"/>
        </w:rPr>
        <w:t xml:space="preserve"> </w:t>
      </w:r>
      <w:r>
        <w:rPr>
          <w:color w:val="231F20"/>
        </w:rPr>
        <w:t>Planning</w:t>
      </w:r>
      <w:r>
        <w:rPr>
          <w:color w:val="231F20"/>
          <w:spacing w:val="-15"/>
        </w:rPr>
        <w:t xml:space="preserve"> </w:t>
      </w:r>
      <w:r>
        <w:rPr>
          <w:color w:val="231F20"/>
        </w:rPr>
        <w:t>and</w:t>
      </w:r>
      <w:r>
        <w:rPr>
          <w:color w:val="231F20"/>
          <w:spacing w:val="-15"/>
        </w:rPr>
        <w:t xml:space="preserve"> </w:t>
      </w:r>
      <w:r>
        <w:rPr>
          <w:color w:val="231F20"/>
        </w:rPr>
        <w:t>Costing</w:t>
      </w:r>
      <w:r>
        <w:rPr>
          <w:color w:val="231F20"/>
          <w:spacing w:val="-15"/>
        </w:rPr>
        <w:t xml:space="preserve"> </w:t>
      </w:r>
      <w:r>
        <w:rPr>
          <w:color w:val="231F20"/>
        </w:rPr>
        <w:t>Consultants</w:t>
      </w:r>
      <w:r>
        <w:rPr>
          <w:color w:val="231F20"/>
          <w:spacing w:val="-16"/>
        </w:rPr>
        <w:t xml:space="preserve"> </w:t>
      </w:r>
      <w:r>
        <w:rPr>
          <w:color w:val="231F20"/>
        </w:rPr>
        <w:t>were</w:t>
      </w:r>
      <w:r>
        <w:rPr>
          <w:color w:val="231F20"/>
          <w:spacing w:val="-15"/>
        </w:rPr>
        <w:t xml:space="preserve"> </w:t>
      </w:r>
      <w:r>
        <w:rPr>
          <w:color w:val="231F20"/>
        </w:rPr>
        <w:t>engaged</w:t>
      </w:r>
      <w:r>
        <w:rPr>
          <w:color w:val="231F20"/>
          <w:spacing w:val="-15"/>
        </w:rPr>
        <w:t xml:space="preserve"> </w:t>
      </w:r>
      <w:r>
        <w:rPr>
          <w:color w:val="231F20"/>
        </w:rPr>
        <w:t>and</w:t>
      </w:r>
      <w:r>
        <w:rPr>
          <w:color w:val="231F20"/>
          <w:spacing w:val="-15"/>
        </w:rPr>
        <w:t xml:space="preserve"> </w:t>
      </w:r>
      <w:r>
        <w:rPr>
          <w:color w:val="231F20"/>
        </w:rPr>
        <w:t>trained</w:t>
      </w:r>
      <w:r>
        <w:rPr>
          <w:color w:val="231F20"/>
          <w:spacing w:val="-16"/>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Federal</w:t>
      </w:r>
      <w:r>
        <w:rPr>
          <w:color w:val="231F20"/>
          <w:spacing w:val="-15"/>
        </w:rPr>
        <w:t xml:space="preserve"> </w:t>
      </w:r>
      <w:r>
        <w:rPr>
          <w:color w:val="231F20"/>
        </w:rPr>
        <w:t>Ministry of</w:t>
      </w:r>
      <w:r>
        <w:rPr>
          <w:color w:val="231F20"/>
          <w:spacing w:val="-25"/>
        </w:rPr>
        <w:t xml:space="preserve"> </w:t>
      </w:r>
      <w:r>
        <w:rPr>
          <w:color w:val="231F20"/>
        </w:rPr>
        <w:t>Health</w:t>
      </w:r>
      <w:r>
        <w:rPr>
          <w:color w:val="231F20"/>
          <w:spacing w:val="-25"/>
        </w:rPr>
        <w:t xml:space="preserve"> </w:t>
      </w:r>
      <w:r>
        <w:rPr>
          <w:color w:val="231F20"/>
        </w:rPr>
        <w:t>to</w:t>
      </w:r>
      <w:r>
        <w:rPr>
          <w:color w:val="231F20"/>
          <w:spacing w:val="-25"/>
        </w:rPr>
        <w:t xml:space="preserve"> </w:t>
      </w:r>
      <w:r>
        <w:rPr>
          <w:color w:val="231F20"/>
        </w:rPr>
        <w:t>support</w:t>
      </w:r>
      <w:r>
        <w:rPr>
          <w:color w:val="231F20"/>
          <w:spacing w:val="-25"/>
        </w:rPr>
        <w:t xml:space="preserve"> </w:t>
      </w:r>
      <w:r>
        <w:rPr>
          <w:color w:val="231F20"/>
        </w:rPr>
        <w:t>the</w:t>
      </w:r>
      <w:r>
        <w:rPr>
          <w:color w:val="231F20"/>
          <w:spacing w:val="-26"/>
        </w:rPr>
        <w:t xml:space="preserve"> </w:t>
      </w:r>
      <w:r>
        <w:rPr>
          <w:color w:val="231F20"/>
        </w:rPr>
        <w:t>work</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State.</w:t>
      </w:r>
    </w:p>
    <w:p w14:paraId="7E467415" w14:textId="77777777" w:rsidR="009948F1" w:rsidRDefault="00BC0563">
      <w:pPr>
        <w:pStyle w:val="ListParagraph"/>
        <w:numPr>
          <w:ilvl w:val="0"/>
          <w:numId w:val="323"/>
        </w:numPr>
        <w:tabs>
          <w:tab w:val="left" w:pos="879"/>
        </w:tabs>
        <w:spacing w:line="285" w:lineRule="auto"/>
        <w:ind w:right="198"/>
      </w:pPr>
      <w:r>
        <w:rPr>
          <w:color w:val="231F20"/>
        </w:rPr>
        <w:t>A</w:t>
      </w:r>
      <w:r>
        <w:rPr>
          <w:color w:val="231F20"/>
          <w:spacing w:val="-31"/>
        </w:rPr>
        <w:t xml:space="preserve"> </w:t>
      </w:r>
      <w:r>
        <w:rPr>
          <w:color w:val="231F20"/>
        </w:rPr>
        <w:t>State</w:t>
      </w:r>
      <w:r>
        <w:rPr>
          <w:color w:val="231F20"/>
          <w:spacing w:val="-19"/>
        </w:rPr>
        <w:t xml:space="preserve"> </w:t>
      </w:r>
      <w:r>
        <w:rPr>
          <w:color w:val="231F20"/>
        </w:rPr>
        <w:t>Planning</w:t>
      </w:r>
      <w:r>
        <w:rPr>
          <w:color w:val="231F20"/>
          <w:spacing w:val="-22"/>
        </w:rPr>
        <w:t xml:space="preserve"> </w:t>
      </w:r>
      <w:r>
        <w:rPr>
          <w:color w:val="231F20"/>
          <w:spacing w:val="-7"/>
        </w:rPr>
        <w:t>Team</w:t>
      </w:r>
      <w:r>
        <w:rPr>
          <w:color w:val="231F20"/>
          <w:spacing w:val="-19"/>
        </w:rPr>
        <w:t xml:space="preserve"> </w:t>
      </w:r>
      <w:r>
        <w:rPr>
          <w:color w:val="231F20"/>
        </w:rPr>
        <w:t>(SPT)</w:t>
      </w:r>
      <w:r>
        <w:rPr>
          <w:color w:val="231F20"/>
          <w:spacing w:val="-19"/>
        </w:rPr>
        <w:t xml:space="preserve"> </w:t>
      </w:r>
      <w:r>
        <w:rPr>
          <w:color w:val="231F20"/>
        </w:rPr>
        <w:t>was</w:t>
      </w:r>
      <w:r>
        <w:rPr>
          <w:color w:val="231F20"/>
          <w:spacing w:val="-18"/>
        </w:rPr>
        <w:t xml:space="preserve"> </w:t>
      </w:r>
      <w:r>
        <w:rPr>
          <w:color w:val="231F20"/>
        </w:rPr>
        <w:t>inaugurated</w:t>
      </w:r>
      <w:r>
        <w:rPr>
          <w:color w:val="231F20"/>
          <w:spacing w:val="-19"/>
        </w:rPr>
        <w:t xml:space="preserve"> </w:t>
      </w:r>
      <w:r>
        <w:rPr>
          <w:color w:val="231F20"/>
        </w:rPr>
        <w:t>by</w:t>
      </w:r>
      <w:r>
        <w:rPr>
          <w:color w:val="231F20"/>
          <w:spacing w:val="-19"/>
        </w:rPr>
        <w:t xml:space="preserve"> </w:t>
      </w:r>
      <w:r>
        <w:rPr>
          <w:color w:val="231F20"/>
        </w:rPr>
        <w:t>the</w:t>
      </w:r>
      <w:r>
        <w:rPr>
          <w:color w:val="231F20"/>
          <w:spacing w:val="-18"/>
        </w:rPr>
        <w:t xml:space="preserve"> </w:t>
      </w:r>
      <w:r>
        <w:rPr>
          <w:color w:val="231F20"/>
        </w:rPr>
        <w:t>Permanent</w:t>
      </w:r>
      <w:r>
        <w:rPr>
          <w:color w:val="231F20"/>
          <w:spacing w:val="-19"/>
        </w:rPr>
        <w:t xml:space="preserve"> </w:t>
      </w:r>
      <w:r>
        <w:rPr>
          <w:color w:val="231F20"/>
        </w:rPr>
        <w:t>Secretary</w:t>
      </w:r>
      <w:r>
        <w:rPr>
          <w:color w:val="231F20"/>
          <w:spacing w:val="-19"/>
        </w:rPr>
        <w:t xml:space="preserve"> </w:t>
      </w:r>
      <w:r>
        <w:rPr>
          <w:color w:val="231F20"/>
        </w:rPr>
        <w:t>and</w:t>
      </w:r>
      <w:r>
        <w:rPr>
          <w:color w:val="231F20"/>
          <w:spacing w:val="-18"/>
        </w:rPr>
        <w:t xml:space="preserve"> </w:t>
      </w:r>
      <w:r>
        <w:rPr>
          <w:color w:val="231F20"/>
        </w:rPr>
        <w:t xml:space="preserve">comprised of Directors and </w:t>
      </w:r>
      <w:proofErr w:type="spellStart"/>
      <w:r>
        <w:rPr>
          <w:color w:val="231F20"/>
        </w:rPr>
        <w:t>Programme</w:t>
      </w:r>
      <w:proofErr w:type="spellEnd"/>
      <w:r>
        <w:rPr>
          <w:color w:val="231F20"/>
        </w:rPr>
        <w:t xml:space="preserve"> Managers from the SMOH, RSPHCMB, RSHMB and </w:t>
      </w:r>
      <w:r>
        <w:rPr>
          <w:color w:val="231F20"/>
          <w:spacing w:val="-3"/>
        </w:rPr>
        <w:t xml:space="preserve">health </w:t>
      </w:r>
      <w:r>
        <w:rPr>
          <w:color w:val="231F20"/>
        </w:rPr>
        <w:t>training</w:t>
      </w:r>
      <w:r>
        <w:rPr>
          <w:color w:val="231F20"/>
          <w:spacing w:val="-25"/>
        </w:rPr>
        <w:t xml:space="preserve"> </w:t>
      </w:r>
      <w:r>
        <w:rPr>
          <w:color w:val="231F20"/>
        </w:rPr>
        <w:t>institutions</w:t>
      </w:r>
      <w:r>
        <w:rPr>
          <w:color w:val="231F20"/>
          <w:spacing w:val="-26"/>
        </w:rPr>
        <w:t xml:space="preserve"> </w:t>
      </w:r>
      <w:r>
        <w:rPr>
          <w:color w:val="231F20"/>
        </w:rPr>
        <w:t>and</w:t>
      </w:r>
      <w:r>
        <w:rPr>
          <w:color w:val="231F20"/>
          <w:spacing w:val="-25"/>
        </w:rPr>
        <w:t xml:space="preserve"> </w:t>
      </w:r>
      <w:r>
        <w:rPr>
          <w:color w:val="231F20"/>
        </w:rPr>
        <w:t>Development</w:t>
      </w:r>
      <w:r>
        <w:rPr>
          <w:color w:val="231F20"/>
          <w:spacing w:val="-25"/>
        </w:rPr>
        <w:t xml:space="preserve"> </w:t>
      </w:r>
      <w:r>
        <w:rPr>
          <w:color w:val="231F20"/>
        </w:rPr>
        <w:t>Partners</w:t>
      </w:r>
    </w:p>
    <w:p w14:paraId="6FE0513F" w14:textId="77777777" w:rsidR="009948F1" w:rsidRDefault="00BC0563">
      <w:pPr>
        <w:pStyle w:val="ListParagraph"/>
        <w:numPr>
          <w:ilvl w:val="0"/>
          <w:numId w:val="323"/>
        </w:numPr>
        <w:tabs>
          <w:tab w:val="left" w:pos="879"/>
        </w:tabs>
        <w:spacing w:line="285" w:lineRule="auto"/>
        <w:ind w:right="198"/>
      </w:pPr>
      <w:r>
        <w:rPr>
          <w:color w:val="231F20"/>
        </w:rPr>
        <w:t>A</w:t>
      </w:r>
      <w:r>
        <w:rPr>
          <w:color w:val="231F20"/>
          <w:spacing w:val="-30"/>
        </w:rPr>
        <w:t xml:space="preserve"> </w:t>
      </w:r>
      <w:r>
        <w:rPr>
          <w:color w:val="231F20"/>
          <w:spacing w:val="-3"/>
        </w:rPr>
        <w:t>Technical</w:t>
      </w:r>
      <w:r>
        <w:rPr>
          <w:color w:val="231F20"/>
          <w:spacing w:val="-13"/>
        </w:rPr>
        <w:t xml:space="preserve"> </w:t>
      </w:r>
      <w:r>
        <w:rPr>
          <w:color w:val="231F20"/>
        </w:rPr>
        <w:t>Working</w:t>
      </w:r>
      <w:r>
        <w:rPr>
          <w:color w:val="231F20"/>
          <w:spacing w:val="-14"/>
        </w:rPr>
        <w:t xml:space="preserve"> </w:t>
      </w:r>
      <w:r>
        <w:rPr>
          <w:color w:val="231F20"/>
        </w:rPr>
        <w:t>Group</w:t>
      </w:r>
      <w:r>
        <w:rPr>
          <w:color w:val="231F20"/>
          <w:spacing w:val="-13"/>
        </w:rPr>
        <w:t xml:space="preserve"> </w:t>
      </w:r>
      <w:r>
        <w:rPr>
          <w:color w:val="231F20"/>
        </w:rPr>
        <w:t>(TWG),</w:t>
      </w:r>
      <w:r>
        <w:rPr>
          <w:color w:val="231F20"/>
          <w:spacing w:val="-14"/>
        </w:rPr>
        <w:t xml:space="preserve"> </w:t>
      </w:r>
      <w:r>
        <w:rPr>
          <w:color w:val="231F20"/>
        </w:rPr>
        <w:t>was</w:t>
      </w:r>
      <w:r>
        <w:rPr>
          <w:color w:val="231F20"/>
          <w:spacing w:val="-13"/>
        </w:rPr>
        <w:t xml:space="preserve"> </w:t>
      </w:r>
      <w:r>
        <w:rPr>
          <w:color w:val="231F20"/>
        </w:rPr>
        <w:t>inaugurated</w:t>
      </w:r>
      <w:r>
        <w:rPr>
          <w:color w:val="231F20"/>
          <w:spacing w:val="-14"/>
        </w:rPr>
        <w:t xml:space="preserve"> </w:t>
      </w:r>
      <w:r>
        <w:rPr>
          <w:color w:val="231F20"/>
        </w:rPr>
        <w:t>by</w:t>
      </w:r>
      <w:r>
        <w:rPr>
          <w:color w:val="231F20"/>
          <w:spacing w:val="-14"/>
        </w:rPr>
        <w:t xml:space="preserve"> </w:t>
      </w:r>
      <w:r>
        <w:rPr>
          <w:color w:val="231F20"/>
        </w:rPr>
        <w:t>the</w:t>
      </w:r>
      <w:r>
        <w:rPr>
          <w:color w:val="231F20"/>
          <w:spacing w:val="-13"/>
        </w:rPr>
        <w:t xml:space="preserve"> </w:t>
      </w:r>
      <w:r>
        <w:rPr>
          <w:color w:val="231F20"/>
        </w:rPr>
        <w:t>Permanent</w:t>
      </w:r>
      <w:r>
        <w:rPr>
          <w:color w:val="231F20"/>
          <w:spacing w:val="-14"/>
        </w:rPr>
        <w:t xml:space="preserve"> </w:t>
      </w:r>
      <w:r>
        <w:rPr>
          <w:color w:val="231F20"/>
        </w:rPr>
        <w:t>Secretary,</w:t>
      </w:r>
      <w:r>
        <w:rPr>
          <w:color w:val="231F20"/>
          <w:spacing w:val="-13"/>
        </w:rPr>
        <w:t xml:space="preserve"> </w:t>
      </w:r>
      <w:r>
        <w:rPr>
          <w:color w:val="231F20"/>
        </w:rPr>
        <w:t>with</w:t>
      </w:r>
      <w:r>
        <w:rPr>
          <w:color w:val="231F20"/>
          <w:spacing w:val="-14"/>
        </w:rPr>
        <w:t xml:space="preserve"> </w:t>
      </w:r>
      <w:r>
        <w:rPr>
          <w:color w:val="231F20"/>
          <w:spacing w:val="-4"/>
        </w:rPr>
        <w:t xml:space="preserve">the </w:t>
      </w:r>
      <w:r>
        <w:rPr>
          <w:color w:val="231F20"/>
        </w:rPr>
        <w:t>Director</w:t>
      </w:r>
      <w:r>
        <w:rPr>
          <w:color w:val="231F20"/>
          <w:spacing w:val="-15"/>
        </w:rPr>
        <w:t xml:space="preserve"> </w:t>
      </w:r>
      <w:r>
        <w:rPr>
          <w:color w:val="231F20"/>
        </w:rPr>
        <w:t>PRS</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Chairman,</w:t>
      </w:r>
      <w:r>
        <w:rPr>
          <w:color w:val="231F20"/>
          <w:spacing w:val="-14"/>
        </w:rPr>
        <w:t xml:space="preserve"> </w:t>
      </w:r>
      <w:r>
        <w:rPr>
          <w:color w:val="231F20"/>
        </w:rPr>
        <w:t>reviewed</w:t>
      </w:r>
      <w:r>
        <w:rPr>
          <w:color w:val="231F20"/>
          <w:spacing w:val="-14"/>
        </w:rPr>
        <w:t xml:space="preserve"> </w:t>
      </w:r>
      <w:r>
        <w:rPr>
          <w:color w:val="231F20"/>
        </w:rPr>
        <w:t>the</w:t>
      </w:r>
      <w:r>
        <w:rPr>
          <w:color w:val="231F20"/>
          <w:spacing w:val="-14"/>
        </w:rPr>
        <w:t xml:space="preserve"> </w:t>
      </w:r>
      <w:r>
        <w:rPr>
          <w:color w:val="231F20"/>
        </w:rPr>
        <w:t>first</w:t>
      </w:r>
      <w:r>
        <w:rPr>
          <w:color w:val="231F20"/>
          <w:spacing w:val="-15"/>
        </w:rPr>
        <w:t xml:space="preserve"> </w:t>
      </w:r>
      <w:r>
        <w:rPr>
          <w:color w:val="231F20"/>
        </w:rPr>
        <w:t>SSHDP;</w:t>
      </w:r>
      <w:r>
        <w:rPr>
          <w:color w:val="231F20"/>
          <w:spacing w:val="-14"/>
        </w:rPr>
        <w:t xml:space="preserve"> </w:t>
      </w:r>
      <w:r>
        <w:rPr>
          <w:color w:val="231F20"/>
        </w:rPr>
        <w:t>and</w:t>
      </w:r>
      <w:r>
        <w:rPr>
          <w:color w:val="231F20"/>
          <w:spacing w:val="-14"/>
        </w:rPr>
        <w:t xml:space="preserve"> </w:t>
      </w:r>
      <w:r>
        <w:rPr>
          <w:color w:val="231F20"/>
        </w:rPr>
        <w:t>supported</w:t>
      </w:r>
      <w:r>
        <w:rPr>
          <w:color w:val="231F20"/>
          <w:spacing w:val="-14"/>
        </w:rPr>
        <w:t xml:space="preserve"> </w:t>
      </w:r>
      <w:r>
        <w:rPr>
          <w:color w:val="231F20"/>
        </w:rPr>
        <w:t>the</w:t>
      </w:r>
      <w:r>
        <w:rPr>
          <w:color w:val="231F20"/>
          <w:spacing w:val="-14"/>
        </w:rPr>
        <w:t xml:space="preserve"> </w:t>
      </w:r>
      <w:r>
        <w:rPr>
          <w:color w:val="231F20"/>
        </w:rPr>
        <w:t>development of</w:t>
      </w:r>
      <w:r>
        <w:rPr>
          <w:color w:val="231F20"/>
          <w:spacing w:val="-25"/>
        </w:rPr>
        <w:t xml:space="preserve"> </w:t>
      </w:r>
      <w:r>
        <w:rPr>
          <w:color w:val="231F20"/>
        </w:rPr>
        <w:t>the</w:t>
      </w:r>
      <w:r>
        <w:rPr>
          <w:color w:val="231F20"/>
          <w:spacing w:val="-25"/>
        </w:rPr>
        <w:t xml:space="preserve"> </w:t>
      </w:r>
      <w:r>
        <w:rPr>
          <w:color w:val="231F20"/>
        </w:rPr>
        <w:t>second</w:t>
      </w:r>
      <w:r>
        <w:rPr>
          <w:color w:val="231F20"/>
          <w:spacing w:val="-25"/>
        </w:rPr>
        <w:t xml:space="preserve"> </w:t>
      </w:r>
      <w:r>
        <w:rPr>
          <w:color w:val="231F20"/>
        </w:rPr>
        <w:t>SSHDP;</w:t>
      </w:r>
    </w:p>
    <w:p w14:paraId="0B99D567" w14:textId="77777777" w:rsidR="009948F1" w:rsidRDefault="00BC0563">
      <w:pPr>
        <w:pStyle w:val="ListParagraph"/>
        <w:numPr>
          <w:ilvl w:val="0"/>
          <w:numId w:val="323"/>
        </w:numPr>
        <w:tabs>
          <w:tab w:val="left" w:pos="879"/>
        </w:tabs>
        <w:spacing w:line="285" w:lineRule="auto"/>
        <w:ind w:right="198"/>
      </w:pPr>
      <w:r>
        <w:rPr>
          <w:color w:val="231F20"/>
        </w:rPr>
        <w:t xml:space="preserve">An end-term evaluation of the first SSHDP was conducted to determine level </w:t>
      </w:r>
      <w:r>
        <w:rPr>
          <w:color w:val="231F20"/>
          <w:spacing w:val="-8"/>
        </w:rPr>
        <w:t xml:space="preserve">of </w:t>
      </w:r>
      <w:r>
        <w:rPr>
          <w:color w:val="231F20"/>
        </w:rPr>
        <w:t>implementation,</w:t>
      </w:r>
      <w:r>
        <w:rPr>
          <w:color w:val="231F20"/>
          <w:spacing w:val="-26"/>
        </w:rPr>
        <w:t xml:space="preserve"> </w:t>
      </w:r>
      <w:r>
        <w:rPr>
          <w:color w:val="231F20"/>
        </w:rPr>
        <w:t>outcomes,</w:t>
      </w:r>
      <w:r>
        <w:rPr>
          <w:color w:val="231F20"/>
          <w:spacing w:val="-25"/>
        </w:rPr>
        <w:t xml:space="preserve"> </w:t>
      </w:r>
      <w:r>
        <w:rPr>
          <w:color w:val="231F20"/>
        </w:rPr>
        <w:t>challenges</w:t>
      </w:r>
      <w:r>
        <w:rPr>
          <w:color w:val="231F20"/>
          <w:spacing w:val="-25"/>
        </w:rPr>
        <w:t xml:space="preserve"> </w:t>
      </w:r>
      <w:r>
        <w:rPr>
          <w:color w:val="231F20"/>
        </w:rPr>
        <w:t>and</w:t>
      </w:r>
      <w:r>
        <w:rPr>
          <w:color w:val="231F20"/>
          <w:spacing w:val="-25"/>
        </w:rPr>
        <w:t xml:space="preserve"> </w:t>
      </w:r>
      <w:r>
        <w:rPr>
          <w:color w:val="231F20"/>
        </w:rPr>
        <w:t>lessons</w:t>
      </w:r>
      <w:r>
        <w:rPr>
          <w:color w:val="231F20"/>
          <w:spacing w:val="-25"/>
        </w:rPr>
        <w:t xml:space="preserve"> </w:t>
      </w:r>
      <w:r>
        <w:rPr>
          <w:color w:val="231F20"/>
        </w:rPr>
        <w:t>learned;</w:t>
      </w:r>
    </w:p>
    <w:p w14:paraId="279C791B" w14:textId="77777777" w:rsidR="009948F1" w:rsidRDefault="009948F1">
      <w:pPr>
        <w:spacing w:line="285" w:lineRule="auto"/>
        <w:jc w:val="both"/>
        <w:sectPr w:rsidR="009948F1">
          <w:pgSz w:w="11910" w:h="16840"/>
          <w:pgMar w:top="1400" w:right="1080" w:bottom="1420" w:left="1120" w:header="0" w:footer="1235" w:gutter="0"/>
          <w:cols w:space="720"/>
        </w:sectPr>
      </w:pPr>
    </w:p>
    <w:p w14:paraId="38DECC7D" w14:textId="77777777" w:rsidR="009948F1" w:rsidRDefault="00BC0563">
      <w:pPr>
        <w:pStyle w:val="ListParagraph"/>
        <w:numPr>
          <w:ilvl w:val="0"/>
          <w:numId w:val="322"/>
        </w:numPr>
        <w:tabs>
          <w:tab w:val="left" w:pos="875"/>
        </w:tabs>
        <w:spacing w:before="36" w:line="283" w:lineRule="auto"/>
        <w:ind w:right="162"/>
      </w:pPr>
      <w:bookmarkStart w:id="25" w:name="Page_20"/>
      <w:bookmarkEnd w:id="25"/>
      <w:r>
        <w:rPr>
          <w:color w:val="231F20"/>
        </w:rPr>
        <w:lastRenderedPageBreak/>
        <w:t>Members</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SPT</w:t>
      </w:r>
      <w:r>
        <w:rPr>
          <w:color w:val="231F20"/>
          <w:spacing w:val="-27"/>
        </w:rPr>
        <w:t xml:space="preserve"> </w:t>
      </w:r>
      <w:r>
        <w:rPr>
          <w:color w:val="231F20"/>
        </w:rPr>
        <w:t>&amp;</w:t>
      </w:r>
      <w:r>
        <w:rPr>
          <w:color w:val="231F20"/>
          <w:spacing w:val="-27"/>
        </w:rPr>
        <w:t xml:space="preserve"> </w:t>
      </w:r>
      <w:r>
        <w:rPr>
          <w:color w:val="231F20"/>
        </w:rPr>
        <w:t>TWGs</w:t>
      </w:r>
      <w:r>
        <w:rPr>
          <w:color w:val="231F20"/>
          <w:spacing w:val="-22"/>
        </w:rPr>
        <w:t xml:space="preserve"> </w:t>
      </w:r>
      <w:r>
        <w:rPr>
          <w:color w:val="231F20"/>
        </w:rPr>
        <w:t>were</w:t>
      </w:r>
      <w:r>
        <w:rPr>
          <w:color w:val="231F20"/>
          <w:spacing w:val="-23"/>
        </w:rPr>
        <w:t xml:space="preserve"> </w:t>
      </w:r>
      <w:r>
        <w:rPr>
          <w:color w:val="231F20"/>
        </w:rPr>
        <w:t>trained</w:t>
      </w:r>
      <w:r>
        <w:rPr>
          <w:color w:val="231F20"/>
          <w:spacing w:val="-22"/>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NSHDP</w:t>
      </w:r>
      <w:r>
        <w:rPr>
          <w:color w:val="231F20"/>
          <w:spacing w:val="-26"/>
        </w:rPr>
        <w:t xml:space="preserve"> </w:t>
      </w:r>
      <w:r>
        <w:rPr>
          <w:color w:val="231F20"/>
        </w:rPr>
        <w:t>Framework</w:t>
      </w:r>
      <w:r>
        <w:rPr>
          <w:color w:val="231F20"/>
          <w:spacing w:val="-23"/>
        </w:rPr>
        <w:t xml:space="preserve"> </w:t>
      </w:r>
      <w:r>
        <w:rPr>
          <w:color w:val="231F20"/>
        </w:rPr>
        <w:t>and</w:t>
      </w:r>
      <w:r>
        <w:rPr>
          <w:color w:val="231F20"/>
          <w:spacing w:val="-23"/>
        </w:rPr>
        <w:t xml:space="preserve"> </w:t>
      </w:r>
      <w:r>
        <w:rPr>
          <w:color w:val="231F20"/>
        </w:rPr>
        <w:t>planning</w:t>
      </w:r>
      <w:r>
        <w:rPr>
          <w:color w:val="231F20"/>
          <w:spacing w:val="-22"/>
        </w:rPr>
        <w:t xml:space="preserve"> </w:t>
      </w:r>
      <w:r>
        <w:rPr>
          <w:color w:val="231F20"/>
          <w:spacing w:val="-3"/>
        </w:rPr>
        <w:t xml:space="preserve">process </w:t>
      </w:r>
      <w:r>
        <w:rPr>
          <w:color w:val="231F20"/>
        </w:rPr>
        <w:t>at</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level;</w:t>
      </w:r>
    </w:p>
    <w:p w14:paraId="56579C6B" w14:textId="77777777" w:rsidR="009948F1" w:rsidRDefault="00BC0563">
      <w:pPr>
        <w:pStyle w:val="ListParagraph"/>
        <w:numPr>
          <w:ilvl w:val="0"/>
          <w:numId w:val="322"/>
        </w:numPr>
        <w:tabs>
          <w:tab w:val="left" w:pos="875"/>
        </w:tabs>
        <w:spacing w:line="278" w:lineRule="auto"/>
        <w:ind w:right="162"/>
      </w:pPr>
      <w:r>
        <w:rPr>
          <w:color w:val="231F20"/>
        </w:rPr>
        <w:t xml:space="preserve">Using the NSHDP Framework, State policies, national and international documents </w:t>
      </w:r>
      <w:r>
        <w:rPr>
          <w:color w:val="231F20"/>
          <w:spacing w:val="-5"/>
        </w:rPr>
        <w:t xml:space="preserve">and </w:t>
      </w:r>
      <w:r>
        <w:rPr>
          <w:color w:val="231F20"/>
        </w:rPr>
        <w:t>declarations,</w:t>
      </w:r>
      <w:r>
        <w:rPr>
          <w:color w:val="231F20"/>
          <w:spacing w:val="-25"/>
        </w:rPr>
        <w:t xml:space="preserve"> </w:t>
      </w:r>
      <w:r>
        <w:rPr>
          <w:color w:val="231F20"/>
        </w:rPr>
        <w:t>the</w:t>
      </w:r>
      <w:r>
        <w:rPr>
          <w:color w:val="231F20"/>
          <w:spacing w:val="-26"/>
        </w:rPr>
        <w:t xml:space="preserve"> </w:t>
      </w:r>
      <w:r>
        <w:rPr>
          <w:color w:val="231F20"/>
        </w:rPr>
        <w:t>SPT</w:t>
      </w:r>
      <w:r>
        <w:rPr>
          <w:color w:val="231F20"/>
          <w:spacing w:val="-29"/>
        </w:rPr>
        <w:t xml:space="preserve"> </w:t>
      </w:r>
      <w:r>
        <w:rPr>
          <w:color w:val="231F20"/>
        </w:rPr>
        <w:t>developed</w:t>
      </w:r>
      <w:r>
        <w:rPr>
          <w:color w:val="231F20"/>
          <w:spacing w:val="-25"/>
        </w:rPr>
        <w:t xml:space="preserve"> </w:t>
      </w:r>
      <w:r>
        <w:rPr>
          <w:color w:val="231F20"/>
        </w:rPr>
        <w:t>the</w:t>
      </w:r>
      <w:r>
        <w:rPr>
          <w:color w:val="231F20"/>
          <w:spacing w:val="-25"/>
        </w:rPr>
        <w:t xml:space="preserve"> </w:t>
      </w:r>
      <w:r>
        <w:rPr>
          <w:color w:val="231F20"/>
        </w:rPr>
        <w:t>costed</w:t>
      </w:r>
      <w:r>
        <w:rPr>
          <w:color w:val="231F20"/>
          <w:spacing w:val="-25"/>
        </w:rPr>
        <w:t xml:space="preserve"> </w:t>
      </w:r>
      <w:r>
        <w:rPr>
          <w:color w:val="231F20"/>
        </w:rPr>
        <w:t>draft</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second</w:t>
      </w:r>
      <w:r>
        <w:rPr>
          <w:color w:val="231F20"/>
          <w:spacing w:val="-25"/>
        </w:rPr>
        <w:t xml:space="preserve"> </w:t>
      </w:r>
      <w:r>
        <w:rPr>
          <w:color w:val="231F20"/>
        </w:rPr>
        <w:t>SSHDP;</w:t>
      </w:r>
    </w:p>
    <w:p w14:paraId="7A1899DF" w14:textId="77777777" w:rsidR="009948F1" w:rsidRDefault="00BC0563">
      <w:pPr>
        <w:pStyle w:val="ListParagraph"/>
        <w:numPr>
          <w:ilvl w:val="0"/>
          <w:numId w:val="322"/>
        </w:numPr>
        <w:tabs>
          <w:tab w:val="left" w:pos="875"/>
        </w:tabs>
        <w:ind w:hanging="361"/>
      </w:pPr>
      <w:r>
        <w:rPr>
          <w:color w:val="231F20"/>
        </w:rPr>
        <w:t>The</w:t>
      </w:r>
      <w:r>
        <w:rPr>
          <w:color w:val="231F20"/>
          <w:spacing w:val="-25"/>
        </w:rPr>
        <w:t xml:space="preserve"> </w:t>
      </w:r>
      <w:r>
        <w:rPr>
          <w:color w:val="231F20"/>
        </w:rPr>
        <w:t>draft</w:t>
      </w:r>
      <w:r>
        <w:rPr>
          <w:color w:val="231F20"/>
          <w:spacing w:val="-25"/>
        </w:rPr>
        <w:t xml:space="preserve"> </w:t>
      </w:r>
      <w:r>
        <w:rPr>
          <w:color w:val="231F20"/>
        </w:rPr>
        <w:t>plan</w:t>
      </w:r>
      <w:r>
        <w:rPr>
          <w:color w:val="231F20"/>
          <w:spacing w:val="-25"/>
        </w:rPr>
        <w:t xml:space="preserve"> </w:t>
      </w:r>
      <w:r>
        <w:rPr>
          <w:color w:val="231F20"/>
        </w:rPr>
        <w:t>was</w:t>
      </w:r>
      <w:r>
        <w:rPr>
          <w:color w:val="231F20"/>
          <w:spacing w:val="-25"/>
        </w:rPr>
        <w:t xml:space="preserve"> </w:t>
      </w:r>
      <w:r>
        <w:rPr>
          <w:color w:val="231F20"/>
        </w:rPr>
        <w:t>reviewed</w:t>
      </w:r>
      <w:r>
        <w:rPr>
          <w:color w:val="231F20"/>
          <w:spacing w:val="-26"/>
        </w:rPr>
        <w:t xml:space="preserve"> </w:t>
      </w:r>
      <w:r>
        <w:rPr>
          <w:color w:val="231F20"/>
        </w:rPr>
        <w:t>by</w:t>
      </w:r>
      <w:r>
        <w:rPr>
          <w:color w:val="231F20"/>
          <w:spacing w:val="-25"/>
        </w:rPr>
        <w:t xml:space="preserve"> </w:t>
      </w:r>
      <w:r>
        <w:rPr>
          <w:color w:val="231F20"/>
        </w:rPr>
        <w:t>the</w:t>
      </w:r>
      <w:r>
        <w:rPr>
          <w:color w:val="231F20"/>
          <w:spacing w:val="-29"/>
        </w:rPr>
        <w:t xml:space="preserve"> </w:t>
      </w:r>
      <w:r>
        <w:rPr>
          <w:color w:val="231F20"/>
        </w:rPr>
        <w:t>TWG;</w:t>
      </w:r>
    </w:p>
    <w:p w14:paraId="1CD3FA86" w14:textId="77777777" w:rsidR="009948F1" w:rsidRDefault="00BC0563">
      <w:pPr>
        <w:pStyle w:val="ListParagraph"/>
        <w:numPr>
          <w:ilvl w:val="0"/>
          <w:numId w:val="322"/>
        </w:numPr>
        <w:tabs>
          <w:tab w:val="left" w:pos="875"/>
        </w:tabs>
        <w:spacing w:before="38" w:line="278" w:lineRule="auto"/>
        <w:ind w:right="162"/>
      </w:pPr>
      <w:r>
        <w:rPr>
          <w:color w:val="231F20"/>
        </w:rPr>
        <w:t>The</w:t>
      </w:r>
      <w:r>
        <w:rPr>
          <w:color w:val="231F20"/>
          <w:spacing w:val="-4"/>
        </w:rPr>
        <w:t xml:space="preserve"> </w:t>
      </w:r>
      <w:r>
        <w:rPr>
          <w:color w:val="231F20"/>
        </w:rPr>
        <w:t>final</w:t>
      </w:r>
      <w:r>
        <w:rPr>
          <w:color w:val="231F20"/>
          <w:spacing w:val="-5"/>
        </w:rPr>
        <w:t xml:space="preserve"> </w:t>
      </w:r>
      <w:r>
        <w:rPr>
          <w:color w:val="231F20"/>
        </w:rPr>
        <w:t>draft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plan</w:t>
      </w:r>
      <w:r>
        <w:rPr>
          <w:color w:val="231F20"/>
          <w:spacing w:val="-4"/>
        </w:rPr>
        <w:t xml:space="preserve"> </w:t>
      </w:r>
      <w:r>
        <w:rPr>
          <w:color w:val="231F20"/>
        </w:rPr>
        <w:t>was</w:t>
      </w:r>
      <w:r>
        <w:rPr>
          <w:color w:val="231F20"/>
          <w:spacing w:val="-4"/>
        </w:rPr>
        <w:t xml:space="preserve"> </w:t>
      </w:r>
      <w:r>
        <w:rPr>
          <w:color w:val="231F20"/>
        </w:rPr>
        <w:t>validated,</w:t>
      </w:r>
      <w:r>
        <w:rPr>
          <w:color w:val="231F20"/>
          <w:spacing w:val="-4"/>
        </w:rPr>
        <w:t xml:space="preserve"> </w:t>
      </w:r>
      <w:r>
        <w:rPr>
          <w:color w:val="231F20"/>
        </w:rPr>
        <w:t>produced</w:t>
      </w:r>
      <w:r>
        <w:rPr>
          <w:color w:val="231F20"/>
          <w:spacing w:val="-4"/>
        </w:rPr>
        <w:t xml:space="preserve"> </w:t>
      </w:r>
      <w:r>
        <w:rPr>
          <w:color w:val="231F20"/>
        </w:rPr>
        <w:t>and</w:t>
      </w:r>
      <w:r>
        <w:rPr>
          <w:color w:val="231F20"/>
          <w:spacing w:val="-4"/>
        </w:rPr>
        <w:t xml:space="preserve"> </w:t>
      </w:r>
      <w:r>
        <w:rPr>
          <w:color w:val="231F20"/>
        </w:rPr>
        <w:t>disseminated</w:t>
      </w:r>
      <w:r>
        <w:rPr>
          <w:color w:val="231F20"/>
          <w:spacing w:val="-4"/>
        </w:rPr>
        <w:t xml:space="preserve"> </w:t>
      </w:r>
      <w:r>
        <w:rPr>
          <w:color w:val="231F20"/>
        </w:rPr>
        <w:t>to</w:t>
      </w:r>
      <w:r>
        <w:rPr>
          <w:color w:val="231F20"/>
          <w:spacing w:val="-4"/>
        </w:rPr>
        <w:t xml:space="preserve"> </w:t>
      </w:r>
      <w:r>
        <w:rPr>
          <w:color w:val="231F20"/>
        </w:rPr>
        <w:t>all</w:t>
      </w:r>
      <w:r>
        <w:rPr>
          <w:color w:val="231F20"/>
          <w:spacing w:val="-4"/>
        </w:rPr>
        <w:t xml:space="preserve"> </w:t>
      </w:r>
      <w:r>
        <w:rPr>
          <w:color w:val="231F20"/>
        </w:rPr>
        <w:t>stakeholders</w:t>
      </w:r>
      <w:r>
        <w:rPr>
          <w:color w:val="231F20"/>
          <w:spacing w:val="-4"/>
        </w:rPr>
        <w:t xml:space="preserve"> </w:t>
      </w:r>
      <w:r>
        <w:rPr>
          <w:color w:val="231F20"/>
          <w:spacing w:val="-7"/>
        </w:rPr>
        <w:t xml:space="preserve">in </w:t>
      </w:r>
      <w:r>
        <w:rPr>
          <w:color w:val="231F20"/>
        </w:rPr>
        <w:t>the</w:t>
      </w:r>
      <w:r>
        <w:rPr>
          <w:color w:val="231F20"/>
          <w:spacing w:val="-25"/>
        </w:rPr>
        <w:t xml:space="preserve"> </w:t>
      </w:r>
      <w:r>
        <w:rPr>
          <w:color w:val="231F20"/>
        </w:rPr>
        <w:t>State.</w:t>
      </w:r>
    </w:p>
    <w:p w14:paraId="0B3E998F" w14:textId="77777777" w:rsidR="009948F1" w:rsidRDefault="00BC0563">
      <w:pPr>
        <w:pStyle w:val="Heading7"/>
        <w:numPr>
          <w:ilvl w:val="1"/>
          <w:numId w:val="326"/>
        </w:numPr>
        <w:tabs>
          <w:tab w:val="left" w:pos="875"/>
        </w:tabs>
        <w:spacing w:before="101"/>
        <w:ind w:left="874" w:hanging="721"/>
        <w:jc w:val="both"/>
      </w:pPr>
      <w:bookmarkStart w:id="26" w:name="_TOC_250033"/>
      <w:r>
        <w:rPr>
          <w:color w:val="231F20"/>
        </w:rPr>
        <w:t>Structure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National</w:t>
      </w:r>
      <w:r>
        <w:rPr>
          <w:color w:val="231F20"/>
          <w:spacing w:val="-25"/>
        </w:rPr>
        <w:t xml:space="preserve"> </w:t>
      </w:r>
      <w:r>
        <w:rPr>
          <w:color w:val="231F20"/>
        </w:rPr>
        <w:t>and</w:t>
      </w:r>
      <w:r>
        <w:rPr>
          <w:color w:val="231F20"/>
          <w:spacing w:val="-25"/>
        </w:rPr>
        <w:t xml:space="preserve"> </w:t>
      </w:r>
      <w:r>
        <w:rPr>
          <w:color w:val="231F20"/>
        </w:rPr>
        <w:t>SSHDP</w:t>
      </w:r>
      <w:r>
        <w:rPr>
          <w:color w:val="231F20"/>
          <w:spacing w:val="-29"/>
        </w:rPr>
        <w:t xml:space="preserve"> </w:t>
      </w:r>
      <w:bookmarkEnd w:id="26"/>
      <w:r>
        <w:rPr>
          <w:color w:val="231F20"/>
        </w:rPr>
        <w:t>II</w:t>
      </w:r>
    </w:p>
    <w:p w14:paraId="7B95C33C" w14:textId="77777777" w:rsidR="009948F1" w:rsidRDefault="00BC0563">
      <w:pPr>
        <w:pStyle w:val="BodyText"/>
        <w:spacing w:before="141" w:line="278" w:lineRule="auto"/>
        <w:ind w:left="154" w:right="162"/>
        <w:jc w:val="both"/>
      </w:pPr>
      <w:r>
        <w:rPr>
          <w:color w:val="231F20"/>
        </w:rPr>
        <w:t>This</w:t>
      </w:r>
      <w:r>
        <w:rPr>
          <w:color w:val="231F20"/>
          <w:spacing w:val="-20"/>
        </w:rPr>
        <w:t xml:space="preserve"> </w:t>
      </w:r>
      <w:r>
        <w:rPr>
          <w:color w:val="231F20"/>
        </w:rPr>
        <w:t>NSHDP</w:t>
      </w:r>
      <w:r>
        <w:rPr>
          <w:color w:val="231F20"/>
          <w:spacing w:val="-24"/>
        </w:rPr>
        <w:t xml:space="preserve"> </w:t>
      </w:r>
      <w:r>
        <w:rPr>
          <w:color w:val="231F20"/>
        </w:rPr>
        <w:t>II,</w:t>
      </w:r>
      <w:r>
        <w:rPr>
          <w:color w:val="231F20"/>
          <w:spacing w:val="-20"/>
        </w:rPr>
        <w:t xml:space="preserve"> </w:t>
      </w:r>
      <w:r>
        <w:rPr>
          <w:color w:val="231F20"/>
        </w:rPr>
        <w:t>(2018-2022)</w:t>
      </w:r>
      <w:r>
        <w:rPr>
          <w:color w:val="231F20"/>
          <w:spacing w:val="-20"/>
        </w:rPr>
        <w:t xml:space="preserve"> </w:t>
      </w:r>
      <w:r>
        <w:rPr>
          <w:color w:val="231F20"/>
        </w:rPr>
        <w:t>is</w:t>
      </w:r>
      <w:r>
        <w:rPr>
          <w:color w:val="231F20"/>
          <w:spacing w:val="-20"/>
        </w:rPr>
        <w:t xml:space="preserve"> </w:t>
      </w:r>
      <w:r>
        <w:rPr>
          <w:color w:val="231F20"/>
        </w:rPr>
        <w:t>divided</w:t>
      </w:r>
      <w:r>
        <w:rPr>
          <w:color w:val="231F20"/>
          <w:spacing w:val="-20"/>
        </w:rPr>
        <w:t xml:space="preserve"> </w:t>
      </w:r>
      <w:r>
        <w:rPr>
          <w:color w:val="231F20"/>
        </w:rPr>
        <w:t>into</w:t>
      </w:r>
      <w:r>
        <w:rPr>
          <w:color w:val="231F20"/>
          <w:spacing w:val="-20"/>
        </w:rPr>
        <w:t xml:space="preserve"> </w:t>
      </w:r>
      <w:r>
        <w:rPr>
          <w:color w:val="231F20"/>
        </w:rPr>
        <w:t>10</w:t>
      </w:r>
      <w:r>
        <w:rPr>
          <w:color w:val="231F20"/>
          <w:spacing w:val="-20"/>
        </w:rPr>
        <w:t xml:space="preserve"> </w:t>
      </w:r>
      <w:r>
        <w:rPr>
          <w:color w:val="231F20"/>
        </w:rPr>
        <w:t>chapters.</w:t>
      </w:r>
      <w:r>
        <w:rPr>
          <w:color w:val="231F20"/>
          <w:spacing w:val="-20"/>
        </w:rPr>
        <w:t xml:space="preserve"> </w:t>
      </w:r>
      <w:r>
        <w:rPr>
          <w:color w:val="231F20"/>
        </w:rPr>
        <w:t>Chapter</w:t>
      </w:r>
      <w:r>
        <w:rPr>
          <w:color w:val="231F20"/>
          <w:spacing w:val="-20"/>
        </w:rPr>
        <w:t xml:space="preserve"> </w:t>
      </w:r>
      <w:r>
        <w:rPr>
          <w:color w:val="231F20"/>
        </w:rPr>
        <w:t>One</w:t>
      </w:r>
      <w:r>
        <w:rPr>
          <w:color w:val="231F20"/>
          <w:spacing w:val="-20"/>
        </w:rPr>
        <w:t xml:space="preserve"> </w:t>
      </w:r>
      <w:r>
        <w:rPr>
          <w:color w:val="231F20"/>
        </w:rPr>
        <w:t>describes</w:t>
      </w:r>
      <w:r>
        <w:rPr>
          <w:color w:val="231F20"/>
          <w:spacing w:val="-20"/>
        </w:rPr>
        <w:t xml:space="preserve"> </w:t>
      </w:r>
      <w:r>
        <w:rPr>
          <w:color w:val="231F20"/>
        </w:rPr>
        <w:t>the</w:t>
      </w:r>
      <w:r>
        <w:rPr>
          <w:color w:val="231F20"/>
          <w:spacing w:val="-20"/>
        </w:rPr>
        <w:t xml:space="preserve"> </w:t>
      </w:r>
      <w:r>
        <w:rPr>
          <w:color w:val="231F20"/>
        </w:rPr>
        <w:t>purpose</w:t>
      </w:r>
      <w:r>
        <w:rPr>
          <w:color w:val="231F20"/>
          <w:spacing w:val="-20"/>
        </w:rPr>
        <w:t xml:space="preserve"> </w:t>
      </w:r>
      <w:r>
        <w:rPr>
          <w:color w:val="231F20"/>
        </w:rPr>
        <w:t>and</w:t>
      </w:r>
      <w:r>
        <w:rPr>
          <w:color w:val="231F20"/>
          <w:spacing w:val="-20"/>
        </w:rPr>
        <w:t xml:space="preserve"> </w:t>
      </w:r>
      <w:r>
        <w:rPr>
          <w:color w:val="231F20"/>
          <w:spacing w:val="-6"/>
        </w:rPr>
        <w:t xml:space="preserve">as </w:t>
      </w:r>
      <w:r>
        <w:rPr>
          <w:color w:val="231F20"/>
        </w:rPr>
        <w:t>well as national and the state contexts of development of the NSHDP II. The health sector policy environment,</w:t>
      </w:r>
      <w:r>
        <w:rPr>
          <w:color w:val="231F20"/>
          <w:spacing w:val="-9"/>
        </w:rPr>
        <w:t xml:space="preserve"> </w:t>
      </w:r>
      <w:r>
        <w:rPr>
          <w:color w:val="231F20"/>
        </w:rPr>
        <w:t>methodology</w:t>
      </w:r>
      <w:r>
        <w:rPr>
          <w:color w:val="231F20"/>
          <w:spacing w:val="-8"/>
        </w:rPr>
        <w:t xml:space="preserve"> </w:t>
      </w:r>
      <w:r>
        <w:rPr>
          <w:color w:val="231F20"/>
        </w:rPr>
        <w:t>and</w:t>
      </w:r>
      <w:r>
        <w:rPr>
          <w:color w:val="231F20"/>
          <w:spacing w:val="-9"/>
        </w:rPr>
        <w:t xml:space="preserve"> </w:t>
      </w:r>
      <w:r>
        <w:rPr>
          <w:color w:val="231F20"/>
        </w:rPr>
        <w:t>structure</w:t>
      </w:r>
      <w:r>
        <w:rPr>
          <w:color w:val="231F20"/>
          <w:spacing w:val="-9"/>
        </w:rPr>
        <w:t xml:space="preserve"> </w:t>
      </w:r>
      <w:r>
        <w:rPr>
          <w:color w:val="231F20"/>
        </w:rPr>
        <w:t>are</w:t>
      </w:r>
      <w:r>
        <w:rPr>
          <w:color w:val="231F20"/>
          <w:spacing w:val="-9"/>
        </w:rPr>
        <w:t xml:space="preserve"> </w:t>
      </w:r>
      <w:r>
        <w:rPr>
          <w:color w:val="231F20"/>
        </w:rPr>
        <w:t>enumerated.</w:t>
      </w:r>
      <w:r>
        <w:rPr>
          <w:color w:val="231F20"/>
          <w:spacing w:val="-9"/>
        </w:rPr>
        <w:t xml:space="preserve"> </w:t>
      </w:r>
      <w:r>
        <w:rPr>
          <w:color w:val="231F20"/>
        </w:rPr>
        <w:t>Chapter</w:t>
      </w:r>
      <w:r>
        <w:rPr>
          <w:color w:val="231F20"/>
          <w:spacing w:val="-13"/>
        </w:rPr>
        <w:t xml:space="preserve"> </w:t>
      </w:r>
      <w:r>
        <w:rPr>
          <w:color w:val="231F20"/>
          <w:spacing w:val="-5"/>
        </w:rPr>
        <w:t>Two</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situation</w:t>
      </w:r>
      <w:r>
        <w:rPr>
          <w:color w:val="231F20"/>
          <w:spacing w:val="-9"/>
        </w:rPr>
        <w:t xml:space="preserve"> </w:t>
      </w:r>
      <w:r>
        <w:rPr>
          <w:color w:val="231F20"/>
        </w:rPr>
        <w:t>analysis.</w:t>
      </w:r>
      <w:r>
        <w:rPr>
          <w:color w:val="231F20"/>
          <w:spacing w:val="-9"/>
        </w:rPr>
        <w:t xml:space="preserve"> </w:t>
      </w:r>
      <w:r>
        <w:rPr>
          <w:color w:val="231F20"/>
        </w:rPr>
        <w:t>It provides the current health status of the State with the key issues and challenges and the Implementation</w:t>
      </w:r>
      <w:r>
        <w:rPr>
          <w:color w:val="231F20"/>
          <w:spacing w:val="-25"/>
        </w:rPr>
        <w:t xml:space="preserve"> </w:t>
      </w:r>
      <w:r>
        <w:rPr>
          <w:color w:val="231F20"/>
        </w:rPr>
        <w:t>Status</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SSHDP</w:t>
      </w:r>
      <w:r>
        <w:rPr>
          <w:color w:val="231F20"/>
          <w:spacing w:val="-29"/>
        </w:rPr>
        <w:t xml:space="preserve"> </w:t>
      </w:r>
      <w:r>
        <w:rPr>
          <w:color w:val="231F20"/>
        </w:rPr>
        <w:t>I</w:t>
      </w:r>
      <w:r>
        <w:rPr>
          <w:color w:val="231F20"/>
          <w:spacing w:val="-25"/>
        </w:rPr>
        <w:t xml:space="preserve"> </w:t>
      </w:r>
      <w:r>
        <w:rPr>
          <w:color w:val="231F20"/>
        </w:rPr>
        <w:t>and</w:t>
      </w:r>
      <w:r>
        <w:rPr>
          <w:color w:val="231F20"/>
          <w:spacing w:val="-25"/>
        </w:rPr>
        <w:t xml:space="preserve"> </w:t>
      </w:r>
      <w:r>
        <w:rPr>
          <w:color w:val="231F20"/>
        </w:rPr>
        <w:t>the</w:t>
      </w:r>
      <w:r w:rsidR="007B27E5">
        <w:rPr>
          <w:color w:val="231F20"/>
        </w:rPr>
        <w:t xml:space="preserve"> </w:t>
      </w:r>
      <w:proofErr w:type="gramStart"/>
      <w:r>
        <w:rPr>
          <w:color w:val="231F20"/>
        </w:rPr>
        <w:t>future</w:t>
      </w:r>
      <w:r>
        <w:rPr>
          <w:color w:val="231F20"/>
          <w:spacing w:val="-25"/>
        </w:rPr>
        <w:t xml:space="preserve"> </w:t>
      </w:r>
      <w:r>
        <w:rPr>
          <w:color w:val="231F20"/>
        </w:rPr>
        <w:t>prospects</w:t>
      </w:r>
      <w:proofErr w:type="gramEnd"/>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present</w:t>
      </w:r>
      <w:r>
        <w:rPr>
          <w:color w:val="231F20"/>
          <w:spacing w:val="-25"/>
        </w:rPr>
        <w:t xml:space="preserve"> </w:t>
      </w:r>
      <w:r>
        <w:rPr>
          <w:color w:val="231F20"/>
        </w:rPr>
        <w:t>SSHDP</w:t>
      </w:r>
      <w:r>
        <w:rPr>
          <w:color w:val="231F20"/>
          <w:spacing w:val="-29"/>
        </w:rPr>
        <w:t xml:space="preserve"> </w:t>
      </w:r>
      <w:r>
        <w:rPr>
          <w:color w:val="231F20"/>
        </w:rPr>
        <w:t>II.</w:t>
      </w:r>
    </w:p>
    <w:p w14:paraId="3B6FCF28" w14:textId="77777777" w:rsidR="009948F1" w:rsidRDefault="009948F1">
      <w:pPr>
        <w:pStyle w:val="BodyText"/>
        <w:spacing w:before="8"/>
        <w:rPr>
          <w:sz w:val="25"/>
        </w:rPr>
      </w:pPr>
    </w:p>
    <w:p w14:paraId="4B6AFCD5" w14:textId="77777777" w:rsidR="009948F1" w:rsidRDefault="00BC0563">
      <w:pPr>
        <w:pStyle w:val="BodyText"/>
        <w:spacing w:line="278" w:lineRule="auto"/>
        <w:ind w:left="154" w:right="162"/>
        <w:jc w:val="both"/>
      </w:pPr>
      <w:r>
        <w:rPr>
          <w:color w:val="231F20"/>
        </w:rPr>
        <w:t>Chapters</w:t>
      </w:r>
      <w:r>
        <w:rPr>
          <w:color w:val="231F20"/>
          <w:spacing w:val="-17"/>
        </w:rPr>
        <w:t xml:space="preserve"> </w:t>
      </w:r>
      <w:r>
        <w:rPr>
          <w:color w:val="231F20"/>
        </w:rPr>
        <w:t>Three</w:t>
      </w:r>
      <w:r>
        <w:rPr>
          <w:color w:val="231F20"/>
          <w:spacing w:val="-12"/>
        </w:rPr>
        <w:t xml:space="preserve"> </w:t>
      </w:r>
      <w:r>
        <w:rPr>
          <w:color w:val="231F20"/>
        </w:rPr>
        <w:t>to</w:t>
      </w:r>
      <w:r>
        <w:rPr>
          <w:color w:val="231F20"/>
          <w:spacing w:val="-12"/>
        </w:rPr>
        <w:t xml:space="preserve"> </w:t>
      </w:r>
      <w:r>
        <w:rPr>
          <w:color w:val="231F20"/>
        </w:rPr>
        <w:t>Seven</w:t>
      </w:r>
      <w:r>
        <w:rPr>
          <w:color w:val="231F20"/>
          <w:spacing w:val="-12"/>
        </w:rPr>
        <w:t xml:space="preserve"> </w:t>
      </w:r>
      <w:r>
        <w:rPr>
          <w:color w:val="231F20"/>
        </w:rPr>
        <w:t>highlights</w:t>
      </w:r>
      <w:r>
        <w:rPr>
          <w:color w:val="231F20"/>
          <w:spacing w:val="-12"/>
        </w:rPr>
        <w:t xml:space="preserve"> </w:t>
      </w:r>
      <w:r>
        <w:rPr>
          <w:color w:val="231F20"/>
        </w:rPr>
        <w:t>the</w:t>
      </w:r>
      <w:r>
        <w:rPr>
          <w:color w:val="231F20"/>
          <w:spacing w:val="-12"/>
        </w:rPr>
        <w:t xml:space="preserve"> </w:t>
      </w:r>
      <w:r>
        <w:rPr>
          <w:color w:val="231F20"/>
        </w:rPr>
        <w:t>5</w:t>
      </w:r>
      <w:r>
        <w:rPr>
          <w:color w:val="231F20"/>
          <w:spacing w:val="-12"/>
        </w:rPr>
        <w:t xml:space="preserve"> </w:t>
      </w:r>
      <w:r>
        <w:rPr>
          <w:color w:val="231F20"/>
        </w:rPr>
        <w:t>Strategic</w:t>
      </w:r>
      <w:r>
        <w:rPr>
          <w:color w:val="231F20"/>
          <w:spacing w:val="-12"/>
        </w:rPr>
        <w:t xml:space="preserve"> </w:t>
      </w:r>
      <w:r>
        <w:rPr>
          <w:color w:val="231F20"/>
        </w:rPr>
        <w:t>Pillars</w:t>
      </w:r>
      <w:r>
        <w:rPr>
          <w:color w:val="231F20"/>
          <w:spacing w:val="-12"/>
        </w:rPr>
        <w:t xml:space="preserve"> </w:t>
      </w:r>
      <w:r>
        <w:rPr>
          <w:color w:val="231F20"/>
        </w:rPr>
        <w:t>and</w:t>
      </w:r>
      <w:r>
        <w:rPr>
          <w:color w:val="231F20"/>
          <w:spacing w:val="-12"/>
        </w:rPr>
        <w:t xml:space="preserve"> </w:t>
      </w:r>
      <w:r>
        <w:rPr>
          <w:color w:val="231F20"/>
        </w:rPr>
        <w:t>its</w:t>
      </w:r>
      <w:r>
        <w:rPr>
          <w:color w:val="231F20"/>
          <w:spacing w:val="-12"/>
        </w:rPr>
        <w:t xml:space="preserve"> </w:t>
      </w:r>
      <w:r>
        <w:rPr>
          <w:color w:val="231F20"/>
        </w:rPr>
        <w:t>15</w:t>
      </w:r>
      <w:r>
        <w:rPr>
          <w:color w:val="231F20"/>
          <w:spacing w:val="-12"/>
        </w:rPr>
        <w:t xml:space="preserve"> </w:t>
      </w:r>
      <w:r>
        <w:rPr>
          <w:color w:val="231F20"/>
        </w:rPr>
        <w:t>Priority</w:t>
      </w:r>
      <w:r>
        <w:rPr>
          <w:color w:val="231F20"/>
          <w:spacing w:val="-24"/>
        </w:rPr>
        <w:t xml:space="preserve"> </w:t>
      </w:r>
      <w:r>
        <w:rPr>
          <w:color w:val="231F20"/>
        </w:rPr>
        <w:t>Areas,</w:t>
      </w:r>
      <w:r>
        <w:rPr>
          <w:color w:val="231F20"/>
          <w:spacing w:val="-12"/>
        </w:rPr>
        <w:t xml:space="preserve"> </w:t>
      </w:r>
      <w:r>
        <w:rPr>
          <w:color w:val="231F20"/>
        </w:rPr>
        <w:t>many</w:t>
      </w:r>
      <w:r>
        <w:rPr>
          <w:color w:val="231F20"/>
          <w:spacing w:val="-12"/>
        </w:rPr>
        <w:t xml:space="preserve"> </w:t>
      </w:r>
      <w:r>
        <w:rPr>
          <w:color w:val="231F20"/>
        </w:rPr>
        <w:t>Strategic Goals,</w:t>
      </w:r>
      <w:r>
        <w:rPr>
          <w:color w:val="231F20"/>
          <w:spacing w:val="-25"/>
        </w:rPr>
        <w:t xml:space="preserve"> </w:t>
      </w:r>
      <w:r>
        <w:rPr>
          <w:color w:val="231F20"/>
        </w:rPr>
        <w:t>Strategic</w:t>
      </w:r>
      <w:r>
        <w:rPr>
          <w:color w:val="231F20"/>
          <w:spacing w:val="-25"/>
        </w:rPr>
        <w:t xml:space="preserve"> </w:t>
      </w:r>
      <w:r>
        <w:rPr>
          <w:color w:val="231F20"/>
        </w:rPr>
        <w:t>Objectives,</w:t>
      </w:r>
      <w:r>
        <w:rPr>
          <w:color w:val="231F20"/>
          <w:spacing w:val="-25"/>
        </w:rPr>
        <w:t xml:space="preserve"> </w:t>
      </w:r>
      <w:r>
        <w:rPr>
          <w:color w:val="231F20"/>
        </w:rPr>
        <w:t>Strategic</w:t>
      </w:r>
      <w:r>
        <w:rPr>
          <w:color w:val="231F20"/>
          <w:spacing w:val="-25"/>
        </w:rPr>
        <w:t xml:space="preserve"> </w:t>
      </w:r>
      <w:r>
        <w:rPr>
          <w:color w:val="231F20"/>
        </w:rPr>
        <w:t>Interventions</w:t>
      </w:r>
      <w:r>
        <w:rPr>
          <w:color w:val="231F20"/>
          <w:spacing w:val="-26"/>
        </w:rPr>
        <w:t xml:space="preserve"> </w:t>
      </w:r>
      <w:r>
        <w:rPr>
          <w:color w:val="231F20"/>
        </w:rPr>
        <w:t>and</w:t>
      </w:r>
      <w:r>
        <w:rPr>
          <w:color w:val="231F20"/>
          <w:spacing w:val="-37"/>
        </w:rPr>
        <w:t xml:space="preserve"> </w:t>
      </w:r>
      <w:r>
        <w:rPr>
          <w:color w:val="231F20"/>
        </w:rPr>
        <w:t>Activities.</w:t>
      </w:r>
    </w:p>
    <w:p w14:paraId="62726645" w14:textId="77777777" w:rsidR="009948F1" w:rsidRDefault="009948F1">
      <w:pPr>
        <w:pStyle w:val="BodyText"/>
        <w:spacing w:before="8"/>
        <w:rPr>
          <w:sz w:val="25"/>
        </w:rPr>
      </w:pPr>
    </w:p>
    <w:p w14:paraId="59CA5EAC" w14:textId="77777777" w:rsidR="009948F1" w:rsidRDefault="00BC0563">
      <w:pPr>
        <w:pStyle w:val="BodyText"/>
        <w:spacing w:line="278" w:lineRule="auto"/>
        <w:ind w:left="153" w:right="162"/>
        <w:jc w:val="both"/>
      </w:pPr>
      <w:r>
        <w:rPr>
          <w:color w:val="231F20"/>
        </w:rPr>
        <w:t>Strategic Pillar 1 is Enabled Environment for Attainment of Sectoral Goal. Within this are Priority Areas:</w:t>
      </w:r>
      <w:r>
        <w:rPr>
          <w:color w:val="231F20"/>
          <w:spacing w:val="-21"/>
        </w:rPr>
        <w:t xml:space="preserve"> </w:t>
      </w:r>
      <w:r>
        <w:rPr>
          <w:color w:val="231F20"/>
        </w:rPr>
        <w:t>Priority</w:t>
      </w:r>
      <w:r>
        <w:rPr>
          <w:color w:val="231F20"/>
          <w:spacing w:val="-32"/>
        </w:rPr>
        <w:t xml:space="preserve"> </w:t>
      </w:r>
      <w:r>
        <w:rPr>
          <w:color w:val="231F20"/>
        </w:rPr>
        <w:t>Area</w:t>
      </w:r>
      <w:r>
        <w:rPr>
          <w:color w:val="231F20"/>
          <w:spacing w:val="-20"/>
        </w:rPr>
        <w:t xml:space="preserve"> </w:t>
      </w:r>
      <w:r>
        <w:rPr>
          <w:color w:val="231F20"/>
        </w:rPr>
        <w:t>1</w:t>
      </w:r>
      <w:r>
        <w:rPr>
          <w:color w:val="231F20"/>
          <w:spacing w:val="-20"/>
        </w:rPr>
        <w:t xml:space="preserve"> </w:t>
      </w:r>
      <w:r>
        <w:rPr>
          <w:color w:val="231F20"/>
        </w:rPr>
        <w:t>–</w:t>
      </w:r>
      <w:r>
        <w:rPr>
          <w:color w:val="231F20"/>
          <w:spacing w:val="-20"/>
        </w:rPr>
        <w:t xml:space="preserve"> </w:t>
      </w:r>
      <w:r>
        <w:rPr>
          <w:color w:val="231F20"/>
        </w:rPr>
        <w:t>Leadership</w:t>
      </w:r>
      <w:r>
        <w:rPr>
          <w:color w:val="231F20"/>
          <w:spacing w:val="-20"/>
        </w:rPr>
        <w:t xml:space="preserve"> </w:t>
      </w:r>
      <w:r>
        <w:rPr>
          <w:color w:val="231F20"/>
        </w:rPr>
        <w:t>and</w:t>
      </w:r>
      <w:r>
        <w:rPr>
          <w:color w:val="231F20"/>
          <w:spacing w:val="-20"/>
        </w:rPr>
        <w:t xml:space="preserve"> </w:t>
      </w:r>
      <w:r>
        <w:rPr>
          <w:color w:val="231F20"/>
        </w:rPr>
        <w:t>Governance;</w:t>
      </w:r>
      <w:r>
        <w:rPr>
          <w:color w:val="231F20"/>
          <w:spacing w:val="-20"/>
        </w:rPr>
        <w:t xml:space="preserve"> </w:t>
      </w:r>
      <w:r>
        <w:rPr>
          <w:color w:val="231F20"/>
        </w:rPr>
        <w:t>Priority</w:t>
      </w:r>
      <w:r>
        <w:rPr>
          <w:color w:val="231F20"/>
          <w:spacing w:val="-32"/>
        </w:rPr>
        <w:t xml:space="preserve"> </w:t>
      </w:r>
      <w:r>
        <w:rPr>
          <w:color w:val="231F20"/>
        </w:rPr>
        <w:t>Area</w:t>
      </w:r>
      <w:r>
        <w:rPr>
          <w:color w:val="231F20"/>
          <w:spacing w:val="-20"/>
        </w:rPr>
        <w:t xml:space="preserve"> </w:t>
      </w:r>
      <w:r>
        <w:rPr>
          <w:color w:val="231F20"/>
        </w:rPr>
        <w:t>2</w:t>
      </w:r>
      <w:r>
        <w:rPr>
          <w:color w:val="231F20"/>
          <w:spacing w:val="-21"/>
        </w:rPr>
        <w:t xml:space="preserve"> </w:t>
      </w:r>
      <w:r>
        <w:rPr>
          <w:color w:val="231F20"/>
        </w:rPr>
        <w:t>–</w:t>
      </w:r>
      <w:r>
        <w:rPr>
          <w:color w:val="231F20"/>
          <w:spacing w:val="-20"/>
        </w:rPr>
        <w:t xml:space="preserve"> </w:t>
      </w:r>
      <w:r>
        <w:rPr>
          <w:color w:val="231F20"/>
        </w:rPr>
        <w:t>Community</w:t>
      </w:r>
      <w:r>
        <w:rPr>
          <w:color w:val="231F20"/>
          <w:spacing w:val="-20"/>
        </w:rPr>
        <w:t xml:space="preserve"> </w:t>
      </w:r>
      <w:r>
        <w:rPr>
          <w:color w:val="231F20"/>
        </w:rPr>
        <w:t>Participation</w:t>
      </w:r>
      <w:r>
        <w:rPr>
          <w:color w:val="231F20"/>
          <w:spacing w:val="-20"/>
        </w:rPr>
        <w:t xml:space="preserve"> </w:t>
      </w:r>
      <w:r>
        <w:rPr>
          <w:color w:val="231F20"/>
        </w:rPr>
        <w:t>and Priority</w:t>
      </w:r>
      <w:r>
        <w:rPr>
          <w:color w:val="231F20"/>
          <w:spacing w:val="-37"/>
        </w:rPr>
        <w:t xml:space="preserve"> </w:t>
      </w:r>
      <w:r>
        <w:rPr>
          <w:color w:val="231F20"/>
        </w:rPr>
        <w:t>Area</w:t>
      </w:r>
      <w:r>
        <w:rPr>
          <w:color w:val="231F20"/>
          <w:spacing w:val="-25"/>
        </w:rPr>
        <w:t xml:space="preserve"> </w:t>
      </w:r>
      <w:r>
        <w:rPr>
          <w:color w:val="231F20"/>
        </w:rPr>
        <w:t>3</w:t>
      </w:r>
      <w:r>
        <w:rPr>
          <w:color w:val="231F20"/>
          <w:spacing w:val="-25"/>
        </w:rPr>
        <w:t xml:space="preserve"> </w:t>
      </w:r>
      <w:r>
        <w:rPr>
          <w:color w:val="231F20"/>
        </w:rPr>
        <w:t>–</w:t>
      </w:r>
      <w:r>
        <w:rPr>
          <w:color w:val="231F20"/>
          <w:spacing w:val="-26"/>
        </w:rPr>
        <w:t xml:space="preserve"> </w:t>
      </w:r>
      <w:r>
        <w:rPr>
          <w:color w:val="231F20"/>
        </w:rPr>
        <w:t>Partnership</w:t>
      </w:r>
      <w:r>
        <w:rPr>
          <w:color w:val="231F20"/>
          <w:spacing w:val="-25"/>
        </w:rPr>
        <w:t xml:space="preserve"> </w:t>
      </w:r>
      <w:r>
        <w:rPr>
          <w:color w:val="231F20"/>
        </w:rPr>
        <w:t>for</w:t>
      </w:r>
      <w:r>
        <w:rPr>
          <w:color w:val="231F20"/>
          <w:spacing w:val="-25"/>
        </w:rPr>
        <w:t xml:space="preserve"> </w:t>
      </w:r>
      <w:r>
        <w:rPr>
          <w:color w:val="231F20"/>
        </w:rPr>
        <w:t>Health.</w:t>
      </w:r>
    </w:p>
    <w:p w14:paraId="439EE51E" w14:textId="77777777" w:rsidR="009948F1" w:rsidRDefault="009948F1">
      <w:pPr>
        <w:pStyle w:val="BodyText"/>
        <w:spacing w:before="7"/>
        <w:rPr>
          <w:sz w:val="25"/>
        </w:rPr>
      </w:pPr>
    </w:p>
    <w:p w14:paraId="41C89AAC" w14:textId="64A47D99" w:rsidR="009948F1" w:rsidRDefault="00BC0563">
      <w:pPr>
        <w:pStyle w:val="BodyText"/>
        <w:spacing w:before="1" w:line="278" w:lineRule="auto"/>
        <w:ind w:left="153" w:right="162"/>
        <w:jc w:val="both"/>
      </w:pPr>
      <w:r>
        <w:rPr>
          <w:color w:val="231F20"/>
        </w:rPr>
        <w:t>Strategic</w:t>
      </w:r>
      <w:r>
        <w:rPr>
          <w:color w:val="231F20"/>
          <w:spacing w:val="-12"/>
        </w:rPr>
        <w:t xml:space="preserve"> </w:t>
      </w:r>
      <w:r>
        <w:rPr>
          <w:color w:val="231F20"/>
        </w:rPr>
        <w:t>Pillar</w:t>
      </w:r>
      <w:r>
        <w:rPr>
          <w:color w:val="231F20"/>
          <w:spacing w:val="-11"/>
        </w:rPr>
        <w:t xml:space="preserve"> </w:t>
      </w:r>
      <w:r>
        <w:rPr>
          <w:color w:val="231F20"/>
        </w:rPr>
        <w:t>2</w:t>
      </w:r>
      <w:r>
        <w:rPr>
          <w:color w:val="231F20"/>
          <w:spacing w:val="-11"/>
        </w:rPr>
        <w:t xml:space="preserve"> </w:t>
      </w:r>
      <w:r>
        <w:rPr>
          <w:color w:val="231F20"/>
        </w:rPr>
        <w:t>is</w:t>
      </w:r>
      <w:r>
        <w:rPr>
          <w:color w:val="231F20"/>
          <w:spacing w:val="-11"/>
        </w:rPr>
        <w:t xml:space="preserve"> </w:t>
      </w:r>
      <w:r>
        <w:rPr>
          <w:color w:val="231F20"/>
        </w:rPr>
        <w:t>Provision</w:t>
      </w:r>
      <w:r>
        <w:rPr>
          <w:color w:val="231F20"/>
          <w:spacing w:val="-11"/>
        </w:rPr>
        <w:t xml:space="preserve"> </w:t>
      </w:r>
      <w:r>
        <w:rPr>
          <w:color w:val="231F20"/>
        </w:rPr>
        <w:t>of</w:t>
      </w:r>
      <w:r>
        <w:rPr>
          <w:color w:val="231F20"/>
          <w:spacing w:val="-12"/>
        </w:rPr>
        <w:t xml:space="preserve"> </w:t>
      </w:r>
      <w:r>
        <w:rPr>
          <w:color w:val="231F20"/>
        </w:rPr>
        <w:t>Essential</w:t>
      </w:r>
      <w:r>
        <w:rPr>
          <w:color w:val="231F20"/>
          <w:spacing w:val="-11"/>
        </w:rPr>
        <w:t xml:space="preserve"> </w:t>
      </w:r>
      <w:r>
        <w:rPr>
          <w:color w:val="231F20"/>
        </w:rPr>
        <w:t>Package</w:t>
      </w:r>
      <w:r>
        <w:rPr>
          <w:color w:val="231F20"/>
          <w:spacing w:val="-11"/>
        </w:rPr>
        <w:t xml:space="preserve"> </w:t>
      </w:r>
      <w:r>
        <w:rPr>
          <w:color w:val="231F20"/>
        </w:rPr>
        <w:t>of</w:t>
      </w:r>
      <w:r>
        <w:rPr>
          <w:color w:val="231F20"/>
          <w:spacing w:val="-12"/>
        </w:rPr>
        <w:t xml:space="preserve"> </w:t>
      </w:r>
      <w:r>
        <w:rPr>
          <w:color w:val="231F20"/>
        </w:rPr>
        <w:t>Health</w:t>
      </w:r>
      <w:r>
        <w:rPr>
          <w:color w:val="231F20"/>
          <w:spacing w:val="-11"/>
        </w:rPr>
        <w:t xml:space="preserve"> </w:t>
      </w:r>
      <w:r>
        <w:rPr>
          <w:color w:val="231F20"/>
        </w:rPr>
        <w:t>Care</w:t>
      </w:r>
      <w:r>
        <w:rPr>
          <w:color w:val="231F20"/>
          <w:spacing w:val="-11"/>
        </w:rPr>
        <w:t xml:space="preserve"> </w:t>
      </w:r>
      <w:r>
        <w:rPr>
          <w:color w:val="231F20"/>
        </w:rPr>
        <w:t>Services.</w:t>
      </w:r>
      <w:r>
        <w:rPr>
          <w:color w:val="231F20"/>
          <w:spacing w:val="-11"/>
        </w:rPr>
        <w:t xml:space="preserve"> </w:t>
      </w:r>
      <w:r>
        <w:rPr>
          <w:color w:val="231F20"/>
        </w:rPr>
        <w:t>It</w:t>
      </w:r>
      <w:r>
        <w:rPr>
          <w:color w:val="231F20"/>
          <w:spacing w:val="-12"/>
        </w:rPr>
        <w:t xml:space="preserve"> </w:t>
      </w:r>
      <w:r>
        <w:rPr>
          <w:color w:val="231F20"/>
        </w:rPr>
        <w:t>has</w:t>
      </w:r>
      <w:r>
        <w:rPr>
          <w:color w:val="231F20"/>
          <w:spacing w:val="-11"/>
        </w:rPr>
        <w:t xml:space="preserve"> </w:t>
      </w:r>
      <w:r>
        <w:rPr>
          <w:color w:val="231F20"/>
        </w:rPr>
        <w:t>Priority</w:t>
      </w:r>
      <w:r>
        <w:rPr>
          <w:color w:val="231F20"/>
          <w:spacing w:val="-24"/>
        </w:rPr>
        <w:t xml:space="preserve"> </w:t>
      </w:r>
      <w:r>
        <w:rPr>
          <w:color w:val="231F20"/>
        </w:rPr>
        <w:t>Area</w:t>
      </w:r>
      <w:r>
        <w:rPr>
          <w:color w:val="231F20"/>
          <w:spacing w:val="-11"/>
        </w:rPr>
        <w:t xml:space="preserve"> </w:t>
      </w:r>
      <w:r>
        <w:rPr>
          <w:color w:val="231F20"/>
        </w:rPr>
        <w:t>4</w:t>
      </w:r>
      <w:r>
        <w:rPr>
          <w:color w:val="231F20"/>
          <w:spacing w:val="-11"/>
        </w:rPr>
        <w:t xml:space="preserve"> </w:t>
      </w:r>
      <w:r>
        <w:rPr>
          <w:color w:val="231F20"/>
          <w:spacing w:val="-12"/>
        </w:rPr>
        <w:t xml:space="preserve">– </w:t>
      </w:r>
      <w:r>
        <w:rPr>
          <w:color w:val="231F20"/>
        </w:rPr>
        <w:t xml:space="preserve">Reproductive, Maternal, Newborn, </w:t>
      </w:r>
      <w:proofErr w:type="gramStart"/>
      <w:r>
        <w:rPr>
          <w:color w:val="231F20"/>
        </w:rPr>
        <w:t>Child</w:t>
      </w:r>
      <w:proofErr w:type="gramEnd"/>
      <w:r>
        <w:rPr>
          <w:color w:val="231F20"/>
        </w:rPr>
        <w:t xml:space="preserve"> and Adolescent Health Plus Nutrition; Priority Area 5 </w:t>
      </w:r>
      <w:r>
        <w:rPr>
          <w:color w:val="231F20"/>
          <w:spacing w:val="-12"/>
        </w:rPr>
        <w:t xml:space="preserve">– </w:t>
      </w:r>
      <w:r>
        <w:rPr>
          <w:color w:val="231F20"/>
        </w:rPr>
        <w:t xml:space="preserve">communicable Diseases (Malaria, TB, </w:t>
      </w:r>
      <w:r>
        <w:rPr>
          <w:color w:val="231F20"/>
          <w:spacing w:val="-3"/>
        </w:rPr>
        <w:t xml:space="preserve">Leprosy, </w:t>
      </w:r>
      <w:r>
        <w:rPr>
          <w:color w:val="231F20"/>
        </w:rPr>
        <w:t>HIV/AIDS) and Neglected Tropical Diseases; Priority</w:t>
      </w:r>
      <w:r>
        <w:rPr>
          <w:color w:val="231F20"/>
          <w:spacing w:val="-25"/>
        </w:rPr>
        <w:t xml:space="preserve"> </w:t>
      </w:r>
      <w:r>
        <w:rPr>
          <w:color w:val="231F20"/>
        </w:rPr>
        <w:t>Area</w:t>
      </w:r>
      <w:r>
        <w:rPr>
          <w:color w:val="231F20"/>
          <w:spacing w:val="-13"/>
        </w:rPr>
        <w:t xml:space="preserve"> </w:t>
      </w:r>
      <w:r>
        <w:rPr>
          <w:color w:val="231F20"/>
        </w:rPr>
        <w:t>6</w:t>
      </w:r>
      <w:r>
        <w:rPr>
          <w:color w:val="231F20"/>
          <w:spacing w:val="-12"/>
        </w:rPr>
        <w:t xml:space="preserve"> </w:t>
      </w:r>
      <w:r>
        <w:rPr>
          <w:color w:val="231F20"/>
        </w:rPr>
        <w:t>–</w:t>
      </w:r>
      <w:r>
        <w:rPr>
          <w:color w:val="231F20"/>
          <w:spacing w:val="-13"/>
        </w:rPr>
        <w:t xml:space="preserve"> </w:t>
      </w:r>
      <w:r>
        <w:rPr>
          <w:color w:val="231F20"/>
        </w:rPr>
        <w:t>Non</w:t>
      </w:r>
      <w:r w:rsidR="005F489E">
        <w:rPr>
          <w:color w:val="231F20"/>
        </w:rPr>
        <w:t>-</w:t>
      </w:r>
      <w:r>
        <w:rPr>
          <w:color w:val="231F20"/>
        </w:rPr>
        <w:t>communicable</w:t>
      </w:r>
      <w:r>
        <w:rPr>
          <w:color w:val="231F20"/>
          <w:spacing w:val="-12"/>
        </w:rPr>
        <w:t xml:space="preserve"> </w:t>
      </w:r>
      <w:r>
        <w:rPr>
          <w:color w:val="231F20"/>
        </w:rPr>
        <w:t>Diseases,</w:t>
      </w:r>
      <w:r>
        <w:rPr>
          <w:color w:val="231F20"/>
          <w:spacing w:val="-12"/>
        </w:rPr>
        <w:t xml:space="preserve"> </w:t>
      </w:r>
      <w:r>
        <w:rPr>
          <w:color w:val="231F20"/>
        </w:rPr>
        <w:t>Care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spacing w:val="-3"/>
        </w:rPr>
        <w:t>Elderly,</w:t>
      </w:r>
      <w:r>
        <w:rPr>
          <w:color w:val="231F20"/>
          <w:spacing w:val="-13"/>
        </w:rPr>
        <w:t xml:space="preserve"> </w:t>
      </w:r>
      <w:r>
        <w:rPr>
          <w:color w:val="231F20"/>
        </w:rPr>
        <w:t>Mental</w:t>
      </w:r>
      <w:r>
        <w:rPr>
          <w:color w:val="231F20"/>
          <w:spacing w:val="-12"/>
        </w:rPr>
        <w:t xml:space="preserve"> </w:t>
      </w:r>
      <w:r>
        <w:rPr>
          <w:color w:val="231F20"/>
        </w:rPr>
        <w:t>Health,</w:t>
      </w:r>
      <w:r>
        <w:rPr>
          <w:color w:val="231F20"/>
          <w:spacing w:val="-13"/>
        </w:rPr>
        <w:t xml:space="preserve"> </w:t>
      </w:r>
      <w:r>
        <w:rPr>
          <w:color w:val="231F20"/>
        </w:rPr>
        <w:t>Oral</w:t>
      </w:r>
      <w:r>
        <w:rPr>
          <w:color w:val="231F20"/>
          <w:spacing w:val="-12"/>
        </w:rPr>
        <w:t xml:space="preserve"> </w:t>
      </w:r>
      <w:r>
        <w:rPr>
          <w:color w:val="231F20"/>
        </w:rPr>
        <w:t>Health,</w:t>
      </w:r>
      <w:r>
        <w:rPr>
          <w:color w:val="231F20"/>
          <w:spacing w:val="-13"/>
        </w:rPr>
        <w:t xml:space="preserve"> </w:t>
      </w:r>
      <w:r>
        <w:rPr>
          <w:color w:val="231F20"/>
        </w:rPr>
        <w:t>Eye Healthcare; Priority Area 7 – General and Emergency Hospital Services; Priority 8 – Health Promotion</w:t>
      </w:r>
      <w:r>
        <w:rPr>
          <w:color w:val="231F20"/>
          <w:spacing w:val="-25"/>
        </w:rPr>
        <w:t xml:space="preserve"> </w:t>
      </w:r>
      <w:r>
        <w:rPr>
          <w:color w:val="231F20"/>
        </w:rPr>
        <w:t>and</w:t>
      </w:r>
      <w:r>
        <w:rPr>
          <w:color w:val="231F20"/>
          <w:spacing w:val="-25"/>
        </w:rPr>
        <w:t xml:space="preserve"> </w:t>
      </w:r>
      <w:r>
        <w:rPr>
          <w:color w:val="231F20"/>
        </w:rPr>
        <w:t>Environmental</w:t>
      </w:r>
      <w:r>
        <w:rPr>
          <w:color w:val="231F20"/>
          <w:spacing w:val="-26"/>
        </w:rPr>
        <w:t xml:space="preserve"> </w:t>
      </w:r>
      <w:r>
        <w:rPr>
          <w:color w:val="231F20"/>
        </w:rPr>
        <w:t>Health.</w:t>
      </w:r>
    </w:p>
    <w:p w14:paraId="47E28C1B" w14:textId="77777777" w:rsidR="009948F1" w:rsidRDefault="009948F1">
      <w:pPr>
        <w:pStyle w:val="BodyText"/>
        <w:spacing w:before="9"/>
        <w:rPr>
          <w:sz w:val="25"/>
        </w:rPr>
      </w:pPr>
    </w:p>
    <w:p w14:paraId="5925B68F" w14:textId="77777777" w:rsidR="009948F1" w:rsidRDefault="00BC0563">
      <w:pPr>
        <w:pStyle w:val="BodyText"/>
        <w:spacing w:line="278" w:lineRule="auto"/>
        <w:ind w:left="153" w:right="162"/>
        <w:jc w:val="both"/>
      </w:pPr>
      <w:r>
        <w:rPr>
          <w:color w:val="231F20"/>
        </w:rPr>
        <w:t>Strategic Pillar 3 highlights</w:t>
      </w:r>
      <w:r w:rsidR="007B27E5">
        <w:rPr>
          <w:color w:val="231F20"/>
        </w:rPr>
        <w:t xml:space="preserve"> </w:t>
      </w:r>
      <w:r>
        <w:rPr>
          <w:color w:val="231F20"/>
        </w:rPr>
        <w:t xml:space="preserve">the Health System Support. Under this are Priority Areas 9 – </w:t>
      </w:r>
      <w:r>
        <w:rPr>
          <w:color w:val="231F20"/>
          <w:spacing w:val="-3"/>
        </w:rPr>
        <w:t xml:space="preserve">Human </w:t>
      </w:r>
      <w:r>
        <w:rPr>
          <w:color w:val="231F20"/>
        </w:rPr>
        <w:t xml:space="preserve">Resource for Health; Priority 10 – Health Infrastructure; Priority Area </w:t>
      </w:r>
      <w:r>
        <w:rPr>
          <w:color w:val="231F20"/>
          <w:spacing w:val="-9"/>
        </w:rPr>
        <w:t xml:space="preserve">11 </w:t>
      </w:r>
      <w:r>
        <w:rPr>
          <w:color w:val="231F20"/>
        </w:rPr>
        <w:t>– Medicines, Vaccines, Health</w:t>
      </w:r>
      <w:r>
        <w:rPr>
          <w:color w:val="231F20"/>
          <w:spacing w:val="-8"/>
        </w:rPr>
        <w:t xml:space="preserve"> </w:t>
      </w:r>
      <w:r>
        <w:rPr>
          <w:color w:val="231F20"/>
          <w:spacing w:val="-3"/>
        </w:rPr>
        <w:t xml:space="preserve">Technologies </w:t>
      </w:r>
      <w:r>
        <w:rPr>
          <w:color w:val="231F20"/>
        </w:rPr>
        <w:t>and</w:t>
      </w:r>
      <w:r>
        <w:rPr>
          <w:color w:val="231F20"/>
          <w:spacing w:val="-3"/>
        </w:rPr>
        <w:t xml:space="preserve"> </w:t>
      </w:r>
      <w:r>
        <w:rPr>
          <w:color w:val="231F20"/>
        </w:rPr>
        <w:t>Supplies;</w:t>
      </w:r>
      <w:r>
        <w:rPr>
          <w:color w:val="231F20"/>
          <w:spacing w:val="-4"/>
        </w:rPr>
        <w:t xml:space="preserve"> </w:t>
      </w:r>
      <w:r>
        <w:rPr>
          <w:color w:val="231F20"/>
        </w:rPr>
        <w:t>Priority</w:t>
      </w:r>
      <w:r>
        <w:rPr>
          <w:color w:val="231F20"/>
          <w:spacing w:val="-15"/>
        </w:rPr>
        <w:t xml:space="preserve"> </w:t>
      </w:r>
      <w:r>
        <w:rPr>
          <w:color w:val="231F20"/>
        </w:rPr>
        <w:t>Area</w:t>
      </w:r>
      <w:r>
        <w:rPr>
          <w:color w:val="231F20"/>
          <w:spacing w:val="-3"/>
        </w:rPr>
        <w:t xml:space="preserve"> </w:t>
      </w:r>
      <w:r>
        <w:rPr>
          <w:color w:val="231F20"/>
        </w:rPr>
        <w:t>12</w:t>
      </w:r>
      <w:r>
        <w:rPr>
          <w:color w:val="231F20"/>
          <w:spacing w:val="-4"/>
        </w:rPr>
        <w:t xml:space="preserve"> </w:t>
      </w:r>
      <w:r>
        <w:rPr>
          <w:color w:val="231F20"/>
        </w:rPr>
        <w:t>-</w:t>
      </w:r>
      <w:r>
        <w:rPr>
          <w:color w:val="231F20"/>
          <w:spacing w:val="-3"/>
        </w:rPr>
        <w:t xml:space="preserve"> </w:t>
      </w:r>
      <w:r>
        <w:rPr>
          <w:color w:val="231F20"/>
        </w:rPr>
        <w:t>Health</w:t>
      </w:r>
      <w:r>
        <w:rPr>
          <w:color w:val="231F20"/>
          <w:spacing w:val="-3"/>
        </w:rPr>
        <w:t xml:space="preserve"> </w:t>
      </w:r>
      <w:r>
        <w:rPr>
          <w:color w:val="231F20"/>
        </w:rPr>
        <w:t>Information;</w:t>
      </w:r>
      <w:r>
        <w:rPr>
          <w:color w:val="231F20"/>
          <w:spacing w:val="-4"/>
        </w:rPr>
        <w:t xml:space="preserve"> </w:t>
      </w:r>
      <w:r>
        <w:rPr>
          <w:color w:val="231F20"/>
        </w:rPr>
        <w:t>Priority</w:t>
      </w:r>
      <w:r>
        <w:rPr>
          <w:color w:val="231F20"/>
          <w:spacing w:val="-15"/>
        </w:rPr>
        <w:t xml:space="preserve"> </w:t>
      </w:r>
      <w:r>
        <w:rPr>
          <w:color w:val="231F20"/>
        </w:rPr>
        <w:t>Area</w:t>
      </w:r>
      <w:r>
        <w:rPr>
          <w:color w:val="231F20"/>
          <w:spacing w:val="-3"/>
        </w:rPr>
        <w:t xml:space="preserve"> </w:t>
      </w:r>
      <w:r>
        <w:rPr>
          <w:color w:val="231F20"/>
        </w:rPr>
        <w:t>13</w:t>
      </w:r>
      <w:r>
        <w:rPr>
          <w:color w:val="231F20"/>
          <w:spacing w:val="-4"/>
        </w:rPr>
        <w:t xml:space="preserve"> </w:t>
      </w:r>
      <w:r>
        <w:rPr>
          <w:color w:val="231F20"/>
        </w:rPr>
        <w:t>–</w:t>
      </w:r>
      <w:r>
        <w:rPr>
          <w:color w:val="231F20"/>
          <w:spacing w:val="-3"/>
        </w:rPr>
        <w:t xml:space="preserve"> </w:t>
      </w:r>
      <w:r>
        <w:rPr>
          <w:color w:val="231F20"/>
        </w:rPr>
        <w:t>Health Research.</w:t>
      </w:r>
    </w:p>
    <w:p w14:paraId="16D9621F" w14:textId="77777777" w:rsidR="009948F1" w:rsidRDefault="009948F1">
      <w:pPr>
        <w:pStyle w:val="BodyText"/>
        <w:spacing w:before="8"/>
        <w:rPr>
          <w:sz w:val="25"/>
        </w:rPr>
      </w:pPr>
    </w:p>
    <w:p w14:paraId="2C95EE65" w14:textId="77777777" w:rsidR="009948F1" w:rsidRDefault="00BC0563">
      <w:pPr>
        <w:pStyle w:val="BodyText"/>
        <w:spacing w:line="278" w:lineRule="auto"/>
        <w:ind w:left="153" w:right="162"/>
        <w:jc w:val="both"/>
      </w:pPr>
      <w:r>
        <w:rPr>
          <w:color w:val="231F20"/>
        </w:rPr>
        <w:t>Strategic Pillar 4 is Protection from Public Health Emergencies and Risks with Priority Area 14 - Public Health Emergencies: Preparedness and Response.</w:t>
      </w:r>
    </w:p>
    <w:p w14:paraId="0EE755D6" w14:textId="77777777" w:rsidR="009948F1" w:rsidRDefault="009948F1">
      <w:pPr>
        <w:pStyle w:val="BodyText"/>
        <w:spacing w:before="7"/>
        <w:rPr>
          <w:sz w:val="25"/>
        </w:rPr>
      </w:pPr>
    </w:p>
    <w:p w14:paraId="5BD4AE9C" w14:textId="77777777" w:rsidR="009948F1" w:rsidRDefault="00BC0563">
      <w:pPr>
        <w:pStyle w:val="BodyText"/>
        <w:spacing w:before="1" w:line="278" w:lineRule="auto"/>
        <w:ind w:left="153" w:right="163"/>
        <w:jc w:val="both"/>
      </w:pPr>
      <w:r>
        <w:rPr>
          <w:color w:val="231F20"/>
        </w:rPr>
        <w:t>Strategic Pillar 5 is on Health Financing and has Priority 15 - Health Financing. States including Rivers</w:t>
      </w:r>
      <w:r>
        <w:rPr>
          <w:color w:val="231F20"/>
          <w:spacing w:val="-16"/>
        </w:rPr>
        <w:t xml:space="preserve"> </w:t>
      </w:r>
      <w:r>
        <w:rPr>
          <w:color w:val="231F20"/>
        </w:rPr>
        <w:t>State</w:t>
      </w:r>
      <w:r>
        <w:rPr>
          <w:color w:val="231F20"/>
          <w:spacing w:val="-15"/>
        </w:rPr>
        <w:t xml:space="preserve"> </w:t>
      </w:r>
      <w:r>
        <w:rPr>
          <w:color w:val="231F20"/>
        </w:rPr>
        <w:t>are</w:t>
      </w:r>
      <w:r>
        <w:rPr>
          <w:color w:val="231F20"/>
          <w:spacing w:val="-15"/>
        </w:rPr>
        <w:t xml:space="preserve"> </w:t>
      </w:r>
      <w:r>
        <w:rPr>
          <w:color w:val="231F20"/>
        </w:rPr>
        <w:t>expected</w:t>
      </w:r>
      <w:r>
        <w:rPr>
          <w:color w:val="231F20"/>
          <w:spacing w:val="-15"/>
        </w:rPr>
        <w:t xml:space="preserve"> </w:t>
      </w:r>
      <w:r>
        <w:rPr>
          <w:color w:val="231F20"/>
        </w:rPr>
        <w:t>to</w:t>
      </w:r>
      <w:r>
        <w:rPr>
          <w:color w:val="231F20"/>
          <w:spacing w:val="-15"/>
        </w:rPr>
        <w:t xml:space="preserve"> </w:t>
      </w:r>
      <w:r>
        <w:rPr>
          <w:color w:val="231F20"/>
        </w:rPr>
        <w:t>include</w:t>
      </w:r>
      <w:r>
        <w:rPr>
          <w:color w:val="231F20"/>
          <w:spacing w:val="-14"/>
        </w:rPr>
        <w:t xml:space="preserve"> </w:t>
      </w:r>
      <w:r>
        <w:rPr>
          <w:color w:val="231F20"/>
        </w:rPr>
        <w:t>their</w:t>
      </w:r>
      <w:r>
        <w:rPr>
          <w:color w:val="231F20"/>
          <w:spacing w:val="-15"/>
        </w:rPr>
        <w:t xml:space="preserve"> </w:t>
      </w:r>
      <w:r>
        <w:rPr>
          <w:color w:val="231F20"/>
        </w:rPr>
        <w:t>activities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strategic</w:t>
      </w:r>
      <w:r>
        <w:rPr>
          <w:color w:val="231F20"/>
          <w:spacing w:val="-15"/>
        </w:rPr>
        <w:t xml:space="preserve"> </w:t>
      </w:r>
      <w:r>
        <w:rPr>
          <w:color w:val="231F20"/>
        </w:rPr>
        <w:t>interventions</w:t>
      </w:r>
      <w:r>
        <w:rPr>
          <w:color w:val="231F20"/>
          <w:spacing w:val="-15"/>
        </w:rPr>
        <w:t xml:space="preserve"> </w:t>
      </w:r>
      <w:r>
        <w:rPr>
          <w:color w:val="231F20"/>
        </w:rPr>
        <w:t>in</w:t>
      </w:r>
      <w:r>
        <w:rPr>
          <w:color w:val="231F20"/>
          <w:spacing w:val="-15"/>
        </w:rPr>
        <w:t xml:space="preserve"> </w:t>
      </w:r>
      <w:r>
        <w:rPr>
          <w:color w:val="231F20"/>
        </w:rPr>
        <w:t>order</w:t>
      </w:r>
      <w:r>
        <w:rPr>
          <w:color w:val="231F20"/>
          <w:spacing w:val="-15"/>
        </w:rPr>
        <w:t xml:space="preserve"> </w:t>
      </w:r>
      <w:r>
        <w:rPr>
          <w:color w:val="231F20"/>
        </w:rPr>
        <w:t>to</w:t>
      </w:r>
      <w:r>
        <w:rPr>
          <w:color w:val="231F20"/>
          <w:spacing w:val="-15"/>
        </w:rPr>
        <w:t xml:space="preserve"> </w:t>
      </w:r>
      <w:r>
        <w:rPr>
          <w:color w:val="231F20"/>
        </w:rPr>
        <w:t xml:space="preserve">achieve its goal. For each of the Strategic Objectives there are Output Indicators showing level of implementations, stakeholders/Key responsible entity and years of expected implementation (2018-2022). This is followed by the costing of each planned strategic activity for each of the </w:t>
      </w:r>
      <w:r>
        <w:rPr>
          <w:color w:val="231F20"/>
          <w:spacing w:val="-13"/>
        </w:rPr>
        <w:t xml:space="preserve">5 </w:t>
      </w:r>
      <w:r>
        <w:rPr>
          <w:color w:val="231F20"/>
        </w:rPr>
        <w:t>years.</w:t>
      </w:r>
    </w:p>
    <w:p w14:paraId="093B7589" w14:textId="77777777" w:rsidR="009948F1" w:rsidRDefault="009948F1">
      <w:pPr>
        <w:pStyle w:val="BodyText"/>
      </w:pPr>
    </w:p>
    <w:p w14:paraId="4918BA99" w14:textId="77777777" w:rsidR="009948F1" w:rsidRDefault="009948F1">
      <w:pPr>
        <w:pStyle w:val="BodyText"/>
        <w:spacing w:before="2"/>
        <w:rPr>
          <w:sz w:val="21"/>
        </w:rPr>
      </w:pPr>
    </w:p>
    <w:p w14:paraId="54BB5167" w14:textId="77777777" w:rsidR="009948F1" w:rsidRDefault="00BC0563">
      <w:pPr>
        <w:pStyle w:val="BodyText"/>
        <w:spacing w:line="278" w:lineRule="auto"/>
        <w:ind w:left="153" w:right="163"/>
        <w:jc w:val="both"/>
      </w:pPr>
      <w:r>
        <w:rPr>
          <w:color w:val="231F20"/>
        </w:rPr>
        <w:t>Chapter Eight and Nine discusses the human and financial resources while chapter 10 is for the financial plan.</w:t>
      </w:r>
    </w:p>
    <w:p w14:paraId="312EC3BF" w14:textId="77777777" w:rsidR="009948F1" w:rsidRDefault="009948F1">
      <w:pPr>
        <w:spacing w:line="278" w:lineRule="auto"/>
        <w:jc w:val="both"/>
        <w:sectPr w:rsidR="009948F1">
          <w:pgSz w:w="11910" w:h="16840"/>
          <w:pgMar w:top="1220" w:right="1080" w:bottom="1420" w:left="1120" w:header="0" w:footer="1235" w:gutter="0"/>
          <w:cols w:space="720"/>
        </w:sectPr>
      </w:pPr>
    </w:p>
    <w:p w14:paraId="6A183C5E" w14:textId="77777777" w:rsidR="009948F1" w:rsidRDefault="00BC0563">
      <w:pPr>
        <w:pStyle w:val="Heading1"/>
        <w:spacing w:line="469" w:lineRule="exact"/>
        <w:ind w:right="1110"/>
      </w:pPr>
      <w:bookmarkStart w:id="27" w:name="_TOC_250032"/>
      <w:bookmarkEnd w:id="27"/>
      <w:r>
        <w:rPr>
          <w:color w:val="231F20"/>
        </w:rPr>
        <w:lastRenderedPageBreak/>
        <w:t>CHAPTER 2</w:t>
      </w:r>
    </w:p>
    <w:p w14:paraId="3ED0D504" w14:textId="77777777" w:rsidR="009948F1" w:rsidRDefault="00BC0563">
      <w:pPr>
        <w:pStyle w:val="Heading3"/>
        <w:spacing w:before="91"/>
        <w:ind w:right="1115"/>
      </w:pPr>
      <w:bookmarkStart w:id="28" w:name="_TOC_250031"/>
      <w:bookmarkEnd w:id="28"/>
      <w:r>
        <w:rPr>
          <w:color w:val="231F20"/>
        </w:rPr>
        <w:t>SITUATION ANALYSIS</w:t>
      </w:r>
    </w:p>
    <w:p w14:paraId="6C88BF62" w14:textId="77777777" w:rsidR="009948F1" w:rsidRDefault="00BC0563">
      <w:pPr>
        <w:pStyle w:val="Heading7"/>
        <w:numPr>
          <w:ilvl w:val="1"/>
          <w:numId w:val="321"/>
        </w:numPr>
        <w:tabs>
          <w:tab w:val="left" w:pos="872"/>
        </w:tabs>
        <w:spacing w:before="136"/>
        <w:jc w:val="both"/>
        <w:rPr>
          <w:color w:val="231F20"/>
        </w:rPr>
      </w:pPr>
      <w:r>
        <w:rPr>
          <w:color w:val="231F20"/>
        </w:rPr>
        <w:t>Socioeconomic context</w:t>
      </w:r>
    </w:p>
    <w:p w14:paraId="55231700" w14:textId="77777777" w:rsidR="009948F1" w:rsidRDefault="009948F1">
      <w:pPr>
        <w:pStyle w:val="BodyText"/>
        <w:spacing w:before="4"/>
        <w:rPr>
          <w:b/>
          <w:sz w:val="29"/>
        </w:rPr>
      </w:pPr>
    </w:p>
    <w:p w14:paraId="3E363357" w14:textId="77777777" w:rsidR="009948F1" w:rsidRDefault="00BC0563">
      <w:pPr>
        <w:pStyle w:val="ListParagraph"/>
        <w:numPr>
          <w:ilvl w:val="2"/>
          <w:numId w:val="321"/>
        </w:numPr>
        <w:tabs>
          <w:tab w:val="left" w:pos="872"/>
        </w:tabs>
        <w:spacing w:before="1"/>
        <w:ind w:hanging="721"/>
        <w:rPr>
          <w:b/>
        </w:rPr>
      </w:pPr>
      <w:r>
        <w:rPr>
          <w:b/>
          <w:color w:val="231F20"/>
        </w:rPr>
        <w:t>Agriculture</w:t>
      </w:r>
      <w:r>
        <w:rPr>
          <w:b/>
          <w:color w:val="231F20"/>
          <w:spacing w:val="-25"/>
        </w:rPr>
        <w:t xml:space="preserve"> </w:t>
      </w:r>
      <w:r>
        <w:rPr>
          <w:b/>
          <w:color w:val="231F20"/>
        </w:rPr>
        <w:t>and</w:t>
      </w:r>
      <w:r>
        <w:rPr>
          <w:b/>
          <w:color w:val="231F20"/>
          <w:spacing w:val="-25"/>
        </w:rPr>
        <w:t xml:space="preserve"> </w:t>
      </w:r>
      <w:r>
        <w:rPr>
          <w:b/>
          <w:color w:val="231F20"/>
        </w:rPr>
        <w:t>Natural</w:t>
      </w:r>
      <w:r>
        <w:rPr>
          <w:b/>
          <w:color w:val="231F20"/>
          <w:spacing w:val="-25"/>
        </w:rPr>
        <w:t xml:space="preserve"> </w:t>
      </w:r>
      <w:r>
        <w:rPr>
          <w:b/>
          <w:color w:val="231F20"/>
        </w:rPr>
        <w:t>Resources</w:t>
      </w:r>
    </w:p>
    <w:p w14:paraId="405C705D" w14:textId="67859351" w:rsidR="009948F1" w:rsidRDefault="00BC0563">
      <w:pPr>
        <w:pStyle w:val="BodyText"/>
        <w:spacing w:before="42" w:line="280" w:lineRule="auto"/>
        <w:ind w:left="151" w:right="207"/>
        <w:jc w:val="both"/>
      </w:pPr>
      <w:r>
        <w:rPr>
          <w:color w:val="231F20"/>
        </w:rPr>
        <w:t>Most</w:t>
      </w:r>
      <w:r>
        <w:rPr>
          <w:color w:val="231F20"/>
          <w:spacing w:val="-7"/>
        </w:rPr>
        <w:t xml:space="preserve"> </w:t>
      </w:r>
      <w:r>
        <w:rPr>
          <w:color w:val="231F20"/>
        </w:rPr>
        <w:t>inhabitants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are</w:t>
      </w:r>
      <w:r>
        <w:rPr>
          <w:color w:val="231F20"/>
          <w:spacing w:val="-6"/>
        </w:rPr>
        <w:t xml:space="preserve"> </w:t>
      </w:r>
      <w:r>
        <w:rPr>
          <w:color w:val="231F20"/>
        </w:rPr>
        <w:t>engaged</w:t>
      </w:r>
      <w:r>
        <w:rPr>
          <w:color w:val="231F20"/>
          <w:spacing w:val="-6"/>
        </w:rPr>
        <w:t xml:space="preserve"> </w:t>
      </w:r>
      <w:r>
        <w:rPr>
          <w:color w:val="231F20"/>
        </w:rPr>
        <w:t>in</w:t>
      </w:r>
      <w:r>
        <w:rPr>
          <w:color w:val="231F20"/>
          <w:spacing w:val="-6"/>
        </w:rPr>
        <w:t xml:space="preserve"> </w:t>
      </w:r>
      <w:r>
        <w:rPr>
          <w:color w:val="231F20"/>
        </w:rPr>
        <w:t>fishing,</w:t>
      </w:r>
      <w:r>
        <w:rPr>
          <w:color w:val="231F20"/>
          <w:spacing w:val="-6"/>
        </w:rPr>
        <w:t xml:space="preserve"> </w:t>
      </w:r>
      <w:r>
        <w:rPr>
          <w:color w:val="231F20"/>
        </w:rPr>
        <w:t>farming</w:t>
      </w:r>
      <w:r>
        <w:rPr>
          <w:color w:val="231F20"/>
          <w:spacing w:val="-6"/>
        </w:rPr>
        <w:t xml:space="preserve"> </w:t>
      </w:r>
      <w:r>
        <w:rPr>
          <w:color w:val="231F20"/>
        </w:rPr>
        <w:t>and</w:t>
      </w:r>
      <w:r>
        <w:rPr>
          <w:color w:val="231F20"/>
          <w:spacing w:val="-6"/>
        </w:rPr>
        <w:t xml:space="preserve"> </w:t>
      </w:r>
      <w:r>
        <w:rPr>
          <w:color w:val="231F20"/>
        </w:rPr>
        <w:t>petty</w:t>
      </w:r>
      <w:r>
        <w:rPr>
          <w:color w:val="231F20"/>
          <w:spacing w:val="-6"/>
        </w:rPr>
        <w:t xml:space="preserve"> </w:t>
      </w:r>
      <w:r>
        <w:rPr>
          <w:color w:val="231F20"/>
        </w:rPr>
        <w:t>trading</w:t>
      </w:r>
      <w:r>
        <w:rPr>
          <w:color w:val="231F20"/>
          <w:spacing w:val="-6"/>
        </w:rPr>
        <w:t xml:space="preserve"> </w:t>
      </w:r>
      <w:r>
        <w:rPr>
          <w:color w:val="231F20"/>
        </w:rPr>
        <w:t>except</w:t>
      </w:r>
      <w:r>
        <w:rPr>
          <w:color w:val="231F20"/>
          <w:spacing w:val="-6"/>
        </w:rPr>
        <w:t xml:space="preserve"> </w:t>
      </w:r>
      <w:r>
        <w:rPr>
          <w:color w:val="231F20"/>
        </w:rPr>
        <w:t>for</w:t>
      </w:r>
      <w:r>
        <w:rPr>
          <w:color w:val="231F20"/>
          <w:spacing w:val="-7"/>
        </w:rPr>
        <w:t xml:space="preserve"> </w:t>
      </w:r>
      <w:r>
        <w:rPr>
          <w:color w:val="231F20"/>
        </w:rPr>
        <w:t>those</w:t>
      </w:r>
      <w:r>
        <w:rPr>
          <w:color w:val="231F20"/>
          <w:spacing w:val="-6"/>
        </w:rPr>
        <w:t xml:space="preserve"> </w:t>
      </w:r>
      <w:r>
        <w:rPr>
          <w:color w:val="231F20"/>
        </w:rPr>
        <w:t xml:space="preserve">in metropolitan cities like Port Harcourt, </w:t>
      </w:r>
      <w:proofErr w:type="spellStart"/>
      <w:r>
        <w:rPr>
          <w:color w:val="231F20"/>
        </w:rPr>
        <w:t>Obio-Akpo</w:t>
      </w:r>
      <w:proofErr w:type="spellEnd"/>
      <w:r>
        <w:rPr>
          <w:color w:val="231F20"/>
        </w:rPr>
        <w:t xml:space="preserve"> and </w:t>
      </w:r>
      <w:proofErr w:type="spellStart"/>
      <w:r>
        <w:rPr>
          <w:color w:val="231F20"/>
        </w:rPr>
        <w:t>Oyigbo</w:t>
      </w:r>
      <w:proofErr w:type="spellEnd"/>
      <w:r>
        <w:rPr>
          <w:color w:val="231F20"/>
        </w:rPr>
        <w:t xml:space="preserve"> who are either civil servants </w:t>
      </w:r>
      <w:r>
        <w:rPr>
          <w:color w:val="231F20"/>
          <w:spacing w:val="-8"/>
        </w:rPr>
        <w:t xml:space="preserve">or </w:t>
      </w:r>
      <w:r>
        <w:rPr>
          <w:color w:val="231F20"/>
        </w:rPr>
        <w:t>employees</w:t>
      </w:r>
      <w:r>
        <w:rPr>
          <w:color w:val="231F20"/>
          <w:spacing w:val="-25"/>
        </w:rPr>
        <w:t xml:space="preserve"> </w:t>
      </w:r>
      <w:r>
        <w:rPr>
          <w:color w:val="231F20"/>
        </w:rPr>
        <w:t>of</w:t>
      </w:r>
      <w:r>
        <w:rPr>
          <w:color w:val="231F20"/>
          <w:spacing w:val="-25"/>
        </w:rPr>
        <w:t xml:space="preserve"> </w:t>
      </w:r>
      <w:r w:rsidR="005F489E">
        <w:rPr>
          <w:color w:val="231F20"/>
          <w:spacing w:val="-25"/>
        </w:rPr>
        <w:t xml:space="preserve">a </w:t>
      </w:r>
      <w:r w:rsidR="005F489E">
        <w:rPr>
          <w:color w:val="231F20"/>
        </w:rPr>
        <w:t>m</w:t>
      </w:r>
      <w:r>
        <w:rPr>
          <w:color w:val="231F20"/>
        </w:rPr>
        <w:t>ultinational</w:t>
      </w:r>
      <w:r>
        <w:rPr>
          <w:color w:val="231F20"/>
          <w:spacing w:val="-25"/>
        </w:rPr>
        <w:t xml:space="preserve"> </w:t>
      </w:r>
      <w:r>
        <w:rPr>
          <w:color w:val="231F20"/>
          <w:spacing w:val="-3"/>
        </w:rPr>
        <w:t>company.</w:t>
      </w:r>
    </w:p>
    <w:p w14:paraId="354F7EDF" w14:textId="77777777" w:rsidR="009948F1" w:rsidRDefault="00BC0563">
      <w:pPr>
        <w:pStyle w:val="BodyText"/>
        <w:spacing w:line="280" w:lineRule="auto"/>
        <w:ind w:left="151" w:right="207"/>
        <w:jc w:val="both"/>
      </w:pPr>
      <w:r>
        <w:rPr>
          <w:color w:val="231F20"/>
        </w:rPr>
        <w:t>Despite its rich economy and high adult literacy rates of over 80%</w:t>
      </w:r>
      <w:r>
        <w:rPr>
          <w:color w:val="231F20"/>
          <w:position w:val="11"/>
          <w:sz w:val="11"/>
        </w:rPr>
        <w:t xml:space="preserve">9 </w:t>
      </w:r>
      <w:r>
        <w:rPr>
          <w:color w:val="231F20"/>
        </w:rPr>
        <w:t>the present health status of citizens</w:t>
      </w:r>
      <w:r>
        <w:rPr>
          <w:color w:val="231F20"/>
          <w:spacing w:val="-26"/>
        </w:rPr>
        <w:t xml:space="preserve"> </w:t>
      </w:r>
      <w:r>
        <w:rPr>
          <w:color w:val="231F20"/>
        </w:rPr>
        <w:t>of</w:t>
      </w:r>
      <w:r>
        <w:rPr>
          <w:color w:val="231F20"/>
          <w:spacing w:val="-25"/>
        </w:rPr>
        <w:t xml:space="preserve"> </w:t>
      </w:r>
      <w:r>
        <w:rPr>
          <w:color w:val="231F20"/>
        </w:rPr>
        <w:t>State</w:t>
      </w:r>
      <w:r>
        <w:rPr>
          <w:color w:val="231F20"/>
          <w:spacing w:val="-25"/>
        </w:rPr>
        <w:t xml:space="preserve"> </w:t>
      </w:r>
      <w:r>
        <w:rPr>
          <w:color w:val="231F20"/>
        </w:rPr>
        <w:t>is</w:t>
      </w:r>
      <w:r>
        <w:rPr>
          <w:color w:val="231F20"/>
          <w:spacing w:val="-25"/>
        </w:rPr>
        <w:t xml:space="preserve"> </w:t>
      </w:r>
      <w:r>
        <w:rPr>
          <w:color w:val="231F20"/>
        </w:rPr>
        <w:t>unacceptable.</w:t>
      </w:r>
      <w:r>
        <w:rPr>
          <w:color w:val="231F20"/>
          <w:spacing w:val="-25"/>
        </w:rPr>
        <w:t xml:space="preserve"> </w:t>
      </w:r>
      <w:r>
        <w:rPr>
          <w:color w:val="231F20"/>
        </w:rPr>
        <w:t>Disease</w:t>
      </w:r>
      <w:r>
        <w:rPr>
          <w:color w:val="231F20"/>
          <w:spacing w:val="-25"/>
        </w:rPr>
        <w:t xml:space="preserve"> </w:t>
      </w:r>
      <w:r>
        <w:rPr>
          <w:color w:val="231F20"/>
        </w:rPr>
        <w:t>burden</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is</w:t>
      </w:r>
      <w:r>
        <w:rPr>
          <w:color w:val="231F20"/>
          <w:spacing w:val="-25"/>
        </w:rPr>
        <w:t xml:space="preserve"> </w:t>
      </w:r>
      <w:r>
        <w:rPr>
          <w:color w:val="231F20"/>
        </w:rPr>
        <w:t>mostly</w:t>
      </w:r>
      <w:r>
        <w:rPr>
          <w:color w:val="231F20"/>
          <w:spacing w:val="-26"/>
        </w:rPr>
        <w:t xml:space="preserve"> </w:t>
      </w:r>
      <w:r>
        <w:rPr>
          <w:color w:val="231F20"/>
        </w:rPr>
        <w:t>due</w:t>
      </w:r>
      <w:r>
        <w:rPr>
          <w:color w:val="231F20"/>
          <w:spacing w:val="-25"/>
        </w:rPr>
        <w:t xml:space="preserve"> </w:t>
      </w:r>
      <w:r>
        <w:rPr>
          <w:color w:val="231F20"/>
        </w:rPr>
        <w:t>to</w:t>
      </w:r>
      <w:r>
        <w:rPr>
          <w:color w:val="231F20"/>
          <w:spacing w:val="-25"/>
        </w:rPr>
        <w:t xml:space="preserve"> </w:t>
      </w:r>
      <w:r>
        <w:rPr>
          <w:color w:val="231F20"/>
        </w:rPr>
        <w:t>preventable</w:t>
      </w:r>
      <w:r>
        <w:rPr>
          <w:color w:val="231F20"/>
          <w:spacing w:val="-25"/>
        </w:rPr>
        <w:t xml:space="preserve"> </w:t>
      </w:r>
      <w:r>
        <w:rPr>
          <w:color w:val="231F20"/>
        </w:rPr>
        <w:t>diseases including</w:t>
      </w:r>
      <w:r>
        <w:rPr>
          <w:color w:val="231F20"/>
          <w:spacing w:val="-6"/>
        </w:rPr>
        <w:t xml:space="preserve"> </w:t>
      </w:r>
      <w:r>
        <w:rPr>
          <w:color w:val="231F20"/>
        </w:rPr>
        <w:t>malaria,</w:t>
      </w:r>
      <w:r>
        <w:rPr>
          <w:color w:val="231F20"/>
          <w:spacing w:val="-6"/>
        </w:rPr>
        <w:t xml:space="preserve"> </w:t>
      </w:r>
      <w:r>
        <w:rPr>
          <w:color w:val="231F20"/>
        </w:rPr>
        <w:t>upper</w:t>
      </w:r>
      <w:r>
        <w:rPr>
          <w:color w:val="231F20"/>
          <w:spacing w:val="-6"/>
        </w:rPr>
        <w:t xml:space="preserve"> </w:t>
      </w:r>
      <w:r>
        <w:rPr>
          <w:color w:val="231F20"/>
        </w:rPr>
        <w:t>respiratory</w:t>
      </w:r>
      <w:r>
        <w:rPr>
          <w:color w:val="231F20"/>
          <w:spacing w:val="-6"/>
        </w:rPr>
        <w:t xml:space="preserve"> </w:t>
      </w:r>
      <w:r>
        <w:rPr>
          <w:color w:val="231F20"/>
        </w:rPr>
        <w:t>tract</w:t>
      </w:r>
      <w:r>
        <w:rPr>
          <w:color w:val="231F20"/>
          <w:spacing w:val="-6"/>
        </w:rPr>
        <w:t xml:space="preserve"> </w:t>
      </w:r>
      <w:r>
        <w:rPr>
          <w:color w:val="231F20"/>
        </w:rPr>
        <w:t>infection,</w:t>
      </w:r>
      <w:r>
        <w:rPr>
          <w:color w:val="231F20"/>
          <w:spacing w:val="-6"/>
        </w:rPr>
        <w:t xml:space="preserve"> </w:t>
      </w:r>
      <w:proofErr w:type="spellStart"/>
      <w:r>
        <w:rPr>
          <w:color w:val="231F20"/>
        </w:rPr>
        <w:t>diarrhoea</w:t>
      </w:r>
      <w:proofErr w:type="spellEnd"/>
      <w:r>
        <w:rPr>
          <w:color w:val="231F20"/>
          <w:spacing w:val="-6"/>
        </w:rPr>
        <w:t xml:space="preserve"> </w:t>
      </w:r>
      <w:r>
        <w:rPr>
          <w:color w:val="231F20"/>
        </w:rPr>
        <w:t>etc.</w:t>
      </w:r>
      <w:r>
        <w:rPr>
          <w:color w:val="231F20"/>
          <w:spacing w:val="-10"/>
        </w:rPr>
        <w:t xml:space="preserve"> </w:t>
      </w:r>
      <w:r>
        <w:rPr>
          <w:color w:val="231F20"/>
        </w:rPr>
        <w:t>They</w:t>
      </w:r>
      <w:r>
        <w:rPr>
          <w:color w:val="231F20"/>
          <w:spacing w:val="-6"/>
        </w:rPr>
        <w:t xml:space="preserve"> </w:t>
      </w:r>
      <w:r>
        <w:rPr>
          <w:color w:val="231F20"/>
        </w:rPr>
        <w:t>account</w:t>
      </w:r>
      <w:r>
        <w:rPr>
          <w:color w:val="231F20"/>
          <w:spacing w:val="-6"/>
        </w:rPr>
        <w:t xml:space="preserve"> </w:t>
      </w:r>
      <w:r>
        <w:rPr>
          <w:color w:val="231F20"/>
        </w:rPr>
        <w:t>for</w:t>
      </w:r>
      <w:r>
        <w:rPr>
          <w:color w:val="231F20"/>
          <w:spacing w:val="-6"/>
        </w:rPr>
        <w:t xml:space="preserve"> </w:t>
      </w:r>
      <w:r>
        <w:rPr>
          <w:color w:val="231F20"/>
        </w:rPr>
        <w:t>high</w:t>
      </w:r>
      <w:r>
        <w:rPr>
          <w:color w:val="231F20"/>
          <w:spacing w:val="-6"/>
        </w:rPr>
        <w:t xml:space="preserve"> </w:t>
      </w:r>
      <w:r>
        <w:rPr>
          <w:color w:val="231F20"/>
        </w:rPr>
        <w:t>morbidity and</w:t>
      </w:r>
      <w:r>
        <w:rPr>
          <w:color w:val="231F20"/>
          <w:spacing w:val="-25"/>
        </w:rPr>
        <w:t xml:space="preserve"> </w:t>
      </w:r>
      <w:r>
        <w:rPr>
          <w:color w:val="231F20"/>
        </w:rPr>
        <w:t>mortality</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45C2F7BE" w14:textId="77777777" w:rsidR="009948F1" w:rsidRDefault="00BC0563">
      <w:pPr>
        <w:pStyle w:val="BodyText"/>
        <w:spacing w:line="278" w:lineRule="auto"/>
        <w:ind w:left="151" w:right="207"/>
        <w:jc w:val="both"/>
        <w:rPr>
          <w:sz w:val="11"/>
        </w:rPr>
      </w:pPr>
      <w:r>
        <w:rPr>
          <w:color w:val="231F20"/>
        </w:rPr>
        <w:t xml:space="preserve">Environmental degradation occasioned by the exploration of oil and gas, improper disposal of effluents and gas flaring are the causes of the high prevalence of respiratory diseases and </w:t>
      </w:r>
      <w:r>
        <w:rPr>
          <w:color w:val="231F20"/>
          <w:spacing w:val="-4"/>
        </w:rPr>
        <w:t xml:space="preserve">non- </w:t>
      </w:r>
      <w:r>
        <w:rPr>
          <w:color w:val="231F20"/>
        </w:rPr>
        <w:t>communicable</w:t>
      </w:r>
      <w:r>
        <w:rPr>
          <w:color w:val="231F20"/>
          <w:spacing w:val="-13"/>
        </w:rPr>
        <w:t xml:space="preserve"> </w:t>
      </w:r>
      <w:r>
        <w:rPr>
          <w:color w:val="231F20"/>
        </w:rPr>
        <w:t>diseases</w:t>
      </w:r>
      <w:r>
        <w:rPr>
          <w:color w:val="231F20"/>
          <w:spacing w:val="-12"/>
        </w:rPr>
        <w:t xml:space="preserve"> </w:t>
      </w:r>
      <w:r>
        <w:rPr>
          <w:color w:val="231F20"/>
        </w:rPr>
        <w:t>(NCD)</w:t>
      </w:r>
      <w:r>
        <w:rPr>
          <w:color w:val="231F20"/>
          <w:spacing w:val="-13"/>
        </w:rPr>
        <w:t xml:space="preserve"> </w:t>
      </w:r>
      <w:r>
        <w:rPr>
          <w:color w:val="231F20"/>
        </w:rPr>
        <w:t>such</w:t>
      </w:r>
      <w:r>
        <w:rPr>
          <w:color w:val="231F20"/>
          <w:spacing w:val="-12"/>
        </w:rPr>
        <w:t xml:space="preserve"> </w:t>
      </w:r>
      <w:r>
        <w:rPr>
          <w:color w:val="231F20"/>
        </w:rPr>
        <w:t>as</w:t>
      </w:r>
      <w:r>
        <w:rPr>
          <w:color w:val="231F20"/>
          <w:spacing w:val="-13"/>
        </w:rPr>
        <w:t xml:space="preserve"> </w:t>
      </w:r>
      <w:r>
        <w:rPr>
          <w:color w:val="231F20"/>
        </w:rPr>
        <w:t>hypertensive</w:t>
      </w:r>
      <w:r>
        <w:rPr>
          <w:color w:val="231F20"/>
          <w:spacing w:val="-12"/>
        </w:rPr>
        <w:t xml:space="preserve"> </w:t>
      </w:r>
      <w:r>
        <w:rPr>
          <w:color w:val="231F20"/>
        </w:rPr>
        <w:t>heart</w:t>
      </w:r>
      <w:r>
        <w:rPr>
          <w:color w:val="231F20"/>
          <w:spacing w:val="-12"/>
        </w:rPr>
        <w:t xml:space="preserve"> </w:t>
      </w:r>
      <w:r>
        <w:rPr>
          <w:color w:val="231F20"/>
        </w:rPr>
        <w:t>disease</w:t>
      </w:r>
      <w:r>
        <w:rPr>
          <w:color w:val="231F20"/>
          <w:spacing w:val="-13"/>
        </w:rPr>
        <w:t xml:space="preserve"> </w:t>
      </w:r>
      <w:r>
        <w:rPr>
          <w:color w:val="231F20"/>
        </w:rPr>
        <w:t>and</w:t>
      </w:r>
      <w:r>
        <w:rPr>
          <w:color w:val="231F20"/>
          <w:spacing w:val="-12"/>
        </w:rPr>
        <w:t xml:space="preserve"> </w:t>
      </w:r>
      <w:r>
        <w:rPr>
          <w:color w:val="231F20"/>
        </w:rPr>
        <w:t>other</w:t>
      </w:r>
      <w:r>
        <w:rPr>
          <w:color w:val="231F20"/>
          <w:spacing w:val="-13"/>
        </w:rPr>
        <w:t xml:space="preserve"> </w:t>
      </w:r>
      <w:r>
        <w:rPr>
          <w:color w:val="231F20"/>
        </w:rPr>
        <w:t>non-communicable diseases.</w:t>
      </w:r>
      <w:r>
        <w:rPr>
          <w:color w:val="231F20"/>
          <w:position w:val="11"/>
          <w:sz w:val="11"/>
        </w:rPr>
        <w:t>2</w:t>
      </w:r>
    </w:p>
    <w:p w14:paraId="63A71FD8" w14:textId="77777777" w:rsidR="009948F1" w:rsidRDefault="009948F1">
      <w:pPr>
        <w:pStyle w:val="BodyText"/>
        <w:spacing w:before="4"/>
        <w:rPr>
          <w:sz w:val="19"/>
        </w:rPr>
      </w:pPr>
    </w:p>
    <w:p w14:paraId="1D7D89EC" w14:textId="77777777" w:rsidR="009948F1" w:rsidRDefault="00BC0563">
      <w:pPr>
        <w:pStyle w:val="Heading7"/>
        <w:numPr>
          <w:ilvl w:val="2"/>
          <w:numId w:val="321"/>
        </w:numPr>
        <w:tabs>
          <w:tab w:val="left" w:pos="872"/>
        </w:tabs>
        <w:spacing w:before="64"/>
        <w:ind w:hanging="721"/>
        <w:jc w:val="both"/>
      </w:pPr>
      <w:r>
        <w:rPr>
          <w:color w:val="231F20"/>
        </w:rPr>
        <w:t>Poverty</w:t>
      </w:r>
    </w:p>
    <w:p w14:paraId="7420DE26" w14:textId="3B59D3CA" w:rsidR="009948F1" w:rsidRDefault="00BC0563">
      <w:pPr>
        <w:pStyle w:val="BodyText"/>
        <w:spacing w:before="43" w:line="280" w:lineRule="auto"/>
        <w:ind w:left="151" w:right="207"/>
        <w:jc w:val="both"/>
      </w:pPr>
      <w:r>
        <w:rPr>
          <w:color w:val="231F20"/>
        </w:rPr>
        <w:t>Poverty</w:t>
      </w:r>
      <w:r>
        <w:rPr>
          <w:color w:val="231F20"/>
          <w:spacing w:val="-21"/>
        </w:rPr>
        <w:t xml:space="preserve"> </w:t>
      </w:r>
      <w:r>
        <w:rPr>
          <w:color w:val="231F20"/>
        </w:rPr>
        <w:t>which</w:t>
      </w:r>
      <w:r>
        <w:rPr>
          <w:color w:val="231F20"/>
          <w:spacing w:val="-20"/>
        </w:rPr>
        <w:t xml:space="preserve"> </w:t>
      </w:r>
      <w:r>
        <w:rPr>
          <w:color w:val="231F20"/>
        </w:rPr>
        <w:t>is</w:t>
      </w:r>
      <w:r>
        <w:rPr>
          <w:color w:val="231F20"/>
          <w:spacing w:val="-20"/>
        </w:rPr>
        <w:t xml:space="preserve"> </w:t>
      </w:r>
      <w:r>
        <w:rPr>
          <w:color w:val="231F20"/>
        </w:rPr>
        <w:t>a</w:t>
      </w:r>
      <w:r>
        <w:rPr>
          <w:color w:val="231F20"/>
          <w:spacing w:val="-20"/>
        </w:rPr>
        <w:t xml:space="preserve"> </w:t>
      </w:r>
      <w:r>
        <w:rPr>
          <w:color w:val="231F20"/>
        </w:rPr>
        <w:t>major</w:t>
      </w:r>
      <w:r>
        <w:rPr>
          <w:color w:val="231F20"/>
          <w:spacing w:val="-20"/>
        </w:rPr>
        <w:t xml:space="preserve"> </w:t>
      </w:r>
      <w:r>
        <w:rPr>
          <w:color w:val="231F20"/>
        </w:rPr>
        <w:t>cause</w:t>
      </w:r>
      <w:r>
        <w:rPr>
          <w:color w:val="231F20"/>
          <w:spacing w:val="-20"/>
        </w:rPr>
        <w:t xml:space="preserve"> </w:t>
      </w:r>
      <w:r>
        <w:rPr>
          <w:color w:val="231F20"/>
        </w:rPr>
        <w:t>of</w:t>
      </w:r>
      <w:r>
        <w:rPr>
          <w:color w:val="231F20"/>
          <w:spacing w:val="-20"/>
        </w:rPr>
        <w:t xml:space="preserve"> </w:t>
      </w:r>
      <w:r>
        <w:rPr>
          <w:color w:val="231F20"/>
        </w:rPr>
        <w:t>high</w:t>
      </w:r>
      <w:r>
        <w:rPr>
          <w:color w:val="231F20"/>
          <w:spacing w:val="-20"/>
        </w:rPr>
        <w:t xml:space="preserve"> </w:t>
      </w:r>
      <w:r>
        <w:rPr>
          <w:color w:val="231F20"/>
        </w:rPr>
        <w:t>disease</w:t>
      </w:r>
      <w:r>
        <w:rPr>
          <w:color w:val="231F20"/>
          <w:spacing w:val="-20"/>
        </w:rPr>
        <w:t xml:space="preserve"> </w:t>
      </w:r>
      <w:r>
        <w:rPr>
          <w:color w:val="231F20"/>
        </w:rPr>
        <w:t>burden</w:t>
      </w:r>
      <w:r>
        <w:rPr>
          <w:color w:val="231F20"/>
          <w:spacing w:val="-20"/>
        </w:rPr>
        <w:t xml:space="preserve"> </w:t>
      </w:r>
      <w:r>
        <w:rPr>
          <w:color w:val="231F20"/>
        </w:rPr>
        <w:t>in</w:t>
      </w:r>
      <w:r>
        <w:rPr>
          <w:color w:val="231F20"/>
          <w:spacing w:val="-20"/>
        </w:rPr>
        <w:t xml:space="preserve"> </w:t>
      </w:r>
      <w:r>
        <w:rPr>
          <w:color w:val="231F20"/>
        </w:rPr>
        <w:t>the</w:t>
      </w:r>
      <w:r>
        <w:rPr>
          <w:color w:val="231F20"/>
          <w:spacing w:val="-21"/>
        </w:rPr>
        <w:t xml:space="preserve"> </w:t>
      </w:r>
      <w:r>
        <w:rPr>
          <w:color w:val="231F20"/>
        </w:rPr>
        <w:t>State</w:t>
      </w:r>
      <w:r>
        <w:rPr>
          <w:color w:val="231F20"/>
          <w:spacing w:val="-20"/>
        </w:rPr>
        <w:t xml:space="preserve"> </w:t>
      </w:r>
      <w:r>
        <w:rPr>
          <w:color w:val="231F20"/>
        </w:rPr>
        <w:t>adversely</w:t>
      </w:r>
      <w:r>
        <w:rPr>
          <w:color w:val="231F20"/>
          <w:spacing w:val="-20"/>
        </w:rPr>
        <w:t xml:space="preserve"> </w:t>
      </w:r>
      <w:r>
        <w:rPr>
          <w:color w:val="231F20"/>
        </w:rPr>
        <w:t>affects</w:t>
      </w:r>
      <w:r>
        <w:rPr>
          <w:color w:val="231F20"/>
          <w:spacing w:val="-20"/>
        </w:rPr>
        <w:t xml:space="preserve"> </w:t>
      </w:r>
      <w:r>
        <w:rPr>
          <w:color w:val="231F20"/>
        </w:rPr>
        <w:t>access</w:t>
      </w:r>
      <w:r>
        <w:rPr>
          <w:color w:val="231F20"/>
          <w:spacing w:val="-20"/>
        </w:rPr>
        <w:t xml:space="preserve"> </w:t>
      </w:r>
      <w:r>
        <w:rPr>
          <w:color w:val="231F20"/>
        </w:rPr>
        <w:t>to</w:t>
      </w:r>
      <w:r>
        <w:rPr>
          <w:color w:val="231F20"/>
          <w:spacing w:val="-20"/>
        </w:rPr>
        <w:t xml:space="preserve"> </w:t>
      </w:r>
      <w:r>
        <w:rPr>
          <w:color w:val="231F20"/>
          <w:spacing w:val="-4"/>
        </w:rPr>
        <w:t xml:space="preserve">care </w:t>
      </w:r>
      <w:r>
        <w:rPr>
          <w:color w:val="231F20"/>
        </w:rPr>
        <w:t>in</w:t>
      </w:r>
      <w:r>
        <w:rPr>
          <w:color w:val="231F20"/>
          <w:spacing w:val="-14"/>
        </w:rPr>
        <w:t xml:space="preserve"> </w:t>
      </w:r>
      <w:r>
        <w:rPr>
          <w:color w:val="231F20"/>
        </w:rPr>
        <w:t>health</w:t>
      </w:r>
      <w:r>
        <w:rPr>
          <w:color w:val="231F20"/>
          <w:spacing w:val="-13"/>
        </w:rPr>
        <w:t xml:space="preserve"> </w:t>
      </w:r>
      <w:r>
        <w:rPr>
          <w:color w:val="231F20"/>
        </w:rPr>
        <w:t>facilities</w:t>
      </w:r>
      <w:r>
        <w:rPr>
          <w:color w:val="231F20"/>
          <w:spacing w:val="-13"/>
        </w:rPr>
        <w:t xml:space="preserve"> </w:t>
      </w:r>
      <w:r>
        <w:rPr>
          <w:color w:val="231F20"/>
        </w:rPr>
        <w:t>and</w:t>
      </w:r>
      <w:r>
        <w:rPr>
          <w:color w:val="231F20"/>
          <w:spacing w:val="-13"/>
        </w:rPr>
        <w:t xml:space="preserve"> </w:t>
      </w:r>
      <w:r>
        <w:rPr>
          <w:color w:val="231F20"/>
        </w:rPr>
        <w:t>is</w:t>
      </w:r>
      <w:r>
        <w:rPr>
          <w:color w:val="231F20"/>
          <w:spacing w:val="-13"/>
        </w:rPr>
        <w:t xml:space="preserve"> </w:t>
      </w:r>
      <w:r>
        <w:rPr>
          <w:color w:val="231F20"/>
        </w:rPr>
        <w:t>responsible</w:t>
      </w:r>
      <w:r>
        <w:rPr>
          <w:color w:val="231F20"/>
          <w:spacing w:val="-13"/>
        </w:rPr>
        <w:t xml:space="preserve"> </w:t>
      </w:r>
      <w:r>
        <w:rPr>
          <w:color w:val="231F20"/>
        </w:rPr>
        <w:t>for</w:t>
      </w:r>
      <w:r>
        <w:rPr>
          <w:color w:val="231F20"/>
          <w:spacing w:val="-13"/>
        </w:rPr>
        <w:t xml:space="preserve"> </w:t>
      </w:r>
      <w:r>
        <w:rPr>
          <w:color w:val="231F20"/>
        </w:rPr>
        <w:t>low</w:t>
      </w:r>
      <w:r>
        <w:rPr>
          <w:color w:val="231F20"/>
          <w:spacing w:val="-13"/>
        </w:rPr>
        <w:t xml:space="preserve"> </w:t>
      </w:r>
      <w:r>
        <w:rPr>
          <w:color w:val="231F20"/>
        </w:rPr>
        <w:t>productivity</w:t>
      </w:r>
      <w:r>
        <w:rPr>
          <w:color w:val="231F20"/>
          <w:spacing w:val="-13"/>
        </w:rPr>
        <w:t xml:space="preserve"> </w:t>
      </w:r>
      <w:r>
        <w:rPr>
          <w:color w:val="231F20"/>
        </w:rPr>
        <w:t>as</w:t>
      </w:r>
      <w:r>
        <w:rPr>
          <w:color w:val="231F20"/>
          <w:spacing w:val="-13"/>
        </w:rPr>
        <w:t xml:space="preserve"> </w:t>
      </w:r>
      <w:r>
        <w:rPr>
          <w:color w:val="231F20"/>
        </w:rPr>
        <w:t>well</w:t>
      </w:r>
      <w:r>
        <w:rPr>
          <w:color w:val="231F20"/>
          <w:spacing w:val="-13"/>
        </w:rPr>
        <w:t xml:space="preserve"> </w:t>
      </w:r>
      <w:r>
        <w:rPr>
          <w:color w:val="231F20"/>
        </w:rPr>
        <w:t>as</w:t>
      </w:r>
      <w:r>
        <w:rPr>
          <w:color w:val="231F20"/>
          <w:spacing w:val="-13"/>
        </w:rPr>
        <w:t xml:space="preserve"> </w:t>
      </w:r>
      <w:r>
        <w:rPr>
          <w:color w:val="231F20"/>
        </w:rPr>
        <w:t>school</w:t>
      </w:r>
      <w:r>
        <w:rPr>
          <w:color w:val="231F20"/>
          <w:spacing w:val="-13"/>
        </w:rPr>
        <w:t xml:space="preserve"> </w:t>
      </w:r>
      <w:r>
        <w:rPr>
          <w:color w:val="231F20"/>
        </w:rPr>
        <w:t>absenteeism</w:t>
      </w:r>
      <w:r>
        <w:rPr>
          <w:color w:val="231F20"/>
          <w:spacing w:val="-13"/>
        </w:rPr>
        <w:t xml:space="preserve"> </w:t>
      </w:r>
      <w:r>
        <w:rPr>
          <w:color w:val="231F20"/>
        </w:rPr>
        <w:t>and</w:t>
      </w:r>
      <w:r>
        <w:rPr>
          <w:color w:val="231F20"/>
          <w:spacing w:val="-13"/>
        </w:rPr>
        <w:t xml:space="preserve"> </w:t>
      </w:r>
      <w:r>
        <w:rPr>
          <w:color w:val="231F20"/>
        </w:rPr>
        <w:t>loss</w:t>
      </w:r>
      <w:r>
        <w:rPr>
          <w:color w:val="231F20"/>
          <w:spacing w:val="-13"/>
        </w:rPr>
        <w:t xml:space="preserve"> </w:t>
      </w:r>
      <w:r>
        <w:rPr>
          <w:color w:val="231F20"/>
          <w:spacing w:val="-7"/>
        </w:rPr>
        <w:t xml:space="preserve">of </w:t>
      </w:r>
      <w:r>
        <w:rPr>
          <w:color w:val="231F20"/>
        </w:rPr>
        <w:t xml:space="preserve">man-hours at work places. A large proportion of the population especially in the rural </w:t>
      </w:r>
      <w:r>
        <w:rPr>
          <w:color w:val="231F20"/>
          <w:spacing w:val="-3"/>
        </w:rPr>
        <w:t xml:space="preserve">areas </w:t>
      </w:r>
      <w:r>
        <w:rPr>
          <w:color w:val="231F20"/>
        </w:rPr>
        <w:t>patronized</w:t>
      </w:r>
      <w:r>
        <w:rPr>
          <w:color w:val="231F20"/>
          <w:spacing w:val="-23"/>
        </w:rPr>
        <w:t xml:space="preserve"> </w:t>
      </w:r>
      <w:r>
        <w:rPr>
          <w:color w:val="231F20"/>
        </w:rPr>
        <w:t>the</w:t>
      </w:r>
      <w:r>
        <w:rPr>
          <w:color w:val="231F20"/>
          <w:spacing w:val="-22"/>
        </w:rPr>
        <w:t xml:space="preserve"> </w:t>
      </w:r>
      <w:r>
        <w:rPr>
          <w:color w:val="231F20"/>
        </w:rPr>
        <w:t>unregulated</w:t>
      </w:r>
      <w:r>
        <w:rPr>
          <w:color w:val="231F20"/>
          <w:spacing w:val="-23"/>
        </w:rPr>
        <w:t xml:space="preserve"> </w:t>
      </w:r>
      <w:r>
        <w:rPr>
          <w:color w:val="231F20"/>
        </w:rPr>
        <w:t>and</w:t>
      </w:r>
      <w:r>
        <w:rPr>
          <w:color w:val="231F20"/>
          <w:spacing w:val="-22"/>
        </w:rPr>
        <w:t xml:space="preserve"> </w:t>
      </w:r>
      <w:r>
        <w:rPr>
          <w:color w:val="231F20"/>
        </w:rPr>
        <w:t>unregistered</w:t>
      </w:r>
      <w:r>
        <w:rPr>
          <w:color w:val="231F20"/>
          <w:spacing w:val="-22"/>
        </w:rPr>
        <w:t xml:space="preserve"> </w:t>
      </w:r>
      <w:r>
        <w:rPr>
          <w:color w:val="231F20"/>
        </w:rPr>
        <w:t>traditional</w:t>
      </w:r>
      <w:r>
        <w:rPr>
          <w:color w:val="231F20"/>
          <w:spacing w:val="-23"/>
        </w:rPr>
        <w:t xml:space="preserve"> </w:t>
      </w:r>
      <w:r>
        <w:rPr>
          <w:color w:val="231F20"/>
        </w:rPr>
        <w:t>practitioners</w:t>
      </w:r>
      <w:r>
        <w:rPr>
          <w:color w:val="231F20"/>
          <w:spacing w:val="-22"/>
        </w:rPr>
        <w:t xml:space="preserve"> </w:t>
      </w:r>
      <w:r>
        <w:rPr>
          <w:color w:val="231F20"/>
        </w:rPr>
        <w:t>and</w:t>
      </w:r>
      <w:r>
        <w:rPr>
          <w:color w:val="231F20"/>
          <w:spacing w:val="-22"/>
        </w:rPr>
        <w:t xml:space="preserve"> </w:t>
      </w:r>
      <w:r>
        <w:rPr>
          <w:color w:val="231F20"/>
        </w:rPr>
        <w:t>patent</w:t>
      </w:r>
      <w:r>
        <w:rPr>
          <w:color w:val="231F20"/>
          <w:spacing w:val="-23"/>
        </w:rPr>
        <w:t xml:space="preserve"> </w:t>
      </w:r>
      <w:r>
        <w:rPr>
          <w:color w:val="231F20"/>
        </w:rPr>
        <w:t>medicine</w:t>
      </w:r>
      <w:r>
        <w:rPr>
          <w:color w:val="231F20"/>
          <w:spacing w:val="-22"/>
        </w:rPr>
        <w:t xml:space="preserve"> </w:t>
      </w:r>
      <w:r>
        <w:rPr>
          <w:color w:val="231F20"/>
        </w:rPr>
        <w:t xml:space="preserve">vendors. The Free Medical Care </w:t>
      </w:r>
      <w:proofErr w:type="spellStart"/>
      <w:r>
        <w:rPr>
          <w:color w:val="231F20"/>
        </w:rPr>
        <w:t>Programme</w:t>
      </w:r>
      <w:proofErr w:type="spellEnd"/>
      <w:r>
        <w:rPr>
          <w:color w:val="231F20"/>
        </w:rPr>
        <w:t xml:space="preserve"> (FMCP) that was of immerse benefit to the state, was </w:t>
      </w:r>
      <w:r>
        <w:rPr>
          <w:color w:val="231F20"/>
          <w:spacing w:val="-3"/>
        </w:rPr>
        <w:t xml:space="preserve">later </w:t>
      </w:r>
      <w:r>
        <w:rPr>
          <w:color w:val="231F20"/>
        </w:rPr>
        <w:t>suspended</w:t>
      </w:r>
      <w:r>
        <w:rPr>
          <w:color w:val="231F20"/>
          <w:spacing w:val="-5"/>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poor</w:t>
      </w:r>
      <w:r>
        <w:rPr>
          <w:color w:val="231F20"/>
          <w:spacing w:val="-5"/>
        </w:rPr>
        <w:t xml:space="preserve"> </w:t>
      </w:r>
      <w:r>
        <w:rPr>
          <w:color w:val="231F20"/>
        </w:rPr>
        <w:t>funding</w:t>
      </w:r>
      <w:r>
        <w:rPr>
          <w:color w:val="231F20"/>
          <w:spacing w:val="-5"/>
        </w:rPr>
        <w:t xml:space="preserve"> </w:t>
      </w:r>
      <w:r>
        <w:rPr>
          <w:color w:val="231F20"/>
        </w:rPr>
        <w:t>and</w:t>
      </w:r>
      <w:r>
        <w:rPr>
          <w:color w:val="231F20"/>
          <w:spacing w:val="-5"/>
        </w:rPr>
        <w:t xml:space="preserve"> </w:t>
      </w:r>
      <w:r>
        <w:rPr>
          <w:color w:val="231F20"/>
        </w:rPr>
        <w:t>overwhelming</w:t>
      </w:r>
      <w:r>
        <w:rPr>
          <w:color w:val="231F20"/>
          <w:spacing w:val="-5"/>
        </w:rPr>
        <w:t xml:space="preserve"> </w:t>
      </w:r>
      <w:r>
        <w:rPr>
          <w:color w:val="231F20"/>
        </w:rPr>
        <w:t>pressure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health</w:t>
      </w:r>
      <w:r>
        <w:rPr>
          <w:color w:val="231F20"/>
          <w:spacing w:val="-5"/>
        </w:rPr>
        <w:t xml:space="preserve"> </w:t>
      </w:r>
      <w:r>
        <w:rPr>
          <w:color w:val="231F20"/>
        </w:rPr>
        <w:t>facilities.</w:t>
      </w:r>
      <w:r>
        <w:rPr>
          <w:color w:val="231F20"/>
          <w:spacing w:val="-9"/>
        </w:rPr>
        <w:t xml:space="preserve"> </w:t>
      </w:r>
      <w:r>
        <w:rPr>
          <w:color w:val="231F20"/>
        </w:rPr>
        <w:t>The</w:t>
      </w:r>
      <w:r>
        <w:rPr>
          <w:color w:val="231F20"/>
          <w:spacing w:val="-5"/>
        </w:rPr>
        <w:t xml:space="preserve"> </w:t>
      </w:r>
      <w:r>
        <w:rPr>
          <w:color w:val="231F20"/>
        </w:rPr>
        <w:t>quality</w:t>
      </w:r>
      <w:r>
        <w:rPr>
          <w:color w:val="231F20"/>
          <w:spacing w:val="-5"/>
        </w:rPr>
        <w:t xml:space="preserve"> </w:t>
      </w:r>
      <w:r>
        <w:rPr>
          <w:color w:val="231F20"/>
          <w:spacing w:val="-8"/>
        </w:rPr>
        <w:t xml:space="preserve">of </w:t>
      </w:r>
      <w:r>
        <w:rPr>
          <w:color w:val="231F20"/>
        </w:rPr>
        <w:t>service</w:t>
      </w:r>
      <w:r w:rsidR="005F489E">
        <w:rPr>
          <w:color w:val="231F20"/>
        </w:rPr>
        <w:t xml:space="preserve"> </w:t>
      </w:r>
      <w:r>
        <w:rPr>
          <w:color w:val="231F20"/>
        </w:rPr>
        <w:t>delivery also dropped. With the improvement in infrastructure came other structural problems</w:t>
      </w:r>
      <w:r>
        <w:rPr>
          <w:color w:val="231F20"/>
          <w:spacing w:val="-7"/>
        </w:rPr>
        <w:t xml:space="preserve"> </w:t>
      </w:r>
      <w:r>
        <w:rPr>
          <w:color w:val="231F20"/>
        </w:rPr>
        <w:t>like</w:t>
      </w:r>
      <w:r>
        <w:rPr>
          <w:color w:val="231F20"/>
          <w:spacing w:val="-7"/>
        </w:rPr>
        <w:t xml:space="preserve"> </w:t>
      </w:r>
      <w:r>
        <w:rPr>
          <w:color w:val="231F20"/>
        </w:rPr>
        <w:t>the</w:t>
      </w:r>
      <w:r>
        <w:rPr>
          <w:color w:val="231F20"/>
          <w:spacing w:val="-7"/>
        </w:rPr>
        <w:t xml:space="preserve"> </w:t>
      </w:r>
      <w:r>
        <w:rPr>
          <w:color w:val="231F20"/>
        </w:rPr>
        <w:t>maintenance</w:t>
      </w:r>
      <w:r>
        <w:rPr>
          <w:color w:val="231F20"/>
          <w:spacing w:val="-6"/>
        </w:rPr>
        <w:t xml:space="preserve"> </w:t>
      </w:r>
      <w:r>
        <w:rPr>
          <w:color w:val="231F20"/>
        </w:rPr>
        <w:t>of</w:t>
      </w:r>
      <w:r>
        <w:rPr>
          <w:color w:val="231F20"/>
          <w:spacing w:val="-7"/>
        </w:rPr>
        <w:t xml:space="preserve"> </w:t>
      </w:r>
      <w:r>
        <w:rPr>
          <w:color w:val="231F20"/>
        </w:rPr>
        <w:t>infrastructure</w:t>
      </w:r>
      <w:r>
        <w:rPr>
          <w:color w:val="231F20"/>
          <w:spacing w:val="-7"/>
        </w:rPr>
        <w:t xml:space="preserve"> </w:t>
      </w:r>
      <w:r>
        <w:rPr>
          <w:color w:val="231F20"/>
        </w:rPr>
        <w:t>and</w:t>
      </w:r>
      <w:r>
        <w:rPr>
          <w:color w:val="231F20"/>
          <w:spacing w:val="-7"/>
        </w:rPr>
        <w:t xml:space="preserve"> </w:t>
      </w:r>
      <w:r>
        <w:rPr>
          <w:color w:val="231F20"/>
        </w:rPr>
        <w:t>equipment.</w:t>
      </w:r>
      <w:r>
        <w:rPr>
          <w:color w:val="231F20"/>
          <w:spacing w:val="-10"/>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also</w:t>
      </w:r>
      <w:r>
        <w:rPr>
          <w:color w:val="231F20"/>
          <w:spacing w:val="-8"/>
        </w:rPr>
        <w:t xml:space="preserve"> </w:t>
      </w:r>
      <w:r>
        <w:rPr>
          <w:color w:val="231F20"/>
        </w:rPr>
        <w:t>loss</w:t>
      </w:r>
      <w:r>
        <w:rPr>
          <w:color w:val="231F20"/>
          <w:spacing w:val="-7"/>
        </w:rPr>
        <w:t xml:space="preserve"> </w:t>
      </w:r>
      <w:r>
        <w:rPr>
          <w:color w:val="231F20"/>
        </w:rPr>
        <w:t>of</w:t>
      </w:r>
      <w:r>
        <w:rPr>
          <w:color w:val="231F20"/>
          <w:spacing w:val="-7"/>
        </w:rPr>
        <w:t xml:space="preserve"> </w:t>
      </w:r>
      <w:r>
        <w:rPr>
          <w:color w:val="231F20"/>
        </w:rPr>
        <w:t>consumer confidence</w:t>
      </w:r>
      <w:r>
        <w:rPr>
          <w:color w:val="231F20"/>
          <w:spacing w:val="-18"/>
        </w:rPr>
        <w:t xml:space="preserve"> </w:t>
      </w:r>
      <w:r>
        <w:rPr>
          <w:color w:val="231F20"/>
        </w:rPr>
        <w:t>and</w:t>
      </w:r>
      <w:r>
        <w:rPr>
          <w:color w:val="231F20"/>
          <w:spacing w:val="-18"/>
        </w:rPr>
        <w:t xml:space="preserve"> </w:t>
      </w:r>
      <w:r>
        <w:rPr>
          <w:color w:val="231F20"/>
        </w:rPr>
        <w:t>low</w:t>
      </w:r>
      <w:r>
        <w:rPr>
          <w:color w:val="231F20"/>
          <w:spacing w:val="-19"/>
        </w:rPr>
        <w:t xml:space="preserve"> </w:t>
      </w:r>
      <w:r>
        <w:rPr>
          <w:color w:val="231F20"/>
        </w:rPr>
        <w:t>utilization</w:t>
      </w:r>
      <w:r>
        <w:rPr>
          <w:color w:val="231F20"/>
          <w:spacing w:val="-17"/>
        </w:rPr>
        <w:t xml:space="preserve"> </w:t>
      </w:r>
      <w:r>
        <w:rPr>
          <w:color w:val="231F20"/>
        </w:rPr>
        <w:t>of</w:t>
      </w:r>
      <w:r>
        <w:rPr>
          <w:color w:val="231F20"/>
          <w:spacing w:val="-18"/>
        </w:rPr>
        <w:t xml:space="preserve"> </w:t>
      </w:r>
      <w:r>
        <w:rPr>
          <w:color w:val="231F20"/>
        </w:rPr>
        <w:t>services,</w:t>
      </w:r>
      <w:r>
        <w:rPr>
          <w:color w:val="231F20"/>
          <w:spacing w:val="-19"/>
        </w:rPr>
        <w:t xml:space="preserve"> </w:t>
      </w:r>
      <w:r>
        <w:rPr>
          <w:color w:val="231F20"/>
        </w:rPr>
        <w:t>low</w:t>
      </w:r>
      <w:r>
        <w:rPr>
          <w:color w:val="231F20"/>
          <w:spacing w:val="-18"/>
        </w:rPr>
        <w:t xml:space="preserve"> </w:t>
      </w:r>
      <w:r>
        <w:rPr>
          <w:color w:val="231F20"/>
        </w:rPr>
        <w:t>staff</w:t>
      </w:r>
      <w:r>
        <w:rPr>
          <w:color w:val="231F20"/>
          <w:spacing w:val="-19"/>
        </w:rPr>
        <w:t xml:space="preserve"> </w:t>
      </w:r>
      <w:r>
        <w:rPr>
          <w:color w:val="231F20"/>
        </w:rPr>
        <w:t>morale,</w:t>
      </w:r>
      <w:r>
        <w:rPr>
          <w:color w:val="231F20"/>
          <w:spacing w:val="-18"/>
        </w:rPr>
        <w:t xml:space="preserve"> </w:t>
      </w:r>
      <w:r>
        <w:rPr>
          <w:color w:val="231F20"/>
        </w:rPr>
        <w:t>poor</w:t>
      </w:r>
      <w:r>
        <w:rPr>
          <w:color w:val="231F20"/>
          <w:spacing w:val="-18"/>
        </w:rPr>
        <w:t xml:space="preserve"> </w:t>
      </w:r>
      <w:r>
        <w:rPr>
          <w:color w:val="231F20"/>
        </w:rPr>
        <w:t>health</w:t>
      </w:r>
      <w:r>
        <w:rPr>
          <w:color w:val="231F20"/>
          <w:spacing w:val="-18"/>
        </w:rPr>
        <w:t xml:space="preserve"> </w:t>
      </w:r>
      <w:r>
        <w:rPr>
          <w:color w:val="231F20"/>
        </w:rPr>
        <w:t>indices</w:t>
      </w:r>
      <w:r>
        <w:rPr>
          <w:color w:val="231F20"/>
          <w:spacing w:val="-17"/>
        </w:rPr>
        <w:t xml:space="preserve"> </w:t>
      </w:r>
      <w:r>
        <w:rPr>
          <w:color w:val="231F20"/>
        </w:rPr>
        <w:t>and</w:t>
      </w:r>
      <w:r>
        <w:rPr>
          <w:color w:val="231F20"/>
          <w:spacing w:val="-18"/>
        </w:rPr>
        <w:t xml:space="preserve"> </w:t>
      </w:r>
      <w:r>
        <w:rPr>
          <w:color w:val="231F20"/>
        </w:rPr>
        <w:t>eventually</w:t>
      </w:r>
      <w:r>
        <w:rPr>
          <w:color w:val="231F20"/>
          <w:spacing w:val="-18"/>
        </w:rPr>
        <w:t xml:space="preserve"> </w:t>
      </w:r>
      <w:r>
        <w:rPr>
          <w:color w:val="231F20"/>
        </w:rPr>
        <w:t>near collapse</w:t>
      </w:r>
      <w:r>
        <w:rPr>
          <w:color w:val="231F20"/>
          <w:spacing w:val="-19"/>
        </w:rPr>
        <w:t xml:space="preserve"> </w:t>
      </w:r>
      <w:r>
        <w:rPr>
          <w:color w:val="231F20"/>
        </w:rPr>
        <w:t>of</w:t>
      </w:r>
      <w:r>
        <w:rPr>
          <w:color w:val="231F20"/>
          <w:spacing w:val="-19"/>
        </w:rPr>
        <w:t xml:space="preserve"> </w:t>
      </w:r>
      <w:r>
        <w:rPr>
          <w:color w:val="231F20"/>
        </w:rPr>
        <w:t>primary</w:t>
      </w:r>
      <w:r>
        <w:rPr>
          <w:color w:val="231F20"/>
          <w:spacing w:val="-19"/>
        </w:rPr>
        <w:t xml:space="preserve"> </w:t>
      </w:r>
      <w:r>
        <w:rPr>
          <w:color w:val="231F20"/>
        </w:rPr>
        <w:t>health</w:t>
      </w:r>
      <w:r>
        <w:rPr>
          <w:color w:val="231F20"/>
          <w:spacing w:val="-19"/>
        </w:rPr>
        <w:t xml:space="preserve"> </w:t>
      </w:r>
      <w:r>
        <w:rPr>
          <w:color w:val="231F20"/>
        </w:rPr>
        <w:t>care.</w:t>
      </w:r>
      <w:r>
        <w:rPr>
          <w:color w:val="231F20"/>
          <w:spacing w:val="-19"/>
        </w:rPr>
        <w:t xml:space="preserve"> </w:t>
      </w:r>
      <w:r>
        <w:rPr>
          <w:color w:val="231F20"/>
        </w:rPr>
        <w:t>Presently</w:t>
      </w:r>
      <w:r>
        <w:rPr>
          <w:color w:val="231F20"/>
          <w:spacing w:val="-19"/>
        </w:rPr>
        <w:t xml:space="preserve"> </w:t>
      </w:r>
      <w:r>
        <w:rPr>
          <w:color w:val="231F20"/>
        </w:rPr>
        <w:t>the</w:t>
      </w:r>
      <w:r>
        <w:rPr>
          <w:color w:val="231F20"/>
          <w:spacing w:val="-19"/>
        </w:rPr>
        <w:t xml:space="preserve"> </w:t>
      </w:r>
      <w:r>
        <w:rPr>
          <w:color w:val="231F20"/>
        </w:rPr>
        <w:t>construction</w:t>
      </w:r>
      <w:r>
        <w:rPr>
          <w:color w:val="231F20"/>
          <w:spacing w:val="-19"/>
        </w:rPr>
        <w:t xml:space="preserve"> </w:t>
      </w:r>
      <w:r>
        <w:rPr>
          <w:color w:val="231F20"/>
        </w:rPr>
        <w:t>of</w:t>
      </w:r>
      <w:r>
        <w:rPr>
          <w:color w:val="231F20"/>
          <w:spacing w:val="-19"/>
        </w:rPr>
        <w:t xml:space="preserve"> </w:t>
      </w:r>
      <w:r>
        <w:rPr>
          <w:color w:val="231F20"/>
        </w:rPr>
        <w:t>the</w:t>
      </w:r>
      <w:r>
        <w:rPr>
          <w:color w:val="231F20"/>
          <w:spacing w:val="-18"/>
        </w:rPr>
        <w:t xml:space="preserve"> </w:t>
      </w:r>
      <w:r>
        <w:rPr>
          <w:color w:val="231F20"/>
        </w:rPr>
        <w:t>four</w:t>
      </w:r>
      <w:r>
        <w:rPr>
          <w:color w:val="231F20"/>
          <w:spacing w:val="-19"/>
        </w:rPr>
        <w:t xml:space="preserve"> </w:t>
      </w:r>
      <w:r>
        <w:rPr>
          <w:color w:val="231F20"/>
        </w:rPr>
        <w:t>Zonal</w:t>
      </w:r>
      <w:r>
        <w:rPr>
          <w:color w:val="231F20"/>
          <w:spacing w:val="-19"/>
        </w:rPr>
        <w:t xml:space="preserve"> </w:t>
      </w:r>
      <w:r>
        <w:rPr>
          <w:color w:val="231F20"/>
        </w:rPr>
        <w:t>hospitals</w:t>
      </w:r>
      <w:r>
        <w:rPr>
          <w:color w:val="231F20"/>
          <w:spacing w:val="-19"/>
        </w:rPr>
        <w:t xml:space="preserve"> </w:t>
      </w:r>
      <w:r>
        <w:rPr>
          <w:color w:val="231F20"/>
        </w:rPr>
        <w:t>is</w:t>
      </w:r>
      <w:r>
        <w:rPr>
          <w:color w:val="231F20"/>
          <w:spacing w:val="-19"/>
        </w:rPr>
        <w:t xml:space="preserve"> </w:t>
      </w:r>
      <w:r>
        <w:rPr>
          <w:color w:val="231F20"/>
        </w:rPr>
        <w:t>in</w:t>
      </w:r>
      <w:r>
        <w:rPr>
          <w:color w:val="231F20"/>
          <w:spacing w:val="-19"/>
        </w:rPr>
        <w:t xml:space="preserve"> </w:t>
      </w:r>
      <w:r>
        <w:rPr>
          <w:color w:val="231F20"/>
        </w:rPr>
        <w:t>progress as</w:t>
      </w:r>
      <w:r>
        <w:rPr>
          <w:color w:val="231F20"/>
          <w:spacing w:val="-25"/>
        </w:rPr>
        <w:t xml:space="preserve"> </w:t>
      </w:r>
      <w:r>
        <w:rPr>
          <w:color w:val="231F20"/>
        </w:rPr>
        <w:t>well</w:t>
      </w:r>
      <w:r>
        <w:rPr>
          <w:color w:val="231F20"/>
          <w:spacing w:val="-26"/>
        </w:rPr>
        <w:t xml:space="preserve"> </w:t>
      </w:r>
      <w:r>
        <w:rPr>
          <w:color w:val="231F20"/>
        </w:rPr>
        <w:t>as</w:t>
      </w:r>
      <w:r>
        <w:rPr>
          <w:color w:val="231F20"/>
          <w:spacing w:val="-25"/>
        </w:rPr>
        <w:t xml:space="preserve"> </w:t>
      </w:r>
      <w:r>
        <w:rPr>
          <w:color w:val="231F20"/>
        </w:rPr>
        <w:t>the</w:t>
      </w:r>
      <w:r>
        <w:rPr>
          <w:color w:val="231F20"/>
          <w:spacing w:val="-25"/>
        </w:rPr>
        <w:t xml:space="preserve"> </w:t>
      </w:r>
      <w:r>
        <w:rPr>
          <w:color w:val="231F20"/>
        </w:rPr>
        <w:t>renovation</w:t>
      </w:r>
      <w:r>
        <w:rPr>
          <w:color w:val="231F20"/>
          <w:spacing w:val="-25"/>
        </w:rPr>
        <w:t xml:space="preserve"> </w:t>
      </w:r>
      <w:r>
        <w:rPr>
          <w:color w:val="231F20"/>
        </w:rPr>
        <w:t>of</w:t>
      </w:r>
      <w:r>
        <w:rPr>
          <w:color w:val="231F20"/>
          <w:spacing w:val="-25"/>
        </w:rPr>
        <w:t xml:space="preserve"> </w:t>
      </w:r>
      <w:r>
        <w:rPr>
          <w:color w:val="231F20"/>
        </w:rPr>
        <w:t>existing</w:t>
      </w:r>
      <w:r>
        <w:rPr>
          <w:color w:val="231F20"/>
          <w:spacing w:val="-25"/>
        </w:rPr>
        <w:t xml:space="preserve"> </w:t>
      </w:r>
      <w:r>
        <w:rPr>
          <w:color w:val="231F20"/>
        </w:rPr>
        <w:t>General</w:t>
      </w:r>
      <w:r>
        <w:rPr>
          <w:color w:val="231F20"/>
          <w:spacing w:val="-25"/>
        </w:rPr>
        <w:t xml:space="preserve"> </w:t>
      </w:r>
      <w:r>
        <w:rPr>
          <w:color w:val="231F20"/>
        </w:rPr>
        <w:t>hospitals.</w:t>
      </w:r>
    </w:p>
    <w:p w14:paraId="2BF75995" w14:textId="77777777" w:rsidR="009948F1" w:rsidRDefault="009948F1">
      <w:pPr>
        <w:pStyle w:val="BodyText"/>
        <w:spacing w:before="2"/>
        <w:rPr>
          <w:sz w:val="25"/>
        </w:rPr>
      </w:pPr>
    </w:p>
    <w:p w14:paraId="4B3473AF" w14:textId="77777777" w:rsidR="009948F1" w:rsidRDefault="00BC0563">
      <w:pPr>
        <w:pStyle w:val="Heading7"/>
        <w:numPr>
          <w:ilvl w:val="2"/>
          <w:numId w:val="321"/>
        </w:numPr>
        <w:tabs>
          <w:tab w:val="left" w:pos="872"/>
        </w:tabs>
        <w:spacing w:before="1"/>
        <w:ind w:hanging="721"/>
        <w:jc w:val="both"/>
      </w:pPr>
      <w:r>
        <w:rPr>
          <w:color w:val="231F20"/>
        </w:rPr>
        <w:t>Unemployment</w:t>
      </w:r>
    </w:p>
    <w:p w14:paraId="3646D026" w14:textId="4B375074" w:rsidR="009948F1" w:rsidRDefault="00BC0563">
      <w:pPr>
        <w:pStyle w:val="BodyText"/>
        <w:spacing w:before="42" w:line="278" w:lineRule="auto"/>
        <w:ind w:left="150" w:right="208"/>
        <w:jc w:val="both"/>
      </w:pPr>
      <w:r>
        <w:rPr>
          <w:color w:val="231F20"/>
        </w:rPr>
        <w:t>The Joint Annual/Mid-Term Reviews (JAR/MTR) of the Rivers State Strategic Health</w:t>
      </w:r>
      <w:r>
        <w:rPr>
          <w:color w:val="231F20"/>
          <w:spacing w:val="-28"/>
        </w:rPr>
        <w:t xml:space="preserve"> </w:t>
      </w:r>
      <w:r>
        <w:rPr>
          <w:color w:val="231F20"/>
        </w:rPr>
        <w:t>Framework (2010-2015) revealed an unemployment rate that is higher than the national average and that approximately</w:t>
      </w:r>
      <w:r>
        <w:rPr>
          <w:color w:val="231F20"/>
          <w:spacing w:val="-11"/>
        </w:rPr>
        <w:t xml:space="preserve"> </w:t>
      </w:r>
      <w:r>
        <w:rPr>
          <w:color w:val="231F20"/>
        </w:rPr>
        <w:t>50%</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population</w:t>
      </w:r>
      <w:r>
        <w:rPr>
          <w:color w:val="231F20"/>
          <w:spacing w:val="-11"/>
        </w:rPr>
        <w:t xml:space="preserve"> </w:t>
      </w:r>
      <w:r>
        <w:rPr>
          <w:color w:val="231F20"/>
        </w:rPr>
        <w:t>are</w:t>
      </w:r>
      <w:r>
        <w:rPr>
          <w:color w:val="231F20"/>
          <w:spacing w:val="-11"/>
        </w:rPr>
        <w:t xml:space="preserve"> </w:t>
      </w:r>
      <w:r>
        <w:rPr>
          <w:color w:val="231F20"/>
        </w:rPr>
        <w:t>'poor.'</w:t>
      </w:r>
      <w:r>
        <w:rPr>
          <w:color w:val="231F20"/>
          <w:position w:val="11"/>
          <w:sz w:val="11"/>
        </w:rPr>
        <w:t>3</w:t>
      </w:r>
      <w:r>
        <w:rPr>
          <w:color w:val="231F20"/>
        </w:rPr>
        <w:t>The</w:t>
      </w:r>
      <w:r>
        <w:rPr>
          <w:color w:val="231F20"/>
          <w:spacing w:val="-11"/>
        </w:rPr>
        <w:t xml:space="preserve"> </w:t>
      </w:r>
      <w:r>
        <w:rPr>
          <w:color w:val="231F20"/>
        </w:rPr>
        <w:t>high</w:t>
      </w:r>
      <w:r>
        <w:rPr>
          <w:color w:val="231F20"/>
          <w:spacing w:val="-11"/>
        </w:rPr>
        <w:t xml:space="preserve"> </w:t>
      </w:r>
      <w:r>
        <w:rPr>
          <w:color w:val="231F20"/>
        </w:rPr>
        <w:t>level</w:t>
      </w:r>
      <w:r>
        <w:rPr>
          <w:color w:val="231F20"/>
          <w:spacing w:val="-12"/>
        </w:rPr>
        <w:t xml:space="preserve"> </w:t>
      </w:r>
      <w:r>
        <w:rPr>
          <w:color w:val="231F20"/>
        </w:rPr>
        <w:t>of</w:t>
      </w:r>
      <w:r>
        <w:rPr>
          <w:color w:val="231F20"/>
          <w:spacing w:val="-11"/>
        </w:rPr>
        <w:t xml:space="preserve"> </w:t>
      </w:r>
      <w:r>
        <w:rPr>
          <w:color w:val="231F20"/>
        </w:rPr>
        <w:t>unemployment</w:t>
      </w:r>
      <w:r>
        <w:rPr>
          <w:color w:val="231F20"/>
          <w:spacing w:val="-10"/>
        </w:rPr>
        <w:t xml:space="preserve"> </w:t>
      </w:r>
      <w:r>
        <w:rPr>
          <w:color w:val="231F20"/>
        </w:rPr>
        <w:t>is</w:t>
      </w:r>
      <w:r>
        <w:rPr>
          <w:color w:val="231F20"/>
          <w:spacing w:val="-11"/>
        </w:rPr>
        <w:t xml:space="preserve"> </w:t>
      </w:r>
      <w:r>
        <w:rPr>
          <w:color w:val="231F20"/>
        </w:rPr>
        <w:t>correlated</w:t>
      </w:r>
      <w:r>
        <w:rPr>
          <w:color w:val="231F20"/>
          <w:spacing w:val="-12"/>
        </w:rPr>
        <w:t xml:space="preserve"> </w:t>
      </w:r>
      <w:r>
        <w:rPr>
          <w:color w:val="231F20"/>
        </w:rPr>
        <w:t xml:space="preserve">with poor health status and increased mortality. </w:t>
      </w:r>
      <w:r>
        <w:rPr>
          <w:color w:val="231F20"/>
          <w:spacing w:val="-5"/>
        </w:rPr>
        <w:t xml:space="preserve">Young </w:t>
      </w:r>
      <w:r>
        <w:rPr>
          <w:color w:val="231F20"/>
        </w:rPr>
        <w:t>persons and especially young graduates are worst affected by unemployment. In recent times militancy, youth rest</w:t>
      </w:r>
      <w:r w:rsidR="005F489E">
        <w:rPr>
          <w:color w:val="231F20"/>
        </w:rPr>
        <w:t>iveness and kidnapping o</w:t>
      </w:r>
      <w:r>
        <w:rPr>
          <w:color w:val="231F20"/>
        </w:rPr>
        <w:t xml:space="preserve">f health workers have become the norm. This is made worse by the </w:t>
      </w:r>
      <w:r>
        <w:rPr>
          <w:color w:val="231F20"/>
          <w:spacing w:val="-3"/>
        </w:rPr>
        <w:t xml:space="preserve">difficult </w:t>
      </w:r>
      <w:r>
        <w:rPr>
          <w:color w:val="231F20"/>
        </w:rPr>
        <w:t>geographical terrain of the communities, inadequate funds for health care delivery and skilled manpower.</w:t>
      </w:r>
      <w:r>
        <w:rPr>
          <w:color w:val="231F20"/>
          <w:spacing w:val="-9"/>
        </w:rPr>
        <w:t xml:space="preserve"> </w:t>
      </w:r>
      <w:r>
        <w:rPr>
          <w:color w:val="231F20"/>
        </w:rPr>
        <w:t>Lassa</w:t>
      </w:r>
      <w:r>
        <w:rPr>
          <w:color w:val="231F20"/>
          <w:spacing w:val="-9"/>
        </w:rPr>
        <w:t xml:space="preserve"> </w:t>
      </w:r>
      <w:r>
        <w:rPr>
          <w:color w:val="231F20"/>
          <w:spacing w:val="-3"/>
        </w:rPr>
        <w:t>fever,</w:t>
      </w:r>
      <w:r>
        <w:rPr>
          <w:color w:val="231F20"/>
          <w:spacing w:val="-8"/>
        </w:rPr>
        <w:t xml:space="preserve"> </w:t>
      </w:r>
      <w:r>
        <w:rPr>
          <w:color w:val="231F20"/>
        </w:rPr>
        <w:t>Monkey</w:t>
      </w:r>
      <w:r>
        <w:rPr>
          <w:color w:val="231F20"/>
          <w:spacing w:val="-9"/>
        </w:rPr>
        <w:t xml:space="preserve"> </w:t>
      </w:r>
      <w:r>
        <w:rPr>
          <w:color w:val="231F20"/>
        </w:rPr>
        <w:t>pox,</w:t>
      </w:r>
      <w:r>
        <w:rPr>
          <w:color w:val="231F20"/>
          <w:spacing w:val="-9"/>
        </w:rPr>
        <w:t xml:space="preserve"> </w:t>
      </w:r>
      <w:r>
        <w:rPr>
          <w:color w:val="231F20"/>
        </w:rPr>
        <w:t>HIV/AIDS,</w:t>
      </w:r>
      <w:r>
        <w:rPr>
          <w:color w:val="231F20"/>
          <w:spacing w:val="-8"/>
        </w:rPr>
        <w:t xml:space="preserve"> </w:t>
      </w:r>
      <w:r>
        <w:rPr>
          <w:color w:val="231F20"/>
        </w:rPr>
        <w:t>Ebola</w:t>
      </w:r>
      <w:r>
        <w:rPr>
          <w:color w:val="231F20"/>
          <w:spacing w:val="-9"/>
        </w:rPr>
        <w:t xml:space="preserve"> </w:t>
      </w:r>
      <w:r>
        <w:rPr>
          <w:color w:val="231F20"/>
        </w:rPr>
        <w:t>and</w:t>
      </w:r>
      <w:r>
        <w:rPr>
          <w:color w:val="231F20"/>
          <w:spacing w:val="-8"/>
        </w:rPr>
        <w:t xml:space="preserve"> </w:t>
      </w:r>
      <w:r>
        <w:rPr>
          <w:color w:val="231F20"/>
        </w:rPr>
        <w:t>most</w:t>
      </w:r>
      <w:r>
        <w:rPr>
          <w:color w:val="231F20"/>
          <w:spacing w:val="-9"/>
        </w:rPr>
        <w:t xml:space="preserve"> </w:t>
      </w:r>
      <w:r>
        <w:rPr>
          <w:color w:val="231F20"/>
        </w:rPr>
        <w:t>recently</w:t>
      </w:r>
      <w:r>
        <w:rPr>
          <w:color w:val="231F20"/>
          <w:spacing w:val="-9"/>
        </w:rPr>
        <w:t xml:space="preserve"> </w:t>
      </w:r>
      <w:r>
        <w:rPr>
          <w:color w:val="231F20"/>
        </w:rPr>
        <w:t>the</w:t>
      </w:r>
      <w:r>
        <w:rPr>
          <w:color w:val="231F20"/>
          <w:spacing w:val="-8"/>
        </w:rPr>
        <w:t xml:space="preserve"> </w:t>
      </w:r>
      <w:r>
        <w:rPr>
          <w:color w:val="231F20"/>
        </w:rPr>
        <w:t>soot</w:t>
      </w:r>
      <w:r>
        <w:rPr>
          <w:color w:val="231F20"/>
          <w:spacing w:val="-9"/>
        </w:rPr>
        <w:t xml:space="preserve"> </w:t>
      </w:r>
      <w:r>
        <w:rPr>
          <w:color w:val="231F20"/>
        </w:rPr>
        <w:t>pollution</w:t>
      </w:r>
      <w:r>
        <w:rPr>
          <w:color w:val="231F20"/>
          <w:spacing w:val="-8"/>
        </w:rPr>
        <w:t xml:space="preserve"> </w:t>
      </w:r>
      <w:r>
        <w:rPr>
          <w:color w:val="231F20"/>
        </w:rPr>
        <w:t>scare are</w:t>
      </w:r>
      <w:r>
        <w:rPr>
          <w:color w:val="231F20"/>
          <w:spacing w:val="-25"/>
        </w:rPr>
        <w:t xml:space="preserve"> </w:t>
      </w:r>
      <w:r>
        <w:rPr>
          <w:color w:val="231F20"/>
        </w:rPr>
        <w:t>of</w:t>
      </w:r>
      <w:r>
        <w:rPr>
          <w:color w:val="231F20"/>
          <w:spacing w:val="-25"/>
        </w:rPr>
        <w:t xml:space="preserve"> </w:t>
      </w:r>
      <w:r>
        <w:rPr>
          <w:color w:val="231F20"/>
        </w:rPr>
        <w:t>major</w:t>
      </w:r>
      <w:r>
        <w:rPr>
          <w:color w:val="231F20"/>
          <w:spacing w:val="-25"/>
        </w:rPr>
        <w:t xml:space="preserve"> </w:t>
      </w:r>
      <w:r>
        <w:rPr>
          <w:color w:val="231F20"/>
        </w:rPr>
        <w:t>concern.</w:t>
      </w:r>
    </w:p>
    <w:p w14:paraId="55AC17E5" w14:textId="77777777" w:rsidR="009948F1" w:rsidRDefault="009948F1">
      <w:pPr>
        <w:pStyle w:val="BodyText"/>
        <w:spacing w:before="8"/>
        <w:rPr>
          <w:sz w:val="26"/>
        </w:rPr>
      </w:pPr>
    </w:p>
    <w:p w14:paraId="461DA114" w14:textId="77777777" w:rsidR="009948F1" w:rsidRDefault="00BC0563">
      <w:pPr>
        <w:pStyle w:val="Heading7"/>
        <w:numPr>
          <w:ilvl w:val="2"/>
          <w:numId w:val="321"/>
        </w:numPr>
        <w:tabs>
          <w:tab w:val="left" w:pos="870"/>
          <w:tab w:val="left" w:pos="871"/>
        </w:tabs>
        <w:ind w:left="870" w:hanging="721"/>
      </w:pPr>
      <w:r>
        <w:rPr>
          <w:color w:val="231F20"/>
        </w:rPr>
        <w:t>Water and</w:t>
      </w:r>
      <w:r>
        <w:rPr>
          <w:color w:val="231F20"/>
          <w:spacing w:val="-51"/>
        </w:rPr>
        <w:t xml:space="preserve"> </w:t>
      </w:r>
      <w:r>
        <w:rPr>
          <w:color w:val="231F20"/>
        </w:rPr>
        <w:t>Sanitation</w:t>
      </w:r>
    </w:p>
    <w:p w14:paraId="79B963E3" w14:textId="77777777" w:rsidR="009948F1" w:rsidRDefault="00BC0563">
      <w:pPr>
        <w:pStyle w:val="BodyText"/>
        <w:spacing w:before="43" w:line="273" w:lineRule="auto"/>
        <w:ind w:left="150" w:right="208"/>
        <w:jc w:val="both"/>
      </w:pPr>
      <w:r>
        <w:rPr>
          <w:color w:val="231F20"/>
        </w:rPr>
        <w:t>According to the NDHS 2013, the households with improved source of drinking water showed</w:t>
      </w:r>
      <w:r>
        <w:rPr>
          <w:color w:val="231F20"/>
          <w:spacing w:val="-44"/>
        </w:rPr>
        <w:t xml:space="preserve"> </w:t>
      </w:r>
      <w:r>
        <w:rPr>
          <w:color w:val="231F20"/>
        </w:rPr>
        <w:t>an improvement</w:t>
      </w:r>
      <w:r>
        <w:rPr>
          <w:color w:val="231F20"/>
          <w:spacing w:val="-26"/>
        </w:rPr>
        <w:t xml:space="preserve"> </w:t>
      </w:r>
      <w:r>
        <w:rPr>
          <w:color w:val="231F20"/>
        </w:rPr>
        <w:t>from</w:t>
      </w:r>
      <w:r>
        <w:rPr>
          <w:color w:val="231F20"/>
          <w:spacing w:val="-25"/>
        </w:rPr>
        <w:t xml:space="preserve"> </w:t>
      </w:r>
      <w:r>
        <w:rPr>
          <w:color w:val="231F20"/>
        </w:rPr>
        <w:t>26%</w:t>
      </w:r>
      <w:r>
        <w:rPr>
          <w:color w:val="231F20"/>
          <w:spacing w:val="-25"/>
        </w:rPr>
        <w:t xml:space="preserve"> </w:t>
      </w:r>
      <w:r>
        <w:rPr>
          <w:color w:val="231F20"/>
        </w:rPr>
        <w:t>to</w:t>
      </w:r>
      <w:r>
        <w:rPr>
          <w:color w:val="231F20"/>
          <w:spacing w:val="-25"/>
        </w:rPr>
        <w:t xml:space="preserve"> </w:t>
      </w:r>
      <w:r>
        <w:rPr>
          <w:color w:val="231F20"/>
        </w:rPr>
        <w:t>71.3%</w:t>
      </w:r>
      <w:r>
        <w:rPr>
          <w:color w:val="231F20"/>
          <w:position w:val="11"/>
          <w:sz w:val="11"/>
        </w:rPr>
        <w:t>9</w:t>
      </w:r>
      <w:r>
        <w:rPr>
          <w:color w:val="231F20"/>
          <w:spacing w:val="6"/>
          <w:position w:val="11"/>
          <w:sz w:val="11"/>
        </w:rPr>
        <w:t xml:space="preserve"> </w:t>
      </w:r>
      <w:r>
        <w:rPr>
          <w:color w:val="231F20"/>
        </w:rPr>
        <w:t>and</w:t>
      </w:r>
      <w:r>
        <w:rPr>
          <w:color w:val="231F20"/>
          <w:spacing w:val="-25"/>
        </w:rPr>
        <w:t xml:space="preserve"> </w:t>
      </w:r>
      <w:r>
        <w:rPr>
          <w:color w:val="231F20"/>
        </w:rPr>
        <w:t>households</w:t>
      </w:r>
      <w:r>
        <w:rPr>
          <w:color w:val="231F20"/>
          <w:spacing w:val="-25"/>
        </w:rPr>
        <w:t xml:space="preserve"> </w:t>
      </w:r>
      <w:r>
        <w:rPr>
          <w:color w:val="231F20"/>
        </w:rPr>
        <w:t>with</w:t>
      </w:r>
      <w:r>
        <w:rPr>
          <w:color w:val="231F20"/>
          <w:spacing w:val="-25"/>
        </w:rPr>
        <w:t xml:space="preserve"> </w:t>
      </w:r>
      <w:r>
        <w:rPr>
          <w:color w:val="231F20"/>
        </w:rPr>
        <w:t>improved</w:t>
      </w:r>
      <w:r>
        <w:rPr>
          <w:color w:val="231F20"/>
          <w:spacing w:val="-25"/>
        </w:rPr>
        <w:t xml:space="preserve"> </w:t>
      </w:r>
      <w:r>
        <w:rPr>
          <w:color w:val="231F20"/>
        </w:rPr>
        <w:t>sanitary</w:t>
      </w:r>
      <w:r>
        <w:rPr>
          <w:color w:val="231F20"/>
          <w:spacing w:val="-25"/>
        </w:rPr>
        <w:t xml:space="preserve"> </w:t>
      </w:r>
      <w:r>
        <w:rPr>
          <w:color w:val="231F20"/>
        </w:rPr>
        <w:t>facilities</w:t>
      </w:r>
      <w:r>
        <w:rPr>
          <w:color w:val="231F20"/>
          <w:spacing w:val="-25"/>
        </w:rPr>
        <w:t xml:space="preserve"> </w:t>
      </w:r>
      <w:r>
        <w:rPr>
          <w:color w:val="231F20"/>
        </w:rPr>
        <w:t>(not</w:t>
      </w:r>
      <w:r>
        <w:rPr>
          <w:color w:val="231F20"/>
          <w:spacing w:val="-25"/>
        </w:rPr>
        <w:t xml:space="preserve"> </w:t>
      </w:r>
      <w:r>
        <w:rPr>
          <w:color w:val="231F20"/>
        </w:rPr>
        <w:t>shared)</w:t>
      </w:r>
    </w:p>
    <w:p w14:paraId="583A03AF" w14:textId="77777777" w:rsidR="009948F1" w:rsidRDefault="009948F1">
      <w:pPr>
        <w:spacing w:line="273" w:lineRule="auto"/>
        <w:jc w:val="both"/>
        <w:sectPr w:rsidR="009948F1">
          <w:pgSz w:w="11910" w:h="16840"/>
          <w:pgMar w:top="1360" w:right="1080" w:bottom="1420" w:left="1120" w:header="0" w:footer="1235" w:gutter="0"/>
          <w:cols w:space="720"/>
        </w:sectPr>
      </w:pPr>
    </w:p>
    <w:p w14:paraId="44AC331B" w14:textId="77777777" w:rsidR="009948F1" w:rsidRDefault="00BC0563">
      <w:pPr>
        <w:pStyle w:val="BodyText"/>
        <w:spacing w:before="46" w:line="259" w:lineRule="auto"/>
        <w:ind w:left="151" w:right="179"/>
        <w:jc w:val="both"/>
      </w:pPr>
      <w:bookmarkStart w:id="29" w:name="Page_22"/>
      <w:bookmarkEnd w:id="29"/>
      <w:r>
        <w:rPr>
          <w:color w:val="231F20"/>
        </w:rPr>
        <w:lastRenderedPageBreak/>
        <w:t>also</w:t>
      </w:r>
      <w:r>
        <w:rPr>
          <w:color w:val="231F20"/>
          <w:spacing w:val="-19"/>
        </w:rPr>
        <w:t xml:space="preserve"> </w:t>
      </w:r>
      <w:r>
        <w:rPr>
          <w:color w:val="231F20"/>
        </w:rPr>
        <w:t>improved</w:t>
      </w:r>
      <w:r>
        <w:rPr>
          <w:color w:val="231F20"/>
          <w:spacing w:val="-19"/>
        </w:rPr>
        <w:t xml:space="preserve"> </w:t>
      </w:r>
      <w:r>
        <w:rPr>
          <w:color w:val="231F20"/>
        </w:rPr>
        <w:t>from</w:t>
      </w:r>
      <w:r>
        <w:rPr>
          <w:color w:val="231F20"/>
          <w:spacing w:val="-20"/>
        </w:rPr>
        <w:t xml:space="preserve"> </w:t>
      </w:r>
      <w:r>
        <w:rPr>
          <w:color w:val="231F20"/>
        </w:rPr>
        <w:t>10%</w:t>
      </w:r>
      <w:r>
        <w:rPr>
          <w:color w:val="231F20"/>
          <w:spacing w:val="-19"/>
        </w:rPr>
        <w:t xml:space="preserve"> </w:t>
      </w:r>
      <w:r>
        <w:rPr>
          <w:color w:val="231F20"/>
        </w:rPr>
        <w:t>to</w:t>
      </w:r>
      <w:r>
        <w:rPr>
          <w:color w:val="231F20"/>
          <w:spacing w:val="-20"/>
        </w:rPr>
        <w:t xml:space="preserve"> </w:t>
      </w:r>
      <w:r>
        <w:rPr>
          <w:color w:val="231F20"/>
        </w:rPr>
        <w:t>28%</w:t>
      </w:r>
      <w:r>
        <w:rPr>
          <w:color w:val="231F20"/>
          <w:spacing w:val="-19"/>
        </w:rPr>
        <w:t xml:space="preserve"> </w:t>
      </w:r>
      <w:r>
        <w:rPr>
          <w:color w:val="231F20"/>
        </w:rPr>
        <w:t>in</w:t>
      </w:r>
      <w:r>
        <w:rPr>
          <w:color w:val="231F20"/>
          <w:spacing w:val="-18"/>
        </w:rPr>
        <w:t xml:space="preserve"> </w:t>
      </w:r>
      <w:r>
        <w:rPr>
          <w:color w:val="231F20"/>
        </w:rPr>
        <w:t>2008</w:t>
      </w:r>
      <w:r>
        <w:rPr>
          <w:color w:val="231F20"/>
          <w:spacing w:val="-19"/>
        </w:rPr>
        <w:t xml:space="preserve"> </w:t>
      </w:r>
      <w:r>
        <w:rPr>
          <w:color w:val="231F20"/>
        </w:rPr>
        <w:t>to</w:t>
      </w:r>
      <w:r>
        <w:rPr>
          <w:color w:val="231F20"/>
          <w:spacing w:val="-20"/>
        </w:rPr>
        <w:t xml:space="preserve"> </w:t>
      </w:r>
      <w:r>
        <w:rPr>
          <w:color w:val="231F20"/>
        </w:rPr>
        <w:t>2013</w:t>
      </w:r>
      <w:r>
        <w:rPr>
          <w:color w:val="231F20"/>
          <w:spacing w:val="-19"/>
        </w:rPr>
        <w:t xml:space="preserve"> </w:t>
      </w:r>
      <w:r>
        <w:rPr>
          <w:color w:val="231F20"/>
        </w:rPr>
        <w:t>respectively.</w:t>
      </w:r>
      <w:r>
        <w:rPr>
          <w:color w:val="231F20"/>
          <w:spacing w:val="-24"/>
        </w:rPr>
        <w:t xml:space="preserve"> </w:t>
      </w:r>
      <w:r>
        <w:rPr>
          <w:color w:val="231F20"/>
        </w:rPr>
        <w:t>The</w:t>
      </w:r>
      <w:r>
        <w:rPr>
          <w:color w:val="231F20"/>
          <w:spacing w:val="-19"/>
        </w:rPr>
        <w:t xml:space="preserve"> </w:t>
      </w:r>
      <w:r>
        <w:rPr>
          <w:color w:val="231F20"/>
        </w:rPr>
        <w:t>Multiple</w:t>
      </w:r>
      <w:r>
        <w:rPr>
          <w:color w:val="231F20"/>
          <w:spacing w:val="-19"/>
        </w:rPr>
        <w:t xml:space="preserve"> </w:t>
      </w:r>
      <w:r>
        <w:rPr>
          <w:color w:val="231F20"/>
        </w:rPr>
        <w:t>Indicator</w:t>
      </w:r>
      <w:r>
        <w:rPr>
          <w:color w:val="231F20"/>
          <w:spacing w:val="-19"/>
        </w:rPr>
        <w:t xml:space="preserve"> </w:t>
      </w:r>
      <w:r>
        <w:rPr>
          <w:color w:val="231F20"/>
        </w:rPr>
        <w:t>Cluster</w:t>
      </w:r>
      <w:r>
        <w:rPr>
          <w:color w:val="231F20"/>
          <w:spacing w:val="-19"/>
        </w:rPr>
        <w:t xml:space="preserve"> </w:t>
      </w:r>
      <w:r>
        <w:rPr>
          <w:color w:val="231F20"/>
        </w:rPr>
        <w:t>Survey (MICS)</w:t>
      </w:r>
      <w:r>
        <w:rPr>
          <w:color w:val="231F20"/>
          <w:spacing w:val="-7"/>
        </w:rPr>
        <w:t xml:space="preserve"> </w:t>
      </w:r>
      <w:r>
        <w:rPr>
          <w:color w:val="231F20"/>
        </w:rPr>
        <w:t>2016-17</w:t>
      </w:r>
      <w:r>
        <w:rPr>
          <w:color w:val="231F20"/>
          <w:spacing w:val="-6"/>
        </w:rPr>
        <w:t xml:space="preserve"> </w:t>
      </w:r>
      <w:r>
        <w:rPr>
          <w:color w:val="231F20"/>
        </w:rPr>
        <w:t>report,</w:t>
      </w:r>
      <w:r>
        <w:rPr>
          <w:color w:val="231F20"/>
          <w:spacing w:val="-6"/>
        </w:rPr>
        <w:t xml:space="preserve"> </w:t>
      </w:r>
      <w:r>
        <w:rPr>
          <w:color w:val="231F20"/>
        </w:rPr>
        <w:t>83.5%</w:t>
      </w:r>
      <w:r>
        <w:rPr>
          <w:color w:val="231F20"/>
          <w:position w:val="11"/>
          <w:sz w:val="11"/>
        </w:rPr>
        <w:t>9</w:t>
      </w:r>
      <w:r>
        <w:rPr>
          <w:color w:val="231F20"/>
          <w:spacing w:val="25"/>
          <w:position w:val="11"/>
          <w:sz w:val="11"/>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people</w:t>
      </w:r>
      <w:r>
        <w:rPr>
          <w:color w:val="231F20"/>
          <w:spacing w:val="-6"/>
        </w:rPr>
        <w:t xml:space="preserve"> </w:t>
      </w:r>
      <w:r>
        <w:rPr>
          <w:color w:val="231F20"/>
        </w:rPr>
        <w:t>of</w:t>
      </w:r>
      <w:r>
        <w:rPr>
          <w:color w:val="231F20"/>
          <w:spacing w:val="-7"/>
        </w:rPr>
        <w:t xml:space="preserve"> </w:t>
      </w:r>
      <w:r>
        <w:rPr>
          <w:color w:val="231F20"/>
        </w:rPr>
        <w:t>State</w:t>
      </w:r>
      <w:r>
        <w:rPr>
          <w:color w:val="231F20"/>
          <w:spacing w:val="-6"/>
        </w:rPr>
        <w:t xml:space="preserve"> </w:t>
      </w:r>
      <w:r>
        <w:rPr>
          <w:color w:val="231F20"/>
        </w:rPr>
        <w:t>had</w:t>
      </w:r>
      <w:r>
        <w:rPr>
          <w:color w:val="231F20"/>
          <w:spacing w:val="-6"/>
        </w:rPr>
        <w:t xml:space="preserve"> </w:t>
      </w:r>
      <w:r>
        <w:rPr>
          <w:color w:val="231F20"/>
        </w:rPr>
        <w:t>access</w:t>
      </w:r>
      <w:r>
        <w:rPr>
          <w:color w:val="231F20"/>
          <w:spacing w:val="-6"/>
        </w:rPr>
        <w:t xml:space="preserve"> </w:t>
      </w:r>
      <w:r>
        <w:rPr>
          <w:color w:val="231F20"/>
        </w:rPr>
        <w:t>to</w:t>
      </w:r>
      <w:r>
        <w:rPr>
          <w:color w:val="231F20"/>
          <w:spacing w:val="-6"/>
        </w:rPr>
        <w:t xml:space="preserve"> </w:t>
      </w:r>
      <w:r>
        <w:rPr>
          <w:color w:val="231F20"/>
        </w:rPr>
        <w:t>improved</w:t>
      </w:r>
      <w:r>
        <w:rPr>
          <w:color w:val="231F20"/>
          <w:spacing w:val="-6"/>
        </w:rPr>
        <w:t xml:space="preserve"> </w:t>
      </w:r>
      <w:r>
        <w:rPr>
          <w:color w:val="231F20"/>
        </w:rPr>
        <w:t>sources</w:t>
      </w:r>
      <w:r>
        <w:rPr>
          <w:color w:val="231F20"/>
          <w:spacing w:val="-6"/>
        </w:rPr>
        <w:t xml:space="preserve"> </w:t>
      </w:r>
      <w:r>
        <w:rPr>
          <w:color w:val="231F20"/>
        </w:rPr>
        <w:t>of</w:t>
      </w:r>
      <w:r>
        <w:rPr>
          <w:color w:val="231F20"/>
          <w:spacing w:val="-6"/>
        </w:rPr>
        <w:t xml:space="preserve"> </w:t>
      </w:r>
      <w:r>
        <w:rPr>
          <w:color w:val="231F20"/>
        </w:rPr>
        <w:t xml:space="preserve">drinking </w:t>
      </w:r>
      <w:r>
        <w:rPr>
          <w:color w:val="231F20"/>
          <w:spacing w:val="-3"/>
        </w:rPr>
        <w:t xml:space="preserve">water, </w:t>
      </w:r>
      <w:r>
        <w:rPr>
          <w:color w:val="231F20"/>
        </w:rPr>
        <w:t xml:space="preserve">while 38.7% were using improved sanitation facilities, It is expected that this plan </w:t>
      </w:r>
      <w:r>
        <w:rPr>
          <w:color w:val="231F20"/>
          <w:spacing w:val="-3"/>
        </w:rPr>
        <w:t xml:space="preserve">would </w:t>
      </w:r>
      <w:r>
        <w:rPr>
          <w:color w:val="231F20"/>
        </w:rPr>
        <w:t xml:space="preserve">articulate various strategies of increasing access to improved sources of drinking water </w:t>
      </w:r>
      <w:r>
        <w:rPr>
          <w:color w:val="231F20"/>
          <w:spacing w:val="-5"/>
        </w:rPr>
        <w:t xml:space="preserve">and </w:t>
      </w:r>
      <w:r>
        <w:rPr>
          <w:color w:val="231F20"/>
        </w:rPr>
        <w:t>sanitation.</w:t>
      </w:r>
    </w:p>
    <w:p w14:paraId="1D31672E" w14:textId="77777777" w:rsidR="009948F1" w:rsidRDefault="009948F1">
      <w:pPr>
        <w:pStyle w:val="BodyText"/>
        <w:spacing w:before="7"/>
        <w:rPr>
          <w:sz w:val="24"/>
        </w:rPr>
      </w:pPr>
    </w:p>
    <w:p w14:paraId="0B50176C" w14:textId="77777777" w:rsidR="009948F1" w:rsidRDefault="00BC0563">
      <w:pPr>
        <w:pStyle w:val="Heading7"/>
        <w:numPr>
          <w:ilvl w:val="2"/>
          <w:numId w:val="321"/>
        </w:numPr>
        <w:tabs>
          <w:tab w:val="left" w:pos="872"/>
        </w:tabs>
        <w:ind w:hanging="721"/>
        <w:jc w:val="both"/>
      </w:pPr>
      <w:r>
        <w:rPr>
          <w:color w:val="231F20"/>
        </w:rPr>
        <w:t>Lifestyle</w:t>
      </w:r>
      <w:r>
        <w:rPr>
          <w:color w:val="231F20"/>
          <w:spacing w:val="-25"/>
        </w:rPr>
        <w:t xml:space="preserve"> </w:t>
      </w:r>
      <w:r>
        <w:rPr>
          <w:color w:val="231F20"/>
        </w:rPr>
        <w:t>Determinants</w:t>
      </w:r>
    </w:p>
    <w:p w14:paraId="1A9F3732" w14:textId="77777777" w:rsidR="009948F1" w:rsidRDefault="00BC0563">
      <w:pPr>
        <w:pStyle w:val="BodyText"/>
        <w:spacing w:before="16" w:line="259" w:lineRule="auto"/>
        <w:ind w:left="151" w:right="179"/>
        <w:jc w:val="both"/>
      </w:pPr>
      <w:r>
        <w:rPr>
          <w:color w:val="231F20"/>
        </w:rPr>
        <w:t>The</w:t>
      </w:r>
      <w:r>
        <w:rPr>
          <w:color w:val="231F20"/>
          <w:spacing w:val="-19"/>
        </w:rPr>
        <w:t xml:space="preserve"> </w:t>
      </w:r>
      <w:r>
        <w:rPr>
          <w:color w:val="231F20"/>
        </w:rPr>
        <w:t>leading</w:t>
      </w:r>
      <w:r>
        <w:rPr>
          <w:color w:val="231F20"/>
          <w:spacing w:val="-19"/>
        </w:rPr>
        <w:t xml:space="preserve"> </w:t>
      </w:r>
      <w:r>
        <w:rPr>
          <w:color w:val="231F20"/>
        </w:rPr>
        <w:t>preventable</w:t>
      </w:r>
      <w:r>
        <w:rPr>
          <w:color w:val="231F20"/>
          <w:spacing w:val="-17"/>
        </w:rPr>
        <w:t xml:space="preserve"> </w:t>
      </w:r>
      <w:r>
        <w:rPr>
          <w:color w:val="231F20"/>
        </w:rPr>
        <w:t>risk</w:t>
      </w:r>
      <w:r>
        <w:rPr>
          <w:color w:val="231F20"/>
          <w:spacing w:val="-19"/>
        </w:rPr>
        <w:t xml:space="preserve"> </w:t>
      </w:r>
      <w:r>
        <w:rPr>
          <w:color w:val="231F20"/>
        </w:rPr>
        <w:t>factor</w:t>
      </w:r>
      <w:r>
        <w:rPr>
          <w:color w:val="231F20"/>
          <w:spacing w:val="-19"/>
        </w:rPr>
        <w:t xml:space="preserve"> </w:t>
      </w:r>
      <w:r>
        <w:rPr>
          <w:color w:val="231F20"/>
        </w:rPr>
        <w:t>of</w:t>
      </w:r>
      <w:r>
        <w:rPr>
          <w:color w:val="231F20"/>
          <w:spacing w:val="-18"/>
        </w:rPr>
        <w:t xml:space="preserve"> </w:t>
      </w:r>
      <w:r>
        <w:rPr>
          <w:color w:val="231F20"/>
        </w:rPr>
        <w:t>disease</w:t>
      </w:r>
      <w:r>
        <w:rPr>
          <w:color w:val="231F20"/>
          <w:spacing w:val="-19"/>
        </w:rPr>
        <w:t xml:space="preserve"> </w:t>
      </w:r>
      <w:r>
        <w:rPr>
          <w:color w:val="231F20"/>
        </w:rPr>
        <w:t>and</w:t>
      </w:r>
      <w:r>
        <w:rPr>
          <w:color w:val="231F20"/>
          <w:spacing w:val="-18"/>
        </w:rPr>
        <w:t xml:space="preserve"> </w:t>
      </w:r>
      <w:r>
        <w:rPr>
          <w:color w:val="231F20"/>
        </w:rPr>
        <w:t>death</w:t>
      </w:r>
      <w:r>
        <w:rPr>
          <w:color w:val="231F20"/>
          <w:spacing w:val="-19"/>
        </w:rPr>
        <w:t xml:space="preserve"> </w:t>
      </w:r>
      <w:r>
        <w:rPr>
          <w:color w:val="231F20"/>
        </w:rPr>
        <w:t>is</w:t>
      </w:r>
      <w:r>
        <w:rPr>
          <w:color w:val="231F20"/>
          <w:spacing w:val="-19"/>
        </w:rPr>
        <w:t xml:space="preserve"> </w:t>
      </w:r>
      <w:r>
        <w:rPr>
          <w:color w:val="231F20"/>
        </w:rPr>
        <w:t>the</w:t>
      </w:r>
      <w:r>
        <w:rPr>
          <w:color w:val="231F20"/>
          <w:spacing w:val="-18"/>
        </w:rPr>
        <w:t xml:space="preserve"> </w:t>
      </w:r>
      <w:r>
        <w:rPr>
          <w:color w:val="231F20"/>
        </w:rPr>
        <w:t>use</w:t>
      </w:r>
      <w:r>
        <w:rPr>
          <w:color w:val="231F20"/>
          <w:spacing w:val="-19"/>
        </w:rPr>
        <w:t xml:space="preserve"> </w:t>
      </w:r>
      <w:r>
        <w:rPr>
          <w:color w:val="231F20"/>
        </w:rPr>
        <w:t>of</w:t>
      </w:r>
      <w:r>
        <w:rPr>
          <w:color w:val="231F20"/>
          <w:spacing w:val="-19"/>
        </w:rPr>
        <w:t xml:space="preserve"> </w:t>
      </w:r>
      <w:r>
        <w:rPr>
          <w:color w:val="231F20"/>
        </w:rPr>
        <w:t>tobacco</w:t>
      </w:r>
      <w:r>
        <w:rPr>
          <w:color w:val="231F20"/>
          <w:spacing w:val="-18"/>
        </w:rPr>
        <w:t xml:space="preserve"> </w:t>
      </w:r>
      <w:r>
        <w:rPr>
          <w:color w:val="231F20"/>
        </w:rPr>
        <w:t>products</w:t>
      </w:r>
      <w:r>
        <w:rPr>
          <w:color w:val="231F20"/>
          <w:position w:val="11"/>
          <w:sz w:val="11"/>
        </w:rPr>
        <w:t>11</w:t>
      </w:r>
      <w:r>
        <w:rPr>
          <w:color w:val="231F20"/>
        </w:rPr>
        <w:t>.</w:t>
      </w:r>
      <w:r>
        <w:rPr>
          <w:color w:val="231F20"/>
          <w:spacing w:val="48"/>
        </w:rPr>
        <w:t xml:space="preserve"> </w:t>
      </w:r>
      <w:r>
        <w:rPr>
          <w:color w:val="231F20"/>
        </w:rPr>
        <w:t>It</w:t>
      </w:r>
      <w:r>
        <w:rPr>
          <w:color w:val="231F20"/>
          <w:spacing w:val="-18"/>
        </w:rPr>
        <w:t xml:space="preserve"> </w:t>
      </w:r>
      <w:r>
        <w:rPr>
          <w:color w:val="231F20"/>
        </w:rPr>
        <w:t>causes premature deaths. Up to half of all tobacco users will die of tobacco-related causes</w:t>
      </w:r>
      <w:r>
        <w:rPr>
          <w:color w:val="231F20"/>
          <w:position w:val="11"/>
          <w:sz w:val="11"/>
        </w:rPr>
        <w:t>11</w:t>
      </w:r>
      <w:r>
        <w:rPr>
          <w:color w:val="231F20"/>
        </w:rPr>
        <w:t xml:space="preserve">. There is </w:t>
      </w:r>
      <w:r>
        <w:rPr>
          <w:color w:val="231F20"/>
          <w:spacing w:val="-11"/>
        </w:rPr>
        <w:t xml:space="preserve">a </w:t>
      </w:r>
      <w:r>
        <w:rPr>
          <w:color w:val="231F20"/>
        </w:rPr>
        <w:t>national</w:t>
      </w:r>
      <w:r>
        <w:rPr>
          <w:color w:val="231F20"/>
          <w:spacing w:val="-11"/>
        </w:rPr>
        <w:t xml:space="preserve"> </w:t>
      </w:r>
      <w:r>
        <w:rPr>
          <w:color w:val="231F20"/>
        </w:rPr>
        <w:t>law</w:t>
      </w:r>
      <w:r>
        <w:rPr>
          <w:color w:val="231F20"/>
          <w:spacing w:val="-11"/>
        </w:rPr>
        <w:t xml:space="preserve"> </w:t>
      </w:r>
      <w:r>
        <w:rPr>
          <w:color w:val="231F20"/>
        </w:rPr>
        <w:t>prohibiting</w:t>
      </w:r>
      <w:r>
        <w:rPr>
          <w:color w:val="231F20"/>
          <w:spacing w:val="-10"/>
        </w:rPr>
        <w:t xml:space="preserve"> </w:t>
      </w:r>
      <w:r>
        <w:rPr>
          <w:color w:val="231F20"/>
        </w:rPr>
        <w:t>tobacco</w:t>
      </w:r>
      <w:r>
        <w:rPr>
          <w:color w:val="231F20"/>
          <w:spacing w:val="-11"/>
        </w:rPr>
        <w:t xml:space="preserve"> </w:t>
      </w:r>
      <w:r>
        <w:rPr>
          <w:color w:val="231F20"/>
        </w:rPr>
        <w:t>smoking</w:t>
      </w:r>
      <w:r>
        <w:rPr>
          <w:color w:val="231F20"/>
          <w:spacing w:val="-10"/>
        </w:rPr>
        <w:t xml:space="preserve"> </w:t>
      </w:r>
      <w:r>
        <w:rPr>
          <w:color w:val="231F20"/>
        </w:rPr>
        <w:t>in</w:t>
      </w:r>
      <w:r>
        <w:rPr>
          <w:color w:val="231F20"/>
          <w:spacing w:val="-11"/>
        </w:rPr>
        <w:t xml:space="preserve"> </w:t>
      </w:r>
      <w:r>
        <w:rPr>
          <w:color w:val="231F20"/>
        </w:rPr>
        <w:t>public</w:t>
      </w:r>
      <w:r>
        <w:rPr>
          <w:color w:val="231F20"/>
          <w:spacing w:val="-10"/>
        </w:rPr>
        <w:t xml:space="preserve"> </w:t>
      </w:r>
      <w:r>
        <w:rPr>
          <w:color w:val="231F20"/>
        </w:rPr>
        <w:t>places</w:t>
      </w:r>
      <w:r>
        <w:rPr>
          <w:color w:val="231F20"/>
          <w:position w:val="11"/>
          <w:sz w:val="11"/>
        </w:rPr>
        <w:t>11</w:t>
      </w:r>
      <w:r>
        <w:rPr>
          <w:color w:val="231F20"/>
        </w:rPr>
        <w:t>.</w:t>
      </w:r>
      <w:r>
        <w:rPr>
          <w:color w:val="231F20"/>
          <w:spacing w:val="-16"/>
        </w:rPr>
        <w:t xml:space="preserve"> </w:t>
      </w:r>
      <w:r>
        <w:rPr>
          <w:color w:val="231F20"/>
        </w:rPr>
        <w:t>The</w:t>
      </w:r>
      <w:r>
        <w:rPr>
          <w:color w:val="231F20"/>
          <w:spacing w:val="-10"/>
        </w:rPr>
        <w:t xml:space="preserve"> </w:t>
      </w:r>
      <w:r>
        <w:rPr>
          <w:color w:val="231F20"/>
        </w:rPr>
        <w:t>MICS</w:t>
      </w:r>
      <w:r>
        <w:rPr>
          <w:color w:val="231F20"/>
          <w:spacing w:val="-12"/>
        </w:rPr>
        <w:t xml:space="preserve"> </w:t>
      </w:r>
      <w:r>
        <w:rPr>
          <w:color w:val="231F20"/>
        </w:rPr>
        <w:t>(2016-17)</w:t>
      </w:r>
      <w:r>
        <w:rPr>
          <w:color w:val="231F20"/>
          <w:spacing w:val="-11"/>
        </w:rPr>
        <w:t xml:space="preserve"> </w:t>
      </w:r>
      <w:r>
        <w:rPr>
          <w:color w:val="231F20"/>
        </w:rPr>
        <w:t>report</w:t>
      </w:r>
      <w:r>
        <w:rPr>
          <w:color w:val="231F20"/>
          <w:spacing w:val="-10"/>
        </w:rPr>
        <w:t xml:space="preserve"> </w:t>
      </w:r>
      <w:r>
        <w:rPr>
          <w:color w:val="231F20"/>
        </w:rPr>
        <w:t>has</w:t>
      </w:r>
      <w:r>
        <w:rPr>
          <w:color w:val="231F20"/>
          <w:spacing w:val="-11"/>
        </w:rPr>
        <w:t xml:space="preserve"> </w:t>
      </w:r>
      <w:r>
        <w:rPr>
          <w:color w:val="231F20"/>
          <w:spacing w:val="-3"/>
        </w:rPr>
        <w:t xml:space="preserve">shown </w:t>
      </w:r>
      <w:r>
        <w:rPr>
          <w:color w:val="231F20"/>
        </w:rPr>
        <w:t>that</w:t>
      </w:r>
      <w:r>
        <w:rPr>
          <w:color w:val="231F20"/>
          <w:spacing w:val="-13"/>
        </w:rPr>
        <w:t xml:space="preserve"> </w:t>
      </w:r>
      <w:r>
        <w:rPr>
          <w:color w:val="231F20"/>
        </w:rPr>
        <w:t>in</w:t>
      </w:r>
      <w:r>
        <w:rPr>
          <w:color w:val="231F20"/>
          <w:spacing w:val="-12"/>
        </w:rPr>
        <w:t xml:space="preserve"> </w:t>
      </w:r>
      <w:r>
        <w:rPr>
          <w:color w:val="231F20"/>
        </w:rPr>
        <w:t>State,</w:t>
      </w:r>
      <w:r>
        <w:rPr>
          <w:color w:val="231F20"/>
          <w:spacing w:val="-13"/>
        </w:rPr>
        <w:t xml:space="preserve"> </w:t>
      </w:r>
      <w:r>
        <w:rPr>
          <w:color w:val="231F20"/>
        </w:rPr>
        <w:t>the</w:t>
      </w:r>
      <w:r>
        <w:rPr>
          <w:color w:val="231F20"/>
          <w:spacing w:val="-12"/>
        </w:rPr>
        <w:t xml:space="preserve"> </w:t>
      </w:r>
      <w:r>
        <w:rPr>
          <w:color w:val="231F20"/>
        </w:rPr>
        <w:t>use</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tobacco</w:t>
      </w:r>
      <w:r>
        <w:rPr>
          <w:color w:val="231F20"/>
          <w:spacing w:val="-12"/>
        </w:rPr>
        <w:t xml:space="preserve"> </w:t>
      </w:r>
      <w:r>
        <w:rPr>
          <w:color w:val="231F20"/>
        </w:rPr>
        <w:t>product</w:t>
      </w:r>
      <w:r>
        <w:rPr>
          <w:color w:val="231F20"/>
          <w:spacing w:val="-12"/>
        </w:rPr>
        <w:t xml:space="preserve"> </w:t>
      </w:r>
      <w:r>
        <w:rPr>
          <w:color w:val="231F20"/>
        </w:rPr>
        <w:t>among</w:t>
      </w:r>
      <w:r>
        <w:rPr>
          <w:color w:val="231F20"/>
          <w:spacing w:val="-12"/>
        </w:rPr>
        <w:t xml:space="preserve"> </w:t>
      </w:r>
      <w:r>
        <w:rPr>
          <w:color w:val="231F20"/>
        </w:rPr>
        <w:t>men</w:t>
      </w:r>
      <w:r>
        <w:rPr>
          <w:color w:val="231F20"/>
          <w:spacing w:val="-12"/>
        </w:rPr>
        <w:t xml:space="preserve"> </w:t>
      </w:r>
      <w:r>
        <w:rPr>
          <w:color w:val="231F20"/>
        </w:rPr>
        <w:t>is</w:t>
      </w:r>
      <w:r>
        <w:rPr>
          <w:color w:val="231F20"/>
          <w:spacing w:val="-12"/>
        </w:rPr>
        <w:t xml:space="preserve"> </w:t>
      </w:r>
      <w:r>
        <w:rPr>
          <w:color w:val="231F20"/>
        </w:rPr>
        <w:t>much</w:t>
      </w:r>
      <w:r>
        <w:rPr>
          <w:color w:val="231F20"/>
          <w:spacing w:val="-12"/>
        </w:rPr>
        <w:t xml:space="preserve"> </w:t>
      </w:r>
      <w:r>
        <w:rPr>
          <w:color w:val="231F20"/>
        </w:rPr>
        <w:t>higher</w:t>
      </w:r>
      <w:r>
        <w:rPr>
          <w:color w:val="231F20"/>
          <w:spacing w:val="-12"/>
        </w:rPr>
        <w:t xml:space="preserve"> </w:t>
      </w:r>
      <w:r>
        <w:rPr>
          <w:color w:val="231F20"/>
        </w:rPr>
        <w:t>22.9%</w:t>
      </w:r>
      <w:r>
        <w:rPr>
          <w:color w:val="231F20"/>
          <w:spacing w:val="-12"/>
        </w:rPr>
        <w:t xml:space="preserve"> </w:t>
      </w:r>
      <w:r>
        <w:rPr>
          <w:color w:val="231F20"/>
        </w:rPr>
        <w:t>when</w:t>
      </w:r>
      <w:r>
        <w:rPr>
          <w:color w:val="231F20"/>
          <w:spacing w:val="-13"/>
        </w:rPr>
        <w:t xml:space="preserve"> </w:t>
      </w:r>
      <w:r>
        <w:rPr>
          <w:color w:val="231F20"/>
        </w:rPr>
        <w:t>compared</w:t>
      </w:r>
      <w:r>
        <w:rPr>
          <w:color w:val="231F20"/>
          <w:spacing w:val="-12"/>
        </w:rPr>
        <w:t xml:space="preserve"> </w:t>
      </w:r>
      <w:r>
        <w:rPr>
          <w:color w:val="231F20"/>
          <w:spacing w:val="-7"/>
        </w:rPr>
        <w:t xml:space="preserve">to </w:t>
      </w:r>
      <w:r>
        <w:rPr>
          <w:color w:val="231F20"/>
        </w:rPr>
        <w:t>women (3.3%)</w:t>
      </w:r>
      <w:r>
        <w:rPr>
          <w:color w:val="231F20"/>
          <w:position w:val="11"/>
          <w:sz w:val="11"/>
        </w:rPr>
        <w:t>9</w:t>
      </w:r>
      <w:r>
        <w:rPr>
          <w:color w:val="231F20"/>
        </w:rPr>
        <w:t xml:space="preserve">. The percentage of women taking any tobacco product appears to be high in </w:t>
      </w:r>
      <w:r>
        <w:rPr>
          <w:color w:val="231F20"/>
          <w:spacing w:val="-5"/>
        </w:rPr>
        <w:t xml:space="preserve">the </w:t>
      </w:r>
      <w:r>
        <w:rPr>
          <w:color w:val="231F20"/>
        </w:rPr>
        <w:t>State,</w:t>
      </w:r>
      <w:r>
        <w:rPr>
          <w:color w:val="231F20"/>
          <w:spacing w:val="-20"/>
        </w:rPr>
        <w:t xml:space="preserve"> </w:t>
      </w:r>
      <w:r>
        <w:rPr>
          <w:color w:val="231F20"/>
        </w:rPr>
        <w:t>when</w:t>
      </w:r>
      <w:r>
        <w:rPr>
          <w:color w:val="231F20"/>
          <w:spacing w:val="-19"/>
        </w:rPr>
        <w:t xml:space="preserve"> </w:t>
      </w:r>
      <w:r>
        <w:rPr>
          <w:color w:val="231F20"/>
        </w:rPr>
        <w:t>compared</w:t>
      </w:r>
      <w:r>
        <w:rPr>
          <w:color w:val="231F20"/>
          <w:spacing w:val="-19"/>
        </w:rPr>
        <w:t xml:space="preserve"> </w:t>
      </w:r>
      <w:r>
        <w:rPr>
          <w:color w:val="231F20"/>
        </w:rPr>
        <w:t>with</w:t>
      </w:r>
      <w:r>
        <w:rPr>
          <w:color w:val="231F20"/>
          <w:spacing w:val="-19"/>
        </w:rPr>
        <w:t xml:space="preserve"> </w:t>
      </w:r>
      <w:r>
        <w:rPr>
          <w:color w:val="231F20"/>
        </w:rPr>
        <w:t>that</w:t>
      </w:r>
      <w:r>
        <w:rPr>
          <w:color w:val="231F20"/>
          <w:spacing w:val="-19"/>
        </w:rPr>
        <w:t xml:space="preserve"> </w:t>
      </w:r>
      <w:r>
        <w:rPr>
          <w:color w:val="231F20"/>
        </w:rPr>
        <w:t>of</w:t>
      </w:r>
      <w:r>
        <w:rPr>
          <w:color w:val="231F20"/>
          <w:spacing w:val="-19"/>
        </w:rPr>
        <w:t xml:space="preserve"> </w:t>
      </w:r>
      <w:r>
        <w:rPr>
          <w:color w:val="231F20"/>
        </w:rPr>
        <w:t>South-South</w:t>
      </w:r>
      <w:r>
        <w:rPr>
          <w:color w:val="231F20"/>
          <w:spacing w:val="-19"/>
        </w:rPr>
        <w:t xml:space="preserve"> </w:t>
      </w:r>
      <w:r>
        <w:rPr>
          <w:color w:val="231F20"/>
        </w:rPr>
        <w:t>zone</w:t>
      </w:r>
      <w:r>
        <w:rPr>
          <w:color w:val="231F20"/>
          <w:spacing w:val="-19"/>
        </w:rPr>
        <w:t xml:space="preserve"> </w:t>
      </w:r>
      <w:r>
        <w:rPr>
          <w:color w:val="231F20"/>
        </w:rPr>
        <w:t>of</w:t>
      </w:r>
      <w:r>
        <w:rPr>
          <w:color w:val="231F20"/>
          <w:spacing w:val="-19"/>
        </w:rPr>
        <w:t xml:space="preserve"> </w:t>
      </w:r>
      <w:r>
        <w:rPr>
          <w:color w:val="231F20"/>
        </w:rPr>
        <w:t>2.4%.</w:t>
      </w:r>
      <w:r>
        <w:rPr>
          <w:color w:val="231F20"/>
          <w:spacing w:val="-23"/>
        </w:rPr>
        <w:t xml:space="preserve"> </w:t>
      </w:r>
      <w:r>
        <w:rPr>
          <w:color w:val="231F20"/>
        </w:rPr>
        <w:t>The</w:t>
      </w:r>
      <w:r>
        <w:rPr>
          <w:color w:val="231F20"/>
          <w:spacing w:val="-19"/>
        </w:rPr>
        <w:t xml:space="preserve"> </w:t>
      </w:r>
      <w:r>
        <w:rPr>
          <w:color w:val="231F20"/>
        </w:rPr>
        <w:t>use</w:t>
      </w:r>
      <w:r>
        <w:rPr>
          <w:color w:val="231F20"/>
          <w:spacing w:val="-19"/>
        </w:rPr>
        <w:t xml:space="preserve"> </w:t>
      </w:r>
      <w:r>
        <w:rPr>
          <w:color w:val="231F20"/>
        </w:rPr>
        <w:t>of</w:t>
      </w:r>
      <w:r>
        <w:rPr>
          <w:color w:val="231F20"/>
          <w:spacing w:val="-19"/>
        </w:rPr>
        <w:t xml:space="preserve"> </w:t>
      </w:r>
      <w:r>
        <w:rPr>
          <w:color w:val="231F20"/>
        </w:rPr>
        <w:t>alcohol</w:t>
      </w:r>
      <w:r>
        <w:rPr>
          <w:color w:val="231F20"/>
          <w:spacing w:val="-19"/>
        </w:rPr>
        <w:t xml:space="preserve"> </w:t>
      </w:r>
      <w:r>
        <w:rPr>
          <w:color w:val="231F20"/>
        </w:rPr>
        <w:t>within</w:t>
      </w:r>
      <w:r>
        <w:rPr>
          <w:color w:val="231F20"/>
          <w:spacing w:val="-19"/>
        </w:rPr>
        <w:t xml:space="preserve"> </w:t>
      </w:r>
      <w:r>
        <w:rPr>
          <w:color w:val="231F20"/>
        </w:rPr>
        <w:t>the</w:t>
      </w:r>
      <w:r>
        <w:rPr>
          <w:color w:val="231F20"/>
          <w:spacing w:val="-19"/>
        </w:rPr>
        <w:t xml:space="preserve"> </w:t>
      </w:r>
      <w:r>
        <w:rPr>
          <w:color w:val="231F20"/>
        </w:rPr>
        <w:t>last</w:t>
      </w:r>
      <w:r>
        <w:rPr>
          <w:color w:val="231F20"/>
          <w:spacing w:val="-19"/>
        </w:rPr>
        <w:t xml:space="preserve"> </w:t>
      </w:r>
      <w:r>
        <w:rPr>
          <w:color w:val="231F20"/>
          <w:spacing w:val="-5"/>
        </w:rPr>
        <w:t xml:space="preserve">one </w:t>
      </w:r>
      <w:r>
        <w:rPr>
          <w:color w:val="231F20"/>
        </w:rPr>
        <w:t>month</w:t>
      </w:r>
      <w:r>
        <w:rPr>
          <w:color w:val="231F20"/>
          <w:spacing w:val="-17"/>
        </w:rPr>
        <w:t xml:space="preserve"> </w:t>
      </w:r>
      <w:r>
        <w:rPr>
          <w:color w:val="231F20"/>
        </w:rPr>
        <w:t>was</w:t>
      </w:r>
      <w:r>
        <w:rPr>
          <w:color w:val="231F20"/>
          <w:spacing w:val="-16"/>
        </w:rPr>
        <w:t xml:space="preserve"> </w:t>
      </w:r>
      <w:r>
        <w:rPr>
          <w:color w:val="231F20"/>
        </w:rPr>
        <w:t>high</w:t>
      </w:r>
      <w:r>
        <w:rPr>
          <w:color w:val="231F20"/>
          <w:spacing w:val="-16"/>
        </w:rPr>
        <w:t xml:space="preserve"> </w:t>
      </w:r>
      <w:r>
        <w:rPr>
          <w:color w:val="231F20"/>
        </w:rPr>
        <w:t>in</w:t>
      </w:r>
      <w:r>
        <w:rPr>
          <w:color w:val="231F20"/>
          <w:spacing w:val="-16"/>
        </w:rPr>
        <w:t xml:space="preserve"> </w:t>
      </w:r>
      <w:r>
        <w:rPr>
          <w:color w:val="231F20"/>
        </w:rPr>
        <w:t>women</w:t>
      </w:r>
      <w:r>
        <w:rPr>
          <w:color w:val="231F20"/>
          <w:spacing w:val="-16"/>
        </w:rPr>
        <w:t xml:space="preserve"> </w:t>
      </w:r>
      <w:r>
        <w:rPr>
          <w:color w:val="231F20"/>
        </w:rPr>
        <w:t>15-59</w:t>
      </w:r>
      <w:r>
        <w:rPr>
          <w:color w:val="231F20"/>
          <w:spacing w:val="-16"/>
        </w:rPr>
        <w:t xml:space="preserve"> </w:t>
      </w:r>
      <w:r>
        <w:rPr>
          <w:color w:val="231F20"/>
        </w:rPr>
        <w:t>years</w:t>
      </w:r>
      <w:r>
        <w:rPr>
          <w:color w:val="231F20"/>
          <w:spacing w:val="-16"/>
        </w:rPr>
        <w:t xml:space="preserve"> </w:t>
      </w:r>
      <w:r>
        <w:rPr>
          <w:color w:val="231F20"/>
        </w:rPr>
        <w:t>at</w:t>
      </w:r>
      <w:r>
        <w:rPr>
          <w:color w:val="231F20"/>
          <w:spacing w:val="-16"/>
        </w:rPr>
        <w:t xml:space="preserve"> </w:t>
      </w:r>
      <w:r>
        <w:rPr>
          <w:color w:val="231F20"/>
        </w:rPr>
        <w:t>20.9</w:t>
      </w:r>
      <w:r>
        <w:rPr>
          <w:color w:val="231F20"/>
          <w:spacing w:val="-16"/>
        </w:rPr>
        <w:t xml:space="preserve"> </w:t>
      </w:r>
      <w:r>
        <w:rPr>
          <w:color w:val="231F20"/>
        </w:rPr>
        <w:t>which</w:t>
      </w:r>
      <w:r>
        <w:rPr>
          <w:color w:val="231F20"/>
          <w:spacing w:val="-16"/>
        </w:rPr>
        <w:t xml:space="preserve"> </w:t>
      </w:r>
      <w:r>
        <w:rPr>
          <w:color w:val="231F20"/>
        </w:rPr>
        <w:t>is</w:t>
      </w:r>
      <w:r>
        <w:rPr>
          <w:color w:val="231F20"/>
          <w:spacing w:val="-16"/>
        </w:rPr>
        <w:t xml:space="preserve"> </w:t>
      </w:r>
      <w:r>
        <w:rPr>
          <w:color w:val="231F20"/>
        </w:rPr>
        <w:t>close</w:t>
      </w:r>
      <w:r>
        <w:rPr>
          <w:color w:val="231F20"/>
          <w:spacing w:val="-16"/>
        </w:rPr>
        <w:t xml:space="preserve"> </w:t>
      </w:r>
      <w:r>
        <w:rPr>
          <w:color w:val="231F20"/>
        </w:rPr>
        <w:t>to</w:t>
      </w:r>
      <w:r>
        <w:rPr>
          <w:color w:val="231F20"/>
          <w:spacing w:val="-16"/>
        </w:rPr>
        <w:t xml:space="preserve"> </w:t>
      </w:r>
      <w:r>
        <w:rPr>
          <w:color w:val="231F20"/>
        </w:rPr>
        <w:t>the</w:t>
      </w:r>
      <w:r>
        <w:rPr>
          <w:color w:val="231F20"/>
          <w:spacing w:val="-17"/>
        </w:rPr>
        <w:t xml:space="preserve"> </w:t>
      </w:r>
      <w:r>
        <w:rPr>
          <w:color w:val="231F20"/>
        </w:rPr>
        <w:t>SS</w:t>
      </w:r>
      <w:r>
        <w:rPr>
          <w:color w:val="231F20"/>
          <w:spacing w:val="-16"/>
        </w:rPr>
        <w:t xml:space="preserve"> </w:t>
      </w:r>
      <w:r>
        <w:rPr>
          <w:color w:val="231F20"/>
        </w:rPr>
        <w:t>average</w:t>
      </w:r>
      <w:r>
        <w:rPr>
          <w:color w:val="231F20"/>
          <w:spacing w:val="-16"/>
        </w:rPr>
        <w:t xml:space="preserve"> </w:t>
      </w:r>
      <w:r>
        <w:rPr>
          <w:color w:val="231F20"/>
        </w:rPr>
        <w:t>of</w:t>
      </w:r>
      <w:r>
        <w:rPr>
          <w:color w:val="231F20"/>
          <w:spacing w:val="-16"/>
        </w:rPr>
        <w:t xml:space="preserve"> </w:t>
      </w:r>
      <w:r>
        <w:rPr>
          <w:color w:val="231F20"/>
        </w:rPr>
        <w:t>21.7%</w:t>
      </w:r>
      <w:r>
        <w:rPr>
          <w:color w:val="231F20"/>
          <w:spacing w:val="-16"/>
        </w:rPr>
        <w:t xml:space="preserve"> </w:t>
      </w:r>
      <w:r>
        <w:rPr>
          <w:color w:val="231F20"/>
        </w:rPr>
        <w:t>while</w:t>
      </w:r>
      <w:r>
        <w:rPr>
          <w:color w:val="231F20"/>
          <w:spacing w:val="-16"/>
        </w:rPr>
        <w:t xml:space="preserve"> </w:t>
      </w:r>
      <w:r>
        <w:rPr>
          <w:color w:val="231F20"/>
        </w:rPr>
        <w:t>that of</w:t>
      </w:r>
      <w:r>
        <w:rPr>
          <w:color w:val="231F20"/>
          <w:spacing w:val="-25"/>
        </w:rPr>
        <w:t xml:space="preserve"> </w:t>
      </w:r>
      <w:r>
        <w:rPr>
          <w:color w:val="231F20"/>
        </w:rPr>
        <w:t>men</w:t>
      </w:r>
      <w:r>
        <w:rPr>
          <w:color w:val="231F20"/>
          <w:spacing w:val="-26"/>
        </w:rPr>
        <w:t xml:space="preserve"> </w:t>
      </w:r>
      <w:r>
        <w:rPr>
          <w:color w:val="231F20"/>
        </w:rPr>
        <w:t>was</w:t>
      </w:r>
      <w:r>
        <w:rPr>
          <w:color w:val="231F20"/>
          <w:spacing w:val="-25"/>
        </w:rPr>
        <w:t xml:space="preserve"> </w:t>
      </w:r>
      <w:r>
        <w:rPr>
          <w:color w:val="231F20"/>
        </w:rPr>
        <w:t>47%</w:t>
      </w:r>
      <w:r>
        <w:rPr>
          <w:color w:val="231F20"/>
          <w:spacing w:val="-25"/>
        </w:rPr>
        <w:t xml:space="preserve"> </w:t>
      </w:r>
      <w:r>
        <w:rPr>
          <w:color w:val="231F20"/>
        </w:rPr>
        <w:t>for</w:t>
      </w:r>
      <w:r>
        <w:rPr>
          <w:color w:val="231F20"/>
          <w:spacing w:val="-25"/>
        </w:rPr>
        <w:t xml:space="preserve"> </w:t>
      </w:r>
      <w:r>
        <w:rPr>
          <w:color w:val="231F20"/>
        </w:rPr>
        <w:t>Rivers</w:t>
      </w:r>
      <w:r>
        <w:rPr>
          <w:color w:val="231F20"/>
          <w:spacing w:val="-25"/>
        </w:rPr>
        <w:t xml:space="preserve"> </w:t>
      </w:r>
      <w:r>
        <w:rPr>
          <w:color w:val="231F20"/>
        </w:rPr>
        <w:t>State</w:t>
      </w:r>
      <w:r>
        <w:rPr>
          <w:color w:val="231F20"/>
          <w:spacing w:val="-25"/>
        </w:rPr>
        <w:t xml:space="preserve"> </w:t>
      </w:r>
      <w:r>
        <w:rPr>
          <w:color w:val="231F20"/>
        </w:rPr>
        <w:t>and</w:t>
      </w:r>
      <w:r>
        <w:rPr>
          <w:color w:val="231F20"/>
          <w:spacing w:val="-25"/>
        </w:rPr>
        <w:t xml:space="preserve"> </w:t>
      </w:r>
      <w:r>
        <w:rPr>
          <w:color w:val="231F20"/>
        </w:rPr>
        <w:t>48.8%</w:t>
      </w:r>
      <w:r>
        <w:rPr>
          <w:color w:val="231F20"/>
          <w:spacing w:val="-25"/>
        </w:rPr>
        <w:t xml:space="preserve"> </w:t>
      </w:r>
      <w:r>
        <w:rPr>
          <w:color w:val="231F20"/>
        </w:rPr>
        <w:t>for</w:t>
      </w:r>
      <w:r>
        <w:rPr>
          <w:color w:val="231F20"/>
          <w:spacing w:val="-25"/>
        </w:rPr>
        <w:t xml:space="preserve"> </w:t>
      </w:r>
      <w:r>
        <w:rPr>
          <w:color w:val="231F20"/>
        </w:rPr>
        <w:t>South-South</w:t>
      </w:r>
      <w:r>
        <w:rPr>
          <w:color w:val="231F20"/>
          <w:spacing w:val="-25"/>
        </w:rPr>
        <w:t xml:space="preserve"> </w:t>
      </w:r>
      <w:r>
        <w:rPr>
          <w:color w:val="231F20"/>
        </w:rPr>
        <w:t>zone.</w:t>
      </w:r>
    </w:p>
    <w:p w14:paraId="69152C0A" w14:textId="77777777" w:rsidR="009948F1" w:rsidRDefault="009948F1">
      <w:pPr>
        <w:pStyle w:val="BodyText"/>
      </w:pPr>
    </w:p>
    <w:p w14:paraId="6C476248" w14:textId="77777777" w:rsidR="009948F1" w:rsidRDefault="009948F1">
      <w:pPr>
        <w:pStyle w:val="BodyText"/>
        <w:spacing w:before="2"/>
        <w:rPr>
          <w:sz w:val="26"/>
        </w:rPr>
      </w:pPr>
    </w:p>
    <w:p w14:paraId="09925E85" w14:textId="77777777" w:rsidR="009948F1" w:rsidRDefault="00BC0563">
      <w:pPr>
        <w:pStyle w:val="Heading7"/>
        <w:numPr>
          <w:ilvl w:val="1"/>
          <w:numId w:val="321"/>
        </w:numPr>
        <w:tabs>
          <w:tab w:val="left" w:pos="872"/>
        </w:tabs>
        <w:ind w:left="871" w:hanging="721"/>
        <w:jc w:val="both"/>
        <w:rPr>
          <w:color w:val="231F20"/>
        </w:rPr>
      </w:pPr>
      <w:bookmarkStart w:id="30" w:name="_TOC_250030"/>
      <w:r>
        <w:rPr>
          <w:color w:val="231F20"/>
        </w:rPr>
        <w:t>Health</w:t>
      </w:r>
      <w:r>
        <w:rPr>
          <w:color w:val="231F20"/>
          <w:spacing w:val="-25"/>
        </w:rPr>
        <w:t xml:space="preserve"> </w:t>
      </w:r>
      <w:r>
        <w:rPr>
          <w:color w:val="231F20"/>
        </w:rPr>
        <w:t>Status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bookmarkEnd w:id="30"/>
      <w:r>
        <w:rPr>
          <w:color w:val="231F20"/>
        </w:rPr>
        <w:t>Population</w:t>
      </w:r>
    </w:p>
    <w:p w14:paraId="4F40B941" w14:textId="2ABAF40D" w:rsidR="009948F1" w:rsidRDefault="00BC0563">
      <w:pPr>
        <w:pStyle w:val="BodyText"/>
        <w:spacing w:before="23" w:line="259" w:lineRule="auto"/>
        <w:ind w:left="151" w:right="180"/>
        <w:jc w:val="both"/>
      </w:pPr>
      <w:r>
        <w:rPr>
          <w:color w:val="231F20"/>
        </w:rPr>
        <w:t xml:space="preserve">The State health status indicators are still unacceptable. Rivers State has a high prevalence </w:t>
      </w:r>
      <w:r>
        <w:rPr>
          <w:color w:val="231F20"/>
          <w:spacing w:val="-7"/>
        </w:rPr>
        <w:t xml:space="preserve">of </w:t>
      </w:r>
      <w:r>
        <w:rPr>
          <w:color w:val="231F20"/>
        </w:rPr>
        <w:t>HIV/AIDS</w:t>
      </w:r>
      <w:r>
        <w:rPr>
          <w:color w:val="231F20"/>
          <w:spacing w:val="-9"/>
        </w:rPr>
        <w:t xml:space="preserve"> </w:t>
      </w:r>
      <w:r>
        <w:rPr>
          <w:color w:val="231F20"/>
        </w:rPr>
        <w:t>of</w:t>
      </w:r>
      <w:r>
        <w:rPr>
          <w:color w:val="231F20"/>
          <w:spacing w:val="-8"/>
        </w:rPr>
        <w:t xml:space="preserve"> </w:t>
      </w:r>
      <w:r>
        <w:rPr>
          <w:color w:val="231F20"/>
        </w:rPr>
        <w:t>5.8%</w:t>
      </w:r>
      <w:r>
        <w:rPr>
          <w:color w:val="231F20"/>
          <w:spacing w:val="-8"/>
        </w:rPr>
        <w:t xml:space="preserve"> </w:t>
      </w:r>
      <w:r>
        <w:rPr>
          <w:color w:val="231F20"/>
        </w:rPr>
        <w:t>and</w:t>
      </w:r>
      <w:r>
        <w:rPr>
          <w:color w:val="231F20"/>
          <w:spacing w:val="-8"/>
        </w:rPr>
        <w:t xml:space="preserve"> </w:t>
      </w:r>
      <w:r>
        <w:rPr>
          <w:color w:val="231F20"/>
        </w:rPr>
        <w:t>is</w:t>
      </w:r>
      <w:r>
        <w:rPr>
          <w:color w:val="231F20"/>
          <w:spacing w:val="-8"/>
        </w:rPr>
        <w:t xml:space="preserve"> </w:t>
      </w:r>
      <w:r>
        <w:rPr>
          <w:color w:val="231F20"/>
        </w:rPr>
        <w:t>among</w:t>
      </w:r>
      <w:r>
        <w:rPr>
          <w:color w:val="231F20"/>
          <w:spacing w:val="-8"/>
        </w:rPr>
        <w:t xml:space="preserve"> </w:t>
      </w:r>
      <w:r>
        <w:rPr>
          <w:color w:val="231F20"/>
        </w:rPr>
        <w:t>the</w:t>
      </w:r>
      <w:r>
        <w:rPr>
          <w:color w:val="231F20"/>
          <w:spacing w:val="-8"/>
        </w:rPr>
        <w:t xml:space="preserve"> </w:t>
      </w:r>
      <w:r>
        <w:rPr>
          <w:color w:val="231F20"/>
        </w:rPr>
        <w:t>12+1</w:t>
      </w:r>
      <w:r>
        <w:rPr>
          <w:color w:val="231F20"/>
          <w:spacing w:val="-8"/>
        </w:rPr>
        <w:t xml:space="preserve"> </w:t>
      </w:r>
      <w:r>
        <w:rPr>
          <w:color w:val="231F20"/>
        </w:rPr>
        <w:t>states</w:t>
      </w:r>
      <w:r>
        <w:rPr>
          <w:color w:val="231F20"/>
          <w:spacing w:val="-8"/>
        </w:rPr>
        <w:t xml:space="preserve"> </w:t>
      </w:r>
      <w:r>
        <w:rPr>
          <w:color w:val="231F20"/>
        </w:rPr>
        <w:t>sharing</w:t>
      </w:r>
      <w:r>
        <w:rPr>
          <w:color w:val="231F20"/>
          <w:spacing w:val="-8"/>
        </w:rPr>
        <w:t xml:space="preserve"> </w:t>
      </w:r>
      <w:r>
        <w:rPr>
          <w:color w:val="231F20"/>
        </w:rPr>
        <w:t>70%</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national</w:t>
      </w:r>
      <w:r>
        <w:rPr>
          <w:color w:val="231F20"/>
          <w:spacing w:val="-9"/>
        </w:rPr>
        <w:t xml:space="preserve"> </w:t>
      </w:r>
      <w:r>
        <w:rPr>
          <w:color w:val="231F20"/>
        </w:rPr>
        <w:t>disease</w:t>
      </w:r>
      <w:r>
        <w:rPr>
          <w:color w:val="231F20"/>
          <w:spacing w:val="-8"/>
        </w:rPr>
        <w:t xml:space="preserve"> </w:t>
      </w:r>
      <w:r>
        <w:rPr>
          <w:color w:val="231F20"/>
        </w:rPr>
        <w:t>burden.</w:t>
      </w:r>
      <w:r>
        <w:rPr>
          <w:color w:val="231F20"/>
          <w:spacing w:val="-12"/>
        </w:rPr>
        <w:t xml:space="preserve"> </w:t>
      </w:r>
      <w:r>
        <w:rPr>
          <w:color w:val="231F20"/>
        </w:rPr>
        <w:t>The maternal</w:t>
      </w:r>
      <w:r>
        <w:rPr>
          <w:color w:val="231F20"/>
          <w:spacing w:val="-25"/>
        </w:rPr>
        <w:t xml:space="preserve"> </w:t>
      </w:r>
      <w:r>
        <w:rPr>
          <w:color w:val="231F20"/>
        </w:rPr>
        <w:t>mortality</w:t>
      </w:r>
      <w:r>
        <w:rPr>
          <w:color w:val="231F20"/>
          <w:spacing w:val="-24"/>
        </w:rPr>
        <w:t xml:space="preserve"> </w:t>
      </w:r>
      <w:r>
        <w:rPr>
          <w:color w:val="231F20"/>
        </w:rPr>
        <w:t>ratio</w:t>
      </w:r>
      <w:r>
        <w:rPr>
          <w:color w:val="231F20"/>
          <w:spacing w:val="-24"/>
        </w:rPr>
        <w:t xml:space="preserve"> </w:t>
      </w:r>
      <w:r>
        <w:rPr>
          <w:color w:val="231F20"/>
        </w:rPr>
        <w:t>from</w:t>
      </w:r>
      <w:r>
        <w:rPr>
          <w:color w:val="231F20"/>
          <w:spacing w:val="-24"/>
        </w:rPr>
        <w:t xml:space="preserve"> </w:t>
      </w:r>
      <w:r>
        <w:rPr>
          <w:color w:val="231F20"/>
        </w:rPr>
        <w:t>DHIS2</w:t>
      </w:r>
      <w:r>
        <w:rPr>
          <w:color w:val="231F20"/>
          <w:spacing w:val="-24"/>
        </w:rPr>
        <w:t xml:space="preserve"> </w:t>
      </w:r>
      <w:r>
        <w:rPr>
          <w:color w:val="231F20"/>
        </w:rPr>
        <w:t>for</w:t>
      </w:r>
      <w:r>
        <w:rPr>
          <w:color w:val="231F20"/>
          <w:spacing w:val="-24"/>
        </w:rPr>
        <w:t xml:space="preserve"> </w:t>
      </w:r>
      <w:r>
        <w:rPr>
          <w:color w:val="231F20"/>
        </w:rPr>
        <w:t>Rivers</w:t>
      </w:r>
      <w:r>
        <w:rPr>
          <w:color w:val="231F20"/>
          <w:spacing w:val="-24"/>
        </w:rPr>
        <w:t xml:space="preserve"> </w:t>
      </w:r>
      <w:r>
        <w:rPr>
          <w:color w:val="231F20"/>
        </w:rPr>
        <w:t>State</w:t>
      </w:r>
      <w:r>
        <w:rPr>
          <w:color w:val="231F20"/>
          <w:spacing w:val="-24"/>
        </w:rPr>
        <w:t xml:space="preserve"> </w:t>
      </w:r>
      <w:r>
        <w:rPr>
          <w:color w:val="231F20"/>
        </w:rPr>
        <w:t>was</w:t>
      </w:r>
      <w:r>
        <w:rPr>
          <w:color w:val="231F20"/>
          <w:spacing w:val="-24"/>
        </w:rPr>
        <w:t xml:space="preserve"> </w:t>
      </w:r>
      <w:r>
        <w:rPr>
          <w:color w:val="231F20"/>
        </w:rPr>
        <w:t>338.1</w:t>
      </w:r>
      <w:r>
        <w:rPr>
          <w:color w:val="231F20"/>
          <w:spacing w:val="-24"/>
        </w:rPr>
        <w:t xml:space="preserve"> </w:t>
      </w:r>
      <w:r>
        <w:rPr>
          <w:color w:val="231F20"/>
        </w:rPr>
        <w:t>per</w:t>
      </w:r>
      <w:r>
        <w:rPr>
          <w:color w:val="231F20"/>
          <w:spacing w:val="-24"/>
        </w:rPr>
        <w:t xml:space="preserve"> </w:t>
      </w:r>
      <w:r>
        <w:rPr>
          <w:color w:val="231F20"/>
        </w:rPr>
        <w:t>100,000</w:t>
      </w:r>
      <w:r>
        <w:rPr>
          <w:color w:val="231F20"/>
          <w:spacing w:val="-24"/>
        </w:rPr>
        <w:t xml:space="preserve"> </w:t>
      </w:r>
      <w:r>
        <w:rPr>
          <w:color w:val="231F20"/>
        </w:rPr>
        <w:t>live</w:t>
      </w:r>
      <w:r>
        <w:rPr>
          <w:color w:val="231F20"/>
          <w:spacing w:val="-24"/>
        </w:rPr>
        <w:t xml:space="preserve"> </w:t>
      </w:r>
      <w:r>
        <w:rPr>
          <w:color w:val="231F20"/>
        </w:rPr>
        <w:t>births</w:t>
      </w:r>
      <w:r>
        <w:rPr>
          <w:color w:val="231F20"/>
          <w:spacing w:val="-24"/>
        </w:rPr>
        <w:t xml:space="preserve"> </w:t>
      </w:r>
      <w:r>
        <w:rPr>
          <w:color w:val="231F20"/>
        </w:rPr>
        <w:t>as</w:t>
      </w:r>
      <w:r>
        <w:rPr>
          <w:color w:val="231F20"/>
          <w:spacing w:val="-25"/>
        </w:rPr>
        <w:t xml:space="preserve"> </w:t>
      </w:r>
      <w:r>
        <w:rPr>
          <w:color w:val="231F20"/>
        </w:rPr>
        <w:t>against</w:t>
      </w:r>
      <w:r>
        <w:rPr>
          <w:color w:val="231F20"/>
          <w:spacing w:val="-24"/>
        </w:rPr>
        <w:t xml:space="preserve"> </w:t>
      </w:r>
      <w:r>
        <w:rPr>
          <w:color w:val="231F20"/>
        </w:rPr>
        <w:t>the maternal mortality ratio for Nigeria is 576/100,000</w:t>
      </w:r>
      <w:r>
        <w:rPr>
          <w:color w:val="231F20"/>
          <w:position w:val="11"/>
          <w:sz w:val="11"/>
        </w:rPr>
        <w:t>1</w:t>
      </w:r>
      <w:r>
        <w:rPr>
          <w:color w:val="231F20"/>
        </w:rPr>
        <w:t>. The other health status indicators: under-five mortality</w:t>
      </w:r>
      <w:r>
        <w:rPr>
          <w:color w:val="231F20"/>
          <w:spacing w:val="-19"/>
        </w:rPr>
        <w:t xml:space="preserve"> </w:t>
      </w:r>
      <w:r>
        <w:rPr>
          <w:color w:val="231F20"/>
        </w:rPr>
        <w:t>rate</w:t>
      </w:r>
      <w:r>
        <w:rPr>
          <w:color w:val="231F20"/>
          <w:spacing w:val="-18"/>
        </w:rPr>
        <w:t xml:space="preserve"> </w:t>
      </w:r>
      <w:r>
        <w:rPr>
          <w:color w:val="231F20"/>
        </w:rPr>
        <w:t>of</w:t>
      </w:r>
      <w:r>
        <w:rPr>
          <w:color w:val="231F20"/>
          <w:spacing w:val="-18"/>
        </w:rPr>
        <w:t xml:space="preserve"> </w:t>
      </w:r>
      <w:r>
        <w:rPr>
          <w:color w:val="231F20"/>
        </w:rPr>
        <w:t>58/1000</w:t>
      </w:r>
      <w:r>
        <w:rPr>
          <w:color w:val="231F20"/>
          <w:spacing w:val="-17"/>
        </w:rPr>
        <w:t xml:space="preserve"> </w:t>
      </w:r>
      <w:r w:rsidR="00EF17A7">
        <w:rPr>
          <w:color w:val="231F20"/>
        </w:rPr>
        <w:t>live births</w:t>
      </w:r>
      <w:r>
        <w:rPr>
          <w:color w:val="231F20"/>
          <w:spacing w:val="-17"/>
        </w:rPr>
        <w:t xml:space="preserve"> </w:t>
      </w:r>
      <w:r>
        <w:rPr>
          <w:color w:val="231F20"/>
        </w:rPr>
        <w:t>(MICS</w:t>
      </w:r>
      <w:r>
        <w:rPr>
          <w:color w:val="231F20"/>
          <w:spacing w:val="-18"/>
        </w:rPr>
        <w:t xml:space="preserve"> </w:t>
      </w:r>
      <w:r>
        <w:rPr>
          <w:color w:val="231F20"/>
        </w:rPr>
        <w:t>2016)</w:t>
      </w:r>
      <w:r>
        <w:rPr>
          <w:color w:val="231F20"/>
          <w:position w:val="11"/>
          <w:sz w:val="11"/>
        </w:rPr>
        <w:t>9</w:t>
      </w:r>
      <w:r>
        <w:rPr>
          <w:color w:val="231F20"/>
          <w:spacing w:val="13"/>
          <w:position w:val="11"/>
          <w:sz w:val="11"/>
        </w:rPr>
        <w:t xml:space="preserve"> </w:t>
      </w:r>
      <w:r>
        <w:rPr>
          <w:color w:val="231F20"/>
        </w:rPr>
        <w:t>as</w:t>
      </w:r>
      <w:r>
        <w:rPr>
          <w:color w:val="231F20"/>
          <w:spacing w:val="-18"/>
        </w:rPr>
        <w:t xml:space="preserve"> </w:t>
      </w:r>
      <w:r>
        <w:rPr>
          <w:color w:val="231F20"/>
        </w:rPr>
        <w:t>against</w:t>
      </w:r>
      <w:r>
        <w:rPr>
          <w:color w:val="231F20"/>
          <w:spacing w:val="-17"/>
        </w:rPr>
        <w:t xml:space="preserve"> </w:t>
      </w:r>
      <w:r>
        <w:rPr>
          <w:color w:val="231F20"/>
        </w:rPr>
        <w:t>90/1000</w:t>
      </w:r>
      <w:r>
        <w:rPr>
          <w:color w:val="231F20"/>
          <w:spacing w:val="-17"/>
        </w:rPr>
        <w:t xml:space="preserve"> </w:t>
      </w:r>
      <w:r>
        <w:rPr>
          <w:color w:val="231F20"/>
        </w:rPr>
        <w:t>in</w:t>
      </w:r>
      <w:r>
        <w:rPr>
          <w:color w:val="231F20"/>
          <w:spacing w:val="-18"/>
        </w:rPr>
        <w:t xml:space="preserve"> </w:t>
      </w:r>
      <w:r>
        <w:rPr>
          <w:color w:val="231F20"/>
        </w:rPr>
        <w:t>NDHS</w:t>
      </w:r>
      <w:r>
        <w:rPr>
          <w:color w:val="231F20"/>
          <w:spacing w:val="-19"/>
        </w:rPr>
        <w:t xml:space="preserve"> </w:t>
      </w:r>
      <w:r>
        <w:rPr>
          <w:color w:val="231F20"/>
        </w:rPr>
        <w:t>2008,</w:t>
      </w:r>
      <w:r>
        <w:rPr>
          <w:color w:val="231F20"/>
          <w:spacing w:val="-18"/>
        </w:rPr>
        <w:t xml:space="preserve"> </w:t>
      </w:r>
      <w:r>
        <w:rPr>
          <w:color w:val="231F20"/>
        </w:rPr>
        <w:t>infant</w:t>
      </w:r>
      <w:r>
        <w:rPr>
          <w:color w:val="231F20"/>
          <w:spacing w:val="-18"/>
        </w:rPr>
        <w:t xml:space="preserve"> </w:t>
      </w:r>
      <w:r>
        <w:rPr>
          <w:color w:val="231F20"/>
        </w:rPr>
        <w:t xml:space="preserve">mortality rate of 41/1000 </w:t>
      </w:r>
      <w:r w:rsidR="00EF17A7">
        <w:rPr>
          <w:color w:val="231F20"/>
        </w:rPr>
        <w:t>live births</w:t>
      </w:r>
      <w:r>
        <w:rPr>
          <w:color w:val="231F20"/>
        </w:rPr>
        <w:t xml:space="preserve"> and child mortality rate (18/1000) </w:t>
      </w:r>
      <w:r w:rsidR="00EF17A7">
        <w:rPr>
          <w:color w:val="231F20"/>
        </w:rPr>
        <w:t>live births</w:t>
      </w:r>
      <w:r>
        <w:rPr>
          <w:color w:val="231F20"/>
        </w:rPr>
        <w:t>. The life expectancies for male,</w:t>
      </w:r>
      <w:r>
        <w:rPr>
          <w:color w:val="231F20"/>
          <w:spacing w:val="-21"/>
        </w:rPr>
        <w:t xml:space="preserve"> </w:t>
      </w:r>
      <w:r>
        <w:rPr>
          <w:color w:val="231F20"/>
        </w:rPr>
        <w:t>52.6</w:t>
      </w:r>
      <w:r>
        <w:rPr>
          <w:color w:val="231F20"/>
          <w:spacing w:val="-20"/>
        </w:rPr>
        <w:t xml:space="preserve"> </w:t>
      </w:r>
      <w:r>
        <w:rPr>
          <w:color w:val="231F20"/>
        </w:rPr>
        <w:t>years</w:t>
      </w:r>
      <w:r>
        <w:rPr>
          <w:color w:val="231F20"/>
          <w:spacing w:val="-20"/>
        </w:rPr>
        <w:t xml:space="preserve"> </w:t>
      </w:r>
      <w:r>
        <w:rPr>
          <w:color w:val="231F20"/>
        </w:rPr>
        <w:t>and</w:t>
      </w:r>
      <w:r>
        <w:rPr>
          <w:color w:val="231F20"/>
          <w:spacing w:val="-20"/>
        </w:rPr>
        <w:t xml:space="preserve"> </w:t>
      </w:r>
      <w:r>
        <w:rPr>
          <w:color w:val="231F20"/>
        </w:rPr>
        <w:t>female,</w:t>
      </w:r>
      <w:r>
        <w:rPr>
          <w:color w:val="231F20"/>
          <w:spacing w:val="-20"/>
        </w:rPr>
        <w:t xml:space="preserve"> </w:t>
      </w:r>
      <w:r>
        <w:rPr>
          <w:color w:val="231F20"/>
        </w:rPr>
        <w:t>53.8</w:t>
      </w:r>
      <w:r>
        <w:rPr>
          <w:color w:val="231F20"/>
          <w:spacing w:val="-20"/>
        </w:rPr>
        <w:t xml:space="preserve"> </w:t>
      </w:r>
      <w:r>
        <w:rPr>
          <w:color w:val="231F20"/>
        </w:rPr>
        <w:t>years</w:t>
      </w:r>
      <w:r>
        <w:rPr>
          <w:color w:val="231F20"/>
          <w:spacing w:val="-20"/>
        </w:rPr>
        <w:t xml:space="preserve"> </w:t>
      </w:r>
      <w:r>
        <w:rPr>
          <w:color w:val="231F20"/>
        </w:rPr>
        <w:t>are</w:t>
      </w:r>
      <w:r>
        <w:rPr>
          <w:color w:val="231F20"/>
          <w:spacing w:val="-20"/>
        </w:rPr>
        <w:t xml:space="preserve"> </w:t>
      </w:r>
      <w:r>
        <w:rPr>
          <w:color w:val="231F20"/>
        </w:rPr>
        <w:t>still</w:t>
      </w:r>
      <w:r>
        <w:rPr>
          <w:color w:val="231F20"/>
          <w:spacing w:val="-20"/>
        </w:rPr>
        <w:t xml:space="preserve"> </w:t>
      </w:r>
      <w:r>
        <w:rPr>
          <w:color w:val="231F20"/>
        </w:rPr>
        <w:t>low</w:t>
      </w:r>
      <w:r>
        <w:rPr>
          <w:color w:val="231F20"/>
          <w:spacing w:val="-20"/>
        </w:rPr>
        <w:t xml:space="preserve"> </w:t>
      </w:r>
      <w:r>
        <w:rPr>
          <w:color w:val="231F20"/>
        </w:rPr>
        <w:t>compared</w:t>
      </w:r>
      <w:r>
        <w:rPr>
          <w:color w:val="231F20"/>
          <w:spacing w:val="-20"/>
        </w:rPr>
        <w:t xml:space="preserve"> </w:t>
      </w:r>
      <w:r>
        <w:rPr>
          <w:color w:val="231F20"/>
        </w:rPr>
        <w:t>to</w:t>
      </w:r>
      <w:r>
        <w:rPr>
          <w:color w:val="231F20"/>
          <w:spacing w:val="-21"/>
        </w:rPr>
        <w:t xml:space="preserve"> </w:t>
      </w:r>
      <w:r>
        <w:rPr>
          <w:color w:val="231F20"/>
        </w:rPr>
        <w:t>54</w:t>
      </w:r>
      <w:r>
        <w:rPr>
          <w:color w:val="231F20"/>
          <w:spacing w:val="-20"/>
        </w:rPr>
        <w:t xml:space="preserve"> </w:t>
      </w:r>
      <w:r>
        <w:rPr>
          <w:color w:val="231F20"/>
        </w:rPr>
        <w:t>and</w:t>
      </w:r>
      <w:r>
        <w:rPr>
          <w:color w:val="231F20"/>
          <w:spacing w:val="-20"/>
        </w:rPr>
        <w:t xml:space="preserve"> </w:t>
      </w:r>
      <w:r>
        <w:rPr>
          <w:color w:val="231F20"/>
        </w:rPr>
        <w:t>57(2008)</w:t>
      </w:r>
      <w:r>
        <w:rPr>
          <w:color w:val="231F20"/>
          <w:spacing w:val="-20"/>
        </w:rPr>
        <w:t xml:space="preserve"> </w:t>
      </w:r>
      <w:r>
        <w:rPr>
          <w:color w:val="231F20"/>
        </w:rPr>
        <w:t>respectively</w:t>
      </w:r>
      <w:r>
        <w:rPr>
          <w:color w:val="231F20"/>
          <w:spacing w:val="-20"/>
        </w:rPr>
        <w:t xml:space="preserve"> </w:t>
      </w:r>
      <w:r>
        <w:rPr>
          <w:color w:val="231F20"/>
        </w:rPr>
        <w:t>and the</w:t>
      </w:r>
      <w:r>
        <w:rPr>
          <w:color w:val="231F20"/>
          <w:spacing w:val="-13"/>
        </w:rPr>
        <w:t xml:space="preserve"> </w:t>
      </w:r>
      <w:r>
        <w:rPr>
          <w:color w:val="231F20"/>
        </w:rPr>
        <w:t>national</w:t>
      </w:r>
      <w:r>
        <w:rPr>
          <w:color w:val="231F20"/>
          <w:spacing w:val="-11"/>
        </w:rPr>
        <w:t xml:space="preserve"> </w:t>
      </w:r>
      <w:r>
        <w:rPr>
          <w:color w:val="231F20"/>
        </w:rPr>
        <w:t>54.5</w:t>
      </w:r>
      <w:r>
        <w:rPr>
          <w:color w:val="231F20"/>
          <w:spacing w:val="-12"/>
        </w:rPr>
        <w:t xml:space="preserve"> </w:t>
      </w:r>
      <w:r>
        <w:rPr>
          <w:color w:val="231F20"/>
        </w:rPr>
        <w:t>years</w:t>
      </w:r>
      <w:r>
        <w:rPr>
          <w:color w:val="231F20"/>
          <w:spacing w:val="-12"/>
        </w:rPr>
        <w:t xml:space="preserve"> </w:t>
      </w:r>
      <w:r>
        <w:rPr>
          <w:color w:val="231F20"/>
        </w:rPr>
        <w:t>and</w:t>
      </w:r>
      <w:r>
        <w:rPr>
          <w:color w:val="231F20"/>
          <w:spacing w:val="-12"/>
        </w:rPr>
        <w:t xml:space="preserve"> </w:t>
      </w:r>
      <w:r>
        <w:rPr>
          <w:color w:val="231F20"/>
        </w:rPr>
        <w:t>global</w:t>
      </w:r>
      <w:r>
        <w:rPr>
          <w:color w:val="231F20"/>
          <w:spacing w:val="-11"/>
        </w:rPr>
        <w:t xml:space="preserve"> </w:t>
      </w:r>
      <w:r>
        <w:rPr>
          <w:color w:val="231F20"/>
        </w:rPr>
        <w:t>average</w:t>
      </w:r>
      <w:r>
        <w:rPr>
          <w:color w:val="231F20"/>
          <w:spacing w:val="-11"/>
        </w:rPr>
        <w:t xml:space="preserve"> </w:t>
      </w:r>
      <w:r>
        <w:rPr>
          <w:color w:val="231F20"/>
        </w:rPr>
        <w:t>of</w:t>
      </w:r>
      <w:r>
        <w:rPr>
          <w:color w:val="231F20"/>
          <w:spacing w:val="-12"/>
        </w:rPr>
        <w:t xml:space="preserve"> </w:t>
      </w:r>
      <w:r>
        <w:rPr>
          <w:color w:val="231F20"/>
        </w:rPr>
        <w:t>71.4</w:t>
      </w:r>
      <w:r>
        <w:rPr>
          <w:color w:val="231F20"/>
          <w:spacing w:val="-12"/>
        </w:rPr>
        <w:t xml:space="preserve"> </w:t>
      </w:r>
      <w:r>
        <w:rPr>
          <w:color w:val="231F20"/>
        </w:rPr>
        <w:t>years.</w:t>
      </w:r>
      <w:r>
        <w:rPr>
          <w:color w:val="231F20"/>
          <w:spacing w:val="-16"/>
        </w:rPr>
        <w:t xml:space="preserve"> </w:t>
      </w:r>
      <w:r>
        <w:rPr>
          <w:color w:val="231F20"/>
        </w:rPr>
        <w:t>The</w:t>
      </w:r>
      <w:r>
        <w:rPr>
          <w:color w:val="231F20"/>
          <w:spacing w:val="-12"/>
        </w:rPr>
        <w:t xml:space="preserve"> </w:t>
      </w:r>
      <w:r>
        <w:rPr>
          <w:color w:val="231F20"/>
        </w:rPr>
        <w:t>indices</w:t>
      </w:r>
      <w:r>
        <w:rPr>
          <w:color w:val="231F20"/>
          <w:spacing w:val="-11"/>
        </w:rPr>
        <w:t xml:space="preserve"> </w:t>
      </w:r>
      <w:r>
        <w:rPr>
          <w:color w:val="231F20"/>
        </w:rPr>
        <w:t>of</w:t>
      </w:r>
      <w:r>
        <w:rPr>
          <w:color w:val="231F20"/>
          <w:spacing w:val="-12"/>
        </w:rPr>
        <w:t xml:space="preserve"> </w:t>
      </w:r>
      <w:r>
        <w:rPr>
          <w:color w:val="231F20"/>
        </w:rPr>
        <w:t>health</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are</w:t>
      </w:r>
      <w:r>
        <w:rPr>
          <w:color w:val="231F20"/>
          <w:spacing w:val="-12"/>
        </w:rPr>
        <w:t xml:space="preserve"> </w:t>
      </w:r>
      <w:r>
        <w:rPr>
          <w:color w:val="231F20"/>
        </w:rPr>
        <w:t>still below acceptable</w:t>
      </w:r>
      <w:r>
        <w:rPr>
          <w:color w:val="231F20"/>
          <w:spacing w:val="-50"/>
        </w:rPr>
        <w:t xml:space="preserve"> </w:t>
      </w:r>
      <w:r>
        <w:rPr>
          <w:color w:val="231F20"/>
        </w:rPr>
        <w:t>limits.</w:t>
      </w:r>
    </w:p>
    <w:p w14:paraId="010FE183" w14:textId="77777777" w:rsidR="009948F1" w:rsidRDefault="009948F1">
      <w:pPr>
        <w:pStyle w:val="BodyText"/>
        <w:rPr>
          <w:sz w:val="20"/>
        </w:rPr>
      </w:pPr>
    </w:p>
    <w:p w14:paraId="594B0B78" w14:textId="77777777" w:rsidR="009948F1" w:rsidRDefault="009948F1">
      <w:pPr>
        <w:pStyle w:val="BodyText"/>
        <w:spacing w:before="6"/>
      </w:pPr>
    </w:p>
    <w:p w14:paraId="2F03F33B" w14:textId="77777777" w:rsidR="009948F1" w:rsidRDefault="00BC0563">
      <w:pPr>
        <w:spacing w:before="71"/>
        <w:ind w:left="410"/>
        <w:rPr>
          <w:sz w:val="20"/>
        </w:rPr>
      </w:pPr>
      <w:r>
        <w:rPr>
          <w:color w:val="231F20"/>
          <w:w w:val="110"/>
          <w:sz w:val="20"/>
        </w:rPr>
        <w:t>The health status indicators for Rivers State are summarized in Table 2 below.</w:t>
      </w:r>
    </w:p>
    <w:p w14:paraId="4596EE4F" w14:textId="77777777" w:rsidR="009948F1" w:rsidRDefault="00BC0563">
      <w:pPr>
        <w:spacing w:before="124" w:after="38"/>
        <w:ind w:left="410"/>
        <w:rPr>
          <w:b/>
          <w:i/>
          <w:sz w:val="20"/>
        </w:rPr>
      </w:pPr>
      <w:r>
        <w:rPr>
          <w:b/>
          <w:i/>
          <w:color w:val="231F20"/>
          <w:w w:val="110"/>
          <w:sz w:val="20"/>
        </w:rPr>
        <w:t>Table 2: Rivers State Health Indicators</w:t>
      </w:r>
    </w:p>
    <w:tbl>
      <w:tblPr>
        <w:tblW w:w="0" w:type="auto"/>
        <w:tblInd w:w="1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086"/>
        <w:gridCol w:w="1332"/>
        <w:gridCol w:w="1939"/>
      </w:tblGrid>
      <w:tr w:rsidR="009948F1" w14:paraId="10E67342" w14:textId="77777777">
        <w:trPr>
          <w:trHeight w:val="711"/>
        </w:trPr>
        <w:tc>
          <w:tcPr>
            <w:tcW w:w="6086" w:type="dxa"/>
          </w:tcPr>
          <w:p w14:paraId="4A41184D" w14:textId="77777777" w:rsidR="009948F1" w:rsidRDefault="00BC0563">
            <w:pPr>
              <w:pStyle w:val="TableParagraph"/>
              <w:ind w:left="108"/>
              <w:rPr>
                <w:b/>
                <w:sz w:val="16"/>
              </w:rPr>
            </w:pPr>
            <w:r>
              <w:rPr>
                <w:b/>
                <w:color w:val="231F20"/>
                <w:w w:val="115"/>
                <w:sz w:val="16"/>
              </w:rPr>
              <w:t>POPULATION</w:t>
            </w:r>
          </w:p>
        </w:tc>
        <w:tc>
          <w:tcPr>
            <w:tcW w:w="1332" w:type="dxa"/>
          </w:tcPr>
          <w:p w14:paraId="3E4E2661" w14:textId="77777777" w:rsidR="009948F1" w:rsidRDefault="00BC0563">
            <w:pPr>
              <w:pStyle w:val="TableParagraph"/>
              <w:ind w:left="107"/>
              <w:rPr>
                <w:b/>
                <w:sz w:val="16"/>
              </w:rPr>
            </w:pPr>
            <w:r>
              <w:rPr>
                <w:b/>
                <w:color w:val="231F20"/>
                <w:w w:val="115"/>
                <w:sz w:val="16"/>
              </w:rPr>
              <w:t>2006 census</w:t>
            </w:r>
          </w:p>
        </w:tc>
        <w:tc>
          <w:tcPr>
            <w:tcW w:w="1939" w:type="dxa"/>
          </w:tcPr>
          <w:p w14:paraId="57231A00" w14:textId="77777777" w:rsidR="009948F1" w:rsidRDefault="00BC0563">
            <w:pPr>
              <w:pStyle w:val="TableParagraph"/>
              <w:ind w:left="107"/>
              <w:rPr>
                <w:b/>
                <w:sz w:val="16"/>
              </w:rPr>
            </w:pPr>
            <w:r>
              <w:rPr>
                <w:b/>
                <w:color w:val="231F20"/>
                <w:w w:val="115"/>
                <w:sz w:val="16"/>
              </w:rPr>
              <w:t>2016</w:t>
            </w:r>
          </w:p>
          <w:p w14:paraId="78A945C4" w14:textId="77777777" w:rsidR="009948F1" w:rsidRDefault="00BC0563">
            <w:pPr>
              <w:pStyle w:val="TableParagraph"/>
              <w:spacing w:before="37"/>
              <w:ind w:left="107"/>
              <w:rPr>
                <w:b/>
                <w:sz w:val="16"/>
              </w:rPr>
            </w:pPr>
            <w:r>
              <w:rPr>
                <w:b/>
                <w:color w:val="231F20"/>
                <w:w w:val="115"/>
                <w:sz w:val="16"/>
              </w:rPr>
              <w:t>Projected</w:t>
            </w:r>
          </w:p>
        </w:tc>
      </w:tr>
      <w:tr w:rsidR="009948F1" w14:paraId="23DC33E8" w14:textId="77777777">
        <w:trPr>
          <w:trHeight w:val="219"/>
        </w:trPr>
        <w:tc>
          <w:tcPr>
            <w:tcW w:w="6086" w:type="dxa"/>
          </w:tcPr>
          <w:p w14:paraId="73E0529C" w14:textId="77777777" w:rsidR="009948F1" w:rsidRDefault="00BC0563">
            <w:pPr>
              <w:pStyle w:val="TableParagraph"/>
              <w:ind w:left="108"/>
              <w:rPr>
                <w:b/>
                <w:sz w:val="16"/>
              </w:rPr>
            </w:pPr>
            <w:r>
              <w:rPr>
                <w:b/>
                <w:color w:val="231F20"/>
                <w:w w:val="115"/>
                <w:sz w:val="16"/>
              </w:rPr>
              <w:t>Total population</w:t>
            </w:r>
          </w:p>
        </w:tc>
        <w:tc>
          <w:tcPr>
            <w:tcW w:w="1332" w:type="dxa"/>
          </w:tcPr>
          <w:p w14:paraId="7FCE2E3E" w14:textId="77777777" w:rsidR="009948F1" w:rsidRDefault="00BC0563">
            <w:pPr>
              <w:pStyle w:val="TableParagraph"/>
              <w:ind w:left="107"/>
              <w:rPr>
                <w:b/>
                <w:sz w:val="16"/>
              </w:rPr>
            </w:pPr>
            <w:r>
              <w:rPr>
                <w:b/>
                <w:color w:val="231F20"/>
                <w:w w:val="115"/>
                <w:sz w:val="16"/>
              </w:rPr>
              <w:t>5,198,716</w:t>
            </w:r>
          </w:p>
        </w:tc>
        <w:tc>
          <w:tcPr>
            <w:tcW w:w="1939" w:type="dxa"/>
          </w:tcPr>
          <w:p w14:paraId="23D0FF3B" w14:textId="77777777" w:rsidR="009948F1" w:rsidRDefault="00BC0563">
            <w:pPr>
              <w:pStyle w:val="TableParagraph"/>
              <w:ind w:left="107"/>
              <w:rPr>
                <w:b/>
                <w:sz w:val="16"/>
              </w:rPr>
            </w:pPr>
            <w:r>
              <w:rPr>
                <w:b/>
                <w:color w:val="231F20"/>
                <w:w w:val="115"/>
                <w:sz w:val="16"/>
              </w:rPr>
              <w:t>7,244,152</w:t>
            </w:r>
          </w:p>
        </w:tc>
      </w:tr>
      <w:tr w:rsidR="009948F1" w14:paraId="1971D671" w14:textId="77777777">
        <w:trPr>
          <w:trHeight w:val="221"/>
        </w:trPr>
        <w:tc>
          <w:tcPr>
            <w:tcW w:w="6086" w:type="dxa"/>
          </w:tcPr>
          <w:p w14:paraId="51C00AF8" w14:textId="77777777" w:rsidR="009948F1" w:rsidRDefault="00BC0563">
            <w:pPr>
              <w:pStyle w:val="TableParagraph"/>
              <w:spacing w:before="7"/>
              <w:ind w:left="108"/>
              <w:rPr>
                <w:sz w:val="16"/>
              </w:rPr>
            </w:pPr>
            <w:r>
              <w:rPr>
                <w:color w:val="231F20"/>
                <w:w w:val="115"/>
                <w:sz w:val="16"/>
              </w:rPr>
              <w:t>Under 5 years (20% of Pop)</w:t>
            </w:r>
          </w:p>
        </w:tc>
        <w:tc>
          <w:tcPr>
            <w:tcW w:w="1332" w:type="dxa"/>
          </w:tcPr>
          <w:p w14:paraId="4F71B511" w14:textId="77777777" w:rsidR="009948F1" w:rsidRDefault="00BC0563">
            <w:pPr>
              <w:pStyle w:val="TableParagraph"/>
              <w:spacing w:before="7"/>
              <w:ind w:left="107"/>
              <w:rPr>
                <w:sz w:val="16"/>
              </w:rPr>
            </w:pPr>
            <w:r>
              <w:rPr>
                <w:color w:val="231F20"/>
                <w:w w:val="115"/>
                <w:sz w:val="16"/>
              </w:rPr>
              <w:t>618,384</w:t>
            </w:r>
          </w:p>
        </w:tc>
        <w:tc>
          <w:tcPr>
            <w:tcW w:w="1939" w:type="dxa"/>
          </w:tcPr>
          <w:p w14:paraId="583C395F" w14:textId="77777777" w:rsidR="009948F1" w:rsidRDefault="00BC0563">
            <w:pPr>
              <w:pStyle w:val="TableParagraph"/>
              <w:spacing w:before="7"/>
              <w:ind w:left="107"/>
              <w:rPr>
                <w:sz w:val="16"/>
              </w:rPr>
            </w:pPr>
            <w:r>
              <w:rPr>
                <w:color w:val="231F20"/>
                <w:w w:val="115"/>
                <w:sz w:val="16"/>
              </w:rPr>
              <w:t>1,448,830</w:t>
            </w:r>
          </w:p>
        </w:tc>
      </w:tr>
      <w:tr w:rsidR="009948F1" w14:paraId="0C490BCA" w14:textId="77777777">
        <w:trPr>
          <w:trHeight w:val="219"/>
        </w:trPr>
        <w:tc>
          <w:tcPr>
            <w:tcW w:w="6086" w:type="dxa"/>
          </w:tcPr>
          <w:p w14:paraId="3F3C7A3A" w14:textId="77777777" w:rsidR="009948F1" w:rsidRDefault="00BC0563">
            <w:pPr>
              <w:pStyle w:val="TableParagraph"/>
              <w:spacing w:before="5"/>
              <w:ind w:left="108"/>
              <w:rPr>
                <w:sz w:val="16"/>
              </w:rPr>
            </w:pPr>
            <w:r>
              <w:rPr>
                <w:color w:val="231F20"/>
                <w:w w:val="115"/>
                <w:sz w:val="16"/>
              </w:rPr>
              <w:t>Adolescents age 10-24 years (1/3 of pop)</w:t>
            </w:r>
          </w:p>
        </w:tc>
        <w:tc>
          <w:tcPr>
            <w:tcW w:w="1332" w:type="dxa"/>
          </w:tcPr>
          <w:p w14:paraId="0E29E05C" w14:textId="77777777" w:rsidR="009948F1" w:rsidRDefault="00BC0563">
            <w:pPr>
              <w:pStyle w:val="TableParagraph"/>
              <w:spacing w:before="5"/>
              <w:ind w:left="107"/>
              <w:rPr>
                <w:sz w:val="16"/>
              </w:rPr>
            </w:pPr>
            <w:r>
              <w:rPr>
                <w:color w:val="231F20"/>
                <w:w w:val="115"/>
                <w:sz w:val="16"/>
              </w:rPr>
              <w:t>1,763,506</w:t>
            </w:r>
          </w:p>
        </w:tc>
        <w:tc>
          <w:tcPr>
            <w:tcW w:w="1939" w:type="dxa"/>
          </w:tcPr>
          <w:p w14:paraId="7790E25D" w14:textId="77777777" w:rsidR="009948F1" w:rsidRDefault="00BC0563">
            <w:pPr>
              <w:pStyle w:val="TableParagraph"/>
              <w:spacing w:before="5"/>
              <w:ind w:left="107"/>
              <w:rPr>
                <w:sz w:val="16"/>
              </w:rPr>
            </w:pPr>
            <w:r>
              <w:rPr>
                <w:color w:val="231F20"/>
                <w:w w:val="115"/>
                <w:sz w:val="16"/>
              </w:rPr>
              <w:t>2,414,717</w:t>
            </w:r>
          </w:p>
        </w:tc>
      </w:tr>
      <w:tr w:rsidR="009948F1" w14:paraId="237AC24F" w14:textId="77777777">
        <w:trPr>
          <w:trHeight w:val="219"/>
        </w:trPr>
        <w:tc>
          <w:tcPr>
            <w:tcW w:w="6086" w:type="dxa"/>
          </w:tcPr>
          <w:p w14:paraId="6955FD8D" w14:textId="77777777" w:rsidR="009948F1" w:rsidRDefault="00BC0563">
            <w:pPr>
              <w:pStyle w:val="TableParagraph"/>
              <w:spacing w:before="5"/>
              <w:ind w:left="108"/>
              <w:rPr>
                <w:sz w:val="16"/>
              </w:rPr>
            </w:pPr>
            <w:r>
              <w:rPr>
                <w:color w:val="231F20"/>
                <w:w w:val="115"/>
                <w:sz w:val="16"/>
              </w:rPr>
              <w:t>Women of child bearing age 15-49 years (22% of total population)</w:t>
            </w:r>
          </w:p>
        </w:tc>
        <w:tc>
          <w:tcPr>
            <w:tcW w:w="1332" w:type="dxa"/>
          </w:tcPr>
          <w:p w14:paraId="22ECFAC4" w14:textId="77777777" w:rsidR="009948F1" w:rsidRDefault="00BC0563">
            <w:pPr>
              <w:pStyle w:val="TableParagraph"/>
              <w:spacing w:before="5"/>
              <w:ind w:left="107"/>
              <w:rPr>
                <w:sz w:val="16"/>
              </w:rPr>
            </w:pPr>
            <w:r>
              <w:rPr>
                <w:color w:val="231F20"/>
                <w:w w:val="115"/>
                <w:sz w:val="16"/>
              </w:rPr>
              <w:t>1,402,749</w:t>
            </w:r>
          </w:p>
        </w:tc>
        <w:tc>
          <w:tcPr>
            <w:tcW w:w="1939" w:type="dxa"/>
          </w:tcPr>
          <w:p w14:paraId="785D044C" w14:textId="77777777" w:rsidR="009948F1" w:rsidRDefault="00BC0563">
            <w:pPr>
              <w:pStyle w:val="TableParagraph"/>
              <w:spacing w:before="5"/>
              <w:ind w:left="107"/>
              <w:rPr>
                <w:sz w:val="16"/>
              </w:rPr>
            </w:pPr>
            <w:r>
              <w:rPr>
                <w:color w:val="231F20"/>
                <w:w w:val="115"/>
                <w:sz w:val="16"/>
              </w:rPr>
              <w:t>1,593,713</w:t>
            </w:r>
          </w:p>
        </w:tc>
      </w:tr>
      <w:tr w:rsidR="009948F1" w14:paraId="7821BC9B" w14:textId="77777777">
        <w:trPr>
          <w:trHeight w:val="524"/>
        </w:trPr>
        <w:tc>
          <w:tcPr>
            <w:tcW w:w="6086" w:type="dxa"/>
          </w:tcPr>
          <w:p w14:paraId="377D1D5A" w14:textId="77777777" w:rsidR="009948F1" w:rsidRDefault="00BC0563">
            <w:pPr>
              <w:pStyle w:val="TableParagraph"/>
              <w:spacing w:before="3"/>
              <w:ind w:left="108"/>
              <w:rPr>
                <w:b/>
                <w:sz w:val="16"/>
              </w:rPr>
            </w:pPr>
            <w:r>
              <w:rPr>
                <w:b/>
                <w:color w:val="231F20"/>
                <w:w w:val="115"/>
                <w:sz w:val="16"/>
              </w:rPr>
              <w:t>INDICATORS</w:t>
            </w:r>
          </w:p>
        </w:tc>
        <w:tc>
          <w:tcPr>
            <w:tcW w:w="1332" w:type="dxa"/>
          </w:tcPr>
          <w:p w14:paraId="55DBD891" w14:textId="77777777" w:rsidR="009948F1" w:rsidRDefault="00BC0563">
            <w:pPr>
              <w:pStyle w:val="TableParagraph"/>
              <w:spacing w:before="3" w:line="288" w:lineRule="auto"/>
              <w:ind w:left="107"/>
              <w:rPr>
                <w:b/>
                <w:sz w:val="16"/>
              </w:rPr>
            </w:pPr>
            <w:r>
              <w:rPr>
                <w:b/>
                <w:color w:val="231F20"/>
                <w:w w:val="115"/>
                <w:sz w:val="16"/>
              </w:rPr>
              <w:t>NDHS (%) 2008</w:t>
            </w:r>
          </w:p>
        </w:tc>
        <w:tc>
          <w:tcPr>
            <w:tcW w:w="1939" w:type="dxa"/>
          </w:tcPr>
          <w:p w14:paraId="6E100877" w14:textId="77777777" w:rsidR="009948F1" w:rsidRDefault="00BC0563">
            <w:pPr>
              <w:pStyle w:val="TableParagraph"/>
              <w:spacing w:before="3"/>
              <w:ind w:left="107"/>
              <w:rPr>
                <w:b/>
                <w:sz w:val="16"/>
              </w:rPr>
            </w:pPr>
            <w:r>
              <w:rPr>
                <w:b/>
                <w:color w:val="231F20"/>
                <w:w w:val="115"/>
                <w:sz w:val="16"/>
              </w:rPr>
              <w:t>MICS(%) 2016/2017</w:t>
            </w:r>
          </w:p>
        </w:tc>
      </w:tr>
      <w:tr w:rsidR="009948F1" w14:paraId="39D4C827" w14:textId="77777777">
        <w:trPr>
          <w:trHeight w:val="219"/>
        </w:trPr>
        <w:tc>
          <w:tcPr>
            <w:tcW w:w="6086" w:type="dxa"/>
          </w:tcPr>
          <w:p w14:paraId="414D7E6B" w14:textId="77777777" w:rsidR="009948F1" w:rsidRDefault="00BC0563">
            <w:pPr>
              <w:pStyle w:val="TableParagraph"/>
              <w:spacing w:before="5"/>
              <w:ind w:left="108"/>
              <w:rPr>
                <w:sz w:val="16"/>
              </w:rPr>
            </w:pPr>
            <w:r>
              <w:rPr>
                <w:color w:val="231F20"/>
                <w:w w:val="115"/>
                <w:sz w:val="16"/>
              </w:rPr>
              <w:t>Literacy rate (female)</w:t>
            </w:r>
          </w:p>
        </w:tc>
        <w:tc>
          <w:tcPr>
            <w:tcW w:w="1332" w:type="dxa"/>
          </w:tcPr>
          <w:p w14:paraId="54F7AF4E" w14:textId="77777777" w:rsidR="009948F1" w:rsidRDefault="00BC0563">
            <w:pPr>
              <w:pStyle w:val="TableParagraph"/>
              <w:spacing w:before="5"/>
              <w:ind w:left="107"/>
              <w:rPr>
                <w:sz w:val="16"/>
              </w:rPr>
            </w:pPr>
            <w:r>
              <w:rPr>
                <w:color w:val="231F20"/>
                <w:w w:val="115"/>
                <w:sz w:val="16"/>
              </w:rPr>
              <w:t>95</w:t>
            </w:r>
          </w:p>
        </w:tc>
        <w:tc>
          <w:tcPr>
            <w:tcW w:w="1939" w:type="dxa"/>
          </w:tcPr>
          <w:p w14:paraId="3D0D1469" w14:textId="77777777" w:rsidR="009948F1" w:rsidRDefault="00BC0563">
            <w:pPr>
              <w:pStyle w:val="TableParagraph"/>
              <w:spacing w:before="5"/>
              <w:ind w:left="107"/>
              <w:rPr>
                <w:sz w:val="16"/>
              </w:rPr>
            </w:pPr>
            <w:r>
              <w:rPr>
                <w:color w:val="231F20"/>
                <w:w w:val="115"/>
                <w:sz w:val="16"/>
              </w:rPr>
              <w:t>98.1</w:t>
            </w:r>
          </w:p>
        </w:tc>
      </w:tr>
      <w:tr w:rsidR="009948F1" w14:paraId="2EC66FC3" w14:textId="77777777">
        <w:trPr>
          <w:trHeight w:val="219"/>
        </w:trPr>
        <w:tc>
          <w:tcPr>
            <w:tcW w:w="6086" w:type="dxa"/>
          </w:tcPr>
          <w:p w14:paraId="330F4900" w14:textId="77777777" w:rsidR="009948F1" w:rsidRDefault="00BC0563">
            <w:pPr>
              <w:pStyle w:val="TableParagraph"/>
              <w:spacing w:before="5"/>
              <w:ind w:left="108"/>
              <w:rPr>
                <w:sz w:val="16"/>
              </w:rPr>
            </w:pPr>
            <w:r>
              <w:rPr>
                <w:color w:val="231F20"/>
                <w:w w:val="115"/>
                <w:sz w:val="16"/>
              </w:rPr>
              <w:t>Literacy rate (male)</w:t>
            </w:r>
          </w:p>
        </w:tc>
        <w:tc>
          <w:tcPr>
            <w:tcW w:w="1332" w:type="dxa"/>
          </w:tcPr>
          <w:p w14:paraId="6C704DC1" w14:textId="77777777" w:rsidR="009948F1" w:rsidRDefault="00BC0563">
            <w:pPr>
              <w:pStyle w:val="TableParagraph"/>
              <w:spacing w:before="5"/>
              <w:ind w:left="107"/>
              <w:rPr>
                <w:sz w:val="16"/>
              </w:rPr>
            </w:pPr>
            <w:r>
              <w:rPr>
                <w:color w:val="231F20"/>
                <w:w w:val="115"/>
                <w:sz w:val="16"/>
              </w:rPr>
              <w:t>84</w:t>
            </w:r>
          </w:p>
        </w:tc>
        <w:tc>
          <w:tcPr>
            <w:tcW w:w="1939" w:type="dxa"/>
          </w:tcPr>
          <w:p w14:paraId="2B63CD44" w14:textId="77777777" w:rsidR="009948F1" w:rsidRDefault="00BC0563">
            <w:pPr>
              <w:pStyle w:val="TableParagraph"/>
              <w:spacing w:before="5"/>
              <w:ind w:left="107"/>
              <w:rPr>
                <w:sz w:val="16"/>
              </w:rPr>
            </w:pPr>
            <w:r>
              <w:rPr>
                <w:color w:val="231F20"/>
                <w:w w:val="115"/>
                <w:sz w:val="16"/>
              </w:rPr>
              <w:t>94.7</w:t>
            </w:r>
          </w:p>
        </w:tc>
      </w:tr>
      <w:tr w:rsidR="009948F1" w14:paraId="185486C4" w14:textId="77777777">
        <w:trPr>
          <w:trHeight w:val="221"/>
        </w:trPr>
        <w:tc>
          <w:tcPr>
            <w:tcW w:w="6086" w:type="dxa"/>
          </w:tcPr>
          <w:p w14:paraId="0DBA5F50" w14:textId="77777777" w:rsidR="009948F1" w:rsidRDefault="00BC0563">
            <w:pPr>
              <w:pStyle w:val="TableParagraph"/>
              <w:spacing w:before="5"/>
              <w:ind w:left="108"/>
              <w:rPr>
                <w:sz w:val="16"/>
              </w:rPr>
            </w:pPr>
            <w:r>
              <w:rPr>
                <w:color w:val="231F20"/>
                <w:w w:val="115"/>
                <w:sz w:val="16"/>
              </w:rPr>
              <w:t>Households with improved source of drinking water</w:t>
            </w:r>
          </w:p>
        </w:tc>
        <w:tc>
          <w:tcPr>
            <w:tcW w:w="1332" w:type="dxa"/>
          </w:tcPr>
          <w:p w14:paraId="41E740E0" w14:textId="77777777" w:rsidR="009948F1" w:rsidRDefault="00BC0563">
            <w:pPr>
              <w:pStyle w:val="TableParagraph"/>
              <w:spacing w:before="5"/>
              <w:ind w:left="107"/>
              <w:rPr>
                <w:sz w:val="16"/>
              </w:rPr>
            </w:pPr>
            <w:r>
              <w:rPr>
                <w:color w:val="231F20"/>
                <w:w w:val="115"/>
                <w:sz w:val="16"/>
              </w:rPr>
              <w:t>26</w:t>
            </w:r>
          </w:p>
        </w:tc>
        <w:tc>
          <w:tcPr>
            <w:tcW w:w="1939" w:type="dxa"/>
          </w:tcPr>
          <w:p w14:paraId="5FB0AFC8" w14:textId="77777777" w:rsidR="009948F1" w:rsidRDefault="00BC0563">
            <w:pPr>
              <w:pStyle w:val="TableParagraph"/>
              <w:spacing w:before="5"/>
              <w:ind w:left="107"/>
              <w:rPr>
                <w:sz w:val="16"/>
              </w:rPr>
            </w:pPr>
            <w:r>
              <w:rPr>
                <w:color w:val="231F20"/>
                <w:w w:val="115"/>
                <w:sz w:val="16"/>
              </w:rPr>
              <w:t>83.5</w:t>
            </w:r>
          </w:p>
        </w:tc>
      </w:tr>
      <w:tr w:rsidR="009948F1" w14:paraId="4869AC16" w14:textId="77777777">
        <w:trPr>
          <w:trHeight w:val="219"/>
        </w:trPr>
        <w:tc>
          <w:tcPr>
            <w:tcW w:w="6086" w:type="dxa"/>
          </w:tcPr>
          <w:p w14:paraId="7DC2D162" w14:textId="77777777" w:rsidR="009948F1" w:rsidRDefault="00BC0563">
            <w:pPr>
              <w:pStyle w:val="TableParagraph"/>
              <w:spacing w:before="5"/>
              <w:ind w:left="108"/>
              <w:rPr>
                <w:sz w:val="16"/>
              </w:rPr>
            </w:pPr>
            <w:r>
              <w:rPr>
                <w:color w:val="231F20"/>
                <w:w w:val="115"/>
                <w:sz w:val="16"/>
              </w:rPr>
              <w:t>Households with improved sanitary facilities (not shared)</w:t>
            </w:r>
          </w:p>
        </w:tc>
        <w:tc>
          <w:tcPr>
            <w:tcW w:w="1332" w:type="dxa"/>
          </w:tcPr>
          <w:p w14:paraId="35E7A80B" w14:textId="77777777" w:rsidR="009948F1" w:rsidRDefault="00BC0563">
            <w:pPr>
              <w:pStyle w:val="TableParagraph"/>
              <w:spacing w:before="5"/>
              <w:ind w:left="107"/>
              <w:rPr>
                <w:sz w:val="16"/>
              </w:rPr>
            </w:pPr>
            <w:r>
              <w:rPr>
                <w:color w:val="231F20"/>
                <w:w w:val="115"/>
                <w:sz w:val="16"/>
              </w:rPr>
              <w:t>10</w:t>
            </w:r>
          </w:p>
        </w:tc>
        <w:tc>
          <w:tcPr>
            <w:tcW w:w="1939" w:type="dxa"/>
          </w:tcPr>
          <w:p w14:paraId="13268930" w14:textId="77777777" w:rsidR="009948F1" w:rsidRDefault="00BC0563">
            <w:pPr>
              <w:pStyle w:val="TableParagraph"/>
              <w:spacing w:before="5"/>
              <w:ind w:left="107"/>
              <w:rPr>
                <w:sz w:val="16"/>
              </w:rPr>
            </w:pPr>
            <w:r>
              <w:rPr>
                <w:color w:val="231F20"/>
                <w:w w:val="115"/>
                <w:sz w:val="16"/>
              </w:rPr>
              <w:t>38.7</w:t>
            </w:r>
          </w:p>
        </w:tc>
      </w:tr>
      <w:tr w:rsidR="009948F1" w14:paraId="246D9271" w14:textId="77777777">
        <w:trPr>
          <w:trHeight w:val="219"/>
        </w:trPr>
        <w:tc>
          <w:tcPr>
            <w:tcW w:w="6086" w:type="dxa"/>
          </w:tcPr>
          <w:p w14:paraId="18FBA3EF" w14:textId="77777777" w:rsidR="009948F1" w:rsidRDefault="00BC0563">
            <w:pPr>
              <w:pStyle w:val="TableParagraph"/>
              <w:spacing w:before="5"/>
              <w:ind w:left="108"/>
              <w:rPr>
                <w:sz w:val="16"/>
              </w:rPr>
            </w:pPr>
            <w:r>
              <w:rPr>
                <w:color w:val="231F20"/>
                <w:w w:val="115"/>
                <w:sz w:val="16"/>
              </w:rPr>
              <w:t>Households with electricity</w:t>
            </w:r>
          </w:p>
        </w:tc>
        <w:tc>
          <w:tcPr>
            <w:tcW w:w="1332" w:type="dxa"/>
          </w:tcPr>
          <w:p w14:paraId="08CCB66F" w14:textId="77777777" w:rsidR="009948F1" w:rsidRDefault="00BC0563">
            <w:pPr>
              <w:pStyle w:val="TableParagraph"/>
              <w:spacing w:before="5"/>
              <w:ind w:left="107"/>
              <w:rPr>
                <w:sz w:val="16"/>
              </w:rPr>
            </w:pPr>
            <w:r>
              <w:rPr>
                <w:color w:val="231F20"/>
                <w:w w:val="115"/>
                <w:sz w:val="16"/>
              </w:rPr>
              <w:t>32</w:t>
            </w:r>
          </w:p>
        </w:tc>
        <w:tc>
          <w:tcPr>
            <w:tcW w:w="1939" w:type="dxa"/>
          </w:tcPr>
          <w:p w14:paraId="307F730D" w14:textId="77777777" w:rsidR="009948F1" w:rsidRDefault="00BC0563">
            <w:pPr>
              <w:pStyle w:val="TableParagraph"/>
              <w:spacing w:before="5"/>
              <w:ind w:left="107"/>
              <w:rPr>
                <w:sz w:val="16"/>
              </w:rPr>
            </w:pPr>
            <w:r>
              <w:rPr>
                <w:color w:val="231F20"/>
                <w:w w:val="115"/>
                <w:sz w:val="16"/>
              </w:rPr>
              <w:t>80.9</w:t>
            </w:r>
          </w:p>
        </w:tc>
      </w:tr>
      <w:tr w:rsidR="009948F1" w14:paraId="4ABC18BA" w14:textId="77777777">
        <w:trPr>
          <w:trHeight w:val="221"/>
        </w:trPr>
        <w:tc>
          <w:tcPr>
            <w:tcW w:w="6086" w:type="dxa"/>
          </w:tcPr>
          <w:p w14:paraId="1A97AEED" w14:textId="77777777" w:rsidR="009948F1" w:rsidRDefault="00BC0563">
            <w:pPr>
              <w:pStyle w:val="TableParagraph"/>
              <w:spacing w:before="5"/>
              <w:ind w:left="108"/>
              <w:rPr>
                <w:sz w:val="16"/>
              </w:rPr>
            </w:pPr>
            <w:r>
              <w:rPr>
                <w:color w:val="231F20"/>
                <w:w w:val="115"/>
                <w:sz w:val="16"/>
              </w:rPr>
              <w:t>Employment status (currently)/ female</w:t>
            </w:r>
          </w:p>
        </w:tc>
        <w:tc>
          <w:tcPr>
            <w:tcW w:w="1332" w:type="dxa"/>
          </w:tcPr>
          <w:p w14:paraId="481E8494" w14:textId="77777777" w:rsidR="009948F1" w:rsidRDefault="00BC0563">
            <w:pPr>
              <w:pStyle w:val="TableParagraph"/>
              <w:spacing w:before="5"/>
              <w:ind w:left="107"/>
              <w:rPr>
                <w:sz w:val="16"/>
              </w:rPr>
            </w:pPr>
            <w:r>
              <w:rPr>
                <w:color w:val="231F20"/>
                <w:w w:val="115"/>
                <w:sz w:val="16"/>
              </w:rPr>
              <w:t>65.6</w:t>
            </w:r>
          </w:p>
        </w:tc>
        <w:tc>
          <w:tcPr>
            <w:tcW w:w="1939" w:type="dxa"/>
          </w:tcPr>
          <w:p w14:paraId="55D0EA5F" w14:textId="77777777" w:rsidR="009948F1" w:rsidRDefault="00BC0563">
            <w:pPr>
              <w:pStyle w:val="TableParagraph"/>
              <w:spacing w:before="5"/>
              <w:ind w:left="107"/>
              <w:rPr>
                <w:sz w:val="16"/>
              </w:rPr>
            </w:pPr>
            <w:r>
              <w:rPr>
                <w:color w:val="231F20"/>
                <w:w w:val="115"/>
                <w:sz w:val="16"/>
              </w:rPr>
              <w:t>77.1 NDHS2013</w:t>
            </w:r>
          </w:p>
        </w:tc>
      </w:tr>
    </w:tbl>
    <w:p w14:paraId="2D0D65B9" w14:textId="77777777" w:rsidR="009948F1" w:rsidRDefault="009948F1">
      <w:pPr>
        <w:pStyle w:val="BodyText"/>
        <w:spacing w:before="5"/>
        <w:rPr>
          <w:b/>
          <w:i/>
          <w:sz w:val="20"/>
        </w:rPr>
      </w:pPr>
    </w:p>
    <w:p w14:paraId="76042EFD" w14:textId="77777777" w:rsidR="009948F1" w:rsidRDefault="00BC0563">
      <w:pPr>
        <w:spacing w:before="1" w:line="360" w:lineRule="auto"/>
        <w:ind w:left="410" w:right="263" w:hanging="208"/>
        <w:rPr>
          <w:sz w:val="18"/>
        </w:rPr>
      </w:pPr>
      <w:r>
        <w:rPr>
          <w:color w:val="231F20"/>
          <w:sz w:val="18"/>
          <w:vertAlign w:val="superscript"/>
        </w:rPr>
        <w:t>11</w:t>
      </w:r>
      <w:r>
        <w:rPr>
          <w:color w:val="231F20"/>
          <w:sz w:val="18"/>
        </w:rPr>
        <w:t xml:space="preserve"> FGN (2015). National Tobacco Act Control, 2016. Official Gazette No.70 Vol. 102. Lagos, Nigeria: FGN; A179- 208</w:t>
      </w:r>
    </w:p>
    <w:p w14:paraId="198B9660" w14:textId="77777777" w:rsidR="009948F1" w:rsidRDefault="00BC0563">
      <w:pPr>
        <w:spacing w:line="172" w:lineRule="exact"/>
        <w:ind w:left="166"/>
        <w:rPr>
          <w:sz w:val="18"/>
        </w:rPr>
      </w:pPr>
      <w:r>
        <w:rPr>
          <w:color w:val="231F20"/>
          <w:sz w:val="18"/>
          <w:vertAlign w:val="superscript"/>
        </w:rPr>
        <w:t>12</w:t>
      </w:r>
      <w:r>
        <w:rPr>
          <w:color w:val="231F20"/>
          <w:sz w:val="18"/>
        </w:rPr>
        <w:t xml:space="preserve"> WHO (2012).WHO global report: mortality attributable to tobacco. Geneva: World Health Organization</w:t>
      </w:r>
    </w:p>
    <w:p w14:paraId="1B149B19" w14:textId="77777777" w:rsidR="009948F1" w:rsidRDefault="009948F1">
      <w:pPr>
        <w:spacing w:line="172" w:lineRule="exact"/>
        <w:rPr>
          <w:sz w:val="18"/>
        </w:rPr>
        <w:sectPr w:rsidR="009948F1">
          <w:pgSz w:w="11910" w:h="16840"/>
          <w:pgMar w:top="1440" w:right="1080" w:bottom="1420" w:left="1120" w:header="0" w:footer="1235" w:gutter="0"/>
          <w:cols w:space="720"/>
        </w:sectPr>
      </w:pPr>
    </w:p>
    <w:p w14:paraId="008EC6BB" w14:textId="77777777" w:rsidR="009948F1" w:rsidRDefault="009948F1">
      <w:pPr>
        <w:pStyle w:val="BodyText"/>
        <w:spacing w:before="6"/>
        <w:rPr>
          <w:sz w:val="6"/>
        </w:rPr>
      </w:pPr>
    </w:p>
    <w:tbl>
      <w:tblPr>
        <w:tblW w:w="0" w:type="auto"/>
        <w:tblInd w:w="16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6086"/>
        <w:gridCol w:w="1332"/>
        <w:gridCol w:w="1939"/>
      </w:tblGrid>
      <w:tr w:rsidR="009948F1" w14:paraId="31340F0D" w14:textId="77777777">
        <w:trPr>
          <w:trHeight w:val="261"/>
        </w:trPr>
        <w:tc>
          <w:tcPr>
            <w:tcW w:w="6086" w:type="dxa"/>
            <w:tcBorders>
              <w:left w:val="single" w:sz="4" w:space="0" w:color="231F20"/>
              <w:right w:val="single" w:sz="4" w:space="0" w:color="231F20"/>
            </w:tcBorders>
          </w:tcPr>
          <w:p w14:paraId="006AB3B4" w14:textId="77777777" w:rsidR="009948F1" w:rsidRDefault="00BC0563">
            <w:pPr>
              <w:pStyle w:val="TableParagraph"/>
              <w:spacing w:line="227" w:lineRule="exact"/>
              <w:ind w:left="108"/>
              <w:rPr>
                <w:sz w:val="21"/>
              </w:rPr>
            </w:pPr>
            <w:bookmarkStart w:id="31" w:name="Page_23"/>
            <w:bookmarkEnd w:id="31"/>
            <w:r>
              <w:rPr>
                <w:color w:val="231F20"/>
                <w:w w:val="95"/>
                <w:sz w:val="21"/>
              </w:rPr>
              <w:t>Employment status (currently)/ male</w:t>
            </w:r>
          </w:p>
        </w:tc>
        <w:tc>
          <w:tcPr>
            <w:tcW w:w="1332" w:type="dxa"/>
            <w:tcBorders>
              <w:left w:val="single" w:sz="4" w:space="0" w:color="231F20"/>
              <w:right w:val="single" w:sz="4" w:space="0" w:color="231F20"/>
            </w:tcBorders>
          </w:tcPr>
          <w:p w14:paraId="187CA39C" w14:textId="77777777" w:rsidR="009948F1" w:rsidRDefault="00BC0563">
            <w:pPr>
              <w:pStyle w:val="TableParagraph"/>
              <w:spacing w:line="227" w:lineRule="exact"/>
              <w:ind w:left="107"/>
              <w:rPr>
                <w:sz w:val="21"/>
              </w:rPr>
            </w:pPr>
            <w:r>
              <w:rPr>
                <w:color w:val="231F20"/>
                <w:w w:val="95"/>
                <w:sz w:val="21"/>
              </w:rPr>
              <w:t>68.0</w:t>
            </w:r>
          </w:p>
        </w:tc>
        <w:tc>
          <w:tcPr>
            <w:tcW w:w="1939" w:type="dxa"/>
            <w:tcBorders>
              <w:left w:val="single" w:sz="4" w:space="0" w:color="231F20"/>
              <w:right w:val="single" w:sz="4" w:space="0" w:color="231F20"/>
            </w:tcBorders>
          </w:tcPr>
          <w:p w14:paraId="009D64E3" w14:textId="77777777" w:rsidR="009948F1" w:rsidRDefault="00BC0563">
            <w:pPr>
              <w:pStyle w:val="TableParagraph"/>
              <w:spacing w:line="227" w:lineRule="exact"/>
              <w:ind w:left="107"/>
              <w:rPr>
                <w:sz w:val="21"/>
              </w:rPr>
            </w:pPr>
            <w:r>
              <w:rPr>
                <w:color w:val="231F20"/>
                <w:w w:val="95"/>
                <w:sz w:val="21"/>
              </w:rPr>
              <w:t>81.3 NDHS 2013</w:t>
            </w:r>
          </w:p>
        </w:tc>
      </w:tr>
      <w:tr w:rsidR="009948F1" w14:paraId="7D8B6D7A" w14:textId="77777777">
        <w:trPr>
          <w:trHeight w:val="272"/>
        </w:trPr>
        <w:tc>
          <w:tcPr>
            <w:tcW w:w="6086" w:type="dxa"/>
            <w:tcBorders>
              <w:left w:val="single" w:sz="4" w:space="0" w:color="231F20"/>
              <w:right w:val="single" w:sz="4" w:space="0" w:color="231F20"/>
            </w:tcBorders>
          </w:tcPr>
          <w:p w14:paraId="353238DC" w14:textId="77777777" w:rsidR="009948F1" w:rsidRDefault="00BC0563">
            <w:pPr>
              <w:pStyle w:val="TableParagraph"/>
              <w:spacing w:line="238" w:lineRule="exact"/>
              <w:ind w:left="108"/>
              <w:rPr>
                <w:sz w:val="21"/>
              </w:rPr>
            </w:pPr>
            <w:r>
              <w:rPr>
                <w:color w:val="231F20"/>
                <w:w w:val="95"/>
                <w:sz w:val="21"/>
              </w:rPr>
              <w:t>Total Fertility rate</w:t>
            </w:r>
          </w:p>
        </w:tc>
        <w:tc>
          <w:tcPr>
            <w:tcW w:w="1332" w:type="dxa"/>
            <w:tcBorders>
              <w:left w:val="single" w:sz="4" w:space="0" w:color="231F20"/>
              <w:right w:val="single" w:sz="4" w:space="0" w:color="231F20"/>
            </w:tcBorders>
          </w:tcPr>
          <w:p w14:paraId="62BC100F" w14:textId="77777777" w:rsidR="009948F1" w:rsidRDefault="00BC0563">
            <w:pPr>
              <w:pStyle w:val="TableParagraph"/>
              <w:spacing w:line="238" w:lineRule="exact"/>
              <w:ind w:left="107"/>
              <w:rPr>
                <w:sz w:val="21"/>
              </w:rPr>
            </w:pPr>
            <w:r>
              <w:rPr>
                <w:color w:val="231F20"/>
                <w:w w:val="95"/>
                <w:sz w:val="21"/>
              </w:rPr>
              <w:t>4.3</w:t>
            </w:r>
          </w:p>
        </w:tc>
        <w:tc>
          <w:tcPr>
            <w:tcW w:w="1939" w:type="dxa"/>
            <w:tcBorders>
              <w:left w:val="single" w:sz="4" w:space="0" w:color="231F20"/>
              <w:right w:val="single" w:sz="4" w:space="0" w:color="231F20"/>
            </w:tcBorders>
          </w:tcPr>
          <w:p w14:paraId="63C0FBDE" w14:textId="77777777" w:rsidR="009948F1" w:rsidRDefault="00BC0563">
            <w:pPr>
              <w:pStyle w:val="TableParagraph"/>
              <w:spacing w:line="238" w:lineRule="exact"/>
              <w:ind w:left="107"/>
              <w:rPr>
                <w:sz w:val="21"/>
              </w:rPr>
            </w:pPr>
            <w:r>
              <w:rPr>
                <w:color w:val="231F20"/>
                <w:w w:val="95"/>
                <w:sz w:val="21"/>
              </w:rPr>
              <w:t>3.3</w:t>
            </w:r>
          </w:p>
        </w:tc>
      </w:tr>
      <w:tr w:rsidR="009948F1" w14:paraId="4DE98133" w14:textId="77777777">
        <w:trPr>
          <w:trHeight w:val="275"/>
        </w:trPr>
        <w:tc>
          <w:tcPr>
            <w:tcW w:w="6086" w:type="dxa"/>
            <w:tcBorders>
              <w:left w:val="single" w:sz="4" w:space="0" w:color="231F20"/>
              <w:right w:val="single" w:sz="4" w:space="0" w:color="231F20"/>
            </w:tcBorders>
          </w:tcPr>
          <w:p w14:paraId="68F3EEDC" w14:textId="77777777" w:rsidR="009948F1" w:rsidRDefault="00BC0563">
            <w:pPr>
              <w:pStyle w:val="TableParagraph"/>
              <w:spacing w:line="238" w:lineRule="exact"/>
              <w:ind w:left="108"/>
              <w:rPr>
                <w:sz w:val="21"/>
              </w:rPr>
            </w:pPr>
            <w:r>
              <w:rPr>
                <w:color w:val="231F20"/>
                <w:w w:val="95"/>
                <w:sz w:val="21"/>
              </w:rPr>
              <w:t>Use of FP modern method by married women 15-49</w:t>
            </w:r>
          </w:p>
        </w:tc>
        <w:tc>
          <w:tcPr>
            <w:tcW w:w="1332" w:type="dxa"/>
            <w:tcBorders>
              <w:left w:val="single" w:sz="4" w:space="0" w:color="231F20"/>
              <w:right w:val="single" w:sz="4" w:space="0" w:color="231F20"/>
            </w:tcBorders>
          </w:tcPr>
          <w:p w14:paraId="711F4C67" w14:textId="77777777" w:rsidR="009948F1" w:rsidRDefault="00BC0563">
            <w:pPr>
              <w:pStyle w:val="TableParagraph"/>
              <w:spacing w:line="238" w:lineRule="exact"/>
              <w:ind w:left="107"/>
              <w:rPr>
                <w:sz w:val="21"/>
              </w:rPr>
            </w:pPr>
            <w:r>
              <w:rPr>
                <w:color w:val="231F20"/>
                <w:w w:val="95"/>
                <w:sz w:val="21"/>
              </w:rPr>
              <w:t>14</w:t>
            </w:r>
          </w:p>
        </w:tc>
        <w:tc>
          <w:tcPr>
            <w:tcW w:w="1939" w:type="dxa"/>
            <w:tcBorders>
              <w:left w:val="single" w:sz="4" w:space="0" w:color="231F20"/>
              <w:right w:val="single" w:sz="4" w:space="0" w:color="231F20"/>
            </w:tcBorders>
          </w:tcPr>
          <w:p w14:paraId="58C30D7E" w14:textId="77777777" w:rsidR="009948F1" w:rsidRDefault="00BC0563">
            <w:pPr>
              <w:pStyle w:val="TableParagraph"/>
              <w:spacing w:line="238" w:lineRule="exact"/>
              <w:ind w:left="107"/>
              <w:rPr>
                <w:sz w:val="21"/>
              </w:rPr>
            </w:pPr>
            <w:r>
              <w:rPr>
                <w:color w:val="231F20"/>
                <w:w w:val="95"/>
                <w:sz w:val="21"/>
              </w:rPr>
              <w:t>11</w:t>
            </w:r>
          </w:p>
        </w:tc>
      </w:tr>
      <w:tr w:rsidR="009948F1" w14:paraId="1D8503DE" w14:textId="77777777">
        <w:trPr>
          <w:trHeight w:val="272"/>
        </w:trPr>
        <w:tc>
          <w:tcPr>
            <w:tcW w:w="6086" w:type="dxa"/>
            <w:tcBorders>
              <w:left w:val="single" w:sz="4" w:space="0" w:color="231F20"/>
              <w:right w:val="single" w:sz="4" w:space="0" w:color="231F20"/>
            </w:tcBorders>
          </w:tcPr>
          <w:p w14:paraId="120E66FC" w14:textId="77777777" w:rsidR="009948F1" w:rsidRDefault="00BC0563">
            <w:pPr>
              <w:pStyle w:val="TableParagraph"/>
              <w:spacing w:line="238" w:lineRule="exact"/>
              <w:ind w:left="108"/>
              <w:rPr>
                <w:sz w:val="21"/>
              </w:rPr>
            </w:pPr>
            <w:r>
              <w:rPr>
                <w:color w:val="231F20"/>
                <w:w w:val="95"/>
                <w:sz w:val="21"/>
              </w:rPr>
              <w:t>Antenatal Care provided by skilled Health worker</w:t>
            </w:r>
          </w:p>
        </w:tc>
        <w:tc>
          <w:tcPr>
            <w:tcW w:w="1332" w:type="dxa"/>
            <w:tcBorders>
              <w:left w:val="single" w:sz="4" w:space="0" w:color="231F20"/>
              <w:right w:val="single" w:sz="4" w:space="0" w:color="231F20"/>
            </w:tcBorders>
          </w:tcPr>
          <w:p w14:paraId="4D9182C6" w14:textId="77777777" w:rsidR="009948F1" w:rsidRDefault="00BC0563">
            <w:pPr>
              <w:pStyle w:val="TableParagraph"/>
              <w:spacing w:line="238" w:lineRule="exact"/>
              <w:ind w:left="107"/>
              <w:rPr>
                <w:sz w:val="21"/>
              </w:rPr>
            </w:pPr>
            <w:r>
              <w:rPr>
                <w:color w:val="231F20"/>
                <w:w w:val="95"/>
                <w:sz w:val="21"/>
              </w:rPr>
              <w:t>67</w:t>
            </w:r>
          </w:p>
        </w:tc>
        <w:tc>
          <w:tcPr>
            <w:tcW w:w="1939" w:type="dxa"/>
            <w:tcBorders>
              <w:left w:val="single" w:sz="4" w:space="0" w:color="231F20"/>
              <w:right w:val="single" w:sz="4" w:space="0" w:color="231F20"/>
            </w:tcBorders>
          </w:tcPr>
          <w:p w14:paraId="6252CCBB" w14:textId="77777777" w:rsidR="009948F1" w:rsidRDefault="00BC0563">
            <w:pPr>
              <w:pStyle w:val="TableParagraph"/>
              <w:spacing w:line="238" w:lineRule="exact"/>
              <w:ind w:left="107"/>
              <w:rPr>
                <w:sz w:val="21"/>
              </w:rPr>
            </w:pPr>
            <w:r>
              <w:rPr>
                <w:color w:val="231F20"/>
                <w:w w:val="95"/>
                <w:sz w:val="21"/>
              </w:rPr>
              <w:t>87.6</w:t>
            </w:r>
          </w:p>
        </w:tc>
      </w:tr>
      <w:tr w:rsidR="009948F1" w14:paraId="72CD6132" w14:textId="77777777">
        <w:trPr>
          <w:trHeight w:val="272"/>
        </w:trPr>
        <w:tc>
          <w:tcPr>
            <w:tcW w:w="6086" w:type="dxa"/>
            <w:tcBorders>
              <w:left w:val="single" w:sz="4" w:space="0" w:color="231F20"/>
              <w:right w:val="single" w:sz="4" w:space="0" w:color="231F20"/>
            </w:tcBorders>
          </w:tcPr>
          <w:p w14:paraId="12F21EA3" w14:textId="77777777" w:rsidR="009948F1" w:rsidRDefault="00BC0563">
            <w:pPr>
              <w:pStyle w:val="TableParagraph"/>
              <w:spacing w:line="238" w:lineRule="exact"/>
              <w:ind w:left="108"/>
              <w:rPr>
                <w:sz w:val="21"/>
              </w:rPr>
            </w:pPr>
            <w:r>
              <w:rPr>
                <w:color w:val="231F20"/>
                <w:w w:val="95"/>
                <w:sz w:val="21"/>
              </w:rPr>
              <w:t>Skilled attendants at birth</w:t>
            </w:r>
          </w:p>
        </w:tc>
        <w:tc>
          <w:tcPr>
            <w:tcW w:w="1332" w:type="dxa"/>
            <w:tcBorders>
              <w:left w:val="single" w:sz="4" w:space="0" w:color="231F20"/>
              <w:right w:val="single" w:sz="4" w:space="0" w:color="231F20"/>
            </w:tcBorders>
          </w:tcPr>
          <w:p w14:paraId="6D8E1586" w14:textId="77777777" w:rsidR="009948F1" w:rsidRDefault="00BC0563">
            <w:pPr>
              <w:pStyle w:val="TableParagraph"/>
              <w:spacing w:line="238" w:lineRule="exact"/>
              <w:ind w:left="107"/>
              <w:rPr>
                <w:sz w:val="21"/>
              </w:rPr>
            </w:pPr>
            <w:r>
              <w:rPr>
                <w:color w:val="231F20"/>
                <w:w w:val="95"/>
                <w:sz w:val="21"/>
              </w:rPr>
              <w:t>64</w:t>
            </w:r>
          </w:p>
        </w:tc>
        <w:tc>
          <w:tcPr>
            <w:tcW w:w="1939" w:type="dxa"/>
            <w:tcBorders>
              <w:left w:val="single" w:sz="4" w:space="0" w:color="231F20"/>
              <w:right w:val="single" w:sz="4" w:space="0" w:color="231F20"/>
            </w:tcBorders>
          </w:tcPr>
          <w:p w14:paraId="7EDCAC5D" w14:textId="77777777" w:rsidR="009948F1" w:rsidRDefault="00BC0563">
            <w:pPr>
              <w:pStyle w:val="TableParagraph"/>
              <w:spacing w:line="238" w:lineRule="exact"/>
              <w:ind w:left="107"/>
              <w:rPr>
                <w:sz w:val="21"/>
              </w:rPr>
            </w:pPr>
            <w:r>
              <w:rPr>
                <w:color w:val="231F20"/>
                <w:w w:val="95"/>
                <w:sz w:val="21"/>
              </w:rPr>
              <w:t>83.7</w:t>
            </w:r>
          </w:p>
        </w:tc>
      </w:tr>
      <w:tr w:rsidR="009948F1" w14:paraId="6DB5D834" w14:textId="77777777">
        <w:trPr>
          <w:trHeight w:val="275"/>
        </w:trPr>
        <w:tc>
          <w:tcPr>
            <w:tcW w:w="6086" w:type="dxa"/>
            <w:tcBorders>
              <w:left w:val="single" w:sz="4" w:space="0" w:color="231F20"/>
              <w:right w:val="single" w:sz="4" w:space="0" w:color="231F20"/>
            </w:tcBorders>
          </w:tcPr>
          <w:p w14:paraId="4C16AD48" w14:textId="77777777" w:rsidR="009948F1" w:rsidRDefault="00BC0563">
            <w:pPr>
              <w:pStyle w:val="TableParagraph"/>
              <w:spacing w:line="241" w:lineRule="exact"/>
              <w:ind w:left="108"/>
              <w:rPr>
                <w:sz w:val="21"/>
              </w:rPr>
            </w:pPr>
            <w:r>
              <w:rPr>
                <w:color w:val="231F20"/>
                <w:w w:val="95"/>
                <w:sz w:val="21"/>
              </w:rPr>
              <w:t>Delivery in health facility</w:t>
            </w:r>
          </w:p>
        </w:tc>
        <w:tc>
          <w:tcPr>
            <w:tcW w:w="1332" w:type="dxa"/>
            <w:tcBorders>
              <w:left w:val="single" w:sz="4" w:space="0" w:color="231F20"/>
              <w:right w:val="single" w:sz="4" w:space="0" w:color="231F20"/>
            </w:tcBorders>
          </w:tcPr>
          <w:p w14:paraId="1D026F36" w14:textId="77777777" w:rsidR="009948F1" w:rsidRDefault="00BC0563">
            <w:pPr>
              <w:pStyle w:val="TableParagraph"/>
              <w:spacing w:line="241" w:lineRule="exact"/>
              <w:ind w:left="107"/>
              <w:rPr>
                <w:sz w:val="21"/>
              </w:rPr>
            </w:pPr>
            <w:r>
              <w:rPr>
                <w:color w:val="231F20"/>
                <w:w w:val="95"/>
                <w:sz w:val="21"/>
              </w:rPr>
              <w:t>48</w:t>
            </w:r>
          </w:p>
        </w:tc>
        <w:tc>
          <w:tcPr>
            <w:tcW w:w="1939" w:type="dxa"/>
            <w:tcBorders>
              <w:left w:val="single" w:sz="4" w:space="0" w:color="231F20"/>
              <w:right w:val="single" w:sz="4" w:space="0" w:color="231F20"/>
            </w:tcBorders>
          </w:tcPr>
          <w:p w14:paraId="01712C1C" w14:textId="77777777" w:rsidR="009948F1" w:rsidRDefault="00BC0563">
            <w:pPr>
              <w:pStyle w:val="TableParagraph"/>
              <w:spacing w:line="241" w:lineRule="exact"/>
              <w:ind w:left="107"/>
              <w:rPr>
                <w:sz w:val="21"/>
              </w:rPr>
            </w:pPr>
            <w:r>
              <w:rPr>
                <w:color w:val="231F20"/>
                <w:w w:val="95"/>
                <w:sz w:val="21"/>
              </w:rPr>
              <w:t>80</w:t>
            </w:r>
          </w:p>
        </w:tc>
      </w:tr>
      <w:tr w:rsidR="009948F1" w14:paraId="0A8FE3C4" w14:textId="77777777">
        <w:trPr>
          <w:trHeight w:val="272"/>
        </w:trPr>
        <w:tc>
          <w:tcPr>
            <w:tcW w:w="6086" w:type="dxa"/>
            <w:tcBorders>
              <w:left w:val="single" w:sz="4" w:space="0" w:color="231F20"/>
              <w:right w:val="single" w:sz="4" w:space="0" w:color="231F20"/>
            </w:tcBorders>
          </w:tcPr>
          <w:p w14:paraId="74343F45" w14:textId="77777777" w:rsidR="009948F1" w:rsidRDefault="00BC0563">
            <w:pPr>
              <w:pStyle w:val="TableParagraph"/>
              <w:spacing w:line="238" w:lineRule="exact"/>
              <w:ind w:left="108"/>
              <w:rPr>
                <w:sz w:val="21"/>
              </w:rPr>
            </w:pPr>
            <w:r>
              <w:rPr>
                <w:color w:val="231F20"/>
                <w:w w:val="95"/>
                <w:sz w:val="21"/>
              </w:rPr>
              <w:t>Children 12-23 months with full immunization coverage</w:t>
            </w:r>
          </w:p>
        </w:tc>
        <w:tc>
          <w:tcPr>
            <w:tcW w:w="1332" w:type="dxa"/>
            <w:tcBorders>
              <w:left w:val="single" w:sz="4" w:space="0" w:color="231F20"/>
              <w:right w:val="single" w:sz="4" w:space="0" w:color="231F20"/>
            </w:tcBorders>
          </w:tcPr>
          <w:p w14:paraId="136C3387" w14:textId="77777777" w:rsidR="009948F1" w:rsidRDefault="00BC0563">
            <w:pPr>
              <w:pStyle w:val="TableParagraph"/>
              <w:spacing w:line="238" w:lineRule="exact"/>
              <w:ind w:left="107"/>
              <w:rPr>
                <w:sz w:val="21"/>
              </w:rPr>
            </w:pPr>
            <w:r>
              <w:rPr>
                <w:color w:val="231F20"/>
                <w:w w:val="95"/>
                <w:sz w:val="21"/>
              </w:rPr>
              <w:t>37</w:t>
            </w:r>
          </w:p>
        </w:tc>
        <w:tc>
          <w:tcPr>
            <w:tcW w:w="1939" w:type="dxa"/>
            <w:tcBorders>
              <w:left w:val="single" w:sz="4" w:space="0" w:color="231F20"/>
              <w:right w:val="single" w:sz="4" w:space="0" w:color="231F20"/>
            </w:tcBorders>
          </w:tcPr>
          <w:p w14:paraId="39018674" w14:textId="77777777" w:rsidR="009948F1" w:rsidRDefault="00BC0563">
            <w:pPr>
              <w:pStyle w:val="TableParagraph"/>
              <w:spacing w:line="238" w:lineRule="exact"/>
              <w:ind w:left="107"/>
              <w:rPr>
                <w:sz w:val="21"/>
              </w:rPr>
            </w:pPr>
            <w:r>
              <w:rPr>
                <w:color w:val="231F20"/>
                <w:w w:val="95"/>
                <w:sz w:val="21"/>
              </w:rPr>
              <w:t>45</w:t>
            </w:r>
          </w:p>
        </w:tc>
      </w:tr>
      <w:tr w:rsidR="009948F1" w14:paraId="45B07DFD" w14:textId="77777777">
        <w:trPr>
          <w:trHeight w:val="272"/>
        </w:trPr>
        <w:tc>
          <w:tcPr>
            <w:tcW w:w="6086" w:type="dxa"/>
            <w:tcBorders>
              <w:left w:val="single" w:sz="4" w:space="0" w:color="231F20"/>
              <w:right w:val="single" w:sz="4" w:space="0" w:color="231F20"/>
            </w:tcBorders>
          </w:tcPr>
          <w:p w14:paraId="4D217E97" w14:textId="77777777" w:rsidR="009948F1" w:rsidRDefault="00BC0563">
            <w:pPr>
              <w:pStyle w:val="TableParagraph"/>
              <w:spacing w:line="238" w:lineRule="exact"/>
              <w:ind w:left="108"/>
              <w:rPr>
                <w:sz w:val="21"/>
              </w:rPr>
            </w:pPr>
            <w:r>
              <w:rPr>
                <w:color w:val="231F20"/>
                <w:w w:val="95"/>
                <w:sz w:val="21"/>
              </w:rPr>
              <w:t>Children 12-23 months with no immunization</w:t>
            </w:r>
          </w:p>
        </w:tc>
        <w:tc>
          <w:tcPr>
            <w:tcW w:w="1332" w:type="dxa"/>
            <w:tcBorders>
              <w:left w:val="single" w:sz="4" w:space="0" w:color="231F20"/>
              <w:right w:val="single" w:sz="4" w:space="0" w:color="231F20"/>
            </w:tcBorders>
          </w:tcPr>
          <w:p w14:paraId="19023D07" w14:textId="77777777" w:rsidR="009948F1" w:rsidRDefault="00BC0563">
            <w:pPr>
              <w:pStyle w:val="TableParagraph"/>
              <w:spacing w:line="238" w:lineRule="exact"/>
              <w:ind w:left="107"/>
              <w:rPr>
                <w:sz w:val="21"/>
              </w:rPr>
            </w:pPr>
            <w:r>
              <w:rPr>
                <w:color w:val="231F20"/>
                <w:w w:val="95"/>
                <w:sz w:val="21"/>
              </w:rPr>
              <w:t>10</w:t>
            </w:r>
          </w:p>
        </w:tc>
        <w:tc>
          <w:tcPr>
            <w:tcW w:w="1939" w:type="dxa"/>
            <w:tcBorders>
              <w:left w:val="single" w:sz="4" w:space="0" w:color="231F20"/>
              <w:right w:val="single" w:sz="4" w:space="0" w:color="231F20"/>
            </w:tcBorders>
          </w:tcPr>
          <w:p w14:paraId="05EBE4AD" w14:textId="77777777" w:rsidR="009948F1" w:rsidRDefault="00BC0563">
            <w:pPr>
              <w:pStyle w:val="TableParagraph"/>
              <w:spacing w:line="238" w:lineRule="exact"/>
              <w:ind w:left="107"/>
              <w:rPr>
                <w:sz w:val="21"/>
              </w:rPr>
            </w:pPr>
            <w:r>
              <w:rPr>
                <w:color w:val="231F20"/>
                <w:w w:val="95"/>
                <w:sz w:val="21"/>
              </w:rPr>
              <w:t>11</w:t>
            </w:r>
          </w:p>
        </w:tc>
      </w:tr>
      <w:tr w:rsidR="009948F1" w14:paraId="571D320F" w14:textId="77777777">
        <w:trPr>
          <w:trHeight w:val="275"/>
        </w:trPr>
        <w:tc>
          <w:tcPr>
            <w:tcW w:w="6086" w:type="dxa"/>
            <w:tcBorders>
              <w:left w:val="single" w:sz="4" w:space="0" w:color="231F20"/>
              <w:right w:val="single" w:sz="4" w:space="0" w:color="231F20"/>
            </w:tcBorders>
          </w:tcPr>
          <w:p w14:paraId="1EDE3525" w14:textId="77777777" w:rsidR="009948F1" w:rsidRDefault="00BC0563">
            <w:pPr>
              <w:pStyle w:val="TableParagraph"/>
              <w:spacing w:line="241" w:lineRule="exact"/>
              <w:ind w:left="108"/>
              <w:rPr>
                <w:sz w:val="21"/>
              </w:rPr>
            </w:pPr>
            <w:r>
              <w:rPr>
                <w:color w:val="231F20"/>
                <w:w w:val="95"/>
                <w:sz w:val="21"/>
              </w:rPr>
              <w:t>Stunting in under 5 children</w:t>
            </w:r>
          </w:p>
        </w:tc>
        <w:tc>
          <w:tcPr>
            <w:tcW w:w="1332" w:type="dxa"/>
            <w:tcBorders>
              <w:left w:val="single" w:sz="4" w:space="0" w:color="231F20"/>
              <w:right w:val="single" w:sz="4" w:space="0" w:color="231F20"/>
            </w:tcBorders>
          </w:tcPr>
          <w:p w14:paraId="4DA984F0" w14:textId="77777777" w:rsidR="009948F1" w:rsidRDefault="00BC0563">
            <w:pPr>
              <w:pStyle w:val="TableParagraph"/>
              <w:spacing w:line="241" w:lineRule="exact"/>
              <w:ind w:left="107"/>
              <w:rPr>
                <w:sz w:val="21"/>
              </w:rPr>
            </w:pPr>
            <w:r>
              <w:rPr>
                <w:color w:val="231F20"/>
                <w:w w:val="95"/>
                <w:sz w:val="21"/>
              </w:rPr>
              <w:t>29</w:t>
            </w:r>
          </w:p>
        </w:tc>
        <w:tc>
          <w:tcPr>
            <w:tcW w:w="1939" w:type="dxa"/>
            <w:tcBorders>
              <w:left w:val="single" w:sz="4" w:space="0" w:color="231F20"/>
              <w:right w:val="single" w:sz="4" w:space="0" w:color="231F20"/>
            </w:tcBorders>
          </w:tcPr>
          <w:p w14:paraId="7B5DC360" w14:textId="77777777" w:rsidR="009948F1" w:rsidRDefault="00BC0563">
            <w:pPr>
              <w:pStyle w:val="TableParagraph"/>
              <w:spacing w:line="241" w:lineRule="exact"/>
              <w:ind w:left="107"/>
              <w:rPr>
                <w:sz w:val="21"/>
              </w:rPr>
            </w:pPr>
            <w:r>
              <w:rPr>
                <w:color w:val="231F20"/>
                <w:w w:val="95"/>
                <w:sz w:val="21"/>
              </w:rPr>
              <w:t>10.9</w:t>
            </w:r>
          </w:p>
        </w:tc>
      </w:tr>
      <w:tr w:rsidR="009948F1" w14:paraId="68D4C09E" w14:textId="77777777">
        <w:trPr>
          <w:trHeight w:val="272"/>
        </w:trPr>
        <w:tc>
          <w:tcPr>
            <w:tcW w:w="6086" w:type="dxa"/>
            <w:tcBorders>
              <w:left w:val="single" w:sz="4" w:space="0" w:color="231F20"/>
              <w:right w:val="single" w:sz="4" w:space="0" w:color="231F20"/>
            </w:tcBorders>
          </w:tcPr>
          <w:p w14:paraId="161650C7" w14:textId="77777777" w:rsidR="009948F1" w:rsidRDefault="00BC0563">
            <w:pPr>
              <w:pStyle w:val="TableParagraph"/>
              <w:spacing w:line="238" w:lineRule="exact"/>
              <w:ind w:left="108"/>
              <w:rPr>
                <w:sz w:val="21"/>
              </w:rPr>
            </w:pPr>
            <w:r>
              <w:rPr>
                <w:color w:val="231F20"/>
                <w:w w:val="95"/>
                <w:sz w:val="21"/>
              </w:rPr>
              <w:t>Wasting in under 5 children</w:t>
            </w:r>
          </w:p>
        </w:tc>
        <w:tc>
          <w:tcPr>
            <w:tcW w:w="1332" w:type="dxa"/>
            <w:tcBorders>
              <w:left w:val="single" w:sz="4" w:space="0" w:color="231F20"/>
              <w:right w:val="single" w:sz="4" w:space="0" w:color="231F20"/>
            </w:tcBorders>
          </w:tcPr>
          <w:p w14:paraId="7125A846" w14:textId="77777777" w:rsidR="009948F1" w:rsidRDefault="00BC0563">
            <w:pPr>
              <w:pStyle w:val="TableParagraph"/>
              <w:spacing w:line="238" w:lineRule="exact"/>
              <w:ind w:left="107"/>
              <w:rPr>
                <w:sz w:val="21"/>
              </w:rPr>
            </w:pPr>
            <w:r>
              <w:rPr>
                <w:color w:val="231F20"/>
                <w:w w:val="95"/>
                <w:sz w:val="21"/>
              </w:rPr>
              <w:t>5.0</w:t>
            </w:r>
          </w:p>
        </w:tc>
        <w:tc>
          <w:tcPr>
            <w:tcW w:w="1939" w:type="dxa"/>
            <w:tcBorders>
              <w:left w:val="single" w:sz="4" w:space="0" w:color="231F20"/>
              <w:right w:val="single" w:sz="4" w:space="0" w:color="231F20"/>
            </w:tcBorders>
          </w:tcPr>
          <w:p w14:paraId="4CB5784B" w14:textId="77777777" w:rsidR="009948F1" w:rsidRDefault="00BC0563">
            <w:pPr>
              <w:pStyle w:val="TableParagraph"/>
              <w:spacing w:line="238" w:lineRule="exact"/>
              <w:ind w:left="107"/>
              <w:rPr>
                <w:sz w:val="21"/>
              </w:rPr>
            </w:pPr>
            <w:r>
              <w:rPr>
                <w:color w:val="231F20"/>
                <w:w w:val="95"/>
                <w:sz w:val="21"/>
              </w:rPr>
              <w:t>5.0</w:t>
            </w:r>
          </w:p>
        </w:tc>
      </w:tr>
      <w:tr w:rsidR="009948F1" w14:paraId="552DF601" w14:textId="77777777">
        <w:trPr>
          <w:trHeight w:val="272"/>
        </w:trPr>
        <w:tc>
          <w:tcPr>
            <w:tcW w:w="6086" w:type="dxa"/>
            <w:tcBorders>
              <w:left w:val="single" w:sz="4" w:space="0" w:color="231F20"/>
              <w:right w:val="single" w:sz="4" w:space="0" w:color="231F20"/>
            </w:tcBorders>
          </w:tcPr>
          <w:p w14:paraId="44EE5267" w14:textId="77777777" w:rsidR="009948F1" w:rsidRDefault="00BC0563">
            <w:pPr>
              <w:pStyle w:val="TableParagraph"/>
              <w:spacing w:line="238" w:lineRule="exact"/>
              <w:ind w:left="108"/>
              <w:rPr>
                <w:sz w:val="21"/>
              </w:rPr>
            </w:pPr>
            <w:proofErr w:type="spellStart"/>
            <w:r>
              <w:rPr>
                <w:color w:val="231F20"/>
                <w:w w:val="95"/>
                <w:sz w:val="21"/>
              </w:rPr>
              <w:t>Diarrhoea</w:t>
            </w:r>
            <w:proofErr w:type="spellEnd"/>
            <w:r>
              <w:rPr>
                <w:color w:val="231F20"/>
                <w:w w:val="95"/>
                <w:sz w:val="21"/>
              </w:rPr>
              <w:t xml:space="preserve"> in children</w:t>
            </w:r>
          </w:p>
        </w:tc>
        <w:tc>
          <w:tcPr>
            <w:tcW w:w="1332" w:type="dxa"/>
            <w:tcBorders>
              <w:left w:val="single" w:sz="4" w:space="0" w:color="231F20"/>
              <w:right w:val="single" w:sz="4" w:space="0" w:color="231F20"/>
            </w:tcBorders>
          </w:tcPr>
          <w:p w14:paraId="05DC0D91" w14:textId="77777777" w:rsidR="009948F1" w:rsidRDefault="00BC0563">
            <w:pPr>
              <w:pStyle w:val="TableParagraph"/>
              <w:spacing w:line="238" w:lineRule="exact"/>
              <w:ind w:left="107"/>
              <w:rPr>
                <w:sz w:val="21"/>
              </w:rPr>
            </w:pPr>
            <w:r>
              <w:rPr>
                <w:color w:val="231F20"/>
                <w:w w:val="95"/>
                <w:sz w:val="21"/>
              </w:rPr>
              <w:t>3.8</w:t>
            </w:r>
          </w:p>
        </w:tc>
        <w:tc>
          <w:tcPr>
            <w:tcW w:w="1939" w:type="dxa"/>
            <w:tcBorders>
              <w:left w:val="single" w:sz="4" w:space="0" w:color="231F20"/>
              <w:right w:val="single" w:sz="4" w:space="0" w:color="231F20"/>
            </w:tcBorders>
          </w:tcPr>
          <w:p w14:paraId="6601267A" w14:textId="77777777" w:rsidR="009948F1" w:rsidRDefault="00BC0563">
            <w:pPr>
              <w:pStyle w:val="TableParagraph"/>
              <w:spacing w:line="238" w:lineRule="exact"/>
              <w:ind w:left="107"/>
              <w:rPr>
                <w:sz w:val="21"/>
              </w:rPr>
            </w:pPr>
            <w:r>
              <w:rPr>
                <w:color w:val="231F20"/>
                <w:w w:val="95"/>
                <w:sz w:val="21"/>
              </w:rPr>
              <w:t>3.4</w:t>
            </w:r>
          </w:p>
        </w:tc>
      </w:tr>
      <w:tr w:rsidR="009948F1" w14:paraId="1D177DF4" w14:textId="77777777">
        <w:trPr>
          <w:trHeight w:val="275"/>
        </w:trPr>
        <w:tc>
          <w:tcPr>
            <w:tcW w:w="6086" w:type="dxa"/>
            <w:tcBorders>
              <w:left w:val="single" w:sz="4" w:space="0" w:color="231F20"/>
              <w:right w:val="single" w:sz="4" w:space="0" w:color="231F20"/>
            </w:tcBorders>
          </w:tcPr>
          <w:p w14:paraId="5F435C7A" w14:textId="77777777" w:rsidR="009948F1" w:rsidRDefault="00BC0563">
            <w:pPr>
              <w:pStyle w:val="TableParagraph"/>
              <w:spacing w:line="241" w:lineRule="exact"/>
              <w:ind w:left="108"/>
              <w:rPr>
                <w:sz w:val="21"/>
              </w:rPr>
            </w:pPr>
            <w:r>
              <w:rPr>
                <w:color w:val="231F20"/>
                <w:w w:val="95"/>
                <w:sz w:val="21"/>
              </w:rPr>
              <w:t>ITN ownership</w:t>
            </w:r>
          </w:p>
        </w:tc>
        <w:tc>
          <w:tcPr>
            <w:tcW w:w="1332" w:type="dxa"/>
            <w:tcBorders>
              <w:left w:val="single" w:sz="4" w:space="0" w:color="231F20"/>
              <w:right w:val="single" w:sz="4" w:space="0" w:color="231F20"/>
            </w:tcBorders>
          </w:tcPr>
          <w:p w14:paraId="363FA58A" w14:textId="77777777" w:rsidR="009948F1" w:rsidRDefault="00BC0563">
            <w:pPr>
              <w:pStyle w:val="TableParagraph"/>
              <w:spacing w:line="241" w:lineRule="exact"/>
              <w:ind w:left="107"/>
              <w:rPr>
                <w:sz w:val="21"/>
              </w:rPr>
            </w:pPr>
            <w:r>
              <w:rPr>
                <w:color w:val="231F20"/>
                <w:w w:val="95"/>
                <w:sz w:val="21"/>
              </w:rPr>
              <w:t>12</w:t>
            </w:r>
          </w:p>
        </w:tc>
        <w:tc>
          <w:tcPr>
            <w:tcW w:w="1939" w:type="dxa"/>
            <w:tcBorders>
              <w:left w:val="single" w:sz="4" w:space="0" w:color="231F20"/>
              <w:right w:val="single" w:sz="4" w:space="0" w:color="231F20"/>
            </w:tcBorders>
          </w:tcPr>
          <w:p w14:paraId="42BE6438" w14:textId="77777777" w:rsidR="009948F1" w:rsidRDefault="00BC0563">
            <w:pPr>
              <w:pStyle w:val="TableParagraph"/>
              <w:spacing w:line="241" w:lineRule="exact"/>
              <w:ind w:left="107"/>
              <w:rPr>
                <w:sz w:val="21"/>
              </w:rPr>
            </w:pPr>
            <w:r>
              <w:rPr>
                <w:color w:val="231F20"/>
                <w:w w:val="95"/>
                <w:sz w:val="21"/>
              </w:rPr>
              <w:t>27.8</w:t>
            </w:r>
          </w:p>
        </w:tc>
      </w:tr>
      <w:tr w:rsidR="009948F1" w14:paraId="24206A71" w14:textId="77777777">
        <w:trPr>
          <w:trHeight w:val="272"/>
        </w:trPr>
        <w:tc>
          <w:tcPr>
            <w:tcW w:w="6086" w:type="dxa"/>
            <w:tcBorders>
              <w:left w:val="single" w:sz="4" w:space="0" w:color="231F20"/>
              <w:right w:val="single" w:sz="4" w:space="0" w:color="231F20"/>
            </w:tcBorders>
          </w:tcPr>
          <w:p w14:paraId="2947C9AA" w14:textId="77777777" w:rsidR="009948F1" w:rsidRDefault="00BC0563">
            <w:pPr>
              <w:pStyle w:val="TableParagraph"/>
              <w:spacing w:line="238" w:lineRule="exact"/>
              <w:ind w:left="108"/>
              <w:rPr>
                <w:sz w:val="21"/>
              </w:rPr>
            </w:pPr>
            <w:r>
              <w:rPr>
                <w:color w:val="231F20"/>
                <w:w w:val="95"/>
                <w:sz w:val="21"/>
              </w:rPr>
              <w:t>ITN utilization (children)</w:t>
            </w:r>
          </w:p>
        </w:tc>
        <w:tc>
          <w:tcPr>
            <w:tcW w:w="1332" w:type="dxa"/>
            <w:tcBorders>
              <w:left w:val="single" w:sz="4" w:space="0" w:color="231F20"/>
              <w:right w:val="single" w:sz="4" w:space="0" w:color="231F20"/>
            </w:tcBorders>
          </w:tcPr>
          <w:p w14:paraId="4210584C" w14:textId="77777777" w:rsidR="009948F1" w:rsidRDefault="00BC0563">
            <w:pPr>
              <w:pStyle w:val="TableParagraph"/>
              <w:spacing w:line="238" w:lineRule="exact"/>
              <w:ind w:left="107"/>
              <w:rPr>
                <w:sz w:val="21"/>
              </w:rPr>
            </w:pPr>
            <w:r>
              <w:rPr>
                <w:color w:val="231F20"/>
                <w:w w:val="95"/>
                <w:sz w:val="21"/>
              </w:rPr>
              <w:t>10</w:t>
            </w:r>
          </w:p>
        </w:tc>
        <w:tc>
          <w:tcPr>
            <w:tcW w:w="1939" w:type="dxa"/>
            <w:tcBorders>
              <w:left w:val="single" w:sz="4" w:space="0" w:color="231F20"/>
              <w:right w:val="single" w:sz="4" w:space="0" w:color="231F20"/>
            </w:tcBorders>
          </w:tcPr>
          <w:p w14:paraId="081837C6" w14:textId="77777777" w:rsidR="009948F1" w:rsidRDefault="00BC0563">
            <w:pPr>
              <w:pStyle w:val="TableParagraph"/>
              <w:spacing w:line="238" w:lineRule="exact"/>
              <w:ind w:left="107"/>
              <w:rPr>
                <w:sz w:val="21"/>
              </w:rPr>
            </w:pPr>
            <w:r>
              <w:rPr>
                <w:color w:val="231F20"/>
                <w:w w:val="95"/>
                <w:sz w:val="21"/>
              </w:rPr>
              <w:t>64.4</w:t>
            </w:r>
          </w:p>
        </w:tc>
      </w:tr>
      <w:tr w:rsidR="009948F1" w14:paraId="6E91FE91" w14:textId="77777777">
        <w:trPr>
          <w:trHeight w:val="272"/>
        </w:trPr>
        <w:tc>
          <w:tcPr>
            <w:tcW w:w="6086" w:type="dxa"/>
            <w:tcBorders>
              <w:left w:val="single" w:sz="4" w:space="0" w:color="231F20"/>
              <w:right w:val="single" w:sz="4" w:space="0" w:color="231F20"/>
            </w:tcBorders>
          </w:tcPr>
          <w:p w14:paraId="0AA03DC8" w14:textId="77777777" w:rsidR="009948F1" w:rsidRDefault="00BC0563">
            <w:pPr>
              <w:pStyle w:val="TableParagraph"/>
              <w:spacing w:line="238" w:lineRule="exact"/>
              <w:ind w:left="108"/>
              <w:rPr>
                <w:sz w:val="21"/>
              </w:rPr>
            </w:pPr>
            <w:r>
              <w:rPr>
                <w:color w:val="231F20"/>
                <w:w w:val="95"/>
                <w:sz w:val="21"/>
              </w:rPr>
              <w:t>ITN utilization (pregnant women)</w:t>
            </w:r>
          </w:p>
        </w:tc>
        <w:tc>
          <w:tcPr>
            <w:tcW w:w="1332" w:type="dxa"/>
            <w:tcBorders>
              <w:left w:val="single" w:sz="4" w:space="0" w:color="231F20"/>
              <w:right w:val="single" w:sz="4" w:space="0" w:color="231F20"/>
            </w:tcBorders>
          </w:tcPr>
          <w:p w14:paraId="406ED522" w14:textId="77777777" w:rsidR="009948F1" w:rsidRDefault="00BC0563">
            <w:pPr>
              <w:pStyle w:val="TableParagraph"/>
              <w:spacing w:line="238" w:lineRule="exact"/>
              <w:ind w:left="107"/>
              <w:rPr>
                <w:sz w:val="21"/>
              </w:rPr>
            </w:pPr>
            <w:r>
              <w:rPr>
                <w:color w:val="231F20"/>
                <w:w w:val="85"/>
                <w:sz w:val="21"/>
              </w:rPr>
              <w:t>9</w:t>
            </w:r>
          </w:p>
        </w:tc>
        <w:tc>
          <w:tcPr>
            <w:tcW w:w="1939" w:type="dxa"/>
            <w:tcBorders>
              <w:left w:val="single" w:sz="4" w:space="0" w:color="231F20"/>
              <w:right w:val="single" w:sz="4" w:space="0" w:color="231F20"/>
            </w:tcBorders>
          </w:tcPr>
          <w:p w14:paraId="76F34B05" w14:textId="77777777" w:rsidR="009948F1" w:rsidRDefault="00BC0563">
            <w:pPr>
              <w:pStyle w:val="TableParagraph"/>
              <w:spacing w:line="238" w:lineRule="exact"/>
              <w:ind w:left="107"/>
              <w:rPr>
                <w:sz w:val="21"/>
              </w:rPr>
            </w:pPr>
            <w:r>
              <w:rPr>
                <w:color w:val="231F20"/>
                <w:w w:val="95"/>
                <w:sz w:val="21"/>
              </w:rPr>
              <w:t>12.3 NDHS 2013</w:t>
            </w:r>
          </w:p>
        </w:tc>
      </w:tr>
      <w:tr w:rsidR="009948F1" w14:paraId="48111288" w14:textId="77777777">
        <w:trPr>
          <w:trHeight w:val="275"/>
        </w:trPr>
        <w:tc>
          <w:tcPr>
            <w:tcW w:w="6086" w:type="dxa"/>
            <w:tcBorders>
              <w:left w:val="single" w:sz="4" w:space="0" w:color="231F20"/>
              <w:right w:val="single" w:sz="4" w:space="0" w:color="231F20"/>
            </w:tcBorders>
          </w:tcPr>
          <w:p w14:paraId="71DFF556" w14:textId="77777777" w:rsidR="009948F1" w:rsidRDefault="00BC0563">
            <w:pPr>
              <w:pStyle w:val="TableParagraph"/>
              <w:spacing w:line="241" w:lineRule="exact"/>
              <w:ind w:left="108"/>
              <w:rPr>
                <w:sz w:val="21"/>
              </w:rPr>
            </w:pPr>
            <w:r>
              <w:rPr>
                <w:color w:val="231F20"/>
                <w:w w:val="95"/>
                <w:sz w:val="21"/>
              </w:rPr>
              <w:t>Children under 5 with fever receiving malaria treatment</w:t>
            </w:r>
          </w:p>
        </w:tc>
        <w:tc>
          <w:tcPr>
            <w:tcW w:w="1332" w:type="dxa"/>
            <w:tcBorders>
              <w:left w:val="single" w:sz="4" w:space="0" w:color="231F20"/>
              <w:right w:val="single" w:sz="4" w:space="0" w:color="231F20"/>
            </w:tcBorders>
          </w:tcPr>
          <w:p w14:paraId="37D3DD67" w14:textId="77777777" w:rsidR="009948F1" w:rsidRDefault="00BC0563">
            <w:pPr>
              <w:pStyle w:val="TableParagraph"/>
              <w:spacing w:line="241" w:lineRule="exact"/>
              <w:ind w:left="107"/>
              <w:rPr>
                <w:sz w:val="21"/>
              </w:rPr>
            </w:pPr>
            <w:r>
              <w:rPr>
                <w:color w:val="231F20"/>
                <w:w w:val="95"/>
                <w:sz w:val="21"/>
              </w:rPr>
              <w:t>21</w:t>
            </w:r>
          </w:p>
        </w:tc>
        <w:tc>
          <w:tcPr>
            <w:tcW w:w="1939" w:type="dxa"/>
            <w:tcBorders>
              <w:left w:val="single" w:sz="4" w:space="0" w:color="231F20"/>
              <w:right w:val="single" w:sz="4" w:space="0" w:color="231F20"/>
            </w:tcBorders>
          </w:tcPr>
          <w:p w14:paraId="55E18751" w14:textId="77777777" w:rsidR="009948F1" w:rsidRDefault="00BC0563">
            <w:pPr>
              <w:pStyle w:val="TableParagraph"/>
              <w:spacing w:line="241" w:lineRule="exact"/>
              <w:ind w:left="107"/>
              <w:rPr>
                <w:sz w:val="21"/>
              </w:rPr>
            </w:pPr>
            <w:r>
              <w:rPr>
                <w:color w:val="231F20"/>
                <w:w w:val="95"/>
                <w:sz w:val="21"/>
              </w:rPr>
              <w:t>49</w:t>
            </w:r>
          </w:p>
        </w:tc>
      </w:tr>
      <w:tr w:rsidR="009948F1" w14:paraId="6722ABC4" w14:textId="77777777">
        <w:trPr>
          <w:trHeight w:val="272"/>
        </w:trPr>
        <w:tc>
          <w:tcPr>
            <w:tcW w:w="6086" w:type="dxa"/>
            <w:tcBorders>
              <w:left w:val="single" w:sz="4" w:space="0" w:color="231F20"/>
              <w:right w:val="single" w:sz="4" w:space="0" w:color="231F20"/>
            </w:tcBorders>
          </w:tcPr>
          <w:p w14:paraId="5200B8A8" w14:textId="77777777" w:rsidR="009948F1" w:rsidRDefault="00BC0563">
            <w:pPr>
              <w:pStyle w:val="TableParagraph"/>
              <w:spacing w:line="238" w:lineRule="exact"/>
              <w:ind w:left="108"/>
              <w:rPr>
                <w:sz w:val="21"/>
              </w:rPr>
            </w:pPr>
            <w:r>
              <w:rPr>
                <w:color w:val="231F20"/>
                <w:w w:val="95"/>
                <w:sz w:val="21"/>
              </w:rPr>
              <w:t>Pregnant women receiving IPT</w:t>
            </w:r>
          </w:p>
        </w:tc>
        <w:tc>
          <w:tcPr>
            <w:tcW w:w="1332" w:type="dxa"/>
            <w:tcBorders>
              <w:left w:val="single" w:sz="4" w:space="0" w:color="231F20"/>
              <w:right w:val="single" w:sz="4" w:space="0" w:color="231F20"/>
            </w:tcBorders>
          </w:tcPr>
          <w:p w14:paraId="00B8E94A" w14:textId="77777777" w:rsidR="009948F1" w:rsidRDefault="00BC0563">
            <w:pPr>
              <w:pStyle w:val="TableParagraph"/>
              <w:spacing w:line="238" w:lineRule="exact"/>
              <w:ind w:left="107"/>
              <w:rPr>
                <w:sz w:val="21"/>
              </w:rPr>
            </w:pPr>
            <w:r>
              <w:rPr>
                <w:color w:val="231F20"/>
                <w:w w:val="85"/>
                <w:sz w:val="21"/>
              </w:rPr>
              <w:t>5</w:t>
            </w:r>
          </w:p>
        </w:tc>
        <w:tc>
          <w:tcPr>
            <w:tcW w:w="1939" w:type="dxa"/>
            <w:tcBorders>
              <w:left w:val="single" w:sz="4" w:space="0" w:color="231F20"/>
              <w:right w:val="single" w:sz="4" w:space="0" w:color="231F20"/>
            </w:tcBorders>
          </w:tcPr>
          <w:p w14:paraId="50DA70B5" w14:textId="77777777" w:rsidR="009948F1" w:rsidRDefault="00BC0563">
            <w:pPr>
              <w:pStyle w:val="TableParagraph"/>
              <w:spacing w:line="238" w:lineRule="exact"/>
              <w:ind w:left="107"/>
              <w:rPr>
                <w:sz w:val="21"/>
              </w:rPr>
            </w:pPr>
            <w:r>
              <w:rPr>
                <w:color w:val="231F20"/>
                <w:w w:val="95"/>
                <w:sz w:val="21"/>
              </w:rPr>
              <w:t>9.5 NDHS 2013</w:t>
            </w:r>
          </w:p>
        </w:tc>
      </w:tr>
      <w:tr w:rsidR="009948F1" w14:paraId="3DB14084" w14:textId="77777777" w:rsidTr="00D238BC">
        <w:trPr>
          <w:trHeight w:val="278"/>
        </w:trPr>
        <w:tc>
          <w:tcPr>
            <w:tcW w:w="6086" w:type="dxa"/>
            <w:tcBorders>
              <w:left w:val="single" w:sz="4" w:space="0" w:color="231F20"/>
              <w:right w:val="single" w:sz="4" w:space="0" w:color="231F20"/>
            </w:tcBorders>
          </w:tcPr>
          <w:p w14:paraId="3824659B" w14:textId="77777777" w:rsidR="009948F1" w:rsidRDefault="00BC0563">
            <w:pPr>
              <w:pStyle w:val="TableParagraph"/>
              <w:spacing w:line="238" w:lineRule="exact"/>
              <w:ind w:left="108"/>
              <w:rPr>
                <w:sz w:val="21"/>
              </w:rPr>
            </w:pPr>
            <w:r>
              <w:rPr>
                <w:color w:val="231F20"/>
                <w:w w:val="95"/>
                <w:sz w:val="21"/>
              </w:rPr>
              <w:t>Comprehensive knowledge of HIV (female)</w:t>
            </w:r>
          </w:p>
        </w:tc>
        <w:tc>
          <w:tcPr>
            <w:tcW w:w="1332" w:type="dxa"/>
            <w:tcBorders>
              <w:left w:val="single" w:sz="4" w:space="0" w:color="231F20"/>
              <w:right w:val="single" w:sz="4" w:space="0" w:color="231F20"/>
            </w:tcBorders>
          </w:tcPr>
          <w:p w14:paraId="675AB842" w14:textId="77777777" w:rsidR="009948F1" w:rsidRDefault="00BC0563">
            <w:pPr>
              <w:pStyle w:val="TableParagraph"/>
              <w:spacing w:line="238" w:lineRule="exact"/>
              <w:ind w:left="107"/>
              <w:rPr>
                <w:sz w:val="21"/>
              </w:rPr>
            </w:pPr>
            <w:r>
              <w:rPr>
                <w:color w:val="231F20"/>
                <w:w w:val="95"/>
                <w:sz w:val="21"/>
              </w:rPr>
              <w:t>17</w:t>
            </w:r>
          </w:p>
        </w:tc>
        <w:tc>
          <w:tcPr>
            <w:tcW w:w="1939" w:type="dxa"/>
            <w:tcBorders>
              <w:left w:val="single" w:sz="4" w:space="0" w:color="231F20"/>
              <w:right w:val="single" w:sz="4" w:space="0" w:color="231F20"/>
            </w:tcBorders>
          </w:tcPr>
          <w:p w14:paraId="1E5BAAB9" w14:textId="77777777" w:rsidR="009948F1" w:rsidRDefault="00BC0563">
            <w:pPr>
              <w:pStyle w:val="TableParagraph"/>
              <w:spacing w:line="238" w:lineRule="exact"/>
              <w:ind w:left="107"/>
              <w:rPr>
                <w:sz w:val="21"/>
              </w:rPr>
            </w:pPr>
            <w:r>
              <w:rPr>
                <w:color w:val="231F20"/>
                <w:w w:val="95"/>
                <w:sz w:val="21"/>
              </w:rPr>
              <w:t>45.9</w:t>
            </w:r>
          </w:p>
        </w:tc>
      </w:tr>
      <w:tr w:rsidR="009948F1" w14:paraId="06AC0E65" w14:textId="77777777">
        <w:trPr>
          <w:trHeight w:val="272"/>
        </w:trPr>
        <w:tc>
          <w:tcPr>
            <w:tcW w:w="6086" w:type="dxa"/>
            <w:tcBorders>
              <w:left w:val="single" w:sz="4" w:space="0" w:color="231F20"/>
              <w:right w:val="single" w:sz="4" w:space="0" w:color="231F20"/>
            </w:tcBorders>
          </w:tcPr>
          <w:p w14:paraId="5404E277" w14:textId="77777777" w:rsidR="009948F1" w:rsidRDefault="00BC0563">
            <w:pPr>
              <w:pStyle w:val="TableParagraph"/>
              <w:spacing w:line="238" w:lineRule="exact"/>
              <w:ind w:left="108"/>
              <w:rPr>
                <w:sz w:val="21"/>
              </w:rPr>
            </w:pPr>
            <w:r>
              <w:rPr>
                <w:color w:val="231F20"/>
                <w:w w:val="95"/>
                <w:sz w:val="21"/>
              </w:rPr>
              <w:t>Comprehensive Knowledge of HIV (male)</w:t>
            </w:r>
          </w:p>
        </w:tc>
        <w:tc>
          <w:tcPr>
            <w:tcW w:w="1332" w:type="dxa"/>
            <w:tcBorders>
              <w:left w:val="single" w:sz="4" w:space="0" w:color="231F20"/>
              <w:right w:val="single" w:sz="4" w:space="0" w:color="231F20"/>
            </w:tcBorders>
          </w:tcPr>
          <w:p w14:paraId="5A70D941" w14:textId="77777777" w:rsidR="009948F1" w:rsidRDefault="00BC0563">
            <w:pPr>
              <w:pStyle w:val="TableParagraph"/>
              <w:spacing w:line="238" w:lineRule="exact"/>
              <w:ind w:left="107"/>
              <w:rPr>
                <w:sz w:val="21"/>
              </w:rPr>
            </w:pPr>
            <w:r>
              <w:rPr>
                <w:color w:val="231F20"/>
                <w:w w:val="95"/>
                <w:sz w:val="21"/>
              </w:rPr>
              <w:t>36</w:t>
            </w:r>
          </w:p>
        </w:tc>
        <w:tc>
          <w:tcPr>
            <w:tcW w:w="1939" w:type="dxa"/>
            <w:tcBorders>
              <w:left w:val="single" w:sz="4" w:space="0" w:color="231F20"/>
              <w:right w:val="single" w:sz="4" w:space="0" w:color="231F20"/>
            </w:tcBorders>
          </w:tcPr>
          <w:p w14:paraId="364B6D47" w14:textId="77777777" w:rsidR="009948F1" w:rsidRDefault="00BC0563">
            <w:pPr>
              <w:pStyle w:val="TableParagraph"/>
              <w:spacing w:line="238" w:lineRule="exact"/>
              <w:ind w:left="107"/>
              <w:rPr>
                <w:sz w:val="21"/>
              </w:rPr>
            </w:pPr>
            <w:r>
              <w:rPr>
                <w:color w:val="231F20"/>
                <w:w w:val="95"/>
                <w:sz w:val="21"/>
              </w:rPr>
              <w:t>71.7</w:t>
            </w:r>
          </w:p>
        </w:tc>
      </w:tr>
    </w:tbl>
    <w:p w14:paraId="11B0E4C1" w14:textId="77777777" w:rsidR="009948F1" w:rsidRDefault="009948F1">
      <w:pPr>
        <w:pStyle w:val="BodyText"/>
        <w:spacing w:before="5"/>
        <w:rPr>
          <w:sz w:val="6"/>
        </w:rPr>
      </w:pPr>
    </w:p>
    <w:p w14:paraId="4A446C19" w14:textId="77777777" w:rsidR="009948F1" w:rsidRDefault="00BC0563">
      <w:pPr>
        <w:spacing w:before="73"/>
        <w:ind w:left="410"/>
        <w:rPr>
          <w:sz w:val="19"/>
        </w:rPr>
      </w:pPr>
      <w:r>
        <w:rPr>
          <w:color w:val="231F20"/>
          <w:sz w:val="19"/>
        </w:rPr>
        <w:t>Source: SSHDP 2010-2015, NDHS 2013, MICS 2016/2017</w:t>
      </w:r>
    </w:p>
    <w:p w14:paraId="3DF3C676" w14:textId="77777777" w:rsidR="009948F1" w:rsidRDefault="009948F1">
      <w:pPr>
        <w:pStyle w:val="BodyText"/>
        <w:rPr>
          <w:sz w:val="18"/>
        </w:rPr>
      </w:pPr>
    </w:p>
    <w:p w14:paraId="4C116C5E" w14:textId="77777777" w:rsidR="009948F1" w:rsidRDefault="009948F1">
      <w:pPr>
        <w:pStyle w:val="BodyText"/>
        <w:spacing w:before="8"/>
        <w:rPr>
          <w:sz w:val="24"/>
        </w:rPr>
      </w:pPr>
    </w:p>
    <w:p w14:paraId="53772146" w14:textId="77777777" w:rsidR="009948F1" w:rsidRDefault="00BC0563">
      <w:pPr>
        <w:pStyle w:val="BodyText"/>
        <w:spacing w:before="1" w:line="261" w:lineRule="auto"/>
        <w:ind w:left="137" w:right="207"/>
        <w:jc w:val="both"/>
      </w:pPr>
      <w:r>
        <w:rPr>
          <w:color w:val="231F20"/>
        </w:rPr>
        <w:t>In</w:t>
      </w:r>
      <w:r>
        <w:rPr>
          <w:color w:val="231F20"/>
          <w:spacing w:val="-15"/>
        </w:rPr>
        <w:t xml:space="preserve"> </w:t>
      </w:r>
      <w:r>
        <w:rPr>
          <w:color w:val="231F20"/>
        </w:rPr>
        <w:t>health</w:t>
      </w:r>
      <w:r>
        <w:rPr>
          <w:color w:val="231F20"/>
          <w:spacing w:val="-14"/>
        </w:rPr>
        <w:t xml:space="preserve"> </w:t>
      </w:r>
      <w:r>
        <w:rPr>
          <w:color w:val="231F20"/>
        </w:rPr>
        <w:t>service</w:t>
      </w:r>
      <w:r>
        <w:rPr>
          <w:color w:val="231F20"/>
          <w:spacing w:val="-14"/>
        </w:rPr>
        <w:t xml:space="preserve"> </w:t>
      </w:r>
      <w:r>
        <w:rPr>
          <w:color w:val="231F20"/>
        </w:rPr>
        <w:t>delivery</w:t>
      </w:r>
      <w:r>
        <w:rPr>
          <w:color w:val="231F20"/>
          <w:spacing w:val="-14"/>
        </w:rPr>
        <w:t xml:space="preserve"> </w:t>
      </w:r>
      <w:r>
        <w:rPr>
          <w:color w:val="231F20"/>
        </w:rPr>
        <w:t>and</w:t>
      </w:r>
      <w:r>
        <w:rPr>
          <w:color w:val="231F20"/>
          <w:spacing w:val="-14"/>
        </w:rPr>
        <w:t xml:space="preserve"> </w:t>
      </w:r>
      <w:r>
        <w:rPr>
          <w:color w:val="231F20"/>
        </w:rPr>
        <w:t>quality</w:t>
      </w:r>
      <w:r>
        <w:rPr>
          <w:color w:val="231F20"/>
          <w:spacing w:val="-14"/>
        </w:rPr>
        <w:t xml:space="preserve"> </w:t>
      </w:r>
      <w:r>
        <w:rPr>
          <w:color w:val="231F20"/>
        </w:rPr>
        <w:t>of</w:t>
      </w:r>
      <w:r>
        <w:rPr>
          <w:color w:val="231F20"/>
          <w:spacing w:val="-14"/>
        </w:rPr>
        <w:t xml:space="preserve"> </w:t>
      </w:r>
      <w:r>
        <w:rPr>
          <w:color w:val="231F20"/>
        </w:rPr>
        <w:t>care,</w:t>
      </w:r>
      <w:r>
        <w:rPr>
          <w:color w:val="231F20"/>
          <w:spacing w:val="-14"/>
        </w:rPr>
        <w:t xml:space="preserve"> </w:t>
      </w:r>
      <w:r>
        <w:rPr>
          <w:color w:val="231F20"/>
        </w:rPr>
        <w:t>about37%</w:t>
      </w:r>
      <w:r>
        <w:rPr>
          <w:color w:val="231F20"/>
          <w:spacing w:val="-14"/>
        </w:rPr>
        <w:t xml:space="preserve"> </w:t>
      </w:r>
      <w:r>
        <w:rPr>
          <w:color w:val="231F20"/>
        </w:rPr>
        <w:t>of</w:t>
      </w:r>
      <w:r>
        <w:rPr>
          <w:color w:val="231F20"/>
          <w:spacing w:val="-14"/>
        </w:rPr>
        <w:t xml:space="preserve"> </w:t>
      </w:r>
      <w:r>
        <w:rPr>
          <w:color w:val="231F20"/>
        </w:rPr>
        <w:t>children</w:t>
      </w:r>
      <w:r>
        <w:rPr>
          <w:color w:val="231F20"/>
          <w:spacing w:val="-14"/>
        </w:rPr>
        <w:t xml:space="preserve"> </w:t>
      </w:r>
      <w:r>
        <w:rPr>
          <w:color w:val="231F20"/>
        </w:rPr>
        <w:t>aged</w:t>
      </w:r>
      <w:r>
        <w:rPr>
          <w:color w:val="231F20"/>
          <w:spacing w:val="-15"/>
        </w:rPr>
        <w:t xml:space="preserve"> </w:t>
      </w:r>
      <w:r>
        <w:rPr>
          <w:color w:val="231F20"/>
        </w:rPr>
        <w:t>12</w:t>
      </w:r>
      <w:r>
        <w:rPr>
          <w:color w:val="231F20"/>
          <w:spacing w:val="-14"/>
        </w:rPr>
        <w:t xml:space="preserve"> </w:t>
      </w:r>
      <w:r>
        <w:rPr>
          <w:color w:val="231F20"/>
        </w:rPr>
        <w:t>–</w:t>
      </w:r>
      <w:r>
        <w:rPr>
          <w:color w:val="231F20"/>
          <w:spacing w:val="-14"/>
        </w:rPr>
        <w:t xml:space="preserve"> </w:t>
      </w:r>
      <w:r>
        <w:rPr>
          <w:color w:val="231F20"/>
        </w:rPr>
        <w:t>23</w:t>
      </w:r>
      <w:r>
        <w:rPr>
          <w:color w:val="231F20"/>
          <w:spacing w:val="-14"/>
        </w:rPr>
        <w:t xml:space="preserve"> </w:t>
      </w:r>
      <w:r>
        <w:rPr>
          <w:color w:val="231F20"/>
        </w:rPr>
        <w:t>months</w:t>
      </w:r>
      <w:r>
        <w:rPr>
          <w:color w:val="231F20"/>
          <w:spacing w:val="-14"/>
        </w:rPr>
        <w:t xml:space="preserve"> </w:t>
      </w:r>
      <w:r>
        <w:rPr>
          <w:color w:val="231F20"/>
        </w:rPr>
        <w:t>were</w:t>
      </w:r>
      <w:r>
        <w:rPr>
          <w:color w:val="231F20"/>
          <w:spacing w:val="-14"/>
        </w:rPr>
        <w:t xml:space="preserve"> </w:t>
      </w:r>
      <w:r>
        <w:rPr>
          <w:color w:val="231F20"/>
        </w:rPr>
        <w:t>fully immunized in 2008, it rose to 55.5%</w:t>
      </w:r>
      <w:r>
        <w:rPr>
          <w:color w:val="231F20"/>
          <w:position w:val="11"/>
          <w:sz w:val="11"/>
        </w:rPr>
        <w:t xml:space="preserve">9 </w:t>
      </w:r>
      <w:r>
        <w:rPr>
          <w:color w:val="231F20"/>
        </w:rPr>
        <w:t xml:space="preserve">in 2013 but reduced to 45% in the recent 2016-2017 </w:t>
      </w:r>
      <w:r>
        <w:rPr>
          <w:color w:val="231F20"/>
          <w:spacing w:val="-4"/>
        </w:rPr>
        <w:t xml:space="preserve">MICS </w:t>
      </w:r>
      <w:r>
        <w:rPr>
          <w:color w:val="231F20"/>
        </w:rPr>
        <w:t xml:space="preserve">report. Those with no immunization within this same age at 10% reduced to 7.4% in NDHS </w:t>
      </w:r>
      <w:r>
        <w:rPr>
          <w:color w:val="231F20"/>
          <w:spacing w:val="-4"/>
        </w:rPr>
        <w:t xml:space="preserve">2013 </w:t>
      </w:r>
      <w:r>
        <w:rPr>
          <w:color w:val="231F20"/>
        </w:rPr>
        <w:t xml:space="preserve">and back to </w:t>
      </w:r>
      <w:r>
        <w:rPr>
          <w:color w:val="231F20"/>
          <w:spacing w:val="-6"/>
        </w:rPr>
        <w:t xml:space="preserve">11% </w:t>
      </w:r>
      <w:r>
        <w:rPr>
          <w:color w:val="231F20"/>
        </w:rPr>
        <w:t xml:space="preserve">in 2016 MICS </w:t>
      </w:r>
      <w:r>
        <w:rPr>
          <w:color w:val="231F20"/>
          <w:spacing w:val="-3"/>
        </w:rPr>
        <w:t xml:space="preserve">survey. </w:t>
      </w:r>
      <w:r>
        <w:rPr>
          <w:color w:val="231F20"/>
        </w:rPr>
        <w:t>There was an increase in the proportion of women who received antenatal care from a skilled provider from 67% in 2008 to 87.6% in 2016 and births assisted</w:t>
      </w:r>
      <w:r>
        <w:rPr>
          <w:color w:val="231F20"/>
          <w:spacing w:val="-21"/>
        </w:rPr>
        <w:t xml:space="preserve"> </w:t>
      </w:r>
      <w:r>
        <w:rPr>
          <w:color w:val="231F20"/>
        </w:rPr>
        <w:t>by</w:t>
      </w:r>
      <w:r>
        <w:rPr>
          <w:color w:val="231F20"/>
          <w:spacing w:val="-20"/>
        </w:rPr>
        <w:t xml:space="preserve"> </w:t>
      </w:r>
      <w:r>
        <w:rPr>
          <w:color w:val="231F20"/>
        </w:rPr>
        <w:t>a</w:t>
      </w:r>
      <w:r>
        <w:rPr>
          <w:color w:val="231F20"/>
          <w:spacing w:val="-20"/>
        </w:rPr>
        <w:t xml:space="preserve"> </w:t>
      </w:r>
      <w:r>
        <w:rPr>
          <w:color w:val="231F20"/>
        </w:rPr>
        <w:t>skilled</w:t>
      </w:r>
      <w:r>
        <w:rPr>
          <w:color w:val="231F20"/>
          <w:spacing w:val="-20"/>
        </w:rPr>
        <w:t xml:space="preserve"> </w:t>
      </w:r>
      <w:r>
        <w:rPr>
          <w:color w:val="231F20"/>
        </w:rPr>
        <w:t>provider</w:t>
      </w:r>
      <w:r>
        <w:rPr>
          <w:color w:val="231F20"/>
          <w:spacing w:val="-20"/>
        </w:rPr>
        <w:t xml:space="preserve"> </w:t>
      </w:r>
      <w:r>
        <w:rPr>
          <w:color w:val="231F20"/>
        </w:rPr>
        <w:t>from</w:t>
      </w:r>
      <w:r>
        <w:rPr>
          <w:color w:val="231F20"/>
          <w:spacing w:val="-20"/>
        </w:rPr>
        <w:t xml:space="preserve"> </w:t>
      </w:r>
      <w:r>
        <w:rPr>
          <w:color w:val="231F20"/>
        </w:rPr>
        <w:t>64%</w:t>
      </w:r>
      <w:r>
        <w:rPr>
          <w:color w:val="231F20"/>
          <w:spacing w:val="-20"/>
        </w:rPr>
        <w:t xml:space="preserve"> </w:t>
      </w:r>
      <w:r>
        <w:rPr>
          <w:color w:val="231F20"/>
        </w:rPr>
        <w:t>in</w:t>
      </w:r>
      <w:r>
        <w:rPr>
          <w:color w:val="231F20"/>
          <w:spacing w:val="-20"/>
        </w:rPr>
        <w:t xml:space="preserve"> </w:t>
      </w:r>
      <w:r>
        <w:rPr>
          <w:color w:val="231F20"/>
        </w:rPr>
        <w:t>2008</w:t>
      </w:r>
      <w:r>
        <w:rPr>
          <w:color w:val="231F20"/>
          <w:spacing w:val="-20"/>
        </w:rPr>
        <w:t xml:space="preserve"> </w:t>
      </w:r>
      <w:r>
        <w:rPr>
          <w:color w:val="231F20"/>
        </w:rPr>
        <w:t>to</w:t>
      </w:r>
      <w:r>
        <w:rPr>
          <w:color w:val="231F20"/>
          <w:spacing w:val="-20"/>
        </w:rPr>
        <w:t xml:space="preserve"> </w:t>
      </w:r>
      <w:r>
        <w:rPr>
          <w:color w:val="231F20"/>
        </w:rPr>
        <w:t>83.7%</w:t>
      </w:r>
      <w:r>
        <w:rPr>
          <w:color w:val="231F20"/>
          <w:spacing w:val="-20"/>
        </w:rPr>
        <w:t xml:space="preserve"> </w:t>
      </w:r>
      <w:r>
        <w:rPr>
          <w:color w:val="231F20"/>
        </w:rPr>
        <w:t>in</w:t>
      </w:r>
      <w:r>
        <w:rPr>
          <w:color w:val="231F20"/>
          <w:spacing w:val="-20"/>
        </w:rPr>
        <w:t xml:space="preserve"> </w:t>
      </w:r>
      <w:r>
        <w:rPr>
          <w:color w:val="231F20"/>
        </w:rPr>
        <w:t>2016.</w:t>
      </w:r>
      <w:r>
        <w:rPr>
          <w:color w:val="231F20"/>
          <w:spacing w:val="-20"/>
        </w:rPr>
        <w:t xml:space="preserve"> </w:t>
      </w:r>
      <w:r>
        <w:rPr>
          <w:color w:val="231F20"/>
        </w:rPr>
        <w:t>Births</w:t>
      </w:r>
      <w:r>
        <w:rPr>
          <w:color w:val="231F20"/>
          <w:spacing w:val="-20"/>
        </w:rPr>
        <w:t xml:space="preserve"> </w:t>
      </w:r>
      <w:r>
        <w:rPr>
          <w:color w:val="231F20"/>
        </w:rPr>
        <w:t>in</w:t>
      </w:r>
      <w:r>
        <w:rPr>
          <w:color w:val="231F20"/>
          <w:spacing w:val="-20"/>
        </w:rPr>
        <w:t xml:space="preserve"> </w:t>
      </w:r>
      <w:r>
        <w:rPr>
          <w:color w:val="231F20"/>
        </w:rPr>
        <w:t>a</w:t>
      </w:r>
      <w:r>
        <w:rPr>
          <w:color w:val="231F20"/>
          <w:spacing w:val="-20"/>
        </w:rPr>
        <w:t xml:space="preserve"> </w:t>
      </w:r>
      <w:r>
        <w:rPr>
          <w:color w:val="231F20"/>
        </w:rPr>
        <w:t>health</w:t>
      </w:r>
      <w:r>
        <w:rPr>
          <w:color w:val="231F20"/>
          <w:spacing w:val="-20"/>
        </w:rPr>
        <w:t xml:space="preserve"> </w:t>
      </w:r>
      <w:r>
        <w:rPr>
          <w:color w:val="231F20"/>
        </w:rPr>
        <w:t>facility</w:t>
      </w:r>
      <w:r>
        <w:rPr>
          <w:color w:val="231F20"/>
          <w:spacing w:val="-20"/>
        </w:rPr>
        <w:t xml:space="preserve"> </w:t>
      </w:r>
      <w:r>
        <w:rPr>
          <w:color w:val="231F20"/>
        </w:rPr>
        <w:t>also</w:t>
      </w:r>
      <w:r>
        <w:rPr>
          <w:color w:val="231F20"/>
          <w:spacing w:val="-20"/>
        </w:rPr>
        <w:t xml:space="preserve"> </w:t>
      </w:r>
      <w:r>
        <w:rPr>
          <w:color w:val="231F20"/>
          <w:spacing w:val="-3"/>
        </w:rPr>
        <w:t xml:space="preserve">went </w:t>
      </w:r>
      <w:r>
        <w:rPr>
          <w:color w:val="231F20"/>
        </w:rPr>
        <w:t>up to 80% in 2016 from 48% in 2008. Modern contraceptive prevalence rate amongst married women</w:t>
      </w:r>
      <w:r>
        <w:rPr>
          <w:color w:val="231F20"/>
          <w:spacing w:val="-25"/>
        </w:rPr>
        <w:t xml:space="preserve"> </w:t>
      </w:r>
      <w:r>
        <w:rPr>
          <w:color w:val="231F20"/>
        </w:rPr>
        <w:t>aged</w:t>
      </w:r>
      <w:r>
        <w:rPr>
          <w:color w:val="231F20"/>
          <w:spacing w:val="-25"/>
        </w:rPr>
        <w:t xml:space="preserve"> </w:t>
      </w:r>
      <w:r>
        <w:rPr>
          <w:color w:val="231F20"/>
        </w:rPr>
        <w:t>15</w:t>
      </w:r>
      <w:r>
        <w:rPr>
          <w:color w:val="231F20"/>
          <w:spacing w:val="-25"/>
        </w:rPr>
        <w:t xml:space="preserve"> </w:t>
      </w:r>
      <w:r>
        <w:rPr>
          <w:color w:val="231F20"/>
        </w:rPr>
        <w:t>–</w:t>
      </w:r>
      <w:r>
        <w:rPr>
          <w:color w:val="231F20"/>
          <w:spacing w:val="-25"/>
        </w:rPr>
        <w:t xml:space="preserve"> </w:t>
      </w:r>
      <w:r>
        <w:rPr>
          <w:color w:val="231F20"/>
        </w:rPr>
        <w:t>49</w:t>
      </w:r>
      <w:r>
        <w:rPr>
          <w:color w:val="231F20"/>
          <w:spacing w:val="-25"/>
        </w:rPr>
        <w:t xml:space="preserve"> </w:t>
      </w:r>
      <w:r>
        <w:rPr>
          <w:color w:val="231F20"/>
        </w:rPr>
        <w:t>years</w:t>
      </w:r>
      <w:r>
        <w:rPr>
          <w:color w:val="231F20"/>
          <w:spacing w:val="-25"/>
        </w:rPr>
        <w:t xml:space="preserve"> </w:t>
      </w:r>
      <w:r>
        <w:rPr>
          <w:color w:val="231F20"/>
        </w:rPr>
        <w:t>went</w:t>
      </w:r>
      <w:r>
        <w:rPr>
          <w:color w:val="231F20"/>
          <w:spacing w:val="-25"/>
        </w:rPr>
        <w:t xml:space="preserve"> </w:t>
      </w:r>
      <w:r>
        <w:rPr>
          <w:color w:val="231F20"/>
        </w:rPr>
        <w:t>down</w:t>
      </w:r>
      <w:r>
        <w:rPr>
          <w:color w:val="231F20"/>
          <w:spacing w:val="-25"/>
        </w:rPr>
        <w:t xml:space="preserve"> </w:t>
      </w:r>
      <w:r>
        <w:rPr>
          <w:color w:val="231F20"/>
        </w:rPr>
        <w:t>to</w:t>
      </w:r>
      <w:r>
        <w:rPr>
          <w:color w:val="231F20"/>
          <w:spacing w:val="-25"/>
        </w:rPr>
        <w:t xml:space="preserve"> </w:t>
      </w:r>
      <w:r>
        <w:rPr>
          <w:color w:val="231F20"/>
          <w:spacing w:val="-6"/>
        </w:rPr>
        <w:t>11%</w:t>
      </w:r>
      <w:r>
        <w:rPr>
          <w:color w:val="231F20"/>
          <w:spacing w:val="-25"/>
        </w:rPr>
        <w:t xml:space="preserve"> </w:t>
      </w:r>
      <w:r>
        <w:rPr>
          <w:color w:val="231F20"/>
        </w:rPr>
        <w:t>from</w:t>
      </w:r>
      <w:r>
        <w:rPr>
          <w:color w:val="231F20"/>
          <w:spacing w:val="-25"/>
        </w:rPr>
        <w:t xml:space="preserve"> </w:t>
      </w:r>
      <w:r>
        <w:rPr>
          <w:color w:val="231F20"/>
        </w:rPr>
        <w:t>14%</w:t>
      </w:r>
      <w:r>
        <w:rPr>
          <w:color w:val="231F20"/>
          <w:spacing w:val="-25"/>
        </w:rPr>
        <w:t xml:space="preserve"> </w:t>
      </w:r>
      <w:r>
        <w:rPr>
          <w:color w:val="231F20"/>
        </w:rPr>
        <w:t>in</w:t>
      </w:r>
      <w:r>
        <w:rPr>
          <w:color w:val="231F20"/>
          <w:spacing w:val="-25"/>
        </w:rPr>
        <w:t xml:space="preserve"> </w:t>
      </w:r>
      <w:r>
        <w:rPr>
          <w:color w:val="231F20"/>
        </w:rPr>
        <w:t>2008</w:t>
      </w:r>
      <w:r>
        <w:rPr>
          <w:color w:val="231F20"/>
          <w:spacing w:val="-25"/>
        </w:rPr>
        <w:t xml:space="preserve"> </w:t>
      </w:r>
      <w:r>
        <w:rPr>
          <w:color w:val="231F20"/>
          <w:spacing w:val="-5"/>
        </w:rPr>
        <w:t>(Table</w:t>
      </w:r>
      <w:r>
        <w:rPr>
          <w:color w:val="231F20"/>
          <w:spacing w:val="-25"/>
        </w:rPr>
        <w:t xml:space="preserve"> </w:t>
      </w:r>
      <w:r>
        <w:rPr>
          <w:color w:val="231F20"/>
        </w:rPr>
        <w:t>2).</w:t>
      </w:r>
    </w:p>
    <w:p w14:paraId="1C444D14" w14:textId="77777777" w:rsidR="009948F1" w:rsidRDefault="009948F1">
      <w:pPr>
        <w:pStyle w:val="BodyText"/>
        <w:spacing w:before="6"/>
        <w:rPr>
          <w:sz w:val="23"/>
        </w:rPr>
      </w:pPr>
    </w:p>
    <w:p w14:paraId="034DB928" w14:textId="77777777" w:rsidR="009948F1" w:rsidRDefault="00BC0563">
      <w:pPr>
        <w:pStyle w:val="Heading7"/>
        <w:numPr>
          <w:ilvl w:val="1"/>
          <w:numId w:val="321"/>
        </w:numPr>
        <w:tabs>
          <w:tab w:val="left" w:pos="858"/>
        </w:tabs>
        <w:ind w:left="857" w:hanging="721"/>
        <w:jc w:val="both"/>
        <w:rPr>
          <w:color w:val="231F20"/>
        </w:rPr>
      </w:pPr>
      <w:bookmarkStart w:id="32" w:name="_TOC_250029"/>
      <w:r>
        <w:rPr>
          <w:color w:val="231F20"/>
        </w:rPr>
        <w:t>Overview</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Health</w:t>
      </w:r>
      <w:r>
        <w:rPr>
          <w:color w:val="231F20"/>
          <w:spacing w:val="-25"/>
        </w:rPr>
        <w:t xml:space="preserve"> </w:t>
      </w:r>
      <w:bookmarkEnd w:id="32"/>
      <w:r>
        <w:rPr>
          <w:color w:val="231F20"/>
        </w:rPr>
        <w:t>System</w:t>
      </w:r>
    </w:p>
    <w:p w14:paraId="57C4F28B" w14:textId="77777777" w:rsidR="009948F1" w:rsidRDefault="009948F1">
      <w:pPr>
        <w:pStyle w:val="BodyText"/>
        <w:rPr>
          <w:b/>
          <w:sz w:val="26"/>
        </w:rPr>
      </w:pPr>
    </w:p>
    <w:p w14:paraId="3999B57C" w14:textId="77777777" w:rsidR="009948F1" w:rsidRDefault="00BC0563">
      <w:pPr>
        <w:pStyle w:val="ListParagraph"/>
        <w:numPr>
          <w:ilvl w:val="2"/>
          <w:numId w:val="321"/>
        </w:numPr>
        <w:tabs>
          <w:tab w:val="left" w:pos="858"/>
        </w:tabs>
        <w:ind w:left="857" w:hanging="721"/>
        <w:rPr>
          <w:b/>
        </w:rPr>
      </w:pPr>
      <w:r>
        <w:rPr>
          <w:b/>
          <w:color w:val="231F20"/>
        </w:rPr>
        <w:t>Structures</w:t>
      </w:r>
      <w:r>
        <w:rPr>
          <w:b/>
          <w:color w:val="231F20"/>
          <w:spacing w:val="-25"/>
        </w:rPr>
        <w:t xml:space="preserve"> </w:t>
      </w:r>
      <w:r>
        <w:rPr>
          <w:b/>
          <w:color w:val="231F20"/>
        </w:rPr>
        <w:t>and</w:t>
      </w:r>
      <w:r>
        <w:rPr>
          <w:b/>
          <w:color w:val="231F20"/>
          <w:spacing w:val="-25"/>
        </w:rPr>
        <w:t xml:space="preserve"> </w:t>
      </w:r>
      <w:r>
        <w:rPr>
          <w:b/>
          <w:color w:val="231F20"/>
        </w:rPr>
        <w:t>Key</w:t>
      </w:r>
      <w:r>
        <w:rPr>
          <w:b/>
          <w:color w:val="231F20"/>
          <w:spacing w:val="-33"/>
        </w:rPr>
        <w:t xml:space="preserve"> </w:t>
      </w:r>
      <w:r>
        <w:rPr>
          <w:b/>
          <w:color w:val="231F20"/>
        </w:rPr>
        <w:t>Actors</w:t>
      </w:r>
    </w:p>
    <w:p w14:paraId="58D4319C" w14:textId="77777777" w:rsidR="009948F1" w:rsidRDefault="00BC0563">
      <w:pPr>
        <w:pStyle w:val="BodyText"/>
        <w:spacing w:before="23" w:line="261" w:lineRule="auto"/>
        <w:ind w:left="136" w:right="208"/>
        <w:jc w:val="both"/>
      </w:pPr>
      <w:r>
        <w:rPr>
          <w:color w:val="231F20"/>
        </w:rPr>
        <w:t>Rivers</w:t>
      </w:r>
      <w:r>
        <w:rPr>
          <w:color w:val="231F20"/>
          <w:spacing w:val="-17"/>
        </w:rPr>
        <w:t xml:space="preserve"> </w:t>
      </w:r>
      <w:r>
        <w:rPr>
          <w:color w:val="231F20"/>
        </w:rPr>
        <w:t>State</w:t>
      </w:r>
      <w:r>
        <w:rPr>
          <w:color w:val="231F20"/>
          <w:spacing w:val="-17"/>
        </w:rPr>
        <w:t xml:space="preserve"> </w:t>
      </w:r>
      <w:r>
        <w:rPr>
          <w:color w:val="231F20"/>
        </w:rPr>
        <w:t>has</w:t>
      </w:r>
      <w:r>
        <w:rPr>
          <w:color w:val="231F20"/>
          <w:spacing w:val="-17"/>
        </w:rPr>
        <w:t xml:space="preserve"> </w:t>
      </w:r>
      <w:r>
        <w:rPr>
          <w:color w:val="231F20"/>
        </w:rPr>
        <w:t>the</w:t>
      </w:r>
      <w:r>
        <w:rPr>
          <w:color w:val="231F20"/>
          <w:spacing w:val="-17"/>
        </w:rPr>
        <w:t xml:space="preserve"> </w:t>
      </w:r>
      <w:r>
        <w:rPr>
          <w:color w:val="231F20"/>
        </w:rPr>
        <w:t>Public</w:t>
      </w:r>
      <w:r>
        <w:rPr>
          <w:color w:val="231F20"/>
          <w:spacing w:val="-16"/>
        </w:rPr>
        <w:t xml:space="preserve"> </w:t>
      </w:r>
      <w:r>
        <w:rPr>
          <w:color w:val="231F20"/>
        </w:rPr>
        <w:t>and</w:t>
      </w:r>
      <w:r>
        <w:rPr>
          <w:color w:val="231F20"/>
          <w:spacing w:val="-16"/>
        </w:rPr>
        <w:t xml:space="preserve"> </w:t>
      </w:r>
      <w:r>
        <w:rPr>
          <w:color w:val="231F20"/>
        </w:rPr>
        <w:t>Private</w:t>
      </w:r>
      <w:r>
        <w:rPr>
          <w:color w:val="231F20"/>
          <w:spacing w:val="-17"/>
        </w:rPr>
        <w:t xml:space="preserve"> </w:t>
      </w:r>
      <w:r>
        <w:rPr>
          <w:color w:val="231F20"/>
        </w:rPr>
        <w:t>Sectors</w:t>
      </w:r>
      <w:r>
        <w:rPr>
          <w:color w:val="231F20"/>
          <w:spacing w:val="-17"/>
        </w:rPr>
        <w:t xml:space="preserve"> </w:t>
      </w:r>
      <w:r>
        <w:rPr>
          <w:color w:val="231F20"/>
        </w:rPr>
        <w:t>both</w:t>
      </w:r>
      <w:r>
        <w:rPr>
          <w:color w:val="231F20"/>
          <w:spacing w:val="-17"/>
        </w:rPr>
        <w:t xml:space="preserve"> </w:t>
      </w:r>
      <w:r>
        <w:rPr>
          <w:color w:val="231F20"/>
        </w:rPr>
        <w:t>providing</w:t>
      </w:r>
      <w:r>
        <w:rPr>
          <w:color w:val="231F20"/>
          <w:spacing w:val="-16"/>
        </w:rPr>
        <w:t xml:space="preserve"> </w:t>
      </w:r>
      <w:r>
        <w:rPr>
          <w:color w:val="231F20"/>
        </w:rPr>
        <w:t>orthodox</w:t>
      </w:r>
      <w:r>
        <w:rPr>
          <w:color w:val="231F20"/>
          <w:spacing w:val="-16"/>
        </w:rPr>
        <w:t xml:space="preserve"> </w:t>
      </w:r>
      <w:r>
        <w:rPr>
          <w:color w:val="231F20"/>
        </w:rPr>
        <w:t>health</w:t>
      </w:r>
      <w:r>
        <w:rPr>
          <w:color w:val="231F20"/>
          <w:spacing w:val="-16"/>
        </w:rPr>
        <w:t xml:space="preserve"> </w:t>
      </w:r>
      <w:r>
        <w:rPr>
          <w:color w:val="231F20"/>
        </w:rPr>
        <w:t>care</w:t>
      </w:r>
      <w:r>
        <w:rPr>
          <w:color w:val="231F20"/>
          <w:spacing w:val="-18"/>
        </w:rPr>
        <w:t xml:space="preserve"> </w:t>
      </w:r>
      <w:r>
        <w:rPr>
          <w:color w:val="231F20"/>
        </w:rPr>
        <w:t>services</w:t>
      </w:r>
      <w:r>
        <w:rPr>
          <w:color w:val="231F20"/>
          <w:spacing w:val="-16"/>
        </w:rPr>
        <w:t xml:space="preserve"> </w:t>
      </w:r>
      <w:r>
        <w:rPr>
          <w:color w:val="231F20"/>
        </w:rPr>
        <w:t>in</w:t>
      </w:r>
      <w:r>
        <w:rPr>
          <w:color w:val="231F20"/>
          <w:spacing w:val="-17"/>
        </w:rPr>
        <w:t xml:space="preserve"> </w:t>
      </w:r>
      <w:r>
        <w:rPr>
          <w:color w:val="231F20"/>
        </w:rPr>
        <w:t xml:space="preserve">the State. The Public Health Sector under the Rivers State Ministry of Health, provides </w:t>
      </w:r>
      <w:r>
        <w:rPr>
          <w:color w:val="231F20"/>
          <w:spacing w:val="-4"/>
        </w:rPr>
        <w:t xml:space="preserve">tertiary, </w:t>
      </w:r>
      <w:r>
        <w:rPr>
          <w:color w:val="231F20"/>
        </w:rPr>
        <w:t xml:space="preserve">secondary and primary health care. The tertiary health care is managed by the </w:t>
      </w:r>
      <w:r>
        <w:rPr>
          <w:color w:val="231F20"/>
          <w:spacing w:val="-3"/>
        </w:rPr>
        <w:t xml:space="preserve">Federal </w:t>
      </w:r>
      <w:r>
        <w:rPr>
          <w:color w:val="231F20"/>
        </w:rPr>
        <w:t xml:space="preserve">government, the State government manages the secondary care and the local government, </w:t>
      </w:r>
      <w:r>
        <w:rPr>
          <w:color w:val="231F20"/>
          <w:spacing w:val="-4"/>
        </w:rPr>
        <w:t xml:space="preserve">the </w:t>
      </w:r>
      <w:r>
        <w:rPr>
          <w:color w:val="231F20"/>
        </w:rPr>
        <w:t xml:space="preserve">primary care. The National Health Act 2014 assigned these roles to the different levels </w:t>
      </w:r>
      <w:r>
        <w:rPr>
          <w:color w:val="231F20"/>
          <w:spacing w:val="-8"/>
        </w:rPr>
        <w:t xml:space="preserve">of </w:t>
      </w:r>
      <w:r>
        <w:rPr>
          <w:color w:val="231F20"/>
        </w:rPr>
        <w:t>administration</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nation.</w:t>
      </w:r>
      <w:r>
        <w:rPr>
          <w:color w:val="231F20"/>
          <w:spacing w:val="-23"/>
        </w:rPr>
        <w:t xml:space="preserve"> </w:t>
      </w:r>
      <w:r>
        <w:rPr>
          <w:color w:val="231F20"/>
        </w:rPr>
        <w:t>There</w:t>
      </w:r>
      <w:r>
        <w:rPr>
          <w:color w:val="231F20"/>
          <w:spacing w:val="-19"/>
        </w:rPr>
        <w:t xml:space="preserve"> </w:t>
      </w:r>
      <w:r>
        <w:rPr>
          <w:color w:val="231F20"/>
        </w:rPr>
        <w:t>are</w:t>
      </w:r>
      <w:r>
        <w:rPr>
          <w:color w:val="231F20"/>
          <w:spacing w:val="-18"/>
        </w:rPr>
        <w:t xml:space="preserve"> </w:t>
      </w:r>
      <w:r>
        <w:rPr>
          <w:color w:val="231F20"/>
        </w:rPr>
        <w:t>four</w:t>
      </w:r>
      <w:r>
        <w:rPr>
          <w:color w:val="231F20"/>
          <w:spacing w:val="-19"/>
        </w:rPr>
        <w:t xml:space="preserve"> </w:t>
      </w:r>
      <w:r>
        <w:rPr>
          <w:color w:val="231F20"/>
        </w:rPr>
        <w:t>State-owned</w:t>
      </w:r>
      <w:r>
        <w:rPr>
          <w:color w:val="231F20"/>
          <w:spacing w:val="-19"/>
        </w:rPr>
        <w:t xml:space="preserve"> </w:t>
      </w:r>
      <w:r>
        <w:rPr>
          <w:color w:val="231F20"/>
        </w:rPr>
        <w:t>Specialist</w:t>
      </w:r>
      <w:r>
        <w:rPr>
          <w:color w:val="231F20"/>
          <w:spacing w:val="-19"/>
        </w:rPr>
        <w:t xml:space="preserve"> </w:t>
      </w:r>
      <w:r>
        <w:rPr>
          <w:color w:val="231F20"/>
        </w:rPr>
        <w:t>Hospitals</w:t>
      </w:r>
      <w:r>
        <w:rPr>
          <w:color w:val="231F20"/>
          <w:spacing w:val="-19"/>
        </w:rPr>
        <w:t xml:space="preserve"> </w:t>
      </w:r>
      <w:r>
        <w:rPr>
          <w:color w:val="231F20"/>
        </w:rPr>
        <w:t>providing</w:t>
      </w:r>
      <w:r>
        <w:rPr>
          <w:color w:val="231F20"/>
          <w:spacing w:val="-18"/>
        </w:rPr>
        <w:t xml:space="preserve"> </w:t>
      </w:r>
      <w:r>
        <w:rPr>
          <w:color w:val="231F20"/>
        </w:rPr>
        <w:t>tertiary</w:t>
      </w:r>
      <w:r>
        <w:rPr>
          <w:color w:val="231F20"/>
          <w:spacing w:val="-19"/>
        </w:rPr>
        <w:t xml:space="preserve"> </w:t>
      </w:r>
      <w:r>
        <w:rPr>
          <w:color w:val="231F20"/>
          <w:spacing w:val="-4"/>
        </w:rPr>
        <w:t xml:space="preserve">care </w:t>
      </w:r>
      <w:r>
        <w:rPr>
          <w:color w:val="231F20"/>
        </w:rPr>
        <w:t>to</w:t>
      </w:r>
      <w:r>
        <w:rPr>
          <w:color w:val="231F20"/>
          <w:spacing w:val="-22"/>
        </w:rPr>
        <w:t xml:space="preserve"> </w:t>
      </w:r>
      <w:r>
        <w:rPr>
          <w:color w:val="231F20"/>
        </w:rPr>
        <w:t>the</w:t>
      </w:r>
      <w:r>
        <w:rPr>
          <w:color w:val="231F20"/>
          <w:spacing w:val="-22"/>
        </w:rPr>
        <w:t xml:space="preserve"> </w:t>
      </w:r>
      <w:r>
        <w:rPr>
          <w:color w:val="231F20"/>
        </w:rPr>
        <w:t>citizenry.</w:t>
      </w:r>
      <w:r>
        <w:rPr>
          <w:color w:val="231F20"/>
          <w:spacing w:val="-26"/>
        </w:rPr>
        <w:t xml:space="preserve"> </w:t>
      </w:r>
      <w:r>
        <w:rPr>
          <w:color w:val="231F20"/>
        </w:rPr>
        <w:t>The</w:t>
      </w:r>
      <w:r>
        <w:rPr>
          <w:color w:val="231F20"/>
          <w:spacing w:val="-21"/>
        </w:rPr>
        <w:t xml:space="preserve"> </w:t>
      </w:r>
      <w:r>
        <w:rPr>
          <w:color w:val="231F20"/>
        </w:rPr>
        <w:t>Private</w:t>
      </w:r>
      <w:r>
        <w:rPr>
          <w:color w:val="231F20"/>
          <w:spacing w:val="-22"/>
        </w:rPr>
        <w:t xml:space="preserve"> </w:t>
      </w:r>
      <w:r>
        <w:rPr>
          <w:color w:val="231F20"/>
        </w:rPr>
        <w:t>Health</w:t>
      </w:r>
      <w:r>
        <w:rPr>
          <w:color w:val="231F20"/>
          <w:spacing w:val="-21"/>
        </w:rPr>
        <w:t xml:space="preserve"> </w:t>
      </w:r>
      <w:r>
        <w:rPr>
          <w:color w:val="231F20"/>
        </w:rPr>
        <w:t>Sector</w:t>
      </w:r>
      <w:r>
        <w:rPr>
          <w:color w:val="231F20"/>
          <w:spacing w:val="-22"/>
        </w:rPr>
        <w:t xml:space="preserve"> </w:t>
      </w:r>
      <w:r>
        <w:rPr>
          <w:color w:val="231F20"/>
        </w:rPr>
        <w:t>is</w:t>
      </w:r>
      <w:r>
        <w:rPr>
          <w:color w:val="231F20"/>
          <w:spacing w:val="-22"/>
        </w:rPr>
        <w:t xml:space="preserve"> </w:t>
      </w:r>
      <w:r>
        <w:rPr>
          <w:color w:val="231F20"/>
        </w:rPr>
        <w:t>also</w:t>
      </w:r>
      <w:r>
        <w:rPr>
          <w:color w:val="231F20"/>
          <w:spacing w:val="-22"/>
        </w:rPr>
        <w:t xml:space="preserve"> </w:t>
      </w:r>
      <w:r>
        <w:rPr>
          <w:color w:val="231F20"/>
        </w:rPr>
        <w:t>a</w:t>
      </w:r>
      <w:r>
        <w:rPr>
          <w:color w:val="231F20"/>
          <w:spacing w:val="-21"/>
        </w:rPr>
        <w:t xml:space="preserve"> </w:t>
      </w:r>
      <w:r>
        <w:rPr>
          <w:color w:val="231F20"/>
        </w:rPr>
        <w:t>key</w:t>
      </w:r>
      <w:r>
        <w:rPr>
          <w:color w:val="231F20"/>
          <w:spacing w:val="-22"/>
        </w:rPr>
        <w:t xml:space="preserve"> </w:t>
      </w:r>
      <w:r>
        <w:rPr>
          <w:color w:val="231F20"/>
        </w:rPr>
        <w:t>player</w:t>
      </w:r>
      <w:r>
        <w:rPr>
          <w:color w:val="231F20"/>
          <w:spacing w:val="-21"/>
        </w:rPr>
        <w:t xml:space="preserve"> </w:t>
      </w:r>
      <w:r>
        <w:rPr>
          <w:color w:val="231F20"/>
        </w:rPr>
        <w:t>in</w:t>
      </w:r>
      <w:r>
        <w:rPr>
          <w:color w:val="231F20"/>
          <w:spacing w:val="-22"/>
        </w:rPr>
        <w:t xml:space="preserve"> </w:t>
      </w:r>
      <w:r>
        <w:rPr>
          <w:color w:val="231F20"/>
        </w:rPr>
        <w:t>healthcare</w:t>
      </w:r>
      <w:r>
        <w:rPr>
          <w:color w:val="231F20"/>
          <w:spacing w:val="-21"/>
        </w:rPr>
        <w:t xml:space="preserve"> </w:t>
      </w:r>
      <w:r>
        <w:rPr>
          <w:color w:val="231F20"/>
        </w:rPr>
        <w:t>delivery.</w:t>
      </w:r>
      <w:r>
        <w:rPr>
          <w:color w:val="231F20"/>
          <w:spacing w:val="-21"/>
        </w:rPr>
        <w:t xml:space="preserve"> </w:t>
      </w:r>
      <w:r>
        <w:rPr>
          <w:color w:val="231F20"/>
        </w:rPr>
        <w:t>It</w:t>
      </w:r>
      <w:r>
        <w:rPr>
          <w:color w:val="231F20"/>
          <w:spacing w:val="-22"/>
        </w:rPr>
        <w:t xml:space="preserve"> </w:t>
      </w:r>
      <w:r>
        <w:rPr>
          <w:color w:val="231F20"/>
        </w:rPr>
        <w:t>is</w:t>
      </w:r>
      <w:r>
        <w:rPr>
          <w:color w:val="231F20"/>
          <w:spacing w:val="-22"/>
        </w:rPr>
        <w:t xml:space="preserve"> </w:t>
      </w:r>
      <w:r>
        <w:rPr>
          <w:color w:val="231F20"/>
        </w:rPr>
        <w:t>made</w:t>
      </w:r>
      <w:r>
        <w:rPr>
          <w:color w:val="231F20"/>
          <w:spacing w:val="-22"/>
        </w:rPr>
        <w:t xml:space="preserve"> </w:t>
      </w:r>
      <w:r>
        <w:rPr>
          <w:color w:val="231F20"/>
        </w:rPr>
        <w:t>up</w:t>
      </w:r>
      <w:r>
        <w:rPr>
          <w:color w:val="231F20"/>
          <w:spacing w:val="-22"/>
        </w:rPr>
        <w:t xml:space="preserve"> </w:t>
      </w:r>
      <w:r>
        <w:rPr>
          <w:color w:val="231F20"/>
        </w:rPr>
        <w:t>of multiple</w:t>
      </w:r>
      <w:r>
        <w:rPr>
          <w:color w:val="231F20"/>
          <w:spacing w:val="-16"/>
        </w:rPr>
        <w:t xml:space="preserve"> </w:t>
      </w:r>
      <w:r>
        <w:rPr>
          <w:color w:val="231F20"/>
        </w:rPr>
        <w:t>players;</w:t>
      </w:r>
      <w:r>
        <w:rPr>
          <w:color w:val="231F20"/>
          <w:spacing w:val="-15"/>
        </w:rPr>
        <w:t xml:space="preserve"> </w:t>
      </w:r>
      <w:r>
        <w:rPr>
          <w:color w:val="231F20"/>
        </w:rPr>
        <w:t>those</w:t>
      </w:r>
      <w:r>
        <w:rPr>
          <w:color w:val="231F20"/>
          <w:spacing w:val="-15"/>
        </w:rPr>
        <w:t xml:space="preserve"> </w:t>
      </w:r>
      <w:r>
        <w:rPr>
          <w:color w:val="231F20"/>
        </w:rPr>
        <w:t>for-</w:t>
      </w:r>
      <w:r>
        <w:rPr>
          <w:color w:val="231F20"/>
          <w:spacing w:val="-15"/>
        </w:rPr>
        <w:t xml:space="preserve"> </w:t>
      </w:r>
      <w:r>
        <w:rPr>
          <w:color w:val="231F20"/>
        </w:rPr>
        <w:t>profit</w:t>
      </w:r>
      <w:r>
        <w:rPr>
          <w:color w:val="231F20"/>
          <w:spacing w:val="-15"/>
        </w:rPr>
        <w:t xml:space="preserve"> </w:t>
      </w:r>
      <w:r>
        <w:rPr>
          <w:color w:val="231F20"/>
        </w:rPr>
        <w:t>and</w:t>
      </w:r>
      <w:r>
        <w:rPr>
          <w:color w:val="231F20"/>
          <w:spacing w:val="-15"/>
        </w:rPr>
        <w:t xml:space="preserve"> </w:t>
      </w:r>
      <w:r>
        <w:rPr>
          <w:color w:val="231F20"/>
        </w:rPr>
        <w:t>those</w:t>
      </w:r>
      <w:r>
        <w:rPr>
          <w:color w:val="231F20"/>
          <w:spacing w:val="-15"/>
        </w:rPr>
        <w:t xml:space="preserve"> </w:t>
      </w:r>
      <w:r>
        <w:rPr>
          <w:color w:val="231F20"/>
        </w:rPr>
        <w:t>not</w:t>
      </w:r>
      <w:r>
        <w:rPr>
          <w:color w:val="231F20"/>
          <w:spacing w:val="-15"/>
        </w:rPr>
        <w:t xml:space="preserve"> </w:t>
      </w:r>
      <w:r>
        <w:rPr>
          <w:color w:val="231F20"/>
        </w:rPr>
        <w:t>for-profit,</w:t>
      </w:r>
      <w:r>
        <w:rPr>
          <w:color w:val="231F20"/>
          <w:spacing w:val="-15"/>
        </w:rPr>
        <w:t xml:space="preserve"> </w:t>
      </w:r>
      <w:r>
        <w:rPr>
          <w:color w:val="231F20"/>
        </w:rPr>
        <w:t>across</w:t>
      </w:r>
      <w:r>
        <w:rPr>
          <w:color w:val="231F20"/>
          <w:spacing w:val="-15"/>
        </w:rPr>
        <w:t xml:space="preserve"> </w:t>
      </w:r>
      <w:r>
        <w:rPr>
          <w:color w:val="231F20"/>
        </w:rPr>
        <w:t>the</w:t>
      </w:r>
      <w:r>
        <w:rPr>
          <w:color w:val="231F20"/>
          <w:spacing w:val="-15"/>
        </w:rPr>
        <w:t xml:space="preserve"> </w:t>
      </w:r>
      <w:r>
        <w:rPr>
          <w:color w:val="231F20"/>
        </w:rPr>
        <w:t>State.</w:t>
      </w:r>
      <w:r>
        <w:rPr>
          <w:color w:val="231F20"/>
          <w:spacing w:val="-19"/>
        </w:rPr>
        <w:t xml:space="preserve"> </w:t>
      </w:r>
      <w:r>
        <w:rPr>
          <w:color w:val="231F20"/>
        </w:rPr>
        <w:t>These</w:t>
      </w:r>
      <w:r>
        <w:rPr>
          <w:color w:val="231F20"/>
          <w:spacing w:val="-15"/>
        </w:rPr>
        <w:t xml:space="preserve"> </w:t>
      </w:r>
      <w:r>
        <w:rPr>
          <w:color w:val="231F20"/>
        </w:rPr>
        <w:t>include,</w:t>
      </w:r>
      <w:r>
        <w:rPr>
          <w:color w:val="231F20"/>
          <w:spacing w:val="-15"/>
        </w:rPr>
        <w:t xml:space="preserve"> </w:t>
      </w:r>
      <w:r>
        <w:rPr>
          <w:color w:val="231F20"/>
        </w:rPr>
        <w:t>the</w:t>
      </w:r>
      <w:r>
        <w:rPr>
          <w:color w:val="231F20"/>
          <w:spacing w:val="-15"/>
        </w:rPr>
        <w:t xml:space="preserve"> </w:t>
      </w:r>
      <w:r>
        <w:rPr>
          <w:color w:val="231F20"/>
        </w:rPr>
        <w:t>Non- Governmental</w:t>
      </w:r>
      <w:r>
        <w:rPr>
          <w:color w:val="231F20"/>
          <w:spacing w:val="-8"/>
        </w:rPr>
        <w:t xml:space="preserve"> </w:t>
      </w:r>
      <w:r>
        <w:rPr>
          <w:color w:val="231F20"/>
        </w:rPr>
        <w:t>Organizations</w:t>
      </w:r>
      <w:r>
        <w:rPr>
          <w:color w:val="231F20"/>
          <w:spacing w:val="-7"/>
        </w:rPr>
        <w:t xml:space="preserve"> </w:t>
      </w:r>
      <w:r>
        <w:rPr>
          <w:color w:val="231F20"/>
        </w:rPr>
        <w:t>(NGOs),</w:t>
      </w:r>
      <w:r>
        <w:rPr>
          <w:color w:val="231F20"/>
          <w:spacing w:val="-7"/>
        </w:rPr>
        <w:t xml:space="preserve"> </w:t>
      </w:r>
      <w:r>
        <w:rPr>
          <w:color w:val="231F20"/>
        </w:rPr>
        <w:t>Community</w:t>
      </w:r>
      <w:r>
        <w:rPr>
          <w:color w:val="231F20"/>
          <w:spacing w:val="-7"/>
        </w:rPr>
        <w:t xml:space="preserve"> </w:t>
      </w:r>
      <w:r>
        <w:rPr>
          <w:color w:val="231F20"/>
        </w:rPr>
        <w:t>Based</w:t>
      </w:r>
      <w:r>
        <w:rPr>
          <w:color w:val="231F20"/>
          <w:spacing w:val="-7"/>
        </w:rPr>
        <w:t xml:space="preserve"> </w:t>
      </w:r>
      <w:r>
        <w:rPr>
          <w:color w:val="231F20"/>
        </w:rPr>
        <w:t>Organizations</w:t>
      </w:r>
      <w:r>
        <w:rPr>
          <w:color w:val="231F20"/>
          <w:spacing w:val="-7"/>
        </w:rPr>
        <w:t xml:space="preserve"> </w:t>
      </w:r>
      <w:r>
        <w:rPr>
          <w:color w:val="231F20"/>
        </w:rPr>
        <w:t>(CBOs)</w:t>
      </w:r>
      <w:r>
        <w:rPr>
          <w:color w:val="231F20"/>
          <w:spacing w:val="-7"/>
        </w:rPr>
        <w:t xml:space="preserve"> </w:t>
      </w:r>
      <w:r>
        <w:rPr>
          <w:color w:val="231F20"/>
        </w:rPr>
        <w:t>and</w:t>
      </w:r>
      <w:r>
        <w:rPr>
          <w:color w:val="231F20"/>
          <w:spacing w:val="-7"/>
        </w:rPr>
        <w:t xml:space="preserve"> </w:t>
      </w:r>
      <w:r>
        <w:rPr>
          <w:color w:val="231F20"/>
        </w:rPr>
        <w:t>Faith</w:t>
      </w:r>
      <w:r>
        <w:rPr>
          <w:color w:val="231F20"/>
          <w:spacing w:val="-8"/>
        </w:rPr>
        <w:t xml:space="preserve"> </w:t>
      </w:r>
      <w:r>
        <w:rPr>
          <w:color w:val="231F20"/>
        </w:rPr>
        <w:t>Based Organizations (FBOs). Others are the informal sector such as the Patent Medicine Vendors, Pharmacies</w:t>
      </w:r>
      <w:r>
        <w:rPr>
          <w:color w:val="231F20"/>
          <w:spacing w:val="-15"/>
        </w:rPr>
        <w:t xml:space="preserve"> </w:t>
      </w:r>
      <w:r>
        <w:rPr>
          <w:color w:val="231F20"/>
        </w:rPr>
        <w:t>and</w:t>
      </w:r>
      <w:r>
        <w:rPr>
          <w:color w:val="231F20"/>
          <w:spacing w:val="-19"/>
        </w:rPr>
        <w:t xml:space="preserve"> </w:t>
      </w:r>
      <w:r>
        <w:rPr>
          <w:color w:val="231F20"/>
        </w:rPr>
        <w:t>Traditional</w:t>
      </w:r>
      <w:r>
        <w:rPr>
          <w:color w:val="231F20"/>
          <w:spacing w:val="-14"/>
        </w:rPr>
        <w:t xml:space="preserve"> </w:t>
      </w:r>
      <w:r>
        <w:rPr>
          <w:color w:val="231F20"/>
        </w:rPr>
        <w:t>health</w:t>
      </w:r>
      <w:r>
        <w:rPr>
          <w:color w:val="231F20"/>
          <w:spacing w:val="-15"/>
        </w:rPr>
        <w:t xml:space="preserve"> </w:t>
      </w:r>
      <w:r>
        <w:rPr>
          <w:color w:val="231F20"/>
        </w:rPr>
        <w:t>care</w:t>
      </w:r>
      <w:r>
        <w:rPr>
          <w:color w:val="231F20"/>
          <w:spacing w:val="-15"/>
        </w:rPr>
        <w:t xml:space="preserve"> </w:t>
      </w:r>
      <w:r>
        <w:rPr>
          <w:color w:val="231F20"/>
        </w:rPr>
        <w:t>practitioners</w:t>
      </w:r>
      <w:r>
        <w:rPr>
          <w:color w:val="231F20"/>
          <w:spacing w:val="-14"/>
        </w:rPr>
        <w:t xml:space="preserve"> </w:t>
      </w:r>
      <w:r>
        <w:rPr>
          <w:color w:val="231F20"/>
        </w:rPr>
        <w:t>and</w:t>
      </w:r>
      <w:r>
        <w:rPr>
          <w:color w:val="231F20"/>
          <w:spacing w:val="-15"/>
        </w:rPr>
        <w:t xml:space="preserve"> </w:t>
      </w:r>
      <w:r>
        <w:rPr>
          <w:color w:val="231F20"/>
        </w:rPr>
        <w:t>all</w:t>
      </w:r>
      <w:r>
        <w:rPr>
          <w:color w:val="231F20"/>
          <w:spacing w:val="-15"/>
        </w:rPr>
        <w:t xml:space="preserve"> </w:t>
      </w:r>
      <w:r>
        <w:rPr>
          <w:color w:val="231F20"/>
        </w:rPr>
        <w:t>contribute</w:t>
      </w:r>
      <w:r>
        <w:rPr>
          <w:color w:val="231F20"/>
          <w:spacing w:val="-14"/>
        </w:rPr>
        <w:t xml:space="preserve"> </w:t>
      </w:r>
      <w:r>
        <w:rPr>
          <w:color w:val="231F20"/>
        </w:rPr>
        <w:t>to</w:t>
      </w:r>
      <w:r>
        <w:rPr>
          <w:color w:val="231F20"/>
          <w:spacing w:val="-15"/>
        </w:rPr>
        <w:t xml:space="preserve"> </w:t>
      </w:r>
      <w:r>
        <w:rPr>
          <w:color w:val="231F20"/>
        </w:rPr>
        <w:t>Private</w:t>
      </w:r>
      <w:r>
        <w:rPr>
          <w:color w:val="231F20"/>
          <w:spacing w:val="-15"/>
        </w:rPr>
        <w:t xml:space="preserve"> </w:t>
      </w:r>
      <w:r>
        <w:rPr>
          <w:color w:val="231F20"/>
        </w:rPr>
        <w:t>health</w:t>
      </w:r>
      <w:r>
        <w:rPr>
          <w:color w:val="231F20"/>
          <w:spacing w:val="-14"/>
        </w:rPr>
        <w:t xml:space="preserve"> </w:t>
      </w:r>
      <w:r>
        <w:rPr>
          <w:color w:val="231F20"/>
        </w:rPr>
        <w:t>care</w:t>
      </w:r>
      <w:r>
        <w:rPr>
          <w:color w:val="231F20"/>
          <w:spacing w:val="-15"/>
        </w:rPr>
        <w:t xml:space="preserve"> </w:t>
      </w:r>
      <w:r>
        <w:rPr>
          <w:color w:val="231F20"/>
        </w:rPr>
        <w:t>in</w:t>
      </w:r>
      <w:r>
        <w:rPr>
          <w:color w:val="231F20"/>
          <w:spacing w:val="-15"/>
        </w:rPr>
        <w:t xml:space="preserve"> </w:t>
      </w:r>
      <w:r>
        <w:rPr>
          <w:color w:val="231F20"/>
          <w:spacing w:val="-4"/>
        </w:rPr>
        <w:t xml:space="preserve">the </w:t>
      </w:r>
      <w:r>
        <w:rPr>
          <w:color w:val="231F20"/>
        </w:rPr>
        <w:t>State.</w:t>
      </w:r>
    </w:p>
    <w:p w14:paraId="5F800629" w14:textId="77777777" w:rsidR="009948F1" w:rsidRDefault="009948F1">
      <w:pPr>
        <w:spacing w:line="261" w:lineRule="auto"/>
        <w:jc w:val="both"/>
        <w:sectPr w:rsidR="009948F1">
          <w:pgSz w:w="11910" w:h="16840"/>
          <w:pgMar w:top="1580" w:right="1080" w:bottom="1420" w:left="1120" w:header="0" w:footer="1235" w:gutter="0"/>
          <w:cols w:space="720"/>
        </w:sectPr>
      </w:pPr>
    </w:p>
    <w:p w14:paraId="4D794097" w14:textId="77777777" w:rsidR="009948F1" w:rsidRDefault="00BC0563">
      <w:pPr>
        <w:pStyle w:val="BodyText"/>
        <w:spacing w:before="52" w:line="249" w:lineRule="auto"/>
        <w:ind w:left="153" w:right="179"/>
        <w:jc w:val="both"/>
      </w:pPr>
      <w:bookmarkStart w:id="33" w:name="Page_24"/>
      <w:bookmarkEnd w:id="33"/>
      <w:r>
        <w:rPr>
          <w:color w:val="231F20"/>
        </w:rPr>
        <w:lastRenderedPageBreak/>
        <w:t xml:space="preserve">There are two parastatals of the Rivers State Ministry of Health; the Rivers State </w:t>
      </w:r>
      <w:r>
        <w:rPr>
          <w:color w:val="231F20"/>
          <w:spacing w:val="-3"/>
        </w:rPr>
        <w:t xml:space="preserve">Hospital </w:t>
      </w:r>
      <w:r>
        <w:rPr>
          <w:color w:val="231F20"/>
        </w:rPr>
        <w:t xml:space="preserve">Management Board (RSHMB) that oversees the secondary health care system and the Rivers State Primary Care Management Board (RSPHCMB) which manages and control the </w:t>
      </w:r>
      <w:r>
        <w:rPr>
          <w:color w:val="231F20"/>
          <w:spacing w:val="-3"/>
        </w:rPr>
        <w:t>human</w:t>
      </w:r>
      <w:r>
        <w:rPr>
          <w:color w:val="231F20"/>
          <w:spacing w:val="55"/>
        </w:rPr>
        <w:t xml:space="preserve"> </w:t>
      </w:r>
      <w:r>
        <w:rPr>
          <w:color w:val="231F20"/>
        </w:rPr>
        <w:t>resources,</w:t>
      </w:r>
      <w:r>
        <w:rPr>
          <w:color w:val="231F20"/>
          <w:spacing w:val="-18"/>
        </w:rPr>
        <w:t xml:space="preserve"> </w:t>
      </w:r>
      <w:r>
        <w:rPr>
          <w:color w:val="231F20"/>
        </w:rPr>
        <w:t>finance</w:t>
      </w:r>
      <w:r>
        <w:rPr>
          <w:color w:val="231F20"/>
          <w:spacing w:val="-18"/>
        </w:rPr>
        <w:t xml:space="preserve"> </w:t>
      </w:r>
      <w:r>
        <w:rPr>
          <w:color w:val="231F20"/>
        </w:rPr>
        <w:t>and</w:t>
      </w:r>
      <w:r>
        <w:rPr>
          <w:color w:val="231F20"/>
          <w:spacing w:val="-18"/>
        </w:rPr>
        <w:t xml:space="preserve"> </w:t>
      </w:r>
      <w:r>
        <w:rPr>
          <w:color w:val="231F20"/>
        </w:rPr>
        <w:t>infrastructures</w:t>
      </w:r>
      <w:r>
        <w:rPr>
          <w:color w:val="231F20"/>
          <w:spacing w:val="-18"/>
        </w:rPr>
        <w:t xml:space="preserve"> </w:t>
      </w:r>
      <w:r>
        <w:rPr>
          <w:color w:val="231F20"/>
        </w:rPr>
        <w:t>in</w:t>
      </w:r>
      <w:r>
        <w:rPr>
          <w:color w:val="231F20"/>
          <w:spacing w:val="-18"/>
        </w:rPr>
        <w:t xml:space="preserve"> </w:t>
      </w:r>
      <w:r>
        <w:rPr>
          <w:color w:val="231F20"/>
        </w:rPr>
        <w:t>line</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National</w:t>
      </w:r>
      <w:r>
        <w:rPr>
          <w:color w:val="231F20"/>
          <w:spacing w:val="-18"/>
        </w:rPr>
        <w:t xml:space="preserve"> </w:t>
      </w:r>
      <w:r>
        <w:rPr>
          <w:color w:val="231F20"/>
        </w:rPr>
        <w:t>Strategy</w:t>
      </w:r>
      <w:r>
        <w:rPr>
          <w:color w:val="231F20"/>
          <w:spacing w:val="-18"/>
        </w:rPr>
        <w:t xml:space="preserve"> </w:t>
      </w:r>
      <w:r>
        <w:rPr>
          <w:color w:val="231F20"/>
        </w:rPr>
        <w:t>of</w:t>
      </w:r>
      <w:r>
        <w:rPr>
          <w:color w:val="231F20"/>
          <w:spacing w:val="-18"/>
        </w:rPr>
        <w:t xml:space="preserve"> </w:t>
      </w:r>
      <w:r>
        <w:rPr>
          <w:color w:val="231F20"/>
        </w:rPr>
        <w:t>'Bringing</w:t>
      </w:r>
      <w:r>
        <w:rPr>
          <w:color w:val="231F20"/>
          <w:spacing w:val="-18"/>
        </w:rPr>
        <w:t xml:space="preserve"> </w:t>
      </w:r>
      <w:r>
        <w:rPr>
          <w:color w:val="231F20"/>
        </w:rPr>
        <w:t>PHC</w:t>
      </w:r>
      <w:r>
        <w:rPr>
          <w:color w:val="231F20"/>
          <w:spacing w:val="-18"/>
        </w:rPr>
        <w:t xml:space="preserve"> </w:t>
      </w:r>
      <w:r>
        <w:rPr>
          <w:color w:val="231F20"/>
        </w:rPr>
        <w:t>under</w:t>
      </w:r>
      <w:r>
        <w:rPr>
          <w:color w:val="231F20"/>
          <w:spacing w:val="-18"/>
        </w:rPr>
        <w:t xml:space="preserve"> </w:t>
      </w:r>
      <w:r>
        <w:rPr>
          <w:color w:val="231F20"/>
          <w:spacing w:val="-4"/>
        </w:rPr>
        <w:t xml:space="preserve">one </w:t>
      </w:r>
      <w:r>
        <w:rPr>
          <w:color w:val="231F20"/>
        </w:rPr>
        <w:t>Roof'</w:t>
      </w:r>
      <w:r>
        <w:rPr>
          <w:color w:val="231F20"/>
          <w:spacing w:val="-13"/>
        </w:rPr>
        <w:t xml:space="preserve"> </w:t>
      </w:r>
      <w:r>
        <w:rPr>
          <w:color w:val="231F20"/>
        </w:rPr>
        <w:t>(PHCUOR)</w:t>
      </w:r>
      <w:r>
        <w:rPr>
          <w:color w:val="231F20"/>
          <w:spacing w:val="-13"/>
        </w:rPr>
        <w:t xml:space="preserve"> </w:t>
      </w:r>
      <w:r>
        <w:rPr>
          <w:color w:val="231F20"/>
        </w:rPr>
        <w:t>project.</w:t>
      </w:r>
      <w:r>
        <w:rPr>
          <w:color w:val="231F20"/>
          <w:spacing w:val="-16"/>
        </w:rPr>
        <w:t xml:space="preserve"> </w:t>
      </w:r>
      <w:r>
        <w:rPr>
          <w:color w:val="231F20"/>
        </w:rPr>
        <w:t>The</w:t>
      </w:r>
      <w:r>
        <w:rPr>
          <w:color w:val="231F20"/>
          <w:spacing w:val="-13"/>
        </w:rPr>
        <w:t xml:space="preserve"> </w:t>
      </w:r>
      <w:r>
        <w:rPr>
          <w:color w:val="231F20"/>
        </w:rPr>
        <w:t>RSPHCMB</w:t>
      </w:r>
      <w:r>
        <w:rPr>
          <w:color w:val="231F20"/>
          <w:spacing w:val="-12"/>
        </w:rPr>
        <w:t xml:space="preserve"> </w:t>
      </w:r>
      <w:r>
        <w:rPr>
          <w:color w:val="231F20"/>
        </w:rPr>
        <w:t>was</w:t>
      </w:r>
      <w:r>
        <w:rPr>
          <w:color w:val="231F20"/>
          <w:spacing w:val="-13"/>
        </w:rPr>
        <w:t xml:space="preserve"> </w:t>
      </w:r>
      <w:r>
        <w:rPr>
          <w:color w:val="231F20"/>
        </w:rPr>
        <w:t>established</w:t>
      </w:r>
      <w:r>
        <w:rPr>
          <w:color w:val="231F20"/>
          <w:spacing w:val="-12"/>
        </w:rPr>
        <w:t xml:space="preserve"> </w:t>
      </w:r>
      <w:r>
        <w:rPr>
          <w:color w:val="231F20"/>
        </w:rPr>
        <w:t>in</w:t>
      </w:r>
      <w:r>
        <w:rPr>
          <w:color w:val="231F20"/>
          <w:spacing w:val="-12"/>
        </w:rPr>
        <w:t xml:space="preserve"> </w:t>
      </w:r>
      <w:r>
        <w:rPr>
          <w:color w:val="231F20"/>
          <w:spacing w:val="-5"/>
        </w:rPr>
        <w:t>2011</w:t>
      </w:r>
      <w:r>
        <w:rPr>
          <w:color w:val="231F20"/>
          <w:spacing w:val="-13"/>
        </w:rPr>
        <w:t xml:space="preserve"> </w:t>
      </w:r>
      <w:r>
        <w:rPr>
          <w:color w:val="231F20"/>
        </w:rPr>
        <w:t>in</w:t>
      </w:r>
      <w:r>
        <w:rPr>
          <w:color w:val="231F20"/>
          <w:spacing w:val="-12"/>
        </w:rPr>
        <w:t xml:space="preserve"> </w:t>
      </w:r>
      <w:r>
        <w:rPr>
          <w:color w:val="231F20"/>
        </w:rPr>
        <w:t>line</w:t>
      </w:r>
      <w:r>
        <w:rPr>
          <w:color w:val="231F20"/>
          <w:spacing w:val="-13"/>
        </w:rPr>
        <w:t xml:space="preserve"> </w:t>
      </w:r>
      <w:r>
        <w:rPr>
          <w:color w:val="231F20"/>
        </w:rPr>
        <w:t>with</w:t>
      </w:r>
      <w:r>
        <w:rPr>
          <w:color w:val="231F20"/>
          <w:spacing w:val="-13"/>
        </w:rPr>
        <w:t xml:space="preserve"> </w:t>
      </w:r>
      <w:r>
        <w:rPr>
          <w:color w:val="231F20"/>
        </w:rPr>
        <w:t>the</w:t>
      </w:r>
      <w:r>
        <w:rPr>
          <w:color w:val="231F20"/>
          <w:spacing w:val="-12"/>
        </w:rPr>
        <w:t xml:space="preserve"> </w:t>
      </w:r>
      <w:r>
        <w:rPr>
          <w:color w:val="231F20"/>
        </w:rPr>
        <w:t>NPHCDA</w:t>
      </w:r>
      <w:r>
        <w:rPr>
          <w:color w:val="231F20"/>
          <w:spacing w:val="-25"/>
        </w:rPr>
        <w:t xml:space="preserve"> </w:t>
      </w:r>
      <w:r>
        <w:rPr>
          <w:color w:val="231F20"/>
          <w:spacing w:val="-3"/>
        </w:rPr>
        <w:t xml:space="preserve">policy. </w:t>
      </w:r>
      <w:r>
        <w:rPr>
          <w:color w:val="231F20"/>
        </w:rPr>
        <w:t xml:space="preserve">The Rivers State Agency for Control of AIDS (RIVSACA) oversees the implementation of </w:t>
      </w:r>
      <w:r>
        <w:rPr>
          <w:color w:val="231F20"/>
          <w:spacing w:val="-4"/>
        </w:rPr>
        <w:t xml:space="preserve">non- </w:t>
      </w:r>
      <w:r>
        <w:rPr>
          <w:color w:val="231F20"/>
        </w:rPr>
        <w:t>health</w:t>
      </w:r>
      <w:r>
        <w:rPr>
          <w:color w:val="231F20"/>
          <w:spacing w:val="-19"/>
        </w:rPr>
        <w:t xml:space="preserve"> </w:t>
      </w:r>
      <w:r>
        <w:rPr>
          <w:color w:val="231F20"/>
        </w:rPr>
        <w:t>sector</w:t>
      </w:r>
      <w:r>
        <w:rPr>
          <w:color w:val="231F20"/>
          <w:spacing w:val="-19"/>
        </w:rPr>
        <w:t xml:space="preserve"> </w:t>
      </w:r>
      <w:r>
        <w:rPr>
          <w:color w:val="231F20"/>
        </w:rPr>
        <w:t>interventions</w:t>
      </w:r>
      <w:r>
        <w:rPr>
          <w:color w:val="231F20"/>
          <w:spacing w:val="-19"/>
        </w:rPr>
        <w:t xml:space="preserve"> </w:t>
      </w:r>
      <w:r>
        <w:rPr>
          <w:color w:val="231F20"/>
        </w:rPr>
        <w:t>for</w:t>
      </w:r>
      <w:r>
        <w:rPr>
          <w:color w:val="231F20"/>
          <w:spacing w:val="-19"/>
        </w:rPr>
        <w:t xml:space="preserve"> </w:t>
      </w:r>
      <w:r>
        <w:rPr>
          <w:color w:val="231F20"/>
        </w:rPr>
        <w:t>HIV/AIDS</w:t>
      </w:r>
      <w:r>
        <w:rPr>
          <w:color w:val="231F20"/>
          <w:spacing w:val="-19"/>
        </w:rPr>
        <w:t xml:space="preserve"> </w:t>
      </w:r>
      <w:r>
        <w:rPr>
          <w:color w:val="231F20"/>
        </w:rPr>
        <w:t>control,</w:t>
      </w:r>
      <w:r>
        <w:rPr>
          <w:color w:val="231F20"/>
          <w:spacing w:val="-19"/>
        </w:rPr>
        <w:t xml:space="preserve"> </w:t>
      </w:r>
      <w:r>
        <w:rPr>
          <w:color w:val="231F20"/>
        </w:rPr>
        <w:t>while</w:t>
      </w:r>
      <w:r>
        <w:rPr>
          <w:color w:val="231F20"/>
          <w:spacing w:val="-19"/>
        </w:rPr>
        <w:t xml:space="preserve"> </w:t>
      </w:r>
      <w:r>
        <w:rPr>
          <w:color w:val="231F20"/>
        </w:rPr>
        <w:t>the</w:t>
      </w:r>
      <w:r>
        <w:rPr>
          <w:color w:val="231F20"/>
          <w:spacing w:val="-19"/>
        </w:rPr>
        <w:t xml:space="preserve"> </w:t>
      </w:r>
      <w:r>
        <w:rPr>
          <w:color w:val="231F20"/>
        </w:rPr>
        <w:t>health</w:t>
      </w:r>
      <w:r>
        <w:rPr>
          <w:color w:val="231F20"/>
          <w:spacing w:val="-19"/>
        </w:rPr>
        <w:t xml:space="preserve"> </w:t>
      </w:r>
      <w:r>
        <w:rPr>
          <w:color w:val="231F20"/>
        </w:rPr>
        <w:t>sector</w:t>
      </w:r>
      <w:r>
        <w:rPr>
          <w:color w:val="231F20"/>
          <w:spacing w:val="-19"/>
        </w:rPr>
        <w:t xml:space="preserve"> </w:t>
      </w:r>
      <w:r>
        <w:rPr>
          <w:color w:val="231F20"/>
        </w:rPr>
        <w:t>response</w:t>
      </w:r>
      <w:r>
        <w:rPr>
          <w:color w:val="231F20"/>
          <w:spacing w:val="-19"/>
        </w:rPr>
        <w:t xml:space="preserve"> </w:t>
      </w:r>
      <w:r>
        <w:rPr>
          <w:color w:val="231F20"/>
        </w:rPr>
        <w:t>is</w:t>
      </w:r>
      <w:r>
        <w:rPr>
          <w:color w:val="231F20"/>
          <w:spacing w:val="-19"/>
        </w:rPr>
        <w:t xml:space="preserve"> </w:t>
      </w:r>
      <w:r>
        <w:rPr>
          <w:color w:val="231F20"/>
        </w:rPr>
        <w:t>coordinated</w:t>
      </w:r>
      <w:r>
        <w:rPr>
          <w:color w:val="231F20"/>
          <w:spacing w:val="-19"/>
        </w:rPr>
        <w:t xml:space="preserve"> </w:t>
      </w:r>
      <w:r>
        <w:rPr>
          <w:color w:val="231F20"/>
          <w:spacing w:val="-6"/>
        </w:rPr>
        <w:t xml:space="preserve">by </w:t>
      </w:r>
      <w:r>
        <w:rPr>
          <w:color w:val="231F20"/>
        </w:rPr>
        <w:t xml:space="preserve">the State AIDS and STI Control Program (SASCP). The Rivers State HIV/AIDS </w:t>
      </w:r>
      <w:proofErr w:type="spellStart"/>
      <w:r>
        <w:rPr>
          <w:color w:val="231F20"/>
        </w:rPr>
        <w:t>Programme</w:t>
      </w:r>
      <w:proofErr w:type="spellEnd"/>
      <w:r>
        <w:rPr>
          <w:color w:val="231F20"/>
        </w:rPr>
        <w:t xml:space="preserve"> </w:t>
      </w:r>
      <w:r>
        <w:rPr>
          <w:color w:val="231F20"/>
          <w:spacing w:val="-4"/>
        </w:rPr>
        <w:t xml:space="preserve">was </w:t>
      </w:r>
      <w:r>
        <w:rPr>
          <w:color w:val="231F20"/>
        </w:rPr>
        <w:t xml:space="preserve">established in 1988 as a State arm of the National AIDS/STDs Control </w:t>
      </w:r>
      <w:proofErr w:type="spellStart"/>
      <w:r>
        <w:rPr>
          <w:color w:val="231F20"/>
        </w:rPr>
        <w:t>Programme</w:t>
      </w:r>
      <w:proofErr w:type="spellEnd"/>
      <w:r>
        <w:rPr>
          <w:color w:val="231F20"/>
        </w:rPr>
        <w:t xml:space="preserve"> (NASCP) </w:t>
      </w:r>
      <w:r>
        <w:rPr>
          <w:color w:val="231F20"/>
          <w:spacing w:val="-6"/>
        </w:rPr>
        <w:t xml:space="preserve">in </w:t>
      </w:r>
      <w:r>
        <w:rPr>
          <w:color w:val="231F20"/>
        </w:rPr>
        <w:t>response</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HIV/AIDS</w:t>
      </w:r>
      <w:r>
        <w:rPr>
          <w:color w:val="231F20"/>
          <w:spacing w:val="-25"/>
        </w:rPr>
        <w:t xml:space="preserve"> </w:t>
      </w:r>
      <w:r>
        <w:rPr>
          <w:color w:val="231F20"/>
        </w:rPr>
        <w:t>pandemic.</w:t>
      </w:r>
    </w:p>
    <w:p w14:paraId="3FAFB7B3" w14:textId="77777777" w:rsidR="009948F1" w:rsidRDefault="009948F1">
      <w:pPr>
        <w:pStyle w:val="BodyText"/>
        <w:spacing w:before="2"/>
        <w:rPr>
          <w:sz w:val="27"/>
        </w:rPr>
      </w:pPr>
    </w:p>
    <w:p w14:paraId="53271582" w14:textId="77777777" w:rsidR="009948F1" w:rsidRDefault="00BC0563">
      <w:pPr>
        <w:pStyle w:val="BodyText"/>
        <w:spacing w:before="1" w:line="271" w:lineRule="auto"/>
        <w:ind w:left="153" w:right="178"/>
        <w:jc w:val="both"/>
      </w:pPr>
      <w:r>
        <w:rPr>
          <w:color w:val="231F20"/>
        </w:rPr>
        <w:t xml:space="preserve">Key Stakeholders in Health Sector comprises of the Ministry of Health under the </w:t>
      </w:r>
      <w:proofErr w:type="spellStart"/>
      <w:r>
        <w:rPr>
          <w:color w:val="231F20"/>
        </w:rPr>
        <w:t>Honourable</w:t>
      </w:r>
      <w:proofErr w:type="spellEnd"/>
      <w:r>
        <w:rPr>
          <w:color w:val="231F20"/>
        </w:rPr>
        <w:t xml:space="preserve"> Commissioner for Health as the Chief Executive </w:t>
      </w:r>
      <w:r>
        <w:rPr>
          <w:color w:val="231F20"/>
          <w:spacing w:val="-3"/>
        </w:rPr>
        <w:t xml:space="preserve">Officer, </w:t>
      </w:r>
      <w:r>
        <w:rPr>
          <w:color w:val="231F20"/>
        </w:rPr>
        <w:t>while the Permanent Secretary is the accounting</w:t>
      </w:r>
      <w:r>
        <w:rPr>
          <w:color w:val="231F20"/>
          <w:spacing w:val="-18"/>
        </w:rPr>
        <w:t xml:space="preserve"> </w:t>
      </w:r>
      <w:r>
        <w:rPr>
          <w:color w:val="231F20"/>
          <w:spacing w:val="-3"/>
        </w:rPr>
        <w:t>Officer.</w:t>
      </w:r>
      <w:r>
        <w:rPr>
          <w:color w:val="231F20"/>
          <w:spacing w:val="-17"/>
        </w:rPr>
        <w:t xml:space="preserve"> </w:t>
      </w:r>
      <w:r>
        <w:rPr>
          <w:color w:val="231F20"/>
        </w:rPr>
        <w:t>Other</w:t>
      </w:r>
      <w:r>
        <w:rPr>
          <w:color w:val="231F20"/>
          <w:spacing w:val="-18"/>
        </w:rPr>
        <w:t xml:space="preserve"> </w:t>
      </w:r>
      <w:r>
        <w:rPr>
          <w:color w:val="231F20"/>
        </w:rPr>
        <w:t>stakeholders</w:t>
      </w:r>
      <w:r>
        <w:rPr>
          <w:color w:val="231F20"/>
          <w:spacing w:val="-17"/>
        </w:rPr>
        <w:t xml:space="preserve"> </w:t>
      </w:r>
      <w:r>
        <w:rPr>
          <w:color w:val="231F20"/>
        </w:rPr>
        <w:t>include</w:t>
      </w:r>
      <w:r>
        <w:rPr>
          <w:color w:val="231F20"/>
          <w:spacing w:val="-18"/>
        </w:rPr>
        <w:t xml:space="preserve"> </w:t>
      </w:r>
      <w:r>
        <w:rPr>
          <w:color w:val="231F20"/>
        </w:rPr>
        <w:t>the</w:t>
      </w:r>
      <w:r>
        <w:rPr>
          <w:color w:val="231F20"/>
          <w:spacing w:val="-17"/>
        </w:rPr>
        <w:t xml:space="preserve"> </w:t>
      </w:r>
      <w:r>
        <w:rPr>
          <w:color w:val="231F20"/>
        </w:rPr>
        <w:t>Permanent/</w:t>
      </w:r>
      <w:r>
        <w:rPr>
          <w:color w:val="231F20"/>
          <w:spacing w:val="-18"/>
        </w:rPr>
        <w:t xml:space="preserve"> </w:t>
      </w:r>
      <w:r>
        <w:rPr>
          <w:color w:val="231F20"/>
        </w:rPr>
        <w:t>Executive</w:t>
      </w:r>
      <w:r>
        <w:rPr>
          <w:color w:val="231F20"/>
          <w:spacing w:val="-17"/>
        </w:rPr>
        <w:t xml:space="preserve"> </w:t>
      </w:r>
      <w:r>
        <w:rPr>
          <w:color w:val="231F20"/>
        </w:rPr>
        <w:t>Secretary</w:t>
      </w:r>
      <w:r>
        <w:rPr>
          <w:color w:val="231F20"/>
          <w:spacing w:val="-18"/>
        </w:rPr>
        <w:t xml:space="preserve"> </w:t>
      </w:r>
      <w:r>
        <w:rPr>
          <w:color w:val="231F20"/>
        </w:rPr>
        <w:t>of</w:t>
      </w:r>
      <w:r>
        <w:rPr>
          <w:color w:val="231F20"/>
          <w:spacing w:val="-17"/>
        </w:rPr>
        <w:t xml:space="preserve"> </w:t>
      </w:r>
      <w:r>
        <w:rPr>
          <w:color w:val="231F20"/>
        </w:rPr>
        <w:t>RSPHCMB, Chief Medical Director RSHMB, head of agencies and medical institutions and their key officers. The</w:t>
      </w:r>
      <w:r>
        <w:rPr>
          <w:color w:val="231F20"/>
          <w:spacing w:val="-7"/>
        </w:rPr>
        <w:t xml:space="preserve"> </w:t>
      </w:r>
      <w:r>
        <w:rPr>
          <w:color w:val="231F20"/>
        </w:rPr>
        <w:t>State</w:t>
      </w:r>
      <w:r>
        <w:rPr>
          <w:color w:val="231F20"/>
          <w:spacing w:val="-7"/>
        </w:rPr>
        <w:t xml:space="preserve"> </w:t>
      </w:r>
      <w:r>
        <w:rPr>
          <w:color w:val="231F20"/>
        </w:rPr>
        <w:t>health</w:t>
      </w:r>
      <w:r>
        <w:rPr>
          <w:color w:val="231F20"/>
          <w:spacing w:val="-7"/>
        </w:rPr>
        <w:t xml:space="preserve"> </w:t>
      </w:r>
      <w:r>
        <w:rPr>
          <w:color w:val="231F20"/>
        </w:rPr>
        <w:t>related</w:t>
      </w:r>
      <w:r>
        <w:rPr>
          <w:color w:val="231F20"/>
          <w:spacing w:val="-6"/>
        </w:rPr>
        <w:t xml:space="preserve"> </w:t>
      </w:r>
      <w:r>
        <w:rPr>
          <w:color w:val="231F20"/>
        </w:rPr>
        <w:t>MDA</w:t>
      </w:r>
      <w:r>
        <w:rPr>
          <w:color w:val="231F20"/>
          <w:spacing w:val="-19"/>
        </w:rPr>
        <w:t xml:space="preserve"> </w:t>
      </w:r>
      <w:r>
        <w:rPr>
          <w:color w:val="231F20"/>
        </w:rPr>
        <w:t>through</w:t>
      </w:r>
      <w:r>
        <w:rPr>
          <w:color w:val="231F20"/>
          <w:spacing w:val="-6"/>
        </w:rPr>
        <w:t xml:space="preserve"> </w:t>
      </w:r>
      <w:r>
        <w:rPr>
          <w:color w:val="231F20"/>
        </w:rPr>
        <w:t>specific</w:t>
      </w:r>
      <w:r>
        <w:rPr>
          <w:color w:val="231F20"/>
          <w:spacing w:val="-7"/>
        </w:rPr>
        <w:t xml:space="preserve"> </w:t>
      </w:r>
      <w:r>
        <w:rPr>
          <w:color w:val="231F20"/>
        </w:rPr>
        <w:t>activities</w:t>
      </w:r>
      <w:r>
        <w:rPr>
          <w:color w:val="231F20"/>
          <w:spacing w:val="-7"/>
        </w:rPr>
        <w:t xml:space="preserve"> </w:t>
      </w:r>
      <w:r>
        <w:rPr>
          <w:color w:val="231F20"/>
        </w:rPr>
        <w:t>collaborate</w:t>
      </w:r>
      <w:r>
        <w:rPr>
          <w:color w:val="231F20"/>
          <w:spacing w:val="-6"/>
        </w:rPr>
        <w:t xml:space="preserve"> </w:t>
      </w:r>
      <w:r>
        <w:rPr>
          <w:color w:val="231F20"/>
        </w:rPr>
        <w:t>effectively</w:t>
      </w:r>
      <w:r>
        <w:rPr>
          <w:color w:val="231F20"/>
          <w:spacing w:val="-7"/>
        </w:rPr>
        <w:t xml:space="preserve"> </w:t>
      </w:r>
      <w:r>
        <w:rPr>
          <w:color w:val="231F20"/>
        </w:rPr>
        <w:t>with</w:t>
      </w:r>
      <w:r>
        <w:rPr>
          <w:color w:val="231F20"/>
          <w:spacing w:val="-7"/>
        </w:rPr>
        <w:t xml:space="preserve"> </w:t>
      </w:r>
      <w:r>
        <w:rPr>
          <w:color w:val="231F20"/>
        </w:rPr>
        <w:t xml:space="preserve">health-related Federal institutions like the University of Port Harcourt </w:t>
      </w:r>
      <w:r>
        <w:rPr>
          <w:color w:val="231F20"/>
          <w:spacing w:val="-4"/>
        </w:rPr>
        <w:t xml:space="preserve">Teaching </w:t>
      </w:r>
      <w:r>
        <w:rPr>
          <w:color w:val="231F20"/>
        </w:rPr>
        <w:t xml:space="preserve">Hospital (UPTH), FMOH </w:t>
      </w:r>
      <w:r>
        <w:rPr>
          <w:color w:val="231F20"/>
          <w:spacing w:val="-4"/>
        </w:rPr>
        <w:t xml:space="preserve">and </w:t>
      </w:r>
      <w:r>
        <w:rPr>
          <w:color w:val="231F20"/>
        </w:rPr>
        <w:t>National Agency for Food and Drug Administration and Control (NAFDAC), State Assembly,</w:t>
      </w:r>
      <w:r>
        <w:rPr>
          <w:color w:val="231F20"/>
          <w:spacing w:val="-38"/>
        </w:rPr>
        <w:t xml:space="preserve"> </w:t>
      </w:r>
      <w:r>
        <w:rPr>
          <w:color w:val="231F20"/>
        </w:rPr>
        <w:t xml:space="preserve">Civil Society(s), Research institutes, development partners. Informal actors include PSO, WDC, </w:t>
      </w:r>
      <w:r>
        <w:rPr>
          <w:color w:val="231F20"/>
          <w:spacing w:val="-4"/>
        </w:rPr>
        <w:t xml:space="preserve">Faith </w:t>
      </w:r>
      <w:r>
        <w:rPr>
          <w:color w:val="231F20"/>
        </w:rPr>
        <w:t>based</w:t>
      </w:r>
      <w:r>
        <w:rPr>
          <w:color w:val="231F20"/>
          <w:spacing w:val="-26"/>
        </w:rPr>
        <w:t xml:space="preserve"> </w:t>
      </w:r>
      <w:r>
        <w:rPr>
          <w:color w:val="231F20"/>
        </w:rPr>
        <w:t>organization,</w:t>
      </w:r>
      <w:r>
        <w:rPr>
          <w:color w:val="231F20"/>
          <w:spacing w:val="-25"/>
        </w:rPr>
        <w:t xml:space="preserve"> </w:t>
      </w:r>
      <w:r>
        <w:rPr>
          <w:color w:val="231F20"/>
        </w:rPr>
        <w:t>professional</w:t>
      </w:r>
      <w:r>
        <w:rPr>
          <w:color w:val="231F20"/>
          <w:spacing w:val="-25"/>
        </w:rPr>
        <w:t xml:space="preserve"> </w:t>
      </w:r>
      <w:r>
        <w:rPr>
          <w:color w:val="231F20"/>
        </w:rPr>
        <w:t>bodies</w:t>
      </w:r>
      <w:r>
        <w:rPr>
          <w:color w:val="231F20"/>
          <w:spacing w:val="-25"/>
        </w:rPr>
        <w:t xml:space="preserve"> </w:t>
      </w:r>
      <w:r>
        <w:rPr>
          <w:color w:val="231F20"/>
        </w:rPr>
        <w:t>and</w:t>
      </w:r>
      <w:r>
        <w:rPr>
          <w:color w:val="231F20"/>
          <w:spacing w:val="-25"/>
        </w:rPr>
        <w:t xml:space="preserve"> </w:t>
      </w:r>
      <w:r>
        <w:rPr>
          <w:color w:val="231F20"/>
        </w:rPr>
        <w:t>Philanthropists.</w:t>
      </w:r>
    </w:p>
    <w:p w14:paraId="1D710102" w14:textId="77777777" w:rsidR="009948F1" w:rsidRDefault="009948F1">
      <w:pPr>
        <w:pStyle w:val="BodyText"/>
        <w:spacing w:before="7"/>
        <w:rPr>
          <w:sz w:val="24"/>
        </w:rPr>
      </w:pPr>
    </w:p>
    <w:p w14:paraId="134068F8" w14:textId="77777777" w:rsidR="009948F1" w:rsidRDefault="00BC0563">
      <w:pPr>
        <w:pStyle w:val="Heading7"/>
        <w:numPr>
          <w:ilvl w:val="2"/>
          <w:numId w:val="321"/>
        </w:numPr>
        <w:tabs>
          <w:tab w:val="left" w:pos="874"/>
        </w:tabs>
        <w:ind w:left="873" w:hanging="721"/>
        <w:jc w:val="both"/>
      </w:pPr>
      <w:r>
        <w:rPr>
          <w:color w:val="231F20"/>
        </w:rPr>
        <w:t>Human</w:t>
      </w:r>
      <w:r>
        <w:rPr>
          <w:color w:val="231F20"/>
          <w:spacing w:val="-25"/>
        </w:rPr>
        <w:t xml:space="preserve"> </w:t>
      </w:r>
      <w:r>
        <w:rPr>
          <w:color w:val="231F20"/>
        </w:rPr>
        <w:t>Resource</w:t>
      </w:r>
      <w:r>
        <w:rPr>
          <w:color w:val="231F20"/>
          <w:spacing w:val="-25"/>
        </w:rPr>
        <w:t xml:space="preserve"> </w:t>
      </w:r>
      <w:r>
        <w:rPr>
          <w:color w:val="231F20"/>
        </w:rPr>
        <w:t>for</w:t>
      </w:r>
      <w:r>
        <w:rPr>
          <w:color w:val="231F20"/>
          <w:spacing w:val="-26"/>
        </w:rPr>
        <w:t xml:space="preserve"> </w:t>
      </w:r>
      <w:r>
        <w:rPr>
          <w:color w:val="231F20"/>
        </w:rPr>
        <w:t>Health</w:t>
      </w:r>
    </w:p>
    <w:p w14:paraId="2907B143" w14:textId="753C4046" w:rsidR="009948F1" w:rsidRDefault="00BC0563">
      <w:pPr>
        <w:pStyle w:val="BodyText"/>
        <w:spacing w:before="33" w:line="271" w:lineRule="auto"/>
        <w:ind w:left="152" w:right="178"/>
        <w:jc w:val="both"/>
      </w:pPr>
      <w:r>
        <w:rPr>
          <w:color w:val="231F20"/>
        </w:rPr>
        <w:t>The</w:t>
      </w:r>
      <w:r>
        <w:rPr>
          <w:color w:val="231F20"/>
          <w:spacing w:val="-23"/>
        </w:rPr>
        <w:t xml:space="preserve"> </w:t>
      </w:r>
      <w:r>
        <w:rPr>
          <w:color w:val="231F20"/>
        </w:rPr>
        <w:t>Rivers</w:t>
      </w:r>
      <w:r>
        <w:rPr>
          <w:color w:val="231F20"/>
          <w:spacing w:val="-23"/>
        </w:rPr>
        <w:t xml:space="preserve"> </w:t>
      </w:r>
      <w:r>
        <w:rPr>
          <w:color w:val="231F20"/>
        </w:rPr>
        <w:t>State</w:t>
      </w:r>
      <w:r>
        <w:rPr>
          <w:color w:val="231F20"/>
          <w:spacing w:val="-23"/>
        </w:rPr>
        <w:t xml:space="preserve"> </w:t>
      </w:r>
      <w:r>
        <w:rPr>
          <w:color w:val="231F20"/>
        </w:rPr>
        <w:t>Human</w:t>
      </w:r>
      <w:r>
        <w:rPr>
          <w:color w:val="231F20"/>
          <w:spacing w:val="-23"/>
        </w:rPr>
        <w:t xml:space="preserve"> </w:t>
      </w:r>
      <w:r>
        <w:rPr>
          <w:color w:val="231F20"/>
        </w:rPr>
        <w:t>Resource</w:t>
      </w:r>
      <w:r>
        <w:rPr>
          <w:color w:val="231F20"/>
          <w:spacing w:val="-23"/>
        </w:rPr>
        <w:t xml:space="preserve"> </w:t>
      </w:r>
      <w:r>
        <w:rPr>
          <w:color w:val="231F20"/>
        </w:rPr>
        <w:t>for</w:t>
      </w:r>
      <w:r>
        <w:rPr>
          <w:color w:val="231F20"/>
          <w:spacing w:val="-23"/>
        </w:rPr>
        <w:t xml:space="preserve"> </w:t>
      </w:r>
      <w:r>
        <w:rPr>
          <w:color w:val="231F20"/>
        </w:rPr>
        <w:t>Health</w:t>
      </w:r>
      <w:r>
        <w:rPr>
          <w:color w:val="231F20"/>
          <w:spacing w:val="-23"/>
        </w:rPr>
        <w:t xml:space="preserve"> </w:t>
      </w:r>
      <w:r>
        <w:rPr>
          <w:color w:val="231F20"/>
        </w:rPr>
        <w:t>Strategic</w:t>
      </w:r>
      <w:r>
        <w:rPr>
          <w:color w:val="231F20"/>
          <w:spacing w:val="-23"/>
        </w:rPr>
        <w:t xml:space="preserve"> </w:t>
      </w:r>
      <w:r>
        <w:rPr>
          <w:color w:val="231F20"/>
        </w:rPr>
        <w:t>Implementation</w:t>
      </w:r>
      <w:r>
        <w:rPr>
          <w:color w:val="231F20"/>
          <w:spacing w:val="-23"/>
        </w:rPr>
        <w:t xml:space="preserve"> </w:t>
      </w:r>
      <w:r>
        <w:rPr>
          <w:color w:val="231F20"/>
        </w:rPr>
        <w:t>Plan</w:t>
      </w:r>
      <w:r>
        <w:rPr>
          <w:color w:val="231F20"/>
          <w:spacing w:val="-23"/>
        </w:rPr>
        <w:t xml:space="preserve"> </w:t>
      </w:r>
      <w:r>
        <w:rPr>
          <w:color w:val="231F20"/>
        </w:rPr>
        <w:t>(HRH</w:t>
      </w:r>
      <w:r>
        <w:rPr>
          <w:color w:val="231F20"/>
          <w:spacing w:val="-23"/>
        </w:rPr>
        <w:t xml:space="preserve"> </w:t>
      </w:r>
      <w:r>
        <w:rPr>
          <w:color w:val="231F20"/>
        </w:rPr>
        <w:t>SIP</w:t>
      </w:r>
      <w:r>
        <w:rPr>
          <w:color w:val="231F20"/>
          <w:spacing w:val="-27"/>
        </w:rPr>
        <w:t xml:space="preserve"> </w:t>
      </w:r>
      <w:r>
        <w:rPr>
          <w:color w:val="231F20"/>
        </w:rPr>
        <w:t>2015-2019) was developed to address the problems of HRH management such as shortage and mal- distribution</w:t>
      </w:r>
      <w:r>
        <w:rPr>
          <w:color w:val="231F20"/>
          <w:spacing w:val="-15"/>
        </w:rPr>
        <w:t xml:space="preserve"> </w:t>
      </w:r>
      <w:r>
        <w:rPr>
          <w:color w:val="231F20"/>
        </w:rPr>
        <w:t>through</w:t>
      </w:r>
      <w:r>
        <w:rPr>
          <w:color w:val="231F20"/>
          <w:spacing w:val="-16"/>
        </w:rPr>
        <w:t xml:space="preserve"> </w:t>
      </w:r>
      <w:r>
        <w:rPr>
          <w:color w:val="231F20"/>
        </w:rPr>
        <w:t>increased</w:t>
      </w:r>
      <w:r>
        <w:rPr>
          <w:color w:val="231F20"/>
          <w:spacing w:val="-15"/>
        </w:rPr>
        <w:t xml:space="preserve"> </w:t>
      </w:r>
      <w:r>
        <w:rPr>
          <w:color w:val="231F20"/>
        </w:rPr>
        <w:t>funding,</w:t>
      </w:r>
      <w:r>
        <w:rPr>
          <w:color w:val="231F20"/>
          <w:spacing w:val="-15"/>
        </w:rPr>
        <w:t xml:space="preserve"> </w:t>
      </w:r>
      <w:r>
        <w:rPr>
          <w:color w:val="231F20"/>
        </w:rPr>
        <w:t>relocation</w:t>
      </w:r>
      <w:r>
        <w:rPr>
          <w:color w:val="231F20"/>
          <w:spacing w:val="-15"/>
        </w:rPr>
        <w:t xml:space="preserve"> </w:t>
      </w:r>
      <w:r>
        <w:rPr>
          <w:color w:val="231F20"/>
        </w:rPr>
        <w:t>of</w:t>
      </w:r>
      <w:r>
        <w:rPr>
          <w:color w:val="231F20"/>
          <w:spacing w:val="-15"/>
        </w:rPr>
        <w:t xml:space="preserve"> </w:t>
      </w:r>
      <w:r>
        <w:rPr>
          <w:color w:val="231F20"/>
        </w:rPr>
        <w:t>staff</w:t>
      </w:r>
      <w:r>
        <w:rPr>
          <w:color w:val="231F20"/>
          <w:spacing w:val="-15"/>
        </w:rPr>
        <w:t xml:space="preserve"> </w:t>
      </w:r>
      <w:r>
        <w:rPr>
          <w:color w:val="231F20"/>
        </w:rPr>
        <w:t>for</w:t>
      </w:r>
      <w:r>
        <w:rPr>
          <w:color w:val="231F20"/>
          <w:spacing w:val="-15"/>
        </w:rPr>
        <w:t xml:space="preserve"> </w:t>
      </w:r>
      <w:r>
        <w:rPr>
          <w:color w:val="231F20"/>
        </w:rPr>
        <w:t>optimum</w:t>
      </w:r>
      <w:r>
        <w:rPr>
          <w:color w:val="231F20"/>
          <w:spacing w:val="-15"/>
        </w:rPr>
        <w:t xml:space="preserve"> </w:t>
      </w:r>
      <w:r>
        <w:rPr>
          <w:color w:val="231F20"/>
        </w:rPr>
        <w:t>utilization,</w:t>
      </w:r>
      <w:r>
        <w:rPr>
          <w:color w:val="231F20"/>
          <w:spacing w:val="-15"/>
        </w:rPr>
        <w:t xml:space="preserve"> </w:t>
      </w:r>
      <w:r>
        <w:rPr>
          <w:color w:val="231F20"/>
        </w:rPr>
        <w:t>matching</w:t>
      </w:r>
      <w:r>
        <w:rPr>
          <w:color w:val="231F20"/>
          <w:spacing w:val="-15"/>
        </w:rPr>
        <w:t xml:space="preserve"> </w:t>
      </w:r>
      <w:r>
        <w:rPr>
          <w:color w:val="231F20"/>
          <w:spacing w:val="-3"/>
        </w:rPr>
        <w:t xml:space="preserve">demand </w:t>
      </w:r>
      <w:r>
        <w:rPr>
          <w:color w:val="231F20"/>
        </w:rPr>
        <w:t>and</w:t>
      </w:r>
      <w:r>
        <w:rPr>
          <w:color w:val="231F20"/>
          <w:spacing w:val="-24"/>
        </w:rPr>
        <w:t xml:space="preserve"> </w:t>
      </w:r>
      <w:r>
        <w:rPr>
          <w:color w:val="231F20"/>
          <w:spacing w:val="-3"/>
        </w:rPr>
        <w:t>supply,</w:t>
      </w:r>
      <w:r>
        <w:rPr>
          <w:color w:val="231F20"/>
          <w:spacing w:val="-24"/>
        </w:rPr>
        <w:t xml:space="preserve"> </w:t>
      </w:r>
      <w:r>
        <w:rPr>
          <w:color w:val="231F20"/>
        </w:rPr>
        <w:t>building</w:t>
      </w:r>
      <w:r>
        <w:rPr>
          <w:color w:val="231F20"/>
          <w:spacing w:val="-24"/>
        </w:rPr>
        <w:t xml:space="preserve"> </w:t>
      </w:r>
      <w:r>
        <w:rPr>
          <w:color w:val="231F20"/>
        </w:rPr>
        <w:t>new</w:t>
      </w:r>
      <w:r>
        <w:rPr>
          <w:color w:val="231F20"/>
          <w:spacing w:val="-23"/>
        </w:rPr>
        <w:t xml:space="preserve"> </w:t>
      </w:r>
      <w:r>
        <w:rPr>
          <w:color w:val="231F20"/>
        </w:rPr>
        <w:t>training</w:t>
      </w:r>
      <w:r>
        <w:rPr>
          <w:color w:val="231F20"/>
          <w:spacing w:val="-24"/>
        </w:rPr>
        <w:t xml:space="preserve"> </w:t>
      </w:r>
      <w:r>
        <w:rPr>
          <w:color w:val="231F20"/>
        </w:rPr>
        <w:t>institutions</w:t>
      </w:r>
      <w:r>
        <w:rPr>
          <w:color w:val="231F20"/>
          <w:spacing w:val="-24"/>
        </w:rPr>
        <w:t xml:space="preserve"> </w:t>
      </w:r>
      <w:r>
        <w:rPr>
          <w:color w:val="231F20"/>
        </w:rPr>
        <w:t>and</w:t>
      </w:r>
      <w:r>
        <w:rPr>
          <w:color w:val="231F20"/>
          <w:spacing w:val="-24"/>
        </w:rPr>
        <w:t xml:space="preserve"> </w:t>
      </w:r>
      <w:r>
        <w:rPr>
          <w:color w:val="231F20"/>
        </w:rPr>
        <w:t>ensuring</w:t>
      </w:r>
      <w:r>
        <w:rPr>
          <w:color w:val="231F20"/>
          <w:spacing w:val="-23"/>
        </w:rPr>
        <w:t xml:space="preserve"> </w:t>
      </w:r>
      <w:r>
        <w:rPr>
          <w:color w:val="231F20"/>
        </w:rPr>
        <w:t>accreditation</w:t>
      </w:r>
      <w:r>
        <w:rPr>
          <w:color w:val="231F20"/>
          <w:spacing w:val="-24"/>
        </w:rPr>
        <w:t xml:space="preserve"> </w:t>
      </w:r>
      <w:r>
        <w:rPr>
          <w:color w:val="231F20"/>
        </w:rPr>
        <w:t>of</w:t>
      </w:r>
      <w:r>
        <w:rPr>
          <w:color w:val="231F20"/>
          <w:spacing w:val="-24"/>
        </w:rPr>
        <w:t xml:space="preserve"> </w:t>
      </w:r>
      <w:r>
        <w:rPr>
          <w:color w:val="231F20"/>
        </w:rPr>
        <w:t>existing</w:t>
      </w:r>
      <w:r>
        <w:rPr>
          <w:color w:val="231F20"/>
          <w:spacing w:val="-24"/>
        </w:rPr>
        <w:t xml:space="preserve"> </w:t>
      </w:r>
      <w:r>
        <w:rPr>
          <w:color w:val="231F20"/>
        </w:rPr>
        <w:t>ones,</w:t>
      </w:r>
      <w:r>
        <w:rPr>
          <w:color w:val="231F20"/>
          <w:spacing w:val="-23"/>
        </w:rPr>
        <w:t xml:space="preserve"> </w:t>
      </w:r>
      <w:r>
        <w:rPr>
          <w:color w:val="231F20"/>
        </w:rPr>
        <w:t>expanding student</w:t>
      </w:r>
      <w:r>
        <w:rPr>
          <w:color w:val="231F20"/>
          <w:spacing w:val="-17"/>
        </w:rPr>
        <w:t xml:space="preserve"> </w:t>
      </w:r>
      <w:r>
        <w:rPr>
          <w:color w:val="231F20"/>
        </w:rPr>
        <w:t>intake</w:t>
      </w:r>
      <w:r>
        <w:rPr>
          <w:color w:val="231F20"/>
          <w:spacing w:val="-17"/>
        </w:rPr>
        <w:t xml:space="preserve"> </w:t>
      </w:r>
      <w:r>
        <w:rPr>
          <w:color w:val="231F20"/>
        </w:rPr>
        <w:t>and</w:t>
      </w:r>
      <w:r>
        <w:rPr>
          <w:color w:val="231F20"/>
          <w:spacing w:val="-17"/>
        </w:rPr>
        <w:t xml:space="preserve"> </w:t>
      </w:r>
      <w:r>
        <w:rPr>
          <w:color w:val="231F20"/>
        </w:rPr>
        <w:t>further</w:t>
      </w:r>
      <w:r>
        <w:rPr>
          <w:color w:val="231F20"/>
          <w:spacing w:val="-17"/>
        </w:rPr>
        <w:t xml:space="preserve"> </w:t>
      </w:r>
      <w:r>
        <w:rPr>
          <w:color w:val="231F20"/>
        </w:rPr>
        <w:t>involving</w:t>
      </w:r>
      <w:r>
        <w:rPr>
          <w:color w:val="231F20"/>
          <w:spacing w:val="-17"/>
        </w:rPr>
        <w:t xml:space="preserve"> </w:t>
      </w:r>
      <w:r>
        <w:rPr>
          <w:color w:val="231F20"/>
        </w:rPr>
        <w:t>the</w:t>
      </w:r>
      <w:r>
        <w:rPr>
          <w:color w:val="231F20"/>
          <w:spacing w:val="-17"/>
        </w:rPr>
        <w:t xml:space="preserve"> </w:t>
      </w:r>
      <w:r>
        <w:rPr>
          <w:color w:val="231F20"/>
        </w:rPr>
        <w:t>private</w:t>
      </w:r>
      <w:r>
        <w:rPr>
          <w:color w:val="231F20"/>
          <w:spacing w:val="-17"/>
        </w:rPr>
        <w:t xml:space="preserve"> </w:t>
      </w:r>
      <w:r>
        <w:rPr>
          <w:color w:val="231F20"/>
        </w:rPr>
        <w:t>sector</w:t>
      </w:r>
      <w:r>
        <w:rPr>
          <w:color w:val="231F20"/>
          <w:spacing w:val="-16"/>
        </w:rPr>
        <w:t xml:space="preserve"> </w:t>
      </w:r>
      <w:r>
        <w:rPr>
          <w:color w:val="231F20"/>
        </w:rPr>
        <w:t>in</w:t>
      </w:r>
      <w:r>
        <w:rPr>
          <w:color w:val="231F20"/>
          <w:spacing w:val="-17"/>
        </w:rPr>
        <w:t xml:space="preserve"> </w:t>
      </w:r>
      <w:r>
        <w:rPr>
          <w:color w:val="231F20"/>
        </w:rPr>
        <w:t>training</w:t>
      </w:r>
      <w:r>
        <w:rPr>
          <w:color w:val="231F20"/>
          <w:spacing w:val="-17"/>
        </w:rPr>
        <w:t xml:space="preserve"> </w:t>
      </w:r>
      <w:r>
        <w:rPr>
          <w:color w:val="231F20"/>
        </w:rPr>
        <w:t>health</w:t>
      </w:r>
      <w:r>
        <w:rPr>
          <w:color w:val="231F20"/>
          <w:spacing w:val="-17"/>
        </w:rPr>
        <w:t xml:space="preserve"> </w:t>
      </w:r>
      <w:r>
        <w:rPr>
          <w:color w:val="231F20"/>
        </w:rPr>
        <w:t>workers,</w:t>
      </w:r>
      <w:r>
        <w:rPr>
          <w:color w:val="231F20"/>
          <w:spacing w:val="-17"/>
        </w:rPr>
        <w:t xml:space="preserve"> </w:t>
      </w:r>
      <w:r>
        <w:rPr>
          <w:color w:val="231F20"/>
        </w:rPr>
        <w:t>among</w:t>
      </w:r>
      <w:r>
        <w:rPr>
          <w:color w:val="231F20"/>
          <w:spacing w:val="-17"/>
        </w:rPr>
        <w:t xml:space="preserve"> </w:t>
      </w:r>
      <w:r w:rsidR="00EF17A7">
        <w:rPr>
          <w:color w:val="231F20"/>
        </w:rPr>
        <w:t>others. The</w:t>
      </w:r>
      <w:r>
        <w:rPr>
          <w:color w:val="231F20"/>
        </w:rPr>
        <w:t xml:space="preserve"> National</w:t>
      </w:r>
      <w:r>
        <w:rPr>
          <w:color w:val="231F20"/>
          <w:spacing w:val="-26"/>
        </w:rPr>
        <w:t xml:space="preserve"> </w:t>
      </w:r>
      <w:r>
        <w:rPr>
          <w:color w:val="231F20"/>
          <w:spacing w:val="-7"/>
        </w:rPr>
        <w:t>Task</w:t>
      </w:r>
      <w:r>
        <w:rPr>
          <w:color w:val="231F20"/>
          <w:spacing w:val="-22"/>
        </w:rPr>
        <w:t xml:space="preserve"> </w:t>
      </w:r>
      <w:r>
        <w:rPr>
          <w:color w:val="231F20"/>
        </w:rPr>
        <w:t>Shifting/Task</w:t>
      </w:r>
      <w:r>
        <w:rPr>
          <w:color w:val="231F20"/>
          <w:spacing w:val="-21"/>
        </w:rPr>
        <w:t xml:space="preserve"> </w:t>
      </w:r>
      <w:r>
        <w:rPr>
          <w:color w:val="231F20"/>
        </w:rPr>
        <w:t>Sharing</w:t>
      </w:r>
      <w:r>
        <w:rPr>
          <w:color w:val="231F20"/>
          <w:spacing w:val="-22"/>
        </w:rPr>
        <w:t xml:space="preserve"> </w:t>
      </w:r>
      <w:r>
        <w:rPr>
          <w:color w:val="231F20"/>
        </w:rPr>
        <w:t>Policy</w:t>
      </w:r>
      <w:r>
        <w:rPr>
          <w:color w:val="231F20"/>
          <w:spacing w:val="-22"/>
        </w:rPr>
        <w:t xml:space="preserve"> </w:t>
      </w:r>
      <w:r>
        <w:rPr>
          <w:color w:val="231F20"/>
        </w:rPr>
        <w:t>has</w:t>
      </w:r>
      <w:r>
        <w:rPr>
          <w:color w:val="231F20"/>
          <w:spacing w:val="-21"/>
        </w:rPr>
        <w:t xml:space="preserve"> </w:t>
      </w:r>
      <w:r>
        <w:rPr>
          <w:color w:val="231F20"/>
        </w:rPr>
        <w:t>been</w:t>
      </w:r>
      <w:r>
        <w:rPr>
          <w:color w:val="231F20"/>
          <w:spacing w:val="-22"/>
        </w:rPr>
        <w:t xml:space="preserve"> </w:t>
      </w:r>
      <w:r>
        <w:rPr>
          <w:color w:val="231F20"/>
        </w:rPr>
        <w:t>adopted</w:t>
      </w:r>
      <w:r>
        <w:rPr>
          <w:color w:val="231F20"/>
          <w:spacing w:val="-21"/>
        </w:rPr>
        <w:t xml:space="preserve"> </w:t>
      </w:r>
      <w:r>
        <w:rPr>
          <w:color w:val="231F20"/>
        </w:rPr>
        <w:t>and</w:t>
      </w:r>
      <w:r>
        <w:rPr>
          <w:color w:val="231F20"/>
          <w:spacing w:val="-22"/>
        </w:rPr>
        <w:t xml:space="preserve"> </w:t>
      </w:r>
      <w:r>
        <w:rPr>
          <w:color w:val="231F20"/>
        </w:rPr>
        <w:t>validated</w:t>
      </w:r>
      <w:r>
        <w:rPr>
          <w:color w:val="231F20"/>
          <w:spacing w:val="-22"/>
        </w:rPr>
        <w:t xml:space="preserve"> </w:t>
      </w:r>
      <w:r>
        <w:rPr>
          <w:color w:val="231F20"/>
        </w:rPr>
        <w:t>but</w:t>
      </w:r>
      <w:r>
        <w:rPr>
          <w:color w:val="231F20"/>
          <w:spacing w:val="-21"/>
        </w:rPr>
        <w:t xml:space="preserve"> </w:t>
      </w:r>
      <w:r>
        <w:rPr>
          <w:color w:val="231F20"/>
        </w:rPr>
        <w:t>it</w:t>
      </w:r>
      <w:r>
        <w:rPr>
          <w:color w:val="231F20"/>
          <w:spacing w:val="-22"/>
        </w:rPr>
        <w:t xml:space="preserve"> </w:t>
      </w:r>
      <w:r>
        <w:rPr>
          <w:color w:val="231F20"/>
        </w:rPr>
        <w:t>is</w:t>
      </w:r>
      <w:r>
        <w:rPr>
          <w:color w:val="231F20"/>
          <w:spacing w:val="-22"/>
        </w:rPr>
        <w:t xml:space="preserve"> </w:t>
      </w:r>
      <w:r>
        <w:rPr>
          <w:color w:val="231F20"/>
        </w:rPr>
        <w:t>considered</w:t>
      </w:r>
      <w:r>
        <w:rPr>
          <w:color w:val="231F20"/>
          <w:spacing w:val="-21"/>
        </w:rPr>
        <w:t xml:space="preserve"> </w:t>
      </w:r>
      <w:r>
        <w:rPr>
          <w:color w:val="231F20"/>
        </w:rPr>
        <w:t>only as</w:t>
      </w:r>
      <w:r>
        <w:rPr>
          <w:color w:val="231F20"/>
          <w:spacing w:val="-26"/>
        </w:rPr>
        <w:t xml:space="preserve"> </w:t>
      </w:r>
      <w:r>
        <w:rPr>
          <w:color w:val="231F20"/>
        </w:rPr>
        <w:t>an</w:t>
      </w:r>
      <w:r>
        <w:rPr>
          <w:color w:val="231F20"/>
          <w:spacing w:val="-25"/>
        </w:rPr>
        <w:t xml:space="preserve"> </w:t>
      </w:r>
      <w:r>
        <w:rPr>
          <w:color w:val="231F20"/>
        </w:rPr>
        <w:t>interim</w:t>
      </w:r>
      <w:r>
        <w:rPr>
          <w:color w:val="231F20"/>
          <w:spacing w:val="-25"/>
        </w:rPr>
        <w:t xml:space="preserve"> </w:t>
      </w:r>
      <w:r>
        <w:rPr>
          <w:color w:val="231F20"/>
        </w:rPr>
        <w:t>measure</w:t>
      </w:r>
      <w:r>
        <w:rPr>
          <w:color w:val="231F20"/>
          <w:spacing w:val="-25"/>
        </w:rPr>
        <w:t xml:space="preserve"> </w:t>
      </w:r>
      <w:r>
        <w:rPr>
          <w:color w:val="231F20"/>
        </w:rPr>
        <w:t>which</w:t>
      </w:r>
      <w:r>
        <w:rPr>
          <w:color w:val="231F20"/>
          <w:spacing w:val="-25"/>
        </w:rPr>
        <w:t xml:space="preserve"> </w:t>
      </w:r>
      <w:r>
        <w:rPr>
          <w:color w:val="231F20"/>
        </w:rPr>
        <w:t>is</w:t>
      </w:r>
      <w:r>
        <w:rPr>
          <w:color w:val="231F20"/>
          <w:spacing w:val="-25"/>
        </w:rPr>
        <w:t xml:space="preserve"> </w:t>
      </w:r>
      <w:r>
        <w:rPr>
          <w:color w:val="231F20"/>
        </w:rPr>
        <w:t>applied</w:t>
      </w:r>
      <w:r>
        <w:rPr>
          <w:color w:val="231F20"/>
          <w:spacing w:val="-25"/>
        </w:rPr>
        <w:t xml:space="preserve"> </w:t>
      </w:r>
      <w:r>
        <w:rPr>
          <w:color w:val="231F20"/>
        </w:rPr>
        <w:t>to</w:t>
      </w:r>
      <w:r>
        <w:rPr>
          <w:color w:val="231F20"/>
          <w:spacing w:val="-25"/>
        </w:rPr>
        <w:t xml:space="preserve"> </w:t>
      </w:r>
      <w:r>
        <w:rPr>
          <w:color w:val="231F20"/>
        </w:rPr>
        <w:t>improve</w:t>
      </w:r>
      <w:r>
        <w:rPr>
          <w:color w:val="231F20"/>
          <w:spacing w:val="-25"/>
        </w:rPr>
        <w:t xml:space="preserve"> </w:t>
      </w:r>
      <w:r>
        <w:rPr>
          <w:color w:val="231F20"/>
        </w:rPr>
        <w:t>healthcare</w:t>
      </w:r>
      <w:r>
        <w:rPr>
          <w:color w:val="231F20"/>
          <w:spacing w:val="-25"/>
        </w:rPr>
        <w:t xml:space="preserve"> </w:t>
      </w:r>
      <w:r>
        <w:rPr>
          <w:color w:val="231F20"/>
        </w:rPr>
        <w:t>delivery</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27280F8A" w14:textId="77777777" w:rsidR="009948F1" w:rsidRDefault="009948F1">
      <w:pPr>
        <w:pStyle w:val="BodyText"/>
        <w:spacing w:before="7"/>
        <w:rPr>
          <w:sz w:val="24"/>
        </w:rPr>
      </w:pPr>
    </w:p>
    <w:p w14:paraId="46E8DD73" w14:textId="77777777" w:rsidR="009948F1" w:rsidRDefault="00BC0563">
      <w:pPr>
        <w:pStyle w:val="BodyText"/>
        <w:spacing w:before="1" w:line="268" w:lineRule="auto"/>
        <w:ind w:left="152" w:right="178"/>
        <w:jc w:val="both"/>
      </w:pPr>
      <w:r>
        <w:rPr>
          <w:color w:val="231F20"/>
        </w:rPr>
        <w:t>The</w:t>
      </w:r>
      <w:r>
        <w:rPr>
          <w:color w:val="231F20"/>
          <w:spacing w:val="-8"/>
        </w:rPr>
        <w:t xml:space="preserve"> </w:t>
      </w:r>
      <w:r>
        <w:rPr>
          <w:color w:val="231F20"/>
        </w:rPr>
        <w:t>total</w:t>
      </w:r>
      <w:r>
        <w:rPr>
          <w:color w:val="231F20"/>
          <w:spacing w:val="-7"/>
        </w:rPr>
        <w:t xml:space="preserve"> </w:t>
      </w:r>
      <w:r>
        <w:rPr>
          <w:color w:val="231F20"/>
        </w:rPr>
        <w:t>number</w:t>
      </w:r>
      <w:r>
        <w:rPr>
          <w:color w:val="231F20"/>
          <w:spacing w:val="-7"/>
        </w:rPr>
        <w:t xml:space="preserve"> </w:t>
      </w:r>
      <w:r>
        <w:rPr>
          <w:color w:val="231F20"/>
        </w:rPr>
        <w:t>of</w:t>
      </w:r>
      <w:r>
        <w:rPr>
          <w:color w:val="231F20"/>
          <w:spacing w:val="-8"/>
        </w:rPr>
        <w:t xml:space="preserve"> </w:t>
      </w:r>
      <w:r>
        <w:rPr>
          <w:color w:val="231F20"/>
        </w:rPr>
        <w:t>skilled</w:t>
      </w:r>
      <w:r>
        <w:rPr>
          <w:color w:val="231F20"/>
          <w:spacing w:val="-7"/>
        </w:rPr>
        <w:t xml:space="preserve"> </w:t>
      </w:r>
      <w:r>
        <w:rPr>
          <w:color w:val="231F20"/>
        </w:rPr>
        <w:t>health</w:t>
      </w:r>
      <w:r>
        <w:rPr>
          <w:color w:val="231F20"/>
          <w:spacing w:val="-7"/>
        </w:rPr>
        <w:t xml:space="preserve"> </w:t>
      </w:r>
      <w:r>
        <w:rPr>
          <w:color w:val="231F20"/>
        </w:rPr>
        <w:t>workers</w:t>
      </w:r>
      <w:r>
        <w:rPr>
          <w:color w:val="231F20"/>
          <w:spacing w:val="-8"/>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State</w:t>
      </w:r>
      <w:r>
        <w:rPr>
          <w:color w:val="231F20"/>
          <w:spacing w:val="-8"/>
        </w:rPr>
        <w:t xml:space="preserve"> </w:t>
      </w:r>
      <w:r>
        <w:rPr>
          <w:color w:val="231F20"/>
        </w:rPr>
        <w:t>is</w:t>
      </w:r>
      <w:r>
        <w:rPr>
          <w:color w:val="231F20"/>
          <w:spacing w:val="-7"/>
        </w:rPr>
        <w:t xml:space="preserve"> </w:t>
      </w:r>
      <w:r>
        <w:rPr>
          <w:color w:val="231F20"/>
        </w:rPr>
        <w:t>14,631</w:t>
      </w:r>
      <w:r>
        <w:rPr>
          <w:color w:val="231F20"/>
          <w:spacing w:val="-7"/>
        </w:rPr>
        <w:t xml:space="preserve"> </w:t>
      </w:r>
      <w:r>
        <w:rPr>
          <w:color w:val="231F20"/>
        </w:rPr>
        <w:t>spread</w:t>
      </w:r>
      <w:r>
        <w:rPr>
          <w:color w:val="231F20"/>
          <w:spacing w:val="-8"/>
        </w:rPr>
        <w:t xml:space="preserve"> </w:t>
      </w:r>
      <w:r>
        <w:rPr>
          <w:color w:val="231F20"/>
        </w:rPr>
        <w:t>across</w:t>
      </w:r>
      <w:r>
        <w:rPr>
          <w:color w:val="231F20"/>
          <w:spacing w:val="-7"/>
        </w:rPr>
        <w:t xml:space="preserve"> </w:t>
      </w:r>
      <w:r>
        <w:rPr>
          <w:color w:val="231F20"/>
        </w:rPr>
        <w:t>the</w:t>
      </w:r>
      <w:r>
        <w:rPr>
          <w:color w:val="231F20"/>
          <w:spacing w:val="-7"/>
        </w:rPr>
        <w:t xml:space="preserve"> </w:t>
      </w:r>
      <w:r>
        <w:rPr>
          <w:color w:val="231F20"/>
        </w:rPr>
        <w:t>different</w:t>
      </w:r>
      <w:r>
        <w:rPr>
          <w:color w:val="231F20"/>
          <w:spacing w:val="-8"/>
        </w:rPr>
        <w:t xml:space="preserve"> </w:t>
      </w:r>
      <w:r>
        <w:rPr>
          <w:color w:val="231F20"/>
        </w:rPr>
        <w:t xml:space="preserve">cadre (1792 doctors and 3329 nurses &amp; midwives </w:t>
      </w:r>
      <w:proofErr w:type="spellStart"/>
      <w:r>
        <w:rPr>
          <w:color w:val="231F20"/>
        </w:rPr>
        <w:t>etc</w:t>
      </w:r>
      <w:proofErr w:type="spellEnd"/>
      <w:r>
        <w:rPr>
          <w:color w:val="231F20"/>
        </w:rPr>
        <w:t>).</w:t>
      </w:r>
      <w:r>
        <w:rPr>
          <w:color w:val="231F20"/>
          <w:position w:val="11"/>
          <w:sz w:val="11"/>
        </w:rPr>
        <w:t>13</w:t>
      </w:r>
      <w:r>
        <w:rPr>
          <w:color w:val="231F20"/>
        </w:rPr>
        <w:t xml:space="preserve">The total number of health personnel </w:t>
      </w:r>
      <w:r>
        <w:rPr>
          <w:color w:val="231F20"/>
          <w:spacing w:val="-7"/>
        </w:rPr>
        <w:t xml:space="preserve">by  </w:t>
      </w:r>
      <w:r>
        <w:rPr>
          <w:color w:val="231F20"/>
        </w:rPr>
        <w:t>professional</w:t>
      </w:r>
      <w:r>
        <w:rPr>
          <w:color w:val="231F20"/>
          <w:spacing w:val="-25"/>
        </w:rPr>
        <w:t xml:space="preserve"> </w:t>
      </w:r>
      <w:r>
        <w:rPr>
          <w:color w:val="231F20"/>
        </w:rPr>
        <w:t>category</w:t>
      </w:r>
      <w:r>
        <w:rPr>
          <w:color w:val="231F20"/>
          <w:spacing w:val="-26"/>
        </w:rPr>
        <w:t xml:space="preserve"> </w:t>
      </w:r>
      <w:r>
        <w:rPr>
          <w:color w:val="231F20"/>
        </w:rPr>
        <w:t>as</w:t>
      </w:r>
      <w:r>
        <w:rPr>
          <w:color w:val="231F20"/>
          <w:spacing w:val="-25"/>
        </w:rPr>
        <w:t xml:space="preserve"> </w:t>
      </w:r>
      <w:r>
        <w:rPr>
          <w:color w:val="231F20"/>
        </w:rPr>
        <w:t>at</w:t>
      </w:r>
      <w:r>
        <w:rPr>
          <w:color w:val="231F20"/>
          <w:spacing w:val="-25"/>
        </w:rPr>
        <w:t xml:space="preserve"> </w:t>
      </w:r>
      <w:r>
        <w:rPr>
          <w:color w:val="231F20"/>
        </w:rPr>
        <w:t>2015</w:t>
      </w:r>
      <w:r>
        <w:rPr>
          <w:color w:val="231F20"/>
          <w:spacing w:val="-25"/>
        </w:rPr>
        <w:t xml:space="preserve"> </w:t>
      </w:r>
      <w:r>
        <w:rPr>
          <w:color w:val="231F20"/>
        </w:rPr>
        <w:t>is</w:t>
      </w:r>
      <w:r>
        <w:rPr>
          <w:color w:val="231F20"/>
          <w:spacing w:val="-25"/>
        </w:rPr>
        <w:t xml:space="preserve"> </w:t>
      </w:r>
      <w:r>
        <w:rPr>
          <w:color w:val="231F20"/>
        </w:rPr>
        <w:t>shown</w:t>
      </w:r>
      <w:r>
        <w:rPr>
          <w:color w:val="231F20"/>
          <w:spacing w:val="-25"/>
        </w:rPr>
        <w:t xml:space="preserve"> </w:t>
      </w:r>
      <w:r>
        <w:rPr>
          <w:color w:val="231F20"/>
        </w:rPr>
        <w:t>in</w:t>
      </w:r>
      <w:r>
        <w:rPr>
          <w:color w:val="231F20"/>
          <w:spacing w:val="-29"/>
        </w:rPr>
        <w:t xml:space="preserve"> </w:t>
      </w:r>
      <w:r>
        <w:rPr>
          <w:color w:val="231F20"/>
          <w:spacing w:val="-5"/>
        </w:rPr>
        <w:t>Table</w:t>
      </w:r>
      <w:r>
        <w:rPr>
          <w:color w:val="231F20"/>
          <w:spacing w:val="-25"/>
        </w:rPr>
        <w:t xml:space="preserve"> </w:t>
      </w:r>
      <w:r>
        <w:rPr>
          <w:color w:val="231F20"/>
        </w:rPr>
        <w:t>3.</w:t>
      </w:r>
    </w:p>
    <w:p w14:paraId="6E846715" w14:textId="77777777" w:rsidR="009948F1" w:rsidRDefault="009948F1">
      <w:pPr>
        <w:pStyle w:val="BodyText"/>
        <w:spacing w:before="9"/>
        <w:rPr>
          <w:sz w:val="24"/>
        </w:rPr>
      </w:pPr>
    </w:p>
    <w:p w14:paraId="68737674" w14:textId="77777777" w:rsidR="009948F1" w:rsidRDefault="00BC0563">
      <w:pPr>
        <w:pStyle w:val="BodyText"/>
        <w:spacing w:line="271" w:lineRule="auto"/>
        <w:ind w:left="152" w:right="178"/>
        <w:jc w:val="both"/>
      </w:pPr>
      <w:r>
        <w:rPr>
          <w:color w:val="231F20"/>
        </w:rPr>
        <w:t xml:space="preserve">The following five tertiary referral health facilities, four of which are state-owned; Rivers State University </w:t>
      </w:r>
      <w:r>
        <w:rPr>
          <w:color w:val="231F20"/>
          <w:spacing w:val="-4"/>
        </w:rPr>
        <w:t xml:space="preserve">Teaching </w:t>
      </w:r>
      <w:r>
        <w:rPr>
          <w:color w:val="231F20"/>
        </w:rPr>
        <w:t xml:space="preserve">Hospital (old Braithwaite Memorial </w:t>
      </w:r>
      <w:r>
        <w:rPr>
          <w:color w:val="231F20"/>
          <w:spacing w:val="-4"/>
        </w:rPr>
        <w:t xml:space="preserve">Teaching </w:t>
      </w:r>
      <w:r>
        <w:rPr>
          <w:color w:val="231F20"/>
        </w:rPr>
        <w:t xml:space="preserve">Hospital), Professor Kelsey Harrison Hospital, Neuro-psychiatric Hospital, Dental &amp; Maxillo-facial Hospital and University </w:t>
      </w:r>
      <w:r>
        <w:rPr>
          <w:color w:val="231F20"/>
          <w:spacing w:val="-8"/>
        </w:rPr>
        <w:t xml:space="preserve">of </w:t>
      </w:r>
      <w:r>
        <w:rPr>
          <w:color w:val="231F20"/>
        </w:rPr>
        <w:t xml:space="preserve">Port Harcourt </w:t>
      </w:r>
      <w:r>
        <w:rPr>
          <w:color w:val="231F20"/>
          <w:spacing w:val="-4"/>
        </w:rPr>
        <w:t xml:space="preserve">Teaching </w:t>
      </w:r>
      <w:r>
        <w:rPr>
          <w:color w:val="231F20"/>
        </w:rPr>
        <w:t xml:space="preserve">Hospital (Federal-owned) provide advanced manpower for the </w:t>
      </w:r>
      <w:r>
        <w:rPr>
          <w:color w:val="231F20"/>
          <w:spacing w:val="-3"/>
        </w:rPr>
        <w:t xml:space="preserve">health </w:t>
      </w:r>
      <w:r>
        <w:rPr>
          <w:color w:val="231F20"/>
        </w:rPr>
        <w:t>sector.</w:t>
      </w:r>
      <w:r>
        <w:rPr>
          <w:color w:val="231F20"/>
          <w:spacing w:val="-22"/>
        </w:rPr>
        <w:t xml:space="preserve"> </w:t>
      </w:r>
      <w:r>
        <w:rPr>
          <w:color w:val="231F20"/>
        </w:rPr>
        <w:t>While</w:t>
      </w:r>
      <w:r>
        <w:rPr>
          <w:color w:val="231F20"/>
          <w:spacing w:val="-21"/>
        </w:rPr>
        <w:t xml:space="preserve"> </w:t>
      </w:r>
      <w:r>
        <w:rPr>
          <w:color w:val="231F20"/>
        </w:rPr>
        <w:t>University</w:t>
      </w:r>
      <w:r>
        <w:rPr>
          <w:color w:val="231F20"/>
          <w:spacing w:val="-21"/>
        </w:rPr>
        <w:t xml:space="preserve"> </w:t>
      </w:r>
      <w:r>
        <w:rPr>
          <w:color w:val="231F20"/>
        </w:rPr>
        <w:t>of</w:t>
      </w:r>
      <w:r>
        <w:rPr>
          <w:color w:val="231F20"/>
          <w:spacing w:val="-21"/>
        </w:rPr>
        <w:t xml:space="preserve"> </w:t>
      </w:r>
      <w:r>
        <w:rPr>
          <w:color w:val="231F20"/>
        </w:rPr>
        <w:t>Port</w:t>
      </w:r>
      <w:r>
        <w:rPr>
          <w:color w:val="231F20"/>
          <w:spacing w:val="-22"/>
        </w:rPr>
        <w:t xml:space="preserve"> </w:t>
      </w:r>
      <w:r>
        <w:rPr>
          <w:color w:val="231F20"/>
        </w:rPr>
        <w:t>Harcourt,</w:t>
      </w:r>
      <w:r>
        <w:rPr>
          <w:color w:val="231F20"/>
          <w:spacing w:val="-21"/>
        </w:rPr>
        <w:t xml:space="preserve"> </w:t>
      </w:r>
      <w:r>
        <w:rPr>
          <w:color w:val="231F20"/>
        </w:rPr>
        <w:t>Madonna</w:t>
      </w:r>
      <w:r>
        <w:rPr>
          <w:color w:val="231F20"/>
          <w:spacing w:val="-21"/>
        </w:rPr>
        <w:t xml:space="preserve"> </w:t>
      </w:r>
      <w:r>
        <w:rPr>
          <w:color w:val="231F20"/>
        </w:rPr>
        <w:t>University</w:t>
      </w:r>
      <w:r>
        <w:rPr>
          <w:color w:val="231F20"/>
          <w:spacing w:val="-21"/>
        </w:rPr>
        <w:t xml:space="preserve"> </w:t>
      </w:r>
      <w:r>
        <w:rPr>
          <w:color w:val="231F20"/>
        </w:rPr>
        <w:t>(private-owned),</w:t>
      </w:r>
      <w:r>
        <w:rPr>
          <w:color w:val="231F20"/>
          <w:spacing w:val="-22"/>
        </w:rPr>
        <w:t xml:space="preserve"> </w:t>
      </w:r>
      <w:r>
        <w:rPr>
          <w:color w:val="231F20"/>
        </w:rPr>
        <w:t>Schools</w:t>
      </w:r>
      <w:r>
        <w:rPr>
          <w:color w:val="231F20"/>
          <w:spacing w:val="-21"/>
        </w:rPr>
        <w:t xml:space="preserve"> </w:t>
      </w:r>
      <w:r>
        <w:rPr>
          <w:color w:val="231F20"/>
        </w:rPr>
        <w:t>of</w:t>
      </w:r>
      <w:r>
        <w:rPr>
          <w:color w:val="231F20"/>
          <w:spacing w:val="-21"/>
        </w:rPr>
        <w:t xml:space="preserve"> </w:t>
      </w:r>
      <w:r>
        <w:rPr>
          <w:color w:val="231F20"/>
        </w:rPr>
        <w:t xml:space="preserve">Nursing, Midwifery, Public Health Nursing and College of Health Science and </w:t>
      </w:r>
      <w:r>
        <w:rPr>
          <w:color w:val="231F20"/>
          <w:spacing w:val="-3"/>
        </w:rPr>
        <w:t xml:space="preserve">Technology </w:t>
      </w:r>
      <w:r>
        <w:rPr>
          <w:color w:val="231F20"/>
        </w:rPr>
        <w:t>all contribute immensely</w:t>
      </w:r>
      <w:r>
        <w:rPr>
          <w:color w:val="231F20"/>
          <w:spacing w:val="-25"/>
        </w:rPr>
        <w:t xml:space="preserve"> </w:t>
      </w:r>
      <w:r>
        <w:rPr>
          <w:color w:val="231F20"/>
        </w:rPr>
        <w:t>to</w:t>
      </w:r>
      <w:r>
        <w:rPr>
          <w:color w:val="231F20"/>
          <w:spacing w:val="-26"/>
        </w:rPr>
        <w:t xml:space="preserve"> </w:t>
      </w:r>
      <w:r>
        <w:rPr>
          <w:color w:val="231F20"/>
        </w:rPr>
        <w:t>the</w:t>
      </w:r>
      <w:r>
        <w:rPr>
          <w:color w:val="231F20"/>
          <w:spacing w:val="-25"/>
        </w:rPr>
        <w:t xml:space="preserve"> </w:t>
      </w:r>
      <w:r>
        <w:rPr>
          <w:color w:val="231F20"/>
        </w:rPr>
        <w:t>high</w:t>
      </w:r>
      <w:r>
        <w:rPr>
          <w:color w:val="231F20"/>
          <w:spacing w:val="-25"/>
        </w:rPr>
        <w:t xml:space="preserve"> </w:t>
      </w:r>
      <w:r>
        <w:rPr>
          <w:color w:val="231F20"/>
        </w:rPr>
        <w:t>cadre</w:t>
      </w:r>
      <w:r>
        <w:rPr>
          <w:color w:val="231F20"/>
          <w:spacing w:val="-25"/>
        </w:rPr>
        <w:t xml:space="preserve"> </w:t>
      </w:r>
      <w:r>
        <w:rPr>
          <w:color w:val="231F20"/>
        </w:rPr>
        <w:t>Health</w:t>
      </w:r>
      <w:r>
        <w:rPr>
          <w:color w:val="231F20"/>
          <w:spacing w:val="-25"/>
        </w:rPr>
        <w:t xml:space="preserve"> </w:t>
      </w:r>
      <w:r>
        <w:rPr>
          <w:color w:val="231F20"/>
        </w:rPr>
        <w:t>workforce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30943AA6" w14:textId="77777777" w:rsidR="009948F1" w:rsidRDefault="009948F1">
      <w:pPr>
        <w:pStyle w:val="BodyText"/>
        <w:spacing w:before="8"/>
        <w:rPr>
          <w:sz w:val="24"/>
        </w:rPr>
      </w:pPr>
    </w:p>
    <w:p w14:paraId="419ACB78" w14:textId="77777777" w:rsidR="009948F1" w:rsidRDefault="00BC0563">
      <w:pPr>
        <w:pStyle w:val="BodyText"/>
        <w:spacing w:line="271" w:lineRule="auto"/>
        <w:ind w:left="152" w:right="179"/>
        <w:jc w:val="both"/>
      </w:pPr>
      <w:r>
        <w:rPr>
          <w:color w:val="231F20"/>
        </w:rPr>
        <w:t xml:space="preserve">The following departments have accreditation in Rivers State University </w:t>
      </w:r>
      <w:r>
        <w:rPr>
          <w:color w:val="231F20"/>
          <w:spacing w:val="-4"/>
        </w:rPr>
        <w:t xml:space="preserve">Teaching </w:t>
      </w:r>
      <w:r>
        <w:rPr>
          <w:color w:val="231F20"/>
        </w:rPr>
        <w:t xml:space="preserve">Hospital (RSUTH) for Residency training by both the West African College of Physicians (WACP) and </w:t>
      </w:r>
      <w:r>
        <w:rPr>
          <w:color w:val="231F20"/>
          <w:spacing w:val="-4"/>
        </w:rPr>
        <w:t xml:space="preserve">the </w:t>
      </w:r>
      <w:r>
        <w:rPr>
          <w:color w:val="231F20"/>
        </w:rPr>
        <w:t xml:space="preserve">National Postgraduate Medical College of Nigeria (NPMCN); departments of Family Medicine, </w:t>
      </w:r>
      <w:proofErr w:type="spellStart"/>
      <w:r>
        <w:rPr>
          <w:color w:val="231F20"/>
        </w:rPr>
        <w:t>Paediatrics</w:t>
      </w:r>
      <w:proofErr w:type="spellEnd"/>
      <w:r>
        <w:rPr>
          <w:color w:val="231F20"/>
          <w:spacing w:val="-17"/>
        </w:rPr>
        <w:t xml:space="preserve"> </w:t>
      </w:r>
      <w:r>
        <w:rPr>
          <w:color w:val="231F20"/>
        </w:rPr>
        <w:t>and</w:t>
      </w:r>
      <w:r>
        <w:rPr>
          <w:color w:val="231F20"/>
          <w:spacing w:val="-17"/>
        </w:rPr>
        <w:t xml:space="preserve"> </w:t>
      </w:r>
      <w:r>
        <w:rPr>
          <w:color w:val="231F20"/>
        </w:rPr>
        <w:t>Obstetrics</w:t>
      </w:r>
      <w:r>
        <w:rPr>
          <w:color w:val="231F20"/>
          <w:spacing w:val="-16"/>
        </w:rPr>
        <w:t xml:space="preserve"> </w:t>
      </w:r>
      <w:r>
        <w:rPr>
          <w:color w:val="231F20"/>
        </w:rPr>
        <w:t>&amp;</w:t>
      </w:r>
      <w:r>
        <w:rPr>
          <w:color w:val="231F20"/>
          <w:spacing w:val="-17"/>
        </w:rPr>
        <w:t xml:space="preserve"> </w:t>
      </w:r>
      <w:proofErr w:type="spellStart"/>
      <w:r>
        <w:rPr>
          <w:color w:val="231F20"/>
        </w:rPr>
        <w:t>Gynaecology</w:t>
      </w:r>
      <w:proofErr w:type="spellEnd"/>
      <w:r>
        <w:rPr>
          <w:color w:val="231F20"/>
        </w:rPr>
        <w:t>.</w:t>
      </w:r>
      <w:r>
        <w:rPr>
          <w:color w:val="231F20"/>
          <w:spacing w:val="-28"/>
        </w:rPr>
        <w:t xml:space="preserve"> </w:t>
      </w:r>
      <w:r>
        <w:rPr>
          <w:color w:val="231F20"/>
        </w:rPr>
        <w:t>Accredited</w:t>
      </w:r>
      <w:r>
        <w:rPr>
          <w:color w:val="231F20"/>
          <w:spacing w:val="-16"/>
        </w:rPr>
        <w:t xml:space="preserve"> </w:t>
      </w:r>
      <w:proofErr w:type="spellStart"/>
      <w:r>
        <w:rPr>
          <w:color w:val="231F20"/>
        </w:rPr>
        <w:t>programmes</w:t>
      </w:r>
      <w:proofErr w:type="spellEnd"/>
      <w:r>
        <w:rPr>
          <w:color w:val="231F20"/>
          <w:spacing w:val="-17"/>
        </w:rPr>
        <w:t xml:space="preserve"> </w:t>
      </w:r>
      <w:r>
        <w:rPr>
          <w:color w:val="231F20"/>
        </w:rPr>
        <w:t>are</w:t>
      </w:r>
      <w:r>
        <w:rPr>
          <w:color w:val="231F20"/>
          <w:spacing w:val="-16"/>
        </w:rPr>
        <w:t xml:space="preserve"> </w:t>
      </w:r>
      <w:r>
        <w:rPr>
          <w:color w:val="231F20"/>
        </w:rPr>
        <w:t>run</w:t>
      </w:r>
      <w:r>
        <w:rPr>
          <w:color w:val="231F20"/>
          <w:spacing w:val="-17"/>
        </w:rPr>
        <w:t xml:space="preserve"> </w:t>
      </w:r>
      <w:r>
        <w:rPr>
          <w:color w:val="231F20"/>
        </w:rPr>
        <w:t>by</w:t>
      </w:r>
      <w:r>
        <w:rPr>
          <w:color w:val="231F20"/>
          <w:spacing w:val="-16"/>
        </w:rPr>
        <w:t xml:space="preserve"> </w:t>
      </w:r>
      <w:r>
        <w:rPr>
          <w:color w:val="231F20"/>
        </w:rPr>
        <w:t>the</w:t>
      </w:r>
      <w:r>
        <w:rPr>
          <w:color w:val="231F20"/>
          <w:spacing w:val="-17"/>
        </w:rPr>
        <w:t xml:space="preserve"> </w:t>
      </w:r>
      <w:r>
        <w:rPr>
          <w:color w:val="231F20"/>
        </w:rPr>
        <w:t>various</w:t>
      </w:r>
      <w:r>
        <w:rPr>
          <w:color w:val="231F20"/>
          <w:spacing w:val="-16"/>
        </w:rPr>
        <w:t xml:space="preserve"> </w:t>
      </w:r>
      <w:r>
        <w:rPr>
          <w:color w:val="231F20"/>
        </w:rPr>
        <w:t xml:space="preserve">schools in Rivers College of Health Sciences and </w:t>
      </w:r>
      <w:r>
        <w:rPr>
          <w:color w:val="231F20"/>
          <w:spacing w:val="-4"/>
        </w:rPr>
        <w:t>Technology.</w:t>
      </w:r>
      <w:r>
        <w:rPr>
          <w:color w:val="231F20"/>
          <w:spacing w:val="53"/>
        </w:rPr>
        <w:t xml:space="preserve"> </w:t>
      </w:r>
      <w:r>
        <w:rPr>
          <w:color w:val="231F20"/>
        </w:rPr>
        <w:t xml:space="preserve">These are School of Dental </w:t>
      </w:r>
      <w:r>
        <w:rPr>
          <w:color w:val="231F20"/>
          <w:spacing w:val="-3"/>
        </w:rPr>
        <w:t>Technology/Technician,</w:t>
      </w:r>
      <w:r>
        <w:rPr>
          <w:color w:val="231F20"/>
          <w:spacing w:val="-26"/>
        </w:rPr>
        <w:t xml:space="preserve"> </w:t>
      </w:r>
      <w:r>
        <w:rPr>
          <w:color w:val="231F20"/>
        </w:rPr>
        <w:t>School</w:t>
      </w:r>
      <w:r>
        <w:rPr>
          <w:color w:val="231F20"/>
          <w:spacing w:val="-25"/>
        </w:rPr>
        <w:t xml:space="preserve"> </w:t>
      </w:r>
      <w:r>
        <w:rPr>
          <w:color w:val="231F20"/>
        </w:rPr>
        <w:t>of</w:t>
      </w:r>
      <w:r>
        <w:rPr>
          <w:color w:val="231F20"/>
          <w:spacing w:val="-25"/>
        </w:rPr>
        <w:t xml:space="preserve"> </w:t>
      </w:r>
      <w:r>
        <w:rPr>
          <w:color w:val="231F20"/>
        </w:rPr>
        <w:t>Pharmacy,</w:t>
      </w:r>
      <w:r>
        <w:rPr>
          <w:color w:val="231F20"/>
          <w:spacing w:val="-25"/>
        </w:rPr>
        <w:t xml:space="preserve"> </w:t>
      </w:r>
      <w:r>
        <w:rPr>
          <w:color w:val="231F20"/>
        </w:rPr>
        <w:t>School</w:t>
      </w:r>
      <w:r>
        <w:rPr>
          <w:color w:val="231F20"/>
          <w:spacing w:val="-25"/>
        </w:rPr>
        <w:t xml:space="preserve"> </w:t>
      </w:r>
      <w:r>
        <w:rPr>
          <w:color w:val="231F20"/>
        </w:rPr>
        <w:t>of</w:t>
      </w:r>
      <w:r>
        <w:rPr>
          <w:color w:val="231F20"/>
          <w:spacing w:val="-25"/>
        </w:rPr>
        <w:t xml:space="preserve"> </w:t>
      </w:r>
      <w:r>
        <w:rPr>
          <w:color w:val="231F20"/>
        </w:rPr>
        <w:t>Medical</w:t>
      </w:r>
      <w:r>
        <w:rPr>
          <w:color w:val="231F20"/>
          <w:spacing w:val="-25"/>
        </w:rPr>
        <w:t xml:space="preserve"> </w:t>
      </w:r>
      <w:r>
        <w:rPr>
          <w:color w:val="231F20"/>
        </w:rPr>
        <w:t>Laboratory</w:t>
      </w:r>
      <w:r>
        <w:rPr>
          <w:color w:val="231F20"/>
          <w:spacing w:val="-25"/>
        </w:rPr>
        <w:t xml:space="preserve"> </w:t>
      </w:r>
      <w:r>
        <w:rPr>
          <w:color w:val="231F20"/>
        </w:rPr>
        <w:t>and</w:t>
      </w:r>
      <w:r>
        <w:rPr>
          <w:color w:val="231F20"/>
          <w:spacing w:val="-25"/>
        </w:rPr>
        <w:t xml:space="preserve"> </w:t>
      </w:r>
      <w:r>
        <w:rPr>
          <w:color w:val="231F20"/>
        </w:rPr>
        <w:t>Community</w:t>
      </w:r>
    </w:p>
    <w:p w14:paraId="6A7C9A46" w14:textId="77777777" w:rsidR="009948F1" w:rsidRDefault="009948F1">
      <w:pPr>
        <w:spacing w:line="271" w:lineRule="auto"/>
        <w:jc w:val="both"/>
        <w:sectPr w:rsidR="009948F1">
          <w:pgSz w:w="11910" w:h="16840"/>
          <w:pgMar w:top="1240" w:right="1080" w:bottom="1420" w:left="1120" w:header="0" w:footer="1235" w:gutter="0"/>
          <w:cols w:space="720"/>
        </w:sectPr>
      </w:pPr>
    </w:p>
    <w:p w14:paraId="49376DE9" w14:textId="77777777" w:rsidR="009948F1" w:rsidRDefault="00BC0563">
      <w:pPr>
        <w:pStyle w:val="BodyText"/>
        <w:spacing w:before="47" w:line="261" w:lineRule="auto"/>
        <w:ind w:left="169" w:right="188" w:firstLine="51"/>
        <w:jc w:val="both"/>
      </w:pPr>
      <w:bookmarkStart w:id="34" w:name="Page_25"/>
      <w:bookmarkEnd w:id="34"/>
      <w:r>
        <w:rPr>
          <w:color w:val="231F20"/>
        </w:rPr>
        <w:lastRenderedPageBreak/>
        <w:t>Health.</w:t>
      </w:r>
      <w:r>
        <w:rPr>
          <w:color w:val="231F20"/>
          <w:spacing w:val="-10"/>
        </w:rPr>
        <w:t xml:space="preserve"> </w:t>
      </w:r>
      <w:r>
        <w:rPr>
          <w:color w:val="231F20"/>
        </w:rPr>
        <w:t>Recruitment</w:t>
      </w:r>
      <w:r>
        <w:rPr>
          <w:color w:val="231F20"/>
          <w:spacing w:val="-10"/>
        </w:rPr>
        <w:t xml:space="preserve"> </w:t>
      </w:r>
      <w:r>
        <w:rPr>
          <w:color w:val="231F20"/>
        </w:rPr>
        <w:t>of</w:t>
      </w:r>
      <w:r>
        <w:rPr>
          <w:color w:val="231F20"/>
          <w:spacing w:val="-10"/>
        </w:rPr>
        <w:t xml:space="preserve"> </w:t>
      </w:r>
      <w:r>
        <w:rPr>
          <w:color w:val="231F20"/>
        </w:rPr>
        <w:t>Health</w:t>
      </w:r>
      <w:r>
        <w:rPr>
          <w:color w:val="231F20"/>
          <w:spacing w:val="-10"/>
        </w:rPr>
        <w:t xml:space="preserve"> </w:t>
      </w:r>
      <w:r>
        <w:rPr>
          <w:color w:val="231F20"/>
        </w:rPr>
        <w:t>Manpower</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ongoing</w:t>
      </w:r>
      <w:r>
        <w:rPr>
          <w:color w:val="231F20"/>
          <w:spacing w:val="-10"/>
        </w:rPr>
        <w:t xml:space="preserve"> </w:t>
      </w:r>
      <w:r>
        <w:rPr>
          <w:color w:val="231F20"/>
        </w:rPr>
        <w:t>in</w:t>
      </w:r>
      <w:r>
        <w:rPr>
          <w:color w:val="231F20"/>
          <w:spacing w:val="-10"/>
        </w:rPr>
        <w:t xml:space="preserve"> </w:t>
      </w:r>
      <w:r>
        <w:rPr>
          <w:color w:val="231F20"/>
        </w:rPr>
        <w:t>order</w:t>
      </w:r>
      <w:r>
        <w:rPr>
          <w:color w:val="231F20"/>
          <w:spacing w:val="-10"/>
        </w:rPr>
        <w:t xml:space="preserve"> </w:t>
      </w:r>
      <w:r>
        <w:rPr>
          <w:color w:val="231F20"/>
        </w:rPr>
        <w:t>to</w:t>
      </w:r>
      <w:r>
        <w:rPr>
          <w:color w:val="231F20"/>
          <w:spacing w:val="-9"/>
        </w:rPr>
        <w:t xml:space="preserve"> </w:t>
      </w:r>
      <w:r>
        <w:rPr>
          <w:color w:val="231F20"/>
        </w:rPr>
        <w:t>run</w:t>
      </w:r>
      <w:r>
        <w:rPr>
          <w:color w:val="231F20"/>
          <w:spacing w:val="-10"/>
        </w:rPr>
        <w:t xml:space="preserve"> </w:t>
      </w:r>
      <w:r>
        <w:rPr>
          <w:color w:val="231F20"/>
        </w:rPr>
        <w:t>the</w:t>
      </w:r>
      <w:r>
        <w:rPr>
          <w:color w:val="231F20"/>
          <w:spacing w:val="-10"/>
        </w:rPr>
        <w:t xml:space="preserve"> </w:t>
      </w:r>
      <w:r>
        <w:rPr>
          <w:color w:val="231F20"/>
        </w:rPr>
        <w:t>existing</w:t>
      </w:r>
      <w:r>
        <w:rPr>
          <w:color w:val="231F20"/>
          <w:spacing w:val="-10"/>
        </w:rPr>
        <w:t xml:space="preserve"> </w:t>
      </w:r>
      <w:r>
        <w:rPr>
          <w:color w:val="231F20"/>
        </w:rPr>
        <w:t>and</w:t>
      </w:r>
      <w:r>
        <w:rPr>
          <w:color w:val="231F20"/>
          <w:spacing w:val="-10"/>
        </w:rPr>
        <w:t xml:space="preserve"> </w:t>
      </w:r>
      <w:r>
        <w:rPr>
          <w:color w:val="231F20"/>
          <w:spacing w:val="-3"/>
        </w:rPr>
        <w:t xml:space="preserve">newly </w:t>
      </w:r>
      <w:r>
        <w:rPr>
          <w:color w:val="231F20"/>
        </w:rPr>
        <w:t>built</w:t>
      </w:r>
      <w:r>
        <w:rPr>
          <w:color w:val="231F20"/>
          <w:spacing w:val="-17"/>
        </w:rPr>
        <w:t xml:space="preserve"> </w:t>
      </w:r>
      <w:r>
        <w:rPr>
          <w:color w:val="231F20"/>
        </w:rPr>
        <w:t>health</w:t>
      </w:r>
      <w:r>
        <w:rPr>
          <w:color w:val="231F20"/>
          <w:spacing w:val="-16"/>
        </w:rPr>
        <w:t xml:space="preserve"> </w:t>
      </w:r>
      <w:r>
        <w:rPr>
          <w:color w:val="231F20"/>
        </w:rPr>
        <w:t>facilities.</w:t>
      </w:r>
      <w:r>
        <w:rPr>
          <w:color w:val="231F20"/>
          <w:spacing w:val="-20"/>
        </w:rPr>
        <w:t xml:space="preserve"> </w:t>
      </w:r>
      <w:r>
        <w:rPr>
          <w:color w:val="231F20"/>
        </w:rPr>
        <w:t>This</w:t>
      </w:r>
      <w:r>
        <w:rPr>
          <w:color w:val="231F20"/>
          <w:spacing w:val="-16"/>
        </w:rPr>
        <w:t xml:space="preserve"> </w:t>
      </w:r>
      <w:r>
        <w:rPr>
          <w:color w:val="231F20"/>
        </w:rPr>
        <w:t>is</w:t>
      </w:r>
      <w:r>
        <w:rPr>
          <w:color w:val="231F20"/>
          <w:spacing w:val="-16"/>
        </w:rPr>
        <w:t xml:space="preserve"> </w:t>
      </w:r>
      <w:r>
        <w:rPr>
          <w:color w:val="231F20"/>
        </w:rPr>
        <w:t>remarkable</w:t>
      </w:r>
      <w:r>
        <w:rPr>
          <w:color w:val="231F20"/>
          <w:spacing w:val="-15"/>
        </w:rPr>
        <w:t xml:space="preserve"> </w:t>
      </w:r>
      <w:r>
        <w:rPr>
          <w:color w:val="231F20"/>
        </w:rPr>
        <w:t>despite</w:t>
      </w:r>
      <w:r>
        <w:rPr>
          <w:color w:val="231F20"/>
          <w:spacing w:val="-16"/>
        </w:rPr>
        <w:t xml:space="preserve"> </w:t>
      </w:r>
      <w:r>
        <w:rPr>
          <w:color w:val="231F20"/>
        </w:rPr>
        <w:t>the</w:t>
      </w:r>
      <w:r>
        <w:rPr>
          <w:color w:val="231F20"/>
          <w:spacing w:val="-16"/>
        </w:rPr>
        <w:t xml:space="preserve"> </w:t>
      </w:r>
      <w:r>
        <w:rPr>
          <w:color w:val="231F20"/>
        </w:rPr>
        <w:t>fact</w:t>
      </w:r>
      <w:r>
        <w:rPr>
          <w:color w:val="231F20"/>
          <w:spacing w:val="-16"/>
        </w:rPr>
        <w:t xml:space="preserve"> </w:t>
      </w:r>
      <w:r>
        <w:rPr>
          <w:color w:val="231F20"/>
        </w:rPr>
        <w:t>that</w:t>
      </w:r>
      <w:r>
        <w:rPr>
          <w:color w:val="231F20"/>
          <w:spacing w:val="-16"/>
        </w:rPr>
        <w:t xml:space="preserve"> </w:t>
      </w:r>
      <w:r>
        <w:rPr>
          <w:color w:val="231F20"/>
        </w:rPr>
        <w:t>embargo</w:t>
      </w:r>
      <w:r>
        <w:rPr>
          <w:color w:val="231F20"/>
          <w:spacing w:val="-15"/>
        </w:rPr>
        <w:t xml:space="preserve"> </w:t>
      </w:r>
      <w:r>
        <w:rPr>
          <w:color w:val="231F20"/>
        </w:rPr>
        <w:t>on</w:t>
      </w:r>
      <w:r>
        <w:rPr>
          <w:color w:val="231F20"/>
          <w:spacing w:val="-16"/>
        </w:rPr>
        <w:t xml:space="preserve"> </w:t>
      </w:r>
      <w:r>
        <w:rPr>
          <w:color w:val="231F20"/>
        </w:rPr>
        <w:t>employment</w:t>
      </w:r>
      <w:r>
        <w:rPr>
          <w:color w:val="231F20"/>
          <w:spacing w:val="-16"/>
        </w:rPr>
        <w:t xml:space="preserve"> </w:t>
      </w:r>
      <w:r>
        <w:rPr>
          <w:color w:val="231F20"/>
        </w:rPr>
        <w:t>of</w:t>
      </w:r>
      <w:r>
        <w:rPr>
          <w:color w:val="231F20"/>
          <w:spacing w:val="-16"/>
        </w:rPr>
        <w:t xml:space="preserve"> </w:t>
      </w:r>
      <w:r>
        <w:rPr>
          <w:color w:val="231F20"/>
        </w:rPr>
        <w:t>workforce has</w:t>
      </w:r>
      <w:r>
        <w:rPr>
          <w:color w:val="231F20"/>
          <w:spacing w:val="-25"/>
        </w:rPr>
        <w:t xml:space="preserve"> </w:t>
      </w:r>
      <w:r>
        <w:rPr>
          <w:color w:val="231F20"/>
        </w:rPr>
        <w:t>been</w:t>
      </w:r>
      <w:r>
        <w:rPr>
          <w:color w:val="231F20"/>
          <w:spacing w:val="-25"/>
        </w:rPr>
        <w:t xml:space="preserve"> </w:t>
      </w:r>
      <w:r>
        <w:rPr>
          <w:color w:val="231F20"/>
        </w:rPr>
        <w:t>in</w:t>
      </w:r>
      <w:r>
        <w:rPr>
          <w:color w:val="231F20"/>
          <w:spacing w:val="-25"/>
        </w:rPr>
        <w:t xml:space="preserve"> </w:t>
      </w:r>
      <w:r>
        <w:rPr>
          <w:color w:val="231F20"/>
        </w:rPr>
        <w:t>place</w:t>
      </w:r>
      <w:r>
        <w:rPr>
          <w:color w:val="231F20"/>
          <w:spacing w:val="-26"/>
        </w:rPr>
        <w:t xml:space="preserve"> </w:t>
      </w:r>
      <w:r>
        <w:rPr>
          <w:color w:val="231F20"/>
        </w:rPr>
        <w:t>for</w:t>
      </w:r>
      <w:r>
        <w:rPr>
          <w:color w:val="231F20"/>
          <w:spacing w:val="-25"/>
        </w:rPr>
        <w:t xml:space="preserve"> </w:t>
      </w:r>
      <w:r>
        <w:rPr>
          <w:color w:val="231F20"/>
        </w:rPr>
        <w:t>a</w:t>
      </w:r>
      <w:r>
        <w:rPr>
          <w:color w:val="231F20"/>
          <w:spacing w:val="-25"/>
        </w:rPr>
        <w:t xml:space="preserve"> </w:t>
      </w:r>
      <w:r>
        <w:rPr>
          <w:color w:val="231F20"/>
        </w:rPr>
        <w:t>long</w:t>
      </w:r>
      <w:r>
        <w:rPr>
          <w:color w:val="231F20"/>
          <w:spacing w:val="-25"/>
        </w:rPr>
        <w:t xml:space="preserve"> </w:t>
      </w:r>
      <w:r>
        <w:rPr>
          <w:color w:val="231F20"/>
        </w:rPr>
        <w:t>time.</w:t>
      </w:r>
    </w:p>
    <w:p w14:paraId="6E804E7F" w14:textId="77777777" w:rsidR="009948F1" w:rsidRDefault="009948F1">
      <w:pPr>
        <w:pStyle w:val="BodyText"/>
        <w:spacing w:before="1"/>
        <w:rPr>
          <w:sz w:val="24"/>
        </w:rPr>
      </w:pPr>
    </w:p>
    <w:p w14:paraId="4B504995" w14:textId="77777777" w:rsidR="009948F1" w:rsidRDefault="00BC0563">
      <w:pPr>
        <w:pStyle w:val="BodyText"/>
        <w:spacing w:line="261" w:lineRule="auto"/>
        <w:ind w:left="169" w:right="188"/>
        <w:jc w:val="both"/>
      </w:pPr>
      <w:r>
        <w:rPr>
          <w:color w:val="231F20"/>
        </w:rPr>
        <w:t xml:space="preserve">Rivers State has leveraged on the National Human Resources for Health Policy (NHRHP) </w:t>
      </w:r>
      <w:r>
        <w:rPr>
          <w:color w:val="231F20"/>
          <w:spacing w:val="-4"/>
        </w:rPr>
        <w:t xml:space="preserve">and </w:t>
      </w:r>
      <w:r>
        <w:rPr>
          <w:color w:val="231F20"/>
        </w:rPr>
        <w:t>National Human Resources for Health Strategic Plan (NHRHSP)</w:t>
      </w:r>
      <w:r>
        <w:rPr>
          <w:color w:val="231F20"/>
          <w:position w:val="11"/>
          <w:sz w:val="11"/>
        </w:rPr>
        <w:t>1</w:t>
      </w:r>
      <w:r>
        <w:rPr>
          <w:color w:val="231F20"/>
        </w:rPr>
        <w:t xml:space="preserve">templates and developed </w:t>
      </w:r>
      <w:r>
        <w:rPr>
          <w:color w:val="231F20"/>
          <w:spacing w:val="-4"/>
        </w:rPr>
        <w:t>her</w:t>
      </w:r>
      <w:r>
        <w:rPr>
          <w:color w:val="231F20"/>
          <w:spacing w:val="53"/>
        </w:rPr>
        <w:t xml:space="preserve"> </w:t>
      </w:r>
      <w:r>
        <w:rPr>
          <w:color w:val="231F20"/>
        </w:rPr>
        <w:t>Human Resources for Health Strategic and Implementation Plan 2015-2019. In line with these policy provisions, Rivers state, has established a HRH unit in the Department of Planning, Research and Statistics in the Ministries of Health (SMOH). The Departments of Planning, Research and Statistics provides the institutional hub for HRH policy formulation, planning and management.</w:t>
      </w:r>
    </w:p>
    <w:p w14:paraId="6223C540" w14:textId="77777777" w:rsidR="009948F1" w:rsidRDefault="00BC0563">
      <w:pPr>
        <w:pStyle w:val="BodyText"/>
        <w:spacing w:line="261" w:lineRule="auto"/>
        <w:ind w:left="169" w:right="188"/>
        <w:jc w:val="both"/>
      </w:pPr>
      <w:r>
        <w:rPr>
          <w:color w:val="231F20"/>
        </w:rPr>
        <w:t>In</w:t>
      </w:r>
      <w:r>
        <w:rPr>
          <w:color w:val="231F20"/>
          <w:spacing w:val="-9"/>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National,</w:t>
      </w:r>
      <w:r>
        <w:rPr>
          <w:color w:val="231F20"/>
          <w:spacing w:val="-7"/>
        </w:rPr>
        <w:t xml:space="preserve"> </w:t>
      </w:r>
      <w:r>
        <w:rPr>
          <w:color w:val="231F20"/>
        </w:rPr>
        <w:t>a</w:t>
      </w:r>
      <w:r>
        <w:rPr>
          <w:color w:val="231F20"/>
          <w:spacing w:val="-8"/>
        </w:rPr>
        <w:t xml:space="preserve"> </w:t>
      </w:r>
      <w:r>
        <w:rPr>
          <w:color w:val="231F20"/>
        </w:rPr>
        <w:t>Rivers</w:t>
      </w:r>
      <w:r>
        <w:rPr>
          <w:color w:val="231F20"/>
          <w:spacing w:val="-9"/>
        </w:rPr>
        <w:t xml:space="preserve"> </w:t>
      </w:r>
      <w:r>
        <w:rPr>
          <w:color w:val="231F20"/>
        </w:rPr>
        <w:t>State</w:t>
      </w:r>
      <w:r>
        <w:rPr>
          <w:color w:val="231F20"/>
          <w:spacing w:val="-8"/>
        </w:rPr>
        <w:t xml:space="preserve"> </w:t>
      </w:r>
      <w:r>
        <w:rPr>
          <w:color w:val="231F20"/>
        </w:rPr>
        <w:t>Workforce</w:t>
      </w:r>
      <w:r>
        <w:rPr>
          <w:color w:val="231F20"/>
          <w:spacing w:val="-8"/>
        </w:rPr>
        <w:t xml:space="preserve"> </w:t>
      </w:r>
      <w:r>
        <w:rPr>
          <w:color w:val="231F20"/>
        </w:rPr>
        <w:t>Registry</w:t>
      </w:r>
      <w:r>
        <w:rPr>
          <w:color w:val="231F20"/>
          <w:spacing w:val="-9"/>
        </w:rPr>
        <w:t xml:space="preserve"> </w:t>
      </w:r>
      <w:r>
        <w:rPr>
          <w:color w:val="231F20"/>
        </w:rPr>
        <w:t>project</w:t>
      </w:r>
      <w:r>
        <w:rPr>
          <w:color w:val="231F20"/>
          <w:spacing w:val="-8"/>
        </w:rPr>
        <w:t xml:space="preserve"> </w:t>
      </w:r>
      <w:r>
        <w:rPr>
          <w:color w:val="231F20"/>
        </w:rPr>
        <w:t>was</w:t>
      </w:r>
      <w:r>
        <w:rPr>
          <w:color w:val="231F20"/>
          <w:spacing w:val="-8"/>
        </w:rPr>
        <w:t xml:space="preserve"> </w:t>
      </w:r>
      <w:r>
        <w:rPr>
          <w:color w:val="231F20"/>
        </w:rPr>
        <w:t>established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State</w:t>
      </w:r>
      <w:r>
        <w:rPr>
          <w:color w:val="231F20"/>
          <w:spacing w:val="-9"/>
        </w:rPr>
        <w:t xml:space="preserve"> </w:t>
      </w:r>
      <w:r>
        <w:rPr>
          <w:color w:val="231F20"/>
        </w:rPr>
        <w:t>in collaboration</w:t>
      </w:r>
      <w:r>
        <w:rPr>
          <w:color w:val="231F20"/>
          <w:spacing w:val="-25"/>
        </w:rPr>
        <w:t xml:space="preserve"> </w:t>
      </w:r>
      <w:r>
        <w:rPr>
          <w:color w:val="231F20"/>
        </w:rPr>
        <w:t>with</w:t>
      </w:r>
      <w:r>
        <w:rPr>
          <w:color w:val="231F20"/>
          <w:spacing w:val="-25"/>
        </w:rPr>
        <w:t xml:space="preserve"> </w:t>
      </w:r>
      <w:r>
        <w:rPr>
          <w:color w:val="231F20"/>
        </w:rPr>
        <w:t>Capacity</w:t>
      </w:r>
      <w:r>
        <w:rPr>
          <w:color w:val="231F20"/>
          <w:spacing w:val="-25"/>
        </w:rPr>
        <w:t xml:space="preserve"> </w:t>
      </w:r>
      <w:r>
        <w:rPr>
          <w:color w:val="231F20"/>
        </w:rPr>
        <w:t>Plus</w:t>
      </w:r>
      <w:r>
        <w:rPr>
          <w:color w:val="231F20"/>
          <w:spacing w:val="-25"/>
        </w:rPr>
        <w:t xml:space="preserve"> </w:t>
      </w:r>
      <w:r>
        <w:rPr>
          <w:color w:val="231F20"/>
        </w:rPr>
        <w:t>but</w:t>
      </w:r>
      <w:r>
        <w:rPr>
          <w:color w:val="231F20"/>
          <w:spacing w:val="-25"/>
        </w:rPr>
        <w:t xml:space="preserve"> </w:t>
      </w:r>
      <w:r>
        <w:rPr>
          <w:color w:val="231F20"/>
        </w:rPr>
        <w:t>the</w:t>
      </w:r>
      <w:r>
        <w:rPr>
          <w:color w:val="231F20"/>
          <w:spacing w:val="-25"/>
        </w:rPr>
        <w:t xml:space="preserve"> </w:t>
      </w:r>
      <w:r>
        <w:rPr>
          <w:color w:val="231F20"/>
        </w:rPr>
        <w:t>project</w:t>
      </w:r>
      <w:r>
        <w:rPr>
          <w:color w:val="231F20"/>
          <w:spacing w:val="-25"/>
        </w:rPr>
        <w:t xml:space="preserve"> </w:t>
      </w:r>
      <w:r>
        <w:rPr>
          <w:color w:val="231F20"/>
        </w:rPr>
        <w:t>was</w:t>
      </w:r>
      <w:r>
        <w:rPr>
          <w:color w:val="231F20"/>
          <w:spacing w:val="-25"/>
        </w:rPr>
        <w:t xml:space="preserve"> </w:t>
      </w:r>
      <w:r>
        <w:rPr>
          <w:color w:val="231F20"/>
        </w:rPr>
        <w:t>not</w:t>
      </w:r>
      <w:r>
        <w:rPr>
          <w:color w:val="231F20"/>
          <w:spacing w:val="-25"/>
        </w:rPr>
        <w:t xml:space="preserve"> </w:t>
      </w:r>
      <w:r>
        <w:rPr>
          <w:color w:val="231F20"/>
        </w:rPr>
        <w:t>completed</w:t>
      </w:r>
      <w:r>
        <w:rPr>
          <w:color w:val="231F20"/>
          <w:spacing w:val="-25"/>
        </w:rPr>
        <w:t xml:space="preserve"> </w:t>
      </w:r>
      <w:r>
        <w:rPr>
          <w:color w:val="231F20"/>
        </w:rPr>
        <w:t>before</w:t>
      </w:r>
      <w:r>
        <w:rPr>
          <w:color w:val="231F20"/>
          <w:spacing w:val="-25"/>
        </w:rPr>
        <w:t xml:space="preserve"> </w:t>
      </w:r>
      <w:r>
        <w:rPr>
          <w:color w:val="231F20"/>
        </w:rPr>
        <w:t>their</w:t>
      </w:r>
      <w:r>
        <w:rPr>
          <w:color w:val="231F20"/>
          <w:spacing w:val="-25"/>
        </w:rPr>
        <w:t xml:space="preserve"> </w:t>
      </w:r>
      <w:r>
        <w:rPr>
          <w:color w:val="231F20"/>
        </w:rPr>
        <w:t>contract</w:t>
      </w:r>
      <w:r>
        <w:rPr>
          <w:color w:val="231F20"/>
          <w:spacing w:val="-25"/>
        </w:rPr>
        <w:t xml:space="preserve"> </w:t>
      </w:r>
      <w:r>
        <w:rPr>
          <w:color w:val="231F20"/>
        </w:rPr>
        <w:t>was</w:t>
      </w:r>
      <w:r>
        <w:rPr>
          <w:color w:val="231F20"/>
          <w:spacing w:val="-25"/>
        </w:rPr>
        <w:t xml:space="preserve"> </w:t>
      </w:r>
      <w:r>
        <w:rPr>
          <w:color w:val="231F20"/>
          <w:spacing w:val="-3"/>
        </w:rPr>
        <w:t>over.</w:t>
      </w:r>
    </w:p>
    <w:p w14:paraId="11530637" w14:textId="77777777" w:rsidR="009948F1" w:rsidRDefault="009948F1">
      <w:pPr>
        <w:pStyle w:val="BodyText"/>
      </w:pPr>
    </w:p>
    <w:p w14:paraId="392216EA" w14:textId="77777777" w:rsidR="009948F1" w:rsidRDefault="009948F1">
      <w:pPr>
        <w:pStyle w:val="BodyText"/>
        <w:spacing w:before="9"/>
        <w:rPr>
          <w:sz w:val="28"/>
        </w:rPr>
      </w:pPr>
    </w:p>
    <w:p w14:paraId="6BD5EBEB" w14:textId="77777777" w:rsidR="009948F1" w:rsidRDefault="00BC0563">
      <w:pPr>
        <w:spacing w:after="23"/>
        <w:ind w:left="428"/>
        <w:rPr>
          <w:b/>
          <w:i/>
          <w:sz w:val="20"/>
        </w:rPr>
      </w:pPr>
      <w:r>
        <w:rPr>
          <w:b/>
          <w:i/>
          <w:color w:val="231F20"/>
          <w:w w:val="130"/>
          <w:sz w:val="20"/>
        </w:rPr>
        <w:t>Table 3: Health Manpower in Rivers State</w:t>
      </w:r>
    </w:p>
    <w:tbl>
      <w:tblPr>
        <w:tblW w:w="0" w:type="auto"/>
        <w:tblInd w:w="3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44"/>
        <w:gridCol w:w="1676"/>
        <w:gridCol w:w="845"/>
        <w:gridCol w:w="942"/>
        <w:gridCol w:w="807"/>
        <w:gridCol w:w="1225"/>
        <w:gridCol w:w="1112"/>
        <w:gridCol w:w="1112"/>
        <w:gridCol w:w="774"/>
      </w:tblGrid>
      <w:tr w:rsidR="009948F1" w14:paraId="1AFDE532" w14:textId="77777777">
        <w:trPr>
          <w:trHeight w:val="479"/>
        </w:trPr>
        <w:tc>
          <w:tcPr>
            <w:tcW w:w="544" w:type="dxa"/>
          </w:tcPr>
          <w:p w14:paraId="08C87935" w14:textId="77777777" w:rsidR="009948F1" w:rsidRDefault="00BC0563">
            <w:pPr>
              <w:pStyle w:val="TableParagraph"/>
              <w:spacing w:line="136" w:lineRule="exact"/>
              <w:ind w:left="98"/>
              <w:rPr>
                <w:b/>
                <w:sz w:val="12"/>
              </w:rPr>
            </w:pPr>
            <w:r>
              <w:rPr>
                <w:b/>
                <w:color w:val="231F20"/>
                <w:w w:val="140"/>
                <w:sz w:val="12"/>
              </w:rPr>
              <w:t>S/N</w:t>
            </w:r>
          </w:p>
        </w:tc>
        <w:tc>
          <w:tcPr>
            <w:tcW w:w="1676" w:type="dxa"/>
          </w:tcPr>
          <w:p w14:paraId="0DDE89D9" w14:textId="77777777" w:rsidR="009948F1" w:rsidRDefault="00BC0563">
            <w:pPr>
              <w:pStyle w:val="TableParagraph"/>
              <w:spacing w:line="136" w:lineRule="exact"/>
              <w:ind w:left="98"/>
              <w:rPr>
                <w:b/>
                <w:sz w:val="12"/>
              </w:rPr>
            </w:pPr>
            <w:r>
              <w:rPr>
                <w:b/>
                <w:color w:val="231F20"/>
                <w:w w:val="140"/>
                <w:sz w:val="12"/>
              </w:rPr>
              <w:t>Profession</w:t>
            </w:r>
          </w:p>
        </w:tc>
        <w:tc>
          <w:tcPr>
            <w:tcW w:w="845" w:type="dxa"/>
          </w:tcPr>
          <w:p w14:paraId="2D5B0806" w14:textId="77777777" w:rsidR="009948F1" w:rsidRDefault="00BC0563">
            <w:pPr>
              <w:pStyle w:val="TableParagraph"/>
              <w:spacing w:line="278" w:lineRule="auto"/>
              <w:ind w:left="98" w:right="276"/>
              <w:rPr>
                <w:b/>
                <w:sz w:val="12"/>
              </w:rPr>
            </w:pPr>
            <w:r>
              <w:rPr>
                <w:b/>
                <w:color w:val="231F20"/>
                <w:w w:val="135"/>
                <w:sz w:val="12"/>
              </w:rPr>
              <w:t>UPTH (3</w:t>
            </w:r>
            <w:r>
              <w:rPr>
                <w:b/>
                <w:color w:val="231F20"/>
                <w:w w:val="135"/>
                <w:sz w:val="12"/>
                <w:vertAlign w:val="superscript"/>
              </w:rPr>
              <w:t>0</w:t>
            </w:r>
          </w:p>
          <w:p w14:paraId="184F9EE1" w14:textId="77777777" w:rsidR="009948F1" w:rsidRDefault="00BC0563">
            <w:pPr>
              <w:pStyle w:val="TableParagraph"/>
              <w:ind w:left="98"/>
              <w:rPr>
                <w:b/>
                <w:sz w:val="12"/>
              </w:rPr>
            </w:pPr>
            <w:r>
              <w:rPr>
                <w:b/>
                <w:color w:val="231F20"/>
                <w:w w:val="140"/>
                <w:sz w:val="12"/>
              </w:rPr>
              <w:t>level)</w:t>
            </w:r>
          </w:p>
        </w:tc>
        <w:tc>
          <w:tcPr>
            <w:tcW w:w="942" w:type="dxa"/>
          </w:tcPr>
          <w:p w14:paraId="418EE944" w14:textId="77777777" w:rsidR="009948F1" w:rsidRDefault="00BC0563">
            <w:pPr>
              <w:pStyle w:val="TableParagraph"/>
              <w:spacing w:line="136" w:lineRule="exact"/>
              <w:ind w:left="98"/>
              <w:rPr>
                <w:b/>
                <w:sz w:val="12"/>
              </w:rPr>
            </w:pPr>
            <w:r>
              <w:rPr>
                <w:b/>
                <w:color w:val="231F20"/>
                <w:w w:val="140"/>
                <w:sz w:val="12"/>
              </w:rPr>
              <w:t>RSHMB</w:t>
            </w:r>
          </w:p>
          <w:p w14:paraId="2297B324" w14:textId="77777777" w:rsidR="009948F1" w:rsidRDefault="00BC0563">
            <w:pPr>
              <w:pStyle w:val="TableParagraph"/>
              <w:spacing w:before="22"/>
              <w:ind w:left="98"/>
              <w:rPr>
                <w:b/>
                <w:sz w:val="12"/>
              </w:rPr>
            </w:pPr>
            <w:r>
              <w:rPr>
                <w:b/>
                <w:color w:val="231F20"/>
                <w:w w:val="135"/>
                <w:sz w:val="12"/>
              </w:rPr>
              <w:t>(2</w:t>
            </w:r>
            <w:r>
              <w:rPr>
                <w:b/>
                <w:color w:val="231F20"/>
                <w:w w:val="135"/>
                <w:sz w:val="12"/>
                <w:vertAlign w:val="superscript"/>
              </w:rPr>
              <w:t>0</w:t>
            </w:r>
            <w:r>
              <w:rPr>
                <w:b/>
                <w:color w:val="231F20"/>
                <w:w w:val="135"/>
                <w:sz w:val="12"/>
              </w:rPr>
              <w:t xml:space="preserve"> level)</w:t>
            </w:r>
          </w:p>
        </w:tc>
        <w:tc>
          <w:tcPr>
            <w:tcW w:w="807" w:type="dxa"/>
          </w:tcPr>
          <w:p w14:paraId="30C032F6" w14:textId="77777777" w:rsidR="009948F1" w:rsidRDefault="00BC0563">
            <w:pPr>
              <w:pStyle w:val="TableParagraph"/>
              <w:spacing w:line="276" w:lineRule="auto"/>
              <w:ind w:left="98" w:right="193"/>
              <w:rPr>
                <w:b/>
                <w:sz w:val="15"/>
              </w:rPr>
            </w:pPr>
            <w:r>
              <w:rPr>
                <w:b/>
                <w:color w:val="231F20"/>
                <w:w w:val="135"/>
                <w:sz w:val="12"/>
              </w:rPr>
              <w:t xml:space="preserve">SMOH </w:t>
            </w:r>
            <w:r>
              <w:rPr>
                <w:b/>
                <w:color w:val="231F20"/>
                <w:w w:val="140"/>
                <w:sz w:val="12"/>
              </w:rPr>
              <w:t>(HQ)</w:t>
            </w:r>
            <w:r>
              <w:rPr>
                <w:b/>
                <w:color w:val="231F20"/>
                <w:w w:val="140"/>
                <w:sz w:val="15"/>
              </w:rPr>
              <w:t>*</w:t>
            </w:r>
          </w:p>
        </w:tc>
        <w:tc>
          <w:tcPr>
            <w:tcW w:w="1225" w:type="dxa"/>
          </w:tcPr>
          <w:p w14:paraId="586FDAC3" w14:textId="77777777" w:rsidR="009948F1" w:rsidRDefault="00BC0563">
            <w:pPr>
              <w:pStyle w:val="TableParagraph"/>
              <w:spacing w:line="278" w:lineRule="auto"/>
              <w:ind w:left="98"/>
              <w:rPr>
                <w:b/>
                <w:sz w:val="12"/>
              </w:rPr>
            </w:pPr>
            <w:r>
              <w:rPr>
                <w:b/>
                <w:color w:val="231F20"/>
                <w:w w:val="135"/>
                <w:sz w:val="12"/>
              </w:rPr>
              <w:t xml:space="preserve">RSPHCMB </w:t>
            </w:r>
            <w:r>
              <w:rPr>
                <w:b/>
                <w:color w:val="231F20"/>
                <w:w w:val="140"/>
                <w:sz w:val="12"/>
              </w:rPr>
              <w:t>(PHC)</w:t>
            </w:r>
          </w:p>
        </w:tc>
        <w:tc>
          <w:tcPr>
            <w:tcW w:w="1112" w:type="dxa"/>
          </w:tcPr>
          <w:p w14:paraId="56284B0C" w14:textId="77777777" w:rsidR="009948F1" w:rsidRDefault="00BC0563">
            <w:pPr>
              <w:pStyle w:val="TableParagraph"/>
              <w:spacing w:line="278" w:lineRule="auto"/>
              <w:ind w:left="97"/>
              <w:rPr>
                <w:b/>
                <w:sz w:val="12"/>
              </w:rPr>
            </w:pPr>
            <w:r>
              <w:rPr>
                <w:b/>
                <w:color w:val="231F20"/>
                <w:w w:val="140"/>
                <w:sz w:val="12"/>
              </w:rPr>
              <w:t xml:space="preserve">Private </w:t>
            </w:r>
            <w:r>
              <w:rPr>
                <w:b/>
                <w:color w:val="231F20"/>
                <w:w w:val="135"/>
                <w:sz w:val="12"/>
              </w:rPr>
              <w:t>Hospitals</w:t>
            </w:r>
          </w:p>
        </w:tc>
        <w:tc>
          <w:tcPr>
            <w:tcW w:w="1112" w:type="dxa"/>
          </w:tcPr>
          <w:p w14:paraId="62D3EDE3" w14:textId="77777777" w:rsidR="009948F1" w:rsidRDefault="00BC0563">
            <w:pPr>
              <w:pStyle w:val="TableParagraph"/>
              <w:spacing w:line="278" w:lineRule="auto"/>
              <w:ind w:left="97" w:right="390"/>
              <w:rPr>
                <w:b/>
                <w:sz w:val="12"/>
              </w:rPr>
            </w:pPr>
            <w:r>
              <w:rPr>
                <w:b/>
                <w:color w:val="231F20"/>
                <w:w w:val="135"/>
                <w:sz w:val="12"/>
              </w:rPr>
              <w:t xml:space="preserve">Private- </w:t>
            </w:r>
            <w:r>
              <w:rPr>
                <w:b/>
                <w:color w:val="231F20"/>
                <w:w w:val="140"/>
                <w:sz w:val="12"/>
              </w:rPr>
              <w:t>Public</w:t>
            </w:r>
          </w:p>
          <w:p w14:paraId="775A1832" w14:textId="77777777" w:rsidR="009948F1" w:rsidRDefault="00BC0563">
            <w:pPr>
              <w:pStyle w:val="TableParagraph"/>
              <w:ind w:left="97"/>
              <w:rPr>
                <w:b/>
                <w:sz w:val="12"/>
              </w:rPr>
            </w:pPr>
            <w:r>
              <w:rPr>
                <w:b/>
                <w:color w:val="231F20"/>
                <w:w w:val="140"/>
                <w:sz w:val="12"/>
              </w:rPr>
              <w:t>Hospitals</w:t>
            </w:r>
          </w:p>
        </w:tc>
        <w:tc>
          <w:tcPr>
            <w:tcW w:w="774" w:type="dxa"/>
          </w:tcPr>
          <w:p w14:paraId="565F243C" w14:textId="77777777" w:rsidR="009948F1" w:rsidRDefault="00BC0563">
            <w:pPr>
              <w:pStyle w:val="TableParagraph"/>
              <w:spacing w:line="136" w:lineRule="exact"/>
              <w:ind w:left="98"/>
              <w:rPr>
                <w:b/>
                <w:sz w:val="12"/>
              </w:rPr>
            </w:pPr>
            <w:r>
              <w:rPr>
                <w:b/>
                <w:color w:val="231F20"/>
                <w:w w:val="140"/>
                <w:sz w:val="12"/>
              </w:rPr>
              <w:t>Total</w:t>
            </w:r>
          </w:p>
        </w:tc>
      </w:tr>
      <w:tr w:rsidR="009948F1" w14:paraId="0B5863D5" w14:textId="77777777">
        <w:trPr>
          <w:trHeight w:val="319"/>
        </w:trPr>
        <w:tc>
          <w:tcPr>
            <w:tcW w:w="544" w:type="dxa"/>
          </w:tcPr>
          <w:p w14:paraId="194E6903" w14:textId="77777777" w:rsidR="009948F1" w:rsidRDefault="00BC0563">
            <w:pPr>
              <w:pStyle w:val="TableParagraph"/>
              <w:spacing w:line="137" w:lineRule="exact"/>
              <w:ind w:left="98"/>
              <w:rPr>
                <w:sz w:val="12"/>
              </w:rPr>
            </w:pPr>
            <w:r>
              <w:rPr>
                <w:color w:val="231F20"/>
                <w:w w:val="138"/>
                <w:sz w:val="12"/>
              </w:rPr>
              <w:t>1</w:t>
            </w:r>
          </w:p>
        </w:tc>
        <w:tc>
          <w:tcPr>
            <w:tcW w:w="1676" w:type="dxa"/>
          </w:tcPr>
          <w:p w14:paraId="701F5441" w14:textId="77777777" w:rsidR="009948F1" w:rsidRDefault="00BC0563">
            <w:pPr>
              <w:pStyle w:val="TableParagraph"/>
              <w:spacing w:line="137" w:lineRule="exact"/>
              <w:ind w:left="98"/>
              <w:rPr>
                <w:sz w:val="12"/>
              </w:rPr>
            </w:pPr>
            <w:r>
              <w:rPr>
                <w:color w:val="231F20"/>
                <w:w w:val="140"/>
                <w:sz w:val="12"/>
              </w:rPr>
              <w:t>Doctors</w:t>
            </w:r>
          </w:p>
          <w:p w14:paraId="7CF03C58" w14:textId="77777777" w:rsidR="009948F1" w:rsidRDefault="00BC0563">
            <w:pPr>
              <w:pStyle w:val="TableParagraph"/>
              <w:spacing w:before="22"/>
              <w:ind w:left="98"/>
              <w:rPr>
                <w:sz w:val="12"/>
              </w:rPr>
            </w:pPr>
            <w:r>
              <w:rPr>
                <w:color w:val="231F20"/>
                <w:w w:val="140"/>
                <w:sz w:val="12"/>
              </w:rPr>
              <w:t>&amp; dentists</w:t>
            </w:r>
          </w:p>
        </w:tc>
        <w:tc>
          <w:tcPr>
            <w:tcW w:w="845" w:type="dxa"/>
          </w:tcPr>
          <w:p w14:paraId="2747EA31" w14:textId="77777777" w:rsidR="009948F1" w:rsidRDefault="00BC0563">
            <w:pPr>
              <w:pStyle w:val="TableParagraph"/>
              <w:spacing w:line="137" w:lineRule="exact"/>
              <w:ind w:left="98"/>
              <w:rPr>
                <w:sz w:val="12"/>
              </w:rPr>
            </w:pPr>
            <w:r>
              <w:rPr>
                <w:color w:val="231F20"/>
                <w:w w:val="140"/>
                <w:sz w:val="12"/>
              </w:rPr>
              <w:t>800</w:t>
            </w:r>
          </w:p>
        </w:tc>
        <w:tc>
          <w:tcPr>
            <w:tcW w:w="942" w:type="dxa"/>
          </w:tcPr>
          <w:p w14:paraId="0CF014C6" w14:textId="77777777" w:rsidR="009948F1" w:rsidRDefault="00BC0563">
            <w:pPr>
              <w:pStyle w:val="TableParagraph"/>
              <w:spacing w:line="137" w:lineRule="exact"/>
              <w:ind w:left="98"/>
              <w:rPr>
                <w:sz w:val="12"/>
              </w:rPr>
            </w:pPr>
            <w:r>
              <w:rPr>
                <w:color w:val="231F20"/>
                <w:w w:val="140"/>
                <w:sz w:val="12"/>
              </w:rPr>
              <w:t>233</w:t>
            </w:r>
          </w:p>
        </w:tc>
        <w:tc>
          <w:tcPr>
            <w:tcW w:w="807" w:type="dxa"/>
          </w:tcPr>
          <w:p w14:paraId="7159A188" w14:textId="77777777" w:rsidR="009948F1" w:rsidRDefault="00BC0563">
            <w:pPr>
              <w:pStyle w:val="TableParagraph"/>
              <w:spacing w:line="166" w:lineRule="exact"/>
              <w:ind w:left="98"/>
              <w:rPr>
                <w:b/>
                <w:sz w:val="15"/>
              </w:rPr>
            </w:pPr>
            <w:r>
              <w:rPr>
                <w:color w:val="231F20"/>
                <w:w w:val="135"/>
                <w:sz w:val="12"/>
              </w:rPr>
              <w:t>80</w:t>
            </w:r>
            <w:r>
              <w:rPr>
                <w:b/>
                <w:color w:val="231F20"/>
                <w:w w:val="135"/>
                <w:sz w:val="15"/>
              </w:rPr>
              <w:t>*</w:t>
            </w:r>
          </w:p>
        </w:tc>
        <w:tc>
          <w:tcPr>
            <w:tcW w:w="1225" w:type="dxa"/>
          </w:tcPr>
          <w:p w14:paraId="1696C1B0" w14:textId="77777777" w:rsidR="009948F1" w:rsidRDefault="00BC0563">
            <w:pPr>
              <w:pStyle w:val="TableParagraph"/>
              <w:spacing w:line="137" w:lineRule="exact"/>
              <w:ind w:left="98"/>
              <w:rPr>
                <w:sz w:val="12"/>
              </w:rPr>
            </w:pPr>
            <w:r>
              <w:rPr>
                <w:color w:val="231F20"/>
                <w:w w:val="140"/>
                <w:sz w:val="12"/>
              </w:rPr>
              <w:t>245</w:t>
            </w:r>
          </w:p>
        </w:tc>
        <w:tc>
          <w:tcPr>
            <w:tcW w:w="1112" w:type="dxa"/>
          </w:tcPr>
          <w:p w14:paraId="30914A57" w14:textId="77777777" w:rsidR="009948F1" w:rsidRDefault="00BC0563">
            <w:pPr>
              <w:pStyle w:val="TableParagraph"/>
              <w:spacing w:line="137" w:lineRule="exact"/>
              <w:ind w:left="97"/>
              <w:rPr>
                <w:sz w:val="12"/>
              </w:rPr>
            </w:pPr>
            <w:r>
              <w:rPr>
                <w:color w:val="231F20"/>
                <w:w w:val="140"/>
                <w:sz w:val="12"/>
              </w:rPr>
              <w:t>399</w:t>
            </w:r>
          </w:p>
        </w:tc>
        <w:tc>
          <w:tcPr>
            <w:tcW w:w="1112" w:type="dxa"/>
          </w:tcPr>
          <w:p w14:paraId="50DDB76F" w14:textId="77777777" w:rsidR="009948F1" w:rsidRDefault="00BC0563">
            <w:pPr>
              <w:pStyle w:val="TableParagraph"/>
              <w:spacing w:line="137" w:lineRule="exact"/>
              <w:ind w:left="97"/>
              <w:rPr>
                <w:sz w:val="12"/>
              </w:rPr>
            </w:pPr>
            <w:r>
              <w:rPr>
                <w:color w:val="231F20"/>
                <w:w w:val="140"/>
                <w:sz w:val="12"/>
              </w:rPr>
              <w:t>35</w:t>
            </w:r>
          </w:p>
        </w:tc>
        <w:tc>
          <w:tcPr>
            <w:tcW w:w="774" w:type="dxa"/>
          </w:tcPr>
          <w:p w14:paraId="64D2F045" w14:textId="77777777" w:rsidR="009948F1" w:rsidRDefault="00BC0563">
            <w:pPr>
              <w:pStyle w:val="TableParagraph"/>
              <w:spacing w:line="137" w:lineRule="exact"/>
              <w:ind w:left="98"/>
              <w:rPr>
                <w:sz w:val="12"/>
              </w:rPr>
            </w:pPr>
            <w:r>
              <w:rPr>
                <w:color w:val="231F20"/>
                <w:w w:val="140"/>
                <w:sz w:val="12"/>
              </w:rPr>
              <w:t>1792</w:t>
            </w:r>
          </w:p>
        </w:tc>
      </w:tr>
      <w:tr w:rsidR="009948F1" w14:paraId="2374B042" w14:textId="77777777">
        <w:trPr>
          <w:trHeight w:val="317"/>
        </w:trPr>
        <w:tc>
          <w:tcPr>
            <w:tcW w:w="544" w:type="dxa"/>
          </w:tcPr>
          <w:p w14:paraId="58FA90E8" w14:textId="77777777" w:rsidR="009948F1" w:rsidRDefault="00BC0563">
            <w:pPr>
              <w:pStyle w:val="TableParagraph"/>
              <w:spacing w:line="137" w:lineRule="exact"/>
              <w:ind w:left="98"/>
              <w:rPr>
                <w:sz w:val="12"/>
              </w:rPr>
            </w:pPr>
            <w:r>
              <w:rPr>
                <w:color w:val="231F20"/>
                <w:w w:val="138"/>
                <w:sz w:val="12"/>
              </w:rPr>
              <w:t>2</w:t>
            </w:r>
          </w:p>
        </w:tc>
        <w:tc>
          <w:tcPr>
            <w:tcW w:w="1676" w:type="dxa"/>
          </w:tcPr>
          <w:p w14:paraId="1F960CC5" w14:textId="77777777" w:rsidR="009948F1" w:rsidRDefault="00BC0563">
            <w:pPr>
              <w:pStyle w:val="TableParagraph"/>
              <w:spacing w:line="137" w:lineRule="exact"/>
              <w:ind w:left="98"/>
              <w:rPr>
                <w:sz w:val="12"/>
              </w:rPr>
            </w:pPr>
            <w:r>
              <w:rPr>
                <w:color w:val="231F20"/>
                <w:w w:val="140"/>
                <w:sz w:val="12"/>
              </w:rPr>
              <w:t>Nurses</w:t>
            </w:r>
            <w:r>
              <w:rPr>
                <w:color w:val="231F20"/>
                <w:spacing w:val="-12"/>
                <w:w w:val="140"/>
                <w:sz w:val="12"/>
              </w:rPr>
              <w:t xml:space="preserve"> </w:t>
            </w:r>
            <w:r>
              <w:rPr>
                <w:color w:val="231F20"/>
                <w:w w:val="140"/>
                <w:sz w:val="12"/>
              </w:rPr>
              <w:t>&amp;</w:t>
            </w:r>
          </w:p>
          <w:p w14:paraId="5A74980A" w14:textId="77777777" w:rsidR="009948F1" w:rsidRDefault="00BC0563">
            <w:pPr>
              <w:pStyle w:val="TableParagraph"/>
              <w:spacing w:before="22"/>
              <w:ind w:left="98"/>
              <w:rPr>
                <w:sz w:val="12"/>
              </w:rPr>
            </w:pPr>
            <w:r>
              <w:rPr>
                <w:color w:val="231F20"/>
                <w:w w:val="140"/>
                <w:sz w:val="12"/>
              </w:rPr>
              <w:t>Midwives</w:t>
            </w:r>
          </w:p>
        </w:tc>
        <w:tc>
          <w:tcPr>
            <w:tcW w:w="845" w:type="dxa"/>
          </w:tcPr>
          <w:p w14:paraId="45F9937F" w14:textId="77777777" w:rsidR="009948F1" w:rsidRDefault="00BC0563">
            <w:pPr>
              <w:pStyle w:val="TableParagraph"/>
              <w:spacing w:line="137" w:lineRule="exact"/>
              <w:ind w:left="98"/>
              <w:rPr>
                <w:sz w:val="12"/>
              </w:rPr>
            </w:pPr>
            <w:r>
              <w:rPr>
                <w:color w:val="231F20"/>
                <w:w w:val="140"/>
                <w:sz w:val="12"/>
              </w:rPr>
              <w:t>700</w:t>
            </w:r>
          </w:p>
        </w:tc>
        <w:tc>
          <w:tcPr>
            <w:tcW w:w="942" w:type="dxa"/>
          </w:tcPr>
          <w:p w14:paraId="129C3D24" w14:textId="77777777" w:rsidR="009948F1" w:rsidRDefault="00BC0563">
            <w:pPr>
              <w:pStyle w:val="TableParagraph"/>
              <w:spacing w:line="137" w:lineRule="exact"/>
              <w:ind w:left="98"/>
              <w:rPr>
                <w:sz w:val="12"/>
              </w:rPr>
            </w:pPr>
            <w:r>
              <w:rPr>
                <w:color w:val="231F20"/>
                <w:w w:val="140"/>
                <w:sz w:val="12"/>
              </w:rPr>
              <w:t>1308</w:t>
            </w:r>
          </w:p>
        </w:tc>
        <w:tc>
          <w:tcPr>
            <w:tcW w:w="807" w:type="dxa"/>
          </w:tcPr>
          <w:p w14:paraId="0EE244EE" w14:textId="77777777" w:rsidR="009948F1" w:rsidRDefault="00BC0563">
            <w:pPr>
              <w:pStyle w:val="TableParagraph"/>
              <w:spacing w:line="166" w:lineRule="exact"/>
              <w:ind w:left="98"/>
              <w:rPr>
                <w:b/>
                <w:sz w:val="15"/>
              </w:rPr>
            </w:pPr>
            <w:r>
              <w:rPr>
                <w:color w:val="231F20"/>
                <w:w w:val="135"/>
                <w:sz w:val="12"/>
              </w:rPr>
              <w:t>240</w:t>
            </w:r>
            <w:r>
              <w:rPr>
                <w:b/>
                <w:color w:val="231F20"/>
                <w:w w:val="135"/>
                <w:sz w:val="15"/>
              </w:rPr>
              <w:t>*</w:t>
            </w:r>
          </w:p>
        </w:tc>
        <w:tc>
          <w:tcPr>
            <w:tcW w:w="1225" w:type="dxa"/>
          </w:tcPr>
          <w:p w14:paraId="197B1071" w14:textId="77777777" w:rsidR="009948F1" w:rsidRDefault="00BC0563">
            <w:pPr>
              <w:pStyle w:val="TableParagraph"/>
              <w:spacing w:line="137" w:lineRule="exact"/>
              <w:ind w:left="98"/>
              <w:rPr>
                <w:sz w:val="12"/>
              </w:rPr>
            </w:pPr>
            <w:r>
              <w:rPr>
                <w:color w:val="231F20"/>
                <w:w w:val="140"/>
                <w:sz w:val="12"/>
              </w:rPr>
              <w:t>500</w:t>
            </w:r>
          </w:p>
        </w:tc>
        <w:tc>
          <w:tcPr>
            <w:tcW w:w="1112" w:type="dxa"/>
          </w:tcPr>
          <w:p w14:paraId="21327873" w14:textId="77777777" w:rsidR="009948F1" w:rsidRDefault="00BC0563">
            <w:pPr>
              <w:pStyle w:val="TableParagraph"/>
              <w:spacing w:line="137" w:lineRule="exact"/>
              <w:ind w:left="97"/>
              <w:rPr>
                <w:sz w:val="12"/>
              </w:rPr>
            </w:pPr>
            <w:r>
              <w:rPr>
                <w:color w:val="231F20"/>
                <w:w w:val="140"/>
                <w:sz w:val="12"/>
              </w:rPr>
              <w:t>549</w:t>
            </w:r>
          </w:p>
        </w:tc>
        <w:tc>
          <w:tcPr>
            <w:tcW w:w="1112" w:type="dxa"/>
          </w:tcPr>
          <w:p w14:paraId="28438C80" w14:textId="77777777" w:rsidR="009948F1" w:rsidRDefault="00BC0563">
            <w:pPr>
              <w:pStyle w:val="TableParagraph"/>
              <w:spacing w:line="137" w:lineRule="exact"/>
              <w:ind w:left="97"/>
              <w:rPr>
                <w:sz w:val="12"/>
              </w:rPr>
            </w:pPr>
            <w:r>
              <w:rPr>
                <w:color w:val="231F20"/>
                <w:w w:val="140"/>
                <w:sz w:val="12"/>
              </w:rPr>
              <w:t>32</w:t>
            </w:r>
          </w:p>
        </w:tc>
        <w:tc>
          <w:tcPr>
            <w:tcW w:w="774" w:type="dxa"/>
          </w:tcPr>
          <w:p w14:paraId="4271D13C" w14:textId="77777777" w:rsidR="009948F1" w:rsidRDefault="00BC0563">
            <w:pPr>
              <w:pStyle w:val="TableParagraph"/>
              <w:spacing w:line="137" w:lineRule="exact"/>
              <w:ind w:left="98"/>
              <w:rPr>
                <w:sz w:val="12"/>
              </w:rPr>
            </w:pPr>
            <w:r>
              <w:rPr>
                <w:color w:val="231F20"/>
                <w:w w:val="140"/>
                <w:sz w:val="12"/>
              </w:rPr>
              <w:t>3329</w:t>
            </w:r>
          </w:p>
        </w:tc>
      </w:tr>
      <w:tr w:rsidR="009948F1" w14:paraId="25CE5C01" w14:textId="77777777">
        <w:trPr>
          <w:trHeight w:val="157"/>
        </w:trPr>
        <w:tc>
          <w:tcPr>
            <w:tcW w:w="544" w:type="dxa"/>
          </w:tcPr>
          <w:p w14:paraId="4E9A9610" w14:textId="77777777" w:rsidR="009948F1" w:rsidRDefault="00BC0563">
            <w:pPr>
              <w:pStyle w:val="TableParagraph"/>
              <w:spacing w:line="137" w:lineRule="exact"/>
              <w:ind w:left="98"/>
              <w:rPr>
                <w:sz w:val="12"/>
              </w:rPr>
            </w:pPr>
            <w:r>
              <w:rPr>
                <w:color w:val="231F20"/>
                <w:w w:val="138"/>
                <w:sz w:val="12"/>
              </w:rPr>
              <w:t>3</w:t>
            </w:r>
          </w:p>
        </w:tc>
        <w:tc>
          <w:tcPr>
            <w:tcW w:w="1676" w:type="dxa"/>
          </w:tcPr>
          <w:p w14:paraId="1B7BC599" w14:textId="77777777" w:rsidR="009948F1" w:rsidRDefault="00BC0563">
            <w:pPr>
              <w:pStyle w:val="TableParagraph"/>
              <w:spacing w:line="137" w:lineRule="exact"/>
              <w:ind w:left="98"/>
              <w:rPr>
                <w:sz w:val="12"/>
              </w:rPr>
            </w:pPr>
            <w:r>
              <w:rPr>
                <w:color w:val="231F20"/>
                <w:w w:val="140"/>
                <w:sz w:val="12"/>
              </w:rPr>
              <w:t>pharmacist</w:t>
            </w:r>
          </w:p>
        </w:tc>
        <w:tc>
          <w:tcPr>
            <w:tcW w:w="845" w:type="dxa"/>
          </w:tcPr>
          <w:p w14:paraId="765833A1" w14:textId="77777777" w:rsidR="009948F1" w:rsidRDefault="00BC0563">
            <w:pPr>
              <w:pStyle w:val="TableParagraph"/>
              <w:spacing w:line="137" w:lineRule="exact"/>
              <w:ind w:left="98"/>
              <w:rPr>
                <w:sz w:val="12"/>
              </w:rPr>
            </w:pPr>
            <w:r>
              <w:rPr>
                <w:color w:val="231F20"/>
                <w:w w:val="140"/>
                <w:sz w:val="12"/>
              </w:rPr>
              <w:t>80</w:t>
            </w:r>
          </w:p>
        </w:tc>
        <w:tc>
          <w:tcPr>
            <w:tcW w:w="942" w:type="dxa"/>
          </w:tcPr>
          <w:p w14:paraId="30C19868" w14:textId="77777777" w:rsidR="009948F1" w:rsidRDefault="00BC0563">
            <w:pPr>
              <w:pStyle w:val="TableParagraph"/>
              <w:spacing w:line="137" w:lineRule="exact"/>
              <w:ind w:left="98"/>
              <w:rPr>
                <w:sz w:val="12"/>
              </w:rPr>
            </w:pPr>
            <w:r>
              <w:rPr>
                <w:color w:val="231F20"/>
                <w:w w:val="140"/>
                <w:sz w:val="12"/>
              </w:rPr>
              <w:t>28</w:t>
            </w:r>
          </w:p>
        </w:tc>
        <w:tc>
          <w:tcPr>
            <w:tcW w:w="807" w:type="dxa"/>
          </w:tcPr>
          <w:p w14:paraId="0E009D6F" w14:textId="77777777" w:rsidR="009948F1" w:rsidRDefault="00BC0563">
            <w:pPr>
              <w:pStyle w:val="TableParagraph"/>
              <w:spacing w:line="137" w:lineRule="exact"/>
              <w:ind w:left="98"/>
              <w:rPr>
                <w:sz w:val="12"/>
              </w:rPr>
            </w:pPr>
            <w:r>
              <w:rPr>
                <w:color w:val="231F20"/>
                <w:w w:val="138"/>
                <w:sz w:val="12"/>
              </w:rPr>
              <w:t>4</w:t>
            </w:r>
          </w:p>
        </w:tc>
        <w:tc>
          <w:tcPr>
            <w:tcW w:w="1225" w:type="dxa"/>
          </w:tcPr>
          <w:p w14:paraId="48A46206" w14:textId="77777777" w:rsidR="009948F1" w:rsidRDefault="00BC0563">
            <w:pPr>
              <w:pStyle w:val="TableParagraph"/>
              <w:spacing w:line="137" w:lineRule="exact"/>
              <w:ind w:left="98"/>
              <w:rPr>
                <w:sz w:val="12"/>
              </w:rPr>
            </w:pPr>
            <w:r>
              <w:rPr>
                <w:color w:val="231F20"/>
                <w:w w:val="140"/>
                <w:sz w:val="12"/>
              </w:rPr>
              <w:t>36</w:t>
            </w:r>
          </w:p>
        </w:tc>
        <w:tc>
          <w:tcPr>
            <w:tcW w:w="1112" w:type="dxa"/>
          </w:tcPr>
          <w:p w14:paraId="65514A95" w14:textId="77777777" w:rsidR="009948F1" w:rsidRDefault="00BC0563">
            <w:pPr>
              <w:pStyle w:val="TableParagraph"/>
              <w:spacing w:line="137" w:lineRule="exact"/>
              <w:ind w:left="97"/>
              <w:rPr>
                <w:sz w:val="12"/>
              </w:rPr>
            </w:pPr>
            <w:r>
              <w:rPr>
                <w:color w:val="231F20"/>
                <w:w w:val="140"/>
                <w:sz w:val="12"/>
              </w:rPr>
              <w:t>36</w:t>
            </w:r>
          </w:p>
        </w:tc>
        <w:tc>
          <w:tcPr>
            <w:tcW w:w="1112" w:type="dxa"/>
          </w:tcPr>
          <w:p w14:paraId="7AA71E20" w14:textId="77777777" w:rsidR="009948F1" w:rsidRDefault="00BC0563">
            <w:pPr>
              <w:pStyle w:val="TableParagraph"/>
              <w:spacing w:line="137" w:lineRule="exact"/>
              <w:ind w:left="97"/>
              <w:rPr>
                <w:sz w:val="12"/>
              </w:rPr>
            </w:pPr>
            <w:r>
              <w:rPr>
                <w:color w:val="231F20"/>
                <w:w w:val="138"/>
                <w:sz w:val="12"/>
              </w:rPr>
              <w:t>2</w:t>
            </w:r>
          </w:p>
        </w:tc>
        <w:tc>
          <w:tcPr>
            <w:tcW w:w="774" w:type="dxa"/>
          </w:tcPr>
          <w:p w14:paraId="783BB652" w14:textId="77777777" w:rsidR="009948F1" w:rsidRDefault="00BC0563">
            <w:pPr>
              <w:pStyle w:val="TableParagraph"/>
              <w:spacing w:line="137" w:lineRule="exact"/>
              <w:ind w:left="98"/>
              <w:rPr>
                <w:sz w:val="12"/>
              </w:rPr>
            </w:pPr>
            <w:r>
              <w:rPr>
                <w:color w:val="231F20"/>
                <w:w w:val="140"/>
                <w:sz w:val="12"/>
              </w:rPr>
              <w:t>186</w:t>
            </w:r>
          </w:p>
        </w:tc>
      </w:tr>
      <w:tr w:rsidR="009948F1" w14:paraId="0E22FAAF" w14:textId="77777777">
        <w:trPr>
          <w:trHeight w:val="319"/>
        </w:trPr>
        <w:tc>
          <w:tcPr>
            <w:tcW w:w="544" w:type="dxa"/>
          </w:tcPr>
          <w:p w14:paraId="78AC61B6" w14:textId="77777777" w:rsidR="009948F1" w:rsidRDefault="00BC0563">
            <w:pPr>
              <w:pStyle w:val="TableParagraph"/>
              <w:spacing w:before="1"/>
              <w:ind w:left="98"/>
              <w:rPr>
                <w:sz w:val="12"/>
              </w:rPr>
            </w:pPr>
            <w:r>
              <w:rPr>
                <w:color w:val="231F20"/>
                <w:w w:val="138"/>
                <w:sz w:val="12"/>
              </w:rPr>
              <w:t>4</w:t>
            </w:r>
          </w:p>
        </w:tc>
        <w:tc>
          <w:tcPr>
            <w:tcW w:w="1676" w:type="dxa"/>
          </w:tcPr>
          <w:p w14:paraId="082D6AAC" w14:textId="77777777" w:rsidR="009948F1" w:rsidRDefault="00BC0563">
            <w:pPr>
              <w:pStyle w:val="TableParagraph"/>
              <w:spacing w:before="1"/>
              <w:ind w:left="98"/>
              <w:rPr>
                <w:sz w:val="12"/>
              </w:rPr>
            </w:pPr>
            <w:r>
              <w:rPr>
                <w:color w:val="231F20"/>
                <w:w w:val="140"/>
                <w:sz w:val="12"/>
              </w:rPr>
              <w:t>Pharm.</w:t>
            </w:r>
          </w:p>
          <w:p w14:paraId="5161FD29" w14:textId="77777777" w:rsidR="009948F1" w:rsidRDefault="00BC0563">
            <w:pPr>
              <w:pStyle w:val="TableParagraph"/>
              <w:spacing w:before="22"/>
              <w:ind w:left="98"/>
              <w:rPr>
                <w:sz w:val="12"/>
              </w:rPr>
            </w:pPr>
            <w:r>
              <w:rPr>
                <w:color w:val="231F20"/>
                <w:w w:val="140"/>
                <w:sz w:val="12"/>
              </w:rPr>
              <w:t>Tech/asst</w:t>
            </w:r>
          </w:p>
        </w:tc>
        <w:tc>
          <w:tcPr>
            <w:tcW w:w="845" w:type="dxa"/>
          </w:tcPr>
          <w:p w14:paraId="3739DBF8" w14:textId="77777777" w:rsidR="009948F1" w:rsidRDefault="00BC0563">
            <w:pPr>
              <w:pStyle w:val="TableParagraph"/>
              <w:spacing w:before="1"/>
              <w:ind w:left="98"/>
              <w:rPr>
                <w:sz w:val="12"/>
              </w:rPr>
            </w:pPr>
            <w:r>
              <w:rPr>
                <w:color w:val="231F20"/>
                <w:w w:val="138"/>
                <w:sz w:val="12"/>
              </w:rPr>
              <w:t>0</w:t>
            </w:r>
          </w:p>
        </w:tc>
        <w:tc>
          <w:tcPr>
            <w:tcW w:w="942" w:type="dxa"/>
          </w:tcPr>
          <w:p w14:paraId="41B89D46" w14:textId="77777777" w:rsidR="009948F1" w:rsidRDefault="00BC0563">
            <w:pPr>
              <w:pStyle w:val="TableParagraph"/>
              <w:spacing w:before="1"/>
              <w:ind w:left="98"/>
              <w:rPr>
                <w:sz w:val="12"/>
              </w:rPr>
            </w:pPr>
            <w:r>
              <w:rPr>
                <w:color w:val="231F20"/>
                <w:w w:val="140"/>
                <w:sz w:val="12"/>
              </w:rPr>
              <w:t>73</w:t>
            </w:r>
          </w:p>
        </w:tc>
        <w:tc>
          <w:tcPr>
            <w:tcW w:w="807" w:type="dxa"/>
          </w:tcPr>
          <w:p w14:paraId="62765AA6" w14:textId="77777777" w:rsidR="009948F1" w:rsidRDefault="00BC0563">
            <w:pPr>
              <w:pStyle w:val="TableParagraph"/>
              <w:spacing w:before="1"/>
              <w:ind w:left="98"/>
              <w:rPr>
                <w:sz w:val="12"/>
              </w:rPr>
            </w:pPr>
            <w:r>
              <w:rPr>
                <w:color w:val="231F20"/>
                <w:w w:val="138"/>
                <w:sz w:val="12"/>
              </w:rPr>
              <w:t>6</w:t>
            </w:r>
          </w:p>
        </w:tc>
        <w:tc>
          <w:tcPr>
            <w:tcW w:w="1225" w:type="dxa"/>
          </w:tcPr>
          <w:p w14:paraId="7180726F" w14:textId="77777777" w:rsidR="009948F1" w:rsidRDefault="00BC0563">
            <w:pPr>
              <w:pStyle w:val="TableParagraph"/>
              <w:spacing w:before="1"/>
              <w:ind w:left="98"/>
              <w:rPr>
                <w:sz w:val="12"/>
              </w:rPr>
            </w:pPr>
            <w:r>
              <w:rPr>
                <w:color w:val="231F20"/>
                <w:w w:val="140"/>
                <w:sz w:val="12"/>
              </w:rPr>
              <w:t>251</w:t>
            </w:r>
          </w:p>
        </w:tc>
        <w:tc>
          <w:tcPr>
            <w:tcW w:w="1112" w:type="dxa"/>
          </w:tcPr>
          <w:p w14:paraId="67B30E3F" w14:textId="77777777" w:rsidR="009948F1" w:rsidRDefault="00BC0563">
            <w:pPr>
              <w:pStyle w:val="TableParagraph"/>
              <w:spacing w:before="1"/>
              <w:ind w:left="97"/>
              <w:rPr>
                <w:sz w:val="12"/>
              </w:rPr>
            </w:pPr>
            <w:r>
              <w:rPr>
                <w:color w:val="231F20"/>
                <w:w w:val="140"/>
                <w:sz w:val="12"/>
              </w:rPr>
              <w:t>77</w:t>
            </w:r>
          </w:p>
        </w:tc>
        <w:tc>
          <w:tcPr>
            <w:tcW w:w="1112" w:type="dxa"/>
          </w:tcPr>
          <w:p w14:paraId="5B3685E4" w14:textId="77777777" w:rsidR="009948F1" w:rsidRDefault="00BC0563">
            <w:pPr>
              <w:pStyle w:val="TableParagraph"/>
              <w:spacing w:before="1"/>
              <w:ind w:left="97"/>
              <w:rPr>
                <w:sz w:val="12"/>
              </w:rPr>
            </w:pPr>
            <w:r>
              <w:rPr>
                <w:color w:val="231F20"/>
                <w:w w:val="140"/>
                <w:sz w:val="12"/>
              </w:rPr>
              <w:t>18</w:t>
            </w:r>
          </w:p>
        </w:tc>
        <w:tc>
          <w:tcPr>
            <w:tcW w:w="774" w:type="dxa"/>
          </w:tcPr>
          <w:p w14:paraId="55BB5118" w14:textId="77777777" w:rsidR="009948F1" w:rsidRDefault="00BC0563">
            <w:pPr>
              <w:pStyle w:val="TableParagraph"/>
              <w:spacing w:before="1"/>
              <w:ind w:left="98"/>
              <w:rPr>
                <w:sz w:val="12"/>
              </w:rPr>
            </w:pPr>
            <w:r>
              <w:rPr>
                <w:color w:val="231F20"/>
                <w:w w:val="140"/>
                <w:sz w:val="12"/>
              </w:rPr>
              <w:t>425</w:t>
            </w:r>
          </w:p>
        </w:tc>
      </w:tr>
      <w:tr w:rsidR="009948F1" w14:paraId="0385C874" w14:textId="77777777">
        <w:trPr>
          <w:trHeight w:val="157"/>
        </w:trPr>
        <w:tc>
          <w:tcPr>
            <w:tcW w:w="544" w:type="dxa"/>
          </w:tcPr>
          <w:p w14:paraId="6EF7D3CD" w14:textId="77777777" w:rsidR="009948F1" w:rsidRDefault="00BC0563">
            <w:pPr>
              <w:pStyle w:val="TableParagraph"/>
              <w:spacing w:line="137" w:lineRule="exact"/>
              <w:ind w:left="98"/>
              <w:rPr>
                <w:sz w:val="12"/>
              </w:rPr>
            </w:pPr>
            <w:r>
              <w:rPr>
                <w:color w:val="231F20"/>
                <w:w w:val="138"/>
                <w:sz w:val="12"/>
              </w:rPr>
              <w:t>5</w:t>
            </w:r>
          </w:p>
        </w:tc>
        <w:tc>
          <w:tcPr>
            <w:tcW w:w="1676" w:type="dxa"/>
          </w:tcPr>
          <w:p w14:paraId="34856392" w14:textId="77777777" w:rsidR="009948F1" w:rsidRDefault="00BC0563">
            <w:pPr>
              <w:pStyle w:val="TableParagraph"/>
              <w:spacing w:line="137" w:lineRule="exact"/>
              <w:ind w:left="98"/>
              <w:rPr>
                <w:sz w:val="12"/>
              </w:rPr>
            </w:pPr>
            <w:r>
              <w:rPr>
                <w:color w:val="231F20"/>
                <w:w w:val="140"/>
                <w:sz w:val="12"/>
              </w:rPr>
              <w:t>Chews</w:t>
            </w:r>
          </w:p>
        </w:tc>
        <w:tc>
          <w:tcPr>
            <w:tcW w:w="845" w:type="dxa"/>
          </w:tcPr>
          <w:p w14:paraId="7C49BADE" w14:textId="77777777" w:rsidR="009948F1" w:rsidRDefault="00BC0563">
            <w:pPr>
              <w:pStyle w:val="TableParagraph"/>
              <w:spacing w:line="137" w:lineRule="exact"/>
              <w:ind w:left="98"/>
              <w:rPr>
                <w:sz w:val="12"/>
              </w:rPr>
            </w:pPr>
            <w:r>
              <w:rPr>
                <w:color w:val="231F20"/>
                <w:w w:val="138"/>
                <w:sz w:val="12"/>
              </w:rPr>
              <w:t>0</w:t>
            </w:r>
          </w:p>
        </w:tc>
        <w:tc>
          <w:tcPr>
            <w:tcW w:w="942" w:type="dxa"/>
          </w:tcPr>
          <w:p w14:paraId="3392C6E4" w14:textId="77777777" w:rsidR="009948F1" w:rsidRDefault="00BC0563">
            <w:pPr>
              <w:pStyle w:val="TableParagraph"/>
              <w:spacing w:line="137" w:lineRule="exact"/>
              <w:ind w:left="98"/>
              <w:rPr>
                <w:sz w:val="12"/>
              </w:rPr>
            </w:pPr>
            <w:r>
              <w:rPr>
                <w:color w:val="231F20"/>
                <w:w w:val="138"/>
                <w:sz w:val="12"/>
              </w:rPr>
              <w:t>0</w:t>
            </w:r>
          </w:p>
        </w:tc>
        <w:tc>
          <w:tcPr>
            <w:tcW w:w="807" w:type="dxa"/>
          </w:tcPr>
          <w:p w14:paraId="20E4F691" w14:textId="77777777" w:rsidR="009948F1" w:rsidRDefault="00BC0563">
            <w:pPr>
              <w:pStyle w:val="TableParagraph"/>
              <w:spacing w:line="137" w:lineRule="exact"/>
              <w:ind w:left="98"/>
              <w:rPr>
                <w:sz w:val="12"/>
              </w:rPr>
            </w:pPr>
            <w:r>
              <w:rPr>
                <w:color w:val="231F20"/>
                <w:w w:val="140"/>
                <w:sz w:val="12"/>
              </w:rPr>
              <w:t>47</w:t>
            </w:r>
          </w:p>
        </w:tc>
        <w:tc>
          <w:tcPr>
            <w:tcW w:w="1225" w:type="dxa"/>
          </w:tcPr>
          <w:p w14:paraId="0AD3D512" w14:textId="77777777" w:rsidR="009948F1" w:rsidRDefault="00BC0563">
            <w:pPr>
              <w:pStyle w:val="TableParagraph"/>
              <w:spacing w:line="137" w:lineRule="exact"/>
              <w:ind w:left="98"/>
              <w:rPr>
                <w:sz w:val="12"/>
              </w:rPr>
            </w:pPr>
            <w:r>
              <w:rPr>
                <w:color w:val="231F20"/>
                <w:w w:val="140"/>
                <w:sz w:val="12"/>
              </w:rPr>
              <w:t>2719</w:t>
            </w:r>
          </w:p>
        </w:tc>
        <w:tc>
          <w:tcPr>
            <w:tcW w:w="1112" w:type="dxa"/>
          </w:tcPr>
          <w:p w14:paraId="7BA1D672" w14:textId="77777777" w:rsidR="009948F1" w:rsidRDefault="00BC0563">
            <w:pPr>
              <w:pStyle w:val="TableParagraph"/>
              <w:spacing w:line="137" w:lineRule="exact"/>
              <w:ind w:left="97"/>
              <w:rPr>
                <w:sz w:val="12"/>
              </w:rPr>
            </w:pPr>
            <w:r>
              <w:rPr>
                <w:color w:val="231F20"/>
                <w:w w:val="138"/>
                <w:sz w:val="12"/>
              </w:rPr>
              <w:t>0</w:t>
            </w:r>
          </w:p>
        </w:tc>
        <w:tc>
          <w:tcPr>
            <w:tcW w:w="1112" w:type="dxa"/>
          </w:tcPr>
          <w:p w14:paraId="0AACDB7D" w14:textId="77777777" w:rsidR="009948F1" w:rsidRDefault="00BC0563">
            <w:pPr>
              <w:pStyle w:val="TableParagraph"/>
              <w:spacing w:line="137" w:lineRule="exact"/>
              <w:ind w:left="97"/>
              <w:rPr>
                <w:sz w:val="12"/>
              </w:rPr>
            </w:pPr>
            <w:r>
              <w:rPr>
                <w:color w:val="231F20"/>
                <w:w w:val="138"/>
                <w:sz w:val="12"/>
              </w:rPr>
              <w:t>0</w:t>
            </w:r>
          </w:p>
        </w:tc>
        <w:tc>
          <w:tcPr>
            <w:tcW w:w="774" w:type="dxa"/>
          </w:tcPr>
          <w:p w14:paraId="246CF87E" w14:textId="77777777" w:rsidR="009948F1" w:rsidRDefault="00BC0563">
            <w:pPr>
              <w:pStyle w:val="TableParagraph"/>
              <w:spacing w:line="137" w:lineRule="exact"/>
              <w:ind w:left="98"/>
              <w:rPr>
                <w:sz w:val="12"/>
              </w:rPr>
            </w:pPr>
            <w:r>
              <w:rPr>
                <w:color w:val="231F20"/>
                <w:w w:val="140"/>
                <w:sz w:val="12"/>
              </w:rPr>
              <w:t>2766</w:t>
            </w:r>
          </w:p>
        </w:tc>
      </w:tr>
      <w:tr w:rsidR="009948F1" w14:paraId="0688C60C" w14:textId="77777777">
        <w:trPr>
          <w:trHeight w:val="319"/>
        </w:trPr>
        <w:tc>
          <w:tcPr>
            <w:tcW w:w="544" w:type="dxa"/>
          </w:tcPr>
          <w:p w14:paraId="3E67B2FA" w14:textId="77777777" w:rsidR="009948F1" w:rsidRDefault="00BC0563">
            <w:pPr>
              <w:pStyle w:val="TableParagraph"/>
              <w:spacing w:line="137" w:lineRule="exact"/>
              <w:ind w:left="98"/>
              <w:rPr>
                <w:sz w:val="12"/>
              </w:rPr>
            </w:pPr>
            <w:r>
              <w:rPr>
                <w:color w:val="231F20"/>
                <w:w w:val="138"/>
                <w:sz w:val="12"/>
              </w:rPr>
              <w:t>6</w:t>
            </w:r>
          </w:p>
        </w:tc>
        <w:tc>
          <w:tcPr>
            <w:tcW w:w="1676" w:type="dxa"/>
          </w:tcPr>
          <w:p w14:paraId="2B49FA70" w14:textId="77777777" w:rsidR="009948F1" w:rsidRDefault="00BC0563">
            <w:pPr>
              <w:pStyle w:val="TableParagraph"/>
              <w:spacing w:line="137" w:lineRule="exact"/>
              <w:ind w:left="98"/>
              <w:rPr>
                <w:sz w:val="12"/>
              </w:rPr>
            </w:pPr>
            <w:proofErr w:type="spellStart"/>
            <w:r>
              <w:rPr>
                <w:color w:val="231F20"/>
                <w:w w:val="140"/>
                <w:sz w:val="12"/>
              </w:rPr>
              <w:t>Comm.Hlth</w:t>
            </w:r>
            <w:proofErr w:type="spellEnd"/>
          </w:p>
          <w:p w14:paraId="50195774" w14:textId="77777777" w:rsidR="009948F1" w:rsidRDefault="00BC0563">
            <w:pPr>
              <w:pStyle w:val="TableParagraph"/>
              <w:spacing w:before="24"/>
              <w:ind w:left="98"/>
              <w:rPr>
                <w:sz w:val="12"/>
              </w:rPr>
            </w:pPr>
            <w:r>
              <w:rPr>
                <w:color w:val="231F20"/>
                <w:w w:val="140"/>
                <w:sz w:val="12"/>
              </w:rPr>
              <w:t>Officers</w:t>
            </w:r>
          </w:p>
        </w:tc>
        <w:tc>
          <w:tcPr>
            <w:tcW w:w="845" w:type="dxa"/>
          </w:tcPr>
          <w:p w14:paraId="773CE2E4" w14:textId="77777777" w:rsidR="009948F1" w:rsidRDefault="00BC0563">
            <w:pPr>
              <w:pStyle w:val="TableParagraph"/>
              <w:spacing w:line="137" w:lineRule="exact"/>
              <w:ind w:left="98"/>
              <w:rPr>
                <w:sz w:val="12"/>
              </w:rPr>
            </w:pPr>
            <w:r>
              <w:rPr>
                <w:color w:val="231F20"/>
                <w:w w:val="138"/>
                <w:sz w:val="12"/>
              </w:rPr>
              <w:t>0</w:t>
            </w:r>
          </w:p>
        </w:tc>
        <w:tc>
          <w:tcPr>
            <w:tcW w:w="942" w:type="dxa"/>
          </w:tcPr>
          <w:p w14:paraId="75D9384A" w14:textId="77777777" w:rsidR="009948F1" w:rsidRDefault="00BC0563">
            <w:pPr>
              <w:pStyle w:val="TableParagraph"/>
              <w:spacing w:line="137" w:lineRule="exact"/>
              <w:ind w:left="98"/>
              <w:rPr>
                <w:sz w:val="12"/>
              </w:rPr>
            </w:pPr>
            <w:r>
              <w:rPr>
                <w:color w:val="231F20"/>
                <w:w w:val="138"/>
                <w:sz w:val="12"/>
              </w:rPr>
              <w:t>0</w:t>
            </w:r>
          </w:p>
        </w:tc>
        <w:tc>
          <w:tcPr>
            <w:tcW w:w="807" w:type="dxa"/>
          </w:tcPr>
          <w:p w14:paraId="29516BA4" w14:textId="77777777" w:rsidR="009948F1" w:rsidRDefault="00BC0563">
            <w:pPr>
              <w:pStyle w:val="TableParagraph"/>
              <w:spacing w:line="166" w:lineRule="exact"/>
              <w:ind w:left="98"/>
              <w:rPr>
                <w:b/>
                <w:sz w:val="15"/>
              </w:rPr>
            </w:pPr>
            <w:r>
              <w:rPr>
                <w:color w:val="231F20"/>
                <w:w w:val="135"/>
                <w:sz w:val="12"/>
              </w:rPr>
              <w:t>94</w:t>
            </w:r>
            <w:r>
              <w:rPr>
                <w:b/>
                <w:color w:val="231F20"/>
                <w:w w:val="135"/>
                <w:sz w:val="15"/>
              </w:rPr>
              <w:t>*</w:t>
            </w:r>
          </w:p>
        </w:tc>
        <w:tc>
          <w:tcPr>
            <w:tcW w:w="1225" w:type="dxa"/>
          </w:tcPr>
          <w:p w14:paraId="339B36B0" w14:textId="77777777" w:rsidR="009948F1" w:rsidRDefault="00BC0563">
            <w:pPr>
              <w:pStyle w:val="TableParagraph"/>
              <w:spacing w:line="137" w:lineRule="exact"/>
              <w:ind w:left="98"/>
              <w:rPr>
                <w:sz w:val="12"/>
              </w:rPr>
            </w:pPr>
            <w:r>
              <w:rPr>
                <w:color w:val="231F20"/>
                <w:w w:val="140"/>
                <w:sz w:val="12"/>
              </w:rPr>
              <w:t>265</w:t>
            </w:r>
          </w:p>
        </w:tc>
        <w:tc>
          <w:tcPr>
            <w:tcW w:w="1112" w:type="dxa"/>
          </w:tcPr>
          <w:p w14:paraId="648DDC0C" w14:textId="77777777" w:rsidR="009948F1" w:rsidRDefault="00BC0563">
            <w:pPr>
              <w:pStyle w:val="TableParagraph"/>
              <w:spacing w:line="137" w:lineRule="exact"/>
              <w:ind w:left="97"/>
              <w:rPr>
                <w:sz w:val="12"/>
              </w:rPr>
            </w:pPr>
            <w:r>
              <w:rPr>
                <w:color w:val="231F20"/>
                <w:w w:val="138"/>
                <w:sz w:val="12"/>
              </w:rPr>
              <w:t>0</w:t>
            </w:r>
          </w:p>
        </w:tc>
        <w:tc>
          <w:tcPr>
            <w:tcW w:w="1112" w:type="dxa"/>
          </w:tcPr>
          <w:p w14:paraId="313F9798" w14:textId="77777777" w:rsidR="009948F1" w:rsidRDefault="00BC0563">
            <w:pPr>
              <w:pStyle w:val="TableParagraph"/>
              <w:spacing w:line="137" w:lineRule="exact"/>
              <w:ind w:left="97"/>
              <w:rPr>
                <w:sz w:val="12"/>
              </w:rPr>
            </w:pPr>
            <w:r>
              <w:rPr>
                <w:color w:val="231F20"/>
                <w:w w:val="138"/>
                <w:sz w:val="12"/>
              </w:rPr>
              <w:t>0</w:t>
            </w:r>
          </w:p>
        </w:tc>
        <w:tc>
          <w:tcPr>
            <w:tcW w:w="774" w:type="dxa"/>
          </w:tcPr>
          <w:p w14:paraId="6FA776E3" w14:textId="77777777" w:rsidR="009948F1" w:rsidRDefault="00BC0563">
            <w:pPr>
              <w:pStyle w:val="TableParagraph"/>
              <w:spacing w:line="137" w:lineRule="exact"/>
              <w:ind w:left="98"/>
              <w:rPr>
                <w:sz w:val="12"/>
              </w:rPr>
            </w:pPr>
            <w:r>
              <w:rPr>
                <w:color w:val="231F20"/>
                <w:w w:val="140"/>
                <w:sz w:val="12"/>
              </w:rPr>
              <w:t>359</w:t>
            </w:r>
          </w:p>
        </w:tc>
      </w:tr>
      <w:tr w:rsidR="009948F1" w14:paraId="2875DCCE" w14:textId="77777777">
        <w:trPr>
          <w:trHeight w:val="317"/>
        </w:trPr>
        <w:tc>
          <w:tcPr>
            <w:tcW w:w="544" w:type="dxa"/>
          </w:tcPr>
          <w:p w14:paraId="48227D45" w14:textId="77777777" w:rsidR="009948F1" w:rsidRDefault="00BC0563">
            <w:pPr>
              <w:pStyle w:val="TableParagraph"/>
              <w:spacing w:line="137" w:lineRule="exact"/>
              <w:ind w:left="98"/>
              <w:rPr>
                <w:sz w:val="12"/>
              </w:rPr>
            </w:pPr>
            <w:r>
              <w:rPr>
                <w:color w:val="231F20"/>
                <w:w w:val="138"/>
                <w:sz w:val="12"/>
              </w:rPr>
              <w:t>7</w:t>
            </w:r>
          </w:p>
        </w:tc>
        <w:tc>
          <w:tcPr>
            <w:tcW w:w="1676" w:type="dxa"/>
          </w:tcPr>
          <w:p w14:paraId="6E2CA1C5" w14:textId="77777777" w:rsidR="009948F1" w:rsidRDefault="00BC0563">
            <w:pPr>
              <w:pStyle w:val="TableParagraph"/>
              <w:spacing w:line="137" w:lineRule="exact"/>
              <w:ind w:left="98"/>
              <w:rPr>
                <w:sz w:val="12"/>
              </w:rPr>
            </w:pPr>
            <w:proofErr w:type="spellStart"/>
            <w:r>
              <w:rPr>
                <w:color w:val="231F20"/>
                <w:w w:val="140"/>
                <w:sz w:val="12"/>
              </w:rPr>
              <w:t>Env.Hlth</w:t>
            </w:r>
            <w:proofErr w:type="spellEnd"/>
          </w:p>
          <w:p w14:paraId="4146FD60" w14:textId="77777777" w:rsidR="009948F1" w:rsidRDefault="00BC0563">
            <w:pPr>
              <w:pStyle w:val="TableParagraph"/>
              <w:spacing w:before="22"/>
              <w:ind w:left="98"/>
              <w:rPr>
                <w:sz w:val="12"/>
              </w:rPr>
            </w:pPr>
            <w:r>
              <w:rPr>
                <w:color w:val="231F20"/>
                <w:w w:val="140"/>
                <w:sz w:val="12"/>
              </w:rPr>
              <w:t>Officers</w:t>
            </w:r>
          </w:p>
        </w:tc>
        <w:tc>
          <w:tcPr>
            <w:tcW w:w="845" w:type="dxa"/>
          </w:tcPr>
          <w:p w14:paraId="5B731AA0" w14:textId="77777777" w:rsidR="009948F1" w:rsidRDefault="00BC0563">
            <w:pPr>
              <w:pStyle w:val="TableParagraph"/>
              <w:spacing w:line="137" w:lineRule="exact"/>
              <w:ind w:left="98"/>
              <w:rPr>
                <w:sz w:val="12"/>
              </w:rPr>
            </w:pPr>
            <w:r>
              <w:rPr>
                <w:color w:val="231F20"/>
                <w:w w:val="138"/>
                <w:sz w:val="12"/>
              </w:rPr>
              <w:t>0</w:t>
            </w:r>
          </w:p>
        </w:tc>
        <w:tc>
          <w:tcPr>
            <w:tcW w:w="942" w:type="dxa"/>
          </w:tcPr>
          <w:p w14:paraId="69D1424A" w14:textId="77777777" w:rsidR="009948F1" w:rsidRDefault="00BC0563">
            <w:pPr>
              <w:pStyle w:val="TableParagraph"/>
              <w:spacing w:line="137" w:lineRule="exact"/>
              <w:ind w:left="98"/>
              <w:rPr>
                <w:sz w:val="12"/>
              </w:rPr>
            </w:pPr>
            <w:r>
              <w:rPr>
                <w:color w:val="231F20"/>
                <w:w w:val="138"/>
                <w:sz w:val="12"/>
              </w:rPr>
              <w:t>1</w:t>
            </w:r>
          </w:p>
        </w:tc>
        <w:tc>
          <w:tcPr>
            <w:tcW w:w="807" w:type="dxa"/>
          </w:tcPr>
          <w:p w14:paraId="1BE90CBE" w14:textId="77777777" w:rsidR="009948F1" w:rsidRDefault="00BC0563">
            <w:pPr>
              <w:pStyle w:val="TableParagraph"/>
              <w:spacing w:line="137" w:lineRule="exact"/>
              <w:ind w:left="98"/>
              <w:rPr>
                <w:sz w:val="12"/>
              </w:rPr>
            </w:pPr>
            <w:r>
              <w:rPr>
                <w:color w:val="231F20"/>
                <w:w w:val="140"/>
                <w:sz w:val="12"/>
              </w:rPr>
              <w:t>70</w:t>
            </w:r>
          </w:p>
        </w:tc>
        <w:tc>
          <w:tcPr>
            <w:tcW w:w="1225" w:type="dxa"/>
          </w:tcPr>
          <w:p w14:paraId="569A922A" w14:textId="77777777" w:rsidR="009948F1" w:rsidRDefault="00BC0563">
            <w:pPr>
              <w:pStyle w:val="TableParagraph"/>
              <w:spacing w:line="137" w:lineRule="exact"/>
              <w:ind w:left="98"/>
              <w:rPr>
                <w:sz w:val="12"/>
              </w:rPr>
            </w:pPr>
            <w:r>
              <w:rPr>
                <w:color w:val="231F20"/>
                <w:w w:val="140"/>
                <w:sz w:val="12"/>
              </w:rPr>
              <w:t>690</w:t>
            </w:r>
          </w:p>
        </w:tc>
        <w:tc>
          <w:tcPr>
            <w:tcW w:w="1112" w:type="dxa"/>
          </w:tcPr>
          <w:p w14:paraId="02E6377E" w14:textId="77777777" w:rsidR="009948F1" w:rsidRDefault="00BC0563">
            <w:pPr>
              <w:pStyle w:val="TableParagraph"/>
              <w:spacing w:line="137" w:lineRule="exact"/>
              <w:ind w:left="97"/>
              <w:rPr>
                <w:sz w:val="12"/>
              </w:rPr>
            </w:pPr>
            <w:r>
              <w:rPr>
                <w:color w:val="231F20"/>
                <w:w w:val="138"/>
                <w:sz w:val="12"/>
              </w:rPr>
              <w:t>0</w:t>
            </w:r>
          </w:p>
        </w:tc>
        <w:tc>
          <w:tcPr>
            <w:tcW w:w="1112" w:type="dxa"/>
          </w:tcPr>
          <w:p w14:paraId="54EB9545" w14:textId="77777777" w:rsidR="009948F1" w:rsidRDefault="00BC0563">
            <w:pPr>
              <w:pStyle w:val="TableParagraph"/>
              <w:spacing w:line="137" w:lineRule="exact"/>
              <w:ind w:left="97"/>
              <w:rPr>
                <w:sz w:val="12"/>
              </w:rPr>
            </w:pPr>
            <w:r>
              <w:rPr>
                <w:color w:val="231F20"/>
                <w:w w:val="138"/>
                <w:sz w:val="12"/>
              </w:rPr>
              <w:t>0</w:t>
            </w:r>
          </w:p>
        </w:tc>
        <w:tc>
          <w:tcPr>
            <w:tcW w:w="774" w:type="dxa"/>
          </w:tcPr>
          <w:p w14:paraId="6CCA5042" w14:textId="77777777" w:rsidR="009948F1" w:rsidRDefault="00BC0563">
            <w:pPr>
              <w:pStyle w:val="TableParagraph"/>
              <w:spacing w:line="137" w:lineRule="exact"/>
              <w:ind w:left="98"/>
              <w:rPr>
                <w:sz w:val="12"/>
              </w:rPr>
            </w:pPr>
            <w:r>
              <w:rPr>
                <w:color w:val="231F20"/>
                <w:w w:val="140"/>
                <w:sz w:val="12"/>
              </w:rPr>
              <w:t>761</w:t>
            </w:r>
          </w:p>
        </w:tc>
      </w:tr>
      <w:tr w:rsidR="009948F1" w14:paraId="17F028ED" w14:textId="77777777">
        <w:trPr>
          <w:trHeight w:val="319"/>
        </w:trPr>
        <w:tc>
          <w:tcPr>
            <w:tcW w:w="544" w:type="dxa"/>
          </w:tcPr>
          <w:p w14:paraId="4CA482CF" w14:textId="77777777" w:rsidR="009948F1" w:rsidRDefault="00BC0563">
            <w:pPr>
              <w:pStyle w:val="TableParagraph"/>
              <w:spacing w:before="1"/>
              <w:ind w:left="98"/>
              <w:rPr>
                <w:sz w:val="12"/>
              </w:rPr>
            </w:pPr>
            <w:r>
              <w:rPr>
                <w:color w:val="231F20"/>
                <w:w w:val="138"/>
                <w:sz w:val="12"/>
              </w:rPr>
              <w:t>8</w:t>
            </w:r>
          </w:p>
        </w:tc>
        <w:tc>
          <w:tcPr>
            <w:tcW w:w="1676" w:type="dxa"/>
          </w:tcPr>
          <w:p w14:paraId="5E3B0CF9" w14:textId="77777777" w:rsidR="009948F1" w:rsidRDefault="00BC0563">
            <w:pPr>
              <w:pStyle w:val="TableParagraph"/>
              <w:spacing w:before="1"/>
              <w:ind w:left="98"/>
              <w:rPr>
                <w:sz w:val="12"/>
              </w:rPr>
            </w:pPr>
            <w:proofErr w:type="spellStart"/>
            <w:r>
              <w:rPr>
                <w:color w:val="231F20"/>
                <w:w w:val="140"/>
                <w:sz w:val="12"/>
              </w:rPr>
              <w:t>Hlthedu</w:t>
            </w:r>
            <w:proofErr w:type="spellEnd"/>
          </w:p>
          <w:p w14:paraId="1A6D9B21" w14:textId="77777777" w:rsidR="009948F1" w:rsidRDefault="00BC0563">
            <w:pPr>
              <w:pStyle w:val="TableParagraph"/>
              <w:spacing w:before="22"/>
              <w:ind w:left="98"/>
              <w:rPr>
                <w:sz w:val="12"/>
              </w:rPr>
            </w:pPr>
            <w:r>
              <w:rPr>
                <w:color w:val="231F20"/>
                <w:w w:val="140"/>
                <w:sz w:val="12"/>
              </w:rPr>
              <w:t>Officers</w:t>
            </w:r>
          </w:p>
        </w:tc>
        <w:tc>
          <w:tcPr>
            <w:tcW w:w="845" w:type="dxa"/>
          </w:tcPr>
          <w:p w14:paraId="79E4FF53" w14:textId="77777777" w:rsidR="009948F1" w:rsidRDefault="00BC0563">
            <w:pPr>
              <w:pStyle w:val="TableParagraph"/>
              <w:spacing w:before="1"/>
              <w:ind w:left="98"/>
              <w:rPr>
                <w:sz w:val="12"/>
              </w:rPr>
            </w:pPr>
            <w:r>
              <w:rPr>
                <w:color w:val="231F20"/>
                <w:w w:val="138"/>
                <w:sz w:val="12"/>
              </w:rPr>
              <w:t>0</w:t>
            </w:r>
          </w:p>
        </w:tc>
        <w:tc>
          <w:tcPr>
            <w:tcW w:w="942" w:type="dxa"/>
          </w:tcPr>
          <w:p w14:paraId="61241826" w14:textId="77777777" w:rsidR="009948F1" w:rsidRDefault="00BC0563">
            <w:pPr>
              <w:pStyle w:val="TableParagraph"/>
              <w:spacing w:before="1"/>
              <w:ind w:left="98"/>
              <w:rPr>
                <w:sz w:val="12"/>
              </w:rPr>
            </w:pPr>
            <w:r>
              <w:rPr>
                <w:color w:val="231F20"/>
                <w:w w:val="138"/>
                <w:sz w:val="12"/>
              </w:rPr>
              <w:t>0</w:t>
            </w:r>
          </w:p>
        </w:tc>
        <w:tc>
          <w:tcPr>
            <w:tcW w:w="807" w:type="dxa"/>
          </w:tcPr>
          <w:p w14:paraId="40BF5387" w14:textId="77777777" w:rsidR="009948F1" w:rsidRDefault="00BC0563">
            <w:pPr>
              <w:pStyle w:val="TableParagraph"/>
              <w:spacing w:before="1"/>
              <w:ind w:left="98"/>
              <w:rPr>
                <w:sz w:val="12"/>
              </w:rPr>
            </w:pPr>
            <w:r>
              <w:rPr>
                <w:color w:val="231F20"/>
                <w:w w:val="138"/>
                <w:sz w:val="12"/>
              </w:rPr>
              <w:t>8</w:t>
            </w:r>
          </w:p>
        </w:tc>
        <w:tc>
          <w:tcPr>
            <w:tcW w:w="1225" w:type="dxa"/>
          </w:tcPr>
          <w:p w14:paraId="06F44733" w14:textId="77777777" w:rsidR="009948F1" w:rsidRDefault="00BC0563">
            <w:pPr>
              <w:pStyle w:val="TableParagraph"/>
              <w:spacing w:before="1"/>
              <w:ind w:left="98"/>
              <w:rPr>
                <w:sz w:val="12"/>
              </w:rPr>
            </w:pPr>
            <w:r>
              <w:rPr>
                <w:color w:val="231F20"/>
                <w:w w:val="138"/>
                <w:sz w:val="12"/>
              </w:rPr>
              <w:t>0</w:t>
            </w:r>
          </w:p>
        </w:tc>
        <w:tc>
          <w:tcPr>
            <w:tcW w:w="1112" w:type="dxa"/>
          </w:tcPr>
          <w:p w14:paraId="645C2B3E" w14:textId="77777777" w:rsidR="009948F1" w:rsidRDefault="00BC0563">
            <w:pPr>
              <w:pStyle w:val="TableParagraph"/>
              <w:spacing w:before="1"/>
              <w:ind w:left="97"/>
              <w:rPr>
                <w:sz w:val="12"/>
              </w:rPr>
            </w:pPr>
            <w:r>
              <w:rPr>
                <w:color w:val="231F20"/>
                <w:w w:val="138"/>
                <w:sz w:val="12"/>
              </w:rPr>
              <w:t>0</w:t>
            </w:r>
          </w:p>
        </w:tc>
        <w:tc>
          <w:tcPr>
            <w:tcW w:w="1112" w:type="dxa"/>
          </w:tcPr>
          <w:p w14:paraId="3EF3E0CF" w14:textId="77777777" w:rsidR="009948F1" w:rsidRDefault="00BC0563">
            <w:pPr>
              <w:pStyle w:val="TableParagraph"/>
              <w:spacing w:before="1"/>
              <w:ind w:left="97"/>
              <w:rPr>
                <w:sz w:val="12"/>
              </w:rPr>
            </w:pPr>
            <w:r>
              <w:rPr>
                <w:color w:val="231F20"/>
                <w:w w:val="138"/>
                <w:sz w:val="12"/>
              </w:rPr>
              <w:t>0</w:t>
            </w:r>
          </w:p>
        </w:tc>
        <w:tc>
          <w:tcPr>
            <w:tcW w:w="774" w:type="dxa"/>
          </w:tcPr>
          <w:p w14:paraId="2D0445A2" w14:textId="77777777" w:rsidR="009948F1" w:rsidRDefault="00BC0563">
            <w:pPr>
              <w:pStyle w:val="TableParagraph"/>
              <w:spacing w:before="1"/>
              <w:ind w:left="98"/>
              <w:rPr>
                <w:sz w:val="12"/>
              </w:rPr>
            </w:pPr>
            <w:r>
              <w:rPr>
                <w:color w:val="231F20"/>
                <w:w w:val="138"/>
                <w:sz w:val="12"/>
              </w:rPr>
              <w:t>8</w:t>
            </w:r>
          </w:p>
        </w:tc>
      </w:tr>
      <w:tr w:rsidR="009948F1" w14:paraId="2FFBEDCC" w14:textId="77777777">
        <w:trPr>
          <w:trHeight w:val="317"/>
        </w:trPr>
        <w:tc>
          <w:tcPr>
            <w:tcW w:w="544" w:type="dxa"/>
          </w:tcPr>
          <w:p w14:paraId="735ED41A" w14:textId="77777777" w:rsidR="009948F1" w:rsidRDefault="00BC0563">
            <w:pPr>
              <w:pStyle w:val="TableParagraph"/>
              <w:spacing w:line="137" w:lineRule="exact"/>
              <w:ind w:left="98"/>
              <w:rPr>
                <w:sz w:val="12"/>
              </w:rPr>
            </w:pPr>
            <w:r>
              <w:rPr>
                <w:color w:val="231F20"/>
                <w:w w:val="138"/>
                <w:sz w:val="12"/>
              </w:rPr>
              <w:t>9</w:t>
            </w:r>
          </w:p>
        </w:tc>
        <w:tc>
          <w:tcPr>
            <w:tcW w:w="1676" w:type="dxa"/>
          </w:tcPr>
          <w:p w14:paraId="17FBD8A4" w14:textId="77777777" w:rsidR="009948F1" w:rsidRDefault="00BC0563">
            <w:pPr>
              <w:pStyle w:val="TableParagraph"/>
              <w:spacing w:line="137" w:lineRule="exact"/>
              <w:ind w:left="98"/>
              <w:rPr>
                <w:sz w:val="12"/>
              </w:rPr>
            </w:pPr>
            <w:proofErr w:type="spellStart"/>
            <w:r>
              <w:rPr>
                <w:color w:val="231F20"/>
                <w:w w:val="140"/>
                <w:sz w:val="12"/>
              </w:rPr>
              <w:t>Hlth</w:t>
            </w:r>
            <w:proofErr w:type="spellEnd"/>
            <w:r>
              <w:rPr>
                <w:color w:val="231F20"/>
                <w:w w:val="140"/>
                <w:sz w:val="12"/>
              </w:rPr>
              <w:t xml:space="preserve"> rec.</w:t>
            </w:r>
          </w:p>
          <w:p w14:paraId="33B2D456" w14:textId="77777777" w:rsidR="009948F1" w:rsidRDefault="00BC0563">
            <w:pPr>
              <w:pStyle w:val="TableParagraph"/>
              <w:spacing w:before="22"/>
              <w:ind w:left="98"/>
              <w:rPr>
                <w:sz w:val="12"/>
              </w:rPr>
            </w:pPr>
            <w:r>
              <w:rPr>
                <w:color w:val="231F20"/>
                <w:w w:val="140"/>
                <w:sz w:val="12"/>
              </w:rPr>
              <w:t>Offers/ him</w:t>
            </w:r>
          </w:p>
        </w:tc>
        <w:tc>
          <w:tcPr>
            <w:tcW w:w="845" w:type="dxa"/>
          </w:tcPr>
          <w:p w14:paraId="6E88A907" w14:textId="77777777" w:rsidR="009948F1" w:rsidRDefault="00BC0563">
            <w:pPr>
              <w:pStyle w:val="TableParagraph"/>
              <w:spacing w:line="137" w:lineRule="exact"/>
              <w:ind w:left="98"/>
              <w:rPr>
                <w:sz w:val="12"/>
              </w:rPr>
            </w:pPr>
            <w:r>
              <w:rPr>
                <w:color w:val="231F20"/>
                <w:w w:val="138"/>
                <w:sz w:val="12"/>
              </w:rPr>
              <w:t>0</w:t>
            </w:r>
          </w:p>
        </w:tc>
        <w:tc>
          <w:tcPr>
            <w:tcW w:w="942" w:type="dxa"/>
          </w:tcPr>
          <w:p w14:paraId="0BC95DD1" w14:textId="77777777" w:rsidR="009948F1" w:rsidRDefault="00BC0563">
            <w:pPr>
              <w:pStyle w:val="TableParagraph"/>
              <w:spacing w:line="137" w:lineRule="exact"/>
              <w:ind w:left="98"/>
              <w:rPr>
                <w:sz w:val="12"/>
              </w:rPr>
            </w:pPr>
            <w:r>
              <w:rPr>
                <w:color w:val="231F20"/>
                <w:w w:val="140"/>
                <w:sz w:val="12"/>
              </w:rPr>
              <w:t>46</w:t>
            </w:r>
          </w:p>
        </w:tc>
        <w:tc>
          <w:tcPr>
            <w:tcW w:w="807" w:type="dxa"/>
          </w:tcPr>
          <w:p w14:paraId="4720E089" w14:textId="77777777" w:rsidR="009948F1" w:rsidRDefault="00BC0563">
            <w:pPr>
              <w:pStyle w:val="TableParagraph"/>
              <w:spacing w:line="137" w:lineRule="exact"/>
              <w:ind w:left="98"/>
              <w:rPr>
                <w:sz w:val="12"/>
              </w:rPr>
            </w:pPr>
            <w:r>
              <w:rPr>
                <w:color w:val="231F20"/>
                <w:w w:val="138"/>
                <w:sz w:val="12"/>
              </w:rPr>
              <w:t>1</w:t>
            </w:r>
          </w:p>
        </w:tc>
        <w:tc>
          <w:tcPr>
            <w:tcW w:w="1225" w:type="dxa"/>
          </w:tcPr>
          <w:p w14:paraId="5352B7CB" w14:textId="77777777" w:rsidR="009948F1" w:rsidRDefault="00BC0563">
            <w:pPr>
              <w:pStyle w:val="TableParagraph"/>
              <w:spacing w:line="137" w:lineRule="exact"/>
              <w:ind w:left="98"/>
              <w:rPr>
                <w:sz w:val="12"/>
              </w:rPr>
            </w:pPr>
            <w:r>
              <w:rPr>
                <w:color w:val="231F20"/>
                <w:w w:val="140"/>
                <w:sz w:val="12"/>
              </w:rPr>
              <w:t>652</w:t>
            </w:r>
          </w:p>
        </w:tc>
        <w:tc>
          <w:tcPr>
            <w:tcW w:w="1112" w:type="dxa"/>
          </w:tcPr>
          <w:p w14:paraId="2761C04A" w14:textId="77777777" w:rsidR="009948F1" w:rsidRDefault="00BC0563">
            <w:pPr>
              <w:pStyle w:val="TableParagraph"/>
              <w:spacing w:line="137" w:lineRule="exact"/>
              <w:ind w:left="97"/>
              <w:rPr>
                <w:sz w:val="12"/>
              </w:rPr>
            </w:pPr>
            <w:r>
              <w:rPr>
                <w:color w:val="231F20"/>
                <w:w w:val="138"/>
                <w:sz w:val="12"/>
              </w:rPr>
              <w:t>0</w:t>
            </w:r>
          </w:p>
        </w:tc>
        <w:tc>
          <w:tcPr>
            <w:tcW w:w="1112" w:type="dxa"/>
          </w:tcPr>
          <w:p w14:paraId="6C1A8CAE" w14:textId="77777777" w:rsidR="009948F1" w:rsidRDefault="00BC0563">
            <w:pPr>
              <w:pStyle w:val="TableParagraph"/>
              <w:spacing w:line="137" w:lineRule="exact"/>
              <w:ind w:left="97"/>
              <w:rPr>
                <w:sz w:val="12"/>
              </w:rPr>
            </w:pPr>
            <w:r>
              <w:rPr>
                <w:color w:val="231F20"/>
                <w:w w:val="138"/>
                <w:sz w:val="12"/>
              </w:rPr>
              <w:t>0</w:t>
            </w:r>
          </w:p>
        </w:tc>
        <w:tc>
          <w:tcPr>
            <w:tcW w:w="774" w:type="dxa"/>
          </w:tcPr>
          <w:p w14:paraId="5193D915" w14:textId="77777777" w:rsidR="009948F1" w:rsidRDefault="00BC0563">
            <w:pPr>
              <w:pStyle w:val="TableParagraph"/>
              <w:spacing w:line="137" w:lineRule="exact"/>
              <w:ind w:left="98"/>
              <w:rPr>
                <w:sz w:val="12"/>
              </w:rPr>
            </w:pPr>
            <w:r>
              <w:rPr>
                <w:color w:val="231F20"/>
                <w:w w:val="140"/>
                <w:sz w:val="12"/>
              </w:rPr>
              <w:t>699</w:t>
            </w:r>
          </w:p>
        </w:tc>
      </w:tr>
      <w:tr w:rsidR="009948F1" w14:paraId="6B1AF6A2" w14:textId="77777777">
        <w:trPr>
          <w:trHeight w:val="319"/>
        </w:trPr>
        <w:tc>
          <w:tcPr>
            <w:tcW w:w="544" w:type="dxa"/>
          </w:tcPr>
          <w:p w14:paraId="6EDE658D" w14:textId="77777777" w:rsidR="009948F1" w:rsidRDefault="00BC0563">
            <w:pPr>
              <w:pStyle w:val="TableParagraph"/>
              <w:spacing w:before="1"/>
              <w:ind w:left="98"/>
              <w:rPr>
                <w:sz w:val="12"/>
              </w:rPr>
            </w:pPr>
            <w:r>
              <w:rPr>
                <w:color w:val="231F20"/>
                <w:w w:val="140"/>
                <w:sz w:val="12"/>
              </w:rPr>
              <w:t>10</w:t>
            </w:r>
          </w:p>
        </w:tc>
        <w:tc>
          <w:tcPr>
            <w:tcW w:w="1676" w:type="dxa"/>
          </w:tcPr>
          <w:p w14:paraId="64EAC623" w14:textId="77777777" w:rsidR="009948F1" w:rsidRDefault="00BC0563">
            <w:pPr>
              <w:pStyle w:val="TableParagraph"/>
              <w:spacing w:before="1"/>
              <w:ind w:left="98"/>
              <w:rPr>
                <w:sz w:val="12"/>
              </w:rPr>
            </w:pPr>
            <w:r>
              <w:rPr>
                <w:color w:val="231F20"/>
                <w:w w:val="140"/>
                <w:sz w:val="12"/>
              </w:rPr>
              <w:t>Nutrition</w:t>
            </w:r>
          </w:p>
          <w:p w14:paraId="1DC0068E" w14:textId="77777777" w:rsidR="009948F1" w:rsidRDefault="00BC0563">
            <w:pPr>
              <w:pStyle w:val="TableParagraph"/>
              <w:spacing w:before="22"/>
              <w:ind w:left="98"/>
              <w:rPr>
                <w:sz w:val="12"/>
              </w:rPr>
            </w:pPr>
            <w:r>
              <w:rPr>
                <w:color w:val="231F20"/>
                <w:w w:val="140"/>
                <w:sz w:val="12"/>
              </w:rPr>
              <w:t>Officer</w:t>
            </w:r>
          </w:p>
        </w:tc>
        <w:tc>
          <w:tcPr>
            <w:tcW w:w="845" w:type="dxa"/>
          </w:tcPr>
          <w:p w14:paraId="6AC84741" w14:textId="77777777" w:rsidR="009948F1" w:rsidRDefault="00BC0563">
            <w:pPr>
              <w:pStyle w:val="TableParagraph"/>
              <w:spacing w:before="1"/>
              <w:ind w:left="98"/>
              <w:rPr>
                <w:sz w:val="12"/>
              </w:rPr>
            </w:pPr>
            <w:r>
              <w:rPr>
                <w:color w:val="231F20"/>
                <w:w w:val="138"/>
                <w:sz w:val="12"/>
              </w:rPr>
              <w:t>0</w:t>
            </w:r>
          </w:p>
        </w:tc>
        <w:tc>
          <w:tcPr>
            <w:tcW w:w="942" w:type="dxa"/>
          </w:tcPr>
          <w:p w14:paraId="2062885E" w14:textId="77777777" w:rsidR="009948F1" w:rsidRDefault="00BC0563">
            <w:pPr>
              <w:pStyle w:val="TableParagraph"/>
              <w:spacing w:before="1"/>
              <w:ind w:left="98"/>
              <w:rPr>
                <w:sz w:val="12"/>
              </w:rPr>
            </w:pPr>
            <w:r>
              <w:rPr>
                <w:color w:val="231F20"/>
                <w:w w:val="138"/>
                <w:sz w:val="12"/>
              </w:rPr>
              <w:t>3</w:t>
            </w:r>
          </w:p>
        </w:tc>
        <w:tc>
          <w:tcPr>
            <w:tcW w:w="807" w:type="dxa"/>
          </w:tcPr>
          <w:p w14:paraId="7F164C72" w14:textId="77777777" w:rsidR="009948F1" w:rsidRDefault="00BC0563">
            <w:pPr>
              <w:pStyle w:val="TableParagraph"/>
              <w:spacing w:before="1"/>
              <w:ind w:left="98"/>
              <w:rPr>
                <w:sz w:val="12"/>
              </w:rPr>
            </w:pPr>
            <w:r>
              <w:rPr>
                <w:color w:val="231F20"/>
                <w:w w:val="140"/>
                <w:sz w:val="12"/>
              </w:rPr>
              <w:t>10</w:t>
            </w:r>
          </w:p>
        </w:tc>
        <w:tc>
          <w:tcPr>
            <w:tcW w:w="1225" w:type="dxa"/>
          </w:tcPr>
          <w:p w14:paraId="157FAA80" w14:textId="77777777" w:rsidR="009948F1" w:rsidRDefault="00BC0563">
            <w:pPr>
              <w:pStyle w:val="TableParagraph"/>
              <w:spacing w:before="1"/>
              <w:ind w:left="98"/>
              <w:rPr>
                <w:sz w:val="12"/>
              </w:rPr>
            </w:pPr>
            <w:r>
              <w:rPr>
                <w:color w:val="231F20"/>
                <w:w w:val="138"/>
                <w:sz w:val="12"/>
              </w:rPr>
              <w:t>0</w:t>
            </w:r>
          </w:p>
        </w:tc>
        <w:tc>
          <w:tcPr>
            <w:tcW w:w="1112" w:type="dxa"/>
          </w:tcPr>
          <w:p w14:paraId="5DBCB85B" w14:textId="77777777" w:rsidR="009948F1" w:rsidRDefault="00BC0563">
            <w:pPr>
              <w:pStyle w:val="TableParagraph"/>
              <w:spacing w:before="1"/>
              <w:ind w:left="97"/>
              <w:rPr>
                <w:sz w:val="12"/>
              </w:rPr>
            </w:pPr>
            <w:r>
              <w:rPr>
                <w:color w:val="231F20"/>
                <w:w w:val="138"/>
                <w:sz w:val="12"/>
              </w:rPr>
              <w:t>0</w:t>
            </w:r>
          </w:p>
        </w:tc>
        <w:tc>
          <w:tcPr>
            <w:tcW w:w="1112" w:type="dxa"/>
          </w:tcPr>
          <w:p w14:paraId="2BF95C51" w14:textId="77777777" w:rsidR="009948F1" w:rsidRDefault="00BC0563">
            <w:pPr>
              <w:pStyle w:val="TableParagraph"/>
              <w:spacing w:before="1"/>
              <w:ind w:left="97"/>
              <w:rPr>
                <w:sz w:val="12"/>
              </w:rPr>
            </w:pPr>
            <w:r>
              <w:rPr>
                <w:color w:val="231F20"/>
                <w:w w:val="138"/>
                <w:sz w:val="12"/>
              </w:rPr>
              <w:t>0</w:t>
            </w:r>
          </w:p>
        </w:tc>
        <w:tc>
          <w:tcPr>
            <w:tcW w:w="774" w:type="dxa"/>
          </w:tcPr>
          <w:p w14:paraId="1857606D" w14:textId="77777777" w:rsidR="009948F1" w:rsidRDefault="00BC0563">
            <w:pPr>
              <w:pStyle w:val="TableParagraph"/>
              <w:spacing w:before="1"/>
              <w:ind w:left="98"/>
              <w:rPr>
                <w:sz w:val="12"/>
              </w:rPr>
            </w:pPr>
            <w:r>
              <w:rPr>
                <w:color w:val="231F20"/>
                <w:w w:val="140"/>
                <w:sz w:val="12"/>
              </w:rPr>
              <w:t>13</w:t>
            </w:r>
          </w:p>
        </w:tc>
      </w:tr>
      <w:tr w:rsidR="009948F1" w14:paraId="1DDCC08B" w14:textId="77777777">
        <w:trPr>
          <w:trHeight w:val="157"/>
        </w:trPr>
        <w:tc>
          <w:tcPr>
            <w:tcW w:w="544" w:type="dxa"/>
          </w:tcPr>
          <w:p w14:paraId="0474982C" w14:textId="77777777" w:rsidR="009948F1" w:rsidRDefault="00BC0563">
            <w:pPr>
              <w:pStyle w:val="TableParagraph"/>
              <w:spacing w:line="137" w:lineRule="exact"/>
              <w:ind w:left="98"/>
              <w:rPr>
                <w:sz w:val="12"/>
              </w:rPr>
            </w:pPr>
            <w:r>
              <w:rPr>
                <w:color w:val="231F20"/>
                <w:w w:val="140"/>
                <w:sz w:val="12"/>
              </w:rPr>
              <w:t>11</w:t>
            </w:r>
          </w:p>
        </w:tc>
        <w:tc>
          <w:tcPr>
            <w:tcW w:w="1676" w:type="dxa"/>
          </w:tcPr>
          <w:p w14:paraId="07FE7215" w14:textId="77777777" w:rsidR="009948F1" w:rsidRDefault="00BC0563">
            <w:pPr>
              <w:pStyle w:val="TableParagraph"/>
              <w:spacing w:line="137" w:lineRule="exact"/>
              <w:ind w:left="98"/>
              <w:rPr>
                <w:sz w:val="12"/>
              </w:rPr>
            </w:pPr>
            <w:r>
              <w:rPr>
                <w:color w:val="231F20"/>
                <w:w w:val="140"/>
                <w:sz w:val="12"/>
              </w:rPr>
              <w:t>Catering officer</w:t>
            </w:r>
          </w:p>
        </w:tc>
        <w:tc>
          <w:tcPr>
            <w:tcW w:w="845" w:type="dxa"/>
          </w:tcPr>
          <w:p w14:paraId="476B358B" w14:textId="77777777" w:rsidR="009948F1" w:rsidRDefault="00BC0563">
            <w:pPr>
              <w:pStyle w:val="TableParagraph"/>
              <w:spacing w:line="137" w:lineRule="exact"/>
              <w:ind w:left="98"/>
              <w:rPr>
                <w:sz w:val="12"/>
              </w:rPr>
            </w:pPr>
            <w:r>
              <w:rPr>
                <w:color w:val="231F20"/>
                <w:w w:val="138"/>
                <w:sz w:val="12"/>
              </w:rPr>
              <w:t>0</w:t>
            </w:r>
          </w:p>
        </w:tc>
        <w:tc>
          <w:tcPr>
            <w:tcW w:w="942" w:type="dxa"/>
          </w:tcPr>
          <w:p w14:paraId="76F1EBE3" w14:textId="77777777" w:rsidR="009948F1" w:rsidRDefault="00BC0563">
            <w:pPr>
              <w:pStyle w:val="TableParagraph"/>
              <w:spacing w:line="137" w:lineRule="exact"/>
              <w:ind w:left="98"/>
              <w:rPr>
                <w:sz w:val="12"/>
              </w:rPr>
            </w:pPr>
            <w:r>
              <w:rPr>
                <w:color w:val="231F20"/>
                <w:w w:val="140"/>
                <w:sz w:val="12"/>
              </w:rPr>
              <w:t>22</w:t>
            </w:r>
          </w:p>
        </w:tc>
        <w:tc>
          <w:tcPr>
            <w:tcW w:w="807" w:type="dxa"/>
          </w:tcPr>
          <w:p w14:paraId="39F34DDD" w14:textId="77777777" w:rsidR="009948F1" w:rsidRDefault="00BC0563">
            <w:pPr>
              <w:pStyle w:val="TableParagraph"/>
              <w:spacing w:line="137" w:lineRule="exact"/>
              <w:ind w:left="98"/>
              <w:rPr>
                <w:sz w:val="12"/>
              </w:rPr>
            </w:pPr>
            <w:r>
              <w:rPr>
                <w:color w:val="231F20"/>
                <w:w w:val="138"/>
                <w:sz w:val="12"/>
              </w:rPr>
              <w:t>3</w:t>
            </w:r>
          </w:p>
        </w:tc>
        <w:tc>
          <w:tcPr>
            <w:tcW w:w="1225" w:type="dxa"/>
          </w:tcPr>
          <w:p w14:paraId="45FEEE6D" w14:textId="77777777" w:rsidR="009948F1" w:rsidRDefault="00BC0563">
            <w:pPr>
              <w:pStyle w:val="TableParagraph"/>
              <w:spacing w:line="137" w:lineRule="exact"/>
              <w:ind w:left="98"/>
              <w:rPr>
                <w:sz w:val="12"/>
              </w:rPr>
            </w:pPr>
            <w:r>
              <w:rPr>
                <w:color w:val="231F20"/>
                <w:w w:val="138"/>
                <w:sz w:val="12"/>
              </w:rPr>
              <w:t>0</w:t>
            </w:r>
          </w:p>
        </w:tc>
        <w:tc>
          <w:tcPr>
            <w:tcW w:w="1112" w:type="dxa"/>
          </w:tcPr>
          <w:p w14:paraId="600DAEF3" w14:textId="77777777" w:rsidR="009948F1" w:rsidRDefault="00BC0563">
            <w:pPr>
              <w:pStyle w:val="TableParagraph"/>
              <w:spacing w:line="137" w:lineRule="exact"/>
              <w:ind w:left="97"/>
              <w:rPr>
                <w:sz w:val="12"/>
              </w:rPr>
            </w:pPr>
            <w:r>
              <w:rPr>
                <w:color w:val="231F20"/>
                <w:w w:val="138"/>
                <w:sz w:val="12"/>
              </w:rPr>
              <w:t>0</w:t>
            </w:r>
          </w:p>
        </w:tc>
        <w:tc>
          <w:tcPr>
            <w:tcW w:w="1112" w:type="dxa"/>
          </w:tcPr>
          <w:p w14:paraId="07FD9AF0" w14:textId="77777777" w:rsidR="009948F1" w:rsidRDefault="00BC0563">
            <w:pPr>
              <w:pStyle w:val="TableParagraph"/>
              <w:spacing w:line="137" w:lineRule="exact"/>
              <w:ind w:left="97"/>
              <w:rPr>
                <w:sz w:val="12"/>
              </w:rPr>
            </w:pPr>
            <w:r>
              <w:rPr>
                <w:color w:val="231F20"/>
                <w:w w:val="138"/>
                <w:sz w:val="12"/>
              </w:rPr>
              <w:t>0</w:t>
            </w:r>
          </w:p>
        </w:tc>
        <w:tc>
          <w:tcPr>
            <w:tcW w:w="774" w:type="dxa"/>
          </w:tcPr>
          <w:p w14:paraId="272DA9ED" w14:textId="77777777" w:rsidR="009948F1" w:rsidRDefault="00BC0563">
            <w:pPr>
              <w:pStyle w:val="TableParagraph"/>
              <w:spacing w:line="137" w:lineRule="exact"/>
              <w:ind w:left="98"/>
              <w:rPr>
                <w:sz w:val="12"/>
              </w:rPr>
            </w:pPr>
            <w:r>
              <w:rPr>
                <w:color w:val="231F20"/>
                <w:w w:val="140"/>
                <w:sz w:val="12"/>
              </w:rPr>
              <w:t>25</w:t>
            </w:r>
          </w:p>
        </w:tc>
      </w:tr>
      <w:tr w:rsidR="009948F1" w14:paraId="1150CEF4" w14:textId="77777777">
        <w:trPr>
          <w:trHeight w:val="194"/>
        </w:trPr>
        <w:tc>
          <w:tcPr>
            <w:tcW w:w="544" w:type="dxa"/>
          </w:tcPr>
          <w:p w14:paraId="38D34700" w14:textId="77777777" w:rsidR="009948F1" w:rsidRDefault="00BC0563">
            <w:pPr>
              <w:pStyle w:val="TableParagraph"/>
              <w:spacing w:line="137" w:lineRule="exact"/>
              <w:ind w:left="98"/>
              <w:rPr>
                <w:sz w:val="12"/>
              </w:rPr>
            </w:pPr>
            <w:r>
              <w:rPr>
                <w:color w:val="231F20"/>
                <w:w w:val="140"/>
                <w:sz w:val="12"/>
              </w:rPr>
              <w:t>12</w:t>
            </w:r>
          </w:p>
        </w:tc>
        <w:tc>
          <w:tcPr>
            <w:tcW w:w="1676" w:type="dxa"/>
          </w:tcPr>
          <w:p w14:paraId="1C578ED0" w14:textId="77777777" w:rsidR="009948F1" w:rsidRDefault="00BC0563">
            <w:pPr>
              <w:pStyle w:val="TableParagraph"/>
              <w:spacing w:line="137" w:lineRule="exact"/>
              <w:ind w:left="98"/>
              <w:rPr>
                <w:sz w:val="12"/>
              </w:rPr>
            </w:pPr>
            <w:r>
              <w:rPr>
                <w:color w:val="231F20"/>
                <w:w w:val="140"/>
                <w:sz w:val="12"/>
              </w:rPr>
              <w:t>Scientific officer</w:t>
            </w:r>
          </w:p>
        </w:tc>
        <w:tc>
          <w:tcPr>
            <w:tcW w:w="845" w:type="dxa"/>
          </w:tcPr>
          <w:p w14:paraId="660E83CC" w14:textId="77777777" w:rsidR="009948F1" w:rsidRDefault="00BC0563">
            <w:pPr>
              <w:pStyle w:val="TableParagraph"/>
              <w:spacing w:line="137" w:lineRule="exact"/>
              <w:ind w:left="98"/>
              <w:rPr>
                <w:sz w:val="12"/>
              </w:rPr>
            </w:pPr>
            <w:r>
              <w:rPr>
                <w:color w:val="231F20"/>
                <w:w w:val="138"/>
                <w:sz w:val="12"/>
              </w:rPr>
              <w:t>0</w:t>
            </w:r>
          </w:p>
        </w:tc>
        <w:tc>
          <w:tcPr>
            <w:tcW w:w="942" w:type="dxa"/>
          </w:tcPr>
          <w:p w14:paraId="55E318D4" w14:textId="77777777" w:rsidR="009948F1" w:rsidRDefault="00BC0563">
            <w:pPr>
              <w:pStyle w:val="TableParagraph"/>
              <w:spacing w:line="137" w:lineRule="exact"/>
              <w:ind w:left="98"/>
              <w:rPr>
                <w:sz w:val="12"/>
              </w:rPr>
            </w:pPr>
            <w:r>
              <w:rPr>
                <w:color w:val="231F20"/>
                <w:w w:val="138"/>
                <w:sz w:val="12"/>
              </w:rPr>
              <w:t>3</w:t>
            </w:r>
          </w:p>
        </w:tc>
        <w:tc>
          <w:tcPr>
            <w:tcW w:w="807" w:type="dxa"/>
          </w:tcPr>
          <w:p w14:paraId="043C5031" w14:textId="77777777" w:rsidR="009948F1" w:rsidRDefault="00BC0563">
            <w:pPr>
              <w:pStyle w:val="TableParagraph"/>
              <w:spacing w:line="166" w:lineRule="exact"/>
              <w:ind w:left="98"/>
              <w:rPr>
                <w:b/>
                <w:sz w:val="15"/>
              </w:rPr>
            </w:pPr>
            <w:r>
              <w:rPr>
                <w:color w:val="231F20"/>
                <w:w w:val="135"/>
                <w:sz w:val="12"/>
              </w:rPr>
              <w:t>24</w:t>
            </w:r>
            <w:r>
              <w:rPr>
                <w:b/>
                <w:color w:val="231F20"/>
                <w:w w:val="135"/>
                <w:sz w:val="15"/>
              </w:rPr>
              <w:t>*</w:t>
            </w:r>
          </w:p>
        </w:tc>
        <w:tc>
          <w:tcPr>
            <w:tcW w:w="1225" w:type="dxa"/>
          </w:tcPr>
          <w:p w14:paraId="18DD0CBE" w14:textId="77777777" w:rsidR="009948F1" w:rsidRDefault="00BC0563">
            <w:pPr>
              <w:pStyle w:val="TableParagraph"/>
              <w:spacing w:line="137" w:lineRule="exact"/>
              <w:ind w:left="98"/>
              <w:rPr>
                <w:sz w:val="12"/>
              </w:rPr>
            </w:pPr>
            <w:r>
              <w:rPr>
                <w:color w:val="231F20"/>
                <w:w w:val="138"/>
                <w:sz w:val="12"/>
              </w:rPr>
              <w:t>0</w:t>
            </w:r>
          </w:p>
        </w:tc>
        <w:tc>
          <w:tcPr>
            <w:tcW w:w="1112" w:type="dxa"/>
          </w:tcPr>
          <w:p w14:paraId="733E9D8D" w14:textId="77777777" w:rsidR="009948F1" w:rsidRDefault="00BC0563">
            <w:pPr>
              <w:pStyle w:val="TableParagraph"/>
              <w:spacing w:line="137" w:lineRule="exact"/>
              <w:ind w:left="97"/>
              <w:rPr>
                <w:sz w:val="12"/>
              </w:rPr>
            </w:pPr>
            <w:r>
              <w:rPr>
                <w:color w:val="231F20"/>
                <w:w w:val="138"/>
                <w:sz w:val="12"/>
              </w:rPr>
              <w:t>0</w:t>
            </w:r>
          </w:p>
        </w:tc>
        <w:tc>
          <w:tcPr>
            <w:tcW w:w="1112" w:type="dxa"/>
          </w:tcPr>
          <w:p w14:paraId="442F23D5" w14:textId="77777777" w:rsidR="009948F1" w:rsidRDefault="00BC0563">
            <w:pPr>
              <w:pStyle w:val="TableParagraph"/>
              <w:spacing w:line="137" w:lineRule="exact"/>
              <w:ind w:left="97"/>
              <w:rPr>
                <w:sz w:val="12"/>
              </w:rPr>
            </w:pPr>
            <w:r>
              <w:rPr>
                <w:color w:val="231F20"/>
                <w:w w:val="138"/>
                <w:sz w:val="12"/>
              </w:rPr>
              <w:t>0</w:t>
            </w:r>
          </w:p>
        </w:tc>
        <w:tc>
          <w:tcPr>
            <w:tcW w:w="774" w:type="dxa"/>
          </w:tcPr>
          <w:p w14:paraId="5F7E74B9" w14:textId="77777777" w:rsidR="009948F1" w:rsidRDefault="00BC0563">
            <w:pPr>
              <w:pStyle w:val="TableParagraph"/>
              <w:spacing w:line="137" w:lineRule="exact"/>
              <w:ind w:left="98"/>
              <w:rPr>
                <w:sz w:val="12"/>
              </w:rPr>
            </w:pPr>
            <w:r>
              <w:rPr>
                <w:color w:val="231F20"/>
                <w:w w:val="140"/>
                <w:sz w:val="12"/>
              </w:rPr>
              <w:t>27</w:t>
            </w:r>
          </w:p>
        </w:tc>
      </w:tr>
      <w:tr w:rsidR="009948F1" w14:paraId="1EE1159C" w14:textId="77777777">
        <w:trPr>
          <w:trHeight w:val="192"/>
        </w:trPr>
        <w:tc>
          <w:tcPr>
            <w:tcW w:w="544" w:type="dxa"/>
          </w:tcPr>
          <w:p w14:paraId="64200FC6" w14:textId="77777777" w:rsidR="009948F1" w:rsidRDefault="00BC0563">
            <w:pPr>
              <w:pStyle w:val="TableParagraph"/>
              <w:spacing w:line="137" w:lineRule="exact"/>
              <w:ind w:left="98"/>
              <w:rPr>
                <w:sz w:val="12"/>
              </w:rPr>
            </w:pPr>
            <w:r>
              <w:rPr>
                <w:color w:val="231F20"/>
                <w:w w:val="140"/>
                <w:sz w:val="12"/>
              </w:rPr>
              <w:t>13</w:t>
            </w:r>
          </w:p>
        </w:tc>
        <w:tc>
          <w:tcPr>
            <w:tcW w:w="1676" w:type="dxa"/>
          </w:tcPr>
          <w:p w14:paraId="3D0A146B" w14:textId="77777777" w:rsidR="009948F1" w:rsidRDefault="00BC0563">
            <w:pPr>
              <w:pStyle w:val="TableParagraph"/>
              <w:spacing w:line="137" w:lineRule="exact"/>
              <w:ind w:left="98"/>
              <w:rPr>
                <w:sz w:val="12"/>
              </w:rPr>
            </w:pPr>
            <w:r>
              <w:rPr>
                <w:color w:val="231F20"/>
                <w:w w:val="140"/>
                <w:sz w:val="12"/>
              </w:rPr>
              <w:t>Med. Lab Science</w:t>
            </w:r>
          </w:p>
        </w:tc>
        <w:tc>
          <w:tcPr>
            <w:tcW w:w="845" w:type="dxa"/>
          </w:tcPr>
          <w:p w14:paraId="46BE1F84" w14:textId="77777777" w:rsidR="009948F1" w:rsidRDefault="00BC0563">
            <w:pPr>
              <w:pStyle w:val="TableParagraph"/>
              <w:spacing w:line="137" w:lineRule="exact"/>
              <w:ind w:left="98"/>
              <w:rPr>
                <w:sz w:val="12"/>
              </w:rPr>
            </w:pPr>
            <w:r>
              <w:rPr>
                <w:color w:val="231F20"/>
                <w:w w:val="140"/>
                <w:sz w:val="12"/>
              </w:rPr>
              <w:t>100</w:t>
            </w:r>
          </w:p>
        </w:tc>
        <w:tc>
          <w:tcPr>
            <w:tcW w:w="942" w:type="dxa"/>
          </w:tcPr>
          <w:p w14:paraId="06CBF235" w14:textId="77777777" w:rsidR="009948F1" w:rsidRDefault="00BC0563">
            <w:pPr>
              <w:pStyle w:val="TableParagraph"/>
              <w:spacing w:line="137" w:lineRule="exact"/>
              <w:ind w:left="98"/>
              <w:rPr>
                <w:sz w:val="12"/>
              </w:rPr>
            </w:pPr>
            <w:r>
              <w:rPr>
                <w:color w:val="231F20"/>
                <w:w w:val="140"/>
                <w:sz w:val="12"/>
              </w:rPr>
              <w:t>34</w:t>
            </w:r>
          </w:p>
        </w:tc>
        <w:tc>
          <w:tcPr>
            <w:tcW w:w="807" w:type="dxa"/>
          </w:tcPr>
          <w:p w14:paraId="59179A44" w14:textId="77777777" w:rsidR="009948F1" w:rsidRDefault="00BC0563">
            <w:pPr>
              <w:pStyle w:val="TableParagraph"/>
              <w:spacing w:line="166" w:lineRule="exact"/>
              <w:ind w:left="98"/>
              <w:rPr>
                <w:b/>
                <w:sz w:val="15"/>
              </w:rPr>
            </w:pPr>
            <w:r>
              <w:rPr>
                <w:color w:val="231F20"/>
                <w:w w:val="135"/>
                <w:sz w:val="12"/>
              </w:rPr>
              <w:t>13</w:t>
            </w:r>
            <w:r>
              <w:rPr>
                <w:b/>
                <w:color w:val="231F20"/>
                <w:w w:val="135"/>
                <w:sz w:val="15"/>
              </w:rPr>
              <w:t>*</w:t>
            </w:r>
          </w:p>
        </w:tc>
        <w:tc>
          <w:tcPr>
            <w:tcW w:w="1225" w:type="dxa"/>
          </w:tcPr>
          <w:p w14:paraId="798619B0" w14:textId="77777777" w:rsidR="009948F1" w:rsidRDefault="00BC0563">
            <w:pPr>
              <w:pStyle w:val="TableParagraph"/>
              <w:spacing w:line="137" w:lineRule="exact"/>
              <w:ind w:left="98"/>
              <w:rPr>
                <w:sz w:val="12"/>
              </w:rPr>
            </w:pPr>
            <w:r>
              <w:rPr>
                <w:color w:val="231F20"/>
                <w:w w:val="140"/>
                <w:sz w:val="12"/>
              </w:rPr>
              <w:t>97</w:t>
            </w:r>
          </w:p>
        </w:tc>
        <w:tc>
          <w:tcPr>
            <w:tcW w:w="1112" w:type="dxa"/>
          </w:tcPr>
          <w:p w14:paraId="28945FDD" w14:textId="77777777" w:rsidR="009948F1" w:rsidRDefault="00BC0563">
            <w:pPr>
              <w:pStyle w:val="TableParagraph"/>
              <w:spacing w:line="137" w:lineRule="exact"/>
              <w:ind w:left="97"/>
              <w:rPr>
                <w:sz w:val="12"/>
              </w:rPr>
            </w:pPr>
            <w:r>
              <w:rPr>
                <w:color w:val="231F20"/>
                <w:w w:val="138"/>
                <w:sz w:val="12"/>
              </w:rPr>
              <w:t>0</w:t>
            </w:r>
          </w:p>
        </w:tc>
        <w:tc>
          <w:tcPr>
            <w:tcW w:w="1112" w:type="dxa"/>
          </w:tcPr>
          <w:p w14:paraId="5F2E5C8D" w14:textId="77777777" w:rsidR="009948F1" w:rsidRDefault="00BC0563">
            <w:pPr>
              <w:pStyle w:val="TableParagraph"/>
              <w:spacing w:line="137" w:lineRule="exact"/>
              <w:ind w:left="97"/>
              <w:rPr>
                <w:sz w:val="12"/>
              </w:rPr>
            </w:pPr>
            <w:r>
              <w:rPr>
                <w:color w:val="231F20"/>
                <w:w w:val="138"/>
                <w:sz w:val="12"/>
              </w:rPr>
              <w:t>0</w:t>
            </w:r>
          </w:p>
        </w:tc>
        <w:tc>
          <w:tcPr>
            <w:tcW w:w="774" w:type="dxa"/>
          </w:tcPr>
          <w:p w14:paraId="10A18111" w14:textId="77777777" w:rsidR="009948F1" w:rsidRDefault="00BC0563">
            <w:pPr>
              <w:pStyle w:val="TableParagraph"/>
              <w:spacing w:line="137" w:lineRule="exact"/>
              <w:ind w:left="98"/>
              <w:rPr>
                <w:sz w:val="12"/>
              </w:rPr>
            </w:pPr>
            <w:r>
              <w:rPr>
                <w:color w:val="231F20"/>
                <w:w w:val="140"/>
                <w:sz w:val="12"/>
              </w:rPr>
              <w:t>244</w:t>
            </w:r>
          </w:p>
        </w:tc>
      </w:tr>
      <w:tr w:rsidR="009948F1" w14:paraId="2AA16211" w14:textId="77777777">
        <w:trPr>
          <w:trHeight w:val="157"/>
        </w:trPr>
        <w:tc>
          <w:tcPr>
            <w:tcW w:w="544" w:type="dxa"/>
          </w:tcPr>
          <w:p w14:paraId="3C06D07F" w14:textId="77777777" w:rsidR="009948F1" w:rsidRDefault="00BC0563">
            <w:pPr>
              <w:pStyle w:val="TableParagraph"/>
              <w:spacing w:line="137" w:lineRule="exact"/>
              <w:ind w:left="98"/>
              <w:rPr>
                <w:sz w:val="12"/>
              </w:rPr>
            </w:pPr>
            <w:r>
              <w:rPr>
                <w:color w:val="231F20"/>
                <w:w w:val="140"/>
                <w:sz w:val="12"/>
              </w:rPr>
              <w:t>14</w:t>
            </w:r>
          </w:p>
        </w:tc>
        <w:tc>
          <w:tcPr>
            <w:tcW w:w="1676" w:type="dxa"/>
          </w:tcPr>
          <w:p w14:paraId="6C797545" w14:textId="77777777" w:rsidR="009948F1" w:rsidRDefault="00BC0563">
            <w:pPr>
              <w:pStyle w:val="TableParagraph"/>
              <w:spacing w:line="137" w:lineRule="exact"/>
              <w:ind w:left="98"/>
              <w:rPr>
                <w:sz w:val="12"/>
              </w:rPr>
            </w:pPr>
            <w:r>
              <w:rPr>
                <w:color w:val="231F20"/>
                <w:w w:val="140"/>
                <w:sz w:val="12"/>
              </w:rPr>
              <w:t>Med. Lab Tech</w:t>
            </w:r>
          </w:p>
        </w:tc>
        <w:tc>
          <w:tcPr>
            <w:tcW w:w="845" w:type="dxa"/>
          </w:tcPr>
          <w:p w14:paraId="0A94CFCE" w14:textId="77777777" w:rsidR="009948F1" w:rsidRDefault="00BC0563">
            <w:pPr>
              <w:pStyle w:val="TableParagraph"/>
              <w:spacing w:line="137" w:lineRule="exact"/>
              <w:ind w:left="98"/>
              <w:rPr>
                <w:sz w:val="12"/>
              </w:rPr>
            </w:pPr>
            <w:r>
              <w:rPr>
                <w:color w:val="231F20"/>
                <w:w w:val="138"/>
                <w:sz w:val="12"/>
              </w:rPr>
              <w:t>0</w:t>
            </w:r>
          </w:p>
        </w:tc>
        <w:tc>
          <w:tcPr>
            <w:tcW w:w="942" w:type="dxa"/>
          </w:tcPr>
          <w:p w14:paraId="09F4CF81" w14:textId="77777777" w:rsidR="009948F1" w:rsidRDefault="00BC0563">
            <w:pPr>
              <w:pStyle w:val="TableParagraph"/>
              <w:spacing w:line="137" w:lineRule="exact"/>
              <w:ind w:left="98"/>
              <w:rPr>
                <w:sz w:val="12"/>
              </w:rPr>
            </w:pPr>
            <w:r>
              <w:rPr>
                <w:color w:val="231F20"/>
                <w:w w:val="140"/>
                <w:sz w:val="12"/>
              </w:rPr>
              <w:t>89</w:t>
            </w:r>
          </w:p>
        </w:tc>
        <w:tc>
          <w:tcPr>
            <w:tcW w:w="807" w:type="dxa"/>
          </w:tcPr>
          <w:p w14:paraId="0FC94E26" w14:textId="77777777" w:rsidR="009948F1" w:rsidRDefault="00BC0563">
            <w:pPr>
              <w:pStyle w:val="TableParagraph"/>
              <w:spacing w:line="137" w:lineRule="exact"/>
              <w:ind w:left="98"/>
              <w:rPr>
                <w:sz w:val="12"/>
              </w:rPr>
            </w:pPr>
            <w:r>
              <w:rPr>
                <w:color w:val="231F20"/>
                <w:w w:val="140"/>
                <w:sz w:val="12"/>
              </w:rPr>
              <w:t>12</w:t>
            </w:r>
          </w:p>
        </w:tc>
        <w:tc>
          <w:tcPr>
            <w:tcW w:w="1225" w:type="dxa"/>
          </w:tcPr>
          <w:p w14:paraId="38C7C9D1" w14:textId="77777777" w:rsidR="009948F1" w:rsidRDefault="00BC0563">
            <w:pPr>
              <w:pStyle w:val="TableParagraph"/>
              <w:spacing w:line="137" w:lineRule="exact"/>
              <w:ind w:left="98"/>
              <w:rPr>
                <w:sz w:val="12"/>
              </w:rPr>
            </w:pPr>
            <w:r>
              <w:rPr>
                <w:color w:val="231F20"/>
                <w:w w:val="140"/>
                <w:sz w:val="12"/>
              </w:rPr>
              <w:t>612</w:t>
            </w:r>
          </w:p>
        </w:tc>
        <w:tc>
          <w:tcPr>
            <w:tcW w:w="1112" w:type="dxa"/>
          </w:tcPr>
          <w:p w14:paraId="639631BD" w14:textId="77777777" w:rsidR="009948F1" w:rsidRDefault="00BC0563">
            <w:pPr>
              <w:pStyle w:val="TableParagraph"/>
              <w:spacing w:line="137" w:lineRule="exact"/>
              <w:ind w:left="97"/>
              <w:rPr>
                <w:sz w:val="12"/>
              </w:rPr>
            </w:pPr>
            <w:r>
              <w:rPr>
                <w:color w:val="231F20"/>
                <w:w w:val="140"/>
                <w:sz w:val="12"/>
              </w:rPr>
              <w:t>113</w:t>
            </w:r>
          </w:p>
        </w:tc>
        <w:tc>
          <w:tcPr>
            <w:tcW w:w="1112" w:type="dxa"/>
          </w:tcPr>
          <w:p w14:paraId="13FEFF32" w14:textId="77777777" w:rsidR="009948F1" w:rsidRDefault="00BC0563">
            <w:pPr>
              <w:pStyle w:val="TableParagraph"/>
              <w:spacing w:line="137" w:lineRule="exact"/>
              <w:ind w:left="97"/>
              <w:rPr>
                <w:sz w:val="12"/>
              </w:rPr>
            </w:pPr>
            <w:r>
              <w:rPr>
                <w:color w:val="231F20"/>
                <w:w w:val="138"/>
                <w:sz w:val="12"/>
              </w:rPr>
              <w:t>4</w:t>
            </w:r>
          </w:p>
        </w:tc>
        <w:tc>
          <w:tcPr>
            <w:tcW w:w="774" w:type="dxa"/>
          </w:tcPr>
          <w:p w14:paraId="3890EB58" w14:textId="77777777" w:rsidR="009948F1" w:rsidRDefault="00BC0563">
            <w:pPr>
              <w:pStyle w:val="TableParagraph"/>
              <w:spacing w:line="137" w:lineRule="exact"/>
              <w:ind w:left="98"/>
              <w:rPr>
                <w:sz w:val="12"/>
              </w:rPr>
            </w:pPr>
            <w:r>
              <w:rPr>
                <w:color w:val="231F20"/>
                <w:w w:val="140"/>
                <w:sz w:val="12"/>
              </w:rPr>
              <w:t>830</w:t>
            </w:r>
          </w:p>
        </w:tc>
      </w:tr>
      <w:tr w:rsidR="009948F1" w14:paraId="5B267D03" w14:textId="77777777">
        <w:trPr>
          <w:trHeight w:val="158"/>
        </w:trPr>
        <w:tc>
          <w:tcPr>
            <w:tcW w:w="544" w:type="dxa"/>
          </w:tcPr>
          <w:p w14:paraId="0C3BEA84" w14:textId="77777777" w:rsidR="009948F1" w:rsidRDefault="00BC0563">
            <w:pPr>
              <w:pStyle w:val="TableParagraph"/>
              <w:spacing w:before="1"/>
              <w:ind w:left="98"/>
              <w:rPr>
                <w:sz w:val="12"/>
              </w:rPr>
            </w:pPr>
            <w:r>
              <w:rPr>
                <w:color w:val="231F20"/>
                <w:w w:val="140"/>
                <w:sz w:val="12"/>
              </w:rPr>
              <w:t>15</w:t>
            </w:r>
          </w:p>
        </w:tc>
        <w:tc>
          <w:tcPr>
            <w:tcW w:w="1676" w:type="dxa"/>
          </w:tcPr>
          <w:p w14:paraId="71A0703D" w14:textId="77777777" w:rsidR="009948F1" w:rsidRDefault="00BC0563">
            <w:pPr>
              <w:pStyle w:val="TableParagraph"/>
              <w:spacing w:before="1"/>
              <w:ind w:left="98"/>
              <w:rPr>
                <w:sz w:val="12"/>
              </w:rPr>
            </w:pPr>
            <w:r>
              <w:rPr>
                <w:color w:val="231F20"/>
                <w:w w:val="140"/>
                <w:sz w:val="12"/>
              </w:rPr>
              <w:t>Planning officer</w:t>
            </w:r>
          </w:p>
        </w:tc>
        <w:tc>
          <w:tcPr>
            <w:tcW w:w="845" w:type="dxa"/>
          </w:tcPr>
          <w:p w14:paraId="32FECD65" w14:textId="77777777" w:rsidR="009948F1" w:rsidRDefault="00BC0563">
            <w:pPr>
              <w:pStyle w:val="TableParagraph"/>
              <w:spacing w:before="1"/>
              <w:ind w:left="98"/>
              <w:rPr>
                <w:sz w:val="12"/>
              </w:rPr>
            </w:pPr>
            <w:r>
              <w:rPr>
                <w:color w:val="231F20"/>
                <w:w w:val="138"/>
                <w:sz w:val="12"/>
              </w:rPr>
              <w:t>0</w:t>
            </w:r>
          </w:p>
        </w:tc>
        <w:tc>
          <w:tcPr>
            <w:tcW w:w="942" w:type="dxa"/>
          </w:tcPr>
          <w:p w14:paraId="741A71A2" w14:textId="77777777" w:rsidR="009948F1" w:rsidRDefault="00BC0563">
            <w:pPr>
              <w:pStyle w:val="TableParagraph"/>
              <w:spacing w:before="1"/>
              <w:ind w:left="98"/>
              <w:rPr>
                <w:sz w:val="12"/>
              </w:rPr>
            </w:pPr>
            <w:r>
              <w:rPr>
                <w:color w:val="231F20"/>
                <w:w w:val="138"/>
                <w:sz w:val="12"/>
              </w:rPr>
              <w:t>0</w:t>
            </w:r>
          </w:p>
        </w:tc>
        <w:tc>
          <w:tcPr>
            <w:tcW w:w="807" w:type="dxa"/>
          </w:tcPr>
          <w:p w14:paraId="35863ACE" w14:textId="77777777" w:rsidR="009948F1" w:rsidRDefault="00BC0563">
            <w:pPr>
              <w:pStyle w:val="TableParagraph"/>
              <w:spacing w:before="1"/>
              <w:ind w:left="98"/>
              <w:rPr>
                <w:sz w:val="12"/>
              </w:rPr>
            </w:pPr>
            <w:r>
              <w:rPr>
                <w:color w:val="231F20"/>
                <w:w w:val="138"/>
                <w:sz w:val="12"/>
              </w:rPr>
              <w:t>1</w:t>
            </w:r>
          </w:p>
        </w:tc>
        <w:tc>
          <w:tcPr>
            <w:tcW w:w="1225" w:type="dxa"/>
          </w:tcPr>
          <w:p w14:paraId="798ABA7D" w14:textId="77777777" w:rsidR="009948F1" w:rsidRDefault="00BC0563">
            <w:pPr>
              <w:pStyle w:val="TableParagraph"/>
              <w:spacing w:before="1"/>
              <w:ind w:left="98"/>
              <w:rPr>
                <w:sz w:val="12"/>
              </w:rPr>
            </w:pPr>
            <w:r>
              <w:rPr>
                <w:color w:val="231F20"/>
                <w:w w:val="138"/>
                <w:sz w:val="12"/>
              </w:rPr>
              <w:t>0</w:t>
            </w:r>
          </w:p>
        </w:tc>
        <w:tc>
          <w:tcPr>
            <w:tcW w:w="1112" w:type="dxa"/>
          </w:tcPr>
          <w:p w14:paraId="5A213C74" w14:textId="77777777" w:rsidR="009948F1" w:rsidRDefault="00BC0563">
            <w:pPr>
              <w:pStyle w:val="TableParagraph"/>
              <w:spacing w:before="1"/>
              <w:ind w:left="97"/>
              <w:rPr>
                <w:sz w:val="12"/>
              </w:rPr>
            </w:pPr>
            <w:r>
              <w:rPr>
                <w:color w:val="231F20"/>
                <w:w w:val="138"/>
                <w:sz w:val="12"/>
              </w:rPr>
              <w:t>0</w:t>
            </w:r>
          </w:p>
        </w:tc>
        <w:tc>
          <w:tcPr>
            <w:tcW w:w="1112" w:type="dxa"/>
          </w:tcPr>
          <w:p w14:paraId="48190F79" w14:textId="77777777" w:rsidR="009948F1" w:rsidRDefault="00BC0563">
            <w:pPr>
              <w:pStyle w:val="TableParagraph"/>
              <w:spacing w:before="1"/>
              <w:ind w:left="97"/>
              <w:rPr>
                <w:sz w:val="12"/>
              </w:rPr>
            </w:pPr>
            <w:r>
              <w:rPr>
                <w:color w:val="231F20"/>
                <w:w w:val="138"/>
                <w:sz w:val="12"/>
              </w:rPr>
              <w:t>0</w:t>
            </w:r>
          </w:p>
        </w:tc>
        <w:tc>
          <w:tcPr>
            <w:tcW w:w="774" w:type="dxa"/>
          </w:tcPr>
          <w:p w14:paraId="04736CED" w14:textId="77777777" w:rsidR="009948F1" w:rsidRDefault="00BC0563">
            <w:pPr>
              <w:pStyle w:val="TableParagraph"/>
              <w:spacing w:before="1"/>
              <w:ind w:left="98"/>
              <w:rPr>
                <w:sz w:val="12"/>
              </w:rPr>
            </w:pPr>
            <w:r>
              <w:rPr>
                <w:color w:val="231F20"/>
                <w:w w:val="138"/>
                <w:sz w:val="12"/>
              </w:rPr>
              <w:t>1</w:t>
            </w:r>
          </w:p>
        </w:tc>
      </w:tr>
      <w:tr w:rsidR="009948F1" w14:paraId="5E72BB5D" w14:textId="77777777">
        <w:trPr>
          <w:trHeight w:val="317"/>
        </w:trPr>
        <w:tc>
          <w:tcPr>
            <w:tcW w:w="544" w:type="dxa"/>
          </w:tcPr>
          <w:p w14:paraId="6E96CFC7" w14:textId="77777777" w:rsidR="009948F1" w:rsidRDefault="00BC0563">
            <w:pPr>
              <w:pStyle w:val="TableParagraph"/>
              <w:spacing w:line="137" w:lineRule="exact"/>
              <w:ind w:left="98"/>
              <w:rPr>
                <w:sz w:val="12"/>
              </w:rPr>
            </w:pPr>
            <w:r>
              <w:rPr>
                <w:color w:val="231F20"/>
                <w:w w:val="140"/>
                <w:sz w:val="12"/>
              </w:rPr>
              <w:t>16</w:t>
            </w:r>
          </w:p>
        </w:tc>
        <w:tc>
          <w:tcPr>
            <w:tcW w:w="1676" w:type="dxa"/>
          </w:tcPr>
          <w:p w14:paraId="2AADF084" w14:textId="77777777" w:rsidR="009948F1" w:rsidRDefault="00BC0563">
            <w:pPr>
              <w:pStyle w:val="TableParagraph"/>
              <w:spacing w:line="137" w:lineRule="exact"/>
              <w:ind w:left="98"/>
              <w:rPr>
                <w:sz w:val="12"/>
              </w:rPr>
            </w:pPr>
            <w:r>
              <w:rPr>
                <w:color w:val="231F20"/>
                <w:w w:val="140"/>
                <w:sz w:val="12"/>
              </w:rPr>
              <w:t>Statistics</w:t>
            </w:r>
          </w:p>
          <w:p w14:paraId="6DF0CF18" w14:textId="77777777" w:rsidR="009948F1" w:rsidRDefault="00BC0563">
            <w:pPr>
              <w:pStyle w:val="TableParagraph"/>
              <w:spacing w:before="22"/>
              <w:ind w:left="98"/>
              <w:rPr>
                <w:sz w:val="12"/>
              </w:rPr>
            </w:pPr>
            <w:r>
              <w:rPr>
                <w:color w:val="231F20"/>
                <w:w w:val="140"/>
                <w:sz w:val="12"/>
              </w:rPr>
              <w:t>Officers</w:t>
            </w:r>
          </w:p>
        </w:tc>
        <w:tc>
          <w:tcPr>
            <w:tcW w:w="845" w:type="dxa"/>
          </w:tcPr>
          <w:p w14:paraId="4A45AF13" w14:textId="77777777" w:rsidR="009948F1" w:rsidRDefault="00BC0563">
            <w:pPr>
              <w:pStyle w:val="TableParagraph"/>
              <w:spacing w:line="137" w:lineRule="exact"/>
              <w:ind w:left="98"/>
              <w:rPr>
                <w:sz w:val="12"/>
              </w:rPr>
            </w:pPr>
            <w:r>
              <w:rPr>
                <w:color w:val="231F20"/>
                <w:w w:val="138"/>
                <w:sz w:val="12"/>
              </w:rPr>
              <w:t>0</w:t>
            </w:r>
          </w:p>
        </w:tc>
        <w:tc>
          <w:tcPr>
            <w:tcW w:w="942" w:type="dxa"/>
          </w:tcPr>
          <w:p w14:paraId="6E5A4058" w14:textId="77777777" w:rsidR="009948F1" w:rsidRDefault="00BC0563">
            <w:pPr>
              <w:pStyle w:val="TableParagraph"/>
              <w:spacing w:line="137" w:lineRule="exact"/>
              <w:ind w:left="98"/>
              <w:rPr>
                <w:sz w:val="12"/>
              </w:rPr>
            </w:pPr>
            <w:r>
              <w:rPr>
                <w:color w:val="231F20"/>
                <w:w w:val="138"/>
                <w:sz w:val="12"/>
              </w:rPr>
              <w:t>0</w:t>
            </w:r>
          </w:p>
        </w:tc>
        <w:tc>
          <w:tcPr>
            <w:tcW w:w="807" w:type="dxa"/>
          </w:tcPr>
          <w:p w14:paraId="17636502" w14:textId="77777777" w:rsidR="009948F1" w:rsidRDefault="00BC0563">
            <w:pPr>
              <w:pStyle w:val="TableParagraph"/>
              <w:spacing w:line="137" w:lineRule="exact"/>
              <w:ind w:left="98"/>
              <w:rPr>
                <w:sz w:val="12"/>
              </w:rPr>
            </w:pPr>
            <w:r>
              <w:rPr>
                <w:color w:val="231F20"/>
                <w:w w:val="138"/>
                <w:sz w:val="12"/>
              </w:rPr>
              <w:t>4</w:t>
            </w:r>
          </w:p>
        </w:tc>
        <w:tc>
          <w:tcPr>
            <w:tcW w:w="1225" w:type="dxa"/>
          </w:tcPr>
          <w:p w14:paraId="5B26CD13" w14:textId="77777777" w:rsidR="009948F1" w:rsidRDefault="00BC0563">
            <w:pPr>
              <w:pStyle w:val="TableParagraph"/>
              <w:spacing w:line="137" w:lineRule="exact"/>
              <w:ind w:left="98"/>
              <w:rPr>
                <w:sz w:val="12"/>
              </w:rPr>
            </w:pPr>
            <w:r>
              <w:rPr>
                <w:color w:val="231F20"/>
                <w:w w:val="138"/>
                <w:sz w:val="12"/>
              </w:rPr>
              <w:t>0</w:t>
            </w:r>
          </w:p>
        </w:tc>
        <w:tc>
          <w:tcPr>
            <w:tcW w:w="1112" w:type="dxa"/>
          </w:tcPr>
          <w:p w14:paraId="7A963973" w14:textId="77777777" w:rsidR="009948F1" w:rsidRDefault="00BC0563">
            <w:pPr>
              <w:pStyle w:val="TableParagraph"/>
              <w:spacing w:line="137" w:lineRule="exact"/>
              <w:ind w:left="97"/>
              <w:rPr>
                <w:sz w:val="12"/>
              </w:rPr>
            </w:pPr>
            <w:r>
              <w:rPr>
                <w:color w:val="231F20"/>
                <w:w w:val="138"/>
                <w:sz w:val="12"/>
              </w:rPr>
              <w:t>0</w:t>
            </w:r>
          </w:p>
        </w:tc>
        <w:tc>
          <w:tcPr>
            <w:tcW w:w="1112" w:type="dxa"/>
          </w:tcPr>
          <w:p w14:paraId="7026F207" w14:textId="77777777" w:rsidR="009948F1" w:rsidRDefault="00BC0563">
            <w:pPr>
              <w:pStyle w:val="TableParagraph"/>
              <w:spacing w:line="137" w:lineRule="exact"/>
              <w:ind w:left="97"/>
              <w:rPr>
                <w:sz w:val="12"/>
              </w:rPr>
            </w:pPr>
            <w:r>
              <w:rPr>
                <w:color w:val="231F20"/>
                <w:w w:val="138"/>
                <w:sz w:val="12"/>
              </w:rPr>
              <w:t>0</w:t>
            </w:r>
          </w:p>
        </w:tc>
        <w:tc>
          <w:tcPr>
            <w:tcW w:w="774" w:type="dxa"/>
          </w:tcPr>
          <w:p w14:paraId="211FDD1F" w14:textId="77777777" w:rsidR="009948F1" w:rsidRDefault="00BC0563">
            <w:pPr>
              <w:pStyle w:val="TableParagraph"/>
              <w:spacing w:line="137" w:lineRule="exact"/>
              <w:ind w:left="98"/>
              <w:rPr>
                <w:sz w:val="12"/>
              </w:rPr>
            </w:pPr>
            <w:r>
              <w:rPr>
                <w:color w:val="231F20"/>
                <w:w w:val="138"/>
                <w:sz w:val="12"/>
              </w:rPr>
              <w:t>4</w:t>
            </w:r>
          </w:p>
        </w:tc>
      </w:tr>
      <w:tr w:rsidR="009948F1" w14:paraId="69BB52D7" w14:textId="77777777">
        <w:trPr>
          <w:trHeight w:val="319"/>
        </w:trPr>
        <w:tc>
          <w:tcPr>
            <w:tcW w:w="544" w:type="dxa"/>
          </w:tcPr>
          <w:p w14:paraId="728AB51A" w14:textId="77777777" w:rsidR="009948F1" w:rsidRDefault="00BC0563">
            <w:pPr>
              <w:pStyle w:val="TableParagraph"/>
              <w:spacing w:line="137" w:lineRule="exact"/>
              <w:ind w:left="98"/>
              <w:rPr>
                <w:sz w:val="12"/>
              </w:rPr>
            </w:pPr>
            <w:r>
              <w:rPr>
                <w:color w:val="231F20"/>
                <w:w w:val="140"/>
                <w:sz w:val="12"/>
              </w:rPr>
              <w:t>17</w:t>
            </w:r>
          </w:p>
        </w:tc>
        <w:tc>
          <w:tcPr>
            <w:tcW w:w="1676" w:type="dxa"/>
          </w:tcPr>
          <w:p w14:paraId="4E5289E0" w14:textId="77777777" w:rsidR="009948F1" w:rsidRDefault="00BC0563">
            <w:pPr>
              <w:pStyle w:val="TableParagraph"/>
              <w:spacing w:line="137" w:lineRule="exact"/>
              <w:ind w:left="98"/>
              <w:rPr>
                <w:sz w:val="12"/>
              </w:rPr>
            </w:pPr>
            <w:r>
              <w:rPr>
                <w:color w:val="231F20"/>
                <w:w w:val="140"/>
                <w:sz w:val="12"/>
              </w:rPr>
              <w:t>Research</w:t>
            </w:r>
          </w:p>
          <w:p w14:paraId="4F8031B6" w14:textId="77777777" w:rsidR="009948F1" w:rsidRDefault="00BC0563">
            <w:pPr>
              <w:pStyle w:val="TableParagraph"/>
              <w:spacing w:before="24"/>
              <w:ind w:left="98"/>
              <w:rPr>
                <w:sz w:val="12"/>
              </w:rPr>
            </w:pPr>
            <w:r>
              <w:rPr>
                <w:color w:val="231F20"/>
                <w:w w:val="140"/>
                <w:sz w:val="12"/>
              </w:rPr>
              <w:t>Officers</w:t>
            </w:r>
          </w:p>
        </w:tc>
        <w:tc>
          <w:tcPr>
            <w:tcW w:w="845" w:type="dxa"/>
          </w:tcPr>
          <w:p w14:paraId="03FFFD12" w14:textId="77777777" w:rsidR="009948F1" w:rsidRDefault="00BC0563">
            <w:pPr>
              <w:pStyle w:val="TableParagraph"/>
              <w:spacing w:line="137" w:lineRule="exact"/>
              <w:ind w:left="98"/>
              <w:rPr>
                <w:sz w:val="12"/>
              </w:rPr>
            </w:pPr>
            <w:r>
              <w:rPr>
                <w:color w:val="231F20"/>
                <w:w w:val="138"/>
                <w:sz w:val="12"/>
              </w:rPr>
              <w:t>0</w:t>
            </w:r>
          </w:p>
        </w:tc>
        <w:tc>
          <w:tcPr>
            <w:tcW w:w="942" w:type="dxa"/>
          </w:tcPr>
          <w:p w14:paraId="0E9C48E0" w14:textId="77777777" w:rsidR="009948F1" w:rsidRDefault="00BC0563">
            <w:pPr>
              <w:pStyle w:val="TableParagraph"/>
              <w:spacing w:line="137" w:lineRule="exact"/>
              <w:ind w:left="98"/>
              <w:rPr>
                <w:sz w:val="12"/>
              </w:rPr>
            </w:pPr>
            <w:r>
              <w:rPr>
                <w:color w:val="231F20"/>
                <w:w w:val="138"/>
                <w:sz w:val="12"/>
              </w:rPr>
              <w:t>0</w:t>
            </w:r>
          </w:p>
        </w:tc>
        <w:tc>
          <w:tcPr>
            <w:tcW w:w="807" w:type="dxa"/>
          </w:tcPr>
          <w:p w14:paraId="1CA468BB" w14:textId="77777777" w:rsidR="009948F1" w:rsidRDefault="00BC0563">
            <w:pPr>
              <w:pStyle w:val="TableParagraph"/>
              <w:spacing w:line="137" w:lineRule="exact"/>
              <w:ind w:left="98"/>
              <w:rPr>
                <w:sz w:val="12"/>
              </w:rPr>
            </w:pPr>
            <w:r>
              <w:rPr>
                <w:color w:val="231F20"/>
                <w:w w:val="138"/>
                <w:sz w:val="12"/>
              </w:rPr>
              <w:t>1</w:t>
            </w:r>
          </w:p>
        </w:tc>
        <w:tc>
          <w:tcPr>
            <w:tcW w:w="1225" w:type="dxa"/>
          </w:tcPr>
          <w:p w14:paraId="6A529FFA" w14:textId="77777777" w:rsidR="009948F1" w:rsidRDefault="00BC0563">
            <w:pPr>
              <w:pStyle w:val="TableParagraph"/>
              <w:spacing w:line="137" w:lineRule="exact"/>
              <w:ind w:left="98"/>
              <w:rPr>
                <w:sz w:val="12"/>
              </w:rPr>
            </w:pPr>
            <w:r>
              <w:rPr>
                <w:color w:val="231F20"/>
                <w:w w:val="138"/>
                <w:sz w:val="12"/>
              </w:rPr>
              <w:t>0</w:t>
            </w:r>
          </w:p>
        </w:tc>
        <w:tc>
          <w:tcPr>
            <w:tcW w:w="1112" w:type="dxa"/>
          </w:tcPr>
          <w:p w14:paraId="7ED0360C" w14:textId="77777777" w:rsidR="009948F1" w:rsidRDefault="00BC0563">
            <w:pPr>
              <w:pStyle w:val="TableParagraph"/>
              <w:spacing w:line="137" w:lineRule="exact"/>
              <w:ind w:left="97"/>
              <w:rPr>
                <w:sz w:val="12"/>
              </w:rPr>
            </w:pPr>
            <w:r>
              <w:rPr>
                <w:color w:val="231F20"/>
                <w:w w:val="138"/>
                <w:sz w:val="12"/>
              </w:rPr>
              <w:t>0</w:t>
            </w:r>
          </w:p>
        </w:tc>
        <w:tc>
          <w:tcPr>
            <w:tcW w:w="1112" w:type="dxa"/>
          </w:tcPr>
          <w:p w14:paraId="14B670B5" w14:textId="77777777" w:rsidR="009948F1" w:rsidRDefault="00BC0563">
            <w:pPr>
              <w:pStyle w:val="TableParagraph"/>
              <w:spacing w:line="137" w:lineRule="exact"/>
              <w:ind w:left="97"/>
              <w:rPr>
                <w:sz w:val="12"/>
              </w:rPr>
            </w:pPr>
            <w:r>
              <w:rPr>
                <w:color w:val="231F20"/>
                <w:w w:val="138"/>
                <w:sz w:val="12"/>
              </w:rPr>
              <w:t>0</w:t>
            </w:r>
          </w:p>
        </w:tc>
        <w:tc>
          <w:tcPr>
            <w:tcW w:w="774" w:type="dxa"/>
          </w:tcPr>
          <w:p w14:paraId="360E9D75" w14:textId="77777777" w:rsidR="009948F1" w:rsidRDefault="00BC0563">
            <w:pPr>
              <w:pStyle w:val="TableParagraph"/>
              <w:spacing w:line="137" w:lineRule="exact"/>
              <w:ind w:left="98"/>
              <w:rPr>
                <w:sz w:val="12"/>
              </w:rPr>
            </w:pPr>
            <w:r>
              <w:rPr>
                <w:color w:val="231F20"/>
                <w:w w:val="138"/>
                <w:sz w:val="12"/>
              </w:rPr>
              <w:t>1</w:t>
            </w:r>
          </w:p>
        </w:tc>
      </w:tr>
      <w:tr w:rsidR="009948F1" w14:paraId="215692D1" w14:textId="77777777">
        <w:trPr>
          <w:trHeight w:val="192"/>
        </w:trPr>
        <w:tc>
          <w:tcPr>
            <w:tcW w:w="544" w:type="dxa"/>
          </w:tcPr>
          <w:p w14:paraId="5265EAEE" w14:textId="77777777" w:rsidR="009948F1" w:rsidRDefault="00BC0563">
            <w:pPr>
              <w:pStyle w:val="TableParagraph"/>
              <w:spacing w:line="137" w:lineRule="exact"/>
              <w:ind w:left="98"/>
              <w:rPr>
                <w:sz w:val="12"/>
              </w:rPr>
            </w:pPr>
            <w:r>
              <w:rPr>
                <w:color w:val="231F20"/>
                <w:w w:val="140"/>
                <w:sz w:val="12"/>
              </w:rPr>
              <w:t>18</w:t>
            </w:r>
          </w:p>
        </w:tc>
        <w:tc>
          <w:tcPr>
            <w:tcW w:w="1676" w:type="dxa"/>
          </w:tcPr>
          <w:p w14:paraId="2AF28AB9" w14:textId="77777777" w:rsidR="009948F1" w:rsidRDefault="00BC0563">
            <w:pPr>
              <w:pStyle w:val="TableParagraph"/>
              <w:spacing w:line="137" w:lineRule="exact"/>
              <w:ind w:left="98"/>
              <w:rPr>
                <w:sz w:val="12"/>
              </w:rPr>
            </w:pPr>
            <w:r>
              <w:rPr>
                <w:color w:val="231F20"/>
                <w:w w:val="140"/>
                <w:sz w:val="12"/>
              </w:rPr>
              <w:t>Tutors</w:t>
            </w:r>
          </w:p>
        </w:tc>
        <w:tc>
          <w:tcPr>
            <w:tcW w:w="845" w:type="dxa"/>
          </w:tcPr>
          <w:p w14:paraId="35C0A204" w14:textId="77777777" w:rsidR="009948F1" w:rsidRDefault="00BC0563">
            <w:pPr>
              <w:pStyle w:val="TableParagraph"/>
              <w:spacing w:line="137" w:lineRule="exact"/>
              <w:ind w:left="98"/>
              <w:rPr>
                <w:sz w:val="12"/>
              </w:rPr>
            </w:pPr>
            <w:r>
              <w:rPr>
                <w:color w:val="231F20"/>
                <w:w w:val="138"/>
                <w:sz w:val="12"/>
              </w:rPr>
              <w:t>0</w:t>
            </w:r>
          </w:p>
        </w:tc>
        <w:tc>
          <w:tcPr>
            <w:tcW w:w="942" w:type="dxa"/>
          </w:tcPr>
          <w:p w14:paraId="3A143FE1" w14:textId="77777777" w:rsidR="009948F1" w:rsidRDefault="00BC0563">
            <w:pPr>
              <w:pStyle w:val="TableParagraph"/>
              <w:spacing w:line="137" w:lineRule="exact"/>
              <w:ind w:left="98"/>
              <w:rPr>
                <w:sz w:val="12"/>
              </w:rPr>
            </w:pPr>
            <w:r>
              <w:rPr>
                <w:color w:val="231F20"/>
                <w:w w:val="138"/>
                <w:sz w:val="12"/>
              </w:rPr>
              <w:t>0</w:t>
            </w:r>
          </w:p>
        </w:tc>
        <w:tc>
          <w:tcPr>
            <w:tcW w:w="807" w:type="dxa"/>
          </w:tcPr>
          <w:p w14:paraId="35E37F11" w14:textId="77777777" w:rsidR="009948F1" w:rsidRDefault="00BC0563">
            <w:pPr>
              <w:pStyle w:val="TableParagraph"/>
              <w:spacing w:line="166" w:lineRule="exact"/>
              <w:ind w:left="98"/>
              <w:rPr>
                <w:b/>
                <w:sz w:val="15"/>
              </w:rPr>
            </w:pPr>
            <w:r>
              <w:rPr>
                <w:color w:val="231F20"/>
                <w:w w:val="135"/>
                <w:sz w:val="12"/>
              </w:rPr>
              <w:t>93</w:t>
            </w:r>
            <w:r>
              <w:rPr>
                <w:b/>
                <w:color w:val="231F20"/>
                <w:w w:val="135"/>
                <w:sz w:val="15"/>
              </w:rPr>
              <w:t>*</w:t>
            </w:r>
          </w:p>
        </w:tc>
        <w:tc>
          <w:tcPr>
            <w:tcW w:w="1225" w:type="dxa"/>
          </w:tcPr>
          <w:p w14:paraId="738E9154" w14:textId="77777777" w:rsidR="009948F1" w:rsidRDefault="00BC0563">
            <w:pPr>
              <w:pStyle w:val="TableParagraph"/>
              <w:spacing w:line="137" w:lineRule="exact"/>
              <w:ind w:left="98"/>
              <w:rPr>
                <w:sz w:val="12"/>
              </w:rPr>
            </w:pPr>
            <w:r>
              <w:rPr>
                <w:color w:val="231F20"/>
                <w:w w:val="138"/>
                <w:sz w:val="12"/>
              </w:rPr>
              <w:t>0</w:t>
            </w:r>
          </w:p>
        </w:tc>
        <w:tc>
          <w:tcPr>
            <w:tcW w:w="1112" w:type="dxa"/>
          </w:tcPr>
          <w:p w14:paraId="3F6A41C5" w14:textId="77777777" w:rsidR="009948F1" w:rsidRDefault="00BC0563">
            <w:pPr>
              <w:pStyle w:val="TableParagraph"/>
              <w:spacing w:line="137" w:lineRule="exact"/>
              <w:ind w:left="97"/>
              <w:rPr>
                <w:sz w:val="12"/>
              </w:rPr>
            </w:pPr>
            <w:r>
              <w:rPr>
                <w:color w:val="231F20"/>
                <w:w w:val="138"/>
                <w:sz w:val="12"/>
              </w:rPr>
              <w:t>0</w:t>
            </w:r>
          </w:p>
        </w:tc>
        <w:tc>
          <w:tcPr>
            <w:tcW w:w="1112" w:type="dxa"/>
          </w:tcPr>
          <w:p w14:paraId="6A69FEF3" w14:textId="77777777" w:rsidR="009948F1" w:rsidRDefault="00BC0563">
            <w:pPr>
              <w:pStyle w:val="TableParagraph"/>
              <w:spacing w:line="137" w:lineRule="exact"/>
              <w:ind w:left="97"/>
              <w:rPr>
                <w:sz w:val="12"/>
              </w:rPr>
            </w:pPr>
            <w:r>
              <w:rPr>
                <w:color w:val="231F20"/>
                <w:w w:val="138"/>
                <w:sz w:val="12"/>
              </w:rPr>
              <w:t>0</w:t>
            </w:r>
          </w:p>
        </w:tc>
        <w:tc>
          <w:tcPr>
            <w:tcW w:w="774" w:type="dxa"/>
          </w:tcPr>
          <w:p w14:paraId="7F66AF0D" w14:textId="77777777" w:rsidR="009948F1" w:rsidRDefault="00BC0563">
            <w:pPr>
              <w:pStyle w:val="TableParagraph"/>
              <w:spacing w:line="137" w:lineRule="exact"/>
              <w:ind w:left="98"/>
              <w:rPr>
                <w:sz w:val="12"/>
              </w:rPr>
            </w:pPr>
            <w:r>
              <w:rPr>
                <w:color w:val="231F20"/>
                <w:w w:val="140"/>
                <w:sz w:val="12"/>
              </w:rPr>
              <w:t>93</w:t>
            </w:r>
          </w:p>
        </w:tc>
      </w:tr>
      <w:tr w:rsidR="009948F1" w14:paraId="1453C994" w14:textId="77777777">
        <w:trPr>
          <w:trHeight w:val="194"/>
        </w:trPr>
        <w:tc>
          <w:tcPr>
            <w:tcW w:w="544" w:type="dxa"/>
          </w:tcPr>
          <w:p w14:paraId="114B109B" w14:textId="77777777" w:rsidR="009948F1" w:rsidRDefault="00BC0563">
            <w:pPr>
              <w:pStyle w:val="TableParagraph"/>
              <w:spacing w:line="137" w:lineRule="exact"/>
              <w:ind w:left="98"/>
              <w:rPr>
                <w:sz w:val="12"/>
              </w:rPr>
            </w:pPr>
            <w:r>
              <w:rPr>
                <w:color w:val="231F20"/>
                <w:w w:val="140"/>
                <w:sz w:val="12"/>
              </w:rPr>
              <w:t>19</w:t>
            </w:r>
          </w:p>
        </w:tc>
        <w:tc>
          <w:tcPr>
            <w:tcW w:w="1676" w:type="dxa"/>
          </w:tcPr>
          <w:p w14:paraId="07C8B206" w14:textId="77777777" w:rsidR="009948F1" w:rsidRDefault="00BC0563">
            <w:pPr>
              <w:pStyle w:val="TableParagraph"/>
              <w:spacing w:line="137" w:lineRule="exact"/>
              <w:ind w:left="98"/>
              <w:rPr>
                <w:sz w:val="12"/>
              </w:rPr>
            </w:pPr>
            <w:r>
              <w:rPr>
                <w:color w:val="231F20"/>
                <w:w w:val="140"/>
                <w:sz w:val="12"/>
              </w:rPr>
              <w:t>Admin officers</w:t>
            </w:r>
          </w:p>
        </w:tc>
        <w:tc>
          <w:tcPr>
            <w:tcW w:w="845" w:type="dxa"/>
          </w:tcPr>
          <w:p w14:paraId="39624DFF" w14:textId="77777777" w:rsidR="009948F1" w:rsidRDefault="00BC0563">
            <w:pPr>
              <w:pStyle w:val="TableParagraph"/>
              <w:spacing w:line="137" w:lineRule="exact"/>
              <w:ind w:left="98"/>
              <w:rPr>
                <w:sz w:val="12"/>
              </w:rPr>
            </w:pPr>
            <w:r>
              <w:rPr>
                <w:color w:val="231F20"/>
                <w:w w:val="138"/>
                <w:sz w:val="12"/>
              </w:rPr>
              <w:t>0</w:t>
            </w:r>
          </w:p>
        </w:tc>
        <w:tc>
          <w:tcPr>
            <w:tcW w:w="942" w:type="dxa"/>
          </w:tcPr>
          <w:p w14:paraId="0B5703DC" w14:textId="77777777" w:rsidR="009948F1" w:rsidRDefault="00BC0563">
            <w:pPr>
              <w:pStyle w:val="TableParagraph"/>
              <w:spacing w:line="137" w:lineRule="exact"/>
              <w:ind w:left="98"/>
              <w:rPr>
                <w:sz w:val="12"/>
              </w:rPr>
            </w:pPr>
            <w:r>
              <w:rPr>
                <w:color w:val="231F20"/>
                <w:w w:val="140"/>
                <w:sz w:val="12"/>
              </w:rPr>
              <w:t>128</w:t>
            </w:r>
          </w:p>
        </w:tc>
        <w:tc>
          <w:tcPr>
            <w:tcW w:w="807" w:type="dxa"/>
          </w:tcPr>
          <w:p w14:paraId="243BC8B2" w14:textId="77777777" w:rsidR="009948F1" w:rsidRDefault="00BC0563">
            <w:pPr>
              <w:pStyle w:val="TableParagraph"/>
              <w:spacing w:line="166" w:lineRule="exact"/>
              <w:ind w:left="98"/>
              <w:rPr>
                <w:b/>
                <w:sz w:val="15"/>
              </w:rPr>
            </w:pPr>
            <w:r>
              <w:rPr>
                <w:color w:val="231F20"/>
                <w:w w:val="135"/>
                <w:sz w:val="12"/>
              </w:rPr>
              <w:t>86</w:t>
            </w:r>
            <w:r>
              <w:rPr>
                <w:b/>
                <w:color w:val="231F20"/>
                <w:w w:val="135"/>
                <w:sz w:val="15"/>
              </w:rPr>
              <w:t>*</w:t>
            </w:r>
          </w:p>
        </w:tc>
        <w:tc>
          <w:tcPr>
            <w:tcW w:w="1225" w:type="dxa"/>
          </w:tcPr>
          <w:p w14:paraId="248F09DD" w14:textId="77777777" w:rsidR="009948F1" w:rsidRDefault="00BC0563">
            <w:pPr>
              <w:pStyle w:val="TableParagraph"/>
              <w:spacing w:line="137" w:lineRule="exact"/>
              <w:ind w:left="98"/>
              <w:rPr>
                <w:sz w:val="12"/>
              </w:rPr>
            </w:pPr>
            <w:r>
              <w:rPr>
                <w:color w:val="231F20"/>
                <w:w w:val="138"/>
                <w:sz w:val="12"/>
              </w:rPr>
              <w:t>0</w:t>
            </w:r>
          </w:p>
        </w:tc>
        <w:tc>
          <w:tcPr>
            <w:tcW w:w="1112" w:type="dxa"/>
          </w:tcPr>
          <w:p w14:paraId="1E7A3BC7" w14:textId="77777777" w:rsidR="009948F1" w:rsidRDefault="00BC0563">
            <w:pPr>
              <w:pStyle w:val="TableParagraph"/>
              <w:spacing w:line="137" w:lineRule="exact"/>
              <w:ind w:left="97"/>
              <w:rPr>
                <w:sz w:val="12"/>
              </w:rPr>
            </w:pPr>
            <w:r>
              <w:rPr>
                <w:color w:val="231F20"/>
                <w:w w:val="138"/>
                <w:sz w:val="12"/>
              </w:rPr>
              <w:t>0</w:t>
            </w:r>
          </w:p>
        </w:tc>
        <w:tc>
          <w:tcPr>
            <w:tcW w:w="1112" w:type="dxa"/>
          </w:tcPr>
          <w:p w14:paraId="525408A0" w14:textId="77777777" w:rsidR="009948F1" w:rsidRDefault="00BC0563">
            <w:pPr>
              <w:pStyle w:val="TableParagraph"/>
              <w:spacing w:line="137" w:lineRule="exact"/>
              <w:ind w:left="97"/>
              <w:rPr>
                <w:sz w:val="12"/>
              </w:rPr>
            </w:pPr>
            <w:r>
              <w:rPr>
                <w:color w:val="231F20"/>
                <w:w w:val="140"/>
                <w:sz w:val="12"/>
              </w:rPr>
              <w:t>32</w:t>
            </w:r>
          </w:p>
        </w:tc>
        <w:tc>
          <w:tcPr>
            <w:tcW w:w="774" w:type="dxa"/>
          </w:tcPr>
          <w:p w14:paraId="7CDBB8F7" w14:textId="77777777" w:rsidR="009948F1" w:rsidRDefault="00BC0563">
            <w:pPr>
              <w:pStyle w:val="TableParagraph"/>
              <w:spacing w:line="137" w:lineRule="exact"/>
              <w:ind w:left="98"/>
              <w:rPr>
                <w:sz w:val="12"/>
              </w:rPr>
            </w:pPr>
            <w:r>
              <w:rPr>
                <w:color w:val="231F20"/>
                <w:w w:val="140"/>
                <w:sz w:val="12"/>
              </w:rPr>
              <w:t>246</w:t>
            </w:r>
          </w:p>
        </w:tc>
      </w:tr>
      <w:tr w:rsidR="009948F1" w14:paraId="69768821" w14:textId="77777777">
        <w:trPr>
          <w:trHeight w:val="317"/>
        </w:trPr>
        <w:tc>
          <w:tcPr>
            <w:tcW w:w="544" w:type="dxa"/>
          </w:tcPr>
          <w:p w14:paraId="6D68F154" w14:textId="77777777" w:rsidR="009948F1" w:rsidRDefault="00BC0563">
            <w:pPr>
              <w:pStyle w:val="TableParagraph"/>
              <w:spacing w:line="137" w:lineRule="exact"/>
              <w:ind w:left="98"/>
              <w:rPr>
                <w:sz w:val="12"/>
              </w:rPr>
            </w:pPr>
            <w:r>
              <w:rPr>
                <w:color w:val="231F20"/>
                <w:w w:val="140"/>
                <w:sz w:val="12"/>
              </w:rPr>
              <w:t>20</w:t>
            </w:r>
          </w:p>
        </w:tc>
        <w:tc>
          <w:tcPr>
            <w:tcW w:w="1676" w:type="dxa"/>
          </w:tcPr>
          <w:p w14:paraId="6DFF170D" w14:textId="77777777" w:rsidR="009948F1" w:rsidRDefault="00BC0563">
            <w:pPr>
              <w:pStyle w:val="TableParagraph"/>
              <w:spacing w:line="137" w:lineRule="exact"/>
              <w:ind w:left="98"/>
              <w:rPr>
                <w:sz w:val="12"/>
              </w:rPr>
            </w:pPr>
            <w:r>
              <w:rPr>
                <w:color w:val="231F20"/>
                <w:w w:val="140"/>
                <w:sz w:val="12"/>
              </w:rPr>
              <w:t>Accounts</w:t>
            </w:r>
          </w:p>
          <w:p w14:paraId="6E245185" w14:textId="77777777" w:rsidR="009948F1" w:rsidRDefault="000B5AAD">
            <w:pPr>
              <w:pStyle w:val="TableParagraph"/>
              <w:spacing w:before="22"/>
              <w:ind w:left="98"/>
              <w:rPr>
                <w:sz w:val="12"/>
              </w:rPr>
            </w:pPr>
            <w:r>
              <w:rPr>
                <w:color w:val="231F20"/>
                <w:w w:val="140"/>
                <w:sz w:val="12"/>
              </w:rPr>
              <w:t>O</w:t>
            </w:r>
            <w:r w:rsidR="00BC0563">
              <w:rPr>
                <w:color w:val="231F20"/>
                <w:w w:val="140"/>
                <w:sz w:val="12"/>
              </w:rPr>
              <w:t>fficers</w:t>
            </w:r>
          </w:p>
        </w:tc>
        <w:tc>
          <w:tcPr>
            <w:tcW w:w="845" w:type="dxa"/>
          </w:tcPr>
          <w:p w14:paraId="025848A4" w14:textId="77777777" w:rsidR="009948F1" w:rsidRDefault="00BC0563">
            <w:pPr>
              <w:pStyle w:val="TableParagraph"/>
              <w:spacing w:line="137" w:lineRule="exact"/>
              <w:ind w:left="98"/>
              <w:rPr>
                <w:sz w:val="12"/>
              </w:rPr>
            </w:pPr>
            <w:r>
              <w:rPr>
                <w:color w:val="231F20"/>
                <w:w w:val="138"/>
                <w:sz w:val="12"/>
              </w:rPr>
              <w:t>0</w:t>
            </w:r>
          </w:p>
        </w:tc>
        <w:tc>
          <w:tcPr>
            <w:tcW w:w="942" w:type="dxa"/>
          </w:tcPr>
          <w:p w14:paraId="0FE76FA8" w14:textId="77777777" w:rsidR="009948F1" w:rsidRDefault="00BC0563">
            <w:pPr>
              <w:pStyle w:val="TableParagraph"/>
              <w:spacing w:line="137" w:lineRule="exact"/>
              <w:ind w:left="98"/>
              <w:rPr>
                <w:sz w:val="12"/>
              </w:rPr>
            </w:pPr>
            <w:r>
              <w:rPr>
                <w:color w:val="231F20"/>
                <w:w w:val="140"/>
                <w:sz w:val="12"/>
              </w:rPr>
              <w:t>48</w:t>
            </w:r>
          </w:p>
        </w:tc>
        <w:tc>
          <w:tcPr>
            <w:tcW w:w="807" w:type="dxa"/>
          </w:tcPr>
          <w:p w14:paraId="3CB33CBA" w14:textId="77777777" w:rsidR="009948F1" w:rsidRDefault="00BC0563">
            <w:pPr>
              <w:pStyle w:val="TableParagraph"/>
              <w:spacing w:line="166" w:lineRule="exact"/>
              <w:ind w:left="98"/>
              <w:rPr>
                <w:b/>
                <w:sz w:val="15"/>
              </w:rPr>
            </w:pPr>
            <w:r>
              <w:rPr>
                <w:color w:val="231F20"/>
                <w:w w:val="135"/>
                <w:sz w:val="12"/>
              </w:rPr>
              <w:t>38</w:t>
            </w:r>
            <w:r>
              <w:rPr>
                <w:b/>
                <w:color w:val="231F20"/>
                <w:w w:val="135"/>
                <w:sz w:val="15"/>
              </w:rPr>
              <w:t>*</w:t>
            </w:r>
          </w:p>
        </w:tc>
        <w:tc>
          <w:tcPr>
            <w:tcW w:w="1225" w:type="dxa"/>
          </w:tcPr>
          <w:p w14:paraId="432D7AFF" w14:textId="77777777" w:rsidR="009948F1" w:rsidRDefault="00BC0563">
            <w:pPr>
              <w:pStyle w:val="TableParagraph"/>
              <w:spacing w:line="137" w:lineRule="exact"/>
              <w:ind w:left="98"/>
              <w:rPr>
                <w:sz w:val="12"/>
              </w:rPr>
            </w:pPr>
            <w:r>
              <w:rPr>
                <w:color w:val="231F20"/>
                <w:w w:val="138"/>
                <w:sz w:val="12"/>
              </w:rPr>
              <w:t>0</w:t>
            </w:r>
          </w:p>
        </w:tc>
        <w:tc>
          <w:tcPr>
            <w:tcW w:w="1112" w:type="dxa"/>
          </w:tcPr>
          <w:p w14:paraId="42D450CB" w14:textId="77777777" w:rsidR="009948F1" w:rsidRDefault="00BC0563">
            <w:pPr>
              <w:pStyle w:val="TableParagraph"/>
              <w:spacing w:line="137" w:lineRule="exact"/>
              <w:ind w:left="97"/>
              <w:rPr>
                <w:sz w:val="12"/>
              </w:rPr>
            </w:pPr>
            <w:r>
              <w:rPr>
                <w:color w:val="231F20"/>
                <w:w w:val="138"/>
                <w:sz w:val="12"/>
              </w:rPr>
              <w:t>0</w:t>
            </w:r>
          </w:p>
        </w:tc>
        <w:tc>
          <w:tcPr>
            <w:tcW w:w="1112" w:type="dxa"/>
          </w:tcPr>
          <w:p w14:paraId="662C5283" w14:textId="77777777" w:rsidR="009948F1" w:rsidRDefault="00BC0563">
            <w:pPr>
              <w:pStyle w:val="TableParagraph"/>
              <w:spacing w:line="137" w:lineRule="exact"/>
              <w:ind w:left="97"/>
              <w:rPr>
                <w:sz w:val="12"/>
              </w:rPr>
            </w:pPr>
            <w:r>
              <w:rPr>
                <w:color w:val="231F20"/>
                <w:w w:val="138"/>
                <w:sz w:val="12"/>
              </w:rPr>
              <w:t>0</w:t>
            </w:r>
          </w:p>
        </w:tc>
        <w:tc>
          <w:tcPr>
            <w:tcW w:w="774" w:type="dxa"/>
          </w:tcPr>
          <w:p w14:paraId="4D665277" w14:textId="77777777" w:rsidR="009948F1" w:rsidRDefault="00BC0563">
            <w:pPr>
              <w:pStyle w:val="TableParagraph"/>
              <w:spacing w:line="137" w:lineRule="exact"/>
              <w:ind w:left="98"/>
              <w:rPr>
                <w:sz w:val="12"/>
              </w:rPr>
            </w:pPr>
            <w:r>
              <w:rPr>
                <w:color w:val="231F20"/>
                <w:w w:val="140"/>
                <w:sz w:val="12"/>
              </w:rPr>
              <w:t>86</w:t>
            </w:r>
          </w:p>
        </w:tc>
      </w:tr>
      <w:tr w:rsidR="009948F1" w14:paraId="424C099C" w14:textId="77777777">
        <w:trPr>
          <w:trHeight w:val="157"/>
        </w:trPr>
        <w:tc>
          <w:tcPr>
            <w:tcW w:w="544" w:type="dxa"/>
          </w:tcPr>
          <w:p w14:paraId="03513F38" w14:textId="77777777" w:rsidR="009948F1" w:rsidRDefault="00BC0563">
            <w:pPr>
              <w:pStyle w:val="TableParagraph"/>
              <w:spacing w:line="137" w:lineRule="exact"/>
              <w:ind w:left="98"/>
              <w:rPr>
                <w:sz w:val="12"/>
              </w:rPr>
            </w:pPr>
            <w:r>
              <w:rPr>
                <w:color w:val="231F20"/>
                <w:w w:val="140"/>
                <w:sz w:val="12"/>
              </w:rPr>
              <w:t>21</w:t>
            </w:r>
          </w:p>
        </w:tc>
        <w:tc>
          <w:tcPr>
            <w:tcW w:w="1676" w:type="dxa"/>
          </w:tcPr>
          <w:p w14:paraId="5EF30A07" w14:textId="77777777" w:rsidR="009948F1" w:rsidRDefault="000B5AAD">
            <w:pPr>
              <w:pStyle w:val="TableParagraph"/>
              <w:spacing w:line="137" w:lineRule="exact"/>
              <w:ind w:left="98"/>
              <w:rPr>
                <w:sz w:val="12"/>
              </w:rPr>
            </w:pPr>
            <w:r>
              <w:rPr>
                <w:color w:val="231F20"/>
                <w:w w:val="140"/>
                <w:sz w:val="12"/>
              </w:rPr>
              <w:t>O</w:t>
            </w:r>
            <w:r w:rsidR="00BC0563">
              <w:rPr>
                <w:color w:val="231F20"/>
                <w:w w:val="140"/>
                <w:sz w:val="12"/>
              </w:rPr>
              <w:t>ptometry</w:t>
            </w:r>
          </w:p>
        </w:tc>
        <w:tc>
          <w:tcPr>
            <w:tcW w:w="845" w:type="dxa"/>
          </w:tcPr>
          <w:p w14:paraId="2CD4A1B6" w14:textId="77777777" w:rsidR="009948F1" w:rsidRDefault="00BC0563">
            <w:pPr>
              <w:pStyle w:val="TableParagraph"/>
              <w:spacing w:line="137" w:lineRule="exact"/>
              <w:ind w:left="98"/>
              <w:rPr>
                <w:sz w:val="12"/>
              </w:rPr>
            </w:pPr>
            <w:r>
              <w:rPr>
                <w:color w:val="231F20"/>
                <w:w w:val="138"/>
                <w:sz w:val="12"/>
              </w:rPr>
              <w:t>0</w:t>
            </w:r>
          </w:p>
        </w:tc>
        <w:tc>
          <w:tcPr>
            <w:tcW w:w="942" w:type="dxa"/>
          </w:tcPr>
          <w:p w14:paraId="744C9490" w14:textId="77777777" w:rsidR="009948F1" w:rsidRDefault="00BC0563">
            <w:pPr>
              <w:pStyle w:val="TableParagraph"/>
              <w:spacing w:line="137" w:lineRule="exact"/>
              <w:ind w:left="98"/>
              <w:rPr>
                <w:sz w:val="12"/>
              </w:rPr>
            </w:pPr>
            <w:r>
              <w:rPr>
                <w:color w:val="231F20"/>
                <w:w w:val="138"/>
                <w:sz w:val="12"/>
              </w:rPr>
              <w:t>0</w:t>
            </w:r>
          </w:p>
        </w:tc>
        <w:tc>
          <w:tcPr>
            <w:tcW w:w="807" w:type="dxa"/>
          </w:tcPr>
          <w:p w14:paraId="38EC4329" w14:textId="77777777" w:rsidR="009948F1" w:rsidRDefault="00BC0563">
            <w:pPr>
              <w:pStyle w:val="TableParagraph"/>
              <w:spacing w:line="137" w:lineRule="exact"/>
              <w:ind w:left="98"/>
              <w:rPr>
                <w:sz w:val="12"/>
              </w:rPr>
            </w:pPr>
            <w:r>
              <w:rPr>
                <w:color w:val="231F20"/>
                <w:w w:val="140"/>
                <w:sz w:val="12"/>
              </w:rPr>
              <w:t>10</w:t>
            </w:r>
          </w:p>
        </w:tc>
        <w:tc>
          <w:tcPr>
            <w:tcW w:w="1225" w:type="dxa"/>
          </w:tcPr>
          <w:p w14:paraId="5AD956A2" w14:textId="77777777" w:rsidR="009948F1" w:rsidRDefault="00BC0563">
            <w:pPr>
              <w:pStyle w:val="TableParagraph"/>
              <w:spacing w:line="137" w:lineRule="exact"/>
              <w:ind w:left="98"/>
              <w:rPr>
                <w:sz w:val="12"/>
              </w:rPr>
            </w:pPr>
            <w:r>
              <w:rPr>
                <w:color w:val="231F20"/>
                <w:w w:val="138"/>
                <w:sz w:val="12"/>
              </w:rPr>
              <w:t>0</w:t>
            </w:r>
          </w:p>
        </w:tc>
        <w:tc>
          <w:tcPr>
            <w:tcW w:w="1112" w:type="dxa"/>
          </w:tcPr>
          <w:p w14:paraId="5EDD5D6A" w14:textId="77777777" w:rsidR="009948F1" w:rsidRDefault="00BC0563">
            <w:pPr>
              <w:pStyle w:val="TableParagraph"/>
              <w:spacing w:line="137" w:lineRule="exact"/>
              <w:ind w:left="97"/>
              <w:rPr>
                <w:sz w:val="12"/>
              </w:rPr>
            </w:pPr>
            <w:r>
              <w:rPr>
                <w:color w:val="231F20"/>
                <w:w w:val="138"/>
                <w:sz w:val="12"/>
              </w:rPr>
              <w:t>0</w:t>
            </w:r>
          </w:p>
        </w:tc>
        <w:tc>
          <w:tcPr>
            <w:tcW w:w="1112" w:type="dxa"/>
          </w:tcPr>
          <w:p w14:paraId="6D55A02B" w14:textId="77777777" w:rsidR="009948F1" w:rsidRDefault="00BC0563">
            <w:pPr>
              <w:pStyle w:val="TableParagraph"/>
              <w:spacing w:line="137" w:lineRule="exact"/>
              <w:ind w:left="97"/>
              <w:rPr>
                <w:sz w:val="12"/>
              </w:rPr>
            </w:pPr>
            <w:r>
              <w:rPr>
                <w:color w:val="231F20"/>
                <w:w w:val="138"/>
                <w:sz w:val="12"/>
              </w:rPr>
              <w:t>0</w:t>
            </w:r>
          </w:p>
        </w:tc>
        <w:tc>
          <w:tcPr>
            <w:tcW w:w="774" w:type="dxa"/>
          </w:tcPr>
          <w:p w14:paraId="08EE8AB5" w14:textId="77777777" w:rsidR="009948F1" w:rsidRDefault="00BC0563">
            <w:pPr>
              <w:pStyle w:val="TableParagraph"/>
              <w:spacing w:line="137" w:lineRule="exact"/>
              <w:ind w:left="98"/>
              <w:rPr>
                <w:sz w:val="12"/>
              </w:rPr>
            </w:pPr>
            <w:r>
              <w:rPr>
                <w:color w:val="231F20"/>
                <w:w w:val="140"/>
                <w:sz w:val="12"/>
              </w:rPr>
              <w:t>10</w:t>
            </w:r>
          </w:p>
        </w:tc>
      </w:tr>
      <w:tr w:rsidR="009948F1" w14:paraId="61381FA1" w14:textId="77777777">
        <w:trPr>
          <w:trHeight w:val="158"/>
        </w:trPr>
        <w:tc>
          <w:tcPr>
            <w:tcW w:w="544" w:type="dxa"/>
          </w:tcPr>
          <w:p w14:paraId="7A1986ED" w14:textId="77777777" w:rsidR="009948F1" w:rsidRDefault="00BC0563">
            <w:pPr>
              <w:pStyle w:val="TableParagraph"/>
              <w:spacing w:before="1"/>
              <w:ind w:left="98"/>
              <w:rPr>
                <w:sz w:val="12"/>
              </w:rPr>
            </w:pPr>
            <w:r>
              <w:rPr>
                <w:color w:val="231F20"/>
                <w:w w:val="140"/>
                <w:sz w:val="12"/>
              </w:rPr>
              <w:t>22</w:t>
            </w:r>
          </w:p>
        </w:tc>
        <w:tc>
          <w:tcPr>
            <w:tcW w:w="1676" w:type="dxa"/>
          </w:tcPr>
          <w:p w14:paraId="405A2975" w14:textId="77777777" w:rsidR="009948F1" w:rsidRDefault="00BC0563">
            <w:pPr>
              <w:pStyle w:val="TableParagraph"/>
              <w:spacing w:before="1"/>
              <w:ind w:left="98"/>
              <w:rPr>
                <w:sz w:val="12"/>
              </w:rPr>
            </w:pPr>
            <w:r>
              <w:rPr>
                <w:color w:val="231F20"/>
                <w:w w:val="140"/>
                <w:sz w:val="12"/>
              </w:rPr>
              <w:t>Dental Tech</w:t>
            </w:r>
          </w:p>
        </w:tc>
        <w:tc>
          <w:tcPr>
            <w:tcW w:w="845" w:type="dxa"/>
          </w:tcPr>
          <w:p w14:paraId="5DF554FA" w14:textId="77777777" w:rsidR="009948F1" w:rsidRDefault="00BC0563">
            <w:pPr>
              <w:pStyle w:val="TableParagraph"/>
              <w:spacing w:before="1"/>
              <w:ind w:left="98"/>
              <w:rPr>
                <w:sz w:val="12"/>
              </w:rPr>
            </w:pPr>
            <w:r>
              <w:rPr>
                <w:color w:val="231F20"/>
                <w:w w:val="138"/>
                <w:sz w:val="12"/>
              </w:rPr>
              <w:t>0</w:t>
            </w:r>
          </w:p>
        </w:tc>
        <w:tc>
          <w:tcPr>
            <w:tcW w:w="942" w:type="dxa"/>
          </w:tcPr>
          <w:p w14:paraId="27C9F51B" w14:textId="77777777" w:rsidR="009948F1" w:rsidRDefault="00BC0563">
            <w:pPr>
              <w:pStyle w:val="TableParagraph"/>
              <w:spacing w:before="1"/>
              <w:ind w:left="98"/>
              <w:rPr>
                <w:sz w:val="12"/>
              </w:rPr>
            </w:pPr>
            <w:r>
              <w:rPr>
                <w:color w:val="231F20"/>
                <w:w w:val="138"/>
                <w:sz w:val="12"/>
              </w:rPr>
              <w:t>8</w:t>
            </w:r>
          </w:p>
        </w:tc>
        <w:tc>
          <w:tcPr>
            <w:tcW w:w="807" w:type="dxa"/>
          </w:tcPr>
          <w:p w14:paraId="09CCD112" w14:textId="77777777" w:rsidR="009948F1" w:rsidRDefault="00BC0563">
            <w:pPr>
              <w:pStyle w:val="TableParagraph"/>
              <w:spacing w:before="1"/>
              <w:ind w:left="98"/>
              <w:rPr>
                <w:sz w:val="12"/>
              </w:rPr>
            </w:pPr>
            <w:r>
              <w:rPr>
                <w:color w:val="231F20"/>
                <w:w w:val="138"/>
                <w:sz w:val="12"/>
              </w:rPr>
              <w:t>0</w:t>
            </w:r>
          </w:p>
        </w:tc>
        <w:tc>
          <w:tcPr>
            <w:tcW w:w="1225" w:type="dxa"/>
          </w:tcPr>
          <w:p w14:paraId="117D653A" w14:textId="77777777" w:rsidR="009948F1" w:rsidRDefault="00BC0563">
            <w:pPr>
              <w:pStyle w:val="TableParagraph"/>
              <w:spacing w:before="1"/>
              <w:ind w:left="98"/>
              <w:rPr>
                <w:sz w:val="12"/>
              </w:rPr>
            </w:pPr>
            <w:r>
              <w:rPr>
                <w:color w:val="231F20"/>
                <w:w w:val="140"/>
                <w:sz w:val="12"/>
              </w:rPr>
              <w:t>275</w:t>
            </w:r>
          </w:p>
        </w:tc>
        <w:tc>
          <w:tcPr>
            <w:tcW w:w="1112" w:type="dxa"/>
          </w:tcPr>
          <w:p w14:paraId="12A112B4" w14:textId="77777777" w:rsidR="009948F1" w:rsidRDefault="00BC0563">
            <w:pPr>
              <w:pStyle w:val="TableParagraph"/>
              <w:spacing w:before="1"/>
              <w:ind w:left="97"/>
              <w:rPr>
                <w:sz w:val="12"/>
              </w:rPr>
            </w:pPr>
            <w:r>
              <w:rPr>
                <w:color w:val="231F20"/>
                <w:w w:val="138"/>
                <w:sz w:val="12"/>
              </w:rPr>
              <w:t>0</w:t>
            </w:r>
          </w:p>
        </w:tc>
        <w:tc>
          <w:tcPr>
            <w:tcW w:w="1112" w:type="dxa"/>
          </w:tcPr>
          <w:p w14:paraId="48573272" w14:textId="77777777" w:rsidR="009948F1" w:rsidRDefault="00BC0563">
            <w:pPr>
              <w:pStyle w:val="TableParagraph"/>
              <w:spacing w:before="1"/>
              <w:ind w:left="97"/>
              <w:rPr>
                <w:sz w:val="12"/>
              </w:rPr>
            </w:pPr>
            <w:r>
              <w:rPr>
                <w:color w:val="231F20"/>
                <w:w w:val="138"/>
                <w:sz w:val="12"/>
              </w:rPr>
              <w:t>0</w:t>
            </w:r>
          </w:p>
        </w:tc>
        <w:tc>
          <w:tcPr>
            <w:tcW w:w="774" w:type="dxa"/>
          </w:tcPr>
          <w:p w14:paraId="54371BF3" w14:textId="77777777" w:rsidR="009948F1" w:rsidRDefault="00BC0563">
            <w:pPr>
              <w:pStyle w:val="TableParagraph"/>
              <w:spacing w:before="1"/>
              <w:ind w:left="98"/>
              <w:rPr>
                <w:sz w:val="12"/>
              </w:rPr>
            </w:pPr>
            <w:r>
              <w:rPr>
                <w:color w:val="231F20"/>
                <w:w w:val="140"/>
                <w:sz w:val="12"/>
              </w:rPr>
              <w:t>283</w:t>
            </w:r>
          </w:p>
        </w:tc>
      </w:tr>
      <w:tr w:rsidR="009948F1" w14:paraId="551D6BE8" w14:textId="77777777">
        <w:trPr>
          <w:trHeight w:val="157"/>
        </w:trPr>
        <w:tc>
          <w:tcPr>
            <w:tcW w:w="544" w:type="dxa"/>
          </w:tcPr>
          <w:p w14:paraId="412241F9" w14:textId="77777777" w:rsidR="009948F1" w:rsidRDefault="00BC0563">
            <w:pPr>
              <w:pStyle w:val="TableParagraph"/>
              <w:spacing w:line="137" w:lineRule="exact"/>
              <w:ind w:left="98"/>
              <w:rPr>
                <w:sz w:val="12"/>
              </w:rPr>
            </w:pPr>
            <w:r>
              <w:rPr>
                <w:color w:val="231F20"/>
                <w:w w:val="140"/>
                <w:sz w:val="12"/>
              </w:rPr>
              <w:t>23</w:t>
            </w:r>
          </w:p>
        </w:tc>
        <w:tc>
          <w:tcPr>
            <w:tcW w:w="1676" w:type="dxa"/>
          </w:tcPr>
          <w:p w14:paraId="5A49C92B" w14:textId="77777777" w:rsidR="009948F1" w:rsidRDefault="00BC0563">
            <w:pPr>
              <w:pStyle w:val="TableParagraph"/>
              <w:spacing w:line="137" w:lineRule="exact"/>
              <w:ind w:left="98"/>
              <w:rPr>
                <w:sz w:val="12"/>
              </w:rPr>
            </w:pPr>
            <w:r>
              <w:rPr>
                <w:color w:val="231F20"/>
                <w:w w:val="140"/>
                <w:sz w:val="12"/>
              </w:rPr>
              <w:t>physiotherapists</w:t>
            </w:r>
          </w:p>
        </w:tc>
        <w:tc>
          <w:tcPr>
            <w:tcW w:w="845" w:type="dxa"/>
          </w:tcPr>
          <w:p w14:paraId="5BB75D0C" w14:textId="77777777" w:rsidR="009948F1" w:rsidRDefault="00BC0563">
            <w:pPr>
              <w:pStyle w:val="TableParagraph"/>
              <w:spacing w:line="137" w:lineRule="exact"/>
              <w:ind w:left="98"/>
              <w:rPr>
                <w:sz w:val="12"/>
              </w:rPr>
            </w:pPr>
            <w:r>
              <w:rPr>
                <w:color w:val="231F20"/>
                <w:w w:val="138"/>
                <w:sz w:val="12"/>
              </w:rPr>
              <w:t>0</w:t>
            </w:r>
          </w:p>
        </w:tc>
        <w:tc>
          <w:tcPr>
            <w:tcW w:w="942" w:type="dxa"/>
          </w:tcPr>
          <w:p w14:paraId="24797AD0" w14:textId="77777777" w:rsidR="009948F1" w:rsidRDefault="00BC0563">
            <w:pPr>
              <w:pStyle w:val="TableParagraph"/>
              <w:spacing w:line="137" w:lineRule="exact"/>
              <w:ind w:left="98"/>
              <w:rPr>
                <w:sz w:val="12"/>
              </w:rPr>
            </w:pPr>
            <w:r>
              <w:rPr>
                <w:color w:val="231F20"/>
                <w:w w:val="138"/>
                <w:sz w:val="12"/>
              </w:rPr>
              <w:t>7</w:t>
            </w:r>
          </w:p>
        </w:tc>
        <w:tc>
          <w:tcPr>
            <w:tcW w:w="807" w:type="dxa"/>
          </w:tcPr>
          <w:p w14:paraId="63695527" w14:textId="77777777" w:rsidR="009948F1" w:rsidRDefault="00BC0563">
            <w:pPr>
              <w:pStyle w:val="TableParagraph"/>
              <w:spacing w:line="137" w:lineRule="exact"/>
              <w:ind w:left="98"/>
              <w:rPr>
                <w:sz w:val="12"/>
              </w:rPr>
            </w:pPr>
            <w:r>
              <w:rPr>
                <w:color w:val="231F20"/>
                <w:w w:val="138"/>
                <w:sz w:val="12"/>
              </w:rPr>
              <w:t>0</w:t>
            </w:r>
          </w:p>
        </w:tc>
        <w:tc>
          <w:tcPr>
            <w:tcW w:w="1225" w:type="dxa"/>
          </w:tcPr>
          <w:p w14:paraId="5AF49FF8" w14:textId="77777777" w:rsidR="009948F1" w:rsidRDefault="00BC0563">
            <w:pPr>
              <w:pStyle w:val="TableParagraph"/>
              <w:spacing w:line="137" w:lineRule="exact"/>
              <w:ind w:left="98"/>
              <w:rPr>
                <w:sz w:val="12"/>
              </w:rPr>
            </w:pPr>
            <w:r>
              <w:rPr>
                <w:color w:val="231F20"/>
                <w:w w:val="138"/>
                <w:sz w:val="12"/>
              </w:rPr>
              <w:t>0</w:t>
            </w:r>
          </w:p>
        </w:tc>
        <w:tc>
          <w:tcPr>
            <w:tcW w:w="1112" w:type="dxa"/>
          </w:tcPr>
          <w:p w14:paraId="75A9CF06" w14:textId="77777777" w:rsidR="009948F1" w:rsidRDefault="00BC0563">
            <w:pPr>
              <w:pStyle w:val="TableParagraph"/>
              <w:spacing w:line="137" w:lineRule="exact"/>
              <w:ind w:left="97"/>
              <w:rPr>
                <w:sz w:val="12"/>
              </w:rPr>
            </w:pPr>
            <w:r>
              <w:rPr>
                <w:color w:val="231F20"/>
                <w:w w:val="138"/>
                <w:sz w:val="12"/>
              </w:rPr>
              <w:t>0</w:t>
            </w:r>
          </w:p>
        </w:tc>
        <w:tc>
          <w:tcPr>
            <w:tcW w:w="1112" w:type="dxa"/>
          </w:tcPr>
          <w:p w14:paraId="0E780288" w14:textId="77777777" w:rsidR="009948F1" w:rsidRDefault="00BC0563">
            <w:pPr>
              <w:pStyle w:val="TableParagraph"/>
              <w:spacing w:line="137" w:lineRule="exact"/>
              <w:ind w:left="97"/>
              <w:rPr>
                <w:sz w:val="12"/>
              </w:rPr>
            </w:pPr>
            <w:r>
              <w:rPr>
                <w:color w:val="231F20"/>
                <w:w w:val="138"/>
                <w:sz w:val="12"/>
              </w:rPr>
              <w:t>0</w:t>
            </w:r>
          </w:p>
        </w:tc>
        <w:tc>
          <w:tcPr>
            <w:tcW w:w="774" w:type="dxa"/>
          </w:tcPr>
          <w:p w14:paraId="2D05DDDE" w14:textId="77777777" w:rsidR="009948F1" w:rsidRDefault="00BC0563">
            <w:pPr>
              <w:pStyle w:val="TableParagraph"/>
              <w:spacing w:line="137" w:lineRule="exact"/>
              <w:ind w:left="98"/>
              <w:rPr>
                <w:sz w:val="12"/>
              </w:rPr>
            </w:pPr>
            <w:r>
              <w:rPr>
                <w:color w:val="231F20"/>
                <w:w w:val="138"/>
                <w:sz w:val="12"/>
              </w:rPr>
              <w:t>7</w:t>
            </w:r>
          </w:p>
        </w:tc>
      </w:tr>
      <w:tr w:rsidR="009948F1" w14:paraId="0841D3F4" w14:textId="77777777">
        <w:trPr>
          <w:trHeight w:val="319"/>
        </w:trPr>
        <w:tc>
          <w:tcPr>
            <w:tcW w:w="544" w:type="dxa"/>
          </w:tcPr>
          <w:p w14:paraId="64C19073" w14:textId="77777777" w:rsidR="009948F1" w:rsidRDefault="00BC0563">
            <w:pPr>
              <w:pStyle w:val="TableParagraph"/>
              <w:spacing w:line="137" w:lineRule="exact"/>
              <w:ind w:left="98"/>
              <w:rPr>
                <w:sz w:val="12"/>
              </w:rPr>
            </w:pPr>
            <w:r>
              <w:rPr>
                <w:color w:val="231F20"/>
                <w:w w:val="140"/>
                <w:sz w:val="12"/>
              </w:rPr>
              <w:t>24</w:t>
            </w:r>
          </w:p>
        </w:tc>
        <w:tc>
          <w:tcPr>
            <w:tcW w:w="1676" w:type="dxa"/>
          </w:tcPr>
          <w:p w14:paraId="70CF7E91" w14:textId="77777777" w:rsidR="009948F1" w:rsidRDefault="00BC0563">
            <w:pPr>
              <w:pStyle w:val="TableParagraph"/>
              <w:spacing w:line="137" w:lineRule="exact"/>
              <w:ind w:left="98"/>
              <w:rPr>
                <w:sz w:val="12"/>
              </w:rPr>
            </w:pPr>
            <w:r>
              <w:rPr>
                <w:color w:val="231F20"/>
                <w:w w:val="140"/>
                <w:sz w:val="12"/>
              </w:rPr>
              <w:t>Physiotherapist</w:t>
            </w:r>
          </w:p>
          <w:p w14:paraId="63376501" w14:textId="77777777" w:rsidR="009948F1" w:rsidRDefault="00BC0563">
            <w:pPr>
              <w:pStyle w:val="TableParagraph"/>
              <w:spacing w:before="24"/>
              <w:ind w:left="98"/>
              <w:rPr>
                <w:sz w:val="12"/>
              </w:rPr>
            </w:pPr>
            <w:r>
              <w:rPr>
                <w:color w:val="231F20"/>
                <w:w w:val="140"/>
                <w:sz w:val="12"/>
              </w:rPr>
              <w:t>Asst.</w:t>
            </w:r>
          </w:p>
        </w:tc>
        <w:tc>
          <w:tcPr>
            <w:tcW w:w="845" w:type="dxa"/>
          </w:tcPr>
          <w:p w14:paraId="5F2AB998" w14:textId="77777777" w:rsidR="009948F1" w:rsidRDefault="00BC0563">
            <w:pPr>
              <w:pStyle w:val="TableParagraph"/>
              <w:spacing w:line="137" w:lineRule="exact"/>
              <w:ind w:left="98"/>
              <w:rPr>
                <w:sz w:val="12"/>
              </w:rPr>
            </w:pPr>
            <w:r>
              <w:rPr>
                <w:color w:val="231F20"/>
                <w:w w:val="138"/>
                <w:sz w:val="12"/>
              </w:rPr>
              <w:t>0</w:t>
            </w:r>
          </w:p>
        </w:tc>
        <w:tc>
          <w:tcPr>
            <w:tcW w:w="942" w:type="dxa"/>
          </w:tcPr>
          <w:p w14:paraId="051EDB15" w14:textId="77777777" w:rsidR="009948F1" w:rsidRDefault="00BC0563">
            <w:pPr>
              <w:pStyle w:val="TableParagraph"/>
              <w:spacing w:line="137" w:lineRule="exact"/>
              <w:ind w:left="98"/>
              <w:rPr>
                <w:sz w:val="12"/>
              </w:rPr>
            </w:pPr>
            <w:r>
              <w:rPr>
                <w:color w:val="231F20"/>
                <w:w w:val="140"/>
                <w:sz w:val="12"/>
              </w:rPr>
              <w:t>16</w:t>
            </w:r>
          </w:p>
        </w:tc>
        <w:tc>
          <w:tcPr>
            <w:tcW w:w="807" w:type="dxa"/>
          </w:tcPr>
          <w:p w14:paraId="0BC76676" w14:textId="77777777" w:rsidR="009948F1" w:rsidRDefault="00BC0563">
            <w:pPr>
              <w:pStyle w:val="TableParagraph"/>
              <w:spacing w:line="137" w:lineRule="exact"/>
              <w:ind w:left="98"/>
              <w:rPr>
                <w:sz w:val="12"/>
              </w:rPr>
            </w:pPr>
            <w:r>
              <w:rPr>
                <w:color w:val="231F20"/>
                <w:w w:val="138"/>
                <w:sz w:val="12"/>
              </w:rPr>
              <w:t>0</w:t>
            </w:r>
          </w:p>
        </w:tc>
        <w:tc>
          <w:tcPr>
            <w:tcW w:w="1225" w:type="dxa"/>
          </w:tcPr>
          <w:p w14:paraId="7BB26853" w14:textId="77777777" w:rsidR="009948F1" w:rsidRDefault="00BC0563">
            <w:pPr>
              <w:pStyle w:val="TableParagraph"/>
              <w:spacing w:line="137" w:lineRule="exact"/>
              <w:ind w:left="98"/>
              <w:rPr>
                <w:sz w:val="12"/>
              </w:rPr>
            </w:pPr>
            <w:r>
              <w:rPr>
                <w:color w:val="231F20"/>
                <w:w w:val="138"/>
                <w:sz w:val="12"/>
              </w:rPr>
              <w:t>0</w:t>
            </w:r>
          </w:p>
        </w:tc>
        <w:tc>
          <w:tcPr>
            <w:tcW w:w="1112" w:type="dxa"/>
          </w:tcPr>
          <w:p w14:paraId="06591F7B" w14:textId="77777777" w:rsidR="009948F1" w:rsidRDefault="00BC0563">
            <w:pPr>
              <w:pStyle w:val="TableParagraph"/>
              <w:spacing w:line="137" w:lineRule="exact"/>
              <w:ind w:left="97"/>
              <w:rPr>
                <w:sz w:val="12"/>
              </w:rPr>
            </w:pPr>
            <w:r>
              <w:rPr>
                <w:color w:val="231F20"/>
                <w:w w:val="138"/>
                <w:sz w:val="12"/>
              </w:rPr>
              <w:t>0</w:t>
            </w:r>
          </w:p>
        </w:tc>
        <w:tc>
          <w:tcPr>
            <w:tcW w:w="1112" w:type="dxa"/>
          </w:tcPr>
          <w:p w14:paraId="241977BE" w14:textId="77777777" w:rsidR="009948F1" w:rsidRDefault="00BC0563">
            <w:pPr>
              <w:pStyle w:val="TableParagraph"/>
              <w:spacing w:line="137" w:lineRule="exact"/>
              <w:ind w:left="97"/>
              <w:rPr>
                <w:sz w:val="12"/>
              </w:rPr>
            </w:pPr>
            <w:r>
              <w:rPr>
                <w:color w:val="231F20"/>
                <w:w w:val="138"/>
                <w:sz w:val="12"/>
              </w:rPr>
              <w:t>0</w:t>
            </w:r>
          </w:p>
        </w:tc>
        <w:tc>
          <w:tcPr>
            <w:tcW w:w="774" w:type="dxa"/>
          </w:tcPr>
          <w:p w14:paraId="0013877F" w14:textId="77777777" w:rsidR="009948F1" w:rsidRDefault="00BC0563">
            <w:pPr>
              <w:pStyle w:val="TableParagraph"/>
              <w:spacing w:line="137" w:lineRule="exact"/>
              <w:ind w:left="98"/>
              <w:rPr>
                <w:sz w:val="12"/>
              </w:rPr>
            </w:pPr>
            <w:r>
              <w:rPr>
                <w:color w:val="231F20"/>
                <w:w w:val="140"/>
                <w:sz w:val="12"/>
              </w:rPr>
              <w:t>16</w:t>
            </w:r>
          </w:p>
        </w:tc>
      </w:tr>
      <w:tr w:rsidR="009948F1" w14:paraId="3E6F645D" w14:textId="77777777">
        <w:trPr>
          <w:trHeight w:val="157"/>
        </w:trPr>
        <w:tc>
          <w:tcPr>
            <w:tcW w:w="544" w:type="dxa"/>
          </w:tcPr>
          <w:p w14:paraId="606CEFB0" w14:textId="77777777" w:rsidR="009948F1" w:rsidRDefault="00BC0563">
            <w:pPr>
              <w:pStyle w:val="TableParagraph"/>
              <w:spacing w:line="137" w:lineRule="exact"/>
              <w:ind w:left="98"/>
              <w:rPr>
                <w:sz w:val="12"/>
              </w:rPr>
            </w:pPr>
            <w:r>
              <w:rPr>
                <w:color w:val="231F20"/>
                <w:w w:val="140"/>
                <w:sz w:val="12"/>
              </w:rPr>
              <w:t>25</w:t>
            </w:r>
          </w:p>
        </w:tc>
        <w:tc>
          <w:tcPr>
            <w:tcW w:w="1676" w:type="dxa"/>
          </w:tcPr>
          <w:p w14:paraId="4E341556" w14:textId="77777777" w:rsidR="009948F1" w:rsidRDefault="00BC0563">
            <w:pPr>
              <w:pStyle w:val="TableParagraph"/>
              <w:spacing w:line="137" w:lineRule="exact"/>
              <w:ind w:left="98"/>
              <w:rPr>
                <w:sz w:val="12"/>
              </w:rPr>
            </w:pPr>
            <w:r>
              <w:rPr>
                <w:color w:val="231F20"/>
                <w:w w:val="140"/>
                <w:sz w:val="12"/>
              </w:rPr>
              <w:t>Radiographer</w:t>
            </w:r>
          </w:p>
        </w:tc>
        <w:tc>
          <w:tcPr>
            <w:tcW w:w="845" w:type="dxa"/>
          </w:tcPr>
          <w:p w14:paraId="3F23692C" w14:textId="77777777" w:rsidR="009948F1" w:rsidRDefault="00BC0563">
            <w:pPr>
              <w:pStyle w:val="TableParagraph"/>
              <w:spacing w:line="137" w:lineRule="exact"/>
              <w:ind w:left="98"/>
              <w:rPr>
                <w:sz w:val="12"/>
              </w:rPr>
            </w:pPr>
            <w:r>
              <w:rPr>
                <w:color w:val="231F20"/>
                <w:w w:val="138"/>
                <w:sz w:val="12"/>
              </w:rPr>
              <w:t>0</w:t>
            </w:r>
          </w:p>
        </w:tc>
        <w:tc>
          <w:tcPr>
            <w:tcW w:w="942" w:type="dxa"/>
          </w:tcPr>
          <w:p w14:paraId="4C868A29" w14:textId="77777777" w:rsidR="009948F1" w:rsidRDefault="00BC0563">
            <w:pPr>
              <w:pStyle w:val="TableParagraph"/>
              <w:spacing w:line="137" w:lineRule="exact"/>
              <w:ind w:left="98"/>
              <w:rPr>
                <w:sz w:val="12"/>
              </w:rPr>
            </w:pPr>
            <w:r>
              <w:rPr>
                <w:color w:val="231F20"/>
                <w:w w:val="138"/>
                <w:sz w:val="12"/>
              </w:rPr>
              <w:t>3</w:t>
            </w:r>
          </w:p>
        </w:tc>
        <w:tc>
          <w:tcPr>
            <w:tcW w:w="807" w:type="dxa"/>
          </w:tcPr>
          <w:p w14:paraId="606F242E" w14:textId="77777777" w:rsidR="009948F1" w:rsidRDefault="00BC0563">
            <w:pPr>
              <w:pStyle w:val="TableParagraph"/>
              <w:spacing w:line="137" w:lineRule="exact"/>
              <w:ind w:left="98"/>
              <w:rPr>
                <w:sz w:val="12"/>
              </w:rPr>
            </w:pPr>
            <w:r>
              <w:rPr>
                <w:color w:val="231F20"/>
                <w:w w:val="138"/>
                <w:sz w:val="12"/>
              </w:rPr>
              <w:t>0</w:t>
            </w:r>
          </w:p>
        </w:tc>
        <w:tc>
          <w:tcPr>
            <w:tcW w:w="1225" w:type="dxa"/>
          </w:tcPr>
          <w:p w14:paraId="22CBD806" w14:textId="77777777" w:rsidR="009948F1" w:rsidRDefault="00BC0563">
            <w:pPr>
              <w:pStyle w:val="TableParagraph"/>
              <w:spacing w:line="137" w:lineRule="exact"/>
              <w:ind w:left="98"/>
              <w:rPr>
                <w:sz w:val="12"/>
              </w:rPr>
            </w:pPr>
            <w:r>
              <w:rPr>
                <w:color w:val="231F20"/>
                <w:w w:val="138"/>
                <w:sz w:val="12"/>
              </w:rPr>
              <w:t>0</w:t>
            </w:r>
          </w:p>
        </w:tc>
        <w:tc>
          <w:tcPr>
            <w:tcW w:w="1112" w:type="dxa"/>
          </w:tcPr>
          <w:p w14:paraId="012B1375" w14:textId="77777777" w:rsidR="009948F1" w:rsidRDefault="00BC0563">
            <w:pPr>
              <w:pStyle w:val="TableParagraph"/>
              <w:spacing w:line="137" w:lineRule="exact"/>
              <w:ind w:left="97"/>
              <w:rPr>
                <w:sz w:val="12"/>
              </w:rPr>
            </w:pPr>
            <w:r>
              <w:rPr>
                <w:color w:val="231F20"/>
                <w:w w:val="138"/>
                <w:sz w:val="12"/>
              </w:rPr>
              <w:t>0</w:t>
            </w:r>
          </w:p>
        </w:tc>
        <w:tc>
          <w:tcPr>
            <w:tcW w:w="1112" w:type="dxa"/>
          </w:tcPr>
          <w:p w14:paraId="6C962899" w14:textId="77777777" w:rsidR="009948F1" w:rsidRDefault="00BC0563">
            <w:pPr>
              <w:pStyle w:val="TableParagraph"/>
              <w:spacing w:line="137" w:lineRule="exact"/>
              <w:ind w:left="97"/>
              <w:rPr>
                <w:sz w:val="12"/>
              </w:rPr>
            </w:pPr>
            <w:r>
              <w:rPr>
                <w:color w:val="231F20"/>
                <w:w w:val="138"/>
                <w:sz w:val="12"/>
              </w:rPr>
              <w:t>2</w:t>
            </w:r>
          </w:p>
        </w:tc>
        <w:tc>
          <w:tcPr>
            <w:tcW w:w="774" w:type="dxa"/>
          </w:tcPr>
          <w:p w14:paraId="57A05F28" w14:textId="77777777" w:rsidR="009948F1" w:rsidRDefault="00BC0563">
            <w:pPr>
              <w:pStyle w:val="TableParagraph"/>
              <w:spacing w:line="137" w:lineRule="exact"/>
              <w:ind w:left="98"/>
              <w:rPr>
                <w:sz w:val="12"/>
              </w:rPr>
            </w:pPr>
            <w:r>
              <w:rPr>
                <w:color w:val="231F20"/>
                <w:w w:val="138"/>
                <w:sz w:val="12"/>
              </w:rPr>
              <w:t>5</w:t>
            </w:r>
          </w:p>
        </w:tc>
      </w:tr>
      <w:tr w:rsidR="009948F1" w14:paraId="2BD5AD0C" w14:textId="77777777">
        <w:trPr>
          <w:trHeight w:val="319"/>
        </w:trPr>
        <w:tc>
          <w:tcPr>
            <w:tcW w:w="544" w:type="dxa"/>
          </w:tcPr>
          <w:p w14:paraId="526A0DAA" w14:textId="77777777" w:rsidR="009948F1" w:rsidRDefault="00BC0563">
            <w:pPr>
              <w:pStyle w:val="TableParagraph"/>
              <w:spacing w:line="137" w:lineRule="exact"/>
              <w:ind w:left="98"/>
              <w:rPr>
                <w:sz w:val="12"/>
              </w:rPr>
            </w:pPr>
            <w:r>
              <w:rPr>
                <w:color w:val="231F20"/>
                <w:w w:val="140"/>
                <w:sz w:val="12"/>
              </w:rPr>
              <w:t>26</w:t>
            </w:r>
          </w:p>
        </w:tc>
        <w:tc>
          <w:tcPr>
            <w:tcW w:w="1676" w:type="dxa"/>
          </w:tcPr>
          <w:p w14:paraId="499B1058" w14:textId="77777777" w:rsidR="009948F1" w:rsidRDefault="00BC0563">
            <w:pPr>
              <w:pStyle w:val="TableParagraph"/>
              <w:spacing w:line="137" w:lineRule="exact"/>
              <w:ind w:left="98"/>
              <w:rPr>
                <w:sz w:val="12"/>
              </w:rPr>
            </w:pPr>
            <w:r>
              <w:rPr>
                <w:color w:val="231F20"/>
                <w:w w:val="140"/>
                <w:sz w:val="12"/>
              </w:rPr>
              <w:t>Socio-welfare</w:t>
            </w:r>
          </w:p>
          <w:p w14:paraId="5CCED4C9" w14:textId="77777777" w:rsidR="009948F1" w:rsidRDefault="00BC0563">
            <w:pPr>
              <w:pStyle w:val="TableParagraph"/>
              <w:spacing w:before="22"/>
              <w:ind w:left="98"/>
              <w:rPr>
                <w:sz w:val="12"/>
              </w:rPr>
            </w:pPr>
            <w:r>
              <w:rPr>
                <w:color w:val="231F20"/>
                <w:w w:val="140"/>
                <w:sz w:val="12"/>
              </w:rPr>
              <w:t>Officer</w:t>
            </w:r>
          </w:p>
        </w:tc>
        <w:tc>
          <w:tcPr>
            <w:tcW w:w="845" w:type="dxa"/>
          </w:tcPr>
          <w:p w14:paraId="05C6148A" w14:textId="77777777" w:rsidR="009948F1" w:rsidRDefault="00BC0563">
            <w:pPr>
              <w:pStyle w:val="TableParagraph"/>
              <w:spacing w:line="137" w:lineRule="exact"/>
              <w:ind w:left="98"/>
              <w:rPr>
                <w:sz w:val="12"/>
              </w:rPr>
            </w:pPr>
            <w:r>
              <w:rPr>
                <w:color w:val="231F20"/>
                <w:w w:val="138"/>
                <w:sz w:val="12"/>
              </w:rPr>
              <w:t>0</w:t>
            </w:r>
          </w:p>
        </w:tc>
        <w:tc>
          <w:tcPr>
            <w:tcW w:w="942" w:type="dxa"/>
          </w:tcPr>
          <w:p w14:paraId="1B0EACBB" w14:textId="77777777" w:rsidR="009948F1" w:rsidRDefault="00BC0563">
            <w:pPr>
              <w:pStyle w:val="TableParagraph"/>
              <w:spacing w:line="137" w:lineRule="exact"/>
              <w:ind w:left="98"/>
              <w:rPr>
                <w:sz w:val="12"/>
              </w:rPr>
            </w:pPr>
            <w:r>
              <w:rPr>
                <w:color w:val="231F20"/>
                <w:w w:val="138"/>
                <w:sz w:val="12"/>
              </w:rPr>
              <w:t>7</w:t>
            </w:r>
          </w:p>
        </w:tc>
        <w:tc>
          <w:tcPr>
            <w:tcW w:w="807" w:type="dxa"/>
          </w:tcPr>
          <w:p w14:paraId="1D05370F" w14:textId="77777777" w:rsidR="009948F1" w:rsidRDefault="00BC0563">
            <w:pPr>
              <w:pStyle w:val="TableParagraph"/>
              <w:spacing w:line="137" w:lineRule="exact"/>
              <w:ind w:left="98"/>
              <w:rPr>
                <w:sz w:val="12"/>
              </w:rPr>
            </w:pPr>
            <w:r>
              <w:rPr>
                <w:color w:val="231F20"/>
                <w:w w:val="138"/>
                <w:sz w:val="12"/>
              </w:rPr>
              <w:t>0</w:t>
            </w:r>
          </w:p>
        </w:tc>
        <w:tc>
          <w:tcPr>
            <w:tcW w:w="1225" w:type="dxa"/>
          </w:tcPr>
          <w:p w14:paraId="6C1E0BF8" w14:textId="77777777" w:rsidR="009948F1" w:rsidRDefault="00BC0563">
            <w:pPr>
              <w:pStyle w:val="TableParagraph"/>
              <w:spacing w:line="137" w:lineRule="exact"/>
              <w:ind w:left="98"/>
              <w:rPr>
                <w:sz w:val="12"/>
              </w:rPr>
            </w:pPr>
            <w:r>
              <w:rPr>
                <w:color w:val="231F20"/>
                <w:w w:val="138"/>
                <w:sz w:val="12"/>
              </w:rPr>
              <w:t>0</w:t>
            </w:r>
          </w:p>
        </w:tc>
        <w:tc>
          <w:tcPr>
            <w:tcW w:w="1112" w:type="dxa"/>
          </w:tcPr>
          <w:p w14:paraId="57BE1AE9" w14:textId="77777777" w:rsidR="009948F1" w:rsidRDefault="00BC0563">
            <w:pPr>
              <w:pStyle w:val="TableParagraph"/>
              <w:spacing w:line="137" w:lineRule="exact"/>
              <w:ind w:left="97"/>
              <w:rPr>
                <w:sz w:val="12"/>
              </w:rPr>
            </w:pPr>
            <w:r>
              <w:rPr>
                <w:color w:val="231F20"/>
                <w:w w:val="138"/>
                <w:sz w:val="12"/>
              </w:rPr>
              <w:t>0</w:t>
            </w:r>
          </w:p>
        </w:tc>
        <w:tc>
          <w:tcPr>
            <w:tcW w:w="1112" w:type="dxa"/>
          </w:tcPr>
          <w:p w14:paraId="331B3330" w14:textId="77777777" w:rsidR="009948F1" w:rsidRDefault="00BC0563">
            <w:pPr>
              <w:pStyle w:val="TableParagraph"/>
              <w:spacing w:line="137" w:lineRule="exact"/>
              <w:ind w:left="97"/>
              <w:rPr>
                <w:sz w:val="12"/>
              </w:rPr>
            </w:pPr>
            <w:r>
              <w:rPr>
                <w:color w:val="231F20"/>
                <w:w w:val="138"/>
                <w:sz w:val="12"/>
              </w:rPr>
              <w:t>0</w:t>
            </w:r>
          </w:p>
        </w:tc>
        <w:tc>
          <w:tcPr>
            <w:tcW w:w="774" w:type="dxa"/>
          </w:tcPr>
          <w:p w14:paraId="35878A69" w14:textId="77777777" w:rsidR="009948F1" w:rsidRDefault="00BC0563">
            <w:pPr>
              <w:pStyle w:val="TableParagraph"/>
              <w:spacing w:line="137" w:lineRule="exact"/>
              <w:ind w:left="98"/>
              <w:rPr>
                <w:sz w:val="12"/>
              </w:rPr>
            </w:pPr>
            <w:r>
              <w:rPr>
                <w:color w:val="231F20"/>
                <w:w w:val="138"/>
                <w:sz w:val="12"/>
              </w:rPr>
              <w:t>7</w:t>
            </w:r>
          </w:p>
        </w:tc>
      </w:tr>
      <w:tr w:rsidR="009948F1" w14:paraId="3B4A122C" w14:textId="77777777">
        <w:trPr>
          <w:trHeight w:val="157"/>
        </w:trPr>
        <w:tc>
          <w:tcPr>
            <w:tcW w:w="544" w:type="dxa"/>
          </w:tcPr>
          <w:p w14:paraId="3F5C631A" w14:textId="77777777" w:rsidR="009948F1" w:rsidRDefault="00BC0563">
            <w:pPr>
              <w:pStyle w:val="TableParagraph"/>
              <w:spacing w:line="137" w:lineRule="exact"/>
              <w:ind w:left="98"/>
              <w:rPr>
                <w:sz w:val="12"/>
              </w:rPr>
            </w:pPr>
            <w:r>
              <w:rPr>
                <w:color w:val="231F20"/>
                <w:w w:val="140"/>
                <w:sz w:val="12"/>
              </w:rPr>
              <w:t>27</w:t>
            </w:r>
          </w:p>
        </w:tc>
        <w:tc>
          <w:tcPr>
            <w:tcW w:w="1676" w:type="dxa"/>
          </w:tcPr>
          <w:p w14:paraId="5652A9B2" w14:textId="77777777" w:rsidR="009948F1" w:rsidRDefault="00BC0563">
            <w:pPr>
              <w:pStyle w:val="TableParagraph"/>
              <w:spacing w:line="137" w:lineRule="exact"/>
              <w:ind w:left="98"/>
              <w:rPr>
                <w:sz w:val="12"/>
              </w:rPr>
            </w:pPr>
            <w:r>
              <w:rPr>
                <w:color w:val="231F20"/>
                <w:w w:val="140"/>
                <w:sz w:val="12"/>
              </w:rPr>
              <w:t>Ophthalmologist</w:t>
            </w:r>
          </w:p>
        </w:tc>
        <w:tc>
          <w:tcPr>
            <w:tcW w:w="845" w:type="dxa"/>
          </w:tcPr>
          <w:p w14:paraId="3C44F5EB" w14:textId="77777777" w:rsidR="009948F1" w:rsidRDefault="00BC0563">
            <w:pPr>
              <w:pStyle w:val="TableParagraph"/>
              <w:spacing w:line="137" w:lineRule="exact"/>
              <w:ind w:left="98"/>
              <w:rPr>
                <w:sz w:val="12"/>
              </w:rPr>
            </w:pPr>
            <w:r>
              <w:rPr>
                <w:color w:val="231F20"/>
                <w:w w:val="138"/>
                <w:sz w:val="12"/>
              </w:rPr>
              <w:t>0</w:t>
            </w:r>
          </w:p>
        </w:tc>
        <w:tc>
          <w:tcPr>
            <w:tcW w:w="942" w:type="dxa"/>
          </w:tcPr>
          <w:p w14:paraId="3C9B138F" w14:textId="77777777" w:rsidR="009948F1" w:rsidRDefault="00BC0563">
            <w:pPr>
              <w:pStyle w:val="TableParagraph"/>
              <w:spacing w:line="137" w:lineRule="exact"/>
              <w:ind w:left="98"/>
              <w:rPr>
                <w:sz w:val="12"/>
              </w:rPr>
            </w:pPr>
            <w:r>
              <w:rPr>
                <w:color w:val="231F20"/>
                <w:w w:val="138"/>
                <w:sz w:val="12"/>
              </w:rPr>
              <w:t>1</w:t>
            </w:r>
          </w:p>
        </w:tc>
        <w:tc>
          <w:tcPr>
            <w:tcW w:w="807" w:type="dxa"/>
          </w:tcPr>
          <w:p w14:paraId="244A30F7" w14:textId="77777777" w:rsidR="009948F1" w:rsidRDefault="00BC0563">
            <w:pPr>
              <w:pStyle w:val="TableParagraph"/>
              <w:spacing w:line="137" w:lineRule="exact"/>
              <w:ind w:left="98"/>
              <w:rPr>
                <w:sz w:val="12"/>
              </w:rPr>
            </w:pPr>
            <w:r>
              <w:rPr>
                <w:color w:val="231F20"/>
                <w:w w:val="138"/>
                <w:sz w:val="12"/>
              </w:rPr>
              <w:t>0</w:t>
            </w:r>
          </w:p>
        </w:tc>
        <w:tc>
          <w:tcPr>
            <w:tcW w:w="1225" w:type="dxa"/>
          </w:tcPr>
          <w:p w14:paraId="4D45294E" w14:textId="77777777" w:rsidR="009948F1" w:rsidRDefault="00BC0563">
            <w:pPr>
              <w:pStyle w:val="TableParagraph"/>
              <w:spacing w:line="137" w:lineRule="exact"/>
              <w:ind w:left="98"/>
              <w:rPr>
                <w:sz w:val="12"/>
              </w:rPr>
            </w:pPr>
            <w:r>
              <w:rPr>
                <w:color w:val="231F20"/>
                <w:w w:val="138"/>
                <w:sz w:val="12"/>
              </w:rPr>
              <w:t>0</w:t>
            </w:r>
          </w:p>
        </w:tc>
        <w:tc>
          <w:tcPr>
            <w:tcW w:w="1112" w:type="dxa"/>
          </w:tcPr>
          <w:p w14:paraId="714E6A4D" w14:textId="77777777" w:rsidR="009948F1" w:rsidRDefault="00BC0563">
            <w:pPr>
              <w:pStyle w:val="TableParagraph"/>
              <w:spacing w:line="137" w:lineRule="exact"/>
              <w:ind w:left="97"/>
              <w:rPr>
                <w:sz w:val="12"/>
              </w:rPr>
            </w:pPr>
            <w:r>
              <w:rPr>
                <w:color w:val="231F20"/>
                <w:w w:val="138"/>
                <w:sz w:val="12"/>
              </w:rPr>
              <w:t>0</w:t>
            </w:r>
          </w:p>
        </w:tc>
        <w:tc>
          <w:tcPr>
            <w:tcW w:w="1112" w:type="dxa"/>
          </w:tcPr>
          <w:p w14:paraId="68510B6C" w14:textId="77777777" w:rsidR="009948F1" w:rsidRDefault="00BC0563">
            <w:pPr>
              <w:pStyle w:val="TableParagraph"/>
              <w:spacing w:line="137" w:lineRule="exact"/>
              <w:ind w:left="97"/>
              <w:rPr>
                <w:sz w:val="12"/>
              </w:rPr>
            </w:pPr>
            <w:r>
              <w:rPr>
                <w:color w:val="231F20"/>
                <w:w w:val="138"/>
                <w:sz w:val="12"/>
              </w:rPr>
              <w:t>0</w:t>
            </w:r>
          </w:p>
        </w:tc>
        <w:tc>
          <w:tcPr>
            <w:tcW w:w="774" w:type="dxa"/>
          </w:tcPr>
          <w:p w14:paraId="08302D64" w14:textId="77777777" w:rsidR="009948F1" w:rsidRDefault="00BC0563">
            <w:pPr>
              <w:pStyle w:val="TableParagraph"/>
              <w:spacing w:line="137" w:lineRule="exact"/>
              <w:ind w:left="98"/>
              <w:rPr>
                <w:sz w:val="12"/>
              </w:rPr>
            </w:pPr>
            <w:r>
              <w:rPr>
                <w:color w:val="231F20"/>
                <w:w w:val="138"/>
                <w:sz w:val="12"/>
              </w:rPr>
              <w:t>1</w:t>
            </w:r>
          </w:p>
        </w:tc>
      </w:tr>
      <w:tr w:rsidR="009948F1" w14:paraId="0FD3A741" w14:textId="77777777">
        <w:trPr>
          <w:trHeight w:val="157"/>
        </w:trPr>
        <w:tc>
          <w:tcPr>
            <w:tcW w:w="544" w:type="dxa"/>
          </w:tcPr>
          <w:p w14:paraId="23A7E858" w14:textId="77777777" w:rsidR="009948F1" w:rsidRDefault="00BC0563">
            <w:pPr>
              <w:pStyle w:val="TableParagraph"/>
              <w:spacing w:line="137" w:lineRule="exact"/>
              <w:ind w:left="98"/>
              <w:rPr>
                <w:sz w:val="12"/>
              </w:rPr>
            </w:pPr>
            <w:r>
              <w:rPr>
                <w:color w:val="231F20"/>
                <w:w w:val="140"/>
                <w:sz w:val="12"/>
              </w:rPr>
              <w:t>28</w:t>
            </w:r>
          </w:p>
        </w:tc>
        <w:tc>
          <w:tcPr>
            <w:tcW w:w="1676" w:type="dxa"/>
          </w:tcPr>
          <w:p w14:paraId="7B8940F2" w14:textId="77777777" w:rsidR="009948F1" w:rsidRDefault="00BC0563">
            <w:pPr>
              <w:pStyle w:val="TableParagraph"/>
              <w:spacing w:line="137" w:lineRule="exact"/>
              <w:ind w:left="98"/>
              <w:rPr>
                <w:sz w:val="12"/>
              </w:rPr>
            </w:pPr>
            <w:r>
              <w:rPr>
                <w:color w:val="231F20"/>
                <w:w w:val="140"/>
                <w:sz w:val="12"/>
              </w:rPr>
              <w:t>Dental therapist</w:t>
            </w:r>
          </w:p>
        </w:tc>
        <w:tc>
          <w:tcPr>
            <w:tcW w:w="845" w:type="dxa"/>
          </w:tcPr>
          <w:p w14:paraId="5B8D80F8" w14:textId="77777777" w:rsidR="009948F1" w:rsidRDefault="00BC0563">
            <w:pPr>
              <w:pStyle w:val="TableParagraph"/>
              <w:spacing w:line="137" w:lineRule="exact"/>
              <w:ind w:left="98"/>
              <w:rPr>
                <w:sz w:val="12"/>
              </w:rPr>
            </w:pPr>
            <w:r>
              <w:rPr>
                <w:color w:val="231F20"/>
                <w:w w:val="138"/>
                <w:sz w:val="12"/>
              </w:rPr>
              <w:t>0</w:t>
            </w:r>
          </w:p>
        </w:tc>
        <w:tc>
          <w:tcPr>
            <w:tcW w:w="942" w:type="dxa"/>
          </w:tcPr>
          <w:p w14:paraId="5E998A13" w14:textId="77777777" w:rsidR="009948F1" w:rsidRDefault="00BC0563">
            <w:pPr>
              <w:pStyle w:val="TableParagraph"/>
              <w:spacing w:line="137" w:lineRule="exact"/>
              <w:ind w:left="98"/>
              <w:rPr>
                <w:sz w:val="12"/>
              </w:rPr>
            </w:pPr>
            <w:r>
              <w:rPr>
                <w:color w:val="231F20"/>
                <w:w w:val="138"/>
                <w:sz w:val="12"/>
              </w:rPr>
              <w:t>5</w:t>
            </w:r>
          </w:p>
        </w:tc>
        <w:tc>
          <w:tcPr>
            <w:tcW w:w="807" w:type="dxa"/>
          </w:tcPr>
          <w:p w14:paraId="4352EEE4" w14:textId="77777777" w:rsidR="009948F1" w:rsidRDefault="00BC0563">
            <w:pPr>
              <w:pStyle w:val="TableParagraph"/>
              <w:spacing w:line="137" w:lineRule="exact"/>
              <w:ind w:left="98"/>
              <w:rPr>
                <w:sz w:val="12"/>
              </w:rPr>
            </w:pPr>
            <w:r>
              <w:rPr>
                <w:color w:val="231F20"/>
                <w:w w:val="138"/>
                <w:sz w:val="12"/>
              </w:rPr>
              <w:t>0</w:t>
            </w:r>
          </w:p>
        </w:tc>
        <w:tc>
          <w:tcPr>
            <w:tcW w:w="1225" w:type="dxa"/>
          </w:tcPr>
          <w:p w14:paraId="5FA3818F" w14:textId="77777777" w:rsidR="009948F1" w:rsidRDefault="00BC0563">
            <w:pPr>
              <w:pStyle w:val="TableParagraph"/>
              <w:spacing w:line="137" w:lineRule="exact"/>
              <w:ind w:left="98"/>
              <w:rPr>
                <w:sz w:val="12"/>
              </w:rPr>
            </w:pPr>
            <w:r>
              <w:rPr>
                <w:color w:val="231F20"/>
                <w:w w:val="138"/>
                <w:sz w:val="12"/>
              </w:rPr>
              <w:t>0</w:t>
            </w:r>
          </w:p>
        </w:tc>
        <w:tc>
          <w:tcPr>
            <w:tcW w:w="1112" w:type="dxa"/>
          </w:tcPr>
          <w:p w14:paraId="1EAE37E6" w14:textId="77777777" w:rsidR="009948F1" w:rsidRDefault="00BC0563">
            <w:pPr>
              <w:pStyle w:val="TableParagraph"/>
              <w:spacing w:line="137" w:lineRule="exact"/>
              <w:ind w:left="97"/>
              <w:rPr>
                <w:sz w:val="12"/>
              </w:rPr>
            </w:pPr>
            <w:r>
              <w:rPr>
                <w:color w:val="231F20"/>
                <w:w w:val="138"/>
                <w:sz w:val="12"/>
              </w:rPr>
              <w:t>0</w:t>
            </w:r>
          </w:p>
        </w:tc>
        <w:tc>
          <w:tcPr>
            <w:tcW w:w="1112" w:type="dxa"/>
          </w:tcPr>
          <w:p w14:paraId="1CA32A14" w14:textId="77777777" w:rsidR="009948F1" w:rsidRDefault="00BC0563">
            <w:pPr>
              <w:pStyle w:val="TableParagraph"/>
              <w:spacing w:line="137" w:lineRule="exact"/>
              <w:ind w:left="97"/>
              <w:rPr>
                <w:sz w:val="12"/>
              </w:rPr>
            </w:pPr>
            <w:r>
              <w:rPr>
                <w:color w:val="231F20"/>
                <w:w w:val="138"/>
                <w:sz w:val="12"/>
              </w:rPr>
              <w:t>2</w:t>
            </w:r>
          </w:p>
        </w:tc>
        <w:tc>
          <w:tcPr>
            <w:tcW w:w="774" w:type="dxa"/>
          </w:tcPr>
          <w:p w14:paraId="3A920B98" w14:textId="77777777" w:rsidR="009948F1" w:rsidRDefault="00BC0563">
            <w:pPr>
              <w:pStyle w:val="TableParagraph"/>
              <w:spacing w:line="137" w:lineRule="exact"/>
              <w:ind w:left="98"/>
              <w:rPr>
                <w:sz w:val="12"/>
              </w:rPr>
            </w:pPr>
            <w:r>
              <w:rPr>
                <w:color w:val="231F20"/>
                <w:w w:val="138"/>
                <w:sz w:val="12"/>
              </w:rPr>
              <w:t>7</w:t>
            </w:r>
          </w:p>
        </w:tc>
      </w:tr>
      <w:tr w:rsidR="009948F1" w14:paraId="30878E94" w14:textId="77777777">
        <w:trPr>
          <w:trHeight w:val="158"/>
        </w:trPr>
        <w:tc>
          <w:tcPr>
            <w:tcW w:w="544" w:type="dxa"/>
          </w:tcPr>
          <w:p w14:paraId="45C424B5" w14:textId="77777777" w:rsidR="009948F1" w:rsidRDefault="00BC0563">
            <w:pPr>
              <w:pStyle w:val="TableParagraph"/>
              <w:spacing w:line="137" w:lineRule="exact"/>
              <w:ind w:left="98"/>
              <w:rPr>
                <w:sz w:val="12"/>
              </w:rPr>
            </w:pPr>
            <w:r>
              <w:rPr>
                <w:color w:val="231F20"/>
                <w:w w:val="140"/>
                <w:sz w:val="12"/>
              </w:rPr>
              <w:t>29</w:t>
            </w:r>
          </w:p>
        </w:tc>
        <w:tc>
          <w:tcPr>
            <w:tcW w:w="1676" w:type="dxa"/>
          </w:tcPr>
          <w:p w14:paraId="10C10128" w14:textId="77777777" w:rsidR="009948F1" w:rsidRDefault="00BC0563">
            <w:pPr>
              <w:pStyle w:val="TableParagraph"/>
              <w:spacing w:line="137" w:lineRule="exact"/>
              <w:ind w:left="98"/>
              <w:rPr>
                <w:sz w:val="12"/>
              </w:rPr>
            </w:pPr>
            <w:r>
              <w:rPr>
                <w:color w:val="231F20"/>
                <w:w w:val="140"/>
                <w:sz w:val="12"/>
              </w:rPr>
              <w:t>Dental surgical</w:t>
            </w:r>
          </w:p>
        </w:tc>
        <w:tc>
          <w:tcPr>
            <w:tcW w:w="845" w:type="dxa"/>
          </w:tcPr>
          <w:p w14:paraId="5756275C" w14:textId="77777777" w:rsidR="009948F1" w:rsidRDefault="00BC0563">
            <w:pPr>
              <w:pStyle w:val="TableParagraph"/>
              <w:spacing w:line="137" w:lineRule="exact"/>
              <w:ind w:left="98"/>
              <w:rPr>
                <w:sz w:val="12"/>
              </w:rPr>
            </w:pPr>
            <w:r>
              <w:rPr>
                <w:color w:val="231F20"/>
                <w:w w:val="140"/>
                <w:sz w:val="12"/>
              </w:rPr>
              <w:t>12</w:t>
            </w:r>
          </w:p>
        </w:tc>
        <w:tc>
          <w:tcPr>
            <w:tcW w:w="942" w:type="dxa"/>
          </w:tcPr>
          <w:p w14:paraId="1F30C75F" w14:textId="77777777" w:rsidR="009948F1" w:rsidRDefault="00BC0563">
            <w:pPr>
              <w:pStyle w:val="TableParagraph"/>
              <w:spacing w:line="137" w:lineRule="exact"/>
              <w:ind w:left="98"/>
              <w:rPr>
                <w:sz w:val="12"/>
              </w:rPr>
            </w:pPr>
            <w:r>
              <w:rPr>
                <w:color w:val="231F20"/>
                <w:w w:val="138"/>
                <w:sz w:val="12"/>
              </w:rPr>
              <w:t>9</w:t>
            </w:r>
          </w:p>
        </w:tc>
        <w:tc>
          <w:tcPr>
            <w:tcW w:w="807" w:type="dxa"/>
          </w:tcPr>
          <w:p w14:paraId="2D5D3DE9" w14:textId="77777777" w:rsidR="009948F1" w:rsidRDefault="00BC0563">
            <w:pPr>
              <w:pStyle w:val="TableParagraph"/>
              <w:spacing w:line="137" w:lineRule="exact"/>
              <w:ind w:left="98"/>
              <w:rPr>
                <w:sz w:val="12"/>
              </w:rPr>
            </w:pPr>
            <w:r>
              <w:rPr>
                <w:color w:val="231F20"/>
                <w:w w:val="138"/>
                <w:sz w:val="12"/>
              </w:rPr>
              <w:t>0</w:t>
            </w:r>
          </w:p>
        </w:tc>
        <w:tc>
          <w:tcPr>
            <w:tcW w:w="1225" w:type="dxa"/>
          </w:tcPr>
          <w:p w14:paraId="6D1CE889" w14:textId="77777777" w:rsidR="009948F1" w:rsidRDefault="00BC0563">
            <w:pPr>
              <w:pStyle w:val="TableParagraph"/>
              <w:spacing w:line="137" w:lineRule="exact"/>
              <w:ind w:left="98"/>
              <w:rPr>
                <w:sz w:val="12"/>
              </w:rPr>
            </w:pPr>
            <w:r>
              <w:rPr>
                <w:color w:val="231F20"/>
                <w:w w:val="138"/>
                <w:sz w:val="12"/>
              </w:rPr>
              <w:t>0</w:t>
            </w:r>
          </w:p>
        </w:tc>
        <w:tc>
          <w:tcPr>
            <w:tcW w:w="1112" w:type="dxa"/>
          </w:tcPr>
          <w:p w14:paraId="0911C842" w14:textId="77777777" w:rsidR="009948F1" w:rsidRDefault="00BC0563">
            <w:pPr>
              <w:pStyle w:val="TableParagraph"/>
              <w:spacing w:line="137" w:lineRule="exact"/>
              <w:ind w:left="97"/>
              <w:rPr>
                <w:sz w:val="12"/>
              </w:rPr>
            </w:pPr>
            <w:r>
              <w:rPr>
                <w:color w:val="231F20"/>
                <w:w w:val="138"/>
                <w:sz w:val="12"/>
              </w:rPr>
              <w:t>0</w:t>
            </w:r>
          </w:p>
        </w:tc>
        <w:tc>
          <w:tcPr>
            <w:tcW w:w="1112" w:type="dxa"/>
          </w:tcPr>
          <w:p w14:paraId="0A3C4274" w14:textId="77777777" w:rsidR="009948F1" w:rsidRDefault="00BC0563">
            <w:pPr>
              <w:pStyle w:val="TableParagraph"/>
              <w:spacing w:line="137" w:lineRule="exact"/>
              <w:ind w:left="97"/>
              <w:rPr>
                <w:sz w:val="12"/>
              </w:rPr>
            </w:pPr>
            <w:r>
              <w:rPr>
                <w:color w:val="231F20"/>
                <w:w w:val="140"/>
                <w:sz w:val="12"/>
              </w:rPr>
              <w:t>12</w:t>
            </w:r>
          </w:p>
        </w:tc>
        <w:tc>
          <w:tcPr>
            <w:tcW w:w="774" w:type="dxa"/>
          </w:tcPr>
          <w:p w14:paraId="44CE11A4" w14:textId="77777777" w:rsidR="009948F1" w:rsidRDefault="00BC0563">
            <w:pPr>
              <w:pStyle w:val="TableParagraph"/>
              <w:spacing w:line="137" w:lineRule="exact"/>
              <w:ind w:left="98"/>
              <w:rPr>
                <w:sz w:val="12"/>
              </w:rPr>
            </w:pPr>
            <w:r>
              <w:rPr>
                <w:color w:val="231F20"/>
                <w:w w:val="140"/>
                <w:sz w:val="12"/>
              </w:rPr>
              <w:t>33</w:t>
            </w:r>
          </w:p>
        </w:tc>
      </w:tr>
      <w:tr w:rsidR="009948F1" w14:paraId="44A155B6" w14:textId="77777777">
        <w:trPr>
          <w:trHeight w:val="317"/>
        </w:trPr>
        <w:tc>
          <w:tcPr>
            <w:tcW w:w="544" w:type="dxa"/>
          </w:tcPr>
          <w:p w14:paraId="5B75A0FA" w14:textId="77777777" w:rsidR="009948F1" w:rsidRDefault="00BC0563">
            <w:pPr>
              <w:pStyle w:val="TableParagraph"/>
              <w:spacing w:line="137" w:lineRule="exact"/>
              <w:ind w:left="98"/>
              <w:rPr>
                <w:sz w:val="12"/>
              </w:rPr>
            </w:pPr>
            <w:r>
              <w:rPr>
                <w:color w:val="231F20"/>
                <w:w w:val="140"/>
                <w:sz w:val="12"/>
              </w:rPr>
              <w:t>30</w:t>
            </w:r>
          </w:p>
        </w:tc>
        <w:tc>
          <w:tcPr>
            <w:tcW w:w="1676" w:type="dxa"/>
          </w:tcPr>
          <w:p w14:paraId="4AAD6F29" w14:textId="5A507799" w:rsidR="009948F1" w:rsidRDefault="00BC0563">
            <w:pPr>
              <w:pStyle w:val="TableParagraph"/>
              <w:spacing w:line="137" w:lineRule="exact"/>
              <w:ind w:left="98"/>
              <w:rPr>
                <w:sz w:val="12"/>
              </w:rPr>
            </w:pPr>
            <w:proofErr w:type="spellStart"/>
            <w:r>
              <w:rPr>
                <w:color w:val="231F20"/>
                <w:w w:val="140"/>
                <w:sz w:val="12"/>
              </w:rPr>
              <w:t>Anaesth</w:t>
            </w:r>
            <w:r w:rsidR="00764F74">
              <w:rPr>
                <w:color w:val="231F20"/>
                <w:w w:val="140"/>
                <w:sz w:val="12"/>
              </w:rPr>
              <w:t>etic</w:t>
            </w:r>
            <w:proofErr w:type="spellEnd"/>
          </w:p>
          <w:p w14:paraId="7A8E57A6" w14:textId="77777777" w:rsidR="009948F1" w:rsidRDefault="00BC0563">
            <w:pPr>
              <w:pStyle w:val="TableParagraph"/>
              <w:spacing w:before="22"/>
              <w:ind w:left="98"/>
              <w:rPr>
                <w:sz w:val="12"/>
              </w:rPr>
            </w:pPr>
            <w:r>
              <w:rPr>
                <w:color w:val="231F20"/>
                <w:w w:val="140"/>
                <w:sz w:val="12"/>
              </w:rPr>
              <w:t>Tech/asst.</w:t>
            </w:r>
          </w:p>
        </w:tc>
        <w:tc>
          <w:tcPr>
            <w:tcW w:w="845" w:type="dxa"/>
          </w:tcPr>
          <w:p w14:paraId="41C580C1" w14:textId="77777777" w:rsidR="009948F1" w:rsidRDefault="00BC0563">
            <w:pPr>
              <w:pStyle w:val="TableParagraph"/>
              <w:spacing w:line="137" w:lineRule="exact"/>
              <w:ind w:left="98"/>
              <w:rPr>
                <w:sz w:val="12"/>
              </w:rPr>
            </w:pPr>
            <w:r>
              <w:rPr>
                <w:color w:val="231F20"/>
                <w:w w:val="138"/>
                <w:sz w:val="12"/>
              </w:rPr>
              <w:t>0</w:t>
            </w:r>
          </w:p>
        </w:tc>
        <w:tc>
          <w:tcPr>
            <w:tcW w:w="942" w:type="dxa"/>
          </w:tcPr>
          <w:p w14:paraId="50E932EB" w14:textId="77777777" w:rsidR="009948F1" w:rsidRDefault="00BC0563">
            <w:pPr>
              <w:pStyle w:val="TableParagraph"/>
              <w:spacing w:line="137" w:lineRule="exact"/>
              <w:ind w:left="98"/>
              <w:rPr>
                <w:sz w:val="12"/>
              </w:rPr>
            </w:pPr>
            <w:r>
              <w:rPr>
                <w:color w:val="231F20"/>
                <w:w w:val="140"/>
                <w:sz w:val="12"/>
              </w:rPr>
              <w:t>28</w:t>
            </w:r>
          </w:p>
        </w:tc>
        <w:tc>
          <w:tcPr>
            <w:tcW w:w="807" w:type="dxa"/>
          </w:tcPr>
          <w:p w14:paraId="1D53542A" w14:textId="77777777" w:rsidR="009948F1" w:rsidRDefault="00BC0563">
            <w:pPr>
              <w:pStyle w:val="TableParagraph"/>
              <w:spacing w:line="137" w:lineRule="exact"/>
              <w:ind w:left="98"/>
              <w:rPr>
                <w:sz w:val="12"/>
              </w:rPr>
            </w:pPr>
            <w:r>
              <w:rPr>
                <w:color w:val="231F20"/>
                <w:w w:val="138"/>
                <w:sz w:val="12"/>
              </w:rPr>
              <w:t>0</w:t>
            </w:r>
          </w:p>
        </w:tc>
        <w:tc>
          <w:tcPr>
            <w:tcW w:w="1225" w:type="dxa"/>
          </w:tcPr>
          <w:p w14:paraId="20D08D3A" w14:textId="77777777" w:rsidR="009948F1" w:rsidRDefault="00BC0563">
            <w:pPr>
              <w:pStyle w:val="TableParagraph"/>
              <w:spacing w:line="137" w:lineRule="exact"/>
              <w:ind w:left="98"/>
              <w:rPr>
                <w:sz w:val="12"/>
              </w:rPr>
            </w:pPr>
            <w:r>
              <w:rPr>
                <w:color w:val="231F20"/>
                <w:w w:val="138"/>
                <w:sz w:val="12"/>
              </w:rPr>
              <w:t>0</w:t>
            </w:r>
          </w:p>
        </w:tc>
        <w:tc>
          <w:tcPr>
            <w:tcW w:w="1112" w:type="dxa"/>
          </w:tcPr>
          <w:p w14:paraId="7BC6A5DC" w14:textId="77777777" w:rsidR="009948F1" w:rsidRDefault="00BC0563">
            <w:pPr>
              <w:pStyle w:val="TableParagraph"/>
              <w:spacing w:line="137" w:lineRule="exact"/>
              <w:ind w:left="97"/>
              <w:rPr>
                <w:sz w:val="12"/>
              </w:rPr>
            </w:pPr>
            <w:r>
              <w:rPr>
                <w:color w:val="231F20"/>
                <w:w w:val="138"/>
                <w:sz w:val="12"/>
              </w:rPr>
              <w:t>0</w:t>
            </w:r>
          </w:p>
        </w:tc>
        <w:tc>
          <w:tcPr>
            <w:tcW w:w="1112" w:type="dxa"/>
          </w:tcPr>
          <w:p w14:paraId="0ED5E72E" w14:textId="77777777" w:rsidR="009948F1" w:rsidRDefault="00BC0563">
            <w:pPr>
              <w:pStyle w:val="TableParagraph"/>
              <w:spacing w:line="137" w:lineRule="exact"/>
              <w:ind w:left="97"/>
              <w:rPr>
                <w:sz w:val="12"/>
              </w:rPr>
            </w:pPr>
            <w:r>
              <w:rPr>
                <w:color w:val="231F20"/>
                <w:w w:val="138"/>
                <w:sz w:val="12"/>
              </w:rPr>
              <w:t>0</w:t>
            </w:r>
          </w:p>
        </w:tc>
        <w:tc>
          <w:tcPr>
            <w:tcW w:w="774" w:type="dxa"/>
          </w:tcPr>
          <w:p w14:paraId="3F1285BC" w14:textId="77777777" w:rsidR="009948F1" w:rsidRDefault="00BC0563">
            <w:pPr>
              <w:pStyle w:val="TableParagraph"/>
              <w:spacing w:line="137" w:lineRule="exact"/>
              <w:ind w:left="98"/>
              <w:rPr>
                <w:sz w:val="12"/>
              </w:rPr>
            </w:pPr>
            <w:r>
              <w:rPr>
                <w:color w:val="231F20"/>
                <w:w w:val="140"/>
                <w:sz w:val="12"/>
              </w:rPr>
              <w:t>28</w:t>
            </w:r>
          </w:p>
        </w:tc>
      </w:tr>
      <w:tr w:rsidR="009948F1" w14:paraId="2F032624" w14:textId="77777777">
        <w:trPr>
          <w:trHeight w:val="158"/>
        </w:trPr>
        <w:tc>
          <w:tcPr>
            <w:tcW w:w="544" w:type="dxa"/>
          </w:tcPr>
          <w:p w14:paraId="7C620DD7" w14:textId="77777777" w:rsidR="009948F1" w:rsidRDefault="00BC0563">
            <w:pPr>
              <w:pStyle w:val="TableParagraph"/>
              <w:spacing w:line="137" w:lineRule="exact"/>
              <w:ind w:left="98"/>
              <w:rPr>
                <w:sz w:val="12"/>
              </w:rPr>
            </w:pPr>
            <w:r>
              <w:rPr>
                <w:color w:val="231F20"/>
                <w:w w:val="140"/>
                <w:sz w:val="12"/>
              </w:rPr>
              <w:t>31</w:t>
            </w:r>
          </w:p>
        </w:tc>
        <w:tc>
          <w:tcPr>
            <w:tcW w:w="1676" w:type="dxa"/>
          </w:tcPr>
          <w:p w14:paraId="58B9F26E" w14:textId="77777777" w:rsidR="009948F1" w:rsidRDefault="00BC0563">
            <w:pPr>
              <w:pStyle w:val="TableParagraph"/>
              <w:spacing w:line="137" w:lineRule="exact"/>
              <w:ind w:left="98"/>
              <w:rPr>
                <w:sz w:val="12"/>
              </w:rPr>
            </w:pPr>
            <w:r>
              <w:rPr>
                <w:color w:val="231F20"/>
                <w:w w:val="140"/>
                <w:sz w:val="12"/>
              </w:rPr>
              <w:t>X-ray tech</w:t>
            </w:r>
          </w:p>
        </w:tc>
        <w:tc>
          <w:tcPr>
            <w:tcW w:w="845" w:type="dxa"/>
          </w:tcPr>
          <w:p w14:paraId="70965394" w14:textId="77777777" w:rsidR="009948F1" w:rsidRDefault="00BC0563">
            <w:pPr>
              <w:pStyle w:val="TableParagraph"/>
              <w:spacing w:line="137" w:lineRule="exact"/>
              <w:ind w:left="98"/>
              <w:rPr>
                <w:sz w:val="12"/>
              </w:rPr>
            </w:pPr>
            <w:r>
              <w:rPr>
                <w:color w:val="231F20"/>
                <w:w w:val="138"/>
                <w:sz w:val="12"/>
              </w:rPr>
              <w:t>0</w:t>
            </w:r>
          </w:p>
        </w:tc>
        <w:tc>
          <w:tcPr>
            <w:tcW w:w="942" w:type="dxa"/>
          </w:tcPr>
          <w:p w14:paraId="52114B00" w14:textId="77777777" w:rsidR="009948F1" w:rsidRDefault="00BC0563">
            <w:pPr>
              <w:pStyle w:val="TableParagraph"/>
              <w:spacing w:line="137" w:lineRule="exact"/>
              <w:ind w:left="98"/>
              <w:rPr>
                <w:sz w:val="12"/>
              </w:rPr>
            </w:pPr>
            <w:r>
              <w:rPr>
                <w:color w:val="231F20"/>
                <w:w w:val="140"/>
                <w:sz w:val="12"/>
              </w:rPr>
              <w:t>34</w:t>
            </w:r>
          </w:p>
        </w:tc>
        <w:tc>
          <w:tcPr>
            <w:tcW w:w="807" w:type="dxa"/>
          </w:tcPr>
          <w:p w14:paraId="7C77311D" w14:textId="77777777" w:rsidR="009948F1" w:rsidRDefault="00BC0563">
            <w:pPr>
              <w:pStyle w:val="TableParagraph"/>
              <w:spacing w:line="137" w:lineRule="exact"/>
              <w:ind w:left="98"/>
              <w:rPr>
                <w:sz w:val="12"/>
              </w:rPr>
            </w:pPr>
            <w:r>
              <w:rPr>
                <w:color w:val="231F20"/>
                <w:w w:val="138"/>
                <w:sz w:val="12"/>
              </w:rPr>
              <w:t>0</w:t>
            </w:r>
          </w:p>
        </w:tc>
        <w:tc>
          <w:tcPr>
            <w:tcW w:w="1225" w:type="dxa"/>
          </w:tcPr>
          <w:p w14:paraId="03A417E1" w14:textId="77777777" w:rsidR="009948F1" w:rsidRDefault="00BC0563">
            <w:pPr>
              <w:pStyle w:val="TableParagraph"/>
              <w:spacing w:line="137" w:lineRule="exact"/>
              <w:ind w:left="98"/>
              <w:rPr>
                <w:sz w:val="12"/>
              </w:rPr>
            </w:pPr>
            <w:r>
              <w:rPr>
                <w:color w:val="231F20"/>
                <w:w w:val="138"/>
                <w:sz w:val="12"/>
              </w:rPr>
              <w:t>0</w:t>
            </w:r>
          </w:p>
        </w:tc>
        <w:tc>
          <w:tcPr>
            <w:tcW w:w="1112" w:type="dxa"/>
          </w:tcPr>
          <w:p w14:paraId="4934CD68" w14:textId="77777777" w:rsidR="009948F1" w:rsidRDefault="00BC0563">
            <w:pPr>
              <w:pStyle w:val="TableParagraph"/>
              <w:spacing w:line="137" w:lineRule="exact"/>
              <w:ind w:left="97"/>
              <w:rPr>
                <w:sz w:val="12"/>
              </w:rPr>
            </w:pPr>
            <w:r>
              <w:rPr>
                <w:color w:val="231F20"/>
                <w:w w:val="138"/>
                <w:sz w:val="12"/>
              </w:rPr>
              <w:t>0</w:t>
            </w:r>
          </w:p>
        </w:tc>
        <w:tc>
          <w:tcPr>
            <w:tcW w:w="1112" w:type="dxa"/>
          </w:tcPr>
          <w:p w14:paraId="09B8F13E" w14:textId="77777777" w:rsidR="009948F1" w:rsidRDefault="00BC0563">
            <w:pPr>
              <w:pStyle w:val="TableParagraph"/>
              <w:spacing w:line="137" w:lineRule="exact"/>
              <w:ind w:left="97"/>
              <w:rPr>
                <w:sz w:val="12"/>
              </w:rPr>
            </w:pPr>
            <w:r>
              <w:rPr>
                <w:color w:val="231F20"/>
                <w:w w:val="138"/>
                <w:sz w:val="12"/>
              </w:rPr>
              <w:t>0</w:t>
            </w:r>
          </w:p>
        </w:tc>
        <w:tc>
          <w:tcPr>
            <w:tcW w:w="774" w:type="dxa"/>
          </w:tcPr>
          <w:p w14:paraId="170B7E90" w14:textId="77777777" w:rsidR="009948F1" w:rsidRDefault="00BC0563">
            <w:pPr>
              <w:pStyle w:val="TableParagraph"/>
              <w:spacing w:line="137" w:lineRule="exact"/>
              <w:ind w:left="98"/>
              <w:rPr>
                <w:sz w:val="12"/>
              </w:rPr>
            </w:pPr>
            <w:r>
              <w:rPr>
                <w:color w:val="231F20"/>
                <w:w w:val="140"/>
                <w:sz w:val="12"/>
              </w:rPr>
              <w:t>34</w:t>
            </w:r>
          </w:p>
        </w:tc>
      </w:tr>
    </w:tbl>
    <w:p w14:paraId="26DB0607" w14:textId="77777777" w:rsidR="009948F1" w:rsidRDefault="00BC0563">
      <w:pPr>
        <w:spacing w:before="131"/>
        <w:ind w:left="1031"/>
        <w:rPr>
          <w:sz w:val="14"/>
        </w:rPr>
      </w:pPr>
      <w:r>
        <w:rPr>
          <w:color w:val="231F20"/>
          <w:w w:val="135"/>
          <w:sz w:val="14"/>
        </w:rPr>
        <w:t>Source: Rivers State HRH Strategic and Implementation Plan 2015-2019</w:t>
      </w:r>
    </w:p>
    <w:p w14:paraId="3B82F0F1" w14:textId="77777777" w:rsidR="009948F1" w:rsidRDefault="00BC0563">
      <w:pPr>
        <w:spacing w:before="23"/>
        <w:ind w:left="1790"/>
        <w:rPr>
          <w:b/>
          <w:sz w:val="14"/>
        </w:rPr>
      </w:pPr>
      <w:r>
        <w:rPr>
          <w:b/>
          <w:color w:val="231F20"/>
          <w:w w:val="135"/>
          <w:sz w:val="18"/>
        </w:rPr>
        <w:t>*</w:t>
      </w:r>
      <w:r>
        <w:rPr>
          <w:color w:val="231F20"/>
          <w:w w:val="135"/>
          <w:sz w:val="14"/>
        </w:rPr>
        <w:t>Deployed to various health facilities</w:t>
      </w:r>
      <w:r>
        <w:rPr>
          <w:b/>
          <w:color w:val="231F20"/>
          <w:w w:val="135"/>
          <w:sz w:val="14"/>
        </w:rPr>
        <w:t>.</w:t>
      </w:r>
    </w:p>
    <w:p w14:paraId="29622272" w14:textId="77777777" w:rsidR="009948F1" w:rsidRDefault="00BC0563">
      <w:pPr>
        <w:spacing w:before="85"/>
        <w:ind w:left="453"/>
        <w:rPr>
          <w:sz w:val="18"/>
        </w:rPr>
      </w:pPr>
      <w:r>
        <w:rPr>
          <w:color w:val="231F20"/>
          <w:w w:val="115"/>
          <w:sz w:val="18"/>
          <w:vertAlign w:val="superscript"/>
        </w:rPr>
        <w:t>13</w:t>
      </w:r>
      <w:r>
        <w:rPr>
          <w:color w:val="231F20"/>
          <w:spacing w:val="51"/>
          <w:w w:val="115"/>
          <w:sz w:val="18"/>
        </w:rPr>
        <w:t xml:space="preserve"> </w:t>
      </w:r>
      <w:r>
        <w:rPr>
          <w:color w:val="231F20"/>
          <w:w w:val="115"/>
          <w:sz w:val="18"/>
        </w:rPr>
        <w:t xml:space="preserve">Rivers State Human Resources for Health Strategic and Implementation Plan 2015-2019 </w:t>
      </w:r>
      <w:proofErr w:type="spellStart"/>
      <w:r>
        <w:rPr>
          <w:color w:val="231F20"/>
          <w:w w:val="115"/>
          <w:sz w:val="18"/>
        </w:rPr>
        <w:t>pg</w:t>
      </w:r>
      <w:proofErr w:type="spellEnd"/>
      <w:r>
        <w:rPr>
          <w:color w:val="231F20"/>
          <w:w w:val="115"/>
          <w:sz w:val="18"/>
        </w:rPr>
        <w:t xml:space="preserve"> 15</w:t>
      </w:r>
    </w:p>
    <w:p w14:paraId="34D04189" w14:textId="77777777" w:rsidR="009948F1" w:rsidRDefault="009948F1">
      <w:pPr>
        <w:rPr>
          <w:sz w:val="18"/>
        </w:rPr>
        <w:sectPr w:rsidR="009948F1">
          <w:pgSz w:w="11910" w:h="16840"/>
          <w:pgMar w:top="1420" w:right="1080" w:bottom="1420" w:left="1120" w:header="0" w:footer="1235" w:gutter="0"/>
          <w:cols w:space="720"/>
        </w:sectPr>
      </w:pPr>
    </w:p>
    <w:p w14:paraId="346F019B" w14:textId="77777777" w:rsidR="009948F1" w:rsidRDefault="00BC0563">
      <w:pPr>
        <w:pStyle w:val="Heading7"/>
        <w:numPr>
          <w:ilvl w:val="2"/>
          <w:numId w:val="321"/>
        </w:numPr>
        <w:tabs>
          <w:tab w:val="left" w:pos="874"/>
        </w:tabs>
        <w:spacing w:before="39"/>
        <w:ind w:left="873" w:hanging="721"/>
        <w:jc w:val="both"/>
      </w:pPr>
      <w:bookmarkStart w:id="35" w:name="Page_26"/>
      <w:bookmarkEnd w:id="35"/>
      <w:r>
        <w:rPr>
          <w:color w:val="231F20"/>
        </w:rPr>
        <w:lastRenderedPageBreak/>
        <w:t>Financing for</w:t>
      </w:r>
      <w:r>
        <w:rPr>
          <w:color w:val="231F20"/>
          <w:spacing w:val="-50"/>
        </w:rPr>
        <w:t xml:space="preserve"> </w:t>
      </w:r>
      <w:r>
        <w:rPr>
          <w:color w:val="231F20"/>
        </w:rPr>
        <w:t>Health</w:t>
      </w:r>
    </w:p>
    <w:p w14:paraId="219D732C" w14:textId="77777777" w:rsidR="009948F1" w:rsidRDefault="00BC0563">
      <w:pPr>
        <w:pStyle w:val="BodyText"/>
        <w:spacing w:before="58" w:line="295" w:lineRule="auto"/>
        <w:ind w:left="153" w:right="186"/>
        <w:jc w:val="both"/>
      </w:pPr>
      <w:r>
        <w:rPr>
          <w:color w:val="231F20"/>
        </w:rPr>
        <w:t>Health insurance is a key form of sustainable healthcare financing, to ensure that Rivers people have access to needed quality of health services without the risk of financial ruin linked to</w:t>
      </w:r>
      <w:r>
        <w:rPr>
          <w:color w:val="231F20"/>
          <w:spacing w:val="-33"/>
        </w:rPr>
        <w:t xml:space="preserve"> </w:t>
      </w:r>
      <w:r>
        <w:rPr>
          <w:color w:val="231F20"/>
        </w:rPr>
        <w:t>out-of- pocket</w:t>
      </w:r>
      <w:r>
        <w:rPr>
          <w:color w:val="231F20"/>
          <w:spacing w:val="-25"/>
        </w:rPr>
        <w:t xml:space="preserve"> </w:t>
      </w:r>
      <w:r>
        <w:rPr>
          <w:color w:val="231F20"/>
        </w:rPr>
        <w:t>payment</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services.</w:t>
      </w:r>
    </w:p>
    <w:p w14:paraId="30582CFC" w14:textId="77777777" w:rsidR="009948F1" w:rsidRDefault="009948F1">
      <w:pPr>
        <w:pStyle w:val="BodyText"/>
        <w:spacing w:before="2"/>
        <w:rPr>
          <w:sz w:val="27"/>
        </w:rPr>
      </w:pPr>
    </w:p>
    <w:p w14:paraId="41C29CC2" w14:textId="77777777" w:rsidR="009948F1" w:rsidRDefault="00BC0563">
      <w:pPr>
        <w:pStyle w:val="BodyText"/>
        <w:spacing w:line="295" w:lineRule="auto"/>
        <w:ind w:left="153" w:right="187"/>
        <w:jc w:val="both"/>
      </w:pPr>
      <w:r>
        <w:rPr>
          <w:color w:val="231F20"/>
        </w:rPr>
        <w:t>The Rivers State Government, through the Ministry of Health, and in collaboration with USAID- Health Finance and Governance (USAID-HFG) Project, has commenced a robust process of reforming</w:t>
      </w:r>
      <w:r>
        <w:rPr>
          <w:color w:val="231F20"/>
          <w:spacing w:val="-24"/>
        </w:rPr>
        <w:t xml:space="preserve"> </w:t>
      </w:r>
      <w:r>
        <w:rPr>
          <w:color w:val="231F20"/>
        </w:rPr>
        <w:t>the</w:t>
      </w:r>
      <w:r>
        <w:rPr>
          <w:color w:val="231F20"/>
          <w:spacing w:val="-23"/>
        </w:rPr>
        <w:t xml:space="preserve"> </w:t>
      </w:r>
      <w:r>
        <w:rPr>
          <w:color w:val="231F20"/>
        </w:rPr>
        <w:t>State's</w:t>
      </w:r>
      <w:r>
        <w:rPr>
          <w:color w:val="231F20"/>
          <w:spacing w:val="-23"/>
        </w:rPr>
        <w:t xml:space="preserve"> </w:t>
      </w:r>
      <w:r>
        <w:rPr>
          <w:color w:val="231F20"/>
        </w:rPr>
        <w:t>healthcare</w:t>
      </w:r>
      <w:r>
        <w:rPr>
          <w:color w:val="231F20"/>
          <w:spacing w:val="-23"/>
        </w:rPr>
        <w:t xml:space="preserve"> </w:t>
      </w:r>
      <w:r>
        <w:rPr>
          <w:color w:val="231F20"/>
        </w:rPr>
        <w:t>financing</w:t>
      </w:r>
      <w:r>
        <w:rPr>
          <w:color w:val="231F20"/>
          <w:spacing w:val="-23"/>
        </w:rPr>
        <w:t xml:space="preserve"> </w:t>
      </w:r>
      <w:r>
        <w:rPr>
          <w:color w:val="231F20"/>
        </w:rPr>
        <w:t>landscape</w:t>
      </w:r>
      <w:r>
        <w:rPr>
          <w:color w:val="231F20"/>
          <w:spacing w:val="-23"/>
        </w:rPr>
        <w:t xml:space="preserve"> </w:t>
      </w:r>
      <w:r>
        <w:rPr>
          <w:color w:val="231F20"/>
        </w:rPr>
        <w:t>by</w:t>
      </w:r>
      <w:r>
        <w:rPr>
          <w:color w:val="231F20"/>
          <w:spacing w:val="-23"/>
        </w:rPr>
        <w:t xml:space="preserve"> </w:t>
      </w:r>
      <w:r>
        <w:rPr>
          <w:color w:val="231F20"/>
        </w:rPr>
        <w:t>moving</w:t>
      </w:r>
      <w:r>
        <w:rPr>
          <w:color w:val="231F20"/>
          <w:spacing w:val="-23"/>
        </w:rPr>
        <w:t xml:space="preserve"> </w:t>
      </w:r>
      <w:r>
        <w:rPr>
          <w:color w:val="231F20"/>
        </w:rPr>
        <w:t>away</w:t>
      </w:r>
      <w:r>
        <w:rPr>
          <w:color w:val="231F20"/>
          <w:spacing w:val="-23"/>
        </w:rPr>
        <w:t xml:space="preserve"> </w:t>
      </w:r>
      <w:r>
        <w:rPr>
          <w:color w:val="231F20"/>
        </w:rPr>
        <w:t>from</w:t>
      </w:r>
      <w:r>
        <w:rPr>
          <w:color w:val="231F20"/>
          <w:spacing w:val="-24"/>
        </w:rPr>
        <w:t xml:space="preserve"> </w:t>
      </w:r>
      <w:r>
        <w:rPr>
          <w:color w:val="231F20"/>
        </w:rPr>
        <w:t>the</w:t>
      </w:r>
      <w:r>
        <w:rPr>
          <w:color w:val="231F20"/>
          <w:spacing w:val="-23"/>
        </w:rPr>
        <w:t xml:space="preserve"> </w:t>
      </w:r>
      <w:r>
        <w:rPr>
          <w:color w:val="231F20"/>
        </w:rPr>
        <w:t>unsustainable</w:t>
      </w:r>
      <w:r>
        <w:rPr>
          <w:color w:val="231F20"/>
          <w:spacing w:val="-22"/>
        </w:rPr>
        <w:t xml:space="preserve"> </w:t>
      </w:r>
      <w:r>
        <w:rPr>
          <w:color w:val="231F20"/>
        </w:rPr>
        <w:t xml:space="preserve">“Free Medical Care </w:t>
      </w:r>
      <w:proofErr w:type="spellStart"/>
      <w:r>
        <w:rPr>
          <w:color w:val="231F20"/>
        </w:rPr>
        <w:t>Programme</w:t>
      </w:r>
      <w:proofErr w:type="spellEnd"/>
      <w:r>
        <w:rPr>
          <w:color w:val="231F20"/>
        </w:rPr>
        <w:t xml:space="preserve"> (FMCP) towards a new era of sustainable “contributory” healthcare financing </w:t>
      </w:r>
      <w:proofErr w:type="spellStart"/>
      <w:r>
        <w:rPr>
          <w:color w:val="231F20"/>
        </w:rPr>
        <w:t>programme</w:t>
      </w:r>
      <w:proofErr w:type="spellEnd"/>
      <w:r>
        <w:rPr>
          <w:color w:val="231F20"/>
        </w:rPr>
        <w:t xml:space="preserve"> through the proposed establishment of a Rivers State Contributory Health Protection </w:t>
      </w:r>
      <w:proofErr w:type="spellStart"/>
      <w:r>
        <w:rPr>
          <w:color w:val="231F20"/>
        </w:rPr>
        <w:t>Programme</w:t>
      </w:r>
      <w:proofErr w:type="spellEnd"/>
      <w:r>
        <w:rPr>
          <w:color w:val="231F20"/>
        </w:rPr>
        <w:t xml:space="preserve"> (RIVCHPP) for the attainment of Universal Health Coverage </w:t>
      </w:r>
      <w:r>
        <w:rPr>
          <w:color w:val="231F20"/>
          <w:spacing w:val="-3"/>
        </w:rPr>
        <w:t xml:space="preserve">(UHC), </w:t>
      </w:r>
      <w:r>
        <w:rPr>
          <w:color w:val="231F20"/>
        </w:rPr>
        <w:t>healthier</w:t>
      </w:r>
      <w:r>
        <w:rPr>
          <w:color w:val="231F20"/>
          <w:spacing w:val="-25"/>
        </w:rPr>
        <w:t xml:space="preserve"> </w:t>
      </w:r>
      <w:r>
        <w:rPr>
          <w:color w:val="231F20"/>
        </w:rPr>
        <w:t>citizenry</w:t>
      </w:r>
      <w:r>
        <w:rPr>
          <w:color w:val="231F20"/>
          <w:spacing w:val="-26"/>
        </w:rPr>
        <w:t xml:space="preserve"> </w:t>
      </w:r>
      <w:r>
        <w:rPr>
          <w:color w:val="231F20"/>
        </w:rPr>
        <w:t>and</w:t>
      </w:r>
      <w:r>
        <w:rPr>
          <w:color w:val="231F20"/>
          <w:spacing w:val="-25"/>
        </w:rPr>
        <w:t xml:space="preserve"> </w:t>
      </w:r>
      <w:r>
        <w:rPr>
          <w:color w:val="231F20"/>
        </w:rPr>
        <w:t>improved</w:t>
      </w:r>
      <w:r>
        <w:rPr>
          <w:color w:val="231F20"/>
          <w:spacing w:val="-25"/>
        </w:rPr>
        <w:t xml:space="preserve"> </w:t>
      </w:r>
      <w:r>
        <w:rPr>
          <w:color w:val="231F20"/>
        </w:rPr>
        <w:t>social</w:t>
      </w:r>
      <w:r>
        <w:rPr>
          <w:color w:val="231F20"/>
          <w:spacing w:val="-25"/>
        </w:rPr>
        <w:t xml:space="preserve"> </w:t>
      </w:r>
      <w:r>
        <w:rPr>
          <w:color w:val="231F20"/>
        </w:rPr>
        <w:t>development.</w:t>
      </w:r>
    </w:p>
    <w:p w14:paraId="620496D1" w14:textId="77777777" w:rsidR="009948F1" w:rsidRDefault="009948F1">
      <w:pPr>
        <w:pStyle w:val="BodyText"/>
        <w:spacing w:before="4"/>
        <w:rPr>
          <w:sz w:val="27"/>
        </w:rPr>
      </w:pPr>
    </w:p>
    <w:p w14:paraId="651AAFAF" w14:textId="77777777" w:rsidR="009948F1" w:rsidRDefault="00BC0563">
      <w:pPr>
        <w:pStyle w:val="BodyText"/>
        <w:spacing w:line="295" w:lineRule="auto"/>
        <w:ind w:left="153" w:right="186"/>
        <w:jc w:val="both"/>
      </w:pPr>
      <w:r>
        <w:rPr>
          <w:color w:val="231F20"/>
        </w:rPr>
        <w:t>The FMCP which was established on May 5, 2000 to provide Free Medical Care for children</w:t>
      </w:r>
      <w:r>
        <w:rPr>
          <w:color w:val="231F20"/>
          <w:spacing w:val="-29"/>
        </w:rPr>
        <w:t xml:space="preserve"> </w:t>
      </w:r>
      <w:r>
        <w:rPr>
          <w:color w:val="231F20"/>
          <w:spacing w:val="-4"/>
        </w:rPr>
        <w:t xml:space="preserve">less </w:t>
      </w:r>
      <w:r>
        <w:rPr>
          <w:color w:val="231F20"/>
        </w:rPr>
        <w:t>than</w:t>
      </w:r>
      <w:r>
        <w:rPr>
          <w:color w:val="231F20"/>
          <w:spacing w:val="-10"/>
        </w:rPr>
        <w:t xml:space="preserve"> </w:t>
      </w:r>
      <w:r>
        <w:rPr>
          <w:color w:val="231F20"/>
        </w:rPr>
        <w:t>6</w:t>
      </w:r>
      <w:r>
        <w:rPr>
          <w:color w:val="231F20"/>
          <w:spacing w:val="-9"/>
        </w:rPr>
        <w:t xml:space="preserve"> </w:t>
      </w:r>
      <w:r>
        <w:rPr>
          <w:color w:val="231F20"/>
        </w:rPr>
        <w:t>years</w:t>
      </w:r>
      <w:r>
        <w:rPr>
          <w:color w:val="231F20"/>
          <w:spacing w:val="-9"/>
        </w:rPr>
        <w:t xml:space="preserve"> </w:t>
      </w:r>
      <w:r>
        <w:rPr>
          <w:color w:val="231F20"/>
        </w:rPr>
        <w:t>and</w:t>
      </w:r>
      <w:r>
        <w:rPr>
          <w:color w:val="231F20"/>
          <w:spacing w:val="-9"/>
        </w:rPr>
        <w:t xml:space="preserve"> </w:t>
      </w:r>
      <w:r>
        <w:rPr>
          <w:color w:val="231F20"/>
        </w:rPr>
        <w:t>adults</w:t>
      </w:r>
      <w:r>
        <w:rPr>
          <w:color w:val="231F20"/>
          <w:spacing w:val="-9"/>
        </w:rPr>
        <w:t xml:space="preserve"> </w:t>
      </w:r>
      <w:r>
        <w:rPr>
          <w:color w:val="231F20"/>
        </w:rPr>
        <w:t>above</w:t>
      </w:r>
      <w:r>
        <w:rPr>
          <w:color w:val="231F20"/>
          <w:spacing w:val="-9"/>
        </w:rPr>
        <w:t xml:space="preserve"> </w:t>
      </w:r>
      <w:r>
        <w:rPr>
          <w:color w:val="231F20"/>
        </w:rPr>
        <w:t>60</w:t>
      </w:r>
      <w:r>
        <w:rPr>
          <w:color w:val="231F20"/>
          <w:spacing w:val="-9"/>
        </w:rPr>
        <w:t xml:space="preserve"> </w:t>
      </w:r>
      <w:r>
        <w:rPr>
          <w:color w:val="231F20"/>
        </w:rPr>
        <w:t>years</w:t>
      </w:r>
      <w:r>
        <w:rPr>
          <w:color w:val="231F20"/>
          <w:spacing w:val="-9"/>
        </w:rPr>
        <w:t xml:space="preserve"> </w:t>
      </w:r>
      <w:r>
        <w:rPr>
          <w:color w:val="231F20"/>
        </w:rPr>
        <w:t>of</w:t>
      </w:r>
      <w:r>
        <w:rPr>
          <w:color w:val="231F20"/>
          <w:spacing w:val="-9"/>
        </w:rPr>
        <w:t xml:space="preserve"> </w:t>
      </w:r>
      <w:r>
        <w:rPr>
          <w:color w:val="231F20"/>
        </w:rPr>
        <w:t>age</w:t>
      </w:r>
      <w:r>
        <w:rPr>
          <w:color w:val="231F20"/>
          <w:spacing w:val="-9"/>
        </w:rPr>
        <w:t xml:space="preserve"> </w:t>
      </w:r>
      <w:r>
        <w:rPr>
          <w:color w:val="231F20"/>
        </w:rPr>
        <w:t>in</w:t>
      </w:r>
      <w:r>
        <w:rPr>
          <w:color w:val="231F20"/>
          <w:spacing w:val="-9"/>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State</w:t>
      </w:r>
      <w:r>
        <w:rPr>
          <w:color w:val="231F20"/>
          <w:spacing w:val="-10"/>
        </w:rPr>
        <w:t xml:space="preserve"> </w:t>
      </w:r>
      <w:r>
        <w:rPr>
          <w:color w:val="231F20"/>
        </w:rPr>
        <w:t>government</w:t>
      </w:r>
      <w:r>
        <w:rPr>
          <w:color w:val="231F20"/>
          <w:spacing w:val="-9"/>
        </w:rPr>
        <w:t xml:space="preserve"> </w:t>
      </w:r>
      <w:r>
        <w:rPr>
          <w:color w:val="231F20"/>
        </w:rPr>
        <w:t>hospitals</w:t>
      </w:r>
      <w:r>
        <w:rPr>
          <w:color w:val="231F20"/>
          <w:spacing w:val="-9"/>
        </w:rPr>
        <w:t xml:space="preserve"> </w:t>
      </w:r>
      <w:r>
        <w:rPr>
          <w:color w:val="231F20"/>
        </w:rPr>
        <w:t>across</w:t>
      </w:r>
      <w:r>
        <w:rPr>
          <w:color w:val="231F20"/>
          <w:spacing w:val="-9"/>
        </w:rPr>
        <w:t xml:space="preserve"> </w:t>
      </w:r>
      <w:r>
        <w:rPr>
          <w:color w:val="231F20"/>
        </w:rPr>
        <w:t>the</w:t>
      </w:r>
      <w:r>
        <w:rPr>
          <w:color w:val="231F20"/>
          <w:spacing w:val="-9"/>
        </w:rPr>
        <w:t xml:space="preserve"> </w:t>
      </w:r>
      <w:r>
        <w:rPr>
          <w:color w:val="231F20"/>
        </w:rPr>
        <w:t>23 local</w:t>
      </w:r>
      <w:r>
        <w:rPr>
          <w:color w:val="231F20"/>
          <w:spacing w:val="-21"/>
        </w:rPr>
        <w:t xml:space="preserve"> </w:t>
      </w:r>
      <w:r>
        <w:rPr>
          <w:color w:val="231F20"/>
        </w:rPr>
        <w:t>government</w:t>
      </w:r>
      <w:r>
        <w:rPr>
          <w:color w:val="231F20"/>
          <w:spacing w:val="-20"/>
        </w:rPr>
        <w:t xml:space="preserve"> </w:t>
      </w:r>
      <w:r>
        <w:rPr>
          <w:color w:val="231F20"/>
        </w:rPr>
        <w:t>areas</w:t>
      </w:r>
      <w:r>
        <w:rPr>
          <w:color w:val="231F20"/>
          <w:spacing w:val="-20"/>
        </w:rPr>
        <w:t xml:space="preserve"> </w:t>
      </w:r>
      <w:r>
        <w:rPr>
          <w:color w:val="231F20"/>
        </w:rPr>
        <w:t>and</w:t>
      </w:r>
      <w:r>
        <w:rPr>
          <w:color w:val="231F20"/>
          <w:spacing w:val="-20"/>
        </w:rPr>
        <w:t xml:space="preserve"> </w:t>
      </w:r>
      <w:r>
        <w:rPr>
          <w:color w:val="231F20"/>
        </w:rPr>
        <w:t>later</w:t>
      </w:r>
      <w:r>
        <w:rPr>
          <w:color w:val="231F20"/>
          <w:spacing w:val="-20"/>
        </w:rPr>
        <w:t xml:space="preserve"> </w:t>
      </w:r>
      <w:r>
        <w:rPr>
          <w:color w:val="231F20"/>
        </w:rPr>
        <w:t>extended</w:t>
      </w:r>
      <w:r>
        <w:rPr>
          <w:color w:val="231F20"/>
          <w:spacing w:val="-20"/>
        </w:rPr>
        <w:t xml:space="preserve"> </w:t>
      </w:r>
      <w:r>
        <w:rPr>
          <w:color w:val="231F20"/>
        </w:rPr>
        <w:t>to</w:t>
      </w:r>
      <w:r>
        <w:rPr>
          <w:color w:val="231F20"/>
          <w:spacing w:val="-20"/>
        </w:rPr>
        <w:t xml:space="preserve"> </w:t>
      </w:r>
      <w:r>
        <w:rPr>
          <w:color w:val="231F20"/>
        </w:rPr>
        <w:t>all</w:t>
      </w:r>
      <w:r>
        <w:rPr>
          <w:color w:val="231F20"/>
          <w:spacing w:val="-20"/>
        </w:rPr>
        <w:t xml:space="preserve"> </w:t>
      </w:r>
      <w:r>
        <w:rPr>
          <w:color w:val="231F20"/>
        </w:rPr>
        <w:t>citizens</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State</w:t>
      </w:r>
      <w:r>
        <w:rPr>
          <w:color w:val="231F20"/>
          <w:spacing w:val="-20"/>
        </w:rPr>
        <w:t xml:space="preserve"> </w:t>
      </w:r>
      <w:r>
        <w:rPr>
          <w:color w:val="231F20"/>
        </w:rPr>
        <w:t>but</w:t>
      </w:r>
      <w:r>
        <w:rPr>
          <w:color w:val="231F20"/>
          <w:spacing w:val="-20"/>
        </w:rPr>
        <w:t xml:space="preserve"> </w:t>
      </w:r>
      <w:r>
        <w:rPr>
          <w:color w:val="231F20"/>
        </w:rPr>
        <w:t>it</w:t>
      </w:r>
      <w:r>
        <w:rPr>
          <w:color w:val="231F20"/>
          <w:spacing w:val="-21"/>
        </w:rPr>
        <w:t xml:space="preserve"> </w:t>
      </w:r>
      <w:r>
        <w:rPr>
          <w:color w:val="231F20"/>
        </w:rPr>
        <w:t>was</w:t>
      </w:r>
      <w:r>
        <w:rPr>
          <w:color w:val="231F20"/>
          <w:spacing w:val="-20"/>
        </w:rPr>
        <w:t xml:space="preserve"> </w:t>
      </w:r>
      <w:r>
        <w:rPr>
          <w:color w:val="231F20"/>
        </w:rPr>
        <w:t>not</w:t>
      </w:r>
      <w:r>
        <w:rPr>
          <w:color w:val="231F20"/>
          <w:spacing w:val="-20"/>
        </w:rPr>
        <w:t xml:space="preserve"> </w:t>
      </w:r>
      <w:r>
        <w:rPr>
          <w:color w:val="231F20"/>
        </w:rPr>
        <w:t>sustainable.</w:t>
      </w:r>
      <w:r>
        <w:rPr>
          <w:color w:val="231F20"/>
          <w:spacing w:val="-24"/>
        </w:rPr>
        <w:t xml:space="preserve"> </w:t>
      </w:r>
      <w:r>
        <w:rPr>
          <w:color w:val="231F20"/>
        </w:rPr>
        <w:t>The Draft bill for Rivers State Contributory Health Protection program (RIVCHPP) has been sent to Rivers State Executive Council. Health financing Core diagnostics carried out to generate evidence.</w:t>
      </w:r>
      <w:r>
        <w:rPr>
          <w:color w:val="231F20"/>
          <w:spacing w:val="-21"/>
        </w:rPr>
        <w:t xml:space="preserve"> </w:t>
      </w:r>
      <w:r>
        <w:rPr>
          <w:color w:val="231F20"/>
        </w:rPr>
        <w:t>Activities</w:t>
      </w:r>
      <w:r>
        <w:rPr>
          <w:color w:val="231F20"/>
          <w:spacing w:val="-9"/>
        </w:rPr>
        <w:t xml:space="preserve"> </w:t>
      </w:r>
      <w:r>
        <w:rPr>
          <w:color w:val="231F20"/>
        </w:rPr>
        <w:t>to</w:t>
      </w:r>
      <w:r>
        <w:rPr>
          <w:color w:val="231F20"/>
          <w:spacing w:val="-8"/>
        </w:rPr>
        <w:t xml:space="preserve"> </w:t>
      </w:r>
      <w:r>
        <w:rPr>
          <w:color w:val="231F20"/>
        </w:rPr>
        <w:t>strengthen</w:t>
      </w:r>
      <w:r>
        <w:rPr>
          <w:color w:val="231F20"/>
          <w:spacing w:val="-9"/>
        </w:rPr>
        <w:t xml:space="preserve"> </w:t>
      </w:r>
      <w:r>
        <w:rPr>
          <w:color w:val="231F20"/>
        </w:rPr>
        <w:t>institutional</w:t>
      </w:r>
      <w:r>
        <w:rPr>
          <w:color w:val="231F20"/>
          <w:spacing w:val="-8"/>
        </w:rPr>
        <w:t xml:space="preserve"> </w:t>
      </w:r>
      <w:r>
        <w:rPr>
          <w:color w:val="231F20"/>
        </w:rPr>
        <w:t>and</w:t>
      </w:r>
      <w:r>
        <w:rPr>
          <w:color w:val="231F20"/>
          <w:spacing w:val="-8"/>
        </w:rPr>
        <w:t xml:space="preserve"> </w:t>
      </w:r>
      <w:r>
        <w:rPr>
          <w:color w:val="231F20"/>
        </w:rPr>
        <w:t>legislative</w:t>
      </w:r>
      <w:r>
        <w:rPr>
          <w:color w:val="231F20"/>
          <w:spacing w:val="-8"/>
        </w:rPr>
        <w:t xml:space="preserve"> </w:t>
      </w:r>
      <w:r>
        <w:rPr>
          <w:color w:val="231F20"/>
        </w:rPr>
        <w:t>RIVCHPP</w:t>
      </w:r>
      <w:r>
        <w:rPr>
          <w:color w:val="231F20"/>
          <w:spacing w:val="-13"/>
        </w:rPr>
        <w:t xml:space="preserve"> </w:t>
      </w:r>
      <w:r>
        <w:rPr>
          <w:color w:val="231F20"/>
        </w:rPr>
        <w:t>framework/capacities</w:t>
      </w:r>
      <w:r>
        <w:rPr>
          <w:color w:val="231F20"/>
          <w:spacing w:val="-7"/>
        </w:rPr>
        <w:t xml:space="preserve"> </w:t>
      </w:r>
      <w:r>
        <w:rPr>
          <w:color w:val="231F20"/>
          <w:spacing w:val="-3"/>
        </w:rPr>
        <w:t xml:space="preserve">like. </w:t>
      </w:r>
      <w:r>
        <w:rPr>
          <w:color w:val="231F20"/>
        </w:rPr>
        <w:t>Stakeholders' engagement, sensitization and enlightenment, process of developing Basic minimum</w:t>
      </w:r>
      <w:r>
        <w:rPr>
          <w:color w:val="231F20"/>
          <w:spacing w:val="-26"/>
        </w:rPr>
        <w:t xml:space="preserve"> </w:t>
      </w:r>
      <w:r>
        <w:rPr>
          <w:color w:val="231F20"/>
        </w:rPr>
        <w:t>healthcare</w:t>
      </w:r>
      <w:r>
        <w:rPr>
          <w:color w:val="231F20"/>
          <w:spacing w:val="-25"/>
        </w:rPr>
        <w:t xml:space="preserve"> </w:t>
      </w:r>
      <w:r>
        <w:rPr>
          <w:color w:val="231F20"/>
        </w:rPr>
        <w:t>package</w:t>
      </w:r>
      <w:r>
        <w:rPr>
          <w:color w:val="231F20"/>
          <w:spacing w:val="-25"/>
        </w:rPr>
        <w:t xml:space="preserve"> </w:t>
      </w:r>
      <w:r>
        <w:rPr>
          <w:color w:val="231F20"/>
        </w:rPr>
        <w:t>and</w:t>
      </w:r>
      <w:r>
        <w:rPr>
          <w:color w:val="231F20"/>
          <w:spacing w:val="-25"/>
        </w:rPr>
        <w:t xml:space="preserve"> </w:t>
      </w:r>
      <w:r>
        <w:rPr>
          <w:color w:val="231F20"/>
        </w:rPr>
        <w:t>actuarial</w:t>
      </w:r>
      <w:r>
        <w:rPr>
          <w:color w:val="231F20"/>
          <w:spacing w:val="-25"/>
        </w:rPr>
        <w:t xml:space="preserve"> </w:t>
      </w:r>
      <w:r>
        <w:rPr>
          <w:color w:val="231F20"/>
        </w:rPr>
        <w:t>studies</w:t>
      </w:r>
      <w:r>
        <w:rPr>
          <w:color w:val="231F20"/>
          <w:spacing w:val="-25"/>
        </w:rPr>
        <w:t xml:space="preserve"> </w:t>
      </w:r>
      <w:r>
        <w:rPr>
          <w:color w:val="231F20"/>
        </w:rPr>
        <w:t>are</w:t>
      </w:r>
      <w:r>
        <w:rPr>
          <w:color w:val="231F20"/>
          <w:spacing w:val="-25"/>
        </w:rPr>
        <w:t xml:space="preserve"> </w:t>
      </w:r>
      <w:r>
        <w:rPr>
          <w:color w:val="231F20"/>
        </w:rPr>
        <w:t>on-going.</w:t>
      </w:r>
    </w:p>
    <w:p w14:paraId="4BD2ABA8" w14:textId="77777777" w:rsidR="009948F1" w:rsidRDefault="009948F1">
      <w:pPr>
        <w:pStyle w:val="BodyText"/>
        <w:spacing w:before="8"/>
        <w:rPr>
          <w:sz w:val="27"/>
        </w:rPr>
      </w:pPr>
    </w:p>
    <w:p w14:paraId="6C103920" w14:textId="77777777" w:rsidR="009948F1" w:rsidRDefault="00BC0563">
      <w:pPr>
        <w:ind w:left="153"/>
        <w:jc w:val="both"/>
        <w:rPr>
          <w:b/>
          <w:sz w:val="20"/>
        </w:rPr>
      </w:pPr>
      <w:r>
        <w:rPr>
          <w:b/>
          <w:color w:val="231F20"/>
          <w:sz w:val="20"/>
        </w:rPr>
        <w:t>Table 4: Health Financing Indicators in Rivers State</w:t>
      </w:r>
    </w:p>
    <w:p w14:paraId="456C6C72" w14:textId="77777777" w:rsidR="009948F1" w:rsidRDefault="009948F1">
      <w:pPr>
        <w:pStyle w:val="BodyText"/>
        <w:rPr>
          <w:b/>
          <w:sz w:val="17"/>
        </w:rPr>
      </w:pPr>
    </w:p>
    <w:tbl>
      <w:tblPr>
        <w:tblW w:w="0" w:type="auto"/>
        <w:tblInd w:w="192" w:type="dxa"/>
        <w:tblBorders>
          <w:top w:val="single" w:sz="4" w:space="0" w:color="C7C8CA"/>
          <w:left w:val="single" w:sz="4" w:space="0" w:color="C7C8CA"/>
          <w:bottom w:val="single" w:sz="4" w:space="0" w:color="C7C8CA"/>
          <w:right w:val="single" w:sz="4" w:space="0" w:color="C7C8CA"/>
          <w:insideH w:val="single" w:sz="4" w:space="0" w:color="C7C8CA"/>
          <w:insideV w:val="single" w:sz="4" w:space="0" w:color="C7C8CA"/>
        </w:tblBorders>
        <w:tblLayout w:type="fixed"/>
        <w:tblCellMar>
          <w:left w:w="0" w:type="dxa"/>
          <w:right w:w="0" w:type="dxa"/>
        </w:tblCellMar>
        <w:tblLook w:val="01E0" w:firstRow="1" w:lastRow="1" w:firstColumn="1" w:lastColumn="1" w:noHBand="0" w:noVBand="0"/>
      </w:tblPr>
      <w:tblGrid>
        <w:gridCol w:w="3148"/>
        <w:gridCol w:w="6100"/>
      </w:tblGrid>
      <w:tr w:rsidR="009948F1" w14:paraId="0A8094F1" w14:textId="77777777">
        <w:trPr>
          <w:trHeight w:val="477"/>
        </w:trPr>
        <w:tc>
          <w:tcPr>
            <w:tcW w:w="9248" w:type="dxa"/>
            <w:gridSpan w:val="2"/>
            <w:shd w:val="clear" w:color="auto" w:fill="F1F2F2"/>
          </w:tcPr>
          <w:p w14:paraId="6B8939F0" w14:textId="77777777" w:rsidR="009948F1" w:rsidRDefault="00BC0563">
            <w:pPr>
              <w:pStyle w:val="TableParagraph"/>
              <w:spacing w:line="201" w:lineRule="exact"/>
              <w:ind w:left="107"/>
              <w:rPr>
                <w:b/>
                <w:sz w:val="18"/>
              </w:rPr>
            </w:pPr>
            <w:r>
              <w:rPr>
                <w:b/>
                <w:color w:val="231F20"/>
                <w:sz w:val="18"/>
              </w:rPr>
              <w:t>Health financing and universal coverage indicators</w:t>
            </w:r>
          </w:p>
        </w:tc>
      </w:tr>
      <w:tr w:rsidR="009948F1" w14:paraId="2C097DDF" w14:textId="77777777">
        <w:trPr>
          <w:trHeight w:val="530"/>
        </w:trPr>
        <w:tc>
          <w:tcPr>
            <w:tcW w:w="3148" w:type="dxa"/>
            <w:shd w:val="clear" w:color="auto" w:fill="F1F2F2"/>
          </w:tcPr>
          <w:p w14:paraId="01DE92A2" w14:textId="77777777" w:rsidR="009948F1" w:rsidRDefault="00BC0563">
            <w:pPr>
              <w:pStyle w:val="TableParagraph"/>
              <w:spacing w:line="276" w:lineRule="auto"/>
              <w:ind w:left="107"/>
              <w:rPr>
                <w:b/>
                <w:sz w:val="18"/>
              </w:rPr>
            </w:pPr>
            <w:r>
              <w:rPr>
                <w:b/>
                <w:color w:val="231F20"/>
                <w:sz w:val="18"/>
              </w:rPr>
              <w:t>Percentage of GDP devoted to healthcare</w:t>
            </w:r>
          </w:p>
        </w:tc>
        <w:tc>
          <w:tcPr>
            <w:tcW w:w="6100" w:type="dxa"/>
          </w:tcPr>
          <w:p w14:paraId="52AC035A" w14:textId="77777777" w:rsidR="009948F1" w:rsidRDefault="00BC0563">
            <w:pPr>
              <w:pStyle w:val="TableParagraph"/>
              <w:spacing w:line="276" w:lineRule="auto"/>
              <w:ind w:left="120" w:right="87"/>
              <w:rPr>
                <w:sz w:val="18"/>
              </w:rPr>
            </w:pPr>
            <w:r>
              <w:rPr>
                <w:color w:val="231F20"/>
                <w:sz w:val="18"/>
              </w:rPr>
              <w:t>Less than 2.5%of GDP instead of the WHO benchmark of at least 4%- 5%;</w:t>
            </w:r>
          </w:p>
        </w:tc>
      </w:tr>
      <w:tr w:rsidR="009948F1" w14:paraId="5147AFEA" w14:textId="77777777">
        <w:trPr>
          <w:trHeight w:val="530"/>
        </w:trPr>
        <w:tc>
          <w:tcPr>
            <w:tcW w:w="3148" w:type="dxa"/>
            <w:shd w:val="clear" w:color="auto" w:fill="F1F2F2"/>
          </w:tcPr>
          <w:p w14:paraId="032EAD41" w14:textId="77777777" w:rsidR="009948F1" w:rsidRDefault="00BC0563">
            <w:pPr>
              <w:pStyle w:val="TableParagraph"/>
              <w:spacing w:line="201" w:lineRule="exact"/>
              <w:ind w:left="107"/>
              <w:rPr>
                <w:b/>
                <w:sz w:val="18"/>
              </w:rPr>
            </w:pPr>
            <w:r>
              <w:rPr>
                <w:b/>
                <w:color w:val="231F20"/>
                <w:sz w:val="18"/>
              </w:rPr>
              <w:t>Out-of-pocket spending</w:t>
            </w:r>
          </w:p>
        </w:tc>
        <w:tc>
          <w:tcPr>
            <w:tcW w:w="6100" w:type="dxa"/>
            <w:shd w:val="clear" w:color="auto" w:fill="F1F2F2"/>
          </w:tcPr>
          <w:p w14:paraId="30B956E7" w14:textId="77777777" w:rsidR="009948F1" w:rsidRDefault="00BC0563">
            <w:pPr>
              <w:pStyle w:val="TableParagraph"/>
              <w:spacing w:line="276" w:lineRule="auto"/>
              <w:ind w:left="120" w:right="87"/>
              <w:rPr>
                <w:sz w:val="18"/>
              </w:rPr>
            </w:pPr>
            <w:r>
              <w:rPr>
                <w:color w:val="231F20"/>
                <w:sz w:val="18"/>
              </w:rPr>
              <w:t>More than94.6% of total health expenditure instead of the WHO recommended 30-40%;</w:t>
            </w:r>
          </w:p>
        </w:tc>
      </w:tr>
      <w:tr w:rsidR="009948F1" w14:paraId="16A9E503" w14:textId="77777777">
        <w:trPr>
          <w:trHeight w:val="808"/>
        </w:trPr>
        <w:tc>
          <w:tcPr>
            <w:tcW w:w="3148" w:type="dxa"/>
            <w:shd w:val="clear" w:color="auto" w:fill="F1F2F2"/>
          </w:tcPr>
          <w:p w14:paraId="4634863D" w14:textId="77777777" w:rsidR="009948F1" w:rsidRDefault="00BC0563">
            <w:pPr>
              <w:pStyle w:val="TableParagraph"/>
              <w:spacing w:line="204" w:lineRule="exact"/>
              <w:ind w:left="107"/>
              <w:rPr>
                <w:b/>
                <w:sz w:val="18"/>
              </w:rPr>
            </w:pPr>
            <w:r>
              <w:rPr>
                <w:b/>
                <w:color w:val="231F20"/>
                <w:sz w:val="18"/>
              </w:rPr>
              <w:t>Level of financial risk protection</w:t>
            </w:r>
          </w:p>
        </w:tc>
        <w:tc>
          <w:tcPr>
            <w:tcW w:w="6100" w:type="dxa"/>
          </w:tcPr>
          <w:p w14:paraId="680EB104" w14:textId="77777777" w:rsidR="009948F1" w:rsidRDefault="00BC0563">
            <w:pPr>
              <w:pStyle w:val="TableParagraph"/>
              <w:spacing w:before="1" w:line="276" w:lineRule="auto"/>
              <w:ind w:left="120" w:right="87"/>
              <w:rPr>
                <w:sz w:val="18"/>
              </w:rPr>
            </w:pPr>
            <w:r>
              <w:rPr>
                <w:color w:val="231F20"/>
                <w:sz w:val="18"/>
              </w:rPr>
              <w:t>Less than 2% of the population is covered by pre-payment and risk pooling schemes instead of the WHO recommended 90%.</w:t>
            </w:r>
          </w:p>
        </w:tc>
      </w:tr>
      <w:tr w:rsidR="009948F1" w14:paraId="379B186C" w14:textId="77777777">
        <w:trPr>
          <w:trHeight w:val="254"/>
        </w:trPr>
        <w:tc>
          <w:tcPr>
            <w:tcW w:w="3148" w:type="dxa"/>
            <w:shd w:val="clear" w:color="auto" w:fill="F1F2F2"/>
          </w:tcPr>
          <w:p w14:paraId="0EC34F8D" w14:textId="77777777" w:rsidR="009948F1" w:rsidRDefault="00BC0563">
            <w:pPr>
              <w:pStyle w:val="TableParagraph"/>
              <w:spacing w:line="201" w:lineRule="exact"/>
              <w:ind w:left="107" w:right="-58"/>
              <w:rPr>
                <w:b/>
                <w:sz w:val="18"/>
              </w:rPr>
            </w:pPr>
            <w:r>
              <w:rPr>
                <w:b/>
                <w:color w:val="231F20"/>
                <w:sz w:val="18"/>
              </w:rPr>
              <w:t xml:space="preserve">Catastrophic health spending in </w:t>
            </w:r>
            <w:r>
              <w:rPr>
                <w:b/>
                <w:color w:val="231F20"/>
                <w:spacing w:val="-4"/>
                <w:sz w:val="18"/>
              </w:rPr>
              <w:t>Nig</w:t>
            </w:r>
          </w:p>
        </w:tc>
        <w:tc>
          <w:tcPr>
            <w:tcW w:w="6100" w:type="dxa"/>
            <w:shd w:val="clear" w:color="auto" w:fill="F1F2F2"/>
          </w:tcPr>
          <w:p w14:paraId="75CF952F" w14:textId="77777777" w:rsidR="009948F1" w:rsidRDefault="00D20030">
            <w:pPr>
              <w:pStyle w:val="TableParagraph"/>
              <w:spacing w:line="201" w:lineRule="exact"/>
              <w:ind w:left="37"/>
              <w:rPr>
                <w:b/>
                <w:sz w:val="18"/>
              </w:rPr>
            </w:pPr>
            <w:proofErr w:type="spellStart"/>
            <w:r>
              <w:rPr>
                <w:b/>
                <w:color w:val="231F20"/>
                <w:sz w:val="18"/>
              </w:rPr>
              <w:t>E</w:t>
            </w:r>
            <w:r w:rsidR="00BC0563">
              <w:rPr>
                <w:b/>
                <w:color w:val="231F20"/>
                <w:sz w:val="18"/>
              </w:rPr>
              <w:t>ria</w:t>
            </w:r>
            <w:proofErr w:type="spellEnd"/>
          </w:p>
        </w:tc>
      </w:tr>
      <w:tr w:rsidR="009948F1" w14:paraId="734DB548" w14:textId="77777777">
        <w:trPr>
          <w:trHeight w:val="904"/>
        </w:trPr>
        <w:tc>
          <w:tcPr>
            <w:tcW w:w="3148" w:type="dxa"/>
            <w:shd w:val="clear" w:color="auto" w:fill="F1F2F2"/>
          </w:tcPr>
          <w:p w14:paraId="5404B3E3" w14:textId="77777777" w:rsidR="009948F1" w:rsidRDefault="00BC0563">
            <w:pPr>
              <w:pStyle w:val="TableParagraph"/>
              <w:spacing w:line="278" w:lineRule="auto"/>
              <w:ind w:left="107" w:right="170"/>
              <w:rPr>
                <w:b/>
                <w:sz w:val="18"/>
              </w:rPr>
            </w:pPr>
            <w:r>
              <w:rPr>
                <w:b/>
                <w:color w:val="231F20"/>
                <w:sz w:val="18"/>
              </w:rPr>
              <w:t>Proportion of catastrophic health expenditure</w:t>
            </w:r>
          </w:p>
        </w:tc>
        <w:tc>
          <w:tcPr>
            <w:tcW w:w="6100" w:type="dxa"/>
          </w:tcPr>
          <w:p w14:paraId="5375DE56" w14:textId="77777777" w:rsidR="009948F1" w:rsidRDefault="00BC0563">
            <w:pPr>
              <w:pStyle w:val="TableParagraph"/>
              <w:spacing w:line="206" w:lineRule="exact"/>
              <w:ind w:left="96"/>
              <w:rPr>
                <w:sz w:val="18"/>
              </w:rPr>
            </w:pPr>
            <w:r>
              <w:rPr>
                <w:color w:val="231F20"/>
                <w:sz w:val="18"/>
              </w:rPr>
              <w:t>14.8% (</w:t>
            </w:r>
            <w:proofErr w:type="spellStart"/>
            <w:r>
              <w:rPr>
                <w:color w:val="231F20"/>
                <w:sz w:val="18"/>
              </w:rPr>
              <w:t>Onoka</w:t>
            </w:r>
            <w:proofErr w:type="spellEnd"/>
            <w:r>
              <w:rPr>
                <w:color w:val="231F20"/>
                <w:sz w:val="18"/>
              </w:rPr>
              <w:t xml:space="preserve"> et al, 2011) and 22.0% (</w:t>
            </w:r>
            <w:proofErr w:type="spellStart"/>
            <w:r>
              <w:rPr>
                <w:color w:val="231F20"/>
                <w:sz w:val="18"/>
              </w:rPr>
              <w:t>Onwujekweet</w:t>
            </w:r>
            <w:proofErr w:type="spellEnd"/>
            <w:r>
              <w:rPr>
                <w:color w:val="231F20"/>
                <w:sz w:val="18"/>
              </w:rPr>
              <w:t xml:space="preserve"> al, 2012), 50.3</w:t>
            </w:r>
          </w:p>
          <w:p w14:paraId="6BDF5F08" w14:textId="77777777" w:rsidR="009948F1" w:rsidRDefault="00BC0563">
            <w:pPr>
              <w:pStyle w:val="TableParagraph"/>
              <w:spacing w:before="33"/>
              <w:ind w:left="96"/>
              <w:rPr>
                <w:sz w:val="18"/>
              </w:rPr>
            </w:pPr>
            <w:r>
              <w:rPr>
                <w:color w:val="231F20"/>
                <w:sz w:val="18"/>
              </w:rPr>
              <w:t>(RSMOH, 2017)</w:t>
            </w:r>
          </w:p>
        </w:tc>
      </w:tr>
      <w:tr w:rsidR="009948F1" w14:paraId="6B28A822" w14:textId="77777777">
        <w:trPr>
          <w:trHeight w:val="447"/>
        </w:trPr>
        <w:tc>
          <w:tcPr>
            <w:tcW w:w="9248" w:type="dxa"/>
            <w:gridSpan w:val="2"/>
            <w:tcBorders>
              <w:left w:val="nil"/>
              <w:bottom w:val="nil"/>
            </w:tcBorders>
          </w:tcPr>
          <w:p w14:paraId="07308345" w14:textId="77777777" w:rsidR="009948F1" w:rsidRDefault="00BC0563">
            <w:pPr>
              <w:pStyle w:val="TableParagraph"/>
              <w:tabs>
                <w:tab w:val="left" w:pos="721"/>
              </w:tabs>
              <w:spacing w:before="168"/>
              <w:ind w:left="1"/>
              <w:rPr>
                <w:b/>
              </w:rPr>
            </w:pPr>
            <w:r>
              <w:rPr>
                <w:b/>
                <w:color w:val="231F20"/>
              </w:rPr>
              <w:t>2.3.4</w:t>
            </w:r>
            <w:r>
              <w:rPr>
                <w:b/>
                <w:color w:val="231F20"/>
              </w:rPr>
              <w:tab/>
              <w:t>Research for</w:t>
            </w:r>
            <w:r>
              <w:rPr>
                <w:b/>
                <w:color w:val="231F20"/>
                <w:spacing w:val="-50"/>
              </w:rPr>
              <w:t xml:space="preserve"> </w:t>
            </w:r>
            <w:r>
              <w:rPr>
                <w:b/>
                <w:color w:val="231F20"/>
              </w:rPr>
              <w:t>Health</w:t>
            </w:r>
          </w:p>
        </w:tc>
      </w:tr>
    </w:tbl>
    <w:p w14:paraId="11C717CA" w14:textId="77777777" w:rsidR="009948F1" w:rsidRDefault="00BC0563">
      <w:pPr>
        <w:pStyle w:val="BodyText"/>
        <w:spacing w:before="37" w:line="304" w:lineRule="auto"/>
        <w:ind w:left="180" w:right="210"/>
        <w:jc w:val="both"/>
      </w:pPr>
      <w:r>
        <w:rPr>
          <w:color w:val="231F20"/>
        </w:rPr>
        <w:t>There are several institutions involved in health research at both the academic level and government research levels. The institutions are faced with challenges like gross under funding, leadership</w:t>
      </w:r>
      <w:r>
        <w:rPr>
          <w:color w:val="231F20"/>
          <w:spacing w:val="-21"/>
        </w:rPr>
        <w:t xml:space="preserve"> </w:t>
      </w:r>
      <w:r>
        <w:rPr>
          <w:color w:val="231F20"/>
        </w:rPr>
        <w:t>and</w:t>
      </w:r>
      <w:r>
        <w:rPr>
          <w:color w:val="231F20"/>
          <w:spacing w:val="-21"/>
        </w:rPr>
        <w:t xml:space="preserve"> </w:t>
      </w:r>
      <w:r>
        <w:rPr>
          <w:color w:val="231F20"/>
        </w:rPr>
        <w:t>governance</w:t>
      </w:r>
      <w:r>
        <w:rPr>
          <w:color w:val="231F20"/>
          <w:spacing w:val="-20"/>
        </w:rPr>
        <w:t xml:space="preserve"> </w:t>
      </w:r>
      <w:r>
        <w:rPr>
          <w:color w:val="231F20"/>
        </w:rPr>
        <w:t>issues,</w:t>
      </w:r>
      <w:r>
        <w:rPr>
          <w:color w:val="231F20"/>
          <w:spacing w:val="-21"/>
        </w:rPr>
        <w:t xml:space="preserve"> </w:t>
      </w:r>
      <w:r>
        <w:rPr>
          <w:color w:val="231F20"/>
        </w:rPr>
        <w:t>non-commercialization</w:t>
      </w:r>
      <w:r>
        <w:rPr>
          <w:color w:val="231F20"/>
          <w:spacing w:val="-20"/>
        </w:rPr>
        <w:t xml:space="preserve"> </w:t>
      </w:r>
      <w:r>
        <w:rPr>
          <w:color w:val="231F20"/>
        </w:rPr>
        <w:t>of</w:t>
      </w:r>
      <w:r>
        <w:rPr>
          <w:color w:val="231F20"/>
          <w:spacing w:val="-22"/>
        </w:rPr>
        <w:t xml:space="preserve"> </w:t>
      </w:r>
      <w:r>
        <w:rPr>
          <w:color w:val="231F20"/>
        </w:rPr>
        <w:t>research</w:t>
      </w:r>
      <w:r>
        <w:rPr>
          <w:color w:val="231F20"/>
          <w:spacing w:val="-21"/>
        </w:rPr>
        <w:t xml:space="preserve"> </w:t>
      </w:r>
      <w:r>
        <w:rPr>
          <w:color w:val="231F20"/>
        </w:rPr>
        <w:t>findings</w:t>
      </w:r>
      <w:r>
        <w:rPr>
          <w:color w:val="231F20"/>
          <w:spacing w:val="-21"/>
        </w:rPr>
        <w:t xml:space="preserve"> </w:t>
      </w:r>
      <w:r>
        <w:rPr>
          <w:color w:val="231F20"/>
        </w:rPr>
        <w:t>and</w:t>
      </w:r>
      <w:r>
        <w:rPr>
          <w:color w:val="231F20"/>
          <w:spacing w:val="-21"/>
        </w:rPr>
        <w:t xml:space="preserve"> </w:t>
      </w:r>
      <w:r>
        <w:rPr>
          <w:color w:val="231F20"/>
        </w:rPr>
        <w:t>weak</w:t>
      </w:r>
      <w:r>
        <w:rPr>
          <w:color w:val="231F20"/>
          <w:spacing w:val="-21"/>
        </w:rPr>
        <w:t xml:space="preserve"> </w:t>
      </w:r>
      <w:r>
        <w:rPr>
          <w:color w:val="231F20"/>
        </w:rPr>
        <w:t>linkages between</w:t>
      </w:r>
      <w:r>
        <w:rPr>
          <w:color w:val="231F20"/>
          <w:spacing w:val="-26"/>
        </w:rPr>
        <w:t xml:space="preserve"> </w:t>
      </w:r>
      <w:r>
        <w:rPr>
          <w:color w:val="231F20"/>
        </w:rPr>
        <w:t>health</w:t>
      </w:r>
      <w:r>
        <w:rPr>
          <w:color w:val="231F20"/>
          <w:spacing w:val="-25"/>
        </w:rPr>
        <w:t xml:space="preserve"> </w:t>
      </w:r>
      <w:r>
        <w:rPr>
          <w:color w:val="231F20"/>
        </w:rPr>
        <w:t>research</w:t>
      </w:r>
      <w:r>
        <w:rPr>
          <w:color w:val="231F20"/>
          <w:spacing w:val="-25"/>
        </w:rPr>
        <w:t xml:space="preserve"> </w:t>
      </w:r>
      <w:r>
        <w:rPr>
          <w:color w:val="231F20"/>
        </w:rPr>
        <w:t>institutes,</w:t>
      </w:r>
      <w:r>
        <w:rPr>
          <w:color w:val="231F20"/>
          <w:spacing w:val="-25"/>
        </w:rPr>
        <w:t xml:space="preserve"> </w:t>
      </w:r>
      <w:r>
        <w:rPr>
          <w:color w:val="231F20"/>
        </w:rPr>
        <w:t>the</w:t>
      </w:r>
      <w:r>
        <w:rPr>
          <w:color w:val="231F20"/>
          <w:spacing w:val="-25"/>
        </w:rPr>
        <w:t xml:space="preserve"> </w:t>
      </w:r>
      <w:r>
        <w:rPr>
          <w:color w:val="231F20"/>
        </w:rPr>
        <w:t>private</w:t>
      </w:r>
      <w:r>
        <w:rPr>
          <w:color w:val="231F20"/>
          <w:spacing w:val="-25"/>
        </w:rPr>
        <w:t xml:space="preserve"> </w:t>
      </w:r>
      <w:r>
        <w:rPr>
          <w:color w:val="231F20"/>
        </w:rPr>
        <w:t>sector</w:t>
      </w:r>
      <w:r>
        <w:rPr>
          <w:color w:val="231F20"/>
          <w:spacing w:val="-25"/>
        </w:rPr>
        <w:t xml:space="preserve"> </w:t>
      </w:r>
      <w:r>
        <w:rPr>
          <w:color w:val="231F20"/>
        </w:rPr>
        <w:t>and</w:t>
      </w:r>
      <w:r>
        <w:rPr>
          <w:color w:val="231F20"/>
          <w:spacing w:val="-25"/>
        </w:rPr>
        <w:t xml:space="preserve"> </w:t>
      </w:r>
      <w:r>
        <w:rPr>
          <w:color w:val="231F20"/>
        </w:rPr>
        <w:t>community</w:t>
      </w:r>
      <w:r>
        <w:rPr>
          <w:color w:val="231F20"/>
          <w:spacing w:val="-25"/>
        </w:rPr>
        <w:t xml:space="preserve"> </w:t>
      </w:r>
      <w:r>
        <w:rPr>
          <w:color w:val="231F20"/>
        </w:rPr>
        <w:t>needs.</w:t>
      </w:r>
    </w:p>
    <w:p w14:paraId="1DE8688B" w14:textId="77777777" w:rsidR="009948F1" w:rsidRDefault="00BC0563">
      <w:pPr>
        <w:pStyle w:val="BodyText"/>
        <w:spacing w:line="202" w:lineRule="exact"/>
        <w:ind w:left="180"/>
      </w:pPr>
      <w:r>
        <w:rPr>
          <w:color w:val="231F20"/>
        </w:rPr>
        <w:t>Research and Development is the backbone of innovative and sustainable development of the</w:t>
      </w:r>
    </w:p>
    <w:p w14:paraId="77FF4CE6" w14:textId="77777777" w:rsidR="009948F1" w:rsidRDefault="00BC0563">
      <w:pPr>
        <w:pStyle w:val="BodyText"/>
        <w:spacing w:before="20" w:line="259" w:lineRule="auto"/>
        <w:ind w:left="180" w:right="187"/>
      </w:pPr>
      <w:r>
        <w:rPr>
          <w:color w:val="231F20"/>
        </w:rPr>
        <w:t>health sector. Research findings enhance evidence-based policy and decision making at all levels of government and ensure more targeted health</w:t>
      </w:r>
    </w:p>
    <w:p w14:paraId="1835FA6F" w14:textId="77777777" w:rsidR="009948F1" w:rsidRDefault="009948F1">
      <w:pPr>
        <w:spacing w:line="259" w:lineRule="auto"/>
        <w:sectPr w:rsidR="009948F1">
          <w:pgSz w:w="11910" w:h="16840"/>
          <w:pgMar w:top="1320" w:right="1080" w:bottom="1420" w:left="1120" w:header="0" w:footer="1235" w:gutter="0"/>
          <w:cols w:space="720"/>
        </w:sectPr>
      </w:pPr>
    </w:p>
    <w:p w14:paraId="69D536EF" w14:textId="77777777" w:rsidR="009948F1" w:rsidRDefault="00BC0563">
      <w:pPr>
        <w:pStyle w:val="BodyText"/>
        <w:spacing w:before="51"/>
        <w:ind w:left="160"/>
        <w:jc w:val="both"/>
      </w:pPr>
      <w:bookmarkStart w:id="36" w:name="Page_27"/>
      <w:bookmarkEnd w:id="36"/>
      <w:r>
        <w:rPr>
          <w:color w:val="231F20"/>
        </w:rPr>
        <w:lastRenderedPageBreak/>
        <w:t>interventions that have a higher impact on reduction of the country's diseases burden.</w:t>
      </w:r>
    </w:p>
    <w:p w14:paraId="33A95B06" w14:textId="77777777" w:rsidR="009948F1" w:rsidRDefault="009948F1">
      <w:pPr>
        <w:pStyle w:val="BodyText"/>
        <w:rPr>
          <w:sz w:val="26"/>
        </w:rPr>
      </w:pPr>
    </w:p>
    <w:p w14:paraId="0315B3C0" w14:textId="77777777" w:rsidR="009948F1" w:rsidRDefault="00BC0563">
      <w:pPr>
        <w:pStyle w:val="BodyText"/>
        <w:spacing w:line="276" w:lineRule="auto"/>
        <w:ind w:left="160" w:right="200"/>
        <w:jc w:val="both"/>
      </w:pPr>
      <w:r>
        <w:rPr>
          <w:color w:val="231F20"/>
        </w:rPr>
        <w:t>Funding</w:t>
      </w:r>
      <w:r>
        <w:rPr>
          <w:color w:val="231F20"/>
          <w:spacing w:val="-20"/>
        </w:rPr>
        <w:t xml:space="preserve"> </w:t>
      </w:r>
      <w:r>
        <w:rPr>
          <w:color w:val="231F20"/>
        </w:rPr>
        <w:t>for</w:t>
      </w:r>
      <w:r>
        <w:rPr>
          <w:color w:val="231F20"/>
          <w:spacing w:val="-19"/>
        </w:rPr>
        <w:t xml:space="preserve"> </w:t>
      </w:r>
      <w:r>
        <w:rPr>
          <w:color w:val="231F20"/>
        </w:rPr>
        <w:t>health</w:t>
      </w:r>
      <w:r>
        <w:rPr>
          <w:color w:val="231F20"/>
          <w:spacing w:val="-19"/>
        </w:rPr>
        <w:t xml:space="preserve"> </w:t>
      </w:r>
      <w:r>
        <w:rPr>
          <w:color w:val="231F20"/>
        </w:rPr>
        <w:t>research</w:t>
      </w:r>
      <w:r>
        <w:rPr>
          <w:color w:val="231F20"/>
          <w:spacing w:val="-19"/>
        </w:rPr>
        <w:t xml:space="preserve"> </w:t>
      </w:r>
      <w:r>
        <w:rPr>
          <w:color w:val="231F20"/>
        </w:rPr>
        <w:t>in</w:t>
      </w:r>
      <w:r>
        <w:rPr>
          <w:color w:val="231F20"/>
          <w:spacing w:val="-19"/>
        </w:rPr>
        <w:t xml:space="preserve"> </w:t>
      </w:r>
      <w:r>
        <w:rPr>
          <w:color w:val="231F20"/>
        </w:rPr>
        <w:t>Nigeria</w:t>
      </w:r>
      <w:r>
        <w:rPr>
          <w:color w:val="231F20"/>
          <w:spacing w:val="-19"/>
        </w:rPr>
        <w:t xml:space="preserve"> </w:t>
      </w:r>
      <w:r>
        <w:rPr>
          <w:color w:val="231F20"/>
        </w:rPr>
        <w:t>is</w:t>
      </w:r>
      <w:r>
        <w:rPr>
          <w:color w:val="231F20"/>
          <w:spacing w:val="-19"/>
        </w:rPr>
        <w:t xml:space="preserve"> </w:t>
      </w:r>
      <w:r>
        <w:rPr>
          <w:color w:val="231F20"/>
        </w:rPr>
        <w:t>meager</w:t>
      </w:r>
      <w:r>
        <w:rPr>
          <w:color w:val="231F20"/>
          <w:spacing w:val="-19"/>
        </w:rPr>
        <w:t xml:space="preserve"> </w:t>
      </w:r>
      <w:r>
        <w:rPr>
          <w:color w:val="231F20"/>
        </w:rPr>
        <w:t>with</w:t>
      </w:r>
      <w:r>
        <w:rPr>
          <w:color w:val="231F20"/>
          <w:spacing w:val="-19"/>
        </w:rPr>
        <w:t xml:space="preserve"> </w:t>
      </w:r>
      <w:r>
        <w:rPr>
          <w:color w:val="231F20"/>
        </w:rPr>
        <w:t>evidence</w:t>
      </w:r>
      <w:r>
        <w:rPr>
          <w:color w:val="231F20"/>
          <w:spacing w:val="-19"/>
        </w:rPr>
        <w:t xml:space="preserve"> </w:t>
      </w:r>
      <w:r>
        <w:rPr>
          <w:color w:val="231F20"/>
        </w:rPr>
        <w:t>indicating</w:t>
      </w:r>
      <w:r>
        <w:rPr>
          <w:color w:val="231F20"/>
          <w:spacing w:val="-20"/>
        </w:rPr>
        <w:t xml:space="preserve"> </w:t>
      </w:r>
      <w:r>
        <w:rPr>
          <w:color w:val="231F20"/>
        </w:rPr>
        <w:t>at</w:t>
      </w:r>
      <w:r>
        <w:rPr>
          <w:color w:val="231F20"/>
          <w:spacing w:val="-19"/>
        </w:rPr>
        <w:t xml:space="preserve"> </w:t>
      </w:r>
      <w:r>
        <w:rPr>
          <w:color w:val="231F20"/>
        </w:rPr>
        <w:t>most</w:t>
      </w:r>
      <w:r>
        <w:rPr>
          <w:color w:val="231F20"/>
          <w:spacing w:val="-19"/>
        </w:rPr>
        <w:t xml:space="preserve"> </w:t>
      </w:r>
      <w:r>
        <w:rPr>
          <w:color w:val="231F20"/>
        </w:rPr>
        <w:t>only</w:t>
      </w:r>
      <w:r>
        <w:rPr>
          <w:color w:val="231F20"/>
          <w:spacing w:val="-19"/>
        </w:rPr>
        <w:t xml:space="preserve"> </w:t>
      </w:r>
      <w:r>
        <w:rPr>
          <w:color w:val="231F20"/>
        </w:rPr>
        <w:t>0.08%</w:t>
      </w:r>
      <w:r>
        <w:rPr>
          <w:color w:val="231F20"/>
          <w:spacing w:val="-19"/>
        </w:rPr>
        <w:t xml:space="preserve"> </w:t>
      </w:r>
      <w:r>
        <w:rPr>
          <w:color w:val="231F20"/>
        </w:rPr>
        <w:t>of</w:t>
      </w:r>
      <w:r>
        <w:rPr>
          <w:color w:val="231F20"/>
          <w:spacing w:val="-19"/>
        </w:rPr>
        <w:t xml:space="preserve"> </w:t>
      </w:r>
      <w:r>
        <w:rPr>
          <w:color w:val="231F20"/>
        </w:rPr>
        <w:t>the health</w:t>
      </w:r>
      <w:r>
        <w:rPr>
          <w:color w:val="231F20"/>
          <w:spacing w:val="-20"/>
        </w:rPr>
        <w:t xml:space="preserve"> </w:t>
      </w:r>
      <w:r>
        <w:rPr>
          <w:color w:val="231F20"/>
        </w:rPr>
        <w:t>expenditure</w:t>
      </w:r>
      <w:r>
        <w:rPr>
          <w:color w:val="231F20"/>
          <w:spacing w:val="-19"/>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rPr>
        <w:t>federal</w:t>
      </w:r>
      <w:r>
        <w:rPr>
          <w:color w:val="231F20"/>
          <w:spacing w:val="-19"/>
        </w:rPr>
        <w:t xml:space="preserve"> </w:t>
      </w:r>
      <w:r>
        <w:rPr>
          <w:color w:val="231F20"/>
        </w:rPr>
        <w:t>level</w:t>
      </w:r>
      <w:r>
        <w:rPr>
          <w:color w:val="231F20"/>
          <w:spacing w:val="-19"/>
        </w:rPr>
        <w:t xml:space="preserve"> </w:t>
      </w:r>
      <w:r>
        <w:rPr>
          <w:color w:val="231F20"/>
        </w:rPr>
        <w:t>with</w:t>
      </w:r>
      <w:r>
        <w:rPr>
          <w:color w:val="231F20"/>
          <w:spacing w:val="-19"/>
        </w:rPr>
        <w:t xml:space="preserve"> </w:t>
      </w:r>
      <w:r>
        <w:rPr>
          <w:color w:val="231F20"/>
        </w:rPr>
        <w:t>hardly</w:t>
      </w:r>
      <w:r>
        <w:rPr>
          <w:color w:val="231F20"/>
          <w:spacing w:val="-19"/>
        </w:rPr>
        <w:t xml:space="preserve"> </w:t>
      </w:r>
      <w:r>
        <w:rPr>
          <w:color w:val="231F20"/>
        </w:rPr>
        <w:t>any</w:t>
      </w:r>
      <w:r>
        <w:rPr>
          <w:color w:val="231F20"/>
          <w:spacing w:val="-19"/>
        </w:rPr>
        <w:t xml:space="preserve"> </w:t>
      </w:r>
      <w:r>
        <w:rPr>
          <w:color w:val="231F20"/>
        </w:rPr>
        <w:t>funding</w:t>
      </w:r>
      <w:r>
        <w:rPr>
          <w:color w:val="231F20"/>
          <w:spacing w:val="-19"/>
        </w:rPr>
        <w:t xml:space="preserve"> </w:t>
      </w:r>
      <w:r>
        <w:rPr>
          <w:color w:val="231F20"/>
        </w:rPr>
        <w:t>at</w:t>
      </w:r>
      <w:r>
        <w:rPr>
          <w:color w:val="231F20"/>
          <w:spacing w:val="-19"/>
        </w:rPr>
        <w:t xml:space="preserve"> </w:t>
      </w:r>
      <w:r>
        <w:rPr>
          <w:color w:val="231F20"/>
        </w:rPr>
        <w:t>lower</w:t>
      </w:r>
      <w:r>
        <w:rPr>
          <w:color w:val="231F20"/>
          <w:spacing w:val="-19"/>
        </w:rPr>
        <w:t xml:space="preserve"> </w:t>
      </w:r>
      <w:r>
        <w:rPr>
          <w:color w:val="231F20"/>
        </w:rPr>
        <w:t>levels.</w:t>
      </w:r>
      <w:r>
        <w:rPr>
          <w:color w:val="231F20"/>
          <w:spacing w:val="-24"/>
        </w:rPr>
        <w:t xml:space="preserve"> </w:t>
      </w:r>
      <w:r>
        <w:rPr>
          <w:color w:val="231F20"/>
        </w:rPr>
        <w:t>This</w:t>
      </w:r>
      <w:r>
        <w:rPr>
          <w:color w:val="231F20"/>
          <w:spacing w:val="-19"/>
        </w:rPr>
        <w:t xml:space="preserve"> </w:t>
      </w:r>
      <w:r>
        <w:rPr>
          <w:color w:val="231F20"/>
        </w:rPr>
        <w:t>is</w:t>
      </w:r>
      <w:r>
        <w:rPr>
          <w:color w:val="231F20"/>
          <w:spacing w:val="-19"/>
        </w:rPr>
        <w:t xml:space="preserve"> </w:t>
      </w:r>
      <w:r>
        <w:rPr>
          <w:color w:val="231F20"/>
        </w:rPr>
        <w:t>contrary</w:t>
      </w:r>
      <w:r>
        <w:rPr>
          <w:color w:val="231F20"/>
          <w:spacing w:val="-19"/>
        </w:rPr>
        <w:t xml:space="preserve"> </w:t>
      </w:r>
      <w:r>
        <w:rPr>
          <w:color w:val="231F20"/>
        </w:rPr>
        <w:t>to</w:t>
      </w:r>
      <w:r>
        <w:rPr>
          <w:color w:val="231F20"/>
          <w:spacing w:val="-19"/>
        </w:rPr>
        <w:t xml:space="preserve"> </w:t>
      </w:r>
      <w:r>
        <w:rPr>
          <w:color w:val="231F20"/>
        </w:rPr>
        <w:t xml:space="preserve">the 2% allocation to research for health prescribed by African Health Ministers and agreed to by </w:t>
      </w:r>
      <w:r>
        <w:rPr>
          <w:color w:val="231F20"/>
          <w:spacing w:val="-5"/>
        </w:rPr>
        <w:t xml:space="preserve">the </w:t>
      </w:r>
      <w:r>
        <w:rPr>
          <w:color w:val="231F20"/>
        </w:rPr>
        <w:t>National</w:t>
      </w:r>
      <w:r>
        <w:rPr>
          <w:color w:val="231F20"/>
          <w:spacing w:val="-8"/>
        </w:rPr>
        <w:t xml:space="preserve"> </w:t>
      </w:r>
      <w:r>
        <w:rPr>
          <w:color w:val="231F20"/>
        </w:rPr>
        <w:t>Council</w:t>
      </w:r>
      <w:r>
        <w:rPr>
          <w:color w:val="231F20"/>
          <w:spacing w:val="-7"/>
        </w:rPr>
        <w:t xml:space="preserve"> </w:t>
      </w:r>
      <w:r>
        <w:rPr>
          <w:color w:val="231F20"/>
        </w:rPr>
        <w:t>on</w:t>
      </w:r>
      <w:r>
        <w:rPr>
          <w:color w:val="231F20"/>
          <w:spacing w:val="-7"/>
        </w:rPr>
        <w:t xml:space="preserve"> </w:t>
      </w:r>
      <w:r>
        <w:rPr>
          <w:color w:val="231F20"/>
        </w:rPr>
        <w:t>Health.</w:t>
      </w:r>
      <w:r>
        <w:rPr>
          <w:color w:val="231F20"/>
          <w:spacing w:val="-12"/>
        </w:rPr>
        <w:t xml:space="preserve"> </w:t>
      </w:r>
      <w:r>
        <w:rPr>
          <w:color w:val="231F20"/>
        </w:rPr>
        <w:t>The</w:t>
      </w:r>
      <w:r>
        <w:rPr>
          <w:color w:val="231F20"/>
          <w:spacing w:val="-7"/>
        </w:rPr>
        <w:t xml:space="preserve"> </w:t>
      </w:r>
      <w:r>
        <w:rPr>
          <w:color w:val="231F20"/>
        </w:rPr>
        <w:t>paucity</w:t>
      </w:r>
      <w:r>
        <w:rPr>
          <w:color w:val="231F20"/>
          <w:spacing w:val="-7"/>
        </w:rPr>
        <w:t xml:space="preserve"> </w:t>
      </w:r>
      <w:r>
        <w:rPr>
          <w:color w:val="231F20"/>
        </w:rPr>
        <w:t>of</w:t>
      </w:r>
      <w:r>
        <w:rPr>
          <w:color w:val="231F20"/>
          <w:spacing w:val="-7"/>
        </w:rPr>
        <w:t xml:space="preserve"> </w:t>
      </w:r>
      <w:r>
        <w:rPr>
          <w:color w:val="231F20"/>
        </w:rPr>
        <w:t>these</w:t>
      </w:r>
      <w:r>
        <w:rPr>
          <w:color w:val="231F20"/>
          <w:spacing w:val="-8"/>
        </w:rPr>
        <w:t xml:space="preserve"> </w:t>
      </w:r>
      <w:r>
        <w:rPr>
          <w:color w:val="231F20"/>
        </w:rPr>
        <w:t>allocations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Health</w:t>
      </w:r>
      <w:r>
        <w:rPr>
          <w:color w:val="231F20"/>
          <w:spacing w:val="-8"/>
        </w:rPr>
        <w:t xml:space="preserve"> </w:t>
      </w:r>
      <w:r>
        <w:rPr>
          <w:color w:val="231F20"/>
        </w:rPr>
        <w:t>Sector</w:t>
      </w:r>
      <w:r>
        <w:rPr>
          <w:color w:val="231F20"/>
          <w:spacing w:val="-7"/>
        </w:rPr>
        <w:t xml:space="preserve"> </w:t>
      </w:r>
      <w:r>
        <w:rPr>
          <w:color w:val="231F20"/>
        </w:rPr>
        <w:t>had</w:t>
      </w:r>
      <w:r>
        <w:rPr>
          <w:color w:val="231F20"/>
          <w:spacing w:val="-7"/>
        </w:rPr>
        <w:t xml:space="preserve"> </w:t>
      </w:r>
      <w:r>
        <w:rPr>
          <w:color w:val="231F20"/>
        </w:rPr>
        <w:t>affected</w:t>
      </w:r>
      <w:r>
        <w:rPr>
          <w:color w:val="231F20"/>
          <w:spacing w:val="-7"/>
        </w:rPr>
        <w:t xml:space="preserve"> </w:t>
      </w:r>
      <w:r>
        <w:rPr>
          <w:color w:val="231F20"/>
          <w:spacing w:val="-5"/>
        </w:rPr>
        <w:t xml:space="preserve">the </w:t>
      </w:r>
      <w:r>
        <w:rPr>
          <w:color w:val="231F20"/>
        </w:rPr>
        <w:t>quality and depth of health research in particular.   The</w:t>
      </w:r>
      <w:r w:rsidR="000B5AAD">
        <w:rPr>
          <w:color w:val="231F20"/>
        </w:rPr>
        <w:t xml:space="preserve"> </w:t>
      </w:r>
      <w:r>
        <w:rPr>
          <w:color w:val="231F20"/>
        </w:rPr>
        <w:t xml:space="preserve">Malaria Elimination Project has thrown up areas of Research in areas like Integrated </w:t>
      </w:r>
      <w:r>
        <w:rPr>
          <w:color w:val="231F20"/>
          <w:spacing w:val="-3"/>
        </w:rPr>
        <w:t xml:space="preserve">Vector </w:t>
      </w:r>
      <w:r>
        <w:rPr>
          <w:color w:val="231F20"/>
        </w:rPr>
        <w:t xml:space="preserve">management. There has been capacity building of RSPHCMB staff on conducting research studies and data analysis. There is </w:t>
      </w:r>
      <w:r>
        <w:rPr>
          <w:color w:val="231F20"/>
          <w:spacing w:val="-3"/>
        </w:rPr>
        <w:t xml:space="preserve">also </w:t>
      </w:r>
      <w:r>
        <w:rPr>
          <w:color w:val="231F20"/>
        </w:rPr>
        <w:t>partnership</w:t>
      </w:r>
      <w:r>
        <w:rPr>
          <w:color w:val="231F20"/>
          <w:spacing w:val="-18"/>
        </w:rPr>
        <w:t xml:space="preserve"> </w:t>
      </w:r>
      <w:r>
        <w:rPr>
          <w:color w:val="231F20"/>
        </w:rPr>
        <w:t>with</w:t>
      </w:r>
      <w:r>
        <w:rPr>
          <w:color w:val="231F20"/>
          <w:spacing w:val="-17"/>
        </w:rPr>
        <w:t xml:space="preserve"> </w:t>
      </w:r>
      <w:r>
        <w:rPr>
          <w:color w:val="231F20"/>
        </w:rPr>
        <w:t>academic</w:t>
      </w:r>
      <w:r>
        <w:rPr>
          <w:color w:val="231F20"/>
          <w:spacing w:val="-17"/>
        </w:rPr>
        <w:t xml:space="preserve"> </w:t>
      </w:r>
      <w:r>
        <w:rPr>
          <w:color w:val="231F20"/>
        </w:rPr>
        <w:t>institutions</w:t>
      </w:r>
      <w:r>
        <w:rPr>
          <w:color w:val="231F20"/>
          <w:spacing w:val="-18"/>
        </w:rPr>
        <w:t xml:space="preserve"> </w:t>
      </w:r>
      <w:r>
        <w:rPr>
          <w:color w:val="231F20"/>
        </w:rPr>
        <w:t>in</w:t>
      </w:r>
      <w:r>
        <w:rPr>
          <w:color w:val="231F20"/>
          <w:spacing w:val="-17"/>
        </w:rPr>
        <w:t xml:space="preserve"> </w:t>
      </w:r>
      <w:r>
        <w:rPr>
          <w:color w:val="231F20"/>
        </w:rPr>
        <w:t>the</w:t>
      </w:r>
      <w:r>
        <w:rPr>
          <w:color w:val="231F20"/>
          <w:spacing w:val="-18"/>
        </w:rPr>
        <w:t xml:space="preserve"> </w:t>
      </w:r>
      <w:r>
        <w:rPr>
          <w:color w:val="231F20"/>
        </w:rPr>
        <w:t>State</w:t>
      </w:r>
      <w:r>
        <w:rPr>
          <w:color w:val="231F20"/>
          <w:spacing w:val="-17"/>
        </w:rPr>
        <w:t xml:space="preserve"> </w:t>
      </w:r>
      <w:r>
        <w:rPr>
          <w:color w:val="231F20"/>
        </w:rPr>
        <w:t>for</w:t>
      </w:r>
      <w:r>
        <w:rPr>
          <w:color w:val="231F20"/>
          <w:spacing w:val="-17"/>
        </w:rPr>
        <w:t xml:space="preserve"> </w:t>
      </w:r>
      <w:r>
        <w:rPr>
          <w:color w:val="231F20"/>
        </w:rPr>
        <w:t>collaborative</w:t>
      </w:r>
      <w:r>
        <w:rPr>
          <w:color w:val="231F20"/>
          <w:spacing w:val="-18"/>
        </w:rPr>
        <w:t xml:space="preserve"> </w:t>
      </w:r>
      <w:r>
        <w:rPr>
          <w:color w:val="231F20"/>
        </w:rPr>
        <w:t>research</w:t>
      </w:r>
      <w:r>
        <w:rPr>
          <w:color w:val="231F20"/>
          <w:spacing w:val="-17"/>
        </w:rPr>
        <w:t xml:space="preserve"> </w:t>
      </w:r>
      <w:r>
        <w:rPr>
          <w:color w:val="231F20"/>
        </w:rPr>
        <w:t>studies.</w:t>
      </w:r>
      <w:r>
        <w:rPr>
          <w:color w:val="231F20"/>
          <w:spacing w:val="-21"/>
        </w:rPr>
        <w:t xml:space="preserve"> </w:t>
      </w:r>
      <w:r>
        <w:rPr>
          <w:color w:val="231F20"/>
        </w:rPr>
        <w:t>The</w:t>
      </w:r>
      <w:r>
        <w:rPr>
          <w:color w:val="231F20"/>
          <w:spacing w:val="-17"/>
        </w:rPr>
        <w:t xml:space="preserve"> </w:t>
      </w:r>
      <w:r>
        <w:rPr>
          <w:color w:val="231F20"/>
        </w:rPr>
        <w:t>research team</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public</w:t>
      </w:r>
      <w:r>
        <w:rPr>
          <w:color w:val="231F20"/>
          <w:spacing w:val="-25"/>
        </w:rPr>
        <w:t xml:space="preserve"> </w:t>
      </w:r>
      <w:r>
        <w:rPr>
          <w:color w:val="231F20"/>
        </w:rPr>
        <w:t>Health</w:t>
      </w:r>
      <w:r>
        <w:rPr>
          <w:color w:val="231F20"/>
          <w:spacing w:val="-25"/>
        </w:rPr>
        <w:t xml:space="preserve"> </w:t>
      </w:r>
      <w:r>
        <w:rPr>
          <w:color w:val="231F20"/>
        </w:rPr>
        <w:t>department</w:t>
      </w:r>
      <w:r>
        <w:rPr>
          <w:color w:val="231F20"/>
          <w:spacing w:val="-25"/>
        </w:rPr>
        <w:t xml:space="preserve"> </w:t>
      </w:r>
      <w:r>
        <w:rPr>
          <w:color w:val="231F20"/>
        </w:rPr>
        <w:t>is</w:t>
      </w:r>
      <w:r>
        <w:rPr>
          <w:color w:val="231F20"/>
          <w:spacing w:val="-25"/>
        </w:rPr>
        <w:t xml:space="preserve"> </w:t>
      </w:r>
      <w:r>
        <w:rPr>
          <w:color w:val="231F20"/>
        </w:rPr>
        <w:t>conducting</w:t>
      </w:r>
      <w:r>
        <w:rPr>
          <w:color w:val="231F20"/>
          <w:spacing w:val="-25"/>
        </w:rPr>
        <w:t xml:space="preserve"> </w:t>
      </w:r>
      <w:r>
        <w:rPr>
          <w:color w:val="231F20"/>
        </w:rPr>
        <w:t>trend</w:t>
      </w:r>
      <w:r>
        <w:rPr>
          <w:color w:val="231F20"/>
          <w:spacing w:val="-25"/>
        </w:rPr>
        <w:t xml:space="preserve"> </w:t>
      </w:r>
      <w:r>
        <w:rPr>
          <w:color w:val="231F20"/>
        </w:rPr>
        <w:t>analysis</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soot</w:t>
      </w:r>
      <w:r>
        <w:rPr>
          <w:color w:val="231F20"/>
          <w:spacing w:val="-25"/>
        </w:rPr>
        <w:t xml:space="preserve"> </w:t>
      </w:r>
      <w:r>
        <w:rPr>
          <w:color w:val="231F20"/>
        </w:rPr>
        <w:t>haze</w:t>
      </w:r>
      <w:r>
        <w:rPr>
          <w:color w:val="231F20"/>
          <w:spacing w:val="-25"/>
        </w:rPr>
        <w:t xml:space="preserve"> </w:t>
      </w:r>
      <w:r>
        <w:rPr>
          <w:color w:val="231F20"/>
        </w:rPr>
        <w:t>in</w:t>
      </w:r>
      <w:r>
        <w:rPr>
          <w:color w:val="231F20"/>
          <w:spacing w:val="-26"/>
        </w:rPr>
        <w:t xml:space="preserve"> </w:t>
      </w:r>
      <w:r>
        <w:rPr>
          <w:color w:val="231F20"/>
        </w:rPr>
        <w:t>Rivers</w:t>
      </w:r>
      <w:r>
        <w:rPr>
          <w:color w:val="231F20"/>
          <w:spacing w:val="-25"/>
        </w:rPr>
        <w:t xml:space="preserve"> </w:t>
      </w:r>
      <w:r>
        <w:rPr>
          <w:color w:val="231F20"/>
        </w:rPr>
        <w:t>State.</w:t>
      </w:r>
    </w:p>
    <w:p w14:paraId="729D738F" w14:textId="77777777" w:rsidR="009948F1" w:rsidRDefault="009948F1">
      <w:pPr>
        <w:pStyle w:val="BodyText"/>
        <w:spacing w:before="10"/>
        <w:rPr>
          <w:sz w:val="24"/>
        </w:rPr>
      </w:pPr>
    </w:p>
    <w:p w14:paraId="1D67389A" w14:textId="77777777" w:rsidR="009948F1" w:rsidRDefault="00BC0563">
      <w:pPr>
        <w:pStyle w:val="Heading7"/>
        <w:numPr>
          <w:ilvl w:val="2"/>
          <w:numId w:val="320"/>
        </w:numPr>
        <w:tabs>
          <w:tab w:val="left" w:pos="881"/>
        </w:tabs>
        <w:ind w:hanging="721"/>
        <w:jc w:val="both"/>
      </w:pPr>
      <w:r>
        <w:rPr>
          <w:color w:val="231F20"/>
        </w:rPr>
        <w:t>Partnership for</w:t>
      </w:r>
      <w:r>
        <w:rPr>
          <w:color w:val="231F20"/>
          <w:spacing w:val="-50"/>
        </w:rPr>
        <w:t xml:space="preserve"> </w:t>
      </w:r>
      <w:r>
        <w:rPr>
          <w:color w:val="231F20"/>
        </w:rPr>
        <w:t>Health</w:t>
      </w:r>
    </w:p>
    <w:p w14:paraId="1BF33BE5" w14:textId="77777777" w:rsidR="009948F1" w:rsidRDefault="009948F1">
      <w:pPr>
        <w:pStyle w:val="BodyText"/>
        <w:spacing w:before="6"/>
        <w:rPr>
          <w:b/>
          <w:sz w:val="28"/>
        </w:rPr>
      </w:pPr>
    </w:p>
    <w:p w14:paraId="5D4D92C3" w14:textId="77777777" w:rsidR="009948F1" w:rsidRDefault="00BC0563">
      <w:pPr>
        <w:pStyle w:val="BodyText"/>
        <w:spacing w:line="276" w:lineRule="auto"/>
        <w:ind w:left="160" w:right="200"/>
        <w:jc w:val="both"/>
      </w:pPr>
      <w:r>
        <w:rPr>
          <w:color w:val="231F20"/>
        </w:rPr>
        <w:t xml:space="preserve">Partnership with the private sector, non-governmental organizations, communities </w:t>
      </w:r>
      <w:r>
        <w:rPr>
          <w:color w:val="231F20"/>
          <w:spacing w:val="-5"/>
        </w:rPr>
        <w:t xml:space="preserve">and </w:t>
      </w:r>
      <w:r>
        <w:rPr>
          <w:color w:val="231F20"/>
        </w:rPr>
        <w:t xml:space="preserve">development partners (donors) is presently on-going in the State. The SMOH is also involved in coordination of activities of development partners and engages communities, other </w:t>
      </w:r>
      <w:r>
        <w:rPr>
          <w:color w:val="231F20"/>
          <w:spacing w:val="-2"/>
        </w:rPr>
        <w:t xml:space="preserve">professional </w:t>
      </w:r>
      <w:r>
        <w:rPr>
          <w:color w:val="231F20"/>
        </w:rPr>
        <w:t>groups,</w:t>
      </w:r>
      <w:r>
        <w:rPr>
          <w:color w:val="231F20"/>
          <w:spacing w:val="-32"/>
        </w:rPr>
        <w:t xml:space="preserve"> </w:t>
      </w:r>
      <w:r>
        <w:rPr>
          <w:color w:val="231F20"/>
        </w:rPr>
        <w:t>Traditional</w:t>
      </w:r>
      <w:r>
        <w:rPr>
          <w:color w:val="231F20"/>
          <w:spacing w:val="-27"/>
        </w:rPr>
        <w:t xml:space="preserve"> </w:t>
      </w:r>
      <w:r>
        <w:rPr>
          <w:color w:val="231F20"/>
        </w:rPr>
        <w:t>Birth</w:t>
      </w:r>
      <w:r>
        <w:rPr>
          <w:color w:val="231F20"/>
          <w:spacing w:val="-38"/>
        </w:rPr>
        <w:t xml:space="preserve"> </w:t>
      </w:r>
      <w:r>
        <w:rPr>
          <w:color w:val="231F20"/>
        </w:rPr>
        <w:t>Attendants</w:t>
      </w:r>
      <w:r>
        <w:rPr>
          <w:color w:val="231F20"/>
          <w:spacing w:val="-28"/>
        </w:rPr>
        <w:t xml:space="preserve"> </w:t>
      </w:r>
      <w:r>
        <w:rPr>
          <w:color w:val="231F20"/>
        </w:rPr>
        <w:t>(TBAs)/</w:t>
      </w:r>
      <w:r>
        <w:rPr>
          <w:color w:val="231F20"/>
          <w:spacing w:val="-27"/>
        </w:rPr>
        <w:t xml:space="preserve"> </w:t>
      </w:r>
      <w:r>
        <w:rPr>
          <w:color w:val="231F20"/>
        </w:rPr>
        <w:t>Patent</w:t>
      </w:r>
      <w:r>
        <w:rPr>
          <w:color w:val="231F20"/>
          <w:spacing w:val="-27"/>
        </w:rPr>
        <w:t xml:space="preserve"> </w:t>
      </w:r>
      <w:r>
        <w:rPr>
          <w:color w:val="231F20"/>
        </w:rPr>
        <w:t>Medicine</w:t>
      </w:r>
      <w:r>
        <w:rPr>
          <w:color w:val="231F20"/>
          <w:spacing w:val="-28"/>
        </w:rPr>
        <w:t xml:space="preserve"> </w:t>
      </w:r>
      <w:r>
        <w:rPr>
          <w:color w:val="231F20"/>
        </w:rPr>
        <w:t>Vendors</w:t>
      </w:r>
      <w:r>
        <w:rPr>
          <w:color w:val="231F20"/>
          <w:spacing w:val="-27"/>
        </w:rPr>
        <w:t xml:space="preserve"> </w:t>
      </w:r>
      <w:r>
        <w:rPr>
          <w:color w:val="231F20"/>
        </w:rPr>
        <w:t>(PMVs)</w:t>
      </w:r>
      <w:r>
        <w:rPr>
          <w:color w:val="231F20"/>
          <w:spacing w:val="-27"/>
        </w:rPr>
        <w:t xml:space="preserve"> </w:t>
      </w:r>
      <w:r>
        <w:rPr>
          <w:color w:val="231F20"/>
        </w:rPr>
        <w:t>in</w:t>
      </w:r>
      <w:r>
        <w:rPr>
          <w:color w:val="231F20"/>
          <w:spacing w:val="-28"/>
        </w:rPr>
        <w:t xml:space="preserve"> </w:t>
      </w:r>
      <w:r>
        <w:rPr>
          <w:color w:val="231F20"/>
        </w:rPr>
        <w:t>service</w:t>
      </w:r>
      <w:r>
        <w:rPr>
          <w:color w:val="231F20"/>
          <w:spacing w:val="-27"/>
        </w:rPr>
        <w:t xml:space="preserve"> </w:t>
      </w:r>
      <w:r>
        <w:rPr>
          <w:color w:val="231F20"/>
        </w:rPr>
        <w:t>delivery.</w:t>
      </w:r>
    </w:p>
    <w:p w14:paraId="04042320" w14:textId="77777777" w:rsidR="009948F1" w:rsidRDefault="009948F1">
      <w:pPr>
        <w:pStyle w:val="BodyText"/>
        <w:spacing w:before="1"/>
        <w:rPr>
          <w:sz w:val="25"/>
        </w:rPr>
      </w:pPr>
    </w:p>
    <w:p w14:paraId="2DC445C3" w14:textId="77777777" w:rsidR="009948F1" w:rsidRDefault="00BC0563">
      <w:pPr>
        <w:pStyle w:val="BodyText"/>
        <w:ind w:left="160"/>
        <w:jc w:val="both"/>
      </w:pPr>
      <w:r>
        <w:rPr>
          <w:color w:val="231F20"/>
        </w:rPr>
        <w:t xml:space="preserve">Public-Private Partnership </w:t>
      </w:r>
      <w:proofErr w:type="spellStart"/>
      <w:r>
        <w:rPr>
          <w:color w:val="231F20"/>
        </w:rPr>
        <w:t>programmes</w:t>
      </w:r>
      <w:proofErr w:type="spellEnd"/>
      <w:r>
        <w:rPr>
          <w:color w:val="231F20"/>
        </w:rPr>
        <w:t xml:space="preserve"> in the State include:</w:t>
      </w:r>
    </w:p>
    <w:p w14:paraId="5DB51A16" w14:textId="77777777" w:rsidR="009948F1" w:rsidRDefault="00BC0563">
      <w:pPr>
        <w:pStyle w:val="ListParagraph"/>
        <w:numPr>
          <w:ilvl w:val="3"/>
          <w:numId w:val="320"/>
        </w:numPr>
        <w:tabs>
          <w:tab w:val="left" w:pos="881"/>
        </w:tabs>
        <w:spacing w:before="38" w:line="276" w:lineRule="auto"/>
        <w:ind w:right="200"/>
      </w:pPr>
      <w:r>
        <w:rPr>
          <w:color w:val="231F20"/>
        </w:rPr>
        <w:t>The RSUTH mortuary is managed by a private company on a Public Private Partnership basis.</w:t>
      </w:r>
    </w:p>
    <w:p w14:paraId="07B6AC71" w14:textId="77777777" w:rsidR="009948F1" w:rsidRDefault="00BC0563">
      <w:pPr>
        <w:pStyle w:val="ListParagraph"/>
        <w:numPr>
          <w:ilvl w:val="3"/>
          <w:numId w:val="320"/>
        </w:numPr>
        <w:tabs>
          <w:tab w:val="left" w:pos="881"/>
        </w:tabs>
        <w:spacing w:line="276" w:lineRule="auto"/>
        <w:ind w:right="200"/>
      </w:pPr>
      <w:r>
        <w:rPr>
          <w:color w:val="231F20"/>
        </w:rPr>
        <w:t>The Prof. Kelsey Harrison Hospital was built on the grounds of the former Niger</w:t>
      </w:r>
      <w:r>
        <w:rPr>
          <w:color w:val="231F20"/>
          <w:spacing w:val="-27"/>
        </w:rPr>
        <w:t xml:space="preserve"> </w:t>
      </w:r>
      <w:r>
        <w:rPr>
          <w:color w:val="231F20"/>
        </w:rPr>
        <w:t xml:space="preserve">Hospital, </w:t>
      </w:r>
      <w:proofErr w:type="spellStart"/>
      <w:r>
        <w:rPr>
          <w:color w:val="231F20"/>
        </w:rPr>
        <w:t>Emenike</w:t>
      </w:r>
      <w:proofErr w:type="spellEnd"/>
      <w:r>
        <w:rPr>
          <w:color w:val="231F20"/>
          <w:spacing w:val="-14"/>
        </w:rPr>
        <w:t xml:space="preserve"> </w:t>
      </w:r>
      <w:r>
        <w:rPr>
          <w:color w:val="231F20"/>
        </w:rPr>
        <w:t>Street,</w:t>
      </w:r>
      <w:r>
        <w:rPr>
          <w:color w:val="231F20"/>
          <w:spacing w:val="-14"/>
        </w:rPr>
        <w:t xml:space="preserve"> </w:t>
      </w:r>
      <w:proofErr w:type="spellStart"/>
      <w:r>
        <w:rPr>
          <w:color w:val="231F20"/>
        </w:rPr>
        <w:t>Diobu</w:t>
      </w:r>
      <w:proofErr w:type="spellEnd"/>
      <w:r>
        <w:rPr>
          <w:color w:val="231F20"/>
        </w:rPr>
        <w:t>.</w:t>
      </w:r>
      <w:r>
        <w:rPr>
          <w:color w:val="231F20"/>
          <w:spacing w:val="-18"/>
        </w:rPr>
        <w:t xml:space="preserve"> </w:t>
      </w:r>
      <w:r>
        <w:rPr>
          <w:color w:val="231F20"/>
        </w:rPr>
        <w:t>This</w:t>
      </w:r>
      <w:r>
        <w:rPr>
          <w:color w:val="231F20"/>
          <w:spacing w:val="-14"/>
        </w:rPr>
        <w:t xml:space="preserve"> </w:t>
      </w:r>
      <w:r>
        <w:rPr>
          <w:color w:val="231F20"/>
        </w:rPr>
        <w:t>120</w:t>
      </w:r>
      <w:r>
        <w:rPr>
          <w:color w:val="231F20"/>
          <w:spacing w:val="-14"/>
        </w:rPr>
        <w:t xml:space="preserve"> </w:t>
      </w:r>
      <w:r>
        <w:rPr>
          <w:color w:val="231F20"/>
        </w:rPr>
        <w:t>bed</w:t>
      </w:r>
      <w:r>
        <w:rPr>
          <w:color w:val="231F20"/>
          <w:spacing w:val="-14"/>
        </w:rPr>
        <w:t xml:space="preserve"> </w:t>
      </w:r>
      <w:r>
        <w:rPr>
          <w:color w:val="231F20"/>
        </w:rPr>
        <w:t>hospital,</w:t>
      </w:r>
      <w:r>
        <w:rPr>
          <w:color w:val="231F20"/>
          <w:spacing w:val="-14"/>
        </w:rPr>
        <w:t xml:space="preserve"> </w:t>
      </w:r>
      <w:r>
        <w:rPr>
          <w:color w:val="231F20"/>
        </w:rPr>
        <w:t>was</w:t>
      </w:r>
      <w:r>
        <w:rPr>
          <w:color w:val="231F20"/>
          <w:spacing w:val="-14"/>
        </w:rPr>
        <w:t xml:space="preserve"> </w:t>
      </w:r>
      <w:r>
        <w:rPr>
          <w:color w:val="231F20"/>
        </w:rPr>
        <w:t>completed</w:t>
      </w:r>
      <w:r>
        <w:rPr>
          <w:color w:val="231F20"/>
          <w:spacing w:val="-14"/>
        </w:rPr>
        <w:t xml:space="preserve"> </w:t>
      </w:r>
      <w:r>
        <w:rPr>
          <w:color w:val="231F20"/>
        </w:rPr>
        <w:t>in</w:t>
      </w:r>
      <w:r>
        <w:rPr>
          <w:color w:val="231F20"/>
          <w:spacing w:val="-14"/>
        </w:rPr>
        <w:t xml:space="preserve"> </w:t>
      </w:r>
      <w:r>
        <w:rPr>
          <w:color w:val="231F20"/>
        </w:rPr>
        <w:t>2009</w:t>
      </w:r>
      <w:r>
        <w:rPr>
          <w:color w:val="231F20"/>
          <w:spacing w:val="-14"/>
        </w:rPr>
        <w:t xml:space="preserve"> </w:t>
      </w:r>
      <w:r>
        <w:rPr>
          <w:color w:val="231F20"/>
        </w:rPr>
        <w:t>and</w:t>
      </w:r>
      <w:r>
        <w:rPr>
          <w:color w:val="231F20"/>
          <w:spacing w:val="-14"/>
        </w:rPr>
        <w:t xml:space="preserve"> </w:t>
      </w:r>
      <w:r>
        <w:rPr>
          <w:color w:val="231F20"/>
        </w:rPr>
        <w:t>presently</w:t>
      </w:r>
      <w:r>
        <w:rPr>
          <w:color w:val="231F20"/>
          <w:spacing w:val="-14"/>
        </w:rPr>
        <w:t xml:space="preserve"> </w:t>
      </w:r>
      <w:r>
        <w:rPr>
          <w:color w:val="231F20"/>
        </w:rPr>
        <w:t>in</w:t>
      </w:r>
      <w:r>
        <w:rPr>
          <w:color w:val="231F20"/>
          <w:spacing w:val="-14"/>
        </w:rPr>
        <w:t xml:space="preserve"> </w:t>
      </w:r>
      <w:r>
        <w:rPr>
          <w:color w:val="231F20"/>
          <w:spacing w:val="-4"/>
        </w:rPr>
        <w:t xml:space="preserve">use </w:t>
      </w:r>
      <w:r>
        <w:rPr>
          <w:color w:val="231F20"/>
        </w:rPr>
        <w:t>and</w:t>
      </w:r>
      <w:r>
        <w:rPr>
          <w:color w:val="231F20"/>
          <w:spacing w:val="-26"/>
        </w:rPr>
        <w:t xml:space="preserve"> </w:t>
      </w:r>
      <w:r>
        <w:rPr>
          <w:color w:val="231F20"/>
        </w:rPr>
        <w:t>the</w:t>
      </w:r>
      <w:r>
        <w:rPr>
          <w:color w:val="231F20"/>
          <w:spacing w:val="-25"/>
        </w:rPr>
        <w:t xml:space="preserve"> </w:t>
      </w:r>
      <w:r>
        <w:rPr>
          <w:color w:val="231F20"/>
        </w:rPr>
        <w:t>Dental</w:t>
      </w:r>
      <w:r>
        <w:rPr>
          <w:color w:val="231F20"/>
          <w:spacing w:val="-25"/>
        </w:rPr>
        <w:t xml:space="preserve"> </w:t>
      </w:r>
      <w:r>
        <w:rPr>
          <w:color w:val="231F20"/>
        </w:rPr>
        <w:t>and</w:t>
      </w:r>
      <w:r>
        <w:rPr>
          <w:color w:val="231F20"/>
          <w:spacing w:val="-25"/>
        </w:rPr>
        <w:t xml:space="preserve"> </w:t>
      </w:r>
      <w:r>
        <w:rPr>
          <w:color w:val="231F20"/>
        </w:rPr>
        <w:t>Maxillofacial</w:t>
      </w:r>
      <w:r>
        <w:rPr>
          <w:color w:val="231F20"/>
          <w:spacing w:val="-25"/>
        </w:rPr>
        <w:t xml:space="preserve"> </w:t>
      </w:r>
      <w:r>
        <w:rPr>
          <w:color w:val="231F20"/>
        </w:rPr>
        <w:t>Hospital</w:t>
      </w:r>
      <w:r>
        <w:rPr>
          <w:color w:val="231F20"/>
          <w:spacing w:val="-25"/>
        </w:rPr>
        <w:t xml:space="preserve"> </w:t>
      </w:r>
      <w:r>
        <w:rPr>
          <w:color w:val="231F20"/>
        </w:rPr>
        <w:t>at</w:t>
      </w:r>
      <w:r>
        <w:rPr>
          <w:color w:val="231F20"/>
          <w:spacing w:val="-25"/>
        </w:rPr>
        <w:t xml:space="preserve"> </w:t>
      </w:r>
      <w:r>
        <w:rPr>
          <w:color w:val="231F20"/>
        </w:rPr>
        <w:t>Garrison</w:t>
      </w:r>
      <w:r>
        <w:rPr>
          <w:color w:val="231F20"/>
          <w:spacing w:val="-25"/>
        </w:rPr>
        <w:t xml:space="preserve"> </w:t>
      </w:r>
      <w:r>
        <w:rPr>
          <w:color w:val="231F20"/>
        </w:rPr>
        <w:t>for</w:t>
      </w:r>
      <w:r>
        <w:rPr>
          <w:color w:val="231F20"/>
          <w:spacing w:val="-25"/>
        </w:rPr>
        <w:t xml:space="preserve"> </w:t>
      </w:r>
      <w:r>
        <w:rPr>
          <w:color w:val="231F20"/>
        </w:rPr>
        <w:t>specialist</w:t>
      </w:r>
      <w:r>
        <w:rPr>
          <w:color w:val="231F20"/>
          <w:spacing w:val="-25"/>
        </w:rPr>
        <w:t xml:space="preserve"> </w:t>
      </w:r>
      <w:r>
        <w:rPr>
          <w:color w:val="231F20"/>
        </w:rPr>
        <w:t>care.</w:t>
      </w:r>
    </w:p>
    <w:p w14:paraId="0602147D" w14:textId="77777777" w:rsidR="009948F1" w:rsidRDefault="00BC0563">
      <w:pPr>
        <w:pStyle w:val="ListParagraph"/>
        <w:numPr>
          <w:ilvl w:val="3"/>
          <w:numId w:val="320"/>
        </w:numPr>
        <w:tabs>
          <w:tab w:val="left" w:pos="881"/>
        </w:tabs>
        <w:spacing w:line="276" w:lineRule="auto"/>
        <w:ind w:right="200"/>
      </w:pPr>
      <w:r>
        <w:rPr>
          <w:color w:val="231F20"/>
        </w:rPr>
        <w:t>The Ministry partnered with FHI 360 in the development of Human Resources for Health Strategic</w:t>
      </w:r>
      <w:r>
        <w:rPr>
          <w:color w:val="231F20"/>
          <w:spacing w:val="-26"/>
        </w:rPr>
        <w:t xml:space="preserve"> </w:t>
      </w:r>
      <w:r>
        <w:rPr>
          <w:color w:val="231F20"/>
        </w:rPr>
        <w:t>Policy</w:t>
      </w:r>
      <w:r>
        <w:rPr>
          <w:color w:val="231F20"/>
          <w:spacing w:val="-25"/>
        </w:rPr>
        <w:t xml:space="preserve"> </w:t>
      </w:r>
      <w:r>
        <w:rPr>
          <w:color w:val="231F20"/>
        </w:rPr>
        <w:t>and</w:t>
      </w:r>
      <w:r>
        <w:rPr>
          <w:color w:val="231F20"/>
          <w:spacing w:val="-25"/>
        </w:rPr>
        <w:t xml:space="preserve"> </w:t>
      </w:r>
      <w:r>
        <w:rPr>
          <w:color w:val="231F20"/>
        </w:rPr>
        <w:t>Plan</w:t>
      </w:r>
      <w:r>
        <w:rPr>
          <w:color w:val="231F20"/>
          <w:spacing w:val="-25"/>
        </w:rPr>
        <w:t xml:space="preserve"> </w:t>
      </w:r>
      <w:r>
        <w:rPr>
          <w:color w:val="231F20"/>
        </w:rPr>
        <w:t>for</w:t>
      </w:r>
      <w:r>
        <w:rPr>
          <w:color w:val="231F20"/>
          <w:spacing w:val="-25"/>
        </w:rPr>
        <w:t xml:space="preserve"> </w:t>
      </w:r>
      <w:r>
        <w:rPr>
          <w:color w:val="231F20"/>
        </w:rPr>
        <w:t>implementation</w:t>
      </w:r>
      <w:r>
        <w:rPr>
          <w:color w:val="231F20"/>
          <w:spacing w:val="-25"/>
        </w:rPr>
        <w:t xml:space="preserve"> </w:t>
      </w:r>
      <w:r>
        <w:rPr>
          <w:color w:val="231F20"/>
        </w:rPr>
        <w:t>(2015-2019).</w:t>
      </w:r>
    </w:p>
    <w:p w14:paraId="18D8C40C" w14:textId="77777777" w:rsidR="009948F1" w:rsidRDefault="00BC0563">
      <w:pPr>
        <w:pStyle w:val="ListParagraph"/>
        <w:numPr>
          <w:ilvl w:val="3"/>
          <w:numId w:val="320"/>
        </w:numPr>
        <w:tabs>
          <w:tab w:val="left" w:pos="881"/>
        </w:tabs>
        <w:spacing w:line="276" w:lineRule="auto"/>
        <w:ind w:right="200"/>
      </w:pPr>
      <w:r>
        <w:rPr>
          <w:color w:val="231F20"/>
        </w:rPr>
        <w:t xml:space="preserve">An Auto-disable Syringe </w:t>
      </w:r>
      <w:r>
        <w:rPr>
          <w:color w:val="231F20"/>
          <w:spacing w:val="-3"/>
        </w:rPr>
        <w:t xml:space="preserve">factory, </w:t>
      </w:r>
      <w:r>
        <w:rPr>
          <w:color w:val="231F20"/>
        </w:rPr>
        <w:t xml:space="preserve">which also manufactures intravenous fluids, exists </w:t>
      </w:r>
      <w:r>
        <w:rPr>
          <w:color w:val="231F20"/>
          <w:spacing w:val="-3"/>
        </w:rPr>
        <w:t xml:space="preserve">with </w:t>
      </w:r>
      <w:r>
        <w:rPr>
          <w:color w:val="231F20"/>
        </w:rPr>
        <w:t xml:space="preserve">technical partnership from Pan African Health Foundation. This has been expanded </w:t>
      </w:r>
      <w:r>
        <w:rPr>
          <w:color w:val="231F20"/>
          <w:spacing w:val="-7"/>
        </w:rPr>
        <w:t xml:space="preserve">to </w:t>
      </w:r>
      <w:r>
        <w:rPr>
          <w:color w:val="231F20"/>
        </w:rPr>
        <w:t>serve</w:t>
      </w:r>
      <w:r>
        <w:rPr>
          <w:color w:val="231F20"/>
          <w:spacing w:val="-26"/>
        </w:rPr>
        <w:t xml:space="preserve"> </w:t>
      </w:r>
      <w:r>
        <w:rPr>
          <w:color w:val="231F20"/>
        </w:rPr>
        <w:t>the</w:t>
      </w:r>
      <w:r>
        <w:rPr>
          <w:color w:val="231F20"/>
          <w:spacing w:val="-25"/>
        </w:rPr>
        <w:t xml:space="preserve"> </w:t>
      </w:r>
      <w:r>
        <w:rPr>
          <w:color w:val="231F20"/>
        </w:rPr>
        <w:t>total</w:t>
      </w:r>
      <w:r>
        <w:rPr>
          <w:color w:val="231F20"/>
          <w:spacing w:val="-25"/>
        </w:rPr>
        <w:t xml:space="preserve"> </w:t>
      </w:r>
      <w:r>
        <w:rPr>
          <w:color w:val="231F20"/>
        </w:rPr>
        <w:t>syringe</w:t>
      </w:r>
      <w:r>
        <w:rPr>
          <w:color w:val="231F20"/>
          <w:spacing w:val="-25"/>
        </w:rPr>
        <w:t xml:space="preserve"> </w:t>
      </w:r>
      <w:r>
        <w:rPr>
          <w:color w:val="231F20"/>
        </w:rPr>
        <w:t>needs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country</w:t>
      </w:r>
      <w:r>
        <w:rPr>
          <w:color w:val="231F20"/>
          <w:spacing w:val="-25"/>
        </w:rPr>
        <w:t xml:space="preserve"> </w:t>
      </w:r>
      <w:r>
        <w:rPr>
          <w:color w:val="231F20"/>
        </w:rPr>
        <w:t>and</w:t>
      </w:r>
      <w:r>
        <w:rPr>
          <w:color w:val="231F20"/>
          <w:spacing w:val="-25"/>
        </w:rPr>
        <w:t xml:space="preserve"> </w:t>
      </w:r>
      <w:r>
        <w:rPr>
          <w:color w:val="231F20"/>
        </w:rPr>
        <w:t>West</w:t>
      </w:r>
      <w:r>
        <w:rPr>
          <w:color w:val="231F20"/>
          <w:spacing w:val="-37"/>
        </w:rPr>
        <w:t xml:space="preserve"> </w:t>
      </w:r>
      <w:r>
        <w:rPr>
          <w:color w:val="231F20"/>
        </w:rPr>
        <w:t>Africa.</w:t>
      </w:r>
    </w:p>
    <w:p w14:paraId="4EE5C285" w14:textId="77777777" w:rsidR="009948F1" w:rsidRDefault="00BC0563">
      <w:pPr>
        <w:pStyle w:val="BodyText"/>
        <w:spacing w:line="276" w:lineRule="auto"/>
        <w:ind w:left="160" w:right="201"/>
        <w:jc w:val="both"/>
      </w:pPr>
      <w:r>
        <w:rPr>
          <w:color w:val="231F20"/>
        </w:rPr>
        <w:t xml:space="preserve">The Public-Private Partnership </w:t>
      </w:r>
      <w:proofErr w:type="spellStart"/>
      <w:r>
        <w:rPr>
          <w:color w:val="231F20"/>
        </w:rPr>
        <w:t>programmes</w:t>
      </w:r>
      <w:proofErr w:type="spellEnd"/>
      <w:r>
        <w:rPr>
          <w:color w:val="231F20"/>
        </w:rPr>
        <w:t xml:space="preserve"> have benefited the Rivers people greatly especially when there is a strike in the health sector, these facilities bridge the gap during this period. The services are expensive and available only to a limited cadre of individuals.</w:t>
      </w:r>
    </w:p>
    <w:p w14:paraId="5F645111" w14:textId="77777777" w:rsidR="009948F1" w:rsidRDefault="009948F1">
      <w:pPr>
        <w:pStyle w:val="BodyText"/>
        <w:spacing w:before="8"/>
        <w:rPr>
          <w:sz w:val="24"/>
        </w:rPr>
      </w:pPr>
    </w:p>
    <w:p w14:paraId="2686D078" w14:textId="77777777" w:rsidR="009948F1" w:rsidRDefault="00BC0563">
      <w:pPr>
        <w:pStyle w:val="Heading7"/>
        <w:numPr>
          <w:ilvl w:val="2"/>
          <w:numId w:val="320"/>
        </w:numPr>
        <w:tabs>
          <w:tab w:val="left" w:pos="881"/>
        </w:tabs>
        <w:ind w:hanging="721"/>
        <w:jc w:val="both"/>
      </w:pPr>
      <w:r>
        <w:rPr>
          <w:color w:val="231F20"/>
        </w:rPr>
        <w:t>Community</w:t>
      </w:r>
      <w:r>
        <w:rPr>
          <w:color w:val="231F20"/>
          <w:spacing w:val="-25"/>
        </w:rPr>
        <w:t xml:space="preserve"> </w:t>
      </w:r>
      <w:r>
        <w:rPr>
          <w:color w:val="231F20"/>
        </w:rPr>
        <w:t>participation</w:t>
      </w:r>
      <w:r>
        <w:rPr>
          <w:color w:val="231F20"/>
          <w:spacing w:val="-25"/>
        </w:rPr>
        <w:t xml:space="preserve"> </w:t>
      </w:r>
      <w:r>
        <w:rPr>
          <w:color w:val="231F20"/>
        </w:rPr>
        <w:t>and</w:t>
      </w:r>
      <w:r>
        <w:rPr>
          <w:color w:val="231F20"/>
          <w:spacing w:val="-25"/>
        </w:rPr>
        <w:t xml:space="preserve"> </w:t>
      </w:r>
      <w:r>
        <w:rPr>
          <w:color w:val="231F20"/>
        </w:rPr>
        <w:t>ownership</w:t>
      </w:r>
    </w:p>
    <w:p w14:paraId="1CF85686" w14:textId="4147FD4D" w:rsidR="009948F1" w:rsidRDefault="00BC0563">
      <w:pPr>
        <w:pStyle w:val="BodyText"/>
        <w:spacing w:before="37" w:line="276" w:lineRule="auto"/>
        <w:ind w:left="160" w:right="201"/>
        <w:jc w:val="both"/>
      </w:pPr>
      <w:r>
        <w:rPr>
          <w:color w:val="231F20"/>
        </w:rPr>
        <w:t xml:space="preserve">Community participation ensures we engage communities to participate in key activities through the </w:t>
      </w:r>
      <w:r>
        <w:rPr>
          <w:color w:val="231F20"/>
          <w:spacing w:val="-3"/>
        </w:rPr>
        <w:t xml:space="preserve">Ward </w:t>
      </w:r>
      <w:r>
        <w:rPr>
          <w:color w:val="231F20"/>
        </w:rPr>
        <w:t>Development Committees (WDCs), Village/voluntary, Civil Societies Organizations (CSOs)</w:t>
      </w:r>
      <w:r>
        <w:rPr>
          <w:color w:val="231F20"/>
          <w:spacing w:val="-17"/>
        </w:rPr>
        <w:t xml:space="preserve"> </w:t>
      </w:r>
      <w:r>
        <w:rPr>
          <w:color w:val="231F20"/>
        </w:rPr>
        <w:t>and</w:t>
      </w:r>
      <w:r>
        <w:rPr>
          <w:color w:val="231F20"/>
          <w:spacing w:val="-15"/>
        </w:rPr>
        <w:t xml:space="preserve"> </w:t>
      </w:r>
      <w:r>
        <w:rPr>
          <w:color w:val="231F20"/>
        </w:rPr>
        <w:t>Community</w:t>
      </w:r>
      <w:r>
        <w:rPr>
          <w:color w:val="231F20"/>
          <w:spacing w:val="-15"/>
        </w:rPr>
        <w:t xml:space="preserve"> </w:t>
      </w:r>
      <w:r>
        <w:rPr>
          <w:color w:val="231F20"/>
        </w:rPr>
        <w:t>Based</w:t>
      </w:r>
      <w:r>
        <w:rPr>
          <w:color w:val="231F20"/>
          <w:spacing w:val="-16"/>
        </w:rPr>
        <w:t xml:space="preserve"> </w:t>
      </w:r>
      <w:r>
        <w:rPr>
          <w:color w:val="231F20"/>
        </w:rPr>
        <w:t>Organizations</w:t>
      </w:r>
      <w:r>
        <w:rPr>
          <w:color w:val="231F20"/>
          <w:spacing w:val="-15"/>
        </w:rPr>
        <w:t xml:space="preserve"> </w:t>
      </w:r>
      <w:r>
        <w:rPr>
          <w:color w:val="231F20"/>
        </w:rPr>
        <w:t>(CBOs).</w:t>
      </w:r>
      <w:r>
        <w:rPr>
          <w:color w:val="231F20"/>
          <w:spacing w:val="-20"/>
        </w:rPr>
        <w:t xml:space="preserve"> </w:t>
      </w:r>
      <w:r>
        <w:rPr>
          <w:color w:val="231F20"/>
        </w:rPr>
        <w:t>This</w:t>
      </w:r>
      <w:r>
        <w:rPr>
          <w:color w:val="231F20"/>
          <w:spacing w:val="-16"/>
        </w:rPr>
        <w:t xml:space="preserve"> </w:t>
      </w:r>
      <w:r>
        <w:rPr>
          <w:color w:val="231F20"/>
        </w:rPr>
        <w:t>ensures</w:t>
      </w:r>
      <w:r>
        <w:rPr>
          <w:color w:val="231F20"/>
          <w:spacing w:val="-15"/>
        </w:rPr>
        <w:t xml:space="preserve"> </w:t>
      </w:r>
      <w:r>
        <w:rPr>
          <w:color w:val="231F20"/>
        </w:rPr>
        <w:t>the</w:t>
      </w:r>
      <w:r>
        <w:rPr>
          <w:color w:val="231F20"/>
          <w:spacing w:val="-17"/>
        </w:rPr>
        <w:t xml:space="preserve"> </w:t>
      </w:r>
      <w:r>
        <w:rPr>
          <w:color w:val="231F20"/>
        </w:rPr>
        <w:t>underserved</w:t>
      </w:r>
      <w:r>
        <w:rPr>
          <w:color w:val="231F20"/>
          <w:spacing w:val="-15"/>
        </w:rPr>
        <w:t xml:space="preserve"> </w:t>
      </w:r>
      <w:r>
        <w:rPr>
          <w:color w:val="231F20"/>
        </w:rPr>
        <w:t>are</w:t>
      </w:r>
      <w:r>
        <w:rPr>
          <w:color w:val="231F20"/>
          <w:spacing w:val="-15"/>
        </w:rPr>
        <w:t xml:space="preserve"> </w:t>
      </w:r>
      <w:r>
        <w:rPr>
          <w:color w:val="231F20"/>
        </w:rPr>
        <w:t>reached also</w:t>
      </w:r>
      <w:r>
        <w:rPr>
          <w:color w:val="231F20"/>
          <w:spacing w:val="-23"/>
        </w:rPr>
        <w:t xml:space="preserve"> </w:t>
      </w:r>
      <w:r>
        <w:rPr>
          <w:color w:val="231F20"/>
        </w:rPr>
        <w:t>enlightening</w:t>
      </w:r>
      <w:r>
        <w:rPr>
          <w:color w:val="231F20"/>
          <w:spacing w:val="-22"/>
        </w:rPr>
        <w:t xml:space="preserve"> </w:t>
      </w:r>
      <w:r>
        <w:rPr>
          <w:color w:val="231F20"/>
        </w:rPr>
        <w:t>and</w:t>
      </w:r>
      <w:r>
        <w:rPr>
          <w:color w:val="231F20"/>
          <w:spacing w:val="-22"/>
        </w:rPr>
        <w:t xml:space="preserve"> </w:t>
      </w:r>
      <w:r>
        <w:rPr>
          <w:color w:val="231F20"/>
        </w:rPr>
        <w:t>empowering</w:t>
      </w:r>
      <w:r>
        <w:rPr>
          <w:color w:val="231F20"/>
          <w:spacing w:val="-22"/>
        </w:rPr>
        <w:t xml:space="preserve"> </w:t>
      </w:r>
      <w:r>
        <w:rPr>
          <w:color w:val="231F20"/>
        </w:rPr>
        <w:t>communities</w:t>
      </w:r>
      <w:r>
        <w:rPr>
          <w:color w:val="231F20"/>
          <w:spacing w:val="-22"/>
        </w:rPr>
        <w:t xml:space="preserve"> </w:t>
      </w:r>
      <w:r>
        <w:rPr>
          <w:color w:val="231F20"/>
        </w:rPr>
        <w:t>through</w:t>
      </w:r>
      <w:r>
        <w:rPr>
          <w:color w:val="231F20"/>
          <w:spacing w:val="-22"/>
        </w:rPr>
        <w:t xml:space="preserve"> </w:t>
      </w:r>
      <w:r>
        <w:rPr>
          <w:color w:val="231F20"/>
        </w:rPr>
        <w:t>IEC</w:t>
      </w:r>
      <w:r>
        <w:rPr>
          <w:color w:val="231F20"/>
          <w:spacing w:val="-22"/>
        </w:rPr>
        <w:t xml:space="preserve"> </w:t>
      </w:r>
      <w:r>
        <w:rPr>
          <w:color w:val="231F20"/>
        </w:rPr>
        <w:t>and</w:t>
      </w:r>
      <w:r>
        <w:rPr>
          <w:color w:val="231F20"/>
          <w:spacing w:val="-22"/>
        </w:rPr>
        <w:t xml:space="preserve"> </w:t>
      </w:r>
      <w:r>
        <w:rPr>
          <w:color w:val="231F20"/>
        </w:rPr>
        <w:t>media</w:t>
      </w:r>
      <w:r>
        <w:rPr>
          <w:color w:val="231F20"/>
          <w:spacing w:val="-22"/>
        </w:rPr>
        <w:t xml:space="preserve"> </w:t>
      </w:r>
      <w:r>
        <w:rPr>
          <w:color w:val="231F20"/>
        </w:rPr>
        <w:t>helps</w:t>
      </w:r>
      <w:r>
        <w:rPr>
          <w:color w:val="231F20"/>
          <w:spacing w:val="-22"/>
        </w:rPr>
        <w:t xml:space="preserve"> </w:t>
      </w:r>
      <w:r>
        <w:rPr>
          <w:color w:val="231F20"/>
        </w:rPr>
        <w:t>to</w:t>
      </w:r>
      <w:r>
        <w:rPr>
          <w:color w:val="231F20"/>
          <w:spacing w:val="-22"/>
        </w:rPr>
        <w:t xml:space="preserve"> </w:t>
      </w:r>
      <w:r>
        <w:rPr>
          <w:color w:val="231F20"/>
        </w:rPr>
        <w:t>promote</w:t>
      </w:r>
      <w:r>
        <w:rPr>
          <w:color w:val="231F20"/>
          <w:spacing w:val="-22"/>
        </w:rPr>
        <w:t xml:space="preserve"> </w:t>
      </w:r>
      <w:r>
        <w:rPr>
          <w:color w:val="231F20"/>
        </w:rPr>
        <w:t>health</w:t>
      </w:r>
      <w:r>
        <w:rPr>
          <w:color w:val="231F20"/>
          <w:spacing w:val="-22"/>
        </w:rPr>
        <w:t xml:space="preserve"> </w:t>
      </w:r>
      <w:r>
        <w:rPr>
          <w:color w:val="231F20"/>
          <w:spacing w:val="-7"/>
        </w:rPr>
        <w:t xml:space="preserve">up </w:t>
      </w:r>
      <w:r>
        <w:rPr>
          <w:color w:val="231F20"/>
        </w:rPr>
        <w:t xml:space="preserve">to </w:t>
      </w:r>
      <w:proofErr w:type="gramStart"/>
      <w:r>
        <w:rPr>
          <w:color w:val="231F20"/>
        </w:rPr>
        <w:t>the</w:t>
      </w:r>
      <w:r w:rsidR="007A3789">
        <w:rPr>
          <w:color w:val="231F20"/>
        </w:rPr>
        <w:t xml:space="preserve"> </w:t>
      </w:r>
      <w:r>
        <w:rPr>
          <w:color w:val="231F20"/>
          <w:spacing w:val="-50"/>
        </w:rPr>
        <w:t xml:space="preserve"> </w:t>
      </w:r>
      <w:r>
        <w:rPr>
          <w:color w:val="231F20"/>
        </w:rPr>
        <w:t>grassroot</w:t>
      </w:r>
      <w:proofErr w:type="gramEnd"/>
      <w:r>
        <w:rPr>
          <w:color w:val="231F20"/>
        </w:rPr>
        <w:t>.</w:t>
      </w:r>
    </w:p>
    <w:p w14:paraId="7E1C1EBA" w14:textId="77777777" w:rsidR="009948F1" w:rsidRDefault="009948F1">
      <w:pPr>
        <w:pStyle w:val="BodyText"/>
        <w:rPr>
          <w:sz w:val="25"/>
        </w:rPr>
      </w:pPr>
    </w:p>
    <w:p w14:paraId="17D3D3C9" w14:textId="5F61AD73" w:rsidR="009948F1" w:rsidRDefault="00BC0563">
      <w:pPr>
        <w:pStyle w:val="BodyText"/>
        <w:spacing w:before="1" w:line="276" w:lineRule="auto"/>
        <w:ind w:left="159" w:right="201"/>
        <w:jc w:val="both"/>
      </w:pPr>
      <w:r>
        <w:rPr>
          <w:color w:val="231F20"/>
        </w:rPr>
        <w:t>There</w:t>
      </w:r>
      <w:r>
        <w:rPr>
          <w:color w:val="231F20"/>
          <w:spacing w:val="-17"/>
        </w:rPr>
        <w:t xml:space="preserve"> </w:t>
      </w:r>
      <w:r>
        <w:rPr>
          <w:color w:val="231F20"/>
        </w:rPr>
        <w:t>is</w:t>
      </w:r>
      <w:r>
        <w:rPr>
          <w:color w:val="231F20"/>
          <w:spacing w:val="-17"/>
        </w:rPr>
        <w:t xml:space="preserve"> </w:t>
      </w:r>
      <w:r>
        <w:rPr>
          <w:color w:val="231F20"/>
        </w:rPr>
        <w:t>also</w:t>
      </w:r>
      <w:r>
        <w:rPr>
          <w:color w:val="231F20"/>
          <w:spacing w:val="-17"/>
        </w:rPr>
        <w:t xml:space="preserve"> </w:t>
      </w:r>
      <w:r>
        <w:rPr>
          <w:color w:val="231F20"/>
        </w:rPr>
        <w:t>the</w:t>
      </w:r>
      <w:r>
        <w:rPr>
          <w:color w:val="231F20"/>
          <w:spacing w:val="-17"/>
        </w:rPr>
        <w:t xml:space="preserve"> </w:t>
      </w:r>
      <w:r>
        <w:rPr>
          <w:color w:val="231F20"/>
        </w:rPr>
        <w:t>Community</w:t>
      </w:r>
      <w:r>
        <w:rPr>
          <w:color w:val="231F20"/>
          <w:spacing w:val="-17"/>
        </w:rPr>
        <w:t xml:space="preserve"> </w:t>
      </w:r>
      <w:r>
        <w:rPr>
          <w:color w:val="231F20"/>
        </w:rPr>
        <w:t>Based</w:t>
      </w:r>
      <w:r>
        <w:rPr>
          <w:color w:val="231F20"/>
          <w:spacing w:val="-17"/>
        </w:rPr>
        <w:t xml:space="preserve"> </w:t>
      </w:r>
      <w:r>
        <w:rPr>
          <w:color w:val="231F20"/>
        </w:rPr>
        <w:t>Insurance</w:t>
      </w:r>
      <w:r>
        <w:rPr>
          <w:color w:val="231F20"/>
          <w:spacing w:val="-16"/>
        </w:rPr>
        <w:t xml:space="preserve"> </w:t>
      </w:r>
      <w:r>
        <w:rPr>
          <w:color w:val="231F20"/>
        </w:rPr>
        <w:t>Scheme</w:t>
      </w:r>
      <w:r>
        <w:rPr>
          <w:color w:val="231F20"/>
          <w:spacing w:val="-17"/>
        </w:rPr>
        <w:t xml:space="preserve"> </w:t>
      </w:r>
      <w:r>
        <w:rPr>
          <w:color w:val="231F20"/>
        </w:rPr>
        <w:t>(CHIS)</w:t>
      </w:r>
      <w:r>
        <w:rPr>
          <w:color w:val="231F20"/>
          <w:spacing w:val="-17"/>
        </w:rPr>
        <w:t xml:space="preserve"> </w:t>
      </w:r>
      <w:r>
        <w:rPr>
          <w:color w:val="231F20"/>
        </w:rPr>
        <w:t>initiated</w:t>
      </w:r>
      <w:r>
        <w:rPr>
          <w:color w:val="231F20"/>
          <w:spacing w:val="-17"/>
        </w:rPr>
        <w:t xml:space="preserve"> </w:t>
      </w:r>
      <w:r>
        <w:rPr>
          <w:color w:val="231F20"/>
        </w:rPr>
        <w:t>at</w:t>
      </w:r>
      <w:r>
        <w:rPr>
          <w:color w:val="231F20"/>
          <w:spacing w:val="-17"/>
        </w:rPr>
        <w:t xml:space="preserve"> </w:t>
      </w:r>
      <w:proofErr w:type="spellStart"/>
      <w:r>
        <w:rPr>
          <w:color w:val="231F20"/>
        </w:rPr>
        <w:t>Obio</w:t>
      </w:r>
      <w:proofErr w:type="spellEnd"/>
      <w:r>
        <w:rPr>
          <w:color w:val="231F20"/>
          <w:spacing w:val="-17"/>
        </w:rPr>
        <w:t xml:space="preserve"> </w:t>
      </w:r>
      <w:r>
        <w:rPr>
          <w:color w:val="231F20"/>
        </w:rPr>
        <w:t>Health</w:t>
      </w:r>
      <w:r>
        <w:rPr>
          <w:color w:val="231F20"/>
          <w:spacing w:val="-17"/>
        </w:rPr>
        <w:t xml:space="preserve"> </w:t>
      </w:r>
      <w:r>
        <w:rPr>
          <w:color w:val="231F20"/>
        </w:rPr>
        <w:t>care</w:t>
      </w:r>
      <w:r>
        <w:rPr>
          <w:color w:val="231F20"/>
          <w:spacing w:val="-16"/>
        </w:rPr>
        <w:t xml:space="preserve"> </w:t>
      </w:r>
      <w:r>
        <w:rPr>
          <w:color w:val="231F20"/>
        </w:rPr>
        <w:t xml:space="preserve">facility in partnership with Shell to provide comprehensive care to indigenes and also residents </w:t>
      </w:r>
      <w:r>
        <w:rPr>
          <w:color w:val="231F20"/>
          <w:spacing w:val="-6"/>
        </w:rPr>
        <w:t xml:space="preserve">of </w:t>
      </w:r>
      <w:proofErr w:type="spellStart"/>
      <w:r>
        <w:rPr>
          <w:color w:val="231F20"/>
        </w:rPr>
        <w:t>Rumu</w:t>
      </w:r>
      <w:r w:rsidR="007A3789">
        <w:rPr>
          <w:color w:val="231F20"/>
        </w:rPr>
        <w:t>o</w:t>
      </w:r>
      <w:r>
        <w:rPr>
          <w:color w:val="231F20"/>
        </w:rPr>
        <w:t>masi</w:t>
      </w:r>
      <w:proofErr w:type="spellEnd"/>
      <w:r>
        <w:rPr>
          <w:color w:val="231F20"/>
          <w:spacing w:val="-23"/>
        </w:rPr>
        <w:t xml:space="preserve"> </w:t>
      </w:r>
      <w:r>
        <w:rPr>
          <w:color w:val="231F20"/>
        </w:rPr>
        <w:t>who</w:t>
      </w:r>
      <w:r>
        <w:rPr>
          <w:color w:val="231F20"/>
          <w:spacing w:val="-22"/>
        </w:rPr>
        <w:t xml:space="preserve"> </w:t>
      </w:r>
      <w:r>
        <w:rPr>
          <w:color w:val="231F20"/>
        </w:rPr>
        <w:t>voluntarily</w:t>
      </w:r>
      <w:r>
        <w:rPr>
          <w:color w:val="231F20"/>
          <w:spacing w:val="-22"/>
        </w:rPr>
        <w:t xml:space="preserve"> </w:t>
      </w:r>
      <w:r>
        <w:rPr>
          <w:color w:val="231F20"/>
        </w:rPr>
        <w:t>contribute</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Scheme.</w:t>
      </w:r>
      <w:r>
        <w:rPr>
          <w:color w:val="231F20"/>
          <w:spacing w:val="-26"/>
        </w:rPr>
        <w:t xml:space="preserve"> </w:t>
      </w:r>
      <w:r>
        <w:rPr>
          <w:color w:val="231F20"/>
        </w:rPr>
        <w:t>This</w:t>
      </w:r>
      <w:r>
        <w:rPr>
          <w:color w:val="231F20"/>
          <w:spacing w:val="-22"/>
        </w:rPr>
        <w:t xml:space="preserve"> </w:t>
      </w:r>
      <w:r>
        <w:rPr>
          <w:color w:val="231F20"/>
        </w:rPr>
        <w:t>CHIS</w:t>
      </w:r>
      <w:r>
        <w:rPr>
          <w:color w:val="231F20"/>
          <w:spacing w:val="-22"/>
        </w:rPr>
        <w:t xml:space="preserve"> </w:t>
      </w:r>
      <w:r>
        <w:rPr>
          <w:color w:val="231F20"/>
        </w:rPr>
        <w:t>has</w:t>
      </w:r>
      <w:r>
        <w:rPr>
          <w:color w:val="231F20"/>
          <w:spacing w:val="-22"/>
        </w:rPr>
        <w:t xml:space="preserve"> </w:t>
      </w:r>
      <w:r>
        <w:rPr>
          <w:color w:val="231F20"/>
        </w:rPr>
        <w:t>been</w:t>
      </w:r>
      <w:r>
        <w:rPr>
          <w:color w:val="231F20"/>
          <w:spacing w:val="-22"/>
        </w:rPr>
        <w:t xml:space="preserve"> </w:t>
      </w:r>
      <w:r>
        <w:rPr>
          <w:color w:val="231F20"/>
        </w:rPr>
        <w:t>a</w:t>
      </w:r>
      <w:r>
        <w:rPr>
          <w:color w:val="231F20"/>
          <w:spacing w:val="-22"/>
        </w:rPr>
        <w:t xml:space="preserve"> </w:t>
      </w:r>
      <w:r>
        <w:rPr>
          <w:color w:val="231F20"/>
        </w:rPr>
        <w:t>success</w:t>
      </w:r>
      <w:r>
        <w:rPr>
          <w:color w:val="231F20"/>
          <w:spacing w:val="-22"/>
        </w:rPr>
        <w:t xml:space="preserve"> </w:t>
      </w:r>
      <w:r>
        <w:rPr>
          <w:color w:val="231F20"/>
        </w:rPr>
        <w:t>story</w:t>
      </w:r>
      <w:r>
        <w:rPr>
          <w:color w:val="231F20"/>
          <w:spacing w:val="-22"/>
        </w:rPr>
        <w:t xml:space="preserve"> </w:t>
      </w:r>
      <w:r>
        <w:rPr>
          <w:color w:val="231F20"/>
        </w:rPr>
        <w:t>and</w:t>
      </w:r>
      <w:r>
        <w:rPr>
          <w:color w:val="231F20"/>
          <w:spacing w:val="-22"/>
        </w:rPr>
        <w:t xml:space="preserve"> </w:t>
      </w:r>
      <w:r>
        <w:rPr>
          <w:color w:val="231F20"/>
        </w:rPr>
        <w:t>it</w:t>
      </w:r>
      <w:r>
        <w:rPr>
          <w:color w:val="231F20"/>
          <w:spacing w:val="-22"/>
        </w:rPr>
        <w:t xml:space="preserve"> </w:t>
      </w:r>
      <w:r>
        <w:rPr>
          <w:color w:val="231F20"/>
          <w:spacing w:val="-5"/>
        </w:rPr>
        <w:t xml:space="preserve">led </w:t>
      </w:r>
      <w:r>
        <w:rPr>
          <w:color w:val="231F20"/>
        </w:rPr>
        <w:t xml:space="preserve">to the establishment of another, the </w:t>
      </w:r>
      <w:proofErr w:type="spellStart"/>
      <w:r>
        <w:rPr>
          <w:color w:val="231F20"/>
        </w:rPr>
        <w:t>Rumukwurushi</w:t>
      </w:r>
      <w:proofErr w:type="spellEnd"/>
      <w:r>
        <w:rPr>
          <w:color w:val="231F20"/>
        </w:rPr>
        <w:t xml:space="preserve"> Community Based Insurance Scheme in </w:t>
      </w:r>
      <w:proofErr w:type="spellStart"/>
      <w:r>
        <w:rPr>
          <w:color w:val="231F20"/>
        </w:rPr>
        <w:t>Rumukwurushi</w:t>
      </w:r>
      <w:proofErr w:type="spellEnd"/>
      <w:r>
        <w:rPr>
          <w:color w:val="231F20"/>
        </w:rPr>
        <w:t>, Rivers</w:t>
      </w:r>
      <w:r>
        <w:rPr>
          <w:color w:val="231F20"/>
          <w:spacing w:val="-50"/>
        </w:rPr>
        <w:t xml:space="preserve"> </w:t>
      </w:r>
      <w:r>
        <w:rPr>
          <w:color w:val="231F20"/>
        </w:rPr>
        <w:t>State.</w:t>
      </w:r>
    </w:p>
    <w:p w14:paraId="34709692" w14:textId="77777777" w:rsidR="009948F1" w:rsidRDefault="009948F1">
      <w:pPr>
        <w:spacing w:line="276" w:lineRule="auto"/>
        <w:jc w:val="both"/>
        <w:sectPr w:rsidR="009948F1">
          <w:pgSz w:w="11910" w:h="16840"/>
          <w:pgMar w:top="1240" w:right="1080" w:bottom="1420" w:left="1120" w:header="0" w:footer="1235" w:gutter="0"/>
          <w:cols w:space="720"/>
        </w:sectPr>
      </w:pPr>
    </w:p>
    <w:p w14:paraId="5E4D1CA1" w14:textId="77777777" w:rsidR="009948F1" w:rsidRDefault="00BC0563">
      <w:pPr>
        <w:pStyle w:val="Heading7"/>
        <w:numPr>
          <w:ilvl w:val="2"/>
          <w:numId w:val="320"/>
        </w:numPr>
        <w:tabs>
          <w:tab w:val="left" w:pos="873"/>
        </w:tabs>
        <w:spacing w:before="50"/>
        <w:ind w:left="872" w:hanging="721"/>
        <w:jc w:val="both"/>
      </w:pPr>
      <w:bookmarkStart w:id="37" w:name="Page_28"/>
      <w:bookmarkEnd w:id="37"/>
      <w:r>
        <w:rPr>
          <w:color w:val="231F20"/>
        </w:rPr>
        <w:lastRenderedPageBreak/>
        <w:t>Health information</w:t>
      </w:r>
      <w:r>
        <w:rPr>
          <w:color w:val="231F20"/>
          <w:spacing w:val="-50"/>
        </w:rPr>
        <w:t xml:space="preserve"> </w:t>
      </w:r>
      <w:r>
        <w:rPr>
          <w:color w:val="231F20"/>
        </w:rPr>
        <w:t>system</w:t>
      </w:r>
    </w:p>
    <w:p w14:paraId="4F50322A" w14:textId="613E7470" w:rsidR="009948F1" w:rsidRDefault="00BC0563">
      <w:pPr>
        <w:pStyle w:val="BodyText"/>
        <w:spacing w:before="43" w:line="280" w:lineRule="auto"/>
        <w:ind w:left="151" w:right="158"/>
        <w:jc w:val="both"/>
      </w:pPr>
      <w:r>
        <w:rPr>
          <w:color w:val="231F20"/>
        </w:rPr>
        <w:t>The</w:t>
      </w:r>
      <w:r>
        <w:rPr>
          <w:color w:val="231F20"/>
          <w:spacing w:val="-19"/>
        </w:rPr>
        <w:t xml:space="preserve"> </w:t>
      </w:r>
      <w:r>
        <w:rPr>
          <w:color w:val="231F20"/>
        </w:rPr>
        <w:t>State's</w:t>
      </w:r>
      <w:r>
        <w:rPr>
          <w:color w:val="231F20"/>
          <w:spacing w:val="-19"/>
        </w:rPr>
        <w:t xml:space="preserve"> </w:t>
      </w:r>
      <w:r>
        <w:rPr>
          <w:color w:val="231F20"/>
        </w:rPr>
        <w:t>Health</w:t>
      </w:r>
      <w:r>
        <w:rPr>
          <w:color w:val="231F20"/>
          <w:spacing w:val="-19"/>
        </w:rPr>
        <w:t xml:space="preserve"> </w:t>
      </w:r>
      <w:r>
        <w:rPr>
          <w:color w:val="231F20"/>
        </w:rPr>
        <w:t>Information</w:t>
      </w:r>
      <w:r>
        <w:rPr>
          <w:color w:val="231F20"/>
          <w:spacing w:val="-19"/>
        </w:rPr>
        <w:t xml:space="preserve"> </w:t>
      </w:r>
      <w:r>
        <w:rPr>
          <w:color w:val="231F20"/>
        </w:rPr>
        <w:t>System</w:t>
      </w:r>
      <w:r>
        <w:rPr>
          <w:color w:val="231F20"/>
          <w:spacing w:val="-19"/>
        </w:rPr>
        <w:t xml:space="preserve"> </w:t>
      </w:r>
      <w:r>
        <w:rPr>
          <w:color w:val="231F20"/>
        </w:rPr>
        <w:t>(HIS)</w:t>
      </w:r>
      <w:r>
        <w:rPr>
          <w:color w:val="231F20"/>
          <w:spacing w:val="-19"/>
        </w:rPr>
        <w:t xml:space="preserve"> </w:t>
      </w:r>
      <w:r>
        <w:rPr>
          <w:color w:val="231F20"/>
        </w:rPr>
        <w:t>remains</w:t>
      </w:r>
      <w:r>
        <w:rPr>
          <w:color w:val="231F20"/>
          <w:spacing w:val="-19"/>
        </w:rPr>
        <w:t xml:space="preserve"> </w:t>
      </w:r>
      <w:r>
        <w:rPr>
          <w:color w:val="231F20"/>
        </w:rPr>
        <w:t>weak</w:t>
      </w:r>
      <w:r>
        <w:rPr>
          <w:color w:val="231F20"/>
          <w:spacing w:val="-19"/>
        </w:rPr>
        <w:t xml:space="preserve"> </w:t>
      </w:r>
      <w:r>
        <w:rPr>
          <w:color w:val="231F20"/>
        </w:rPr>
        <w:t>and</w:t>
      </w:r>
      <w:r>
        <w:rPr>
          <w:color w:val="231F20"/>
          <w:spacing w:val="-19"/>
        </w:rPr>
        <w:t xml:space="preserve"> </w:t>
      </w:r>
      <w:r>
        <w:rPr>
          <w:color w:val="231F20"/>
        </w:rPr>
        <w:t>fragmented</w:t>
      </w:r>
      <w:r>
        <w:rPr>
          <w:color w:val="231F20"/>
          <w:spacing w:val="-19"/>
        </w:rPr>
        <w:t xml:space="preserve"> </w:t>
      </w:r>
      <w:r>
        <w:rPr>
          <w:color w:val="231F20"/>
        </w:rPr>
        <w:t>with</w:t>
      </w:r>
      <w:r>
        <w:rPr>
          <w:color w:val="231F20"/>
          <w:spacing w:val="-18"/>
        </w:rPr>
        <w:t xml:space="preserve"> </w:t>
      </w:r>
      <w:r>
        <w:rPr>
          <w:color w:val="231F20"/>
        </w:rPr>
        <w:t>numerous</w:t>
      </w:r>
      <w:r>
        <w:rPr>
          <w:color w:val="231F20"/>
          <w:spacing w:val="-19"/>
        </w:rPr>
        <w:t xml:space="preserve"> </w:t>
      </w:r>
      <w:r>
        <w:rPr>
          <w:color w:val="231F20"/>
        </w:rPr>
        <w:t xml:space="preserve">vertical </w:t>
      </w:r>
      <w:proofErr w:type="spellStart"/>
      <w:r>
        <w:rPr>
          <w:color w:val="231F20"/>
        </w:rPr>
        <w:t>programmes</w:t>
      </w:r>
      <w:proofErr w:type="spellEnd"/>
      <w:r>
        <w:rPr>
          <w:color w:val="231F20"/>
        </w:rPr>
        <w:t xml:space="preserve">, which are mostly donor driven. Despite significant past investments aimed </w:t>
      </w:r>
      <w:r>
        <w:rPr>
          <w:color w:val="231F20"/>
          <w:spacing w:val="-6"/>
        </w:rPr>
        <w:t xml:space="preserve">at </w:t>
      </w:r>
      <w:r>
        <w:rPr>
          <w:color w:val="231F20"/>
        </w:rPr>
        <w:t xml:space="preserve">improving the State's HIS, the sub-sector remains challenged due to duplications and lack of </w:t>
      </w:r>
      <w:r>
        <w:rPr>
          <w:color w:val="231F20"/>
          <w:spacing w:val="-12"/>
        </w:rPr>
        <w:t xml:space="preserve">a </w:t>
      </w:r>
      <w:r>
        <w:rPr>
          <w:color w:val="231F20"/>
        </w:rPr>
        <w:t>common investment framework.</w:t>
      </w:r>
      <w:r>
        <w:rPr>
          <w:color w:val="231F20"/>
          <w:spacing w:val="-45"/>
        </w:rPr>
        <w:t xml:space="preserve"> </w:t>
      </w:r>
      <w:r w:rsidR="00764F74">
        <w:rPr>
          <w:color w:val="231F20"/>
        </w:rPr>
        <w:t>There are</w:t>
      </w:r>
      <w:r>
        <w:rPr>
          <w:color w:val="231F20"/>
        </w:rPr>
        <w:t xml:space="preserve"> multiplicity of data collection </w:t>
      </w:r>
      <w:r w:rsidR="007A3789">
        <w:rPr>
          <w:color w:val="231F20"/>
        </w:rPr>
        <w:t>tools. The</w:t>
      </w:r>
      <w:r>
        <w:rPr>
          <w:color w:val="231F20"/>
        </w:rPr>
        <w:t xml:space="preserve"> District </w:t>
      </w:r>
      <w:r>
        <w:rPr>
          <w:color w:val="231F20"/>
          <w:spacing w:val="-3"/>
        </w:rPr>
        <w:t xml:space="preserve">Health </w:t>
      </w:r>
      <w:r>
        <w:rPr>
          <w:color w:val="231F20"/>
        </w:rPr>
        <w:t>Information</w:t>
      </w:r>
      <w:r>
        <w:rPr>
          <w:color w:val="231F20"/>
          <w:spacing w:val="-25"/>
        </w:rPr>
        <w:t xml:space="preserve"> </w:t>
      </w:r>
      <w:r>
        <w:rPr>
          <w:color w:val="231F20"/>
        </w:rPr>
        <w:t>System</w:t>
      </w:r>
      <w:r>
        <w:rPr>
          <w:color w:val="231F20"/>
          <w:spacing w:val="-24"/>
        </w:rPr>
        <w:t xml:space="preserve"> </w:t>
      </w:r>
      <w:r>
        <w:rPr>
          <w:color w:val="231F20"/>
        </w:rPr>
        <w:t>(DHIS)</w:t>
      </w:r>
      <w:r>
        <w:rPr>
          <w:color w:val="231F20"/>
          <w:spacing w:val="-25"/>
        </w:rPr>
        <w:t xml:space="preserve"> </w:t>
      </w:r>
      <w:r>
        <w:rPr>
          <w:color w:val="231F20"/>
        </w:rPr>
        <w:t>suffers</w:t>
      </w:r>
      <w:r>
        <w:rPr>
          <w:color w:val="231F20"/>
          <w:spacing w:val="-24"/>
        </w:rPr>
        <w:t xml:space="preserve"> </w:t>
      </w:r>
      <w:r>
        <w:rPr>
          <w:color w:val="231F20"/>
        </w:rPr>
        <w:t>from</w:t>
      </w:r>
      <w:r>
        <w:rPr>
          <w:color w:val="231F20"/>
          <w:spacing w:val="-25"/>
        </w:rPr>
        <w:t xml:space="preserve"> </w:t>
      </w:r>
      <w:r>
        <w:rPr>
          <w:color w:val="231F20"/>
        </w:rPr>
        <w:t>the</w:t>
      </w:r>
      <w:r>
        <w:rPr>
          <w:color w:val="231F20"/>
          <w:spacing w:val="-24"/>
        </w:rPr>
        <w:t xml:space="preserve"> </w:t>
      </w:r>
      <w:r>
        <w:rPr>
          <w:color w:val="231F20"/>
        </w:rPr>
        <w:t>use</w:t>
      </w:r>
      <w:r>
        <w:rPr>
          <w:color w:val="231F20"/>
          <w:spacing w:val="-24"/>
        </w:rPr>
        <w:t xml:space="preserve"> </w:t>
      </w:r>
      <w:r>
        <w:rPr>
          <w:color w:val="231F20"/>
        </w:rPr>
        <w:t>of</w:t>
      </w:r>
      <w:r>
        <w:rPr>
          <w:color w:val="231F20"/>
          <w:spacing w:val="-25"/>
        </w:rPr>
        <w:t xml:space="preserve"> </w:t>
      </w:r>
      <w:r>
        <w:rPr>
          <w:color w:val="231F20"/>
        </w:rPr>
        <w:t>poorly</w:t>
      </w:r>
      <w:r>
        <w:rPr>
          <w:color w:val="231F20"/>
          <w:spacing w:val="-24"/>
        </w:rPr>
        <w:t xml:space="preserve"> </w:t>
      </w:r>
      <w:r>
        <w:rPr>
          <w:color w:val="231F20"/>
        </w:rPr>
        <w:t>defined</w:t>
      </w:r>
      <w:r>
        <w:rPr>
          <w:color w:val="231F20"/>
          <w:spacing w:val="-25"/>
        </w:rPr>
        <w:t xml:space="preserve"> </w:t>
      </w:r>
      <w:r>
        <w:rPr>
          <w:color w:val="231F20"/>
        </w:rPr>
        <w:t>non-standardized</w:t>
      </w:r>
      <w:r>
        <w:rPr>
          <w:color w:val="231F20"/>
          <w:spacing w:val="-24"/>
        </w:rPr>
        <w:t xml:space="preserve"> </w:t>
      </w:r>
      <w:r>
        <w:rPr>
          <w:color w:val="231F20"/>
        </w:rPr>
        <w:t>indicators.</w:t>
      </w:r>
      <w:r>
        <w:rPr>
          <w:color w:val="231F20"/>
          <w:spacing w:val="-36"/>
        </w:rPr>
        <w:t xml:space="preserve"> </w:t>
      </w:r>
      <w:r>
        <w:rPr>
          <w:color w:val="231F20"/>
          <w:spacing w:val="-3"/>
        </w:rPr>
        <w:t xml:space="preserve">Also, </w:t>
      </w:r>
      <w:r>
        <w:rPr>
          <w:color w:val="231F20"/>
        </w:rPr>
        <w:t xml:space="preserve">some of the Development Partners and the </w:t>
      </w:r>
      <w:proofErr w:type="spellStart"/>
      <w:r>
        <w:rPr>
          <w:color w:val="231F20"/>
        </w:rPr>
        <w:t>programmes</w:t>
      </w:r>
      <w:proofErr w:type="spellEnd"/>
      <w:r>
        <w:rPr>
          <w:color w:val="231F20"/>
        </w:rPr>
        <w:t xml:space="preserve"> they support are reluctant to </w:t>
      </w:r>
      <w:r w:rsidR="007A3789">
        <w:rPr>
          <w:color w:val="231F20"/>
        </w:rPr>
        <w:t>utilize</w:t>
      </w:r>
      <w:r>
        <w:rPr>
          <w:color w:val="231F20"/>
        </w:rPr>
        <w:t xml:space="preserve"> national tools. Monitoring and evaluation of programs and carrying out integrated supportive supervision</w:t>
      </w:r>
      <w:r>
        <w:rPr>
          <w:color w:val="231F20"/>
          <w:spacing w:val="-21"/>
        </w:rPr>
        <w:t xml:space="preserve"> </w:t>
      </w:r>
      <w:r>
        <w:rPr>
          <w:color w:val="231F20"/>
        </w:rPr>
        <w:t>through</w:t>
      </w:r>
      <w:r>
        <w:rPr>
          <w:color w:val="231F20"/>
          <w:spacing w:val="-20"/>
        </w:rPr>
        <w:t xml:space="preserve"> </w:t>
      </w:r>
      <w:r>
        <w:rPr>
          <w:color w:val="231F20"/>
        </w:rPr>
        <w:t>field</w:t>
      </w:r>
      <w:r>
        <w:rPr>
          <w:color w:val="231F20"/>
          <w:spacing w:val="-20"/>
        </w:rPr>
        <w:t xml:space="preserve"> </w:t>
      </w:r>
      <w:r>
        <w:rPr>
          <w:color w:val="231F20"/>
        </w:rPr>
        <w:t>visits</w:t>
      </w:r>
      <w:r>
        <w:rPr>
          <w:color w:val="231F20"/>
          <w:spacing w:val="-20"/>
        </w:rPr>
        <w:t xml:space="preserve"> </w:t>
      </w:r>
      <w:r>
        <w:rPr>
          <w:color w:val="231F20"/>
        </w:rPr>
        <w:t>and</w:t>
      </w:r>
      <w:r>
        <w:rPr>
          <w:color w:val="231F20"/>
          <w:spacing w:val="-21"/>
        </w:rPr>
        <w:t xml:space="preserve"> </w:t>
      </w:r>
      <w:r>
        <w:rPr>
          <w:color w:val="231F20"/>
        </w:rPr>
        <w:t>review</w:t>
      </w:r>
      <w:r>
        <w:rPr>
          <w:color w:val="231F20"/>
          <w:spacing w:val="-20"/>
        </w:rPr>
        <w:t xml:space="preserve"> </w:t>
      </w:r>
      <w:r>
        <w:rPr>
          <w:color w:val="231F20"/>
        </w:rPr>
        <w:t>meetings</w:t>
      </w:r>
      <w:r>
        <w:rPr>
          <w:color w:val="231F20"/>
          <w:spacing w:val="-20"/>
        </w:rPr>
        <w:t xml:space="preserve"> </w:t>
      </w:r>
      <w:r>
        <w:rPr>
          <w:color w:val="231F20"/>
        </w:rPr>
        <w:t>cannot</w:t>
      </w:r>
      <w:r>
        <w:rPr>
          <w:color w:val="231F20"/>
          <w:spacing w:val="-20"/>
        </w:rPr>
        <w:t xml:space="preserve"> </w:t>
      </w:r>
      <w:r>
        <w:rPr>
          <w:color w:val="231F20"/>
        </w:rPr>
        <w:t>be</w:t>
      </w:r>
      <w:r>
        <w:rPr>
          <w:color w:val="231F20"/>
          <w:spacing w:val="-21"/>
        </w:rPr>
        <w:t xml:space="preserve"> </w:t>
      </w:r>
      <w:r>
        <w:rPr>
          <w:color w:val="231F20"/>
        </w:rPr>
        <w:t>overemphasized.</w:t>
      </w:r>
      <w:r>
        <w:rPr>
          <w:color w:val="231F20"/>
          <w:spacing w:val="-20"/>
        </w:rPr>
        <w:t xml:space="preserve"> </w:t>
      </w:r>
      <w:r>
        <w:rPr>
          <w:color w:val="231F20"/>
        </w:rPr>
        <w:t>Recent</w:t>
      </w:r>
      <w:r>
        <w:rPr>
          <w:color w:val="231F20"/>
          <w:spacing w:val="-20"/>
        </w:rPr>
        <w:t xml:space="preserve"> </w:t>
      </w:r>
      <w:r>
        <w:rPr>
          <w:color w:val="231F20"/>
        </w:rPr>
        <w:t>innovation are</w:t>
      </w:r>
      <w:r>
        <w:rPr>
          <w:color w:val="231F20"/>
          <w:spacing w:val="-5"/>
        </w:rPr>
        <w:t xml:space="preserve"> </w:t>
      </w:r>
      <w:r>
        <w:rPr>
          <w:color w:val="231F20"/>
        </w:rPr>
        <w:t>the</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District</w:t>
      </w:r>
      <w:r>
        <w:rPr>
          <w:color w:val="231F20"/>
          <w:spacing w:val="-4"/>
        </w:rPr>
        <w:t xml:space="preserve"> </w:t>
      </w:r>
      <w:r>
        <w:rPr>
          <w:color w:val="231F20"/>
        </w:rPr>
        <w:t>Health</w:t>
      </w:r>
      <w:r>
        <w:rPr>
          <w:color w:val="231F20"/>
          <w:spacing w:val="-4"/>
        </w:rPr>
        <w:t xml:space="preserve"> </w:t>
      </w:r>
      <w:r>
        <w:rPr>
          <w:color w:val="231F20"/>
        </w:rPr>
        <w:t>Information</w:t>
      </w:r>
      <w:r>
        <w:rPr>
          <w:color w:val="231F20"/>
          <w:spacing w:val="-4"/>
        </w:rPr>
        <w:t xml:space="preserve"> </w:t>
      </w:r>
      <w:r>
        <w:rPr>
          <w:color w:val="231F20"/>
        </w:rPr>
        <w:t>System</w:t>
      </w:r>
      <w:r>
        <w:rPr>
          <w:color w:val="231F20"/>
          <w:spacing w:val="-4"/>
        </w:rPr>
        <w:t xml:space="preserve"> </w:t>
      </w:r>
      <w:r>
        <w:rPr>
          <w:color w:val="231F20"/>
        </w:rPr>
        <w:t>(DHIS)</w:t>
      </w:r>
      <w:r>
        <w:rPr>
          <w:color w:val="231F20"/>
          <w:spacing w:val="-4"/>
        </w:rPr>
        <w:t xml:space="preserve"> </w:t>
      </w:r>
      <w:r>
        <w:rPr>
          <w:color w:val="231F20"/>
        </w:rPr>
        <w:t>and</w:t>
      </w:r>
      <w:r>
        <w:rPr>
          <w:color w:val="231F20"/>
          <w:spacing w:val="-4"/>
        </w:rPr>
        <w:t xml:space="preserve"> </w:t>
      </w:r>
      <w:r>
        <w:rPr>
          <w:color w:val="231F20"/>
        </w:rPr>
        <w:t>technologies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Open</w:t>
      </w:r>
      <w:r>
        <w:rPr>
          <w:color w:val="231F20"/>
          <w:spacing w:val="-4"/>
        </w:rPr>
        <w:t xml:space="preserve"> </w:t>
      </w:r>
      <w:r>
        <w:rPr>
          <w:color w:val="231F20"/>
        </w:rPr>
        <w:t>Data</w:t>
      </w:r>
      <w:r>
        <w:rPr>
          <w:color w:val="231F20"/>
          <w:spacing w:val="-4"/>
        </w:rPr>
        <w:t xml:space="preserve"> </w:t>
      </w:r>
      <w:r>
        <w:rPr>
          <w:color w:val="231F20"/>
          <w:spacing w:val="-5"/>
        </w:rPr>
        <w:t xml:space="preserve">Kit </w:t>
      </w:r>
      <w:r>
        <w:rPr>
          <w:color w:val="231F20"/>
        </w:rPr>
        <w:t>(ODK)</w:t>
      </w:r>
      <w:r>
        <w:rPr>
          <w:color w:val="231F20"/>
          <w:spacing w:val="-21"/>
        </w:rPr>
        <w:t xml:space="preserve"> </w:t>
      </w:r>
      <w:r>
        <w:rPr>
          <w:color w:val="231F20"/>
        </w:rPr>
        <w:t>phones</w:t>
      </w:r>
      <w:r>
        <w:rPr>
          <w:color w:val="231F20"/>
          <w:spacing w:val="-21"/>
        </w:rPr>
        <w:t xml:space="preserve"> </w:t>
      </w:r>
      <w:r>
        <w:rPr>
          <w:color w:val="231F20"/>
        </w:rPr>
        <w:t>for</w:t>
      </w:r>
      <w:r>
        <w:rPr>
          <w:color w:val="231F20"/>
          <w:spacing w:val="-21"/>
        </w:rPr>
        <w:t xml:space="preserve"> </w:t>
      </w:r>
      <w:r>
        <w:rPr>
          <w:color w:val="231F20"/>
        </w:rPr>
        <w:t>data</w:t>
      </w:r>
      <w:r>
        <w:rPr>
          <w:color w:val="231F20"/>
          <w:spacing w:val="-21"/>
        </w:rPr>
        <w:t xml:space="preserve"> </w:t>
      </w:r>
      <w:r>
        <w:rPr>
          <w:color w:val="231F20"/>
        </w:rPr>
        <w:t>gathering</w:t>
      </w:r>
      <w:r>
        <w:rPr>
          <w:color w:val="231F20"/>
          <w:spacing w:val="-21"/>
        </w:rPr>
        <w:t xml:space="preserve"> </w:t>
      </w:r>
      <w:r>
        <w:rPr>
          <w:color w:val="231F20"/>
        </w:rPr>
        <w:t>and</w:t>
      </w:r>
      <w:r>
        <w:rPr>
          <w:color w:val="231F20"/>
          <w:spacing w:val="-21"/>
        </w:rPr>
        <w:t xml:space="preserve"> </w:t>
      </w:r>
      <w:r>
        <w:rPr>
          <w:color w:val="231F20"/>
        </w:rPr>
        <w:t>supervision</w:t>
      </w:r>
      <w:r>
        <w:rPr>
          <w:color w:val="231F20"/>
          <w:spacing w:val="-20"/>
        </w:rPr>
        <w:t xml:space="preserve"> </w:t>
      </w:r>
      <w:r>
        <w:rPr>
          <w:color w:val="231F20"/>
        </w:rPr>
        <w:t>by</w:t>
      </w:r>
      <w:r>
        <w:rPr>
          <w:color w:val="231F20"/>
          <w:spacing w:val="-21"/>
        </w:rPr>
        <w:t xml:space="preserve"> </w:t>
      </w:r>
      <w:r>
        <w:rPr>
          <w:color w:val="231F20"/>
        </w:rPr>
        <w:t>the</w:t>
      </w:r>
      <w:r>
        <w:rPr>
          <w:color w:val="231F20"/>
          <w:spacing w:val="-21"/>
        </w:rPr>
        <w:t xml:space="preserve"> </w:t>
      </w:r>
      <w:r>
        <w:rPr>
          <w:color w:val="231F20"/>
        </w:rPr>
        <w:t>RSPHCMB</w:t>
      </w:r>
      <w:r>
        <w:rPr>
          <w:color w:val="231F20"/>
          <w:spacing w:val="-21"/>
        </w:rPr>
        <w:t xml:space="preserve"> </w:t>
      </w:r>
      <w:r>
        <w:rPr>
          <w:color w:val="231F20"/>
        </w:rPr>
        <w:t>with</w:t>
      </w:r>
      <w:r>
        <w:rPr>
          <w:color w:val="231F20"/>
          <w:spacing w:val="-21"/>
        </w:rPr>
        <w:t xml:space="preserve"> </w:t>
      </w:r>
      <w:r>
        <w:rPr>
          <w:color w:val="231F20"/>
        </w:rPr>
        <w:t>provision</w:t>
      </w:r>
      <w:r>
        <w:rPr>
          <w:color w:val="231F20"/>
          <w:spacing w:val="-21"/>
        </w:rPr>
        <w:t xml:space="preserve"> </w:t>
      </w:r>
      <w:r>
        <w:rPr>
          <w:color w:val="231F20"/>
        </w:rPr>
        <w:t>of</w:t>
      </w:r>
      <w:r>
        <w:rPr>
          <w:color w:val="231F20"/>
          <w:spacing w:val="-20"/>
        </w:rPr>
        <w:t xml:space="preserve"> </w:t>
      </w:r>
      <w:r>
        <w:rPr>
          <w:color w:val="231F20"/>
        </w:rPr>
        <w:t>infrastructural support</w:t>
      </w:r>
      <w:r>
        <w:rPr>
          <w:color w:val="231F20"/>
          <w:spacing w:val="-17"/>
        </w:rPr>
        <w:t xml:space="preserve"> </w:t>
      </w:r>
      <w:r>
        <w:rPr>
          <w:color w:val="231F20"/>
        </w:rPr>
        <w:t>and</w:t>
      </w:r>
      <w:r>
        <w:rPr>
          <w:color w:val="231F20"/>
          <w:spacing w:val="-16"/>
        </w:rPr>
        <w:t xml:space="preserve"> </w:t>
      </w:r>
      <w:r>
        <w:rPr>
          <w:color w:val="231F20"/>
        </w:rPr>
        <w:t>ICT</w:t>
      </w:r>
      <w:r>
        <w:rPr>
          <w:color w:val="231F20"/>
          <w:spacing w:val="-20"/>
        </w:rPr>
        <w:t xml:space="preserve"> </w:t>
      </w:r>
      <w:r>
        <w:rPr>
          <w:color w:val="231F20"/>
        </w:rPr>
        <w:t>to</w:t>
      </w:r>
      <w:r>
        <w:rPr>
          <w:color w:val="231F20"/>
          <w:spacing w:val="-16"/>
        </w:rPr>
        <w:t xml:space="preserve"> </w:t>
      </w:r>
      <w:r>
        <w:rPr>
          <w:color w:val="231F20"/>
        </w:rPr>
        <w:t>ensure</w:t>
      </w:r>
      <w:r>
        <w:rPr>
          <w:color w:val="231F20"/>
          <w:spacing w:val="-16"/>
        </w:rPr>
        <w:t xml:space="preserve"> </w:t>
      </w:r>
      <w:r>
        <w:rPr>
          <w:color w:val="231F20"/>
        </w:rPr>
        <w:t>improved</w:t>
      </w:r>
      <w:r>
        <w:rPr>
          <w:color w:val="231F20"/>
          <w:spacing w:val="-16"/>
        </w:rPr>
        <w:t xml:space="preserve"> </w:t>
      </w:r>
      <w:r>
        <w:rPr>
          <w:color w:val="231F20"/>
        </w:rPr>
        <w:t>data</w:t>
      </w:r>
      <w:r>
        <w:rPr>
          <w:color w:val="231F20"/>
          <w:spacing w:val="-16"/>
        </w:rPr>
        <w:t xml:space="preserve"> </w:t>
      </w:r>
      <w:r>
        <w:rPr>
          <w:color w:val="231F20"/>
        </w:rPr>
        <w:t>collection</w:t>
      </w:r>
      <w:r>
        <w:rPr>
          <w:color w:val="231F20"/>
          <w:spacing w:val="-16"/>
        </w:rPr>
        <w:t xml:space="preserve"> </w:t>
      </w:r>
      <w:r>
        <w:rPr>
          <w:color w:val="231F20"/>
        </w:rPr>
        <w:t>and</w:t>
      </w:r>
      <w:r>
        <w:rPr>
          <w:color w:val="231F20"/>
          <w:spacing w:val="-16"/>
        </w:rPr>
        <w:t xml:space="preserve"> </w:t>
      </w:r>
      <w:r>
        <w:rPr>
          <w:color w:val="231F20"/>
        </w:rPr>
        <w:t>transmission.</w:t>
      </w:r>
      <w:r>
        <w:rPr>
          <w:color w:val="231F20"/>
          <w:spacing w:val="-21"/>
        </w:rPr>
        <w:t xml:space="preserve"> </w:t>
      </w:r>
      <w:r>
        <w:rPr>
          <w:color w:val="231F20"/>
        </w:rPr>
        <w:t>There</w:t>
      </w:r>
      <w:r>
        <w:rPr>
          <w:color w:val="231F20"/>
          <w:spacing w:val="-16"/>
        </w:rPr>
        <w:t xml:space="preserve"> </w:t>
      </w:r>
      <w:r>
        <w:rPr>
          <w:color w:val="231F20"/>
        </w:rPr>
        <w:t>is</w:t>
      </w:r>
      <w:r>
        <w:rPr>
          <w:color w:val="231F20"/>
          <w:spacing w:val="-16"/>
        </w:rPr>
        <w:t xml:space="preserve"> </w:t>
      </w:r>
      <w:r>
        <w:rPr>
          <w:color w:val="231F20"/>
        </w:rPr>
        <w:t>also</w:t>
      </w:r>
      <w:r>
        <w:rPr>
          <w:color w:val="231F20"/>
          <w:spacing w:val="-16"/>
        </w:rPr>
        <w:t xml:space="preserve"> </w:t>
      </w:r>
      <w:r>
        <w:rPr>
          <w:color w:val="231F20"/>
        </w:rPr>
        <w:t>the</w:t>
      </w:r>
      <w:r w:rsidR="007A3789">
        <w:rPr>
          <w:color w:val="231F20"/>
        </w:rPr>
        <w:t xml:space="preserve"> </w:t>
      </w:r>
      <w:r>
        <w:rPr>
          <w:color w:val="231F20"/>
        </w:rPr>
        <w:t xml:space="preserve">introduction of Online Phone calls for supervision and monitoring by RSPHCMB and the establishment of </w:t>
      </w:r>
      <w:r>
        <w:rPr>
          <w:color w:val="231F20"/>
          <w:spacing w:val="-11"/>
        </w:rPr>
        <w:t xml:space="preserve">a </w:t>
      </w:r>
      <w:r>
        <w:rPr>
          <w:color w:val="231F20"/>
        </w:rPr>
        <w:t xml:space="preserve">health databank for the Ministry of Health. The Ministry of Health also established a website: </w:t>
      </w:r>
      <w:hyperlink r:id="rId17">
        <w:r>
          <w:rPr>
            <w:rFonts w:ascii="Carlito"/>
            <w:color w:val="231F20"/>
            <w:spacing w:val="-3"/>
          </w:rPr>
          <w:t>www.riversstatemoh.gov.ng</w:t>
        </w:r>
        <w:r>
          <w:rPr>
            <w:rFonts w:ascii="Carlito"/>
            <w:color w:val="231F20"/>
            <w:spacing w:val="1"/>
          </w:rPr>
          <w:t xml:space="preserve"> </w:t>
        </w:r>
      </w:hyperlink>
      <w:r>
        <w:rPr>
          <w:color w:val="231F20"/>
        </w:rPr>
        <w:t>.The</w:t>
      </w:r>
      <w:r>
        <w:rPr>
          <w:color w:val="231F20"/>
          <w:spacing w:val="-9"/>
        </w:rPr>
        <w:t xml:space="preserve"> </w:t>
      </w:r>
      <w:r>
        <w:rPr>
          <w:color w:val="231F20"/>
        </w:rPr>
        <w:t>Ministry</w:t>
      </w:r>
      <w:r>
        <w:rPr>
          <w:color w:val="231F20"/>
          <w:spacing w:val="-9"/>
        </w:rPr>
        <w:t xml:space="preserve"> </w:t>
      </w:r>
      <w:r>
        <w:rPr>
          <w:color w:val="231F20"/>
        </w:rPr>
        <w:t>has</w:t>
      </w:r>
      <w:r>
        <w:rPr>
          <w:color w:val="231F20"/>
          <w:spacing w:val="-10"/>
        </w:rPr>
        <w:t xml:space="preserve"> </w:t>
      </w:r>
      <w:r>
        <w:rPr>
          <w:color w:val="231F20"/>
        </w:rPr>
        <w:t>also</w:t>
      </w:r>
      <w:r>
        <w:rPr>
          <w:color w:val="231F20"/>
          <w:spacing w:val="-9"/>
        </w:rPr>
        <w:t xml:space="preserve"> </w:t>
      </w:r>
      <w:r>
        <w:rPr>
          <w:color w:val="231F20"/>
        </w:rPr>
        <w:t>initiated</w:t>
      </w:r>
      <w:r>
        <w:rPr>
          <w:color w:val="231F20"/>
          <w:spacing w:val="-9"/>
        </w:rPr>
        <w:t xml:space="preserve"> </w:t>
      </w:r>
      <w:r>
        <w:rPr>
          <w:color w:val="231F20"/>
        </w:rPr>
        <w:t>moves</w:t>
      </w:r>
      <w:r>
        <w:rPr>
          <w:color w:val="231F20"/>
          <w:spacing w:val="-10"/>
        </w:rPr>
        <w:t xml:space="preserve"> </w:t>
      </w:r>
      <w:r>
        <w:rPr>
          <w:color w:val="231F20"/>
        </w:rPr>
        <w:t>to</w:t>
      </w:r>
      <w:r>
        <w:rPr>
          <w:color w:val="231F20"/>
          <w:spacing w:val="-9"/>
        </w:rPr>
        <w:t xml:space="preserve"> </w:t>
      </w:r>
      <w:r>
        <w:rPr>
          <w:color w:val="231F20"/>
        </w:rPr>
        <w:t>commence</w:t>
      </w:r>
      <w:r>
        <w:rPr>
          <w:color w:val="231F20"/>
          <w:spacing w:val="-9"/>
        </w:rPr>
        <w:t xml:space="preserve"> </w:t>
      </w:r>
      <w:r>
        <w:rPr>
          <w:color w:val="231F20"/>
        </w:rPr>
        <w:t>a</w:t>
      </w:r>
      <w:r>
        <w:rPr>
          <w:color w:val="231F20"/>
          <w:spacing w:val="-9"/>
        </w:rPr>
        <w:t xml:space="preserve"> </w:t>
      </w:r>
      <w:r>
        <w:rPr>
          <w:color w:val="231F20"/>
        </w:rPr>
        <w:t>pilot</w:t>
      </w:r>
      <w:r>
        <w:rPr>
          <w:color w:val="231F20"/>
          <w:spacing w:val="-10"/>
        </w:rPr>
        <w:t xml:space="preserve"> </w:t>
      </w:r>
      <w:r>
        <w:rPr>
          <w:color w:val="231F20"/>
        </w:rPr>
        <w:t>project</w:t>
      </w:r>
      <w:r>
        <w:rPr>
          <w:color w:val="231F20"/>
          <w:spacing w:val="-9"/>
        </w:rPr>
        <w:t xml:space="preserve"> </w:t>
      </w:r>
      <w:r>
        <w:rPr>
          <w:color w:val="231F20"/>
        </w:rPr>
        <w:t>on</w:t>
      </w:r>
      <w:r>
        <w:rPr>
          <w:color w:val="231F20"/>
          <w:spacing w:val="-9"/>
        </w:rPr>
        <w:t xml:space="preserve"> </w:t>
      </w:r>
      <w:r>
        <w:rPr>
          <w:color w:val="231F20"/>
        </w:rPr>
        <w:t>e- health</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2A161C1" w14:textId="77777777" w:rsidR="009948F1" w:rsidRDefault="009948F1">
      <w:pPr>
        <w:pStyle w:val="BodyText"/>
        <w:spacing w:before="8"/>
        <w:rPr>
          <w:sz w:val="24"/>
        </w:rPr>
      </w:pPr>
    </w:p>
    <w:p w14:paraId="1430038E" w14:textId="77777777" w:rsidR="009948F1" w:rsidRDefault="00BC0563">
      <w:pPr>
        <w:pStyle w:val="Heading7"/>
        <w:numPr>
          <w:ilvl w:val="1"/>
          <w:numId w:val="321"/>
        </w:numPr>
        <w:tabs>
          <w:tab w:val="left" w:pos="872"/>
        </w:tabs>
        <w:ind w:left="871" w:hanging="721"/>
        <w:jc w:val="both"/>
        <w:rPr>
          <w:color w:val="231F20"/>
        </w:rPr>
      </w:pPr>
      <w:bookmarkStart w:id="38" w:name="_TOC_250028"/>
      <w:r>
        <w:rPr>
          <w:color w:val="231F20"/>
        </w:rPr>
        <w:t>Health</w:t>
      </w:r>
      <w:r>
        <w:rPr>
          <w:color w:val="231F20"/>
          <w:spacing w:val="-25"/>
        </w:rPr>
        <w:t xml:space="preserve"> </w:t>
      </w:r>
      <w:r>
        <w:rPr>
          <w:color w:val="231F20"/>
        </w:rPr>
        <w:t>services</w:t>
      </w:r>
      <w:r>
        <w:rPr>
          <w:color w:val="231F20"/>
          <w:spacing w:val="-25"/>
        </w:rPr>
        <w:t xml:space="preserve"> </w:t>
      </w:r>
      <w:r>
        <w:rPr>
          <w:color w:val="231F20"/>
        </w:rPr>
        <w:t>provision</w:t>
      </w:r>
      <w:r>
        <w:rPr>
          <w:color w:val="231F20"/>
          <w:spacing w:val="-25"/>
        </w:rPr>
        <w:t xml:space="preserve"> </w:t>
      </w:r>
      <w:r>
        <w:rPr>
          <w:color w:val="231F20"/>
        </w:rPr>
        <w:t>and</w:t>
      </w:r>
      <w:r>
        <w:rPr>
          <w:color w:val="231F20"/>
          <w:spacing w:val="-25"/>
        </w:rPr>
        <w:t xml:space="preserve"> </w:t>
      </w:r>
      <w:bookmarkEnd w:id="38"/>
      <w:r>
        <w:rPr>
          <w:color w:val="231F20"/>
        </w:rPr>
        <w:t>utilization</w:t>
      </w:r>
    </w:p>
    <w:p w14:paraId="11051B48" w14:textId="77777777" w:rsidR="009948F1" w:rsidRDefault="00BC0563">
      <w:pPr>
        <w:pStyle w:val="ListParagraph"/>
        <w:numPr>
          <w:ilvl w:val="2"/>
          <w:numId w:val="321"/>
        </w:numPr>
        <w:tabs>
          <w:tab w:val="left" w:pos="872"/>
        </w:tabs>
        <w:spacing w:before="44"/>
        <w:ind w:hanging="721"/>
        <w:rPr>
          <w:b/>
        </w:rPr>
      </w:pPr>
      <w:r>
        <w:rPr>
          <w:b/>
          <w:color w:val="231F20"/>
        </w:rPr>
        <w:t>Scope,</w:t>
      </w:r>
      <w:r>
        <w:rPr>
          <w:b/>
          <w:color w:val="231F20"/>
          <w:spacing w:val="-25"/>
        </w:rPr>
        <w:t xml:space="preserve"> </w:t>
      </w:r>
      <w:r>
        <w:rPr>
          <w:b/>
          <w:color w:val="231F20"/>
        </w:rPr>
        <w:t>Coverage,</w:t>
      </w:r>
      <w:r>
        <w:rPr>
          <w:b/>
          <w:color w:val="231F20"/>
          <w:spacing w:val="-25"/>
        </w:rPr>
        <w:t xml:space="preserve"> </w:t>
      </w:r>
      <w:r>
        <w:rPr>
          <w:b/>
          <w:color w:val="231F20"/>
        </w:rPr>
        <w:t>Quality</w:t>
      </w:r>
      <w:r>
        <w:rPr>
          <w:b/>
          <w:color w:val="231F20"/>
          <w:spacing w:val="-25"/>
        </w:rPr>
        <w:t xml:space="preserve"> </w:t>
      </w:r>
      <w:r>
        <w:rPr>
          <w:b/>
          <w:color w:val="231F20"/>
        </w:rPr>
        <w:t>&amp;</w:t>
      </w:r>
      <w:r>
        <w:rPr>
          <w:b/>
          <w:color w:val="231F20"/>
          <w:spacing w:val="-25"/>
        </w:rPr>
        <w:t xml:space="preserve"> </w:t>
      </w:r>
      <w:r>
        <w:rPr>
          <w:b/>
          <w:color w:val="231F20"/>
        </w:rPr>
        <w:t>Equity</w:t>
      </w:r>
    </w:p>
    <w:p w14:paraId="0BF45195" w14:textId="77777777" w:rsidR="009948F1" w:rsidRDefault="00BC0563">
      <w:pPr>
        <w:pStyle w:val="BodyText"/>
        <w:spacing w:before="43" w:line="278" w:lineRule="auto"/>
        <w:ind w:left="151" w:right="158"/>
        <w:jc w:val="both"/>
      </w:pPr>
      <w:r>
        <w:rPr>
          <w:color w:val="231F20"/>
        </w:rPr>
        <w:t>The</w:t>
      </w:r>
      <w:r>
        <w:rPr>
          <w:color w:val="231F20"/>
          <w:spacing w:val="-14"/>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care</w:t>
      </w:r>
      <w:r>
        <w:rPr>
          <w:color w:val="231F20"/>
          <w:spacing w:val="-13"/>
        </w:rPr>
        <w:t xml:space="preserve"> </w:t>
      </w:r>
      <w:r>
        <w:rPr>
          <w:color w:val="231F20"/>
        </w:rPr>
        <w:t>facilities</w:t>
      </w:r>
      <w:r>
        <w:rPr>
          <w:color w:val="231F20"/>
          <w:spacing w:val="-13"/>
        </w:rPr>
        <w:t xml:space="preserve"> </w:t>
      </w:r>
      <w:r>
        <w:rPr>
          <w:color w:val="231F20"/>
        </w:rPr>
        <w:t>are</w:t>
      </w:r>
      <w:r>
        <w:rPr>
          <w:color w:val="231F20"/>
          <w:spacing w:val="-13"/>
        </w:rPr>
        <w:t xml:space="preserve"> </w:t>
      </w:r>
      <w:r>
        <w:rPr>
          <w:color w:val="231F20"/>
        </w:rPr>
        <w:t>408:</w:t>
      </w:r>
      <w:r>
        <w:rPr>
          <w:color w:val="231F20"/>
          <w:spacing w:val="-13"/>
        </w:rPr>
        <w:t xml:space="preserve"> </w:t>
      </w:r>
      <w:r>
        <w:rPr>
          <w:color w:val="231F20"/>
        </w:rPr>
        <w:t>385</w:t>
      </w:r>
      <w:r>
        <w:rPr>
          <w:color w:val="231F20"/>
          <w:spacing w:val="-13"/>
        </w:rPr>
        <w:t xml:space="preserve"> </w:t>
      </w:r>
      <w:r>
        <w:rPr>
          <w:color w:val="231F20"/>
        </w:rPr>
        <w:t>PHC</w:t>
      </w:r>
      <w:r>
        <w:rPr>
          <w:color w:val="231F20"/>
          <w:spacing w:val="-13"/>
        </w:rPr>
        <w:t xml:space="preserve"> </w:t>
      </w:r>
      <w:proofErr w:type="spellStart"/>
      <w:r>
        <w:rPr>
          <w:color w:val="231F20"/>
        </w:rPr>
        <w:t>centres</w:t>
      </w:r>
      <w:proofErr w:type="spellEnd"/>
      <w:r>
        <w:rPr>
          <w:color w:val="231F20"/>
        </w:rPr>
        <w:t>,</w:t>
      </w:r>
      <w:r>
        <w:rPr>
          <w:color w:val="231F20"/>
          <w:spacing w:val="-14"/>
        </w:rPr>
        <w:t xml:space="preserve"> </w:t>
      </w:r>
      <w:r>
        <w:rPr>
          <w:color w:val="231F20"/>
        </w:rPr>
        <w:t>18</w:t>
      </w:r>
      <w:r>
        <w:rPr>
          <w:color w:val="231F20"/>
          <w:spacing w:val="-13"/>
        </w:rPr>
        <w:t xml:space="preserve"> </w:t>
      </w:r>
      <w:r>
        <w:rPr>
          <w:color w:val="231F20"/>
        </w:rPr>
        <w:t>functional</w:t>
      </w:r>
      <w:r>
        <w:rPr>
          <w:color w:val="231F20"/>
          <w:spacing w:val="-12"/>
        </w:rPr>
        <w:t xml:space="preserve"> </w:t>
      </w:r>
      <w:r>
        <w:rPr>
          <w:color w:val="231F20"/>
        </w:rPr>
        <w:t>secondary</w:t>
      </w:r>
      <w:r>
        <w:rPr>
          <w:color w:val="231F20"/>
          <w:spacing w:val="-12"/>
        </w:rPr>
        <w:t xml:space="preserve"> </w:t>
      </w:r>
      <w:r>
        <w:rPr>
          <w:color w:val="231F20"/>
        </w:rPr>
        <w:t>health</w:t>
      </w:r>
      <w:r>
        <w:rPr>
          <w:color w:val="231F20"/>
          <w:spacing w:val="-13"/>
        </w:rPr>
        <w:t xml:space="preserve"> </w:t>
      </w:r>
      <w:r>
        <w:rPr>
          <w:color w:val="231F20"/>
        </w:rPr>
        <w:t>facilities and 5 tertiary care facilities</w:t>
      </w:r>
      <w:r>
        <w:rPr>
          <w:color w:val="231F20"/>
          <w:position w:val="11"/>
          <w:sz w:val="11"/>
        </w:rPr>
        <w:t xml:space="preserve">14 </w:t>
      </w:r>
      <w:r>
        <w:rPr>
          <w:color w:val="231F20"/>
        </w:rPr>
        <w:t>while there are 147 registered private facilities. Rivers state has 8 training</w:t>
      </w:r>
      <w:r>
        <w:rPr>
          <w:color w:val="231F20"/>
          <w:spacing w:val="-26"/>
        </w:rPr>
        <w:t xml:space="preserve"> </w:t>
      </w:r>
      <w:r>
        <w:rPr>
          <w:color w:val="231F20"/>
        </w:rPr>
        <w:t>institutions</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workforce</w:t>
      </w:r>
      <w:r>
        <w:rPr>
          <w:color w:val="231F20"/>
          <w:spacing w:val="-25"/>
        </w:rPr>
        <w:t xml:space="preserve"> </w:t>
      </w:r>
      <w:r>
        <w:rPr>
          <w:color w:val="231F20"/>
        </w:rPr>
        <w:t>and</w:t>
      </w:r>
      <w:r>
        <w:rPr>
          <w:color w:val="231F20"/>
          <w:spacing w:val="-25"/>
        </w:rPr>
        <w:t xml:space="preserve"> </w:t>
      </w:r>
      <w:r>
        <w:rPr>
          <w:color w:val="231F20"/>
        </w:rPr>
        <w:t>five</w:t>
      </w:r>
      <w:r>
        <w:rPr>
          <w:color w:val="231F20"/>
          <w:spacing w:val="-25"/>
        </w:rPr>
        <w:t xml:space="preserve"> </w:t>
      </w:r>
      <w:r>
        <w:rPr>
          <w:color w:val="231F20"/>
        </w:rPr>
        <w:t>tertiary</w:t>
      </w:r>
      <w:r>
        <w:rPr>
          <w:color w:val="231F20"/>
          <w:spacing w:val="-25"/>
        </w:rPr>
        <w:t xml:space="preserve"> </w:t>
      </w:r>
      <w:r>
        <w:rPr>
          <w:color w:val="231F20"/>
        </w:rPr>
        <w:t>referral</w:t>
      </w:r>
      <w:r>
        <w:rPr>
          <w:color w:val="231F20"/>
          <w:spacing w:val="-25"/>
        </w:rPr>
        <w:t xml:space="preserve"> </w:t>
      </w:r>
      <w:r>
        <w:rPr>
          <w:color w:val="231F20"/>
        </w:rPr>
        <w:t>health</w:t>
      </w:r>
      <w:r>
        <w:rPr>
          <w:color w:val="231F20"/>
          <w:spacing w:val="-25"/>
        </w:rPr>
        <w:t xml:space="preserve"> </w:t>
      </w:r>
      <w:r>
        <w:rPr>
          <w:color w:val="231F20"/>
        </w:rPr>
        <w:t>facilities,</w:t>
      </w:r>
      <w:r>
        <w:rPr>
          <w:color w:val="231F20"/>
          <w:spacing w:val="-25"/>
        </w:rPr>
        <w:t xml:space="preserve"> </w:t>
      </w:r>
      <w:r>
        <w:rPr>
          <w:color w:val="231F20"/>
        </w:rPr>
        <w:t>four</w:t>
      </w:r>
      <w:r>
        <w:rPr>
          <w:color w:val="231F20"/>
          <w:spacing w:val="-26"/>
        </w:rPr>
        <w:t xml:space="preserve"> </w:t>
      </w:r>
      <w:r>
        <w:rPr>
          <w:color w:val="231F20"/>
        </w:rPr>
        <w:t>of</w:t>
      </w:r>
      <w:r>
        <w:rPr>
          <w:color w:val="231F20"/>
          <w:spacing w:val="-25"/>
        </w:rPr>
        <w:t xml:space="preserve"> </w:t>
      </w:r>
      <w:r>
        <w:rPr>
          <w:color w:val="231F20"/>
        </w:rPr>
        <w:t>which</w:t>
      </w:r>
      <w:r>
        <w:rPr>
          <w:color w:val="231F20"/>
          <w:spacing w:val="-25"/>
        </w:rPr>
        <w:t xml:space="preserve"> </w:t>
      </w:r>
      <w:r>
        <w:rPr>
          <w:color w:val="231F20"/>
        </w:rPr>
        <w:t>are state-</w:t>
      </w:r>
      <w:r>
        <w:rPr>
          <w:color w:val="231F20"/>
          <w:spacing w:val="-25"/>
        </w:rPr>
        <w:t xml:space="preserve"> </w:t>
      </w:r>
      <w:r w:rsidR="00D20030">
        <w:rPr>
          <w:color w:val="231F20"/>
        </w:rPr>
        <w:t>owned. They</w:t>
      </w:r>
      <w:r>
        <w:rPr>
          <w:color w:val="231F20"/>
          <w:spacing w:val="-26"/>
        </w:rPr>
        <w:t xml:space="preserve"> </w:t>
      </w:r>
      <w:r>
        <w:rPr>
          <w:color w:val="231F20"/>
        </w:rPr>
        <w:t>provide</w:t>
      </w:r>
      <w:r>
        <w:rPr>
          <w:color w:val="231F20"/>
          <w:spacing w:val="-25"/>
        </w:rPr>
        <w:t xml:space="preserve"> </w:t>
      </w:r>
      <w:r>
        <w:rPr>
          <w:color w:val="231F20"/>
        </w:rPr>
        <w:t>tertiary</w:t>
      </w:r>
      <w:r>
        <w:rPr>
          <w:color w:val="231F20"/>
          <w:spacing w:val="-25"/>
        </w:rPr>
        <w:t xml:space="preserve"> </w:t>
      </w:r>
      <w:r>
        <w:rPr>
          <w:color w:val="231F20"/>
        </w:rPr>
        <w:t>training</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workforce.</w:t>
      </w:r>
    </w:p>
    <w:p w14:paraId="36EA6BFD" w14:textId="77777777" w:rsidR="009948F1" w:rsidRDefault="00BC0563">
      <w:pPr>
        <w:pStyle w:val="BodyText"/>
        <w:spacing w:before="5" w:line="280" w:lineRule="auto"/>
        <w:ind w:left="151" w:right="159"/>
        <w:jc w:val="both"/>
      </w:pPr>
      <w:r>
        <w:rPr>
          <w:color w:val="231F20"/>
        </w:rPr>
        <w:t>In</w:t>
      </w:r>
      <w:r>
        <w:rPr>
          <w:color w:val="231F20"/>
          <w:spacing w:val="-5"/>
        </w:rPr>
        <w:t xml:space="preserve"> </w:t>
      </w:r>
      <w:r>
        <w:rPr>
          <w:color w:val="231F20"/>
        </w:rPr>
        <w:t>addition</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health</w:t>
      </w:r>
      <w:r>
        <w:rPr>
          <w:color w:val="231F20"/>
          <w:spacing w:val="-5"/>
        </w:rPr>
        <w:t xml:space="preserve"> </w:t>
      </w:r>
      <w:r>
        <w:rPr>
          <w:color w:val="231F20"/>
        </w:rPr>
        <w:t>facilities</w:t>
      </w:r>
      <w:r>
        <w:rPr>
          <w:color w:val="231F20"/>
          <w:spacing w:val="-5"/>
        </w:rPr>
        <w:t xml:space="preserve"> </w:t>
      </w:r>
      <w:r>
        <w:rPr>
          <w:color w:val="231F20"/>
        </w:rPr>
        <w:t>below,</w:t>
      </w:r>
      <w:r>
        <w:rPr>
          <w:color w:val="231F20"/>
          <w:spacing w:val="-5"/>
        </w:rPr>
        <w:t xml:space="preserve"> </w:t>
      </w:r>
      <w:r>
        <w:rPr>
          <w:color w:val="231F20"/>
        </w:rPr>
        <w:t>other</w:t>
      </w:r>
      <w:r>
        <w:rPr>
          <w:color w:val="231F20"/>
          <w:spacing w:val="-5"/>
        </w:rPr>
        <w:t xml:space="preserve"> </w:t>
      </w:r>
      <w:r>
        <w:rPr>
          <w:color w:val="231F20"/>
        </w:rPr>
        <w:t>facilities</w:t>
      </w:r>
      <w:r>
        <w:rPr>
          <w:color w:val="231F20"/>
          <w:spacing w:val="-4"/>
        </w:rPr>
        <w:t xml:space="preserve"> </w:t>
      </w:r>
      <w:r>
        <w:rPr>
          <w:color w:val="231F20"/>
        </w:rPr>
        <w:t>are</w:t>
      </w:r>
      <w:r>
        <w:rPr>
          <w:color w:val="231F20"/>
          <w:spacing w:val="-5"/>
        </w:rPr>
        <w:t xml:space="preserve"> </w:t>
      </w:r>
      <w:r>
        <w:rPr>
          <w:color w:val="231F20"/>
        </w:rPr>
        <w:t>the</w:t>
      </w:r>
      <w:r>
        <w:rPr>
          <w:color w:val="231F20"/>
          <w:spacing w:val="-5"/>
        </w:rPr>
        <w:t xml:space="preserve"> </w:t>
      </w:r>
      <w:r>
        <w:rPr>
          <w:color w:val="231F20"/>
        </w:rPr>
        <w:t>Government</w:t>
      </w:r>
      <w:r>
        <w:rPr>
          <w:color w:val="231F20"/>
          <w:spacing w:val="-5"/>
        </w:rPr>
        <w:t xml:space="preserve"> </w:t>
      </w:r>
      <w:r>
        <w:rPr>
          <w:color w:val="231F20"/>
        </w:rPr>
        <w:t>House</w:t>
      </w:r>
      <w:r>
        <w:rPr>
          <w:color w:val="231F20"/>
          <w:spacing w:val="-5"/>
        </w:rPr>
        <w:t xml:space="preserve"> </w:t>
      </w:r>
      <w:r>
        <w:rPr>
          <w:color w:val="231F20"/>
        </w:rPr>
        <w:t>Clinic</w:t>
      </w:r>
      <w:r>
        <w:rPr>
          <w:color w:val="231F20"/>
          <w:spacing w:val="-5"/>
        </w:rPr>
        <w:t xml:space="preserve"> </w:t>
      </w:r>
      <w:r>
        <w:rPr>
          <w:color w:val="231F20"/>
        </w:rPr>
        <w:t>and</w:t>
      </w:r>
      <w:r>
        <w:rPr>
          <w:color w:val="231F20"/>
          <w:spacing w:val="-5"/>
        </w:rPr>
        <w:t xml:space="preserve"> </w:t>
      </w:r>
      <w:r>
        <w:rPr>
          <w:color w:val="231F20"/>
        </w:rPr>
        <w:t>Civil Servant</w:t>
      </w:r>
      <w:r>
        <w:rPr>
          <w:color w:val="231F20"/>
          <w:spacing w:val="-25"/>
        </w:rPr>
        <w:t xml:space="preserve"> </w:t>
      </w:r>
      <w:r>
        <w:rPr>
          <w:color w:val="231F20"/>
        </w:rPr>
        <w:t>Clinic.</w:t>
      </w:r>
    </w:p>
    <w:p w14:paraId="5A3D9EDA" w14:textId="77777777" w:rsidR="009948F1" w:rsidRDefault="009948F1">
      <w:pPr>
        <w:pStyle w:val="BodyText"/>
        <w:spacing w:before="10"/>
        <w:rPr>
          <w:sz w:val="25"/>
        </w:rPr>
      </w:pPr>
    </w:p>
    <w:p w14:paraId="0903F827" w14:textId="77777777" w:rsidR="009948F1" w:rsidRDefault="00BC0563">
      <w:pPr>
        <w:pStyle w:val="Heading7"/>
        <w:ind w:left="151"/>
        <w:jc w:val="both"/>
      </w:pPr>
      <w:r>
        <w:rPr>
          <w:color w:val="231F20"/>
        </w:rPr>
        <w:t>Utilization of Services</w:t>
      </w:r>
    </w:p>
    <w:p w14:paraId="7853934E" w14:textId="77777777" w:rsidR="009948F1" w:rsidRDefault="00BC0563">
      <w:pPr>
        <w:pStyle w:val="BodyText"/>
        <w:spacing w:before="43" w:line="280" w:lineRule="auto"/>
        <w:ind w:left="151" w:right="159"/>
        <w:jc w:val="both"/>
      </w:pPr>
      <w:r>
        <w:rPr>
          <w:color w:val="231F20"/>
        </w:rPr>
        <w:t xml:space="preserve">Rivers State has made significant improvements in health, housing, and others. </w:t>
      </w:r>
      <w:r>
        <w:rPr>
          <w:color w:val="231F20"/>
          <w:spacing w:val="-3"/>
        </w:rPr>
        <w:t xml:space="preserve">These </w:t>
      </w:r>
      <w:r>
        <w:rPr>
          <w:color w:val="231F20"/>
        </w:rPr>
        <w:t>improvements in health include an increase in the use of family planning methods by married women</w:t>
      </w:r>
      <w:r>
        <w:rPr>
          <w:color w:val="231F20"/>
          <w:spacing w:val="-25"/>
        </w:rPr>
        <w:t xml:space="preserve"> </w:t>
      </w:r>
      <w:r>
        <w:rPr>
          <w:color w:val="231F20"/>
        </w:rPr>
        <w:t>15-49</w:t>
      </w:r>
      <w:r>
        <w:rPr>
          <w:color w:val="231F20"/>
          <w:spacing w:val="-25"/>
        </w:rPr>
        <w:t xml:space="preserve"> </w:t>
      </w:r>
      <w:r>
        <w:rPr>
          <w:color w:val="231F20"/>
        </w:rPr>
        <w:t>years</w:t>
      </w:r>
      <w:r>
        <w:rPr>
          <w:color w:val="231F20"/>
          <w:spacing w:val="-25"/>
        </w:rPr>
        <w:t xml:space="preserve"> </w:t>
      </w:r>
      <w:r>
        <w:rPr>
          <w:color w:val="231F20"/>
        </w:rPr>
        <w:t>which</w:t>
      </w:r>
      <w:r>
        <w:rPr>
          <w:color w:val="231F20"/>
          <w:spacing w:val="-25"/>
        </w:rPr>
        <w:t xml:space="preserve"> </w:t>
      </w:r>
      <w:r>
        <w:rPr>
          <w:color w:val="231F20"/>
        </w:rPr>
        <w:t>rose</w:t>
      </w:r>
      <w:r>
        <w:rPr>
          <w:color w:val="231F20"/>
          <w:spacing w:val="-25"/>
        </w:rPr>
        <w:t xml:space="preserve"> </w:t>
      </w:r>
      <w:r>
        <w:rPr>
          <w:color w:val="231F20"/>
        </w:rPr>
        <w:t>from</w:t>
      </w:r>
      <w:r>
        <w:rPr>
          <w:color w:val="231F20"/>
          <w:spacing w:val="-25"/>
        </w:rPr>
        <w:t xml:space="preserve"> </w:t>
      </w:r>
      <w:r>
        <w:rPr>
          <w:color w:val="231F20"/>
        </w:rPr>
        <w:t>14%</w:t>
      </w:r>
      <w:r>
        <w:rPr>
          <w:color w:val="231F20"/>
          <w:spacing w:val="-25"/>
        </w:rPr>
        <w:t xml:space="preserve"> </w:t>
      </w:r>
      <w:r>
        <w:rPr>
          <w:color w:val="231F20"/>
        </w:rPr>
        <w:t>in</w:t>
      </w:r>
      <w:r>
        <w:rPr>
          <w:color w:val="231F20"/>
          <w:spacing w:val="-25"/>
        </w:rPr>
        <w:t xml:space="preserve"> </w:t>
      </w:r>
      <w:r>
        <w:rPr>
          <w:color w:val="231F20"/>
        </w:rPr>
        <w:t>2008</w:t>
      </w:r>
      <w:r>
        <w:rPr>
          <w:color w:val="231F20"/>
          <w:position w:val="11"/>
          <w:sz w:val="11"/>
        </w:rPr>
        <w:t>2</w:t>
      </w:r>
      <w:r>
        <w:rPr>
          <w:color w:val="231F20"/>
          <w:spacing w:val="-12"/>
          <w:position w:val="11"/>
          <w:sz w:val="11"/>
        </w:rPr>
        <w:t xml:space="preserve"> </w:t>
      </w:r>
      <w:r>
        <w:rPr>
          <w:color w:val="231F20"/>
        </w:rPr>
        <w:t>(NDHS</w:t>
      </w:r>
      <w:r>
        <w:rPr>
          <w:color w:val="231F20"/>
          <w:spacing w:val="-25"/>
        </w:rPr>
        <w:t xml:space="preserve"> </w:t>
      </w:r>
      <w:r>
        <w:rPr>
          <w:color w:val="231F20"/>
        </w:rPr>
        <w:t>2008)</w:t>
      </w:r>
      <w:r>
        <w:rPr>
          <w:color w:val="231F20"/>
          <w:spacing w:val="-25"/>
        </w:rPr>
        <w:t xml:space="preserve"> </w:t>
      </w:r>
      <w:r>
        <w:rPr>
          <w:color w:val="231F20"/>
        </w:rPr>
        <w:t>to</w:t>
      </w:r>
      <w:r>
        <w:rPr>
          <w:color w:val="231F20"/>
          <w:spacing w:val="-25"/>
        </w:rPr>
        <w:t xml:space="preserve"> </w:t>
      </w:r>
      <w:r>
        <w:rPr>
          <w:color w:val="231F20"/>
        </w:rPr>
        <w:t>17.5%</w:t>
      </w:r>
      <w:r>
        <w:rPr>
          <w:color w:val="231F20"/>
          <w:spacing w:val="-25"/>
        </w:rPr>
        <w:t xml:space="preserve"> </w:t>
      </w:r>
      <w:r>
        <w:rPr>
          <w:color w:val="231F20"/>
        </w:rPr>
        <w:t>NDHS</w:t>
      </w:r>
      <w:r>
        <w:rPr>
          <w:color w:val="231F20"/>
          <w:spacing w:val="-24"/>
        </w:rPr>
        <w:t xml:space="preserve"> </w:t>
      </w:r>
      <w:r>
        <w:rPr>
          <w:color w:val="231F20"/>
        </w:rPr>
        <w:t>2013</w:t>
      </w:r>
      <w:r>
        <w:rPr>
          <w:color w:val="231F20"/>
          <w:position w:val="11"/>
          <w:sz w:val="11"/>
        </w:rPr>
        <w:t>9</w:t>
      </w:r>
      <w:r>
        <w:rPr>
          <w:color w:val="231F20"/>
          <w:spacing w:val="-13"/>
          <w:position w:val="11"/>
          <w:sz w:val="11"/>
        </w:rPr>
        <w:t xml:space="preserve"> </w:t>
      </w:r>
      <w:r>
        <w:rPr>
          <w:color w:val="231F20"/>
        </w:rPr>
        <w:t>but</w:t>
      </w:r>
      <w:r>
        <w:rPr>
          <w:color w:val="231F20"/>
          <w:spacing w:val="-25"/>
        </w:rPr>
        <w:t xml:space="preserve"> </w:t>
      </w:r>
      <w:r>
        <w:rPr>
          <w:color w:val="231F20"/>
        </w:rPr>
        <w:t>however, declined</w:t>
      </w:r>
      <w:r>
        <w:rPr>
          <w:color w:val="231F20"/>
          <w:spacing w:val="-23"/>
        </w:rPr>
        <w:t xml:space="preserve"> </w:t>
      </w:r>
      <w:r>
        <w:rPr>
          <w:color w:val="231F20"/>
        </w:rPr>
        <w:t>to</w:t>
      </w:r>
      <w:r>
        <w:rPr>
          <w:color w:val="231F20"/>
          <w:spacing w:val="-23"/>
        </w:rPr>
        <w:t xml:space="preserve"> </w:t>
      </w:r>
      <w:r>
        <w:rPr>
          <w:color w:val="231F20"/>
          <w:spacing w:val="-4"/>
        </w:rPr>
        <w:t>11%in</w:t>
      </w:r>
      <w:r>
        <w:rPr>
          <w:color w:val="231F20"/>
          <w:spacing w:val="-23"/>
        </w:rPr>
        <w:t xml:space="preserve"> </w:t>
      </w:r>
      <w:r>
        <w:rPr>
          <w:color w:val="231F20"/>
        </w:rPr>
        <w:t>the</w:t>
      </w:r>
      <w:r>
        <w:rPr>
          <w:color w:val="231F20"/>
          <w:spacing w:val="-23"/>
        </w:rPr>
        <w:t xml:space="preserve"> </w:t>
      </w:r>
      <w:r>
        <w:rPr>
          <w:color w:val="231F20"/>
        </w:rPr>
        <w:t>MICS</w:t>
      </w:r>
      <w:r>
        <w:rPr>
          <w:color w:val="231F20"/>
          <w:spacing w:val="-23"/>
        </w:rPr>
        <w:t xml:space="preserve"> </w:t>
      </w:r>
      <w:r>
        <w:rPr>
          <w:color w:val="231F20"/>
        </w:rPr>
        <w:t>2016.</w:t>
      </w:r>
      <w:r>
        <w:rPr>
          <w:color w:val="231F20"/>
          <w:position w:val="11"/>
          <w:sz w:val="11"/>
        </w:rPr>
        <w:t>.</w:t>
      </w:r>
      <w:r>
        <w:rPr>
          <w:color w:val="231F20"/>
          <w:spacing w:val="-4"/>
          <w:position w:val="11"/>
          <w:sz w:val="11"/>
        </w:rPr>
        <w:t xml:space="preserve"> </w:t>
      </w:r>
      <w:r>
        <w:rPr>
          <w:color w:val="231F20"/>
        </w:rPr>
        <w:t>Antenatal</w:t>
      </w:r>
      <w:r>
        <w:rPr>
          <w:color w:val="231F20"/>
          <w:spacing w:val="-23"/>
        </w:rPr>
        <w:t xml:space="preserve"> </w:t>
      </w:r>
      <w:r>
        <w:rPr>
          <w:color w:val="231F20"/>
        </w:rPr>
        <w:t>care</w:t>
      </w:r>
      <w:r>
        <w:rPr>
          <w:color w:val="231F20"/>
          <w:spacing w:val="-23"/>
        </w:rPr>
        <w:t xml:space="preserve"> </w:t>
      </w:r>
      <w:r>
        <w:rPr>
          <w:color w:val="231F20"/>
        </w:rPr>
        <w:t>(ANC)</w:t>
      </w:r>
      <w:r>
        <w:rPr>
          <w:color w:val="231F20"/>
          <w:spacing w:val="-23"/>
        </w:rPr>
        <w:t xml:space="preserve"> </w:t>
      </w:r>
      <w:r>
        <w:rPr>
          <w:color w:val="231F20"/>
        </w:rPr>
        <w:t>provided</w:t>
      </w:r>
      <w:r>
        <w:rPr>
          <w:color w:val="231F20"/>
          <w:spacing w:val="-22"/>
        </w:rPr>
        <w:t xml:space="preserve"> </w:t>
      </w:r>
      <w:r>
        <w:rPr>
          <w:color w:val="231F20"/>
        </w:rPr>
        <w:t>by</w:t>
      </w:r>
      <w:r>
        <w:rPr>
          <w:color w:val="231F20"/>
          <w:spacing w:val="-23"/>
        </w:rPr>
        <w:t xml:space="preserve"> </w:t>
      </w:r>
      <w:r>
        <w:rPr>
          <w:color w:val="231F20"/>
        </w:rPr>
        <w:t>skilled</w:t>
      </w:r>
      <w:r>
        <w:rPr>
          <w:color w:val="231F20"/>
          <w:spacing w:val="-23"/>
        </w:rPr>
        <w:t xml:space="preserve"> </w:t>
      </w:r>
      <w:r>
        <w:rPr>
          <w:color w:val="231F20"/>
        </w:rPr>
        <w:t>health</w:t>
      </w:r>
      <w:r>
        <w:rPr>
          <w:color w:val="231F20"/>
          <w:spacing w:val="-23"/>
        </w:rPr>
        <w:t xml:space="preserve"> </w:t>
      </w:r>
      <w:r>
        <w:rPr>
          <w:color w:val="231F20"/>
        </w:rPr>
        <w:t>worker</w:t>
      </w:r>
      <w:r>
        <w:rPr>
          <w:color w:val="231F20"/>
          <w:spacing w:val="-23"/>
        </w:rPr>
        <w:t xml:space="preserve"> </w:t>
      </w:r>
      <w:r>
        <w:rPr>
          <w:color w:val="231F20"/>
        </w:rPr>
        <w:t>improved from</w:t>
      </w:r>
      <w:r>
        <w:rPr>
          <w:color w:val="231F20"/>
          <w:spacing w:val="-26"/>
        </w:rPr>
        <w:t xml:space="preserve"> </w:t>
      </w:r>
      <w:r>
        <w:rPr>
          <w:color w:val="231F20"/>
        </w:rPr>
        <w:t>67%</w:t>
      </w:r>
      <w:r>
        <w:rPr>
          <w:color w:val="231F20"/>
          <w:spacing w:val="-25"/>
        </w:rPr>
        <w:t xml:space="preserve"> </w:t>
      </w:r>
      <w:r>
        <w:rPr>
          <w:color w:val="231F20"/>
        </w:rPr>
        <w:t>to</w:t>
      </w:r>
      <w:r>
        <w:rPr>
          <w:color w:val="231F20"/>
          <w:spacing w:val="-25"/>
        </w:rPr>
        <w:t xml:space="preserve"> </w:t>
      </w:r>
      <w:r>
        <w:rPr>
          <w:color w:val="231F20"/>
        </w:rPr>
        <w:t>87.6%,</w:t>
      </w:r>
      <w:r>
        <w:rPr>
          <w:color w:val="231F20"/>
          <w:spacing w:val="-25"/>
        </w:rPr>
        <w:t xml:space="preserve"> </w:t>
      </w:r>
      <w:r>
        <w:rPr>
          <w:color w:val="231F20"/>
        </w:rPr>
        <w:t>children</w:t>
      </w:r>
      <w:r>
        <w:rPr>
          <w:color w:val="231F20"/>
          <w:spacing w:val="-25"/>
        </w:rPr>
        <w:t xml:space="preserve"> </w:t>
      </w:r>
      <w:r>
        <w:rPr>
          <w:color w:val="231F20"/>
        </w:rPr>
        <w:t>12-23months</w:t>
      </w:r>
      <w:r>
        <w:rPr>
          <w:color w:val="231F20"/>
          <w:spacing w:val="-25"/>
        </w:rPr>
        <w:t xml:space="preserve"> </w:t>
      </w:r>
      <w:r>
        <w:rPr>
          <w:color w:val="231F20"/>
        </w:rPr>
        <w:t>with</w:t>
      </w:r>
      <w:r>
        <w:rPr>
          <w:color w:val="231F20"/>
          <w:spacing w:val="-25"/>
        </w:rPr>
        <w:t xml:space="preserve"> </w:t>
      </w:r>
      <w:r>
        <w:rPr>
          <w:color w:val="231F20"/>
        </w:rPr>
        <w:t>full</w:t>
      </w:r>
      <w:r>
        <w:rPr>
          <w:color w:val="231F20"/>
          <w:spacing w:val="-25"/>
        </w:rPr>
        <w:t xml:space="preserve"> </w:t>
      </w:r>
      <w:r>
        <w:rPr>
          <w:color w:val="231F20"/>
        </w:rPr>
        <w:t>immunization</w:t>
      </w:r>
      <w:r>
        <w:rPr>
          <w:color w:val="231F20"/>
          <w:spacing w:val="-25"/>
        </w:rPr>
        <w:t xml:space="preserve"> </w:t>
      </w:r>
      <w:r>
        <w:rPr>
          <w:color w:val="231F20"/>
        </w:rPr>
        <w:t>coverage</w:t>
      </w:r>
      <w:r>
        <w:rPr>
          <w:color w:val="231F20"/>
          <w:spacing w:val="-26"/>
        </w:rPr>
        <w:t xml:space="preserve"> </w:t>
      </w:r>
      <w:r>
        <w:rPr>
          <w:color w:val="231F20"/>
        </w:rPr>
        <w:t>also</w:t>
      </w:r>
      <w:r>
        <w:rPr>
          <w:color w:val="231F20"/>
          <w:spacing w:val="-25"/>
        </w:rPr>
        <w:t xml:space="preserve"> </w:t>
      </w:r>
      <w:r>
        <w:rPr>
          <w:color w:val="231F20"/>
        </w:rPr>
        <w:t>increased</w:t>
      </w:r>
      <w:r>
        <w:rPr>
          <w:color w:val="231F20"/>
          <w:spacing w:val="-25"/>
        </w:rPr>
        <w:t xml:space="preserve"> </w:t>
      </w:r>
      <w:r>
        <w:rPr>
          <w:color w:val="231F20"/>
        </w:rPr>
        <w:t>from</w:t>
      </w:r>
      <w:r>
        <w:rPr>
          <w:color w:val="231F20"/>
          <w:spacing w:val="-25"/>
        </w:rPr>
        <w:t xml:space="preserve"> </w:t>
      </w:r>
      <w:r>
        <w:rPr>
          <w:color w:val="231F20"/>
        </w:rPr>
        <w:t xml:space="preserve">37% to 45%, while households with improved source of drinking water leaped from 26 to 83.5% </w:t>
      </w:r>
      <w:r>
        <w:rPr>
          <w:color w:val="231F20"/>
          <w:spacing w:val="-5"/>
        </w:rPr>
        <w:t xml:space="preserve">and </w:t>
      </w:r>
      <w:r>
        <w:rPr>
          <w:color w:val="231F20"/>
        </w:rPr>
        <w:t xml:space="preserve">households with improved sanitary facilities (not shared) rose from 10% to 38.7%. The </w:t>
      </w:r>
      <w:r>
        <w:rPr>
          <w:color w:val="231F20"/>
          <w:spacing w:val="-3"/>
        </w:rPr>
        <w:t xml:space="preserve">State </w:t>
      </w:r>
      <w:r>
        <w:rPr>
          <w:color w:val="231F20"/>
        </w:rPr>
        <w:t>government</w:t>
      </w:r>
      <w:r>
        <w:rPr>
          <w:color w:val="231F20"/>
          <w:spacing w:val="-17"/>
        </w:rPr>
        <w:t xml:space="preserve"> </w:t>
      </w:r>
      <w:r>
        <w:rPr>
          <w:color w:val="231F20"/>
        </w:rPr>
        <w:t>has</w:t>
      </w:r>
      <w:r>
        <w:rPr>
          <w:color w:val="231F20"/>
          <w:spacing w:val="-16"/>
        </w:rPr>
        <w:t xml:space="preserve"> </w:t>
      </w:r>
      <w:r>
        <w:rPr>
          <w:color w:val="231F20"/>
        </w:rPr>
        <w:t>focused</w:t>
      </w:r>
      <w:r>
        <w:rPr>
          <w:color w:val="231F20"/>
          <w:spacing w:val="-17"/>
        </w:rPr>
        <w:t xml:space="preserve"> </w:t>
      </w:r>
      <w:r>
        <w:rPr>
          <w:color w:val="231F20"/>
        </w:rPr>
        <w:t>on</w:t>
      </w:r>
      <w:r>
        <w:rPr>
          <w:color w:val="231F20"/>
          <w:spacing w:val="-16"/>
        </w:rPr>
        <w:t xml:space="preserve"> </w:t>
      </w:r>
      <w:r>
        <w:rPr>
          <w:color w:val="231F20"/>
        </w:rPr>
        <w:t>making</w:t>
      </w:r>
      <w:r>
        <w:rPr>
          <w:color w:val="231F20"/>
          <w:spacing w:val="-16"/>
        </w:rPr>
        <w:t xml:space="preserve"> </w:t>
      </w:r>
      <w:r>
        <w:rPr>
          <w:color w:val="231F20"/>
        </w:rPr>
        <w:t>health</w:t>
      </w:r>
      <w:r>
        <w:rPr>
          <w:color w:val="231F20"/>
          <w:spacing w:val="-17"/>
        </w:rPr>
        <w:t xml:space="preserve"> </w:t>
      </w:r>
      <w:r>
        <w:rPr>
          <w:color w:val="231F20"/>
        </w:rPr>
        <w:t>care</w:t>
      </w:r>
      <w:r>
        <w:rPr>
          <w:color w:val="231F20"/>
          <w:spacing w:val="-16"/>
        </w:rPr>
        <w:t xml:space="preserve"> </w:t>
      </w:r>
      <w:r>
        <w:rPr>
          <w:color w:val="231F20"/>
        </w:rPr>
        <w:t>accessible</w:t>
      </w:r>
      <w:r>
        <w:rPr>
          <w:color w:val="231F20"/>
          <w:spacing w:val="-17"/>
        </w:rPr>
        <w:t xml:space="preserve"> </w:t>
      </w:r>
      <w:r>
        <w:rPr>
          <w:color w:val="231F20"/>
        </w:rPr>
        <w:t>and</w:t>
      </w:r>
      <w:r>
        <w:rPr>
          <w:color w:val="231F20"/>
          <w:spacing w:val="-16"/>
        </w:rPr>
        <w:t xml:space="preserve"> </w:t>
      </w:r>
      <w:r>
        <w:rPr>
          <w:color w:val="231F20"/>
        </w:rPr>
        <w:t>affordable</w:t>
      </w:r>
      <w:r>
        <w:rPr>
          <w:color w:val="231F20"/>
          <w:spacing w:val="-16"/>
        </w:rPr>
        <w:t xml:space="preserve"> </w:t>
      </w:r>
      <w:r>
        <w:rPr>
          <w:color w:val="231F20"/>
        </w:rPr>
        <w:t>to</w:t>
      </w:r>
      <w:r>
        <w:rPr>
          <w:color w:val="231F20"/>
          <w:spacing w:val="-17"/>
        </w:rPr>
        <w:t xml:space="preserve"> </w:t>
      </w:r>
      <w:r>
        <w:rPr>
          <w:color w:val="231F20"/>
        </w:rPr>
        <w:t>its</w:t>
      </w:r>
      <w:r>
        <w:rPr>
          <w:color w:val="231F20"/>
          <w:spacing w:val="-16"/>
        </w:rPr>
        <w:t xml:space="preserve"> </w:t>
      </w:r>
      <w:r>
        <w:rPr>
          <w:color w:val="231F20"/>
        </w:rPr>
        <w:t>citizenry</w:t>
      </w:r>
      <w:r>
        <w:rPr>
          <w:color w:val="231F20"/>
          <w:spacing w:val="-16"/>
        </w:rPr>
        <w:t xml:space="preserve"> </w:t>
      </w:r>
      <w:r>
        <w:rPr>
          <w:color w:val="231F20"/>
        </w:rPr>
        <w:t>hence</w:t>
      </w:r>
      <w:r>
        <w:rPr>
          <w:color w:val="231F20"/>
          <w:spacing w:val="-17"/>
        </w:rPr>
        <w:t xml:space="preserve"> </w:t>
      </w:r>
      <w:r>
        <w:rPr>
          <w:color w:val="231F20"/>
        </w:rPr>
        <w:t xml:space="preserve">the construction and renovation of facilities both at the primary, secondary and tertiary level of </w:t>
      </w:r>
      <w:r>
        <w:rPr>
          <w:color w:val="231F20"/>
          <w:spacing w:val="-3"/>
        </w:rPr>
        <w:t xml:space="preserve">health </w:t>
      </w:r>
      <w:r>
        <w:rPr>
          <w:color w:val="231F20"/>
        </w:rPr>
        <w:t>care.</w:t>
      </w:r>
      <w:r>
        <w:rPr>
          <w:color w:val="231F20"/>
          <w:spacing w:val="-22"/>
        </w:rPr>
        <w:t xml:space="preserve"> </w:t>
      </w:r>
      <w:r>
        <w:rPr>
          <w:color w:val="231F20"/>
        </w:rPr>
        <w:t>In</w:t>
      </w:r>
      <w:r>
        <w:rPr>
          <w:color w:val="231F20"/>
          <w:spacing w:val="-21"/>
        </w:rPr>
        <w:t xml:space="preserve"> </w:t>
      </w:r>
      <w:r>
        <w:rPr>
          <w:color w:val="231F20"/>
        </w:rPr>
        <w:t>order</w:t>
      </w:r>
      <w:r>
        <w:rPr>
          <w:color w:val="231F20"/>
          <w:spacing w:val="-21"/>
        </w:rPr>
        <w:t xml:space="preserve"> </w:t>
      </w:r>
      <w:r>
        <w:rPr>
          <w:color w:val="231F20"/>
        </w:rPr>
        <w:t>to</w:t>
      </w:r>
      <w:r>
        <w:rPr>
          <w:color w:val="231F20"/>
          <w:spacing w:val="-21"/>
        </w:rPr>
        <w:t xml:space="preserve"> </w:t>
      </w:r>
      <w:r>
        <w:rPr>
          <w:color w:val="231F20"/>
        </w:rPr>
        <w:t>reduce</w:t>
      </w:r>
      <w:r>
        <w:rPr>
          <w:color w:val="231F20"/>
          <w:spacing w:val="-21"/>
        </w:rPr>
        <w:t xml:space="preserve"> </w:t>
      </w:r>
      <w:r>
        <w:rPr>
          <w:color w:val="231F20"/>
        </w:rPr>
        <w:t>financial</w:t>
      </w:r>
      <w:r>
        <w:rPr>
          <w:color w:val="231F20"/>
          <w:spacing w:val="-21"/>
        </w:rPr>
        <w:t xml:space="preserve"> </w:t>
      </w:r>
      <w:r>
        <w:rPr>
          <w:color w:val="231F20"/>
        </w:rPr>
        <w:t>burden</w:t>
      </w:r>
      <w:r>
        <w:rPr>
          <w:color w:val="231F20"/>
          <w:spacing w:val="-21"/>
        </w:rPr>
        <w:t xml:space="preserve"> </w:t>
      </w:r>
      <w:r>
        <w:rPr>
          <w:color w:val="231F20"/>
        </w:rPr>
        <w:t>most</w:t>
      </w:r>
      <w:r>
        <w:rPr>
          <w:color w:val="231F20"/>
          <w:spacing w:val="-21"/>
        </w:rPr>
        <w:t xml:space="preserve"> </w:t>
      </w:r>
      <w:r>
        <w:rPr>
          <w:color w:val="231F20"/>
        </w:rPr>
        <w:t>health</w:t>
      </w:r>
      <w:r>
        <w:rPr>
          <w:color w:val="231F20"/>
          <w:spacing w:val="-21"/>
        </w:rPr>
        <w:t xml:space="preserve"> </w:t>
      </w:r>
      <w:r>
        <w:rPr>
          <w:color w:val="231F20"/>
        </w:rPr>
        <w:t>services</w:t>
      </w:r>
      <w:r>
        <w:rPr>
          <w:color w:val="231F20"/>
          <w:spacing w:val="-21"/>
        </w:rPr>
        <w:t xml:space="preserve"> </w:t>
      </w:r>
      <w:r>
        <w:rPr>
          <w:color w:val="231F20"/>
        </w:rPr>
        <w:t>are</w:t>
      </w:r>
      <w:r>
        <w:rPr>
          <w:color w:val="231F20"/>
          <w:spacing w:val="-21"/>
        </w:rPr>
        <w:t xml:space="preserve"> </w:t>
      </w:r>
      <w:r>
        <w:rPr>
          <w:color w:val="231F20"/>
        </w:rPr>
        <w:t>provided</w:t>
      </w:r>
      <w:r>
        <w:rPr>
          <w:color w:val="231F20"/>
          <w:spacing w:val="-21"/>
        </w:rPr>
        <w:t xml:space="preserve"> </w:t>
      </w:r>
      <w:r>
        <w:rPr>
          <w:color w:val="231F20"/>
        </w:rPr>
        <w:t>free</w:t>
      </w:r>
      <w:r>
        <w:rPr>
          <w:color w:val="231F20"/>
          <w:spacing w:val="-21"/>
        </w:rPr>
        <w:t xml:space="preserve"> </w:t>
      </w:r>
      <w:r>
        <w:rPr>
          <w:color w:val="231F20"/>
        </w:rPr>
        <w:t>of</w:t>
      </w:r>
      <w:r>
        <w:rPr>
          <w:color w:val="231F20"/>
          <w:spacing w:val="-21"/>
        </w:rPr>
        <w:t xml:space="preserve"> </w:t>
      </w:r>
      <w:r>
        <w:rPr>
          <w:color w:val="231F20"/>
        </w:rPr>
        <w:t>change</w:t>
      </w:r>
      <w:r>
        <w:rPr>
          <w:color w:val="231F20"/>
          <w:spacing w:val="-21"/>
        </w:rPr>
        <w:t xml:space="preserve"> </w:t>
      </w:r>
      <w:r>
        <w:rPr>
          <w:color w:val="231F20"/>
        </w:rPr>
        <w:t>at</w:t>
      </w:r>
      <w:r>
        <w:rPr>
          <w:color w:val="231F20"/>
          <w:spacing w:val="-21"/>
        </w:rPr>
        <w:t xml:space="preserve"> </w:t>
      </w:r>
      <w:r>
        <w:rPr>
          <w:color w:val="231F20"/>
        </w:rPr>
        <w:t>point</w:t>
      </w:r>
      <w:r>
        <w:rPr>
          <w:color w:val="231F20"/>
          <w:spacing w:val="-21"/>
        </w:rPr>
        <w:t xml:space="preserve"> </w:t>
      </w:r>
      <w:r>
        <w:rPr>
          <w:color w:val="231F20"/>
          <w:spacing w:val="-7"/>
        </w:rPr>
        <w:t xml:space="preserve">of </w:t>
      </w:r>
      <w:r>
        <w:rPr>
          <w:color w:val="231F20"/>
        </w:rPr>
        <w:t>use</w:t>
      </w:r>
      <w:r>
        <w:rPr>
          <w:color w:val="231F20"/>
          <w:spacing w:val="-26"/>
        </w:rPr>
        <w:t xml:space="preserve"> </w:t>
      </w:r>
      <w:r>
        <w:rPr>
          <w:color w:val="231F20"/>
        </w:rPr>
        <w:t>for</w:t>
      </w:r>
      <w:r>
        <w:rPr>
          <w:color w:val="231F20"/>
          <w:spacing w:val="-25"/>
        </w:rPr>
        <w:t xml:space="preserve"> </w:t>
      </w:r>
      <w:r>
        <w:rPr>
          <w:color w:val="231F20"/>
        </w:rPr>
        <w:t>children</w:t>
      </w:r>
      <w:r>
        <w:rPr>
          <w:color w:val="231F20"/>
          <w:spacing w:val="-25"/>
        </w:rPr>
        <w:t xml:space="preserve"> </w:t>
      </w:r>
      <w:r>
        <w:rPr>
          <w:color w:val="231F20"/>
        </w:rPr>
        <w:t>and</w:t>
      </w:r>
      <w:r>
        <w:rPr>
          <w:color w:val="231F20"/>
          <w:spacing w:val="-25"/>
        </w:rPr>
        <w:t xml:space="preserve"> </w:t>
      </w:r>
      <w:r>
        <w:rPr>
          <w:color w:val="231F20"/>
        </w:rPr>
        <w:t>elderly</w:t>
      </w:r>
      <w:r>
        <w:rPr>
          <w:color w:val="231F20"/>
          <w:spacing w:val="-25"/>
        </w:rPr>
        <w:t xml:space="preserve"> </w:t>
      </w:r>
      <w:r>
        <w:rPr>
          <w:color w:val="231F20"/>
        </w:rPr>
        <w:t>persons</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Primary</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(PHC)</w:t>
      </w:r>
      <w:r>
        <w:rPr>
          <w:color w:val="231F20"/>
          <w:spacing w:val="-25"/>
        </w:rPr>
        <w:t xml:space="preserve"> </w:t>
      </w:r>
      <w:r>
        <w:rPr>
          <w:color w:val="231F20"/>
        </w:rPr>
        <w:t>level.</w:t>
      </w:r>
    </w:p>
    <w:p w14:paraId="39471ECF" w14:textId="77777777" w:rsidR="009948F1" w:rsidRDefault="009948F1">
      <w:pPr>
        <w:spacing w:line="280" w:lineRule="auto"/>
        <w:jc w:val="both"/>
        <w:sectPr w:rsidR="009948F1">
          <w:pgSz w:w="11910" w:h="16840"/>
          <w:pgMar w:top="1220" w:right="1080" w:bottom="1420" w:left="1120" w:header="0" w:footer="1235" w:gutter="0"/>
          <w:cols w:space="720"/>
        </w:sectPr>
      </w:pPr>
    </w:p>
    <w:p w14:paraId="7875AE42" w14:textId="77777777" w:rsidR="009948F1" w:rsidRDefault="00BC0563">
      <w:pPr>
        <w:spacing w:before="57" w:after="24"/>
        <w:ind w:left="327"/>
        <w:rPr>
          <w:b/>
          <w:i/>
          <w:sz w:val="20"/>
        </w:rPr>
      </w:pPr>
      <w:bookmarkStart w:id="39" w:name="Page_29"/>
      <w:bookmarkEnd w:id="39"/>
      <w:r>
        <w:rPr>
          <w:b/>
          <w:i/>
          <w:color w:val="231F20"/>
          <w:w w:val="115"/>
          <w:sz w:val="20"/>
        </w:rPr>
        <w:lastRenderedPageBreak/>
        <w:t>Table 5: Health Indicators in Service Delivery</w:t>
      </w: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1"/>
        <w:gridCol w:w="3889"/>
        <w:gridCol w:w="2311"/>
        <w:gridCol w:w="2311"/>
      </w:tblGrid>
      <w:tr w:rsidR="009948F1" w14:paraId="630BE41C" w14:textId="77777777">
        <w:trPr>
          <w:trHeight w:val="227"/>
        </w:trPr>
        <w:tc>
          <w:tcPr>
            <w:tcW w:w="731" w:type="dxa"/>
            <w:tcBorders>
              <w:left w:val="single" w:sz="6" w:space="0" w:color="231F20"/>
              <w:right w:val="single" w:sz="6" w:space="0" w:color="231F20"/>
            </w:tcBorders>
          </w:tcPr>
          <w:p w14:paraId="55AB099E" w14:textId="77777777" w:rsidR="009948F1" w:rsidRDefault="009948F1">
            <w:pPr>
              <w:pStyle w:val="TableParagraph"/>
              <w:rPr>
                <w:rFonts w:ascii="Times New Roman"/>
                <w:sz w:val="16"/>
              </w:rPr>
            </w:pPr>
          </w:p>
        </w:tc>
        <w:tc>
          <w:tcPr>
            <w:tcW w:w="3889" w:type="dxa"/>
            <w:tcBorders>
              <w:left w:val="single" w:sz="6" w:space="0" w:color="231F20"/>
              <w:right w:val="single" w:sz="6" w:space="0" w:color="231F20"/>
            </w:tcBorders>
          </w:tcPr>
          <w:p w14:paraId="1D9CE51E" w14:textId="77777777" w:rsidR="009948F1" w:rsidRDefault="00BC0563">
            <w:pPr>
              <w:pStyle w:val="TableParagraph"/>
              <w:spacing w:before="2"/>
              <w:ind w:left="115"/>
              <w:rPr>
                <w:sz w:val="17"/>
              </w:rPr>
            </w:pPr>
            <w:r>
              <w:rPr>
                <w:color w:val="231F20"/>
                <w:w w:val="115"/>
                <w:sz w:val="17"/>
              </w:rPr>
              <w:t>Health Indicators</w:t>
            </w:r>
          </w:p>
        </w:tc>
        <w:tc>
          <w:tcPr>
            <w:tcW w:w="2311" w:type="dxa"/>
            <w:tcBorders>
              <w:left w:val="single" w:sz="6" w:space="0" w:color="231F20"/>
              <w:right w:val="single" w:sz="6" w:space="0" w:color="231F20"/>
            </w:tcBorders>
          </w:tcPr>
          <w:p w14:paraId="270E66E6" w14:textId="77777777" w:rsidR="009948F1" w:rsidRDefault="00BC0563">
            <w:pPr>
              <w:pStyle w:val="TableParagraph"/>
              <w:spacing w:before="2"/>
              <w:ind w:left="115"/>
              <w:rPr>
                <w:sz w:val="17"/>
              </w:rPr>
            </w:pPr>
            <w:r>
              <w:rPr>
                <w:color w:val="231F20"/>
                <w:w w:val="115"/>
                <w:sz w:val="17"/>
              </w:rPr>
              <w:t>Value (%)</w:t>
            </w:r>
          </w:p>
        </w:tc>
        <w:tc>
          <w:tcPr>
            <w:tcW w:w="2311" w:type="dxa"/>
            <w:tcBorders>
              <w:left w:val="single" w:sz="6" w:space="0" w:color="231F20"/>
              <w:right w:val="single" w:sz="6" w:space="0" w:color="231F20"/>
            </w:tcBorders>
          </w:tcPr>
          <w:p w14:paraId="6E8E4577" w14:textId="77777777" w:rsidR="009948F1" w:rsidRDefault="00BC0563">
            <w:pPr>
              <w:pStyle w:val="TableParagraph"/>
              <w:spacing w:before="2"/>
              <w:ind w:left="116"/>
              <w:rPr>
                <w:sz w:val="17"/>
              </w:rPr>
            </w:pPr>
            <w:r>
              <w:rPr>
                <w:color w:val="231F20"/>
                <w:w w:val="115"/>
                <w:sz w:val="17"/>
              </w:rPr>
              <w:t>Source</w:t>
            </w:r>
          </w:p>
        </w:tc>
      </w:tr>
      <w:tr w:rsidR="009948F1" w14:paraId="283FD58F" w14:textId="77777777">
        <w:trPr>
          <w:trHeight w:val="333"/>
        </w:trPr>
        <w:tc>
          <w:tcPr>
            <w:tcW w:w="731" w:type="dxa"/>
            <w:tcBorders>
              <w:left w:val="single" w:sz="6" w:space="0" w:color="231F20"/>
              <w:bottom w:val="nil"/>
              <w:right w:val="single" w:sz="6" w:space="0" w:color="231F20"/>
            </w:tcBorders>
          </w:tcPr>
          <w:p w14:paraId="5A3AE601" w14:textId="77777777" w:rsidR="009948F1" w:rsidRDefault="00BC0563">
            <w:pPr>
              <w:pStyle w:val="TableParagraph"/>
              <w:ind w:left="114"/>
              <w:rPr>
                <w:sz w:val="17"/>
              </w:rPr>
            </w:pPr>
            <w:r>
              <w:rPr>
                <w:color w:val="231F20"/>
                <w:w w:val="115"/>
                <w:sz w:val="17"/>
              </w:rPr>
              <w:t>1.</w:t>
            </w:r>
          </w:p>
        </w:tc>
        <w:tc>
          <w:tcPr>
            <w:tcW w:w="3889" w:type="dxa"/>
            <w:vMerge w:val="restart"/>
            <w:tcBorders>
              <w:left w:val="single" w:sz="6" w:space="0" w:color="231F20"/>
              <w:right w:val="single" w:sz="6" w:space="0" w:color="231F20"/>
            </w:tcBorders>
          </w:tcPr>
          <w:p w14:paraId="20969A6B" w14:textId="77777777" w:rsidR="009948F1" w:rsidRDefault="00BC0563">
            <w:pPr>
              <w:pStyle w:val="TableParagraph"/>
              <w:ind w:left="115"/>
              <w:rPr>
                <w:sz w:val="17"/>
              </w:rPr>
            </w:pPr>
            <w:r>
              <w:rPr>
                <w:color w:val="231F20"/>
                <w:w w:val="115"/>
                <w:sz w:val="17"/>
              </w:rPr>
              <w:t>Service Coverage:</w:t>
            </w:r>
          </w:p>
          <w:p w14:paraId="4CAEBD7B" w14:textId="77777777" w:rsidR="009948F1" w:rsidRDefault="00BC0563">
            <w:pPr>
              <w:pStyle w:val="TableParagraph"/>
              <w:spacing w:before="31"/>
              <w:ind w:left="115"/>
              <w:rPr>
                <w:sz w:val="17"/>
              </w:rPr>
            </w:pPr>
            <w:r>
              <w:rPr>
                <w:color w:val="231F20"/>
                <w:w w:val="115"/>
                <w:sz w:val="17"/>
              </w:rPr>
              <w:t>% that booked for ANC:</w:t>
            </w:r>
          </w:p>
          <w:p w14:paraId="66A803E1" w14:textId="77777777" w:rsidR="009948F1" w:rsidRDefault="00BC0563">
            <w:pPr>
              <w:pStyle w:val="TableParagraph"/>
              <w:numPr>
                <w:ilvl w:val="0"/>
                <w:numId w:val="319"/>
              </w:numPr>
              <w:tabs>
                <w:tab w:val="left" w:pos="896"/>
                <w:tab w:val="left" w:pos="897"/>
              </w:tabs>
              <w:spacing w:before="31"/>
              <w:ind w:hanging="392"/>
              <w:rPr>
                <w:sz w:val="17"/>
              </w:rPr>
            </w:pPr>
            <w:r>
              <w:rPr>
                <w:color w:val="231F20"/>
                <w:w w:val="115"/>
                <w:sz w:val="17"/>
              </w:rPr>
              <w:t>% that had at least 4</w:t>
            </w:r>
            <w:r>
              <w:rPr>
                <w:color w:val="231F20"/>
                <w:spacing w:val="-6"/>
                <w:w w:val="115"/>
                <w:sz w:val="17"/>
              </w:rPr>
              <w:t xml:space="preserve"> </w:t>
            </w:r>
            <w:r>
              <w:rPr>
                <w:color w:val="231F20"/>
                <w:w w:val="115"/>
                <w:sz w:val="17"/>
              </w:rPr>
              <w:t>visits</w:t>
            </w:r>
          </w:p>
          <w:p w14:paraId="56A9B3AA" w14:textId="77777777" w:rsidR="009948F1" w:rsidRDefault="00BC0563">
            <w:pPr>
              <w:pStyle w:val="TableParagraph"/>
              <w:numPr>
                <w:ilvl w:val="0"/>
                <w:numId w:val="319"/>
              </w:numPr>
              <w:tabs>
                <w:tab w:val="left" w:pos="896"/>
                <w:tab w:val="left" w:pos="897"/>
              </w:tabs>
              <w:spacing w:before="31" w:line="280" w:lineRule="auto"/>
              <w:ind w:right="946"/>
              <w:rPr>
                <w:sz w:val="17"/>
              </w:rPr>
            </w:pPr>
            <w:r>
              <w:rPr>
                <w:color w:val="231F20"/>
                <w:w w:val="115"/>
                <w:sz w:val="17"/>
              </w:rPr>
              <w:t xml:space="preserve">Delivery by Skilled </w:t>
            </w:r>
            <w:r>
              <w:rPr>
                <w:color w:val="231F20"/>
                <w:spacing w:val="-5"/>
                <w:w w:val="115"/>
                <w:sz w:val="17"/>
              </w:rPr>
              <w:t xml:space="preserve">birth </w:t>
            </w:r>
            <w:r>
              <w:rPr>
                <w:color w:val="231F20"/>
                <w:w w:val="115"/>
                <w:sz w:val="17"/>
              </w:rPr>
              <w:t>Attendants</w:t>
            </w:r>
          </w:p>
          <w:p w14:paraId="475E744C" w14:textId="77777777" w:rsidR="009948F1" w:rsidRDefault="00BC0563">
            <w:pPr>
              <w:pStyle w:val="TableParagraph"/>
              <w:numPr>
                <w:ilvl w:val="0"/>
                <w:numId w:val="319"/>
              </w:numPr>
              <w:tabs>
                <w:tab w:val="left" w:pos="896"/>
                <w:tab w:val="left" w:pos="897"/>
              </w:tabs>
              <w:spacing w:line="193" w:lineRule="exact"/>
              <w:ind w:hanging="392"/>
              <w:rPr>
                <w:sz w:val="17"/>
              </w:rPr>
            </w:pPr>
            <w:r>
              <w:rPr>
                <w:color w:val="231F20"/>
                <w:w w:val="115"/>
                <w:sz w:val="17"/>
              </w:rPr>
              <w:t>Facility based delivery</w:t>
            </w:r>
            <w:r>
              <w:rPr>
                <w:color w:val="231F20"/>
                <w:spacing w:val="-2"/>
                <w:w w:val="115"/>
                <w:sz w:val="17"/>
              </w:rPr>
              <w:t xml:space="preserve"> </w:t>
            </w:r>
            <w:r>
              <w:rPr>
                <w:color w:val="231F20"/>
                <w:w w:val="115"/>
                <w:sz w:val="17"/>
              </w:rPr>
              <w:t>rate</w:t>
            </w:r>
          </w:p>
          <w:p w14:paraId="0DA064E6" w14:textId="77777777" w:rsidR="009948F1" w:rsidRDefault="00BC0563">
            <w:pPr>
              <w:pStyle w:val="TableParagraph"/>
              <w:numPr>
                <w:ilvl w:val="0"/>
                <w:numId w:val="319"/>
              </w:numPr>
              <w:tabs>
                <w:tab w:val="left" w:pos="896"/>
                <w:tab w:val="left" w:pos="897"/>
              </w:tabs>
              <w:spacing w:before="30" w:line="278" w:lineRule="auto"/>
              <w:ind w:right="1098"/>
              <w:rPr>
                <w:sz w:val="17"/>
              </w:rPr>
            </w:pPr>
            <w:r>
              <w:rPr>
                <w:color w:val="231F20"/>
                <w:w w:val="115"/>
                <w:sz w:val="17"/>
              </w:rPr>
              <w:t xml:space="preserve">Modern </w:t>
            </w:r>
            <w:r>
              <w:rPr>
                <w:color w:val="231F20"/>
                <w:spacing w:val="-3"/>
                <w:w w:val="115"/>
                <w:sz w:val="17"/>
              </w:rPr>
              <w:t xml:space="preserve">contraceptive </w:t>
            </w:r>
            <w:r>
              <w:rPr>
                <w:color w:val="231F20"/>
                <w:w w:val="115"/>
                <w:sz w:val="17"/>
              </w:rPr>
              <w:t>prevalence</w:t>
            </w:r>
            <w:r>
              <w:rPr>
                <w:color w:val="231F20"/>
                <w:spacing w:val="-1"/>
                <w:w w:val="115"/>
                <w:sz w:val="17"/>
              </w:rPr>
              <w:t xml:space="preserve"> </w:t>
            </w:r>
            <w:r>
              <w:rPr>
                <w:color w:val="231F20"/>
                <w:w w:val="115"/>
                <w:sz w:val="17"/>
              </w:rPr>
              <w:t>rate</w:t>
            </w:r>
          </w:p>
          <w:p w14:paraId="5D4B8480" w14:textId="77777777" w:rsidR="009948F1" w:rsidRDefault="00BC0563">
            <w:pPr>
              <w:pStyle w:val="TableParagraph"/>
              <w:numPr>
                <w:ilvl w:val="0"/>
                <w:numId w:val="319"/>
              </w:numPr>
              <w:tabs>
                <w:tab w:val="left" w:pos="896"/>
                <w:tab w:val="left" w:pos="897"/>
              </w:tabs>
              <w:spacing w:line="195" w:lineRule="exact"/>
              <w:ind w:hanging="392"/>
              <w:rPr>
                <w:sz w:val="17"/>
              </w:rPr>
            </w:pPr>
            <w:r>
              <w:rPr>
                <w:color w:val="231F20"/>
                <w:w w:val="115"/>
                <w:sz w:val="17"/>
              </w:rPr>
              <w:t>Unmet</w:t>
            </w:r>
            <w:r>
              <w:rPr>
                <w:color w:val="231F20"/>
                <w:spacing w:val="-2"/>
                <w:w w:val="115"/>
                <w:sz w:val="17"/>
              </w:rPr>
              <w:t xml:space="preserve"> </w:t>
            </w:r>
            <w:r>
              <w:rPr>
                <w:color w:val="231F20"/>
                <w:w w:val="115"/>
                <w:sz w:val="17"/>
              </w:rPr>
              <w:t>needs</w:t>
            </w:r>
          </w:p>
        </w:tc>
        <w:tc>
          <w:tcPr>
            <w:tcW w:w="2311" w:type="dxa"/>
            <w:tcBorders>
              <w:left w:val="single" w:sz="6" w:space="0" w:color="231F20"/>
              <w:bottom w:val="nil"/>
              <w:right w:val="single" w:sz="6" w:space="0" w:color="231F20"/>
            </w:tcBorders>
          </w:tcPr>
          <w:p w14:paraId="3526FE23" w14:textId="77777777" w:rsidR="009948F1" w:rsidRDefault="009948F1">
            <w:pPr>
              <w:pStyle w:val="TableParagraph"/>
              <w:rPr>
                <w:rFonts w:ascii="Times New Roman"/>
                <w:sz w:val="20"/>
              </w:rPr>
            </w:pPr>
          </w:p>
        </w:tc>
        <w:tc>
          <w:tcPr>
            <w:tcW w:w="2311" w:type="dxa"/>
            <w:tcBorders>
              <w:left w:val="single" w:sz="6" w:space="0" w:color="231F20"/>
              <w:bottom w:val="nil"/>
              <w:right w:val="single" w:sz="6" w:space="0" w:color="231F20"/>
            </w:tcBorders>
          </w:tcPr>
          <w:p w14:paraId="33F0642D" w14:textId="77777777" w:rsidR="009948F1" w:rsidRDefault="009948F1">
            <w:pPr>
              <w:pStyle w:val="TableParagraph"/>
              <w:rPr>
                <w:rFonts w:ascii="Times New Roman"/>
                <w:sz w:val="20"/>
              </w:rPr>
            </w:pPr>
          </w:p>
        </w:tc>
      </w:tr>
      <w:tr w:rsidR="009948F1" w14:paraId="61F9EFB2" w14:textId="77777777">
        <w:trPr>
          <w:trHeight w:val="443"/>
        </w:trPr>
        <w:tc>
          <w:tcPr>
            <w:tcW w:w="731" w:type="dxa"/>
            <w:tcBorders>
              <w:top w:val="nil"/>
              <w:left w:val="single" w:sz="6" w:space="0" w:color="231F20"/>
              <w:bottom w:val="nil"/>
              <w:right w:val="single" w:sz="6" w:space="0" w:color="231F20"/>
            </w:tcBorders>
          </w:tcPr>
          <w:p w14:paraId="33F0A62B"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32238395"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177BBB4E" w14:textId="77777777" w:rsidR="009948F1" w:rsidRDefault="00BC0563">
            <w:pPr>
              <w:pStyle w:val="TableParagraph"/>
              <w:spacing w:before="109"/>
              <w:ind w:left="115"/>
              <w:rPr>
                <w:sz w:val="17"/>
              </w:rPr>
            </w:pPr>
            <w:r>
              <w:rPr>
                <w:color w:val="231F20"/>
                <w:w w:val="115"/>
                <w:sz w:val="17"/>
              </w:rPr>
              <w:t>85.8</w:t>
            </w:r>
          </w:p>
        </w:tc>
        <w:tc>
          <w:tcPr>
            <w:tcW w:w="2311" w:type="dxa"/>
            <w:tcBorders>
              <w:top w:val="nil"/>
              <w:left w:val="single" w:sz="6" w:space="0" w:color="231F20"/>
              <w:bottom w:val="nil"/>
              <w:right w:val="single" w:sz="6" w:space="0" w:color="231F20"/>
            </w:tcBorders>
          </w:tcPr>
          <w:p w14:paraId="00CD6074" w14:textId="77777777" w:rsidR="009948F1" w:rsidRDefault="00BC0563">
            <w:pPr>
              <w:pStyle w:val="TableParagraph"/>
              <w:spacing w:before="109"/>
              <w:ind w:left="116"/>
              <w:rPr>
                <w:sz w:val="17"/>
              </w:rPr>
            </w:pPr>
            <w:r>
              <w:rPr>
                <w:color w:val="231F20"/>
                <w:w w:val="115"/>
                <w:sz w:val="17"/>
              </w:rPr>
              <w:t>MICS 2016/2017</w:t>
            </w:r>
          </w:p>
        </w:tc>
      </w:tr>
      <w:tr w:rsidR="009948F1" w14:paraId="5295A9B1" w14:textId="77777777">
        <w:trPr>
          <w:trHeight w:val="330"/>
        </w:trPr>
        <w:tc>
          <w:tcPr>
            <w:tcW w:w="731" w:type="dxa"/>
            <w:tcBorders>
              <w:top w:val="nil"/>
              <w:left w:val="single" w:sz="6" w:space="0" w:color="231F20"/>
              <w:bottom w:val="nil"/>
              <w:right w:val="single" w:sz="6" w:space="0" w:color="231F20"/>
            </w:tcBorders>
          </w:tcPr>
          <w:p w14:paraId="4C6D6A4A"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1C936A08"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5E5783E1" w14:textId="77777777" w:rsidR="009948F1" w:rsidRDefault="00BC0563">
            <w:pPr>
              <w:pStyle w:val="TableParagraph"/>
              <w:spacing w:before="110"/>
              <w:ind w:left="115"/>
              <w:rPr>
                <w:sz w:val="17"/>
              </w:rPr>
            </w:pPr>
            <w:r>
              <w:rPr>
                <w:color w:val="231F20"/>
                <w:w w:val="115"/>
                <w:sz w:val="17"/>
              </w:rPr>
              <w:t>83.7</w:t>
            </w:r>
          </w:p>
        </w:tc>
        <w:tc>
          <w:tcPr>
            <w:tcW w:w="2311" w:type="dxa"/>
            <w:tcBorders>
              <w:top w:val="nil"/>
              <w:left w:val="single" w:sz="6" w:space="0" w:color="231F20"/>
              <w:bottom w:val="nil"/>
              <w:right w:val="single" w:sz="6" w:space="0" w:color="231F20"/>
            </w:tcBorders>
          </w:tcPr>
          <w:p w14:paraId="5E6B39CF" w14:textId="77777777" w:rsidR="009948F1" w:rsidRDefault="00BC0563">
            <w:pPr>
              <w:pStyle w:val="TableParagraph"/>
              <w:spacing w:before="110"/>
              <w:ind w:left="116"/>
              <w:rPr>
                <w:sz w:val="17"/>
              </w:rPr>
            </w:pPr>
            <w:r>
              <w:rPr>
                <w:color w:val="231F20"/>
                <w:w w:val="115"/>
                <w:sz w:val="17"/>
              </w:rPr>
              <w:t>MICS 2016</w:t>
            </w:r>
          </w:p>
        </w:tc>
      </w:tr>
      <w:tr w:rsidR="009948F1" w14:paraId="0ECAE23A" w14:textId="77777777">
        <w:trPr>
          <w:trHeight w:val="329"/>
        </w:trPr>
        <w:tc>
          <w:tcPr>
            <w:tcW w:w="731" w:type="dxa"/>
            <w:tcBorders>
              <w:top w:val="nil"/>
              <w:left w:val="single" w:sz="6" w:space="0" w:color="231F20"/>
              <w:bottom w:val="nil"/>
              <w:right w:val="single" w:sz="6" w:space="0" w:color="231F20"/>
            </w:tcBorders>
          </w:tcPr>
          <w:p w14:paraId="529BCFEE"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3E84B521"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04257A66" w14:textId="77777777" w:rsidR="009948F1" w:rsidRDefault="00BC0563">
            <w:pPr>
              <w:pStyle w:val="TableParagraph"/>
              <w:spacing w:line="192" w:lineRule="exact"/>
              <w:ind w:left="115"/>
              <w:rPr>
                <w:sz w:val="17"/>
              </w:rPr>
            </w:pPr>
            <w:r>
              <w:rPr>
                <w:color w:val="231F20"/>
                <w:w w:val="115"/>
                <w:sz w:val="17"/>
              </w:rPr>
              <w:t>80.0</w:t>
            </w:r>
          </w:p>
        </w:tc>
        <w:tc>
          <w:tcPr>
            <w:tcW w:w="2311" w:type="dxa"/>
            <w:tcBorders>
              <w:top w:val="nil"/>
              <w:left w:val="single" w:sz="6" w:space="0" w:color="231F20"/>
              <w:bottom w:val="nil"/>
              <w:right w:val="single" w:sz="6" w:space="0" w:color="231F20"/>
            </w:tcBorders>
          </w:tcPr>
          <w:p w14:paraId="2CD55281" w14:textId="77777777" w:rsidR="009948F1" w:rsidRDefault="00BC0563">
            <w:pPr>
              <w:pStyle w:val="TableParagraph"/>
              <w:spacing w:line="192" w:lineRule="exact"/>
              <w:ind w:left="116"/>
              <w:rPr>
                <w:sz w:val="17"/>
              </w:rPr>
            </w:pPr>
            <w:r>
              <w:rPr>
                <w:color w:val="231F20"/>
                <w:w w:val="115"/>
                <w:sz w:val="17"/>
              </w:rPr>
              <w:t>MICS 2016</w:t>
            </w:r>
          </w:p>
        </w:tc>
      </w:tr>
      <w:tr w:rsidR="009948F1" w14:paraId="0469FBB8" w14:textId="77777777">
        <w:trPr>
          <w:trHeight w:val="329"/>
        </w:trPr>
        <w:tc>
          <w:tcPr>
            <w:tcW w:w="731" w:type="dxa"/>
            <w:tcBorders>
              <w:top w:val="nil"/>
              <w:left w:val="single" w:sz="6" w:space="0" w:color="231F20"/>
              <w:bottom w:val="nil"/>
              <w:right w:val="single" w:sz="6" w:space="0" w:color="231F20"/>
            </w:tcBorders>
          </w:tcPr>
          <w:p w14:paraId="185589DD"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24969F01"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415EBA49" w14:textId="77777777" w:rsidR="009948F1" w:rsidRDefault="00BC0563">
            <w:pPr>
              <w:pStyle w:val="TableParagraph"/>
              <w:spacing w:before="109"/>
              <w:ind w:left="115"/>
              <w:rPr>
                <w:sz w:val="17"/>
              </w:rPr>
            </w:pPr>
            <w:r>
              <w:rPr>
                <w:color w:val="231F20"/>
                <w:w w:val="115"/>
                <w:sz w:val="17"/>
              </w:rPr>
              <w:t>83.7</w:t>
            </w:r>
          </w:p>
        </w:tc>
        <w:tc>
          <w:tcPr>
            <w:tcW w:w="2311" w:type="dxa"/>
            <w:tcBorders>
              <w:top w:val="nil"/>
              <w:left w:val="single" w:sz="6" w:space="0" w:color="231F20"/>
              <w:bottom w:val="nil"/>
              <w:right w:val="single" w:sz="6" w:space="0" w:color="231F20"/>
            </w:tcBorders>
          </w:tcPr>
          <w:p w14:paraId="6A1D62F3" w14:textId="77777777" w:rsidR="009948F1" w:rsidRDefault="00BC0563">
            <w:pPr>
              <w:pStyle w:val="TableParagraph"/>
              <w:spacing w:before="109"/>
              <w:ind w:left="116"/>
              <w:rPr>
                <w:sz w:val="17"/>
              </w:rPr>
            </w:pPr>
            <w:r>
              <w:rPr>
                <w:color w:val="231F20"/>
                <w:w w:val="115"/>
                <w:sz w:val="17"/>
              </w:rPr>
              <w:t>MICS 2016</w:t>
            </w:r>
          </w:p>
        </w:tc>
      </w:tr>
      <w:tr w:rsidR="009948F1" w14:paraId="7EACBAB0" w14:textId="77777777">
        <w:trPr>
          <w:trHeight w:val="221"/>
        </w:trPr>
        <w:tc>
          <w:tcPr>
            <w:tcW w:w="731" w:type="dxa"/>
            <w:tcBorders>
              <w:top w:val="nil"/>
              <w:left w:val="single" w:sz="6" w:space="0" w:color="231F20"/>
              <w:right w:val="single" w:sz="6" w:space="0" w:color="231F20"/>
            </w:tcBorders>
          </w:tcPr>
          <w:p w14:paraId="70EA637C" w14:textId="77777777" w:rsidR="009948F1" w:rsidRDefault="009948F1">
            <w:pPr>
              <w:pStyle w:val="TableParagraph"/>
              <w:rPr>
                <w:rFonts w:ascii="Times New Roman"/>
                <w:sz w:val="14"/>
              </w:rPr>
            </w:pPr>
          </w:p>
        </w:tc>
        <w:tc>
          <w:tcPr>
            <w:tcW w:w="3889" w:type="dxa"/>
            <w:vMerge/>
            <w:tcBorders>
              <w:top w:val="nil"/>
              <w:left w:val="single" w:sz="6" w:space="0" w:color="231F20"/>
              <w:right w:val="single" w:sz="6" w:space="0" w:color="231F20"/>
            </w:tcBorders>
          </w:tcPr>
          <w:p w14:paraId="6AF77B3D" w14:textId="77777777" w:rsidR="009948F1" w:rsidRDefault="009948F1">
            <w:pPr>
              <w:rPr>
                <w:sz w:val="2"/>
                <w:szCs w:val="2"/>
              </w:rPr>
            </w:pPr>
          </w:p>
        </w:tc>
        <w:tc>
          <w:tcPr>
            <w:tcW w:w="2311" w:type="dxa"/>
            <w:tcBorders>
              <w:top w:val="nil"/>
              <w:left w:val="single" w:sz="6" w:space="0" w:color="231F20"/>
              <w:right w:val="single" w:sz="6" w:space="0" w:color="231F20"/>
            </w:tcBorders>
          </w:tcPr>
          <w:p w14:paraId="333FC248" w14:textId="77777777" w:rsidR="009948F1" w:rsidRDefault="00BC0563">
            <w:pPr>
              <w:pStyle w:val="TableParagraph"/>
              <w:spacing w:line="192" w:lineRule="exact"/>
              <w:ind w:left="115"/>
              <w:rPr>
                <w:sz w:val="17"/>
              </w:rPr>
            </w:pPr>
            <w:r>
              <w:rPr>
                <w:color w:val="231F20"/>
                <w:w w:val="115"/>
                <w:sz w:val="17"/>
              </w:rPr>
              <w:t>27.7</w:t>
            </w:r>
          </w:p>
        </w:tc>
        <w:tc>
          <w:tcPr>
            <w:tcW w:w="2311" w:type="dxa"/>
            <w:tcBorders>
              <w:top w:val="nil"/>
              <w:left w:val="single" w:sz="6" w:space="0" w:color="231F20"/>
              <w:right w:val="single" w:sz="6" w:space="0" w:color="231F20"/>
            </w:tcBorders>
          </w:tcPr>
          <w:p w14:paraId="300D0605" w14:textId="77777777" w:rsidR="009948F1" w:rsidRDefault="00BC0563">
            <w:pPr>
              <w:pStyle w:val="TableParagraph"/>
              <w:spacing w:line="192" w:lineRule="exact"/>
              <w:ind w:left="116"/>
              <w:rPr>
                <w:sz w:val="17"/>
              </w:rPr>
            </w:pPr>
            <w:r>
              <w:rPr>
                <w:color w:val="231F20"/>
                <w:w w:val="115"/>
                <w:sz w:val="17"/>
              </w:rPr>
              <w:t>MICS 2016</w:t>
            </w:r>
          </w:p>
        </w:tc>
      </w:tr>
      <w:tr w:rsidR="009948F1" w14:paraId="59A28396" w14:textId="77777777">
        <w:trPr>
          <w:trHeight w:val="1588"/>
        </w:trPr>
        <w:tc>
          <w:tcPr>
            <w:tcW w:w="731" w:type="dxa"/>
            <w:tcBorders>
              <w:left w:val="single" w:sz="6" w:space="0" w:color="231F20"/>
              <w:right w:val="single" w:sz="6" w:space="0" w:color="231F20"/>
            </w:tcBorders>
          </w:tcPr>
          <w:p w14:paraId="43830014" w14:textId="77777777" w:rsidR="009948F1" w:rsidRDefault="00BC0563">
            <w:pPr>
              <w:pStyle w:val="TableParagraph"/>
              <w:spacing w:before="2"/>
              <w:ind w:left="114"/>
              <w:rPr>
                <w:sz w:val="17"/>
              </w:rPr>
            </w:pPr>
            <w:r>
              <w:rPr>
                <w:color w:val="231F20"/>
                <w:w w:val="115"/>
                <w:sz w:val="17"/>
              </w:rPr>
              <w:t>2.</w:t>
            </w:r>
          </w:p>
        </w:tc>
        <w:tc>
          <w:tcPr>
            <w:tcW w:w="3889" w:type="dxa"/>
            <w:tcBorders>
              <w:left w:val="single" w:sz="6" w:space="0" w:color="231F20"/>
              <w:right w:val="single" w:sz="6" w:space="0" w:color="231F20"/>
            </w:tcBorders>
          </w:tcPr>
          <w:p w14:paraId="13A6C8C6" w14:textId="77777777" w:rsidR="009948F1" w:rsidRDefault="00BC0563">
            <w:pPr>
              <w:pStyle w:val="TableParagraph"/>
              <w:spacing w:before="2"/>
              <w:ind w:left="115"/>
              <w:rPr>
                <w:sz w:val="17"/>
              </w:rPr>
            </w:pPr>
            <w:r>
              <w:rPr>
                <w:color w:val="231F20"/>
                <w:w w:val="115"/>
                <w:sz w:val="17"/>
              </w:rPr>
              <w:t>Vaccination Rate</w:t>
            </w:r>
          </w:p>
          <w:p w14:paraId="00710EAD" w14:textId="77777777" w:rsidR="009948F1" w:rsidRDefault="00BC0563">
            <w:pPr>
              <w:pStyle w:val="TableParagraph"/>
              <w:numPr>
                <w:ilvl w:val="0"/>
                <w:numId w:val="318"/>
              </w:numPr>
              <w:tabs>
                <w:tab w:val="left" w:pos="896"/>
                <w:tab w:val="left" w:pos="897"/>
              </w:tabs>
              <w:spacing w:before="31"/>
              <w:ind w:hanging="392"/>
              <w:rPr>
                <w:sz w:val="17"/>
              </w:rPr>
            </w:pPr>
            <w:r>
              <w:rPr>
                <w:color w:val="231F20"/>
                <w:w w:val="115"/>
                <w:sz w:val="17"/>
              </w:rPr>
              <w:t>BCG</w:t>
            </w:r>
          </w:p>
          <w:p w14:paraId="0C4CC5E9" w14:textId="77777777" w:rsidR="009948F1" w:rsidRDefault="00BC0563">
            <w:pPr>
              <w:pStyle w:val="TableParagraph"/>
              <w:numPr>
                <w:ilvl w:val="0"/>
                <w:numId w:val="318"/>
              </w:numPr>
              <w:tabs>
                <w:tab w:val="left" w:pos="896"/>
                <w:tab w:val="left" w:pos="897"/>
              </w:tabs>
              <w:spacing w:before="31"/>
              <w:ind w:hanging="392"/>
              <w:rPr>
                <w:sz w:val="17"/>
              </w:rPr>
            </w:pPr>
            <w:r>
              <w:rPr>
                <w:color w:val="231F20"/>
                <w:w w:val="115"/>
                <w:sz w:val="17"/>
              </w:rPr>
              <w:t>Penta</w:t>
            </w:r>
            <w:r>
              <w:rPr>
                <w:color w:val="231F20"/>
                <w:spacing w:val="-1"/>
                <w:w w:val="115"/>
                <w:sz w:val="17"/>
              </w:rPr>
              <w:t xml:space="preserve"> </w:t>
            </w:r>
            <w:r>
              <w:rPr>
                <w:color w:val="231F20"/>
                <w:w w:val="115"/>
                <w:sz w:val="17"/>
              </w:rPr>
              <w:t>3</w:t>
            </w:r>
          </w:p>
          <w:p w14:paraId="785144EC" w14:textId="77777777" w:rsidR="009948F1" w:rsidRDefault="00BC0563">
            <w:pPr>
              <w:pStyle w:val="TableParagraph"/>
              <w:numPr>
                <w:ilvl w:val="0"/>
                <w:numId w:val="318"/>
              </w:numPr>
              <w:tabs>
                <w:tab w:val="left" w:pos="896"/>
                <w:tab w:val="left" w:pos="897"/>
              </w:tabs>
              <w:spacing w:before="31"/>
              <w:ind w:hanging="392"/>
              <w:rPr>
                <w:sz w:val="17"/>
              </w:rPr>
            </w:pPr>
            <w:r>
              <w:rPr>
                <w:color w:val="231F20"/>
                <w:w w:val="115"/>
                <w:sz w:val="17"/>
              </w:rPr>
              <w:t>Measles</w:t>
            </w:r>
          </w:p>
          <w:p w14:paraId="60CE0FCD" w14:textId="77777777" w:rsidR="009948F1" w:rsidRDefault="00BC0563">
            <w:pPr>
              <w:pStyle w:val="TableParagraph"/>
              <w:numPr>
                <w:ilvl w:val="0"/>
                <w:numId w:val="318"/>
              </w:numPr>
              <w:tabs>
                <w:tab w:val="left" w:pos="896"/>
                <w:tab w:val="left" w:pos="897"/>
              </w:tabs>
              <w:spacing w:before="31"/>
              <w:ind w:hanging="392"/>
              <w:rPr>
                <w:sz w:val="17"/>
              </w:rPr>
            </w:pPr>
            <w:r>
              <w:rPr>
                <w:color w:val="231F20"/>
                <w:w w:val="115"/>
                <w:sz w:val="17"/>
              </w:rPr>
              <w:t>Fully</w:t>
            </w:r>
            <w:r>
              <w:rPr>
                <w:color w:val="231F20"/>
                <w:spacing w:val="-1"/>
                <w:w w:val="115"/>
                <w:sz w:val="17"/>
              </w:rPr>
              <w:t xml:space="preserve"> </w:t>
            </w:r>
            <w:r>
              <w:rPr>
                <w:color w:val="231F20"/>
                <w:w w:val="115"/>
                <w:sz w:val="17"/>
              </w:rPr>
              <w:t>immunized</w:t>
            </w:r>
          </w:p>
          <w:p w14:paraId="5C4109A8" w14:textId="77777777" w:rsidR="009948F1" w:rsidRDefault="00BC0563">
            <w:pPr>
              <w:pStyle w:val="TableParagraph"/>
              <w:numPr>
                <w:ilvl w:val="0"/>
                <w:numId w:val="318"/>
              </w:numPr>
              <w:tabs>
                <w:tab w:val="left" w:pos="896"/>
                <w:tab w:val="left" w:pos="897"/>
              </w:tabs>
              <w:spacing w:before="33"/>
              <w:ind w:hanging="392"/>
              <w:rPr>
                <w:sz w:val="17"/>
              </w:rPr>
            </w:pPr>
            <w:r>
              <w:rPr>
                <w:color w:val="231F20"/>
                <w:w w:val="115"/>
                <w:sz w:val="17"/>
              </w:rPr>
              <w:t>Partial</w:t>
            </w:r>
            <w:r>
              <w:rPr>
                <w:color w:val="231F20"/>
                <w:spacing w:val="-1"/>
                <w:w w:val="115"/>
                <w:sz w:val="17"/>
              </w:rPr>
              <w:t xml:space="preserve"> </w:t>
            </w:r>
            <w:r>
              <w:rPr>
                <w:color w:val="231F20"/>
                <w:w w:val="115"/>
                <w:sz w:val="17"/>
              </w:rPr>
              <w:t>immunized</w:t>
            </w:r>
          </w:p>
          <w:p w14:paraId="461C583C" w14:textId="77777777" w:rsidR="009948F1" w:rsidRDefault="00BC0563">
            <w:pPr>
              <w:pStyle w:val="TableParagraph"/>
              <w:numPr>
                <w:ilvl w:val="0"/>
                <w:numId w:val="318"/>
              </w:numPr>
              <w:tabs>
                <w:tab w:val="left" w:pos="896"/>
                <w:tab w:val="left" w:pos="897"/>
              </w:tabs>
              <w:spacing w:before="31"/>
              <w:ind w:hanging="392"/>
              <w:rPr>
                <w:sz w:val="17"/>
              </w:rPr>
            </w:pPr>
            <w:r>
              <w:rPr>
                <w:color w:val="231F20"/>
                <w:w w:val="115"/>
                <w:sz w:val="17"/>
              </w:rPr>
              <w:t>Not</w:t>
            </w:r>
            <w:r>
              <w:rPr>
                <w:color w:val="231F20"/>
                <w:spacing w:val="-2"/>
                <w:w w:val="115"/>
                <w:sz w:val="17"/>
              </w:rPr>
              <w:t xml:space="preserve"> </w:t>
            </w:r>
            <w:r>
              <w:rPr>
                <w:color w:val="231F20"/>
                <w:w w:val="115"/>
                <w:sz w:val="17"/>
              </w:rPr>
              <w:t>immunized</w:t>
            </w:r>
          </w:p>
        </w:tc>
        <w:tc>
          <w:tcPr>
            <w:tcW w:w="2311" w:type="dxa"/>
            <w:tcBorders>
              <w:left w:val="single" w:sz="6" w:space="0" w:color="231F20"/>
              <w:right w:val="single" w:sz="6" w:space="0" w:color="231F20"/>
            </w:tcBorders>
          </w:tcPr>
          <w:p w14:paraId="4871C658" w14:textId="77777777" w:rsidR="009948F1" w:rsidRDefault="009948F1">
            <w:pPr>
              <w:pStyle w:val="TableParagraph"/>
              <w:spacing w:before="10"/>
              <w:rPr>
                <w:b/>
                <w:i/>
                <w:sz w:val="19"/>
              </w:rPr>
            </w:pPr>
          </w:p>
          <w:p w14:paraId="4FD301EC" w14:textId="77777777" w:rsidR="009948F1" w:rsidRDefault="00BC0563">
            <w:pPr>
              <w:pStyle w:val="TableParagraph"/>
              <w:ind w:left="115"/>
              <w:rPr>
                <w:sz w:val="17"/>
              </w:rPr>
            </w:pPr>
            <w:r>
              <w:rPr>
                <w:color w:val="231F20"/>
                <w:w w:val="115"/>
                <w:sz w:val="17"/>
              </w:rPr>
              <w:t>82</w:t>
            </w:r>
          </w:p>
          <w:p w14:paraId="6CFDA069" w14:textId="77777777" w:rsidR="009948F1" w:rsidRDefault="00BC0563">
            <w:pPr>
              <w:pStyle w:val="TableParagraph"/>
              <w:spacing w:before="31"/>
              <w:ind w:left="115"/>
              <w:rPr>
                <w:sz w:val="17"/>
              </w:rPr>
            </w:pPr>
            <w:r>
              <w:rPr>
                <w:color w:val="231F20"/>
                <w:w w:val="115"/>
                <w:sz w:val="17"/>
              </w:rPr>
              <w:t>66</w:t>
            </w:r>
          </w:p>
          <w:p w14:paraId="58FFC8A4" w14:textId="77777777" w:rsidR="009948F1" w:rsidRDefault="00BC0563">
            <w:pPr>
              <w:pStyle w:val="TableParagraph"/>
              <w:spacing w:before="31"/>
              <w:ind w:left="115"/>
              <w:rPr>
                <w:sz w:val="17"/>
              </w:rPr>
            </w:pPr>
            <w:r>
              <w:rPr>
                <w:color w:val="231F20"/>
                <w:w w:val="115"/>
                <w:sz w:val="17"/>
              </w:rPr>
              <w:t>71</w:t>
            </w:r>
          </w:p>
          <w:p w14:paraId="67C11604" w14:textId="77777777" w:rsidR="009948F1" w:rsidRDefault="00BC0563">
            <w:pPr>
              <w:pStyle w:val="TableParagraph"/>
              <w:spacing w:before="31"/>
              <w:ind w:left="115"/>
              <w:rPr>
                <w:sz w:val="17"/>
              </w:rPr>
            </w:pPr>
            <w:r>
              <w:rPr>
                <w:color w:val="231F20"/>
                <w:w w:val="115"/>
                <w:sz w:val="17"/>
              </w:rPr>
              <w:t>45</w:t>
            </w:r>
          </w:p>
          <w:p w14:paraId="75767A81" w14:textId="77777777" w:rsidR="009948F1" w:rsidRDefault="00BC0563">
            <w:pPr>
              <w:pStyle w:val="TableParagraph"/>
              <w:spacing w:before="33"/>
              <w:ind w:left="115"/>
              <w:rPr>
                <w:sz w:val="17"/>
              </w:rPr>
            </w:pPr>
            <w:r>
              <w:rPr>
                <w:color w:val="231F20"/>
                <w:w w:val="115"/>
                <w:sz w:val="17"/>
              </w:rPr>
              <w:t>61</w:t>
            </w:r>
          </w:p>
          <w:p w14:paraId="5D46AC02" w14:textId="77777777" w:rsidR="009948F1" w:rsidRDefault="00BC0563">
            <w:pPr>
              <w:pStyle w:val="TableParagraph"/>
              <w:spacing w:before="31"/>
              <w:ind w:left="115"/>
              <w:rPr>
                <w:sz w:val="17"/>
              </w:rPr>
            </w:pPr>
            <w:r>
              <w:rPr>
                <w:color w:val="231F20"/>
                <w:w w:val="115"/>
                <w:sz w:val="17"/>
              </w:rPr>
              <w:t>11</w:t>
            </w:r>
          </w:p>
        </w:tc>
        <w:tc>
          <w:tcPr>
            <w:tcW w:w="2311" w:type="dxa"/>
            <w:tcBorders>
              <w:left w:val="single" w:sz="6" w:space="0" w:color="231F20"/>
              <w:right w:val="single" w:sz="6" w:space="0" w:color="231F20"/>
            </w:tcBorders>
          </w:tcPr>
          <w:p w14:paraId="7B41C062" w14:textId="77777777" w:rsidR="009948F1" w:rsidRDefault="009948F1">
            <w:pPr>
              <w:pStyle w:val="TableParagraph"/>
              <w:spacing w:before="10"/>
              <w:rPr>
                <w:b/>
                <w:i/>
                <w:sz w:val="19"/>
              </w:rPr>
            </w:pPr>
          </w:p>
          <w:p w14:paraId="247E72E1" w14:textId="77777777" w:rsidR="009948F1" w:rsidRDefault="00BC0563">
            <w:pPr>
              <w:pStyle w:val="TableParagraph"/>
              <w:ind w:left="116"/>
              <w:rPr>
                <w:sz w:val="17"/>
              </w:rPr>
            </w:pPr>
            <w:r>
              <w:rPr>
                <w:color w:val="231F20"/>
                <w:w w:val="115"/>
                <w:sz w:val="17"/>
              </w:rPr>
              <w:t>MICS</w:t>
            </w:r>
            <w:r>
              <w:rPr>
                <w:color w:val="231F20"/>
                <w:spacing w:val="-3"/>
                <w:w w:val="115"/>
                <w:sz w:val="17"/>
              </w:rPr>
              <w:t xml:space="preserve"> </w:t>
            </w:r>
            <w:r>
              <w:rPr>
                <w:color w:val="231F20"/>
                <w:w w:val="115"/>
                <w:sz w:val="17"/>
              </w:rPr>
              <w:t>2016</w:t>
            </w:r>
          </w:p>
          <w:p w14:paraId="2209DE35" w14:textId="77777777" w:rsidR="009948F1" w:rsidRDefault="00BC0563">
            <w:pPr>
              <w:pStyle w:val="TableParagraph"/>
              <w:spacing w:before="31"/>
              <w:ind w:left="116"/>
              <w:rPr>
                <w:sz w:val="17"/>
              </w:rPr>
            </w:pPr>
            <w:r>
              <w:rPr>
                <w:color w:val="231F20"/>
                <w:w w:val="115"/>
                <w:sz w:val="17"/>
              </w:rPr>
              <w:t>MICS</w:t>
            </w:r>
            <w:r>
              <w:rPr>
                <w:color w:val="231F20"/>
                <w:spacing w:val="-3"/>
                <w:w w:val="115"/>
                <w:sz w:val="17"/>
              </w:rPr>
              <w:t xml:space="preserve"> </w:t>
            </w:r>
            <w:r>
              <w:rPr>
                <w:color w:val="231F20"/>
                <w:w w:val="115"/>
                <w:sz w:val="17"/>
              </w:rPr>
              <w:t>2016</w:t>
            </w:r>
          </w:p>
          <w:p w14:paraId="6F9E6121" w14:textId="77777777" w:rsidR="009948F1" w:rsidRDefault="00BC0563">
            <w:pPr>
              <w:pStyle w:val="TableParagraph"/>
              <w:spacing w:before="31"/>
              <w:ind w:left="116"/>
              <w:rPr>
                <w:sz w:val="17"/>
              </w:rPr>
            </w:pPr>
            <w:r>
              <w:rPr>
                <w:color w:val="231F20"/>
                <w:w w:val="115"/>
                <w:sz w:val="17"/>
              </w:rPr>
              <w:t>MICS</w:t>
            </w:r>
            <w:r>
              <w:rPr>
                <w:color w:val="231F20"/>
                <w:spacing w:val="-3"/>
                <w:w w:val="115"/>
                <w:sz w:val="17"/>
              </w:rPr>
              <w:t xml:space="preserve"> </w:t>
            </w:r>
            <w:r>
              <w:rPr>
                <w:color w:val="231F20"/>
                <w:w w:val="115"/>
                <w:sz w:val="17"/>
              </w:rPr>
              <w:t>2016</w:t>
            </w:r>
          </w:p>
          <w:p w14:paraId="2A0132F0" w14:textId="77777777" w:rsidR="009948F1" w:rsidRDefault="00BC0563">
            <w:pPr>
              <w:pStyle w:val="TableParagraph"/>
              <w:spacing w:before="31"/>
              <w:ind w:left="116"/>
              <w:rPr>
                <w:sz w:val="17"/>
              </w:rPr>
            </w:pPr>
            <w:r>
              <w:rPr>
                <w:color w:val="231F20"/>
                <w:w w:val="115"/>
                <w:sz w:val="17"/>
              </w:rPr>
              <w:t>MICS</w:t>
            </w:r>
            <w:r>
              <w:rPr>
                <w:color w:val="231F20"/>
                <w:spacing w:val="-3"/>
                <w:w w:val="115"/>
                <w:sz w:val="17"/>
              </w:rPr>
              <w:t xml:space="preserve"> </w:t>
            </w:r>
            <w:r>
              <w:rPr>
                <w:color w:val="231F20"/>
                <w:w w:val="115"/>
                <w:sz w:val="17"/>
              </w:rPr>
              <w:t>2016</w:t>
            </w:r>
          </w:p>
          <w:p w14:paraId="0B0BF616" w14:textId="77777777" w:rsidR="009948F1" w:rsidRDefault="00BC0563">
            <w:pPr>
              <w:pStyle w:val="TableParagraph"/>
              <w:spacing w:before="33"/>
              <w:ind w:left="116"/>
              <w:rPr>
                <w:sz w:val="17"/>
              </w:rPr>
            </w:pPr>
            <w:r>
              <w:rPr>
                <w:color w:val="231F20"/>
                <w:w w:val="115"/>
                <w:sz w:val="17"/>
              </w:rPr>
              <w:t>MICS</w:t>
            </w:r>
            <w:r>
              <w:rPr>
                <w:color w:val="231F20"/>
                <w:spacing w:val="-3"/>
                <w:w w:val="115"/>
                <w:sz w:val="17"/>
              </w:rPr>
              <w:t xml:space="preserve"> </w:t>
            </w:r>
            <w:r>
              <w:rPr>
                <w:color w:val="231F20"/>
                <w:w w:val="115"/>
                <w:sz w:val="17"/>
              </w:rPr>
              <w:t>2016</w:t>
            </w:r>
          </w:p>
          <w:p w14:paraId="64EC55C0" w14:textId="77777777" w:rsidR="009948F1" w:rsidRDefault="00BC0563">
            <w:pPr>
              <w:pStyle w:val="TableParagraph"/>
              <w:spacing w:before="31"/>
              <w:ind w:left="116"/>
              <w:rPr>
                <w:sz w:val="17"/>
              </w:rPr>
            </w:pPr>
            <w:r>
              <w:rPr>
                <w:color w:val="231F20"/>
                <w:w w:val="115"/>
                <w:sz w:val="17"/>
              </w:rPr>
              <w:t>MICS</w:t>
            </w:r>
            <w:r>
              <w:rPr>
                <w:color w:val="231F20"/>
                <w:spacing w:val="-3"/>
                <w:w w:val="115"/>
                <w:sz w:val="17"/>
              </w:rPr>
              <w:t xml:space="preserve"> </w:t>
            </w:r>
            <w:r>
              <w:rPr>
                <w:color w:val="231F20"/>
                <w:w w:val="115"/>
                <w:sz w:val="17"/>
              </w:rPr>
              <w:t>2016</w:t>
            </w:r>
          </w:p>
        </w:tc>
      </w:tr>
      <w:tr w:rsidR="009948F1" w14:paraId="35BFF34E" w14:textId="77777777">
        <w:trPr>
          <w:trHeight w:val="333"/>
        </w:trPr>
        <w:tc>
          <w:tcPr>
            <w:tcW w:w="731" w:type="dxa"/>
            <w:tcBorders>
              <w:left w:val="single" w:sz="6" w:space="0" w:color="231F20"/>
              <w:bottom w:val="nil"/>
              <w:right w:val="single" w:sz="6" w:space="0" w:color="231F20"/>
            </w:tcBorders>
          </w:tcPr>
          <w:p w14:paraId="4A9EED5B" w14:textId="77777777" w:rsidR="009948F1" w:rsidRDefault="00BC0563">
            <w:pPr>
              <w:pStyle w:val="TableParagraph"/>
              <w:ind w:left="114"/>
              <w:rPr>
                <w:sz w:val="17"/>
              </w:rPr>
            </w:pPr>
            <w:r>
              <w:rPr>
                <w:color w:val="231F20"/>
                <w:w w:val="115"/>
                <w:sz w:val="17"/>
              </w:rPr>
              <w:t>3.</w:t>
            </w:r>
          </w:p>
        </w:tc>
        <w:tc>
          <w:tcPr>
            <w:tcW w:w="3889" w:type="dxa"/>
            <w:vMerge w:val="restart"/>
            <w:tcBorders>
              <w:left w:val="single" w:sz="6" w:space="0" w:color="231F20"/>
              <w:right w:val="single" w:sz="6" w:space="0" w:color="231F20"/>
            </w:tcBorders>
          </w:tcPr>
          <w:p w14:paraId="4E048A0F" w14:textId="77777777" w:rsidR="009948F1" w:rsidRDefault="00BC0563">
            <w:pPr>
              <w:pStyle w:val="TableParagraph"/>
              <w:spacing w:line="278" w:lineRule="auto"/>
              <w:ind w:left="115"/>
              <w:rPr>
                <w:sz w:val="17"/>
              </w:rPr>
            </w:pPr>
            <w:r>
              <w:rPr>
                <w:color w:val="231F20"/>
                <w:w w:val="115"/>
                <w:sz w:val="17"/>
              </w:rPr>
              <w:t>Exclusive Breastfeeding Rate Under 5 malnourished</w:t>
            </w:r>
          </w:p>
          <w:p w14:paraId="1F313EAA" w14:textId="77777777" w:rsidR="009948F1" w:rsidRDefault="00BC0563">
            <w:pPr>
              <w:pStyle w:val="TableParagraph"/>
              <w:numPr>
                <w:ilvl w:val="0"/>
                <w:numId w:val="317"/>
              </w:numPr>
              <w:tabs>
                <w:tab w:val="left" w:pos="896"/>
                <w:tab w:val="left" w:pos="897"/>
              </w:tabs>
              <w:spacing w:line="195" w:lineRule="exact"/>
              <w:ind w:hanging="392"/>
              <w:rPr>
                <w:sz w:val="17"/>
              </w:rPr>
            </w:pPr>
            <w:r>
              <w:rPr>
                <w:color w:val="231F20"/>
                <w:w w:val="115"/>
                <w:sz w:val="17"/>
              </w:rPr>
              <w:t>Stunted</w:t>
            </w:r>
          </w:p>
          <w:p w14:paraId="3F3DB1BC" w14:textId="77777777" w:rsidR="009948F1" w:rsidRDefault="00BC0563">
            <w:pPr>
              <w:pStyle w:val="TableParagraph"/>
              <w:numPr>
                <w:ilvl w:val="0"/>
                <w:numId w:val="317"/>
              </w:numPr>
              <w:tabs>
                <w:tab w:val="left" w:pos="896"/>
                <w:tab w:val="left" w:pos="897"/>
              </w:tabs>
              <w:spacing w:before="33"/>
              <w:ind w:hanging="392"/>
              <w:rPr>
                <w:sz w:val="17"/>
              </w:rPr>
            </w:pPr>
            <w:r>
              <w:rPr>
                <w:color w:val="231F20"/>
                <w:w w:val="115"/>
                <w:sz w:val="17"/>
              </w:rPr>
              <w:t>Underweight</w:t>
            </w:r>
          </w:p>
          <w:p w14:paraId="3CD8590E" w14:textId="77777777" w:rsidR="009948F1" w:rsidRDefault="00BC0563">
            <w:pPr>
              <w:pStyle w:val="TableParagraph"/>
              <w:numPr>
                <w:ilvl w:val="0"/>
                <w:numId w:val="317"/>
              </w:numPr>
              <w:tabs>
                <w:tab w:val="left" w:pos="896"/>
                <w:tab w:val="left" w:pos="897"/>
              </w:tabs>
              <w:spacing w:before="31"/>
              <w:ind w:hanging="392"/>
              <w:rPr>
                <w:sz w:val="17"/>
              </w:rPr>
            </w:pPr>
            <w:r>
              <w:rPr>
                <w:color w:val="231F20"/>
                <w:w w:val="115"/>
                <w:sz w:val="17"/>
              </w:rPr>
              <w:t>Wasted</w:t>
            </w:r>
          </w:p>
        </w:tc>
        <w:tc>
          <w:tcPr>
            <w:tcW w:w="2311" w:type="dxa"/>
            <w:tcBorders>
              <w:left w:val="single" w:sz="6" w:space="0" w:color="231F20"/>
              <w:bottom w:val="nil"/>
              <w:right w:val="single" w:sz="6" w:space="0" w:color="231F20"/>
            </w:tcBorders>
          </w:tcPr>
          <w:p w14:paraId="52DD4D2B" w14:textId="77777777" w:rsidR="009948F1" w:rsidRDefault="00BC0563">
            <w:pPr>
              <w:pStyle w:val="TableParagraph"/>
              <w:ind w:left="115"/>
              <w:rPr>
                <w:sz w:val="17"/>
              </w:rPr>
            </w:pPr>
            <w:r>
              <w:rPr>
                <w:color w:val="231F20"/>
                <w:w w:val="115"/>
                <w:sz w:val="17"/>
              </w:rPr>
              <w:t>0.5</w:t>
            </w:r>
          </w:p>
        </w:tc>
        <w:tc>
          <w:tcPr>
            <w:tcW w:w="2311" w:type="dxa"/>
            <w:tcBorders>
              <w:left w:val="single" w:sz="6" w:space="0" w:color="231F20"/>
              <w:bottom w:val="nil"/>
              <w:right w:val="single" w:sz="6" w:space="0" w:color="231F20"/>
            </w:tcBorders>
          </w:tcPr>
          <w:p w14:paraId="0EE657B8" w14:textId="77777777" w:rsidR="009948F1" w:rsidRDefault="00BC0563">
            <w:pPr>
              <w:pStyle w:val="TableParagraph"/>
              <w:ind w:left="116"/>
              <w:rPr>
                <w:sz w:val="17"/>
              </w:rPr>
            </w:pPr>
            <w:r>
              <w:rPr>
                <w:color w:val="231F20"/>
                <w:w w:val="115"/>
                <w:sz w:val="17"/>
              </w:rPr>
              <w:t>MICS 2016/2017</w:t>
            </w:r>
          </w:p>
        </w:tc>
      </w:tr>
      <w:tr w:rsidR="009948F1" w14:paraId="61127F8A" w14:textId="77777777">
        <w:trPr>
          <w:trHeight w:val="330"/>
        </w:trPr>
        <w:tc>
          <w:tcPr>
            <w:tcW w:w="731" w:type="dxa"/>
            <w:tcBorders>
              <w:top w:val="nil"/>
              <w:left w:val="single" w:sz="6" w:space="0" w:color="231F20"/>
              <w:bottom w:val="nil"/>
              <w:right w:val="single" w:sz="6" w:space="0" w:color="231F20"/>
            </w:tcBorders>
          </w:tcPr>
          <w:p w14:paraId="1FE5B96D"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4B074604"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7115E2DD" w14:textId="77777777" w:rsidR="009948F1" w:rsidRDefault="00BC0563">
            <w:pPr>
              <w:pStyle w:val="TableParagraph"/>
              <w:spacing w:before="109"/>
              <w:ind w:left="115"/>
              <w:rPr>
                <w:sz w:val="17"/>
              </w:rPr>
            </w:pPr>
            <w:r>
              <w:rPr>
                <w:color w:val="231F20"/>
                <w:w w:val="115"/>
                <w:sz w:val="17"/>
              </w:rPr>
              <w:t>10.9</w:t>
            </w:r>
          </w:p>
        </w:tc>
        <w:tc>
          <w:tcPr>
            <w:tcW w:w="2311" w:type="dxa"/>
            <w:tcBorders>
              <w:top w:val="nil"/>
              <w:left w:val="single" w:sz="6" w:space="0" w:color="231F20"/>
              <w:bottom w:val="nil"/>
              <w:right w:val="single" w:sz="6" w:space="0" w:color="231F20"/>
            </w:tcBorders>
          </w:tcPr>
          <w:p w14:paraId="6FAD2933" w14:textId="77777777" w:rsidR="009948F1" w:rsidRDefault="00BC0563">
            <w:pPr>
              <w:pStyle w:val="TableParagraph"/>
              <w:spacing w:before="109"/>
              <w:ind w:left="116"/>
              <w:rPr>
                <w:sz w:val="17"/>
              </w:rPr>
            </w:pPr>
            <w:r>
              <w:rPr>
                <w:color w:val="231F20"/>
                <w:w w:val="115"/>
                <w:sz w:val="17"/>
              </w:rPr>
              <w:t>MICS 2016</w:t>
            </w:r>
          </w:p>
        </w:tc>
      </w:tr>
      <w:tr w:rsidR="009948F1" w14:paraId="01121739" w14:textId="77777777">
        <w:trPr>
          <w:trHeight w:val="217"/>
        </w:trPr>
        <w:tc>
          <w:tcPr>
            <w:tcW w:w="731" w:type="dxa"/>
            <w:tcBorders>
              <w:top w:val="nil"/>
              <w:left w:val="single" w:sz="6" w:space="0" w:color="231F20"/>
              <w:bottom w:val="nil"/>
              <w:right w:val="single" w:sz="6" w:space="0" w:color="231F20"/>
            </w:tcBorders>
          </w:tcPr>
          <w:p w14:paraId="1DB3AE45" w14:textId="77777777" w:rsidR="009948F1" w:rsidRDefault="009948F1">
            <w:pPr>
              <w:pStyle w:val="TableParagraph"/>
              <w:rPr>
                <w:rFonts w:ascii="Times New Roman"/>
                <w:sz w:val="14"/>
              </w:rPr>
            </w:pPr>
          </w:p>
        </w:tc>
        <w:tc>
          <w:tcPr>
            <w:tcW w:w="3889" w:type="dxa"/>
            <w:vMerge/>
            <w:tcBorders>
              <w:top w:val="nil"/>
              <w:left w:val="single" w:sz="6" w:space="0" w:color="231F20"/>
              <w:right w:val="single" w:sz="6" w:space="0" w:color="231F20"/>
            </w:tcBorders>
          </w:tcPr>
          <w:p w14:paraId="11315E71" w14:textId="77777777" w:rsidR="009948F1" w:rsidRDefault="009948F1">
            <w:pPr>
              <w:rPr>
                <w:sz w:val="2"/>
                <w:szCs w:val="2"/>
              </w:rPr>
            </w:pPr>
          </w:p>
        </w:tc>
        <w:tc>
          <w:tcPr>
            <w:tcW w:w="2311" w:type="dxa"/>
            <w:tcBorders>
              <w:top w:val="nil"/>
              <w:left w:val="single" w:sz="6" w:space="0" w:color="231F20"/>
              <w:bottom w:val="nil"/>
              <w:right w:val="single" w:sz="6" w:space="0" w:color="231F20"/>
            </w:tcBorders>
          </w:tcPr>
          <w:p w14:paraId="2E00D291" w14:textId="77777777" w:rsidR="009948F1" w:rsidRDefault="00BC0563">
            <w:pPr>
              <w:pStyle w:val="TableParagraph"/>
              <w:spacing w:line="193" w:lineRule="exact"/>
              <w:ind w:left="115"/>
              <w:rPr>
                <w:sz w:val="17"/>
              </w:rPr>
            </w:pPr>
            <w:r>
              <w:rPr>
                <w:color w:val="231F20"/>
                <w:w w:val="115"/>
                <w:sz w:val="17"/>
              </w:rPr>
              <w:t>7.6</w:t>
            </w:r>
          </w:p>
        </w:tc>
        <w:tc>
          <w:tcPr>
            <w:tcW w:w="2311" w:type="dxa"/>
            <w:tcBorders>
              <w:top w:val="nil"/>
              <w:left w:val="single" w:sz="6" w:space="0" w:color="231F20"/>
              <w:bottom w:val="nil"/>
              <w:right w:val="single" w:sz="6" w:space="0" w:color="231F20"/>
            </w:tcBorders>
          </w:tcPr>
          <w:p w14:paraId="709AE362" w14:textId="77777777" w:rsidR="009948F1" w:rsidRDefault="00BC0563">
            <w:pPr>
              <w:pStyle w:val="TableParagraph"/>
              <w:spacing w:line="193" w:lineRule="exact"/>
              <w:ind w:left="116"/>
              <w:rPr>
                <w:sz w:val="17"/>
              </w:rPr>
            </w:pPr>
            <w:r>
              <w:rPr>
                <w:color w:val="231F20"/>
                <w:w w:val="115"/>
                <w:sz w:val="17"/>
              </w:rPr>
              <w:t>MICS 2016</w:t>
            </w:r>
          </w:p>
        </w:tc>
      </w:tr>
      <w:tr w:rsidR="009948F1" w14:paraId="307472A5" w14:textId="77777777">
        <w:trPr>
          <w:trHeight w:val="447"/>
        </w:trPr>
        <w:tc>
          <w:tcPr>
            <w:tcW w:w="731" w:type="dxa"/>
            <w:tcBorders>
              <w:top w:val="nil"/>
              <w:left w:val="single" w:sz="6" w:space="0" w:color="231F20"/>
              <w:right w:val="single" w:sz="6" w:space="0" w:color="231F20"/>
            </w:tcBorders>
          </w:tcPr>
          <w:p w14:paraId="2E11997C" w14:textId="77777777" w:rsidR="009948F1" w:rsidRDefault="009948F1">
            <w:pPr>
              <w:pStyle w:val="TableParagraph"/>
              <w:rPr>
                <w:rFonts w:ascii="Times New Roman"/>
                <w:sz w:val="20"/>
              </w:rPr>
            </w:pPr>
          </w:p>
        </w:tc>
        <w:tc>
          <w:tcPr>
            <w:tcW w:w="3889" w:type="dxa"/>
            <w:vMerge/>
            <w:tcBorders>
              <w:top w:val="nil"/>
              <w:left w:val="single" w:sz="6" w:space="0" w:color="231F20"/>
              <w:right w:val="single" w:sz="6" w:space="0" w:color="231F20"/>
            </w:tcBorders>
          </w:tcPr>
          <w:p w14:paraId="7439F13A" w14:textId="77777777" w:rsidR="009948F1" w:rsidRDefault="009948F1">
            <w:pPr>
              <w:rPr>
                <w:sz w:val="2"/>
                <w:szCs w:val="2"/>
              </w:rPr>
            </w:pPr>
          </w:p>
        </w:tc>
        <w:tc>
          <w:tcPr>
            <w:tcW w:w="2311" w:type="dxa"/>
            <w:tcBorders>
              <w:top w:val="nil"/>
              <w:left w:val="single" w:sz="6" w:space="0" w:color="231F20"/>
              <w:right w:val="single" w:sz="6" w:space="0" w:color="231F20"/>
            </w:tcBorders>
          </w:tcPr>
          <w:p w14:paraId="6DE838D6" w14:textId="77777777" w:rsidR="009948F1" w:rsidRDefault="00BC0563">
            <w:pPr>
              <w:pStyle w:val="TableParagraph"/>
              <w:spacing w:line="192" w:lineRule="exact"/>
              <w:ind w:left="115"/>
              <w:rPr>
                <w:sz w:val="17"/>
              </w:rPr>
            </w:pPr>
            <w:r>
              <w:rPr>
                <w:color w:val="231F20"/>
                <w:w w:val="115"/>
                <w:sz w:val="17"/>
              </w:rPr>
              <w:t>5.0</w:t>
            </w:r>
          </w:p>
        </w:tc>
        <w:tc>
          <w:tcPr>
            <w:tcW w:w="2311" w:type="dxa"/>
            <w:tcBorders>
              <w:top w:val="nil"/>
              <w:left w:val="single" w:sz="6" w:space="0" w:color="231F20"/>
              <w:right w:val="single" w:sz="6" w:space="0" w:color="231F20"/>
            </w:tcBorders>
          </w:tcPr>
          <w:p w14:paraId="00D96E98" w14:textId="77777777" w:rsidR="009948F1" w:rsidRDefault="00BC0563">
            <w:pPr>
              <w:pStyle w:val="TableParagraph"/>
              <w:spacing w:line="192" w:lineRule="exact"/>
              <w:ind w:left="116"/>
              <w:rPr>
                <w:sz w:val="17"/>
              </w:rPr>
            </w:pPr>
            <w:r>
              <w:rPr>
                <w:color w:val="231F20"/>
                <w:w w:val="115"/>
                <w:sz w:val="17"/>
              </w:rPr>
              <w:t>MICS 2016</w:t>
            </w:r>
          </w:p>
        </w:tc>
      </w:tr>
      <w:tr w:rsidR="009948F1" w14:paraId="40F58352" w14:textId="77777777">
        <w:trPr>
          <w:trHeight w:val="226"/>
        </w:trPr>
        <w:tc>
          <w:tcPr>
            <w:tcW w:w="731" w:type="dxa"/>
            <w:tcBorders>
              <w:left w:val="single" w:sz="6" w:space="0" w:color="231F20"/>
              <w:bottom w:val="nil"/>
              <w:right w:val="single" w:sz="6" w:space="0" w:color="231F20"/>
            </w:tcBorders>
          </w:tcPr>
          <w:p w14:paraId="7E5EEAF9" w14:textId="77777777" w:rsidR="009948F1" w:rsidRDefault="00BC0563">
            <w:pPr>
              <w:pStyle w:val="TableParagraph"/>
              <w:ind w:left="114"/>
              <w:rPr>
                <w:sz w:val="17"/>
              </w:rPr>
            </w:pPr>
            <w:r>
              <w:rPr>
                <w:color w:val="231F20"/>
                <w:w w:val="115"/>
                <w:sz w:val="17"/>
              </w:rPr>
              <w:t>4.</w:t>
            </w:r>
          </w:p>
        </w:tc>
        <w:tc>
          <w:tcPr>
            <w:tcW w:w="3889" w:type="dxa"/>
            <w:tcBorders>
              <w:left w:val="single" w:sz="6" w:space="0" w:color="231F20"/>
              <w:bottom w:val="nil"/>
              <w:right w:val="single" w:sz="6" w:space="0" w:color="231F20"/>
            </w:tcBorders>
          </w:tcPr>
          <w:p w14:paraId="1A693F4B" w14:textId="77777777" w:rsidR="009948F1" w:rsidRDefault="00BC0563">
            <w:pPr>
              <w:pStyle w:val="TableParagraph"/>
              <w:ind w:left="115"/>
              <w:rPr>
                <w:sz w:val="17"/>
              </w:rPr>
            </w:pPr>
            <w:r>
              <w:rPr>
                <w:color w:val="231F20"/>
                <w:w w:val="115"/>
                <w:sz w:val="17"/>
              </w:rPr>
              <w:t>TB cure Rate</w:t>
            </w:r>
          </w:p>
        </w:tc>
        <w:tc>
          <w:tcPr>
            <w:tcW w:w="2311" w:type="dxa"/>
            <w:tcBorders>
              <w:left w:val="single" w:sz="6" w:space="0" w:color="231F20"/>
              <w:bottom w:val="nil"/>
              <w:right w:val="single" w:sz="6" w:space="0" w:color="231F20"/>
            </w:tcBorders>
          </w:tcPr>
          <w:p w14:paraId="52ADE09C" w14:textId="77777777" w:rsidR="009948F1" w:rsidRDefault="00BC0563">
            <w:pPr>
              <w:pStyle w:val="TableParagraph"/>
              <w:ind w:left="115"/>
              <w:rPr>
                <w:sz w:val="17"/>
              </w:rPr>
            </w:pPr>
            <w:r>
              <w:rPr>
                <w:color w:val="231F20"/>
                <w:w w:val="115"/>
                <w:sz w:val="17"/>
              </w:rPr>
              <w:t>79</w:t>
            </w:r>
          </w:p>
        </w:tc>
        <w:tc>
          <w:tcPr>
            <w:tcW w:w="2311" w:type="dxa"/>
            <w:tcBorders>
              <w:left w:val="single" w:sz="6" w:space="0" w:color="231F20"/>
              <w:bottom w:val="nil"/>
              <w:right w:val="single" w:sz="6" w:space="0" w:color="231F20"/>
            </w:tcBorders>
          </w:tcPr>
          <w:p w14:paraId="738E9BA2" w14:textId="77777777" w:rsidR="009948F1" w:rsidRDefault="00BC0563">
            <w:pPr>
              <w:pStyle w:val="TableParagraph"/>
              <w:ind w:left="116"/>
              <w:rPr>
                <w:sz w:val="17"/>
              </w:rPr>
            </w:pPr>
            <w:r>
              <w:rPr>
                <w:color w:val="231F20"/>
                <w:w w:val="115"/>
                <w:sz w:val="17"/>
              </w:rPr>
              <w:t>ETE</w:t>
            </w:r>
          </w:p>
        </w:tc>
      </w:tr>
      <w:tr w:rsidR="009948F1" w14:paraId="3931A8BA" w14:textId="77777777">
        <w:trPr>
          <w:trHeight w:val="227"/>
        </w:trPr>
        <w:tc>
          <w:tcPr>
            <w:tcW w:w="731" w:type="dxa"/>
            <w:tcBorders>
              <w:top w:val="nil"/>
              <w:left w:val="single" w:sz="6" w:space="0" w:color="231F20"/>
              <w:bottom w:val="nil"/>
              <w:right w:val="single" w:sz="6" w:space="0" w:color="231F20"/>
            </w:tcBorders>
          </w:tcPr>
          <w:p w14:paraId="25BBC92B"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30212B12" w14:textId="77777777" w:rsidR="009948F1" w:rsidRDefault="00BC0563">
            <w:pPr>
              <w:pStyle w:val="TableParagraph"/>
              <w:spacing w:before="2"/>
              <w:ind w:left="115"/>
              <w:rPr>
                <w:sz w:val="17"/>
              </w:rPr>
            </w:pPr>
            <w:r>
              <w:rPr>
                <w:color w:val="231F20"/>
                <w:w w:val="115"/>
                <w:sz w:val="17"/>
              </w:rPr>
              <w:t>ITN</w:t>
            </w:r>
          </w:p>
        </w:tc>
        <w:tc>
          <w:tcPr>
            <w:tcW w:w="2311" w:type="dxa"/>
            <w:tcBorders>
              <w:top w:val="nil"/>
              <w:left w:val="single" w:sz="6" w:space="0" w:color="231F20"/>
              <w:bottom w:val="nil"/>
              <w:right w:val="single" w:sz="6" w:space="0" w:color="231F20"/>
            </w:tcBorders>
          </w:tcPr>
          <w:p w14:paraId="037E3114" w14:textId="77777777" w:rsidR="009948F1" w:rsidRDefault="00BC0563">
            <w:pPr>
              <w:pStyle w:val="TableParagraph"/>
              <w:spacing w:before="2"/>
              <w:ind w:left="115"/>
              <w:rPr>
                <w:sz w:val="17"/>
              </w:rPr>
            </w:pPr>
            <w:r>
              <w:rPr>
                <w:color w:val="231F20"/>
                <w:w w:val="115"/>
                <w:sz w:val="17"/>
              </w:rPr>
              <w:t>40</w:t>
            </w:r>
          </w:p>
        </w:tc>
        <w:tc>
          <w:tcPr>
            <w:tcW w:w="2311" w:type="dxa"/>
            <w:tcBorders>
              <w:top w:val="nil"/>
              <w:left w:val="single" w:sz="6" w:space="0" w:color="231F20"/>
              <w:bottom w:val="nil"/>
              <w:right w:val="single" w:sz="6" w:space="0" w:color="231F20"/>
            </w:tcBorders>
          </w:tcPr>
          <w:p w14:paraId="1B2D7015" w14:textId="77777777" w:rsidR="009948F1" w:rsidRDefault="00BC0563">
            <w:pPr>
              <w:pStyle w:val="TableParagraph"/>
              <w:spacing w:before="2"/>
              <w:ind w:left="116"/>
              <w:rPr>
                <w:sz w:val="17"/>
              </w:rPr>
            </w:pPr>
            <w:r>
              <w:rPr>
                <w:color w:val="231F20"/>
                <w:w w:val="115"/>
                <w:sz w:val="17"/>
              </w:rPr>
              <w:t>NDHS 2013</w:t>
            </w:r>
          </w:p>
        </w:tc>
      </w:tr>
      <w:tr w:rsidR="009948F1" w14:paraId="14D40186" w14:textId="77777777">
        <w:trPr>
          <w:trHeight w:val="226"/>
        </w:trPr>
        <w:tc>
          <w:tcPr>
            <w:tcW w:w="731" w:type="dxa"/>
            <w:tcBorders>
              <w:top w:val="nil"/>
              <w:left w:val="single" w:sz="6" w:space="0" w:color="231F20"/>
              <w:bottom w:val="nil"/>
              <w:right w:val="single" w:sz="6" w:space="0" w:color="231F20"/>
            </w:tcBorders>
          </w:tcPr>
          <w:p w14:paraId="4122ABE8"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6A29AFEE" w14:textId="77777777" w:rsidR="009948F1" w:rsidRDefault="00BC0563">
            <w:pPr>
              <w:pStyle w:val="TableParagraph"/>
              <w:spacing w:before="1"/>
              <w:ind w:left="115"/>
              <w:rPr>
                <w:sz w:val="17"/>
              </w:rPr>
            </w:pPr>
            <w:r>
              <w:rPr>
                <w:color w:val="231F20"/>
                <w:w w:val="115"/>
                <w:sz w:val="17"/>
              </w:rPr>
              <w:t>Persons on Antiretroviral</w:t>
            </w:r>
          </w:p>
        </w:tc>
        <w:tc>
          <w:tcPr>
            <w:tcW w:w="2311" w:type="dxa"/>
            <w:tcBorders>
              <w:top w:val="nil"/>
              <w:left w:val="single" w:sz="6" w:space="0" w:color="231F20"/>
              <w:bottom w:val="nil"/>
              <w:right w:val="single" w:sz="6" w:space="0" w:color="231F20"/>
            </w:tcBorders>
          </w:tcPr>
          <w:p w14:paraId="5C4F36B2" w14:textId="77777777" w:rsidR="009948F1" w:rsidRDefault="00BC0563">
            <w:pPr>
              <w:pStyle w:val="TableParagraph"/>
              <w:spacing w:before="1"/>
              <w:ind w:left="115"/>
              <w:rPr>
                <w:sz w:val="17"/>
              </w:rPr>
            </w:pPr>
            <w:r>
              <w:rPr>
                <w:color w:val="231F20"/>
                <w:w w:val="115"/>
                <w:sz w:val="17"/>
              </w:rPr>
              <w:t>37000</w:t>
            </w:r>
          </w:p>
        </w:tc>
        <w:tc>
          <w:tcPr>
            <w:tcW w:w="2311" w:type="dxa"/>
            <w:tcBorders>
              <w:top w:val="nil"/>
              <w:left w:val="single" w:sz="6" w:space="0" w:color="231F20"/>
              <w:bottom w:val="nil"/>
              <w:right w:val="single" w:sz="6" w:space="0" w:color="231F20"/>
            </w:tcBorders>
          </w:tcPr>
          <w:p w14:paraId="65F22074" w14:textId="77777777" w:rsidR="009948F1" w:rsidRDefault="00BC0563">
            <w:pPr>
              <w:pStyle w:val="TableParagraph"/>
              <w:spacing w:before="1"/>
              <w:ind w:left="116"/>
              <w:rPr>
                <w:sz w:val="17"/>
              </w:rPr>
            </w:pPr>
            <w:r>
              <w:rPr>
                <w:color w:val="231F20"/>
                <w:w w:val="115"/>
                <w:sz w:val="17"/>
              </w:rPr>
              <w:t>Program Data</w:t>
            </w:r>
          </w:p>
        </w:tc>
      </w:tr>
      <w:tr w:rsidR="009948F1" w14:paraId="2AC8C060" w14:textId="77777777">
        <w:trPr>
          <w:trHeight w:val="226"/>
        </w:trPr>
        <w:tc>
          <w:tcPr>
            <w:tcW w:w="731" w:type="dxa"/>
            <w:tcBorders>
              <w:top w:val="nil"/>
              <w:left w:val="single" w:sz="6" w:space="0" w:color="231F20"/>
              <w:bottom w:val="nil"/>
              <w:right w:val="single" w:sz="6" w:space="0" w:color="231F20"/>
            </w:tcBorders>
          </w:tcPr>
          <w:p w14:paraId="244B1D11"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70A6CF2B" w14:textId="77777777" w:rsidR="009948F1" w:rsidRDefault="00BC0563">
            <w:pPr>
              <w:pStyle w:val="TableParagraph"/>
              <w:spacing w:before="1"/>
              <w:ind w:left="115"/>
              <w:rPr>
                <w:sz w:val="17"/>
              </w:rPr>
            </w:pPr>
            <w:r>
              <w:rPr>
                <w:color w:val="231F20"/>
                <w:w w:val="115"/>
                <w:sz w:val="17"/>
              </w:rPr>
              <w:t>Coverage with IMCI</w:t>
            </w:r>
          </w:p>
        </w:tc>
        <w:tc>
          <w:tcPr>
            <w:tcW w:w="2311" w:type="dxa"/>
            <w:tcBorders>
              <w:top w:val="nil"/>
              <w:left w:val="single" w:sz="6" w:space="0" w:color="231F20"/>
              <w:bottom w:val="nil"/>
              <w:right w:val="single" w:sz="6" w:space="0" w:color="231F20"/>
            </w:tcBorders>
          </w:tcPr>
          <w:p w14:paraId="4A669517" w14:textId="77777777" w:rsidR="009948F1" w:rsidRDefault="00BC0563">
            <w:pPr>
              <w:pStyle w:val="TableParagraph"/>
              <w:spacing w:before="1"/>
              <w:ind w:left="115"/>
              <w:rPr>
                <w:sz w:val="17"/>
              </w:rPr>
            </w:pPr>
            <w:r>
              <w:rPr>
                <w:color w:val="231F20"/>
                <w:w w:val="115"/>
                <w:sz w:val="17"/>
              </w:rPr>
              <w:t>0.32</w:t>
            </w:r>
          </w:p>
        </w:tc>
        <w:tc>
          <w:tcPr>
            <w:tcW w:w="2311" w:type="dxa"/>
            <w:tcBorders>
              <w:top w:val="nil"/>
              <w:left w:val="single" w:sz="6" w:space="0" w:color="231F20"/>
              <w:bottom w:val="nil"/>
              <w:right w:val="single" w:sz="6" w:space="0" w:color="231F20"/>
            </w:tcBorders>
          </w:tcPr>
          <w:p w14:paraId="5C725F8E" w14:textId="77777777" w:rsidR="009948F1" w:rsidRDefault="00BC0563">
            <w:pPr>
              <w:pStyle w:val="TableParagraph"/>
              <w:spacing w:before="1"/>
              <w:ind w:left="116"/>
              <w:rPr>
                <w:sz w:val="17"/>
              </w:rPr>
            </w:pPr>
            <w:r>
              <w:rPr>
                <w:color w:val="231F20"/>
                <w:w w:val="115"/>
                <w:sz w:val="17"/>
              </w:rPr>
              <w:t>Monthly statistics</w:t>
            </w:r>
          </w:p>
        </w:tc>
      </w:tr>
      <w:tr w:rsidR="009948F1" w14:paraId="1A7E89CD" w14:textId="77777777">
        <w:trPr>
          <w:trHeight w:val="226"/>
        </w:trPr>
        <w:tc>
          <w:tcPr>
            <w:tcW w:w="731" w:type="dxa"/>
            <w:tcBorders>
              <w:top w:val="nil"/>
              <w:left w:val="single" w:sz="6" w:space="0" w:color="231F20"/>
              <w:bottom w:val="nil"/>
              <w:right w:val="single" w:sz="6" w:space="0" w:color="231F20"/>
            </w:tcBorders>
          </w:tcPr>
          <w:p w14:paraId="7288EB07"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09AD68AD" w14:textId="77777777" w:rsidR="009948F1" w:rsidRDefault="00BC0563">
            <w:pPr>
              <w:pStyle w:val="TableParagraph"/>
              <w:spacing w:before="1"/>
              <w:ind w:left="115"/>
              <w:rPr>
                <w:sz w:val="17"/>
              </w:rPr>
            </w:pPr>
            <w:r>
              <w:rPr>
                <w:color w:val="231F20"/>
                <w:w w:val="115"/>
                <w:sz w:val="17"/>
              </w:rPr>
              <w:t>PMTCT coverage &amp; persons on treatment</w:t>
            </w:r>
          </w:p>
        </w:tc>
        <w:tc>
          <w:tcPr>
            <w:tcW w:w="2311" w:type="dxa"/>
            <w:tcBorders>
              <w:top w:val="nil"/>
              <w:left w:val="single" w:sz="6" w:space="0" w:color="231F20"/>
              <w:bottom w:val="nil"/>
              <w:right w:val="single" w:sz="6" w:space="0" w:color="231F20"/>
            </w:tcBorders>
          </w:tcPr>
          <w:p w14:paraId="5C957582" w14:textId="77777777" w:rsidR="009948F1" w:rsidRDefault="009948F1">
            <w:pPr>
              <w:pStyle w:val="TableParagraph"/>
              <w:rPr>
                <w:rFonts w:ascii="Times New Roman"/>
                <w:sz w:val="16"/>
              </w:rPr>
            </w:pPr>
          </w:p>
        </w:tc>
        <w:tc>
          <w:tcPr>
            <w:tcW w:w="2311" w:type="dxa"/>
            <w:tcBorders>
              <w:top w:val="nil"/>
              <w:left w:val="single" w:sz="6" w:space="0" w:color="231F20"/>
              <w:bottom w:val="nil"/>
              <w:right w:val="single" w:sz="6" w:space="0" w:color="231F20"/>
            </w:tcBorders>
          </w:tcPr>
          <w:p w14:paraId="6CC9F30F" w14:textId="77777777" w:rsidR="009948F1" w:rsidRDefault="009948F1">
            <w:pPr>
              <w:pStyle w:val="TableParagraph"/>
              <w:rPr>
                <w:rFonts w:ascii="Times New Roman"/>
                <w:sz w:val="16"/>
              </w:rPr>
            </w:pPr>
          </w:p>
        </w:tc>
      </w:tr>
      <w:tr w:rsidR="009948F1" w14:paraId="234B1334" w14:textId="77777777">
        <w:trPr>
          <w:trHeight w:val="455"/>
        </w:trPr>
        <w:tc>
          <w:tcPr>
            <w:tcW w:w="731" w:type="dxa"/>
            <w:tcBorders>
              <w:top w:val="nil"/>
              <w:left w:val="single" w:sz="6" w:space="0" w:color="231F20"/>
              <w:right w:val="single" w:sz="6" w:space="0" w:color="231F20"/>
            </w:tcBorders>
          </w:tcPr>
          <w:p w14:paraId="037940FD" w14:textId="77777777" w:rsidR="009948F1" w:rsidRDefault="009948F1">
            <w:pPr>
              <w:pStyle w:val="TableParagraph"/>
              <w:rPr>
                <w:rFonts w:ascii="Times New Roman"/>
                <w:sz w:val="20"/>
              </w:rPr>
            </w:pPr>
          </w:p>
        </w:tc>
        <w:tc>
          <w:tcPr>
            <w:tcW w:w="3889" w:type="dxa"/>
            <w:tcBorders>
              <w:top w:val="nil"/>
              <w:left w:val="single" w:sz="6" w:space="0" w:color="231F20"/>
              <w:right w:val="single" w:sz="6" w:space="0" w:color="231F20"/>
            </w:tcBorders>
          </w:tcPr>
          <w:p w14:paraId="5DBED046" w14:textId="77777777" w:rsidR="009948F1" w:rsidRDefault="009948F1">
            <w:pPr>
              <w:pStyle w:val="TableParagraph"/>
              <w:rPr>
                <w:rFonts w:ascii="Times New Roman"/>
                <w:sz w:val="20"/>
              </w:rPr>
            </w:pPr>
          </w:p>
        </w:tc>
        <w:tc>
          <w:tcPr>
            <w:tcW w:w="2311" w:type="dxa"/>
            <w:tcBorders>
              <w:top w:val="nil"/>
              <w:left w:val="single" w:sz="6" w:space="0" w:color="231F20"/>
              <w:right w:val="single" w:sz="6" w:space="0" w:color="231F20"/>
            </w:tcBorders>
          </w:tcPr>
          <w:p w14:paraId="7C48E744" w14:textId="77777777" w:rsidR="009948F1" w:rsidRDefault="00BC0563">
            <w:pPr>
              <w:pStyle w:val="TableParagraph"/>
              <w:spacing w:before="1"/>
              <w:ind w:left="115"/>
              <w:rPr>
                <w:sz w:val="17"/>
              </w:rPr>
            </w:pPr>
            <w:r>
              <w:rPr>
                <w:color w:val="231F20"/>
                <w:w w:val="115"/>
                <w:sz w:val="17"/>
              </w:rPr>
              <w:t>25</w:t>
            </w:r>
          </w:p>
        </w:tc>
        <w:tc>
          <w:tcPr>
            <w:tcW w:w="2311" w:type="dxa"/>
            <w:tcBorders>
              <w:top w:val="nil"/>
              <w:left w:val="single" w:sz="6" w:space="0" w:color="231F20"/>
              <w:right w:val="single" w:sz="6" w:space="0" w:color="231F20"/>
            </w:tcBorders>
          </w:tcPr>
          <w:p w14:paraId="13DD13BE" w14:textId="77777777" w:rsidR="009948F1" w:rsidRDefault="00BC0563">
            <w:pPr>
              <w:pStyle w:val="TableParagraph"/>
              <w:spacing w:before="1"/>
              <w:ind w:left="116"/>
              <w:rPr>
                <w:sz w:val="17"/>
              </w:rPr>
            </w:pPr>
            <w:r>
              <w:rPr>
                <w:color w:val="231F20"/>
                <w:w w:val="115"/>
                <w:sz w:val="17"/>
              </w:rPr>
              <w:t>Program Data</w:t>
            </w:r>
          </w:p>
        </w:tc>
      </w:tr>
      <w:tr w:rsidR="009948F1" w14:paraId="045F497A" w14:textId="77777777">
        <w:trPr>
          <w:trHeight w:val="904"/>
        </w:trPr>
        <w:tc>
          <w:tcPr>
            <w:tcW w:w="731" w:type="dxa"/>
            <w:tcBorders>
              <w:left w:val="single" w:sz="6" w:space="0" w:color="231F20"/>
              <w:right w:val="single" w:sz="6" w:space="0" w:color="231F20"/>
            </w:tcBorders>
          </w:tcPr>
          <w:p w14:paraId="122C67B1" w14:textId="77777777" w:rsidR="009948F1" w:rsidRDefault="00BC0563">
            <w:pPr>
              <w:pStyle w:val="TableParagraph"/>
              <w:ind w:left="114"/>
              <w:rPr>
                <w:sz w:val="17"/>
              </w:rPr>
            </w:pPr>
            <w:r>
              <w:rPr>
                <w:color w:val="231F20"/>
                <w:w w:val="115"/>
                <w:sz w:val="17"/>
              </w:rPr>
              <w:t>5.</w:t>
            </w:r>
          </w:p>
        </w:tc>
        <w:tc>
          <w:tcPr>
            <w:tcW w:w="3889" w:type="dxa"/>
            <w:tcBorders>
              <w:left w:val="single" w:sz="6" w:space="0" w:color="231F20"/>
              <w:right w:val="single" w:sz="6" w:space="0" w:color="231F20"/>
            </w:tcBorders>
          </w:tcPr>
          <w:p w14:paraId="4C92B4D0" w14:textId="77777777" w:rsidR="009948F1" w:rsidRDefault="00BC0563">
            <w:pPr>
              <w:pStyle w:val="TableParagraph"/>
              <w:spacing w:line="278" w:lineRule="auto"/>
              <w:ind w:left="115" w:right="1464"/>
              <w:rPr>
                <w:sz w:val="17"/>
              </w:rPr>
            </w:pPr>
            <w:r>
              <w:rPr>
                <w:color w:val="231F20"/>
                <w:w w:val="115"/>
                <w:sz w:val="17"/>
              </w:rPr>
              <w:t>Communicable Disease TB Prevalence Rate Hepatitis</w:t>
            </w:r>
          </w:p>
          <w:p w14:paraId="332F5C4A" w14:textId="77777777" w:rsidR="009948F1" w:rsidRDefault="00BC0563">
            <w:pPr>
              <w:pStyle w:val="TableParagraph"/>
              <w:spacing w:line="194" w:lineRule="exact"/>
              <w:ind w:left="115"/>
              <w:rPr>
                <w:sz w:val="17"/>
              </w:rPr>
            </w:pPr>
            <w:r>
              <w:rPr>
                <w:color w:val="231F20"/>
                <w:w w:val="115"/>
                <w:sz w:val="17"/>
              </w:rPr>
              <w:t>Malaria among under 5</w:t>
            </w:r>
          </w:p>
        </w:tc>
        <w:tc>
          <w:tcPr>
            <w:tcW w:w="2311" w:type="dxa"/>
            <w:tcBorders>
              <w:left w:val="single" w:sz="6" w:space="0" w:color="231F20"/>
              <w:right w:val="single" w:sz="6" w:space="0" w:color="231F20"/>
            </w:tcBorders>
          </w:tcPr>
          <w:p w14:paraId="3AF45CB9" w14:textId="77777777" w:rsidR="009948F1" w:rsidRDefault="009948F1">
            <w:pPr>
              <w:pStyle w:val="TableParagraph"/>
              <w:spacing w:before="8"/>
              <w:rPr>
                <w:b/>
                <w:i/>
                <w:sz w:val="19"/>
              </w:rPr>
            </w:pPr>
          </w:p>
          <w:p w14:paraId="4B95F6E1" w14:textId="77777777" w:rsidR="009948F1" w:rsidRDefault="00BC0563">
            <w:pPr>
              <w:pStyle w:val="TableParagraph"/>
              <w:ind w:left="115"/>
              <w:rPr>
                <w:sz w:val="17"/>
              </w:rPr>
            </w:pPr>
            <w:r>
              <w:rPr>
                <w:color w:val="231F20"/>
                <w:w w:val="115"/>
                <w:sz w:val="17"/>
              </w:rPr>
              <w:t>350/100,000</w:t>
            </w:r>
          </w:p>
          <w:p w14:paraId="532CEF20" w14:textId="77777777" w:rsidR="009948F1" w:rsidRDefault="00BC0563">
            <w:pPr>
              <w:pStyle w:val="TableParagraph"/>
              <w:spacing w:before="31"/>
              <w:ind w:left="115"/>
              <w:rPr>
                <w:sz w:val="17"/>
              </w:rPr>
            </w:pPr>
            <w:r>
              <w:rPr>
                <w:color w:val="231F20"/>
                <w:w w:val="115"/>
                <w:sz w:val="17"/>
              </w:rPr>
              <w:t>0.00091</w:t>
            </w:r>
          </w:p>
          <w:p w14:paraId="7DDE9336" w14:textId="77777777" w:rsidR="009948F1" w:rsidRDefault="00BC0563">
            <w:pPr>
              <w:pStyle w:val="TableParagraph"/>
              <w:spacing w:before="31"/>
              <w:ind w:left="115"/>
              <w:rPr>
                <w:sz w:val="17"/>
              </w:rPr>
            </w:pPr>
            <w:r>
              <w:rPr>
                <w:color w:val="231F20"/>
                <w:w w:val="115"/>
                <w:sz w:val="17"/>
              </w:rPr>
              <w:t>49</w:t>
            </w:r>
          </w:p>
        </w:tc>
        <w:tc>
          <w:tcPr>
            <w:tcW w:w="2311" w:type="dxa"/>
            <w:tcBorders>
              <w:left w:val="single" w:sz="6" w:space="0" w:color="231F20"/>
              <w:right w:val="single" w:sz="6" w:space="0" w:color="231F20"/>
            </w:tcBorders>
          </w:tcPr>
          <w:p w14:paraId="5EC270BB" w14:textId="77777777" w:rsidR="009948F1" w:rsidRDefault="009948F1">
            <w:pPr>
              <w:pStyle w:val="TableParagraph"/>
              <w:spacing w:before="8"/>
              <w:rPr>
                <w:b/>
                <w:i/>
                <w:sz w:val="19"/>
              </w:rPr>
            </w:pPr>
          </w:p>
          <w:p w14:paraId="646BA859" w14:textId="77777777" w:rsidR="009948F1" w:rsidRDefault="00BC0563">
            <w:pPr>
              <w:pStyle w:val="TableParagraph"/>
              <w:spacing w:line="278" w:lineRule="auto"/>
              <w:ind w:left="116" w:right="638"/>
              <w:rPr>
                <w:sz w:val="17"/>
              </w:rPr>
            </w:pPr>
            <w:r>
              <w:rPr>
                <w:color w:val="231F20"/>
                <w:w w:val="115"/>
                <w:sz w:val="17"/>
              </w:rPr>
              <w:t>National statistics IDSR</w:t>
            </w:r>
          </w:p>
          <w:p w14:paraId="11264630" w14:textId="77777777" w:rsidR="009948F1" w:rsidRDefault="00BC0563">
            <w:pPr>
              <w:pStyle w:val="TableParagraph"/>
              <w:spacing w:line="195" w:lineRule="exact"/>
              <w:ind w:left="116"/>
              <w:rPr>
                <w:sz w:val="17"/>
              </w:rPr>
            </w:pPr>
            <w:r>
              <w:rPr>
                <w:color w:val="231F20"/>
                <w:w w:val="115"/>
                <w:sz w:val="17"/>
              </w:rPr>
              <w:t>MICS 2016</w:t>
            </w:r>
          </w:p>
        </w:tc>
      </w:tr>
      <w:tr w:rsidR="009948F1" w14:paraId="0D36A16E" w14:textId="77777777">
        <w:trPr>
          <w:trHeight w:val="227"/>
        </w:trPr>
        <w:tc>
          <w:tcPr>
            <w:tcW w:w="731" w:type="dxa"/>
            <w:tcBorders>
              <w:left w:val="single" w:sz="6" w:space="0" w:color="231F20"/>
              <w:bottom w:val="nil"/>
              <w:right w:val="single" w:sz="6" w:space="0" w:color="231F20"/>
            </w:tcBorders>
          </w:tcPr>
          <w:p w14:paraId="56927CF9" w14:textId="77777777" w:rsidR="009948F1" w:rsidRDefault="00BC0563">
            <w:pPr>
              <w:pStyle w:val="TableParagraph"/>
              <w:spacing w:before="2"/>
              <w:ind w:left="114"/>
              <w:rPr>
                <w:sz w:val="17"/>
              </w:rPr>
            </w:pPr>
            <w:r>
              <w:rPr>
                <w:color w:val="231F20"/>
                <w:w w:val="115"/>
                <w:sz w:val="17"/>
              </w:rPr>
              <w:t>6.</w:t>
            </w:r>
          </w:p>
        </w:tc>
        <w:tc>
          <w:tcPr>
            <w:tcW w:w="3889" w:type="dxa"/>
            <w:tcBorders>
              <w:left w:val="single" w:sz="6" w:space="0" w:color="231F20"/>
              <w:bottom w:val="nil"/>
              <w:right w:val="single" w:sz="6" w:space="0" w:color="231F20"/>
            </w:tcBorders>
          </w:tcPr>
          <w:p w14:paraId="4CD14A60" w14:textId="77777777" w:rsidR="009948F1" w:rsidRDefault="00BC0563">
            <w:pPr>
              <w:pStyle w:val="TableParagraph"/>
              <w:spacing w:before="2"/>
              <w:ind w:left="115"/>
              <w:rPr>
                <w:sz w:val="17"/>
              </w:rPr>
            </w:pPr>
            <w:r>
              <w:rPr>
                <w:color w:val="231F20"/>
                <w:w w:val="115"/>
                <w:sz w:val="17"/>
              </w:rPr>
              <w:t>Facility Type:</w:t>
            </w:r>
          </w:p>
        </w:tc>
        <w:tc>
          <w:tcPr>
            <w:tcW w:w="2311" w:type="dxa"/>
            <w:tcBorders>
              <w:left w:val="single" w:sz="6" w:space="0" w:color="231F20"/>
              <w:bottom w:val="nil"/>
              <w:right w:val="single" w:sz="6" w:space="0" w:color="231F20"/>
            </w:tcBorders>
          </w:tcPr>
          <w:p w14:paraId="141F30A0" w14:textId="77777777" w:rsidR="009948F1" w:rsidRDefault="009948F1">
            <w:pPr>
              <w:pStyle w:val="TableParagraph"/>
              <w:rPr>
                <w:rFonts w:ascii="Times New Roman"/>
                <w:sz w:val="16"/>
              </w:rPr>
            </w:pPr>
          </w:p>
        </w:tc>
        <w:tc>
          <w:tcPr>
            <w:tcW w:w="2311" w:type="dxa"/>
            <w:tcBorders>
              <w:left w:val="single" w:sz="6" w:space="0" w:color="231F20"/>
              <w:bottom w:val="nil"/>
              <w:right w:val="single" w:sz="6" w:space="0" w:color="231F20"/>
            </w:tcBorders>
          </w:tcPr>
          <w:p w14:paraId="0B99253F" w14:textId="77777777" w:rsidR="009948F1" w:rsidRDefault="009948F1">
            <w:pPr>
              <w:pStyle w:val="TableParagraph"/>
              <w:rPr>
                <w:rFonts w:ascii="Times New Roman"/>
                <w:sz w:val="16"/>
              </w:rPr>
            </w:pPr>
          </w:p>
        </w:tc>
      </w:tr>
      <w:tr w:rsidR="009948F1" w14:paraId="591A9C0A" w14:textId="77777777">
        <w:trPr>
          <w:trHeight w:val="226"/>
        </w:trPr>
        <w:tc>
          <w:tcPr>
            <w:tcW w:w="731" w:type="dxa"/>
            <w:tcBorders>
              <w:top w:val="nil"/>
              <w:left w:val="single" w:sz="6" w:space="0" w:color="231F20"/>
              <w:bottom w:val="nil"/>
              <w:right w:val="single" w:sz="6" w:space="0" w:color="231F20"/>
            </w:tcBorders>
          </w:tcPr>
          <w:p w14:paraId="03DBADA4"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1DA1144B" w14:textId="77777777" w:rsidR="009948F1" w:rsidRDefault="00BC0563">
            <w:pPr>
              <w:pStyle w:val="TableParagraph"/>
              <w:spacing w:before="1"/>
              <w:ind w:left="115"/>
              <w:rPr>
                <w:sz w:val="17"/>
              </w:rPr>
            </w:pPr>
            <w:r>
              <w:rPr>
                <w:color w:val="231F20"/>
                <w:w w:val="115"/>
                <w:sz w:val="17"/>
              </w:rPr>
              <w:t>State: Primary, Secondary, Tertiary</w:t>
            </w:r>
          </w:p>
        </w:tc>
        <w:tc>
          <w:tcPr>
            <w:tcW w:w="2311" w:type="dxa"/>
            <w:tcBorders>
              <w:top w:val="nil"/>
              <w:left w:val="single" w:sz="6" w:space="0" w:color="231F20"/>
              <w:bottom w:val="nil"/>
              <w:right w:val="single" w:sz="6" w:space="0" w:color="231F20"/>
            </w:tcBorders>
          </w:tcPr>
          <w:p w14:paraId="47943F10" w14:textId="77777777" w:rsidR="009948F1" w:rsidRDefault="00BC0563">
            <w:pPr>
              <w:pStyle w:val="TableParagraph"/>
              <w:spacing w:before="1"/>
              <w:ind w:left="115"/>
              <w:rPr>
                <w:sz w:val="17"/>
              </w:rPr>
            </w:pPr>
            <w:r>
              <w:rPr>
                <w:color w:val="231F20"/>
                <w:w w:val="115"/>
                <w:sz w:val="17"/>
              </w:rPr>
              <w:t>408: 385,36, 4</w:t>
            </w:r>
          </w:p>
        </w:tc>
        <w:tc>
          <w:tcPr>
            <w:tcW w:w="2311" w:type="dxa"/>
            <w:tcBorders>
              <w:top w:val="nil"/>
              <w:left w:val="single" w:sz="6" w:space="0" w:color="231F20"/>
              <w:bottom w:val="nil"/>
              <w:right w:val="single" w:sz="6" w:space="0" w:color="231F20"/>
            </w:tcBorders>
          </w:tcPr>
          <w:p w14:paraId="1D441D09" w14:textId="77777777" w:rsidR="009948F1" w:rsidRDefault="00BC0563">
            <w:pPr>
              <w:pStyle w:val="TableParagraph"/>
              <w:spacing w:before="1"/>
              <w:ind w:left="116"/>
              <w:rPr>
                <w:sz w:val="17"/>
              </w:rPr>
            </w:pPr>
            <w:r>
              <w:rPr>
                <w:color w:val="231F20"/>
                <w:w w:val="115"/>
                <w:sz w:val="17"/>
              </w:rPr>
              <w:t>DHIS2</w:t>
            </w:r>
          </w:p>
        </w:tc>
      </w:tr>
      <w:tr w:rsidR="009948F1" w14:paraId="579738DC" w14:textId="77777777">
        <w:trPr>
          <w:trHeight w:val="226"/>
        </w:trPr>
        <w:tc>
          <w:tcPr>
            <w:tcW w:w="731" w:type="dxa"/>
            <w:tcBorders>
              <w:top w:val="nil"/>
              <w:left w:val="single" w:sz="6" w:space="0" w:color="231F20"/>
              <w:bottom w:val="nil"/>
              <w:right w:val="single" w:sz="6" w:space="0" w:color="231F20"/>
            </w:tcBorders>
          </w:tcPr>
          <w:p w14:paraId="6CE10731" w14:textId="77777777" w:rsidR="009948F1" w:rsidRDefault="009948F1">
            <w:pPr>
              <w:pStyle w:val="TableParagraph"/>
              <w:rPr>
                <w:rFonts w:ascii="Times New Roman"/>
                <w:sz w:val="16"/>
              </w:rPr>
            </w:pPr>
          </w:p>
        </w:tc>
        <w:tc>
          <w:tcPr>
            <w:tcW w:w="3889" w:type="dxa"/>
            <w:tcBorders>
              <w:top w:val="nil"/>
              <w:left w:val="single" w:sz="6" w:space="0" w:color="231F20"/>
              <w:bottom w:val="nil"/>
              <w:right w:val="single" w:sz="6" w:space="0" w:color="231F20"/>
            </w:tcBorders>
          </w:tcPr>
          <w:p w14:paraId="0FDDE1A8" w14:textId="77777777" w:rsidR="009948F1" w:rsidRDefault="00BC0563">
            <w:pPr>
              <w:pStyle w:val="TableParagraph"/>
              <w:spacing w:before="1"/>
              <w:ind w:left="115"/>
              <w:rPr>
                <w:sz w:val="17"/>
              </w:rPr>
            </w:pPr>
            <w:r>
              <w:rPr>
                <w:color w:val="231F20"/>
                <w:w w:val="115"/>
                <w:sz w:val="17"/>
              </w:rPr>
              <w:t>Federal: Tertiary</w:t>
            </w:r>
          </w:p>
        </w:tc>
        <w:tc>
          <w:tcPr>
            <w:tcW w:w="2311" w:type="dxa"/>
            <w:tcBorders>
              <w:top w:val="nil"/>
              <w:left w:val="single" w:sz="6" w:space="0" w:color="231F20"/>
              <w:bottom w:val="nil"/>
              <w:right w:val="single" w:sz="6" w:space="0" w:color="231F20"/>
            </w:tcBorders>
          </w:tcPr>
          <w:p w14:paraId="4E26B170" w14:textId="77777777" w:rsidR="009948F1" w:rsidRDefault="00BC0563">
            <w:pPr>
              <w:pStyle w:val="TableParagraph"/>
              <w:spacing w:before="1"/>
              <w:ind w:left="115"/>
              <w:rPr>
                <w:sz w:val="17"/>
              </w:rPr>
            </w:pPr>
            <w:r>
              <w:rPr>
                <w:color w:val="231F20"/>
                <w:w w:val="114"/>
                <w:sz w:val="17"/>
              </w:rPr>
              <w:t>1</w:t>
            </w:r>
          </w:p>
        </w:tc>
        <w:tc>
          <w:tcPr>
            <w:tcW w:w="2311" w:type="dxa"/>
            <w:tcBorders>
              <w:top w:val="nil"/>
              <w:left w:val="single" w:sz="6" w:space="0" w:color="231F20"/>
              <w:bottom w:val="nil"/>
              <w:right w:val="single" w:sz="6" w:space="0" w:color="231F20"/>
            </w:tcBorders>
          </w:tcPr>
          <w:p w14:paraId="3D71F380" w14:textId="77777777" w:rsidR="009948F1" w:rsidRDefault="009948F1">
            <w:pPr>
              <w:pStyle w:val="TableParagraph"/>
              <w:rPr>
                <w:rFonts w:ascii="Times New Roman"/>
                <w:sz w:val="16"/>
              </w:rPr>
            </w:pPr>
          </w:p>
        </w:tc>
      </w:tr>
      <w:tr w:rsidR="009948F1" w14:paraId="3EFFE49E" w14:textId="77777777">
        <w:trPr>
          <w:trHeight w:val="228"/>
        </w:trPr>
        <w:tc>
          <w:tcPr>
            <w:tcW w:w="731" w:type="dxa"/>
            <w:tcBorders>
              <w:top w:val="nil"/>
              <w:left w:val="single" w:sz="6" w:space="0" w:color="231F20"/>
              <w:right w:val="single" w:sz="6" w:space="0" w:color="231F20"/>
            </w:tcBorders>
          </w:tcPr>
          <w:p w14:paraId="5F6D3513" w14:textId="77777777" w:rsidR="009948F1" w:rsidRDefault="009948F1">
            <w:pPr>
              <w:pStyle w:val="TableParagraph"/>
              <w:rPr>
                <w:rFonts w:ascii="Times New Roman"/>
                <w:sz w:val="16"/>
              </w:rPr>
            </w:pPr>
          </w:p>
        </w:tc>
        <w:tc>
          <w:tcPr>
            <w:tcW w:w="3889" w:type="dxa"/>
            <w:tcBorders>
              <w:top w:val="nil"/>
              <w:left w:val="single" w:sz="6" w:space="0" w:color="231F20"/>
              <w:right w:val="single" w:sz="6" w:space="0" w:color="231F20"/>
            </w:tcBorders>
          </w:tcPr>
          <w:p w14:paraId="7B99FBFB" w14:textId="77777777" w:rsidR="009948F1" w:rsidRDefault="00BC0563">
            <w:pPr>
              <w:pStyle w:val="TableParagraph"/>
              <w:spacing w:before="1"/>
              <w:ind w:left="115"/>
              <w:rPr>
                <w:sz w:val="17"/>
              </w:rPr>
            </w:pPr>
            <w:r>
              <w:rPr>
                <w:color w:val="231F20"/>
                <w:w w:val="115"/>
                <w:sz w:val="17"/>
              </w:rPr>
              <w:t>Private: Secondary, Tertiary</w:t>
            </w:r>
          </w:p>
        </w:tc>
        <w:tc>
          <w:tcPr>
            <w:tcW w:w="2311" w:type="dxa"/>
            <w:tcBorders>
              <w:top w:val="nil"/>
              <w:left w:val="single" w:sz="6" w:space="0" w:color="231F20"/>
              <w:right w:val="single" w:sz="6" w:space="0" w:color="231F20"/>
            </w:tcBorders>
          </w:tcPr>
          <w:p w14:paraId="5D64C378" w14:textId="77777777" w:rsidR="009948F1" w:rsidRDefault="00BC0563">
            <w:pPr>
              <w:pStyle w:val="TableParagraph"/>
              <w:spacing w:before="1"/>
              <w:ind w:left="115"/>
              <w:rPr>
                <w:sz w:val="17"/>
              </w:rPr>
            </w:pPr>
            <w:r>
              <w:rPr>
                <w:color w:val="231F20"/>
                <w:w w:val="115"/>
                <w:sz w:val="17"/>
              </w:rPr>
              <w:t>147,1</w:t>
            </w:r>
          </w:p>
        </w:tc>
        <w:tc>
          <w:tcPr>
            <w:tcW w:w="2311" w:type="dxa"/>
            <w:tcBorders>
              <w:top w:val="nil"/>
              <w:left w:val="single" w:sz="6" w:space="0" w:color="231F20"/>
              <w:right w:val="single" w:sz="6" w:space="0" w:color="231F20"/>
            </w:tcBorders>
          </w:tcPr>
          <w:p w14:paraId="7DABB306" w14:textId="77777777" w:rsidR="009948F1" w:rsidRDefault="009948F1">
            <w:pPr>
              <w:pStyle w:val="TableParagraph"/>
              <w:rPr>
                <w:rFonts w:ascii="Times New Roman"/>
                <w:sz w:val="16"/>
              </w:rPr>
            </w:pPr>
          </w:p>
        </w:tc>
      </w:tr>
    </w:tbl>
    <w:p w14:paraId="79F2498D" w14:textId="77777777" w:rsidR="009948F1" w:rsidRDefault="00BC0563">
      <w:pPr>
        <w:spacing w:before="99"/>
        <w:ind w:left="924"/>
        <w:rPr>
          <w:b/>
          <w:i/>
          <w:sz w:val="20"/>
        </w:rPr>
      </w:pPr>
      <w:r>
        <w:rPr>
          <w:b/>
          <w:i/>
          <w:color w:val="231F20"/>
          <w:sz w:val="20"/>
        </w:rPr>
        <w:t>Table 5: Some health status indicator changes observed after the SSHDP I</w:t>
      </w:r>
    </w:p>
    <w:p w14:paraId="5EFCA35A" w14:textId="77777777" w:rsidR="009948F1" w:rsidRDefault="009948F1">
      <w:pPr>
        <w:pStyle w:val="BodyText"/>
        <w:rPr>
          <w:b/>
          <w:i/>
          <w:sz w:val="20"/>
        </w:rPr>
      </w:pPr>
    </w:p>
    <w:p w14:paraId="1D139AB9" w14:textId="77777777" w:rsidR="009948F1" w:rsidRDefault="009948F1">
      <w:pPr>
        <w:pStyle w:val="BodyText"/>
        <w:spacing w:before="9"/>
        <w:rPr>
          <w:b/>
          <w:i/>
          <w:sz w:val="19"/>
        </w:rPr>
      </w:pPr>
    </w:p>
    <w:p w14:paraId="14237BAF" w14:textId="77777777" w:rsidR="009948F1" w:rsidRDefault="00BC0563">
      <w:pPr>
        <w:pStyle w:val="Heading7"/>
        <w:numPr>
          <w:ilvl w:val="1"/>
          <w:numId w:val="321"/>
        </w:numPr>
        <w:tabs>
          <w:tab w:val="left" w:pos="862"/>
          <w:tab w:val="left" w:pos="863"/>
        </w:tabs>
        <w:ind w:left="862" w:hanging="721"/>
        <w:jc w:val="left"/>
        <w:rPr>
          <w:color w:val="231F20"/>
        </w:rPr>
      </w:pPr>
      <w:bookmarkStart w:id="40" w:name="_TOC_250027"/>
      <w:r>
        <w:rPr>
          <w:color w:val="231F20"/>
        </w:rPr>
        <w:t>Implementation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Rivers</w:t>
      </w:r>
      <w:r>
        <w:rPr>
          <w:color w:val="231F20"/>
          <w:spacing w:val="-25"/>
        </w:rPr>
        <w:t xml:space="preserve"> </w:t>
      </w:r>
      <w:r>
        <w:rPr>
          <w:color w:val="231F20"/>
        </w:rPr>
        <w:t>State</w:t>
      </w:r>
      <w:r>
        <w:rPr>
          <w:color w:val="231F20"/>
          <w:spacing w:val="-26"/>
        </w:rPr>
        <w:t xml:space="preserve"> </w:t>
      </w:r>
      <w:r>
        <w:rPr>
          <w:color w:val="231F20"/>
        </w:rPr>
        <w:t>Strategic</w:t>
      </w:r>
      <w:r>
        <w:rPr>
          <w:color w:val="231F20"/>
          <w:spacing w:val="-25"/>
        </w:rPr>
        <w:t xml:space="preserve"> </w:t>
      </w:r>
      <w:r>
        <w:rPr>
          <w:color w:val="231F20"/>
        </w:rPr>
        <w:t>Health</w:t>
      </w:r>
      <w:r>
        <w:rPr>
          <w:color w:val="231F20"/>
          <w:spacing w:val="-25"/>
        </w:rPr>
        <w:t xml:space="preserve"> </w:t>
      </w:r>
      <w:r>
        <w:rPr>
          <w:color w:val="231F20"/>
        </w:rPr>
        <w:t>Development</w:t>
      </w:r>
      <w:r>
        <w:rPr>
          <w:color w:val="231F20"/>
          <w:spacing w:val="-25"/>
        </w:rPr>
        <w:t xml:space="preserve"> </w:t>
      </w:r>
      <w:r>
        <w:rPr>
          <w:color w:val="231F20"/>
        </w:rPr>
        <w:t>Plan</w:t>
      </w:r>
      <w:r>
        <w:rPr>
          <w:color w:val="231F20"/>
          <w:spacing w:val="-25"/>
        </w:rPr>
        <w:t xml:space="preserve"> </w:t>
      </w:r>
      <w:bookmarkEnd w:id="40"/>
      <w:r>
        <w:rPr>
          <w:color w:val="231F20"/>
        </w:rPr>
        <w:t>I</w:t>
      </w:r>
    </w:p>
    <w:p w14:paraId="304C9F33" w14:textId="77777777" w:rsidR="009948F1" w:rsidRDefault="009948F1">
      <w:pPr>
        <w:pStyle w:val="BodyText"/>
        <w:rPr>
          <w:b/>
          <w:sz w:val="26"/>
        </w:rPr>
      </w:pPr>
    </w:p>
    <w:p w14:paraId="06842AF7" w14:textId="77777777" w:rsidR="009948F1" w:rsidRDefault="00BC0563">
      <w:pPr>
        <w:pStyle w:val="BodyText"/>
        <w:spacing w:line="261" w:lineRule="auto"/>
        <w:ind w:left="141" w:right="180"/>
        <w:jc w:val="both"/>
      </w:pPr>
      <w:r>
        <w:rPr>
          <w:color w:val="231F20"/>
        </w:rPr>
        <w:t>The</w:t>
      </w:r>
      <w:r>
        <w:rPr>
          <w:color w:val="231F20"/>
          <w:spacing w:val="-20"/>
        </w:rPr>
        <w:t xml:space="preserve"> </w:t>
      </w:r>
      <w:r>
        <w:rPr>
          <w:color w:val="231F20"/>
        </w:rPr>
        <w:t>RSSHDP</w:t>
      </w:r>
      <w:r>
        <w:rPr>
          <w:color w:val="231F20"/>
          <w:spacing w:val="-24"/>
        </w:rPr>
        <w:t xml:space="preserve"> </w:t>
      </w:r>
      <w:r>
        <w:rPr>
          <w:color w:val="231F20"/>
        </w:rPr>
        <w:t>I</w:t>
      </w:r>
      <w:r>
        <w:rPr>
          <w:color w:val="231F20"/>
          <w:spacing w:val="-20"/>
        </w:rPr>
        <w:t xml:space="preserve"> </w:t>
      </w:r>
      <w:r>
        <w:rPr>
          <w:color w:val="231F20"/>
        </w:rPr>
        <w:t>(2010-2015)</w:t>
      </w:r>
      <w:r>
        <w:rPr>
          <w:color w:val="231F20"/>
          <w:spacing w:val="-19"/>
        </w:rPr>
        <w:t xml:space="preserve"> </w:t>
      </w:r>
      <w:r>
        <w:rPr>
          <w:color w:val="231F20"/>
        </w:rPr>
        <w:t>was</w:t>
      </w:r>
      <w:r>
        <w:rPr>
          <w:color w:val="231F20"/>
          <w:spacing w:val="-20"/>
        </w:rPr>
        <w:t xml:space="preserve"> </w:t>
      </w:r>
      <w:r>
        <w:rPr>
          <w:color w:val="231F20"/>
        </w:rPr>
        <w:t>formally</w:t>
      </w:r>
      <w:r>
        <w:rPr>
          <w:color w:val="231F20"/>
          <w:spacing w:val="-20"/>
        </w:rPr>
        <w:t xml:space="preserve"> </w:t>
      </w:r>
      <w:r>
        <w:rPr>
          <w:color w:val="231F20"/>
        </w:rPr>
        <w:t>launched</w:t>
      </w:r>
      <w:r>
        <w:rPr>
          <w:color w:val="231F20"/>
          <w:spacing w:val="-20"/>
        </w:rPr>
        <w:t xml:space="preserve"> </w:t>
      </w:r>
      <w:r>
        <w:rPr>
          <w:color w:val="231F20"/>
        </w:rPr>
        <w:t>in</w:t>
      </w:r>
      <w:r>
        <w:rPr>
          <w:color w:val="231F20"/>
          <w:spacing w:val="-19"/>
        </w:rPr>
        <w:t xml:space="preserve"> </w:t>
      </w:r>
      <w:r>
        <w:rPr>
          <w:color w:val="231F20"/>
          <w:spacing w:val="-5"/>
        </w:rPr>
        <w:t>2011</w:t>
      </w:r>
      <w:r>
        <w:rPr>
          <w:color w:val="231F20"/>
          <w:spacing w:val="-20"/>
        </w:rPr>
        <w:t xml:space="preserve"> </w:t>
      </w:r>
      <w:r>
        <w:rPr>
          <w:color w:val="231F20"/>
        </w:rPr>
        <w:t>and</w:t>
      </w:r>
      <w:r>
        <w:rPr>
          <w:color w:val="231F20"/>
          <w:spacing w:val="-20"/>
        </w:rPr>
        <w:t xml:space="preserve"> </w:t>
      </w:r>
      <w:r>
        <w:rPr>
          <w:color w:val="231F20"/>
        </w:rPr>
        <w:t>its</w:t>
      </w:r>
      <w:r>
        <w:rPr>
          <w:color w:val="231F20"/>
          <w:spacing w:val="-19"/>
        </w:rPr>
        <w:t xml:space="preserve"> </w:t>
      </w:r>
      <w:r>
        <w:rPr>
          <w:color w:val="231F20"/>
        </w:rPr>
        <w:t>goal</w:t>
      </w:r>
      <w:r>
        <w:rPr>
          <w:color w:val="231F20"/>
          <w:spacing w:val="-20"/>
        </w:rPr>
        <w:t xml:space="preserve"> </w:t>
      </w:r>
      <w:r>
        <w:rPr>
          <w:i/>
          <w:color w:val="231F20"/>
        </w:rPr>
        <w:t>was</w:t>
      </w:r>
      <w:r>
        <w:rPr>
          <w:i/>
          <w:color w:val="231F20"/>
          <w:spacing w:val="-20"/>
        </w:rPr>
        <w:t xml:space="preserve"> </w:t>
      </w:r>
      <w:r>
        <w:rPr>
          <w:i/>
          <w:color w:val="231F20"/>
        </w:rPr>
        <w:t>to</w:t>
      </w:r>
      <w:r>
        <w:rPr>
          <w:i/>
          <w:color w:val="231F20"/>
          <w:spacing w:val="-20"/>
        </w:rPr>
        <w:t xml:space="preserve"> </w:t>
      </w:r>
      <w:r>
        <w:rPr>
          <w:color w:val="231F20"/>
        </w:rPr>
        <w:t>significantly</w:t>
      </w:r>
      <w:r>
        <w:rPr>
          <w:color w:val="231F20"/>
          <w:spacing w:val="-19"/>
        </w:rPr>
        <w:t xml:space="preserve"> </w:t>
      </w:r>
      <w:r>
        <w:rPr>
          <w:color w:val="231F20"/>
        </w:rPr>
        <w:t>improve the health status of Rivers People through the development of a strengthened and sustainable health</w:t>
      </w:r>
      <w:r>
        <w:rPr>
          <w:color w:val="231F20"/>
          <w:spacing w:val="-21"/>
        </w:rPr>
        <w:t xml:space="preserve"> </w:t>
      </w:r>
      <w:r>
        <w:rPr>
          <w:color w:val="231F20"/>
        </w:rPr>
        <w:t>care</w:t>
      </w:r>
      <w:r>
        <w:rPr>
          <w:color w:val="231F20"/>
          <w:spacing w:val="-21"/>
        </w:rPr>
        <w:t xml:space="preserve"> </w:t>
      </w:r>
      <w:r>
        <w:rPr>
          <w:color w:val="231F20"/>
        </w:rPr>
        <w:t>delivery</w:t>
      </w:r>
      <w:r>
        <w:rPr>
          <w:color w:val="231F20"/>
          <w:spacing w:val="-21"/>
        </w:rPr>
        <w:t xml:space="preserve"> </w:t>
      </w:r>
      <w:r>
        <w:rPr>
          <w:color w:val="231F20"/>
        </w:rPr>
        <w:t>system.</w:t>
      </w:r>
      <w:r>
        <w:rPr>
          <w:color w:val="231F20"/>
          <w:spacing w:val="-25"/>
        </w:rPr>
        <w:t xml:space="preserve"> </w:t>
      </w:r>
      <w:r>
        <w:rPr>
          <w:color w:val="231F20"/>
        </w:rPr>
        <w:t>This</w:t>
      </w:r>
      <w:r>
        <w:rPr>
          <w:color w:val="231F20"/>
          <w:spacing w:val="-21"/>
        </w:rPr>
        <w:t xml:space="preserve"> </w:t>
      </w:r>
      <w:r>
        <w:rPr>
          <w:color w:val="231F20"/>
        </w:rPr>
        <w:t>was</w:t>
      </w:r>
      <w:r>
        <w:rPr>
          <w:color w:val="231F20"/>
          <w:spacing w:val="-21"/>
        </w:rPr>
        <w:t xml:space="preserve"> </w:t>
      </w:r>
      <w:r>
        <w:rPr>
          <w:color w:val="231F20"/>
        </w:rPr>
        <w:t>in</w:t>
      </w:r>
      <w:r>
        <w:rPr>
          <w:color w:val="231F20"/>
          <w:spacing w:val="-21"/>
        </w:rPr>
        <w:t xml:space="preserve"> </w:t>
      </w:r>
      <w:r>
        <w:rPr>
          <w:color w:val="231F20"/>
        </w:rPr>
        <w:t>accordance</w:t>
      </w:r>
      <w:r>
        <w:rPr>
          <w:color w:val="231F20"/>
          <w:spacing w:val="-20"/>
        </w:rPr>
        <w:t xml:space="preserve"> </w:t>
      </w:r>
      <w:r>
        <w:rPr>
          <w:color w:val="231F20"/>
        </w:rPr>
        <w:t>with</w:t>
      </w:r>
      <w:r>
        <w:rPr>
          <w:color w:val="231F20"/>
          <w:spacing w:val="-21"/>
        </w:rPr>
        <w:t xml:space="preserve"> </w:t>
      </w:r>
      <w:r>
        <w:rPr>
          <w:color w:val="231F20"/>
        </w:rPr>
        <w:t>the</w:t>
      </w:r>
      <w:r>
        <w:rPr>
          <w:color w:val="231F20"/>
          <w:spacing w:val="-21"/>
        </w:rPr>
        <w:t xml:space="preserve"> </w:t>
      </w:r>
      <w:r>
        <w:rPr>
          <w:color w:val="231F20"/>
          <w:spacing w:val="-5"/>
        </w:rPr>
        <w:t>NSHDP,</w:t>
      </w:r>
      <w:r>
        <w:rPr>
          <w:color w:val="231F20"/>
          <w:spacing w:val="-22"/>
        </w:rPr>
        <w:t xml:space="preserve"> </w:t>
      </w:r>
      <w:r>
        <w:rPr>
          <w:color w:val="231F20"/>
        </w:rPr>
        <w:t>in</w:t>
      </w:r>
      <w:r>
        <w:rPr>
          <w:color w:val="231F20"/>
          <w:spacing w:val="-20"/>
        </w:rPr>
        <w:t xml:space="preserve"> </w:t>
      </w:r>
      <w:r>
        <w:rPr>
          <w:color w:val="231F20"/>
        </w:rPr>
        <w:t>order</w:t>
      </w:r>
      <w:r>
        <w:rPr>
          <w:color w:val="231F20"/>
          <w:spacing w:val="-21"/>
        </w:rPr>
        <w:t xml:space="preserve"> </w:t>
      </w:r>
      <w:r>
        <w:rPr>
          <w:color w:val="231F20"/>
        </w:rPr>
        <w:t>to</w:t>
      </w:r>
      <w:r>
        <w:rPr>
          <w:color w:val="231F20"/>
          <w:spacing w:val="-22"/>
        </w:rPr>
        <w:t xml:space="preserve"> </w:t>
      </w:r>
      <w:r>
        <w:rPr>
          <w:color w:val="231F20"/>
        </w:rPr>
        <w:t>have</w:t>
      </w:r>
      <w:r>
        <w:rPr>
          <w:color w:val="231F20"/>
          <w:spacing w:val="-20"/>
        </w:rPr>
        <w:t xml:space="preserve"> </w:t>
      </w:r>
      <w:r>
        <w:rPr>
          <w:color w:val="231F20"/>
        </w:rPr>
        <w:t>an</w:t>
      </w:r>
      <w:r>
        <w:rPr>
          <w:color w:val="231F20"/>
          <w:spacing w:val="-21"/>
        </w:rPr>
        <w:t xml:space="preserve"> </w:t>
      </w:r>
      <w:r>
        <w:rPr>
          <w:color w:val="231F20"/>
        </w:rPr>
        <w:t>integrated Health Plan for the nation. The RSSHDP I was to serve as a framework where operational plan would</w:t>
      </w:r>
      <w:r>
        <w:rPr>
          <w:color w:val="231F20"/>
          <w:spacing w:val="-13"/>
        </w:rPr>
        <w:t xml:space="preserve"> </w:t>
      </w:r>
      <w:r>
        <w:rPr>
          <w:color w:val="231F20"/>
        </w:rPr>
        <w:t>be</w:t>
      </w:r>
      <w:r>
        <w:rPr>
          <w:color w:val="231F20"/>
          <w:spacing w:val="-13"/>
        </w:rPr>
        <w:t xml:space="preserve"> </w:t>
      </w:r>
      <w:r>
        <w:rPr>
          <w:color w:val="231F20"/>
        </w:rPr>
        <w:t>developed</w:t>
      </w:r>
      <w:r>
        <w:rPr>
          <w:color w:val="231F20"/>
          <w:spacing w:val="-13"/>
        </w:rPr>
        <w:t xml:space="preserve"> </w:t>
      </w:r>
      <w:r>
        <w:rPr>
          <w:color w:val="231F20"/>
        </w:rPr>
        <w:t>for</w:t>
      </w:r>
      <w:r>
        <w:rPr>
          <w:color w:val="231F20"/>
          <w:spacing w:val="-13"/>
        </w:rPr>
        <w:t xml:space="preserve"> </w:t>
      </w:r>
      <w:r>
        <w:rPr>
          <w:color w:val="231F20"/>
        </w:rPr>
        <w:t>all</w:t>
      </w:r>
      <w:r>
        <w:rPr>
          <w:color w:val="231F20"/>
          <w:spacing w:val="-13"/>
        </w:rPr>
        <w:t xml:space="preserve"> </w:t>
      </w:r>
      <w:r>
        <w:rPr>
          <w:color w:val="231F20"/>
        </w:rPr>
        <w:t>stakeholders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health</w:t>
      </w:r>
      <w:r>
        <w:rPr>
          <w:color w:val="231F20"/>
          <w:spacing w:val="-13"/>
        </w:rPr>
        <w:t xml:space="preserve"> </w:t>
      </w:r>
      <w:r>
        <w:rPr>
          <w:color w:val="231F20"/>
        </w:rPr>
        <w:t>sector</w:t>
      </w:r>
      <w:r>
        <w:rPr>
          <w:color w:val="231F20"/>
          <w:spacing w:val="-13"/>
        </w:rPr>
        <w:t xml:space="preserve"> </w:t>
      </w:r>
      <w:r>
        <w:rPr>
          <w:color w:val="231F20"/>
        </w:rPr>
        <w:t>in</w:t>
      </w:r>
      <w:r>
        <w:rPr>
          <w:color w:val="231F20"/>
          <w:spacing w:val="-13"/>
        </w:rPr>
        <w:t xml:space="preserve"> </w:t>
      </w:r>
      <w:r>
        <w:rPr>
          <w:color w:val="231F20"/>
        </w:rPr>
        <w:t>Rivers</w:t>
      </w:r>
      <w:r>
        <w:rPr>
          <w:color w:val="231F20"/>
          <w:spacing w:val="-13"/>
        </w:rPr>
        <w:t xml:space="preserve"> </w:t>
      </w:r>
      <w:r>
        <w:rPr>
          <w:color w:val="231F20"/>
        </w:rPr>
        <w:t>State.</w:t>
      </w:r>
      <w:r>
        <w:rPr>
          <w:color w:val="231F20"/>
          <w:spacing w:val="-13"/>
        </w:rPr>
        <w:t xml:space="preserve"> </w:t>
      </w:r>
      <w:r>
        <w:rPr>
          <w:color w:val="231F20"/>
        </w:rPr>
        <w:t>It</w:t>
      </w:r>
      <w:r>
        <w:rPr>
          <w:color w:val="231F20"/>
          <w:spacing w:val="-13"/>
        </w:rPr>
        <w:t xml:space="preserve"> </w:t>
      </w:r>
      <w:r>
        <w:rPr>
          <w:color w:val="231F20"/>
        </w:rPr>
        <w:t>provided</w:t>
      </w:r>
      <w:r>
        <w:rPr>
          <w:color w:val="231F20"/>
          <w:spacing w:val="-13"/>
        </w:rPr>
        <w:t xml:space="preserve"> </w:t>
      </w:r>
      <w:r>
        <w:rPr>
          <w:color w:val="231F20"/>
        </w:rPr>
        <w:t>a</w:t>
      </w:r>
      <w:r>
        <w:rPr>
          <w:color w:val="231F20"/>
          <w:spacing w:val="-13"/>
        </w:rPr>
        <w:t xml:space="preserve"> </w:t>
      </w:r>
      <w:r>
        <w:rPr>
          <w:color w:val="231F20"/>
        </w:rPr>
        <w:t>road</w:t>
      </w:r>
      <w:r>
        <w:rPr>
          <w:color w:val="231F20"/>
          <w:spacing w:val="-13"/>
        </w:rPr>
        <w:t xml:space="preserve"> </w:t>
      </w:r>
      <w:r>
        <w:rPr>
          <w:color w:val="231F20"/>
          <w:spacing w:val="-5"/>
        </w:rPr>
        <w:t xml:space="preserve">map </w:t>
      </w:r>
      <w:r>
        <w:rPr>
          <w:color w:val="231F20"/>
        </w:rPr>
        <w:t xml:space="preserve">for accelerated development of a sustainable, cost-effective and efficient health system </w:t>
      </w:r>
      <w:r>
        <w:rPr>
          <w:color w:val="231F20"/>
          <w:spacing w:val="-4"/>
        </w:rPr>
        <w:t xml:space="preserve">that </w:t>
      </w:r>
      <w:r>
        <w:rPr>
          <w:color w:val="231F20"/>
        </w:rPr>
        <w:t>improves the health status of the population on a continuing basis. The RSSHDP I was implemented</w:t>
      </w:r>
      <w:r>
        <w:rPr>
          <w:color w:val="231F20"/>
          <w:spacing w:val="-15"/>
        </w:rPr>
        <w:t xml:space="preserve"> </w:t>
      </w:r>
      <w:r>
        <w:rPr>
          <w:color w:val="231F20"/>
        </w:rPr>
        <w:t>to</w:t>
      </w:r>
      <w:r>
        <w:rPr>
          <w:color w:val="231F20"/>
          <w:spacing w:val="-15"/>
        </w:rPr>
        <w:t xml:space="preserve"> </w:t>
      </w:r>
      <w:r>
        <w:rPr>
          <w:color w:val="231F20"/>
        </w:rPr>
        <w:t>varying</w:t>
      </w:r>
      <w:r>
        <w:rPr>
          <w:color w:val="231F20"/>
          <w:spacing w:val="-15"/>
        </w:rPr>
        <w:t xml:space="preserve"> </w:t>
      </w:r>
      <w:r>
        <w:rPr>
          <w:color w:val="231F20"/>
        </w:rPr>
        <w:t>degrees</w:t>
      </w:r>
      <w:r>
        <w:rPr>
          <w:color w:val="231F20"/>
          <w:spacing w:val="-15"/>
        </w:rPr>
        <w:t xml:space="preserve"> </w:t>
      </w:r>
      <w:r>
        <w:rPr>
          <w:color w:val="231F20"/>
        </w:rPr>
        <w:t>by</w:t>
      </w:r>
      <w:r>
        <w:rPr>
          <w:color w:val="231F20"/>
          <w:spacing w:val="-15"/>
        </w:rPr>
        <w:t xml:space="preserve"> </w:t>
      </w:r>
      <w:r>
        <w:rPr>
          <w:color w:val="231F20"/>
        </w:rPr>
        <w:t>the</w:t>
      </w:r>
      <w:r>
        <w:rPr>
          <w:color w:val="231F20"/>
          <w:spacing w:val="-14"/>
        </w:rPr>
        <w:t xml:space="preserve"> </w:t>
      </w:r>
      <w:r>
        <w:rPr>
          <w:color w:val="231F20"/>
        </w:rPr>
        <w:t>Ministry</w:t>
      </w:r>
      <w:r>
        <w:rPr>
          <w:color w:val="231F20"/>
          <w:spacing w:val="-15"/>
        </w:rPr>
        <w:t xml:space="preserve"> </w:t>
      </w:r>
      <w:r>
        <w:rPr>
          <w:color w:val="231F20"/>
        </w:rPr>
        <w:t>of</w:t>
      </w:r>
      <w:r>
        <w:rPr>
          <w:color w:val="231F20"/>
          <w:spacing w:val="-15"/>
        </w:rPr>
        <w:t xml:space="preserve"> </w:t>
      </w:r>
      <w:r>
        <w:rPr>
          <w:color w:val="231F20"/>
        </w:rPr>
        <w:t>Health,</w:t>
      </w:r>
      <w:r>
        <w:rPr>
          <w:color w:val="231F20"/>
          <w:spacing w:val="-15"/>
        </w:rPr>
        <w:t xml:space="preserve"> </w:t>
      </w:r>
      <w:r>
        <w:rPr>
          <w:color w:val="231F20"/>
        </w:rPr>
        <w:t>as</w:t>
      </w:r>
      <w:r>
        <w:rPr>
          <w:color w:val="231F20"/>
          <w:spacing w:val="-15"/>
        </w:rPr>
        <w:t xml:space="preserve"> </w:t>
      </w:r>
      <w:r>
        <w:rPr>
          <w:color w:val="231F20"/>
        </w:rPr>
        <w:t>evident</w:t>
      </w:r>
      <w:r>
        <w:rPr>
          <w:color w:val="231F20"/>
          <w:spacing w:val="-15"/>
        </w:rPr>
        <w:t xml:space="preserve"> </w:t>
      </w:r>
      <w:r>
        <w:rPr>
          <w:color w:val="231F20"/>
        </w:rPr>
        <w:t>from</w:t>
      </w:r>
      <w:r>
        <w:rPr>
          <w:color w:val="231F20"/>
          <w:spacing w:val="-14"/>
        </w:rPr>
        <w:t xml:space="preserve"> </w:t>
      </w:r>
      <w:r>
        <w:rPr>
          <w:color w:val="231F20"/>
        </w:rPr>
        <w:t>the</w:t>
      </w:r>
      <w:r>
        <w:rPr>
          <w:color w:val="231F20"/>
          <w:spacing w:val="-15"/>
        </w:rPr>
        <w:t xml:space="preserve"> </w:t>
      </w:r>
      <w:r>
        <w:rPr>
          <w:color w:val="231F20"/>
        </w:rPr>
        <w:t>Joint</w:t>
      </w:r>
      <w:r>
        <w:rPr>
          <w:color w:val="231F20"/>
          <w:spacing w:val="-27"/>
        </w:rPr>
        <w:t xml:space="preserve"> </w:t>
      </w:r>
      <w:r>
        <w:rPr>
          <w:color w:val="231F20"/>
        </w:rPr>
        <w:t>Annual</w:t>
      </w:r>
      <w:r>
        <w:rPr>
          <w:color w:val="231F20"/>
          <w:spacing w:val="-15"/>
        </w:rPr>
        <w:t xml:space="preserve"> </w:t>
      </w:r>
      <w:r>
        <w:rPr>
          <w:color w:val="231F20"/>
        </w:rPr>
        <w:t>Review (JAR),</w:t>
      </w:r>
      <w:r>
        <w:rPr>
          <w:color w:val="231F20"/>
          <w:spacing w:val="-7"/>
        </w:rPr>
        <w:t xml:space="preserve"> </w:t>
      </w:r>
      <w:r>
        <w:rPr>
          <w:color w:val="231F20"/>
          <w:spacing w:val="-4"/>
        </w:rPr>
        <w:t>Mid-Term</w:t>
      </w:r>
      <w:r>
        <w:rPr>
          <w:color w:val="231F20"/>
          <w:spacing w:val="-7"/>
        </w:rPr>
        <w:t xml:space="preserve"> </w:t>
      </w:r>
      <w:r>
        <w:rPr>
          <w:color w:val="231F20"/>
        </w:rPr>
        <w:t>Review</w:t>
      </w:r>
      <w:r>
        <w:rPr>
          <w:color w:val="231F20"/>
          <w:spacing w:val="-7"/>
        </w:rPr>
        <w:t xml:space="preserve"> </w:t>
      </w:r>
      <w:r>
        <w:rPr>
          <w:color w:val="231F20"/>
        </w:rPr>
        <w:t>(MTR)</w:t>
      </w:r>
      <w:r>
        <w:rPr>
          <w:color w:val="231F20"/>
          <w:spacing w:val="-7"/>
        </w:rPr>
        <w:t xml:space="preserve"> </w:t>
      </w:r>
      <w:r>
        <w:rPr>
          <w:color w:val="231F20"/>
        </w:rPr>
        <w:t>and</w:t>
      </w:r>
      <w:r>
        <w:rPr>
          <w:color w:val="231F20"/>
          <w:spacing w:val="-7"/>
        </w:rPr>
        <w:t xml:space="preserve"> </w:t>
      </w:r>
      <w:r>
        <w:rPr>
          <w:color w:val="231F20"/>
          <w:spacing w:val="-4"/>
        </w:rPr>
        <w:t>End-Term</w:t>
      </w:r>
      <w:r>
        <w:rPr>
          <w:color w:val="231F20"/>
          <w:spacing w:val="-6"/>
        </w:rPr>
        <w:t xml:space="preserve"> </w:t>
      </w:r>
      <w:r>
        <w:rPr>
          <w:color w:val="231F20"/>
        </w:rPr>
        <w:t>Evaluation</w:t>
      </w:r>
      <w:r>
        <w:rPr>
          <w:color w:val="231F20"/>
          <w:spacing w:val="-7"/>
        </w:rPr>
        <w:t xml:space="preserve"> </w:t>
      </w:r>
      <w:r>
        <w:rPr>
          <w:color w:val="231F20"/>
        </w:rPr>
        <w:t>(ETE).</w:t>
      </w:r>
      <w:r>
        <w:rPr>
          <w:color w:val="231F20"/>
          <w:spacing w:val="-11"/>
        </w:rPr>
        <w:t xml:space="preserve"> </w:t>
      </w:r>
      <w:r>
        <w:rPr>
          <w:color w:val="231F20"/>
        </w:rPr>
        <w:t>The</w:t>
      </w:r>
      <w:r>
        <w:rPr>
          <w:color w:val="231F20"/>
          <w:spacing w:val="-7"/>
        </w:rPr>
        <w:t xml:space="preserve"> </w:t>
      </w:r>
      <w:r>
        <w:rPr>
          <w:color w:val="231F20"/>
        </w:rPr>
        <w:t>directors</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Ministry</w:t>
      </w:r>
      <w:r>
        <w:rPr>
          <w:color w:val="231F20"/>
          <w:spacing w:val="-7"/>
        </w:rPr>
        <w:t xml:space="preserve"> </w:t>
      </w:r>
      <w:r>
        <w:rPr>
          <w:color w:val="231F20"/>
          <w:spacing w:val="-5"/>
        </w:rPr>
        <w:t xml:space="preserve">and </w:t>
      </w:r>
      <w:r>
        <w:rPr>
          <w:color w:val="231F20"/>
        </w:rPr>
        <w:t xml:space="preserve">heads of agencies were expected to monitor the SSHDP I implementation since there was </w:t>
      </w:r>
      <w:r>
        <w:rPr>
          <w:color w:val="231F20"/>
          <w:spacing w:val="-7"/>
        </w:rPr>
        <w:t xml:space="preserve">no </w:t>
      </w:r>
      <w:r>
        <w:rPr>
          <w:color w:val="231F20"/>
        </w:rPr>
        <w:t>reference</w:t>
      </w:r>
      <w:r>
        <w:rPr>
          <w:color w:val="231F20"/>
          <w:spacing w:val="-25"/>
        </w:rPr>
        <w:t xml:space="preserve"> </w:t>
      </w:r>
      <w:r>
        <w:rPr>
          <w:color w:val="231F20"/>
        </w:rPr>
        <w:t>committee</w:t>
      </w:r>
      <w:r>
        <w:rPr>
          <w:color w:val="231F20"/>
          <w:spacing w:val="-25"/>
        </w:rPr>
        <w:t xml:space="preserve"> </w:t>
      </w:r>
      <w:r>
        <w:rPr>
          <w:color w:val="231F20"/>
        </w:rPr>
        <w:t>for</w:t>
      </w:r>
      <w:r>
        <w:rPr>
          <w:color w:val="231F20"/>
          <w:spacing w:val="-25"/>
        </w:rPr>
        <w:t xml:space="preserve"> </w:t>
      </w:r>
      <w:r>
        <w:rPr>
          <w:color w:val="231F20"/>
        </w:rPr>
        <w:t>that</w:t>
      </w:r>
      <w:r>
        <w:rPr>
          <w:color w:val="231F20"/>
          <w:spacing w:val="-25"/>
        </w:rPr>
        <w:t xml:space="preserve"> </w:t>
      </w:r>
      <w:r>
        <w:rPr>
          <w:color w:val="231F20"/>
        </w:rPr>
        <w:t>purpose.</w:t>
      </w:r>
    </w:p>
    <w:p w14:paraId="17710B7E" w14:textId="77777777" w:rsidR="009948F1" w:rsidRDefault="009948F1">
      <w:pPr>
        <w:spacing w:line="261" w:lineRule="auto"/>
        <w:jc w:val="both"/>
        <w:sectPr w:rsidR="009948F1">
          <w:pgSz w:w="11910" w:h="16840"/>
          <w:pgMar w:top="1300" w:right="1080" w:bottom="1420" w:left="1120" w:header="0" w:footer="1235" w:gutter="0"/>
          <w:cols w:space="720"/>
        </w:sectPr>
      </w:pPr>
    </w:p>
    <w:p w14:paraId="66D2985E" w14:textId="77777777" w:rsidR="009948F1" w:rsidRDefault="00BC0563">
      <w:pPr>
        <w:pStyle w:val="BodyText"/>
        <w:spacing w:before="44" w:line="252" w:lineRule="auto"/>
        <w:ind w:left="152" w:right="203"/>
        <w:jc w:val="both"/>
      </w:pPr>
      <w:bookmarkStart w:id="41" w:name="Page_30"/>
      <w:bookmarkEnd w:id="41"/>
      <w:r>
        <w:rPr>
          <w:color w:val="231F20"/>
        </w:rPr>
        <w:lastRenderedPageBreak/>
        <w:t>It</w:t>
      </w:r>
      <w:r>
        <w:rPr>
          <w:color w:val="231F20"/>
          <w:spacing w:val="-23"/>
        </w:rPr>
        <w:t xml:space="preserve"> </w:t>
      </w:r>
      <w:r>
        <w:rPr>
          <w:color w:val="231F20"/>
        </w:rPr>
        <w:t>was</w:t>
      </w:r>
      <w:r>
        <w:rPr>
          <w:color w:val="231F20"/>
          <w:spacing w:val="-22"/>
        </w:rPr>
        <w:t xml:space="preserve"> </w:t>
      </w:r>
      <w:r>
        <w:rPr>
          <w:color w:val="231F20"/>
        </w:rPr>
        <w:t>noticed</w:t>
      </w:r>
      <w:r>
        <w:rPr>
          <w:color w:val="231F20"/>
          <w:spacing w:val="-22"/>
        </w:rPr>
        <w:t xml:space="preserve"> </w:t>
      </w:r>
      <w:r>
        <w:rPr>
          <w:color w:val="231F20"/>
        </w:rPr>
        <w:t>that</w:t>
      </w:r>
      <w:r>
        <w:rPr>
          <w:color w:val="231F20"/>
          <w:spacing w:val="-22"/>
        </w:rPr>
        <w:t xml:space="preserve"> </w:t>
      </w:r>
      <w:r>
        <w:rPr>
          <w:color w:val="231F20"/>
        </w:rPr>
        <w:t>the</w:t>
      </w:r>
      <w:r>
        <w:rPr>
          <w:color w:val="231F20"/>
          <w:spacing w:val="-23"/>
        </w:rPr>
        <w:t xml:space="preserve"> </w:t>
      </w:r>
      <w:r>
        <w:rPr>
          <w:color w:val="231F20"/>
        </w:rPr>
        <w:t>RSSHDP</w:t>
      </w:r>
      <w:r>
        <w:rPr>
          <w:color w:val="231F20"/>
          <w:spacing w:val="-26"/>
        </w:rPr>
        <w:t xml:space="preserve"> </w:t>
      </w:r>
      <w:r>
        <w:rPr>
          <w:color w:val="231F20"/>
        </w:rPr>
        <w:t>I</w:t>
      </w:r>
      <w:r>
        <w:rPr>
          <w:color w:val="231F20"/>
          <w:spacing w:val="-22"/>
        </w:rPr>
        <w:t xml:space="preserve"> </w:t>
      </w:r>
      <w:r>
        <w:rPr>
          <w:color w:val="231F20"/>
        </w:rPr>
        <w:t>was</w:t>
      </w:r>
      <w:r>
        <w:rPr>
          <w:color w:val="231F20"/>
          <w:spacing w:val="-22"/>
        </w:rPr>
        <w:t xml:space="preserve"> </w:t>
      </w:r>
      <w:r>
        <w:rPr>
          <w:color w:val="231F20"/>
        </w:rPr>
        <w:t>not</w:t>
      </w:r>
      <w:r>
        <w:rPr>
          <w:color w:val="231F20"/>
          <w:spacing w:val="-22"/>
        </w:rPr>
        <w:t xml:space="preserve"> </w:t>
      </w:r>
      <w:r>
        <w:rPr>
          <w:color w:val="231F20"/>
        </w:rPr>
        <w:t>being</w:t>
      </w:r>
      <w:r>
        <w:rPr>
          <w:color w:val="231F20"/>
          <w:spacing w:val="-23"/>
        </w:rPr>
        <w:t xml:space="preserve"> </w:t>
      </w:r>
      <w:r>
        <w:rPr>
          <w:color w:val="231F20"/>
        </w:rPr>
        <w:t>referred</w:t>
      </w:r>
      <w:r>
        <w:rPr>
          <w:color w:val="231F20"/>
          <w:spacing w:val="-22"/>
        </w:rPr>
        <w:t xml:space="preserve"> </w:t>
      </w:r>
      <w:r>
        <w:rPr>
          <w:color w:val="231F20"/>
        </w:rPr>
        <w:t>to</w:t>
      </w:r>
      <w:r>
        <w:rPr>
          <w:color w:val="231F20"/>
          <w:spacing w:val="-22"/>
        </w:rPr>
        <w:t xml:space="preserve"> </w:t>
      </w:r>
      <w:r>
        <w:rPr>
          <w:color w:val="231F20"/>
        </w:rPr>
        <w:t>for</w:t>
      </w:r>
      <w:r>
        <w:rPr>
          <w:color w:val="231F20"/>
          <w:spacing w:val="-22"/>
        </w:rPr>
        <w:t xml:space="preserve"> </w:t>
      </w:r>
      <w:r>
        <w:rPr>
          <w:color w:val="231F20"/>
        </w:rPr>
        <w:t>operational</w:t>
      </w:r>
      <w:r>
        <w:rPr>
          <w:color w:val="231F20"/>
          <w:spacing w:val="-23"/>
        </w:rPr>
        <w:t xml:space="preserve"> </w:t>
      </w:r>
      <w:r>
        <w:rPr>
          <w:color w:val="231F20"/>
        </w:rPr>
        <w:t>planning</w:t>
      </w:r>
      <w:r>
        <w:rPr>
          <w:color w:val="231F20"/>
          <w:spacing w:val="-22"/>
        </w:rPr>
        <w:t xml:space="preserve"> </w:t>
      </w:r>
      <w:r>
        <w:rPr>
          <w:color w:val="231F20"/>
        </w:rPr>
        <w:t>since</w:t>
      </w:r>
      <w:r>
        <w:rPr>
          <w:color w:val="231F20"/>
          <w:spacing w:val="-22"/>
        </w:rPr>
        <w:t xml:space="preserve"> </w:t>
      </w:r>
      <w:r>
        <w:rPr>
          <w:color w:val="231F20"/>
        </w:rPr>
        <w:t>the</w:t>
      </w:r>
      <w:r>
        <w:rPr>
          <w:color w:val="231F20"/>
          <w:spacing w:val="-22"/>
        </w:rPr>
        <w:t xml:space="preserve"> </w:t>
      </w:r>
      <w:r>
        <w:rPr>
          <w:color w:val="231F20"/>
        </w:rPr>
        <w:t>staff</w:t>
      </w:r>
      <w:r>
        <w:rPr>
          <w:color w:val="231F20"/>
          <w:spacing w:val="-22"/>
        </w:rPr>
        <w:t xml:space="preserve"> </w:t>
      </w:r>
      <w:r>
        <w:rPr>
          <w:color w:val="231F20"/>
          <w:spacing w:val="-6"/>
        </w:rPr>
        <w:t xml:space="preserve">in </w:t>
      </w:r>
      <w:r>
        <w:rPr>
          <w:color w:val="231F20"/>
        </w:rPr>
        <w:t xml:space="preserve">the Ministry were not familiar with the existence of the </w:t>
      </w:r>
      <w:r>
        <w:rPr>
          <w:color w:val="231F20"/>
          <w:spacing w:val="-4"/>
        </w:rPr>
        <w:t xml:space="preserve">RSSHDP.I </w:t>
      </w:r>
      <w:r>
        <w:rPr>
          <w:color w:val="231F20"/>
        </w:rPr>
        <w:t>The State Commissioner for Health had however taken steps to ensure its utilization for future planning processes. The RSSHDP I focused on eight strategic priority areas: Leadership and Governance for Health; Health Service Delivery; Human Resources for Health; Financing for Health; National Health Management Information System; Partnerships for Health; Community Participation and Ownership;</w:t>
      </w:r>
      <w:r>
        <w:rPr>
          <w:color w:val="231F20"/>
          <w:spacing w:val="-24"/>
        </w:rPr>
        <w:t xml:space="preserve"> </w:t>
      </w:r>
      <w:r>
        <w:rPr>
          <w:color w:val="231F20"/>
        </w:rPr>
        <w:t>and,</w:t>
      </w:r>
      <w:r>
        <w:rPr>
          <w:color w:val="231F20"/>
          <w:spacing w:val="-23"/>
        </w:rPr>
        <w:t xml:space="preserve"> </w:t>
      </w:r>
      <w:r>
        <w:rPr>
          <w:color w:val="231F20"/>
        </w:rPr>
        <w:t>Research</w:t>
      </w:r>
      <w:r>
        <w:rPr>
          <w:color w:val="231F20"/>
          <w:spacing w:val="-23"/>
        </w:rPr>
        <w:t xml:space="preserve"> </w:t>
      </w:r>
      <w:r>
        <w:rPr>
          <w:color w:val="231F20"/>
        </w:rPr>
        <w:t>for</w:t>
      </w:r>
      <w:r>
        <w:rPr>
          <w:color w:val="231F20"/>
          <w:spacing w:val="-23"/>
        </w:rPr>
        <w:t xml:space="preserve"> </w:t>
      </w:r>
      <w:r>
        <w:rPr>
          <w:color w:val="231F20"/>
        </w:rPr>
        <w:t>Health.</w:t>
      </w:r>
      <w:r>
        <w:rPr>
          <w:color w:val="231F20"/>
          <w:spacing w:val="35"/>
        </w:rPr>
        <w:t xml:space="preserve"> </w:t>
      </w:r>
      <w:r>
        <w:rPr>
          <w:color w:val="231F20"/>
        </w:rPr>
        <w:t>These</w:t>
      </w:r>
      <w:r>
        <w:rPr>
          <w:color w:val="231F20"/>
          <w:spacing w:val="-23"/>
        </w:rPr>
        <w:t xml:space="preserve"> </w:t>
      </w:r>
      <w:r>
        <w:rPr>
          <w:color w:val="231F20"/>
        </w:rPr>
        <w:t>strategic</w:t>
      </w:r>
      <w:r>
        <w:rPr>
          <w:color w:val="231F20"/>
          <w:spacing w:val="-23"/>
        </w:rPr>
        <w:t xml:space="preserve"> </w:t>
      </w:r>
      <w:r>
        <w:rPr>
          <w:color w:val="231F20"/>
        </w:rPr>
        <w:t>areas</w:t>
      </w:r>
      <w:r>
        <w:rPr>
          <w:color w:val="231F20"/>
          <w:spacing w:val="-24"/>
        </w:rPr>
        <w:t xml:space="preserve"> </w:t>
      </w:r>
      <w:r>
        <w:rPr>
          <w:color w:val="231F20"/>
        </w:rPr>
        <w:t>broadly</w:t>
      </w:r>
      <w:r>
        <w:rPr>
          <w:color w:val="231F20"/>
          <w:spacing w:val="-23"/>
        </w:rPr>
        <w:t xml:space="preserve"> </w:t>
      </w:r>
      <w:r>
        <w:rPr>
          <w:color w:val="231F20"/>
        </w:rPr>
        <w:t>cover</w:t>
      </w:r>
      <w:r>
        <w:rPr>
          <w:color w:val="231F20"/>
          <w:spacing w:val="-23"/>
        </w:rPr>
        <w:t xml:space="preserve"> </w:t>
      </w:r>
      <w:r>
        <w:rPr>
          <w:color w:val="231F20"/>
        </w:rPr>
        <w:t>the</w:t>
      </w:r>
      <w:r>
        <w:rPr>
          <w:color w:val="231F20"/>
          <w:spacing w:val="-23"/>
        </w:rPr>
        <w:t xml:space="preserve"> </w:t>
      </w:r>
      <w:r>
        <w:rPr>
          <w:color w:val="231F20"/>
        </w:rPr>
        <w:t>globally</w:t>
      </w:r>
      <w:r>
        <w:rPr>
          <w:color w:val="231F20"/>
          <w:spacing w:val="-23"/>
        </w:rPr>
        <w:t xml:space="preserve"> </w:t>
      </w:r>
      <w:proofErr w:type="spellStart"/>
      <w:r>
        <w:rPr>
          <w:color w:val="231F20"/>
        </w:rPr>
        <w:t>recognised</w:t>
      </w:r>
      <w:proofErr w:type="spellEnd"/>
      <w:r>
        <w:rPr>
          <w:color w:val="231F20"/>
        </w:rPr>
        <w:t xml:space="preserve"> building</w:t>
      </w:r>
      <w:r>
        <w:rPr>
          <w:color w:val="231F20"/>
          <w:spacing w:val="-26"/>
        </w:rPr>
        <w:t xml:space="preserve"> </w:t>
      </w:r>
      <w:r>
        <w:rPr>
          <w:color w:val="231F20"/>
        </w:rPr>
        <w:t>blocks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system</w:t>
      </w:r>
      <w:r>
        <w:rPr>
          <w:color w:val="231F20"/>
          <w:spacing w:val="-25"/>
        </w:rPr>
        <w:t xml:space="preserve"> </w:t>
      </w:r>
      <w:r>
        <w:rPr>
          <w:color w:val="231F20"/>
        </w:rPr>
        <w:t>as</w:t>
      </w:r>
      <w:r>
        <w:rPr>
          <w:color w:val="231F20"/>
          <w:spacing w:val="-25"/>
        </w:rPr>
        <w:t xml:space="preserve"> </w:t>
      </w:r>
      <w:r>
        <w:rPr>
          <w:color w:val="231F20"/>
        </w:rPr>
        <w:t>defined</w:t>
      </w:r>
      <w:r>
        <w:rPr>
          <w:color w:val="231F20"/>
          <w:spacing w:val="-25"/>
        </w:rPr>
        <w:t xml:space="preserve"> </w:t>
      </w:r>
      <w:r>
        <w:rPr>
          <w:color w:val="231F20"/>
        </w:rPr>
        <w:t>by</w:t>
      </w:r>
      <w:r>
        <w:rPr>
          <w:color w:val="231F20"/>
          <w:spacing w:val="-25"/>
        </w:rPr>
        <w:t xml:space="preserve"> </w:t>
      </w:r>
      <w:r>
        <w:rPr>
          <w:color w:val="231F20"/>
        </w:rPr>
        <w:t>the</w:t>
      </w:r>
      <w:r>
        <w:rPr>
          <w:color w:val="231F20"/>
          <w:spacing w:val="-25"/>
        </w:rPr>
        <w:t xml:space="preserve"> </w:t>
      </w:r>
      <w:r>
        <w:rPr>
          <w:color w:val="231F20"/>
        </w:rPr>
        <w:t>World</w:t>
      </w:r>
      <w:r>
        <w:rPr>
          <w:color w:val="231F20"/>
          <w:spacing w:val="-25"/>
        </w:rPr>
        <w:t xml:space="preserve"> </w:t>
      </w:r>
      <w:r>
        <w:rPr>
          <w:color w:val="231F20"/>
        </w:rPr>
        <w:t>Health</w:t>
      </w:r>
      <w:r>
        <w:rPr>
          <w:color w:val="231F20"/>
          <w:spacing w:val="-26"/>
        </w:rPr>
        <w:t xml:space="preserve"> </w:t>
      </w:r>
      <w:r>
        <w:rPr>
          <w:color w:val="231F20"/>
        </w:rPr>
        <w:t>Organisation.</w:t>
      </w:r>
    </w:p>
    <w:p w14:paraId="382C45CF" w14:textId="77777777" w:rsidR="009948F1" w:rsidRDefault="009948F1">
      <w:pPr>
        <w:pStyle w:val="BodyText"/>
        <w:spacing w:before="4"/>
        <w:rPr>
          <w:sz w:val="27"/>
        </w:rPr>
      </w:pPr>
    </w:p>
    <w:p w14:paraId="157EF31D" w14:textId="77777777" w:rsidR="009948F1" w:rsidRDefault="00BC0563">
      <w:pPr>
        <w:pStyle w:val="BodyText"/>
        <w:spacing w:before="1" w:line="273" w:lineRule="auto"/>
        <w:ind w:left="152" w:right="203"/>
        <w:jc w:val="both"/>
      </w:pPr>
      <w:r>
        <w:rPr>
          <w:color w:val="231F20"/>
        </w:rPr>
        <w:t>There was high performance in some areas such as human resource for health, provision of minimum health care package and some areas had poor output e.g. number of children fully immunized, access to anti-retroviral prophylaxis and treatment and community engagement. These performance findings include:</w:t>
      </w:r>
    </w:p>
    <w:p w14:paraId="42415C01" w14:textId="3405DE34" w:rsidR="009948F1" w:rsidRDefault="00BC0563">
      <w:pPr>
        <w:pStyle w:val="BodyText"/>
        <w:spacing w:line="254" w:lineRule="exact"/>
        <w:ind w:left="512"/>
        <w:jc w:val="both"/>
      </w:pPr>
      <w:r>
        <w:rPr>
          <w:rFonts w:ascii="Symbol" w:hAnsi="Symbol"/>
          <w:color w:val="231F20"/>
          <w:spacing w:val="-248"/>
          <w:w w:val="600"/>
        </w:rPr>
        <w:t></w:t>
      </w:r>
      <w:r>
        <w:rPr>
          <w:color w:val="231F20"/>
          <w:w w:val="99"/>
        </w:rPr>
        <w:t xml:space="preserve">The </w:t>
      </w:r>
      <w:proofErr w:type="gramStart"/>
      <w:r>
        <w:rPr>
          <w:color w:val="231F20"/>
          <w:w w:val="99"/>
        </w:rPr>
        <w:t xml:space="preserve">persistence </w:t>
      </w:r>
      <w:r>
        <w:rPr>
          <w:color w:val="231F20"/>
          <w:spacing w:val="-26"/>
          <w:w w:val="99"/>
        </w:rPr>
        <w:t xml:space="preserve"> </w:t>
      </w:r>
      <w:r>
        <w:rPr>
          <w:color w:val="231F20"/>
          <w:w w:val="99"/>
        </w:rPr>
        <w:t>of</w:t>
      </w:r>
      <w:proofErr w:type="gramEnd"/>
      <w:r>
        <w:rPr>
          <w:color w:val="231F20"/>
          <w:w w:val="99"/>
        </w:rPr>
        <w:t xml:space="preserve"> </w:t>
      </w:r>
      <w:r>
        <w:rPr>
          <w:color w:val="231F20"/>
          <w:spacing w:val="-26"/>
          <w:w w:val="99"/>
        </w:rPr>
        <w:t xml:space="preserve"> </w:t>
      </w:r>
      <w:r>
        <w:rPr>
          <w:color w:val="231F20"/>
          <w:w w:val="99"/>
        </w:rPr>
        <w:t>governance</w:t>
      </w:r>
      <w:r>
        <w:rPr>
          <w:color w:val="231F20"/>
        </w:rPr>
        <w:t xml:space="preserve"> </w:t>
      </w:r>
      <w:r>
        <w:rPr>
          <w:color w:val="231F20"/>
          <w:spacing w:val="-25"/>
        </w:rPr>
        <w:t xml:space="preserve"> </w:t>
      </w:r>
      <w:r>
        <w:rPr>
          <w:color w:val="231F20"/>
          <w:w w:val="99"/>
        </w:rPr>
        <w:t>and</w:t>
      </w:r>
      <w:r>
        <w:rPr>
          <w:color w:val="231F20"/>
        </w:rPr>
        <w:t xml:space="preserve"> </w:t>
      </w:r>
      <w:r>
        <w:rPr>
          <w:color w:val="231F20"/>
          <w:spacing w:val="-26"/>
        </w:rPr>
        <w:t xml:space="preserve"> </w:t>
      </w:r>
      <w:r>
        <w:rPr>
          <w:color w:val="231F20"/>
          <w:w w:val="99"/>
        </w:rPr>
        <w:t>accountability</w:t>
      </w:r>
      <w:r>
        <w:rPr>
          <w:color w:val="231F20"/>
        </w:rPr>
        <w:t xml:space="preserve"> </w:t>
      </w:r>
      <w:r>
        <w:rPr>
          <w:color w:val="231F20"/>
          <w:spacing w:val="-25"/>
        </w:rPr>
        <w:t xml:space="preserve"> </w:t>
      </w:r>
      <w:r>
        <w:rPr>
          <w:color w:val="231F20"/>
          <w:w w:val="99"/>
        </w:rPr>
        <w:t>weaknesses</w:t>
      </w:r>
      <w:r>
        <w:rPr>
          <w:color w:val="231F20"/>
        </w:rPr>
        <w:t xml:space="preserve"> </w:t>
      </w:r>
      <w:r>
        <w:rPr>
          <w:color w:val="231F20"/>
          <w:spacing w:val="-26"/>
        </w:rPr>
        <w:t xml:space="preserve"> </w:t>
      </w:r>
      <w:r>
        <w:rPr>
          <w:color w:val="231F20"/>
          <w:w w:val="99"/>
        </w:rPr>
        <w:t>and</w:t>
      </w:r>
      <w:r>
        <w:rPr>
          <w:color w:val="231F20"/>
        </w:rPr>
        <w:t xml:space="preserve"> </w:t>
      </w:r>
      <w:r>
        <w:rPr>
          <w:color w:val="231F20"/>
          <w:spacing w:val="-26"/>
        </w:rPr>
        <w:t xml:space="preserve"> </w:t>
      </w:r>
      <w:r>
        <w:rPr>
          <w:color w:val="231F20"/>
          <w:w w:val="99"/>
        </w:rPr>
        <w:t>poor</w:t>
      </w:r>
      <w:r>
        <w:rPr>
          <w:color w:val="231F20"/>
        </w:rPr>
        <w:t xml:space="preserve"> </w:t>
      </w:r>
      <w:r>
        <w:rPr>
          <w:color w:val="231F20"/>
          <w:spacing w:val="-26"/>
        </w:rPr>
        <w:t xml:space="preserve"> </w:t>
      </w:r>
      <w:r>
        <w:rPr>
          <w:color w:val="231F20"/>
          <w:w w:val="99"/>
        </w:rPr>
        <w:t>coordination</w:t>
      </w:r>
    </w:p>
    <w:p w14:paraId="60735C3E" w14:textId="77777777" w:rsidR="009948F1" w:rsidRDefault="00BC0563">
      <w:pPr>
        <w:pStyle w:val="BodyText"/>
        <w:spacing w:before="33"/>
        <w:ind w:left="872"/>
        <w:jc w:val="both"/>
      </w:pPr>
      <w:r>
        <w:rPr>
          <w:color w:val="231F20"/>
        </w:rPr>
        <w:t xml:space="preserve">across levels of government, </w:t>
      </w:r>
      <w:proofErr w:type="gramStart"/>
      <w:r>
        <w:rPr>
          <w:color w:val="231F20"/>
        </w:rPr>
        <w:t>departments</w:t>
      </w:r>
      <w:proofErr w:type="gramEnd"/>
      <w:r>
        <w:rPr>
          <w:color w:val="231F20"/>
        </w:rPr>
        <w:t xml:space="preserve"> and programs.</w:t>
      </w:r>
    </w:p>
    <w:p w14:paraId="44A6941C" w14:textId="77777777" w:rsidR="009948F1" w:rsidRDefault="00BC0563">
      <w:pPr>
        <w:pStyle w:val="BodyText"/>
        <w:spacing w:before="21" w:line="268" w:lineRule="auto"/>
        <w:ind w:left="872" w:right="204" w:hanging="360"/>
        <w:jc w:val="both"/>
      </w:pPr>
      <w:r>
        <w:rPr>
          <w:rFonts w:ascii="Symbol" w:hAnsi="Symbol"/>
          <w:color w:val="231F20"/>
          <w:spacing w:val="-248"/>
          <w:w w:val="600"/>
        </w:rPr>
        <w:t></w:t>
      </w:r>
      <w:r>
        <w:rPr>
          <w:color w:val="231F20"/>
          <w:w w:val="99"/>
        </w:rPr>
        <w:t>There</w:t>
      </w:r>
      <w:r>
        <w:rPr>
          <w:color w:val="231F20"/>
        </w:rPr>
        <w:t xml:space="preserve"> </w:t>
      </w:r>
      <w:r>
        <w:rPr>
          <w:color w:val="231F20"/>
          <w:w w:val="99"/>
        </w:rPr>
        <w:t>was</w:t>
      </w:r>
      <w:r>
        <w:rPr>
          <w:color w:val="231F20"/>
        </w:rPr>
        <w:t xml:space="preserve"> </w:t>
      </w:r>
      <w:r>
        <w:rPr>
          <w:color w:val="231F20"/>
          <w:w w:val="99"/>
        </w:rPr>
        <w:t>poor</w:t>
      </w:r>
      <w:r>
        <w:rPr>
          <w:color w:val="231F20"/>
        </w:rPr>
        <w:t xml:space="preserve"> </w:t>
      </w:r>
      <w:r>
        <w:rPr>
          <w:color w:val="231F20"/>
          <w:w w:val="99"/>
        </w:rPr>
        <w:t>awareness</w:t>
      </w:r>
      <w:r>
        <w:rPr>
          <w:color w:val="231F20"/>
        </w:rPr>
        <w:t xml:space="preserve"> of the </w:t>
      </w:r>
      <w:r>
        <w:rPr>
          <w:color w:val="231F20"/>
          <w:w w:val="99"/>
        </w:rPr>
        <w:t>existence</w:t>
      </w:r>
      <w:r>
        <w:rPr>
          <w:color w:val="231F20"/>
        </w:rPr>
        <w:t xml:space="preserve"> of strategic </w:t>
      </w:r>
      <w:r>
        <w:rPr>
          <w:color w:val="231F20"/>
          <w:w w:val="99"/>
        </w:rPr>
        <w:t>plans</w:t>
      </w:r>
      <w:r>
        <w:rPr>
          <w:color w:val="231F20"/>
        </w:rPr>
        <w:t xml:space="preserve"> </w:t>
      </w:r>
      <w:r>
        <w:rPr>
          <w:color w:val="231F20"/>
          <w:w w:val="99"/>
        </w:rPr>
        <w:t>by</w:t>
      </w:r>
      <w:r>
        <w:rPr>
          <w:color w:val="231F20"/>
        </w:rPr>
        <w:t xml:space="preserve"> </w:t>
      </w:r>
      <w:r>
        <w:rPr>
          <w:color w:val="231F20"/>
          <w:w w:val="99"/>
        </w:rPr>
        <w:t>some</w:t>
      </w:r>
      <w:r>
        <w:rPr>
          <w:color w:val="231F20"/>
        </w:rPr>
        <w:t xml:space="preserve"> key actors </w:t>
      </w:r>
      <w:r>
        <w:rPr>
          <w:color w:val="231F20"/>
          <w:w w:val="99"/>
        </w:rPr>
        <w:t xml:space="preserve">and </w:t>
      </w:r>
      <w:r>
        <w:rPr>
          <w:color w:val="231F20"/>
          <w:w w:val="105"/>
        </w:rPr>
        <w:t>failure to use the plans for operational plans;</w:t>
      </w:r>
    </w:p>
    <w:p w14:paraId="458CCAFE" w14:textId="77777777" w:rsidR="009948F1" w:rsidRDefault="00BC0563">
      <w:pPr>
        <w:pStyle w:val="BodyText"/>
        <w:spacing w:line="273" w:lineRule="auto"/>
        <w:ind w:left="872" w:right="204" w:hanging="360"/>
        <w:jc w:val="both"/>
      </w:pPr>
      <w:r>
        <w:rPr>
          <w:rFonts w:ascii="Symbol" w:hAnsi="Symbol"/>
          <w:color w:val="231F20"/>
          <w:spacing w:val="-248"/>
          <w:w w:val="600"/>
        </w:rPr>
        <w:t></w:t>
      </w:r>
      <w:r>
        <w:rPr>
          <w:color w:val="231F20"/>
          <w:w w:val="99"/>
        </w:rPr>
        <w:t>There</w:t>
      </w:r>
      <w:r>
        <w:rPr>
          <w:color w:val="231F20"/>
          <w:spacing w:val="-20"/>
        </w:rPr>
        <w:t xml:space="preserve"> </w:t>
      </w:r>
      <w:r>
        <w:rPr>
          <w:color w:val="231F20"/>
          <w:w w:val="99"/>
        </w:rPr>
        <w:t>was</w:t>
      </w:r>
      <w:r>
        <w:rPr>
          <w:color w:val="231F20"/>
          <w:spacing w:val="-20"/>
        </w:rPr>
        <w:t xml:space="preserve"> </w:t>
      </w:r>
      <w:r>
        <w:rPr>
          <w:color w:val="231F20"/>
          <w:w w:val="99"/>
        </w:rPr>
        <w:t>no</w:t>
      </w:r>
      <w:r>
        <w:rPr>
          <w:color w:val="231F20"/>
          <w:spacing w:val="-20"/>
        </w:rPr>
        <w:t xml:space="preserve"> </w:t>
      </w:r>
      <w:r>
        <w:rPr>
          <w:color w:val="231F20"/>
          <w:w w:val="99"/>
        </w:rPr>
        <w:t>existing</w:t>
      </w:r>
      <w:r>
        <w:rPr>
          <w:color w:val="231F20"/>
          <w:spacing w:val="-20"/>
        </w:rPr>
        <w:t xml:space="preserve"> </w:t>
      </w:r>
      <w:r>
        <w:rPr>
          <w:color w:val="231F20"/>
          <w:w w:val="99"/>
        </w:rPr>
        <w:t>data</w:t>
      </w:r>
      <w:r>
        <w:rPr>
          <w:color w:val="231F20"/>
          <w:spacing w:val="-20"/>
        </w:rPr>
        <w:t xml:space="preserve"> </w:t>
      </w:r>
      <w:r>
        <w:rPr>
          <w:color w:val="231F20"/>
          <w:w w:val="99"/>
        </w:rPr>
        <w:t>on</w:t>
      </w:r>
      <w:r>
        <w:rPr>
          <w:color w:val="231F20"/>
          <w:spacing w:val="-20"/>
        </w:rPr>
        <w:t xml:space="preserve"> </w:t>
      </w:r>
      <w:r>
        <w:rPr>
          <w:color w:val="231F20"/>
        </w:rPr>
        <w:t>the</w:t>
      </w:r>
      <w:r>
        <w:rPr>
          <w:color w:val="231F20"/>
          <w:spacing w:val="-20"/>
        </w:rPr>
        <w:t xml:space="preserve"> </w:t>
      </w:r>
      <w:r>
        <w:rPr>
          <w:color w:val="231F20"/>
          <w:w w:val="99"/>
        </w:rPr>
        <w:t>percentage</w:t>
      </w:r>
      <w:r>
        <w:rPr>
          <w:color w:val="231F20"/>
          <w:spacing w:val="-20"/>
        </w:rPr>
        <w:t xml:space="preserve"> </w:t>
      </w:r>
      <w:r>
        <w:rPr>
          <w:color w:val="231F20"/>
        </w:rPr>
        <w:t>of</w:t>
      </w:r>
      <w:r>
        <w:rPr>
          <w:color w:val="231F20"/>
          <w:spacing w:val="-20"/>
        </w:rPr>
        <w:t xml:space="preserve"> </w:t>
      </w:r>
      <w:r>
        <w:rPr>
          <w:color w:val="231F20"/>
          <w:w w:val="99"/>
        </w:rPr>
        <w:t>wards</w:t>
      </w:r>
      <w:r>
        <w:rPr>
          <w:color w:val="231F20"/>
          <w:spacing w:val="-20"/>
        </w:rPr>
        <w:t xml:space="preserve"> </w:t>
      </w:r>
      <w:r>
        <w:rPr>
          <w:color w:val="231F20"/>
          <w:w w:val="99"/>
        </w:rPr>
        <w:t>with</w:t>
      </w:r>
      <w:r>
        <w:rPr>
          <w:color w:val="231F20"/>
          <w:spacing w:val="-20"/>
        </w:rPr>
        <w:t xml:space="preserve"> </w:t>
      </w:r>
      <w:r>
        <w:rPr>
          <w:color w:val="231F20"/>
          <w:w w:val="99"/>
        </w:rPr>
        <w:t>functioning</w:t>
      </w:r>
      <w:r>
        <w:rPr>
          <w:color w:val="231F20"/>
          <w:spacing w:val="-20"/>
        </w:rPr>
        <w:t xml:space="preserve"> </w:t>
      </w:r>
      <w:r>
        <w:rPr>
          <w:color w:val="231F20"/>
          <w:w w:val="99"/>
        </w:rPr>
        <w:t>public</w:t>
      </w:r>
      <w:r>
        <w:rPr>
          <w:color w:val="231F20"/>
          <w:spacing w:val="-20"/>
        </w:rPr>
        <w:t xml:space="preserve"> </w:t>
      </w:r>
      <w:r>
        <w:rPr>
          <w:color w:val="231F20"/>
          <w:w w:val="99"/>
        </w:rPr>
        <w:t>health</w:t>
      </w:r>
      <w:r>
        <w:rPr>
          <w:color w:val="231F20"/>
          <w:spacing w:val="-20"/>
        </w:rPr>
        <w:t xml:space="preserve"> </w:t>
      </w:r>
      <w:r>
        <w:rPr>
          <w:color w:val="231F20"/>
          <w:spacing w:val="-2"/>
          <w:w w:val="99"/>
        </w:rPr>
        <w:t>facility</w:t>
      </w:r>
      <w:r>
        <w:rPr>
          <w:color w:val="231F20"/>
          <w:w w:val="99"/>
        </w:rPr>
        <w:t xml:space="preserve"> </w:t>
      </w:r>
      <w:r>
        <w:rPr>
          <w:color w:val="231F20"/>
        </w:rPr>
        <w:t xml:space="preserve">providing minimum health care package however there were HMIS records of the </w:t>
      </w:r>
      <w:r>
        <w:rPr>
          <w:color w:val="231F20"/>
          <w:spacing w:val="-3"/>
        </w:rPr>
        <w:t xml:space="preserve">total </w:t>
      </w:r>
      <w:r>
        <w:rPr>
          <w:color w:val="231F20"/>
        </w:rPr>
        <w:t>number</w:t>
      </w:r>
      <w:r>
        <w:rPr>
          <w:color w:val="231F20"/>
          <w:spacing w:val="-9"/>
        </w:rPr>
        <w:t xml:space="preserve"> </w:t>
      </w:r>
      <w:r>
        <w:rPr>
          <w:color w:val="231F20"/>
        </w:rPr>
        <w:t>of</w:t>
      </w:r>
      <w:r>
        <w:rPr>
          <w:color w:val="231F20"/>
          <w:spacing w:val="-8"/>
        </w:rPr>
        <w:t xml:space="preserve"> </w:t>
      </w:r>
      <w:r>
        <w:rPr>
          <w:color w:val="231F20"/>
        </w:rPr>
        <w:t>Primary</w:t>
      </w:r>
      <w:r>
        <w:rPr>
          <w:color w:val="231F20"/>
          <w:spacing w:val="-8"/>
        </w:rPr>
        <w:t xml:space="preserve"> </w:t>
      </w:r>
      <w:r>
        <w:rPr>
          <w:color w:val="231F20"/>
        </w:rPr>
        <w:t>Health</w:t>
      </w:r>
      <w:r>
        <w:rPr>
          <w:color w:val="231F20"/>
          <w:spacing w:val="-8"/>
        </w:rPr>
        <w:t xml:space="preserve"> </w:t>
      </w:r>
      <w:r>
        <w:rPr>
          <w:color w:val="231F20"/>
        </w:rPr>
        <w:t>Care</w:t>
      </w:r>
      <w:r>
        <w:rPr>
          <w:color w:val="231F20"/>
          <w:spacing w:val="-8"/>
        </w:rPr>
        <w:t xml:space="preserve"> </w:t>
      </w:r>
      <w:r>
        <w:rPr>
          <w:color w:val="231F20"/>
        </w:rPr>
        <w:t>facilities</w:t>
      </w:r>
      <w:r>
        <w:rPr>
          <w:color w:val="231F20"/>
          <w:spacing w:val="-8"/>
        </w:rPr>
        <w:t xml:space="preserve"> </w:t>
      </w:r>
      <w:r>
        <w:rPr>
          <w:color w:val="231F20"/>
        </w:rPr>
        <w:t>(not</w:t>
      </w:r>
      <w:r>
        <w:rPr>
          <w:color w:val="231F20"/>
          <w:spacing w:val="-8"/>
        </w:rPr>
        <w:t xml:space="preserve"> </w:t>
      </w:r>
      <w:r>
        <w:rPr>
          <w:color w:val="231F20"/>
        </w:rPr>
        <w:t>wards)</w:t>
      </w:r>
      <w:r>
        <w:rPr>
          <w:color w:val="231F20"/>
          <w:spacing w:val="-8"/>
        </w:rPr>
        <w:t xml:space="preserve"> </w:t>
      </w:r>
      <w:r>
        <w:rPr>
          <w:color w:val="231F20"/>
        </w:rPr>
        <w:t>that</w:t>
      </w:r>
      <w:r>
        <w:rPr>
          <w:color w:val="231F20"/>
          <w:spacing w:val="-8"/>
        </w:rPr>
        <w:t xml:space="preserve"> </w:t>
      </w:r>
      <w:r>
        <w:rPr>
          <w:color w:val="231F20"/>
        </w:rPr>
        <w:t>provide</w:t>
      </w:r>
      <w:r>
        <w:rPr>
          <w:color w:val="231F20"/>
          <w:spacing w:val="-8"/>
        </w:rPr>
        <w:t xml:space="preserve"> </w:t>
      </w:r>
      <w:r>
        <w:rPr>
          <w:color w:val="231F20"/>
        </w:rPr>
        <w:t>the</w:t>
      </w:r>
      <w:r>
        <w:rPr>
          <w:color w:val="231F20"/>
          <w:spacing w:val="-8"/>
        </w:rPr>
        <w:t xml:space="preserve"> </w:t>
      </w:r>
      <w:r>
        <w:rPr>
          <w:color w:val="231F20"/>
        </w:rPr>
        <w:t>minimum</w:t>
      </w:r>
      <w:r>
        <w:rPr>
          <w:color w:val="231F20"/>
          <w:spacing w:val="-8"/>
        </w:rPr>
        <w:t xml:space="preserve"> </w:t>
      </w:r>
      <w:r>
        <w:rPr>
          <w:color w:val="231F20"/>
        </w:rPr>
        <w:t>health</w:t>
      </w:r>
      <w:r>
        <w:rPr>
          <w:color w:val="231F20"/>
          <w:spacing w:val="-8"/>
        </w:rPr>
        <w:t xml:space="preserve"> </w:t>
      </w:r>
      <w:r>
        <w:rPr>
          <w:color w:val="231F20"/>
          <w:spacing w:val="-4"/>
        </w:rPr>
        <w:t xml:space="preserve">care </w:t>
      </w:r>
      <w:r>
        <w:rPr>
          <w:color w:val="231F20"/>
        </w:rPr>
        <w:t xml:space="preserve">package and this showed a marked improvement between </w:t>
      </w:r>
      <w:r>
        <w:rPr>
          <w:color w:val="231F20"/>
          <w:spacing w:val="-5"/>
        </w:rPr>
        <w:t xml:space="preserve">2011 </w:t>
      </w:r>
      <w:r>
        <w:rPr>
          <w:color w:val="231F20"/>
        </w:rPr>
        <w:t xml:space="preserve">and 2012; 49.6% </w:t>
      </w:r>
      <w:r>
        <w:rPr>
          <w:color w:val="231F20"/>
          <w:spacing w:val="-5"/>
        </w:rPr>
        <w:t xml:space="preserve">and </w:t>
      </w:r>
      <w:r>
        <w:rPr>
          <w:color w:val="231F20"/>
        </w:rPr>
        <w:t>72.4%</w:t>
      </w:r>
      <w:r>
        <w:rPr>
          <w:color w:val="231F20"/>
          <w:spacing w:val="-26"/>
        </w:rPr>
        <w:t xml:space="preserve"> </w:t>
      </w:r>
      <w:r>
        <w:rPr>
          <w:color w:val="231F20"/>
        </w:rPr>
        <w:t>respectively.</w:t>
      </w:r>
    </w:p>
    <w:p w14:paraId="45543D6D" w14:textId="77777777" w:rsidR="009948F1" w:rsidRDefault="00BC0563">
      <w:pPr>
        <w:pStyle w:val="BodyText"/>
        <w:spacing w:line="250" w:lineRule="exact"/>
        <w:ind w:left="512"/>
        <w:jc w:val="both"/>
      </w:pPr>
      <w:r>
        <w:rPr>
          <w:rFonts w:ascii="Symbol" w:hAnsi="Symbol"/>
          <w:color w:val="231F20"/>
          <w:spacing w:val="-248"/>
          <w:w w:val="600"/>
        </w:rPr>
        <w:t></w:t>
      </w:r>
      <w:r>
        <w:rPr>
          <w:color w:val="231F20"/>
          <w:w w:val="99"/>
        </w:rPr>
        <w:t>There</w:t>
      </w:r>
      <w:r>
        <w:rPr>
          <w:color w:val="231F20"/>
          <w:spacing w:val="-15"/>
        </w:rPr>
        <w:t xml:space="preserve"> </w:t>
      </w:r>
      <w:r>
        <w:rPr>
          <w:color w:val="231F20"/>
          <w:w w:val="99"/>
        </w:rPr>
        <w:t>was</w:t>
      </w:r>
      <w:r>
        <w:rPr>
          <w:color w:val="231F20"/>
          <w:spacing w:val="-15"/>
        </w:rPr>
        <w:t xml:space="preserve"> </w:t>
      </w:r>
      <w:r>
        <w:rPr>
          <w:color w:val="231F20"/>
          <w:w w:val="99"/>
        </w:rPr>
        <w:t>an</w:t>
      </w:r>
      <w:r>
        <w:rPr>
          <w:color w:val="231F20"/>
          <w:spacing w:val="-15"/>
        </w:rPr>
        <w:t xml:space="preserve"> </w:t>
      </w:r>
      <w:r>
        <w:rPr>
          <w:color w:val="231F20"/>
          <w:w w:val="99"/>
        </w:rPr>
        <w:t>increase</w:t>
      </w:r>
      <w:r>
        <w:rPr>
          <w:color w:val="231F20"/>
          <w:spacing w:val="-15"/>
        </w:rPr>
        <w:t xml:space="preserve"> </w:t>
      </w:r>
      <w:r>
        <w:rPr>
          <w:color w:val="231F20"/>
          <w:w w:val="99"/>
        </w:rPr>
        <w:t>in</w:t>
      </w:r>
      <w:r>
        <w:rPr>
          <w:color w:val="231F20"/>
          <w:spacing w:val="-15"/>
        </w:rPr>
        <w:t xml:space="preserve"> </w:t>
      </w:r>
      <w:r>
        <w:rPr>
          <w:color w:val="231F20"/>
        </w:rPr>
        <w:t>the</w:t>
      </w:r>
      <w:r>
        <w:rPr>
          <w:color w:val="231F20"/>
          <w:spacing w:val="-15"/>
        </w:rPr>
        <w:t xml:space="preserve"> </w:t>
      </w:r>
      <w:r>
        <w:rPr>
          <w:color w:val="231F20"/>
          <w:w w:val="99"/>
        </w:rPr>
        <w:t>number</w:t>
      </w:r>
      <w:r>
        <w:rPr>
          <w:color w:val="231F20"/>
          <w:spacing w:val="-15"/>
        </w:rPr>
        <w:t xml:space="preserve"> </w:t>
      </w:r>
      <w:r>
        <w:rPr>
          <w:color w:val="231F20"/>
        </w:rPr>
        <w:t>of</w:t>
      </w:r>
      <w:r>
        <w:rPr>
          <w:color w:val="231F20"/>
          <w:spacing w:val="-15"/>
        </w:rPr>
        <w:t xml:space="preserve"> </w:t>
      </w:r>
      <w:r>
        <w:rPr>
          <w:color w:val="231F20"/>
          <w:w w:val="99"/>
        </w:rPr>
        <w:t>registered</w:t>
      </w:r>
      <w:r>
        <w:rPr>
          <w:color w:val="231F20"/>
          <w:spacing w:val="-15"/>
        </w:rPr>
        <w:t xml:space="preserve"> </w:t>
      </w:r>
      <w:r>
        <w:rPr>
          <w:color w:val="231F20"/>
          <w:w w:val="99"/>
        </w:rPr>
        <w:t>medical</w:t>
      </w:r>
      <w:r>
        <w:rPr>
          <w:color w:val="231F20"/>
          <w:spacing w:val="-15"/>
        </w:rPr>
        <w:t xml:space="preserve"> </w:t>
      </w:r>
      <w:r>
        <w:rPr>
          <w:color w:val="231F20"/>
        </w:rPr>
        <w:t>doctors</w:t>
      </w:r>
      <w:r>
        <w:rPr>
          <w:color w:val="231F20"/>
          <w:spacing w:val="-15"/>
        </w:rPr>
        <w:t xml:space="preserve"> </w:t>
      </w:r>
      <w:r>
        <w:rPr>
          <w:color w:val="231F20"/>
          <w:w w:val="99"/>
        </w:rPr>
        <w:t>and</w:t>
      </w:r>
      <w:r>
        <w:rPr>
          <w:color w:val="231F20"/>
          <w:spacing w:val="-15"/>
        </w:rPr>
        <w:t xml:space="preserve"> </w:t>
      </w:r>
      <w:r>
        <w:rPr>
          <w:color w:val="231F20"/>
          <w:w w:val="99"/>
        </w:rPr>
        <w:t>nurses</w:t>
      </w:r>
      <w:r>
        <w:rPr>
          <w:color w:val="231F20"/>
          <w:spacing w:val="-15"/>
        </w:rPr>
        <w:t xml:space="preserve"> </w:t>
      </w:r>
      <w:r>
        <w:rPr>
          <w:color w:val="231F20"/>
          <w:w w:val="99"/>
        </w:rPr>
        <w:t>in</w:t>
      </w:r>
      <w:r>
        <w:rPr>
          <w:color w:val="231F20"/>
          <w:spacing w:val="-15"/>
        </w:rPr>
        <w:t xml:space="preserve"> </w:t>
      </w:r>
      <w:r>
        <w:rPr>
          <w:color w:val="231F20"/>
        </w:rPr>
        <w:t>the</w:t>
      </w:r>
      <w:r>
        <w:rPr>
          <w:color w:val="231F20"/>
          <w:spacing w:val="-15"/>
        </w:rPr>
        <w:t xml:space="preserve"> </w:t>
      </w:r>
      <w:r>
        <w:rPr>
          <w:color w:val="231F20"/>
        </w:rPr>
        <w:t>State</w:t>
      </w:r>
    </w:p>
    <w:p w14:paraId="4BC55F8E" w14:textId="77777777" w:rsidR="009948F1" w:rsidRDefault="00BC0563">
      <w:pPr>
        <w:pStyle w:val="BodyText"/>
        <w:spacing w:before="25" w:line="273" w:lineRule="auto"/>
        <w:ind w:left="872" w:right="204"/>
        <w:jc w:val="both"/>
      </w:pPr>
      <w:r>
        <w:rPr>
          <w:color w:val="231F20"/>
        </w:rPr>
        <w:t>by</w:t>
      </w:r>
      <w:r>
        <w:rPr>
          <w:color w:val="231F20"/>
          <w:spacing w:val="-7"/>
        </w:rPr>
        <w:t xml:space="preserve"> </w:t>
      </w:r>
      <w:r>
        <w:rPr>
          <w:color w:val="231F20"/>
        </w:rPr>
        <w:t>2010-2012,</w:t>
      </w:r>
      <w:r>
        <w:rPr>
          <w:color w:val="231F20"/>
          <w:spacing w:val="-7"/>
        </w:rPr>
        <w:t xml:space="preserve"> </w:t>
      </w:r>
      <w:r>
        <w:rPr>
          <w:color w:val="231F20"/>
        </w:rPr>
        <w:t>with</w:t>
      </w:r>
      <w:r>
        <w:rPr>
          <w:color w:val="231F20"/>
          <w:spacing w:val="-7"/>
        </w:rPr>
        <w:t xml:space="preserve"> </w:t>
      </w:r>
      <w:r>
        <w:rPr>
          <w:color w:val="231F20"/>
        </w:rPr>
        <w:t>current</w:t>
      </w:r>
      <w:r>
        <w:rPr>
          <w:color w:val="231F20"/>
          <w:spacing w:val="-7"/>
        </w:rPr>
        <w:t xml:space="preserve"> </w:t>
      </w:r>
      <w:r>
        <w:rPr>
          <w:color w:val="231F20"/>
        </w:rPr>
        <w:t>ratios</w:t>
      </w:r>
      <w:r>
        <w:rPr>
          <w:color w:val="231F20"/>
          <w:spacing w:val="-7"/>
        </w:rPr>
        <w:t xml:space="preserve"> </w:t>
      </w:r>
      <w:r>
        <w:rPr>
          <w:color w:val="231F20"/>
        </w:rPr>
        <w:t>of:</w:t>
      </w:r>
      <w:r>
        <w:rPr>
          <w:color w:val="231F20"/>
          <w:spacing w:val="-7"/>
        </w:rPr>
        <w:t xml:space="preserve"> </w:t>
      </w:r>
      <w:r>
        <w:rPr>
          <w:color w:val="231F20"/>
        </w:rPr>
        <w:t>1:2000</w:t>
      </w:r>
      <w:r>
        <w:rPr>
          <w:color w:val="231F20"/>
          <w:spacing w:val="-7"/>
        </w:rPr>
        <w:t xml:space="preserve"> </w:t>
      </w:r>
      <w:r>
        <w:rPr>
          <w:color w:val="231F20"/>
        </w:rPr>
        <w:t>(Nurses)</w:t>
      </w:r>
      <w:r>
        <w:rPr>
          <w:color w:val="231F20"/>
          <w:spacing w:val="-7"/>
        </w:rPr>
        <w:t xml:space="preserve"> </w:t>
      </w:r>
      <w:r>
        <w:rPr>
          <w:color w:val="231F20"/>
        </w:rPr>
        <w:t>and</w:t>
      </w:r>
      <w:r>
        <w:rPr>
          <w:color w:val="231F20"/>
          <w:spacing w:val="-6"/>
        </w:rPr>
        <w:t xml:space="preserve"> </w:t>
      </w:r>
      <w:r>
        <w:rPr>
          <w:color w:val="231F20"/>
        </w:rPr>
        <w:t>1:3500</w:t>
      </w:r>
      <w:r>
        <w:rPr>
          <w:color w:val="231F20"/>
          <w:spacing w:val="-7"/>
        </w:rPr>
        <w:t xml:space="preserve"> </w:t>
      </w:r>
      <w:r>
        <w:rPr>
          <w:color w:val="231F20"/>
        </w:rPr>
        <w:t>(Doctors)</w:t>
      </w:r>
      <w:r>
        <w:rPr>
          <w:color w:val="231F20"/>
          <w:spacing w:val="-7"/>
        </w:rPr>
        <w:t xml:space="preserve"> </w:t>
      </w:r>
      <w:r>
        <w:rPr>
          <w:color w:val="231F20"/>
        </w:rPr>
        <w:t>exceeding</w:t>
      </w:r>
      <w:r>
        <w:rPr>
          <w:color w:val="231F20"/>
          <w:spacing w:val="-7"/>
        </w:rPr>
        <w:t xml:space="preserve"> </w:t>
      </w:r>
      <w:r>
        <w:rPr>
          <w:color w:val="231F20"/>
          <w:spacing w:val="-5"/>
        </w:rPr>
        <w:t xml:space="preserve">the </w:t>
      </w:r>
      <w:r>
        <w:rPr>
          <w:color w:val="231F20"/>
        </w:rPr>
        <w:t>State</w:t>
      </w:r>
      <w:r>
        <w:rPr>
          <w:color w:val="231F20"/>
          <w:spacing w:val="-25"/>
        </w:rPr>
        <w:t xml:space="preserve"> </w:t>
      </w:r>
      <w:r>
        <w:rPr>
          <w:color w:val="231F20"/>
        </w:rPr>
        <w:t>target</w:t>
      </w:r>
      <w:r>
        <w:rPr>
          <w:color w:val="231F20"/>
          <w:spacing w:val="-25"/>
        </w:rPr>
        <w:t xml:space="preserve"> </w:t>
      </w:r>
      <w:r>
        <w:rPr>
          <w:color w:val="231F20"/>
        </w:rPr>
        <w:t>of</w:t>
      </w:r>
      <w:r>
        <w:rPr>
          <w:color w:val="231F20"/>
          <w:spacing w:val="-25"/>
        </w:rPr>
        <w:t xml:space="preserve"> </w:t>
      </w:r>
      <w:r>
        <w:rPr>
          <w:color w:val="231F20"/>
        </w:rPr>
        <w:t>1:</w:t>
      </w:r>
      <w:r>
        <w:rPr>
          <w:color w:val="231F20"/>
          <w:spacing w:val="-25"/>
        </w:rPr>
        <w:t xml:space="preserve"> </w:t>
      </w:r>
      <w:r>
        <w:rPr>
          <w:color w:val="231F20"/>
        </w:rPr>
        <w:t>5000</w:t>
      </w:r>
      <w:r>
        <w:rPr>
          <w:color w:val="231F20"/>
          <w:spacing w:val="-25"/>
        </w:rPr>
        <w:t xml:space="preserve"> </w:t>
      </w:r>
      <w:r>
        <w:rPr>
          <w:color w:val="231F20"/>
        </w:rPr>
        <w:t>by</w:t>
      </w:r>
      <w:r>
        <w:rPr>
          <w:color w:val="231F20"/>
          <w:spacing w:val="-25"/>
        </w:rPr>
        <w:t xml:space="preserve"> </w:t>
      </w:r>
      <w:r>
        <w:rPr>
          <w:color w:val="231F20"/>
        </w:rPr>
        <w:t>2013.</w:t>
      </w:r>
    </w:p>
    <w:p w14:paraId="6DEFA612" w14:textId="77777777" w:rsidR="009948F1" w:rsidRDefault="009948F1">
      <w:pPr>
        <w:pStyle w:val="BodyText"/>
        <w:rPr>
          <w:sz w:val="25"/>
        </w:rPr>
      </w:pPr>
    </w:p>
    <w:p w14:paraId="1DC2F86D" w14:textId="77777777" w:rsidR="009948F1" w:rsidRDefault="00BC0563">
      <w:pPr>
        <w:pStyle w:val="BodyText"/>
        <w:spacing w:before="1" w:line="273" w:lineRule="auto"/>
        <w:ind w:left="152" w:right="204"/>
        <w:jc w:val="both"/>
      </w:pPr>
      <w:r>
        <w:rPr>
          <w:color w:val="231F20"/>
        </w:rPr>
        <w:t>Health insurance coverage remains low as out-of-pocket spending still remains the dominant method</w:t>
      </w:r>
      <w:r>
        <w:rPr>
          <w:color w:val="231F20"/>
          <w:spacing w:val="-12"/>
        </w:rPr>
        <w:t xml:space="preserve"> </w:t>
      </w:r>
      <w:r>
        <w:rPr>
          <w:color w:val="231F20"/>
        </w:rPr>
        <w:t>of</w:t>
      </w:r>
      <w:r>
        <w:rPr>
          <w:color w:val="231F20"/>
          <w:spacing w:val="-11"/>
        </w:rPr>
        <w:t xml:space="preserve"> </w:t>
      </w:r>
      <w:r>
        <w:rPr>
          <w:color w:val="231F20"/>
        </w:rPr>
        <w:t>health</w:t>
      </w:r>
      <w:r>
        <w:rPr>
          <w:color w:val="231F20"/>
          <w:spacing w:val="-11"/>
        </w:rPr>
        <w:t xml:space="preserve"> </w:t>
      </w:r>
      <w:r>
        <w:rPr>
          <w:color w:val="231F20"/>
        </w:rPr>
        <w:t>care</w:t>
      </w:r>
      <w:r>
        <w:rPr>
          <w:color w:val="231F20"/>
          <w:spacing w:val="-12"/>
        </w:rPr>
        <w:t xml:space="preserve"> </w:t>
      </w:r>
      <w:r>
        <w:rPr>
          <w:color w:val="231F20"/>
        </w:rPr>
        <w:t>financing.</w:t>
      </w:r>
      <w:r>
        <w:rPr>
          <w:color w:val="231F20"/>
          <w:spacing w:val="-11"/>
        </w:rPr>
        <w:t xml:space="preserve"> </w:t>
      </w:r>
      <w:r>
        <w:rPr>
          <w:color w:val="231F20"/>
        </w:rPr>
        <w:t>We</w:t>
      </w:r>
      <w:r>
        <w:rPr>
          <w:color w:val="231F20"/>
          <w:spacing w:val="-11"/>
        </w:rPr>
        <w:t xml:space="preserve"> </w:t>
      </w:r>
      <w:r>
        <w:rPr>
          <w:color w:val="231F20"/>
        </w:rPr>
        <w:t>note</w:t>
      </w:r>
      <w:r>
        <w:rPr>
          <w:color w:val="231F20"/>
          <w:spacing w:val="-12"/>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proportion</w:t>
      </w:r>
      <w:r>
        <w:rPr>
          <w:color w:val="231F20"/>
          <w:spacing w:val="-12"/>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State</w:t>
      </w:r>
      <w:r>
        <w:rPr>
          <w:color w:val="231F20"/>
          <w:spacing w:val="-12"/>
        </w:rPr>
        <w:t xml:space="preserve"> </w:t>
      </w:r>
      <w:r>
        <w:rPr>
          <w:color w:val="231F20"/>
        </w:rPr>
        <w:t>2012</w:t>
      </w:r>
      <w:r>
        <w:rPr>
          <w:color w:val="231F20"/>
          <w:spacing w:val="-11"/>
        </w:rPr>
        <w:t xml:space="preserve"> </w:t>
      </w:r>
      <w:r>
        <w:rPr>
          <w:color w:val="231F20"/>
        </w:rPr>
        <w:t>budget</w:t>
      </w:r>
      <w:r>
        <w:rPr>
          <w:color w:val="231F20"/>
          <w:spacing w:val="-11"/>
        </w:rPr>
        <w:t xml:space="preserve"> </w:t>
      </w:r>
      <w:r>
        <w:rPr>
          <w:color w:val="231F20"/>
        </w:rPr>
        <w:t>allocated</w:t>
      </w:r>
      <w:r>
        <w:rPr>
          <w:color w:val="231F20"/>
          <w:spacing w:val="-12"/>
        </w:rPr>
        <w:t xml:space="preserve"> </w:t>
      </w:r>
      <w:r>
        <w:rPr>
          <w:color w:val="231F20"/>
        </w:rPr>
        <w:t xml:space="preserve">to health was approximately 5.8% (SSHDP: JAR/MTR 2012) an increase from previous </w:t>
      </w:r>
      <w:r>
        <w:rPr>
          <w:color w:val="231F20"/>
          <w:spacing w:val="-3"/>
        </w:rPr>
        <w:t xml:space="preserve">year's </w:t>
      </w:r>
      <w:r>
        <w:rPr>
          <w:color w:val="231F20"/>
        </w:rPr>
        <w:t xml:space="preserve">allocation as recorded in the </w:t>
      </w:r>
      <w:r>
        <w:rPr>
          <w:color w:val="231F20"/>
          <w:spacing w:val="-5"/>
        </w:rPr>
        <w:t xml:space="preserve">2011 </w:t>
      </w:r>
      <w:r>
        <w:rPr>
          <w:color w:val="231F20"/>
        </w:rPr>
        <w:t>JAR report which ranged between 4.6 to 4.9%. A significant proportion</w:t>
      </w:r>
      <w:r>
        <w:rPr>
          <w:color w:val="231F20"/>
          <w:spacing w:val="-26"/>
        </w:rPr>
        <w:t xml:space="preserve"> </w:t>
      </w:r>
      <w:r>
        <w:rPr>
          <w:color w:val="231F20"/>
        </w:rPr>
        <w:t>of</w:t>
      </w:r>
      <w:r>
        <w:rPr>
          <w:color w:val="231F20"/>
          <w:spacing w:val="-25"/>
        </w:rPr>
        <w:t xml:space="preserve"> </w:t>
      </w:r>
      <w:r>
        <w:rPr>
          <w:color w:val="231F20"/>
        </w:rPr>
        <w:t>this</w:t>
      </w:r>
      <w:r>
        <w:rPr>
          <w:color w:val="231F20"/>
          <w:spacing w:val="-25"/>
        </w:rPr>
        <w:t xml:space="preserve"> </w:t>
      </w:r>
      <w:r>
        <w:rPr>
          <w:color w:val="231F20"/>
        </w:rPr>
        <w:t>(over</w:t>
      </w:r>
      <w:r>
        <w:rPr>
          <w:color w:val="231F20"/>
          <w:spacing w:val="-25"/>
        </w:rPr>
        <w:t xml:space="preserve"> </w:t>
      </w:r>
      <w:r>
        <w:rPr>
          <w:color w:val="231F20"/>
        </w:rPr>
        <w:t>95%)</w:t>
      </w:r>
      <w:r>
        <w:rPr>
          <w:color w:val="231F20"/>
          <w:spacing w:val="-25"/>
        </w:rPr>
        <w:t xml:space="preserve"> </w:t>
      </w:r>
      <w:r>
        <w:rPr>
          <w:color w:val="231F20"/>
        </w:rPr>
        <w:t>was</w:t>
      </w:r>
      <w:r>
        <w:rPr>
          <w:color w:val="231F20"/>
          <w:spacing w:val="-25"/>
        </w:rPr>
        <w:t xml:space="preserve"> </w:t>
      </w:r>
      <w:r>
        <w:rPr>
          <w:color w:val="231F20"/>
        </w:rPr>
        <w:t>allocated</w:t>
      </w:r>
      <w:r>
        <w:rPr>
          <w:color w:val="231F20"/>
          <w:spacing w:val="-25"/>
        </w:rPr>
        <w:t xml:space="preserve"> </w:t>
      </w:r>
      <w:r>
        <w:rPr>
          <w:color w:val="231F20"/>
        </w:rPr>
        <w:t>to</w:t>
      </w:r>
      <w:r>
        <w:rPr>
          <w:color w:val="231F20"/>
          <w:spacing w:val="-25"/>
        </w:rPr>
        <w:t xml:space="preserve"> </w:t>
      </w:r>
      <w:r>
        <w:rPr>
          <w:color w:val="231F20"/>
        </w:rPr>
        <w:t>capital</w:t>
      </w:r>
      <w:r>
        <w:rPr>
          <w:color w:val="231F20"/>
          <w:spacing w:val="-25"/>
        </w:rPr>
        <w:t xml:space="preserve"> </w:t>
      </w:r>
      <w:r>
        <w:rPr>
          <w:color w:val="231F20"/>
        </w:rPr>
        <w:t>projects</w:t>
      </w:r>
      <w:r>
        <w:rPr>
          <w:color w:val="231F20"/>
          <w:spacing w:val="-25"/>
        </w:rPr>
        <w:t xml:space="preserve"> </w:t>
      </w:r>
      <w:r>
        <w:rPr>
          <w:color w:val="231F20"/>
        </w:rPr>
        <w:t>and</w:t>
      </w:r>
      <w:r>
        <w:rPr>
          <w:color w:val="231F20"/>
          <w:spacing w:val="-25"/>
        </w:rPr>
        <w:t xml:space="preserve"> </w:t>
      </w:r>
      <w:r>
        <w:rPr>
          <w:color w:val="231F20"/>
        </w:rPr>
        <w:t>personnel</w:t>
      </w:r>
      <w:r>
        <w:rPr>
          <w:color w:val="231F20"/>
          <w:spacing w:val="-25"/>
        </w:rPr>
        <w:t xml:space="preserve"> </w:t>
      </w:r>
      <w:r>
        <w:rPr>
          <w:color w:val="231F20"/>
        </w:rPr>
        <w:t>cost.</w:t>
      </w:r>
    </w:p>
    <w:p w14:paraId="5BC1390D" w14:textId="77777777" w:rsidR="009948F1" w:rsidRDefault="009948F1">
      <w:pPr>
        <w:pStyle w:val="BodyText"/>
        <w:rPr>
          <w:sz w:val="25"/>
        </w:rPr>
      </w:pPr>
    </w:p>
    <w:p w14:paraId="1EB67E31" w14:textId="77777777" w:rsidR="009948F1" w:rsidRDefault="00BC0563">
      <w:pPr>
        <w:pStyle w:val="BodyText"/>
        <w:spacing w:line="273" w:lineRule="auto"/>
        <w:ind w:left="151" w:right="204"/>
        <w:jc w:val="both"/>
      </w:pPr>
      <w:r>
        <w:rPr>
          <w:color w:val="231F20"/>
        </w:rPr>
        <w:t>There was failure to meet targets for most of the indicators, including coverage indicators. The percentage</w:t>
      </w:r>
      <w:r>
        <w:rPr>
          <w:color w:val="231F20"/>
          <w:spacing w:val="-22"/>
        </w:rPr>
        <w:t xml:space="preserve"> </w:t>
      </w:r>
      <w:r>
        <w:rPr>
          <w:color w:val="231F20"/>
        </w:rPr>
        <w:t>of</w:t>
      </w:r>
      <w:r>
        <w:rPr>
          <w:color w:val="231F20"/>
          <w:spacing w:val="-21"/>
        </w:rPr>
        <w:t xml:space="preserve"> </w:t>
      </w:r>
      <w:r>
        <w:rPr>
          <w:color w:val="231F20"/>
        </w:rPr>
        <w:t>disease</w:t>
      </w:r>
      <w:r>
        <w:rPr>
          <w:color w:val="231F20"/>
          <w:spacing w:val="-21"/>
        </w:rPr>
        <w:t xml:space="preserve"> </w:t>
      </w:r>
      <w:r>
        <w:rPr>
          <w:color w:val="231F20"/>
        </w:rPr>
        <w:t>surveillance</w:t>
      </w:r>
      <w:r>
        <w:rPr>
          <w:color w:val="231F20"/>
          <w:spacing w:val="-22"/>
        </w:rPr>
        <w:t xml:space="preserve"> </w:t>
      </w:r>
      <w:r>
        <w:rPr>
          <w:color w:val="231F20"/>
        </w:rPr>
        <w:t>reports</w:t>
      </w:r>
      <w:r>
        <w:rPr>
          <w:color w:val="231F20"/>
          <w:spacing w:val="-21"/>
        </w:rPr>
        <w:t xml:space="preserve"> </w:t>
      </w:r>
      <w:r>
        <w:rPr>
          <w:color w:val="231F20"/>
        </w:rPr>
        <w:t>that</w:t>
      </w:r>
      <w:r>
        <w:rPr>
          <w:color w:val="231F20"/>
          <w:spacing w:val="-21"/>
        </w:rPr>
        <w:t xml:space="preserve"> </w:t>
      </w:r>
      <w:r>
        <w:rPr>
          <w:color w:val="231F20"/>
        </w:rPr>
        <w:t>were</w:t>
      </w:r>
      <w:r>
        <w:rPr>
          <w:color w:val="231F20"/>
          <w:spacing w:val="-22"/>
        </w:rPr>
        <w:t xml:space="preserve"> </w:t>
      </w:r>
      <w:r>
        <w:rPr>
          <w:color w:val="231F20"/>
        </w:rPr>
        <w:t>submitted</w:t>
      </w:r>
      <w:r>
        <w:rPr>
          <w:color w:val="231F20"/>
          <w:spacing w:val="-21"/>
        </w:rPr>
        <w:t xml:space="preserve"> </w:t>
      </w:r>
      <w:r>
        <w:rPr>
          <w:color w:val="231F20"/>
        </w:rPr>
        <w:t>timely</w:t>
      </w:r>
      <w:r>
        <w:rPr>
          <w:color w:val="231F20"/>
          <w:spacing w:val="-21"/>
        </w:rPr>
        <w:t xml:space="preserve"> </w:t>
      </w:r>
      <w:r>
        <w:rPr>
          <w:color w:val="231F20"/>
        </w:rPr>
        <w:t>was</w:t>
      </w:r>
      <w:r>
        <w:rPr>
          <w:color w:val="231F20"/>
          <w:spacing w:val="-22"/>
        </w:rPr>
        <w:t xml:space="preserve"> </w:t>
      </w:r>
      <w:r>
        <w:rPr>
          <w:color w:val="231F20"/>
        </w:rPr>
        <w:t>82.6%,</w:t>
      </w:r>
      <w:r>
        <w:rPr>
          <w:color w:val="231F20"/>
          <w:spacing w:val="-21"/>
        </w:rPr>
        <w:t xml:space="preserve"> </w:t>
      </w:r>
      <w:r>
        <w:rPr>
          <w:color w:val="231F20"/>
        </w:rPr>
        <w:t>an</w:t>
      </w:r>
      <w:r>
        <w:rPr>
          <w:color w:val="231F20"/>
          <w:spacing w:val="-21"/>
        </w:rPr>
        <w:t xml:space="preserve"> </w:t>
      </w:r>
      <w:r>
        <w:rPr>
          <w:color w:val="231F20"/>
        </w:rPr>
        <w:t>improvement from</w:t>
      </w:r>
      <w:r>
        <w:rPr>
          <w:color w:val="231F20"/>
          <w:spacing w:val="-11"/>
        </w:rPr>
        <w:t xml:space="preserve"> </w:t>
      </w:r>
      <w:r>
        <w:rPr>
          <w:color w:val="231F20"/>
        </w:rPr>
        <w:t>the</w:t>
      </w:r>
      <w:r>
        <w:rPr>
          <w:color w:val="231F20"/>
          <w:spacing w:val="-11"/>
        </w:rPr>
        <w:t xml:space="preserve"> </w:t>
      </w:r>
      <w:r>
        <w:rPr>
          <w:color w:val="231F20"/>
        </w:rPr>
        <w:t>baseline</w:t>
      </w:r>
      <w:r>
        <w:rPr>
          <w:color w:val="231F20"/>
          <w:spacing w:val="-11"/>
        </w:rPr>
        <w:t xml:space="preserve"> </w:t>
      </w:r>
      <w:r>
        <w:rPr>
          <w:color w:val="231F20"/>
        </w:rPr>
        <w:t>and</w:t>
      </w:r>
      <w:r>
        <w:rPr>
          <w:color w:val="231F20"/>
          <w:spacing w:val="-11"/>
        </w:rPr>
        <w:t xml:space="preserve"> </w:t>
      </w:r>
      <w:r>
        <w:rPr>
          <w:color w:val="231F20"/>
          <w:spacing w:val="-5"/>
        </w:rPr>
        <w:t>2011</w:t>
      </w:r>
      <w:r>
        <w:rPr>
          <w:color w:val="231F20"/>
          <w:spacing w:val="-11"/>
        </w:rPr>
        <w:t xml:space="preserve"> </w:t>
      </w:r>
      <w:r>
        <w:rPr>
          <w:color w:val="231F20"/>
        </w:rPr>
        <w:t>values</w:t>
      </w:r>
      <w:r>
        <w:rPr>
          <w:color w:val="231F20"/>
          <w:spacing w:val="-11"/>
        </w:rPr>
        <w:t xml:space="preserve"> </w:t>
      </w:r>
      <w:r>
        <w:rPr>
          <w:color w:val="231F20"/>
        </w:rPr>
        <w:t>of</w:t>
      </w:r>
      <w:r>
        <w:rPr>
          <w:color w:val="231F20"/>
          <w:spacing w:val="-11"/>
        </w:rPr>
        <w:t xml:space="preserve"> </w:t>
      </w:r>
      <w:r>
        <w:rPr>
          <w:color w:val="231F20"/>
        </w:rPr>
        <w:t>approximately</w:t>
      </w:r>
      <w:r>
        <w:rPr>
          <w:color w:val="231F20"/>
          <w:spacing w:val="-11"/>
        </w:rPr>
        <w:t xml:space="preserve"> </w:t>
      </w:r>
      <w:r>
        <w:rPr>
          <w:color w:val="231F20"/>
        </w:rPr>
        <w:t>70%</w:t>
      </w:r>
      <w:r>
        <w:rPr>
          <w:color w:val="231F20"/>
          <w:spacing w:val="-10"/>
        </w:rPr>
        <w:t xml:space="preserve"> </w:t>
      </w:r>
      <w:r>
        <w:rPr>
          <w:color w:val="231F20"/>
        </w:rPr>
        <w:t>(HMIS</w:t>
      </w:r>
      <w:r>
        <w:rPr>
          <w:color w:val="231F20"/>
          <w:spacing w:val="-23"/>
        </w:rPr>
        <w:t xml:space="preserve"> </w:t>
      </w:r>
      <w:r>
        <w:rPr>
          <w:color w:val="231F20"/>
        </w:rPr>
        <w:t>Annual</w:t>
      </w:r>
      <w:r>
        <w:rPr>
          <w:color w:val="231F20"/>
          <w:spacing w:val="-11"/>
        </w:rPr>
        <w:t xml:space="preserve"> </w:t>
      </w:r>
      <w:r>
        <w:rPr>
          <w:color w:val="231F20"/>
        </w:rPr>
        <w:t>Reports).</w:t>
      </w:r>
      <w:r>
        <w:rPr>
          <w:color w:val="231F20"/>
          <w:spacing w:val="-15"/>
        </w:rPr>
        <w:t xml:space="preserve"> </w:t>
      </w:r>
      <w:r>
        <w:rPr>
          <w:color w:val="231F20"/>
        </w:rPr>
        <w:t>This</w:t>
      </w:r>
      <w:r>
        <w:rPr>
          <w:color w:val="231F20"/>
          <w:spacing w:val="-11"/>
        </w:rPr>
        <w:t xml:space="preserve"> </w:t>
      </w:r>
      <w:r>
        <w:rPr>
          <w:color w:val="231F20"/>
        </w:rPr>
        <w:t>was</w:t>
      </w:r>
      <w:r>
        <w:rPr>
          <w:color w:val="231F20"/>
          <w:spacing w:val="-11"/>
        </w:rPr>
        <w:t xml:space="preserve"> </w:t>
      </w:r>
      <w:r>
        <w:rPr>
          <w:color w:val="231F20"/>
        </w:rPr>
        <w:t>due</w:t>
      </w:r>
      <w:r>
        <w:rPr>
          <w:color w:val="231F20"/>
          <w:spacing w:val="-11"/>
        </w:rPr>
        <w:t xml:space="preserve"> </w:t>
      </w:r>
      <w:r>
        <w:rPr>
          <w:color w:val="231F20"/>
        </w:rPr>
        <w:t xml:space="preserve">to the efforts made to strengthen HMIS in the State by training of Records Officers, procurement </w:t>
      </w:r>
      <w:r>
        <w:rPr>
          <w:color w:val="231F20"/>
          <w:spacing w:val="-5"/>
        </w:rPr>
        <w:t xml:space="preserve">of </w:t>
      </w:r>
      <w:r>
        <w:rPr>
          <w:color w:val="231F20"/>
        </w:rPr>
        <w:t>ICT</w:t>
      </w:r>
      <w:r>
        <w:rPr>
          <w:color w:val="231F20"/>
          <w:spacing w:val="-30"/>
        </w:rPr>
        <w:t xml:space="preserve"> </w:t>
      </w:r>
      <w:r>
        <w:rPr>
          <w:color w:val="231F20"/>
        </w:rPr>
        <w:t>equipment</w:t>
      </w:r>
      <w:r>
        <w:rPr>
          <w:color w:val="231F20"/>
          <w:spacing w:val="-25"/>
        </w:rPr>
        <w:t xml:space="preserve"> </w:t>
      </w:r>
      <w:r>
        <w:rPr>
          <w:color w:val="231F20"/>
        </w:rPr>
        <w:t>and</w:t>
      </w:r>
      <w:r>
        <w:rPr>
          <w:color w:val="231F20"/>
          <w:spacing w:val="-25"/>
        </w:rPr>
        <w:t xml:space="preserve"> </w:t>
      </w:r>
      <w:r>
        <w:rPr>
          <w:color w:val="231F20"/>
        </w:rPr>
        <w:t>strengthening</w:t>
      </w:r>
      <w:r>
        <w:rPr>
          <w:color w:val="231F20"/>
          <w:spacing w:val="-25"/>
        </w:rPr>
        <w:t xml:space="preserve"> </w:t>
      </w:r>
      <w:r>
        <w:rPr>
          <w:color w:val="231F20"/>
        </w:rPr>
        <w:t>of</w:t>
      </w:r>
      <w:r>
        <w:rPr>
          <w:color w:val="231F20"/>
          <w:spacing w:val="-25"/>
        </w:rPr>
        <w:t xml:space="preserve"> </w:t>
      </w:r>
      <w:r>
        <w:rPr>
          <w:color w:val="231F20"/>
        </w:rPr>
        <w:t>supervision</w:t>
      </w:r>
      <w:r>
        <w:rPr>
          <w:color w:val="231F20"/>
          <w:spacing w:val="-25"/>
        </w:rPr>
        <w:t xml:space="preserve"> </w:t>
      </w:r>
      <w:r>
        <w:rPr>
          <w:color w:val="231F20"/>
        </w:rPr>
        <w:t>particularly</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LGAs.</w:t>
      </w:r>
    </w:p>
    <w:p w14:paraId="5A13E8CE" w14:textId="77777777" w:rsidR="009948F1" w:rsidRDefault="009948F1">
      <w:pPr>
        <w:pStyle w:val="BodyText"/>
        <w:rPr>
          <w:sz w:val="25"/>
        </w:rPr>
      </w:pPr>
    </w:p>
    <w:p w14:paraId="48D6F9DB" w14:textId="77777777" w:rsidR="009948F1" w:rsidRDefault="00BC0563">
      <w:pPr>
        <w:pStyle w:val="BodyText"/>
        <w:spacing w:before="1" w:line="273" w:lineRule="auto"/>
        <w:ind w:left="151" w:right="204"/>
        <w:jc w:val="both"/>
      </w:pPr>
      <w:r>
        <w:rPr>
          <w:color w:val="231F20"/>
        </w:rPr>
        <w:t>Research for health was also weak in the State with only about 0.02% of the budget spent on research in 2012 (JAR/MTR 2012).</w:t>
      </w:r>
    </w:p>
    <w:p w14:paraId="7A3C2A49" w14:textId="77777777" w:rsidR="009948F1" w:rsidRDefault="009948F1">
      <w:pPr>
        <w:pStyle w:val="BodyText"/>
        <w:rPr>
          <w:sz w:val="25"/>
        </w:rPr>
      </w:pPr>
    </w:p>
    <w:p w14:paraId="712F29A7" w14:textId="77777777" w:rsidR="009948F1" w:rsidRDefault="00BC0563">
      <w:pPr>
        <w:pStyle w:val="BodyText"/>
        <w:spacing w:line="273" w:lineRule="auto"/>
        <w:ind w:left="151" w:right="204"/>
        <w:jc w:val="both"/>
      </w:pPr>
      <w:r>
        <w:rPr>
          <w:color w:val="231F20"/>
        </w:rPr>
        <w:t xml:space="preserve">There was poor engagement of consumers in most PHC facilities since there was no documentation of community participation in facility management despite having </w:t>
      </w:r>
      <w:r>
        <w:rPr>
          <w:color w:val="231F20"/>
          <w:spacing w:val="-3"/>
        </w:rPr>
        <w:t>active</w:t>
      </w:r>
      <w:r>
        <w:rPr>
          <w:color w:val="231F20"/>
          <w:spacing w:val="55"/>
        </w:rPr>
        <w:t xml:space="preserve"> </w:t>
      </w:r>
      <w:r>
        <w:rPr>
          <w:color w:val="231F20"/>
        </w:rPr>
        <w:t>committees (at least 4 meetings per year).</w:t>
      </w:r>
    </w:p>
    <w:p w14:paraId="395DE4AE" w14:textId="77777777" w:rsidR="009948F1" w:rsidRDefault="009948F1">
      <w:pPr>
        <w:pStyle w:val="BodyText"/>
      </w:pPr>
    </w:p>
    <w:p w14:paraId="621AA82C" w14:textId="77777777" w:rsidR="009948F1" w:rsidRDefault="009948F1">
      <w:pPr>
        <w:pStyle w:val="BodyText"/>
        <w:spacing w:before="4"/>
        <w:rPr>
          <w:sz w:val="26"/>
        </w:rPr>
      </w:pPr>
    </w:p>
    <w:p w14:paraId="33B28C55" w14:textId="77777777" w:rsidR="009948F1" w:rsidRDefault="00BC0563">
      <w:pPr>
        <w:spacing w:before="1"/>
        <w:ind w:left="158"/>
        <w:rPr>
          <w:i/>
          <w:sz w:val="16"/>
        </w:rPr>
      </w:pPr>
      <w:r>
        <w:rPr>
          <w:i/>
          <w:color w:val="231F20"/>
          <w:position w:val="5"/>
          <w:sz w:val="12"/>
        </w:rPr>
        <w:t xml:space="preserve">14 </w:t>
      </w:r>
      <w:r>
        <w:rPr>
          <w:i/>
          <w:color w:val="231F20"/>
          <w:sz w:val="16"/>
        </w:rPr>
        <w:t>WHO (2007), World Health Organization, 2007</w:t>
      </w:r>
    </w:p>
    <w:p w14:paraId="63BE6561" w14:textId="77777777" w:rsidR="009948F1" w:rsidRDefault="009948F1">
      <w:pPr>
        <w:rPr>
          <w:sz w:val="16"/>
        </w:rPr>
        <w:sectPr w:rsidR="009948F1">
          <w:pgSz w:w="11910" w:h="16840"/>
          <w:pgMar w:top="1300" w:right="1080" w:bottom="1420" w:left="1120" w:header="0" w:footer="1235" w:gutter="0"/>
          <w:cols w:space="720"/>
        </w:sectPr>
      </w:pPr>
    </w:p>
    <w:p w14:paraId="1A44258A" w14:textId="77777777" w:rsidR="009948F1" w:rsidRDefault="00BC0563">
      <w:pPr>
        <w:pStyle w:val="BodyText"/>
        <w:spacing w:before="49" w:line="292" w:lineRule="auto"/>
        <w:ind w:left="141" w:right="211"/>
        <w:jc w:val="both"/>
      </w:pPr>
      <w:bookmarkStart w:id="42" w:name="Page_31"/>
      <w:bookmarkEnd w:id="42"/>
      <w:r>
        <w:rPr>
          <w:color w:val="231F20"/>
        </w:rPr>
        <w:lastRenderedPageBreak/>
        <w:t>There</w:t>
      </w:r>
      <w:r>
        <w:rPr>
          <w:color w:val="231F20"/>
          <w:spacing w:val="-12"/>
        </w:rPr>
        <w:t xml:space="preserve"> </w:t>
      </w:r>
      <w:r>
        <w:rPr>
          <w:color w:val="231F20"/>
        </w:rPr>
        <w:t>were</w:t>
      </w:r>
      <w:r>
        <w:rPr>
          <w:color w:val="231F20"/>
          <w:spacing w:val="-12"/>
        </w:rPr>
        <w:t xml:space="preserve"> </w:t>
      </w:r>
      <w:r>
        <w:rPr>
          <w:color w:val="231F20"/>
        </w:rPr>
        <w:t>eight</w:t>
      </w:r>
      <w:r>
        <w:rPr>
          <w:color w:val="231F20"/>
          <w:spacing w:val="-12"/>
        </w:rPr>
        <w:t xml:space="preserve"> </w:t>
      </w:r>
      <w:r>
        <w:rPr>
          <w:color w:val="231F20"/>
        </w:rPr>
        <w:t>PPP</w:t>
      </w:r>
      <w:r>
        <w:rPr>
          <w:color w:val="231F20"/>
          <w:spacing w:val="-16"/>
        </w:rPr>
        <w:t xml:space="preserve"> </w:t>
      </w:r>
      <w:r>
        <w:rPr>
          <w:color w:val="231F20"/>
        </w:rPr>
        <w:t>initiatives</w:t>
      </w:r>
      <w:r>
        <w:rPr>
          <w:color w:val="231F20"/>
          <w:spacing w:val="-12"/>
        </w:rPr>
        <w:t xml:space="preserve"> </w:t>
      </w:r>
      <w:r>
        <w:rPr>
          <w:color w:val="231F20"/>
        </w:rPr>
        <w:t>that</w:t>
      </w:r>
      <w:r>
        <w:rPr>
          <w:color w:val="231F20"/>
          <w:spacing w:val="-13"/>
        </w:rPr>
        <w:t xml:space="preserve"> </w:t>
      </w:r>
      <w:r>
        <w:rPr>
          <w:color w:val="231F20"/>
        </w:rPr>
        <w:t>were</w:t>
      </w:r>
      <w:r>
        <w:rPr>
          <w:color w:val="231F20"/>
          <w:spacing w:val="-12"/>
        </w:rPr>
        <w:t xml:space="preserve"> </w:t>
      </w:r>
      <w:r>
        <w:rPr>
          <w:color w:val="231F20"/>
        </w:rPr>
        <w:t>launched</w:t>
      </w:r>
      <w:r>
        <w:rPr>
          <w:color w:val="231F20"/>
          <w:spacing w:val="-12"/>
        </w:rPr>
        <w:t xml:space="preserve"> </w:t>
      </w:r>
      <w:r>
        <w:rPr>
          <w:color w:val="231F20"/>
        </w:rPr>
        <w:t>in</w:t>
      </w:r>
      <w:r>
        <w:rPr>
          <w:color w:val="231F20"/>
          <w:spacing w:val="-12"/>
        </w:rPr>
        <w:t xml:space="preserve"> </w:t>
      </w:r>
      <w:r>
        <w:rPr>
          <w:color w:val="231F20"/>
        </w:rPr>
        <w:t>2012.</w:t>
      </w:r>
      <w:r>
        <w:rPr>
          <w:color w:val="231F20"/>
          <w:spacing w:val="57"/>
        </w:rPr>
        <w:t xml:space="preserve"> </w:t>
      </w:r>
      <w:r>
        <w:rPr>
          <w:color w:val="231F20"/>
        </w:rPr>
        <w:t>The</w:t>
      </w:r>
      <w:r>
        <w:rPr>
          <w:color w:val="231F20"/>
          <w:spacing w:val="-12"/>
        </w:rPr>
        <w:t xml:space="preserve"> </w:t>
      </w:r>
      <w:r>
        <w:rPr>
          <w:color w:val="231F20"/>
        </w:rPr>
        <w:t>registration</w:t>
      </w:r>
      <w:r>
        <w:rPr>
          <w:color w:val="231F20"/>
          <w:spacing w:val="-12"/>
        </w:rPr>
        <w:t xml:space="preserve"> </w:t>
      </w:r>
      <w:r>
        <w:rPr>
          <w:color w:val="231F20"/>
        </w:rPr>
        <w:t>and</w:t>
      </w:r>
      <w:r>
        <w:rPr>
          <w:color w:val="231F20"/>
          <w:spacing w:val="-12"/>
        </w:rPr>
        <w:t xml:space="preserve"> </w:t>
      </w:r>
      <w:r>
        <w:rPr>
          <w:color w:val="231F20"/>
        </w:rPr>
        <w:t>accreditation</w:t>
      </w:r>
      <w:r>
        <w:rPr>
          <w:color w:val="231F20"/>
          <w:spacing w:val="-12"/>
        </w:rPr>
        <w:t xml:space="preserve"> </w:t>
      </w:r>
      <w:r>
        <w:rPr>
          <w:color w:val="231F20"/>
          <w:spacing w:val="-8"/>
        </w:rPr>
        <w:t xml:space="preserve">of </w:t>
      </w:r>
      <w:r>
        <w:rPr>
          <w:color w:val="231F20"/>
        </w:rPr>
        <w:t>private providers is being monitored by the PRS and Medical Services department of the State Ministry</w:t>
      </w:r>
      <w:r>
        <w:rPr>
          <w:color w:val="231F20"/>
          <w:spacing w:val="-26"/>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However,</w:t>
      </w:r>
      <w:r>
        <w:rPr>
          <w:color w:val="231F20"/>
          <w:spacing w:val="-25"/>
        </w:rPr>
        <w:t xml:space="preserve"> </w:t>
      </w:r>
      <w:r>
        <w:rPr>
          <w:color w:val="231F20"/>
        </w:rPr>
        <w:t>many</w:t>
      </w:r>
      <w:r>
        <w:rPr>
          <w:color w:val="231F20"/>
          <w:spacing w:val="-25"/>
        </w:rPr>
        <w:t xml:space="preserve"> </w:t>
      </w:r>
      <w:r>
        <w:rPr>
          <w:color w:val="231F20"/>
        </w:rPr>
        <w:t>private</w:t>
      </w:r>
      <w:r>
        <w:rPr>
          <w:color w:val="231F20"/>
          <w:spacing w:val="-25"/>
        </w:rPr>
        <w:t xml:space="preserve"> </w:t>
      </w:r>
      <w:r>
        <w:rPr>
          <w:color w:val="231F20"/>
        </w:rPr>
        <w:t>hospitals</w:t>
      </w:r>
      <w:r>
        <w:rPr>
          <w:color w:val="231F20"/>
          <w:spacing w:val="-26"/>
        </w:rPr>
        <w:t xml:space="preserve"> </w:t>
      </w:r>
      <w:r>
        <w:rPr>
          <w:color w:val="231F20"/>
        </w:rPr>
        <w:t>remain</w:t>
      </w:r>
      <w:r>
        <w:rPr>
          <w:color w:val="231F20"/>
          <w:spacing w:val="-25"/>
        </w:rPr>
        <w:t xml:space="preserve"> </w:t>
      </w:r>
      <w:r>
        <w:rPr>
          <w:color w:val="231F20"/>
        </w:rPr>
        <w:t>unregistered.</w:t>
      </w:r>
    </w:p>
    <w:p w14:paraId="4360D6CE" w14:textId="77777777" w:rsidR="009948F1" w:rsidRDefault="009948F1">
      <w:pPr>
        <w:pStyle w:val="BodyText"/>
        <w:spacing w:before="1"/>
        <w:rPr>
          <w:sz w:val="27"/>
        </w:rPr>
      </w:pPr>
    </w:p>
    <w:p w14:paraId="751D7519" w14:textId="77777777" w:rsidR="009948F1" w:rsidRDefault="00BC0563">
      <w:pPr>
        <w:pStyle w:val="BodyText"/>
        <w:spacing w:line="292" w:lineRule="auto"/>
        <w:ind w:left="141" w:right="211"/>
        <w:jc w:val="both"/>
      </w:pPr>
      <w:r>
        <w:rPr>
          <w:color w:val="231F20"/>
        </w:rPr>
        <w:t>Annual</w:t>
      </w:r>
      <w:r>
        <w:rPr>
          <w:color w:val="231F20"/>
          <w:spacing w:val="-4"/>
        </w:rPr>
        <w:t xml:space="preserve"> </w:t>
      </w:r>
      <w:r>
        <w:rPr>
          <w:color w:val="231F20"/>
        </w:rPr>
        <w:t>and</w:t>
      </w:r>
      <w:r>
        <w:rPr>
          <w:color w:val="231F20"/>
          <w:spacing w:val="-4"/>
        </w:rPr>
        <w:t xml:space="preserve"> </w:t>
      </w:r>
      <w:r>
        <w:rPr>
          <w:color w:val="231F20"/>
        </w:rPr>
        <w:t>quarterly</w:t>
      </w:r>
      <w:r>
        <w:rPr>
          <w:color w:val="231F20"/>
          <w:spacing w:val="-4"/>
        </w:rPr>
        <w:t xml:space="preserve"> </w:t>
      </w:r>
      <w:r>
        <w:rPr>
          <w:color w:val="231F20"/>
        </w:rPr>
        <w:t>review</w:t>
      </w:r>
      <w:r>
        <w:rPr>
          <w:color w:val="231F20"/>
          <w:spacing w:val="-3"/>
        </w:rPr>
        <w:t xml:space="preserve"> </w:t>
      </w:r>
      <w:r>
        <w:rPr>
          <w:color w:val="231F20"/>
        </w:rPr>
        <w:t>meetings</w:t>
      </w:r>
      <w:r>
        <w:rPr>
          <w:color w:val="231F20"/>
          <w:spacing w:val="-4"/>
        </w:rPr>
        <w:t xml:space="preserve"> </w:t>
      </w:r>
      <w:r>
        <w:rPr>
          <w:color w:val="231F20"/>
        </w:rPr>
        <w:t>were</w:t>
      </w:r>
      <w:r>
        <w:rPr>
          <w:color w:val="231F20"/>
          <w:spacing w:val="-4"/>
        </w:rPr>
        <w:t xml:space="preserve"> </w:t>
      </w:r>
      <w:r>
        <w:rPr>
          <w:color w:val="231F20"/>
        </w:rPr>
        <w:t>conducted</w:t>
      </w:r>
      <w:r>
        <w:rPr>
          <w:color w:val="231F20"/>
          <w:spacing w:val="-4"/>
        </w:rPr>
        <w:t xml:space="preserve"> </w:t>
      </w:r>
      <w:r>
        <w:rPr>
          <w:color w:val="231F20"/>
        </w:rPr>
        <w:t>within</w:t>
      </w:r>
      <w:r>
        <w:rPr>
          <w:color w:val="231F20"/>
          <w:spacing w:val="-3"/>
        </w:rPr>
        <w:t xml:space="preserve"> </w:t>
      </w:r>
      <w:r>
        <w:rPr>
          <w:color w:val="231F20"/>
        </w:rPr>
        <w:t>the</w:t>
      </w:r>
      <w:r>
        <w:rPr>
          <w:color w:val="231F20"/>
          <w:spacing w:val="-4"/>
        </w:rPr>
        <w:t xml:space="preserve"> </w:t>
      </w:r>
      <w:r>
        <w:rPr>
          <w:color w:val="231F20"/>
        </w:rPr>
        <w:t>Ministry</w:t>
      </w:r>
      <w:r>
        <w:rPr>
          <w:color w:val="231F20"/>
          <w:spacing w:val="-4"/>
        </w:rPr>
        <w:t xml:space="preserve"> </w:t>
      </w:r>
      <w:r>
        <w:rPr>
          <w:color w:val="231F20"/>
        </w:rPr>
        <w:t>of</w:t>
      </w:r>
      <w:r>
        <w:rPr>
          <w:color w:val="231F20"/>
          <w:spacing w:val="-4"/>
        </w:rPr>
        <w:t xml:space="preserve"> </w:t>
      </w:r>
      <w:r>
        <w:rPr>
          <w:color w:val="231F20"/>
        </w:rPr>
        <w:t>Health</w:t>
      </w:r>
      <w:r>
        <w:rPr>
          <w:color w:val="231F20"/>
          <w:spacing w:val="-3"/>
        </w:rPr>
        <w:t xml:space="preserve"> </w:t>
      </w:r>
      <w:r>
        <w:rPr>
          <w:color w:val="231F20"/>
        </w:rPr>
        <w:t>at</w:t>
      </w:r>
      <w:r>
        <w:rPr>
          <w:color w:val="231F20"/>
          <w:spacing w:val="-4"/>
        </w:rPr>
        <w:t xml:space="preserve"> </w:t>
      </w:r>
      <w:r>
        <w:rPr>
          <w:color w:val="231F20"/>
        </w:rPr>
        <w:t>both</w:t>
      </w:r>
      <w:r>
        <w:rPr>
          <w:color w:val="231F20"/>
          <w:spacing w:val="-4"/>
        </w:rPr>
        <w:t xml:space="preserve"> </w:t>
      </w:r>
      <w:r>
        <w:rPr>
          <w:color w:val="231F20"/>
          <w:spacing w:val="-3"/>
        </w:rPr>
        <w:t xml:space="preserve">policy </w:t>
      </w:r>
      <w:r>
        <w:rPr>
          <w:color w:val="231F20"/>
        </w:rPr>
        <w:t xml:space="preserve">and implementation levels which has helped to improve accountability and responsiveness </w:t>
      </w:r>
      <w:r>
        <w:rPr>
          <w:color w:val="231F20"/>
          <w:spacing w:val="-6"/>
        </w:rPr>
        <w:t xml:space="preserve">to </w:t>
      </w:r>
      <w:r>
        <w:rPr>
          <w:color w:val="231F20"/>
        </w:rPr>
        <w:t>emerging health-related issues but this was not strictly oriented towards assessing the progress towards</w:t>
      </w:r>
      <w:r>
        <w:rPr>
          <w:color w:val="231F20"/>
          <w:spacing w:val="-25"/>
        </w:rPr>
        <w:t xml:space="preserve"> </w:t>
      </w:r>
      <w:r>
        <w:rPr>
          <w:color w:val="231F20"/>
        </w:rPr>
        <w:t>achieving</w:t>
      </w:r>
      <w:r>
        <w:rPr>
          <w:color w:val="231F20"/>
          <w:spacing w:val="-25"/>
        </w:rPr>
        <w:t xml:space="preserve"> </w:t>
      </w:r>
      <w:r>
        <w:rPr>
          <w:color w:val="231F20"/>
        </w:rPr>
        <w:t>the</w:t>
      </w:r>
      <w:r>
        <w:rPr>
          <w:color w:val="231F20"/>
          <w:spacing w:val="-25"/>
        </w:rPr>
        <w:t xml:space="preserve"> </w:t>
      </w:r>
      <w:r>
        <w:rPr>
          <w:color w:val="231F20"/>
        </w:rPr>
        <w:t>targets</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RSSHDP</w:t>
      </w:r>
      <w:r>
        <w:rPr>
          <w:color w:val="231F20"/>
          <w:spacing w:val="-29"/>
        </w:rPr>
        <w:t xml:space="preserve"> </w:t>
      </w:r>
      <w:r>
        <w:rPr>
          <w:color w:val="231F20"/>
        </w:rPr>
        <w:t>I.</w:t>
      </w:r>
    </w:p>
    <w:p w14:paraId="06223F3D" w14:textId="77777777" w:rsidR="009948F1" w:rsidRDefault="009948F1">
      <w:pPr>
        <w:pStyle w:val="BodyText"/>
        <w:spacing w:before="2"/>
        <w:rPr>
          <w:sz w:val="27"/>
        </w:rPr>
      </w:pPr>
    </w:p>
    <w:p w14:paraId="6AE0C413" w14:textId="77777777" w:rsidR="009948F1" w:rsidRDefault="00BC0563">
      <w:pPr>
        <w:pStyle w:val="BodyText"/>
        <w:spacing w:line="292" w:lineRule="auto"/>
        <w:ind w:left="141" w:right="211"/>
        <w:jc w:val="both"/>
      </w:pPr>
      <w:r>
        <w:rPr>
          <w:color w:val="231F20"/>
        </w:rPr>
        <w:t>Proper monitoring and evaluation of the plan would have facilitated evidence-based decision making and highlighted areas for research and/or intervention. Hence strengthen the HMIS data management systems and improve funding for research in the State.</w:t>
      </w:r>
    </w:p>
    <w:p w14:paraId="4BCF0097" w14:textId="77777777" w:rsidR="009948F1" w:rsidRDefault="009948F1">
      <w:pPr>
        <w:pStyle w:val="BodyText"/>
      </w:pPr>
    </w:p>
    <w:p w14:paraId="5F568C14" w14:textId="77777777" w:rsidR="009948F1" w:rsidRDefault="00BC0563">
      <w:pPr>
        <w:pStyle w:val="ListParagraph"/>
        <w:numPr>
          <w:ilvl w:val="1"/>
          <w:numId w:val="321"/>
        </w:numPr>
        <w:tabs>
          <w:tab w:val="left" w:pos="1108"/>
          <w:tab w:val="left" w:pos="1109"/>
        </w:tabs>
        <w:spacing w:before="154"/>
        <w:ind w:left="1108" w:hanging="730"/>
        <w:jc w:val="left"/>
        <w:rPr>
          <w:b/>
          <w:color w:val="231F20"/>
          <w:sz w:val="16"/>
        </w:rPr>
      </w:pPr>
      <w:r>
        <w:rPr>
          <w:b/>
          <w:color w:val="231F20"/>
          <w:w w:val="140"/>
          <w:sz w:val="16"/>
        </w:rPr>
        <w:t>SWOT</w:t>
      </w:r>
      <w:r>
        <w:rPr>
          <w:b/>
          <w:color w:val="231F20"/>
          <w:spacing w:val="-9"/>
          <w:w w:val="140"/>
          <w:sz w:val="16"/>
        </w:rPr>
        <w:t xml:space="preserve"> </w:t>
      </w:r>
      <w:r>
        <w:rPr>
          <w:b/>
          <w:color w:val="231F20"/>
          <w:w w:val="140"/>
          <w:sz w:val="16"/>
        </w:rPr>
        <w:t>Analysis</w:t>
      </w:r>
    </w:p>
    <w:p w14:paraId="1648B256" w14:textId="77777777" w:rsidR="009948F1" w:rsidRDefault="00BC0563">
      <w:pPr>
        <w:spacing w:before="43"/>
        <w:ind w:left="379"/>
        <w:rPr>
          <w:b/>
          <w:i/>
          <w:sz w:val="20"/>
        </w:rPr>
      </w:pPr>
      <w:r>
        <w:rPr>
          <w:b/>
          <w:i/>
          <w:color w:val="231F20"/>
          <w:w w:val="105"/>
          <w:sz w:val="20"/>
        </w:rPr>
        <w:t>Table 6: SWOT Analysis</w:t>
      </w:r>
    </w:p>
    <w:p w14:paraId="7DEE4343" w14:textId="77777777" w:rsidR="009948F1" w:rsidRDefault="009948F1">
      <w:pPr>
        <w:pStyle w:val="BodyText"/>
        <w:spacing w:before="6"/>
        <w:rPr>
          <w:b/>
          <w:i/>
          <w:sz w:val="5"/>
        </w:rPr>
      </w:pPr>
    </w:p>
    <w:tbl>
      <w:tblPr>
        <w:tblW w:w="0" w:type="auto"/>
        <w:tblInd w:w="1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29"/>
        <w:gridCol w:w="4317"/>
      </w:tblGrid>
      <w:tr w:rsidR="009948F1" w14:paraId="7F7E4222" w14:textId="77777777">
        <w:trPr>
          <w:trHeight w:val="4631"/>
        </w:trPr>
        <w:tc>
          <w:tcPr>
            <w:tcW w:w="4929" w:type="dxa"/>
          </w:tcPr>
          <w:p w14:paraId="3897601F" w14:textId="77777777" w:rsidR="009948F1" w:rsidRDefault="00BC0563">
            <w:pPr>
              <w:pStyle w:val="TableParagraph"/>
              <w:spacing w:line="146" w:lineRule="exact"/>
              <w:ind w:left="838"/>
              <w:rPr>
                <w:b/>
                <w:sz w:val="13"/>
              </w:rPr>
            </w:pPr>
            <w:r>
              <w:rPr>
                <w:b/>
                <w:color w:val="231F20"/>
                <w:w w:val="140"/>
                <w:sz w:val="13"/>
              </w:rPr>
              <w:t>STRENGTHS</w:t>
            </w:r>
          </w:p>
          <w:p w14:paraId="224F45A1" w14:textId="77777777" w:rsidR="009948F1" w:rsidRDefault="009948F1">
            <w:pPr>
              <w:pStyle w:val="TableParagraph"/>
              <w:spacing w:before="8"/>
              <w:rPr>
                <w:b/>
                <w:i/>
                <w:sz w:val="17"/>
              </w:rPr>
            </w:pPr>
          </w:p>
          <w:p w14:paraId="562EE616" w14:textId="77777777" w:rsidR="009948F1" w:rsidRDefault="00BC0563">
            <w:pPr>
              <w:pStyle w:val="TableParagraph"/>
              <w:numPr>
                <w:ilvl w:val="0"/>
                <w:numId w:val="316"/>
              </w:numPr>
              <w:tabs>
                <w:tab w:val="left" w:pos="838"/>
                <w:tab w:val="left" w:pos="839"/>
              </w:tabs>
              <w:spacing w:before="1" w:line="271" w:lineRule="auto"/>
              <w:ind w:right="553"/>
              <w:rPr>
                <w:sz w:val="13"/>
              </w:rPr>
            </w:pPr>
            <w:r>
              <w:rPr>
                <w:color w:val="231F20"/>
                <w:w w:val="140"/>
                <w:sz w:val="13"/>
              </w:rPr>
              <w:t>The SMOH has demonstrated strong commitment to address leadership in health sector.</w:t>
            </w:r>
          </w:p>
          <w:p w14:paraId="603DC776" w14:textId="77777777" w:rsidR="009948F1" w:rsidRDefault="00BC0563">
            <w:pPr>
              <w:pStyle w:val="TableParagraph"/>
              <w:numPr>
                <w:ilvl w:val="0"/>
                <w:numId w:val="316"/>
              </w:numPr>
              <w:tabs>
                <w:tab w:val="left" w:pos="838"/>
                <w:tab w:val="left" w:pos="839"/>
              </w:tabs>
              <w:spacing w:before="8"/>
              <w:ind w:hanging="366"/>
              <w:rPr>
                <w:sz w:val="13"/>
              </w:rPr>
            </w:pPr>
            <w:r>
              <w:rPr>
                <w:color w:val="231F20"/>
                <w:w w:val="140"/>
                <w:sz w:val="13"/>
              </w:rPr>
              <w:t>Improvement in health</w:t>
            </w:r>
            <w:r>
              <w:rPr>
                <w:color w:val="231F20"/>
                <w:spacing w:val="-2"/>
                <w:w w:val="140"/>
                <w:sz w:val="13"/>
              </w:rPr>
              <w:t xml:space="preserve"> </w:t>
            </w:r>
            <w:r>
              <w:rPr>
                <w:color w:val="231F20"/>
                <w:w w:val="140"/>
                <w:sz w:val="13"/>
              </w:rPr>
              <w:t>infrastructure</w:t>
            </w:r>
          </w:p>
          <w:p w14:paraId="3D19E22B" w14:textId="77777777" w:rsidR="009948F1" w:rsidRDefault="009948F1">
            <w:pPr>
              <w:pStyle w:val="TableParagraph"/>
              <w:spacing w:before="5"/>
              <w:rPr>
                <w:b/>
                <w:i/>
                <w:sz w:val="16"/>
              </w:rPr>
            </w:pPr>
          </w:p>
          <w:p w14:paraId="25065F78" w14:textId="77777777" w:rsidR="009948F1" w:rsidRDefault="00BC0563">
            <w:pPr>
              <w:pStyle w:val="TableParagraph"/>
              <w:numPr>
                <w:ilvl w:val="0"/>
                <w:numId w:val="316"/>
              </w:numPr>
              <w:tabs>
                <w:tab w:val="left" w:pos="838"/>
                <w:tab w:val="left" w:pos="839"/>
              </w:tabs>
              <w:spacing w:before="1"/>
              <w:ind w:hanging="366"/>
              <w:rPr>
                <w:sz w:val="13"/>
              </w:rPr>
            </w:pPr>
            <w:r>
              <w:rPr>
                <w:color w:val="231F20"/>
                <w:w w:val="140"/>
                <w:sz w:val="13"/>
              </w:rPr>
              <w:t>Clear Health policies available at the State</w:t>
            </w:r>
            <w:r>
              <w:rPr>
                <w:color w:val="231F20"/>
                <w:spacing w:val="-3"/>
                <w:w w:val="140"/>
                <w:sz w:val="13"/>
              </w:rPr>
              <w:t xml:space="preserve"> </w:t>
            </w:r>
            <w:r>
              <w:rPr>
                <w:color w:val="231F20"/>
                <w:w w:val="140"/>
                <w:sz w:val="13"/>
              </w:rPr>
              <w:t>level.</w:t>
            </w:r>
          </w:p>
          <w:p w14:paraId="00893BE4" w14:textId="5F9D59EB" w:rsidR="009948F1" w:rsidRDefault="00BC0563">
            <w:pPr>
              <w:pStyle w:val="TableParagraph"/>
              <w:numPr>
                <w:ilvl w:val="0"/>
                <w:numId w:val="316"/>
              </w:numPr>
              <w:tabs>
                <w:tab w:val="left" w:pos="838"/>
                <w:tab w:val="left" w:pos="839"/>
                <w:tab w:val="left" w:pos="3924"/>
              </w:tabs>
              <w:spacing w:before="14" w:line="273" w:lineRule="auto"/>
              <w:ind w:right="292"/>
              <w:rPr>
                <w:sz w:val="13"/>
              </w:rPr>
            </w:pPr>
            <w:r>
              <w:rPr>
                <w:color w:val="231F20"/>
                <w:w w:val="140"/>
                <w:sz w:val="13"/>
              </w:rPr>
              <w:t>Existence of skilled staff in the health sector t</w:t>
            </w:r>
            <w:r w:rsidR="00FC31BA">
              <w:rPr>
                <w:color w:val="231F20"/>
                <w:w w:val="140"/>
                <w:sz w:val="13"/>
              </w:rPr>
              <w:t>o manage policies, program plan</w:t>
            </w:r>
            <w:r>
              <w:rPr>
                <w:color w:val="231F20"/>
                <w:w w:val="140"/>
                <w:sz w:val="13"/>
              </w:rPr>
              <w:t xml:space="preserve">ning </w:t>
            </w:r>
            <w:r>
              <w:rPr>
                <w:color w:val="231F20"/>
                <w:spacing w:val="-6"/>
                <w:w w:val="140"/>
                <w:sz w:val="13"/>
              </w:rPr>
              <w:t xml:space="preserve">and </w:t>
            </w:r>
            <w:r>
              <w:rPr>
                <w:color w:val="231F20"/>
                <w:w w:val="140"/>
                <w:sz w:val="13"/>
              </w:rPr>
              <w:t>implementation for decision</w:t>
            </w:r>
            <w:r>
              <w:rPr>
                <w:color w:val="231F20"/>
                <w:spacing w:val="-2"/>
                <w:w w:val="140"/>
                <w:sz w:val="13"/>
              </w:rPr>
              <w:t xml:space="preserve"> </w:t>
            </w:r>
            <w:r>
              <w:rPr>
                <w:color w:val="231F20"/>
                <w:w w:val="140"/>
                <w:sz w:val="13"/>
              </w:rPr>
              <w:t>making.</w:t>
            </w:r>
          </w:p>
          <w:p w14:paraId="2BCB3D45" w14:textId="77777777" w:rsidR="009948F1" w:rsidRDefault="00BC0563">
            <w:pPr>
              <w:pStyle w:val="TableParagraph"/>
              <w:numPr>
                <w:ilvl w:val="0"/>
                <w:numId w:val="316"/>
              </w:numPr>
              <w:tabs>
                <w:tab w:val="left" w:pos="838"/>
                <w:tab w:val="left" w:pos="839"/>
              </w:tabs>
              <w:spacing w:before="4" w:line="261" w:lineRule="auto"/>
              <w:ind w:right="208"/>
              <w:rPr>
                <w:sz w:val="13"/>
              </w:rPr>
            </w:pPr>
            <w:r>
              <w:rPr>
                <w:color w:val="231F20"/>
                <w:w w:val="140"/>
                <w:sz w:val="13"/>
              </w:rPr>
              <w:t xml:space="preserve">Existence of agencies that support various </w:t>
            </w:r>
            <w:r>
              <w:rPr>
                <w:color w:val="231F20"/>
                <w:spacing w:val="-3"/>
                <w:w w:val="140"/>
                <w:sz w:val="13"/>
              </w:rPr>
              <w:t xml:space="preserve">roles </w:t>
            </w:r>
            <w:r>
              <w:rPr>
                <w:color w:val="231F20"/>
                <w:w w:val="140"/>
                <w:sz w:val="13"/>
              </w:rPr>
              <w:t>in the health</w:t>
            </w:r>
            <w:r>
              <w:rPr>
                <w:color w:val="231F20"/>
                <w:spacing w:val="-3"/>
                <w:w w:val="140"/>
                <w:sz w:val="13"/>
              </w:rPr>
              <w:t xml:space="preserve"> </w:t>
            </w:r>
            <w:r>
              <w:rPr>
                <w:color w:val="231F20"/>
                <w:w w:val="140"/>
                <w:sz w:val="13"/>
              </w:rPr>
              <w:t>sector.</w:t>
            </w:r>
          </w:p>
          <w:p w14:paraId="2EFA56B0" w14:textId="77777777" w:rsidR="009948F1" w:rsidRDefault="00BC0563">
            <w:pPr>
              <w:pStyle w:val="TableParagraph"/>
              <w:numPr>
                <w:ilvl w:val="0"/>
                <w:numId w:val="316"/>
              </w:numPr>
              <w:tabs>
                <w:tab w:val="left" w:pos="838"/>
                <w:tab w:val="left" w:pos="839"/>
              </w:tabs>
              <w:spacing w:before="13" w:line="261" w:lineRule="auto"/>
              <w:ind w:right="633"/>
              <w:rPr>
                <w:sz w:val="13"/>
              </w:rPr>
            </w:pPr>
            <w:r>
              <w:rPr>
                <w:color w:val="231F20"/>
                <w:w w:val="140"/>
                <w:sz w:val="13"/>
              </w:rPr>
              <w:t xml:space="preserve">Existence of procedures and guidelines </w:t>
            </w:r>
            <w:r>
              <w:rPr>
                <w:color w:val="231F20"/>
                <w:spacing w:val="-5"/>
                <w:w w:val="140"/>
                <w:sz w:val="13"/>
              </w:rPr>
              <w:t xml:space="preserve">for </w:t>
            </w:r>
            <w:r>
              <w:rPr>
                <w:color w:val="231F20"/>
                <w:w w:val="140"/>
                <w:sz w:val="13"/>
              </w:rPr>
              <w:t>leadership and</w:t>
            </w:r>
            <w:r>
              <w:rPr>
                <w:color w:val="231F20"/>
                <w:spacing w:val="-1"/>
                <w:w w:val="140"/>
                <w:sz w:val="13"/>
              </w:rPr>
              <w:t xml:space="preserve"> </w:t>
            </w:r>
            <w:r>
              <w:rPr>
                <w:color w:val="231F20"/>
                <w:w w:val="140"/>
                <w:sz w:val="13"/>
              </w:rPr>
              <w:t>governance.</w:t>
            </w:r>
          </w:p>
          <w:p w14:paraId="54DC5C04" w14:textId="77777777" w:rsidR="009948F1" w:rsidRDefault="00BC0563">
            <w:pPr>
              <w:pStyle w:val="TableParagraph"/>
              <w:numPr>
                <w:ilvl w:val="0"/>
                <w:numId w:val="316"/>
              </w:numPr>
              <w:tabs>
                <w:tab w:val="left" w:pos="838"/>
                <w:tab w:val="left" w:pos="839"/>
              </w:tabs>
              <w:spacing w:before="13"/>
              <w:ind w:hanging="366"/>
              <w:rPr>
                <w:sz w:val="13"/>
              </w:rPr>
            </w:pPr>
            <w:r>
              <w:rPr>
                <w:color w:val="231F20"/>
                <w:w w:val="140"/>
                <w:sz w:val="13"/>
              </w:rPr>
              <w:t>Job Security for health care work</w:t>
            </w:r>
            <w:r>
              <w:rPr>
                <w:color w:val="231F20"/>
                <w:spacing w:val="-3"/>
                <w:w w:val="140"/>
                <w:sz w:val="13"/>
              </w:rPr>
              <w:t xml:space="preserve"> </w:t>
            </w:r>
            <w:r>
              <w:rPr>
                <w:color w:val="231F20"/>
                <w:w w:val="140"/>
                <w:sz w:val="13"/>
              </w:rPr>
              <w:t>force.</w:t>
            </w:r>
          </w:p>
          <w:p w14:paraId="24C2DEE2" w14:textId="5B1ADD65" w:rsidR="009948F1" w:rsidRDefault="00BC0563">
            <w:pPr>
              <w:pStyle w:val="TableParagraph"/>
              <w:numPr>
                <w:ilvl w:val="0"/>
                <w:numId w:val="316"/>
              </w:numPr>
              <w:tabs>
                <w:tab w:val="left" w:pos="838"/>
                <w:tab w:val="left" w:pos="839"/>
                <w:tab w:val="left" w:pos="3963"/>
              </w:tabs>
              <w:spacing w:before="16" w:line="261" w:lineRule="auto"/>
              <w:ind w:right="253"/>
              <w:rPr>
                <w:sz w:val="13"/>
              </w:rPr>
            </w:pPr>
            <w:r>
              <w:rPr>
                <w:color w:val="231F20"/>
                <w:w w:val="140"/>
                <w:sz w:val="13"/>
              </w:rPr>
              <w:t>Presence of PPP</w:t>
            </w:r>
            <w:r>
              <w:rPr>
                <w:color w:val="231F20"/>
                <w:spacing w:val="-4"/>
                <w:w w:val="140"/>
                <w:sz w:val="13"/>
              </w:rPr>
              <w:t xml:space="preserve"> </w:t>
            </w:r>
            <w:r w:rsidR="00FC31BA">
              <w:rPr>
                <w:color w:val="231F20"/>
                <w:w w:val="140"/>
                <w:sz w:val="13"/>
              </w:rPr>
              <w:t>prevents disr</w:t>
            </w:r>
            <w:r>
              <w:rPr>
                <w:color w:val="231F20"/>
                <w:w w:val="140"/>
                <w:sz w:val="13"/>
              </w:rPr>
              <w:t xml:space="preserve">uption </w:t>
            </w:r>
            <w:r>
              <w:rPr>
                <w:color w:val="231F20"/>
                <w:spacing w:val="-8"/>
                <w:w w:val="140"/>
                <w:sz w:val="13"/>
              </w:rPr>
              <w:t xml:space="preserve">of </w:t>
            </w:r>
            <w:r>
              <w:rPr>
                <w:color w:val="231F20"/>
                <w:w w:val="140"/>
                <w:sz w:val="13"/>
              </w:rPr>
              <w:t>healthcare services during industrial</w:t>
            </w:r>
            <w:r>
              <w:rPr>
                <w:color w:val="231F20"/>
                <w:spacing w:val="-2"/>
                <w:w w:val="140"/>
                <w:sz w:val="13"/>
              </w:rPr>
              <w:t xml:space="preserve"> </w:t>
            </w:r>
            <w:r>
              <w:rPr>
                <w:color w:val="231F20"/>
                <w:w w:val="140"/>
                <w:sz w:val="13"/>
              </w:rPr>
              <w:t>action.</w:t>
            </w:r>
          </w:p>
          <w:p w14:paraId="62ED4297" w14:textId="77777777" w:rsidR="009948F1" w:rsidRDefault="00BC0563">
            <w:pPr>
              <w:pStyle w:val="TableParagraph"/>
              <w:numPr>
                <w:ilvl w:val="0"/>
                <w:numId w:val="316"/>
              </w:numPr>
              <w:tabs>
                <w:tab w:val="left" w:pos="838"/>
                <w:tab w:val="left" w:pos="839"/>
              </w:tabs>
              <w:spacing w:before="13" w:line="261" w:lineRule="auto"/>
              <w:ind w:right="705"/>
              <w:rPr>
                <w:sz w:val="13"/>
              </w:rPr>
            </w:pPr>
            <w:r>
              <w:rPr>
                <w:color w:val="231F20"/>
                <w:w w:val="140"/>
                <w:sz w:val="13"/>
              </w:rPr>
              <w:t>Standard and mechanism for graded. accreditation of Private facilities</w:t>
            </w:r>
            <w:r>
              <w:rPr>
                <w:color w:val="231F20"/>
                <w:spacing w:val="-4"/>
                <w:w w:val="140"/>
                <w:sz w:val="13"/>
              </w:rPr>
              <w:t xml:space="preserve"> </w:t>
            </w:r>
            <w:r>
              <w:rPr>
                <w:color w:val="231F20"/>
                <w:w w:val="140"/>
                <w:sz w:val="13"/>
              </w:rPr>
              <w:t>available.</w:t>
            </w:r>
          </w:p>
          <w:p w14:paraId="4320876D" w14:textId="77777777" w:rsidR="009948F1" w:rsidRDefault="00BC0563">
            <w:pPr>
              <w:pStyle w:val="TableParagraph"/>
              <w:numPr>
                <w:ilvl w:val="0"/>
                <w:numId w:val="316"/>
              </w:numPr>
              <w:tabs>
                <w:tab w:val="left" w:pos="838"/>
                <w:tab w:val="left" w:pos="839"/>
              </w:tabs>
              <w:spacing w:before="12" w:line="264" w:lineRule="auto"/>
              <w:ind w:right="330"/>
              <w:rPr>
                <w:sz w:val="13"/>
              </w:rPr>
            </w:pPr>
            <w:r>
              <w:rPr>
                <w:color w:val="231F20"/>
                <w:w w:val="140"/>
                <w:sz w:val="13"/>
              </w:rPr>
              <w:t xml:space="preserve">harmonized implementation of services only </w:t>
            </w:r>
            <w:r>
              <w:rPr>
                <w:color w:val="231F20"/>
                <w:spacing w:val="-6"/>
                <w:w w:val="140"/>
                <w:sz w:val="13"/>
              </w:rPr>
              <w:t xml:space="preserve">at </w:t>
            </w:r>
            <w:r>
              <w:rPr>
                <w:color w:val="231F20"/>
                <w:w w:val="140"/>
                <w:sz w:val="13"/>
              </w:rPr>
              <w:t>program</w:t>
            </w:r>
            <w:r>
              <w:rPr>
                <w:color w:val="231F20"/>
                <w:spacing w:val="-1"/>
                <w:w w:val="140"/>
                <w:sz w:val="13"/>
              </w:rPr>
              <w:t xml:space="preserve"> </w:t>
            </w:r>
            <w:r>
              <w:rPr>
                <w:color w:val="231F20"/>
                <w:w w:val="140"/>
                <w:sz w:val="13"/>
              </w:rPr>
              <w:t>level</w:t>
            </w:r>
          </w:p>
        </w:tc>
        <w:tc>
          <w:tcPr>
            <w:tcW w:w="4317" w:type="dxa"/>
          </w:tcPr>
          <w:p w14:paraId="51F84201" w14:textId="77777777" w:rsidR="009948F1" w:rsidRDefault="00BC0563">
            <w:pPr>
              <w:pStyle w:val="TableParagraph"/>
              <w:spacing w:line="146" w:lineRule="exact"/>
              <w:ind w:left="838"/>
              <w:rPr>
                <w:b/>
                <w:sz w:val="13"/>
              </w:rPr>
            </w:pPr>
            <w:r>
              <w:rPr>
                <w:b/>
                <w:color w:val="231F20"/>
                <w:w w:val="140"/>
                <w:sz w:val="13"/>
              </w:rPr>
              <w:t>OPPORTUNITIES</w:t>
            </w:r>
          </w:p>
          <w:p w14:paraId="3C08FF4C" w14:textId="77777777" w:rsidR="009948F1" w:rsidRDefault="009948F1">
            <w:pPr>
              <w:pStyle w:val="TableParagraph"/>
              <w:spacing w:before="8"/>
              <w:rPr>
                <w:b/>
                <w:i/>
                <w:sz w:val="17"/>
              </w:rPr>
            </w:pPr>
          </w:p>
          <w:p w14:paraId="4036E5C5" w14:textId="77777777" w:rsidR="009948F1" w:rsidRDefault="00BC0563">
            <w:pPr>
              <w:pStyle w:val="TableParagraph"/>
              <w:numPr>
                <w:ilvl w:val="0"/>
                <w:numId w:val="315"/>
              </w:numPr>
              <w:tabs>
                <w:tab w:val="left" w:pos="837"/>
                <w:tab w:val="left" w:pos="839"/>
              </w:tabs>
              <w:spacing w:before="1" w:line="271" w:lineRule="auto"/>
              <w:ind w:right="224"/>
              <w:rPr>
                <w:sz w:val="13"/>
              </w:rPr>
            </w:pPr>
            <w:r>
              <w:rPr>
                <w:color w:val="231F20"/>
                <w:w w:val="140"/>
                <w:sz w:val="13"/>
              </w:rPr>
              <w:t xml:space="preserve">The political will to address Leadership and governance in health which is in </w:t>
            </w:r>
            <w:r>
              <w:rPr>
                <w:color w:val="231F20"/>
                <w:spacing w:val="-5"/>
                <w:w w:val="140"/>
                <w:sz w:val="13"/>
              </w:rPr>
              <w:t xml:space="preserve">the </w:t>
            </w:r>
            <w:r>
              <w:rPr>
                <w:color w:val="231F20"/>
                <w:w w:val="140"/>
                <w:sz w:val="13"/>
              </w:rPr>
              <w:t>National Health Act</w:t>
            </w:r>
            <w:r>
              <w:rPr>
                <w:color w:val="231F20"/>
                <w:spacing w:val="-12"/>
                <w:w w:val="140"/>
                <w:sz w:val="13"/>
              </w:rPr>
              <w:t xml:space="preserve"> </w:t>
            </w:r>
            <w:r>
              <w:rPr>
                <w:color w:val="231F20"/>
                <w:w w:val="140"/>
                <w:sz w:val="13"/>
              </w:rPr>
              <w:t>(2014).</w:t>
            </w:r>
          </w:p>
          <w:p w14:paraId="15198445" w14:textId="77777777" w:rsidR="009948F1" w:rsidRDefault="009948F1">
            <w:pPr>
              <w:pStyle w:val="TableParagraph"/>
              <w:rPr>
                <w:b/>
                <w:i/>
                <w:sz w:val="12"/>
              </w:rPr>
            </w:pPr>
          </w:p>
          <w:p w14:paraId="0EF40C68" w14:textId="77777777" w:rsidR="009948F1" w:rsidRDefault="009948F1">
            <w:pPr>
              <w:pStyle w:val="TableParagraph"/>
              <w:spacing w:before="8"/>
              <w:rPr>
                <w:b/>
                <w:i/>
                <w:sz w:val="12"/>
              </w:rPr>
            </w:pPr>
          </w:p>
          <w:p w14:paraId="438CB43E" w14:textId="34057605" w:rsidR="009948F1" w:rsidRDefault="00BC0563">
            <w:pPr>
              <w:pStyle w:val="TableParagraph"/>
              <w:numPr>
                <w:ilvl w:val="0"/>
                <w:numId w:val="315"/>
              </w:numPr>
              <w:tabs>
                <w:tab w:val="left" w:pos="837"/>
                <w:tab w:val="left" w:pos="839"/>
              </w:tabs>
              <w:spacing w:line="261" w:lineRule="auto"/>
              <w:ind w:right="275"/>
              <w:rPr>
                <w:sz w:val="13"/>
              </w:rPr>
            </w:pPr>
            <w:r>
              <w:rPr>
                <w:color w:val="231F20"/>
                <w:w w:val="140"/>
                <w:sz w:val="13"/>
              </w:rPr>
              <w:t>Relative peace between major player</w:t>
            </w:r>
            <w:r w:rsidR="00FC31BA">
              <w:rPr>
                <w:color w:val="231F20"/>
                <w:w w:val="140"/>
                <w:sz w:val="13"/>
              </w:rPr>
              <w:t>s</w:t>
            </w:r>
            <w:r>
              <w:rPr>
                <w:color w:val="231F20"/>
                <w:w w:val="140"/>
                <w:sz w:val="13"/>
              </w:rPr>
              <w:t xml:space="preserve"> </w:t>
            </w:r>
            <w:r>
              <w:rPr>
                <w:color w:val="231F20"/>
                <w:spacing w:val="-6"/>
                <w:w w:val="140"/>
                <w:sz w:val="13"/>
              </w:rPr>
              <w:t xml:space="preserve">in </w:t>
            </w:r>
            <w:r>
              <w:rPr>
                <w:color w:val="231F20"/>
                <w:w w:val="140"/>
                <w:sz w:val="13"/>
              </w:rPr>
              <w:t>the health</w:t>
            </w:r>
            <w:r>
              <w:rPr>
                <w:color w:val="231F20"/>
                <w:spacing w:val="-2"/>
                <w:w w:val="140"/>
                <w:sz w:val="13"/>
              </w:rPr>
              <w:t xml:space="preserve"> </w:t>
            </w:r>
            <w:r>
              <w:rPr>
                <w:color w:val="231F20"/>
                <w:w w:val="140"/>
                <w:sz w:val="13"/>
              </w:rPr>
              <w:t>sector.</w:t>
            </w:r>
          </w:p>
          <w:p w14:paraId="07EB8CC9" w14:textId="77777777" w:rsidR="009948F1" w:rsidRDefault="00BC0563">
            <w:pPr>
              <w:pStyle w:val="TableParagraph"/>
              <w:numPr>
                <w:ilvl w:val="0"/>
                <w:numId w:val="315"/>
              </w:numPr>
              <w:tabs>
                <w:tab w:val="left" w:pos="837"/>
                <w:tab w:val="left" w:pos="839"/>
              </w:tabs>
              <w:spacing w:before="13" w:line="261" w:lineRule="auto"/>
              <w:ind w:right="499"/>
              <w:rPr>
                <w:sz w:val="13"/>
              </w:rPr>
            </w:pPr>
            <w:r>
              <w:rPr>
                <w:color w:val="231F20"/>
                <w:w w:val="140"/>
                <w:sz w:val="13"/>
              </w:rPr>
              <w:t>Commitment of SMOH to community participation in</w:t>
            </w:r>
            <w:r>
              <w:rPr>
                <w:color w:val="231F20"/>
                <w:spacing w:val="-1"/>
                <w:w w:val="140"/>
                <w:sz w:val="13"/>
              </w:rPr>
              <w:t xml:space="preserve"> </w:t>
            </w:r>
            <w:r>
              <w:rPr>
                <w:color w:val="231F20"/>
                <w:w w:val="140"/>
                <w:sz w:val="13"/>
              </w:rPr>
              <w:t>health.</w:t>
            </w:r>
          </w:p>
          <w:p w14:paraId="7284C1D3" w14:textId="77777777" w:rsidR="009948F1" w:rsidRDefault="00BC0563">
            <w:pPr>
              <w:pStyle w:val="TableParagraph"/>
              <w:numPr>
                <w:ilvl w:val="0"/>
                <w:numId w:val="315"/>
              </w:numPr>
              <w:tabs>
                <w:tab w:val="left" w:pos="837"/>
                <w:tab w:val="left" w:pos="839"/>
              </w:tabs>
              <w:spacing w:before="13" w:line="264" w:lineRule="auto"/>
              <w:ind w:right="194"/>
              <w:rPr>
                <w:sz w:val="13"/>
              </w:rPr>
            </w:pPr>
            <w:r>
              <w:rPr>
                <w:color w:val="231F20"/>
                <w:w w:val="140"/>
                <w:sz w:val="13"/>
              </w:rPr>
              <w:t>Increased inter -sectorial collaboration in emergency</w:t>
            </w:r>
            <w:r>
              <w:rPr>
                <w:color w:val="231F20"/>
                <w:spacing w:val="-1"/>
                <w:w w:val="140"/>
                <w:sz w:val="13"/>
              </w:rPr>
              <w:t xml:space="preserve"> </w:t>
            </w:r>
            <w:r>
              <w:rPr>
                <w:color w:val="231F20"/>
                <w:w w:val="140"/>
                <w:sz w:val="13"/>
              </w:rPr>
              <w:t>services</w:t>
            </w:r>
          </w:p>
          <w:p w14:paraId="6A0CAE71" w14:textId="77777777" w:rsidR="009948F1" w:rsidRDefault="009948F1">
            <w:pPr>
              <w:pStyle w:val="TableParagraph"/>
              <w:spacing w:before="9"/>
              <w:rPr>
                <w:b/>
                <w:i/>
                <w:sz w:val="13"/>
              </w:rPr>
            </w:pPr>
          </w:p>
          <w:p w14:paraId="038D0962" w14:textId="77777777" w:rsidR="009948F1" w:rsidRDefault="00BC0563">
            <w:pPr>
              <w:pStyle w:val="TableParagraph"/>
              <w:numPr>
                <w:ilvl w:val="0"/>
                <w:numId w:val="315"/>
              </w:numPr>
              <w:tabs>
                <w:tab w:val="left" w:pos="837"/>
                <w:tab w:val="left" w:pos="839"/>
              </w:tabs>
              <w:spacing w:line="261" w:lineRule="auto"/>
              <w:ind w:right="144"/>
              <w:rPr>
                <w:sz w:val="13"/>
              </w:rPr>
            </w:pPr>
            <w:r>
              <w:rPr>
                <w:color w:val="231F20"/>
                <w:w w:val="140"/>
                <w:sz w:val="13"/>
              </w:rPr>
              <w:t>The development partners to key into the activities of the SSHDP</w:t>
            </w:r>
            <w:r>
              <w:rPr>
                <w:color w:val="231F20"/>
                <w:spacing w:val="-6"/>
                <w:w w:val="140"/>
                <w:sz w:val="13"/>
              </w:rPr>
              <w:t xml:space="preserve"> </w:t>
            </w:r>
            <w:r>
              <w:rPr>
                <w:color w:val="231F20"/>
                <w:w w:val="140"/>
                <w:sz w:val="13"/>
              </w:rPr>
              <w:t>II.</w:t>
            </w:r>
          </w:p>
          <w:p w14:paraId="54ADB065" w14:textId="77777777" w:rsidR="009948F1" w:rsidRDefault="00BC0563">
            <w:pPr>
              <w:pStyle w:val="TableParagraph"/>
              <w:numPr>
                <w:ilvl w:val="0"/>
                <w:numId w:val="315"/>
              </w:numPr>
              <w:tabs>
                <w:tab w:val="left" w:pos="837"/>
                <w:tab w:val="left" w:pos="839"/>
              </w:tabs>
              <w:spacing w:before="15" w:line="261" w:lineRule="auto"/>
              <w:ind w:right="407"/>
              <w:rPr>
                <w:sz w:val="13"/>
              </w:rPr>
            </w:pPr>
            <w:r>
              <w:rPr>
                <w:color w:val="231F20"/>
                <w:w w:val="140"/>
                <w:sz w:val="13"/>
              </w:rPr>
              <w:t>Increased collaboration of SMOH with stakeholders and</w:t>
            </w:r>
            <w:r>
              <w:rPr>
                <w:color w:val="231F20"/>
                <w:spacing w:val="-2"/>
                <w:w w:val="140"/>
                <w:sz w:val="13"/>
              </w:rPr>
              <w:t xml:space="preserve"> </w:t>
            </w:r>
            <w:r>
              <w:rPr>
                <w:color w:val="231F20"/>
                <w:w w:val="140"/>
                <w:sz w:val="13"/>
              </w:rPr>
              <w:t>donor.</w:t>
            </w:r>
          </w:p>
          <w:p w14:paraId="2654EA96" w14:textId="77777777" w:rsidR="009948F1" w:rsidRDefault="00BC0563">
            <w:pPr>
              <w:pStyle w:val="TableParagraph"/>
              <w:numPr>
                <w:ilvl w:val="0"/>
                <w:numId w:val="315"/>
              </w:numPr>
              <w:tabs>
                <w:tab w:val="left" w:pos="837"/>
                <w:tab w:val="left" w:pos="839"/>
              </w:tabs>
              <w:spacing w:before="12" w:line="261" w:lineRule="auto"/>
              <w:ind w:right="147"/>
              <w:rPr>
                <w:sz w:val="13"/>
              </w:rPr>
            </w:pPr>
            <w:r>
              <w:rPr>
                <w:color w:val="231F20"/>
                <w:w w:val="140"/>
                <w:sz w:val="13"/>
              </w:rPr>
              <w:t>Proper implementation of PPP guidelines at various</w:t>
            </w:r>
            <w:r>
              <w:rPr>
                <w:color w:val="231F20"/>
                <w:spacing w:val="-1"/>
                <w:w w:val="140"/>
                <w:sz w:val="13"/>
              </w:rPr>
              <w:t xml:space="preserve"> </w:t>
            </w:r>
            <w:r>
              <w:rPr>
                <w:color w:val="231F20"/>
                <w:w w:val="140"/>
                <w:sz w:val="13"/>
              </w:rPr>
              <w:t>levels.</w:t>
            </w:r>
          </w:p>
          <w:p w14:paraId="22B83271" w14:textId="77777777" w:rsidR="009948F1" w:rsidRDefault="00BC0563">
            <w:pPr>
              <w:pStyle w:val="TableParagraph"/>
              <w:numPr>
                <w:ilvl w:val="0"/>
                <w:numId w:val="315"/>
              </w:numPr>
              <w:tabs>
                <w:tab w:val="left" w:pos="837"/>
                <w:tab w:val="left" w:pos="839"/>
              </w:tabs>
              <w:spacing w:before="13" w:line="261" w:lineRule="auto"/>
              <w:ind w:right="285"/>
              <w:rPr>
                <w:sz w:val="13"/>
              </w:rPr>
            </w:pPr>
            <w:r>
              <w:rPr>
                <w:color w:val="231F20"/>
                <w:w w:val="140"/>
                <w:sz w:val="13"/>
              </w:rPr>
              <w:t xml:space="preserve">Saving one million lives is an avenue </w:t>
            </w:r>
            <w:r>
              <w:rPr>
                <w:color w:val="231F20"/>
                <w:spacing w:val="-7"/>
                <w:w w:val="140"/>
                <w:sz w:val="13"/>
              </w:rPr>
              <w:t xml:space="preserve">to </w:t>
            </w:r>
            <w:r>
              <w:rPr>
                <w:color w:val="231F20"/>
                <w:w w:val="140"/>
                <w:sz w:val="13"/>
              </w:rPr>
              <w:t>improve the state’s health</w:t>
            </w:r>
            <w:r>
              <w:rPr>
                <w:color w:val="231F20"/>
                <w:spacing w:val="-3"/>
                <w:w w:val="140"/>
                <w:sz w:val="13"/>
              </w:rPr>
              <w:t xml:space="preserve"> </w:t>
            </w:r>
            <w:r>
              <w:rPr>
                <w:color w:val="231F20"/>
                <w:w w:val="140"/>
                <w:sz w:val="13"/>
              </w:rPr>
              <w:t>indicators.</w:t>
            </w:r>
          </w:p>
          <w:p w14:paraId="0F73EA80" w14:textId="77777777" w:rsidR="009948F1" w:rsidRDefault="00BC0563">
            <w:pPr>
              <w:pStyle w:val="TableParagraph"/>
              <w:numPr>
                <w:ilvl w:val="0"/>
                <w:numId w:val="315"/>
              </w:numPr>
              <w:tabs>
                <w:tab w:val="left" w:pos="837"/>
                <w:tab w:val="left" w:pos="839"/>
              </w:tabs>
              <w:spacing w:before="15" w:line="271" w:lineRule="auto"/>
              <w:ind w:right="438"/>
              <w:rPr>
                <w:sz w:val="13"/>
              </w:rPr>
            </w:pPr>
            <w:r>
              <w:rPr>
                <w:color w:val="231F20"/>
                <w:spacing w:val="-6"/>
                <w:w w:val="140"/>
                <w:sz w:val="13"/>
              </w:rPr>
              <w:t xml:space="preserve">Task </w:t>
            </w:r>
            <w:r>
              <w:rPr>
                <w:color w:val="231F20"/>
                <w:w w:val="140"/>
                <w:sz w:val="13"/>
              </w:rPr>
              <w:t xml:space="preserve">Shifting/Sharing Policy would improve skills of health workers in </w:t>
            </w:r>
            <w:r>
              <w:rPr>
                <w:color w:val="231F20"/>
                <w:spacing w:val="-6"/>
                <w:w w:val="140"/>
                <w:sz w:val="13"/>
              </w:rPr>
              <w:t xml:space="preserve">the </w:t>
            </w:r>
            <w:r>
              <w:rPr>
                <w:color w:val="231F20"/>
                <w:w w:val="140"/>
                <w:sz w:val="13"/>
              </w:rPr>
              <w:t>communities.</w:t>
            </w:r>
          </w:p>
          <w:p w14:paraId="6CF7F4FB" w14:textId="77777777" w:rsidR="009948F1" w:rsidRDefault="00BC0563">
            <w:pPr>
              <w:pStyle w:val="TableParagraph"/>
              <w:numPr>
                <w:ilvl w:val="0"/>
                <w:numId w:val="315"/>
              </w:numPr>
              <w:tabs>
                <w:tab w:val="left" w:pos="837"/>
                <w:tab w:val="left" w:pos="839"/>
              </w:tabs>
              <w:spacing w:before="7" w:line="160" w:lineRule="atLeast"/>
              <w:ind w:right="487"/>
              <w:rPr>
                <w:sz w:val="13"/>
              </w:rPr>
            </w:pPr>
            <w:r>
              <w:rPr>
                <w:color w:val="231F20"/>
                <w:w w:val="140"/>
                <w:sz w:val="13"/>
              </w:rPr>
              <w:t xml:space="preserve">Enlightenment of Populace on </w:t>
            </w:r>
            <w:r>
              <w:rPr>
                <w:color w:val="231F20"/>
                <w:spacing w:val="-3"/>
                <w:w w:val="140"/>
                <w:sz w:val="13"/>
              </w:rPr>
              <w:t xml:space="preserve">health </w:t>
            </w:r>
            <w:r>
              <w:rPr>
                <w:color w:val="231F20"/>
                <w:w w:val="140"/>
                <w:sz w:val="13"/>
              </w:rPr>
              <w:t>insurance and its</w:t>
            </w:r>
            <w:r>
              <w:rPr>
                <w:color w:val="231F20"/>
                <w:spacing w:val="-2"/>
                <w:w w:val="140"/>
                <w:sz w:val="13"/>
              </w:rPr>
              <w:t xml:space="preserve"> </w:t>
            </w:r>
            <w:r>
              <w:rPr>
                <w:color w:val="231F20"/>
                <w:w w:val="140"/>
                <w:sz w:val="13"/>
              </w:rPr>
              <w:t>benefits.</w:t>
            </w:r>
          </w:p>
        </w:tc>
      </w:tr>
      <w:tr w:rsidR="009948F1" w14:paraId="255C7D39" w14:textId="77777777">
        <w:trPr>
          <w:trHeight w:val="4031"/>
        </w:trPr>
        <w:tc>
          <w:tcPr>
            <w:tcW w:w="4929" w:type="dxa"/>
          </w:tcPr>
          <w:p w14:paraId="29BC036C" w14:textId="77777777" w:rsidR="009948F1" w:rsidRDefault="00BC0563">
            <w:pPr>
              <w:pStyle w:val="TableParagraph"/>
              <w:spacing w:line="146" w:lineRule="exact"/>
              <w:ind w:left="838"/>
              <w:rPr>
                <w:b/>
                <w:sz w:val="13"/>
              </w:rPr>
            </w:pPr>
            <w:r>
              <w:rPr>
                <w:b/>
                <w:color w:val="231F20"/>
                <w:w w:val="140"/>
                <w:sz w:val="13"/>
              </w:rPr>
              <w:t>WEAKNESSES</w:t>
            </w:r>
          </w:p>
          <w:p w14:paraId="2CDBFD75" w14:textId="5292CD52" w:rsidR="009948F1" w:rsidRDefault="00BC0563">
            <w:pPr>
              <w:pStyle w:val="TableParagraph"/>
              <w:numPr>
                <w:ilvl w:val="0"/>
                <w:numId w:val="314"/>
              </w:numPr>
              <w:tabs>
                <w:tab w:val="left" w:pos="838"/>
                <w:tab w:val="left" w:pos="839"/>
              </w:tabs>
              <w:spacing w:before="29" w:line="261" w:lineRule="auto"/>
              <w:ind w:right="708"/>
              <w:rPr>
                <w:sz w:val="13"/>
              </w:rPr>
            </w:pPr>
            <w:r>
              <w:rPr>
                <w:color w:val="231F20"/>
                <w:w w:val="140"/>
                <w:sz w:val="13"/>
              </w:rPr>
              <w:t>Co</w:t>
            </w:r>
            <w:r w:rsidR="00764F74">
              <w:rPr>
                <w:color w:val="231F20"/>
                <w:w w:val="140"/>
                <w:sz w:val="13"/>
              </w:rPr>
              <w:t>nstraints in funding in the MOH</w:t>
            </w:r>
            <w:r>
              <w:rPr>
                <w:color w:val="231F20"/>
                <w:w w:val="140"/>
                <w:sz w:val="13"/>
              </w:rPr>
              <w:t xml:space="preserve"> affects implementation of</w:t>
            </w:r>
            <w:r>
              <w:rPr>
                <w:color w:val="231F20"/>
                <w:spacing w:val="-1"/>
                <w:w w:val="140"/>
                <w:sz w:val="13"/>
              </w:rPr>
              <w:t xml:space="preserve"> </w:t>
            </w:r>
            <w:r>
              <w:rPr>
                <w:color w:val="231F20"/>
                <w:w w:val="140"/>
                <w:sz w:val="13"/>
              </w:rPr>
              <w:t>programs.</w:t>
            </w:r>
          </w:p>
          <w:p w14:paraId="0E974653" w14:textId="77777777" w:rsidR="009948F1" w:rsidRDefault="00BC0563">
            <w:pPr>
              <w:pStyle w:val="TableParagraph"/>
              <w:numPr>
                <w:ilvl w:val="0"/>
                <w:numId w:val="314"/>
              </w:numPr>
              <w:tabs>
                <w:tab w:val="left" w:pos="838"/>
                <w:tab w:val="left" w:pos="839"/>
              </w:tabs>
              <w:spacing w:before="13"/>
              <w:ind w:hanging="366"/>
              <w:rPr>
                <w:sz w:val="13"/>
              </w:rPr>
            </w:pPr>
            <w:r>
              <w:rPr>
                <w:color w:val="231F20"/>
                <w:w w:val="140"/>
                <w:sz w:val="13"/>
              </w:rPr>
              <w:t>leadership and accountability is</w:t>
            </w:r>
            <w:r>
              <w:rPr>
                <w:color w:val="231F20"/>
                <w:spacing w:val="-2"/>
                <w:w w:val="140"/>
                <w:sz w:val="13"/>
              </w:rPr>
              <w:t xml:space="preserve"> </w:t>
            </w:r>
            <w:r>
              <w:rPr>
                <w:color w:val="231F20"/>
                <w:w w:val="140"/>
                <w:sz w:val="13"/>
              </w:rPr>
              <w:t>weak</w:t>
            </w:r>
          </w:p>
          <w:p w14:paraId="5C71A94E" w14:textId="77777777" w:rsidR="009948F1" w:rsidRDefault="00BC0563">
            <w:pPr>
              <w:pStyle w:val="TableParagraph"/>
              <w:numPr>
                <w:ilvl w:val="0"/>
                <w:numId w:val="314"/>
              </w:numPr>
              <w:tabs>
                <w:tab w:val="left" w:pos="838"/>
                <w:tab w:val="left" w:pos="839"/>
              </w:tabs>
              <w:spacing w:before="14" w:line="264" w:lineRule="auto"/>
              <w:ind w:right="127"/>
              <w:rPr>
                <w:sz w:val="13"/>
              </w:rPr>
            </w:pPr>
            <w:r>
              <w:rPr>
                <w:color w:val="231F20"/>
                <w:w w:val="140"/>
                <w:sz w:val="13"/>
              </w:rPr>
              <w:t>Poor engagement of consumers in most PHC facilities even with regular meetings taking</w:t>
            </w:r>
            <w:r>
              <w:rPr>
                <w:color w:val="231F20"/>
                <w:spacing w:val="-3"/>
                <w:w w:val="140"/>
                <w:sz w:val="13"/>
              </w:rPr>
              <w:t xml:space="preserve"> </w:t>
            </w:r>
            <w:r>
              <w:rPr>
                <w:color w:val="231F20"/>
                <w:w w:val="140"/>
                <w:sz w:val="13"/>
              </w:rPr>
              <w:t>place.</w:t>
            </w:r>
          </w:p>
          <w:p w14:paraId="0F78F64C" w14:textId="77777777" w:rsidR="009948F1" w:rsidRDefault="00BC0563">
            <w:pPr>
              <w:pStyle w:val="TableParagraph"/>
              <w:numPr>
                <w:ilvl w:val="0"/>
                <w:numId w:val="314"/>
              </w:numPr>
              <w:tabs>
                <w:tab w:val="left" w:pos="838"/>
                <w:tab w:val="left" w:pos="839"/>
              </w:tabs>
              <w:spacing w:before="12"/>
              <w:ind w:hanging="366"/>
              <w:rPr>
                <w:sz w:val="13"/>
              </w:rPr>
            </w:pPr>
            <w:r>
              <w:rPr>
                <w:color w:val="231F20"/>
                <w:w w:val="140"/>
                <w:sz w:val="13"/>
              </w:rPr>
              <w:t>Many private hospitals remain</w:t>
            </w:r>
            <w:r>
              <w:rPr>
                <w:color w:val="231F20"/>
                <w:spacing w:val="-2"/>
                <w:w w:val="140"/>
                <w:sz w:val="13"/>
              </w:rPr>
              <w:t xml:space="preserve"> </w:t>
            </w:r>
            <w:r>
              <w:rPr>
                <w:color w:val="231F20"/>
                <w:w w:val="140"/>
                <w:sz w:val="13"/>
              </w:rPr>
              <w:t>unregistered.</w:t>
            </w:r>
          </w:p>
          <w:p w14:paraId="2E8D76BC" w14:textId="77777777" w:rsidR="009948F1" w:rsidRDefault="00BC0563">
            <w:pPr>
              <w:pStyle w:val="TableParagraph"/>
              <w:numPr>
                <w:ilvl w:val="0"/>
                <w:numId w:val="314"/>
              </w:numPr>
              <w:tabs>
                <w:tab w:val="left" w:pos="838"/>
                <w:tab w:val="left" w:pos="839"/>
              </w:tabs>
              <w:spacing w:before="14" w:line="261" w:lineRule="auto"/>
              <w:ind w:right="188"/>
              <w:rPr>
                <w:sz w:val="13"/>
              </w:rPr>
            </w:pPr>
            <w:r>
              <w:rPr>
                <w:color w:val="231F20"/>
                <w:w w:val="140"/>
                <w:sz w:val="13"/>
              </w:rPr>
              <w:t>Publishing of health sector performance was not done.</w:t>
            </w:r>
          </w:p>
          <w:p w14:paraId="0410DBD3" w14:textId="3B7E3C64" w:rsidR="009948F1" w:rsidRDefault="00BC0563">
            <w:pPr>
              <w:pStyle w:val="TableParagraph"/>
              <w:numPr>
                <w:ilvl w:val="0"/>
                <w:numId w:val="314"/>
              </w:numPr>
              <w:tabs>
                <w:tab w:val="left" w:pos="838"/>
                <w:tab w:val="left" w:pos="839"/>
                <w:tab w:val="left" w:pos="3431"/>
              </w:tabs>
              <w:spacing w:before="12" w:line="261" w:lineRule="auto"/>
              <w:ind w:right="178"/>
              <w:rPr>
                <w:sz w:val="13"/>
              </w:rPr>
            </w:pPr>
            <w:r>
              <w:rPr>
                <w:color w:val="231F20"/>
                <w:w w:val="140"/>
                <w:sz w:val="13"/>
              </w:rPr>
              <w:t>Poor documentation</w:t>
            </w:r>
            <w:r>
              <w:rPr>
                <w:color w:val="231F20"/>
                <w:spacing w:val="-2"/>
                <w:w w:val="140"/>
                <w:sz w:val="13"/>
              </w:rPr>
              <w:t xml:space="preserve"> </w:t>
            </w:r>
            <w:r>
              <w:rPr>
                <w:color w:val="231F20"/>
                <w:w w:val="140"/>
                <w:sz w:val="13"/>
              </w:rPr>
              <w:t>of</w:t>
            </w:r>
            <w:r>
              <w:rPr>
                <w:color w:val="231F20"/>
                <w:spacing w:val="-1"/>
                <w:w w:val="140"/>
                <w:sz w:val="13"/>
              </w:rPr>
              <w:t xml:space="preserve"> </w:t>
            </w:r>
            <w:r w:rsidR="00951C85">
              <w:rPr>
                <w:color w:val="231F20"/>
                <w:w w:val="140"/>
                <w:sz w:val="13"/>
              </w:rPr>
              <w:t>mana</w:t>
            </w:r>
            <w:r>
              <w:rPr>
                <w:color w:val="231F20"/>
                <w:w w:val="140"/>
                <w:sz w:val="13"/>
              </w:rPr>
              <w:t xml:space="preserve">gement </w:t>
            </w:r>
            <w:r>
              <w:rPr>
                <w:color w:val="231F20"/>
                <w:spacing w:val="-4"/>
                <w:w w:val="140"/>
                <w:sz w:val="13"/>
              </w:rPr>
              <w:t xml:space="preserve">meeting </w:t>
            </w:r>
            <w:r>
              <w:rPr>
                <w:color w:val="231F20"/>
                <w:w w:val="140"/>
                <w:sz w:val="13"/>
              </w:rPr>
              <w:t>with community representation</w:t>
            </w:r>
            <w:r>
              <w:rPr>
                <w:color w:val="231F20"/>
                <w:spacing w:val="-2"/>
                <w:w w:val="140"/>
                <w:sz w:val="13"/>
              </w:rPr>
              <w:t xml:space="preserve"> </w:t>
            </w:r>
            <w:r>
              <w:rPr>
                <w:color w:val="231F20"/>
                <w:w w:val="140"/>
                <w:sz w:val="13"/>
              </w:rPr>
              <w:t>present.</w:t>
            </w:r>
          </w:p>
          <w:p w14:paraId="15CDD2BF" w14:textId="77777777" w:rsidR="009948F1" w:rsidRDefault="00BC0563">
            <w:pPr>
              <w:pStyle w:val="TableParagraph"/>
              <w:numPr>
                <w:ilvl w:val="0"/>
                <w:numId w:val="314"/>
              </w:numPr>
              <w:tabs>
                <w:tab w:val="left" w:pos="838"/>
                <w:tab w:val="left" w:pos="839"/>
              </w:tabs>
              <w:spacing w:before="15"/>
              <w:ind w:hanging="366"/>
              <w:rPr>
                <w:sz w:val="13"/>
              </w:rPr>
            </w:pPr>
            <w:r>
              <w:rPr>
                <w:color w:val="231F20"/>
                <w:w w:val="140"/>
                <w:sz w:val="13"/>
              </w:rPr>
              <w:t>Bureaucracy in the civil service affects</w:t>
            </w:r>
            <w:r>
              <w:rPr>
                <w:color w:val="231F20"/>
                <w:spacing w:val="-17"/>
                <w:w w:val="140"/>
                <w:sz w:val="13"/>
              </w:rPr>
              <w:t xml:space="preserve"> </w:t>
            </w:r>
            <w:r>
              <w:rPr>
                <w:color w:val="231F20"/>
                <w:w w:val="140"/>
                <w:sz w:val="13"/>
              </w:rPr>
              <w:t>efficiency.</w:t>
            </w:r>
          </w:p>
          <w:p w14:paraId="141A997E" w14:textId="77777777" w:rsidR="009948F1" w:rsidRDefault="00BC0563">
            <w:pPr>
              <w:pStyle w:val="TableParagraph"/>
              <w:numPr>
                <w:ilvl w:val="0"/>
                <w:numId w:val="314"/>
              </w:numPr>
              <w:tabs>
                <w:tab w:val="left" w:pos="838"/>
                <w:tab w:val="left" w:pos="839"/>
              </w:tabs>
              <w:spacing w:before="14"/>
              <w:ind w:hanging="366"/>
              <w:rPr>
                <w:sz w:val="13"/>
              </w:rPr>
            </w:pPr>
            <w:r>
              <w:rPr>
                <w:color w:val="231F20"/>
                <w:w w:val="140"/>
                <w:sz w:val="13"/>
              </w:rPr>
              <w:t>Lack of</w:t>
            </w:r>
            <w:r>
              <w:rPr>
                <w:color w:val="231F20"/>
                <w:spacing w:val="-1"/>
                <w:w w:val="140"/>
                <w:sz w:val="13"/>
              </w:rPr>
              <w:t xml:space="preserve"> </w:t>
            </w:r>
            <w:r>
              <w:rPr>
                <w:color w:val="231F20"/>
                <w:w w:val="140"/>
                <w:sz w:val="13"/>
              </w:rPr>
              <w:t>Resources.</w:t>
            </w:r>
          </w:p>
          <w:p w14:paraId="5B7F41C6" w14:textId="77777777" w:rsidR="009948F1" w:rsidRDefault="00BC0563">
            <w:pPr>
              <w:pStyle w:val="TableParagraph"/>
              <w:numPr>
                <w:ilvl w:val="0"/>
                <w:numId w:val="314"/>
              </w:numPr>
              <w:tabs>
                <w:tab w:val="left" w:pos="838"/>
                <w:tab w:val="left" w:pos="839"/>
              </w:tabs>
              <w:spacing w:before="14"/>
              <w:ind w:hanging="366"/>
              <w:rPr>
                <w:sz w:val="13"/>
              </w:rPr>
            </w:pPr>
            <w:r>
              <w:rPr>
                <w:color w:val="231F20"/>
                <w:w w:val="140"/>
                <w:sz w:val="13"/>
              </w:rPr>
              <w:t>Poor inter-sectorial</w:t>
            </w:r>
            <w:r>
              <w:rPr>
                <w:color w:val="231F20"/>
                <w:spacing w:val="-1"/>
                <w:w w:val="140"/>
                <w:sz w:val="13"/>
              </w:rPr>
              <w:t xml:space="preserve"> </w:t>
            </w:r>
            <w:r>
              <w:rPr>
                <w:color w:val="231F20"/>
                <w:w w:val="140"/>
                <w:sz w:val="13"/>
              </w:rPr>
              <w:t>collaboration.</w:t>
            </w:r>
          </w:p>
          <w:p w14:paraId="3C0B4250" w14:textId="77777777" w:rsidR="009948F1" w:rsidRDefault="00BC0563">
            <w:pPr>
              <w:pStyle w:val="TableParagraph"/>
              <w:numPr>
                <w:ilvl w:val="0"/>
                <w:numId w:val="314"/>
              </w:numPr>
              <w:tabs>
                <w:tab w:val="left" w:pos="838"/>
                <w:tab w:val="left" w:pos="839"/>
              </w:tabs>
              <w:spacing w:before="15"/>
              <w:ind w:hanging="366"/>
              <w:rPr>
                <w:sz w:val="13"/>
              </w:rPr>
            </w:pPr>
            <w:r>
              <w:rPr>
                <w:color w:val="231F20"/>
                <w:w w:val="140"/>
                <w:sz w:val="13"/>
              </w:rPr>
              <w:t>Persistent industrial actions in health</w:t>
            </w:r>
            <w:r>
              <w:rPr>
                <w:color w:val="231F20"/>
                <w:spacing w:val="-7"/>
                <w:w w:val="140"/>
                <w:sz w:val="13"/>
              </w:rPr>
              <w:t xml:space="preserve"> </w:t>
            </w:r>
            <w:r>
              <w:rPr>
                <w:color w:val="231F20"/>
                <w:w w:val="140"/>
                <w:sz w:val="13"/>
              </w:rPr>
              <w:t>sector.</w:t>
            </w:r>
          </w:p>
          <w:p w14:paraId="16FBDACB" w14:textId="77777777" w:rsidR="009948F1" w:rsidRDefault="00BC0563">
            <w:pPr>
              <w:pStyle w:val="TableParagraph"/>
              <w:numPr>
                <w:ilvl w:val="0"/>
                <w:numId w:val="314"/>
              </w:numPr>
              <w:tabs>
                <w:tab w:val="left" w:pos="838"/>
                <w:tab w:val="left" w:pos="839"/>
              </w:tabs>
              <w:spacing w:before="10"/>
              <w:ind w:hanging="366"/>
              <w:rPr>
                <w:b/>
                <w:sz w:val="13"/>
              </w:rPr>
            </w:pPr>
            <w:r>
              <w:rPr>
                <w:color w:val="231F20"/>
                <w:w w:val="140"/>
                <w:sz w:val="13"/>
              </w:rPr>
              <w:t>Poor data</w:t>
            </w:r>
            <w:r>
              <w:rPr>
                <w:color w:val="231F20"/>
                <w:spacing w:val="-1"/>
                <w:w w:val="140"/>
                <w:sz w:val="13"/>
              </w:rPr>
              <w:t xml:space="preserve"> </w:t>
            </w:r>
            <w:r>
              <w:rPr>
                <w:color w:val="231F20"/>
                <w:w w:val="140"/>
                <w:sz w:val="13"/>
              </w:rPr>
              <w:t>tools</w:t>
            </w:r>
            <w:r>
              <w:rPr>
                <w:b/>
                <w:color w:val="231F20"/>
                <w:w w:val="140"/>
                <w:sz w:val="13"/>
              </w:rPr>
              <w:t>.</w:t>
            </w:r>
          </w:p>
          <w:p w14:paraId="57056E85" w14:textId="77777777" w:rsidR="009948F1" w:rsidRDefault="00BC0563">
            <w:pPr>
              <w:pStyle w:val="TableParagraph"/>
              <w:numPr>
                <w:ilvl w:val="0"/>
                <w:numId w:val="314"/>
              </w:numPr>
              <w:tabs>
                <w:tab w:val="left" w:pos="838"/>
                <w:tab w:val="left" w:pos="839"/>
              </w:tabs>
              <w:spacing w:before="20"/>
              <w:ind w:hanging="366"/>
              <w:rPr>
                <w:sz w:val="13"/>
              </w:rPr>
            </w:pPr>
            <w:r>
              <w:rPr>
                <w:color w:val="231F20"/>
                <w:w w:val="140"/>
                <w:sz w:val="13"/>
              </w:rPr>
              <w:t>Weak monitoring and</w:t>
            </w:r>
            <w:r>
              <w:rPr>
                <w:color w:val="231F20"/>
                <w:spacing w:val="-2"/>
                <w:w w:val="140"/>
                <w:sz w:val="13"/>
              </w:rPr>
              <w:t xml:space="preserve"> </w:t>
            </w:r>
            <w:r>
              <w:rPr>
                <w:color w:val="231F20"/>
                <w:w w:val="140"/>
                <w:sz w:val="13"/>
              </w:rPr>
              <w:t>evaluation.</w:t>
            </w:r>
          </w:p>
          <w:p w14:paraId="066DB6D1" w14:textId="77777777" w:rsidR="009948F1" w:rsidRDefault="00BC0563">
            <w:pPr>
              <w:pStyle w:val="TableParagraph"/>
              <w:numPr>
                <w:ilvl w:val="0"/>
                <w:numId w:val="314"/>
              </w:numPr>
              <w:tabs>
                <w:tab w:val="left" w:pos="838"/>
                <w:tab w:val="left" w:pos="839"/>
              </w:tabs>
              <w:spacing w:before="14"/>
              <w:ind w:hanging="366"/>
              <w:rPr>
                <w:sz w:val="13"/>
              </w:rPr>
            </w:pPr>
            <w:r>
              <w:rPr>
                <w:color w:val="231F20"/>
                <w:w w:val="140"/>
                <w:sz w:val="13"/>
              </w:rPr>
              <w:t>Weak enforcement of</w:t>
            </w:r>
            <w:r>
              <w:rPr>
                <w:color w:val="231F20"/>
                <w:spacing w:val="-2"/>
                <w:w w:val="140"/>
                <w:sz w:val="13"/>
              </w:rPr>
              <w:t xml:space="preserve"> </w:t>
            </w:r>
            <w:r>
              <w:rPr>
                <w:color w:val="231F20"/>
                <w:w w:val="140"/>
                <w:sz w:val="13"/>
              </w:rPr>
              <w:t>policies.</w:t>
            </w:r>
          </w:p>
          <w:p w14:paraId="3A0B22E1" w14:textId="77777777" w:rsidR="009948F1" w:rsidRDefault="00BC0563">
            <w:pPr>
              <w:pStyle w:val="TableParagraph"/>
              <w:numPr>
                <w:ilvl w:val="0"/>
                <w:numId w:val="314"/>
              </w:numPr>
              <w:tabs>
                <w:tab w:val="left" w:pos="838"/>
                <w:tab w:val="left" w:pos="839"/>
              </w:tabs>
              <w:spacing w:before="14"/>
              <w:ind w:hanging="366"/>
              <w:rPr>
                <w:sz w:val="13"/>
              </w:rPr>
            </w:pPr>
            <w:r>
              <w:rPr>
                <w:color w:val="231F20"/>
                <w:w w:val="140"/>
                <w:sz w:val="13"/>
              </w:rPr>
              <w:t>Poorly observed</w:t>
            </w:r>
            <w:r>
              <w:rPr>
                <w:color w:val="231F20"/>
                <w:spacing w:val="-1"/>
                <w:w w:val="140"/>
                <w:sz w:val="13"/>
              </w:rPr>
              <w:t xml:space="preserve"> </w:t>
            </w:r>
            <w:r>
              <w:rPr>
                <w:color w:val="231F20"/>
                <w:w w:val="140"/>
                <w:sz w:val="13"/>
              </w:rPr>
              <w:t>protocols.</w:t>
            </w:r>
          </w:p>
          <w:p w14:paraId="5845D8FE" w14:textId="77777777" w:rsidR="009948F1" w:rsidRDefault="00BC0563">
            <w:pPr>
              <w:pStyle w:val="TableParagraph"/>
              <w:numPr>
                <w:ilvl w:val="0"/>
                <w:numId w:val="314"/>
              </w:numPr>
              <w:tabs>
                <w:tab w:val="left" w:pos="838"/>
                <w:tab w:val="left" w:pos="839"/>
              </w:tabs>
              <w:spacing w:before="14" w:line="261" w:lineRule="auto"/>
              <w:ind w:right="421"/>
              <w:rPr>
                <w:sz w:val="13"/>
              </w:rPr>
            </w:pPr>
            <w:r>
              <w:rPr>
                <w:color w:val="231F20"/>
                <w:w w:val="140"/>
                <w:sz w:val="13"/>
              </w:rPr>
              <w:t>HMIS data is not used for decision making despite improvement from baseline</w:t>
            </w:r>
            <w:r>
              <w:rPr>
                <w:color w:val="231F20"/>
                <w:spacing w:val="16"/>
                <w:w w:val="140"/>
                <w:sz w:val="13"/>
              </w:rPr>
              <w:t xml:space="preserve"> </w:t>
            </w:r>
            <w:r>
              <w:rPr>
                <w:color w:val="231F20"/>
                <w:spacing w:val="-3"/>
                <w:w w:val="140"/>
                <w:sz w:val="13"/>
              </w:rPr>
              <w:t>reporting.</w:t>
            </w:r>
          </w:p>
          <w:p w14:paraId="0AA27E84" w14:textId="77777777" w:rsidR="009948F1" w:rsidRDefault="00BC0563">
            <w:pPr>
              <w:pStyle w:val="TableParagraph"/>
              <w:numPr>
                <w:ilvl w:val="0"/>
                <w:numId w:val="314"/>
              </w:numPr>
              <w:tabs>
                <w:tab w:val="left" w:pos="838"/>
                <w:tab w:val="left" w:pos="839"/>
              </w:tabs>
              <w:spacing w:before="13"/>
              <w:ind w:hanging="366"/>
              <w:rPr>
                <w:sz w:val="13"/>
              </w:rPr>
            </w:pPr>
            <w:r>
              <w:rPr>
                <w:color w:val="231F20"/>
                <w:w w:val="140"/>
                <w:sz w:val="13"/>
              </w:rPr>
              <w:t>Dwindling donor</w:t>
            </w:r>
            <w:r>
              <w:rPr>
                <w:color w:val="231F20"/>
                <w:spacing w:val="-1"/>
                <w:w w:val="140"/>
                <w:sz w:val="13"/>
              </w:rPr>
              <w:t xml:space="preserve"> </w:t>
            </w:r>
            <w:r>
              <w:rPr>
                <w:color w:val="231F20"/>
                <w:w w:val="140"/>
                <w:sz w:val="13"/>
              </w:rPr>
              <w:t>funds.</w:t>
            </w:r>
          </w:p>
        </w:tc>
        <w:tc>
          <w:tcPr>
            <w:tcW w:w="4317" w:type="dxa"/>
          </w:tcPr>
          <w:p w14:paraId="16DC3332" w14:textId="77777777" w:rsidR="009948F1" w:rsidRDefault="00BC0563">
            <w:pPr>
              <w:pStyle w:val="TableParagraph"/>
              <w:spacing w:line="146" w:lineRule="exact"/>
              <w:ind w:left="838"/>
              <w:rPr>
                <w:b/>
                <w:sz w:val="13"/>
              </w:rPr>
            </w:pPr>
            <w:r>
              <w:rPr>
                <w:b/>
                <w:color w:val="231F20"/>
                <w:w w:val="140"/>
                <w:sz w:val="13"/>
              </w:rPr>
              <w:t>THREATS</w:t>
            </w:r>
          </w:p>
          <w:p w14:paraId="18A4C335" w14:textId="77777777" w:rsidR="009948F1" w:rsidRDefault="00BC0563">
            <w:pPr>
              <w:pStyle w:val="TableParagraph"/>
              <w:numPr>
                <w:ilvl w:val="0"/>
                <w:numId w:val="313"/>
              </w:numPr>
              <w:tabs>
                <w:tab w:val="left" w:pos="837"/>
                <w:tab w:val="left" w:pos="839"/>
              </w:tabs>
              <w:spacing w:before="29"/>
              <w:ind w:hanging="366"/>
              <w:rPr>
                <w:sz w:val="13"/>
              </w:rPr>
            </w:pPr>
            <w:r>
              <w:rPr>
                <w:color w:val="231F20"/>
                <w:w w:val="140"/>
                <w:sz w:val="13"/>
              </w:rPr>
              <w:t>Lack of electricity for</w:t>
            </w:r>
            <w:r>
              <w:rPr>
                <w:color w:val="231F20"/>
                <w:spacing w:val="-2"/>
                <w:w w:val="140"/>
                <w:sz w:val="13"/>
              </w:rPr>
              <w:t xml:space="preserve"> </w:t>
            </w:r>
            <w:r>
              <w:rPr>
                <w:color w:val="231F20"/>
                <w:w w:val="140"/>
                <w:sz w:val="13"/>
              </w:rPr>
              <w:t>vaccines</w:t>
            </w:r>
          </w:p>
          <w:p w14:paraId="03E18B05" w14:textId="77777777" w:rsidR="009948F1" w:rsidRDefault="00BC0563">
            <w:pPr>
              <w:pStyle w:val="TableParagraph"/>
              <w:numPr>
                <w:ilvl w:val="0"/>
                <w:numId w:val="313"/>
              </w:numPr>
              <w:tabs>
                <w:tab w:val="left" w:pos="837"/>
                <w:tab w:val="left" w:pos="839"/>
              </w:tabs>
              <w:spacing w:before="14" w:line="261" w:lineRule="auto"/>
              <w:ind w:right="204"/>
              <w:rPr>
                <w:sz w:val="13"/>
              </w:rPr>
            </w:pPr>
            <w:r>
              <w:rPr>
                <w:color w:val="231F20"/>
                <w:w w:val="140"/>
                <w:sz w:val="13"/>
              </w:rPr>
              <w:t>Inadequate/ lack of funds for health from the state</w:t>
            </w:r>
            <w:r>
              <w:rPr>
                <w:color w:val="231F20"/>
                <w:spacing w:val="-1"/>
                <w:w w:val="140"/>
                <w:sz w:val="13"/>
              </w:rPr>
              <w:t xml:space="preserve"> </w:t>
            </w:r>
            <w:r>
              <w:rPr>
                <w:color w:val="231F20"/>
                <w:w w:val="140"/>
                <w:sz w:val="13"/>
              </w:rPr>
              <w:t>budget.</w:t>
            </w:r>
          </w:p>
          <w:p w14:paraId="7E9EEC38" w14:textId="77777777" w:rsidR="009948F1" w:rsidRDefault="00BC0563">
            <w:pPr>
              <w:pStyle w:val="TableParagraph"/>
              <w:numPr>
                <w:ilvl w:val="0"/>
                <w:numId w:val="313"/>
              </w:numPr>
              <w:tabs>
                <w:tab w:val="left" w:pos="837"/>
                <w:tab w:val="left" w:pos="839"/>
              </w:tabs>
              <w:spacing w:before="13"/>
              <w:ind w:hanging="366"/>
              <w:rPr>
                <w:sz w:val="13"/>
              </w:rPr>
            </w:pPr>
            <w:r>
              <w:rPr>
                <w:color w:val="231F20"/>
                <w:w w:val="140"/>
                <w:sz w:val="13"/>
              </w:rPr>
              <w:t>Poor attitude of health</w:t>
            </w:r>
            <w:r>
              <w:rPr>
                <w:color w:val="231F20"/>
                <w:spacing w:val="-3"/>
                <w:w w:val="140"/>
                <w:sz w:val="13"/>
              </w:rPr>
              <w:t xml:space="preserve"> </w:t>
            </w:r>
            <w:r>
              <w:rPr>
                <w:color w:val="231F20"/>
                <w:w w:val="140"/>
                <w:sz w:val="13"/>
              </w:rPr>
              <w:t>workers.</w:t>
            </w:r>
          </w:p>
          <w:p w14:paraId="31D92365" w14:textId="77777777" w:rsidR="009948F1" w:rsidRDefault="00BC0563">
            <w:pPr>
              <w:pStyle w:val="TableParagraph"/>
              <w:numPr>
                <w:ilvl w:val="0"/>
                <w:numId w:val="313"/>
              </w:numPr>
              <w:tabs>
                <w:tab w:val="left" w:pos="839"/>
              </w:tabs>
              <w:spacing w:before="16" w:line="271" w:lineRule="auto"/>
              <w:ind w:right="275"/>
              <w:jc w:val="both"/>
              <w:rPr>
                <w:sz w:val="13"/>
              </w:rPr>
            </w:pPr>
            <w:r>
              <w:rPr>
                <w:color w:val="231F20"/>
                <w:w w:val="140"/>
                <w:sz w:val="13"/>
              </w:rPr>
              <w:t xml:space="preserve">High out -of-pocket expenses for </w:t>
            </w:r>
            <w:r>
              <w:rPr>
                <w:color w:val="231F20"/>
                <w:spacing w:val="-3"/>
                <w:w w:val="140"/>
                <w:sz w:val="13"/>
              </w:rPr>
              <w:t xml:space="preserve">health </w:t>
            </w:r>
            <w:r>
              <w:rPr>
                <w:color w:val="231F20"/>
                <w:w w:val="140"/>
                <w:sz w:val="13"/>
              </w:rPr>
              <w:t xml:space="preserve">care services reducing access to </w:t>
            </w:r>
            <w:r>
              <w:rPr>
                <w:color w:val="231F20"/>
                <w:spacing w:val="-3"/>
                <w:w w:val="140"/>
                <w:sz w:val="13"/>
              </w:rPr>
              <w:t xml:space="preserve">health </w:t>
            </w:r>
            <w:r>
              <w:rPr>
                <w:color w:val="231F20"/>
                <w:w w:val="140"/>
                <w:sz w:val="13"/>
              </w:rPr>
              <w:t>services.</w:t>
            </w:r>
          </w:p>
          <w:p w14:paraId="722FA7B0" w14:textId="77777777" w:rsidR="009948F1" w:rsidRDefault="00BC0563">
            <w:pPr>
              <w:pStyle w:val="TableParagraph"/>
              <w:numPr>
                <w:ilvl w:val="0"/>
                <w:numId w:val="313"/>
              </w:numPr>
              <w:tabs>
                <w:tab w:val="left" w:pos="839"/>
              </w:tabs>
              <w:spacing w:before="7" w:line="261" w:lineRule="auto"/>
              <w:ind w:right="471"/>
              <w:jc w:val="both"/>
              <w:rPr>
                <w:sz w:val="13"/>
              </w:rPr>
            </w:pPr>
            <w:r>
              <w:rPr>
                <w:color w:val="231F20"/>
                <w:w w:val="140"/>
                <w:sz w:val="13"/>
              </w:rPr>
              <w:t>High staff attrition due to high level of insecurity.</w:t>
            </w:r>
          </w:p>
          <w:p w14:paraId="29410E83" w14:textId="77777777" w:rsidR="009948F1" w:rsidRDefault="00BC0563">
            <w:pPr>
              <w:pStyle w:val="TableParagraph"/>
              <w:numPr>
                <w:ilvl w:val="0"/>
                <w:numId w:val="313"/>
              </w:numPr>
              <w:tabs>
                <w:tab w:val="left" w:pos="839"/>
              </w:tabs>
              <w:spacing w:before="13"/>
              <w:ind w:hanging="366"/>
              <w:jc w:val="both"/>
              <w:rPr>
                <w:sz w:val="13"/>
              </w:rPr>
            </w:pPr>
            <w:r>
              <w:rPr>
                <w:color w:val="231F20"/>
                <w:w w:val="140"/>
                <w:sz w:val="13"/>
              </w:rPr>
              <w:t>Poor enrolment in health</w:t>
            </w:r>
            <w:r>
              <w:rPr>
                <w:color w:val="231F20"/>
                <w:spacing w:val="-2"/>
                <w:w w:val="140"/>
                <w:sz w:val="13"/>
              </w:rPr>
              <w:t xml:space="preserve"> </w:t>
            </w:r>
            <w:r>
              <w:rPr>
                <w:color w:val="231F20"/>
                <w:w w:val="140"/>
                <w:sz w:val="13"/>
              </w:rPr>
              <w:t>insurance.</w:t>
            </w:r>
          </w:p>
          <w:p w14:paraId="3FD68FEE" w14:textId="77777777" w:rsidR="009948F1" w:rsidRDefault="00BC0563">
            <w:pPr>
              <w:pStyle w:val="TableParagraph"/>
              <w:numPr>
                <w:ilvl w:val="0"/>
                <w:numId w:val="313"/>
              </w:numPr>
              <w:tabs>
                <w:tab w:val="left" w:pos="839"/>
              </w:tabs>
              <w:spacing w:before="16" w:line="261" w:lineRule="auto"/>
              <w:ind w:right="234"/>
              <w:jc w:val="both"/>
              <w:rPr>
                <w:sz w:val="13"/>
              </w:rPr>
            </w:pPr>
            <w:r>
              <w:rPr>
                <w:color w:val="231F20"/>
                <w:w w:val="140"/>
                <w:sz w:val="13"/>
              </w:rPr>
              <w:t>Incessant outbreaks of communicable diseases and other health</w:t>
            </w:r>
            <w:r>
              <w:rPr>
                <w:color w:val="231F20"/>
                <w:spacing w:val="-12"/>
                <w:w w:val="140"/>
                <w:sz w:val="13"/>
              </w:rPr>
              <w:t xml:space="preserve"> </w:t>
            </w:r>
            <w:r>
              <w:rPr>
                <w:color w:val="231F20"/>
                <w:w w:val="140"/>
                <w:sz w:val="13"/>
              </w:rPr>
              <w:t>emergencies.</w:t>
            </w:r>
          </w:p>
        </w:tc>
      </w:tr>
    </w:tbl>
    <w:p w14:paraId="683CAC6D" w14:textId="77777777" w:rsidR="009948F1" w:rsidRDefault="009948F1">
      <w:pPr>
        <w:spacing w:line="261" w:lineRule="auto"/>
        <w:jc w:val="both"/>
        <w:rPr>
          <w:sz w:val="13"/>
        </w:rPr>
        <w:sectPr w:rsidR="009948F1">
          <w:pgSz w:w="11910" w:h="16840"/>
          <w:pgMar w:top="1560" w:right="1080" w:bottom="1420" w:left="1120" w:header="0" w:footer="1235" w:gutter="0"/>
          <w:cols w:space="720"/>
        </w:sectPr>
      </w:pPr>
    </w:p>
    <w:p w14:paraId="7AAFBEB1" w14:textId="77777777" w:rsidR="009948F1" w:rsidRDefault="00BC0563">
      <w:pPr>
        <w:pStyle w:val="Heading7"/>
        <w:numPr>
          <w:ilvl w:val="1"/>
          <w:numId w:val="321"/>
        </w:numPr>
        <w:tabs>
          <w:tab w:val="left" w:pos="486"/>
        </w:tabs>
        <w:spacing w:before="43"/>
        <w:ind w:left="485" w:hanging="343"/>
        <w:jc w:val="both"/>
        <w:rPr>
          <w:color w:val="231F20"/>
        </w:rPr>
      </w:pPr>
      <w:bookmarkStart w:id="43" w:name="Page_32"/>
      <w:bookmarkStart w:id="44" w:name="_TOC_250026"/>
      <w:bookmarkEnd w:id="43"/>
      <w:r>
        <w:rPr>
          <w:color w:val="231F20"/>
        </w:rPr>
        <w:lastRenderedPageBreak/>
        <w:t>Key</w:t>
      </w:r>
      <w:r>
        <w:rPr>
          <w:color w:val="231F20"/>
          <w:spacing w:val="-25"/>
        </w:rPr>
        <w:t xml:space="preserve"> </w:t>
      </w:r>
      <w:r>
        <w:rPr>
          <w:color w:val="231F20"/>
        </w:rPr>
        <w:t>issues</w:t>
      </w:r>
      <w:r>
        <w:rPr>
          <w:color w:val="231F20"/>
          <w:spacing w:val="-25"/>
        </w:rPr>
        <w:t xml:space="preserve"> </w:t>
      </w:r>
      <w:r>
        <w:rPr>
          <w:color w:val="231F20"/>
        </w:rPr>
        <w:t>and</w:t>
      </w:r>
      <w:r>
        <w:rPr>
          <w:color w:val="231F20"/>
          <w:spacing w:val="-25"/>
        </w:rPr>
        <w:t xml:space="preserve"> </w:t>
      </w:r>
      <w:bookmarkEnd w:id="44"/>
      <w:r>
        <w:rPr>
          <w:color w:val="231F20"/>
        </w:rPr>
        <w:t>challenges</w:t>
      </w:r>
    </w:p>
    <w:p w14:paraId="4333781F" w14:textId="3429915A" w:rsidR="009948F1" w:rsidRDefault="00BC0563">
      <w:pPr>
        <w:pStyle w:val="BodyText"/>
        <w:spacing w:before="9" w:line="247" w:lineRule="auto"/>
        <w:ind w:left="142" w:right="266"/>
        <w:jc w:val="both"/>
      </w:pPr>
      <w:r>
        <w:rPr>
          <w:color w:val="231F20"/>
        </w:rPr>
        <w:t>The</w:t>
      </w:r>
      <w:r>
        <w:rPr>
          <w:color w:val="231F20"/>
          <w:spacing w:val="-20"/>
        </w:rPr>
        <w:t xml:space="preserve"> </w:t>
      </w:r>
      <w:r>
        <w:rPr>
          <w:color w:val="231F20"/>
        </w:rPr>
        <w:t>health</w:t>
      </w:r>
      <w:r>
        <w:rPr>
          <w:color w:val="231F20"/>
          <w:spacing w:val="-18"/>
        </w:rPr>
        <w:t xml:space="preserve"> </w:t>
      </w:r>
      <w:r>
        <w:rPr>
          <w:color w:val="231F20"/>
        </w:rPr>
        <w:t>Sector</w:t>
      </w:r>
      <w:r>
        <w:rPr>
          <w:color w:val="231F20"/>
          <w:spacing w:val="-20"/>
        </w:rPr>
        <w:t xml:space="preserve"> </w:t>
      </w:r>
      <w:r>
        <w:rPr>
          <w:color w:val="231F20"/>
        </w:rPr>
        <w:t>continues</w:t>
      </w:r>
      <w:r>
        <w:rPr>
          <w:color w:val="231F20"/>
          <w:spacing w:val="-18"/>
        </w:rPr>
        <w:t xml:space="preserve"> </w:t>
      </w:r>
      <w:r>
        <w:rPr>
          <w:color w:val="231F20"/>
        </w:rPr>
        <w:t>to</w:t>
      </w:r>
      <w:r>
        <w:rPr>
          <w:color w:val="231F20"/>
          <w:spacing w:val="-19"/>
        </w:rPr>
        <w:t xml:space="preserve"> </w:t>
      </w:r>
      <w:r>
        <w:rPr>
          <w:color w:val="231F20"/>
        </w:rPr>
        <w:t>encounter</w:t>
      </w:r>
      <w:r>
        <w:rPr>
          <w:color w:val="231F20"/>
          <w:spacing w:val="-19"/>
        </w:rPr>
        <w:t xml:space="preserve"> </w:t>
      </w:r>
      <w:r>
        <w:rPr>
          <w:color w:val="231F20"/>
        </w:rPr>
        <w:t>various</w:t>
      </w:r>
      <w:r>
        <w:rPr>
          <w:color w:val="231F20"/>
          <w:spacing w:val="-18"/>
        </w:rPr>
        <w:t xml:space="preserve"> </w:t>
      </w:r>
      <w:r>
        <w:rPr>
          <w:color w:val="231F20"/>
        </w:rPr>
        <w:t>challenges</w:t>
      </w:r>
      <w:r>
        <w:rPr>
          <w:color w:val="231F20"/>
          <w:spacing w:val="-18"/>
        </w:rPr>
        <w:t xml:space="preserve"> </w:t>
      </w:r>
      <w:r>
        <w:rPr>
          <w:color w:val="231F20"/>
        </w:rPr>
        <w:t>despite</w:t>
      </w:r>
      <w:r>
        <w:rPr>
          <w:color w:val="231F20"/>
          <w:spacing w:val="-19"/>
        </w:rPr>
        <w:t xml:space="preserve"> </w:t>
      </w:r>
      <w:r>
        <w:rPr>
          <w:color w:val="231F20"/>
        </w:rPr>
        <w:t>all</w:t>
      </w:r>
      <w:r>
        <w:rPr>
          <w:color w:val="231F20"/>
          <w:spacing w:val="-19"/>
        </w:rPr>
        <w:t xml:space="preserve"> </w:t>
      </w:r>
      <w:r>
        <w:rPr>
          <w:color w:val="231F20"/>
        </w:rPr>
        <w:t>efforts</w:t>
      </w:r>
      <w:r>
        <w:rPr>
          <w:color w:val="231F20"/>
          <w:spacing w:val="-20"/>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rPr>
        <w:t>Rivers</w:t>
      </w:r>
      <w:r>
        <w:rPr>
          <w:color w:val="231F20"/>
          <w:spacing w:val="-20"/>
        </w:rPr>
        <w:t xml:space="preserve"> </w:t>
      </w:r>
      <w:r>
        <w:rPr>
          <w:color w:val="231F20"/>
        </w:rPr>
        <w:t>State Government to implement the Sustainable Development Goal (SDG) activities. The most important</w:t>
      </w:r>
      <w:r>
        <w:rPr>
          <w:color w:val="231F20"/>
          <w:spacing w:val="-17"/>
        </w:rPr>
        <w:t xml:space="preserve"> </w:t>
      </w:r>
      <w:r>
        <w:rPr>
          <w:color w:val="231F20"/>
        </w:rPr>
        <w:t>of</w:t>
      </w:r>
      <w:r>
        <w:rPr>
          <w:color w:val="231F20"/>
          <w:spacing w:val="-18"/>
        </w:rPr>
        <w:t xml:space="preserve"> </w:t>
      </w:r>
      <w:r>
        <w:rPr>
          <w:color w:val="231F20"/>
        </w:rPr>
        <w:t>these</w:t>
      </w:r>
      <w:r>
        <w:rPr>
          <w:color w:val="231F20"/>
          <w:spacing w:val="-17"/>
        </w:rPr>
        <w:t xml:space="preserve"> </w:t>
      </w:r>
      <w:r>
        <w:rPr>
          <w:color w:val="231F20"/>
        </w:rPr>
        <w:t>challenges</w:t>
      </w:r>
      <w:r>
        <w:rPr>
          <w:color w:val="231F20"/>
          <w:spacing w:val="-17"/>
        </w:rPr>
        <w:t xml:space="preserve"> </w:t>
      </w:r>
      <w:r>
        <w:rPr>
          <w:color w:val="231F20"/>
        </w:rPr>
        <w:t>are</w:t>
      </w:r>
      <w:r>
        <w:rPr>
          <w:color w:val="231F20"/>
          <w:spacing w:val="-17"/>
        </w:rPr>
        <w:t xml:space="preserve"> </w:t>
      </w:r>
      <w:r>
        <w:rPr>
          <w:color w:val="231F20"/>
        </w:rPr>
        <w:t>the</w:t>
      </w:r>
      <w:r>
        <w:rPr>
          <w:color w:val="231F20"/>
          <w:spacing w:val="-17"/>
        </w:rPr>
        <w:t xml:space="preserve"> </w:t>
      </w:r>
      <w:r>
        <w:rPr>
          <w:color w:val="231F20"/>
        </w:rPr>
        <w:t>incessant</w:t>
      </w:r>
      <w:r>
        <w:rPr>
          <w:color w:val="231F20"/>
          <w:spacing w:val="-17"/>
        </w:rPr>
        <w:t xml:space="preserve"> </w:t>
      </w:r>
      <w:r>
        <w:rPr>
          <w:color w:val="231F20"/>
        </w:rPr>
        <w:t>youth</w:t>
      </w:r>
      <w:r>
        <w:rPr>
          <w:color w:val="231F20"/>
          <w:spacing w:val="-17"/>
        </w:rPr>
        <w:t xml:space="preserve"> </w:t>
      </w:r>
      <w:r>
        <w:rPr>
          <w:color w:val="231F20"/>
        </w:rPr>
        <w:t>restiveness,</w:t>
      </w:r>
      <w:r>
        <w:rPr>
          <w:color w:val="231F20"/>
          <w:spacing w:val="-17"/>
        </w:rPr>
        <w:t xml:space="preserve"> </w:t>
      </w:r>
      <w:r>
        <w:rPr>
          <w:color w:val="231F20"/>
        </w:rPr>
        <w:t>kidnapping</w:t>
      </w:r>
      <w:r>
        <w:rPr>
          <w:color w:val="231F20"/>
          <w:spacing w:val="-17"/>
        </w:rPr>
        <w:t xml:space="preserve"> </w:t>
      </w:r>
      <w:r>
        <w:rPr>
          <w:color w:val="231F20"/>
        </w:rPr>
        <w:t>and</w:t>
      </w:r>
      <w:r>
        <w:rPr>
          <w:color w:val="231F20"/>
          <w:spacing w:val="-17"/>
        </w:rPr>
        <w:t xml:space="preserve"> </w:t>
      </w:r>
      <w:r>
        <w:rPr>
          <w:color w:val="231F20"/>
        </w:rPr>
        <w:t>militancy</w:t>
      </w:r>
      <w:r>
        <w:rPr>
          <w:color w:val="231F20"/>
          <w:spacing w:val="-17"/>
        </w:rPr>
        <w:t xml:space="preserve"> </w:t>
      </w:r>
      <w:r>
        <w:rPr>
          <w:color w:val="231F20"/>
        </w:rPr>
        <w:t>in</w:t>
      </w:r>
      <w:r>
        <w:rPr>
          <w:color w:val="231F20"/>
          <w:spacing w:val="-17"/>
        </w:rPr>
        <w:t xml:space="preserve"> </w:t>
      </w:r>
      <w:r>
        <w:rPr>
          <w:color w:val="231F20"/>
          <w:spacing w:val="-5"/>
        </w:rPr>
        <w:t xml:space="preserve">the </w:t>
      </w:r>
      <w:r>
        <w:rPr>
          <w:color w:val="231F20"/>
        </w:rPr>
        <w:t>area.</w:t>
      </w:r>
      <w:r>
        <w:rPr>
          <w:color w:val="231F20"/>
          <w:spacing w:val="-19"/>
        </w:rPr>
        <w:t xml:space="preserve"> </w:t>
      </w:r>
      <w:r>
        <w:rPr>
          <w:color w:val="231F20"/>
        </w:rPr>
        <w:t>Despite</w:t>
      </w:r>
      <w:r>
        <w:rPr>
          <w:color w:val="231F20"/>
          <w:spacing w:val="-17"/>
        </w:rPr>
        <w:t xml:space="preserve"> </w:t>
      </w:r>
      <w:r>
        <w:rPr>
          <w:color w:val="231F20"/>
        </w:rPr>
        <w:t>the</w:t>
      </w:r>
      <w:r>
        <w:rPr>
          <w:color w:val="231F20"/>
          <w:spacing w:val="-18"/>
        </w:rPr>
        <w:t xml:space="preserve"> </w:t>
      </w:r>
      <w:r>
        <w:rPr>
          <w:color w:val="231F20"/>
        </w:rPr>
        <w:t>recent</w:t>
      </w:r>
      <w:r>
        <w:rPr>
          <w:color w:val="231F20"/>
          <w:spacing w:val="-18"/>
        </w:rPr>
        <w:t xml:space="preserve"> </w:t>
      </w:r>
      <w:r>
        <w:rPr>
          <w:color w:val="231F20"/>
        </w:rPr>
        <w:t>grant</w:t>
      </w:r>
      <w:r>
        <w:rPr>
          <w:color w:val="231F20"/>
          <w:spacing w:val="-18"/>
        </w:rPr>
        <w:t xml:space="preserve"> </w:t>
      </w:r>
      <w:r>
        <w:rPr>
          <w:color w:val="231F20"/>
        </w:rPr>
        <w:t>of</w:t>
      </w:r>
      <w:r>
        <w:rPr>
          <w:color w:val="231F20"/>
          <w:spacing w:val="-18"/>
        </w:rPr>
        <w:t xml:space="preserve"> </w:t>
      </w:r>
      <w:r>
        <w:rPr>
          <w:color w:val="231F20"/>
        </w:rPr>
        <w:t>amnesty</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militants</w:t>
      </w:r>
      <w:r>
        <w:rPr>
          <w:color w:val="231F20"/>
          <w:spacing w:val="-18"/>
        </w:rPr>
        <w:t xml:space="preserve"> </w:t>
      </w:r>
      <w:r>
        <w:rPr>
          <w:color w:val="231F20"/>
        </w:rPr>
        <w:t>by</w:t>
      </w:r>
      <w:r>
        <w:rPr>
          <w:color w:val="231F20"/>
          <w:spacing w:val="-18"/>
        </w:rPr>
        <w:t xml:space="preserve"> </w:t>
      </w:r>
      <w:r>
        <w:rPr>
          <w:color w:val="231F20"/>
        </w:rPr>
        <w:t>the</w:t>
      </w:r>
      <w:r>
        <w:rPr>
          <w:color w:val="231F20"/>
          <w:spacing w:val="-18"/>
        </w:rPr>
        <w:t xml:space="preserve"> </w:t>
      </w:r>
      <w:r>
        <w:rPr>
          <w:color w:val="231F20"/>
        </w:rPr>
        <w:t>State</w:t>
      </w:r>
      <w:r>
        <w:rPr>
          <w:color w:val="231F20"/>
          <w:spacing w:val="-18"/>
        </w:rPr>
        <w:t xml:space="preserve"> </w:t>
      </w:r>
      <w:r>
        <w:rPr>
          <w:color w:val="231F20"/>
        </w:rPr>
        <w:t>government,</w:t>
      </w:r>
      <w:r>
        <w:rPr>
          <w:color w:val="231F20"/>
          <w:spacing w:val="-17"/>
        </w:rPr>
        <w:t xml:space="preserve"> </w:t>
      </w:r>
      <w:r>
        <w:rPr>
          <w:color w:val="231F20"/>
        </w:rPr>
        <w:t>these</w:t>
      </w:r>
      <w:r>
        <w:rPr>
          <w:color w:val="231F20"/>
          <w:spacing w:val="-18"/>
        </w:rPr>
        <w:t xml:space="preserve"> </w:t>
      </w:r>
      <w:r>
        <w:rPr>
          <w:color w:val="231F20"/>
        </w:rPr>
        <w:t xml:space="preserve">activities have continued unabated with kidnapping becoming a lucrative source of income to criminals </w:t>
      </w:r>
      <w:r>
        <w:rPr>
          <w:color w:val="231F20"/>
          <w:spacing w:val="-6"/>
        </w:rPr>
        <w:t xml:space="preserve">in </w:t>
      </w:r>
      <w:r>
        <w:rPr>
          <w:color w:val="231F20"/>
        </w:rPr>
        <w:t>the</w:t>
      </w:r>
      <w:r>
        <w:rPr>
          <w:color w:val="231F20"/>
          <w:spacing w:val="-25"/>
        </w:rPr>
        <w:t xml:space="preserve"> </w:t>
      </w:r>
      <w:r>
        <w:rPr>
          <w:color w:val="231F20"/>
        </w:rPr>
        <w:t>State.</w:t>
      </w:r>
      <w:r>
        <w:rPr>
          <w:color w:val="231F20"/>
          <w:spacing w:val="-24"/>
        </w:rPr>
        <w:t xml:space="preserve"> </w:t>
      </w:r>
      <w:r>
        <w:rPr>
          <w:color w:val="231F20"/>
        </w:rPr>
        <w:t>Health</w:t>
      </w:r>
      <w:r>
        <w:rPr>
          <w:color w:val="231F20"/>
          <w:spacing w:val="-24"/>
        </w:rPr>
        <w:t xml:space="preserve"> </w:t>
      </w:r>
      <w:r>
        <w:rPr>
          <w:color w:val="231F20"/>
        </w:rPr>
        <w:t>workers</w:t>
      </w:r>
      <w:r>
        <w:rPr>
          <w:color w:val="231F20"/>
          <w:spacing w:val="-25"/>
        </w:rPr>
        <w:t xml:space="preserve"> </w:t>
      </w:r>
      <w:r>
        <w:rPr>
          <w:color w:val="231F20"/>
        </w:rPr>
        <w:t>find</w:t>
      </w:r>
      <w:r>
        <w:rPr>
          <w:color w:val="231F20"/>
          <w:spacing w:val="-24"/>
        </w:rPr>
        <w:t xml:space="preserve"> </w:t>
      </w:r>
      <w:r>
        <w:rPr>
          <w:color w:val="231F20"/>
        </w:rPr>
        <w:t>it</w:t>
      </w:r>
      <w:r>
        <w:rPr>
          <w:color w:val="231F20"/>
          <w:spacing w:val="-24"/>
        </w:rPr>
        <w:t xml:space="preserve"> </w:t>
      </w:r>
      <w:r>
        <w:rPr>
          <w:color w:val="231F20"/>
        </w:rPr>
        <w:t>difficult</w:t>
      </w:r>
      <w:r>
        <w:rPr>
          <w:color w:val="231F20"/>
          <w:spacing w:val="-24"/>
        </w:rPr>
        <w:t xml:space="preserve"> </w:t>
      </w:r>
      <w:r>
        <w:rPr>
          <w:color w:val="231F20"/>
        </w:rPr>
        <w:t>to</w:t>
      </w:r>
      <w:r>
        <w:rPr>
          <w:color w:val="231F20"/>
          <w:spacing w:val="-25"/>
        </w:rPr>
        <w:t xml:space="preserve"> </w:t>
      </w:r>
      <w:r>
        <w:rPr>
          <w:color w:val="231F20"/>
        </w:rPr>
        <w:t>get</w:t>
      </w:r>
      <w:r>
        <w:rPr>
          <w:color w:val="231F20"/>
          <w:spacing w:val="-24"/>
        </w:rPr>
        <w:t xml:space="preserve"> </w:t>
      </w:r>
      <w:r>
        <w:rPr>
          <w:color w:val="231F20"/>
        </w:rPr>
        <w:t>to</w:t>
      </w:r>
      <w:r>
        <w:rPr>
          <w:color w:val="231F20"/>
          <w:spacing w:val="-24"/>
        </w:rPr>
        <w:t xml:space="preserve"> </w:t>
      </w:r>
      <w:r>
        <w:rPr>
          <w:color w:val="231F20"/>
        </w:rPr>
        <w:t>hard</w:t>
      </w:r>
      <w:r>
        <w:rPr>
          <w:color w:val="231F20"/>
          <w:spacing w:val="-25"/>
        </w:rPr>
        <w:t xml:space="preserve"> </w:t>
      </w:r>
      <w:r>
        <w:rPr>
          <w:color w:val="231F20"/>
        </w:rPr>
        <w:t>to</w:t>
      </w:r>
      <w:r>
        <w:rPr>
          <w:color w:val="231F20"/>
          <w:spacing w:val="-24"/>
        </w:rPr>
        <w:t xml:space="preserve"> </w:t>
      </w:r>
      <w:r>
        <w:rPr>
          <w:color w:val="231F20"/>
        </w:rPr>
        <w:t>reach</w:t>
      </w:r>
      <w:r>
        <w:rPr>
          <w:color w:val="231F20"/>
          <w:spacing w:val="-24"/>
        </w:rPr>
        <w:t xml:space="preserve"> </w:t>
      </w:r>
      <w:r>
        <w:rPr>
          <w:color w:val="231F20"/>
        </w:rPr>
        <w:t>areas</w:t>
      </w:r>
      <w:r>
        <w:rPr>
          <w:color w:val="231F20"/>
          <w:spacing w:val="-24"/>
        </w:rPr>
        <w:t xml:space="preserve"> </w:t>
      </w:r>
      <w:r>
        <w:rPr>
          <w:color w:val="231F20"/>
        </w:rPr>
        <w:t>with</w:t>
      </w:r>
      <w:r>
        <w:rPr>
          <w:color w:val="231F20"/>
          <w:spacing w:val="-25"/>
        </w:rPr>
        <w:t xml:space="preserve"> </w:t>
      </w:r>
      <w:r w:rsidR="00951C85">
        <w:rPr>
          <w:color w:val="231F20"/>
        </w:rPr>
        <w:t>life</w:t>
      </w:r>
      <w:r w:rsidR="00951C85">
        <w:rPr>
          <w:color w:val="231F20"/>
          <w:spacing w:val="-24"/>
        </w:rPr>
        <w:t>s</w:t>
      </w:r>
      <w:r w:rsidR="00951C85">
        <w:rPr>
          <w:color w:val="231F20"/>
        </w:rPr>
        <w:t>aving</w:t>
      </w:r>
      <w:r>
        <w:rPr>
          <w:color w:val="231F20"/>
          <w:spacing w:val="-24"/>
        </w:rPr>
        <w:t xml:space="preserve"> </w:t>
      </w:r>
      <w:r>
        <w:rPr>
          <w:color w:val="231F20"/>
        </w:rPr>
        <w:t>interventions</w:t>
      </w:r>
      <w:r>
        <w:rPr>
          <w:color w:val="231F20"/>
          <w:spacing w:val="-25"/>
        </w:rPr>
        <w:t xml:space="preserve"> </w:t>
      </w:r>
      <w:r>
        <w:rPr>
          <w:color w:val="231F20"/>
        </w:rPr>
        <w:t>as a</w:t>
      </w:r>
      <w:r>
        <w:rPr>
          <w:color w:val="231F20"/>
          <w:spacing w:val="-21"/>
        </w:rPr>
        <w:t xml:space="preserve"> </w:t>
      </w:r>
      <w:r>
        <w:rPr>
          <w:color w:val="231F20"/>
        </w:rPr>
        <w:t>result</w:t>
      </w:r>
      <w:r>
        <w:rPr>
          <w:color w:val="231F20"/>
          <w:spacing w:val="-20"/>
        </w:rPr>
        <w:t xml:space="preserve"> </w:t>
      </w:r>
      <w:r>
        <w:rPr>
          <w:color w:val="231F20"/>
        </w:rPr>
        <w:t>of</w:t>
      </w:r>
      <w:r>
        <w:rPr>
          <w:color w:val="231F20"/>
          <w:spacing w:val="-20"/>
        </w:rPr>
        <w:t xml:space="preserve"> </w:t>
      </w:r>
      <w:r>
        <w:rPr>
          <w:color w:val="231F20"/>
        </w:rPr>
        <w:t>the</w:t>
      </w:r>
      <w:r>
        <w:rPr>
          <w:color w:val="231F20"/>
          <w:spacing w:val="-21"/>
        </w:rPr>
        <w:t xml:space="preserve"> </w:t>
      </w:r>
      <w:r>
        <w:rPr>
          <w:color w:val="231F20"/>
        </w:rPr>
        <w:t>security</w:t>
      </w:r>
      <w:r>
        <w:rPr>
          <w:color w:val="231F20"/>
          <w:spacing w:val="-20"/>
        </w:rPr>
        <w:t xml:space="preserve"> </w:t>
      </w:r>
      <w:r>
        <w:rPr>
          <w:color w:val="231F20"/>
        </w:rPr>
        <w:t>risks</w:t>
      </w:r>
      <w:r>
        <w:rPr>
          <w:color w:val="231F20"/>
          <w:spacing w:val="-20"/>
        </w:rPr>
        <w:t xml:space="preserve"> </w:t>
      </w:r>
      <w:r>
        <w:rPr>
          <w:color w:val="231F20"/>
        </w:rPr>
        <w:t>involved</w:t>
      </w:r>
      <w:r>
        <w:rPr>
          <w:color w:val="231F20"/>
          <w:spacing w:val="-20"/>
        </w:rPr>
        <w:t xml:space="preserve"> </w:t>
      </w:r>
      <w:r>
        <w:rPr>
          <w:color w:val="231F20"/>
        </w:rPr>
        <w:t>and</w:t>
      </w:r>
      <w:r>
        <w:rPr>
          <w:color w:val="231F20"/>
          <w:spacing w:val="-21"/>
        </w:rPr>
        <w:t xml:space="preserve"> </w:t>
      </w:r>
      <w:r>
        <w:rPr>
          <w:color w:val="231F20"/>
        </w:rPr>
        <w:t>coupled</w:t>
      </w:r>
      <w:r>
        <w:rPr>
          <w:color w:val="231F20"/>
          <w:spacing w:val="-20"/>
        </w:rPr>
        <w:t xml:space="preserve"> </w:t>
      </w:r>
      <w:r>
        <w:rPr>
          <w:color w:val="231F20"/>
        </w:rPr>
        <w:t>the</w:t>
      </w:r>
      <w:r>
        <w:rPr>
          <w:color w:val="231F20"/>
          <w:spacing w:val="-20"/>
        </w:rPr>
        <w:t xml:space="preserve"> </w:t>
      </w:r>
      <w:r>
        <w:rPr>
          <w:color w:val="231F20"/>
        </w:rPr>
        <w:t>difficult</w:t>
      </w:r>
      <w:r>
        <w:rPr>
          <w:color w:val="231F20"/>
          <w:spacing w:val="-21"/>
        </w:rPr>
        <w:t xml:space="preserve"> </w:t>
      </w:r>
      <w:r>
        <w:rPr>
          <w:color w:val="231F20"/>
        </w:rPr>
        <w:t>terrain</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State.</w:t>
      </w:r>
      <w:r>
        <w:rPr>
          <w:color w:val="231F20"/>
          <w:spacing w:val="-25"/>
        </w:rPr>
        <w:t xml:space="preserve"> </w:t>
      </w:r>
      <w:r>
        <w:rPr>
          <w:color w:val="231F20"/>
        </w:rPr>
        <w:t>There</w:t>
      </w:r>
      <w:r>
        <w:rPr>
          <w:color w:val="231F20"/>
          <w:spacing w:val="-20"/>
        </w:rPr>
        <w:t xml:space="preserve"> </w:t>
      </w:r>
      <w:r>
        <w:rPr>
          <w:color w:val="231F20"/>
        </w:rPr>
        <w:t>is</w:t>
      </w:r>
      <w:r>
        <w:rPr>
          <w:color w:val="231F20"/>
          <w:spacing w:val="-20"/>
        </w:rPr>
        <w:t xml:space="preserve"> </w:t>
      </w:r>
      <w:r>
        <w:rPr>
          <w:color w:val="231F20"/>
        </w:rPr>
        <w:t>limited</w:t>
      </w:r>
      <w:r>
        <w:rPr>
          <w:color w:val="231F20"/>
          <w:spacing w:val="-20"/>
        </w:rPr>
        <w:t xml:space="preserve"> </w:t>
      </w:r>
      <w:r>
        <w:rPr>
          <w:color w:val="231F20"/>
        </w:rPr>
        <w:t>or absence</w:t>
      </w:r>
      <w:r>
        <w:rPr>
          <w:color w:val="231F20"/>
          <w:spacing w:val="-22"/>
        </w:rPr>
        <w:t xml:space="preserve"> </w:t>
      </w:r>
      <w:r>
        <w:rPr>
          <w:color w:val="231F20"/>
        </w:rPr>
        <w:t>of</w:t>
      </w:r>
      <w:r>
        <w:rPr>
          <w:color w:val="231F20"/>
          <w:spacing w:val="-21"/>
        </w:rPr>
        <w:t xml:space="preserve"> </w:t>
      </w:r>
      <w:r>
        <w:rPr>
          <w:color w:val="231F20"/>
        </w:rPr>
        <w:t>response</w:t>
      </w:r>
      <w:r>
        <w:rPr>
          <w:color w:val="231F20"/>
          <w:spacing w:val="-21"/>
        </w:rPr>
        <w:t xml:space="preserve"> </w:t>
      </w:r>
      <w:r>
        <w:rPr>
          <w:color w:val="231F20"/>
        </w:rPr>
        <w:t>to</w:t>
      </w:r>
      <w:r>
        <w:rPr>
          <w:color w:val="231F20"/>
          <w:spacing w:val="-21"/>
        </w:rPr>
        <w:t xml:space="preserve"> </w:t>
      </w:r>
      <w:r>
        <w:rPr>
          <w:color w:val="231F20"/>
        </w:rPr>
        <w:t>medical</w:t>
      </w:r>
      <w:r>
        <w:rPr>
          <w:color w:val="231F20"/>
          <w:spacing w:val="-21"/>
        </w:rPr>
        <w:t xml:space="preserve"> </w:t>
      </w:r>
      <w:r>
        <w:rPr>
          <w:color w:val="231F20"/>
        </w:rPr>
        <w:t>emergencies</w:t>
      </w:r>
      <w:r>
        <w:rPr>
          <w:color w:val="231F20"/>
          <w:spacing w:val="-21"/>
        </w:rPr>
        <w:t xml:space="preserve"> </w:t>
      </w:r>
      <w:r>
        <w:rPr>
          <w:color w:val="231F20"/>
        </w:rPr>
        <w:t>in</w:t>
      </w:r>
      <w:r>
        <w:rPr>
          <w:color w:val="231F20"/>
          <w:spacing w:val="-21"/>
        </w:rPr>
        <w:t xml:space="preserve"> </w:t>
      </w:r>
      <w:r>
        <w:rPr>
          <w:color w:val="231F20"/>
        </w:rPr>
        <w:t>these</w:t>
      </w:r>
      <w:r>
        <w:rPr>
          <w:color w:val="231F20"/>
          <w:spacing w:val="-21"/>
        </w:rPr>
        <w:t xml:space="preserve"> </w:t>
      </w:r>
      <w:r>
        <w:rPr>
          <w:color w:val="231F20"/>
        </w:rPr>
        <w:t>areas</w:t>
      </w:r>
      <w:r>
        <w:rPr>
          <w:color w:val="231F20"/>
          <w:spacing w:val="-21"/>
        </w:rPr>
        <w:t xml:space="preserve"> </w:t>
      </w:r>
      <w:r>
        <w:rPr>
          <w:color w:val="231F20"/>
        </w:rPr>
        <w:t>where</w:t>
      </w:r>
      <w:r>
        <w:rPr>
          <w:color w:val="231F20"/>
          <w:spacing w:val="-21"/>
        </w:rPr>
        <w:t xml:space="preserve"> </w:t>
      </w:r>
      <w:r>
        <w:rPr>
          <w:color w:val="231F20"/>
        </w:rPr>
        <w:t>health</w:t>
      </w:r>
      <w:r>
        <w:rPr>
          <w:color w:val="231F20"/>
          <w:spacing w:val="-22"/>
        </w:rPr>
        <w:t xml:space="preserve"> </w:t>
      </w:r>
      <w:r>
        <w:rPr>
          <w:color w:val="231F20"/>
        </w:rPr>
        <w:t>facilities</w:t>
      </w:r>
      <w:r>
        <w:rPr>
          <w:color w:val="231F20"/>
          <w:spacing w:val="-21"/>
        </w:rPr>
        <w:t xml:space="preserve"> </w:t>
      </w:r>
      <w:r>
        <w:rPr>
          <w:color w:val="231F20"/>
        </w:rPr>
        <w:t>are</w:t>
      </w:r>
      <w:r>
        <w:rPr>
          <w:color w:val="231F20"/>
          <w:spacing w:val="-21"/>
        </w:rPr>
        <w:t xml:space="preserve"> </w:t>
      </w:r>
      <w:r>
        <w:rPr>
          <w:color w:val="231F20"/>
        </w:rPr>
        <w:t>far</w:t>
      </w:r>
      <w:r>
        <w:rPr>
          <w:color w:val="231F20"/>
          <w:spacing w:val="-21"/>
        </w:rPr>
        <w:t xml:space="preserve"> </w:t>
      </w:r>
      <w:r>
        <w:rPr>
          <w:color w:val="231F20"/>
        </w:rPr>
        <w:t>from</w:t>
      </w:r>
      <w:r>
        <w:rPr>
          <w:color w:val="231F20"/>
          <w:spacing w:val="-21"/>
        </w:rPr>
        <w:t xml:space="preserve"> </w:t>
      </w:r>
      <w:r>
        <w:rPr>
          <w:color w:val="231F20"/>
        </w:rPr>
        <w:t>the community</w:t>
      </w:r>
      <w:r>
        <w:rPr>
          <w:color w:val="231F20"/>
          <w:spacing w:val="-18"/>
        </w:rPr>
        <w:t xml:space="preserve"> </w:t>
      </w:r>
      <w:r>
        <w:rPr>
          <w:color w:val="231F20"/>
        </w:rPr>
        <w:t>or</w:t>
      </w:r>
      <w:r>
        <w:rPr>
          <w:color w:val="231F20"/>
          <w:spacing w:val="-17"/>
        </w:rPr>
        <w:t xml:space="preserve"> </w:t>
      </w:r>
      <w:r>
        <w:rPr>
          <w:color w:val="231F20"/>
        </w:rPr>
        <w:t>in</w:t>
      </w:r>
      <w:r>
        <w:rPr>
          <w:color w:val="231F20"/>
          <w:spacing w:val="-18"/>
        </w:rPr>
        <w:t xml:space="preserve"> </w:t>
      </w:r>
      <w:r>
        <w:rPr>
          <w:color w:val="231F20"/>
        </w:rPr>
        <w:t>trouble</w:t>
      </w:r>
      <w:r>
        <w:rPr>
          <w:color w:val="231F20"/>
          <w:spacing w:val="-17"/>
        </w:rPr>
        <w:t xml:space="preserve"> </w:t>
      </w:r>
      <w:r>
        <w:rPr>
          <w:color w:val="231F20"/>
        </w:rPr>
        <w:t>zones.</w:t>
      </w:r>
      <w:r>
        <w:rPr>
          <w:color w:val="231F20"/>
          <w:spacing w:val="-21"/>
        </w:rPr>
        <w:t xml:space="preserve"> </w:t>
      </w:r>
      <w:r>
        <w:rPr>
          <w:color w:val="231F20"/>
        </w:rPr>
        <w:t>The</w:t>
      </w:r>
      <w:r>
        <w:rPr>
          <w:color w:val="231F20"/>
          <w:spacing w:val="-18"/>
        </w:rPr>
        <w:t xml:space="preserve"> </w:t>
      </w:r>
      <w:r>
        <w:rPr>
          <w:color w:val="231F20"/>
        </w:rPr>
        <w:t>SWOT</w:t>
      </w:r>
      <w:r>
        <w:rPr>
          <w:color w:val="231F20"/>
          <w:spacing w:val="-21"/>
        </w:rPr>
        <w:t xml:space="preserve"> </w:t>
      </w:r>
      <w:r>
        <w:rPr>
          <w:color w:val="231F20"/>
        </w:rPr>
        <w:t>analysis</w:t>
      </w:r>
      <w:r>
        <w:rPr>
          <w:color w:val="231F20"/>
          <w:spacing w:val="-17"/>
        </w:rPr>
        <w:t xml:space="preserve"> </w:t>
      </w:r>
      <w:r>
        <w:rPr>
          <w:color w:val="231F20"/>
        </w:rPr>
        <w:t>show</w:t>
      </w:r>
      <w:r>
        <w:rPr>
          <w:color w:val="231F20"/>
          <w:spacing w:val="-17"/>
        </w:rPr>
        <w:t xml:space="preserve"> </w:t>
      </w:r>
      <w:r>
        <w:rPr>
          <w:color w:val="231F20"/>
        </w:rPr>
        <w:t>the</w:t>
      </w:r>
      <w:r>
        <w:rPr>
          <w:color w:val="231F20"/>
          <w:spacing w:val="-18"/>
        </w:rPr>
        <w:t xml:space="preserve"> </w:t>
      </w:r>
      <w:r>
        <w:rPr>
          <w:color w:val="231F20"/>
        </w:rPr>
        <w:t>different</w:t>
      </w:r>
      <w:r>
        <w:rPr>
          <w:color w:val="231F20"/>
          <w:spacing w:val="-17"/>
        </w:rPr>
        <w:t xml:space="preserve"> </w:t>
      </w:r>
      <w:r>
        <w:rPr>
          <w:color w:val="231F20"/>
        </w:rPr>
        <w:t>weakness,</w:t>
      </w:r>
      <w:r>
        <w:rPr>
          <w:color w:val="231F20"/>
          <w:spacing w:val="-18"/>
        </w:rPr>
        <w:t xml:space="preserve"> </w:t>
      </w:r>
      <w:r>
        <w:rPr>
          <w:color w:val="231F20"/>
        </w:rPr>
        <w:t>strengths</w:t>
      </w:r>
      <w:r>
        <w:rPr>
          <w:color w:val="231F20"/>
          <w:spacing w:val="-17"/>
        </w:rPr>
        <w:t xml:space="preserve"> </w:t>
      </w:r>
      <w:r>
        <w:rPr>
          <w:color w:val="231F20"/>
        </w:rPr>
        <w:t>and</w:t>
      </w:r>
      <w:r>
        <w:rPr>
          <w:color w:val="231F20"/>
          <w:spacing w:val="-17"/>
        </w:rPr>
        <w:t xml:space="preserve"> </w:t>
      </w:r>
      <w:r>
        <w:rPr>
          <w:color w:val="231F20"/>
        </w:rPr>
        <w:t>in the</w:t>
      </w:r>
      <w:r>
        <w:rPr>
          <w:color w:val="231F20"/>
          <w:spacing w:val="-25"/>
        </w:rPr>
        <w:t xml:space="preserve"> </w:t>
      </w:r>
      <w:r>
        <w:rPr>
          <w:color w:val="231F20"/>
        </w:rPr>
        <w:t>health</w:t>
      </w:r>
      <w:r>
        <w:rPr>
          <w:color w:val="231F20"/>
          <w:spacing w:val="-26"/>
        </w:rPr>
        <w:t xml:space="preserve"> </w:t>
      </w:r>
      <w:r>
        <w:rPr>
          <w:color w:val="231F20"/>
        </w:rPr>
        <w:t>sector</w:t>
      </w:r>
      <w:r>
        <w:rPr>
          <w:color w:val="231F20"/>
          <w:spacing w:val="-25"/>
        </w:rPr>
        <w:t xml:space="preserve"> </w:t>
      </w:r>
      <w:r>
        <w:rPr>
          <w:color w:val="231F20"/>
        </w:rPr>
        <w:t>and</w:t>
      </w:r>
      <w:r>
        <w:rPr>
          <w:color w:val="231F20"/>
          <w:spacing w:val="-25"/>
        </w:rPr>
        <w:t xml:space="preserve"> </w:t>
      </w:r>
      <w:r>
        <w:rPr>
          <w:color w:val="231F20"/>
        </w:rPr>
        <w:t>opportunities</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leveraged</w:t>
      </w:r>
      <w:r>
        <w:rPr>
          <w:color w:val="231F20"/>
          <w:spacing w:val="-25"/>
        </w:rPr>
        <w:t xml:space="preserve"> </w:t>
      </w:r>
      <w:r>
        <w:rPr>
          <w:color w:val="231F20"/>
        </w:rPr>
        <w:t>on.</w:t>
      </w:r>
    </w:p>
    <w:p w14:paraId="289425CA" w14:textId="77777777" w:rsidR="009948F1" w:rsidRDefault="009948F1">
      <w:pPr>
        <w:pStyle w:val="BodyText"/>
        <w:spacing w:before="9"/>
        <w:rPr>
          <w:sz w:val="23"/>
        </w:rPr>
      </w:pPr>
    </w:p>
    <w:p w14:paraId="567A78C5" w14:textId="77777777" w:rsidR="009948F1" w:rsidRDefault="00BC0563">
      <w:pPr>
        <w:pStyle w:val="BodyText"/>
        <w:spacing w:line="247" w:lineRule="auto"/>
        <w:ind w:left="142" w:right="267"/>
        <w:jc w:val="both"/>
      </w:pPr>
      <w:r>
        <w:rPr>
          <w:color w:val="231F20"/>
        </w:rPr>
        <w:t>There is poor data reporting at service delivery points; NCDs had little or no data on diabetes Mellitus</w:t>
      </w:r>
      <w:r>
        <w:rPr>
          <w:color w:val="231F20"/>
          <w:spacing w:val="-11"/>
        </w:rPr>
        <w:t xml:space="preserve"> </w:t>
      </w:r>
      <w:r>
        <w:rPr>
          <w:color w:val="231F20"/>
        </w:rPr>
        <w:t>and</w:t>
      </w:r>
      <w:r>
        <w:rPr>
          <w:color w:val="231F20"/>
          <w:spacing w:val="-10"/>
        </w:rPr>
        <w:t xml:space="preserve"> </w:t>
      </w:r>
      <w:r>
        <w:rPr>
          <w:color w:val="231F20"/>
        </w:rPr>
        <w:t>hypertension</w:t>
      </w:r>
      <w:r>
        <w:rPr>
          <w:color w:val="231F20"/>
          <w:spacing w:val="-10"/>
        </w:rPr>
        <w:t xml:space="preserve"> </w:t>
      </w:r>
      <w:r>
        <w:rPr>
          <w:color w:val="231F20"/>
        </w:rPr>
        <w:t>despite</w:t>
      </w:r>
      <w:r>
        <w:rPr>
          <w:color w:val="231F20"/>
          <w:spacing w:val="-10"/>
        </w:rPr>
        <w:t xml:space="preserve"> </w:t>
      </w:r>
      <w:r>
        <w:rPr>
          <w:color w:val="231F20"/>
        </w:rPr>
        <w:t>the</w:t>
      </w:r>
      <w:r>
        <w:rPr>
          <w:color w:val="231F20"/>
          <w:spacing w:val="-10"/>
        </w:rPr>
        <w:t xml:space="preserve"> </w:t>
      </w:r>
      <w:r>
        <w:rPr>
          <w:color w:val="231F20"/>
        </w:rPr>
        <w:t>high</w:t>
      </w:r>
      <w:r>
        <w:rPr>
          <w:color w:val="231F20"/>
          <w:spacing w:val="-10"/>
        </w:rPr>
        <w:t xml:space="preserve"> </w:t>
      </w:r>
      <w:r>
        <w:rPr>
          <w:color w:val="231F20"/>
        </w:rPr>
        <w:t>morbidity</w:t>
      </w:r>
      <w:r>
        <w:rPr>
          <w:color w:val="231F20"/>
          <w:spacing w:val="-10"/>
        </w:rPr>
        <w:t xml:space="preserve"> </w:t>
      </w:r>
      <w:r>
        <w:rPr>
          <w:color w:val="231F20"/>
        </w:rPr>
        <w:t>and</w:t>
      </w:r>
      <w:r>
        <w:rPr>
          <w:color w:val="231F20"/>
          <w:spacing w:val="-10"/>
        </w:rPr>
        <w:t xml:space="preserve"> </w:t>
      </w:r>
      <w:r>
        <w:rPr>
          <w:color w:val="231F20"/>
        </w:rPr>
        <w:t>mortality</w:t>
      </w:r>
      <w:r>
        <w:rPr>
          <w:color w:val="231F20"/>
          <w:spacing w:val="-10"/>
        </w:rPr>
        <w:t xml:space="preserve"> </w:t>
      </w:r>
      <w:r>
        <w:rPr>
          <w:color w:val="231F20"/>
        </w:rPr>
        <w:t>rate</w:t>
      </w:r>
      <w:r>
        <w:rPr>
          <w:color w:val="231F20"/>
          <w:spacing w:val="-10"/>
        </w:rPr>
        <w:t xml:space="preserve"> </w:t>
      </w:r>
      <w:r>
        <w:rPr>
          <w:color w:val="231F20"/>
        </w:rPr>
        <w:t>from</w:t>
      </w:r>
      <w:r>
        <w:rPr>
          <w:color w:val="231F20"/>
          <w:spacing w:val="-10"/>
        </w:rPr>
        <w:t xml:space="preserve"> </w:t>
      </w:r>
      <w:r>
        <w:rPr>
          <w:color w:val="231F20"/>
        </w:rPr>
        <w:t>NCDs.</w:t>
      </w:r>
      <w:r>
        <w:rPr>
          <w:color w:val="231F20"/>
          <w:spacing w:val="-15"/>
        </w:rPr>
        <w:t xml:space="preserve"> </w:t>
      </w:r>
      <w:r>
        <w:rPr>
          <w:color w:val="231F20"/>
        </w:rPr>
        <w:t>The</w:t>
      </w:r>
      <w:r>
        <w:rPr>
          <w:color w:val="231F20"/>
          <w:spacing w:val="-10"/>
        </w:rPr>
        <w:t xml:space="preserve"> </w:t>
      </w:r>
      <w:r>
        <w:rPr>
          <w:color w:val="231F20"/>
        </w:rPr>
        <w:t>High</w:t>
      </w:r>
      <w:r>
        <w:rPr>
          <w:color w:val="231F20"/>
          <w:spacing w:val="-10"/>
        </w:rPr>
        <w:t xml:space="preserve"> </w:t>
      </w:r>
      <w:r>
        <w:rPr>
          <w:color w:val="231F20"/>
        </w:rPr>
        <w:t xml:space="preserve">out- of-pocket expenses on health in the State is catastrophic and detrimental to the economy of </w:t>
      </w:r>
      <w:r>
        <w:rPr>
          <w:color w:val="231F20"/>
          <w:spacing w:val="-5"/>
        </w:rPr>
        <w:t xml:space="preserve">the </w:t>
      </w:r>
      <w:r>
        <w:rPr>
          <w:color w:val="231F20"/>
        </w:rPr>
        <w:t>populace.</w:t>
      </w:r>
      <w:r>
        <w:rPr>
          <w:color w:val="231F20"/>
          <w:spacing w:val="-24"/>
        </w:rPr>
        <w:t xml:space="preserve"> </w:t>
      </w:r>
      <w:r>
        <w:rPr>
          <w:color w:val="231F20"/>
        </w:rPr>
        <w:t>The</w:t>
      </w:r>
      <w:r>
        <w:rPr>
          <w:color w:val="231F20"/>
          <w:spacing w:val="-19"/>
        </w:rPr>
        <w:t xml:space="preserve"> </w:t>
      </w:r>
      <w:r>
        <w:rPr>
          <w:color w:val="231F20"/>
          <w:spacing w:val="-4"/>
        </w:rPr>
        <w:t>RIVCHPP,</w:t>
      </w:r>
      <w:r>
        <w:rPr>
          <w:color w:val="231F20"/>
          <w:spacing w:val="-19"/>
        </w:rPr>
        <w:t xml:space="preserve"> </w:t>
      </w:r>
      <w:r>
        <w:rPr>
          <w:color w:val="231F20"/>
        </w:rPr>
        <w:t>if</w:t>
      </w:r>
      <w:r>
        <w:rPr>
          <w:color w:val="231F20"/>
          <w:spacing w:val="-19"/>
        </w:rPr>
        <w:t xml:space="preserve"> </w:t>
      </w:r>
      <w:r>
        <w:rPr>
          <w:color w:val="231F20"/>
        </w:rPr>
        <w:t>signed</w:t>
      </w:r>
      <w:r>
        <w:rPr>
          <w:color w:val="231F20"/>
          <w:spacing w:val="-19"/>
        </w:rPr>
        <w:t xml:space="preserve"> </w:t>
      </w:r>
      <w:r>
        <w:rPr>
          <w:color w:val="231F20"/>
        </w:rPr>
        <w:t>into</w:t>
      </w:r>
      <w:r>
        <w:rPr>
          <w:color w:val="231F20"/>
          <w:spacing w:val="-20"/>
        </w:rPr>
        <w:t xml:space="preserve"> </w:t>
      </w:r>
      <w:r>
        <w:rPr>
          <w:color w:val="231F20"/>
        </w:rPr>
        <w:t>law</w:t>
      </w:r>
      <w:r>
        <w:rPr>
          <w:color w:val="231F20"/>
          <w:spacing w:val="-19"/>
        </w:rPr>
        <w:t xml:space="preserve"> </w:t>
      </w:r>
      <w:r>
        <w:rPr>
          <w:color w:val="231F20"/>
        </w:rPr>
        <w:t>and</w:t>
      </w:r>
      <w:r>
        <w:rPr>
          <w:color w:val="231F20"/>
          <w:spacing w:val="-19"/>
        </w:rPr>
        <w:t xml:space="preserve"> </w:t>
      </w:r>
      <w:r>
        <w:rPr>
          <w:color w:val="231F20"/>
        </w:rPr>
        <w:t>operational</w:t>
      </w:r>
      <w:r>
        <w:rPr>
          <w:color w:val="231F20"/>
          <w:spacing w:val="-19"/>
        </w:rPr>
        <w:t xml:space="preserve"> </w:t>
      </w:r>
      <w:r>
        <w:rPr>
          <w:color w:val="231F20"/>
        </w:rPr>
        <w:t>will</w:t>
      </w:r>
      <w:r>
        <w:rPr>
          <w:color w:val="231F20"/>
          <w:spacing w:val="-19"/>
        </w:rPr>
        <w:t xml:space="preserve"> </w:t>
      </w:r>
      <w:r>
        <w:rPr>
          <w:color w:val="231F20"/>
        </w:rPr>
        <w:t>help</w:t>
      </w:r>
      <w:r>
        <w:rPr>
          <w:color w:val="231F20"/>
          <w:spacing w:val="-19"/>
        </w:rPr>
        <w:t xml:space="preserve"> </w:t>
      </w:r>
      <w:r>
        <w:rPr>
          <w:color w:val="231F20"/>
        </w:rPr>
        <w:t>alleviate</w:t>
      </w:r>
      <w:r>
        <w:rPr>
          <w:color w:val="231F20"/>
          <w:spacing w:val="-20"/>
        </w:rPr>
        <w:t xml:space="preserve"> </w:t>
      </w:r>
      <w:r>
        <w:rPr>
          <w:color w:val="231F20"/>
        </w:rPr>
        <w:t>this</w:t>
      </w:r>
      <w:r>
        <w:rPr>
          <w:color w:val="231F20"/>
          <w:spacing w:val="-19"/>
        </w:rPr>
        <w:t xml:space="preserve"> </w:t>
      </w:r>
      <w:r>
        <w:rPr>
          <w:color w:val="231F20"/>
        </w:rPr>
        <w:t>debilitating</w:t>
      </w:r>
      <w:r>
        <w:rPr>
          <w:color w:val="231F20"/>
          <w:spacing w:val="-19"/>
        </w:rPr>
        <w:t xml:space="preserve"> </w:t>
      </w:r>
      <w:r>
        <w:rPr>
          <w:color w:val="231F20"/>
        </w:rPr>
        <w:t xml:space="preserve">effect on the finances of the Rivers people and also enhance the quality health care accessible to the people at point of need. The dwindling funds of the Development /Implementing Partners </w:t>
      </w:r>
      <w:r>
        <w:rPr>
          <w:color w:val="231F20"/>
          <w:spacing w:val="-4"/>
        </w:rPr>
        <w:t xml:space="preserve">would </w:t>
      </w:r>
      <w:r>
        <w:rPr>
          <w:color w:val="231F20"/>
        </w:rPr>
        <w:t>adversely</w:t>
      </w:r>
      <w:r>
        <w:rPr>
          <w:color w:val="231F20"/>
          <w:spacing w:val="-26"/>
        </w:rPr>
        <w:t xml:space="preserve"> </w:t>
      </w:r>
      <w:r>
        <w:rPr>
          <w:color w:val="231F20"/>
        </w:rPr>
        <w:t>affect</w:t>
      </w:r>
      <w:r>
        <w:rPr>
          <w:color w:val="231F20"/>
          <w:spacing w:val="-25"/>
        </w:rPr>
        <w:t xml:space="preserve"> </w:t>
      </w:r>
      <w:r>
        <w:rPr>
          <w:color w:val="231F20"/>
        </w:rPr>
        <w:t>the</w:t>
      </w:r>
      <w:r>
        <w:rPr>
          <w:color w:val="231F20"/>
          <w:spacing w:val="-25"/>
        </w:rPr>
        <w:t xml:space="preserve"> </w:t>
      </w:r>
      <w:r>
        <w:rPr>
          <w:color w:val="231F20"/>
        </w:rPr>
        <w:t>State's</w:t>
      </w:r>
      <w:r>
        <w:rPr>
          <w:color w:val="231F20"/>
          <w:spacing w:val="-25"/>
        </w:rPr>
        <w:t xml:space="preserve"> </w:t>
      </w:r>
      <w:r>
        <w:rPr>
          <w:color w:val="231F20"/>
        </w:rPr>
        <w:t>health</w:t>
      </w:r>
      <w:r>
        <w:rPr>
          <w:color w:val="231F20"/>
          <w:spacing w:val="-25"/>
        </w:rPr>
        <w:t xml:space="preserve"> </w:t>
      </w:r>
      <w:r>
        <w:rPr>
          <w:color w:val="231F20"/>
        </w:rPr>
        <w:t>indicators.</w:t>
      </w:r>
    </w:p>
    <w:p w14:paraId="3377F4DC" w14:textId="77777777" w:rsidR="009948F1" w:rsidRDefault="009948F1">
      <w:pPr>
        <w:pStyle w:val="BodyText"/>
        <w:spacing w:before="6"/>
        <w:rPr>
          <w:sz w:val="23"/>
        </w:rPr>
      </w:pPr>
    </w:p>
    <w:p w14:paraId="1BF966DA" w14:textId="77777777" w:rsidR="009948F1" w:rsidRDefault="00BC0563">
      <w:pPr>
        <w:pStyle w:val="Heading7"/>
        <w:numPr>
          <w:ilvl w:val="1"/>
          <w:numId w:val="321"/>
        </w:numPr>
        <w:tabs>
          <w:tab w:val="left" w:pos="863"/>
        </w:tabs>
        <w:ind w:left="862" w:hanging="721"/>
        <w:jc w:val="both"/>
        <w:rPr>
          <w:color w:val="231F20"/>
        </w:rPr>
      </w:pPr>
      <w:bookmarkStart w:id="45" w:name="_TOC_250025"/>
      <w:r>
        <w:rPr>
          <w:color w:val="231F20"/>
        </w:rPr>
        <w:t>Future</w:t>
      </w:r>
      <w:r>
        <w:rPr>
          <w:color w:val="231F20"/>
          <w:spacing w:val="-25"/>
        </w:rPr>
        <w:t xml:space="preserve"> </w:t>
      </w:r>
      <w:r>
        <w:rPr>
          <w:color w:val="231F20"/>
        </w:rPr>
        <w:t>Prospects</w:t>
      </w:r>
      <w:r>
        <w:rPr>
          <w:color w:val="231F20"/>
          <w:spacing w:val="-25"/>
        </w:rPr>
        <w:t xml:space="preserve"> </w:t>
      </w:r>
      <w:r>
        <w:rPr>
          <w:color w:val="231F20"/>
        </w:rPr>
        <w:t>for</w:t>
      </w:r>
      <w:r>
        <w:rPr>
          <w:color w:val="231F20"/>
          <w:spacing w:val="-25"/>
        </w:rPr>
        <w:t xml:space="preserve"> </w:t>
      </w:r>
      <w:r>
        <w:rPr>
          <w:color w:val="231F20"/>
        </w:rPr>
        <w:t>SSHDP</w:t>
      </w:r>
      <w:r>
        <w:rPr>
          <w:color w:val="231F20"/>
          <w:spacing w:val="-29"/>
        </w:rPr>
        <w:t xml:space="preserve"> </w:t>
      </w:r>
      <w:r>
        <w:rPr>
          <w:color w:val="231F20"/>
        </w:rPr>
        <w:t>II</w:t>
      </w:r>
      <w:r>
        <w:rPr>
          <w:color w:val="231F20"/>
          <w:spacing w:val="-25"/>
        </w:rPr>
        <w:t xml:space="preserve"> </w:t>
      </w:r>
      <w:bookmarkEnd w:id="45"/>
      <w:r>
        <w:rPr>
          <w:color w:val="231F20"/>
        </w:rPr>
        <w:t>(Recommendation)</w:t>
      </w:r>
    </w:p>
    <w:p w14:paraId="49EB853F" w14:textId="77777777" w:rsidR="009948F1" w:rsidRDefault="00BC0563">
      <w:pPr>
        <w:pStyle w:val="BodyText"/>
        <w:spacing w:before="9" w:line="247" w:lineRule="auto"/>
        <w:ind w:left="142" w:right="267"/>
        <w:jc w:val="both"/>
      </w:pPr>
      <w:r>
        <w:rPr>
          <w:color w:val="231F20"/>
        </w:rPr>
        <w:t>In</w:t>
      </w:r>
      <w:r>
        <w:rPr>
          <w:color w:val="231F20"/>
          <w:spacing w:val="-15"/>
        </w:rPr>
        <w:t xml:space="preserve"> </w:t>
      </w:r>
      <w:r>
        <w:rPr>
          <w:color w:val="231F20"/>
        </w:rPr>
        <w:t>other</w:t>
      </w:r>
      <w:r>
        <w:rPr>
          <w:color w:val="231F20"/>
          <w:spacing w:val="-15"/>
        </w:rPr>
        <w:t xml:space="preserve"> </w:t>
      </w:r>
      <w:r>
        <w:rPr>
          <w:color w:val="231F20"/>
        </w:rPr>
        <w:t>to</w:t>
      </w:r>
      <w:r>
        <w:rPr>
          <w:color w:val="231F20"/>
          <w:spacing w:val="-15"/>
        </w:rPr>
        <w:t xml:space="preserve"> </w:t>
      </w:r>
      <w:r>
        <w:rPr>
          <w:color w:val="231F20"/>
        </w:rPr>
        <w:t>address</w:t>
      </w:r>
      <w:r>
        <w:rPr>
          <w:color w:val="231F20"/>
          <w:spacing w:val="-15"/>
        </w:rPr>
        <w:t xml:space="preserve"> </w:t>
      </w:r>
      <w:r>
        <w:rPr>
          <w:color w:val="231F20"/>
        </w:rPr>
        <w:t>the</w:t>
      </w:r>
      <w:r>
        <w:rPr>
          <w:color w:val="231F20"/>
          <w:spacing w:val="-15"/>
        </w:rPr>
        <w:t xml:space="preserve"> </w:t>
      </w:r>
      <w:r>
        <w:rPr>
          <w:color w:val="231F20"/>
        </w:rPr>
        <w:t>gaps</w:t>
      </w:r>
      <w:r>
        <w:rPr>
          <w:color w:val="231F20"/>
          <w:spacing w:val="-15"/>
        </w:rPr>
        <w:t xml:space="preserve"> </w:t>
      </w:r>
      <w:r>
        <w:rPr>
          <w:color w:val="231F20"/>
        </w:rPr>
        <w:t>identified</w:t>
      </w:r>
      <w:r>
        <w:rPr>
          <w:color w:val="231F20"/>
          <w:spacing w:val="-15"/>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RSSHDP</w:t>
      </w:r>
      <w:r>
        <w:rPr>
          <w:color w:val="231F20"/>
          <w:spacing w:val="-19"/>
        </w:rPr>
        <w:t xml:space="preserve"> </w:t>
      </w:r>
      <w:r>
        <w:rPr>
          <w:color w:val="231F20"/>
        </w:rPr>
        <w:t>I</w:t>
      </w:r>
      <w:r>
        <w:rPr>
          <w:color w:val="231F20"/>
          <w:spacing w:val="-15"/>
        </w:rPr>
        <w:t xml:space="preserve"> </w:t>
      </w:r>
      <w:r>
        <w:rPr>
          <w:color w:val="231F20"/>
        </w:rPr>
        <w:t>implementation,</w:t>
      </w:r>
      <w:r>
        <w:rPr>
          <w:color w:val="231F20"/>
          <w:spacing w:val="-15"/>
        </w:rPr>
        <w:t xml:space="preserve"> </w:t>
      </w:r>
      <w:r>
        <w:rPr>
          <w:color w:val="231F20"/>
        </w:rPr>
        <w:t>the</w:t>
      </w:r>
      <w:r>
        <w:rPr>
          <w:color w:val="231F20"/>
          <w:spacing w:val="-15"/>
        </w:rPr>
        <w:t xml:space="preserve"> </w:t>
      </w:r>
      <w:r>
        <w:rPr>
          <w:color w:val="231F20"/>
        </w:rPr>
        <w:t>RSSHDP</w:t>
      </w:r>
      <w:r>
        <w:rPr>
          <w:color w:val="231F20"/>
          <w:spacing w:val="-19"/>
        </w:rPr>
        <w:t xml:space="preserve"> </w:t>
      </w:r>
      <w:r>
        <w:rPr>
          <w:color w:val="231F20"/>
        </w:rPr>
        <w:t>II</w:t>
      </w:r>
      <w:r>
        <w:rPr>
          <w:color w:val="231F20"/>
          <w:spacing w:val="-15"/>
        </w:rPr>
        <w:t xml:space="preserve"> </w:t>
      </w:r>
      <w:r>
        <w:rPr>
          <w:color w:val="231F20"/>
        </w:rPr>
        <w:t>should</w:t>
      </w:r>
      <w:r>
        <w:rPr>
          <w:color w:val="231F20"/>
          <w:spacing w:val="-15"/>
        </w:rPr>
        <w:t xml:space="preserve"> </w:t>
      </w:r>
      <w:r>
        <w:rPr>
          <w:color w:val="231F20"/>
          <w:spacing w:val="-7"/>
        </w:rPr>
        <w:t xml:space="preserve">be </w:t>
      </w:r>
      <w:r>
        <w:rPr>
          <w:color w:val="231F20"/>
        </w:rPr>
        <w:t>the</w:t>
      </w:r>
      <w:r>
        <w:rPr>
          <w:color w:val="231F20"/>
          <w:spacing w:val="-4"/>
        </w:rPr>
        <w:t xml:space="preserve"> </w:t>
      </w:r>
      <w:r>
        <w:rPr>
          <w:color w:val="231F20"/>
        </w:rPr>
        <w:t>'road</w:t>
      </w:r>
      <w:r>
        <w:rPr>
          <w:color w:val="231F20"/>
          <w:spacing w:val="-4"/>
        </w:rPr>
        <w:t xml:space="preserve"> </w:t>
      </w:r>
      <w:r>
        <w:rPr>
          <w:color w:val="231F20"/>
        </w:rPr>
        <w:t>map'</w:t>
      </w:r>
      <w:r>
        <w:rPr>
          <w:color w:val="231F20"/>
          <w:spacing w:val="-3"/>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health</w:t>
      </w:r>
      <w:r>
        <w:rPr>
          <w:color w:val="231F20"/>
          <w:spacing w:val="-3"/>
        </w:rPr>
        <w:t xml:space="preserve"> </w:t>
      </w:r>
      <w:r>
        <w:rPr>
          <w:color w:val="231F20"/>
        </w:rPr>
        <w:t>sector.</w:t>
      </w:r>
      <w:r>
        <w:rPr>
          <w:color w:val="231F20"/>
          <w:spacing w:val="-8"/>
        </w:rPr>
        <w:t xml:space="preserve"> </w:t>
      </w:r>
      <w:r>
        <w:rPr>
          <w:color w:val="231F20"/>
        </w:rPr>
        <w:t>The</w:t>
      </w:r>
      <w:r>
        <w:rPr>
          <w:color w:val="231F20"/>
          <w:spacing w:val="-3"/>
        </w:rPr>
        <w:t xml:space="preserve"> </w:t>
      </w:r>
      <w:r>
        <w:rPr>
          <w:color w:val="231F20"/>
        </w:rPr>
        <w:t>goal</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RSSHDP</w:t>
      </w:r>
      <w:r>
        <w:rPr>
          <w:color w:val="231F20"/>
          <w:spacing w:val="-8"/>
        </w:rPr>
        <w:t xml:space="preserve"> </w:t>
      </w:r>
      <w:r>
        <w:rPr>
          <w:color w:val="231F20"/>
        </w:rPr>
        <w:t>II</w:t>
      </w:r>
      <w:r>
        <w:rPr>
          <w:color w:val="231F20"/>
          <w:spacing w:val="-4"/>
        </w:rPr>
        <w:t xml:space="preserve"> </w:t>
      </w:r>
      <w:r>
        <w:rPr>
          <w:color w:val="231F20"/>
        </w:rPr>
        <w:t>is</w:t>
      </w:r>
      <w:r>
        <w:rPr>
          <w:color w:val="231F20"/>
          <w:spacing w:val="-3"/>
        </w:rPr>
        <w:t xml:space="preserve"> </w:t>
      </w:r>
      <w:r>
        <w:rPr>
          <w:color w:val="231F20"/>
        </w:rPr>
        <w:t>to</w:t>
      </w:r>
      <w:r>
        <w:rPr>
          <w:color w:val="231F20"/>
          <w:spacing w:val="-4"/>
        </w:rPr>
        <w:t xml:space="preserve"> </w:t>
      </w:r>
      <w:r>
        <w:rPr>
          <w:color w:val="231F20"/>
        </w:rPr>
        <w:t>improve</w:t>
      </w:r>
      <w:r>
        <w:rPr>
          <w:color w:val="231F20"/>
          <w:spacing w:val="-3"/>
        </w:rPr>
        <w:t xml:space="preserve"> </w:t>
      </w:r>
      <w:r>
        <w:rPr>
          <w:color w:val="231F20"/>
        </w:rPr>
        <w:t>the</w:t>
      </w:r>
      <w:r>
        <w:rPr>
          <w:color w:val="231F20"/>
          <w:spacing w:val="-4"/>
        </w:rPr>
        <w:t xml:space="preserve"> </w:t>
      </w:r>
      <w:r>
        <w:rPr>
          <w:color w:val="231F20"/>
        </w:rPr>
        <w:t>health</w:t>
      </w:r>
      <w:r>
        <w:rPr>
          <w:color w:val="231F20"/>
          <w:spacing w:val="-4"/>
        </w:rPr>
        <w:t xml:space="preserve"> </w:t>
      </w:r>
      <w:r>
        <w:rPr>
          <w:color w:val="231F20"/>
        </w:rPr>
        <w:t>status</w:t>
      </w:r>
      <w:r>
        <w:rPr>
          <w:color w:val="231F20"/>
          <w:spacing w:val="-3"/>
        </w:rPr>
        <w:t xml:space="preserve"> </w:t>
      </w:r>
      <w:r>
        <w:rPr>
          <w:color w:val="231F20"/>
          <w:spacing w:val="-6"/>
        </w:rPr>
        <w:t xml:space="preserve">of </w:t>
      </w:r>
      <w:r>
        <w:rPr>
          <w:color w:val="231F20"/>
        </w:rPr>
        <w:t>Rivers citizens through the development of a strengthened and sustainable health care delivery system.</w:t>
      </w:r>
      <w:r>
        <w:rPr>
          <w:color w:val="231F20"/>
          <w:spacing w:val="-29"/>
        </w:rPr>
        <w:t xml:space="preserve"> </w:t>
      </w:r>
      <w:r>
        <w:rPr>
          <w:color w:val="231F20"/>
        </w:rPr>
        <w:t>This</w:t>
      </w:r>
      <w:r>
        <w:rPr>
          <w:color w:val="231F20"/>
          <w:spacing w:val="-24"/>
        </w:rPr>
        <w:t xml:space="preserve"> </w:t>
      </w:r>
      <w:r>
        <w:rPr>
          <w:color w:val="231F20"/>
        </w:rPr>
        <w:t>Plan</w:t>
      </w:r>
      <w:r>
        <w:rPr>
          <w:color w:val="231F20"/>
          <w:spacing w:val="-24"/>
        </w:rPr>
        <w:t xml:space="preserve"> </w:t>
      </w:r>
      <w:r>
        <w:rPr>
          <w:color w:val="231F20"/>
        </w:rPr>
        <w:t>would</w:t>
      </w:r>
      <w:r>
        <w:rPr>
          <w:color w:val="231F20"/>
          <w:spacing w:val="-24"/>
        </w:rPr>
        <w:t xml:space="preserve"> </w:t>
      </w:r>
      <w:r>
        <w:rPr>
          <w:color w:val="231F20"/>
        </w:rPr>
        <w:t>serve</w:t>
      </w:r>
      <w:r>
        <w:rPr>
          <w:color w:val="231F20"/>
          <w:spacing w:val="-24"/>
        </w:rPr>
        <w:t xml:space="preserve"> </w:t>
      </w:r>
      <w:r>
        <w:rPr>
          <w:color w:val="231F20"/>
        </w:rPr>
        <w:t>as</w:t>
      </w:r>
      <w:r>
        <w:rPr>
          <w:color w:val="231F20"/>
          <w:spacing w:val="-24"/>
        </w:rPr>
        <w:t xml:space="preserve"> </w:t>
      </w:r>
      <w:r>
        <w:rPr>
          <w:color w:val="231F20"/>
        </w:rPr>
        <w:t>a</w:t>
      </w:r>
      <w:r>
        <w:rPr>
          <w:color w:val="231F20"/>
          <w:spacing w:val="-24"/>
        </w:rPr>
        <w:t xml:space="preserve"> </w:t>
      </w:r>
      <w:r>
        <w:rPr>
          <w:color w:val="231F20"/>
        </w:rPr>
        <w:t>framework</w:t>
      </w:r>
      <w:r>
        <w:rPr>
          <w:color w:val="231F20"/>
          <w:spacing w:val="-24"/>
        </w:rPr>
        <w:t xml:space="preserve"> </w:t>
      </w:r>
      <w:r>
        <w:rPr>
          <w:color w:val="231F20"/>
        </w:rPr>
        <w:t>and</w:t>
      </w:r>
      <w:r>
        <w:rPr>
          <w:color w:val="231F20"/>
          <w:spacing w:val="-24"/>
        </w:rPr>
        <w:t xml:space="preserve"> </w:t>
      </w:r>
      <w:r>
        <w:rPr>
          <w:color w:val="231F20"/>
        </w:rPr>
        <w:t>a</w:t>
      </w:r>
      <w:r>
        <w:rPr>
          <w:color w:val="231F20"/>
          <w:spacing w:val="-24"/>
        </w:rPr>
        <w:t xml:space="preserve"> </w:t>
      </w:r>
      <w:r>
        <w:rPr>
          <w:color w:val="231F20"/>
        </w:rPr>
        <w:t>reference</w:t>
      </w:r>
      <w:r>
        <w:rPr>
          <w:color w:val="231F20"/>
          <w:spacing w:val="-24"/>
        </w:rPr>
        <w:t xml:space="preserve"> </w:t>
      </w:r>
      <w:r>
        <w:rPr>
          <w:color w:val="231F20"/>
        </w:rPr>
        <w:t>document</w:t>
      </w:r>
      <w:r>
        <w:rPr>
          <w:color w:val="231F20"/>
          <w:spacing w:val="-24"/>
        </w:rPr>
        <w:t xml:space="preserve"> </w:t>
      </w:r>
      <w:r>
        <w:rPr>
          <w:color w:val="231F20"/>
        </w:rPr>
        <w:t>for</w:t>
      </w:r>
      <w:r>
        <w:rPr>
          <w:color w:val="231F20"/>
          <w:spacing w:val="-25"/>
        </w:rPr>
        <w:t xml:space="preserve"> </w:t>
      </w:r>
      <w:r>
        <w:rPr>
          <w:color w:val="231F20"/>
        </w:rPr>
        <w:t>all</w:t>
      </w:r>
      <w:r>
        <w:rPr>
          <w:color w:val="231F20"/>
          <w:spacing w:val="-24"/>
        </w:rPr>
        <w:t xml:space="preserve"> </w:t>
      </w:r>
      <w:r>
        <w:rPr>
          <w:color w:val="231F20"/>
        </w:rPr>
        <w:t>stakeholders</w:t>
      </w:r>
      <w:r>
        <w:rPr>
          <w:color w:val="231F20"/>
          <w:spacing w:val="-24"/>
        </w:rPr>
        <w:t xml:space="preserve"> </w:t>
      </w:r>
      <w:r>
        <w:rPr>
          <w:color w:val="231F20"/>
        </w:rPr>
        <w:t>in</w:t>
      </w:r>
      <w:r>
        <w:rPr>
          <w:color w:val="231F20"/>
          <w:spacing w:val="-24"/>
        </w:rPr>
        <w:t xml:space="preserve"> </w:t>
      </w:r>
      <w:r>
        <w:rPr>
          <w:color w:val="231F20"/>
        </w:rPr>
        <w:t>the health</w:t>
      </w:r>
      <w:r>
        <w:rPr>
          <w:color w:val="231F20"/>
          <w:spacing w:val="-26"/>
        </w:rPr>
        <w:t xml:space="preserve"> </w:t>
      </w:r>
      <w:r>
        <w:rPr>
          <w:color w:val="231F20"/>
        </w:rPr>
        <w:t>sector,</w:t>
      </w:r>
      <w:r>
        <w:rPr>
          <w:color w:val="231F20"/>
          <w:spacing w:val="-25"/>
        </w:rPr>
        <w:t xml:space="preserve"> </w:t>
      </w:r>
      <w:r>
        <w:rPr>
          <w:color w:val="231F20"/>
        </w:rPr>
        <w:t>to</w:t>
      </w:r>
      <w:r>
        <w:rPr>
          <w:color w:val="231F20"/>
          <w:spacing w:val="-25"/>
        </w:rPr>
        <w:t xml:space="preserve"> </w:t>
      </w:r>
      <w:r>
        <w:rPr>
          <w:color w:val="231F20"/>
        </w:rPr>
        <w:t>ensure</w:t>
      </w:r>
      <w:r>
        <w:rPr>
          <w:color w:val="231F20"/>
          <w:spacing w:val="-25"/>
        </w:rPr>
        <w:t xml:space="preserve"> </w:t>
      </w:r>
      <w:r>
        <w:rPr>
          <w:color w:val="231F20"/>
        </w:rPr>
        <w:t>transparency</w:t>
      </w:r>
      <w:r>
        <w:rPr>
          <w:color w:val="231F20"/>
          <w:spacing w:val="-26"/>
        </w:rPr>
        <w:t xml:space="preserve"> </w:t>
      </w:r>
      <w:r>
        <w:rPr>
          <w:color w:val="231F20"/>
        </w:rPr>
        <w:t>and</w:t>
      </w:r>
      <w:r>
        <w:rPr>
          <w:color w:val="231F20"/>
          <w:spacing w:val="-25"/>
        </w:rPr>
        <w:t xml:space="preserve"> </w:t>
      </w:r>
      <w:r>
        <w:rPr>
          <w:color w:val="231F20"/>
        </w:rPr>
        <w:t>mutual</w:t>
      </w:r>
      <w:r>
        <w:rPr>
          <w:color w:val="231F20"/>
          <w:spacing w:val="-25"/>
        </w:rPr>
        <w:t xml:space="preserve"> </w:t>
      </w:r>
      <w:r>
        <w:rPr>
          <w:color w:val="231F20"/>
        </w:rPr>
        <w:t>accountability</w:t>
      </w:r>
      <w:r>
        <w:rPr>
          <w:color w:val="231F20"/>
          <w:spacing w:val="-25"/>
        </w:rPr>
        <w:t xml:space="preserve"> </w:t>
      </w:r>
      <w:r>
        <w:rPr>
          <w:color w:val="231F20"/>
        </w:rPr>
        <w:t>for</w:t>
      </w:r>
      <w:r>
        <w:rPr>
          <w:color w:val="231F20"/>
          <w:spacing w:val="-25"/>
        </w:rPr>
        <w:t xml:space="preserve"> </w:t>
      </w:r>
      <w:r>
        <w:rPr>
          <w:color w:val="231F20"/>
        </w:rPr>
        <w:t>the</w:t>
      </w:r>
      <w:r>
        <w:rPr>
          <w:color w:val="231F20"/>
          <w:spacing w:val="-26"/>
        </w:rPr>
        <w:t xml:space="preserve"> </w:t>
      </w:r>
      <w:r>
        <w:rPr>
          <w:color w:val="231F20"/>
        </w:rPr>
        <w:t>results.</w:t>
      </w:r>
    </w:p>
    <w:p w14:paraId="6B63A9BC" w14:textId="77777777" w:rsidR="009948F1" w:rsidRDefault="00BC0563">
      <w:pPr>
        <w:pStyle w:val="BodyText"/>
        <w:spacing w:line="247" w:lineRule="auto"/>
        <w:ind w:left="862" w:right="268" w:hanging="360"/>
        <w:jc w:val="both"/>
      </w:pPr>
      <w:r>
        <w:rPr>
          <w:rFonts w:ascii="Symbol" w:hAnsi="Symbol"/>
          <w:color w:val="231F20"/>
          <w:spacing w:val="-248"/>
          <w:w w:val="600"/>
        </w:rPr>
        <w:t></w:t>
      </w:r>
      <w:r>
        <w:rPr>
          <w:color w:val="231F20"/>
          <w:w w:val="99"/>
        </w:rPr>
        <w:t>Therefore, widespread</w:t>
      </w:r>
      <w:r>
        <w:rPr>
          <w:color w:val="231F20"/>
        </w:rPr>
        <w:t xml:space="preserve"> </w:t>
      </w:r>
      <w:r>
        <w:rPr>
          <w:color w:val="231F20"/>
          <w:w w:val="99"/>
        </w:rPr>
        <w:t>dissemination</w:t>
      </w:r>
      <w:r>
        <w:rPr>
          <w:color w:val="231F20"/>
        </w:rPr>
        <w:t xml:space="preserve"> </w:t>
      </w:r>
      <w:r>
        <w:rPr>
          <w:color w:val="231F20"/>
          <w:w w:val="99"/>
        </w:rPr>
        <w:t>and</w:t>
      </w:r>
      <w:r>
        <w:rPr>
          <w:color w:val="231F20"/>
        </w:rPr>
        <w:t xml:space="preserve"> </w:t>
      </w:r>
      <w:r>
        <w:rPr>
          <w:color w:val="231F20"/>
          <w:w w:val="99"/>
        </w:rPr>
        <w:t>deeper</w:t>
      </w:r>
      <w:r>
        <w:rPr>
          <w:color w:val="231F20"/>
        </w:rPr>
        <w:t xml:space="preserve"> </w:t>
      </w:r>
      <w:r>
        <w:rPr>
          <w:color w:val="231F20"/>
          <w:w w:val="99"/>
        </w:rPr>
        <w:t>knowledge</w:t>
      </w:r>
      <w:r>
        <w:rPr>
          <w:color w:val="231F20"/>
        </w:rPr>
        <w:t xml:space="preserve"> of its contents </w:t>
      </w:r>
      <w:r>
        <w:rPr>
          <w:color w:val="231F20"/>
          <w:w w:val="99"/>
        </w:rPr>
        <w:t>are</w:t>
      </w:r>
      <w:r>
        <w:rPr>
          <w:color w:val="231F20"/>
        </w:rPr>
        <w:t xml:space="preserve"> </w:t>
      </w:r>
      <w:r>
        <w:rPr>
          <w:color w:val="231F20"/>
          <w:spacing w:val="-2"/>
          <w:w w:val="99"/>
        </w:rPr>
        <w:t>required</w:t>
      </w:r>
      <w:r>
        <w:rPr>
          <w:color w:val="231F20"/>
          <w:w w:val="99"/>
        </w:rPr>
        <w:t xml:space="preserve"> </w:t>
      </w:r>
      <w:r>
        <w:rPr>
          <w:color w:val="231F20"/>
          <w:w w:val="105"/>
        </w:rPr>
        <w:t>by the major actors.</w:t>
      </w:r>
    </w:p>
    <w:p w14:paraId="6973880E" w14:textId="77777777" w:rsidR="009948F1" w:rsidRDefault="00BC0563">
      <w:pPr>
        <w:pStyle w:val="BodyText"/>
        <w:spacing w:line="255" w:lineRule="exact"/>
        <w:ind w:left="502"/>
        <w:jc w:val="both"/>
      </w:pPr>
      <w:r>
        <w:rPr>
          <w:rFonts w:ascii="Symbol" w:hAnsi="Symbol"/>
          <w:color w:val="231F20"/>
          <w:spacing w:val="-248"/>
          <w:w w:val="600"/>
        </w:rPr>
        <w:t></w:t>
      </w:r>
      <w:r>
        <w:rPr>
          <w:color w:val="231F20"/>
          <w:w w:val="99"/>
        </w:rPr>
        <w:t>Advocacy</w:t>
      </w:r>
      <w:r>
        <w:rPr>
          <w:color w:val="231F20"/>
          <w:spacing w:val="-10"/>
        </w:rPr>
        <w:t xml:space="preserve"> </w:t>
      </w:r>
      <w:r>
        <w:rPr>
          <w:color w:val="231F20"/>
        </w:rPr>
        <w:t>for</w:t>
      </w:r>
      <w:r>
        <w:rPr>
          <w:color w:val="231F20"/>
          <w:spacing w:val="-10"/>
        </w:rPr>
        <w:t xml:space="preserve"> </w:t>
      </w:r>
      <w:r>
        <w:rPr>
          <w:color w:val="231F20"/>
          <w:w w:val="99"/>
        </w:rPr>
        <w:t>development</w:t>
      </w:r>
      <w:r>
        <w:rPr>
          <w:color w:val="231F20"/>
          <w:spacing w:val="-10"/>
        </w:rPr>
        <w:t xml:space="preserve"> </w:t>
      </w:r>
      <w:r>
        <w:rPr>
          <w:color w:val="231F20"/>
          <w:w w:val="99"/>
        </w:rPr>
        <w:t>partners</w:t>
      </w:r>
      <w:r>
        <w:rPr>
          <w:color w:val="231F20"/>
          <w:spacing w:val="-10"/>
        </w:rPr>
        <w:t xml:space="preserve"> </w:t>
      </w:r>
      <w:r>
        <w:rPr>
          <w:color w:val="231F20"/>
          <w:w w:val="99"/>
        </w:rPr>
        <w:t>and</w:t>
      </w:r>
      <w:r>
        <w:rPr>
          <w:color w:val="231F20"/>
          <w:spacing w:val="-10"/>
        </w:rPr>
        <w:t xml:space="preserve"> </w:t>
      </w:r>
      <w:r>
        <w:rPr>
          <w:color w:val="231F20"/>
          <w:w w:val="99"/>
        </w:rPr>
        <w:t>bilateral</w:t>
      </w:r>
      <w:r>
        <w:rPr>
          <w:color w:val="231F20"/>
          <w:spacing w:val="-10"/>
        </w:rPr>
        <w:t xml:space="preserve"> </w:t>
      </w:r>
      <w:r>
        <w:rPr>
          <w:color w:val="231F20"/>
          <w:w w:val="99"/>
        </w:rPr>
        <w:t>agencies</w:t>
      </w:r>
      <w:r>
        <w:rPr>
          <w:color w:val="231F20"/>
          <w:spacing w:val="-10"/>
        </w:rPr>
        <w:t xml:space="preserve"> </w:t>
      </w:r>
      <w:r>
        <w:rPr>
          <w:color w:val="231F20"/>
        </w:rPr>
        <w:t>to</w:t>
      </w:r>
      <w:r>
        <w:rPr>
          <w:color w:val="231F20"/>
          <w:spacing w:val="-10"/>
        </w:rPr>
        <w:t xml:space="preserve"> </w:t>
      </w:r>
      <w:r>
        <w:rPr>
          <w:color w:val="231F20"/>
        </w:rPr>
        <w:t>key</w:t>
      </w:r>
      <w:r>
        <w:rPr>
          <w:color w:val="231F20"/>
          <w:spacing w:val="-10"/>
        </w:rPr>
        <w:t xml:space="preserve"> </w:t>
      </w:r>
      <w:r>
        <w:rPr>
          <w:color w:val="231F20"/>
          <w:w w:val="99"/>
        </w:rPr>
        <w:t>into</w:t>
      </w:r>
      <w:r>
        <w:rPr>
          <w:color w:val="231F20"/>
          <w:spacing w:val="-10"/>
        </w:rPr>
        <w:t xml:space="preserve"> </w:t>
      </w:r>
      <w:r>
        <w:rPr>
          <w:color w:val="231F20"/>
        </w:rPr>
        <w:t>the</w:t>
      </w:r>
      <w:r>
        <w:rPr>
          <w:color w:val="231F20"/>
          <w:spacing w:val="-10"/>
        </w:rPr>
        <w:t xml:space="preserve"> </w:t>
      </w:r>
      <w:r>
        <w:rPr>
          <w:color w:val="231F20"/>
        </w:rPr>
        <w:t>SSHDP</w:t>
      </w:r>
      <w:r>
        <w:rPr>
          <w:color w:val="231F20"/>
          <w:spacing w:val="-14"/>
        </w:rPr>
        <w:t xml:space="preserve"> </w:t>
      </w:r>
      <w:r>
        <w:rPr>
          <w:color w:val="231F20"/>
        </w:rPr>
        <w:t>II</w:t>
      </w:r>
      <w:r>
        <w:rPr>
          <w:color w:val="231F20"/>
          <w:spacing w:val="-11"/>
        </w:rPr>
        <w:t xml:space="preserve"> </w:t>
      </w:r>
      <w:r>
        <w:rPr>
          <w:color w:val="231F20"/>
          <w:w w:val="99"/>
        </w:rPr>
        <w:t>Plans</w:t>
      </w:r>
    </w:p>
    <w:p w14:paraId="10377D8C" w14:textId="77777777" w:rsidR="009948F1" w:rsidRDefault="00BC0563">
      <w:pPr>
        <w:pStyle w:val="BodyText"/>
        <w:spacing w:line="250" w:lineRule="exact"/>
        <w:ind w:left="862"/>
        <w:jc w:val="both"/>
      </w:pPr>
      <w:r>
        <w:rPr>
          <w:color w:val="231F20"/>
        </w:rPr>
        <w:t>rather than producing parallel plans is imperative.</w:t>
      </w:r>
    </w:p>
    <w:p w14:paraId="3BD80C06" w14:textId="77777777" w:rsidR="009948F1" w:rsidRDefault="00BC0563">
      <w:pPr>
        <w:pStyle w:val="BodyText"/>
        <w:spacing w:line="247" w:lineRule="auto"/>
        <w:ind w:left="862" w:right="267" w:hanging="360"/>
        <w:jc w:val="both"/>
      </w:pPr>
      <w:r>
        <w:rPr>
          <w:rFonts w:ascii="Symbol" w:hAnsi="Symbol"/>
          <w:color w:val="231F20"/>
          <w:spacing w:val="-248"/>
          <w:w w:val="600"/>
        </w:rPr>
        <w:t></w:t>
      </w:r>
      <w:r>
        <w:rPr>
          <w:color w:val="231F20"/>
          <w:w w:val="99"/>
        </w:rPr>
        <w:t>The</w:t>
      </w:r>
      <w:r>
        <w:rPr>
          <w:color w:val="231F20"/>
          <w:spacing w:val="-25"/>
          <w:w w:val="99"/>
        </w:rPr>
        <w:t xml:space="preserve"> </w:t>
      </w:r>
      <w:r>
        <w:rPr>
          <w:color w:val="231F20"/>
          <w:w w:val="99"/>
        </w:rPr>
        <w:t>harmonization</w:t>
      </w:r>
      <w:r>
        <w:rPr>
          <w:color w:val="231F20"/>
          <w:spacing w:val="-24"/>
        </w:rPr>
        <w:t xml:space="preserve"> </w:t>
      </w:r>
      <w:r>
        <w:rPr>
          <w:color w:val="231F20"/>
          <w:w w:val="99"/>
        </w:rPr>
        <w:t>and</w:t>
      </w:r>
      <w:r>
        <w:rPr>
          <w:color w:val="231F20"/>
          <w:spacing w:val="-24"/>
        </w:rPr>
        <w:t xml:space="preserve"> </w:t>
      </w:r>
      <w:r>
        <w:rPr>
          <w:color w:val="231F20"/>
        </w:rPr>
        <w:t>e</w:t>
      </w:r>
      <w:r>
        <w:rPr>
          <w:color w:val="231F20"/>
          <w:spacing w:val="-4"/>
        </w:rPr>
        <w:t>f</w:t>
      </w:r>
      <w:r>
        <w:rPr>
          <w:color w:val="231F20"/>
        </w:rPr>
        <w:t>fective</w:t>
      </w:r>
      <w:r>
        <w:rPr>
          <w:color w:val="231F20"/>
          <w:spacing w:val="-25"/>
        </w:rPr>
        <w:t xml:space="preserve"> </w:t>
      </w:r>
      <w:r>
        <w:rPr>
          <w:color w:val="231F20"/>
          <w:w w:val="99"/>
        </w:rPr>
        <w:t>utilization</w:t>
      </w:r>
      <w:r>
        <w:rPr>
          <w:color w:val="231F20"/>
          <w:spacing w:val="-24"/>
        </w:rPr>
        <w:t xml:space="preserve"> </w:t>
      </w:r>
      <w:r>
        <w:rPr>
          <w:color w:val="231F20"/>
        </w:rPr>
        <w:t>of</w:t>
      </w:r>
      <w:r>
        <w:rPr>
          <w:color w:val="231F20"/>
          <w:spacing w:val="-25"/>
        </w:rPr>
        <w:t xml:space="preserve"> </w:t>
      </w:r>
      <w:r>
        <w:rPr>
          <w:color w:val="231F20"/>
          <w:w w:val="99"/>
        </w:rPr>
        <w:t>Monitoring</w:t>
      </w:r>
      <w:r>
        <w:rPr>
          <w:color w:val="231F20"/>
          <w:spacing w:val="-24"/>
        </w:rPr>
        <w:t xml:space="preserve"> </w:t>
      </w:r>
      <w:r>
        <w:rPr>
          <w:color w:val="231F20"/>
          <w:w w:val="99"/>
        </w:rPr>
        <w:t>and</w:t>
      </w:r>
      <w:r>
        <w:rPr>
          <w:color w:val="231F20"/>
          <w:spacing w:val="-24"/>
        </w:rPr>
        <w:t xml:space="preserve"> </w:t>
      </w:r>
      <w:r>
        <w:rPr>
          <w:color w:val="231F20"/>
          <w:w w:val="99"/>
        </w:rPr>
        <w:t>Evaluation</w:t>
      </w:r>
      <w:r>
        <w:rPr>
          <w:color w:val="231F20"/>
          <w:spacing w:val="-24"/>
        </w:rPr>
        <w:t xml:space="preserve"> </w:t>
      </w:r>
      <w:r>
        <w:rPr>
          <w:color w:val="231F20"/>
        </w:rPr>
        <w:t>(M&amp;E)</w:t>
      </w:r>
      <w:r>
        <w:rPr>
          <w:color w:val="231F20"/>
          <w:spacing w:val="-25"/>
        </w:rPr>
        <w:t xml:space="preserve"> </w:t>
      </w:r>
      <w:r>
        <w:rPr>
          <w:color w:val="231F20"/>
          <w:w w:val="99"/>
        </w:rPr>
        <w:t>data</w:t>
      </w:r>
      <w:r>
        <w:rPr>
          <w:color w:val="231F20"/>
          <w:spacing w:val="-24"/>
        </w:rPr>
        <w:t xml:space="preserve"> </w:t>
      </w:r>
      <w:r>
        <w:rPr>
          <w:color w:val="231F20"/>
        </w:rPr>
        <w:t>at</w:t>
      </w:r>
      <w:r>
        <w:rPr>
          <w:color w:val="231F20"/>
          <w:spacing w:val="-25"/>
        </w:rPr>
        <w:t xml:space="preserve"> </w:t>
      </w:r>
      <w:r>
        <w:rPr>
          <w:color w:val="231F20"/>
          <w:spacing w:val="-3"/>
          <w:w w:val="99"/>
        </w:rPr>
        <w:t>both</w:t>
      </w:r>
      <w:r>
        <w:rPr>
          <w:color w:val="231F20"/>
          <w:w w:val="99"/>
        </w:rPr>
        <w:t xml:space="preserve"> </w:t>
      </w:r>
      <w:r>
        <w:rPr>
          <w:color w:val="231F20"/>
        </w:rPr>
        <w:t>LGA</w:t>
      </w:r>
      <w:r>
        <w:rPr>
          <w:color w:val="231F20"/>
          <w:spacing w:val="-27"/>
        </w:rPr>
        <w:t xml:space="preserve"> </w:t>
      </w:r>
      <w:r>
        <w:rPr>
          <w:color w:val="231F20"/>
        </w:rPr>
        <w:t>and</w:t>
      </w:r>
      <w:r>
        <w:rPr>
          <w:color w:val="231F20"/>
          <w:spacing w:val="-14"/>
        </w:rPr>
        <w:t xml:space="preserve"> </w:t>
      </w:r>
      <w:r>
        <w:rPr>
          <w:color w:val="231F20"/>
        </w:rPr>
        <w:t>state</w:t>
      </w:r>
      <w:r>
        <w:rPr>
          <w:color w:val="231F20"/>
          <w:spacing w:val="-14"/>
        </w:rPr>
        <w:t xml:space="preserve"> </w:t>
      </w:r>
      <w:r>
        <w:rPr>
          <w:color w:val="231F20"/>
        </w:rPr>
        <w:t>levels</w:t>
      </w:r>
      <w:r>
        <w:rPr>
          <w:color w:val="231F20"/>
          <w:spacing w:val="-14"/>
        </w:rPr>
        <w:t xml:space="preserve"> </w:t>
      </w:r>
      <w:r>
        <w:rPr>
          <w:color w:val="231F20"/>
        </w:rPr>
        <w:t>for</w:t>
      </w:r>
      <w:r>
        <w:rPr>
          <w:color w:val="231F20"/>
          <w:spacing w:val="-14"/>
        </w:rPr>
        <w:t xml:space="preserve"> </w:t>
      </w:r>
      <w:r>
        <w:rPr>
          <w:color w:val="231F20"/>
        </w:rPr>
        <w:t>strategic</w:t>
      </w:r>
      <w:r>
        <w:rPr>
          <w:color w:val="231F20"/>
          <w:spacing w:val="-14"/>
        </w:rPr>
        <w:t xml:space="preserve"> </w:t>
      </w:r>
      <w:r>
        <w:rPr>
          <w:color w:val="231F20"/>
        </w:rPr>
        <w:t>implementation</w:t>
      </w:r>
      <w:r>
        <w:rPr>
          <w:color w:val="231F20"/>
          <w:spacing w:val="-13"/>
        </w:rPr>
        <w:t xml:space="preserve"> </w:t>
      </w:r>
      <w:r>
        <w:rPr>
          <w:color w:val="231F20"/>
        </w:rPr>
        <w:t>and</w:t>
      </w:r>
      <w:r>
        <w:rPr>
          <w:color w:val="231F20"/>
          <w:spacing w:val="-14"/>
        </w:rPr>
        <w:t xml:space="preserve"> </w:t>
      </w:r>
      <w:r>
        <w:rPr>
          <w:color w:val="231F20"/>
        </w:rPr>
        <w:t>periodic</w:t>
      </w:r>
      <w:r>
        <w:rPr>
          <w:color w:val="231F20"/>
          <w:spacing w:val="-15"/>
        </w:rPr>
        <w:t xml:space="preserve"> </w:t>
      </w:r>
      <w:r>
        <w:rPr>
          <w:color w:val="231F20"/>
        </w:rPr>
        <w:t>supportive</w:t>
      </w:r>
      <w:r>
        <w:rPr>
          <w:color w:val="231F20"/>
          <w:spacing w:val="-14"/>
        </w:rPr>
        <w:t xml:space="preserve"> </w:t>
      </w:r>
      <w:r>
        <w:rPr>
          <w:color w:val="231F20"/>
        </w:rPr>
        <w:t>supervision</w:t>
      </w:r>
      <w:r>
        <w:rPr>
          <w:color w:val="231F20"/>
          <w:spacing w:val="-14"/>
        </w:rPr>
        <w:t xml:space="preserve"> </w:t>
      </w:r>
      <w:r>
        <w:rPr>
          <w:color w:val="231F20"/>
        </w:rPr>
        <w:t xml:space="preserve">and </w:t>
      </w:r>
      <w:r>
        <w:rPr>
          <w:color w:val="231F20"/>
          <w:w w:val="105"/>
        </w:rPr>
        <w:t>reviews</w:t>
      </w:r>
      <w:r>
        <w:rPr>
          <w:color w:val="231F20"/>
          <w:spacing w:val="-42"/>
          <w:w w:val="105"/>
        </w:rPr>
        <w:t xml:space="preserve"> </w:t>
      </w:r>
      <w:r>
        <w:rPr>
          <w:color w:val="231F20"/>
          <w:w w:val="105"/>
        </w:rPr>
        <w:t>at</w:t>
      </w:r>
      <w:r>
        <w:rPr>
          <w:color w:val="231F20"/>
          <w:spacing w:val="-41"/>
          <w:w w:val="105"/>
        </w:rPr>
        <w:t xml:space="preserve"> </w:t>
      </w:r>
      <w:r>
        <w:rPr>
          <w:color w:val="231F20"/>
          <w:w w:val="105"/>
        </w:rPr>
        <w:t>both</w:t>
      </w:r>
      <w:r>
        <w:rPr>
          <w:color w:val="231F20"/>
          <w:spacing w:val="-42"/>
          <w:w w:val="105"/>
        </w:rPr>
        <w:t xml:space="preserve"> </w:t>
      </w:r>
      <w:r>
        <w:rPr>
          <w:color w:val="231F20"/>
          <w:w w:val="105"/>
        </w:rPr>
        <w:t>State</w:t>
      </w:r>
      <w:r>
        <w:rPr>
          <w:color w:val="231F20"/>
          <w:spacing w:val="-41"/>
          <w:w w:val="105"/>
        </w:rPr>
        <w:t xml:space="preserve"> </w:t>
      </w:r>
      <w:r>
        <w:rPr>
          <w:color w:val="231F20"/>
          <w:w w:val="105"/>
        </w:rPr>
        <w:t>and</w:t>
      </w:r>
      <w:r>
        <w:rPr>
          <w:color w:val="231F20"/>
          <w:spacing w:val="-41"/>
          <w:w w:val="105"/>
        </w:rPr>
        <w:t xml:space="preserve"> </w:t>
      </w:r>
      <w:r>
        <w:rPr>
          <w:color w:val="231F20"/>
          <w:w w:val="105"/>
        </w:rPr>
        <w:t>L.G.As,</w:t>
      </w:r>
      <w:r>
        <w:rPr>
          <w:color w:val="231F20"/>
          <w:spacing w:val="-42"/>
          <w:w w:val="105"/>
        </w:rPr>
        <w:t xml:space="preserve"> </w:t>
      </w:r>
      <w:r>
        <w:rPr>
          <w:color w:val="231F20"/>
          <w:w w:val="105"/>
        </w:rPr>
        <w:t>to</w:t>
      </w:r>
      <w:r>
        <w:rPr>
          <w:color w:val="231F20"/>
          <w:spacing w:val="-42"/>
          <w:w w:val="105"/>
        </w:rPr>
        <w:t xml:space="preserve"> </w:t>
      </w:r>
      <w:r>
        <w:rPr>
          <w:color w:val="231F20"/>
          <w:w w:val="105"/>
        </w:rPr>
        <w:t>address</w:t>
      </w:r>
      <w:r>
        <w:rPr>
          <w:color w:val="231F20"/>
          <w:spacing w:val="-41"/>
          <w:w w:val="105"/>
        </w:rPr>
        <w:t xml:space="preserve"> </w:t>
      </w:r>
      <w:r>
        <w:rPr>
          <w:color w:val="231F20"/>
          <w:w w:val="105"/>
        </w:rPr>
        <w:t>frontline</w:t>
      </w:r>
      <w:r>
        <w:rPr>
          <w:color w:val="231F20"/>
          <w:spacing w:val="-41"/>
          <w:w w:val="105"/>
        </w:rPr>
        <w:t xml:space="preserve"> </w:t>
      </w:r>
      <w:r>
        <w:rPr>
          <w:color w:val="231F20"/>
          <w:w w:val="105"/>
        </w:rPr>
        <w:t>issues</w:t>
      </w:r>
      <w:r>
        <w:rPr>
          <w:color w:val="231F20"/>
          <w:spacing w:val="-42"/>
          <w:w w:val="105"/>
        </w:rPr>
        <w:t xml:space="preserve"> </w:t>
      </w:r>
      <w:r>
        <w:rPr>
          <w:color w:val="231F20"/>
          <w:w w:val="105"/>
        </w:rPr>
        <w:t>that</w:t>
      </w:r>
      <w:r>
        <w:rPr>
          <w:color w:val="231F20"/>
          <w:spacing w:val="-41"/>
          <w:w w:val="105"/>
        </w:rPr>
        <w:t xml:space="preserve"> </w:t>
      </w:r>
      <w:r>
        <w:rPr>
          <w:color w:val="231F20"/>
          <w:w w:val="105"/>
        </w:rPr>
        <w:t>may</w:t>
      </w:r>
      <w:r>
        <w:rPr>
          <w:color w:val="231F20"/>
          <w:spacing w:val="-42"/>
          <w:w w:val="105"/>
        </w:rPr>
        <w:t xml:space="preserve"> </w:t>
      </w:r>
      <w:r>
        <w:rPr>
          <w:color w:val="231F20"/>
          <w:w w:val="105"/>
        </w:rPr>
        <w:t>pose</w:t>
      </w:r>
      <w:r>
        <w:rPr>
          <w:color w:val="231F20"/>
          <w:spacing w:val="-41"/>
          <w:w w:val="105"/>
        </w:rPr>
        <w:t xml:space="preserve"> </w:t>
      </w:r>
      <w:r>
        <w:rPr>
          <w:color w:val="231F20"/>
          <w:w w:val="105"/>
        </w:rPr>
        <w:t>a</w:t>
      </w:r>
      <w:r>
        <w:rPr>
          <w:color w:val="231F20"/>
          <w:spacing w:val="-41"/>
          <w:w w:val="105"/>
        </w:rPr>
        <w:t xml:space="preserve"> </w:t>
      </w:r>
      <w:r>
        <w:rPr>
          <w:color w:val="231F20"/>
          <w:w w:val="105"/>
        </w:rPr>
        <w:t>challenge</w:t>
      </w:r>
      <w:r>
        <w:rPr>
          <w:color w:val="231F20"/>
          <w:spacing w:val="-42"/>
          <w:w w:val="105"/>
        </w:rPr>
        <w:t xml:space="preserve"> </w:t>
      </w:r>
      <w:r>
        <w:rPr>
          <w:color w:val="231F20"/>
          <w:spacing w:val="-8"/>
          <w:w w:val="105"/>
        </w:rPr>
        <w:t xml:space="preserve">to </w:t>
      </w:r>
      <w:r>
        <w:rPr>
          <w:color w:val="231F20"/>
          <w:w w:val="105"/>
        </w:rPr>
        <w:t>the</w:t>
      </w:r>
      <w:r>
        <w:rPr>
          <w:color w:val="231F20"/>
          <w:spacing w:val="-31"/>
          <w:w w:val="105"/>
        </w:rPr>
        <w:t xml:space="preserve"> </w:t>
      </w:r>
      <w:r>
        <w:rPr>
          <w:color w:val="231F20"/>
          <w:w w:val="105"/>
        </w:rPr>
        <w:t>implementation</w:t>
      </w:r>
      <w:r>
        <w:rPr>
          <w:color w:val="231F20"/>
          <w:spacing w:val="-31"/>
          <w:w w:val="105"/>
        </w:rPr>
        <w:t xml:space="preserve"> </w:t>
      </w:r>
      <w:r>
        <w:rPr>
          <w:color w:val="231F20"/>
          <w:w w:val="105"/>
        </w:rPr>
        <w:t>plan</w:t>
      </w:r>
      <w:r>
        <w:rPr>
          <w:color w:val="231F20"/>
          <w:spacing w:val="-31"/>
          <w:w w:val="105"/>
        </w:rPr>
        <w:t xml:space="preserve"> </w:t>
      </w:r>
      <w:r>
        <w:rPr>
          <w:color w:val="231F20"/>
          <w:w w:val="105"/>
        </w:rPr>
        <w:t>should</w:t>
      </w:r>
      <w:r>
        <w:rPr>
          <w:color w:val="231F20"/>
          <w:spacing w:val="-30"/>
          <w:w w:val="105"/>
        </w:rPr>
        <w:t xml:space="preserve"> </w:t>
      </w:r>
      <w:r>
        <w:rPr>
          <w:color w:val="231F20"/>
          <w:w w:val="105"/>
        </w:rPr>
        <w:t>be</w:t>
      </w:r>
      <w:r>
        <w:rPr>
          <w:color w:val="231F20"/>
          <w:spacing w:val="-31"/>
          <w:w w:val="105"/>
        </w:rPr>
        <w:t xml:space="preserve"> </w:t>
      </w:r>
      <w:r>
        <w:rPr>
          <w:color w:val="231F20"/>
          <w:w w:val="105"/>
        </w:rPr>
        <w:t>pursued</w:t>
      </w:r>
      <w:r>
        <w:rPr>
          <w:color w:val="231F20"/>
          <w:spacing w:val="-31"/>
          <w:w w:val="105"/>
        </w:rPr>
        <w:t xml:space="preserve"> </w:t>
      </w:r>
      <w:r>
        <w:rPr>
          <w:color w:val="231F20"/>
          <w:w w:val="105"/>
        </w:rPr>
        <w:t>vigorously.</w:t>
      </w:r>
    </w:p>
    <w:p w14:paraId="6A520371" w14:textId="77777777" w:rsidR="009948F1" w:rsidRDefault="00BC0563">
      <w:pPr>
        <w:pStyle w:val="BodyText"/>
        <w:spacing w:line="247" w:lineRule="auto"/>
        <w:ind w:left="862" w:right="268" w:hanging="360"/>
        <w:jc w:val="both"/>
      </w:pPr>
      <w:r>
        <w:rPr>
          <w:rFonts w:ascii="Symbol" w:hAnsi="Symbol"/>
          <w:color w:val="231F20"/>
          <w:spacing w:val="-248"/>
          <w:w w:val="600"/>
        </w:rPr>
        <w:t></w:t>
      </w:r>
      <w:r>
        <w:rPr>
          <w:color w:val="231F20"/>
          <w:w w:val="99"/>
        </w:rPr>
        <w:t>There</w:t>
      </w:r>
      <w:r>
        <w:rPr>
          <w:color w:val="231F20"/>
          <w:spacing w:val="-11"/>
        </w:rPr>
        <w:t xml:space="preserve"> </w:t>
      </w:r>
      <w:r>
        <w:rPr>
          <w:color w:val="231F20"/>
          <w:w w:val="99"/>
        </w:rPr>
        <w:t>should</w:t>
      </w:r>
      <w:r>
        <w:rPr>
          <w:color w:val="231F20"/>
          <w:spacing w:val="-11"/>
        </w:rPr>
        <w:t xml:space="preserve"> </w:t>
      </w:r>
      <w:r>
        <w:rPr>
          <w:color w:val="231F20"/>
          <w:w w:val="99"/>
        </w:rPr>
        <w:t>also</w:t>
      </w:r>
      <w:r>
        <w:rPr>
          <w:color w:val="231F20"/>
          <w:spacing w:val="-11"/>
        </w:rPr>
        <w:t xml:space="preserve"> </w:t>
      </w:r>
      <w:r>
        <w:rPr>
          <w:color w:val="231F20"/>
          <w:w w:val="99"/>
        </w:rPr>
        <w:t>be</w:t>
      </w:r>
      <w:r>
        <w:rPr>
          <w:color w:val="231F20"/>
          <w:spacing w:val="-11"/>
        </w:rPr>
        <w:t xml:space="preserve"> </w:t>
      </w:r>
      <w:r>
        <w:rPr>
          <w:color w:val="231F20"/>
          <w:w w:val="99"/>
        </w:rPr>
        <w:t>a</w:t>
      </w:r>
      <w:r>
        <w:rPr>
          <w:color w:val="231F20"/>
          <w:spacing w:val="-11"/>
        </w:rPr>
        <w:t xml:space="preserve"> </w:t>
      </w:r>
      <w:r>
        <w:rPr>
          <w:color w:val="231F20"/>
        </w:rPr>
        <w:t>system</w:t>
      </w:r>
      <w:r>
        <w:rPr>
          <w:color w:val="231F20"/>
          <w:spacing w:val="-11"/>
        </w:rPr>
        <w:t xml:space="preserve"> </w:t>
      </w:r>
      <w:r>
        <w:rPr>
          <w:color w:val="231F20"/>
        </w:rPr>
        <w:t>of</w:t>
      </w:r>
      <w:r>
        <w:rPr>
          <w:color w:val="231F20"/>
          <w:spacing w:val="-11"/>
        </w:rPr>
        <w:t xml:space="preserve"> </w:t>
      </w:r>
      <w:r>
        <w:rPr>
          <w:color w:val="231F20"/>
          <w:w w:val="99"/>
        </w:rPr>
        <w:t>sharing</w:t>
      </w:r>
      <w:r>
        <w:rPr>
          <w:color w:val="231F20"/>
          <w:spacing w:val="-11"/>
        </w:rPr>
        <w:t xml:space="preserve"> </w:t>
      </w:r>
      <w:r>
        <w:rPr>
          <w:color w:val="231F20"/>
          <w:w w:val="99"/>
        </w:rPr>
        <w:t>data</w:t>
      </w:r>
      <w:r>
        <w:rPr>
          <w:color w:val="231F20"/>
          <w:spacing w:val="-11"/>
        </w:rPr>
        <w:t xml:space="preserve"> </w:t>
      </w:r>
      <w:r>
        <w:rPr>
          <w:color w:val="231F20"/>
          <w:w w:val="99"/>
        </w:rPr>
        <w:t>between</w:t>
      </w:r>
      <w:r>
        <w:rPr>
          <w:color w:val="231F20"/>
          <w:spacing w:val="-11"/>
        </w:rPr>
        <w:t xml:space="preserve"> </w:t>
      </w:r>
      <w:r>
        <w:rPr>
          <w:color w:val="231F20"/>
          <w:w w:val="99"/>
        </w:rPr>
        <w:t>all</w:t>
      </w:r>
      <w:r>
        <w:rPr>
          <w:color w:val="231F20"/>
          <w:spacing w:val="-11"/>
        </w:rPr>
        <w:t xml:space="preserve"> </w:t>
      </w:r>
      <w:r>
        <w:rPr>
          <w:color w:val="231F20"/>
          <w:w w:val="99"/>
        </w:rPr>
        <w:t>relevant</w:t>
      </w:r>
      <w:r>
        <w:rPr>
          <w:color w:val="231F20"/>
          <w:spacing w:val="-11"/>
        </w:rPr>
        <w:t xml:space="preserve"> </w:t>
      </w:r>
      <w:r>
        <w:rPr>
          <w:color w:val="231F20"/>
          <w:w w:val="99"/>
        </w:rPr>
        <w:t>agencies</w:t>
      </w:r>
      <w:r>
        <w:rPr>
          <w:color w:val="231F20"/>
          <w:spacing w:val="-11"/>
        </w:rPr>
        <w:t xml:space="preserve"> </w:t>
      </w:r>
      <w:r>
        <w:rPr>
          <w:color w:val="231F20"/>
          <w:w w:val="99"/>
        </w:rPr>
        <w:t>in</w:t>
      </w:r>
      <w:r>
        <w:rPr>
          <w:color w:val="231F20"/>
          <w:spacing w:val="-11"/>
        </w:rPr>
        <w:t xml:space="preserve"> </w:t>
      </w:r>
      <w:r>
        <w:rPr>
          <w:color w:val="231F20"/>
        </w:rPr>
        <w:t>the</w:t>
      </w:r>
      <w:r>
        <w:rPr>
          <w:color w:val="231F20"/>
          <w:spacing w:val="-11"/>
        </w:rPr>
        <w:t xml:space="preserve"> </w:t>
      </w:r>
      <w:r>
        <w:rPr>
          <w:color w:val="231F20"/>
          <w:w w:val="99"/>
        </w:rPr>
        <w:t xml:space="preserve">health </w:t>
      </w:r>
      <w:r>
        <w:rPr>
          <w:color w:val="231F20"/>
          <w:w w:val="105"/>
        </w:rPr>
        <w:t>sector.</w:t>
      </w:r>
    </w:p>
    <w:p w14:paraId="675AE7E8" w14:textId="77777777" w:rsidR="009948F1" w:rsidRDefault="00BC0563">
      <w:pPr>
        <w:pStyle w:val="BodyText"/>
        <w:spacing w:line="255" w:lineRule="exact"/>
        <w:ind w:left="502"/>
        <w:jc w:val="both"/>
      </w:pPr>
      <w:r>
        <w:rPr>
          <w:rFonts w:ascii="Symbol" w:hAnsi="Symbol"/>
          <w:color w:val="231F20"/>
          <w:spacing w:val="-248"/>
          <w:w w:val="600"/>
        </w:rPr>
        <w:t></w:t>
      </w:r>
      <w:r>
        <w:rPr>
          <w:color w:val="231F20"/>
          <w:w w:val="99"/>
        </w:rPr>
        <w:t>The</w:t>
      </w:r>
      <w:r>
        <w:rPr>
          <w:color w:val="231F20"/>
          <w:spacing w:val="18"/>
          <w:w w:val="99"/>
        </w:rPr>
        <w:t xml:space="preserve"> </w:t>
      </w:r>
      <w:r>
        <w:rPr>
          <w:color w:val="231F20"/>
        </w:rPr>
        <w:t>FMOH</w:t>
      </w:r>
      <w:r>
        <w:rPr>
          <w:color w:val="231F20"/>
          <w:spacing w:val="18"/>
        </w:rPr>
        <w:t xml:space="preserve"> </w:t>
      </w:r>
      <w:r>
        <w:rPr>
          <w:color w:val="231F20"/>
          <w:w w:val="99"/>
        </w:rPr>
        <w:t>should</w:t>
      </w:r>
      <w:r>
        <w:rPr>
          <w:color w:val="231F20"/>
          <w:spacing w:val="19"/>
        </w:rPr>
        <w:t xml:space="preserve"> </w:t>
      </w:r>
      <w:r>
        <w:rPr>
          <w:color w:val="231F20"/>
          <w:w w:val="99"/>
        </w:rPr>
        <w:t>ensure</w:t>
      </w:r>
      <w:r>
        <w:rPr>
          <w:color w:val="231F20"/>
          <w:spacing w:val="19"/>
        </w:rPr>
        <w:t xml:space="preserve"> </w:t>
      </w:r>
      <w:r>
        <w:rPr>
          <w:color w:val="231F20"/>
        </w:rPr>
        <w:t>that</w:t>
      </w:r>
      <w:r>
        <w:rPr>
          <w:color w:val="231F20"/>
          <w:spacing w:val="18"/>
        </w:rPr>
        <w:t xml:space="preserve"> </w:t>
      </w:r>
      <w:r>
        <w:rPr>
          <w:color w:val="231F20"/>
          <w:w w:val="99"/>
        </w:rPr>
        <w:t>core</w:t>
      </w:r>
      <w:r>
        <w:rPr>
          <w:color w:val="231F20"/>
          <w:spacing w:val="19"/>
        </w:rPr>
        <w:t xml:space="preserve"> </w:t>
      </w:r>
      <w:r>
        <w:rPr>
          <w:color w:val="231F20"/>
          <w:w w:val="99"/>
        </w:rPr>
        <w:t>health</w:t>
      </w:r>
      <w:r>
        <w:rPr>
          <w:color w:val="231F20"/>
          <w:spacing w:val="19"/>
        </w:rPr>
        <w:t xml:space="preserve"> </w:t>
      </w:r>
      <w:r>
        <w:rPr>
          <w:color w:val="231F20"/>
          <w:w w:val="99"/>
        </w:rPr>
        <w:t>indicators</w:t>
      </w:r>
      <w:r>
        <w:rPr>
          <w:color w:val="231F20"/>
          <w:spacing w:val="19"/>
        </w:rPr>
        <w:t xml:space="preserve"> </w:t>
      </w:r>
      <w:r>
        <w:rPr>
          <w:color w:val="231F20"/>
          <w:w w:val="99"/>
        </w:rPr>
        <w:t>in</w:t>
      </w:r>
      <w:r>
        <w:rPr>
          <w:color w:val="231F20"/>
          <w:spacing w:val="19"/>
        </w:rPr>
        <w:t xml:space="preserve"> </w:t>
      </w:r>
      <w:r>
        <w:rPr>
          <w:color w:val="231F20"/>
        </w:rPr>
        <w:t>the</w:t>
      </w:r>
      <w:r>
        <w:rPr>
          <w:color w:val="231F20"/>
          <w:spacing w:val="18"/>
        </w:rPr>
        <w:t xml:space="preserve"> </w:t>
      </w:r>
      <w:r>
        <w:rPr>
          <w:color w:val="231F20"/>
          <w:w w:val="99"/>
        </w:rPr>
        <w:t>National</w:t>
      </w:r>
      <w:r>
        <w:rPr>
          <w:color w:val="231F20"/>
          <w:spacing w:val="19"/>
        </w:rPr>
        <w:t xml:space="preserve"> </w:t>
      </w:r>
      <w:r>
        <w:rPr>
          <w:color w:val="231F20"/>
          <w:w w:val="99"/>
        </w:rPr>
        <w:t>results</w:t>
      </w:r>
      <w:r>
        <w:rPr>
          <w:color w:val="231F20"/>
          <w:spacing w:val="19"/>
        </w:rPr>
        <w:t xml:space="preserve"> </w:t>
      </w:r>
      <w:r>
        <w:rPr>
          <w:color w:val="231F20"/>
        </w:rPr>
        <w:t>matrix</w:t>
      </w:r>
      <w:r>
        <w:rPr>
          <w:color w:val="231F20"/>
          <w:spacing w:val="18"/>
        </w:rPr>
        <w:t xml:space="preserve"> </w:t>
      </w:r>
      <w:r>
        <w:rPr>
          <w:color w:val="231F20"/>
          <w:w w:val="99"/>
        </w:rPr>
        <w:t>are</w:t>
      </w:r>
    </w:p>
    <w:p w14:paraId="257F91AA" w14:textId="77777777" w:rsidR="009948F1" w:rsidRDefault="00BC0563">
      <w:pPr>
        <w:pStyle w:val="BodyText"/>
        <w:spacing w:line="247" w:lineRule="auto"/>
        <w:ind w:left="862" w:right="268"/>
        <w:jc w:val="both"/>
      </w:pPr>
      <w:r>
        <w:rPr>
          <w:color w:val="231F20"/>
        </w:rPr>
        <w:t>addressed</w:t>
      </w:r>
      <w:r>
        <w:rPr>
          <w:color w:val="231F20"/>
          <w:spacing w:val="-13"/>
        </w:rPr>
        <w:t xml:space="preserve"> </w:t>
      </w:r>
      <w:r>
        <w:rPr>
          <w:color w:val="231F20"/>
        </w:rPr>
        <w:t>in</w:t>
      </w:r>
      <w:r>
        <w:rPr>
          <w:color w:val="231F20"/>
          <w:spacing w:val="-12"/>
        </w:rPr>
        <w:t xml:space="preserve"> </w:t>
      </w:r>
      <w:r>
        <w:rPr>
          <w:color w:val="231F20"/>
        </w:rPr>
        <w:t>this</w:t>
      </w:r>
      <w:r>
        <w:rPr>
          <w:color w:val="231F20"/>
          <w:spacing w:val="-12"/>
        </w:rPr>
        <w:t xml:space="preserve"> </w:t>
      </w:r>
      <w:r>
        <w:rPr>
          <w:color w:val="231F20"/>
        </w:rPr>
        <w:t>SSHDP</w:t>
      </w:r>
      <w:r>
        <w:rPr>
          <w:color w:val="231F20"/>
          <w:spacing w:val="-17"/>
        </w:rPr>
        <w:t xml:space="preserve"> </w:t>
      </w:r>
      <w:r>
        <w:rPr>
          <w:color w:val="231F20"/>
        </w:rPr>
        <w:t>II</w:t>
      </w:r>
      <w:r>
        <w:rPr>
          <w:color w:val="231F20"/>
          <w:spacing w:val="-12"/>
        </w:rPr>
        <w:t xml:space="preserve"> </w:t>
      </w:r>
      <w:r>
        <w:rPr>
          <w:color w:val="231F20"/>
        </w:rPr>
        <w:t>to</w:t>
      </w:r>
      <w:r>
        <w:rPr>
          <w:color w:val="231F20"/>
          <w:spacing w:val="-12"/>
        </w:rPr>
        <w:t xml:space="preserve"> </w:t>
      </w:r>
      <w:r>
        <w:rPr>
          <w:color w:val="231F20"/>
        </w:rPr>
        <w:t>help</w:t>
      </w:r>
      <w:r>
        <w:rPr>
          <w:color w:val="231F20"/>
          <w:spacing w:val="-13"/>
        </w:rPr>
        <w:t xml:space="preserve"> </w:t>
      </w:r>
      <w:r>
        <w:rPr>
          <w:color w:val="231F20"/>
        </w:rPr>
        <w:t>synergize</w:t>
      </w:r>
      <w:r>
        <w:rPr>
          <w:color w:val="231F20"/>
          <w:spacing w:val="-12"/>
        </w:rPr>
        <w:t xml:space="preserve"> </w:t>
      </w:r>
      <w:r>
        <w:rPr>
          <w:color w:val="231F20"/>
        </w:rPr>
        <w:t>efforts</w:t>
      </w:r>
      <w:r>
        <w:rPr>
          <w:color w:val="231F20"/>
          <w:spacing w:val="-12"/>
        </w:rPr>
        <w:t xml:space="preserve"> </w:t>
      </w:r>
      <w:r>
        <w:rPr>
          <w:color w:val="231F20"/>
        </w:rPr>
        <w:t>towards</w:t>
      </w:r>
      <w:r>
        <w:rPr>
          <w:color w:val="231F20"/>
          <w:spacing w:val="-12"/>
        </w:rPr>
        <w:t xml:space="preserve"> </w:t>
      </w:r>
      <w:r>
        <w:rPr>
          <w:color w:val="231F20"/>
        </w:rPr>
        <w:t>achieving</w:t>
      </w:r>
      <w:r>
        <w:rPr>
          <w:color w:val="231F20"/>
          <w:spacing w:val="-13"/>
        </w:rPr>
        <w:t xml:space="preserve"> </w:t>
      </w:r>
      <w:r>
        <w:rPr>
          <w:color w:val="231F20"/>
        </w:rPr>
        <w:t>national</w:t>
      </w:r>
      <w:r>
        <w:rPr>
          <w:color w:val="231F20"/>
          <w:spacing w:val="-12"/>
        </w:rPr>
        <w:t xml:space="preserve"> </w:t>
      </w:r>
      <w:r>
        <w:rPr>
          <w:color w:val="231F20"/>
        </w:rPr>
        <w:t>goals</w:t>
      </w:r>
      <w:r>
        <w:rPr>
          <w:color w:val="231F20"/>
          <w:spacing w:val="-12"/>
        </w:rPr>
        <w:t xml:space="preserve"> </w:t>
      </w:r>
      <w:r>
        <w:rPr>
          <w:color w:val="231F20"/>
          <w:spacing w:val="-4"/>
        </w:rPr>
        <w:t xml:space="preserve">and </w:t>
      </w:r>
      <w:r>
        <w:rPr>
          <w:color w:val="231F20"/>
        </w:rPr>
        <w:t>establish</w:t>
      </w:r>
      <w:r>
        <w:rPr>
          <w:color w:val="231F20"/>
          <w:spacing w:val="-25"/>
        </w:rPr>
        <w:t xml:space="preserve"> </w:t>
      </w:r>
      <w:r>
        <w:rPr>
          <w:color w:val="231F20"/>
        </w:rPr>
        <w:t>mechanisms</w:t>
      </w:r>
      <w:r>
        <w:rPr>
          <w:color w:val="231F20"/>
          <w:spacing w:val="-26"/>
        </w:rPr>
        <w:t xml:space="preserve"> </w:t>
      </w:r>
      <w:r>
        <w:rPr>
          <w:color w:val="231F20"/>
        </w:rPr>
        <w:t>for</w:t>
      </w:r>
      <w:r>
        <w:rPr>
          <w:color w:val="231F20"/>
          <w:spacing w:val="-25"/>
        </w:rPr>
        <w:t xml:space="preserve"> </w:t>
      </w:r>
      <w:r>
        <w:rPr>
          <w:color w:val="231F20"/>
        </w:rPr>
        <w:t>tracking</w:t>
      </w:r>
      <w:r>
        <w:rPr>
          <w:color w:val="231F20"/>
          <w:spacing w:val="-25"/>
        </w:rPr>
        <w:t xml:space="preserve"> </w:t>
      </w:r>
      <w:r>
        <w:rPr>
          <w:color w:val="231F20"/>
        </w:rPr>
        <w:t>progress</w:t>
      </w:r>
      <w:r>
        <w:rPr>
          <w:color w:val="231F20"/>
          <w:spacing w:val="-25"/>
        </w:rPr>
        <w:t xml:space="preserve"> </w:t>
      </w:r>
      <w:r>
        <w:rPr>
          <w:color w:val="231F20"/>
        </w:rPr>
        <w:t>in</w:t>
      </w:r>
      <w:r>
        <w:rPr>
          <w:color w:val="231F20"/>
          <w:spacing w:val="-25"/>
        </w:rPr>
        <w:t xml:space="preserve"> </w:t>
      </w:r>
      <w:r>
        <w:rPr>
          <w:color w:val="231F20"/>
        </w:rPr>
        <w:t>States.</w:t>
      </w:r>
    </w:p>
    <w:p w14:paraId="2A03ED31" w14:textId="77777777" w:rsidR="009948F1" w:rsidRDefault="00BC0563">
      <w:pPr>
        <w:pStyle w:val="BodyText"/>
        <w:spacing w:line="247" w:lineRule="auto"/>
        <w:ind w:left="861" w:right="268" w:hanging="360"/>
        <w:jc w:val="both"/>
      </w:pPr>
      <w:r>
        <w:rPr>
          <w:rFonts w:ascii="Symbol" w:hAnsi="Symbol"/>
          <w:color w:val="231F20"/>
          <w:spacing w:val="-248"/>
          <w:w w:val="600"/>
        </w:rPr>
        <w:t></w:t>
      </w:r>
      <w:r>
        <w:rPr>
          <w:color w:val="231F20"/>
          <w:w w:val="99"/>
        </w:rPr>
        <w:t>Monitoring</w:t>
      </w:r>
      <w:r>
        <w:rPr>
          <w:color w:val="231F20"/>
          <w:spacing w:val="-20"/>
        </w:rPr>
        <w:t xml:space="preserve"> </w:t>
      </w:r>
      <w:r>
        <w:rPr>
          <w:color w:val="231F20"/>
          <w:w w:val="99"/>
        </w:rPr>
        <w:t>and</w:t>
      </w:r>
      <w:r>
        <w:rPr>
          <w:color w:val="231F20"/>
          <w:spacing w:val="-20"/>
        </w:rPr>
        <w:t xml:space="preserve"> </w:t>
      </w:r>
      <w:r>
        <w:rPr>
          <w:color w:val="231F20"/>
          <w:w w:val="99"/>
        </w:rPr>
        <w:t>Evaluation</w:t>
      </w:r>
      <w:r>
        <w:rPr>
          <w:color w:val="231F20"/>
          <w:spacing w:val="-20"/>
        </w:rPr>
        <w:t xml:space="preserve"> </w:t>
      </w:r>
      <w:r>
        <w:rPr>
          <w:color w:val="231F20"/>
        </w:rPr>
        <w:t>must</w:t>
      </w:r>
      <w:r>
        <w:rPr>
          <w:color w:val="231F20"/>
          <w:spacing w:val="-20"/>
        </w:rPr>
        <w:t xml:space="preserve"> </w:t>
      </w:r>
      <w:r>
        <w:rPr>
          <w:color w:val="231F20"/>
          <w:w w:val="99"/>
        </w:rPr>
        <w:t>be</w:t>
      </w:r>
      <w:r>
        <w:rPr>
          <w:color w:val="231F20"/>
          <w:spacing w:val="-20"/>
        </w:rPr>
        <w:t xml:space="preserve"> </w:t>
      </w:r>
      <w:r>
        <w:rPr>
          <w:color w:val="231F20"/>
          <w:w w:val="99"/>
        </w:rPr>
        <w:t>strengthened</w:t>
      </w:r>
      <w:r>
        <w:rPr>
          <w:color w:val="231F20"/>
          <w:spacing w:val="-20"/>
        </w:rPr>
        <w:t xml:space="preserve"> </w:t>
      </w:r>
      <w:r>
        <w:rPr>
          <w:color w:val="231F20"/>
          <w:w w:val="99"/>
        </w:rPr>
        <w:t>in</w:t>
      </w:r>
      <w:r>
        <w:rPr>
          <w:color w:val="231F20"/>
          <w:spacing w:val="-20"/>
        </w:rPr>
        <w:t xml:space="preserve"> </w:t>
      </w:r>
      <w:r>
        <w:rPr>
          <w:color w:val="231F20"/>
          <w:w w:val="99"/>
        </w:rPr>
        <w:t>all</w:t>
      </w:r>
      <w:r>
        <w:rPr>
          <w:color w:val="231F20"/>
          <w:spacing w:val="-20"/>
        </w:rPr>
        <w:t xml:space="preserve"> </w:t>
      </w:r>
      <w:r>
        <w:rPr>
          <w:color w:val="231F20"/>
          <w:w w:val="99"/>
        </w:rPr>
        <w:t>health</w:t>
      </w:r>
      <w:r>
        <w:rPr>
          <w:color w:val="231F20"/>
          <w:spacing w:val="-20"/>
        </w:rPr>
        <w:t xml:space="preserve"> </w:t>
      </w:r>
      <w:proofErr w:type="spellStart"/>
      <w:r>
        <w:rPr>
          <w:color w:val="231F20"/>
          <w:w w:val="99"/>
        </w:rPr>
        <w:t>programmes</w:t>
      </w:r>
      <w:proofErr w:type="spellEnd"/>
      <w:r>
        <w:rPr>
          <w:color w:val="231F20"/>
          <w:spacing w:val="-20"/>
        </w:rPr>
        <w:t xml:space="preserve"> </w:t>
      </w:r>
      <w:r>
        <w:rPr>
          <w:color w:val="231F20"/>
          <w:w w:val="99"/>
        </w:rPr>
        <w:t>like</w:t>
      </w:r>
      <w:r>
        <w:rPr>
          <w:color w:val="231F20"/>
          <w:spacing w:val="-20"/>
        </w:rPr>
        <w:t xml:space="preserve"> </w:t>
      </w:r>
      <w:r>
        <w:rPr>
          <w:color w:val="231F20"/>
          <w:w w:val="99"/>
        </w:rPr>
        <w:t>Saving</w:t>
      </w:r>
      <w:r>
        <w:rPr>
          <w:color w:val="231F20"/>
          <w:spacing w:val="-20"/>
        </w:rPr>
        <w:t xml:space="preserve"> </w:t>
      </w:r>
      <w:r>
        <w:rPr>
          <w:color w:val="231F20"/>
        </w:rPr>
        <w:t xml:space="preserve">One Million Lives Result for Performance (SOMLPforR) so as to achieve improvement of </w:t>
      </w:r>
      <w:r>
        <w:rPr>
          <w:color w:val="231F20"/>
          <w:spacing w:val="-5"/>
        </w:rPr>
        <w:t xml:space="preserve">the </w:t>
      </w:r>
      <w:r>
        <w:rPr>
          <w:color w:val="231F20"/>
        </w:rPr>
        <w:t>state</w:t>
      </w:r>
      <w:r>
        <w:rPr>
          <w:color w:val="231F20"/>
          <w:spacing w:val="-25"/>
        </w:rPr>
        <w:t xml:space="preserve"> </w:t>
      </w:r>
      <w:r>
        <w:rPr>
          <w:color w:val="231F20"/>
        </w:rPr>
        <w:t>indices.</w:t>
      </w:r>
    </w:p>
    <w:p w14:paraId="73AF40BF" w14:textId="77777777" w:rsidR="009948F1" w:rsidRDefault="00BC0563">
      <w:pPr>
        <w:pStyle w:val="BodyText"/>
        <w:spacing w:line="247" w:lineRule="auto"/>
        <w:ind w:left="861" w:right="268" w:hanging="360"/>
        <w:jc w:val="both"/>
      </w:pPr>
      <w:r>
        <w:rPr>
          <w:rFonts w:ascii="Symbol" w:hAnsi="Symbol"/>
          <w:color w:val="231F20"/>
          <w:spacing w:val="-248"/>
          <w:w w:val="600"/>
        </w:rPr>
        <w:t></w:t>
      </w:r>
      <w:r>
        <w:rPr>
          <w:color w:val="231F20"/>
          <w:w w:val="99"/>
        </w:rPr>
        <w:t>The</w:t>
      </w:r>
      <w:r>
        <w:rPr>
          <w:color w:val="231F20"/>
          <w:spacing w:val="-14"/>
          <w:w w:val="99"/>
        </w:rPr>
        <w:t xml:space="preserve"> </w:t>
      </w:r>
      <w:r>
        <w:rPr>
          <w:color w:val="231F20"/>
          <w:w w:val="99"/>
        </w:rPr>
        <w:t>SSHDP</w:t>
      </w:r>
      <w:r>
        <w:rPr>
          <w:color w:val="231F20"/>
          <w:spacing w:val="-18"/>
          <w:w w:val="99"/>
        </w:rPr>
        <w:t xml:space="preserve"> </w:t>
      </w:r>
      <w:r>
        <w:rPr>
          <w:color w:val="231F20"/>
        </w:rPr>
        <w:t>II</w:t>
      </w:r>
      <w:r>
        <w:rPr>
          <w:color w:val="231F20"/>
          <w:spacing w:val="-14"/>
        </w:rPr>
        <w:t xml:space="preserve"> </w:t>
      </w:r>
      <w:r>
        <w:rPr>
          <w:color w:val="231F20"/>
          <w:w w:val="99"/>
        </w:rPr>
        <w:t>would</w:t>
      </w:r>
      <w:r>
        <w:rPr>
          <w:color w:val="231F20"/>
          <w:spacing w:val="-14"/>
        </w:rPr>
        <w:t xml:space="preserve"> </w:t>
      </w:r>
      <w:r>
        <w:rPr>
          <w:color w:val="231F20"/>
          <w:w w:val="99"/>
        </w:rPr>
        <w:t>be</w:t>
      </w:r>
      <w:r>
        <w:rPr>
          <w:color w:val="231F20"/>
          <w:spacing w:val="-14"/>
        </w:rPr>
        <w:t xml:space="preserve"> </w:t>
      </w:r>
      <w:r>
        <w:rPr>
          <w:color w:val="231F20"/>
          <w:w w:val="99"/>
        </w:rPr>
        <w:t>a</w:t>
      </w:r>
      <w:r>
        <w:rPr>
          <w:color w:val="231F20"/>
          <w:spacing w:val="-14"/>
        </w:rPr>
        <w:t xml:space="preserve"> </w:t>
      </w:r>
      <w:r>
        <w:rPr>
          <w:color w:val="231F20"/>
          <w:w w:val="99"/>
        </w:rPr>
        <w:t>tool</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state</w:t>
      </w:r>
      <w:r>
        <w:rPr>
          <w:color w:val="231F20"/>
          <w:spacing w:val="-14"/>
        </w:rPr>
        <w:t xml:space="preserve"> </w:t>
      </w:r>
      <w:r>
        <w:rPr>
          <w:color w:val="231F20"/>
        </w:rPr>
        <w:t>actors</w:t>
      </w:r>
      <w:r>
        <w:rPr>
          <w:color w:val="231F20"/>
          <w:spacing w:val="-14"/>
        </w:rPr>
        <w:t xml:space="preserve"> </w:t>
      </w:r>
      <w:r>
        <w:rPr>
          <w:color w:val="231F20"/>
        </w:rPr>
        <w:t>to</w:t>
      </w:r>
      <w:r>
        <w:rPr>
          <w:color w:val="231F20"/>
          <w:spacing w:val="-14"/>
        </w:rPr>
        <w:t xml:space="preserve"> </w:t>
      </w:r>
      <w:r>
        <w:rPr>
          <w:color w:val="231F20"/>
          <w:w w:val="99"/>
        </w:rPr>
        <w:t>source</w:t>
      </w:r>
      <w:r>
        <w:rPr>
          <w:color w:val="231F20"/>
          <w:spacing w:val="-14"/>
        </w:rPr>
        <w:t xml:space="preserve"> </w:t>
      </w:r>
      <w:r>
        <w:rPr>
          <w:color w:val="231F20"/>
        </w:rPr>
        <w:t>for</w:t>
      </w:r>
      <w:r>
        <w:rPr>
          <w:color w:val="231F20"/>
          <w:spacing w:val="-14"/>
        </w:rPr>
        <w:t xml:space="preserve"> </w:t>
      </w:r>
      <w:r>
        <w:rPr>
          <w:color w:val="231F20"/>
        </w:rPr>
        <w:t>'more</w:t>
      </w:r>
      <w:r>
        <w:rPr>
          <w:color w:val="231F20"/>
          <w:spacing w:val="-14"/>
        </w:rPr>
        <w:t xml:space="preserve"> </w:t>
      </w:r>
      <w:r>
        <w:rPr>
          <w:color w:val="231F20"/>
          <w:w w:val="99"/>
        </w:rPr>
        <w:t>money</w:t>
      </w:r>
      <w:r>
        <w:rPr>
          <w:color w:val="231F20"/>
          <w:spacing w:val="-14"/>
        </w:rPr>
        <w:t xml:space="preserve"> </w:t>
      </w:r>
      <w:r>
        <w:rPr>
          <w:color w:val="231F20"/>
        </w:rPr>
        <w:t>for</w:t>
      </w:r>
      <w:r>
        <w:rPr>
          <w:color w:val="231F20"/>
          <w:spacing w:val="-14"/>
        </w:rPr>
        <w:t xml:space="preserve"> </w:t>
      </w:r>
      <w:r>
        <w:rPr>
          <w:color w:val="231F20"/>
          <w:w w:val="99"/>
        </w:rPr>
        <w:t>health</w:t>
      </w:r>
      <w:r>
        <w:rPr>
          <w:color w:val="231F20"/>
          <w:spacing w:val="-14"/>
        </w:rPr>
        <w:t xml:space="preserve"> </w:t>
      </w:r>
      <w:r>
        <w:rPr>
          <w:color w:val="231F20"/>
          <w:w w:val="99"/>
        </w:rPr>
        <w:t xml:space="preserve">and </w:t>
      </w:r>
      <w:r>
        <w:rPr>
          <w:color w:val="231F20"/>
          <w:w w:val="105"/>
        </w:rPr>
        <w:t>more</w:t>
      </w:r>
      <w:r>
        <w:rPr>
          <w:color w:val="231F20"/>
          <w:spacing w:val="-29"/>
          <w:w w:val="105"/>
        </w:rPr>
        <w:t xml:space="preserve"> </w:t>
      </w:r>
      <w:r>
        <w:rPr>
          <w:color w:val="231F20"/>
          <w:w w:val="105"/>
        </w:rPr>
        <w:t>health</w:t>
      </w:r>
      <w:r>
        <w:rPr>
          <w:color w:val="231F20"/>
          <w:spacing w:val="-29"/>
          <w:w w:val="105"/>
        </w:rPr>
        <w:t xml:space="preserve"> </w:t>
      </w:r>
      <w:r>
        <w:rPr>
          <w:color w:val="231F20"/>
          <w:w w:val="105"/>
        </w:rPr>
        <w:t>for</w:t>
      </w:r>
      <w:r>
        <w:rPr>
          <w:color w:val="231F20"/>
          <w:spacing w:val="-28"/>
          <w:w w:val="105"/>
        </w:rPr>
        <w:t xml:space="preserve"> </w:t>
      </w:r>
      <w:r>
        <w:rPr>
          <w:color w:val="231F20"/>
          <w:w w:val="105"/>
        </w:rPr>
        <w:t>money'.</w:t>
      </w:r>
    </w:p>
    <w:p w14:paraId="2553D853" w14:textId="77777777" w:rsidR="009948F1" w:rsidRDefault="00BC0563">
      <w:pPr>
        <w:pStyle w:val="BodyText"/>
        <w:spacing w:line="255" w:lineRule="exact"/>
        <w:ind w:left="501"/>
        <w:jc w:val="both"/>
      </w:pPr>
      <w:r>
        <w:rPr>
          <w:rFonts w:ascii="Symbol" w:hAnsi="Symbol"/>
          <w:color w:val="231F20"/>
          <w:spacing w:val="-248"/>
          <w:w w:val="600"/>
        </w:rPr>
        <w:t></w:t>
      </w:r>
      <w:r>
        <w:rPr>
          <w:color w:val="231F20"/>
          <w:w w:val="99"/>
        </w:rPr>
        <w:t>These</w:t>
      </w:r>
      <w:r>
        <w:rPr>
          <w:color w:val="231F20"/>
          <w:spacing w:val="-13"/>
        </w:rPr>
        <w:t xml:space="preserve"> </w:t>
      </w:r>
      <w:r>
        <w:rPr>
          <w:color w:val="231F20"/>
          <w:w w:val="99"/>
        </w:rPr>
        <w:t>funds</w:t>
      </w:r>
      <w:r>
        <w:rPr>
          <w:color w:val="231F20"/>
          <w:spacing w:val="-13"/>
        </w:rPr>
        <w:t xml:space="preserve"> </w:t>
      </w:r>
      <w:r>
        <w:rPr>
          <w:color w:val="231F20"/>
          <w:w w:val="99"/>
        </w:rPr>
        <w:t>could</w:t>
      </w:r>
      <w:r>
        <w:rPr>
          <w:color w:val="231F20"/>
          <w:spacing w:val="-12"/>
        </w:rPr>
        <w:t xml:space="preserve"> </w:t>
      </w:r>
      <w:r>
        <w:rPr>
          <w:color w:val="231F20"/>
          <w:w w:val="99"/>
        </w:rPr>
        <w:t>be</w:t>
      </w:r>
      <w:r>
        <w:rPr>
          <w:color w:val="231F20"/>
          <w:spacing w:val="-13"/>
        </w:rPr>
        <w:t xml:space="preserve"> </w:t>
      </w:r>
      <w:r>
        <w:rPr>
          <w:color w:val="231F20"/>
        </w:rPr>
        <w:t>from</w:t>
      </w:r>
      <w:r>
        <w:rPr>
          <w:color w:val="231F20"/>
          <w:spacing w:val="-13"/>
        </w:rPr>
        <w:t xml:space="preserve"> </w:t>
      </w:r>
      <w:r>
        <w:rPr>
          <w:color w:val="231F20"/>
          <w:w w:val="99"/>
        </w:rPr>
        <w:t>Health</w:t>
      </w:r>
      <w:r>
        <w:rPr>
          <w:color w:val="231F20"/>
          <w:spacing w:val="-12"/>
        </w:rPr>
        <w:t xml:space="preserve"> </w:t>
      </w:r>
      <w:r>
        <w:rPr>
          <w:color w:val="231F20"/>
          <w:w w:val="99"/>
        </w:rPr>
        <w:t>insurance</w:t>
      </w:r>
      <w:r>
        <w:rPr>
          <w:color w:val="231F20"/>
          <w:spacing w:val="-12"/>
        </w:rPr>
        <w:t xml:space="preserve"> </w:t>
      </w:r>
      <w:r>
        <w:rPr>
          <w:color w:val="231F20"/>
        </w:rPr>
        <w:t>(RIVCHPP),</w:t>
      </w:r>
      <w:r>
        <w:rPr>
          <w:color w:val="231F20"/>
          <w:spacing w:val="-13"/>
        </w:rPr>
        <w:t xml:space="preserve"> </w:t>
      </w:r>
      <w:r>
        <w:rPr>
          <w:color w:val="231F20"/>
          <w:w w:val="99"/>
        </w:rPr>
        <w:t>donors;</w:t>
      </w:r>
      <w:r>
        <w:rPr>
          <w:color w:val="231F20"/>
          <w:spacing w:val="-12"/>
        </w:rPr>
        <w:t xml:space="preserve"> </w:t>
      </w:r>
      <w:r>
        <w:rPr>
          <w:color w:val="231F20"/>
          <w:w w:val="99"/>
        </w:rPr>
        <w:t>locally</w:t>
      </w:r>
      <w:r>
        <w:rPr>
          <w:color w:val="231F20"/>
          <w:spacing w:val="-12"/>
        </w:rPr>
        <w:t xml:space="preserve"> </w:t>
      </w:r>
      <w:r>
        <w:rPr>
          <w:color w:val="231F20"/>
          <w:w w:val="99"/>
        </w:rPr>
        <w:t>or</w:t>
      </w:r>
      <w:r>
        <w:rPr>
          <w:color w:val="231F20"/>
          <w:spacing w:val="-13"/>
        </w:rPr>
        <w:t xml:space="preserve"> </w:t>
      </w:r>
      <w:r>
        <w:rPr>
          <w:color w:val="231F20"/>
          <w:w w:val="99"/>
        </w:rPr>
        <w:t>internationally</w:t>
      </w:r>
    </w:p>
    <w:p w14:paraId="1C9EA239" w14:textId="77777777" w:rsidR="009948F1" w:rsidRDefault="00BC0563">
      <w:pPr>
        <w:pStyle w:val="BodyText"/>
        <w:spacing w:line="250" w:lineRule="exact"/>
        <w:ind w:left="861"/>
        <w:jc w:val="both"/>
      </w:pPr>
      <w:r>
        <w:rPr>
          <w:color w:val="231F20"/>
        </w:rPr>
        <w:t>and 'sin taxes'.</w:t>
      </w:r>
    </w:p>
    <w:p w14:paraId="0CC235C8" w14:textId="77777777" w:rsidR="009948F1" w:rsidRDefault="00BC0563">
      <w:pPr>
        <w:pStyle w:val="BodyText"/>
        <w:spacing w:line="247" w:lineRule="auto"/>
        <w:ind w:left="861" w:right="268" w:hanging="360"/>
        <w:jc w:val="both"/>
      </w:pPr>
      <w:r>
        <w:rPr>
          <w:rFonts w:ascii="Symbol" w:hAnsi="Symbol"/>
          <w:color w:val="231F20"/>
          <w:spacing w:val="-248"/>
          <w:w w:val="600"/>
        </w:rPr>
        <w:t></w:t>
      </w:r>
      <w:r>
        <w:rPr>
          <w:color w:val="231F20"/>
        </w:rPr>
        <w:t>E</w:t>
      </w:r>
      <w:r>
        <w:rPr>
          <w:color w:val="231F20"/>
          <w:spacing w:val="-4"/>
        </w:rPr>
        <w:t>f</w:t>
      </w:r>
      <w:r>
        <w:rPr>
          <w:color w:val="231F20"/>
        </w:rPr>
        <w:t>forts</w:t>
      </w:r>
      <w:r>
        <w:rPr>
          <w:color w:val="231F20"/>
          <w:spacing w:val="-18"/>
        </w:rPr>
        <w:t xml:space="preserve"> </w:t>
      </w:r>
      <w:r>
        <w:rPr>
          <w:color w:val="231F20"/>
        </w:rPr>
        <w:t>at</w:t>
      </w:r>
      <w:r>
        <w:rPr>
          <w:color w:val="231F20"/>
          <w:spacing w:val="-18"/>
        </w:rPr>
        <w:t xml:space="preserve"> </w:t>
      </w:r>
      <w:r>
        <w:rPr>
          <w:color w:val="231F20"/>
          <w:w w:val="99"/>
        </w:rPr>
        <w:t>influencing</w:t>
      </w:r>
      <w:r>
        <w:rPr>
          <w:color w:val="231F20"/>
          <w:spacing w:val="-18"/>
        </w:rPr>
        <w:t xml:space="preserve"> </w:t>
      </w:r>
      <w:r>
        <w:rPr>
          <w:color w:val="231F20"/>
        </w:rPr>
        <w:t>the</w:t>
      </w:r>
      <w:r>
        <w:rPr>
          <w:color w:val="231F20"/>
          <w:spacing w:val="-18"/>
        </w:rPr>
        <w:t xml:space="preserve"> </w:t>
      </w:r>
      <w:r>
        <w:rPr>
          <w:color w:val="231F20"/>
          <w:w w:val="99"/>
        </w:rPr>
        <w:t>political</w:t>
      </w:r>
      <w:r>
        <w:rPr>
          <w:color w:val="231F20"/>
          <w:spacing w:val="-18"/>
        </w:rPr>
        <w:t xml:space="preserve"> </w:t>
      </w:r>
      <w:r>
        <w:rPr>
          <w:color w:val="231F20"/>
          <w:w w:val="99"/>
        </w:rPr>
        <w:t>leadership</w:t>
      </w:r>
      <w:r>
        <w:rPr>
          <w:color w:val="231F20"/>
          <w:spacing w:val="-18"/>
        </w:rPr>
        <w:t xml:space="preserve"> </w:t>
      </w:r>
      <w:r>
        <w:rPr>
          <w:color w:val="231F20"/>
        </w:rPr>
        <w:t>to</w:t>
      </w:r>
      <w:r>
        <w:rPr>
          <w:color w:val="231F20"/>
          <w:spacing w:val="-18"/>
        </w:rPr>
        <w:t xml:space="preserve"> </w:t>
      </w:r>
      <w:r>
        <w:rPr>
          <w:color w:val="231F20"/>
          <w:w w:val="99"/>
        </w:rPr>
        <w:t>continue</w:t>
      </w:r>
      <w:r>
        <w:rPr>
          <w:color w:val="231F20"/>
          <w:spacing w:val="-18"/>
        </w:rPr>
        <w:t xml:space="preserve"> </w:t>
      </w:r>
      <w:r>
        <w:rPr>
          <w:color w:val="231F20"/>
        </w:rPr>
        <w:t>to</w:t>
      </w:r>
      <w:r>
        <w:rPr>
          <w:color w:val="231F20"/>
          <w:spacing w:val="-18"/>
        </w:rPr>
        <w:t xml:space="preserve"> </w:t>
      </w:r>
      <w:r>
        <w:rPr>
          <w:color w:val="231F20"/>
          <w:w w:val="99"/>
        </w:rPr>
        <w:t>support</w:t>
      </w:r>
      <w:r>
        <w:rPr>
          <w:color w:val="231F20"/>
          <w:spacing w:val="-18"/>
        </w:rPr>
        <w:t xml:space="preserve"> </w:t>
      </w:r>
      <w:r>
        <w:rPr>
          <w:color w:val="231F20"/>
        </w:rPr>
        <w:t>the</w:t>
      </w:r>
      <w:r>
        <w:rPr>
          <w:color w:val="231F20"/>
          <w:spacing w:val="-18"/>
        </w:rPr>
        <w:t xml:space="preserve"> </w:t>
      </w:r>
      <w:r>
        <w:rPr>
          <w:color w:val="231F20"/>
          <w:w w:val="99"/>
        </w:rPr>
        <w:t>health</w:t>
      </w:r>
      <w:r>
        <w:rPr>
          <w:color w:val="231F20"/>
          <w:spacing w:val="-18"/>
        </w:rPr>
        <w:t xml:space="preserve"> </w:t>
      </w:r>
      <w:r>
        <w:rPr>
          <w:color w:val="231F20"/>
        </w:rPr>
        <w:t>sector</w:t>
      </w:r>
      <w:r>
        <w:rPr>
          <w:color w:val="231F20"/>
          <w:spacing w:val="-18"/>
        </w:rPr>
        <w:t xml:space="preserve"> </w:t>
      </w:r>
      <w:r>
        <w:rPr>
          <w:color w:val="231F20"/>
          <w:w w:val="99"/>
        </w:rPr>
        <w:t xml:space="preserve">should </w:t>
      </w:r>
      <w:r>
        <w:rPr>
          <w:color w:val="231F20"/>
        </w:rPr>
        <w:t xml:space="preserve">be sustained. Funds should be sourced and made available for relevant research </w:t>
      </w:r>
      <w:r>
        <w:rPr>
          <w:color w:val="231F20"/>
          <w:spacing w:val="-4"/>
        </w:rPr>
        <w:t xml:space="preserve">and </w:t>
      </w:r>
      <w:r>
        <w:rPr>
          <w:color w:val="231F20"/>
        </w:rPr>
        <w:t>proper</w:t>
      </w:r>
      <w:r>
        <w:rPr>
          <w:color w:val="231F20"/>
          <w:spacing w:val="-25"/>
        </w:rPr>
        <w:t xml:space="preserve"> </w:t>
      </w:r>
      <w:r>
        <w:rPr>
          <w:color w:val="231F20"/>
        </w:rPr>
        <w:t>program</w:t>
      </w:r>
      <w:r>
        <w:rPr>
          <w:color w:val="231F20"/>
          <w:spacing w:val="-26"/>
        </w:rPr>
        <w:t xml:space="preserve"> </w:t>
      </w:r>
      <w:r>
        <w:rPr>
          <w:color w:val="231F20"/>
        </w:rPr>
        <w:t>monitoring</w:t>
      </w:r>
      <w:r>
        <w:rPr>
          <w:color w:val="231F20"/>
          <w:spacing w:val="-25"/>
        </w:rPr>
        <w:t xml:space="preserve"> </w:t>
      </w:r>
      <w:r>
        <w:rPr>
          <w:color w:val="231F20"/>
        </w:rPr>
        <w:t>and</w:t>
      </w:r>
      <w:r>
        <w:rPr>
          <w:color w:val="231F20"/>
          <w:spacing w:val="-25"/>
        </w:rPr>
        <w:t xml:space="preserve"> </w:t>
      </w:r>
      <w:r>
        <w:rPr>
          <w:color w:val="231F20"/>
        </w:rPr>
        <w:t>evaluation.</w:t>
      </w:r>
    </w:p>
    <w:p w14:paraId="119601AA" w14:textId="77777777" w:rsidR="009948F1" w:rsidRDefault="00BC0563">
      <w:pPr>
        <w:pStyle w:val="BodyText"/>
        <w:spacing w:line="247" w:lineRule="auto"/>
        <w:ind w:left="861" w:right="268" w:hanging="360"/>
        <w:jc w:val="both"/>
      </w:pPr>
      <w:r>
        <w:rPr>
          <w:rFonts w:ascii="Symbol" w:hAnsi="Symbol"/>
          <w:color w:val="231F20"/>
          <w:spacing w:val="-248"/>
          <w:w w:val="600"/>
        </w:rPr>
        <w:t></w:t>
      </w:r>
      <w:r>
        <w:rPr>
          <w:color w:val="231F20"/>
          <w:w w:val="99"/>
        </w:rPr>
        <w:t>Active</w:t>
      </w:r>
      <w:r>
        <w:rPr>
          <w:color w:val="231F20"/>
          <w:spacing w:val="-8"/>
          <w:w w:val="99"/>
        </w:rPr>
        <w:t xml:space="preserve"> </w:t>
      </w:r>
      <w:r>
        <w:rPr>
          <w:color w:val="231F20"/>
          <w:w w:val="99"/>
        </w:rPr>
        <w:t>Community</w:t>
      </w:r>
      <w:r>
        <w:rPr>
          <w:color w:val="231F20"/>
          <w:spacing w:val="-8"/>
          <w:w w:val="99"/>
        </w:rPr>
        <w:t xml:space="preserve"> </w:t>
      </w:r>
      <w:r>
        <w:rPr>
          <w:color w:val="231F20"/>
          <w:w w:val="99"/>
        </w:rPr>
        <w:t>engagement</w:t>
      </w:r>
      <w:r>
        <w:rPr>
          <w:color w:val="231F20"/>
          <w:spacing w:val="-7"/>
        </w:rPr>
        <w:t xml:space="preserve"> </w:t>
      </w:r>
      <w:r>
        <w:rPr>
          <w:color w:val="231F20"/>
          <w:w w:val="99"/>
        </w:rPr>
        <w:t>and</w:t>
      </w:r>
      <w:r>
        <w:rPr>
          <w:color w:val="231F20"/>
          <w:spacing w:val="-8"/>
        </w:rPr>
        <w:t xml:space="preserve"> </w:t>
      </w:r>
      <w:r>
        <w:rPr>
          <w:color w:val="231F20"/>
          <w:w w:val="99"/>
        </w:rPr>
        <w:t>Civil</w:t>
      </w:r>
      <w:r>
        <w:rPr>
          <w:color w:val="231F20"/>
          <w:spacing w:val="-8"/>
        </w:rPr>
        <w:t xml:space="preserve"> </w:t>
      </w:r>
      <w:r>
        <w:rPr>
          <w:color w:val="231F20"/>
        </w:rPr>
        <w:t>Society</w:t>
      </w:r>
      <w:r>
        <w:rPr>
          <w:color w:val="231F20"/>
          <w:spacing w:val="-8"/>
        </w:rPr>
        <w:t xml:space="preserve"> </w:t>
      </w:r>
      <w:r>
        <w:rPr>
          <w:color w:val="231F20"/>
          <w:w w:val="99"/>
        </w:rPr>
        <w:t>Organizations</w:t>
      </w:r>
      <w:r>
        <w:rPr>
          <w:color w:val="231F20"/>
          <w:spacing w:val="-8"/>
        </w:rPr>
        <w:t xml:space="preserve"> </w:t>
      </w:r>
      <w:r>
        <w:rPr>
          <w:color w:val="231F20"/>
          <w:w w:val="99"/>
        </w:rPr>
        <w:t>should</w:t>
      </w:r>
      <w:r>
        <w:rPr>
          <w:color w:val="231F20"/>
          <w:spacing w:val="-8"/>
        </w:rPr>
        <w:t xml:space="preserve"> </w:t>
      </w:r>
      <w:r>
        <w:rPr>
          <w:color w:val="231F20"/>
          <w:w w:val="99"/>
        </w:rPr>
        <w:t>be</w:t>
      </w:r>
      <w:r>
        <w:rPr>
          <w:color w:val="231F20"/>
          <w:spacing w:val="-8"/>
        </w:rPr>
        <w:t xml:space="preserve"> </w:t>
      </w:r>
      <w:r>
        <w:rPr>
          <w:color w:val="231F20"/>
          <w:w w:val="99"/>
        </w:rPr>
        <w:t>encouraged</w:t>
      </w:r>
      <w:r>
        <w:rPr>
          <w:color w:val="231F20"/>
          <w:spacing w:val="-7"/>
        </w:rPr>
        <w:t xml:space="preserve"> </w:t>
      </w:r>
      <w:r>
        <w:rPr>
          <w:color w:val="231F20"/>
        </w:rPr>
        <w:t xml:space="preserve">to </w:t>
      </w:r>
      <w:r>
        <w:rPr>
          <w:color w:val="231F20"/>
          <w:w w:val="105"/>
        </w:rPr>
        <w:t>participate</w:t>
      </w:r>
      <w:r>
        <w:rPr>
          <w:color w:val="231F20"/>
          <w:spacing w:val="-32"/>
          <w:w w:val="105"/>
        </w:rPr>
        <w:t xml:space="preserve"> </w:t>
      </w:r>
      <w:r>
        <w:rPr>
          <w:color w:val="231F20"/>
          <w:w w:val="105"/>
        </w:rPr>
        <w:t>in</w:t>
      </w:r>
      <w:r>
        <w:rPr>
          <w:color w:val="231F20"/>
          <w:spacing w:val="-32"/>
          <w:w w:val="105"/>
        </w:rPr>
        <w:t xml:space="preserve"> </w:t>
      </w:r>
      <w:r>
        <w:rPr>
          <w:color w:val="231F20"/>
          <w:w w:val="105"/>
        </w:rPr>
        <w:t>program</w:t>
      </w:r>
      <w:r>
        <w:rPr>
          <w:color w:val="231F20"/>
          <w:spacing w:val="-32"/>
          <w:w w:val="105"/>
        </w:rPr>
        <w:t xml:space="preserve"> </w:t>
      </w:r>
      <w:r>
        <w:rPr>
          <w:color w:val="231F20"/>
          <w:w w:val="105"/>
        </w:rPr>
        <w:t>planning,</w:t>
      </w:r>
      <w:r>
        <w:rPr>
          <w:color w:val="231F20"/>
          <w:spacing w:val="-32"/>
          <w:w w:val="105"/>
        </w:rPr>
        <w:t xml:space="preserve"> </w:t>
      </w:r>
      <w:r>
        <w:rPr>
          <w:color w:val="231F20"/>
          <w:w w:val="105"/>
        </w:rPr>
        <w:t>implementation</w:t>
      </w:r>
      <w:r>
        <w:rPr>
          <w:color w:val="231F20"/>
          <w:spacing w:val="-32"/>
          <w:w w:val="105"/>
        </w:rPr>
        <w:t xml:space="preserve"> </w:t>
      </w:r>
      <w:r>
        <w:rPr>
          <w:color w:val="231F20"/>
          <w:w w:val="105"/>
        </w:rPr>
        <w:t>and</w:t>
      </w:r>
      <w:r>
        <w:rPr>
          <w:color w:val="231F20"/>
          <w:spacing w:val="-32"/>
          <w:w w:val="105"/>
        </w:rPr>
        <w:t xml:space="preserve"> </w:t>
      </w:r>
      <w:r>
        <w:rPr>
          <w:color w:val="231F20"/>
          <w:w w:val="105"/>
        </w:rPr>
        <w:t>evaluation.</w:t>
      </w:r>
    </w:p>
    <w:p w14:paraId="42CA9F97" w14:textId="77777777" w:rsidR="009948F1" w:rsidRDefault="009948F1">
      <w:pPr>
        <w:spacing w:line="247" w:lineRule="auto"/>
        <w:jc w:val="both"/>
        <w:sectPr w:rsidR="009948F1">
          <w:pgSz w:w="11910" w:h="16840"/>
          <w:pgMar w:top="1360" w:right="1080" w:bottom="1420" w:left="1120" w:header="0" w:footer="1235" w:gutter="0"/>
          <w:cols w:space="720"/>
        </w:sectPr>
      </w:pPr>
    </w:p>
    <w:p w14:paraId="72592C9C" w14:textId="77777777" w:rsidR="009948F1" w:rsidRDefault="00BC0563">
      <w:pPr>
        <w:pStyle w:val="Heading1"/>
        <w:ind w:right="1119"/>
      </w:pPr>
      <w:bookmarkStart w:id="46" w:name="_TOC_250024"/>
      <w:bookmarkEnd w:id="46"/>
      <w:r>
        <w:rPr>
          <w:color w:val="231F20"/>
        </w:rPr>
        <w:lastRenderedPageBreak/>
        <w:t>CHAPTER 3</w:t>
      </w:r>
    </w:p>
    <w:p w14:paraId="621144D2" w14:textId="77777777" w:rsidR="009948F1" w:rsidRDefault="00BC0563">
      <w:pPr>
        <w:pStyle w:val="Heading3"/>
        <w:spacing w:before="88"/>
        <w:ind w:right="1117"/>
      </w:pPr>
      <w:bookmarkStart w:id="47" w:name="_TOC_250023"/>
      <w:bookmarkEnd w:id="47"/>
      <w:r>
        <w:rPr>
          <w:color w:val="231F20"/>
        </w:rPr>
        <w:t>STRATEGIC DIRECTIONS OF THE PLAN</w:t>
      </w:r>
    </w:p>
    <w:p w14:paraId="4B8A18B6" w14:textId="77777777" w:rsidR="009948F1" w:rsidRDefault="009948F1">
      <w:pPr>
        <w:pStyle w:val="BodyText"/>
        <w:spacing w:before="10"/>
        <w:rPr>
          <w:rFonts w:ascii="Tahoma"/>
          <w:b/>
          <w:sz w:val="19"/>
        </w:rPr>
      </w:pPr>
    </w:p>
    <w:p w14:paraId="0BE2D197" w14:textId="3100E69D" w:rsidR="009948F1" w:rsidRDefault="00BC0563">
      <w:pPr>
        <w:pStyle w:val="ListParagraph"/>
        <w:numPr>
          <w:ilvl w:val="1"/>
          <w:numId w:val="312"/>
        </w:numPr>
        <w:tabs>
          <w:tab w:val="left" w:pos="492"/>
        </w:tabs>
        <w:spacing w:before="65" w:line="278" w:lineRule="auto"/>
        <w:ind w:right="204" w:firstLine="0"/>
      </w:pPr>
      <w:r>
        <w:rPr>
          <w:b/>
          <w:color w:val="231F20"/>
        </w:rPr>
        <w:t>Vision:</w:t>
      </w:r>
      <w:r>
        <w:rPr>
          <w:b/>
          <w:color w:val="231F20"/>
          <w:spacing w:val="-12"/>
        </w:rPr>
        <w:t xml:space="preserve"> </w:t>
      </w:r>
      <w:r>
        <w:rPr>
          <w:color w:val="231F20"/>
        </w:rPr>
        <w:t>The</w:t>
      </w:r>
      <w:r>
        <w:rPr>
          <w:color w:val="231F20"/>
          <w:spacing w:val="-7"/>
        </w:rPr>
        <w:t xml:space="preserve"> </w:t>
      </w:r>
      <w:r>
        <w:rPr>
          <w:color w:val="231F20"/>
        </w:rPr>
        <w:t>overarching</w:t>
      </w:r>
      <w:r>
        <w:rPr>
          <w:color w:val="231F20"/>
          <w:spacing w:val="-7"/>
        </w:rPr>
        <w:t xml:space="preserve"> </w:t>
      </w:r>
      <w:r>
        <w:rPr>
          <w:color w:val="231F20"/>
        </w:rPr>
        <w:t>goal</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SSHDP</w:t>
      </w:r>
      <w:r>
        <w:rPr>
          <w:color w:val="231F20"/>
          <w:spacing w:val="-12"/>
        </w:rPr>
        <w:t xml:space="preserve"> </w:t>
      </w:r>
      <w:r>
        <w:rPr>
          <w:color w:val="231F20"/>
        </w:rPr>
        <w:t>II</w:t>
      </w:r>
      <w:r>
        <w:rPr>
          <w:color w:val="231F20"/>
          <w:spacing w:val="-7"/>
        </w:rPr>
        <w:t xml:space="preserve"> </w:t>
      </w:r>
      <w:r>
        <w:rPr>
          <w:color w:val="231F20"/>
        </w:rPr>
        <w:t>is</w:t>
      </w:r>
      <w:r>
        <w:rPr>
          <w:color w:val="231F20"/>
          <w:spacing w:val="-7"/>
        </w:rPr>
        <w:t xml:space="preserve"> </w:t>
      </w:r>
      <w:r>
        <w:rPr>
          <w:color w:val="231F20"/>
        </w:rPr>
        <w:t>“to</w:t>
      </w:r>
      <w:r>
        <w:rPr>
          <w:color w:val="231F20"/>
          <w:spacing w:val="-8"/>
        </w:rPr>
        <w:t xml:space="preserve"> </w:t>
      </w:r>
      <w:r>
        <w:rPr>
          <w:color w:val="231F20"/>
        </w:rPr>
        <w:t>ensure</w:t>
      </w:r>
      <w:r>
        <w:rPr>
          <w:color w:val="231F20"/>
          <w:spacing w:val="-7"/>
        </w:rPr>
        <w:t xml:space="preserve"> </w:t>
      </w:r>
      <w:r>
        <w:rPr>
          <w:color w:val="231F20"/>
        </w:rPr>
        <w:t>healthy</w:t>
      </w:r>
      <w:r>
        <w:rPr>
          <w:color w:val="231F20"/>
          <w:spacing w:val="-7"/>
        </w:rPr>
        <w:t xml:space="preserve"> </w:t>
      </w:r>
      <w:r>
        <w:rPr>
          <w:color w:val="231F20"/>
        </w:rPr>
        <w:t>lives</w:t>
      </w:r>
      <w:r>
        <w:rPr>
          <w:color w:val="231F20"/>
          <w:spacing w:val="-7"/>
        </w:rPr>
        <w:t xml:space="preserve"> </w:t>
      </w:r>
      <w:r>
        <w:rPr>
          <w:color w:val="231F20"/>
        </w:rPr>
        <w:t>and</w:t>
      </w:r>
      <w:r>
        <w:rPr>
          <w:color w:val="231F20"/>
          <w:spacing w:val="-8"/>
        </w:rPr>
        <w:t xml:space="preserve"> </w:t>
      </w:r>
      <w:r>
        <w:rPr>
          <w:color w:val="231F20"/>
        </w:rPr>
        <w:t>promote</w:t>
      </w:r>
      <w:r>
        <w:rPr>
          <w:color w:val="231F20"/>
          <w:spacing w:val="-7"/>
        </w:rPr>
        <w:t xml:space="preserve"> </w:t>
      </w:r>
      <w:r>
        <w:rPr>
          <w:color w:val="231F20"/>
        </w:rPr>
        <w:t>the</w:t>
      </w:r>
      <w:r>
        <w:rPr>
          <w:color w:val="231F20"/>
          <w:spacing w:val="-7"/>
        </w:rPr>
        <w:t xml:space="preserve"> </w:t>
      </w:r>
      <w:r w:rsidR="00951C85">
        <w:rPr>
          <w:color w:val="231F20"/>
        </w:rPr>
        <w:t>wellbeing</w:t>
      </w:r>
      <w:r>
        <w:rPr>
          <w:color w:val="231F20"/>
        </w:rPr>
        <w:t xml:space="preserve"> of all Rivers citizens through enhancing access to </w:t>
      </w:r>
      <w:r>
        <w:rPr>
          <w:color w:val="231F20"/>
          <w:spacing w:val="-3"/>
        </w:rPr>
        <w:t xml:space="preserve">quality, </w:t>
      </w:r>
      <w:r>
        <w:rPr>
          <w:color w:val="231F20"/>
        </w:rPr>
        <w:t xml:space="preserve">affordable, cost- </w:t>
      </w:r>
      <w:r>
        <w:rPr>
          <w:color w:val="231F20"/>
          <w:spacing w:val="-3"/>
        </w:rPr>
        <w:t xml:space="preserve">effective, </w:t>
      </w:r>
      <w:r>
        <w:rPr>
          <w:color w:val="231F20"/>
        </w:rPr>
        <w:t>preventive,</w:t>
      </w:r>
      <w:r>
        <w:rPr>
          <w:color w:val="231F20"/>
          <w:spacing w:val="-14"/>
        </w:rPr>
        <w:t xml:space="preserve"> </w:t>
      </w:r>
      <w:r>
        <w:rPr>
          <w:color w:val="231F20"/>
        </w:rPr>
        <w:t>curative,</w:t>
      </w:r>
      <w:r>
        <w:rPr>
          <w:color w:val="231F20"/>
          <w:spacing w:val="-13"/>
        </w:rPr>
        <w:t xml:space="preserve"> </w:t>
      </w:r>
      <w:r>
        <w:rPr>
          <w:color w:val="231F20"/>
        </w:rPr>
        <w:t>rehabilitative</w:t>
      </w:r>
      <w:r>
        <w:rPr>
          <w:color w:val="231F20"/>
          <w:spacing w:val="-14"/>
        </w:rPr>
        <w:t xml:space="preserve"> </w:t>
      </w:r>
      <w:r>
        <w:rPr>
          <w:color w:val="231F20"/>
        </w:rPr>
        <w:t>and</w:t>
      </w:r>
      <w:r>
        <w:rPr>
          <w:color w:val="231F20"/>
          <w:spacing w:val="-13"/>
        </w:rPr>
        <w:t xml:space="preserve"> </w:t>
      </w:r>
      <w:r>
        <w:rPr>
          <w:color w:val="231F20"/>
        </w:rPr>
        <w:t>promotive</w:t>
      </w:r>
      <w:r>
        <w:rPr>
          <w:color w:val="231F20"/>
          <w:spacing w:val="-14"/>
        </w:rPr>
        <w:t xml:space="preserve"> </w:t>
      </w:r>
      <w:r>
        <w:rPr>
          <w:color w:val="231F20"/>
        </w:rPr>
        <w:t>healthcare</w:t>
      </w:r>
      <w:r>
        <w:rPr>
          <w:color w:val="231F20"/>
          <w:spacing w:val="-13"/>
        </w:rPr>
        <w:t xml:space="preserve"> </w:t>
      </w:r>
      <w:r>
        <w:rPr>
          <w:color w:val="231F20"/>
        </w:rPr>
        <w:t>delivery'.</w:t>
      </w:r>
      <w:r>
        <w:rPr>
          <w:color w:val="231F20"/>
          <w:spacing w:val="-17"/>
        </w:rPr>
        <w:t xml:space="preserve"> </w:t>
      </w:r>
      <w:r>
        <w:rPr>
          <w:color w:val="231F20"/>
        </w:rPr>
        <w:t>The</w:t>
      </w:r>
      <w:r>
        <w:rPr>
          <w:color w:val="231F20"/>
          <w:spacing w:val="-14"/>
        </w:rPr>
        <w:t xml:space="preserve"> </w:t>
      </w:r>
      <w:r>
        <w:rPr>
          <w:color w:val="231F20"/>
        </w:rPr>
        <w:t>Vision</w:t>
      </w:r>
      <w:r>
        <w:rPr>
          <w:color w:val="231F20"/>
          <w:spacing w:val="-13"/>
        </w:rPr>
        <w:t xml:space="preserve"> </w:t>
      </w:r>
      <w:r>
        <w:rPr>
          <w:color w:val="231F20"/>
        </w:rPr>
        <w:t>is</w:t>
      </w:r>
      <w:r>
        <w:rPr>
          <w:color w:val="231F20"/>
          <w:spacing w:val="-14"/>
        </w:rPr>
        <w:t xml:space="preserve"> </w:t>
      </w:r>
      <w:r>
        <w:rPr>
          <w:color w:val="231F20"/>
        </w:rPr>
        <w:t>to</w:t>
      </w:r>
      <w:r>
        <w:rPr>
          <w:color w:val="231F20"/>
          <w:spacing w:val="-13"/>
        </w:rPr>
        <w:t xml:space="preserve"> </w:t>
      </w:r>
      <w:r>
        <w:rPr>
          <w:color w:val="231F20"/>
        </w:rPr>
        <w:t>guarantee</w:t>
      </w:r>
      <w:r>
        <w:rPr>
          <w:color w:val="231F20"/>
          <w:spacing w:val="-13"/>
        </w:rPr>
        <w:t xml:space="preserve"> </w:t>
      </w:r>
      <w:r>
        <w:rPr>
          <w:color w:val="231F20"/>
          <w:spacing w:val="-15"/>
        </w:rPr>
        <w:t xml:space="preserve">a </w:t>
      </w:r>
      <w:r>
        <w:rPr>
          <w:color w:val="231F20"/>
        </w:rPr>
        <w:t>healthy</w:t>
      </w:r>
      <w:r>
        <w:rPr>
          <w:color w:val="231F20"/>
          <w:spacing w:val="-25"/>
        </w:rPr>
        <w:t xml:space="preserve"> </w:t>
      </w:r>
      <w:r>
        <w:rPr>
          <w:color w:val="231F20"/>
        </w:rPr>
        <w:t>and</w:t>
      </w:r>
      <w:r>
        <w:rPr>
          <w:color w:val="231F20"/>
          <w:spacing w:val="-25"/>
        </w:rPr>
        <w:t xml:space="preserve"> </w:t>
      </w:r>
      <w:r>
        <w:rPr>
          <w:color w:val="231F20"/>
        </w:rPr>
        <w:t>productive</w:t>
      </w:r>
      <w:r>
        <w:rPr>
          <w:color w:val="231F20"/>
          <w:spacing w:val="-25"/>
        </w:rPr>
        <w:t xml:space="preserve"> </w:t>
      </w:r>
      <w:r>
        <w:rPr>
          <w:color w:val="231F20"/>
        </w:rPr>
        <w:t>State.</w:t>
      </w:r>
    </w:p>
    <w:p w14:paraId="178F4EAC" w14:textId="77777777" w:rsidR="009948F1" w:rsidRDefault="009948F1">
      <w:pPr>
        <w:pStyle w:val="BodyText"/>
        <w:rPr>
          <w:sz w:val="25"/>
        </w:rPr>
      </w:pPr>
    </w:p>
    <w:p w14:paraId="6FC9D487" w14:textId="77777777" w:rsidR="009948F1" w:rsidRDefault="00BC0563">
      <w:pPr>
        <w:pStyle w:val="ListParagraph"/>
        <w:numPr>
          <w:ilvl w:val="1"/>
          <w:numId w:val="312"/>
        </w:numPr>
        <w:tabs>
          <w:tab w:val="left" w:pos="528"/>
        </w:tabs>
        <w:spacing w:line="278" w:lineRule="auto"/>
        <w:ind w:right="204" w:firstLine="0"/>
      </w:pPr>
      <w:r>
        <w:rPr>
          <w:b/>
          <w:color w:val="231F20"/>
        </w:rPr>
        <w:t>Mission</w:t>
      </w:r>
      <w:r>
        <w:rPr>
          <w:color w:val="231F20"/>
        </w:rPr>
        <w:t xml:space="preserve">: Is to ensure that the Rivers populace have universal access to comprehensive, appropriate, affordable, efficient, equitable, and quality essential health care through </w:t>
      </w:r>
      <w:r>
        <w:rPr>
          <w:color w:val="231F20"/>
          <w:spacing w:val="-11"/>
        </w:rPr>
        <w:t xml:space="preserve">a </w:t>
      </w:r>
      <w:r>
        <w:rPr>
          <w:color w:val="231F20"/>
        </w:rPr>
        <w:t>strengthened health</w:t>
      </w:r>
      <w:r>
        <w:rPr>
          <w:color w:val="231F20"/>
          <w:spacing w:val="-50"/>
        </w:rPr>
        <w:t xml:space="preserve"> </w:t>
      </w:r>
      <w:r>
        <w:rPr>
          <w:color w:val="231F20"/>
        </w:rPr>
        <w:t>system”.</w:t>
      </w:r>
    </w:p>
    <w:p w14:paraId="2CEB3A27" w14:textId="77777777" w:rsidR="009948F1" w:rsidRDefault="009948F1">
      <w:pPr>
        <w:pStyle w:val="BodyText"/>
        <w:spacing w:before="1"/>
        <w:rPr>
          <w:sz w:val="25"/>
        </w:rPr>
      </w:pPr>
    </w:p>
    <w:p w14:paraId="5722AE6D" w14:textId="77777777" w:rsidR="009948F1" w:rsidRDefault="00BC0563">
      <w:pPr>
        <w:pStyle w:val="Heading7"/>
        <w:numPr>
          <w:ilvl w:val="1"/>
          <w:numId w:val="312"/>
        </w:numPr>
        <w:tabs>
          <w:tab w:val="left" w:pos="473"/>
        </w:tabs>
        <w:ind w:left="472" w:hanging="343"/>
        <w:jc w:val="both"/>
      </w:pPr>
      <w:r>
        <w:rPr>
          <w:color w:val="231F20"/>
        </w:rPr>
        <w:t>The</w:t>
      </w:r>
      <w:r>
        <w:rPr>
          <w:color w:val="231F20"/>
          <w:spacing w:val="-25"/>
        </w:rPr>
        <w:t xml:space="preserve"> </w:t>
      </w:r>
      <w:r>
        <w:rPr>
          <w:color w:val="231F20"/>
        </w:rPr>
        <w:t>Core</w:t>
      </w:r>
      <w:r>
        <w:rPr>
          <w:color w:val="231F20"/>
          <w:spacing w:val="-25"/>
        </w:rPr>
        <w:t xml:space="preserve"> </w:t>
      </w:r>
      <w:r>
        <w:rPr>
          <w:color w:val="231F20"/>
          <w:spacing w:val="-3"/>
        </w:rPr>
        <w:t>Values</w:t>
      </w:r>
      <w:r>
        <w:rPr>
          <w:color w:val="231F20"/>
          <w:spacing w:val="-25"/>
        </w:rPr>
        <w:t xml:space="preserve"> </w:t>
      </w:r>
      <w:r>
        <w:rPr>
          <w:color w:val="231F20"/>
        </w:rPr>
        <w:t>and</w:t>
      </w:r>
      <w:r>
        <w:rPr>
          <w:color w:val="231F20"/>
          <w:spacing w:val="-25"/>
        </w:rPr>
        <w:t xml:space="preserve"> </w:t>
      </w:r>
      <w:r>
        <w:rPr>
          <w:color w:val="231F20"/>
        </w:rPr>
        <w:t>Principles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SSHDP</w:t>
      </w:r>
      <w:r>
        <w:rPr>
          <w:color w:val="231F20"/>
          <w:spacing w:val="-29"/>
        </w:rPr>
        <w:t xml:space="preserve"> </w:t>
      </w:r>
      <w:r>
        <w:rPr>
          <w:color w:val="231F20"/>
        </w:rPr>
        <w:t>II</w:t>
      </w:r>
    </w:p>
    <w:p w14:paraId="688A77A4" w14:textId="77777777" w:rsidR="009948F1" w:rsidRDefault="00BC0563">
      <w:pPr>
        <w:pStyle w:val="BodyText"/>
        <w:tabs>
          <w:tab w:val="left" w:pos="5170"/>
        </w:tabs>
        <w:spacing w:before="40" w:line="278" w:lineRule="auto"/>
        <w:ind w:left="850" w:right="1061" w:hanging="720"/>
        <w:jc w:val="both"/>
      </w:pPr>
      <w:r>
        <w:rPr>
          <w:color w:val="231F20"/>
        </w:rPr>
        <w:t>The</w:t>
      </w:r>
      <w:r>
        <w:rPr>
          <w:color w:val="231F20"/>
          <w:spacing w:val="-26"/>
        </w:rPr>
        <w:t xml:space="preserve"> </w:t>
      </w:r>
      <w:r>
        <w:rPr>
          <w:color w:val="231F20"/>
        </w:rPr>
        <w:t>development</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plan</w:t>
      </w:r>
      <w:r>
        <w:rPr>
          <w:color w:val="231F20"/>
          <w:spacing w:val="-25"/>
        </w:rPr>
        <w:t xml:space="preserve"> </w:t>
      </w:r>
      <w:r>
        <w:rPr>
          <w:color w:val="231F20"/>
        </w:rPr>
        <w:t>was</w:t>
      </w:r>
      <w:r>
        <w:rPr>
          <w:color w:val="231F20"/>
          <w:spacing w:val="-25"/>
        </w:rPr>
        <w:t xml:space="preserve"> </w:t>
      </w:r>
      <w:r>
        <w:rPr>
          <w:color w:val="231F20"/>
        </w:rPr>
        <w:t>based</w:t>
      </w:r>
      <w:r>
        <w:rPr>
          <w:color w:val="231F20"/>
          <w:spacing w:val="-25"/>
        </w:rPr>
        <w:t xml:space="preserve"> </w:t>
      </w:r>
      <w:r>
        <w:rPr>
          <w:color w:val="231F20"/>
        </w:rPr>
        <w:t>on</w:t>
      </w:r>
      <w:r>
        <w:rPr>
          <w:color w:val="231F20"/>
          <w:spacing w:val="-25"/>
        </w:rPr>
        <w:t xml:space="preserve"> </w:t>
      </w:r>
      <w:r>
        <w:rPr>
          <w:color w:val="231F20"/>
        </w:rPr>
        <w:t>some</w:t>
      </w:r>
      <w:r>
        <w:rPr>
          <w:color w:val="231F20"/>
          <w:spacing w:val="-26"/>
        </w:rPr>
        <w:t xml:space="preserve"> </w:t>
      </w:r>
      <w:r>
        <w:rPr>
          <w:color w:val="231F20"/>
        </w:rPr>
        <w:t>core</w:t>
      </w:r>
      <w:r>
        <w:rPr>
          <w:color w:val="231F20"/>
          <w:spacing w:val="-25"/>
        </w:rPr>
        <w:t xml:space="preserve"> </w:t>
      </w:r>
      <w:r>
        <w:rPr>
          <w:color w:val="231F20"/>
        </w:rPr>
        <w:t>values</w:t>
      </w:r>
      <w:r>
        <w:rPr>
          <w:color w:val="231F20"/>
          <w:spacing w:val="-25"/>
        </w:rPr>
        <w:t xml:space="preserve"> </w:t>
      </w:r>
      <w:r>
        <w:rPr>
          <w:color w:val="231F20"/>
        </w:rPr>
        <w:t>and</w:t>
      </w:r>
      <w:r>
        <w:rPr>
          <w:color w:val="231F20"/>
          <w:spacing w:val="-25"/>
        </w:rPr>
        <w:t xml:space="preserve"> </w:t>
      </w:r>
      <w:r>
        <w:rPr>
          <w:color w:val="231F20"/>
        </w:rPr>
        <w:t>principles</w:t>
      </w:r>
      <w:r>
        <w:rPr>
          <w:color w:val="231F20"/>
          <w:spacing w:val="-25"/>
        </w:rPr>
        <w:t xml:space="preserve"> </w:t>
      </w:r>
      <w:r>
        <w:rPr>
          <w:color w:val="231F20"/>
        </w:rPr>
        <w:t>which</w:t>
      </w:r>
      <w:r>
        <w:rPr>
          <w:color w:val="231F20"/>
          <w:spacing w:val="-25"/>
        </w:rPr>
        <w:t xml:space="preserve"> </w:t>
      </w:r>
      <w:r>
        <w:rPr>
          <w:color w:val="231F20"/>
        </w:rPr>
        <w:t>include: Accountability</w:t>
      </w:r>
      <w:r>
        <w:rPr>
          <w:color w:val="231F20"/>
        </w:rPr>
        <w:tab/>
        <w:t>Equity-driven</w:t>
      </w:r>
    </w:p>
    <w:p w14:paraId="231CCBEF" w14:textId="77777777" w:rsidR="009948F1" w:rsidRDefault="00BC0563">
      <w:pPr>
        <w:pStyle w:val="BodyText"/>
        <w:tabs>
          <w:tab w:val="left" w:pos="5170"/>
        </w:tabs>
        <w:spacing w:line="278" w:lineRule="auto"/>
        <w:ind w:left="850" w:right="1875"/>
        <w:jc w:val="both"/>
      </w:pPr>
      <w:r>
        <w:rPr>
          <w:color w:val="231F20"/>
        </w:rPr>
        <w:t>Alignment</w:t>
      </w:r>
      <w:r>
        <w:rPr>
          <w:color w:val="231F20"/>
        </w:rPr>
        <w:tab/>
        <w:t>Multi-sectorial</w:t>
      </w:r>
      <w:r>
        <w:rPr>
          <w:color w:val="231F20"/>
          <w:spacing w:val="-26"/>
        </w:rPr>
        <w:t xml:space="preserve"> </w:t>
      </w:r>
      <w:r>
        <w:rPr>
          <w:color w:val="231F20"/>
        </w:rPr>
        <w:t>collaboration Ethics</w:t>
      </w:r>
      <w:r>
        <w:rPr>
          <w:color w:val="231F20"/>
          <w:spacing w:val="-26"/>
        </w:rPr>
        <w:t xml:space="preserve"> </w:t>
      </w:r>
      <w:r>
        <w:rPr>
          <w:color w:val="231F20"/>
        </w:rPr>
        <w:t>and</w:t>
      </w:r>
      <w:r>
        <w:rPr>
          <w:color w:val="231F20"/>
          <w:spacing w:val="-25"/>
        </w:rPr>
        <w:t xml:space="preserve"> </w:t>
      </w:r>
      <w:r>
        <w:rPr>
          <w:color w:val="231F20"/>
        </w:rPr>
        <w:t>respect</w:t>
      </w:r>
      <w:r>
        <w:rPr>
          <w:color w:val="231F20"/>
          <w:spacing w:val="-25"/>
        </w:rPr>
        <w:t xml:space="preserve"> </w:t>
      </w:r>
      <w:r>
        <w:rPr>
          <w:color w:val="231F20"/>
        </w:rPr>
        <w:t>for</w:t>
      </w:r>
      <w:r>
        <w:rPr>
          <w:color w:val="231F20"/>
          <w:spacing w:val="-25"/>
        </w:rPr>
        <w:t xml:space="preserve"> </w:t>
      </w:r>
      <w:r>
        <w:rPr>
          <w:color w:val="231F20"/>
        </w:rPr>
        <w:t>human</w:t>
      </w:r>
      <w:r>
        <w:rPr>
          <w:color w:val="231F20"/>
          <w:spacing w:val="-25"/>
        </w:rPr>
        <w:t xml:space="preserve"> </w:t>
      </w:r>
      <w:r>
        <w:rPr>
          <w:color w:val="231F20"/>
        </w:rPr>
        <w:t>rights</w:t>
      </w:r>
      <w:r>
        <w:rPr>
          <w:color w:val="231F20"/>
        </w:rPr>
        <w:tab/>
        <w:t>Efficiency and</w:t>
      </w:r>
      <w:r>
        <w:rPr>
          <w:color w:val="231F20"/>
          <w:spacing w:val="-39"/>
        </w:rPr>
        <w:t xml:space="preserve"> </w:t>
      </w:r>
      <w:r>
        <w:rPr>
          <w:color w:val="231F20"/>
          <w:spacing w:val="-3"/>
        </w:rPr>
        <w:t xml:space="preserve">effectiveness </w:t>
      </w:r>
      <w:r>
        <w:rPr>
          <w:color w:val="231F20"/>
        </w:rPr>
        <w:t>Industrial</w:t>
      </w:r>
      <w:r>
        <w:rPr>
          <w:color w:val="231F20"/>
          <w:spacing w:val="-24"/>
        </w:rPr>
        <w:t xml:space="preserve"> </w:t>
      </w:r>
      <w:r>
        <w:rPr>
          <w:color w:val="231F20"/>
        </w:rPr>
        <w:t>harmony</w:t>
      </w:r>
      <w:r>
        <w:rPr>
          <w:color w:val="231F20"/>
          <w:spacing w:val="-28"/>
        </w:rPr>
        <w:t xml:space="preserve"> </w:t>
      </w:r>
      <w:r>
        <w:rPr>
          <w:color w:val="231F20"/>
          <w:spacing w:val="-4"/>
        </w:rPr>
        <w:t>Teamwork</w:t>
      </w:r>
      <w:r>
        <w:rPr>
          <w:color w:val="231F20"/>
          <w:spacing w:val="-4"/>
        </w:rPr>
        <w:tab/>
      </w:r>
      <w:r>
        <w:rPr>
          <w:color w:val="231F20"/>
        </w:rPr>
        <w:t>Innovativeness</w:t>
      </w:r>
    </w:p>
    <w:p w14:paraId="22C8653F" w14:textId="77777777" w:rsidR="009948F1" w:rsidRDefault="00BC0563">
      <w:pPr>
        <w:pStyle w:val="BodyText"/>
        <w:tabs>
          <w:tab w:val="left" w:pos="5206"/>
        </w:tabs>
        <w:spacing w:line="250" w:lineRule="exact"/>
        <w:ind w:left="850"/>
        <w:jc w:val="both"/>
      </w:pPr>
      <w:r>
        <w:rPr>
          <w:color w:val="231F20"/>
        </w:rPr>
        <w:t>Community</w:t>
      </w:r>
      <w:r>
        <w:rPr>
          <w:color w:val="231F20"/>
          <w:spacing w:val="-26"/>
        </w:rPr>
        <w:t xml:space="preserve"> </w:t>
      </w:r>
      <w:r>
        <w:rPr>
          <w:color w:val="231F20"/>
        </w:rPr>
        <w:t>participation</w:t>
      </w:r>
      <w:r>
        <w:rPr>
          <w:color w:val="231F20"/>
        </w:rPr>
        <w:tab/>
        <w:t>Sustainability</w:t>
      </w:r>
    </w:p>
    <w:p w14:paraId="7CE0D80E" w14:textId="77777777" w:rsidR="009948F1" w:rsidRDefault="00BC0563">
      <w:pPr>
        <w:pStyle w:val="BodyText"/>
        <w:tabs>
          <w:tab w:val="left" w:pos="5202"/>
        </w:tabs>
        <w:spacing w:before="37"/>
        <w:ind w:left="850"/>
      </w:pPr>
      <w:r>
        <w:rPr>
          <w:color w:val="231F20"/>
        </w:rPr>
        <w:t>Evidence-based</w:t>
      </w:r>
      <w:r>
        <w:rPr>
          <w:color w:val="231F20"/>
          <w:spacing w:val="-26"/>
        </w:rPr>
        <w:t xml:space="preserve"> </w:t>
      </w:r>
      <w:r>
        <w:rPr>
          <w:color w:val="231F20"/>
        </w:rPr>
        <w:t>measures</w:t>
      </w:r>
      <w:r>
        <w:rPr>
          <w:color w:val="231F20"/>
        </w:rPr>
        <w:tab/>
        <w:t>Transparency</w:t>
      </w:r>
    </w:p>
    <w:p w14:paraId="58CD9DCD" w14:textId="77777777" w:rsidR="009948F1" w:rsidRDefault="00BC0563">
      <w:pPr>
        <w:pStyle w:val="BodyText"/>
        <w:tabs>
          <w:tab w:val="left" w:pos="5206"/>
        </w:tabs>
        <w:spacing w:before="39"/>
        <w:ind w:left="850"/>
      </w:pPr>
      <w:r>
        <w:rPr>
          <w:color w:val="231F20"/>
        </w:rPr>
        <w:t>Quality</w:t>
      </w:r>
      <w:r>
        <w:rPr>
          <w:color w:val="231F20"/>
          <w:spacing w:val="-26"/>
        </w:rPr>
        <w:t xml:space="preserve"> </w:t>
      </w:r>
      <w:r>
        <w:rPr>
          <w:color w:val="231F20"/>
        </w:rPr>
        <w:t>of</w:t>
      </w:r>
      <w:r>
        <w:rPr>
          <w:color w:val="231F20"/>
          <w:spacing w:val="-25"/>
        </w:rPr>
        <w:t xml:space="preserve"> </w:t>
      </w:r>
      <w:r>
        <w:rPr>
          <w:color w:val="231F20"/>
        </w:rPr>
        <w:t>care</w:t>
      </w:r>
      <w:r>
        <w:rPr>
          <w:color w:val="231F20"/>
        </w:rPr>
        <w:tab/>
        <w:t>Partnership(s)</w:t>
      </w:r>
    </w:p>
    <w:p w14:paraId="632BA01B" w14:textId="77777777" w:rsidR="009948F1" w:rsidRDefault="00BC0563">
      <w:pPr>
        <w:pStyle w:val="BodyText"/>
        <w:tabs>
          <w:tab w:val="left" w:pos="5170"/>
        </w:tabs>
        <w:spacing w:before="39"/>
        <w:ind w:left="850"/>
      </w:pPr>
      <w:r>
        <w:rPr>
          <w:color w:val="231F20"/>
        </w:rPr>
        <w:t>People-</w:t>
      </w:r>
      <w:proofErr w:type="spellStart"/>
      <w:r>
        <w:rPr>
          <w:color w:val="231F20"/>
        </w:rPr>
        <w:t>centred</w:t>
      </w:r>
      <w:proofErr w:type="spellEnd"/>
      <w:r>
        <w:rPr>
          <w:color w:val="231F20"/>
        </w:rPr>
        <w:tab/>
        <w:t>Gender-sensitivity</w:t>
      </w:r>
    </w:p>
    <w:p w14:paraId="1BAA1576" w14:textId="77777777" w:rsidR="009948F1" w:rsidRDefault="009948F1">
      <w:pPr>
        <w:pStyle w:val="BodyText"/>
        <w:spacing w:before="10"/>
        <w:rPr>
          <w:sz w:val="28"/>
        </w:rPr>
      </w:pPr>
    </w:p>
    <w:p w14:paraId="670607B0" w14:textId="77777777" w:rsidR="009948F1" w:rsidRDefault="00BC0563">
      <w:pPr>
        <w:pStyle w:val="BodyText"/>
        <w:spacing w:line="278" w:lineRule="auto"/>
        <w:ind w:left="130" w:right="202"/>
      </w:pPr>
      <w:r>
        <w:rPr>
          <w:color w:val="231F20"/>
        </w:rPr>
        <w:t>These</w:t>
      </w:r>
      <w:r>
        <w:rPr>
          <w:color w:val="231F20"/>
          <w:spacing w:val="-14"/>
        </w:rPr>
        <w:t xml:space="preserve"> </w:t>
      </w:r>
      <w:r>
        <w:rPr>
          <w:color w:val="231F20"/>
        </w:rPr>
        <w:t>core</w:t>
      </w:r>
      <w:r>
        <w:rPr>
          <w:color w:val="231F20"/>
          <w:spacing w:val="-13"/>
        </w:rPr>
        <w:t xml:space="preserve"> </w:t>
      </w:r>
      <w:r>
        <w:rPr>
          <w:color w:val="231F20"/>
        </w:rPr>
        <w:t>values</w:t>
      </w:r>
      <w:r>
        <w:rPr>
          <w:color w:val="231F20"/>
          <w:spacing w:val="-13"/>
        </w:rPr>
        <w:t xml:space="preserve"> </w:t>
      </w:r>
      <w:r>
        <w:rPr>
          <w:color w:val="231F20"/>
        </w:rPr>
        <w:t>and</w:t>
      </w:r>
      <w:r>
        <w:rPr>
          <w:color w:val="231F20"/>
          <w:spacing w:val="-13"/>
        </w:rPr>
        <w:t xml:space="preserve"> </w:t>
      </w:r>
      <w:r>
        <w:rPr>
          <w:color w:val="231F20"/>
        </w:rPr>
        <w:t>principles</w:t>
      </w:r>
      <w:r>
        <w:rPr>
          <w:color w:val="231F20"/>
          <w:spacing w:val="-12"/>
        </w:rPr>
        <w:t xml:space="preserve"> </w:t>
      </w:r>
      <w:r>
        <w:rPr>
          <w:color w:val="231F20"/>
        </w:rPr>
        <w:t>have</w:t>
      </w:r>
      <w:r>
        <w:rPr>
          <w:color w:val="231F20"/>
          <w:spacing w:val="-13"/>
        </w:rPr>
        <w:t xml:space="preserve"> </w:t>
      </w:r>
      <w:r>
        <w:rPr>
          <w:color w:val="231F20"/>
        </w:rPr>
        <w:t>been</w:t>
      </w:r>
      <w:r>
        <w:rPr>
          <w:color w:val="231F20"/>
          <w:spacing w:val="-13"/>
        </w:rPr>
        <w:t xml:space="preserve"> </w:t>
      </w:r>
      <w:r>
        <w:rPr>
          <w:color w:val="231F20"/>
        </w:rPr>
        <w:t>reflected</w:t>
      </w:r>
      <w:r>
        <w:rPr>
          <w:color w:val="231F20"/>
          <w:spacing w:val="-13"/>
        </w:rPr>
        <w:t xml:space="preserve"> </w:t>
      </w:r>
      <w:r>
        <w:rPr>
          <w:color w:val="231F20"/>
        </w:rPr>
        <w:t>across</w:t>
      </w:r>
      <w:r>
        <w:rPr>
          <w:color w:val="231F20"/>
          <w:spacing w:val="-13"/>
        </w:rPr>
        <w:t xml:space="preserve"> </w:t>
      </w:r>
      <w:r>
        <w:rPr>
          <w:color w:val="231F20"/>
        </w:rPr>
        <w:t>the</w:t>
      </w:r>
      <w:r>
        <w:rPr>
          <w:color w:val="231F20"/>
          <w:spacing w:val="-14"/>
        </w:rPr>
        <w:t xml:space="preserve"> </w:t>
      </w:r>
      <w:r>
        <w:rPr>
          <w:color w:val="231F20"/>
        </w:rPr>
        <w:t>strategies</w:t>
      </w:r>
      <w:r>
        <w:rPr>
          <w:color w:val="231F20"/>
          <w:spacing w:val="-13"/>
        </w:rPr>
        <w:t xml:space="preserve"> </w:t>
      </w:r>
      <w:r>
        <w:rPr>
          <w:color w:val="231F20"/>
        </w:rPr>
        <w:t>and</w:t>
      </w:r>
      <w:r>
        <w:rPr>
          <w:color w:val="231F20"/>
          <w:spacing w:val="-13"/>
        </w:rPr>
        <w:t xml:space="preserve"> </w:t>
      </w:r>
      <w:r>
        <w:rPr>
          <w:color w:val="231F20"/>
        </w:rPr>
        <w:t>approaches</w:t>
      </w:r>
      <w:r>
        <w:rPr>
          <w:color w:val="231F20"/>
          <w:spacing w:val="-12"/>
        </w:rPr>
        <w:t xml:space="preserve"> </w:t>
      </w:r>
      <w:r>
        <w:rPr>
          <w:color w:val="231F20"/>
        </w:rPr>
        <w:t>in</w:t>
      </w:r>
      <w:r>
        <w:rPr>
          <w:color w:val="231F20"/>
          <w:spacing w:val="-13"/>
        </w:rPr>
        <w:t xml:space="preserve"> </w:t>
      </w:r>
      <w:r>
        <w:rPr>
          <w:color w:val="231F20"/>
        </w:rPr>
        <w:t>the State</w:t>
      </w:r>
      <w:r>
        <w:rPr>
          <w:color w:val="231F20"/>
          <w:spacing w:val="-25"/>
        </w:rPr>
        <w:t xml:space="preserve"> </w:t>
      </w:r>
      <w:r>
        <w:rPr>
          <w:color w:val="231F20"/>
        </w:rPr>
        <w:t>Strategic</w:t>
      </w:r>
      <w:r>
        <w:rPr>
          <w:color w:val="231F20"/>
          <w:spacing w:val="-25"/>
        </w:rPr>
        <w:t xml:space="preserve"> </w:t>
      </w:r>
      <w:r>
        <w:rPr>
          <w:color w:val="231F20"/>
        </w:rPr>
        <w:t>Health</w:t>
      </w:r>
      <w:r>
        <w:rPr>
          <w:color w:val="231F20"/>
          <w:spacing w:val="-25"/>
        </w:rPr>
        <w:t xml:space="preserve"> </w:t>
      </w:r>
      <w:r>
        <w:rPr>
          <w:color w:val="231F20"/>
        </w:rPr>
        <w:t>Development</w:t>
      </w:r>
      <w:r>
        <w:rPr>
          <w:color w:val="231F20"/>
          <w:spacing w:val="-25"/>
        </w:rPr>
        <w:t xml:space="preserve"> </w:t>
      </w:r>
      <w:r>
        <w:rPr>
          <w:color w:val="231F20"/>
        </w:rPr>
        <w:t>Plan</w:t>
      </w:r>
      <w:r>
        <w:rPr>
          <w:color w:val="231F20"/>
          <w:spacing w:val="-26"/>
        </w:rPr>
        <w:t xml:space="preserve"> </w:t>
      </w:r>
      <w:r>
        <w:rPr>
          <w:color w:val="231F20"/>
        </w:rPr>
        <w:t>II.</w:t>
      </w:r>
    </w:p>
    <w:p w14:paraId="6D61D123" w14:textId="77777777" w:rsidR="009948F1" w:rsidRDefault="009948F1">
      <w:pPr>
        <w:pStyle w:val="BodyText"/>
        <w:spacing w:before="2"/>
        <w:rPr>
          <w:sz w:val="25"/>
        </w:rPr>
      </w:pPr>
    </w:p>
    <w:p w14:paraId="5CA122A0" w14:textId="77777777" w:rsidR="009948F1" w:rsidRDefault="00BC0563">
      <w:pPr>
        <w:pStyle w:val="Heading7"/>
        <w:numPr>
          <w:ilvl w:val="1"/>
          <w:numId w:val="311"/>
        </w:numPr>
        <w:tabs>
          <w:tab w:val="left" w:pos="534"/>
        </w:tabs>
        <w:spacing w:before="1"/>
        <w:jc w:val="both"/>
      </w:pPr>
      <w:r>
        <w:rPr>
          <w:color w:val="231F20"/>
        </w:rPr>
        <w:t>Strategic</w:t>
      </w:r>
      <w:r>
        <w:rPr>
          <w:color w:val="231F20"/>
          <w:spacing w:val="-25"/>
        </w:rPr>
        <w:t xml:space="preserve"> </w:t>
      </w:r>
      <w:r>
        <w:rPr>
          <w:color w:val="231F20"/>
        </w:rPr>
        <w:t>Themes</w:t>
      </w:r>
      <w:r>
        <w:rPr>
          <w:color w:val="231F20"/>
          <w:spacing w:val="-25"/>
        </w:rPr>
        <w:t xml:space="preserve"> </w:t>
      </w:r>
      <w:r>
        <w:rPr>
          <w:color w:val="231F20"/>
        </w:rPr>
        <w:t>and</w:t>
      </w:r>
      <w:r>
        <w:rPr>
          <w:color w:val="231F20"/>
          <w:spacing w:val="-25"/>
        </w:rPr>
        <w:t xml:space="preserve"> </w:t>
      </w:r>
      <w:r>
        <w:rPr>
          <w:color w:val="231F20"/>
        </w:rPr>
        <w:t>Strategic</w:t>
      </w:r>
      <w:r>
        <w:rPr>
          <w:color w:val="231F20"/>
          <w:spacing w:val="-25"/>
        </w:rPr>
        <w:t xml:space="preserve"> </w:t>
      </w:r>
      <w:r>
        <w:rPr>
          <w:color w:val="231F20"/>
        </w:rPr>
        <w:t>Results</w:t>
      </w:r>
    </w:p>
    <w:p w14:paraId="2CBA3828" w14:textId="77777777" w:rsidR="009948F1" w:rsidRDefault="009948F1">
      <w:pPr>
        <w:pStyle w:val="BodyText"/>
        <w:spacing w:before="9"/>
        <w:rPr>
          <w:b/>
          <w:sz w:val="28"/>
        </w:rPr>
      </w:pPr>
    </w:p>
    <w:p w14:paraId="7F091CCF" w14:textId="77777777" w:rsidR="009948F1" w:rsidRDefault="00BC0563">
      <w:pPr>
        <w:pStyle w:val="ListParagraph"/>
        <w:numPr>
          <w:ilvl w:val="2"/>
          <w:numId w:val="311"/>
        </w:numPr>
        <w:tabs>
          <w:tab w:val="left" w:pos="718"/>
        </w:tabs>
      </w:pPr>
      <w:r>
        <w:rPr>
          <w:color w:val="231F20"/>
        </w:rPr>
        <w:t>SSHDP</w:t>
      </w:r>
      <w:r>
        <w:rPr>
          <w:color w:val="231F20"/>
          <w:spacing w:val="-29"/>
        </w:rPr>
        <w:t xml:space="preserve"> </w:t>
      </w:r>
      <w:r>
        <w:rPr>
          <w:color w:val="231F20"/>
        </w:rPr>
        <w:t>II</w:t>
      </w:r>
      <w:r>
        <w:rPr>
          <w:color w:val="231F20"/>
          <w:spacing w:val="-25"/>
        </w:rPr>
        <w:t xml:space="preserve"> </w:t>
      </w:r>
      <w:r>
        <w:rPr>
          <w:color w:val="231F20"/>
        </w:rPr>
        <w:t>Strategic</w:t>
      </w:r>
      <w:r>
        <w:rPr>
          <w:color w:val="231F20"/>
          <w:spacing w:val="-25"/>
        </w:rPr>
        <w:t xml:space="preserve"> </w:t>
      </w:r>
      <w:r>
        <w:rPr>
          <w:color w:val="231F20"/>
        </w:rPr>
        <w:t>Objectives</w:t>
      </w:r>
    </w:p>
    <w:p w14:paraId="1BA33FF1" w14:textId="77777777" w:rsidR="009948F1" w:rsidRDefault="00BC0563">
      <w:pPr>
        <w:pStyle w:val="BodyText"/>
        <w:spacing w:before="40"/>
        <w:ind w:left="130"/>
      </w:pPr>
      <w:r>
        <w:rPr>
          <w:color w:val="231F20"/>
        </w:rPr>
        <w:t>The central strategic objectives of the SHDP II are as outlined in this section.</w:t>
      </w:r>
    </w:p>
    <w:p w14:paraId="60D8B513" w14:textId="77777777" w:rsidR="009948F1" w:rsidRDefault="009948F1">
      <w:pPr>
        <w:pStyle w:val="BodyText"/>
        <w:spacing w:before="9"/>
        <w:rPr>
          <w:sz w:val="28"/>
        </w:rPr>
      </w:pPr>
    </w:p>
    <w:p w14:paraId="74A78067" w14:textId="77777777" w:rsidR="009948F1" w:rsidRDefault="00BC0563">
      <w:pPr>
        <w:pStyle w:val="Heading7"/>
        <w:numPr>
          <w:ilvl w:val="0"/>
          <w:numId w:val="310"/>
        </w:numPr>
        <w:tabs>
          <w:tab w:val="left" w:pos="849"/>
          <w:tab w:val="left" w:pos="851"/>
        </w:tabs>
        <w:ind w:hanging="721"/>
      </w:pPr>
      <w:r>
        <w:rPr>
          <w:color w:val="231F20"/>
        </w:rPr>
        <w:t>Promote</w:t>
      </w:r>
      <w:r>
        <w:rPr>
          <w:color w:val="231F20"/>
          <w:spacing w:val="-25"/>
        </w:rPr>
        <w:t xml:space="preserve"> </w:t>
      </w:r>
      <w:r>
        <w:rPr>
          <w:color w:val="231F20"/>
        </w:rPr>
        <w:t>an</w:t>
      </w:r>
      <w:r>
        <w:rPr>
          <w:color w:val="231F20"/>
          <w:spacing w:val="-25"/>
        </w:rPr>
        <w:t xml:space="preserve"> </w:t>
      </w:r>
      <w:r>
        <w:rPr>
          <w:color w:val="231F20"/>
        </w:rPr>
        <w:t>enabling</w:t>
      </w:r>
      <w:r>
        <w:rPr>
          <w:color w:val="231F20"/>
          <w:spacing w:val="-25"/>
        </w:rPr>
        <w:t xml:space="preserve"> </w:t>
      </w:r>
      <w:r>
        <w:rPr>
          <w:color w:val="231F20"/>
        </w:rPr>
        <w:t>environment</w:t>
      </w:r>
      <w:r>
        <w:rPr>
          <w:color w:val="231F20"/>
          <w:spacing w:val="-25"/>
        </w:rPr>
        <w:t xml:space="preserve"> </w:t>
      </w:r>
      <w:r>
        <w:rPr>
          <w:color w:val="231F20"/>
        </w:rPr>
        <w:t>for</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rPr>
        <w:t>sector</w:t>
      </w:r>
      <w:r>
        <w:rPr>
          <w:color w:val="231F20"/>
          <w:spacing w:val="-25"/>
        </w:rPr>
        <w:t xml:space="preserve"> </w:t>
      </w:r>
      <w:r>
        <w:rPr>
          <w:color w:val="231F20"/>
        </w:rPr>
        <w:t>goals:</w:t>
      </w:r>
    </w:p>
    <w:p w14:paraId="58F5DBD7" w14:textId="7FF218CC" w:rsidR="009948F1" w:rsidRDefault="00951C85">
      <w:pPr>
        <w:pStyle w:val="BodyText"/>
        <w:tabs>
          <w:tab w:val="left" w:pos="849"/>
        </w:tabs>
        <w:spacing w:before="40"/>
        <w:ind w:left="130"/>
      </w:pPr>
      <w:proofErr w:type="spellStart"/>
      <w:r>
        <w:rPr>
          <w:color w:val="231F20"/>
        </w:rPr>
        <w:t>i</w:t>
      </w:r>
      <w:proofErr w:type="spellEnd"/>
      <w:r w:rsidR="00225295">
        <w:rPr>
          <w:color w:val="231F20"/>
        </w:rPr>
        <w:t>.</w:t>
      </w:r>
      <w:r w:rsidR="00BC0563">
        <w:rPr>
          <w:color w:val="231F20"/>
        </w:rPr>
        <w:tab/>
        <w:t>Strengthen</w:t>
      </w:r>
      <w:r w:rsidR="00BC0563">
        <w:rPr>
          <w:color w:val="231F20"/>
          <w:spacing w:val="-25"/>
        </w:rPr>
        <w:t xml:space="preserve"> </w:t>
      </w:r>
      <w:r w:rsidR="00BC0563">
        <w:rPr>
          <w:color w:val="231F20"/>
        </w:rPr>
        <w:t>coordination</w:t>
      </w:r>
      <w:r w:rsidR="00BC0563">
        <w:rPr>
          <w:color w:val="231F20"/>
          <w:spacing w:val="-25"/>
        </w:rPr>
        <w:t xml:space="preserve"> </w:t>
      </w:r>
      <w:r w:rsidR="00BC0563">
        <w:rPr>
          <w:color w:val="231F20"/>
        </w:rPr>
        <w:t>at</w:t>
      </w:r>
      <w:r w:rsidR="00BC0563">
        <w:rPr>
          <w:color w:val="231F20"/>
          <w:spacing w:val="-26"/>
        </w:rPr>
        <w:t xml:space="preserve"> </w:t>
      </w:r>
      <w:r w:rsidR="00BC0563">
        <w:rPr>
          <w:color w:val="231F20"/>
        </w:rPr>
        <w:t>all</w:t>
      </w:r>
      <w:r w:rsidR="00BC0563">
        <w:rPr>
          <w:color w:val="231F20"/>
          <w:spacing w:val="-25"/>
        </w:rPr>
        <w:t xml:space="preserve"> </w:t>
      </w:r>
      <w:r w:rsidR="00BC0563">
        <w:rPr>
          <w:color w:val="231F20"/>
        </w:rPr>
        <w:t>levels</w:t>
      </w:r>
    </w:p>
    <w:p w14:paraId="6AFF9AA6" w14:textId="77777777" w:rsidR="009948F1" w:rsidRDefault="00BC0563">
      <w:pPr>
        <w:pStyle w:val="ListParagraph"/>
        <w:numPr>
          <w:ilvl w:val="0"/>
          <w:numId w:val="309"/>
        </w:numPr>
        <w:tabs>
          <w:tab w:val="left" w:pos="849"/>
          <w:tab w:val="left" w:pos="851"/>
        </w:tabs>
        <w:spacing w:before="39"/>
        <w:ind w:hanging="721"/>
      </w:pPr>
      <w:r>
        <w:rPr>
          <w:color w:val="231F20"/>
        </w:rPr>
        <w:t>Ensure</w:t>
      </w:r>
      <w:r>
        <w:rPr>
          <w:color w:val="231F20"/>
          <w:spacing w:val="-25"/>
        </w:rPr>
        <w:t xml:space="preserve"> </w:t>
      </w:r>
      <w:r>
        <w:rPr>
          <w:color w:val="231F20"/>
        </w:rPr>
        <w:t>harmonization</w:t>
      </w:r>
      <w:r>
        <w:rPr>
          <w:color w:val="231F20"/>
          <w:spacing w:val="-26"/>
        </w:rPr>
        <w:t xml:space="preserve"> </w:t>
      </w:r>
      <w:r>
        <w:rPr>
          <w:color w:val="231F20"/>
        </w:rPr>
        <w:t>and</w:t>
      </w:r>
      <w:r>
        <w:rPr>
          <w:color w:val="231F20"/>
          <w:spacing w:val="-25"/>
        </w:rPr>
        <w:t xml:space="preserve"> </w:t>
      </w:r>
      <w:r>
        <w:rPr>
          <w:color w:val="231F20"/>
        </w:rPr>
        <w:t>alignment</w:t>
      </w:r>
      <w:r>
        <w:rPr>
          <w:color w:val="231F20"/>
          <w:spacing w:val="-25"/>
        </w:rPr>
        <w:t xml:space="preserve"> </w:t>
      </w:r>
      <w:r>
        <w:rPr>
          <w:color w:val="231F20"/>
        </w:rPr>
        <w:t>within</w:t>
      </w:r>
      <w:r>
        <w:rPr>
          <w:color w:val="231F20"/>
          <w:spacing w:val="-25"/>
        </w:rPr>
        <w:t xml:space="preserve"> </w:t>
      </w:r>
      <w:r>
        <w:rPr>
          <w:color w:val="231F20"/>
        </w:rPr>
        <w:t>the</w:t>
      </w:r>
      <w:r>
        <w:rPr>
          <w:color w:val="231F20"/>
          <w:spacing w:val="-25"/>
        </w:rPr>
        <w:t xml:space="preserve"> </w:t>
      </w:r>
      <w:r>
        <w:rPr>
          <w:color w:val="231F20"/>
        </w:rPr>
        <w:t>sector</w:t>
      </w:r>
    </w:p>
    <w:p w14:paraId="6ADCC072" w14:textId="77777777" w:rsidR="009948F1" w:rsidRDefault="00BC0563">
      <w:pPr>
        <w:pStyle w:val="ListParagraph"/>
        <w:numPr>
          <w:ilvl w:val="0"/>
          <w:numId w:val="309"/>
        </w:numPr>
        <w:tabs>
          <w:tab w:val="left" w:pos="849"/>
          <w:tab w:val="left" w:pos="850"/>
        </w:tabs>
        <w:spacing w:before="39"/>
        <w:ind w:left="849" w:hanging="721"/>
      </w:pPr>
      <w:r>
        <w:rPr>
          <w:color w:val="231F20"/>
        </w:rPr>
        <w:t>Strengthen</w:t>
      </w:r>
      <w:r>
        <w:rPr>
          <w:color w:val="231F20"/>
          <w:spacing w:val="-25"/>
        </w:rPr>
        <w:t xml:space="preserve"> </w:t>
      </w:r>
      <w:r>
        <w:rPr>
          <w:color w:val="231F20"/>
        </w:rPr>
        <w:t>regulatory</w:t>
      </w:r>
      <w:r>
        <w:rPr>
          <w:color w:val="231F20"/>
          <w:spacing w:val="-25"/>
        </w:rPr>
        <w:t xml:space="preserve"> </w:t>
      </w:r>
      <w:r>
        <w:rPr>
          <w:color w:val="231F20"/>
        </w:rPr>
        <w:t>systems</w:t>
      </w:r>
      <w:r>
        <w:rPr>
          <w:color w:val="231F20"/>
          <w:spacing w:val="-26"/>
        </w:rPr>
        <w:t xml:space="preserve"> </w:t>
      </w:r>
      <w:r>
        <w:rPr>
          <w:color w:val="231F20"/>
        </w:rPr>
        <w:t>and</w:t>
      </w:r>
      <w:r>
        <w:rPr>
          <w:color w:val="231F20"/>
          <w:spacing w:val="-25"/>
        </w:rPr>
        <w:t xml:space="preserve"> </w:t>
      </w:r>
      <w:r>
        <w:rPr>
          <w:color w:val="231F20"/>
        </w:rPr>
        <w:t>processes</w:t>
      </w:r>
    </w:p>
    <w:p w14:paraId="31CFD638" w14:textId="77777777" w:rsidR="009948F1" w:rsidRDefault="00BC0563">
      <w:pPr>
        <w:pStyle w:val="ListParagraph"/>
        <w:numPr>
          <w:ilvl w:val="0"/>
          <w:numId w:val="309"/>
        </w:numPr>
        <w:tabs>
          <w:tab w:val="left" w:pos="849"/>
          <w:tab w:val="left" w:pos="850"/>
        </w:tabs>
        <w:spacing w:before="40"/>
        <w:ind w:left="849" w:hanging="721"/>
      </w:pPr>
      <w:r>
        <w:rPr>
          <w:color w:val="231F20"/>
        </w:rPr>
        <w:t>Enhance multi-sectorial</w:t>
      </w:r>
      <w:r>
        <w:rPr>
          <w:color w:val="231F20"/>
          <w:spacing w:val="-50"/>
        </w:rPr>
        <w:t xml:space="preserve"> </w:t>
      </w:r>
      <w:r>
        <w:rPr>
          <w:color w:val="231F20"/>
        </w:rPr>
        <w:t>collaboration</w:t>
      </w:r>
    </w:p>
    <w:p w14:paraId="0D59DF1D" w14:textId="77777777" w:rsidR="009948F1" w:rsidRDefault="009948F1">
      <w:pPr>
        <w:pStyle w:val="BodyText"/>
        <w:spacing w:before="9"/>
        <w:rPr>
          <w:sz w:val="28"/>
        </w:rPr>
      </w:pPr>
    </w:p>
    <w:p w14:paraId="4BD11AED" w14:textId="77777777" w:rsidR="009948F1" w:rsidRDefault="00BC0563">
      <w:pPr>
        <w:pStyle w:val="ListParagraph"/>
        <w:numPr>
          <w:ilvl w:val="0"/>
          <w:numId w:val="310"/>
        </w:numPr>
        <w:tabs>
          <w:tab w:val="left" w:pos="849"/>
          <w:tab w:val="left" w:pos="850"/>
        </w:tabs>
        <w:spacing w:line="278" w:lineRule="auto"/>
        <w:ind w:left="849" w:right="205"/>
      </w:pPr>
      <w:r>
        <w:rPr>
          <w:b/>
          <w:color w:val="231F20"/>
        </w:rPr>
        <w:t>Equitably</w:t>
      </w:r>
      <w:r>
        <w:rPr>
          <w:b/>
          <w:color w:val="231F20"/>
          <w:spacing w:val="-26"/>
        </w:rPr>
        <w:t xml:space="preserve"> </w:t>
      </w:r>
      <w:r>
        <w:rPr>
          <w:b/>
          <w:color w:val="231F20"/>
        </w:rPr>
        <w:t>Increase</w:t>
      </w:r>
      <w:r>
        <w:rPr>
          <w:b/>
          <w:color w:val="231F20"/>
          <w:spacing w:val="-25"/>
        </w:rPr>
        <w:t xml:space="preserve"> </w:t>
      </w:r>
      <w:r>
        <w:rPr>
          <w:b/>
          <w:color w:val="231F20"/>
        </w:rPr>
        <w:t>coverage</w:t>
      </w:r>
      <w:r>
        <w:rPr>
          <w:b/>
          <w:color w:val="231F20"/>
          <w:spacing w:val="-25"/>
        </w:rPr>
        <w:t xml:space="preserve"> </w:t>
      </w:r>
      <w:r>
        <w:rPr>
          <w:b/>
          <w:color w:val="231F20"/>
        </w:rPr>
        <w:t>with</w:t>
      </w:r>
      <w:r>
        <w:rPr>
          <w:b/>
          <w:color w:val="231F20"/>
          <w:spacing w:val="-25"/>
        </w:rPr>
        <w:t xml:space="preserve"> </w:t>
      </w:r>
      <w:r>
        <w:rPr>
          <w:b/>
          <w:color w:val="231F20"/>
        </w:rPr>
        <w:t>packages</w:t>
      </w:r>
      <w:r>
        <w:rPr>
          <w:b/>
          <w:color w:val="231F20"/>
          <w:spacing w:val="-25"/>
        </w:rPr>
        <w:t xml:space="preserve"> </w:t>
      </w:r>
      <w:r>
        <w:rPr>
          <w:b/>
          <w:color w:val="231F20"/>
        </w:rPr>
        <w:t>of</w:t>
      </w:r>
      <w:r>
        <w:rPr>
          <w:b/>
          <w:color w:val="231F20"/>
          <w:spacing w:val="-25"/>
        </w:rPr>
        <w:t xml:space="preserve"> </w:t>
      </w:r>
      <w:r>
        <w:rPr>
          <w:b/>
          <w:color w:val="231F20"/>
        </w:rPr>
        <w:t>quality</w:t>
      </w:r>
      <w:r>
        <w:rPr>
          <w:b/>
          <w:color w:val="231F20"/>
          <w:spacing w:val="-25"/>
        </w:rPr>
        <w:t xml:space="preserve"> </w:t>
      </w:r>
      <w:r>
        <w:rPr>
          <w:b/>
          <w:color w:val="231F20"/>
        </w:rPr>
        <w:t>essential</w:t>
      </w:r>
      <w:r>
        <w:rPr>
          <w:b/>
          <w:color w:val="231F20"/>
          <w:spacing w:val="-25"/>
        </w:rPr>
        <w:t xml:space="preserve"> </w:t>
      </w:r>
      <w:r>
        <w:rPr>
          <w:b/>
          <w:color w:val="231F20"/>
        </w:rPr>
        <w:t>health</w:t>
      </w:r>
      <w:r>
        <w:rPr>
          <w:b/>
          <w:color w:val="231F20"/>
          <w:spacing w:val="-25"/>
        </w:rPr>
        <w:t xml:space="preserve"> </w:t>
      </w:r>
      <w:r>
        <w:rPr>
          <w:b/>
          <w:color w:val="231F20"/>
        </w:rPr>
        <w:t>care</w:t>
      </w:r>
      <w:r>
        <w:rPr>
          <w:b/>
          <w:color w:val="231F20"/>
          <w:spacing w:val="-25"/>
        </w:rPr>
        <w:t xml:space="preserve"> </w:t>
      </w:r>
      <w:r>
        <w:rPr>
          <w:b/>
          <w:color w:val="231F20"/>
        </w:rPr>
        <w:t xml:space="preserve">services </w:t>
      </w:r>
      <w:r>
        <w:rPr>
          <w:color w:val="231F20"/>
        </w:rPr>
        <w:t>The</w:t>
      </w:r>
      <w:r>
        <w:rPr>
          <w:color w:val="231F20"/>
          <w:spacing w:val="-27"/>
        </w:rPr>
        <w:t xml:space="preserve"> </w:t>
      </w:r>
      <w:r>
        <w:rPr>
          <w:color w:val="231F20"/>
        </w:rPr>
        <w:t>essential</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6"/>
        </w:rPr>
        <w:t xml:space="preserve"> </w:t>
      </w:r>
      <w:r>
        <w:rPr>
          <w:color w:val="231F20"/>
        </w:rPr>
        <w:t>services</w:t>
      </w:r>
      <w:r>
        <w:rPr>
          <w:color w:val="231F20"/>
          <w:spacing w:val="-27"/>
        </w:rPr>
        <w:t xml:space="preserve"> </w:t>
      </w:r>
      <w:r>
        <w:rPr>
          <w:color w:val="231F20"/>
        </w:rPr>
        <w:t>package</w:t>
      </w:r>
      <w:r>
        <w:rPr>
          <w:color w:val="231F20"/>
          <w:spacing w:val="-25"/>
        </w:rPr>
        <w:t xml:space="preserve"> </w:t>
      </w:r>
      <w:r>
        <w:rPr>
          <w:color w:val="231F20"/>
        </w:rPr>
        <w:t>comprises</w:t>
      </w:r>
      <w:r>
        <w:rPr>
          <w:color w:val="231F20"/>
          <w:spacing w:val="-25"/>
        </w:rPr>
        <w:t xml:space="preserve"> </w:t>
      </w:r>
      <w:r>
        <w:rPr>
          <w:color w:val="231F20"/>
        </w:rPr>
        <w:t>(a)</w:t>
      </w:r>
      <w:r>
        <w:rPr>
          <w:color w:val="231F20"/>
          <w:spacing w:val="-26"/>
        </w:rPr>
        <w:t xml:space="preserve"> </w:t>
      </w:r>
      <w:r>
        <w:rPr>
          <w:color w:val="231F20"/>
        </w:rPr>
        <w:t>reproductive,</w:t>
      </w:r>
      <w:r>
        <w:rPr>
          <w:color w:val="231F20"/>
          <w:spacing w:val="-26"/>
        </w:rPr>
        <w:t xml:space="preserve"> </w:t>
      </w:r>
      <w:r>
        <w:rPr>
          <w:color w:val="231F20"/>
        </w:rPr>
        <w:t>maternal,</w:t>
      </w:r>
      <w:r>
        <w:rPr>
          <w:color w:val="231F20"/>
          <w:spacing w:val="-26"/>
        </w:rPr>
        <w:t xml:space="preserve"> </w:t>
      </w:r>
      <w:r>
        <w:rPr>
          <w:color w:val="231F20"/>
        </w:rPr>
        <w:t xml:space="preserve">newborn, child and adolescent health plus nutrition, (b) prevention and control of </w:t>
      </w:r>
      <w:r>
        <w:rPr>
          <w:color w:val="231F20"/>
          <w:spacing w:val="-2"/>
        </w:rPr>
        <w:t xml:space="preserve">communicable </w:t>
      </w:r>
      <w:r>
        <w:rPr>
          <w:color w:val="231F20"/>
        </w:rPr>
        <w:t>diseases,</w:t>
      </w:r>
      <w:r>
        <w:rPr>
          <w:color w:val="231F20"/>
          <w:spacing w:val="-10"/>
        </w:rPr>
        <w:t xml:space="preserve"> </w:t>
      </w:r>
      <w:r>
        <w:rPr>
          <w:color w:val="231F20"/>
        </w:rPr>
        <w:t>(</w:t>
      </w:r>
      <w:r>
        <w:rPr>
          <w:color w:val="231F20"/>
          <w:spacing w:val="-9"/>
        </w:rPr>
        <w:t xml:space="preserve"> </w:t>
      </w:r>
      <w:r>
        <w:rPr>
          <w:color w:val="231F20"/>
        </w:rPr>
        <w:t>c)</w:t>
      </w:r>
      <w:r>
        <w:rPr>
          <w:color w:val="231F20"/>
          <w:spacing w:val="-9"/>
        </w:rPr>
        <w:t xml:space="preserve"> </w:t>
      </w:r>
      <w:r>
        <w:rPr>
          <w:color w:val="231F20"/>
        </w:rPr>
        <w:t>prevention</w:t>
      </w:r>
      <w:r>
        <w:rPr>
          <w:color w:val="231F20"/>
          <w:spacing w:val="-9"/>
        </w:rPr>
        <w:t xml:space="preserve"> </w:t>
      </w:r>
      <w:r>
        <w:rPr>
          <w:color w:val="231F20"/>
        </w:rPr>
        <w:t>and</w:t>
      </w:r>
      <w:r>
        <w:rPr>
          <w:color w:val="231F20"/>
          <w:spacing w:val="-9"/>
        </w:rPr>
        <w:t xml:space="preserve"> </w:t>
      </w:r>
      <w:r>
        <w:rPr>
          <w:color w:val="231F20"/>
        </w:rPr>
        <w:t>control</w:t>
      </w:r>
      <w:r>
        <w:rPr>
          <w:color w:val="231F20"/>
          <w:spacing w:val="-9"/>
        </w:rPr>
        <w:t xml:space="preserve"> </w:t>
      </w:r>
      <w:r>
        <w:rPr>
          <w:color w:val="231F20"/>
        </w:rPr>
        <w:t>of</w:t>
      </w:r>
      <w:r>
        <w:rPr>
          <w:color w:val="231F20"/>
          <w:spacing w:val="-9"/>
        </w:rPr>
        <w:t xml:space="preserve"> </w:t>
      </w:r>
      <w:r>
        <w:rPr>
          <w:color w:val="231F20"/>
        </w:rPr>
        <w:t>non-communicable</w:t>
      </w:r>
      <w:r>
        <w:rPr>
          <w:color w:val="231F20"/>
          <w:spacing w:val="-9"/>
        </w:rPr>
        <w:t xml:space="preserve"> </w:t>
      </w:r>
      <w:r>
        <w:rPr>
          <w:color w:val="231F20"/>
        </w:rPr>
        <w:t>diseases,</w:t>
      </w:r>
      <w:r>
        <w:rPr>
          <w:color w:val="231F20"/>
          <w:spacing w:val="-9"/>
        </w:rPr>
        <w:t xml:space="preserve"> </w:t>
      </w:r>
      <w:r>
        <w:rPr>
          <w:color w:val="231F20"/>
        </w:rPr>
        <w:t>(d)</w:t>
      </w:r>
      <w:r>
        <w:rPr>
          <w:color w:val="231F20"/>
          <w:spacing w:val="-9"/>
        </w:rPr>
        <w:t xml:space="preserve"> </w:t>
      </w:r>
      <w:r>
        <w:rPr>
          <w:color w:val="231F20"/>
        </w:rPr>
        <w:t>health</w:t>
      </w:r>
      <w:r>
        <w:rPr>
          <w:color w:val="231F20"/>
          <w:spacing w:val="-9"/>
        </w:rPr>
        <w:t xml:space="preserve"> </w:t>
      </w:r>
      <w:r>
        <w:rPr>
          <w:color w:val="231F20"/>
        </w:rPr>
        <w:t>promotion and environmental</w:t>
      </w:r>
      <w:r>
        <w:rPr>
          <w:color w:val="231F20"/>
          <w:spacing w:val="-50"/>
        </w:rPr>
        <w:t xml:space="preserve"> </w:t>
      </w:r>
      <w:r>
        <w:rPr>
          <w:color w:val="231F20"/>
        </w:rPr>
        <w:t>health):</w:t>
      </w:r>
    </w:p>
    <w:p w14:paraId="3002C333" w14:textId="32F7F035" w:rsidR="009948F1" w:rsidRDefault="00225295">
      <w:pPr>
        <w:pStyle w:val="BodyText"/>
        <w:tabs>
          <w:tab w:val="left" w:pos="849"/>
        </w:tabs>
        <w:spacing w:line="247" w:lineRule="exact"/>
        <w:ind w:left="129"/>
      </w:pPr>
      <w:proofErr w:type="spellStart"/>
      <w:r>
        <w:rPr>
          <w:color w:val="231F20"/>
        </w:rPr>
        <w:t>i</w:t>
      </w:r>
      <w:proofErr w:type="spellEnd"/>
      <w:r w:rsidR="00BC0563">
        <w:rPr>
          <w:color w:val="231F20"/>
        </w:rPr>
        <w:t>.</w:t>
      </w:r>
      <w:r w:rsidR="00BC0563">
        <w:rPr>
          <w:color w:val="231F20"/>
        </w:rPr>
        <w:tab/>
        <w:t>Increase</w:t>
      </w:r>
      <w:r w:rsidR="00BC0563">
        <w:rPr>
          <w:color w:val="231F20"/>
          <w:spacing w:val="-25"/>
        </w:rPr>
        <w:t xml:space="preserve"> </w:t>
      </w:r>
      <w:r w:rsidR="00BC0563">
        <w:rPr>
          <w:color w:val="231F20"/>
        </w:rPr>
        <w:t>access</w:t>
      </w:r>
      <w:r w:rsidR="00BC0563">
        <w:rPr>
          <w:color w:val="231F20"/>
          <w:spacing w:val="-26"/>
        </w:rPr>
        <w:t xml:space="preserve"> </w:t>
      </w:r>
      <w:r w:rsidR="00BC0563">
        <w:rPr>
          <w:color w:val="231F20"/>
        </w:rPr>
        <w:t>to</w:t>
      </w:r>
      <w:r w:rsidR="00BC0563">
        <w:rPr>
          <w:color w:val="231F20"/>
          <w:spacing w:val="-25"/>
        </w:rPr>
        <w:t xml:space="preserve"> </w:t>
      </w:r>
      <w:r w:rsidR="00BC0563">
        <w:rPr>
          <w:color w:val="231F20"/>
        </w:rPr>
        <w:t>package</w:t>
      </w:r>
      <w:r w:rsidR="00BC0563">
        <w:rPr>
          <w:color w:val="231F20"/>
          <w:spacing w:val="-25"/>
        </w:rPr>
        <w:t xml:space="preserve"> </w:t>
      </w:r>
      <w:r w:rsidR="00BC0563">
        <w:rPr>
          <w:color w:val="231F20"/>
        </w:rPr>
        <w:t>of</w:t>
      </w:r>
      <w:r w:rsidR="00BC0563">
        <w:rPr>
          <w:color w:val="231F20"/>
          <w:spacing w:val="-25"/>
        </w:rPr>
        <w:t xml:space="preserve"> </w:t>
      </w:r>
      <w:r w:rsidR="00BC0563">
        <w:rPr>
          <w:color w:val="231F20"/>
        </w:rPr>
        <w:t>essential</w:t>
      </w:r>
      <w:r w:rsidR="00BC0563">
        <w:rPr>
          <w:color w:val="231F20"/>
          <w:spacing w:val="-25"/>
        </w:rPr>
        <w:t xml:space="preserve"> </w:t>
      </w:r>
      <w:r w:rsidR="00BC0563">
        <w:rPr>
          <w:color w:val="231F20"/>
        </w:rPr>
        <w:t>health</w:t>
      </w:r>
      <w:r w:rsidR="00BC0563">
        <w:rPr>
          <w:color w:val="231F20"/>
          <w:spacing w:val="-25"/>
        </w:rPr>
        <w:t xml:space="preserve"> </w:t>
      </w:r>
      <w:r w:rsidR="00BC0563">
        <w:rPr>
          <w:color w:val="231F20"/>
        </w:rPr>
        <w:t>care</w:t>
      </w:r>
      <w:r w:rsidR="00BC0563">
        <w:rPr>
          <w:color w:val="231F20"/>
          <w:spacing w:val="-25"/>
        </w:rPr>
        <w:t xml:space="preserve"> </w:t>
      </w:r>
      <w:r w:rsidR="00BC0563">
        <w:rPr>
          <w:color w:val="231F20"/>
        </w:rPr>
        <w:t>services</w:t>
      </w:r>
    </w:p>
    <w:p w14:paraId="750751D8" w14:textId="77777777" w:rsidR="009948F1" w:rsidRDefault="00BC0563">
      <w:pPr>
        <w:pStyle w:val="ListParagraph"/>
        <w:numPr>
          <w:ilvl w:val="0"/>
          <w:numId w:val="308"/>
        </w:numPr>
        <w:tabs>
          <w:tab w:val="left" w:pos="849"/>
          <w:tab w:val="left" w:pos="850"/>
        </w:tabs>
        <w:spacing w:before="40"/>
        <w:ind w:hanging="721"/>
      </w:pPr>
      <w:r>
        <w:rPr>
          <w:color w:val="231F20"/>
        </w:rPr>
        <w:t>Create</w:t>
      </w:r>
      <w:r>
        <w:rPr>
          <w:color w:val="231F20"/>
          <w:spacing w:val="-26"/>
        </w:rPr>
        <w:t xml:space="preserve"> </w:t>
      </w:r>
      <w:r>
        <w:rPr>
          <w:color w:val="231F20"/>
        </w:rPr>
        <w:t>demand</w:t>
      </w:r>
      <w:r>
        <w:rPr>
          <w:color w:val="231F20"/>
          <w:spacing w:val="-25"/>
        </w:rPr>
        <w:t xml:space="preserve"> </w:t>
      </w:r>
      <w:r>
        <w:rPr>
          <w:color w:val="231F20"/>
        </w:rPr>
        <w:t>for</w:t>
      </w:r>
      <w:r>
        <w:rPr>
          <w:color w:val="231F20"/>
          <w:spacing w:val="-25"/>
        </w:rPr>
        <w:t xml:space="preserve"> </w:t>
      </w:r>
      <w:r>
        <w:rPr>
          <w:color w:val="231F20"/>
        </w:rPr>
        <w:t>essential</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services</w:t>
      </w:r>
    </w:p>
    <w:p w14:paraId="34DBAEE6" w14:textId="77777777" w:rsidR="009948F1" w:rsidRDefault="00BC0563">
      <w:pPr>
        <w:pStyle w:val="ListParagraph"/>
        <w:numPr>
          <w:ilvl w:val="0"/>
          <w:numId w:val="308"/>
        </w:numPr>
        <w:tabs>
          <w:tab w:val="left" w:pos="849"/>
          <w:tab w:val="left" w:pos="850"/>
        </w:tabs>
        <w:spacing w:before="39"/>
        <w:ind w:hanging="721"/>
      </w:pPr>
      <w:r>
        <w:rPr>
          <w:color w:val="231F20"/>
        </w:rPr>
        <w:t>Improve</w:t>
      </w:r>
      <w:r>
        <w:rPr>
          <w:color w:val="231F20"/>
          <w:spacing w:val="-26"/>
        </w:rPr>
        <w:t xml:space="preserve"> </w:t>
      </w:r>
      <w:r>
        <w:rPr>
          <w:color w:val="231F20"/>
        </w:rPr>
        <w:t>quality</w:t>
      </w:r>
      <w:r>
        <w:rPr>
          <w:color w:val="231F20"/>
          <w:spacing w:val="-25"/>
        </w:rPr>
        <w:t xml:space="preserve"> </w:t>
      </w:r>
      <w:r>
        <w:rPr>
          <w:color w:val="231F20"/>
        </w:rPr>
        <w:t>of</w:t>
      </w:r>
      <w:r>
        <w:rPr>
          <w:color w:val="231F20"/>
          <w:spacing w:val="-25"/>
        </w:rPr>
        <w:t xml:space="preserve"> </w:t>
      </w:r>
      <w:r>
        <w:rPr>
          <w:color w:val="231F20"/>
        </w:rPr>
        <w:t>essential</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services.</w:t>
      </w:r>
    </w:p>
    <w:p w14:paraId="6AD188E4" w14:textId="77777777" w:rsidR="009948F1" w:rsidRDefault="009948F1">
      <w:pPr>
        <w:sectPr w:rsidR="009948F1">
          <w:pgSz w:w="11910" w:h="16840"/>
          <w:pgMar w:top="1380" w:right="1080" w:bottom="1420" w:left="1120" w:header="0" w:footer="1235" w:gutter="0"/>
          <w:cols w:space="720"/>
        </w:sectPr>
      </w:pPr>
    </w:p>
    <w:p w14:paraId="037D7CC8" w14:textId="77777777" w:rsidR="009948F1" w:rsidRDefault="00BC0563">
      <w:pPr>
        <w:pStyle w:val="Heading7"/>
        <w:numPr>
          <w:ilvl w:val="0"/>
          <w:numId w:val="307"/>
        </w:numPr>
        <w:tabs>
          <w:tab w:val="left" w:pos="863"/>
          <w:tab w:val="left" w:pos="864"/>
        </w:tabs>
        <w:spacing w:before="42"/>
        <w:ind w:hanging="721"/>
      </w:pPr>
      <w:bookmarkStart w:id="48" w:name="Page_34"/>
      <w:bookmarkEnd w:id="48"/>
      <w:r>
        <w:rPr>
          <w:color w:val="231F20"/>
        </w:rPr>
        <w:lastRenderedPageBreak/>
        <w:t>Strengthen</w:t>
      </w:r>
      <w:r>
        <w:rPr>
          <w:color w:val="231F20"/>
          <w:spacing w:val="-26"/>
        </w:rPr>
        <w:t xml:space="preserve"> </w:t>
      </w:r>
      <w:r>
        <w:rPr>
          <w:color w:val="231F20"/>
        </w:rPr>
        <w:t>health</w:t>
      </w:r>
      <w:r>
        <w:rPr>
          <w:color w:val="231F20"/>
          <w:spacing w:val="-25"/>
        </w:rPr>
        <w:t xml:space="preserve"> </w:t>
      </w:r>
      <w:r>
        <w:rPr>
          <w:color w:val="231F20"/>
        </w:rPr>
        <w:t>system</w:t>
      </w:r>
      <w:r>
        <w:rPr>
          <w:color w:val="231F20"/>
          <w:spacing w:val="-25"/>
        </w:rPr>
        <w:t xml:space="preserve"> </w:t>
      </w:r>
      <w:r>
        <w:rPr>
          <w:color w:val="231F20"/>
        </w:rPr>
        <w:t>for</w:t>
      </w:r>
      <w:r>
        <w:rPr>
          <w:color w:val="231F20"/>
          <w:spacing w:val="-25"/>
        </w:rPr>
        <w:t xml:space="preserve"> </w:t>
      </w:r>
      <w:r>
        <w:rPr>
          <w:color w:val="231F20"/>
        </w:rPr>
        <w:t>delivery</w:t>
      </w:r>
      <w:r>
        <w:rPr>
          <w:color w:val="231F20"/>
          <w:spacing w:val="-25"/>
        </w:rPr>
        <w:t xml:space="preserve"> </w:t>
      </w:r>
      <w:r>
        <w:rPr>
          <w:color w:val="231F20"/>
        </w:rPr>
        <w:t>of</w:t>
      </w:r>
      <w:r>
        <w:rPr>
          <w:color w:val="231F20"/>
          <w:spacing w:val="-25"/>
        </w:rPr>
        <w:t xml:space="preserve"> </w:t>
      </w:r>
      <w:r>
        <w:rPr>
          <w:color w:val="231F20"/>
        </w:rPr>
        <w:t>packages</w:t>
      </w:r>
      <w:r>
        <w:rPr>
          <w:color w:val="231F20"/>
          <w:spacing w:val="-25"/>
        </w:rPr>
        <w:t xml:space="preserve"> </w:t>
      </w:r>
      <w:r>
        <w:rPr>
          <w:color w:val="231F20"/>
        </w:rPr>
        <w:t>of</w:t>
      </w:r>
      <w:r>
        <w:rPr>
          <w:color w:val="231F20"/>
          <w:spacing w:val="-25"/>
        </w:rPr>
        <w:t xml:space="preserve"> </w:t>
      </w:r>
      <w:r>
        <w:rPr>
          <w:color w:val="231F20"/>
        </w:rPr>
        <w:t>essential</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services:</w:t>
      </w:r>
    </w:p>
    <w:p w14:paraId="0028B224" w14:textId="77777777" w:rsidR="009948F1" w:rsidRDefault="00BC0563">
      <w:pPr>
        <w:pStyle w:val="ListParagraph"/>
        <w:numPr>
          <w:ilvl w:val="0"/>
          <w:numId w:val="306"/>
        </w:numPr>
        <w:tabs>
          <w:tab w:val="left" w:pos="863"/>
          <w:tab w:val="left" w:pos="864"/>
        </w:tabs>
        <w:spacing w:before="48" w:line="285" w:lineRule="auto"/>
        <w:ind w:right="1678"/>
      </w:pPr>
      <w:r>
        <w:rPr>
          <w:color w:val="231F20"/>
        </w:rPr>
        <w:t>Equitably</w:t>
      </w:r>
      <w:r>
        <w:rPr>
          <w:color w:val="231F20"/>
          <w:spacing w:val="-28"/>
        </w:rPr>
        <w:t xml:space="preserve"> </w:t>
      </w:r>
      <w:r>
        <w:rPr>
          <w:color w:val="231F20"/>
        </w:rPr>
        <w:t>improve</w:t>
      </w:r>
      <w:r>
        <w:rPr>
          <w:color w:val="231F20"/>
          <w:spacing w:val="-28"/>
        </w:rPr>
        <w:t xml:space="preserve"> </w:t>
      </w:r>
      <w:r>
        <w:rPr>
          <w:color w:val="231F20"/>
        </w:rPr>
        <w:t>the</w:t>
      </w:r>
      <w:r>
        <w:rPr>
          <w:color w:val="231F20"/>
          <w:spacing w:val="-27"/>
        </w:rPr>
        <w:t xml:space="preserve"> </w:t>
      </w:r>
      <w:r>
        <w:rPr>
          <w:color w:val="231F20"/>
        </w:rPr>
        <w:t>quantity,</w:t>
      </w:r>
      <w:r>
        <w:rPr>
          <w:color w:val="231F20"/>
          <w:spacing w:val="-28"/>
        </w:rPr>
        <w:t xml:space="preserve"> </w:t>
      </w:r>
      <w:r>
        <w:rPr>
          <w:color w:val="231F20"/>
        </w:rPr>
        <w:t>skill</w:t>
      </w:r>
      <w:r>
        <w:rPr>
          <w:color w:val="231F20"/>
          <w:spacing w:val="-28"/>
        </w:rPr>
        <w:t xml:space="preserve"> </w:t>
      </w:r>
      <w:r>
        <w:rPr>
          <w:color w:val="231F20"/>
        </w:rPr>
        <w:t>mix,</w:t>
      </w:r>
      <w:r>
        <w:rPr>
          <w:color w:val="231F20"/>
          <w:spacing w:val="-27"/>
        </w:rPr>
        <w:t xml:space="preserve"> </w:t>
      </w:r>
      <w:r>
        <w:rPr>
          <w:color w:val="231F20"/>
        </w:rPr>
        <w:t>motivation</w:t>
      </w:r>
      <w:r>
        <w:rPr>
          <w:color w:val="231F20"/>
          <w:spacing w:val="-28"/>
        </w:rPr>
        <w:t xml:space="preserve"> </w:t>
      </w:r>
      <w:r>
        <w:rPr>
          <w:color w:val="231F20"/>
        </w:rPr>
        <w:t>and</w:t>
      </w:r>
      <w:r>
        <w:rPr>
          <w:color w:val="231F20"/>
          <w:spacing w:val="-28"/>
        </w:rPr>
        <w:t xml:space="preserve"> </w:t>
      </w:r>
      <w:r>
        <w:rPr>
          <w:color w:val="231F20"/>
        </w:rPr>
        <w:t>distribution</w:t>
      </w:r>
      <w:r>
        <w:rPr>
          <w:color w:val="231F20"/>
          <w:spacing w:val="-27"/>
        </w:rPr>
        <w:t xml:space="preserve"> </w:t>
      </w:r>
      <w:r>
        <w:rPr>
          <w:color w:val="231F20"/>
        </w:rPr>
        <w:t>of</w:t>
      </w:r>
      <w:r>
        <w:rPr>
          <w:color w:val="231F20"/>
          <w:spacing w:val="-28"/>
        </w:rPr>
        <w:t xml:space="preserve"> </w:t>
      </w:r>
      <w:r>
        <w:rPr>
          <w:color w:val="231F20"/>
        </w:rPr>
        <w:t>health workforce</w:t>
      </w:r>
    </w:p>
    <w:p w14:paraId="3446CC5F" w14:textId="77777777" w:rsidR="009948F1" w:rsidRDefault="00BC0563">
      <w:pPr>
        <w:pStyle w:val="ListParagraph"/>
        <w:numPr>
          <w:ilvl w:val="0"/>
          <w:numId w:val="306"/>
        </w:numPr>
        <w:tabs>
          <w:tab w:val="left" w:pos="863"/>
          <w:tab w:val="left" w:pos="864"/>
        </w:tabs>
        <w:spacing w:before="2"/>
        <w:ind w:hanging="721"/>
      </w:pPr>
      <w:r>
        <w:rPr>
          <w:color w:val="231F20"/>
        </w:rPr>
        <w:t>Increase</w:t>
      </w:r>
      <w:r>
        <w:rPr>
          <w:color w:val="231F20"/>
          <w:spacing w:val="-26"/>
        </w:rPr>
        <w:t xml:space="preserve"> </w:t>
      </w:r>
      <w:r>
        <w:rPr>
          <w:color w:val="231F20"/>
        </w:rPr>
        <w:t>funding</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sector</w:t>
      </w:r>
      <w:r>
        <w:rPr>
          <w:color w:val="231F20"/>
          <w:spacing w:val="-25"/>
        </w:rPr>
        <w:t xml:space="preserve"> </w:t>
      </w:r>
      <w:r>
        <w:rPr>
          <w:color w:val="231F20"/>
        </w:rPr>
        <w:t>and</w:t>
      </w:r>
      <w:r>
        <w:rPr>
          <w:color w:val="231F20"/>
          <w:spacing w:val="-25"/>
        </w:rPr>
        <w:t xml:space="preserve"> </w:t>
      </w:r>
      <w:r>
        <w:rPr>
          <w:color w:val="231F20"/>
        </w:rPr>
        <w:t>allocative</w:t>
      </w:r>
      <w:r>
        <w:rPr>
          <w:color w:val="231F20"/>
          <w:spacing w:val="36"/>
        </w:rPr>
        <w:t xml:space="preserve"> </w:t>
      </w:r>
      <w:r>
        <w:rPr>
          <w:color w:val="231F20"/>
        </w:rPr>
        <w:t>and</w:t>
      </w:r>
      <w:r>
        <w:rPr>
          <w:color w:val="231F20"/>
          <w:spacing w:val="-26"/>
        </w:rPr>
        <w:t xml:space="preserve"> </w:t>
      </w:r>
      <w:r>
        <w:rPr>
          <w:color w:val="231F20"/>
        </w:rPr>
        <w:t>technical</w:t>
      </w:r>
      <w:r>
        <w:rPr>
          <w:color w:val="231F20"/>
          <w:spacing w:val="-25"/>
        </w:rPr>
        <w:t xml:space="preserve"> </w:t>
      </w:r>
      <w:r>
        <w:rPr>
          <w:color w:val="231F20"/>
        </w:rPr>
        <w:t>efficiencies</w:t>
      </w:r>
    </w:p>
    <w:p w14:paraId="1B1B2252" w14:textId="77777777" w:rsidR="009948F1" w:rsidRDefault="00BC0563">
      <w:pPr>
        <w:pStyle w:val="ListParagraph"/>
        <w:numPr>
          <w:ilvl w:val="0"/>
          <w:numId w:val="306"/>
        </w:numPr>
        <w:tabs>
          <w:tab w:val="left" w:pos="863"/>
          <w:tab w:val="left" w:pos="864"/>
        </w:tabs>
        <w:spacing w:before="49" w:line="285" w:lineRule="auto"/>
        <w:ind w:right="184"/>
      </w:pPr>
      <w:r>
        <w:rPr>
          <w:color w:val="231F20"/>
        </w:rPr>
        <w:t>Improve sustained availability of medicines, vaccines, commodities and health technologies</w:t>
      </w:r>
    </w:p>
    <w:p w14:paraId="7B00626D" w14:textId="77777777" w:rsidR="009948F1" w:rsidRDefault="00BC0563">
      <w:pPr>
        <w:pStyle w:val="ListParagraph"/>
        <w:numPr>
          <w:ilvl w:val="0"/>
          <w:numId w:val="306"/>
        </w:numPr>
        <w:tabs>
          <w:tab w:val="left" w:pos="863"/>
          <w:tab w:val="left" w:pos="864"/>
        </w:tabs>
        <w:spacing w:before="2"/>
        <w:ind w:hanging="721"/>
      </w:pPr>
      <w:r>
        <w:rPr>
          <w:color w:val="231F20"/>
        </w:rPr>
        <w:t>Improve</w:t>
      </w:r>
      <w:r>
        <w:rPr>
          <w:color w:val="231F20"/>
          <w:spacing w:val="-26"/>
        </w:rPr>
        <w:t xml:space="preserve"> </w:t>
      </w:r>
      <w:r>
        <w:rPr>
          <w:color w:val="231F20"/>
        </w:rPr>
        <w:t>availability</w:t>
      </w:r>
      <w:r>
        <w:rPr>
          <w:color w:val="231F20"/>
          <w:spacing w:val="-25"/>
        </w:rPr>
        <w:t xml:space="preserve"> </w:t>
      </w:r>
      <w:r>
        <w:rPr>
          <w:color w:val="231F20"/>
        </w:rPr>
        <w:t>and</w:t>
      </w:r>
      <w:r>
        <w:rPr>
          <w:color w:val="231F20"/>
          <w:spacing w:val="-25"/>
        </w:rPr>
        <w:t xml:space="preserve"> </w:t>
      </w:r>
      <w:r>
        <w:rPr>
          <w:color w:val="231F20"/>
        </w:rPr>
        <w:t>distribution</w:t>
      </w:r>
      <w:r>
        <w:rPr>
          <w:color w:val="231F20"/>
          <w:spacing w:val="-25"/>
        </w:rPr>
        <w:t xml:space="preserve"> </w:t>
      </w:r>
      <w:r>
        <w:rPr>
          <w:color w:val="231F20"/>
        </w:rPr>
        <w:t>of</w:t>
      </w:r>
      <w:r>
        <w:rPr>
          <w:color w:val="231F20"/>
          <w:spacing w:val="-25"/>
        </w:rPr>
        <w:t xml:space="preserve"> </w:t>
      </w:r>
      <w:r>
        <w:rPr>
          <w:color w:val="231F20"/>
        </w:rPr>
        <w:t>functional</w:t>
      </w:r>
      <w:r>
        <w:rPr>
          <w:color w:val="231F20"/>
          <w:spacing w:val="-25"/>
        </w:rPr>
        <w:t xml:space="preserve"> </w:t>
      </w:r>
      <w:r>
        <w:rPr>
          <w:color w:val="231F20"/>
        </w:rPr>
        <w:t>infrastructure</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services</w:t>
      </w:r>
      <w:r>
        <w:rPr>
          <w:color w:val="231F20"/>
          <w:spacing w:val="-25"/>
        </w:rPr>
        <w:t xml:space="preserve"> </w:t>
      </w:r>
      <w:r>
        <w:rPr>
          <w:color w:val="231F20"/>
        </w:rPr>
        <w:t>delivery</w:t>
      </w:r>
    </w:p>
    <w:p w14:paraId="58CCEA1B" w14:textId="77777777" w:rsidR="009948F1" w:rsidRDefault="00BC0563">
      <w:pPr>
        <w:pStyle w:val="ListParagraph"/>
        <w:numPr>
          <w:ilvl w:val="0"/>
          <w:numId w:val="306"/>
        </w:numPr>
        <w:tabs>
          <w:tab w:val="left" w:pos="863"/>
          <w:tab w:val="left" w:pos="864"/>
        </w:tabs>
        <w:spacing w:before="48"/>
        <w:ind w:hanging="721"/>
      </w:pPr>
      <w:r>
        <w:rPr>
          <w:color w:val="231F20"/>
        </w:rPr>
        <w:t>Strengthen</w:t>
      </w:r>
      <w:r>
        <w:rPr>
          <w:color w:val="231F20"/>
          <w:spacing w:val="-26"/>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information</w:t>
      </w:r>
      <w:r>
        <w:rPr>
          <w:color w:val="231F20"/>
          <w:spacing w:val="-25"/>
        </w:rPr>
        <w:t xml:space="preserve"> </w:t>
      </w:r>
      <w:r>
        <w:rPr>
          <w:color w:val="231F20"/>
        </w:rPr>
        <w:t>system</w:t>
      </w:r>
      <w:r>
        <w:rPr>
          <w:color w:val="231F20"/>
          <w:spacing w:val="-25"/>
        </w:rPr>
        <w:t xml:space="preserve"> </w:t>
      </w:r>
      <w:r>
        <w:rPr>
          <w:color w:val="231F20"/>
        </w:rPr>
        <w:t>for</w:t>
      </w:r>
      <w:r>
        <w:rPr>
          <w:color w:val="231F20"/>
          <w:spacing w:val="-25"/>
        </w:rPr>
        <w:t xml:space="preserve"> </w:t>
      </w:r>
      <w:r>
        <w:rPr>
          <w:color w:val="231F20"/>
        </w:rPr>
        <w:t>timely</w:t>
      </w:r>
      <w:r>
        <w:rPr>
          <w:color w:val="231F20"/>
          <w:spacing w:val="-25"/>
        </w:rPr>
        <w:t xml:space="preserve"> </w:t>
      </w:r>
      <w:r>
        <w:rPr>
          <w:color w:val="231F20"/>
        </w:rPr>
        <w:t>evidence-based</w:t>
      </w:r>
      <w:r>
        <w:rPr>
          <w:color w:val="231F20"/>
          <w:spacing w:val="-25"/>
        </w:rPr>
        <w:t xml:space="preserve"> </w:t>
      </w:r>
      <w:r>
        <w:rPr>
          <w:color w:val="231F20"/>
        </w:rPr>
        <w:t>decision-making</w:t>
      </w:r>
    </w:p>
    <w:p w14:paraId="483DE70C" w14:textId="77777777" w:rsidR="009948F1" w:rsidRDefault="009948F1">
      <w:pPr>
        <w:pStyle w:val="BodyText"/>
        <w:spacing w:before="6"/>
        <w:rPr>
          <w:sz w:val="30"/>
        </w:rPr>
      </w:pPr>
    </w:p>
    <w:p w14:paraId="09D59E04" w14:textId="77777777" w:rsidR="009948F1" w:rsidRDefault="00BC0563">
      <w:pPr>
        <w:pStyle w:val="Heading7"/>
        <w:numPr>
          <w:ilvl w:val="0"/>
          <w:numId w:val="307"/>
        </w:numPr>
        <w:tabs>
          <w:tab w:val="left" w:pos="863"/>
          <w:tab w:val="left" w:pos="864"/>
        </w:tabs>
        <w:ind w:hanging="721"/>
      </w:pPr>
      <w:r>
        <w:rPr>
          <w:color w:val="231F20"/>
        </w:rPr>
        <w:t>Improve</w:t>
      </w:r>
      <w:r>
        <w:rPr>
          <w:color w:val="231F20"/>
          <w:spacing w:val="-25"/>
        </w:rPr>
        <w:t xml:space="preserve"> </w:t>
      </w:r>
      <w:r>
        <w:rPr>
          <w:color w:val="231F20"/>
        </w:rPr>
        <w:t>protection</w:t>
      </w:r>
      <w:r>
        <w:rPr>
          <w:color w:val="231F20"/>
          <w:spacing w:val="-25"/>
        </w:rPr>
        <w:t xml:space="preserve"> </w:t>
      </w:r>
      <w:r>
        <w:rPr>
          <w:color w:val="231F20"/>
        </w:rPr>
        <w:t>for</w:t>
      </w:r>
      <w:r>
        <w:rPr>
          <w:color w:val="231F20"/>
          <w:spacing w:val="-25"/>
        </w:rPr>
        <w:t xml:space="preserve"> </w:t>
      </w:r>
      <w:r>
        <w:rPr>
          <w:color w:val="231F20"/>
        </w:rPr>
        <w:t>health</w:t>
      </w:r>
      <w:r>
        <w:rPr>
          <w:color w:val="231F20"/>
          <w:spacing w:val="-26"/>
        </w:rPr>
        <w:t xml:space="preserve"> </w:t>
      </w:r>
      <w:r>
        <w:rPr>
          <w:color w:val="231F20"/>
        </w:rPr>
        <w:t>emergencies</w:t>
      </w:r>
      <w:r>
        <w:rPr>
          <w:color w:val="231F20"/>
          <w:spacing w:val="-25"/>
        </w:rPr>
        <w:t xml:space="preserve"> </w:t>
      </w:r>
      <w:r>
        <w:rPr>
          <w:color w:val="231F20"/>
        </w:rPr>
        <w:t>and</w:t>
      </w:r>
      <w:r>
        <w:rPr>
          <w:color w:val="231F20"/>
          <w:spacing w:val="-25"/>
        </w:rPr>
        <w:t xml:space="preserve"> </w:t>
      </w:r>
      <w:r>
        <w:rPr>
          <w:color w:val="231F20"/>
        </w:rPr>
        <w:t>risks:</w:t>
      </w:r>
    </w:p>
    <w:p w14:paraId="631BAD15" w14:textId="77777777" w:rsidR="009948F1" w:rsidRDefault="00BC0563">
      <w:pPr>
        <w:pStyle w:val="ListParagraph"/>
        <w:numPr>
          <w:ilvl w:val="0"/>
          <w:numId w:val="305"/>
        </w:numPr>
        <w:tabs>
          <w:tab w:val="left" w:pos="863"/>
          <w:tab w:val="left" w:pos="864"/>
        </w:tabs>
        <w:spacing w:before="49"/>
        <w:ind w:hanging="721"/>
      </w:pPr>
      <w:r>
        <w:rPr>
          <w:color w:val="231F20"/>
        </w:rPr>
        <w:t>Strengthen</w:t>
      </w:r>
      <w:r>
        <w:rPr>
          <w:color w:val="231F20"/>
          <w:spacing w:val="-26"/>
        </w:rPr>
        <w:t xml:space="preserve"> </w:t>
      </w:r>
      <w:r>
        <w:rPr>
          <w:color w:val="231F20"/>
        </w:rPr>
        <w:t>national</w:t>
      </w:r>
      <w:r>
        <w:rPr>
          <w:color w:val="231F20"/>
          <w:spacing w:val="-25"/>
        </w:rPr>
        <w:t xml:space="preserve"> </w:t>
      </w:r>
      <w:r>
        <w:rPr>
          <w:color w:val="231F20"/>
        </w:rPr>
        <w:t>surveillance</w:t>
      </w:r>
      <w:r>
        <w:rPr>
          <w:color w:val="231F20"/>
          <w:spacing w:val="-25"/>
        </w:rPr>
        <w:t xml:space="preserve"> </w:t>
      </w:r>
      <w:r>
        <w:rPr>
          <w:color w:val="231F20"/>
        </w:rPr>
        <w:t>system</w:t>
      </w:r>
      <w:r>
        <w:rPr>
          <w:color w:val="231F20"/>
          <w:spacing w:val="-25"/>
        </w:rPr>
        <w:t xml:space="preserve"> </w:t>
      </w:r>
      <w:r>
        <w:rPr>
          <w:color w:val="231F20"/>
        </w:rPr>
        <w:t>and</w:t>
      </w:r>
      <w:r>
        <w:rPr>
          <w:color w:val="231F20"/>
          <w:spacing w:val="-25"/>
        </w:rPr>
        <w:t xml:space="preserve"> </w:t>
      </w:r>
      <w:r>
        <w:rPr>
          <w:color w:val="231F20"/>
        </w:rPr>
        <w:t>early</w:t>
      </w:r>
      <w:r>
        <w:rPr>
          <w:color w:val="231F20"/>
          <w:spacing w:val="-25"/>
        </w:rPr>
        <w:t xml:space="preserve"> </w:t>
      </w:r>
      <w:r>
        <w:rPr>
          <w:color w:val="231F20"/>
        </w:rPr>
        <w:t>warning</w:t>
      </w:r>
      <w:r>
        <w:rPr>
          <w:color w:val="231F20"/>
          <w:spacing w:val="-25"/>
        </w:rPr>
        <w:t xml:space="preserve"> </w:t>
      </w:r>
      <w:r>
        <w:rPr>
          <w:color w:val="231F20"/>
        </w:rPr>
        <w:t>mechanisms</w:t>
      </w:r>
    </w:p>
    <w:p w14:paraId="37CBF039" w14:textId="77777777" w:rsidR="009948F1" w:rsidRDefault="00BC0563">
      <w:pPr>
        <w:pStyle w:val="ListParagraph"/>
        <w:numPr>
          <w:ilvl w:val="0"/>
          <w:numId w:val="305"/>
        </w:numPr>
        <w:tabs>
          <w:tab w:val="left" w:pos="863"/>
          <w:tab w:val="left" w:pos="864"/>
        </w:tabs>
        <w:spacing w:before="49"/>
        <w:ind w:hanging="721"/>
      </w:pPr>
      <w:r>
        <w:rPr>
          <w:color w:val="231F20"/>
        </w:rPr>
        <w:t>Strengthen</w:t>
      </w:r>
      <w:r>
        <w:rPr>
          <w:color w:val="231F20"/>
          <w:spacing w:val="-26"/>
        </w:rPr>
        <w:t xml:space="preserve"> </w:t>
      </w:r>
      <w:r>
        <w:rPr>
          <w:color w:val="231F20"/>
        </w:rPr>
        <w:t>mechanisms</w:t>
      </w:r>
      <w:r>
        <w:rPr>
          <w:color w:val="231F20"/>
          <w:spacing w:val="-25"/>
        </w:rPr>
        <w:t xml:space="preserve"> </w:t>
      </w:r>
      <w:r>
        <w:rPr>
          <w:color w:val="231F20"/>
        </w:rPr>
        <w:t>for</w:t>
      </w:r>
      <w:r>
        <w:rPr>
          <w:color w:val="231F20"/>
          <w:spacing w:val="-25"/>
        </w:rPr>
        <w:t xml:space="preserve"> </w:t>
      </w:r>
      <w:r>
        <w:rPr>
          <w:color w:val="231F20"/>
        </w:rPr>
        <w:t>timely</w:t>
      </w:r>
      <w:r>
        <w:rPr>
          <w:color w:val="231F20"/>
          <w:spacing w:val="-25"/>
        </w:rPr>
        <w:t xml:space="preserve"> </w:t>
      </w:r>
      <w:r>
        <w:rPr>
          <w:color w:val="231F20"/>
        </w:rPr>
        <w:t>response</w:t>
      </w:r>
      <w:r>
        <w:rPr>
          <w:color w:val="231F20"/>
          <w:spacing w:val="-25"/>
        </w:rPr>
        <w:t xml:space="preserve"> </w:t>
      </w:r>
      <w:r>
        <w:rPr>
          <w:color w:val="231F20"/>
        </w:rPr>
        <w:t>to</w:t>
      </w:r>
      <w:r>
        <w:rPr>
          <w:color w:val="231F20"/>
          <w:spacing w:val="-25"/>
        </w:rPr>
        <w:t xml:space="preserve"> </w:t>
      </w:r>
      <w:r>
        <w:rPr>
          <w:color w:val="231F20"/>
        </w:rPr>
        <w:t>public</w:t>
      </w:r>
      <w:r>
        <w:rPr>
          <w:color w:val="231F20"/>
          <w:spacing w:val="-25"/>
        </w:rPr>
        <w:t xml:space="preserve"> </w:t>
      </w:r>
      <w:r>
        <w:rPr>
          <w:color w:val="231F20"/>
        </w:rPr>
        <w:t>health</w:t>
      </w:r>
      <w:r>
        <w:rPr>
          <w:color w:val="231F20"/>
          <w:spacing w:val="-25"/>
        </w:rPr>
        <w:t xml:space="preserve"> </w:t>
      </w:r>
      <w:r>
        <w:rPr>
          <w:color w:val="231F20"/>
        </w:rPr>
        <w:t>emergencies</w:t>
      </w:r>
    </w:p>
    <w:p w14:paraId="25CB7C45" w14:textId="77777777" w:rsidR="009948F1" w:rsidRDefault="009948F1">
      <w:pPr>
        <w:pStyle w:val="BodyText"/>
        <w:spacing w:before="5"/>
        <w:rPr>
          <w:sz w:val="30"/>
        </w:rPr>
      </w:pPr>
    </w:p>
    <w:p w14:paraId="0A6B3A70" w14:textId="77777777" w:rsidR="009948F1" w:rsidRDefault="00BC0563">
      <w:pPr>
        <w:pStyle w:val="Heading7"/>
        <w:numPr>
          <w:ilvl w:val="0"/>
          <w:numId w:val="307"/>
        </w:numPr>
        <w:tabs>
          <w:tab w:val="left" w:pos="863"/>
          <w:tab w:val="left" w:pos="864"/>
        </w:tabs>
        <w:spacing w:before="1"/>
        <w:ind w:hanging="721"/>
      </w:pPr>
      <w:r>
        <w:rPr>
          <w:color w:val="231F20"/>
        </w:rPr>
        <w:t>Enhance</w:t>
      </w:r>
      <w:r>
        <w:rPr>
          <w:color w:val="231F20"/>
          <w:spacing w:val="-25"/>
        </w:rPr>
        <w:t xml:space="preserve"> </w:t>
      </w:r>
      <w:r>
        <w:rPr>
          <w:color w:val="231F20"/>
        </w:rPr>
        <w:t>healthcare</w:t>
      </w:r>
      <w:r>
        <w:rPr>
          <w:color w:val="231F20"/>
          <w:spacing w:val="-25"/>
        </w:rPr>
        <w:t xml:space="preserve"> </w:t>
      </w:r>
      <w:r>
        <w:rPr>
          <w:color w:val="231F20"/>
        </w:rPr>
        <w:t>financial</w:t>
      </w:r>
      <w:r>
        <w:rPr>
          <w:color w:val="231F20"/>
          <w:spacing w:val="-25"/>
        </w:rPr>
        <w:t xml:space="preserve"> </w:t>
      </w:r>
      <w:r>
        <w:rPr>
          <w:color w:val="231F20"/>
        </w:rPr>
        <w:t>risk</w:t>
      </w:r>
      <w:r>
        <w:rPr>
          <w:color w:val="231F20"/>
          <w:spacing w:val="-25"/>
        </w:rPr>
        <w:t xml:space="preserve"> </w:t>
      </w:r>
      <w:r>
        <w:rPr>
          <w:color w:val="231F20"/>
        </w:rPr>
        <w:t>protection:</w:t>
      </w:r>
    </w:p>
    <w:p w14:paraId="4EAD8638" w14:textId="77777777" w:rsidR="009948F1" w:rsidRDefault="00BC0563">
      <w:pPr>
        <w:pStyle w:val="BodyText"/>
        <w:tabs>
          <w:tab w:val="left" w:pos="863"/>
        </w:tabs>
        <w:spacing w:before="48"/>
        <w:ind w:left="143"/>
      </w:pPr>
      <w:proofErr w:type="spellStart"/>
      <w:r>
        <w:rPr>
          <w:b/>
          <w:color w:val="231F20"/>
        </w:rPr>
        <w:t>i</w:t>
      </w:r>
      <w:proofErr w:type="spellEnd"/>
      <w:r>
        <w:rPr>
          <w:b/>
          <w:color w:val="231F20"/>
        </w:rPr>
        <w:t>.</w:t>
      </w:r>
      <w:r>
        <w:rPr>
          <w:b/>
          <w:color w:val="231F20"/>
        </w:rPr>
        <w:tab/>
      </w:r>
      <w:r>
        <w:rPr>
          <w:color w:val="231F20"/>
        </w:rPr>
        <w:t>Increase</w:t>
      </w:r>
      <w:r>
        <w:rPr>
          <w:color w:val="231F20"/>
          <w:spacing w:val="-25"/>
        </w:rPr>
        <w:t xml:space="preserve"> </w:t>
      </w:r>
      <w:r>
        <w:rPr>
          <w:color w:val="231F20"/>
        </w:rPr>
        <w:t>coverage</w:t>
      </w:r>
      <w:r>
        <w:rPr>
          <w:color w:val="231F20"/>
          <w:spacing w:val="-26"/>
        </w:rPr>
        <w:t xml:space="preserve"> </w:t>
      </w:r>
      <w:r>
        <w:rPr>
          <w:color w:val="231F20"/>
        </w:rPr>
        <w:t>with</w:t>
      </w:r>
      <w:r>
        <w:rPr>
          <w:color w:val="231F20"/>
          <w:spacing w:val="-25"/>
        </w:rPr>
        <w:t xml:space="preserve"> </w:t>
      </w:r>
      <w:r>
        <w:rPr>
          <w:color w:val="231F20"/>
        </w:rPr>
        <w:t>social</w:t>
      </w:r>
      <w:r>
        <w:rPr>
          <w:color w:val="231F20"/>
          <w:spacing w:val="-25"/>
        </w:rPr>
        <w:t xml:space="preserve"> </w:t>
      </w:r>
      <w:r>
        <w:rPr>
          <w:color w:val="231F20"/>
        </w:rPr>
        <w:t>health</w:t>
      </w:r>
      <w:r>
        <w:rPr>
          <w:color w:val="231F20"/>
          <w:spacing w:val="-25"/>
        </w:rPr>
        <w:t xml:space="preserve"> </w:t>
      </w:r>
      <w:r>
        <w:rPr>
          <w:color w:val="231F20"/>
        </w:rPr>
        <w:t>insurance</w:t>
      </w:r>
    </w:p>
    <w:p w14:paraId="720300A3" w14:textId="77777777" w:rsidR="009948F1" w:rsidRDefault="009948F1">
      <w:pPr>
        <w:pStyle w:val="BodyText"/>
        <w:spacing w:before="6"/>
        <w:rPr>
          <w:sz w:val="30"/>
        </w:rPr>
      </w:pPr>
    </w:p>
    <w:p w14:paraId="783C5570" w14:textId="77777777" w:rsidR="009948F1" w:rsidRDefault="00BC0563">
      <w:pPr>
        <w:pStyle w:val="Heading7"/>
        <w:numPr>
          <w:ilvl w:val="2"/>
          <w:numId w:val="304"/>
        </w:numPr>
        <w:tabs>
          <w:tab w:val="left" w:pos="731"/>
        </w:tabs>
        <w:jc w:val="both"/>
      </w:pPr>
      <w:r>
        <w:rPr>
          <w:color w:val="231F20"/>
        </w:rPr>
        <w:t>SSHDP</w:t>
      </w:r>
      <w:r>
        <w:rPr>
          <w:color w:val="231F20"/>
          <w:spacing w:val="-29"/>
        </w:rPr>
        <w:t xml:space="preserve"> </w:t>
      </w:r>
      <w:r>
        <w:rPr>
          <w:color w:val="231F20"/>
        </w:rPr>
        <w:t>Health</w:t>
      </w:r>
      <w:r>
        <w:rPr>
          <w:color w:val="231F20"/>
          <w:spacing w:val="-26"/>
        </w:rPr>
        <w:t xml:space="preserve"> </w:t>
      </w:r>
      <w:r>
        <w:rPr>
          <w:color w:val="231F20"/>
        </w:rPr>
        <w:t>Sector</w:t>
      </w:r>
      <w:r>
        <w:rPr>
          <w:color w:val="231F20"/>
          <w:spacing w:val="-25"/>
        </w:rPr>
        <w:t xml:space="preserve"> </w:t>
      </w:r>
      <w:r>
        <w:rPr>
          <w:color w:val="231F20"/>
        </w:rPr>
        <w:t>Priorities</w:t>
      </w:r>
    </w:p>
    <w:p w14:paraId="3DA69D01" w14:textId="77777777" w:rsidR="009948F1" w:rsidRDefault="00BC0563">
      <w:pPr>
        <w:pStyle w:val="BodyText"/>
        <w:spacing w:before="49" w:line="285" w:lineRule="auto"/>
        <w:ind w:left="863" w:right="183"/>
        <w:jc w:val="both"/>
      </w:pPr>
      <w:r>
        <w:rPr>
          <w:color w:val="231F20"/>
        </w:rPr>
        <w:t>The</w:t>
      </w:r>
      <w:r>
        <w:rPr>
          <w:color w:val="231F20"/>
          <w:spacing w:val="-7"/>
        </w:rPr>
        <w:t xml:space="preserve"> </w:t>
      </w:r>
      <w:r>
        <w:rPr>
          <w:color w:val="231F20"/>
        </w:rPr>
        <w:t>priorities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SSHDP</w:t>
      </w:r>
      <w:r>
        <w:rPr>
          <w:color w:val="231F20"/>
          <w:spacing w:val="-10"/>
        </w:rPr>
        <w:t xml:space="preserve"> </w:t>
      </w:r>
      <w:r>
        <w:rPr>
          <w:color w:val="231F20"/>
        </w:rPr>
        <w:t>II</w:t>
      </w:r>
      <w:r>
        <w:rPr>
          <w:color w:val="231F20"/>
          <w:spacing w:val="-6"/>
        </w:rPr>
        <w:t xml:space="preserve"> </w:t>
      </w:r>
      <w:r>
        <w:rPr>
          <w:color w:val="231F20"/>
        </w:rPr>
        <w:t>articulated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plan</w:t>
      </w:r>
      <w:r>
        <w:rPr>
          <w:color w:val="231F20"/>
          <w:spacing w:val="-6"/>
        </w:rPr>
        <w:t xml:space="preserve"> </w:t>
      </w:r>
      <w:r>
        <w:rPr>
          <w:color w:val="231F20"/>
        </w:rPr>
        <w:t>period</w:t>
      </w:r>
      <w:r>
        <w:rPr>
          <w:color w:val="231F20"/>
          <w:spacing w:val="-6"/>
        </w:rPr>
        <w:t xml:space="preserve"> </w:t>
      </w:r>
      <w:r>
        <w:rPr>
          <w:color w:val="231F20"/>
        </w:rPr>
        <w:t>2018</w:t>
      </w:r>
      <w:r>
        <w:rPr>
          <w:color w:val="231F20"/>
          <w:spacing w:val="-6"/>
        </w:rPr>
        <w:t xml:space="preserve"> </w:t>
      </w:r>
      <w:r>
        <w:rPr>
          <w:color w:val="231F20"/>
        </w:rPr>
        <w:t>to</w:t>
      </w:r>
      <w:r>
        <w:rPr>
          <w:color w:val="231F20"/>
          <w:spacing w:val="-6"/>
        </w:rPr>
        <w:t xml:space="preserve"> </w:t>
      </w:r>
      <w:r>
        <w:rPr>
          <w:color w:val="231F20"/>
        </w:rPr>
        <w:t>2022,</w:t>
      </w:r>
      <w:r>
        <w:rPr>
          <w:color w:val="231F20"/>
          <w:spacing w:val="-6"/>
        </w:rPr>
        <w:t xml:space="preserve"> </w:t>
      </w:r>
      <w:r>
        <w:rPr>
          <w:color w:val="231F20"/>
        </w:rPr>
        <w:t>as</w:t>
      </w:r>
      <w:r>
        <w:rPr>
          <w:color w:val="231F20"/>
          <w:spacing w:val="-6"/>
        </w:rPr>
        <w:t xml:space="preserve"> </w:t>
      </w:r>
      <w:r>
        <w:rPr>
          <w:color w:val="231F20"/>
        </w:rPr>
        <w:t>stated</w:t>
      </w:r>
      <w:r>
        <w:rPr>
          <w:color w:val="231F20"/>
          <w:spacing w:val="-6"/>
        </w:rPr>
        <w:t xml:space="preserve"> </w:t>
      </w:r>
      <w:r>
        <w:rPr>
          <w:color w:val="231F20"/>
        </w:rPr>
        <w:t>in</w:t>
      </w:r>
      <w:r>
        <w:rPr>
          <w:color w:val="231F20"/>
          <w:spacing w:val="-6"/>
        </w:rPr>
        <w:t xml:space="preserve"> </w:t>
      </w:r>
      <w:r>
        <w:rPr>
          <w:color w:val="231F20"/>
        </w:rPr>
        <w:t>the succeeding</w:t>
      </w:r>
      <w:r>
        <w:rPr>
          <w:color w:val="231F20"/>
          <w:spacing w:val="-17"/>
        </w:rPr>
        <w:t xml:space="preserve"> </w:t>
      </w:r>
      <w:r>
        <w:rPr>
          <w:color w:val="231F20"/>
        </w:rPr>
        <w:t>sections,</w:t>
      </w:r>
      <w:r>
        <w:rPr>
          <w:color w:val="231F20"/>
          <w:spacing w:val="-16"/>
        </w:rPr>
        <w:t xml:space="preserve"> </w:t>
      </w:r>
      <w:r>
        <w:rPr>
          <w:color w:val="231F20"/>
        </w:rPr>
        <w:t>are</w:t>
      </w:r>
      <w:r>
        <w:rPr>
          <w:color w:val="231F20"/>
          <w:spacing w:val="-16"/>
        </w:rPr>
        <w:t xml:space="preserve"> </w:t>
      </w:r>
      <w:r>
        <w:rPr>
          <w:color w:val="231F20"/>
        </w:rPr>
        <w:t>designed</w:t>
      </w:r>
      <w:r>
        <w:rPr>
          <w:color w:val="231F20"/>
          <w:spacing w:val="-16"/>
        </w:rPr>
        <w:t xml:space="preserve"> </w:t>
      </w:r>
      <w:r>
        <w:rPr>
          <w:color w:val="231F20"/>
        </w:rPr>
        <w:t>to</w:t>
      </w:r>
      <w:r>
        <w:rPr>
          <w:color w:val="231F20"/>
          <w:spacing w:val="-16"/>
        </w:rPr>
        <w:t xml:space="preserve"> </w:t>
      </w:r>
      <w:r>
        <w:rPr>
          <w:color w:val="231F20"/>
        </w:rPr>
        <w:t>address</w:t>
      </w:r>
      <w:r>
        <w:rPr>
          <w:color w:val="231F20"/>
          <w:spacing w:val="-16"/>
        </w:rPr>
        <w:t xml:space="preserve"> </w:t>
      </w:r>
      <w:r>
        <w:rPr>
          <w:color w:val="231F20"/>
        </w:rPr>
        <w:t>indicated</w:t>
      </w:r>
      <w:r>
        <w:rPr>
          <w:color w:val="231F20"/>
          <w:spacing w:val="-16"/>
        </w:rPr>
        <w:t xml:space="preserve"> </w:t>
      </w:r>
      <w:r>
        <w:rPr>
          <w:color w:val="231F20"/>
        </w:rPr>
        <w:t>contextual</w:t>
      </w:r>
      <w:r>
        <w:rPr>
          <w:color w:val="231F20"/>
          <w:spacing w:val="-16"/>
        </w:rPr>
        <w:t xml:space="preserve"> </w:t>
      </w:r>
      <w:r>
        <w:rPr>
          <w:color w:val="231F20"/>
        </w:rPr>
        <w:t>gaps</w:t>
      </w:r>
      <w:r>
        <w:rPr>
          <w:color w:val="231F20"/>
          <w:spacing w:val="-16"/>
        </w:rPr>
        <w:t xml:space="preserve"> </w:t>
      </w:r>
      <w:r>
        <w:rPr>
          <w:color w:val="231F20"/>
        </w:rPr>
        <w:t>in</w:t>
      </w:r>
      <w:r>
        <w:rPr>
          <w:color w:val="231F20"/>
          <w:spacing w:val="-17"/>
        </w:rPr>
        <w:t xml:space="preserve"> </w:t>
      </w:r>
      <w:r>
        <w:rPr>
          <w:color w:val="231F20"/>
        </w:rPr>
        <w:t>service</w:t>
      </w:r>
      <w:r>
        <w:rPr>
          <w:color w:val="231F20"/>
          <w:spacing w:val="-16"/>
        </w:rPr>
        <w:t xml:space="preserve"> </w:t>
      </w:r>
      <w:r>
        <w:rPr>
          <w:color w:val="231F20"/>
        </w:rPr>
        <w:t>delivery (scope</w:t>
      </w:r>
      <w:r>
        <w:rPr>
          <w:color w:val="231F20"/>
          <w:spacing w:val="-9"/>
        </w:rPr>
        <w:t xml:space="preserve"> </w:t>
      </w:r>
      <w:r>
        <w:rPr>
          <w:color w:val="231F20"/>
        </w:rPr>
        <w:t>and</w:t>
      </w:r>
      <w:r>
        <w:rPr>
          <w:color w:val="231F20"/>
          <w:spacing w:val="-10"/>
        </w:rPr>
        <w:t xml:space="preserve"> </w:t>
      </w:r>
      <w:r>
        <w:rPr>
          <w:color w:val="231F20"/>
        </w:rPr>
        <w:t>quality),</w:t>
      </w:r>
      <w:r>
        <w:rPr>
          <w:color w:val="231F20"/>
          <w:spacing w:val="-9"/>
        </w:rPr>
        <w:t xml:space="preserve"> </w:t>
      </w:r>
      <w:r>
        <w:rPr>
          <w:color w:val="231F20"/>
        </w:rPr>
        <w:t>improve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systems</w:t>
      </w:r>
      <w:r>
        <w:rPr>
          <w:color w:val="231F20"/>
          <w:spacing w:val="-10"/>
        </w:rPr>
        <w:t xml:space="preserve"> </w:t>
      </w:r>
      <w:r>
        <w:rPr>
          <w:color w:val="231F20"/>
        </w:rPr>
        <w:t>for</w:t>
      </w:r>
      <w:r>
        <w:rPr>
          <w:color w:val="231F20"/>
          <w:spacing w:val="-10"/>
        </w:rPr>
        <w:t xml:space="preserve"> </w:t>
      </w:r>
      <w:r>
        <w:rPr>
          <w:color w:val="231F20"/>
        </w:rPr>
        <w:t>delivery</w:t>
      </w:r>
      <w:r>
        <w:rPr>
          <w:color w:val="231F20"/>
          <w:spacing w:val="-9"/>
        </w:rPr>
        <w:t xml:space="preserve"> </w:t>
      </w:r>
      <w:r>
        <w:rPr>
          <w:color w:val="231F20"/>
        </w:rPr>
        <w:t>of</w:t>
      </w:r>
      <w:r>
        <w:rPr>
          <w:color w:val="231F20"/>
          <w:spacing w:val="-10"/>
        </w:rPr>
        <w:t xml:space="preserve"> </w:t>
      </w:r>
      <w:r>
        <w:rPr>
          <w:color w:val="231F20"/>
        </w:rPr>
        <w:t>health</w:t>
      </w:r>
      <w:r>
        <w:rPr>
          <w:color w:val="231F20"/>
          <w:spacing w:val="-9"/>
        </w:rPr>
        <w:t xml:space="preserve"> </w:t>
      </w:r>
      <w:r>
        <w:rPr>
          <w:color w:val="231F20"/>
        </w:rPr>
        <w:t>care</w:t>
      </w:r>
      <w:r>
        <w:rPr>
          <w:color w:val="231F20"/>
          <w:spacing w:val="-9"/>
        </w:rPr>
        <w:t xml:space="preserve"> </w:t>
      </w:r>
      <w:r>
        <w:rPr>
          <w:color w:val="231F20"/>
        </w:rPr>
        <w:t>services,</w:t>
      </w:r>
      <w:r>
        <w:rPr>
          <w:color w:val="231F20"/>
          <w:spacing w:val="-9"/>
        </w:rPr>
        <w:t xml:space="preserve"> </w:t>
      </w:r>
      <w:r>
        <w:rPr>
          <w:color w:val="231F20"/>
        </w:rPr>
        <w:t>as</w:t>
      </w:r>
      <w:r>
        <w:rPr>
          <w:color w:val="231F20"/>
          <w:spacing w:val="-9"/>
        </w:rPr>
        <w:t xml:space="preserve"> </w:t>
      </w:r>
      <w:r>
        <w:rPr>
          <w:color w:val="231F20"/>
        </w:rPr>
        <w:t>well</w:t>
      </w:r>
      <w:r>
        <w:rPr>
          <w:color w:val="231F20"/>
          <w:spacing w:val="-9"/>
        </w:rPr>
        <w:t xml:space="preserve"> </w:t>
      </w:r>
      <w:r>
        <w:rPr>
          <w:color w:val="231F20"/>
          <w:spacing w:val="-7"/>
        </w:rPr>
        <w:t xml:space="preserve">as </w:t>
      </w:r>
      <w:r>
        <w:rPr>
          <w:color w:val="231F20"/>
        </w:rPr>
        <w:t xml:space="preserve">promote reporting and use of evidence in planning and for improvements of plans </w:t>
      </w:r>
      <w:r>
        <w:rPr>
          <w:color w:val="231F20"/>
          <w:spacing w:val="-4"/>
        </w:rPr>
        <w:t>and</w:t>
      </w:r>
      <w:r>
        <w:rPr>
          <w:color w:val="231F20"/>
          <w:spacing w:val="53"/>
        </w:rPr>
        <w:t xml:space="preserve"> </w:t>
      </w:r>
      <w:r>
        <w:rPr>
          <w:color w:val="231F20"/>
        </w:rPr>
        <w:t>implementation.</w:t>
      </w:r>
    </w:p>
    <w:p w14:paraId="3BE1F7D2" w14:textId="77777777" w:rsidR="009948F1" w:rsidRDefault="009948F1">
      <w:pPr>
        <w:pStyle w:val="BodyText"/>
        <w:spacing w:before="5"/>
      </w:pPr>
    </w:p>
    <w:p w14:paraId="66ECFF90" w14:textId="77777777" w:rsidR="009948F1" w:rsidRDefault="00BC0563">
      <w:pPr>
        <w:pStyle w:val="Heading7"/>
        <w:numPr>
          <w:ilvl w:val="2"/>
          <w:numId w:val="304"/>
        </w:numPr>
        <w:tabs>
          <w:tab w:val="left" w:pos="864"/>
        </w:tabs>
        <w:spacing w:before="1"/>
        <w:ind w:left="863" w:hanging="721"/>
        <w:jc w:val="both"/>
      </w:pPr>
      <w:r>
        <w:rPr>
          <w:color w:val="231F20"/>
        </w:rPr>
        <w:t>Health</w:t>
      </w:r>
      <w:r>
        <w:rPr>
          <w:color w:val="231F20"/>
          <w:spacing w:val="-25"/>
        </w:rPr>
        <w:t xml:space="preserve"> </w:t>
      </w:r>
      <w:r>
        <w:rPr>
          <w:color w:val="231F20"/>
        </w:rPr>
        <w:t>Service</w:t>
      </w:r>
      <w:r>
        <w:rPr>
          <w:color w:val="231F20"/>
          <w:spacing w:val="-25"/>
        </w:rPr>
        <w:t xml:space="preserve"> </w:t>
      </w:r>
      <w:r>
        <w:rPr>
          <w:color w:val="231F20"/>
        </w:rPr>
        <w:t>Delivery</w:t>
      </w:r>
      <w:r>
        <w:rPr>
          <w:color w:val="231F20"/>
          <w:spacing w:val="-25"/>
        </w:rPr>
        <w:t xml:space="preserve"> </w:t>
      </w:r>
      <w:r>
        <w:rPr>
          <w:color w:val="231F20"/>
        </w:rPr>
        <w:t>Priorities:</w:t>
      </w:r>
    </w:p>
    <w:p w14:paraId="2D153412" w14:textId="77777777" w:rsidR="009948F1" w:rsidRDefault="00BC0563">
      <w:pPr>
        <w:pStyle w:val="ListParagraph"/>
        <w:numPr>
          <w:ilvl w:val="0"/>
          <w:numId w:val="303"/>
        </w:numPr>
        <w:tabs>
          <w:tab w:val="left" w:pos="864"/>
        </w:tabs>
        <w:spacing w:before="48"/>
        <w:ind w:hanging="295"/>
      </w:pPr>
      <w:r>
        <w:rPr>
          <w:color w:val="231F20"/>
        </w:rPr>
        <w:t>RMNCAH+</w:t>
      </w:r>
      <w:r>
        <w:rPr>
          <w:color w:val="231F20"/>
          <w:spacing w:val="-25"/>
        </w:rPr>
        <w:t xml:space="preserve"> </w:t>
      </w:r>
      <w:r>
        <w:rPr>
          <w:color w:val="231F20"/>
        </w:rPr>
        <w:t>Nutrition</w:t>
      </w:r>
    </w:p>
    <w:p w14:paraId="217B5A93" w14:textId="77777777" w:rsidR="009948F1" w:rsidRDefault="00BC0563">
      <w:pPr>
        <w:pStyle w:val="ListParagraph"/>
        <w:numPr>
          <w:ilvl w:val="0"/>
          <w:numId w:val="303"/>
        </w:numPr>
        <w:tabs>
          <w:tab w:val="left" w:pos="864"/>
        </w:tabs>
        <w:spacing w:before="49" w:line="285" w:lineRule="auto"/>
        <w:ind w:left="852" w:right="184" w:hanging="283"/>
      </w:pPr>
      <w:r>
        <w:rPr>
          <w:color w:val="231F20"/>
        </w:rPr>
        <w:t xml:space="preserve">Communicable diseases, including environmental health, health emergencies </w:t>
      </w:r>
      <w:r>
        <w:rPr>
          <w:color w:val="231F20"/>
          <w:spacing w:val="-6"/>
        </w:rPr>
        <w:t xml:space="preserve">and </w:t>
      </w:r>
      <w:r>
        <w:rPr>
          <w:color w:val="231F20"/>
        </w:rPr>
        <w:t>preparedness</w:t>
      </w:r>
      <w:r>
        <w:rPr>
          <w:color w:val="231F20"/>
          <w:spacing w:val="-26"/>
        </w:rPr>
        <w:t xml:space="preserve"> </w:t>
      </w:r>
      <w:r>
        <w:rPr>
          <w:color w:val="231F20"/>
        </w:rPr>
        <w:t>response,</w:t>
      </w:r>
      <w:r>
        <w:rPr>
          <w:color w:val="231F20"/>
          <w:spacing w:val="-25"/>
        </w:rPr>
        <w:t xml:space="preserve"> </w:t>
      </w:r>
      <w:r>
        <w:rPr>
          <w:color w:val="231F20"/>
        </w:rPr>
        <w:t>and</w:t>
      </w:r>
      <w:r>
        <w:rPr>
          <w:color w:val="231F20"/>
          <w:spacing w:val="-25"/>
        </w:rPr>
        <w:t xml:space="preserve"> </w:t>
      </w:r>
      <w:r>
        <w:rPr>
          <w:color w:val="231F20"/>
        </w:rPr>
        <w:t>neglected</w:t>
      </w:r>
      <w:r>
        <w:rPr>
          <w:color w:val="231F20"/>
          <w:spacing w:val="-25"/>
        </w:rPr>
        <w:t xml:space="preserve"> </w:t>
      </w:r>
      <w:r>
        <w:rPr>
          <w:color w:val="231F20"/>
        </w:rPr>
        <w:t>tropic</w:t>
      </w:r>
      <w:r>
        <w:rPr>
          <w:color w:val="231F20"/>
          <w:spacing w:val="-25"/>
        </w:rPr>
        <w:t xml:space="preserve"> </w:t>
      </w:r>
      <w:r>
        <w:rPr>
          <w:color w:val="231F20"/>
        </w:rPr>
        <w:t>diseases</w:t>
      </w:r>
      <w:r>
        <w:rPr>
          <w:color w:val="231F20"/>
          <w:spacing w:val="-25"/>
        </w:rPr>
        <w:t xml:space="preserve"> </w:t>
      </w:r>
      <w:r>
        <w:rPr>
          <w:color w:val="231F20"/>
        </w:rPr>
        <w:t>(NTDs)</w:t>
      </w:r>
    </w:p>
    <w:p w14:paraId="144E908C" w14:textId="77777777" w:rsidR="009948F1" w:rsidRDefault="00BC0563">
      <w:pPr>
        <w:pStyle w:val="ListParagraph"/>
        <w:numPr>
          <w:ilvl w:val="0"/>
          <w:numId w:val="303"/>
        </w:numPr>
        <w:tabs>
          <w:tab w:val="left" w:pos="864"/>
        </w:tabs>
        <w:spacing w:before="2"/>
        <w:ind w:hanging="295"/>
      </w:pPr>
      <w:r>
        <w:rPr>
          <w:color w:val="231F20"/>
        </w:rPr>
        <w:t>Non-</w:t>
      </w:r>
      <w:r>
        <w:rPr>
          <w:color w:val="231F20"/>
          <w:spacing w:val="-26"/>
        </w:rPr>
        <w:t xml:space="preserve"> </w:t>
      </w:r>
      <w:r>
        <w:rPr>
          <w:color w:val="231F20"/>
        </w:rPr>
        <w:t>communicable</w:t>
      </w:r>
      <w:r>
        <w:rPr>
          <w:color w:val="231F20"/>
          <w:spacing w:val="-25"/>
        </w:rPr>
        <w:t xml:space="preserve"> </w:t>
      </w:r>
      <w:r>
        <w:rPr>
          <w:color w:val="231F20"/>
        </w:rPr>
        <w:t>Diseases,</w:t>
      </w:r>
      <w:r>
        <w:rPr>
          <w:color w:val="231F20"/>
          <w:spacing w:val="-25"/>
        </w:rPr>
        <w:t xml:space="preserve"> </w:t>
      </w:r>
      <w:r>
        <w:rPr>
          <w:color w:val="231F20"/>
        </w:rPr>
        <w:t>including</w:t>
      </w:r>
      <w:r>
        <w:rPr>
          <w:color w:val="231F20"/>
          <w:spacing w:val="-25"/>
        </w:rPr>
        <w:t xml:space="preserve"> </w:t>
      </w:r>
      <w:r>
        <w:rPr>
          <w:color w:val="231F20"/>
        </w:rPr>
        <w:t>mental</w:t>
      </w:r>
      <w:r>
        <w:rPr>
          <w:color w:val="231F20"/>
          <w:spacing w:val="-25"/>
        </w:rPr>
        <w:t xml:space="preserve"> </w:t>
      </w:r>
      <w:r>
        <w:rPr>
          <w:color w:val="231F20"/>
        </w:rPr>
        <w:t>health,</w:t>
      </w:r>
      <w:r>
        <w:rPr>
          <w:color w:val="231F20"/>
          <w:spacing w:val="-25"/>
        </w:rPr>
        <w:t xml:space="preserve"> </w:t>
      </w:r>
      <w:r>
        <w:rPr>
          <w:color w:val="231F20"/>
        </w:rPr>
        <w:t>injuries,</w:t>
      </w:r>
      <w:r>
        <w:rPr>
          <w:color w:val="231F20"/>
          <w:spacing w:val="-25"/>
        </w:rPr>
        <w:t xml:space="preserve"> </w:t>
      </w:r>
      <w:r>
        <w:rPr>
          <w:color w:val="231F20"/>
        </w:rPr>
        <w:t>and</w:t>
      </w:r>
      <w:r>
        <w:rPr>
          <w:color w:val="231F20"/>
          <w:spacing w:val="-25"/>
        </w:rPr>
        <w:t xml:space="preserve"> </w:t>
      </w:r>
      <w:r>
        <w:rPr>
          <w:color w:val="231F20"/>
        </w:rPr>
        <w:t>care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elderly</w:t>
      </w:r>
    </w:p>
    <w:p w14:paraId="250C07DA" w14:textId="77777777" w:rsidR="009948F1" w:rsidRDefault="009948F1">
      <w:pPr>
        <w:pStyle w:val="BodyText"/>
        <w:spacing w:before="4"/>
        <w:rPr>
          <w:sz w:val="26"/>
        </w:rPr>
      </w:pPr>
    </w:p>
    <w:p w14:paraId="59960A7D" w14:textId="77777777" w:rsidR="009948F1" w:rsidRDefault="00BC0563">
      <w:pPr>
        <w:pStyle w:val="Heading7"/>
        <w:numPr>
          <w:ilvl w:val="2"/>
          <w:numId w:val="304"/>
        </w:numPr>
        <w:tabs>
          <w:tab w:val="left" w:pos="863"/>
        </w:tabs>
        <w:ind w:left="863" w:hanging="721"/>
        <w:jc w:val="both"/>
      </w:pPr>
      <w:r>
        <w:rPr>
          <w:color w:val="231F20"/>
        </w:rPr>
        <w:t>Health</w:t>
      </w:r>
      <w:r>
        <w:rPr>
          <w:color w:val="231F20"/>
          <w:spacing w:val="-25"/>
        </w:rPr>
        <w:t xml:space="preserve"> </w:t>
      </w:r>
      <w:r>
        <w:rPr>
          <w:color w:val="231F20"/>
        </w:rPr>
        <w:t>System</w:t>
      </w:r>
      <w:r>
        <w:rPr>
          <w:color w:val="231F20"/>
          <w:spacing w:val="-25"/>
        </w:rPr>
        <w:t xml:space="preserve"> </w:t>
      </w:r>
      <w:r>
        <w:rPr>
          <w:color w:val="231F20"/>
        </w:rPr>
        <w:t>Strengthening</w:t>
      </w:r>
      <w:r>
        <w:rPr>
          <w:color w:val="231F20"/>
          <w:spacing w:val="-25"/>
        </w:rPr>
        <w:t xml:space="preserve"> </w:t>
      </w:r>
      <w:r>
        <w:rPr>
          <w:color w:val="231F20"/>
        </w:rPr>
        <w:t>Priorities</w:t>
      </w:r>
    </w:p>
    <w:p w14:paraId="6C1D4482" w14:textId="77777777" w:rsidR="009948F1" w:rsidRDefault="00BC0563">
      <w:pPr>
        <w:pStyle w:val="BodyText"/>
        <w:spacing w:before="49" w:line="285" w:lineRule="auto"/>
        <w:ind w:left="862" w:right="184"/>
        <w:jc w:val="both"/>
      </w:pPr>
      <w:r>
        <w:rPr>
          <w:color w:val="231F20"/>
        </w:rPr>
        <w:t>Given major weaknesses in all domains of the health system, the plan provides for strengthening of health financing, human resources for health, health infrastructure, information</w:t>
      </w:r>
      <w:r>
        <w:rPr>
          <w:color w:val="231F20"/>
          <w:spacing w:val="-15"/>
        </w:rPr>
        <w:t xml:space="preserve"> </w:t>
      </w:r>
      <w:r>
        <w:rPr>
          <w:color w:val="231F20"/>
        </w:rPr>
        <w:t>management</w:t>
      </w:r>
      <w:r>
        <w:rPr>
          <w:color w:val="231F20"/>
          <w:spacing w:val="-15"/>
        </w:rPr>
        <w:t xml:space="preserve"> </w:t>
      </w:r>
      <w:r>
        <w:rPr>
          <w:color w:val="231F20"/>
        </w:rPr>
        <w:t>system.</w:t>
      </w:r>
      <w:r>
        <w:rPr>
          <w:color w:val="231F20"/>
          <w:spacing w:val="-15"/>
        </w:rPr>
        <w:t xml:space="preserve"> </w:t>
      </w:r>
      <w:r>
        <w:rPr>
          <w:color w:val="231F20"/>
        </w:rPr>
        <w:t>In</w:t>
      </w:r>
      <w:r>
        <w:rPr>
          <w:color w:val="231F20"/>
          <w:spacing w:val="-15"/>
        </w:rPr>
        <w:t xml:space="preserve"> </w:t>
      </w:r>
      <w:r>
        <w:rPr>
          <w:color w:val="231F20"/>
        </w:rPr>
        <w:t>addition,</w:t>
      </w:r>
      <w:r>
        <w:rPr>
          <w:color w:val="231F20"/>
          <w:spacing w:val="-15"/>
        </w:rPr>
        <w:t xml:space="preserve"> </w:t>
      </w:r>
      <w:r>
        <w:rPr>
          <w:color w:val="231F20"/>
        </w:rPr>
        <w:t>improvements</w:t>
      </w:r>
      <w:r>
        <w:rPr>
          <w:color w:val="231F20"/>
          <w:spacing w:val="-15"/>
        </w:rPr>
        <w:t xml:space="preserve"> </w:t>
      </w:r>
      <w:r>
        <w:rPr>
          <w:color w:val="231F20"/>
        </w:rPr>
        <w:t>in</w:t>
      </w:r>
      <w:r>
        <w:rPr>
          <w:color w:val="231F20"/>
          <w:spacing w:val="-15"/>
        </w:rPr>
        <w:t xml:space="preserve"> </w:t>
      </w:r>
      <w:r>
        <w:rPr>
          <w:color w:val="231F20"/>
        </w:rPr>
        <w:t>partnerships</w:t>
      </w:r>
      <w:r>
        <w:rPr>
          <w:color w:val="231F20"/>
          <w:spacing w:val="-15"/>
        </w:rPr>
        <w:t xml:space="preserve"> </w:t>
      </w:r>
      <w:r>
        <w:rPr>
          <w:color w:val="231F20"/>
        </w:rPr>
        <w:t>for</w:t>
      </w:r>
      <w:r>
        <w:rPr>
          <w:color w:val="231F20"/>
          <w:spacing w:val="-15"/>
        </w:rPr>
        <w:t xml:space="preserve"> </w:t>
      </w:r>
      <w:r>
        <w:rPr>
          <w:color w:val="231F20"/>
        </w:rPr>
        <w:t>health,</w:t>
      </w:r>
      <w:r>
        <w:rPr>
          <w:color w:val="231F20"/>
          <w:spacing w:val="-15"/>
        </w:rPr>
        <w:t xml:space="preserve"> </w:t>
      </w:r>
      <w:r>
        <w:rPr>
          <w:color w:val="231F20"/>
          <w:spacing w:val="-5"/>
        </w:rPr>
        <w:t xml:space="preserve">and </w:t>
      </w:r>
      <w:r>
        <w:rPr>
          <w:color w:val="231F20"/>
        </w:rPr>
        <w:t>community</w:t>
      </w:r>
      <w:r>
        <w:rPr>
          <w:color w:val="231F20"/>
          <w:spacing w:val="-26"/>
        </w:rPr>
        <w:t xml:space="preserve"> </w:t>
      </w:r>
      <w:r>
        <w:rPr>
          <w:color w:val="231F20"/>
        </w:rPr>
        <w:t>participation</w:t>
      </w:r>
      <w:r>
        <w:rPr>
          <w:color w:val="231F20"/>
          <w:spacing w:val="-25"/>
        </w:rPr>
        <w:t xml:space="preserve"> </w:t>
      </w:r>
      <w:r>
        <w:rPr>
          <w:color w:val="231F20"/>
        </w:rPr>
        <w:t>and</w:t>
      </w:r>
      <w:r>
        <w:rPr>
          <w:color w:val="231F20"/>
          <w:spacing w:val="-25"/>
        </w:rPr>
        <w:t xml:space="preserve"> </w:t>
      </w:r>
      <w:r>
        <w:rPr>
          <w:color w:val="231F20"/>
        </w:rPr>
        <w:t>ownership</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development</w:t>
      </w:r>
      <w:r>
        <w:rPr>
          <w:color w:val="231F20"/>
          <w:spacing w:val="-25"/>
        </w:rPr>
        <w:t xml:space="preserve"> </w:t>
      </w:r>
      <w:r>
        <w:rPr>
          <w:color w:val="231F20"/>
        </w:rPr>
        <w:t>were</w:t>
      </w:r>
      <w:r>
        <w:rPr>
          <w:color w:val="231F20"/>
          <w:spacing w:val="-25"/>
        </w:rPr>
        <w:t xml:space="preserve"> </w:t>
      </w:r>
      <w:r>
        <w:rPr>
          <w:color w:val="231F20"/>
        </w:rPr>
        <w:t>included.</w:t>
      </w:r>
    </w:p>
    <w:p w14:paraId="39DA2D08" w14:textId="77777777" w:rsidR="009948F1" w:rsidRDefault="009948F1">
      <w:pPr>
        <w:pStyle w:val="BodyText"/>
        <w:spacing w:before="6"/>
        <w:rPr>
          <w:sz w:val="26"/>
        </w:rPr>
      </w:pPr>
    </w:p>
    <w:p w14:paraId="01FE64DA" w14:textId="77777777" w:rsidR="009948F1" w:rsidRDefault="00BC0563">
      <w:pPr>
        <w:pStyle w:val="ListParagraph"/>
        <w:numPr>
          <w:ilvl w:val="0"/>
          <w:numId w:val="302"/>
        </w:numPr>
        <w:tabs>
          <w:tab w:val="left" w:pos="863"/>
        </w:tabs>
        <w:ind w:hanging="721"/>
      </w:pPr>
      <w:r>
        <w:rPr>
          <w:color w:val="231F20"/>
        </w:rPr>
        <w:t>Leadership</w:t>
      </w:r>
      <w:r>
        <w:rPr>
          <w:color w:val="231F20"/>
          <w:spacing w:val="-26"/>
        </w:rPr>
        <w:t xml:space="preserve"> </w:t>
      </w:r>
      <w:r>
        <w:rPr>
          <w:color w:val="231F20"/>
        </w:rPr>
        <w:t>and</w:t>
      </w:r>
      <w:r>
        <w:rPr>
          <w:color w:val="231F20"/>
          <w:spacing w:val="-25"/>
        </w:rPr>
        <w:t xml:space="preserve"> </w:t>
      </w:r>
      <w:r>
        <w:rPr>
          <w:color w:val="231F20"/>
        </w:rPr>
        <w:t>governance:</w:t>
      </w:r>
      <w:r>
        <w:rPr>
          <w:color w:val="231F20"/>
          <w:spacing w:val="-25"/>
        </w:rPr>
        <w:t xml:space="preserve"> </w:t>
      </w:r>
      <w:r>
        <w:rPr>
          <w:color w:val="231F20"/>
        </w:rPr>
        <w:t>Emphasis</w:t>
      </w:r>
      <w:r>
        <w:rPr>
          <w:color w:val="231F20"/>
          <w:spacing w:val="-25"/>
        </w:rPr>
        <w:t xml:space="preserve"> </w:t>
      </w:r>
      <w:r>
        <w:rPr>
          <w:color w:val="231F20"/>
        </w:rPr>
        <w:t>will</w:t>
      </w:r>
      <w:r>
        <w:rPr>
          <w:color w:val="231F20"/>
          <w:spacing w:val="-25"/>
        </w:rPr>
        <w:t xml:space="preserve"> </w:t>
      </w:r>
      <w:r>
        <w:rPr>
          <w:color w:val="231F20"/>
        </w:rPr>
        <w:t>be</w:t>
      </w:r>
      <w:r>
        <w:rPr>
          <w:color w:val="231F20"/>
          <w:spacing w:val="-25"/>
        </w:rPr>
        <w:t xml:space="preserve"> </w:t>
      </w:r>
      <w:r>
        <w:rPr>
          <w:color w:val="231F20"/>
        </w:rPr>
        <w:t>on</w:t>
      </w:r>
      <w:r>
        <w:rPr>
          <w:color w:val="231F20"/>
          <w:spacing w:val="-25"/>
        </w:rPr>
        <w:t xml:space="preserve"> </w:t>
      </w:r>
      <w:r>
        <w:rPr>
          <w:color w:val="231F20"/>
        </w:rPr>
        <w:t>strengthening</w:t>
      </w:r>
      <w:r>
        <w:rPr>
          <w:color w:val="231F20"/>
          <w:spacing w:val="-25"/>
        </w:rPr>
        <w:t xml:space="preserve"> </w:t>
      </w:r>
      <w:r>
        <w:rPr>
          <w:color w:val="231F20"/>
        </w:rPr>
        <w:t>coordination</w:t>
      </w:r>
    </w:p>
    <w:p w14:paraId="176FA39D" w14:textId="77777777" w:rsidR="009948F1" w:rsidRDefault="00BC0563">
      <w:pPr>
        <w:pStyle w:val="BodyText"/>
        <w:spacing w:before="49" w:line="285" w:lineRule="auto"/>
        <w:ind w:left="862" w:right="184"/>
        <w:jc w:val="both"/>
      </w:pPr>
      <w:r>
        <w:rPr>
          <w:color w:val="231F20"/>
        </w:rPr>
        <w:t>of</w:t>
      </w:r>
      <w:r>
        <w:rPr>
          <w:color w:val="231F20"/>
          <w:spacing w:val="-16"/>
        </w:rPr>
        <w:t xml:space="preserve"> </w:t>
      </w:r>
      <w:r>
        <w:rPr>
          <w:color w:val="231F20"/>
        </w:rPr>
        <w:t>regulatory</w:t>
      </w:r>
      <w:r>
        <w:rPr>
          <w:color w:val="231F20"/>
          <w:spacing w:val="-15"/>
        </w:rPr>
        <w:t xml:space="preserve"> </w:t>
      </w:r>
      <w:r>
        <w:rPr>
          <w:color w:val="231F20"/>
        </w:rPr>
        <w:t>institutions</w:t>
      </w:r>
      <w:r>
        <w:rPr>
          <w:color w:val="231F20"/>
          <w:spacing w:val="-15"/>
        </w:rPr>
        <w:t xml:space="preserve"> </w:t>
      </w:r>
      <w:r>
        <w:rPr>
          <w:color w:val="231F20"/>
        </w:rPr>
        <w:t>and</w:t>
      </w:r>
      <w:r>
        <w:rPr>
          <w:color w:val="231F20"/>
          <w:spacing w:val="-16"/>
        </w:rPr>
        <w:t xml:space="preserve"> </w:t>
      </w:r>
      <w:r>
        <w:rPr>
          <w:color w:val="231F20"/>
        </w:rPr>
        <w:t>processes</w:t>
      </w:r>
      <w:r>
        <w:rPr>
          <w:color w:val="231F20"/>
          <w:spacing w:val="-15"/>
        </w:rPr>
        <w:t xml:space="preserve"> </w:t>
      </w:r>
      <w:r>
        <w:rPr>
          <w:color w:val="231F20"/>
        </w:rPr>
        <w:t>aimed</w:t>
      </w:r>
      <w:r>
        <w:rPr>
          <w:color w:val="231F20"/>
          <w:spacing w:val="-15"/>
        </w:rPr>
        <w:t xml:space="preserve"> </w:t>
      </w:r>
      <w:r>
        <w:rPr>
          <w:color w:val="231F20"/>
        </w:rPr>
        <w:t>at</w:t>
      </w:r>
      <w:r>
        <w:rPr>
          <w:color w:val="231F20"/>
          <w:spacing w:val="-15"/>
        </w:rPr>
        <w:t xml:space="preserve"> </w:t>
      </w:r>
      <w:r>
        <w:rPr>
          <w:color w:val="231F20"/>
        </w:rPr>
        <w:t>reducing</w:t>
      </w:r>
      <w:r>
        <w:rPr>
          <w:color w:val="231F20"/>
          <w:spacing w:val="-16"/>
        </w:rPr>
        <w:t xml:space="preserve"> </w:t>
      </w:r>
      <w:r>
        <w:rPr>
          <w:color w:val="231F20"/>
        </w:rPr>
        <w:t>geographic</w:t>
      </w:r>
      <w:r>
        <w:rPr>
          <w:color w:val="231F20"/>
          <w:spacing w:val="-15"/>
        </w:rPr>
        <w:t xml:space="preserve"> </w:t>
      </w:r>
      <w:r>
        <w:rPr>
          <w:color w:val="231F20"/>
        </w:rPr>
        <w:t>and</w:t>
      </w:r>
      <w:r>
        <w:rPr>
          <w:color w:val="231F20"/>
          <w:spacing w:val="-15"/>
        </w:rPr>
        <w:t xml:space="preserve"> </w:t>
      </w:r>
      <w:r>
        <w:rPr>
          <w:color w:val="231F20"/>
        </w:rPr>
        <w:t>socio-economic barriers to</w:t>
      </w:r>
      <w:r>
        <w:rPr>
          <w:color w:val="231F20"/>
          <w:spacing w:val="-50"/>
        </w:rPr>
        <w:t xml:space="preserve"> </w:t>
      </w:r>
      <w:proofErr w:type="gramStart"/>
      <w:r>
        <w:rPr>
          <w:color w:val="231F20"/>
        </w:rPr>
        <w:t>access;</w:t>
      </w:r>
      <w:proofErr w:type="gramEnd"/>
    </w:p>
    <w:p w14:paraId="30E47C28" w14:textId="77777777" w:rsidR="009948F1" w:rsidRDefault="009948F1">
      <w:pPr>
        <w:pStyle w:val="BodyText"/>
        <w:spacing w:before="4"/>
        <w:rPr>
          <w:sz w:val="26"/>
        </w:rPr>
      </w:pPr>
    </w:p>
    <w:p w14:paraId="487BC4E6" w14:textId="77777777" w:rsidR="009948F1" w:rsidRDefault="00BC0563">
      <w:pPr>
        <w:pStyle w:val="ListParagraph"/>
        <w:numPr>
          <w:ilvl w:val="0"/>
          <w:numId w:val="302"/>
        </w:numPr>
        <w:tabs>
          <w:tab w:val="left" w:pos="862"/>
          <w:tab w:val="left" w:pos="863"/>
        </w:tabs>
        <w:spacing w:line="285" w:lineRule="auto"/>
        <w:ind w:right="184"/>
      </w:pPr>
      <w:r>
        <w:rPr>
          <w:color w:val="231F20"/>
        </w:rPr>
        <w:t>Community Participation and Ownership; The focus will be on deepening community participation and</w:t>
      </w:r>
      <w:r>
        <w:rPr>
          <w:color w:val="231F20"/>
          <w:spacing w:val="-50"/>
        </w:rPr>
        <w:t xml:space="preserve"> </w:t>
      </w:r>
      <w:r>
        <w:rPr>
          <w:color w:val="231F20"/>
        </w:rPr>
        <w:t>ownership</w:t>
      </w:r>
    </w:p>
    <w:p w14:paraId="4F3D9880" w14:textId="77777777" w:rsidR="009948F1" w:rsidRDefault="009948F1">
      <w:pPr>
        <w:pStyle w:val="BodyText"/>
        <w:spacing w:before="5"/>
        <w:rPr>
          <w:sz w:val="26"/>
        </w:rPr>
      </w:pPr>
    </w:p>
    <w:p w14:paraId="09104464" w14:textId="77777777" w:rsidR="009948F1" w:rsidRDefault="00BC0563">
      <w:pPr>
        <w:pStyle w:val="ListParagraph"/>
        <w:numPr>
          <w:ilvl w:val="0"/>
          <w:numId w:val="302"/>
        </w:numPr>
        <w:tabs>
          <w:tab w:val="left" w:pos="863"/>
        </w:tabs>
        <w:spacing w:line="285" w:lineRule="auto"/>
        <w:ind w:right="184"/>
      </w:pPr>
      <w:r>
        <w:rPr>
          <w:color w:val="231F20"/>
        </w:rPr>
        <w:t xml:space="preserve">Partnerships for Health; The emphasis will be on </w:t>
      </w:r>
      <w:r>
        <w:rPr>
          <w:i/>
          <w:color w:val="231F20"/>
        </w:rPr>
        <w:t xml:space="preserve">building and strengthening </w:t>
      </w:r>
      <w:r>
        <w:rPr>
          <w:color w:val="231F20"/>
          <w:spacing w:val="-2"/>
        </w:rPr>
        <w:t xml:space="preserve">collaborative </w:t>
      </w:r>
      <w:r>
        <w:rPr>
          <w:color w:val="231F20"/>
        </w:rPr>
        <w:t xml:space="preserve">mechanisms for involving all partners in the development and sustenance of the </w:t>
      </w:r>
      <w:r>
        <w:rPr>
          <w:color w:val="231F20"/>
          <w:spacing w:val="-3"/>
        </w:rPr>
        <w:t xml:space="preserve">health </w:t>
      </w:r>
      <w:r>
        <w:rPr>
          <w:color w:val="231F20"/>
        </w:rPr>
        <w:t>sector</w:t>
      </w:r>
    </w:p>
    <w:p w14:paraId="501C544B" w14:textId="77777777" w:rsidR="009948F1" w:rsidRDefault="009948F1">
      <w:pPr>
        <w:spacing w:line="285" w:lineRule="auto"/>
        <w:jc w:val="both"/>
        <w:sectPr w:rsidR="009948F1">
          <w:pgSz w:w="11910" w:h="16840"/>
          <w:pgMar w:top="1240" w:right="1080" w:bottom="1420" w:left="1120" w:header="0" w:footer="1235" w:gutter="0"/>
          <w:cols w:space="720"/>
        </w:sectPr>
      </w:pPr>
    </w:p>
    <w:p w14:paraId="69DAA247" w14:textId="77777777" w:rsidR="009948F1" w:rsidRDefault="00BC0563">
      <w:pPr>
        <w:pStyle w:val="ListParagraph"/>
        <w:numPr>
          <w:ilvl w:val="0"/>
          <w:numId w:val="302"/>
        </w:numPr>
        <w:tabs>
          <w:tab w:val="left" w:pos="860"/>
          <w:tab w:val="left" w:pos="861"/>
        </w:tabs>
        <w:spacing w:before="50"/>
        <w:ind w:left="860" w:hanging="721"/>
      </w:pPr>
      <w:bookmarkStart w:id="49" w:name="Page_35"/>
      <w:bookmarkEnd w:id="49"/>
      <w:r>
        <w:rPr>
          <w:color w:val="231F20"/>
        </w:rPr>
        <w:lastRenderedPageBreak/>
        <w:t>Reproductive,</w:t>
      </w:r>
      <w:r>
        <w:rPr>
          <w:color w:val="231F20"/>
          <w:spacing w:val="-26"/>
        </w:rPr>
        <w:t xml:space="preserve"> </w:t>
      </w:r>
      <w:r>
        <w:rPr>
          <w:color w:val="231F20"/>
        </w:rPr>
        <w:t>Maternal,</w:t>
      </w:r>
      <w:r>
        <w:rPr>
          <w:color w:val="231F20"/>
          <w:spacing w:val="-25"/>
        </w:rPr>
        <w:t xml:space="preserve"> </w:t>
      </w:r>
      <w:r>
        <w:rPr>
          <w:color w:val="231F20"/>
        </w:rPr>
        <w:t>Newborn,</w:t>
      </w:r>
      <w:r>
        <w:rPr>
          <w:color w:val="231F20"/>
          <w:spacing w:val="-25"/>
        </w:rPr>
        <w:t xml:space="preserve"> </w:t>
      </w:r>
      <w:r>
        <w:rPr>
          <w:color w:val="231F20"/>
        </w:rPr>
        <w:t>Child,</w:t>
      </w:r>
      <w:r>
        <w:rPr>
          <w:color w:val="231F20"/>
          <w:spacing w:val="-37"/>
        </w:rPr>
        <w:t xml:space="preserve"> </w:t>
      </w:r>
      <w:r>
        <w:rPr>
          <w:color w:val="231F20"/>
        </w:rPr>
        <w:t>Adolescent</w:t>
      </w:r>
      <w:r>
        <w:rPr>
          <w:color w:val="231F20"/>
          <w:spacing w:val="-25"/>
        </w:rPr>
        <w:t xml:space="preserve"> </w:t>
      </w:r>
      <w:r>
        <w:rPr>
          <w:color w:val="231F20"/>
        </w:rPr>
        <w:t>Health</w:t>
      </w:r>
      <w:r>
        <w:rPr>
          <w:color w:val="231F20"/>
          <w:spacing w:val="-25"/>
        </w:rPr>
        <w:t xml:space="preserve"> </w:t>
      </w:r>
      <w:r>
        <w:rPr>
          <w:color w:val="231F20"/>
        </w:rPr>
        <w:t>Services</w:t>
      </w:r>
      <w:r>
        <w:rPr>
          <w:color w:val="231F20"/>
          <w:spacing w:val="-25"/>
        </w:rPr>
        <w:t xml:space="preserve"> </w:t>
      </w:r>
      <w:r>
        <w:rPr>
          <w:color w:val="231F20"/>
        </w:rPr>
        <w:t>&amp;</w:t>
      </w:r>
      <w:r>
        <w:rPr>
          <w:color w:val="231F20"/>
          <w:spacing w:val="-25"/>
        </w:rPr>
        <w:t xml:space="preserve"> </w:t>
      </w:r>
      <w:r>
        <w:rPr>
          <w:color w:val="231F20"/>
        </w:rPr>
        <w:t>Nutrition</w:t>
      </w:r>
    </w:p>
    <w:p w14:paraId="03906041" w14:textId="77777777" w:rsidR="009948F1" w:rsidRDefault="00BC0563">
      <w:pPr>
        <w:pStyle w:val="ListParagraph"/>
        <w:numPr>
          <w:ilvl w:val="0"/>
          <w:numId w:val="302"/>
        </w:numPr>
        <w:tabs>
          <w:tab w:val="left" w:pos="860"/>
          <w:tab w:val="left" w:pos="861"/>
        </w:tabs>
        <w:spacing w:before="44" w:line="280" w:lineRule="auto"/>
        <w:ind w:left="860" w:right="186"/>
      </w:pPr>
      <w:r>
        <w:rPr>
          <w:color w:val="231F20"/>
        </w:rPr>
        <w:t xml:space="preserve">Communicable Diseases (Malaria, TB, </w:t>
      </w:r>
      <w:r>
        <w:rPr>
          <w:color w:val="231F20"/>
          <w:spacing w:val="-3"/>
        </w:rPr>
        <w:t xml:space="preserve">Leprosy, </w:t>
      </w:r>
      <w:r>
        <w:rPr>
          <w:color w:val="231F20"/>
        </w:rPr>
        <w:t xml:space="preserve">HIV/AIDS) And Neglected </w:t>
      </w:r>
      <w:r>
        <w:rPr>
          <w:color w:val="231F20"/>
          <w:spacing w:val="-4"/>
        </w:rPr>
        <w:t xml:space="preserve">Tropical </w:t>
      </w:r>
      <w:r>
        <w:rPr>
          <w:color w:val="231F20"/>
        </w:rPr>
        <w:t>Diseases</w:t>
      </w:r>
    </w:p>
    <w:p w14:paraId="54C944A6" w14:textId="77777777" w:rsidR="009948F1" w:rsidRDefault="00BC0563">
      <w:pPr>
        <w:pStyle w:val="ListParagraph"/>
        <w:numPr>
          <w:ilvl w:val="0"/>
          <w:numId w:val="302"/>
        </w:numPr>
        <w:tabs>
          <w:tab w:val="left" w:pos="860"/>
          <w:tab w:val="left" w:pos="861"/>
        </w:tabs>
        <w:spacing w:before="3" w:line="280" w:lineRule="auto"/>
        <w:ind w:left="860" w:right="186"/>
      </w:pPr>
      <w:r>
        <w:rPr>
          <w:color w:val="231F20"/>
        </w:rPr>
        <w:t xml:space="preserve">Non-Communicable Disease, Care of the </w:t>
      </w:r>
      <w:r>
        <w:rPr>
          <w:color w:val="231F20"/>
          <w:spacing w:val="-3"/>
        </w:rPr>
        <w:t xml:space="preserve">Elderly, </w:t>
      </w:r>
      <w:r>
        <w:rPr>
          <w:color w:val="231F20"/>
        </w:rPr>
        <w:t xml:space="preserve">Mental Health, Oral Health, </w:t>
      </w:r>
      <w:r>
        <w:rPr>
          <w:color w:val="231F20"/>
          <w:spacing w:val="-5"/>
        </w:rPr>
        <w:t xml:space="preserve">Eye </w:t>
      </w:r>
      <w:r>
        <w:rPr>
          <w:color w:val="231F20"/>
        </w:rPr>
        <w:t>Healthcare</w:t>
      </w:r>
    </w:p>
    <w:p w14:paraId="485B867F" w14:textId="77777777" w:rsidR="009948F1" w:rsidRDefault="00BC0563">
      <w:pPr>
        <w:pStyle w:val="ListParagraph"/>
        <w:numPr>
          <w:ilvl w:val="0"/>
          <w:numId w:val="302"/>
        </w:numPr>
        <w:tabs>
          <w:tab w:val="left" w:pos="860"/>
          <w:tab w:val="left" w:pos="861"/>
        </w:tabs>
        <w:spacing w:before="2"/>
        <w:ind w:left="860" w:hanging="721"/>
      </w:pPr>
      <w:r>
        <w:rPr>
          <w:color w:val="231F20"/>
        </w:rPr>
        <w:t>General</w:t>
      </w:r>
      <w:r>
        <w:rPr>
          <w:color w:val="231F20"/>
          <w:spacing w:val="-25"/>
        </w:rPr>
        <w:t xml:space="preserve"> </w:t>
      </w:r>
      <w:r>
        <w:rPr>
          <w:color w:val="231F20"/>
        </w:rPr>
        <w:t>and</w:t>
      </w:r>
      <w:r>
        <w:rPr>
          <w:color w:val="231F20"/>
          <w:spacing w:val="-25"/>
        </w:rPr>
        <w:t xml:space="preserve"> </w:t>
      </w:r>
      <w:r>
        <w:rPr>
          <w:color w:val="231F20"/>
        </w:rPr>
        <w:t>Emergency</w:t>
      </w:r>
      <w:r>
        <w:rPr>
          <w:color w:val="231F20"/>
          <w:spacing w:val="-26"/>
        </w:rPr>
        <w:t xml:space="preserve"> </w:t>
      </w:r>
      <w:r>
        <w:rPr>
          <w:color w:val="231F20"/>
        </w:rPr>
        <w:t>Health</w:t>
      </w:r>
      <w:r>
        <w:rPr>
          <w:color w:val="231F20"/>
          <w:spacing w:val="-25"/>
        </w:rPr>
        <w:t xml:space="preserve"> </w:t>
      </w:r>
      <w:r>
        <w:rPr>
          <w:color w:val="231F20"/>
        </w:rPr>
        <w:t>Services</w:t>
      </w:r>
    </w:p>
    <w:p w14:paraId="7A438914" w14:textId="77777777" w:rsidR="009948F1" w:rsidRDefault="00BC0563">
      <w:pPr>
        <w:pStyle w:val="ListParagraph"/>
        <w:numPr>
          <w:ilvl w:val="0"/>
          <w:numId w:val="302"/>
        </w:numPr>
        <w:tabs>
          <w:tab w:val="left" w:pos="860"/>
          <w:tab w:val="left" w:pos="861"/>
        </w:tabs>
        <w:spacing w:before="44"/>
        <w:ind w:left="860" w:hanging="721"/>
      </w:pPr>
      <w:r>
        <w:rPr>
          <w:color w:val="231F20"/>
        </w:rPr>
        <w:t>Health</w:t>
      </w:r>
      <w:r>
        <w:rPr>
          <w:color w:val="231F20"/>
          <w:spacing w:val="-26"/>
        </w:rPr>
        <w:t xml:space="preserve"> </w:t>
      </w:r>
      <w:r>
        <w:rPr>
          <w:color w:val="231F20"/>
        </w:rPr>
        <w:t>Promotion</w:t>
      </w:r>
      <w:r>
        <w:rPr>
          <w:color w:val="231F20"/>
          <w:spacing w:val="-25"/>
        </w:rPr>
        <w:t xml:space="preserve"> </w:t>
      </w:r>
      <w:r>
        <w:rPr>
          <w:color w:val="231F20"/>
        </w:rPr>
        <w:t>&amp;</w:t>
      </w:r>
      <w:r>
        <w:rPr>
          <w:color w:val="231F20"/>
          <w:spacing w:val="-25"/>
        </w:rPr>
        <w:t xml:space="preserve"> </w:t>
      </w:r>
      <w:r>
        <w:rPr>
          <w:color w:val="231F20"/>
        </w:rPr>
        <w:t>Social</w:t>
      </w:r>
      <w:r>
        <w:rPr>
          <w:color w:val="231F20"/>
          <w:spacing w:val="-25"/>
        </w:rPr>
        <w:t xml:space="preserve"> </w:t>
      </w:r>
      <w:r>
        <w:rPr>
          <w:color w:val="231F20"/>
        </w:rPr>
        <w:t>Determinants</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(Environmental</w:t>
      </w:r>
      <w:r>
        <w:rPr>
          <w:color w:val="231F20"/>
          <w:spacing w:val="-25"/>
        </w:rPr>
        <w:t xml:space="preserve"> </w:t>
      </w:r>
      <w:r>
        <w:rPr>
          <w:color w:val="231F20"/>
        </w:rPr>
        <w:t>Health)</w:t>
      </w:r>
    </w:p>
    <w:p w14:paraId="0BEEC765" w14:textId="77777777" w:rsidR="009948F1" w:rsidRDefault="00BC0563">
      <w:pPr>
        <w:pStyle w:val="ListParagraph"/>
        <w:numPr>
          <w:ilvl w:val="0"/>
          <w:numId w:val="302"/>
        </w:numPr>
        <w:tabs>
          <w:tab w:val="left" w:pos="861"/>
        </w:tabs>
        <w:spacing w:before="44" w:line="280" w:lineRule="auto"/>
        <w:ind w:left="860" w:right="186"/>
      </w:pPr>
      <w:r>
        <w:rPr>
          <w:color w:val="231F20"/>
        </w:rPr>
        <w:t>Health Human Resources: The emphasis will be to ensure availability and equitable distribution</w:t>
      </w:r>
      <w:r>
        <w:rPr>
          <w:color w:val="231F20"/>
          <w:spacing w:val="-14"/>
        </w:rPr>
        <w:t xml:space="preserve"> </w:t>
      </w:r>
      <w:r>
        <w:rPr>
          <w:color w:val="231F20"/>
        </w:rPr>
        <w:t>of</w:t>
      </w:r>
      <w:r>
        <w:rPr>
          <w:color w:val="231F20"/>
          <w:spacing w:val="-14"/>
        </w:rPr>
        <w:t xml:space="preserve"> </w:t>
      </w:r>
      <w:r>
        <w:rPr>
          <w:color w:val="231F20"/>
        </w:rPr>
        <w:t>productive,</w:t>
      </w:r>
      <w:r>
        <w:rPr>
          <w:color w:val="231F20"/>
          <w:spacing w:val="-14"/>
        </w:rPr>
        <w:t xml:space="preserve"> </w:t>
      </w:r>
      <w:r>
        <w:rPr>
          <w:color w:val="231F20"/>
        </w:rPr>
        <w:t>highly</w:t>
      </w:r>
      <w:r>
        <w:rPr>
          <w:color w:val="231F20"/>
          <w:spacing w:val="-14"/>
        </w:rPr>
        <w:t xml:space="preserve"> </w:t>
      </w:r>
      <w:r>
        <w:rPr>
          <w:color w:val="231F20"/>
        </w:rPr>
        <w:t>motivated,</w:t>
      </w:r>
      <w:r>
        <w:rPr>
          <w:color w:val="231F20"/>
          <w:spacing w:val="-13"/>
        </w:rPr>
        <w:t xml:space="preserve"> </w:t>
      </w:r>
      <w:r>
        <w:rPr>
          <w:color w:val="231F20"/>
        </w:rPr>
        <w:t>customer-</w:t>
      </w:r>
      <w:proofErr w:type="spellStart"/>
      <w:r>
        <w:rPr>
          <w:color w:val="231F20"/>
        </w:rPr>
        <w:t>centred</w:t>
      </w:r>
      <w:proofErr w:type="spellEnd"/>
      <w:r>
        <w:rPr>
          <w:color w:val="231F20"/>
          <w:spacing w:val="-14"/>
        </w:rPr>
        <w:t xml:space="preserve"> </w:t>
      </w:r>
      <w:r>
        <w:rPr>
          <w:color w:val="231F20"/>
        </w:rPr>
        <w:t>health</w:t>
      </w:r>
      <w:r>
        <w:rPr>
          <w:color w:val="231F20"/>
          <w:spacing w:val="-14"/>
        </w:rPr>
        <w:t xml:space="preserve"> </w:t>
      </w:r>
      <w:r>
        <w:rPr>
          <w:color w:val="231F20"/>
        </w:rPr>
        <w:t>workers,</w:t>
      </w:r>
      <w:r>
        <w:rPr>
          <w:color w:val="231F20"/>
          <w:spacing w:val="-14"/>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spacing w:val="-3"/>
        </w:rPr>
        <w:t xml:space="preserve">right </w:t>
      </w:r>
      <w:r>
        <w:rPr>
          <w:color w:val="231F20"/>
        </w:rPr>
        <w:t>skills</w:t>
      </w:r>
      <w:r>
        <w:rPr>
          <w:color w:val="231F20"/>
          <w:spacing w:val="-25"/>
        </w:rPr>
        <w:t xml:space="preserve"> </w:t>
      </w:r>
      <w:r>
        <w:rPr>
          <w:color w:val="231F20"/>
        </w:rPr>
        <w:t>and</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right</w:t>
      </w:r>
      <w:r>
        <w:rPr>
          <w:color w:val="231F20"/>
          <w:spacing w:val="-25"/>
        </w:rPr>
        <w:t xml:space="preserve"> </w:t>
      </w:r>
      <w:r>
        <w:rPr>
          <w:color w:val="231F20"/>
        </w:rPr>
        <w:t>mix;</w:t>
      </w:r>
    </w:p>
    <w:p w14:paraId="62641C5F" w14:textId="77777777" w:rsidR="009948F1" w:rsidRDefault="00BC0563">
      <w:pPr>
        <w:pStyle w:val="ListParagraph"/>
        <w:numPr>
          <w:ilvl w:val="0"/>
          <w:numId w:val="302"/>
        </w:numPr>
        <w:tabs>
          <w:tab w:val="left" w:pos="861"/>
        </w:tabs>
        <w:spacing w:before="4"/>
        <w:ind w:left="860" w:hanging="721"/>
      </w:pPr>
      <w:r>
        <w:rPr>
          <w:color w:val="231F20"/>
        </w:rPr>
        <w:t>Health</w:t>
      </w:r>
      <w:r>
        <w:rPr>
          <w:color w:val="231F20"/>
          <w:spacing w:val="-25"/>
        </w:rPr>
        <w:t xml:space="preserve"> </w:t>
      </w:r>
      <w:r>
        <w:rPr>
          <w:color w:val="231F20"/>
        </w:rPr>
        <w:t>Infrastructure</w:t>
      </w:r>
    </w:p>
    <w:p w14:paraId="35A14892" w14:textId="77777777" w:rsidR="009948F1" w:rsidRDefault="00BC0563">
      <w:pPr>
        <w:pStyle w:val="ListParagraph"/>
        <w:numPr>
          <w:ilvl w:val="0"/>
          <w:numId w:val="302"/>
        </w:numPr>
        <w:tabs>
          <w:tab w:val="left" w:pos="861"/>
        </w:tabs>
        <w:spacing w:before="44" w:line="280" w:lineRule="auto"/>
        <w:ind w:left="860" w:right="186"/>
      </w:pPr>
      <w:r>
        <w:rPr>
          <w:color w:val="231F20"/>
        </w:rPr>
        <w:t xml:space="preserve">Medicines, Vaccines, and other Health </w:t>
      </w:r>
      <w:r>
        <w:rPr>
          <w:color w:val="231F20"/>
          <w:spacing w:val="-3"/>
        </w:rPr>
        <w:t xml:space="preserve">Technologies </w:t>
      </w:r>
      <w:r>
        <w:rPr>
          <w:color w:val="231F20"/>
        </w:rPr>
        <w:t xml:space="preserve">and Supplies: The focus will be </w:t>
      </w:r>
      <w:r>
        <w:rPr>
          <w:color w:val="231F20"/>
          <w:spacing w:val="-7"/>
        </w:rPr>
        <w:t xml:space="preserve">on </w:t>
      </w:r>
      <w:r>
        <w:rPr>
          <w:color w:val="231F20"/>
        </w:rPr>
        <w:t>increasing access to safe, affordable and quality essential medicines vaccines</w:t>
      </w:r>
      <w:r>
        <w:rPr>
          <w:color w:val="231F20"/>
          <w:spacing w:val="-34"/>
        </w:rPr>
        <w:t xml:space="preserve"> </w:t>
      </w:r>
      <w:r>
        <w:rPr>
          <w:color w:val="231F20"/>
        </w:rPr>
        <w:t>equipment supplies</w:t>
      </w:r>
      <w:r>
        <w:rPr>
          <w:color w:val="231F20"/>
          <w:spacing w:val="-26"/>
        </w:rPr>
        <w:t xml:space="preserve"> </w:t>
      </w:r>
      <w:r>
        <w:rPr>
          <w:color w:val="231F20"/>
        </w:rPr>
        <w:t>through</w:t>
      </w:r>
      <w:r>
        <w:rPr>
          <w:color w:val="231F20"/>
          <w:spacing w:val="-25"/>
        </w:rPr>
        <w:t xml:space="preserve"> </w:t>
      </w:r>
      <w:r>
        <w:rPr>
          <w:color w:val="231F20"/>
        </w:rPr>
        <w:t>the</w:t>
      </w:r>
      <w:r>
        <w:rPr>
          <w:color w:val="231F20"/>
          <w:spacing w:val="-25"/>
        </w:rPr>
        <w:t xml:space="preserve"> </w:t>
      </w:r>
      <w:r>
        <w:rPr>
          <w:color w:val="231F20"/>
        </w:rPr>
        <w:t>building</w:t>
      </w:r>
      <w:r>
        <w:rPr>
          <w:color w:val="231F20"/>
          <w:spacing w:val="-25"/>
        </w:rPr>
        <w:t xml:space="preserve"> </w:t>
      </w:r>
      <w:r>
        <w:rPr>
          <w:color w:val="231F20"/>
        </w:rPr>
        <w:t>and</w:t>
      </w:r>
      <w:r>
        <w:rPr>
          <w:color w:val="231F20"/>
          <w:spacing w:val="-25"/>
        </w:rPr>
        <w:t xml:space="preserve"> </w:t>
      </w:r>
      <w:r>
        <w:rPr>
          <w:color w:val="231F20"/>
        </w:rPr>
        <w:t>maintaining</w:t>
      </w:r>
      <w:r>
        <w:rPr>
          <w:color w:val="231F20"/>
          <w:spacing w:val="-25"/>
        </w:rPr>
        <w:t xml:space="preserve"> </w:t>
      </w:r>
      <w:r>
        <w:rPr>
          <w:color w:val="231F20"/>
        </w:rPr>
        <w:t>of</w:t>
      </w:r>
      <w:r>
        <w:rPr>
          <w:color w:val="231F20"/>
          <w:spacing w:val="-25"/>
        </w:rPr>
        <w:t xml:space="preserve"> </w:t>
      </w:r>
      <w:r>
        <w:rPr>
          <w:color w:val="231F20"/>
        </w:rPr>
        <w:t>an</w:t>
      </w:r>
      <w:r>
        <w:rPr>
          <w:color w:val="231F20"/>
          <w:spacing w:val="-25"/>
        </w:rPr>
        <w:t xml:space="preserve"> </w:t>
      </w:r>
      <w:r>
        <w:rPr>
          <w:color w:val="231F20"/>
        </w:rPr>
        <w:t>integrated</w:t>
      </w:r>
      <w:r>
        <w:rPr>
          <w:color w:val="231F20"/>
          <w:spacing w:val="-25"/>
        </w:rPr>
        <w:t xml:space="preserve"> </w:t>
      </w:r>
      <w:r>
        <w:rPr>
          <w:color w:val="231F20"/>
        </w:rPr>
        <w:t>supply</w:t>
      </w:r>
      <w:r>
        <w:rPr>
          <w:color w:val="231F20"/>
          <w:spacing w:val="-25"/>
        </w:rPr>
        <w:t xml:space="preserve"> </w:t>
      </w:r>
      <w:r>
        <w:rPr>
          <w:color w:val="231F20"/>
        </w:rPr>
        <w:t>chain</w:t>
      </w:r>
      <w:r>
        <w:rPr>
          <w:color w:val="231F20"/>
          <w:spacing w:val="-25"/>
        </w:rPr>
        <w:t xml:space="preserve"> </w:t>
      </w:r>
      <w:r>
        <w:rPr>
          <w:color w:val="231F20"/>
        </w:rPr>
        <w:t>system.</w:t>
      </w:r>
    </w:p>
    <w:p w14:paraId="0769DDA3" w14:textId="77777777" w:rsidR="009948F1" w:rsidRDefault="00BC0563">
      <w:pPr>
        <w:pStyle w:val="ListParagraph"/>
        <w:numPr>
          <w:ilvl w:val="0"/>
          <w:numId w:val="302"/>
        </w:numPr>
        <w:tabs>
          <w:tab w:val="left" w:pos="860"/>
          <w:tab w:val="left" w:pos="861"/>
        </w:tabs>
        <w:spacing w:before="3" w:line="280" w:lineRule="auto"/>
        <w:ind w:left="860" w:right="1860"/>
      </w:pPr>
      <w:r>
        <w:rPr>
          <w:color w:val="231F20"/>
        </w:rPr>
        <w:t>Health</w:t>
      </w:r>
      <w:r>
        <w:rPr>
          <w:color w:val="231F20"/>
          <w:spacing w:val="-27"/>
        </w:rPr>
        <w:t xml:space="preserve"> </w:t>
      </w:r>
      <w:r>
        <w:rPr>
          <w:color w:val="231F20"/>
        </w:rPr>
        <w:t>Information</w:t>
      </w:r>
      <w:r>
        <w:rPr>
          <w:color w:val="231F20"/>
          <w:spacing w:val="-26"/>
        </w:rPr>
        <w:t xml:space="preserve"> </w:t>
      </w:r>
      <w:r>
        <w:rPr>
          <w:color w:val="231F20"/>
        </w:rPr>
        <w:t>System:</w:t>
      </w:r>
      <w:r>
        <w:rPr>
          <w:color w:val="231F20"/>
          <w:spacing w:val="-26"/>
        </w:rPr>
        <w:t xml:space="preserve"> </w:t>
      </w:r>
      <w:r>
        <w:rPr>
          <w:color w:val="231F20"/>
        </w:rPr>
        <w:t>Emphasis</w:t>
      </w:r>
      <w:r>
        <w:rPr>
          <w:color w:val="231F20"/>
          <w:spacing w:val="-26"/>
        </w:rPr>
        <w:t xml:space="preserve"> </w:t>
      </w:r>
      <w:r>
        <w:rPr>
          <w:color w:val="231F20"/>
        </w:rPr>
        <w:t>will</w:t>
      </w:r>
      <w:r>
        <w:rPr>
          <w:color w:val="231F20"/>
          <w:spacing w:val="-26"/>
        </w:rPr>
        <w:t xml:space="preserve"> </w:t>
      </w:r>
      <w:r>
        <w:rPr>
          <w:color w:val="231F20"/>
        </w:rPr>
        <w:t>be</w:t>
      </w:r>
      <w:r>
        <w:rPr>
          <w:color w:val="231F20"/>
          <w:spacing w:val="-26"/>
        </w:rPr>
        <w:t xml:space="preserve"> </w:t>
      </w:r>
      <w:r>
        <w:rPr>
          <w:color w:val="231F20"/>
        </w:rPr>
        <w:t>on</w:t>
      </w:r>
      <w:r>
        <w:rPr>
          <w:color w:val="231F20"/>
          <w:spacing w:val="-26"/>
        </w:rPr>
        <w:t xml:space="preserve"> </w:t>
      </w:r>
      <w:r>
        <w:rPr>
          <w:color w:val="231F20"/>
        </w:rPr>
        <w:t>ensuring</w:t>
      </w:r>
      <w:r>
        <w:rPr>
          <w:color w:val="231F20"/>
          <w:spacing w:val="-26"/>
        </w:rPr>
        <w:t xml:space="preserve"> </w:t>
      </w:r>
      <w:r>
        <w:rPr>
          <w:color w:val="231F20"/>
        </w:rPr>
        <w:t>that</w:t>
      </w:r>
      <w:r>
        <w:rPr>
          <w:color w:val="231F20"/>
          <w:spacing w:val="-26"/>
        </w:rPr>
        <w:t xml:space="preserve"> </w:t>
      </w:r>
      <w:r>
        <w:rPr>
          <w:color w:val="231F20"/>
        </w:rPr>
        <w:t>the</w:t>
      </w:r>
      <w:r>
        <w:rPr>
          <w:color w:val="231F20"/>
          <w:spacing w:val="-26"/>
        </w:rPr>
        <w:t xml:space="preserve"> </w:t>
      </w:r>
      <w:r>
        <w:rPr>
          <w:color w:val="231F20"/>
        </w:rPr>
        <w:t>National Health</w:t>
      </w:r>
      <w:r>
        <w:rPr>
          <w:color w:val="231F20"/>
          <w:spacing w:val="-26"/>
        </w:rPr>
        <w:t xml:space="preserve"> </w:t>
      </w:r>
      <w:r>
        <w:rPr>
          <w:color w:val="231F20"/>
        </w:rPr>
        <w:t>Information</w:t>
      </w:r>
      <w:r>
        <w:rPr>
          <w:color w:val="231F20"/>
          <w:spacing w:val="-25"/>
        </w:rPr>
        <w:t xml:space="preserve"> </w:t>
      </w:r>
      <w:r>
        <w:rPr>
          <w:color w:val="231F20"/>
        </w:rPr>
        <w:t>System</w:t>
      </w:r>
      <w:r>
        <w:rPr>
          <w:color w:val="231F20"/>
          <w:spacing w:val="-25"/>
        </w:rPr>
        <w:t xml:space="preserve"> </w:t>
      </w:r>
      <w:r>
        <w:rPr>
          <w:color w:val="231F20"/>
        </w:rPr>
        <w:t>promotes</w:t>
      </w:r>
      <w:r>
        <w:rPr>
          <w:color w:val="231F20"/>
          <w:spacing w:val="-25"/>
        </w:rPr>
        <w:t xml:space="preserve"> </w:t>
      </w:r>
      <w:r>
        <w:rPr>
          <w:color w:val="231F20"/>
        </w:rPr>
        <w:t>evidence-based</w:t>
      </w:r>
      <w:r>
        <w:rPr>
          <w:color w:val="231F20"/>
          <w:spacing w:val="-25"/>
        </w:rPr>
        <w:t xml:space="preserve"> </w:t>
      </w:r>
      <w:r>
        <w:rPr>
          <w:color w:val="231F20"/>
        </w:rPr>
        <w:t>decision</w:t>
      </w:r>
      <w:r>
        <w:rPr>
          <w:color w:val="231F20"/>
          <w:spacing w:val="-25"/>
        </w:rPr>
        <w:t xml:space="preserve"> </w:t>
      </w:r>
      <w:r>
        <w:rPr>
          <w:color w:val="231F20"/>
        </w:rPr>
        <w:t>making.</w:t>
      </w:r>
    </w:p>
    <w:p w14:paraId="03686C78" w14:textId="77777777" w:rsidR="009948F1" w:rsidRDefault="00BC0563">
      <w:pPr>
        <w:pStyle w:val="ListParagraph"/>
        <w:numPr>
          <w:ilvl w:val="0"/>
          <w:numId w:val="302"/>
        </w:numPr>
        <w:tabs>
          <w:tab w:val="left" w:pos="860"/>
          <w:tab w:val="left" w:pos="861"/>
        </w:tabs>
        <w:spacing w:before="3"/>
        <w:ind w:left="860" w:hanging="721"/>
      </w:pPr>
      <w:r>
        <w:rPr>
          <w:color w:val="231F20"/>
        </w:rPr>
        <w:t>Research and</w:t>
      </w:r>
      <w:r>
        <w:rPr>
          <w:color w:val="231F20"/>
          <w:spacing w:val="-50"/>
        </w:rPr>
        <w:t xml:space="preserve"> </w:t>
      </w:r>
      <w:r>
        <w:rPr>
          <w:color w:val="231F20"/>
        </w:rPr>
        <w:t>Development</w:t>
      </w:r>
    </w:p>
    <w:p w14:paraId="5815D830" w14:textId="77777777" w:rsidR="009948F1" w:rsidRDefault="00BC0563">
      <w:pPr>
        <w:pStyle w:val="ListParagraph"/>
        <w:numPr>
          <w:ilvl w:val="0"/>
          <w:numId w:val="302"/>
        </w:numPr>
        <w:tabs>
          <w:tab w:val="left" w:pos="860"/>
          <w:tab w:val="left" w:pos="861"/>
        </w:tabs>
        <w:spacing w:before="44"/>
        <w:ind w:left="860" w:hanging="721"/>
      </w:pPr>
      <w:r>
        <w:rPr>
          <w:color w:val="231F20"/>
        </w:rPr>
        <w:t>Public</w:t>
      </w:r>
      <w:r>
        <w:rPr>
          <w:color w:val="231F20"/>
          <w:spacing w:val="-26"/>
        </w:rPr>
        <w:t xml:space="preserve"> </w:t>
      </w:r>
      <w:r>
        <w:rPr>
          <w:color w:val="231F20"/>
        </w:rPr>
        <w:t>Health</w:t>
      </w:r>
      <w:r>
        <w:rPr>
          <w:color w:val="231F20"/>
          <w:spacing w:val="-25"/>
        </w:rPr>
        <w:t xml:space="preserve"> </w:t>
      </w:r>
      <w:r>
        <w:rPr>
          <w:color w:val="231F20"/>
        </w:rPr>
        <w:t>Emergencies:</w:t>
      </w:r>
      <w:r>
        <w:rPr>
          <w:color w:val="231F20"/>
          <w:spacing w:val="-25"/>
        </w:rPr>
        <w:t xml:space="preserve"> </w:t>
      </w:r>
      <w:r>
        <w:rPr>
          <w:color w:val="231F20"/>
        </w:rPr>
        <w:t>Preparedness</w:t>
      </w:r>
      <w:r>
        <w:rPr>
          <w:color w:val="231F20"/>
          <w:spacing w:val="-25"/>
        </w:rPr>
        <w:t xml:space="preserve"> </w:t>
      </w:r>
      <w:r>
        <w:rPr>
          <w:color w:val="231F20"/>
        </w:rPr>
        <w:t>and</w:t>
      </w:r>
      <w:r>
        <w:rPr>
          <w:color w:val="231F20"/>
          <w:spacing w:val="-25"/>
        </w:rPr>
        <w:t xml:space="preserve"> </w:t>
      </w:r>
      <w:r>
        <w:rPr>
          <w:color w:val="231F20"/>
        </w:rPr>
        <w:t>Response</w:t>
      </w:r>
    </w:p>
    <w:p w14:paraId="591383CD" w14:textId="77777777" w:rsidR="009948F1" w:rsidRDefault="00BC0563">
      <w:pPr>
        <w:pStyle w:val="ListParagraph"/>
        <w:numPr>
          <w:ilvl w:val="0"/>
          <w:numId w:val="302"/>
        </w:numPr>
        <w:tabs>
          <w:tab w:val="left" w:pos="861"/>
        </w:tabs>
        <w:spacing w:before="44" w:line="280" w:lineRule="auto"/>
        <w:ind w:left="860" w:right="186"/>
      </w:pPr>
      <w:r>
        <w:rPr>
          <w:color w:val="231F20"/>
        </w:rPr>
        <w:t>Health financing: The focus will be on increasing resource mobilization and public sector funding in line with the Abuja Declaration of improving equity and efficiency in resource allocation</w:t>
      </w:r>
      <w:r>
        <w:rPr>
          <w:color w:val="231F20"/>
          <w:spacing w:val="-5"/>
        </w:rPr>
        <w:t xml:space="preserve"> </w:t>
      </w:r>
      <w:r>
        <w:rPr>
          <w:color w:val="231F20"/>
        </w:rPr>
        <w:t>and</w:t>
      </w:r>
      <w:r>
        <w:rPr>
          <w:color w:val="231F20"/>
          <w:spacing w:val="-6"/>
        </w:rPr>
        <w:t xml:space="preserve"> </w:t>
      </w:r>
      <w:r>
        <w:rPr>
          <w:color w:val="231F20"/>
        </w:rPr>
        <w:t>utilization;</w:t>
      </w:r>
      <w:r>
        <w:rPr>
          <w:color w:val="231F20"/>
          <w:spacing w:val="-5"/>
        </w:rPr>
        <w:t xml:space="preserve"> </w:t>
      </w:r>
      <w:r>
        <w:rPr>
          <w:color w:val="231F20"/>
        </w:rPr>
        <w:t>improving</w:t>
      </w:r>
      <w:r>
        <w:rPr>
          <w:color w:val="231F20"/>
          <w:spacing w:val="-5"/>
        </w:rPr>
        <w:t xml:space="preserve"> </w:t>
      </w:r>
      <w:r>
        <w:rPr>
          <w:color w:val="231F20"/>
        </w:rPr>
        <w:t>PFM;</w:t>
      </w:r>
      <w:r>
        <w:rPr>
          <w:color w:val="231F20"/>
          <w:spacing w:val="-5"/>
        </w:rPr>
        <w:t xml:space="preserve"> </w:t>
      </w:r>
      <w:r>
        <w:rPr>
          <w:color w:val="231F20"/>
        </w:rPr>
        <w:t>increasing</w:t>
      </w:r>
      <w:r>
        <w:rPr>
          <w:color w:val="231F20"/>
          <w:spacing w:val="-5"/>
        </w:rPr>
        <w:t xml:space="preserve"> </w:t>
      </w:r>
      <w:r>
        <w:rPr>
          <w:color w:val="231F20"/>
        </w:rPr>
        <w:t>financial</w:t>
      </w:r>
      <w:r>
        <w:rPr>
          <w:color w:val="231F20"/>
          <w:spacing w:val="-5"/>
        </w:rPr>
        <w:t xml:space="preserve"> </w:t>
      </w:r>
      <w:r>
        <w:rPr>
          <w:color w:val="231F20"/>
        </w:rPr>
        <w:t>risk</w:t>
      </w:r>
      <w:r>
        <w:rPr>
          <w:color w:val="231F20"/>
          <w:spacing w:val="-5"/>
        </w:rPr>
        <w:t xml:space="preserve"> </w:t>
      </w:r>
      <w:r>
        <w:rPr>
          <w:color w:val="231F20"/>
        </w:rPr>
        <w:t>protection</w:t>
      </w:r>
      <w:r>
        <w:rPr>
          <w:color w:val="231F20"/>
          <w:spacing w:val="-5"/>
        </w:rPr>
        <w:t xml:space="preserve"> </w:t>
      </w:r>
      <w:r>
        <w:rPr>
          <w:color w:val="231F20"/>
        </w:rPr>
        <w:t>to</w:t>
      </w:r>
      <w:r>
        <w:rPr>
          <w:color w:val="231F20"/>
          <w:spacing w:val="-5"/>
        </w:rPr>
        <w:t xml:space="preserve"> </w:t>
      </w:r>
      <w:r>
        <w:rPr>
          <w:color w:val="231F20"/>
        </w:rPr>
        <w:t>reduce</w:t>
      </w:r>
      <w:r>
        <w:rPr>
          <w:color w:val="231F20"/>
          <w:spacing w:val="-5"/>
        </w:rPr>
        <w:t xml:space="preserve"> </w:t>
      </w:r>
      <w:r>
        <w:rPr>
          <w:color w:val="231F20"/>
          <w:spacing w:val="-4"/>
        </w:rPr>
        <w:t xml:space="preserve">out </w:t>
      </w:r>
      <w:r>
        <w:rPr>
          <w:color w:val="231F20"/>
        </w:rPr>
        <w:t>of</w:t>
      </w:r>
      <w:r>
        <w:rPr>
          <w:color w:val="231F20"/>
          <w:spacing w:val="-26"/>
        </w:rPr>
        <w:t xml:space="preserve"> </w:t>
      </w:r>
      <w:r>
        <w:rPr>
          <w:color w:val="231F20"/>
        </w:rPr>
        <w:t>pocket</w:t>
      </w:r>
      <w:r>
        <w:rPr>
          <w:color w:val="231F20"/>
          <w:spacing w:val="-25"/>
        </w:rPr>
        <w:t xml:space="preserve"> </w:t>
      </w:r>
      <w:r>
        <w:rPr>
          <w:color w:val="231F20"/>
        </w:rPr>
        <w:t>expenditure</w:t>
      </w:r>
      <w:r>
        <w:rPr>
          <w:color w:val="231F20"/>
          <w:spacing w:val="-25"/>
        </w:rPr>
        <w:t xml:space="preserve"> </w:t>
      </w:r>
      <w:r>
        <w:rPr>
          <w:color w:val="231F20"/>
        </w:rPr>
        <w:t>and</w:t>
      </w:r>
      <w:r>
        <w:rPr>
          <w:color w:val="231F20"/>
          <w:spacing w:val="-25"/>
        </w:rPr>
        <w:t xml:space="preserve"> </w:t>
      </w:r>
      <w:r>
        <w:rPr>
          <w:color w:val="231F20"/>
        </w:rPr>
        <w:t>rapid</w:t>
      </w:r>
      <w:r>
        <w:rPr>
          <w:color w:val="231F20"/>
          <w:spacing w:val="-25"/>
        </w:rPr>
        <w:t xml:space="preserve"> </w:t>
      </w:r>
      <w:r>
        <w:rPr>
          <w:color w:val="231F20"/>
        </w:rPr>
        <w:t>expansion</w:t>
      </w:r>
      <w:r>
        <w:rPr>
          <w:color w:val="231F20"/>
          <w:spacing w:val="-25"/>
        </w:rPr>
        <w:t xml:space="preserve"> </w:t>
      </w:r>
      <w:r>
        <w:rPr>
          <w:color w:val="231F20"/>
        </w:rPr>
        <w:t>of</w:t>
      </w:r>
      <w:r>
        <w:rPr>
          <w:color w:val="231F20"/>
          <w:spacing w:val="-25"/>
        </w:rPr>
        <w:t xml:space="preserve"> </w:t>
      </w:r>
      <w:r>
        <w:rPr>
          <w:color w:val="231F20"/>
        </w:rPr>
        <w:t>social</w:t>
      </w:r>
      <w:r>
        <w:rPr>
          <w:color w:val="231F20"/>
          <w:spacing w:val="-25"/>
        </w:rPr>
        <w:t xml:space="preserve"> </w:t>
      </w:r>
      <w:r>
        <w:rPr>
          <w:color w:val="231F20"/>
        </w:rPr>
        <w:t>health</w:t>
      </w:r>
      <w:r>
        <w:rPr>
          <w:color w:val="231F20"/>
          <w:spacing w:val="-25"/>
        </w:rPr>
        <w:t xml:space="preserve"> </w:t>
      </w:r>
      <w:r>
        <w:rPr>
          <w:color w:val="231F20"/>
        </w:rPr>
        <w:t>insurance</w:t>
      </w:r>
      <w:r>
        <w:rPr>
          <w:color w:val="231F20"/>
          <w:spacing w:val="-25"/>
        </w:rPr>
        <w:t xml:space="preserve"> </w:t>
      </w:r>
      <w:r>
        <w:rPr>
          <w:color w:val="231F20"/>
        </w:rPr>
        <w:t>coverage</w:t>
      </w:r>
    </w:p>
    <w:p w14:paraId="5CB42B8F" w14:textId="77777777" w:rsidR="009948F1" w:rsidRDefault="009948F1">
      <w:pPr>
        <w:pStyle w:val="BodyText"/>
        <w:spacing w:before="6"/>
      </w:pPr>
    </w:p>
    <w:p w14:paraId="06F7EFDC" w14:textId="77777777" w:rsidR="009948F1" w:rsidRDefault="00BC0563">
      <w:pPr>
        <w:pStyle w:val="Heading7"/>
        <w:ind w:left="140"/>
        <w:jc w:val="both"/>
      </w:pPr>
      <w:r>
        <w:rPr>
          <w:color w:val="231F20"/>
        </w:rPr>
        <w:t>Monitoring and Evaluation</w:t>
      </w:r>
    </w:p>
    <w:p w14:paraId="70B97567" w14:textId="77777777" w:rsidR="009948F1" w:rsidRDefault="00BC0563">
      <w:pPr>
        <w:pStyle w:val="BodyText"/>
        <w:spacing w:before="44" w:line="280" w:lineRule="auto"/>
        <w:ind w:left="140" w:right="186"/>
        <w:jc w:val="both"/>
      </w:pPr>
      <w:r>
        <w:rPr>
          <w:color w:val="231F20"/>
        </w:rPr>
        <w:t>Monitoring and Evaluation of this plan during the plan period shall focus on generating quality evidence for informed decision making across the health sector, and to track progress against targets</w:t>
      </w:r>
      <w:r>
        <w:rPr>
          <w:color w:val="231F20"/>
          <w:spacing w:val="-26"/>
        </w:rPr>
        <w:t xml:space="preserve"> </w:t>
      </w:r>
      <w:r>
        <w:rPr>
          <w:color w:val="231F20"/>
        </w:rPr>
        <w:t>as</w:t>
      </w:r>
      <w:r>
        <w:rPr>
          <w:color w:val="231F20"/>
          <w:spacing w:val="-25"/>
        </w:rPr>
        <w:t xml:space="preserve"> </w:t>
      </w:r>
      <w:r>
        <w:rPr>
          <w:color w:val="231F20"/>
        </w:rPr>
        <w:t>set</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SSHDP</w:t>
      </w:r>
      <w:r>
        <w:rPr>
          <w:color w:val="231F20"/>
          <w:spacing w:val="-29"/>
        </w:rPr>
        <w:t xml:space="preserve"> </w:t>
      </w:r>
      <w:r>
        <w:rPr>
          <w:color w:val="231F20"/>
        </w:rPr>
        <w:t>II.</w:t>
      </w:r>
      <w:r>
        <w:rPr>
          <w:color w:val="231F20"/>
          <w:spacing w:val="-37"/>
        </w:rPr>
        <w:t xml:space="preserve"> </w:t>
      </w:r>
      <w:r>
        <w:rPr>
          <w:color w:val="231F20"/>
        </w:rPr>
        <w:t>A</w:t>
      </w:r>
      <w:r>
        <w:rPr>
          <w:color w:val="231F20"/>
          <w:spacing w:val="-37"/>
        </w:rPr>
        <w:t xml:space="preserve"> </w:t>
      </w:r>
      <w:r>
        <w:rPr>
          <w:color w:val="231F20"/>
        </w:rPr>
        <w:t>separate</w:t>
      </w:r>
      <w:r>
        <w:rPr>
          <w:color w:val="231F20"/>
          <w:spacing w:val="-25"/>
        </w:rPr>
        <w:t xml:space="preserve"> </w:t>
      </w:r>
      <w:r>
        <w:rPr>
          <w:color w:val="231F20"/>
        </w:rPr>
        <w:t>volume</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M&amp;E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SSHDP</w:t>
      </w:r>
      <w:r>
        <w:rPr>
          <w:color w:val="231F20"/>
          <w:spacing w:val="-29"/>
        </w:rPr>
        <w:t xml:space="preserve"> </w:t>
      </w:r>
      <w:r>
        <w:rPr>
          <w:color w:val="231F20"/>
        </w:rPr>
        <w:t>II</w:t>
      </w:r>
      <w:r>
        <w:rPr>
          <w:color w:val="231F20"/>
          <w:spacing w:val="-25"/>
        </w:rPr>
        <w:t xml:space="preserve"> </w:t>
      </w:r>
      <w:r>
        <w:rPr>
          <w:color w:val="231F20"/>
        </w:rPr>
        <w:t>has</w:t>
      </w:r>
      <w:r>
        <w:rPr>
          <w:color w:val="231F20"/>
          <w:spacing w:val="-25"/>
        </w:rPr>
        <w:t xml:space="preserve"> </w:t>
      </w:r>
      <w:r>
        <w:rPr>
          <w:color w:val="231F20"/>
        </w:rPr>
        <w:t>been</w:t>
      </w:r>
      <w:r>
        <w:rPr>
          <w:color w:val="231F20"/>
          <w:spacing w:val="-25"/>
        </w:rPr>
        <w:t xml:space="preserve"> </w:t>
      </w:r>
      <w:r>
        <w:rPr>
          <w:color w:val="231F20"/>
        </w:rPr>
        <w:t>developed.</w:t>
      </w:r>
    </w:p>
    <w:p w14:paraId="15D9F040" w14:textId="77777777" w:rsidR="009948F1" w:rsidRDefault="009948F1">
      <w:pPr>
        <w:pStyle w:val="BodyText"/>
        <w:spacing w:before="2"/>
        <w:rPr>
          <w:sz w:val="26"/>
        </w:rPr>
      </w:pPr>
    </w:p>
    <w:p w14:paraId="64E2763A" w14:textId="77777777" w:rsidR="009948F1" w:rsidRDefault="00BC0563">
      <w:pPr>
        <w:pStyle w:val="Heading7"/>
        <w:numPr>
          <w:ilvl w:val="2"/>
          <w:numId w:val="304"/>
        </w:numPr>
        <w:tabs>
          <w:tab w:val="left" w:pos="728"/>
        </w:tabs>
        <w:ind w:left="727"/>
      </w:pPr>
      <w:r>
        <w:rPr>
          <w:color w:val="231F20"/>
        </w:rPr>
        <w:t>The</w:t>
      </w:r>
      <w:r>
        <w:rPr>
          <w:color w:val="231F20"/>
          <w:spacing w:val="-25"/>
        </w:rPr>
        <w:t xml:space="preserve"> </w:t>
      </w:r>
      <w:r>
        <w:rPr>
          <w:color w:val="231F20"/>
        </w:rPr>
        <w:t>Results</w:t>
      </w:r>
      <w:r>
        <w:rPr>
          <w:color w:val="231F20"/>
          <w:spacing w:val="-25"/>
        </w:rPr>
        <w:t xml:space="preserve"> </w:t>
      </w:r>
      <w:r>
        <w:rPr>
          <w:color w:val="231F20"/>
        </w:rPr>
        <w:t>Framework</w:t>
      </w:r>
      <w:r>
        <w:rPr>
          <w:color w:val="231F20"/>
          <w:spacing w:val="-25"/>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SSHDP</w:t>
      </w:r>
      <w:r>
        <w:rPr>
          <w:color w:val="231F20"/>
          <w:spacing w:val="-29"/>
        </w:rPr>
        <w:t xml:space="preserve"> </w:t>
      </w:r>
      <w:r>
        <w:rPr>
          <w:color w:val="231F20"/>
        </w:rPr>
        <w:t>II</w:t>
      </w:r>
    </w:p>
    <w:p w14:paraId="5EDE8B00" w14:textId="77777777" w:rsidR="009948F1" w:rsidRDefault="00BC0563">
      <w:pPr>
        <w:pStyle w:val="BodyText"/>
        <w:spacing w:before="44"/>
        <w:ind w:left="140"/>
      </w:pPr>
      <w:r>
        <w:rPr>
          <w:color w:val="231F20"/>
        </w:rPr>
        <w:t>The SSDHP II is hinged on five strategic pillars namely:</w:t>
      </w:r>
    </w:p>
    <w:p w14:paraId="1A87697A" w14:textId="6CC6FD0A" w:rsidR="009948F1" w:rsidRDefault="00BC0563">
      <w:pPr>
        <w:pStyle w:val="BodyText"/>
        <w:tabs>
          <w:tab w:val="left" w:pos="3019"/>
        </w:tabs>
        <w:spacing w:before="29"/>
        <w:ind w:left="500"/>
      </w:pPr>
      <w:r>
        <w:rPr>
          <w:rFonts w:ascii="Symbol" w:hAnsi="Symbol"/>
          <w:color w:val="231F20"/>
          <w:spacing w:val="-248"/>
          <w:w w:val="600"/>
        </w:rPr>
        <w:t></w:t>
      </w:r>
      <w:r>
        <w:rPr>
          <w:color w:val="231F20"/>
          <w:w w:val="99"/>
        </w:rPr>
        <w:t>Strategic</w:t>
      </w:r>
      <w:r>
        <w:rPr>
          <w:color w:val="231F20"/>
          <w:spacing w:val="-25"/>
          <w:w w:val="99"/>
        </w:rPr>
        <w:t xml:space="preserve"> </w:t>
      </w:r>
      <w:r>
        <w:rPr>
          <w:color w:val="231F20"/>
          <w:w w:val="99"/>
        </w:rPr>
        <w:t>Pillar</w:t>
      </w:r>
      <w:r>
        <w:rPr>
          <w:color w:val="231F20"/>
          <w:spacing w:val="-25"/>
        </w:rPr>
        <w:t xml:space="preserve"> </w:t>
      </w:r>
      <w:r>
        <w:rPr>
          <w:color w:val="231F20"/>
        </w:rPr>
        <w:t>One:</w:t>
      </w:r>
      <w:r>
        <w:rPr>
          <w:color w:val="231F20"/>
        </w:rPr>
        <w:tab/>
      </w:r>
      <w:r>
        <w:rPr>
          <w:color w:val="231F20"/>
          <w:w w:val="99"/>
        </w:rPr>
        <w:t>Enabled</w:t>
      </w:r>
      <w:r>
        <w:rPr>
          <w:color w:val="231F20"/>
          <w:spacing w:val="-25"/>
        </w:rPr>
        <w:t xml:space="preserve"> </w:t>
      </w:r>
      <w:r>
        <w:rPr>
          <w:color w:val="231F20"/>
          <w:w w:val="99"/>
        </w:rPr>
        <w:t>environment</w:t>
      </w:r>
      <w:r>
        <w:rPr>
          <w:color w:val="231F20"/>
          <w:spacing w:val="-25"/>
        </w:rPr>
        <w:t xml:space="preserve"> </w:t>
      </w:r>
      <w:r>
        <w:rPr>
          <w:color w:val="231F20"/>
        </w:rPr>
        <w:t>for</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w w:val="99"/>
        </w:rPr>
        <w:t>sectoral</w:t>
      </w:r>
      <w:r w:rsidR="00225295">
        <w:rPr>
          <w:color w:val="231F20"/>
          <w:w w:val="99"/>
        </w:rPr>
        <w:t xml:space="preserve"> </w:t>
      </w:r>
      <w:r>
        <w:rPr>
          <w:color w:val="231F20"/>
          <w:w w:val="99"/>
        </w:rPr>
        <w:t>goal</w:t>
      </w:r>
    </w:p>
    <w:p w14:paraId="57E62511" w14:textId="77777777" w:rsidR="009948F1" w:rsidRDefault="00BC0563">
      <w:pPr>
        <w:pStyle w:val="BodyText"/>
        <w:tabs>
          <w:tab w:val="left" w:pos="3019"/>
        </w:tabs>
        <w:spacing w:before="28"/>
        <w:ind w:left="500"/>
      </w:pPr>
      <w:r>
        <w:rPr>
          <w:rFonts w:ascii="Symbol" w:hAnsi="Symbol"/>
          <w:color w:val="231F20"/>
          <w:spacing w:val="-248"/>
          <w:w w:val="600"/>
        </w:rPr>
        <w:t></w:t>
      </w:r>
      <w:r>
        <w:rPr>
          <w:color w:val="231F20"/>
          <w:w w:val="99"/>
        </w:rPr>
        <w:t>Strategic</w:t>
      </w:r>
      <w:r>
        <w:rPr>
          <w:color w:val="231F20"/>
          <w:spacing w:val="-25"/>
          <w:w w:val="99"/>
        </w:rPr>
        <w:t xml:space="preserve"> </w:t>
      </w:r>
      <w:r>
        <w:rPr>
          <w:color w:val="231F20"/>
          <w:w w:val="99"/>
        </w:rPr>
        <w:t>Pillar</w:t>
      </w:r>
      <w:r>
        <w:rPr>
          <w:color w:val="231F20"/>
          <w:spacing w:val="-29"/>
        </w:rPr>
        <w:t xml:space="preserve"> </w:t>
      </w:r>
      <w:r>
        <w:rPr>
          <w:color w:val="231F20"/>
          <w:spacing w:val="-13"/>
        </w:rPr>
        <w:t>T</w:t>
      </w:r>
      <w:r>
        <w:rPr>
          <w:color w:val="231F20"/>
          <w:w w:val="99"/>
        </w:rPr>
        <w:t>wo:</w:t>
      </w:r>
      <w:r>
        <w:rPr>
          <w:color w:val="231F20"/>
        </w:rPr>
        <w:tab/>
      </w:r>
      <w:r>
        <w:rPr>
          <w:color w:val="231F20"/>
          <w:w w:val="99"/>
        </w:rPr>
        <w:t>Provision</w:t>
      </w:r>
      <w:r>
        <w:rPr>
          <w:color w:val="231F20"/>
          <w:spacing w:val="-25"/>
        </w:rPr>
        <w:t xml:space="preserve"> </w:t>
      </w:r>
      <w:r>
        <w:rPr>
          <w:color w:val="231F20"/>
        </w:rPr>
        <w:t>of</w:t>
      </w:r>
      <w:r>
        <w:rPr>
          <w:color w:val="231F20"/>
          <w:spacing w:val="-25"/>
        </w:rPr>
        <w:t xml:space="preserve"> </w:t>
      </w:r>
      <w:r>
        <w:rPr>
          <w:color w:val="231F20"/>
          <w:w w:val="99"/>
        </w:rPr>
        <w:t>essential</w:t>
      </w:r>
      <w:r>
        <w:rPr>
          <w:color w:val="231F20"/>
          <w:spacing w:val="-25"/>
        </w:rPr>
        <w:t xml:space="preserve"> </w:t>
      </w:r>
      <w:r>
        <w:rPr>
          <w:color w:val="231F20"/>
          <w:w w:val="99"/>
        </w:rPr>
        <w:t>package</w:t>
      </w:r>
      <w:r>
        <w:rPr>
          <w:color w:val="231F20"/>
          <w:spacing w:val="-25"/>
        </w:rPr>
        <w:t xml:space="preserve"> </w:t>
      </w:r>
      <w:r>
        <w:rPr>
          <w:color w:val="231F20"/>
        </w:rPr>
        <w:t>of</w:t>
      </w:r>
      <w:r>
        <w:rPr>
          <w:color w:val="231F20"/>
          <w:spacing w:val="-25"/>
        </w:rPr>
        <w:t xml:space="preserve"> </w:t>
      </w:r>
      <w:r>
        <w:rPr>
          <w:color w:val="231F20"/>
          <w:w w:val="99"/>
        </w:rPr>
        <w:t>health</w:t>
      </w:r>
      <w:r>
        <w:rPr>
          <w:color w:val="231F20"/>
          <w:spacing w:val="-25"/>
        </w:rPr>
        <w:t xml:space="preserve"> </w:t>
      </w:r>
      <w:r>
        <w:rPr>
          <w:color w:val="231F20"/>
          <w:w w:val="99"/>
        </w:rPr>
        <w:t>care</w:t>
      </w:r>
      <w:r>
        <w:rPr>
          <w:color w:val="231F20"/>
          <w:spacing w:val="-25"/>
        </w:rPr>
        <w:t xml:space="preserve"> </w:t>
      </w:r>
      <w:r>
        <w:rPr>
          <w:color w:val="231F20"/>
          <w:w w:val="99"/>
        </w:rPr>
        <w:t>services</w:t>
      </w:r>
    </w:p>
    <w:p w14:paraId="3328DC69" w14:textId="28E65608" w:rsidR="009948F1" w:rsidRDefault="00BC0563">
      <w:pPr>
        <w:pStyle w:val="BodyText"/>
        <w:spacing w:before="28"/>
        <w:ind w:left="499"/>
      </w:pPr>
      <w:r>
        <w:rPr>
          <w:rFonts w:ascii="Symbol" w:hAnsi="Symbol"/>
          <w:color w:val="231F20"/>
          <w:spacing w:val="-248"/>
          <w:w w:val="600"/>
        </w:rPr>
        <w:t></w:t>
      </w:r>
      <w:r>
        <w:rPr>
          <w:color w:val="231F20"/>
          <w:w w:val="99"/>
        </w:rPr>
        <w:t>Strategic</w:t>
      </w:r>
      <w:r>
        <w:rPr>
          <w:color w:val="231F20"/>
          <w:spacing w:val="-25"/>
          <w:w w:val="99"/>
        </w:rPr>
        <w:t xml:space="preserve"> </w:t>
      </w:r>
      <w:r>
        <w:rPr>
          <w:color w:val="231F20"/>
          <w:w w:val="99"/>
        </w:rPr>
        <w:t>Pillar</w:t>
      </w:r>
      <w:r>
        <w:rPr>
          <w:color w:val="231F20"/>
          <w:spacing w:val="-29"/>
        </w:rPr>
        <w:t xml:space="preserve"> </w:t>
      </w:r>
      <w:r>
        <w:rPr>
          <w:color w:val="231F20"/>
        </w:rPr>
        <w:t>Three:</w:t>
      </w:r>
      <w:r>
        <w:rPr>
          <w:color w:val="231F20"/>
          <w:spacing w:val="-25"/>
        </w:rPr>
        <w:t xml:space="preserve"> </w:t>
      </w:r>
      <w:r w:rsidR="00225295">
        <w:rPr>
          <w:color w:val="231F20"/>
          <w:spacing w:val="-25"/>
        </w:rPr>
        <w:t xml:space="preserve">  </w:t>
      </w:r>
      <w:r>
        <w:rPr>
          <w:color w:val="231F20"/>
          <w:w w:val="99"/>
        </w:rPr>
        <w:t>Health</w:t>
      </w:r>
      <w:r>
        <w:rPr>
          <w:color w:val="231F20"/>
          <w:spacing w:val="-25"/>
        </w:rPr>
        <w:t xml:space="preserve"> </w:t>
      </w:r>
      <w:r>
        <w:rPr>
          <w:color w:val="231F20"/>
        </w:rPr>
        <w:t>system</w:t>
      </w:r>
      <w:r>
        <w:rPr>
          <w:color w:val="231F20"/>
          <w:spacing w:val="-25"/>
        </w:rPr>
        <w:t xml:space="preserve"> </w:t>
      </w:r>
      <w:r>
        <w:rPr>
          <w:color w:val="231F20"/>
          <w:w w:val="99"/>
        </w:rPr>
        <w:t>support</w:t>
      </w:r>
    </w:p>
    <w:p w14:paraId="419C7CD0" w14:textId="77777777" w:rsidR="009948F1" w:rsidRDefault="00BC0563">
      <w:pPr>
        <w:pStyle w:val="BodyText"/>
        <w:tabs>
          <w:tab w:val="left" w:pos="3019"/>
        </w:tabs>
        <w:spacing w:before="27"/>
        <w:ind w:left="499"/>
      </w:pPr>
      <w:r>
        <w:rPr>
          <w:rFonts w:ascii="Symbol" w:hAnsi="Symbol"/>
          <w:color w:val="231F20"/>
          <w:spacing w:val="-248"/>
          <w:w w:val="600"/>
        </w:rPr>
        <w:t></w:t>
      </w:r>
      <w:r>
        <w:rPr>
          <w:color w:val="231F20"/>
          <w:w w:val="99"/>
        </w:rPr>
        <w:t>Strategic</w:t>
      </w:r>
      <w:r>
        <w:rPr>
          <w:color w:val="231F20"/>
          <w:spacing w:val="-25"/>
          <w:w w:val="99"/>
        </w:rPr>
        <w:t xml:space="preserve"> </w:t>
      </w:r>
      <w:r>
        <w:rPr>
          <w:color w:val="231F20"/>
          <w:w w:val="99"/>
        </w:rPr>
        <w:t>Pillar</w:t>
      </w:r>
      <w:r>
        <w:rPr>
          <w:color w:val="231F20"/>
          <w:spacing w:val="-25"/>
        </w:rPr>
        <w:t xml:space="preserve"> </w:t>
      </w:r>
      <w:r>
        <w:rPr>
          <w:color w:val="231F20"/>
        </w:rPr>
        <w:t>Four:</w:t>
      </w:r>
      <w:r>
        <w:rPr>
          <w:color w:val="231F20"/>
        </w:rPr>
        <w:tab/>
        <w:t>Protection</w:t>
      </w:r>
      <w:r>
        <w:rPr>
          <w:color w:val="231F20"/>
          <w:spacing w:val="-25"/>
        </w:rPr>
        <w:t xml:space="preserve"> </w:t>
      </w:r>
      <w:r>
        <w:rPr>
          <w:color w:val="231F20"/>
        </w:rPr>
        <w:t>from</w:t>
      </w:r>
      <w:r>
        <w:rPr>
          <w:color w:val="231F20"/>
          <w:spacing w:val="-25"/>
        </w:rPr>
        <w:t xml:space="preserve"> </w:t>
      </w:r>
      <w:r>
        <w:rPr>
          <w:color w:val="231F20"/>
          <w:w w:val="99"/>
        </w:rPr>
        <w:t>public</w:t>
      </w:r>
      <w:r>
        <w:rPr>
          <w:color w:val="231F20"/>
          <w:spacing w:val="-25"/>
        </w:rPr>
        <w:t xml:space="preserve"> </w:t>
      </w:r>
      <w:r>
        <w:rPr>
          <w:color w:val="231F20"/>
          <w:w w:val="99"/>
        </w:rPr>
        <w:t>health</w:t>
      </w:r>
      <w:r>
        <w:rPr>
          <w:color w:val="231F20"/>
          <w:spacing w:val="-25"/>
        </w:rPr>
        <w:t xml:space="preserve"> </w:t>
      </w:r>
      <w:r>
        <w:rPr>
          <w:color w:val="231F20"/>
          <w:w w:val="99"/>
        </w:rPr>
        <w:t>emergencies</w:t>
      </w:r>
      <w:r>
        <w:rPr>
          <w:color w:val="231F20"/>
          <w:spacing w:val="-25"/>
        </w:rPr>
        <w:t xml:space="preserve"> </w:t>
      </w:r>
      <w:r>
        <w:rPr>
          <w:color w:val="231F20"/>
          <w:w w:val="99"/>
        </w:rPr>
        <w:t>and</w:t>
      </w:r>
      <w:r>
        <w:rPr>
          <w:color w:val="231F20"/>
          <w:spacing w:val="-25"/>
        </w:rPr>
        <w:t xml:space="preserve"> </w:t>
      </w:r>
      <w:r>
        <w:rPr>
          <w:color w:val="231F20"/>
        </w:rPr>
        <w:t>risks</w:t>
      </w:r>
    </w:p>
    <w:p w14:paraId="2B6D1B25" w14:textId="277F2BE0" w:rsidR="009948F1" w:rsidRDefault="00BC0563">
      <w:pPr>
        <w:pStyle w:val="BodyText"/>
        <w:spacing w:before="28"/>
        <w:ind w:left="499"/>
      </w:pPr>
      <w:r>
        <w:rPr>
          <w:rFonts w:ascii="Symbol" w:hAnsi="Symbol"/>
          <w:color w:val="231F20"/>
          <w:spacing w:val="-248"/>
          <w:w w:val="600"/>
        </w:rPr>
        <w:t></w:t>
      </w:r>
      <w:r>
        <w:rPr>
          <w:color w:val="231F20"/>
          <w:w w:val="99"/>
        </w:rPr>
        <w:t>Strategic</w:t>
      </w:r>
      <w:r>
        <w:rPr>
          <w:color w:val="231F20"/>
          <w:spacing w:val="-25"/>
          <w:w w:val="99"/>
        </w:rPr>
        <w:t xml:space="preserve"> </w:t>
      </w:r>
      <w:r>
        <w:rPr>
          <w:color w:val="231F20"/>
          <w:w w:val="99"/>
        </w:rPr>
        <w:t>Pillars</w:t>
      </w:r>
      <w:r>
        <w:rPr>
          <w:color w:val="231F20"/>
          <w:spacing w:val="-25"/>
        </w:rPr>
        <w:t xml:space="preserve"> </w:t>
      </w:r>
      <w:r>
        <w:rPr>
          <w:color w:val="231F20"/>
        </w:rPr>
        <w:t xml:space="preserve">Five: </w:t>
      </w:r>
      <w:r w:rsidR="00225295">
        <w:rPr>
          <w:color w:val="231F20"/>
        </w:rPr>
        <w:t xml:space="preserve"> </w:t>
      </w:r>
      <w:r>
        <w:rPr>
          <w:color w:val="231F20"/>
          <w:spacing w:val="-25"/>
        </w:rPr>
        <w:t xml:space="preserve"> </w:t>
      </w:r>
      <w:r>
        <w:rPr>
          <w:color w:val="231F20"/>
          <w:w w:val="99"/>
        </w:rPr>
        <w:t>Health</w:t>
      </w:r>
      <w:r>
        <w:rPr>
          <w:color w:val="231F20"/>
          <w:spacing w:val="-25"/>
        </w:rPr>
        <w:t xml:space="preserve"> </w:t>
      </w:r>
      <w:r>
        <w:rPr>
          <w:color w:val="231F20"/>
          <w:w w:val="99"/>
        </w:rPr>
        <w:t>Financing</w:t>
      </w:r>
    </w:p>
    <w:p w14:paraId="13B71D48" w14:textId="77777777" w:rsidR="009948F1" w:rsidRDefault="009948F1">
      <w:pPr>
        <w:pStyle w:val="BodyText"/>
        <w:spacing w:before="6"/>
        <w:rPr>
          <w:sz w:val="29"/>
        </w:rPr>
      </w:pPr>
    </w:p>
    <w:p w14:paraId="72EB0787" w14:textId="17714C3E" w:rsidR="009948F1" w:rsidRDefault="00BC0563">
      <w:pPr>
        <w:pStyle w:val="BodyText"/>
        <w:spacing w:line="280" w:lineRule="auto"/>
        <w:ind w:left="139" w:right="187"/>
        <w:jc w:val="both"/>
      </w:pPr>
      <w:r>
        <w:rPr>
          <w:color w:val="231F20"/>
        </w:rPr>
        <w:t>As</w:t>
      </w:r>
      <w:r>
        <w:rPr>
          <w:color w:val="231F20"/>
          <w:spacing w:val="-21"/>
        </w:rPr>
        <w:t xml:space="preserve"> </w:t>
      </w:r>
      <w:r>
        <w:rPr>
          <w:color w:val="231F20"/>
        </w:rPr>
        <w:t>indicated</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Results</w:t>
      </w:r>
      <w:r>
        <w:rPr>
          <w:color w:val="231F20"/>
          <w:spacing w:val="-20"/>
        </w:rPr>
        <w:t xml:space="preserve"> </w:t>
      </w:r>
      <w:r>
        <w:rPr>
          <w:color w:val="231F20"/>
        </w:rPr>
        <w:t>Framework</w:t>
      </w:r>
      <w:r>
        <w:rPr>
          <w:color w:val="231F20"/>
          <w:spacing w:val="-21"/>
        </w:rPr>
        <w:t xml:space="preserve"> </w:t>
      </w:r>
      <w:r>
        <w:rPr>
          <w:color w:val="231F20"/>
        </w:rPr>
        <w:t>(figure</w:t>
      </w:r>
      <w:r>
        <w:rPr>
          <w:color w:val="231F20"/>
          <w:spacing w:val="-21"/>
        </w:rPr>
        <w:t xml:space="preserve"> </w:t>
      </w:r>
      <w:r>
        <w:rPr>
          <w:color w:val="231F20"/>
        </w:rPr>
        <w:t>1),</w:t>
      </w:r>
      <w:r>
        <w:rPr>
          <w:color w:val="231F20"/>
          <w:spacing w:val="-21"/>
        </w:rPr>
        <w:t xml:space="preserve"> </w:t>
      </w:r>
      <w:r>
        <w:rPr>
          <w:color w:val="231F20"/>
        </w:rPr>
        <w:t>for</w:t>
      </w:r>
      <w:r>
        <w:rPr>
          <w:color w:val="231F20"/>
          <w:spacing w:val="-20"/>
        </w:rPr>
        <w:t xml:space="preserve"> </w:t>
      </w:r>
      <w:r>
        <w:rPr>
          <w:color w:val="231F20"/>
        </w:rPr>
        <w:t>each</w:t>
      </w:r>
      <w:r>
        <w:rPr>
          <w:color w:val="231F20"/>
          <w:spacing w:val="-21"/>
        </w:rPr>
        <w:t xml:space="preserve"> </w:t>
      </w:r>
      <w:r>
        <w:rPr>
          <w:color w:val="231F20"/>
        </w:rPr>
        <w:t>pillar,</w:t>
      </w:r>
      <w:r>
        <w:rPr>
          <w:color w:val="231F20"/>
          <w:spacing w:val="-21"/>
        </w:rPr>
        <w:t xml:space="preserve"> </w:t>
      </w:r>
      <w:r>
        <w:rPr>
          <w:color w:val="231F20"/>
        </w:rPr>
        <w:t>the</w:t>
      </w:r>
      <w:r>
        <w:rPr>
          <w:color w:val="231F20"/>
          <w:spacing w:val="-21"/>
        </w:rPr>
        <w:t xml:space="preserve"> </w:t>
      </w:r>
      <w:r>
        <w:rPr>
          <w:color w:val="231F20"/>
        </w:rPr>
        <w:t>prioritized</w:t>
      </w:r>
      <w:r>
        <w:rPr>
          <w:color w:val="231F20"/>
          <w:spacing w:val="-20"/>
        </w:rPr>
        <w:t xml:space="preserve"> </w:t>
      </w:r>
      <w:r>
        <w:rPr>
          <w:color w:val="231F20"/>
        </w:rPr>
        <w:t>areas</w:t>
      </w:r>
      <w:r>
        <w:rPr>
          <w:color w:val="231F20"/>
          <w:spacing w:val="-21"/>
        </w:rPr>
        <w:t xml:space="preserve"> </w:t>
      </w:r>
      <w:r>
        <w:rPr>
          <w:color w:val="231F20"/>
        </w:rPr>
        <w:t>were</w:t>
      </w:r>
      <w:r>
        <w:rPr>
          <w:color w:val="231F20"/>
          <w:spacing w:val="-21"/>
        </w:rPr>
        <w:t xml:space="preserve"> </w:t>
      </w:r>
      <w:r>
        <w:rPr>
          <w:color w:val="231F20"/>
        </w:rPr>
        <w:t xml:space="preserve">identified and for each </w:t>
      </w:r>
      <w:r w:rsidR="00DA56D4">
        <w:rPr>
          <w:color w:val="231F20"/>
        </w:rPr>
        <w:t>prioritized</w:t>
      </w:r>
      <w:r>
        <w:rPr>
          <w:color w:val="231F20"/>
        </w:rPr>
        <w:t xml:space="preserve"> area, the core interventions were developed targeting specific outcomes and an ultimate goal to 'Ensure healthy lives and promote well-being of the Rivers people of all ages'.</w:t>
      </w:r>
    </w:p>
    <w:p w14:paraId="3D8CC4F9" w14:textId="77777777" w:rsidR="009948F1" w:rsidRDefault="009948F1">
      <w:pPr>
        <w:pStyle w:val="BodyText"/>
        <w:spacing w:before="3"/>
        <w:rPr>
          <w:sz w:val="26"/>
        </w:rPr>
      </w:pPr>
    </w:p>
    <w:p w14:paraId="5C6D52E8" w14:textId="77777777" w:rsidR="009948F1" w:rsidRDefault="00BC0563">
      <w:pPr>
        <w:pStyle w:val="BodyText"/>
        <w:spacing w:line="280" w:lineRule="auto"/>
        <w:ind w:left="139" w:right="185"/>
        <w:jc w:val="both"/>
      </w:pPr>
      <w:r>
        <w:rPr>
          <w:color w:val="231F20"/>
        </w:rPr>
        <w:t>The context and core interventions for each strategic pillar have been elaborated in specific sections of this plan to provide overall guidance for Local Government level planning activities</w:t>
      </w:r>
      <w:r>
        <w:rPr>
          <w:color w:val="231F20"/>
          <w:spacing w:val="-27"/>
        </w:rPr>
        <w:t xml:space="preserve"> </w:t>
      </w:r>
      <w:r>
        <w:rPr>
          <w:color w:val="231F20"/>
          <w:spacing w:val="-8"/>
        </w:rPr>
        <w:t xml:space="preserve">by </w:t>
      </w:r>
      <w:r>
        <w:rPr>
          <w:color w:val="231F20"/>
        </w:rPr>
        <w:t>the</w:t>
      </w:r>
      <w:r>
        <w:rPr>
          <w:color w:val="231F20"/>
          <w:spacing w:val="-25"/>
        </w:rPr>
        <w:t xml:space="preserve"> </w:t>
      </w:r>
      <w:r>
        <w:rPr>
          <w:color w:val="231F20"/>
        </w:rPr>
        <w:t>Primary</w:t>
      </w:r>
      <w:r>
        <w:rPr>
          <w:color w:val="231F20"/>
          <w:spacing w:val="-25"/>
        </w:rPr>
        <w:t xml:space="preserve"> </w:t>
      </w:r>
      <w:r>
        <w:rPr>
          <w:color w:val="231F20"/>
        </w:rPr>
        <w:t>Health</w:t>
      </w:r>
      <w:r>
        <w:rPr>
          <w:color w:val="231F20"/>
          <w:spacing w:val="-26"/>
        </w:rPr>
        <w:t xml:space="preserve"> </w:t>
      </w:r>
      <w:r>
        <w:rPr>
          <w:color w:val="231F20"/>
        </w:rPr>
        <w:t>Care</w:t>
      </w:r>
      <w:r>
        <w:rPr>
          <w:color w:val="231F20"/>
          <w:spacing w:val="-25"/>
        </w:rPr>
        <w:t xml:space="preserve"> </w:t>
      </w:r>
      <w:r>
        <w:rPr>
          <w:color w:val="231F20"/>
        </w:rPr>
        <w:t>Management</w:t>
      </w:r>
      <w:r>
        <w:rPr>
          <w:color w:val="231F20"/>
          <w:spacing w:val="-25"/>
        </w:rPr>
        <w:t xml:space="preserve"> </w:t>
      </w:r>
      <w:r>
        <w:rPr>
          <w:color w:val="231F20"/>
        </w:rPr>
        <w:t>Board.</w:t>
      </w:r>
    </w:p>
    <w:p w14:paraId="69126EF0" w14:textId="77777777" w:rsidR="009948F1" w:rsidRDefault="009948F1">
      <w:pPr>
        <w:spacing w:line="280" w:lineRule="auto"/>
        <w:jc w:val="both"/>
        <w:sectPr w:rsidR="009948F1">
          <w:pgSz w:w="11910" w:h="16840"/>
          <w:pgMar w:top="1520" w:right="1080" w:bottom="1420" w:left="1120" w:header="0" w:footer="1235" w:gutter="0"/>
          <w:cols w:space="720"/>
        </w:sectPr>
      </w:pPr>
    </w:p>
    <w:p w14:paraId="0336D32B" w14:textId="77777777" w:rsidR="009948F1" w:rsidRDefault="009948F1">
      <w:pPr>
        <w:pStyle w:val="BodyText"/>
        <w:spacing w:before="4"/>
        <w:rPr>
          <w:sz w:val="18"/>
        </w:rPr>
      </w:pPr>
    </w:p>
    <w:p w14:paraId="694FD443" w14:textId="77777777" w:rsidR="009948F1" w:rsidRDefault="00BC0563">
      <w:pPr>
        <w:spacing w:before="62"/>
        <w:ind w:left="163"/>
        <w:rPr>
          <w:b/>
          <w:sz w:val="23"/>
        </w:rPr>
      </w:pPr>
      <w:bookmarkStart w:id="50" w:name="Page_36"/>
      <w:bookmarkEnd w:id="50"/>
      <w:r>
        <w:rPr>
          <w:b/>
          <w:color w:val="231F20"/>
          <w:sz w:val="23"/>
        </w:rPr>
        <w:t>Figure 1: The Results Framework of the SSHDP II</w:t>
      </w:r>
    </w:p>
    <w:p w14:paraId="368EFEA9" w14:textId="77777777" w:rsidR="009948F1" w:rsidRDefault="009948F1">
      <w:pPr>
        <w:pStyle w:val="BodyText"/>
        <w:rPr>
          <w:b/>
          <w:sz w:val="20"/>
        </w:rPr>
      </w:pPr>
    </w:p>
    <w:p w14:paraId="26CC6E97" w14:textId="77777777" w:rsidR="009948F1" w:rsidRDefault="00244DD0">
      <w:pPr>
        <w:pStyle w:val="BodyText"/>
        <w:spacing w:before="3"/>
        <w:rPr>
          <w:b/>
        </w:rPr>
      </w:pPr>
      <w:r>
        <w:pict w14:anchorId="651FF4EB">
          <v:group id="_x0000_s2081" style="position:absolute;margin-left:64.2pt;margin-top:14.8pt;width:464.25pt;height:480.15pt;z-index:-15718912;mso-wrap-distance-left:0;mso-wrap-distance-right:0;mso-position-horizontal-relative:page" coordorigin="1284,296" coordsize="9285,9603">
            <v:shape id="_x0000_s2110" type="#_x0000_t75" style="position:absolute;left:1284;top:2499;width:1816;height:1272">
              <v:imagedata r:id="rId18" o:title=""/>
            </v:shape>
            <v:shape id="_x0000_s2109" type="#_x0000_t75" style="position:absolute;left:3190;top:2460;width:1967;height:1374">
              <v:imagedata r:id="rId19" o:title=""/>
            </v:shape>
            <v:shape id="_x0000_s2108" type="#_x0000_t75" style="position:absolute;left:5235;top:2461;width:3627;height:1612">
              <v:imagedata r:id="rId20" o:title=""/>
            </v:shape>
            <v:shape id="_x0000_s2107" type="#_x0000_t75" style="position:absolute;left:8911;top:2461;width:1658;height:1674">
              <v:imagedata r:id="rId21" o:title=""/>
            </v:shape>
            <v:shape id="_x0000_s2106" type="#_x0000_t75" style="position:absolute;left:5287;top:3996;width:1788;height:5902">
              <v:imagedata r:id="rId22" o:title=""/>
            </v:shape>
            <v:shape id="_x0000_s2105" type="#_x0000_t75" style="position:absolute;left:7227;top:4045;width:3342;height:5843">
              <v:imagedata r:id="rId23" o:title=""/>
            </v:shape>
            <v:shape id="_x0000_s2104" type="#_x0000_t75" style="position:absolute;left:1607;top:295;width:8279;height:2433">
              <v:imagedata r:id="rId24" o:title=""/>
            </v:shape>
            <v:shape id="_x0000_s2103" style="position:absolute;left:1388;top:4788;width:1424;height:3056" coordorigin="1388,4788" coordsize="1424,3056" path="m1626,4788r-75,13l1485,4838r-51,56l1400,4965r-12,81l1388,7585r12,82l1434,7737r51,56l1551,7830r75,13l2574,7843r75,-13l2714,7793r52,-56l2799,7667r12,-82l2811,5046r-12,-81l2766,4894r-52,-56l2649,4801r-75,-13l1626,4788xe" filled="f" strokecolor="#231f20" strokeweight=".07619mm">
              <v:path arrowok="t"/>
            </v:shape>
            <v:shape id="_x0000_s2102" style="position:absolute;left:1364;top:4768;width:1470;height:3100" coordorigin="1365,4768" coordsize="1470,3100" o:spt="100" adj="0,,0" path="m1626,7828r-136,l1501,7848r23,l1536,7868r90,l1626,7828xm1644,7828r-18,l1626,7868r22,l1648,7848r-3,l1644,7828xm2574,7828r-930,l1645,7848r3,l1648,7868r926,l2574,7828xm2593,7828r-19,l2574,7868r23,l2597,7848r-3,l2593,7828xm2676,7848r-79,l2597,7868r67,l2676,7848xm2709,7828r-116,l2594,7848r104,l2709,7828xm1562,7808r-102,l1470,7828r102,l1562,7808xm2740,7808r-102,l2628,7828r102,l2740,7808xm1515,7788r-74,l1450,7808r74,l1515,7788xm2758,7788r-73,l2676,7808r73,l2758,7788xm1489,7768r-65,l1433,7788r64,l1489,7768xm2775,7768r-65,l2702,7788r65,l2775,7768xm1467,7748r-58,l1417,7768r57,l1467,7748xm2790,7748r-57,l2725,7768r58,l2790,7748xm1442,7708r-51,l1396,7728r7,20l1460,7748r-6,-20l1448,7728r-6,-20xm2809,7708r-52,l2752,7728r-6,l2739,7748r58,l2803,7728r6,-20xm1433,7688r-52,l1385,7708r52,l1433,7688xm2819,7688r-52,l2762,7708r52,l2819,7688xm1414,7628r-46,l1370,7648r3,20l1377,7688r51,l1424,7668r-3,l1418,7648r-2,l1414,7628xm2832,7628r-46,l2784,7648r-3,l2778,7668r-3,l2771,7688r52,l2826,7668r3,-20l2832,7628xm1411,7588r-46,l1365,7598r,10l1366,7628r14,l1379,7608r32,l1411,7588xm1397,7608r-18,l1380,7628r16,l1397,7608xm1412,7588r-1,l1411,7608r-14,l1396,7628r17,l1412,7608r,-20xm2835,5048r-47,l2788,7598r,10l2787,7628r46,l2834,7608r1,-20l2793,7588r1,-20l2835,7568r,-2520xm1365,7598r,10l1365,7608r,-10xm1377,5068r-12,l1365,7598r,-10l1412,7588r,-2500l1378,5088r-1,-20xm2829,7568r-35,l2793,7588r36,l2829,7568xm2835,7568r-6,l2829,7588r6,l2835,7568xm1399,5068r-22,l1378,5088r20,l1399,5068xm1412,5068r-13,l1398,5088r14,l1412,5068xm1365,5048r,l1365,5068r,l1365,5048xm1411,5048r-46,l1365,5068r46,l1411,5048xm1412,5048r-1,l1411,5068r1,l1412,5048xm1424,4968r-47,l1373,4988r-3,20l1368,5008r-2,20l1365,5048r47,l1413,5028r1,l1416,5008r2,-20l1421,4988r3,-20xm2795,5028r-8,l2788,5048r6,l2795,5028xm2828,5028r-33,l2794,5048r35,l2828,5028xm2823,4968r-48,l2778,4988r3,l2784,5008r2,20l2828,5028r1,20l2834,5048r-1,-20l2832,5008r-3,l2826,4988r-3,-20xm1442,4928r-51,l1385,4948r-4,20l1428,4968r5,-20l1437,4948r5,-20xm2809,4928r-52,l2762,4948r5,l2771,4968r48,l2814,4948r-5,-20xm1474,4888r-65,l1403,4908r-7,20l1448,4928r6,-20l1467,4908r7,-20xm2790,4888r-65,l2733,4908r13,l2752,4928r51,l2797,4908r-7,-20xm1489,4868r-65,l1417,4888r65,l1489,4868xm2775,4868r-65,l2718,4888r65,l2775,4868xm1515,4848r-74,l1433,4868r73,l1515,4848xm2758,4848r-73,l2694,4868r73,l2758,4848xm1552,4828r-92,l1450,4848r92,l1552,4828xm2740,4828r-92,l2658,4848r91,l2740,4828xm1612,4808r-122,l1480,4828r133,l1612,4808xm1626,4768r-15,l1610,4788r-8,l1602,4808r10,l1613,4828r13,l1626,4768xm2559,4768r-933,l1626,4828r935,l2560,4808r-9,l2551,4788r8,l2559,4768xm2574,4768r-15,l2559,4788r-8,l2551,4808r9,l2561,4828r13,l2574,4768xm2614,4768r-40,l2574,4828r146,l2709,4808r-22,l2676,4788r-49,l2614,4768xm1602,4788r-78,l1513,4808r89,l1602,4788xm1611,4768r-25,l1573,4788r37,l1611,4768xe" fillcolor="#231f20" stroked="f">
              <v:stroke joinstyle="round"/>
              <v:formulas/>
              <v:path arrowok="t" o:connecttype="segments"/>
            </v:shape>
            <v:shape id="_x0000_s2101" type="#_x0000_t75" style="position:absolute;left:1301;top:7840;width:1631;height:1920">
              <v:imagedata r:id="rId25" o:title=""/>
            </v:shape>
            <v:shape id="_x0000_s2100" style="position:absolute;left:2055;top:3745;width:209;height:1047" coordorigin="2055,3745" coordsize="209,1047" o:spt="100" adj="0,,0" path="m2141,3943r-86,841l2117,4792r85,-842l2141,3943xm2248,3910r-104,l2206,3917r-4,33l2264,3958r-16,-48xm2192,3745r-113,191l2141,3943r3,-33l2248,3910r-56,-165xe" fillcolor="#00aeef" stroked="f">
              <v:stroke joinstyle="round"/>
              <v:formulas/>
              <v:path arrowok="t" o:connecttype="segments"/>
            </v:shape>
            <v:shape id="_x0000_s2099" style="position:absolute;left:2055;top:3745;width:209;height:1047" coordorigin="2055,3745" coordsize="209,1047" o:spt="100" adj="0,,0" path="m2206,3917r-89,875l2055,4784r89,-874l2206,3917xm2079,3936r113,-191l2264,3958r-185,-22xe" filled="f" strokecolor="#29a8d9" strokeweight=".07619mm">
              <v:stroke joinstyle="round"/>
              <v:formulas/>
              <v:path arrowok="t" o:connecttype="segments"/>
            </v:shape>
            <v:shape id="_x0000_s2098" style="position:absolute;left:4249;top:3981;width:187;height:516" coordorigin="4250,3982" coordsize="187,516" o:spt="100" adj="0,,0" path="m4374,4185r-62,l4312,4497r62,l4374,4185xm4343,3982r-93,203l4312,4185r,-34l4421,4151r-78,-169xm4421,4151r-47,l4374,4185r62,l4421,4151xe" fillcolor="#00aeef" stroked="f">
              <v:stroke joinstyle="round"/>
              <v:formulas/>
              <v:path arrowok="t" o:connecttype="segments"/>
            </v:shape>
            <v:shape id="_x0000_s2097" style="position:absolute;left:4249;top:3981;width:187;height:516" coordorigin="4250,3982" coordsize="187,516" o:spt="100" adj="0,,0" path="m4374,4151r,88l4374,4497r-62,l4312,4239r,-88l4374,4151xm4250,4185r93,-203l4436,4185r-186,xe" filled="f" strokecolor="#47aeda" strokeweight=".07619mm">
              <v:stroke joinstyle="round"/>
              <v:formulas/>
              <v:path arrowok="t" o:connecttype="segments"/>
            </v:shape>
            <v:shapetype id="_x0000_t202" coordsize="21600,21600" o:spt="202" path="m,l,21600r21600,l21600,xe">
              <v:stroke joinstyle="miter"/>
              <v:path gradientshapeok="t" o:connecttype="rect"/>
            </v:shapetype>
            <v:shape id="_x0000_s2096" type="#_x0000_t202" style="position:absolute;left:1860;top:496;width:7788;height:399" filled="f" stroked="f">
              <v:textbox inset="0,0,0,0">
                <w:txbxContent>
                  <w:p w14:paraId="765AF4F6" w14:textId="77777777" w:rsidR="00080B77" w:rsidRDefault="00080B77">
                    <w:pPr>
                      <w:spacing w:before="32" w:line="156" w:lineRule="auto"/>
                      <w:ind w:left="3698" w:hanging="3699"/>
                      <w:rPr>
                        <w:rFonts w:ascii="Carlito"/>
                      </w:rPr>
                    </w:pPr>
                    <w:r>
                      <w:rPr>
                        <w:rFonts w:ascii="Carlito"/>
                        <w:b/>
                        <w:color w:val="231F20"/>
                        <w:w w:val="95"/>
                      </w:rPr>
                      <w:t>Overall</w:t>
                    </w:r>
                    <w:r>
                      <w:rPr>
                        <w:rFonts w:ascii="Carlito"/>
                        <w:b/>
                        <w:color w:val="231F20"/>
                        <w:spacing w:val="-12"/>
                        <w:w w:val="95"/>
                      </w:rPr>
                      <w:t xml:space="preserve"> </w:t>
                    </w:r>
                    <w:r>
                      <w:rPr>
                        <w:rFonts w:ascii="Carlito"/>
                        <w:b/>
                        <w:color w:val="231F20"/>
                        <w:w w:val="95"/>
                      </w:rPr>
                      <w:t>Goal:</w:t>
                    </w:r>
                    <w:r>
                      <w:rPr>
                        <w:rFonts w:ascii="Carlito"/>
                        <w:b/>
                        <w:color w:val="231F20"/>
                        <w:spacing w:val="-3"/>
                        <w:w w:val="95"/>
                      </w:rPr>
                      <w:t xml:space="preserve"> </w:t>
                    </w:r>
                    <w:r>
                      <w:rPr>
                        <w:rFonts w:ascii="Carlito"/>
                        <w:color w:val="231F20"/>
                        <w:w w:val="95"/>
                      </w:rPr>
                      <w:t>Ensure</w:t>
                    </w:r>
                    <w:r>
                      <w:rPr>
                        <w:rFonts w:ascii="Carlito"/>
                        <w:color w:val="231F20"/>
                        <w:spacing w:val="-11"/>
                        <w:w w:val="95"/>
                      </w:rPr>
                      <w:t xml:space="preserve"> </w:t>
                    </w:r>
                    <w:r>
                      <w:rPr>
                        <w:rFonts w:ascii="Carlito"/>
                        <w:color w:val="231F20"/>
                        <w:w w:val="95"/>
                      </w:rPr>
                      <w:t>healthy</w:t>
                    </w:r>
                    <w:r>
                      <w:rPr>
                        <w:rFonts w:ascii="Carlito"/>
                        <w:color w:val="231F20"/>
                        <w:spacing w:val="-11"/>
                        <w:w w:val="95"/>
                      </w:rPr>
                      <w:t xml:space="preserve"> </w:t>
                    </w:r>
                    <w:r>
                      <w:rPr>
                        <w:rFonts w:ascii="Carlito"/>
                        <w:color w:val="231F20"/>
                        <w:w w:val="95"/>
                      </w:rPr>
                      <w:t>lives</w:t>
                    </w:r>
                    <w:r>
                      <w:rPr>
                        <w:rFonts w:ascii="Carlito"/>
                        <w:color w:val="231F20"/>
                        <w:spacing w:val="-11"/>
                        <w:w w:val="95"/>
                      </w:rPr>
                      <w:t xml:space="preserve"> </w:t>
                    </w:r>
                    <w:r>
                      <w:rPr>
                        <w:rFonts w:ascii="Carlito"/>
                        <w:color w:val="231F20"/>
                        <w:w w:val="95"/>
                      </w:rPr>
                      <w:t>and</w:t>
                    </w:r>
                    <w:r>
                      <w:rPr>
                        <w:rFonts w:ascii="Carlito"/>
                        <w:color w:val="231F20"/>
                        <w:spacing w:val="-11"/>
                        <w:w w:val="95"/>
                      </w:rPr>
                      <w:t xml:space="preserve"> </w:t>
                    </w:r>
                    <w:r>
                      <w:rPr>
                        <w:rFonts w:ascii="Carlito"/>
                        <w:color w:val="231F20"/>
                        <w:w w:val="95"/>
                      </w:rPr>
                      <w:t>promote</w:t>
                    </w:r>
                    <w:r>
                      <w:rPr>
                        <w:rFonts w:ascii="Carlito"/>
                        <w:color w:val="231F20"/>
                        <w:spacing w:val="-11"/>
                        <w:w w:val="95"/>
                      </w:rPr>
                      <w:t xml:space="preserve"> </w:t>
                    </w:r>
                    <w:r>
                      <w:rPr>
                        <w:rFonts w:ascii="Carlito"/>
                        <w:color w:val="231F20"/>
                        <w:w w:val="95"/>
                      </w:rPr>
                      <w:t>well</w:t>
                    </w:r>
                    <w:r>
                      <w:rPr>
                        <w:rFonts w:ascii="Carlito"/>
                        <w:color w:val="231F20"/>
                        <w:spacing w:val="-24"/>
                        <w:w w:val="95"/>
                      </w:rPr>
                      <w:t xml:space="preserve"> </w:t>
                    </w:r>
                    <w:r>
                      <w:rPr>
                        <w:rFonts w:ascii="Carlito"/>
                        <w:color w:val="231F20"/>
                        <w:w w:val="95"/>
                      </w:rPr>
                      <w:t>-being</w:t>
                    </w:r>
                    <w:r>
                      <w:rPr>
                        <w:rFonts w:ascii="Carlito"/>
                        <w:color w:val="231F20"/>
                        <w:spacing w:val="-11"/>
                        <w:w w:val="95"/>
                      </w:rPr>
                      <w:t xml:space="preserve"> </w:t>
                    </w:r>
                    <w:r>
                      <w:rPr>
                        <w:rFonts w:ascii="Carlito"/>
                        <w:color w:val="231F20"/>
                        <w:w w:val="95"/>
                      </w:rPr>
                      <w:t>of</w:t>
                    </w:r>
                    <w:r>
                      <w:rPr>
                        <w:rFonts w:ascii="Carlito"/>
                        <w:color w:val="231F20"/>
                        <w:spacing w:val="-11"/>
                        <w:w w:val="95"/>
                      </w:rPr>
                      <w:t xml:space="preserve"> </w:t>
                    </w:r>
                    <w:r>
                      <w:rPr>
                        <w:rFonts w:ascii="Carlito"/>
                        <w:color w:val="231F20"/>
                        <w:spacing w:val="2"/>
                        <w:w w:val="95"/>
                      </w:rPr>
                      <w:t>the</w:t>
                    </w:r>
                    <w:r>
                      <w:rPr>
                        <w:rFonts w:ascii="Carlito"/>
                        <w:color w:val="231F20"/>
                        <w:spacing w:val="-11"/>
                        <w:w w:val="95"/>
                      </w:rPr>
                      <w:t xml:space="preserve"> </w:t>
                    </w:r>
                    <w:r>
                      <w:rPr>
                        <w:rFonts w:ascii="Carlito"/>
                        <w:color w:val="231F20"/>
                        <w:w w:val="95"/>
                      </w:rPr>
                      <w:t>Rivers</w:t>
                    </w:r>
                    <w:r>
                      <w:rPr>
                        <w:rFonts w:ascii="Carlito"/>
                        <w:color w:val="231F20"/>
                        <w:spacing w:val="-12"/>
                        <w:w w:val="95"/>
                      </w:rPr>
                      <w:t xml:space="preserve"> </w:t>
                    </w:r>
                    <w:r>
                      <w:rPr>
                        <w:rFonts w:ascii="Carlito"/>
                        <w:color w:val="231F20"/>
                        <w:w w:val="95"/>
                      </w:rPr>
                      <w:t>State</w:t>
                    </w:r>
                    <w:r>
                      <w:rPr>
                        <w:rFonts w:ascii="Carlito"/>
                        <w:color w:val="231F20"/>
                        <w:spacing w:val="2"/>
                        <w:w w:val="95"/>
                      </w:rPr>
                      <w:t xml:space="preserve"> </w:t>
                    </w:r>
                    <w:r>
                      <w:rPr>
                        <w:rFonts w:ascii="Carlito"/>
                        <w:color w:val="231F20"/>
                        <w:w w:val="95"/>
                      </w:rPr>
                      <w:t>populace</w:t>
                    </w:r>
                    <w:r>
                      <w:rPr>
                        <w:rFonts w:ascii="Carlito"/>
                        <w:color w:val="231F20"/>
                        <w:spacing w:val="-11"/>
                        <w:w w:val="95"/>
                      </w:rPr>
                      <w:t xml:space="preserve"> </w:t>
                    </w:r>
                    <w:r>
                      <w:rPr>
                        <w:rFonts w:ascii="Carlito"/>
                        <w:color w:val="231F20"/>
                        <w:w w:val="95"/>
                      </w:rPr>
                      <w:t>at</w:t>
                    </w:r>
                    <w:r>
                      <w:rPr>
                        <w:rFonts w:ascii="Carlito"/>
                        <w:color w:val="231F20"/>
                        <w:spacing w:val="-11"/>
                        <w:w w:val="95"/>
                      </w:rPr>
                      <w:t xml:space="preserve"> </w:t>
                    </w:r>
                    <w:r>
                      <w:rPr>
                        <w:rFonts w:ascii="Carlito"/>
                        <w:color w:val="231F20"/>
                        <w:w w:val="95"/>
                      </w:rPr>
                      <w:t xml:space="preserve">all </w:t>
                    </w:r>
                    <w:r>
                      <w:rPr>
                        <w:rFonts w:ascii="Carlito"/>
                        <w:color w:val="231F20"/>
                      </w:rPr>
                      <w:t>ages</w:t>
                    </w:r>
                  </w:p>
                </w:txbxContent>
              </v:textbox>
            </v:shape>
            <v:shape id="_x0000_s2095" type="#_x0000_t202" style="position:absolute;left:2101;top:1714;width:7273;height:459" filled="f" stroked="f">
              <v:textbox inset="0,0,0,0">
                <w:txbxContent>
                  <w:p w14:paraId="03988469" w14:textId="422DD2E6" w:rsidR="00080B77" w:rsidRDefault="00080B77">
                    <w:pPr>
                      <w:spacing w:line="208" w:lineRule="auto"/>
                      <w:ind w:left="3241" w:hanging="3242"/>
                      <w:rPr>
                        <w:rFonts w:ascii="Carlito"/>
                      </w:rPr>
                    </w:pPr>
                    <w:r>
                      <w:rPr>
                        <w:rFonts w:ascii="Carlito"/>
                        <w:b/>
                        <w:color w:val="231F20"/>
                        <w:w w:val="95"/>
                      </w:rPr>
                      <w:t>Overall</w:t>
                    </w:r>
                    <w:r>
                      <w:rPr>
                        <w:rFonts w:ascii="Carlito"/>
                        <w:b/>
                        <w:color w:val="231F20"/>
                        <w:spacing w:val="-17"/>
                        <w:w w:val="95"/>
                      </w:rPr>
                      <w:t xml:space="preserve"> </w:t>
                    </w:r>
                    <w:r>
                      <w:rPr>
                        <w:rFonts w:ascii="Carlito"/>
                        <w:b/>
                        <w:color w:val="231F20"/>
                        <w:w w:val="95"/>
                      </w:rPr>
                      <w:t>Result:</w:t>
                    </w:r>
                    <w:r>
                      <w:rPr>
                        <w:rFonts w:ascii="Carlito"/>
                        <w:b/>
                        <w:color w:val="231F20"/>
                        <w:spacing w:val="-6"/>
                        <w:w w:val="95"/>
                      </w:rPr>
                      <w:t xml:space="preserve"> </w:t>
                    </w:r>
                    <w:r>
                      <w:rPr>
                        <w:rFonts w:ascii="Carlito"/>
                        <w:color w:val="231F20"/>
                        <w:w w:val="95"/>
                      </w:rPr>
                      <w:t>Equitably</w:t>
                    </w:r>
                    <w:r>
                      <w:rPr>
                        <w:rFonts w:ascii="Carlito"/>
                        <w:color w:val="231F20"/>
                        <w:spacing w:val="-16"/>
                        <w:w w:val="95"/>
                      </w:rPr>
                      <w:t xml:space="preserve"> </w:t>
                    </w:r>
                    <w:r>
                      <w:rPr>
                        <w:rFonts w:ascii="Carlito"/>
                        <w:color w:val="231F20"/>
                        <w:w w:val="95"/>
                      </w:rPr>
                      <w:t>reduced</w:t>
                    </w:r>
                    <w:r>
                      <w:rPr>
                        <w:rFonts w:ascii="Carlito"/>
                        <w:color w:val="231F20"/>
                        <w:spacing w:val="-16"/>
                        <w:w w:val="95"/>
                      </w:rPr>
                      <w:t xml:space="preserve"> </w:t>
                    </w:r>
                    <w:r>
                      <w:rPr>
                        <w:rFonts w:ascii="Carlito"/>
                        <w:color w:val="231F20"/>
                        <w:w w:val="95"/>
                      </w:rPr>
                      <w:t>morbidity</w:t>
                    </w:r>
                    <w:r>
                      <w:rPr>
                        <w:rFonts w:ascii="Carlito"/>
                        <w:color w:val="231F20"/>
                        <w:spacing w:val="-16"/>
                        <w:w w:val="95"/>
                      </w:rPr>
                      <w:t xml:space="preserve"> </w:t>
                    </w:r>
                    <w:r>
                      <w:rPr>
                        <w:rFonts w:ascii="Carlito"/>
                        <w:color w:val="231F20"/>
                        <w:w w:val="95"/>
                      </w:rPr>
                      <w:t>and</w:t>
                    </w:r>
                    <w:r>
                      <w:rPr>
                        <w:rFonts w:ascii="Carlito"/>
                        <w:color w:val="231F20"/>
                        <w:spacing w:val="-16"/>
                        <w:w w:val="95"/>
                      </w:rPr>
                      <w:t xml:space="preserve"> </w:t>
                    </w:r>
                    <w:r>
                      <w:rPr>
                        <w:rFonts w:ascii="Carlito"/>
                        <w:color w:val="231F20"/>
                        <w:w w:val="95"/>
                      </w:rPr>
                      <w:t>mortality</w:t>
                    </w:r>
                    <w:r>
                      <w:rPr>
                        <w:rFonts w:ascii="Carlito"/>
                        <w:color w:val="231F20"/>
                        <w:spacing w:val="-17"/>
                        <w:w w:val="95"/>
                      </w:rPr>
                      <w:t xml:space="preserve"> </w:t>
                    </w:r>
                    <w:r>
                      <w:rPr>
                        <w:rFonts w:ascii="Carlito"/>
                        <w:color w:val="231F20"/>
                        <w:w w:val="95"/>
                      </w:rPr>
                      <w:t>and</w:t>
                    </w:r>
                    <w:r>
                      <w:rPr>
                        <w:rFonts w:ascii="Carlito"/>
                        <w:color w:val="231F20"/>
                        <w:spacing w:val="-16"/>
                        <w:w w:val="95"/>
                      </w:rPr>
                      <w:t xml:space="preserve"> </w:t>
                    </w:r>
                    <w:r>
                      <w:rPr>
                        <w:rFonts w:ascii="Carlito"/>
                        <w:color w:val="231F20"/>
                        <w:w w:val="95"/>
                      </w:rPr>
                      <w:t>improved</w:t>
                    </w:r>
                    <w:r>
                      <w:rPr>
                        <w:rFonts w:ascii="Carlito"/>
                        <w:color w:val="231F20"/>
                        <w:spacing w:val="-16"/>
                        <w:w w:val="95"/>
                      </w:rPr>
                      <w:t xml:space="preserve"> </w:t>
                    </w:r>
                    <w:r>
                      <w:rPr>
                        <w:rFonts w:ascii="Carlito"/>
                        <w:color w:val="231F20"/>
                        <w:w w:val="95"/>
                      </w:rPr>
                      <w:t xml:space="preserve">socioeconomic </w:t>
                    </w:r>
                    <w:r>
                      <w:rPr>
                        <w:rFonts w:ascii="Carlito"/>
                        <w:color w:val="231F20"/>
                      </w:rPr>
                      <w:t>wellbeing</w:t>
                    </w:r>
                  </w:p>
                </w:txbxContent>
              </v:textbox>
            </v:shape>
            <v:shape id="_x0000_s2094" type="#_x0000_t202" style="position:absolute;left:1641;top:2720;width:1178;height:1099" filled="f" stroked="f">
              <v:textbox inset="0,0,0,0">
                <w:txbxContent>
                  <w:p w14:paraId="1385CF30" w14:textId="77777777" w:rsidR="00080B77" w:rsidRDefault="00080B77">
                    <w:pPr>
                      <w:spacing w:line="195" w:lineRule="exact"/>
                      <w:ind w:right="74"/>
                      <w:jc w:val="center"/>
                      <w:rPr>
                        <w:rFonts w:ascii="Carlito"/>
                        <w:b/>
                        <w:sz w:val="19"/>
                      </w:rPr>
                    </w:pPr>
                    <w:r>
                      <w:rPr>
                        <w:rFonts w:ascii="Carlito"/>
                        <w:b/>
                        <w:color w:val="231F20"/>
                        <w:w w:val="95"/>
                        <w:sz w:val="19"/>
                      </w:rPr>
                      <w:t>Strategic Pillar</w:t>
                    </w:r>
                  </w:p>
                  <w:p w14:paraId="0F6A2D92" w14:textId="77777777" w:rsidR="00080B77" w:rsidRDefault="00080B77">
                    <w:pPr>
                      <w:ind w:right="75" w:firstLine="6"/>
                      <w:jc w:val="center"/>
                      <w:rPr>
                        <w:rFonts w:ascii="Carlito"/>
                        <w:sz w:val="18"/>
                      </w:rPr>
                    </w:pPr>
                    <w:proofErr w:type="spellStart"/>
                    <w:proofErr w:type="gramStart"/>
                    <w:r>
                      <w:rPr>
                        <w:rFonts w:ascii="Carlito"/>
                        <w:b/>
                        <w:color w:val="231F20"/>
                        <w:w w:val="95"/>
                        <w:sz w:val="19"/>
                      </w:rPr>
                      <w:t>One:</w:t>
                    </w:r>
                    <w:r>
                      <w:rPr>
                        <w:rFonts w:ascii="Carlito"/>
                        <w:color w:val="231F20"/>
                        <w:w w:val="95"/>
                        <w:sz w:val="18"/>
                      </w:rPr>
                      <w:t>Enabled</w:t>
                    </w:r>
                    <w:proofErr w:type="spellEnd"/>
                    <w:proofErr w:type="gramEnd"/>
                    <w:r>
                      <w:rPr>
                        <w:rFonts w:ascii="Carlito"/>
                        <w:color w:val="231F20"/>
                        <w:w w:val="95"/>
                        <w:sz w:val="18"/>
                      </w:rPr>
                      <w:t xml:space="preserve"> </w:t>
                    </w:r>
                    <w:r>
                      <w:rPr>
                        <w:rFonts w:ascii="Carlito"/>
                        <w:color w:val="231F20"/>
                        <w:w w:val="90"/>
                        <w:sz w:val="18"/>
                      </w:rPr>
                      <w:t xml:space="preserve">environment for </w:t>
                    </w:r>
                    <w:r>
                      <w:rPr>
                        <w:rFonts w:ascii="Carlito"/>
                        <w:color w:val="231F20"/>
                        <w:sz w:val="18"/>
                      </w:rPr>
                      <w:t>attainment of</w:t>
                    </w:r>
                  </w:p>
                  <w:p w14:paraId="7762F84D" w14:textId="77777777" w:rsidR="00080B77" w:rsidRDefault="00080B77">
                    <w:pPr>
                      <w:spacing w:before="3" w:line="229" w:lineRule="exact"/>
                      <w:ind w:left="679" w:right="6"/>
                      <w:jc w:val="center"/>
                      <w:rPr>
                        <w:rFonts w:ascii="Carlito"/>
                        <w:sz w:val="19"/>
                      </w:rPr>
                    </w:pPr>
                    <w:r>
                      <w:rPr>
                        <w:rFonts w:ascii="Carlito"/>
                        <w:color w:val="231F20"/>
                        <w:w w:val="90"/>
                        <w:sz w:val="19"/>
                      </w:rPr>
                      <w:t>comes</w:t>
                    </w:r>
                  </w:p>
                </w:txbxContent>
              </v:textbox>
            </v:shape>
            <v:shape id="_x0000_s2093" type="#_x0000_t202" style="position:absolute;left:3448;top:2685;width:1477;height:853" filled="f" stroked="f">
              <v:textbox inset="0,0,0,0">
                <w:txbxContent>
                  <w:p w14:paraId="6CF30DEB" w14:textId="77777777" w:rsidR="00080B77" w:rsidRDefault="00080B77">
                    <w:pPr>
                      <w:spacing w:line="195" w:lineRule="exact"/>
                      <w:ind w:right="18"/>
                      <w:jc w:val="center"/>
                      <w:rPr>
                        <w:rFonts w:ascii="Carlito"/>
                        <w:sz w:val="19"/>
                      </w:rPr>
                    </w:pPr>
                    <w:r>
                      <w:rPr>
                        <w:rFonts w:ascii="Carlito"/>
                        <w:b/>
                        <w:color w:val="231F20"/>
                        <w:w w:val="95"/>
                        <w:sz w:val="19"/>
                      </w:rPr>
                      <w:t>Strategic</w:t>
                    </w:r>
                    <w:r>
                      <w:rPr>
                        <w:rFonts w:ascii="Carlito"/>
                        <w:b/>
                        <w:color w:val="231F20"/>
                        <w:spacing w:val="-23"/>
                        <w:w w:val="95"/>
                        <w:sz w:val="19"/>
                      </w:rPr>
                      <w:t xml:space="preserve"> </w:t>
                    </w:r>
                    <w:r>
                      <w:rPr>
                        <w:rFonts w:ascii="Carlito"/>
                        <w:b/>
                        <w:color w:val="231F20"/>
                        <w:w w:val="95"/>
                        <w:sz w:val="19"/>
                      </w:rPr>
                      <w:t>Pillar</w:t>
                    </w:r>
                    <w:r>
                      <w:rPr>
                        <w:rFonts w:ascii="Carlito"/>
                        <w:b/>
                        <w:color w:val="231F20"/>
                        <w:spacing w:val="-23"/>
                        <w:w w:val="95"/>
                        <w:sz w:val="19"/>
                      </w:rPr>
                      <w:t xml:space="preserve"> </w:t>
                    </w:r>
                    <w:r>
                      <w:rPr>
                        <w:rFonts w:ascii="Carlito"/>
                        <w:b/>
                        <w:color w:val="231F20"/>
                        <w:w w:val="95"/>
                        <w:sz w:val="19"/>
                      </w:rPr>
                      <w:t>Two</w:t>
                    </w:r>
                    <w:r>
                      <w:rPr>
                        <w:rFonts w:ascii="Carlito"/>
                        <w:color w:val="231F20"/>
                        <w:w w:val="95"/>
                        <w:sz w:val="19"/>
                      </w:rPr>
                      <w:t>:</w:t>
                    </w:r>
                  </w:p>
                  <w:p w14:paraId="4369DC1E" w14:textId="77777777" w:rsidR="00080B77" w:rsidRDefault="00080B77">
                    <w:pPr>
                      <w:spacing w:before="2"/>
                      <w:ind w:right="19"/>
                      <w:jc w:val="center"/>
                      <w:rPr>
                        <w:rFonts w:ascii="Carlito"/>
                        <w:sz w:val="18"/>
                      </w:rPr>
                    </w:pPr>
                    <w:r>
                      <w:rPr>
                        <w:rFonts w:ascii="Carlito"/>
                        <w:color w:val="231F20"/>
                        <w:w w:val="95"/>
                        <w:sz w:val="18"/>
                      </w:rPr>
                      <w:t>Provision</w:t>
                    </w:r>
                    <w:r>
                      <w:rPr>
                        <w:rFonts w:ascii="Carlito"/>
                        <w:color w:val="231F20"/>
                        <w:spacing w:val="-25"/>
                        <w:w w:val="95"/>
                        <w:sz w:val="18"/>
                      </w:rPr>
                      <w:t xml:space="preserve"> </w:t>
                    </w:r>
                    <w:r>
                      <w:rPr>
                        <w:rFonts w:ascii="Carlito"/>
                        <w:color w:val="231F20"/>
                        <w:w w:val="95"/>
                        <w:sz w:val="18"/>
                      </w:rPr>
                      <w:t>of</w:t>
                    </w:r>
                    <w:r>
                      <w:rPr>
                        <w:rFonts w:ascii="Carlito"/>
                        <w:color w:val="231F20"/>
                        <w:spacing w:val="-25"/>
                        <w:w w:val="95"/>
                        <w:sz w:val="18"/>
                      </w:rPr>
                      <w:t xml:space="preserve"> </w:t>
                    </w:r>
                    <w:r>
                      <w:rPr>
                        <w:rFonts w:ascii="Carlito"/>
                        <w:color w:val="231F20"/>
                        <w:w w:val="95"/>
                        <w:sz w:val="18"/>
                      </w:rPr>
                      <w:t xml:space="preserve">essential </w:t>
                    </w:r>
                    <w:r>
                      <w:rPr>
                        <w:rFonts w:ascii="Carlito"/>
                        <w:color w:val="231F20"/>
                        <w:sz w:val="18"/>
                      </w:rPr>
                      <w:t>package of health care</w:t>
                    </w:r>
                    <w:r>
                      <w:rPr>
                        <w:rFonts w:ascii="Carlito"/>
                        <w:color w:val="231F20"/>
                        <w:spacing w:val="-13"/>
                        <w:sz w:val="18"/>
                      </w:rPr>
                      <w:t xml:space="preserve"> </w:t>
                    </w:r>
                    <w:r>
                      <w:rPr>
                        <w:rFonts w:ascii="Carlito"/>
                        <w:color w:val="231F20"/>
                        <w:sz w:val="18"/>
                      </w:rPr>
                      <w:t>services</w:t>
                    </w:r>
                  </w:p>
                </w:txbxContent>
              </v:textbox>
            </v:shape>
            <v:shape id="_x0000_s2092" type="#_x0000_t202" style="position:absolute;left:5633;top:2693;width:1118;height:661" filled="f" stroked="f">
              <v:textbox inset="0,0,0,0">
                <w:txbxContent>
                  <w:p w14:paraId="3E3ACAE2" w14:textId="77777777" w:rsidR="00080B77" w:rsidRDefault="00080B77">
                    <w:pPr>
                      <w:spacing w:line="195" w:lineRule="exact"/>
                      <w:ind w:left="22"/>
                      <w:rPr>
                        <w:rFonts w:ascii="Carlito"/>
                        <w:b/>
                        <w:sz w:val="19"/>
                      </w:rPr>
                    </w:pPr>
                    <w:r>
                      <w:rPr>
                        <w:rFonts w:ascii="Carlito"/>
                        <w:b/>
                        <w:color w:val="231F20"/>
                        <w:w w:val="90"/>
                        <w:sz w:val="19"/>
                      </w:rPr>
                      <w:t>Strategic</w:t>
                    </w:r>
                    <w:r>
                      <w:rPr>
                        <w:rFonts w:ascii="Carlito"/>
                        <w:b/>
                        <w:color w:val="231F20"/>
                        <w:spacing w:val="15"/>
                        <w:w w:val="90"/>
                        <w:sz w:val="19"/>
                      </w:rPr>
                      <w:t xml:space="preserve"> </w:t>
                    </w:r>
                    <w:r>
                      <w:rPr>
                        <w:rFonts w:ascii="Carlito"/>
                        <w:b/>
                        <w:color w:val="231F20"/>
                        <w:w w:val="90"/>
                        <w:sz w:val="19"/>
                      </w:rPr>
                      <w:t>Pillar</w:t>
                    </w:r>
                  </w:p>
                  <w:p w14:paraId="708612E5" w14:textId="7086932E" w:rsidR="00080B77" w:rsidRDefault="00080B77" w:rsidP="00DA56D4">
                    <w:pPr>
                      <w:spacing w:before="3"/>
                      <w:rPr>
                        <w:rFonts w:ascii="Carlito"/>
                        <w:sz w:val="19"/>
                      </w:rPr>
                    </w:pPr>
                    <w:proofErr w:type="spellStart"/>
                    <w:proofErr w:type="gramStart"/>
                    <w:r>
                      <w:rPr>
                        <w:rFonts w:ascii="Carlito"/>
                        <w:b/>
                        <w:color w:val="231F20"/>
                        <w:w w:val="95"/>
                        <w:sz w:val="19"/>
                      </w:rPr>
                      <w:t>Three:</w:t>
                    </w:r>
                    <w:r>
                      <w:rPr>
                        <w:rFonts w:ascii="Carlito"/>
                        <w:color w:val="231F20"/>
                        <w:w w:val="95"/>
                        <w:sz w:val="19"/>
                      </w:rPr>
                      <w:t>Healthh</w:t>
                    </w:r>
                    <w:proofErr w:type="spellEnd"/>
                    <w:proofErr w:type="gramEnd"/>
                    <w:r>
                      <w:rPr>
                        <w:rFonts w:ascii="Carlito"/>
                        <w:color w:val="231F20"/>
                        <w:w w:val="95"/>
                        <w:sz w:val="19"/>
                      </w:rPr>
                      <w:t xml:space="preserve"> </w:t>
                    </w:r>
                    <w:r>
                      <w:rPr>
                        <w:rFonts w:ascii="Carlito"/>
                        <w:color w:val="231F20"/>
                        <w:w w:val="90"/>
                        <w:sz w:val="19"/>
                      </w:rPr>
                      <w:t>system</w:t>
                    </w:r>
                    <w:r>
                      <w:rPr>
                        <w:rFonts w:ascii="Carlito"/>
                        <w:color w:val="231F20"/>
                        <w:spacing w:val="28"/>
                        <w:w w:val="90"/>
                        <w:sz w:val="19"/>
                      </w:rPr>
                      <w:t xml:space="preserve"> </w:t>
                    </w:r>
                    <w:r>
                      <w:rPr>
                        <w:rFonts w:ascii="Carlito"/>
                        <w:color w:val="231F20"/>
                        <w:spacing w:val="-3"/>
                        <w:w w:val="90"/>
                        <w:sz w:val="19"/>
                      </w:rPr>
                      <w:t>support</w:t>
                    </w:r>
                  </w:p>
                </w:txbxContent>
              </v:textbox>
            </v:shape>
            <v:shape id="_x0000_s2091" type="#_x0000_t202" style="position:absolute;left:7423;top:2598;width:1191;height:1361" filled="f" stroked="f">
              <v:textbox inset="0,0,0,0">
                <w:txbxContent>
                  <w:p w14:paraId="4239F660" w14:textId="77777777" w:rsidR="00080B77" w:rsidRDefault="00080B77">
                    <w:pPr>
                      <w:spacing w:line="195" w:lineRule="exact"/>
                      <w:ind w:right="22"/>
                      <w:jc w:val="center"/>
                      <w:rPr>
                        <w:rFonts w:ascii="Carlito"/>
                        <w:b/>
                        <w:sz w:val="19"/>
                      </w:rPr>
                    </w:pPr>
                    <w:r>
                      <w:rPr>
                        <w:rFonts w:ascii="Carlito"/>
                        <w:b/>
                        <w:color w:val="231F20"/>
                        <w:w w:val="90"/>
                        <w:sz w:val="19"/>
                      </w:rPr>
                      <w:t>Strategic</w:t>
                    </w:r>
                    <w:r>
                      <w:rPr>
                        <w:rFonts w:ascii="Carlito"/>
                        <w:b/>
                        <w:color w:val="231F20"/>
                        <w:spacing w:val="15"/>
                        <w:w w:val="90"/>
                        <w:sz w:val="19"/>
                      </w:rPr>
                      <w:t xml:space="preserve"> </w:t>
                    </w:r>
                    <w:r>
                      <w:rPr>
                        <w:rFonts w:ascii="Carlito"/>
                        <w:b/>
                        <w:color w:val="231F20"/>
                        <w:w w:val="90"/>
                        <w:sz w:val="19"/>
                      </w:rPr>
                      <w:t>Pillar</w:t>
                    </w:r>
                  </w:p>
                  <w:p w14:paraId="44AD923F" w14:textId="77777777" w:rsidR="00080B77" w:rsidRDefault="00080B77">
                    <w:pPr>
                      <w:spacing w:before="3" w:line="242" w:lineRule="auto"/>
                      <w:ind w:right="18"/>
                      <w:jc w:val="center"/>
                      <w:rPr>
                        <w:rFonts w:ascii="Carlito"/>
                        <w:sz w:val="19"/>
                      </w:rPr>
                    </w:pPr>
                    <w:r>
                      <w:rPr>
                        <w:rFonts w:ascii="Carlito"/>
                        <w:b/>
                        <w:color w:val="231F20"/>
                        <w:w w:val="90"/>
                        <w:sz w:val="19"/>
                      </w:rPr>
                      <w:t xml:space="preserve">Four: </w:t>
                    </w:r>
                    <w:r>
                      <w:rPr>
                        <w:rFonts w:ascii="Carlito"/>
                        <w:color w:val="231F20"/>
                        <w:w w:val="90"/>
                        <w:sz w:val="19"/>
                      </w:rPr>
                      <w:t xml:space="preserve">Protection </w:t>
                    </w:r>
                    <w:r>
                      <w:rPr>
                        <w:rFonts w:ascii="Carlito"/>
                        <w:color w:val="231F20"/>
                        <w:sz w:val="19"/>
                      </w:rPr>
                      <w:t xml:space="preserve">from public health </w:t>
                    </w:r>
                    <w:r>
                      <w:rPr>
                        <w:rFonts w:ascii="Carlito"/>
                        <w:color w:val="231F20"/>
                        <w:w w:val="95"/>
                        <w:sz w:val="19"/>
                      </w:rPr>
                      <w:t xml:space="preserve">emergencies&amp; </w:t>
                    </w:r>
                    <w:r>
                      <w:rPr>
                        <w:rFonts w:ascii="Carlito"/>
                        <w:color w:val="231F20"/>
                        <w:sz w:val="19"/>
                      </w:rPr>
                      <w:t>risks</w:t>
                    </w:r>
                    <w:r>
                      <w:rPr>
                        <w:rFonts w:ascii="Carlito"/>
                        <w:color w:val="231F20"/>
                        <w:spacing w:val="-21"/>
                        <w:sz w:val="19"/>
                      </w:rPr>
                      <w:t xml:space="preserve"> </w:t>
                    </w:r>
                    <w:r>
                      <w:rPr>
                        <w:rFonts w:ascii="Carlito"/>
                        <w:color w:val="231F20"/>
                        <w:sz w:val="19"/>
                      </w:rPr>
                      <w:t>and</w:t>
                    </w:r>
                    <w:r>
                      <w:rPr>
                        <w:rFonts w:ascii="Carlito"/>
                        <w:color w:val="231F20"/>
                        <w:spacing w:val="-21"/>
                        <w:sz w:val="19"/>
                      </w:rPr>
                      <w:t xml:space="preserve"> </w:t>
                    </w:r>
                    <w:r>
                      <w:rPr>
                        <w:rFonts w:ascii="Carlito"/>
                        <w:color w:val="231F20"/>
                        <w:sz w:val="19"/>
                      </w:rPr>
                      <w:t>risks</w:t>
                    </w:r>
                  </w:p>
                </w:txbxContent>
              </v:textbox>
            </v:shape>
            <v:shape id="_x0000_s2090" type="#_x0000_t202" style="position:absolute;left:9213;top:2699;width:1072;height:661" filled="f" stroked="f">
              <v:textbox inset="0,0,0,0">
                <w:txbxContent>
                  <w:p w14:paraId="41D063EA" w14:textId="77777777" w:rsidR="00080B77" w:rsidRDefault="00080B77">
                    <w:pPr>
                      <w:spacing w:line="195" w:lineRule="exact"/>
                      <w:rPr>
                        <w:rFonts w:ascii="Carlito"/>
                        <w:b/>
                        <w:sz w:val="19"/>
                      </w:rPr>
                    </w:pPr>
                    <w:r>
                      <w:rPr>
                        <w:rFonts w:ascii="Carlito"/>
                        <w:b/>
                        <w:color w:val="231F20"/>
                        <w:w w:val="95"/>
                        <w:sz w:val="19"/>
                      </w:rPr>
                      <w:t>Strategic</w:t>
                    </w:r>
                    <w:r>
                      <w:rPr>
                        <w:rFonts w:ascii="Carlito"/>
                        <w:b/>
                        <w:color w:val="231F20"/>
                        <w:spacing w:val="-25"/>
                        <w:w w:val="95"/>
                        <w:sz w:val="19"/>
                      </w:rPr>
                      <w:t xml:space="preserve"> </w:t>
                    </w:r>
                    <w:r>
                      <w:rPr>
                        <w:rFonts w:ascii="Carlito"/>
                        <w:b/>
                        <w:color w:val="231F20"/>
                        <w:w w:val="95"/>
                        <w:sz w:val="19"/>
                      </w:rPr>
                      <w:t>Pillar</w:t>
                    </w:r>
                  </w:p>
                  <w:p w14:paraId="7295D242" w14:textId="77777777" w:rsidR="00080B77" w:rsidRDefault="00080B77">
                    <w:pPr>
                      <w:spacing w:before="3"/>
                      <w:ind w:left="188" w:hanging="90"/>
                      <w:rPr>
                        <w:rFonts w:ascii="Carlito"/>
                        <w:sz w:val="19"/>
                      </w:rPr>
                    </w:pPr>
                    <w:r>
                      <w:rPr>
                        <w:rFonts w:ascii="Carlito"/>
                        <w:b/>
                        <w:color w:val="231F20"/>
                        <w:w w:val="95"/>
                        <w:sz w:val="19"/>
                      </w:rPr>
                      <w:t xml:space="preserve">Five: </w:t>
                    </w:r>
                    <w:r>
                      <w:rPr>
                        <w:rFonts w:ascii="Carlito"/>
                        <w:color w:val="231F20"/>
                        <w:w w:val="95"/>
                        <w:sz w:val="19"/>
                      </w:rPr>
                      <w:t xml:space="preserve">Health </w:t>
                    </w:r>
                    <w:r>
                      <w:rPr>
                        <w:rFonts w:ascii="Carlito"/>
                        <w:color w:val="231F20"/>
                        <w:sz w:val="19"/>
                      </w:rPr>
                      <w:t>Financing</w:t>
                    </w:r>
                  </w:p>
                </w:txbxContent>
              </v:textbox>
            </v:shape>
            <v:shape id="_x0000_s2089" type="#_x0000_t202" style="position:absolute;left:1614;top:4991;width:961;height:2533" filled="f" stroked="f">
              <v:textbox inset="0,0,0,0">
                <w:txbxContent>
                  <w:p w14:paraId="19F10C26" w14:textId="77777777" w:rsidR="00080B77" w:rsidRDefault="00080B77">
                    <w:pPr>
                      <w:spacing w:line="195" w:lineRule="exact"/>
                      <w:ind w:left="213"/>
                      <w:rPr>
                        <w:rFonts w:ascii="Carlito"/>
                        <w:b/>
                        <w:sz w:val="19"/>
                      </w:rPr>
                    </w:pPr>
                    <w:r>
                      <w:rPr>
                        <w:rFonts w:ascii="Carlito"/>
                        <w:b/>
                        <w:color w:val="231F20"/>
                        <w:sz w:val="19"/>
                      </w:rPr>
                      <w:t>Priority</w:t>
                    </w:r>
                  </w:p>
                  <w:p w14:paraId="4F6BC27B" w14:textId="77777777" w:rsidR="00080B77" w:rsidRDefault="00080B77">
                    <w:pPr>
                      <w:spacing w:before="3"/>
                      <w:ind w:left="134"/>
                      <w:rPr>
                        <w:rFonts w:ascii="Carlito"/>
                        <w:b/>
                        <w:sz w:val="19"/>
                      </w:rPr>
                    </w:pPr>
                    <w:r>
                      <w:rPr>
                        <w:rFonts w:ascii="Carlito"/>
                        <w:b/>
                        <w:color w:val="231F20"/>
                        <w:sz w:val="19"/>
                      </w:rPr>
                      <w:t>Areas (3):</w:t>
                    </w:r>
                  </w:p>
                  <w:p w14:paraId="7410B6C2" w14:textId="77777777" w:rsidR="00080B77" w:rsidRDefault="00080B77">
                    <w:pPr>
                      <w:spacing w:before="1"/>
                      <w:rPr>
                        <w:rFonts w:ascii="Carlito"/>
                        <w:sz w:val="19"/>
                      </w:rPr>
                    </w:pPr>
                    <w:r>
                      <w:rPr>
                        <w:rFonts w:ascii="Carlito"/>
                        <w:color w:val="231F20"/>
                        <w:sz w:val="19"/>
                      </w:rPr>
                      <w:t>1.)</w:t>
                    </w:r>
                  </w:p>
                  <w:p w14:paraId="404014A8" w14:textId="77777777" w:rsidR="00080B77" w:rsidRDefault="00080B77">
                    <w:pPr>
                      <w:spacing w:before="3"/>
                      <w:ind w:right="9"/>
                      <w:rPr>
                        <w:rFonts w:ascii="Carlito"/>
                        <w:sz w:val="19"/>
                      </w:rPr>
                    </w:pPr>
                    <w:r>
                      <w:rPr>
                        <w:rFonts w:ascii="Carlito"/>
                        <w:color w:val="231F20"/>
                        <w:w w:val="95"/>
                        <w:sz w:val="19"/>
                      </w:rPr>
                      <w:t>Leadership</w:t>
                    </w:r>
                    <w:r>
                      <w:rPr>
                        <w:rFonts w:ascii="Carlito"/>
                        <w:color w:val="231F20"/>
                        <w:spacing w:val="-20"/>
                        <w:w w:val="95"/>
                        <w:sz w:val="19"/>
                      </w:rPr>
                      <w:t xml:space="preserve"> </w:t>
                    </w:r>
                    <w:r>
                      <w:rPr>
                        <w:rFonts w:ascii="Carlito"/>
                        <w:color w:val="231F20"/>
                        <w:spacing w:val="-14"/>
                        <w:w w:val="95"/>
                        <w:sz w:val="19"/>
                      </w:rPr>
                      <w:t xml:space="preserve">&amp; </w:t>
                    </w:r>
                    <w:r>
                      <w:rPr>
                        <w:rFonts w:ascii="Carlito"/>
                        <w:color w:val="231F20"/>
                        <w:w w:val="95"/>
                        <w:sz w:val="19"/>
                      </w:rPr>
                      <w:t xml:space="preserve">Governance </w:t>
                    </w:r>
                    <w:r>
                      <w:rPr>
                        <w:rFonts w:ascii="Carlito"/>
                        <w:color w:val="231F20"/>
                        <w:sz w:val="19"/>
                      </w:rPr>
                      <w:t>2.)</w:t>
                    </w:r>
                  </w:p>
                  <w:p w14:paraId="75654553" w14:textId="77777777" w:rsidR="00080B77" w:rsidRDefault="00080B77">
                    <w:pPr>
                      <w:spacing w:before="5" w:line="242" w:lineRule="auto"/>
                      <w:rPr>
                        <w:rFonts w:ascii="Carlito"/>
                        <w:sz w:val="19"/>
                      </w:rPr>
                    </w:pPr>
                    <w:r>
                      <w:rPr>
                        <w:rFonts w:ascii="Carlito"/>
                        <w:color w:val="231F20"/>
                        <w:w w:val="95"/>
                        <w:sz w:val="19"/>
                      </w:rPr>
                      <w:t xml:space="preserve">Community </w:t>
                    </w:r>
                    <w:r>
                      <w:rPr>
                        <w:rFonts w:ascii="Carlito"/>
                        <w:color w:val="231F20"/>
                        <w:spacing w:val="-1"/>
                        <w:w w:val="90"/>
                        <w:sz w:val="19"/>
                      </w:rPr>
                      <w:t xml:space="preserve">Participation </w:t>
                    </w:r>
                    <w:r>
                      <w:rPr>
                        <w:rFonts w:ascii="Carlito"/>
                        <w:color w:val="231F20"/>
                        <w:sz w:val="19"/>
                      </w:rPr>
                      <w:t>3.)</w:t>
                    </w:r>
                  </w:p>
                  <w:p w14:paraId="49216841" w14:textId="77777777" w:rsidR="00080B77" w:rsidRDefault="00080B77">
                    <w:pPr>
                      <w:spacing w:line="242" w:lineRule="auto"/>
                      <w:rPr>
                        <w:rFonts w:ascii="Carlito"/>
                        <w:sz w:val="19"/>
                      </w:rPr>
                    </w:pPr>
                    <w:r>
                      <w:rPr>
                        <w:rFonts w:ascii="Carlito"/>
                        <w:color w:val="231F20"/>
                        <w:w w:val="90"/>
                        <w:sz w:val="19"/>
                      </w:rPr>
                      <w:t xml:space="preserve">Partnership </w:t>
                    </w:r>
                    <w:r>
                      <w:rPr>
                        <w:rFonts w:ascii="Carlito"/>
                        <w:color w:val="231F20"/>
                        <w:sz w:val="19"/>
                      </w:rPr>
                      <w:t>for Health</w:t>
                    </w:r>
                  </w:p>
                </w:txbxContent>
              </v:textbox>
            </v:shape>
            <v:shape id="_x0000_s2088" type="#_x0000_t202" style="position:absolute;left:5554;top:4904;width:1255;height:3469" filled="f" stroked="f">
              <v:textbox inset="0,0,0,0">
                <w:txbxContent>
                  <w:p w14:paraId="7963BAF3" w14:textId="77777777" w:rsidR="00080B77" w:rsidRDefault="00080B77">
                    <w:pPr>
                      <w:spacing w:line="195" w:lineRule="exact"/>
                      <w:ind w:left="69" w:right="66"/>
                      <w:jc w:val="center"/>
                      <w:rPr>
                        <w:rFonts w:ascii="Carlito"/>
                        <w:b/>
                        <w:sz w:val="19"/>
                      </w:rPr>
                    </w:pPr>
                    <w:r>
                      <w:rPr>
                        <w:rFonts w:ascii="Carlito"/>
                        <w:b/>
                        <w:color w:val="231F20"/>
                        <w:sz w:val="19"/>
                      </w:rPr>
                      <w:t>Priority Areas</w:t>
                    </w:r>
                  </w:p>
                  <w:p w14:paraId="0207E674" w14:textId="77777777" w:rsidR="00080B77" w:rsidRDefault="00080B77">
                    <w:pPr>
                      <w:spacing w:before="3"/>
                      <w:ind w:left="68" w:right="66"/>
                      <w:jc w:val="center"/>
                      <w:rPr>
                        <w:rFonts w:ascii="Carlito"/>
                        <w:b/>
                        <w:sz w:val="19"/>
                      </w:rPr>
                    </w:pPr>
                    <w:r>
                      <w:rPr>
                        <w:rFonts w:ascii="Carlito"/>
                        <w:b/>
                        <w:color w:val="231F20"/>
                        <w:sz w:val="19"/>
                      </w:rPr>
                      <w:t>(4):</w:t>
                    </w:r>
                  </w:p>
                  <w:p w14:paraId="0420B275" w14:textId="77777777" w:rsidR="00080B77" w:rsidRDefault="00080B77">
                    <w:pPr>
                      <w:spacing w:before="1" w:line="242" w:lineRule="auto"/>
                      <w:rPr>
                        <w:rFonts w:ascii="Carlito"/>
                        <w:sz w:val="19"/>
                      </w:rPr>
                    </w:pPr>
                    <w:r>
                      <w:rPr>
                        <w:rFonts w:ascii="Carlito"/>
                        <w:color w:val="231F20"/>
                        <w:sz w:val="19"/>
                      </w:rPr>
                      <w:t xml:space="preserve">9.) Human </w:t>
                    </w:r>
                    <w:r>
                      <w:rPr>
                        <w:rFonts w:ascii="Carlito"/>
                        <w:color w:val="231F20"/>
                        <w:w w:val="95"/>
                        <w:sz w:val="19"/>
                      </w:rPr>
                      <w:t xml:space="preserve">Resource for </w:t>
                    </w:r>
                    <w:r>
                      <w:rPr>
                        <w:rFonts w:ascii="Carlito"/>
                        <w:color w:val="231F20"/>
                        <w:sz w:val="19"/>
                      </w:rPr>
                      <w:t>Health</w:t>
                    </w:r>
                  </w:p>
                  <w:p w14:paraId="756ADC77" w14:textId="77777777" w:rsidR="00080B77" w:rsidRDefault="00080B77">
                    <w:pPr>
                      <w:spacing w:line="242" w:lineRule="auto"/>
                      <w:rPr>
                        <w:rFonts w:ascii="Carlito"/>
                        <w:sz w:val="19"/>
                      </w:rPr>
                    </w:pPr>
                    <w:r>
                      <w:rPr>
                        <w:rFonts w:ascii="Carlito"/>
                        <w:color w:val="231F20"/>
                        <w:sz w:val="19"/>
                      </w:rPr>
                      <w:t xml:space="preserve">10.) Health Infrastructure 11.) Medicines, Vaccines and Other Health </w:t>
                    </w:r>
                    <w:r>
                      <w:rPr>
                        <w:rFonts w:ascii="Carlito"/>
                        <w:color w:val="231F20"/>
                        <w:w w:val="90"/>
                        <w:sz w:val="19"/>
                      </w:rPr>
                      <w:t xml:space="preserve">Technologies and </w:t>
                    </w:r>
                    <w:r>
                      <w:rPr>
                        <w:rFonts w:ascii="Carlito"/>
                        <w:color w:val="231F20"/>
                        <w:sz w:val="19"/>
                      </w:rPr>
                      <w:t>Supplies</w:t>
                    </w:r>
                  </w:p>
                  <w:p w14:paraId="1F98A747" w14:textId="77777777" w:rsidR="00080B77" w:rsidRDefault="00080B77">
                    <w:pPr>
                      <w:spacing w:line="242" w:lineRule="auto"/>
                      <w:ind w:right="382"/>
                      <w:rPr>
                        <w:rFonts w:ascii="Carlito"/>
                        <w:sz w:val="19"/>
                      </w:rPr>
                    </w:pPr>
                    <w:r>
                      <w:rPr>
                        <w:rFonts w:ascii="Carlito"/>
                        <w:color w:val="231F20"/>
                        <w:sz w:val="19"/>
                      </w:rPr>
                      <w:t xml:space="preserve">12.) Health </w:t>
                    </w:r>
                    <w:r>
                      <w:rPr>
                        <w:rFonts w:ascii="Carlito"/>
                        <w:color w:val="231F20"/>
                        <w:w w:val="90"/>
                        <w:sz w:val="19"/>
                      </w:rPr>
                      <w:t xml:space="preserve">Information </w:t>
                    </w:r>
                    <w:r>
                      <w:rPr>
                        <w:rFonts w:ascii="Carlito"/>
                        <w:color w:val="231F20"/>
                        <w:sz w:val="19"/>
                      </w:rPr>
                      <w:t>System</w:t>
                    </w:r>
                  </w:p>
                </w:txbxContent>
              </v:textbox>
            </v:shape>
            <v:shape id="_x0000_s2087" type="#_x0000_t202" style="position:absolute;left:7493;top:4953;width:1258;height:1126" filled="f" stroked="f">
              <v:textbox inset="0,0,0,0">
                <w:txbxContent>
                  <w:p w14:paraId="04A1E2BE" w14:textId="77777777" w:rsidR="00080B77" w:rsidRDefault="00080B77">
                    <w:pPr>
                      <w:spacing w:line="195" w:lineRule="exact"/>
                      <w:ind w:left="19"/>
                      <w:rPr>
                        <w:rFonts w:ascii="Carlito"/>
                        <w:b/>
                        <w:sz w:val="19"/>
                      </w:rPr>
                    </w:pPr>
                    <w:r>
                      <w:rPr>
                        <w:rFonts w:ascii="Carlito"/>
                        <w:b/>
                        <w:color w:val="231F20"/>
                        <w:w w:val="95"/>
                        <w:sz w:val="19"/>
                      </w:rPr>
                      <w:t>Priority Area</w:t>
                    </w:r>
                    <w:r>
                      <w:rPr>
                        <w:rFonts w:ascii="Carlito"/>
                        <w:b/>
                        <w:color w:val="231F20"/>
                        <w:spacing w:val="-31"/>
                        <w:w w:val="95"/>
                        <w:sz w:val="19"/>
                      </w:rPr>
                      <w:t xml:space="preserve"> </w:t>
                    </w:r>
                    <w:r>
                      <w:rPr>
                        <w:rFonts w:ascii="Carlito"/>
                        <w:b/>
                        <w:color w:val="231F20"/>
                        <w:w w:val="95"/>
                        <w:sz w:val="19"/>
                      </w:rPr>
                      <w:t>(1):</w:t>
                    </w:r>
                  </w:p>
                  <w:p w14:paraId="5184460D" w14:textId="77777777" w:rsidR="00080B77" w:rsidRDefault="00080B77">
                    <w:pPr>
                      <w:spacing w:line="242" w:lineRule="auto"/>
                      <w:rPr>
                        <w:rFonts w:ascii="Carlito"/>
                        <w:sz w:val="19"/>
                      </w:rPr>
                    </w:pPr>
                    <w:r>
                      <w:rPr>
                        <w:rFonts w:ascii="Carlito"/>
                        <w:color w:val="231F20"/>
                        <w:sz w:val="19"/>
                      </w:rPr>
                      <w:t xml:space="preserve">14.) Protection from health </w:t>
                    </w:r>
                    <w:r>
                      <w:rPr>
                        <w:rFonts w:ascii="Carlito"/>
                        <w:color w:val="231F20"/>
                        <w:w w:val="90"/>
                        <w:sz w:val="19"/>
                      </w:rPr>
                      <w:t xml:space="preserve">emergencies and </w:t>
                    </w:r>
                    <w:r>
                      <w:rPr>
                        <w:rFonts w:ascii="Carlito"/>
                        <w:color w:val="231F20"/>
                        <w:sz w:val="19"/>
                      </w:rPr>
                      <w:t>risks</w:t>
                    </w:r>
                  </w:p>
                </w:txbxContent>
              </v:textbox>
            </v:shape>
            <v:shape id="_x0000_s2086" type="#_x0000_t202" style="position:absolute;left:9213;top:4936;width:977;height:893" filled="f" stroked="f">
              <v:textbox inset="0,0,0,0">
                <w:txbxContent>
                  <w:p w14:paraId="0295EC09" w14:textId="77777777" w:rsidR="00080B77" w:rsidRDefault="00080B77">
                    <w:pPr>
                      <w:spacing w:line="195" w:lineRule="exact"/>
                      <w:ind w:left="7"/>
                      <w:jc w:val="center"/>
                      <w:rPr>
                        <w:rFonts w:ascii="Carlito"/>
                        <w:b/>
                        <w:sz w:val="19"/>
                      </w:rPr>
                    </w:pPr>
                    <w:r>
                      <w:rPr>
                        <w:rFonts w:ascii="Carlito"/>
                        <w:b/>
                        <w:color w:val="231F20"/>
                        <w:w w:val="95"/>
                        <w:sz w:val="19"/>
                      </w:rPr>
                      <w:t>Priority Area</w:t>
                    </w:r>
                  </w:p>
                  <w:p w14:paraId="4C8CBAE2" w14:textId="77777777" w:rsidR="00080B77" w:rsidRDefault="00080B77">
                    <w:pPr>
                      <w:ind w:left="7"/>
                      <w:jc w:val="center"/>
                      <w:rPr>
                        <w:rFonts w:ascii="Carlito"/>
                        <w:b/>
                        <w:sz w:val="19"/>
                      </w:rPr>
                    </w:pPr>
                    <w:r>
                      <w:rPr>
                        <w:rFonts w:ascii="Carlito"/>
                        <w:b/>
                        <w:color w:val="231F20"/>
                        <w:sz w:val="19"/>
                      </w:rPr>
                      <w:t>(1):</w:t>
                    </w:r>
                  </w:p>
                  <w:p w14:paraId="4DEA50FC" w14:textId="77777777" w:rsidR="00080B77" w:rsidRDefault="00080B77">
                    <w:pPr>
                      <w:spacing w:before="4"/>
                      <w:rPr>
                        <w:rFonts w:ascii="Carlito"/>
                        <w:sz w:val="19"/>
                      </w:rPr>
                    </w:pPr>
                    <w:r>
                      <w:rPr>
                        <w:rFonts w:ascii="Carlito"/>
                        <w:color w:val="231F20"/>
                        <w:sz w:val="19"/>
                      </w:rPr>
                      <w:t>15.) Health Financing</w:t>
                    </w:r>
                  </w:p>
                </w:txbxContent>
              </v:textbox>
            </v:shape>
            <v:shape id="_x0000_s2085" type="#_x0000_t202" style="position:absolute;left:1534;top:8911;width:1050;height:663" filled="f" stroked="f">
              <v:textbox inset="0,0,0,0">
                <w:txbxContent>
                  <w:p w14:paraId="5C7BE21D" w14:textId="77777777" w:rsidR="00080B77" w:rsidRDefault="00080B77">
                    <w:pPr>
                      <w:numPr>
                        <w:ilvl w:val="0"/>
                        <w:numId w:val="301"/>
                      </w:numPr>
                      <w:tabs>
                        <w:tab w:val="left" w:pos="177"/>
                      </w:tabs>
                      <w:spacing w:line="195" w:lineRule="exact"/>
                      <w:rPr>
                        <w:rFonts w:ascii="Carlito"/>
                        <w:b/>
                        <w:sz w:val="19"/>
                      </w:rPr>
                    </w:pPr>
                    <w:r>
                      <w:rPr>
                        <w:rFonts w:ascii="Carlito"/>
                        <w:b/>
                        <w:color w:val="231F20"/>
                        <w:w w:val="95"/>
                        <w:sz w:val="19"/>
                      </w:rPr>
                      <w:t>Outcomes:</w:t>
                    </w:r>
                  </w:p>
                  <w:p w14:paraId="179E64CE" w14:textId="77777777" w:rsidR="00080B77" w:rsidRDefault="00080B77">
                    <w:pPr>
                      <w:numPr>
                        <w:ilvl w:val="0"/>
                        <w:numId w:val="301"/>
                      </w:numPr>
                      <w:tabs>
                        <w:tab w:val="left" w:pos="177"/>
                      </w:tabs>
                      <w:spacing w:line="247" w:lineRule="auto"/>
                      <w:ind w:left="0" w:right="18" w:firstLine="0"/>
                      <w:rPr>
                        <w:rFonts w:ascii="Carlito"/>
                        <w:b/>
                        <w:sz w:val="19"/>
                      </w:rPr>
                    </w:pPr>
                    <w:r>
                      <w:rPr>
                        <w:rFonts w:ascii="Carlito"/>
                        <w:b/>
                        <w:color w:val="231F20"/>
                        <w:spacing w:val="-2"/>
                        <w:sz w:val="19"/>
                      </w:rPr>
                      <w:t xml:space="preserve">Key </w:t>
                    </w:r>
                    <w:r>
                      <w:rPr>
                        <w:rFonts w:ascii="Carlito"/>
                        <w:b/>
                        <w:color w:val="231F20"/>
                        <w:spacing w:val="-1"/>
                        <w:w w:val="90"/>
                        <w:sz w:val="19"/>
                      </w:rPr>
                      <w:t>Interventions:</w:t>
                    </w:r>
                  </w:p>
                </w:txbxContent>
              </v:textbox>
            </v:shape>
            <v:shape id="_x0000_s2084" type="#_x0000_t202" style="position:absolute;left:5581;top:8938;width:1050;height:661" filled="f" stroked="f">
              <v:textbox inset="0,0,0,0">
                <w:txbxContent>
                  <w:p w14:paraId="08CC3C9C" w14:textId="77777777" w:rsidR="00080B77" w:rsidRDefault="00080B77">
                    <w:pPr>
                      <w:numPr>
                        <w:ilvl w:val="0"/>
                        <w:numId w:val="300"/>
                      </w:numPr>
                      <w:tabs>
                        <w:tab w:val="left" w:pos="177"/>
                      </w:tabs>
                      <w:spacing w:line="195" w:lineRule="exact"/>
                      <w:rPr>
                        <w:rFonts w:ascii="Carlito"/>
                        <w:b/>
                        <w:sz w:val="19"/>
                      </w:rPr>
                    </w:pPr>
                    <w:r>
                      <w:rPr>
                        <w:rFonts w:ascii="Carlito"/>
                        <w:b/>
                        <w:color w:val="231F20"/>
                        <w:w w:val="95"/>
                        <w:sz w:val="19"/>
                      </w:rPr>
                      <w:t>Outcomes:</w:t>
                    </w:r>
                  </w:p>
                  <w:p w14:paraId="1E3DDB94" w14:textId="77777777" w:rsidR="00080B77" w:rsidRDefault="00080B77">
                    <w:pPr>
                      <w:numPr>
                        <w:ilvl w:val="0"/>
                        <w:numId w:val="300"/>
                      </w:numPr>
                      <w:tabs>
                        <w:tab w:val="left" w:pos="177"/>
                      </w:tabs>
                      <w:spacing w:line="242" w:lineRule="auto"/>
                      <w:ind w:left="0" w:right="18" w:firstLine="0"/>
                      <w:rPr>
                        <w:rFonts w:ascii="Carlito"/>
                        <w:b/>
                        <w:sz w:val="19"/>
                      </w:rPr>
                    </w:pPr>
                    <w:r>
                      <w:rPr>
                        <w:rFonts w:ascii="Carlito"/>
                        <w:b/>
                        <w:color w:val="231F20"/>
                        <w:spacing w:val="-2"/>
                        <w:sz w:val="19"/>
                      </w:rPr>
                      <w:t xml:space="preserve">Key </w:t>
                    </w:r>
                    <w:r>
                      <w:rPr>
                        <w:rFonts w:ascii="Carlito"/>
                        <w:b/>
                        <w:color w:val="231F20"/>
                        <w:spacing w:val="-1"/>
                        <w:w w:val="90"/>
                        <w:sz w:val="19"/>
                      </w:rPr>
                      <w:t>Interventions:</w:t>
                    </w:r>
                  </w:p>
                </w:txbxContent>
              </v:textbox>
            </v:shape>
            <v:shape id="_x0000_s2083" type="#_x0000_t202" style="position:absolute;left:7525;top:8998;width:1050;height:661" filled="f" stroked="f">
              <v:textbox inset="0,0,0,0">
                <w:txbxContent>
                  <w:p w14:paraId="76785D60" w14:textId="77777777" w:rsidR="00080B77" w:rsidRDefault="00080B77">
                    <w:pPr>
                      <w:numPr>
                        <w:ilvl w:val="0"/>
                        <w:numId w:val="299"/>
                      </w:numPr>
                      <w:tabs>
                        <w:tab w:val="left" w:pos="177"/>
                      </w:tabs>
                      <w:spacing w:line="195" w:lineRule="exact"/>
                      <w:rPr>
                        <w:rFonts w:ascii="Carlito"/>
                        <w:b/>
                        <w:sz w:val="19"/>
                      </w:rPr>
                    </w:pPr>
                    <w:r>
                      <w:rPr>
                        <w:rFonts w:ascii="Carlito"/>
                        <w:b/>
                        <w:color w:val="231F20"/>
                        <w:w w:val="95"/>
                        <w:sz w:val="19"/>
                      </w:rPr>
                      <w:t>Outcomes:</w:t>
                    </w:r>
                  </w:p>
                  <w:p w14:paraId="02A32FFA" w14:textId="77777777" w:rsidR="00080B77" w:rsidRDefault="00080B77">
                    <w:pPr>
                      <w:numPr>
                        <w:ilvl w:val="0"/>
                        <w:numId w:val="299"/>
                      </w:numPr>
                      <w:tabs>
                        <w:tab w:val="left" w:pos="177"/>
                      </w:tabs>
                      <w:spacing w:before="3"/>
                      <w:ind w:left="0" w:right="18" w:firstLine="0"/>
                      <w:rPr>
                        <w:rFonts w:ascii="Carlito"/>
                        <w:b/>
                        <w:sz w:val="19"/>
                      </w:rPr>
                    </w:pPr>
                    <w:r>
                      <w:rPr>
                        <w:rFonts w:ascii="Carlito"/>
                        <w:b/>
                        <w:color w:val="231F20"/>
                        <w:spacing w:val="-2"/>
                        <w:sz w:val="19"/>
                      </w:rPr>
                      <w:t xml:space="preserve">Key </w:t>
                    </w:r>
                    <w:r>
                      <w:rPr>
                        <w:rFonts w:ascii="Carlito"/>
                        <w:b/>
                        <w:color w:val="231F20"/>
                        <w:spacing w:val="-1"/>
                        <w:w w:val="90"/>
                        <w:sz w:val="19"/>
                      </w:rPr>
                      <w:t>Interventions:</w:t>
                    </w:r>
                  </w:p>
                </w:txbxContent>
              </v:textbox>
            </v:shape>
            <v:shape id="_x0000_s2082" type="#_x0000_t202" style="position:absolute;left:9175;top:8984;width:1050;height:661" filled="f" stroked="f">
              <v:textbox inset="0,0,0,0">
                <w:txbxContent>
                  <w:p w14:paraId="0CB94EC5" w14:textId="77777777" w:rsidR="00080B77" w:rsidRDefault="00080B77">
                    <w:pPr>
                      <w:numPr>
                        <w:ilvl w:val="0"/>
                        <w:numId w:val="298"/>
                      </w:numPr>
                      <w:tabs>
                        <w:tab w:val="left" w:pos="177"/>
                      </w:tabs>
                      <w:spacing w:line="195" w:lineRule="exact"/>
                      <w:rPr>
                        <w:rFonts w:ascii="Carlito"/>
                        <w:b/>
                        <w:sz w:val="19"/>
                      </w:rPr>
                    </w:pPr>
                    <w:r>
                      <w:rPr>
                        <w:rFonts w:ascii="Carlito"/>
                        <w:b/>
                        <w:color w:val="231F20"/>
                        <w:w w:val="95"/>
                        <w:sz w:val="19"/>
                      </w:rPr>
                      <w:t>Outcomes:</w:t>
                    </w:r>
                  </w:p>
                  <w:p w14:paraId="3C0F836E" w14:textId="77777777" w:rsidR="00080B77" w:rsidRDefault="00080B77">
                    <w:pPr>
                      <w:numPr>
                        <w:ilvl w:val="0"/>
                        <w:numId w:val="298"/>
                      </w:numPr>
                      <w:tabs>
                        <w:tab w:val="left" w:pos="177"/>
                      </w:tabs>
                      <w:spacing w:before="3"/>
                      <w:ind w:left="0" w:right="18" w:firstLine="0"/>
                      <w:rPr>
                        <w:rFonts w:ascii="Carlito"/>
                        <w:b/>
                        <w:sz w:val="19"/>
                      </w:rPr>
                    </w:pPr>
                    <w:r>
                      <w:rPr>
                        <w:rFonts w:ascii="Carlito"/>
                        <w:b/>
                        <w:color w:val="231F20"/>
                        <w:spacing w:val="-2"/>
                        <w:sz w:val="19"/>
                      </w:rPr>
                      <w:t xml:space="preserve">Key </w:t>
                    </w:r>
                    <w:r>
                      <w:rPr>
                        <w:rFonts w:ascii="Carlito"/>
                        <w:b/>
                        <w:color w:val="231F20"/>
                        <w:spacing w:val="-1"/>
                        <w:w w:val="90"/>
                        <w:sz w:val="19"/>
                      </w:rPr>
                      <w:t>Interventions:</w:t>
                    </w:r>
                  </w:p>
                </w:txbxContent>
              </v:textbox>
            </v:shape>
            <w10:wrap type="topAndBottom" anchorx="page"/>
          </v:group>
        </w:pict>
      </w:r>
    </w:p>
    <w:p w14:paraId="0BBB5E7E" w14:textId="77777777" w:rsidR="009948F1" w:rsidRDefault="009948F1">
      <w:pPr>
        <w:pStyle w:val="BodyText"/>
        <w:rPr>
          <w:b/>
          <w:sz w:val="20"/>
        </w:rPr>
      </w:pPr>
    </w:p>
    <w:p w14:paraId="2E24ADC3" w14:textId="77777777" w:rsidR="009948F1" w:rsidRDefault="009948F1">
      <w:pPr>
        <w:pStyle w:val="BodyText"/>
        <w:rPr>
          <w:b/>
          <w:sz w:val="20"/>
        </w:rPr>
      </w:pPr>
    </w:p>
    <w:p w14:paraId="502AEF33" w14:textId="77777777" w:rsidR="009948F1" w:rsidRDefault="00244DD0">
      <w:pPr>
        <w:spacing w:before="203"/>
        <w:ind w:left="143"/>
        <w:rPr>
          <w:b/>
          <w:sz w:val="24"/>
        </w:rPr>
      </w:pPr>
      <w:r>
        <w:pict w14:anchorId="1603D6B5">
          <v:group id="_x0000_s2077" style="position:absolute;left:0;text-align:left;margin-left:156.25pt;margin-top:-285.75pt;width:93.95pt;height:260.8pt;z-index:15739904;mso-position-horizontal-relative:page" coordorigin="3125,-5715" coordsize="1879,5216">
            <v:shape id="_x0000_s2080" type="#_x0000_t75" style="position:absolute;left:3124;top:-5715;width:1879;height:5216">
              <v:imagedata r:id="rId26" o:title=""/>
            </v:shape>
            <v:shape id="_x0000_s2079" type="#_x0000_t202" style="position:absolute;left:3394;top:-5410;width:1335;height:3469" filled="f" stroked="f">
              <v:textbox inset="0,0,0,0">
                <w:txbxContent>
                  <w:p w14:paraId="2639DE76" w14:textId="77777777" w:rsidR="00080B77" w:rsidRDefault="00080B77">
                    <w:pPr>
                      <w:spacing w:line="195" w:lineRule="exact"/>
                      <w:ind w:left="27"/>
                      <w:rPr>
                        <w:rFonts w:ascii="Carlito"/>
                        <w:b/>
                        <w:sz w:val="19"/>
                      </w:rPr>
                    </w:pPr>
                    <w:r>
                      <w:rPr>
                        <w:rFonts w:ascii="Carlito"/>
                        <w:b/>
                        <w:color w:val="231F20"/>
                        <w:w w:val="95"/>
                        <w:sz w:val="19"/>
                      </w:rPr>
                      <w:t>Priority Areas</w:t>
                    </w:r>
                    <w:r>
                      <w:rPr>
                        <w:rFonts w:ascii="Carlito"/>
                        <w:b/>
                        <w:color w:val="231F20"/>
                        <w:spacing w:val="-33"/>
                        <w:w w:val="95"/>
                        <w:sz w:val="19"/>
                      </w:rPr>
                      <w:t xml:space="preserve"> </w:t>
                    </w:r>
                    <w:r>
                      <w:rPr>
                        <w:rFonts w:ascii="Carlito"/>
                        <w:b/>
                        <w:color w:val="231F20"/>
                        <w:w w:val="95"/>
                        <w:sz w:val="19"/>
                      </w:rPr>
                      <w:t>(5):</w:t>
                    </w:r>
                  </w:p>
                  <w:p w14:paraId="15180F64" w14:textId="77777777" w:rsidR="00080B77" w:rsidRDefault="00080B77">
                    <w:pPr>
                      <w:spacing w:before="3"/>
                      <w:rPr>
                        <w:rFonts w:ascii="Carlito"/>
                        <w:sz w:val="19"/>
                      </w:rPr>
                    </w:pPr>
                    <w:r>
                      <w:rPr>
                        <w:rFonts w:ascii="Carlito"/>
                        <w:color w:val="231F20"/>
                        <w:sz w:val="19"/>
                      </w:rPr>
                      <w:t>4.) RMNCAH &amp;</w:t>
                    </w:r>
                  </w:p>
                  <w:p w14:paraId="57131D7C" w14:textId="77777777" w:rsidR="00080B77" w:rsidRDefault="00080B77">
                    <w:pPr>
                      <w:spacing w:before="1"/>
                      <w:rPr>
                        <w:rFonts w:ascii="Carlito"/>
                        <w:sz w:val="19"/>
                      </w:rPr>
                    </w:pPr>
                    <w:r>
                      <w:rPr>
                        <w:rFonts w:ascii="Carlito"/>
                        <w:color w:val="231F20"/>
                        <w:sz w:val="19"/>
                      </w:rPr>
                      <w:t>Nutrition</w:t>
                    </w:r>
                  </w:p>
                  <w:p w14:paraId="135EF3B1" w14:textId="77777777" w:rsidR="00080B77" w:rsidRDefault="00080B77">
                    <w:pPr>
                      <w:spacing w:before="3"/>
                      <w:rPr>
                        <w:rFonts w:ascii="Carlito"/>
                        <w:sz w:val="19"/>
                      </w:rPr>
                    </w:pPr>
                    <w:r>
                      <w:rPr>
                        <w:rFonts w:ascii="Carlito"/>
                        <w:color w:val="231F20"/>
                        <w:w w:val="90"/>
                        <w:sz w:val="19"/>
                      </w:rPr>
                      <w:t xml:space="preserve">5.) Communicable </w:t>
                    </w:r>
                    <w:r>
                      <w:rPr>
                        <w:rFonts w:ascii="Carlito"/>
                        <w:color w:val="231F20"/>
                        <w:sz w:val="19"/>
                      </w:rPr>
                      <w:t>Disease</w:t>
                    </w:r>
                  </w:p>
                  <w:p w14:paraId="3CB79861" w14:textId="77777777" w:rsidR="00080B77" w:rsidRDefault="00080B77">
                    <w:pPr>
                      <w:spacing w:before="2"/>
                      <w:rPr>
                        <w:rFonts w:ascii="Carlito"/>
                        <w:sz w:val="19"/>
                      </w:rPr>
                    </w:pPr>
                    <w:r>
                      <w:rPr>
                        <w:rFonts w:ascii="Carlito"/>
                        <w:color w:val="231F20"/>
                        <w:w w:val="95"/>
                        <w:sz w:val="19"/>
                      </w:rPr>
                      <w:t>6.)</w:t>
                    </w:r>
                    <w:r>
                      <w:rPr>
                        <w:rFonts w:ascii="Carlito"/>
                        <w:color w:val="231F20"/>
                        <w:spacing w:val="-19"/>
                        <w:w w:val="95"/>
                        <w:sz w:val="19"/>
                      </w:rPr>
                      <w:t xml:space="preserve"> </w:t>
                    </w:r>
                    <w:r>
                      <w:rPr>
                        <w:rFonts w:ascii="Carlito"/>
                        <w:color w:val="231F20"/>
                        <w:w w:val="95"/>
                        <w:sz w:val="19"/>
                      </w:rPr>
                      <w:t>Non-</w:t>
                    </w:r>
                  </w:p>
                  <w:p w14:paraId="6A5D9B3A" w14:textId="77777777" w:rsidR="00080B77" w:rsidRDefault="00080B77">
                    <w:pPr>
                      <w:spacing w:before="3"/>
                      <w:rPr>
                        <w:rFonts w:ascii="Carlito"/>
                        <w:sz w:val="19"/>
                      </w:rPr>
                    </w:pPr>
                    <w:r>
                      <w:rPr>
                        <w:rFonts w:ascii="Carlito"/>
                        <w:color w:val="231F20"/>
                        <w:spacing w:val="-1"/>
                        <w:w w:val="90"/>
                        <w:sz w:val="19"/>
                      </w:rPr>
                      <w:t xml:space="preserve">Communicable </w:t>
                    </w:r>
                    <w:r>
                      <w:rPr>
                        <w:rFonts w:ascii="Carlito"/>
                        <w:color w:val="231F20"/>
                        <w:sz w:val="19"/>
                      </w:rPr>
                      <w:t>Disease</w:t>
                    </w:r>
                  </w:p>
                  <w:p w14:paraId="2418DFAE" w14:textId="77777777" w:rsidR="00080B77" w:rsidRDefault="00080B77">
                    <w:pPr>
                      <w:spacing w:before="5" w:line="242" w:lineRule="auto"/>
                      <w:rPr>
                        <w:rFonts w:ascii="Carlito"/>
                        <w:sz w:val="19"/>
                      </w:rPr>
                    </w:pPr>
                    <w:r>
                      <w:rPr>
                        <w:rFonts w:ascii="Carlito"/>
                        <w:color w:val="231F20"/>
                        <w:sz w:val="19"/>
                      </w:rPr>
                      <w:t xml:space="preserve">7.) General &amp; Emergency </w:t>
                    </w:r>
                    <w:r>
                      <w:rPr>
                        <w:rFonts w:ascii="Carlito"/>
                        <w:color w:val="231F20"/>
                        <w:w w:val="90"/>
                        <w:sz w:val="19"/>
                      </w:rPr>
                      <w:t xml:space="preserve">Hospital Services </w:t>
                    </w:r>
                    <w:r>
                      <w:rPr>
                        <w:rFonts w:ascii="Carlito"/>
                        <w:color w:val="231F20"/>
                        <w:sz w:val="19"/>
                      </w:rPr>
                      <w:t>8.) Health Promotion and Social determinants</w:t>
                    </w:r>
                  </w:p>
                </w:txbxContent>
              </v:textbox>
            </v:shape>
            <v:shape id="_x0000_s2078" type="#_x0000_t202" style="position:absolute;left:3486;top:-1489;width:1050;height:663" filled="f" stroked="f">
              <v:textbox inset="0,0,0,0">
                <w:txbxContent>
                  <w:p w14:paraId="533D8365" w14:textId="77777777" w:rsidR="00080B77" w:rsidRDefault="00080B77">
                    <w:pPr>
                      <w:numPr>
                        <w:ilvl w:val="0"/>
                        <w:numId w:val="297"/>
                      </w:numPr>
                      <w:tabs>
                        <w:tab w:val="left" w:pos="177"/>
                      </w:tabs>
                      <w:spacing w:line="195" w:lineRule="exact"/>
                      <w:rPr>
                        <w:rFonts w:ascii="Carlito"/>
                        <w:b/>
                        <w:sz w:val="19"/>
                      </w:rPr>
                    </w:pPr>
                    <w:r>
                      <w:rPr>
                        <w:rFonts w:ascii="Carlito"/>
                        <w:b/>
                        <w:color w:val="231F20"/>
                        <w:w w:val="95"/>
                        <w:sz w:val="19"/>
                      </w:rPr>
                      <w:t>Outcomes:</w:t>
                    </w:r>
                  </w:p>
                  <w:p w14:paraId="79E6A4C3" w14:textId="77777777" w:rsidR="00080B77" w:rsidRDefault="00080B77">
                    <w:pPr>
                      <w:numPr>
                        <w:ilvl w:val="0"/>
                        <w:numId w:val="297"/>
                      </w:numPr>
                      <w:tabs>
                        <w:tab w:val="left" w:pos="177"/>
                      </w:tabs>
                      <w:spacing w:line="247" w:lineRule="auto"/>
                      <w:ind w:left="0" w:right="18" w:firstLine="0"/>
                      <w:rPr>
                        <w:rFonts w:ascii="Carlito"/>
                        <w:b/>
                        <w:sz w:val="19"/>
                      </w:rPr>
                    </w:pPr>
                    <w:r>
                      <w:rPr>
                        <w:rFonts w:ascii="Carlito"/>
                        <w:b/>
                        <w:color w:val="231F20"/>
                        <w:spacing w:val="-2"/>
                        <w:sz w:val="19"/>
                      </w:rPr>
                      <w:t xml:space="preserve">Key </w:t>
                    </w:r>
                    <w:r>
                      <w:rPr>
                        <w:rFonts w:ascii="Carlito"/>
                        <w:b/>
                        <w:color w:val="231F20"/>
                        <w:spacing w:val="-1"/>
                        <w:w w:val="90"/>
                        <w:sz w:val="19"/>
                      </w:rPr>
                      <w:t>Interventions:</w:t>
                    </w:r>
                  </w:p>
                </w:txbxContent>
              </v:textbox>
            </v:shape>
            <w10:wrap anchorx="page"/>
          </v:group>
        </w:pict>
      </w:r>
      <w:r w:rsidR="00BC0563">
        <w:rPr>
          <w:b/>
          <w:color w:val="231F20"/>
          <w:sz w:val="24"/>
        </w:rPr>
        <w:t>Strategic Pillars</w:t>
      </w:r>
    </w:p>
    <w:p w14:paraId="1A275DCF" w14:textId="77777777" w:rsidR="009948F1" w:rsidRDefault="009948F1">
      <w:pPr>
        <w:pStyle w:val="BodyText"/>
        <w:spacing w:before="11"/>
        <w:rPr>
          <w:b/>
          <w:sz w:val="23"/>
        </w:rPr>
      </w:pPr>
    </w:p>
    <w:p w14:paraId="73467F59" w14:textId="77777777" w:rsidR="009948F1" w:rsidRDefault="00BC0563">
      <w:pPr>
        <w:ind w:left="143"/>
        <w:rPr>
          <w:b/>
          <w:i/>
          <w:sz w:val="24"/>
        </w:rPr>
      </w:pPr>
      <w:r>
        <w:rPr>
          <w:b/>
          <w:i/>
          <w:color w:val="231F20"/>
          <w:sz w:val="24"/>
        </w:rPr>
        <w:t>(Guide for the Development and Alignment of Strategies for Operational Plans and for the Monitoring and Evaluation of the SSHDP II)</w:t>
      </w:r>
    </w:p>
    <w:p w14:paraId="72907F87" w14:textId="77777777" w:rsidR="009948F1" w:rsidRDefault="009948F1">
      <w:pPr>
        <w:rPr>
          <w:sz w:val="24"/>
        </w:rPr>
        <w:sectPr w:rsidR="009948F1">
          <w:pgSz w:w="11910" w:h="16840"/>
          <w:pgMar w:top="1580" w:right="1080" w:bottom="1420" w:left="1120" w:header="0" w:footer="1235" w:gutter="0"/>
          <w:cols w:space="720"/>
        </w:sectPr>
      </w:pPr>
    </w:p>
    <w:p w14:paraId="2C79442C" w14:textId="77777777" w:rsidR="009948F1" w:rsidRDefault="00BC0563">
      <w:pPr>
        <w:pStyle w:val="Heading1"/>
        <w:ind w:right="1127"/>
      </w:pPr>
      <w:bookmarkStart w:id="51" w:name="_TOC_250022"/>
      <w:bookmarkEnd w:id="51"/>
      <w:r>
        <w:rPr>
          <w:color w:val="231F20"/>
        </w:rPr>
        <w:lastRenderedPageBreak/>
        <w:t>CHAPTER 4</w:t>
      </w:r>
    </w:p>
    <w:p w14:paraId="433915A4" w14:textId="77777777" w:rsidR="009948F1" w:rsidRDefault="00BC0563">
      <w:pPr>
        <w:pStyle w:val="Heading3"/>
        <w:spacing w:before="48" w:line="196" w:lineRule="auto"/>
        <w:ind w:right="1136"/>
      </w:pPr>
      <w:r>
        <w:rPr>
          <w:color w:val="231F20"/>
        </w:rPr>
        <w:t>STRATEGIC PILLAR 1 - ENABLED ENVIRONMENT FOR ATTAINMENT OF SECTORAL GOALS</w:t>
      </w:r>
    </w:p>
    <w:p w14:paraId="7FFFFD41" w14:textId="77777777" w:rsidR="009948F1" w:rsidRDefault="009948F1">
      <w:pPr>
        <w:pStyle w:val="BodyText"/>
        <w:rPr>
          <w:rFonts w:ascii="Tahoma"/>
          <w:b/>
          <w:sz w:val="20"/>
        </w:rPr>
      </w:pPr>
    </w:p>
    <w:p w14:paraId="1AA3AE29" w14:textId="77777777" w:rsidR="009948F1" w:rsidRDefault="009948F1">
      <w:pPr>
        <w:pStyle w:val="BodyText"/>
        <w:spacing w:before="8"/>
        <w:rPr>
          <w:rFonts w:ascii="Tahoma"/>
          <w:b/>
          <w:sz w:val="15"/>
        </w:rPr>
      </w:pPr>
    </w:p>
    <w:p w14:paraId="145D2500" w14:textId="77777777" w:rsidR="009948F1" w:rsidRDefault="00BC0563">
      <w:pPr>
        <w:pStyle w:val="Heading7"/>
        <w:spacing w:before="64" w:line="295" w:lineRule="auto"/>
        <w:ind w:left="146" w:right="5323"/>
        <w:jc w:val="both"/>
      </w:pPr>
      <w:r>
        <w:rPr>
          <w:color w:val="231F20"/>
        </w:rPr>
        <w:t>Priority</w:t>
      </w:r>
      <w:r>
        <w:rPr>
          <w:color w:val="231F20"/>
          <w:spacing w:val="-36"/>
        </w:rPr>
        <w:t xml:space="preserve"> </w:t>
      </w:r>
      <w:r>
        <w:rPr>
          <w:color w:val="231F20"/>
        </w:rPr>
        <w:t>Area:</w:t>
      </w:r>
      <w:r>
        <w:rPr>
          <w:color w:val="231F20"/>
          <w:spacing w:val="-28"/>
        </w:rPr>
        <w:t xml:space="preserve"> </w:t>
      </w:r>
      <w:r>
        <w:rPr>
          <w:color w:val="231F20"/>
        </w:rPr>
        <w:t>1</w:t>
      </w:r>
      <w:r>
        <w:rPr>
          <w:color w:val="231F20"/>
          <w:spacing w:val="-27"/>
        </w:rPr>
        <w:t xml:space="preserve"> </w:t>
      </w:r>
      <w:r>
        <w:rPr>
          <w:color w:val="231F20"/>
        </w:rPr>
        <w:t>Leadership</w:t>
      </w:r>
      <w:r>
        <w:rPr>
          <w:color w:val="231F20"/>
          <w:spacing w:val="-28"/>
        </w:rPr>
        <w:t xml:space="preserve"> </w:t>
      </w:r>
      <w:r>
        <w:rPr>
          <w:color w:val="231F20"/>
        </w:rPr>
        <w:t>&amp;</w:t>
      </w:r>
      <w:r>
        <w:rPr>
          <w:color w:val="231F20"/>
          <w:spacing w:val="-28"/>
        </w:rPr>
        <w:t xml:space="preserve"> </w:t>
      </w:r>
      <w:r>
        <w:rPr>
          <w:color w:val="231F20"/>
        </w:rPr>
        <w:t>Governance Context</w:t>
      </w:r>
    </w:p>
    <w:p w14:paraId="54613D20" w14:textId="71E158E6" w:rsidR="009948F1" w:rsidRDefault="00BC0563">
      <w:pPr>
        <w:pStyle w:val="BodyText"/>
        <w:spacing w:before="2" w:line="295" w:lineRule="auto"/>
        <w:ind w:left="145" w:right="216"/>
        <w:jc w:val="both"/>
      </w:pPr>
      <w:r>
        <w:rPr>
          <w:color w:val="231F20"/>
        </w:rPr>
        <w:t>Health</w:t>
      </w:r>
      <w:r>
        <w:rPr>
          <w:color w:val="231F20"/>
          <w:spacing w:val="-19"/>
        </w:rPr>
        <w:t xml:space="preserve"> </w:t>
      </w:r>
      <w:r>
        <w:rPr>
          <w:color w:val="231F20"/>
        </w:rPr>
        <w:t>is</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concurrent</w:t>
      </w:r>
      <w:r>
        <w:rPr>
          <w:color w:val="231F20"/>
          <w:spacing w:val="-18"/>
        </w:rPr>
        <w:t xml:space="preserve"> </w:t>
      </w:r>
      <w:r>
        <w:rPr>
          <w:color w:val="231F20"/>
        </w:rPr>
        <w:t>legislative</w:t>
      </w:r>
      <w:r>
        <w:rPr>
          <w:color w:val="231F20"/>
          <w:spacing w:val="-17"/>
        </w:rPr>
        <w:t xml:space="preserve"> </w:t>
      </w:r>
      <w:r>
        <w:rPr>
          <w:color w:val="231F20"/>
        </w:rPr>
        <w:t>list,</w:t>
      </w:r>
      <w:r>
        <w:rPr>
          <w:color w:val="231F20"/>
          <w:spacing w:val="-18"/>
        </w:rPr>
        <w:t xml:space="preserve"> </w:t>
      </w:r>
      <w:r>
        <w:rPr>
          <w:color w:val="231F20"/>
        </w:rPr>
        <w:t>which</w:t>
      </w:r>
      <w:r>
        <w:rPr>
          <w:color w:val="231F20"/>
          <w:spacing w:val="-18"/>
        </w:rPr>
        <w:t xml:space="preserve"> </w:t>
      </w:r>
      <w:r>
        <w:rPr>
          <w:color w:val="231F20"/>
        </w:rPr>
        <w:t>implies</w:t>
      </w:r>
      <w:r>
        <w:rPr>
          <w:color w:val="231F20"/>
          <w:spacing w:val="-18"/>
        </w:rPr>
        <w:t xml:space="preserve"> </w:t>
      </w:r>
      <w:r>
        <w:rPr>
          <w:color w:val="231F20"/>
        </w:rPr>
        <w:t>that</w:t>
      </w:r>
      <w:r>
        <w:rPr>
          <w:color w:val="231F20"/>
          <w:spacing w:val="-18"/>
        </w:rPr>
        <w:t xml:space="preserve"> </w:t>
      </w:r>
      <w:r>
        <w:rPr>
          <w:color w:val="231F20"/>
        </w:rPr>
        <w:t>the</w:t>
      </w:r>
      <w:r>
        <w:rPr>
          <w:color w:val="231F20"/>
          <w:spacing w:val="-19"/>
        </w:rPr>
        <w:t xml:space="preserve"> </w:t>
      </w:r>
      <w:r>
        <w:rPr>
          <w:color w:val="231F20"/>
        </w:rPr>
        <w:t>State</w:t>
      </w:r>
      <w:r>
        <w:rPr>
          <w:color w:val="231F20"/>
          <w:spacing w:val="-18"/>
        </w:rPr>
        <w:t xml:space="preserve"> </w:t>
      </w:r>
      <w:r>
        <w:rPr>
          <w:color w:val="231F20"/>
        </w:rPr>
        <w:t>government</w:t>
      </w:r>
      <w:r>
        <w:rPr>
          <w:color w:val="231F20"/>
          <w:spacing w:val="-18"/>
        </w:rPr>
        <w:t xml:space="preserve"> </w:t>
      </w:r>
      <w:r>
        <w:rPr>
          <w:color w:val="231F20"/>
        </w:rPr>
        <w:t>can</w:t>
      </w:r>
      <w:r>
        <w:rPr>
          <w:color w:val="231F20"/>
          <w:spacing w:val="-18"/>
        </w:rPr>
        <w:t xml:space="preserve"> </w:t>
      </w:r>
      <w:r>
        <w:rPr>
          <w:color w:val="231F20"/>
        </w:rPr>
        <w:t>legislate</w:t>
      </w:r>
      <w:r>
        <w:rPr>
          <w:color w:val="231F20"/>
          <w:spacing w:val="-18"/>
        </w:rPr>
        <w:t xml:space="preserve"> </w:t>
      </w:r>
      <w:r>
        <w:rPr>
          <w:color w:val="231F20"/>
        </w:rPr>
        <w:t xml:space="preserve">on health </w:t>
      </w:r>
      <w:r w:rsidR="00EA60BB">
        <w:rPr>
          <w:color w:val="231F20"/>
        </w:rPr>
        <w:t>services. The</w:t>
      </w:r>
      <w:r>
        <w:rPr>
          <w:color w:val="231F20"/>
        </w:rPr>
        <w:t xml:space="preserve"> National Health Act 2014 assigns specific responsibility areas; </w:t>
      </w:r>
      <w:r>
        <w:rPr>
          <w:color w:val="231F20"/>
          <w:spacing w:val="-4"/>
        </w:rPr>
        <w:t xml:space="preserve">tertiary, </w:t>
      </w:r>
      <w:r>
        <w:rPr>
          <w:color w:val="231F20"/>
        </w:rPr>
        <w:t>secondary</w:t>
      </w:r>
      <w:r>
        <w:rPr>
          <w:color w:val="231F20"/>
          <w:spacing w:val="-27"/>
        </w:rPr>
        <w:t xml:space="preserve"> </w:t>
      </w:r>
      <w:r>
        <w:rPr>
          <w:color w:val="231F20"/>
        </w:rPr>
        <w:t>and</w:t>
      </w:r>
      <w:r>
        <w:rPr>
          <w:color w:val="231F20"/>
          <w:spacing w:val="-26"/>
        </w:rPr>
        <w:t xml:space="preserve"> </w:t>
      </w:r>
      <w:r>
        <w:rPr>
          <w:color w:val="231F20"/>
        </w:rPr>
        <w:t>primary</w:t>
      </w:r>
      <w:r>
        <w:rPr>
          <w:color w:val="231F20"/>
          <w:spacing w:val="-27"/>
        </w:rPr>
        <w:t xml:space="preserve"> </w:t>
      </w:r>
      <w:r>
        <w:rPr>
          <w:color w:val="231F20"/>
        </w:rPr>
        <w:t>healthcare</w:t>
      </w:r>
      <w:r>
        <w:rPr>
          <w:color w:val="231F20"/>
          <w:spacing w:val="-26"/>
        </w:rPr>
        <w:t xml:space="preserve"> </w:t>
      </w:r>
      <w:r>
        <w:rPr>
          <w:color w:val="231F20"/>
        </w:rPr>
        <w:t>delivery</w:t>
      </w:r>
      <w:r>
        <w:rPr>
          <w:color w:val="231F20"/>
          <w:spacing w:val="-27"/>
        </w:rPr>
        <w:t xml:space="preserve"> </w:t>
      </w:r>
      <w:r>
        <w:rPr>
          <w:color w:val="231F20"/>
        </w:rPr>
        <w:t>to</w:t>
      </w:r>
      <w:r>
        <w:rPr>
          <w:color w:val="231F20"/>
          <w:spacing w:val="-26"/>
        </w:rPr>
        <w:t xml:space="preserve"> </w:t>
      </w:r>
      <w:r>
        <w:rPr>
          <w:color w:val="231F20"/>
        </w:rPr>
        <w:t>Federal,</w:t>
      </w:r>
      <w:r>
        <w:rPr>
          <w:color w:val="231F20"/>
          <w:spacing w:val="-26"/>
        </w:rPr>
        <w:t xml:space="preserve"> </w:t>
      </w:r>
      <w:r>
        <w:rPr>
          <w:color w:val="231F20"/>
        </w:rPr>
        <w:t>States</w:t>
      </w:r>
      <w:r>
        <w:rPr>
          <w:color w:val="231F20"/>
          <w:spacing w:val="-27"/>
        </w:rPr>
        <w:t xml:space="preserve"> </w:t>
      </w:r>
      <w:r>
        <w:rPr>
          <w:color w:val="231F20"/>
        </w:rPr>
        <w:t>and</w:t>
      </w:r>
      <w:r>
        <w:rPr>
          <w:color w:val="231F20"/>
          <w:spacing w:val="-26"/>
        </w:rPr>
        <w:t xml:space="preserve"> </w:t>
      </w:r>
      <w:r>
        <w:rPr>
          <w:color w:val="231F20"/>
        </w:rPr>
        <w:t>Local</w:t>
      </w:r>
      <w:r>
        <w:rPr>
          <w:color w:val="231F20"/>
          <w:spacing w:val="-27"/>
        </w:rPr>
        <w:t xml:space="preserve"> </w:t>
      </w:r>
      <w:r>
        <w:rPr>
          <w:color w:val="231F20"/>
        </w:rPr>
        <w:t>governments</w:t>
      </w:r>
      <w:r>
        <w:rPr>
          <w:color w:val="231F20"/>
          <w:spacing w:val="-26"/>
        </w:rPr>
        <w:t xml:space="preserve"> </w:t>
      </w:r>
      <w:r>
        <w:rPr>
          <w:color w:val="231F20"/>
        </w:rPr>
        <w:t>respectively. Rivers</w:t>
      </w:r>
      <w:r>
        <w:rPr>
          <w:color w:val="231F20"/>
          <w:spacing w:val="-13"/>
        </w:rPr>
        <w:t xml:space="preserve"> </w:t>
      </w:r>
      <w:r>
        <w:rPr>
          <w:color w:val="231F20"/>
        </w:rPr>
        <w:t>State</w:t>
      </w:r>
      <w:r>
        <w:rPr>
          <w:color w:val="231F20"/>
          <w:spacing w:val="-12"/>
        </w:rPr>
        <w:t xml:space="preserve"> </w:t>
      </w:r>
      <w:r>
        <w:rPr>
          <w:color w:val="231F20"/>
        </w:rPr>
        <w:t>health</w:t>
      </w:r>
      <w:r>
        <w:rPr>
          <w:color w:val="231F20"/>
          <w:spacing w:val="-12"/>
        </w:rPr>
        <w:t xml:space="preserve"> </w:t>
      </w:r>
      <w:r>
        <w:rPr>
          <w:color w:val="231F20"/>
        </w:rPr>
        <w:t>system</w:t>
      </w:r>
      <w:r>
        <w:rPr>
          <w:color w:val="231F20"/>
          <w:spacing w:val="-12"/>
        </w:rPr>
        <w:t xml:space="preserve"> </w:t>
      </w:r>
      <w:r>
        <w:rPr>
          <w:color w:val="231F20"/>
        </w:rPr>
        <w:t>is</w:t>
      </w:r>
      <w:r>
        <w:rPr>
          <w:color w:val="231F20"/>
          <w:spacing w:val="-12"/>
        </w:rPr>
        <w:t xml:space="preserve"> </w:t>
      </w:r>
      <w:r>
        <w:rPr>
          <w:color w:val="231F20"/>
        </w:rPr>
        <w:t>beset</w:t>
      </w:r>
      <w:r>
        <w:rPr>
          <w:color w:val="231F20"/>
          <w:spacing w:val="-12"/>
        </w:rPr>
        <w:t xml:space="preserve"> </w:t>
      </w:r>
      <w:r>
        <w:rPr>
          <w:color w:val="231F20"/>
        </w:rPr>
        <w:t>by</w:t>
      </w:r>
      <w:r>
        <w:rPr>
          <w:color w:val="231F20"/>
          <w:spacing w:val="-12"/>
        </w:rPr>
        <w:t xml:space="preserve"> </w:t>
      </w:r>
      <w:r>
        <w:rPr>
          <w:color w:val="231F20"/>
        </w:rPr>
        <w:t>several</w:t>
      </w:r>
      <w:r>
        <w:rPr>
          <w:color w:val="231F20"/>
          <w:spacing w:val="-12"/>
        </w:rPr>
        <w:t xml:space="preserve"> </w:t>
      </w:r>
      <w:r>
        <w:rPr>
          <w:color w:val="231F20"/>
        </w:rPr>
        <w:t>challenges</w:t>
      </w:r>
      <w:r>
        <w:rPr>
          <w:color w:val="231F20"/>
          <w:spacing w:val="-12"/>
        </w:rPr>
        <w:t xml:space="preserve"> </w:t>
      </w:r>
      <w:r>
        <w:rPr>
          <w:color w:val="231F20"/>
        </w:rPr>
        <w:t>such</w:t>
      </w:r>
      <w:r>
        <w:rPr>
          <w:color w:val="231F20"/>
          <w:spacing w:val="-13"/>
        </w:rPr>
        <w:t xml:space="preserve"> </w:t>
      </w:r>
      <w:r>
        <w:rPr>
          <w:color w:val="231F20"/>
        </w:rPr>
        <w:t>low</w:t>
      </w:r>
      <w:r>
        <w:rPr>
          <w:color w:val="231F20"/>
          <w:spacing w:val="-12"/>
        </w:rPr>
        <w:t xml:space="preserve"> </w:t>
      </w:r>
      <w:r>
        <w:rPr>
          <w:color w:val="231F20"/>
        </w:rPr>
        <w:t>budgetary</w:t>
      </w:r>
      <w:r>
        <w:rPr>
          <w:color w:val="231F20"/>
          <w:spacing w:val="-12"/>
        </w:rPr>
        <w:t xml:space="preserve"> </w:t>
      </w:r>
      <w:r>
        <w:rPr>
          <w:color w:val="231F20"/>
        </w:rPr>
        <w:t>allocation,</w:t>
      </w:r>
      <w:r>
        <w:rPr>
          <w:color w:val="231F20"/>
          <w:spacing w:val="-12"/>
        </w:rPr>
        <w:t xml:space="preserve"> </w:t>
      </w:r>
      <w:r>
        <w:rPr>
          <w:color w:val="231F20"/>
        </w:rPr>
        <w:t>frequent change</w:t>
      </w:r>
      <w:r>
        <w:rPr>
          <w:color w:val="231F20"/>
          <w:spacing w:val="-18"/>
        </w:rPr>
        <w:t xml:space="preserve"> </w:t>
      </w:r>
      <w:r>
        <w:rPr>
          <w:color w:val="231F20"/>
        </w:rPr>
        <w:t>in</w:t>
      </w:r>
      <w:r>
        <w:rPr>
          <w:color w:val="231F20"/>
          <w:spacing w:val="-17"/>
        </w:rPr>
        <w:t xml:space="preserve"> </w:t>
      </w:r>
      <w:r>
        <w:rPr>
          <w:color w:val="231F20"/>
        </w:rPr>
        <w:t>leadership</w:t>
      </w:r>
      <w:r>
        <w:rPr>
          <w:color w:val="231F20"/>
          <w:spacing w:val="-17"/>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SMOH,</w:t>
      </w:r>
      <w:r>
        <w:rPr>
          <w:color w:val="231F20"/>
          <w:spacing w:val="-17"/>
        </w:rPr>
        <w:t xml:space="preserve"> </w:t>
      </w:r>
      <w:r>
        <w:rPr>
          <w:color w:val="231F20"/>
        </w:rPr>
        <w:t>ineffective</w:t>
      </w:r>
      <w:r>
        <w:rPr>
          <w:color w:val="231F20"/>
          <w:spacing w:val="-18"/>
        </w:rPr>
        <w:t xml:space="preserve"> </w:t>
      </w:r>
      <w:r>
        <w:rPr>
          <w:color w:val="231F20"/>
        </w:rPr>
        <w:t>coordination</w:t>
      </w:r>
      <w:r>
        <w:rPr>
          <w:color w:val="231F20"/>
          <w:spacing w:val="-16"/>
        </w:rPr>
        <w:t xml:space="preserve"> </w:t>
      </w:r>
      <w:r>
        <w:rPr>
          <w:color w:val="231F20"/>
        </w:rPr>
        <w:t>and</w:t>
      </w:r>
      <w:r>
        <w:rPr>
          <w:color w:val="231F20"/>
          <w:spacing w:val="-18"/>
        </w:rPr>
        <w:t xml:space="preserve"> </w:t>
      </w:r>
      <w:r>
        <w:rPr>
          <w:color w:val="231F20"/>
        </w:rPr>
        <w:t>weak</w:t>
      </w:r>
      <w:r>
        <w:rPr>
          <w:color w:val="231F20"/>
          <w:spacing w:val="-17"/>
        </w:rPr>
        <w:t xml:space="preserve"> </w:t>
      </w:r>
      <w:r>
        <w:rPr>
          <w:color w:val="231F20"/>
        </w:rPr>
        <w:t>governance</w:t>
      </w:r>
      <w:r>
        <w:rPr>
          <w:color w:val="231F20"/>
          <w:spacing w:val="-17"/>
        </w:rPr>
        <w:t xml:space="preserve"> </w:t>
      </w:r>
      <w:r>
        <w:rPr>
          <w:color w:val="231F20"/>
        </w:rPr>
        <w:t>and</w:t>
      </w:r>
      <w:r>
        <w:rPr>
          <w:color w:val="231F20"/>
          <w:spacing w:val="-17"/>
        </w:rPr>
        <w:t xml:space="preserve"> </w:t>
      </w:r>
      <w:r>
        <w:rPr>
          <w:color w:val="231F20"/>
        </w:rPr>
        <w:t>partnership structures among</w:t>
      </w:r>
      <w:r>
        <w:rPr>
          <w:color w:val="231F20"/>
          <w:spacing w:val="-50"/>
        </w:rPr>
        <w:t xml:space="preserve"> </w:t>
      </w:r>
      <w:r>
        <w:rPr>
          <w:color w:val="231F20"/>
        </w:rPr>
        <w:t>others.</w:t>
      </w:r>
    </w:p>
    <w:p w14:paraId="3172E372" w14:textId="77777777" w:rsidR="009948F1" w:rsidRDefault="00BC0563">
      <w:pPr>
        <w:pStyle w:val="BodyText"/>
        <w:spacing w:before="5" w:line="295" w:lineRule="auto"/>
        <w:ind w:left="145" w:right="216"/>
        <w:jc w:val="both"/>
      </w:pPr>
      <w:r>
        <w:rPr>
          <w:color w:val="231F20"/>
        </w:rPr>
        <w:t xml:space="preserve">The State has over the years made efforts to create the right policy environment to strengthen partnership in the delivery of health services by adopting Public-Private-Partnership for Health policy developed in 2005. Additionally, there has been an increased effort to include </w:t>
      </w:r>
      <w:r>
        <w:rPr>
          <w:color w:val="231F20"/>
          <w:spacing w:val="-3"/>
        </w:rPr>
        <w:t xml:space="preserve">other </w:t>
      </w:r>
      <w:r>
        <w:rPr>
          <w:color w:val="231F20"/>
        </w:rPr>
        <w:t>stakeholders,</w:t>
      </w:r>
      <w:r>
        <w:rPr>
          <w:color w:val="231F20"/>
          <w:spacing w:val="-25"/>
        </w:rPr>
        <w:t xml:space="preserve"> </w:t>
      </w:r>
      <w:r>
        <w:rPr>
          <w:color w:val="231F20"/>
        </w:rPr>
        <w:t>such</w:t>
      </w:r>
      <w:r>
        <w:rPr>
          <w:color w:val="231F20"/>
          <w:spacing w:val="-25"/>
        </w:rPr>
        <w:t xml:space="preserve"> </w:t>
      </w:r>
      <w:r>
        <w:rPr>
          <w:color w:val="231F20"/>
        </w:rPr>
        <w:t>as</w:t>
      </w:r>
      <w:r>
        <w:rPr>
          <w:color w:val="231F20"/>
          <w:spacing w:val="-25"/>
        </w:rPr>
        <w:t xml:space="preserve"> </w:t>
      </w:r>
      <w:r>
        <w:rPr>
          <w:color w:val="231F20"/>
        </w:rPr>
        <w:t>the</w:t>
      </w:r>
      <w:r>
        <w:rPr>
          <w:color w:val="231F20"/>
          <w:spacing w:val="-25"/>
        </w:rPr>
        <w:t xml:space="preserve"> </w:t>
      </w:r>
      <w:r>
        <w:rPr>
          <w:color w:val="231F20"/>
        </w:rPr>
        <w:t>private</w:t>
      </w:r>
      <w:r>
        <w:rPr>
          <w:color w:val="231F20"/>
          <w:spacing w:val="-25"/>
        </w:rPr>
        <w:t xml:space="preserve"> </w:t>
      </w:r>
      <w:r>
        <w:rPr>
          <w:color w:val="231F20"/>
        </w:rPr>
        <w:t>sector</w:t>
      </w:r>
      <w:r>
        <w:rPr>
          <w:color w:val="231F20"/>
          <w:spacing w:val="-24"/>
        </w:rPr>
        <w:t xml:space="preserve"> </w:t>
      </w:r>
      <w:r>
        <w:rPr>
          <w:color w:val="231F20"/>
        </w:rPr>
        <w:t>and</w:t>
      </w:r>
      <w:r>
        <w:rPr>
          <w:color w:val="231F20"/>
          <w:spacing w:val="-25"/>
        </w:rPr>
        <w:t xml:space="preserve"> </w:t>
      </w:r>
      <w:r>
        <w:rPr>
          <w:color w:val="231F20"/>
        </w:rPr>
        <w:t>civil</w:t>
      </w:r>
      <w:r>
        <w:rPr>
          <w:color w:val="231F20"/>
          <w:spacing w:val="-25"/>
        </w:rPr>
        <w:t xml:space="preserve"> </w:t>
      </w:r>
      <w:r>
        <w:rPr>
          <w:color w:val="231F20"/>
        </w:rPr>
        <w:t>society</w:t>
      </w:r>
      <w:r>
        <w:rPr>
          <w:color w:val="231F20"/>
          <w:spacing w:val="-25"/>
        </w:rPr>
        <w:t xml:space="preserve"> </w:t>
      </w:r>
      <w:r>
        <w:rPr>
          <w:color w:val="231F20"/>
        </w:rPr>
        <w:t>in</w:t>
      </w:r>
      <w:r>
        <w:rPr>
          <w:color w:val="231F20"/>
          <w:spacing w:val="-25"/>
        </w:rPr>
        <w:t xml:space="preserve"> </w:t>
      </w:r>
      <w:r>
        <w:rPr>
          <w:color w:val="231F20"/>
        </w:rPr>
        <w:t>policy</w:t>
      </w:r>
      <w:r>
        <w:rPr>
          <w:color w:val="231F20"/>
          <w:spacing w:val="-25"/>
        </w:rPr>
        <w:t xml:space="preserve"> </w:t>
      </w:r>
      <w:r>
        <w:rPr>
          <w:color w:val="231F20"/>
        </w:rPr>
        <w:t>and</w:t>
      </w:r>
      <w:r>
        <w:rPr>
          <w:color w:val="231F20"/>
          <w:spacing w:val="-24"/>
        </w:rPr>
        <w:t xml:space="preserve"> </w:t>
      </w:r>
      <w:r>
        <w:rPr>
          <w:color w:val="231F20"/>
        </w:rPr>
        <w:t>planning</w:t>
      </w:r>
      <w:r>
        <w:rPr>
          <w:color w:val="231F20"/>
          <w:spacing w:val="-25"/>
        </w:rPr>
        <w:t xml:space="preserve"> </w:t>
      </w:r>
      <w:r>
        <w:rPr>
          <w:color w:val="231F20"/>
        </w:rPr>
        <w:t>processes</w:t>
      </w:r>
      <w:r>
        <w:rPr>
          <w:color w:val="231F20"/>
          <w:spacing w:val="-25"/>
        </w:rPr>
        <w:t xml:space="preserve"> </w:t>
      </w:r>
      <w:r>
        <w:rPr>
          <w:color w:val="231F20"/>
        </w:rPr>
        <w:t>for</w:t>
      </w:r>
      <w:r>
        <w:rPr>
          <w:color w:val="231F20"/>
          <w:spacing w:val="-25"/>
        </w:rPr>
        <w:t xml:space="preserve"> </w:t>
      </w:r>
      <w:r>
        <w:rPr>
          <w:color w:val="231F20"/>
        </w:rPr>
        <w:t>health care</w:t>
      </w:r>
      <w:r>
        <w:rPr>
          <w:color w:val="231F20"/>
          <w:spacing w:val="-26"/>
        </w:rPr>
        <w:t xml:space="preserve"> </w:t>
      </w:r>
      <w:r>
        <w:rPr>
          <w:color w:val="231F20"/>
        </w:rPr>
        <w:t>delivery.</w:t>
      </w:r>
    </w:p>
    <w:p w14:paraId="1F8C58B2" w14:textId="77777777" w:rsidR="009948F1" w:rsidRDefault="009948F1">
      <w:pPr>
        <w:pStyle w:val="BodyText"/>
        <w:spacing w:before="6"/>
        <w:rPr>
          <w:sz w:val="27"/>
        </w:rPr>
      </w:pPr>
    </w:p>
    <w:p w14:paraId="663354B1" w14:textId="77777777" w:rsidR="009948F1" w:rsidRDefault="00BC0563">
      <w:pPr>
        <w:pStyle w:val="BodyText"/>
        <w:spacing w:line="295" w:lineRule="auto"/>
        <w:ind w:left="145" w:right="216"/>
        <w:jc w:val="both"/>
      </w:pPr>
      <w:r>
        <w:rPr>
          <w:color w:val="231F20"/>
        </w:rPr>
        <w:t xml:space="preserve">There has been considerable progress in multi-sectoral collaboration as exemplified by the comprehensive response to epidemics and disasters and the HIV </w:t>
      </w:r>
      <w:proofErr w:type="spellStart"/>
      <w:r>
        <w:rPr>
          <w:color w:val="231F20"/>
        </w:rPr>
        <w:t>programme</w:t>
      </w:r>
      <w:proofErr w:type="spellEnd"/>
      <w:r>
        <w:rPr>
          <w:color w:val="231F20"/>
        </w:rPr>
        <w:t xml:space="preserve"> in River State. However, a lot still needs to be done to strengthen inter-sectoral collaboration.</w:t>
      </w:r>
    </w:p>
    <w:p w14:paraId="5A44F4B3" w14:textId="77777777" w:rsidR="009948F1" w:rsidRDefault="00BC0563">
      <w:pPr>
        <w:pStyle w:val="BodyText"/>
        <w:spacing w:before="3" w:line="295" w:lineRule="auto"/>
        <w:ind w:left="145" w:right="216"/>
        <w:jc w:val="both"/>
      </w:pPr>
      <w:r>
        <w:rPr>
          <w:color w:val="231F20"/>
        </w:rPr>
        <w:t xml:space="preserve">The Nigeria Public Finance Management (PFM) system is often </w:t>
      </w:r>
      <w:proofErr w:type="spellStart"/>
      <w:r>
        <w:rPr>
          <w:color w:val="231F20"/>
        </w:rPr>
        <w:t>characterised</w:t>
      </w:r>
      <w:proofErr w:type="spellEnd"/>
      <w:r>
        <w:rPr>
          <w:color w:val="231F20"/>
        </w:rPr>
        <w:t xml:space="preserve"> by breach of established due processes and accountability; and ineffective monitoring and supervisory roles, among others.</w:t>
      </w:r>
    </w:p>
    <w:p w14:paraId="226C4E2C" w14:textId="77777777" w:rsidR="009948F1" w:rsidRDefault="009948F1">
      <w:pPr>
        <w:pStyle w:val="BodyText"/>
        <w:spacing w:before="4"/>
        <w:rPr>
          <w:sz w:val="27"/>
        </w:rPr>
      </w:pPr>
    </w:p>
    <w:p w14:paraId="2FFFAAFA" w14:textId="1B852555" w:rsidR="009948F1" w:rsidRDefault="00BC0563">
      <w:pPr>
        <w:pStyle w:val="BodyText"/>
        <w:spacing w:line="295" w:lineRule="auto"/>
        <w:ind w:left="145" w:right="217"/>
        <w:jc w:val="both"/>
      </w:pPr>
      <w:r>
        <w:rPr>
          <w:color w:val="231F20"/>
        </w:rPr>
        <w:t xml:space="preserve">In an attempt to address these bottlenecks, and to significantly impact governance by strengthening coordination in the health system, the government has initiated </w:t>
      </w:r>
      <w:r>
        <w:rPr>
          <w:color w:val="231F20"/>
          <w:spacing w:val="-2"/>
        </w:rPr>
        <w:t xml:space="preserve">coordination </w:t>
      </w:r>
      <w:r>
        <w:rPr>
          <w:color w:val="231F20"/>
        </w:rPr>
        <w:t xml:space="preserve">platforms such as State Council on Health </w:t>
      </w:r>
      <w:r w:rsidR="00DA56D4">
        <w:rPr>
          <w:color w:val="231F20"/>
        </w:rPr>
        <w:t xml:space="preserve">meetings </w:t>
      </w:r>
      <w:r>
        <w:rPr>
          <w:color w:val="231F20"/>
        </w:rPr>
        <w:t xml:space="preserve">and adopted innovative strategies initiated by the </w:t>
      </w:r>
      <w:r w:rsidR="00DA56D4">
        <w:rPr>
          <w:color w:val="231F20"/>
        </w:rPr>
        <w:t>Federal Government such as H</w:t>
      </w:r>
      <w:r>
        <w:rPr>
          <w:color w:val="231F20"/>
        </w:rPr>
        <w:t>ealth Accounts: Primary Health Care Under One</w:t>
      </w:r>
      <w:r>
        <w:rPr>
          <w:color w:val="231F20"/>
          <w:spacing w:val="-36"/>
        </w:rPr>
        <w:t xml:space="preserve"> </w:t>
      </w:r>
      <w:r>
        <w:rPr>
          <w:color w:val="231F20"/>
          <w:spacing w:val="-4"/>
        </w:rPr>
        <w:t xml:space="preserve">Roof: </w:t>
      </w:r>
      <w:r>
        <w:rPr>
          <w:color w:val="231F20"/>
        </w:rPr>
        <w:t>PHC</w:t>
      </w:r>
      <w:r>
        <w:rPr>
          <w:color w:val="231F20"/>
          <w:spacing w:val="-16"/>
        </w:rPr>
        <w:t xml:space="preserve"> </w:t>
      </w:r>
      <w:r>
        <w:rPr>
          <w:color w:val="231F20"/>
        </w:rPr>
        <w:t>revitalization</w:t>
      </w:r>
      <w:r>
        <w:rPr>
          <w:color w:val="231F20"/>
          <w:spacing w:val="-14"/>
        </w:rPr>
        <w:t xml:space="preserve"> </w:t>
      </w:r>
      <w:r>
        <w:rPr>
          <w:color w:val="231F20"/>
        </w:rPr>
        <w:t>and</w:t>
      </w:r>
      <w:r>
        <w:rPr>
          <w:color w:val="231F20"/>
          <w:spacing w:val="-15"/>
        </w:rPr>
        <w:t xml:space="preserve"> </w:t>
      </w:r>
      <w:r>
        <w:rPr>
          <w:color w:val="231F20"/>
        </w:rPr>
        <w:t>much</w:t>
      </w:r>
      <w:r>
        <w:rPr>
          <w:color w:val="231F20"/>
          <w:spacing w:val="-15"/>
        </w:rPr>
        <w:t xml:space="preserve"> </w:t>
      </w:r>
      <w:r>
        <w:rPr>
          <w:color w:val="231F20"/>
        </w:rPr>
        <w:t>needed</w:t>
      </w:r>
      <w:r>
        <w:rPr>
          <w:color w:val="231F20"/>
          <w:spacing w:val="-14"/>
        </w:rPr>
        <w:t xml:space="preserve"> </w:t>
      </w:r>
      <w:r>
        <w:rPr>
          <w:color w:val="231F20"/>
        </w:rPr>
        <w:t>legislation</w:t>
      </w:r>
      <w:r>
        <w:rPr>
          <w:color w:val="231F20"/>
          <w:spacing w:val="-14"/>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form</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National</w:t>
      </w:r>
      <w:r>
        <w:rPr>
          <w:color w:val="231F20"/>
          <w:spacing w:val="-14"/>
        </w:rPr>
        <w:t xml:space="preserve"> </w:t>
      </w:r>
      <w:r>
        <w:rPr>
          <w:color w:val="231F20"/>
        </w:rPr>
        <w:t>Health</w:t>
      </w:r>
      <w:r>
        <w:rPr>
          <w:color w:val="231F20"/>
          <w:spacing w:val="-27"/>
        </w:rPr>
        <w:t xml:space="preserve"> </w:t>
      </w:r>
      <w:r>
        <w:rPr>
          <w:color w:val="231F20"/>
        </w:rPr>
        <w:t>Act</w:t>
      </w:r>
      <w:r>
        <w:rPr>
          <w:color w:val="231F20"/>
          <w:spacing w:val="-15"/>
        </w:rPr>
        <w:t xml:space="preserve"> </w:t>
      </w:r>
      <w:r>
        <w:rPr>
          <w:color w:val="231F20"/>
        </w:rPr>
        <w:t>2014</w:t>
      </w:r>
      <w:r w:rsidR="00EA60BB">
        <w:rPr>
          <w:color w:val="231F20"/>
        </w:rPr>
        <w:t>, among</w:t>
      </w:r>
      <w:r>
        <w:rPr>
          <w:color w:val="231F20"/>
        </w:rPr>
        <w:t xml:space="preserve"> others.</w:t>
      </w:r>
    </w:p>
    <w:p w14:paraId="7E4F0D1C" w14:textId="77777777" w:rsidR="009948F1" w:rsidRDefault="009948F1">
      <w:pPr>
        <w:pStyle w:val="BodyText"/>
        <w:spacing w:before="7"/>
        <w:rPr>
          <w:sz w:val="27"/>
        </w:rPr>
      </w:pPr>
    </w:p>
    <w:p w14:paraId="39B6F8A3" w14:textId="77777777" w:rsidR="009948F1" w:rsidRDefault="00BC0563">
      <w:pPr>
        <w:pStyle w:val="Heading7"/>
        <w:numPr>
          <w:ilvl w:val="2"/>
          <w:numId w:val="296"/>
        </w:numPr>
        <w:tabs>
          <w:tab w:val="left" w:pos="672"/>
        </w:tabs>
        <w:ind w:hanging="527"/>
        <w:jc w:val="both"/>
      </w:pPr>
      <w:r>
        <w:rPr>
          <w:color w:val="231F20"/>
        </w:rPr>
        <w:t>Strategic</w:t>
      </w:r>
      <w:r>
        <w:rPr>
          <w:color w:val="231F20"/>
          <w:spacing w:val="-25"/>
        </w:rPr>
        <w:t xml:space="preserve"> </w:t>
      </w:r>
      <w:r>
        <w:rPr>
          <w:color w:val="231F20"/>
        </w:rPr>
        <w:t>Goal</w:t>
      </w:r>
    </w:p>
    <w:p w14:paraId="3B6D5CA8" w14:textId="77777777" w:rsidR="009948F1" w:rsidRDefault="00BC0563">
      <w:pPr>
        <w:pStyle w:val="BodyText"/>
        <w:spacing w:before="59" w:line="295" w:lineRule="auto"/>
        <w:ind w:left="865" w:right="217"/>
        <w:jc w:val="both"/>
      </w:pPr>
      <w:r>
        <w:rPr>
          <w:color w:val="231F20"/>
        </w:rPr>
        <w:t>Provide effective leadership and an enabling policy environment that ensures adequate oversight and accountability for the delivery of quality health care for sustainable development of the national health system.</w:t>
      </w:r>
    </w:p>
    <w:p w14:paraId="6D8871E5" w14:textId="77777777" w:rsidR="009948F1" w:rsidRDefault="009948F1">
      <w:pPr>
        <w:pStyle w:val="BodyText"/>
        <w:spacing w:before="4"/>
        <w:rPr>
          <w:sz w:val="27"/>
        </w:rPr>
      </w:pPr>
    </w:p>
    <w:p w14:paraId="2686485E" w14:textId="77777777" w:rsidR="009948F1" w:rsidRDefault="00BC0563">
      <w:pPr>
        <w:pStyle w:val="Heading7"/>
        <w:numPr>
          <w:ilvl w:val="2"/>
          <w:numId w:val="296"/>
        </w:numPr>
        <w:tabs>
          <w:tab w:val="left" w:pos="866"/>
        </w:tabs>
        <w:ind w:left="865" w:hanging="721"/>
        <w:jc w:val="both"/>
      </w:pPr>
      <w:r>
        <w:rPr>
          <w:color w:val="231F20"/>
        </w:rPr>
        <w:t>Strategic</w:t>
      </w:r>
      <w:r>
        <w:rPr>
          <w:color w:val="231F20"/>
          <w:spacing w:val="-25"/>
        </w:rPr>
        <w:t xml:space="preserve"> </w:t>
      </w:r>
      <w:r>
        <w:rPr>
          <w:color w:val="231F20"/>
        </w:rPr>
        <w:t>objectives</w:t>
      </w:r>
    </w:p>
    <w:p w14:paraId="08930077" w14:textId="77777777" w:rsidR="009948F1" w:rsidRDefault="00BC0563">
      <w:pPr>
        <w:pStyle w:val="BodyText"/>
        <w:spacing w:before="59"/>
        <w:ind w:left="865"/>
        <w:jc w:val="both"/>
      </w:pPr>
      <w:r>
        <w:rPr>
          <w:color w:val="231F20"/>
        </w:rPr>
        <w:t>Provide clear policies, plans, legislative and regulatory frameworks for the health sector.</w:t>
      </w:r>
    </w:p>
    <w:p w14:paraId="0A857F32" w14:textId="77777777" w:rsidR="009948F1" w:rsidRDefault="009948F1">
      <w:pPr>
        <w:jc w:val="both"/>
        <w:sectPr w:rsidR="009948F1">
          <w:pgSz w:w="11910" w:h="16840"/>
          <w:pgMar w:top="1400" w:right="1080" w:bottom="1420" w:left="1120" w:header="0" w:footer="1235" w:gutter="0"/>
          <w:cols w:space="720"/>
        </w:sectPr>
      </w:pPr>
    </w:p>
    <w:p w14:paraId="3E6D49DA" w14:textId="77777777" w:rsidR="009948F1" w:rsidRDefault="00BC0563">
      <w:pPr>
        <w:spacing w:before="50" w:after="59"/>
        <w:ind w:left="115" w:right="8153"/>
        <w:jc w:val="center"/>
        <w:rPr>
          <w:b/>
          <w:sz w:val="24"/>
        </w:rPr>
      </w:pPr>
      <w:bookmarkStart w:id="52" w:name="Page_38"/>
      <w:bookmarkEnd w:id="52"/>
      <w:r>
        <w:rPr>
          <w:b/>
          <w:color w:val="231F20"/>
          <w:sz w:val="24"/>
        </w:rPr>
        <w:lastRenderedPageBreak/>
        <w:t>Targets</w:t>
      </w:r>
    </w:p>
    <w:tbl>
      <w:tblPr>
        <w:tblW w:w="0" w:type="auto"/>
        <w:tblInd w:w="18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0"/>
        <w:gridCol w:w="1079"/>
        <w:gridCol w:w="697"/>
        <w:gridCol w:w="697"/>
        <w:gridCol w:w="697"/>
        <w:gridCol w:w="695"/>
        <w:gridCol w:w="700"/>
        <w:gridCol w:w="1419"/>
      </w:tblGrid>
      <w:tr w:rsidR="009948F1" w14:paraId="5CCD4092" w14:textId="77777777">
        <w:trPr>
          <w:trHeight w:val="200"/>
        </w:trPr>
        <w:tc>
          <w:tcPr>
            <w:tcW w:w="3250" w:type="dxa"/>
            <w:shd w:val="clear" w:color="auto" w:fill="F6ADCD"/>
          </w:tcPr>
          <w:p w14:paraId="01B6FBE1" w14:textId="77777777" w:rsidR="009948F1" w:rsidRDefault="00BC0563">
            <w:pPr>
              <w:pStyle w:val="TableParagraph"/>
              <w:spacing w:before="4" w:line="177" w:lineRule="exact"/>
              <w:ind w:left="101"/>
              <w:rPr>
                <w:sz w:val="17"/>
              </w:rPr>
            </w:pPr>
            <w:r>
              <w:rPr>
                <w:color w:val="231F20"/>
                <w:sz w:val="17"/>
              </w:rPr>
              <w:t>Target</w:t>
            </w:r>
          </w:p>
        </w:tc>
        <w:tc>
          <w:tcPr>
            <w:tcW w:w="1079" w:type="dxa"/>
            <w:shd w:val="clear" w:color="auto" w:fill="F6ADCD"/>
          </w:tcPr>
          <w:p w14:paraId="63E98562" w14:textId="77777777" w:rsidR="009948F1" w:rsidRDefault="00BC0563">
            <w:pPr>
              <w:pStyle w:val="TableParagraph"/>
              <w:spacing w:before="4" w:line="177" w:lineRule="exact"/>
              <w:ind w:left="101"/>
              <w:rPr>
                <w:sz w:val="17"/>
              </w:rPr>
            </w:pPr>
            <w:r>
              <w:rPr>
                <w:color w:val="231F20"/>
                <w:sz w:val="17"/>
              </w:rPr>
              <w:t>Baseline</w:t>
            </w:r>
          </w:p>
        </w:tc>
        <w:tc>
          <w:tcPr>
            <w:tcW w:w="697" w:type="dxa"/>
            <w:shd w:val="clear" w:color="auto" w:fill="F6ADCD"/>
          </w:tcPr>
          <w:p w14:paraId="10AEE59C" w14:textId="77777777" w:rsidR="009948F1" w:rsidRDefault="00BC0563">
            <w:pPr>
              <w:pStyle w:val="TableParagraph"/>
              <w:spacing w:line="181" w:lineRule="exact"/>
              <w:ind w:left="101"/>
              <w:rPr>
                <w:b/>
                <w:sz w:val="17"/>
              </w:rPr>
            </w:pPr>
            <w:r>
              <w:rPr>
                <w:b/>
                <w:color w:val="231F20"/>
                <w:sz w:val="17"/>
              </w:rPr>
              <w:t>2018</w:t>
            </w:r>
          </w:p>
        </w:tc>
        <w:tc>
          <w:tcPr>
            <w:tcW w:w="697" w:type="dxa"/>
            <w:shd w:val="clear" w:color="auto" w:fill="F6ADCD"/>
          </w:tcPr>
          <w:p w14:paraId="20AB5675" w14:textId="77777777" w:rsidR="009948F1" w:rsidRDefault="00BC0563">
            <w:pPr>
              <w:pStyle w:val="TableParagraph"/>
              <w:spacing w:line="181" w:lineRule="exact"/>
              <w:ind w:left="100"/>
              <w:rPr>
                <w:b/>
                <w:sz w:val="17"/>
              </w:rPr>
            </w:pPr>
            <w:r>
              <w:rPr>
                <w:b/>
                <w:color w:val="231F20"/>
                <w:sz w:val="17"/>
              </w:rPr>
              <w:t>2019</w:t>
            </w:r>
          </w:p>
        </w:tc>
        <w:tc>
          <w:tcPr>
            <w:tcW w:w="697" w:type="dxa"/>
            <w:shd w:val="clear" w:color="auto" w:fill="F6ADCD"/>
          </w:tcPr>
          <w:p w14:paraId="6820969A" w14:textId="77777777" w:rsidR="009948F1" w:rsidRDefault="00BC0563">
            <w:pPr>
              <w:pStyle w:val="TableParagraph"/>
              <w:spacing w:line="181" w:lineRule="exact"/>
              <w:ind w:left="99"/>
              <w:rPr>
                <w:b/>
                <w:sz w:val="17"/>
              </w:rPr>
            </w:pPr>
            <w:r>
              <w:rPr>
                <w:b/>
                <w:color w:val="231F20"/>
                <w:sz w:val="17"/>
              </w:rPr>
              <w:t>2020</w:t>
            </w:r>
          </w:p>
        </w:tc>
        <w:tc>
          <w:tcPr>
            <w:tcW w:w="695" w:type="dxa"/>
            <w:shd w:val="clear" w:color="auto" w:fill="F6ADCD"/>
          </w:tcPr>
          <w:p w14:paraId="453E7274" w14:textId="77777777" w:rsidR="009948F1" w:rsidRDefault="00BC0563">
            <w:pPr>
              <w:pStyle w:val="TableParagraph"/>
              <w:spacing w:line="181" w:lineRule="exact"/>
              <w:ind w:left="99"/>
              <w:rPr>
                <w:b/>
                <w:sz w:val="17"/>
              </w:rPr>
            </w:pPr>
            <w:r>
              <w:rPr>
                <w:b/>
                <w:color w:val="231F20"/>
                <w:sz w:val="17"/>
              </w:rPr>
              <w:t>2021</w:t>
            </w:r>
          </w:p>
        </w:tc>
        <w:tc>
          <w:tcPr>
            <w:tcW w:w="700" w:type="dxa"/>
            <w:shd w:val="clear" w:color="auto" w:fill="F6ADCD"/>
          </w:tcPr>
          <w:p w14:paraId="07B9A42F" w14:textId="77777777" w:rsidR="009948F1" w:rsidRDefault="00BC0563">
            <w:pPr>
              <w:pStyle w:val="TableParagraph"/>
              <w:spacing w:line="181" w:lineRule="exact"/>
              <w:ind w:left="98"/>
              <w:rPr>
                <w:b/>
                <w:sz w:val="17"/>
              </w:rPr>
            </w:pPr>
            <w:r>
              <w:rPr>
                <w:b/>
                <w:color w:val="231F20"/>
                <w:sz w:val="17"/>
              </w:rPr>
              <w:t>2022</w:t>
            </w:r>
          </w:p>
        </w:tc>
        <w:tc>
          <w:tcPr>
            <w:tcW w:w="1419" w:type="dxa"/>
            <w:shd w:val="clear" w:color="auto" w:fill="F6ADCD"/>
          </w:tcPr>
          <w:p w14:paraId="77DC62F5" w14:textId="77777777" w:rsidR="009948F1" w:rsidRDefault="00BC0563">
            <w:pPr>
              <w:pStyle w:val="TableParagraph"/>
              <w:spacing w:line="181" w:lineRule="exact"/>
              <w:ind w:left="96"/>
              <w:rPr>
                <w:b/>
                <w:sz w:val="17"/>
              </w:rPr>
            </w:pPr>
            <w:r>
              <w:rPr>
                <w:b/>
                <w:color w:val="231F20"/>
                <w:sz w:val="17"/>
              </w:rPr>
              <w:t>National</w:t>
            </w:r>
          </w:p>
        </w:tc>
      </w:tr>
      <w:tr w:rsidR="009948F1" w14:paraId="1AA8AD43" w14:textId="77777777">
        <w:trPr>
          <w:trHeight w:val="807"/>
        </w:trPr>
        <w:tc>
          <w:tcPr>
            <w:tcW w:w="3250" w:type="dxa"/>
          </w:tcPr>
          <w:p w14:paraId="49330CB6" w14:textId="77777777" w:rsidR="009948F1" w:rsidRDefault="00BC0563">
            <w:pPr>
              <w:pStyle w:val="TableParagraph"/>
              <w:spacing w:before="4" w:line="249" w:lineRule="auto"/>
              <w:ind w:left="101" w:right="95"/>
              <w:rPr>
                <w:sz w:val="17"/>
              </w:rPr>
            </w:pPr>
            <w:r>
              <w:rPr>
                <w:color w:val="231F20"/>
                <w:sz w:val="17"/>
              </w:rPr>
              <w:t>Percentage of coordination organs at national and subnational levels (NCH &amp; SCH, WDC, HPCC) that are established</w:t>
            </w:r>
          </w:p>
          <w:p w14:paraId="467B7CA1" w14:textId="77777777" w:rsidR="009948F1" w:rsidRDefault="00BC0563">
            <w:pPr>
              <w:pStyle w:val="TableParagraph"/>
              <w:spacing w:line="173" w:lineRule="exact"/>
              <w:ind w:left="101"/>
              <w:rPr>
                <w:sz w:val="17"/>
              </w:rPr>
            </w:pPr>
            <w:r>
              <w:rPr>
                <w:color w:val="231F20"/>
                <w:sz w:val="17"/>
              </w:rPr>
              <w:t>and are functional</w:t>
            </w:r>
          </w:p>
        </w:tc>
        <w:tc>
          <w:tcPr>
            <w:tcW w:w="1079" w:type="dxa"/>
          </w:tcPr>
          <w:p w14:paraId="0A691684" w14:textId="77777777" w:rsidR="009948F1" w:rsidRDefault="00BC0563">
            <w:pPr>
              <w:pStyle w:val="TableParagraph"/>
              <w:spacing w:before="4"/>
              <w:ind w:left="101"/>
              <w:rPr>
                <w:sz w:val="17"/>
              </w:rPr>
            </w:pPr>
            <w:r>
              <w:rPr>
                <w:color w:val="231F20"/>
                <w:sz w:val="17"/>
              </w:rPr>
              <w:t>TBD</w:t>
            </w:r>
          </w:p>
        </w:tc>
        <w:tc>
          <w:tcPr>
            <w:tcW w:w="697" w:type="dxa"/>
          </w:tcPr>
          <w:p w14:paraId="7C917A40" w14:textId="77777777" w:rsidR="009948F1" w:rsidRDefault="00BC0563">
            <w:pPr>
              <w:pStyle w:val="TableParagraph"/>
              <w:spacing w:before="4"/>
              <w:ind w:left="101"/>
              <w:rPr>
                <w:sz w:val="17"/>
              </w:rPr>
            </w:pPr>
            <w:r>
              <w:rPr>
                <w:color w:val="231F20"/>
                <w:sz w:val="17"/>
              </w:rPr>
              <w:t>45%</w:t>
            </w:r>
          </w:p>
        </w:tc>
        <w:tc>
          <w:tcPr>
            <w:tcW w:w="697" w:type="dxa"/>
          </w:tcPr>
          <w:p w14:paraId="740BE135" w14:textId="77777777" w:rsidR="009948F1" w:rsidRDefault="00BC0563">
            <w:pPr>
              <w:pStyle w:val="TableParagraph"/>
              <w:spacing w:before="4"/>
              <w:ind w:left="100"/>
              <w:rPr>
                <w:sz w:val="17"/>
              </w:rPr>
            </w:pPr>
            <w:r>
              <w:rPr>
                <w:color w:val="231F20"/>
                <w:sz w:val="17"/>
              </w:rPr>
              <w:t>50%</w:t>
            </w:r>
          </w:p>
        </w:tc>
        <w:tc>
          <w:tcPr>
            <w:tcW w:w="697" w:type="dxa"/>
          </w:tcPr>
          <w:p w14:paraId="06CBA71E" w14:textId="77777777" w:rsidR="009948F1" w:rsidRDefault="00BC0563">
            <w:pPr>
              <w:pStyle w:val="TableParagraph"/>
              <w:spacing w:before="4"/>
              <w:ind w:left="99"/>
              <w:rPr>
                <w:sz w:val="17"/>
              </w:rPr>
            </w:pPr>
            <w:r>
              <w:rPr>
                <w:color w:val="231F20"/>
                <w:sz w:val="17"/>
              </w:rPr>
              <w:t>55%</w:t>
            </w:r>
          </w:p>
        </w:tc>
        <w:tc>
          <w:tcPr>
            <w:tcW w:w="695" w:type="dxa"/>
          </w:tcPr>
          <w:p w14:paraId="4DD6DCED" w14:textId="77777777" w:rsidR="009948F1" w:rsidRDefault="00BC0563">
            <w:pPr>
              <w:pStyle w:val="TableParagraph"/>
              <w:spacing w:before="4"/>
              <w:ind w:left="99"/>
              <w:rPr>
                <w:sz w:val="17"/>
              </w:rPr>
            </w:pPr>
            <w:r>
              <w:rPr>
                <w:color w:val="231F20"/>
                <w:sz w:val="17"/>
              </w:rPr>
              <w:t>60%</w:t>
            </w:r>
          </w:p>
        </w:tc>
        <w:tc>
          <w:tcPr>
            <w:tcW w:w="700" w:type="dxa"/>
          </w:tcPr>
          <w:p w14:paraId="46E63E53" w14:textId="77777777" w:rsidR="009948F1" w:rsidRDefault="00BC0563">
            <w:pPr>
              <w:pStyle w:val="TableParagraph"/>
              <w:spacing w:before="4"/>
              <w:ind w:left="98"/>
              <w:rPr>
                <w:sz w:val="17"/>
              </w:rPr>
            </w:pPr>
            <w:r>
              <w:rPr>
                <w:color w:val="231F20"/>
                <w:sz w:val="17"/>
              </w:rPr>
              <w:t>65%</w:t>
            </w:r>
          </w:p>
        </w:tc>
        <w:tc>
          <w:tcPr>
            <w:tcW w:w="1419" w:type="dxa"/>
          </w:tcPr>
          <w:p w14:paraId="09F1C1E9" w14:textId="77777777" w:rsidR="009948F1" w:rsidRDefault="00BC0563">
            <w:pPr>
              <w:pStyle w:val="TableParagraph"/>
              <w:spacing w:before="4"/>
              <w:ind w:left="96"/>
              <w:rPr>
                <w:sz w:val="17"/>
              </w:rPr>
            </w:pPr>
            <w:r>
              <w:rPr>
                <w:color w:val="231F20"/>
                <w:sz w:val="17"/>
              </w:rPr>
              <w:t>70%</w:t>
            </w:r>
          </w:p>
        </w:tc>
      </w:tr>
      <w:tr w:rsidR="009948F1" w14:paraId="758FAB3A" w14:textId="77777777">
        <w:trPr>
          <w:trHeight w:val="605"/>
        </w:trPr>
        <w:tc>
          <w:tcPr>
            <w:tcW w:w="3250" w:type="dxa"/>
          </w:tcPr>
          <w:p w14:paraId="540B9DDC" w14:textId="77777777" w:rsidR="009948F1" w:rsidRDefault="00BC0563">
            <w:pPr>
              <w:pStyle w:val="TableParagraph"/>
              <w:spacing w:before="4"/>
              <w:ind w:left="101"/>
              <w:rPr>
                <w:sz w:val="17"/>
              </w:rPr>
            </w:pPr>
            <w:r>
              <w:rPr>
                <w:color w:val="231F20"/>
                <w:sz w:val="17"/>
              </w:rPr>
              <w:t>Number of LGAs and SMOH that have</w:t>
            </w:r>
          </w:p>
          <w:p w14:paraId="5CB3D571" w14:textId="77777777" w:rsidR="009948F1" w:rsidRDefault="00BC0563">
            <w:pPr>
              <w:pStyle w:val="TableParagraph"/>
              <w:spacing w:before="4" w:line="200" w:lineRule="atLeast"/>
              <w:ind w:left="101" w:right="321"/>
              <w:rPr>
                <w:sz w:val="17"/>
              </w:rPr>
            </w:pPr>
            <w:r>
              <w:rPr>
                <w:color w:val="231F20"/>
                <w:sz w:val="17"/>
              </w:rPr>
              <w:t>developed operational plans from the SHDP II</w:t>
            </w:r>
          </w:p>
        </w:tc>
        <w:tc>
          <w:tcPr>
            <w:tcW w:w="1079" w:type="dxa"/>
          </w:tcPr>
          <w:p w14:paraId="7A1025B1" w14:textId="77777777" w:rsidR="009948F1" w:rsidRDefault="00BC0563">
            <w:pPr>
              <w:pStyle w:val="TableParagraph"/>
              <w:spacing w:before="4"/>
              <w:ind w:left="101"/>
              <w:rPr>
                <w:sz w:val="17"/>
              </w:rPr>
            </w:pPr>
            <w:r>
              <w:rPr>
                <w:color w:val="231F20"/>
                <w:sz w:val="17"/>
              </w:rPr>
              <w:t>0</w:t>
            </w:r>
          </w:p>
        </w:tc>
        <w:tc>
          <w:tcPr>
            <w:tcW w:w="697" w:type="dxa"/>
          </w:tcPr>
          <w:p w14:paraId="5882E8BE" w14:textId="77777777" w:rsidR="009948F1" w:rsidRDefault="00BC0563">
            <w:pPr>
              <w:pStyle w:val="TableParagraph"/>
              <w:spacing w:before="4"/>
              <w:ind w:left="101"/>
              <w:rPr>
                <w:sz w:val="17"/>
              </w:rPr>
            </w:pPr>
            <w:r>
              <w:rPr>
                <w:color w:val="231F20"/>
                <w:sz w:val="17"/>
              </w:rPr>
              <w:t>0</w:t>
            </w:r>
          </w:p>
        </w:tc>
        <w:tc>
          <w:tcPr>
            <w:tcW w:w="697" w:type="dxa"/>
          </w:tcPr>
          <w:p w14:paraId="31279B2A" w14:textId="77777777" w:rsidR="009948F1" w:rsidRDefault="00BC0563">
            <w:pPr>
              <w:pStyle w:val="TableParagraph"/>
              <w:spacing w:before="4"/>
              <w:ind w:left="100"/>
              <w:rPr>
                <w:sz w:val="17"/>
              </w:rPr>
            </w:pPr>
            <w:r>
              <w:rPr>
                <w:color w:val="231F20"/>
                <w:sz w:val="17"/>
              </w:rPr>
              <w:t>35</w:t>
            </w:r>
          </w:p>
        </w:tc>
        <w:tc>
          <w:tcPr>
            <w:tcW w:w="697" w:type="dxa"/>
          </w:tcPr>
          <w:p w14:paraId="57786170" w14:textId="77777777" w:rsidR="009948F1" w:rsidRDefault="00BC0563">
            <w:pPr>
              <w:pStyle w:val="TableParagraph"/>
              <w:spacing w:before="4"/>
              <w:ind w:left="99"/>
              <w:rPr>
                <w:sz w:val="17"/>
              </w:rPr>
            </w:pPr>
            <w:r>
              <w:rPr>
                <w:color w:val="231F20"/>
                <w:sz w:val="17"/>
              </w:rPr>
              <w:t>35</w:t>
            </w:r>
          </w:p>
        </w:tc>
        <w:tc>
          <w:tcPr>
            <w:tcW w:w="695" w:type="dxa"/>
          </w:tcPr>
          <w:p w14:paraId="403EF4F5" w14:textId="77777777" w:rsidR="009948F1" w:rsidRDefault="00BC0563">
            <w:pPr>
              <w:pStyle w:val="TableParagraph"/>
              <w:spacing w:before="4"/>
              <w:ind w:left="99"/>
              <w:rPr>
                <w:sz w:val="17"/>
              </w:rPr>
            </w:pPr>
            <w:r>
              <w:rPr>
                <w:color w:val="231F20"/>
                <w:sz w:val="17"/>
              </w:rPr>
              <w:t>35</w:t>
            </w:r>
          </w:p>
        </w:tc>
        <w:tc>
          <w:tcPr>
            <w:tcW w:w="700" w:type="dxa"/>
          </w:tcPr>
          <w:p w14:paraId="4A482ABA" w14:textId="77777777" w:rsidR="009948F1" w:rsidRDefault="00BC0563">
            <w:pPr>
              <w:pStyle w:val="TableParagraph"/>
              <w:spacing w:before="4"/>
              <w:ind w:left="98"/>
              <w:rPr>
                <w:sz w:val="17"/>
              </w:rPr>
            </w:pPr>
            <w:r>
              <w:rPr>
                <w:color w:val="231F20"/>
                <w:sz w:val="17"/>
              </w:rPr>
              <w:t>35</w:t>
            </w:r>
          </w:p>
        </w:tc>
        <w:tc>
          <w:tcPr>
            <w:tcW w:w="1419" w:type="dxa"/>
          </w:tcPr>
          <w:p w14:paraId="4D9C0599" w14:textId="77777777" w:rsidR="009948F1" w:rsidRDefault="00BC0563">
            <w:pPr>
              <w:pStyle w:val="TableParagraph"/>
              <w:spacing w:before="4"/>
              <w:ind w:left="96"/>
              <w:rPr>
                <w:sz w:val="17"/>
              </w:rPr>
            </w:pPr>
            <w:r>
              <w:rPr>
                <w:color w:val="231F20"/>
                <w:sz w:val="17"/>
              </w:rPr>
              <w:t>38</w:t>
            </w:r>
          </w:p>
        </w:tc>
      </w:tr>
      <w:tr w:rsidR="009948F1" w14:paraId="1E0C7DA0" w14:textId="77777777">
        <w:trPr>
          <w:trHeight w:val="605"/>
        </w:trPr>
        <w:tc>
          <w:tcPr>
            <w:tcW w:w="3250" w:type="dxa"/>
          </w:tcPr>
          <w:p w14:paraId="23A8B873" w14:textId="77777777" w:rsidR="009948F1" w:rsidRDefault="00BC0563">
            <w:pPr>
              <w:pStyle w:val="TableParagraph"/>
              <w:spacing w:before="4" w:line="247" w:lineRule="auto"/>
              <w:ind w:left="101" w:right="218"/>
              <w:rPr>
                <w:sz w:val="17"/>
              </w:rPr>
            </w:pPr>
            <w:r>
              <w:rPr>
                <w:color w:val="231F20"/>
                <w:sz w:val="17"/>
              </w:rPr>
              <w:t>Number of LGAs and SMOH that have developed their annual health budget</w:t>
            </w:r>
          </w:p>
          <w:p w14:paraId="1AB8C84E" w14:textId="77777777" w:rsidR="009948F1" w:rsidRDefault="00BC0563">
            <w:pPr>
              <w:pStyle w:val="TableParagraph"/>
              <w:spacing w:before="2" w:line="177" w:lineRule="exact"/>
              <w:ind w:left="101"/>
              <w:rPr>
                <w:sz w:val="17"/>
              </w:rPr>
            </w:pPr>
            <w:r>
              <w:rPr>
                <w:color w:val="231F20"/>
                <w:sz w:val="17"/>
              </w:rPr>
              <w:t>from annual operational plans</w:t>
            </w:r>
          </w:p>
        </w:tc>
        <w:tc>
          <w:tcPr>
            <w:tcW w:w="1079" w:type="dxa"/>
          </w:tcPr>
          <w:p w14:paraId="3DE9187A" w14:textId="77777777" w:rsidR="009948F1" w:rsidRDefault="00BC0563">
            <w:pPr>
              <w:pStyle w:val="TableParagraph"/>
              <w:spacing w:before="4"/>
              <w:ind w:left="101"/>
              <w:rPr>
                <w:sz w:val="17"/>
              </w:rPr>
            </w:pPr>
            <w:r>
              <w:rPr>
                <w:color w:val="231F20"/>
                <w:sz w:val="17"/>
              </w:rPr>
              <w:t>0</w:t>
            </w:r>
          </w:p>
        </w:tc>
        <w:tc>
          <w:tcPr>
            <w:tcW w:w="697" w:type="dxa"/>
          </w:tcPr>
          <w:p w14:paraId="325CC661" w14:textId="77777777" w:rsidR="009948F1" w:rsidRDefault="00BC0563">
            <w:pPr>
              <w:pStyle w:val="TableParagraph"/>
              <w:spacing w:before="4"/>
              <w:ind w:left="101"/>
              <w:rPr>
                <w:sz w:val="17"/>
              </w:rPr>
            </w:pPr>
            <w:r>
              <w:rPr>
                <w:color w:val="231F20"/>
                <w:sz w:val="17"/>
              </w:rPr>
              <w:t>0</w:t>
            </w:r>
          </w:p>
        </w:tc>
        <w:tc>
          <w:tcPr>
            <w:tcW w:w="697" w:type="dxa"/>
          </w:tcPr>
          <w:p w14:paraId="2C334AB6" w14:textId="77777777" w:rsidR="009948F1" w:rsidRDefault="00BC0563">
            <w:pPr>
              <w:pStyle w:val="TableParagraph"/>
              <w:spacing w:before="4"/>
              <w:ind w:left="100"/>
              <w:rPr>
                <w:sz w:val="17"/>
              </w:rPr>
            </w:pPr>
            <w:r>
              <w:rPr>
                <w:color w:val="231F20"/>
                <w:sz w:val="17"/>
              </w:rPr>
              <w:t>35</w:t>
            </w:r>
          </w:p>
        </w:tc>
        <w:tc>
          <w:tcPr>
            <w:tcW w:w="697" w:type="dxa"/>
          </w:tcPr>
          <w:p w14:paraId="46C5E8EE" w14:textId="77777777" w:rsidR="009948F1" w:rsidRDefault="00BC0563">
            <w:pPr>
              <w:pStyle w:val="TableParagraph"/>
              <w:spacing w:before="4"/>
              <w:ind w:left="99"/>
              <w:rPr>
                <w:sz w:val="17"/>
              </w:rPr>
            </w:pPr>
            <w:r>
              <w:rPr>
                <w:color w:val="231F20"/>
                <w:sz w:val="17"/>
              </w:rPr>
              <w:t>35</w:t>
            </w:r>
          </w:p>
        </w:tc>
        <w:tc>
          <w:tcPr>
            <w:tcW w:w="695" w:type="dxa"/>
          </w:tcPr>
          <w:p w14:paraId="3185D0DF" w14:textId="77777777" w:rsidR="009948F1" w:rsidRDefault="00BC0563">
            <w:pPr>
              <w:pStyle w:val="TableParagraph"/>
              <w:spacing w:before="4"/>
              <w:ind w:left="99"/>
              <w:rPr>
                <w:sz w:val="17"/>
              </w:rPr>
            </w:pPr>
            <w:r>
              <w:rPr>
                <w:color w:val="231F20"/>
                <w:sz w:val="17"/>
              </w:rPr>
              <w:t>35</w:t>
            </w:r>
          </w:p>
        </w:tc>
        <w:tc>
          <w:tcPr>
            <w:tcW w:w="700" w:type="dxa"/>
          </w:tcPr>
          <w:p w14:paraId="75AACFC1" w14:textId="77777777" w:rsidR="009948F1" w:rsidRDefault="00BC0563">
            <w:pPr>
              <w:pStyle w:val="TableParagraph"/>
              <w:spacing w:before="4"/>
              <w:ind w:left="98"/>
              <w:rPr>
                <w:sz w:val="17"/>
              </w:rPr>
            </w:pPr>
            <w:r>
              <w:rPr>
                <w:color w:val="231F20"/>
                <w:sz w:val="17"/>
              </w:rPr>
              <w:t>35</w:t>
            </w:r>
          </w:p>
        </w:tc>
        <w:tc>
          <w:tcPr>
            <w:tcW w:w="1419" w:type="dxa"/>
          </w:tcPr>
          <w:p w14:paraId="34F109AA" w14:textId="77777777" w:rsidR="009948F1" w:rsidRDefault="00BC0563">
            <w:pPr>
              <w:pStyle w:val="TableParagraph"/>
              <w:spacing w:before="4"/>
              <w:ind w:left="96"/>
              <w:rPr>
                <w:sz w:val="17"/>
              </w:rPr>
            </w:pPr>
            <w:r>
              <w:rPr>
                <w:color w:val="231F20"/>
                <w:sz w:val="17"/>
              </w:rPr>
              <w:t>38</w:t>
            </w:r>
          </w:p>
        </w:tc>
      </w:tr>
      <w:tr w:rsidR="009948F1" w14:paraId="7A1B244F" w14:textId="77777777">
        <w:trPr>
          <w:trHeight w:val="404"/>
        </w:trPr>
        <w:tc>
          <w:tcPr>
            <w:tcW w:w="3250" w:type="dxa"/>
          </w:tcPr>
          <w:p w14:paraId="603C25CF" w14:textId="5126F3E7" w:rsidR="009948F1" w:rsidRDefault="00BC0563">
            <w:pPr>
              <w:pStyle w:val="TableParagraph"/>
              <w:spacing w:before="2" w:line="202" w:lineRule="exact"/>
              <w:ind w:left="101"/>
              <w:rPr>
                <w:sz w:val="17"/>
              </w:rPr>
            </w:pPr>
            <w:r>
              <w:rPr>
                <w:color w:val="231F20"/>
                <w:sz w:val="17"/>
              </w:rPr>
              <w:t xml:space="preserve">State undertake annual </w:t>
            </w:r>
            <w:r w:rsidR="00EF732F">
              <w:rPr>
                <w:color w:val="231F20"/>
                <w:sz w:val="17"/>
              </w:rPr>
              <w:t>rev</w:t>
            </w:r>
            <w:r>
              <w:rPr>
                <w:color w:val="231F20"/>
                <w:sz w:val="17"/>
              </w:rPr>
              <w:t>iew of the SSHDP II implementation?</w:t>
            </w:r>
          </w:p>
        </w:tc>
        <w:tc>
          <w:tcPr>
            <w:tcW w:w="1079" w:type="dxa"/>
          </w:tcPr>
          <w:p w14:paraId="7E83695C" w14:textId="77777777" w:rsidR="009948F1" w:rsidRDefault="00BC0563">
            <w:pPr>
              <w:pStyle w:val="TableParagraph"/>
              <w:spacing w:before="4"/>
              <w:ind w:left="101"/>
              <w:rPr>
                <w:sz w:val="17"/>
              </w:rPr>
            </w:pPr>
            <w:r>
              <w:rPr>
                <w:color w:val="231F20"/>
                <w:sz w:val="17"/>
              </w:rPr>
              <w:t>0</w:t>
            </w:r>
          </w:p>
        </w:tc>
        <w:tc>
          <w:tcPr>
            <w:tcW w:w="697" w:type="dxa"/>
          </w:tcPr>
          <w:p w14:paraId="126DF598" w14:textId="77777777" w:rsidR="009948F1" w:rsidRDefault="00BC0563">
            <w:pPr>
              <w:pStyle w:val="TableParagraph"/>
              <w:spacing w:before="4"/>
              <w:ind w:left="101"/>
              <w:rPr>
                <w:sz w:val="17"/>
              </w:rPr>
            </w:pPr>
            <w:r>
              <w:rPr>
                <w:color w:val="231F20"/>
                <w:sz w:val="17"/>
              </w:rPr>
              <w:t>0</w:t>
            </w:r>
          </w:p>
        </w:tc>
        <w:tc>
          <w:tcPr>
            <w:tcW w:w="697" w:type="dxa"/>
          </w:tcPr>
          <w:p w14:paraId="1F7395C6" w14:textId="77777777" w:rsidR="009948F1" w:rsidRDefault="00BC0563">
            <w:pPr>
              <w:pStyle w:val="TableParagraph"/>
              <w:spacing w:before="4"/>
              <w:ind w:left="100"/>
              <w:rPr>
                <w:sz w:val="17"/>
              </w:rPr>
            </w:pPr>
            <w:r>
              <w:rPr>
                <w:color w:val="231F20"/>
                <w:sz w:val="17"/>
              </w:rPr>
              <w:t>35</w:t>
            </w:r>
          </w:p>
        </w:tc>
        <w:tc>
          <w:tcPr>
            <w:tcW w:w="697" w:type="dxa"/>
          </w:tcPr>
          <w:p w14:paraId="30458055" w14:textId="77777777" w:rsidR="009948F1" w:rsidRDefault="00BC0563">
            <w:pPr>
              <w:pStyle w:val="TableParagraph"/>
              <w:spacing w:before="4"/>
              <w:ind w:left="99"/>
              <w:rPr>
                <w:sz w:val="17"/>
              </w:rPr>
            </w:pPr>
            <w:r>
              <w:rPr>
                <w:color w:val="231F20"/>
                <w:sz w:val="17"/>
              </w:rPr>
              <w:t>35</w:t>
            </w:r>
          </w:p>
        </w:tc>
        <w:tc>
          <w:tcPr>
            <w:tcW w:w="695" w:type="dxa"/>
          </w:tcPr>
          <w:p w14:paraId="75590794" w14:textId="77777777" w:rsidR="009948F1" w:rsidRDefault="00BC0563">
            <w:pPr>
              <w:pStyle w:val="TableParagraph"/>
              <w:spacing w:before="4"/>
              <w:ind w:left="99"/>
              <w:rPr>
                <w:sz w:val="17"/>
              </w:rPr>
            </w:pPr>
            <w:r>
              <w:rPr>
                <w:color w:val="231F20"/>
                <w:sz w:val="17"/>
              </w:rPr>
              <w:t>35</w:t>
            </w:r>
          </w:p>
        </w:tc>
        <w:tc>
          <w:tcPr>
            <w:tcW w:w="700" w:type="dxa"/>
          </w:tcPr>
          <w:p w14:paraId="7384BCA3" w14:textId="77777777" w:rsidR="009948F1" w:rsidRDefault="00BC0563">
            <w:pPr>
              <w:pStyle w:val="TableParagraph"/>
              <w:spacing w:before="4"/>
              <w:ind w:left="98"/>
              <w:rPr>
                <w:sz w:val="17"/>
              </w:rPr>
            </w:pPr>
            <w:r>
              <w:rPr>
                <w:color w:val="231F20"/>
                <w:sz w:val="17"/>
              </w:rPr>
              <w:t>35</w:t>
            </w:r>
          </w:p>
        </w:tc>
        <w:tc>
          <w:tcPr>
            <w:tcW w:w="1419" w:type="dxa"/>
          </w:tcPr>
          <w:p w14:paraId="4645AD6E" w14:textId="77777777" w:rsidR="009948F1" w:rsidRDefault="00BC0563">
            <w:pPr>
              <w:pStyle w:val="TableParagraph"/>
              <w:spacing w:before="4"/>
              <w:ind w:left="96"/>
              <w:rPr>
                <w:sz w:val="17"/>
              </w:rPr>
            </w:pPr>
            <w:r>
              <w:rPr>
                <w:color w:val="231F20"/>
                <w:sz w:val="17"/>
              </w:rPr>
              <w:t>38</w:t>
            </w:r>
          </w:p>
        </w:tc>
      </w:tr>
      <w:tr w:rsidR="009948F1" w14:paraId="2B097E6C" w14:textId="77777777">
        <w:trPr>
          <w:trHeight w:val="603"/>
        </w:trPr>
        <w:tc>
          <w:tcPr>
            <w:tcW w:w="3250" w:type="dxa"/>
          </w:tcPr>
          <w:p w14:paraId="7E4CD23F" w14:textId="77777777" w:rsidR="009948F1" w:rsidRDefault="00BC0563">
            <w:pPr>
              <w:pStyle w:val="TableParagraph"/>
              <w:spacing w:line="202" w:lineRule="exact"/>
              <w:ind w:left="101" w:right="529"/>
              <w:rPr>
                <w:sz w:val="17"/>
              </w:rPr>
            </w:pPr>
            <w:r>
              <w:rPr>
                <w:color w:val="231F20"/>
                <w:sz w:val="17"/>
              </w:rPr>
              <w:t>State undertake regulatory and standardization visits to public and private health facilities in the State</w:t>
            </w:r>
          </w:p>
        </w:tc>
        <w:tc>
          <w:tcPr>
            <w:tcW w:w="1079" w:type="dxa"/>
          </w:tcPr>
          <w:p w14:paraId="642ABC49" w14:textId="77777777" w:rsidR="009948F1" w:rsidRDefault="00BC0563">
            <w:pPr>
              <w:pStyle w:val="TableParagraph"/>
              <w:spacing w:before="2"/>
              <w:ind w:left="101"/>
              <w:rPr>
                <w:sz w:val="17"/>
              </w:rPr>
            </w:pPr>
            <w:r>
              <w:rPr>
                <w:color w:val="231F20"/>
                <w:sz w:val="17"/>
              </w:rPr>
              <w:t>0</w:t>
            </w:r>
          </w:p>
        </w:tc>
        <w:tc>
          <w:tcPr>
            <w:tcW w:w="697" w:type="dxa"/>
          </w:tcPr>
          <w:p w14:paraId="56863108" w14:textId="77777777" w:rsidR="009948F1" w:rsidRDefault="00BC0563">
            <w:pPr>
              <w:pStyle w:val="TableParagraph"/>
              <w:spacing w:before="2"/>
              <w:ind w:left="101"/>
              <w:rPr>
                <w:sz w:val="17"/>
              </w:rPr>
            </w:pPr>
            <w:r>
              <w:rPr>
                <w:color w:val="231F20"/>
                <w:sz w:val="17"/>
              </w:rPr>
              <w:t>0</w:t>
            </w:r>
          </w:p>
        </w:tc>
        <w:tc>
          <w:tcPr>
            <w:tcW w:w="697" w:type="dxa"/>
          </w:tcPr>
          <w:p w14:paraId="7513EB0D" w14:textId="77777777" w:rsidR="009948F1" w:rsidRDefault="00BC0563">
            <w:pPr>
              <w:pStyle w:val="TableParagraph"/>
              <w:spacing w:before="2"/>
              <w:ind w:left="100"/>
              <w:rPr>
                <w:sz w:val="17"/>
              </w:rPr>
            </w:pPr>
            <w:r>
              <w:rPr>
                <w:color w:val="231F20"/>
                <w:sz w:val="17"/>
              </w:rPr>
              <w:t>35</w:t>
            </w:r>
          </w:p>
        </w:tc>
        <w:tc>
          <w:tcPr>
            <w:tcW w:w="697" w:type="dxa"/>
          </w:tcPr>
          <w:p w14:paraId="182D4830" w14:textId="77777777" w:rsidR="009948F1" w:rsidRDefault="00BC0563">
            <w:pPr>
              <w:pStyle w:val="TableParagraph"/>
              <w:spacing w:before="2"/>
              <w:ind w:left="99"/>
              <w:rPr>
                <w:sz w:val="17"/>
              </w:rPr>
            </w:pPr>
            <w:r>
              <w:rPr>
                <w:color w:val="231F20"/>
                <w:sz w:val="17"/>
              </w:rPr>
              <w:t>35</w:t>
            </w:r>
          </w:p>
        </w:tc>
        <w:tc>
          <w:tcPr>
            <w:tcW w:w="695" w:type="dxa"/>
          </w:tcPr>
          <w:p w14:paraId="1C3713A9" w14:textId="77777777" w:rsidR="009948F1" w:rsidRDefault="00BC0563">
            <w:pPr>
              <w:pStyle w:val="TableParagraph"/>
              <w:spacing w:before="2"/>
              <w:ind w:left="99"/>
              <w:rPr>
                <w:sz w:val="17"/>
              </w:rPr>
            </w:pPr>
            <w:r>
              <w:rPr>
                <w:color w:val="231F20"/>
                <w:sz w:val="17"/>
              </w:rPr>
              <w:t>35</w:t>
            </w:r>
          </w:p>
        </w:tc>
        <w:tc>
          <w:tcPr>
            <w:tcW w:w="700" w:type="dxa"/>
          </w:tcPr>
          <w:p w14:paraId="07F9F30B" w14:textId="77777777" w:rsidR="009948F1" w:rsidRDefault="00BC0563">
            <w:pPr>
              <w:pStyle w:val="TableParagraph"/>
              <w:spacing w:before="2"/>
              <w:ind w:left="98"/>
              <w:rPr>
                <w:sz w:val="17"/>
              </w:rPr>
            </w:pPr>
            <w:r>
              <w:rPr>
                <w:color w:val="231F20"/>
                <w:sz w:val="17"/>
              </w:rPr>
              <w:t>35</w:t>
            </w:r>
          </w:p>
        </w:tc>
        <w:tc>
          <w:tcPr>
            <w:tcW w:w="1419" w:type="dxa"/>
          </w:tcPr>
          <w:p w14:paraId="1AEDACC3" w14:textId="77777777" w:rsidR="009948F1" w:rsidRDefault="00BC0563">
            <w:pPr>
              <w:pStyle w:val="TableParagraph"/>
              <w:spacing w:before="2"/>
              <w:ind w:left="96"/>
              <w:rPr>
                <w:sz w:val="17"/>
              </w:rPr>
            </w:pPr>
            <w:r>
              <w:rPr>
                <w:color w:val="231F20"/>
                <w:sz w:val="17"/>
              </w:rPr>
              <w:t>38</w:t>
            </w:r>
          </w:p>
        </w:tc>
      </w:tr>
      <w:tr w:rsidR="009948F1" w14:paraId="5E764CAD" w14:textId="77777777">
        <w:trPr>
          <w:trHeight w:val="400"/>
        </w:trPr>
        <w:tc>
          <w:tcPr>
            <w:tcW w:w="3250" w:type="dxa"/>
          </w:tcPr>
          <w:p w14:paraId="2643B6F3" w14:textId="77777777" w:rsidR="009948F1" w:rsidRDefault="00BC0563">
            <w:pPr>
              <w:pStyle w:val="TableParagraph"/>
              <w:spacing w:line="202" w:lineRule="exact"/>
              <w:ind w:left="101" w:right="1115" w:firstLine="47"/>
              <w:rPr>
                <w:sz w:val="17"/>
              </w:rPr>
            </w:pPr>
            <w:r>
              <w:rPr>
                <w:color w:val="231F20"/>
                <w:sz w:val="17"/>
              </w:rPr>
              <w:t>State conducting JAR of implementation of SHDP II</w:t>
            </w:r>
          </w:p>
        </w:tc>
        <w:tc>
          <w:tcPr>
            <w:tcW w:w="1079" w:type="dxa"/>
          </w:tcPr>
          <w:p w14:paraId="0ECE4738" w14:textId="77777777" w:rsidR="009948F1" w:rsidRDefault="00BC0563">
            <w:pPr>
              <w:pStyle w:val="TableParagraph"/>
              <w:spacing w:before="2"/>
              <w:ind w:left="101"/>
              <w:rPr>
                <w:sz w:val="17"/>
              </w:rPr>
            </w:pPr>
            <w:r>
              <w:rPr>
                <w:color w:val="231F20"/>
                <w:sz w:val="17"/>
              </w:rPr>
              <w:t>0</w:t>
            </w:r>
          </w:p>
        </w:tc>
        <w:tc>
          <w:tcPr>
            <w:tcW w:w="697" w:type="dxa"/>
          </w:tcPr>
          <w:p w14:paraId="1A8EF900" w14:textId="77777777" w:rsidR="009948F1" w:rsidRDefault="00BC0563">
            <w:pPr>
              <w:pStyle w:val="TableParagraph"/>
              <w:spacing w:before="2"/>
              <w:ind w:left="101"/>
              <w:rPr>
                <w:sz w:val="17"/>
              </w:rPr>
            </w:pPr>
            <w:r>
              <w:rPr>
                <w:color w:val="231F20"/>
                <w:sz w:val="17"/>
              </w:rPr>
              <w:t>0</w:t>
            </w:r>
          </w:p>
        </w:tc>
        <w:tc>
          <w:tcPr>
            <w:tcW w:w="697" w:type="dxa"/>
          </w:tcPr>
          <w:p w14:paraId="79F33DAD" w14:textId="77777777" w:rsidR="009948F1" w:rsidRDefault="00BC0563">
            <w:pPr>
              <w:pStyle w:val="TableParagraph"/>
              <w:spacing w:before="2"/>
              <w:ind w:left="100"/>
              <w:rPr>
                <w:sz w:val="17"/>
              </w:rPr>
            </w:pPr>
            <w:r>
              <w:rPr>
                <w:color w:val="231F20"/>
                <w:sz w:val="17"/>
              </w:rPr>
              <w:t>35</w:t>
            </w:r>
          </w:p>
        </w:tc>
        <w:tc>
          <w:tcPr>
            <w:tcW w:w="697" w:type="dxa"/>
          </w:tcPr>
          <w:p w14:paraId="03921D66" w14:textId="77777777" w:rsidR="009948F1" w:rsidRDefault="00BC0563">
            <w:pPr>
              <w:pStyle w:val="TableParagraph"/>
              <w:spacing w:before="2"/>
              <w:ind w:left="99"/>
              <w:rPr>
                <w:sz w:val="17"/>
              </w:rPr>
            </w:pPr>
            <w:r>
              <w:rPr>
                <w:color w:val="231F20"/>
                <w:sz w:val="17"/>
              </w:rPr>
              <w:t>35</w:t>
            </w:r>
          </w:p>
        </w:tc>
        <w:tc>
          <w:tcPr>
            <w:tcW w:w="695" w:type="dxa"/>
          </w:tcPr>
          <w:p w14:paraId="177E75CC" w14:textId="77777777" w:rsidR="009948F1" w:rsidRDefault="00BC0563">
            <w:pPr>
              <w:pStyle w:val="TableParagraph"/>
              <w:spacing w:before="2"/>
              <w:ind w:left="99"/>
              <w:rPr>
                <w:sz w:val="17"/>
              </w:rPr>
            </w:pPr>
            <w:r>
              <w:rPr>
                <w:color w:val="231F20"/>
                <w:sz w:val="17"/>
              </w:rPr>
              <w:t>35</w:t>
            </w:r>
          </w:p>
        </w:tc>
        <w:tc>
          <w:tcPr>
            <w:tcW w:w="700" w:type="dxa"/>
          </w:tcPr>
          <w:p w14:paraId="6979DF3C" w14:textId="77777777" w:rsidR="009948F1" w:rsidRDefault="00BC0563">
            <w:pPr>
              <w:pStyle w:val="TableParagraph"/>
              <w:spacing w:before="2"/>
              <w:ind w:left="98"/>
              <w:rPr>
                <w:sz w:val="17"/>
              </w:rPr>
            </w:pPr>
            <w:r>
              <w:rPr>
                <w:color w:val="231F20"/>
                <w:sz w:val="17"/>
              </w:rPr>
              <w:t>35</w:t>
            </w:r>
          </w:p>
        </w:tc>
        <w:tc>
          <w:tcPr>
            <w:tcW w:w="1419" w:type="dxa"/>
          </w:tcPr>
          <w:p w14:paraId="0375EF9F" w14:textId="77777777" w:rsidR="009948F1" w:rsidRDefault="00BC0563">
            <w:pPr>
              <w:pStyle w:val="TableParagraph"/>
              <w:spacing w:before="2"/>
              <w:ind w:left="96"/>
              <w:rPr>
                <w:sz w:val="17"/>
              </w:rPr>
            </w:pPr>
            <w:r>
              <w:rPr>
                <w:color w:val="231F20"/>
                <w:sz w:val="17"/>
              </w:rPr>
              <w:t>38</w:t>
            </w:r>
          </w:p>
        </w:tc>
      </w:tr>
      <w:tr w:rsidR="009948F1" w14:paraId="4BAA3FC9" w14:textId="77777777">
        <w:trPr>
          <w:trHeight w:val="400"/>
        </w:trPr>
        <w:tc>
          <w:tcPr>
            <w:tcW w:w="7815" w:type="dxa"/>
            <w:gridSpan w:val="7"/>
          </w:tcPr>
          <w:p w14:paraId="7B685F3D" w14:textId="77777777" w:rsidR="009948F1" w:rsidRDefault="00BC0563">
            <w:pPr>
              <w:pStyle w:val="TableParagraph"/>
              <w:spacing w:line="191" w:lineRule="exact"/>
              <w:ind w:left="101"/>
              <w:rPr>
                <w:b/>
                <w:sz w:val="17"/>
              </w:rPr>
            </w:pPr>
            <w:r>
              <w:rPr>
                <w:b/>
                <w:color w:val="231F20"/>
                <w:sz w:val="17"/>
              </w:rPr>
              <w:t>Strengthen transparency and accountability in planning, budgeting and procurement</w:t>
            </w:r>
          </w:p>
          <w:p w14:paraId="6E1A918E" w14:textId="7886762D" w:rsidR="009948F1" w:rsidRDefault="00EF732F">
            <w:pPr>
              <w:pStyle w:val="TableParagraph"/>
              <w:spacing w:before="8" w:line="181" w:lineRule="exact"/>
              <w:ind w:left="101"/>
              <w:rPr>
                <w:b/>
                <w:sz w:val="17"/>
              </w:rPr>
            </w:pPr>
            <w:r>
              <w:rPr>
                <w:b/>
                <w:color w:val="231F20"/>
                <w:sz w:val="17"/>
              </w:rPr>
              <w:t>P</w:t>
            </w:r>
            <w:r w:rsidR="00BC0563">
              <w:rPr>
                <w:b/>
                <w:color w:val="231F20"/>
                <w:sz w:val="17"/>
              </w:rPr>
              <w:t>rocesses</w:t>
            </w:r>
          </w:p>
        </w:tc>
        <w:tc>
          <w:tcPr>
            <w:tcW w:w="1419" w:type="dxa"/>
          </w:tcPr>
          <w:p w14:paraId="0C4EF218" w14:textId="77777777" w:rsidR="009948F1" w:rsidRDefault="009948F1">
            <w:pPr>
              <w:pStyle w:val="TableParagraph"/>
              <w:rPr>
                <w:rFonts w:ascii="Times New Roman"/>
                <w:sz w:val="18"/>
              </w:rPr>
            </w:pPr>
          </w:p>
        </w:tc>
      </w:tr>
      <w:tr w:rsidR="009948F1" w14:paraId="40958F50" w14:textId="77777777">
        <w:trPr>
          <w:trHeight w:val="402"/>
        </w:trPr>
        <w:tc>
          <w:tcPr>
            <w:tcW w:w="3250" w:type="dxa"/>
          </w:tcPr>
          <w:p w14:paraId="5D5DDD48" w14:textId="77777777" w:rsidR="009948F1" w:rsidRDefault="00BC0563">
            <w:pPr>
              <w:pStyle w:val="TableParagraph"/>
              <w:spacing w:before="2" w:line="202" w:lineRule="exact"/>
              <w:ind w:left="101" w:right="491"/>
              <w:rPr>
                <w:sz w:val="17"/>
              </w:rPr>
            </w:pPr>
            <w:r>
              <w:rPr>
                <w:color w:val="231F20"/>
                <w:sz w:val="17"/>
              </w:rPr>
              <w:t>Has state increased annual budget implementation rate by 25%</w:t>
            </w:r>
          </w:p>
        </w:tc>
        <w:tc>
          <w:tcPr>
            <w:tcW w:w="1079" w:type="dxa"/>
          </w:tcPr>
          <w:p w14:paraId="74FEF622" w14:textId="77777777" w:rsidR="009948F1" w:rsidRDefault="009948F1">
            <w:pPr>
              <w:pStyle w:val="TableParagraph"/>
              <w:rPr>
                <w:rFonts w:ascii="Times New Roman"/>
                <w:sz w:val="18"/>
              </w:rPr>
            </w:pPr>
          </w:p>
        </w:tc>
        <w:tc>
          <w:tcPr>
            <w:tcW w:w="697" w:type="dxa"/>
          </w:tcPr>
          <w:p w14:paraId="74357487" w14:textId="77777777" w:rsidR="009948F1" w:rsidRDefault="00BC0563">
            <w:pPr>
              <w:pStyle w:val="TableParagraph"/>
              <w:spacing w:before="4"/>
              <w:ind w:left="101"/>
              <w:rPr>
                <w:sz w:val="17"/>
              </w:rPr>
            </w:pPr>
            <w:r>
              <w:rPr>
                <w:color w:val="231F20"/>
                <w:sz w:val="17"/>
              </w:rPr>
              <w:t>0</w:t>
            </w:r>
          </w:p>
        </w:tc>
        <w:tc>
          <w:tcPr>
            <w:tcW w:w="697" w:type="dxa"/>
          </w:tcPr>
          <w:p w14:paraId="41C45AC0" w14:textId="77777777" w:rsidR="009948F1" w:rsidRDefault="00BC0563">
            <w:pPr>
              <w:pStyle w:val="TableParagraph"/>
              <w:spacing w:before="4"/>
              <w:ind w:left="100"/>
              <w:rPr>
                <w:sz w:val="17"/>
              </w:rPr>
            </w:pPr>
            <w:r>
              <w:rPr>
                <w:color w:val="231F20"/>
                <w:sz w:val="17"/>
              </w:rPr>
              <w:t>2</w:t>
            </w:r>
          </w:p>
        </w:tc>
        <w:tc>
          <w:tcPr>
            <w:tcW w:w="697" w:type="dxa"/>
          </w:tcPr>
          <w:p w14:paraId="24DA4D65" w14:textId="77777777" w:rsidR="009948F1" w:rsidRDefault="00BC0563">
            <w:pPr>
              <w:pStyle w:val="TableParagraph"/>
              <w:spacing w:before="4"/>
              <w:ind w:left="99"/>
              <w:rPr>
                <w:sz w:val="17"/>
              </w:rPr>
            </w:pPr>
            <w:r>
              <w:rPr>
                <w:color w:val="231F20"/>
                <w:sz w:val="17"/>
              </w:rPr>
              <w:t>5</w:t>
            </w:r>
          </w:p>
        </w:tc>
        <w:tc>
          <w:tcPr>
            <w:tcW w:w="695" w:type="dxa"/>
          </w:tcPr>
          <w:p w14:paraId="65D7E6C4" w14:textId="77777777" w:rsidR="009948F1" w:rsidRDefault="00BC0563">
            <w:pPr>
              <w:pStyle w:val="TableParagraph"/>
              <w:spacing w:before="4"/>
              <w:ind w:left="99"/>
              <w:rPr>
                <w:sz w:val="17"/>
              </w:rPr>
            </w:pPr>
            <w:r>
              <w:rPr>
                <w:color w:val="231F20"/>
                <w:sz w:val="17"/>
              </w:rPr>
              <w:t>7</w:t>
            </w:r>
          </w:p>
        </w:tc>
        <w:tc>
          <w:tcPr>
            <w:tcW w:w="700" w:type="dxa"/>
          </w:tcPr>
          <w:p w14:paraId="26BCED8F" w14:textId="77777777" w:rsidR="009948F1" w:rsidRDefault="00BC0563">
            <w:pPr>
              <w:pStyle w:val="TableParagraph"/>
              <w:spacing w:before="4"/>
              <w:ind w:left="98"/>
              <w:rPr>
                <w:sz w:val="17"/>
              </w:rPr>
            </w:pPr>
            <w:r>
              <w:rPr>
                <w:color w:val="231F20"/>
                <w:sz w:val="17"/>
              </w:rPr>
              <w:t>10</w:t>
            </w:r>
          </w:p>
        </w:tc>
        <w:tc>
          <w:tcPr>
            <w:tcW w:w="1419" w:type="dxa"/>
          </w:tcPr>
          <w:p w14:paraId="38F24032" w14:textId="77777777" w:rsidR="009948F1" w:rsidRDefault="00BC0563">
            <w:pPr>
              <w:pStyle w:val="TableParagraph"/>
              <w:spacing w:before="2" w:line="202" w:lineRule="exact"/>
              <w:ind w:left="96" w:right="319"/>
              <w:rPr>
                <w:sz w:val="17"/>
              </w:rPr>
            </w:pPr>
            <w:r>
              <w:rPr>
                <w:color w:val="231F20"/>
                <w:sz w:val="17"/>
              </w:rPr>
              <w:t>Increased by 25%</w:t>
            </w:r>
          </w:p>
        </w:tc>
      </w:tr>
      <w:tr w:rsidR="009948F1" w14:paraId="0B9C7E18" w14:textId="77777777">
        <w:trPr>
          <w:trHeight w:val="601"/>
        </w:trPr>
        <w:tc>
          <w:tcPr>
            <w:tcW w:w="3250" w:type="dxa"/>
          </w:tcPr>
          <w:p w14:paraId="44A7BF09" w14:textId="77777777" w:rsidR="009948F1" w:rsidRDefault="00BC0563">
            <w:pPr>
              <w:pStyle w:val="TableParagraph"/>
              <w:spacing w:line="202" w:lineRule="exact"/>
              <w:ind w:left="101" w:right="227"/>
              <w:rPr>
                <w:sz w:val="17"/>
              </w:rPr>
            </w:pPr>
            <w:r>
              <w:rPr>
                <w:color w:val="231F20"/>
                <w:sz w:val="17"/>
              </w:rPr>
              <w:t>Does state produce and disseminating annual progress reports including financial reports?</w:t>
            </w:r>
          </w:p>
        </w:tc>
        <w:tc>
          <w:tcPr>
            <w:tcW w:w="1079" w:type="dxa"/>
          </w:tcPr>
          <w:p w14:paraId="7258A757" w14:textId="77777777" w:rsidR="009948F1" w:rsidRDefault="009948F1">
            <w:pPr>
              <w:pStyle w:val="TableParagraph"/>
              <w:rPr>
                <w:rFonts w:ascii="Times New Roman"/>
                <w:sz w:val="18"/>
              </w:rPr>
            </w:pPr>
          </w:p>
        </w:tc>
        <w:tc>
          <w:tcPr>
            <w:tcW w:w="697" w:type="dxa"/>
          </w:tcPr>
          <w:p w14:paraId="4E18A419" w14:textId="77777777" w:rsidR="009948F1" w:rsidRDefault="00BC0563">
            <w:pPr>
              <w:pStyle w:val="TableParagraph"/>
              <w:spacing w:before="2"/>
              <w:ind w:left="101"/>
              <w:rPr>
                <w:sz w:val="17"/>
              </w:rPr>
            </w:pPr>
            <w:r>
              <w:rPr>
                <w:color w:val="231F20"/>
                <w:sz w:val="17"/>
              </w:rPr>
              <w:t>20</w:t>
            </w:r>
          </w:p>
        </w:tc>
        <w:tc>
          <w:tcPr>
            <w:tcW w:w="697" w:type="dxa"/>
          </w:tcPr>
          <w:p w14:paraId="225C37B6" w14:textId="77777777" w:rsidR="009948F1" w:rsidRDefault="00BC0563">
            <w:pPr>
              <w:pStyle w:val="TableParagraph"/>
              <w:spacing w:before="2"/>
              <w:ind w:left="100"/>
              <w:rPr>
                <w:sz w:val="17"/>
              </w:rPr>
            </w:pPr>
            <w:r>
              <w:rPr>
                <w:color w:val="231F20"/>
                <w:sz w:val="17"/>
              </w:rPr>
              <w:t>25</w:t>
            </w:r>
          </w:p>
        </w:tc>
        <w:tc>
          <w:tcPr>
            <w:tcW w:w="697" w:type="dxa"/>
          </w:tcPr>
          <w:p w14:paraId="46D218C8" w14:textId="77777777" w:rsidR="009948F1" w:rsidRDefault="00BC0563">
            <w:pPr>
              <w:pStyle w:val="TableParagraph"/>
              <w:spacing w:before="2"/>
              <w:ind w:left="99"/>
              <w:rPr>
                <w:sz w:val="17"/>
              </w:rPr>
            </w:pPr>
            <w:r>
              <w:rPr>
                <w:color w:val="231F20"/>
                <w:sz w:val="17"/>
              </w:rPr>
              <w:t>30</w:t>
            </w:r>
          </w:p>
        </w:tc>
        <w:tc>
          <w:tcPr>
            <w:tcW w:w="695" w:type="dxa"/>
          </w:tcPr>
          <w:p w14:paraId="050D9E6E" w14:textId="77777777" w:rsidR="009948F1" w:rsidRDefault="00BC0563">
            <w:pPr>
              <w:pStyle w:val="TableParagraph"/>
              <w:spacing w:before="2"/>
              <w:ind w:left="99"/>
              <w:rPr>
                <w:sz w:val="17"/>
              </w:rPr>
            </w:pPr>
            <w:r>
              <w:rPr>
                <w:color w:val="231F20"/>
                <w:sz w:val="17"/>
              </w:rPr>
              <w:t>35</w:t>
            </w:r>
          </w:p>
        </w:tc>
        <w:tc>
          <w:tcPr>
            <w:tcW w:w="700" w:type="dxa"/>
          </w:tcPr>
          <w:p w14:paraId="76839968" w14:textId="77777777" w:rsidR="009948F1" w:rsidRDefault="00BC0563">
            <w:pPr>
              <w:pStyle w:val="TableParagraph"/>
              <w:spacing w:before="2"/>
              <w:ind w:left="98"/>
              <w:rPr>
                <w:sz w:val="17"/>
              </w:rPr>
            </w:pPr>
            <w:r>
              <w:rPr>
                <w:color w:val="231F20"/>
                <w:sz w:val="17"/>
              </w:rPr>
              <w:t>35</w:t>
            </w:r>
          </w:p>
        </w:tc>
        <w:tc>
          <w:tcPr>
            <w:tcW w:w="1419" w:type="dxa"/>
          </w:tcPr>
          <w:p w14:paraId="31A11482" w14:textId="77777777" w:rsidR="009948F1" w:rsidRDefault="00BC0563">
            <w:pPr>
              <w:pStyle w:val="TableParagraph"/>
              <w:spacing w:before="2"/>
              <w:ind w:left="96"/>
              <w:rPr>
                <w:sz w:val="17"/>
              </w:rPr>
            </w:pPr>
            <w:r>
              <w:rPr>
                <w:color w:val="231F20"/>
                <w:sz w:val="17"/>
              </w:rPr>
              <w:t>38</w:t>
            </w:r>
          </w:p>
        </w:tc>
      </w:tr>
      <w:tr w:rsidR="009948F1" w14:paraId="3983B7F0" w14:textId="77777777">
        <w:trPr>
          <w:trHeight w:val="199"/>
        </w:trPr>
        <w:tc>
          <w:tcPr>
            <w:tcW w:w="7815" w:type="dxa"/>
            <w:gridSpan w:val="7"/>
          </w:tcPr>
          <w:p w14:paraId="0D9E2169" w14:textId="77777777" w:rsidR="009948F1" w:rsidRDefault="00BC0563">
            <w:pPr>
              <w:pStyle w:val="TableParagraph"/>
              <w:spacing w:line="179" w:lineRule="exact"/>
              <w:ind w:left="101"/>
              <w:rPr>
                <w:b/>
                <w:sz w:val="17"/>
              </w:rPr>
            </w:pPr>
            <w:r>
              <w:rPr>
                <w:b/>
                <w:color w:val="231F20"/>
                <w:sz w:val="17"/>
              </w:rPr>
              <w:t>Improve health sector performance through regular integrated reviews and reports</w:t>
            </w:r>
          </w:p>
        </w:tc>
        <w:tc>
          <w:tcPr>
            <w:tcW w:w="1419" w:type="dxa"/>
          </w:tcPr>
          <w:p w14:paraId="06745F96" w14:textId="77777777" w:rsidR="009948F1" w:rsidRDefault="009948F1">
            <w:pPr>
              <w:pStyle w:val="TableParagraph"/>
              <w:rPr>
                <w:rFonts w:ascii="Times New Roman"/>
                <w:sz w:val="12"/>
              </w:rPr>
            </w:pPr>
          </w:p>
        </w:tc>
      </w:tr>
      <w:tr w:rsidR="009948F1" w14:paraId="080045FD" w14:textId="77777777">
        <w:trPr>
          <w:trHeight w:val="605"/>
        </w:trPr>
        <w:tc>
          <w:tcPr>
            <w:tcW w:w="3250" w:type="dxa"/>
          </w:tcPr>
          <w:p w14:paraId="0D343FBE" w14:textId="77777777" w:rsidR="009948F1" w:rsidRDefault="00BC0563">
            <w:pPr>
              <w:pStyle w:val="TableParagraph"/>
              <w:spacing w:before="2" w:line="202" w:lineRule="exact"/>
              <w:ind w:left="101" w:right="416"/>
              <w:rPr>
                <w:sz w:val="17"/>
              </w:rPr>
            </w:pPr>
            <w:r>
              <w:rPr>
                <w:color w:val="231F20"/>
                <w:sz w:val="17"/>
              </w:rPr>
              <w:t>SMOH and proportion of MDAs that publish annual and state of health reports increase by 50% of baseline</w:t>
            </w:r>
          </w:p>
        </w:tc>
        <w:tc>
          <w:tcPr>
            <w:tcW w:w="1079" w:type="dxa"/>
          </w:tcPr>
          <w:p w14:paraId="287E0F6D" w14:textId="77777777" w:rsidR="009948F1" w:rsidRDefault="00BC0563">
            <w:pPr>
              <w:pStyle w:val="TableParagraph"/>
              <w:spacing w:before="4"/>
              <w:ind w:left="101"/>
              <w:rPr>
                <w:sz w:val="17"/>
              </w:rPr>
            </w:pPr>
            <w:r>
              <w:rPr>
                <w:color w:val="231F20"/>
                <w:sz w:val="17"/>
              </w:rPr>
              <w:t>TBD</w:t>
            </w:r>
          </w:p>
        </w:tc>
        <w:tc>
          <w:tcPr>
            <w:tcW w:w="697" w:type="dxa"/>
          </w:tcPr>
          <w:p w14:paraId="0722934E" w14:textId="77777777" w:rsidR="009948F1" w:rsidRDefault="00BC0563">
            <w:pPr>
              <w:pStyle w:val="TableParagraph"/>
              <w:spacing w:before="4"/>
              <w:ind w:left="101"/>
              <w:rPr>
                <w:sz w:val="17"/>
              </w:rPr>
            </w:pPr>
            <w:r>
              <w:rPr>
                <w:color w:val="231F20"/>
                <w:sz w:val="17"/>
              </w:rPr>
              <w:t>5%</w:t>
            </w:r>
          </w:p>
        </w:tc>
        <w:tc>
          <w:tcPr>
            <w:tcW w:w="697" w:type="dxa"/>
          </w:tcPr>
          <w:p w14:paraId="5479CE7B" w14:textId="77777777" w:rsidR="009948F1" w:rsidRDefault="00BC0563">
            <w:pPr>
              <w:pStyle w:val="TableParagraph"/>
              <w:spacing w:before="4"/>
              <w:ind w:left="100"/>
              <w:rPr>
                <w:sz w:val="17"/>
              </w:rPr>
            </w:pPr>
            <w:r>
              <w:rPr>
                <w:color w:val="231F20"/>
                <w:sz w:val="17"/>
              </w:rPr>
              <w:t>8%</w:t>
            </w:r>
          </w:p>
        </w:tc>
        <w:tc>
          <w:tcPr>
            <w:tcW w:w="697" w:type="dxa"/>
          </w:tcPr>
          <w:p w14:paraId="5FF338E5" w14:textId="77777777" w:rsidR="009948F1" w:rsidRDefault="00BC0563">
            <w:pPr>
              <w:pStyle w:val="TableParagraph"/>
              <w:spacing w:before="4"/>
              <w:ind w:left="99"/>
              <w:rPr>
                <w:sz w:val="17"/>
              </w:rPr>
            </w:pPr>
            <w:r>
              <w:rPr>
                <w:color w:val="231F20"/>
                <w:sz w:val="17"/>
              </w:rPr>
              <w:t>10%</w:t>
            </w:r>
          </w:p>
        </w:tc>
        <w:tc>
          <w:tcPr>
            <w:tcW w:w="695" w:type="dxa"/>
          </w:tcPr>
          <w:p w14:paraId="10DA9ED5" w14:textId="77777777" w:rsidR="009948F1" w:rsidRDefault="00BC0563">
            <w:pPr>
              <w:pStyle w:val="TableParagraph"/>
              <w:spacing w:before="4"/>
              <w:ind w:left="99"/>
              <w:rPr>
                <w:sz w:val="17"/>
              </w:rPr>
            </w:pPr>
            <w:r>
              <w:rPr>
                <w:color w:val="231F20"/>
                <w:sz w:val="17"/>
              </w:rPr>
              <w:t>12%</w:t>
            </w:r>
          </w:p>
        </w:tc>
        <w:tc>
          <w:tcPr>
            <w:tcW w:w="700" w:type="dxa"/>
          </w:tcPr>
          <w:p w14:paraId="2E0C0B9A" w14:textId="77777777" w:rsidR="009948F1" w:rsidRDefault="00BC0563">
            <w:pPr>
              <w:pStyle w:val="TableParagraph"/>
              <w:spacing w:before="4"/>
              <w:ind w:left="98"/>
              <w:rPr>
                <w:sz w:val="17"/>
              </w:rPr>
            </w:pPr>
            <w:r>
              <w:rPr>
                <w:color w:val="231F20"/>
                <w:sz w:val="17"/>
              </w:rPr>
              <w:t>15%</w:t>
            </w:r>
          </w:p>
        </w:tc>
        <w:tc>
          <w:tcPr>
            <w:tcW w:w="1419" w:type="dxa"/>
          </w:tcPr>
          <w:p w14:paraId="1F25CB98" w14:textId="77777777" w:rsidR="009948F1" w:rsidRDefault="00BC0563">
            <w:pPr>
              <w:pStyle w:val="TableParagraph"/>
              <w:spacing w:before="2" w:line="202" w:lineRule="exact"/>
              <w:ind w:left="96" w:right="319"/>
              <w:rPr>
                <w:sz w:val="17"/>
              </w:rPr>
            </w:pPr>
            <w:r>
              <w:rPr>
                <w:color w:val="231F20"/>
                <w:sz w:val="17"/>
              </w:rPr>
              <w:t>Increased by 50% from baseline</w:t>
            </w:r>
          </w:p>
        </w:tc>
      </w:tr>
      <w:tr w:rsidR="009948F1" w14:paraId="2DDACD55" w14:textId="77777777">
        <w:trPr>
          <w:trHeight w:val="198"/>
        </w:trPr>
        <w:tc>
          <w:tcPr>
            <w:tcW w:w="7815" w:type="dxa"/>
            <w:gridSpan w:val="7"/>
          </w:tcPr>
          <w:p w14:paraId="0D899E21" w14:textId="77777777" w:rsidR="009948F1" w:rsidRDefault="00BC0563">
            <w:pPr>
              <w:pStyle w:val="TableParagraph"/>
              <w:spacing w:line="178" w:lineRule="exact"/>
              <w:ind w:left="101"/>
              <w:rPr>
                <w:b/>
                <w:sz w:val="17"/>
              </w:rPr>
            </w:pPr>
            <w:r>
              <w:rPr>
                <w:b/>
                <w:color w:val="231F20"/>
                <w:sz w:val="17"/>
              </w:rPr>
              <w:t>Strengthen coordination, harmonization and alignment at all levels</w:t>
            </w:r>
          </w:p>
        </w:tc>
        <w:tc>
          <w:tcPr>
            <w:tcW w:w="1419" w:type="dxa"/>
          </w:tcPr>
          <w:p w14:paraId="738419B3" w14:textId="77777777" w:rsidR="009948F1" w:rsidRDefault="009948F1">
            <w:pPr>
              <w:pStyle w:val="TableParagraph"/>
              <w:rPr>
                <w:rFonts w:ascii="Times New Roman"/>
                <w:sz w:val="12"/>
              </w:rPr>
            </w:pPr>
          </w:p>
        </w:tc>
      </w:tr>
      <w:tr w:rsidR="009948F1" w14:paraId="71264BFA" w14:textId="77777777">
        <w:trPr>
          <w:trHeight w:val="605"/>
        </w:trPr>
        <w:tc>
          <w:tcPr>
            <w:tcW w:w="3250" w:type="dxa"/>
          </w:tcPr>
          <w:p w14:paraId="3E03FF89" w14:textId="77777777" w:rsidR="009948F1" w:rsidRDefault="00BC0563">
            <w:pPr>
              <w:pStyle w:val="TableParagraph"/>
              <w:spacing w:before="4" w:line="247" w:lineRule="auto"/>
              <w:ind w:left="101" w:right="123"/>
              <w:rPr>
                <w:sz w:val="17"/>
              </w:rPr>
            </w:pPr>
            <w:r>
              <w:rPr>
                <w:color w:val="231F20"/>
                <w:sz w:val="17"/>
              </w:rPr>
              <w:t>Percentage of PHCs with functional ward development committees increase</w:t>
            </w:r>
          </w:p>
          <w:p w14:paraId="3A6EF373" w14:textId="77777777" w:rsidR="009948F1" w:rsidRDefault="00BC0563">
            <w:pPr>
              <w:pStyle w:val="TableParagraph"/>
              <w:spacing w:before="2" w:line="177" w:lineRule="exact"/>
              <w:ind w:left="101"/>
              <w:rPr>
                <w:sz w:val="17"/>
              </w:rPr>
            </w:pPr>
            <w:r>
              <w:rPr>
                <w:color w:val="231F20"/>
                <w:sz w:val="17"/>
              </w:rPr>
              <w:t>by 50% of baseline</w:t>
            </w:r>
          </w:p>
        </w:tc>
        <w:tc>
          <w:tcPr>
            <w:tcW w:w="1079" w:type="dxa"/>
          </w:tcPr>
          <w:p w14:paraId="4D7E63F5" w14:textId="77777777" w:rsidR="009948F1" w:rsidRDefault="00BC0563">
            <w:pPr>
              <w:pStyle w:val="TableParagraph"/>
              <w:spacing w:before="4"/>
              <w:ind w:left="101"/>
              <w:rPr>
                <w:sz w:val="17"/>
              </w:rPr>
            </w:pPr>
            <w:r>
              <w:rPr>
                <w:color w:val="231F20"/>
                <w:sz w:val="17"/>
              </w:rPr>
              <w:t>TBD</w:t>
            </w:r>
          </w:p>
        </w:tc>
        <w:tc>
          <w:tcPr>
            <w:tcW w:w="697" w:type="dxa"/>
          </w:tcPr>
          <w:p w14:paraId="04CD9E66" w14:textId="77777777" w:rsidR="009948F1" w:rsidRDefault="00BC0563">
            <w:pPr>
              <w:pStyle w:val="TableParagraph"/>
              <w:spacing w:before="4"/>
              <w:ind w:left="101"/>
              <w:rPr>
                <w:sz w:val="17"/>
              </w:rPr>
            </w:pPr>
            <w:r>
              <w:rPr>
                <w:color w:val="231F20"/>
                <w:sz w:val="17"/>
              </w:rPr>
              <w:t>10%</w:t>
            </w:r>
          </w:p>
        </w:tc>
        <w:tc>
          <w:tcPr>
            <w:tcW w:w="697" w:type="dxa"/>
          </w:tcPr>
          <w:p w14:paraId="5F427436" w14:textId="77777777" w:rsidR="009948F1" w:rsidRDefault="00BC0563">
            <w:pPr>
              <w:pStyle w:val="TableParagraph"/>
              <w:spacing w:before="4"/>
              <w:ind w:left="100"/>
              <w:rPr>
                <w:sz w:val="17"/>
              </w:rPr>
            </w:pPr>
            <w:r>
              <w:rPr>
                <w:color w:val="231F20"/>
                <w:sz w:val="17"/>
              </w:rPr>
              <w:t>12%</w:t>
            </w:r>
          </w:p>
        </w:tc>
        <w:tc>
          <w:tcPr>
            <w:tcW w:w="697" w:type="dxa"/>
          </w:tcPr>
          <w:p w14:paraId="13712E8F" w14:textId="77777777" w:rsidR="009948F1" w:rsidRDefault="00BC0563">
            <w:pPr>
              <w:pStyle w:val="TableParagraph"/>
              <w:spacing w:before="4"/>
              <w:ind w:left="99"/>
              <w:rPr>
                <w:sz w:val="17"/>
              </w:rPr>
            </w:pPr>
            <w:r>
              <w:rPr>
                <w:color w:val="231F20"/>
                <w:sz w:val="17"/>
              </w:rPr>
              <w:t>14%</w:t>
            </w:r>
          </w:p>
        </w:tc>
        <w:tc>
          <w:tcPr>
            <w:tcW w:w="695" w:type="dxa"/>
          </w:tcPr>
          <w:p w14:paraId="7813EFD9" w14:textId="77777777" w:rsidR="009948F1" w:rsidRDefault="00BC0563">
            <w:pPr>
              <w:pStyle w:val="TableParagraph"/>
              <w:spacing w:before="4"/>
              <w:ind w:left="99"/>
              <w:rPr>
                <w:sz w:val="17"/>
              </w:rPr>
            </w:pPr>
            <w:r>
              <w:rPr>
                <w:color w:val="231F20"/>
                <w:sz w:val="17"/>
              </w:rPr>
              <w:t>16%</w:t>
            </w:r>
          </w:p>
        </w:tc>
        <w:tc>
          <w:tcPr>
            <w:tcW w:w="700" w:type="dxa"/>
          </w:tcPr>
          <w:p w14:paraId="2FE5581C" w14:textId="77777777" w:rsidR="009948F1" w:rsidRDefault="00BC0563">
            <w:pPr>
              <w:pStyle w:val="TableParagraph"/>
              <w:spacing w:before="4"/>
              <w:ind w:left="98"/>
              <w:rPr>
                <w:sz w:val="17"/>
              </w:rPr>
            </w:pPr>
            <w:r>
              <w:rPr>
                <w:color w:val="231F20"/>
                <w:sz w:val="17"/>
              </w:rPr>
              <w:t>18%</w:t>
            </w:r>
          </w:p>
        </w:tc>
        <w:tc>
          <w:tcPr>
            <w:tcW w:w="1419" w:type="dxa"/>
          </w:tcPr>
          <w:p w14:paraId="0C7202D1" w14:textId="77777777" w:rsidR="009948F1" w:rsidRDefault="00BC0563">
            <w:pPr>
              <w:pStyle w:val="TableParagraph"/>
              <w:spacing w:before="4" w:line="247" w:lineRule="auto"/>
              <w:ind w:left="96" w:right="319"/>
              <w:rPr>
                <w:sz w:val="17"/>
              </w:rPr>
            </w:pPr>
            <w:r>
              <w:rPr>
                <w:color w:val="231F20"/>
                <w:sz w:val="17"/>
              </w:rPr>
              <w:t>Increased by 50% from</w:t>
            </w:r>
          </w:p>
          <w:p w14:paraId="0CE2BAD6" w14:textId="77777777" w:rsidR="009948F1" w:rsidRDefault="00BC0563">
            <w:pPr>
              <w:pStyle w:val="TableParagraph"/>
              <w:spacing w:before="2" w:line="177" w:lineRule="exact"/>
              <w:ind w:left="96"/>
              <w:rPr>
                <w:sz w:val="17"/>
              </w:rPr>
            </w:pPr>
            <w:r>
              <w:rPr>
                <w:color w:val="231F20"/>
                <w:sz w:val="17"/>
              </w:rPr>
              <w:t>baseline</w:t>
            </w:r>
          </w:p>
        </w:tc>
      </w:tr>
      <w:tr w:rsidR="009948F1" w14:paraId="035111E3" w14:textId="77777777">
        <w:trPr>
          <w:trHeight w:val="605"/>
        </w:trPr>
        <w:tc>
          <w:tcPr>
            <w:tcW w:w="3250" w:type="dxa"/>
          </w:tcPr>
          <w:p w14:paraId="653DA46A" w14:textId="0F010807" w:rsidR="009948F1" w:rsidRDefault="00BC0563">
            <w:pPr>
              <w:pStyle w:val="TableParagraph"/>
              <w:spacing w:before="4" w:line="247" w:lineRule="auto"/>
              <w:ind w:left="101"/>
              <w:rPr>
                <w:sz w:val="17"/>
              </w:rPr>
            </w:pPr>
            <w:r>
              <w:rPr>
                <w:color w:val="231F20"/>
                <w:sz w:val="17"/>
              </w:rPr>
              <w:t>Percentage of WDCs</w:t>
            </w:r>
            <w:r w:rsidR="00311DCA">
              <w:rPr>
                <w:color w:val="231F20"/>
                <w:sz w:val="17"/>
              </w:rPr>
              <w:t xml:space="preserve"> </w:t>
            </w:r>
            <w:r>
              <w:rPr>
                <w:color w:val="231F20"/>
                <w:sz w:val="17"/>
              </w:rPr>
              <w:t>carrying out health activities increased to 50% of baseline</w:t>
            </w:r>
          </w:p>
        </w:tc>
        <w:tc>
          <w:tcPr>
            <w:tcW w:w="1079" w:type="dxa"/>
          </w:tcPr>
          <w:p w14:paraId="08D9543F" w14:textId="77777777" w:rsidR="009948F1" w:rsidRDefault="00BC0563">
            <w:pPr>
              <w:pStyle w:val="TableParagraph"/>
              <w:spacing w:before="4"/>
              <w:ind w:left="101"/>
              <w:rPr>
                <w:sz w:val="17"/>
              </w:rPr>
            </w:pPr>
            <w:r>
              <w:rPr>
                <w:color w:val="231F20"/>
                <w:sz w:val="17"/>
              </w:rPr>
              <w:t>TBD</w:t>
            </w:r>
          </w:p>
        </w:tc>
        <w:tc>
          <w:tcPr>
            <w:tcW w:w="697" w:type="dxa"/>
          </w:tcPr>
          <w:p w14:paraId="1481B148" w14:textId="77777777" w:rsidR="009948F1" w:rsidRDefault="00BC0563">
            <w:pPr>
              <w:pStyle w:val="TableParagraph"/>
              <w:spacing w:before="4"/>
              <w:ind w:left="101"/>
              <w:rPr>
                <w:sz w:val="17"/>
              </w:rPr>
            </w:pPr>
            <w:r>
              <w:rPr>
                <w:color w:val="231F20"/>
                <w:sz w:val="17"/>
              </w:rPr>
              <w:t>10</w:t>
            </w:r>
          </w:p>
        </w:tc>
        <w:tc>
          <w:tcPr>
            <w:tcW w:w="697" w:type="dxa"/>
          </w:tcPr>
          <w:p w14:paraId="4E7ADA11" w14:textId="77777777" w:rsidR="009948F1" w:rsidRDefault="00BC0563">
            <w:pPr>
              <w:pStyle w:val="TableParagraph"/>
              <w:spacing w:before="4"/>
              <w:ind w:left="100"/>
              <w:rPr>
                <w:sz w:val="17"/>
              </w:rPr>
            </w:pPr>
            <w:r>
              <w:rPr>
                <w:color w:val="231F20"/>
                <w:sz w:val="17"/>
              </w:rPr>
              <w:t>12</w:t>
            </w:r>
          </w:p>
        </w:tc>
        <w:tc>
          <w:tcPr>
            <w:tcW w:w="697" w:type="dxa"/>
          </w:tcPr>
          <w:p w14:paraId="5A0C9FE2" w14:textId="77777777" w:rsidR="009948F1" w:rsidRDefault="00BC0563">
            <w:pPr>
              <w:pStyle w:val="TableParagraph"/>
              <w:spacing w:before="4"/>
              <w:ind w:left="99"/>
              <w:rPr>
                <w:sz w:val="17"/>
              </w:rPr>
            </w:pPr>
            <w:r>
              <w:rPr>
                <w:color w:val="231F20"/>
                <w:sz w:val="17"/>
              </w:rPr>
              <w:t>14</w:t>
            </w:r>
          </w:p>
        </w:tc>
        <w:tc>
          <w:tcPr>
            <w:tcW w:w="695" w:type="dxa"/>
          </w:tcPr>
          <w:p w14:paraId="315E758C" w14:textId="77777777" w:rsidR="009948F1" w:rsidRDefault="00BC0563">
            <w:pPr>
              <w:pStyle w:val="TableParagraph"/>
              <w:spacing w:before="4"/>
              <w:ind w:left="99"/>
              <w:rPr>
                <w:sz w:val="17"/>
              </w:rPr>
            </w:pPr>
            <w:r>
              <w:rPr>
                <w:color w:val="231F20"/>
                <w:sz w:val="17"/>
              </w:rPr>
              <w:t>16</w:t>
            </w:r>
          </w:p>
        </w:tc>
        <w:tc>
          <w:tcPr>
            <w:tcW w:w="700" w:type="dxa"/>
          </w:tcPr>
          <w:p w14:paraId="0FD04A8A" w14:textId="77777777" w:rsidR="009948F1" w:rsidRDefault="00BC0563">
            <w:pPr>
              <w:pStyle w:val="TableParagraph"/>
              <w:spacing w:before="4"/>
              <w:ind w:left="98"/>
              <w:rPr>
                <w:sz w:val="17"/>
              </w:rPr>
            </w:pPr>
            <w:r>
              <w:rPr>
                <w:color w:val="231F20"/>
                <w:sz w:val="17"/>
              </w:rPr>
              <w:t>18</w:t>
            </w:r>
          </w:p>
        </w:tc>
        <w:tc>
          <w:tcPr>
            <w:tcW w:w="1419" w:type="dxa"/>
          </w:tcPr>
          <w:p w14:paraId="44C838F8" w14:textId="77777777" w:rsidR="009948F1" w:rsidRDefault="00BC0563">
            <w:pPr>
              <w:pStyle w:val="TableParagraph"/>
              <w:spacing w:before="4" w:line="247" w:lineRule="auto"/>
              <w:ind w:left="96" w:right="319"/>
              <w:rPr>
                <w:sz w:val="17"/>
              </w:rPr>
            </w:pPr>
            <w:r>
              <w:rPr>
                <w:color w:val="231F20"/>
                <w:sz w:val="17"/>
              </w:rPr>
              <w:t>Increased by 50% from</w:t>
            </w:r>
          </w:p>
          <w:p w14:paraId="503E5BB5" w14:textId="77777777" w:rsidR="009948F1" w:rsidRDefault="00BC0563">
            <w:pPr>
              <w:pStyle w:val="TableParagraph"/>
              <w:spacing w:before="2" w:line="177" w:lineRule="exact"/>
              <w:ind w:left="96"/>
              <w:rPr>
                <w:sz w:val="17"/>
              </w:rPr>
            </w:pPr>
            <w:r>
              <w:rPr>
                <w:color w:val="231F20"/>
                <w:sz w:val="17"/>
              </w:rPr>
              <w:t>baseline</w:t>
            </w:r>
          </w:p>
        </w:tc>
      </w:tr>
      <w:tr w:rsidR="009948F1" w14:paraId="5539FF39" w14:textId="77777777">
        <w:trPr>
          <w:trHeight w:val="807"/>
        </w:trPr>
        <w:tc>
          <w:tcPr>
            <w:tcW w:w="3250" w:type="dxa"/>
          </w:tcPr>
          <w:p w14:paraId="5827F0DA" w14:textId="77777777" w:rsidR="009948F1" w:rsidRDefault="00BC0563">
            <w:pPr>
              <w:pStyle w:val="TableParagraph"/>
              <w:spacing w:before="4" w:line="249" w:lineRule="auto"/>
              <w:ind w:left="101" w:right="375"/>
              <w:jc w:val="both"/>
              <w:rPr>
                <w:sz w:val="17"/>
              </w:rPr>
            </w:pPr>
            <w:r>
              <w:rPr>
                <w:color w:val="231F20"/>
                <w:sz w:val="17"/>
              </w:rPr>
              <w:t>Percentage of funding of health from partners (development partners and private sector) that is aligned to the</w:t>
            </w:r>
          </w:p>
          <w:p w14:paraId="0F4FCEAA" w14:textId="77777777" w:rsidR="009948F1" w:rsidRDefault="00BC0563">
            <w:pPr>
              <w:pStyle w:val="TableParagraph"/>
              <w:spacing w:line="173" w:lineRule="exact"/>
              <w:ind w:left="101"/>
              <w:jc w:val="both"/>
              <w:rPr>
                <w:sz w:val="17"/>
              </w:rPr>
            </w:pPr>
            <w:r>
              <w:rPr>
                <w:color w:val="231F20"/>
                <w:sz w:val="17"/>
              </w:rPr>
              <w:t>State Strategic Health Plan by 2022.</w:t>
            </w:r>
          </w:p>
        </w:tc>
        <w:tc>
          <w:tcPr>
            <w:tcW w:w="1079" w:type="dxa"/>
          </w:tcPr>
          <w:p w14:paraId="03B816B8" w14:textId="77777777" w:rsidR="009948F1" w:rsidRDefault="00BC0563">
            <w:pPr>
              <w:pStyle w:val="TableParagraph"/>
              <w:spacing w:before="4"/>
              <w:ind w:left="101"/>
              <w:rPr>
                <w:sz w:val="17"/>
              </w:rPr>
            </w:pPr>
            <w:r>
              <w:rPr>
                <w:color w:val="231F20"/>
                <w:sz w:val="17"/>
              </w:rPr>
              <w:t>TBD</w:t>
            </w:r>
          </w:p>
        </w:tc>
        <w:tc>
          <w:tcPr>
            <w:tcW w:w="697" w:type="dxa"/>
          </w:tcPr>
          <w:p w14:paraId="484C44D8" w14:textId="77777777" w:rsidR="009948F1" w:rsidRDefault="00BC0563">
            <w:pPr>
              <w:pStyle w:val="TableParagraph"/>
              <w:spacing w:before="4"/>
              <w:ind w:left="101"/>
              <w:rPr>
                <w:sz w:val="17"/>
              </w:rPr>
            </w:pPr>
            <w:r>
              <w:rPr>
                <w:color w:val="231F20"/>
                <w:sz w:val="17"/>
              </w:rPr>
              <w:t>10</w:t>
            </w:r>
          </w:p>
        </w:tc>
        <w:tc>
          <w:tcPr>
            <w:tcW w:w="697" w:type="dxa"/>
          </w:tcPr>
          <w:p w14:paraId="30F9EE8F" w14:textId="77777777" w:rsidR="009948F1" w:rsidRDefault="00BC0563">
            <w:pPr>
              <w:pStyle w:val="TableParagraph"/>
              <w:spacing w:before="4"/>
              <w:ind w:left="100"/>
              <w:rPr>
                <w:sz w:val="17"/>
              </w:rPr>
            </w:pPr>
            <w:r>
              <w:rPr>
                <w:color w:val="231F20"/>
                <w:sz w:val="17"/>
              </w:rPr>
              <w:t>12</w:t>
            </w:r>
          </w:p>
        </w:tc>
        <w:tc>
          <w:tcPr>
            <w:tcW w:w="697" w:type="dxa"/>
          </w:tcPr>
          <w:p w14:paraId="7F41A07D" w14:textId="77777777" w:rsidR="009948F1" w:rsidRDefault="00BC0563">
            <w:pPr>
              <w:pStyle w:val="TableParagraph"/>
              <w:spacing w:before="4"/>
              <w:ind w:left="99"/>
              <w:rPr>
                <w:sz w:val="17"/>
              </w:rPr>
            </w:pPr>
            <w:r>
              <w:rPr>
                <w:color w:val="231F20"/>
                <w:sz w:val="17"/>
              </w:rPr>
              <w:t>14</w:t>
            </w:r>
          </w:p>
        </w:tc>
        <w:tc>
          <w:tcPr>
            <w:tcW w:w="695" w:type="dxa"/>
          </w:tcPr>
          <w:p w14:paraId="13B6D2A0" w14:textId="77777777" w:rsidR="009948F1" w:rsidRDefault="00BC0563">
            <w:pPr>
              <w:pStyle w:val="TableParagraph"/>
              <w:spacing w:before="4"/>
              <w:ind w:left="99"/>
              <w:rPr>
                <w:sz w:val="17"/>
              </w:rPr>
            </w:pPr>
            <w:r>
              <w:rPr>
                <w:color w:val="231F20"/>
                <w:sz w:val="17"/>
              </w:rPr>
              <w:t>16</w:t>
            </w:r>
          </w:p>
        </w:tc>
        <w:tc>
          <w:tcPr>
            <w:tcW w:w="700" w:type="dxa"/>
          </w:tcPr>
          <w:p w14:paraId="67BAF74D" w14:textId="77777777" w:rsidR="009948F1" w:rsidRDefault="00BC0563">
            <w:pPr>
              <w:pStyle w:val="TableParagraph"/>
              <w:spacing w:before="4"/>
              <w:ind w:left="98"/>
              <w:rPr>
                <w:sz w:val="17"/>
              </w:rPr>
            </w:pPr>
            <w:r>
              <w:rPr>
                <w:color w:val="231F20"/>
                <w:sz w:val="17"/>
              </w:rPr>
              <w:t>18</w:t>
            </w:r>
          </w:p>
        </w:tc>
        <w:tc>
          <w:tcPr>
            <w:tcW w:w="1419" w:type="dxa"/>
          </w:tcPr>
          <w:p w14:paraId="0AAE2123" w14:textId="77777777" w:rsidR="009948F1" w:rsidRDefault="00BC0563">
            <w:pPr>
              <w:pStyle w:val="TableParagraph"/>
              <w:spacing w:before="4"/>
              <w:ind w:left="96"/>
              <w:rPr>
                <w:sz w:val="17"/>
              </w:rPr>
            </w:pPr>
            <w:r>
              <w:rPr>
                <w:color w:val="231F20"/>
                <w:sz w:val="17"/>
              </w:rPr>
              <w:t>30%</w:t>
            </w:r>
          </w:p>
        </w:tc>
      </w:tr>
    </w:tbl>
    <w:p w14:paraId="2D0120CC" w14:textId="77777777" w:rsidR="009948F1" w:rsidRDefault="009948F1">
      <w:pPr>
        <w:pStyle w:val="BodyText"/>
        <w:spacing w:before="3"/>
        <w:rPr>
          <w:b/>
          <w:sz w:val="25"/>
        </w:rPr>
      </w:pPr>
    </w:p>
    <w:p w14:paraId="1F540BF3" w14:textId="77777777" w:rsidR="009948F1" w:rsidRDefault="00BC0563">
      <w:pPr>
        <w:pStyle w:val="Heading7"/>
        <w:ind w:left="131" w:right="8149"/>
        <w:jc w:val="center"/>
      </w:pPr>
      <w:r>
        <w:rPr>
          <w:color w:val="231F20"/>
        </w:rPr>
        <w:t>Interventions</w:t>
      </w:r>
    </w:p>
    <w:p w14:paraId="765B3AF2" w14:textId="698A1517" w:rsidR="009948F1" w:rsidRDefault="00BC0563">
      <w:pPr>
        <w:pStyle w:val="ListParagraph"/>
        <w:numPr>
          <w:ilvl w:val="3"/>
          <w:numId w:val="296"/>
        </w:numPr>
        <w:tabs>
          <w:tab w:val="left" w:pos="889"/>
        </w:tabs>
        <w:spacing w:before="59" w:line="295" w:lineRule="auto"/>
        <w:ind w:right="229" w:firstLine="0"/>
      </w:pPr>
      <w:r>
        <w:rPr>
          <w:color w:val="231F20"/>
        </w:rPr>
        <w:t>Promote review and development of polices and laws as necessary. Key actions include</w:t>
      </w:r>
      <w:r w:rsidR="00EF732F">
        <w:rPr>
          <w:color w:val="231F20"/>
        </w:rPr>
        <w:t>:</w:t>
      </w:r>
      <w:r>
        <w:rPr>
          <w:color w:val="231F20"/>
        </w:rPr>
        <w:t xml:space="preserve"> Strengthen Planning, Research &amp; Statistics Department of the SMOH to coordinate meetings</w:t>
      </w:r>
      <w:r>
        <w:rPr>
          <w:color w:val="231F20"/>
          <w:spacing w:val="-35"/>
        </w:rPr>
        <w:t xml:space="preserve"> </w:t>
      </w:r>
      <w:r>
        <w:rPr>
          <w:color w:val="231F20"/>
          <w:spacing w:val="-5"/>
        </w:rPr>
        <w:t xml:space="preserve">for </w:t>
      </w:r>
      <w:r>
        <w:rPr>
          <w:color w:val="231F20"/>
        </w:rPr>
        <w:t>policy</w:t>
      </w:r>
      <w:r>
        <w:rPr>
          <w:color w:val="231F20"/>
          <w:spacing w:val="-6"/>
        </w:rPr>
        <w:t xml:space="preserve"> </w:t>
      </w:r>
      <w:r>
        <w:rPr>
          <w:color w:val="231F20"/>
        </w:rPr>
        <w:t>activities</w:t>
      </w:r>
      <w:r>
        <w:rPr>
          <w:color w:val="231F20"/>
          <w:spacing w:val="-5"/>
        </w:rPr>
        <w:t xml:space="preserve"> </w:t>
      </w:r>
      <w:r>
        <w:rPr>
          <w:color w:val="231F20"/>
        </w:rPr>
        <w:t>at</w:t>
      </w:r>
      <w:r>
        <w:rPr>
          <w:color w:val="231F20"/>
          <w:spacing w:val="-5"/>
        </w:rPr>
        <w:t xml:space="preserve"> </w:t>
      </w:r>
      <w:r>
        <w:rPr>
          <w:color w:val="231F20"/>
        </w:rPr>
        <w:t>all</w:t>
      </w:r>
      <w:r>
        <w:rPr>
          <w:color w:val="231F20"/>
          <w:spacing w:val="-5"/>
        </w:rPr>
        <w:t xml:space="preserve"> </w:t>
      </w:r>
      <w:r>
        <w:rPr>
          <w:color w:val="231F20"/>
        </w:rPr>
        <w:t>levels;</w:t>
      </w:r>
      <w:r>
        <w:rPr>
          <w:color w:val="231F20"/>
          <w:spacing w:val="-5"/>
        </w:rPr>
        <w:t xml:space="preserve"> </w:t>
      </w:r>
      <w:r>
        <w:rPr>
          <w:color w:val="231F20"/>
        </w:rPr>
        <w:t>Advocacy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Commissioner</w:t>
      </w:r>
      <w:r>
        <w:rPr>
          <w:color w:val="231F20"/>
          <w:spacing w:val="-5"/>
        </w:rPr>
        <w:t xml:space="preserve"> </w:t>
      </w:r>
      <w:r>
        <w:rPr>
          <w:color w:val="231F20"/>
        </w:rPr>
        <w:t>of</w:t>
      </w:r>
      <w:r>
        <w:rPr>
          <w:color w:val="231F20"/>
          <w:spacing w:val="-5"/>
        </w:rPr>
        <w:t xml:space="preserve"> </w:t>
      </w:r>
      <w:r>
        <w:rPr>
          <w:color w:val="231F20"/>
        </w:rPr>
        <w:t>Health</w:t>
      </w:r>
      <w:r>
        <w:rPr>
          <w:color w:val="231F20"/>
          <w:spacing w:val="-5"/>
        </w:rPr>
        <w:t xml:space="preserve"> </w:t>
      </w:r>
      <w:r>
        <w:rPr>
          <w:color w:val="231F20"/>
        </w:rPr>
        <w:t>and</w:t>
      </w:r>
      <w:r>
        <w:rPr>
          <w:color w:val="231F20"/>
          <w:spacing w:val="-6"/>
        </w:rPr>
        <w:t xml:space="preserve"> </w:t>
      </w:r>
      <w:r>
        <w:rPr>
          <w:color w:val="231F20"/>
        </w:rPr>
        <w:t>House</w:t>
      </w:r>
      <w:r>
        <w:rPr>
          <w:color w:val="231F20"/>
          <w:spacing w:val="-5"/>
        </w:rPr>
        <w:t xml:space="preserve"> </w:t>
      </w:r>
      <w:r>
        <w:rPr>
          <w:color w:val="231F20"/>
        </w:rPr>
        <w:t>of</w:t>
      </w:r>
      <w:r>
        <w:rPr>
          <w:color w:val="231F20"/>
          <w:spacing w:val="-17"/>
        </w:rPr>
        <w:t xml:space="preserve"> </w:t>
      </w:r>
      <w:r>
        <w:rPr>
          <w:color w:val="231F20"/>
        </w:rPr>
        <w:t>Assembly</w:t>
      </w:r>
      <w:r>
        <w:rPr>
          <w:color w:val="231F20"/>
          <w:spacing w:val="-5"/>
        </w:rPr>
        <w:t xml:space="preserve"> </w:t>
      </w:r>
      <w:r>
        <w:rPr>
          <w:color w:val="231F20"/>
        </w:rPr>
        <w:t>on the need to pass a bill for regular conduct of State Council on Health in the State;</w:t>
      </w:r>
      <w:r w:rsidR="00DA56D4">
        <w:rPr>
          <w:color w:val="231F20"/>
        </w:rPr>
        <w:t xml:space="preserve"> </w:t>
      </w:r>
      <w:r>
        <w:rPr>
          <w:color w:val="231F20"/>
        </w:rPr>
        <w:t xml:space="preserve">Conduct State Council on Health (SCH) meetings to review and develop policies, adapt the guidelines </w:t>
      </w:r>
      <w:r>
        <w:rPr>
          <w:color w:val="231F20"/>
          <w:spacing w:val="-6"/>
        </w:rPr>
        <w:t xml:space="preserve">on </w:t>
      </w:r>
      <w:r>
        <w:rPr>
          <w:color w:val="231F20"/>
        </w:rPr>
        <w:t>essential</w:t>
      </w:r>
      <w:r>
        <w:rPr>
          <w:color w:val="231F20"/>
          <w:spacing w:val="-12"/>
        </w:rPr>
        <w:t xml:space="preserve"> </w:t>
      </w:r>
      <w:r>
        <w:rPr>
          <w:color w:val="231F20"/>
        </w:rPr>
        <w:t>package</w:t>
      </w:r>
      <w:r>
        <w:rPr>
          <w:color w:val="231F20"/>
          <w:spacing w:val="-11"/>
        </w:rPr>
        <w:t xml:space="preserve"> </w:t>
      </w:r>
      <w:r>
        <w:rPr>
          <w:color w:val="231F20"/>
        </w:rPr>
        <w:t>of</w:t>
      </w:r>
      <w:r>
        <w:rPr>
          <w:color w:val="231F20"/>
          <w:spacing w:val="-12"/>
        </w:rPr>
        <w:t xml:space="preserve"> </w:t>
      </w:r>
      <w:r>
        <w:rPr>
          <w:color w:val="231F20"/>
        </w:rPr>
        <w:t>health</w:t>
      </w:r>
      <w:r>
        <w:rPr>
          <w:color w:val="231F20"/>
          <w:spacing w:val="-11"/>
        </w:rPr>
        <w:t xml:space="preserve"> </w:t>
      </w:r>
      <w:r>
        <w:rPr>
          <w:color w:val="231F20"/>
        </w:rPr>
        <w:t>care</w:t>
      </w:r>
      <w:r>
        <w:rPr>
          <w:color w:val="231F20"/>
          <w:spacing w:val="-12"/>
        </w:rPr>
        <w:t xml:space="preserve"> </w:t>
      </w:r>
      <w:r>
        <w:rPr>
          <w:color w:val="231F20"/>
        </w:rPr>
        <w:t>services</w:t>
      </w:r>
      <w:r>
        <w:rPr>
          <w:color w:val="231F20"/>
          <w:spacing w:val="-12"/>
        </w:rPr>
        <w:t xml:space="preserve"> </w:t>
      </w:r>
      <w:r>
        <w:rPr>
          <w:color w:val="231F20"/>
        </w:rPr>
        <w:t>for</w:t>
      </w:r>
      <w:r>
        <w:rPr>
          <w:color w:val="231F20"/>
          <w:spacing w:val="-12"/>
        </w:rPr>
        <w:t xml:space="preserve"> </w:t>
      </w:r>
      <w:r>
        <w:rPr>
          <w:color w:val="231F20"/>
        </w:rPr>
        <w:t>Nigeria</w:t>
      </w:r>
      <w:r>
        <w:rPr>
          <w:color w:val="231F20"/>
          <w:spacing w:val="-11"/>
        </w:rPr>
        <w:t xml:space="preserve"> </w:t>
      </w:r>
      <w:r>
        <w:rPr>
          <w:color w:val="231F20"/>
        </w:rPr>
        <w:t>&amp;</w:t>
      </w:r>
      <w:r>
        <w:rPr>
          <w:color w:val="231F20"/>
          <w:spacing w:val="-12"/>
        </w:rPr>
        <w:t xml:space="preserve"> </w:t>
      </w:r>
      <w:r>
        <w:rPr>
          <w:color w:val="231F20"/>
        </w:rPr>
        <w:t>define</w:t>
      </w:r>
      <w:r>
        <w:rPr>
          <w:color w:val="231F20"/>
          <w:spacing w:val="-11"/>
        </w:rPr>
        <w:t xml:space="preserve"> </w:t>
      </w:r>
      <w:r>
        <w:rPr>
          <w:color w:val="231F20"/>
        </w:rPr>
        <w:t>norms</w:t>
      </w:r>
      <w:r>
        <w:rPr>
          <w:color w:val="231F20"/>
          <w:spacing w:val="-13"/>
        </w:rPr>
        <w:t xml:space="preserve"> </w:t>
      </w:r>
      <w:r>
        <w:rPr>
          <w:color w:val="231F20"/>
        </w:rPr>
        <w:t>and</w:t>
      </w:r>
      <w:r>
        <w:rPr>
          <w:color w:val="231F20"/>
          <w:spacing w:val="-12"/>
        </w:rPr>
        <w:t xml:space="preserve"> </w:t>
      </w:r>
      <w:r>
        <w:rPr>
          <w:color w:val="231F20"/>
        </w:rPr>
        <w:t>standards</w:t>
      </w:r>
      <w:r>
        <w:rPr>
          <w:color w:val="231F20"/>
          <w:spacing w:val="-11"/>
        </w:rPr>
        <w:t xml:space="preserve"> </w:t>
      </w:r>
      <w:r>
        <w:rPr>
          <w:color w:val="231F20"/>
        </w:rPr>
        <w:t>of</w:t>
      </w:r>
      <w:r>
        <w:rPr>
          <w:color w:val="231F20"/>
          <w:spacing w:val="-12"/>
        </w:rPr>
        <w:t xml:space="preserve"> </w:t>
      </w:r>
      <w:r>
        <w:rPr>
          <w:color w:val="231F20"/>
        </w:rPr>
        <w:t>practice</w:t>
      </w:r>
      <w:r>
        <w:rPr>
          <w:color w:val="231F20"/>
          <w:spacing w:val="-12"/>
        </w:rPr>
        <w:t xml:space="preserve"> </w:t>
      </w:r>
      <w:r w:rsidR="00DA56D4">
        <w:rPr>
          <w:color w:val="231F20"/>
        </w:rPr>
        <w:t>a</w:t>
      </w:r>
      <w:r>
        <w:rPr>
          <w:color w:val="231F20"/>
        </w:rPr>
        <w:t>t</w:t>
      </w:r>
      <w:r>
        <w:rPr>
          <w:color w:val="231F20"/>
          <w:spacing w:val="-10"/>
        </w:rPr>
        <w:t xml:space="preserve"> </w:t>
      </w:r>
      <w:r>
        <w:rPr>
          <w:color w:val="231F20"/>
        </w:rPr>
        <w:t>different</w:t>
      </w:r>
      <w:r>
        <w:rPr>
          <w:color w:val="231F20"/>
          <w:spacing w:val="-9"/>
        </w:rPr>
        <w:t xml:space="preserve"> </w:t>
      </w:r>
      <w:r>
        <w:rPr>
          <w:color w:val="231F20"/>
        </w:rPr>
        <w:t>levels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care</w:t>
      </w:r>
      <w:r>
        <w:rPr>
          <w:color w:val="231F20"/>
          <w:spacing w:val="-9"/>
        </w:rPr>
        <w:t xml:space="preserve"> </w:t>
      </w:r>
      <w:r>
        <w:rPr>
          <w:color w:val="231F20"/>
        </w:rPr>
        <w:t>system,</w:t>
      </w:r>
      <w:r>
        <w:rPr>
          <w:color w:val="231F20"/>
          <w:spacing w:val="-9"/>
        </w:rPr>
        <w:t xml:space="preserve"> </w:t>
      </w:r>
      <w:r>
        <w:rPr>
          <w:color w:val="231F20"/>
        </w:rPr>
        <w:t>from</w:t>
      </w:r>
      <w:r>
        <w:rPr>
          <w:color w:val="231F20"/>
          <w:spacing w:val="-10"/>
        </w:rPr>
        <w:t xml:space="preserve"> </w:t>
      </w:r>
      <w:r>
        <w:rPr>
          <w:color w:val="231F20"/>
        </w:rPr>
        <w:t>community</w:t>
      </w:r>
      <w:r>
        <w:rPr>
          <w:color w:val="231F20"/>
          <w:spacing w:val="-8"/>
        </w:rPr>
        <w:t xml:space="preserve"> </w:t>
      </w:r>
      <w:r>
        <w:rPr>
          <w:color w:val="231F20"/>
        </w:rPr>
        <w:t>level;</w:t>
      </w:r>
      <w:r>
        <w:rPr>
          <w:color w:val="231F20"/>
          <w:spacing w:val="-8"/>
        </w:rPr>
        <w:t xml:space="preserve"> </w:t>
      </w:r>
      <w:r>
        <w:rPr>
          <w:color w:val="231F20"/>
        </w:rPr>
        <w:t>Participate</w:t>
      </w:r>
      <w:r>
        <w:rPr>
          <w:color w:val="231F20"/>
          <w:spacing w:val="-9"/>
        </w:rPr>
        <w:t xml:space="preserve"> </w:t>
      </w:r>
      <w:r>
        <w:rPr>
          <w:color w:val="231F20"/>
        </w:rPr>
        <w:t>in</w:t>
      </w:r>
      <w:r>
        <w:rPr>
          <w:color w:val="231F20"/>
          <w:spacing w:val="-9"/>
        </w:rPr>
        <w:t xml:space="preserve"> </w:t>
      </w:r>
      <w:r>
        <w:rPr>
          <w:color w:val="231F20"/>
        </w:rPr>
        <w:t>National</w:t>
      </w:r>
      <w:r>
        <w:rPr>
          <w:color w:val="231F20"/>
          <w:spacing w:val="-9"/>
        </w:rPr>
        <w:t xml:space="preserve"> </w:t>
      </w:r>
      <w:r>
        <w:rPr>
          <w:color w:val="231F20"/>
        </w:rPr>
        <w:t>Council on</w:t>
      </w:r>
      <w:r>
        <w:rPr>
          <w:color w:val="231F20"/>
          <w:spacing w:val="-26"/>
        </w:rPr>
        <w:t xml:space="preserve"> </w:t>
      </w:r>
      <w:r>
        <w:rPr>
          <w:color w:val="231F20"/>
        </w:rPr>
        <w:t>Health</w:t>
      </w:r>
      <w:r>
        <w:rPr>
          <w:color w:val="231F20"/>
          <w:spacing w:val="-26"/>
        </w:rPr>
        <w:t xml:space="preserve"> </w:t>
      </w:r>
      <w:r>
        <w:rPr>
          <w:color w:val="231F20"/>
        </w:rPr>
        <w:t>(NCH)</w:t>
      </w:r>
      <w:r>
        <w:rPr>
          <w:color w:val="231F20"/>
          <w:spacing w:val="-25"/>
        </w:rPr>
        <w:t xml:space="preserve"> </w:t>
      </w:r>
      <w:r>
        <w:rPr>
          <w:color w:val="231F20"/>
        </w:rPr>
        <w:t>meetings;</w:t>
      </w:r>
      <w:r>
        <w:rPr>
          <w:color w:val="231F20"/>
          <w:spacing w:val="-30"/>
        </w:rPr>
        <w:t xml:space="preserve"> </w:t>
      </w:r>
      <w:r>
        <w:rPr>
          <w:color w:val="231F20"/>
        </w:rPr>
        <w:t>Track</w:t>
      </w:r>
      <w:r>
        <w:rPr>
          <w:color w:val="231F20"/>
          <w:spacing w:val="-25"/>
        </w:rPr>
        <w:t xml:space="preserve"> </w:t>
      </w:r>
      <w:r>
        <w:rPr>
          <w:color w:val="231F20"/>
        </w:rPr>
        <w:t>and</w:t>
      </w:r>
      <w:r>
        <w:rPr>
          <w:color w:val="231F20"/>
          <w:spacing w:val="-26"/>
        </w:rPr>
        <w:t xml:space="preserve"> </w:t>
      </w:r>
      <w:r>
        <w:rPr>
          <w:color w:val="231F20"/>
        </w:rPr>
        <w:t>monitor</w:t>
      </w:r>
      <w:r>
        <w:rPr>
          <w:color w:val="231F20"/>
          <w:spacing w:val="-26"/>
        </w:rPr>
        <w:t xml:space="preserve"> </w:t>
      </w:r>
      <w:r>
        <w:rPr>
          <w:color w:val="231F20"/>
        </w:rPr>
        <w:t>compliance</w:t>
      </w:r>
      <w:r>
        <w:rPr>
          <w:color w:val="231F20"/>
          <w:spacing w:val="-25"/>
        </w:rPr>
        <w:t xml:space="preserve"> </w:t>
      </w:r>
      <w:r>
        <w:rPr>
          <w:color w:val="231F20"/>
        </w:rPr>
        <w:t>on</w:t>
      </w:r>
      <w:r>
        <w:rPr>
          <w:color w:val="231F20"/>
          <w:spacing w:val="-26"/>
        </w:rPr>
        <w:t xml:space="preserve"> </w:t>
      </w:r>
      <w:r>
        <w:rPr>
          <w:color w:val="231F20"/>
        </w:rPr>
        <w:t>existing</w:t>
      </w:r>
      <w:r>
        <w:rPr>
          <w:color w:val="231F20"/>
          <w:spacing w:val="-26"/>
        </w:rPr>
        <w:t xml:space="preserve"> </w:t>
      </w:r>
      <w:r>
        <w:rPr>
          <w:color w:val="231F20"/>
        </w:rPr>
        <w:t>guidelines</w:t>
      </w:r>
      <w:r>
        <w:rPr>
          <w:color w:val="231F20"/>
          <w:spacing w:val="-25"/>
        </w:rPr>
        <w:t xml:space="preserve"> </w:t>
      </w:r>
      <w:r>
        <w:rPr>
          <w:color w:val="231F20"/>
        </w:rPr>
        <w:t>and</w:t>
      </w:r>
      <w:r>
        <w:rPr>
          <w:color w:val="231F20"/>
          <w:spacing w:val="-26"/>
        </w:rPr>
        <w:t xml:space="preserve"> </w:t>
      </w:r>
      <w:r>
        <w:rPr>
          <w:color w:val="231F20"/>
        </w:rPr>
        <w:t>regulations.</w:t>
      </w:r>
    </w:p>
    <w:p w14:paraId="24F155AB" w14:textId="77777777" w:rsidR="009948F1" w:rsidRDefault="009948F1">
      <w:pPr>
        <w:pStyle w:val="BodyText"/>
        <w:rPr>
          <w:sz w:val="28"/>
        </w:rPr>
      </w:pPr>
    </w:p>
    <w:p w14:paraId="59704F6C" w14:textId="7157FAC1" w:rsidR="009948F1" w:rsidRDefault="00BC0563">
      <w:pPr>
        <w:pStyle w:val="ListParagraph"/>
        <w:numPr>
          <w:ilvl w:val="3"/>
          <w:numId w:val="296"/>
        </w:numPr>
        <w:tabs>
          <w:tab w:val="left" w:pos="906"/>
        </w:tabs>
        <w:spacing w:line="295" w:lineRule="auto"/>
        <w:ind w:right="229" w:firstLine="0"/>
      </w:pPr>
      <w:r>
        <w:rPr>
          <w:color w:val="231F20"/>
        </w:rPr>
        <w:t xml:space="preserve">Scale-up strategic and operational planning at all levels. Key actions include Organize workshops to develop SSHDP II with technical assistance from FMOH; Organize workshops </w:t>
      </w:r>
      <w:r>
        <w:rPr>
          <w:color w:val="231F20"/>
          <w:spacing w:val="-7"/>
        </w:rPr>
        <w:t xml:space="preserve">to </w:t>
      </w:r>
      <w:r>
        <w:rPr>
          <w:color w:val="231F20"/>
        </w:rPr>
        <w:t>develop</w:t>
      </w:r>
      <w:r>
        <w:rPr>
          <w:color w:val="231F20"/>
          <w:spacing w:val="-15"/>
        </w:rPr>
        <w:t xml:space="preserve"> </w:t>
      </w:r>
      <w:r>
        <w:rPr>
          <w:color w:val="231F20"/>
        </w:rPr>
        <w:t>LGSHDP</w:t>
      </w:r>
      <w:r>
        <w:rPr>
          <w:color w:val="231F20"/>
          <w:spacing w:val="-18"/>
        </w:rPr>
        <w:t xml:space="preserve"> </w:t>
      </w:r>
      <w:r>
        <w:rPr>
          <w:color w:val="231F20"/>
        </w:rPr>
        <w:t>II</w:t>
      </w:r>
      <w:r>
        <w:rPr>
          <w:color w:val="231F20"/>
          <w:spacing w:val="-14"/>
        </w:rPr>
        <w:t xml:space="preserve"> </w:t>
      </w:r>
      <w:r>
        <w:rPr>
          <w:color w:val="231F20"/>
        </w:rPr>
        <w:t>with</w:t>
      </w:r>
      <w:r>
        <w:rPr>
          <w:color w:val="231F20"/>
          <w:spacing w:val="-14"/>
        </w:rPr>
        <w:t xml:space="preserve"> </w:t>
      </w:r>
      <w:r>
        <w:rPr>
          <w:color w:val="231F20"/>
        </w:rPr>
        <w:t>technical</w:t>
      </w:r>
      <w:r>
        <w:rPr>
          <w:color w:val="231F20"/>
          <w:spacing w:val="-14"/>
        </w:rPr>
        <w:t xml:space="preserve"> </w:t>
      </w:r>
      <w:r>
        <w:rPr>
          <w:color w:val="231F20"/>
        </w:rPr>
        <w:t>assistance</w:t>
      </w:r>
      <w:r>
        <w:rPr>
          <w:color w:val="231F20"/>
          <w:spacing w:val="-14"/>
        </w:rPr>
        <w:t xml:space="preserve"> </w:t>
      </w:r>
      <w:r>
        <w:rPr>
          <w:color w:val="231F20"/>
        </w:rPr>
        <w:t>from</w:t>
      </w:r>
      <w:r>
        <w:rPr>
          <w:color w:val="231F20"/>
          <w:spacing w:val="-14"/>
        </w:rPr>
        <w:t xml:space="preserve"> </w:t>
      </w:r>
      <w:r>
        <w:rPr>
          <w:color w:val="231F20"/>
        </w:rPr>
        <w:t>FMOH;</w:t>
      </w:r>
      <w:r w:rsidR="00DA56D4">
        <w:rPr>
          <w:color w:val="231F20"/>
        </w:rPr>
        <w:t xml:space="preserve"> </w:t>
      </w:r>
      <w:r>
        <w:rPr>
          <w:color w:val="231F20"/>
        </w:rPr>
        <w:t>Organize</w:t>
      </w:r>
      <w:r>
        <w:rPr>
          <w:color w:val="231F20"/>
          <w:spacing w:val="-14"/>
        </w:rPr>
        <w:t xml:space="preserve"> </w:t>
      </w:r>
      <w:r>
        <w:rPr>
          <w:color w:val="231F20"/>
        </w:rPr>
        <w:t>workshops</w:t>
      </w:r>
      <w:r>
        <w:rPr>
          <w:color w:val="231F20"/>
          <w:spacing w:val="-14"/>
        </w:rPr>
        <w:t xml:space="preserve"> </w:t>
      </w:r>
      <w:r>
        <w:rPr>
          <w:color w:val="231F20"/>
        </w:rPr>
        <w:t>to</w:t>
      </w:r>
      <w:r>
        <w:rPr>
          <w:color w:val="231F20"/>
          <w:spacing w:val="-14"/>
        </w:rPr>
        <w:t xml:space="preserve"> </w:t>
      </w:r>
      <w:r>
        <w:rPr>
          <w:color w:val="231F20"/>
        </w:rPr>
        <w:t>develop</w:t>
      </w:r>
      <w:r>
        <w:rPr>
          <w:color w:val="231F20"/>
          <w:spacing w:val="-14"/>
        </w:rPr>
        <w:t xml:space="preserve"> </w:t>
      </w:r>
      <w:r>
        <w:rPr>
          <w:color w:val="231F20"/>
          <w:spacing w:val="-3"/>
        </w:rPr>
        <w:t xml:space="preserve">SMOH </w:t>
      </w:r>
      <w:r>
        <w:rPr>
          <w:color w:val="231F20"/>
        </w:rPr>
        <w:t xml:space="preserve">Operational Plan; Organize workshops to develop PHC Operational Plan; Develop Mid </w:t>
      </w:r>
      <w:r>
        <w:rPr>
          <w:color w:val="231F20"/>
          <w:spacing w:val="-11"/>
        </w:rPr>
        <w:t xml:space="preserve">Term </w:t>
      </w:r>
      <w:r>
        <w:rPr>
          <w:color w:val="231F20"/>
        </w:rPr>
        <w:t>Sector</w:t>
      </w:r>
      <w:r>
        <w:rPr>
          <w:color w:val="231F20"/>
          <w:spacing w:val="-25"/>
        </w:rPr>
        <w:t xml:space="preserve"> </w:t>
      </w:r>
      <w:r>
        <w:rPr>
          <w:color w:val="231F20"/>
        </w:rPr>
        <w:t>Strategy</w:t>
      </w:r>
      <w:r>
        <w:rPr>
          <w:color w:val="231F20"/>
          <w:spacing w:val="-25"/>
        </w:rPr>
        <w:t xml:space="preserve"> </w:t>
      </w:r>
      <w:r>
        <w:rPr>
          <w:color w:val="231F20"/>
        </w:rPr>
        <w:t>(MTSS)</w:t>
      </w:r>
      <w:r>
        <w:rPr>
          <w:color w:val="231F20"/>
          <w:spacing w:val="-25"/>
        </w:rPr>
        <w:t xml:space="preserve"> </w:t>
      </w:r>
      <w:r>
        <w:rPr>
          <w:color w:val="231F20"/>
        </w:rPr>
        <w:t>and</w:t>
      </w:r>
      <w:r>
        <w:rPr>
          <w:color w:val="231F20"/>
          <w:spacing w:val="-26"/>
        </w:rPr>
        <w:t xml:space="preserve"> </w:t>
      </w:r>
      <w:r>
        <w:rPr>
          <w:color w:val="231F20"/>
        </w:rPr>
        <w:t>support</w:t>
      </w:r>
      <w:r>
        <w:rPr>
          <w:color w:val="231F20"/>
          <w:spacing w:val="-25"/>
        </w:rPr>
        <w:t xml:space="preserve"> </w:t>
      </w:r>
      <w:r>
        <w:rPr>
          <w:color w:val="231F20"/>
        </w:rPr>
        <w:t>MTEF</w:t>
      </w:r>
      <w:r>
        <w:rPr>
          <w:color w:val="231F20"/>
          <w:spacing w:val="-25"/>
        </w:rPr>
        <w:t xml:space="preserve"> </w:t>
      </w:r>
      <w:r>
        <w:rPr>
          <w:color w:val="231F20"/>
        </w:rPr>
        <w:t>from</w:t>
      </w:r>
      <w:r>
        <w:rPr>
          <w:color w:val="231F20"/>
          <w:spacing w:val="-25"/>
        </w:rPr>
        <w:t xml:space="preserve"> </w:t>
      </w:r>
      <w:r>
        <w:rPr>
          <w:color w:val="231F20"/>
        </w:rPr>
        <w:t>the</w:t>
      </w:r>
      <w:r>
        <w:rPr>
          <w:color w:val="231F20"/>
          <w:spacing w:val="-25"/>
        </w:rPr>
        <w:t xml:space="preserve"> </w:t>
      </w:r>
      <w:r>
        <w:rPr>
          <w:color w:val="231F20"/>
        </w:rPr>
        <w:t>strategic</w:t>
      </w:r>
      <w:r>
        <w:rPr>
          <w:color w:val="231F20"/>
          <w:spacing w:val="-25"/>
        </w:rPr>
        <w:t xml:space="preserve"> </w:t>
      </w:r>
      <w:r>
        <w:rPr>
          <w:color w:val="231F20"/>
        </w:rPr>
        <w:t>plan.</w:t>
      </w:r>
    </w:p>
    <w:p w14:paraId="44A3B4F5" w14:textId="77777777" w:rsidR="009948F1" w:rsidRDefault="009948F1">
      <w:pPr>
        <w:spacing w:line="295" w:lineRule="auto"/>
        <w:jc w:val="both"/>
        <w:sectPr w:rsidR="009948F1">
          <w:pgSz w:w="11910" w:h="16840"/>
          <w:pgMar w:top="1360" w:right="1080" w:bottom="1420" w:left="1120" w:header="0" w:footer="1235" w:gutter="0"/>
          <w:cols w:space="720"/>
        </w:sectPr>
      </w:pPr>
    </w:p>
    <w:p w14:paraId="5761E2DC" w14:textId="77777777" w:rsidR="009948F1" w:rsidRDefault="00BC0563">
      <w:pPr>
        <w:pStyle w:val="Heading7"/>
        <w:numPr>
          <w:ilvl w:val="2"/>
          <w:numId w:val="296"/>
        </w:numPr>
        <w:tabs>
          <w:tab w:val="left" w:pos="862"/>
        </w:tabs>
        <w:spacing w:before="39" w:line="266" w:lineRule="auto"/>
        <w:ind w:left="165" w:right="226" w:firstLine="0"/>
        <w:jc w:val="both"/>
      </w:pPr>
      <w:bookmarkStart w:id="53" w:name="Page_39"/>
      <w:bookmarkEnd w:id="53"/>
      <w:r>
        <w:rPr>
          <w:color w:val="231F20"/>
          <w:spacing w:val="3"/>
        </w:rPr>
        <w:lastRenderedPageBreak/>
        <w:t xml:space="preserve">Strengthen transparency </w:t>
      </w:r>
      <w:r>
        <w:rPr>
          <w:color w:val="231F20"/>
          <w:spacing w:val="2"/>
        </w:rPr>
        <w:t xml:space="preserve">and </w:t>
      </w:r>
      <w:r>
        <w:rPr>
          <w:color w:val="231F20"/>
          <w:spacing w:val="3"/>
        </w:rPr>
        <w:t xml:space="preserve">accountability </w:t>
      </w:r>
      <w:r>
        <w:rPr>
          <w:color w:val="231F20"/>
        </w:rPr>
        <w:t xml:space="preserve">in </w:t>
      </w:r>
      <w:r>
        <w:rPr>
          <w:color w:val="231F20"/>
          <w:spacing w:val="3"/>
        </w:rPr>
        <w:t xml:space="preserve">planning, budgeting </w:t>
      </w:r>
      <w:r>
        <w:rPr>
          <w:color w:val="231F20"/>
          <w:spacing w:val="2"/>
        </w:rPr>
        <w:t xml:space="preserve">and </w:t>
      </w:r>
      <w:r>
        <w:rPr>
          <w:color w:val="231F20"/>
        </w:rPr>
        <w:t>procurement</w:t>
      </w:r>
      <w:r>
        <w:rPr>
          <w:color w:val="231F20"/>
          <w:spacing w:val="-25"/>
        </w:rPr>
        <w:t xml:space="preserve"> </w:t>
      </w:r>
      <w:r>
        <w:rPr>
          <w:color w:val="231F20"/>
        </w:rPr>
        <w:t>process</w:t>
      </w:r>
    </w:p>
    <w:p w14:paraId="6148F32D" w14:textId="77777777" w:rsidR="009948F1" w:rsidRDefault="009948F1">
      <w:pPr>
        <w:pStyle w:val="BodyText"/>
        <w:spacing w:before="3"/>
        <w:rPr>
          <w:b/>
          <w:sz w:val="26"/>
        </w:rPr>
      </w:pPr>
    </w:p>
    <w:p w14:paraId="46A5FCB5" w14:textId="77777777" w:rsidR="009948F1" w:rsidRDefault="00BC0563">
      <w:pPr>
        <w:pStyle w:val="Heading8"/>
        <w:spacing w:before="1"/>
      </w:pPr>
      <w:r>
        <w:rPr>
          <w:color w:val="231F20"/>
        </w:rPr>
        <w:t>Interventions</w:t>
      </w:r>
    </w:p>
    <w:p w14:paraId="68DC9327" w14:textId="6B618225" w:rsidR="009948F1" w:rsidRDefault="00BC0563">
      <w:pPr>
        <w:pStyle w:val="ListParagraph"/>
        <w:numPr>
          <w:ilvl w:val="3"/>
          <w:numId w:val="296"/>
        </w:numPr>
        <w:tabs>
          <w:tab w:val="left" w:pos="883"/>
        </w:tabs>
        <w:spacing w:before="48" w:line="285" w:lineRule="auto"/>
        <w:ind w:left="164" w:right="226" w:firstLine="0"/>
      </w:pPr>
      <w:r>
        <w:rPr>
          <w:color w:val="231F20"/>
        </w:rPr>
        <w:t>Strengthen</w:t>
      </w:r>
      <w:r>
        <w:rPr>
          <w:color w:val="231F20"/>
          <w:spacing w:val="-19"/>
        </w:rPr>
        <w:t xml:space="preserve"> </w:t>
      </w:r>
      <w:r>
        <w:rPr>
          <w:color w:val="231F20"/>
        </w:rPr>
        <w:t>Public</w:t>
      </w:r>
      <w:r>
        <w:rPr>
          <w:color w:val="231F20"/>
          <w:spacing w:val="-18"/>
        </w:rPr>
        <w:t xml:space="preserve"> </w:t>
      </w:r>
      <w:r>
        <w:rPr>
          <w:color w:val="231F20"/>
        </w:rPr>
        <w:t>Finance</w:t>
      </w:r>
      <w:r>
        <w:rPr>
          <w:color w:val="231F20"/>
          <w:spacing w:val="-18"/>
        </w:rPr>
        <w:t xml:space="preserve"> </w:t>
      </w:r>
      <w:r>
        <w:rPr>
          <w:color w:val="231F20"/>
        </w:rPr>
        <w:t>Management</w:t>
      </w:r>
      <w:r>
        <w:rPr>
          <w:color w:val="231F20"/>
          <w:spacing w:val="-19"/>
        </w:rPr>
        <w:t xml:space="preserve"> </w:t>
      </w:r>
      <w:r>
        <w:rPr>
          <w:color w:val="231F20"/>
        </w:rPr>
        <w:t>system</w:t>
      </w:r>
      <w:r>
        <w:rPr>
          <w:color w:val="231F20"/>
          <w:spacing w:val="-18"/>
        </w:rPr>
        <w:t xml:space="preserve"> </w:t>
      </w:r>
      <w:r>
        <w:rPr>
          <w:color w:val="231F20"/>
        </w:rPr>
        <w:t>including</w:t>
      </w:r>
      <w:r>
        <w:rPr>
          <w:color w:val="231F20"/>
          <w:spacing w:val="-18"/>
        </w:rPr>
        <w:t xml:space="preserve"> </w:t>
      </w:r>
      <w:r>
        <w:rPr>
          <w:color w:val="231F20"/>
        </w:rPr>
        <w:t>oversight</w:t>
      </w:r>
      <w:r>
        <w:rPr>
          <w:color w:val="231F20"/>
          <w:spacing w:val="-18"/>
        </w:rPr>
        <w:t xml:space="preserve"> </w:t>
      </w:r>
      <w:r>
        <w:rPr>
          <w:color w:val="231F20"/>
        </w:rPr>
        <w:t>in</w:t>
      </w:r>
      <w:r>
        <w:rPr>
          <w:color w:val="231F20"/>
          <w:spacing w:val="-19"/>
        </w:rPr>
        <w:t xml:space="preserve"> </w:t>
      </w:r>
      <w:r>
        <w:rPr>
          <w:color w:val="231F20"/>
        </w:rPr>
        <w:t>Fund</w:t>
      </w:r>
      <w:r>
        <w:rPr>
          <w:color w:val="231F20"/>
          <w:spacing w:val="-18"/>
        </w:rPr>
        <w:t xml:space="preserve"> </w:t>
      </w:r>
      <w:r>
        <w:rPr>
          <w:color w:val="231F20"/>
        </w:rPr>
        <w:t>disbursement and utilization at all levels. Key actions include;</w:t>
      </w:r>
      <w:r w:rsidR="00DA56D4">
        <w:rPr>
          <w:color w:val="231F20"/>
        </w:rPr>
        <w:t xml:space="preserve"> </w:t>
      </w:r>
      <w:r>
        <w:rPr>
          <w:color w:val="231F20"/>
        </w:rPr>
        <w:t xml:space="preserve">adapt existing national guidelines, laws </w:t>
      </w:r>
      <w:r>
        <w:rPr>
          <w:color w:val="231F20"/>
          <w:spacing w:val="-5"/>
        </w:rPr>
        <w:t xml:space="preserve">and </w:t>
      </w:r>
      <w:r>
        <w:rPr>
          <w:color w:val="231F20"/>
        </w:rPr>
        <w:t>regulations</w:t>
      </w:r>
      <w:r>
        <w:rPr>
          <w:color w:val="231F20"/>
          <w:spacing w:val="-13"/>
        </w:rPr>
        <w:t xml:space="preserve"> </w:t>
      </w:r>
      <w:r>
        <w:rPr>
          <w:color w:val="231F20"/>
        </w:rPr>
        <w:t>on</w:t>
      </w:r>
      <w:r>
        <w:rPr>
          <w:color w:val="231F20"/>
          <w:spacing w:val="-12"/>
        </w:rPr>
        <w:t xml:space="preserve"> </w:t>
      </w:r>
      <w:r>
        <w:rPr>
          <w:color w:val="231F20"/>
        </w:rPr>
        <w:t>fiscal</w:t>
      </w:r>
      <w:r>
        <w:rPr>
          <w:color w:val="231F20"/>
          <w:spacing w:val="-13"/>
        </w:rPr>
        <w:t xml:space="preserve"> </w:t>
      </w:r>
      <w:r>
        <w:rPr>
          <w:color w:val="231F20"/>
        </w:rPr>
        <w:t>policies</w:t>
      </w:r>
      <w:r>
        <w:rPr>
          <w:color w:val="231F20"/>
          <w:spacing w:val="-12"/>
        </w:rPr>
        <w:t xml:space="preserve"> </w:t>
      </w:r>
      <w:r>
        <w:rPr>
          <w:color w:val="231F20"/>
        </w:rPr>
        <w:t>and</w:t>
      </w:r>
      <w:r>
        <w:rPr>
          <w:color w:val="231F20"/>
          <w:spacing w:val="-12"/>
        </w:rPr>
        <w:t xml:space="preserve"> </w:t>
      </w:r>
      <w:r>
        <w:rPr>
          <w:color w:val="231F20"/>
        </w:rPr>
        <w:t>public</w:t>
      </w:r>
      <w:r>
        <w:rPr>
          <w:color w:val="231F20"/>
          <w:spacing w:val="-13"/>
        </w:rPr>
        <w:t xml:space="preserve"> </w:t>
      </w:r>
      <w:r>
        <w:rPr>
          <w:color w:val="231F20"/>
        </w:rPr>
        <w:t>finance</w:t>
      </w:r>
      <w:r>
        <w:rPr>
          <w:color w:val="231F20"/>
          <w:spacing w:val="-12"/>
        </w:rPr>
        <w:t xml:space="preserve"> </w:t>
      </w:r>
      <w:r>
        <w:rPr>
          <w:color w:val="231F20"/>
        </w:rPr>
        <w:t>management;</w:t>
      </w:r>
      <w:r>
        <w:rPr>
          <w:color w:val="231F20"/>
          <w:spacing w:val="-13"/>
        </w:rPr>
        <w:t xml:space="preserve"> </w:t>
      </w:r>
      <w:r>
        <w:rPr>
          <w:color w:val="231F20"/>
        </w:rPr>
        <w:t>Build</w:t>
      </w:r>
      <w:r>
        <w:rPr>
          <w:color w:val="231F20"/>
          <w:spacing w:val="-12"/>
        </w:rPr>
        <w:t xml:space="preserve"> </w:t>
      </w:r>
      <w:r>
        <w:rPr>
          <w:color w:val="231F20"/>
        </w:rPr>
        <w:t>capacity</w:t>
      </w:r>
      <w:r>
        <w:rPr>
          <w:color w:val="231F20"/>
          <w:spacing w:val="-12"/>
        </w:rPr>
        <w:t xml:space="preserve"> </w:t>
      </w:r>
      <w:r>
        <w:rPr>
          <w:color w:val="231F20"/>
        </w:rPr>
        <w:t>of</w:t>
      </w:r>
      <w:r>
        <w:rPr>
          <w:color w:val="231F20"/>
          <w:spacing w:val="-13"/>
        </w:rPr>
        <w:t xml:space="preserve"> </w:t>
      </w:r>
      <w:r>
        <w:rPr>
          <w:color w:val="231F20"/>
        </w:rPr>
        <w:t>all</w:t>
      </w:r>
      <w:r>
        <w:rPr>
          <w:color w:val="231F20"/>
          <w:spacing w:val="-12"/>
        </w:rPr>
        <w:t xml:space="preserve"> </w:t>
      </w:r>
      <w:r>
        <w:rPr>
          <w:color w:val="231F20"/>
        </w:rPr>
        <w:t>relevant</w:t>
      </w:r>
      <w:r>
        <w:rPr>
          <w:color w:val="231F20"/>
          <w:spacing w:val="-13"/>
        </w:rPr>
        <w:t xml:space="preserve"> </w:t>
      </w:r>
      <w:r>
        <w:rPr>
          <w:color w:val="231F20"/>
        </w:rPr>
        <w:t>staff</w:t>
      </w:r>
      <w:r>
        <w:rPr>
          <w:color w:val="231F20"/>
          <w:spacing w:val="-12"/>
        </w:rPr>
        <w:t xml:space="preserve"> </w:t>
      </w:r>
      <w:r>
        <w:rPr>
          <w:color w:val="231F20"/>
        </w:rPr>
        <w:t>in fiscal policies and public financial management;</w:t>
      </w:r>
      <w:r w:rsidR="00DA56D4">
        <w:rPr>
          <w:color w:val="231F20"/>
        </w:rPr>
        <w:t xml:space="preserve"> </w:t>
      </w:r>
      <w:r>
        <w:rPr>
          <w:color w:val="231F20"/>
        </w:rPr>
        <w:t xml:space="preserve">Conduct Joint Annual Review (JAR) of </w:t>
      </w:r>
      <w:r>
        <w:rPr>
          <w:color w:val="231F20"/>
          <w:spacing w:val="-5"/>
        </w:rPr>
        <w:t xml:space="preserve">the </w:t>
      </w:r>
      <w:r>
        <w:rPr>
          <w:color w:val="231F20"/>
        </w:rPr>
        <w:t>implementation of SSHDP II;</w:t>
      </w:r>
      <w:r w:rsidR="00DA56D4">
        <w:rPr>
          <w:color w:val="231F20"/>
        </w:rPr>
        <w:t xml:space="preserve"> </w:t>
      </w:r>
      <w:r>
        <w:rPr>
          <w:color w:val="231F20"/>
        </w:rPr>
        <w:t xml:space="preserve">Coordinate the development of annual budget at all levels </w:t>
      </w:r>
      <w:r>
        <w:rPr>
          <w:color w:val="231F20"/>
          <w:spacing w:val="-4"/>
        </w:rPr>
        <w:t xml:space="preserve">and </w:t>
      </w:r>
      <w:r>
        <w:rPr>
          <w:color w:val="231F20"/>
        </w:rPr>
        <w:t>tracking; Publish SHDP II financial implementation review in the health bulletin and website and distribute</w:t>
      </w:r>
      <w:r>
        <w:rPr>
          <w:color w:val="231F20"/>
          <w:spacing w:val="-25"/>
        </w:rPr>
        <w:t xml:space="preserve"> </w:t>
      </w:r>
      <w:r>
        <w:rPr>
          <w:color w:val="231F20"/>
        </w:rPr>
        <w:t>same</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public.</w:t>
      </w:r>
    </w:p>
    <w:p w14:paraId="7106327B" w14:textId="77777777" w:rsidR="009948F1" w:rsidRDefault="009948F1">
      <w:pPr>
        <w:pStyle w:val="BodyText"/>
        <w:spacing w:before="9"/>
        <w:rPr>
          <w:sz w:val="26"/>
        </w:rPr>
      </w:pPr>
    </w:p>
    <w:p w14:paraId="15CB876E" w14:textId="77777777" w:rsidR="009948F1" w:rsidRDefault="00BC0563">
      <w:pPr>
        <w:pStyle w:val="ListParagraph"/>
        <w:numPr>
          <w:ilvl w:val="3"/>
          <w:numId w:val="296"/>
        </w:numPr>
        <w:tabs>
          <w:tab w:val="left" w:pos="875"/>
        </w:tabs>
        <w:spacing w:line="285" w:lineRule="auto"/>
        <w:ind w:left="164" w:right="226" w:firstLine="0"/>
      </w:pPr>
      <w:r>
        <w:rPr>
          <w:color w:val="231F20"/>
        </w:rPr>
        <w:t>Strengthen</w:t>
      </w:r>
      <w:r>
        <w:rPr>
          <w:color w:val="231F20"/>
          <w:spacing w:val="-24"/>
        </w:rPr>
        <w:t xml:space="preserve"> </w:t>
      </w:r>
      <w:r>
        <w:rPr>
          <w:color w:val="231F20"/>
        </w:rPr>
        <w:t>the</w:t>
      </w:r>
      <w:r>
        <w:rPr>
          <w:color w:val="231F20"/>
          <w:spacing w:val="-23"/>
        </w:rPr>
        <w:t xml:space="preserve"> </w:t>
      </w:r>
      <w:r>
        <w:rPr>
          <w:color w:val="231F20"/>
        </w:rPr>
        <w:t>linkages</w:t>
      </w:r>
      <w:r>
        <w:rPr>
          <w:color w:val="231F20"/>
          <w:spacing w:val="-24"/>
        </w:rPr>
        <w:t xml:space="preserve"> </w:t>
      </w:r>
      <w:r>
        <w:rPr>
          <w:color w:val="231F20"/>
        </w:rPr>
        <w:t>between</w:t>
      </w:r>
      <w:r>
        <w:rPr>
          <w:color w:val="231F20"/>
          <w:spacing w:val="-23"/>
        </w:rPr>
        <w:t xml:space="preserve"> </w:t>
      </w:r>
      <w:r>
        <w:rPr>
          <w:color w:val="231F20"/>
        </w:rPr>
        <w:t>various</w:t>
      </w:r>
      <w:r>
        <w:rPr>
          <w:color w:val="231F20"/>
          <w:spacing w:val="-24"/>
        </w:rPr>
        <w:t xml:space="preserve"> </w:t>
      </w:r>
      <w:r>
        <w:rPr>
          <w:color w:val="231F20"/>
        </w:rPr>
        <w:t>planning</w:t>
      </w:r>
      <w:r>
        <w:rPr>
          <w:color w:val="231F20"/>
          <w:spacing w:val="-23"/>
        </w:rPr>
        <w:t xml:space="preserve"> </w:t>
      </w:r>
      <w:r>
        <w:rPr>
          <w:color w:val="231F20"/>
        </w:rPr>
        <w:t>and</w:t>
      </w:r>
      <w:r>
        <w:rPr>
          <w:color w:val="231F20"/>
          <w:spacing w:val="-23"/>
        </w:rPr>
        <w:t xml:space="preserve"> </w:t>
      </w:r>
      <w:r>
        <w:rPr>
          <w:color w:val="231F20"/>
        </w:rPr>
        <w:t>budgeting</w:t>
      </w:r>
      <w:r>
        <w:rPr>
          <w:color w:val="231F20"/>
          <w:spacing w:val="40"/>
        </w:rPr>
        <w:t xml:space="preserve"> </w:t>
      </w:r>
      <w:r>
        <w:rPr>
          <w:color w:val="231F20"/>
        </w:rPr>
        <w:t>process</w:t>
      </w:r>
      <w:r>
        <w:rPr>
          <w:color w:val="231F20"/>
          <w:spacing w:val="-23"/>
        </w:rPr>
        <w:t xml:space="preserve"> </w:t>
      </w:r>
      <w:r>
        <w:rPr>
          <w:color w:val="231F20"/>
          <w:spacing w:val="-2"/>
        </w:rPr>
        <w:t xml:space="preserve">(MTEF/MTSS). </w:t>
      </w:r>
      <w:r>
        <w:rPr>
          <w:color w:val="231F20"/>
        </w:rPr>
        <w:t>Key</w:t>
      </w:r>
      <w:r>
        <w:rPr>
          <w:color w:val="231F20"/>
          <w:spacing w:val="-9"/>
        </w:rPr>
        <w:t xml:space="preserve"> </w:t>
      </w:r>
      <w:r>
        <w:rPr>
          <w:color w:val="231F20"/>
        </w:rPr>
        <w:t>actions</w:t>
      </w:r>
      <w:r>
        <w:rPr>
          <w:color w:val="231F20"/>
          <w:spacing w:val="-8"/>
        </w:rPr>
        <w:t xml:space="preserve"> </w:t>
      </w:r>
      <w:r>
        <w:rPr>
          <w:color w:val="231F20"/>
        </w:rPr>
        <w:t>include</w:t>
      </w:r>
      <w:r>
        <w:rPr>
          <w:color w:val="231F20"/>
          <w:spacing w:val="-7"/>
        </w:rPr>
        <w:t xml:space="preserve"> </w:t>
      </w:r>
      <w:r>
        <w:rPr>
          <w:color w:val="231F20"/>
        </w:rPr>
        <w:t>Adopt</w:t>
      </w:r>
      <w:r>
        <w:rPr>
          <w:color w:val="231F20"/>
          <w:spacing w:val="-8"/>
        </w:rPr>
        <w:t xml:space="preserve"> </w:t>
      </w:r>
      <w:r>
        <w:rPr>
          <w:color w:val="231F20"/>
          <w:spacing w:val="-3"/>
        </w:rPr>
        <w:t>Medium-Term</w:t>
      </w:r>
      <w:r>
        <w:rPr>
          <w:color w:val="231F20"/>
          <w:spacing w:val="-8"/>
        </w:rPr>
        <w:t xml:space="preserve"> </w:t>
      </w:r>
      <w:r>
        <w:rPr>
          <w:color w:val="231F20"/>
        </w:rPr>
        <w:t>Sector</w:t>
      </w:r>
      <w:r>
        <w:rPr>
          <w:color w:val="231F20"/>
          <w:spacing w:val="-9"/>
        </w:rPr>
        <w:t xml:space="preserve"> </w:t>
      </w:r>
      <w:r>
        <w:rPr>
          <w:color w:val="231F20"/>
        </w:rPr>
        <w:t>Strategy</w:t>
      </w:r>
      <w:r>
        <w:rPr>
          <w:color w:val="231F20"/>
          <w:spacing w:val="-8"/>
        </w:rPr>
        <w:t xml:space="preserve"> </w:t>
      </w:r>
      <w:r>
        <w:rPr>
          <w:color w:val="231F20"/>
        </w:rPr>
        <w:t>(MTSS)</w:t>
      </w:r>
      <w:r>
        <w:rPr>
          <w:color w:val="231F20"/>
          <w:spacing w:val="-9"/>
        </w:rPr>
        <w:t xml:space="preserve"> </w:t>
      </w:r>
      <w:r>
        <w:rPr>
          <w:color w:val="231F20"/>
        </w:rPr>
        <w:t>and</w:t>
      </w:r>
      <w:r>
        <w:rPr>
          <w:color w:val="231F20"/>
          <w:spacing w:val="-7"/>
        </w:rPr>
        <w:t xml:space="preserve"> </w:t>
      </w:r>
      <w:r>
        <w:rPr>
          <w:color w:val="231F20"/>
          <w:spacing w:val="-3"/>
        </w:rPr>
        <w:t>Medium-Term</w:t>
      </w:r>
      <w:r>
        <w:rPr>
          <w:color w:val="231F20"/>
          <w:spacing w:val="-9"/>
        </w:rPr>
        <w:t xml:space="preserve"> </w:t>
      </w:r>
      <w:r>
        <w:rPr>
          <w:color w:val="231F20"/>
        </w:rPr>
        <w:t>Expenditure Framework</w:t>
      </w:r>
      <w:r>
        <w:rPr>
          <w:color w:val="231F20"/>
          <w:spacing w:val="-21"/>
        </w:rPr>
        <w:t xml:space="preserve"> </w:t>
      </w:r>
      <w:r>
        <w:rPr>
          <w:color w:val="231F20"/>
        </w:rPr>
        <w:t>(MTEF)</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allocation</w:t>
      </w:r>
      <w:r>
        <w:rPr>
          <w:color w:val="231F20"/>
          <w:spacing w:val="-20"/>
        </w:rPr>
        <w:t xml:space="preserve"> </w:t>
      </w:r>
      <w:r>
        <w:rPr>
          <w:color w:val="231F20"/>
        </w:rPr>
        <w:t>and</w:t>
      </w:r>
      <w:r>
        <w:rPr>
          <w:color w:val="231F20"/>
          <w:spacing w:val="-20"/>
        </w:rPr>
        <w:t xml:space="preserve"> </w:t>
      </w:r>
      <w:r>
        <w:rPr>
          <w:color w:val="231F20"/>
        </w:rPr>
        <w:t>management</w:t>
      </w:r>
      <w:r>
        <w:rPr>
          <w:color w:val="231F20"/>
          <w:spacing w:val="-20"/>
        </w:rPr>
        <w:t xml:space="preserve"> </w:t>
      </w:r>
      <w:r>
        <w:rPr>
          <w:color w:val="231F20"/>
        </w:rPr>
        <w:t>of</w:t>
      </w:r>
      <w:r>
        <w:rPr>
          <w:color w:val="231F20"/>
          <w:spacing w:val="-20"/>
        </w:rPr>
        <w:t xml:space="preserve"> </w:t>
      </w:r>
      <w:r>
        <w:rPr>
          <w:color w:val="231F20"/>
        </w:rPr>
        <w:t>public</w:t>
      </w:r>
      <w:r>
        <w:rPr>
          <w:color w:val="231F20"/>
          <w:spacing w:val="-20"/>
        </w:rPr>
        <w:t xml:space="preserve"> </w:t>
      </w:r>
      <w:r>
        <w:rPr>
          <w:color w:val="231F20"/>
        </w:rPr>
        <w:t>sector</w:t>
      </w:r>
      <w:r>
        <w:rPr>
          <w:color w:val="231F20"/>
          <w:spacing w:val="-20"/>
        </w:rPr>
        <w:t xml:space="preserve"> </w:t>
      </w:r>
      <w:r>
        <w:rPr>
          <w:color w:val="231F20"/>
        </w:rPr>
        <w:t>health</w:t>
      </w:r>
      <w:r>
        <w:rPr>
          <w:color w:val="231F20"/>
          <w:spacing w:val="-21"/>
        </w:rPr>
        <w:t xml:space="preserve"> </w:t>
      </w:r>
      <w:r>
        <w:rPr>
          <w:color w:val="231F20"/>
        </w:rPr>
        <w:t>expenditure</w:t>
      </w:r>
      <w:r>
        <w:rPr>
          <w:color w:val="231F20"/>
          <w:spacing w:val="-20"/>
        </w:rPr>
        <w:t xml:space="preserve"> </w:t>
      </w:r>
      <w:r>
        <w:rPr>
          <w:color w:val="231F20"/>
        </w:rPr>
        <w:t>at</w:t>
      </w:r>
      <w:r>
        <w:rPr>
          <w:color w:val="231F20"/>
          <w:spacing w:val="-20"/>
        </w:rPr>
        <w:t xml:space="preserve"> </w:t>
      </w:r>
      <w:r>
        <w:rPr>
          <w:color w:val="231F20"/>
        </w:rPr>
        <w:t xml:space="preserve">State; Put in place a framework for regular evaluation of benefits and costs of interventions </w:t>
      </w:r>
      <w:r>
        <w:rPr>
          <w:color w:val="231F20"/>
          <w:spacing w:val="-5"/>
        </w:rPr>
        <w:t xml:space="preserve">and </w:t>
      </w:r>
      <w:r>
        <w:rPr>
          <w:color w:val="231F20"/>
        </w:rPr>
        <w:t>technologies to ensure optimal choices; Train all key officers responsible for budgeting and planning in the SMOH, RSPHCMB &amp; RSHMB on budget and planning; Create Platform for the planning</w:t>
      </w:r>
      <w:r>
        <w:rPr>
          <w:color w:val="231F20"/>
          <w:spacing w:val="-15"/>
        </w:rPr>
        <w:t xml:space="preserve"> </w:t>
      </w:r>
      <w:r>
        <w:rPr>
          <w:color w:val="231F20"/>
        </w:rPr>
        <w:t>and</w:t>
      </w:r>
      <w:r>
        <w:rPr>
          <w:color w:val="231F20"/>
          <w:spacing w:val="-15"/>
        </w:rPr>
        <w:t xml:space="preserve"> </w:t>
      </w:r>
      <w:r>
        <w:rPr>
          <w:color w:val="231F20"/>
        </w:rPr>
        <w:t>budget</w:t>
      </w:r>
      <w:r>
        <w:rPr>
          <w:color w:val="231F20"/>
          <w:spacing w:val="-15"/>
        </w:rPr>
        <w:t xml:space="preserve"> </w:t>
      </w:r>
      <w:r>
        <w:rPr>
          <w:color w:val="231F20"/>
        </w:rPr>
        <w:t>officers</w:t>
      </w:r>
      <w:r>
        <w:rPr>
          <w:color w:val="231F20"/>
          <w:spacing w:val="-15"/>
        </w:rPr>
        <w:t xml:space="preserve"> </w:t>
      </w:r>
      <w:r>
        <w:rPr>
          <w:color w:val="231F20"/>
        </w:rPr>
        <w:t>to</w:t>
      </w:r>
      <w:r>
        <w:rPr>
          <w:color w:val="231F20"/>
          <w:spacing w:val="-15"/>
        </w:rPr>
        <w:t xml:space="preserve"> </w:t>
      </w:r>
      <w:r>
        <w:rPr>
          <w:color w:val="231F20"/>
        </w:rPr>
        <w:t>work</w:t>
      </w:r>
      <w:r>
        <w:rPr>
          <w:color w:val="231F20"/>
          <w:spacing w:val="-16"/>
        </w:rPr>
        <w:t xml:space="preserve"> </w:t>
      </w:r>
      <w:r>
        <w:rPr>
          <w:color w:val="231F20"/>
        </w:rPr>
        <w:t>together</w:t>
      </w:r>
      <w:r>
        <w:rPr>
          <w:color w:val="231F20"/>
          <w:spacing w:val="-15"/>
        </w:rPr>
        <w:t xml:space="preserve"> </w:t>
      </w:r>
      <w:r>
        <w:rPr>
          <w:color w:val="231F20"/>
        </w:rPr>
        <w:t>to</w:t>
      </w:r>
      <w:r>
        <w:rPr>
          <w:color w:val="231F20"/>
          <w:spacing w:val="-15"/>
        </w:rPr>
        <w:t xml:space="preserve"> </w:t>
      </w:r>
      <w:r>
        <w:rPr>
          <w:color w:val="231F20"/>
        </w:rPr>
        <w:t>optimize</w:t>
      </w:r>
      <w:r>
        <w:rPr>
          <w:color w:val="231F20"/>
          <w:spacing w:val="-15"/>
        </w:rPr>
        <w:t xml:space="preserve"> </w:t>
      </w:r>
      <w:r>
        <w:rPr>
          <w:color w:val="231F20"/>
        </w:rPr>
        <w:t>the</w:t>
      </w:r>
      <w:r>
        <w:rPr>
          <w:color w:val="231F20"/>
          <w:spacing w:val="-15"/>
        </w:rPr>
        <w:t xml:space="preserve"> </w:t>
      </w:r>
      <w:r>
        <w:rPr>
          <w:color w:val="231F20"/>
        </w:rPr>
        <w:t>synergy;</w:t>
      </w:r>
      <w:r>
        <w:rPr>
          <w:color w:val="231F20"/>
          <w:spacing w:val="-15"/>
        </w:rPr>
        <w:t xml:space="preserve"> </w:t>
      </w:r>
      <w:r>
        <w:rPr>
          <w:color w:val="231F20"/>
        </w:rPr>
        <w:t>Harmonize</w:t>
      </w:r>
      <w:r>
        <w:rPr>
          <w:color w:val="231F20"/>
          <w:spacing w:val="-15"/>
        </w:rPr>
        <w:t xml:space="preserve"> </w:t>
      </w:r>
      <w:r>
        <w:rPr>
          <w:color w:val="231F20"/>
        </w:rPr>
        <w:t>the</w:t>
      </w:r>
      <w:r>
        <w:rPr>
          <w:color w:val="231F20"/>
          <w:spacing w:val="-15"/>
        </w:rPr>
        <w:t xml:space="preserve"> </w:t>
      </w:r>
      <w:r>
        <w:rPr>
          <w:color w:val="231F20"/>
        </w:rPr>
        <w:t>cost</w:t>
      </w:r>
      <w:r>
        <w:rPr>
          <w:color w:val="231F20"/>
          <w:spacing w:val="-16"/>
        </w:rPr>
        <w:t xml:space="preserve"> </w:t>
      </w:r>
      <w:r>
        <w:rPr>
          <w:color w:val="231F20"/>
        </w:rPr>
        <w:t>circular of</w:t>
      </w:r>
      <w:r>
        <w:rPr>
          <w:color w:val="231F20"/>
          <w:spacing w:val="-25"/>
        </w:rPr>
        <w:t xml:space="preserve"> </w:t>
      </w:r>
      <w:r>
        <w:rPr>
          <w:color w:val="231F20"/>
        </w:rPr>
        <w:t>various</w:t>
      </w:r>
      <w:r>
        <w:rPr>
          <w:color w:val="231F20"/>
          <w:spacing w:val="-25"/>
        </w:rPr>
        <w:t xml:space="preserve"> </w:t>
      </w:r>
      <w:r>
        <w:rPr>
          <w:color w:val="231F20"/>
        </w:rPr>
        <w:t>Planning</w:t>
      </w:r>
      <w:r>
        <w:rPr>
          <w:color w:val="231F20"/>
          <w:spacing w:val="-26"/>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budget</w:t>
      </w:r>
      <w:r>
        <w:rPr>
          <w:color w:val="231F20"/>
          <w:spacing w:val="-25"/>
        </w:rPr>
        <w:t xml:space="preserve"> </w:t>
      </w:r>
      <w:r>
        <w:rPr>
          <w:color w:val="231F20"/>
        </w:rPr>
        <w:t>process.</w:t>
      </w:r>
    </w:p>
    <w:p w14:paraId="3C174C6C" w14:textId="77777777" w:rsidR="009948F1" w:rsidRDefault="009948F1">
      <w:pPr>
        <w:pStyle w:val="BodyText"/>
        <w:spacing w:before="9"/>
        <w:rPr>
          <w:sz w:val="26"/>
        </w:rPr>
      </w:pPr>
    </w:p>
    <w:p w14:paraId="64DB8D52" w14:textId="16CAC233" w:rsidR="009948F1" w:rsidRDefault="00BC0563">
      <w:pPr>
        <w:pStyle w:val="ListParagraph"/>
        <w:numPr>
          <w:ilvl w:val="3"/>
          <w:numId w:val="296"/>
        </w:numPr>
        <w:tabs>
          <w:tab w:val="left" w:pos="987"/>
        </w:tabs>
        <w:spacing w:line="285" w:lineRule="auto"/>
        <w:ind w:left="164" w:right="226" w:firstLine="0"/>
      </w:pPr>
      <w:r>
        <w:rPr>
          <w:color w:val="231F20"/>
        </w:rPr>
        <w:t xml:space="preserve">Strengthen voice and accountability, including community participation and </w:t>
      </w:r>
      <w:r>
        <w:rPr>
          <w:color w:val="231F20"/>
          <w:spacing w:val="-5"/>
        </w:rPr>
        <w:t xml:space="preserve">CSO </w:t>
      </w:r>
      <w:r>
        <w:rPr>
          <w:color w:val="231F20"/>
        </w:rPr>
        <w:t xml:space="preserve">engagement. Key actions include Develop a framework to monitor implementation of all </w:t>
      </w:r>
      <w:r>
        <w:rPr>
          <w:color w:val="231F20"/>
          <w:spacing w:val="-5"/>
        </w:rPr>
        <w:t xml:space="preserve">the </w:t>
      </w:r>
      <w:r>
        <w:rPr>
          <w:color w:val="231F20"/>
        </w:rPr>
        <w:t>strategic</w:t>
      </w:r>
      <w:r>
        <w:rPr>
          <w:color w:val="231F20"/>
          <w:spacing w:val="-15"/>
        </w:rPr>
        <w:t xml:space="preserve"> </w:t>
      </w:r>
      <w:r>
        <w:rPr>
          <w:color w:val="231F20"/>
        </w:rPr>
        <w:t>plans</w:t>
      </w:r>
      <w:r>
        <w:rPr>
          <w:color w:val="231F20"/>
          <w:spacing w:val="-15"/>
        </w:rPr>
        <w:t xml:space="preserve"> </w:t>
      </w:r>
      <w:r>
        <w:rPr>
          <w:color w:val="231F20"/>
        </w:rPr>
        <w:t>and</w:t>
      </w:r>
      <w:r>
        <w:rPr>
          <w:color w:val="231F20"/>
          <w:spacing w:val="-15"/>
        </w:rPr>
        <w:t xml:space="preserve"> </w:t>
      </w:r>
      <w:r>
        <w:rPr>
          <w:color w:val="231F20"/>
        </w:rPr>
        <w:t>annual</w:t>
      </w:r>
      <w:r>
        <w:rPr>
          <w:color w:val="231F20"/>
          <w:spacing w:val="-15"/>
        </w:rPr>
        <w:t xml:space="preserve"> </w:t>
      </w:r>
      <w:r>
        <w:rPr>
          <w:color w:val="231F20"/>
        </w:rPr>
        <w:t>operational</w:t>
      </w:r>
      <w:r>
        <w:rPr>
          <w:color w:val="231F20"/>
          <w:spacing w:val="-15"/>
        </w:rPr>
        <w:t xml:space="preserve"> </w:t>
      </w:r>
      <w:r>
        <w:rPr>
          <w:color w:val="231F20"/>
        </w:rPr>
        <w:t>plans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health</w:t>
      </w:r>
      <w:r>
        <w:rPr>
          <w:color w:val="231F20"/>
          <w:spacing w:val="-15"/>
        </w:rPr>
        <w:t xml:space="preserve"> </w:t>
      </w:r>
      <w:r>
        <w:rPr>
          <w:color w:val="231F20"/>
        </w:rPr>
        <w:t>sector</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SMOH</w:t>
      </w:r>
      <w:r>
        <w:rPr>
          <w:color w:val="231F20"/>
          <w:spacing w:val="-15"/>
        </w:rPr>
        <w:t xml:space="preserve"> </w:t>
      </w:r>
      <w:r>
        <w:rPr>
          <w:color w:val="231F20"/>
        </w:rPr>
        <w:t>to</w:t>
      </w:r>
      <w:r>
        <w:rPr>
          <w:color w:val="231F20"/>
          <w:spacing w:val="-15"/>
        </w:rPr>
        <w:t xml:space="preserve"> </w:t>
      </w:r>
      <w:r>
        <w:rPr>
          <w:color w:val="231F20"/>
        </w:rPr>
        <w:t>ensure</w:t>
      </w:r>
      <w:r>
        <w:rPr>
          <w:color w:val="231F20"/>
          <w:spacing w:val="-15"/>
        </w:rPr>
        <w:t xml:space="preserve"> </w:t>
      </w:r>
      <w:r>
        <w:rPr>
          <w:color w:val="231F20"/>
          <w:spacing w:val="-4"/>
        </w:rPr>
        <w:t xml:space="preserve">that </w:t>
      </w:r>
      <w:r>
        <w:rPr>
          <w:color w:val="231F20"/>
        </w:rPr>
        <w:t>all</w:t>
      </w:r>
      <w:r>
        <w:rPr>
          <w:color w:val="231F20"/>
          <w:spacing w:val="-20"/>
        </w:rPr>
        <w:t xml:space="preserve"> </w:t>
      </w:r>
      <w:r>
        <w:rPr>
          <w:color w:val="231F20"/>
        </w:rPr>
        <w:t>its</w:t>
      </w:r>
      <w:r>
        <w:rPr>
          <w:color w:val="231F20"/>
          <w:spacing w:val="-20"/>
        </w:rPr>
        <w:t xml:space="preserve"> </w:t>
      </w:r>
      <w:r>
        <w:rPr>
          <w:color w:val="231F20"/>
        </w:rPr>
        <w:t>MDAs</w:t>
      </w:r>
      <w:r>
        <w:rPr>
          <w:color w:val="231F20"/>
          <w:spacing w:val="-20"/>
        </w:rPr>
        <w:t xml:space="preserve"> </w:t>
      </w:r>
      <w:r>
        <w:rPr>
          <w:color w:val="231F20"/>
        </w:rPr>
        <w:t>produce</w:t>
      </w:r>
      <w:r>
        <w:rPr>
          <w:color w:val="231F20"/>
          <w:spacing w:val="-20"/>
        </w:rPr>
        <w:t xml:space="preserve"> </w:t>
      </w:r>
      <w:r>
        <w:rPr>
          <w:color w:val="231F20"/>
        </w:rPr>
        <w:t>disseminate</w:t>
      </w:r>
      <w:r>
        <w:rPr>
          <w:color w:val="231F20"/>
          <w:spacing w:val="-20"/>
        </w:rPr>
        <w:t xml:space="preserve"> </w:t>
      </w:r>
      <w:r>
        <w:rPr>
          <w:color w:val="231F20"/>
        </w:rPr>
        <w:t>annual</w:t>
      </w:r>
      <w:r>
        <w:rPr>
          <w:color w:val="231F20"/>
          <w:spacing w:val="-20"/>
        </w:rPr>
        <w:t xml:space="preserve"> </w:t>
      </w:r>
      <w:r>
        <w:rPr>
          <w:color w:val="231F20"/>
        </w:rPr>
        <w:t>report</w:t>
      </w:r>
      <w:r>
        <w:rPr>
          <w:color w:val="231F20"/>
          <w:spacing w:val="-20"/>
        </w:rPr>
        <w:t xml:space="preserve"> </w:t>
      </w:r>
      <w:r>
        <w:rPr>
          <w:color w:val="231F20"/>
        </w:rPr>
        <w:t>of</w:t>
      </w:r>
      <w:r>
        <w:rPr>
          <w:color w:val="231F20"/>
          <w:spacing w:val="-19"/>
        </w:rPr>
        <w:t xml:space="preserve"> </w:t>
      </w:r>
      <w:r>
        <w:rPr>
          <w:color w:val="231F20"/>
        </w:rPr>
        <w:t>their</w:t>
      </w:r>
      <w:r>
        <w:rPr>
          <w:color w:val="231F20"/>
          <w:spacing w:val="-20"/>
        </w:rPr>
        <w:t xml:space="preserve"> </w:t>
      </w:r>
      <w:r>
        <w:rPr>
          <w:color w:val="231F20"/>
        </w:rPr>
        <w:t>activities</w:t>
      </w:r>
      <w:r>
        <w:rPr>
          <w:color w:val="231F20"/>
          <w:spacing w:val="-20"/>
        </w:rPr>
        <w:t xml:space="preserve"> </w:t>
      </w:r>
      <w:r>
        <w:rPr>
          <w:color w:val="231F20"/>
        </w:rPr>
        <w:t>in</w:t>
      </w:r>
      <w:r>
        <w:rPr>
          <w:color w:val="231F20"/>
          <w:spacing w:val="-20"/>
        </w:rPr>
        <w:t xml:space="preserve"> </w:t>
      </w:r>
      <w:r>
        <w:rPr>
          <w:color w:val="231F20"/>
        </w:rPr>
        <w:t>both</w:t>
      </w:r>
      <w:r>
        <w:rPr>
          <w:color w:val="231F20"/>
          <w:spacing w:val="-20"/>
        </w:rPr>
        <w:t xml:space="preserve"> </w:t>
      </w:r>
      <w:r>
        <w:rPr>
          <w:color w:val="231F20"/>
        </w:rPr>
        <w:t>print</w:t>
      </w:r>
      <w:r>
        <w:rPr>
          <w:color w:val="231F20"/>
          <w:spacing w:val="-20"/>
        </w:rPr>
        <w:t xml:space="preserve"> </w:t>
      </w:r>
      <w:r>
        <w:rPr>
          <w:color w:val="231F20"/>
        </w:rPr>
        <w:t>and</w:t>
      </w:r>
      <w:r>
        <w:rPr>
          <w:color w:val="231F20"/>
          <w:spacing w:val="-20"/>
        </w:rPr>
        <w:t xml:space="preserve"> </w:t>
      </w:r>
      <w:r>
        <w:rPr>
          <w:color w:val="231F20"/>
        </w:rPr>
        <w:t>electronic</w:t>
      </w:r>
      <w:r>
        <w:rPr>
          <w:color w:val="231F20"/>
          <w:spacing w:val="-19"/>
        </w:rPr>
        <w:t xml:space="preserve"> </w:t>
      </w:r>
      <w:r>
        <w:rPr>
          <w:color w:val="231F20"/>
          <w:spacing w:val="-3"/>
        </w:rPr>
        <w:t xml:space="preserve">media; </w:t>
      </w:r>
      <w:r>
        <w:rPr>
          <w:color w:val="231F20"/>
        </w:rPr>
        <w:t>Constitute</w:t>
      </w:r>
      <w:r>
        <w:rPr>
          <w:color w:val="231F20"/>
          <w:spacing w:val="-21"/>
        </w:rPr>
        <w:t xml:space="preserve"> </w:t>
      </w:r>
      <w:r>
        <w:rPr>
          <w:color w:val="231F20"/>
        </w:rPr>
        <w:t>an</w:t>
      </w:r>
      <w:r>
        <w:rPr>
          <w:color w:val="231F20"/>
          <w:spacing w:val="46"/>
        </w:rPr>
        <w:t xml:space="preserve"> </w:t>
      </w:r>
      <w:r>
        <w:rPr>
          <w:color w:val="231F20"/>
        </w:rPr>
        <w:t>audit</w:t>
      </w:r>
      <w:r>
        <w:rPr>
          <w:color w:val="231F20"/>
          <w:spacing w:val="-20"/>
        </w:rPr>
        <w:t xml:space="preserve"> </w:t>
      </w:r>
      <w:r>
        <w:rPr>
          <w:color w:val="231F20"/>
        </w:rPr>
        <w:t>team,</w:t>
      </w:r>
      <w:r>
        <w:rPr>
          <w:color w:val="231F20"/>
          <w:spacing w:val="-20"/>
        </w:rPr>
        <w:t xml:space="preserve"> </w:t>
      </w:r>
      <w:r>
        <w:rPr>
          <w:color w:val="231F20"/>
        </w:rPr>
        <w:t>comprising</w:t>
      </w:r>
      <w:r>
        <w:rPr>
          <w:color w:val="231F20"/>
          <w:spacing w:val="-20"/>
        </w:rPr>
        <w:t xml:space="preserve"> </w:t>
      </w:r>
      <w:r>
        <w:rPr>
          <w:color w:val="231F20"/>
        </w:rPr>
        <w:t>of</w:t>
      </w:r>
      <w:r>
        <w:rPr>
          <w:color w:val="231F20"/>
          <w:spacing w:val="-20"/>
        </w:rPr>
        <w:t xml:space="preserve"> </w:t>
      </w:r>
      <w:r>
        <w:rPr>
          <w:color w:val="231F20"/>
        </w:rPr>
        <w:t>independent</w:t>
      </w:r>
      <w:r>
        <w:rPr>
          <w:color w:val="231F20"/>
          <w:spacing w:val="-19"/>
        </w:rPr>
        <w:t xml:space="preserve"> </w:t>
      </w:r>
      <w:r>
        <w:rPr>
          <w:color w:val="231F20"/>
        </w:rPr>
        <w:t>assessors,</w:t>
      </w:r>
      <w:r>
        <w:rPr>
          <w:color w:val="231F20"/>
          <w:spacing w:val="-20"/>
        </w:rPr>
        <w:t xml:space="preserve"> </w:t>
      </w:r>
      <w:r>
        <w:rPr>
          <w:color w:val="231F20"/>
        </w:rPr>
        <w:t>including</w:t>
      </w:r>
      <w:r>
        <w:rPr>
          <w:color w:val="231F20"/>
          <w:spacing w:val="-20"/>
        </w:rPr>
        <w:t xml:space="preserve"> </w:t>
      </w:r>
      <w:r>
        <w:rPr>
          <w:color w:val="231F20"/>
        </w:rPr>
        <w:t>CSOs</w:t>
      </w:r>
      <w:r>
        <w:rPr>
          <w:color w:val="231F20"/>
          <w:spacing w:val="-20"/>
        </w:rPr>
        <w:t xml:space="preserve"> </w:t>
      </w:r>
      <w:r>
        <w:rPr>
          <w:color w:val="231F20"/>
        </w:rPr>
        <w:t>to</w:t>
      </w:r>
      <w:r>
        <w:rPr>
          <w:color w:val="231F20"/>
          <w:spacing w:val="-21"/>
        </w:rPr>
        <w:t xml:space="preserve"> </w:t>
      </w:r>
      <w:r>
        <w:rPr>
          <w:color w:val="231F20"/>
        </w:rPr>
        <w:t>monitoring</w:t>
      </w:r>
      <w:r>
        <w:rPr>
          <w:color w:val="231F20"/>
          <w:spacing w:val="-20"/>
        </w:rPr>
        <w:t xml:space="preserve"> </w:t>
      </w:r>
      <w:r>
        <w:rPr>
          <w:color w:val="231F20"/>
        </w:rPr>
        <w:t>the budgeting</w:t>
      </w:r>
      <w:r>
        <w:rPr>
          <w:color w:val="231F20"/>
          <w:spacing w:val="-12"/>
        </w:rPr>
        <w:t xml:space="preserve"> </w:t>
      </w:r>
      <w:r>
        <w:rPr>
          <w:color w:val="231F20"/>
        </w:rPr>
        <w:t>process,</w:t>
      </w:r>
      <w:r>
        <w:rPr>
          <w:color w:val="231F20"/>
          <w:spacing w:val="-12"/>
        </w:rPr>
        <w:t xml:space="preserve"> </w:t>
      </w:r>
      <w:r>
        <w:rPr>
          <w:color w:val="231F20"/>
        </w:rPr>
        <w:t>fund</w:t>
      </w:r>
      <w:r>
        <w:rPr>
          <w:color w:val="231F20"/>
          <w:spacing w:val="-12"/>
        </w:rPr>
        <w:t xml:space="preserve"> </w:t>
      </w:r>
      <w:r>
        <w:rPr>
          <w:color w:val="231F20"/>
        </w:rPr>
        <w:t>disbursements</w:t>
      </w:r>
      <w:r>
        <w:rPr>
          <w:color w:val="231F20"/>
          <w:spacing w:val="-11"/>
        </w:rPr>
        <w:t xml:space="preserve"> </w:t>
      </w:r>
      <w:r>
        <w:rPr>
          <w:color w:val="231F20"/>
        </w:rPr>
        <w:t>and</w:t>
      </w:r>
      <w:r>
        <w:rPr>
          <w:color w:val="231F20"/>
          <w:spacing w:val="-12"/>
        </w:rPr>
        <w:t xml:space="preserve"> </w:t>
      </w:r>
      <w:r>
        <w:rPr>
          <w:color w:val="231F20"/>
        </w:rPr>
        <w:t>utilization;</w:t>
      </w:r>
      <w:r>
        <w:rPr>
          <w:color w:val="231F20"/>
          <w:spacing w:val="-12"/>
        </w:rPr>
        <w:t xml:space="preserve"> </w:t>
      </w:r>
      <w:r>
        <w:rPr>
          <w:color w:val="231F20"/>
        </w:rPr>
        <w:t>and</w:t>
      </w:r>
      <w:r>
        <w:rPr>
          <w:color w:val="231F20"/>
          <w:spacing w:val="-11"/>
        </w:rPr>
        <w:t xml:space="preserve"> </w:t>
      </w:r>
      <w:r>
        <w:rPr>
          <w:color w:val="231F20"/>
        </w:rPr>
        <w:t>also</w:t>
      </w:r>
      <w:r>
        <w:rPr>
          <w:color w:val="231F20"/>
          <w:spacing w:val="-12"/>
        </w:rPr>
        <w:t xml:space="preserve"> </w:t>
      </w:r>
      <w:r>
        <w:rPr>
          <w:color w:val="231F20"/>
        </w:rPr>
        <w:t>produce</w:t>
      </w:r>
      <w:r>
        <w:rPr>
          <w:color w:val="231F20"/>
          <w:spacing w:val="-12"/>
        </w:rPr>
        <w:t xml:space="preserve"> </w:t>
      </w:r>
      <w:r>
        <w:rPr>
          <w:color w:val="231F20"/>
        </w:rPr>
        <w:t>and</w:t>
      </w:r>
      <w:r>
        <w:rPr>
          <w:color w:val="231F20"/>
          <w:spacing w:val="-11"/>
        </w:rPr>
        <w:t xml:space="preserve"> </w:t>
      </w:r>
      <w:r>
        <w:rPr>
          <w:color w:val="231F20"/>
        </w:rPr>
        <w:t>disseminate</w:t>
      </w:r>
      <w:r>
        <w:rPr>
          <w:color w:val="231F20"/>
          <w:spacing w:val="-12"/>
        </w:rPr>
        <w:t xml:space="preserve"> </w:t>
      </w:r>
      <w:r>
        <w:rPr>
          <w:color w:val="231F20"/>
          <w:spacing w:val="-3"/>
        </w:rPr>
        <w:t xml:space="preserve">annual </w:t>
      </w:r>
      <w:r>
        <w:rPr>
          <w:color w:val="231F20"/>
        </w:rPr>
        <w:t>audit reports;</w:t>
      </w:r>
      <w:r w:rsidR="00DA56D4">
        <w:rPr>
          <w:color w:val="231F20"/>
        </w:rPr>
        <w:t xml:space="preserve"> </w:t>
      </w:r>
      <w:r>
        <w:rPr>
          <w:color w:val="231F20"/>
        </w:rPr>
        <w:t xml:space="preserve">Develop a platform for deepening community involvements in planning </w:t>
      </w:r>
      <w:r>
        <w:rPr>
          <w:color w:val="231F20"/>
          <w:spacing w:val="-5"/>
        </w:rPr>
        <w:t xml:space="preserve">and </w:t>
      </w:r>
      <w:r>
        <w:rPr>
          <w:color w:val="231F20"/>
        </w:rPr>
        <w:t>implementation</w:t>
      </w:r>
      <w:r>
        <w:rPr>
          <w:color w:val="231F20"/>
          <w:spacing w:val="-25"/>
        </w:rPr>
        <w:t xml:space="preserve"> </w:t>
      </w:r>
      <w:r>
        <w:rPr>
          <w:color w:val="231F20"/>
        </w:rPr>
        <w:t>of</w:t>
      </w:r>
      <w:r>
        <w:rPr>
          <w:color w:val="231F20"/>
          <w:spacing w:val="-26"/>
        </w:rPr>
        <w:t xml:space="preserve"> </w:t>
      </w:r>
      <w:r>
        <w:rPr>
          <w:color w:val="231F20"/>
        </w:rPr>
        <w:t>health</w:t>
      </w:r>
      <w:r>
        <w:rPr>
          <w:color w:val="231F20"/>
          <w:spacing w:val="-25"/>
        </w:rPr>
        <w:t xml:space="preserve"> </w:t>
      </w:r>
      <w:proofErr w:type="spellStart"/>
      <w:r>
        <w:rPr>
          <w:color w:val="231F20"/>
        </w:rPr>
        <w:t>programmes</w:t>
      </w:r>
      <w:proofErr w:type="spellEnd"/>
      <w:r>
        <w:rPr>
          <w:color w:val="231F20"/>
          <w:spacing w:val="-25"/>
        </w:rPr>
        <w:t xml:space="preserve"> </w:t>
      </w:r>
      <w:r>
        <w:rPr>
          <w:color w:val="231F20"/>
        </w:rPr>
        <w:t>and</w:t>
      </w:r>
      <w:r>
        <w:rPr>
          <w:color w:val="231F20"/>
          <w:spacing w:val="-25"/>
        </w:rPr>
        <w:t xml:space="preserve"> </w:t>
      </w:r>
      <w:r>
        <w:rPr>
          <w:color w:val="231F20"/>
        </w:rPr>
        <w:t>projects.</w:t>
      </w:r>
    </w:p>
    <w:p w14:paraId="55C96492" w14:textId="77777777" w:rsidR="009948F1" w:rsidRDefault="009948F1">
      <w:pPr>
        <w:pStyle w:val="BodyText"/>
        <w:spacing w:before="9"/>
        <w:rPr>
          <w:sz w:val="26"/>
        </w:rPr>
      </w:pPr>
    </w:p>
    <w:p w14:paraId="2A241074" w14:textId="77777777" w:rsidR="009948F1" w:rsidRDefault="00BC0563">
      <w:pPr>
        <w:pStyle w:val="Heading7"/>
        <w:numPr>
          <w:ilvl w:val="2"/>
          <w:numId w:val="296"/>
        </w:numPr>
        <w:tabs>
          <w:tab w:val="left" w:pos="691"/>
        </w:tabs>
        <w:spacing w:before="1"/>
        <w:ind w:left="690" w:hanging="527"/>
      </w:pPr>
      <w:r>
        <w:rPr>
          <w:color w:val="231F20"/>
        </w:rPr>
        <w:t>Improve</w:t>
      </w:r>
      <w:r>
        <w:rPr>
          <w:color w:val="231F20"/>
          <w:spacing w:val="-26"/>
        </w:rPr>
        <w:t xml:space="preserve"> </w:t>
      </w:r>
      <w:r>
        <w:rPr>
          <w:color w:val="231F20"/>
        </w:rPr>
        <w:t>health</w:t>
      </w:r>
      <w:r>
        <w:rPr>
          <w:color w:val="231F20"/>
          <w:spacing w:val="-25"/>
        </w:rPr>
        <w:t xml:space="preserve"> </w:t>
      </w:r>
      <w:r>
        <w:rPr>
          <w:color w:val="231F20"/>
        </w:rPr>
        <w:t>sector</w:t>
      </w:r>
      <w:r>
        <w:rPr>
          <w:color w:val="231F20"/>
          <w:spacing w:val="-25"/>
        </w:rPr>
        <w:t xml:space="preserve"> </w:t>
      </w:r>
      <w:r>
        <w:rPr>
          <w:color w:val="231F20"/>
        </w:rPr>
        <w:t>performance</w:t>
      </w:r>
      <w:r>
        <w:rPr>
          <w:color w:val="231F20"/>
          <w:spacing w:val="-25"/>
        </w:rPr>
        <w:t xml:space="preserve"> </w:t>
      </w:r>
      <w:r>
        <w:rPr>
          <w:color w:val="231F20"/>
        </w:rPr>
        <w:t>through</w:t>
      </w:r>
      <w:r>
        <w:rPr>
          <w:color w:val="231F20"/>
          <w:spacing w:val="-25"/>
        </w:rPr>
        <w:t xml:space="preserve"> </w:t>
      </w:r>
      <w:r>
        <w:rPr>
          <w:color w:val="231F20"/>
        </w:rPr>
        <w:t>regular</w:t>
      </w:r>
      <w:r>
        <w:rPr>
          <w:color w:val="231F20"/>
          <w:spacing w:val="-25"/>
        </w:rPr>
        <w:t xml:space="preserve"> </w:t>
      </w:r>
      <w:r>
        <w:rPr>
          <w:color w:val="231F20"/>
        </w:rPr>
        <w:t>integrated</w:t>
      </w:r>
      <w:r>
        <w:rPr>
          <w:color w:val="231F20"/>
          <w:spacing w:val="-25"/>
        </w:rPr>
        <w:t xml:space="preserve"> </w:t>
      </w:r>
      <w:r>
        <w:rPr>
          <w:color w:val="231F20"/>
        </w:rPr>
        <w:t>reviews</w:t>
      </w:r>
      <w:r>
        <w:rPr>
          <w:color w:val="231F20"/>
          <w:spacing w:val="-25"/>
        </w:rPr>
        <w:t xml:space="preserve"> </w:t>
      </w:r>
      <w:r>
        <w:rPr>
          <w:color w:val="231F20"/>
        </w:rPr>
        <w:t>and</w:t>
      </w:r>
      <w:r>
        <w:rPr>
          <w:color w:val="231F20"/>
          <w:spacing w:val="-25"/>
        </w:rPr>
        <w:t xml:space="preserve"> </w:t>
      </w:r>
      <w:r>
        <w:rPr>
          <w:color w:val="231F20"/>
        </w:rPr>
        <w:t>reports</w:t>
      </w:r>
    </w:p>
    <w:p w14:paraId="4497FCB2" w14:textId="77777777" w:rsidR="009948F1" w:rsidRDefault="00BC0563">
      <w:pPr>
        <w:pStyle w:val="Heading8"/>
        <w:spacing w:before="48"/>
        <w:ind w:left="200"/>
      </w:pPr>
      <w:r>
        <w:rPr>
          <w:color w:val="231F20"/>
        </w:rPr>
        <w:t>Interventions</w:t>
      </w:r>
    </w:p>
    <w:p w14:paraId="15C6083E" w14:textId="77777777" w:rsidR="009948F1" w:rsidRDefault="00BC0563">
      <w:pPr>
        <w:pStyle w:val="ListParagraph"/>
        <w:numPr>
          <w:ilvl w:val="3"/>
          <w:numId w:val="296"/>
        </w:numPr>
        <w:tabs>
          <w:tab w:val="left" w:pos="902"/>
        </w:tabs>
        <w:spacing w:before="49" w:line="285" w:lineRule="auto"/>
        <w:ind w:left="164" w:right="227" w:firstLine="0"/>
      </w:pPr>
      <w:r>
        <w:rPr>
          <w:color w:val="231F20"/>
        </w:rPr>
        <w:t xml:space="preserve">Strengthen annual operational/work-plan for the health sector. Key actions here include: Develop and implement an effective reporting system; Conduct quarterly review of </w:t>
      </w:r>
      <w:r>
        <w:rPr>
          <w:color w:val="231F20"/>
          <w:spacing w:val="-4"/>
        </w:rPr>
        <w:t xml:space="preserve">the </w:t>
      </w:r>
      <w:r>
        <w:rPr>
          <w:color w:val="231F20"/>
        </w:rPr>
        <w:t xml:space="preserve">implementation of the Annual Operational Plans (AOP)/Budget; Disseminate findings </w:t>
      </w:r>
      <w:r>
        <w:rPr>
          <w:color w:val="231F20"/>
          <w:spacing w:val="-7"/>
        </w:rPr>
        <w:t xml:space="preserve">of </w:t>
      </w:r>
      <w:r>
        <w:rPr>
          <w:color w:val="231F20"/>
        </w:rPr>
        <w:t>implementation</w:t>
      </w:r>
      <w:r>
        <w:rPr>
          <w:color w:val="231F20"/>
          <w:spacing w:val="-9"/>
        </w:rPr>
        <w:t xml:space="preserve"> </w:t>
      </w:r>
      <w:r>
        <w:rPr>
          <w:color w:val="231F20"/>
        </w:rPr>
        <w:t>reviews</w:t>
      </w:r>
      <w:r>
        <w:rPr>
          <w:color w:val="231F20"/>
          <w:spacing w:val="-8"/>
        </w:rPr>
        <w:t xml:space="preserve"> </w:t>
      </w:r>
      <w:r>
        <w:rPr>
          <w:color w:val="231F20"/>
        </w:rPr>
        <w:t>to</w:t>
      </w:r>
      <w:r>
        <w:rPr>
          <w:color w:val="231F20"/>
          <w:spacing w:val="-9"/>
        </w:rPr>
        <w:t xml:space="preserve"> </w:t>
      </w:r>
      <w:r>
        <w:rPr>
          <w:color w:val="231F20"/>
        </w:rPr>
        <w:t>stakeholders</w:t>
      </w:r>
      <w:r>
        <w:rPr>
          <w:color w:val="231F20"/>
          <w:spacing w:val="-8"/>
        </w:rPr>
        <w:t xml:space="preserve"> </w:t>
      </w:r>
      <w:r>
        <w:rPr>
          <w:color w:val="231F20"/>
        </w:rPr>
        <w:t>annually</w:t>
      </w:r>
      <w:r>
        <w:rPr>
          <w:color w:val="231F20"/>
          <w:spacing w:val="-8"/>
        </w:rPr>
        <w:t xml:space="preserve"> </w:t>
      </w:r>
      <w:r>
        <w:rPr>
          <w:color w:val="231F20"/>
        </w:rPr>
        <w:t>and</w:t>
      </w:r>
      <w:r>
        <w:rPr>
          <w:color w:val="231F20"/>
          <w:spacing w:val="-8"/>
        </w:rPr>
        <w:t xml:space="preserve"> </w:t>
      </w:r>
      <w:r>
        <w:rPr>
          <w:color w:val="231F20"/>
        </w:rPr>
        <w:t>publish</w:t>
      </w:r>
      <w:r>
        <w:rPr>
          <w:color w:val="231F20"/>
          <w:spacing w:val="-8"/>
        </w:rPr>
        <w:t xml:space="preserve"> </w:t>
      </w:r>
      <w:r>
        <w:rPr>
          <w:color w:val="231F20"/>
        </w:rPr>
        <w:t>same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state</w:t>
      </w:r>
      <w:r>
        <w:rPr>
          <w:color w:val="231F20"/>
          <w:spacing w:val="-9"/>
        </w:rPr>
        <w:t xml:space="preserve"> </w:t>
      </w:r>
      <w:r>
        <w:rPr>
          <w:color w:val="231F20"/>
        </w:rPr>
        <w:t>bulletin</w:t>
      </w:r>
      <w:r>
        <w:rPr>
          <w:color w:val="231F20"/>
          <w:spacing w:val="-8"/>
        </w:rPr>
        <w:t xml:space="preserve"> </w:t>
      </w:r>
      <w:r>
        <w:rPr>
          <w:color w:val="231F20"/>
        </w:rPr>
        <w:t>and</w:t>
      </w:r>
      <w:r>
        <w:rPr>
          <w:color w:val="231F20"/>
          <w:spacing w:val="-8"/>
        </w:rPr>
        <w:t xml:space="preserve"> </w:t>
      </w:r>
      <w:r>
        <w:rPr>
          <w:color w:val="231F20"/>
          <w:spacing w:val="-5"/>
        </w:rPr>
        <w:t xml:space="preserve">MOH </w:t>
      </w:r>
      <w:r>
        <w:rPr>
          <w:color w:val="231F20"/>
        </w:rPr>
        <w:t>website.</w:t>
      </w:r>
    </w:p>
    <w:p w14:paraId="6936E240" w14:textId="77777777" w:rsidR="009948F1" w:rsidRDefault="009948F1">
      <w:pPr>
        <w:pStyle w:val="BodyText"/>
        <w:spacing w:before="7"/>
        <w:rPr>
          <w:sz w:val="26"/>
        </w:rPr>
      </w:pPr>
    </w:p>
    <w:p w14:paraId="7992A623" w14:textId="7B88E2A2" w:rsidR="009948F1" w:rsidRDefault="00BC0563">
      <w:pPr>
        <w:pStyle w:val="ListParagraph"/>
        <w:numPr>
          <w:ilvl w:val="3"/>
          <w:numId w:val="296"/>
        </w:numPr>
        <w:tabs>
          <w:tab w:val="left" w:pos="931"/>
        </w:tabs>
        <w:spacing w:line="285" w:lineRule="auto"/>
        <w:ind w:left="163" w:right="227" w:firstLine="0"/>
      </w:pPr>
      <w:r>
        <w:rPr>
          <w:color w:val="231F20"/>
        </w:rPr>
        <w:t xml:space="preserve">Improve information generation and sectorial information base for decision-making </w:t>
      </w:r>
      <w:r>
        <w:rPr>
          <w:color w:val="231F20"/>
          <w:spacing w:val="-7"/>
        </w:rPr>
        <w:t xml:space="preserve">to </w:t>
      </w:r>
      <w:r>
        <w:rPr>
          <w:color w:val="231F20"/>
        </w:rPr>
        <w:t>enhance sectorial performance. Key actions include;</w:t>
      </w:r>
      <w:r w:rsidR="00DA56D4">
        <w:rPr>
          <w:color w:val="231F20"/>
        </w:rPr>
        <w:t xml:space="preserve"> </w:t>
      </w:r>
      <w:r>
        <w:rPr>
          <w:color w:val="231F20"/>
        </w:rPr>
        <w:t>develop a health management information base,</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website</w:t>
      </w:r>
      <w:r>
        <w:rPr>
          <w:color w:val="231F20"/>
          <w:spacing w:val="-13"/>
        </w:rPr>
        <w:t xml:space="preserve"> </w:t>
      </w:r>
      <w:r>
        <w:rPr>
          <w:color w:val="231F20"/>
        </w:rPr>
        <w:t>and</w:t>
      </w:r>
      <w:r>
        <w:rPr>
          <w:color w:val="231F20"/>
          <w:spacing w:val="-14"/>
        </w:rPr>
        <w:t xml:space="preserve"> </w:t>
      </w:r>
      <w:r>
        <w:rPr>
          <w:color w:val="231F20"/>
        </w:rPr>
        <w:t>a</w:t>
      </w:r>
      <w:r>
        <w:rPr>
          <w:color w:val="231F20"/>
          <w:spacing w:val="-13"/>
        </w:rPr>
        <w:t xml:space="preserve"> </w:t>
      </w:r>
      <w:r>
        <w:rPr>
          <w:color w:val="231F20"/>
        </w:rPr>
        <w:t>data</w:t>
      </w:r>
      <w:r>
        <w:rPr>
          <w:color w:val="231F20"/>
          <w:spacing w:val="-13"/>
        </w:rPr>
        <w:t xml:space="preserve"> </w:t>
      </w:r>
      <w:r>
        <w:rPr>
          <w:color w:val="231F20"/>
        </w:rPr>
        <w:t>management</w:t>
      </w:r>
      <w:r>
        <w:rPr>
          <w:color w:val="231F20"/>
          <w:spacing w:val="-14"/>
        </w:rPr>
        <w:t xml:space="preserve"> </w:t>
      </w:r>
      <w:r>
        <w:rPr>
          <w:color w:val="231F20"/>
        </w:rPr>
        <w:t>office</w:t>
      </w:r>
      <w:r>
        <w:rPr>
          <w:color w:val="231F20"/>
          <w:spacing w:val="-13"/>
        </w:rPr>
        <w:t xml:space="preserve"> </w:t>
      </w:r>
      <w:r>
        <w:rPr>
          <w:color w:val="231F20"/>
        </w:rPr>
        <w:t>for</w:t>
      </w:r>
      <w:r>
        <w:rPr>
          <w:color w:val="231F20"/>
          <w:spacing w:val="-14"/>
        </w:rPr>
        <w:t xml:space="preserve"> </w:t>
      </w:r>
      <w:r>
        <w:rPr>
          <w:color w:val="231F20"/>
        </w:rPr>
        <w:t>harmonization</w:t>
      </w:r>
      <w:r>
        <w:rPr>
          <w:color w:val="231F20"/>
          <w:spacing w:val="-13"/>
        </w:rPr>
        <w:t xml:space="preserve"> </w:t>
      </w:r>
      <w:r>
        <w:rPr>
          <w:color w:val="231F20"/>
        </w:rPr>
        <w:t>and</w:t>
      </w:r>
      <w:r>
        <w:rPr>
          <w:color w:val="231F20"/>
          <w:spacing w:val="-14"/>
        </w:rPr>
        <w:t xml:space="preserve"> </w:t>
      </w:r>
      <w:r>
        <w:rPr>
          <w:color w:val="231F20"/>
        </w:rPr>
        <w:t>standardization</w:t>
      </w:r>
      <w:r>
        <w:rPr>
          <w:color w:val="231F20"/>
          <w:spacing w:val="-13"/>
        </w:rPr>
        <w:t xml:space="preserve"> </w:t>
      </w:r>
      <w:r>
        <w:rPr>
          <w:color w:val="231F20"/>
        </w:rPr>
        <w:t xml:space="preserve">of information management; Institutionalize quarterly inter-sectorial review meetings to </w:t>
      </w:r>
      <w:proofErr w:type="spellStart"/>
      <w:r>
        <w:rPr>
          <w:color w:val="231F20"/>
        </w:rPr>
        <w:t>analyse</w:t>
      </w:r>
      <w:proofErr w:type="spellEnd"/>
      <w:r>
        <w:rPr>
          <w:color w:val="231F20"/>
        </w:rPr>
        <w:t xml:space="preserve"> available</w:t>
      </w:r>
      <w:r>
        <w:rPr>
          <w:color w:val="231F20"/>
          <w:spacing w:val="-8"/>
        </w:rPr>
        <w:t xml:space="preserve"> </w:t>
      </w:r>
      <w:r>
        <w:rPr>
          <w:color w:val="231F20"/>
        </w:rPr>
        <w:t>data</w:t>
      </w:r>
      <w:r>
        <w:rPr>
          <w:color w:val="231F20"/>
          <w:spacing w:val="-8"/>
        </w:rPr>
        <w:t xml:space="preserve"> </w:t>
      </w:r>
      <w:r>
        <w:rPr>
          <w:color w:val="231F20"/>
        </w:rPr>
        <w:t>/</w:t>
      </w:r>
      <w:r>
        <w:rPr>
          <w:color w:val="231F20"/>
          <w:spacing w:val="-9"/>
        </w:rPr>
        <w:t xml:space="preserve"> </w:t>
      </w:r>
      <w:r>
        <w:rPr>
          <w:color w:val="231F20"/>
        </w:rPr>
        <w:t>results</w:t>
      </w:r>
      <w:r>
        <w:rPr>
          <w:color w:val="231F20"/>
          <w:spacing w:val="-8"/>
        </w:rPr>
        <w:t xml:space="preserve"> </w:t>
      </w:r>
      <w:r>
        <w:rPr>
          <w:color w:val="231F20"/>
        </w:rPr>
        <w:t>and</w:t>
      </w:r>
      <w:r>
        <w:rPr>
          <w:color w:val="231F20"/>
          <w:spacing w:val="-8"/>
        </w:rPr>
        <w:t xml:space="preserve"> </w:t>
      </w:r>
      <w:r>
        <w:rPr>
          <w:color w:val="231F20"/>
        </w:rPr>
        <w:t>strategize</w:t>
      </w:r>
      <w:r>
        <w:rPr>
          <w:color w:val="231F20"/>
          <w:spacing w:val="-7"/>
        </w:rPr>
        <w:t xml:space="preserve"> </w:t>
      </w:r>
      <w:r>
        <w:rPr>
          <w:color w:val="231F20"/>
        </w:rPr>
        <w:t>ways</w:t>
      </w:r>
      <w:r>
        <w:rPr>
          <w:color w:val="231F20"/>
          <w:spacing w:val="-8"/>
        </w:rPr>
        <w:t xml:space="preserve"> </w:t>
      </w:r>
      <w:r>
        <w:rPr>
          <w:color w:val="231F20"/>
        </w:rPr>
        <w:t>for</w:t>
      </w:r>
      <w:r>
        <w:rPr>
          <w:color w:val="231F20"/>
          <w:spacing w:val="-9"/>
        </w:rPr>
        <w:t xml:space="preserve"> </w:t>
      </w:r>
      <w:r>
        <w:rPr>
          <w:color w:val="231F20"/>
        </w:rPr>
        <w:t>further</w:t>
      </w:r>
      <w:r>
        <w:rPr>
          <w:color w:val="231F20"/>
          <w:spacing w:val="-8"/>
        </w:rPr>
        <w:t xml:space="preserve"> </w:t>
      </w:r>
      <w:r>
        <w:rPr>
          <w:color w:val="231F20"/>
        </w:rPr>
        <w:t>development;</w:t>
      </w:r>
      <w:r>
        <w:rPr>
          <w:color w:val="231F20"/>
          <w:spacing w:val="-8"/>
        </w:rPr>
        <w:t xml:space="preserve"> </w:t>
      </w:r>
      <w:r>
        <w:rPr>
          <w:color w:val="231F20"/>
        </w:rPr>
        <w:t>Integrate</w:t>
      </w:r>
      <w:r>
        <w:rPr>
          <w:color w:val="231F20"/>
          <w:spacing w:val="-8"/>
        </w:rPr>
        <w:t xml:space="preserve"> </w:t>
      </w:r>
      <w:r>
        <w:rPr>
          <w:color w:val="231F20"/>
        </w:rPr>
        <w:t>submission</w:t>
      </w:r>
      <w:r>
        <w:rPr>
          <w:color w:val="231F20"/>
          <w:spacing w:val="-7"/>
        </w:rPr>
        <w:t xml:space="preserve"> </w:t>
      </w:r>
      <w:r>
        <w:rPr>
          <w:color w:val="231F20"/>
        </w:rPr>
        <w:t>of</w:t>
      </w:r>
      <w:r>
        <w:rPr>
          <w:color w:val="231F20"/>
          <w:spacing w:val="-9"/>
        </w:rPr>
        <w:t xml:space="preserve"> </w:t>
      </w:r>
      <w:r>
        <w:rPr>
          <w:color w:val="231F20"/>
          <w:spacing w:val="-4"/>
        </w:rPr>
        <w:t xml:space="preserve">data </w:t>
      </w:r>
      <w:r>
        <w:rPr>
          <w:color w:val="231F20"/>
        </w:rPr>
        <w:t>into</w:t>
      </w:r>
      <w:r>
        <w:rPr>
          <w:color w:val="231F20"/>
          <w:spacing w:val="-23"/>
        </w:rPr>
        <w:t xml:space="preserve"> </w:t>
      </w:r>
      <w:r>
        <w:rPr>
          <w:color w:val="231F20"/>
        </w:rPr>
        <w:t>conditions</w:t>
      </w:r>
      <w:r>
        <w:rPr>
          <w:color w:val="231F20"/>
          <w:spacing w:val="-22"/>
        </w:rPr>
        <w:t xml:space="preserve"> </w:t>
      </w:r>
      <w:r>
        <w:rPr>
          <w:color w:val="231F20"/>
        </w:rPr>
        <w:t>for</w:t>
      </w:r>
      <w:r>
        <w:rPr>
          <w:color w:val="231F20"/>
          <w:spacing w:val="-23"/>
        </w:rPr>
        <w:t xml:space="preserve"> </w:t>
      </w:r>
      <w:r>
        <w:rPr>
          <w:color w:val="231F20"/>
        </w:rPr>
        <w:t>re-accreditation</w:t>
      </w:r>
      <w:r>
        <w:rPr>
          <w:color w:val="231F20"/>
          <w:spacing w:val="-22"/>
        </w:rPr>
        <w:t xml:space="preserve"> </w:t>
      </w:r>
      <w:r>
        <w:rPr>
          <w:color w:val="231F20"/>
        </w:rPr>
        <w:t>of</w:t>
      </w:r>
      <w:r>
        <w:rPr>
          <w:color w:val="231F20"/>
          <w:spacing w:val="-24"/>
        </w:rPr>
        <w:t xml:space="preserve"> </w:t>
      </w:r>
      <w:r>
        <w:rPr>
          <w:color w:val="231F20"/>
        </w:rPr>
        <w:t>private</w:t>
      </w:r>
      <w:r>
        <w:rPr>
          <w:color w:val="231F20"/>
          <w:spacing w:val="-22"/>
        </w:rPr>
        <w:t xml:space="preserve"> </w:t>
      </w:r>
      <w:r>
        <w:rPr>
          <w:color w:val="231F20"/>
        </w:rPr>
        <w:t>health</w:t>
      </w:r>
      <w:r>
        <w:rPr>
          <w:color w:val="231F20"/>
          <w:spacing w:val="-22"/>
        </w:rPr>
        <w:t xml:space="preserve"> </w:t>
      </w:r>
      <w:r>
        <w:rPr>
          <w:color w:val="231F20"/>
        </w:rPr>
        <w:t>facilities;</w:t>
      </w:r>
      <w:r>
        <w:rPr>
          <w:color w:val="231F20"/>
          <w:spacing w:val="-22"/>
        </w:rPr>
        <w:t xml:space="preserve"> </w:t>
      </w:r>
      <w:r>
        <w:rPr>
          <w:color w:val="231F20"/>
        </w:rPr>
        <w:t>Build</w:t>
      </w:r>
      <w:r>
        <w:rPr>
          <w:color w:val="231F20"/>
          <w:spacing w:val="-23"/>
        </w:rPr>
        <w:t xml:space="preserve"> </w:t>
      </w:r>
      <w:r>
        <w:rPr>
          <w:color w:val="231F20"/>
        </w:rPr>
        <w:t>capacity</w:t>
      </w:r>
      <w:r>
        <w:rPr>
          <w:color w:val="231F20"/>
          <w:spacing w:val="-22"/>
        </w:rPr>
        <w:t xml:space="preserve"> </w:t>
      </w:r>
      <w:r>
        <w:rPr>
          <w:color w:val="231F20"/>
        </w:rPr>
        <w:t>of</w:t>
      </w:r>
      <w:r>
        <w:rPr>
          <w:color w:val="231F20"/>
          <w:spacing w:val="-23"/>
        </w:rPr>
        <w:t xml:space="preserve"> </w:t>
      </w:r>
      <w:r>
        <w:rPr>
          <w:color w:val="231F20"/>
        </w:rPr>
        <w:t>relevant</w:t>
      </w:r>
      <w:r>
        <w:rPr>
          <w:color w:val="231F20"/>
          <w:spacing w:val="-22"/>
        </w:rPr>
        <w:t xml:space="preserve"> </w:t>
      </w:r>
      <w:r>
        <w:rPr>
          <w:color w:val="231F20"/>
        </w:rPr>
        <w:t>staff</w:t>
      </w:r>
      <w:r>
        <w:rPr>
          <w:color w:val="231F20"/>
          <w:spacing w:val="-24"/>
        </w:rPr>
        <w:t xml:space="preserve"> </w:t>
      </w:r>
      <w:r>
        <w:rPr>
          <w:color w:val="231F20"/>
        </w:rPr>
        <w:t>for</w:t>
      </w:r>
      <w:r>
        <w:rPr>
          <w:color w:val="231F20"/>
          <w:spacing w:val="-23"/>
        </w:rPr>
        <w:t xml:space="preserve"> </w:t>
      </w:r>
      <w:r>
        <w:rPr>
          <w:color w:val="231F20"/>
          <w:spacing w:val="-3"/>
        </w:rPr>
        <w:t xml:space="preserve">data </w:t>
      </w:r>
      <w:r>
        <w:rPr>
          <w:color w:val="231F20"/>
        </w:rPr>
        <w:t>management,</w:t>
      </w:r>
      <w:r>
        <w:rPr>
          <w:color w:val="231F20"/>
          <w:spacing w:val="-25"/>
        </w:rPr>
        <w:t xml:space="preserve"> </w:t>
      </w:r>
      <w:r>
        <w:rPr>
          <w:color w:val="231F20"/>
        </w:rPr>
        <w:t>including</w:t>
      </w:r>
      <w:r>
        <w:rPr>
          <w:color w:val="231F20"/>
          <w:spacing w:val="-26"/>
        </w:rPr>
        <w:t xml:space="preserve"> </w:t>
      </w:r>
      <w:r>
        <w:rPr>
          <w:color w:val="231F20"/>
        </w:rPr>
        <w:t>data</w:t>
      </w:r>
      <w:r>
        <w:rPr>
          <w:color w:val="231F20"/>
          <w:spacing w:val="-25"/>
        </w:rPr>
        <w:t xml:space="preserve"> </w:t>
      </w:r>
      <w:r>
        <w:rPr>
          <w:color w:val="231F20"/>
        </w:rPr>
        <w:t>demand</w:t>
      </w:r>
      <w:r>
        <w:rPr>
          <w:color w:val="231F20"/>
          <w:spacing w:val="-25"/>
        </w:rPr>
        <w:t xml:space="preserve"> </w:t>
      </w:r>
      <w:r>
        <w:rPr>
          <w:color w:val="231F20"/>
        </w:rPr>
        <w:t>and</w:t>
      </w:r>
      <w:r>
        <w:rPr>
          <w:color w:val="231F20"/>
          <w:spacing w:val="-25"/>
        </w:rPr>
        <w:t xml:space="preserve"> </w:t>
      </w:r>
      <w:r>
        <w:rPr>
          <w:color w:val="231F20"/>
        </w:rPr>
        <w:t>data</w:t>
      </w:r>
      <w:r>
        <w:rPr>
          <w:color w:val="231F20"/>
          <w:spacing w:val="-25"/>
        </w:rPr>
        <w:t xml:space="preserve"> </w:t>
      </w:r>
      <w:r>
        <w:rPr>
          <w:color w:val="231F20"/>
        </w:rPr>
        <w:t>use</w:t>
      </w:r>
    </w:p>
    <w:p w14:paraId="09FC7458" w14:textId="77777777" w:rsidR="009948F1" w:rsidRDefault="009948F1">
      <w:pPr>
        <w:spacing w:line="285" w:lineRule="auto"/>
        <w:jc w:val="both"/>
        <w:sectPr w:rsidR="009948F1">
          <w:pgSz w:w="11910" w:h="16840"/>
          <w:pgMar w:top="1240" w:right="1080" w:bottom="1420" w:left="1120" w:header="0" w:footer="1235" w:gutter="0"/>
          <w:cols w:space="720"/>
        </w:sectPr>
      </w:pPr>
    </w:p>
    <w:p w14:paraId="35080F8A" w14:textId="0A26F809" w:rsidR="009948F1" w:rsidRDefault="00BC0563">
      <w:pPr>
        <w:pStyle w:val="ListParagraph"/>
        <w:numPr>
          <w:ilvl w:val="3"/>
          <w:numId w:val="296"/>
        </w:numPr>
        <w:tabs>
          <w:tab w:val="left" w:pos="883"/>
        </w:tabs>
        <w:spacing w:before="38" w:line="290" w:lineRule="auto"/>
        <w:ind w:left="124" w:right="185" w:firstLine="0"/>
      </w:pPr>
      <w:bookmarkStart w:id="54" w:name="Page_40"/>
      <w:bookmarkEnd w:id="54"/>
      <w:r>
        <w:rPr>
          <w:color w:val="231F20"/>
        </w:rPr>
        <w:lastRenderedPageBreak/>
        <w:t xml:space="preserve">Institutionalize the mechanism for sector progress status and performance review. </w:t>
      </w:r>
      <w:r>
        <w:rPr>
          <w:color w:val="231F20"/>
          <w:spacing w:val="-4"/>
        </w:rPr>
        <w:t xml:space="preserve">Key </w:t>
      </w:r>
      <w:r>
        <w:rPr>
          <w:color w:val="231F20"/>
        </w:rPr>
        <w:t>actions</w:t>
      </w:r>
      <w:r>
        <w:rPr>
          <w:color w:val="231F20"/>
          <w:spacing w:val="-13"/>
        </w:rPr>
        <w:t xml:space="preserve"> </w:t>
      </w:r>
      <w:r>
        <w:rPr>
          <w:color w:val="231F20"/>
        </w:rPr>
        <w:t>include;</w:t>
      </w:r>
      <w:r>
        <w:rPr>
          <w:color w:val="231F20"/>
          <w:spacing w:val="-12"/>
        </w:rPr>
        <w:t xml:space="preserve"> </w:t>
      </w:r>
      <w:r>
        <w:rPr>
          <w:color w:val="231F20"/>
        </w:rPr>
        <w:t>Establishment</w:t>
      </w:r>
      <w:r>
        <w:rPr>
          <w:color w:val="231F20"/>
          <w:spacing w:val="-12"/>
        </w:rPr>
        <w:t xml:space="preserve"> </w:t>
      </w:r>
      <w:r>
        <w:rPr>
          <w:color w:val="231F20"/>
        </w:rPr>
        <w:t>of</w:t>
      </w:r>
      <w:r>
        <w:rPr>
          <w:color w:val="231F20"/>
          <w:spacing w:val="-13"/>
        </w:rPr>
        <w:t xml:space="preserve"> </w:t>
      </w:r>
      <w:r>
        <w:rPr>
          <w:color w:val="231F20"/>
        </w:rPr>
        <w:t>Central</w:t>
      </w:r>
      <w:r>
        <w:rPr>
          <w:color w:val="231F20"/>
          <w:spacing w:val="-12"/>
        </w:rPr>
        <w:t xml:space="preserve"> </w:t>
      </w:r>
      <w:r>
        <w:rPr>
          <w:color w:val="231F20"/>
        </w:rPr>
        <w:t>Monitoring</w:t>
      </w:r>
      <w:r>
        <w:rPr>
          <w:color w:val="231F20"/>
          <w:spacing w:val="-12"/>
        </w:rPr>
        <w:t xml:space="preserve"> </w:t>
      </w:r>
      <w:r>
        <w:rPr>
          <w:color w:val="231F20"/>
        </w:rPr>
        <w:t>Unit</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SMOH</w:t>
      </w:r>
      <w:r>
        <w:rPr>
          <w:color w:val="231F20"/>
          <w:spacing w:val="-13"/>
        </w:rPr>
        <w:t xml:space="preserve"> </w:t>
      </w:r>
      <w:r>
        <w:rPr>
          <w:color w:val="231F20"/>
        </w:rPr>
        <w:t>to</w:t>
      </w:r>
      <w:r>
        <w:rPr>
          <w:color w:val="231F20"/>
          <w:spacing w:val="-13"/>
        </w:rPr>
        <w:t xml:space="preserve"> </w:t>
      </w:r>
      <w:r>
        <w:rPr>
          <w:color w:val="231F20"/>
        </w:rPr>
        <w:t>monitor</w:t>
      </w:r>
      <w:r>
        <w:rPr>
          <w:color w:val="231F20"/>
          <w:spacing w:val="-12"/>
        </w:rPr>
        <w:t xml:space="preserve"> </w:t>
      </w:r>
      <w:r>
        <w:rPr>
          <w:color w:val="231F20"/>
        </w:rPr>
        <w:t>&amp;</w:t>
      </w:r>
      <w:r>
        <w:rPr>
          <w:color w:val="231F20"/>
          <w:spacing w:val="-14"/>
        </w:rPr>
        <w:t xml:space="preserve"> </w:t>
      </w:r>
      <w:r>
        <w:rPr>
          <w:color w:val="231F20"/>
        </w:rPr>
        <w:t>evaluate</w:t>
      </w:r>
      <w:r>
        <w:rPr>
          <w:color w:val="231F20"/>
          <w:spacing w:val="-12"/>
        </w:rPr>
        <w:t xml:space="preserve"> </w:t>
      </w:r>
      <w:r>
        <w:rPr>
          <w:color w:val="231F20"/>
        </w:rPr>
        <w:t xml:space="preserve">State &amp; PHC </w:t>
      </w:r>
      <w:proofErr w:type="spellStart"/>
      <w:r>
        <w:rPr>
          <w:color w:val="231F20"/>
        </w:rPr>
        <w:t>p</w:t>
      </w:r>
      <w:r w:rsidR="008D6677">
        <w:rPr>
          <w:color w:val="231F20"/>
        </w:rPr>
        <w:t>rogrammes</w:t>
      </w:r>
      <w:proofErr w:type="spellEnd"/>
      <w:r w:rsidR="008D6677">
        <w:rPr>
          <w:color w:val="231F20"/>
        </w:rPr>
        <w:t xml:space="preserve"> in the state and LGAs</w:t>
      </w:r>
      <w:r>
        <w:rPr>
          <w:color w:val="231F20"/>
        </w:rPr>
        <w:t>/Operating cost for engaging and supervising the contractor</w:t>
      </w:r>
      <w:r>
        <w:rPr>
          <w:color w:val="231F20"/>
          <w:spacing w:val="-17"/>
        </w:rPr>
        <w:t xml:space="preserve"> </w:t>
      </w:r>
      <w:r>
        <w:rPr>
          <w:color w:val="231F20"/>
        </w:rPr>
        <w:t>to</w:t>
      </w:r>
      <w:r>
        <w:rPr>
          <w:color w:val="231F20"/>
          <w:spacing w:val="-17"/>
        </w:rPr>
        <w:t xml:space="preserve"> </w:t>
      </w:r>
      <w:r>
        <w:rPr>
          <w:color w:val="231F20"/>
        </w:rPr>
        <w:t>equip</w:t>
      </w:r>
      <w:r>
        <w:rPr>
          <w:color w:val="231F20"/>
          <w:spacing w:val="-17"/>
        </w:rPr>
        <w:t xml:space="preserve"> </w:t>
      </w:r>
      <w:r>
        <w:rPr>
          <w:color w:val="231F20"/>
        </w:rPr>
        <w:t>the</w:t>
      </w:r>
      <w:r>
        <w:rPr>
          <w:color w:val="231F20"/>
          <w:spacing w:val="-17"/>
        </w:rPr>
        <w:t xml:space="preserve"> </w:t>
      </w:r>
      <w:r>
        <w:rPr>
          <w:color w:val="231F20"/>
        </w:rPr>
        <w:t>unit;</w:t>
      </w:r>
      <w:r>
        <w:rPr>
          <w:color w:val="231F20"/>
          <w:spacing w:val="-17"/>
        </w:rPr>
        <w:t xml:space="preserve"> </w:t>
      </w:r>
      <w:r>
        <w:rPr>
          <w:color w:val="231F20"/>
        </w:rPr>
        <w:t>Set</w:t>
      </w:r>
      <w:r>
        <w:rPr>
          <w:color w:val="231F20"/>
          <w:spacing w:val="-17"/>
        </w:rPr>
        <w:t xml:space="preserve"> </w:t>
      </w:r>
      <w:r>
        <w:rPr>
          <w:color w:val="231F20"/>
        </w:rPr>
        <w:t>up</w:t>
      </w:r>
      <w:r>
        <w:rPr>
          <w:color w:val="231F20"/>
          <w:spacing w:val="-17"/>
        </w:rPr>
        <w:t xml:space="preserve"> </w:t>
      </w:r>
      <w:r>
        <w:rPr>
          <w:color w:val="231F20"/>
        </w:rPr>
        <w:t>a</w:t>
      </w:r>
      <w:r>
        <w:rPr>
          <w:color w:val="231F20"/>
          <w:spacing w:val="-17"/>
        </w:rPr>
        <w:t xml:space="preserve"> </w:t>
      </w:r>
      <w:r>
        <w:rPr>
          <w:color w:val="231F20"/>
        </w:rPr>
        <w:t>Monitoring</w:t>
      </w:r>
      <w:r>
        <w:rPr>
          <w:color w:val="231F20"/>
          <w:spacing w:val="-16"/>
        </w:rPr>
        <w:t xml:space="preserve"> </w:t>
      </w:r>
      <w:r>
        <w:rPr>
          <w:color w:val="231F20"/>
        </w:rPr>
        <w:t>&amp;</w:t>
      </w:r>
      <w:r>
        <w:rPr>
          <w:color w:val="231F20"/>
          <w:spacing w:val="-17"/>
        </w:rPr>
        <w:t xml:space="preserve"> </w:t>
      </w:r>
      <w:r>
        <w:rPr>
          <w:color w:val="231F20"/>
        </w:rPr>
        <w:t>Evaluation</w:t>
      </w:r>
      <w:r>
        <w:rPr>
          <w:color w:val="231F20"/>
          <w:spacing w:val="-21"/>
        </w:rPr>
        <w:t xml:space="preserve"> </w:t>
      </w:r>
      <w:r>
        <w:rPr>
          <w:color w:val="231F20"/>
          <w:spacing w:val="-7"/>
        </w:rPr>
        <w:t>Team</w:t>
      </w:r>
      <w:r>
        <w:rPr>
          <w:color w:val="231F20"/>
          <w:spacing w:val="-17"/>
        </w:rPr>
        <w:t xml:space="preserve"> </w:t>
      </w:r>
      <w:r>
        <w:rPr>
          <w:color w:val="231F20"/>
        </w:rPr>
        <w:t>and</w:t>
      </w:r>
      <w:r>
        <w:rPr>
          <w:color w:val="231F20"/>
          <w:spacing w:val="-17"/>
        </w:rPr>
        <w:t xml:space="preserve"> </w:t>
      </w:r>
      <w:r>
        <w:rPr>
          <w:color w:val="231F20"/>
        </w:rPr>
        <w:t>monitor</w:t>
      </w:r>
      <w:r>
        <w:rPr>
          <w:color w:val="231F20"/>
          <w:spacing w:val="-17"/>
        </w:rPr>
        <w:t xml:space="preserve"> </w:t>
      </w:r>
      <w:r>
        <w:rPr>
          <w:color w:val="231F20"/>
        </w:rPr>
        <w:t>all</w:t>
      </w:r>
      <w:r>
        <w:rPr>
          <w:color w:val="231F20"/>
          <w:spacing w:val="-17"/>
        </w:rPr>
        <w:t xml:space="preserve"> </w:t>
      </w:r>
      <w:r>
        <w:rPr>
          <w:color w:val="231F20"/>
        </w:rPr>
        <w:t>health</w:t>
      </w:r>
      <w:r>
        <w:rPr>
          <w:color w:val="231F20"/>
          <w:spacing w:val="-17"/>
        </w:rPr>
        <w:t xml:space="preserve"> </w:t>
      </w:r>
      <w:r>
        <w:rPr>
          <w:color w:val="231F20"/>
        </w:rPr>
        <w:t xml:space="preserve">activities; Develop tools to monitor all </w:t>
      </w:r>
      <w:proofErr w:type="spellStart"/>
      <w:r>
        <w:rPr>
          <w:color w:val="231F20"/>
        </w:rPr>
        <w:t>programmes</w:t>
      </w:r>
      <w:proofErr w:type="spellEnd"/>
      <w:r>
        <w:rPr>
          <w:color w:val="231F20"/>
        </w:rPr>
        <w:t xml:space="preserve"> and activities; Operating cost for engaging </w:t>
      </w:r>
      <w:r>
        <w:rPr>
          <w:color w:val="231F20"/>
          <w:spacing w:val="-4"/>
        </w:rPr>
        <w:t xml:space="preserve">and </w:t>
      </w:r>
      <w:r>
        <w:rPr>
          <w:color w:val="231F20"/>
        </w:rPr>
        <w:t>supervising</w:t>
      </w:r>
      <w:r>
        <w:rPr>
          <w:color w:val="231F20"/>
          <w:spacing w:val="-19"/>
        </w:rPr>
        <w:t xml:space="preserve"> </w:t>
      </w:r>
      <w:r>
        <w:rPr>
          <w:color w:val="231F20"/>
        </w:rPr>
        <w:t>the</w:t>
      </w:r>
      <w:r>
        <w:rPr>
          <w:color w:val="231F20"/>
          <w:spacing w:val="-19"/>
        </w:rPr>
        <w:t xml:space="preserve"> </w:t>
      </w:r>
      <w:r>
        <w:rPr>
          <w:color w:val="231F20"/>
        </w:rPr>
        <w:t>contractor</w:t>
      </w:r>
      <w:r>
        <w:rPr>
          <w:color w:val="231F20"/>
          <w:spacing w:val="-19"/>
        </w:rPr>
        <w:t xml:space="preserve"> </w:t>
      </w:r>
      <w:r>
        <w:rPr>
          <w:color w:val="231F20"/>
        </w:rPr>
        <w:t>to</w:t>
      </w:r>
      <w:r>
        <w:rPr>
          <w:color w:val="231F20"/>
          <w:spacing w:val="-19"/>
        </w:rPr>
        <w:t xml:space="preserve"> </w:t>
      </w:r>
      <w:r>
        <w:rPr>
          <w:color w:val="231F20"/>
        </w:rPr>
        <w:t>purchase</w:t>
      </w:r>
      <w:r>
        <w:rPr>
          <w:color w:val="231F20"/>
          <w:spacing w:val="-19"/>
        </w:rPr>
        <w:t xml:space="preserve"> </w:t>
      </w:r>
      <w:r>
        <w:rPr>
          <w:color w:val="231F20"/>
        </w:rPr>
        <w:t>vehicles</w:t>
      </w:r>
      <w:r>
        <w:rPr>
          <w:color w:val="231F20"/>
          <w:spacing w:val="-19"/>
        </w:rPr>
        <w:t xml:space="preserve"> </w:t>
      </w:r>
      <w:r>
        <w:rPr>
          <w:color w:val="231F20"/>
        </w:rPr>
        <w:t>for</w:t>
      </w:r>
      <w:r>
        <w:rPr>
          <w:color w:val="231F20"/>
          <w:spacing w:val="-19"/>
        </w:rPr>
        <w:t xml:space="preserve"> </w:t>
      </w:r>
      <w:r>
        <w:rPr>
          <w:color w:val="231F20"/>
        </w:rPr>
        <w:t>M</w:t>
      </w:r>
      <w:r>
        <w:rPr>
          <w:color w:val="231F20"/>
          <w:spacing w:val="-18"/>
        </w:rPr>
        <w:t xml:space="preserve"> </w:t>
      </w:r>
      <w:r>
        <w:rPr>
          <w:color w:val="231F20"/>
        </w:rPr>
        <w:t>&amp;</w:t>
      </w:r>
      <w:r>
        <w:rPr>
          <w:color w:val="231F20"/>
          <w:spacing w:val="-19"/>
        </w:rPr>
        <w:t xml:space="preserve"> </w:t>
      </w:r>
      <w:r>
        <w:rPr>
          <w:color w:val="231F20"/>
        </w:rPr>
        <w:t>E;</w:t>
      </w:r>
      <w:r>
        <w:rPr>
          <w:color w:val="231F20"/>
          <w:spacing w:val="-19"/>
        </w:rPr>
        <w:t xml:space="preserve"> </w:t>
      </w:r>
      <w:r>
        <w:rPr>
          <w:color w:val="231F20"/>
        </w:rPr>
        <w:t>Conduct</w:t>
      </w:r>
      <w:r>
        <w:rPr>
          <w:color w:val="231F20"/>
          <w:spacing w:val="-19"/>
        </w:rPr>
        <w:t xml:space="preserve"> </w:t>
      </w:r>
      <w:r>
        <w:rPr>
          <w:color w:val="231F20"/>
        </w:rPr>
        <w:t>periodic</w:t>
      </w:r>
      <w:r>
        <w:rPr>
          <w:color w:val="231F20"/>
          <w:spacing w:val="-19"/>
        </w:rPr>
        <w:t xml:space="preserve"> </w:t>
      </w:r>
      <w:r>
        <w:rPr>
          <w:color w:val="231F20"/>
        </w:rPr>
        <w:t>review</w:t>
      </w:r>
      <w:r>
        <w:rPr>
          <w:color w:val="231F20"/>
          <w:spacing w:val="-19"/>
        </w:rPr>
        <w:t xml:space="preserve"> </w:t>
      </w:r>
      <w:r>
        <w:rPr>
          <w:color w:val="231F20"/>
        </w:rPr>
        <w:t>of</w:t>
      </w:r>
      <w:r>
        <w:rPr>
          <w:color w:val="231F20"/>
          <w:spacing w:val="-19"/>
        </w:rPr>
        <w:t xml:space="preserve"> </w:t>
      </w:r>
      <w:r>
        <w:rPr>
          <w:color w:val="231F20"/>
        </w:rPr>
        <w:t>plan</w:t>
      </w:r>
      <w:r>
        <w:rPr>
          <w:color w:val="231F20"/>
          <w:spacing w:val="-19"/>
        </w:rPr>
        <w:t xml:space="preserve"> </w:t>
      </w:r>
      <w:r>
        <w:rPr>
          <w:color w:val="231F20"/>
        </w:rPr>
        <w:t>activities performance</w:t>
      </w:r>
      <w:r>
        <w:rPr>
          <w:color w:val="231F20"/>
          <w:spacing w:val="-26"/>
        </w:rPr>
        <w:t xml:space="preserve"> </w:t>
      </w:r>
      <w:r>
        <w:rPr>
          <w:color w:val="231F20"/>
        </w:rPr>
        <w:t>in</w:t>
      </w:r>
      <w:r>
        <w:rPr>
          <w:color w:val="231F20"/>
          <w:spacing w:val="-25"/>
        </w:rPr>
        <w:t xml:space="preserve"> </w:t>
      </w:r>
      <w:r>
        <w:rPr>
          <w:color w:val="231F20"/>
        </w:rPr>
        <w:t>the</w:t>
      </w:r>
      <w:r>
        <w:rPr>
          <w:color w:val="231F20"/>
          <w:spacing w:val="-26"/>
        </w:rPr>
        <w:t xml:space="preserve"> </w:t>
      </w:r>
      <w:r>
        <w:rPr>
          <w:color w:val="231F20"/>
        </w:rPr>
        <w:t>State</w:t>
      </w:r>
      <w:r>
        <w:rPr>
          <w:color w:val="231F20"/>
          <w:spacing w:val="-25"/>
        </w:rPr>
        <w:t xml:space="preserve"> </w:t>
      </w:r>
      <w:r>
        <w:rPr>
          <w:color w:val="231F20"/>
        </w:rPr>
        <w:t>&amp;</w:t>
      </w:r>
      <w:r>
        <w:rPr>
          <w:color w:val="231F20"/>
          <w:spacing w:val="-25"/>
        </w:rPr>
        <w:t xml:space="preserve"> </w:t>
      </w:r>
      <w:r>
        <w:rPr>
          <w:color w:val="231F20"/>
        </w:rPr>
        <w:t>the</w:t>
      </w:r>
      <w:r>
        <w:rPr>
          <w:color w:val="231F20"/>
          <w:spacing w:val="-26"/>
        </w:rPr>
        <w:t xml:space="preserve"> </w:t>
      </w:r>
      <w:r>
        <w:rPr>
          <w:color w:val="231F20"/>
        </w:rPr>
        <w:t>23</w:t>
      </w:r>
      <w:r>
        <w:rPr>
          <w:color w:val="231F20"/>
          <w:spacing w:val="-25"/>
        </w:rPr>
        <w:t xml:space="preserve"> </w:t>
      </w:r>
      <w:r>
        <w:rPr>
          <w:color w:val="231F20"/>
        </w:rPr>
        <w:t>LGAs/Review</w:t>
      </w:r>
      <w:r>
        <w:rPr>
          <w:color w:val="231F20"/>
          <w:spacing w:val="-25"/>
        </w:rPr>
        <w:t xml:space="preserve"> </w:t>
      </w:r>
      <w:r>
        <w:rPr>
          <w:color w:val="231F20"/>
        </w:rPr>
        <w:t>and</w:t>
      </w:r>
      <w:r>
        <w:rPr>
          <w:color w:val="231F20"/>
          <w:spacing w:val="-26"/>
        </w:rPr>
        <w:t xml:space="preserve"> </w:t>
      </w:r>
      <w:r>
        <w:rPr>
          <w:color w:val="231F20"/>
        </w:rPr>
        <w:t>update</w:t>
      </w:r>
      <w:r>
        <w:rPr>
          <w:color w:val="231F20"/>
          <w:spacing w:val="-25"/>
        </w:rPr>
        <w:t xml:space="preserve"> </w:t>
      </w:r>
      <w:r>
        <w:rPr>
          <w:color w:val="231F20"/>
        </w:rPr>
        <w:t>monitoring</w:t>
      </w:r>
      <w:r>
        <w:rPr>
          <w:color w:val="231F20"/>
          <w:spacing w:val="-26"/>
        </w:rPr>
        <w:t xml:space="preserve"> </w:t>
      </w:r>
      <w:r>
        <w:rPr>
          <w:color w:val="231F20"/>
        </w:rPr>
        <w:t>tools</w:t>
      </w:r>
      <w:r>
        <w:rPr>
          <w:color w:val="231F20"/>
          <w:spacing w:val="-25"/>
        </w:rPr>
        <w:t xml:space="preserve"> </w:t>
      </w:r>
      <w:r>
        <w:rPr>
          <w:color w:val="231F20"/>
        </w:rPr>
        <w:t>annually.</w:t>
      </w:r>
    </w:p>
    <w:p w14:paraId="1148E41F" w14:textId="77777777" w:rsidR="009948F1" w:rsidRDefault="009948F1">
      <w:pPr>
        <w:pStyle w:val="BodyText"/>
        <w:spacing w:before="4"/>
        <w:rPr>
          <w:sz w:val="27"/>
        </w:rPr>
      </w:pPr>
    </w:p>
    <w:p w14:paraId="34643B93" w14:textId="22EAAAA3" w:rsidR="009948F1" w:rsidRDefault="00BC0563">
      <w:pPr>
        <w:pStyle w:val="ListParagraph"/>
        <w:numPr>
          <w:ilvl w:val="3"/>
          <w:numId w:val="296"/>
        </w:numPr>
        <w:tabs>
          <w:tab w:val="left" w:pos="870"/>
        </w:tabs>
        <w:spacing w:before="1" w:line="295" w:lineRule="auto"/>
        <w:ind w:left="124" w:right="185" w:firstLine="0"/>
      </w:pPr>
      <w:r>
        <w:rPr>
          <w:color w:val="231F20"/>
        </w:rPr>
        <w:t xml:space="preserve">Disseminate sector performance reports and score cards in compliance with </w:t>
      </w:r>
      <w:proofErr w:type="spellStart"/>
      <w:r>
        <w:rPr>
          <w:color w:val="231F20"/>
        </w:rPr>
        <w:t>NHAct</w:t>
      </w:r>
      <w:proofErr w:type="spellEnd"/>
      <w:r>
        <w:rPr>
          <w:color w:val="231F20"/>
        </w:rPr>
        <w:t xml:space="preserve"> </w:t>
      </w:r>
      <w:r w:rsidR="00DA56D4">
        <w:rPr>
          <w:color w:val="231F20"/>
        </w:rPr>
        <w:t xml:space="preserve">2014 </w:t>
      </w:r>
      <w:r>
        <w:rPr>
          <w:color w:val="231F20"/>
          <w:spacing w:val="-4"/>
        </w:rPr>
        <w:t>and</w:t>
      </w:r>
      <w:r>
        <w:rPr>
          <w:color w:val="231F20"/>
          <w:spacing w:val="53"/>
        </w:rPr>
        <w:t xml:space="preserve"> </w:t>
      </w:r>
      <w:r>
        <w:rPr>
          <w:color w:val="231F20"/>
        </w:rPr>
        <w:t>other channels. Key actions include;</w:t>
      </w:r>
      <w:r w:rsidR="008D6677">
        <w:rPr>
          <w:color w:val="231F20"/>
        </w:rPr>
        <w:t xml:space="preserve"> </w:t>
      </w:r>
      <w:r>
        <w:rPr>
          <w:color w:val="231F20"/>
        </w:rPr>
        <w:t>Annual production and dissemination of sector performance reports</w:t>
      </w:r>
      <w:r>
        <w:rPr>
          <w:color w:val="231F20"/>
          <w:spacing w:val="-25"/>
        </w:rPr>
        <w:t xml:space="preserve"> </w:t>
      </w:r>
      <w:r>
        <w:rPr>
          <w:color w:val="231F20"/>
        </w:rPr>
        <w:t>and</w:t>
      </w:r>
      <w:r>
        <w:rPr>
          <w:color w:val="231F20"/>
          <w:spacing w:val="-25"/>
        </w:rPr>
        <w:t xml:space="preserve"> </w:t>
      </w:r>
      <w:r>
        <w:rPr>
          <w:color w:val="231F20"/>
        </w:rPr>
        <w:t>score</w:t>
      </w:r>
      <w:r>
        <w:rPr>
          <w:color w:val="231F20"/>
          <w:spacing w:val="-25"/>
        </w:rPr>
        <w:t xml:space="preserve"> </w:t>
      </w:r>
      <w:r>
        <w:rPr>
          <w:color w:val="231F20"/>
        </w:rPr>
        <w:t>cards.</w:t>
      </w:r>
    </w:p>
    <w:p w14:paraId="044E46BB" w14:textId="77777777" w:rsidR="009948F1" w:rsidRDefault="009948F1">
      <w:pPr>
        <w:pStyle w:val="BodyText"/>
        <w:spacing w:before="7"/>
        <w:rPr>
          <w:sz w:val="26"/>
        </w:rPr>
      </w:pPr>
    </w:p>
    <w:p w14:paraId="49FC1C9F" w14:textId="5DC26CA9" w:rsidR="009948F1" w:rsidRDefault="00BC0563">
      <w:pPr>
        <w:pStyle w:val="ListParagraph"/>
        <w:numPr>
          <w:ilvl w:val="3"/>
          <w:numId w:val="296"/>
        </w:numPr>
        <w:tabs>
          <w:tab w:val="left" w:pos="944"/>
        </w:tabs>
        <w:spacing w:line="295" w:lineRule="auto"/>
        <w:ind w:left="124" w:right="185" w:firstLine="0"/>
      </w:pPr>
      <w:r>
        <w:rPr>
          <w:color w:val="231F20"/>
        </w:rPr>
        <w:t xml:space="preserve">Design and institutionalize an incentivization and reward system for the </w:t>
      </w:r>
      <w:r>
        <w:rPr>
          <w:color w:val="231F20"/>
          <w:spacing w:val="-3"/>
        </w:rPr>
        <w:t xml:space="preserve">efficient </w:t>
      </w:r>
      <w:r>
        <w:rPr>
          <w:color w:val="231F20"/>
        </w:rPr>
        <w:t>performance</w:t>
      </w:r>
      <w:r>
        <w:rPr>
          <w:color w:val="231F20"/>
          <w:spacing w:val="-24"/>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health</w:t>
      </w:r>
      <w:r>
        <w:rPr>
          <w:color w:val="231F20"/>
          <w:spacing w:val="-23"/>
        </w:rPr>
        <w:t xml:space="preserve"> </w:t>
      </w:r>
      <w:r>
        <w:rPr>
          <w:color w:val="231F20"/>
        </w:rPr>
        <w:t>sector</w:t>
      </w:r>
      <w:r>
        <w:rPr>
          <w:color w:val="231F20"/>
          <w:spacing w:val="-23"/>
        </w:rPr>
        <w:t xml:space="preserve"> </w:t>
      </w:r>
      <w:r>
        <w:rPr>
          <w:color w:val="231F20"/>
        </w:rPr>
        <w:t>at</w:t>
      </w:r>
      <w:r>
        <w:rPr>
          <w:color w:val="231F20"/>
          <w:spacing w:val="-23"/>
        </w:rPr>
        <w:t xml:space="preserve"> </w:t>
      </w:r>
      <w:r>
        <w:rPr>
          <w:color w:val="231F20"/>
        </w:rPr>
        <w:t>all</w:t>
      </w:r>
      <w:r>
        <w:rPr>
          <w:color w:val="231F20"/>
          <w:spacing w:val="-23"/>
        </w:rPr>
        <w:t xml:space="preserve"> </w:t>
      </w:r>
      <w:r>
        <w:rPr>
          <w:color w:val="231F20"/>
        </w:rPr>
        <w:t>levels.</w:t>
      </w:r>
      <w:r>
        <w:rPr>
          <w:color w:val="231F20"/>
          <w:spacing w:val="-23"/>
        </w:rPr>
        <w:t xml:space="preserve"> </w:t>
      </w:r>
      <w:r>
        <w:rPr>
          <w:color w:val="231F20"/>
        </w:rPr>
        <w:t>Key</w:t>
      </w:r>
      <w:r>
        <w:rPr>
          <w:color w:val="231F20"/>
          <w:spacing w:val="-23"/>
        </w:rPr>
        <w:t xml:space="preserve"> </w:t>
      </w:r>
      <w:r>
        <w:rPr>
          <w:color w:val="231F20"/>
        </w:rPr>
        <w:t>actions</w:t>
      </w:r>
      <w:r>
        <w:rPr>
          <w:color w:val="231F20"/>
          <w:spacing w:val="-23"/>
        </w:rPr>
        <w:t xml:space="preserve"> </w:t>
      </w:r>
      <w:r>
        <w:rPr>
          <w:color w:val="231F20"/>
        </w:rPr>
        <w:t>include;</w:t>
      </w:r>
      <w:r w:rsidR="00CF6942">
        <w:rPr>
          <w:color w:val="231F20"/>
        </w:rPr>
        <w:t xml:space="preserve"> </w:t>
      </w:r>
      <w:r>
        <w:rPr>
          <w:color w:val="231F20"/>
        </w:rPr>
        <w:t>Institute</w:t>
      </w:r>
      <w:r>
        <w:rPr>
          <w:color w:val="231F20"/>
          <w:spacing w:val="-24"/>
        </w:rPr>
        <w:t xml:space="preserve"> </w:t>
      </w:r>
      <w:r>
        <w:rPr>
          <w:color w:val="231F20"/>
        </w:rPr>
        <w:t>annual</w:t>
      </w:r>
      <w:r>
        <w:rPr>
          <w:color w:val="231F20"/>
          <w:spacing w:val="-23"/>
        </w:rPr>
        <w:t xml:space="preserve"> </w:t>
      </w:r>
      <w:r>
        <w:rPr>
          <w:color w:val="231F20"/>
        </w:rPr>
        <w:t>incentives/reward for</w:t>
      </w:r>
      <w:r>
        <w:rPr>
          <w:color w:val="231F20"/>
          <w:spacing w:val="-25"/>
        </w:rPr>
        <w:t xml:space="preserve"> </w:t>
      </w:r>
      <w:r>
        <w:rPr>
          <w:color w:val="231F20"/>
        </w:rPr>
        <w:t>the</w:t>
      </w:r>
      <w:r>
        <w:rPr>
          <w:color w:val="231F20"/>
          <w:spacing w:val="-25"/>
        </w:rPr>
        <w:t xml:space="preserve"> </w:t>
      </w:r>
      <w:r>
        <w:rPr>
          <w:color w:val="231F20"/>
        </w:rPr>
        <w:t>best</w:t>
      </w:r>
      <w:r>
        <w:rPr>
          <w:color w:val="231F20"/>
          <w:spacing w:val="-25"/>
        </w:rPr>
        <w:t xml:space="preserve"> </w:t>
      </w:r>
      <w:r>
        <w:rPr>
          <w:color w:val="231F20"/>
        </w:rPr>
        <w:t>performance</w:t>
      </w:r>
      <w:r>
        <w:rPr>
          <w:color w:val="231F20"/>
          <w:spacing w:val="-25"/>
        </w:rPr>
        <w:t xml:space="preserve"> </w:t>
      </w:r>
      <w:r>
        <w:rPr>
          <w:color w:val="231F20"/>
        </w:rPr>
        <w:t>at</w:t>
      </w:r>
      <w:r>
        <w:rPr>
          <w:color w:val="231F20"/>
          <w:spacing w:val="-25"/>
        </w:rPr>
        <w:t xml:space="preserve"> </w:t>
      </w:r>
      <w:r>
        <w:rPr>
          <w:color w:val="231F20"/>
        </w:rPr>
        <w:t>LGAs</w:t>
      </w:r>
      <w:r>
        <w:rPr>
          <w:color w:val="231F20"/>
          <w:spacing w:val="-26"/>
        </w:rPr>
        <w:t xml:space="preserve"> </w:t>
      </w:r>
      <w:r>
        <w:rPr>
          <w:color w:val="231F20"/>
        </w:rPr>
        <w:t>and</w:t>
      </w:r>
      <w:r>
        <w:rPr>
          <w:color w:val="231F20"/>
          <w:spacing w:val="-25"/>
        </w:rPr>
        <w:t xml:space="preserve"> </w:t>
      </w:r>
      <w:r>
        <w:rPr>
          <w:color w:val="231F20"/>
        </w:rPr>
        <w:t>GHs.</w:t>
      </w:r>
    </w:p>
    <w:p w14:paraId="67E2CB70" w14:textId="77777777" w:rsidR="009948F1" w:rsidRDefault="009948F1">
      <w:pPr>
        <w:pStyle w:val="BodyText"/>
        <w:spacing w:before="7"/>
        <w:rPr>
          <w:sz w:val="26"/>
        </w:rPr>
      </w:pPr>
    </w:p>
    <w:p w14:paraId="02A37310" w14:textId="77777777" w:rsidR="009948F1" w:rsidRDefault="00BC0563">
      <w:pPr>
        <w:pStyle w:val="Heading7"/>
        <w:numPr>
          <w:ilvl w:val="2"/>
          <w:numId w:val="296"/>
        </w:numPr>
        <w:tabs>
          <w:tab w:val="left" w:pos="651"/>
        </w:tabs>
        <w:spacing w:line="295" w:lineRule="auto"/>
        <w:ind w:left="124" w:right="2256" w:firstLine="0"/>
        <w:jc w:val="both"/>
      </w:pPr>
      <w:r>
        <w:rPr>
          <w:color w:val="231F20"/>
        </w:rPr>
        <w:t>Strengthen</w:t>
      </w:r>
      <w:r>
        <w:rPr>
          <w:color w:val="231F20"/>
          <w:spacing w:val="-25"/>
        </w:rPr>
        <w:t xml:space="preserve"> </w:t>
      </w:r>
      <w:r>
        <w:rPr>
          <w:color w:val="231F20"/>
        </w:rPr>
        <w:t>coordination,</w:t>
      </w:r>
      <w:r>
        <w:rPr>
          <w:color w:val="231F20"/>
          <w:spacing w:val="-24"/>
        </w:rPr>
        <w:t xml:space="preserve"> </w:t>
      </w:r>
      <w:r>
        <w:rPr>
          <w:color w:val="231F20"/>
        </w:rPr>
        <w:t>harmonization</w:t>
      </w:r>
      <w:r>
        <w:rPr>
          <w:color w:val="231F20"/>
          <w:spacing w:val="-24"/>
        </w:rPr>
        <w:t xml:space="preserve"> </w:t>
      </w:r>
      <w:r>
        <w:rPr>
          <w:color w:val="231F20"/>
        </w:rPr>
        <w:t>and</w:t>
      </w:r>
      <w:r>
        <w:rPr>
          <w:color w:val="231F20"/>
          <w:spacing w:val="-25"/>
        </w:rPr>
        <w:t xml:space="preserve"> </w:t>
      </w:r>
      <w:r>
        <w:rPr>
          <w:color w:val="231F20"/>
        </w:rPr>
        <w:t>alignment</w:t>
      </w:r>
      <w:r>
        <w:rPr>
          <w:color w:val="231F20"/>
          <w:spacing w:val="-24"/>
        </w:rPr>
        <w:t xml:space="preserve"> </w:t>
      </w:r>
      <w:r>
        <w:rPr>
          <w:color w:val="231F20"/>
        </w:rPr>
        <w:t>at</w:t>
      </w:r>
      <w:r>
        <w:rPr>
          <w:color w:val="231F20"/>
          <w:spacing w:val="-24"/>
        </w:rPr>
        <w:t xml:space="preserve"> </w:t>
      </w:r>
      <w:r>
        <w:rPr>
          <w:color w:val="231F20"/>
        </w:rPr>
        <w:t>all</w:t>
      </w:r>
      <w:r>
        <w:rPr>
          <w:color w:val="231F20"/>
          <w:spacing w:val="-24"/>
        </w:rPr>
        <w:t xml:space="preserve"> </w:t>
      </w:r>
      <w:r>
        <w:rPr>
          <w:color w:val="231F20"/>
          <w:spacing w:val="-3"/>
        </w:rPr>
        <w:t xml:space="preserve">levels </w:t>
      </w:r>
      <w:r>
        <w:rPr>
          <w:color w:val="231F20"/>
        </w:rPr>
        <w:t>Interventions</w:t>
      </w:r>
    </w:p>
    <w:p w14:paraId="5381EB74" w14:textId="7B9B2128" w:rsidR="009948F1" w:rsidRDefault="00BC0563">
      <w:pPr>
        <w:pStyle w:val="ListParagraph"/>
        <w:numPr>
          <w:ilvl w:val="3"/>
          <w:numId w:val="296"/>
        </w:numPr>
        <w:tabs>
          <w:tab w:val="left" w:pos="936"/>
        </w:tabs>
        <w:spacing w:line="295" w:lineRule="auto"/>
        <w:ind w:left="124" w:right="185" w:firstLine="0"/>
      </w:pPr>
      <w:r>
        <w:rPr>
          <w:color w:val="231F20"/>
        </w:rPr>
        <w:t>Strengthen governance structures, rules and processes at all levels. Key actions include;</w:t>
      </w:r>
      <w:r w:rsidR="00CF6942">
        <w:rPr>
          <w:color w:val="231F20"/>
        </w:rPr>
        <w:t xml:space="preserve"> </w:t>
      </w:r>
      <w:r>
        <w:rPr>
          <w:color w:val="231F20"/>
        </w:rPr>
        <w:t>Coordinate</w:t>
      </w:r>
      <w:r>
        <w:rPr>
          <w:color w:val="231F20"/>
          <w:spacing w:val="-16"/>
        </w:rPr>
        <w:t xml:space="preserve"> </w:t>
      </w:r>
      <w:r>
        <w:rPr>
          <w:color w:val="231F20"/>
        </w:rPr>
        <w:t>activities</w:t>
      </w:r>
      <w:r>
        <w:rPr>
          <w:color w:val="231F20"/>
          <w:spacing w:val="-16"/>
        </w:rPr>
        <w:t xml:space="preserve"> </w:t>
      </w:r>
      <w:r>
        <w:rPr>
          <w:color w:val="231F20"/>
        </w:rPr>
        <w:t>of</w:t>
      </w:r>
      <w:r>
        <w:rPr>
          <w:color w:val="231F20"/>
          <w:spacing w:val="-16"/>
        </w:rPr>
        <w:t xml:space="preserve"> </w:t>
      </w:r>
      <w:r>
        <w:rPr>
          <w:color w:val="231F20"/>
        </w:rPr>
        <w:t>State</w:t>
      </w:r>
      <w:r>
        <w:rPr>
          <w:color w:val="231F20"/>
          <w:spacing w:val="-16"/>
        </w:rPr>
        <w:t xml:space="preserve"> </w:t>
      </w:r>
      <w:r>
        <w:rPr>
          <w:color w:val="231F20"/>
        </w:rPr>
        <w:t>Primary</w:t>
      </w:r>
      <w:r>
        <w:rPr>
          <w:color w:val="231F20"/>
          <w:spacing w:val="-16"/>
        </w:rPr>
        <w:t xml:space="preserve"> </w:t>
      </w:r>
      <w:r>
        <w:rPr>
          <w:color w:val="231F20"/>
        </w:rPr>
        <w:t>Health</w:t>
      </w:r>
      <w:r>
        <w:rPr>
          <w:color w:val="231F20"/>
          <w:spacing w:val="-16"/>
        </w:rPr>
        <w:t xml:space="preserve"> </w:t>
      </w:r>
      <w:r>
        <w:rPr>
          <w:color w:val="231F20"/>
        </w:rPr>
        <w:t>Care</w:t>
      </w:r>
      <w:r>
        <w:rPr>
          <w:color w:val="231F20"/>
          <w:spacing w:val="-16"/>
        </w:rPr>
        <w:t xml:space="preserve"> </w:t>
      </w:r>
      <w:r>
        <w:rPr>
          <w:color w:val="231F20"/>
        </w:rPr>
        <w:t>Management</w:t>
      </w:r>
      <w:r>
        <w:rPr>
          <w:color w:val="231F20"/>
          <w:spacing w:val="-15"/>
        </w:rPr>
        <w:t xml:space="preserve"> </w:t>
      </w:r>
      <w:r>
        <w:rPr>
          <w:color w:val="231F20"/>
        </w:rPr>
        <w:t>Board</w:t>
      </w:r>
      <w:r>
        <w:rPr>
          <w:color w:val="231F20"/>
          <w:spacing w:val="-16"/>
        </w:rPr>
        <w:t xml:space="preserve"> </w:t>
      </w:r>
      <w:r>
        <w:rPr>
          <w:color w:val="231F20"/>
        </w:rPr>
        <w:t>and</w:t>
      </w:r>
      <w:r>
        <w:rPr>
          <w:color w:val="231F20"/>
          <w:spacing w:val="-16"/>
        </w:rPr>
        <w:t xml:space="preserve"> </w:t>
      </w:r>
      <w:r>
        <w:rPr>
          <w:color w:val="231F20"/>
        </w:rPr>
        <w:t>other</w:t>
      </w:r>
      <w:r>
        <w:rPr>
          <w:color w:val="231F20"/>
          <w:spacing w:val="-17"/>
        </w:rPr>
        <w:t xml:space="preserve"> </w:t>
      </w:r>
      <w:r>
        <w:rPr>
          <w:color w:val="231F20"/>
        </w:rPr>
        <w:t>organs</w:t>
      </w:r>
      <w:r>
        <w:rPr>
          <w:color w:val="231F20"/>
          <w:spacing w:val="-16"/>
        </w:rPr>
        <w:t xml:space="preserve"> </w:t>
      </w:r>
      <w:r>
        <w:rPr>
          <w:color w:val="231F20"/>
        </w:rPr>
        <w:t>of health in the State by the SMOH;</w:t>
      </w:r>
      <w:r w:rsidR="00DA56D4">
        <w:rPr>
          <w:color w:val="231F20"/>
        </w:rPr>
        <w:t xml:space="preserve"> </w:t>
      </w:r>
      <w:r>
        <w:rPr>
          <w:color w:val="231F20"/>
        </w:rPr>
        <w:t>Fund coordinating meetings of Boards and relevant bodies of MDAs;</w:t>
      </w:r>
      <w:r w:rsidR="00DA56D4">
        <w:rPr>
          <w:color w:val="231F20"/>
        </w:rPr>
        <w:t xml:space="preserve"> </w:t>
      </w:r>
      <w:r>
        <w:rPr>
          <w:color w:val="231F20"/>
        </w:rPr>
        <w:t xml:space="preserve">Establish/strengthening functional coordinating structures for professional bodies- government interface, development partners, intersectoral collaboration </w:t>
      </w:r>
      <w:proofErr w:type="spellStart"/>
      <w:r>
        <w:rPr>
          <w:color w:val="231F20"/>
        </w:rPr>
        <w:t>etc</w:t>
      </w:r>
      <w:proofErr w:type="spellEnd"/>
      <w:r>
        <w:rPr>
          <w:color w:val="231F20"/>
        </w:rPr>
        <w:t>; Review/Formulate and</w:t>
      </w:r>
      <w:r>
        <w:rPr>
          <w:color w:val="231F20"/>
          <w:spacing w:val="-26"/>
        </w:rPr>
        <w:t xml:space="preserve"> </w:t>
      </w:r>
      <w:r>
        <w:rPr>
          <w:color w:val="231F20"/>
        </w:rPr>
        <w:t>implement</w:t>
      </w:r>
      <w:r>
        <w:rPr>
          <w:color w:val="231F20"/>
          <w:spacing w:val="-25"/>
        </w:rPr>
        <w:t xml:space="preserve"> </w:t>
      </w:r>
      <w:r>
        <w:rPr>
          <w:color w:val="231F20"/>
        </w:rPr>
        <w:t>policies</w:t>
      </w:r>
      <w:r>
        <w:rPr>
          <w:color w:val="231F20"/>
          <w:spacing w:val="-25"/>
        </w:rPr>
        <w:t xml:space="preserve"> </w:t>
      </w:r>
      <w:r>
        <w:rPr>
          <w:color w:val="231F20"/>
        </w:rPr>
        <w:t>and</w:t>
      </w:r>
      <w:r>
        <w:rPr>
          <w:color w:val="231F20"/>
          <w:spacing w:val="-25"/>
        </w:rPr>
        <w:t xml:space="preserve"> </w:t>
      </w:r>
      <w:r>
        <w:rPr>
          <w:color w:val="231F20"/>
        </w:rPr>
        <w:t>guidelines</w:t>
      </w:r>
      <w:r>
        <w:rPr>
          <w:color w:val="231F20"/>
          <w:spacing w:val="-25"/>
        </w:rPr>
        <w:t xml:space="preserve"> </w:t>
      </w:r>
      <w:r>
        <w:rPr>
          <w:color w:val="231F20"/>
        </w:rPr>
        <w:t>to</w:t>
      </w:r>
      <w:r>
        <w:rPr>
          <w:color w:val="231F20"/>
          <w:spacing w:val="-25"/>
        </w:rPr>
        <w:t xml:space="preserve"> </w:t>
      </w:r>
      <w:r>
        <w:rPr>
          <w:color w:val="231F20"/>
        </w:rPr>
        <w:t>regulate</w:t>
      </w:r>
      <w:r>
        <w:rPr>
          <w:color w:val="231F20"/>
          <w:spacing w:val="-25"/>
        </w:rPr>
        <w:t xml:space="preserve"> </w:t>
      </w:r>
      <w:r>
        <w:rPr>
          <w:color w:val="231F20"/>
        </w:rPr>
        <w:t>private</w:t>
      </w:r>
      <w:r>
        <w:rPr>
          <w:color w:val="231F20"/>
          <w:spacing w:val="-25"/>
        </w:rPr>
        <w:t xml:space="preserve"> </w:t>
      </w:r>
      <w:r>
        <w:rPr>
          <w:color w:val="231F20"/>
        </w:rPr>
        <w:t>Health</w:t>
      </w:r>
      <w:r>
        <w:rPr>
          <w:color w:val="231F20"/>
          <w:spacing w:val="-25"/>
        </w:rPr>
        <w:t xml:space="preserve"> </w:t>
      </w:r>
      <w:r>
        <w:rPr>
          <w:color w:val="231F20"/>
        </w:rPr>
        <w:t>practice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3A32954A" w14:textId="77777777" w:rsidR="009948F1" w:rsidRDefault="009948F1">
      <w:pPr>
        <w:pStyle w:val="BodyText"/>
        <w:spacing w:before="1"/>
        <w:rPr>
          <w:sz w:val="26"/>
        </w:rPr>
      </w:pPr>
    </w:p>
    <w:p w14:paraId="419601B0" w14:textId="0953FCA3" w:rsidR="009948F1" w:rsidRDefault="00BC0563">
      <w:pPr>
        <w:pStyle w:val="ListParagraph"/>
        <w:numPr>
          <w:ilvl w:val="3"/>
          <w:numId w:val="296"/>
        </w:numPr>
        <w:tabs>
          <w:tab w:val="left" w:pos="949"/>
        </w:tabs>
        <w:spacing w:line="295" w:lineRule="auto"/>
        <w:ind w:left="123" w:right="186" w:firstLine="0"/>
      </w:pPr>
      <w:r>
        <w:rPr>
          <w:color w:val="231F20"/>
        </w:rPr>
        <w:t xml:space="preserve">Strengthen development and review of sectorial polices and plans. Key </w:t>
      </w:r>
      <w:r>
        <w:rPr>
          <w:color w:val="231F20"/>
          <w:spacing w:val="-3"/>
        </w:rPr>
        <w:t xml:space="preserve">actions </w:t>
      </w:r>
      <w:r>
        <w:rPr>
          <w:color w:val="231F20"/>
        </w:rPr>
        <w:t>include;</w:t>
      </w:r>
      <w:r w:rsidR="00DA56D4">
        <w:rPr>
          <w:color w:val="231F20"/>
        </w:rPr>
        <w:t xml:space="preserve"> </w:t>
      </w:r>
      <w:r>
        <w:rPr>
          <w:color w:val="231F20"/>
        </w:rPr>
        <w:t>Build</w:t>
      </w:r>
      <w:r>
        <w:rPr>
          <w:color w:val="231F20"/>
          <w:spacing w:val="-26"/>
        </w:rPr>
        <w:t xml:space="preserve"> </w:t>
      </w:r>
      <w:r>
        <w:rPr>
          <w:color w:val="231F20"/>
        </w:rPr>
        <w:t>capacity</w:t>
      </w:r>
      <w:r>
        <w:rPr>
          <w:color w:val="231F20"/>
          <w:spacing w:val="-25"/>
        </w:rPr>
        <w:t xml:space="preserve"> </w:t>
      </w:r>
      <w:r>
        <w:rPr>
          <w:color w:val="231F20"/>
        </w:rPr>
        <w:t>of</w:t>
      </w:r>
      <w:r>
        <w:rPr>
          <w:color w:val="231F20"/>
          <w:spacing w:val="-25"/>
        </w:rPr>
        <w:t xml:space="preserve"> </w:t>
      </w:r>
      <w:r>
        <w:rPr>
          <w:color w:val="231F20"/>
        </w:rPr>
        <w:t>DPRS</w:t>
      </w:r>
      <w:r>
        <w:rPr>
          <w:color w:val="231F20"/>
          <w:spacing w:val="-25"/>
        </w:rPr>
        <w:t xml:space="preserve"> </w:t>
      </w:r>
      <w:r>
        <w:rPr>
          <w:color w:val="231F20"/>
        </w:rPr>
        <w:t>of</w:t>
      </w:r>
      <w:r>
        <w:rPr>
          <w:color w:val="231F20"/>
          <w:spacing w:val="-25"/>
        </w:rPr>
        <w:t xml:space="preserve"> </w:t>
      </w:r>
      <w:proofErr w:type="spellStart"/>
      <w:r>
        <w:rPr>
          <w:color w:val="231F20"/>
        </w:rPr>
        <w:t>SMoH</w:t>
      </w:r>
      <w:proofErr w:type="spellEnd"/>
      <w:r>
        <w:rPr>
          <w:color w:val="231F20"/>
          <w:spacing w:val="-25"/>
        </w:rPr>
        <w:t xml:space="preserve"> </w:t>
      </w:r>
      <w:r>
        <w:rPr>
          <w:color w:val="231F20"/>
        </w:rPr>
        <w:t>for</w:t>
      </w:r>
      <w:r>
        <w:rPr>
          <w:color w:val="231F20"/>
          <w:spacing w:val="-25"/>
        </w:rPr>
        <w:t xml:space="preserve"> </w:t>
      </w:r>
      <w:r>
        <w:rPr>
          <w:color w:val="231F20"/>
        </w:rPr>
        <w:t>policy</w:t>
      </w:r>
      <w:r>
        <w:rPr>
          <w:color w:val="231F20"/>
          <w:spacing w:val="-25"/>
        </w:rPr>
        <w:t xml:space="preserve"> </w:t>
      </w:r>
      <w:r>
        <w:rPr>
          <w:color w:val="231F20"/>
        </w:rPr>
        <w:t>analysis</w:t>
      </w:r>
      <w:r>
        <w:rPr>
          <w:color w:val="231F20"/>
          <w:spacing w:val="-25"/>
        </w:rPr>
        <w:t xml:space="preserve"> </w:t>
      </w:r>
      <w:r>
        <w:rPr>
          <w:color w:val="231F20"/>
        </w:rPr>
        <w:t>and</w:t>
      </w:r>
      <w:r>
        <w:rPr>
          <w:color w:val="231F20"/>
          <w:spacing w:val="-25"/>
        </w:rPr>
        <w:t xml:space="preserve"> </w:t>
      </w:r>
      <w:r>
        <w:rPr>
          <w:color w:val="231F20"/>
        </w:rPr>
        <w:t>briefs.</w:t>
      </w:r>
    </w:p>
    <w:p w14:paraId="32CB938E" w14:textId="77777777" w:rsidR="009948F1" w:rsidRDefault="009948F1">
      <w:pPr>
        <w:pStyle w:val="BodyText"/>
        <w:spacing w:before="8"/>
        <w:rPr>
          <w:sz w:val="26"/>
        </w:rPr>
      </w:pPr>
    </w:p>
    <w:p w14:paraId="46E88787" w14:textId="5D6C9B52" w:rsidR="009948F1" w:rsidRDefault="00BC0563">
      <w:pPr>
        <w:pStyle w:val="ListParagraph"/>
        <w:numPr>
          <w:ilvl w:val="3"/>
          <w:numId w:val="296"/>
        </w:numPr>
        <w:tabs>
          <w:tab w:val="left" w:pos="846"/>
        </w:tabs>
        <w:spacing w:line="295" w:lineRule="auto"/>
        <w:ind w:left="123" w:right="186" w:firstLine="0"/>
      </w:pPr>
      <w:r>
        <w:rPr>
          <w:color w:val="231F20"/>
        </w:rPr>
        <w:t>Strengthen</w:t>
      </w:r>
      <w:r>
        <w:rPr>
          <w:color w:val="231F20"/>
          <w:spacing w:val="-13"/>
        </w:rPr>
        <w:t xml:space="preserve"> </w:t>
      </w:r>
      <w:r>
        <w:rPr>
          <w:color w:val="231F20"/>
        </w:rPr>
        <w:t>inter-sectorial</w:t>
      </w:r>
      <w:r>
        <w:rPr>
          <w:color w:val="231F20"/>
          <w:spacing w:val="-12"/>
        </w:rPr>
        <w:t xml:space="preserve"> </w:t>
      </w:r>
      <w:r>
        <w:rPr>
          <w:color w:val="231F20"/>
        </w:rPr>
        <w:t>collaboration</w:t>
      </w:r>
      <w:r>
        <w:rPr>
          <w:color w:val="231F20"/>
          <w:spacing w:val="-12"/>
        </w:rPr>
        <w:t xml:space="preserve"> </w:t>
      </w:r>
      <w:r>
        <w:rPr>
          <w:color w:val="231F20"/>
        </w:rPr>
        <w:t>at</w:t>
      </w:r>
      <w:r>
        <w:rPr>
          <w:color w:val="231F20"/>
          <w:spacing w:val="-13"/>
        </w:rPr>
        <w:t xml:space="preserve"> </w:t>
      </w:r>
      <w:r>
        <w:rPr>
          <w:color w:val="231F20"/>
        </w:rPr>
        <w:t>all</w:t>
      </w:r>
      <w:r>
        <w:rPr>
          <w:color w:val="231F20"/>
          <w:spacing w:val="-13"/>
        </w:rPr>
        <w:t xml:space="preserve"> </w:t>
      </w:r>
      <w:r>
        <w:rPr>
          <w:color w:val="231F20"/>
        </w:rPr>
        <w:t>levels.</w:t>
      </w:r>
      <w:r>
        <w:rPr>
          <w:color w:val="231F20"/>
          <w:spacing w:val="-13"/>
        </w:rPr>
        <w:t xml:space="preserve"> </w:t>
      </w:r>
      <w:r>
        <w:rPr>
          <w:color w:val="231F20"/>
        </w:rPr>
        <w:t>Key</w:t>
      </w:r>
      <w:r>
        <w:rPr>
          <w:color w:val="231F20"/>
          <w:spacing w:val="-13"/>
        </w:rPr>
        <w:t xml:space="preserve"> </w:t>
      </w:r>
      <w:r>
        <w:rPr>
          <w:color w:val="231F20"/>
        </w:rPr>
        <w:t>actions</w:t>
      </w:r>
      <w:r>
        <w:rPr>
          <w:color w:val="231F20"/>
          <w:spacing w:val="-14"/>
        </w:rPr>
        <w:t xml:space="preserve"> </w:t>
      </w:r>
      <w:r>
        <w:rPr>
          <w:color w:val="231F20"/>
        </w:rPr>
        <w:t>include;</w:t>
      </w:r>
      <w:r w:rsidR="00CF6942">
        <w:rPr>
          <w:color w:val="231F20"/>
        </w:rPr>
        <w:t xml:space="preserve"> </w:t>
      </w:r>
      <w:r>
        <w:rPr>
          <w:color w:val="231F20"/>
        </w:rPr>
        <w:t>create</w:t>
      </w:r>
      <w:r>
        <w:rPr>
          <w:color w:val="231F20"/>
          <w:spacing w:val="-12"/>
        </w:rPr>
        <w:t xml:space="preserve"> </w:t>
      </w:r>
      <w:r>
        <w:rPr>
          <w:color w:val="231F20"/>
        </w:rPr>
        <w:t>a</w:t>
      </w:r>
      <w:r>
        <w:rPr>
          <w:color w:val="231F20"/>
          <w:spacing w:val="-13"/>
        </w:rPr>
        <w:t xml:space="preserve"> </w:t>
      </w:r>
      <w:r>
        <w:rPr>
          <w:color w:val="231F20"/>
        </w:rPr>
        <w:t>functional platform</w:t>
      </w:r>
      <w:r>
        <w:rPr>
          <w:color w:val="231F20"/>
          <w:spacing w:val="-25"/>
        </w:rPr>
        <w:t xml:space="preserve"> </w:t>
      </w:r>
      <w:r>
        <w:rPr>
          <w:color w:val="231F20"/>
        </w:rPr>
        <w:t>for</w:t>
      </w:r>
      <w:r>
        <w:rPr>
          <w:color w:val="231F20"/>
          <w:spacing w:val="-24"/>
        </w:rPr>
        <w:t xml:space="preserve"> </w:t>
      </w:r>
      <w:r>
        <w:rPr>
          <w:color w:val="231F20"/>
        </w:rPr>
        <w:t>engagement</w:t>
      </w:r>
      <w:r>
        <w:rPr>
          <w:color w:val="231F20"/>
          <w:spacing w:val="-24"/>
        </w:rPr>
        <w:t xml:space="preserve"> </w:t>
      </w:r>
      <w:r>
        <w:rPr>
          <w:color w:val="231F20"/>
        </w:rPr>
        <w:t>of</w:t>
      </w:r>
      <w:r>
        <w:rPr>
          <w:color w:val="231F20"/>
          <w:spacing w:val="-24"/>
        </w:rPr>
        <w:t xml:space="preserve"> </w:t>
      </w:r>
      <w:r>
        <w:rPr>
          <w:color w:val="231F20"/>
        </w:rPr>
        <w:t>other</w:t>
      </w:r>
      <w:r>
        <w:rPr>
          <w:color w:val="231F20"/>
          <w:spacing w:val="-24"/>
        </w:rPr>
        <w:t xml:space="preserve"> </w:t>
      </w:r>
      <w:r>
        <w:rPr>
          <w:color w:val="231F20"/>
        </w:rPr>
        <w:t>sectors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social</w:t>
      </w:r>
      <w:r>
        <w:rPr>
          <w:color w:val="231F20"/>
          <w:spacing w:val="-24"/>
        </w:rPr>
        <w:t xml:space="preserve"> </w:t>
      </w:r>
      <w:r>
        <w:rPr>
          <w:color w:val="231F20"/>
        </w:rPr>
        <w:t>determinants</w:t>
      </w:r>
      <w:r>
        <w:rPr>
          <w:color w:val="231F20"/>
          <w:spacing w:val="-24"/>
        </w:rPr>
        <w:t xml:space="preserve"> </w:t>
      </w:r>
      <w:r>
        <w:rPr>
          <w:color w:val="231F20"/>
        </w:rPr>
        <w:t>of</w:t>
      </w:r>
      <w:r>
        <w:rPr>
          <w:color w:val="231F20"/>
          <w:spacing w:val="-25"/>
        </w:rPr>
        <w:t xml:space="preserve"> </w:t>
      </w:r>
      <w:r>
        <w:rPr>
          <w:color w:val="231F20"/>
        </w:rPr>
        <w:t>health)</w:t>
      </w:r>
      <w:r>
        <w:rPr>
          <w:color w:val="231F20"/>
          <w:spacing w:val="-24"/>
        </w:rPr>
        <w:t xml:space="preserve"> </w:t>
      </w:r>
      <w:r>
        <w:rPr>
          <w:color w:val="231F20"/>
        </w:rPr>
        <w:t>and</w:t>
      </w:r>
      <w:r>
        <w:rPr>
          <w:color w:val="231F20"/>
          <w:spacing w:val="-24"/>
        </w:rPr>
        <w:t xml:space="preserve"> </w:t>
      </w:r>
      <w:r>
        <w:rPr>
          <w:color w:val="231F20"/>
        </w:rPr>
        <w:t xml:space="preserve">stakeholders in the planning of health </w:t>
      </w:r>
      <w:proofErr w:type="spellStart"/>
      <w:r>
        <w:rPr>
          <w:color w:val="231F20"/>
        </w:rPr>
        <w:t>programmes</w:t>
      </w:r>
      <w:proofErr w:type="spellEnd"/>
      <w:r>
        <w:rPr>
          <w:color w:val="231F20"/>
        </w:rPr>
        <w:t xml:space="preserve"> and interventions; Institute quarterly inter departmental meetings</w:t>
      </w:r>
      <w:r>
        <w:rPr>
          <w:color w:val="231F20"/>
          <w:spacing w:val="-25"/>
        </w:rPr>
        <w:t xml:space="preserve"> </w:t>
      </w:r>
      <w:r>
        <w:rPr>
          <w:color w:val="231F20"/>
        </w:rPr>
        <w:t>at</w:t>
      </w:r>
      <w:r>
        <w:rPr>
          <w:color w:val="231F20"/>
          <w:spacing w:val="-25"/>
        </w:rPr>
        <w:t xml:space="preserve"> </w:t>
      </w:r>
      <w:r>
        <w:rPr>
          <w:color w:val="231F20"/>
        </w:rPr>
        <w:t>LGA</w:t>
      </w:r>
      <w:r>
        <w:rPr>
          <w:color w:val="231F20"/>
          <w:spacing w:val="-37"/>
        </w:rPr>
        <w:t xml:space="preserve"> </w:t>
      </w:r>
      <w:r>
        <w:rPr>
          <w:color w:val="231F20"/>
        </w:rPr>
        <w:t>level</w:t>
      </w:r>
      <w:r>
        <w:rPr>
          <w:color w:val="231F20"/>
          <w:spacing w:val="-26"/>
        </w:rPr>
        <w:t xml:space="preserve"> </w:t>
      </w:r>
      <w:r>
        <w:rPr>
          <w:color w:val="231F20"/>
        </w:rPr>
        <w:t>to</w:t>
      </w:r>
      <w:r>
        <w:rPr>
          <w:color w:val="231F20"/>
          <w:spacing w:val="-25"/>
        </w:rPr>
        <w:t xml:space="preserve"> </w:t>
      </w:r>
      <w:r>
        <w:rPr>
          <w:color w:val="231F20"/>
        </w:rPr>
        <w:t>discuss</w:t>
      </w:r>
      <w:r>
        <w:rPr>
          <w:color w:val="231F20"/>
          <w:spacing w:val="-25"/>
        </w:rPr>
        <w:t xml:space="preserve"> </w:t>
      </w:r>
      <w:r>
        <w:rPr>
          <w:color w:val="231F20"/>
        </w:rPr>
        <w:t>health</w:t>
      </w:r>
      <w:r>
        <w:rPr>
          <w:color w:val="231F20"/>
          <w:spacing w:val="-25"/>
        </w:rPr>
        <w:t xml:space="preserve"> </w:t>
      </w:r>
      <w:r>
        <w:rPr>
          <w:color w:val="231F20"/>
        </w:rPr>
        <w:t>issues.</w:t>
      </w:r>
    </w:p>
    <w:p w14:paraId="61A410D2" w14:textId="77777777" w:rsidR="009948F1" w:rsidRDefault="009948F1">
      <w:pPr>
        <w:pStyle w:val="BodyText"/>
        <w:spacing w:before="6"/>
        <w:rPr>
          <w:sz w:val="26"/>
        </w:rPr>
      </w:pPr>
    </w:p>
    <w:p w14:paraId="6E262CC4" w14:textId="52C50D05" w:rsidR="009948F1" w:rsidRDefault="00BC0563">
      <w:pPr>
        <w:pStyle w:val="ListParagraph"/>
        <w:numPr>
          <w:ilvl w:val="3"/>
          <w:numId w:val="296"/>
        </w:numPr>
        <w:tabs>
          <w:tab w:val="left" w:pos="862"/>
        </w:tabs>
        <w:spacing w:line="295" w:lineRule="auto"/>
        <w:ind w:left="123" w:right="186" w:firstLine="0"/>
      </w:pPr>
      <w:r>
        <w:rPr>
          <w:color w:val="231F20"/>
        </w:rPr>
        <w:t xml:space="preserve">Improve partnership with professional groups and other relevant stakeholder for effective service delivery and industrial </w:t>
      </w:r>
      <w:r>
        <w:rPr>
          <w:color w:val="231F20"/>
          <w:spacing w:val="-3"/>
        </w:rPr>
        <w:t xml:space="preserve">harmony. </w:t>
      </w:r>
      <w:r>
        <w:rPr>
          <w:color w:val="231F20"/>
        </w:rPr>
        <w:t>Key actions include;</w:t>
      </w:r>
      <w:r w:rsidR="00DA56D4">
        <w:rPr>
          <w:color w:val="231F20"/>
        </w:rPr>
        <w:t xml:space="preserve"> </w:t>
      </w:r>
      <w:r>
        <w:rPr>
          <w:color w:val="231F20"/>
        </w:rPr>
        <w:t>develop MoU with relevant professional</w:t>
      </w:r>
      <w:r>
        <w:rPr>
          <w:color w:val="231F20"/>
          <w:spacing w:val="-26"/>
        </w:rPr>
        <w:t xml:space="preserve"> </w:t>
      </w:r>
      <w:r>
        <w:rPr>
          <w:color w:val="231F20"/>
        </w:rPr>
        <w:t>bodies</w:t>
      </w:r>
      <w:r>
        <w:rPr>
          <w:color w:val="231F20"/>
          <w:spacing w:val="-25"/>
        </w:rPr>
        <w:t xml:space="preserve"> </w:t>
      </w:r>
      <w:r>
        <w:rPr>
          <w:color w:val="231F20"/>
        </w:rPr>
        <w:t>(e.g.</w:t>
      </w:r>
      <w:r>
        <w:rPr>
          <w:color w:val="231F20"/>
          <w:spacing w:val="-25"/>
        </w:rPr>
        <w:t xml:space="preserve"> </w:t>
      </w:r>
      <w:r>
        <w:rPr>
          <w:color w:val="231F20"/>
        </w:rPr>
        <w:t>SOGON)</w:t>
      </w:r>
      <w:r>
        <w:rPr>
          <w:color w:val="231F20"/>
          <w:spacing w:val="-25"/>
        </w:rPr>
        <w:t xml:space="preserve"> </w:t>
      </w:r>
      <w:r>
        <w:rPr>
          <w:color w:val="231F20"/>
        </w:rPr>
        <w:t>and</w:t>
      </w:r>
      <w:r>
        <w:rPr>
          <w:color w:val="231F20"/>
          <w:spacing w:val="-25"/>
        </w:rPr>
        <w:t xml:space="preserve"> </w:t>
      </w:r>
      <w:r>
        <w:rPr>
          <w:color w:val="231F20"/>
        </w:rPr>
        <w:t>other</w:t>
      </w:r>
      <w:r>
        <w:rPr>
          <w:color w:val="231F20"/>
          <w:spacing w:val="-25"/>
        </w:rPr>
        <w:t xml:space="preserve"> </w:t>
      </w:r>
      <w:r>
        <w:rPr>
          <w:color w:val="231F20"/>
        </w:rPr>
        <w:t>key</w:t>
      </w:r>
      <w:r>
        <w:rPr>
          <w:color w:val="231F20"/>
          <w:spacing w:val="-25"/>
        </w:rPr>
        <w:t xml:space="preserve"> </w:t>
      </w:r>
      <w:r w:rsidR="00FC31BA">
        <w:rPr>
          <w:color w:val="231F20"/>
        </w:rPr>
        <w:t>stakeholders’</w:t>
      </w:r>
      <w:r>
        <w:rPr>
          <w:color w:val="231F20"/>
          <w:spacing w:val="-25"/>
        </w:rPr>
        <w:t xml:space="preserve"> </w:t>
      </w:r>
      <w:proofErr w:type="spellStart"/>
      <w:r>
        <w:rPr>
          <w:color w:val="231F20"/>
        </w:rPr>
        <w:t>e.g</w:t>
      </w:r>
      <w:proofErr w:type="spellEnd"/>
      <w:r>
        <w:rPr>
          <w:color w:val="231F20"/>
          <w:spacing w:val="-25"/>
        </w:rPr>
        <w:t xml:space="preserve"> </w:t>
      </w:r>
      <w:r>
        <w:rPr>
          <w:color w:val="231F20"/>
        </w:rPr>
        <w:t>FBOs,</w:t>
      </w:r>
      <w:r>
        <w:rPr>
          <w:color w:val="231F20"/>
          <w:spacing w:val="-25"/>
        </w:rPr>
        <w:t xml:space="preserve"> </w:t>
      </w:r>
      <w:r>
        <w:rPr>
          <w:color w:val="231F20"/>
        </w:rPr>
        <w:t>to</w:t>
      </w:r>
      <w:r>
        <w:rPr>
          <w:color w:val="231F20"/>
          <w:spacing w:val="-25"/>
        </w:rPr>
        <w:t xml:space="preserve"> </w:t>
      </w:r>
      <w:r>
        <w:rPr>
          <w:color w:val="231F20"/>
        </w:rPr>
        <w:t>promote</w:t>
      </w:r>
      <w:r>
        <w:rPr>
          <w:color w:val="231F20"/>
          <w:spacing w:val="-25"/>
        </w:rPr>
        <w:t xml:space="preserve"> </w:t>
      </w:r>
      <w:r>
        <w:rPr>
          <w:color w:val="231F20"/>
        </w:rPr>
        <w:t>participation</w:t>
      </w:r>
      <w:r>
        <w:rPr>
          <w:color w:val="231F20"/>
          <w:spacing w:val="-25"/>
        </w:rPr>
        <w:t xml:space="preserve"> </w:t>
      </w:r>
      <w:r>
        <w:rPr>
          <w:color w:val="231F20"/>
        </w:rPr>
        <w:t>of the</w:t>
      </w:r>
      <w:r>
        <w:rPr>
          <w:color w:val="231F20"/>
          <w:spacing w:val="-26"/>
        </w:rPr>
        <w:t xml:space="preserve"> </w:t>
      </w:r>
      <w:r>
        <w:rPr>
          <w:color w:val="231F20"/>
        </w:rPr>
        <w:t>professional</w:t>
      </w:r>
      <w:r>
        <w:rPr>
          <w:color w:val="231F20"/>
          <w:spacing w:val="-25"/>
        </w:rPr>
        <w:t xml:space="preserve"> </w:t>
      </w:r>
      <w:r>
        <w:rPr>
          <w:color w:val="231F20"/>
        </w:rPr>
        <w:t>bodies</w:t>
      </w:r>
      <w:r>
        <w:rPr>
          <w:color w:val="231F20"/>
          <w:spacing w:val="-25"/>
        </w:rPr>
        <w:t xml:space="preserve"> </w:t>
      </w:r>
      <w:r>
        <w:rPr>
          <w:color w:val="231F20"/>
        </w:rPr>
        <w:t>to</w:t>
      </w:r>
      <w:r>
        <w:rPr>
          <w:color w:val="231F20"/>
          <w:spacing w:val="-25"/>
        </w:rPr>
        <w:t xml:space="preserve"> </w:t>
      </w:r>
      <w:r>
        <w:rPr>
          <w:color w:val="231F20"/>
        </w:rPr>
        <w:t>enhance</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service</w:t>
      </w:r>
      <w:r>
        <w:rPr>
          <w:color w:val="231F20"/>
          <w:spacing w:val="-25"/>
        </w:rPr>
        <w:t xml:space="preserve"> </w:t>
      </w:r>
      <w:r>
        <w:rPr>
          <w:color w:val="231F20"/>
        </w:rPr>
        <w:t>delivery</w:t>
      </w:r>
      <w:r>
        <w:rPr>
          <w:color w:val="231F20"/>
          <w:spacing w:val="-25"/>
        </w:rPr>
        <w:t xml:space="preserve"> </w:t>
      </w:r>
      <w:r>
        <w:rPr>
          <w:color w:val="231F20"/>
        </w:rPr>
        <w:t>quality</w:t>
      </w:r>
      <w:r>
        <w:rPr>
          <w:color w:val="231F20"/>
          <w:spacing w:val="-25"/>
        </w:rPr>
        <w:t xml:space="preserve"> </w:t>
      </w:r>
      <w:r>
        <w:rPr>
          <w:color w:val="231F20"/>
        </w:rPr>
        <w:t>and</w:t>
      </w:r>
      <w:r>
        <w:rPr>
          <w:color w:val="231F20"/>
          <w:spacing w:val="-25"/>
        </w:rPr>
        <w:t xml:space="preserve"> </w:t>
      </w:r>
      <w:r>
        <w:rPr>
          <w:color w:val="231F20"/>
        </w:rPr>
        <w:t>coverage.</w:t>
      </w:r>
    </w:p>
    <w:p w14:paraId="49904B4C" w14:textId="77777777" w:rsidR="009948F1" w:rsidRDefault="009948F1">
      <w:pPr>
        <w:pStyle w:val="BodyText"/>
        <w:spacing w:before="6"/>
        <w:rPr>
          <w:sz w:val="26"/>
        </w:rPr>
      </w:pPr>
    </w:p>
    <w:p w14:paraId="3FA57242" w14:textId="5232D60B" w:rsidR="009948F1" w:rsidRDefault="00BC0563">
      <w:pPr>
        <w:pStyle w:val="ListParagraph"/>
        <w:numPr>
          <w:ilvl w:val="3"/>
          <w:numId w:val="296"/>
        </w:numPr>
        <w:tabs>
          <w:tab w:val="left" w:pos="947"/>
        </w:tabs>
        <w:spacing w:line="295" w:lineRule="auto"/>
        <w:ind w:left="123" w:right="186" w:firstLine="0"/>
      </w:pPr>
      <w:r>
        <w:rPr>
          <w:color w:val="231F20"/>
        </w:rPr>
        <w:t xml:space="preserve">Strengthen implementation of Health Service Charters at all levels. Key </w:t>
      </w:r>
      <w:r>
        <w:rPr>
          <w:color w:val="231F20"/>
          <w:spacing w:val="-3"/>
        </w:rPr>
        <w:t xml:space="preserve">actions </w:t>
      </w:r>
      <w:r>
        <w:rPr>
          <w:color w:val="231F20"/>
        </w:rPr>
        <w:t>include;</w:t>
      </w:r>
      <w:r w:rsidR="00DA56D4">
        <w:rPr>
          <w:color w:val="231F20"/>
        </w:rPr>
        <w:t xml:space="preserve"> </w:t>
      </w:r>
      <w:r>
        <w:rPr>
          <w:color w:val="231F20"/>
        </w:rPr>
        <w:t>Empower</w:t>
      </w:r>
      <w:r>
        <w:rPr>
          <w:color w:val="231F20"/>
          <w:spacing w:val="-25"/>
        </w:rPr>
        <w:t xml:space="preserve"> </w:t>
      </w:r>
      <w:r>
        <w:rPr>
          <w:color w:val="231F20"/>
        </w:rPr>
        <w:t>health</w:t>
      </w:r>
      <w:r>
        <w:rPr>
          <w:color w:val="231F20"/>
          <w:spacing w:val="-26"/>
        </w:rPr>
        <w:t xml:space="preserve"> </w:t>
      </w:r>
      <w:r>
        <w:rPr>
          <w:color w:val="231F20"/>
        </w:rPr>
        <w:t>service</w:t>
      </w:r>
      <w:r>
        <w:rPr>
          <w:color w:val="231F20"/>
          <w:spacing w:val="-25"/>
        </w:rPr>
        <w:t xml:space="preserve"> </w:t>
      </w:r>
      <w:r>
        <w:rPr>
          <w:color w:val="231F20"/>
        </w:rPr>
        <w:t>charters</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491D2B0A" w14:textId="77777777" w:rsidR="009948F1" w:rsidRDefault="009948F1">
      <w:pPr>
        <w:pStyle w:val="BodyText"/>
        <w:spacing w:before="7"/>
        <w:rPr>
          <w:sz w:val="24"/>
        </w:rPr>
      </w:pPr>
    </w:p>
    <w:p w14:paraId="7F08E908" w14:textId="50899F8E" w:rsidR="009948F1" w:rsidRDefault="00BC0563">
      <w:pPr>
        <w:pStyle w:val="ListParagraph"/>
        <w:numPr>
          <w:ilvl w:val="3"/>
          <w:numId w:val="296"/>
        </w:numPr>
        <w:tabs>
          <w:tab w:val="left" w:pos="858"/>
        </w:tabs>
        <w:spacing w:line="271" w:lineRule="auto"/>
        <w:ind w:left="123" w:right="715" w:firstLine="0"/>
      </w:pPr>
      <w:r>
        <w:rPr>
          <w:color w:val="231F20"/>
        </w:rPr>
        <w:t>Strengthen coordinating mechanism of health development partners (Development Partners and Private Sector Partners). Key actions include;</w:t>
      </w:r>
      <w:r w:rsidR="00CF6942">
        <w:rPr>
          <w:color w:val="231F20"/>
        </w:rPr>
        <w:t xml:space="preserve"> </w:t>
      </w:r>
      <w:r>
        <w:rPr>
          <w:color w:val="231F20"/>
        </w:rPr>
        <w:t>Establish and strengthen Donor Coordination Forum and ensure functionality through regular meetings;</w:t>
      </w:r>
      <w:r w:rsidR="00DA56D4">
        <w:rPr>
          <w:color w:val="231F20"/>
        </w:rPr>
        <w:t xml:space="preserve"> </w:t>
      </w:r>
      <w:r>
        <w:rPr>
          <w:color w:val="231F20"/>
        </w:rPr>
        <w:t xml:space="preserve">Harmonize of </w:t>
      </w:r>
      <w:r>
        <w:rPr>
          <w:color w:val="231F20"/>
          <w:spacing w:val="-4"/>
        </w:rPr>
        <w:t xml:space="preserve">Donor </w:t>
      </w:r>
      <w:r>
        <w:rPr>
          <w:color w:val="231F20"/>
        </w:rPr>
        <w:t>interventions and resources for optimal performance of the health</w:t>
      </w:r>
      <w:r>
        <w:rPr>
          <w:color w:val="231F20"/>
          <w:spacing w:val="-1"/>
        </w:rPr>
        <w:t xml:space="preserve"> </w:t>
      </w:r>
      <w:r>
        <w:rPr>
          <w:color w:val="231F20"/>
        </w:rPr>
        <w:t>sector;</w:t>
      </w:r>
      <w:r w:rsidR="00DA56D4">
        <w:rPr>
          <w:color w:val="231F20"/>
        </w:rPr>
        <w:t xml:space="preserve"> </w:t>
      </w:r>
      <w:r>
        <w:rPr>
          <w:color w:val="231F20"/>
        </w:rPr>
        <w:t>Harmonize</w:t>
      </w:r>
    </w:p>
    <w:p w14:paraId="13E0E646" w14:textId="77777777" w:rsidR="009948F1" w:rsidRDefault="009948F1">
      <w:pPr>
        <w:spacing w:line="271" w:lineRule="auto"/>
        <w:jc w:val="both"/>
        <w:sectPr w:rsidR="009948F1">
          <w:pgSz w:w="11910" w:h="16840"/>
          <w:pgMar w:top="1220" w:right="1080" w:bottom="1420" w:left="1120" w:header="0" w:footer="1235" w:gutter="0"/>
          <w:cols w:space="720"/>
        </w:sectPr>
      </w:pPr>
    </w:p>
    <w:p w14:paraId="35EEC367" w14:textId="28B20C6C" w:rsidR="009948F1" w:rsidRDefault="00DA56D4" w:rsidP="00DA56D4">
      <w:pPr>
        <w:pStyle w:val="BodyText"/>
        <w:spacing w:before="42" w:line="261" w:lineRule="auto"/>
        <w:ind w:right="184"/>
        <w:rPr>
          <w:b/>
          <w:i/>
        </w:rPr>
      </w:pPr>
      <w:bookmarkStart w:id="55" w:name="Page_41"/>
      <w:bookmarkEnd w:id="55"/>
      <w:r>
        <w:rPr>
          <w:color w:val="231F20"/>
        </w:rPr>
        <w:lastRenderedPageBreak/>
        <w:t xml:space="preserve"> </w:t>
      </w:r>
      <w:r w:rsidR="00BC0563">
        <w:rPr>
          <w:color w:val="231F20"/>
        </w:rPr>
        <w:t>reporting</w:t>
      </w:r>
      <w:r w:rsidR="00BC0563">
        <w:rPr>
          <w:color w:val="231F20"/>
          <w:spacing w:val="-23"/>
        </w:rPr>
        <w:t xml:space="preserve"> </w:t>
      </w:r>
      <w:r w:rsidR="00BC0563">
        <w:rPr>
          <w:color w:val="231F20"/>
        </w:rPr>
        <w:t>formats</w:t>
      </w:r>
      <w:r w:rsidR="00BC0563">
        <w:rPr>
          <w:color w:val="231F20"/>
          <w:spacing w:val="-23"/>
        </w:rPr>
        <w:t xml:space="preserve"> </w:t>
      </w:r>
      <w:r w:rsidR="00BC0563">
        <w:rPr>
          <w:color w:val="231F20"/>
        </w:rPr>
        <w:t>for</w:t>
      </w:r>
      <w:r w:rsidR="00BC0563">
        <w:rPr>
          <w:color w:val="231F20"/>
          <w:spacing w:val="-23"/>
        </w:rPr>
        <w:t xml:space="preserve"> </w:t>
      </w:r>
      <w:r w:rsidR="00BC0563">
        <w:rPr>
          <w:color w:val="231F20"/>
        </w:rPr>
        <w:t>all</w:t>
      </w:r>
      <w:r w:rsidR="00BC0563">
        <w:rPr>
          <w:color w:val="231F20"/>
          <w:spacing w:val="-23"/>
        </w:rPr>
        <w:t xml:space="preserve"> </w:t>
      </w:r>
      <w:r w:rsidR="00BC0563">
        <w:rPr>
          <w:color w:val="231F20"/>
        </w:rPr>
        <w:t>health</w:t>
      </w:r>
      <w:r w:rsidR="00BC0563">
        <w:rPr>
          <w:color w:val="231F20"/>
          <w:spacing w:val="-23"/>
        </w:rPr>
        <w:t xml:space="preserve"> </w:t>
      </w:r>
      <w:r w:rsidR="00BC0563">
        <w:rPr>
          <w:color w:val="231F20"/>
        </w:rPr>
        <w:t>interventions</w:t>
      </w:r>
      <w:r w:rsidR="00BC0563">
        <w:rPr>
          <w:color w:val="231F20"/>
          <w:spacing w:val="-22"/>
        </w:rPr>
        <w:t xml:space="preserve"> </w:t>
      </w:r>
      <w:r w:rsidR="00BC0563">
        <w:rPr>
          <w:color w:val="231F20"/>
        </w:rPr>
        <w:t>in</w:t>
      </w:r>
      <w:r w:rsidR="00BC0563">
        <w:rPr>
          <w:color w:val="231F20"/>
          <w:spacing w:val="-23"/>
        </w:rPr>
        <w:t xml:space="preserve"> </w:t>
      </w:r>
      <w:r w:rsidR="00BC0563">
        <w:rPr>
          <w:color w:val="231F20"/>
        </w:rPr>
        <w:t>the</w:t>
      </w:r>
      <w:r w:rsidR="00BC0563">
        <w:rPr>
          <w:color w:val="231F20"/>
          <w:spacing w:val="-23"/>
        </w:rPr>
        <w:t xml:space="preserve"> </w:t>
      </w:r>
      <w:r w:rsidR="00BC0563">
        <w:rPr>
          <w:color w:val="231F20"/>
        </w:rPr>
        <w:t>state</w:t>
      </w:r>
      <w:r w:rsidR="00BC0563">
        <w:rPr>
          <w:color w:val="231F20"/>
          <w:spacing w:val="-23"/>
        </w:rPr>
        <w:t xml:space="preserve"> </w:t>
      </w:r>
      <w:r w:rsidR="00BC0563">
        <w:rPr>
          <w:color w:val="231F20"/>
        </w:rPr>
        <w:t>and</w:t>
      </w:r>
      <w:r w:rsidR="00BC0563">
        <w:rPr>
          <w:color w:val="231F20"/>
          <w:spacing w:val="-23"/>
        </w:rPr>
        <w:t xml:space="preserve"> </w:t>
      </w:r>
      <w:r w:rsidR="00BC0563">
        <w:rPr>
          <w:color w:val="231F20"/>
        </w:rPr>
        <w:t>ensure</w:t>
      </w:r>
      <w:r w:rsidR="00BC0563">
        <w:rPr>
          <w:color w:val="231F20"/>
          <w:spacing w:val="-23"/>
        </w:rPr>
        <w:t xml:space="preserve"> </w:t>
      </w:r>
      <w:r w:rsidR="00BC0563">
        <w:rPr>
          <w:color w:val="231F20"/>
        </w:rPr>
        <w:t>partners</w:t>
      </w:r>
      <w:r w:rsidR="00BC0563">
        <w:rPr>
          <w:color w:val="231F20"/>
          <w:spacing w:val="-23"/>
        </w:rPr>
        <w:t xml:space="preserve"> </w:t>
      </w:r>
      <w:r w:rsidR="00BC0563">
        <w:rPr>
          <w:color w:val="231F20"/>
        </w:rPr>
        <w:t>key</w:t>
      </w:r>
      <w:r w:rsidR="00BC0563">
        <w:rPr>
          <w:color w:val="231F20"/>
          <w:spacing w:val="-24"/>
        </w:rPr>
        <w:t xml:space="preserve"> </w:t>
      </w:r>
      <w:r w:rsidR="00BC0563">
        <w:rPr>
          <w:color w:val="231F20"/>
        </w:rPr>
        <w:t>into</w:t>
      </w:r>
      <w:r w:rsidR="00BC0563">
        <w:rPr>
          <w:color w:val="231F20"/>
          <w:spacing w:val="-23"/>
        </w:rPr>
        <w:t xml:space="preserve"> </w:t>
      </w:r>
      <w:r w:rsidR="00BC0563">
        <w:rPr>
          <w:color w:val="231F20"/>
        </w:rPr>
        <w:t>state</w:t>
      </w:r>
      <w:r w:rsidR="00BC0563">
        <w:rPr>
          <w:color w:val="231F20"/>
          <w:spacing w:val="-23"/>
        </w:rPr>
        <w:t xml:space="preserve"> </w:t>
      </w:r>
      <w:r w:rsidR="00BC0563">
        <w:rPr>
          <w:color w:val="231F20"/>
        </w:rPr>
        <w:t xml:space="preserve">reporting </w:t>
      </w:r>
      <w:r>
        <w:rPr>
          <w:color w:val="231F20"/>
        </w:rPr>
        <w:t xml:space="preserve">    </w:t>
      </w:r>
      <w:proofErr w:type="spellStart"/>
      <w:proofErr w:type="gramStart"/>
      <w:r w:rsidR="00BC0563">
        <w:rPr>
          <w:color w:val="231F20"/>
        </w:rPr>
        <w:t>systems;Develop</w:t>
      </w:r>
      <w:proofErr w:type="spellEnd"/>
      <w:proofErr w:type="gramEnd"/>
      <w:r w:rsidR="00BC0563">
        <w:rPr>
          <w:color w:val="231F20"/>
          <w:spacing w:val="-26"/>
        </w:rPr>
        <w:t xml:space="preserve"> </w:t>
      </w:r>
      <w:r w:rsidR="00BC0563">
        <w:rPr>
          <w:color w:val="231F20"/>
        </w:rPr>
        <w:t>framework</w:t>
      </w:r>
      <w:r w:rsidR="00BC0563">
        <w:rPr>
          <w:color w:val="231F20"/>
          <w:spacing w:val="-25"/>
        </w:rPr>
        <w:t xml:space="preserve"> </w:t>
      </w:r>
      <w:r w:rsidR="00BC0563">
        <w:rPr>
          <w:color w:val="231F20"/>
        </w:rPr>
        <w:t>to</w:t>
      </w:r>
      <w:r w:rsidR="00BC0563">
        <w:rPr>
          <w:color w:val="231F20"/>
          <w:spacing w:val="-25"/>
        </w:rPr>
        <w:t xml:space="preserve"> </w:t>
      </w:r>
      <w:r w:rsidR="00BC0563">
        <w:rPr>
          <w:color w:val="231F20"/>
        </w:rPr>
        <w:t>ensure</w:t>
      </w:r>
      <w:r w:rsidR="00BC0563">
        <w:rPr>
          <w:color w:val="231F20"/>
          <w:spacing w:val="-25"/>
        </w:rPr>
        <w:t xml:space="preserve"> </w:t>
      </w:r>
      <w:r w:rsidR="00BC0563">
        <w:rPr>
          <w:color w:val="231F20"/>
        </w:rPr>
        <w:t>alignment</w:t>
      </w:r>
      <w:r w:rsidR="00BC0563">
        <w:rPr>
          <w:color w:val="231F20"/>
          <w:spacing w:val="-25"/>
        </w:rPr>
        <w:t xml:space="preserve"> </w:t>
      </w:r>
      <w:r w:rsidR="00BC0563">
        <w:rPr>
          <w:color w:val="231F20"/>
        </w:rPr>
        <w:t>of</w:t>
      </w:r>
      <w:r w:rsidR="00BC0563">
        <w:rPr>
          <w:color w:val="231F20"/>
          <w:spacing w:val="-25"/>
        </w:rPr>
        <w:t xml:space="preserve"> </w:t>
      </w:r>
      <w:r w:rsidR="00BC0563">
        <w:rPr>
          <w:color w:val="231F20"/>
        </w:rPr>
        <w:t>donor</w:t>
      </w:r>
      <w:r w:rsidR="00BC0563">
        <w:rPr>
          <w:color w:val="231F20"/>
          <w:spacing w:val="-25"/>
        </w:rPr>
        <w:t xml:space="preserve"> </w:t>
      </w:r>
      <w:proofErr w:type="spellStart"/>
      <w:r w:rsidR="00BC0563">
        <w:rPr>
          <w:color w:val="231F20"/>
        </w:rPr>
        <w:t>programmes</w:t>
      </w:r>
      <w:proofErr w:type="spellEnd"/>
      <w:r w:rsidR="00BC0563">
        <w:rPr>
          <w:color w:val="231F20"/>
          <w:spacing w:val="-25"/>
        </w:rPr>
        <w:t xml:space="preserve"> </w:t>
      </w:r>
      <w:r w:rsidR="00BC0563">
        <w:rPr>
          <w:color w:val="231F20"/>
        </w:rPr>
        <w:t>with</w:t>
      </w:r>
      <w:r w:rsidR="00BC0563">
        <w:rPr>
          <w:color w:val="231F20"/>
          <w:spacing w:val="-25"/>
        </w:rPr>
        <w:t xml:space="preserve"> </w:t>
      </w:r>
      <w:r w:rsidR="00BC0563">
        <w:rPr>
          <w:color w:val="231F20"/>
        </w:rPr>
        <w:t>the</w:t>
      </w:r>
      <w:r w:rsidR="00BC0563">
        <w:rPr>
          <w:color w:val="231F20"/>
          <w:spacing w:val="-25"/>
        </w:rPr>
        <w:t xml:space="preserve"> </w:t>
      </w:r>
      <w:r w:rsidR="00BC0563">
        <w:rPr>
          <w:color w:val="231F20"/>
        </w:rPr>
        <w:t>State's</w:t>
      </w:r>
      <w:r w:rsidR="00BC0563">
        <w:rPr>
          <w:color w:val="231F20"/>
          <w:spacing w:val="-25"/>
        </w:rPr>
        <w:t xml:space="preserve"> </w:t>
      </w:r>
      <w:r w:rsidR="00BC0563">
        <w:rPr>
          <w:color w:val="231F20"/>
        </w:rPr>
        <w:t xml:space="preserve">workplan. </w:t>
      </w:r>
      <w:r w:rsidR="00BC0563">
        <w:rPr>
          <w:b/>
          <w:i/>
          <w:color w:val="231F20"/>
        </w:rPr>
        <w:t>Priority</w:t>
      </w:r>
      <w:r w:rsidR="00BC0563">
        <w:rPr>
          <w:b/>
          <w:i/>
          <w:color w:val="231F20"/>
          <w:spacing w:val="-33"/>
        </w:rPr>
        <w:t xml:space="preserve"> </w:t>
      </w:r>
      <w:r w:rsidR="00BC0563">
        <w:rPr>
          <w:b/>
          <w:i/>
          <w:color w:val="231F20"/>
        </w:rPr>
        <w:t>Area</w:t>
      </w:r>
      <w:r w:rsidR="00BC0563">
        <w:rPr>
          <w:b/>
          <w:i/>
          <w:color w:val="231F20"/>
          <w:spacing w:val="-25"/>
        </w:rPr>
        <w:t xml:space="preserve"> </w:t>
      </w:r>
      <w:r w:rsidR="00BC0563">
        <w:rPr>
          <w:b/>
          <w:i/>
          <w:color w:val="231F20"/>
        </w:rPr>
        <w:t>2:</w:t>
      </w:r>
      <w:r w:rsidR="00BC0563">
        <w:rPr>
          <w:b/>
          <w:i/>
          <w:color w:val="231F20"/>
          <w:spacing w:val="-25"/>
        </w:rPr>
        <w:t xml:space="preserve"> </w:t>
      </w:r>
      <w:r w:rsidR="00BC0563">
        <w:rPr>
          <w:b/>
          <w:i/>
          <w:color w:val="231F20"/>
        </w:rPr>
        <w:t>Community</w:t>
      </w:r>
      <w:r w:rsidR="00BC0563">
        <w:rPr>
          <w:b/>
          <w:i/>
          <w:color w:val="231F20"/>
          <w:spacing w:val="-25"/>
        </w:rPr>
        <w:t xml:space="preserve"> </w:t>
      </w:r>
      <w:r w:rsidR="00BC0563">
        <w:rPr>
          <w:b/>
          <w:i/>
          <w:color w:val="231F20"/>
        </w:rPr>
        <w:t>Participation</w:t>
      </w:r>
    </w:p>
    <w:p w14:paraId="23CB1432" w14:textId="77777777" w:rsidR="009948F1" w:rsidRDefault="00BC0563">
      <w:pPr>
        <w:pStyle w:val="BodyText"/>
        <w:spacing w:before="6" w:line="268" w:lineRule="auto"/>
        <w:ind w:left="165" w:right="185"/>
        <w:jc w:val="both"/>
      </w:pPr>
      <w:r>
        <w:rPr>
          <w:color w:val="231F20"/>
        </w:rPr>
        <w:t>Effective</w:t>
      </w:r>
      <w:r>
        <w:rPr>
          <w:color w:val="231F20"/>
          <w:spacing w:val="-16"/>
        </w:rPr>
        <w:t xml:space="preserve"> </w:t>
      </w:r>
      <w:r>
        <w:rPr>
          <w:color w:val="231F20"/>
        </w:rPr>
        <w:t>partnership</w:t>
      </w:r>
      <w:r>
        <w:rPr>
          <w:color w:val="231F20"/>
          <w:spacing w:val="-14"/>
        </w:rPr>
        <w:t xml:space="preserve"> </w:t>
      </w:r>
      <w:r>
        <w:rPr>
          <w:color w:val="231F20"/>
        </w:rPr>
        <w:t>between</w:t>
      </w:r>
      <w:r>
        <w:rPr>
          <w:color w:val="231F20"/>
          <w:spacing w:val="-15"/>
        </w:rPr>
        <w:t xml:space="preserve"> </w:t>
      </w:r>
      <w:r>
        <w:rPr>
          <w:color w:val="231F20"/>
        </w:rPr>
        <w:t>government</w:t>
      </w:r>
      <w:r>
        <w:rPr>
          <w:color w:val="231F20"/>
          <w:spacing w:val="-14"/>
        </w:rPr>
        <w:t xml:space="preserve"> </w:t>
      </w:r>
      <w:r>
        <w:rPr>
          <w:color w:val="231F20"/>
        </w:rPr>
        <w:t>and</w:t>
      </w:r>
      <w:r>
        <w:rPr>
          <w:color w:val="231F20"/>
          <w:spacing w:val="-16"/>
        </w:rPr>
        <w:t xml:space="preserve"> </w:t>
      </w:r>
      <w:r>
        <w:rPr>
          <w:color w:val="231F20"/>
        </w:rPr>
        <w:t>rural</w:t>
      </w:r>
      <w:r>
        <w:rPr>
          <w:color w:val="231F20"/>
          <w:spacing w:val="-15"/>
        </w:rPr>
        <w:t xml:space="preserve"> </w:t>
      </w:r>
      <w:r>
        <w:rPr>
          <w:color w:val="231F20"/>
        </w:rPr>
        <w:t>communities</w:t>
      </w:r>
      <w:r>
        <w:rPr>
          <w:color w:val="231F20"/>
          <w:spacing w:val="-15"/>
        </w:rPr>
        <w:t xml:space="preserve"> </w:t>
      </w:r>
      <w:r>
        <w:rPr>
          <w:color w:val="231F20"/>
        </w:rPr>
        <w:t>in</w:t>
      </w:r>
      <w:r>
        <w:rPr>
          <w:color w:val="231F20"/>
          <w:spacing w:val="-15"/>
        </w:rPr>
        <w:t xml:space="preserve"> </w:t>
      </w:r>
      <w:r>
        <w:rPr>
          <w:color w:val="231F20"/>
        </w:rPr>
        <w:t>improving</w:t>
      </w:r>
      <w:r>
        <w:rPr>
          <w:color w:val="231F20"/>
          <w:spacing w:val="-15"/>
        </w:rPr>
        <w:t xml:space="preserve"> </w:t>
      </w:r>
      <w:r>
        <w:rPr>
          <w:color w:val="231F20"/>
        </w:rPr>
        <w:t>health</w:t>
      </w:r>
      <w:r>
        <w:rPr>
          <w:color w:val="231F20"/>
          <w:spacing w:val="-15"/>
        </w:rPr>
        <w:t xml:space="preserve"> </w:t>
      </w:r>
      <w:r>
        <w:rPr>
          <w:color w:val="231F20"/>
        </w:rPr>
        <w:t>care</w:t>
      </w:r>
      <w:r>
        <w:rPr>
          <w:color w:val="231F20"/>
          <w:spacing w:val="-16"/>
        </w:rPr>
        <w:t xml:space="preserve"> </w:t>
      </w:r>
      <w:r>
        <w:rPr>
          <w:color w:val="231F20"/>
        </w:rPr>
        <w:t>service delivery</w:t>
      </w:r>
      <w:r>
        <w:rPr>
          <w:color w:val="231F20"/>
          <w:spacing w:val="-15"/>
        </w:rPr>
        <w:t xml:space="preserve"> </w:t>
      </w:r>
      <w:r>
        <w:rPr>
          <w:color w:val="231F20"/>
        </w:rPr>
        <w:t>remains</w:t>
      </w:r>
      <w:r>
        <w:rPr>
          <w:color w:val="231F20"/>
          <w:spacing w:val="-15"/>
        </w:rPr>
        <w:t xml:space="preserve"> </w:t>
      </w:r>
      <w:r>
        <w:rPr>
          <w:color w:val="231F20"/>
        </w:rPr>
        <w:t>critical</w:t>
      </w:r>
      <w:r>
        <w:rPr>
          <w:color w:val="231F20"/>
          <w:spacing w:val="-15"/>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achievement</w:t>
      </w:r>
      <w:r>
        <w:rPr>
          <w:color w:val="231F20"/>
          <w:spacing w:val="-15"/>
        </w:rPr>
        <w:t xml:space="preserve"> </w:t>
      </w:r>
      <w:r>
        <w:rPr>
          <w:color w:val="231F20"/>
        </w:rPr>
        <w:t>of</w:t>
      </w:r>
      <w:r>
        <w:rPr>
          <w:color w:val="231F20"/>
          <w:spacing w:val="-16"/>
        </w:rPr>
        <w:t xml:space="preserve"> </w:t>
      </w:r>
      <w:r>
        <w:rPr>
          <w:color w:val="231F20"/>
        </w:rPr>
        <w:t>universal</w:t>
      </w:r>
      <w:r>
        <w:rPr>
          <w:color w:val="231F20"/>
          <w:spacing w:val="-14"/>
        </w:rPr>
        <w:t xml:space="preserve"> </w:t>
      </w:r>
      <w:r>
        <w:rPr>
          <w:color w:val="231F20"/>
        </w:rPr>
        <w:t>health</w:t>
      </w:r>
      <w:r>
        <w:rPr>
          <w:color w:val="231F20"/>
          <w:spacing w:val="-15"/>
        </w:rPr>
        <w:t xml:space="preserve"> </w:t>
      </w:r>
      <w:r>
        <w:rPr>
          <w:color w:val="231F20"/>
        </w:rPr>
        <w:t>coverage</w:t>
      </w:r>
      <w:r>
        <w:rPr>
          <w:color w:val="231F20"/>
          <w:spacing w:val="-15"/>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state.</w:t>
      </w:r>
      <w:r>
        <w:rPr>
          <w:color w:val="231F20"/>
          <w:spacing w:val="55"/>
        </w:rPr>
        <w:t xml:space="preserve"> </w:t>
      </w:r>
      <w:r>
        <w:rPr>
          <w:color w:val="231F20"/>
        </w:rPr>
        <w:t>Community participation</w:t>
      </w:r>
      <w:r>
        <w:rPr>
          <w:color w:val="231F20"/>
          <w:spacing w:val="-22"/>
        </w:rPr>
        <w:t xml:space="preserve"> </w:t>
      </w:r>
      <w:r>
        <w:rPr>
          <w:color w:val="231F20"/>
        </w:rPr>
        <w:t>ensures</w:t>
      </w:r>
      <w:r>
        <w:rPr>
          <w:color w:val="231F20"/>
          <w:spacing w:val="-21"/>
        </w:rPr>
        <w:t xml:space="preserve"> </w:t>
      </w:r>
      <w:r>
        <w:rPr>
          <w:color w:val="231F20"/>
        </w:rPr>
        <w:t>that</w:t>
      </w:r>
      <w:r>
        <w:rPr>
          <w:color w:val="231F20"/>
          <w:spacing w:val="-21"/>
        </w:rPr>
        <w:t xml:space="preserve"> </w:t>
      </w:r>
      <w:r>
        <w:rPr>
          <w:color w:val="231F20"/>
        </w:rPr>
        <w:t>the</w:t>
      </w:r>
      <w:r>
        <w:rPr>
          <w:color w:val="231F20"/>
          <w:spacing w:val="-21"/>
        </w:rPr>
        <w:t xml:space="preserve"> </w:t>
      </w:r>
      <w:r>
        <w:rPr>
          <w:color w:val="231F20"/>
        </w:rPr>
        <w:t>underserved</w:t>
      </w:r>
      <w:r>
        <w:rPr>
          <w:color w:val="231F20"/>
          <w:spacing w:val="-21"/>
        </w:rPr>
        <w:t xml:space="preserve"> </w:t>
      </w:r>
      <w:r>
        <w:rPr>
          <w:color w:val="231F20"/>
        </w:rPr>
        <w:t>population</w:t>
      </w:r>
      <w:r>
        <w:rPr>
          <w:color w:val="231F20"/>
          <w:spacing w:val="-20"/>
        </w:rPr>
        <w:t xml:space="preserve"> </w:t>
      </w:r>
      <w:r>
        <w:rPr>
          <w:color w:val="231F20"/>
        </w:rPr>
        <w:t>are</w:t>
      </w:r>
      <w:r>
        <w:rPr>
          <w:color w:val="231F20"/>
          <w:spacing w:val="-21"/>
        </w:rPr>
        <w:t xml:space="preserve"> </w:t>
      </w:r>
      <w:r>
        <w:rPr>
          <w:color w:val="231F20"/>
        </w:rPr>
        <w:t>reached,</w:t>
      </w:r>
      <w:r>
        <w:rPr>
          <w:color w:val="231F20"/>
          <w:spacing w:val="-21"/>
        </w:rPr>
        <w:t xml:space="preserve"> </w:t>
      </w:r>
      <w:r>
        <w:rPr>
          <w:color w:val="231F20"/>
        </w:rPr>
        <w:t>community</w:t>
      </w:r>
      <w:r>
        <w:rPr>
          <w:color w:val="231F20"/>
          <w:spacing w:val="-21"/>
        </w:rPr>
        <w:t xml:space="preserve"> </w:t>
      </w:r>
      <w:r>
        <w:rPr>
          <w:color w:val="231F20"/>
        </w:rPr>
        <w:t>capacity</w:t>
      </w:r>
      <w:r>
        <w:rPr>
          <w:color w:val="231F20"/>
          <w:spacing w:val="-22"/>
        </w:rPr>
        <w:t xml:space="preserve"> </w:t>
      </w:r>
      <w:r>
        <w:rPr>
          <w:color w:val="231F20"/>
        </w:rPr>
        <w:t>to</w:t>
      </w:r>
      <w:r>
        <w:rPr>
          <w:color w:val="231F20"/>
          <w:spacing w:val="-21"/>
        </w:rPr>
        <w:t xml:space="preserve"> </w:t>
      </w:r>
      <w:r>
        <w:rPr>
          <w:color w:val="231F20"/>
        </w:rPr>
        <w:t xml:space="preserve">manage their health challenges is built and health promotion gets to the grassroots. Entrenchment of ownership enables individuals, families and communities to get more involved and take </w:t>
      </w:r>
      <w:r>
        <w:rPr>
          <w:color w:val="231F20"/>
          <w:spacing w:val="-3"/>
        </w:rPr>
        <w:t xml:space="preserve">greater </w:t>
      </w:r>
      <w:r>
        <w:rPr>
          <w:color w:val="231F20"/>
        </w:rPr>
        <w:t>control</w:t>
      </w:r>
      <w:r>
        <w:rPr>
          <w:color w:val="231F20"/>
          <w:spacing w:val="-26"/>
        </w:rPr>
        <w:t xml:space="preserve"> </w:t>
      </w:r>
      <w:r>
        <w:rPr>
          <w:color w:val="231F20"/>
        </w:rPr>
        <w:t>over</w:t>
      </w:r>
      <w:r>
        <w:rPr>
          <w:color w:val="231F20"/>
          <w:spacing w:val="-25"/>
        </w:rPr>
        <w:t xml:space="preserve"> </w:t>
      </w:r>
      <w:r>
        <w:rPr>
          <w:color w:val="231F20"/>
        </w:rPr>
        <w:t>their</w:t>
      </w:r>
      <w:r>
        <w:rPr>
          <w:color w:val="231F20"/>
          <w:spacing w:val="-26"/>
        </w:rPr>
        <w:t xml:space="preserve"> </w:t>
      </w:r>
      <w:r>
        <w:rPr>
          <w:color w:val="231F20"/>
        </w:rPr>
        <w:t>health;</w:t>
      </w:r>
      <w:r>
        <w:rPr>
          <w:color w:val="231F20"/>
          <w:spacing w:val="-25"/>
        </w:rPr>
        <w:t xml:space="preserve"> </w:t>
      </w:r>
      <w:r>
        <w:rPr>
          <w:color w:val="231F20"/>
        </w:rPr>
        <w:t>thereby</w:t>
      </w:r>
      <w:r>
        <w:rPr>
          <w:color w:val="231F20"/>
          <w:spacing w:val="-25"/>
        </w:rPr>
        <w:t xml:space="preserve"> </w:t>
      </w:r>
      <w:r>
        <w:rPr>
          <w:color w:val="231F20"/>
        </w:rPr>
        <w:t>engendering</w:t>
      </w:r>
      <w:r>
        <w:rPr>
          <w:color w:val="231F20"/>
          <w:spacing w:val="-26"/>
        </w:rPr>
        <w:t xml:space="preserve"> </w:t>
      </w:r>
      <w:r>
        <w:rPr>
          <w:color w:val="231F20"/>
        </w:rPr>
        <w:t>resilience</w:t>
      </w:r>
      <w:r>
        <w:rPr>
          <w:color w:val="231F20"/>
          <w:spacing w:val="-25"/>
        </w:rPr>
        <w:t xml:space="preserve"> </w:t>
      </w:r>
      <w:r>
        <w:rPr>
          <w:color w:val="231F20"/>
        </w:rPr>
        <w:t>and</w:t>
      </w:r>
      <w:r>
        <w:rPr>
          <w:color w:val="231F20"/>
          <w:spacing w:val="-25"/>
        </w:rPr>
        <w:t xml:space="preserve"> </w:t>
      </w:r>
      <w:r>
        <w:rPr>
          <w:color w:val="231F20"/>
        </w:rPr>
        <w:t>program</w:t>
      </w:r>
      <w:r>
        <w:rPr>
          <w:color w:val="231F20"/>
          <w:spacing w:val="-26"/>
        </w:rPr>
        <w:t xml:space="preserve"> </w:t>
      </w:r>
      <w:r>
        <w:rPr>
          <w:color w:val="231F20"/>
        </w:rPr>
        <w:t>sustainability.</w:t>
      </w:r>
    </w:p>
    <w:p w14:paraId="40D28A78" w14:textId="77777777" w:rsidR="009948F1" w:rsidRDefault="009948F1">
      <w:pPr>
        <w:pStyle w:val="BodyText"/>
        <w:spacing w:before="9"/>
        <w:rPr>
          <w:sz w:val="24"/>
        </w:rPr>
      </w:pPr>
    </w:p>
    <w:p w14:paraId="6817024C" w14:textId="77777777" w:rsidR="009948F1" w:rsidRDefault="00BC0563">
      <w:pPr>
        <w:pStyle w:val="BodyText"/>
        <w:spacing w:line="268" w:lineRule="auto"/>
        <w:ind w:left="164" w:right="185"/>
        <w:jc w:val="both"/>
        <w:rPr>
          <w:b/>
        </w:rPr>
      </w:pPr>
      <w:r>
        <w:rPr>
          <w:color w:val="231F20"/>
        </w:rPr>
        <w:t xml:space="preserve">In order to strengthen community participation and ownership, the state government had </w:t>
      </w:r>
      <w:r>
        <w:rPr>
          <w:color w:val="231F20"/>
          <w:spacing w:val="-3"/>
        </w:rPr>
        <w:t xml:space="preserve">taken </w:t>
      </w:r>
      <w:r>
        <w:rPr>
          <w:color w:val="231F20"/>
        </w:rPr>
        <w:t xml:space="preserve">some giant strides in the establishment of health committees in the recent past. These </w:t>
      </w:r>
      <w:r>
        <w:rPr>
          <w:color w:val="231F20"/>
          <w:spacing w:val="-3"/>
        </w:rPr>
        <w:t xml:space="preserve">efforts </w:t>
      </w:r>
      <w:r>
        <w:rPr>
          <w:color w:val="231F20"/>
        </w:rPr>
        <w:t xml:space="preserve">include the formation of </w:t>
      </w:r>
      <w:r>
        <w:rPr>
          <w:color w:val="231F20"/>
          <w:spacing w:val="-3"/>
        </w:rPr>
        <w:t xml:space="preserve">Ward </w:t>
      </w:r>
      <w:r>
        <w:rPr>
          <w:color w:val="231F20"/>
        </w:rPr>
        <w:t xml:space="preserve">Development Committees in more than 319 political wards, </w:t>
      </w:r>
      <w:r>
        <w:rPr>
          <w:color w:val="231F20"/>
          <w:spacing w:val="-5"/>
        </w:rPr>
        <w:t xml:space="preserve">the </w:t>
      </w:r>
      <w:r>
        <w:rPr>
          <w:color w:val="231F20"/>
        </w:rPr>
        <w:t xml:space="preserve">creation and strengthening of Rivers State Primary Health Care Boards (RSPHCMB) and </w:t>
      </w:r>
      <w:r>
        <w:rPr>
          <w:color w:val="231F20"/>
          <w:spacing w:val="-3"/>
        </w:rPr>
        <w:t xml:space="preserve">Local </w:t>
      </w:r>
      <w:r>
        <w:rPr>
          <w:color w:val="231F20"/>
        </w:rPr>
        <w:t>Government Health Authorities (LGHAs) to support Community Health Committees (WDCs &amp; VDCs) initiative and the adoption of the national guidelines for community participation. It also includes</w:t>
      </w:r>
      <w:r>
        <w:rPr>
          <w:color w:val="231F20"/>
          <w:spacing w:val="-19"/>
        </w:rPr>
        <w:t xml:space="preserve"> </w:t>
      </w:r>
      <w:r>
        <w:rPr>
          <w:color w:val="231F20"/>
        </w:rPr>
        <w:t>the</w:t>
      </w:r>
      <w:r>
        <w:rPr>
          <w:color w:val="231F20"/>
          <w:spacing w:val="-18"/>
        </w:rPr>
        <w:t xml:space="preserve"> </w:t>
      </w:r>
      <w:r>
        <w:rPr>
          <w:color w:val="231F20"/>
        </w:rPr>
        <w:t>adoption</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prescriptive</w:t>
      </w:r>
      <w:r>
        <w:rPr>
          <w:color w:val="231F20"/>
          <w:spacing w:val="-18"/>
        </w:rPr>
        <w:t xml:space="preserve"> </w:t>
      </w:r>
      <w:r>
        <w:rPr>
          <w:color w:val="231F20"/>
        </w:rPr>
        <w:t>guidelines</w:t>
      </w:r>
      <w:r>
        <w:rPr>
          <w:color w:val="231F20"/>
          <w:spacing w:val="-18"/>
        </w:rPr>
        <w:t xml:space="preserve"> </w:t>
      </w:r>
      <w:r>
        <w:rPr>
          <w:color w:val="231F20"/>
        </w:rPr>
        <w:t>for</w:t>
      </w:r>
      <w:r>
        <w:rPr>
          <w:color w:val="231F20"/>
          <w:spacing w:val="-18"/>
        </w:rPr>
        <w:t xml:space="preserve"> </w:t>
      </w:r>
      <w:r>
        <w:rPr>
          <w:color w:val="231F20"/>
        </w:rPr>
        <w:t>setting</w:t>
      </w:r>
      <w:r>
        <w:rPr>
          <w:color w:val="231F20"/>
          <w:spacing w:val="-19"/>
        </w:rPr>
        <w:t xml:space="preserve"> </w:t>
      </w:r>
      <w:r>
        <w:rPr>
          <w:color w:val="231F20"/>
        </w:rPr>
        <w:t>up</w:t>
      </w:r>
      <w:r>
        <w:rPr>
          <w:color w:val="231F20"/>
          <w:spacing w:val="-18"/>
        </w:rPr>
        <w:t xml:space="preserve"> </w:t>
      </w:r>
      <w:r>
        <w:rPr>
          <w:color w:val="231F20"/>
        </w:rPr>
        <w:t>Village</w:t>
      </w:r>
      <w:r>
        <w:rPr>
          <w:color w:val="231F20"/>
          <w:spacing w:val="-18"/>
        </w:rPr>
        <w:t xml:space="preserve"> </w:t>
      </w:r>
      <w:r>
        <w:rPr>
          <w:color w:val="231F20"/>
        </w:rPr>
        <w:t>Health</w:t>
      </w:r>
      <w:r>
        <w:rPr>
          <w:color w:val="231F20"/>
          <w:spacing w:val="-18"/>
        </w:rPr>
        <w:t xml:space="preserve"> </w:t>
      </w:r>
      <w:r>
        <w:rPr>
          <w:color w:val="231F20"/>
        </w:rPr>
        <w:t>Committees</w:t>
      </w:r>
      <w:r>
        <w:rPr>
          <w:color w:val="231F20"/>
          <w:spacing w:val="-18"/>
        </w:rPr>
        <w:t xml:space="preserve"> </w:t>
      </w:r>
      <w:r>
        <w:rPr>
          <w:color w:val="231F20"/>
          <w:spacing w:val="-3"/>
        </w:rPr>
        <w:t xml:space="preserve">(VHC) </w:t>
      </w:r>
      <w:r>
        <w:rPr>
          <w:color w:val="231F20"/>
        </w:rPr>
        <w:t>across the LGAs with definitions on size, composition and functions</w:t>
      </w:r>
      <w:r>
        <w:rPr>
          <w:b/>
          <w:color w:val="231F20"/>
        </w:rPr>
        <w:t xml:space="preserve">. </w:t>
      </w:r>
      <w:r>
        <w:rPr>
          <w:color w:val="231F20"/>
        </w:rPr>
        <w:t>These have resulted in significant improvement in community mobilization and ensured community representations at high level health management through participation in Primary Health Care and Hospital management</w:t>
      </w:r>
      <w:r>
        <w:rPr>
          <w:color w:val="231F20"/>
          <w:spacing w:val="-25"/>
        </w:rPr>
        <w:t xml:space="preserve"> </w:t>
      </w:r>
      <w:r>
        <w:rPr>
          <w:color w:val="231F20"/>
        </w:rPr>
        <w:t>Committees</w:t>
      </w:r>
      <w:r>
        <w:rPr>
          <w:b/>
          <w:color w:val="231F20"/>
        </w:rPr>
        <w:t>.</w:t>
      </w:r>
    </w:p>
    <w:p w14:paraId="55BFFC3E" w14:textId="77777777" w:rsidR="009948F1" w:rsidRDefault="009948F1">
      <w:pPr>
        <w:pStyle w:val="BodyText"/>
        <w:spacing w:before="10"/>
        <w:rPr>
          <w:b/>
          <w:sz w:val="24"/>
        </w:rPr>
      </w:pPr>
    </w:p>
    <w:p w14:paraId="413CC02C" w14:textId="77777777" w:rsidR="009948F1" w:rsidRDefault="00BC0563">
      <w:pPr>
        <w:pStyle w:val="BodyText"/>
        <w:spacing w:line="268" w:lineRule="auto"/>
        <w:ind w:left="164" w:right="186"/>
        <w:jc w:val="both"/>
      </w:pPr>
      <w:r>
        <w:rPr>
          <w:color w:val="231F20"/>
        </w:rPr>
        <w:t xml:space="preserve">Government will continue to promote community participation in the planning, </w:t>
      </w:r>
      <w:r>
        <w:rPr>
          <w:color w:val="231F20"/>
          <w:spacing w:val="-2"/>
        </w:rPr>
        <w:t xml:space="preserve">implementation, </w:t>
      </w:r>
      <w:r>
        <w:rPr>
          <w:color w:val="231F20"/>
        </w:rPr>
        <w:t>utilization, monitoring and evaluation of health services, through the PHC, to ensure optimal maximization</w:t>
      </w:r>
      <w:r>
        <w:rPr>
          <w:color w:val="231F20"/>
          <w:spacing w:val="-14"/>
        </w:rPr>
        <w:t xml:space="preserve"> </w:t>
      </w:r>
      <w:r>
        <w:rPr>
          <w:color w:val="231F20"/>
        </w:rPr>
        <w:t>of</w:t>
      </w:r>
      <w:r>
        <w:rPr>
          <w:color w:val="231F20"/>
          <w:spacing w:val="-14"/>
        </w:rPr>
        <w:t xml:space="preserve"> </w:t>
      </w:r>
      <w:r>
        <w:rPr>
          <w:color w:val="231F20"/>
        </w:rPr>
        <w:t>healthcare</w:t>
      </w:r>
      <w:r>
        <w:rPr>
          <w:color w:val="231F20"/>
          <w:spacing w:val="-14"/>
        </w:rPr>
        <w:t xml:space="preserve"> </w:t>
      </w:r>
      <w:r>
        <w:rPr>
          <w:color w:val="231F20"/>
        </w:rPr>
        <w:t>benefits</w:t>
      </w:r>
      <w:r>
        <w:rPr>
          <w:color w:val="231F20"/>
          <w:spacing w:val="-14"/>
        </w:rPr>
        <w:t xml:space="preserve"> </w:t>
      </w:r>
      <w:r>
        <w:rPr>
          <w:color w:val="231F20"/>
        </w:rPr>
        <w:t>arising</w:t>
      </w:r>
      <w:r>
        <w:rPr>
          <w:color w:val="231F20"/>
          <w:spacing w:val="-14"/>
        </w:rPr>
        <w:t xml:space="preserve"> </w:t>
      </w:r>
      <w:r>
        <w:rPr>
          <w:color w:val="231F20"/>
        </w:rPr>
        <w:t>from</w:t>
      </w:r>
      <w:r>
        <w:rPr>
          <w:color w:val="231F20"/>
          <w:spacing w:val="-14"/>
        </w:rPr>
        <w:t xml:space="preserve"> </w:t>
      </w:r>
      <w:r>
        <w:rPr>
          <w:color w:val="231F20"/>
        </w:rPr>
        <w:t>increased</w:t>
      </w:r>
      <w:r>
        <w:rPr>
          <w:color w:val="231F20"/>
          <w:spacing w:val="-14"/>
        </w:rPr>
        <w:t xml:space="preserve"> </w:t>
      </w:r>
      <w:r>
        <w:rPr>
          <w:color w:val="231F20"/>
        </w:rPr>
        <w:t>self-reliance</w:t>
      </w:r>
      <w:r>
        <w:rPr>
          <w:color w:val="231F20"/>
          <w:spacing w:val="-14"/>
        </w:rPr>
        <w:t xml:space="preserve"> </w:t>
      </w:r>
      <w:r>
        <w:rPr>
          <w:color w:val="231F20"/>
        </w:rPr>
        <w:t>and</w:t>
      </w:r>
      <w:r>
        <w:rPr>
          <w:color w:val="231F20"/>
          <w:spacing w:val="-14"/>
        </w:rPr>
        <w:t xml:space="preserve"> </w:t>
      </w:r>
      <w:r>
        <w:rPr>
          <w:color w:val="231F20"/>
        </w:rPr>
        <w:t>community</w:t>
      </w:r>
      <w:r>
        <w:rPr>
          <w:color w:val="231F20"/>
          <w:spacing w:val="-14"/>
        </w:rPr>
        <w:t xml:space="preserve"> </w:t>
      </w:r>
      <w:r>
        <w:rPr>
          <w:color w:val="231F20"/>
        </w:rPr>
        <w:t>control</w:t>
      </w:r>
      <w:r>
        <w:rPr>
          <w:color w:val="231F20"/>
          <w:spacing w:val="-14"/>
        </w:rPr>
        <w:t xml:space="preserve"> </w:t>
      </w:r>
      <w:r>
        <w:rPr>
          <w:color w:val="231F20"/>
          <w:spacing w:val="-6"/>
        </w:rPr>
        <w:t xml:space="preserve">on </w:t>
      </w:r>
      <w:r>
        <w:rPr>
          <w:color w:val="231F20"/>
        </w:rPr>
        <w:t xml:space="preserve">their health issues. In this respect, government intends to strengthen existing structures </w:t>
      </w:r>
      <w:r>
        <w:rPr>
          <w:color w:val="231F20"/>
          <w:spacing w:val="-5"/>
        </w:rPr>
        <w:t xml:space="preserve">and </w:t>
      </w:r>
      <w:r>
        <w:rPr>
          <w:color w:val="231F20"/>
        </w:rPr>
        <w:t>infrastructure</w:t>
      </w:r>
      <w:r>
        <w:rPr>
          <w:color w:val="231F20"/>
          <w:spacing w:val="-12"/>
        </w:rPr>
        <w:t xml:space="preserve"> </w:t>
      </w:r>
      <w:r>
        <w:rPr>
          <w:color w:val="231F20"/>
        </w:rPr>
        <w:t>for</w:t>
      </w:r>
      <w:r>
        <w:rPr>
          <w:color w:val="231F20"/>
          <w:spacing w:val="-11"/>
        </w:rPr>
        <w:t xml:space="preserve"> </w:t>
      </w:r>
      <w:r>
        <w:rPr>
          <w:color w:val="231F20"/>
        </w:rPr>
        <w:t>effective</w:t>
      </w:r>
      <w:r>
        <w:rPr>
          <w:color w:val="231F20"/>
          <w:spacing w:val="-12"/>
        </w:rPr>
        <w:t xml:space="preserve"> </w:t>
      </w:r>
      <w:r>
        <w:rPr>
          <w:color w:val="231F20"/>
        </w:rPr>
        <w:t>collaboration</w:t>
      </w:r>
      <w:r>
        <w:rPr>
          <w:color w:val="231F20"/>
          <w:spacing w:val="-11"/>
        </w:rPr>
        <w:t xml:space="preserve"> </w:t>
      </w:r>
      <w:r>
        <w:rPr>
          <w:color w:val="231F20"/>
        </w:rPr>
        <w:t>and</w:t>
      </w:r>
      <w:r>
        <w:rPr>
          <w:color w:val="231F20"/>
          <w:spacing w:val="-11"/>
        </w:rPr>
        <w:t xml:space="preserve"> </w:t>
      </w:r>
      <w:r>
        <w:rPr>
          <w:color w:val="231F20"/>
        </w:rPr>
        <w:t>partnership</w:t>
      </w:r>
      <w:r>
        <w:rPr>
          <w:color w:val="231F20"/>
          <w:spacing w:val="-12"/>
        </w:rPr>
        <w:t xml:space="preserve"> </w:t>
      </w:r>
      <w:r>
        <w:rPr>
          <w:color w:val="231F20"/>
        </w:rPr>
        <w:t>between</w:t>
      </w:r>
      <w:r>
        <w:rPr>
          <w:color w:val="231F20"/>
          <w:spacing w:val="-11"/>
        </w:rPr>
        <w:t xml:space="preserve"> </w:t>
      </w:r>
      <w:r>
        <w:rPr>
          <w:color w:val="231F20"/>
        </w:rPr>
        <w:t>communities</w:t>
      </w:r>
      <w:r>
        <w:rPr>
          <w:color w:val="231F20"/>
          <w:spacing w:val="-11"/>
        </w:rPr>
        <w:t xml:space="preserve"> </w:t>
      </w:r>
      <w:r>
        <w:rPr>
          <w:color w:val="231F20"/>
        </w:rPr>
        <w:t>and</w:t>
      </w:r>
      <w:r>
        <w:rPr>
          <w:color w:val="231F20"/>
          <w:spacing w:val="-12"/>
        </w:rPr>
        <w:t xml:space="preserve"> </w:t>
      </w:r>
      <w:r>
        <w:rPr>
          <w:color w:val="231F20"/>
        </w:rPr>
        <w:t>government</w:t>
      </w:r>
      <w:r>
        <w:rPr>
          <w:color w:val="231F20"/>
          <w:spacing w:val="-11"/>
        </w:rPr>
        <w:t xml:space="preserve"> </w:t>
      </w:r>
      <w:r>
        <w:rPr>
          <w:color w:val="231F20"/>
          <w:spacing w:val="-8"/>
        </w:rPr>
        <w:t xml:space="preserve">at </w:t>
      </w:r>
      <w:r>
        <w:rPr>
          <w:color w:val="231F20"/>
        </w:rPr>
        <w:t>all</w:t>
      </w:r>
      <w:r>
        <w:rPr>
          <w:color w:val="231F20"/>
          <w:spacing w:val="-26"/>
        </w:rPr>
        <w:t xml:space="preserve"> </w:t>
      </w:r>
      <w:r>
        <w:rPr>
          <w:color w:val="231F20"/>
        </w:rPr>
        <w:t>levels</w:t>
      </w:r>
      <w:r>
        <w:rPr>
          <w:color w:val="231F20"/>
          <w:spacing w:val="-25"/>
        </w:rPr>
        <w:t xml:space="preserve"> </w:t>
      </w:r>
      <w:r>
        <w:rPr>
          <w:color w:val="231F20"/>
        </w:rPr>
        <w:t>that</w:t>
      </w:r>
      <w:r>
        <w:rPr>
          <w:color w:val="231F20"/>
          <w:spacing w:val="-25"/>
        </w:rPr>
        <w:t xml:space="preserve"> </w:t>
      </w:r>
      <w:r>
        <w:rPr>
          <w:color w:val="231F20"/>
        </w:rPr>
        <w:t>will</w:t>
      </w:r>
      <w:r>
        <w:rPr>
          <w:color w:val="231F20"/>
          <w:spacing w:val="-25"/>
        </w:rPr>
        <w:t xml:space="preserve"> </w:t>
      </w:r>
      <w:r>
        <w:rPr>
          <w:color w:val="231F20"/>
        </w:rPr>
        <w:t>translate</w:t>
      </w:r>
      <w:r>
        <w:rPr>
          <w:color w:val="231F20"/>
          <w:spacing w:val="-25"/>
        </w:rPr>
        <w:t xml:space="preserve"> </w:t>
      </w:r>
      <w:r>
        <w:rPr>
          <w:color w:val="231F20"/>
        </w:rPr>
        <w:t>into</w:t>
      </w:r>
      <w:r>
        <w:rPr>
          <w:color w:val="231F20"/>
          <w:spacing w:val="-25"/>
        </w:rPr>
        <w:t xml:space="preserve"> </w:t>
      </w:r>
      <w:r>
        <w:rPr>
          <w:color w:val="231F20"/>
        </w:rPr>
        <w:t>better</w:t>
      </w:r>
      <w:r>
        <w:rPr>
          <w:color w:val="231F20"/>
          <w:spacing w:val="-25"/>
        </w:rPr>
        <w:t xml:space="preserve"> </w:t>
      </w:r>
      <w:r>
        <w:rPr>
          <w:color w:val="231F20"/>
        </w:rPr>
        <w:t>health</w:t>
      </w:r>
      <w:r>
        <w:rPr>
          <w:color w:val="231F20"/>
          <w:spacing w:val="-25"/>
        </w:rPr>
        <w:t xml:space="preserve"> </w:t>
      </w:r>
      <w:r>
        <w:rPr>
          <w:color w:val="231F20"/>
        </w:rPr>
        <w:t>outcomes</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rural</w:t>
      </w:r>
      <w:r>
        <w:rPr>
          <w:color w:val="231F20"/>
          <w:spacing w:val="-25"/>
        </w:rPr>
        <w:t xml:space="preserve"> </w:t>
      </w:r>
      <w:r>
        <w:rPr>
          <w:color w:val="231F20"/>
        </w:rPr>
        <w:t>communities.</w:t>
      </w:r>
    </w:p>
    <w:p w14:paraId="52A5362B" w14:textId="77777777" w:rsidR="009948F1" w:rsidRDefault="009948F1">
      <w:pPr>
        <w:pStyle w:val="BodyText"/>
        <w:spacing w:before="9"/>
        <w:rPr>
          <w:sz w:val="24"/>
        </w:rPr>
      </w:pPr>
    </w:p>
    <w:p w14:paraId="271BF5D3" w14:textId="77777777" w:rsidR="009948F1" w:rsidRDefault="00BC0563">
      <w:pPr>
        <w:pStyle w:val="Heading7"/>
        <w:numPr>
          <w:ilvl w:val="2"/>
          <w:numId w:val="295"/>
        </w:numPr>
        <w:tabs>
          <w:tab w:val="left" w:pos="691"/>
        </w:tabs>
        <w:spacing w:before="1"/>
        <w:ind w:hanging="527"/>
      </w:pPr>
      <w:r>
        <w:rPr>
          <w:color w:val="231F20"/>
        </w:rPr>
        <w:t>Strategic</w:t>
      </w:r>
      <w:r>
        <w:rPr>
          <w:color w:val="231F20"/>
          <w:spacing w:val="-25"/>
        </w:rPr>
        <w:t xml:space="preserve"> </w:t>
      </w:r>
      <w:r>
        <w:rPr>
          <w:color w:val="231F20"/>
        </w:rPr>
        <w:t>Goal</w:t>
      </w:r>
    </w:p>
    <w:p w14:paraId="76B27032" w14:textId="77777777" w:rsidR="009948F1" w:rsidRDefault="00BC0563">
      <w:pPr>
        <w:pStyle w:val="BodyText"/>
        <w:spacing w:before="30"/>
        <w:ind w:left="164"/>
        <w:jc w:val="both"/>
      </w:pPr>
      <w:r>
        <w:rPr>
          <w:color w:val="231F20"/>
        </w:rPr>
        <w:t>To promote community engagement for sustainable health development.</w:t>
      </w:r>
    </w:p>
    <w:p w14:paraId="3687387C" w14:textId="77777777" w:rsidR="009948F1" w:rsidRDefault="009948F1">
      <w:pPr>
        <w:pStyle w:val="BodyText"/>
        <w:spacing w:before="4"/>
        <w:rPr>
          <w:sz w:val="27"/>
        </w:rPr>
      </w:pPr>
    </w:p>
    <w:p w14:paraId="7C8EAC82" w14:textId="77777777" w:rsidR="009948F1" w:rsidRDefault="00BC0563">
      <w:pPr>
        <w:pStyle w:val="Heading7"/>
        <w:numPr>
          <w:ilvl w:val="2"/>
          <w:numId w:val="295"/>
        </w:numPr>
        <w:tabs>
          <w:tab w:val="left" w:pos="691"/>
        </w:tabs>
        <w:ind w:hanging="527"/>
      </w:pPr>
      <w:r>
        <w:rPr>
          <w:color w:val="231F20"/>
        </w:rPr>
        <w:t>Strategic</w:t>
      </w:r>
      <w:r>
        <w:rPr>
          <w:color w:val="231F20"/>
          <w:spacing w:val="-25"/>
        </w:rPr>
        <w:t xml:space="preserve"> </w:t>
      </w:r>
      <w:r>
        <w:rPr>
          <w:color w:val="231F20"/>
        </w:rPr>
        <w:t>objectives</w:t>
      </w:r>
    </w:p>
    <w:p w14:paraId="087CF1AA" w14:textId="77777777" w:rsidR="009948F1" w:rsidRDefault="00BC0563">
      <w:pPr>
        <w:pStyle w:val="BodyText"/>
        <w:spacing w:before="31"/>
        <w:ind w:left="164"/>
        <w:jc w:val="both"/>
      </w:pPr>
      <w:r>
        <w:rPr>
          <w:color w:val="231F20"/>
        </w:rPr>
        <w:t>To strengthen community level coordination mechanisms and capacities for health planning.</w:t>
      </w:r>
    </w:p>
    <w:p w14:paraId="3C4FB2BE" w14:textId="77777777" w:rsidR="009948F1" w:rsidRDefault="009948F1">
      <w:pPr>
        <w:pStyle w:val="BodyText"/>
      </w:pPr>
    </w:p>
    <w:p w14:paraId="5888EE66" w14:textId="77777777" w:rsidR="009948F1" w:rsidRDefault="009948F1">
      <w:pPr>
        <w:pStyle w:val="BodyText"/>
        <w:spacing w:before="6"/>
        <w:rPr>
          <w:sz w:val="24"/>
        </w:rPr>
      </w:pPr>
    </w:p>
    <w:p w14:paraId="182EB4EB" w14:textId="77777777" w:rsidR="009948F1" w:rsidRDefault="00BC0563">
      <w:pPr>
        <w:spacing w:line="273" w:lineRule="exact"/>
        <w:ind w:left="330"/>
        <w:rPr>
          <w:b/>
          <w:sz w:val="25"/>
        </w:rPr>
      </w:pPr>
      <w:r>
        <w:rPr>
          <w:b/>
          <w:color w:val="231F20"/>
          <w:sz w:val="25"/>
        </w:rPr>
        <w:t>Targets</w:t>
      </w:r>
    </w:p>
    <w:p w14:paraId="52DF6A7F" w14:textId="77777777" w:rsidR="009948F1" w:rsidRDefault="00BC0563">
      <w:pPr>
        <w:spacing w:line="273" w:lineRule="exact"/>
        <w:ind w:left="330"/>
        <w:rPr>
          <w:b/>
          <w:sz w:val="25"/>
        </w:rPr>
      </w:pPr>
      <w:r>
        <w:rPr>
          <w:b/>
          <w:color w:val="231F20"/>
          <w:sz w:val="25"/>
        </w:rPr>
        <w:t>Community Participation and Ownership</w:t>
      </w:r>
    </w:p>
    <w:p w14:paraId="60055CC8" w14:textId="77777777" w:rsidR="009948F1" w:rsidRDefault="009948F1">
      <w:pPr>
        <w:pStyle w:val="BodyText"/>
        <w:spacing w:after="1"/>
        <w:rPr>
          <w:b/>
          <w:sz w:val="10"/>
        </w:rPr>
      </w:pPr>
    </w:p>
    <w:tbl>
      <w:tblPr>
        <w:tblW w:w="0" w:type="auto"/>
        <w:tblInd w:w="2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89"/>
        <w:gridCol w:w="1039"/>
        <w:gridCol w:w="746"/>
        <w:gridCol w:w="744"/>
        <w:gridCol w:w="746"/>
        <w:gridCol w:w="744"/>
        <w:gridCol w:w="776"/>
        <w:gridCol w:w="1158"/>
      </w:tblGrid>
      <w:tr w:rsidR="009948F1" w14:paraId="313731DF" w14:textId="77777777">
        <w:trPr>
          <w:trHeight w:val="237"/>
        </w:trPr>
        <w:tc>
          <w:tcPr>
            <w:tcW w:w="3289" w:type="dxa"/>
            <w:tcBorders>
              <w:top w:val="nil"/>
              <w:left w:val="nil"/>
              <w:bottom w:val="nil"/>
            </w:tcBorders>
            <w:shd w:val="clear" w:color="auto" w:fill="F6ADCD"/>
          </w:tcPr>
          <w:p w14:paraId="48C54BE8" w14:textId="77777777" w:rsidR="009948F1" w:rsidRDefault="00BC0563">
            <w:pPr>
              <w:pStyle w:val="TableParagraph"/>
              <w:spacing w:before="9" w:line="209" w:lineRule="exact"/>
              <w:ind w:left="115"/>
              <w:rPr>
                <w:sz w:val="19"/>
              </w:rPr>
            </w:pPr>
            <w:r>
              <w:rPr>
                <w:color w:val="231F20"/>
                <w:sz w:val="19"/>
              </w:rPr>
              <w:t>Targets</w:t>
            </w:r>
          </w:p>
        </w:tc>
        <w:tc>
          <w:tcPr>
            <w:tcW w:w="1039" w:type="dxa"/>
            <w:tcBorders>
              <w:top w:val="nil"/>
              <w:bottom w:val="nil"/>
            </w:tcBorders>
            <w:shd w:val="clear" w:color="auto" w:fill="F6ADCD"/>
          </w:tcPr>
          <w:p w14:paraId="53FDE8A9" w14:textId="77777777" w:rsidR="009948F1" w:rsidRDefault="00BC0563">
            <w:pPr>
              <w:pStyle w:val="TableParagraph"/>
              <w:spacing w:before="9" w:line="209" w:lineRule="exact"/>
              <w:ind w:left="111"/>
              <w:rPr>
                <w:sz w:val="19"/>
              </w:rPr>
            </w:pPr>
            <w:r>
              <w:rPr>
                <w:color w:val="414042"/>
                <w:sz w:val="19"/>
              </w:rPr>
              <w:t>Baseline</w:t>
            </w:r>
          </w:p>
        </w:tc>
        <w:tc>
          <w:tcPr>
            <w:tcW w:w="746" w:type="dxa"/>
            <w:tcBorders>
              <w:top w:val="nil"/>
              <w:bottom w:val="nil"/>
            </w:tcBorders>
            <w:shd w:val="clear" w:color="auto" w:fill="F6ADCD"/>
          </w:tcPr>
          <w:p w14:paraId="4ED36C04" w14:textId="77777777" w:rsidR="009948F1" w:rsidRDefault="00BC0563">
            <w:pPr>
              <w:pStyle w:val="TableParagraph"/>
              <w:spacing w:before="4" w:line="214" w:lineRule="exact"/>
              <w:ind w:left="112"/>
              <w:rPr>
                <w:b/>
                <w:sz w:val="19"/>
              </w:rPr>
            </w:pPr>
            <w:r>
              <w:rPr>
                <w:b/>
                <w:color w:val="231F20"/>
                <w:sz w:val="19"/>
              </w:rPr>
              <w:t>2018</w:t>
            </w:r>
          </w:p>
        </w:tc>
        <w:tc>
          <w:tcPr>
            <w:tcW w:w="744" w:type="dxa"/>
            <w:tcBorders>
              <w:top w:val="nil"/>
              <w:bottom w:val="nil"/>
            </w:tcBorders>
            <w:shd w:val="clear" w:color="auto" w:fill="F6ADCD"/>
          </w:tcPr>
          <w:p w14:paraId="1FE3C061" w14:textId="77777777" w:rsidR="009948F1" w:rsidRDefault="00BC0563">
            <w:pPr>
              <w:pStyle w:val="TableParagraph"/>
              <w:spacing w:before="4" w:line="214" w:lineRule="exact"/>
              <w:ind w:left="112"/>
              <w:rPr>
                <w:b/>
                <w:sz w:val="19"/>
              </w:rPr>
            </w:pPr>
            <w:r>
              <w:rPr>
                <w:b/>
                <w:color w:val="231F20"/>
                <w:sz w:val="19"/>
              </w:rPr>
              <w:t>2019</w:t>
            </w:r>
          </w:p>
        </w:tc>
        <w:tc>
          <w:tcPr>
            <w:tcW w:w="746" w:type="dxa"/>
            <w:tcBorders>
              <w:top w:val="nil"/>
              <w:bottom w:val="nil"/>
            </w:tcBorders>
            <w:shd w:val="clear" w:color="auto" w:fill="F6ADCD"/>
          </w:tcPr>
          <w:p w14:paraId="7F58046E" w14:textId="77777777" w:rsidR="009948F1" w:rsidRDefault="00BC0563">
            <w:pPr>
              <w:pStyle w:val="TableParagraph"/>
              <w:spacing w:before="4" w:line="214" w:lineRule="exact"/>
              <w:ind w:left="112"/>
              <w:rPr>
                <w:b/>
                <w:sz w:val="19"/>
              </w:rPr>
            </w:pPr>
            <w:r>
              <w:rPr>
                <w:b/>
                <w:color w:val="231F20"/>
                <w:sz w:val="19"/>
              </w:rPr>
              <w:t>2020</w:t>
            </w:r>
          </w:p>
        </w:tc>
        <w:tc>
          <w:tcPr>
            <w:tcW w:w="744" w:type="dxa"/>
            <w:tcBorders>
              <w:top w:val="nil"/>
              <w:bottom w:val="nil"/>
            </w:tcBorders>
            <w:shd w:val="clear" w:color="auto" w:fill="F6ADCD"/>
          </w:tcPr>
          <w:p w14:paraId="6EAEDCD4" w14:textId="77777777" w:rsidR="009948F1" w:rsidRDefault="00BC0563">
            <w:pPr>
              <w:pStyle w:val="TableParagraph"/>
              <w:spacing w:before="4" w:line="214" w:lineRule="exact"/>
              <w:ind w:left="113"/>
              <w:rPr>
                <w:b/>
                <w:sz w:val="19"/>
              </w:rPr>
            </w:pPr>
            <w:r>
              <w:rPr>
                <w:b/>
                <w:color w:val="231F20"/>
                <w:sz w:val="19"/>
              </w:rPr>
              <w:t>2021</w:t>
            </w:r>
          </w:p>
        </w:tc>
        <w:tc>
          <w:tcPr>
            <w:tcW w:w="776" w:type="dxa"/>
            <w:tcBorders>
              <w:top w:val="nil"/>
              <w:bottom w:val="nil"/>
            </w:tcBorders>
            <w:shd w:val="clear" w:color="auto" w:fill="F6ADCD"/>
          </w:tcPr>
          <w:p w14:paraId="455AAE5F" w14:textId="77777777" w:rsidR="009948F1" w:rsidRDefault="00BC0563">
            <w:pPr>
              <w:pStyle w:val="TableParagraph"/>
              <w:spacing w:before="4" w:line="214" w:lineRule="exact"/>
              <w:ind w:left="113"/>
              <w:rPr>
                <w:b/>
                <w:sz w:val="19"/>
              </w:rPr>
            </w:pPr>
            <w:r>
              <w:rPr>
                <w:b/>
                <w:color w:val="231F20"/>
                <w:sz w:val="19"/>
              </w:rPr>
              <w:t>2022</w:t>
            </w:r>
          </w:p>
        </w:tc>
        <w:tc>
          <w:tcPr>
            <w:tcW w:w="1158" w:type="dxa"/>
            <w:tcBorders>
              <w:top w:val="nil"/>
              <w:bottom w:val="nil"/>
              <w:right w:val="nil"/>
            </w:tcBorders>
            <w:shd w:val="clear" w:color="auto" w:fill="F6ADCD"/>
          </w:tcPr>
          <w:p w14:paraId="42E04801" w14:textId="77777777" w:rsidR="009948F1" w:rsidRDefault="00BC0563">
            <w:pPr>
              <w:pStyle w:val="TableParagraph"/>
              <w:spacing w:before="4" w:line="214" w:lineRule="exact"/>
              <w:ind w:left="113"/>
              <w:rPr>
                <w:b/>
                <w:sz w:val="19"/>
              </w:rPr>
            </w:pPr>
            <w:r>
              <w:rPr>
                <w:b/>
                <w:color w:val="231F20"/>
                <w:sz w:val="19"/>
              </w:rPr>
              <w:t>National</w:t>
            </w:r>
          </w:p>
        </w:tc>
      </w:tr>
      <w:tr w:rsidR="009948F1" w14:paraId="39C49E70" w14:textId="77777777">
        <w:trPr>
          <w:trHeight w:val="869"/>
        </w:trPr>
        <w:tc>
          <w:tcPr>
            <w:tcW w:w="3289" w:type="dxa"/>
            <w:tcBorders>
              <w:top w:val="nil"/>
              <w:bottom w:val="single" w:sz="6" w:space="0" w:color="231F20"/>
            </w:tcBorders>
          </w:tcPr>
          <w:p w14:paraId="2D80F3E2" w14:textId="4A97FB1F" w:rsidR="009948F1" w:rsidRDefault="00BC0563">
            <w:pPr>
              <w:pStyle w:val="TableParagraph"/>
              <w:ind w:left="110" w:right="98" w:firstLine="51"/>
              <w:jc w:val="both"/>
              <w:rPr>
                <w:sz w:val="19"/>
              </w:rPr>
            </w:pPr>
            <w:r>
              <w:rPr>
                <w:color w:val="231F20"/>
                <w:sz w:val="19"/>
              </w:rPr>
              <w:t>Percentage of PHCs with</w:t>
            </w:r>
            <w:r>
              <w:rPr>
                <w:color w:val="231F20"/>
                <w:spacing w:val="-30"/>
                <w:sz w:val="19"/>
              </w:rPr>
              <w:t xml:space="preserve"> </w:t>
            </w:r>
            <w:r>
              <w:rPr>
                <w:color w:val="231F20"/>
                <w:sz w:val="19"/>
              </w:rPr>
              <w:t xml:space="preserve">functional Ward Development </w:t>
            </w:r>
            <w:r>
              <w:rPr>
                <w:color w:val="231F20"/>
                <w:spacing w:val="-3"/>
                <w:sz w:val="19"/>
              </w:rPr>
              <w:t xml:space="preserve">Committees </w:t>
            </w:r>
            <w:r>
              <w:rPr>
                <w:color w:val="231F20"/>
                <w:sz w:val="19"/>
              </w:rPr>
              <w:t>increase by 50% of</w:t>
            </w:r>
            <w:r>
              <w:rPr>
                <w:color w:val="231F20"/>
                <w:spacing w:val="-21"/>
                <w:sz w:val="19"/>
              </w:rPr>
              <w:t xml:space="preserve"> </w:t>
            </w:r>
            <w:r>
              <w:rPr>
                <w:color w:val="231F20"/>
                <w:sz w:val="19"/>
              </w:rPr>
              <w:t>baseline</w:t>
            </w:r>
          </w:p>
        </w:tc>
        <w:tc>
          <w:tcPr>
            <w:tcW w:w="1039" w:type="dxa"/>
            <w:tcBorders>
              <w:top w:val="nil"/>
              <w:bottom w:val="single" w:sz="6" w:space="0" w:color="231F20"/>
            </w:tcBorders>
          </w:tcPr>
          <w:p w14:paraId="4718DD99" w14:textId="77777777" w:rsidR="009948F1" w:rsidRDefault="00BC0563">
            <w:pPr>
              <w:pStyle w:val="TableParagraph"/>
              <w:spacing w:line="217" w:lineRule="exact"/>
              <w:ind w:left="111"/>
              <w:rPr>
                <w:sz w:val="19"/>
              </w:rPr>
            </w:pPr>
            <w:r>
              <w:rPr>
                <w:color w:val="231F20"/>
                <w:sz w:val="19"/>
              </w:rPr>
              <w:t>TBD</w:t>
            </w:r>
          </w:p>
        </w:tc>
        <w:tc>
          <w:tcPr>
            <w:tcW w:w="746" w:type="dxa"/>
            <w:tcBorders>
              <w:top w:val="nil"/>
              <w:bottom w:val="single" w:sz="6" w:space="0" w:color="231F20"/>
            </w:tcBorders>
          </w:tcPr>
          <w:p w14:paraId="1FFA0EC6" w14:textId="77777777" w:rsidR="009948F1" w:rsidRDefault="00BC0563">
            <w:pPr>
              <w:pStyle w:val="TableParagraph"/>
              <w:spacing w:line="217" w:lineRule="exact"/>
              <w:ind w:left="112"/>
              <w:rPr>
                <w:sz w:val="19"/>
              </w:rPr>
            </w:pPr>
            <w:r>
              <w:rPr>
                <w:color w:val="231F20"/>
                <w:sz w:val="19"/>
              </w:rPr>
              <w:t>10%</w:t>
            </w:r>
          </w:p>
        </w:tc>
        <w:tc>
          <w:tcPr>
            <w:tcW w:w="744" w:type="dxa"/>
            <w:tcBorders>
              <w:top w:val="nil"/>
              <w:bottom w:val="single" w:sz="6" w:space="0" w:color="231F20"/>
            </w:tcBorders>
          </w:tcPr>
          <w:p w14:paraId="571593C0" w14:textId="77777777" w:rsidR="009948F1" w:rsidRDefault="00BC0563">
            <w:pPr>
              <w:pStyle w:val="TableParagraph"/>
              <w:spacing w:line="217" w:lineRule="exact"/>
              <w:ind w:left="112"/>
              <w:rPr>
                <w:sz w:val="19"/>
              </w:rPr>
            </w:pPr>
            <w:r>
              <w:rPr>
                <w:color w:val="231F20"/>
                <w:sz w:val="19"/>
              </w:rPr>
              <w:t>12%</w:t>
            </w:r>
          </w:p>
        </w:tc>
        <w:tc>
          <w:tcPr>
            <w:tcW w:w="746" w:type="dxa"/>
            <w:tcBorders>
              <w:top w:val="nil"/>
              <w:bottom w:val="single" w:sz="6" w:space="0" w:color="231F20"/>
            </w:tcBorders>
          </w:tcPr>
          <w:p w14:paraId="71D21413" w14:textId="77777777" w:rsidR="009948F1" w:rsidRDefault="00BC0563">
            <w:pPr>
              <w:pStyle w:val="TableParagraph"/>
              <w:spacing w:line="217" w:lineRule="exact"/>
              <w:ind w:left="112"/>
              <w:rPr>
                <w:sz w:val="19"/>
              </w:rPr>
            </w:pPr>
            <w:r>
              <w:rPr>
                <w:color w:val="231F20"/>
                <w:sz w:val="19"/>
              </w:rPr>
              <w:t>14%</w:t>
            </w:r>
          </w:p>
        </w:tc>
        <w:tc>
          <w:tcPr>
            <w:tcW w:w="744" w:type="dxa"/>
            <w:tcBorders>
              <w:top w:val="nil"/>
              <w:bottom w:val="single" w:sz="6" w:space="0" w:color="231F20"/>
            </w:tcBorders>
          </w:tcPr>
          <w:p w14:paraId="23590940" w14:textId="77777777" w:rsidR="009948F1" w:rsidRDefault="00BC0563">
            <w:pPr>
              <w:pStyle w:val="TableParagraph"/>
              <w:spacing w:line="217" w:lineRule="exact"/>
              <w:ind w:left="113"/>
              <w:rPr>
                <w:sz w:val="19"/>
              </w:rPr>
            </w:pPr>
            <w:r>
              <w:rPr>
                <w:color w:val="231F20"/>
                <w:sz w:val="19"/>
              </w:rPr>
              <w:t>16%</w:t>
            </w:r>
          </w:p>
        </w:tc>
        <w:tc>
          <w:tcPr>
            <w:tcW w:w="776" w:type="dxa"/>
            <w:tcBorders>
              <w:top w:val="nil"/>
              <w:bottom w:val="single" w:sz="6" w:space="0" w:color="231F20"/>
            </w:tcBorders>
          </w:tcPr>
          <w:p w14:paraId="29C4A8E7" w14:textId="77777777" w:rsidR="009948F1" w:rsidRDefault="00BC0563">
            <w:pPr>
              <w:pStyle w:val="TableParagraph"/>
              <w:spacing w:line="217" w:lineRule="exact"/>
              <w:ind w:left="113"/>
              <w:rPr>
                <w:sz w:val="19"/>
              </w:rPr>
            </w:pPr>
            <w:r>
              <w:rPr>
                <w:color w:val="231F20"/>
                <w:sz w:val="19"/>
              </w:rPr>
              <w:t>18%</w:t>
            </w:r>
          </w:p>
        </w:tc>
        <w:tc>
          <w:tcPr>
            <w:tcW w:w="1158" w:type="dxa"/>
            <w:tcBorders>
              <w:top w:val="nil"/>
              <w:bottom w:val="single" w:sz="6" w:space="0" w:color="231F20"/>
            </w:tcBorders>
          </w:tcPr>
          <w:p w14:paraId="789078C9" w14:textId="77777777" w:rsidR="009948F1" w:rsidRDefault="00BC0563">
            <w:pPr>
              <w:pStyle w:val="TableParagraph"/>
              <w:ind w:left="113" w:right="322"/>
              <w:rPr>
                <w:sz w:val="19"/>
              </w:rPr>
            </w:pPr>
            <w:r>
              <w:rPr>
                <w:color w:val="231F20"/>
                <w:w w:val="95"/>
                <w:sz w:val="19"/>
              </w:rPr>
              <w:t xml:space="preserve">Increase </w:t>
            </w:r>
            <w:r>
              <w:rPr>
                <w:color w:val="231F20"/>
                <w:sz w:val="19"/>
              </w:rPr>
              <w:t>by 50%</w:t>
            </w:r>
          </w:p>
          <w:p w14:paraId="5976B32D" w14:textId="77777777" w:rsidR="009948F1" w:rsidRDefault="00BC0563">
            <w:pPr>
              <w:pStyle w:val="TableParagraph"/>
              <w:spacing w:before="3" w:line="218" w:lineRule="exact"/>
              <w:ind w:left="113" w:right="342"/>
              <w:rPr>
                <w:sz w:val="19"/>
              </w:rPr>
            </w:pPr>
            <w:r>
              <w:rPr>
                <w:color w:val="231F20"/>
                <w:sz w:val="19"/>
              </w:rPr>
              <w:t xml:space="preserve">from </w:t>
            </w:r>
            <w:r>
              <w:rPr>
                <w:color w:val="231F20"/>
                <w:w w:val="95"/>
                <w:sz w:val="19"/>
              </w:rPr>
              <w:t>baseline</w:t>
            </w:r>
          </w:p>
        </w:tc>
      </w:tr>
      <w:tr w:rsidR="009948F1" w14:paraId="261E925C" w14:textId="77777777">
        <w:trPr>
          <w:trHeight w:val="643"/>
        </w:trPr>
        <w:tc>
          <w:tcPr>
            <w:tcW w:w="3289" w:type="dxa"/>
            <w:tcBorders>
              <w:top w:val="single" w:sz="6" w:space="0" w:color="231F20"/>
              <w:bottom w:val="single" w:sz="6" w:space="0" w:color="231F20"/>
            </w:tcBorders>
          </w:tcPr>
          <w:p w14:paraId="46FF0767" w14:textId="77777777" w:rsidR="009948F1" w:rsidRDefault="00BC0563">
            <w:pPr>
              <w:pStyle w:val="TableParagraph"/>
              <w:spacing w:line="242" w:lineRule="auto"/>
              <w:ind w:left="110" w:right="149"/>
              <w:rPr>
                <w:sz w:val="19"/>
              </w:rPr>
            </w:pPr>
            <w:r>
              <w:rPr>
                <w:color w:val="231F20"/>
                <w:sz w:val="19"/>
              </w:rPr>
              <w:t xml:space="preserve">Percentage of wards with functional CHIPs </w:t>
            </w:r>
            <w:proofErr w:type="spellStart"/>
            <w:r>
              <w:rPr>
                <w:color w:val="231F20"/>
                <w:sz w:val="19"/>
              </w:rPr>
              <w:t>programme</w:t>
            </w:r>
            <w:proofErr w:type="spellEnd"/>
          </w:p>
        </w:tc>
        <w:tc>
          <w:tcPr>
            <w:tcW w:w="1039" w:type="dxa"/>
            <w:tcBorders>
              <w:top w:val="single" w:sz="6" w:space="0" w:color="231F20"/>
              <w:bottom w:val="single" w:sz="6" w:space="0" w:color="231F20"/>
            </w:tcBorders>
          </w:tcPr>
          <w:p w14:paraId="40CBD6A8" w14:textId="77777777" w:rsidR="009948F1" w:rsidRDefault="00BC0563">
            <w:pPr>
              <w:pStyle w:val="TableParagraph"/>
              <w:spacing w:line="209" w:lineRule="exact"/>
              <w:ind w:left="111"/>
              <w:rPr>
                <w:sz w:val="19"/>
              </w:rPr>
            </w:pPr>
            <w:r>
              <w:rPr>
                <w:color w:val="231F20"/>
                <w:sz w:val="19"/>
              </w:rPr>
              <w:t>TBD</w:t>
            </w:r>
          </w:p>
        </w:tc>
        <w:tc>
          <w:tcPr>
            <w:tcW w:w="746" w:type="dxa"/>
            <w:tcBorders>
              <w:top w:val="single" w:sz="6" w:space="0" w:color="231F20"/>
              <w:bottom w:val="single" w:sz="6" w:space="0" w:color="231F20"/>
            </w:tcBorders>
          </w:tcPr>
          <w:p w14:paraId="66F6B582" w14:textId="77777777" w:rsidR="009948F1" w:rsidRDefault="00BC0563">
            <w:pPr>
              <w:pStyle w:val="TableParagraph"/>
              <w:spacing w:line="209" w:lineRule="exact"/>
              <w:ind w:left="112"/>
              <w:rPr>
                <w:sz w:val="19"/>
              </w:rPr>
            </w:pPr>
            <w:r>
              <w:rPr>
                <w:color w:val="231F20"/>
                <w:sz w:val="19"/>
              </w:rPr>
              <w:t>10</w:t>
            </w:r>
          </w:p>
        </w:tc>
        <w:tc>
          <w:tcPr>
            <w:tcW w:w="744" w:type="dxa"/>
            <w:tcBorders>
              <w:top w:val="single" w:sz="6" w:space="0" w:color="231F20"/>
              <w:bottom w:val="single" w:sz="6" w:space="0" w:color="231F20"/>
            </w:tcBorders>
          </w:tcPr>
          <w:p w14:paraId="219E2B33" w14:textId="77777777" w:rsidR="009948F1" w:rsidRDefault="00BC0563">
            <w:pPr>
              <w:pStyle w:val="TableParagraph"/>
              <w:spacing w:line="209" w:lineRule="exact"/>
              <w:ind w:left="112"/>
              <w:rPr>
                <w:sz w:val="19"/>
              </w:rPr>
            </w:pPr>
            <w:r>
              <w:rPr>
                <w:color w:val="231F20"/>
                <w:sz w:val="19"/>
              </w:rPr>
              <w:t>12</w:t>
            </w:r>
          </w:p>
        </w:tc>
        <w:tc>
          <w:tcPr>
            <w:tcW w:w="746" w:type="dxa"/>
            <w:tcBorders>
              <w:top w:val="single" w:sz="6" w:space="0" w:color="231F20"/>
              <w:bottom w:val="single" w:sz="6" w:space="0" w:color="231F20"/>
            </w:tcBorders>
          </w:tcPr>
          <w:p w14:paraId="4BEBF761" w14:textId="77777777" w:rsidR="009948F1" w:rsidRDefault="00BC0563">
            <w:pPr>
              <w:pStyle w:val="TableParagraph"/>
              <w:spacing w:line="209" w:lineRule="exact"/>
              <w:ind w:left="112"/>
              <w:rPr>
                <w:sz w:val="19"/>
              </w:rPr>
            </w:pPr>
            <w:r>
              <w:rPr>
                <w:color w:val="231F20"/>
                <w:sz w:val="19"/>
              </w:rPr>
              <w:t>14</w:t>
            </w:r>
          </w:p>
        </w:tc>
        <w:tc>
          <w:tcPr>
            <w:tcW w:w="744" w:type="dxa"/>
            <w:tcBorders>
              <w:top w:val="single" w:sz="6" w:space="0" w:color="231F20"/>
              <w:bottom w:val="single" w:sz="6" w:space="0" w:color="231F20"/>
            </w:tcBorders>
          </w:tcPr>
          <w:p w14:paraId="367E1264" w14:textId="77777777" w:rsidR="009948F1" w:rsidRDefault="00BC0563">
            <w:pPr>
              <w:pStyle w:val="TableParagraph"/>
              <w:spacing w:line="209" w:lineRule="exact"/>
              <w:ind w:left="113"/>
              <w:rPr>
                <w:sz w:val="19"/>
              </w:rPr>
            </w:pPr>
            <w:r>
              <w:rPr>
                <w:color w:val="231F20"/>
                <w:sz w:val="19"/>
              </w:rPr>
              <w:t>16</w:t>
            </w:r>
          </w:p>
        </w:tc>
        <w:tc>
          <w:tcPr>
            <w:tcW w:w="776" w:type="dxa"/>
            <w:tcBorders>
              <w:top w:val="single" w:sz="6" w:space="0" w:color="231F20"/>
              <w:bottom w:val="single" w:sz="6" w:space="0" w:color="231F20"/>
            </w:tcBorders>
          </w:tcPr>
          <w:p w14:paraId="1D944B1D" w14:textId="77777777" w:rsidR="009948F1" w:rsidRDefault="00BC0563">
            <w:pPr>
              <w:pStyle w:val="TableParagraph"/>
              <w:spacing w:line="209" w:lineRule="exact"/>
              <w:ind w:left="113"/>
              <w:rPr>
                <w:sz w:val="19"/>
              </w:rPr>
            </w:pPr>
            <w:r>
              <w:rPr>
                <w:color w:val="231F20"/>
                <w:sz w:val="19"/>
              </w:rPr>
              <w:t>18</w:t>
            </w:r>
          </w:p>
        </w:tc>
        <w:tc>
          <w:tcPr>
            <w:tcW w:w="1158" w:type="dxa"/>
            <w:tcBorders>
              <w:top w:val="single" w:sz="6" w:space="0" w:color="231F20"/>
              <w:bottom w:val="single" w:sz="6" w:space="0" w:color="231F20"/>
            </w:tcBorders>
          </w:tcPr>
          <w:p w14:paraId="5D1267A2" w14:textId="77777777" w:rsidR="009948F1" w:rsidRDefault="00BC0563">
            <w:pPr>
              <w:pStyle w:val="TableParagraph"/>
              <w:spacing w:line="209" w:lineRule="exact"/>
              <w:ind w:left="113"/>
              <w:rPr>
                <w:sz w:val="19"/>
              </w:rPr>
            </w:pPr>
            <w:r>
              <w:rPr>
                <w:color w:val="231F20"/>
                <w:w w:val="97"/>
                <w:sz w:val="19"/>
              </w:rPr>
              <w:t>0</w:t>
            </w:r>
          </w:p>
        </w:tc>
      </w:tr>
      <w:tr w:rsidR="009948F1" w14:paraId="4C0BF31C" w14:textId="77777777">
        <w:trPr>
          <w:trHeight w:val="867"/>
        </w:trPr>
        <w:tc>
          <w:tcPr>
            <w:tcW w:w="3289" w:type="dxa"/>
            <w:tcBorders>
              <w:top w:val="single" w:sz="6" w:space="0" w:color="231F20"/>
              <w:bottom w:val="single" w:sz="6" w:space="0" w:color="231F20"/>
            </w:tcBorders>
          </w:tcPr>
          <w:p w14:paraId="7DE1AB76" w14:textId="77777777" w:rsidR="009948F1" w:rsidRDefault="00BC0563">
            <w:pPr>
              <w:pStyle w:val="TableParagraph"/>
              <w:ind w:left="110" w:right="318"/>
              <w:rPr>
                <w:sz w:val="19"/>
              </w:rPr>
            </w:pPr>
            <w:r>
              <w:rPr>
                <w:color w:val="231F20"/>
                <w:sz w:val="19"/>
              </w:rPr>
              <w:t>Percentage of WDCs carrying out health activities increased to 50%</w:t>
            </w:r>
          </w:p>
        </w:tc>
        <w:tc>
          <w:tcPr>
            <w:tcW w:w="1039" w:type="dxa"/>
            <w:tcBorders>
              <w:top w:val="single" w:sz="6" w:space="0" w:color="231F20"/>
              <w:bottom w:val="single" w:sz="6" w:space="0" w:color="231F20"/>
            </w:tcBorders>
          </w:tcPr>
          <w:p w14:paraId="557BB81D" w14:textId="77777777" w:rsidR="009948F1" w:rsidRDefault="00BC0563">
            <w:pPr>
              <w:pStyle w:val="TableParagraph"/>
              <w:spacing w:line="215" w:lineRule="exact"/>
              <w:ind w:left="111"/>
              <w:rPr>
                <w:sz w:val="19"/>
              </w:rPr>
            </w:pPr>
            <w:r>
              <w:rPr>
                <w:color w:val="231F20"/>
                <w:sz w:val="19"/>
              </w:rPr>
              <w:t>TBD</w:t>
            </w:r>
          </w:p>
        </w:tc>
        <w:tc>
          <w:tcPr>
            <w:tcW w:w="746" w:type="dxa"/>
            <w:tcBorders>
              <w:top w:val="single" w:sz="6" w:space="0" w:color="231F20"/>
              <w:bottom w:val="single" w:sz="6" w:space="0" w:color="231F20"/>
            </w:tcBorders>
          </w:tcPr>
          <w:p w14:paraId="06532042" w14:textId="77777777" w:rsidR="009948F1" w:rsidRDefault="00BC0563">
            <w:pPr>
              <w:pStyle w:val="TableParagraph"/>
              <w:spacing w:line="215" w:lineRule="exact"/>
              <w:ind w:left="112"/>
              <w:rPr>
                <w:sz w:val="19"/>
              </w:rPr>
            </w:pPr>
            <w:r>
              <w:rPr>
                <w:color w:val="231F20"/>
                <w:sz w:val="19"/>
              </w:rPr>
              <w:t>10</w:t>
            </w:r>
          </w:p>
        </w:tc>
        <w:tc>
          <w:tcPr>
            <w:tcW w:w="744" w:type="dxa"/>
            <w:tcBorders>
              <w:top w:val="single" w:sz="6" w:space="0" w:color="231F20"/>
              <w:bottom w:val="single" w:sz="6" w:space="0" w:color="231F20"/>
            </w:tcBorders>
          </w:tcPr>
          <w:p w14:paraId="3E0930C9" w14:textId="77777777" w:rsidR="009948F1" w:rsidRDefault="00BC0563">
            <w:pPr>
              <w:pStyle w:val="TableParagraph"/>
              <w:spacing w:line="215" w:lineRule="exact"/>
              <w:ind w:left="112"/>
              <w:rPr>
                <w:sz w:val="19"/>
              </w:rPr>
            </w:pPr>
            <w:r>
              <w:rPr>
                <w:color w:val="231F20"/>
                <w:sz w:val="19"/>
              </w:rPr>
              <w:t>12</w:t>
            </w:r>
          </w:p>
        </w:tc>
        <w:tc>
          <w:tcPr>
            <w:tcW w:w="746" w:type="dxa"/>
            <w:tcBorders>
              <w:top w:val="single" w:sz="6" w:space="0" w:color="231F20"/>
              <w:bottom w:val="single" w:sz="6" w:space="0" w:color="231F20"/>
            </w:tcBorders>
          </w:tcPr>
          <w:p w14:paraId="01A15A54" w14:textId="77777777" w:rsidR="009948F1" w:rsidRDefault="00BC0563">
            <w:pPr>
              <w:pStyle w:val="TableParagraph"/>
              <w:spacing w:line="215" w:lineRule="exact"/>
              <w:ind w:left="112"/>
              <w:rPr>
                <w:sz w:val="19"/>
              </w:rPr>
            </w:pPr>
            <w:r>
              <w:rPr>
                <w:color w:val="231F20"/>
                <w:sz w:val="19"/>
              </w:rPr>
              <w:t>14</w:t>
            </w:r>
          </w:p>
        </w:tc>
        <w:tc>
          <w:tcPr>
            <w:tcW w:w="744" w:type="dxa"/>
            <w:tcBorders>
              <w:top w:val="single" w:sz="6" w:space="0" w:color="231F20"/>
              <w:bottom w:val="single" w:sz="6" w:space="0" w:color="231F20"/>
            </w:tcBorders>
          </w:tcPr>
          <w:p w14:paraId="2612EAAF" w14:textId="77777777" w:rsidR="009948F1" w:rsidRDefault="00BC0563">
            <w:pPr>
              <w:pStyle w:val="TableParagraph"/>
              <w:spacing w:line="215" w:lineRule="exact"/>
              <w:ind w:left="113"/>
              <w:rPr>
                <w:sz w:val="19"/>
              </w:rPr>
            </w:pPr>
            <w:r>
              <w:rPr>
                <w:color w:val="231F20"/>
                <w:sz w:val="19"/>
              </w:rPr>
              <w:t>16</w:t>
            </w:r>
          </w:p>
        </w:tc>
        <w:tc>
          <w:tcPr>
            <w:tcW w:w="776" w:type="dxa"/>
            <w:tcBorders>
              <w:top w:val="single" w:sz="6" w:space="0" w:color="231F20"/>
              <w:bottom w:val="single" w:sz="6" w:space="0" w:color="231F20"/>
            </w:tcBorders>
          </w:tcPr>
          <w:p w14:paraId="3EC20ED2" w14:textId="77777777" w:rsidR="009948F1" w:rsidRDefault="00BC0563">
            <w:pPr>
              <w:pStyle w:val="TableParagraph"/>
              <w:spacing w:line="215" w:lineRule="exact"/>
              <w:ind w:left="113"/>
              <w:rPr>
                <w:sz w:val="19"/>
              </w:rPr>
            </w:pPr>
            <w:r>
              <w:rPr>
                <w:color w:val="231F20"/>
                <w:sz w:val="19"/>
              </w:rPr>
              <w:t>18</w:t>
            </w:r>
          </w:p>
        </w:tc>
        <w:tc>
          <w:tcPr>
            <w:tcW w:w="1158" w:type="dxa"/>
            <w:tcBorders>
              <w:top w:val="single" w:sz="6" w:space="0" w:color="231F20"/>
              <w:bottom w:val="single" w:sz="6" w:space="0" w:color="231F20"/>
            </w:tcBorders>
          </w:tcPr>
          <w:p w14:paraId="35BF6C10" w14:textId="77777777" w:rsidR="009948F1" w:rsidRDefault="00BC0563">
            <w:pPr>
              <w:pStyle w:val="TableParagraph"/>
              <w:ind w:left="113" w:right="322"/>
              <w:rPr>
                <w:sz w:val="19"/>
              </w:rPr>
            </w:pPr>
            <w:r>
              <w:rPr>
                <w:color w:val="231F20"/>
                <w:w w:val="95"/>
                <w:sz w:val="19"/>
              </w:rPr>
              <w:t xml:space="preserve">Increase </w:t>
            </w:r>
            <w:r>
              <w:rPr>
                <w:color w:val="231F20"/>
                <w:sz w:val="19"/>
              </w:rPr>
              <w:t>by 50% from</w:t>
            </w:r>
          </w:p>
          <w:p w14:paraId="0BA174D6" w14:textId="77777777" w:rsidR="009948F1" w:rsidRDefault="00BC0563">
            <w:pPr>
              <w:pStyle w:val="TableParagraph"/>
              <w:spacing w:line="196" w:lineRule="exact"/>
              <w:ind w:left="113"/>
              <w:rPr>
                <w:sz w:val="19"/>
              </w:rPr>
            </w:pPr>
            <w:r>
              <w:rPr>
                <w:color w:val="231F20"/>
                <w:sz w:val="19"/>
              </w:rPr>
              <w:t>baseline</w:t>
            </w:r>
          </w:p>
        </w:tc>
      </w:tr>
    </w:tbl>
    <w:p w14:paraId="017A49F3" w14:textId="77777777" w:rsidR="009948F1" w:rsidRDefault="009948F1">
      <w:pPr>
        <w:spacing w:line="196" w:lineRule="exact"/>
        <w:rPr>
          <w:sz w:val="19"/>
        </w:rPr>
        <w:sectPr w:rsidR="009948F1">
          <w:pgSz w:w="11910" w:h="16840"/>
          <w:pgMar w:top="1340" w:right="1080" w:bottom="1420" w:left="1120" w:header="0" w:footer="1235" w:gutter="0"/>
          <w:cols w:space="720"/>
        </w:sectPr>
      </w:pPr>
    </w:p>
    <w:p w14:paraId="4B739B69" w14:textId="77777777" w:rsidR="009948F1" w:rsidRDefault="00BC0563">
      <w:pPr>
        <w:pStyle w:val="Heading7"/>
        <w:spacing w:before="49"/>
        <w:ind w:left="206"/>
      </w:pPr>
      <w:bookmarkStart w:id="56" w:name="Page_42"/>
      <w:bookmarkEnd w:id="56"/>
      <w:r>
        <w:rPr>
          <w:color w:val="231F20"/>
        </w:rPr>
        <w:lastRenderedPageBreak/>
        <w:t>Interventions</w:t>
      </w:r>
    </w:p>
    <w:p w14:paraId="2D1DE476" w14:textId="77777777" w:rsidR="009948F1" w:rsidRDefault="00BC0563">
      <w:pPr>
        <w:pStyle w:val="ListParagraph"/>
        <w:numPr>
          <w:ilvl w:val="3"/>
          <w:numId w:val="295"/>
        </w:numPr>
        <w:tabs>
          <w:tab w:val="left" w:pos="974"/>
        </w:tabs>
        <w:spacing w:before="62" w:line="297" w:lineRule="auto"/>
        <w:ind w:right="222" w:firstLine="0"/>
      </w:pPr>
      <w:r>
        <w:rPr>
          <w:color w:val="231F20"/>
        </w:rPr>
        <w:t>Strengthen institutional and coordinating mechanisms for promotion of community participation.</w:t>
      </w:r>
      <w:r>
        <w:rPr>
          <w:color w:val="231F20"/>
          <w:spacing w:val="-22"/>
        </w:rPr>
        <w:t xml:space="preserve"> </w:t>
      </w:r>
      <w:r>
        <w:rPr>
          <w:color w:val="231F20"/>
        </w:rPr>
        <w:t>Key</w:t>
      </w:r>
      <w:r>
        <w:rPr>
          <w:color w:val="231F20"/>
          <w:spacing w:val="-22"/>
        </w:rPr>
        <w:t xml:space="preserve"> </w:t>
      </w:r>
      <w:r>
        <w:rPr>
          <w:color w:val="231F20"/>
        </w:rPr>
        <w:t>actions</w:t>
      </w:r>
      <w:r>
        <w:rPr>
          <w:color w:val="231F20"/>
          <w:spacing w:val="-21"/>
        </w:rPr>
        <w:t xml:space="preserve"> </w:t>
      </w:r>
      <w:r>
        <w:rPr>
          <w:color w:val="231F20"/>
        </w:rPr>
        <w:t>include;</w:t>
      </w:r>
      <w:r>
        <w:rPr>
          <w:color w:val="231F20"/>
          <w:spacing w:val="-22"/>
        </w:rPr>
        <w:t xml:space="preserve"> </w:t>
      </w:r>
      <w:r>
        <w:rPr>
          <w:color w:val="231F20"/>
        </w:rPr>
        <w:t>Setup/reactivate</w:t>
      </w:r>
      <w:r>
        <w:rPr>
          <w:color w:val="231F20"/>
          <w:spacing w:val="-22"/>
        </w:rPr>
        <w:t xml:space="preserve"> </w:t>
      </w:r>
      <w:r>
        <w:rPr>
          <w:color w:val="231F20"/>
          <w:spacing w:val="-3"/>
        </w:rPr>
        <w:t>Ward</w:t>
      </w:r>
      <w:r>
        <w:rPr>
          <w:color w:val="231F20"/>
          <w:spacing w:val="-21"/>
        </w:rPr>
        <w:t xml:space="preserve"> </w:t>
      </w:r>
      <w:r>
        <w:rPr>
          <w:color w:val="231F20"/>
        </w:rPr>
        <w:t>Development</w:t>
      </w:r>
      <w:r>
        <w:rPr>
          <w:color w:val="231F20"/>
          <w:spacing w:val="-22"/>
        </w:rPr>
        <w:t xml:space="preserve"> </w:t>
      </w:r>
      <w:r>
        <w:rPr>
          <w:color w:val="231F20"/>
        </w:rPr>
        <w:t>Committees</w:t>
      </w:r>
      <w:r>
        <w:rPr>
          <w:color w:val="231F20"/>
          <w:spacing w:val="-21"/>
        </w:rPr>
        <w:t xml:space="preserve"> </w:t>
      </w:r>
      <w:r>
        <w:rPr>
          <w:color w:val="231F20"/>
        </w:rPr>
        <w:t>(WDCs)</w:t>
      </w:r>
      <w:r>
        <w:rPr>
          <w:color w:val="231F20"/>
          <w:spacing w:val="-22"/>
        </w:rPr>
        <w:t xml:space="preserve"> </w:t>
      </w:r>
      <w:r>
        <w:rPr>
          <w:color w:val="231F20"/>
        </w:rPr>
        <w:t>in</w:t>
      </w:r>
      <w:r>
        <w:rPr>
          <w:color w:val="231F20"/>
          <w:spacing w:val="-22"/>
        </w:rPr>
        <w:t xml:space="preserve"> </w:t>
      </w:r>
      <w:r>
        <w:rPr>
          <w:color w:val="231F20"/>
          <w:spacing w:val="-5"/>
        </w:rPr>
        <w:t xml:space="preserve">the </w:t>
      </w:r>
      <w:r>
        <w:rPr>
          <w:color w:val="231F20"/>
        </w:rPr>
        <w:t>23 LGAs; Produce and disseminate guidelines for the functioning of community coordinating structures; Conduct advocacy and sensitization to community leaders for effective</w:t>
      </w:r>
      <w:r>
        <w:rPr>
          <w:color w:val="231F20"/>
          <w:spacing w:val="-23"/>
        </w:rPr>
        <w:t xml:space="preserve"> </w:t>
      </w:r>
      <w:r>
        <w:rPr>
          <w:color w:val="231F20"/>
        </w:rPr>
        <w:t>collaboration; Conduct</w:t>
      </w:r>
      <w:r>
        <w:rPr>
          <w:color w:val="231F20"/>
          <w:spacing w:val="-25"/>
        </w:rPr>
        <w:t xml:space="preserve"> </w:t>
      </w:r>
      <w:r>
        <w:rPr>
          <w:color w:val="231F20"/>
        </w:rPr>
        <w:t>capacity</w:t>
      </w:r>
      <w:r>
        <w:rPr>
          <w:color w:val="231F20"/>
          <w:spacing w:val="-25"/>
        </w:rPr>
        <w:t xml:space="preserve"> </w:t>
      </w:r>
      <w:r>
        <w:rPr>
          <w:color w:val="231F20"/>
        </w:rPr>
        <w:t>building</w:t>
      </w:r>
      <w:r>
        <w:rPr>
          <w:color w:val="231F20"/>
          <w:spacing w:val="-25"/>
        </w:rPr>
        <w:t xml:space="preserve"> </w:t>
      </w:r>
      <w:r>
        <w:rPr>
          <w:color w:val="231F20"/>
        </w:rPr>
        <w:t>for</w:t>
      </w:r>
      <w:r>
        <w:rPr>
          <w:color w:val="231F20"/>
          <w:spacing w:val="-25"/>
        </w:rPr>
        <w:t xml:space="preserve"> </w:t>
      </w:r>
      <w:r>
        <w:rPr>
          <w:color w:val="231F20"/>
          <w:spacing w:val="-3"/>
        </w:rPr>
        <w:t>Ward</w:t>
      </w:r>
      <w:r>
        <w:rPr>
          <w:color w:val="231F20"/>
          <w:spacing w:val="-25"/>
        </w:rPr>
        <w:t xml:space="preserve"> </w:t>
      </w:r>
      <w:r>
        <w:rPr>
          <w:color w:val="231F20"/>
        </w:rPr>
        <w:t>Development</w:t>
      </w:r>
      <w:r>
        <w:rPr>
          <w:color w:val="231F20"/>
          <w:spacing w:val="-25"/>
        </w:rPr>
        <w:t xml:space="preserve"> </w:t>
      </w:r>
      <w:r>
        <w:rPr>
          <w:color w:val="231F20"/>
        </w:rPr>
        <w:t>Committee</w:t>
      </w:r>
      <w:r>
        <w:rPr>
          <w:color w:val="231F20"/>
          <w:spacing w:val="-25"/>
        </w:rPr>
        <w:t xml:space="preserve"> </w:t>
      </w:r>
      <w:r>
        <w:rPr>
          <w:color w:val="231F20"/>
        </w:rPr>
        <w:t>on</w:t>
      </w:r>
      <w:r>
        <w:rPr>
          <w:color w:val="231F20"/>
          <w:spacing w:val="-25"/>
        </w:rPr>
        <w:t xml:space="preserve"> </w:t>
      </w:r>
      <w:r>
        <w:rPr>
          <w:color w:val="231F20"/>
        </w:rPr>
        <w:t>community</w:t>
      </w:r>
      <w:r>
        <w:rPr>
          <w:color w:val="231F20"/>
          <w:spacing w:val="-25"/>
        </w:rPr>
        <w:t xml:space="preserve"> </w:t>
      </w:r>
      <w:r>
        <w:rPr>
          <w:color w:val="231F20"/>
        </w:rPr>
        <w:t>participation.</w:t>
      </w:r>
    </w:p>
    <w:p w14:paraId="6ED25596" w14:textId="77777777" w:rsidR="009948F1" w:rsidRDefault="00BC0563">
      <w:pPr>
        <w:pStyle w:val="ListParagraph"/>
        <w:numPr>
          <w:ilvl w:val="3"/>
          <w:numId w:val="295"/>
        </w:numPr>
        <w:tabs>
          <w:tab w:val="left" w:pos="904"/>
        </w:tabs>
        <w:spacing w:before="2" w:line="297" w:lineRule="auto"/>
        <w:ind w:right="220" w:firstLine="0"/>
      </w:pPr>
      <w:r>
        <w:rPr>
          <w:color w:val="231F20"/>
        </w:rPr>
        <w:t>Strengthen financial management systems at the community levels. Key actions</w:t>
      </w:r>
      <w:r>
        <w:rPr>
          <w:color w:val="231F20"/>
          <w:spacing w:val="-34"/>
        </w:rPr>
        <w:t xml:space="preserve"> </w:t>
      </w:r>
      <w:proofErr w:type="gramStart"/>
      <w:r>
        <w:rPr>
          <w:color w:val="231F20"/>
        </w:rPr>
        <w:t>include;</w:t>
      </w:r>
      <w:proofErr w:type="gramEnd"/>
      <w:r>
        <w:rPr>
          <w:color w:val="231F20"/>
        </w:rPr>
        <w:t xml:space="preserve"> Institute a system for financial monitoring and auditing at community level; Build capacity </w:t>
      </w:r>
      <w:r>
        <w:rPr>
          <w:color w:val="231F20"/>
          <w:spacing w:val="-7"/>
        </w:rPr>
        <w:t xml:space="preserve">of </w:t>
      </w:r>
      <w:r>
        <w:rPr>
          <w:color w:val="231F20"/>
        </w:rPr>
        <w:t xml:space="preserve">community committees and structures (CBOs, FBOs, WDCs, </w:t>
      </w:r>
      <w:proofErr w:type="spellStart"/>
      <w:r>
        <w:rPr>
          <w:color w:val="231F20"/>
        </w:rPr>
        <w:t>etc</w:t>
      </w:r>
      <w:proofErr w:type="spellEnd"/>
      <w:r>
        <w:rPr>
          <w:color w:val="231F20"/>
        </w:rPr>
        <w:t>) on resource mobilization, financial</w:t>
      </w:r>
      <w:r>
        <w:rPr>
          <w:color w:val="231F20"/>
          <w:spacing w:val="-26"/>
        </w:rPr>
        <w:t xml:space="preserve"> </w:t>
      </w:r>
      <w:r>
        <w:rPr>
          <w:color w:val="231F20"/>
        </w:rPr>
        <w:t>management</w:t>
      </w:r>
      <w:r>
        <w:rPr>
          <w:color w:val="231F20"/>
          <w:spacing w:val="-25"/>
        </w:rPr>
        <w:t xml:space="preserve"> </w:t>
      </w:r>
      <w:r>
        <w:rPr>
          <w:color w:val="231F20"/>
        </w:rPr>
        <w:t>system</w:t>
      </w:r>
      <w:r>
        <w:rPr>
          <w:color w:val="231F20"/>
          <w:spacing w:val="-25"/>
        </w:rPr>
        <w:t xml:space="preserve"> </w:t>
      </w:r>
      <w:r>
        <w:rPr>
          <w:color w:val="231F20"/>
        </w:rPr>
        <w:t>and</w:t>
      </w:r>
      <w:r>
        <w:rPr>
          <w:color w:val="231F20"/>
          <w:spacing w:val="-25"/>
        </w:rPr>
        <w:t xml:space="preserve"> </w:t>
      </w:r>
      <w:r>
        <w:rPr>
          <w:color w:val="231F20"/>
        </w:rPr>
        <w:t>accountability</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community</w:t>
      </w:r>
      <w:r>
        <w:rPr>
          <w:color w:val="231F20"/>
          <w:spacing w:val="-25"/>
        </w:rPr>
        <w:t xml:space="preserve"> </w:t>
      </w:r>
      <w:r>
        <w:rPr>
          <w:color w:val="231F20"/>
        </w:rPr>
        <w:t>level.</w:t>
      </w:r>
    </w:p>
    <w:p w14:paraId="162A49B7" w14:textId="77777777" w:rsidR="009948F1" w:rsidRDefault="009948F1">
      <w:pPr>
        <w:pStyle w:val="BodyText"/>
        <w:spacing w:before="6"/>
        <w:rPr>
          <w:sz w:val="27"/>
        </w:rPr>
      </w:pPr>
    </w:p>
    <w:p w14:paraId="6F5AAC72" w14:textId="77777777" w:rsidR="009948F1" w:rsidRDefault="00BC0563">
      <w:pPr>
        <w:pStyle w:val="ListParagraph"/>
        <w:numPr>
          <w:ilvl w:val="3"/>
          <w:numId w:val="295"/>
        </w:numPr>
        <w:tabs>
          <w:tab w:val="left" w:pos="896"/>
        </w:tabs>
        <w:spacing w:line="297" w:lineRule="auto"/>
        <w:ind w:right="222" w:firstLine="0"/>
      </w:pPr>
      <w:r>
        <w:rPr>
          <w:color w:val="231F20"/>
        </w:rPr>
        <w:t>Strengthen</w:t>
      </w:r>
      <w:r>
        <w:rPr>
          <w:color w:val="231F20"/>
          <w:spacing w:val="-8"/>
        </w:rPr>
        <w:t xml:space="preserve"> </w:t>
      </w:r>
      <w:r>
        <w:rPr>
          <w:color w:val="231F20"/>
        </w:rPr>
        <w:t>capacities</w:t>
      </w:r>
      <w:r>
        <w:rPr>
          <w:color w:val="231F20"/>
          <w:spacing w:val="-8"/>
        </w:rPr>
        <w:t xml:space="preserve"> </w:t>
      </w:r>
      <w:r>
        <w:rPr>
          <w:color w:val="231F20"/>
        </w:rPr>
        <w:t>of</w:t>
      </w:r>
      <w:r>
        <w:rPr>
          <w:color w:val="231F20"/>
          <w:spacing w:val="-8"/>
        </w:rPr>
        <w:t xml:space="preserve"> </w:t>
      </w:r>
      <w:r>
        <w:rPr>
          <w:color w:val="231F20"/>
        </w:rPr>
        <w:t>communities</w:t>
      </w:r>
      <w:r>
        <w:rPr>
          <w:color w:val="231F20"/>
          <w:spacing w:val="-8"/>
        </w:rPr>
        <w:t xml:space="preserve"> </w:t>
      </w:r>
      <w:r>
        <w:rPr>
          <w:color w:val="231F20"/>
        </w:rPr>
        <w:t>to</w:t>
      </w:r>
      <w:r>
        <w:rPr>
          <w:color w:val="231F20"/>
          <w:spacing w:val="-8"/>
        </w:rPr>
        <w:t xml:space="preserve"> </w:t>
      </w:r>
      <w:r>
        <w:rPr>
          <w:color w:val="231F20"/>
        </w:rPr>
        <w:t>participate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planning</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spacing w:val="-2"/>
        </w:rPr>
        <w:t xml:space="preserve">interventions </w:t>
      </w:r>
      <w:r>
        <w:rPr>
          <w:color w:val="231F20"/>
        </w:rPr>
        <w:t xml:space="preserve">at all levels. Key actions include Engage WDCs to participate in the planning of </w:t>
      </w:r>
      <w:r>
        <w:rPr>
          <w:color w:val="231F20"/>
          <w:spacing w:val="-3"/>
        </w:rPr>
        <w:t xml:space="preserve">health </w:t>
      </w:r>
      <w:r>
        <w:rPr>
          <w:color w:val="231F20"/>
        </w:rPr>
        <w:t>interventions;</w:t>
      </w:r>
      <w:r>
        <w:rPr>
          <w:color w:val="231F20"/>
          <w:spacing w:val="-21"/>
        </w:rPr>
        <w:t xml:space="preserve"> </w:t>
      </w:r>
      <w:r>
        <w:rPr>
          <w:color w:val="231F20"/>
        </w:rPr>
        <w:t>Strengthen</w:t>
      </w:r>
      <w:r>
        <w:rPr>
          <w:color w:val="231F20"/>
          <w:spacing w:val="-20"/>
        </w:rPr>
        <w:t xml:space="preserve"> </w:t>
      </w:r>
      <w:r>
        <w:rPr>
          <w:color w:val="231F20"/>
        </w:rPr>
        <w:t>community</w:t>
      </w:r>
      <w:r>
        <w:rPr>
          <w:color w:val="231F20"/>
          <w:spacing w:val="-20"/>
        </w:rPr>
        <w:t xml:space="preserve"> </w:t>
      </w:r>
      <w:r>
        <w:rPr>
          <w:color w:val="231F20"/>
        </w:rPr>
        <w:t>and</w:t>
      </w:r>
      <w:r>
        <w:rPr>
          <w:color w:val="231F20"/>
          <w:spacing w:val="-20"/>
        </w:rPr>
        <w:t xml:space="preserve"> </w:t>
      </w:r>
      <w:r>
        <w:rPr>
          <w:color w:val="231F20"/>
        </w:rPr>
        <w:t>ward</w:t>
      </w:r>
      <w:r>
        <w:rPr>
          <w:color w:val="231F20"/>
          <w:spacing w:val="-21"/>
        </w:rPr>
        <w:t xml:space="preserve"> </w:t>
      </w:r>
      <w:r>
        <w:rPr>
          <w:color w:val="231F20"/>
        </w:rPr>
        <w:t>development</w:t>
      </w:r>
      <w:r>
        <w:rPr>
          <w:color w:val="231F20"/>
          <w:spacing w:val="-20"/>
        </w:rPr>
        <w:t xml:space="preserve"> </w:t>
      </w:r>
      <w:r>
        <w:rPr>
          <w:color w:val="231F20"/>
        </w:rPr>
        <w:t>committees</w:t>
      </w:r>
      <w:r>
        <w:rPr>
          <w:color w:val="231F20"/>
          <w:spacing w:val="-20"/>
        </w:rPr>
        <w:t xml:space="preserve"> </w:t>
      </w:r>
      <w:r>
        <w:rPr>
          <w:color w:val="231F20"/>
        </w:rPr>
        <w:t>to</w:t>
      </w:r>
      <w:r>
        <w:rPr>
          <w:color w:val="231F20"/>
          <w:spacing w:val="-20"/>
        </w:rPr>
        <w:t xml:space="preserve"> </w:t>
      </w:r>
      <w:r>
        <w:rPr>
          <w:color w:val="231F20"/>
        </w:rPr>
        <w:t>respond</w:t>
      </w:r>
      <w:r>
        <w:rPr>
          <w:color w:val="231F20"/>
          <w:spacing w:val="-20"/>
        </w:rPr>
        <w:t xml:space="preserve"> </w:t>
      </w:r>
      <w:r>
        <w:rPr>
          <w:color w:val="231F20"/>
        </w:rPr>
        <w:t>appropriately in</w:t>
      </w:r>
      <w:r>
        <w:rPr>
          <w:color w:val="231F20"/>
          <w:spacing w:val="-24"/>
        </w:rPr>
        <w:t xml:space="preserve"> </w:t>
      </w:r>
      <w:r>
        <w:rPr>
          <w:color w:val="231F20"/>
        </w:rPr>
        <w:t>times</w:t>
      </w:r>
      <w:r>
        <w:rPr>
          <w:color w:val="231F20"/>
          <w:spacing w:val="-25"/>
        </w:rPr>
        <w:t xml:space="preserve"> </w:t>
      </w:r>
      <w:r>
        <w:rPr>
          <w:color w:val="231F20"/>
        </w:rPr>
        <w:t>of</w:t>
      </w:r>
      <w:r>
        <w:rPr>
          <w:color w:val="231F20"/>
          <w:spacing w:val="-25"/>
        </w:rPr>
        <w:t xml:space="preserve"> </w:t>
      </w:r>
      <w:r>
        <w:rPr>
          <w:color w:val="231F20"/>
        </w:rPr>
        <w:t>emergencies;</w:t>
      </w:r>
      <w:r>
        <w:rPr>
          <w:color w:val="231F20"/>
          <w:spacing w:val="-24"/>
        </w:rPr>
        <w:t xml:space="preserve"> </w:t>
      </w:r>
      <w:r>
        <w:rPr>
          <w:color w:val="231F20"/>
        </w:rPr>
        <w:t>Build</w:t>
      </w:r>
      <w:r>
        <w:rPr>
          <w:color w:val="231F20"/>
          <w:spacing w:val="-24"/>
        </w:rPr>
        <w:t xml:space="preserve"> </w:t>
      </w:r>
      <w:r>
        <w:rPr>
          <w:color w:val="231F20"/>
        </w:rPr>
        <w:t>capacity</w:t>
      </w:r>
      <w:r>
        <w:rPr>
          <w:color w:val="231F20"/>
          <w:spacing w:val="-24"/>
        </w:rPr>
        <w:t xml:space="preserve"> </w:t>
      </w:r>
      <w:r>
        <w:rPr>
          <w:color w:val="231F20"/>
        </w:rPr>
        <w:t>of</w:t>
      </w:r>
      <w:r>
        <w:rPr>
          <w:color w:val="231F20"/>
          <w:spacing w:val="-25"/>
        </w:rPr>
        <w:t xml:space="preserve"> </w:t>
      </w:r>
      <w:r>
        <w:rPr>
          <w:color w:val="231F20"/>
        </w:rPr>
        <w:t>community</w:t>
      </w:r>
      <w:r>
        <w:rPr>
          <w:color w:val="231F20"/>
          <w:spacing w:val="-24"/>
        </w:rPr>
        <w:t xml:space="preserve"> </w:t>
      </w:r>
      <w:r>
        <w:rPr>
          <w:color w:val="231F20"/>
        </w:rPr>
        <w:t>structures</w:t>
      </w:r>
      <w:r>
        <w:rPr>
          <w:color w:val="231F20"/>
          <w:spacing w:val="-25"/>
        </w:rPr>
        <w:t xml:space="preserve"> </w:t>
      </w:r>
      <w:r>
        <w:rPr>
          <w:color w:val="231F20"/>
        </w:rPr>
        <w:t>in</w:t>
      </w:r>
      <w:r>
        <w:rPr>
          <w:color w:val="231F20"/>
          <w:spacing w:val="-24"/>
        </w:rPr>
        <w:t xml:space="preserve"> </w:t>
      </w:r>
      <w:r>
        <w:rPr>
          <w:color w:val="231F20"/>
        </w:rPr>
        <w:t>participatory</w:t>
      </w:r>
      <w:r>
        <w:rPr>
          <w:color w:val="231F20"/>
          <w:spacing w:val="-24"/>
        </w:rPr>
        <w:t xml:space="preserve"> </w:t>
      </w:r>
      <w:r>
        <w:rPr>
          <w:color w:val="231F20"/>
        </w:rPr>
        <w:t>appraisal</w:t>
      </w:r>
      <w:r>
        <w:rPr>
          <w:color w:val="231F20"/>
          <w:spacing w:val="-23"/>
        </w:rPr>
        <w:t xml:space="preserve"> </w:t>
      </w:r>
      <w:r>
        <w:rPr>
          <w:color w:val="231F20"/>
        </w:rPr>
        <w:t>of</w:t>
      </w:r>
      <w:r>
        <w:rPr>
          <w:color w:val="231F20"/>
          <w:spacing w:val="-25"/>
        </w:rPr>
        <w:t xml:space="preserve"> </w:t>
      </w:r>
      <w:r>
        <w:rPr>
          <w:color w:val="231F20"/>
        </w:rPr>
        <w:t xml:space="preserve">needs, planning and implementation of health interventions; Conduct advocacy and community mobilization for increase community resources support and private sectors investment in </w:t>
      </w:r>
      <w:r>
        <w:rPr>
          <w:color w:val="231F20"/>
          <w:spacing w:val="-3"/>
        </w:rPr>
        <w:t xml:space="preserve">health </w:t>
      </w:r>
      <w:r>
        <w:rPr>
          <w:color w:val="231F20"/>
        </w:rPr>
        <w:t>program</w:t>
      </w:r>
      <w:r>
        <w:rPr>
          <w:color w:val="231F20"/>
          <w:spacing w:val="-25"/>
        </w:rPr>
        <w:t xml:space="preserve"> </w:t>
      </w:r>
      <w:r>
        <w:rPr>
          <w:color w:val="231F20"/>
        </w:rPr>
        <w:t>planning</w:t>
      </w:r>
      <w:r>
        <w:rPr>
          <w:color w:val="231F20"/>
          <w:spacing w:val="-25"/>
        </w:rPr>
        <w:t xml:space="preserve"> </w:t>
      </w:r>
      <w:r>
        <w:rPr>
          <w:color w:val="231F20"/>
        </w:rPr>
        <w:t>and</w:t>
      </w:r>
      <w:r>
        <w:rPr>
          <w:color w:val="231F20"/>
          <w:spacing w:val="-26"/>
        </w:rPr>
        <w:t xml:space="preserve"> </w:t>
      </w:r>
      <w:r>
        <w:rPr>
          <w:color w:val="231F20"/>
        </w:rPr>
        <w:t>implementation.</w:t>
      </w:r>
    </w:p>
    <w:p w14:paraId="04968FBF" w14:textId="77777777" w:rsidR="009948F1" w:rsidRDefault="009948F1">
      <w:pPr>
        <w:pStyle w:val="BodyText"/>
        <w:spacing w:before="7"/>
        <w:rPr>
          <w:sz w:val="27"/>
        </w:rPr>
      </w:pPr>
    </w:p>
    <w:p w14:paraId="1F154F75" w14:textId="77777777" w:rsidR="009948F1" w:rsidRDefault="00BC0563">
      <w:pPr>
        <w:pStyle w:val="Heading7"/>
        <w:numPr>
          <w:ilvl w:val="2"/>
          <w:numId w:val="295"/>
        </w:numPr>
        <w:tabs>
          <w:tab w:val="left" w:pos="794"/>
        </w:tabs>
        <w:spacing w:line="297" w:lineRule="auto"/>
        <w:ind w:left="169" w:right="222" w:firstLine="0"/>
      </w:pPr>
      <w:r>
        <w:rPr>
          <w:color w:val="231F20"/>
          <w:spacing w:val="-9"/>
        </w:rPr>
        <w:t xml:space="preserve">To </w:t>
      </w:r>
      <w:r>
        <w:rPr>
          <w:color w:val="231F20"/>
        </w:rPr>
        <w:t xml:space="preserve">strengthen community engagement in the implementation, monitoring </w:t>
      </w:r>
      <w:r>
        <w:rPr>
          <w:color w:val="231F20"/>
          <w:spacing w:val="-5"/>
        </w:rPr>
        <w:t xml:space="preserve">and </w:t>
      </w:r>
      <w:r>
        <w:rPr>
          <w:color w:val="231F20"/>
        </w:rPr>
        <w:t>evaluation</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programs</w:t>
      </w:r>
    </w:p>
    <w:p w14:paraId="0F95F068" w14:textId="77777777" w:rsidR="009948F1" w:rsidRDefault="00BC0563">
      <w:pPr>
        <w:spacing w:before="1"/>
        <w:ind w:left="169"/>
        <w:rPr>
          <w:b/>
        </w:rPr>
      </w:pPr>
      <w:r>
        <w:rPr>
          <w:b/>
          <w:color w:val="231F20"/>
        </w:rPr>
        <w:t>Targets</w:t>
      </w:r>
    </w:p>
    <w:p w14:paraId="06348267" w14:textId="77777777" w:rsidR="009948F1" w:rsidRDefault="00BC0563">
      <w:pPr>
        <w:pStyle w:val="BodyText"/>
        <w:spacing w:before="61"/>
        <w:ind w:left="169"/>
      </w:pPr>
      <w:r>
        <w:rPr>
          <w:color w:val="231F20"/>
        </w:rPr>
        <w:t>At least 80% of PHC are implementing MSP</w:t>
      </w:r>
    </w:p>
    <w:p w14:paraId="277B5ADF" w14:textId="77777777" w:rsidR="009948F1" w:rsidRDefault="009948F1">
      <w:pPr>
        <w:pStyle w:val="BodyText"/>
        <w:spacing w:before="8"/>
        <w:rPr>
          <w:sz w:val="32"/>
        </w:rPr>
      </w:pPr>
    </w:p>
    <w:p w14:paraId="4259F25B" w14:textId="77777777" w:rsidR="009948F1" w:rsidRDefault="00BC0563">
      <w:pPr>
        <w:pStyle w:val="Heading7"/>
        <w:ind w:left="169"/>
      </w:pPr>
      <w:r>
        <w:rPr>
          <w:color w:val="231F20"/>
        </w:rPr>
        <w:t>Interventions</w:t>
      </w:r>
    </w:p>
    <w:p w14:paraId="0FB362A1" w14:textId="6C916768" w:rsidR="009948F1" w:rsidRDefault="00BC0563">
      <w:pPr>
        <w:pStyle w:val="ListParagraph"/>
        <w:numPr>
          <w:ilvl w:val="3"/>
          <w:numId w:val="295"/>
        </w:numPr>
        <w:tabs>
          <w:tab w:val="left" w:pos="912"/>
        </w:tabs>
        <w:spacing w:before="61" w:line="297" w:lineRule="auto"/>
        <w:ind w:right="222" w:firstLine="0"/>
      </w:pPr>
      <w:r>
        <w:rPr>
          <w:color w:val="231F20"/>
        </w:rPr>
        <w:t xml:space="preserve">Strengthen capacities of communities to facilitate the implementation of community </w:t>
      </w:r>
      <w:r>
        <w:rPr>
          <w:color w:val="231F20"/>
          <w:spacing w:val="-5"/>
        </w:rPr>
        <w:t xml:space="preserve">and </w:t>
      </w:r>
      <w:r>
        <w:rPr>
          <w:color w:val="231F20"/>
        </w:rPr>
        <w:t>facility level minimum service package (MSP) Key actions include;</w:t>
      </w:r>
      <w:r w:rsidR="00FC31BA">
        <w:rPr>
          <w:color w:val="231F20"/>
        </w:rPr>
        <w:t xml:space="preserve"> </w:t>
      </w:r>
      <w:r>
        <w:rPr>
          <w:color w:val="231F20"/>
        </w:rPr>
        <w:t>develop/adopt community mobilization</w:t>
      </w:r>
      <w:r>
        <w:rPr>
          <w:color w:val="231F20"/>
          <w:spacing w:val="-10"/>
        </w:rPr>
        <w:t xml:space="preserve"> </w:t>
      </w:r>
      <w:r>
        <w:rPr>
          <w:color w:val="231F20"/>
        </w:rPr>
        <w:t>and</w:t>
      </w:r>
      <w:r>
        <w:rPr>
          <w:color w:val="231F20"/>
          <w:spacing w:val="-9"/>
        </w:rPr>
        <w:t xml:space="preserve"> </w:t>
      </w:r>
      <w:r>
        <w:rPr>
          <w:color w:val="231F20"/>
        </w:rPr>
        <w:t>IPC</w:t>
      </w:r>
      <w:r>
        <w:rPr>
          <w:color w:val="231F20"/>
          <w:spacing w:val="-10"/>
        </w:rPr>
        <w:t xml:space="preserve"> </w:t>
      </w:r>
      <w:r>
        <w:rPr>
          <w:color w:val="231F20"/>
        </w:rPr>
        <w:t>manual</w:t>
      </w:r>
      <w:r>
        <w:rPr>
          <w:color w:val="231F20"/>
          <w:spacing w:val="-9"/>
        </w:rPr>
        <w:t xml:space="preserve"> </w:t>
      </w:r>
      <w:r>
        <w:rPr>
          <w:color w:val="231F20"/>
        </w:rPr>
        <w:t>and</w:t>
      </w:r>
      <w:r>
        <w:rPr>
          <w:color w:val="231F20"/>
          <w:spacing w:val="-10"/>
        </w:rPr>
        <w:t xml:space="preserve"> </w:t>
      </w:r>
      <w:r>
        <w:rPr>
          <w:color w:val="231F20"/>
        </w:rPr>
        <w:t>job</w:t>
      </w:r>
      <w:r>
        <w:rPr>
          <w:color w:val="231F20"/>
          <w:spacing w:val="-9"/>
        </w:rPr>
        <w:t xml:space="preserve"> </w:t>
      </w:r>
      <w:r>
        <w:rPr>
          <w:color w:val="231F20"/>
        </w:rPr>
        <w:t>aides</w:t>
      </w:r>
      <w:r>
        <w:rPr>
          <w:color w:val="231F20"/>
          <w:spacing w:val="-9"/>
        </w:rPr>
        <w:t xml:space="preserve"> </w:t>
      </w:r>
      <w:r>
        <w:rPr>
          <w:color w:val="231F20"/>
        </w:rPr>
        <w:t>on</w:t>
      </w:r>
      <w:r>
        <w:rPr>
          <w:color w:val="231F20"/>
          <w:spacing w:val="-9"/>
        </w:rPr>
        <w:t xml:space="preserve"> </w:t>
      </w:r>
      <w:r>
        <w:rPr>
          <w:color w:val="231F20"/>
        </w:rPr>
        <w:t>minimum</w:t>
      </w:r>
      <w:r>
        <w:rPr>
          <w:color w:val="231F20"/>
          <w:spacing w:val="-10"/>
        </w:rPr>
        <w:t xml:space="preserve"> </w:t>
      </w:r>
      <w:r>
        <w:rPr>
          <w:color w:val="231F20"/>
        </w:rPr>
        <w:t>service</w:t>
      </w:r>
      <w:r>
        <w:rPr>
          <w:color w:val="231F20"/>
          <w:spacing w:val="-9"/>
        </w:rPr>
        <w:t xml:space="preserve"> </w:t>
      </w:r>
      <w:r>
        <w:rPr>
          <w:color w:val="231F20"/>
        </w:rPr>
        <w:t>package</w:t>
      </w:r>
      <w:r>
        <w:rPr>
          <w:color w:val="231F20"/>
          <w:spacing w:val="-9"/>
        </w:rPr>
        <w:t xml:space="preserve"> </w:t>
      </w:r>
      <w:r>
        <w:rPr>
          <w:color w:val="231F20"/>
        </w:rPr>
        <w:t>areas;</w:t>
      </w:r>
      <w:r>
        <w:rPr>
          <w:color w:val="231F20"/>
          <w:spacing w:val="-9"/>
        </w:rPr>
        <w:t xml:space="preserve"> </w:t>
      </w:r>
      <w:r>
        <w:rPr>
          <w:color w:val="231F20"/>
        </w:rPr>
        <w:t>Conduct</w:t>
      </w:r>
      <w:r>
        <w:rPr>
          <w:color w:val="231F20"/>
          <w:spacing w:val="-10"/>
        </w:rPr>
        <w:t xml:space="preserve"> </w:t>
      </w:r>
      <w:r>
        <w:rPr>
          <w:color w:val="231F20"/>
        </w:rPr>
        <w:t xml:space="preserve">training workshop for WDCs on community utilization of Minimum Service Package (MSP); Develop </w:t>
      </w:r>
      <w:r>
        <w:rPr>
          <w:color w:val="231F20"/>
          <w:spacing w:val="-13"/>
        </w:rPr>
        <w:t xml:space="preserve">a </w:t>
      </w:r>
      <w:r>
        <w:rPr>
          <w:color w:val="231F20"/>
        </w:rPr>
        <w:t>reward system to motivate community volunteers, CDDs, WDCs, CBOs to conduct community mobilization.</w:t>
      </w:r>
    </w:p>
    <w:p w14:paraId="6FDB7E98" w14:textId="77777777" w:rsidR="009948F1" w:rsidRDefault="009948F1">
      <w:pPr>
        <w:pStyle w:val="BodyText"/>
        <w:spacing w:before="7"/>
        <w:rPr>
          <w:sz w:val="27"/>
        </w:rPr>
      </w:pPr>
    </w:p>
    <w:p w14:paraId="529491B1" w14:textId="77777777" w:rsidR="009948F1" w:rsidRDefault="00BC0563">
      <w:pPr>
        <w:pStyle w:val="ListParagraph"/>
        <w:numPr>
          <w:ilvl w:val="3"/>
          <w:numId w:val="295"/>
        </w:numPr>
        <w:tabs>
          <w:tab w:val="left" w:pos="882"/>
        </w:tabs>
        <w:spacing w:line="297" w:lineRule="auto"/>
        <w:ind w:right="222" w:firstLine="0"/>
      </w:pPr>
      <w:r>
        <w:rPr>
          <w:color w:val="231F20"/>
        </w:rPr>
        <w:t>Strengthen</w:t>
      </w:r>
      <w:r>
        <w:rPr>
          <w:color w:val="231F20"/>
          <w:spacing w:val="-24"/>
        </w:rPr>
        <w:t xml:space="preserve"> </w:t>
      </w:r>
      <w:r>
        <w:rPr>
          <w:color w:val="231F20"/>
        </w:rPr>
        <w:t>mechanisms</w:t>
      </w:r>
      <w:r>
        <w:rPr>
          <w:color w:val="231F20"/>
          <w:spacing w:val="-23"/>
        </w:rPr>
        <w:t xml:space="preserve"> </w:t>
      </w:r>
      <w:r>
        <w:rPr>
          <w:color w:val="231F20"/>
        </w:rPr>
        <w:t>for</w:t>
      </w:r>
      <w:r>
        <w:rPr>
          <w:color w:val="231F20"/>
          <w:spacing w:val="-23"/>
        </w:rPr>
        <w:t xml:space="preserve"> </w:t>
      </w:r>
      <w:r>
        <w:rPr>
          <w:color w:val="231F20"/>
        </w:rPr>
        <w:t>data</w:t>
      </w:r>
      <w:r>
        <w:rPr>
          <w:color w:val="231F20"/>
          <w:spacing w:val="-23"/>
        </w:rPr>
        <w:t xml:space="preserve"> </w:t>
      </w:r>
      <w:r>
        <w:rPr>
          <w:color w:val="231F20"/>
        </w:rPr>
        <w:t>collection,</w:t>
      </w:r>
      <w:r>
        <w:rPr>
          <w:color w:val="231F20"/>
          <w:spacing w:val="-24"/>
        </w:rPr>
        <w:t xml:space="preserve"> </w:t>
      </w:r>
      <w:r>
        <w:rPr>
          <w:color w:val="231F20"/>
        </w:rPr>
        <w:t>analysis,</w:t>
      </w:r>
      <w:r>
        <w:rPr>
          <w:color w:val="231F20"/>
          <w:spacing w:val="-23"/>
        </w:rPr>
        <w:t xml:space="preserve"> </w:t>
      </w:r>
      <w:r>
        <w:rPr>
          <w:color w:val="231F20"/>
        </w:rPr>
        <w:t>storage,</w:t>
      </w:r>
      <w:r>
        <w:rPr>
          <w:color w:val="231F20"/>
          <w:spacing w:val="-23"/>
        </w:rPr>
        <w:t xml:space="preserve"> </w:t>
      </w:r>
      <w:r>
        <w:rPr>
          <w:color w:val="231F20"/>
        </w:rPr>
        <w:t>utilization</w:t>
      </w:r>
      <w:r>
        <w:rPr>
          <w:color w:val="231F20"/>
          <w:spacing w:val="-24"/>
        </w:rPr>
        <w:t xml:space="preserve"> </w:t>
      </w:r>
      <w:r>
        <w:rPr>
          <w:color w:val="231F20"/>
        </w:rPr>
        <w:t>and</w:t>
      </w:r>
      <w:r>
        <w:rPr>
          <w:color w:val="231F20"/>
          <w:spacing w:val="-23"/>
        </w:rPr>
        <w:t xml:space="preserve"> </w:t>
      </w:r>
      <w:r>
        <w:rPr>
          <w:color w:val="231F20"/>
        </w:rPr>
        <w:t>accountability at</w:t>
      </w:r>
      <w:r>
        <w:rPr>
          <w:color w:val="231F20"/>
          <w:spacing w:val="-13"/>
        </w:rPr>
        <w:t xml:space="preserve"> </w:t>
      </w:r>
      <w:r>
        <w:rPr>
          <w:color w:val="231F20"/>
        </w:rPr>
        <w:t>community</w:t>
      </w:r>
      <w:r>
        <w:rPr>
          <w:color w:val="231F20"/>
          <w:spacing w:val="-12"/>
        </w:rPr>
        <w:t xml:space="preserve"> </w:t>
      </w:r>
      <w:r>
        <w:rPr>
          <w:color w:val="231F20"/>
        </w:rPr>
        <w:t>level</w:t>
      </w:r>
      <w:r>
        <w:rPr>
          <w:color w:val="231F20"/>
          <w:spacing w:val="-12"/>
        </w:rPr>
        <w:t xml:space="preserve"> </w:t>
      </w:r>
      <w:r>
        <w:rPr>
          <w:color w:val="231F20"/>
        </w:rPr>
        <w:t>Key</w:t>
      </w:r>
      <w:r>
        <w:rPr>
          <w:color w:val="231F20"/>
          <w:spacing w:val="-12"/>
        </w:rPr>
        <w:t xml:space="preserve"> </w:t>
      </w:r>
      <w:r>
        <w:rPr>
          <w:color w:val="231F20"/>
        </w:rPr>
        <w:t>actions</w:t>
      </w:r>
      <w:r>
        <w:rPr>
          <w:color w:val="231F20"/>
          <w:spacing w:val="-12"/>
        </w:rPr>
        <w:t xml:space="preserve"> </w:t>
      </w:r>
      <w:r>
        <w:rPr>
          <w:color w:val="231F20"/>
        </w:rPr>
        <w:t>include;</w:t>
      </w:r>
      <w:r>
        <w:rPr>
          <w:color w:val="231F20"/>
          <w:spacing w:val="-12"/>
        </w:rPr>
        <w:t xml:space="preserve"> </w:t>
      </w:r>
      <w:r>
        <w:rPr>
          <w:color w:val="231F20"/>
        </w:rPr>
        <w:t>develop/adapt</w:t>
      </w:r>
      <w:r>
        <w:rPr>
          <w:color w:val="231F20"/>
          <w:spacing w:val="-12"/>
        </w:rPr>
        <w:t xml:space="preserve"> </w:t>
      </w:r>
      <w:r>
        <w:rPr>
          <w:color w:val="231F20"/>
        </w:rPr>
        <w:t>and</w:t>
      </w:r>
      <w:r>
        <w:rPr>
          <w:color w:val="231F20"/>
          <w:spacing w:val="-12"/>
        </w:rPr>
        <w:t xml:space="preserve"> </w:t>
      </w:r>
      <w:proofErr w:type="spellStart"/>
      <w:r>
        <w:rPr>
          <w:color w:val="231F20"/>
        </w:rPr>
        <w:t>harmonise</w:t>
      </w:r>
      <w:proofErr w:type="spellEnd"/>
      <w:r>
        <w:rPr>
          <w:color w:val="231F20"/>
          <w:spacing w:val="-13"/>
        </w:rPr>
        <w:t xml:space="preserve"> </w:t>
      </w:r>
      <w:r>
        <w:rPr>
          <w:color w:val="231F20"/>
        </w:rPr>
        <w:t>existing</w:t>
      </w:r>
      <w:r>
        <w:rPr>
          <w:color w:val="231F20"/>
          <w:spacing w:val="-12"/>
        </w:rPr>
        <w:t xml:space="preserve"> </w:t>
      </w:r>
      <w:r>
        <w:rPr>
          <w:color w:val="231F20"/>
        </w:rPr>
        <w:t>M</w:t>
      </w:r>
      <w:r>
        <w:rPr>
          <w:color w:val="231F20"/>
          <w:spacing w:val="-12"/>
        </w:rPr>
        <w:t xml:space="preserve"> </w:t>
      </w:r>
      <w:r>
        <w:rPr>
          <w:color w:val="231F20"/>
        </w:rPr>
        <w:t>&amp;</w:t>
      </w:r>
      <w:r>
        <w:rPr>
          <w:color w:val="231F20"/>
          <w:spacing w:val="-12"/>
        </w:rPr>
        <w:t xml:space="preserve"> </w:t>
      </w:r>
      <w:r>
        <w:rPr>
          <w:color w:val="231F20"/>
        </w:rPr>
        <w:t>E</w:t>
      </w:r>
      <w:r>
        <w:rPr>
          <w:color w:val="231F20"/>
          <w:spacing w:val="-12"/>
        </w:rPr>
        <w:t xml:space="preserve"> </w:t>
      </w:r>
      <w:r>
        <w:rPr>
          <w:color w:val="231F20"/>
        </w:rPr>
        <w:t xml:space="preserve">mechanism &amp; tools for M&amp;E and community based evaluation </w:t>
      </w:r>
      <w:proofErr w:type="spellStart"/>
      <w:r>
        <w:rPr>
          <w:color w:val="231F20"/>
        </w:rPr>
        <w:t>programme</w:t>
      </w:r>
      <w:proofErr w:type="spellEnd"/>
      <w:r>
        <w:rPr>
          <w:color w:val="231F20"/>
        </w:rPr>
        <w:t xml:space="preserve">; Operating cost for engaging </w:t>
      </w:r>
      <w:r>
        <w:rPr>
          <w:color w:val="231F20"/>
          <w:spacing w:val="-5"/>
        </w:rPr>
        <w:t xml:space="preserve">and </w:t>
      </w:r>
      <w:r>
        <w:rPr>
          <w:color w:val="231F20"/>
        </w:rPr>
        <w:t>supervising the contractor to provide equipment to strengthen M&amp;E Unit at LGA levels and enhance</w:t>
      </w:r>
      <w:r>
        <w:rPr>
          <w:color w:val="231F20"/>
          <w:spacing w:val="-25"/>
        </w:rPr>
        <w:t xml:space="preserve"> </w:t>
      </w:r>
      <w:r>
        <w:rPr>
          <w:color w:val="231F20"/>
        </w:rPr>
        <w:t>data</w:t>
      </w:r>
      <w:r>
        <w:rPr>
          <w:color w:val="231F20"/>
          <w:spacing w:val="-26"/>
        </w:rPr>
        <w:t xml:space="preserve"> </w:t>
      </w:r>
      <w:r>
        <w:rPr>
          <w:color w:val="231F20"/>
        </w:rPr>
        <w:t>collection,</w:t>
      </w:r>
      <w:r>
        <w:rPr>
          <w:color w:val="231F20"/>
          <w:spacing w:val="-25"/>
        </w:rPr>
        <w:t xml:space="preserve"> </w:t>
      </w:r>
      <w:r>
        <w:rPr>
          <w:color w:val="231F20"/>
        </w:rPr>
        <w:t>analysis</w:t>
      </w:r>
      <w:r>
        <w:rPr>
          <w:color w:val="231F20"/>
          <w:spacing w:val="-25"/>
        </w:rPr>
        <w:t xml:space="preserve"> </w:t>
      </w:r>
      <w:r>
        <w:rPr>
          <w:color w:val="231F20"/>
        </w:rPr>
        <w:t>&amp;</w:t>
      </w:r>
      <w:r>
        <w:rPr>
          <w:color w:val="231F20"/>
          <w:spacing w:val="-25"/>
        </w:rPr>
        <w:t xml:space="preserve"> </w:t>
      </w:r>
      <w:r>
        <w:rPr>
          <w:color w:val="231F20"/>
        </w:rPr>
        <w:t>dissemination.</w:t>
      </w:r>
    </w:p>
    <w:p w14:paraId="28A61289" w14:textId="77777777" w:rsidR="009948F1" w:rsidRDefault="009948F1">
      <w:pPr>
        <w:pStyle w:val="BodyText"/>
        <w:spacing w:before="6"/>
        <w:rPr>
          <w:sz w:val="27"/>
        </w:rPr>
      </w:pPr>
    </w:p>
    <w:p w14:paraId="0621E671" w14:textId="77777777" w:rsidR="009948F1" w:rsidRDefault="00BC0563">
      <w:pPr>
        <w:pStyle w:val="Heading7"/>
        <w:ind w:left="169"/>
        <w:jc w:val="both"/>
      </w:pPr>
      <w:r>
        <w:rPr>
          <w:color w:val="231F20"/>
        </w:rPr>
        <w:t>Priority Area 3: Partnerships in Health</w:t>
      </w:r>
    </w:p>
    <w:p w14:paraId="5D923A44" w14:textId="77777777" w:rsidR="009948F1" w:rsidRDefault="00BC0563">
      <w:pPr>
        <w:pStyle w:val="BodyText"/>
        <w:spacing w:before="34" w:line="273" w:lineRule="auto"/>
        <w:ind w:left="169" w:right="222"/>
        <w:jc w:val="both"/>
      </w:pPr>
      <w:r>
        <w:rPr>
          <w:color w:val="231F20"/>
        </w:rPr>
        <w:t>Health</w:t>
      </w:r>
      <w:r>
        <w:rPr>
          <w:color w:val="231F20"/>
          <w:spacing w:val="-21"/>
        </w:rPr>
        <w:t xml:space="preserve"> </w:t>
      </w:r>
      <w:r>
        <w:rPr>
          <w:color w:val="231F20"/>
        </w:rPr>
        <w:t>is</w:t>
      </w:r>
      <w:r>
        <w:rPr>
          <w:color w:val="231F20"/>
          <w:spacing w:val="-21"/>
        </w:rPr>
        <w:t xml:space="preserve"> </w:t>
      </w:r>
      <w:r>
        <w:rPr>
          <w:color w:val="231F20"/>
        </w:rPr>
        <w:t>a</w:t>
      </w:r>
      <w:r>
        <w:rPr>
          <w:color w:val="231F20"/>
          <w:spacing w:val="-21"/>
        </w:rPr>
        <w:t xml:space="preserve"> </w:t>
      </w:r>
      <w:r>
        <w:rPr>
          <w:color w:val="231F20"/>
        </w:rPr>
        <w:t>multidimensional</w:t>
      </w:r>
      <w:r>
        <w:rPr>
          <w:color w:val="231F20"/>
          <w:spacing w:val="-20"/>
        </w:rPr>
        <w:t xml:space="preserve"> </w:t>
      </w:r>
      <w:r>
        <w:rPr>
          <w:color w:val="231F20"/>
        </w:rPr>
        <w:t>issue</w:t>
      </w:r>
      <w:r>
        <w:rPr>
          <w:color w:val="231F20"/>
          <w:spacing w:val="-20"/>
        </w:rPr>
        <w:t xml:space="preserve"> </w:t>
      </w:r>
      <w:r>
        <w:rPr>
          <w:color w:val="231F20"/>
        </w:rPr>
        <w:t>and</w:t>
      </w:r>
      <w:r>
        <w:rPr>
          <w:color w:val="231F20"/>
          <w:spacing w:val="-20"/>
        </w:rPr>
        <w:t xml:space="preserve"> </w:t>
      </w:r>
      <w:r>
        <w:rPr>
          <w:color w:val="231F20"/>
        </w:rPr>
        <w:t>government</w:t>
      </w:r>
      <w:r>
        <w:rPr>
          <w:color w:val="231F20"/>
          <w:spacing w:val="-20"/>
        </w:rPr>
        <w:t xml:space="preserve"> </w:t>
      </w:r>
      <w:r>
        <w:rPr>
          <w:color w:val="231F20"/>
        </w:rPr>
        <w:t>alone</w:t>
      </w:r>
      <w:r>
        <w:rPr>
          <w:color w:val="231F20"/>
          <w:spacing w:val="-20"/>
        </w:rPr>
        <w:t xml:space="preserve"> </w:t>
      </w:r>
      <w:r>
        <w:rPr>
          <w:color w:val="231F20"/>
        </w:rPr>
        <w:t>cannot</w:t>
      </w:r>
      <w:r>
        <w:rPr>
          <w:color w:val="231F20"/>
          <w:spacing w:val="-20"/>
        </w:rPr>
        <w:t xml:space="preserve"> </w:t>
      </w:r>
      <w:r>
        <w:rPr>
          <w:color w:val="231F20"/>
        </w:rPr>
        <w:t>secure</w:t>
      </w:r>
      <w:r>
        <w:rPr>
          <w:color w:val="231F20"/>
          <w:spacing w:val="-20"/>
        </w:rPr>
        <w:t xml:space="preserve"> </w:t>
      </w:r>
      <w:r>
        <w:rPr>
          <w:color w:val="231F20"/>
        </w:rPr>
        <w:t>the</w:t>
      </w:r>
      <w:r>
        <w:rPr>
          <w:color w:val="231F20"/>
          <w:spacing w:val="-21"/>
        </w:rPr>
        <w:t xml:space="preserve"> </w:t>
      </w:r>
      <w:r>
        <w:rPr>
          <w:color w:val="231F20"/>
        </w:rPr>
        <w:t>health</w:t>
      </w:r>
      <w:r>
        <w:rPr>
          <w:color w:val="231F20"/>
          <w:spacing w:val="-20"/>
        </w:rPr>
        <w:t xml:space="preserve"> </w:t>
      </w:r>
      <w:r>
        <w:rPr>
          <w:color w:val="231F20"/>
        </w:rPr>
        <w:t>of</w:t>
      </w:r>
      <w:r>
        <w:rPr>
          <w:color w:val="231F20"/>
          <w:spacing w:val="-22"/>
        </w:rPr>
        <w:t xml:space="preserve"> </w:t>
      </w:r>
      <w:r>
        <w:rPr>
          <w:color w:val="231F20"/>
        </w:rPr>
        <w:t>the</w:t>
      </w:r>
      <w:r>
        <w:rPr>
          <w:color w:val="231F20"/>
          <w:spacing w:val="-21"/>
        </w:rPr>
        <w:t xml:space="preserve"> </w:t>
      </w:r>
      <w:r>
        <w:rPr>
          <w:color w:val="231F20"/>
        </w:rPr>
        <w:t>people</w:t>
      </w:r>
      <w:r>
        <w:rPr>
          <w:color w:val="231F20"/>
          <w:spacing w:val="-20"/>
        </w:rPr>
        <w:t xml:space="preserve"> </w:t>
      </w:r>
      <w:r>
        <w:rPr>
          <w:color w:val="231F20"/>
          <w:spacing w:val="-6"/>
        </w:rPr>
        <w:t xml:space="preserve">of </w:t>
      </w:r>
      <w:r>
        <w:rPr>
          <w:color w:val="231F20"/>
        </w:rPr>
        <w:t xml:space="preserve">Rivers State. Partnership with the private sector, non-governmental </w:t>
      </w:r>
      <w:proofErr w:type="spellStart"/>
      <w:r>
        <w:rPr>
          <w:color w:val="231F20"/>
        </w:rPr>
        <w:t>organisations</w:t>
      </w:r>
      <w:proofErr w:type="spellEnd"/>
      <w:r>
        <w:rPr>
          <w:color w:val="231F20"/>
        </w:rPr>
        <w:t>,</w:t>
      </w:r>
      <w:r>
        <w:rPr>
          <w:color w:val="231F20"/>
          <w:spacing w:val="-35"/>
        </w:rPr>
        <w:t xml:space="preserve"> </w:t>
      </w:r>
      <w:r>
        <w:rPr>
          <w:color w:val="231F20"/>
        </w:rPr>
        <w:t>communities and development partners (donors) as well as other social and economic sectors is essential to deliver</w:t>
      </w:r>
      <w:r>
        <w:rPr>
          <w:color w:val="231F20"/>
          <w:spacing w:val="-26"/>
        </w:rPr>
        <w:t xml:space="preserve"> </w:t>
      </w:r>
      <w:r>
        <w:rPr>
          <w:color w:val="231F20"/>
        </w:rPr>
        <w:t>health</w:t>
      </w:r>
      <w:r>
        <w:rPr>
          <w:color w:val="231F20"/>
          <w:spacing w:val="-25"/>
        </w:rPr>
        <w:t xml:space="preserve"> </w:t>
      </w:r>
      <w:r>
        <w:rPr>
          <w:color w:val="231F20"/>
        </w:rPr>
        <w:t>services</w:t>
      </w:r>
      <w:r>
        <w:rPr>
          <w:color w:val="231F20"/>
          <w:spacing w:val="-25"/>
        </w:rPr>
        <w:t xml:space="preserve"> </w:t>
      </w:r>
      <w:r>
        <w:rPr>
          <w:color w:val="231F20"/>
        </w:rPr>
        <w:t>that</w:t>
      </w:r>
      <w:r>
        <w:rPr>
          <w:color w:val="231F20"/>
          <w:spacing w:val="-25"/>
        </w:rPr>
        <w:t xml:space="preserve"> </w:t>
      </w:r>
      <w:r>
        <w:rPr>
          <w:color w:val="231F20"/>
        </w:rPr>
        <w:t>can</w:t>
      </w:r>
      <w:r>
        <w:rPr>
          <w:color w:val="231F20"/>
          <w:spacing w:val="-25"/>
        </w:rPr>
        <w:t xml:space="preserve"> </w:t>
      </w:r>
      <w:r>
        <w:rPr>
          <w:color w:val="231F20"/>
        </w:rPr>
        <w:t>meet</w:t>
      </w:r>
      <w:r>
        <w:rPr>
          <w:color w:val="231F20"/>
          <w:spacing w:val="-25"/>
        </w:rPr>
        <w:t xml:space="preserve"> </w:t>
      </w:r>
      <w:r>
        <w:rPr>
          <w:color w:val="231F20"/>
        </w:rPr>
        <w:t>the</w:t>
      </w:r>
      <w:r>
        <w:rPr>
          <w:color w:val="231F20"/>
          <w:spacing w:val="-25"/>
        </w:rPr>
        <w:t xml:space="preserve"> </w:t>
      </w:r>
      <w:r>
        <w:rPr>
          <w:color w:val="231F20"/>
        </w:rPr>
        <w:t>needs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population</w:t>
      </w:r>
      <w:r>
        <w:rPr>
          <w:color w:val="231F20"/>
          <w:spacing w:val="-25"/>
        </w:rPr>
        <w:t xml:space="preserve"> </w:t>
      </w:r>
      <w:r>
        <w:rPr>
          <w:color w:val="231F20"/>
        </w:rPr>
        <w:t>on</w:t>
      </w:r>
      <w:r>
        <w:rPr>
          <w:color w:val="231F20"/>
          <w:spacing w:val="-25"/>
        </w:rPr>
        <w:t xml:space="preserve"> </w:t>
      </w:r>
      <w:r>
        <w:rPr>
          <w:color w:val="231F20"/>
        </w:rPr>
        <w:t>a</w:t>
      </w:r>
      <w:r>
        <w:rPr>
          <w:color w:val="231F20"/>
          <w:spacing w:val="-25"/>
        </w:rPr>
        <w:t xml:space="preserve"> </w:t>
      </w:r>
      <w:r>
        <w:rPr>
          <w:color w:val="231F20"/>
        </w:rPr>
        <w:t>sustainable</w:t>
      </w:r>
      <w:r>
        <w:rPr>
          <w:color w:val="231F20"/>
          <w:spacing w:val="-25"/>
        </w:rPr>
        <w:t xml:space="preserve"> </w:t>
      </w:r>
      <w:r>
        <w:rPr>
          <w:color w:val="231F20"/>
        </w:rPr>
        <w:t>basis.</w:t>
      </w:r>
    </w:p>
    <w:p w14:paraId="4DD22BE7" w14:textId="77777777" w:rsidR="009948F1" w:rsidRDefault="009948F1">
      <w:pPr>
        <w:spacing w:line="273" w:lineRule="auto"/>
        <w:jc w:val="both"/>
        <w:sectPr w:rsidR="009948F1">
          <w:pgSz w:w="11910" w:h="16840"/>
          <w:pgMar w:top="1220" w:right="1080" w:bottom="1420" w:left="1120" w:header="0" w:footer="1235" w:gutter="0"/>
          <w:cols w:space="720"/>
        </w:sectPr>
      </w:pPr>
    </w:p>
    <w:p w14:paraId="12EB17A9" w14:textId="77777777" w:rsidR="009948F1" w:rsidRDefault="00BC0563">
      <w:pPr>
        <w:pStyle w:val="BodyText"/>
        <w:spacing w:before="49"/>
        <w:ind w:left="149" w:right="191"/>
        <w:jc w:val="both"/>
      </w:pPr>
      <w:bookmarkStart w:id="57" w:name="Page_43"/>
      <w:bookmarkEnd w:id="57"/>
      <w:r>
        <w:rPr>
          <w:color w:val="231F20"/>
        </w:rPr>
        <w:lastRenderedPageBreak/>
        <w:t>The public-private partnership (PPP) is undertaken to leverage additional resources and managerial approaches from the private sector with the social orientation of the public sector in order to improve the delivery of health services.</w:t>
      </w:r>
    </w:p>
    <w:p w14:paraId="5FF76098" w14:textId="77777777" w:rsidR="009948F1" w:rsidRDefault="00BC0563">
      <w:pPr>
        <w:pStyle w:val="BodyText"/>
        <w:spacing w:before="6" w:line="242" w:lineRule="auto"/>
        <w:ind w:left="149" w:right="186"/>
      </w:pPr>
      <w:r>
        <w:rPr>
          <w:color w:val="231F20"/>
        </w:rPr>
        <w:t>Surveys</w:t>
      </w:r>
      <w:r>
        <w:rPr>
          <w:color w:val="231F20"/>
          <w:spacing w:val="-17"/>
        </w:rPr>
        <w:t xml:space="preserve"> </w:t>
      </w:r>
      <w:r>
        <w:rPr>
          <w:color w:val="231F20"/>
        </w:rPr>
        <w:t>have</w:t>
      </w:r>
      <w:r>
        <w:rPr>
          <w:color w:val="231F20"/>
          <w:spacing w:val="-17"/>
        </w:rPr>
        <w:t xml:space="preserve"> </w:t>
      </w:r>
      <w:r>
        <w:rPr>
          <w:color w:val="231F20"/>
        </w:rPr>
        <w:t>shown</w:t>
      </w:r>
      <w:r>
        <w:rPr>
          <w:color w:val="231F20"/>
          <w:spacing w:val="-17"/>
        </w:rPr>
        <w:t xml:space="preserve"> </w:t>
      </w:r>
      <w:r>
        <w:rPr>
          <w:color w:val="231F20"/>
        </w:rPr>
        <w:t>that</w:t>
      </w:r>
      <w:r>
        <w:rPr>
          <w:color w:val="231F20"/>
          <w:spacing w:val="-17"/>
        </w:rPr>
        <w:t xml:space="preserve"> </w:t>
      </w:r>
      <w:r>
        <w:rPr>
          <w:color w:val="231F20"/>
        </w:rPr>
        <w:t>there</w:t>
      </w:r>
      <w:r>
        <w:rPr>
          <w:color w:val="231F20"/>
          <w:spacing w:val="-17"/>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higher</w:t>
      </w:r>
      <w:r>
        <w:rPr>
          <w:color w:val="231F20"/>
          <w:spacing w:val="-17"/>
        </w:rPr>
        <w:t xml:space="preserve"> </w:t>
      </w:r>
      <w:r>
        <w:rPr>
          <w:color w:val="231F20"/>
        </w:rPr>
        <w:t>utilization</w:t>
      </w:r>
      <w:r>
        <w:rPr>
          <w:color w:val="231F20"/>
          <w:spacing w:val="-17"/>
        </w:rPr>
        <w:t xml:space="preserve"> </w:t>
      </w:r>
      <w:r>
        <w:rPr>
          <w:color w:val="231F20"/>
        </w:rPr>
        <w:t>of</w:t>
      </w:r>
      <w:r>
        <w:rPr>
          <w:color w:val="231F20"/>
          <w:spacing w:val="-17"/>
        </w:rPr>
        <w:t xml:space="preserve"> </w:t>
      </w:r>
      <w:r>
        <w:rPr>
          <w:color w:val="231F20"/>
        </w:rPr>
        <w:t>private</w:t>
      </w:r>
      <w:r>
        <w:rPr>
          <w:color w:val="231F20"/>
          <w:spacing w:val="-17"/>
        </w:rPr>
        <w:t xml:space="preserve"> </w:t>
      </w:r>
      <w:r>
        <w:rPr>
          <w:color w:val="231F20"/>
        </w:rPr>
        <w:t>facilities,</w:t>
      </w:r>
      <w:r>
        <w:rPr>
          <w:color w:val="231F20"/>
          <w:spacing w:val="-17"/>
        </w:rPr>
        <w:t xml:space="preserve"> </w:t>
      </w:r>
      <w:r>
        <w:rPr>
          <w:color w:val="231F20"/>
        </w:rPr>
        <w:t>than</w:t>
      </w:r>
      <w:r>
        <w:rPr>
          <w:color w:val="231F20"/>
          <w:spacing w:val="-17"/>
        </w:rPr>
        <w:t xml:space="preserve"> </w:t>
      </w:r>
      <w:r>
        <w:rPr>
          <w:color w:val="231F20"/>
        </w:rPr>
        <w:t>public</w:t>
      </w:r>
      <w:r>
        <w:rPr>
          <w:color w:val="231F20"/>
          <w:spacing w:val="-17"/>
        </w:rPr>
        <w:t xml:space="preserve"> </w:t>
      </w:r>
      <w:r>
        <w:rPr>
          <w:color w:val="231F20"/>
        </w:rPr>
        <w:t>ones</w:t>
      </w:r>
      <w:r>
        <w:rPr>
          <w:color w:val="231F20"/>
          <w:spacing w:val="-17"/>
        </w:rPr>
        <w:t xml:space="preserve"> </w:t>
      </w:r>
      <w:r>
        <w:rPr>
          <w:color w:val="231F20"/>
        </w:rPr>
        <w:t>due</w:t>
      </w:r>
      <w:r>
        <w:rPr>
          <w:color w:val="231F20"/>
          <w:spacing w:val="-17"/>
        </w:rPr>
        <w:t xml:space="preserve"> </w:t>
      </w:r>
      <w:r>
        <w:rPr>
          <w:color w:val="231F20"/>
        </w:rPr>
        <w:t>to</w:t>
      </w:r>
      <w:r>
        <w:rPr>
          <w:color w:val="231F20"/>
          <w:spacing w:val="-17"/>
        </w:rPr>
        <w:t xml:space="preserve"> </w:t>
      </w:r>
      <w:r>
        <w:rPr>
          <w:color w:val="231F20"/>
          <w:spacing w:val="-5"/>
        </w:rPr>
        <w:t xml:space="preserve">the </w:t>
      </w:r>
      <w:r>
        <w:rPr>
          <w:color w:val="231F20"/>
        </w:rPr>
        <w:t>perceived better quality of care (Health Reform Foundation of Nigeria, 2007). Despite the high costs, the poor represent a significant proportion of beneficiaries of varied forms of private</w:t>
      </w:r>
      <w:r>
        <w:rPr>
          <w:color w:val="231F20"/>
          <w:spacing w:val="-37"/>
        </w:rPr>
        <w:t xml:space="preserve"> </w:t>
      </w:r>
      <w:r>
        <w:rPr>
          <w:color w:val="231F20"/>
        </w:rPr>
        <w:t>health care.</w:t>
      </w:r>
      <w:r>
        <w:rPr>
          <w:color w:val="231F20"/>
          <w:spacing w:val="-38"/>
        </w:rPr>
        <w:t xml:space="preserve"> </w:t>
      </w:r>
      <w:r>
        <w:rPr>
          <w:color w:val="231F20"/>
        </w:rPr>
        <w:t>Although</w:t>
      </w:r>
      <w:r>
        <w:rPr>
          <w:color w:val="231F20"/>
          <w:spacing w:val="-25"/>
        </w:rPr>
        <w:t xml:space="preserve"> </w:t>
      </w:r>
      <w:r>
        <w:rPr>
          <w:color w:val="231F20"/>
        </w:rPr>
        <w:t>effectively</w:t>
      </w:r>
      <w:r>
        <w:rPr>
          <w:color w:val="231F20"/>
          <w:spacing w:val="-25"/>
        </w:rPr>
        <w:t xml:space="preserve"> </w:t>
      </w:r>
      <w:r>
        <w:rPr>
          <w:color w:val="231F20"/>
        </w:rPr>
        <w:t>priced</w:t>
      </w:r>
      <w:r>
        <w:rPr>
          <w:color w:val="231F20"/>
          <w:spacing w:val="-25"/>
        </w:rPr>
        <w:t xml:space="preserve"> </w:t>
      </w:r>
      <w:r>
        <w:rPr>
          <w:color w:val="231F20"/>
        </w:rPr>
        <w:t>out</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6"/>
        </w:rPr>
        <w:t xml:space="preserve"> </w:t>
      </w:r>
      <w:r>
        <w:rPr>
          <w:color w:val="231F20"/>
        </w:rPr>
        <w:t>market,</w:t>
      </w:r>
      <w:r>
        <w:rPr>
          <w:color w:val="231F20"/>
          <w:spacing w:val="-25"/>
        </w:rPr>
        <w:t xml:space="preserve"> </w:t>
      </w:r>
      <w:r>
        <w:rPr>
          <w:color w:val="231F20"/>
        </w:rPr>
        <w:t>but</w:t>
      </w:r>
      <w:r>
        <w:rPr>
          <w:color w:val="231F20"/>
          <w:spacing w:val="-25"/>
        </w:rPr>
        <w:t xml:space="preserve"> </w:t>
      </w:r>
      <w:r>
        <w:rPr>
          <w:color w:val="231F20"/>
        </w:rPr>
        <w:t>poorly</w:t>
      </w:r>
      <w:r>
        <w:rPr>
          <w:color w:val="231F20"/>
          <w:spacing w:val="-25"/>
        </w:rPr>
        <w:t xml:space="preserve"> </w:t>
      </w:r>
      <w:r>
        <w:rPr>
          <w:color w:val="231F20"/>
        </w:rPr>
        <w:t>regulated,</w:t>
      </w:r>
      <w:r>
        <w:rPr>
          <w:color w:val="231F20"/>
          <w:spacing w:val="-26"/>
        </w:rPr>
        <w:t xml:space="preserve"> </w:t>
      </w:r>
      <w:r>
        <w:rPr>
          <w:color w:val="231F20"/>
        </w:rPr>
        <w:t>private</w:t>
      </w:r>
      <w:r>
        <w:rPr>
          <w:color w:val="231F20"/>
          <w:spacing w:val="-25"/>
        </w:rPr>
        <w:t xml:space="preserve"> </w:t>
      </w:r>
      <w:r>
        <w:rPr>
          <w:color w:val="231F20"/>
        </w:rPr>
        <w:t>sector providers</w:t>
      </w:r>
      <w:r>
        <w:rPr>
          <w:color w:val="231F20"/>
          <w:spacing w:val="-15"/>
        </w:rPr>
        <w:t xml:space="preserve"> </w:t>
      </w:r>
      <w:r>
        <w:rPr>
          <w:color w:val="231F20"/>
        </w:rPr>
        <w:t>(ranging</w:t>
      </w:r>
      <w:r>
        <w:rPr>
          <w:color w:val="231F20"/>
          <w:spacing w:val="-14"/>
        </w:rPr>
        <w:t xml:space="preserve"> </w:t>
      </w:r>
      <w:r>
        <w:rPr>
          <w:color w:val="231F20"/>
        </w:rPr>
        <w:t>from</w:t>
      </w:r>
      <w:r>
        <w:rPr>
          <w:color w:val="231F20"/>
          <w:spacing w:val="-14"/>
        </w:rPr>
        <w:t xml:space="preserve"> </w:t>
      </w:r>
      <w:r>
        <w:rPr>
          <w:color w:val="231F20"/>
        </w:rPr>
        <w:t>private</w:t>
      </w:r>
      <w:r>
        <w:rPr>
          <w:color w:val="231F20"/>
          <w:spacing w:val="-14"/>
        </w:rPr>
        <w:t xml:space="preserve"> </w:t>
      </w:r>
      <w:r>
        <w:rPr>
          <w:color w:val="231F20"/>
        </w:rPr>
        <w:t>hospitals,</w:t>
      </w:r>
      <w:r>
        <w:rPr>
          <w:color w:val="231F20"/>
          <w:spacing w:val="-14"/>
        </w:rPr>
        <w:t xml:space="preserve"> </w:t>
      </w:r>
      <w:r>
        <w:rPr>
          <w:color w:val="231F20"/>
        </w:rPr>
        <w:t>clinics,</w:t>
      </w:r>
      <w:r>
        <w:rPr>
          <w:color w:val="231F20"/>
          <w:spacing w:val="-14"/>
        </w:rPr>
        <w:t xml:space="preserve"> </w:t>
      </w:r>
      <w:r>
        <w:rPr>
          <w:color w:val="231F20"/>
        </w:rPr>
        <w:t>to</w:t>
      </w:r>
      <w:r>
        <w:rPr>
          <w:color w:val="231F20"/>
          <w:spacing w:val="-14"/>
        </w:rPr>
        <w:t xml:space="preserve"> </w:t>
      </w:r>
      <w:r>
        <w:rPr>
          <w:color w:val="231F20"/>
        </w:rPr>
        <w:t>pharmaceutical</w:t>
      </w:r>
      <w:r>
        <w:rPr>
          <w:color w:val="231F20"/>
          <w:spacing w:val="-14"/>
        </w:rPr>
        <w:t xml:space="preserve"> </w:t>
      </w:r>
      <w:r>
        <w:rPr>
          <w:color w:val="231F20"/>
        </w:rPr>
        <w:t>stores,</w:t>
      </w:r>
      <w:r>
        <w:rPr>
          <w:color w:val="231F20"/>
          <w:spacing w:val="-14"/>
        </w:rPr>
        <w:t xml:space="preserve"> </w:t>
      </w:r>
      <w:r>
        <w:rPr>
          <w:color w:val="231F20"/>
        </w:rPr>
        <w:t>patent</w:t>
      </w:r>
      <w:r>
        <w:rPr>
          <w:color w:val="231F20"/>
          <w:spacing w:val="-14"/>
        </w:rPr>
        <w:t xml:space="preserve"> </w:t>
      </w:r>
      <w:r>
        <w:rPr>
          <w:color w:val="231F20"/>
        </w:rPr>
        <w:t>medicine</w:t>
      </w:r>
      <w:r>
        <w:rPr>
          <w:color w:val="231F20"/>
          <w:spacing w:val="-14"/>
        </w:rPr>
        <w:t xml:space="preserve"> </w:t>
      </w:r>
      <w:r>
        <w:rPr>
          <w:color w:val="231F20"/>
        </w:rPr>
        <w:t>stores and</w:t>
      </w:r>
      <w:r>
        <w:rPr>
          <w:color w:val="231F20"/>
          <w:spacing w:val="-21"/>
        </w:rPr>
        <w:t xml:space="preserve"> </w:t>
      </w:r>
      <w:r>
        <w:rPr>
          <w:color w:val="231F20"/>
        </w:rPr>
        <w:t>traditional</w:t>
      </w:r>
      <w:r>
        <w:rPr>
          <w:color w:val="231F20"/>
          <w:spacing w:val="-20"/>
        </w:rPr>
        <w:t xml:space="preserve"> </w:t>
      </w:r>
      <w:r>
        <w:rPr>
          <w:color w:val="231F20"/>
        </w:rPr>
        <w:t>healers)</w:t>
      </w:r>
      <w:r>
        <w:rPr>
          <w:color w:val="231F20"/>
          <w:spacing w:val="-20"/>
        </w:rPr>
        <w:t xml:space="preserve"> </w:t>
      </w:r>
      <w:r>
        <w:rPr>
          <w:color w:val="231F20"/>
        </w:rPr>
        <w:t>are</w:t>
      </w:r>
      <w:r>
        <w:rPr>
          <w:color w:val="231F20"/>
          <w:spacing w:val="-20"/>
        </w:rPr>
        <w:t xml:space="preserve"> </w:t>
      </w:r>
      <w:r>
        <w:rPr>
          <w:color w:val="231F20"/>
        </w:rPr>
        <w:t>increasingly</w:t>
      </w:r>
      <w:r>
        <w:rPr>
          <w:color w:val="231F20"/>
          <w:spacing w:val="-20"/>
        </w:rPr>
        <w:t xml:space="preserve"> </w:t>
      </w:r>
      <w:r>
        <w:rPr>
          <w:color w:val="231F20"/>
        </w:rPr>
        <w:t>being</w:t>
      </w:r>
      <w:r>
        <w:rPr>
          <w:color w:val="231F20"/>
          <w:spacing w:val="-20"/>
        </w:rPr>
        <w:t xml:space="preserve"> </w:t>
      </w:r>
      <w:r>
        <w:rPr>
          <w:color w:val="231F20"/>
        </w:rPr>
        <w:t>used</w:t>
      </w:r>
      <w:r>
        <w:rPr>
          <w:color w:val="231F20"/>
          <w:spacing w:val="-20"/>
        </w:rPr>
        <w:t xml:space="preserve"> </w:t>
      </w:r>
      <w:r>
        <w:rPr>
          <w:color w:val="231F20"/>
        </w:rPr>
        <w:t>by</w:t>
      </w:r>
      <w:r>
        <w:rPr>
          <w:color w:val="231F20"/>
          <w:spacing w:val="-21"/>
        </w:rPr>
        <w:t xml:space="preserve"> </w:t>
      </w:r>
      <w:r>
        <w:rPr>
          <w:color w:val="231F20"/>
        </w:rPr>
        <w:t>growing</w:t>
      </w:r>
      <w:r>
        <w:rPr>
          <w:color w:val="231F20"/>
          <w:spacing w:val="-20"/>
        </w:rPr>
        <w:t xml:space="preserve"> </w:t>
      </w:r>
      <w:r>
        <w:rPr>
          <w:color w:val="231F20"/>
        </w:rPr>
        <w:t>numbers</w:t>
      </w:r>
      <w:r>
        <w:rPr>
          <w:color w:val="231F20"/>
          <w:spacing w:val="-20"/>
        </w:rPr>
        <w:t xml:space="preserve"> </w:t>
      </w:r>
      <w:r>
        <w:rPr>
          <w:color w:val="231F20"/>
        </w:rPr>
        <w:t>of</w:t>
      </w:r>
      <w:r>
        <w:rPr>
          <w:color w:val="231F20"/>
          <w:spacing w:val="-20"/>
        </w:rPr>
        <w:t xml:space="preserve"> </w:t>
      </w:r>
      <w:r>
        <w:rPr>
          <w:color w:val="231F20"/>
        </w:rPr>
        <w:t>people</w:t>
      </w:r>
      <w:r>
        <w:rPr>
          <w:color w:val="231F20"/>
          <w:spacing w:val="-20"/>
        </w:rPr>
        <w:t xml:space="preserve"> </w:t>
      </w:r>
      <w:r>
        <w:rPr>
          <w:color w:val="231F20"/>
        </w:rPr>
        <w:t>to</w:t>
      </w:r>
      <w:r>
        <w:rPr>
          <w:color w:val="231F20"/>
          <w:spacing w:val="-20"/>
        </w:rPr>
        <w:t xml:space="preserve"> </w:t>
      </w:r>
      <w:r>
        <w:rPr>
          <w:color w:val="231F20"/>
        </w:rPr>
        <w:t>access</w:t>
      </w:r>
      <w:r>
        <w:rPr>
          <w:color w:val="231F20"/>
          <w:spacing w:val="-20"/>
        </w:rPr>
        <w:t xml:space="preserve"> </w:t>
      </w:r>
      <w:r>
        <w:rPr>
          <w:color w:val="231F20"/>
        </w:rPr>
        <w:t>health services.</w:t>
      </w:r>
      <w:r>
        <w:rPr>
          <w:color w:val="231F20"/>
          <w:spacing w:val="-13"/>
        </w:rPr>
        <w:t xml:space="preserve"> </w:t>
      </w:r>
      <w:r>
        <w:rPr>
          <w:color w:val="231F20"/>
        </w:rPr>
        <w:t>Most</w:t>
      </w:r>
      <w:r>
        <w:rPr>
          <w:color w:val="231F20"/>
          <w:spacing w:val="-13"/>
        </w:rPr>
        <w:t xml:space="preserve"> </w:t>
      </w:r>
      <w:r>
        <w:rPr>
          <w:color w:val="231F20"/>
        </w:rPr>
        <w:t>of</w:t>
      </w:r>
      <w:r>
        <w:rPr>
          <w:color w:val="231F20"/>
          <w:spacing w:val="-13"/>
        </w:rPr>
        <w:t xml:space="preserve"> </w:t>
      </w:r>
      <w:r>
        <w:rPr>
          <w:color w:val="231F20"/>
        </w:rPr>
        <w:t>such</w:t>
      </w:r>
      <w:r>
        <w:rPr>
          <w:color w:val="231F20"/>
          <w:spacing w:val="-13"/>
        </w:rPr>
        <w:t xml:space="preserve"> </w:t>
      </w:r>
      <w:r>
        <w:rPr>
          <w:color w:val="231F20"/>
        </w:rPr>
        <w:t>facilities</w:t>
      </w:r>
      <w:r>
        <w:rPr>
          <w:color w:val="231F20"/>
          <w:spacing w:val="-13"/>
        </w:rPr>
        <w:t xml:space="preserve"> </w:t>
      </w:r>
      <w:r>
        <w:rPr>
          <w:color w:val="231F20"/>
        </w:rPr>
        <w:t>are</w:t>
      </w:r>
      <w:r>
        <w:rPr>
          <w:color w:val="231F20"/>
          <w:spacing w:val="-13"/>
        </w:rPr>
        <w:t xml:space="preserve"> </w:t>
      </w:r>
      <w:r>
        <w:rPr>
          <w:color w:val="231F20"/>
        </w:rPr>
        <w:t>unregistered;</w:t>
      </w:r>
      <w:r>
        <w:rPr>
          <w:color w:val="231F20"/>
          <w:spacing w:val="-13"/>
        </w:rPr>
        <w:t xml:space="preserve"> </w:t>
      </w:r>
      <w:r>
        <w:rPr>
          <w:color w:val="231F20"/>
        </w:rPr>
        <w:t>employ</w:t>
      </w:r>
      <w:r>
        <w:rPr>
          <w:color w:val="231F20"/>
          <w:spacing w:val="-13"/>
        </w:rPr>
        <w:t xml:space="preserve"> </w:t>
      </w:r>
      <w:r>
        <w:rPr>
          <w:color w:val="231F20"/>
        </w:rPr>
        <w:t>unqualified</w:t>
      </w:r>
      <w:r>
        <w:rPr>
          <w:color w:val="231F20"/>
          <w:spacing w:val="-13"/>
        </w:rPr>
        <w:t xml:space="preserve"> </w:t>
      </w:r>
      <w:r>
        <w:rPr>
          <w:color w:val="231F20"/>
        </w:rPr>
        <w:t>health</w:t>
      </w:r>
      <w:r>
        <w:rPr>
          <w:color w:val="231F20"/>
          <w:spacing w:val="-13"/>
        </w:rPr>
        <w:t xml:space="preserve"> </w:t>
      </w:r>
      <w:r>
        <w:rPr>
          <w:color w:val="231F20"/>
        </w:rPr>
        <w:t>workers</w:t>
      </w:r>
      <w:r>
        <w:rPr>
          <w:color w:val="231F20"/>
          <w:spacing w:val="-13"/>
        </w:rPr>
        <w:t xml:space="preserve"> </w:t>
      </w:r>
      <w:r>
        <w:rPr>
          <w:color w:val="231F20"/>
        </w:rPr>
        <w:t>and</w:t>
      </w:r>
      <w:r>
        <w:rPr>
          <w:color w:val="231F20"/>
          <w:spacing w:val="-13"/>
        </w:rPr>
        <w:t xml:space="preserve"> </w:t>
      </w:r>
      <w:r>
        <w:rPr>
          <w:color w:val="231F20"/>
        </w:rPr>
        <w:t>dispense counterfeit</w:t>
      </w:r>
      <w:r>
        <w:rPr>
          <w:color w:val="231F20"/>
          <w:spacing w:val="-6"/>
        </w:rPr>
        <w:t xml:space="preserve"> </w:t>
      </w:r>
      <w:r>
        <w:rPr>
          <w:color w:val="231F20"/>
        </w:rPr>
        <w:t>drugs</w:t>
      </w:r>
      <w:r>
        <w:rPr>
          <w:color w:val="231F20"/>
          <w:spacing w:val="-6"/>
        </w:rPr>
        <w:t xml:space="preserve"> </w:t>
      </w:r>
      <w:r>
        <w:rPr>
          <w:color w:val="231F20"/>
        </w:rPr>
        <w:t>despite</w:t>
      </w:r>
      <w:r>
        <w:rPr>
          <w:color w:val="231F20"/>
          <w:spacing w:val="-5"/>
        </w:rPr>
        <w:t xml:space="preserve"> </w:t>
      </w:r>
      <w:r>
        <w:rPr>
          <w:color w:val="231F20"/>
        </w:rPr>
        <w:t>the</w:t>
      </w:r>
      <w:r>
        <w:rPr>
          <w:color w:val="231F20"/>
          <w:spacing w:val="-6"/>
        </w:rPr>
        <w:t xml:space="preserve"> </w:t>
      </w:r>
      <w:r>
        <w:rPr>
          <w:color w:val="231F20"/>
        </w:rPr>
        <w:t>regulatory</w:t>
      </w:r>
      <w:r>
        <w:rPr>
          <w:color w:val="231F20"/>
          <w:spacing w:val="-5"/>
        </w:rPr>
        <w:t xml:space="preserve"> </w:t>
      </w:r>
      <w:r>
        <w:rPr>
          <w:color w:val="231F20"/>
        </w:rPr>
        <w:t>framework</w:t>
      </w:r>
      <w:r>
        <w:rPr>
          <w:color w:val="231F20"/>
          <w:spacing w:val="-6"/>
        </w:rPr>
        <w:t xml:space="preserve"> </w:t>
      </w:r>
      <w:r>
        <w:rPr>
          <w:color w:val="231F20"/>
        </w:rPr>
        <w:t>provided</w:t>
      </w:r>
      <w:r>
        <w:rPr>
          <w:color w:val="231F20"/>
          <w:spacing w:val="-5"/>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National</w:t>
      </w:r>
      <w:r>
        <w:rPr>
          <w:color w:val="231F20"/>
          <w:spacing w:val="-18"/>
        </w:rPr>
        <w:t xml:space="preserve"> </w:t>
      </w:r>
      <w:r>
        <w:rPr>
          <w:color w:val="231F20"/>
        </w:rPr>
        <w:t>Agency</w:t>
      </w:r>
      <w:r>
        <w:rPr>
          <w:color w:val="231F20"/>
          <w:spacing w:val="-5"/>
        </w:rPr>
        <w:t xml:space="preserve"> </w:t>
      </w:r>
      <w:r>
        <w:rPr>
          <w:color w:val="231F20"/>
        </w:rPr>
        <w:t>for</w:t>
      </w:r>
      <w:r>
        <w:rPr>
          <w:color w:val="231F20"/>
          <w:spacing w:val="-7"/>
        </w:rPr>
        <w:t xml:space="preserve"> </w:t>
      </w:r>
      <w:r>
        <w:rPr>
          <w:color w:val="231F20"/>
        </w:rPr>
        <w:t>Food</w:t>
      </w:r>
      <w:r>
        <w:rPr>
          <w:color w:val="231F20"/>
          <w:spacing w:val="-6"/>
        </w:rPr>
        <w:t xml:space="preserve"> </w:t>
      </w:r>
      <w:r>
        <w:rPr>
          <w:color w:val="231F20"/>
        </w:rPr>
        <w:t>and Drugs</w:t>
      </w:r>
      <w:r>
        <w:rPr>
          <w:color w:val="231F20"/>
          <w:spacing w:val="-37"/>
        </w:rPr>
        <w:t xml:space="preserve"> </w:t>
      </w:r>
      <w:r>
        <w:rPr>
          <w:color w:val="231F20"/>
        </w:rPr>
        <w:t>Administration</w:t>
      </w:r>
      <w:r>
        <w:rPr>
          <w:color w:val="231F20"/>
          <w:spacing w:val="-26"/>
        </w:rPr>
        <w:t xml:space="preserve"> </w:t>
      </w:r>
      <w:r>
        <w:rPr>
          <w:color w:val="231F20"/>
        </w:rPr>
        <w:t>and</w:t>
      </w:r>
      <w:r>
        <w:rPr>
          <w:color w:val="231F20"/>
          <w:spacing w:val="-25"/>
        </w:rPr>
        <w:t xml:space="preserve"> </w:t>
      </w:r>
      <w:r>
        <w:rPr>
          <w:color w:val="231F20"/>
        </w:rPr>
        <w:t>Control</w:t>
      </w:r>
      <w:r>
        <w:rPr>
          <w:color w:val="231F20"/>
          <w:spacing w:val="-25"/>
        </w:rPr>
        <w:t xml:space="preserve"> </w:t>
      </w:r>
      <w:r>
        <w:rPr>
          <w:color w:val="231F20"/>
        </w:rPr>
        <w:t>(NAFDAC</w:t>
      </w:r>
      <w:r>
        <w:rPr>
          <w:color w:val="231F20"/>
          <w:spacing w:val="-25"/>
        </w:rPr>
        <w:t xml:space="preserve"> </w:t>
      </w:r>
      <w:r>
        <w:rPr>
          <w:color w:val="231F20"/>
        </w:rPr>
        <w:t>Report,</w:t>
      </w:r>
      <w:r>
        <w:rPr>
          <w:color w:val="231F20"/>
          <w:spacing w:val="-25"/>
        </w:rPr>
        <w:t xml:space="preserve"> </w:t>
      </w:r>
      <w:r>
        <w:rPr>
          <w:color w:val="231F20"/>
        </w:rPr>
        <w:t>2005).</w:t>
      </w:r>
    </w:p>
    <w:p w14:paraId="30419BE2" w14:textId="77777777" w:rsidR="009948F1" w:rsidRDefault="00BC0563">
      <w:pPr>
        <w:pStyle w:val="BodyText"/>
        <w:spacing w:before="6" w:line="242" w:lineRule="auto"/>
        <w:ind w:left="149" w:right="191"/>
        <w:jc w:val="both"/>
      </w:pPr>
      <w:r>
        <w:rPr>
          <w:color w:val="231F20"/>
        </w:rPr>
        <w:t>There</w:t>
      </w:r>
      <w:r>
        <w:rPr>
          <w:color w:val="231F20"/>
          <w:spacing w:val="-6"/>
        </w:rPr>
        <w:t xml:space="preserve"> </w:t>
      </w:r>
      <w:r>
        <w:rPr>
          <w:color w:val="231F20"/>
        </w:rPr>
        <w:t>are</w:t>
      </w:r>
      <w:r>
        <w:rPr>
          <w:color w:val="231F20"/>
          <w:spacing w:val="-6"/>
        </w:rPr>
        <w:t xml:space="preserve"> </w:t>
      </w:r>
      <w:r>
        <w:rPr>
          <w:color w:val="231F20"/>
        </w:rPr>
        <w:t>numerous</w:t>
      </w:r>
      <w:r>
        <w:rPr>
          <w:color w:val="231F20"/>
          <w:spacing w:val="-6"/>
        </w:rPr>
        <w:t xml:space="preserve"> </w:t>
      </w:r>
      <w:r>
        <w:rPr>
          <w:color w:val="231F20"/>
        </w:rPr>
        <w:t>active</w:t>
      </w:r>
      <w:r>
        <w:rPr>
          <w:color w:val="231F20"/>
          <w:spacing w:val="-5"/>
        </w:rPr>
        <w:t xml:space="preserve"> </w:t>
      </w:r>
      <w:r>
        <w:rPr>
          <w:color w:val="231F20"/>
        </w:rPr>
        <w:t>non-governmental</w:t>
      </w:r>
      <w:r>
        <w:rPr>
          <w:color w:val="231F20"/>
          <w:spacing w:val="-6"/>
        </w:rPr>
        <w:t xml:space="preserve"> </w:t>
      </w:r>
      <w:proofErr w:type="spellStart"/>
      <w:r>
        <w:rPr>
          <w:color w:val="231F20"/>
        </w:rPr>
        <w:t>organisations</w:t>
      </w:r>
      <w:proofErr w:type="spellEnd"/>
      <w:r>
        <w:rPr>
          <w:color w:val="231F20"/>
          <w:spacing w:val="-6"/>
        </w:rPr>
        <w:t xml:space="preserve"> </w:t>
      </w:r>
      <w:r>
        <w:rPr>
          <w:color w:val="231F20"/>
        </w:rPr>
        <w:t>providing</w:t>
      </w:r>
      <w:r>
        <w:rPr>
          <w:color w:val="231F20"/>
          <w:spacing w:val="-6"/>
        </w:rPr>
        <w:t xml:space="preserve"> </w:t>
      </w:r>
      <w:r>
        <w:rPr>
          <w:color w:val="231F20"/>
        </w:rPr>
        <w:t>health</w:t>
      </w:r>
      <w:r>
        <w:rPr>
          <w:color w:val="231F20"/>
          <w:spacing w:val="-5"/>
        </w:rPr>
        <w:t xml:space="preserve"> </w:t>
      </w:r>
      <w:r>
        <w:rPr>
          <w:color w:val="231F20"/>
        </w:rPr>
        <w:t>care</w:t>
      </w:r>
      <w:r>
        <w:rPr>
          <w:color w:val="231F20"/>
          <w:spacing w:val="-6"/>
        </w:rPr>
        <w:t xml:space="preserve"> </w:t>
      </w:r>
      <w:r>
        <w:rPr>
          <w:color w:val="231F20"/>
        </w:rPr>
        <w:t>in</w:t>
      </w:r>
      <w:r>
        <w:rPr>
          <w:color w:val="231F20"/>
          <w:spacing w:val="-6"/>
        </w:rPr>
        <w:t xml:space="preserve"> </w:t>
      </w:r>
      <w:r>
        <w:rPr>
          <w:color w:val="231F20"/>
        </w:rPr>
        <w:t>Rivers</w:t>
      </w:r>
      <w:r>
        <w:rPr>
          <w:color w:val="231F20"/>
          <w:spacing w:val="-6"/>
        </w:rPr>
        <w:t xml:space="preserve"> </w:t>
      </w:r>
      <w:r>
        <w:rPr>
          <w:color w:val="231F20"/>
          <w:spacing w:val="-4"/>
        </w:rPr>
        <w:t xml:space="preserve">State </w:t>
      </w:r>
      <w:r>
        <w:rPr>
          <w:color w:val="231F20"/>
        </w:rPr>
        <w:t>and</w:t>
      </w:r>
      <w:r>
        <w:rPr>
          <w:color w:val="231F20"/>
          <w:spacing w:val="-25"/>
        </w:rPr>
        <w:t xml:space="preserve"> </w:t>
      </w:r>
      <w:r>
        <w:rPr>
          <w:color w:val="231F20"/>
        </w:rPr>
        <w:t>significant</w:t>
      </w:r>
      <w:r>
        <w:rPr>
          <w:color w:val="231F20"/>
          <w:spacing w:val="-24"/>
        </w:rPr>
        <w:t xml:space="preserve"> </w:t>
      </w:r>
      <w:r>
        <w:rPr>
          <w:color w:val="231F20"/>
        </w:rPr>
        <w:t>among</w:t>
      </w:r>
      <w:r>
        <w:rPr>
          <w:color w:val="231F20"/>
          <w:spacing w:val="-24"/>
        </w:rPr>
        <w:t xml:space="preserve"> </w:t>
      </w:r>
      <w:r>
        <w:rPr>
          <w:color w:val="231F20"/>
        </w:rPr>
        <w:t>these</w:t>
      </w:r>
      <w:r>
        <w:rPr>
          <w:color w:val="231F20"/>
          <w:spacing w:val="-24"/>
        </w:rPr>
        <w:t xml:space="preserve"> </w:t>
      </w:r>
      <w:r>
        <w:rPr>
          <w:color w:val="231F20"/>
        </w:rPr>
        <w:t>are</w:t>
      </w:r>
      <w:r>
        <w:rPr>
          <w:color w:val="231F20"/>
          <w:spacing w:val="-24"/>
        </w:rPr>
        <w:t xml:space="preserve"> </w:t>
      </w:r>
      <w:r>
        <w:rPr>
          <w:color w:val="231F20"/>
        </w:rPr>
        <w:t>faith-based</w:t>
      </w:r>
      <w:r>
        <w:rPr>
          <w:color w:val="231F20"/>
          <w:spacing w:val="-24"/>
        </w:rPr>
        <w:t xml:space="preserve"> </w:t>
      </w:r>
      <w:r>
        <w:rPr>
          <w:color w:val="231F20"/>
        </w:rPr>
        <w:t>organizations</w:t>
      </w:r>
      <w:r>
        <w:rPr>
          <w:color w:val="231F20"/>
          <w:spacing w:val="-24"/>
        </w:rPr>
        <w:t xml:space="preserve"> </w:t>
      </w:r>
      <w:r>
        <w:rPr>
          <w:color w:val="231F20"/>
        </w:rPr>
        <w:t>(</w:t>
      </w:r>
      <w:r>
        <w:rPr>
          <w:i/>
          <w:color w:val="231F20"/>
        </w:rPr>
        <w:t>private</w:t>
      </w:r>
      <w:r>
        <w:rPr>
          <w:i/>
          <w:color w:val="231F20"/>
          <w:spacing w:val="-24"/>
        </w:rPr>
        <w:t xml:space="preserve"> </w:t>
      </w:r>
      <w:r>
        <w:rPr>
          <w:i/>
          <w:color w:val="231F20"/>
        </w:rPr>
        <w:t>not</w:t>
      </w:r>
      <w:r>
        <w:rPr>
          <w:i/>
          <w:color w:val="231F20"/>
          <w:spacing w:val="-24"/>
        </w:rPr>
        <w:t xml:space="preserve"> </w:t>
      </w:r>
      <w:r>
        <w:rPr>
          <w:i/>
          <w:color w:val="231F20"/>
        </w:rPr>
        <w:t>for</w:t>
      </w:r>
      <w:r>
        <w:rPr>
          <w:i/>
          <w:color w:val="231F20"/>
          <w:spacing w:val="-24"/>
        </w:rPr>
        <w:t xml:space="preserve"> </w:t>
      </w:r>
      <w:r>
        <w:rPr>
          <w:i/>
          <w:color w:val="231F20"/>
        </w:rPr>
        <w:t>profit</w:t>
      </w:r>
      <w:r>
        <w:rPr>
          <w:color w:val="231F20"/>
        </w:rPr>
        <w:t>).</w:t>
      </w:r>
      <w:r>
        <w:rPr>
          <w:color w:val="231F20"/>
          <w:spacing w:val="34"/>
        </w:rPr>
        <w:t xml:space="preserve"> </w:t>
      </w:r>
      <w:r>
        <w:rPr>
          <w:color w:val="231F20"/>
        </w:rPr>
        <w:t>Their</w:t>
      </w:r>
      <w:r>
        <w:rPr>
          <w:color w:val="231F20"/>
          <w:spacing w:val="-24"/>
        </w:rPr>
        <w:t xml:space="preserve"> </w:t>
      </w:r>
      <w:r>
        <w:rPr>
          <w:color w:val="231F20"/>
        </w:rPr>
        <w:t>services</w:t>
      </w:r>
      <w:r>
        <w:rPr>
          <w:color w:val="231F20"/>
          <w:spacing w:val="-24"/>
        </w:rPr>
        <w:t xml:space="preserve"> </w:t>
      </w:r>
      <w:r>
        <w:rPr>
          <w:color w:val="231F20"/>
          <w:spacing w:val="-4"/>
        </w:rPr>
        <w:t xml:space="preserve">are </w:t>
      </w:r>
      <w:r>
        <w:rPr>
          <w:color w:val="231F20"/>
        </w:rPr>
        <w:t>generally</w:t>
      </w:r>
      <w:r>
        <w:rPr>
          <w:color w:val="231F20"/>
          <w:spacing w:val="-4"/>
        </w:rPr>
        <w:t xml:space="preserve"> </w:t>
      </w:r>
      <w:r>
        <w:rPr>
          <w:color w:val="231F20"/>
        </w:rPr>
        <w:t>perceived</w:t>
      </w:r>
      <w:r>
        <w:rPr>
          <w:color w:val="231F20"/>
          <w:spacing w:val="-4"/>
        </w:rPr>
        <w:t xml:space="preserve"> </w:t>
      </w:r>
      <w:r>
        <w:rPr>
          <w:color w:val="231F20"/>
        </w:rPr>
        <w:t>to</w:t>
      </w:r>
      <w:r>
        <w:rPr>
          <w:color w:val="231F20"/>
          <w:spacing w:val="-3"/>
        </w:rPr>
        <w:t xml:space="preserve"> </w:t>
      </w:r>
      <w:r>
        <w:rPr>
          <w:color w:val="231F20"/>
        </w:rPr>
        <w:t>be</w:t>
      </w:r>
      <w:r>
        <w:rPr>
          <w:color w:val="231F20"/>
          <w:spacing w:val="-4"/>
        </w:rPr>
        <w:t xml:space="preserve"> </w:t>
      </w:r>
      <w:r>
        <w:rPr>
          <w:color w:val="231F20"/>
        </w:rPr>
        <w:t>of</w:t>
      </w:r>
      <w:r>
        <w:rPr>
          <w:color w:val="231F20"/>
          <w:spacing w:val="-3"/>
        </w:rPr>
        <w:t xml:space="preserve"> </w:t>
      </w:r>
      <w:r>
        <w:rPr>
          <w:color w:val="231F20"/>
        </w:rPr>
        <w:t>better</w:t>
      </w:r>
      <w:r>
        <w:rPr>
          <w:color w:val="231F20"/>
          <w:spacing w:val="-4"/>
        </w:rPr>
        <w:t xml:space="preserve"> </w:t>
      </w:r>
      <w:r>
        <w:rPr>
          <w:color w:val="231F20"/>
        </w:rPr>
        <w:t>quality</w:t>
      </w:r>
      <w:r>
        <w:rPr>
          <w:color w:val="231F20"/>
          <w:spacing w:val="-3"/>
        </w:rPr>
        <w:t xml:space="preserve"> </w:t>
      </w:r>
      <w:r>
        <w:rPr>
          <w:color w:val="231F20"/>
        </w:rPr>
        <w:t>and</w:t>
      </w:r>
      <w:r>
        <w:rPr>
          <w:color w:val="231F20"/>
          <w:spacing w:val="-4"/>
        </w:rPr>
        <w:t xml:space="preserve"> </w:t>
      </w:r>
      <w:r>
        <w:rPr>
          <w:color w:val="231F20"/>
        </w:rPr>
        <w:t>more</w:t>
      </w:r>
      <w:r>
        <w:rPr>
          <w:color w:val="231F20"/>
          <w:spacing w:val="-3"/>
        </w:rPr>
        <w:t xml:space="preserve"> </w:t>
      </w:r>
      <w:r>
        <w:rPr>
          <w:color w:val="231F20"/>
        </w:rPr>
        <w:t>accessible</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spacing w:val="-3"/>
        </w:rPr>
        <w:t>poor,</w:t>
      </w:r>
      <w:r>
        <w:rPr>
          <w:color w:val="231F20"/>
          <w:spacing w:val="-4"/>
        </w:rPr>
        <w:t xml:space="preserve"> </w:t>
      </w:r>
      <w:r>
        <w:rPr>
          <w:color w:val="231F20"/>
        </w:rPr>
        <w:t>however,</w:t>
      </w:r>
      <w:r>
        <w:rPr>
          <w:color w:val="231F20"/>
          <w:spacing w:val="-3"/>
        </w:rPr>
        <w:t xml:space="preserve"> </w:t>
      </w:r>
      <w:r>
        <w:rPr>
          <w:color w:val="231F20"/>
        </w:rPr>
        <w:t>unlike</w:t>
      </w:r>
      <w:r>
        <w:rPr>
          <w:color w:val="231F20"/>
          <w:spacing w:val="-4"/>
        </w:rPr>
        <w:t xml:space="preserve"> </w:t>
      </w:r>
      <w:r>
        <w:rPr>
          <w:color w:val="231F20"/>
          <w:spacing w:val="-3"/>
        </w:rPr>
        <w:t xml:space="preserve">other </w:t>
      </w:r>
      <w:r>
        <w:rPr>
          <w:color w:val="231F20"/>
        </w:rPr>
        <w:t>African countries, in Nigeria, this sub-sector has received little government and external support. Judicious and focused support to this sub-sector could in areas of need secure improved health benefits</w:t>
      </w:r>
      <w:r>
        <w:rPr>
          <w:color w:val="231F20"/>
          <w:spacing w:val="-25"/>
        </w:rPr>
        <w:t xml:space="preserve"> </w:t>
      </w:r>
      <w:r>
        <w:rPr>
          <w:color w:val="231F20"/>
        </w:rPr>
        <w:t>to</w:t>
      </w:r>
      <w:r>
        <w:rPr>
          <w:color w:val="231F20"/>
          <w:spacing w:val="-25"/>
        </w:rPr>
        <w:t xml:space="preserve"> </w:t>
      </w:r>
      <w:r>
        <w:rPr>
          <w:color w:val="231F20"/>
        </w:rPr>
        <w:t>the</w:t>
      </w:r>
      <w:r>
        <w:rPr>
          <w:color w:val="231F20"/>
          <w:spacing w:val="-26"/>
        </w:rPr>
        <w:t xml:space="preserve"> </w:t>
      </w:r>
      <w:r>
        <w:rPr>
          <w:color w:val="231F20"/>
        </w:rPr>
        <w:t>poor</w:t>
      </w:r>
      <w:r>
        <w:rPr>
          <w:color w:val="231F20"/>
          <w:spacing w:val="-25"/>
        </w:rPr>
        <w:t xml:space="preserve"> </w:t>
      </w:r>
      <w:r>
        <w:rPr>
          <w:color w:val="231F20"/>
        </w:rPr>
        <w:t>and</w:t>
      </w:r>
      <w:r>
        <w:rPr>
          <w:color w:val="231F20"/>
          <w:spacing w:val="-25"/>
        </w:rPr>
        <w:t xml:space="preserve"> </w:t>
      </w:r>
      <w:r>
        <w:rPr>
          <w:color w:val="231F20"/>
        </w:rPr>
        <w:t>the</w:t>
      </w:r>
      <w:r>
        <w:rPr>
          <w:color w:val="231F20"/>
          <w:spacing w:val="-25"/>
        </w:rPr>
        <w:t xml:space="preserve"> </w:t>
      </w:r>
      <w:r>
        <w:rPr>
          <w:color w:val="231F20"/>
        </w:rPr>
        <w:t>vulnerable.</w:t>
      </w:r>
    </w:p>
    <w:p w14:paraId="6005FFD2" w14:textId="77777777" w:rsidR="009948F1" w:rsidRDefault="009948F1">
      <w:pPr>
        <w:pStyle w:val="BodyText"/>
        <w:spacing w:before="3"/>
        <w:rPr>
          <w:sz w:val="21"/>
        </w:rPr>
      </w:pPr>
    </w:p>
    <w:p w14:paraId="61340982" w14:textId="77777777" w:rsidR="009948F1" w:rsidRDefault="00BC0563">
      <w:pPr>
        <w:pStyle w:val="BodyText"/>
        <w:spacing w:line="242" w:lineRule="auto"/>
        <w:ind w:left="149" w:right="191"/>
        <w:jc w:val="both"/>
      </w:pPr>
      <w:r>
        <w:rPr>
          <w:color w:val="231F20"/>
        </w:rPr>
        <w:t>There</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a</w:t>
      </w:r>
      <w:r>
        <w:rPr>
          <w:color w:val="231F20"/>
          <w:spacing w:val="-13"/>
        </w:rPr>
        <w:t xml:space="preserve"> </w:t>
      </w:r>
      <w:r>
        <w:rPr>
          <w:color w:val="231F20"/>
        </w:rPr>
        <w:t>lack</w:t>
      </w:r>
      <w:r>
        <w:rPr>
          <w:color w:val="231F20"/>
          <w:spacing w:val="-13"/>
        </w:rPr>
        <w:t xml:space="preserve"> </w:t>
      </w:r>
      <w:r>
        <w:rPr>
          <w:color w:val="231F20"/>
        </w:rPr>
        <w:t>of</w:t>
      </w:r>
      <w:r>
        <w:rPr>
          <w:color w:val="231F20"/>
          <w:spacing w:val="-13"/>
        </w:rPr>
        <w:t xml:space="preserve"> </w:t>
      </w:r>
      <w:r>
        <w:rPr>
          <w:color w:val="231F20"/>
        </w:rPr>
        <w:t>a</w:t>
      </w:r>
      <w:r>
        <w:rPr>
          <w:color w:val="231F20"/>
          <w:spacing w:val="-12"/>
        </w:rPr>
        <w:t xml:space="preserve"> </w:t>
      </w:r>
      <w:r>
        <w:rPr>
          <w:color w:val="231F20"/>
        </w:rPr>
        <w:t>harmonized</w:t>
      </w:r>
      <w:r>
        <w:rPr>
          <w:color w:val="231F20"/>
          <w:spacing w:val="-13"/>
        </w:rPr>
        <w:t xml:space="preserve"> </w:t>
      </w:r>
      <w:r>
        <w:rPr>
          <w:color w:val="231F20"/>
        </w:rPr>
        <w:t>framework</w:t>
      </w:r>
      <w:r>
        <w:rPr>
          <w:color w:val="231F20"/>
          <w:spacing w:val="-13"/>
        </w:rPr>
        <w:t xml:space="preserve"> </w:t>
      </w:r>
      <w:r>
        <w:rPr>
          <w:color w:val="231F20"/>
        </w:rPr>
        <w:t>for</w:t>
      </w:r>
      <w:r>
        <w:rPr>
          <w:color w:val="231F20"/>
          <w:spacing w:val="-13"/>
        </w:rPr>
        <w:t xml:space="preserve"> </w:t>
      </w:r>
      <w:r>
        <w:rPr>
          <w:color w:val="231F20"/>
        </w:rPr>
        <w:t>coordination</w:t>
      </w:r>
      <w:r>
        <w:rPr>
          <w:color w:val="231F20"/>
          <w:spacing w:val="-13"/>
        </w:rPr>
        <w:t xml:space="preserve"> </w:t>
      </w:r>
      <w:r>
        <w:rPr>
          <w:color w:val="231F20"/>
        </w:rPr>
        <w:t>between</w:t>
      </w:r>
      <w:r>
        <w:rPr>
          <w:color w:val="231F20"/>
          <w:spacing w:val="-13"/>
        </w:rPr>
        <w:t xml:space="preserve"> </w:t>
      </w:r>
      <w:r>
        <w:rPr>
          <w:color w:val="231F20"/>
        </w:rPr>
        <w:t>the</w:t>
      </w:r>
      <w:r>
        <w:rPr>
          <w:color w:val="231F20"/>
          <w:spacing w:val="-12"/>
        </w:rPr>
        <w:t xml:space="preserve"> </w:t>
      </w:r>
      <w:r>
        <w:rPr>
          <w:color w:val="231F20"/>
        </w:rPr>
        <w:t>FMOH</w:t>
      </w:r>
      <w:r>
        <w:rPr>
          <w:color w:val="231F20"/>
          <w:spacing w:val="-13"/>
        </w:rPr>
        <w:t xml:space="preserve"> </w:t>
      </w:r>
      <w:r>
        <w:rPr>
          <w:color w:val="231F20"/>
        </w:rPr>
        <w:t>and</w:t>
      </w:r>
      <w:r>
        <w:rPr>
          <w:color w:val="231F20"/>
          <w:spacing w:val="-13"/>
        </w:rPr>
        <w:t xml:space="preserve"> </w:t>
      </w:r>
      <w:r>
        <w:rPr>
          <w:color w:val="231F20"/>
        </w:rPr>
        <w:t>health development partners. As a result, effective coordination has been poor with donors working separately</w:t>
      </w:r>
      <w:r>
        <w:rPr>
          <w:color w:val="231F20"/>
          <w:spacing w:val="-21"/>
        </w:rPr>
        <w:t xml:space="preserve"> </w:t>
      </w:r>
      <w:r>
        <w:rPr>
          <w:color w:val="231F20"/>
        </w:rPr>
        <w:t>through</w:t>
      </w:r>
      <w:r>
        <w:rPr>
          <w:color w:val="231F20"/>
          <w:spacing w:val="-20"/>
        </w:rPr>
        <w:t xml:space="preserve"> </w:t>
      </w:r>
      <w:r>
        <w:rPr>
          <w:color w:val="231F20"/>
        </w:rPr>
        <w:t>various</w:t>
      </w:r>
      <w:r>
        <w:rPr>
          <w:color w:val="231F20"/>
          <w:spacing w:val="-20"/>
        </w:rPr>
        <w:t xml:space="preserve"> </w:t>
      </w:r>
      <w:r>
        <w:rPr>
          <w:color w:val="231F20"/>
        </w:rPr>
        <w:t>departments</w:t>
      </w:r>
      <w:r>
        <w:rPr>
          <w:color w:val="231F20"/>
          <w:spacing w:val="-20"/>
        </w:rPr>
        <w:t xml:space="preserve"> </w:t>
      </w:r>
      <w:r>
        <w:rPr>
          <w:color w:val="231F20"/>
        </w:rPr>
        <w:t>and</w:t>
      </w:r>
      <w:r>
        <w:rPr>
          <w:color w:val="231F20"/>
          <w:spacing w:val="-20"/>
        </w:rPr>
        <w:t xml:space="preserve"> </w:t>
      </w:r>
      <w:r>
        <w:rPr>
          <w:color w:val="231F20"/>
        </w:rPr>
        <w:t>agencies</w:t>
      </w:r>
      <w:r>
        <w:rPr>
          <w:color w:val="231F20"/>
          <w:spacing w:val="-20"/>
        </w:rPr>
        <w:t xml:space="preserve"> </w:t>
      </w:r>
      <w:r>
        <w:rPr>
          <w:color w:val="231F20"/>
        </w:rPr>
        <w:t>within</w:t>
      </w:r>
      <w:r>
        <w:rPr>
          <w:color w:val="231F20"/>
          <w:spacing w:val="-20"/>
        </w:rPr>
        <w:t xml:space="preserve"> </w:t>
      </w:r>
      <w:r>
        <w:rPr>
          <w:color w:val="231F20"/>
        </w:rPr>
        <w:t>the</w:t>
      </w:r>
      <w:r>
        <w:rPr>
          <w:color w:val="231F20"/>
          <w:spacing w:val="-20"/>
        </w:rPr>
        <w:t xml:space="preserve"> </w:t>
      </w:r>
      <w:r>
        <w:rPr>
          <w:color w:val="231F20"/>
        </w:rPr>
        <w:t>sector.</w:t>
      </w:r>
      <w:r>
        <w:rPr>
          <w:color w:val="231F20"/>
          <w:spacing w:val="-24"/>
        </w:rPr>
        <w:t xml:space="preserve"> </w:t>
      </w:r>
      <w:r>
        <w:rPr>
          <w:color w:val="231F20"/>
        </w:rPr>
        <w:t>The</w:t>
      </w:r>
      <w:r>
        <w:rPr>
          <w:color w:val="231F20"/>
          <w:spacing w:val="-20"/>
        </w:rPr>
        <w:t xml:space="preserve"> </w:t>
      </w:r>
      <w:r>
        <w:rPr>
          <w:color w:val="231F20"/>
        </w:rPr>
        <w:t>lack</w:t>
      </w:r>
      <w:r>
        <w:rPr>
          <w:color w:val="231F20"/>
          <w:spacing w:val="-21"/>
        </w:rPr>
        <w:t xml:space="preserve"> </w:t>
      </w:r>
      <w:r>
        <w:rPr>
          <w:color w:val="231F20"/>
        </w:rPr>
        <w:t>of</w:t>
      </w:r>
      <w:r>
        <w:rPr>
          <w:color w:val="231F20"/>
          <w:spacing w:val="-20"/>
        </w:rPr>
        <w:t xml:space="preserve"> </w:t>
      </w:r>
      <w:r>
        <w:rPr>
          <w:color w:val="231F20"/>
        </w:rPr>
        <w:t>an</w:t>
      </w:r>
      <w:r>
        <w:rPr>
          <w:color w:val="231F20"/>
          <w:spacing w:val="-20"/>
        </w:rPr>
        <w:t xml:space="preserve"> </w:t>
      </w:r>
      <w:r>
        <w:rPr>
          <w:color w:val="231F20"/>
        </w:rPr>
        <w:t>overarching framework</w:t>
      </w:r>
      <w:r>
        <w:rPr>
          <w:color w:val="231F20"/>
          <w:spacing w:val="-21"/>
        </w:rPr>
        <w:t xml:space="preserve"> </w:t>
      </w:r>
      <w:r>
        <w:rPr>
          <w:color w:val="231F20"/>
        </w:rPr>
        <w:t>specifying</w:t>
      </w:r>
      <w:r>
        <w:rPr>
          <w:color w:val="231F20"/>
          <w:spacing w:val="-20"/>
        </w:rPr>
        <w:t xml:space="preserve"> </w:t>
      </w:r>
      <w:r>
        <w:rPr>
          <w:color w:val="231F20"/>
        </w:rPr>
        <w:t>priority</w:t>
      </w:r>
      <w:r>
        <w:rPr>
          <w:color w:val="231F20"/>
          <w:spacing w:val="-21"/>
        </w:rPr>
        <w:t xml:space="preserve"> </w:t>
      </w:r>
      <w:r>
        <w:rPr>
          <w:color w:val="231F20"/>
        </w:rPr>
        <w:t>needs</w:t>
      </w:r>
      <w:r>
        <w:rPr>
          <w:color w:val="231F20"/>
          <w:spacing w:val="-20"/>
        </w:rPr>
        <w:t xml:space="preserve"> </w:t>
      </w:r>
      <w:r>
        <w:rPr>
          <w:color w:val="231F20"/>
        </w:rPr>
        <w:t>has</w:t>
      </w:r>
      <w:r>
        <w:rPr>
          <w:color w:val="231F20"/>
          <w:spacing w:val="-21"/>
        </w:rPr>
        <w:t xml:space="preserve"> </w:t>
      </w:r>
      <w:r>
        <w:rPr>
          <w:color w:val="231F20"/>
        </w:rPr>
        <w:t>allowed</w:t>
      </w:r>
      <w:r>
        <w:rPr>
          <w:color w:val="231F20"/>
          <w:spacing w:val="-19"/>
        </w:rPr>
        <w:t xml:space="preserve"> </w:t>
      </w:r>
      <w:r>
        <w:rPr>
          <w:color w:val="231F20"/>
        </w:rPr>
        <w:t>for</w:t>
      </w:r>
      <w:r>
        <w:rPr>
          <w:color w:val="231F20"/>
          <w:spacing w:val="-21"/>
        </w:rPr>
        <w:t xml:space="preserve"> </w:t>
      </w:r>
      <w:r>
        <w:rPr>
          <w:color w:val="231F20"/>
        </w:rPr>
        <w:t>donor</w:t>
      </w:r>
      <w:r>
        <w:rPr>
          <w:color w:val="231F20"/>
          <w:spacing w:val="-20"/>
        </w:rPr>
        <w:t xml:space="preserve"> </w:t>
      </w:r>
      <w:r>
        <w:rPr>
          <w:color w:val="231F20"/>
        </w:rPr>
        <w:t>driven</w:t>
      </w:r>
      <w:r>
        <w:rPr>
          <w:color w:val="231F20"/>
          <w:spacing w:val="-20"/>
        </w:rPr>
        <w:t xml:space="preserve"> </w:t>
      </w:r>
      <w:r>
        <w:rPr>
          <w:color w:val="231F20"/>
        </w:rPr>
        <w:t>aid</w:t>
      </w:r>
      <w:r>
        <w:rPr>
          <w:color w:val="231F20"/>
          <w:spacing w:val="-21"/>
        </w:rPr>
        <w:t xml:space="preserve"> </w:t>
      </w:r>
      <w:r>
        <w:rPr>
          <w:color w:val="231F20"/>
        </w:rPr>
        <w:t>deployed</w:t>
      </w:r>
      <w:r>
        <w:rPr>
          <w:color w:val="231F20"/>
          <w:spacing w:val="-19"/>
        </w:rPr>
        <w:t xml:space="preserve"> </w:t>
      </w:r>
      <w:r>
        <w:rPr>
          <w:color w:val="231F20"/>
        </w:rPr>
        <w:t>in</w:t>
      </w:r>
      <w:r>
        <w:rPr>
          <w:color w:val="231F20"/>
          <w:spacing w:val="-21"/>
        </w:rPr>
        <w:t xml:space="preserve"> </w:t>
      </w:r>
      <w:r>
        <w:rPr>
          <w:color w:val="231F20"/>
        </w:rPr>
        <w:t>sub-optimal</w:t>
      </w:r>
      <w:r>
        <w:rPr>
          <w:color w:val="231F20"/>
          <w:spacing w:val="-20"/>
        </w:rPr>
        <w:t xml:space="preserve"> </w:t>
      </w:r>
      <w:r>
        <w:rPr>
          <w:color w:val="231F20"/>
          <w:spacing w:val="-3"/>
        </w:rPr>
        <w:t xml:space="preserve">areas </w:t>
      </w:r>
      <w:r>
        <w:rPr>
          <w:color w:val="231F20"/>
        </w:rPr>
        <w:t xml:space="preserve">of need or non -geographical spread. The Health Sector Reform </w:t>
      </w:r>
      <w:proofErr w:type="spellStart"/>
      <w:r>
        <w:rPr>
          <w:color w:val="231F20"/>
        </w:rPr>
        <w:t>Programme</w:t>
      </w:r>
      <w:proofErr w:type="spellEnd"/>
      <w:r>
        <w:rPr>
          <w:color w:val="231F20"/>
        </w:rPr>
        <w:t xml:space="preserve"> (2004 – 2007) </w:t>
      </w:r>
      <w:r>
        <w:rPr>
          <w:color w:val="231F20"/>
          <w:spacing w:val="-7"/>
        </w:rPr>
        <w:t xml:space="preserve">in </w:t>
      </w:r>
      <w:r>
        <w:rPr>
          <w:color w:val="231F20"/>
        </w:rPr>
        <w:t xml:space="preserve">recognition of this captured improved donor coordination as essential to increasing </w:t>
      </w:r>
      <w:r>
        <w:rPr>
          <w:color w:val="231F20"/>
          <w:spacing w:val="-4"/>
        </w:rPr>
        <w:t>the</w:t>
      </w:r>
      <w:r>
        <w:rPr>
          <w:color w:val="231F20"/>
          <w:spacing w:val="53"/>
        </w:rPr>
        <w:t xml:space="preserve"> </w:t>
      </w:r>
      <w:r>
        <w:rPr>
          <w:color w:val="231F20"/>
        </w:rPr>
        <w:t>effectiveness</w:t>
      </w:r>
      <w:r>
        <w:rPr>
          <w:color w:val="231F20"/>
          <w:spacing w:val="-26"/>
        </w:rPr>
        <w:t xml:space="preserve"> </w:t>
      </w:r>
      <w:r>
        <w:rPr>
          <w:color w:val="231F20"/>
        </w:rPr>
        <w:t>of</w:t>
      </w:r>
      <w:r>
        <w:rPr>
          <w:color w:val="231F20"/>
          <w:spacing w:val="-25"/>
        </w:rPr>
        <w:t xml:space="preserve"> </w:t>
      </w:r>
      <w:r>
        <w:rPr>
          <w:color w:val="231F20"/>
        </w:rPr>
        <w:t>aid</w:t>
      </w:r>
      <w:r>
        <w:rPr>
          <w:color w:val="231F20"/>
          <w:spacing w:val="-25"/>
        </w:rPr>
        <w:t xml:space="preserve"> </w:t>
      </w:r>
      <w:r>
        <w:rPr>
          <w:color w:val="231F20"/>
        </w:rPr>
        <w:t>resources.</w:t>
      </w:r>
    </w:p>
    <w:p w14:paraId="245DA17C" w14:textId="77777777" w:rsidR="009948F1" w:rsidRDefault="009948F1">
      <w:pPr>
        <w:pStyle w:val="BodyText"/>
        <w:spacing w:before="3"/>
        <w:rPr>
          <w:sz w:val="21"/>
        </w:rPr>
      </w:pPr>
    </w:p>
    <w:p w14:paraId="3708E30C" w14:textId="77777777" w:rsidR="009948F1" w:rsidRDefault="00BC0563">
      <w:pPr>
        <w:pStyle w:val="BodyText"/>
        <w:spacing w:line="242" w:lineRule="auto"/>
        <w:ind w:left="149" w:right="192"/>
        <w:jc w:val="both"/>
      </w:pPr>
      <w:r>
        <w:rPr>
          <w:color w:val="231F20"/>
        </w:rPr>
        <w:t>Presently, there is little or no inter-sectoral collaboration with key relevant Ministries such as Finance (adequate budgetary allocation and prompt release of funds); Education (school health and health promotion, girl-child education); Agriculture (food security, adequate and proper nutrition); Water Resources (adequate and safe, clean water); Environment (pollution and vector control); Industry (production of critical inputs such as food and drugs and occupational health); Planning Commissions (Economic development and Poverty Reduction Strategies) to mention a few. For a holistic approach to health, all sectors must be mobilized through good governance, strong political will and commitment to galvanize all stakeholders towards a common purpose – better health for all.</w:t>
      </w:r>
    </w:p>
    <w:p w14:paraId="6AFB0465" w14:textId="77777777" w:rsidR="009948F1" w:rsidRDefault="009948F1">
      <w:pPr>
        <w:pStyle w:val="BodyText"/>
        <w:spacing w:before="5"/>
        <w:rPr>
          <w:sz w:val="21"/>
        </w:rPr>
      </w:pPr>
    </w:p>
    <w:p w14:paraId="3AE48A02" w14:textId="7447EC2E" w:rsidR="009948F1" w:rsidRDefault="00BC0563">
      <w:pPr>
        <w:pStyle w:val="BodyText"/>
        <w:spacing w:line="242" w:lineRule="auto"/>
        <w:ind w:left="148" w:right="192"/>
        <w:jc w:val="both"/>
      </w:pPr>
      <w:r>
        <w:rPr>
          <w:color w:val="231F20"/>
        </w:rPr>
        <w:t>Health</w:t>
      </w:r>
      <w:r>
        <w:rPr>
          <w:color w:val="231F20"/>
          <w:spacing w:val="-16"/>
        </w:rPr>
        <w:t xml:space="preserve"> </w:t>
      </w:r>
      <w:r>
        <w:rPr>
          <w:color w:val="231F20"/>
        </w:rPr>
        <w:t>professionals</w:t>
      </w:r>
      <w:r>
        <w:rPr>
          <w:color w:val="231F20"/>
          <w:spacing w:val="-15"/>
        </w:rPr>
        <w:t xml:space="preserve"> </w:t>
      </w:r>
      <w:r>
        <w:rPr>
          <w:color w:val="231F20"/>
        </w:rPr>
        <w:t>and</w:t>
      </w:r>
      <w:r>
        <w:rPr>
          <w:color w:val="231F20"/>
          <w:spacing w:val="-15"/>
        </w:rPr>
        <w:t xml:space="preserve"> </w:t>
      </w:r>
      <w:r>
        <w:rPr>
          <w:color w:val="231F20"/>
        </w:rPr>
        <w:t>health</w:t>
      </w:r>
      <w:r>
        <w:rPr>
          <w:color w:val="231F20"/>
          <w:spacing w:val="-15"/>
        </w:rPr>
        <w:t xml:space="preserve"> </w:t>
      </w:r>
      <w:r>
        <w:rPr>
          <w:color w:val="231F20"/>
        </w:rPr>
        <w:t>workers</w:t>
      </w:r>
      <w:r>
        <w:rPr>
          <w:color w:val="231F20"/>
          <w:spacing w:val="-15"/>
        </w:rPr>
        <w:t xml:space="preserve"> </w:t>
      </w:r>
      <w:r>
        <w:rPr>
          <w:color w:val="231F20"/>
        </w:rPr>
        <w:t>require</w:t>
      </w:r>
      <w:r>
        <w:rPr>
          <w:color w:val="231F20"/>
          <w:spacing w:val="-15"/>
        </w:rPr>
        <w:t xml:space="preserve"> </w:t>
      </w:r>
      <w:r>
        <w:rPr>
          <w:color w:val="231F20"/>
        </w:rPr>
        <w:t>strong,</w:t>
      </w:r>
      <w:r>
        <w:rPr>
          <w:color w:val="231F20"/>
          <w:spacing w:val="-15"/>
        </w:rPr>
        <w:t xml:space="preserve"> </w:t>
      </w:r>
      <w:r>
        <w:rPr>
          <w:color w:val="231F20"/>
        </w:rPr>
        <w:t>integrated</w:t>
      </w:r>
      <w:r>
        <w:rPr>
          <w:color w:val="231F20"/>
          <w:spacing w:val="-15"/>
        </w:rPr>
        <w:t xml:space="preserve"> </w:t>
      </w:r>
      <w:r>
        <w:rPr>
          <w:color w:val="231F20"/>
        </w:rPr>
        <w:t>health</w:t>
      </w:r>
      <w:r>
        <w:rPr>
          <w:color w:val="231F20"/>
          <w:spacing w:val="-15"/>
        </w:rPr>
        <w:t xml:space="preserve"> </w:t>
      </w:r>
      <w:r>
        <w:rPr>
          <w:color w:val="231F20"/>
        </w:rPr>
        <w:t>systems</w:t>
      </w:r>
      <w:r>
        <w:rPr>
          <w:color w:val="231F20"/>
          <w:spacing w:val="-15"/>
        </w:rPr>
        <w:t xml:space="preserve"> </w:t>
      </w:r>
      <w:r>
        <w:rPr>
          <w:color w:val="231F20"/>
        </w:rPr>
        <w:t>at</w:t>
      </w:r>
      <w:r>
        <w:rPr>
          <w:color w:val="231F20"/>
          <w:spacing w:val="-15"/>
        </w:rPr>
        <w:t xml:space="preserve"> </w:t>
      </w:r>
      <w:r>
        <w:rPr>
          <w:color w:val="231F20"/>
        </w:rPr>
        <w:t>both</w:t>
      </w:r>
      <w:r>
        <w:rPr>
          <w:color w:val="231F20"/>
          <w:spacing w:val="-15"/>
        </w:rPr>
        <w:t xml:space="preserve"> </w:t>
      </w:r>
      <w:r>
        <w:rPr>
          <w:color w:val="231F20"/>
        </w:rPr>
        <w:t>national and</w:t>
      </w:r>
      <w:r>
        <w:rPr>
          <w:color w:val="231F20"/>
          <w:spacing w:val="-16"/>
        </w:rPr>
        <w:t xml:space="preserve"> </w:t>
      </w:r>
      <w:r>
        <w:rPr>
          <w:color w:val="231F20"/>
        </w:rPr>
        <w:t>local</w:t>
      </w:r>
      <w:r>
        <w:rPr>
          <w:color w:val="231F20"/>
          <w:spacing w:val="-15"/>
        </w:rPr>
        <w:t xml:space="preserve"> </w:t>
      </w:r>
      <w:r>
        <w:rPr>
          <w:color w:val="231F20"/>
        </w:rPr>
        <w:t>levels</w:t>
      </w:r>
      <w:r>
        <w:rPr>
          <w:color w:val="231F20"/>
          <w:spacing w:val="-15"/>
        </w:rPr>
        <w:t xml:space="preserve"> </w:t>
      </w:r>
      <w:r>
        <w:rPr>
          <w:color w:val="231F20"/>
        </w:rPr>
        <w:t>to</w:t>
      </w:r>
      <w:r>
        <w:rPr>
          <w:color w:val="231F20"/>
          <w:spacing w:val="-15"/>
        </w:rPr>
        <w:t xml:space="preserve"> </w:t>
      </w:r>
      <w:r>
        <w:rPr>
          <w:color w:val="231F20"/>
        </w:rPr>
        <w:t>support</w:t>
      </w:r>
      <w:r>
        <w:rPr>
          <w:color w:val="231F20"/>
          <w:spacing w:val="-15"/>
        </w:rPr>
        <w:t xml:space="preserve"> </w:t>
      </w:r>
      <w:r>
        <w:rPr>
          <w:color w:val="231F20"/>
        </w:rPr>
        <w:t>the</w:t>
      </w:r>
      <w:r>
        <w:rPr>
          <w:color w:val="231F20"/>
          <w:spacing w:val="-15"/>
        </w:rPr>
        <w:t xml:space="preserve"> </w:t>
      </w:r>
      <w:r>
        <w:rPr>
          <w:color w:val="231F20"/>
        </w:rPr>
        <w:t>delivery</w:t>
      </w:r>
      <w:r>
        <w:rPr>
          <w:color w:val="231F20"/>
          <w:spacing w:val="-15"/>
        </w:rPr>
        <w:t xml:space="preserve"> </w:t>
      </w:r>
      <w:r>
        <w:rPr>
          <w:color w:val="231F20"/>
        </w:rPr>
        <w:t>of</w:t>
      </w:r>
      <w:r>
        <w:rPr>
          <w:color w:val="231F20"/>
          <w:spacing w:val="-15"/>
        </w:rPr>
        <w:t xml:space="preserve"> </w:t>
      </w:r>
      <w:r>
        <w:rPr>
          <w:color w:val="231F20"/>
        </w:rPr>
        <w:t>universal</w:t>
      </w:r>
      <w:r>
        <w:rPr>
          <w:color w:val="231F20"/>
          <w:spacing w:val="-15"/>
        </w:rPr>
        <w:t xml:space="preserve"> </w:t>
      </w:r>
      <w:r>
        <w:rPr>
          <w:color w:val="231F20"/>
        </w:rPr>
        <w:t>care</w:t>
      </w:r>
      <w:r>
        <w:rPr>
          <w:color w:val="231F20"/>
          <w:spacing w:val="-16"/>
        </w:rPr>
        <w:t xml:space="preserve"> </w:t>
      </w:r>
      <w:r>
        <w:rPr>
          <w:color w:val="231F20"/>
        </w:rPr>
        <w:t>and</w:t>
      </w:r>
      <w:r>
        <w:rPr>
          <w:color w:val="231F20"/>
          <w:spacing w:val="-15"/>
        </w:rPr>
        <w:t xml:space="preserve"> </w:t>
      </w:r>
      <w:r>
        <w:rPr>
          <w:color w:val="231F20"/>
        </w:rPr>
        <w:t>services.</w:t>
      </w:r>
      <w:r>
        <w:rPr>
          <w:color w:val="231F20"/>
          <w:spacing w:val="-19"/>
        </w:rPr>
        <w:t xml:space="preserve"> </w:t>
      </w:r>
      <w:r>
        <w:rPr>
          <w:color w:val="231F20"/>
        </w:rPr>
        <w:t>These</w:t>
      </w:r>
      <w:r>
        <w:rPr>
          <w:color w:val="231F20"/>
          <w:spacing w:val="-15"/>
        </w:rPr>
        <w:t xml:space="preserve"> </w:t>
      </w:r>
      <w:r>
        <w:rPr>
          <w:color w:val="231F20"/>
        </w:rPr>
        <w:t>professionals'</w:t>
      </w:r>
      <w:r>
        <w:rPr>
          <w:color w:val="231F20"/>
          <w:spacing w:val="-15"/>
        </w:rPr>
        <w:t xml:space="preserve"> </w:t>
      </w:r>
      <w:r>
        <w:rPr>
          <w:color w:val="231F20"/>
        </w:rPr>
        <w:t>groups include those for Doctors (Nigerian Medical Association and its affiliates), Nurses and Midwifery (NANNM), Pharmacists (PSN), Medical Lab Technician</w:t>
      </w:r>
      <w:r w:rsidR="00311DCA">
        <w:rPr>
          <w:color w:val="231F20"/>
        </w:rPr>
        <w:t xml:space="preserve"> </w:t>
      </w:r>
      <w:r>
        <w:rPr>
          <w:color w:val="231F20"/>
        </w:rPr>
        <w:t xml:space="preserve">and other professional bodies. </w:t>
      </w:r>
      <w:r>
        <w:rPr>
          <w:color w:val="231F20"/>
          <w:spacing w:val="-3"/>
        </w:rPr>
        <w:t xml:space="preserve">Health </w:t>
      </w:r>
      <w:r>
        <w:rPr>
          <w:color w:val="231F20"/>
        </w:rPr>
        <w:t>professional</w:t>
      </w:r>
      <w:r>
        <w:rPr>
          <w:color w:val="231F20"/>
          <w:spacing w:val="-21"/>
        </w:rPr>
        <w:t xml:space="preserve"> </w:t>
      </w:r>
      <w:r>
        <w:rPr>
          <w:color w:val="231F20"/>
        </w:rPr>
        <w:t>associations</w:t>
      </w:r>
      <w:r>
        <w:rPr>
          <w:color w:val="231F20"/>
          <w:spacing w:val="-20"/>
        </w:rPr>
        <w:t xml:space="preserve"> </w:t>
      </w:r>
      <w:r>
        <w:rPr>
          <w:color w:val="231F20"/>
        </w:rPr>
        <w:t>and</w:t>
      </w:r>
      <w:r>
        <w:rPr>
          <w:color w:val="231F20"/>
          <w:spacing w:val="-21"/>
        </w:rPr>
        <w:t xml:space="preserve"> </w:t>
      </w:r>
      <w:r>
        <w:rPr>
          <w:color w:val="231F20"/>
        </w:rPr>
        <w:t>societies</w:t>
      </w:r>
      <w:r>
        <w:rPr>
          <w:color w:val="231F20"/>
          <w:spacing w:val="-21"/>
        </w:rPr>
        <w:t xml:space="preserve"> </w:t>
      </w:r>
      <w:r>
        <w:rPr>
          <w:color w:val="231F20"/>
        </w:rPr>
        <w:t>have</w:t>
      </w:r>
      <w:r>
        <w:rPr>
          <w:color w:val="231F20"/>
          <w:spacing w:val="-21"/>
        </w:rPr>
        <w:t xml:space="preserve"> </w:t>
      </w:r>
      <w:r>
        <w:rPr>
          <w:color w:val="231F20"/>
        </w:rPr>
        <w:t>vital</w:t>
      </w:r>
      <w:r>
        <w:rPr>
          <w:color w:val="231F20"/>
          <w:spacing w:val="-21"/>
        </w:rPr>
        <w:t xml:space="preserve"> </w:t>
      </w:r>
      <w:r>
        <w:rPr>
          <w:color w:val="231F20"/>
        </w:rPr>
        <w:t>roles</w:t>
      </w:r>
      <w:r>
        <w:rPr>
          <w:color w:val="231F20"/>
          <w:spacing w:val="-21"/>
        </w:rPr>
        <w:t xml:space="preserve"> </w:t>
      </w:r>
      <w:r>
        <w:rPr>
          <w:color w:val="231F20"/>
        </w:rPr>
        <w:t>to</w:t>
      </w:r>
      <w:r>
        <w:rPr>
          <w:color w:val="231F20"/>
          <w:spacing w:val="-22"/>
        </w:rPr>
        <w:t xml:space="preserve"> </w:t>
      </w:r>
      <w:r>
        <w:rPr>
          <w:color w:val="231F20"/>
        </w:rPr>
        <w:t>play</w:t>
      </w:r>
      <w:r>
        <w:rPr>
          <w:color w:val="231F20"/>
          <w:spacing w:val="-21"/>
        </w:rPr>
        <w:t xml:space="preserve"> </w:t>
      </w:r>
      <w:r>
        <w:rPr>
          <w:color w:val="231F20"/>
        </w:rPr>
        <w:t>in</w:t>
      </w:r>
      <w:r>
        <w:rPr>
          <w:color w:val="231F20"/>
          <w:spacing w:val="-21"/>
        </w:rPr>
        <w:t xml:space="preserve"> </w:t>
      </w:r>
      <w:r>
        <w:rPr>
          <w:color w:val="231F20"/>
        </w:rPr>
        <w:t>ensuring</w:t>
      </w:r>
      <w:r>
        <w:rPr>
          <w:color w:val="231F20"/>
          <w:spacing w:val="-20"/>
        </w:rPr>
        <w:t xml:space="preserve"> </w:t>
      </w:r>
      <w:r>
        <w:rPr>
          <w:color w:val="231F20"/>
        </w:rPr>
        <w:t>that</w:t>
      </w:r>
      <w:r>
        <w:rPr>
          <w:color w:val="231F20"/>
          <w:spacing w:val="-21"/>
        </w:rPr>
        <w:t xml:space="preserve"> </w:t>
      </w:r>
      <w:r>
        <w:rPr>
          <w:color w:val="231F20"/>
        </w:rPr>
        <w:t>health</w:t>
      </w:r>
      <w:r>
        <w:rPr>
          <w:color w:val="231F20"/>
          <w:spacing w:val="-21"/>
        </w:rPr>
        <w:t xml:space="preserve"> </w:t>
      </w:r>
      <w:r>
        <w:rPr>
          <w:color w:val="231F20"/>
        </w:rPr>
        <w:t>professionals are</w:t>
      </w:r>
      <w:r>
        <w:rPr>
          <w:color w:val="231F20"/>
          <w:spacing w:val="-21"/>
        </w:rPr>
        <w:t xml:space="preserve"> </w:t>
      </w:r>
      <w:r>
        <w:rPr>
          <w:color w:val="231F20"/>
        </w:rPr>
        <w:t>well</w:t>
      </w:r>
      <w:r>
        <w:rPr>
          <w:color w:val="231F20"/>
          <w:spacing w:val="-20"/>
        </w:rPr>
        <w:t xml:space="preserve"> </w:t>
      </w:r>
      <w:r>
        <w:rPr>
          <w:color w:val="231F20"/>
        </w:rPr>
        <w:t>equipped</w:t>
      </w:r>
      <w:r>
        <w:rPr>
          <w:color w:val="231F20"/>
          <w:spacing w:val="-20"/>
        </w:rPr>
        <w:t xml:space="preserve"> </w:t>
      </w:r>
      <w:r>
        <w:rPr>
          <w:color w:val="231F20"/>
        </w:rPr>
        <w:t>to</w:t>
      </w:r>
      <w:r>
        <w:rPr>
          <w:color w:val="231F20"/>
          <w:spacing w:val="-20"/>
        </w:rPr>
        <w:t xml:space="preserve"> </w:t>
      </w:r>
      <w:r>
        <w:rPr>
          <w:color w:val="231F20"/>
        </w:rPr>
        <w:t>deliver</w:t>
      </w:r>
      <w:r>
        <w:rPr>
          <w:color w:val="231F20"/>
          <w:spacing w:val="-20"/>
        </w:rPr>
        <w:t xml:space="preserve"> </w:t>
      </w:r>
      <w:r>
        <w:rPr>
          <w:color w:val="231F20"/>
        </w:rPr>
        <w:t>their</w:t>
      </w:r>
      <w:r>
        <w:rPr>
          <w:color w:val="231F20"/>
          <w:spacing w:val="-20"/>
        </w:rPr>
        <w:t xml:space="preserve"> </w:t>
      </w:r>
      <w:r>
        <w:rPr>
          <w:color w:val="231F20"/>
        </w:rPr>
        <w:t>important</w:t>
      </w:r>
      <w:r>
        <w:rPr>
          <w:color w:val="231F20"/>
          <w:spacing w:val="-20"/>
        </w:rPr>
        <w:t xml:space="preserve"> </w:t>
      </w:r>
      <w:r>
        <w:rPr>
          <w:color w:val="231F20"/>
        </w:rPr>
        <w:t>roles</w:t>
      </w:r>
      <w:r>
        <w:rPr>
          <w:color w:val="231F20"/>
          <w:spacing w:val="-20"/>
        </w:rPr>
        <w:t xml:space="preserve"> </w:t>
      </w:r>
      <w:r>
        <w:rPr>
          <w:color w:val="231F20"/>
        </w:rPr>
        <w:t>in</w:t>
      </w:r>
      <w:r>
        <w:rPr>
          <w:color w:val="231F20"/>
          <w:spacing w:val="-21"/>
        </w:rPr>
        <w:t xml:space="preserve"> </w:t>
      </w:r>
      <w:r>
        <w:rPr>
          <w:color w:val="231F20"/>
        </w:rPr>
        <w:t>improving</w:t>
      </w:r>
      <w:r>
        <w:rPr>
          <w:color w:val="231F20"/>
          <w:spacing w:val="-20"/>
        </w:rPr>
        <w:t xml:space="preserve"> </w:t>
      </w:r>
      <w:r>
        <w:rPr>
          <w:color w:val="231F20"/>
        </w:rPr>
        <w:t>health</w:t>
      </w:r>
      <w:r>
        <w:rPr>
          <w:color w:val="231F20"/>
          <w:spacing w:val="-20"/>
        </w:rPr>
        <w:t xml:space="preserve"> </w:t>
      </w:r>
      <w:r>
        <w:rPr>
          <w:color w:val="231F20"/>
        </w:rPr>
        <w:t>outcomes.</w:t>
      </w:r>
      <w:r>
        <w:rPr>
          <w:color w:val="231F20"/>
          <w:spacing w:val="-20"/>
        </w:rPr>
        <w:t xml:space="preserve"> </w:t>
      </w:r>
      <w:r>
        <w:rPr>
          <w:color w:val="231F20"/>
        </w:rPr>
        <w:t>Households</w:t>
      </w:r>
      <w:r>
        <w:rPr>
          <w:color w:val="231F20"/>
          <w:spacing w:val="-20"/>
        </w:rPr>
        <w:t xml:space="preserve"> </w:t>
      </w:r>
      <w:r>
        <w:rPr>
          <w:color w:val="231F20"/>
        </w:rPr>
        <w:t>are</w:t>
      </w:r>
      <w:r>
        <w:rPr>
          <w:color w:val="231F20"/>
          <w:spacing w:val="-20"/>
        </w:rPr>
        <w:t xml:space="preserve"> </w:t>
      </w:r>
      <w:r>
        <w:rPr>
          <w:color w:val="231F20"/>
        </w:rPr>
        <w:t>the main</w:t>
      </w:r>
      <w:r>
        <w:rPr>
          <w:color w:val="231F20"/>
          <w:spacing w:val="-13"/>
        </w:rPr>
        <w:t xml:space="preserve"> </w:t>
      </w:r>
      <w:r>
        <w:rPr>
          <w:color w:val="231F20"/>
        </w:rPr>
        <w:t>consumers</w:t>
      </w:r>
      <w:r>
        <w:rPr>
          <w:color w:val="231F20"/>
          <w:spacing w:val="-13"/>
        </w:rPr>
        <w:t xml:space="preserve"> </w:t>
      </w:r>
      <w:r>
        <w:rPr>
          <w:color w:val="231F20"/>
        </w:rPr>
        <w:t>of</w:t>
      </w:r>
      <w:r>
        <w:rPr>
          <w:color w:val="231F20"/>
          <w:spacing w:val="-13"/>
        </w:rPr>
        <w:t xml:space="preserve"> </w:t>
      </w:r>
      <w:r>
        <w:rPr>
          <w:color w:val="231F20"/>
        </w:rPr>
        <w:t>health</w:t>
      </w:r>
      <w:r>
        <w:rPr>
          <w:color w:val="231F20"/>
          <w:spacing w:val="-13"/>
        </w:rPr>
        <w:t xml:space="preserve"> </w:t>
      </w:r>
      <w:r>
        <w:rPr>
          <w:color w:val="231F20"/>
        </w:rPr>
        <w:t>care</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facility</w:t>
      </w:r>
      <w:r>
        <w:rPr>
          <w:color w:val="231F20"/>
          <w:spacing w:val="-13"/>
        </w:rPr>
        <w:t xml:space="preserve"> </w:t>
      </w:r>
      <w:r>
        <w:rPr>
          <w:color w:val="231F20"/>
        </w:rPr>
        <w:t>levels</w:t>
      </w:r>
      <w:r>
        <w:rPr>
          <w:color w:val="231F20"/>
          <w:spacing w:val="-13"/>
        </w:rPr>
        <w:t xml:space="preserve"> </w:t>
      </w:r>
      <w:r>
        <w:rPr>
          <w:color w:val="231F20"/>
        </w:rPr>
        <w:t>in</w:t>
      </w:r>
      <w:r>
        <w:rPr>
          <w:color w:val="231F20"/>
          <w:spacing w:val="-13"/>
        </w:rPr>
        <w:t xml:space="preserve"> </w:t>
      </w:r>
      <w:r>
        <w:rPr>
          <w:color w:val="231F20"/>
        </w:rPr>
        <w:t>most</w:t>
      </w:r>
      <w:r>
        <w:rPr>
          <w:color w:val="231F20"/>
          <w:spacing w:val="-13"/>
        </w:rPr>
        <w:t xml:space="preserve"> </w:t>
      </w:r>
      <w:r>
        <w:rPr>
          <w:color w:val="231F20"/>
        </w:rPr>
        <w:t>communities.</w:t>
      </w:r>
      <w:r>
        <w:rPr>
          <w:color w:val="231F20"/>
          <w:spacing w:val="-12"/>
        </w:rPr>
        <w:t xml:space="preserve"> </w:t>
      </w:r>
      <w:r>
        <w:rPr>
          <w:color w:val="231F20"/>
        </w:rPr>
        <w:t>Health</w:t>
      </w:r>
      <w:r>
        <w:rPr>
          <w:color w:val="231F20"/>
          <w:spacing w:val="-13"/>
        </w:rPr>
        <w:t xml:space="preserve"> </w:t>
      </w:r>
      <w:r>
        <w:rPr>
          <w:color w:val="231F20"/>
        </w:rPr>
        <w:t>authorities</w:t>
      </w:r>
      <w:r>
        <w:rPr>
          <w:color w:val="231F20"/>
          <w:spacing w:val="-13"/>
        </w:rPr>
        <w:t xml:space="preserve"> </w:t>
      </w:r>
      <w:r>
        <w:rPr>
          <w:color w:val="231F20"/>
        </w:rPr>
        <w:t>should be</w:t>
      </w:r>
      <w:r>
        <w:rPr>
          <w:color w:val="231F20"/>
          <w:spacing w:val="-26"/>
        </w:rPr>
        <w:t xml:space="preserve"> </w:t>
      </w:r>
      <w:r>
        <w:rPr>
          <w:color w:val="231F20"/>
        </w:rPr>
        <w:t>accountable</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community</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course</w:t>
      </w:r>
      <w:r>
        <w:rPr>
          <w:color w:val="231F20"/>
          <w:spacing w:val="-25"/>
        </w:rPr>
        <w:t xml:space="preserve"> </w:t>
      </w:r>
      <w:r>
        <w:rPr>
          <w:color w:val="231F20"/>
        </w:rPr>
        <w:t>of</w:t>
      </w:r>
      <w:r>
        <w:rPr>
          <w:color w:val="231F20"/>
          <w:spacing w:val="-25"/>
        </w:rPr>
        <w:t xml:space="preserve"> </w:t>
      </w:r>
      <w:r>
        <w:rPr>
          <w:color w:val="231F20"/>
        </w:rPr>
        <w:t>events</w:t>
      </w:r>
      <w:r>
        <w:rPr>
          <w:color w:val="231F20"/>
          <w:spacing w:val="-25"/>
        </w:rPr>
        <w:t xml:space="preserve"> </w:t>
      </w:r>
      <w:r>
        <w:rPr>
          <w:color w:val="231F20"/>
        </w:rPr>
        <w:t>as</w:t>
      </w:r>
      <w:r>
        <w:rPr>
          <w:color w:val="231F20"/>
          <w:spacing w:val="-25"/>
        </w:rPr>
        <w:t xml:space="preserve"> </w:t>
      </w:r>
      <w:r>
        <w:rPr>
          <w:color w:val="231F20"/>
        </w:rPr>
        <w:t>it</w:t>
      </w:r>
      <w:r>
        <w:rPr>
          <w:color w:val="231F20"/>
          <w:spacing w:val="-25"/>
        </w:rPr>
        <w:t xml:space="preserve"> </w:t>
      </w:r>
      <w:r>
        <w:rPr>
          <w:color w:val="231F20"/>
        </w:rPr>
        <w:t>affects</w:t>
      </w:r>
      <w:r>
        <w:rPr>
          <w:color w:val="231F20"/>
          <w:spacing w:val="-25"/>
        </w:rPr>
        <w:t xml:space="preserve"> </w:t>
      </w:r>
      <w:r>
        <w:rPr>
          <w:color w:val="231F20"/>
        </w:rPr>
        <w:t>their</w:t>
      </w:r>
      <w:r>
        <w:rPr>
          <w:color w:val="231F20"/>
          <w:spacing w:val="-26"/>
        </w:rPr>
        <w:t xml:space="preserve"> </w:t>
      </w:r>
      <w:r>
        <w:rPr>
          <w:color w:val="231F20"/>
        </w:rPr>
        <w:t>health.</w:t>
      </w:r>
    </w:p>
    <w:p w14:paraId="6C8F372E" w14:textId="77777777" w:rsidR="009948F1" w:rsidRDefault="009948F1">
      <w:pPr>
        <w:pStyle w:val="BodyText"/>
        <w:spacing w:before="4"/>
        <w:rPr>
          <w:sz w:val="21"/>
        </w:rPr>
      </w:pPr>
    </w:p>
    <w:p w14:paraId="4D44D25A" w14:textId="77777777" w:rsidR="009948F1" w:rsidRDefault="00BC0563">
      <w:pPr>
        <w:pStyle w:val="Heading7"/>
        <w:numPr>
          <w:ilvl w:val="1"/>
          <w:numId w:val="294"/>
        </w:numPr>
        <w:tabs>
          <w:tab w:val="left" w:pos="492"/>
        </w:tabs>
        <w:ind w:hanging="344"/>
      </w:pPr>
      <w:r>
        <w:rPr>
          <w:color w:val="231F20"/>
        </w:rPr>
        <w:t>Strategic</w:t>
      </w:r>
      <w:r>
        <w:rPr>
          <w:color w:val="231F20"/>
          <w:spacing w:val="-25"/>
        </w:rPr>
        <w:t xml:space="preserve"> </w:t>
      </w:r>
      <w:r>
        <w:rPr>
          <w:color w:val="231F20"/>
        </w:rPr>
        <w:t>Goal</w:t>
      </w:r>
    </w:p>
    <w:p w14:paraId="64469D3C" w14:textId="77777777" w:rsidR="009948F1" w:rsidRDefault="00BC0563">
      <w:pPr>
        <w:pStyle w:val="BodyText"/>
        <w:spacing w:before="3" w:line="242" w:lineRule="auto"/>
        <w:ind w:left="148" w:right="192"/>
        <w:jc w:val="both"/>
      </w:pPr>
      <w:r>
        <w:rPr>
          <w:color w:val="231F20"/>
        </w:rPr>
        <w:t>Enhance</w:t>
      </w:r>
      <w:r>
        <w:rPr>
          <w:color w:val="231F20"/>
          <w:spacing w:val="-17"/>
        </w:rPr>
        <w:t xml:space="preserve"> </w:t>
      </w:r>
      <w:r>
        <w:rPr>
          <w:color w:val="231F20"/>
        </w:rPr>
        <w:t>harmonized</w:t>
      </w:r>
      <w:r>
        <w:rPr>
          <w:color w:val="231F20"/>
          <w:spacing w:val="-16"/>
        </w:rPr>
        <w:t xml:space="preserve"> </w:t>
      </w:r>
      <w:r>
        <w:rPr>
          <w:color w:val="231F20"/>
        </w:rPr>
        <w:t>implementation</w:t>
      </w:r>
      <w:r>
        <w:rPr>
          <w:color w:val="231F20"/>
          <w:spacing w:val="-16"/>
        </w:rPr>
        <w:t xml:space="preserve"> </w:t>
      </w:r>
      <w:r>
        <w:rPr>
          <w:color w:val="231F20"/>
        </w:rPr>
        <w:t>of</w:t>
      </w:r>
      <w:r>
        <w:rPr>
          <w:color w:val="231F20"/>
          <w:spacing w:val="-16"/>
        </w:rPr>
        <w:t xml:space="preserve"> </w:t>
      </w:r>
      <w:r>
        <w:rPr>
          <w:color w:val="231F20"/>
        </w:rPr>
        <w:t>essential</w:t>
      </w:r>
      <w:r>
        <w:rPr>
          <w:color w:val="231F20"/>
          <w:spacing w:val="-16"/>
        </w:rPr>
        <w:t xml:space="preserve"> </w:t>
      </w:r>
      <w:r>
        <w:rPr>
          <w:color w:val="231F20"/>
        </w:rPr>
        <w:t>health</w:t>
      </w:r>
      <w:r>
        <w:rPr>
          <w:color w:val="231F20"/>
          <w:spacing w:val="-16"/>
        </w:rPr>
        <w:t xml:space="preserve"> </w:t>
      </w:r>
      <w:r>
        <w:rPr>
          <w:color w:val="231F20"/>
        </w:rPr>
        <w:t>services</w:t>
      </w:r>
      <w:r>
        <w:rPr>
          <w:color w:val="231F20"/>
          <w:spacing w:val="-16"/>
        </w:rPr>
        <w:t xml:space="preserve"> </w:t>
      </w:r>
      <w:r>
        <w:rPr>
          <w:color w:val="231F20"/>
        </w:rPr>
        <w:t>in</w:t>
      </w:r>
      <w:r>
        <w:rPr>
          <w:color w:val="231F20"/>
          <w:spacing w:val="-16"/>
        </w:rPr>
        <w:t xml:space="preserve"> </w:t>
      </w:r>
      <w:r>
        <w:rPr>
          <w:color w:val="231F20"/>
        </w:rPr>
        <w:t>line</w:t>
      </w:r>
      <w:r>
        <w:rPr>
          <w:color w:val="231F20"/>
          <w:spacing w:val="-16"/>
        </w:rPr>
        <w:t xml:space="preserve"> </w:t>
      </w:r>
      <w:r>
        <w:rPr>
          <w:color w:val="231F20"/>
        </w:rPr>
        <w:t>with</w:t>
      </w:r>
      <w:r>
        <w:rPr>
          <w:color w:val="231F20"/>
          <w:spacing w:val="-16"/>
        </w:rPr>
        <w:t xml:space="preserve"> </w:t>
      </w:r>
      <w:r>
        <w:rPr>
          <w:color w:val="231F20"/>
        </w:rPr>
        <w:t>national</w:t>
      </w:r>
      <w:r>
        <w:rPr>
          <w:color w:val="231F20"/>
          <w:spacing w:val="-16"/>
        </w:rPr>
        <w:t xml:space="preserve"> </w:t>
      </w:r>
      <w:r>
        <w:rPr>
          <w:color w:val="231F20"/>
        </w:rPr>
        <w:t>health</w:t>
      </w:r>
      <w:r>
        <w:rPr>
          <w:color w:val="231F20"/>
          <w:spacing w:val="-16"/>
        </w:rPr>
        <w:t xml:space="preserve"> </w:t>
      </w:r>
      <w:r>
        <w:rPr>
          <w:color w:val="231F20"/>
        </w:rPr>
        <w:t>policy goals.</w:t>
      </w:r>
    </w:p>
    <w:p w14:paraId="040AFF23" w14:textId="77777777" w:rsidR="009948F1" w:rsidRDefault="009948F1">
      <w:pPr>
        <w:pStyle w:val="BodyText"/>
        <w:spacing w:before="5"/>
      </w:pPr>
    </w:p>
    <w:p w14:paraId="34EA8A41" w14:textId="77777777" w:rsidR="009948F1" w:rsidRDefault="00BC0563">
      <w:pPr>
        <w:pStyle w:val="Heading7"/>
        <w:numPr>
          <w:ilvl w:val="2"/>
          <w:numId w:val="294"/>
        </w:numPr>
        <w:tabs>
          <w:tab w:val="left" w:pos="707"/>
        </w:tabs>
        <w:ind w:hanging="559"/>
      </w:pPr>
      <w:r>
        <w:rPr>
          <w:color w:val="231F20"/>
        </w:rPr>
        <w:t>Strategic objectives</w:t>
      </w:r>
    </w:p>
    <w:p w14:paraId="24C69D5B" w14:textId="77777777" w:rsidR="009948F1" w:rsidRDefault="00BC0563">
      <w:pPr>
        <w:pStyle w:val="BodyText"/>
        <w:spacing w:before="3" w:line="242" w:lineRule="auto"/>
        <w:ind w:left="148" w:right="908"/>
      </w:pPr>
      <w:r>
        <w:rPr>
          <w:color w:val="231F20"/>
        </w:rPr>
        <w:t>Ensure that collaborative mechanisms are put in place for involving all partners in the development and sustenance of the health sector.</w:t>
      </w:r>
    </w:p>
    <w:p w14:paraId="728F794F" w14:textId="77777777" w:rsidR="009948F1" w:rsidRDefault="009948F1">
      <w:pPr>
        <w:spacing w:line="242" w:lineRule="auto"/>
        <w:sectPr w:rsidR="009948F1">
          <w:pgSz w:w="11910" w:h="16840"/>
          <w:pgMar w:top="1220" w:right="1080" w:bottom="1420" w:left="1120" w:header="0" w:footer="1235" w:gutter="0"/>
          <w:cols w:space="720"/>
        </w:sectPr>
      </w:pPr>
    </w:p>
    <w:p w14:paraId="052DAFF5" w14:textId="77777777" w:rsidR="009948F1" w:rsidRDefault="00BC0563">
      <w:pPr>
        <w:spacing w:before="50"/>
        <w:ind w:left="268"/>
        <w:rPr>
          <w:b/>
          <w:sz w:val="23"/>
        </w:rPr>
      </w:pPr>
      <w:bookmarkStart w:id="58" w:name="Page_44"/>
      <w:bookmarkEnd w:id="58"/>
      <w:r>
        <w:rPr>
          <w:b/>
          <w:color w:val="231F20"/>
          <w:sz w:val="23"/>
        </w:rPr>
        <w:lastRenderedPageBreak/>
        <w:t>Partnerships for Health</w:t>
      </w:r>
    </w:p>
    <w:p w14:paraId="44C3FEFA" w14:textId="77777777" w:rsidR="009948F1" w:rsidRDefault="009948F1">
      <w:pPr>
        <w:pStyle w:val="BodyText"/>
        <w:rPr>
          <w:b/>
          <w:sz w:val="9"/>
        </w:rPr>
      </w:pPr>
    </w:p>
    <w:tbl>
      <w:tblPr>
        <w:tblW w:w="0" w:type="auto"/>
        <w:tblInd w:w="1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643"/>
        <w:gridCol w:w="982"/>
        <w:gridCol w:w="698"/>
        <w:gridCol w:w="698"/>
        <w:gridCol w:w="839"/>
        <w:gridCol w:w="698"/>
        <w:gridCol w:w="841"/>
        <w:gridCol w:w="936"/>
      </w:tblGrid>
      <w:tr w:rsidR="009948F1" w14:paraId="51071B3E" w14:textId="77777777">
        <w:trPr>
          <w:trHeight w:val="217"/>
        </w:trPr>
        <w:tc>
          <w:tcPr>
            <w:tcW w:w="3643" w:type="dxa"/>
            <w:tcBorders>
              <w:left w:val="single" w:sz="4" w:space="0" w:color="231F20"/>
              <w:right w:val="single" w:sz="4" w:space="0" w:color="231F20"/>
            </w:tcBorders>
            <w:shd w:val="clear" w:color="auto" w:fill="F6ADCD"/>
          </w:tcPr>
          <w:p w14:paraId="2E19A6C5" w14:textId="77777777" w:rsidR="009948F1" w:rsidRDefault="00BC0563">
            <w:pPr>
              <w:pStyle w:val="TableParagraph"/>
              <w:spacing w:line="197" w:lineRule="exact"/>
              <w:ind w:left="108"/>
              <w:rPr>
                <w:sz w:val="19"/>
              </w:rPr>
            </w:pPr>
            <w:r>
              <w:rPr>
                <w:color w:val="231F20"/>
                <w:sz w:val="19"/>
              </w:rPr>
              <w:t>Targets</w:t>
            </w:r>
          </w:p>
        </w:tc>
        <w:tc>
          <w:tcPr>
            <w:tcW w:w="982" w:type="dxa"/>
            <w:tcBorders>
              <w:left w:val="single" w:sz="4" w:space="0" w:color="231F20"/>
              <w:right w:val="single" w:sz="4" w:space="0" w:color="231F20"/>
            </w:tcBorders>
            <w:shd w:val="clear" w:color="auto" w:fill="F6ADCD"/>
          </w:tcPr>
          <w:p w14:paraId="291FA743" w14:textId="77777777" w:rsidR="009948F1" w:rsidRDefault="00BC0563">
            <w:pPr>
              <w:pStyle w:val="TableParagraph"/>
              <w:spacing w:line="197" w:lineRule="exact"/>
              <w:ind w:left="108"/>
              <w:rPr>
                <w:sz w:val="19"/>
              </w:rPr>
            </w:pPr>
            <w:r>
              <w:rPr>
                <w:color w:val="231F20"/>
                <w:sz w:val="19"/>
              </w:rPr>
              <w:t>Baseline</w:t>
            </w:r>
          </w:p>
        </w:tc>
        <w:tc>
          <w:tcPr>
            <w:tcW w:w="698" w:type="dxa"/>
            <w:tcBorders>
              <w:left w:val="single" w:sz="4" w:space="0" w:color="231F20"/>
              <w:right w:val="single" w:sz="4" w:space="0" w:color="231F20"/>
            </w:tcBorders>
            <w:shd w:val="clear" w:color="auto" w:fill="F6ADCD"/>
          </w:tcPr>
          <w:p w14:paraId="3E608B0F" w14:textId="77777777" w:rsidR="009948F1" w:rsidRDefault="00BC0563">
            <w:pPr>
              <w:pStyle w:val="TableParagraph"/>
              <w:spacing w:line="198" w:lineRule="exact"/>
              <w:ind w:left="105"/>
              <w:rPr>
                <w:b/>
                <w:sz w:val="19"/>
              </w:rPr>
            </w:pPr>
            <w:r>
              <w:rPr>
                <w:b/>
                <w:color w:val="231F20"/>
                <w:sz w:val="19"/>
              </w:rPr>
              <w:t>2018</w:t>
            </w:r>
          </w:p>
        </w:tc>
        <w:tc>
          <w:tcPr>
            <w:tcW w:w="698" w:type="dxa"/>
            <w:tcBorders>
              <w:left w:val="single" w:sz="4" w:space="0" w:color="231F20"/>
              <w:right w:val="single" w:sz="4" w:space="0" w:color="231F20"/>
            </w:tcBorders>
            <w:shd w:val="clear" w:color="auto" w:fill="F6ADCD"/>
          </w:tcPr>
          <w:p w14:paraId="18C39080" w14:textId="77777777" w:rsidR="009948F1" w:rsidRDefault="00BC0563">
            <w:pPr>
              <w:pStyle w:val="TableParagraph"/>
              <w:spacing w:line="198" w:lineRule="exact"/>
              <w:ind w:left="108"/>
              <w:rPr>
                <w:b/>
                <w:sz w:val="19"/>
              </w:rPr>
            </w:pPr>
            <w:r>
              <w:rPr>
                <w:b/>
                <w:color w:val="231F20"/>
                <w:sz w:val="19"/>
              </w:rPr>
              <w:t>2019</w:t>
            </w:r>
          </w:p>
        </w:tc>
        <w:tc>
          <w:tcPr>
            <w:tcW w:w="839" w:type="dxa"/>
            <w:tcBorders>
              <w:left w:val="single" w:sz="4" w:space="0" w:color="231F20"/>
              <w:right w:val="single" w:sz="4" w:space="0" w:color="231F20"/>
            </w:tcBorders>
            <w:shd w:val="clear" w:color="auto" w:fill="F6ADCD"/>
          </w:tcPr>
          <w:p w14:paraId="218B2E02" w14:textId="77777777" w:rsidR="009948F1" w:rsidRDefault="00BC0563">
            <w:pPr>
              <w:pStyle w:val="TableParagraph"/>
              <w:spacing w:line="198" w:lineRule="exact"/>
              <w:ind w:left="108"/>
              <w:rPr>
                <w:b/>
                <w:sz w:val="19"/>
              </w:rPr>
            </w:pPr>
            <w:r>
              <w:rPr>
                <w:b/>
                <w:color w:val="231F20"/>
                <w:sz w:val="19"/>
              </w:rPr>
              <w:t>2020</w:t>
            </w:r>
          </w:p>
        </w:tc>
        <w:tc>
          <w:tcPr>
            <w:tcW w:w="698" w:type="dxa"/>
            <w:tcBorders>
              <w:left w:val="single" w:sz="4" w:space="0" w:color="231F20"/>
              <w:right w:val="single" w:sz="4" w:space="0" w:color="231F20"/>
            </w:tcBorders>
            <w:shd w:val="clear" w:color="auto" w:fill="F6ADCD"/>
          </w:tcPr>
          <w:p w14:paraId="7370BC58" w14:textId="77777777" w:rsidR="009948F1" w:rsidRDefault="00BC0563">
            <w:pPr>
              <w:pStyle w:val="TableParagraph"/>
              <w:spacing w:line="198" w:lineRule="exact"/>
              <w:ind w:left="107"/>
              <w:rPr>
                <w:b/>
                <w:sz w:val="19"/>
              </w:rPr>
            </w:pPr>
            <w:r>
              <w:rPr>
                <w:b/>
                <w:color w:val="231F20"/>
                <w:sz w:val="19"/>
              </w:rPr>
              <w:t>2021</w:t>
            </w:r>
          </w:p>
        </w:tc>
        <w:tc>
          <w:tcPr>
            <w:tcW w:w="841" w:type="dxa"/>
            <w:tcBorders>
              <w:left w:val="single" w:sz="4" w:space="0" w:color="231F20"/>
              <w:right w:val="single" w:sz="4" w:space="0" w:color="231F20"/>
            </w:tcBorders>
            <w:shd w:val="clear" w:color="auto" w:fill="F6ADCD"/>
          </w:tcPr>
          <w:p w14:paraId="46F66FF5" w14:textId="77777777" w:rsidR="009948F1" w:rsidRDefault="00BC0563">
            <w:pPr>
              <w:pStyle w:val="TableParagraph"/>
              <w:spacing w:line="198" w:lineRule="exact"/>
              <w:ind w:left="107"/>
              <w:rPr>
                <w:b/>
                <w:sz w:val="19"/>
              </w:rPr>
            </w:pPr>
            <w:r>
              <w:rPr>
                <w:b/>
                <w:color w:val="231F20"/>
                <w:sz w:val="19"/>
              </w:rPr>
              <w:t>2022</w:t>
            </w:r>
          </w:p>
        </w:tc>
        <w:tc>
          <w:tcPr>
            <w:tcW w:w="936" w:type="dxa"/>
            <w:tcBorders>
              <w:left w:val="single" w:sz="4" w:space="0" w:color="231F20"/>
              <w:right w:val="single" w:sz="4" w:space="0" w:color="231F20"/>
            </w:tcBorders>
            <w:shd w:val="clear" w:color="auto" w:fill="F6ADCD"/>
          </w:tcPr>
          <w:p w14:paraId="7731EABC" w14:textId="77777777" w:rsidR="009948F1" w:rsidRDefault="00BC0563">
            <w:pPr>
              <w:pStyle w:val="TableParagraph"/>
              <w:spacing w:line="198" w:lineRule="exact"/>
              <w:ind w:left="107"/>
              <w:rPr>
                <w:b/>
                <w:sz w:val="19"/>
              </w:rPr>
            </w:pPr>
            <w:r>
              <w:rPr>
                <w:b/>
                <w:color w:val="231F20"/>
                <w:sz w:val="19"/>
              </w:rPr>
              <w:t>National</w:t>
            </w:r>
          </w:p>
        </w:tc>
      </w:tr>
      <w:tr w:rsidR="009948F1" w14:paraId="72E41BB5" w14:textId="77777777">
        <w:trPr>
          <w:trHeight w:val="888"/>
        </w:trPr>
        <w:tc>
          <w:tcPr>
            <w:tcW w:w="3643" w:type="dxa"/>
            <w:tcBorders>
              <w:left w:val="single" w:sz="4" w:space="0" w:color="231F20"/>
              <w:right w:val="single" w:sz="4" w:space="0" w:color="231F20"/>
            </w:tcBorders>
          </w:tcPr>
          <w:p w14:paraId="18ACF790" w14:textId="60129606" w:rsidR="009948F1" w:rsidRDefault="00BC0563">
            <w:pPr>
              <w:pStyle w:val="TableParagraph"/>
              <w:tabs>
                <w:tab w:val="left" w:pos="2597"/>
              </w:tabs>
              <w:spacing w:line="244" w:lineRule="auto"/>
              <w:ind w:left="108" w:right="218" w:firstLine="50"/>
              <w:rPr>
                <w:sz w:val="19"/>
              </w:rPr>
            </w:pPr>
            <w:r>
              <w:rPr>
                <w:color w:val="231F20"/>
                <w:sz w:val="19"/>
              </w:rPr>
              <w:t>Percentage of funding of health from partners</w:t>
            </w:r>
            <w:r>
              <w:rPr>
                <w:color w:val="231F20"/>
                <w:spacing w:val="-26"/>
                <w:sz w:val="19"/>
              </w:rPr>
              <w:t xml:space="preserve"> </w:t>
            </w:r>
            <w:r>
              <w:rPr>
                <w:color w:val="231F20"/>
                <w:sz w:val="19"/>
              </w:rPr>
              <w:t>(development</w:t>
            </w:r>
            <w:r>
              <w:rPr>
                <w:color w:val="231F20"/>
                <w:spacing w:val="-25"/>
                <w:sz w:val="19"/>
              </w:rPr>
              <w:t xml:space="preserve"> </w:t>
            </w:r>
            <w:r w:rsidR="00311DCA">
              <w:rPr>
                <w:color w:val="231F20"/>
                <w:sz w:val="19"/>
              </w:rPr>
              <w:t>par</w:t>
            </w:r>
            <w:r>
              <w:rPr>
                <w:color w:val="231F20"/>
                <w:sz w:val="19"/>
              </w:rPr>
              <w:t>tners and private</w:t>
            </w:r>
            <w:r>
              <w:rPr>
                <w:color w:val="231F20"/>
                <w:spacing w:val="-23"/>
                <w:sz w:val="19"/>
              </w:rPr>
              <w:t xml:space="preserve"> </w:t>
            </w:r>
            <w:r>
              <w:rPr>
                <w:color w:val="231F20"/>
                <w:sz w:val="19"/>
              </w:rPr>
              <w:t>sector)</w:t>
            </w:r>
            <w:r>
              <w:rPr>
                <w:color w:val="231F20"/>
                <w:spacing w:val="-22"/>
                <w:sz w:val="19"/>
              </w:rPr>
              <w:t xml:space="preserve"> </w:t>
            </w:r>
            <w:r>
              <w:rPr>
                <w:color w:val="231F20"/>
                <w:sz w:val="19"/>
              </w:rPr>
              <w:t>that</w:t>
            </w:r>
            <w:r>
              <w:rPr>
                <w:color w:val="231F20"/>
                <w:spacing w:val="-23"/>
                <w:sz w:val="19"/>
              </w:rPr>
              <w:t xml:space="preserve"> </w:t>
            </w:r>
            <w:r>
              <w:rPr>
                <w:color w:val="231F20"/>
                <w:sz w:val="19"/>
              </w:rPr>
              <w:t>is</w:t>
            </w:r>
            <w:r>
              <w:rPr>
                <w:color w:val="231F20"/>
                <w:spacing w:val="-22"/>
                <w:sz w:val="19"/>
              </w:rPr>
              <w:t xml:space="preserve"> </w:t>
            </w:r>
            <w:r>
              <w:rPr>
                <w:color w:val="231F20"/>
                <w:sz w:val="19"/>
              </w:rPr>
              <w:t>aligned</w:t>
            </w:r>
            <w:r>
              <w:rPr>
                <w:color w:val="231F20"/>
                <w:spacing w:val="-23"/>
                <w:sz w:val="19"/>
              </w:rPr>
              <w:t xml:space="preserve"> </w:t>
            </w:r>
            <w:r>
              <w:rPr>
                <w:color w:val="231F20"/>
                <w:sz w:val="19"/>
              </w:rPr>
              <w:t>to</w:t>
            </w:r>
            <w:r>
              <w:rPr>
                <w:color w:val="231F20"/>
                <w:spacing w:val="-22"/>
                <w:sz w:val="19"/>
              </w:rPr>
              <w:t xml:space="preserve"> </w:t>
            </w:r>
            <w:r>
              <w:rPr>
                <w:color w:val="231F20"/>
                <w:sz w:val="19"/>
              </w:rPr>
              <w:t>the</w:t>
            </w:r>
            <w:r>
              <w:rPr>
                <w:color w:val="231F20"/>
                <w:spacing w:val="-22"/>
                <w:sz w:val="19"/>
              </w:rPr>
              <w:t xml:space="preserve"> </w:t>
            </w:r>
            <w:r>
              <w:rPr>
                <w:color w:val="231F20"/>
                <w:sz w:val="19"/>
              </w:rPr>
              <w:t>State</w:t>
            </w:r>
          </w:p>
          <w:p w14:paraId="3EA20137" w14:textId="77777777" w:rsidR="009948F1" w:rsidRDefault="00BC0563">
            <w:pPr>
              <w:pStyle w:val="TableParagraph"/>
              <w:spacing w:before="2" w:line="197" w:lineRule="exact"/>
              <w:ind w:left="108"/>
              <w:rPr>
                <w:sz w:val="19"/>
              </w:rPr>
            </w:pPr>
            <w:r>
              <w:rPr>
                <w:color w:val="231F20"/>
                <w:sz w:val="19"/>
              </w:rPr>
              <w:t>Strategic Health Plan by 2022.</w:t>
            </w:r>
          </w:p>
        </w:tc>
        <w:tc>
          <w:tcPr>
            <w:tcW w:w="982" w:type="dxa"/>
            <w:tcBorders>
              <w:left w:val="single" w:sz="4" w:space="0" w:color="231F20"/>
              <w:right w:val="single" w:sz="4" w:space="0" w:color="231F20"/>
            </w:tcBorders>
          </w:tcPr>
          <w:p w14:paraId="681573C5" w14:textId="77777777" w:rsidR="009948F1" w:rsidRDefault="00BC0563">
            <w:pPr>
              <w:pStyle w:val="TableParagraph"/>
              <w:ind w:left="108"/>
              <w:rPr>
                <w:sz w:val="19"/>
              </w:rPr>
            </w:pPr>
            <w:r>
              <w:rPr>
                <w:color w:val="231F20"/>
                <w:sz w:val="19"/>
              </w:rPr>
              <w:t>TBD</w:t>
            </w:r>
          </w:p>
        </w:tc>
        <w:tc>
          <w:tcPr>
            <w:tcW w:w="698" w:type="dxa"/>
            <w:tcBorders>
              <w:left w:val="single" w:sz="4" w:space="0" w:color="231F20"/>
              <w:right w:val="single" w:sz="4" w:space="0" w:color="231F20"/>
            </w:tcBorders>
          </w:tcPr>
          <w:p w14:paraId="1A072FC6" w14:textId="77777777" w:rsidR="009948F1" w:rsidRDefault="00BC0563">
            <w:pPr>
              <w:pStyle w:val="TableParagraph"/>
              <w:ind w:left="105"/>
              <w:rPr>
                <w:sz w:val="19"/>
              </w:rPr>
            </w:pPr>
            <w:r>
              <w:rPr>
                <w:color w:val="231F20"/>
                <w:sz w:val="19"/>
              </w:rPr>
              <w:t>10</w:t>
            </w:r>
          </w:p>
        </w:tc>
        <w:tc>
          <w:tcPr>
            <w:tcW w:w="698" w:type="dxa"/>
            <w:tcBorders>
              <w:left w:val="single" w:sz="4" w:space="0" w:color="231F20"/>
              <w:right w:val="single" w:sz="4" w:space="0" w:color="231F20"/>
            </w:tcBorders>
          </w:tcPr>
          <w:p w14:paraId="20C0854A" w14:textId="77777777" w:rsidR="009948F1" w:rsidRDefault="00BC0563">
            <w:pPr>
              <w:pStyle w:val="TableParagraph"/>
              <w:ind w:left="108"/>
              <w:rPr>
                <w:sz w:val="19"/>
              </w:rPr>
            </w:pPr>
            <w:r>
              <w:rPr>
                <w:color w:val="231F20"/>
                <w:sz w:val="19"/>
              </w:rPr>
              <w:t>12</w:t>
            </w:r>
          </w:p>
        </w:tc>
        <w:tc>
          <w:tcPr>
            <w:tcW w:w="839" w:type="dxa"/>
            <w:tcBorders>
              <w:left w:val="single" w:sz="4" w:space="0" w:color="231F20"/>
              <w:right w:val="single" w:sz="4" w:space="0" w:color="231F20"/>
            </w:tcBorders>
          </w:tcPr>
          <w:p w14:paraId="14C630DE" w14:textId="77777777" w:rsidR="009948F1" w:rsidRDefault="00BC0563">
            <w:pPr>
              <w:pStyle w:val="TableParagraph"/>
              <w:ind w:left="108"/>
              <w:rPr>
                <w:sz w:val="19"/>
              </w:rPr>
            </w:pPr>
            <w:r>
              <w:rPr>
                <w:color w:val="231F20"/>
                <w:sz w:val="19"/>
              </w:rPr>
              <w:t>14</w:t>
            </w:r>
          </w:p>
        </w:tc>
        <w:tc>
          <w:tcPr>
            <w:tcW w:w="698" w:type="dxa"/>
            <w:tcBorders>
              <w:left w:val="single" w:sz="4" w:space="0" w:color="231F20"/>
              <w:right w:val="single" w:sz="4" w:space="0" w:color="231F20"/>
            </w:tcBorders>
          </w:tcPr>
          <w:p w14:paraId="124D64FB" w14:textId="77777777" w:rsidR="009948F1" w:rsidRDefault="00BC0563">
            <w:pPr>
              <w:pStyle w:val="TableParagraph"/>
              <w:ind w:left="107"/>
              <w:rPr>
                <w:sz w:val="19"/>
              </w:rPr>
            </w:pPr>
            <w:r>
              <w:rPr>
                <w:color w:val="231F20"/>
                <w:sz w:val="19"/>
              </w:rPr>
              <w:t>16</w:t>
            </w:r>
          </w:p>
        </w:tc>
        <w:tc>
          <w:tcPr>
            <w:tcW w:w="841" w:type="dxa"/>
            <w:tcBorders>
              <w:left w:val="single" w:sz="4" w:space="0" w:color="231F20"/>
              <w:right w:val="single" w:sz="4" w:space="0" w:color="231F20"/>
            </w:tcBorders>
          </w:tcPr>
          <w:p w14:paraId="3E27AABB" w14:textId="77777777" w:rsidR="009948F1" w:rsidRDefault="00BC0563">
            <w:pPr>
              <w:pStyle w:val="TableParagraph"/>
              <w:ind w:left="107"/>
              <w:rPr>
                <w:sz w:val="19"/>
              </w:rPr>
            </w:pPr>
            <w:r>
              <w:rPr>
                <w:color w:val="231F20"/>
                <w:sz w:val="19"/>
              </w:rPr>
              <w:t>18</w:t>
            </w:r>
          </w:p>
        </w:tc>
        <w:tc>
          <w:tcPr>
            <w:tcW w:w="936" w:type="dxa"/>
            <w:tcBorders>
              <w:left w:val="single" w:sz="4" w:space="0" w:color="231F20"/>
              <w:right w:val="single" w:sz="4" w:space="0" w:color="231F20"/>
            </w:tcBorders>
          </w:tcPr>
          <w:p w14:paraId="12CD8E98" w14:textId="77777777" w:rsidR="009948F1" w:rsidRDefault="00BC0563">
            <w:pPr>
              <w:pStyle w:val="TableParagraph"/>
              <w:ind w:left="107"/>
              <w:rPr>
                <w:sz w:val="19"/>
              </w:rPr>
            </w:pPr>
            <w:r>
              <w:rPr>
                <w:color w:val="231F20"/>
                <w:sz w:val="19"/>
              </w:rPr>
              <w:t>30%</w:t>
            </w:r>
          </w:p>
        </w:tc>
      </w:tr>
      <w:tr w:rsidR="009948F1" w14:paraId="3A901BB2" w14:textId="77777777">
        <w:trPr>
          <w:trHeight w:val="888"/>
        </w:trPr>
        <w:tc>
          <w:tcPr>
            <w:tcW w:w="3643" w:type="dxa"/>
            <w:tcBorders>
              <w:left w:val="single" w:sz="4" w:space="0" w:color="231F20"/>
              <w:right w:val="single" w:sz="4" w:space="0" w:color="231F20"/>
            </w:tcBorders>
          </w:tcPr>
          <w:p w14:paraId="3407DB53" w14:textId="77777777" w:rsidR="009948F1" w:rsidRDefault="00BC0563">
            <w:pPr>
              <w:pStyle w:val="TableParagraph"/>
              <w:spacing w:line="247" w:lineRule="auto"/>
              <w:ind w:left="108" w:right="133"/>
              <w:rPr>
                <w:sz w:val="19"/>
              </w:rPr>
            </w:pPr>
            <w:r>
              <w:rPr>
                <w:color w:val="231F20"/>
                <w:sz w:val="19"/>
              </w:rPr>
              <w:t>Proportion</w:t>
            </w:r>
            <w:r>
              <w:rPr>
                <w:color w:val="231F20"/>
                <w:spacing w:val="-32"/>
                <w:sz w:val="19"/>
              </w:rPr>
              <w:t xml:space="preserve"> </w:t>
            </w:r>
            <w:r>
              <w:rPr>
                <w:color w:val="231F20"/>
                <w:sz w:val="19"/>
              </w:rPr>
              <w:t>of</w:t>
            </w:r>
            <w:r>
              <w:rPr>
                <w:color w:val="231F20"/>
                <w:spacing w:val="-31"/>
                <w:sz w:val="19"/>
              </w:rPr>
              <w:t xml:space="preserve"> </w:t>
            </w:r>
            <w:r>
              <w:rPr>
                <w:color w:val="231F20"/>
                <w:sz w:val="19"/>
              </w:rPr>
              <w:t>public</w:t>
            </w:r>
            <w:r>
              <w:rPr>
                <w:color w:val="231F20"/>
                <w:spacing w:val="-31"/>
                <w:sz w:val="19"/>
              </w:rPr>
              <w:t xml:space="preserve"> </w:t>
            </w:r>
            <w:r>
              <w:rPr>
                <w:color w:val="231F20"/>
                <w:sz w:val="19"/>
              </w:rPr>
              <w:t>health</w:t>
            </w:r>
            <w:r>
              <w:rPr>
                <w:color w:val="231F20"/>
                <w:spacing w:val="-31"/>
                <w:sz w:val="19"/>
              </w:rPr>
              <w:t xml:space="preserve"> </w:t>
            </w:r>
            <w:r>
              <w:rPr>
                <w:color w:val="231F20"/>
                <w:sz w:val="19"/>
              </w:rPr>
              <w:t>institutions</w:t>
            </w:r>
            <w:r>
              <w:rPr>
                <w:color w:val="231F20"/>
                <w:spacing w:val="-31"/>
                <w:sz w:val="19"/>
              </w:rPr>
              <w:t xml:space="preserve"> </w:t>
            </w:r>
            <w:r>
              <w:rPr>
                <w:color w:val="231F20"/>
                <w:sz w:val="19"/>
              </w:rPr>
              <w:t xml:space="preserve">and government </w:t>
            </w:r>
            <w:proofErr w:type="spellStart"/>
            <w:r>
              <w:rPr>
                <w:color w:val="231F20"/>
                <w:sz w:val="19"/>
              </w:rPr>
              <w:t>programmes</w:t>
            </w:r>
            <w:proofErr w:type="spellEnd"/>
            <w:r>
              <w:rPr>
                <w:color w:val="231F20"/>
                <w:sz w:val="19"/>
              </w:rPr>
              <w:t xml:space="preserve"> having partnerships</w:t>
            </w:r>
            <w:r>
              <w:rPr>
                <w:color w:val="231F20"/>
                <w:spacing w:val="-13"/>
                <w:sz w:val="19"/>
              </w:rPr>
              <w:t xml:space="preserve"> </w:t>
            </w:r>
            <w:r>
              <w:rPr>
                <w:color w:val="231F20"/>
                <w:sz w:val="19"/>
              </w:rPr>
              <w:t>with</w:t>
            </w:r>
            <w:r>
              <w:rPr>
                <w:color w:val="231F20"/>
                <w:spacing w:val="-12"/>
                <w:sz w:val="19"/>
              </w:rPr>
              <w:t xml:space="preserve"> </w:t>
            </w:r>
            <w:r>
              <w:rPr>
                <w:color w:val="231F20"/>
                <w:sz w:val="19"/>
              </w:rPr>
              <w:t>the</w:t>
            </w:r>
            <w:r>
              <w:rPr>
                <w:color w:val="231F20"/>
                <w:spacing w:val="-13"/>
                <w:sz w:val="19"/>
              </w:rPr>
              <w:t xml:space="preserve"> </w:t>
            </w:r>
            <w:r>
              <w:rPr>
                <w:color w:val="231F20"/>
                <w:sz w:val="19"/>
              </w:rPr>
              <w:t>private</w:t>
            </w:r>
            <w:r>
              <w:rPr>
                <w:color w:val="231F20"/>
                <w:spacing w:val="-12"/>
                <w:sz w:val="19"/>
              </w:rPr>
              <w:t xml:space="preserve"> </w:t>
            </w:r>
            <w:r>
              <w:rPr>
                <w:color w:val="231F20"/>
                <w:sz w:val="19"/>
              </w:rPr>
              <w:t>sector.</w:t>
            </w:r>
          </w:p>
        </w:tc>
        <w:tc>
          <w:tcPr>
            <w:tcW w:w="982" w:type="dxa"/>
            <w:tcBorders>
              <w:left w:val="single" w:sz="4" w:space="0" w:color="231F20"/>
              <w:right w:val="single" w:sz="4" w:space="0" w:color="231F20"/>
            </w:tcBorders>
          </w:tcPr>
          <w:p w14:paraId="2C75E0A3" w14:textId="77777777" w:rsidR="009948F1" w:rsidRDefault="00BC0563">
            <w:pPr>
              <w:pStyle w:val="TableParagraph"/>
              <w:ind w:left="108"/>
              <w:rPr>
                <w:sz w:val="19"/>
              </w:rPr>
            </w:pPr>
            <w:r>
              <w:rPr>
                <w:color w:val="231F20"/>
                <w:sz w:val="19"/>
              </w:rPr>
              <w:t>TBD</w:t>
            </w:r>
          </w:p>
        </w:tc>
        <w:tc>
          <w:tcPr>
            <w:tcW w:w="698" w:type="dxa"/>
            <w:tcBorders>
              <w:left w:val="single" w:sz="4" w:space="0" w:color="231F20"/>
              <w:right w:val="single" w:sz="4" w:space="0" w:color="231F20"/>
            </w:tcBorders>
          </w:tcPr>
          <w:p w14:paraId="41378CC1" w14:textId="77777777" w:rsidR="009948F1" w:rsidRDefault="00BC0563">
            <w:pPr>
              <w:pStyle w:val="TableParagraph"/>
              <w:ind w:left="105"/>
              <w:rPr>
                <w:sz w:val="19"/>
              </w:rPr>
            </w:pPr>
            <w:r>
              <w:rPr>
                <w:color w:val="231F20"/>
                <w:sz w:val="19"/>
              </w:rPr>
              <w:t>20</w:t>
            </w:r>
          </w:p>
        </w:tc>
        <w:tc>
          <w:tcPr>
            <w:tcW w:w="698" w:type="dxa"/>
            <w:tcBorders>
              <w:left w:val="single" w:sz="4" w:space="0" w:color="231F20"/>
              <w:right w:val="single" w:sz="4" w:space="0" w:color="231F20"/>
            </w:tcBorders>
          </w:tcPr>
          <w:p w14:paraId="0B1FA328" w14:textId="77777777" w:rsidR="009948F1" w:rsidRDefault="00BC0563">
            <w:pPr>
              <w:pStyle w:val="TableParagraph"/>
              <w:ind w:left="108"/>
              <w:rPr>
                <w:sz w:val="19"/>
              </w:rPr>
            </w:pPr>
            <w:r>
              <w:rPr>
                <w:color w:val="231F20"/>
                <w:sz w:val="19"/>
              </w:rPr>
              <w:t>25</w:t>
            </w:r>
          </w:p>
        </w:tc>
        <w:tc>
          <w:tcPr>
            <w:tcW w:w="839" w:type="dxa"/>
            <w:tcBorders>
              <w:left w:val="single" w:sz="4" w:space="0" w:color="231F20"/>
              <w:right w:val="single" w:sz="4" w:space="0" w:color="231F20"/>
            </w:tcBorders>
          </w:tcPr>
          <w:p w14:paraId="57C2DD3E" w14:textId="77777777" w:rsidR="009948F1" w:rsidRDefault="00BC0563">
            <w:pPr>
              <w:pStyle w:val="TableParagraph"/>
              <w:ind w:left="108"/>
              <w:rPr>
                <w:sz w:val="19"/>
              </w:rPr>
            </w:pPr>
            <w:r>
              <w:rPr>
                <w:color w:val="231F20"/>
                <w:sz w:val="19"/>
              </w:rPr>
              <w:t>30</w:t>
            </w:r>
          </w:p>
        </w:tc>
        <w:tc>
          <w:tcPr>
            <w:tcW w:w="698" w:type="dxa"/>
            <w:tcBorders>
              <w:left w:val="single" w:sz="4" w:space="0" w:color="231F20"/>
              <w:right w:val="single" w:sz="4" w:space="0" w:color="231F20"/>
            </w:tcBorders>
          </w:tcPr>
          <w:p w14:paraId="69AE77B3" w14:textId="77777777" w:rsidR="009948F1" w:rsidRDefault="00BC0563">
            <w:pPr>
              <w:pStyle w:val="TableParagraph"/>
              <w:ind w:left="107"/>
              <w:rPr>
                <w:sz w:val="19"/>
              </w:rPr>
            </w:pPr>
            <w:r>
              <w:rPr>
                <w:color w:val="231F20"/>
                <w:sz w:val="19"/>
              </w:rPr>
              <w:t>35</w:t>
            </w:r>
          </w:p>
        </w:tc>
        <w:tc>
          <w:tcPr>
            <w:tcW w:w="841" w:type="dxa"/>
            <w:tcBorders>
              <w:left w:val="single" w:sz="4" w:space="0" w:color="231F20"/>
              <w:right w:val="single" w:sz="4" w:space="0" w:color="231F20"/>
            </w:tcBorders>
          </w:tcPr>
          <w:p w14:paraId="6533089C" w14:textId="77777777" w:rsidR="009948F1" w:rsidRDefault="00BC0563">
            <w:pPr>
              <w:pStyle w:val="TableParagraph"/>
              <w:ind w:left="107"/>
              <w:rPr>
                <w:sz w:val="19"/>
              </w:rPr>
            </w:pPr>
            <w:r>
              <w:rPr>
                <w:color w:val="231F20"/>
                <w:sz w:val="19"/>
              </w:rPr>
              <w:t>40</w:t>
            </w:r>
          </w:p>
        </w:tc>
        <w:tc>
          <w:tcPr>
            <w:tcW w:w="936" w:type="dxa"/>
            <w:tcBorders>
              <w:left w:val="single" w:sz="4" w:space="0" w:color="231F20"/>
              <w:right w:val="single" w:sz="4" w:space="0" w:color="231F20"/>
            </w:tcBorders>
          </w:tcPr>
          <w:p w14:paraId="71DE28CD" w14:textId="77777777" w:rsidR="009948F1" w:rsidRDefault="00BC0563">
            <w:pPr>
              <w:pStyle w:val="TableParagraph"/>
              <w:spacing w:line="247" w:lineRule="auto"/>
              <w:ind w:left="107" w:right="106"/>
              <w:rPr>
                <w:sz w:val="19"/>
              </w:rPr>
            </w:pPr>
            <w:r>
              <w:rPr>
                <w:color w:val="231F20"/>
                <w:w w:val="95"/>
                <w:sz w:val="19"/>
              </w:rPr>
              <w:t xml:space="preserve">Increase </w:t>
            </w:r>
            <w:r>
              <w:rPr>
                <w:color w:val="231F20"/>
                <w:sz w:val="19"/>
              </w:rPr>
              <w:t>to 50% from</w:t>
            </w:r>
          </w:p>
          <w:p w14:paraId="72D04265" w14:textId="77777777" w:rsidR="009948F1" w:rsidRDefault="00BC0563">
            <w:pPr>
              <w:pStyle w:val="TableParagraph"/>
              <w:spacing w:line="193" w:lineRule="exact"/>
              <w:ind w:left="107"/>
              <w:rPr>
                <w:sz w:val="19"/>
              </w:rPr>
            </w:pPr>
            <w:r>
              <w:rPr>
                <w:color w:val="231F20"/>
                <w:sz w:val="19"/>
              </w:rPr>
              <w:t>baseline</w:t>
            </w:r>
          </w:p>
        </w:tc>
      </w:tr>
      <w:tr w:rsidR="009948F1" w14:paraId="18DB86B0" w14:textId="77777777">
        <w:trPr>
          <w:trHeight w:val="891"/>
        </w:trPr>
        <w:tc>
          <w:tcPr>
            <w:tcW w:w="3643" w:type="dxa"/>
            <w:tcBorders>
              <w:left w:val="single" w:sz="4" w:space="0" w:color="231F20"/>
              <w:right w:val="single" w:sz="4" w:space="0" w:color="231F20"/>
            </w:tcBorders>
          </w:tcPr>
          <w:p w14:paraId="45835102" w14:textId="77777777" w:rsidR="009948F1" w:rsidRDefault="00BC0563">
            <w:pPr>
              <w:pStyle w:val="TableParagraph"/>
              <w:spacing w:before="3" w:line="244" w:lineRule="auto"/>
              <w:ind w:left="108" w:right="183"/>
              <w:rPr>
                <w:sz w:val="19"/>
              </w:rPr>
            </w:pPr>
            <w:r>
              <w:rPr>
                <w:color w:val="231F20"/>
                <w:sz w:val="19"/>
              </w:rPr>
              <w:t>Does</w:t>
            </w:r>
            <w:r>
              <w:rPr>
                <w:color w:val="231F20"/>
                <w:spacing w:val="-31"/>
                <w:sz w:val="19"/>
              </w:rPr>
              <w:t xml:space="preserve"> </w:t>
            </w:r>
            <w:r>
              <w:rPr>
                <w:color w:val="231F20"/>
                <w:sz w:val="19"/>
              </w:rPr>
              <w:t>State</w:t>
            </w:r>
            <w:r>
              <w:rPr>
                <w:color w:val="231F20"/>
                <w:spacing w:val="-30"/>
                <w:sz w:val="19"/>
              </w:rPr>
              <w:t xml:space="preserve"> </w:t>
            </w:r>
            <w:r>
              <w:rPr>
                <w:color w:val="231F20"/>
                <w:sz w:val="19"/>
              </w:rPr>
              <w:t>have</w:t>
            </w:r>
            <w:r>
              <w:rPr>
                <w:color w:val="231F20"/>
                <w:spacing w:val="-31"/>
                <w:sz w:val="19"/>
              </w:rPr>
              <w:t xml:space="preserve"> </w:t>
            </w:r>
            <w:r>
              <w:rPr>
                <w:color w:val="231F20"/>
                <w:sz w:val="19"/>
              </w:rPr>
              <w:t>common</w:t>
            </w:r>
            <w:r>
              <w:rPr>
                <w:color w:val="231F20"/>
                <w:spacing w:val="-30"/>
                <w:sz w:val="19"/>
              </w:rPr>
              <w:t xml:space="preserve"> </w:t>
            </w:r>
            <w:r>
              <w:rPr>
                <w:color w:val="231F20"/>
                <w:sz w:val="19"/>
              </w:rPr>
              <w:t>basket</w:t>
            </w:r>
            <w:r>
              <w:rPr>
                <w:color w:val="231F20"/>
                <w:spacing w:val="-31"/>
                <w:sz w:val="19"/>
              </w:rPr>
              <w:t xml:space="preserve"> </w:t>
            </w:r>
            <w:r>
              <w:rPr>
                <w:color w:val="231F20"/>
                <w:sz w:val="19"/>
              </w:rPr>
              <w:t>funding model by</w:t>
            </w:r>
            <w:r>
              <w:rPr>
                <w:color w:val="231F20"/>
                <w:spacing w:val="-9"/>
                <w:sz w:val="19"/>
              </w:rPr>
              <w:t xml:space="preserve"> </w:t>
            </w:r>
            <w:r>
              <w:rPr>
                <w:color w:val="231F20"/>
                <w:sz w:val="19"/>
              </w:rPr>
              <w:t>2022?</w:t>
            </w:r>
          </w:p>
        </w:tc>
        <w:tc>
          <w:tcPr>
            <w:tcW w:w="982" w:type="dxa"/>
            <w:tcBorders>
              <w:left w:val="single" w:sz="4" w:space="0" w:color="231F20"/>
              <w:right w:val="single" w:sz="4" w:space="0" w:color="231F20"/>
            </w:tcBorders>
          </w:tcPr>
          <w:p w14:paraId="59C78F4B" w14:textId="77777777" w:rsidR="009948F1" w:rsidRDefault="00BC0563">
            <w:pPr>
              <w:pStyle w:val="TableParagraph"/>
              <w:spacing w:before="3"/>
              <w:ind w:left="108"/>
              <w:rPr>
                <w:sz w:val="19"/>
              </w:rPr>
            </w:pPr>
            <w:r>
              <w:rPr>
                <w:color w:val="231F20"/>
                <w:sz w:val="19"/>
              </w:rPr>
              <w:t>TBD</w:t>
            </w:r>
          </w:p>
        </w:tc>
        <w:tc>
          <w:tcPr>
            <w:tcW w:w="698" w:type="dxa"/>
            <w:tcBorders>
              <w:left w:val="single" w:sz="4" w:space="0" w:color="231F20"/>
              <w:right w:val="single" w:sz="4" w:space="0" w:color="231F20"/>
            </w:tcBorders>
          </w:tcPr>
          <w:p w14:paraId="57D11AB8" w14:textId="77777777" w:rsidR="009948F1" w:rsidRDefault="00BC0563">
            <w:pPr>
              <w:pStyle w:val="TableParagraph"/>
              <w:spacing w:before="3"/>
              <w:ind w:left="105"/>
              <w:rPr>
                <w:sz w:val="19"/>
              </w:rPr>
            </w:pPr>
            <w:r>
              <w:rPr>
                <w:color w:val="231F20"/>
                <w:w w:val="95"/>
                <w:sz w:val="19"/>
              </w:rPr>
              <w:t>0</w:t>
            </w:r>
          </w:p>
        </w:tc>
        <w:tc>
          <w:tcPr>
            <w:tcW w:w="698" w:type="dxa"/>
            <w:tcBorders>
              <w:left w:val="single" w:sz="4" w:space="0" w:color="231F20"/>
              <w:right w:val="single" w:sz="4" w:space="0" w:color="231F20"/>
            </w:tcBorders>
          </w:tcPr>
          <w:p w14:paraId="0BFAE2F5" w14:textId="77777777" w:rsidR="009948F1" w:rsidRDefault="00BC0563">
            <w:pPr>
              <w:pStyle w:val="TableParagraph"/>
              <w:spacing w:before="3"/>
              <w:ind w:left="108"/>
              <w:rPr>
                <w:sz w:val="19"/>
              </w:rPr>
            </w:pPr>
            <w:r>
              <w:rPr>
                <w:color w:val="231F20"/>
                <w:sz w:val="19"/>
              </w:rPr>
              <w:t>10</w:t>
            </w:r>
          </w:p>
        </w:tc>
        <w:tc>
          <w:tcPr>
            <w:tcW w:w="839" w:type="dxa"/>
            <w:tcBorders>
              <w:left w:val="single" w:sz="4" w:space="0" w:color="231F20"/>
              <w:right w:val="single" w:sz="4" w:space="0" w:color="231F20"/>
            </w:tcBorders>
          </w:tcPr>
          <w:p w14:paraId="32E189E0" w14:textId="77777777" w:rsidR="009948F1" w:rsidRDefault="00BC0563">
            <w:pPr>
              <w:pStyle w:val="TableParagraph"/>
              <w:spacing w:before="3"/>
              <w:ind w:left="108"/>
              <w:rPr>
                <w:sz w:val="19"/>
              </w:rPr>
            </w:pPr>
            <w:r>
              <w:rPr>
                <w:color w:val="231F20"/>
                <w:sz w:val="19"/>
              </w:rPr>
              <w:t>12</w:t>
            </w:r>
          </w:p>
        </w:tc>
        <w:tc>
          <w:tcPr>
            <w:tcW w:w="698" w:type="dxa"/>
            <w:tcBorders>
              <w:left w:val="single" w:sz="4" w:space="0" w:color="231F20"/>
              <w:right w:val="single" w:sz="4" w:space="0" w:color="231F20"/>
            </w:tcBorders>
          </w:tcPr>
          <w:p w14:paraId="11732B0C" w14:textId="77777777" w:rsidR="009948F1" w:rsidRDefault="00BC0563">
            <w:pPr>
              <w:pStyle w:val="TableParagraph"/>
              <w:spacing w:before="3"/>
              <w:ind w:left="107"/>
              <w:rPr>
                <w:sz w:val="19"/>
              </w:rPr>
            </w:pPr>
            <w:r>
              <w:rPr>
                <w:color w:val="231F20"/>
                <w:sz w:val="19"/>
              </w:rPr>
              <w:t>14</w:t>
            </w:r>
          </w:p>
        </w:tc>
        <w:tc>
          <w:tcPr>
            <w:tcW w:w="841" w:type="dxa"/>
            <w:tcBorders>
              <w:left w:val="single" w:sz="4" w:space="0" w:color="231F20"/>
              <w:right w:val="single" w:sz="4" w:space="0" w:color="231F20"/>
            </w:tcBorders>
          </w:tcPr>
          <w:p w14:paraId="0A472894" w14:textId="77777777" w:rsidR="009948F1" w:rsidRDefault="00BC0563">
            <w:pPr>
              <w:pStyle w:val="TableParagraph"/>
              <w:spacing w:before="3"/>
              <w:ind w:left="107"/>
              <w:rPr>
                <w:sz w:val="19"/>
              </w:rPr>
            </w:pPr>
            <w:r>
              <w:rPr>
                <w:color w:val="231F20"/>
                <w:sz w:val="19"/>
              </w:rPr>
              <w:t>16</w:t>
            </w:r>
          </w:p>
        </w:tc>
        <w:tc>
          <w:tcPr>
            <w:tcW w:w="936" w:type="dxa"/>
            <w:tcBorders>
              <w:left w:val="single" w:sz="4" w:space="0" w:color="231F20"/>
              <w:right w:val="single" w:sz="4" w:space="0" w:color="231F20"/>
            </w:tcBorders>
          </w:tcPr>
          <w:p w14:paraId="66EC789A" w14:textId="77777777" w:rsidR="009948F1" w:rsidRDefault="00BC0563">
            <w:pPr>
              <w:pStyle w:val="TableParagraph"/>
              <w:spacing w:before="4" w:line="222" w:lineRule="exact"/>
              <w:ind w:left="107" w:right="106"/>
              <w:rPr>
                <w:sz w:val="19"/>
              </w:rPr>
            </w:pPr>
            <w:r>
              <w:rPr>
                <w:color w:val="231F20"/>
                <w:w w:val="95"/>
                <w:sz w:val="19"/>
              </w:rPr>
              <w:t xml:space="preserve">Increase </w:t>
            </w:r>
            <w:r>
              <w:rPr>
                <w:color w:val="231F20"/>
                <w:sz w:val="19"/>
              </w:rPr>
              <w:t xml:space="preserve">to 50% from </w:t>
            </w:r>
            <w:r>
              <w:rPr>
                <w:color w:val="231F20"/>
                <w:w w:val="95"/>
                <w:sz w:val="19"/>
              </w:rPr>
              <w:t>baseline</w:t>
            </w:r>
          </w:p>
        </w:tc>
      </w:tr>
    </w:tbl>
    <w:p w14:paraId="38CAC024" w14:textId="77777777" w:rsidR="009948F1" w:rsidRDefault="009948F1">
      <w:pPr>
        <w:pStyle w:val="BodyText"/>
        <w:spacing w:before="11"/>
        <w:rPr>
          <w:b/>
          <w:sz w:val="28"/>
        </w:rPr>
      </w:pPr>
    </w:p>
    <w:p w14:paraId="5539F361" w14:textId="77777777" w:rsidR="009948F1" w:rsidRDefault="00BC0563">
      <w:pPr>
        <w:pStyle w:val="Heading7"/>
        <w:ind w:left="172"/>
      </w:pPr>
      <w:r>
        <w:rPr>
          <w:color w:val="231F20"/>
        </w:rPr>
        <w:t>Interventions</w:t>
      </w:r>
    </w:p>
    <w:p w14:paraId="2B3AA2F6" w14:textId="77777777" w:rsidR="009948F1" w:rsidRDefault="00BC0563">
      <w:pPr>
        <w:pStyle w:val="ListParagraph"/>
        <w:numPr>
          <w:ilvl w:val="3"/>
          <w:numId w:val="294"/>
        </w:numPr>
        <w:tabs>
          <w:tab w:val="left" w:pos="888"/>
        </w:tabs>
        <w:spacing w:before="25" w:line="264" w:lineRule="auto"/>
        <w:ind w:right="159" w:firstLine="0"/>
      </w:pPr>
      <w:r>
        <w:rPr>
          <w:color w:val="231F20"/>
        </w:rPr>
        <w:t>Promote</w:t>
      </w:r>
      <w:r>
        <w:rPr>
          <w:color w:val="231F20"/>
          <w:spacing w:val="-20"/>
        </w:rPr>
        <w:t xml:space="preserve"> </w:t>
      </w:r>
      <w:r>
        <w:rPr>
          <w:color w:val="231F20"/>
        </w:rPr>
        <w:t>the</w:t>
      </w:r>
      <w:r>
        <w:rPr>
          <w:color w:val="231F20"/>
          <w:spacing w:val="-20"/>
        </w:rPr>
        <w:t xml:space="preserve"> </w:t>
      </w:r>
      <w:r>
        <w:rPr>
          <w:color w:val="231F20"/>
        </w:rPr>
        <w:t>adoption</w:t>
      </w:r>
      <w:r>
        <w:rPr>
          <w:color w:val="231F20"/>
          <w:spacing w:val="-20"/>
        </w:rPr>
        <w:t xml:space="preserve"> </w:t>
      </w:r>
      <w:r>
        <w:rPr>
          <w:color w:val="231F20"/>
        </w:rPr>
        <w:t>and</w:t>
      </w:r>
      <w:r>
        <w:rPr>
          <w:color w:val="231F20"/>
          <w:spacing w:val="-19"/>
        </w:rPr>
        <w:t xml:space="preserve"> </w:t>
      </w:r>
      <w:r>
        <w:rPr>
          <w:color w:val="231F20"/>
        </w:rPr>
        <w:t>utilization</w:t>
      </w:r>
      <w:r>
        <w:rPr>
          <w:color w:val="231F20"/>
          <w:spacing w:val="-20"/>
        </w:rPr>
        <w:t xml:space="preserve"> </w:t>
      </w:r>
      <w:r>
        <w:rPr>
          <w:color w:val="231F20"/>
        </w:rPr>
        <w:t>of</w:t>
      </w:r>
      <w:r>
        <w:rPr>
          <w:color w:val="231F20"/>
          <w:spacing w:val="-20"/>
        </w:rPr>
        <w:t xml:space="preserve"> </w:t>
      </w:r>
      <w:r>
        <w:rPr>
          <w:color w:val="231F20"/>
        </w:rPr>
        <w:t>national</w:t>
      </w:r>
      <w:r>
        <w:rPr>
          <w:color w:val="231F20"/>
          <w:spacing w:val="-19"/>
        </w:rPr>
        <w:t xml:space="preserve"> </w:t>
      </w:r>
      <w:r>
        <w:rPr>
          <w:color w:val="231F20"/>
        </w:rPr>
        <w:t>policies</w:t>
      </w:r>
      <w:r>
        <w:rPr>
          <w:color w:val="231F20"/>
          <w:spacing w:val="-20"/>
        </w:rPr>
        <w:t xml:space="preserve"> </w:t>
      </w:r>
      <w:r>
        <w:rPr>
          <w:color w:val="231F20"/>
        </w:rPr>
        <w:t>and</w:t>
      </w:r>
      <w:r>
        <w:rPr>
          <w:color w:val="231F20"/>
          <w:spacing w:val="-20"/>
        </w:rPr>
        <w:t xml:space="preserve"> </w:t>
      </w:r>
      <w:r>
        <w:rPr>
          <w:color w:val="231F20"/>
        </w:rPr>
        <w:t>guidelines</w:t>
      </w:r>
      <w:r>
        <w:rPr>
          <w:color w:val="231F20"/>
          <w:spacing w:val="-19"/>
        </w:rPr>
        <w:t xml:space="preserve"> </w:t>
      </w:r>
      <w:r>
        <w:rPr>
          <w:color w:val="231F20"/>
        </w:rPr>
        <w:t>on</w:t>
      </w:r>
      <w:r>
        <w:rPr>
          <w:color w:val="231F20"/>
          <w:spacing w:val="-20"/>
        </w:rPr>
        <w:t xml:space="preserve"> </w:t>
      </w:r>
      <w:r>
        <w:rPr>
          <w:color w:val="231F20"/>
          <w:spacing w:val="-8"/>
        </w:rPr>
        <w:t>PPP.</w:t>
      </w:r>
      <w:r>
        <w:rPr>
          <w:color w:val="231F20"/>
          <w:spacing w:val="-20"/>
        </w:rPr>
        <w:t xml:space="preserve"> </w:t>
      </w:r>
      <w:r>
        <w:rPr>
          <w:color w:val="231F20"/>
        </w:rPr>
        <w:t>Key</w:t>
      </w:r>
      <w:r>
        <w:rPr>
          <w:color w:val="231F20"/>
          <w:spacing w:val="-20"/>
        </w:rPr>
        <w:t xml:space="preserve"> </w:t>
      </w:r>
      <w:r>
        <w:rPr>
          <w:color w:val="231F20"/>
        </w:rPr>
        <w:t>actions include; Domesticate the national PPP policy; Establish/empower Health Partners Coordination Committee (HPCC) to promote, oversee and monitor PPP initiative in the state; Conduct</w:t>
      </w:r>
      <w:r>
        <w:rPr>
          <w:color w:val="231F20"/>
          <w:spacing w:val="-42"/>
        </w:rPr>
        <w:t xml:space="preserve"> </w:t>
      </w:r>
      <w:r>
        <w:rPr>
          <w:color w:val="231F20"/>
        </w:rPr>
        <w:t>periodic meeting</w:t>
      </w:r>
      <w:r>
        <w:rPr>
          <w:color w:val="231F20"/>
          <w:spacing w:val="-15"/>
        </w:rPr>
        <w:t xml:space="preserve"> </w:t>
      </w:r>
      <w:r>
        <w:rPr>
          <w:color w:val="231F20"/>
        </w:rPr>
        <w:t>to</w:t>
      </w:r>
      <w:r>
        <w:rPr>
          <w:color w:val="231F20"/>
          <w:spacing w:val="-15"/>
        </w:rPr>
        <w:t xml:space="preserve"> </w:t>
      </w:r>
      <w:r>
        <w:rPr>
          <w:color w:val="231F20"/>
        </w:rPr>
        <w:t>deliberate</w:t>
      </w:r>
      <w:r>
        <w:rPr>
          <w:color w:val="231F20"/>
          <w:spacing w:val="-14"/>
        </w:rPr>
        <w:t xml:space="preserve"> </w:t>
      </w:r>
      <w:r>
        <w:rPr>
          <w:color w:val="231F20"/>
        </w:rPr>
        <w:t>&amp;</w:t>
      </w:r>
      <w:r>
        <w:rPr>
          <w:color w:val="231F20"/>
          <w:spacing w:val="-15"/>
        </w:rPr>
        <w:t xml:space="preserve"> </w:t>
      </w:r>
      <w:r>
        <w:rPr>
          <w:color w:val="231F20"/>
        </w:rPr>
        <w:t>review</w:t>
      </w:r>
      <w:r>
        <w:rPr>
          <w:color w:val="231F20"/>
          <w:spacing w:val="-14"/>
        </w:rPr>
        <w:t xml:space="preserve"> </w:t>
      </w:r>
      <w:r>
        <w:rPr>
          <w:color w:val="231F20"/>
        </w:rPr>
        <w:t>all</w:t>
      </w:r>
      <w:r>
        <w:rPr>
          <w:color w:val="231F20"/>
          <w:spacing w:val="-15"/>
        </w:rPr>
        <w:t xml:space="preserve"> </w:t>
      </w:r>
      <w:r>
        <w:rPr>
          <w:color w:val="231F20"/>
        </w:rPr>
        <w:t>PPP</w:t>
      </w:r>
      <w:r>
        <w:rPr>
          <w:color w:val="231F20"/>
          <w:spacing w:val="-19"/>
        </w:rPr>
        <w:t xml:space="preserve"> </w:t>
      </w:r>
      <w:r>
        <w:rPr>
          <w:color w:val="231F20"/>
        </w:rPr>
        <w:t>activities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Conduct</w:t>
      </w:r>
      <w:r>
        <w:rPr>
          <w:color w:val="231F20"/>
          <w:spacing w:val="-15"/>
        </w:rPr>
        <w:t xml:space="preserve"> </w:t>
      </w:r>
      <w:r>
        <w:rPr>
          <w:color w:val="231F20"/>
        </w:rPr>
        <w:t>mass</w:t>
      </w:r>
      <w:r>
        <w:rPr>
          <w:color w:val="231F20"/>
          <w:spacing w:val="-15"/>
        </w:rPr>
        <w:t xml:space="preserve"> </w:t>
      </w:r>
      <w:r>
        <w:rPr>
          <w:color w:val="231F20"/>
        </w:rPr>
        <w:t>media</w:t>
      </w:r>
      <w:r>
        <w:rPr>
          <w:color w:val="231F20"/>
          <w:spacing w:val="-14"/>
        </w:rPr>
        <w:t xml:space="preserve"> </w:t>
      </w:r>
      <w:r>
        <w:rPr>
          <w:color w:val="231F20"/>
        </w:rPr>
        <w:t>edutainment</w:t>
      </w:r>
      <w:r>
        <w:rPr>
          <w:color w:val="231F20"/>
          <w:spacing w:val="-14"/>
        </w:rPr>
        <w:t xml:space="preserve"> </w:t>
      </w:r>
      <w:r>
        <w:rPr>
          <w:color w:val="231F20"/>
        </w:rPr>
        <w:t>on the</w:t>
      </w:r>
      <w:r>
        <w:rPr>
          <w:color w:val="231F20"/>
          <w:spacing w:val="-25"/>
        </w:rPr>
        <w:t xml:space="preserve"> </w:t>
      </w:r>
      <w:r>
        <w:rPr>
          <w:color w:val="231F20"/>
        </w:rPr>
        <w:t>need</w:t>
      </w:r>
      <w:r>
        <w:rPr>
          <w:color w:val="231F20"/>
          <w:spacing w:val="-25"/>
        </w:rPr>
        <w:t xml:space="preserve"> </w:t>
      </w:r>
      <w:r>
        <w:rPr>
          <w:color w:val="231F20"/>
        </w:rPr>
        <w:t>for</w:t>
      </w:r>
      <w:r>
        <w:rPr>
          <w:color w:val="231F20"/>
          <w:spacing w:val="-25"/>
        </w:rPr>
        <w:t xml:space="preserve"> </w:t>
      </w:r>
      <w:r>
        <w:rPr>
          <w:color w:val="231F20"/>
        </w:rPr>
        <w:t>adoption</w:t>
      </w:r>
      <w:r>
        <w:rPr>
          <w:color w:val="231F20"/>
          <w:spacing w:val="-25"/>
        </w:rPr>
        <w:t xml:space="preserve"> </w:t>
      </w:r>
      <w:r>
        <w:rPr>
          <w:color w:val="231F20"/>
        </w:rPr>
        <w:t>and</w:t>
      </w:r>
      <w:r>
        <w:rPr>
          <w:color w:val="231F20"/>
          <w:spacing w:val="-25"/>
        </w:rPr>
        <w:t xml:space="preserve"> </w:t>
      </w:r>
      <w:r>
        <w:rPr>
          <w:color w:val="231F20"/>
        </w:rPr>
        <w:t>utilization</w:t>
      </w:r>
      <w:r>
        <w:rPr>
          <w:color w:val="231F20"/>
          <w:spacing w:val="-25"/>
        </w:rPr>
        <w:t xml:space="preserve"> </w:t>
      </w:r>
      <w:r>
        <w:rPr>
          <w:color w:val="231F20"/>
        </w:rPr>
        <w:t>of</w:t>
      </w:r>
      <w:r>
        <w:rPr>
          <w:color w:val="231F20"/>
          <w:spacing w:val="-25"/>
        </w:rPr>
        <w:t xml:space="preserve"> </w:t>
      </w:r>
      <w:r>
        <w:rPr>
          <w:color w:val="231F20"/>
        </w:rPr>
        <w:t>national</w:t>
      </w:r>
      <w:r>
        <w:rPr>
          <w:color w:val="231F20"/>
          <w:spacing w:val="-25"/>
        </w:rPr>
        <w:t xml:space="preserve"> </w:t>
      </w:r>
      <w:r>
        <w:rPr>
          <w:color w:val="231F20"/>
        </w:rPr>
        <w:t>policies</w:t>
      </w:r>
      <w:r>
        <w:rPr>
          <w:color w:val="231F20"/>
          <w:spacing w:val="-25"/>
        </w:rPr>
        <w:t xml:space="preserve"> </w:t>
      </w:r>
      <w:r>
        <w:rPr>
          <w:color w:val="231F20"/>
        </w:rPr>
        <w:t>and</w:t>
      </w:r>
      <w:r>
        <w:rPr>
          <w:color w:val="231F20"/>
          <w:spacing w:val="-25"/>
        </w:rPr>
        <w:t xml:space="preserve"> </w:t>
      </w:r>
      <w:r>
        <w:rPr>
          <w:color w:val="231F20"/>
        </w:rPr>
        <w:t>guidelines</w:t>
      </w:r>
      <w:r>
        <w:rPr>
          <w:color w:val="231F20"/>
          <w:spacing w:val="-25"/>
        </w:rPr>
        <w:t xml:space="preserve"> </w:t>
      </w:r>
      <w:r>
        <w:rPr>
          <w:color w:val="231F20"/>
        </w:rPr>
        <w:t>on</w:t>
      </w:r>
      <w:r>
        <w:rPr>
          <w:color w:val="231F20"/>
          <w:spacing w:val="-25"/>
        </w:rPr>
        <w:t xml:space="preserve"> </w:t>
      </w:r>
      <w:r>
        <w:rPr>
          <w:color w:val="231F20"/>
          <w:spacing w:val="-8"/>
        </w:rPr>
        <w:t>PPP.</w:t>
      </w:r>
    </w:p>
    <w:p w14:paraId="038A7F3A" w14:textId="77777777" w:rsidR="009948F1" w:rsidRDefault="009948F1">
      <w:pPr>
        <w:pStyle w:val="BodyText"/>
        <w:spacing w:before="1"/>
        <w:rPr>
          <w:sz w:val="24"/>
        </w:rPr>
      </w:pPr>
    </w:p>
    <w:p w14:paraId="733F8EF6" w14:textId="77777777" w:rsidR="009948F1" w:rsidRDefault="00BC0563">
      <w:pPr>
        <w:pStyle w:val="ListParagraph"/>
        <w:numPr>
          <w:ilvl w:val="3"/>
          <w:numId w:val="294"/>
        </w:numPr>
        <w:tabs>
          <w:tab w:val="left" w:pos="923"/>
        </w:tabs>
        <w:spacing w:line="264" w:lineRule="auto"/>
        <w:ind w:right="159" w:firstLine="0"/>
      </w:pPr>
      <w:r>
        <w:rPr>
          <w:color w:val="231F20"/>
        </w:rPr>
        <w:t>Strengthen legal and coordinating framework for PPP at all levels. Key actions include; Strengthen</w:t>
      </w:r>
      <w:r>
        <w:rPr>
          <w:color w:val="231F20"/>
          <w:spacing w:val="-26"/>
        </w:rPr>
        <w:t xml:space="preserve"> </w:t>
      </w:r>
      <w:r>
        <w:rPr>
          <w:color w:val="231F20"/>
        </w:rPr>
        <w:t>/</w:t>
      </w:r>
      <w:r>
        <w:rPr>
          <w:color w:val="231F20"/>
          <w:spacing w:val="-25"/>
        </w:rPr>
        <w:t xml:space="preserve"> </w:t>
      </w:r>
      <w:r>
        <w:rPr>
          <w:color w:val="231F20"/>
        </w:rPr>
        <w:t>develop</w:t>
      </w:r>
      <w:r>
        <w:rPr>
          <w:color w:val="231F20"/>
          <w:spacing w:val="-25"/>
        </w:rPr>
        <w:t xml:space="preserve"> </w:t>
      </w:r>
      <w:r>
        <w:rPr>
          <w:color w:val="231F20"/>
        </w:rPr>
        <w:t>existing</w:t>
      </w:r>
      <w:r>
        <w:rPr>
          <w:color w:val="231F20"/>
          <w:spacing w:val="-25"/>
        </w:rPr>
        <w:t xml:space="preserve"> </w:t>
      </w:r>
      <w:r>
        <w:rPr>
          <w:color w:val="231F20"/>
        </w:rPr>
        <w:t>PPP</w:t>
      </w:r>
      <w:r>
        <w:rPr>
          <w:color w:val="231F20"/>
          <w:spacing w:val="-29"/>
        </w:rPr>
        <w:t xml:space="preserve"> </w:t>
      </w:r>
      <w:r>
        <w:rPr>
          <w:color w:val="231F20"/>
        </w:rPr>
        <w:t>coordinating</w:t>
      </w:r>
      <w:r>
        <w:rPr>
          <w:color w:val="231F20"/>
          <w:spacing w:val="-25"/>
        </w:rPr>
        <w:t xml:space="preserve"> </w:t>
      </w:r>
      <w:r>
        <w:rPr>
          <w:color w:val="231F20"/>
        </w:rPr>
        <w:t>structures</w:t>
      </w:r>
      <w:r>
        <w:rPr>
          <w:color w:val="231F20"/>
          <w:spacing w:val="-25"/>
        </w:rPr>
        <w:t xml:space="preserve"> </w:t>
      </w:r>
      <w:r>
        <w:rPr>
          <w:color w:val="231F20"/>
        </w:rPr>
        <w:t>&amp;</w:t>
      </w:r>
      <w:r>
        <w:rPr>
          <w:color w:val="231F20"/>
          <w:spacing w:val="-25"/>
        </w:rPr>
        <w:t xml:space="preserve"> </w:t>
      </w:r>
      <w:r>
        <w:rPr>
          <w:color w:val="231F20"/>
        </w:rPr>
        <w:t>feedback</w:t>
      </w:r>
      <w:r>
        <w:rPr>
          <w:color w:val="231F20"/>
          <w:spacing w:val="-25"/>
        </w:rPr>
        <w:t xml:space="preserve"> </w:t>
      </w:r>
      <w:r>
        <w:rPr>
          <w:color w:val="231F20"/>
        </w:rPr>
        <w:t>mechanisms.</w:t>
      </w:r>
    </w:p>
    <w:p w14:paraId="685C6ABA" w14:textId="77777777" w:rsidR="009948F1" w:rsidRDefault="009948F1">
      <w:pPr>
        <w:pStyle w:val="BodyText"/>
        <w:spacing w:before="2"/>
        <w:rPr>
          <w:sz w:val="24"/>
        </w:rPr>
      </w:pPr>
    </w:p>
    <w:p w14:paraId="3C77490C" w14:textId="77777777" w:rsidR="009948F1" w:rsidRDefault="00BC0563">
      <w:pPr>
        <w:pStyle w:val="ListParagraph"/>
        <w:numPr>
          <w:ilvl w:val="3"/>
          <w:numId w:val="294"/>
        </w:numPr>
        <w:tabs>
          <w:tab w:val="left" w:pos="967"/>
        </w:tabs>
        <w:spacing w:line="264" w:lineRule="auto"/>
        <w:ind w:right="160" w:firstLine="0"/>
      </w:pPr>
      <w:r>
        <w:rPr>
          <w:color w:val="231F20"/>
        </w:rPr>
        <w:t xml:space="preserve">Establish a single Development Partners Forum at federal and state levels, </w:t>
      </w:r>
      <w:r>
        <w:rPr>
          <w:color w:val="231F20"/>
          <w:spacing w:val="-3"/>
        </w:rPr>
        <w:t xml:space="preserve">which </w:t>
      </w:r>
      <w:r>
        <w:rPr>
          <w:color w:val="231F20"/>
        </w:rPr>
        <w:t>comprises of only health development partners. Key actions include; develop/adapt &amp; circulate guidelines that regulates Development Partners' activities in the state; Establish Development Partners</w:t>
      </w:r>
      <w:r>
        <w:rPr>
          <w:color w:val="231F20"/>
          <w:spacing w:val="-6"/>
        </w:rPr>
        <w:t xml:space="preserve"> </w:t>
      </w:r>
      <w:r>
        <w:rPr>
          <w:color w:val="231F20"/>
        </w:rPr>
        <w:t>Forum</w:t>
      </w:r>
      <w:r>
        <w:rPr>
          <w:color w:val="231F20"/>
          <w:spacing w:val="-5"/>
        </w:rPr>
        <w:t xml:space="preserve"> </w:t>
      </w:r>
      <w:r>
        <w:rPr>
          <w:color w:val="231F20"/>
        </w:rPr>
        <w:t>comprising</w:t>
      </w:r>
      <w:r>
        <w:rPr>
          <w:color w:val="231F20"/>
          <w:spacing w:val="-5"/>
        </w:rPr>
        <w:t xml:space="preserve"> </w:t>
      </w:r>
      <w:r>
        <w:rPr>
          <w:color w:val="231F20"/>
        </w:rPr>
        <w:t>only</w:t>
      </w:r>
      <w:r>
        <w:rPr>
          <w:color w:val="231F20"/>
          <w:spacing w:val="-5"/>
        </w:rPr>
        <w:t xml:space="preserve"> </w:t>
      </w:r>
      <w:r>
        <w:rPr>
          <w:color w:val="231F20"/>
        </w:rPr>
        <w:t>health</w:t>
      </w:r>
      <w:r>
        <w:rPr>
          <w:color w:val="231F20"/>
          <w:spacing w:val="-5"/>
        </w:rPr>
        <w:t xml:space="preserve"> </w:t>
      </w:r>
      <w:r>
        <w:rPr>
          <w:color w:val="231F20"/>
        </w:rPr>
        <w:t>development</w:t>
      </w:r>
      <w:r>
        <w:rPr>
          <w:color w:val="231F20"/>
          <w:spacing w:val="-5"/>
        </w:rPr>
        <w:t xml:space="preserve"> </w:t>
      </w:r>
      <w:r>
        <w:rPr>
          <w:color w:val="231F20"/>
        </w:rPr>
        <w:t>partners</w:t>
      </w:r>
      <w:r>
        <w:rPr>
          <w:color w:val="231F20"/>
          <w:spacing w:val="-5"/>
        </w:rPr>
        <w:t xml:space="preserve"> </w:t>
      </w:r>
      <w:r>
        <w:rPr>
          <w:color w:val="231F20"/>
        </w:rPr>
        <w:t>at</w:t>
      </w:r>
      <w:r>
        <w:rPr>
          <w:color w:val="231F20"/>
          <w:spacing w:val="-5"/>
        </w:rPr>
        <w:t xml:space="preserve"> </w:t>
      </w:r>
      <w:r>
        <w:rPr>
          <w:color w:val="231F20"/>
        </w:rPr>
        <w:t>State</w:t>
      </w:r>
      <w:r>
        <w:rPr>
          <w:color w:val="231F20"/>
          <w:spacing w:val="-5"/>
        </w:rPr>
        <w:t xml:space="preserve"> </w:t>
      </w:r>
      <w:r>
        <w:rPr>
          <w:color w:val="231F20"/>
        </w:rPr>
        <w:t>level</w:t>
      </w:r>
      <w:r>
        <w:rPr>
          <w:color w:val="231F20"/>
          <w:spacing w:val="-6"/>
        </w:rPr>
        <w:t xml:space="preserve"> </w:t>
      </w:r>
      <w:r>
        <w:rPr>
          <w:color w:val="231F20"/>
        </w:rPr>
        <w:t>as</w:t>
      </w:r>
      <w:r>
        <w:rPr>
          <w:color w:val="231F20"/>
          <w:spacing w:val="-5"/>
        </w:rPr>
        <w:t xml:space="preserve"> </w:t>
      </w:r>
      <w:r>
        <w:rPr>
          <w:color w:val="231F20"/>
        </w:rPr>
        <w:t>single</w:t>
      </w:r>
      <w:r>
        <w:rPr>
          <w:color w:val="231F20"/>
          <w:spacing w:val="-5"/>
        </w:rPr>
        <w:t xml:space="preserve"> </w:t>
      </w:r>
      <w:r>
        <w:rPr>
          <w:color w:val="231F20"/>
        </w:rPr>
        <w:t>entry</w:t>
      </w:r>
      <w:r>
        <w:rPr>
          <w:color w:val="231F20"/>
          <w:spacing w:val="-5"/>
        </w:rPr>
        <w:t xml:space="preserve"> </w:t>
      </w:r>
      <w:r>
        <w:rPr>
          <w:color w:val="231F20"/>
        </w:rPr>
        <w:t xml:space="preserve">points for engaging partners in the State; Conduct periodic meeting Development Partners Forum </w:t>
      </w:r>
      <w:r>
        <w:rPr>
          <w:color w:val="231F20"/>
          <w:spacing w:val="-6"/>
        </w:rPr>
        <w:t xml:space="preserve">to </w:t>
      </w:r>
      <w:r>
        <w:rPr>
          <w:color w:val="231F20"/>
        </w:rPr>
        <w:t>deliberate</w:t>
      </w:r>
      <w:r>
        <w:rPr>
          <w:color w:val="231F20"/>
          <w:spacing w:val="-25"/>
        </w:rPr>
        <w:t xml:space="preserve"> </w:t>
      </w:r>
      <w:r>
        <w:rPr>
          <w:color w:val="231F20"/>
        </w:rPr>
        <w:t>&amp;</w:t>
      </w:r>
      <w:r>
        <w:rPr>
          <w:color w:val="231F20"/>
          <w:spacing w:val="-25"/>
        </w:rPr>
        <w:t xml:space="preserve"> </w:t>
      </w:r>
      <w:r>
        <w:rPr>
          <w:color w:val="231F20"/>
        </w:rPr>
        <w:t>review</w:t>
      </w:r>
      <w:r>
        <w:rPr>
          <w:color w:val="231F20"/>
          <w:spacing w:val="-26"/>
        </w:rPr>
        <w:t xml:space="preserve"> </w:t>
      </w:r>
      <w:r>
        <w:rPr>
          <w:color w:val="231F20"/>
        </w:rPr>
        <w:t>all</w:t>
      </w:r>
      <w:r>
        <w:rPr>
          <w:color w:val="231F20"/>
          <w:spacing w:val="-25"/>
        </w:rPr>
        <w:t xml:space="preserve"> </w:t>
      </w:r>
      <w:r>
        <w:rPr>
          <w:color w:val="231F20"/>
        </w:rPr>
        <w:t>PPP</w:t>
      </w:r>
      <w:r>
        <w:rPr>
          <w:color w:val="231F20"/>
          <w:spacing w:val="-29"/>
        </w:rPr>
        <w:t xml:space="preserve"> </w:t>
      </w:r>
      <w:r>
        <w:rPr>
          <w:color w:val="231F20"/>
        </w:rPr>
        <w:t>activities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473A2547" w14:textId="77777777" w:rsidR="009948F1" w:rsidRDefault="009948F1">
      <w:pPr>
        <w:pStyle w:val="BodyText"/>
        <w:spacing w:before="1"/>
        <w:rPr>
          <w:sz w:val="24"/>
        </w:rPr>
      </w:pPr>
    </w:p>
    <w:p w14:paraId="1CB4FF6B" w14:textId="77777777" w:rsidR="009948F1" w:rsidRDefault="00BC0563">
      <w:pPr>
        <w:pStyle w:val="ListParagraph"/>
        <w:numPr>
          <w:ilvl w:val="3"/>
          <w:numId w:val="294"/>
        </w:numPr>
        <w:tabs>
          <w:tab w:val="left" w:pos="912"/>
        </w:tabs>
        <w:spacing w:before="1" w:line="264" w:lineRule="auto"/>
        <w:ind w:right="158" w:firstLine="0"/>
      </w:pPr>
      <w:r>
        <w:rPr>
          <w:color w:val="231F20"/>
        </w:rPr>
        <w:t xml:space="preserve">Strengthen mechanisms for the implementation of PPP (e.g. contracting or out-sourcing, leases, concessions, social marketing and franchising mechanism). Key actions include; </w:t>
      </w:r>
      <w:r>
        <w:rPr>
          <w:color w:val="231F20"/>
          <w:spacing w:val="-3"/>
        </w:rPr>
        <w:t xml:space="preserve">Explore </w:t>
      </w:r>
      <w:r>
        <w:rPr>
          <w:color w:val="231F20"/>
        </w:rPr>
        <w:t>the</w:t>
      </w:r>
      <w:r>
        <w:rPr>
          <w:color w:val="231F20"/>
          <w:spacing w:val="-11"/>
        </w:rPr>
        <w:t xml:space="preserve"> </w:t>
      </w:r>
      <w:r>
        <w:rPr>
          <w:color w:val="231F20"/>
        </w:rPr>
        <w:t>feasibility</w:t>
      </w:r>
      <w:r>
        <w:rPr>
          <w:color w:val="231F20"/>
          <w:spacing w:val="-9"/>
        </w:rPr>
        <w:t xml:space="preserve"> </w:t>
      </w:r>
      <w:r>
        <w:rPr>
          <w:color w:val="231F20"/>
        </w:rPr>
        <w:t>of</w:t>
      </w:r>
      <w:r>
        <w:rPr>
          <w:color w:val="231F20"/>
          <w:spacing w:val="-11"/>
        </w:rPr>
        <w:t xml:space="preserve"> </w:t>
      </w:r>
      <w:r>
        <w:rPr>
          <w:color w:val="231F20"/>
        </w:rPr>
        <w:t>different</w:t>
      </w:r>
      <w:r>
        <w:rPr>
          <w:color w:val="231F20"/>
          <w:spacing w:val="-10"/>
        </w:rPr>
        <w:t xml:space="preserve"> </w:t>
      </w:r>
      <w:r>
        <w:rPr>
          <w:color w:val="231F20"/>
        </w:rPr>
        <w:t>models</w:t>
      </w:r>
      <w:r>
        <w:rPr>
          <w:color w:val="231F20"/>
          <w:spacing w:val="-10"/>
        </w:rPr>
        <w:t xml:space="preserve"> </w:t>
      </w:r>
      <w:r>
        <w:rPr>
          <w:color w:val="231F20"/>
        </w:rPr>
        <w:t>of</w:t>
      </w:r>
      <w:r>
        <w:rPr>
          <w:color w:val="231F20"/>
          <w:spacing w:val="-10"/>
        </w:rPr>
        <w:t xml:space="preserve"> </w:t>
      </w:r>
      <w:r>
        <w:rPr>
          <w:color w:val="231F20"/>
        </w:rPr>
        <w:t>implementation</w:t>
      </w:r>
      <w:r>
        <w:rPr>
          <w:color w:val="231F20"/>
          <w:spacing w:val="-9"/>
        </w:rPr>
        <w:t xml:space="preserve"> </w:t>
      </w:r>
      <w:r>
        <w:rPr>
          <w:color w:val="231F20"/>
        </w:rPr>
        <w:t>of</w:t>
      </w:r>
      <w:r>
        <w:rPr>
          <w:color w:val="231F20"/>
          <w:spacing w:val="-11"/>
        </w:rPr>
        <w:t xml:space="preserve"> </w:t>
      </w:r>
      <w:r>
        <w:rPr>
          <w:color w:val="231F20"/>
        </w:rPr>
        <w:t>health</w:t>
      </w:r>
      <w:r>
        <w:rPr>
          <w:color w:val="231F20"/>
          <w:spacing w:val="-9"/>
        </w:rPr>
        <w:t xml:space="preserve"> </w:t>
      </w:r>
      <w:proofErr w:type="spellStart"/>
      <w:r>
        <w:rPr>
          <w:color w:val="231F20"/>
        </w:rPr>
        <w:t>programmes</w:t>
      </w:r>
      <w:proofErr w:type="spellEnd"/>
      <w:r>
        <w:rPr>
          <w:color w:val="231F20"/>
          <w:spacing w:val="-10"/>
        </w:rPr>
        <w:t xml:space="preserve"> </w:t>
      </w:r>
      <w:r>
        <w:rPr>
          <w:color w:val="231F20"/>
        </w:rPr>
        <w:t>including</w:t>
      </w:r>
      <w:r>
        <w:rPr>
          <w:color w:val="231F20"/>
          <w:spacing w:val="-9"/>
        </w:rPr>
        <w:t xml:space="preserve"> </w:t>
      </w:r>
      <w:r>
        <w:rPr>
          <w:color w:val="231F20"/>
        </w:rPr>
        <w:t>Performance- Based</w:t>
      </w:r>
      <w:r>
        <w:rPr>
          <w:color w:val="231F20"/>
          <w:spacing w:val="-26"/>
        </w:rPr>
        <w:t xml:space="preserve"> </w:t>
      </w:r>
      <w:r>
        <w:rPr>
          <w:color w:val="231F20"/>
        </w:rPr>
        <w:t>Financing</w:t>
      </w:r>
      <w:r>
        <w:rPr>
          <w:color w:val="231F20"/>
          <w:spacing w:val="-25"/>
        </w:rPr>
        <w:t xml:space="preserve"> </w:t>
      </w:r>
      <w:r>
        <w:rPr>
          <w:color w:val="231F20"/>
        </w:rPr>
        <w:t>(PBF);</w:t>
      </w:r>
      <w:r>
        <w:rPr>
          <w:color w:val="231F20"/>
          <w:spacing w:val="-25"/>
        </w:rPr>
        <w:t xml:space="preserve"> </w:t>
      </w:r>
      <w:r>
        <w:rPr>
          <w:color w:val="231F20"/>
        </w:rPr>
        <w:t>Engage</w:t>
      </w:r>
      <w:r>
        <w:rPr>
          <w:color w:val="231F20"/>
          <w:spacing w:val="-25"/>
        </w:rPr>
        <w:t xml:space="preserve"> </w:t>
      </w:r>
      <w:r>
        <w:rPr>
          <w:color w:val="231F20"/>
        </w:rPr>
        <w:t>in</w:t>
      </w:r>
      <w:r>
        <w:rPr>
          <w:color w:val="231F20"/>
          <w:spacing w:val="-25"/>
        </w:rPr>
        <w:t xml:space="preserve"> </w:t>
      </w:r>
      <w:r>
        <w:rPr>
          <w:color w:val="231F20"/>
        </w:rPr>
        <w:t>PPP</w:t>
      </w:r>
      <w:r>
        <w:rPr>
          <w:color w:val="231F20"/>
          <w:spacing w:val="-29"/>
        </w:rPr>
        <w:t xml:space="preserve"> </w:t>
      </w:r>
      <w:r>
        <w:rPr>
          <w:color w:val="231F20"/>
        </w:rPr>
        <w:t>collaboration</w:t>
      </w:r>
      <w:r>
        <w:rPr>
          <w:color w:val="231F20"/>
          <w:spacing w:val="-25"/>
        </w:rPr>
        <w:t xml:space="preserve"> </w:t>
      </w:r>
      <w:r>
        <w:rPr>
          <w:color w:val="231F20"/>
        </w:rPr>
        <w:t>with</w:t>
      </w:r>
      <w:r>
        <w:rPr>
          <w:color w:val="231F20"/>
          <w:spacing w:val="-25"/>
        </w:rPr>
        <w:t xml:space="preserve"> </w:t>
      </w:r>
      <w:r>
        <w:rPr>
          <w:color w:val="231F20"/>
        </w:rPr>
        <w:t>interested</w:t>
      </w:r>
      <w:r>
        <w:rPr>
          <w:color w:val="231F20"/>
          <w:spacing w:val="-25"/>
        </w:rPr>
        <w:t xml:space="preserve"> </w:t>
      </w:r>
      <w:r>
        <w:rPr>
          <w:color w:val="231F20"/>
        </w:rPr>
        <w:t>bodies.</w:t>
      </w:r>
    </w:p>
    <w:p w14:paraId="66B7718D" w14:textId="77777777" w:rsidR="009948F1" w:rsidRDefault="009948F1">
      <w:pPr>
        <w:pStyle w:val="BodyText"/>
        <w:spacing w:before="1"/>
        <w:rPr>
          <w:sz w:val="24"/>
        </w:rPr>
      </w:pPr>
    </w:p>
    <w:p w14:paraId="268C2B94" w14:textId="77777777" w:rsidR="009948F1" w:rsidRDefault="00BC0563">
      <w:pPr>
        <w:pStyle w:val="ListParagraph"/>
        <w:numPr>
          <w:ilvl w:val="3"/>
          <w:numId w:val="294"/>
        </w:numPr>
        <w:tabs>
          <w:tab w:val="left" w:pos="897"/>
        </w:tabs>
        <w:spacing w:line="264" w:lineRule="auto"/>
        <w:ind w:left="171" w:right="160" w:firstLine="0"/>
      </w:pPr>
      <w:r>
        <w:rPr>
          <w:color w:val="231F20"/>
        </w:rPr>
        <w:t>Scale-up</w:t>
      </w:r>
      <w:r>
        <w:rPr>
          <w:color w:val="231F20"/>
          <w:spacing w:val="-12"/>
        </w:rPr>
        <w:t xml:space="preserve"> </w:t>
      </w:r>
      <w:r>
        <w:rPr>
          <w:color w:val="231F20"/>
        </w:rPr>
        <w:t>PPP</w:t>
      </w:r>
      <w:r>
        <w:rPr>
          <w:color w:val="231F20"/>
          <w:spacing w:val="-14"/>
        </w:rPr>
        <w:t xml:space="preserve"> </w:t>
      </w:r>
      <w:r>
        <w:rPr>
          <w:color w:val="231F20"/>
        </w:rPr>
        <w:t>in</w:t>
      </w:r>
      <w:r>
        <w:rPr>
          <w:color w:val="231F20"/>
          <w:spacing w:val="-11"/>
        </w:rPr>
        <w:t xml:space="preserve"> </w:t>
      </w:r>
      <w:r>
        <w:rPr>
          <w:color w:val="231F20"/>
        </w:rPr>
        <w:t>planning</w:t>
      </w:r>
      <w:r>
        <w:rPr>
          <w:color w:val="231F20"/>
          <w:spacing w:val="-11"/>
        </w:rPr>
        <w:t xml:space="preserve"> </w:t>
      </w:r>
      <w:r>
        <w:rPr>
          <w:color w:val="231F20"/>
        </w:rPr>
        <w:t>and</w:t>
      </w:r>
      <w:r>
        <w:rPr>
          <w:color w:val="231F20"/>
          <w:spacing w:val="-11"/>
        </w:rPr>
        <w:t xml:space="preserve"> </w:t>
      </w:r>
      <w:r>
        <w:rPr>
          <w:color w:val="231F20"/>
        </w:rPr>
        <w:t>implementation</w:t>
      </w:r>
      <w:r>
        <w:rPr>
          <w:color w:val="231F20"/>
          <w:spacing w:val="-11"/>
        </w:rPr>
        <w:t xml:space="preserve"> </w:t>
      </w:r>
      <w:r>
        <w:rPr>
          <w:color w:val="231F20"/>
        </w:rPr>
        <w:t>of</w:t>
      </w:r>
      <w:r>
        <w:rPr>
          <w:color w:val="231F20"/>
          <w:spacing w:val="-11"/>
        </w:rPr>
        <w:t xml:space="preserve"> </w:t>
      </w:r>
      <w:r>
        <w:rPr>
          <w:color w:val="231F20"/>
        </w:rPr>
        <w:t>health</w:t>
      </w:r>
      <w:r>
        <w:rPr>
          <w:color w:val="231F20"/>
          <w:spacing w:val="-12"/>
        </w:rPr>
        <w:t xml:space="preserve"> </w:t>
      </w:r>
      <w:proofErr w:type="spellStart"/>
      <w:r>
        <w:rPr>
          <w:color w:val="231F20"/>
        </w:rPr>
        <w:t>programmes</w:t>
      </w:r>
      <w:proofErr w:type="spellEnd"/>
      <w:r>
        <w:rPr>
          <w:color w:val="231F20"/>
        </w:rPr>
        <w:t>.</w:t>
      </w:r>
      <w:r>
        <w:rPr>
          <w:color w:val="231F20"/>
          <w:spacing w:val="-11"/>
        </w:rPr>
        <w:t xml:space="preserve"> </w:t>
      </w:r>
      <w:r>
        <w:rPr>
          <w:color w:val="231F20"/>
        </w:rPr>
        <w:t>Key</w:t>
      </w:r>
      <w:r>
        <w:rPr>
          <w:color w:val="231F20"/>
          <w:spacing w:val="-11"/>
        </w:rPr>
        <w:t xml:space="preserve"> </w:t>
      </w:r>
      <w:r>
        <w:rPr>
          <w:color w:val="231F20"/>
        </w:rPr>
        <w:t>actions</w:t>
      </w:r>
      <w:r>
        <w:rPr>
          <w:color w:val="231F20"/>
          <w:spacing w:val="-11"/>
        </w:rPr>
        <w:t xml:space="preserve"> </w:t>
      </w:r>
      <w:proofErr w:type="gramStart"/>
      <w:r>
        <w:rPr>
          <w:color w:val="231F20"/>
        </w:rPr>
        <w:t>include;</w:t>
      </w:r>
      <w:proofErr w:type="gramEnd"/>
      <w:r>
        <w:rPr>
          <w:color w:val="231F20"/>
        </w:rPr>
        <w:t xml:space="preserve"> Engage</w:t>
      </w:r>
      <w:r>
        <w:rPr>
          <w:color w:val="231F20"/>
          <w:spacing w:val="-25"/>
        </w:rPr>
        <w:t xml:space="preserve"> </w:t>
      </w:r>
      <w:r>
        <w:rPr>
          <w:color w:val="231F20"/>
        </w:rPr>
        <w:t>the</w:t>
      </w:r>
      <w:r>
        <w:rPr>
          <w:color w:val="231F20"/>
          <w:spacing w:val="-26"/>
        </w:rPr>
        <w:t xml:space="preserve"> </w:t>
      </w:r>
      <w:r>
        <w:rPr>
          <w:color w:val="231F20"/>
        </w:rPr>
        <w:t>private</w:t>
      </w:r>
      <w:r>
        <w:rPr>
          <w:color w:val="231F20"/>
          <w:spacing w:val="-25"/>
        </w:rPr>
        <w:t xml:space="preserve"> </w:t>
      </w:r>
      <w:r>
        <w:rPr>
          <w:color w:val="231F20"/>
        </w:rPr>
        <w:t>sector</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development</w:t>
      </w:r>
      <w:r>
        <w:rPr>
          <w:color w:val="231F20"/>
          <w:spacing w:val="-25"/>
        </w:rPr>
        <w:t xml:space="preserve"> </w:t>
      </w:r>
      <w:r>
        <w:rPr>
          <w:color w:val="231F20"/>
        </w:rPr>
        <w:t>of</w:t>
      </w:r>
      <w:r>
        <w:rPr>
          <w:color w:val="231F20"/>
          <w:spacing w:val="-25"/>
        </w:rPr>
        <w:t xml:space="preserve"> </w:t>
      </w:r>
      <w:r>
        <w:rPr>
          <w:color w:val="231F20"/>
        </w:rPr>
        <w:t>strategic</w:t>
      </w:r>
      <w:r>
        <w:rPr>
          <w:color w:val="231F20"/>
          <w:spacing w:val="-25"/>
        </w:rPr>
        <w:t xml:space="preserve"> </w:t>
      </w:r>
      <w:r>
        <w:rPr>
          <w:color w:val="231F20"/>
        </w:rPr>
        <w:t>plan</w:t>
      </w:r>
      <w:r>
        <w:rPr>
          <w:color w:val="231F20"/>
          <w:spacing w:val="-25"/>
        </w:rPr>
        <w:t xml:space="preserve"> </w:t>
      </w:r>
      <w:r>
        <w:rPr>
          <w:color w:val="231F20"/>
        </w:rPr>
        <w:t>and</w:t>
      </w:r>
      <w:r>
        <w:rPr>
          <w:color w:val="231F20"/>
          <w:spacing w:val="-37"/>
        </w:rPr>
        <w:t xml:space="preserve"> </w:t>
      </w:r>
      <w:r>
        <w:rPr>
          <w:color w:val="231F20"/>
        </w:rPr>
        <w:t>AOPs.</w:t>
      </w:r>
    </w:p>
    <w:p w14:paraId="6A70A22E" w14:textId="77777777" w:rsidR="009948F1" w:rsidRDefault="009948F1">
      <w:pPr>
        <w:pStyle w:val="BodyText"/>
        <w:spacing w:before="2"/>
        <w:rPr>
          <w:sz w:val="24"/>
        </w:rPr>
      </w:pPr>
    </w:p>
    <w:p w14:paraId="7E0AC19B" w14:textId="77777777" w:rsidR="009948F1" w:rsidRDefault="00BC0563">
      <w:pPr>
        <w:pStyle w:val="ListParagraph"/>
        <w:numPr>
          <w:ilvl w:val="3"/>
          <w:numId w:val="294"/>
        </w:numPr>
        <w:tabs>
          <w:tab w:val="left" w:pos="926"/>
        </w:tabs>
        <w:spacing w:line="264" w:lineRule="auto"/>
        <w:ind w:left="171" w:right="160" w:firstLine="40"/>
      </w:pPr>
      <w:r>
        <w:rPr>
          <w:color w:val="231F20"/>
        </w:rPr>
        <w:t>Promote</w:t>
      </w:r>
      <w:r>
        <w:rPr>
          <w:color w:val="231F20"/>
          <w:spacing w:val="-22"/>
        </w:rPr>
        <w:t xml:space="preserve"> </w:t>
      </w:r>
      <w:r>
        <w:rPr>
          <w:color w:val="231F20"/>
        </w:rPr>
        <w:t>joint</w:t>
      </w:r>
      <w:r>
        <w:rPr>
          <w:color w:val="231F20"/>
          <w:spacing w:val="-21"/>
        </w:rPr>
        <w:t xml:space="preserve"> </w:t>
      </w:r>
      <w:r>
        <w:rPr>
          <w:color w:val="231F20"/>
        </w:rPr>
        <w:t>(public</w:t>
      </w:r>
      <w:r>
        <w:rPr>
          <w:color w:val="231F20"/>
          <w:spacing w:val="-21"/>
        </w:rPr>
        <w:t xml:space="preserve"> </w:t>
      </w:r>
      <w:r>
        <w:rPr>
          <w:color w:val="231F20"/>
        </w:rPr>
        <w:t>and</w:t>
      </w:r>
      <w:r>
        <w:rPr>
          <w:color w:val="231F20"/>
          <w:spacing w:val="-21"/>
        </w:rPr>
        <w:t xml:space="preserve"> </w:t>
      </w:r>
      <w:r>
        <w:rPr>
          <w:color w:val="231F20"/>
        </w:rPr>
        <w:t>private</w:t>
      </w:r>
      <w:r>
        <w:rPr>
          <w:color w:val="231F20"/>
          <w:spacing w:val="-21"/>
        </w:rPr>
        <w:t xml:space="preserve"> </w:t>
      </w:r>
      <w:r>
        <w:rPr>
          <w:color w:val="231F20"/>
        </w:rPr>
        <w:t>sector)</w:t>
      </w:r>
      <w:r>
        <w:rPr>
          <w:color w:val="231F20"/>
          <w:spacing w:val="-21"/>
        </w:rPr>
        <w:t xml:space="preserve"> </w:t>
      </w:r>
      <w:r>
        <w:rPr>
          <w:color w:val="231F20"/>
        </w:rPr>
        <w:t>monitoring</w:t>
      </w:r>
      <w:r>
        <w:rPr>
          <w:color w:val="231F20"/>
          <w:spacing w:val="-21"/>
        </w:rPr>
        <w:t xml:space="preserve"> </w:t>
      </w:r>
      <w:r>
        <w:rPr>
          <w:color w:val="231F20"/>
        </w:rPr>
        <w:t>and</w:t>
      </w:r>
      <w:r>
        <w:rPr>
          <w:color w:val="231F20"/>
          <w:spacing w:val="-21"/>
        </w:rPr>
        <w:t xml:space="preserve"> </w:t>
      </w:r>
      <w:r>
        <w:rPr>
          <w:color w:val="231F20"/>
        </w:rPr>
        <w:t>evaluation</w:t>
      </w:r>
      <w:r>
        <w:rPr>
          <w:color w:val="231F20"/>
          <w:spacing w:val="-21"/>
        </w:rPr>
        <w:t xml:space="preserve"> </w:t>
      </w:r>
      <w:r>
        <w:rPr>
          <w:color w:val="231F20"/>
        </w:rPr>
        <w:t>of</w:t>
      </w:r>
      <w:r>
        <w:rPr>
          <w:color w:val="231F20"/>
          <w:spacing w:val="-21"/>
        </w:rPr>
        <w:t xml:space="preserve"> </w:t>
      </w:r>
      <w:r>
        <w:rPr>
          <w:color w:val="231F20"/>
        </w:rPr>
        <w:t>health</w:t>
      </w:r>
      <w:r>
        <w:rPr>
          <w:color w:val="231F20"/>
          <w:spacing w:val="-21"/>
        </w:rPr>
        <w:t xml:space="preserve"> </w:t>
      </w:r>
      <w:r>
        <w:rPr>
          <w:color w:val="231F20"/>
        </w:rPr>
        <w:t>programs.</w:t>
      </w:r>
      <w:r>
        <w:rPr>
          <w:color w:val="231F20"/>
          <w:spacing w:val="-21"/>
        </w:rPr>
        <w:t xml:space="preserve"> </w:t>
      </w:r>
      <w:r>
        <w:rPr>
          <w:color w:val="231F20"/>
          <w:spacing w:val="-4"/>
        </w:rPr>
        <w:t xml:space="preserve">Key </w:t>
      </w:r>
      <w:r>
        <w:rPr>
          <w:color w:val="231F20"/>
        </w:rPr>
        <w:t xml:space="preserve">actions include; Establish &amp; strengthen a joint public-private sector monitoring team; Engage </w:t>
      </w:r>
      <w:r>
        <w:rPr>
          <w:color w:val="231F20"/>
          <w:spacing w:val="-4"/>
        </w:rPr>
        <w:t xml:space="preserve">the </w:t>
      </w:r>
      <w:r>
        <w:rPr>
          <w:color w:val="231F20"/>
        </w:rPr>
        <w:t>private</w:t>
      </w:r>
      <w:r>
        <w:rPr>
          <w:color w:val="231F20"/>
          <w:spacing w:val="-25"/>
        </w:rPr>
        <w:t xml:space="preserve"> </w:t>
      </w:r>
      <w:r>
        <w:rPr>
          <w:color w:val="231F20"/>
        </w:rPr>
        <w:t>sector</w:t>
      </w:r>
      <w:r>
        <w:rPr>
          <w:color w:val="231F20"/>
          <w:spacing w:val="-26"/>
        </w:rPr>
        <w:t xml:space="preserve"> </w:t>
      </w:r>
      <w:r>
        <w:rPr>
          <w:color w:val="231F20"/>
        </w:rPr>
        <w:t>in</w:t>
      </w:r>
      <w:r>
        <w:rPr>
          <w:color w:val="231F20"/>
          <w:spacing w:val="-25"/>
        </w:rPr>
        <w:t xml:space="preserve"> </w:t>
      </w:r>
      <w:r>
        <w:rPr>
          <w:color w:val="231F20"/>
        </w:rPr>
        <w:t>regular</w:t>
      </w:r>
      <w:r>
        <w:rPr>
          <w:color w:val="231F20"/>
          <w:spacing w:val="-25"/>
        </w:rPr>
        <w:t xml:space="preserve"> </w:t>
      </w:r>
      <w:r>
        <w:rPr>
          <w:color w:val="231F20"/>
        </w:rPr>
        <w:t>reviews</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programs.</w:t>
      </w:r>
    </w:p>
    <w:p w14:paraId="7DB26405" w14:textId="77777777" w:rsidR="009948F1" w:rsidRDefault="009948F1">
      <w:pPr>
        <w:pStyle w:val="BodyText"/>
        <w:spacing w:before="10"/>
        <w:rPr>
          <w:sz w:val="21"/>
        </w:rPr>
      </w:pPr>
    </w:p>
    <w:p w14:paraId="3FB418D1" w14:textId="77777777" w:rsidR="009948F1" w:rsidRDefault="00BC0563">
      <w:pPr>
        <w:pStyle w:val="ListParagraph"/>
        <w:numPr>
          <w:ilvl w:val="3"/>
          <w:numId w:val="294"/>
        </w:numPr>
        <w:tabs>
          <w:tab w:val="left" w:pos="906"/>
        </w:tabs>
        <w:spacing w:line="237" w:lineRule="auto"/>
        <w:ind w:left="171" w:right="238" w:firstLine="0"/>
      </w:pPr>
      <w:r>
        <w:rPr>
          <w:color w:val="231F20"/>
        </w:rPr>
        <w:t>Scale up resource mobilization interventions (funding skills e.g. managerial approaches) targeting the private sector. Key actions include; Conduct advocacy meeting with private sector for increase funding of health</w:t>
      </w:r>
      <w:r>
        <w:rPr>
          <w:color w:val="231F20"/>
          <w:spacing w:val="-1"/>
        </w:rPr>
        <w:t xml:space="preserve"> </w:t>
      </w:r>
      <w:r>
        <w:rPr>
          <w:color w:val="231F20"/>
        </w:rPr>
        <w:t>intervention;</w:t>
      </w:r>
    </w:p>
    <w:p w14:paraId="7B28CD48" w14:textId="77777777" w:rsidR="009948F1" w:rsidRDefault="009948F1">
      <w:pPr>
        <w:pStyle w:val="BodyText"/>
        <w:spacing w:before="7"/>
        <w:rPr>
          <w:sz w:val="21"/>
        </w:rPr>
      </w:pPr>
    </w:p>
    <w:p w14:paraId="67584EAC" w14:textId="77777777" w:rsidR="009948F1" w:rsidRDefault="00BC0563">
      <w:pPr>
        <w:pStyle w:val="BodyText"/>
        <w:spacing w:line="237" w:lineRule="auto"/>
        <w:ind w:left="171" w:right="187" w:firstLine="61"/>
      </w:pPr>
      <w:r>
        <w:rPr>
          <w:color w:val="231F20"/>
        </w:rPr>
        <w:t>Build &amp; strengthen capacity of key officers from the public sector, CSOs &amp; NGOs on resource mobilization; Develop innovative ways of resource mobilization (fund raising) targeting the private sector.</w:t>
      </w:r>
    </w:p>
    <w:p w14:paraId="41CEFEB7" w14:textId="77777777" w:rsidR="009948F1" w:rsidRDefault="009948F1">
      <w:pPr>
        <w:spacing w:line="237" w:lineRule="auto"/>
        <w:sectPr w:rsidR="009948F1">
          <w:pgSz w:w="11910" w:h="16840"/>
          <w:pgMar w:top="1320" w:right="1080" w:bottom="1420" w:left="1120" w:header="0" w:footer="1235" w:gutter="0"/>
          <w:cols w:space="720"/>
        </w:sectPr>
      </w:pPr>
    </w:p>
    <w:p w14:paraId="3D0E9157" w14:textId="77777777" w:rsidR="009948F1" w:rsidRDefault="00BC0563">
      <w:pPr>
        <w:pStyle w:val="ListParagraph"/>
        <w:numPr>
          <w:ilvl w:val="3"/>
          <w:numId w:val="294"/>
        </w:numPr>
        <w:tabs>
          <w:tab w:val="left" w:pos="915"/>
        </w:tabs>
        <w:spacing w:before="62" w:line="220" w:lineRule="auto"/>
        <w:ind w:left="186" w:right="186" w:firstLine="0"/>
      </w:pPr>
      <w:bookmarkStart w:id="59" w:name="Page_45"/>
      <w:bookmarkEnd w:id="59"/>
      <w:r>
        <w:rPr>
          <w:color w:val="231F20"/>
        </w:rPr>
        <w:lastRenderedPageBreak/>
        <w:t>Establish</w:t>
      </w:r>
      <w:r>
        <w:rPr>
          <w:color w:val="231F20"/>
          <w:spacing w:val="-6"/>
        </w:rPr>
        <w:t xml:space="preserve"> </w:t>
      </w:r>
      <w:r>
        <w:rPr>
          <w:color w:val="231F20"/>
        </w:rPr>
        <w:t>mechanisms</w:t>
      </w:r>
      <w:r>
        <w:rPr>
          <w:color w:val="231F20"/>
          <w:spacing w:val="-6"/>
        </w:rPr>
        <w:t xml:space="preserve"> </w:t>
      </w:r>
      <w:r>
        <w:rPr>
          <w:color w:val="231F20"/>
        </w:rPr>
        <w:t>for</w:t>
      </w:r>
      <w:r>
        <w:rPr>
          <w:color w:val="231F20"/>
          <w:spacing w:val="-7"/>
        </w:rPr>
        <w:t xml:space="preserve"> </w:t>
      </w:r>
      <w:r>
        <w:rPr>
          <w:color w:val="231F20"/>
        </w:rPr>
        <w:t>resource</w:t>
      </w:r>
      <w:r>
        <w:rPr>
          <w:color w:val="231F20"/>
          <w:spacing w:val="-5"/>
        </w:rPr>
        <w:t xml:space="preserve"> </w:t>
      </w:r>
      <w:r>
        <w:rPr>
          <w:color w:val="231F20"/>
        </w:rPr>
        <w:t>coordination</w:t>
      </w:r>
      <w:r>
        <w:rPr>
          <w:color w:val="231F20"/>
          <w:spacing w:val="-6"/>
        </w:rPr>
        <w:t xml:space="preserve"> </w:t>
      </w:r>
      <w:r>
        <w:rPr>
          <w:color w:val="231F20"/>
        </w:rPr>
        <w:t>through</w:t>
      </w:r>
      <w:r>
        <w:rPr>
          <w:color w:val="231F20"/>
          <w:spacing w:val="-6"/>
        </w:rPr>
        <w:t xml:space="preserve"> </w:t>
      </w:r>
      <w:r>
        <w:rPr>
          <w:color w:val="231F20"/>
        </w:rPr>
        <w:t>common</w:t>
      </w:r>
      <w:r>
        <w:rPr>
          <w:color w:val="231F20"/>
          <w:spacing w:val="-5"/>
        </w:rPr>
        <w:t xml:space="preserve"> </w:t>
      </w:r>
      <w:r>
        <w:rPr>
          <w:color w:val="231F20"/>
        </w:rPr>
        <w:t>basket</w:t>
      </w:r>
      <w:r>
        <w:rPr>
          <w:color w:val="231F20"/>
          <w:spacing w:val="-7"/>
        </w:rPr>
        <w:t xml:space="preserve"> </w:t>
      </w:r>
      <w:r>
        <w:rPr>
          <w:color w:val="231F20"/>
        </w:rPr>
        <w:t>funding</w:t>
      </w:r>
      <w:r>
        <w:rPr>
          <w:color w:val="231F20"/>
          <w:spacing w:val="-6"/>
        </w:rPr>
        <w:t xml:space="preserve"> </w:t>
      </w:r>
      <w:r>
        <w:rPr>
          <w:color w:val="231F20"/>
          <w:spacing w:val="-3"/>
        </w:rPr>
        <w:t xml:space="preserve">models </w:t>
      </w:r>
      <w:r>
        <w:rPr>
          <w:color w:val="231F20"/>
        </w:rPr>
        <w:t xml:space="preserve">such as Joint Funding Agreement, Sector Wide Approaches, and sectorial multi-donor </w:t>
      </w:r>
      <w:r>
        <w:rPr>
          <w:color w:val="231F20"/>
          <w:spacing w:val="-3"/>
        </w:rPr>
        <w:t xml:space="preserve">budget </w:t>
      </w:r>
      <w:r>
        <w:rPr>
          <w:color w:val="231F20"/>
        </w:rPr>
        <w:t>support. Key actions include; Adapt/adopt the existing policy on basket fund and develop guidelines</w:t>
      </w:r>
      <w:r>
        <w:rPr>
          <w:color w:val="231F20"/>
          <w:spacing w:val="-21"/>
        </w:rPr>
        <w:t xml:space="preserve"> </w:t>
      </w:r>
      <w:r>
        <w:rPr>
          <w:color w:val="231F20"/>
        </w:rPr>
        <w:t>for</w:t>
      </w:r>
      <w:r>
        <w:rPr>
          <w:color w:val="231F20"/>
          <w:spacing w:val="-21"/>
        </w:rPr>
        <w:t xml:space="preserve"> </w:t>
      </w:r>
      <w:r>
        <w:rPr>
          <w:color w:val="231F20"/>
        </w:rPr>
        <w:t>its</w:t>
      </w:r>
      <w:r>
        <w:rPr>
          <w:color w:val="231F20"/>
          <w:spacing w:val="-21"/>
        </w:rPr>
        <w:t xml:space="preserve"> </w:t>
      </w:r>
      <w:r>
        <w:rPr>
          <w:color w:val="231F20"/>
        </w:rPr>
        <w:t>implementation;</w:t>
      </w:r>
      <w:r>
        <w:rPr>
          <w:color w:val="231F20"/>
          <w:spacing w:val="-21"/>
        </w:rPr>
        <w:t xml:space="preserve"> </w:t>
      </w:r>
      <w:r>
        <w:rPr>
          <w:color w:val="231F20"/>
        </w:rPr>
        <w:t>Establish</w:t>
      </w:r>
      <w:r>
        <w:rPr>
          <w:color w:val="231F20"/>
          <w:spacing w:val="-21"/>
        </w:rPr>
        <w:t xml:space="preserve"> </w:t>
      </w:r>
      <w:r>
        <w:rPr>
          <w:color w:val="231F20"/>
        </w:rPr>
        <w:t>a</w:t>
      </w:r>
      <w:r>
        <w:rPr>
          <w:color w:val="231F20"/>
          <w:spacing w:val="-21"/>
        </w:rPr>
        <w:t xml:space="preserve"> </w:t>
      </w:r>
      <w:r>
        <w:rPr>
          <w:color w:val="231F20"/>
        </w:rPr>
        <w:t>common</w:t>
      </w:r>
      <w:r>
        <w:rPr>
          <w:color w:val="231F20"/>
          <w:spacing w:val="-21"/>
        </w:rPr>
        <w:t xml:space="preserve"> </w:t>
      </w:r>
      <w:r>
        <w:rPr>
          <w:color w:val="231F20"/>
        </w:rPr>
        <w:t>basket</w:t>
      </w:r>
      <w:r>
        <w:rPr>
          <w:color w:val="231F20"/>
          <w:spacing w:val="-20"/>
        </w:rPr>
        <w:t xml:space="preserve"> </w:t>
      </w:r>
      <w:r>
        <w:rPr>
          <w:color w:val="231F20"/>
        </w:rPr>
        <w:t>funding</w:t>
      </w:r>
      <w:r>
        <w:rPr>
          <w:color w:val="231F20"/>
          <w:spacing w:val="-21"/>
        </w:rPr>
        <w:t xml:space="preserve"> </w:t>
      </w:r>
      <w:r>
        <w:rPr>
          <w:color w:val="231F20"/>
        </w:rPr>
        <w:t>through</w:t>
      </w:r>
      <w:r>
        <w:rPr>
          <w:color w:val="231F20"/>
          <w:spacing w:val="-21"/>
        </w:rPr>
        <w:t xml:space="preserve"> </w:t>
      </w:r>
      <w:r>
        <w:rPr>
          <w:color w:val="231F20"/>
        </w:rPr>
        <w:t>options</w:t>
      </w:r>
      <w:r>
        <w:rPr>
          <w:color w:val="231F20"/>
          <w:spacing w:val="-21"/>
        </w:rPr>
        <w:t xml:space="preserve"> </w:t>
      </w:r>
      <w:r>
        <w:rPr>
          <w:color w:val="231F20"/>
        </w:rPr>
        <w:t>such</w:t>
      </w:r>
      <w:r>
        <w:rPr>
          <w:color w:val="231F20"/>
          <w:spacing w:val="-21"/>
        </w:rPr>
        <w:t xml:space="preserve"> </w:t>
      </w:r>
      <w:r>
        <w:rPr>
          <w:color w:val="231F20"/>
        </w:rPr>
        <w:t>as</w:t>
      </w:r>
      <w:r>
        <w:rPr>
          <w:color w:val="231F20"/>
          <w:spacing w:val="-21"/>
        </w:rPr>
        <w:t xml:space="preserve"> </w:t>
      </w:r>
      <w:r>
        <w:rPr>
          <w:color w:val="231F20"/>
          <w:spacing w:val="-3"/>
        </w:rPr>
        <w:t xml:space="preserve">joint </w:t>
      </w:r>
      <w:r>
        <w:rPr>
          <w:color w:val="231F20"/>
        </w:rPr>
        <w:t>funding</w:t>
      </w:r>
      <w:r>
        <w:rPr>
          <w:color w:val="231F20"/>
          <w:spacing w:val="-9"/>
        </w:rPr>
        <w:t xml:space="preserve"> </w:t>
      </w:r>
      <w:r>
        <w:rPr>
          <w:color w:val="231F20"/>
        </w:rPr>
        <w:t>agreements,</w:t>
      </w:r>
      <w:r>
        <w:rPr>
          <w:color w:val="231F20"/>
          <w:spacing w:val="-9"/>
        </w:rPr>
        <w:t xml:space="preserve"> </w:t>
      </w:r>
      <w:r>
        <w:rPr>
          <w:color w:val="231F20"/>
        </w:rPr>
        <w:t>Sector-Wide</w:t>
      </w:r>
      <w:r>
        <w:rPr>
          <w:color w:val="231F20"/>
          <w:spacing w:val="-20"/>
        </w:rPr>
        <w:t xml:space="preserve"> </w:t>
      </w:r>
      <w:r>
        <w:rPr>
          <w:color w:val="231F20"/>
        </w:rPr>
        <w:t>Approaches</w:t>
      </w:r>
      <w:r>
        <w:rPr>
          <w:color w:val="231F20"/>
          <w:spacing w:val="-8"/>
        </w:rPr>
        <w:t xml:space="preserve"> </w:t>
      </w:r>
      <w:r>
        <w:rPr>
          <w:color w:val="231F20"/>
        </w:rPr>
        <w:t>(</w:t>
      </w:r>
      <w:proofErr w:type="spellStart"/>
      <w:r>
        <w:rPr>
          <w:color w:val="231F20"/>
        </w:rPr>
        <w:t>SWAps</w:t>
      </w:r>
      <w:proofErr w:type="spellEnd"/>
      <w:r>
        <w:rPr>
          <w:color w:val="231F20"/>
        </w:rPr>
        <w:t>)</w:t>
      </w:r>
      <w:r>
        <w:rPr>
          <w:color w:val="231F20"/>
          <w:spacing w:val="-9"/>
        </w:rPr>
        <w:t xml:space="preserve"> </w:t>
      </w:r>
      <w:r>
        <w:rPr>
          <w:color w:val="231F20"/>
        </w:rPr>
        <w:t>and</w:t>
      </w:r>
      <w:r>
        <w:rPr>
          <w:color w:val="231F20"/>
          <w:spacing w:val="-9"/>
        </w:rPr>
        <w:t xml:space="preserve"> </w:t>
      </w:r>
      <w:r>
        <w:rPr>
          <w:color w:val="231F20"/>
        </w:rPr>
        <w:t>sectoral</w:t>
      </w:r>
      <w:r>
        <w:rPr>
          <w:color w:val="231F20"/>
          <w:spacing w:val="-8"/>
        </w:rPr>
        <w:t xml:space="preserve"> </w:t>
      </w:r>
      <w:r>
        <w:rPr>
          <w:color w:val="231F20"/>
        </w:rPr>
        <w:t>multi-donor</w:t>
      </w:r>
      <w:r>
        <w:rPr>
          <w:color w:val="231F20"/>
          <w:spacing w:val="-9"/>
        </w:rPr>
        <w:t xml:space="preserve"> </w:t>
      </w:r>
      <w:r>
        <w:rPr>
          <w:color w:val="231F20"/>
        </w:rPr>
        <w:t>budget</w:t>
      </w:r>
      <w:r>
        <w:rPr>
          <w:color w:val="231F20"/>
          <w:spacing w:val="-8"/>
        </w:rPr>
        <w:t xml:space="preserve"> </w:t>
      </w:r>
      <w:r>
        <w:rPr>
          <w:color w:val="231F20"/>
        </w:rPr>
        <w:t xml:space="preserve">support </w:t>
      </w:r>
      <w:proofErr w:type="spellStart"/>
      <w:r>
        <w:rPr>
          <w:color w:val="231F20"/>
        </w:rPr>
        <w:t>etc</w:t>
      </w:r>
      <w:proofErr w:type="spellEnd"/>
      <w:r>
        <w:rPr>
          <w:color w:val="231F20"/>
          <w:spacing w:val="-5"/>
        </w:rPr>
        <w:t xml:space="preserve"> </w:t>
      </w:r>
      <w:r>
        <w:rPr>
          <w:color w:val="231F20"/>
        </w:rPr>
        <w:t>that</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coordinated</w:t>
      </w:r>
      <w:r>
        <w:rPr>
          <w:color w:val="231F20"/>
          <w:spacing w:val="-4"/>
        </w:rPr>
        <w:t xml:space="preserve"> </w:t>
      </w:r>
      <w:r>
        <w:rPr>
          <w:color w:val="231F20"/>
        </w:rPr>
        <w:t>by</w:t>
      </w:r>
      <w:r>
        <w:rPr>
          <w:color w:val="231F20"/>
          <w:spacing w:val="-4"/>
        </w:rPr>
        <w:t xml:space="preserve"> </w:t>
      </w:r>
      <w:r>
        <w:rPr>
          <w:color w:val="231F20"/>
        </w:rPr>
        <w:t>Health</w:t>
      </w:r>
      <w:r>
        <w:rPr>
          <w:color w:val="231F20"/>
          <w:spacing w:val="-4"/>
        </w:rPr>
        <w:t xml:space="preserve"> </w:t>
      </w:r>
      <w:r>
        <w:rPr>
          <w:color w:val="231F20"/>
        </w:rPr>
        <w:t>Partners</w:t>
      </w:r>
      <w:r>
        <w:rPr>
          <w:color w:val="231F20"/>
          <w:spacing w:val="-4"/>
        </w:rPr>
        <w:t xml:space="preserve"> </w:t>
      </w:r>
      <w:r>
        <w:rPr>
          <w:color w:val="231F20"/>
        </w:rPr>
        <w:t>Coordinating</w:t>
      </w:r>
      <w:r>
        <w:rPr>
          <w:color w:val="231F20"/>
          <w:spacing w:val="-4"/>
        </w:rPr>
        <w:t xml:space="preserve"> </w:t>
      </w:r>
      <w:r>
        <w:rPr>
          <w:color w:val="231F20"/>
        </w:rPr>
        <w:t>Committee</w:t>
      </w:r>
      <w:r>
        <w:rPr>
          <w:color w:val="231F20"/>
          <w:spacing w:val="-4"/>
        </w:rPr>
        <w:t xml:space="preserve"> </w:t>
      </w:r>
      <w:r>
        <w:rPr>
          <w:color w:val="231F20"/>
        </w:rPr>
        <w:t>(HPCC)</w:t>
      </w:r>
      <w:r>
        <w:rPr>
          <w:color w:val="231F20"/>
          <w:spacing w:val="-4"/>
        </w:rPr>
        <w:t xml:space="preserve"> </w:t>
      </w:r>
      <w:r>
        <w:rPr>
          <w:color w:val="231F20"/>
        </w:rPr>
        <w:t>which</w:t>
      </w:r>
      <w:r>
        <w:rPr>
          <w:color w:val="231F20"/>
          <w:spacing w:val="-4"/>
        </w:rPr>
        <w:t xml:space="preserve"> </w:t>
      </w:r>
      <w:r>
        <w:rPr>
          <w:color w:val="231F20"/>
        </w:rPr>
        <w:t>serves</w:t>
      </w:r>
      <w:r>
        <w:rPr>
          <w:color w:val="231F20"/>
          <w:spacing w:val="-4"/>
        </w:rPr>
        <w:t xml:space="preserve"> </w:t>
      </w:r>
      <w:r>
        <w:rPr>
          <w:color w:val="231F20"/>
          <w:spacing w:val="-6"/>
        </w:rPr>
        <w:t xml:space="preserve">as </w:t>
      </w:r>
      <w:r>
        <w:rPr>
          <w:color w:val="231F20"/>
        </w:rPr>
        <w:t>government</w:t>
      </w:r>
      <w:r>
        <w:rPr>
          <w:color w:val="231F20"/>
          <w:spacing w:val="-26"/>
        </w:rPr>
        <w:t xml:space="preserve"> </w:t>
      </w:r>
      <w:r>
        <w:rPr>
          <w:color w:val="231F20"/>
        </w:rPr>
        <w:t>coordinating</w:t>
      </w:r>
      <w:r>
        <w:rPr>
          <w:color w:val="231F20"/>
          <w:spacing w:val="-25"/>
        </w:rPr>
        <w:t xml:space="preserve"> </w:t>
      </w:r>
      <w:r>
        <w:rPr>
          <w:color w:val="231F20"/>
        </w:rPr>
        <w:t>body</w:t>
      </w:r>
      <w:r>
        <w:rPr>
          <w:color w:val="231F20"/>
          <w:spacing w:val="-25"/>
        </w:rPr>
        <w:t xml:space="preserve"> </w:t>
      </w:r>
      <w:r>
        <w:rPr>
          <w:color w:val="231F20"/>
        </w:rPr>
        <w:t>with</w:t>
      </w:r>
      <w:r>
        <w:rPr>
          <w:color w:val="231F20"/>
          <w:spacing w:val="-25"/>
        </w:rPr>
        <w:t xml:space="preserve"> </w:t>
      </w:r>
      <w:r>
        <w:rPr>
          <w:color w:val="231F20"/>
        </w:rPr>
        <w:t>other</w:t>
      </w:r>
      <w:r>
        <w:rPr>
          <w:color w:val="231F20"/>
          <w:spacing w:val="-25"/>
        </w:rPr>
        <w:t xml:space="preserve"> </w:t>
      </w:r>
      <w:r>
        <w:rPr>
          <w:color w:val="231F20"/>
        </w:rPr>
        <w:t>development</w:t>
      </w:r>
      <w:r>
        <w:rPr>
          <w:color w:val="231F20"/>
          <w:spacing w:val="-25"/>
        </w:rPr>
        <w:t xml:space="preserve"> </w:t>
      </w:r>
      <w:r>
        <w:rPr>
          <w:color w:val="231F20"/>
        </w:rPr>
        <w:t>partners</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level.</w:t>
      </w:r>
    </w:p>
    <w:p w14:paraId="72EA8ECB" w14:textId="77777777" w:rsidR="009948F1" w:rsidRDefault="009948F1">
      <w:pPr>
        <w:pStyle w:val="BodyText"/>
        <w:spacing w:before="2"/>
      </w:pPr>
    </w:p>
    <w:p w14:paraId="2B74F9EF" w14:textId="237D0E92" w:rsidR="009948F1" w:rsidRDefault="00BC0563">
      <w:pPr>
        <w:pStyle w:val="ListParagraph"/>
        <w:numPr>
          <w:ilvl w:val="3"/>
          <w:numId w:val="294"/>
        </w:numPr>
        <w:tabs>
          <w:tab w:val="left" w:pos="929"/>
        </w:tabs>
        <w:ind w:left="186" w:right="186" w:firstLine="0"/>
      </w:pPr>
      <w:r>
        <w:rPr>
          <w:color w:val="231F20"/>
        </w:rPr>
        <w:t>Promote the establishment of an inter-sectorial ministerial forum at all levels to facilitate inter-sectorial</w:t>
      </w:r>
      <w:r>
        <w:rPr>
          <w:color w:val="231F20"/>
          <w:spacing w:val="-13"/>
        </w:rPr>
        <w:t xml:space="preserve"> </w:t>
      </w:r>
      <w:r>
        <w:rPr>
          <w:color w:val="231F20"/>
        </w:rPr>
        <w:t>collaboration,</w:t>
      </w:r>
      <w:r>
        <w:rPr>
          <w:color w:val="231F20"/>
          <w:spacing w:val="-12"/>
        </w:rPr>
        <w:t xml:space="preserve"> </w:t>
      </w:r>
      <w:r>
        <w:rPr>
          <w:color w:val="231F20"/>
        </w:rPr>
        <w:t>involving</w:t>
      </w:r>
      <w:r>
        <w:rPr>
          <w:color w:val="231F20"/>
          <w:spacing w:val="-12"/>
        </w:rPr>
        <w:t xml:space="preserve"> </w:t>
      </w:r>
      <w:r>
        <w:rPr>
          <w:color w:val="231F20"/>
        </w:rPr>
        <w:t>all</w:t>
      </w:r>
      <w:r>
        <w:rPr>
          <w:color w:val="231F20"/>
          <w:spacing w:val="-13"/>
        </w:rPr>
        <w:t xml:space="preserve"> </w:t>
      </w:r>
      <w:r>
        <w:rPr>
          <w:color w:val="231F20"/>
        </w:rPr>
        <w:t>relevant</w:t>
      </w:r>
      <w:r>
        <w:rPr>
          <w:color w:val="231F20"/>
          <w:spacing w:val="-13"/>
        </w:rPr>
        <w:t xml:space="preserve"> </w:t>
      </w:r>
      <w:r>
        <w:rPr>
          <w:color w:val="231F20"/>
        </w:rPr>
        <w:t>MDAs</w:t>
      </w:r>
      <w:r>
        <w:rPr>
          <w:color w:val="231F20"/>
          <w:spacing w:val="-13"/>
        </w:rPr>
        <w:t xml:space="preserve"> </w:t>
      </w:r>
      <w:r>
        <w:rPr>
          <w:color w:val="231F20"/>
        </w:rPr>
        <w:t>directly</w:t>
      </w:r>
      <w:r>
        <w:rPr>
          <w:color w:val="231F20"/>
          <w:spacing w:val="-13"/>
        </w:rPr>
        <w:t xml:space="preserve"> </w:t>
      </w:r>
      <w:r>
        <w:rPr>
          <w:color w:val="231F20"/>
        </w:rPr>
        <w:t>engaged</w:t>
      </w:r>
      <w:r>
        <w:rPr>
          <w:color w:val="231F20"/>
          <w:spacing w:val="-12"/>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implementation</w:t>
      </w:r>
      <w:r>
        <w:rPr>
          <w:color w:val="231F20"/>
          <w:spacing w:val="-12"/>
        </w:rPr>
        <w:t xml:space="preserve"> </w:t>
      </w:r>
      <w:r>
        <w:rPr>
          <w:color w:val="231F20"/>
          <w:spacing w:val="-6"/>
        </w:rPr>
        <w:t xml:space="preserve">of </w:t>
      </w:r>
      <w:r>
        <w:rPr>
          <w:color w:val="231F20"/>
        </w:rPr>
        <w:t xml:space="preserve">specific health </w:t>
      </w:r>
      <w:proofErr w:type="spellStart"/>
      <w:r>
        <w:rPr>
          <w:color w:val="231F20"/>
        </w:rPr>
        <w:t>programmes</w:t>
      </w:r>
      <w:proofErr w:type="spellEnd"/>
      <w:r>
        <w:rPr>
          <w:color w:val="231F20"/>
        </w:rPr>
        <w:t>. Key action include;</w:t>
      </w:r>
      <w:r w:rsidR="00FC31BA">
        <w:rPr>
          <w:color w:val="231F20"/>
        </w:rPr>
        <w:t xml:space="preserve"> </w:t>
      </w:r>
      <w:r>
        <w:rPr>
          <w:color w:val="231F20"/>
        </w:rPr>
        <w:t xml:space="preserve">Revamp the inter-sectorial ministerial forum </w:t>
      </w:r>
      <w:r>
        <w:rPr>
          <w:color w:val="231F20"/>
          <w:spacing w:val="-6"/>
        </w:rPr>
        <w:t xml:space="preserve">at </w:t>
      </w:r>
      <w:r>
        <w:rPr>
          <w:color w:val="231F20"/>
        </w:rPr>
        <w:t>State</w:t>
      </w:r>
      <w:r>
        <w:rPr>
          <w:color w:val="231F20"/>
          <w:spacing w:val="-15"/>
        </w:rPr>
        <w:t xml:space="preserve"> </w:t>
      </w:r>
      <w:r>
        <w:rPr>
          <w:color w:val="231F20"/>
        </w:rPr>
        <w:t>level</w:t>
      </w:r>
      <w:r>
        <w:rPr>
          <w:color w:val="231F20"/>
          <w:spacing w:val="-15"/>
        </w:rPr>
        <w:t xml:space="preserve"> </w:t>
      </w:r>
      <w:r>
        <w:rPr>
          <w:color w:val="231F20"/>
        </w:rPr>
        <w:t>to</w:t>
      </w:r>
      <w:r>
        <w:rPr>
          <w:color w:val="231F20"/>
          <w:spacing w:val="-15"/>
        </w:rPr>
        <w:t xml:space="preserve"> </w:t>
      </w:r>
      <w:r>
        <w:rPr>
          <w:color w:val="231F20"/>
        </w:rPr>
        <w:t>facilitate</w:t>
      </w:r>
      <w:r>
        <w:rPr>
          <w:color w:val="231F20"/>
          <w:spacing w:val="-15"/>
        </w:rPr>
        <w:t xml:space="preserve"> </w:t>
      </w:r>
      <w:r>
        <w:rPr>
          <w:color w:val="231F20"/>
        </w:rPr>
        <w:t>inter-sectorial</w:t>
      </w:r>
      <w:r>
        <w:rPr>
          <w:color w:val="231F20"/>
          <w:spacing w:val="-14"/>
        </w:rPr>
        <w:t xml:space="preserve"> </w:t>
      </w:r>
      <w:r>
        <w:rPr>
          <w:color w:val="231F20"/>
        </w:rPr>
        <w:t>collaboration,</w:t>
      </w:r>
      <w:r>
        <w:rPr>
          <w:color w:val="231F20"/>
          <w:spacing w:val="-14"/>
        </w:rPr>
        <w:t xml:space="preserve"> </w:t>
      </w:r>
      <w:r>
        <w:rPr>
          <w:color w:val="231F20"/>
        </w:rPr>
        <w:t>involving</w:t>
      </w:r>
      <w:r>
        <w:rPr>
          <w:color w:val="231F20"/>
          <w:spacing w:val="-14"/>
        </w:rPr>
        <w:t xml:space="preserve"> </w:t>
      </w:r>
      <w:r>
        <w:rPr>
          <w:color w:val="231F20"/>
        </w:rPr>
        <w:t>all</w:t>
      </w:r>
      <w:r>
        <w:rPr>
          <w:color w:val="231F20"/>
          <w:spacing w:val="-15"/>
        </w:rPr>
        <w:t xml:space="preserve"> </w:t>
      </w:r>
      <w:r>
        <w:rPr>
          <w:color w:val="231F20"/>
        </w:rPr>
        <w:t>relevant</w:t>
      </w:r>
      <w:r>
        <w:rPr>
          <w:color w:val="231F20"/>
          <w:spacing w:val="-15"/>
        </w:rPr>
        <w:t xml:space="preserve"> </w:t>
      </w:r>
      <w:r>
        <w:rPr>
          <w:color w:val="231F20"/>
        </w:rPr>
        <w:t>MDAs</w:t>
      </w:r>
      <w:r>
        <w:rPr>
          <w:color w:val="231F20"/>
          <w:spacing w:val="-15"/>
        </w:rPr>
        <w:t xml:space="preserve"> </w:t>
      </w:r>
      <w:r>
        <w:rPr>
          <w:color w:val="231F20"/>
        </w:rPr>
        <w:t>directly</w:t>
      </w:r>
      <w:r>
        <w:rPr>
          <w:color w:val="231F20"/>
          <w:spacing w:val="-15"/>
        </w:rPr>
        <w:t xml:space="preserve"> </w:t>
      </w:r>
      <w:r>
        <w:rPr>
          <w:color w:val="231F20"/>
        </w:rPr>
        <w:t>engaged</w:t>
      </w:r>
      <w:r>
        <w:rPr>
          <w:color w:val="231F20"/>
          <w:spacing w:val="-14"/>
        </w:rPr>
        <w:t xml:space="preserve"> </w:t>
      </w:r>
      <w:r>
        <w:rPr>
          <w:color w:val="231F20"/>
          <w:spacing w:val="-6"/>
        </w:rPr>
        <w:t xml:space="preserve">in </w:t>
      </w:r>
      <w:r>
        <w:rPr>
          <w:color w:val="231F20"/>
        </w:rPr>
        <w:t xml:space="preserve">the implementation of specific health </w:t>
      </w:r>
      <w:proofErr w:type="spellStart"/>
      <w:r>
        <w:rPr>
          <w:color w:val="231F20"/>
        </w:rPr>
        <w:t>programmes</w:t>
      </w:r>
      <w:proofErr w:type="spellEnd"/>
      <w:r>
        <w:rPr>
          <w:color w:val="231F20"/>
        </w:rPr>
        <w:t>;</w:t>
      </w:r>
      <w:r w:rsidR="00FC31BA">
        <w:rPr>
          <w:color w:val="231F20"/>
        </w:rPr>
        <w:t xml:space="preserve"> </w:t>
      </w:r>
      <w:proofErr w:type="spellStart"/>
      <w:r>
        <w:rPr>
          <w:color w:val="231F20"/>
        </w:rPr>
        <w:t>Organise</w:t>
      </w:r>
      <w:proofErr w:type="spellEnd"/>
      <w:r>
        <w:rPr>
          <w:color w:val="231F20"/>
        </w:rPr>
        <w:t xml:space="preserve"> regular meetings with all relevant MDAs;</w:t>
      </w:r>
      <w:r>
        <w:rPr>
          <w:color w:val="231F20"/>
          <w:spacing w:val="-26"/>
        </w:rPr>
        <w:t xml:space="preserve"> </w:t>
      </w:r>
      <w:r>
        <w:rPr>
          <w:color w:val="231F20"/>
        </w:rPr>
        <w:t>Disseminate</w:t>
      </w:r>
      <w:r>
        <w:rPr>
          <w:color w:val="231F20"/>
          <w:spacing w:val="-25"/>
        </w:rPr>
        <w:t xml:space="preserve"> </w:t>
      </w:r>
      <w:r>
        <w:rPr>
          <w:color w:val="231F20"/>
        </w:rPr>
        <w:t>information</w:t>
      </w:r>
      <w:r>
        <w:rPr>
          <w:color w:val="231F20"/>
          <w:spacing w:val="-25"/>
        </w:rPr>
        <w:t xml:space="preserve"> </w:t>
      </w:r>
      <w:r>
        <w:rPr>
          <w:color w:val="231F20"/>
        </w:rPr>
        <w:t>and</w:t>
      </w:r>
      <w:r>
        <w:rPr>
          <w:color w:val="231F20"/>
          <w:spacing w:val="-25"/>
        </w:rPr>
        <w:t xml:space="preserve"> </w:t>
      </w:r>
      <w:r>
        <w:rPr>
          <w:color w:val="231F20"/>
        </w:rPr>
        <w:t>reports</w:t>
      </w:r>
      <w:r>
        <w:rPr>
          <w:color w:val="231F20"/>
          <w:spacing w:val="-25"/>
        </w:rPr>
        <w:t xml:space="preserve"> </w:t>
      </w:r>
      <w:r>
        <w:rPr>
          <w:color w:val="231F20"/>
        </w:rPr>
        <w:t>of</w:t>
      </w:r>
      <w:r>
        <w:rPr>
          <w:color w:val="231F20"/>
          <w:spacing w:val="-25"/>
        </w:rPr>
        <w:t xml:space="preserve"> </w:t>
      </w:r>
      <w:r>
        <w:rPr>
          <w:color w:val="231F20"/>
        </w:rPr>
        <w:t>meetings</w:t>
      </w:r>
      <w:r>
        <w:rPr>
          <w:color w:val="231F20"/>
          <w:spacing w:val="-25"/>
        </w:rPr>
        <w:t xml:space="preserve"> </w:t>
      </w:r>
      <w:r>
        <w:rPr>
          <w:color w:val="231F20"/>
        </w:rPr>
        <w:t>and</w:t>
      </w:r>
      <w:r>
        <w:rPr>
          <w:color w:val="231F20"/>
          <w:spacing w:val="-25"/>
        </w:rPr>
        <w:t xml:space="preserve"> </w:t>
      </w:r>
      <w:r>
        <w:rPr>
          <w:color w:val="231F20"/>
        </w:rPr>
        <w:t>develop</w:t>
      </w:r>
      <w:r>
        <w:rPr>
          <w:color w:val="231F20"/>
          <w:spacing w:val="-25"/>
        </w:rPr>
        <w:t xml:space="preserve"> </w:t>
      </w:r>
      <w:r>
        <w:rPr>
          <w:color w:val="231F20"/>
        </w:rPr>
        <w:t>a</w:t>
      </w:r>
      <w:r>
        <w:rPr>
          <w:color w:val="231F20"/>
          <w:spacing w:val="-25"/>
        </w:rPr>
        <w:t xml:space="preserve"> </w:t>
      </w:r>
      <w:r>
        <w:rPr>
          <w:color w:val="231F20"/>
        </w:rPr>
        <w:t>feedback</w:t>
      </w:r>
      <w:r>
        <w:rPr>
          <w:color w:val="231F20"/>
          <w:spacing w:val="-25"/>
        </w:rPr>
        <w:t xml:space="preserve"> </w:t>
      </w:r>
      <w:r>
        <w:rPr>
          <w:color w:val="231F20"/>
        </w:rPr>
        <w:t>mechanism.</w:t>
      </w:r>
    </w:p>
    <w:p w14:paraId="41A506CA" w14:textId="77777777" w:rsidR="009948F1" w:rsidRDefault="009948F1">
      <w:pPr>
        <w:pStyle w:val="BodyText"/>
        <w:spacing w:before="7"/>
      </w:pPr>
    </w:p>
    <w:p w14:paraId="7302395D" w14:textId="0FA4C0EC" w:rsidR="009948F1" w:rsidRDefault="00BC0563">
      <w:pPr>
        <w:pStyle w:val="ListParagraph"/>
        <w:numPr>
          <w:ilvl w:val="3"/>
          <w:numId w:val="294"/>
        </w:numPr>
        <w:tabs>
          <w:tab w:val="left" w:pos="1046"/>
        </w:tabs>
        <w:ind w:left="186" w:right="186" w:firstLine="0"/>
      </w:pPr>
      <w:r>
        <w:rPr>
          <w:color w:val="231F20"/>
        </w:rPr>
        <w:t xml:space="preserve">Promote effective partnership with professional groups and other relevant stakeholders through jointly setting standards of training by health institutions, subsequent practice </w:t>
      </w:r>
      <w:r>
        <w:rPr>
          <w:color w:val="231F20"/>
          <w:spacing w:val="-4"/>
        </w:rPr>
        <w:t xml:space="preserve">and </w:t>
      </w:r>
      <w:r>
        <w:rPr>
          <w:color w:val="231F20"/>
        </w:rPr>
        <w:t>professional competency assessments. Key actions include;</w:t>
      </w:r>
      <w:r w:rsidR="00FC31BA">
        <w:rPr>
          <w:color w:val="231F20"/>
        </w:rPr>
        <w:t xml:space="preserve"> </w:t>
      </w:r>
      <w:r>
        <w:rPr>
          <w:color w:val="231F20"/>
        </w:rPr>
        <w:t xml:space="preserve">engagement of private </w:t>
      </w:r>
      <w:r>
        <w:rPr>
          <w:color w:val="231F20"/>
          <w:spacing w:val="-4"/>
        </w:rPr>
        <w:t xml:space="preserve">sector, </w:t>
      </w:r>
      <w:r>
        <w:rPr>
          <w:color w:val="231F20"/>
        </w:rPr>
        <w:t>professional</w:t>
      </w:r>
      <w:r>
        <w:rPr>
          <w:color w:val="231F20"/>
          <w:spacing w:val="-25"/>
        </w:rPr>
        <w:t xml:space="preserve"> </w:t>
      </w:r>
      <w:r>
        <w:rPr>
          <w:color w:val="231F20"/>
        </w:rPr>
        <w:t>groups,</w:t>
      </w:r>
      <w:r>
        <w:rPr>
          <w:color w:val="231F20"/>
          <w:spacing w:val="-24"/>
        </w:rPr>
        <w:t xml:space="preserve"> </w:t>
      </w:r>
      <w:r>
        <w:rPr>
          <w:color w:val="231F20"/>
        </w:rPr>
        <w:t>training</w:t>
      </w:r>
      <w:r>
        <w:rPr>
          <w:color w:val="231F20"/>
          <w:spacing w:val="-24"/>
        </w:rPr>
        <w:t xml:space="preserve"> </w:t>
      </w:r>
      <w:r>
        <w:rPr>
          <w:color w:val="231F20"/>
        </w:rPr>
        <w:t>institutions</w:t>
      </w:r>
      <w:r>
        <w:rPr>
          <w:color w:val="231F20"/>
          <w:spacing w:val="-24"/>
        </w:rPr>
        <w:t xml:space="preserve"> </w:t>
      </w:r>
      <w:r>
        <w:rPr>
          <w:color w:val="231F20"/>
        </w:rPr>
        <w:t>&amp;</w:t>
      </w:r>
      <w:r>
        <w:rPr>
          <w:color w:val="231F20"/>
          <w:spacing w:val="-24"/>
        </w:rPr>
        <w:t xml:space="preserve"> </w:t>
      </w:r>
      <w:r>
        <w:rPr>
          <w:color w:val="231F20"/>
        </w:rPr>
        <w:t>traditional</w:t>
      </w:r>
      <w:r>
        <w:rPr>
          <w:color w:val="231F20"/>
          <w:spacing w:val="-24"/>
        </w:rPr>
        <w:t xml:space="preserve"> </w:t>
      </w:r>
      <w:r>
        <w:rPr>
          <w:color w:val="231F20"/>
        </w:rPr>
        <w:t>medicine</w:t>
      </w:r>
      <w:r>
        <w:rPr>
          <w:color w:val="231F20"/>
          <w:spacing w:val="-24"/>
        </w:rPr>
        <w:t xml:space="preserve"> </w:t>
      </w:r>
      <w:r>
        <w:rPr>
          <w:color w:val="231F20"/>
        </w:rPr>
        <w:t>practitioners</w:t>
      </w:r>
      <w:r>
        <w:rPr>
          <w:color w:val="231F20"/>
          <w:spacing w:val="-25"/>
        </w:rPr>
        <w:t xml:space="preserve"> </w:t>
      </w:r>
      <w:r>
        <w:rPr>
          <w:color w:val="231F20"/>
        </w:rPr>
        <w:t>by</w:t>
      </w:r>
      <w:r>
        <w:rPr>
          <w:color w:val="231F20"/>
          <w:spacing w:val="-24"/>
        </w:rPr>
        <w:t xml:space="preserve"> </w:t>
      </w:r>
      <w:r>
        <w:rPr>
          <w:color w:val="231F20"/>
        </w:rPr>
        <w:t>health</w:t>
      </w:r>
      <w:r>
        <w:rPr>
          <w:color w:val="231F20"/>
          <w:spacing w:val="-24"/>
        </w:rPr>
        <w:t xml:space="preserve"> </w:t>
      </w:r>
      <w:r>
        <w:rPr>
          <w:color w:val="231F20"/>
        </w:rPr>
        <w:t>institutions</w:t>
      </w:r>
      <w:r>
        <w:rPr>
          <w:color w:val="231F20"/>
          <w:spacing w:val="-24"/>
        </w:rPr>
        <w:t xml:space="preserve"> </w:t>
      </w:r>
      <w:r>
        <w:rPr>
          <w:color w:val="231F20"/>
        </w:rPr>
        <w:t>to set</w:t>
      </w:r>
      <w:r>
        <w:rPr>
          <w:color w:val="231F20"/>
          <w:spacing w:val="-26"/>
        </w:rPr>
        <w:t xml:space="preserve"> </w:t>
      </w:r>
      <w:r>
        <w:rPr>
          <w:color w:val="231F20"/>
        </w:rPr>
        <w:t>Standards</w:t>
      </w:r>
      <w:r>
        <w:rPr>
          <w:color w:val="231F20"/>
          <w:spacing w:val="-25"/>
        </w:rPr>
        <w:t xml:space="preserve"> </w:t>
      </w:r>
      <w:r>
        <w:rPr>
          <w:color w:val="231F20"/>
        </w:rPr>
        <w:t>of</w:t>
      </w:r>
      <w:r>
        <w:rPr>
          <w:color w:val="231F20"/>
          <w:spacing w:val="-29"/>
        </w:rPr>
        <w:t xml:space="preserve"> </w:t>
      </w:r>
      <w:r>
        <w:rPr>
          <w:color w:val="231F20"/>
        </w:rPr>
        <w:t>Training</w:t>
      </w:r>
      <w:r>
        <w:rPr>
          <w:color w:val="231F20"/>
          <w:spacing w:val="-25"/>
        </w:rPr>
        <w:t xml:space="preserve"> </w:t>
      </w:r>
      <w:r>
        <w:rPr>
          <w:color w:val="231F20"/>
        </w:rPr>
        <w:t>(SOT);</w:t>
      </w:r>
      <w:r>
        <w:rPr>
          <w:color w:val="231F20"/>
          <w:spacing w:val="-25"/>
        </w:rPr>
        <w:t xml:space="preserve"> </w:t>
      </w:r>
      <w:r>
        <w:rPr>
          <w:color w:val="231F20"/>
        </w:rPr>
        <w:t>Periodic</w:t>
      </w:r>
      <w:r>
        <w:rPr>
          <w:color w:val="231F20"/>
          <w:spacing w:val="-26"/>
        </w:rPr>
        <w:t xml:space="preserve"> </w:t>
      </w:r>
      <w:r>
        <w:rPr>
          <w:color w:val="231F20"/>
        </w:rPr>
        <w:t>assessment</w:t>
      </w:r>
      <w:r>
        <w:rPr>
          <w:color w:val="231F20"/>
          <w:spacing w:val="-25"/>
        </w:rPr>
        <w:t xml:space="preserve"> </w:t>
      </w:r>
      <w:r>
        <w:rPr>
          <w:color w:val="231F20"/>
        </w:rPr>
        <w:t>of</w:t>
      </w:r>
      <w:r>
        <w:rPr>
          <w:color w:val="231F20"/>
          <w:spacing w:val="-25"/>
        </w:rPr>
        <w:t xml:space="preserve"> </w:t>
      </w:r>
      <w:r>
        <w:rPr>
          <w:color w:val="231F20"/>
        </w:rPr>
        <w:t>professional</w:t>
      </w:r>
      <w:r>
        <w:rPr>
          <w:color w:val="231F20"/>
          <w:spacing w:val="-25"/>
        </w:rPr>
        <w:t xml:space="preserve"> </w:t>
      </w:r>
      <w:r>
        <w:rPr>
          <w:color w:val="231F20"/>
        </w:rPr>
        <w:t>competence.</w:t>
      </w:r>
    </w:p>
    <w:p w14:paraId="375F97A7" w14:textId="77777777" w:rsidR="009948F1" w:rsidRDefault="009948F1">
      <w:pPr>
        <w:pStyle w:val="BodyText"/>
        <w:spacing w:before="5"/>
      </w:pPr>
    </w:p>
    <w:p w14:paraId="6949A6AD" w14:textId="48BB8FD3" w:rsidR="009948F1" w:rsidRDefault="00BC0563">
      <w:pPr>
        <w:pStyle w:val="ListParagraph"/>
        <w:numPr>
          <w:ilvl w:val="3"/>
          <w:numId w:val="294"/>
        </w:numPr>
        <w:tabs>
          <w:tab w:val="left" w:pos="1108"/>
        </w:tabs>
        <w:spacing w:before="1"/>
        <w:ind w:left="185" w:right="186" w:firstLine="0"/>
      </w:pPr>
      <w:r>
        <w:rPr>
          <w:color w:val="231F20"/>
        </w:rPr>
        <w:t>Strengthen collaboration between government and professional groups including Nigerian health professionals in diaspora to advocate for increased coverage of essential interventions,</w:t>
      </w:r>
      <w:r>
        <w:rPr>
          <w:color w:val="231F20"/>
          <w:spacing w:val="-19"/>
        </w:rPr>
        <w:t xml:space="preserve"> </w:t>
      </w:r>
      <w:r>
        <w:rPr>
          <w:color w:val="231F20"/>
        </w:rPr>
        <w:t>particularly</w:t>
      </w:r>
      <w:r>
        <w:rPr>
          <w:color w:val="231F20"/>
          <w:spacing w:val="-18"/>
        </w:rPr>
        <w:t xml:space="preserve"> </w:t>
      </w:r>
      <w:r>
        <w:rPr>
          <w:color w:val="231F20"/>
        </w:rPr>
        <w:t>increased</w:t>
      </w:r>
      <w:r>
        <w:rPr>
          <w:color w:val="231F20"/>
          <w:spacing w:val="-18"/>
        </w:rPr>
        <w:t xml:space="preserve"> </w:t>
      </w:r>
      <w:r>
        <w:rPr>
          <w:color w:val="231F20"/>
        </w:rPr>
        <w:t>funding.</w:t>
      </w:r>
      <w:r>
        <w:rPr>
          <w:color w:val="231F20"/>
          <w:spacing w:val="-19"/>
        </w:rPr>
        <w:t xml:space="preserve"> </w:t>
      </w:r>
      <w:r>
        <w:rPr>
          <w:color w:val="231F20"/>
        </w:rPr>
        <w:t>Key</w:t>
      </w:r>
      <w:r>
        <w:rPr>
          <w:color w:val="231F20"/>
          <w:spacing w:val="-19"/>
        </w:rPr>
        <w:t xml:space="preserve"> </w:t>
      </w:r>
      <w:r>
        <w:rPr>
          <w:color w:val="231F20"/>
        </w:rPr>
        <w:t>actions</w:t>
      </w:r>
      <w:r>
        <w:rPr>
          <w:color w:val="231F20"/>
          <w:spacing w:val="-18"/>
        </w:rPr>
        <w:t xml:space="preserve"> </w:t>
      </w:r>
      <w:proofErr w:type="gramStart"/>
      <w:r>
        <w:rPr>
          <w:color w:val="231F20"/>
        </w:rPr>
        <w:t>include;</w:t>
      </w:r>
      <w:proofErr w:type="gramEnd"/>
      <w:r w:rsidR="00FC31BA">
        <w:rPr>
          <w:color w:val="231F20"/>
        </w:rPr>
        <w:t xml:space="preserve"> </w:t>
      </w:r>
      <w:r>
        <w:rPr>
          <w:color w:val="231F20"/>
        </w:rPr>
        <w:t>Establish</w:t>
      </w:r>
      <w:r>
        <w:rPr>
          <w:color w:val="231F20"/>
          <w:spacing w:val="-18"/>
        </w:rPr>
        <w:t xml:space="preserve"> </w:t>
      </w:r>
      <w:r>
        <w:rPr>
          <w:color w:val="231F20"/>
        </w:rPr>
        <w:t>a</w:t>
      </w:r>
      <w:r>
        <w:rPr>
          <w:color w:val="231F20"/>
          <w:spacing w:val="-20"/>
        </w:rPr>
        <w:t xml:space="preserve"> </w:t>
      </w:r>
      <w:r>
        <w:rPr>
          <w:color w:val="231F20"/>
        </w:rPr>
        <w:t>forum</w:t>
      </w:r>
      <w:r>
        <w:rPr>
          <w:color w:val="231F20"/>
          <w:spacing w:val="-19"/>
        </w:rPr>
        <w:t xml:space="preserve"> </w:t>
      </w:r>
      <w:r>
        <w:rPr>
          <w:color w:val="231F20"/>
        </w:rPr>
        <w:t>of</w:t>
      </w:r>
      <w:r>
        <w:rPr>
          <w:color w:val="231F20"/>
          <w:spacing w:val="-19"/>
        </w:rPr>
        <w:t xml:space="preserve"> </w:t>
      </w:r>
      <w:r>
        <w:rPr>
          <w:color w:val="231F20"/>
        </w:rPr>
        <w:t>professional groups and partners to advocate for increased funding;</w:t>
      </w:r>
      <w:r w:rsidR="00FC31BA">
        <w:rPr>
          <w:color w:val="231F20"/>
        </w:rPr>
        <w:t xml:space="preserve"> </w:t>
      </w:r>
      <w:r>
        <w:rPr>
          <w:color w:val="231F20"/>
        </w:rPr>
        <w:t>Organize Conferences, Seminars or exhibitions for health practitioners from the diaspora, traditional medicine practitioners, private/religious health</w:t>
      </w:r>
      <w:r>
        <w:rPr>
          <w:color w:val="231F20"/>
          <w:spacing w:val="-50"/>
        </w:rPr>
        <w:t xml:space="preserve"> </w:t>
      </w:r>
      <w:r>
        <w:rPr>
          <w:color w:val="231F20"/>
        </w:rPr>
        <w:t>providers.</w:t>
      </w:r>
    </w:p>
    <w:p w14:paraId="498C1FDA" w14:textId="77777777" w:rsidR="009948F1" w:rsidRDefault="009948F1">
      <w:pPr>
        <w:pStyle w:val="BodyText"/>
        <w:spacing w:before="6"/>
      </w:pPr>
    </w:p>
    <w:p w14:paraId="1FAEC258" w14:textId="77777777" w:rsidR="009948F1" w:rsidRDefault="00BC0563">
      <w:pPr>
        <w:pStyle w:val="ListParagraph"/>
        <w:numPr>
          <w:ilvl w:val="3"/>
          <w:numId w:val="294"/>
        </w:numPr>
        <w:tabs>
          <w:tab w:val="left" w:pos="1033"/>
        </w:tabs>
        <w:ind w:left="185" w:right="186" w:firstLine="0"/>
      </w:pPr>
      <w:r>
        <w:rPr>
          <w:color w:val="231F20"/>
        </w:rPr>
        <w:t>Leverage</w:t>
      </w:r>
      <w:r>
        <w:rPr>
          <w:color w:val="231F20"/>
          <w:spacing w:val="-11"/>
        </w:rPr>
        <w:t xml:space="preserve"> </w:t>
      </w:r>
      <w:r>
        <w:rPr>
          <w:color w:val="231F20"/>
        </w:rPr>
        <w:t>human</w:t>
      </w:r>
      <w:r>
        <w:rPr>
          <w:color w:val="231F20"/>
          <w:spacing w:val="-11"/>
        </w:rPr>
        <w:t xml:space="preserve"> </w:t>
      </w:r>
      <w:r>
        <w:rPr>
          <w:color w:val="231F20"/>
        </w:rPr>
        <w:t>resources</w:t>
      </w:r>
      <w:r>
        <w:rPr>
          <w:color w:val="231F20"/>
          <w:spacing w:val="-11"/>
        </w:rPr>
        <w:t xml:space="preserve"> </w:t>
      </w:r>
      <w:r>
        <w:rPr>
          <w:color w:val="231F20"/>
        </w:rPr>
        <w:t>for</w:t>
      </w:r>
      <w:r>
        <w:rPr>
          <w:color w:val="231F20"/>
          <w:spacing w:val="-11"/>
        </w:rPr>
        <w:t xml:space="preserve"> </w:t>
      </w:r>
      <w:r>
        <w:rPr>
          <w:color w:val="231F20"/>
        </w:rPr>
        <w:t>health</w:t>
      </w:r>
      <w:r>
        <w:rPr>
          <w:color w:val="231F20"/>
          <w:spacing w:val="-11"/>
        </w:rPr>
        <w:t xml:space="preserve"> </w:t>
      </w:r>
      <w:r>
        <w:rPr>
          <w:color w:val="231F20"/>
        </w:rPr>
        <w:t>from</w:t>
      </w:r>
      <w:r>
        <w:rPr>
          <w:color w:val="231F20"/>
          <w:spacing w:val="-11"/>
        </w:rPr>
        <w:t xml:space="preserve"> </w:t>
      </w:r>
      <w:r>
        <w:rPr>
          <w:color w:val="231F20"/>
        </w:rPr>
        <w:t>partners,</w:t>
      </w:r>
      <w:r>
        <w:rPr>
          <w:color w:val="231F20"/>
          <w:spacing w:val="-11"/>
        </w:rPr>
        <w:t xml:space="preserve"> </w:t>
      </w:r>
      <w:r>
        <w:rPr>
          <w:color w:val="231F20"/>
        </w:rPr>
        <w:t>health</w:t>
      </w:r>
      <w:r>
        <w:rPr>
          <w:color w:val="231F20"/>
          <w:spacing w:val="-11"/>
        </w:rPr>
        <w:t xml:space="preserve"> </w:t>
      </w:r>
      <w:r>
        <w:rPr>
          <w:color w:val="231F20"/>
        </w:rPr>
        <w:t>professionals,</w:t>
      </w:r>
      <w:r>
        <w:rPr>
          <w:color w:val="231F20"/>
          <w:spacing w:val="-10"/>
        </w:rPr>
        <w:t xml:space="preserve"> </w:t>
      </w:r>
      <w:r>
        <w:rPr>
          <w:color w:val="231F20"/>
        </w:rPr>
        <w:t>other</w:t>
      </w:r>
      <w:r>
        <w:rPr>
          <w:color w:val="231F20"/>
          <w:spacing w:val="-12"/>
        </w:rPr>
        <w:t xml:space="preserve"> </w:t>
      </w:r>
      <w:r>
        <w:rPr>
          <w:color w:val="231F20"/>
        </w:rPr>
        <w:t>levels</w:t>
      </w:r>
      <w:r>
        <w:rPr>
          <w:color w:val="231F20"/>
          <w:spacing w:val="-11"/>
        </w:rPr>
        <w:t xml:space="preserve"> </w:t>
      </w:r>
      <w:r>
        <w:rPr>
          <w:color w:val="231F20"/>
        </w:rPr>
        <w:t xml:space="preserve">of government to optimize resource use and improve service delivery. Key actions include; </w:t>
      </w:r>
      <w:r>
        <w:rPr>
          <w:color w:val="231F20"/>
          <w:spacing w:val="-3"/>
        </w:rPr>
        <w:t xml:space="preserve">Partner </w:t>
      </w:r>
      <w:r>
        <w:rPr>
          <w:color w:val="231F20"/>
        </w:rPr>
        <w:t>with medical training institutions abroad or outsource units where expertise is lacking; Secure technical</w:t>
      </w:r>
      <w:r>
        <w:rPr>
          <w:color w:val="231F20"/>
          <w:spacing w:val="-19"/>
        </w:rPr>
        <w:t xml:space="preserve"> </w:t>
      </w:r>
      <w:r>
        <w:rPr>
          <w:color w:val="231F20"/>
        </w:rPr>
        <w:t>assistance</w:t>
      </w:r>
      <w:r>
        <w:rPr>
          <w:color w:val="231F20"/>
          <w:spacing w:val="-18"/>
        </w:rPr>
        <w:t xml:space="preserve"> </w:t>
      </w:r>
      <w:r>
        <w:rPr>
          <w:color w:val="231F20"/>
        </w:rPr>
        <w:t>by</w:t>
      </w:r>
      <w:r>
        <w:rPr>
          <w:color w:val="231F20"/>
          <w:spacing w:val="-19"/>
        </w:rPr>
        <w:t xml:space="preserve"> </w:t>
      </w:r>
      <w:r>
        <w:rPr>
          <w:color w:val="231F20"/>
        </w:rPr>
        <w:t>Development</w:t>
      </w:r>
      <w:r>
        <w:rPr>
          <w:color w:val="231F20"/>
          <w:spacing w:val="-18"/>
        </w:rPr>
        <w:t xml:space="preserve"> </w:t>
      </w:r>
      <w:r>
        <w:rPr>
          <w:color w:val="231F20"/>
        </w:rPr>
        <w:t>Partners</w:t>
      </w:r>
      <w:r>
        <w:rPr>
          <w:color w:val="231F20"/>
          <w:spacing w:val="-19"/>
        </w:rPr>
        <w:t xml:space="preserve"> </w:t>
      </w:r>
      <w:r>
        <w:rPr>
          <w:color w:val="231F20"/>
        </w:rPr>
        <w:t>to</w:t>
      </w:r>
      <w:r>
        <w:rPr>
          <w:color w:val="231F20"/>
          <w:spacing w:val="-18"/>
        </w:rPr>
        <w:t xml:space="preserve"> </w:t>
      </w:r>
      <w:r>
        <w:rPr>
          <w:color w:val="231F20"/>
        </w:rPr>
        <w:t>provide</w:t>
      </w:r>
      <w:r>
        <w:rPr>
          <w:color w:val="231F20"/>
          <w:spacing w:val="-19"/>
        </w:rPr>
        <w:t xml:space="preserve"> </w:t>
      </w:r>
      <w:r>
        <w:rPr>
          <w:color w:val="231F20"/>
        </w:rPr>
        <w:t>on-the-Job</w:t>
      </w:r>
      <w:r>
        <w:rPr>
          <w:color w:val="231F20"/>
          <w:spacing w:val="-18"/>
        </w:rPr>
        <w:t xml:space="preserve"> </w:t>
      </w:r>
      <w:r>
        <w:rPr>
          <w:color w:val="231F20"/>
        </w:rPr>
        <w:t>mentorship</w:t>
      </w:r>
      <w:r>
        <w:rPr>
          <w:color w:val="231F20"/>
          <w:spacing w:val="-19"/>
        </w:rPr>
        <w:t xml:space="preserve"> </w:t>
      </w:r>
      <w:r>
        <w:rPr>
          <w:color w:val="231F20"/>
        </w:rPr>
        <w:t>for</w:t>
      </w:r>
      <w:r>
        <w:rPr>
          <w:color w:val="231F20"/>
          <w:spacing w:val="-18"/>
        </w:rPr>
        <w:t xml:space="preserve"> </w:t>
      </w:r>
      <w:r>
        <w:rPr>
          <w:color w:val="231F20"/>
        </w:rPr>
        <w:t>public</w:t>
      </w:r>
      <w:r>
        <w:rPr>
          <w:color w:val="231F20"/>
          <w:spacing w:val="-19"/>
        </w:rPr>
        <w:t xml:space="preserve"> </w:t>
      </w:r>
      <w:r>
        <w:rPr>
          <w:color w:val="231F20"/>
        </w:rPr>
        <w:t>officers in</w:t>
      </w:r>
      <w:r>
        <w:rPr>
          <w:color w:val="231F20"/>
          <w:spacing w:val="-26"/>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sector.</w:t>
      </w:r>
    </w:p>
    <w:p w14:paraId="0E625CC6" w14:textId="77777777" w:rsidR="009948F1" w:rsidRDefault="009948F1">
      <w:pPr>
        <w:pStyle w:val="BodyText"/>
        <w:spacing w:before="5"/>
      </w:pPr>
    </w:p>
    <w:p w14:paraId="6E8DD13F" w14:textId="77777777" w:rsidR="009948F1" w:rsidRDefault="00BC0563">
      <w:pPr>
        <w:pStyle w:val="ListParagraph"/>
        <w:numPr>
          <w:ilvl w:val="3"/>
          <w:numId w:val="294"/>
        </w:numPr>
        <w:tabs>
          <w:tab w:val="left" w:pos="1094"/>
        </w:tabs>
        <w:spacing w:before="1"/>
        <w:ind w:left="185" w:right="186" w:firstLine="0"/>
      </w:pPr>
      <w:r>
        <w:rPr>
          <w:color w:val="231F20"/>
        </w:rPr>
        <w:t xml:space="preserve">Promote linkages with academic institutions to undertake research, education </w:t>
      </w:r>
      <w:r>
        <w:rPr>
          <w:color w:val="231F20"/>
          <w:spacing w:val="-5"/>
        </w:rPr>
        <w:t xml:space="preserve">and </w:t>
      </w:r>
      <w:r>
        <w:rPr>
          <w:color w:val="231F20"/>
        </w:rPr>
        <w:t xml:space="preserve">monitoring through existing networks. Key actions involved here include; create/establish </w:t>
      </w:r>
      <w:r>
        <w:rPr>
          <w:color w:val="231F20"/>
          <w:spacing w:val="-13"/>
        </w:rPr>
        <w:t xml:space="preserve">a </w:t>
      </w:r>
      <w:r>
        <w:rPr>
          <w:color w:val="231F20"/>
        </w:rPr>
        <w:t>functional forum for all of training and research institutions and stakeholders in the state for developing a research and implementing training and research linkage interventions/activities; Mobilize</w:t>
      </w:r>
      <w:r>
        <w:rPr>
          <w:color w:val="231F20"/>
          <w:spacing w:val="-8"/>
        </w:rPr>
        <w:t xml:space="preserve"> </w:t>
      </w:r>
      <w:r>
        <w:rPr>
          <w:color w:val="231F20"/>
        </w:rPr>
        <w:t>technical</w:t>
      </w:r>
      <w:r>
        <w:rPr>
          <w:color w:val="231F20"/>
          <w:spacing w:val="-7"/>
        </w:rPr>
        <w:t xml:space="preserve"> </w:t>
      </w:r>
      <w:r>
        <w:rPr>
          <w:color w:val="231F20"/>
        </w:rPr>
        <w:t>assistance</w:t>
      </w:r>
      <w:r>
        <w:rPr>
          <w:color w:val="231F20"/>
          <w:spacing w:val="-7"/>
        </w:rPr>
        <w:t xml:space="preserve"> </w:t>
      </w:r>
      <w:r>
        <w:rPr>
          <w:color w:val="231F20"/>
        </w:rPr>
        <w:t>from</w:t>
      </w:r>
      <w:r>
        <w:rPr>
          <w:color w:val="231F20"/>
          <w:spacing w:val="-7"/>
        </w:rPr>
        <w:t xml:space="preserve"> </w:t>
      </w:r>
      <w:r>
        <w:rPr>
          <w:color w:val="231F20"/>
        </w:rPr>
        <w:t>research</w:t>
      </w:r>
      <w:r>
        <w:rPr>
          <w:color w:val="231F20"/>
          <w:spacing w:val="-8"/>
        </w:rPr>
        <w:t xml:space="preserve"> </w:t>
      </w:r>
      <w:r>
        <w:rPr>
          <w:color w:val="231F20"/>
        </w:rPr>
        <w:t>bodies</w:t>
      </w:r>
      <w:r>
        <w:rPr>
          <w:color w:val="231F20"/>
          <w:spacing w:val="-7"/>
        </w:rPr>
        <w:t xml:space="preserve"> </w:t>
      </w:r>
      <w:r>
        <w:rPr>
          <w:color w:val="231F20"/>
        </w:rPr>
        <w:t>to</w:t>
      </w:r>
      <w:r>
        <w:rPr>
          <w:color w:val="231F20"/>
          <w:spacing w:val="-7"/>
        </w:rPr>
        <w:t xml:space="preserve"> </w:t>
      </w:r>
      <w:r>
        <w:rPr>
          <w:color w:val="231F20"/>
        </w:rPr>
        <w:t>build</w:t>
      </w:r>
      <w:r>
        <w:rPr>
          <w:color w:val="231F20"/>
          <w:spacing w:val="-7"/>
        </w:rPr>
        <w:t xml:space="preserve"> </w:t>
      </w:r>
      <w:r>
        <w:rPr>
          <w:color w:val="231F20"/>
        </w:rPr>
        <w:t>the</w:t>
      </w:r>
      <w:r>
        <w:rPr>
          <w:color w:val="231F20"/>
          <w:spacing w:val="-8"/>
        </w:rPr>
        <w:t xml:space="preserve"> </w:t>
      </w:r>
      <w:r>
        <w:rPr>
          <w:color w:val="231F20"/>
        </w:rPr>
        <w:t>capacity</w:t>
      </w:r>
      <w:r>
        <w:rPr>
          <w:color w:val="231F20"/>
          <w:spacing w:val="-7"/>
        </w:rPr>
        <w:t xml:space="preserve"> </w:t>
      </w:r>
      <w:r>
        <w:rPr>
          <w:color w:val="231F20"/>
        </w:rPr>
        <w:t>of</w:t>
      </w:r>
      <w:r>
        <w:rPr>
          <w:color w:val="231F20"/>
          <w:spacing w:val="-7"/>
        </w:rPr>
        <w:t xml:space="preserve"> </w:t>
      </w:r>
      <w:r>
        <w:rPr>
          <w:color w:val="231F20"/>
        </w:rPr>
        <w:t>relevant</w:t>
      </w:r>
      <w:r>
        <w:rPr>
          <w:color w:val="231F20"/>
          <w:spacing w:val="-7"/>
        </w:rPr>
        <w:t xml:space="preserve"> </w:t>
      </w:r>
      <w:r>
        <w:rPr>
          <w:color w:val="231F20"/>
        </w:rPr>
        <w:t>officers</w:t>
      </w:r>
      <w:r>
        <w:rPr>
          <w:color w:val="231F20"/>
          <w:spacing w:val="-8"/>
        </w:rPr>
        <w:t xml:space="preserve"> </w:t>
      </w:r>
      <w:r>
        <w:rPr>
          <w:color w:val="231F20"/>
        </w:rPr>
        <w:t>in</w:t>
      </w:r>
      <w:r>
        <w:rPr>
          <w:color w:val="231F20"/>
          <w:spacing w:val="-7"/>
        </w:rPr>
        <w:t xml:space="preserve"> </w:t>
      </w:r>
      <w:r>
        <w:rPr>
          <w:color w:val="231F20"/>
          <w:spacing w:val="-4"/>
        </w:rPr>
        <w:t xml:space="preserve">the </w:t>
      </w:r>
      <w:r>
        <w:rPr>
          <w:color w:val="231F20"/>
        </w:rPr>
        <w:t>state on health research; Conduct research on Quality &amp; Inconsistent Services availability &amp; challenge</w:t>
      </w:r>
      <w:r>
        <w:rPr>
          <w:color w:val="231F20"/>
          <w:spacing w:val="-2"/>
        </w:rPr>
        <w:t xml:space="preserve"> </w:t>
      </w:r>
      <w:r>
        <w:rPr>
          <w:color w:val="231F20"/>
        </w:rPr>
        <w:t>in</w:t>
      </w:r>
      <w:r>
        <w:rPr>
          <w:color w:val="231F20"/>
          <w:spacing w:val="-5"/>
        </w:rPr>
        <w:t xml:space="preserve"> </w:t>
      </w:r>
      <w:r>
        <w:rPr>
          <w:color w:val="231F20"/>
        </w:rPr>
        <w:t>Rivers</w:t>
      </w:r>
      <w:r>
        <w:rPr>
          <w:color w:val="231F20"/>
          <w:spacing w:val="-2"/>
        </w:rPr>
        <w:t xml:space="preserve"> </w:t>
      </w:r>
      <w:r>
        <w:rPr>
          <w:color w:val="231F20"/>
        </w:rPr>
        <w:t>State</w:t>
      </w:r>
      <w:r>
        <w:rPr>
          <w:color w:val="231F20"/>
          <w:spacing w:val="-4"/>
        </w:rPr>
        <w:t xml:space="preserve"> </w:t>
      </w:r>
      <w:r>
        <w:rPr>
          <w:color w:val="231F20"/>
        </w:rPr>
        <w:t>in</w:t>
      </w:r>
      <w:r>
        <w:rPr>
          <w:color w:val="231F20"/>
          <w:spacing w:val="-2"/>
        </w:rPr>
        <w:t xml:space="preserve"> </w:t>
      </w:r>
      <w:r>
        <w:rPr>
          <w:color w:val="231F20"/>
        </w:rPr>
        <w:t>collaboration</w:t>
      </w:r>
      <w:r>
        <w:rPr>
          <w:color w:val="231F20"/>
          <w:spacing w:val="-5"/>
        </w:rPr>
        <w:t xml:space="preserve"> </w:t>
      </w:r>
      <w:r>
        <w:rPr>
          <w:color w:val="231F20"/>
        </w:rPr>
        <w:t>with</w:t>
      </w:r>
      <w:r>
        <w:rPr>
          <w:color w:val="231F20"/>
          <w:spacing w:val="-1"/>
        </w:rPr>
        <w:t xml:space="preserve"> </w:t>
      </w:r>
      <w:r>
        <w:rPr>
          <w:color w:val="231F20"/>
        </w:rPr>
        <w:t>World</w:t>
      </w:r>
      <w:r>
        <w:rPr>
          <w:color w:val="231F20"/>
          <w:spacing w:val="-2"/>
        </w:rPr>
        <w:t xml:space="preserve"> </w:t>
      </w:r>
      <w:r>
        <w:rPr>
          <w:color w:val="231F20"/>
        </w:rPr>
        <w:t>Bank</w:t>
      </w:r>
      <w:r>
        <w:rPr>
          <w:color w:val="231F20"/>
          <w:spacing w:val="-5"/>
        </w:rPr>
        <w:t xml:space="preserve"> </w:t>
      </w:r>
      <w:r>
        <w:rPr>
          <w:color w:val="231F20"/>
        </w:rPr>
        <w:t>(WB);</w:t>
      </w:r>
      <w:r>
        <w:rPr>
          <w:color w:val="231F20"/>
          <w:spacing w:val="-1"/>
        </w:rPr>
        <w:t xml:space="preserve"> </w:t>
      </w:r>
      <w:r>
        <w:rPr>
          <w:color w:val="231F20"/>
        </w:rPr>
        <w:t>Conduct</w:t>
      </w:r>
      <w:r>
        <w:rPr>
          <w:color w:val="231F20"/>
          <w:spacing w:val="-5"/>
        </w:rPr>
        <w:t xml:space="preserve"> </w:t>
      </w:r>
      <w:r>
        <w:rPr>
          <w:color w:val="231F20"/>
        </w:rPr>
        <w:t>research</w:t>
      </w:r>
      <w:r>
        <w:rPr>
          <w:color w:val="231F20"/>
          <w:spacing w:val="-2"/>
        </w:rPr>
        <w:t xml:space="preserve"> </w:t>
      </w:r>
      <w:r>
        <w:rPr>
          <w:color w:val="231F20"/>
        </w:rPr>
        <w:t>on</w:t>
      </w:r>
      <w:r>
        <w:rPr>
          <w:color w:val="231F20"/>
          <w:spacing w:val="-16"/>
        </w:rPr>
        <w:t xml:space="preserve"> </w:t>
      </w:r>
      <w:r>
        <w:rPr>
          <w:color w:val="231F20"/>
        </w:rPr>
        <w:t>Achieving Population-Level</w:t>
      </w:r>
      <w:r>
        <w:rPr>
          <w:color w:val="231F20"/>
          <w:spacing w:val="-26"/>
        </w:rPr>
        <w:t xml:space="preserve"> </w:t>
      </w:r>
      <w:proofErr w:type="spellStart"/>
      <w:r>
        <w:rPr>
          <w:color w:val="231F20"/>
        </w:rPr>
        <w:t>Behaviour</w:t>
      </w:r>
      <w:proofErr w:type="spellEnd"/>
      <w:r>
        <w:rPr>
          <w:color w:val="231F20"/>
          <w:spacing w:val="-25"/>
        </w:rPr>
        <w:t xml:space="preserve"> </w:t>
      </w:r>
      <w:r>
        <w:rPr>
          <w:color w:val="231F20"/>
        </w:rPr>
        <w:t>Change</w:t>
      </w:r>
      <w:r>
        <w:rPr>
          <w:color w:val="231F20"/>
          <w:spacing w:val="-25"/>
        </w:rPr>
        <w:t xml:space="preserve"> </w:t>
      </w:r>
      <w:r>
        <w:rPr>
          <w:color w:val="231F20"/>
        </w:rPr>
        <w:t>in</w:t>
      </w:r>
      <w:r>
        <w:rPr>
          <w:color w:val="231F20"/>
          <w:spacing w:val="-25"/>
        </w:rPr>
        <w:t xml:space="preserve"> </w:t>
      </w:r>
      <w:r>
        <w:rPr>
          <w:color w:val="231F20"/>
        </w:rPr>
        <w:t>collaboration</w:t>
      </w:r>
      <w:r>
        <w:rPr>
          <w:color w:val="231F20"/>
          <w:spacing w:val="-25"/>
        </w:rPr>
        <w:t xml:space="preserve"> </w:t>
      </w:r>
      <w:r>
        <w:rPr>
          <w:color w:val="231F20"/>
        </w:rPr>
        <w:t>with</w:t>
      </w:r>
      <w:r>
        <w:rPr>
          <w:color w:val="231F20"/>
          <w:spacing w:val="-25"/>
        </w:rPr>
        <w:t xml:space="preserve"> </w:t>
      </w:r>
      <w:r>
        <w:rPr>
          <w:color w:val="231F20"/>
        </w:rPr>
        <w:t>WB.</w:t>
      </w:r>
    </w:p>
    <w:p w14:paraId="51A15C5D" w14:textId="77777777" w:rsidR="009948F1" w:rsidRDefault="009948F1">
      <w:pPr>
        <w:pStyle w:val="BodyText"/>
        <w:spacing w:before="8"/>
      </w:pPr>
    </w:p>
    <w:p w14:paraId="36614D01" w14:textId="77777777" w:rsidR="009948F1" w:rsidRDefault="00BC0563">
      <w:pPr>
        <w:pStyle w:val="ListParagraph"/>
        <w:numPr>
          <w:ilvl w:val="3"/>
          <w:numId w:val="294"/>
        </w:numPr>
        <w:tabs>
          <w:tab w:val="left" w:pos="1052"/>
        </w:tabs>
        <w:ind w:left="185" w:right="186" w:firstLine="0"/>
      </w:pPr>
      <w:r>
        <w:rPr>
          <w:color w:val="231F20"/>
        </w:rPr>
        <w:t xml:space="preserve">Promote partnerships with communities to address felt needs of the communities. </w:t>
      </w:r>
      <w:r>
        <w:rPr>
          <w:color w:val="231F20"/>
          <w:spacing w:val="-5"/>
        </w:rPr>
        <w:t xml:space="preserve">Key </w:t>
      </w:r>
      <w:r>
        <w:rPr>
          <w:color w:val="231F20"/>
        </w:rPr>
        <w:t xml:space="preserve">actions involved here include; establish and strengthen a forum for interaction </w:t>
      </w:r>
      <w:r>
        <w:rPr>
          <w:color w:val="231F20"/>
          <w:spacing w:val="-3"/>
        </w:rPr>
        <w:t xml:space="preserve">between </w:t>
      </w:r>
      <w:r>
        <w:rPr>
          <w:color w:val="231F20"/>
        </w:rPr>
        <w:t>Government,</w:t>
      </w:r>
      <w:r>
        <w:rPr>
          <w:color w:val="231F20"/>
          <w:spacing w:val="-26"/>
        </w:rPr>
        <w:t xml:space="preserve"> </w:t>
      </w:r>
      <w:r>
        <w:rPr>
          <w:color w:val="231F20"/>
        </w:rPr>
        <w:t>partners</w:t>
      </w:r>
      <w:r>
        <w:rPr>
          <w:color w:val="231F20"/>
          <w:spacing w:val="-25"/>
        </w:rPr>
        <w:t xml:space="preserve"> </w:t>
      </w:r>
      <w:r>
        <w:rPr>
          <w:color w:val="231F20"/>
        </w:rPr>
        <w:t>and</w:t>
      </w:r>
      <w:r>
        <w:rPr>
          <w:color w:val="231F20"/>
          <w:spacing w:val="-26"/>
        </w:rPr>
        <w:t xml:space="preserve"> </w:t>
      </w:r>
      <w:r>
        <w:rPr>
          <w:color w:val="231F20"/>
        </w:rPr>
        <w:t>the</w:t>
      </w:r>
      <w:r>
        <w:rPr>
          <w:color w:val="231F20"/>
          <w:spacing w:val="-25"/>
        </w:rPr>
        <w:t xml:space="preserve"> </w:t>
      </w:r>
      <w:r>
        <w:rPr>
          <w:color w:val="231F20"/>
        </w:rPr>
        <w:t>communities;</w:t>
      </w:r>
      <w:r>
        <w:rPr>
          <w:color w:val="231F20"/>
          <w:spacing w:val="-26"/>
        </w:rPr>
        <w:t xml:space="preserve"> </w:t>
      </w:r>
      <w:r>
        <w:rPr>
          <w:color w:val="231F20"/>
        </w:rPr>
        <w:t>Collaborate</w:t>
      </w:r>
      <w:r>
        <w:rPr>
          <w:color w:val="231F20"/>
          <w:spacing w:val="-25"/>
        </w:rPr>
        <w:t xml:space="preserve"> </w:t>
      </w:r>
      <w:r>
        <w:rPr>
          <w:color w:val="231F20"/>
        </w:rPr>
        <w:t>with</w:t>
      </w:r>
      <w:r>
        <w:rPr>
          <w:color w:val="231F20"/>
          <w:spacing w:val="-26"/>
        </w:rPr>
        <w:t xml:space="preserve"> </w:t>
      </w:r>
      <w:r>
        <w:rPr>
          <w:color w:val="231F20"/>
        </w:rPr>
        <w:t>WDCs</w:t>
      </w:r>
      <w:r>
        <w:rPr>
          <w:color w:val="231F20"/>
          <w:spacing w:val="-25"/>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rPr>
        <w:t>state</w:t>
      </w:r>
      <w:r>
        <w:rPr>
          <w:color w:val="231F20"/>
          <w:spacing w:val="-26"/>
        </w:rPr>
        <w:t xml:space="preserve"> </w:t>
      </w:r>
      <w:r>
        <w:rPr>
          <w:color w:val="231F20"/>
        </w:rPr>
        <w:t>regularly.</w:t>
      </w:r>
    </w:p>
    <w:p w14:paraId="4DD3E472" w14:textId="77777777" w:rsidR="009948F1" w:rsidRDefault="009948F1">
      <w:pPr>
        <w:pStyle w:val="BodyText"/>
        <w:spacing w:before="4"/>
      </w:pPr>
    </w:p>
    <w:p w14:paraId="54EFD563" w14:textId="77777777" w:rsidR="009948F1" w:rsidRDefault="00BC0563">
      <w:pPr>
        <w:pStyle w:val="ListParagraph"/>
        <w:numPr>
          <w:ilvl w:val="3"/>
          <w:numId w:val="294"/>
        </w:numPr>
        <w:tabs>
          <w:tab w:val="left" w:pos="1066"/>
        </w:tabs>
        <w:ind w:left="185" w:right="186" w:firstLine="0"/>
      </w:pPr>
      <w:r>
        <w:rPr>
          <w:color w:val="231F20"/>
        </w:rPr>
        <w:t xml:space="preserve">Strengthen implementation of Health Service Charters at all levels, with Civil Society Organizations, traditional and religious institutions to promote the concept of citizen's rights and entitlement to </w:t>
      </w:r>
      <w:r>
        <w:rPr>
          <w:color w:val="231F20"/>
          <w:spacing w:val="-3"/>
        </w:rPr>
        <w:t xml:space="preserve">quality, </w:t>
      </w:r>
      <w:r>
        <w:rPr>
          <w:color w:val="231F20"/>
        </w:rPr>
        <w:t xml:space="preserve">accessible basic health services. Key actions involved are; Develop </w:t>
      </w:r>
      <w:r>
        <w:rPr>
          <w:color w:val="231F20"/>
          <w:spacing w:val="-12"/>
        </w:rPr>
        <w:t xml:space="preserve">&amp; </w:t>
      </w:r>
      <w:r>
        <w:rPr>
          <w:color w:val="231F20"/>
        </w:rPr>
        <w:t>implement</w:t>
      </w:r>
      <w:r>
        <w:rPr>
          <w:color w:val="231F20"/>
          <w:spacing w:val="-9"/>
        </w:rPr>
        <w:t xml:space="preserve"> </w:t>
      </w:r>
      <w:r>
        <w:rPr>
          <w:color w:val="231F20"/>
        </w:rPr>
        <w:t>health</w:t>
      </w:r>
      <w:r>
        <w:rPr>
          <w:color w:val="231F20"/>
          <w:spacing w:val="-8"/>
        </w:rPr>
        <w:t xml:space="preserve"> </w:t>
      </w:r>
      <w:r>
        <w:rPr>
          <w:color w:val="231F20"/>
        </w:rPr>
        <w:t>service</w:t>
      </w:r>
      <w:r>
        <w:rPr>
          <w:color w:val="231F20"/>
          <w:spacing w:val="-9"/>
        </w:rPr>
        <w:t xml:space="preserve"> </w:t>
      </w:r>
      <w:r>
        <w:rPr>
          <w:color w:val="231F20"/>
        </w:rPr>
        <w:t>charters</w:t>
      </w:r>
      <w:r>
        <w:rPr>
          <w:color w:val="231F20"/>
          <w:spacing w:val="-9"/>
        </w:rPr>
        <w:t xml:space="preserve"> </w:t>
      </w:r>
      <w:r>
        <w:rPr>
          <w:color w:val="231F20"/>
        </w:rPr>
        <w:t>for</w:t>
      </w:r>
      <w:r>
        <w:rPr>
          <w:color w:val="231F20"/>
          <w:spacing w:val="-9"/>
        </w:rPr>
        <w:t xml:space="preserve"> </w:t>
      </w:r>
      <w:r>
        <w:rPr>
          <w:color w:val="231F20"/>
        </w:rPr>
        <w:t>CSOs,</w:t>
      </w:r>
      <w:r>
        <w:rPr>
          <w:color w:val="231F20"/>
          <w:spacing w:val="-9"/>
        </w:rPr>
        <w:t xml:space="preserve"> </w:t>
      </w:r>
      <w:r>
        <w:rPr>
          <w:color w:val="231F20"/>
        </w:rPr>
        <w:t>communities,</w:t>
      </w:r>
      <w:r>
        <w:rPr>
          <w:color w:val="231F20"/>
          <w:spacing w:val="-8"/>
        </w:rPr>
        <w:t xml:space="preserve"> </w:t>
      </w:r>
      <w:r>
        <w:rPr>
          <w:color w:val="231F20"/>
        </w:rPr>
        <w:t>service</w:t>
      </w:r>
      <w:r>
        <w:rPr>
          <w:color w:val="231F20"/>
          <w:spacing w:val="-9"/>
        </w:rPr>
        <w:t xml:space="preserve"> </w:t>
      </w:r>
      <w:r>
        <w:rPr>
          <w:color w:val="231F20"/>
        </w:rPr>
        <w:t>providers</w:t>
      </w:r>
      <w:r>
        <w:rPr>
          <w:color w:val="231F20"/>
          <w:spacing w:val="-8"/>
        </w:rPr>
        <w:t xml:space="preserve"> </w:t>
      </w:r>
      <w:r>
        <w:rPr>
          <w:color w:val="231F20"/>
        </w:rPr>
        <w:t>(PPMVs,</w:t>
      </w:r>
      <w:r>
        <w:rPr>
          <w:color w:val="231F20"/>
          <w:spacing w:val="-10"/>
        </w:rPr>
        <w:t xml:space="preserve"> </w:t>
      </w:r>
      <w:r>
        <w:rPr>
          <w:color w:val="231F20"/>
        </w:rPr>
        <w:t>traditional, private &amp; public), government and partners; Establish a joint monitoring group to assess level of compliance with health service charters; Put in place community health perception index (e.g. opinion</w:t>
      </w:r>
      <w:r>
        <w:rPr>
          <w:color w:val="231F20"/>
          <w:spacing w:val="-26"/>
        </w:rPr>
        <w:t xml:space="preserve"> </w:t>
      </w:r>
      <w:r>
        <w:rPr>
          <w:color w:val="231F20"/>
        </w:rPr>
        <w:t>posts)</w:t>
      </w:r>
      <w:r>
        <w:rPr>
          <w:color w:val="231F20"/>
          <w:spacing w:val="-25"/>
        </w:rPr>
        <w:t xml:space="preserve"> </w:t>
      </w:r>
      <w:r>
        <w:rPr>
          <w:color w:val="231F20"/>
        </w:rPr>
        <w:t>at</w:t>
      </w:r>
      <w:r>
        <w:rPr>
          <w:color w:val="231F20"/>
          <w:spacing w:val="-25"/>
        </w:rPr>
        <w:t xml:space="preserve"> </w:t>
      </w:r>
      <w:r>
        <w:rPr>
          <w:color w:val="231F20"/>
        </w:rPr>
        <w:t>every</w:t>
      </w:r>
      <w:r>
        <w:rPr>
          <w:color w:val="231F20"/>
          <w:spacing w:val="-25"/>
        </w:rPr>
        <w:t xml:space="preserve"> </w:t>
      </w:r>
      <w:r>
        <w:rPr>
          <w:color w:val="231F20"/>
        </w:rPr>
        <w:t>Ward.</w:t>
      </w:r>
    </w:p>
    <w:p w14:paraId="0FDA06FE" w14:textId="77777777" w:rsidR="009948F1" w:rsidRDefault="009948F1">
      <w:pPr>
        <w:jc w:val="both"/>
        <w:sectPr w:rsidR="009948F1">
          <w:pgSz w:w="11910" w:h="16840"/>
          <w:pgMar w:top="1240" w:right="1080" w:bottom="1420" w:left="1120" w:header="0" w:footer="1235" w:gutter="0"/>
          <w:cols w:space="720"/>
        </w:sectPr>
      </w:pPr>
    </w:p>
    <w:p w14:paraId="3A4AF173" w14:textId="77777777" w:rsidR="009948F1" w:rsidRDefault="00BC0563">
      <w:pPr>
        <w:pStyle w:val="Heading1"/>
        <w:spacing w:line="478" w:lineRule="exact"/>
        <w:ind w:left="977"/>
      </w:pPr>
      <w:bookmarkStart w:id="60" w:name="_TOC_250021"/>
      <w:bookmarkEnd w:id="60"/>
      <w:r>
        <w:rPr>
          <w:color w:val="231F20"/>
        </w:rPr>
        <w:lastRenderedPageBreak/>
        <w:t>CHAPTER 5</w:t>
      </w:r>
    </w:p>
    <w:p w14:paraId="681DA4F0" w14:textId="77777777" w:rsidR="009948F1" w:rsidRDefault="00BC0563">
      <w:pPr>
        <w:pStyle w:val="Heading3"/>
        <w:spacing w:before="131" w:line="196" w:lineRule="auto"/>
        <w:ind w:left="981" w:right="1240" w:hanging="1"/>
      </w:pPr>
      <w:r>
        <w:rPr>
          <w:color w:val="231F20"/>
        </w:rPr>
        <w:t>STRATEGIC PILLAR TWO: PROVISION OF ESSENTIAL PACKAGE OF HEALTH CARE SERVICES</w:t>
      </w:r>
    </w:p>
    <w:p w14:paraId="544D750F" w14:textId="77777777" w:rsidR="009948F1" w:rsidRDefault="009948F1">
      <w:pPr>
        <w:pStyle w:val="BodyText"/>
        <w:spacing w:before="3"/>
        <w:rPr>
          <w:rFonts w:ascii="Tahoma"/>
          <w:b/>
          <w:sz w:val="21"/>
        </w:rPr>
      </w:pPr>
    </w:p>
    <w:p w14:paraId="3A90B38A" w14:textId="77777777" w:rsidR="009948F1" w:rsidRDefault="00BC0563">
      <w:pPr>
        <w:pStyle w:val="BodyText"/>
        <w:spacing w:before="64"/>
        <w:ind w:left="141"/>
        <w:jc w:val="both"/>
      </w:pPr>
      <w:r>
        <w:rPr>
          <w:color w:val="231F20"/>
        </w:rPr>
        <w:t>The proposed Essential Package intended for delivery within the plan period comprises of:</w:t>
      </w:r>
    </w:p>
    <w:p w14:paraId="5C448EF8" w14:textId="766556F8" w:rsidR="009948F1" w:rsidRDefault="00BC0563" w:rsidP="003B1182">
      <w:pPr>
        <w:pStyle w:val="ListParagraph"/>
        <w:numPr>
          <w:ilvl w:val="4"/>
          <w:numId w:val="294"/>
        </w:numPr>
        <w:tabs>
          <w:tab w:val="left" w:pos="862"/>
        </w:tabs>
        <w:spacing w:before="51" w:line="288" w:lineRule="auto"/>
        <w:ind w:right="197"/>
      </w:pPr>
      <w:r w:rsidRPr="003B1182">
        <w:rPr>
          <w:color w:val="231F20"/>
        </w:rPr>
        <w:t>Reproductive,</w:t>
      </w:r>
      <w:r w:rsidRPr="003B1182">
        <w:rPr>
          <w:color w:val="231F20"/>
          <w:spacing w:val="-22"/>
        </w:rPr>
        <w:t xml:space="preserve"> </w:t>
      </w:r>
      <w:r w:rsidRPr="003B1182">
        <w:rPr>
          <w:color w:val="231F20"/>
        </w:rPr>
        <w:t>maternal,</w:t>
      </w:r>
      <w:r w:rsidRPr="003B1182">
        <w:rPr>
          <w:color w:val="231F20"/>
          <w:spacing w:val="-21"/>
        </w:rPr>
        <w:t xml:space="preserve"> </w:t>
      </w:r>
      <w:r w:rsidRPr="003B1182">
        <w:rPr>
          <w:color w:val="231F20"/>
        </w:rPr>
        <w:t>neonatal,</w:t>
      </w:r>
      <w:r w:rsidRPr="003B1182">
        <w:rPr>
          <w:color w:val="231F20"/>
          <w:spacing w:val="-22"/>
        </w:rPr>
        <w:t xml:space="preserve"> </w:t>
      </w:r>
      <w:r w:rsidRPr="003B1182">
        <w:rPr>
          <w:color w:val="231F20"/>
        </w:rPr>
        <w:t>child,</w:t>
      </w:r>
      <w:r w:rsidRPr="003B1182">
        <w:rPr>
          <w:color w:val="231F20"/>
          <w:spacing w:val="-21"/>
        </w:rPr>
        <w:t xml:space="preserve"> </w:t>
      </w:r>
      <w:r w:rsidRPr="003B1182">
        <w:rPr>
          <w:color w:val="231F20"/>
        </w:rPr>
        <w:t>adolescent</w:t>
      </w:r>
      <w:r w:rsidRPr="003B1182">
        <w:rPr>
          <w:color w:val="231F20"/>
          <w:spacing w:val="-22"/>
        </w:rPr>
        <w:t xml:space="preserve"> </w:t>
      </w:r>
      <w:r w:rsidRPr="003B1182">
        <w:rPr>
          <w:color w:val="231F20"/>
        </w:rPr>
        <w:t>health</w:t>
      </w:r>
      <w:r w:rsidRPr="003B1182">
        <w:rPr>
          <w:color w:val="231F20"/>
          <w:spacing w:val="-21"/>
        </w:rPr>
        <w:t xml:space="preserve"> </w:t>
      </w:r>
      <w:r w:rsidRPr="003B1182">
        <w:rPr>
          <w:color w:val="231F20"/>
        </w:rPr>
        <w:t>and</w:t>
      </w:r>
      <w:r w:rsidRPr="003B1182">
        <w:rPr>
          <w:color w:val="231F20"/>
          <w:spacing w:val="-22"/>
        </w:rPr>
        <w:t xml:space="preserve"> </w:t>
      </w:r>
      <w:r w:rsidRPr="003B1182">
        <w:rPr>
          <w:color w:val="231F20"/>
        </w:rPr>
        <w:t>nutrition</w:t>
      </w:r>
      <w:r w:rsidRPr="003B1182">
        <w:rPr>
          <w:color w:val="231F20"/>
          <w:spacing w:val="-21"/>
        </w:rPr>
        <w:t xml:space="preserve"> </w:t>
      </w:r>
      <w:r w:rsidRPr="003B1182">
        <w:rPr>
          <w:color w:val="231F20"/>
        </w:rPr>
        <w:t>(including</w:t>
      </w:r>
      <w:r w:rsidRPr="003B1182">
        <w:rPr>
          <w:color w:val="231F20"/>
          <w:spacing w:val="-22"/>
        </w:rPr>
        <w:t xml:space="preserve"> </w:t>
      </w:r>
      <w:r w:rsidRPr="003B1182">
        <w:rPr>
          <w:color w:val="231F20"/>
          <w:spacing w:val="-3"/>
        </w:rPr>
        <w:t xml:space="preserve">Focused </w:t>
      </w:r>
      <w:r w:rsidRPr="003B1182">
        <w:rPr>
          <w:color w:val="231F20"/>
        </w:rPr>
        <w:t xml:space="preserve">antenatal care; Skilled delivery and emergency obstetric care; Obstetrics fistula </w:t>
      </w:r>
      <w:r w:rsidRPr="003B1182">
        <w:rPr>
          <w:color w:val="231F20"/>
          <w:spacing w:val="-3"/>
        </w:rPr>
        <w:t>care;</w:t>
      </w:r>
      <w:r w:rsidRPr="003B1182">
        <w:rPr>
          <w:color w:val="231F20"/>
          <w:spacing w:val="55"/>
        </w:rPr>
        <w:t xml:space="preserve"> </w:t>
      </w:r>
      <w:r w:rsidRPr="003B1182">
        <w:rPr>
          <w:color w:val="231F20"/>
        </w:rPr>
        <w:t xml:space="preserve">Sexual and reproductive health services, including family planning; Newborn and </w:t>
      </w:r>
      <w:r w:rsidRPr="003B1182">
        <w:rPr>
          <w:color w:val="231F20"/>
          <w:spacing w:val="-3"/>
        </w:rPr>
        <w:t xml:space="preserve">child </w:t>
      </w:r>
      <w:r w:rsidRPr="003B1182">
        <w:rPr>
          <w:color w:val="231F20"/>
        </w:rPr>
        <w:t>health</w:t>
      </w:r>
      <w:r w:rsidRPr="003B1182">
        <w:rPr>
          <w:color w:val="231F20"/>
          <w:spacing w:val="-26"/>
        </w:rPr>
        <w:t xml:space="preserve"> </w:t>
      </w:r>
      <w:r w:rsidRPr="003B1182">
        <w:rPr>
          <w:color w:val="231F20"/>
        </w:rPr>
        <w:t>care</w:t>
      </w:r>
      <w:r w:rsidRPr="003B1182">
        <w:rPr>
          <w:color w:val="231F20"/>
          <w:spacing w:val="-25"/>
        </w:rPr>
        <w:t xml:space="preserve"> </w:t>
      </w:r>
      <w:r w:rsidRPr="003B1182">
        <w:rPr>
          <w:color w:val="231F20"/>
        </w:rPr>
        <w:t>(essential</w:t>
      </w:r>
      <w:r w:rsidRPr="003B1182">
        <w:rPr>
          <w:color w:val="231F20"/>
          <w:spacing w:val="-25"/>
        </w:rPr>
        <w:t xml:space="preserve"> </w:t>
      </w:r>
      <w:r w:rsidRPr="003B1182">
        <w:rPr>
          <w:color w:val="231F20"/>
        </w:rPr>
        <w:t>newborn</w:t>
      </w:r>
      <w:r w:rsidRPr="003B1182">
        <w:rPr>
          <w:color w:val="231F20"/>
          <w:spacing w:val="-25"/>
        </w:rPr>
        <w:t xml:space="preserve"> </w:t>
      </w:r>
      <w:r w:rsidRPr="003B1182">
        <w:rPr>
          <w:color w:val="231F20"/>
        </w:rPr>
        <w:t>care,</w:t>
      </w:r>
      <w:r w:rsidRPr="003B1182">
        <w:rPr>
          <w:color w:val="231F20"/>
          <w:spacing w:val="-25"/>
        </w:rPr>
        <w:t xml:space="preserve"> </w:t>
      </w:r>
      <w:r w:rsidRPr="003B1182">
        <w:rPr>
          <w:color w:val="231F20"/>
        </w:rPr>
        <w:t>IMCI</w:t>
      </w:r>
      <w:r w:rsidRPr="003B1182">
        <w:rPr>
          <w:color w:val="231F20"/>
          <w:spacing w:val="-25"/>
        </w:rPr>
        <w:t xml:space="preserve"> </w:t>
      </w:r>
      <w:r w:rsidRPr="003B1182">
        <w:rPr>
          <w:color w:val="231F20"/>
        </w:rPr>
        <w:t>and</w:t>
      </w:r>
      <w:r w:rsidRPr="003B1182">
        <w:rPr>
          <w:color w:val="231F20"/>
          <w:spacing w:val="-25"/>
        </w:rPr>
        <w:t xml:space="preserve"> </w:t>
      </w:r>
      <w:r w:rsidRPr="003B1182">
        <w:rPr>
          <w:color w:val="231F20"/>
        </w:rPr>
        <w:t>C-IMCI</w:t>
      </w:r>
      <w:r w:rsidRPr="003B1182">
        <w:rPr>
          <w:color w:val="231F20"/>
          <w:spacing w:val="-25"/>
        </w:rPr>
        <w:t xml:space="preserve"> </w:t>
      </w:r>
      <w:r w:rsidRPr="003B1182">
        <w:rPr>
          <w:color w:val="231F20"/>
        </w:rPr>
        <w:t>and</w:t>
      </w:r>
      <w:r w:rsidRPr="003B1182">
        <w:rPr>
          <w:color w:val="231F20"/>
          <w:spacing w:val="-25"/>
        </w:rPr>
        <w:t xml:space="preserve"> </w:t>
      </w:r>
      <w:r w:rsidRPr="003B1182">
        <w:rPr>
          <w:color w:val="231F20"/>
        </w:rPr>
        <w:t>Nutrition)</w:t>
      </w:r>
    </w:p>
    <w:p w14:paraId="4D2DB821" w14:textId="482779C8" w:rsidR="009948F1" w:rsidRPr="003B1182" w:rsidRDefault="00BC0563" w:rsidP="003B1182">
      <w:pPr>
        <w:pStyle w:val="ListParagraph"/>
        <w:numPr>
          <w:ilvl w:val="4"/>
          <w:numId w:val="294"/>
        </w:numPr>
        <w:tabs>
          <w:tab w:val="left" w:pos="862"/>
        </w:tabs>
        <w:spacing w:line="288" w:lineRule="auto"/>
        <w:ind w:right="198"/>
        <w:rPr>
          <w:color w:val="231F20"/>
        </w:rPr>
      </w:pPr>
      <w:r w:rsidRPr="003B1182">
        <w:rPr>
          <w:color w:val="231F20"/>
        </w:rPr>
        <w:t>Control</w:t>
      </w:r>
      <w:r w:rsidRPr="003B1182">
        <w:rPr>
          <w:color w:val="231F20"/>
          <w:spacing w:val="-10"/>
        </w:rPr>
        <w:t xml:space="preserve"> </w:t>
      </w:r>
      <w:r w:rsidRPr="003B1182">
        <w:rPr>
          <w:color w:val="231F20"/>
        </w:rPr>
        <w:t>of</w:t>
      </w:r>
      <w:r w:rsidRPr="003B1182">
        <w:rPr>
          <w:color w:val="231F20"/>
          <w:spacing w:val="-9"/>
        </w:rPr>
        <w:t xml:space="preserve"> </w:t>
      </w:r>
      <w:r w:rsidRPr="003B1182">
        <w:rPr>
          <w:color w:val="231F20"/>
        </w:rPr>
        <w:t>communicable</w:t>
      </w:r>
      <w:r w:rsidRPr="003B1182">
        <w:rPr>
          <w:color w:val="231F20"/>
          <w:spacing w:val="-9"/>
        </w:rPr>
        <w:t xml:space="preserve"> </w:t>
      </w:r>
      <w:r w:rsidRPr="003B1182">
        <w:rPr>
          <w:color w:val="231F20"/>
        </w:rPr>
        <w:t>diseases</w:t>
      </w:r>
      <w:r w:rsidRPr="003B1182">
        <w:rPr>
          <w:color w:val="231F20"/>
          <w:spacing w:val="-9"/>
        </w:rPr>
        <w:t xml:space="preserve"> </w:t>
      </w:r>
      <w:r w:rsidRPr="003B1182">
        <w:rPr>
          <w:color w:val="231F20"/>
        </w:rPr>
        <w:t>and</w:t>
      </w:r>
      <w:r w:rsidRPr="003B1182">
        <w:rPr>
          <w:color w:val="231F20"/>
          <w:spacing w:val="-9"/>
        </w:rPr>
        <w:t xml:space="preserve"> </w:t>
      </w:r>
      <w:r w:rsidRPr="003B1182">
        <w:rPr>
          <w:color w:val="231F20"/>
        </w:rPr>
        <w:t>neglected</w:t>
      </w:r>
      <w:r w:rsidRPr="003B1182">
        <w:rPr>
          <w:color w:val="231F20"/>
          <w:spacing w:val="-9"/>
        </w:rPr>
        <w:t xml:space="preserve"> </w:t>
      </w:r>
      <w:r w:rsidRPr="003B1182">
        <w:rPr>
          <w:color w:val="231F20"/>
        </w:rPr>
        <w:t>tropical</w:t>
      </w:r>
      <w:r w:rsidRPr="003B1182">
        <w:rPr>
          <w:color w:val="231F20"/>
          <w:spacing w:val="-10"/>
        </w:rPr>
        <w:t xml:space="preserve"> </w:t>
      </w:r>
      <w:r w:rsidRPr="003B1182">
        <w:rPr>
          <w:color w:val="231F20"/>
        </w:rPr>
        <w:t>diseases</w:t>
      </w:r>
      <w:r w:rsidRPr="003B1182">
        <w:rPr>
          <w:color w:val="231F20"/>
          <w:spacing w:val="-9"/>
        </w:rPr>
        <w:t xml:space="preserve"> </w:t>
      </w:r>
      <w:r w:rsidRPr="003B1182">
        <w:rPr>
          <w:color w:val="231F20"/>
        </w:rPr>
        <w:t>(malaria,</w:t>
      </w:r>
      <w:r w:rsidRPr="003B1182">
        <w:rPr>
          <w:color w:val="231F20"/>
          <w:spacing w:val="-9"/>
        </w:rPr>
        <w:t xml:space="preserve"> </w:t>
      </w:r>
      <w:r w:rsidRPr="003B1182">
        <w:rPr>
          <w:color w:val="231F20"/>
        </w:rPr>
        <w:t>tuberculosis, HIV/AIDS,</w:t>
      </w:r>
      <w:r w:rsidRPr="003B1182">
        <w:rPr>
          <w:color w:val="231F20"/>
          <w:spacing w:val="-25"/>
        </w:rPr>
        <w:t xml:space="preserve"> </w:t>
      </w:r>
      <w:r w:rsidRPr="003B1182">
        <w:rPr>
          <w:color w:val="231F20"/>
        </w:rPr>
        <w:t>hepatitis,</w:t>
      </w:r>
      <w:r w:rsidRPr="003B1182">
        <w:rPr>
          <w:color w:val="231F20"/>
          <w:spacing w:val="-25"/>
        </w:rPr>
        <w:t xml:space="preserve"> </w:t>
      </w:r>
      <w:r w:rsidRPr="003B1182">
        <w:rPr>
          <w:color w:val="231F20"/>
        </w:rPr>
        <w:t>and</w:t>
      </w:r>
      <w:r w:rsidRPr="003B1182">
        <w:rPr>
          <w:color w:val="231F20"/>
          <w:spacing w:val="-25"/>
        </w:rPr>
        <w:t xml:space="preserve"> </w:t>
      </w:r>
      <w:r w:rsidRPr="003B1182">
        <w:rPr>
          <w:color w:val="231F20"/>
        </w:rPr>
        <w:t>NTD)</w:t>
      </w:r>
    </w:p>
    <w:p w14:paraId="6DFDA360" w14:textId="77777777" w:rsidR="009948F1" w:rsidRDefault="00BC0563">
      <w:pPr>
        <w:pStyle w:val="ListParagraph"/>
        <w:numPr>
          <w:ilvl w:val="4"/>
          <w:numId w:val="294"/>
        </w:numPr>
        <w:tabs>
          <w:tab w:val="left" w:pos="862"/>
        </w:tabs>
        <w:spacing w:line="288" w:lineRule="auto"/>
        <w:ind w:right="198"/>
      </w:pPr>
      <w:r>
        <w:rPr>
          <w:color w:val="231F20"/>
        </w:rPr>
        <w:t>Control</w:t>
      </w:r>
      <w:r>
        <w:rPr>
          <w:color w:val="231F20"/>
          <w:spacing w:val="-20"/>
        </w:rPr>
        <w:t xml:space="preserve"> </w:t>
      </w:r>
      <w:r>
        <w:rPr>
          <w:color w:val="231F20"/>
        </w:rPr>
        <w:t>of</w:t>
      </w:r>
      <w:r>
        <w:rPr>
          <w:color w:val="231F20"/>
          <w:spacing w:val="-21"/>
        </w:rPr>
        <w:t xml:space="preserve"> </w:t>
      </w:r>
      <w:r>
        <w:rPr>
          <w:color w:val="231F20"/>
        </w:rPr>
        <w:t>non-communicable</w:t>
      </w:r>
      <w:r>
        <w:rPr>
          <w:color w:val="231F20"/>
          <w:spacing w:val="-20"/>
        </w:rPr>
        <w:t xml:space="preserve"> </w:t>
      </w:r>
      <w:r>
        <w:rPr>
          <w:color w:val="231F20"/>
        </w:rPr>
        <w:t>diseases</w:t>
      </w:r>
      <w:r>
        <w:rPr>
          <w:color w:val="231F20"/>
          <w:spacing w:val="-20"/>
        </w:rPr>
        <w:t xml:space="preserve"> </w:t>
      </w:r>
      <w:r>
        <w:rPr>
          <w:color w:val="231F20"/>
        </w:rPr>
        <w:t>(cardiovascular</w:t>
      </w:r>
      <w:r>
        <w:rPr>
          <w:color w:val="231F20"/>
          <w:spacing w:val="-20"/>
        </w:rPr>
        <w:t xml:space="preserve"> </w:t>
      </w:r>
      <w:r>
        <w:rPr>
          <w:color w:val="231F20"/>
        </w:rPr>
        <w:t>diseases,</w:t>
      </w:r>
      <w:r>
        <w:rPr>
          <w:color w:val="231F20"/>
          <w:spacing w:val="-20"/>
        </w:rPr>
        <w:t xml:space="preserve"> </w:t>
      </w:r>
      <w:r>
        <w:rPr>
          <w:color w:val="231F20"/>
        </w:rPr>
        <w:t>diabetes,</w:t>
      </w:r>
      <w:r>
        <w:rPr>
          <w:color w:val="231F20"/>
          <w:spacing w:val="-19"/>
        </w:rPr>
        <w:t xml:space="preserve"> </w:t>
      </w:r>
      <w:r>
        <w:rPr>
          <w:color w:val="231F20"/>
        </w:rPr>
        <w:t>cancers,</w:t>
      </w:r>
      <w:r>
        <w:rPr>
          <w:color w:val="231F20"/>
          <w:spacing w:val="-20"/>
        </w:rPr>
        <w:t xml:space="preserve"> </w:t>
      </w:r>
      <w:r>
        <w:rPr>
          <w:color w:val="231F20"/>
          <w:spacing w:val="-3"/>
        </w:rPr>
        <w:t xml:space="preserve">sickle </w:t>
      </w:r>
      <w:r>
        <w:rPr>
          <w:color w:val="231F20"/>
        </w:rPr>
        <w:t>cell</w:t>
      </w:r>
      <w:r>
        <w:rPr>
          <w:color w:val="231F20"/>
          <w:spacing w:val="-25"/>
        </w:rPr>
        <w:t xml:space="preserve"> </w:t>
      </w:r>
      <w:r>
        <w:rPr>
          <w:color w:val="231F20"/>
        </w:rPr>
        <w:t>disease)</w:t>
      </w:r>
    </w:p>
    <w:p w14:paraId="36718E77" w14:textId="77777777" w:rsidR="009948F1" w:rsidRDefault="00BC0563">
      <w:pPr>
        <w:pStyle w:val="ListParagraph"/>
        <w:numPr>
          <w:ilvl w:val="4"/>
          <w:numId w:val="294"/>
        </w:numPr>
        <w:tabs>
          <w:tab w:val="left" w:pos="862"/>
        </w:tabs>
        <w:spacing w:before="1"/>
        <w:ind w:hanging="361"/>
      </w:pPr>
      <w:r>
        <w:rPr>
          <w:color w:val="231F20"/>
        </w:rPr>
        <w:t>Mental</w:t>
      </w:r>
      <w:r>
        <w:rPr>
          <w:color w:val="231F20"/>
          <w:spacing w:val="-25"/>
        </w:rPr>
        <w:t xml:space="preserve"> </w:t>
      </w:r>
      <w:r>
        <w:rPr>
          <w:color w:val="231F20"/>
        </w:rPr>
        <w:t>health</w:t>
      </w:r>
    </w:p>
    <w:p w14:paraId="3D7336FC" w14:textId="77777777" w:rsidR="009948F1" w:rsidRDefault="00BC0563">
      <w:pPr>
        <w:pStyle w:val="ListParagraph"/>
        <w:numPr>
          <w:ilvl w:val="4"/>
          <w:numId w:val="294"/>
        </w:numPr>
        <w:tabs>
          <w:tab w:val="left" w:pos="861"/>
          <w:tab w:val="left" w:pos="862"/>
        </w:tabs>
        <w:spacing w:before="50"/>
        <w:ind w:hanging="361"/>
      </w:pPr>
      <w:r>
        <w:rPr>
          <w:color w:val="231F20"/>
        </w:rPr>
        <w:t>Oral</w:t>
      </w:r>
      <w:r>
        <w:rPr>
          <w:color w:val="231F20"/>
          <w:spacing w:val="-26"/>
        </w:rPr>
        <w:t xml:space="preserve"> </w:t>
      </w:r>
      <w:r>
        <w:rPr>
          <w:color w:val="231F20"/>
        </w:rPr>
        <w:t>health</w:t>
      </w:r>
    </w:p>
    <w:p w14:paraId="08112D87" w14:textId="77777777" w:rsidR="009948F1" w:rsidRDefault="00BC0563">
      <w:pPr>
        <w:pStyle w:val="ListParagraph"/>
        <w:numPr>
          <w:ilvl w:val="4"/>
          <w:numId w:val="294"/>
        </w:numPr>
        <w:tabs>
          <w:tab w:val="left" w:pos="862"/>
        </w:tabs>
        <w:spacing w:before="51"/>
        <w:ind w:hanging="361"/>
      </w:pPr>
      <w:r>
        <w:rPr>
          <w:color w:val="231F20"/>
        </w:rPr>
        <w:t>Eye</w:t>
      </w:r>
      <w:r>
        <w:rPr>
          <w:color w:val="231F20"/>
          <w:spacing w:val="-26"/>
        </w:rPr>
        <w:t xml:space="preserve"> </w:t>
      </w:r>
      <w:r>
        <w:rPr>
          <w:color w:val="231F20"/>
        </w:rPr>
        <w:t>Health</w:t>
      </w:r>
    </w:p>
    <w:p w14:paraId="160C4E91" w14:textId="77777777" w:rsidR="009948F1" w:rsidRDefault="00BC0563">
      <w:pPr>
        <w:pStyle w:val="ListParagraph"/>
        <w:numPr>
          <w:ilvl w:val="4"/>
          <w:numId w:val="294"/>
        </w:numPr>
        <w:tabs>
          <w:tab w:val="left" w:pos="862"/>
        </w:tabs>
        <w:spacing w:before="51"/>
        <w:ind w:hanging="361"/>
      </w:pPr>
      <w:r>
        <w:rPr>
          <w:color w:val="231F20"/>
        </w:rPr>
        <w:t>Care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elderly</w:t>
      </w:r>
    </w:p>
    <w:p w14:paraId="712EBED4" w14:textId="7A27F9EE" w:rsidR="009948F1" w:rsidRDefault="00BC0563">
      <w:pPr>
        <w:pStyle w:val="ListParagraph"/>
        <w:numPr>
          <w:ilvl w:val="4"/>
          <w:numId w:val="294"/>
        </w:numPr>
        <w:tabs>
          <w:tab w:val="left" w:pos="862"/>
        </w:tabs>
        <w:spacing w:before="50"/>
        <w:ind w:hanging="361"/>
      </w:pPr>
      <w:r>
        <w:rPr>
          <w:color w:val="231F20"/>
        </w:rPr>
        <w:t>Public health</w:t>
      </w:r>
      <w:r w:rsidR="00ED4AE7">
        <w:rPr>
          <w:color w:val="231F20"/>
        </w:rPr>
        <w:t xml:space="preserve"> </w:t>
      </w:r>
      <w:r>
        <w:rPr>
          <w:color w:val="231F20"/>
          <w:spacing w:val="-50"/>
        </w:rPr>
        <w:t xml:space="preserve"> </w:t>
      </w:r>
      <w:r>
        <w:rPr>
          <w:color w:val="231F20"/>
        </w:rPr>
        <w:t>emergencies</w:t>
      </w:r>
    </w:p>
    <w:p w14:paraId="295BC706" w14:textId="77777777" w:rsidR="009948F1" w:rsidRDefault="00BC0563">
      <w:pPr>
        <w:pStyle w:val="ListParagraph"/>
        <w:numPr>
          <w:ilvl w:val="4"/>
          <w:numId w:val="294"/>
        </w:numPr>
        <w:tabs>
          <w:tab w:val="left" w:pos="862"/>
        </w:tabs>
        <w:spacing w:before="51"/>
        <w:ind w:hanging="361"/>
      </w:pPr>
      <w:r>
        <w:rPr>
          <w:color w:val="231F20"/>
        </w:rPr>
        <w:t>Environmental</w:t>
      </w:r>
      <w:r>
        <w:rPr>
          <w:color w:val="231F20"/>
          <w:spacing w:val="-25"/>
        </w:rPr>
        <w:t xml:space="preserve"> </w:t>
      </w:r>
      <w:r>
        <w:rPr>
          <w:color w:val="231F20"/>
        </w:rPr>
        <w:t>health</w:t>
      </w:r>
      <w:r>
        <w:rPr>
          <w:color w:val="231F20"/>
          <w:spacing w:val="-25"/>
        </w:rPr>
        <w:t xml:space="preserve"> </w:t>
      </w:r>
      <w:r>
        <w:rPr>
          <w:color w:val="231F20"/>
        </w:rPr>
        <w:t>(water</w:t>
      </w:r>
      <w:r>
        <w:rPr>
          <w:color w:val="231F20"/>
          <w:spacing w:val="-25"/>
        </w:rPr>
        <w:t xml:space="preserve"> </w:t>
      </w:r>
      <w:r>
        <w:rPr>
          <w:color w:val="231F20"/>
        </w:rPr>
        <w:t>and</w:t>
      </w:r>
      <w:r>
        <w:rPr>
          <w:color w:val="231F20"/>
          <w:spacing w:val="-25"/>
        </w:rPr>
        <w:t xml:space="preserve"> </w:t>
      </w:r>
      <w:r>
        <w:rPr>
          <w:color w:val="231F20"/>
        </w:rPr>
        <w:t>sanitation,</w:t>
      </w:r>
      <w:r>
        <w:rPr>
          <w:color w:val="231F20"/>
          <w:spacing w:val="-25"/>
        </w:rPr>
        <w:t xml:space="preserve"> </w:t>
      </w:r>
      <w:r>
        <w:rPr>
          <w:color w:val="231F20"/>
        </w:rPr>
        <w:t>food</w:t>
      </w:r>
      <w:r>
        <w:rPr>
          <w:color w:val="231F20"/>
          <w:spacing w:val="-25"/>
        </w:rPr>
        <w:t xml:space="preserve"> </w:t>
      </w:r>
      <w:r>
        <w:rPr>
          <w:color w:val="231F20"/>
          <w:spacing w:val="-3"/>
        </w:rPr>
        <w:t>safety,</w:t>
      </w:r>
      <w:r>
        <w:rPr>
          <w:color w:val="231F20"/>
          <w:spacing w:val="-25"/>
        </w:rPr>
        <w:t xml:space="preserve"> </w:t>
      </w:r>
      <w:r>
        <w:rPr>
          <w:color w:val="231F20"/>
        </w:rPr>
        <w:t>chemicals</w:t>
      </w:r>
      <w:r>
        <w:rPr>
          <w:color w:val="231F20"/>
          <w:spacing w:val="-25"/>
        </w:rPr>
        <w:t xml:space="preserve"> </w:t>
      </w:r>
      <w:r>
        <w:rPr>
          <w:color w:val="231F20"/>
        </w:rPr>
        <w:t>and</w:t>
      </w:r>
      <w:r>
        <w:rPr>
          <w:color w:val="231F20"/>
          <w:spacing w:val="-25"/>
        </w:rPr>
        <w:t xml:space="preserve"> </w:t>
      </w:r>
      <w:r>
        <w:rPr>
          <w:color w:val="231F20"/>
        </w:rPr>
        <w:t>snake</w:t>
      </w:r>
      <w:r>
        <w:rPr>
          <w:color w:val="231F20"/>
          <w:spacing w:val="-25"/>
        </w:rPr>
        <w:t xml:space="preserve"> </w:t>
      </w:r>
      <w:r>
        <w:rPr>
          <w:color w:val="231F20"/>
        </w:rPr>
        <w:t>bites</w:t>
      </w:r>
    </w:p>
    <w:p w14:paraId="40EEFC55" w14:textId="77777777" w:rsidR="009948F1" w:rsidRDefault="00BC0563">
      <w:pPr>
        <w:pStyle w:val="ListParagraph"/>
        <w:numPr>
          <w:ilvl w:val="4"/>
          <w:numId w:val="294"/>
        </w:numPr>
        <w:tabs>
          <w:tab w:val="left" w:pos="862"/>
        </w:tabs>
        <w:spacing w:before="51"/>
        <w:ind w:hanging="361"/>
      </w:pPr>
      <w:r>
        <w:rPr>
          <w:color w:val="231F20"/>
        </w:rPr>
        <w:t>Essential</w:t>
      </w:r>
      <w:r>
        <w:rPr>
          <w:color w:val="231F20"/>
          <w:spacing w:val="-25"/>
        </w:rPr>
        <w:t xml:space="preserve"> </w:t>
      </w:r>
      <w:r>
        <w:rPr>
          <w:color w:val="231F20"/>
        </w:rPr>
        <w:t>medical</w:t>
      </w:r>
      <w:r>
        <w:rPr>
          <w:color w:val="231F20"/>
          <w:spacing w:val="-26"/>
        </w:rPr>
        <w:t xml:space="preserve"> </w:t>
      </w:r>
      <w:r>
        <w:rPr>
          <w:color w:val="231F20"/>
        </w:rPr>
        <w:t>and</w:t>
      </w:r>
      <w:r>
        <w:rPr>
          <w:color w:val="231F20"/>
          <w:spacing w:val="-25"/>
        </w:rPr>
        <w:t xml:space="preserve"> </w:t>
      </w:r>
      <w:r>
        <w:rPr>
          <w:color w:val="231F20"/>
        </w:rPr>
        <w:t>emergency</w:t>
      </w:r>
      <w:r>
        <w:rPr>
          <w:color w:val="231F20"/>
          <w:spacing w:val="-25"/>
        </w:rPr>
        <w:t xml:space="preserve"> </w:t>
      </w:r>
      <w:r>
        <w:rPr>
          <w:color w:val="231F20"/>
        </w:rPr>
        <w:t>services</w:t>
      </w:r>
    </w:p>
    <w:p w14:paraId="2B5329D6" w14:textId="77777777" w:rsidR="009948F1" w:rsidRDefault="009948F1">
      <w:pPr>
        <w:pStyle w:val="BodyText"/>
        <w:spacing w:before="3"/>
        <w:rPr>
          <w:sz w:val="25"/>
        </w:rPr>
      </w:pPr>
    </w:p>
    <w:p w14:paraId="3078D23B" w14:textId="77777777" w:rsidR="009948F1" w:rsidRDefault="00BC0563">
      <w:pPr>
        <w:pStyle w:val="Heading7"/>
        <w:spacing w:line="288" w:lineRule="auto"/>
        <w:ind w:left="141"/>
      </w:pPr>
      <w:r>
        <w:rPr>
          <w:color w:val="231F20"/>
        </w:rPr>
        <w:t>Priority Area 4: Reproductive, Maternal, Newborn, Child and Adolescent Health Plus Nutrition</w:t>
      </w:r>
    </w:p>
    <w:p w14:paraId="2625F2F5" w14:textId="77777777" w:rsidR="009948F1" w:rsidRDefault="00BC0563">
      <w:pPr>
        <w:ind w:left="141"/>
        <w:rPr>
          <w:b/>
        </w:rPr>
      </w:pPr>
      <w:r>
        <w:rPr>
          <w:b/>
          <w:color w:val="231F20"/>
        </w:rPr>
        <w:t>Context</w:t>
      </w:r>
    </w:p>
    <w:p w14:paraId="18E66C76" w14:textId="77777777" w:rsidR="009948F1" w:rsidRDefault="00BC0563">
      <w:pPr>
        <w:pStyle w:val="BodyText"/>
        <w:spacing w:before="51" w:line="288" w:lineRule="auto"/>
        <w:ind w:left="141" w:right="198"/>
        <w:jc w:val="both"/>
      </w:pPr>
      <w:r>
        <w:rPr>
          <w:color w:val="231F20"/>
        </w:rPr>
        <w:t>The</w:t>
      </w:r>
      <w:r>
        <w:rPr>
          <w:color w:val="231F20"/>
          <w:spacing w:val="-15"/>
        </w:rPr>
        <w:t xml:space="preserve"> </w:t>
      </w:r>
      <w:r>
        <w:rPr>
          <w:color w:val="231F20"/>
        </w:rPr>
        <w:t>Reproductive,</w:t>
      </w:r>
      <w:r>
        <w:rPr>
          <w:color w:val="231F20"/>
          <w:spacing w:val="-14"/>
        </w:rPr>
        <w:t xml:space="preserve"> </w:t>
      </w:r>
      <w:r>
        <w:rPr>
          <w:color w:val="231F20"/>
        </w:rPr>
        <w:t>Maternal,</w:t>
      </w:r>
      <w:r>
        <w:rPr>
          <w:color w:val="231F20"/>
          <w:spacing w:val="-14"/>
        </w:rPr>
        <w:t xml:space="preserve"> </w:t>
      </w:r>
      <w:r>
        <w:rPr>
          <w:color w:val="231F20"/>
        </w:rPr>
        <w:t>Newborn,</w:t>
      </w:r>
      <w:r>
        <w:rPr>
          <w:color w:val="231F20"/>
          <w:spacing w:val="-14"/>
        </w:rPr>
        <w:t xml:space="preserve"> </w:t>
      </w:r>
      <w:r>
        <w:rPr>
          <w:color w:val="231F20"/>
        </w:rPr>
        <w:t>Child</w:t>
      </w:r>
      <w:r>
        <w:rPr>
          <w:color w:val="231F20"/>
          <w:spacing w:val="-14"/>
        </w:rPr>
        <w:t xml:space="preserve"> </w:t>
      </w:r>
      <w:r>
        <w:rPr>
          <w:color w:val="231F20"/>
        </w:rPr>
        <w:t>and</w:t>
      </w:r>
      <w:r>
        <w:rPr>
          <w:color w:val="231F20"/>
          <w:spacing w:val="-26"/>
        </w:rPr>
        <w:t xml:space="preserve"> </w:t>
      </w:r>
      <w:r>
        <w:rPr>
          <w:color w:val="231F20"/>
        </w:rPr>
        <w:t>Adolescent</w:t>
      </w:r>
      <w:r>
        <w:rPr>
          <w:color w:val="231F20"/>
          <w:spacing w:val="-14"/>
        </w:rPr>
        <w:t xml:space="preserve"> </w:t>
      </w:r>
      <w:r>
        <w:rPr>
          <w:color w:val="231F20"/>
        </w:rPr>
        <w:t>Health</w:t>
      </w:r>
      <w:r>
        <w:rPr>
          <w:color w:val="231F20"/>
          <w:spacing w:val="-14"/>
        </w:rPr>
        <w:t xml:space="preserve"> </w:t>
      </w:r>
      <w:r>
        <w:rPr>
          <w:i/>
          <w:color w:val="231F20"/>
        </w:rPr>
        <w:t>plus</w:t>
      </w:r>
      <w:r>
        <w:rPr>
          <w:i/>
          <w:color w:val="231F20"/>
          <w:spacing w:val="-14"/>
        </w:rPr>
        <w:t xml:space="preserve"> </w:t>
      </w:r>
      <w:r>
        <w:rPr>
          <w:color w:val="231F20"/>
        </w:rPr>
        <w:t>Nutrition</w:t>
      </w:r>
      <w:r>
        <w:rPr>
          <w:color w:val="231F20"/>
          <w:spacing w:val="-14"/>
        </w:rPr>
        <w:t xml:space="preserve"> </w:t>
      </w:r>
      <w:r>
        <w:rPr>
          <w:color w:val="231F20"/>
        </w:rPr>
        <w:t>(RMNCAH</w:t>
      </w:r>
      <w:r>
        <w:rPr>
          <w:color w:val="231F20"/>
          <w:spacing w:val="-14"/>
        </w:rPr>
        <w:t xml:space="preserve"> </w:t>
      </w:r>
      <w:r>
        <w:rPr>
          <w:color w:val="231F20"/>
        </w:rPr>
        <w:t>+</w:t>
      </w:r>
      <w:r>
        <w:rPr>
          <w:color w:val="231F20"/>
          <w:spacing w:val="-14"/>
        </w:rPr>
        <w:t xml:space="preserve"> </w:t>
      </w:r>
      <w:r>
        <w:rPr>
          <w:color w:val="231F20"/>
          <w:spacing w:val="-8"/>
        </w:rPr>
        <w:t xml:space="preserve">N) </w:t>
      </w:r>
      <w:r>
        <w:rPr>
          <w:color w:val="231F20"/>
        </w:rPr>
        <w:t>program</w:t>
      </w:r>
      <w:r>
        <w:rPr>
          <w:color w:val="231F20"/>
          <w:spacing w:val="-24"/>
        </w:rPr>
        <w:t xml:space="preserve"> </w:t>
      </w:r>
      <w:r>
        <w:rPr>
          <w:color w:val="231F20"/>
        </w:rPr>
        <w:t>aims</w:t>
      </w:r>
      <w:r>
        <w:rPr>
          <w:color w:val="231F20"/>
          <w:spacing w:val="-23"/>
        </w:rPr>
        <w:t xml:space="preserve"> </w:t>
      </w:r>
      <w:r>
        <w:rPr>
          <w:color w:val="231F20"/>
        </w:rPr>
        <w:t>to</w:t>
      </w:r>
      <w:r>
        <w:rPr>
          <w:color w:val="231F20"/>
          <w:spacing w:val="-23"/>
        </w:rPr>
        <w:t xml:space="preserve"> </w:t>
      </w:r>
      <w:r>
        <w:rPr>
          <w:color w:val="231F20"/>
        </w:rPr>
        <w:t>promote</w:t>
      </w:r>
      <w:r>
        <w:rPr>
          <w:color w:val="231F20"/>
          <w:spacing w:val="-23"/>
        </w:rPr>
        <w:t xml:space="preserve"> </w:t>
      </w:r>
      <w:r>
        <w:rPr>
          <w:color w:val="231F20"/>
        </w:rPr>
        <w:t>health</w:t>
      </w:r>
      <w:r>
        <w:rPr>
          <w:color w:val="231F20"/>
          <w:spacing w:val="-23"/>
        </w:rPr>
        <w:t xml:space="preserve"> </w:t>
      </w:r>
      <w:r>
        <w:rPr>
          <w:color w:val="231F20"/>
        </w:rPr>
        <w:t>through</w:t>
      </w:r>
      <w:r>
        <w:rPr>
          <w:color w:val="231F20"/>
          <w:spacing w:val="-23"/>
        </w:rPr>
        <w:t xml:space="preserve"> </w:t>
      </w:r>
      <w:r>
        <w:rPr>
          <w:color w:val="231F20"/>
        </w:rPr>
        <w:t>the</w:t>
      </w:r>
      <w:r>
        <w:rPr>
          <w:color w:val="231F20"/>
          <w:spacing w:val="-23"/>
        </w:rPr>
        <w:t xml:space="preserve"> </w:t>
      </w:r>
      <w:r>
        <w:rPr>
          <w:color w:val="231F20"/>
        </w:rPr>
        <w:t>life</w:t>
      </w:r>
      <w:r>
        <w:rPr>
          <w:color w:val="231F20"/>
          <w:spacing w:val="-23"/>
        </w:rPr>
        <w:t xml:space="preserve"> </w:t>
      </w:r>
      <w:r>
        <w:rPr>
          <w:color w:val="231F20"/>
        </w:rPr>
        <w:t>course.</w:t>
      </w:r>
      <w:r>
        <w:rPr>
          <w:color w:val="231F20"/>
          <w:spacing w:val="-23"/>
        </w:rPr>
        <w:t xml:space="preserve"> </w:t>
      </w:r>
      <w:r>
        <w:rPr>
          <w:color w:val="231F20"/>
        </w:rPr>
        <w:t>It</w:t>
      </w:r>
      <w:r>
        <w:rPr>
          <w:color w:val="231F20"/>
          <w:spacing w:val="-23"/>
        </w:rPr>
        <w:t xml:space="preserve"> </w:t>
      </w:r>
      <w:r>
        <w:rPr>
          <w:color w:val="231F20"/>
        </w:rPr>
        <w:t>is</w:t>
      </w:r>
      <w:r>
        <w:rPr>
          <w:color w:val="231F20"/>
          <w:spacing w:val="-23"/>
        </w:rPr>
        <w:t xml:space="preserve"> </w:t>
      </w:r>
      <w:r>
        <w:rPr>
          <w:color w:val="231F20"/>
        </w:rPr>
        <w:t>a</w:t>
      </w:r>
      <w:r>
        <w:rPr>
          <w:color w:val="231F20"/>
          <w:spacing w:val="-23"/>
        </w:rPr>
        <w:t xml:space="preserve"> </w:t>
      </w:r>
      <w:r>
        <w:rPr>
          <w:color w:val="231F20"/>
        </w:rPr>
        <w:t>strategy</w:t>
      </w:r>
      <w:r>
        <w:rPr>
          <w:color w:val="231F20"/>
          <w:spacing w:val="-23"/>
        </w:rPr>
        <w:t xml:space="preserve"> </w:t>
      </w:r>
      <w:r>
        <w:rPr>
          <w:color w:val="231F20"/>
        </w:rPr>
        <w:t>to</w:t>
      </w:r>
      <w:r>
        <w:rPr>
          <w:color w:val="231F20"/>
          <w:spacing w:val="-23"/>
        </w:rPr>
        <w:t xml:space="preserve"> </w:t>
      </w:r>
      <w:r>
        <w:rPr>
          <w:color w:val="231F20"/>
        </w:rPr>
        <w:t>integrate</w:t>
      </w:r>
      <w:r>
        <w:rPr>
          <w:color w:val="231F20"/>
          <w:spacing w:val="-23"/>
        </w:rPr>
        <w:t xml:space="preserve"> </w:t>
      </w:r>
      <w:r>
        <w:rPr>
          <w:color w:val="231F20"/>
        </w:rPr>
        <w:t>an</w:t>
      </w:r>
      <w:r>
        <w:rPr>
          <w:color w:val="231F20"/>
          <w:spacing w:val="-24"/>
        </w:rPr>
        <w:t xml:space="preserve"> </w:t>
      </w:r>
      <w:r>
        <w:rPr>
          <w:color w:val="231F20"/>
        </w:rPr>
        <w:t>existing</w:t>
      </w:r>
      <w:r>
        <w:rPr>
          <w:color w:val="231F20"/>
          <w:spacing w:val="-23"/>
        </w:rPr>
        <w:t xml:space="preserve"> </w:t>
      </w:r>
      <w:r>
        <w:rPr>
          <w:color w:val="231F20"/>
        </w:rPr>
        <w:t>range of</w:t>
      </w:r>
      <w:r>
        <w:rPr>
          <w:color w:val="231F20"/>
          <w:spacing w:val="-16"/>
        </w:rPr>
        <w:t xml:space="preserve"> </w:t>
      </w:r>
      <w:r>
        <w:rPr>
          <w:color w:val="231F20"/>
        </w:rPr>
        <w:t>interventions,</w:t>
      </w:r>
      <w:r>
        <w:rPr>
          <w:color w:val="231F20"/>
          <w:spacing w:val="-16"/>
        </w:rPr>
        <w:t xml:space="preserve"> </w:t>
      </w:r>
      <w:r>
        <w:rPr>
          <w:color w:val="231F20"/>
        </w:rPr>
        <w:t>improve</w:t>
      </w:r>
      <w:r>
        <w:rPr>
          <w:color w:val="231F20"/>
          <w:spacing w:val="-16"/>
        </w:rPr>
        <w:t xml:space="preserve"> </w:t>
      </w:r>
      <w:r>
        <w:rPr>
          <w:color w:val="231F20"/>
        </w:rPr>
        <w:t>the</w:t>
      </w:r>
      <w:r>
        <w:rPr>
          <w:color w:val="231F20"/>
          <w:spacing w:val="-15"/>
        </w:rPr>
        <w:t xml:space="preserve"> </w:t>
      </w:r>
      <w:r>
        <w:rPr>
          <w:color w:val="231F20"/>
        </w:rPr>
        <w:t>use</w:t>
      </w:r>
      <w:r>
        <w:rPr>
          <w:color w:val="231F20"/>
          <w:spacing w:val="-16"/>
        </w:rPr>
        <w:t xml:space="preserve"> </w:t>
      </w:r>
      <w:r>
        <w:rPr>
          <w:color w:val="231F20"/>
        </w:rPr>
        <w:t>of</w:t>
      </w:r>
      <w:r>
        <w:rPr>
          <w:color w:val="231F20"/>
          <w:spacing w:val="-16"/>
        </w:rPr>
        <w:t xml:space="preserve"> </w:t>
      </w:r>
      <w:r>
        <w:rPr>
          <w:color w:val="231F20"/>
        </w:rPr>
        <w:t>resources</w:t>
      </w:r>
      <w:r>
        <w:rPr>
          <w:color w:val="231F20"/>
          <w:spacing w:val="-16"/>
        </w:rPr>
        <w:t xml:space="preserve"> </w:t>
      </w:r>
      <w:r>
        <w:rPr>
          <w:color w:val="231F20"/>
        </w:rPr>
        <w:t>and</w:t>
      </w:r>
      <w:r>
        <w:rPr>
          <w:color w:val="231F20"/>
          <w:spacing w:val="-15"/>
        </w:rPr>
        <w:t xml:space="preserve"> </w:t>
      </w:r>
      <w:r>
        <w:rPr>
          <w:color w:val="231F20"/>
        </w:rPr>
        <w:t>greatly</w:t>
      </w:r>
      <w:r>
        <w:rPr>
          <w:color w:val="231F20"/>
          <w:spacing w:val="-16"/>
        </w:rPr>
        <w:t xml:space="preserve"> </w:t>
      </w:r>
      <w:r>
        <w:rPr>
          <w:color w:val="231F20"/>
        </w:rPr>
        <w:t>expand</w:t>
      </w:r>
      <w:r>
        <w:rPr>
          <w:color w:val="231F20"/>
          <w:spacing w:val="-16"/>
        </w:rPr>
        <w:t xml:space="preserve"> </w:t>
      </w:r>
      <w:r>
        <w:rPr>
          <w:color w:val="231F20"/>
        </w:rPr>
        <w:t>health</w:t>
      </w:r>
      <w:r>
        <w:rPr>
          <w:color w:val="231F20"/>
          <w:spacing w:val="-16"/>
        </w:rPr>
        <w:t xml:space="preserve"> </w:t>
      </w:r>
      <w:r>
        <w:rPr>
          <w:color w:val="231F20"/>
        </w:rPr>
        <w:t>care</w:t>
      </w:r>
      <w:r>
        <w:rPr>
          <w:color w:val="231F20"/>
          <w:spacing w:val="-15"/>
        </w:rPr>
        <w:t xml:space="preserve"> </w:t>
      </w:r>
      <w:r>
        <w:rPr>
          <w:color w:val="231F20"/>
        </w:rPr>
        <w:t>coverage</w:t>
      </w:r>
      <w:r>
        <w:rPr>
          <w:color w:val="231F20"/>
          <w:spacing w:val="-16"/>
        </w:rPr>
        <w:t xml:space="preserve"> </w:t>
      </w:r>
      <w:r>
        <w:rPr>
          <w:color w:val="231F20"/>
        </w:rPr>
        <w:t>to</w:t>
      </w:r>
      <w:r>
        <w:rPr>
          <w:color w:val="231F20"/>
          <w:spacing w:val="-16"/>
        </w:rPr>
        <w:t xml:space="preserve"> </w:t>
      </w:r>
      <w:r>
        <w:rPr>
          <w:color w:val="231F20"/>
          <w:spacing w:val="-3"/>
        </w:rPr>
        <w:t xml:space="preserve">improve </w:t>
      </w:r>
      <w:r>
        <w:rPr>
          <w:color w:val="231F20"/>
        </w:rPr>
        <w:t xml:space="preserve">access to quality health services for women, newborns, children and adolescents along </w:t>
      </w:r>
      <w:r>
        <w:rPr>
          <w:color w:val="231F20"/>
          <w:spacing w:val="-4"/>
        </w:rPr>
        <w:t xml:space="preserve">the </w:t>
      </w:r>
      <w:r>
        <w:rPr>
          <w:color w:val="231F20"/>
        </w:rPr>
        <w:t xml:space="preserve">continuum of care. Covered in this thematic area are reproductive, maternal, newborn, child and adolescent health as well as nutrition </w:t>
      </w:r>
      <w:proofErr w:type="spellStart"/>
      <w:r>
        <w:rPr>
          <w:color w:val="231F20"/>
        </w:rPr>
        <w:t>programmes</w:t>
      </w:r>
      <w:proofErr w:type="spellEnd"/>
      <w:r>
        <w:rPr>
          <w:color w:val="231F20"/>
        </w:rPr>
        <w:t xml:space="preserve">. The RMNCAH+N services are organized </w:t>
      </w:r>
      <w:r>
        <w:rPr>
          <w:color w:val="231F20"/>
          <w:spacing w:val="-6"/>
        </w:rPr>
        <w:t xml:space="preserve">in </w:t>
      </w:r>
      <w:r>
        <w:rPr>
          <w:color w:val="231F20"/>
        </w:rPr>
        <w:t xml:space="preserve">different components and are described along their programmatic areas. </w:t>
      </w:r>
      <w:r>
        <w:rPr>
          <w:color w:val="231F20"/>
          <w:spacing w:val="-13"/>
        </w:rPr>
        <w:t xml:space="preserve">To </w:t>
      </w:r>
      <w:r>
        <w:rPr>
          <w:color w:val="231F20"/>
        </w:rPr>
        <w:t>this end, national policies</w:t>
      </w:r>
      <w:r>
        <w:rPr>
          <w:color w:val="231F20"/>
          <w:spacing w:val="-23"/>
        </w:rPr>
        <w:t xml:space="preserve"> </w:t>
      </w:r>
      <w:r>
        <w:rPr>
          <w:color w:val="231F20"/>
        </w:rPr>
        <w:t>and</w:t>
      </w:r>
      <w:r>
        <w:rPr>
          <w:color w:val="231F20"/>
          <w:spacing w:val="-22"/>
        </w:rPr>
        <w:t xml:space="preserve"> </w:t>
      </w:r>
      <w:r>
        <w:rPr>
          <w:color w:val="231F20"/>
        </w:rPr>
        <w:t>associated</w:t>
      </w:r>
      <w:r>
        <w:rPr>
          <w:color w:val="231F20"/>
          <w:spacing w:val="-22"/>
        </w:rPr>
        <w:t xml:space="preserve"> </w:t>
      </w:r>
      <w:r>
        <w:rPr>
          <w:color w:val="231F20"/>
        </w:rPr>
        <w:t>strategic</w:t>
      </w:r>
      <w:r>
        <w:rPr>
          <w:color w:val="231F20"/>
          <w:spacing w:val="-22"/>
        </w:rPr>
        <w:t xml:space="preserve"> </w:t>
      </w:r>
      <w:r>
        <w:rPr>
          <w:color w:val="231F20"/>
        </w:rPr>
        <w:t>plans</w:t>
      </w:r>
      <w:r>
        <w:rPr>
          <w:color w:val="231F20"/>
          <w:spacing w:val="-22"/>
        </w:rPr>
        <w:t xml:space="preserve"> </w:t>
      </w:r>
      <w:r>
        <w:rPr>
          <w:color w:val="231F20"/>
        </w:rPr>
        <w:t>addressing</w:t>
      </w:r>
      <w:r>
        <w:rPr>
          <w:color w:val="231F20"/>
          <w:spacing w:val="-22"/>
        </w:rPr>
        <w:t xml:space="preserve"> </w:t>
      </w:r>
      <w:r>
        <w:rPr>
          <w:color w:val="231F20"/>
        </w:rPr>
        <w:t>RMNCAH</w:t>
      </w:r>
      <w:r>
        <w:rPr>
          <w:color w:val="231F20"/>
          <w:spacing w:val="-22"/>
        </w:rPr>
        <w:t xml:space="preserve"> </w:t>
      </w:r>
      <w:r>
        <w:rPr>
          <w:color w:val="231F20"/>
        </w:rPr>
        <w:t>+</w:t>
      </w:r>
      <w:r>
        <w:rPr>
          <w:color w:val="231F20"/>
          <w:spacing w:val="-22"/>
        </w:rPr>
        <w:t xml:space="preserve"> </w:t>
      </w:r>
      <w:r>
        <w:rPr>
          <w:color w:val="231F20"/>
        </w:rPr>
        <w:t>N</w:t>
      </w:r>
      <w:r>
        <w:rPr>
          <w:color w:val="231F20"/>
          <w:spacing w:val="-22"/>
        </w:rPr>
        <w:t xml:space="preserve"> </w:t>
      </w:r>
      <w:r>
        <w:rPr>
          <w:color w:val="231F20"/>
        </w:rPr>
        <w:t>are</w:t>
      </w:r>
      <w:r>
        <w:rPr>
          <w:color w:val="231F20"/>
          <w:spacing w:val="-22"/>
        </w:rPr>
        <w:t xml:space="preserve"> </w:t>
      </w:r>
      <w:r>
        <w:rPr>
          <w:color w:val="231F20"/>
        </w:rPr>
        <w:t>in</w:t>
      </w:r>
      <w:r>
        <w:rPr>
          <w:color w:val="231F20"/>
          <w:spacing w:val="-22"/>
        </w:rPr>
        <w:t xml:space="preserve"> </w:t>
      </w:r>
      <w:r>
        <w:rPr>
          <w:color w:val="231F20"/>
        </w:rPr>
        <w:t>place</w:t>
      </w:r>
      <w:r>
        <w:rPr>
          <w:color w:val="231F20"/>
          <w:spacing w:val="-22"/>
        </w:rPr>
        <w:t xml:space="preserve"> </w:t>
      </w:r>
      <w:r>
        <w:rPr>
          <w:color w:val="231F20"/>
        </w:rPr>
        <w:t>to</w:t>
      </w:r>
      <w:r>
        <w:rPr>
          <w:color w:val="231F20"/>
          <w:spacing w:val="-22"/>
        </w:rPr>
        <w:t xml:space="preserve"> </w:t>
      </w:r>
      <w:r>
        <w:rPr>
          <w:color w:val="231F20"/>
        </w:rPr>
        <w:t>provide</w:t>
      </w:r>
      <w:r>
        <w:rPr>
          <w:color w:val="231F20"/>
          <w:spacing w:val="-22"/>
        </w:rPr>
        <w:t xml:space="preserve"> </w:t>
      </w:r>
      <w:r>
        <w:rPr>
          <w:color w:val="231F20"/>
        </w:rPr>
        <w:t>direction</w:t>
      </w:r>
      <w:r>
        <w:rPr>
          <w:color w:val="231F20"/>
          <w:spacing w:val="-22"/>
        </w:rPr>
        <w:t xml:space="preserve"> </w:t>
      </w:r>
      <w:r>
        <w:rPr>
          <w:color w:val="231F20"/>
          <w:spacing w:val="-7"/>
        </w:rPr>
        <w:t xml:space="preserve">to </w:t>
      </w:r>
      <w:r>
        <w:rPr>
          <w:color w:val="231F20"/>
        </w:rPr>
        <w:t>programming.</w:t>
      </w:r>
    </w:p>
    <w:p w14:paraId="5ADB9AF8" w14:textId="77777777" w:rsidR="009948F1" w:rsidRDefault="009948F1">
      <w:pPr>
        <w:pStyle w:val="BodyText"/>
        <w:spacing w:before="5"/>
        <w:rPr>
          <w:sz w:val="26"/>
        </w:rPr>
      </w:pPr>
    </w:p>
    <w:p w14:paraId="35D50D76" w14:textId="77777777" w:rsidR="009948F1" w:rsidRDefault="00BC0563">
      <w:pPr>
        <w:pStyle w:val="BodyText"/>
        <w:spacing w:line="288" w:lineRule="auto"/>
        <w:ind w:left="141" w:right="198"/>
        <w:jc w:val="both"/>
      </w:pPr>
      <w:r>
        <w:rPr>
          <w:color w:val="231F20"/>
        </w:rPr>
        <w:t>Globally,</w:t>
      </w:r>
      <w:r>
        <w:rPr>
          <w:color w:val="231F20"/>
          <w:spacing w:val="-13"/>
        </w:rPr>
        <w:t xml:space="preserve"> </w:t>
      </w:r>
      <w:r>
        <w:rPr>
          <w:color w:val="231F20"/>
        </w:rPr>
        <w:t>significant</w:t>
      </w:r>
      <w:r>
        <w:rPr>
          <w:color w:val="231F20"/>
          <w:spacing w:val="-12"/>
        </w:rPr>
        <w:t xml:space="preserve"> </w:t>
      </w:r>
      <w:r>
        <w:rPr>
          <w:color w:val="231F20"/>
        </w:rPr>
        <w:t>strides</w:t>
      </w:r>
      <w:r>
        <w:rPr>
          <w:color w:val="231F20"/>
          <w:spacing w:val="-13"/>
        </w:rPr>
        <w:t xml:space="preserve"> </w:t>
      </w:r>
      <w:r>
        <w:rPr>
          <w:color w:val="231F20"/>
        </w:rPr>
        <w:t>have</w:t>
      </w:r>
      <w:r>
        <w:rPr>
          <w:color w:val="231F20"/>
          <w:spacing w:val="-12"/>
        </w:rPr>
        <w:t xml:space="preserve"> </w:t>
      </w:r>
      <w:r>
        <w:rPr>
          <w:color w:val="231F20"/>
        </w:rPr>
        <w:t>been</w:t>
      </w:r>
      <w:r>
        <w:rPr>
          <w:color w:val="231F20"/>
          <w:spacing w:val="-12"/>
        </w:rPr>
        <w:t xml:space="preserve"> </w:t>
      </w:r>
      <w:r>
        <w:rPr>
          <w:color w:val="231F20"/>
        </w:rPr>
        <w:t>made</w:t>
      </w:r>
      <w:r>
        <w:rPr>
          <w:color w:val="231F20"/>
          <w:spacing w:val="-13"/>
        </w:rPr>
        <w:t xml:space="preserve"> </w:t>
      </w:r>
      <w:r>
        <w:rPr>
          <w:color w:val="231F20"/>
        </w:rPr>
        <w:t>in</w:t>
      </w:r>
      <w:r>
        <w:rPr>
          <w:color w:val="231F20"/>
          <w:spacing w:val="-12"/>
        </w:rPr>
        <w:t xml:space="preserve"> </w:t>
      </w:r>
      <w:r>
        <w:rPr>
          <w:color w:val="231F20"/>
        </w:rPr>
        <w:t>improving</w:t>
      </w:r>
      <w:r>
        <w:rPr>
          <w:color w:val="231F20"/>
          <w:spacing w:val="-13"/>
        </w:rPr>
        <w:t xml:space="preserve"> </w:t>
      </w:r>
      <w:r>
        <w:rPr>
          <w:color w:val="231F20"/>
        </w:rPr>
        <w:t>maternal</w:t>
      </w:r>
      <w:r>
        <w:rPr>
          <w:color w:val="231F20"/>
          <w:spacing w:val="-12"/>
        </w:rPr>
        <w:t xml:space="preserve"> </w:t>
      </w:r>
      <w:r>
        <w:rPr>
          <w:color w:val="231F20"/>
        </w:rPr>
        <w:t>and</w:t>
      </w:r>
      <w:r>
        <w:rPr>
          <w:color w:val="231F20"/>
          <w:spacing w:val="-12"/>
        </w:rPr>
        <w:t xml:space="preserve"> </w:t>
      </w:r>
      <w:r>
        <w:rPr>
          <w:color w:val="231F20"/>
        </w:rPr>
        <w:t>child</w:t>
      </w:r>
      <w:r>
        <w:rPr>
          <w:color w:val="231F20"/>
          <w:spacing w:val="-13"/>
        </w:rPr>
        <w:t xml:space="preserve"> </w:t>
      </w:r>
      <w:r>
        <w:rPr>
          <w:color w:val="231F20"/>
        </w:rPr>
        <w:t>health</w:t>
      </w:r>
      <w:r>
        <w:rPr>
          <w:color w:val="231F20"/>
          <w:spacing w:val="-12"/>
        </w:rPr>
        <w:t xml:space="preserve"> </w:t>
      </w:r>
      <w:r>
        <w:rPr>
          <w:color w:val="231F20"/>
        </w:rPr>
        <w:t>outcomes</w:t>
      </w:r>
      <w:r>
        <w:rPr>
          <w:color w:val="231F20"/>
          <w:spacing w:val="-13"/>
        </w:rPr>
        <w:t xml:space="preserve"> </w:t>
      </w:r>
      <w:r>
        <w:rPr>
          <w:color w:val="231F20"/>
        </w:rPr>
        <w:t xml:space="preserve">due to investments in MDGs 4 and 5. Preventable child deaths are down by more than half; </w:t>
      </w:r>
      <w:r>
        <w:rPr>
          <w:color w:val="231F20"/>
          <w:spacing w:val="-4"/>
        </w:rPr>
        <w:t xml:space="preserve">and </w:t>
      </w:r>
      <w:r>
        <w:rPr>
          <w:color w:val="231F20"/>
        </w:rPr>
        <w:t>maternal</w:t>
      </w:r>
      <w:r>
        <w:rPr>
          <w:color w:val="231F20"/>
          <w:spacing w:val="-22"/>
        </w:rPr>
        <w:t xml:space="preserve"> </w:t>
      </w:r>
      <w:r>
        <w:rPr>
          <w:color w:val="231F20"/>
        </w:rPr>
        <w:t>mortality</w:t>
      </w:r>
      <w:r>
        <w:rPr>
          <w:color w:val="231F20"/>
          <w:spacing w:val="-22"/>
        </w:rPr>
        <w:t xml:space="preserve"> </w:t>
      </w:r>
      <w:r>
        <w:rPr>
          <w:color w:val="231F20"/>
        </w:rPr>
        <w:t>is</w:t>
      </w:r>
      <w:r>
        <w:rPr>
          <w:color w:val="231F20"/>
          <w:spacing w:val="-22"/>
        </w:rPr>
        <w:t xml:space="preserve"> </w:t>
      </w:r>
      <w:r>
        <w:rPr>
          <w:color w:val="231F20"/>
        </w:rPr>
        <w:t>down</w:t>
      </w:r>
      <w:r>
        <w:rPr>
          <w:color w:val="231F20"/>
          <w:spacing w:val="-21"/>
        </w:rPr>
        <w:t xml:space="preserve"> </w:t>
      </w:r>
      <w:r>
        <w:rPr>
          <w:color w:val="231F20"/>
        </w:rPr>
        <w:t>by</w:t>
      </w:r>
      <w:r>
        <w:rPr>
          <w:color w:val="231F20"/>
          <w:spacing w:val="-22"/>
        </w:rPr>
        <w:t xml:space="preserve"> </w:t>
      </w:r>
      <w:r>
        <w:rPr>
          <w:color w:val="231F20"/>
        </w:rPr>
        <w:t>almost</w:t>
      </w:r>
      <w:r>
        <w:rPr>
          <w:color w:val="231F20"/>
          <w:spacing w:val="-22"/>
        </w:rPr>
        <w:t xml:space="preserve"> </w:t>
      </w:r>
      <w:r>
        <w:rPr>
          <w:color w:val="231F20"/>
        </w:rPr>
        <w:t>as</w:t>
      </w:r>
      <w:r>
        <w:rPr>
          <w:color w:val="231F20"/>
          <w:spacing w:val="-22"/>
        </w:rPr>
        <w:t xml:space="preserve"> </w:t>
      </w:r>
      <w:r>
        <w:rPr>
          <w:color w:val="231F20"/>
        </w:rPr>
        <w:t>much.</w:t>
      </w:r>
      <w:r>
        <w:rPr>
          <w:color w:val="231F20"/>
          <w:spacing w:val="-22"/>
        </w:rPr>
        <w:t xml:space="preserve"> </w:t>
      </w:r>
      <w:r>
        <w:rPr>
          <w:color w:val="231F20"/>
        </w:rPr>
        <w:t>Despite</w:t>
      </w:r>
      <w:r>
        <w:rPr>
          <w:color w:val="231F20"/>
          <w:spacing w:val="-21"/>
        </w:rPr>
        <w:t xml:space="preserve"> </w:t>
      </w:r>
      <w:r>
        <w:rPr>
          <w:color w:val="231F20"/>
        </w:rPr>
        <w:t>these</w:t>
      </w:r>
      <w:r>
        <w:rPr>
          <w:color w:val="231F20"/>
          <w:spacing w:val="-22"/>
        </w:rPr>
        <w:t xml:space="preserve"> </w:t>
      </w:r>
      <w:r>
        <w:rPr>
          <w:color w:val="231F20"/>
        </w:rPr>
        <w:t>global</w:t>
      </w:r>
      <w:r>
        <w:rPr>
          <w:color w:val="231F20"/>
          <w:spacing w:val="-21"/>
        </w:rPr>
        <w:t xml:space="preserve"> </w:t>
      </w:r>
      <w:r>
        <w:rPr>
          <w:color w:val="231F20"/>
        </w:rPr>
        <w:t>achievements</w:t>
      </w:r>
      <w:r>
        <w:rPr>
          <w:color w:val="231F20"/>
          <w:spacing w:val="-22"/>
        </w:rPr>
        <w:t xml:space="preserve"> </w:t>
      </w:r>
      <w:r>
        <w:rPr>
          <w:color w:val="231F20"/>
        </w:rPr>
        <w:t>Rivers</w:t>
      </w:r>
      <w:r>
        <w:rPr>
          <w:color w:val="231F20"/>
          <w:spacing w:val="-22"/>
        </w:rPr>
        <w:t xml:space="preserve"> </w:t>
      </w:r>
      <w:r>
        <w:rPr>
          <w:color w:val="231F20"/>
        </w:rPr>
        <w:t>State</w:t>
      </w:r>
      <w:r>
        <w:rPr>
          <w:color w:val="231F20"/>
          <w:spacing w:val="-22"/>
        </w:rPr>
        <w:t xml:space="preserve"> </w:t>
      </w:r>
      <w:r>
        <w:rPr>
          <w:color w:val="231F20"/>
        </w:rPr>
        <w:t>has made</w:t>
      </w:r>
      <w:r>
        <w:rPr>
          <w:color w:val="231F20"/>
          <w:spacing w:val="-21"/>
        </w:rPr>
        <w:t xml:space="preserve"> </w:t>
      </w:r>
      <w:r>
        <w:rPr>
          <w:color w:val="231F20"/>
        </w:rPr>
        <w:t>very</w:t>
      </w:r>
      <w:r>
        <w:rPr>
          <w:color w:val="231F20"/>
          <w:spacing w:val="-20"/>
        </w:rPr>
        <w:t xml:space="preserve"> </w:t>
      </w:r>
      <w:r>
        <w:rPr>
          <w:color w:val="231F20"/>
        </w:rPr>
        <w:t>little</w:t>
      </w:r>
      <w:r>
        <w:rPr>
          <w:color w:val="231F20"/>
          <w:spacing w:val="-20"/>
        </w:rPr>
        <w:t xml:space="preserve"> </w:t>
      </w:r>
      <w:r>
        <w:rPr>
          <w:color w:val="231F20"/>
        </w:rPr>
        <w:t>progress</w:t>
      </w:r>
      <w:r>
        <w:rPr>
          <w:color w:val="231F20"/>
          <w:spacing w:val="-20"/>
        </w:rPr>
        <w:t xml:space="preserve"> </w:t>
      </w:r>
      <w:r>
        <w:rPr>
          <w:color w:val="231F20"/>
        </w:rPr>
        <w:t>in</w:t>
      </w:r>
      <w:r>
        <w:rPr>
          <w:color w:val="231F20"/>
          <w:spacing w:val="-20"/>
        </w:rPr>
        <w:t xml:space="preserve"> </w:t>
      </w:r>
      <w:r>
        <w:rPr>
          <w:color w:val="231F20"/>
        </w:rPr>
        <w:t>improving</w:t>
      </w:r>
      <w:r>
        <w:rPr>
          <w:color w:val="231F20"/>
          <w:spacing w:val="-20"/>
        </w:rPr>
        <w:t xml:space="preserve"> </w:t>
      </w:r>
      <w:r>
        <w:rPr>
          <w:color w:val="231F20"/>
        </w:rPr>
        <w:t>RMNCAH</w:t>
      </w:r>
      <w:r>
        <w:rPr>
          <w:color w:val="231F20"/>
          <w:spacing w:val="-20"/>
        </w:rPr>
        <w:t xml:space="preserve"> </w:t>
      </w:r>
      <w:r>
        <w:rPr>
          <w:color w:val="231F20"/>
        </w:rPr>
        <w:t>+</w:t>
      </w:r>
      <w:r>
        <w:rPr>
          <w:color w:val="231F20"/>
          <w:spacing w:val="-20"/>
        </w:rPr>
        <w:t xml:space="preserve"> </w:t>
      </w:r>
      <w:r>
        <w:rPr>
          <w:color w:val="231F20"/>
        </w:rPr>
        <w:t>N</w:t>
      </w:r>
      <w:r>
        <w:rPr>
          <w:color w:val="231F20"/>
          <w:spacing w:val="-20"/>
        </w:rPr>
        <w:t xml:space="preserve"> </w:t>
      </w:r>
      <w:r>
        <w:rPr>
          <w:color w:val="231F20"/>
        </w:rPr>
        <w:t>outcomes.</w:t>
      </w:r>
      <w:r>
        <w:rPr>
          <w:color w:val="231F20"/>
          <w:spacing w:val="-24"/>
        </w:rPr>
        <w:t xml:space="preserve"> </w:t>
      </w:r>
      <w:r>
        <w:rPr>
          <w:color w:val="231F20"/>
        </w:rPr>
        <w:t>The</w:t>
      </w:r>
      <w:r>
        <w:rPr>
          <w:color w:val="231F20"/>
          <w:spacing w:val="-20"/>
        </w:rPr>
        <w:t xml:space="preserve"> </w:t>
      </w:r>
      <w:r>
        <w:rPr>
          <w:color w:val="231F20"/>
        </w:rPr>
        <w:t>Health</w:t>
      </w:r>
      <w:r>
        <w:rPr>
          <w:color w:val="231F20"/>
          <w:spacing w:val="-21"/>
        </w:rPr>
        <w:t xml:space="preserve"> </w:t>
      </w:r>
      <w:r>
        <w:rPr>
          <w:color w:val="231F20"/>
        </w:rPr>
        <w:t>indicators</w:t>
      </w:r>
      <w:r>
        <w:rPr>
          <w:color w:val="231F20"/>
          <w:spacing w:val="-20"/>
        </w:rPr>
        <w:t xml:space="preserve"> </w:t>
      </w:r>
      <w:r>
        <w:rPr>
          <w:color w:val="231F20"/>
        </w:rPr>
        <w:t>for</w:t>
      </w:r>
      <w:r>
        <w:rPr>
          <w:color w:val="231F20"/>
          <w:spacing w:val="-20"/>
        </w:rPr>
        <w:t xml:space="preserve"> </w:t>
      </w:r>
      <w:r>
        <w:rPr>
          <w:color w:val="231F20"/>
        </w:rPr>
        <w:t>RMNCAH</w:t>
      </w:r>
    </w:p>
    <w:p w14:paraId="49723AE3" w14:textId="77777777" w:rsidR="009948F1" w:rsidRDefault="00BC0563">
      <w:pPr>
        <w:pStyle w:val="BodyText"/>
        <w:ind w:left="141"/>
        <w:jc w:val="both"/>
      </w:pPr>
      <w:r>
        <w:rPr>
          <w:color w:val="231F20"/>
        </w:rPr>
        <w:t>+N indicators are as in table 5.</w:t>
      </w:r>
    </w:p>
    <w:p w14:paraId="3E49FA32" w14:textId="77777777" w:rsidR="009948F1" w:rsidRDefault="009948F1">
      <w:pPr>
        <w:pStyle w:val="BodyText"/>
        <w:spacing w:before="9"/>
        <w:rPr>
          <w:sz w:val="30"/>
        </w:rPr>
      </w:pPr>
    </w:p>
    <w:p w14:paraId="371020F0" w14:textId="77777777" w:rsidR="009948F1" w:rsidRDefault="00BC0563">
      <w:pPr>
        <w:pStyle w:val="Heading7"/>
        <w:spacing w:before="1"/>
        <w:ind w:left="141"/>
        <w:jc w:val="both"/>
      </w:pPr>
      <w:r>
        <w:rPr>
          <w:color w:val="231F20"/>
        </w:rPr>
        <w:t>Strategic Goal</w:t>
      </w:r>
    </w:p>
    <w:p w14:paraId="00CC69B0" w14:textId="77777777" w:rsidR="009948F1" w:rsidRDefault="00BC0563">
      <w:pPr>
        <w:pStyle w:val="ListParagraph"/>
        <w:numPr>
          <w:ilvl w:val="2"/>
          <w:numId w:val="293"/>
        </w:numPr>
        <w:tabs>
          <w:tab w:val="left" w:pos="681"/>
        </w:tabs>
        <w:spacing w:before="50" w:line="288" w:lineRule="auto"/>
        <w:ind w:right="198" w:firstLine="0"/>
        <w:jc w:val="both"/>
        <w:rPr>
          <w:color w:val="231F20"/>
        </w:rPr>
      </w:pPr>
      <w:r>
        <w:rPr>
          <w:color w:val="231F20"/>
        </w:rPr>
        <w:t>Promote</w:t>
      </w:r>
      <w:r>
        <w:rPr>
          <w:color w:val="231F20"/>
          <w:spacing w:val="-13"/>
        </w:rPr>
        <w:t xml:space="preserve"> </w:t>
      </w:r>
      <w:r>
        <w:rPr>
          <w:color w:val="231F20"/>
        </w:rPr>
        <w:t>universal</w:t>
      </w:r>
      <w:r>
        <w:rPr>
          <w:color w:val="231F20"/>
          <w:spacing w:val="-12"/>
        </w:rPr>
        <w:t xml:space="preserve"> </w:t>
      </w:r>
      <w:r>
        <w:rPr>
          <w:color w:val="231F20"/>
        </w:rPr>
        <w:t>access</w:t>
      </w:r>
      <w:r>
        <w:rPr>
          <w:color w:val="231F20"/>
          <w:spacing w:val="-12"/>
        </w:rPr>
        <w:t xml:space="preserve"> </w:t>
      </w:r>
      <w:r>
        <w:rPr>
          <w:color w:val="231F20"/>
        </w:rPr>
        <w:t>to</w:t>
      </w:r>
      <w:r>
        <w:rPr>
          <w:color w:val="231F20"/>
          <w:spacing w:val="-12"/>
        </w:rPr>
        <w:t xml:space="preserve"> </w:t>
      </w:r>
      <w:r>
        <w:rPr>
          <w:color w:val="231F20"/>
        </w:rPr>
        <w:t>comprehensive</w:t>
      </w:r>
      <w:r>
        <w:rPr>
          <w:color w:val="231F20"/>
          <w:spacing w:val="-12"/>
        </w:rPr>
        <w:t xml:space="preserve"> </w:t>
      </w:r>
      <w:r>
        <w:rPr>
          <w:color w:val="231F20"/>
        </w:rPr>
        <w:t>quality</w:t>
      </w:r>
      <w:r>
        <w:rPr>
          <w:color w:val="231F20"/>
          <w:spacing w:val="-12"/>
        </w:rPr>
        <w:t xml:space="preserve"> </w:t>
      </w:r>
      <w:r>
        <w:rPr>
          <w:color w:val="231F20"/>
        </w:rPr>
        <w:t>sexual</w:t>
      </w:r>
      <w:r>
        <w:rPr>
          <w:color w:val="231F20"/>
          <w:spacing w:val="-12"/>
        </w:rPr>
        <w:t xml:space="preserve"> </w:t>
      </w:r>
      <w:r>
        <w:rPr>
          <w:color w:val="231F20"/>
        </w:rPr>
        <w:t>and</w:t>
      </w:r>
      <w:r>
        <w:rPr>
          <w:color w:val="231F20"/>
          <w:spacing w:val="-13"/>
        </w:rPr>
        <w:t xml:space="preserve"> </w:t>
      </w:r>
      <w:r>
        <w:rPr>
          <w:color w:val="231F20"/>
        </w:rPr>
        <w:t>reproductive</w:t>
      </w:r>
      <w:r>
        <w:rPr>
          <w:color w:val="231F20"/>
          <w:spacing w:val="-12"/>
        </w:rPr>
        <w:t xml:space="preserve"> </w:t>
      </w:r>
      <w:r>
        <w:rPr>
          <w:color w:val="231F20"/>
        </w:rPr>
        <w:t>health</w:t>
      </w:r>
      <w:r>
        <w:rPr>
          <w:color w:val="231F20"/>
          <w:spacing w:val="-12"/>
        </w:rPr>
        <w:t xml:space="preserve"> </w:t>
      </w:r>
      <w:r>
        <w:rPr>
          <w:color w:val="231F20"/>
        </w:rPr>
        <w:t>services throughout</w:t>
      </w:r>
      <w:r>
        <w:rPr>
          <w:color w:val="231F20"/>
          <w:spacing w:val="-22"/>
        </w:rPr>
        <w:t xml:space="preserve"> </w:t>
      </w:r>
      <w:r>
        <w:rPr>
          <w:color w:val="231F20"/>
        </w:rPr>
        <w:t>life</w:t>
      </w:r>
      <w:r>
        <w:rPr>
          <w:color w:val="231F20"/>
          <w:spacing w:val="-21"/>
        </w:rPr>
        <w:t xml:space="preserve"> </w:t>
      </w:r>
      <w:r>
        <w:rPr>
          <w:color w:val="231F20"/>
        </w:rPr>
        <w:t>cycle</w:t>
      </w:r>
      <w:r>
        <w:rPr>
          <w:color w:val="231F20"/>
          <w:spacing w:val="-21"/>
        </w:rPr>
        <w:t xml:space="preserve"> </w:t>
      </w:r>
      <w:r>
        <w:rPr>
          <w:color w:val="231F20"/>
        </w:rPr>
        <w:t>and</w:t>
      </w:r>
      <w:r>
        <w:rPr>
          <w:color w:val="231F20"/>
          <w:spacing w:val="-21"/>
        </w:rPr>
        <w:t xml:space="preserve"> </w:t>
      </w:r>
      <w:r>
        <w:rPr>
          <w:color w:val="231F20"/>
        </w:rPr>
        <w:t>reduce</w:t>
      </w:r>
      <w:r>
        <w:rPr>
          <w:color w:val="231F20"/>
          <w:spacing w:val="-21"/>
        </w:rPr>
        <w:t xml:space="preserve"> </w:t>
      </w:r>
      <w:r>
        <w:rPr>
          <w:color w:val="231F20"/>
        </w:rPr>
        <w:t>maternal,</w:t>
      </w:r>
      <w:r>
        <w:rPr>
          <w:color w:val="231F20"/>
          <w:spacing w:val="-21"/>
        </w:rPr>
        <w:t xml:space="preserve"> </w:t>
      </w:r>
      <w:r>
        <w:rPr>
          <w:color w:val="231F20"/>
        </w:rPr>
        <w:t>neonatal,</w:t>
      </w:r>
      <w:r>
        <w:rPr>
          <w:color w:val="231F20"/>
          <w:spacing w:val="-21"/>
        </w:rPr>
        <w:t xml:space="preserve"> </w:t>
      </w:r>
      <w:r>
        <w:rPr>
          <w:color w:val="231F20"/>
        </w:rPr>
        <w:t>child</w:t>
      </w:r>
      <w:r>
        <w:rPr>
          <w:color w:val="231F20"/>
          <w:spacing w:val="-21"/>
        </w:rPr>
        <w:t xml:space="preserve"> </w:t>
      </w:r>
      <w:r>
        <w:rPr>
          <w:color w:val="231F20"/>
        </w:rPr>
        <w:t>and</w:t>
      </w:r>
      <w:r>
        <w:rPr>
          <w:color w:val="231F20"/>
          <w:spacing w:val="-21"/>
        </w:rPr>
        <w:t xml:space="preserve"> </w:t>
      </w:r>
      <w:r>
        <w:rPr>
          <w:color w:val="231F20"/>
        </w:rPr>
        <w:t>adolescent</w:t>
      </w:r>
      <w:r>
        <w:rPr>
          <w:color w:val="231F20"/>
          <w:spacing w:val="-21"/>
        </w:rPr>
        <w:t xml:space="preserve"> </w:t>
      </w:r>
      <w:r>
        <w:rPr>
          <w:color w:val="231F20"/>
        </w:rPr>
        <w:t>morbidity</w:t>
      </w:r>
      <w:r>
        <w:rPr>
          <w:color w:val="231F20"/>
          <w:spacing w:val="-21"/>
        </w:rPr>
        <w:t xml:space="preserve"> </w:t>
      </w:r>
      <w:r>
        <w:rPr>
          <w:color w:val="231F20"/>
        </w:rPr>
        <w:t>and</w:t>
      </w:r>
      <w:r>
        <w:rPr>
          <w:color w:val="231F20"/>
          <w:spacing w:val="-22"/>
        </w:rPr>
        <w:t xml:space="preserve"> </w:t>
      </w:r>
      <w:r>
        <w:rPr>
          <w:color w:val="231F20"/>
        </w:rPr>
        <w:t>mortality</w:t>
      </w:r>
      <w:r>
        <w:rPr>
          <w:color w:val="231F20"/>
          <w:spacing w:val="-21"/>
        </w:rPr>
        <w:t xml:space="preserve"> </w:t>
      </w:r>
      <w:r>
        <w:rPr>
          <w:color w:val="231F20"/>
          <w:spacing w:val="-8"/>
        </w:rPr>
        <w:t xml:space="preserve">in </w:t>
      </w:r>
      <w:r>
        <w:rPr>
          <w:color w:val="231F20"/>
        </w:rPr>
        <w:t>Rivers</w:t>
      </w:r>
      <w:r>
        <w:rPr>
          <w:color w:val="231F20"/>
          <w:spacing w:val="-25"/>
        </w:rPr>
        <w:t xml:space="preserve"> </w:t>
      </w:r>
      <w:r>
        <w:rPr>
          <w:color w:val="231F20"/>
        </w:rPr>
        <w:t>State.</w:t>
      </w:r>
    </w:p>
    <w:p w14:paraId="3CFF37E4" w14:textId="77777777" w:rsidR="009948F1" w:rsidRDefault="009948F1">
      <w:pPr>
        <w:spacing w:line="288" w:lineRule="auto"/>
        <w:jc w:val="both"/>
        <w:sectPr w:rsidR="009948F1">
          <w:pgSz w:w="11910" w:h="16840"/>
          <w:pgMar w:top="1280" w:right="1080" w:bottom="1420" w:left="1120" w:header="0" w:footer="1235" w:gutter="0"/>
          <w:cols w:space="720"/>
        </w:sectPr>
      </w:pPr>
    </w:p>
    <w:p w14:paraId="260FED17" w14:textId="77777777" w:rsidR="009948F1" w:rsidRDefault="009948F1">
      <w:pPr>
        <w:pStyle w:val="BodyText"/>
        <w:spacing w:before="1"/>
        <w:rPr>
          <w:sz w:val="24"/>
        </w:rPr>
      </w:pPr>
    </w:p>
    <w:p w14:paraId="4C074054" w14:textId="77777777" w:rsidR="009948F1" w:rsidRDefault="00BC0563">
      <w:pPr>
        <w:pStyle w:val="Heading7"/>
        <w:spacing w:before="66"/>
        <w:ind w:left="407"/>
      </w:pPr>
      <w:bookmarkStart w:id="61" w:name="Page_47"/>
      <w:bookmarkEnd w:id="61"/>
      <w:r>
        <w:rPr>
          <w:color w:val="231F20"/>
        </w:rPr>
        <w:t>Strategic Objective</w:t>
      </w:r>
    </w:p>
    <w:p w14:paraId="4D3BC077" w14:textId="77777777" w:rsidR="009948F1" w:rsidRDefault="00BC0563">
      <w:pPr>
        <w:pStyle w:val="ListParagraph"/>
        <w:numPr>
          <w:ilvl w:val="2"/>
          <w:numId w:val="293"/>
        </w:numPr>
        <w:tabs>
          <w:tab w:val="left" w:pos="960"/>
        </w:tabs>
        <w:spacing w:before="40" w:line="278" w:lineRule="auto"/>
        <w:ind w:left="407" w:right="1183" w:firstLine="0"/>
        <w:jc w:val="left"/>
        <w:rPr>
          <w:color w:val="231F20"/>
        </w:rPr>
      </w:pPr>
      <w:r>
        <w:rPr>
          <w:color w:val="231F20"/>
        </w:rPr>
        <w:t xml:space="preserve">Reduce maternal mortality and morbidity through the provision of </w:t>
      </w:r>
      <w:r>
        <w:rPr>
          <w:color w:val="231F20"/>
          <w:spacing w:val="-3"/>
        </w:rPr>
        <w:t xml:space="preserve">timely, safe, </w:t>
      </w:r>
      <w:r>
        <w:rPr>
          <w:color w:val="231F20"/>
        </w:rPr>
        <w:t>appropriate and effective healthcare services before, during and after child</w:t>
      </w:r>
      <w:r>
        <w:rPr>
          <w:color w:val="231F20"/>
          <w:spacing w:val="16"/>
        </w:rPr>
        <w:t xml:space="preserve"> </w:t>
      </w:r>
      <w:r>
        <w:rPr>
          <w:color w:val="231F20"/>
        </w:rPr>
        <w:t>birth.</w:t>
      </w:r>
    </w:p>
    <w:p w14:paraId="085368EE" w14:textId="77777777" w:rsidR="009948F1" w:rsidRDefault="00BC0563">
      <w:pPr>
        <w:spacing w:before="132"/>
        <w:ind w:left="407"/>
        <w:rPr>
          <w:b/>
          <w:sz w:val="21"/>
        </w:rPr>
      </w:pPr>
      <w:r>
        <w:rPr>
          <w:b/>
          <w:color w:val="231F20"/>
          <w:w w:val="105"/>
          <w:sz w:val="21"/>
        </w:rPr>
        <w:t>Reproductive, Maternal, Newborn, Child, and Adolescent Health Plus Nutrition</w:t>
      </w:r>
    </w:p>
    <w:p w14:paraId="02ED21D2" w14:textId="77777777" w:rsidR="009948F1" w:rsidRDefault="009948F1">
      <w:pPr>
        <w:pStyle w:val="BodyText"/>
        <w:spacing w:before="8"/>
        <w:rPr>
          <w:b/>
          <w:sz w:val="12"/>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20"/>
        <w:gridCol w:w="1242"/>
        <w:gridCol w:w="827"/>
        <w:gridCol w:w="832"/>
        <w:gridCol w:w="827"/>
        <w:gridCol w:w="969"/>
        <w:gridCol w:w="1055"/>
        <w:gridCol w:w="1057"/>
      </w:tblGrid>
      <w:tr w:rsidR="009948F1" w14:paraId="5C0AB380" w14:textId="77777777">
        <w:trPr>
          <w:trHeight w:val="206"/>
        </w:trPr>
        <w:tc>
          <w:tcPr>
            <w:tcW w:w="2620" w:type="dxa"/>
            <w:shd w:val="clear" w:color="auto" w:fill="F6ADCD"/>
          </w:tcPr>
          <w:p w14:paraId="5E3720F9" w14:textId="77777777" w:rsidR="009948F1" w:rsidRDefault="00BC0563">
            <w:pPr>
              <w:pStyle w:val="TableParagraph"/>
              <w:spacing w:line="186" w:lineRule="exact"/>
              <w:ind w:left="112"/>
              <w:rPr>
                <w:sz w:val="18"/>
              </w:rPr>
            </w:pPr>
            <w:r>
              <w:rPr>
                <w:color w:val="231F20"/>
                <w:sz w:val="18"/>
              </w:rPr>
              <w:t>Targets</w:t>
            </w:r>
          </w:p>
        </w:tc>
        <w:tc>
          <w:tcPr>
            <w:tcW w:w="1242" w:type="dxa"/>
            <w:shd w:val="clear" w:color="auto" w:fill="F6ADCD"/>
          </w:tcPr>
          <w:p w14:paraId="03F8C655" w14:textId="77777777" w:rsidR="009948F1" w:rsidRDefault="00BC0563">
            <w:pPr>
              <w:pStyle w:val="TableParagraph"/>
              <w:spacing w:line="186" w:lineRule="exact"/>
              <w:ind w:left="110"/>
              <w:rPr>
                <w:sz w:val="18"/>
              </w:rPr>
            </w:pPr>
            <w:r>
              <w:rPr>
                <w:color w:val="231F20"/>
                <w:sz w:val="18"/>
              </w:rPr>
              <w:t>Baseline</w:t>
            </w:r>
          </w:p>
        </w:tc>
        <w:tc>
          <w:tcPr>
            <w:tcW w:w="827" w:type="dxa"/>
            <w:shd w:val="clear" w:color="auto" w:fill="F6ADCD"/>
          </w:tcPr>
          <w:p w14:paraId="79DD5523" w14:textId="77777777" w:rsidR="009948F1" w:rsidRDefault="00BC0563">
            <w:pPr>
              <w:pStyle w:val="TableParagraph"/>
              <w:spacing w:line="186" w:lineRule="exact"/>
              <w:ind w:left="112"/>
              <w:rPr>
                <w:b/>
                <w:sz w:val="18"/>
              </w:rPr>
            </w:pPr>
            <w:r>
              <w:rPr>
                <w:b/>
                <w:color w:val="231F20"/>
                <w:sz w:val="18"/>
              </w:rPr>
              <w:t>2018</w:t>
            </w:r>
          </w:p>
        </w:tc>
        <w:tc>
          <w:tcPr>
            <w:tcW w:w="832" w:type="dxa"/>
            <w:shd w:val="clear" w:color="auto" w:fill="F6ADCD"/>
          </w:tcPr>
          <w:p w14:paraId="3B180AA3" w14:textId="77777777" w:rsidR="009948F1" w:rsidRDefault="00BC0563">
            <w:pPr>
              <w:pStyle w:val="TableParagraph"/>
              <w:spacing w:line="186" w:lineRule="exact"/>
              <w:ind w:left="111"/>
              <w:rPr>
                <w:b/>
                <w:sz w:val="18"/>
              </w:rPr>
            </w:pPr>
            <w:r>
              <w:rPr>
                <w:b/>
                <w:color w:val="231F20"/>
                <w:sz w:val="18"/>
              </w:rPr>
              <w:t>2019</w:t>
            </w:r>
          </w:p>
        </w:tc>
        <w:tc>
          <w:tcPr>
            <w:tcW w:w="827" w:type="dxa"/>
            <w:shd w:val="clear" w:color="auto" w:fill="F6ADCD"/>
          </w:tcPr>
          <w:p w14:paraId="245CF0D9" w14:textId="77777777" w:rsidR="009948F1" w:rsidRDefault="00BC0563">
            <w:pPr>
              <w:pStyle w:val="TableParagraph"/>
              <w:spacing w:line="186" w:lineRule="exact"/>
              <w:ind w:left="110"/>
              <w:rPr>
                <w:b/>
                <w:sz w:val="18"/>
              </w:rPr>
            </w:pPr>
            <w:r>
              <w:rPr>
                <w:b/>
                <w:color w:val="231F20"/>
                <w:sz w:val="18"/>
              </w:rPr>
              <w:t>2020</w:t>
            </w:r>
          </w:p>
        </w:tc>
        <w:tc>
          <w:tcPr>
            <w:tcW w:w="969" w:type="dxa"/>
            <w:shd w:val="clear" w:color="auto" w:fill="F6ADCD"/>
          </w:tcPr>
          <w:p w14:paraId="1C90824F" w14:textId="77777777" w:rsidR="009948F1" w:rsidRDefault="00BC0563">
            <w:pPr>
              <w:pStyle w:val="TableParagraph"/>
              <w:spacing w:line="186" w:lineRule="exact"/>
              <w:ind w:left="109"/>
              <w:rPr>
                <w:b/>
                <w:sz w:val="18"/>
              </w:rPr>
            </w:pPr>
            <w:r>
              <w:rPr>
                <w:b/>
                <w:color w:val="231F20"/>
                <w:sz w:val="18"/>
              </w:rPr>
              <w:t>2021</w:t>
            </w:r>
          </w:p>
        </w:tc>
        <w:tc>
          <w:tcPr>
            <w:tcW w:w="1055" w:type="dxa"/>
            <w:shd w:val="clear" w:color="auto" w:fill="F6ADCD"/>
          </w:tcPr>
          <w:p w14:paraId="6EE3E37E" w14:textId="77777777" w:rsidR="009948F1" w:rsidRDefault="00BC0563">
            <w:pPr>
              <w:pStyle w:val="TableParagraph"/>
              <w:spacing w:line="186" w:lineRule="exact"/>
              <w:ind w:left="107"/>
              <w:rPr>
                <w:b/>
                <w:sz w:val="18"/>
              </w:rPr>
            </w:pPr>
            <w:r>
              <w:rPr>
                <w:b/>
                <w:color w:val="231F20"/>
                <w:sz w:val="18"/>
              </w:rPr>
              <w:t>2022</w:t>
            </w:r>
          </w:p>
        </w:tc>
        <w:tc>
          <w:tcPr>
            <w:tcW w:w="1057" w:type="dxa"/>
            <w:shd w:val="clear" w:color="auto" w:fill="F6ADCD"/>
          </w:tcPr>
          <w:p w14:paraId="379B4DF6" w14:textId="77777777" w:rsidR="009948F1" w:rsidRDefault="00BC0563">
            <w:pPr>
              <w:pStyle w:val="TableParagraph"/>
              <w:spacing w:line="186" w:lineRule="exact"/>
              <w:ind w:left="107"/>
              <w:rPr>
                <w:b/>
                <w:sz w:val="18"/>
              </w:rPr>
            </w:pPr>
            <w:r>
              <w:rPr>
                <w:b/>
                <w:color w:val="231F20"/>
                <w:sz w:val="18"/>
              </w:rPr>
              <w:t>National</w:t>
            </w:r>
          </w:p>
        </w:tc>
      </w:tr>
      <w:tr w:rsidR="009948F1" w14:paraId="47E2CCE8" w14:textId="77777777">
        <w:trPr>
          <w:trHeight w:val="621"/>
        </w:trPr>
        <w:tc>
          <w:tcPr>
            <w:tcW w:w="2620" w:type="dxa"/>
            <w:tcBorders>
              <w:left w:val="single" w:sz="8" w:space="0" w:color="231F20"/>
              <w:bottom w:val="single" w:sz="8" w:space="0" w:color="231F20"/>
              <w:right w:val="single" w:sz="8" w:space="0" w:color="231F20"/>
            </w:tcBorders>
          </w:tcPr>
          <w:p w14:paraId="21952D3D" w14:textId="77777777" w:rsidR="009948F1" w:rsidRDefault="00BC0563">
            <w:pPr>
              <w:pStyle w:val="TableParagraph"/>
              <w:spacing w:line="206" w:lineRule="exact"/>
              <w:ind w:left="107"/>
              <w:rPr>
                <w:sz w:val="18"/>
              </w:rPr>
            </w:pPr>
            <w:r>
              <w:rPr>
                <w:color w:val="231F20"/>
                <w:sz w:val="18"/>
              </w:rPr>
              <w:t>Maternal Mortality Ratio</w:t>
            </w:r>
          </w:p>
          <w:p w14:paraId="72F53AAC" w14:textId="77777777" w:rsidR="009948F1" w:rsidRDefault="00BC0563">
            <w:pPr>
              <w:pStyle w:val="TableParagraph"/>
              <w:spacing w:before="6" w:line="206" w:lineRule="exact"/>
              <w:ind w:left="107" w:right="161"/>
              <w:rPr>
                <w:sz w:val="18"/>
              </w:rPr>
            </w:pPr>
            <w:r>
              <w:rPr>
                <w:color w:val="231F20"/>
                <w:sz w:val="18"/>
              </w:rPr>
              <w:t>reduced from 576/100,000 to 374/100,000</w:t>
            </w:r>
          </w:p>
        </w:tc>
        <w:tc>
          <w:tcPr>
            <w:tcW w:w="1242" w:type="dxa"/>
            <w:tcBorders>
              <w:left w:val="single" w:sz="8" w:space="0" w:color="231F20"/>
              <w:bottom w:val="single" w:sz="8" w:space="0" w:color="231F20"/>
              <w:right w:val="single" w:sz="8" w:space="0" w:color="231F20"/>
            </w:tcBorders>
          </w:tcPr>
          <w:p w14:paraId="44D8DD8F" w14:textId="77777777" w:rsidR="009948F1" w:rsidRDefault="00BC0563">
            <w:pPr>
              <w:pStyle w:val="TableParagraph"/>
              <w:spacing w:line="206" w:lineRule="exact"/>
              <w:ind w:left="105"/>
              <w:rPr>
                <w:sz w:val="18"/>
              </w:rPr>
            </w:pPr>
            <w:r>
              <w:rPr>
                <w:color w:val="231F20"/>
                <w:sz w:val="18"/>
              </w:rPr>
              <w:t>576/100,000</w:t>
            </w:r>
          </w:p>
        </w:tc>
        <w:tc>
          <w:tcPr>
            <w:tcW w:w="827" w:type="dxa"/>
            <w:tcBorders>
              <w:left w:val="single" w:sz="8" w:space="0" w:color="231F20"/>
            </w:tcBorders>
          </w:tcPr>
          <w:p w14:paraId="4EB88134" w14:textId="77777777" w:rsidR="009948F1" w:rsidRDefault="00BC0563">
            <w:pPr>
              <w:pStyle w:val="TableParagraph"/>
              <w:spacing w:line="206" w:lineRule="exact"/>
              <w:ind w:left="107"/>
              <w:rPr>
                <w:sz w:val="18"/>
              </w:rPr>
            </w:pPr>
            <w:r>
              <w:rPr>
                <w:color w:val="231F20"/>
                <w:sz w:val="18"/>
              </w:rPr>
              <w:t>576/</w:t>
            </w:r>
          </w:p>
          <w:p w14:paraId="174181F5" w14:textId="77777777" w:rsidR="009948F1" w:rsidRDefault="00BC0563">
            <w:pPr>
              <w:pStyle w:val="TableParagraph"/>
              <w:spacing w:before="2" w:line="207" w:lineRule="exact"/>
              <w:ind w:left="107"/>
              <w:rPr>
                <w:sz w:val="18"/>
              </w:rPr>
            </w:pPr>
            <w:r>
              <w:rPr>
                <w:color w:val="231F20"/>
                <w:sz w:val="18"/>
              </w:rPr>
              <w:t>100,</w:t>
            </w:r>
          </w:p>
          <w:p w14:paraId="47235438" w14:textId="77777777" w:rsidR="009948F1" w:rsidRDefault="00BC0563">
            <w:pPr>
              <w:pStyle w:val="TableParagraph"/>
              <w:spacing w:line="187" w:lineRule="exact"/>
              <w:ind w:left="107"/>
              <w:rPr>
                <w:sz w:val="18"/>
              </w:rPr>
            </w:pPr>
            <w:r>
              <w:rPr>
                <w:color w:val="231F20"/>
                <w:sz w:val="18"/>
              </w:rPr>
              <w:t>000</w:t>
            </w:r>
          </w:p>
        </w:tc>
        <w:tc>
          <w:tcPr>
            <w:tcW w:w="832" w:type="dxa"/>
          </w:tcPr>
          <w:p w14:paraId="3162B55F" w14:textId="77777777" w:rsidR="009948F1" w:rsidRDefault="00BC0563">
            <w:pPr>
              <w:pStyle w:val="TableParagraph"/>
              <w:spacing w:line="206" w:lineRule="exact"/>
              <w:ind w:left="111"/>
              <w:rPr>
                <w:sz w:val="18"/>
              </w:rPr>
            </w:pPr>
            <w:r>
              <w:rPr>
                <w:color w:val="231F20"/>
                <w:sz w:val="18"/>
              </w:rPr>
              <w:t>550/</w:t>
            </w:r>
          </w:p>
          <w:p w14:paraId="32D4CCDD" w14:textId="77777777" w:rsidR="009948F1" w:rsidRDefault="00BC0563">
            <w:pPr>
              <w:pStyle w:val="TableParagraph"/>
              <w:spacing w:before="2" w:line="207" w:lineRule="exact"/>
              <w:ind w:left="111"/>
              <w:rPr>
                <w:sz w:val="18"/>
              </w:rPr>
            </w:pPr>
            <w:r>
              <w:rPr>
                <w:color w:val="231F20"/>
                <w:sz w:val="18"/>
              </w:rPr>
              <w:t>100,</w:t>
            </w:r>
          </w:p>
          <w:p w14:paraId="28C3FB79" w14:textId="77777777" w:rsidR="009948F1" w:rsidRDefault="00BC0563">
            <w:pPr>
              <w:pStyle w:val="TableParagraph"/>
              <w:spacing w:line="187" w:lineRule="exact"/>
              <w:ind w:left="111"/>
              <w:rPr>
                <w:sz w:val="18"/>
              </w:rPr>
            </w:pPr>
            <w:r>
              <w:rPr>
                <w:color w:val="231F20"/>
                <w:sz w:val="18"/>
              </w:rPr>
              <w:t>000</w:t>
            </w:r>
          </w:p>
        </w:tc>
        <w:tc>
          <w:tcPr>
            <w:tcW w:w="827" w:type="dxa"/>
          </w:tcPr>
          <w:p w14:paraId="01932BD9" w14:textId="77777777" w:rsidR="009948F1" w:rsidRDefault="00BC0563">
            <w:pPr>
              <w:pStyle w:val="TableParagraph"/>
              <w:spacing w:line="206" w:lineRule="exact"/>
              <w:ind w:left="110"/>
              <w:rPr>
                <w:sz w:val="18"/>
              </w:rPr>
            </w:pPr>
            <w:r>
              <w:rPr>
                <w:color w:val="231F20"/>
                <w:sz w:val="18"/>
              </w:rPr>
              <w:t>500/</w:t>
            </w:r>
          </w:p>
          <w:p w14:paraId="0605E3F9" w14:textId="77777777" w:rsidR="009948F1" w:rsidRDefault="00BC0563">
            <w:pPr>
              <w:pStyle w:val="TableParagraph"/>
              <w:spacing w:before="2" w:line="207" w:lineRule="exact"/>
              <w:ind w:left="110"/>
              <w:rPr>
                <w:sz w:val="18"/>
              </w:rPr>
            </w:pPr>
            <w:r>
              <w:rPr>
                <w:color w:val="231F20"/>
                <w:sz w:val="18"/>
              </w:rPr>
              <w:t>100,00</w:t>
            </w:r>
          </w:p>
          <w:p w14:paraId="2B078D85" w14:textId="77777777" w:rsidR="009948F1" w:rsidRDefault="00BC0563">
            <w:pPr>
              <w:pStyle w:val="TableParagraph"/>
              <w:spacing w:line="187" w:lineRule="exact"/>
              <w:ind w:left="110"/>
              <w:rPr>
                <w:sz w:val="18"/>
              </w:rPr>
            </w:pPr>
            <w:r>
              <w:rPr>
                <w:color w:val="231F20"/>
                <w:w w:val="99"/>
                <w:sz w:val="18"/>
              </w:rPr>
              <w:t>0</w:t>
            </w:r>
          </w:p>
        </w:tc>
        <w:tc>
          <w:tcPr>
            <w:tcW w:w="969" w:type="dxa"/>
          </w:tcPr>
          <w:p w14:paraId="5BCCDFEB" w14:textId="77777777" w:rsidR="009948F1" w:rsidRDefault="00BC0563">
            <w:pPr>
              <w:pStyle w:val="TableParagraph"/>
              <w:spacing w:line="206" w:lineRule="exact"/>
              <w:ind w:left="109"/>
              <w:rPr>
                <w:sz w:val="18"/>
              </w:rPr>
            </w:pPr>
            <w:r>
              <w:rPr>
                <w:color w:val="231F20"/>
                <w:sz w:val="18"/>
              </w:rPr>
              <w:t>400/</w:t>
            </w:r>
          </w:p>
          <w:p w14:paraId="5DB7288D" w14:textId="77777777" w:rsidR="009948F1" w:rsidRDefault="00BC0563">
            <w:pPr>
              <w:pStyle w:val="TableParagraph"/>
              <w:spacing w:before="2" w:line="207" w:lineRule="exact"/>
              <w:ind w:left="109"/>
              <w:rPr>
                <w:sz w:val="18"/>
              </w:rPr>
            </w:pPr>
            <w:r>
              <w:rPr>
                <w:color w:val="231F20"/>
                <w:sz w:val="18"/>
              </w:rPr>
              <w:t>100,</w:t>
            </w:r>
          </w:p>
          <w:p w14:paraId="569B9A37" w14:textId="77777777" w:rsidR="009948F1" w:rsidRDefault="00BC0563">
            <w:pPr>
              <w:pStyle w:val="TableParagraph"/>
              <w:spacing w:line="187" w:lineRule="exact"/>
              <w:ind w:left="109"/>
              <w:rPr>
                <w:sz w:val="18"/>
              </w:rPr>
            </w:pPr>
            <w:r>
              <w:rPr>
                <w:color w:val="231F20"/>
                <w:sz w:val="18"/>
              </w:rPr>
              <w:t>000</w:t>
            </w:r>
          </w:p>
        </w:tc>
        <w:tc>
          <w:tcPr>
            <w:tcW w:w="1055" w:type="dxa"/>
          </w:tcPr>
          <w:p w14:paraId="2A780686" w14:textId="77777777" w:rsidR="009948F1" w:rsidRDefault="00BC0563">
            <w:pPr>
              <w:pStyle w:val="TableParagraph"/>
              <w:spacing w:line="206" w:lineRule="exact"/>
              <w:ind w:left="107"/>
              <w:rPr>
                <w:sz w:val="18"/>
              </w:rPr>
            </w:pPr>
            <w:r>
              <w:rPr>
                <w:color w:val="231F20"/>
                <w:sz w:val="18"/>
              </w:rPr>
              <w:t>374/100,0</w:t>
            </w:r>
          </w:p>
          <w:p w14:paraId="599F14A6" w14:textId="77777777" w:rsidR="009948F1" w:rsidRDefault="00BC0563">
            <w:pPr>
              <w:pStyle w:val="TableParagraph"/>
              <w:spacing w:before="2"/>
              <w:ind w:left="107"/>
              <w:rPr>
                <w:sz w:val="18"/>
              </w:rPr>
            </w:pPr>
            <w:r>
              <w:rPr>
                <w:color w:val="231F20"/>
                <w:sz w:val="18"/>
              </w:rPr>
              <w:t>00</w:t>
            </w:r>
          </w:p>
        </w:tc>
        <w:tc>
          <w:tcPr>
            <w:tcW w:w="1057" w:type="dxa"/>
          </w:tcPr>
          <w:p w14:paraId="46E81991" w14:textId="77777777" w:rsidR="009948F1" w:rsidRDefault="00BC0563">
            <w:pPr>
              <w:pStyle w:val="TableParagraph"/>
              <w:spacing w:line="206" w:lineRule="exact"/>
              <w:ind w:left="107"/>
              <w:rPr>
                <w:sz w:val="18"/>
              </w:rPr>
            </w:pPr>
            <w:r>
              <w:rPr>
                <w:color w:val="231F20"/>
                <w:sz w:val="18"/>
              </w:rPr>
              <w:t>374/</w:t>
            </w:r>
          </w:p>
          <w:p w14:paraId="5129B3C7" w14:textId="77777777" w:rsidR="009948F1" w:rsidRDefault="00BC0563">
            <w:pPr>
              <w:pStyle w:val="TableParagraph"/>
              <w:spacing w:before="2"/>
              <w:ind w:left="107"/>
              <w:rPr>
                <w:sz w:val="18"/>
              </w:rPr>
            </w:pPr>
            <w:r>
              <w:rPr>
                <w:color w:val="231F20"/>
                <w:sz w:val="18"/>
              </w:rPr>
              <w:t>100,000</w:t>
            </w:r>
          </w:p>
        </w:tc>
      </w:tr>
      <w:tr w:rsidR="009948F1" w14:paraId="2F7CBFD2" w14:textId="77777777">
        <w:trPr>
          <w:trHeight w:val="824"/>
        </w:trPr>
        <w:tc>
          <w:tcPr>
            <w:tcW w:w="2620" w:type="dxa"/>
            <w:tcBorders>
              <w:top w:val="single" w:sz="8" w:space="0" w:color="231F20"/>
              <w:left w:val="single" w:sz="8" w:space="0" w:color="231F20"/>
              <w:bottom w:val="single" w:sz="8" w:space="0" w:color="231F20"/>
              <w:right w:val="single" w:sz="8" w:space="0" w:color="231F20"/>
            </w:tcBorders>
          </w:tcPr>
          <w:p w14:paraId="62DBC489" w14:textId="77777777" w:rsidR="009948F1" w:rsidRDefault="00BC0563">
            <w:pPr>
              <w:pStyle w:val="TableParagraph"/>
              <w:spacing w:before="2" w:line="206" w:lineRule="exact"/>
              <w:ind w:left="107"/>
              <w:rPr>
                <w:sz w:val="18"/>
              </w:rPr>
            </w:pPr>
            <w:r>
              <w:rPr>
                <w:color w:val="231F20"/>
                <w:sz w:val="18"/>
              </w:rPr>
              <w:t>Proportion of women having Essential ANC (formerly focused ANC) increased from 49% to 74%</w:t>
            </w:r>
          </w:p>
        </w:tc>
        <w:tc>
          <w:tcPr>
            <w:tcW w:w="1242" w:type="dxa"/>
            <w:tcBorders>
              <w:top w:val="single" w:sz="8" w:space="0" w:color="231F20"/>
              <w:left w:val="single" w:sz="8" w:space="0" w:color="231F20"/>
              <w:bottom w:val="single" w:sz="8" w:space="0" w:color="231F20"/>
              <w:right w:val="single" w:sz="8" w:space="0" w:color="231F20"/>
            </w:tcBorders>
          </w:tcPr>
          <w:p w14:paraId="240F96F6" w14:textId="77777777" w:rsidR="009948F1" w:rsidRDefault="00BC0563">
            <w:pPr>
              <w:pStyle w:val="TableParagraph"/>
              <w:spacing w:line="206" w:lineRule="exact"/>
              <w:ind w:left="105"/>
              <w:rPr>
                <w:sz w:val="18"/>
              </w:rPr>
            </w:pPr>
            <w:r>
              <w:rPr>
                <w:color w:val="231F20"/>
                <w:sz w:val="18"/>
              </w:rPr>
              <w:t>47.6%</w:t>
            </w:r>
          </w:p>
        </w:tc>
        <w:tc>
          <w:tcPr>
            <w:tcW w:w="827" w:type="dxa"/>
            <w:tcBorders>
              <w:left w:val="single" w:sz="8" w:space="0" w:color="231F20"/>
            </w:tcBorders>
          </w:tcPr>
          <w:p w14:paraId="051F1105" w14:textId="77777777" w:rsidR="009948F1" w:rsidRDefault="00BC0563">
            <w:pPr>
              <w:pStyle w:val="TableParagraph"/>
              <w:spacing w:line="206" w:lineRule="exact"/>
              <w:ind w:left="107"/>
              <w:rPr>
                <w:sz w:val="18"/>
              </w:rPr>
            </w:pPr>
            <w:r>
              <w:rPr>
                <w:color w:val="231F20"/>
                <w:sz w:val="18"/>
              </w:rPr>
              <w:t>50</w:t>
            </w:r>
          </w:p>
        </w:tc>
        <w:tc>
          <w:tcPr>
            <w:tcW w:w="832" w:type="dxa"/>
          </w:tcPr>
          <w:p w14:paraId="13DCA265" w14:textId="77777777" w:rsidR="009948F1" w:rsidRDefault="00BC0563">
            <w:pPr>
              <w:pStyle w:val="TableParagraph"/>
              <w:spacing w:line="206" w:lineRule="exact"/>
              <w:ind w:left="111"/>
              <w:rPr>
                <w:sz w:val="18"/>
              </w:rPr>
            </w:pPr>
            <w:r>
              <w:rPr>
                <w:color w:val="231F20"/>
                <w:sz w:val="18"/>
              </w:rPr>
              <w:t>55</w:t>
            </w:r>
          </w:p>
        </w:tc>
        <w:tc>
          <w:tcPr>
            <w:tcW w:w="827" w:type="dxa"/>
          </w:tcPr>
          <w:p w14:paraId="124EAB4D" w14:textId="77777777" w:rsidR="009948F1" w:rsidRDefault="00BC0563">
            <w:pPr>
              <w:pStyle w:val="TableParagraph"/>
              <w:spacing w:line="206" w:lineRule="exact"/>
              <w:ind w:left="110"/>
              <w:rPr>
                <w:sz w:val="18"/>
              </w:rPr>
            </w:pPr>
            <w:r>
              <w:rPr>
                <w:color w:val="231F20"/>
                <w:sz w:val="18"/>
              </w:rPr>
              <w:t>60</w:t>
            </w:r>
          </w:p>
        </w:tc>
        <w:tc>
          <w:tcPr>
            <w:tcW w:w="969" w:type="dxa"/>
          </w:tcPr>
          <w:p w14:paraId="6F0E5BB2" w14:textId="77777777" w:rsidR="009948F1" w:rsidRDefault="00BC0563">
            <w:pPr>
              <w:pStyle w:val="TableParagraph"/>
              <w:spacing w:line="206" w:lineRule="exact"/>
              <w:ind w:left="109"/>
              <w:rPr>
                <w:sz w:val="18"/>
              </w:rPr>
            </w:pPr>
            <w:r>
              <w:rPr>
                <w:color w:val="231F20"/>
                <w:sz w:val="18"/>
              </w:rPr>
              <w:t>65</w:t>
            </w:r>
          </w:p>
        </w:tc>
        <w:tc>
          <w:tcPr>
            <w:tcW w:w="1055" w:type="dxa"/>
          </w:tcPr>
          <w:p w14:paraId="14E0BABF" w14:textId="77777777" w:rsidR="009948F1" w:rsidRDefault="00BC0563">
            <w:pPr>
              <w:pStyle w:val="TableParagraph"/>
              <w:spacing w:line="206" w:lineRule="exact"/>
              <w:ind w:left="107"/>
              <w:rPr>
                <w:sz w:val="18"/>
              </w:rPr>
            </w:pPr>
            <w:r>
              <w:rPr>
                <w:color w:val="231F20"/>
                <w:sz w:val="18"/>
              </w:rPr>
              <w:t>70</w:t>
            </w:r>
          </w:p>
        </w:tc>
        <w:tc>
          <w:tcPr>
            <w:tcW w:w="1057" w:type="dxa"/>
          </w:tcPr>
          <w:p w14:paraId="0C68E743" w14:textId="77777777" w:rsidR="009948F1" w:rsidRDefault="00BC0563">
            <w:pPr>
              <w:pStyle w:val="TableParagraph"/>
              <w:tabs>
                <w:tab w:val="left" w:pos="587"/>
              </w:tabs>
              <w:spacing w:before="2" w:line="206" w:lineRule="exact"/>
              <w:ind w:left="107" w:right="95"/>
              <w:rPr>
                <w:sz w:val="18"/>
              </w:rPr>
            </w:pPr>
            <w:r>
              <w:rPr>
                <w:color w:val="231F20"/>
                <w:sz w:val="18"/>
              </w:rPr>
              <w:t>Increase to</w:t>
            </w:r>
            <w:r>
              <w:rPr>
                <w:color w:val="231F20"/>
                <w:sz w:val="18"/>
              </w:rPr>
              <w:tab/>
            </w:r>
            <w:r>
              <w:rPr>
                <w:color w:val="231F20"/>
                <w:spacing w:val="-6"/>
                <w:sz w:val="18"/>
              </w:rPr>
              <w:t xml:space="preserve">74% </w:t>
            </w:r>
            <w:r>
              <w:rPr>
                <w:color w:val="231F20"/>
                <w:sz w:val="18"/>
              </w:rPr>
              <w:t>from baseline</w:t>
            </w:r>
          </w:p>
        </w:tc>
      </w:tr>
      <w:tr w:rsidR="009948F1" w14:paraId="1B2C8CE8" w14:textId="77777777">
        <w:trPr>
          <w:trHeight w:val="829"/>
        </w:trPr>
        <w:tc>
          <w:tcPr>
            <w:tcW w:w="2620" w:type="dxa"/>
            <w:tcBorders>
              <w:top w:val="single" w:sz="8" w:space="0" w:color="231F20"/>
              <w:left w:val="single" w:sz="8" w:space="0" w:color="231F20"/>
              <w:bottom w:val="single" w:sz="8" w:space="0" w:color="231F20"/>
              <w:right w:val="single" w:sz="8" w:space="0" w:color="231F20"/>
            </w:tcBorders>
          </w:tcPr>
          <w:p w14:paraId="5FD7A3E5" w14:textId="77777777" w:rsidR="009948F1" w:rsidRDefault="00BC0563">
            <w:pPr>
              <w:pStyle w:val="TableParagraph"/>
              <w:ind w:left="107" w:right="81"/>
              <w:rPr>
                <w:sz w:val="18"/>
              </w:rPr>
            </w:pPr>
            <w:r>
              <w:rPr>
                <w:color w:val="231F20"/>
                <w:sz w:val="18"/>
              </w:rPr>
              <w:t>Percentage of deliveries supervised by skilled birth attendants increase from 43%</w:t>
            </w:r>
          </w:p>
          <w:p w14:paraId="6EB76267" w14:textId="77777777" w:rsidR="009948F1" w:rsidRDefault="00BC0563">
            <w:pPr>
              <w:pStyle w:val="TableParagraph"/>
              <w:spacing w:before="1" w:line="187" w:lineRule="exact"/>
              <w:ind w:left="107"/>
              <w:rPr>
                <w:sz w:val="18"/>
              </w:rPr>
            </w:pPr>
            <w:r>
              <w:rPr>
                <w:color w:val="231F20"/>
                <w:sz w:val="18"/>
              </w:rPr>
              <w:t>to 57%</w:t>
            </w:r>
          </w:p>
        </w:tc>
        <w:tc>
          <w:tcPr>
            <w:tcW w:w="1242" w:type="dxa"/>
            <w:tcBorders>
              <w:top w:val="single" w:sz="8" w:space="0" w:color="231F20"/>
              <w:left w:val="single" w:sz="8" w:space="0" w:color="231F20"/>
              <w:bottom w:val="single" w:sz="8" w:space="0" w:color="231F20"/>
              <w:right w:val="single" w:sz="8" w:space="0" w:color="231F20"/>
            </w:tcBorders>
          </w:tcPr>
          <w:p w14:paraId="0C46FDEF" w14:textId="77777777" w:rsidR="009948F1" w:rsidRDefault="00BC0563">
            <w:pPr>
              <w:pStyle w:val="TableParagraph"/>
              <w:ind w:left="105"/>
              <w:rPr>
                <w:sz w:val="18"/>
              </w:rPr>
            </w:pPr>
            <w:r>
              <w:rPr>
                <w:color w:val="231F20"/>
                <w:sz w:val="18"/>
              </w:rPr>
              <w:t>79%</w:t>
            </w:r>
          </w:p>
        </w:tc>
        <w:tc>
          <w:tcPr>
            <w:tcW w:w="827" w:type="dxa"/>
            <w:tcBorders>
              <w:left w:val="single" w:sz="8" w:space="0" w:color="231F20"/>
            </w:tcBorders>
          </w:tcPr>
          <w:p w14:paraId="1A887EB0" w14:textId="77777777" w:rsidR="009948F1" w:rsidRDefault="00BC0563">
            <w:pPr>
              <w:pStyle w:val="TableParagraph"/>
              <w:ind w:left="107"/>
              <w:rPr>
                <w:sz w:val="18"/>
              </w:rPr>
            </w:pPr>
            <w:r>
              <w:rPr>
                <w:color w:val="231F20"/>
                <w:sz w:val="18"/>
              </w:rPr>
              <w:t>84%</w:t>
            </w:r>
          </w:p>
        </w:tc>
        <w:tc>
          <w:tcPr>
            <w:tcW w:w="832" w:type="dxa"/>
          </w:tcPr>
          <w:p w14:paraId="0170D6A5" w14:textId="77777777" w:rsidR="009948F1" w:rsidRDefault="00BC0563">
            <w:pPr>
              <w:pStyle w:val="TableParagraph"/>
              <w:ind w:left="111"/>
              <w:rPr>
                <w:sz w:val="18"/>
              </w:rPr>
            </w:pPr>
            <w:r>
              <w:rPr>
                <w:color w:val="231F20"/>
                <w:sz w:val="18"/>
              </w:rPr>
              <w:t>86%</w:t>
            </w:r>
          </w:p>
        </w:tc>
        <w:tc>
          <w:tcPr>
            <w:tcW w:w="827" w:type="dxa"/>
          </w:tcPr>
          <w:p w14:paraId="60E72DF7" w14:textId="77777777" w:rsidR="009948F1" w:rsidRDefault="00BC0563">
            <w:pPr>
              <w:pStyle w:val="TableParagraph"/>
              <w:ind w:left="110"/>
              <w:rPr>
                <w:sz w:val="18"/>
              </w:rPr>
            </w:pPr>
            <w:r>
              <w:rPr>
                <w:color w:val="231F20"/>
                <w:sz w:val="18"/>
              </w:rPr>
              <w:t>88%</w:t>
            </w:r>
          </w:p>
        </w:tc>
        <w:tc>
          <w:tcPr>
            <w:tcW w:w="969" w:type="dxa"/>
          </w:tcPr>
          <w:p w14:paraId="1FDB3526" w14:textId="77777777" w:rsidR="009948F1" w:rsidRDefault="00BC0563">
            <w:pPr>
              <w:pStyle w:val="TableParagraph"/>
              <w:ind w:left="109"/>
              <w:rPr>
                <w:sz w:val="18"/>
              </w:rPr>
            </w:pPr>
            <w:r>
              <w:rPr>
                <w:color w:val="231F20"/>
                <w:sz w:val="18"/>
              </w:rPr>
              <w:t>90%</w:t>
            </w:r>
          </w:p>
        </w:tc>
        <w:tc>
          <w:tcPr>
            <w:tcW w:w="1055" w:type="dxa"/>
          </w:tcPr>
          <w:p w14:paraId="3792BEA2" w14:textId="77777777" w:rsidR="009948F1" w:rsidRDefault="00BC0563">
            <w:pPr>
              <w:pStyle w:val="TableParagraph"/>
              <w:ind w:left="107"/>
              <w:rPr>
                <w:sz w:val="18"/>
              </w:rPr>
            </w:pPr>
            <w:r>
              <w:rPr>
                <w:color w:val="231F20"/>
                <w:sz w:val="18"/>
              </w:rPr>
              <w:t>92%</w:t>
            </w:r>
          </w:p>
        </w:tc>
        <w:tc>
          <w:tcPr>
            <w:tcW w:w="1057" w:type="dxa"/>
          </w:tcPr>
          <w:p w14:paraId="13A81FCD" w14:textId="77777777" w:rsidR="009948F1" w:rsidRDefault="00BC0563">
            <w:pPr>
              <w:pStyle w:val="TableParagraph"/>
              <w:tabs>
                <w:tab w:val="left" w:pos="688"/>
              </w:tabs>
              <w:ind w:left="107" w:right="95"/>
              <w:rPr>
                <w:sz w:val="18"/>
              </w:rPr>
            </w:pPr>
            <w:r>
              <w:rPr>
                <w:color w:val="231F20"/>
                <w:sz w:val="18"/>
              </w:rPr>
              <w:t>Increase to 5</w:t>
            </w:r>
            <w:r>
              <w:rPr>
                <w:color w:val="231F20"/>
                <w:sz w:val="18"/>
              </w:rPr>
              <w:tab/>
            </w:r>
            <w:r>
              <w:rPr>
                <w:color w:val="231F20"/>
                <w:spacing w:val="-9"/>
                <w:sz w:val="18"/>
              </w:rPr>
              <w:t xml:space="preserve">7% </w:t>
            </w:r>
            <w:r>
              <w:rPr>
                <w:color w:val="231F20"/>
                <w:sz w:val="18"/>
              </w:rPr>
              <w:t>from</w:t>
            </w:r>
          </w:p>
          <w:p w14:paraId="33D8B1DF" w14:textId="77777777" w:rsidR="009948F1" w:rsidRDefault="00BC0563">
            <w:pPr>
              <w:pStyle w:val="TableParagraph"/>
              <w:spacing w:before="1" w:line="187" w:lineRule="exact"/>
              <w:ind w:left="107"/>
              <w:rPr>
                <w:sz w:val="18"/>
              </w:rPr>
            </w:pPr>
            <w:r>
              <w:rPr>
                <w:color w:val="231F20"/>
                <w:sz w:val="18"/>
              </w:rPr>
              <w:t>baseline</w:t>
            </w:r>
          </w:p>
        </w:tc>
      </w:tr>
      <w:tr w:rsidR="009948F1" w14:paraId="249018D9" w14:textId="77777777">
        <w:trPr>
          <w:trHeight w:val="1243"/>
        </w:trPr>
        <w:tc>
          <w:tcPr>
            <w:tcW w:w="2620" w:type="dxa"/>
            <w:tcBorders>
              <w:top w:val="single" w:sz="8" w:space="0" w:color="231F20"/>
              <w:left w:val="single" w:sz="8" w:space="0" w:color="231F20"/>
              <w:bottom w:val="single" w:sz="8" w:space="0" w:color="231F20"/>
              <w:right w:val="single" w:sz="8" w:space="0" w:color="231F20"/>
            </w:tcBorders>
          </w:tcPr>
          <w:p w14:paraId="17267268" w14:textId="77777777" w:rsidR="009948F1" w:rsidRDefault="00BC0563">
            <w:pPr>
              <w:pStyle w:val="TableParagraph"/>
              <w:ind w:left="107" w:right="292"/>
              <w:rPr>
                <w:sz w:val="18"/>
              </w:rPr>
            </w:pPr>
            <w:r>
              <w:rPr>
                <w:color w:val="231F20"/>
                <w:sz w:val="18"/>
              </w:rPr>
              <w:t>% of primary/Ward Health primary healthcare facilities providing basic emergency obstetric and neonatal care services disaggregated by</w:t>
            </w:r>
          </w:p>
          <w:p w14:paraId="38FFB641" w14:textId="77777777" w:rsidR="009948F1" w:rsidRDefault="00BC0563">
            <w:pPr>
              <w:pStyle w:val="TableParagraph"/>
              <w:spacing w:line="189" w:lineRule="exact"/>
              <w:ind w:left="107"/>
              <w:rPr>
                <w:sz w:val="18"/>
              </w:rPr>
            </w:pPr>
            <w:r>
              <w:rPr>
                <w:color w:val="231F20"/>
                <w:sz w:val="18"/>
              </w:rPr>
              <w:t>level of care increase to 80%</w:t>
            </w:r>
          </w:p>
        </w:tc>
        <w:tc>
          <w:tcPr>
            <w:tcW w:w="1242" w:type="dxa"/>
            <w:tcBorders>
              <w:top w:val="single" w:sz="8" w:space="0" w:color="231F20"/>
              <w:left w:val="single" w:sz="8" w:space="0" w:color="231F20"/>
              <w:bottom w:val="single" w:sz="8" w:space="0" w:color="231F20"/>
              <w:right w:val="single" w:sz="8" w:space="0" w:color="231F20"/>
            </w:tcBorders>
          </w:tcPr>
          <w:p w14:paraId="44FFB77A" w14:textId="77777777" w:rsidR="009948F1" w:rsidRDefault="00BC0563">
            <w:pPr>
              <w:pStyle w:val="TableParagraph"/>
              <w:spacing w:line="206" w:lineRule="exact"/>
              <w:ind w:left="105"/>
              <w:rPr>
                <w:sz w:val="18"/>
              </w:rPr>
            </w:pPr>
            <w:r>
              <w:rPr>
                <w:color w:val="231F20"/>
                <w:sz w:val="18"/>
              </w:rPr>
              <w:t>45</w:t>
            </w:r>
          </w:p>
        </w:tc>
        <w:tc>
          <w:tcPr>
            <w:tcW w:w="827" w:type="dxa"/>
            <w:tcBorders>
              <w:left w:val="single" w:sz="8" w:space="0" w:color="231F20"/>
            </w:tcBorders>
          </w:tcPr>
          <w:p w14:paraId="212E9153" w14:textId="77777777" w:rsidR="009948F1" w:rsidRDefault="00BC0563">
            <w:pPr>
              <w:pStyle w:val="TableParagraph"/>
              <w:spacing w:line="206" w:lineRule="exact"/>
              <w:ind w:left="107"/>
              <w:rPr>
                <w:sz w:val="18"/>
              </w:rPr>
            </w:pPr>
            <w:r>
              <w:rPr>
                <w:color w:val="231F20"/>
                <w:sz w:val="18"/>
              </w:rPr>
              <w:t>47%</w:t>
            </w:r>
          </w:p>
        </w:tc>
        <w:tc>
          <w:tcPr>
            <w:tcW w:w="832" w:type="dxa"/>
          </w:tcPr>
          <w:p w14:paraId="1289D401" w14:textId="77777777" w:rsidR="009948F1" w:rsidRDefault="00BC0563">
            <w:pPr>
              <w:pStyle w:val="TableParagraph"/>
              <w:spacing w:line="206" w:lineRule="exact"/>
              <w:ind w:left="111"/>
              <w:rPr>
                <w:sz w:val="18"/>
              </w:rPr>
            </w:pPr>
            <w:r>
              <w:rPr>
                <w:color w:val="231F20"/>
                <w:sz w:val="18"/>
              </w:rPr>
              <w:t>49%</w:t>
            </w:r>
          </w:p>
        </w:tc>
        <w:tc>
          <w:tcPr>
            <w:tcW w:w="827" w:type="dxa"/>
          </w:tcPr>
          <w:p w14:paraId="4C96DC57" w14:textId="77777777" w:rsidR="009948F1" w:rsidRDefault="00BC0563">
            <w:pPr>
              <w:pStyle w:val="TableParagraph"/>
              <w:spacing w:line="206" w:lineRule="exact"/>
              <w:ind w:left="110"/>
              <w:rPr>
                <w:sz w:val="18"/>
              </w:rPr>
            </w:pPr>
            <w:r>
              <w:rPr>
                <w:color w:val="231F20"/>
                <w:sz w:val="18"/>
              </w:rPr>
              <w:t>51%</w:t>
            </w:r>
          </w:p>
        </w:tc>
        <w:tc>
          <w:tcPr>
            <w:tcW w:w="969" w:type="dxa"/>
          </w:tcPr>
          <w:p w14:paraId="528FD55D" w14:textId="77777777" w:rsidR="009948F1" w:rsidRDefault="00BC0563">
            <w:pPr>
              <w:pStyle w:val="TableParagraph"/>
              <w:spacing w:line="206" w:lineRule="exact"/>
              <w:ind w:left="109"/>
              <w:rPr>
                <w:sz w:val="18"/>
              </w:rPr>
            </w:pPr>
            <w:r>
              <w:rPr>
                <w:color w:val="231F20"/>
                <w:sz w:val="18"/>
              </w:rPr>
              <w:t>53%</w:t>
            </w:r>
          </w:p>
        </w:tc>
        <w:tc>
          <w:tcPr>
            <w:tcW w:w="1055" w:type="dxa"/>
          </w:tcPr>
          <w:p w14:paraId="72F92FDE" w14:textId="77777777" w:rsidR="009948F1" w:rsidRDefault="00BC0563">
            <w:pPr>
              <w:pStyle w:val="TableParagraph"/>
              <w:spacing w:line="206" w:lineRule="exact"/>
              <w:ind w:left="107"/>
              <w:rPr>
                <w:sz w:val="18"/>
              </w:rPr>
            </w:pPr>
            <w:r>
              <w:rPr>
                <w:color w:val="231F20"/>
                <w:sz w:val="18"/>
              </w:rPr>
              <w:t>55%</w:t>
            </w:r>
          </w:p>
        </w:tc>
        <w:tc>
          <w:tcPr>
            <w:tcW w:w="1057" w:type="dxa"/>
          </w:tcPr>
          <w:p w14:paraId="5CAE44BE" w14:textId="77777777" w:rsidR="009948F1" w:rsidRDefault="00BC0563">
            <w:pPr>
              <w:pStyle w:val="TableParagraph"/>
              <w:tabs>
                <w:tab w:val="left" w:pos="587"/>
              </w:tabs>
              <w:ind w:left="107" w:right="96"/>
              <w:rPr>
                <w:sz w:val="18"/>
              </w:rPr>
            </w:pPr>
            <w:r>
              <w:rPr>
                <w:color w:val="231F20"/>
                <w:sz w:val="18"/>
              </w:rPr>
              <w:t>Increase to</w:t>
            </w:r>
            <w:r>
              <w:rPr>
                <w:color w:val="231F20"/>
                <w:sz w:val="18"/>
              </w:rPr>
              <w:tab/>
            </w:r>
            <w:r>
              <w:rPr>
                <w:color w:val="231F20"/>
                <w:spacing w:val="-6"/>
                <w:sz w:val="18"/>
              </w:rPr>
              <w:t xml:space="preserve">80% </w:t>
            </w:r>
            <w:r>
              <w:rPr>
                <w:color w:val="231F20"/>
                <w:sz w:val="18"/>
              </w:rPr>
              <w:t>from baseline</w:t>
            </w:r>
          </w:p>
        </w:tc>
      </w:tr>
      <w:tr w:rsidR="009948F1" w14:paraId="50D398C2" w14:textId="77777777">
        <w:trPr>
          <w:trHeight w:val="621"/>
        </w:trPr>
        <w:tc>
          <w:tcPr>
            <w:tcW w:w="2620" w:type="dxa"/>
            <w:tcBorders>
              <w:top w:val="single" w:sz="8" w:space="0" w:color="231F20"/>
              <w:left w:val="single" w:sz="8" w:space="0" w:color="231F20"/>
              <w:bottom w:val="single" w:sz="8" w:space="0" w:color="231F20"/>
              <w:right w:val="single" w:sz="8" w:space="0" w:color="231F20"/>
            </w:tcBorders>
          </w:tcPr>
          <w:p w14:paraId="4715FEEB" w14:textId="77777777" w:rsidR="009948F1" w:rsidRDefault="00BC0563">
            <w:pPr>
              <w:pStyle w:val="TableParagraph"/>
              <w:spacing w:before="3" w:line="206" w:lineRule="exact"/>
              <w:ind w:left="107" w:right="341"/>
              <w:rPr>
                <w:sz w:val="18"/>
              </w:rPr>
            </w:pPr>
            <w:r>
              <w:rPr>
                <w:color w:val="231F20"/>
                <w:sz w:val="18"/>
              </w:rPr>
              <w:t>Proportion of pregnant women who have received PMTCT services</w:t>
            </w:r>
          </w:p>
        </w:tc>
        <w:tc>
          <w:tcPr>
            <w:tcW w:w="1242" w:type="dxa"/>
            <w:tcBorders>
              <w:top w:val="single" w:sz="8" w:space="0" w:color="231F20"/>
              <w:left w:val="single" w:sz="8" w:space="0" w:color="231F20"/>
              <w:bottom w:val="single" w:sz="8" w:space="0" w:color="231F20"/>
              <w:right w:val="single" w:sz="8" w:space="0" w:color="231F20"/>
            </w:tcBorders>
          </w:tcPr>
          <w:p w14:paraId="31E15F27" w14:textId="77777777" w:rsidR="009948F1" w:rsidRDefault="00BC0563">
            <w:pPr>
              <w:pStyle w:val="TableParagraph"/>
              <w:spacing w:line="206" w:lineRule="exact"/>
              <w:ind w:left="105"/>
              <w:rPr>
                <w:sz w:val="18"/>
              </w:rPr>
            </w:pPr>
            <w:r>
              <w:rPr>
                <w:color w:val="231F20"/>
                <w:sz w:val="18"/>
              </w:rPr>
              <w:t>10%</w:t>
            </w:r>
          </w:p>
        </w:tc>
        <w:tc>
          <w:tcPr>
            <w:tcW w:w="827" w:type="dxa"/>
            <w:tcBorders>
              <w:left w:val="single" w:sz="8" w:space="0" w:color="231F20"/>
            </w:tcBorders>
          </w:tcPr>
          <w:p w14:paraId="2E0C3695" w14:textId="77777777" w:rsidR="009948F1" w:rsidRDefault="00BC0563">
            <w:pPr>
              <w:pStyle w:val="TableParagraph"/>
              <w:spacing w:line="206" w:lineRule="exact"/>
              <w:ind w:left="107"/>
              <w:rPr>
                <w:sz w:val="18"/>
              </w:rPr>
            </w:pPr>
            <w:r>
              <w:rPr>
                <w:color w:val="231F20"/>
                <w:sz w:val="18"/>
              </w:rPr>
              <w:t>15%</w:t>
            </w:r>
          </w:p>
        </w:tc>
        <w:tc>
          <w:tcPr>
            <w:tcW w:w="832" w:type="dxa"/>
          </w:tcPr>
          <w:p w14:paraId="2596BCAF" w14:textId="77777777" w:rsidR="009948F1" w:rsidRDefault="00BC0563">
            <w:pPr>
              <w:pStyle w:val="TableParagraph"/>
              <w:spacing w:line="206" w:lineRule="exact"/>
              <w:ind w:left="111"/>
              <w:rPr>
                <w:sz w:val="18"/>
              </w:rPr>
            </w:pPr>
            <w:r>
              <w:rPr>
                <w:color w:val="231F20"/>
                <w:sz w:val="18"/>
              </w:rPr>
              <w:t>20%</w:t>
            </w:r>
          </w:p>
        </w:tc>
        <w:tc>
          <w:tcPr>
            <w:tcW w:w="827" w:type="dxa"/>
          </w:tcPr>
          <w:p w14:paraId="22D15526" w14:textId="77777777" w:rsidR="009948F1" w:rsidRDefault="00BC0563">
            <w:pPr>
              <w:pStyle w:val="TableParagraph"/>
              <w:spacing w:line="206" w:lineRule="exact"/>
              <w:ind w:left="110"/>
              <w:rPr>
                <w:sz w:val="18"/>
              </w:rPr>
            </w:pPr>
            <w:r>
              <w:rPr>
                <w:color w:val="231F20"/>
                <w:sz w:val="18"/>
              </w:rPr>
              <w:t>25%</w:t>
            </w:r>
          </w:p>
        </w:tc>
        <w:tc>
          <w:tcPr>
            <w:tcW w:w="969" w:type="dxa"/>
          </w:tcPr>
          <w:p w14:paraId="53BC68E5" w14:textId="77777777" w:rsidR="009948F1" w:rsidRDefault="00BC0563">
            <w:pPr>
              <w:pStyle w:val="TableParagraph"/>
              <w:spacing w:line="206" w:lineRule="exact"/>
              <w:ind w:left="109"/>
              <w:rPr>
                <w:sz w:val="18"/>
              </w:rPr>
            </w:pPr>
            <w:r>
              <w:rPr>
                <w:color w:val="231F20"/>
                <w:sz w:val="18"/>
              </w:rPr>
              <w:t>30%</w:t>
            </w:r>
          </w:p>
        </w:tc>
        <w:tc>
          <w:tcPr>
            <w:tcW w:w="1055" w:type="dxa"/>
          </w:tcPr>
          <w:p w14:paraId="7E110E13" w14:textId="77777777" w:rsidR="009948F1" w:rsidRDefault="00BC0563">
            <w:pPr>
              <w:pStyle w:val="TableParagraph"/>
              <w:spacing w:line="206" w:lineRule="exact"/>
              <w:ind w:left="107"/>
              <w:rPr>
                <w:sz w:val="18"/>
              </w:rPr>
            </w:pPr>
            <w:r>
              <w:rPr>
                <w:color w:val="231F20"/>
                <w:sz w:val="18"/>
              </w:rPr>
              <w:t>35%</w:t>
            </w:r>
          </w:p>
        </w:tc>
        <w:tc>
          <w:tcPr>
            <w:tcW w:w="1057" w:type="dxa"/>
          </w:tcPr>
          <w:p w14:paraId="6F55FCE4" w14:textId="77777777" w:rsidR="009948F1" w:rsidRDefault="00BC0563">
            <w:pPr>
              <w:pStyle w:val="TableParagraph"/>
              <w:spacing w:line="206" w:lineRule="exact"/>
              <w:ind w:left="107"/>
              <w:rPr>
                <w:sz w:val="18"/>
              </w:rPr>
            </w:pPr>
            <w:r>
              <w:rPr>
                <w:color w:val="231F20"/>
                <w:sz w:val="18"/>
              </w:rPr>
              <w:t>66%</w:t>
            </w:r>
          </w:p>
        </w:tc>
      </w:tr>
    </w:tbl>
    <w:p w14:paraId="609833E6" w14:textId="77777777" w:rsidR="009948F1" w:rsidRDefault="009948F1">
      <w:pPr>
        <w:pStyle w:val="BodyText"/>
        <w:rPr>
          <w:b/>
        </w:rPr>
      </w:pPr>
    </w:p>
    <w:p w14:paraId="4A0BEE33" w14:textId="77777777" w:rsidR="009948F1" w:rsidRDefault="009948F1">
      <w:pPr>
        <w:pStyle w:val="BodyText"/>
        <w:spacing w:before="4"/>
        <w:rPr>
          <w:b/>
          <w:sz w:val="21"/>
        </w:rPr>
      </w:pPr>
    </w:p>
    <w:p w14:paraId="46BDE6BB" w14:textId="77777777" w:rsidR="009948F1" w:rsidRDefault="00BC0563">
      <w:pPr>
        <w:pStyle w:val="Heading7"/>
        <w:ind w:left="173"/>
      </w:pPr>
      <w:r>
        <w:rPr>
          <w:color w:val="231F20"/>
        </w:rPr>
        <w:t>Interventions</w:t>
      </w:r>
    </w:p>
    <w:p w14:paraId="7E49635B" w14:textId="56BA2BCB" w:rsidR="009948F1" w:rsidRDefault="00BC0563">
      <w:pPr>
        <w:pStyle w:val="ListParagraph"/>
        <w:numPr>
          <w:ilvl w:val="3"/>
          <w:numId w:val="292"/>
        </w:numPr>
        <w:tabs>
          <w:tab w:val="left" w:pos="921"/>
        </w:tabs>
        <w:spacing w:before="23" w:line="261" w:lineRule="auto"/>
        <w:ind w:right="184" w:firstLine="0"/>
      </w:pPr>
      <w:r>
        <w:rPr>
          <w:color w:val="231F20"/>
        </w:rPr>
        <w:t xml:space="preserve">Improve access to focused Antenatal and Postnatal Care. Key actions include; conduct meetings by Maternal Newborn&amp; Child Health Core </w:t>
      </w:r>
      <w:r>
        <w:rPr>
          <w:color w:val="231F20"/>
          <w:spacing w:val="-3"/>
        </w:rPr>
        <w:t xml:space="preserve">Technical </w:t>
      </w:r>
      <w:r>
        <w:rPr>
          <w:color w:val="231F20"/>
        </w:rPr>
        <w:t xml:space="preserve">Committee to map out Wards </w:t>
      </w:r>
      <w:r>
        <w:rPr>
          <w:color w:val="231F20"/>
          <w:spacing w:val="-3"/>
        </w:rPr>
        <w:t xml:space="preserve">with </w:t>
      </w:r>
      <w:r>
        <w:rPr>
          <w:color w:val="231F20"/>
        </w:rPr>
        <w:t>Service Delivery Points for RMNCAH including ANC in the State; Conduct ANC outreaches; Conduct</w:t>
      </w:r>
      <w:r>
        <w:rPr>
          <w:color w:val="231F20"/>
          <w:spacing w:val="-23"/>
        </w:rPr>
        <w:t xml:space="preserve"> </w:t>
      </w:r>
      <w:r>
        <w:rPr>
          <w:color w:val="231F20"/>
        </w:rPr>
        <w:t>Integrated</w:t>
      </w:r>
      <w:r>
        <w:rPr>
          <w:color w:val="231F20"/>
          <w:spacing w:val="-22"/>
        </w:rPr>
        <w:t xml:space="preserve"> </w:t>
      </w:r>
      <w:r>
        <w:rPr>
          <w:color w:val="231F20"/>
        </w:rPr>
        <w:t>Supportive</w:t>
      </w:r>
      <w:r>
        <w:rPr>
          <w:color w:val="231F20"/>
          <w:spacing w:val="-23"/>
        </w:rPr>
        <w:t xml:space="preserve"> </w:t>
      </w:r>
      <w:r>
        <w:rPr>
          <w:color w:val="231F20"/>
        </w:rPr>
        <w:t>Supervision</w:t>
      </w:r>
      <w:r>
        <w:rPr>
          <w:color w:val="231F20"/>
          <w:spacing w:val="-22"/>
        </w:rPr>
        <w:t xml:space="preserve"> </w:t>
      </w:r>
      <w:r>
        <w:rPr>
          <w:color w:val="231F20"/>
        </w:rPr>
        <w:t>(ISS)</w:t>
      </w:r>
      <w:r>
        <w:rPr>
          <w:color w:val="231F20"/>
          <w:spacing w:val="-23"/>
        </w:rPr>
        <w:t xml:space="preserve"> </w:t>
      </w:r>
      <w:r>
        <w:rPr>
          <w:color w:val="231F20"/>
        </w:rPr>
        <w:t>for</w:t>
      </w:r>
      <w:r>
        <w:rPr>
          <w:color w:val="231F20"/>
          <w:spacing w:val="-22"/>
        </w:rPr>
        <w:t xml:space="preserve"> </w:t>
      </w:r>
      <w:r>
        <w:rPr>
          <w:color w:val="231F20"/>
          <w:spacing w:val="-3"/>
        </w:rPr>
        <w:t>Primary,</w:t>
      </w:r>
      <w:r>
        <w:rPr>
          <w:color w:val="231F20"/>
          <w:spacing w:val="-23"/>
        </w:rPr>
        <w:t xml:space="preserve"> </w:t>
      </w:r>
      <w:r>
        <w:rPr>
          <w:color w:val="231F20"/>
        </w:rPr>
        <w:t>Secondary</w:t>
      </w:r>
      <w:r>
        <w:rPr>
          <w:color w:val="231F20"/>
          <w:spacing w:val="-22"/>
        </w:rPr>
        <w:t xml:space="preserve"> </w:t>
      </w:r>
      <w:r>
        <w:rPr>
          <w:color w:val="231F20"/>
        </w:rPr>
        <w:t>&amp;</w:t>
      </w:r>
      <w:r>
        <w:rPr>
          <w:color w:val="231F20"/>
          <w:spacing w:val="-23"/>
        </w:rPr>
        <w:t xml:space="preserve"> </w:t>
      </w:r>
      <w:r>
        <w:rPr>
          <w:color w:val="231F20"/>
        </w:rPr>
        <w:t>Private</w:t>
      </w:r>
      <w:r>
        <w:rPr>
          <w:color w:val="231F20"/>
          <w:spacing w:val="-22"/>
        </w:rPr>
        <w:t xml:space="preserve"> </w:t>
      </w:r>
      <w:r>
        <w:rPr>
          <w:color w:val="231F20"/>
        </w:rPr>
        <w:t>HFs</w:t>
      </w:r>
      <w:r>
        <w:rPr>
          <w:color w:val="231F20"/>
          <w:spacing w:val="-23"/>
        </w:rPr>
        <w:t xml:space="preserve"> </w:t>
      </w:r>
      <w:r>
        <w:rPr>
          <w:color w:val="231F20"/>
        </w:rPr>
        <w:t>on</w:t>
      </w:r>
      <w:r>
        <w:rPr>
          <w:color w:val="231F20"/>
          <w:spacing w:val="-22"/>
        </w:rPr>
        <w:t xml:space="preserve"> </w:t>
      </w:r>
      <w:r>
        <w:rPr>
          <w:color w:val="231F20"/>
        </w:rPr>
        <w:t>focused Antenatal plus essential newborn and PNC; Provide</w:t>
      </w:r>
      <w:r w:rsidR="00FC31BA">
        <w:rPr>
          <w:color w:val="231F20"/>
        </w:rPr>
        <w:t xml:space="preserve"> routine drugs (Folic Acid &amp; </w:t>
      </w:r>
      <w:proofErr w:type="spellStart"/>
      <w:r w:rsidR="00FC31BA">
        <w:rPr>
          <w:color w:val="231F20"/>
        </w:rPr>
        <w:t>Fe</w:t>
      </w:r>
      <w:r>
        <w:rPr>
          <w:color w:val="231F20"/>
        </w:rPr>
        <w:t>solate</w:t>
      </w:r>
      <w:proofErr w:type="spellEnd"/>
      <w:r>
        <w:rPr>
          <w:color w:val="231F20"/>
        </w:rPr>
        <w:t xml:space="preserve">) for Primary &amp; Secondary) HFs for ANC &amp; PNC mothers and </w:t>
      </w:r>
      <w:proofErr w:type="spellStart"/>
      <w:r>
        <w:rPr>
          <w:color w:val="231F20"/>
        </w:rPr>
        <w:t>Sulphadoxine</w:t>
      </w:r>
      <w:proofErr w:type="spellEnd"/>
      <w:r>
        <w:rPr>
          <w:color w:val="231F20"/>
        </w:rPr>
        <w:t xml:space="preserve"> Pyrimethamine (SP) for Intermittent</w:t>
      </w:r>
      <w:r>
        <w:rPr>
          <w:color w:val="231F20"/>
          <w:spacing w:val="-6"/>
        </w:rPr>
        <w:t xml:space="preserve"> </w:t>
      </w:r>
      <w:r>
        <w:rPr>
          <w:color w:val="231F20"/>
        </w:rPr>
        <w:t>Preventive</w:t>
      </w:r>
      <w:r>
        <w:rPr>
          <w:color w:val="231F20"/>
          <w:spacing w:val="-10"/>
        </w:rPr>
        <w:t xml:space="preserve"> </w:t>
      </w:r>
      <w:r>
        <w:rPr>
          <w:color w:val="231F20"/>
        </w:rPr>
        <w:t>Treatment</w:t>
      </w:r>
      <w:r>
        <w:rPr>
          <w:color w:val="231F20"/>
          <w:spacing w:val="-5"/>
        </w:rPr>
        <w:t xml:space="preserve"> </w:t>
      </w:r>
      <w:r>
        <w:rPr>
          <w:color w:val="231F20"/>
        </w:rPr>
        <w:t>(IPT)</w:t>
      </w:r>
      <w:r>
        <w:rPr>
          <w:color w:val="231F20"/>
          <w:spacing w:val="-6"/>
        </w:rPr>
        <w:t xml:space="preserve"> </w:t>
      </w:r>
      <w:r>
        <w:rPr>
          <w:color w:val="231F20"/>
        </w:rPr>
        <w:t>of</w:t>
      </w:r>
      <w:r>
        <w:rPr>
          <w:color w:val="231F20"/>
          <w:spacing w:val="-6"/>
        </w:rPr>
        <w:t xml:space="preserve"> </w:t>
      </w:r>
      <w:r>
        <w:rPr>
          <w:color w:val="231F20"/>
        </w:rPr>
        <w:t>malaria</w:t>
      </w:r>
      <w:r>
        <w:rPr>
          <w:color w:val="231F20"/>
          <w:spacing w:val="-6"/>
        </w:rPr>
        <w:t xml:space="preserve"> </w:t>
      </w:r>
      <w:r>
        <w:rPr>
          <w:color w:val="231F20"/>
        </w:rPr>
        <w:t>for</w:t>
      </w:r>
      <w:r>
        <w:rPr>
          <w:color w:val="231F20"/>
          <w:spacing w:val="-5"/>
        </w:rPr>
        <w:t xml:space="preserve"> </w:t>
      </w:r>
      <w:r>
        <w:rPr>
          <w:color w:val="231F20"/>
        </w:rPr>
        <w:t>pregnant</w:t>
      </w:r>
      <w:r>
        <w:rPr>
          <w:color w:val="231F20"/>
          <w:spacing w:val="-6"/>
        </w:rPr>
        <w:t xml:space="preserve"> </w:t>
      </w:r>
      <w:r>
        <w:rPr>
          <w:color w:val="231F20"/>
        </w:rPr>
        <w:t>mothers</w:t>
      </w:r>
      <w:r>
        <w:rPr>
          <w:color w:val="231F20"/>
          <w:spacing w:val="-6"/>
        </w:rPr>
        <w:t xml:space="preserve"> </w:t>
      </w:r>
      <w:r>
        <w:rPr>
          <w:color w:val="231F20"/>
        </w:rPr>
        <w:t>for</w:t>
      </w:r>
      <w:r>
        <w:rPr>
          <w:color w:val="231F20"/>
          <w:spacing w:val="-5"/>
        </w:rPr>
        <w:t xml:space="preserve"> </w:t>
      </w:r>
      <w:r>
        <w:rPr>
          <w:color w:val="231F20"/>
        </w:rPr>
        <w:t>Primary</w:t>
      </w:r>
      <w:r>
        <w:rPr>
          <w:color w:val="231F20"/>
          <w:spacing w:val="-6"/>
        </w:rPr>
        <w:t xml:space="preserve"> </w:t>
      </w:r>
      <w:r>
        <w:rPr>
          <w:color w:val="231F20"/>
        </w:rPr>
        <w:t>&amp;</w:t>
      </w:r>
      <w:r>
        <w:rPr>
          <w:color w:val="231F20"/>
          <w:spacing w:val="-6"/>
        </w:rPr>
        <w:t xml:space="preserve"> </w:t>
      </w:r>
      <w:r>
        <w:rPr>
          <w:color w:val="231F20"/>
        </w:rPr>
        <w:t>Secondary HFs</w:t>
      </w:r>
      <w:r>
        <w:rPr>
          <w:color w:val="231F20"/>
          <w:spacing w:val="-26"/>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Conduct</w:t>
      </w:r>
      <w:r>
        <w:rPr>
          <w:color w:val="231F20"/>
          <w:spacing w:val="-25"/>
        </w:rPr>
        <w:t xml:space="preserve"> </w:t>
      </w:r>
      <w:r>
        <w:rPr>
          <w:color w:val="231F20"/>
        </w:rPr>
        <w:t>at</w:t>
      </w:r>
      <w:r>
        <w:rPr>
          <w:color w:val="231F20"/>
          <w:spacing w:val="-25"/>
        </w:rPr>
        <w:t xml:space="preserve"> </w:t>
      </w:r>
      <w:r>
        <w:rPr>
          <w:color w:val="231F20"/>
        </w:rPr>
        <w:t>least</w:t>
      </w:r>
      <w:r>
        <w:rPr>
          <w:color w:val="231F20"/>
          <w:spacing w:val="-25"/>
        </w:rPr>
        <w:t xml:space="preserve"> </w:t>
      </w:r>
      <w:r>
        <w:rPr>
          <w:color w:val="231F20"/>
        </w:rPr>
        <w:t>one</w:t>
      </w:r>
      <w:r>
        <w:rPr>
          <w:color w:val="231F20"/>
          <w:spacing w:val="-25"/>
        </w:rPr>
        <w:t xml:space="preserve"> </w:t>
      </w:r>
      <w:r>
        <w:rPr>
          <w:color w:val="231F20"/>
        </w:rPr>
        <w:t>abdominal</w:t>
      </w:r>
      <w:r>
        <w:rPr>
          <w:color w:val="231F20"/>
          <w:spacing w:val="-25"/>
        </w:rPr>
        <w:t xml:space="preserve"> </w:t>
      </w:r>
      <w:r>
        <w:rPr>
          <w:color w:val="231F20"/>
        </w:rPr>
        <w:t>scan</w:t>
      </w:r>
      <w:r>
        <w:rPr>
          <w:color w:val="231F20"/>
          <w:spacing w:val="-25"/>
        </w:rPr>
        <w:t xml:space="preserve"> </w:t>
      </w:r>
      <w:r>
        <w:rPr>
          <w:color w:val="231F20"/>
        </w:rPr>
        <w:t>(before</w:t>
      </w:r>
      <w:r>
        <w:rPr>
          <w:color w:val="231F20"/>
          <w:spacing w:val="-25"/>
        </w:rPr>
        <w:t xml:space="preserve"> </w:t>
      </w:r>
      <w:r>
        <w:rPr>
          <w:color w:val="231F20"/>
        </w:rPr>
        <w:t>24</w:t>
      </w:r>
      <w:r>
        <w:rPr>
          <w:color w:val="231F20"/>
          <w:spacing w:val="-25"/>
        </w:rPr>
        <w:t xml:space="preserve"> </w:t>
      </w:r>
      <w:r>
        <w:rPr>
          <w:color w:val="231F20"/>
        </w:rPr>
        <w:t>weeks</w:t>
      </w:r>
      <w:r>
        <w:rPr>
          <w:color w:val="231F20"/>
          <w:spacing w:val="-25"/>
        </w:rPr>
        <w:t xml:space="preserve"> </w:t>
      </w:r>
      <w:r>
        <w:rPr>
          <w:color w:val="231F20"/>
        </w:rPr>
        <w:t>of</w:t>
      </w:r>
      <w:r>
        <w:rPr>
          <w:color w:val="231F20"/>
          <w:spacing w:val="-25"/>
        </w:rPr>
        <w:t xml:space="preserve"> </w:t>
      </w:r>
      <w:r>
        <w:rPr>
          <w:color w:val="231F20"/>
        </w:rPr>
        <w:t>gestation).</w:t>
      </w:r>
    </w:p>
    <w:p w14:paraId="60758894" w14:textId="77777777" w:rsidR="009948F1" w:rsidRDefault="009948F1">
      <w:pPr>
        <w:pStyle w:val="BodyText"/>
        <w:spacing w:before="2"/>
        <w:rPr>
          <w:sz w:val="24"/>
        </w:rPr>
      </w:pPr>
    </w:p>
    <w:p w14:paraId="18056C9C" w14:textId="4B9EFB4E" w:rsidR="009948F1" w:rsidRDefault="00BC0563">
      <w:pPr>
        <w:pStyle w:val="ListParagraph"/>
        <w:numPr>
          <w:ilvl w:val="3"/>
          <w:numId w:val="292"/>
        </w:numPr>
        <w:tabs>
          <w:tab w:val="left" w:pos="920"/>
        </w:tabs>
        <w:spacing w:line="261" w:lineRule="auto"/>
        <w:ind w:right="184" w:firstLine="0"/>
      </w:pPr>
      <w:r>
        <w:rPr>
          <w:color w:val="231F20"/>
        </w:rPr>
        <w:t>Expand coverage of skilled delivery services. Key actions include; Employ personnel to strengthen</w:t>
      </w:r>
      <w:r>
        <w:rPr>
          <w:color w:val="231F20"/>
          <w:spacing w:val="-7"/>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one</w:t>
      </w:r>
      <w:r>
        <w:rPr>
          <w:color w:val="231F20"/>
          <w:spacing w:val="-6"/>
        </w:rPr>
        <w:t xml:space="preserve"> </w:t>
      </w:r>
      <w:r>
        <w:rPr>
          <w:color w:val="231F20"/>
        </w:rPr>
        <w:t>PHC</w:t>
      </w:r>
      <w:r w:rsidR="00687BDF">
        <w:rPr>
          <w:color w:val="231F20"/>
        </w:rPr>
        <w:t xml:space="preserve"> </w:t>
      </w:r>
      <w:r>
        <w:rPr>
          <w:color w:val="231F20"/>
        </w:rPr>
        <w:t>per</w:t>
      </w:r>
      <w:r>
        <w:rPr>
          <w:color w:val="231F20"/>
          <w:spacing w:val="-6"/>
        </w:rPr>
        <w:t xml:space="preserve"> </w:t>
      </w:r>
      <w:r>
        <w:rPr>
          <w:color w:val="231F20"/>
        </w:rPr>
        <w:t>ward</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skilled</w:t>
      </w:r>
      <w:r>
        <w:rPr>
          <w:color w:val="231F20"/>
          <w:spacing w:val="-6"/>
        </w:rPr>
        <w:t xml:space="preserve"> </w:t>
      </w:r>
      <w:r>
        <w:rPr>
          <w:color w:val="231F20"/>
        </w:rPr>
        <w:t>delivery</w:t>
      </w:r>
      <w:r>
        <w:rPr>
          <w:color w:val="231F20"/>
          <w:spacing w:val="-7"/>
        </w:rPr>
        <w:t xml:space="preserve"> </w:t>
      </w:r>
      <w:r>
        <w:rPr>
          <w:color w:val="231F20"/>
        </w:rPr>
        <w:t>services;</w:t>
      </w:r>
      <w:r>
        <w:rPr>
          <w:color w:val="231F20"/>
          <w:spacing w:val="-6"/>
        </w:rPr>
        <w:t xml:space="preserve"> </w:t>
      </w:r>
      <w:r>
        <w:rPr>
          <w:color w:val="231F20"/>
        </w:rPr>
        <w:t>Conduct</w:t>
      </w:r>
      <w:r>
        <w:rPr>
          <w:color w:val="231F20"/>
          <w:spacing w:val="-6"/>
        </w:rPr>
        <w:t xml:space="preserve"> </w:t>
      </w:r>
      <w:r>
        <w:rPr>
          <w:color w:val="231F20"/>
        </w:rPr>
        <w:t>Elongated</w:t>
      </w:r>
      <w:r>
        <w:rPr>
          <w:color w:val="231F20"/>
          <w:spacing w:val="-6"/>
        </w:rPr>
        <w:t xml:space="preserve"> </w:t>
      </w:r>
      <w:r>
        <w:rPr>
          <w:color w:val="231F20"/>
        </w:rPr>
        <w:t xml:space="preserve">Life Saving Skills (ELSS) training for Medical Doctors; Conduct Life Saving Skills (LSS) training </w:t>
      </w:r>
      <w:r>
        <w:rPr>
          <w:color w:val="231F20"/>
          <w:spacing w:val="-4"/>
        </w:rPr>
        <w:t xml:space="preserve">for </w:t>
      </w:r>
      <w:r>
        <w:rPr>
          <w:color w:val="231F20"/>
        </w:rPr>
        <w:t>Nurses/Midwives;</w:t>
      </w:r>
      <w:r>
        <w:rPr>
          <w:color w:val="231F20"/>
          <w:spacing w:val="-23"/>
        </w:rPr>
        <w:t xml:space="preserve"> </w:t>
      </w:r>
      <w:r>
        <w:rPr>
          <w:color w:val="231F20"/>
        </w:rPr>
        <w:t>Conduct</w:t>
      </w:r>
      <w:r>
        <w:rPr>
          <w:color w:val="231F20"/>
          <w:spacing w:val="-23"/>
        </w:rPr>
        <w:t xml:space="preserve"> </w:t>
      </w:r>
      <w:r>
        <w:rPr>
          <w:color w:val="231F20"/>
        </w:rPr>
        <w:t>Modified</w:t>
      </w:r>
      <w:r>
        <w:rPr>
          <w:color w:val="231F20"/>
          <w:spacing w:val="-22"/>
        </w:rPr>
        <w:t xml:space="preserve"> </w:t>
      </w:r>
      <w:r>
        <w:rPr>
          <w:color w:val="231F20"/>
        </w:rPr>
        <w:t>Life</w:t>
      </w:r>
      <w:r>
        <w:rPr>
          <w:color w:val="231F20"/>
          <w:spacing w:val="-23"/>
        </w:rPr>
        <w:t xml:space="preserve"> </w:t>
      </w:r>
      <w:r>
        <w:rPr>
          <w:color w:val="231F20"/>
        </w:rPr>
        <w:t>Saving</w:t>
      </w:r>
      <w:r>
        <w:rPr>
          <w:color w:val="231F20"/>
          <w:spacing w:val="-22"/>
        </w:rPr>
        <w:t xml:space="preserve"> </w:t>
      </w:r>
      <w:r>
        <w:rPr>
          <w:color w:val="231F20"/>
        </w:rPr>
        <w:t>Skills</w:t>
      </w:r>
      <w:r>
        <w:rPr>
          <w:color w:val="231F20"/>
          <w:spacing w:val="-23"/>
        </w:rPr>
        <w:t xml:space="preserve"> </w:t>
      </w:r>
      <w:r>
        <w:rPr>
          <w:color w:val="231F20"/>
        </w:rPr>
        <w:t>(MLSS)</w:t>
      </w:r>
      <w:r>
        <w:rPr>
          <w:color w:val="231F20"/>
          <w:spacing w:val="-23"/>
        </w:rPr>
        <w:t xml:space="preserve"> </w:t>
      </w:r>
      <w:r>
        <w:rPr>
          <w:color w:val="231F20"/>
        </w:rPr>
        <w:t>training</w:t>
      </w:r>
      <w:r>
        <w:rPr>
          <w:color w:val="231F20"/>
          <w:spacing w:val="-22"/>
        </w:rPr>
        <w:t xml:space="preserve"> </w:t>
      </w:r>
      <w:r>
        <w:rPr>
          <w:color w:val="231F20"/>
        </w:rPr>
        <w:t>for</w:t>
      </w:r>
      <w:r>
        <w:rPr>
          <w:color w:val="231F20"/>
          <w:spacing w:val="-23"/>
        </w:rPr>
        <w:t xml:space="preserve"> </w:t>
      </w:r>
      <w:r>
        <w:rPr>
          <w:color w:val="231F20"/>
        </w:rPr>
        <w:t>CHOs/CHEWs;</w:t>
      </w:r>
      <w:r>
        <w:rPr>
          <w:color w:val="231F20"/>
          <w:spacing w:val="-22"/>
        </w:rPr>
        <w:t xml:space="preserve"> </w:t>
      </w:r>
      <w:r>
        <w:rPr>
          <w:color w:val="231F20"/>
          <w:spacing w:val="-3"/>
        </w:rPr>
        <w:t xml:space="preserve">Revamp </w:t>
      </w:r>
      <w:r>
        <w:rPr>
          <w:color w:val="231F20"/>
        </w:rPr>
        <w:t>Home-Based</w:t>
      </w:r>
      <w:r>
        <w:rPr>
          <w:color w:val="231F20"/>
          <w:spacing w:val="-26"/>
        </w:rPr>
        <w:t xml:space="preserve"> </w:t>
      </w:r>
      <w:r>
        <w:rPr>
          <w:color w:val="231F20"/>
        </w:rPr>
        <w:t>Care</w:t>
      </w:r>
      <w:r>
        <w:rPr>
          <w:color w:val="231F20"/>
          <w:spacing w:val="-25"/>
        </w:rPr>
        <w:t xml:space="preserve"> </w:t>
      </w:r>
      <w:r>
        <w:rPr>
          <w:color w:val="231F20"/>
        </w:rPr>
        <w:t>(HBC)</w:t>
      </w:r>
      <w:r>
        <w:rPr>
          <w:color w:val="231F20"/>
          <w:spacing w:val="-25"/>
        </w:rPr>
        <w:t xml:space="preserve"> </w:t>
      </w:r>
      <w:r>
        <w:rPr>
          <w:color w:val="231F20"/>
        </w:rPr>
        <w:t>and</w:t>
      </w:r>
      <w:r>
        <w:rPr>
          <w:color w:val="231F20"/>
          <w:spacing w:val="-25"/>
        </w:rPr>
        <w:t xml:space="preserve"> </w:t>
      </w:r>
      <w:r>
        <w:rPr>
          <w:color w:val="231F20"/>
        </w:rPr>
        <w:t>Midwifery</w:t>
      </w:r>
      <w:r>
        <w:rPr>
          <w:color w:val="231F20"/>
          <w:spacing w:val="-25"/>
        </w:rPr>
        <w:t xml:space="preserve"> </w:t>
      </w:r>
      <w:r>
        <w:rPr>
          <w:color w:val="231F20"/>
        </w:rPr>
        <w:t>Service</w:t>
      </w:r>
      <w:r>
        <w:rPr>
          <w:color w:val="231F20"/>
          <w:spacing w:val="-25"/>
        </w:rPr>
        <w:t xml:space="preserve"> </w:t>
      </w:r>
      <w:r>
        <w:rPr>
          <w:color w:val="231F20"/>
        </w:rPr>
        <w:t>Scheme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23246428" w14:textId="77777777" w:rsidR="009948F1" w:rsidRDefault="009948F1">
      <w:pPr>
        <w:pStyle w:val="BodyText"/>
      </w:pPr>
    </w:p>
    <w:p w14:paraId="462310F2" w14:textId="77777777" w:rsidR="009948F1" w:rsidRDefault="00BC0563">
      <w:pPr>
        <w:pStyle w:val="ListParagraph"/>
        <w:numPr>
          <w:ilvl w:val="3"/>
          <w:numId w:val="292"/>
        </w:numPr>
        <w:tabs>
          <w:tab w:val="left" w:pos="927"/>
        </w:tabs>
        <w:spacing w:line="232" w:lineRule="auto"/>
        <w:ind w:right="184" w:firstLine="0"/>
      </w:pPr>
      <w:r>
        <w:rPr>
          <w:color w:val="231F20"/>
        </w:rPr>
        <w:t xml:space="preserve">Promote advocacy, community Mobilization and </w:t>
      </w:r>
      <w:proofErr w:type="spellStart"/>
      <w:r>
        <w:rPr>
          <w:color w:val="231F20"/>
        </w:rPr>
        <w:t>Behaviour</w:t>
      </w:r>
      <w:proofErr w:type="spellEnd"/>
      <w:r>
        <w:rPr>
          <w:color w:val="231F20"/>
        </w:rPr>
        <w:t xml:space="preserve"> Change Communication </w:t>
      </w:r>
      <w:r>
        <w:rPr>
          <w:color w:val="231F20"/>
          <w:spacing w:val="-4"/>
        </w:rPr>
        <w:t>for</w:t>
      </w:r>
      <w:r>
        <w:rPr>
          <w:color w:val="231F20"/>
          <w:spacing w:val="53"/>
        </w:rPr>
        <w:t xml:space="preserve"> </w:t>
      </w:r>
      <w:r>
        <w:rPr>
          <w:color w:val="231F20"/>
        </w:rPr>
        <w:t>Safe</w:t>
      </w:r>
      <w:r>
        <w:rPr>
          <w:color w:val="231F20"/>
          <w:spacing w:val="-13"/>
        </w:rPr>
        <w:t xml:space="preserve"> </w:t>
      </w:r>
      <w:r>
        <w:rPr>
          <w:color w:val="231F20"/>
        </w:rPr>
        <w:t>Motherhood</w:t>
      </w:r>
      <w:r>
        <w:rPr>
          <w:color w:val="231F20"/>
          <w:spacing w:val="-13"/>
        </w:rPr>
        <w:t xml:space="preserve"> </w:t>
      </w:r>
      <w:r>
        <w:rPr>
          <w:color w:val="231F20"/>
        </w:rPr>
        <w:t>Services.</w:t>
      </w:r>
      <w:r>
        <w:rPr>
          <w:color w:val="231F20"/>
          <w:spacing w:val="-13"/>
        </w:rPr>
        <w:t xml:space="preserve"> </w:t>
      </w:r>
      <w:r>
        <w:rPr>
          <w:color w:val="231F20"/>
        </w:rPr>
        <w:t>Key</w:t>
      </w:r>
      <w:r>
        <w:rPr>
          <w:color w:val="231F20"/>
          <w:spacing w:val="-13"/>
        </w:rPr>
        <w:t xml:space="preserve"> </w:t>
      </w:r>
      <w:r>
        <w:rPr>
          <w:color w:val="231F20"/>
        </w:rPr>
        <w:t>actions</w:t>
      </w:r>
      <w:r>
        <w:rPr>
          <w:color w:val="231F20"/>
          <w:spacing w:val="-12"/>
        </w:rPr>
        <w:t xml:space="preserve"> </w:t>
      </w:r>
      <w:r>
        <w:rPr>
          <w:color w:val="231F20"/>
        </w:rPr>
        <w:t>include;-</w:t>
      </w:r>
      <w:r>
        <w:rPr>
          <w:color w:val="231F20"/>
          <w:spacing w:val="-13"/>
        </w:rPr>
        <w:t xml:space="preserve"> </w:t>
      </w:r>
      <w:r>
        <w:rPr>
          <w:color w:val="231F20"/>
        </w:rPr>
        <w:t>Conduct</w:t>
      </w:r>
      <w:r>
        <w:rPr>
          <w:color w:val="231F20"/>
          <w:spacing w:val="-13"/>
        </w:rPr>
        <w:t xml:space="preserve"> </w:t>
      </w:r>
      <w:r>
        <w:rPr>
          <w:color w:val="231F20"/>
        </w:rPr>
        <w:t>advocacy</w:t>
      </w:r>
      <w:r>
        <w:rPr>
          <w:color w:val="231F20"/>
          <w:spacing w:val="-13"/>
        </w:rPr>
        <w:t xml:space="preserve"> </w:t>
      </w:r>
      <w:r>
        <w:rPr>
          <w:color w:val="231F20"/>
        </w:rPr>
        <w:t>visits</w:t>
      </w:r>
      <w:r>
        <w:rPr>
          <w:color w:val="231F20"/>
          <w:spacing w:val="-13"/>
        </w:rPr>
        <w:t xml:space="preserve"> </w:t>
      </w:r>
      <w:r>
        <w:rPr>
          <w:color w:val="231F20"/>
        </w:rPr>
        <w:t>to</w:t>
      </w:r>
      <w:r>
        <w:rPr>
          <w:color w:val="231F20"/>
          <w:spacing w:val="-14"/>
        </w:rPr>
        <w:t xml:space="preserve"> </w:t>
      </w:r>
      <w:r>
        <w:rPr>
          <w:color w:val="231F20"/>
        </w:rPr>
        <w:t>stakeholders</w:t>
      </w:r>
      <w:r>
        <w:rPr>
          <w:color w:val="231F20"/>
          <w:spacing w:val="-12"/>
        </w:rPr>
        <w:t xml:space="preserve"> </w:t>
      </w:r>
      <w:r>
        <w:rPr>
          <w:color w:val="231F20"/>
          <w:spacing w:val="-3"/>
        </w:rPr>
        <w:t xml:space="preserve">(House </w:t>
      </w:r>
      <w:r>
        <w:rPr>
          <w:color w:val="231F20"/>
        </w:rPr>
        <w:t xml:space="preserve">of assembly, Wife of Governor, Line Ministries </w:t>
      </w:r>
      <w:proofErr w:type="spellStart"/>
      <w:r>
        <w:rPr>
          <w:color w:val="231F20"/>
        </w:rPr>
        <w:t>e.t.c</w:t>
      </w:r>
      <w:proofErr w:type="spellEnd"/>
      <w:r>
        <w:rPr>
          <w:color w:val="231F20"/>
        </w:rPr>
        <w:t xml:space="preserve">) on Safe motherhood services (Conduct advocacy to Community Chiefs &amp; Religious Leaders in the 23 LGAs on Safe Motherhood </w:t>
      </w:r>
      <w:r>
        <w:rPr>
          <w:color w:val="231F20"/>
          <w:spacing w:val="-6"/>
        </w:rPr>
        <w:t xml:space="preserve">to </w:t>
      </w:r>
      <w:r>
        <w:rPr>
          <w:color w:val="231F20"/>
        </w:rPr>
        <w:t>encourage delivery in health facilities &amp; improve the proportion of delivery by skilled birth attendance;</w:t>
      </w:r>
      <w:r>
        <w:rPr>
          <w:color w:val="231F20"/>
          <w:spacing w:val="-24"/>
        </w:rPr>
        <w:t xml:space="preserve"> </w:t>
      </w:r>
      <w:r>
        <w:rPr>
          <w:color w:val="231F20"/>
        </w:rPr>
        <w:t>Identify,</w:t>
      </w:r>
      <w:r>
        <w:rPr>
          <w:color w:val="231F20"/>
          <w:spacing w:val="-24"/>
        </w:rPr>
        <w:t xml:space="preserve"> </w:t>
      </w:r>
      <w:r>
        <w:rPr>
          <w:color w:val="231F20"/>
        </w:rPr>
        <w:t>build</w:t>
      </w:r>
      <w:r>
        <w:rPr>
          <w:color w:val="231F20"/>
          <w:spacing w:val="-23"/>
        </w:rPr>
        <w:t xml:space="preserve"> </w:t>
      </w:r>
      <w:r>
        <w:rPr>
          <w:color w:val="231F20"/>
        </w:rPr>
        <w:t>capacity</w:t>
      </w:r>
      <w:r>
        <w:rPr>
          <w:color w:val="231F20"/>
          <w:spacing w:val="-23"/>
        </w:rPr>
        <w:t xml:space="preserve"> </w:t>
      </w:r>
      <w:r>
        <w:rPr>
          <w:color w:val="231F20"/>
        </w:rPr>
        <w:t>of</w:t>
      </w:r>
      <w:r>
        <w:rPr>
          <w:color w:val="231F20"/>
          <w:spacing w:val="-24"/>
        </w:rPr>
        <w:t xml:space="preserve"> </w:t>
      </w:r>
      <w:r>
        <w:rPr>
          <w:color w:val="231F20"/>
        </w:rPr>
        <w:t>HWs</w:t>
      </w:r>
      <w:r>
        <w:rPr>
          <w:color w:val="231F20"/>
          <w:spacing w:val="-24"/>
        </w:rPr>
        <w:t xml:space="preserve"> </w:t>
      </w:r>
      <w:r>
        <w:rPr>
          <w:color w:val="231F20"/>
        </w:rPr>
        <w:t>and</w:t>
      </w:r>
      <w:r>
        <w:rPr>
          <w:color w:val="231F20"/>
          <w:spacing w:val="-23"/>
        </w:rPr>
        <w:t xml:space="preserve"> </w:t>
      </w:r>
      <w:r>
        <w:rPr>
          <w:color w:val="231F20"/>
        </w:rPr>
        <w:t>provide</w:t>
      </w:r>
      <w:r>
        <w:rPr>
          <w:color w:val="231F20"/>
          <w:spacing w:val="-23"/>
        </w:rPr>
        <w:t xml:space="preserve"> </w:t>
      </w:r>
      <w:r>
        <w:rPr>
          <w:color w:val="231F20"/>
        </w:rPr>
        <w:t>support</w:t>
      </w:r>
      <w:r>
        <w:rPr>
          <w:color w:val="231F20"/>
          <w:spacing w:val="-23"/>
        </w:rPr>
        <w:t xml:space="preserve"> </w:t>
      </w:r>
      <w:r>
        <w:rPr>
          <w:color w:val="231F20"/>
        </w:rPr>
        <w:t>to</w:t>
      </w:r>
      <w:r>
        <w:rPr>
          <w:color w:val="231F20"/>
          <w:spacing w:val="-24"/>
        </w:rPr>
        <w:t xml:space="preserve"> </w:t>
      </w:r>
      <w:r>
        <w:rPr>
          <w:color w:val="231F20"/>
        </w:rPr>
        <w:t>CBOs</w:t>
      </w:r>
      <w:r>
        <w:rPr>
          <w:color w:val="231F20"/>
          <w:spacing w:val="-24"/>
        </w:rPr>
        <w:t xml:space="preserve"> </w:t>
      </w:r>
      <w:r>
        <w:rPr>
          <w:color w:val="231F20"/>
        </w:rPr>
        <w:t>and</w:t>
      </w:r>
      <w:r>
        <w:rPr>
          <w:color w:val="231F20"/>
          <w:spacing w:val="-23"/>
        </w:rPr>
        <w:t xml:space="preserve"> </w:t>
      </w:r>
      <w:r>
        <w:rPr>
          <w:color w:val="231F20"/>
        </w:rPr>
        <w:t>community</w:t>
      </w:r>
      <w:r>
        <w:rPr>
          <w:color w:val="231F20"/>
          <w:spacing w:val="-23"/>
        </w:rPr>
        <w:t xml:space="preserve"> </w:t>
      </w:r>
      <w:r>
        <w:rPr>
          <w:color w:val="231F20"/>
        </w:rPr>
        <w:t xml:space="preserve">structures and CBOs to promote uptake of safe motherhood interventions by WRAG; Conduct Education </w:t>
      </w:r>
      <w:r>
        <w:rPr>
          <w:color w:val="231F20"/>
          <w:spacing w:val="-15"/>
        </w:rPr>
        <w:t xml:space="preserve">&amp; </w:t>
      </w:r>
      <w:r>
        <w:rPr>
          <w:color w:val="231F20"/>
        </w:rPr>
        <w:t xml:space="preserve">Sensitization meetings for </w:t>
      </w:r>
      <w:proofErr w:type="spellStart"/>
      <w:r>
        <w:rPr>
          <w:color w:val="231F20"/>
        </w:rPr>
        <w:t>commnunity</w:t>
      </w:r>
      <w:proofErr w:type="spellEnd"/>
      <w:r>
        <w:rPr>
          <w:color w:val="231F20"/>
        </w:rPr>
        <w:t xml:space="preserve"> members on safe motherhood practices in the 23 </w:t>
      </w:r>
      <w:r>
        <w:rPr>
          <w:color w:val="231F20"/>
          <w:spacing w:val="-3"/>
        </w:rPr>
        <w:t xml:space="preserve">LGAs; </w:t>
      </w:r>
      <w:r>
        <w:rPr>
          <w:color w:val="231F20"/>
        </w:rPr>
        <w:t>Flag-off</w:t>
      </w:r>
      <w:r>
        <w:rPr>
          <w:color w:val="231F20"/>
          <w:spacing w:val="-26"/>
        </w:rPr>
        <w:t xml:space="preserve"> </w:t>
      </w:r>
      <w:r>
        <w:rPr>
          <w:color w:val="231F20"/>
        </w:rPr>
        <w:t>Safe</w:t>
      </w:r>
      <w:r>
        <w:rPr>
          <w:color w:val="231F20"/>
          <w:spacing w:val="-25"/>
        </w:rPr>
        <w:t xml:space="preserve"> </w:t>
      </w:r>
      <w:r>
        <w:rPr>
          <w:color w:val="231F20"/>
        </w:rPr>
        <w:t>Motherhood</w:t>
      </w:r>
      <w:r>
        <w:rPr>
          <w:color w:val="231F20"/>
          <w:spacing w:val="-25"/>
        </w:rPr>
        <w:t xml:space="preserve"> </w:t>
      </w:r>
      <w:r>
        <w:rPr>
          <w:color w:val="231F20"/>
        </w:rPr>
        <w:t>Week</w:t>
      </w:r>
      <w:r>
        <w:rPr>
          <w:color w:val="231F20"/>
          <w:spacing w:val="-25"/>
        </w:rPr>
        <w:t xml:space="preserve"> </w:t>
      </w:r>
      <w:r>
        <w:rPr>
          <w:color w:val="231F20"/>
        </w:rPr>
        <w:t>at</w:t>
      </w:r>
      <w:r>
        <w:rPr>
          <w:color w:val="231F20"/>
          <w:spacing w:val="-26"/>
        </w:rPr>
        <w:t xml:space="preserve"> </w:t>
      </w:r>
      <w:r>
        <w:rPr>
          <w:color w:val="231F20"/>
        </w:rPr>
        <w:t>state/LGA</w:t>
      </w:r>
      <w:r>
        <w:rPr>
          <w:color w:val="231F20"/>
          <w:spacing w:val="-37"/>
        </w:rPr>
        <w:t xml:space="preserve"> </w:t>
      </w:r>
      <w:r>
        <w:rPr>
          <w:color w:val="231F20"/>
        </w:rPr>
        <w:t>levels</w:t>
      </w:r>
      <w:r>
        <w:rPr>
          <w:color w:val="231F20"/>
          <w:spacing w:val="-25"/>
        </w:rPr>
        <w:t xml:space="preserve"> </w:t>
      </w:r>
      <w:r>
        <w:rPr>
          <w:color w:val="231F20"/>
        </w:rPr>
        <w:t>to</w:t>
      </w:r>
      <w:r>
        <w:rPr>
          <w:color w:val="231F20"/>
          <w:spacing w:val="-25"/>
        </w:rPr>
        <w:t xml:space="preserve"> </w:t>
      </w:r>
      <w:r>
        <w:rPr>
          <w:color w:val="231F20"/>
        </w:rPr>
        <w:t>increase</w:t>
      </w:r>
      <w:r>
        <w:rPr>
          <w:color w:val="231F20"/>
          <w:spacing w:val="-26"/>
        </w:rPr>
        <w:t xml:space="preserve"> </w:t>
      </w:r>
      <w:r>
        <w:rPr>
          <w:color w:val="231F20"/>
        </w:rPr>
        <w:t>sensitization,</w:t>
      </w:r>
      <w:r>
        <w:rPr>
          <w:color w:val="231F20"/>
          <w:spacing w:val="-25"/>
        </w:rPr>
        <w:t xml:space="preserve"> </w:t>
      </w:r>
      <w:r>
        <w:rPr>
          <w:color w:val="231F20"/>
        </w:rPr>
        <w:t>awareness,</w:t>
      </w:r>
    </w:p>
    <w:p w14:paraId="4A4DF984" w14:textId="77777777" w:rsidR="009948F1" w:rsidRDefault="009948F1">
      <w:pPr>
        <w:spacing w:line="232" w:lineRule="auto"/>
        <w:jc w:val="both"/>
        <w:sectPr w:rsidR="009948F1">
          <w:pgSz w:w="11910" w:h="16840"/>
          <w:pgMar w:top="1580" w:right="1080" w:bottom="1420" w:left="1120" w:header="0" w:footer="1235" w:gutter="0"/>
          <w:cols w:space="720"/>
        </w:sectPr>
      </w:pPr>
    </w:p>
    <w:p w14:paraId="2C6A227C" w14:textId="77777777" w:rsidR="009948F1" w:rsidRDefault="00BC0563" w:rsidP="00660323">
      <w:pPr>
        <w:pStyle w:val="BodyText"/>
        <w:spacing w:before="41"/>
        <w:ind w:left="135" w:right="180"/>
        <w:jc w:val="both"/>
      </w:pPr>
      <w:bookmarkStart w:id="62" w:name="Page_48"/>
      <w:bookmarkEnd w:id="62"/>
      <w:r>
        <w:rPr>
          <w:color w:val="231F20"/>
        </w:rPr>
        <w:lastRenderedPageBreak/>
        <w:t>practice</w:t>
      </w:r>
      <w:r>
        <w:rPr>
          <w:color w:val="231F20"/>
          <w:spacing w:val="-13"/>
        </w:rPr>
        <w:t xml:space="preserve"> </w:t>
      </w:r>
      <w:r>
        <w:rPr>
          <w:color w:val="231F20"/>
        </w:rPr>
        <w:t>&amp;utilization</w:t>
      </w:r>
      <w:r>
        <w:rPr>
          <w:color w:val="231F20"/>
          <w:spacing w:val="-13"/>
        </w:rPr>
        <w:t xml:space="preserve"> </w:t>
      </w:r>
      <w:r>
        <w:rPr>
          <w:color w:val="231F20"/>
        </w:rPr>
        <w:t>of</w:t>
      </w:r>
      <w:r>
        <w:rPr>
          <w:color w:val="231F20"/>
          <w:spacing w:val="-13"/>
        </w:rPr>
        <w:t xml:space="preserve"> </w:t>
      </w:r>
      <w:r>
        <w:rPr>
          <w:color w:val="231F20"/>
        </w:rPr>
        <w:t>Safe</w:t>
      </w:r>
      <w:r>
        <w:rPr>
          <w:color w:val="231F20"/>
          <w:spacing w:val="-13"/>
        </w:rPr>
        <w:t xml:space="preserve"> </w:t>
      </w:r>
      <w:r>
        <w:rPr>
          <w:color w:val="231F20"/>
        </w:rPr>
        <w:t>Motherhood</w:t>
      </w:r>
      <w:r>
        <w:rPr>
          <w:color w:val="231F20"/>
          <w:spacing w:val="-13"/>
        </w:rPr>
        <w:t xml:space="preserve"> </w:t>
      </w:r>
      <w:r>
        <w:rPr>
          <w:color w:val="231F20"/>
        </w:rPr>
        <w:t>services</w:t>
      </w:r>
      <w:r>
        <w:rPr>
          <w:color w:val="231F20"/>
          <w:spacing w:val="-13"/>
        </w:rPr>
        <w:t xml:space="preserve"> </w:t>
      </w:r>
      <w:r>
        <w:rPr>
          <w:color w:val="231F20"/>
        </w:rPr>
        <w:t>in</w:t>
      </w:r>
      <w:r>
        <w:rPr>
          <w:color w:val="231F20"/>
          <w:spacing w:val="-13"/>
        </w:rPr>
        <w:t xml:space="preserve"> </w:t>
      </w:r>
      <w:r>
        <w:rPr>
          <w:color w:val="231F20"/>
        </w:rPr>
        <w:t>health</w:t>
      </w:r>
      <w:r>
        <w:rPr>
          <w:color w:val="231F20"/>
          <w:spacing w:val="-13"/>
        </w:rPr>
        <w:t xml:space="preserve"> </w:t>
      </w:r>
      <w:r>
        <w:rPr>
          <w:color w:val="231F20"/>
        </w:rPr>
        <w:t>facilities;</w:t>
      </w:r>
      <w:r>
        <w:rPr>
          <w:color w:val="231F20"/>
          <w:spacing w:val="-13"/>
        </w:rPr>
        <w:t xml:space="preserve"> </w:t>
      </w:r>
      <w:r>
        <w:rPr>
          <w:color w:val="231F20"/>
        </w:rPr>
        <w:t>Strengthen</w:t>
      </w:r>
      <w:r>
        <w:rPr>
          <w:color w:val="231F20"/>
          <w:spacing w:val="-13"/>
        </w:rPr>
        <w:t xml:space="preserve"> </w:t>
      </w:r>
      <w:r>
        <w:rPr>
          <w:color w:val="231F20"/>
        </w:rPr>
        <w:t>male</w:t>
      </w:r>
      <w:r>
        <w:rPr>
          <w:color w:val="231F20"/>
          <w:spacing w:val="-13"/>
        </w:rPr>
        <w:t xml:space="preserve"> </w:t>
      </w:r>
      <w:r>
        <w:rPr>
          <w:color w:val="231F20"/>
        </w:rPr>
        <w:t xml:space="preserve">involvement in reproductive health services and information by training male advocate on safe motherhood </w:t>
      </w:r>
      <w:r>
        <w:rPr>
          <w:color w:val="231F20"/>
          <w:spacing w:val="-7"/>
        </w:rPr>
        <w:t xml:space="preserve">in </w:t>
      </w:r>
      <w:r>
        <w:rPr>
          <w:color w:val="231F20"/>
        </w:rPr>
        <w:t>the</w:t>
      </w:r>
      <w:r>
        <w:rPr>
          <w:color w:val="231F20"/>
          <w:spacing w:val="-25"/>
        </w:rPr>
        <w:t xml:space="preserve"> </w:t>
      </w:r>
      <w:r>
        <w:rPr>
          <w:color w:val="231F20"/>
        </w:rPr>
        <w:t>communities.</w:t>
      </w:r>
    </w:p>
    <w:p w14:paraId="7EB9A73D" w14:textId="77777777" w:rsidR="009948F1" w:rsidRDefault="009948F1">
      <w:pPr>
        <w:pStyle w:val="BodyText"/>
        <w:rPr>
          <w:sz w:val="26"/>
        </w:rPr>
      </w:pPr>
    </w:p>
    <w:p w14:paraId="3351D835" w14:textId="3F2EE63C" w:rsidR="009948F1" w:rsidRDefault="00BC0563">
      <w:pPr>
        <w:pStyle w:val="ListParagraph"/>
        <w:numPr>
          <w:ilvl w:val="3"/>
          <w:numId w:val="292"/>
        </w:numPr>
        <w:tabs>
          <w:tab w:val="left" w:pos="862"/>
        </w:tabs>
        <w:spacing w:line="261" w:lineRule="auto"/>
        <w:ind w:left="135" w:right="178" w:firstLine="0"/>
      </w:pPr>
      <w:r>
        <w:rPr>
          <w:color w:val="231F20"/>
        </w:rPr>
        <w:t>Increase</w:t>
      </w:r>
      <w:r>
        <w:rPr>
          <w:color w:val="231F20"/>
          <w:spacing w:val="-9"/>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Basic</w:t>
      </w:r>
      <w:r>
        <w:rPr>
          <w:color w:val="231F20"/>
          <w:spacing w:val="-9"/>
        </w:rPr>
        <w:t xml:space="preserve"> </w:t>
      </w:r>
      <w:r>
        <w:rPr>
          <w:color w:val="231F20"/>
        </w:rPr>
        <w:t>and</w:t>
      </w:r>
      <w:r>
        <w:rPr>
          <w:color w:val="231F20"/>
          <w:spacing w:val="-8"/>
        </w:rPr>
        <w:t xml:space="preserve"> </w:t>
      </w:r>
      <w:r>
        <w:rPr>
          <w:color w:val="231F20"/>
        </w:rPr>
        <w:t>Comprehensive</w:t>
      </w:r>
      <w:r>
        <w:rPr>
          <w:color w:val="231F20"/>
          <w:spacing w:val="-8"/>
        </w:rPr>
        <w:t xml:space="preserve"> </w:t>
      </w:r>
      <w:r>
        <w:rPr>
          <w:color w:val="231F20"/>
        </w:rPr>
        <w:t>Emergency</w:t>
      </w:r>
      <w:r>
        <w:rPr>
          <w:color w:val="231F20"/>
          <w:spacing w:val="-8"/>
        </w:rPr>
        <w:t xml:space="preserve"> </w:t>
      </w:r>
      <w:r>
        <w:rPr>
          <w:color w:val="231F20"/>
        </w:rPr>
        <w:t>Obstetric</w:t>
      </w:r>
      <w:r>
        <w:rPr>
          <w:color w:val="231F20"/>
          <w:spacing w:val="-9"/>
        </w:rPr>
        <w:t xml:space="preserve"> </w:t>
      </w:r>
      <w:r>
        <w:rPr>
          <w:color w:val="231F20"/>
        </w:rPr>
        <w:t>Services.</w:t>
      </w:r>
      <w:r>
        <w:rPr>
          <w:color w:val="231F20"/>
          <w:spacing w:val="-9"/>
        </w:rPr>
        <w:t xml:space="preserve"> </w:t>
      </w:r>
      <w:r>
        <w:rPr>
          <w:color w:val="231F20"/>
        </w:rPr>
        <w:t>Key</w:t>
      </w:r>
      <w:r>
        <w:rPr>
          <w:color w:val="231F20"/>
          <w:spacing w:val="-9"/>
        </w:rPr>
        <w:t xml:space="preserve"> </w:t>
      </w:r>
      <w:r>
        <w:rPr>
          <w:color w:val="231F20"/>
        </w:rPr>
        <w:t xml:space="preserve">actions include; Upgrade one hospital per LGA to provide comprehensive obstetrics care services </w:t>
      </w:r>
      <w:r>
        <w:rPr>
          <w:color w:val="231F20"/>
          <w:spacing w:val="-3"/>
        </w:rPr>
        <w:t xml:space="preserve">(Basic </w:t>
      </w:r>
      <w:proofErr w:type="spellStart"/>
      <w:r>
        <w:rPr>
          <w:color w:val="231F20"/>
        </w:rPr>
        <w:t>EmOC</w:t>
      </w:r>
      <w:proofErr w:type="spellEnd"/>
      <w:r>
        <w:rPr>
          <w:color w:val="231F20"/>
        </w:rPr>
        <w:t xml:space="preserve"> plus blood transfusion plus C/S); Procure &amp; distribute Obstetrics Emergency drugs (Misoprostol, Oxytocin, Ergometrine, Magnesium Sulphate, IV Fluids: Ringer Lactate, N/Saline, D/Saline,</w:t>
      </w:r>
      <w:r>
        <w:rPr>
          <w:color w:val="231F20"/>
          <w:spacing w:val="-5"/>
        </w:rPr>
        <w:t xml:space="preserve"> </w:t>
      </w:r>
      <w:r>
        <w:rPr>
          <w:color w:val="231F20"/>
          <w:spacing w:val="-3"/>
        </w:rPr>
        <w:t>D/Water.</w:t>
      </w:r>
      <w:r>
        <w:rPr>
          <w:color w:val="231F20"/>
          <w:spacing w:val="-17"/>
        </w:rPr>
        <w:t xml:space="preserve"> </w:t>
      </w:r>
      <w:r>
        <w:rPr>
          <w:color w:val="231F20"/>
        </w:rPr>
        <w:t>Antibiotics,</w:t>
      </w:r>
      <w:r>
        <w:rPr>
          <w:color w:val="231F20"/>
          <w:spacing w:val="-17"/>
        </w:rPr>
        <w:t xml:space="preserve"> </w:t>
      </w:r>
      <w:r>
        <w:rPr>
          <w:color w:val="231F20"/>
        </w:rPr>
        <w:t>Anticonvulsants,</w:t>
      </w:r>
      <w:r>
        <w:rPr>
          <w:color w:val="231F20"/>
          <w:spacing w:val="-5"/>
        </w:rPr>
        <w:t xml:space="preserve"> </w:t>
      </w:r>
      <w:r>
        <w:rPr>
          <w:color w:val="231F20"/>
        </w:rPr>
        <w:t>Metronidazole)</w:t>
      </w:r>
      <w:r>
        <w:rPr>
          <w:color w:val="231F20"/>
          <w:spacing w:val="-5"/>
        </w:rPr>
        <w:t xml:space="preserve"> </w:t>
      </w:r>
      <w:r>
        <w:rPr>
          <w:color w:val="231F20"/>
        </w:rPr>
        <w:t>for</w:t>
      </w:r>
      <w:r>
        <w:rPr>
          <w:color w:val="231F20"/>
          <w:spacing w:val="-5"/>
        </w:rPr>
        <w:t xml:space="preserve"> </w:t>
      </w:r>
      <w:r>
        <w:rPr>
          <w:color w:val="231F20"/>
        </w:rPr>
        <w:t>393</w:t>
      </w:r>
      <w:r>
        <w:rPr>
          <w:color w:val="231F20"/>
          <w:spacing w:val="-5"/>
        </w:rPr>
        <w:t xml:space="preserve"> </w:t>
      </w:r>
      <w:r>
        <w:rPr>
          <w:color w:val="231F20"/>
        </w:rPr>
        <w:t>health</w:t>
      </w:r>
      <w:r>
        <w:rPr>
          <w:color w:val="231F20"/>
          <w:spacing w:val="-5"/>
        </w:rPr>
        <w:t xml:space="preserve"> </w:t>
      </w:r>
      <w:r>
        <w:rPr>
          <w:color w:val="231F20"/>
        </w:rPr>
        <w:t>facilities</w:t>
      </w:r>
      <w:r>
        <w:rPr>
          <w:color w:val="231F20"/>
          <w:spacing w:val="-5"/>
        </w:rPr>
        <w:t xml:space="preserve"> </w:t>
      </w:r>
      <w:r>
        <w:rPr>
          <w:color w:val="231F20"/>
        </w:rPr>
        <w:t>(Primary</w:t>
      </w:r>
      <w:r>
        <w:rPr>
          <w:color w:val="231F20"/>
          <w:spacing w:val="-4"/>
        </w:rPr>
        <w:t xml:space="preserve"> </w:t>
      </w:r>
      <w:r>
        <w:rPr>
          <w:color w:val="231F20"/>
        </w:rPr>
        <w:t>&amp; Secondary) in the state; Strengthen/Establish emergency transport system for obstetric emergencies;</w:t>
      </w:r>
      <w:r>
        <w:rPr>
          <w:color w:val="231F20"/>
          <w:spacing w:val="-15"/>
        </w:rPr>
        <w:t xml:space="preserve"> </w:t>
      </w:r>
      <w:r>
        <w:rPr>
          <w:color w:val="231F20"/>
        </w:rPr>
        <w:t>Conduct</w:t>
      </w:r>
      <w:r>
        <w:rPr>
          <w:color w:val="231F20"/>
          <w:spacing w:val="-15"/>
        </w:rPr>
        <w:t xml:space="preserve"> </w:t>
      </w:r>
      <w:r>
        <w:rPr>
          <w:color w:val="231F20"/>
        </w:rPr>
        <w:t>training</w:t>
      </w:r>
      <w:r>
        <w:rPr>
          <w:color w:val="231F20"/>
          <w:spacing w:val="-15"/>
        </w:rPr>
        <w:t xml:space="preserve"> </w:t>
      </w:r>
      <w:r>
        <w:rPr>
          <w:color w:val="231F20"/>
        </w:rPr>
        <w:t>workshops</w:t>
      </w:r>
      <w:r>
        <w:rPr>
          <w:color w:val="231F20"/>
          <w:spacing w:val="-15"/>
        </w:rPr>
        <w:t xml:space="preserve"> </w:t>
      </w:r>
      <w:r>
        <w:rPr>
          <w:color w:val="231F20"/>
        </w:rPr>
        <w:t>for</w:t>
      </w:r>
      <w:r>
        <w:rPr>
          <w:color w:val="231F20"/>
          <w:spacing w:val="-15"/>
        </w:rPr>
        <w:t xml:space="preserve"> </w:t>
      </w:r>
      <w:r>
        <w:rPr>
          <w:color w:val="231F20"/>
        </w:rPr>
        <w:t>HWs</w:t>
      </w:r>
      <w:r>
        <w:rPr>
          <w:color w:val="231F20"/>
          <w:spacing w:val="-15"/>
        </w:rPr>
        <w:t xml:space="preserve"> </w:t>
      </w:r>
      <w:r>
        <w:rPr>
          <w:color w:val="231F20"/>
        </w:rPr>
        <w:t>(Doctors,</w:t>
      </w:r>
      <w:r>
        <w:rPr>
          <w:color w:val="231F20"/>
          <w:spacing w:val="-15"/>
        </w:rPr>
        <w:t xml:space="preserve"> </w:t>
      </w:r>
      <w:r>
        <w:rPr>
          <w:color w:val="231F20"/>
        </w:rPr>
        <w:t>Nurse/Midwives</w:t>
      </w:r>
      <w:r>
        <w:rPr>
          <w:color w:val="231F20"/>
          <w:spacing w:val="-15"/>
        </w:rPr>
        <w:t xml:space="preserve"> </w:t>
      </w:r>
      <w:r>
        <w:rPr>
          <w:color w:val="231F20"/>
        </w:rPr>
        <w:t>&amp;</w:t>
      </w:r>
      <w:r>
        <w:rPr>
          <w:color w:val="231F20"/>
          <w:spacing w:val="-15"/>
        </w:rPr>
        <w:t xml:space="preserve"> </w:t>
      </w:r>
      <w:r>
        <w:rPr>
          <w:color w:val="231F20"/>
        </w:rPr>
        <w:t>CHOs/CHEWs</w:t>
      </w:r>
      <w:r>
        <w:rPr>
          <w:color w:val="231F20"/>
          <w:spacing w:val="-15"/>
        </w:rPr>
        <w:t xml:space="preserve"> </w:t>
      </w:r>
      <w:r>
        <w:rPr>
          <w:color w:val="231F20"/>
          <w:spacing w:val="-7"/>
        </w:rPr>
        <w:t xml:space="preserve">on </w:t>
      </w:r>
      <w:r>
        <w:rPr>
          <w:color w:val="231F20"/>
        </w:rPr>
        <w:t>Essential</w:t>
      </w:r>
      <w:r>
        <w:rPr>
          <w:color w:val="231F20"/>
          <w:spacing w:val="-13"/>
        </w:rPr>
        <w:t xml:space="preserve"> </w:t>
      </w:r>
      <w:r>
        <w:rPr>
          <w:color w:val="231F20"/>
        </w:rPr>
        <w:t>Newborn</w:t>
      </w:r>
      <w:r>
        <w:rPr>
          <w:color w:val="231F20"/>
          <w:spacing w:val="-12"/>
        </w:rPr>
        <w:t xml:space="preserve"> </w:t>
      </w:r>
      <w:r>
        <w:rPr>
          <w:color w:val="231F20"/>
        </w:rPr>
        <w:t>Care</w:t>
      </w:r>
      <w:r>
        <w:rPr>
          <w:color w:val="231F20"/>
          <w:spacing w:val="-12"/>
        </w:rPr>
        <w:t xml:space="preserve"> </w:t>
      </w:r>
      <w:r>
        <w:rPr>
          <w:color w:val="231F20"/>
        </w:rPr>
        <w:t>(ENBC)</w:t>
      </w:r>
      <w:r>
        <w:rPr>
          <w:color w:val="231F20"/>
          <w:spacing w:val="-12"/>
        </w:rPr>
        <w:t xml:space="preserve"> </w:t>
      </w:r>
      <w:r>
        <w:rPr>
          <w:color w:val="231F20"/>
        </w:rPr>
        <w:t>&amp;</w:t>
      </w:r>
      <w:r>
        <w:rPr>
          <w:color w:val="231F20"/>
          <w:spacing w:val="-13"/>
        </w:rPr>
        <w:t xml:space="preserve"> </w:t>
      </w:r>
      <w:r>
        <w:rPr>
          <w:color w:val="231F20"/>
        </w:rPr>
        <w:t>Helping</w:t>
      </w:r>
      <w:r>
        <w:rPr>
          <w:color w:val="231F20"/>
          <w:spacing w:val="-13"/>
        </w:rPr>
        <w:t xml:space="preserve"> </w:t>
      </w:r>
      <w:r>
        <w:rPr>
          <w:color w:val="231F20"/>
        </w:rPr>
        <w:t>Babies</w:t>
      </w:r>
      <w:r>
        <w:rPr>
          <w:color w:val="231F20"/>
          <w:spacing w:val="-12"/>
        </w:rPr>
        <w:t xml:space="preserve"> </w:t>
      </w:r>
      <w:r>
        <w:rPr>
          <w:color w:val="231F20"/>
        </w:rPr>
        <w:t>Breath(HBB);</w:t>
      </w:r>
      <w:r>
        <w:rPr>
          <w:color w:val="231F20"/>
          <w:spacing w:val="-16"/>
        </w:rPr>
        <w:t xml:space="preserve"> </w:t>
      </w:r>
      <w:r>
        <w:rPr>
          <w:color w:val="231F20"/>
        </w:rPr>
        <w:t>Train</w:t>
      </w:r>
      <w:r>
        <w:rPr>
          <w:color w:val="231F20"/>
          <w:spacing w:val="-12"/>
        </w:rPr>
        <w:t xml:space="preserve"> </w:t>
      </w:r>
      <w:r>
        <w:rPr>
          <w:color w:val="231F20"/>
        </w:rPr>
        <w:t>community-based</w:t>
      </w:r>
      <w:r>
        <w:rPr>
          <w:color w:val="231F20"/>
          <w:spacing w:val="-12"/>
        </w:rPr>
        <w:t xml:space="preserve"> </w:t>
      </w:r>
      <w:r>
        <w:rPr>
          <w:color w:val="231F20"/>
        </w:rPr>
        <w:t>workers in</w:t>
      </w:r>
      <w:r>
        <w:rPr>
          <w:color w:val="231F20"/>
          <w:spacing w:val="-25"/>
        </w:rPr>
        <w:t xml:space="preserve"> </w:t>
      </w:r>
      <w:r>
        <w:rPr>
          <w:color w:val="231F20"/>
        </w:rPr>
        <w:t>Life</w:t>
      </w:r>
      <w:r>
        <w:rPr>
          <w:color w:val="231F20"/>
          <w:spacing w:val="-26"/>
        </w:rPr>
        <w:t xml:space="preserve"> </w:t>
      </w:r>
      <w:r>
        <w:rPr>
          <w:color w:val="231F20"/>
        </w:rPr>
        <w:t>Saving</w:t>
      </w:r>
      <w:r>
        <w:rPr>
          <w:color w:val="231F20"/>
          <w:spacing w:val="-25"/>
        </w:rPr>
        <w:t xml:space="preserve"> </w:t>
      </w:r>
      <w:r>
        <w:rPr>
          <w:color w:val="231F20"/>
        </w:rPr>
        <w:t>Skills</w:t>
      </w:r>
      <w:r>
        <w:rPr>
          <w:color w:val="231F20"/>
          <w:spacing w:val="-25"/>
        </w:rPr>
        <w:t xml:space="preserve"> </w:t>
      </w:r>
      <w:r>
        <w:rPr>
          <w:color w:val="231F20"/>
        </w:rPr>
        <w:t>at</w:t>
      </w:r>
      <w:r>
        <w:rPr>
          <w:color w:val="231F20"/>
          <w:spacing w:val="-25"/>
        </w:rPr>
        <w:t xml:space="preserve"> </w:t>
      </w:r>
      <w:r>
        <w:rPr>
          <w:color w:val="231F20"/>
        </w:rPr>
        <w:t>community</w:t>
      </w:r>
      <w:r>
        <w:rPr>
          <w:color w:val="231F20"/>
          <w:spacing w:val="-25"/>
        </w:rPr>
        <w:t xml:space="preserve"> </w:t>
      </w:r>
      <w:r>
        <w:rPr>
          <w:color w:val="231F20"/>
        </w:rPr>
        <w:t>level</w:t>
      </w:r>
      <w:r>
        <w:rPr>
          <w:color w:val="231F20"/>
          <w:spacing w:val="-25"/>
        </w:rPr>
        <w:t xml:space="preserve"> </w:t>
      </w:r>
      <w:r>
        <w:rPr>
          <w:color w:val="231F20"/>
        </w:rPr>
        <w:t>using</w:t>
      </w:r>
      <w:r>
        <w:rPr>
          <w:color w:val="231F20"/>
          <w:spacing w:val="-25"/>
        </w:rPr>
        <w:t xml:space="preserve"> </w:t>
      </w:r>
      <w:r>
        <w:rPr>
          <w:color w:val="231F20"/>
        </w:rPr>
        <w:t>the</w:t>
      </w:r>
      <w:r>
        <w:rPr>
          <w:color w:val="231F20"/>
          <w:spacing w:val="-25"/>
        </w:rPr>
        <w:t xml:space="preserve"> </w:t>
      </w:r>
      <w:r>
        <w:rPr>
          <w:color w:val="231F20"/>
        </w:rPr>
        <w:t>adapted</w:t>
      </w:r>
      <w:r w:rsidR="00FC31BA">
        <w:rPr>
          <w:color w:val="231F20"/>
        </w:rPr>
        <w:t xml:space="preserve"> </w:t>
      </w:r>
      <w:r>
        <w:rPr>
          <w:color w:val="231F20"/>
        </w:rPr>
        <w:t>WHO</w:t>
      </w:r>
      <w:r>
        <w:rPr>
          <w:color w:val="231F20"/>
          <w:spacing w:val="-25"/>
        </w:rPr>
        <w:t xml:space="preserve"> </w:t>
      </w:r>
      <w:r>
        <w:rPr>
          <w:color w:val="231F20"/>
        </w:rPr>
        <w:t>manual.</w:t>
      </w:r>
    </w:p>
    <w:p w14:paraId="65E02545" w14:textId="77777777" w:rsidR="009948F1" w:rsidRDefault="009948F1">
      <w:pPr>
        <w:pStyle w:val="BodyText"/>
        <w:spacing w:before="4"/>
        <w:rPr>
          <w:sz w:val="24"/>
        </w:rPr>
      </w:pPr>
    </w:p>
    <w:p w14:paraId="6302B4DC" w14:textId="77777777" w:rsidR="009948F1" w:rsidRDefault="00BC0563">
      <w:pPr>
        <w:pStyle w:val="ListParagraph"/>
        <w:numPr>
          <w:ilvl w:val="3"/>
          <w:numId w:val="292"/>
        </w:numPr>
        <w:tabs>
          <w:tab w:val="left" w:pos="921"/>
        </w:tabs>
        <w:spacing w:before="1" w:line="261" w:lineRule="auto"/>
        <w:ind w:left="134" w:right="180" w:firstLine="0"/>
      </w:pPr>
      <w:r>
        <w:rPr>
          <w:color w:val="231F20"/>
        </w:rPr>
        <w:t xml:space="preserve">Improve quality of care for safe motherhood services. Key actions include; develop Standard operating procedures (SOPs) and job aids on reproductive health, maternal, new </w:t>
      </w:r>
      <w:r>
        <w:rPr>
          <w:color w:val="231F20"/>
          <w:spacing w:val="-3"/>
        </w:rPr>
        <w:t xml:space="preserve">born, </w:t>
      </w:r>
      <w:r>
        <w:rPr>
          <w:color w:val="231F20"/>
        </w:rPr>
        <w:t xml:space="preserve">child and adolescent health (RMNCAH) care; Adopt and implement WHO Standards of Care </w:t>
      </w:r>
      <w:r>
        <w:rPr>
          <w:color w:val="231F20"/>
          <w:spacing w:val="-5"/>
        </w:rPr>
        <w:t xml:space="preserve">for </w:t>
      </w:r>
      <w:r>
        <w:rPr>
          <w:color w:val="231F20"/>
        </w:rPr>
        <w:t xml:space="preserve">improving quality of maternal and newborn care in health facilities; Advocacy visits to community institutions for community mobilization and </w:t>
      </w:r>
      <w:proofErr w:type="spellStart"/>
      <w:r>
        <w:rPr>
          <w:color w:val="231F20"/>
        </w:rPr>
        <w:t>Behavioural</w:t>
      </w:r>
      <w:proofErr w:type="spellEnd"/>
      <w:r>
        <w:rPr>
          <w:color w:val="231F20"/>
        </w:rPr>
        <w:t xml:space="preserve"> Change Communication on </w:t>
      </w:r>
      <w:r>
        <w:rPr>
          <w:color w:val="231F20"/>
          <w:spacing w:val="-3"/>
        </w:rPr>
        <w:t xml:space="preserve">Safe </w:t>
      </w:r>
      <w:r>
        <w:rPr>
          <w:color w:val="231F20"/>
        </w:rPr>
        <w:t>Motherhood</w:t>
      </w:r>
      <w:r>
        <w:rPr>
          <w:color w:val="231F20"/>
          <w:spacing w:val="-16"/>
        </w:rPr>
        <w:t xml:space="preserve"> </w:t>
      </w:r>
      <w:r>
        <w:rPr>
          <w:color w:val="231F20"/>
        </w:rPr>
        <w:t>Services;</w:t>
      </w:r>
      <w:r>
        <w:rPr>
          <w:color w:val="231F20"/>
          <w:spacing w:val="-15"/>
        </w:rPr>
        <w:t xml:space="preserve"> </w:t>
      </w:r>
      <w:r>
        <w:rPr>
          <w:color w:val="231F20"/>
        </w:rPr>
        <w:t>Conduct</w:t>
      </w:r>
      <w:r>
        <w:rPr>
          <w:color w:val="231F20"/>
          <w:spacing w:val="-15"/>
        </w:rPr>
        <w:t xml:space="preserve"> </w:t>
      </w:r>
      <w:r>
        <w:rPr>
          <w:color w:val="231F20"/>
        </w:rPr>
        <w:t>orientation</w:t>
      </w:r>
      <w:r>
        <w:rPr>
          <w:color w:val="231F20"/>
          <w:spacing w:val="-15"/>
        </w:rPr>
        <w:t xml:space="preserve"> </w:t>
      </w:r>
      <w:r>
        <w:rPr>
          <w:color w:val="231F20"/>
        </w:rPr>
        <w:t>training</w:t>
      </w:r>
      <w:r>
        <w:rPr>
          <w:color w:val="231F20"/>
          <w:spacing w:val="-15"/>
        </w:rPr>
        <w:t xml:space="preserve"> </w:t>
      </w:r>
      <w:r>
        <w:rPr>
          <w:color w:val="231F20"/>
        </w:rPr>
        <w:t>for</w:t>
      </w:r>
      <w:r>
        <w:rPr>
          <w:color w:val="231F20"/>
          <w:spacing w:val="-15"/>
        </w:rPr>
        <w:t xml:space="preserve"> </w:t>
      </w:r>
      <w:r>
        <w:rPr>
          <w:color w:val="231F20"/>
        </w:rPr>
        <w:t>HWs</w:t>
      </w:r>
      <w:r>
        <w:rPr>
          <w:color w:val="231F20"/>
          <w:spacing w:val="-15"/>
        </w:rPr>
        <w:t xml:space="preserve"> </w:t>
      </w:r>
      <w:r>
        <w:rPr>
          <w:color w:val="231F20"/>
        </w:rPr>
        <w:t>on</w:t>
      </w:r>
      <w:r>
        <w:rPr>
          <w:color w:val="231F20"/>
          <w:spacing w:val="-15"/>
        </w:rPr>
        <w:t xml:space="preserve"> </w:t>
      </w:r>
      <w:r>
        <w:rPr>
          <w:color w:val="231F20"/>
        </w:rPr>
        <w:t>IPC</w:t>
      </w:r>
      <w:r>
        <w:rPr>
          <w:color w:val="231F20"/>
          <w:spacing w:val="-15"/>
        </w:rPr>
        <w:t xml:space="preserve"> </w:t>
      </w:r>
      <w:r>
        <w:rPr>
          <w:color w:val="231F20"/>
        </w:rPr>
        <w:t>skills;</w:t>
      </w:r>
      <w:r>
        <w:rPr>
          <w:color w:val="231F20"/>
          <w:spacing w:val="-15"/>
        </w:rPr>
        <w:t xml:space="preserve"> </w:t>
      </w:r>
      <w:r>
        <w:rPr>
          <w:color w:val="231F20"/>
        </w:rPr>
        <w:t>Strengthen</w:t>
      </w:r>
      <w:r>
        <w:rPr>
          <w:color w:val="231F20"/>
          <w:spacing w:val="-16"/>
        </w:rPr>
        <w:t xml:space="preserve"> </w:t>
      </w:r>
      <w:r>
        <w:rPr>
          <w:color w:val="231F20"/>
        </w:rPr>
        <w:t>maternal</w:t>
      </w:r>
      <w:r>
        <w:rPr>
          <w:color w:val="231F20"/>
          <w:spacing w:val="-15"/>
        </w:rPr>
        <w:t xml:space="preserve"> </w:t>
      </w:r>
      <w:r>
        <w:rPr>
          <w:color w:val="231F20"/>
        </w:rPr>
        <w:t>and perinatal</w:t>
      </w:r>
      <w:r>
        <w:rPr>
          <w:color w:val="231F20"/>
          <w:spacing w:val="-8"/>
        </w:rPr>
        <w:t xml:space="preserve"> </w:t>
      </w:r>
      <w:r>
        <w:rPr>
          <w:color w:val="231F20"/>
        </w:rPr>
        <w:t>death</w:t>
      </w:r>
      <w:r>
        <w:rPr>
          <w:color w:val="231F20"/>
          <w:spacing w:val="-7"/>
        </w:rPr>
        <w:t xml:space="preserve"> </w:t>
      </w:r>
      <w:r>
        <w:rPr>
          <w:color w:val="231F20"/>
        </w:rPr>
        <w:t>surveillance</w:t>
      </w:r>
      <w:r>
        <w:rPr>
          <w:color w:val="231F20"/>
          <w:spacing w:val="-7"/>
        </w:rPr>
        <w:t xml:space="preserve"> </w:t>
      </w:r>
      <w:r>
        <w:rPr>
          <w:color w:val="231F20"/>
        </w:rPr>
        <w:t>and</w:t>
      </w:r>
      <w:r>
        <w:rPr>
          <w:color w:val="231F20"/>
          <w:spacing w:val="-7"/>
        </w:rPr>
        <w:t xml:space="preserve"> </w:t>
      </w:r>
      <w:r>
        <w:rPr>
          <w:color w:val="231F20"/>
        </w:rPr>
        <w:t>response</w:t>
      </w:r>
      <w:r>
        <w:rPr>
          <w:color w:val="231F20"/>
          <w:spacing w:val="-7"/>
        </w:rPr>
        <w:t xml:space="preserve"> </w:t>
      </w:r>
      <w:r>
        <w:rPr>
          <w:color w:val="231F20"/>
        </w:rPr>
        <w:t>(MPDSR)</w:t>
      </w:r>
      <w:r>
        <w:rPr>
          <w:color w:val="231F20"/>
          <w:spacing w:val="-8"/>
        </w:rPr>
        <w:t xml:space="preserve"> </w:t>
      </w:r>
      <w:r>
        <w:rPr>
          <w:color w:val="231F20"/>
        </w:rPr>
        <w:t>through</w:t>
      </w:r>
      <w:r>
        <w:rPr>
          <w:color w:val="231F20"/>
          <w:spacing w:val="-7"/>
        </w:rPr>
        <w:t xml:space="preserve"> </w:t>
      </w:r>
      <w:r>
        <w:rPr>
          <w:color w:val="231F20"/>
        </w:rPr>
        <w:t>adequate</w:t>
      </w:r>
      <w:r>
        <w:rPr>
          <w:color w:val="231F20"/>
          <w:spacing w:val="-7"/>
        </w:rPr>
        <w:t xml:space="preserve"> </w:t>
      </w:r>
      <w:r>
        <w:rPr>
          <w:color w:val="231F20"/>
        </w:rPr>
        <w:t>monitoring</w:t>
      </w:r>
      <w:r>
        <w:rPr>
          <w:color w:val="231F20"/>
          <w:spacing w:val="-7"/>
        </w:rPr>
        <w:t xml:space="preserve"> </w:t>
      </w:r>
      <w:r>
        <w:rPr>
          <w:color w:val="231F20"/>
        </w:rPr>
        <w:t>&amp;</w:t>
      </w:r>
      <w:r>
        <w:rPr>
          <w:color w:val="231F20"/>
          <w:spacing w:val="-9"/>
        </w:rPr>
        <w:t xml:space="preserve"> </w:t>
      </w:r>
      <w:r>
        <w:rPr>
          <w:color w:val="231F20"/>
        </w:rPr>
        <w:t>evaluation</w:t>
      </w:r>
      <w:r>
        <w:rPr>
          <w:color w:val="231F20"/>
          <w:spacing w:val="-7"/>
        </w:rPr>
        <w:t xml:space="preserve"> to </w:t>
      </w:r>
      <w:r>
        <w:rPr>
          <w:color w:val="231F20"/>
        </w:rPr>
        <w:t>ensure</w:t>
      </w:r>
      <w:r>
        <w:rPr>
          <w:color w:val="231F20"/>
          <w:spacing w:val="-25"/>
        </w:rPr>
        <w:t xml:space="preserve"> </w:t>
      </w:r>
      <w:r>
        <w:rPr>
          <w:color w:val="231F20"/>
        </w:rPr>
        <w:t>coordinated</w:t>
      </w:r>
      <w:r>
        <w:rPr>
          <w:color w:val="231F20"/>
          <w:spacing w:val="-25"/>
        </w:rPr>
        <w:t xml:space="preserve"> </w:t>
      </w:r>
      <w:r>
        <w:rPr>
          <w:color w:val="231F20"/>
        </w:rPr>
        <w:t>referral</w:t>
      </w:r>
      <w:r>
        <w:rPr>
          <w:color w:val="231F20"/>
          <w:spacing w:val="-26"/>
        </w:rPr>
        <w:t xml:space="preserve"> </w:t>
      </w:r>
      <w:r>
        <w:rPr>
          <w:color w:val="231F20"/>
        </w:rPr>
        <w:t>system</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79E1523B" w14:textId="77777777" w:rsidR="009948F1" w:rsidRDefault="009948F1">
      <w:pPr>
        <w:pStyle w:val="BodyText"/>
        <w:spacing w:before="3"/>
        <w:rPr>
          <w:sz w:val="24"/>
        </w:rPr>
      </w:pPr>
    </w:p>
    <w:p w14:paraId="541C9A5E" w14:textId="6568DC3D" w:rsidR="009948F1" w:rsidRDefault="00BC0563">
      <w:pPr>
        <w:pStyle w:val="ListParagraph"/>
        <w:numPr>
          <w:ilvl w:val="3"/>
          <w:numId w:val="291"/>
        </w:numPr>
        <w:tabs>
          <w:tab w:val="left" w:pos="887"/>
        </w:tabs>
        <w:spacing w:before="1" w:line="261" w:lineRule="auto"/>
        <w:ind w:right="180" w:firstLine="0"/>
      </w:pPr>
      <w:r>
        <w:rPr>
          <w:color w:val="231F20"/>
        </w:rPr>
        <w:t>Strengthen referral and feedback mechanisms. Key actions include;</w:t>
      </w:r>
      <w:r w:rsidR="00C14694">
        <w:rPr>
          <w:color w:val="231F20"/>
        </w:rPr>
        <w:t xml:space="preserve"> </w:t>
      </w:r>
      <w:r>
        <w:rPr>
          <w:color w:val="231F20"/>
        </w:rPr>
        <w:t xml:space="preserve">to revamp the </w:t>
      </w:r>
      <w:r>
        <w:rPr>
          <w:color w:val="231F20"/>
          <w:spacing w:val="-3"/>
        </w:rPr>
        <w:t xml:space="preserve">Joint </w:t>
      </w:r>
      <w:r>
        <w:rPr>
          <w:color w:val="231F20"/>
        </w:rPr>
        <w:t xml:space="preserve">Consultative Committee on Referral (JCCR) to oversee referral activities in the state; Operating cost for engaging and supervising the contractors to equip two model referral systems in </w:t>
      </w:r>
      <w:r>
        <w:rPr>
          <w:color w:val="231F20"/>
          <w:spacing w:val="-15"/>
        </w:rPr>
        <w:t xml:space="preserve">a </w:t>
      </w:r>
      <w:r>
        <w:rPr>
          <w:color w:val="231F20"/>
        </w:rPr>
        <w:t xml:space="preserve">predominantly riverine and upland communities in the State. For 2-way referrals; Orientation </w:t>
      </w:r>
      <w:r>
        <w:rPr>
          <w:color w:val="231F20"/>
          <w:spacing w:val="-7"/>
        </w:rPr>
        <w:t xml:space="preserve">of </w:t>
      </w:r>
      <w:r>
        <w:rPr>
          <w:color w:val="231F20"/>
        </w:rPr>
        <w:t>facility</w:t>
      </w:r>
      <w:r>
        <w:rPr>
          <w:color w:val="231F20"/>
          <w:spacing w:val="-4"/>
        </w:rPr>
        <w:t xml:space="preserve"> </w:t>
      </w:r>
      <w:r>
        <w:rPr>
          <w:color w:val="231F20"/>
        </w:rPr>
        <w:t>staff</w:t>
      </w:r>
      <w:r>
        <w:rPr>
          <w:color w:val="231F20"/>
          <w:spacing w:val="-3"/>
        </w:rPr>
        <w:t xml:space="preserve"> </w:t>
      </w:r>
      <w:r>
        <w:rPr>
          <w:color w:val="231F20"/>
        </w:rPr>
        <w:t>on</w:t>
      </w:r>
      <w:r>
        <w:rPr>
          <w:color w:val="231F20"/>
          <w:spacing w:val="-4"/>
        </w:rPr>
        <w:t xml:space="preserve"> </w:t>
      </w:r>
      <w:r>
        <w:rPr>
          <w:color w:val="231F20"/>
        </w:rPr>
        <w:t>updated</w:t>
      </w:r>
      <w:r>
        <w:rPr>
          <w:color w:val="231F20"/>
          <w:spacing w:val="-3"/>
        </w:rPr>
        <w:t xml:space="preserve"> </w:t>
      </w:r>
      <w:r>
        <w:rPr>
          <w:color w:val="231F20"/>
        </w:rPr>
        <w:t>2-way</w:t>
      </w:r>
      <w:r>
        <w:rPr>
          <w:color w:val="231F20"/>
          <w:spacing w:val="-3"/>
        </w:rPr>
        <w:t xml:space="preserve"> </w:t>
      </w:r>
      <w:r>
        <w:rPr>
          <w:color w:val="231F20"/>
        </w:rPr>
        <w:t>Referral</w:t>
      </w:r>
      <w:r>
        <w:rPr>
          <w:color w:val="231F20"/>
          <w:spacing w:val="-4"/>
        </w:rPr>
        <w:t xml:space="preserve"> </w:t>
      </w:r>
      <w:r>
        <w:rPr>
          <w:color w:val="231F20"/>
        </w:rPr>
        <w:t>System</w:t>
      </w:r>
      <w:r>
        <w:rPr>
          <w:color w:val="231F20"/>
          <w:spacing w:val="-3"/>
        </w:rPr>
        <w:t xml:space="preserve"> </w:t>
      </w:r>
      <w:r>
        <w:rPr>
          <w:color w:val="231F20"/>
        </w:rPr>
        <w:t>Forms</w:t>
      </w:r>
      <w:r>
        <w:rPr>
          <w:color w:val="231F20"/>
          <w:spacing w:val="-3"/>
        </w:rPr>
        <w:t xml:space="preserve"> </w:t>
      </w:r>
      <w:r>
        <w:rPr>
          <w:color w:val="231F20"/>
        </w:rPr>
        <w:t>and</w:t>
      </w:r>
      <w:r>
        <w:rPr>
          <w:color w:val="231F20"/>
          <w:spacing w:val="-4"/>
        </w:rPr>
        <w:t xml:space="preserve"> </w:t>
      </w:r>
      <w:r>
        <w:rPr>
          <w:color w:val="231F20"/>
        </w:rPr>
        <w:t>its</w:t>
      </w:r>
      <w:r>
        <w:rPr>
          <w:color w:val="231F20"/>
          <w:spacing w:val="-3"/>
        </w:rPr>
        <w:t xml:space="preserve"> </w:t>
      </w:r>
      <w:r>
        <w:rPr>
          <w:color w:val="231F20"/>
        </w:rPr>
        <w:t>importance</w:t>
      </w:r>
      <w:r>
        <w:rPr>
          <w:color w:val="231F20"/>
          <w:spacing w:val="-3"/>
        </w:rPr>
        <w:t xml:space="preserve"> </w:t>
      </w:r>
      <w:r>
        <w:rPr>
          <w:color w:val="231F20"/>
        </w:rPr>
        <w:t>and</w:t>
      </w:r>
      <w:r>
        <w:rPr>
          <w:color w:val="231F20"/>
          <w:spacing w:val="-4"/>
        </w:rPr>
        <w:t xml:space="preserve"> </w:t>
      </w:r>
      <w:r>
        <w:rPr>
          <w:color w:val="231F20"/>
        </w:rPr>
        <w:t>conduct</w:t>
      </w:r>
      <w:r>
        <w:rPr>
          <w:color w:val="231F20"/>
          <w:spacing w:val="-3"/>
        </w:rPr>
        <w:t xml:space="preserve"> </w:t>
      </w:r>
      <w:r>
        <w:rPr>
          <w:color w:val="231F20"/>
        </w:rPr>
        <w:t>training</w:t>
      </w:r>
      <w:r>
        <w:rPr>
          <w:color w:val="231F20"/>
          <w:spacing w:val="-4"/>
        </w:rPr>
        <w:t xml:space="preserve"> </w:t>
      </w:r>
      <w:r>
        <w:rPr>
          <w:color w:val="231F20"/>
        </w:rPr>
        <w:t xml:space="preserve">on ambulatory services; Design, print and distribute 2-way Referral Forms; Operating cost for engaging and supervising the contractor to provide logistics including functional </w:t>
      </w:r>
      <w:r>
        <w:rPr>
          <w:color w:val="231F20"/>
          <w:spacing w:val="-2"/>
        </w:rPr>
        <w:t xml:space="preserve">communication </w:t>
      </w:r>
      <w:r>
        <w:rPr>
          <w:color w:val="231F20"/>
        </w:rPr>
        <w:t>system</w:t>
      </w:r>
      <w:r>
        <w:rPr>
          <w:color w:val="231F20"/>
          <w:spacing w:val="-25"/>
        </w:rPr>
        <w:t xml:space="preserve"> </w:t>
      </w:r>
      <w:r>
        <w:rPr>
          <w:color w:val="231F20"/>
        </w:rPr>
        <w:t>for</w:t>
      </w:r>
      <w:r>
        <w:rPr>
          <w:color w:val="231F20"/>
          <w:spacing w:val="-25"/>
        </w:rPr>
        <w:t xml:space="preserve"> </w:t>
      </w:r>
      <w:r>
        <w:rPr>
          <w:color w:val="231F20"/>
        </w:rPr>
        <w:t>referral</w:t>
      </w:r>
      <w:r>
        <w:rPr>
          <w:color w:val="231F20"/>
          <w:spacing w:val="-25"/>
        </w:rPr>
        <w:t xml:space="preserve"> </w:t>
      </w:r>
      <w:r>
        <w:rPr>
          <w:color w:val="231F20"/>
        </w:rPr>
        <w:t>services</w:t>
      </w:r>
      <w:r>
        <w:rPr>
          <w:color w:val="231F20"/>
          <w:spacing w:val="-25"/>
        </w:rPr>
        <w:t xml:space="preserve"> </w:t>
      </w:r>
      <w:r>
        <w:rPr>
          <w:color w:val="231F20"/>
        </w:rPr>
        <w:t>and</w:t>
      </w:r>
      <w:r>
        <w:rPr>
          <w:color w:val="231F20"/>
          <w:spacing w:val="-26"/>
        </w:rPr>
        <w:t xml:space="preserve"> </w:t>
      </w:r>
      <w:r>
        <w:rPr>
          <w:color w:val="231F20"/>
        </w:rPr>
        <w:t>transport</w:t>
      </w:r>
      <w:r>
        <w:rPr>
          <w:color w:val="231F20"/>
          <w:spacing w:val="-25"/>
        </w:rPr>
        <w:t xml:space="preserve"> </w:t>
      </w:r>
      <w:r>
        <w:rPr>
          <w:color w:val="231F20"/>
        </w:rPr>
        <w:t>services.</w:t>
      </w:r>
    </w:p>
    <w:p w14:paraId="685AE894" w14:textId="77777777" w:rsidR="009948F1" w:rsidRDefault="009948F1">
      <w:pPr>
        <w:pStyle w:val="BodyText"/>
        <w:spacing w:before="3"/>
        <w:rPr>
          <w:sz w:val="24"/>
        </w:rPr>
      </w:pPr>
    </w:p>
    <w:p w14:paraId="02996D35" w14:textId="02D60E91" w:rsidR="009948F1" w:rsidRDefault="00BC0563">
      <w:pPr>
        <w:pStyle w:val="ListParagraph"/>
        <w:numPr>
          <w:ilvl w:val="3"/>
          <w:numId w:val="291"/>
        </w:numPr>
        <w:tabs>
          <w:tab w:val="left" w:pos="857"/>
        </w:tabs>
        <w:spacing w:line="261" w:lineRule="auto"/>
        <w:ind w:right="181" w:firstLine="0"/>
      </w:pPr>
      <w:r>
        <w:rPr>
          <w:color w:val="231F20"/>
        </w:rPr>
        <w:t>Expand</w:t>
      </w:r>
      <w:r>
        <w:rPr>
          <w:color w:val="231F20"/>
          <w:spacing w:val="-14"/>
        </w:rPr>
        <w:t xml:space="preserve"> </w:t>
      </w:r>
      <w:r>
        <w:rPr>
          <w:color w:val="231F20"/>
        </w:rPr>
        <w:t>access</w:t>
      </w:r>
      <w:r>
        <w:rPr>
          <w:color w:val="231F20"/>
          <w:spacing w:val="-14"/>
        </w:rPr>
        <w:t xml:space="preserve"> </w:t>
      </w:r>
      <w:r>
        <w:rPr>
          <w:color w:val="231F20"/>
        </w:rPr>
        <w:t>to</w:t>
      </w:r>
      <w:r>
        <w:rPr>
          <w:color w:val="231F20"/>
          <w:spacing w:val="-14"/>
        </w:rPr>
        <w:t xml:space="preserve"> </w:t>
      </w:r>
      <w:r>
        <w:rPr>
          <w:color w:val="231F20"/>
        </w:rPr>
        <w:t>life</w:t>
      </w:r>
      <w:r>
        <w:rPr>
          <w:color w:val="231F20"/>
          <w:spacing w:val="-14"/>
        </w:rPr>
        <w:t xml:space="preserve"> </w:t>
      </w:r>
      <w:r>
        <w:rPr>
          <w:color w:val="231F20"/>
        </w:rPr>
        <w:t>saving</w:t>
      </w:r>
      <w:r>
        <w:rPr>
          <w:color w:val="231F20"/>
          <w:spacing w:val="-14"/>
        </w:rPr>
        <w:t xml:space="preserve"> </w:t>
      </w:r>
      <w:r>
        <w:rPr>
          <w:color w:val="231F20"/>
        </w:rPr>
        <w:t>commodities.</w:t>
      </w:r>
      <w:r>
        <w:rPr>
          <w:color w:val="231F20"/>
          <w:spacing w:val="-14"/>
        </w:rPr>
        <w:t xml:space="preserve"> </w:t>
      </w:r>
      <w:r>
        <w:rPr>
          <w:color w:val="231F20"/>
        </w:rPr>
        <w:t>Key</w:t>
      </w:r>
      <w:r>
        <w:rPr>
          <w:color w:val="231F20"/>
          <w:spacing w:val="-14"/>
        </w:rPr>
        <w:t xml:space="preserve"> </w:t>
      </w:r>
      <w:r>
        <w:rPr>
          <w:color w:val="231F20"/>
        </w:rPr>
        <w:t>action</w:t>
      </w:r>
      <w:r w:rsidR="00660323">
        <w:rPr>
          <w:color w:val="231F20"/>
        </w:rPr>
        <w:t>s</w:t>
      </w:r>
      <w:r>
        <w:rPr>
          <w:color w:val="231F20"/>
          <w:spacing w:val="-14"/>
        </w:rPr>
        <w:t xml:space="preserve"> </w:t>
      </w:r>
      <w:r>
        <w:rPr>
          <w:color w:val="231F20"/>
        </w:rPr>
        <w:t>include;</w:t>
      </w:r>
      <w:r>
        <w:rPr>
          <w:color w:val="231F20"/>
          <w:spacing w:val="-14"/>
        </w:rPr>
        <w:t xml:space="preserve"> </w:t>
      </w:r>
      <w:r>
        <w:rPr>
          <w:color w:val="231F20"/>
        </w:rPr>
        <w:t>Operating</w:t>
      </w:r>
      <w:r>
        <w:rPr>
          <w:color w:val="231F20"/>
          <w:spacing w:val="-14"/>
        </w:rPr>
        <w:t xml:space="preserve"> </w:t>
      </w:r>
      <w:r>
        <w:rPr>
          <w:color w:val="231F20"/>
        </w:rPr>
        <w:t>cost</w:t>
      </w:r>
      <w:r>
        <w:rPr>
          <w:color w:val="231F20"/>
          <w:spacing w:val="-14"/>
        </w:rPr>
        <w:t xml:space="preserve"> </w:t>
      </w:r>
      <w:r>
        <w:rPr>
          <w:color w:val="231F20"/>
        </w:rPr>
        <w:t>for</w:t>
      </w:r>
      <w:r>
        <w:rPr>
          <w:color w:val="231F20"/>
          <w:spacing w:val="-13"/>
        </w:rPr>
        <w:t xml:space="preserve"> </w:t>
      </w:r>
      <w:r>
        <w:rPr>
          <w:color w:val="231F20"/>
        </w:rPr>
        <w:t>engaging and supervising the contractor to procure and distribute life-saving commodities (Anti-shock Garments,</w:t>
      </w:r>
      <w:r>
        <w:rPr>
          <w:color w:val="231F20"/>
          <w:spacing w:val="-16"/>
        </w:rPr>
        <w:t xml:space="preserve"> </w:t>
      </w:r>
      <w:r>
        <w:rPr>
          <w:color w:val="231F20"/>
        </w:rPr>
        <w:t>Suction</w:t>
      </w:r>
      <w:r>
        <w:rPr>
          <w:color w:val="231F20"/>
          <w:spacing w:val="-16"/>
        </w:rPr>
        <w:t xml:space="preserve"> </w:t>
      </w:r>
      <w:r>
        <w:rPr>
          <w:color w:val="231F20"/>
        </w:rPr>
        <w:t>Machines,</w:t>
      </w:r>
      <w:r>
        <w:rPr>
          <w:color w:val="231F20"/>
          <w:spacing w:val="-16"/>
        </w:rPr>
        <w:t xml:space="preserve"> </w:t>
      </w:r>
      <w:r>
        <w:rPr>
          <w:color w:val="231F20"/>
        </w:rPr>
        <w:t>Self-Inflating</w:t>
      </w:r>
      <w:r w:rsidR="00C14694">
        <w:rPr>
          <w:color w:val="231F20"/>
        </w:rPr>
        <w:t xml:space="preserve"> </w:t>
      </w:r>
      <w:proofErr w:type="spellStart"/>
      <w:r>
        <w:rPr>
          <w:color w:val="231F20"/>
        </w:rPr>
        <w:t>Ambu</w:t>
      </w:r>
      <w:proofErr w:type="spellEnd"/>
      <w:r>
        <w:rPr>
          <w:color w:val="231F20"/>
          <w:spacing w:val="-16"/>
        </w:rPr>
        <w:t xml:space="preserve"> </w:t>
      </w:r>
      <w:r>
        <w:rPr>
          <w:color w:val="231F20"/>
        </w:rPr>
        <w:t>Bags,</w:t>
      </w:r>
      <w:r>
        <w:rPr>
          <w:color w:val="231F20"/>
          <w:spacing w:val="-16"/>
        </w:rPr>
        <w:t xml:space="preserve"> </w:t>
      </w:r>
      <w:r>
        <w:rPr>
          <w:color w:val="231F20"/>
        </w:rPr>
        <w:t>Chlorhexidine</w:t>
      </w:r>
      <w:r>
        <w:rPr>
          <w:color w:val="231F20"/>
          <w:spacing w:val="-15"/>
        </w:rPr>
        <w:t xml:space="preserve"> </w:t>
      </w:r>
      <w:r>
        <w:rPr>
          <w:color w:val="231F20"/>
        </w:rPr>
        <w:t>Gels,</w:t>
      </w:r>
      <w:r>
        <w:rPr>
          <w:color w:val="231F20"/>
          <w:spacing w:val="-16"/>
        </w:rPr>
        <w:t xml:space="preserve"> </w:t>
      </w:r>
      <w:r>
        <w:rPr>
          <w:color w:val="231F20"/>
        </w:rPr>
        <w:t>Oxygen</w:t>
      </w:r>
      <w:r>
        <w:rPr>
          <w:color w:val="231F20"/>
          <w:spacing w:val="-16"/>
        </w:rPr>
        <w:t xml:space="preserve"> </w:t>
      </w:r>
      <w:r>
        <w:rPr>
          <w:color w:val="231F20"/>
        </w:rPr>
        <w:t>cylinders</w:t>
      </w:r>
      <w:r>
        <w:rPr>
          <w:color w:val="231F20"/>
          <w:spacing w:val="-16"/>
        </w:rPr>
        <w:t xml:space="preserve"> </w:t>
      </w:r>
      <w:proofErr w:type="spellStart"/>
      <w:r>
        <w:rPr>
          <w:color w:val="231F20"/>
          <w:spacing w:val="-3"/>
        </w:rPr>
        <w:t>etc</w:t>
      </w:r>
      <w:proofErr w:type="spellEnd"/>
      <w:r>
        <w:rPr>
          <w:color w:val="231F20"/>
          <w:spacing w:val="-3"/>
        </w:rPr>
        <w:t xml:space="preserve">) </w:t>
      </w:r>
      <w:r>
        <w:rPr>
          <w:color w:val="231F20"/>
        </w:rPr>
        <w:t>to all 350 HFs in the State; Train Health Workers (HWs) on use of procured equipment and commodities; Operating cost for engaging and supervising the contractor to provide logistics (vehicle)</w:t>
      </w:r>
      <w:r>
        <w:rPr>
          <w:color w:val="231F20"/>
          <w:spacing w:val="-26"/>
        </w:rPr>
        <w:t xml:space="preserve"> </w:t>
      </w:r>
      <w:r>
        <w:rPr>
          <w:color w:val="231F20"/>
        </w:rPr>
        <w:t>to</w:t>
      </w:r>
      <w:r>
        <w:rPr>
          <w:color w:val="231F20"/>
          <w:spacing w:val="-25"/>
        </w:rPr>
        <w:t xml:space="preserve"> </w:t>
      </w:r>
      <w:r>
        <w:rPr>
          <w:color w:val="231F20"/>
        </w:rPr>
        <w:t>strengthen</w:t>
      </w:r>
      <w:r>
        <w:rPr>
          <w:color w:val="231F20"/>
          <w:spacing w:val="-25"/>
        </w:rPr>
        <w:t xml:space="preserve"> </w:t>
      </w:r>
      <w:r>
        <w:rPr>
          <w:color w:val="231F20"/>
        </w:rPr>
        <w:t>the</w:t>
      </w:r>
      <w:r>
        <w:rPr>
          <w:color w:val="231F20"/>
          <w:spacing w:val="-25"/>
        </w:rPr>
        <w:t xml:space="preserve"> </w:t>
      </w:r>
      <w:r>
        <w:rPr>
          <w:color w:val="231F20"/>
        </w:rPr>
        <w:t>supply</w:t>
      </w:r>
      <w:r>
        <w:rPr>
          <w:color w:val="231F20"/>
          <w:spacing w:val="-25"/>
        </w:rPr>
        <w:t xml:space="preserve"> </w:t>
      </w:r>
      <w:r>
        <w:rPr>
          <w:color w:val="231F20"/>
        </w:rPr>
        <w:t>chain</w:t>
      </w:r>
      <w:r>
        <w:rPr>
          <w:color w:val="231F20"/>
          <w:spacing w:val="-25"/>
        </w:rPr>
        <w:t xml:space="preserve"> </w:t>
      </w:r>
      <w:r>
        <w:rPr>
          <w:color w:val="231F20"/>
        </w:rPr>
        <w:t>management</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life-saving</w:t>
      </w:r>
      <w:r>
        <w:rPr>
          <w:color w:val="231F20"/>
          <w:spacing w:val="-25"/>
        </w:rPr>
        <w:t xml:space="preserve"> </w:t>
      </w:r>
      <w:r>
        <w:rPr>
          <w:color w:val="231F20"/>
        </w:rPr>
        <w:t>commodities.</w:t>
      </w:r>
    </w:p>
    <w:p w14:paraId="52FF2BE5" w14:textId="77777777" w:rsidR="009948F1" w:rsidRDefault="009948F1">
      <w:pPr>
        <w:pStyle w:val="BodyText"/>
      </w:pPr>
    </w:p>
    <w:p w14:paraId="2243DF64" w14:textId="77777777" w:rsidR="009948F1" w:rsidRDefault="009948F1">
      <w:pPr>
        <w:pStyle w:val="BodyText"/>
        <w:spacing w:before="10"/>
      </w:pPr>
    </w:p>
    <w:p w14:paraId="20DDB8BA" w14:textId="77777777" w:rsidR="009948F1" w:rsidRDefault="00BC0563">
      <w:pPr>
        <w:pStyle w:val="ListParagraph"/>
        <w:numPr>
          <w:ilvl w:val="2"/>
          <w:numId w:val="293"/>
        </w:numPr>
        <w:tabs>
          <w:tab w:val="left" w:pos="901"/>
        </w:tabs>
        <w:spacing w:line="273" w:lineRule="auto"/>
        <w:ind w:left="311" w:right="582" w:firstLine="0"/>
        <w:jc w:val="left"/>
        <w:rPr>
          <w:b/>
          <w:color w:val="231F20"/>
          <w:sz w:val="21"/>
        </w:rPr>
      </w:pPr>
      <w:r>
        <w:rPr>
          <w:b/>
          <w:color w:val="231F20"/>
          <w:w w:val="105"/>
          <w:sz w:val="21"/>
        </w:rPr>
        <w:t>Strengthen prevention, treatment and rehabilitation services for fistula care in Rivers State</w:t>
      </w:r>
    </w:p>
    <w:p w14:paraId="7504704A" w14:textId="77777777" w:rsidR="009948F1" w:rsidRDefault="00BC0563">
      <w:pPr>
        <w:spacing w:before="3"/>
        <w:ind w:left="311"/>
        <w:rPr>
          <w:b/>
          <w:sz w:val="21"/>
        </w:rPr>
      </w:pPr>
      <w:r>
        <w:rPr>
          <w:b/>
          <w:color w:val="231F20"/>
          <w:w w:val="105"/>
          <w:sz w:val="21"/>
        </w:rPr>
        <w:t>Target</w:t>
      </w:r>
    </w:p>
    <w:p w14:paraId="4654B3FA" w14:textId="77777777" w:rsidR="009948F1" w:rsidRDefault="00BC0563">
      <w:pPr>
        <w:spacing w:before="34" w:after="5"/>
        <w:ind w:left="311"/>
        <w:rPr>
          <w:b/>
          <w:sz w:val="19"/>
        </w:rPr>
      </w:pPr>
      <w:r>
        <w:rPr>
          <w:b/>
          <w:color w:val="231F20"/>
          <w:w w:val="105"/>
          <w:sz w:val="19"/>
        </w:rPr>
        <w:t>Obstetrics Fistula</w:t>
      </w:r>
    </w:p>
    <w:tbl>
      <w:tblPr>
        <w:tblW w:w="0" w:type="auto"/>
        <w:tblInd w:w="2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78"/>
        <w:gridCol w:w="1183"/>
        <w:gridCol w:w="724"/>
        <w:gridCol w:w="726"/>
        <w:gridCol w:w="726"/>
        <w:gridCol w:w="726"/>
        <w:gridCol w:w="731"/>
        <w:gridCol w:w="1161"/>
      </w:tblGrid>
      <w:tr w:rsidR="009948F1" w14:paraId="6839ED30" w14:textId="77777777">
        <w:trPr>
          <w:trHeight w:val="194"/>
        </w:trPr>
        <w:tc>
          <w:tcPr>
            <w:tcW w:w="3078" w:type="dxa"/>
            <w:shd w:val="clear" w:color="auto" w:fill="F6ADCD"/>
          </w:tcPr>
          <w:p w14:paraId="3A8969A5" w14:textId="77777777" w:rsidR="009948F1" w:rsidRDefault="00BC0563">
            <w:pPr>
              <w:pStyle w:val="TableParagraph"/>
              <w:spacing w:line="175" w:lineRule="exact"/>
              <w:ind w:left="108"/>
              <w:rPr>
                <w:sz w:val="17"/>
              </w:rPr>
            </w:pPr>
            <w:r>
              <w:rPr>
                <w:color w:val="231F20"/>
                <w:w w:val="105"/>
                <w:sz w:val="17"/>
              </w:rPr>
              <w:t>Targets</w:t>
            </w:r>
          </w:p>
        </w:tc>
        <w:tc>
          <w:tcPr>
            <w:tcW w:w="1183" w:type="dxa"/>
            <w:shd w:val="clear" w:color="auto" w:fill="F6ADCD"/>
          </w:tcPr>
          <w:p w14:paraId="44A6A107" w14:textId="77777777" w:rsidR="009948F1" w:rsidRDefault="00BC0563">
            <w:pPr>
              <w:pStyle w:val="TableParagraph"/>
              <w:spacing w:line="175" w:lineRule="exact"/>
              <w:ind w:left="108"/>
              <w:rPr>
                <w:sz w:val="17"/>
              </w:rPr>
            </w:pPr>
            <w:r>
              <w:rPr>
                <w:color w:val="231F20"/>
                <w:w w:val="105"/>
                <w:sz w:val="17"/>
              </w:rPr>
              <w:t>Baseline</w:t>
            </w:r>
          </w:p>
        </w:tc>
        <w:tc>
          <w:tcPr>
            <w:tcW w:w="724" w:type="dxa"/>
            <w:shd w:val="clear" w:color="auto" w:fill="F6ADCD"/>
          </w:tcPr>
          <w:p w14:paraId="477C6B53" w14:textId="77777777" w:rsidR="009948F1" w:rsidRDefault="00BC0563">
            <w:pPr>
              <w:pStyle w:val="TableParagraph"/>
              <w:spacing w:line="175" w:lineRule="exact"/>
              <w:ind w:left="109"/>
              <w:rPr>
                <w:b/>
                <w:sz w:val="17"/>
              </w:rPr>
            </w:pPr>
            <w:r>
              <w:rPr>
                <w:b/>
                <w:color w:val="231F20"/>
                <w:w w:val="105"/>
                <w:sz w:val="17"/>
              </w:rPr>
              <w:t>2018</w:t>
            </w:r>
          </w:p>
        </w:tc>
        <w:tc>
          <w:tcPr>
            <w:tcW w:w="726" w:type="dxa"/>
            <w:shd w:val="clear" w:color="auto" w:fill="F6ADCD"/>
          </w:tcPr>
          <w:p w14:paraId="0B2E2A92" w14:textId="77777777" w:rsidR="009948F1" w:rsidRDefault="00BC0563">
            <w:pPr>
              <w:pStyle w:val="TableParagraph"/>
              <w:spacing w:line="175" w:lineRule="exact"/>
              <w:ind w:left="109"/>
              <w:rPr>
                <w:b/>
                <w:sz w:val="17"/>
              </w:rPr>
            </w:pPr>
            <w:r>
              <w:rPr>
                <w:b/>
                <w:color w:val="231F20"/>
                <w:w w:val="105"/>
                <w:sz w:val="17"/>
              </w:rPr>
              <w:t>2019</w:t>
            </w:r>
          </w:p>
        </w:tc>
        <w:tc>
          <w:tcPr>
            <w:tcW w:w="726" w:type="dxa"/>
            <w:shd w:val="clear" w:color="auto" w:fill="F6ADCD"/>
          </w:tcPr>
          <w:p w14:paraId="0523C73C" w14:textId="77777777" w:rsidR="009948F1" w:rsidRDefault="00BC0563">
            <w:pPr>
              <w:pStyle w:val="TableParagraph"/>
              <w:spacing w:line="175" w:lineRule="exact"/>
              <w:ind w:left="110"/>
              <w:rPr>
                <w:b/>
                <w:sz w:val="17"/>
              </w:rPr>
            </w:pPr>
            <w:r>
              <w:rPr>
                <w:b/>
                <w:color w:val="231F20"/>
                <w:w w:val="105"/>
                <w:sz w:val="17"/>
              </w:rPr>
              <w:t>2020</w:t>
            </w:r>
          </w:p>
        </w:tc>
        <w:tc>
          <w:tcPr>
            <w:tcW w:w="726" w:type="dxa"/>
            <w:shd w:val="clear" w:color="auto" w:fill="F6ADCD"/>
          </w:tcPr>
          <w:p w14:paraId="489EF202" w14:textId="77777777" w:rsidR="009948F1" w:rsidRDefault="00BC0563">
            <w:pPr>
              <w:pStyle w:val="TableParagraph"/>
              <w:spacing w:line="175" w:lineRule="exact"/>
              <w:ind w:left="110"/>
              <w:rPr>
                <w:b/>
                <w:sz w:val="17"/>
              </w:rPr>
            </w:pPr>
            <w:r>
              <w:rPr>
                <w:b/>
                <w:color w:val="231F20"/>
                <w:w w:val="105"/>
                <w:sz w:val="17"/>
              </w:rPr>
              <w:t>2021</w:t>
            </w:r>
          </w:p>
        </w:tc>
        <w:tc>
          <w:tcPr>
            <w:tcW w:w="731" w:type="dxa"/>
            <w:shd w:val="clear" w:color="auto" w:fill="F6ADCD"/>
          </w:tcPr>
          <w:p w14:paraId="14B70CD2" w14:textId="77777777" w:rsidR="009948F1" w:rsidRDefault="00BC0563">
            <w:pPr>
              <w:pStyle w:val="TableParagraph"/>
              <w:spacing w:line="175" w:lineRule="exact"/>
              <w:ind w:left="111"/>
              <w:rPr>
                <w:b/>
                <w:sz w:val="17"/>
              </w:rPr>
            </w:pPr>
            <w:r>
              <w:rPr>
                <w:b/>
                <w:color w:val="231F20"/>
                <w:w w:val="105"/>
                <w:sz w:val="17"/>
              </w:rPr>
              <w:t>2022</w:t>
            </w:r>
          </w:p>
        </w:tc>
        <w:tc>
          <w:tcPr>
            <w:tcW w:w="1161" w:type="dxa"/>
            <w:shd w:val="clear" w:color="auto" w:fill="F6ADCD"/>
          </w:tcPr>
          <w:p w14:paraId="4D73A2D0" w14:textId="77777777" w:rsidR="009948F1" w:rsidRDefault="00BC0563">
            <w:pPr>
              <w:pStyle w:val="TableParagraph"/>
              <w:spacing w:line="175" w:lineRule="exact"/>
              <w:ind w:left="112"/>
              <w:rPr>
                <w:b/>
                <w:sz w:val="17"/>
              </w:rPr>
            </w:pPr>
            <w:r>
              <w:rPr>
                <w:b/>
                <w:color w:val="231F20"/>
                <w:w w:val="105"/>
                <w:sz w:val="17"/>
              </w:rPr>
              <w:t>National</w:t>
            </w:r>
          </w:p>
        </w:tc>
      </w:tr>
      <w:tr w:rsidR="009948F1" w14:paraId="4AAD8972" w14:textId="77777777">
        <w:trPr>
          <w:trHeight w:val="194"/>
        </w:trPr>
        <w:tc>
          <w:tcPr>
            <w:tcW w:w="3078" w:type="dxa"/>
          </w:tcPr>
          <w:p w14:paraId="114D2C4C" w14:textId="77777777" w:rsidR="009948F1" w:rsidRDefault="00BC0563">
            <w:pPr>
              <w:pStyle w:val="TableParagraph"/>
              <w:spacing w:line="175" w:lineRule="exact"/>
              <w:ind w:left="108"/>
              <w:rPr>
                <w:sz w:val="17"/>
              </w:rPr>
            </w:pPr>
            <w:r>
              <w:rPr>
                <w:color w:val="231F20"/>
                <w:w w:val="105"/>
                <w:sz w:val="17"/>
              </w:rPr>
              <w:t>Incidence of obstetrics fistula</w:t>
            </w:r>
          </w:p>
        </w:tc>
        <w:tc>
          <w:tcPr>
            <w:tcW w:w="1183" w:type="dxa"/>
          </w:tcPr>
          <w:p w14:paraId="58A91BA0" w14:textId="77777777" w:rsidR="009948F1" w:rsidRDefault="00BC0563">
            <w:pPr>
              <w:pStyle w:val="TableParagraph"/>
              <w:spacing w:line="175" w:lineRule="exact"/>
              <w:ind w:left="108"/>
              <w:rPr>
                <w:sz w:val="17"/>
              </w:rPr>
            </w:pPr>
            <w:r>
              <w:rPr>
                <w:color w:val="231F20"/>
                <w:w w:val="105"/>
                <w:sz w:val="17"/>
              </w:rPr>
              <w:t>TBD</w:t>
            </w:r>
          </w:p>
        </w:tc>
        <w:tc>
          <w:tcPr>
            <w:tcW w:w="724" w:type="dxa"/>
          </w:tcPr>
          <w:p w14:paraId="6A95B5EB" w14:textId="77777777" w:rsidR="009948F1" w:rsidRDefault="00BC0563">
            <w:pPr>
              <w:pStyle w:val="TableParagraph"/>
              <w:spacing w:line="175" w:lineRule="exact"/>
              <w:ind w:left="109"/>
              <w:rPr>
                <w:sz w:val="17"/>
              </w:rPr>
            </w:pPr>
            <w:r>
              <w:rPr>
                <w:color w:val="231F20"/>
                <w:w w:val="105"/>
                <w:sz w:val="17"/>
              </w:rPr>
              <w:t>5%</w:t>
            </w:r>
          </w:p>
        </w:tc>
        <w:tc>
          <w:tcPr>
            <w:tcW w:w="726" w:type="dxa"/>
          </w:tcPr>
          <w:p w14:paraId="0C70EEB0" w14:textId="77777777" w:rsidR="009948F1" w:rsidRDefault="00BC0563">
            <w:pPr>
              <w:pStyle w:val="TableParagraph"/>
              <w:spacing w:line="175" w:lineRule="exact"/>
              <w:ind w:left="109"/>
              <w:rPr>
                <w:sz w:val="17"/>
              </w:rPr>
            </w:pPr>
            <w:r>
              <w:rPr>
                <w:color w:val="231F20"/>
                <w:w w:val="105"/>
                <w:sz w:val="17"/>
              </w:rPr>
              <w:t>4%</w:t>
            </w:r>
          </w:p>
        </w:tc>
        <w:tc>
          <w:tcPr>
            <w:tcW w:w="726" w:type="dxa"/>
          </w:tcPr>
          <w:p w14:paraId="63818225" w14:textId="77777777" w:rsidR="009948F1" w:rsidRDefault="00BC0563">
            <w:pPr>
              <w:pStyle w:val="TableParagraph"/>
              <w:spacing w:line="175" w:lineRule="exact"/>
              <w:ind w:left="110"/>
              <w:rPr>
                <w:sz w:val="17"/>
              </w:rPr>
            </w:pPr>
            <w:r>
              <w:rPr>
                <w:color w:val="231F20"/>
                <w:w w:val="105"/>
                <w:sz w:val="17"/>
              </w:rPr>
              <w:t>3%</w:t>
            </w:r>
          </w:p>
        </w:tc>
        <w:tc>
          <w:tcPr>
            <w:tcW w:w="726" w:type="dxa"/>
          </w:tcPr>
          <w:p w14:paraId="7A6AA5B9" w14:textId="77777777" w:rsidR="009948F1" w:rsidRDefault="00BC0563">
            <w:pPr>
              <w:pStyle w:val="TableParagraph"/>
              <w:spacing w:line="175" w:lineRule="exact"/>
              <w:ind w:left="110"/>
              <w:rPr>
                <w:sz w:val="17"/>
              </w:rPr>
            </w:pPr>
            <w:r>
              <w:rPr>
                <w:color w:val="231F20"/>
                <w:w w:val="105"/>
                <w:sz w:val="17"/>
              </w:rPr>
              <w:t>2%</w:t>
            </w:r>
          </w:p>
        </w:tc>
        <w:tc>
          <w:tcPr>
            <w:tcW w:w="731" w:type="dxa"/>
          </w:tcPr>
          <w:p w14:paraId="686493B4" w14:textId="77777777" w:rsidR="009948F1" w:rsidRDefault="00BC0563">
            <w:pPr>
              <w:pStyle w:val="TableParagraph"/>
              <w:spacing w:line="175" w:lineRule="exact"/>
              <w:ind w:left="111"/>
              <w:rPr>
                <w:sz w:val="17"/>
              </w:rPr>
            </w:pPr>
            <w:r>
              <w:rPr>
                <w:color w:val="231F20"/>
                <w:w w:val="105"/>
                <w:sz w:val="17"/>
              </w:rPr>
              <w:t>1%</w:t>
            </w:r>
          </w:p>
        </w:tc>
        <w:tc>
          <w:tcPr>
            <w:tcW w:w="1161" w:type="dxa"/>
          </w:tcPr>
          <w:p w14:paraId="75835700" w14:textId="77777777" w:rsidR="009948F1" w:rsidRDefault="00BC0563">
            <w:pPr>
              <w:pStyle w:val="TableParagraph"/>
              <w:spacing w:line="175" w:lineRule="exact"/>
              <w:ind w:left="112"/>
              <w:rPr>
                <w:sz w:val="17"/>
              </w:rPr>
            </w:pPr>
            <w:r>
              <w:rPr>
                <w:color w:val="231F20"/>
                <w:w w:val="105"/>
                <w:sz w:val="17"/>
              </w:rPr>
              <w:t>50%</w:t>
            </w:r>
          </w:p>
        </w:tc>
      </w:tr>
      <w:tr w:rsidR="009948F1" w14:paraId="53ACFC4D" w14:textId="77777777">
        <w:trPr>
          <w:trHeight w:val="588"/>
        </w:trPr>
        <w:tc>
          <w:tcPr>
            <w:tcW w:w="3078" w:type="dxa"/>
          </w:tcPr>
          <w:p w14:paraId="7E7EAA5C" w14:textId="77777777" w:rsidR="009948F1" w:rsidRDefault="00BC0563">
            <w:pPr>
              <w:pStyle w:val="TableParagraph"/>
              <w:spacing w:before="1" w:line="190" w:lineRule="atLeast"/>
              <w:ind w:left="108" w:right="112"/>
              <w:rPr>
                <w:sz w:val="17"/>
              </w:rPr>
            </w:pPr>
            <w:r>
              <w:rPr>
                <w:color w:val="231F20"/>
                <w:w w:val="105"/>
                <w:sz w:val="17"/>
              </w:rPr>
              <w:t>Percentage of treated obstetric fistula cases re -integrated into their communities</w:t>
            </w:r>
          </w:p>
        </w:tc>
        <w:tc>
          <w:tcPr>
            <w:tcW w:w="1183" w:type="dxa"/>
          </w:tcPr>
          <w:p w14:paraId="5C5A845B" w14:textId="77777777" w:rsidR="009948F1" w:rsidRDefault="00BC0563">
            <w:pPr>
              <w:pStyle w:val="TableParagraph"/>
              <w:spacing w:before="1"/>
              <w:ind w:left="108"/>
              <w:rPr>
                <w:sz w:val="17"/>
              </w:rPr>
            </w:pPr>
            <w:r>
              <w:rPr>
                <w:color w:val="231F20"/>
                <w:w w:val="105"/>
                <w:sz w:val="17"/>
              </w:rPr>
              <w:t>TBD</w:t>
            </w:r>
          </w:p>
        </w:tc>
        <w:tc>
          <w:tcPr>
            <w:tcW w:w="724" w:type="dxa"/>
          </w:tcPr>
          <w:p w14:paraId="1794777E" w14:textId="77777777" w:rsidR="009948F1" w:rsidRDefault="00BC0563">
            <w:pPr>
              <w:pStyle w:val="TableParagraph"/>
              <w:spacing w:before="1"/>
              <w:ind w:left="109"/>
              <w:rPr>
                <w:sz w:val="17"/>
              </w:rPr>
            </w:pPr>
            <w:r>
              <w:rPr>
                <w:color w:val="231F20"/>
                <w:w w:val="105"/>
                <w:sz w:val="17"/>
              </w:rPr>
              <w:t>50%</w:t>
            </w:r>
          </w:p>
        </w:tc>
        <w:tc>
          <w:tcPr>
            <w:tcW w:w="726" w:type="dxa"/>
          </w:tcPr>
          <w:p w14:paraId="35B8EDD9" w14:textId="77777777" w:rsidR="009948F1" w:rsidRDefault="00BC0563">
            <w:pPr>
              <w:pStyle w:val="TableParagraph"/>
              <w:spacing w:before="1"/>
              <w:ind w:left="109"/>
              <w:rPr>
                <w:sz w:val="17"/>
              </w:rPr>
            </w:pPr>
            <w:r>
              <w:rPr>
                <w:color w:val="231F20"/>
                <w:w w:val="105"/>
                <w:sz w:val="17"/>
              </w:rPr>
              <w:t>60%</w:t>
            </w:r>
          </w:p>
        </w:tc>
        <w:tc>
          <w:tcPr>
            <w:tcW w:w="726" w:type="dxa"/>
          </w:tcPr>
          <w:p w14:paraId="128965D7" w14:textId="77777777" w:rsidR="009948F1" w:rsidRDefault="00BC0563">
            <w:pPr>
              <w:pStyle w:val="TableParagraph"/>
              <w:spacing w:before="1"/>
              <w:ind w:left="110"/>
              <w:rPr>
                <w:sz w:val="17"/>
              </w:rPr>
            </w:pPr>
            <w:r>
              <w:rPr>
                <w:color w:val="231F20"/>
                <w:w w:val="105"/>
                <w:sz w:val="17"/>
              </w:rPr>
              <w:t>70%</w:t>
            </w:r>
          </w:p>
        </w:tc>
        <w:tc>
          <w:tcPr>
            <w:tcW w:w="726" w:type="dxa"/>
          </w:tcPr>
          <w:p w14:paraId="3C14B1F0" w14:textId="77777777" w:rsidR="009948F1" w:rsidRDefault="00BC0563">
            <w:pPr>
              <w:pStyle w:val="TableParagraph"/>
              <w:spacing w:before="1"/>
              <w:ind w:left="110"/>
              <w:rPr>
                <w:sz w:val="17"/>
              </w:rPr>
            </w:pPr>
            <w:r>
              <w:rPr>
                <w:color w:val="231F20"/>
                <w:w w:val="105"/>
                <w:sz w:val="17"/>
              </w:rPr>
              <w:t>80%</w:t>
            </w:r>
          </w:p>
        </w:tc>
        <w:tc>
          <w:tcPr>
            <w:tcW w:w="731" w:type="dxa"/>
          </w:tcPr>
          <w:p w14:paraId="00FB0CF2" w14:textId="77777777" w:rsidR="009948F1" w:rsidRDefault="00BC0563">
            <w:pPr>
              <w:pStyle w:val="TableParagraph"/>
              <w:spacing w:before="1"/>
              <w:ind w:left="111"/>
              <w:rPr>
                <w:sz w:val="17"/>
              </w:rPr>
            </w:pPr>
            <w:r>
              <w:rPr>
                <w:color w:val="231F20"/>
                <w:w w:val="105"/>
                <w:sz w:val="17"/>
              </w:rPr>
              <w:t>90%</w:t>
            </w:r>
          </w:p>
        </w:tc>
        <w:tc>
          <w:tcPr>
            <w:tcW w:w="1161" w:type="dxa"/>
          </w:tcPr>
          <w:p w14:paraId="3A2C61B4" w14:textId="77777777" w:rsidR="009948F1" w:rsidRDefault="00BC0563">
            <w:pPr>
              <w:pStyle w:val="TableParagraph"/>
              <w:spacing w:before="1" w:line="190" w:lineRule="atLeast"/>
              <w:ind w:left="112" w:right="96"/>
              <w:rPr>
                <w:sz w:val="17"/>
              </w:rPr>
            </w:pPr>
            <w:r>
              <w:rPr>
                <w:color w:val="231F20"/>
                <w:w w:val="105"/>
                <w:sz w:val="17"/>
              </w:rPr>
              <w:t>Increase by 50% from baseline</w:t>
            </w:r>
          </w:p>
        </w:tc>
      </w:tr>
      <w:tr w:rsidR="009948F1" w14:paraId="73266D71" w14:textId="77777777">
        <w:trPr>
          <w:trHeight w:val="588"/>
        </w:trPr>
        <w:tc>
          <w:tcPr>
            <w:tcW w:w="3078" w:type="dxa"/>
          </w:tcPr>
          <w:p w14:paraId="2E57E6F9" w14:textId="77777777" w:rsidR="009948F1" w:rsidRDefault="00BC0563">
            <w:pPr>
              <w:pStyle w:val="TableParagraph"/>
              <w:spacing w:before="1"/>
              <w:ind w:left="108"/>
              <w:rPr>
                <w:sz w:val="17"/>
              </w:rPr>
            </w:pPr>
            <w:r>
              <w:rPr>
                <w:color w:val="231F20"/>
                <w:w w:val="105"/>
                <w:sz w:val="17"/>
              </w:rPr>
              <w:t>Reduce backlog of obstetric fistula cases by 30% (from 150,000 to</w:t>
            </w:r>
          </w:p>
          <w:p w14:paraId="7D449F7E" w14:textId="77777777" w:rsidR="009948F1" w:rsidRDefault="00BC0563">
            <w:pPr>
              <w:pStyle w:val="TableParagraph"/>
              <w:spacing w:before="1" w:line="175" w:lineRule="exact"/>
              <w:ind w:left="108"/>
              <w:rPr>
                <w:sz w:val="17"/>
              </w:rPr>
            </w:pPr>
            <w:r>
              <w:rPr>
                <w:color w:val="231F20"/>
                <w:w w:val="105"/>
                <w:sz w:val="17"/>
              </w:rPr>
              <w:t>105,000)</w:t>
            </w:r>
          </w:p>
        </w:tc>
        <w:tc>
          <w:tcPr>
            <w:tcW w:w="1183" w:type="dxa"/>
          </w:tcPr>
          <w:p w14:paraId="4CA79816" w14:textId="77777777" w:rsidR="009948F1" w:rsidRDefault="00BC0563">
            <w:pPr>
              <w:pStyle w:val="TableParagraph"/>
              <w:spacing w:before="1"/>
              <w:ind w:left="108"/>
              <w:rPr>
                <w:sz w:val="17"/>
              </w:rPr>
            </w:pPr>
            <w:r>
              <w:rPr>
                <w:color w:val="231F20"/>
                <w:w w:val="105"/>
                <w:sz w:val="17"/>
              </w:rPr>
              <w:t>TBD</w:t>
            </w:r>
          </w:p>
        </w:tc>
        <w:tc>
          <w:tcPr>
            <w:tcW w:w="724" w:type="dxa"/>
          </w:tcPr>
          <w:p w14:paraId="548272CF" w14:textId="77777777" w:rsidR="009948F1" w:rsidRDefault="00BC0563">
            <w:pPr>
              <w:pStyle w:val="TableParagraph"/>
              <w:spacing w:before="1"/>
              <w:ind w:left="109"/>
              <w:rPr>
                <w:sz w:val="17"/>
              </w:rPr>
            </w:pPr>
            <w:r>
              <w:rPr>
                <w:color w:val="231F20"/>
                <w:w w:val="105"/>
                <w:sz w:val="17"/>
              </w:rPr>
              <w:t>5%</w:t>
            </w:r>
          </w:p>
        </w:tc>
        <w:tc>
          <w:tcPr>
            <w:tcW w:w="726" w:type="dxa"/>
          </w:tcPr>
          <w:p w14:paraId="2B7B61D7" w14:textId="77777777" w:rsidR="009948F1" w:rsidRDefault="00BC0563">
            <w:pPr>
              <w:pStyle w:val="TableParagraph"/>
              <w:spacing w:before="1"/>
              <w:ind w:left="109"/>
              <w:rPr>
                <w:sz w:val="17"/>
              </w:rPr>
            </w:pPr>
            <w:r>
              <w:rPr>
                <w:color w:val="231F20"/>
                <w:w w:val="105"/>
                <w:sz w:val="17"/>
              </w:rPr>
              <w:t>10%</w:t>
            </w:r>
          </w:p>
        </w:tc>
        <w:tc>
          <w:tcPr>
            <w:tcW w:w="726" w:type="dxa"/>
          </w:tcPr>
          <w:p w14:paraId="37654B80" w14:textId="77777777" w:rsidR="009948F1" w:rsidRDefault="00BC0563">
            <w:pPr>
              <w:pStyle w:val="TableParagraph"/>
              <w:spacing w:before="1"/>
              <w:ind w:left="110"/>
              <w:rPr>
                <w:sz w:val="17"/>
              </w:rPr>
            </w:pPr>
            <w:r>
              <w:rPr>
                <w:color w:val="231F20"/>
                <w:w w:val="105"/>
                <w:sz w:val="17"/>
              </w:rPr>
              <w:t>15%</w:t>
            </w:r>
          </w:p>
        </w:tc>
        <w:tc>
          <w:tcPr>
            <w:tcW w:w="726" w:type="dxa"/>
          </w:tcPr>
          <w:p w14:paraId="440E3189" w14:textId="77777777" w:rsidR="009948F1" w:rsidRDefault="00BC0563">
            <w:pPr>
              <w:pStyle w:val="TableParagraph"/>
              <w:spacing w:before="1"/>
              <w:ind w:left="110"/>
              <w:rPr>
                <w:sz w:val="17"/>
              </w:rPr>
            </w:pPr>
            <w:r>
              <w:rPr>
                <w:color w:val="231F20"/>
                <w:w w:val="105"/>
                <w:sz w:val="17"/>
              </w:rPr>
              <w:t>20%</w:t>
            </w:r>
          </w:p>
        </w:tc>
        <w:tc>
          <w:tcPr>
            <w:tcW w:w="731" w:type="dxa"/>
          </w:tcPr>
          <w:p w14:paraId="6F8F2BE9" w14:textId="77777777" w:rsidR="009948F1" w:rsidRDefault="00BC0563">
            <w:pPr>
              <w:pStyle w:val="TableParagraph"/>
              <w:spacing w:before="1"/>
              <w:ind w:left="111"/>
              <w:rPr>
                <w:sz w:val="17"/>
              </w:rPr>
            </w:pPr>
            <w:r>
              <w:rPr>
                <w:color w:val="231F20"/>
                <w:w w:val="105"/>
                <w:sz w:val="17"/>
              </w:rPr>
              <w:t>25%</w:t>
            </w:r>
          </w:p>
        </w:tc>
        <w:tc>
          <w:tcPr>
            <w:tcW w:w="1161" w:type="dxa"/>
          </w:tcPr>
          <w:p w14:paraId="62946CFF" w14:textId="77777777" w:rsidR="009948F1" w:rsidRDefault="00BC0563">
            <w:pPr>
              <w:pStyle w:val="TableParagraph"/>
              <w:spacing w:before="1"/>
              <w:ind w:left="112" w:right="304"/>
              <w:rPr>
                <w:sz w:val="17"/>
              </w:rPr>
            </w:pPr>
            <w:r>
              <w:rPr>
                <w:color w:val="231F20"/>
                <w:w w:val="105"/>
                <w:sz w:val="17"/>
              </w:rPr>
              <w:t>Reduced by 30%</w:t>
            </w:r>
          </w:p>
        </w:tc>
      </w:tr>
    </w:tbl>
    <w:p w14:paraId="24417D17" w14:textId="77777777" w:rsidR="009948F1" w:rsidRDefault="009948F1">
      <w:pPr>
        <w:rPr>
          <w:sz w:val="17"/>
        </w:rPr>
        <w:sectPr w:rsidR="009948F1">
          <w:pgSz w:w="11910" w:h="16840"/>
          <w:pgMar w:top="1200" w:right="1080" w:bottom="1420" w:left="1120" w:header="0" w:footer="1235" w:gutter="0"/>
          <w:cols w:space="720"/>
        </w:sectPr>
      </w:pPr>
    </w:p>
    <w:p w14:paraId="7F68AAB3" w14:textId="77777777" w:rsidR="009948F1" w:rsidRDefault="00BC0563">
      <w:pPr>
        <w:pStyle w:val="Heading7"/>
        <w:spacing w:before="42"/>
        <w:ind w:left="197"/>
      </w:pPr>
      <w:bookmarkStart w:id="63" w:name="Page_49"/>
      <w:bookmarkEnd w:id="63"/>
      <w:r>
        <w:rPr>
          <w:color w:val="231F20"/>
        </w:rPr>
        <w:lastRenderedPageBreak/>
        <w:t>Interventions</w:t>
      </w:r>
    </w:p>
    <w:p w14:paraId="6D69A2F0" w14:textId="77777777" w:rsidR="009948F1" w:rsidRDefault="00BC0563">
      <w:pPr>
        <w:pStyle w:val="ListParagraph"/>
        <w:numPr>
          <w:ilvl w:val="3"/>
          <w:numId w:val="290"/>
        </w:numPr>
        <w:tabs>
          <w:tab w:val="left" w:pos="931"/>
        </w:tabs>
        <w:spacing w:before="55" w:line="292" w:lineRule="auto"/>
        <w:ind w:right="179" w:firstLine="0"/>
      </w:pPr>
      <w:r>
        <w:rPr>
          <w:color w:val="231F20"/>
        </w:rPr>
        <w:t xml:space="preserve">Promote Obstetric Fistula (OF) preventive interventions. Key actions include; train </w:t>
      </w:r>
      <w:r>
        <w:rPr>
          <w:color w:val="231F20"/>
          <w:spacing w:val="-3"/>
        </w:rPr>
        <w:t xml:space="preserve">health </w:t>
      </w:r>
      <w:r>
        <w:rPr>
          <w:color w:val="231F20"/>
        </w:rPr>
        <w:t xml:space="preserve">workers on catheterization in prolonged obstructed </w:t>
      </w:r>
      <w:proofErr w:type="spellStart"/>
      <w:r>
        <w:rPr>
          <w:color w:val="231F20"/>
        </w:rPr>
        <w:t>labour</w:t>
      </w:r>
      <w:proofErr w:type="spellEnd"/>
      <w:r>
        <w:rPr>
          <w:color w:val="231F20"/>
        </w:rPr>
        <w:t>. Collaboration meetings with other sectors</w:t>
      </w:r>
      <w:r>
        <w:rPr>
          <w:color w:val="231F20"/>
          <w:spacing w:val="-24"/>
        </w:rPr>
        <w:t xml:space="preserve"> </w:t>
      </w:r>
      <w:r>
        <w:rPr>
          <w:color w:val="231F20"/>
        </w:rPr>
        <w:t>to</w:t>
      </w:r>
      <w:r>
        <w:rPr>
          <w:color w:val="231F20"/>
          <w:spacing w:val="-23"/>
        </w:rPr>
        <w:t xml:space="preserve"> </w:t>
      </w:r>
      <w:r>
        <w:rPr>
          <w:color w:val="231F20"/>
        </w:rPr>
        <w:t>address</w:t>
      </w:r>
      <w:r>
        <w:rPr>
          <w:color w:val="231F20"/>
          <w:spacing w:val="-23"/>
        </w:rPr>
        <w:t xml:space="preserve"> </w:t>
      </w:r>
      <w:r>
        <w:rPr>
          <w:color w:val="231F20"/>
        </w:rPr>
        <w:t>the</w:t>
      </w:r>
      <w:r>
        <w:rPr>
          <w:color w:val="231F20"/>
          <w:spacing w:val="-23"/>
        </w:rPr>
        <w:t xml:space="preserve"> </w:t>
      </w:r>
      <w:r>
        <w:rPr>
          <w:color w:val="231F20"/>
        </w:rPr>
        <w:t>determinants</w:t>
      </w:r>
      <w:r>
        <w:rPr>
          <w:color w:val="231F20"/>
          <w:spacing w:val="-23"/>
        </w:rPr>
        <w:t xml:space="preserve"> </w:t>
      </w:r>
      <w:r>
        <w:rPr>
          <w:color w:val="231F20"/>
        </w:rPr>
        <w:t>of</w:t>
      </w:r>
      <w:r>
        <w:rPr>
          <w:color w:val="231F20"/>
          <w:spacing w:val="-23"/>
        </w:rPr>
        <w:t xml:space="preserve"> </w:t>
      </w:r>
      <w:r>
        <w:rPr>
          <w:color w:val="231F20"/>
        </w:rPr>
        <w:t>obstetrics</w:t>
      </w:r>
      <w:r>
        <w:rPr>
          <w:color w:val="231F20"/>
          <w:spacing w:val="-23"/>
        </w:rPr>
        <w:t xml:space="preserve"> </w:t>
      </w:r>
      <w:r>
        <w:rPr>
          <w:color w:val="231F20"/>
        </w:rPr>
        <w:t>fistula.</w:t>
      </w:r>
      <w:r>
        <w:rPr>
          <w:color w:val="231F20"/>
          <w:spacing w:val="-23"/>
        </w:rPr>
        <w:t xml:space="preserve"> </w:t>
      </w:r>
      <w:r>
        <w:rPr>
          <w:color w:val="231F20"/>
        </w:rPr>
        <w:t>Monitor</w:t>
      </w:r>
      <w:r>
        <w:rPr>
          <w:color w:val="231F20"/>
          <w:spacing w:val="-23"/>
        </w:rPr>
        <w:t xml:space="preserve"> </w:t>
      </w:r>
      <w:r>
        <w:rPr>
          <w:color w:val="231F20"/>
        </w:rPr>
        <w:t>and</w:t>
      </w:r>
      <w:r>
        <w:rPr>
          <w:color w:val="231F20"/>
          <w:spacing w:val="-24"/>
        </w:rPr>
        <w:t xml:space="preserve"> </w:t>
      </w:r>
      <w:r>
        <w:rPr>
          <w:color w:val="231F20"/>
        </w:rPr>
        <w:t>enforce</w:t>
      </w:r>
      <w:r>
        <w:rPr>
          <w:color w:val="231F20"/>
          <w:spacing w:val="-23"/>
        </w:rPr>
        <w:t xml:space="preserve"> </w:t>
      </w:r>
      <w:r>
        <w:rPr>
          <w:color w:val="231F20"/>
        </w:rPr>
        <w:t>use</w:t>
      </w:r>
      <w:r>
        <w:rPr>
          <w:color w:val="231F20"/>
          <w:spacing w:val="-23"/>
        </w:rPr>
        <w:t xml:space="preserve"> </w:t>
      </w:r>
      <w:r>
        <w:rPr>
          <w:color w:val="231F20"/>
        </w:rPr>
        <w:t>of</w:t>
      </w:r>
      <w:r>
        <w:rPr>
          <w:color w:val="231F20"/>
          <w:spacing w:val="-23"/>
        </w:rPr>
        <w:t xml:space="preserve"> </w:t>
      </w:r>
      <w:r>
        <w:rPr>
          <w:color w:val="231F20"/>
        </w:rPr>
        <w:t>catheterization in</w:t>
      </w:r>
      <w:r>
        <w:rPr>
          <w:color w:val="231F20"/>
          <w:spacing w:val="-26"/>
        </w:rPr>
        <w:t xml:space="preserve"> </w:t>
      </w:r>
      <w:r>
        <w:rPr>
          <w:color w:val="231F20"/>
        </w:rPr>
        <w:t>prolonged</w:t>
      </w:r>
      <w:r>
        <w:rPr>
          <w:color w:val="231F20"/>
          <w:spacing w:val="-25"/>
        </w:rPr>
        <w:t xml:space="preserve"> </w:t>
      </w:r>
      <w:r>
        <w:rPr>
          <w:color w:val="231F20"/>
        </w:rPr>
        <w:t>obstructed</w:t>
      </w:r>
      <w:r>
        <w:rPr>
          <w:color w:val="231F20"/>
          <w:spacing w:val="-25"/>
        </w:rPr>
        <w:t xml:space="preserve"> </w:t>
      </w:r>
      <w:proofErr w:type="spellStart"/>
      <w:r>
        <w:rPr>
          <w:color w:val="231F20"/>
        </w:rPr>
        <w:t>labour</w:t>
      </w:r>
      <w:proofErr w:type="spellEnd"/>
      <w:r>
        <w:rPr>
          <w:color w:val="231F20"/>
        </w:rPr>
        <w:t>.</w:t>
      </w:r>
    </w:p>
    <w:p w14:paraId="089CD298" w14:textId="77777777" w:rsidR="009948F1" w:rsidRDefault="009948F1">
      <w:pPr>
        <w:pStyle w:val="BodyText"/>
        <w:spacing w:before="7"/>
        <w:rPr>
          <w:sz w:val="26"/>
        </w:rPr>
      </w:pPr>
    </w:p>
    <w:p w14:paraId="0347B902" w14:textId="563ACE9E" w:rsidR="009948F1" w:rsidRDefault="00F84A0F">
      <w:pPr>
        <w:pStyle w:val="ListParagraph"/>
        <w:numPr>
          <w:ilvl w:val="3"/>
          <w:numId w:val="290"/>
        </w:numPr>
        <w:tabs>
          <w:tab w:val="left" w:pos="1077"/>
        </w:tabs>
        <w:spacing w:line="292" w:lineRule="auto"/>
        <w:ind w:right="180" w:firstLine="0"/>
      </w:pPr>
      <w:r>
        <w:rPr>
          <w:color w:val="231F20"/>
          <w:spacing w:val="2"/>
        </w:rPr>
        <w:t>Strengthen</w:t>
      </w:r>
      <w:r w:rsidR="00BC0563">
        <w:rPr>
          <w:color w:val="231F20"/>
          <w:spacing w:val="2"/>
        </w:rPr>
        <w:t xml:space="preserve">/expand services </w:t>
      </w:r>
      <w:r w:rsidR="00BC0563">
        <w:rPr>
          <w:color w:val="231F20"/>
        </w:rPr>
        <w:t xml:space="preserve">for </w:t>
      </w:r>
      <w:r w:rsidR="00BC0563">
        <w:rPr>
          <w:color w:val="231F20"/>
          <w:spacing w:val="2"/>
        </w:rPr>
        <w:t xml:space="preserve">treatment </w:t>
      </w:r>
      <w:r w:rsidR="00BC0563">
        <w:rPr>
          <w:color w:val="231F20"/>
        </w:rPr>
        <w:t xml:space="preserve">of </w:t>
      </w:r>
      <w:r w:rsidR="00BC0563">
        <w:rPr>
          <w:color w:val="231F20"/>
          <w:spacing w:val="2"/>
        </w:rPr>
        <w:t xml:space="preserve">obstetric fistula. </w:t>
      </w:r>
      <w:r w:rsidR="00BC0563">
        <w:rPr>
          <w:color w:val="231F20"/>
        </w:rPr>
        <w:t xml:space="preserve">Key </w:t>
      </w:r>
      <w:r w:rsidR="00BC0563">
        <w:rPr>
          <w:color w:val="231F20"/>
          <w:spacing w:val="2"/>
        </w:rPr>
        <w:t xml:space="preserve">actions </w:t>
      </w:r>
      <w:r w:rsidR="00BC0563">
        <w:rPr>
          <w:color w:val="231F20"/>
        </w:rPr>
        <w:t>include;</w:t>
      </w:r>
      <w:r>
        <w:rPr>
          <w:color w:val="231F20"/>
        </w:rPr>
        <w:t xml:space="preserve"> </w:t>
      </w:r>
      <w:r w:rsidR="00BC0563">
        <w:rPr>
          <w:color w:val="231F20"/>
        </w:rPr>
        <w:t>advocacy</w:t>
      </w:r>
      <w:r w:rsidR="00BC0563">
        <w:rPr>
          <w:color w:val="231F20"/>
          <w:spacing w:val="-20"/>
        </w:rPr>
        <w:t xml:space="preserve"> </w:t>
      </w:r>
      <w:r w:rsidR="00BC0563">
        <w:rPr>
          <w:color w:val="231F20"/>
        </w:rPr>
        <w:t>visit</w:t>
      </w:r>
      <w:r w:rsidR="00BC0563">
        <w:rPr>
          <w:color w:val="231F20"/>
          <w:spacing w:val="-20"/>
        </w:rPr>
        <w:t xml:space="preserve"> </w:t>
      </w:r>
      <w:r w:rsidR="00BC0563">
        <w:rPr>
          <w:color w:val="231F20"/>
        </w:rPr>
        <w:t>to</w:t>
      </w:r>
      <w:r w:rsidR="00BC0563">
        <w:rPr>
          <w:color w:val="231F20"/>
          <w:spacing w:val="-20"/>
        </w:rPr>
        <w:t xml:space="preserve"> </w:t>
      </w:r>
      <w:r w:rsidR="00BC0563">
        <w:rPr>
          <w:color w:val="231F20"/>
        </w:rPr>
        <w:t>the</w:t>
      </w:r>
      <w:r w:rsidR="00BC0563">
        <w:rPr>
          <w:color w:val="231F20"/>
          <w:spacing w:val="-20"/>
        </w:rPr>
        <w:t xml:space="preserve"> </w:t>
      </w:r>
      <w:r w:rsidR="00BC0563">
        <w:rPr>
          <w:color w:val="231F20"/>
        </w:rPr>
        <w:t>Governor</w:t>
      </w:r>
      <w:r w:rsidR="00BC0563">
        <w:rPr>
          <w:color w:val="231F20"/>
          <w:spacing w:val="-20"/>
        </w:rPr>
        <w:t xml:space="preserve"> </w:t>
      </w:r>
      <w:r w:rsidR="00BC0563">
        <w:rPr>
          <w:color w:val="231F20"/>
        </w:rPr>
        <w:t>for</w:t>
      </w:r>
      <w:r w:rsidR="00BC0563">
        <w:rPr>
          <w:color w:val="231F20"/>
          <w:spacing w:val="-20"/>
        </w:rPr>
        <w:t xml:space="preserve"> </w:t>
      </w:r>
      <w:r w:rsidR="00BC0563">
        <w:rPr>
          <w:color w:val="231F20"/>
        </w:rPr>
        <w:t>free</w:t>
      </w:r>
      <w:r w:rsidR="00BC0563">
        <w:rPr>
          <w:color w:val="231F20"/>
          <w:spacing w:val="-20"/>
        </w:rPr>
        <w:t xml:space="preserve"> </w:t>
      </w:r>
      <w:r w:rsidR="00BC0563">
        <w:rPr>
          <w:color w:val="231F20"/>
        </w:rPr>
        <w:t>treatment</w:t>
      </w:r>
      <w:r w:rsidR="00BC0563">
        <w:rPr>
          <w:color w:val="231F20"/>
          <w:spacing w:val="-20"/>
        </w:rPr>
        <w:t xml:space="preserve"> </w:t>
      </w:r>
      <w:r w:rsidR="00BC0563">
        <w:rPr>
          <w:color w:val="231F20"/>
        </w:rPr>
        <w:t>and</w:t>
      </w:r>
      <w:r w:rsidR="00BC0563">
        <w:rPr>
          <w:color w:val="231F20"/>
          <w:spacing w:val="-20"/>
        </w:rPr>
        <w:t xml:space="preserve"> </w:t>
      </w:r>
      <w:r w:rsidR="00BC0563">
        <w:rPr>
          <w:color w:val="231F20"/>
        </w:rPr>
        <w:t>management</w:t>
      </w:r>
      <w:r w:rsidR="00BC0563">
        <w:rPr>
          <w:color w:val="231F20"/>
          <w:spacing w:val="-19"/>
        </w:rPr>
        <w:t xml:space="preserve"> </w:t>
      </w:r>
      <w:r w:rsidR="00BC0563">
        <w:rPr>
          <w:color w:val="231F20"/>
        </w:rPr>
        <w:t>of</w:t>
      </w:r>
      <w:r w:rsidR="00BC0563">
        <w:rPr>
          <w:color w:val="231F20"/>
          <w:spacing w:val="-20"/>
        </w:rPr>
        <w:t xml:space="preserve"> </w:t>
      </w:r>
      <w:proofErr w:type="spellStart"/>
      <w:r w:rsidR="00BC0563">
        <w:rPr>
          <w:color w:val="231F20"/>
        </w:rPr>
        <w:t>OF</w:t>
      </w:r>
      <w:proofErr w:type="spellEnd"/>
      <w:r w:rsidR="00BC0563">
        <w:rPr>
          <w:color w:val="231F20"/>
          <w:spacing w:val="-20"/>
        </w:rPr>
        <w:t xml:space="preserve"> </w:t>
      </w:r>
      <w:r w:rsidR="00BC0563">
        <w:rPr>
          <w:color w:val="231F20"/>
        </w:rPr>
        <w:t>patients;</w:t>
      </w:r>
      <w:r w:rsidR="00BC0563">
        <w:rPr>
          <w:color w:val="231F20"/>
          <w:spacing w:val="-20"/>
        </w:rPr>
        <w:t xml:space="preserve"> </w:t>
      </w:r>
      <w:r w:rsidR="00BC0563">
        <w:rPr>
          <w:color w:val="231F20"/>
        </w:rPr>
        <w:t>Regular supply</w:t>
      </w:r>
      <w:r w:rsidR="00BC0563">
        <w:rPr>
          <w:color w:val="231F20"/>
          <w:spacing w:val="-26"/>
        </w:rPr>
        <w:t xml:space="preserve"> </w:t>
      </w:r>
      <w:r w:rsidR="00BC0563">
        <w:rPr>
          <w:color w:val="231F20"/>
        </w:rPr>
        <w:t>of</w:t>
      </w:r>
      <w:r w:rsidR="00BC0563">
        <w:rPr>
          <w:color w:val="231F20"/>
          <w:spacing w:val="-25"/>
        </w:rPr>
        <w:t xml:space="preserve"> </w:t>
      </w:r>
      <w:r w:rsidR="00BC0563">
        <w:rPr>
          <w:color w:val="231F20"/>
        </w:rPr>
        <w:t>commodities</w:t>
      </w:r>
      <w:r w:rsidR="00BC0563">
        <w:rPr>
          <w:color w:val="231F20"/>
          <w:spacing w:val="-25"/>
        </w:rPr>
        <w:t xml:space="preserve"> </w:t>
      </w:r>
      <w:r w:rsidR="00BC0563">
        <w:rPr>
          <w:color w:val="231F20"/>
        </w:rPr>
        <w:t>to</w:t>
      </w:r>
      <w:r w:rsidR="00BC0563">
        <w:rPr>
          <w:color w:val="231F20"/>
          <w:spacing w:val="-25"/>
        </w:rPr>
        <w:t xml:space="preserve"> </w:t>
      </w:r>
      <w:r w:rsidR="00BC0563">
        <w:rPr>
          <w:color w:val="231F20"/>
        </w:rPr>
        <w:t>strengthen</w:t>
      </w:r>
      <w:r w:rsidR="00BC0563">
        <w:rPr>
          <w:color w:val="231F20"/>
          <w:spacing w:val="-25"/>
        </w:rPr>
        <w:t xml:space="preserve"> </w:t>
      </w:r>
      <w:r w:rsidR="00BC0563">
        <w:rPr>
          <w:color w:val="231F20"/>
        </w:rPr>
        <w:t>existing</w:t>
      </w:r>
      <w:r w:rsidR="00BC0563">
        <w:rPr>
          <w:color w:val="231F20"/>
          <w:spacing w:val="-25"/>
        </w:rPr>
        <w:t xml:space="preserve"> </w:t>
      </w:r>
      <w:r w:rsidR="00BC0563">
        <w:rPr>
          <w:color w:val="231F20"/>
        </w:rPr>
        <w:t>Obstetric</w:t>
      </w:r>
      <w:r w:rsidR="00BC0563">
        <w:rPr>
          <w:color w:val="231F20"/>
          <w:spacing w:val="-25"/>
        </w:rPr>
        <w:t xml:space="preserve"> </w:t>
      </w:r>
      <w:r w:rsidR="00BC0563">
        <w:rPr>
          <w:color w:val="231F20"/>
        </w:rPr>
        <w:t>Fistula</w:t>
      </w:r>
      <w:r w:rsidR="00BC0563">
        <w:rPr>
          <w:color w:val="231F20"/>
          <w:spacing w:val="-25"/>
        </w:rPr>
        <w:t xml:space="preserve"> </w:t>
      </w:r>
      <w:r w:rsidR="00BC0563">
        <w:rPr>
          <w:color w:val="231F20"/>
        </w:rPr>
        <w:t>treatment</w:t>
      </w:r>
      <w:r w:rsidR="00BC0563">
        <w:rPr>
          <w:color w:val="231F20"/>
          <w:spacing w:val="-25"/>
        </w:rPr>
        <w:t xml:space="preserve"> </w:t>
      </w:r>
      <w:proofErr w:type="spellStart"/>
      <w:r w:rsidR="00BC0563">
        <w:rPr>
          <w:color w:val="231F20"/>
        </w:rPr>
        <w:t>centre</w:t>
      </w:r>
      <w:proofErr w:type="spellEnd"/>
      <w:r w:rsidR="00BC0563">
        <w:rPr>
          <w:color w:val="231F20"/>
          <w:spacing w:val="-25"/>
        </w:rPr>
        <w:t xml:space="preserve"> </w:t>
      </w:r>
      <w:r w:rsidR="00BC0563">
        <w:rPr>
          <w:color w:val="231F20"/>
        </w:rPr>
        <w:t>in</w:t>
      </w:r>
      <w:r w:rsidR="00BC0563">
        <w:rPr>
          <w:color w:val="231F20"/>
          <w:spacing w:val="-25"/>
        </w:rPr>
        <w:t xml:space="preserve"> </w:t>
      </w:r>
      <w:r w:rsidR="00BC0563">
        <w:rPr>
          <w:color w:val="231F20"/>
        </w:rPr>
        <w:t>the</w:t>
      </w:r>
      <w:r w:rsidR="00BC0563">
        <w:rPr>
          <w:color w:val="231F20"/>
          <w:spacing w:val="-25"/>
        </w:rPr>
        <w:t xml:space="preserve"> </w:t>
      </w:r>
      <w:r w:rsidR="00BC0563">
        <w:rPr>
          <w:color w:val="231F20"/>
        </w:rPr>
        <w:t>state.</w:t>
      </w:r>
    </w:p>
    <w:p w14:paraId="71914682" w14:textId="77777777" w:rsidR="009948F1" w:rsidRDefault="009948F1">
      <w:pPr>
        <w:pStyle w:val="BodyText"/>
        <w:spacing w:before="7"/>
        <w:rPr>
          <w:sz w:val="26"/>
        </w:rPr>
      </w:pPr>
    </w:p>
    <w:p w14:paraId="6D4ADFB0" w14:textId="77777777" w:rsidR="009948F1" w:rsidRDefault="00BC0563">
      <w:pPr>
        <w:pStyle w:val="ListParagraph"/>
        <w:numPr>
          <w:ilvl w:val="3"/>
          <w:numId w:val="290"/>
        </w:numPr>
        <w:tabs>
          <w:tab w:val="left" w:pos="935"/>
        </w:tabs>
        <w:spacing w:before="1" w:line="292" w:lineRule="auto"/>
        <w:ind w:right="180" w:firstLine="0"/>
      </w:pPr>
      <w:r>
        <w:rPr>
          <w:color w:val="231F20"/>
        </w:rPr>
        <w:t xml:space="preserve">Foster community participation for the rehabilitation and re-integration of fistula patients. Key actions include; Meetings to develop an OF mitigation and rehabilitation plan; Advocacy </w:t>
      </w:r>
      <w:r>
        <w:rPr>
          <w:color w:val="231F20"/>
          <w:spacing w:val="-6"/>
        </w:rPr>
        <w:t xml:space="preserve">to </w:t>
      </w:r>
      <w:r>
        <w:rPr>
          <w:color w:val="231F20"/>
        </w:rPr>
        <w:t xml:space="preserve">integrate counselling into the continuum of </w:t>
      </w:r>
      <w:proofErr w:type="spellStart"/>
      <w:r>
        <w:rPr>
          <w:color w:val="231F20"/>
        </w:rPr>
        <w:t>OF</w:t>
      </w:r>
      <w:proofErr w:type="spellEnd"/>
      <w:r>
        <w:rPr>
          <w:color w:val="231F20"/>
        </w:rPr>
        <w:t xml:space="preserve"> patient management; Build capacity of CBOs to conduct OF rehabilitation interventions; Collaboration meeting with NGOs, social workers </w:t>
      </w:r>
      <w:r>
        <w:rPr>
          <w:color w:val="231F20"/>
          <w:spacing w:val="-5"/>
        </w:rPr>
        <w:t xml:space="preserve">and </w:t>
      </w:r>
      <w:r>
        <w:rPr>
          <w:color w:val="231F20"/>
        </w:rPr>
        <w:t>other</w:t>
      </w:r>
      <w:r>
        <w:rPr>
          <w:color w:val="231F20"/>
          <w:spacing w:val="-25"/>
        </w:rPr>
        <w:t xml:space="preserve"> </w:t>
      </w:r>
      <w:r>
        <w:rPr>
          <w:color w:val="231F20"/>
        </w:rPr>
        <w:t>stakeholders/sectors</w:t>
      </w:r>
      <w:r>
        <w:rPr>
          <w:color w:val="231F20"/>
          <w:spacing w:val="-25"/>
        </w:rPr>
        <w:t xml:space="preserve"> </w:t>
      </w:r>
      <w:r>
        <w:rPr>
          <w:color w:val="231F20"/>
        </w:rPr>
        <w:t>in</w:t>
      </w:r>
      <w:r>
        <w:rPr>
          <w:color w:val="231F20"/>
          <w:spacing w:val="-25"/>
        </w:rPr>
        <w:t xml:space="preserve"> </w:t>
      </w:r>
      <w:r>
        <w:rPr>
          <w:color w:val="231F20"/>
        </w:rPr>
        <w:t>OF</w:t>
      </w:r>
      <w:r>
        <w:rPr>
          <w:color w:val="231F20"/>
          <w:spacing w:val="-25"/>
        </w:rPr>
        <w:t xml:space="preserve"> </w:t>
      </w:r>
      <w:r>
        <w:rPr>
          <w:color w:val="231F20"/>
        </w:rPr>
        <w:t>rehabilitation.</w:t>
      </w:r>
    </w:p>
    <w:p w14:paraId="6C745A72" w14:textId="77777777" w:rsidR="009948F1" w:rsidRDefault="009948F1">
      <w:pPr>
        <w:pStyle w:val="BodyText"/>
        <w:spacing w:before="6"/>
        <w:rPr>
          <w:sz w:val="26"/>
        </w:rPr>
      </w:pPr>
    </w:p>
    <w:p w14:paraId="46BEBCD4" w14:textId="77777777" w:rsidR="009948F1" w:rsidRDefault="00BC0563">
      <w:pPr>
        <w:pStyle w:val="ListParagraph"/>
        <w:numPr>
          <w:ilvl w:val="2"/>
          <w:numId w:val="293"/>
        </w:numPr>
        <w:tabs>
          <w:tab w:val="left" w:pos="731"/>
        </w:tabs>
        <w:spacing w:line="292" w:lineRule="auto"/>
        <w:ind w:left="196" w:right="181" w:firstLine="0"/>
        <w:jc w:val="both"/>
        <w:rPr>
          <w:color w:val="231F20"/>
        </w:rPr>
      </w:pPr>
      <w:r>
        <w:rPr>
          <w:color w:val="231F20"/>
        </w:rPr>
        <w:t>Promote</w:t>
      </w:r>
      <w:r>
        <w:rPr>
          <w:color w:val="231F20"/>
          <w:spacing w:val="-16"/>
        </w:rPr>
        <w:t xml:space="preserve"> </w:t>
      </w:r>
      <w:r>
        <w:rPr>
          <w:color w:val="231F20"/>
        </w:rPr>
        <w:t>demand</w:t>
      </w:r>
      <w:r>
        <w:rPr>
          <w:color w:val="231F20"/>
          <w:spacing w:val="-16"/>
        </w:rPr>
        <w:t xml:space="preserve"> </w:t>
      </w:r>
      <w:r>
        <w:rPr>
          <w:color w:val="231F20"/>
        </w:rPr>
        <w:t>and</w:t>
      </w:r>
      <w:r>
        <w:rPr>
          <w:color w:val="231F20"/>
          <w:spacing w:val="-16"/>
        </w:rPr>
        <w:t xml:space="preserve"> </w:t>
      </w:r>
      <w:r>
        <w:rPr>
          <w:color w:val="231F20"/>
        </w:rPr>
        <w:t>increase</w:t>
      </w:r>
      <w:r>
        <w:rPr>
          <w:color w:val="231F20"/>
          <w:spacing w:val="-16"/>
        </w:rPr>
        <w:t xml:space="preserve"> </w:t>
      </w:r>
      <w:r>
        <w:rPr>
          <w:color w:val="231F20"/>
        </w:rPr>
        <w:t>access</w:t>
      </w:r>
      <w:r>
        <w:rPr>
          <w:color w:val="231F20"/>
          <w:spacing w:val="-16"/>
        </w:rPr>
        <w:t xml:space="preserve"> </w:t>
      </w:r>
      <w:r>
        <w:rPr>
          <w:color w:val="231F20"/>
        </w:rPr>
        <w:t>to</w:t>
      </w:r>
      <w:r>
        <w:rPr>
          <w:color w:val="231F20"/>
          <w:spacing w:val="-17"/>
        </w:rPr>
        <w:t xml:space="preserve"> </w:t>
      </w:r>
      <w:r>
        <w:rPr>
          <w:color w:val="231F20"/>
        </w:rPr>
        <w:t>comprehensive</w:t>
      </w:r>
      <w:r>
        <w:rPr>
          <w:color w:val="231F20"/>
          <w:spacing w:val="-16"/>
        </w:rPr>
        <w:t xml:space="preserve"> </w:t>
      </w:r>
      <w:r>
        <w:rPr>
          <w:color w:val="231F20"/>
        </w:rPr>
        <w:t>and</w:t>
      </w:r>
      <w:r>
        <w:rPr>
          <w:color w:val="231F20"/>
          <w:spacing w:val="-16"/>
        </w:rPr>
        <w:t xml:space="preserve"> </w:t>
      </w:r>
      <w:r>
        <w:rPr>
          <w:color w:val="231F20"/>
        </w:rPr>
        <w:t>integrated</w:t>
      </w:r>
      <w:r>
        <w:rPr>
          <w:color w:val="231F20"/>
          <w:spacing w:val="-15"/>
        </w:rPr>
        <w:t xml:space="preserve"> </w:t>
      </w:r>
      <w:r>
        <w:rPr>
          <w:color w:val="231F20"/>
        </w:rPr>
        <w:t>reproductive</w:t>
      </w:r>
      <w:r>
        <w:rPr>
          <w:color w:val="231F20"/>
          <w:spacing w:val="-16"/>
        </w:rPr>
        <w:t xml:space="preserve"> </w:t>
      </w:r>
      <w:r>
        <w:rPr>
          <w:color w:val="231F20"/>
          <w:spacing w:val="-3"/>
        </w:rPr>
        <w:t xml:space="preserve">health </w:t>
      </w:r>
      <w:r>
        <w:rPr>
          <w:color w:val="231F20"/>
        </w:rPr>
        <w:t>services</w:t>
      </w:r>
      <w:r>
        <w:rPr>
          <w:color w:val="231F20"/>
          <w:spacing w:val="-26"/>
        </w:rPr>
        <w:t xml:space="preserve"> </w:t>
      </w:r>
      <w:r>
        <w:rPr>
          <w:color w:val="231F20"/>
        </w:rPr>
        <w:t>(including</w:t>
      </w:r>
      <w:r>
        <w:rPr>
          <w:color w:val="231F20"/>
          <w:spacing w:val="-25"/>
        </w:rPr>
        <w:t xml:space="preserve"> </w:t>
      </w:r>
      <w:r>
        <w:rPr>
          <w:color w:val="231F20"/>
        </w:rPr>
        <w:t>family</w:t>
      </w:r>
      <w:r>
        <w:rPr>
          <w:color w:val="231F20"/>
          <w:spacing w:val="-25"/>
        </w:rPr>
        <w:t xml:space="preserve"> </w:t>
      </w:r>
      <w:r>
        <w:rPr>
          <w:color w:val="231F20"/>
        </w:rPr>
        <w:t>planning</w:t>
      </w:r>
      <w:r>
        <w:rPr>
          <w:color w:val="231F20"/>
          <w:spacing w:val="-25"/>
        </w:rPr>
        <w:t xml:space="preserve"> </w:t>
      </w:r>
      <w:r>
        <w:rPr>
          <w:color w:val="231F20"/>
        </w:rPr>
        <w:t>services</w:t>
      </w:r>
      <w:r>
        <w:rPr>
          <w:color w:val="231F20"/>
          <w:spacing w:val="-25"/>
        </w:rPr>
        <w:t xml:space="preserve"> </w:t>
      </w:r>
      <w:r>
        <w:rPr>
          <w:color w:val="231F20"/>
        </w:rPr>
        <w:t>and</w:t>
      </w:r>
      <w:r>
        <w:rPr>
          <w:color w:val="231F20"/>
          <w:spacing w:val="-25"/>
        </w:rPr>
        <w:t xml:space="preserve"> </w:t>
      </w:r>
      <w:r>
        <w:rPr>
          <w:color w:val="231F20"/>
        </w:rPr>
        <w:t>management</w:t>
      </w:r>
      <w:r>
        <w:rPr>
          <w:color w:val="231F20"/>
          <w:spacing w:val="-25"/>
        </w:rPr>
        <w:t xml:space="preserve"> </w:t>
      </w:r>
      <w:r>
        <w:rPr>
          <w:color w:val="231F20"/>
        </w:rPr>
        <w:t>of</w:t>
      </w:r>
      <w:r>
        <w:rPr>
          <w:color w:val="231F20"/>
          <w:spacing w:val="-25"/>
        </w:rPr>
        <w:t xml:space="preserve"> </w:t>
      </w:r>
      <w:r>
        <w:rPr>
          <w:color w:val="231F20"/>
        </w:rPr>
        <w:t>unsafe</w:t>
      </w:r>
      <w:r>
        <w:rPr>
          <w:color w:val="231F20"/>
          <w:spacing w:val="-25"/>
        </w:rPr>
        <w:t xml:space="preserve"> </w:t>
      </w:r>
      <w:r>
        <w:rPr>
          <w:color w:val="231F20"/>
        </w:rPr>
        <w:t>abortion)</w:t>
      </w:r>
    </w:p>
    <w:p w14:paraId="1E5EDCC5" w14:textId="77777777" w:rsidR="009948F1" w:rsidRDefault="009948F1">
      <w:pPr>
        <w:pStyle w:val="BodyText"/>
        <w:spacing w:before="1"/>
        <w:rPr>
          <w:sz w:val="29"/>
        </w:rPr>
      </w:pPr>
    </w:p>
    <w:p w14:paraId="38483D8B" w14:textId="77777777" w:rsidR="009948F1" w:rsidRDefault="00BC0563">
      <w:pPr>
        <w:spacing w:before="1" w:after="43"/>
        <w:ind w:left="322"/>
        <w:rPr>
          <w:b/>
          <w:sz w:val="23"/>
        </w:rPr>
      </w:pPr>
      <w:r>
        <w:rPr>
          <w:b/>
          <w:color w:val="231F20"/>
          <w:sz w:val="23"/>
        </w:rPr>
        <w:t>Target</w:t>
      </w:r>
    </w:p>
    <w:tbl>
      <w:tblPr>
        <w:tblW w:w="0" w:type="auto"/>
        <w:tblInd w:w="2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9"/>
        <w:gridCol w:w="1251"/>
        <w:gridCol w:w="777"/>
        <w:gridCol w:w="772"/>
        <w:gridCol w:w="774"/>
        <w:gridCol w:w="772"/>
        <w:gridCol w:w="655"/>
        <w:gridCol w:w="1027"/>
      </w:tblGrid>
      <w:tr w:rsidR="009948F1" w14:paraId="0DC8B79B" w14:textId="77777777">
        <w:trPr>
          <w:trHeight w:val="216"/>
        </w:trPr>
        <w:tc>
          <w:tcPr>
            <w:tcW w:w="3209" w:type="dxa"/>
            <w:shd w:val="clear" w:color="auto" w:fill="F6ADCD"/>
          </w:tcPr>
          <w:p w14:paraId="466DDE61" w14:textId="77777777" w:rsidR="009948F1" w:rsidRDefault="00BC0563">
            <w:pPr>
              <w:pStyle w:val="TableParagraph"/>
              <w:spacing w:before="8" w:line="189" w:lineRule="exact"/>
              <w:ind w:left="112"/>
              <w:rPr>
                <w:sz w:val="18"/>
              </w:rPr>
            </w:pPr>
            <w:r>
              <w:rPr>
                <w:color w:val="231F20"/>
                <w:w w:val="105"/>
                <w:sz w:val="18"/>
              </w:rPr>
              <w:t>Targets</w:t>
            </w:r>
          </w:p>
        </w:tc>
        <w:tc>
          <w:tcPr>
            <w:tcW w:w="2028" w:type="dxa"/>
            <w:gridSpan w:val="2"/>
            <w:shd w:val="clear" w:color="auto" w:fill="F6ADCD"/>
          </w:tcPr>
          <w:p w14:paraId="7FF903C1" w14:textId="77777777" w:rsidR="009948F1" w:rsidRDefault="00BC0563">
            <w:pPr>
              <w:pStyle w:val="TableParagraph"/>
              <w:tabs>
                <w:tab w:val="right" w:pos="1780"/>
              </w:tabs>
              <w:spacing w:before="8" w:line="189" w:lineRule="exact"/>
              <w:ind w:left="112"/>
              <w:rPr>
                <w:b/>
                <w:sz w:val="18"/>
              </w:rPr>
            </w:pPr>
            <w:r>
              <w:rPr>
                <w:color w:val="231F20"/>
                <w:w w:val="105"/>
                <w:sz w:val="18"/>
              </w:rPr>
              <w:t>Baseline</w:t>
            </w:r>
            <w:r>
              <w:rPr>
                <w:color w:val="231F20"/>
                <w:w w:val="105"/>
                <w:sz w:val="18"/>
              </w:rPr>
              <w:tab/>
            </w:r>
            <w:r>
              <w:rPr>
                <w:b/>
                <w:color w:val="231F20"/>
                <w:w w:val="105"/>
                <w:sz w:val="18"/>
              </w:rPr>
              <w:t>2018</w:t>
            </w:r>
          </w:p>
        </w:tc>
        <w:tc>
          <w:tcPr>
            <w:tcW w:w="772" w:type="dxa"/>
            <w:shd w:val="clear" w:color="auto" w:fill="F6ADCD"/>
          </w:tcPr>
          <w:p w14:paraId="0F11FF1F" w14:textId="77777777" w:rsidR="009948F1" w:rsidRDefault="00BC0563">
            <w:pPr>
              <w:pStyle w:val="TableParagraph"/>
              <w:spacing w:before="3" w:line="194" w:lineRule="exact"/>
              <w:ind w:left="114"/>
              <w:rPr>
                <w:b/>
                <w:sz w:val="18"/>
              </w:rPr>
            </w:pPr>
            <w:r>
              <w:rPr>
                <w:b/>
                <w:color w:val="231F20"/>
                <w:w w:val="105"/>
                <w:sz w:val="18"/>
              </w:rPr>
              <w:t>2019</w:t>
            </w:r>
          </w:p>
        </w:tc>
        <w:tc>
          <w:tcPr>
            <w:tcW w:w="774" w:type="dxa"/>
            <w:shd w:val="clear" w:color="auto" w:fill="F6ADCD"/>
          </w:tcPr>
          <w:p w14:paraId="4075136A" w14:textId="77777777" w:rsidR="009948F1" w:rsidRDefault="00BC0563">
            <w:pPr>
              <w:pStyle w:val="TableParagraph"/>
              <w:spacing w:before="3" w:line="194" w:lineRule="exact"/>
              <w:ind w:left="115"/>
              <w:rPr>
                <w:b/>
                <w:sz w:val="18"/>
              </w:rPr>
            </w:pPr>
            <w:r>
              <w:rPr>
                <w:b/>
                <w:color w:val="231F20"/>
                <w:w w:val="105"/>
                <w:sz w:val="18"/>
              </w:rPr>
              <w:t>2020</w:t>
            </w:r>
          </w:p>
        </w:tc>
        <w:tc>
          <w:tcPr>
            <w:tcW w:w="772" w:type="dxa"/>
            <w:shd w:val="clear" w:color="auto" w:fill="F6ADCD"/>
          </w:tcPr>
          <w:p w14:paraId="6676AA77" w14:textId="77777777" w:rsidR="009948F1" w:rsidRDefault="00BC0563">
            <w:pPr>
              <w:pStyle w:val="TableParagraph"/>
              <w:spacing w:before="3" w:line="194" w:lineRule="exact"/>
              <w:ind w:left="117"/>
              <w:rPr>
                <w:b/>
                <w:sz w:val="18"/>
              </w:rPr>
            </w:pPr>
            <w:r>
              <w:rPr>
                <w:b/>
                <w:color w:val="231F20"/>
                <w:w w:val="105"/>
                <w:sz w:val="18"/>
              </w:rPr>
              <w:t>2021</w:t>
            </w:r>
          </w:p>
        </w:tc>
        <w:tc>
          <w:tcPr>
            <w:tcW w:w="655" w:type="dxa"/>
            <w:shd w:val="clear" w:color="auto" w:fill="F6ADCD"/>
          </w:tcPr>
          <w:p w14:paraId="717672B7" w14:textId="77777777" w:rsidR="009948F1" w:rsidRDefault="00BC0563">
            <w:pPr>
              <w:pStyle w:val="TableParagraph"/>
              <w:spacing w:before="3" w:line="194" w:lineRule="exact"/>
              <w:ind w:left="95" w:right="88"/>
              <w:jc w:val="center"/>
              <w:rPr>
                <w:b/>
                <w:sz w:val="18"/>
              </w:rPr>
            </w:pPr>
            <w:r>
              <w:rPr>
                <w:b/>
                <w:color w:val="231F20"/>
                <w:w w:val="105"/>
                <w:sz w:val="18"/>
              </w:rPr>
              <w:t>2022</w:t>
            </w:r>
          </w:p>
        </w:tc>
        <w:tc>
          <w:tcPr>
            <w:tcW w:w="1027" w:type="dxa"/>
            <w:shd w:val="clear" w:color="auto" w:fill="F6ADCD"/>
          </w:tcPr>
          <w:p w14:paraId="681BCE5D" w14:textId="77777777" w:rsidR="009948F1" w:rsidRDefault="00BC0563">
            <w:pPr>
              <w:pStyle w:val="TableParagraph"/>
              <w:spacing w:before="3" w:line="194" w:lineRule="exact"/>
              <w:ind w:left="119"/>
              <w:rPr>
                <w:b/>
                <w:sz w:val="18"/>
              </w:rPr>
            </w:pPr>
            <w:r>
              <w:rPr>
                <w:b/>
                <w:color w:val="231F20"/>
                <w:w w:val="105"/>
                <w:sz w:val="18"/>
              </w:rPr>
              <w:t>National</w:t>
            </w:r>
          </w:p>
        </w:tc>
      </w:tr>
      <w:tr w:rsidR="009948F1" w14:paraId="1AA0E56E" w14:textId="77777777">
        <w:trPr>
          <w:trHeight w:val="860"/>
        </w:trPr>
        <w:tc>
          <w:tcPr>
            <w:tcW w:w="3209" w:type="dxa"/>
          </w:tcPr>
          <w:p w14:paraId="68386569" w14:textId="77777777" w:rsidR="009948F1" w:rsidRDefault="00BC0563">
            <w:pPr>
              <w:pStyle w:val="TableParagraph"/>
              <w:spacing w:before="5" w:line="249" w:lineRule="auto"/>
              <w:ind w:left="112"/>
              <w:rPr>
                <w:sz w:val="18"/>
              </w:rPr>
            </w:pPr>
            <w:r>
              <w:rPr>
                <w:color w:val="231F20"/>
                <w:w w:val="105"/>
                <w:sz w:val="18"/>
              </w:rPr>
              <w:t>Contraceptive prevalence rate increased from 15% to 23%from baseline by 2022</w:t>
            </w:r>
          </w:p>
        </w:tc>
        <w:tc>
          <w:tcPr>
            <w:tcW w:w="1251" w:type="dxa"/>
          </w:tcPr>
          <w:p w14:paraId="56975E83" w14:textId="77777777" w:rsidR="009948F1" w:rsidRDefault="00BC0563">
            <w:pPr>
              <w:pStyle w:val="TableParagraph"/>
              <w:spacing w:before="5"/>
              <w:ind w:left="112"/>
              <w:rPr>
                <w:sz w:val="18"/>
              </w:rPr>
            </w:pPr>
            <w:r>
              <w:rPr>
                <w:color w:val="231F20"/>
                <w:w w:val="105"/>
                <w:sz w:val="18"/>
              </w:rPr>
              <w:t>TBD</w:t>
            </w:r>
          </w:p>
        </w:tc>
        <w:tc>
          <w:tcPr>
            <w:tcW w:w="777" w:type="dxa"/>
          </w:tcPr>
          <w:p w14:paraId="08119A9D" w14:textId="77777777" w:rsidR="009948F1" w:rsidRDefault="00BC0563">
            <w:pPr>
              <w:pStyle w:val="TableParagraph"/>
              <w:spacing w:before="5"/>
              <w:ind w:left="113"/>
              <w:rPr>
                <w:sz w:val="18"/>
              </w:rPr>
            </w:pPr>
            <w:r>
              <w:rPr>
                <w:color w:val="231F20"/>
                <w:w w:val="105"/>
                <w:sz w:val="18"/>
              </w:rPr>
              <w:t>84%</w:t>
            </w:r>
          </w:p>
        </w:tc>
        <w:tc>
          <w:tcPr>
            <w:tcW w:w="772" w:type="dxa"/>
          </w:tcPr>
          <w:p w14:paraId="26653667" w14:textId="77777777" w:rsidR="009948F1" w:rsidRDefault="00BC0563">
            <w:pPr>
              <w:pStyle w:val="TableParagraph"/>
              <w:spacing w:before="5"/>
              <w:ind w:left="114"/>
              <w:rPr>
                <w:sz w:val="18"/>
              </w:rPr>
            </w:pPr>
            <w:r>
              <w:rPr>
                <w:color w:val="231F20"/>
                <w:w w:val="105"/>
                <w:sz w:val="18"/>
              </w:rPr>
              <w:t>85%</w:t>
            </w:r>
          </w:p>
        </w:tc>
        <w:tc>
          <w:tcPr>
            <w:tcW w:w="774" w:type="dxa"/>
          </w:tcPr>
          <w:p w14:paraId="13E4DE32" w14:textId="77777777" w:rsidR="009948F1" w:rsidRDefault="00BC0563">
            <w:pPr>
              <w:pStyle w:val="TableParagraph"/>
              <w:spacing w:before="5"/>
              <w:ind w:left="115"/>
              <w:rPr>
                <w:sz w:val="18"/>
              </w:rPr>
            </w:pPr>
            <w:r>
              <w:rPr>
                <w:color w:val="231F20"/>
                <w:w w:val="105"/>
                <w:sz w:val="18"/>
              </w:rPr>
              <w:t>86%</w:t>
            </w:r>
          </w:p>
        </w:tc>
        <w:tc>
          <w:tcPr>
            <w:tcW w:w="772" w:type="dxa"/>
          </w:tcPr>
          <w:p w14:paraId="4E2CD04C" w14:textId="77777777" w:rsidR="009948F1" w:rsidRDefault="00BC0563">
            <w:pPr>
              <w:pStyle w:val="TableParagraph"/>
              <w:spacing w:before="5"/>
              <w:ind w:left="117"/>
              <w:rPr>
                <w:sz w:val="18"/>
              </w:rPr>
            </w:pPr>
            <w:r>
              <w:rPr>
                <w:color w:val="231F20"/>
                <w:w w:val="105"/>
                <w:sz w:val="18"/>
              </w:rPr>
              <w:t>87%</w:t>
            </w:r>
          </w:p>
        </w:tc>
        <w:tc>
          <w:tcPr>
            <w:tcW w:w="655" w:type="dxa"/>
          </w:tcPr>
          <w:p w14:paraId="283FCCED" w14:textId="77777777" w:rsidR="009948F1" w:rsidRDefault="00BC0563">
            <w:pPr>
              <w:pStyle w:val="TableParagraph"/>
              <w:spacing w:before="5"/>
              <w:ind w:left="56" w:right="88"/>
              <w:jc w:val="center"/>
              <w:rPr>
                <w:sz w:val="18"/>
              </w:rPr>
            </w:pPr>
            <w:r>
              <w:rPr>
                <w:color w:val="231F20"/>
                <w:w w:val="105"/>
                <w:sz w:val="18"/>
              </w:rPr>
              <w:t>88%</w:t>
            </w:r>
          </w:p>
        </w:tc>
        <w:tc>
          <w:tcPr>
            <w:tcW w:w="1027" w:type="dxa"/>
          </w:tcPr>
          <w:p w14:paraId="32A5675B" w14:textId="77777777" w:rsidR="009948F1" w:rsidRDefault="00BC0563">
            <w:pPr>
              <w:pStyle w:val="TableParagraph"/>
              <w:spacing w:before="5" w:line="249" w:lineRule="auto"/>
              <w:ind w:left="119" w:right="173"/>
              <w:rPr>
                <w:sz w:val="18"/>
              </w:rPr>
            </w:pPr>
            <w:r>
              <w:rPr>
                <w:color w:val="231F20"/>
                <w:sz w:val="18"/>
              </w:rPr>
              <w:t xml:space="preserve">Increase </w:t>
            </w:r>
            <w:r>
              <w:rPr>
                <w:color w:val="231F20"/>
                <w:w w:val="105"/>
                <w:sz w:val="18"/>
              </w:rPr>
              <w:t>by 23% from</w:t>
            </w:r>
          </w:p>
          <w:p w14:paraId="0E7ADDEF" w14:textId="77777777" w:rsidR="009948F1" w:rsidRDefault="00BC0563">
            <w:pPr>
              <w:pStyle w:val="TableParagraph"/>
              <w:spacing w:before="1" w:line="189" w:lineRule="exact"/>
              <w:ind w:left="119"/>
              <w:rPr>
                <w:sz w:val="18"/>
              </w:rPr>
            </w:pPr>
            <w:r>
              <w:rPr>
                <w:color w:val="231F20"/>
                <w:w w:val="105"/>
                <w:sz w:val="18"/>
              </w:rPr>
              <w:t>baseline</w:t>
            </w:r>
          </w:p>
        </w:tc>
      </w:tr>
      <w:tr w:rsidR="009948F1" w14:paraId="79CF848A" w14:textId="77777777">
        <w:trPr>
          <w:trHeight w:val="1074"/>
        </w:trPr>
        <w:tc>
          <w:tcPr>
            <w:tcW w:w="3209" w:type="dxa"/>
          </w:tcPr>
          <w:p w14:paraId="298E6B01" w14:textId="77777777" w:rsidR="009948F1" w:rsidRDefault="00BC0563">
            <w:pPr>
              <w:pStyle w:val="TableParagraph"/>
              <w:spacing w:before="5" w:line="249" w:lineRule="auto"/>
              <w:ind w:left="112" w:right="92"/>
              <w:rPr>
                <w:sz w:val="18"/>
              </w:rPr>
            </w:pPr>
            <w:r>
              <w:rPr>
                <w:color w:val="231F20"/>
                <w:w w:val="105"/>
                <w:sz w:val="18"/>
              </w:rPr>
              <w:t>Proportion of women of reproductive age (15 -49) who have their needs of FP satisfied with modern methods increased 3-7%</w:t>
            </w:r>
          </w:p>
          <w:p w14:paraId="57ABC820" w14:textId="77777777" w:rsidR="009948F1" w:rsidRDefault="00BC0563">
            <w:pPr>
              <w:pStyle w:val="TableParagraph"/>
              <w:spacing w:line="188" w:lineRule="exact"/>
              <w:ind w:left="112"/>
              <w:rPr>
                <w:sz w:val="18"/>
              </w:rPr>
            </w:pPr>
            <w:r>
              <w:rPr>
                <w:color w:val="231F20"/>
                <w:w w:val="105"/>
                <w:sz w:val="18"/>
              </w:rPr>
              <w:t>from baseline.</w:t>
            </w:r>
          </w:p>
        </w:tc>
        <w:tc>
          <w:tcPr>
            <w:tcW w:w="1251" w:type="dxa"/>
          </w:tcPr>
          <w:p w14:paraId="74294764" w14:textId="77777777" w:rsidR="009948F1" w:rsidRDefault="00BC0563">
            <w:pPr>
              <w:pStyle w:val="TableParagraph"/>
              <w:spacing w:before="5"/>
              <w:ind w:left="112"/>
              <w:rPr>
                <w:sz w:val="18"/>
              </w:rPr>
            </w:pPr>
            <w:r>
              <w:rPr>
                <w:color w:val="231F20"/>
                <w:w w:val="105"/>
                <w:sz w:val="18"/>
              </w:rPr>
              <w:t>TBD</w:t>
            </w:r>
          </w:p>
        </w:tc>
        <w:tc>
          <w:tcPr>
            <w:tcW w:w="777" w:type="dxa"/>
          </w:tcPr>
          <w:p w14:paraId="6EA4CA60" w14:textId="77777777" w:rsidR="009948F1" w:rsidRDefault="00BC0563">
            <w:pPr>
              <w:pStyle w:val="TableParagraph"/>
              <w:spacing w:before="5"/>
              <w:ind w:left="113"/>
              <w:rPr>
                <w:sz w:val="18"/>
              </w:rPr>
            </w:pPr>
            <w:r>
              <w:rPr>
                <w:color w:val="231F20"/>
                <w:w w:val="105"/>
                <w:sz w:val="18"/>
              </w:rPr>
              <w:t>84%</w:t>
            </w:r>
          </w:p>
        </w:tc>
        <w:tc>
          <w:tcPr>
            <w:tcW w:w="772" w:type="dxa"/>
          </w:tcPr>
          <w:p w14:paraId="42F4B93D" w14:textId="77777777" w:rsidR="009948F1" w:rsidRDefault="00BC0563">
            <w:pPr>
              <w:pStyle w:val="TableParagraph"/>
              <w:spacing w:before="5"/>
              <w:ind w:left="114"/>
              <w:rPr>
                <w:sz w:val="18"/>
              </w:rPr>
            </w:pPr>
            <w:r>
              <w:rPr>
                <w:color w:val="231F20"/>
                <w:w w:val="105"/>
                <w:sz w:val="18"/>
              </w:rPr>
              <w:t>85%</w:t>
            </w:r>
          </w:p>
        </w:tc>
        <w:tc>
          <w:tcPr>
            <w:tcW w:w="774" w:type="dxa"/>
          </w:tcPr>
          <w:p w14:paraId="41733672" w14:textId="77777777" w:rsidR="009948F1" w:rsidRDefault="00BC0563">
            <w:pPr>
              <w:pStyle w:val="TableParagraph"/>
              <w:spacing w:before="5"/>
              <w:ind w:left="115"/>
              <w:rPr>
                <w:sz w:val="18"/>
              </w:rPr>
            </w:pPr>
            <w:r>
              <w:rPr>
                <w:color w:val="231F20"/>
                <w:w w:val="105"/>
                <w:sz w:val="18"/>
              </w:rPr>
              <w:t>86%</w:t>
            </w:r>
          </w:p>
        </w:tc>
        <w:tc>
          <w:tcPr>
            <w:tcW w:w="772" w:type="dxa"/>
          </w:tcPr>
          <w:p w14:paraId="7BFC92B8" w14:textId="77777777" w:rsidR="009948F1" w:rsidRDefault="00BC0563">
            <w:pPr>
              <w:pStyle w:val="TableParagraph"/>
              <w:spacing w:before="5"/>
              <w:ind w:left="117"/>
              <w:rPr>
                <w:sz w:val="18"/>
              </w:rPr>
            </w:pPr>
            <w:r>
              <w:rPr>
                <w:color w:val="231F20"/>
                <w:w w:val="105"/>
                <w:sz w:val="18"/>
              </w:rPr>
              <w:t>87%</w:t>
            </w:r>
          </w:p>
        </w:tc>
        <w:tc>
          <w:tcPr>
            <w:tcW w:w="655" w:type="dxa"/>
          </w:tcPr>
          <w:p w14:paraId="23959ED9" w14:textId="77777777" w:rsidR="009948F1" w:rsidRDefault="00BC0563">
            <w:pPr>
              <w:pStyle w:val="TableParagraph"/>
              <w:spacing w:before="5"/>
              <w:ind w:left="56" w:right="88"/>
              <w:jc w:val="center"/>
              <w:rPr>
                <w:sz w:val="18"/>
              </w:rPr>
            </w:pPr>
            <w:r>
              <w:rPr>
                <w:color w:val="231F20"/>
                <w:w w:val="105"/>
                <w:sz w:val="18"/>
              </w:rPr>
              <w:t>88%</w:t>
            </w:r>
          </w:p>
        </w:tc>
        <w:tc>
          <w:tcPr>
            <w:tcW w:w="1027" w:type="dxa"/>
          </w:tcPr>
          <w:p w14:paraId="3DFBA401" w14:textId="77777777" w:rsidR="009948F1" w:rsidRDefault="00BC0563">
            <w:pPr>
              <w:pStyle w:val="TableParagraph"/>
              <w:spacing w:before="5" w:line="249" w:lineRule="auto"/>
              <w:ind w:left="119" w:right="173"/>
              <w:rPr>
                <w:sz w:val="18"/>
              </w:rPr>
            </w:pPr>
            <w:r>
              <w:rPr>
                <w:color w:val="231F20"/>
                <w:sz w:val="18"/>
              </w:rPr>
              <w:t xml:space="preserve">Increase </w:t>
            </w:r>
            <w:r>
              <w:rPr>
                <w:color w:val="231F20"/>
                <w:w w:val="105"/>
                <w:sz w:val="18"/>
              </w:rPr>
              <w:t>by 7% from baseline</w:t>
            </w:r>
          </w:p>
        </w:tc>
      </w:tr>
    </w:tbl>
    <w:p w14:paraId="291C9B98" w14:textId="77777777" w:rsidR="009948F1" w:rsidRDefault="009948F1">
      <w:pPr>
        <w:pStyle w:val="BodyText"/>
        <w:spacing w:before="11"/>
        <w:rPr>
          <w:b/>
          <w:sz w:val="29"/>
        </w:rPr>
      </w:pPr>
    </w:p>
    <w:p w14:paraId="4989DAA1" w14:textId="77777777" w:rsidR="009948F1" w:rsidRDefault="00BC0563">
      <w:pPr>
        <w:pStyle w:val="Heading7"/>
        <w:ind w:left="149"/>
      </w:pPr>
      <w:r>
        <w:rPr>
          <w:color w:val="231F20"/>
        </w:rPr>
        <w:t>Interventions</w:t>
      </w:r>
    </w:p>
    <w:p w14:paraId="4895261C" w14:textId="77777777" w:rsidR="009948F1" w:rsidRDefault="00BC0563">
      <w:pPr>
        <w:pStyle w:val="ListParagraph"/>
        <w:numPr>
          <w:ilvl w:val="3"/>
          <w:numId w:val="293"/>
        </w:numPr>
        <w:tabs>
          <w:tab w:val="left" w:pos="1054"/>
        </w:tabs>
        <w:spacing w:before="35" w:line="273" w:lineRule="auto"/>
        <w:ind w:right="197" w:firstLine="0"/>
      </w:pPr>
      <w:r>
        <w:rPr>
          <w:color w:val="231F20"/>
          <w:spacing w:val="4"/>
        </w:rPr>
        <w:t xml:space="preserve">Scale </w:t>
      </w:r>
      <w:r>
        <w:rPr>
          <w:color w:val="231F20"/>
          <w:spacing w:val="3"/>
        </w:rPr>
        <w:t xml:space="preserve">up </w:t>
      </w:r>
      <w:r>
        <w:rPr>
          <w:color w:val="231F20"/>
          <w:spacing w:val="5"/>
        </w:rPr>
        <w:t xml:space="preserve">sexual </w:t>
      </w:r>
      <w:r>
        <w:rPr>
          <w:color w:val="231F20"/>
          <w:spacing w:val="4"/>
        </w:rPr>
        <w:t xml:space="preserve">and </w:t>
      </w:r>
      <w:r>
        <w:rPr>
          <w:color w:val="231F20"/>
          <w:spacing w:val="5"/>
        </w:rPr>
        <w:t xml:space="preserve">reproductive health services. </w:t>
      </w:r>
      <w:r>
        <w:rPr>
          <w:color w:val="231F20"/>
          <w:spacing w:val="4"/>
        </w:rPr>
        <w:t xml:space="preserve">Key </w:t>
      </w:r>
      <w:r>
        <w:rPr>
          <w:color w:val="231F20"/>
          <w:spacing w:val="5"/>
        </w:rPr>
        <w:t xml:space="preserve">actions include;- </w:t>
      </w:r>
      <w:r>
        <w:rPr>
          <w:color w:val="231F20"/>
        </w:rPr>
        <w:t>Establish/strengthen</w:t>
      </w:r>
      <w:r>
        <w:rPr>
          <w:color w:val="231F20"/>
          <w:spacing w:val="-22"/>
        </w:rPr>
        <w:t xml:space="preserve"> </w:t>
      </w:r>
      <w:r>
        <w:rPr>
          <w:color w:val="231F20"/>
        </w:rPr>
        <w:t>and</w:t>
      </w:r>
      <w:r>
        <w:rPr>
          <w:color w:val="231F20"/>
          <w:spacing w:val="-21"/>
        </w:rPr>
        <w:t xml:space="preserve"> </w:t>
      </w:r>
      <w:r>
        <w:rPr>
          <w:color w:val="231F20"/>
        </w:rPr>
        <w:t>promote</w:t>
      </w:r>
      <w:r>
        <w:rPr>
          <w:color w:val="231F20"/>
          <w:spacing w:val="-21"/>
        </w:rPr>
        <w:t xml:space="preserve"> </w:t>
      </w:r>
      <w:r>
        <w:rPr>
          <w:color w:val="231F20"/>
        </w:rPr>
        <w:t>uptake</w:t>
      </w:r>
      <w:r>
        <w:rPr>
          <w:color w:val="231F20"/>
          <w:spacing w:val="-22"/>
        </w:rPr>
        <w:t xml:space="preserve"> </w:t>
      </w:r>
      <w:r>
        <w:rPr>
          <w:color w:val="231F20"/>
        </w:rPr>
        <w:t>of</w:t>
      </w:r>
      <w:r>
        <w:rPr>
          <w:color w:val="231F20"/>
          <w:spacing w:val="-21"/>
        </w:rPr>
        <w:t xml:space="preserve"> </w:t>
      </w:r>
      <w:r>
        <w:rPr>
          <w:color w:val="231F20"/>
        </w:rPr>
        <w:t>RH</w:t>
      </w:r>
      <w:r>
        <w:rPr>
          <w:color w:val="231F20"/>
          <w:spacing w:val="-21"/>
        </w:rPr>
        <w:t xml:space="preserve"> </w:t>
      </w:r>
      <w:r>
        <w:rPr>
          <w:color w:val="231F20"/>
        </w:rPr>
        <w:t>cancer</w:t>
      </w:r>
      <w:r>
        <w:rPr>
          <w:color w:val="231F20"/>
          <w:spacing w:val="-21"/>
        </w:rPr>
        <w:t xml:space="preserve"> </w:t>
      </w:r>
      <w:r>
        <w:rPr>
          <w:color w:val="231F20"/>
        </w:rPr>
        <w:t>screening</w:t>
      </w:r>
      <w:r>
        <w:rPr>
          <w:color w:val="231F20"/>
          <w:spacing w:val="-22"/>
        </w:rPr>
        <w:t xml:space="preserve"> </w:t>
      </w:r>
      <w:r>
        <w:rPr>
          <w:color w:val="231F20"/>
        </w:rPr>
        <w:t>services</w:t>
      </w:r>
      <w:r>
        <w:rPr>
          <w:color w:val="231F20"/>
          <w:spacing w:val="-21"/>
        </w:rPr>
        <w:t xml:space="preserve"> </w:t>
      </w:r>
      <w:r>
        <w:rPr>
          <w:color w:val="231F20"/>
        </w:rPr>
        <w:t>(cervical</w:t>
      </w:r>
      <w:r>
        <w:rPr>
          <w:color w:val="231F20"/>
          <w:spacing w:val="-21"/>
        </w:rPr>
        <w:t xml:space="preserve"> </w:t>
      </w:r>
      <w:r>
        <w:rPr>
          <w:color w:val="231F20"/>
        </w:rPr>
        <w:t>cancer,</w:t>
      </w:r>
      <w:r>
        <w:rPr>
          <w:color w:val="231F20"/>
          <w:spacing w:val="-21"/>
        </w:rPr>
        <w:t xml:space="preserve"> </w:t>
      </w:r>
      <w:r>
        <w:rPr>
          <w:color w:val="231F20"/>
        </w:rPr>
        <w:t>breast cancer and prostrate); Operating cost for engaging and supervising the contractor to provide logistics</w:t>
      </w:r>
      <w:r>
        <w:rPr>
          <w:color w:val="231F20"/>
          <w:spacing w:val="-26"/>
        </w:rPr>
        <w:t xml:space="preserve"> </w:t>
      </w:r>
      <w:r>
        <w:rPr>
          <w:color w:val="231F20"/>
        </w:rPr>
        <w:t>(vehicle)</w:t>
      </w:r>
      <w:r>
        <w:rPr>
          <w:color w:val="231F20"/>
          <w:spacing w:val="-25"/>
        </w:rPr>
        <w:t xml:space="preserve"> </w:t>
      </w:r>
      <w:r>
        <w:rPr>
          <w:color w:val="231F20"/>
        </w:rPr>
        <w:t>to</w:t>
      </w:r>
      <w:r>
        <w:rPr>
          <w:color w:val="231F20"/>
          <w:spacing w:val="-25"/>
        </w:rPr>
        <w:t xml:space="preserve"> </w:t>
      </w:r>
      <w:r>
        <w:rPr>
          <w:color w:val="231F20"/>
        </w:rPr>
        <w:t>scale</w:t>
      </w:r>
      <w:r>
        <w:rPr>
          <w:color w:val="231F20"/>
          <w:spacing w:val="-25"/>
        </w:rPr>
        <w:t xml:space="preserve"> </w:t>
      </w:r>
      <w:r>
        <w:rPr>
          <w:color w:val="231F20"/>
        </w:rPr>
        <w:t>up</w:t>
      </w:r>
      <w:r>
        <w:rPr>
          <w:color w:val="231F20"/>
          <w:spacing w:val="-25"/>
        </w:rPr>
        <w:t xml:space="preserve"> </w:t>
      </w:r>
      <w:r>
        <w:rPr>
          <w:color w:val="231F20"/>
        </w:rPr>
        <w:t>screening</w:t>
      </w:r>
      <w:r>
        <w:rPr>
          <w:color w:val="231F20"/>
          <w:spacing w:val="-25"/>
        </w:rPr>
        <w:t xml:space="preserve"> </w:t>
      </w:r>
      <w:r>
        <w:rPr>
          <w:color w:val="231F20"/>
        </w:rPr>
        <w:t>and</w:t>
      </w:r>
      <w:r>
        <w:rPr>
          <w:color w:val="231F20"/>
          <w:spacing w:val="-25"/>
        </w:rPr>
        <w:t xml:space="preserve"> </w:t>
      </w:r>
      <w:r>
        <w:rPr>
          <w:color w:val="231F20"/>
        </w:rPr>
        <w:t>treatment</w:t>
      </w:r>
      <w:r>
        <w:rPr>
          <w:color w:val="231F20"/>
          <w:spacing w:val="-25"/>
        </w:rPr>
        <w:t xml:space="preserve"> </w:t>
      </w:r>
      <w:r>
        <w:rPr>
          <w:color w:val="231F20"/>
        </w:rPr>
        <w:t>of</w:t>
      </w:r>
      <w:r>
        <w:rPr>
          <w:color w:val="231F20"/>
          <w:spacing w:val="-25"/>
        </w:rPr>
        <w:t xml:space="preserve"> </w:t>
      </w:r>
      <w:r>
        <w:rPr>
          <w:color w:val="231F20"/>
        </w:rPr>
        <w:t>STIs</w:t>
      </w:r>
      <w:r>
        <w:rPr>
          <w:color w:val="231F20"/>
          <w:spacing w:val="-25"/>
        </w:rPr>
        <w:t xml:space="preserve"> </w:t>
      </w:r>
      <w:r>
        <w:rPr>
          <w:color w:val="231F20"/>
        </w:rPr>
        <w:t>to</w:t>
      </w:r>
      <w:r>
        <w:rPr>
          <w:color w:val="231F20"/>
          <w:spacing w:val="-25"/>
        </w:rPr>
        <w:t xml:space="preserve"> </w:t>
      </w:r>
      <w:r>
        <w:rPr>
          <w:color w:val="231F20"/>
        </w:rPr>
        <w:t>PHC</w:t>
      </w:r>
      <w:r>
        <w:rPr>
          <w:color w:val="231F20"/>
          <w:spacing w:val="-25"/>
        </w:rPr>
        <w:t xml:space="preserve"> </w:t>
      </w:r>
      <w:r>
        <w:rPr>
          <w:color w:val="231F20"/>
        </w:rPr>
        <w:t>level;</w:t>
      </w:r>
    </w:p>
    <w:p w14:paraId="1CE3CEED" w14:textId="77777777" w:rsidR="009948F1" w:rsidRDefault="009948F1">
      <w:pPr>
        <w:pStyle w:val="BodyText"/>
        <w:rPr>
          <w:sz w:val="25"/>
        </w:rPr>
      </w:pPr>
    </w:p>
    <w:p w14:paraId="6A8609E6" w14:textId="37AEB068" w:rsidR="009948F1" w:rsidRDefault="00BC0563">
      <w:pPr>
        <w:pStyle w:val="BodyText"/>
        <w:spacing w:line="273" w:lineRule="auto"/>
        <w:ind w:left="149"/>
      </w:pPr>
      <w:r>
        <w:rPr>
          <w:color w:val="231F20"/>
        </w:rPr>
        <w:t xml:space="preserve">Advocacy meetings to integrate HIV screening into STI management; Provide gender-based violence </w:t>
      </w:r>
      <w:r w:rsidR="00F84A0F">
        <w:rPr>
          <w:color w:val="231F20"/>
        </w:rPr>
        <w:t>counseling</w:t>
      </w:r>
      <w:r>
        <w:rPr>
          <w:color w:val="231F20"/>
        </w:rPr>
        <w:t xml:space="preserve"> and treatment services.</w:t>
      </w:r>
    </w:p>
    <w:p w14:paraId="3336B86A" w14:textId="77777777" w:rsidR="009948F1" w:rsidRDefault="009948F1">
      <w:pPr>
        <w:pStyle w:val="BodyText"/>
        <w:spacing w:before="5"/>
        <w:rPr>
          <w:sz w:val="29"/>
        </w:rPr>
      </w:pPr>
    </w:p>
    <w:p w14:paraId="554D77A6" w14:textId="77777777" w:rsidR="009948F1" w:rsidRDefault="00BC0563">
      <w:pPr>
        <w:pStyle w:val="ListParagraph"/>
        <w:numPr>
          <w:ilvl w:val="3"/>
          <w:numId w:val="293"/>
        </w:numPr>
        <w:tabs>
          <w:tab w:val="left" w:pos="868"/>
        </w:tabs>
        <w:spacing w:line="297" w:lineRule="auto"/>
        <w:ind w:left="148" w:right="197" w:firstLine="0"/>
      </w:pPr>
      <w:r>
        <w:rPr>
          <w:color w:val="231F20"/>
        </w:rPr>
        <w:t>Increase</w:t>
      </w:r>
      <w:r>
        <w:rPr>
          <w:color w:val="231F20"/>
          <w:spacing w:val="-17"/>
        </w:rPr>
        <w:t xml:space="preserve"> </w:t>
      </w:r>
      <w:r>
        <w:rPr>
          <w:color w:val="231F20"/>
        </w:rPr>
        <w:t>demand</w:t>
      </w:r>
      <w:r>
        <w:rPr>
          <w:color w:val="231F20"/>
          <w:spacing w:val="-16"/>
        </w:rPr>
        <w:t xml:space="preserve"> </w:t>
      </w:r>
      <w:r>
        <w:rPr>
          <w:color w:val="231F20"/>
        </w:rPr>
        <w:t>for</w:t>
      </w:r>
      <w:r>
        <w:rPr>
          <w:color w:val="231F20"/>
          <w:spacing w:val="-16"/>
        </w:rPr>
        <w:t xml:space="preserve"> </w:t>
      </w:r>
      <w:r>
        <w:rPr>
          <w:color w:val="231F20"/>
        </w:rPr>
        <w:t>Reproductive</w:t>
      </w:r>
      <w:r>
        <w:rPr>
          <w:color w:val="231F20"/>
          <w:spacing w:val="-16"/>
        </w:rPr>
        <w:t xml:space="preserve"> </w:t>
      </w:r>
      <w:r>
        <w:rPr>
          <w:color w:val="231F20"/>
        </w:rPr>
        <w:t>health</w:t>
      </w:r>
      <w:r>
        <w:rPr>
          <w:color w:val="231F20"/>
          <w:spacing w:val="-16"/>
        </w:rPr>
        <w:t xml:space="preserve"> </w:t>
      </w:r>
      <w:r>
        <w:rPr>
          <w:color w:val="231F20"/>
        </w:rPr>
        <w:t>services.</w:t>
      </w:r>
      <w:r>
        <w:rPr>
          <w:color w:val="231F20"/>
          <w:spacing w:val="-16"/>
        </w:rPr>
        <w:t xml:space="preserve"> </w:t>
      </w:r>
      <w:r>
        <w:rPr>
          <w:color w:val="231F20"/>
        </w:rPr>
        <w:t>Key</w:t>
      </w:r>
      <w:r>
        <w:rPr>
          <w:color w:val="231F20"/>
          <w:spacing w:val="-16"/>
        </w:rPr>
        <w:t xml:space="preserve"> </w:t>
      </w:r>
      <w:r>
        <w:rPr>
          <w:color w:val="231F20"/>
        </w:rPr>
        <w:t>actions</w:t>
      </w:r>
      <w:r>
        <w:rPr>
          <w:color w:val="231F20"/>
          <w:spacing w:val="-16"/>
        </w:rPr>
        <w:t xml:space="preserve"> </w:t>
      </w:r>
      <w:r>
        <w:rPr>
          <w:color w:val="231F20"/>
        </w:rPr>
        <w:t>include</w:t>
      </w:r>
      <w:r>
        <w:rPr>
          <w:color w:val="231F20"/>
          <w:spacing w:val="-16"/>
        </w:rPr>
        <w:t xml:space="preserve"> </w:t>
      </w:r>
      <w:r>
        <w:rPr>
          <w:color w:val="231F20"/>
        </w:rPr>
        <w:t>Conduct</w:t>
      </w:r>
      <w:r>
        <w:rPr>
          <w:color w:val="231F20"/>
          <w:spacing w:val="-17"/>
        </w:rPr>
        <w:t xml:space="preserve"> </w:t>
      </w:r>
      <w:r>
        <w:rPr>
          <w:color w:val="231F20"/>
        </w:rPr>
        <w:t>advocacy for enabling legislations, policies and funding for RH; Develop communication materials for</w:t>
      </w:r>
      <w:r>
        <w:rPr>
          <w:color w:val="231F20"/>
          <w:spacing w:val="-35"/>
        </w:rPr>
        <w:t xml:space="preserve"> </w:t>
      </w:r>
      <w:r>
        <w:rPr>
          <w:color w:val="231F20"/>
          <w:spacing w:val="-4"/>
        </w:rPr>
        <w:t xml:space="preserve">BCC; </w:t>
      </w:r>
      <w:r>
        <w:rPr>
          <w:color w:val="231F20"/>
        </w:rPr>
        <w:t xml:space="preserve">Conduct BCC interventions at all levels (from community to health facility, </w:t>
      </w:r>
      <w:proofErr w:type="spellStart"/>
      <w:r>
        <w:rPr>
          <w:color w:val="231F20"/>
        </w:rPr>
        <w:t>etc</w:t>
      </w:r>
      <w:proofErr w:type="spellEnd"/>
      <w:r>
        <w:rPr>
          <w:color w:val="231F20"/>
        </w:rPr>
        <w:t xml:space="preserve">, including use </w:t>
      </w:r>
      <w:r>
        <w:rPr>
          <w:color w:val="231F20"/>
          <w:spacing w:val="-6"/>
        </w:rPr>
        <w:t xml:space="preserve">of </w:t>
      </w:r>
      <w:r>
        <w:rPr>
          <w:color w:val="231F20"/>
        </w:rPr>
        <w:t xml:space="preserve">media); Sensitization meetings with community stakeholders (WDCs, Chiefs, Elders, CDC, Religious groups, </w:t>
      </w:r>
      <w:r>
        <w:rPr>
          <w:color w:val="231F20"/>
          <w:spacing w:val="-5"/>
        </w:rPr>
        <w:t xml:space="preserve">Youth </w:t>
      </w:r>
      <w:r>
        <w:rPr>
          <w:color w:val="231F20"/>
        </w:rPr>
        <w:t>leaders, Women group, market women, male groups (including Muslim youths) at the local Government level on Family Planning Services; Sensitization meeting with stakeholders</w:t>
      </w:r>
      <w:r>
        <w:rPr>
          <w:color w:val="231F20"/>
          <w:spacing w:val="-25"/>
        </w:rPr>
        <w:t xml:space="preserve"> </w:t>
      </w:r>
      <w:r>
        <w:rPr>
          <w:color w:val="231F20"/>
        </w:rPr>
        <w:t>to</w:t>
      </w:r>
      <w:r>
        <w:rPr>
          <w:color w:val="231F20"/>
          <w:spacing w:val="-26"/>
        </w:rPr>
        <w:t xml:space="preserve"> </w:t>
      </w:r>
      <w:r>
        <w:rPr>
          <w:color w:val="231F20"/>
        </w:rPr>
        <w:t>get</w:t>
      </w:r>
      <w:r>
        <w:rPr>
          <w:color w:val="231F20"/>
          <w:spacing w:val="-25"/>
        </w:rPr>
        <w:t xml:space="preserve"> </w:t>
      </w:r>
      <w:r>
        <w:rPr>
          <w:color w:val="231F20"/>
        </w:rPr>
        <w:t>involved</w:t>
      </w:r>
      <w:r>
        <w:rPr>
          <w:color w:val="231F20"/>
          <w:spacing w:val="-25"/>
        </w:rPr>
        <w:t xml:space="preserve"> </w:t>
      </w:r>
      <w:r>
        <w:rPr>
          <w:color w:val="231F20"/>
        </w:rPr>
        <w:t>in</w:t>
      </w:r>
      <w:r>
        <w:rPr>
          <w:color w:val="231F20"/>
          <w:spacing w:val="-25"/>
        </w:rPr>
        <w:t xml:space="preserve"> </w:t>
      </w:r>
      <w:r>
        <w:rPr>
          <w:color w:val="231F20"/>
        </w:rPr>
        <w:t>RH</w:t>
      </w:r>
      <w:r>
        <w:rPr>
          <w:color w:val="231F20"/>
          <w:spacing w:val="-25"/>
        </w:rPr>
        <w:t xml:space="preserve"> </w:t>
      </w:r>
      <w:r>
        <w:rPr>
          <w:color w:val="231F20"/>
        </w:rPr>
        <w:t>interventions</w:t>
      </w:r>
      <w:r>
        <w:rPr>
          <w:color w:val="231F20"/>
          <w:spacing w:val="-25"/>
        </w:rPr>
        <w:t xml:space="preserve"> </w:t>
      </w:r>
      <w:r>
        <w:rPr>
          <w:color w:val="231F20"/>
        </w:rPr>
        <w:t>at</w:t>
      </w:r>
      <w:r>
        <w:rPr>
          <w:color w:val="231F20"/>
          <w:spacing w:val="-25"/>
        </w:rPr>
        <w:t xml:space="preserve"> </w:t>
      </w:r>
      <w:r>
        <w:rPr>
          <w:color w:val="231F20"/>
        </w:rPr>
        <w:t>state</w:t>
      </w:r>
      <w:r>
        <w:rPr>
          <w:color w:val="231F20"/>
          <w:spacing w:val="-25"/>
        </w:rPr>
        <w:t xml:space="preserve"> </w:t>
      </w:r>
      <w:r>
        <w:rPr>
          <w:color w:val="231F20"/>
        </w:rPr>
        <w:t>level.</w:t>
      </w:r>
    </w:p>
    <w:p w14:paraId="17F3FD8A" w14:textId="77777777" w:rsidR="009948F1" w:rsidRDefault="009948F1">
      <w:pPr>
        <w:spacing w:line="297" w:lineRule="auto"/>
        <w:jc w:val="both"/>
        <w:sectPr w:rsidR="009948F1">
          <w:pgSz w:w="11910" w:h="16840"/>
          <w:pgMar w:top="1200" w:right="1080" w:bottom="1420" w:left="1120" w:header="0" w:footer="1235" w:gutter="0"/>
          <w:cols w:space="720"/>
        </w:sectPr>
      </w:pPr>
    </w:p>
    <w:p w14:paraId="06524FA2" w14:textId="77777777" w:rsidR="009948F1" w:rsidRDefault="00BC0563">
      <w:pPr>
        <w:pStyle w:val="ListParagraph"/>
        <w:numPr>
          <w:ilvl w:val="3"/>
          <w:numId w:val="293"/>
        </w:numPr>
        <w:tabs>
          <w:tab w:val="left" w:pos="922"/>
        </w:tabs>
        <w:spacing w:before="35" w:line="273" w:lineRule="auto"/>
        <w:ind w:left="178" w:right="163" w:firstLine="0"/>
      </w:pPr>
      <w:bookmarkStart w:id="64" w:name="Page_50"/>
      <w:bookmarkEnd w:id="64"/>
      <w:r>
        <w:rPr>
          <w:color w:val="231F20"/>
        </w:rPr>
        <w:lastRenderedPageBreak/>
        <w:t>Expand access to comprehensive, quality family planning services. Key actions include; Increase number of FP services delivery points, including outreaches, and community-based distribution,</w:t>
      </w:r>
      <w:r>
        <w:rPr>
          <w:color w:val="231F20"/>
          <w:spacing w:val="-8"/>
        </w:rPr>
        <w:t xml:space="preserve"> </w:t>
      </w:r>
      <w:r>
        <w:rPr>
          <w:color w:val="231F20"/>
        </w:rPr>
        <w:t>Observe</w:t>
      </w:r>
      <w:r>
        <w:rPr>
          <w:color w:val="231F20"/>
          <w:spacing w:val="-7"/>
        </w:rPr>
        <w:t xml:space="preserve"> </w:t>
      </w:r>
      <w:r>
        <w:rPr>
          <w:color w:val="231F20"/>
        </w:rPr>
        <w:t>World</w:t>
      </w:r>
      <w:r>
        <w:rPr>
          <w:color w:val="231F20"/>
          <w:spacing w:val="-7"/>
        </w:rPr>
        <w:t xml:space="preserve"> </w:t>
      </w:r>
      <w:r>
        <w:rPr>
          <w:color w:val="231F20"/>
        </w:rPr>
        <w:t>Contraceptive</w:t>
      </w:r>
      <w:r>
        <w:rPr>
          <w:color w:val="231F20"/>
          <w:spacing w:val="-7"/>
        </w:rPr>
        <w:t xml:space="preserve"> </w:t>
      </w:r>
      <w:r>
        <w:rPr>
          <w:color w:val="231F20"/>
          <w:spacing w:val="-5"/>
        </w:rPr>
        <w:t>Day,</w:t>
      </w:r>
      <w:r>
        <w:rPr>
          <w:color w:val="231F20"/>
          <w:spacing w:val="-7"/>
        </w:rPr>
        <w:t xml:space="preserve"> </w:t>
      </w:r>
      <w:r>
        <w:rPr>
          <w:color w:val="231F20"/>
        </w:rPr>
        <w:t>Implement</w:t>
      </w:r>
      <w:r>
        <w:rPr>
          <w:color w:val="231F20"/>
          <w:spacing w:val="-7"/>
        </w:rPr>
        <w:t xml:space="preserve"> </w:t>
      </w:r>
      <w:r>
        <w:rPr>
          <w:color w:val="231F20"/>
        </w:rPr>
        <w:t>task</w:t>
      </w:r>
      <w:r>
        <w:rPr>
          <w:color w:val="231F20"/>
          <w:spacing w:val="-8"/>
        </w:rPr>
        <w:t xml:space="preserve"> </w:t>
      </w:r>
      <w:r>
        <w:rPr>
          <w:color w:val="231F20"/>
        </w:rPr>
        <w:t>shifting</w:t>
      </w:r>
      <w:r>
        <w:rPr>
          <w:color w:val="231F20"/>
          <w:spacing w:val="-7"/>
        </w:rPr>
        <w:t xml:space="preserve"> </w:t>
      </w:r>
      <w:r>
        <w:rPr>
          <w:color w:val="231F20"/>
        </w:rPr>
        <w:t>in</w:t>
      </w:r>
      <w:r>
        <w:rPr>
          <w:color w:val="231F20"/>
          <w:spacing w:val="-7"/>
        </w:rPr>
        <w:t xml:space="preserve"> </w:t>
      </w:r>
      <w:r>
        <w:rPr>
          <w:color w:val="231F20"/>
        </w:rPr>
        <w:t>FP</w:t>
      </w:r>
      <w:r>
        <w:rPr>
          <w:color w:val="231F20"/>
          <w:spacing w:val="-11"/>
        </w:rPr>
        <w:t xml:space="preserve"> </w:t>
      </w:r>
      <w:r>
        <w:rPr>
          <w:color w:val="231F20"/>
        </w:rPr>
        <w:t>service</w:t>
      </w:r>
      <w:r>
        <w:rPr>
          <w:color w:val="231F20"/>
          <w:spacing w:val="-7"/>
        </w:rPr>
        <w:t xml:space="preserve"> </w:t>
      </w:r>
      <w:r>
        <w:rPr>
          <w:color w:val="231F20"/>
        </w:rPr>
        <w:t>provision</w:t>
      </w:r>
      <w:r>
        <w:rPr>
          <w:color w:val="231F20"/>
          <w:spacing w:val="-7"/>
        </w:rPr>
        <w:t xml:space="preserve"> </w:t>
      </w:r>
      <w:r>
        <w:rPr>
          <w:color w:val="231F20"/>
        </w:rPr>
        <w:t>by training</w:t>
      </w:r>
      <w:r>
        <w:rPr>
          <w:color w:val="231F20"/>
          <w:spacing w:val="-25"/>
        </w:rPr>
        <w:t xml:space="preserve"> </w:t>
      </w:r>
      <w:r>
        <w:rPr>
          <w:color w:val="231F20"/>
        </w:rPr>
        <w:t>and</w:t>
      </w:r>
      <w:r>
        <w:rPr>
          <w:color w:val="231F20"/>
          <w:spacing w:val="-25"/>
        </w:rPr>
        <w:t xml:space="preserve"> </w:t>
      </w:r>
      <w:r>
        <w:rPr>
          <w:color w:val="231F20"/>
        </w:rPr>
        <w:t>using</w:t>
      </w:r>
      <w:r>
        <w:rPr>
          <w:color w:val="231F20"/>
          <w:spacing w:val="-25"/>
        </w:rPr>
        <w:t xml:space="preserve"> </w:t>
      </w:r>
      <w:r>
        <w:rPr>
          <w:color w:val="231F20"/>
        </w:rPr>
        <w:t>CHEWs</w:t>
      </w:r>
      <w:r>
        <w:rPr>
          <w:color w:val="231F20"/>
          <w:spacing w:val="-25"/>
        </w:rPr>
        <w:t xml:space="preserve"> </w:t>
      </w:r>
      <w:r>
        <w:rPr>
          <w:color w:val="231F20"/>
        </w:rPr>
        <w:t>for</w:t>
      </w:r>
      <w:r>
        <w:rPr>
          <w:color w:val="231F20"/>
          <w:spacing w:val="-25"/>
        </w:rPr>
        <w:t xml:space="preserve"> </w:t>
      </w:r>
      <w:r>
        <w:rPr>
          <w:color w:val="231F20"/>
        </w:rPr>
        <w:t>long</w:t>
      </w:r>
      <w:r>
        <w:rPr>
          <w:color w:val="231F20"/>
          <w:spacing w:val="-25"/>
        </w:rPr>
        <w:t xml:space="preserve"> </w:t>
      </w:r>
      <w:r>
        <w:rPr>
          <w:color w:val="231F20"/>
        </w:rPr>
        <w:t>lasting</w:t>
      </w:r>
      <w:r>
        <w:rPr>
          <w:color w:val="231F20"/>
          <w:spacing w:val="-25"/>
        </w:rPr>
        <w:t xml:space="preserve"> </w:t>
      </w:r>
      <w:r>
        <w:rPr>
          <w:color w:val="231F20"/>
        </w:rPr>
        <w:t>FP</w:t>
      </w:r>
      <w:r>
        <w:rPr>
          <w:color w:val="231F20"/>
          <w:spacing w:val="-29"/>
        </w:rPr>
        <w:t xml:space="preserve"> </w:t>
      </w:r>
      <w:r>
        <w:rPr>
          <w:color w:val="231F20"/>
        </w:rPr>
        <w:t>methods</w:t>
      </w:r>
      <w:r>
        <w:rPr>
          <w:color w:val="231F20"/>
          <w:spacing w:val="-24"/>
        </w:rPr>
        <w:t xml:space="preserve"> </w:t>
      </w:r>
      <w:r>
        <w:rPr>
          <w:color w:val="231F20"/>
        </w:rPr>
        <w:t>and</w:t>
      </w:r>
      <w:r>
        <w:rPr>
          <w:color w:val="231F20"/>
          <w:spacing w:val="-25"/>
        </w:rPr>
        <w:t xml:space="preserve"> </w:t>
      </w:r>
      <w:r>
        <w:rPr>
          <w:color w:val="231F20"/>
        </w:rPr>
        <w:t>community</w:t>
      </w:r>
      <w:r>
        <w:rPr>
          <w:color w:val="231F20"/>
          <w:spacing w:val="-25"/>
        </w:rPr>
        <w:t xml:space="preserve"> </w:t>
      </w:r>
      <w:r>
        <w:rPr>
          <w:color w:val="231F20"/>
        </w:rPr>
        <w:t>volunteers;</w:t>
      </w:r>
      <w:r>
        <w:rPr>
          <w:color w:val="231F20"/>
          <w:spacing w:val="-25"/>
        </w:rPr>
        <w:t xml:space="preserve"> </w:t>
      </w:r>
      <w:r>
        <w:rPr>
          <w:color w:val="231F20"/>
        </w:rPr>
        <w:t>Conduct</w:t>
      </w:r>
      <w:r>
        <w:rPr>
          <w:color w:val="231F20"/>
          <w:spacing w:val="-25"/>
        </w:rPr>
        <w:t xml:space="preserve"> </w:t>
      </w:r>
      <w:r>
        <w:rPr>
          <w:color w:val="231F20"/>
        </w:rPr>
        <w:t>training of</w:t>
      </w:r>
      <w:r>
        <w:rPr>
          <w:color w:val="231F20"/>
          <w:spacing w:val="-7"/>
        </w:rPr>
        <w:t xml:space="preserve"> </w:t>
      </w:r>
      <w:r>
        <w:rPr>
          <w:color w:val="231F20"/>
        </w:rPr>
        <w:t>health</w:t>
      </w:r>
      <w:r>
        <w:rPr>
          <w:color w:val="231F20"/>
          <w:spacing w:val="-6"/>
        </w:rPr>
        <w:t xml:space="preserve"> </w:t>
      </w:r>
      <w:r>
        <w:rPr>
          <w:color w:val="231F20"/>
        </w:rPr>
        <w:t>care</w:t>
      </w:r>
      <w:r>
        <w:rPr>
          <w:color w:val="231F20"/>
          <w:spacing w:val="-6"/>
        </w:rPr>
        <w:t xml:space="preserve"> </w:t>
      </w:r>
      <w:r>
        <w:rPr>
          <w:color w:val="231F20"/>
        </w:rPr>
        <w:t>providers</w:t>
      </w:r>
      <w:r>
        <w:rPr>
          <w:color w:val="231F20"/>
          <w:spacing w:val="-6"/>
        </w:rPr>
        <w:t xml:space="preserve"> </w:t>
      </w:r>
      <w:r>
        <w:rPr>
          <w:color w:val="231F20"/>
        </w:rPr>
        <w:t>in</w:t>
      </w:r>
      <w:r>
        <w:rPr>
          <w:color w:val="231F20"/>
          <w:spacing w:val="-6"/>
        </w:rPr>
        <w:t xml:space="preserve"> </w:t>
      </w:r>
      <w:r>
        <w:rPr>
          <w:color w:val="231F20"/>
        </w:rPr>
        <w:t>comprehensive</w:t>
      </w:r>
      <w:r>
        <w:rPr>
          <w:color w:val="231F20"/>
          <w:spacing w:val="-6"/>
        </w:rPr>
        <w:t xml:space="preserve"> </w:t>
      </w:r>
      <w:r>
        <w:rPr>
          <w:color w:val="231F20"/>
        </w:rPr>
        <w:t>FP</w:t>
      </w:r>
      <w:r>
        <w:rPr>
          <w:color w:val="231F20"/>
          <w:spacing w:val="-10"/>
        </w:rPr>
        <w:t xml:space="preserve"> </w:t>
      </w:r>
      <w:r>
        <w:rPr>
          <w:color w:val="231F20"/>
        </w:rPr>
        <w:t>services</w:t>
      </w:r>
      <w:r>
        <w:rPr>
          <w:color w:val="231F20"/>
          <w:spacing w:val="-6"/>
        </w:rPr>
        <w:t xml:space="preserve"> </w:t>
      </w:r>
      <w:r>
        <w:rPr>
          <w:color w:val="231F20"/>
        </w:rPr>
        <w:t>provision,</w:t>
      </w:r>
      <w:r>
        <w:rPr>
          <w:color w:val="231F20"/>
          <w:spacing w:val="-7"/>
        </w:rPr>
        <w:t xml:space="preserve"> </w:t>
      </w:r>
      <w:r>
        <w:rPr>
          <w:color w:val="231F20"/>
        </w:rPr>
        <w:t>including</w:t>
      </w:r>
      <w:r>
        <w:rPr>
          <w:color w:val="231F20"/>
          <w:spacing w:val="-6"/>
        </w:rPr>
        <w:t xml:space="preserve"> </w:t>
      </w:r>
      <w:r>
        <w:rPr>
          <w:color w:val="231F20"/>
        </w:rPr>
        <w:t>LARC;</w:t>
      </w:r>
      <w:r>
        <w:rPr>
          <w:color w:val="231F20"/>
          <w:spacing w:val="-6"/>
        </w:rPr>
        <w:t xml:space="preserve"> </w:t>
      </w:r>
      <w:r>
        <w:rPr>
          <w:color w:val="231F20"/>
        </w:rPr>
        <w:t>Operating</w:t>
      </w:r>
      <w:r>
        <w:rPr>
          <w:color w:val="231F20"/>
          <w:spacing w:val="-6"/>
        </w:rPr>
        <w:t xml:space="preserve"> </w:t>
      </w:r>
      <w:r>
        <w:rPr>
          <w:color w:val="231F20"/>
        </w:rPr>
        <w:t>cost for engaging and supervising the contractor to provide logistics to ensure sustainable FP commodity</w:t>
      </w:r>
      <w:r>
        <w:rPr>
          <w:color w:val="231F20"/>
          <w:spacing w:val="-25"/>
        </w:rPr>
        <w:t xml:space="preserve"> </w:t>
      </w:r>
      <w:r>
        <w:rPr>
          <w:color w:val="231F20"/>
        </w:rPr>
        <w:t>supply</w:t>
      </w:r>
      <w:r>
        <w:rPr>
          <w:color w:val="231F20"/>
          <w:spacing w:val="-25"/>
        </w:rPr>
        <w:t xml:space="preserve"> </w:t>
      </w:r>
      <w:r>
        <w:rPr>
          <w:color w:val="231F20"/>
        </w:rPr>
        <w:t>chain</w:t>
      </w:r>
      <w:r>
        <w:rPr>
          <w:color w:val="231F20"/>
          <w:spacing w:val="-26"/>
        </w:rPr>
        <w:t xml:space="preserve"> </w:t>
      </w:r>
      <w:r>
        <w:rPr>
          <w:color w:val="231F20"/>
        </w:rPr>
        <w:t>management</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1EC5ABAE" w14:textId="77777777" w:rsidR="009948F1" w:rsidRDefault="009948F1">
      <w:pPr>
        <w:pStyle w:val="BodyText"/>
        <w:spacing w:before="1"/>
        <w:rPr>
          <w:sz w:val="25"/>
        </w:rPr>
      </w:pPr>
    </w:p>
    <w:p w14:paraId="20580409" w14:textId="49C52185" w:rsidR="009948F1" w:rsidRDefault="00BC0563">
      <w:pPr>
        <w:pStyle w:val="ListParagraph"/>
        <w:numPr>
          <w:ilvl w:val="3"/>
          <w:numId w:val="293"/>
        </w:numPr>
        <w:tabs>
          <w:tab w:val="left" w:pos="893"/>
        </w:tabs>
        <w:spacing w:line="273" w:lineRule="auto"/>
        <w:ind w:left="177" w:right="167" w:firstLine="0"/>
      </w:pPr>
      <w:r>
        <w:rPr>
          <w:color w:val="231F20"/>
        </w:rPr>
        <w:t>Strengthen</w:t>
      </w:r>
      <w:r>
        <w:rPr>
          <w:color w:val="231F20"/>
          <w:spacing w:val="-20"/>
        </w:rPr>
        <w:t xml:space="preserve"> </w:t>
      </w:r>
      <w:r>
        <w:rPr>
          <w:color w:val="231F20"/>
        </w:rPr>
        <w:t>and</w:t>
      </w:r>
      <w:r>
        <w:rPr>
          <w:color w:val="231F20"/>
          <w:spacing w:val="-20"/>
        </w:rPr>
        <w:t xml:space="preserve"> </w:t>
      </w:r>
      <w:r>
        <w:rPr>
          <w:color w:val="231F20"/>
        </w:rPr>
        <w:t>integrate</w:t>
      </w:r>
      <w:r>
        <w:rPr>
          <w:color w:val="231F20"/>
          <w:spacing w:val="-20"/>
        </w:rPr>
        <w:t xml:space="preserve"> </w:t>
      </w:r>
      <w:r>
        <w:rPr>
          <w:color w:val="231F20"/>
        </w:rPr>
        <w:t>Family</w:t>
      </w:r>
      <w:r>
        <w:rPr>
          <w:color w:val="231F20"/>
          <w:spacing w:val="-20"/>
        </w:rPr>
        <w:t xml:space="preserve"> </w:t>
      </w:r>
      <w:r>
        <w:rPr>
          <w:color w:val="231F20"/>
        </w:rPr>
        <w:t>Planning</w:t>
      </w:r>
      <w:r>
        <w:rPr>
          <w:color w:val="231F20"/>
          <w:spacing w:val="-20"/>
        </w:rPr>
        <w:t xml:space="preserve"> </w:t>
      </w:r>
      <w:r>
        <w:rPr>
          <w:color w:val="231F20"/>
        </w:rPr>
        <w:t>and</w:t>
      </w:r>
      <w:r>
        <w:rPr>
          <w:color w:val="231F20"/>
          <w:spacing w:val="-20"/>
        </w:rPr>
        <w:t xml:space="preserve"> </w:t>
      </w:r>
      <w:r>
        <w:rPr>
          <w:color w:val="231F20"/>
        </w:rPr>
        <w:t>Post</w:t>
      </w:r>
      <w:r>
        <w:rPr>
          <w:color w:val="231F20"/>
          <w:spacing w:val="-33"/>
        </w:rPr>
        <w:t xml:space="preserve"> </w:t>
      </w:r>
      <w:r>
        <w:rPr>
          <w:color w:val="231F20"/>
        </w:rPr>
        <w:t>Abortion</w:t>
      </w:r>
      <w:r>
        <w:rPr>
          <w:color w:val="231F20"/>
          <w:spacing w:val="-20"/>
        </w:rPr>
        <w:t xml:space="preserve"> </w:t>
      </w:r>
      <w:r>
        <w:rPr>
          <w:color w:val="231F20"/>
        </w:rPr>
        <w:t>Care</w:t>
      </w:r>
      <w:r>
        <w:rPr>
          <w:color w:val="231F20"/>
          <w:spacing w:val="-20"/>
        </w:rPr>
        <w:t xml:space="preserve"> </w:t>
      </w:r>
      <w:r>
        <w:rPr>
          <w:color w:val="231F20"/>
        </w:rPr>
        <w:t>services</w:t>
      </w:r>
      <w:r>
        <w:rPr>
          <w:color w:val="231F20"/>
          <w:spacing w:val="-20"/>
        </w:rPr>
        <w:t xml:space="preserve"> </w:t>
      </w:r>
      <w:r>
        <w:rPr>
          <w:color w:val="231F20"/>
        </w:rPr>
        <w:t>at</w:t>
      </w:r>
      <w:r>
        <w:rPr>
          <w:color w:val="231F20"/>
          <w:spacing w:val="-20"/>
        </w:rPr>
        <w:t xml:space="preserve"> </w:t>
      </w:r>
      <w:r>
        <w:rPr>
          <w:color w:val="231F20"/>
        </w:rPr>
        <w:t>all</w:t>
      </w:r>
      <w:r>
        <w:rPr>
          <w:color w:val="231F20"/>
          <w:spacing w:val="-20"/>
        </w:rPr>
        <w:t xml:space="preserve"> </w:t>
      </w:r>
      <w:r>
        <w:rPr>
          <w:color w:val="231F20"/>
        </w:rPr>
        <w:t>levels.</w:t>
      </w:r>
      <w:r>
        <w:rPr>
          <w:color w:val="231F20"/>
          <w:spacing w:val="-20"/>
        </w:rPr>
        <w:t xml:space="preserve"> </w:t>
      </w:r>
      <w:r>
        <w:rPr>
          <w:color w:val="231F20"/>
          <w:spacing w:val="-5"/>
        </w:rPr>
        <w:t xml:space="preserve">Key </w:t>
      </w:r>
      <w:r>
        <w:rPr>
          <w:color w:val="231F20"/>
        </w:rPr>
        <w:t>actions</w:t>
      </w:r>
      <w:r>
        <w:rPr>
          <w:color w:val="231F20"/>
          <w:spacing w:val="-16"/>
        </w:rPr>
        <w:t xml:space="preserve"> </w:t>
      </w:r>
      <w:r>
        <w:rPr>
          <w:color w:val="231F20"/>
        </w:rPr>
        <w:t>include</w:t>
      </w:r>
      <w:r>
        <w:rPr>
          <w:color w:val="231F20"/>
          <w:spacing w:val="-16"/>
        </w:rPr>
        <w:t xml:space="preserve"> </w:t>
      </w:r>
      <w:r>
        <w:rPr>
          <w:color w:val="231F20"/>
        </w:rPr>
        <w:t>Conduct</w:t>
      </w:r>
      <w:r>
        <w:rPr>
          <w:color w:val="231F20"/>
          <w:spacing w:val="-16"/>
        </w:rPr>
        <w:t xml:space="preserve"> </w:t>
      </w:r>
      <w:r>
        <w:rPr>
          <w:color w:val="231F20"/>
        </w:rPr>
        <w:t>train</w:t>
      </w:r>
      <w:r w:rsidR="00C14694">
        <w:rPr>
          <w:color w:val="231F20"/>
        </w:rPr>
        <w:t>ing</w:t>
      </w:r>
      <w:r>
        <w:rPr>
          <w:color w:val="231F20"/>
          <w:spacing w:val="-16"/>
        </w:rPr>
        <w:t xml:space="preserve"> </w:t>
      </w:r>
      <w:r>
        <w:rPr>
          <w:color w:val="231F20"/>
        </w:rPr>
        <w:t>&amp;</w:t>
      </w:r>
      <w:r>
        <w:rPr>
          <w:color w:val="231F20"/>
          <w:spacing w:val="-16"/>
        </w:rPr>
        <w:t xml:space="preserve"> </w:t>
      </w:r>
      <w:r>
        <w:rPr>
          <w:color w:val="231F20"/>
        </w:rPr>
        <w:t>re-train</w:t>
      </w:r>
      <w:r w:rsidR="00C14694">
        <w:rPr>
          <w:color w:val="231F20"/>
        </w:rPr>
        <w:t>ing</w:t>
      </w:r>
      <w:r>
        <w:rPr>
          <w:color w:val="231F20"/>
          <w:spacing w:val="-16"/>
        </w:rPr>
        <w:t xml:space="preserve"> </w:t>
      </w:r>
      <w:r>
        <w:rPr>
          <w:color w:val="231F20"/>
        </w:rPr>
        <w:t>workshops</w:t>
      </w:r>
      <w:r>
        <w:rPr>
          <w:color w:val="231F20"/>
          <w:spacing w:val="-16"/>
        </w:rPr>
        <w:t xml:space="preserve"> </w:t>
      </w:r>
      <w:r>
        <w:rPr>
          <w:color w:val="231F20"/>
        </w:rPr>
        <w:t>for</w:t>
      </w:r>
      <w:r>
        <w:rPr>
          <w:color w:val="231F20"/>
          <w:spacing w:val="-16"/>
        </w:rPr>
        <w:t xml:space="preserve"> </w:t>
      </w:r>
      <w:r>
        <w:rPr>
          <w:color w:val="231F20"/>
        </w:rPr>
        <w:t>Family</w:t>
      </w:r>
      <w:r>
        <w:rPr>
          <w:color w:val="231F20"/>
          <w:spacing w:val="-16"/>
        </w:rPr>
        <w:t xml:space="preserve"> </w:t>
      </w:r>
      <w:r>
        <w:rPr>
          <w:color w:val="231F20"/>
        </w:rPr>
        <w:t>Planning</w:t>
      </w:r>
      <w:r>
        <w:rPr>
          <w:color w:val="231F20"/>
          <w:spacing w:val="-16"/>
        </w:rPr>
        <w:t xml:space="preserve"> </w:t>
      </w:r>
      <w:r>
        <w:rPr>
          <w:color w:val="231F20"/>
        </w:rPr>
        <w:t>providers</w:t>
      </w:r>
      <w:r>
        <w:rPr>
          <w:color w:val="231F20"/>
          <w:spacing w:val="-16"/>
        </w:rPr>
        <w:t xml:space="preserve"> </w:t>
      </w:r>
      <w:r>
        <w:rPr>
          <w:color w:val="231F20"/>
        </w:rPr>
        <w:t>to</w:t>
      </w:r>
      <w:r>
        <w:rPr>
          <w:color w:val="231F20"/>
          <w:spacing w:val="-16"/>
        </w:rPr>
        <w:t xml:space="preserve"> </w:t>
      </w:r>
      <w:r>
        <w:rPr>
          <w:color w:val="231F20"/>
        </w:rPr>
        <w:t>provide</w:t>
      </w:r>
      <w:r>
        <w:rPr>
          <w:color w:val="231F20"/>
          <w:spacing w:val="-16"/>
        </w:rPr>
        <w:t xml:space="preserve"> </w:t>
      </w:r>
      <w:r>
        <w:rPr>
          <w:color w:val="231F20"/>
        </w:rPr>
        <w:t>Family Planning</w:t>
      </w:r>
      <w:r>
        <w:rPr>
          <w:color w:val="231F20"/>
          <w:spacing w:val="-16"/>
        </w:rPr>
        <w:t xml:space="preserve"> </w:t>
      </w:r>
      <w:r>
        <w:rPr>
          <w:color w:val="231F20"/>
        </w:rPr>
        <w:t>&amp;</w:t>
      </w:r>
      <w:r>
        <w:rPr>
          <w:color w:val="231F20"/>
          <w:spacing w:val="-16"/>
        </w:rPr>
        <w:t xml:space="preserve"> </w:t>
      </w:r>
      <w:r>
        <w:rPr>
          <w:color w:val="231F20"/>
        </w:rPr>
        <w:t>Post</w:t>
      </w:r>
      <w:r>
        <w:rPr>
          <w:color w:val="231F20"/>
          <w:spacing w:val="-28"/>
        </w:rPr>
        <w:t xml:space="preserve"> </w:t>
      </w:r>
      <w:r>
        <w:rPr>
          <w:color w:val="231F20"/>
        </w:rPr>
        <w:t>Abortion</w:t>
      </w:r>
      <w:r>
        <w:rPr>
          <w:color w:val="231F20"/>
          <w:spacing w:val="-16"/>
        </w:rPr>
        <w:t xml:space="preserve"> </w:t>
      </w:r>
      <w:r>
        <w:rPr>
          <w:color w:val="231F20"/>
        </w:rPr>
        <w:t>Care</w:t>
      </w:r>
      <w:r>
        <w:rPr>
          <w:color w:val="231F20"/>
          <w:spacing w:val="-16"/>
        </w:rPr>
        <w:t xml:space="preserve"> </w:t>
      </w:r>
      <w:r>
        <w:rPr>
          <w:color w:val="231F20"/>
        </w:rPr>
        <w:t>services;</w:t>
      </w:r>
      <w:r>
        <w:rPr>
          <w:color w:val="231F20"/>
          <w:spacing w:val="-16"/>
        </w:rPr>
        <w:t xml:space="preserve"> </w:t>
      </w:r>
      <w:r>
        <w:rPr>
          <w:color w:val="231F20"/>
        </w:rPr>
        <w:t>Provide</w:t>
      </w:r>
      <w:r>
        <w:rPr>
          <w:color w:val="231F20"/>
          <w:spacing w:val="-16"/>
        </w:rPr>
        <w:t xml:space="preserve"> </w:t>
      </w:r>
      <w:r w:rsidR="0006081A">
        <w:rPr>
          <w:color w:val="231F20"/>
        </w:rPr>
        <w:t>counseling</w:t>
      </w:r>
      <w:r>
        <w:rPr>
          <w:color w:val="231F20"/>
          <w:spacing w:val="-15"/>
        </w:rPr>
        <w:t xml:space="preserve"> </w:t>
      </w:r>
      <w:r>
        <w:rPr>
          <w:color w:val="231F20"/>
        </w:rPr>
        <w:t>and</w:t>
      </w:r>
      <w:r>
        <w:rPr>
          <w:color w:val="231F20"/>
          <w:spacing w:val="-16"/>
        </w:rPr>
        <w:t xml:space="preserve"> </w:t>
      </w:r>
      <w:r>
        <w:rPr>
          <w:color w:val="231F20"/>
        </w:rPr>
        <w:t>family</w:t>
      </w:r>
      <w:r>
        <w:rPr>
          <w:color w:val="231F20"/>
          <w:spacing w:val="-16"/>
        </w:rPr>
        <w:t xml:space="preserve"> </w:t>
      </w:r>
      <w:r>
        <w:rPr>
          <w:color w:val="231F20"/>
        </w:rPr>
        <w:t>planning</w:t>
      </w:r>
      <w:r>
        <w:rPr>
          <w:color w:val="231F20"/>
          <w:spacing w:val="-16"/>
        </w:rPr>
        <w:t xml:space="preserve"> </w:t>
      </w:r>
      <w:r>
        <w:rPr>
          <w:color w:val="231F20"/>
        </w:rPr>
        <w:t>services</w:t>
      </w:r>
      <w:r>
        <w:rPr>
          <w:color w:val="231F20"/>
          <w:spacing w:val="-16"/>
        </w:rPr>
        <w:t xml:space="preserve"> </w:t>
      </w:r>
      <w:r>
        <w:rPr>
          <w:color w:val="231F20"/>
        </w:rPr>
        <w:t>for</w:t>
      </w:r>
      <w:r>
        <w:rPr>
          <w:color w:val="231F20"/>
          <w:spacing w:val="-16"/>
        </w:rPr>
        <w:t xml:space="preserve"> </w:t>
      </w:r>
      <w:r>
        <w:rPr>
          <w:color w:val="231F20"/>
          <w:spacing w:val="-3"/>
        </w:rPr>
        <w:t xml:space="preserve">post- </w:t>
      </w:r>
      <w:r>
        <w:rPr>
          <w:color w:val="231F20"/>
        </w:rPr>
        <w:t>abortion</w:t>
      </w:r>
      <w:r>
        <w:rPr>
          <w:color w:val="231F20"/>
          <w:spacing w:val="-15"/>
        </w:rPr>
        <w:t xml:space="preserve"> </w:t>
      </w:r>
      <w:r>
        <w:rPr>
          <w:color w:val="231F20"/>
        </w:rPr>
        <w:t>care</w:t>
      </w:r>
      <w:r>
        <w:rPr>
          <w:color w:val="231F20"/>
          <w:spacing w:val="-14"/>
        </w:rPr>
        <w:t xml:space="preserve"> </w:t>
      </w:r>
      <w:r>
        <w:rPr>
          <w:color w:val="231F20"/>
        </w:rPr>
        <w:t>clients</w:t>
      </w:r>
      <w:r>
        <w:rPr>
          <w:color w:val="231F20"/>
          <w:spacing w:val="-14"/>
        </w:rPr>
        <w:t xml:space="preserve"> </w:t>
      </w:r>
      <w:r>
        <w:rPr>
          <w:color w:val="231F20"/>
        </w:rPr>
        <w:t>in</w:t>
      </w:r>
      <w:r>
        <w:rPr>
          <w:color w:val="231F20"/>
          <w:spacing w:val="-14"/>
        </w:rPr>
        <w:t xml:space="preserve"> </w:t>
      </w:r>
      <w:r>
        <w:rPr>
          <w:color w:val="231F20"/>
        </w:rPr>
        <w:t>all</w:t>
      </w:r>
      <w:r>
        <w:rPr>
          <w:color w:val="231F20"/>
          <w:spacing w:val="-14"/>
        </w:rPr>
        <w:t xml:space="preserve"> </w:t>
      </w:r>
      <w:r>
        <w:rPr>
          <w:color w:val="231F20"/>
        </w:rPr>
        <w:t>Model</w:t>
      </w:r>
      <w:r>
        <w:rPr>
          <w:color w:val="231F20"/>
          <w:spacing w:val="-14"/>
        </w:rPr>
        <w:t xml:space="preserve"> </w:t>
      </w:r>
      <w:r>
        <w:rPr>
          <w:color w:val="231F20"/>
        </w:rPr>
        <w:t>Primary</w:t>
      </w:r>
      <w:r>
        <w:rPr>
          <w:color w:val="231F20"/>
          <w:spacing w:val="-14"/>
        </w:rPr>
        <w:t xml:space="preserve"> </w:t>
      </w:r>
      <w:r>
        <w:rPr>
          <w:color w:val="231F20"/>
        </w:rPr>
        <w:t>Health</w:t>
      </w:r>
      <w:r>
        <w:rPr>
          <w:color w:val="231F20"/>
          <w:spacing w:val="-14"/>
        </w:rPr>
        <w:t xml:space="preserve"> </w:t>
      </w:r>
      <w:r>
        <w:rPr>
          <w:color w:val="231F20"/>
        </w:rPr>
        <w:t>Care</w:t>
      </w:r>
      <w:r>
        <w:rPr>
          <w:color w:val="231F20"/>
          <w:spacing w:val="-14"/>
        </w:rPr>
        <w:t xml:space="preserve"> </w:t>
      </w:r>
      <w:proofErr w:type="spellStart"/>
      <w:r>
        <w:rPr>
          <w:color w:val="231F20"/>
        </w:rPr>
        <w:t>Centres</w:t>
      </w:r>
      <w:proofErr w:type="spellEnd"/>
      <w:r>
        <w:rPr>
          <w:color w:val="231F20"/>
          <w:spacing w:val="-14"/>
        </w:rPr>
        <w:t xml:space="preserve"> </w:t>
      </w:r>
      <w:r>
        <w:rPr>
          <w:color w:val="231F20"/>
        </w:rPr>
        <w:t>&amp;</w:t>
      </w:r>
      <w:r>
        <w:rPr>
          <w:color w:val="231F20"/>
          <w:spacing w:val="-15"/>
        </w:rPr>
        <w:t xml:space="preserve"> </w:t>
      </w:r>
      <w:r>
        <w:rPr>
          <w:color w:val="231F20"/>
        </w:rPr>
        <w:t>Secondary</w:t>
      </w:r>
      <w:r>
        <w:rPr>
          <w:color w:val="231F20"/>
          <w:spacing w:val="-14"/>
        </w:rPr>
        <w:t xml:space="preserve"> </w:t>
      </w:r>
      <w:r>
        <w:rPr>
          <w:color w:val="231F20"/>
        </w:rPr>
        <w:t>Health</w:t>
      </w:r>
      <w:r>
        <w:rPr>
          <w:color w:val="231F20"/>
          <w:spacing w:val="-14"/>
        </w:rPr>
        <w:t xml:space="preserve"> </w:t>
      </w:r>
      <w:r>
        <w:rPr>
          <w:color w:val="231F20"/>
        </w:rPr>
        <w:t>Facilities</w:t>
      </w:r>
      <w:r>
        <w:rPr>
          <w:color w:val="231F20"/>
          <w:spacing w:val="-14"/>
        </w:rPr>
        <w:t xml:space="preserve"> </w:t>
      </w:r>
      <w:r>
        <w:rPr>
          <w:color w:val="231F20"/>
        </w:rPr>
        <w:t>in</w:t>
      </w:r>
      <w:r>
        <w:rPr>
          <w:color w:val="231F20"/>
          <w:spacing w:val="-14"/>
        </w:rPr>
        <w:t xml:space="preserve"> </w:t>
      </w:r>
      <w:r>
        <w:rPr>
          <w:color w:val="231F20"/>
        </w:rPr>
        <w:t xml:space="preserve">the State; Conduct training workshops for Private Sector on Long Acting Reversible </w:t>
      </w:r>
      <w:r>
        <w:rPr>
          <w:color w:val="231F20"/>
          <w:spacing w:val="-2"/>
        </w:rPr>
        <w:t xml:space="preserve">Contraceptive </w:t>
      </w:r>
      <w:r>
        <w:rPr>
          <w:color w:val="231F20"/>
        </w:rPr>
        <w:t>(LARC);</w:t>
      </w:r>
      <w:r>
        <w:rPr>
          <w:color w:val="231F20"/>
          <w:spacing w:val="-26"/>
        </w:rPr>
        <w:t xml:space="preserve"> </w:t>
      </w:r>
      <w:r>
        <w:rPr>
          <w:color w:val="231F20"/>
        </w:rPr>
        <w:t>Conduct</w:t>
      </w:r>
      <w:r>
        <w:rPr>
          <w:color w:val="231F20"/>
          <w:spacing w:val="-25"/>
        </w:rPr>
        <w:t xml:space="preserve"> </w:t>
      </w:r>
      <w:r>
        <w:rPr>
          <w:color w:val="231F20"/>
        </w:rPr>
        <w:t>public</w:t>
      </w:r>
      <w:r>
        <w:rPr>
          <w:color w:val="231F20"/>
          <w:spacing w:val="-25"/>
        </w:rPr>
        <w:t xml:space="preserve"> </w:t>
      </w:r>
      <w:r>
        <w:rPr>
          <w:color w:val="231F20"/>
        </w:rPr>
        <w:t>enlightenment</w:t>
      </w:r>
      <w:r>
        <w:rPr>
          <w:color w:val="231F20"/>
          <w:spacing w:val="-25"/>
        </w:rPr>
        <w:t xml:space="preserve"> </w:t>
      </w:r>
      <w:r>
        <w:rPr>
          <w:color w:val="231F20"/>
        </w:rPr>
        <w:t>and</w:t>
      </w:r>
      <w:r>
        <w:rPr>
          <w:color w:val="231F20"/>
          <w:spacing w:val="-25"/>
        </w:rPr>
        <w:t xml:space="preserve"> </w:t>
      </w:r>
      <w:r>
        <w:rPr>
          <w:color w:val="231F20"/>
        </w:rPr>
        <w:t>community</w:t>
      </w:r>
      <w:r>
        <w:rPr>
          <w:color w:val="231F20"/>
          <w:spacing w:val="-25"/>
        </w:rPr>
        <w:t xml:space="preserve"> </w:t>
      </w:r>
      <w:r>
        <w:rPr>
          <w:color w:val="231F20"/>
        </w:rPr>
        <w:t>engagement</w:t>
      </w:r>
      <w:r>
        <w:rPr>
          <w:color w:val="231F20"/>
          <w:spacing w:val="-25"/>
        </w:rPr>
        <w:t xml:space="preserve"> </w:t>
      </w:r>
      <w:r>
        <w:rPr>
          <w:color w:val="231F20"/>
        </w:rPr>
        <w:t>interventions.</w:t>
      </w:r>
    </w:p>
    <w:p w14:paraId="6B9F8E3B" w14:textId="77777777" w:rsidR="009948F1" w:rsidRDefault="009948F1">
      <w:pPr>
        <w:pStyle w:val="BodyText"/>
        <w:spacing w:before="2"/>
        <w:rPr>
          <w:sz w:val="25"/>
        </w:rPr>
      </w:pPr>
    </w:p>
    <w:p w14:paraId="632059C7" w14:textId="77777777" w:rsidR="009948F1" w:rsidRDefault="00BC0563">
      <w:pPr>
        <w:pStyle w:val="ListParagraph"/>
        <w:numPr>
          <w:ilvl w:val="3"/>
          <w:numId w:val="293"/>
        </w:numPr>
        <w:tabs>
          <w:tab w:val="left" w:pos="888"/>
        </w:tabs>
        <w:spacing w:line="273" w:lineRule="auto"/>
        <w:ind w:left="177" w:right="168" w:firstLine="0"/>
      </w:pPr>
      <w:r>
        <w:rPr>
          <w:color w:val="231F20"/>
        </w:rPr>
        <w:t>Promote</w:t>
      </w:r>
      <w:r>
        <w:rPr>
          <w:color w:val="231F20"/>
          <w:spacing w:val="-26"/>
        </w:rPr>
        <w:t xml:space="preserve"> </w:t>
      </w:r>
      <w:r>
        <w:rPr>
          <w:color w:val="231F20"/>
        </w:rPr>
        <w:t>prevention</w:t>
      </w:r>
      <w:r>
        <w:rPr>
          <w:color w:val="231F20"/>
          <w:spacing w:val="-25"/>
        </w:rPr>
        <w:t xml:space="preserve"> </w:t>
      </w:r>
      <w:r>
        <w:rPr>
          <w:color w:val="231F20"/>
        </w:rPr>
        <w:t>of</w:t>
      </w:r>
      <w:r>
        <w:rPr>
          <w:color w:val="231F20"/>
          <w:spacing w:val="-25"/>
        </w:rPr>
        <w:t xml:space="preserve"> </w:t>
      </w:r>
      <w:r>
        <w:rPr>
          <w:color w:val="231F20"/>
        </w:rPr>
        <w:t>harmful</w:t>
      </w:r>
      <w:r>
        <w:rPr>
          <w:color w:val="231F20"/>
          <w:spacing w:val="-25"/>
        </w:rPr>
        <w:t xml:space="preserve"> </w:t>
      </w:r>
      <w:r>
        <w:rPr>
          <w:color w:val="231F20"/>
        </w:rPr>
        <w:t>traditional</w:t>
      </w:r>
      <w:r>
        <w:rPr>
          <w:color w:val="231F20"/>
          <w:spacing w:val="-25"/>
        </w:rPr>
        <w:t xml:space="preserve"> </w:t>
      </w:r>
      <w:r>
        <w:rPr>
          <w:color w:val="231F20"/>
        </w:rPr>
        <w:t>practices</w:t>
      </w:r>
      <w:r>
        <w:rPr>
          <w:color w:val="231F20"/>
          <w:spacing w:val="-25"/>
        </w:rPr>
        <w:t xml:space="preserve"> </w:t>
      </w:r>
      <w:r>
        <w:rPr>
          <w:color w:val="231F20"/>
        </w:rPr>
        <w:t>and</w:t>
      </w:r>
      <w:r>
        <w:rPr>
          <w:color w:val="231F20"/>
          <w:spacing w:val="-25"/>
        </w:rPr>
        <w:t xml:space="preserve"> </w:t>
      </w:r>
      <w:r>
        <w:rPr>
          <w:color w:val="231F20"/>
        </w:rPr>
        <w:t>gender-based</w:t>
      </w:r>
      <w:r>
        <w:rPr>
          <w:color w:val="231F20"/>
          <w:spacing w:val="-25"/>
        </w:rPr>
        <w:t xml:space="preserve"> </w:t>
      </w:r>
      <w:r>
        <w:rPr>
          <w:color w:val="231F20"/>
        </w:rPr>
        <w:t>violence.</w:t>
      </w:r>
      <w:r>
        <w:rPr>
          <w:color w:val="231F20"/>
          <w:spacing w:val="-25"/>
        </w:rPr>
        <w:t xml:space="preserve"> </w:t>
      </w:r>
      <w:r>
        <w:rPr>
          <w:color w:val="231F20"/>
        </w:rPr>
        <w:t>Key</w:t>
      </w:r>
      <w:r>
        <w:rPr>
          <w:color w:val="231F20"/>
          <w:spacing w:val="-25"/>
        </w:rPr>
        <w:t xml:space="preserve"> </w:t>
      </w:r>
      <w:r>
        <w:rPr>
          <w:color w:val="231F20"/>
        </w:rPr>
        <w:t>actions include;</w:t>
      </w:r>
      <w:r>
        <w:rPr>
          <w:color w:val="231F20"/>
          <w:spacing w:val="-25"/>
        </w:rPr>
        <w:t xml:space="preserve"> </w:t>
      </w:r>
      <w:r>
        <w:rPr>
          <w:color w:val="231F20"/>
        </w:rPr>
        <w:t>Conduct</w:t>
      </w:r>
      <w:r>
        <w:rPr>
          <w:color w:val="231F20"/>
          <w:spacing w:val="-25"/>
        </w:rPr>
        <w:t xml:space="preserve"> </w:t>
      </w:r>
      <w:r>
        <w:rPr>
          <w:color w:val="231F20"/>
        </w:rPr>
        <w:t>public</w:t>
      </w:r>
      <w:r>
        <w:rPr>
          <w:color w:val="231F20"/>
          <w:spacing w:val="-25"/>
        </w:rPr>
        <w:t xml:space="preserve"> </w:t>
      </w:r>
      <w:r>
        <w:rPr>
          <w:color w:val="231F20"/>
        </w:rPr>
        <w:t>education</w:t>
      </w:r>
      <w:r>
        <w:rPr>
          <w:color w:val="231F20"/>
          <w:spacing w:val="-25"/>
        </w:rPr>
        <w:t xml:space="preserve"> </w:t>
      </w:r>
      <w:r>
        <w:rPr>
          <w:color w:val="231F20"/>
        </w:rPr>
        <w:t>and</w:t>
      </w:r>
      <w:r>
        <w:rPr>
          <w:color w:val="231F20"/>
          <w:spacing w:val="-25"/>
        </w:rPr>
        <w:t xml:space="preserve"> </w:t>
      </w:r>
      <w:r>
        <w:rPr>
          <w:color w:val="231F20"/>
        </w:rPr>
        <w:t>community</w:t>
      </w:r>
      <w:r>
        <w:rPr>
          <w:color w:val="231F20"/>
          <w:spacing w:val="-25"/>
        </w:rPr>
        <w:t xml:space="preserve"> </w:t>
      </w:r>
      <w:r>
        <w:rPr>
          <w:color w:val="231F20"/>
        </w:rPr>
        <w:t>sensitization</w:t>
      </w:r>
      <w:r>
        <w:rPr>
          <w:color w:val="231F20"/>
          <w:spacing w:val="-25"/>
        </w:rPr>
        <w:t xml:space="preserve"> </w:t>
      </w:r>
      <w:r>
        <w:rPr>
          <w:color w:val="231F20"/>
        </w:rPr>
        <w:t>on</w:t>
      </w:r>
      <w:r>
        <w:rPr>
          <w:color w:val="231F20"/>
          <w:spacing w:val="-25"/>
        </w:rPr>
        <w:t xml:space="preserve"> </w:t>
      </w:r>
      <w:r>
        <w:rPr>
          <w:color w:val="231F20"/>
        </w:rPr>
        <w:t>HTP</w:t>
      </w:r>
      <w:r>
        <w:rPr>
          <w:color w:val="231F20"/>
          <w:spacing w:val="-29"/>
        </w:rPr>
        <w:t xml:space="preserve"> </w:t>
      </w:r>
      <w:r>
        <w:rPr>
          <w:color w:val="231F20"/>
        </w:rPr>
        <w:t>and</w:t>
      </w:r>
      <w:r>
        <w:rPr>
          <w:color w:val="231F20"/>
          <w:spacing w:val="-25"/>
        </w:rPr>
        <w:t xml:space="preserve"> </w:t>
      </w:r>
      <w:r>
        <w:rPr>
          <w:color w:val="231F20"/>
          <w:spacing w:val="-6"/>
        </w:rPr>
        <w:t>GBV.</w:t>
      </w:r>
    </w:p>
    <w:p w14:paraId="6B211A4E" w14:textId="77777777" w:rsidR="009948F1" w:rsidRDefault="009948F1">
      <w:pPr>
        <w:pStyle w:val="BodyText"/>
        <w:spacing w:before="1"/>
        <w:rPr>
          <w:sz w:val="25"/>
        </w:rPr>
      </w:pPr>
    </w:p>
    <w:p w14:paraId="6FFB1B91" w14:textId="3878B231" w:rsidR="009948F1" w:rsidRDefault="00BC0563">
      <w:pPr>
        <w:pStyle w:val="ListParagraph"/>
        <w:numPr>
          <w:ilvl w:val="3"/>
          <w:numId w:val="293"/>
        </w:numPr>
        <w:tabs>
          <w:tab w:val="left" w:pos="912"/>
        </w:tabs>
        <w:spacing w:line="273" w:lineRule="auto"/>
        <w:ind w:left="177" w:right="168" w:firstLine="0"/>
      </w:pPr>
      <w:r>
        <w:rPr>
          <w:color w:val="231F20"/>
        </w:rPr>
        <w:t xml:space="preserve">Scale up Prevention, </w:t>
      </w:r>
      <w:r w:rsidR="0006081A">
        <w:rPr>
          <w:color w:val="231F20"/>
        </w:rPr>
        <w:t>counseling</w:t>
      </w:r>
      <w:r>
        <w:rPr>
          <w:color w:val="231F20"/>
        </w:rPr>
        <w:t xml:space="preserve"> and treatment of rape and other gender-based</w:t>
      </w:r>
      <w:r>
        <w:rPr>
          <w:color w:val="231F20"/>
          <w:spacing w:val="-28"/>
        </w:rPr>
        <w:t xml:space="preserve"> </w:t>
      </w:r>
      <w:r>
        <w:rPr>
          <w:color w:val="231F20"/>
        </w:rPr>
        <w:t xml:space="preserve">violence such as Rape, intimate partner violence etc. Key actions </w:t>
      </w:r>
      <w:proofErr w:type="gramStart"/>
      <w:r>
        <w:rPr>
          <w:color w:val="231F20"/>
        </w:rPr>
        <w:t>include;</w:t>
      </w:r>
      <w:proofErr w:type="gramEnd"/>
      <w:r>
        <w:rPr>
          <w:color w:val="231F20"/>
        </w:rPr>
        <w:t xml:space="preserve"> Develop training manuals, treatment</w:t>
      </w:r>
      <w:r>
        <w:rPr>
          <w:color w:val="231F20"/>
          <w:spacing w:val="-23"/>
        </w:rPr>
        <w:t xml:space="preserve"> </w:t>
      </w:r>
      <w:r>
        <w:rPr>
          <w:color w:val="231F20"/>
        </w:rPr>
        <w:t>guidelines</w:t>
      </w:r>
      <w:r>
        <w:rPr>
          <w:color w:val="231F20"/>
          <w:spacing w:val="-23"/>
        </w:rPr>
        <w:t xml:space="preserve"> </w:t>
      </w:r>
      <w:r>
        <w:rPr>
          <w:color w:val="231F20"/>
        </w:rPr>
        <w:t>and</w:t>
      </w:r>
      <w:r>
        <w:rPr>
          <w:color w:val="231F20"/>
          <w:spacing w:val="-22"/>
        </w:rPr>
        <w:t xml:space="preserve"> </w:t>
      </w:r>
      <w:r>
        <w:rPr>
          <w:color w:val="231F20"/>
        </w:rPr>
        <w:t>job</w:t>
      </w:r>
      <w:r>
        <w:rPr>
          <w:color w:val="231F20"/>
          <w:spacing w:val="-23"/>
        </w:rPr>
        <w:t xml:space="preserve"> </w:t>
      </w:r>
      <w:r>
        <w:rPr>
          <w:color w:val="231F20"/>
        </w:rPr>
        <w:t>aids</w:t>
      </w:r>
      <w:r>
        <w:rPr>
          <w:color w:val="231F20"/>
          <w:spacing w:val="-22"/>
        </w:rPr>
        <w:t xml:space="preserve"> </w:t>
      </w:r>
      <w:r>
        <w:rPr>
          <w:color w:val="231F20"/>
        </w:rPr>
        <w:t>for</w:t>
      </w:r>
      <w:r>
        <w:rPr>
          <w:color w:val="231F20"/>
          <w:spacing w:val="-23"/>
        </w:rPr>
        <w:t xml:space="preserve"> </w:t>
      </w:r>
      <w:r>
        <w:rPr>
          <w:color w:val="231F20"/>
        </w:rPr>
        <w:t>HTP</w:t>
      </w:r>
      <w:r>
        <w:rPr>
          <w:color w:val="231F20"/>
          <w:spacing w:val="-27"/>
        </w:rPr>
        <w:t xml:space="preserve"> </w:t>
      </w:r>
      <w:r>
        <w:rPr>
          <w:color w:val="231F20"/>
        </w:rPr>
        <w:t>and</w:t>
      </w:r>
      <w:r>
        <w:rPr>
          <w:color w:val="231F20"/>
          <w:spacing w:val="-22"/>
        </w:rPr>
        <w:t xml:space="preserve"> </w:t>
      </w:r>
      <w:r>
        <w:rPr>
          <w:color w:val="231F20"/>
        </w:rPr>
        <w:t>GBV;</w:t>
      </w:r>
      <w:r>
        <w:rPr>
          <w:color w:val="231F20"/>
          <w:spacing w:val="-27"/>
        </w:rPr>
        <w:t xml:space="preserve"> </w:t>
      </w:r>
      <w:r>
        <w:rPr>
          <w:color w:val="231F20"/>
        </w:rPr>
        <w:t>Train</w:t>
      </w:r>
      <w:r>
        <w:rPr>
          <w:color w:val="231F20"/>
          <w:spacing w:val="-22"/>
        </w:rPr>
        <w:t xml:space="preserve"> </w:t>
      </w:r>
      <w:r>
        <w:rPr>
          <w:color w:val="231F20"/>
        </w:rPr>
        <w:t>health</w:t>
      </w:r>
      <w:r>
        <w:rPr>
          <w:color w:val="231F20"/>
          <w:spacing w:val="-23"/>
        </w:rPr>
        <w:t xml:space="preserve"> </w:t>
      </w:r>
      <w:r>
        <w:rPr>
          <w:color w:val="231F20"/>
        </w:rPr>
        <w:t>care</w:t>
      </w:r>
      <w:r>
        <w:rPr>
          <w:color w:val="231F20"/>
          <w:spacing w:val="-22"/>
        </w:rPr>
        <w:t xml:space="preserve"> </w:t>
      </w:r>
      <w:r>
        <w:rPr>
          <w:color w:val="231F20"/>
        </w:rPr>
        <w:t>providers</w:t>
      </w:r>
      <w:r>
        <w:rPr>
          <w:color w:val="231F20"/>
          <w:spacing w:val="-23"/>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detection</w:t>
      </w:r>
      <w:r>
        <w:rPr>
          <w:color w:val="231F20"/>
          <w:spacing w:val="-23"/>
        </w:rPr>
        <w:t xml:space="preserve"> </w:t>
      </w:r>
      <w:r>
        <w:rPr>
          <w:color w:val="231F20"/>
          <w:spacing w:val="-4"/>
        </w:rPr>
        <w:t xml:space="preserve">and </w:t>
      </w:r>
      <w:r>
        <w:rPr>
          <w:color w:val="231F20"/>
        </w:rPr>
        <w:t xml:space="preserve">management of GBV and rape/intimate partner violence; Establish treatment and reporting protocols; Establish linkages between health care providers, law enforcement agencies, </w:t>
      </w:r>
      <w:r>
        <w:rPr>
          <w:color w:val="231F20"/>
          <w:spacing w:val="-3"/>
        </w:rPr>
        <w:t xml:space="preserve">social </w:t>
      </w:r>
      <w:r>
        <w:rPr>
          <w:color w:val="231F20"/>
        </w:rPr>
        <w:t>services</w:t>
      </w:r>
      <w:r>
        <w:rPr>
          <w:color w:val="231F20"/>
          <w:spacing w:val="-25"/>
        </w:rPr>
        <w:t xml:space="preserve"> </w:t>
      </w:r>
      <w:proofErr w:type="spellStart"/>
      <w:r>
        <w:rPr>
          <w:color w:val="231F20"/>
        </w:rPr>
        <w:t>etc</w:t>
      </w:r>
      <w:proofErr w:type="spellEnd"/>
      <w:r>
        <w:rPr>
          <w:color w:val="231F20"/>
          <w:spacing w:val="-25"/>
        </w:rPr>
        <w:t xml:space="preserve"> </w:t>
      </w:r>
      <w:r>
        <w:rPr>
          <w:color w:val="231F20"/>
        </w:rPr>
        <w:t>for</w:t>
      </w:r>
      <w:r>
        <w:rPr>
          <w:color w:val="231F20"/>
          <w:spacing w:val="-25"/>
        </w:rPr>
        <w:t xml:space="preserve"> </w:t>
      </w:r>
      <w:r>
        <w:rPr>
          <w:color w:val="231F20"/>
        </w:rPr>
        <w:t>comprehensive</w:t>
      </w:r>
      <w:r>
        <w:rPr>
          <w:color w:val="231F20"/>
          <w:spacing w:val="-25"/>
        </w:rPr>
        <w:t xml:space="preserve"> </w:t>
      </w:r>
      <w:r>
        <w:rPr>
          <w:color w:val="231F20"/>
        </w:rPr>
        <w:t>service</w:t>
      </w:r>
      <w:r>
        <w:rPr>
          <w:color w:val="231F20"/>
          <w:spacing w:val="-25"/>
        </w:rPr>
        <w:t xml:space="preserve"> </w:t>
      </w:r>
      <w:r>
        <w:rPr>
          <w:color w:val="231F20"/>
        </w:rPr>
        <w:t>provision</w:t>
      </w:r>
      <w:r>
        <w:rPr>
          <w:color w:val="231F20"/>
          <w:spacing w:val="-25"/>
        </w:rPr>
        <w:t xml:space="preserve"> </w:t>
      </w:r>
      <w:r>
        <w:rPr>
          <w:color w:val="231F20"/>
        </w:rPr>
        <w:t>for</w:t>
      </w:r>
      <w:r>
        <w:rPr>
          <w:color w:val="231F20"/>
          <w:spacing w:val="-25"/>
        </w:rPr>
        <w:t xml:space="preserve"> </w:t>
      </w:r>
      <w:r>
        <w:rPr>
          <w:color w:val="231F20"/>
          <w:spacing w:val="-6"/>
        </w:rPr>
        <w:t>GBV.</w:t>
      </w:r>
    </w:p>
    <w:p w14:paraId="0F5D85FC" w14:textId="77777777" w:rsidR="009948F1" w:rsidRDefault="009948F1">
      <w:pPr>
        <w:pStyle w:val="BodyText"/>
        <w:spacing w:before="2"/>
        <w:rPr>
          <w:sz w:val="25"/>
        </w:rPr>
      </w:pPr>
    </w:p>
    <w:p w14:paraId="11E9D537" w14:textId="77777777" w:rsidR="009948F1" w:rsidRDefault="00BC0563">
      <w:pPr>
        <w:pStyle w:val="ListParagraph"/>
        <w:numPr>
          <w:ilvl w:val="2"/>
          <w:numId w:val="293"/>
        </w:numPr>
        <w:tabs>
          <w:tab w:val="left" w:pos="775"/>
        </w:tabs>
        <w:spacing w:line="273" w:lineRule="auto"/>
        <w:ind w:left="177" w:right="168" w:firstLine="0"/>
        <w:jc w:val="both"/>
        <w:rPr>
          <w:color w:val="231F20"/>
        </w:rPr>
      </w:pPr>
      <w:r>
        <w:rPr>
          <w:color w:val="231F20"/>
        </w:rPr>
        <w:t>Reduce neonatal and childhood mortality and promote optimal growth, protection and development</w:t>
      </w:r>
      <w:r>
        <w:rPr>
          <w:color w:val="231F20"/>
          <w:spacing w:val="-26"/>
        </w:rPr>
        <w:t xml:space="preserve"> </w:t>
      </w:r>
      <w:r>
        <w:rPr>
          <w:color w:val="231F20"/>
        </w:rPr>
        <w:t>of</w:t>
      </w:r>
      <w:r>
        <w:rPr>
          <w:color w:val="231F20"/>
          <w:spacing w:val="-25"/>
        </w:rPr>
        <w:t xml:space="preserve"> </w:t>
      </w:r>
      <w:r>
        <w:rPr>
          <w:color w:val="231F20"/>
        </w:rPr>
        <w:t>all</w:t>
      </w:r>
      <w:r>
        <w:rPr>
          <w:color w:val="231F20"/>
          <w:spacing w:val="-25"/>
        </w:rPr>
        <w:t xml:space="preserve"> </w:t>
      </w:r>
      <w:r>
        <w:rPr>
          <w:color w:val="231F20"/>
        </w:rPr>
        <w:t>newborns</w:t>
      </w:r>
      <w:r>
        <w:rPr>
          <w:color w:val="231F20"/>
          <w:spacing w:val="-25"/>
        </w:rPr>
        <w:t xml:space="preserve"> </w:t>
      </w:r>
      <w:r>
        <w:rPr>
          <w:color w:val="231F20"/>
        </w:rPr>
        <w:t>and</w:t>
      </w:r>
      <w:r>
        <w:rPr>
          <w:color w:val="231F20"/>
          <w:spacing w:val="-25"/>
        </w:rPr>
        <w:t xml:space="preserve"> </w:t>
      </w:r>
      <w:r>
        <w:rPr>
          <w:color w:val="231F20"/>
        </w:rPr>
        <w:t>children</w:t>
      </w:r>
      <w:r>
        <w:rPr>
          <w:color w:val="231F20"/>
          <w:spacing w:val="-25"/>
        </w:rPr>
        <w:t xml:space="preserve"> </w:t>
      </w:r>
      <w:r>
        <w:rPr>
          <w:color w:val="231F20"/>
        </w:rPr>
        <w:t>under</w:t>
      </w:r>
      <w:r>
        <w:rPr>
          <w:color w:val="231F20"/>
          <w:spacing w:val="-25"/>
        </w:rPr>
        <w:t xml:space="preserve"> </w:t>
      </w:r>
      <w:r>
        <w:rPr>
          <w:color w:val="231F20"/>
        </w:rPr>
        <w:t>five</w:t>
      </w:r>
      <w:r>
        <w:rPr>
          <w:color w:val="231F20"/>
          <w:spacing w:val="-25"/>
        </w:rPr>
        <w:t xml:space="preserve"> </w:t>
      </w:r>
      <w:r>
        <w:rPr>
          <w:color w:val="231F20"/>
        </w:rPr>
        <w:t>years</w:t>
      </w:r>
      <w:r>
        <w:rPr>
          <w:color w:val="231F20"/>
          <w:spacing w:val="-25"/>
        </w:rPr>
        <w:t xml:space="preserve"> </w:t>
      </w:r>
      <w:r>
        <w:rPr>
          <w:color w:val="231F20"/>
        </w:rPr>
        <w:t>of</w:t>
      </w:r>
      <w:r>
        <w:rPr>
          <w:color w:val="231F20"/>
          <w:spacing w:val="-25"/>
        </w:rPr>
        <w:t xml:space="preserve"> </w:t>
      </w:r>
      <w:r>
        <w:rPr>
          <w:color w:val="231F20"/>
        </w:rPr>
        <w:t>age.</w:t>
      </w:r>
    </w:p>
    <w:p w14:paraId="52A54917" w14:textId="77777777" w:rsidR="009948F1" w:rsidRDefault="00BC0563">
      <w:pPr>
        <w:spacing w:before="150" w:after="40"/>
        <w:ind w:left="251"/>
        <w:rPr>
          <w:b/>
          <w:sz w:val="21"/>
        </w:rPr>
      </w:pPr>
      <w:r>
        <w:rPr>
          <w:b/>
          <w:color w:val="231F20"/>
          <w:w w:val="110"/>
          <w:sz w:val="21"/>
        </w:rPr>
        <w:t>Target</w:t>
      </w:r>
    </w:p>
    <w:tbl>
      <w:tblPr>
        <w:tblW w:w="0" w:type="auto"/>
        <w:tblInd w:w="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59"/>
        <w:gridCol w:w="1232"/>
        <w:gridCol w:w="768"/>
        <w:gridCol w:w="766"/>
        <w:gridCol w:w="768"/>
        <w:gridCol w:w="766"/>
        <w:gridCol w:w="773"/>
        <w:gridCol w:w="1011"/>
      </w:tblGrid>
      <w:tr w:rsidR="009948F1" w14:paraId="2C82E71E" w14:textId="77777777">
        <w:trPr>
          <w:trHeight w:val="196"/>
        </w:trPr>
        <w:tc>
          <w:tcPr>
            <w:tcW w:w="3159" w:type="dxa"/>
            <w:shd w:val="clear" w:color="auto" w:fill="F6ADCD"/>
          </w:tcPr>
          <w:p w14:paraId="29F1D458" w14:textId="77777777" w:rsidR="009948F1" w:rsidRDefault="00BC0563">
            <w:pPr>
              <w:pStyle w:val="TableParagraph"/>
              <w:spacing w:before="1" w:line="175" w:lineRule="exact"/>
              <w:ind w:left="110"/>
              <w:rPr>
                <w:sz w:val="17"/>
              </w:rPr>
            </w:pPr>
            <w:r>
              <w:rPr>
                <w:color w:val="231F20"/>
                <w:w w:val="110"/>
                <w:sz w:val="17"/>
              </w:rPr>
              <w:t>Targets</w:t>
            </w:r>
          </w:p>
        </w:tc>
        <w:tc>
          <w:tcPr>
            <w:tcW w:w="1232" w:type="dxa"/>
            <w:shd w:val="clear" w:color="auto" w:fill="F6ADCD"/>
          </w:tcPr>
          <w:p w14:paraId="3D6BF768" w14:textId="77777777" w:rsidR="009948F1" w:rsidRDefault="00BC0563">
            <w:pPr>
              <w:pStyle w:val="TableParagraph"/>
              <w:spacing w:before="1" w:line="175" w:lineRule="exact"/>
              <w:ind w:left="110"/>
              <w:rPr>
                <w:sz w:val="17"/>
              </w:rPr>
            </w:pPr>
            <w:r>
              <w:rPr>
                <w:color w:val="231F20"/>
                <w:w w:val="110"/>
                <w:sz w:val="17"/>
              </w:rPr>
              <w:t>Baseline</w:t>
            </w:r>
          </w:p>
        </w:tc>
        <w:tc>
          <w:tcPr>
            <w:tcW w:w="768" w:type="dxa"/>
            <w:shd w:val="clear" w:color="auto" w:fill="F6ADCD"/>
          </w:tcPr>
          <w:p w14:paraId="71FF1689" w14:textId="77777777" w:rsidR="009948F1" w:rsidRDefault="00BC0563">
            <w:pPr>
              <w:pStyle w:val="TableParagraph"/>
              <w:spacing w:line="177" w:lineRule="exact"/>
              <w:ind w:left="111"/>
              <w:rPr>
                <w:b/>
                <w:sz w:val="17"/>
              </w:rPr>
            </w:pPr>
            <w:r>
              <w:rPr>
                <w:b/>
                <w:color w:val="231F20"/>
                <w:w w:val="110"/>
                <w:sz w:val="17"/>
              </w:rPr>
              <w:t>2018</w:t>
            </w:r>
          </w:p>
        </w:tc>
        <w:tc>
          <w:tcPr>
            <w:tcW w:w="766" w:type="dxa"/>
            <w:shd w:val="clear" w:color="auto" w:fill="F6ADCD"/>
          </w:tcPr>
          <w:p w14:paraId="62108A17" w14:textId="77777777" w:rsidR="009948F1" w:rsidRDefault="00BC0563">
            <w:pPr>
              <w:pStyle w:val="TableParagraph"/>
              <w:spacing w:line="177" w:lineRule="exact"/>
              <w:ind w:left="111"/>
              <w:rPr>
                <w:b/>
                <w:sz w:val="17"/>
              </w:rPr>
            </w:pPr>
            <w:r>
              <w:rPr>
                <w:b/>
                <w:color w:val="231F20"/>
                <w:w w:val="110"/>
                <w:sz w:val="17"/>
              </w:rPr>
              <w:t>2019</w:t>
            </w:r>
          </w:p>
        </w:tc>
        <w:tc>
          <w:tcPr>
            <w:tcW w:w="768" w:type="dxa"/>
            <w:shd w:val="clear" w:color="auto" w:fill="F6ADCD"/>
          </w:tcPr>
          <w:p w14:paraId="2F8E8C2B" w14:textId="77777777" w:rsidR="009948F1" w:rsidRDefault="00BC0563">
            <w:pPr>
              <w:pStyle w:val="TableParagraph"/>
              <w:spacing w:line="177" w:lineRule="exact"/>
              <w:ind w:left="111"/>
              <w:rPr>
                <w:b/>
                <w:sz w:val="17"/>
              </w:rPr>
            </w:pPr>
            <w:r>
              <w:rPr>
                <w:b/>
                <w:color w:val="231F20"/>
                <w:w w:val="110"/>
                <w:sz w:val="17"/>
              </w:rPr>
              <w:t>2020</w:t>
            </w:r>
          </w:p>
        </w:tc>
        <w:tc>
          <w:tcPr>
            <w:tcW w:w="766" w:type="dxa"/>
            <w:shd w:val="clear" w:color="auto" w:fill="F6ADCD"/>
          </w:tcPr>
          <w:p w14:paraId="0AA4121C" w14:textId="77777777" w:rsidR="009948F1" w:rsidRDefault="00BC0563">
            <w:pPr>
              <w:pStyle w:val="TableParagraph"/>
              <w:spacing w:line="177" w:lineRule="exact"/>
              <w:ind w:left="111"/>
              <w:rPr>
                <w:b/>
                <w:sz w:val="17"/>
              </w:rPr>
            </w:pPr>
            <w:r>
              <w:rPr>
                <w:b/>
                <w:color w:val="231F20"/>
                <w:w w:val="110"/>
                <w:sz w:val="17"/>
              </w:rPr>
              <w:t>2021</w:t>
            </w:r>
          </w:p>
        </w:tc>
        <w:tc>
          <w:tcPr>
            <w:tcW w:w="773" w:type="dxa"/>
            <w:shd w:val="clear" w:color="auto" w:fill="F6ADCD"/>
          </w:tcPr>
          <w:p w14:paraId="53577065" w14:textId="77777777" w:rsidR="009948F1" w:rsidRDefault="00BC0563">
            <w:pPr>
              <w:pStyle w:val="TableParagraph"/>
              <w:spacing w:line="177" w:lineRule="exact"/>
              <w:ind w:left="111"/>
              <w:rPr>
                <w:b/>
                <w:sz w:val="17"/>
              </w:rPr>
            </w:pPr>
            <w:r>
              <w:rPr>
                <w:b/>
                <w:color w:val="231F20"/>
                <w:w w:val="110"/>
                <w:sz w:val="17"/>
              </w:rPr>
              <w:t>2022</w:t>
            </w:r>
          </w:p>
        </w:tc>
        <w:tc>
          <w:tcPr>
            <w:tcW w:w="1011" w:type="dxa"/>
            <w:shd w:val="clear" w:color="auto" w:fill="F6ADCD"/>
          </w:tcPr>
          <w:p w14:paraId="5C7FC3AF" w14:textId="77777777" w:rsidR="009948F1" w:rsidRDefault="00BC0563">
            <w:pPr>
              <w:pStyle w:val="TableParagraph"/>
              <w:spacing w:line="177" w:lineRule="exact"/>
              <w:ind w:left="111"/>
              <w:rPr>
                <w:b/>
                <w:sz w:val="17"/>
              </w:rPr>
            </w:pPr>
            <w:r>
              <w:rPr>
                <w:b/>
                <w:color w:val="231F20"/>
                <w:w w:val="110"/>
                <w:sz w:val="17"/>
              </w:rPr>
              <w:t>National</w:t>
            </w:r>
          </w:p>
        </w:tc>
      </w:tr>
      <w:tr w:rsidR="009948F1" w14:paraId="018E8E18" w14:textId="77777777">
        <w:trPr>
          <w:trHeight w:val="208"/>
        </w:trPr>
        <w:tc>
          <w:tcPr>
            <w:tcW w:w="3159" w:type="dxa"/>
            <w:tcBorders>
              <w:bottom w:val="nil"/>
            </w:tcBorders>
          </w:tcPr>
          <w:p w14:paraId="34E93BDF" w14:textId="77777777" w:rsidR="009948F1" w:rsidRDefault="00BC0563">
            <w:pPr>
              <w:pStyle w:val="TableParagraph"/>
              <w:spacing w:line="189" w:lineRule="exact"/>
              <w:ind w:left="110"/>
              <w:rPr>
                <w:sz w:val="17"/>
              </w:rPr>
            </w:pPr>
            <w:r>
              <w:rPr>
                <w:color w:val="231F20"/>
                <w:w w:val="110"/>
                <w:sz w:val="17"/>
              </w:rPr>
              <w:t>Neonatal mortality reduced by 50%</w:t>
            </w:r>
          </w:p>
        </w:tc>
        <w:tc>
          <w:tcPr>
            <w:tcW w:w="1232" w:type="dxa"/>
            <w:tcBorders>
              <w:bottom w:val="nil"/>
            </w:tcBorders>
          </w:tcPr>
          <w:p w14:paraId="72AAA8E9" w14:textId="77777777" w:rsidR="009948F1" w:rsidRDefault="00BC0563">
            <w:pPr>
              <w:pStyle w:val="TableParagraph"/>
              <w:spacing w:line="189" w:lineRule="exact"/>
              <w:ind w:left="110"/>
              <w:rPr>
                <w:sz w:val="17"/>
              </w:rPr>
            </w:pPr>
            <w:r>
              <w:rPr>
                <w:color w:val="231F20"/>
                <w:w w:val="110"/>
                <w:sz w:val="17"/>
              </w:rPr>
              <w:t>TBD</w:t>
            </w:r>
          </w:p>
        </w:tc>
        <w:tc>
          <w:tcPr>
            <w:tcW w:w="768" w:type="dxa"/>
            <w:tcBorders>
              <w:bottom w:val="nil"/>
            </w:tcBorders>
          </w:tcPr>
          <w:p w14:paraId="181ED6C0" w14:textId="77777777" w:rsidR="009948F1" w:rsidRDefault="00BC0563">
            <w:pPr>
              <w:pStyle w:val="TableParagraph"/>
              <w:spacing w:line="189" w:lineRule="exact"/>
              <w:ind w:left="111"/>
              <w:rPr>
                <w:sz w:val="17"/>
              </w:rPr>
            </w:pPr>
            <w:r>
              <w:rPr>
                <w:color w:val="231F20"/>
                <w:w w:val="110"/>
                <w:sz w:val="17"/>
              </w:rPr>
              <w:t>18/</w:t>
            </w:r>
          </w:p>
        </w:tc>
        <w:tc>
          <w:tcPr>
            <w:tcW w:w="766" w:type="dxa"/>
            <w:tcBorders>
              <w:bottom w:val="nil"/>
            </w:tcBorders>
          </w:tcPr>
          <w:p w14:paraId="72215100" w14:textId="77777777" w:rsidR="009948F1" w:rsidRDefault="00BC0563">
            <w:pPr>
              <w:pStyle w:val="TableParagraph"/>
              <w:spacing w:line="189" w:lineRule="exact"/>
              <w:ind w:left="111"/>
              <w:rPr>
                <w:sz w:val="17"/>
              </w:rPr>
            </w:pPr>
            <w:r>
              <w:rPr>
                <w:color w:val="231F20"/>
                <w:w w:val="110"/>
                <w:sz w:val="17"/>
              </w:rPr>
              <w:t>17/</w:t>
            </w:r>
          </w:p>
        </w:tc>
        <w:tc>
          <w:tcPr>
            <w:tcW w:w="768" w:type="dxa"/>
            <w:tcBorders>
              <w:bottom w:val="nil"/>
            </w:tcBorders>
          </w:tcPr>
          <w:p w14:paraId="032D5142" w14:textId="77777777" w:rsidR="009948F1" w:rsidRDefault="00BC0563">
            <w:pPr>
              <w:pStyle w:val="TableParagraph"/>
              <w:spacing w:line="189" w:lineRule="exact"/>
              <w:ind w:left="111"/>
              <w:rPr>
                <w:sz w:val="17"/>
              </w:rPr>
            </w:pPr>
            <w:r>
              <w:rPr>
                <w:color w:val="231F20"/>
                <w:w w:val="110"/>
                <w:sz w:val="17"/>
              </w:rPr>
              <w:t>16/</w:t>
            </w:r>
          </w:p>
        </w:tc>
        <w:tc>
          <w:tcPr>
            <w:tcW w:w="766" w:type="dxa"/>
            <w:tcBorders>
              <w:bottom w:val="nil"/>
            </w:tcBorders>
          </w:tcPr>
          <w:p w14:paraId="7C9305F3" w14:textId="77777777" w:rsidR="009948F1" w:rsidRDefault="00BC0563">
            <w:pPr>
              <w:pStyle w:val="TableParagraph"/>
              <w:spacing w:line="189" w:lineRule="exact"/>
              <w:ind w:left="111"/>
              <w:rPr>
                <w:sz w:val="17"/>
              </w:rPr>
            </w:pPr>
            <w:r>
              <w:rPr>
                <w:color w:val="231F20"/>
                <w:w w:val="110"/>
                <w:sz w:val="17"/>
              </w:rPr>
              <w:t>15/</w:t>
            </w:r>
          </w:p>
        </w:tc>
        <w:tc>
          <w:tcPr>
            <w:tcW w:w="773" w:type="dxa"/>
            <w:tcBorders>
              <w:bottom w:val="nil"/>
            </w:tcBorders>
          </w:tcPr>
          <w:p w14:paraId="2F58253B" w14:textId="77777777" w:rsidR="009948F1" w:rsidRDefault="00BC0563">
            <w:pPr>
              <w:pStyle w:val="TableParagraph"/>
              <w:spacing w:line="189" w:lineRule="exact"/>
              <w:ind w:left="111"/>
              <w:rPr>
                <w:sz w:val="17"/>
              </w:rPr>
            </w:pPr>
            <w:r>
              <w:rPr>
                <w:color w:val="231F20"/>
                <w:w w:val="110"/>
                <w:sz w:val="17"/>
              </w:rPr>
              <w:t>14/</w:t>
            </w:r>
          </w:p>
        </w:tc>
        <w:tc>
          <w:tcPr>
            <w:tcW w:w="1011" w:type="dxa"/>
            <w:tcBorders>
              <w:bottom w:val="nil"/>
            </w:tcBorders>
          </w:tcPr>
          <w:p w14:paraId="63990CD7" w14:textId="77777777" w:rsidR="009948F1" w:rsidRDefault="00BC0563">
            <w:pPr>
              <w:pStyle w:val="TableParagraph"/>
              <w:spacing w:line="189" w:lineRule="exact"/>
              <w:ind w:left="111"/>
              <w:rPr>
                <w:sz w:val="17"/>
              </w:rPr>
            </w:pPr>
            <w:r>
              <w:rPr>
                <w:color w:val="231F20"/>
                <w:w w:val="110"/>
                <w:sz w:val="17"/>
              </w:rPr>
              <w:t>24/1000</w:t>
            </w:r>
          </w:p>
        </w:tc>
      </w:tr>
      <w:tr w:rsidR="009948F1" w14:paraId="3994336C" w14:textId="77777777">
        <w:trPr>
          <w:trHeight w:val="195"/>
        </w:trPr>
        <w:tc>
          <w:tcPr>
            <w:tcW w:w="3159" w:type="dxa"/>
            <w:tcBorders>
              <w:top w:val="nil"/>
              <w:bottom w:val="nil"/>
            </w:tcBorders>
          </w:tcPr>
          <w:p w14:paraId="54EDD71B" w14:textId="77777777" w:rsidR="009948F1" w:rsidRDefault="00BC0563">
            <w:pPr>
              <w:pStyle w:val="TableParagraph"/>
              <w:spacing w:line="175" w:lineRule="exact"/>
              <w:ind w:left="110"/>
              <w:rPr>
                <w:sz w:val="17"/>
              </w:rPr>
            </w:pPr>
            <w:r>
              <w:rPr>
                <w:color w:val="231F20"/>
                <w:w w:val="110"/>
                <w:sz w:val="17"/>
              </w:rPr>
              <w:t>from 18/1000 live births to 14/1000</w:t>
            </w:r>
          </w:p>
        </w:tc>
        <w:tc>
          <w:tcPr>
            <w:tcW w:w="1232" w:type="dxa"/>
            <w:tcBorders>
              <w:top w:val="nil"/>
              <w:bottom w:val="nil"/>
            </w:tcBorders>
          </w:tcPr>
          <w:p w14:paraId="4361FCFA" w14:textId="77777777" w:rsidR="009948F1" w:rsidRDefault="009948F1">
            <w:pPr>
              <w:pStyle w:val="TableParagraph"/>
              <w:rPr>
                <w:rFonts w:ascii="Times New Roman"/>
                <w:sz w:val="12"/>
              </w:rPr>
            </w:pPr>
          </w:p>
        </w:tc>
        <w:tc>
          <w:tcPr>
            <w:tcW w:w="768" w:type="dxa"/>
            <w:tcBorders>
              <w:top w:val="nil"/>
              <w:bottom w:val="nil"/>
            </w:tcBorders>
          </w:tcPr>
          <w:p w14:paraId="2132E3C8"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385924C8" w14:textId="77777777" w:rsidR="009948F1" w:rsidRDefault="00BC0563">
            <w:pPr>
              <w:pStyle w:val="TableParagraph"/>
              <w:spacing w:line="175" w:lineRule="exact"/>
              <w:ind w:left="111"/>
              <w:rPr>
                <w:sz w:val="17"/>
              </w:rPr>
            </w:pPr>
            <w:r>
              <w:rPr>
                <w:color w:val="231F20"/>
                <w:w w:val="110"/>
                <w:sz w:val="17"/>
              </w:rPr>
              <w:t>1000</w:t>
            </w:r>
          </w:p>
        </w:tc>
        <w:tc>
          <w:tcPr>
            <w:tcW w:w="768" w:type="dxa"/>
            <w:tcBorders>
              <w:top w:val="nil"/>
              <w:bottom w:val="nil"/>
            </w:tcBorders>
          </w:tcPr>
          <w:p w14:paraId="4EE4DE2D"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3D2C562A" w14:textId="77777777" w:rsidR="009948F1" w:rsidRDefault="00BC0563">
            <w:pPr>
              <w:pStyle w:val="TableParagraph"/>
              <w:spacing w:line="175" w:lineRule="exact"/>
              <w:ind w:left="111"/>
              <w:rPr>
                <w:sz w:val="17"/>
              </w:rPr>
            </w:pPr>
            <w:r>
              <w:rPr>
                <w:color w:val="231F20"/>
                <w:w w:val="110"/>
                <w:sz w:val="17"/>
              </w:rPr>
              <w:t>1000</w:t>
            </w:r>
          </w:p>
        </w:tc>
        <w:tc>
          <w:tcPr>
            <w:tcW w:w="773" w:type="dxa"/>
            <w:tcBorders>
              <w:top w:val="nil"/>
              <w:bottom w:val="nil"/>
            </w:tcBorders>
          </w:tcPr>
          <w:p w14:paraId="68F25FB9" w14:textId="77777777" w:rsidR="009948F1" w:rsidRDefault="00BC0563">
            <w:pPr>
              <w:pStyle w:val="TableParagraph"/>
              <w:spacing w:line="175" w:lineRule="exact"/>
              <w:ind w:left="111"/>
              <w:rPr>
                <w:sz w:val="17"/>
              </w:rPr>
            </w:pPr>
            <w:r>
              <w:rPr>
                <w:color w:val="231F20"/>
                <w:w w:val="110"/>
                <w:sz w:val="17"/>
              </w:rPr>
              <w:t>1000</w:t>
            </w:r>
          </w:p>
        </w:tc>
        <w:tc>
          <w:tcPr>
            <w:tcW w:w="1011" w:type="dxa"/>
            <w:tcBorders>
              <w:top w:val="nil"/>
              <w:bottom w:val="nil"/>
            </w:tcBorders>
          </w:tcPr>
          <w:p w14:paraId="354F2D93" w14:textId="77777777" w:rsidR="009948F1" w:rsidRDefault="009948F1">
            <w:pPr>
              <w:pStyle w:val="TableParagraph"/>
              <w:rPr>
                <w:rFonts w:ascii="Times New Roman"/>
                <w:sz w:val="12"/>
              </w:rPr>
            </w:pPr>
          </w:p>
        </w:tc>
      </w:tr>
      <w:tr w:rsidR="009948F1" w14:paraId="0EC43FB9" w14:textId="77777777">
        <w:trPr>
          <w:trHeight w:val="182"/>
        </w:trPr>
        <w:tc>
          <w:tcPr>
            <w:tcW w:w="3159" w:type="dxa"/>
            <w:tcBorders>
              <w:top w:val="nil"/>
            </w:tcBorders>
          </w:tcPr>
          <w:p w14:paraId="058599F8" w14:textId="77777777" w:rsidR="009948F1" w:rsidRDefault="00BC0563">
            <w:pPr>
              <w:pStyle w:val="TableParagraph"/>
              <w:spacing w:line="163" w:lineRule="exact"/>
              <w:ind w:left="110"/>
              <w:rPr>
                <w:sz w:val="17"/>
              </w:rPr>
            </w:pPr>
            <w:r>
              <w:rPr>
                <w:color w:val="231F20"/>
                <w:w w:val="110"/>
                <w:sz w:val="17"/>
              </w:rPr>
              <w:t>live births by 2022</w:t>
            </w:r>
          </w:p>
        </w:tc>
        <w:tc>
          <w:tcPr>
            <w:tcW w:w="1232" w:type="dxa"/>
            <w:tcBorders>
              <w:top w:val="nil"/>
            </w:tcBorders>
          </w:tcPr>
          <w:p w14:paraId="71706980" w14:textId="77777777" w:rsidR="009948F1" w:rsidRDefault="009948F1">
            <w:pPr>
              <w:pStyle w:val="TableParagraph"/>
              <w:rPr>
                <w:rFonts w:ascii="Times New Roman"/>
                <w:sz w:val="12"/>
              </w:rPr>
            </w:pPr>
          </w:p>
        </w:tc>
        <w:tc>
          <w:tcPr>
            <w:tcW w:w="768" w:type="dxa"/>
            <w:tcBorders>
              <w:top w:val="nil"/>
            </w:tcBorders>
          </w:tcPr>
          <w:p w14:paraId="008C4C5D" w14:textId="77777777" w:rsidR="009948F1" w:rsidRDefault="009948F1">
            <w:pPr>
              <w:pStyle w:val="TableParagraph"/>
              <w:rPr>
                <w:rFonts w:ascii="Times New Roman"/>
                <w:sz w:val="12"/>
              </w:rPr>
            </w:pPr>
          </w:p>
        </w:tc>
        <w:tc>
          <w:tcPr>
            <w:tcW w:w="766" w:type="dxa"/>
            <w:tcBorders>
              <w:top w:val="nil"/>
            </w:tcBorders>
          </w:tcPr>
          <w:p w14:paraId="215A3ED0" w14:textId="77777777" w:rsidR="009948F1" w:rsidRDefault="009948F1">
            <w:pPr>
              <w:pStyle w:val="TableParagraph"/>
              <w:rPr>
                <w:rFonts w:ascii="Times New Roman"/>
                <w:sz w:val="12"/>
              </w:rPr>
            </w:pPr>
          </w:p>
        </w:tc>
        <w:tc>
          <w:tcPr>
            <w:tcW w:w="768" w:type="dxa"/>
            <w:tcBorders>
              <w:top w:val="nil"/>
            </w:tcBorders>
          </w:tcPr>
          <w:p w14:paraId="1E287FCB" w14:textId="77777777" w:rsidR="009948F1" w:rsidRDefault="009948F1">
            <w:pPr>
              <w:pStyle w:val="TableParagraph"/>
              <w:rPr>
                <w:rFonts w:ascii="Times New Roman"/>
                <w:sz w:val="12"/>
              </w:rPr>
            </w:pPr>
          </w:p>
        </w:tc>
        <w:tc>
          <w:tcPr>
            <w:tcW w:w="766" w:type="dxa"/>
            <w:tcBorders>
              <w:top w:val="nil"/>
            </w:tcBorders>
          </w:tcPr>
          <w:p w14:paraId="12BB3FA4" w14:textId="77777777" w:rsidR="009948F1" w:rsidRDefault="009948F1">
            <w:pPr>
              <w:pStyle w:val="TableParagraph"/>
              <w:rPr>
                <w:rFonts w:ascii="Times New Roman"/>
                <w:sz w:val="12"/>
              </w:rPr>
            </w:pPr>
          </w:p>
        </w:tc>
        <w:tc>
          <w:tcPr>
            <w:tcW w:w="773" w:type="dxa"/>
            <w:tcBorders>
              <w:top w:val="nil"/>
            </w:tcBorders>
          </w:tcPr>
          <w:p w14:paraId="34852AD7" w14:textId="77777777" w:rsidR="009948F1" w:rsidRDefault="009948F1">
            <w:pPr>
              <w:pStyle w:val="TableParagraph"/>
              <w:rPr>
                <w:rFonts w:ascii="Times New Roman"/>
                <w:sz w:val="12"/>
              </w:rPr>
            </w:pPr>
          </w:p>
        </w:tc>
        <w:tc>
          <w:tcPr>
            <w:tcW w:w="1011" w:type="dxa"/>
            <w:tcBorders>
              <w:top w:val="nil"/>
            </w:tcBorders>
          </w:tcPr>
          <w:p w14:paraId="73C95B66" w14:textId="77777777" w:rsidR="009948F1" w:rsidRDefault="009948F1">
            <w:pPr>
              <w:pStyle w:val="TableParagraph"/>
              <w:rPr>
                <w:rFonts w:ascii="Times New Roman"/>
                <w:sz w:val="12"/>
              </w:rPr>
            </w:pPr>
          </w:p>
        </w:tc>
      </w:tr>
      <w:tr w:rsidR="009948F1" w14:paraId="5B9F3D02" w14:textId="77777777">
        <w:trPr>
          <w:trHeight w:val="208"/>
        </w:trPr>
        <w:tc>
          <w:tcPr>
            <w:tcW w:w="3159" w:type="dxa"/>
            <w:tcBorders>
              <w:bottom w:val="nil"/>
            </w:tcBorders>
          </w:tcPr>
          <w:p w14:paraId="19CD480B" w14:textId="77777777" w:rsidR="009948F1" w:rsidRDefault="00BC0563">
            <w:pPr>
              <w:pStyle w:val="TableParagraph"/>
              <w:spacing w:line="189" w:lineRule="exact"/>
              <w:ind w:left="110"/>
              <w:rPr>
                <w:sz w:val="17"/>
              </w:rPr>
            </w:pPr>
            <w:r>
              <w:rPr>
                <w:color w:val="231F20"/>
                <w:w w:val="110"/>
                <w:sz w:val="17"/>
              </w:rPr>
              <w:t>Infant mortality reduced by 50%</w:t>
            </w:r>
          </w:p>
        </w:tc>
        <w:tc>
          <w:tcPr>
            <w:tcW w:w="1232" w:type="dxa"/>
            <w:tcBorders>
              <w:bottom w:val="nil"/>
            </w:tcBorders>
          </w:tcPr>
          <w:p w14:paraId="73518B6F" w14:textId="77777777" w:rsidR="009948F1" w:rsidRDefault="00BC0563">
            <w:pPr>
              <w:pStyle w:val="TableParagraph"/>
              <w:spacing w:line="189" w:lineRule="exact"/>
              <w:ind w:left="110"/>
              <w:rPr>
                <w:sz w:val="17"/>
              </w:rPr>
            </w:pPr>
            <w:r>
              <w:rPr>
                <w:color w:val="231F20"/>
                <w:w w:val="110"/>
                <w:sz w:val="17"/>
              </w:rPr>
              <w:t>TBD</w:t>
            </w:r>
          </w:p>
        </w:tc>
        <w:tc>
          <w:tcPr>
            <w:tcW w:w="768" w:type="dxa"/>
            <w:tcBorders>
              <w:bottom w:val="nil"/>
            </w:tcBorders>
          </w:tcPr>
          <w:p w14:paraId="1A5F1F6E" w14:textId="77777777" w:rsidR="009948F1" w:rsidRDefault="00BC0563">
            <w:pPr>
              <w:pStyle w:val="TableParagraph"/>
              <w:spacing w:line="189" w:lineRule="exact"/>
              <w:ind w:left="111"/>
              <w:rPr>
                <w:sz w:val="17"/>
              </w:rPr>
            </w:pPr>
            <w:r>
              <w:rPr>
                <w:color w:val="231F20"/>
                <w:w w:val="110"/>
                <w:sz w:val="17"/>
              </w:rPr>
              <w:t>41/</w:t>
            </w:r>
          </w:p>
        </w:tc>
        <w:tc>
          <w:tcPr>
            <w:tcW w:w="766" w:type="dxa"/>
            <w:tcBorders>
              <w:bottom w:val="nil"/>
            </w:tcBorders>
          </w:tcPr>
          <w:p w14:paraId="4E458D69" w14:textId="77777777" w:rsidR="009948F1" w:rsidRDefault="00BC0563">
            <w:pPr>
              <w:pStyle w:val="TableParagraph"/>
              <w:spacing w:line="189" w:lineRule="exact"/>
              <w:ind w:left="111"/>
              <w:rPr>
                <w:sz w:val="17"/>
              </w:rPr>
            </w:pPr>
            <w:r>
              <w:rPr>
                <w:color w:val="231F20"/>
                <w:w w:val="110"/>
                <w:sz w:val="17"/>
              </w:rPr>
              <w:t>41/</w:t>
            </w:r>
          </w:p>
        </w:tc>
        <w:tc>
          <w:tcPr>
            <w:tcW w:w="768" w:type="dxa"/>
            <w:tcBorders>
              <w:bottom w:val="nil"/>
            </w:tcBorders>
          </w:tcPr>
          <w:p w14:paraId="5D4ED5CD" w14:textId="77777777" w:rsidR="009948F1" w:rsidRDefault="00BC0563">
            <w:pPr>
              <w:pStyle w:val="TableParagraph"/>
              <w:spacing w:line="189" w:lineRule="exact"/>
              <w:ind w:left="111"/>
              <w:rPr>
                <w:sz w:val="17"/>
              </w:rPr>
            </w:pPr>
            <w:r>
              <w:rPr>
                <w:color w:val="231F20"/>
                <w:w w:val="110"/>
                <w:sz w:val="17"/>
              </w:rPr>
              <w:t>40/</w:t>
            </w:r>
          </w:p>
        </w:tc>
        <w:tc>
          <w:tcPr>
            <w:tcW w:w="766" w:type="dxa"/>
            <w:tcBorders>
              <w:bottom w:val="nil"/>
            </w:tcBorders>
          </w:tcPr>
          <w:p w14:paraId="346CFF73" w14:textId="77777777" w:rsidR="009948F1" w:rsidRDefault="00BC0563">
            <w:pPr>
              <w:pStyle w:val="TableParagraph"/>
              <w:spacing w:line="189" w:lineRule="exact"/>
              <w:ind w:left="111"/>
              <w:rPr>
                <w:sz w:val="17"/>
              </w:rPr>
            </w:pPr>
            <w:r>
              <w:rPr>
                <w:color w:val="231F20"/>
                <w:w w:val="110"/>
                <w:sz w:val="17"/>
              </w:rPr>
              <w:t>39/</w:t>
            </w:r>
          </w:p>
        </w:tc>
        <w:tc>
          <w:tcPr>
            <w:tcW w:w="773" w:type="dxa"/>
            <w:tcBorders>
              <w:bottom w:val="nil"/>
            </w:tcBorders>
          </w:tcPr>
          <w:p w14:paraId="5490C0C8" w14:textId="77777777" w:rsidR="009948F1" w:rsidRDefault="00BC0563">
            <w:pPr>
              <w:pStyle w:val="TableParagraph"/>
              <w:spacing w:line="189" w:lineRule="exact"/>
              <w:ind w:left="111"/>
              <w:rPr>
                <w:sz w:val="17"/>
              </w:rPr>
            </w:pPr>
            <w:r>
              <w:rPr>
                <w:color w:val="231F20"/>
                <w:w w:val="110"/>
                <w:sz w:val="17"/>
              </w:rPr>
              <w:t>38/</w:t>
            </w:r>
          </w:p>
        </w:tc>
        <w:tc>
          <w:tcPr>
            <w:tcW w:w="1011" w:type="dxa"/>
            <w:tcBorders>
              <w:bottom w:val="nil"/>
            </w:tcBorders>
          </w:tcPr>
          <w:p w14:paraId="5040A8F9" w14:textId="77777777" w:rsidR="009948F1" w:rsidRDefault="00BC0563">
            <w:pPr>
              <w:pStyle w:val="TableParagraph"/>
              <w:spacing w:line="189" w:lineRule="exact"/>
              <w:ind w:left="111"/>
              <w:rPr>
                <w:sz w:val="17"/>
              </w:rPr>
            </w:pPr>
            <w:r>
              <w:rPr>
                <w:color w:val="231F20"/>
                <w:w w:val="110"/>
                <w:sz w:val="17"/>
              </w:rPr>
              <w:t>48/1000</w:t>
            </w:r>
          </w:p>
        </w:tc>
      </w:tr>
      <w:tr w:rsidR="009948F1" w14:paraId="46C23BC5" w14:textId="77777777">
        <w:trPr>
          <w:trHeight w:val="195"/>
        </w:trPr>
        <w:tc>
          <w:tcPr>
            <w:tcW w:w="3159" w:type="dxa"/>
            <w:tcBorders>
              <w:top w:val="nil"/>
              <w:bottom w:val="nil"/>
            </w:tcBorders>
          </w:tcPr>
          <w:p w14:paraId="06F46CCB" w14:textId="77777777" w:rsidR="009948F1" w:rsidRDefault="00BC0563">
            <w:pPr>
              <w:pStyle w:val="TableParagraph"/>
              <w:spacing w:line="175" w:lineRule="exact"/>
              <w:ind w:left="110"/>
              <w:rPr>
                <w:sz w:val="17"/>
              </w:rPr>
            </w:pPr>
            <w:r>
              <w:rPr>
                <w:color w:val="231F20"/>
                <w:w w:val="110"/>
                <w:sz w:val="17"/>
              </w:rPr>
              <w:t>from 41/1000 live births to 38/1000</w:t>
            </w:r>
          </w:p>
        </w:tc>
        <w:tc>
          <w:tcPr>
            <w:tcW w:w="1232" w:type="dxa"/>
            <w:tcBorders>
              <w:top w:val="nil"/>
              <w:bottom w:val="nil"/>
            </w:tcBorders>
          </w:tcPr>
          <w:p w14:paraId="69FE4CE9" w14:textId="77777777" w:rsidR="009948F1" w:rsidRDefault="009948F1">
            <w:pPr>
              <w:pStyle w:val="TableParagraph"/>
              <w:rPr>
                <w:rFonts w:ascii="Times New Roman"/>
                <w:sz w:val="12"/>
              </w:rPr>
            </w:pPr>
          </w:p>
        </w:tc>
        <w:tc>
          <w:tcPr>
            <w:tcW w:w="768" w:type="dxa"/>
            <w:tcBorders>
              <w:top w:val="nil"/>
              <w:bottom w:val="nil"/>
            </w:tcBorders>
          </w:tcPr>
          <w:p w14:paraId="5BD96414"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3DE14083" w14:textId="77777777" w:rsidR="009948F1" w:rsidRDefault="00BC0563">
            <w:pPr>
              <w:pStyle w:val="TableParagraph"/>
              <w:spacing w:line="175" w:lineRule="exact"/>
              <w:ind w:left="111"/>
              <w:rPr>
                <w:sz w:val="17"/>
              </w:rPr>
            </w:pPr>
            <w:r>
              <w:rPr>
                <w:color w:val="231F20"/>
                <w:w w:val="110"/>
                <w:sz w:val="17"/>
              </w:rPr>
              <w:t>1000</w:t>
            </w:r>
          </w:p>
        </w:tc>
        <w:tc>
          <w:tcPr>
            <w:tcW w:w="768" w:type="dxa"/>
            <w:tcBorders>
              <w:top w:val="nil"/>
              <w:bottom w:val="nil"/>
            </w:tcBorders>
          </w:tcPr>
          <w:p w14:paraId="0574B4FD"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695007C1" w14:textId="77777777" w:rsidR="009948F1" w:rsidRDefault="00BC0563">
            <w:pPr>
              <w:pStyle w:val="TableParagraph"/>
              <w:spacing w:line="175" w:lineRule="exact"/>
              <w:ind w:left="111"/>
              <w:rPr>
                <w:sz w:val="17"/>
              </w:rPr>
            </w:pPr>
            <w:r>
              <w:rPr>
                <w:color w:val="231F20"/>
                <w:w w:val="110"/>
                <w:sz w:val="17"/>
              </w:rPr>
              <w:t>1000</w:t>
            </w:r>
          </w:p>
        </w:tc>
        <w:tc>
          <w:tcPr>
            <w:tcW w:w="773" w:type="dxa"/>
            <w:tcBorders>
              <w:top w:val="nil"/>
              <w:bottom w:val="nil"/>
            </w:tcBorders>
          </w:tcPr>
          <w:p w14:paraId="3E4659A5" w14:textId="77777777" w:rsidR="009948F1" w:rsidRDefault="00BC0563">
            <w:pPr>
              <w:pStyle w:val="TableParagraph"/>
              <w:spacing w:line="175" w:lineRule="exact"/>
              <w:ind w:left="111"/>
              <w:rPr>
                <w:sz w:val="17"/>
              </w:rPr>
            </w:pPr>
            <w:r>
              <w:rPr>
                <w:color w:val="231F20"/>
                <w:w w:val="110"/>
                <w:sz w:val="17"/>
              </w:rPr>
              <w:t>1000</w:t>
            </w:r>
          </w:p>
        </w:tc>
        <w:tc>
          <w:tcPr>
            <w:tcW w:w="1011" w:type="dxa"/>
            <w:tcBorders>
              <w:top w:val="nil"/>
              <w:bottom w:val="nil"/>
            </w:tcBorders>
          </w:tcPr>
          <w:p w14:paraId="2BE9E350" w14:textId="77777777" w:rsidR="009948F1" w:rsidRDefault="009948F1">
            <w:pPr>
              <w:pStyle w:val="TableParagraph"/>
              <w:rPr>
                <w:rFonts w:ascii="Times New Roman"/>
                <w:sz w:val="12"/>
              </w:rPr>
            </w:pPr>
          </w:p>
        </w:tc>
      </w:tr>
      <w:tr w:rsidR="009948F1" w14:paraId="6F4612C9" w14:textId="77777777">
        <w:trPr>
          <w:trHeight w:val="182"/>
        </w:trPr>
        <w:tc>
          <w:tcPr>
            <w:tcW w:w="3159" w:type="dxa"/>
            <w:tcBorders>
              <w:top w:val="nil"/>
            </w:tcBorders>
          </w:tcPr>
          <w:p w14:paraId="247BC7E4" w14:textId="77777777" w:rsidR="009948F1" w:rsidRDefault="00BC0563">
            <w:pPr>
              <w:pStyle w:val="TableParagraph"/>
              <w:spacing w:line="163" w:lineRule="exact"/>
              <w:ind w:left="110"/>
              <w:rPr>
                <w:sz w:val="17"/>
              </w:rPr>
            </w:pPr>
            <w:r>
              <w:rPr>
                <w:color w:val="231F20"/>
                <w:w w:val="110"/>
                <w:sz w:val="17"/>
              </w:rPr>
              <w:t>live births by 2022</w:t>
            </w:r>
          </w:p>
        </w:tc>
        <w:tc>
          <w:tcPr>
            <w:tcW w:w="1232" w:type="dxa"/>
            <w:tcBorders>
              <w:top w:val="nil"/>
            </w:tcBorders>
          </w:tcPr>
          <w:p w14:paraId="3BB028B4" w14:textId="77777777" w:rsidR="009948F1" w:rsidRDefault="009948F1">
            <w:pPr>
              <w:pStyle w:val="TableParagraph"/>
              <w:rPr>
                <w:rFonts w:ascii="Times New Roman"/>
                <w:sz w:val="12"/>
              </w:rPr>
            </w:pPr>
          </w:p>
        </w:tc>
        <w:tc>
          <w:tcPr>
            <w:tcW w:w="768" w:type="dxa"/>
            <w:tcBorders>
              <w:top w:val="nil"/>
            </w:tcBorders>
          </w:tcPr>
          <w:p w14:paraId="7016680A" w14:textId="77777777" w:rsidR="009948F1" w:rsidRDefault="009948F1">
            <w:pPr>
              <w:pStyle w:val="TableParagraph"/>
              <w:rPr>
                <w:rFonts w:ascii="Times New Roman"/>
                <w:sz w:val="12"/>
              </w:rPr>
            </w:pPr>
          </w:p>
        </w:tc>
        <w:tc>
          <w:tcPr>
            <w:tcW w:w="766" w:type="dxa"/>
            <w:tcBorders>
              <w:top w:val="nil"/>
            </w:tcBorders>
          </w:tcPr>
          <w:p w14:paraId="26A241FE" w14:textId="77777777" w:rsidR="009948F1" w:rsidRDefault="009948F1">
            <w:pPr>
              <w:pStyle w:val="TableParagraph"/>
              <w:rPr>
                <w:rFonts w:ascii="Times New Roman"/>
                <w:sz w:val="12"/>
              </w:rPr>
            </w:pPr>
          </w:p>
        </w:tc>
        <w:tc>
          <w:tcPr>
            <w:tcW w:w="768" w:type="dxa"/>
            <w:tcBorders>
              <w:top w:val="nil"/>
            </w:tcBorders>
          </w:tcPr>
          <w:p w14:paraId="39CA7894" w14:textId="77777777" w:rsidR="009948F1" w:rsidRDefault="009948F1">
            <w:pPr>
              <w:pStyle w:val="TableParagraph"/>
              <w:rPr>
                <w:rFonts w:ascii="Times New Roman"/>
                <w:sz w:val="12"/>
              </w:rPr>
            </w:pPr>
          </w:p>
        </w:tc>
        <w:tc>
          <w:tcPr>
            <w:tcW w:w="766" w:type="dxa"/>
            <w:tcBorders>
              <w:top w:val="nil"/>
            </w:tcBorders>
          </w:tcPr>
          <w:p w14:paraId="27808E4C" w14:textId="77777777" w:rsidR="009948F1" w:rsidRDefault="009948F1">
            <w:pPr>
              <w:pStyle w:val="TableParagraph"/>
              <w:rPr>
                <w:rFonts w:ascii="Times New Roman"/>
                <w:sz w:val="12"/>
              </w:rPr>
            </w:pPr>
          </w:p>
        </w:tc>
        <w:tc>
          <w:tcPr>
            <w:tcW w:w="773" w:type="dxa"/>
            <w:tcBorders>
              <w:top w:val="nil"/>
            </w:tcBorders>
          </w:tcPr>
          <w:p w14:paraId="09DFCCDC" w14:textId="77777777" w:rsidR="009948F1" w:rsidRDefault="009948F1">
            <w:pPr>
              <w:pStyle w:val="TableParagraph"/>
              <w:rPr>
                <w:rFonts w:ascii="Times New Roman"/>
                <w:sz w:val="12"/>
              </w:rPr>
            </w:pPr>
          </w:p>
        </w:tc>
        <w:tc>
          <w:tcPr>
            <w:tcW w:w="1011" w:type="dxa"/>
            <w:tcBorders>
              <w:top w:val="nil"/>
            </w:tcBorders>
          </w:tcPr>
          <w:p w14:paraId="69C2BFD4" w14:textId="77777777" w:rsidR="009948F1" w:rsidRDefault="009948F1">
            <w:pPr>
              <w:pStyle w:val="TableParagraph"/>
              <w:rPr>
                <w:rFonts w:ascii="Times New Roman"/>
                <w:sz w:val="12"/>
              </w:rPr>
            </w:pPr>
          </w:p>
        </w:tc>
      </w:tr>
      <w:tr w:rsidR="009948F1" w14:paraId="74E8C451" w14:textId="77777777">
        <w:trPr>
          <w:trHeight w:val="208"/>
        </w:trPr>
        <w:tc>
          <w:tcPr>
            <w:tcW w:w="3159" w:type="dxa"/>
            <w:tcBorders>
              <w:bottom w:val="nil"/>
            </w:tcBorders>
          </w:tcPr>
          <w:p w14:paraId="6E4BA300" w14:textId="77777777" w:rsidR="009948F1" w:rsidRDefault="00BC0563">
            <w:pPr>
              <w:pStyle w:val="TableParagraph"/>
              <w:spacing w:line="189" w:lineRule="exact"/>
              <w:ind w:left="110"/>
              <w:rPr>
                <w:sz w:val="17"/>
              </w:rPr>
            </w:pPr>
            <w:r>
              <w:rPr>
                <w:color w:val="231F20"/>
                <w:w w:val="110"/>
                <w:sz w:val="17"/>
              </w:rPr>
              <w:t>Under-five mortality reduced by</w:t>
            </w:r>
          </w:p>
        </w:tc>
        <w:tc>
          <w:tcPr>
            <w:tcW w:w="1232" w:type="dxa"/>
            <w:tcBorders>
              <w:bottom w:val="nil"/>
            </w:tcBorders>
          </w:tcPr>
          <w:p w14:paraId="66B92C1C" w14:textId="77777777" w:rsidR="009948F1" w:rsidRDefault="00BC0563">
            <w:pPr>
              <w:pStyle w:val="TableParagraph"/>
              <w:spacing w:line="189" w:lineRule="exact"/>
              <w:ind w:left="110"/>
              <w:rPr>
                <w:sz w:val="17"/>
              </w:rPr>
            </w:pPr>
            <w:r>
              <w:rPr>
                <w:color w:val="231F20"/>
                <w:w w:val="110"/>
                <w:sz w:val="17"/>
              </w:rPr>
              <w:t>58/1000</w:t>
            </w:r>
          </w:p>
        </w:tc>
        <w:tc>
          <w:tcPr>
            <w:tcW w:w="768" w:type="dxa"/>
            <w:tcBorders>
              <w:bottom w:val="nil"/>
            </w:tcBorders>
          </w:tcPr>
          <w:p w14:paraId="68DE2AC7" w14:textId="77777777" w:rsidR="009948F1" w:rsidRDefault="00BC0563">
            <w:pPr>
              <w:pStyle w:val="TableParagraph"/>
              <w:spacing w:line="189" w:lineRule="exact"/>
              <w:ind w:left="111"/>
              <w:rPr>
                <w:sz w:val="17"/>
              </w:rPr>
            </w:pPr>
            <w:r>
              <w:rPr>
                <w:color w:val="231F20"/>
                <w:w w:val="110"/>
                <w:sz w:val="17"/>
              </w:rPr>
              <w:t>52/</w:t>
            </w:r>
          </w:p>
        </w:tc>
        <w:tc>
          <w:tcPr>
            <w:tcW w:w="766" w:type="dxa"/>
            <w:tcBorders>
              <w:bottom w:val="nil"/>
            </w:tcBorders>
          </w:tcPr>
          <w:p w14:paraId="2E1BF0C2" w14:textId="77777777" w:rsidR="009948F1" w:rsidRDefault="00BC0563">
            <w:pPr>
              <w:pStyle w:val="TableParagraph"/>
              <w:spacing w:line="189" w:lineRule="exact"/>
              <w:ind w:left="111"/>
              <w:rPr>
                <w:sz w:val="17"/>
              </w:rPr>
            </w:pPr>
            <w:r>
              <w:rPr>
                <w:color w:val="231F20"/>
                <w:w w:val="110"/>
                <w:sz w:val="17"/>
              </w:rPr>
              <w:t>44/</w:t>
            </w:r>
          </w:p>
        </w:tc>
        <w:tc>
          <w:tcPr>
            <w:tcW w:w="768" w:type="dxa"/>
            <w:tcBorders>
              <w:bottom w:val="nil"/>
            </w:tcBorders>
          </w:tcPr>
          <w:p w14:paraId="00EFFB80" w14:textId="77777777" w:rsidR="009948F1" w:rsidRDefault="00BC0563">
            <w:pPr>
              <w:pStyle w:val="TableParagraph"/>
              <w:spacing w:line="189" w:lineRule="exact"/>
              <w:ind w:left="111"/>
              <w:rPr>
                <w:sz w:val="17"/>
              </w:rPr>
            </w:pPr>
            <w:r>
              <w:rPr>
                <w:color w:val="231F20"/>
                <w:w w:val="110"/>
                <w:sz w:val="17"/>
              </w:rPr>
              <w:t>40/</w:t>
            </w:r>
          </w:p>
        </w:tc>
        <w:tc>
          <w:tcPr>
            <w:tcW w:w="766" w:type="dxa"/>
            <w:tcBorders>
              <w:bottom w:val="nil"/>
            </w:tcBorders>
          </w:tcPr>
          <w:p w14:paraId="119019BF" w14:textId="77777777" w:rsidR="009948F1" w:rsidRDefault="00BC0563">
            <w:pPr>
              <w:pStyle w:val="TableParagraph"/>
              <w:spacing w:line="189" w:lineRule="exact"/>
              <w:ind w:left="111"/>
              <w:rPr>
                <w:sz w:val="17"/>
              </w:rPr>
            </w:pPr>
            <w:r>
              <w:rPr>
                <w:color w:val="231F20"/>
                <w:w w:val="110"/>
                <w:sz w:val="17"/>
              </w:rPr>
              <w:t>35/</w:t>
            </w:r>
          </w:p>
        </w:tc>
        <w:tc>
          <w:tcPr>
            <w:tcW w:w="773" w:type="dxa"/>
            <w:tcBorders>
              <w:bottom w:val="nil"/>
            </w:tcBorders>
          </w:tcPr>
          <w:p w14:paraId="6038695C" w14:textId="77777777" w:rsidR="009948F1" w:rsidRDefault="00BC0563">
            <w:pPr>
              <w:pStyle w:val="TableParagraph"/>
              <w:spacing w:line="189" w:lineRule="exact"/>
              <w:ind w:left="111"/>
              <w:rPr>
                <w:sz w:val="17"/>
              </w:rPr>
            </w:pPr>
            <w:r>
              <w:rPr>
                <w:color w:val="231F20"/>
                <w:w w:val="110"/>
                <w:sz w:val="17"/>
              </w:rPr>
              <w:t>30/</w:t>
            </w:r>
          </w:p>
        </w:tc>
        <w:tc>
          <w:tcPr>
            <w:tcW w:w="1011" w:type="dxa"/>
            <w:tcBorders>
              <w:bottom w:val="nil"/>
            </w:tcBorders>
          </w:tcPr>
          <w:p w14:paraId="6F2EE3DF" w14:textId="77777777" w:rsidR="009948F1" w:rsidRDefault="00BC0563">
            <w:pPr>
              <w:pStyle w:val="TableParagraph"/>
              <w:spacing w:line="189" w:lineRule="exact"/>
              <w:ind w:left="111"/>
              <w:rPr>
                <w:sz w:val="17"/>
              </w:rPr>
            </w:pPr>
            <w:r>
              <w:rPr>
                <w:color w:val="231F20"/>
                <w:w w:val="110"/>
                <w:sz w:val="17"/>
              </w:rPr>
              <w:t>85/1000</w:t>
            </w:r>
          </w:p>
        </w:tc>
      </w:tr>
      <w:tr w:rsidR="009948F1" w14:paraId="18DF444A" w14:textId="77777777">
        <w:trPr>
          <w:trHeight w:val="195"/>
        </w:trPr>
        <w:tc>
          <w:tcPr>
            <w:tcW w:w="3159" w:type="dxa"/>
            <w:tcBorders>
              <w:top w:val="nil"/>
              <w:bottom w:val="nil"/>
            </w:tcBorders>
          </w:tcPr>
          <w:p w14:paraId="20C03D41" w14:textId="77777777" w:rsidR="009948F1" w:rsidRDefault="00BC0563">
            <w:pPr>
              <w:pStyle w:val="TableParagraph"/>
              <w:spacing w:line="175" w:lineRule="exact"/>
              <w:ind w:left="110"/>
              <w:rPr>
                <w:sz w:val="17"/>
              </w:rPr>
            </w:pPr>
            <w:r>
              <w:rPr>
                <w:color w:val="231F20"/>
                <w:w w:val="110"/>
                <w:sz w:val="17"/>
              </w:rPr>
              <w:t>50% from 58/1000 live births to</w:t>
            </w:r>
          </w:p>
        </w:tc>
        <w:tc>
          <w:tcPr>
            <w:tcW w:w="1232" w:type="dxa"/>
            <w:tcBorders>
              <w:top w:val="nil"/>
              <w:bottom w:val="nil"/>
            </w:tcBorders>
          </w:tcPr>
          <w:p w14:paraId="09FABAC3" w14:textId="77777777" w:rsidR="009948F1" w:rsidRDefault="009948F1">
            <w:pPr>
              <w:pStyle w:val="TableParagraph"/>
              <w:rPr>
                <w:rFonts w:ascii="Times New Roman"/>
                <w:sz w:val="12"/>
              </w:rPr>
            </w:pPr>
          </w:p>
        </w:tc>
        <w:tc>
          <w:tcPr>
            <w:tcW w:w="768" w:type="dxa"/>
            <w:tcBorders>
              <w:top w:val="nil"/>
              <w:bottom w:val="nil"/>
            </w:tcBorders>
          </w:tcPr>
          <w:p w14:paraId="72DB7DA3"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696FDC42" w14:textId="77777777" w:rsidR="009948F1" w:rsidRDefault="00BC0563">
            <w:pPr>
              <w:pStyle w:val="TableParagraph"/>
              <w:spacing w:line="175" w:lineRule="exact"/>
              <w:ind w:left="111"/>
              <w:rPr>
                <w:sz w:val="17"/>
              </w:rPr>
            </w:pPr>
            <w:r>
              <w:rPr>
                <w:color w:val="231F20"/>
                <w:w w:val="110"/>
                <w:sz w:val="17"/>
              </w:rPr>
              <w:t>1000</w:t>
            </w:r>
          </w:p>
        </w:tc>
        <w:tc>
          <w:tcPr>
            <w:tcW w:w="768" w:type="dxa"/>
            <w:tcBorders>
              <w:top w:val="nil"/>
              <w:bottom w:val="nil"/>
            </w:tcBorders>
          </w:tcPr>
          <w:p w14:paraId="0361CE89" w14:textId="77777777" w:rsidR="009948F1" w:rsidRDefault="00BC0563">
            <w:pPr>
              <w:pStyle w:val="TableParagraph"/>
              <w:spacing w:line="175" w:lineRule="exact"/>
              <w:ind w:left="111"/>
              <w:rPr>
                <w:sz w:val="17"/>
              </w:rPr>
            </w:pPr>
            <w:r>
              <w:rPr>
                <w:color w:val="231F20"/>
                <w:w w:val="110"/>
                <w:sz w:val="17"/>
              </w:rPr>
              <w:t>1000</w:t>
            </w:r>
          </w:p>
        </w:tc>
        <w:tc>
          <w:tcPr>
            <w:tcW w:w="766" w:type="dxa"/>
            <w:tcBorders>
              <w:top w:val="nil"/>
              <w:bottom w:val="nil"/>
            </w:tcBorders>
          </w:tcPr>
          <w:p w14:paraId="5A3D093A" w14:textId="77777777" w:rsidR="009948F1" w:rsidRDefault="00BC0563">
            <w:pPr>
              <w:pStyle w:val="TableParagraph"/>
              <w:spacing w:line="175" w:lineRule="exact"/>
              <w:ind w:left="111"/>
              <w:rPr>
                <w:sz w:val="17"/>
              </w:rPr>
            </w:pPr>
            <w:r>
              <w:rPr>
                <w:color w:val="231F20"/>
                <w:w w:val="110"/>
                <w:sz w:val="17"/>
              </w:rPr>
              <w:t>1000</w:t>
            </w:r>
          </w:p>
        </w:tc>
        <w:tc>
          <w:tcPr>
            <w:tcW w:w="773" w:type="dxa"/>
            <w:tcBorders>
              <w:top w:val="nil"/>
              <w:bottom w:val="nil"/>
            </w:tcBorders>
          </w:tcPr>
          <w:p w14:paraId="7297DD65" w14:textId="77777777" w:rsidR="009948F1" w:rsidRDefault="00BC0563">
            <w:pPr>
              <w:pStyle w:val="TableParagraph"/>
              <w:spacing w:line="175" w:lineRule="exact"/>
              <w:ind w:left="111"/>
              <w:rPr>
                <w:sz w:val="17"/>
              </w:rPr>
            </w:pPr>
            <w:r>
              <w:rPr>
                <w:color w:val="231F20"/>
                <w:w w:val="110"/>
                <w:sz w:val="17"/>
              </w:rPr>
              <w:t>1000</w:t>
            </w:r>
          </w:p>
        </w:tc>
        <w:tc>
          <w:tcPr>
            <w:tcW w:w="1011" w:type="dxa"/>
            <w:tcBorders>
              <w:top w:val="nil"/>
              <w:bottom w:val="nil"/>
            </w:tcBorders>
          </w:tcPr>
          <w:p w14:paraId="4715580A" w14:textId="77777777" w:rsidR="009948F1" w:rsidRDefault="009948F1">
            <w:pPr>
              <w:pStyle w:val="TableParagraph"/>
              <w:rPr>
                <w:rFonts w:ascii="Times New Roman"/>
                <w:sz w:val="12"/>
              </w:rPr>
            </w:pPr>
          </w:p>
        </w:tc>
      </w:tr>
      <w:tr w:rsidR="009948F1" w14:paraId="56F8017D" w14:textId="77777777">
        <w:trPr>
          <w:trHeight w:val="182"/>
        </w:trPr>
        <w:tc>
          <w:tcPr>
            <w:tcW w:w="3159" w:type="dxa"/>
            <w:tcBorders>
              <w:top w:val="nil"/>
            </w:tcBorders>
          </w:tcPr>
          <w:p w14:paraId="484B7764" w14:textId="77777777" w:rsidR="009948F1" w:rsidRDefault="00BC0563">
            <w:pPr>
              <w:pStyle w:val="TableParagraph"/>
              <w:spacing w:line="163" w:lineRule="exact"/>
              <w:ind w:left="110"/>
              <w:rPr>
                <w:sz w:val="17"/>
              </w:rPr>
            </w:pPr>
            <w:r>
              <w:rPr>
                <w:color w:val="231F20"/>
                <w:w w:val="110"/>
                <w:sz w:val="17"/>
              </w:rPr>
              <w:t>30/1000 live births by 2022</w:t>
            </w:r>
          </w:p>
        </w:tc>
        <w:tc>
          <w:tcPr>
            <w:tcW w:w="1232" w:type="dxa"/>
            <w:tcBorders>
              <w:top w:val="nil"/>
            </w:tcBorders>
          </w:tcPr>
          <w:p w14:paraId="12300D20" w14:textId="77777777" w:rsidR="009948F1" w:rsidRDefault="009948F1">
            <w:pPr>
              <w:pStyle w:val="TableParagraph"/>
              <w:rPr>
                <w:rFonts w:ascii="Times New Roman"/>
                <w:sz w:val="12"/>
              </w:rPr>
            </w:pPr>
          </w:p>
        </w:tc>
        <w:tc>
          <w:tcPr>
            <w:tcW w:w="768" w:type="dxa"/>
            <w:tcBorders>
              <w:top w:val="nil"/>
            </w:tcBorders>
          </w:tcPr>
          <w:p w14:paraId="58743746" w14:textId="77777777" w:rsidR="009948F1" w:rsidRDefault="009948F1">
            <w:pPr>
              <w:pStyle w:val="TableParagraph"/>
              <w:rPr>
                <w:rFonts w:ascii="Times New Roman"/>
                <w:sz w:val="12"/>
              </w:rPr>
            </w:pPr>
          </w:p>
        </w:tc>
        <w:tc>
          <w:tcPr>
            <w:tcW w:w="766" w:type="dxa"/>
            <w:tcBorders>
              <w:top w:val="nil"/>
            </w:tcBorders>
          </w:tcPr>
          <w:p w14:paraId="7D797089" w14:textId="77777777" w:rsidR="009948F1" w:rsidRDefault="009948F1">
            <w:pPr>
              <w:pStyle w:val="TableParagraph"/>
              <w:rPr>
                <w:rFonts w:ascii="Times New Roman"/>
                <w:sz w:val="12"/>
              </w:rPr>
            </w:pPr>
          </w:p>
        </w:tc>
        <w:tc>
          <w:tcPr>
            <w:tcW w:w="768" w:type="dxa"/>
            <w:tcBorders>
              <w:top w:val="nil"/>
            </w:tcBorders>
          </w:tcPr>
          <w:p w14:paraId="36DF3E7E" w14:textId="77777777" w:rsidR="009948F1" w:rsidRDefault="009948F1">
            <w:pPr>
              <w:pStyle w:val="TableParagraph"/>
              <w:rPr>
                <w:rFonts w:ascii="Times New Roman"/>
                <w:sz w:val="12"/>
              </w:rPr>
            </w:pPr>
          </w:p>
        </w:tc>
        <w:tc>
          <w:tcPr>
            <w:tcW w:w="766" w:type="dxa"/>
            <w:tcBorders>
              <w:top w:val="nil"/>
            </w:tcBorders>
          </w:tcPr>
          <w:p w14:paraId="2D6D3207" w14:textId="77777777" w:rsidR="009948F1" w:rsidRDefault="009948F1">
            <w:pPr>
              <w:pStyle w:val="TableParagraph"/>
              <w:rPr>
                <w:rFonts w:ascii="Times New Roman"/>
                <w:sz w:val="12"/>
              </w:rPr>
            </w:pPr>
          </w:p>
        </w:tc>
        <w:tc>
          <w:tcPr>
            <w:tcW w:w="773" w:type="dxa"/>
            <w:tcBorders>
              <w:top w:val="nil"/>
            </w:tcBorders>
          </w:tcPr>
          <w:p w14:paraId="5125109B" w14:textId="77777777" w:rsidR="009948F1" w:rsidRDefault="009948F1">
            <w:pPr>
              <w:pStyle w:val="TableParagraph"/>
              <w:rPr>
                <w:rFonts w:ascii="Times New Roman"/>
                <w:sz w:val="12"/>
              </w:rPr>
            </w:pPr>
          </w:p>
        </w:tc>
        <w:tc>
          <w:tcPr>
            <w:tcW w:w="1011" w:type="dxa"/>
            <w:tcBorders>
              <w:top w:val="nil"/>
            </w:tcBorders>
          </w:tcPr>
          <w:p w14:paraId="15FAF0E3" w14:textId="77777777" w:rsidR="009948F1" w:rsidRDefault="009948F1">
            <w:pPr>
              <w:pStyle w:val="TableParagraph"/>
              <w:rPr>
                <w:rFonts w:ascii="Times New Roman"/>
                <w:sz w:val="12"/>
              </w:rPr>
            </w:pPr>
          </w:p>
        </w:tc>
      </w:tr>
    </w:tbl>
    <w:p w14:paraId="035E0E20" w14:textId="77777777" w:rsidR="009948F1" w:rsidRDefault="009948F1">
      <w:pPr>
        <w:pStyle w:val="BodyText"/>
        <w:rPr>
          <w:b/>
          <w:sz w:val="20"/>
        </w:rPr>
      </w:pPr>
    </w:p>
    <w:p w14:paraId="4A50A2D0" w14:textId="77777777" w:rsidR="009948F1" w:rsidRDefault="00BC0563">
      <w:pPr>
        <w:pStyle w:val="Heading7"/>
        <w:spacing w:before="135"/>
        <w:ind w:left="136"/>
      </w:pPr>
      <w:r>
        <w:rPr>
          <w:color w:val="231F20"/>
        </w:rPr>
        <w:t>Interventions</w:t>
      </w:r>
    </w:p>
    <w:p w14:paraId="1282E074" w14:textId="6C0803B7" w:rsidR="009948F1" w:rsidRDefault="00BC0563">
      <w:pPr>
        <w:pStyle w:val="ListParagraph"/>
        <w:numPr>
          <w:ilvl w:val="3"/>
          <w:numId w:val="293"/>
        </w:numPr>
        <w:tabs>
          <w:tab w:val="left" w:pos="850"/>
        </w:tabs>
        <w:spacing w:before="54" w:line="292" w:lineRule="auto"/>
        <w:ind w:left="136" w:right="207" w:firstLine="0"/>
      </w:pPr>
      <w:r>
        <w:rPr>
          <w:color w:val="231F20"/>
        </w:rPr>
        <w:t>Strengthen</w:t>
      </w:r>
      <w:r>
        <w:rPr>
          <w:color w:val="231F20"/>
          <w:spacing w:val="-23"/>
        </w:rPr>
        <w:t xml:space="preserve"> </w:t>
      </w:r>
      <w:r>
        <w:rPr>
          <w:color w:val="231F20"/>
        </w:rPr>
        <w:t>postnatal</w:t>
      </w:r>
      <w:r>
        <w:rPr>
          <w:color w:val="231F20"/>
          <w:spacing w:val="-22"/>
        </w:rPr>
        <w:t xml:space="preserve"> </w:t>
      </w:r>
      <w:r>
        <w:rPr>
          <w:color w:val="231F20"/>
        </w:rPr>
        <w:t>and</w:t>
      </w:r>
      <w:r>
        <w:rPr>
          <w:color w:val="231F20"/>
          <w:spacing w:val="-22"/>
        </w:rPr>
        <w:t xml:space="preserve"> </w:t>
      </w:r>
      <w:r>
        <w:rPr>
          <w:color w:val="231F20"/>
        </w:rPr>
        <w:t>newborn</w:t>
      </w:r>
      <w:r>
        <w:rPr>
          <w:color w:val="231F20"/>
          <w:spacing w:val="-23"/>
        </w:rPr>
        <w:t xml:space="preserve"> </w:t>
      </w:r>
      <w:r>
        <w:rPr>
          <w:color w:val="231F20"/>
        </w:rPr>
        <w:t>care.</w:t>
      </w:r>
      <w:r>
        <w:rPr>
          <w:color w:val="231F20"/>
          <w:spacing w:val="-23"/>
        </w:rPr>
        <w:t xml:space="preserve"> </w:t>
      </w:r>
      <w:r>
        <w:rPr>
          <w:color w:val="231F20"/>
        </w:rPr>
        <w:t>Key</w:t>
      </w:r>
      <w:r>
        <w:rPr>
          <w:color w:val="231F20"/>
          <w:spacing w:val="-23"/>
        </w:rPr>
        <w:t xml:space="preserve"> </w:t>
      </w:r>
      <w:r>
        <w:rPr>
          <w:color w:val="231F20"/>
        </w:rPr>
        <w:t>actions</w:t>
      </w:r>
      <w:r>
        <w:rPr>
          <w:color w:val="231F20"/>
          <w:spacing w:val="-22"/>
        </w:rPr>
        <w:t xml:space="preserve"> </w:t>
      </w:r>
      <w:r>
        <w:rPr>
          <w:color w:val="231F20"/>
        </w:rPr>
        <w:t>include:</w:t>
      </w:r>
      <w:r>
        <w:rPr>
          <w:color w:val="231F20"/>
          <w:spacing w:val="-23"/>
        </w:rPr>
        <w:t xml:space="preserve"> </w:t>
      </w:r>
      <w:r>
        <w:rPr>
          <w:color w:val="231F20"/>
        </w:rPr>
        <w:t>Conduct</w:t>
      </w:r>
      <w:r>
        <w:rPr>
          <w:color w:val="231F20"/>
          <w:spacing w:val="-22"/>
        </w:rPr>
        <w:t xml:space="preserve"> </w:t>
      </w:r>
      <w:r>
        <w:rPr>
          <w:color w:val="231F20"/>
        </w:rPr>
        <w:t>training</w:t>
      </w:r>
      <w:r>
        <w:rPr>
          <w:color w:val="231F20"/>
          <w:spacing w:val="-22"/>
        </w:rPr>
        <w:t xml:space="preserve"> </w:t>
      </w:r>
      <w:r>
        <w:rPr>
          <w:color w:val="231F20"/>
        </w:rPr>
        <w:t>for</w:t>
      </w:r>
      <w:r>
        <w:rPr>
          <w:color w:val="231F20"/>
          <w:spacing w:val="-24"/>
        </w:rPr>
        <w:t xml:space="preserve"> </w:t>
      </w:r>
      <w:r>
        <w:rPr>
          <w:color w:val="231F20"/>
        </w:rPr>
        <w:t>Midwives in</w:t>
      </w:r>
      <w:r>
        <w:rPr>
          <w:color w:val="231F20"/>
          <w:spacing w:val="-7"/>
        </w:rPr>
        <w:t xml:space="preserve"> </w:t>
      </w:r>
      <w:r>
        <w:rPr>
          <w:color w:val="231F20"/>
        </w:rPr>
        <w:t>all</w:t>
      </w:r>
      <w:r>
        <w:rPr>
          <w:color w:val="231F20"/>
          <w:spacing w:val="-7"/>
        </w:rPr>
        <w:t xml:space="preserve"> </w:t>
      </w:r>
      <w:r>
        <w:rPr>
          <w:color w:val="231F20"/>
        </w:rPr>
        <w:t>HFs</w:t>
      </w:r>
      <w:r>
        <w:rPr>
          <w:color w:val="231F20"/>
          <w:spacing w:val="-7"/>
        </w:rPr>
        <w:t xml:space="preserve"> </w:t>
      </w:r>
      <w:r>
        <w:rPr>
          <w:color w:val="231F20"/>
        </w:rPr>
        <w:t>on</w:t>
      </w:r>
      <w:r>
        <w:rPr>
          <w:color w:val="231F20"/>
          <w:spacing w:val="-7"/>
        </w:rPr>
        <w:t xml:space="preserve"> </w:t>
      </w:r>
      <w:r>
        <w:rPr>
          <w:color w:val="231F20"/>
        </w:rPr>
        <w:t>follow</w:t>
      </w:r>
      <w:r>
        <w:rPr>
          <w:color w:val="231F20"/>
          <w:spacing w:val="-7"/>
        </w:rPr>
        <w:t xml:space="preserve"> </w:t>
      </w:r>
      <w:r>
        <w:rPr>
          <w:color w:val="231F20"/>
        </w:rPr>
        <w:t>up</w:t>
      </w:r>
      <w:r>
        <w:rPr>
          <w:color w:val="231F20"/>
          <w:spacing w:val="-7"/>
        </w:rPr>
        <w:t xml:space="preserve"> </w:t>
      </w:r>
      <w:r>
        <w:rPr>
          <w:color w:val="231F20"/>
        </w:rPr>
        <w:t>care</w:t>
      </w:r>
      <w:r>
        <w:rPr>
          <w:color w:val="231F20"/>
          <w:spacing w:val="-7"/>
        </w:rPr>
        <w:t xml:space="preserve"> </w:t>
      </w:r>
      <w:r>
        <w:rPr>
          <w:color w:val="231F20"/>
        </w:rPr>
        <w:t>of</w:t>
      </w:r>
      <w:r>
        <w:rPr>
          <w:color w:val="231F20"/>
          <w:spacing w:val="-6"/>
        </w:rPr>
        <w:t xml:space="preserve"> </w:t>
      </w:r>
      <w:r>
        <w:rPr>
          <w:color w:val="231F20"/>
        </w:rPr>
        <w:t>Post</w:t>
      </w:r>
      <w:r w:rsidR="00C14694">
        <w:rPr>
          <w:color w:val="231F20"/>
          <w:spacing w:val="-7"/>
        </w:rPr>
        <w:t>-</w:t>
      </w:r>
      <w:r>
        <w:rPr>
          <w:color w:val="231F20"/>
        </w:rPr>
        <w:t>natal</w:t>
      </w:r>
      <w:r>
        <w:rPr>
          <w:color w:val="231F20"/>
          <w:spacing w:val="-7"/>
        </w:rPr>
        <w:t xml:space="preserve"> </w:t>
      </w:r>
      <w:r>
        <w:rPr>
          <w:color w:val="231F20"/>
        </w:rPr>
        <w:t>mothers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24</w:t>
      </w:r>
      <w:r>
        <w:rPr>
          <w:color w:val="231F20"/>
          <w:spacing w:val="-6"/>
        </w:rPr>
        <w:t xml:space="preserve"> </w:t>
      </w:r>
      <w:proofErr w:type="spellStart"/>
      <w:r>
        <w:rPr>
          <w:color w:val="231F20"/>
        </w:rPr>
        <w:t>hrs</w:t>
      </w:r>
      <w:proofErr w:type="spellEnd"/>
      <w:r>
        <w:rPr>
          <w:color w:val="231F20"/>
        </w:rPr>
        <w:t>,</w:t>
      </w:r>
      <w:r>
        <w:rPr>
          <w:color w:val="231F20"/>
          <w:spacing w:val="-7"/>
        </w:rPr>
        <w:t xml:space="preserve"> </w:t>
      </w:r>
      <w:r w:rsidR="00C14694">
        <w:rPr>
          <w:color w:val="231F20"/>
        </w:rPr>
        <w:t>and 3</w:t>
      </w:r>
      <w:r>
        <w:rPr>
          <w:color w:val="231F20"/>
        </w:rPr>
        <w:t>rd</w:t>
      </w:r>
      <w:r>
        <w:rPr>
          <w:color w:val="231F20"/>
          <w:spacing w:val="-7"/>
        </w:rPr>
        <w:t xml:space="preserve"> </w:t>
      </w:r>
      <w:r>
        <w:rPr>
          <w:color w:val="231F20"/>
        </w:rPr>
        <w:t>and</w:t>
      </w:r>
      <w:r>
        <w:rPr>
          <w:color w:val="231F20"/>
          <w:spacing w:val="-7"/>
        </w:rPr>
        <w:t xml:space="preserve"> </w:t>
      </w:r>
      <w:r>
        <w:rPr>
          <w:color w:val="231F20"/>
        </w:rPr>
        <w:t>7th</w:t>
      </w:r>
      <w:r>
        <w:rPr>
          <w:color w:val="231F20"/>
          <w:spacing w:val="-7"/>
        </w:rPr>
        <w:t xml:space="preserve"> </w:t>
      </w:r>
      <w:r>
        <w:rPr>
          <w:color w:val="231F20"/>
        </w:rPr>
        <w:t>day</w:t>
      </w:r>
      <w:r>
        <w:rPr>
          <w:color w:val="231F20"/>
          <w:spacing w:val="-7"/>
        </w:rPr>
        <w:t xml:space="preserve"> </w:t>
      </w:r>
      <w:r>
        <w:rPr>
          <w:color w:val="231F20"/>
          <w:spacing w:val="-3"/>
        </w:rPr>
        <w:t xml:space="preserve">after </w:t>
      </w:r>
      <w:r>
        <w:rPr>
          <w:color w:val="231F20"/>
        </w:rPr>
        <w:t xml:space="preserve">delivery; Print &amp; distribute posters on Danger signs of heavy bleeding, smelly discharge </w:t>
      </w:r>
      <w:r>
        <w:rPr>
          <w:color w:val="231F20"/>
          <w:spacing w:val="-4"/>
        </w:rPr>
        <w:t xml:space="preserve">per </w:t>
      </w:r>
      <w:proofErr w:type="spellStart"/>
      <w:r w:rsidR="00C14694">
        <w:rPr>
          <w:color w:val="231F20"/>
        </w:rPr>
        <w:t>vaginum</w:t>
      </w:r>
      <w:proofErr w:type="spellEnd"/>
      <w:r>
        <w:rPr>
          <w:color w:val="231F20"/>
        </w:rPr>
        <w:t xml:space="preserve">, </w:t>
      </w:r>
      <w:r>
        <w:rPr>
          <w:color w:val="231F20"/>
          <w:spacing w:val="-3"/>
        </w:rPr>
        <w:t xml:space="preserve">fever, </w:t>
      </w:r>
      <w:r>
        <w:rPr>
          <w:color w:val="231F20"/>
        </w:rPr>
        <w:t>weakness &amp; dizziness to all HFs to create awareness; Procure &amp; distribute 4% chlorhexidine gel (CHX) for cord care to all 385 HFs for prevention of cord infection; Conduct sensitization</w:t>
      </w:r>
      <w:r>
        <w:rPr>
          <w:color w:val="231F20"/>
          <w:spacing w:val="-7"/>
        </w:rPr>
        <w:t xml:space="preserve"> </w:t>
      </w:r>
      <w:r>
        <w:rPr>
          <w:color w:val="231F20"/>
        </w:rPr>
        <w:t>meetings</w:t>
      </w:r>
      <w:r>
        <w:rPr>
          <w:color w:val="231F20"/>
          <w:spacing w:val="-6"/>
        </w:rPr>
        <w:t xml:space="preserve"> </w:t>
      </w:r>
      <w:r>
        <w:rPr>
          <w:color w:val="231F20"/>
        </w:rPr>
        <w:t>for</w:t>
      </w:r>
      <w:r>
        <w:rPr>
          <w:color w:val="231F20"/>
          <w:spacing w:val="-6"/>
        </w:rPr>
        <w:t xml:space="preserve"> </w:t>
      </w:r>
      <w:r>
        <w:rPr>
          <w:color w:val="231F20"/>
        </w:rPr>
        <w:t>HWs</w:t>
      </w:r>
      <w:r>
        <w:rPr>
          <w:color w:val="231F20"/>
          <w:spacing w:val="-6"/>
        </w:rPr>
        <w:t xml:space="preserve"> </w:t>
      </w:r>
      <w:r>
        <w:rPr>
          <w:color w:val="231F20"/>
        </w:rPr>
        <w:t>on</w:t>
      </w:r>
      <w:r>
        <w:rPr>
          <w:color w:val="231F20"/>
          <w:spacing w:val="-6"/>
        </w:rPr>
        <w:t xml:space="preserve"> </w:t>
      </w:r>
      <w:r>
        <w:rPr>
          <w:color w:val="231F20"/>
        </w:rPr>
        <w:t>proper</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Chlorhexidine</w:t>
      </w:r>
      <w:r>
        <w:rPr>
          <w:color w:val="231F20"/>
          <w:spacing w:val="-5"/>
        </w:rPr>
        <w:t xml:space="preserve"> </w:t>
      </w:r>
      <w:r>
        <w:rPr>
          <w:color w:val="231F20"/>
        </w:rPr>
        <w:t>gel</w:t>
      </w:r>
      <w:r>
        <w:rPr>
          <w:color w:val="231F20"/>
          <w:spacing w:val="-6"/>
        </w:rPr>
        <w:t xml:space="preserve"> </w:t>
      </w:r>
      <w:r>
        <w:rPr>
          <w:color w:val="231F20"/>
        </w:rPr>
        <w:t>for</w:t>
      </w:r>
      <w:r>
        <w:rPr>
          <w:color w:val="231F20"/>
          <w:spacing w:val="-7"/>
        </w:rPr>
        <w:t xml:space="preserve"> </w:t>
      </w:r>
      <w:r>
        <w:rPr>
          <w:color w:val="231F20"/>
        </w:rPr>
        <w:t>Cord</w:t>
      </w:r>
      <w:r>
        <w:rPr>
          <w:color w:val="231F20"/>
          <w:spacing w:val="-6"/>
        </w:rPr>
        <w:t xml:space="preserve"> </w:t>
      </w:r>
      <w:r>
        <w:rPr>
          <w:color w:val="231F20"/>
        </w:rPr>
        <w:t>care</w:t>
      </w:r>
      <w:r>
        <w:rPr>
          <w:color w:val="231F20"/>
          <w:spacing w:val="-6"/>
        </w:rPr>
        <w:t xml:space="preserve"> </w:t>
      </w:r>
      <w:r>
        <w:rPr>
          <w:color w:val="231F20"/>
        </w:rPr>
        <w:t>for</w:t>
      </w:r>
      <w:r>
        <w:rPr>
          <w:color w:val="231F20"/>
          <w:spacing w:val="-6"/>
        </w:rPr>
        <w:t xml:space="preserve"> </w:t>
      </w:r>
      <w:r>
        <w:rPr>
          <w:color w:val="231F20"/>
        </w:rPr>
        <w:t>prevention</w:t>
      </w:r>
      <w:r>
        <w:rPr>
          <w:color w:val="231F20"/>
          <w:spacing w:val="-6"/>
        </w:rPr>
        <w:t xml:space="preserve"> </w:t>
      </w:r>
      <w:r>
        <w:rPr>
          <w:color w:val="231F20"/>
        </w:rPr>
        <w:t>of neonatal sepsis and provide essential newborn care in all delivery service points (thermal care, including</w:t>
      </w:r>
      <w:r>
        <w:rPr>
          <w:color w:val="231F20"/>
          <w:spacing w:val="-25"/>
        </w:rPr>
        <w:t xml:space="preserve"> </w:t>
      </w:r>
      <w:r>
        <w:rPr>
          <w:color w:val="231F20"/>
        </w:rPr>
        <w:t>kangaroo</w:t>
      </w:r>
      <w:r>
        <w:rPr>
          <w:color w:val="231F20"/>
          <w:spacing w:val="-26"/>
        </w:rPr>
        <w:t xml:space="preserve"> </w:t>
      </w:r>
      <w:r>
        <w:rPr>
          <w:color w:val="231F20"/>
        </w:rPr>
        <w:t>mother</w:t>
      </w:r>
      <w:r>
        <w:rPr>
          <w:color w:val="231F20"/>
          <w:spacing w:val="-25"/>
        </w:rPr>
        <w:t xml:space="preserve"> </w:t>
      </w:r>
      <w:r>
        <w:rPr>
          <w:color w:val="231F20"/>
        </w:rPr>
        <w:t>care,</w:t>
      </w:r>
      <w:r>
        <w:rPr>
          <w:color w:val="231F20"/>
          <w:spacing w:val="-25"/>
        </w:rPr>
        <w:t xml:space="preserve"> </w:t>
      </w:r>
      <w:r>
        <w:rPr>
          <w:color w:val="231F20"/>
        </w:rPr>
        <w:t>neonatal</w:t>
      </w:r>
      <w:r>
        <w:rPr>
          <w:color w:val="231F20"/>
          <w:spacing w:val="-25"/>
        </w:rPr>
        <w:t xml:space="preserve"> </w:t>
      </w:r>
      <w:r>
        <w:rPr>
          <w:color w:val="231F20"/>
        </w:rPr>
        <w:t>resuscitation).</w:t>
      </w:r>
    </w:p>
    <w:p w14:paraId="41E98248" w14:textId="77777777" w:rsidR="009948F1" w:rsidRDefault="009948F1">
      <w:pPr>
        <w:spacing w:line="292" w:lineRule="auto"/>
        <w:jc w:val="both"/>
        <w:sectPr w:rsidR="009948F1">
          <w:pgSz w:w="11910" w:h="16840"/>
          <w:pgMar w:top="1540" w:right="1080" w:bottom="1420" w:left="1120" w:header="0" w:footer="1235" w:gutter="0"/>
          <w:cols w:space="720"/>
        </w:sectPr>
      </w:pPr>
    </w:p>
    <w:p w14:paraId="3637CA37" w14:textId="77777777" w:rsidR="009948F1" w:rsidRDefault="00BC0563">
      <w:pPr>
        <w:pStyle w:val="ListParagraph"/>
        <w:numPr>
          <w:ilvl w:val="3"/>
          <w:numId w:val="293"/>
        </w:numPr>
        <w:tabs>
          <w:tab w:val="left" w:pos="967"/>
        </w:tabs>
        <w:spacing w:before="50" w:line="271" w:lineRule="auto"/>
        <w:ind w:left="178" w:right="167" w:firstLine="0"/>
      </w:pPr>
      <w:bookmarkStart w:id="65" w:name="Page_51"/>
      <w:bookmarkEnd w:id="65"/>
      <w:r>
        <w:rPr>
          <w:color w:val="231F20"/>
        </w:rPr>
        <w:lastRenderedPageBreak/>
        <w:t>Strengthen emergency obstetric, newborn and childhood care. Key actions include; Develop</w:t>
      </w:r>
      <w:r>
        <w:rPr>
          <w:color w:val="231F20"/>
          <w:spacing w:val="-14"/>
        </w:rPr>
        <w:t xml:space="preserve"> </w:t>
      </w:r>
      <w:r>
        <w:rPr>
          <w:color w:val="231F20"/>
        </w:rPr>
        <w:t>and</w:t>
      </w:r>
      <w:r>
        <w:rPr>
          <w:color w:val="231F20"/>
          <w:spacing w:val="-14"/>
        </w:rPr>
        <w:t xml:space="preserve"> </w:t>
      </w:r>
      <w:r>
        <w:rPr>
          <w:color w:val="231F20"/>
        </w:rPr>
        <w:t>implement</w:t>
      </w:r>
      <w:r>
        <w:rPr>
          <w:color w:val="231F20"/>
          <w:spacing w:val="-13"/>
        </w:rPr>
        <w:t xml:space="preserve"> </w:t>
      </w:r>
      <w:r>
        <w:rPr>
          <w:color w:val="231F20"/>
        </w:rPr>
        <w:t>emergency</w:t>
      </w:r>
      <w:r>
        <w:rPr>
          <w:color w:val="231F20"/>
          <w:spacing w:val="-13"/>
        </w:rPr>
        <w:t xml:space="preserve"> </w:t>
      </w:r>
      <w:r>
        <w:rPr>
          <w:color w:val="231F20"/>
        </w:rPr>
        <w:t>obstetrics,</w:t>
      </w:r>
      <w:r>
        <w:rPr>
          <w:color w:val="231F20"/>
          <w:spacing w:val="-14"/>
        </w:rPr>
        <w:t xml:space="preserve"> </w:t>
      </w:r>
      <w:r>
        <w:rPr>
          <w:color w:val="231F20"/>
        </w:rPr>
        <w:t>newborn</w:t>
      </w:r>
      <w:r>
        <w:rPr>
          <w:color w:val="231F20"/>
          <w:spacing w:val="-13"/>
        </w:rPr>
        <w:t xml:space="preserve"> </w:t>
      </w:r>
      <w:r>
        <w:rPr>
          <w:color w:val="231F20"/>
        </w:rPr>
        <w:t>and</w:t>
      </w:r>
      <w:r>
        <w:rPr>
          <w:color w:val="231F20"/>
          <w:spacing w:val="-14"/>
        </w:rPr>
        <w:t xml:space="preserve"> </w:t>
      </w:r>
      <w:r>
        <w:rPr>
          <w:color w:val="231F20"/>
        </w:rPr>
        <w:t>child</w:t>
      </w:r>
      <w:r>
        <w:rPr>
          <w:color w:val="231F20"/>
          <w:spacing w:val="-14"/>
        </w:rPr>
        <w:t xml:space="preserve"> </w:t>
      </w:r>
      <w:r>
        <w:rPr>
          <w:color w:val="231F20"/>
        </w:rPr>
        <w:t>health</w:t>
      </w:r>
      <w:r>
        <w:rPr>
          <w:color w:val="231F20"/>
          <w:spacing w:val="-14"/>
        </w:rPr>
        <w:t xml:space="preserve"> </w:t>
      </w:r>
      <w:r>
        <w:rPr>
          <w:color w:val="231F20"/>
        </w:rPr>
        <w:t>treatment</w:t>
      </w:r>
      <w:r>
        <w:rPr>
          <w:color w:val="231F20"/>
          <w:spacing w:val="-14"/>
        </w:rPr>
        <w:t xml:space="preserve"> </w:t>
      </w:r>
      <w:r>
        <w:rPr>
          <w:color w:val="231F20"/>
        </w:rPr>
        <w:t>guidelines</w:t>
      </w:r>
      <w:r>
        <w:rPr>
          <w:color w:val="231F20"/>
          <w:spacing w:val="-13"/>
        </w:rPr>
        <w:t xml:space="preserve"> </w:t>
      </w:r>
      <w:r>
        <w:rPr>
          <w:color w:val="231F20"/>
          <w:spacing w:val="-4"/>
        </w:rPr>
        <w:t xml:space="preserve">and </w:t>
      </w:r>
      <w:r>
        <w:rPr>
          <w:color w:val="231F20"/>
        </w:rPr>
        <w:t>protocols along the different levels of care, from community level, including effective referral systems;</w:t>
      </w:r>
      <w:r>
        <w:rPr>
          <w:color w:val="231F20"/>
          <w:spacing w:val="-21"/>
        </w:rPr>
        <w:t xml:space="preserve"> </w:t>
      </w:r>
      <w:r>
        <w:rPr>
          <w:color w:val="231F20"/>
        </w:rPr>
        <w:t>Upgrade</w:t>
      </w:r>
      <w:r>
        <w:rPr>
          <w:color w:val="231F20"/>
          <w:spacing w:val="-19"/>
        </w:rPr>
        <w:t xml:space="preserve"> </w:t>
      </w:r>
      <w:r>
        <w:rPr>
          <w:color w:val="231F20"/>
        </w:rPr>
        <w:t>special</w:t>
      </w:r>
      <w:r>
        <w:rPr>
          <w:color w:val="231F20"/>
          <w:spacing w:val="-19"/>
        </w:rPr>
        <w:t xml:space="preserve"> </w:t>
      </w:r>
      <w:r>
        <w:rPr>
          <w:color w:val="231F20"/>
        </w:rPr>
        <w:t>care</w:t>
      </w:r>
      <w:r>
        <w:rPr>
          <w:color w:val="231F20"/>
          <w:spacing w:val="-19"/>
        </w:rPr>
        <w:t xml:space="preserve"> </w:t>
      </w:r>
      <w:r>
        <w:rPr>
          <w:color w:val="231F20"/>
        </w:rPr>
        <w:t>baby</w:t>
      </w:r>
      <w:r>
        <w:rPr>
          <w:color w:val="231F20"/>
          <w:spacing w:val="-19"/>
        </w:rPr>
        <w:t xml:space="preserve"> </w:t>
      </w:r>
      <w:r>
        <w:rPr>
          <w:color w:val="231F20"/>
        </w:rPr>
        <w:t>units</w:t>
      </w:r>
      <w:r>
        <w:rPr>
          <w:color w:val="231F20"/>
          <w:spacing w:val="-19"/>
        </w:rPr>
        <w:t xml:space="preserve"> </w:t>
      </w:r>
      <w:r>
        <w:rPr>
          <w:color w:val="231F20"/>
        </w:rPr>
        <w:t>for</w:t>
      </w:r>
      <w:r>
        <w:rPr>
          <w:color w:val="231F20"/>
          <w:spacing w:val="-20"/>
        </w:rPr>
        <w:t xml:space="preserve"> </w:t>
      </w:r>
      <w:r>
        <w:rPr>
          <w:color w:val="231F20"/>
        </w:rPr>
        <w:t>emergency</w:t>
      </w:r>
      <w:r>
        <w:rPr>
          <w:color w:val="231F20"/>
          <w:spacing w:val="-19"/>
        </w:rPr>
        <w:t xml:space="preserve"> </w:t>
      </w:r>
      <w:r>
        <w:rPr>
          <w:color w:val="231F20"/>
        </w:rPr>
        <w:t>newborn</w:t>
      </w:r>
      <w:r>
        <w:rPr>
          <w:color w:val="231F20"/>
          <w:spacing w:val="-19"/>
        </w:rPr>
        <w:t xml:space="preserve"> </w:t>
      </w:r>
      <w:r>
        <w:rPr>
          <w:color w:val="231F20"/>
        </w:rPr>
        <w:t>care</w:t>
      </w:r>
      <w:r>
        <w:rPr>
          <w:color w:val="231F20"/>
          <w:spacing w:val="-19"/>
        </w:rPr>
        <w:t xml:space="preserve"> </w:t>
      </w:r>
      <w:r>
        <w:rPr>
          <w:color w:val="231F20"/>
        </w:rPr>
        <w:t>in</w:t>
      </w:r>
      <w:r>
        <w:rPr>
          <w:color w:val="231F20"/>
          <w:spacing w:val="-19"/>
        </w:rPr>
        <w:t xml:space="preserve"> </w:t>
      </w:r>
      <w:r>
        <w:rPr>
          <w:color w:val="231F20"/>
        </w:rPr>
        <w:t>LGA</w:t>
      </w:r>
      <w:r>
        <w:rPr>
          <w:color w:val="231F20"/>
          <w:spacing w:val="-32"/>
        </w:rPr>
        <w:t xml:space="preserve"> </w:t>
      </w:r>
      <w:r>
        <w:rPr>
          <w:color w:val="231F20"/>
        </w:rPr>
        <w:t>general</w:t>
      </w:r>
      <w:r>
        <w:rPr>
          <w:color w:val="231F20"/>
          <w:spacing w:val="-19"/>
        </w:rPr>
        <w:t xml:space="preserve"> </w:t>
      </w:r>
      <w:r>
        <w:rPr>
          <w:color w:val="231F20"/>
        </w:rPr>
        <w:t>hospitals</w:t>
      </w:r>
      <w:r>
        <w:rPr>
          <w:color w:val="231F20"/>
          <w:spacing w:val="-19"/>
        </w:rPr>
        <w:t xml:space="preserve"> </w:t>
      </w:r>
      <w:r>
        <w:rPr>
          <w:color w:val="231F20"/>
          <w:spacing w:val="-7"/>
        </w:rPr>
        <w:t xml:space="preserve">to </w:t>
      </w:r>
      <w:r>
        <w:rPr>
          <w:color w:val="231F20"/>
        </w:rPr>
        <w:t xml:space="preserve">include </w:t>
      </w:r>
      <w:proofErr w:type="spellStart"/>
      <w:r>
        <w:rPr>
          <w:color w:val="231F20"/>
        </w:rPr>
        <w:t>CEmOC</w:t>
      </w:r>
      <w:proofErr w:type="spellEnd"/>
      <w:r>
        <w:rPr>
          <w:color w:val="231F20"/>
        </w:rPr>
        <w:t>; Conduct training and re-training workshops for HWs on Essential Maternal Newborn</w:t>
      </w:r>
      <w:r>
        <w:rPr>
          <w:color w:val="231F20"/>
          <w:spacing w:val="-14"/>
        </w:rPr>
        <w:t xml:space="preserve"> </w:t>
      </w:r>
      <w:r>
        <w:rPr>
          <w:color w:val="231F20"/>
        </w:rPr>
        <w:t>Care</w:t>
      </w:r>
      <w:r>
        <w:rPr>
          <w:color w:val="231F20"/>
          <w:spacing w:val="59"/>
        </w:rPr>
        <w:t xml:space="preserve"> </w:t>
      </w:r>
      <w:r>
        <w:rPr>
          <w:color w:val="231F20"/>
        </w:rPr>
        <w:t>and</w:t>
      </w:r>
      <w:r>
        <w:rPr>
          <w:color w:val="231F20"/>
          <w:spacing w:val="-13"/>
        </w:rPr>
        <w:t xml:space="preserve"> </w:t>
      </w:r>
      <w:r>
        <w:rPr>
          <w:color w:val="231F20"/>
        </w:rPr>
        <w:t>Helping</w:t>
      </w:r>
      <w:r>
        <w:rPr>
          <w:color w:val="231F20"/>
          <w:spacing w:val="-13"/>
        </w:rPr>
        <w:t xml:space="preserve"> </w:t>
      </w:r>
      <w:r>
        <w:rPr>
          <w:color w:val="231F20"/>
        </w:rPr>
        <w:t>Babies</w:t>
      </w:r>
      <w:r>
        <w:rPr>
          <w:color w:val="231F20"/>
          <w:spacing w:val="-13"/>
        </w:rPr>
        <w:t xml:space="preserve"> </w:t>
      </w:r>
      <w:r>
        <w:rPr>
          <w:color w:val="231F20"/>
        </w:rPr>
        <w:t>Breathe</w:t>
      </w:r>
      <w:r>
        <w:rPr>
          <w:color w:val="231F20"/>
          <w:spacing w:val="-13"/>
        </w:rPr>
        <w:t xml:space="preserve"> </w:t>
      </w:r>
      <w:r>
        <w:rPr>
          <w:color w:val="231F20"/>
        </w:rPr>
        <w:t>(HBB);</w:t>
      </w:r>
      <w:r>
        <w:rPr>
          <w:color w:val="231F20"/>
          <w:spacing w:val="-13"/>
        </w:rPr>
        <w:t xml:space="preserve"> </w:t>
      </w:r>
      <w:r>
        <w:rPr>
          <w:color w:val="231F20"/>
        </w:rPr>
        <w:t>Procure</w:t>
      </w:r>
      <w:r>
        <w:rPr>
          <w:color w:val="231F20"/>
          <w:spacing w:val="-13"/>
        </w:rPr>
        <w:t xml:space="preserve"> </w:t>
      </w:r>
      <w:r>
        <w:rPr>
          <w:color w:val="231F20"/>
        </w:rPr>
        <w:t>and</w:t>
      </w:r>
      <w:r>
        <w:rPr>
          <w:color w:val="231F20"/>
          <w:spacing w:val="-13"/>
        </w:rPr>
        <w:t xml:space="preserve"> </w:t>
      </w:r>
      <w:r>
        <w:rPr>
          <w:color w:val="231F20"/>
        </w:rPr>
        <w:t>supply</w:t>
      </w:r>
      <w:r>
        <w:rPr>
          <w:color w:val="231F20"/>
          <w:spacing w:val="-13"/>
        </w:rPr>
        <w:t xml:space="preserve"> </w:t>
      </w:r>
      <w:r>
        <w:rPr>
          <w:color w:val="231F20"/>
        </w:rPr>
        <w:t>Emergency</w:t>
      </w:r>
      <w:r>
        <w:rPr>
          <w:color w:val="231F20"/>
          <w:spacing w:val="-13"/>
        </w:rPr>
        <w:t xml:space="preserve"> </w:t>
      </w:r>
      <w:r>
        <w:rPr>
          <w:color w:val="231F20"/>
        </w:rPr>
        <w:t>Obstetric</w:t>
      </w:r>
      <w:r>
        <w:rPr>
          <w:color w:val="231F20"/>
          <w:spacing w:val="-13"/>
        </w:rPr>
        <w:t xml:space="preserve"> </w:t>
      </w:r>
      <w:r>
        <w:rPr>
          <w:color w:val="231F20"/>
          <w:spacing w:val="-5"/>
        </w:rPr>
        <w:t xml:space="preserve">and </w:t>
      </w:r>
      <w:r>
        <w:rPr>
          <w:color w:val="231F20"/>
        </w:rPr>
        <w:t>Neonatal</w:t>
      </w:r>
      <w:r>
        <w:rPr>
          <w:color w:val="231F20"/>
          <w:spacing w:val="-25"/>
        </w:rPr>
        <w:t xml:space="preserve"> </w:t>
      </w:r>
      <w:r>
        <w:rPr>
          <w:color w:val="231F20"/>
        </w:rPr>
        <w:t>drug</w:t>
      </w:r>
      <w:r>
        <w:rPr>
          <w:color w:val="231F20"/>
          <w:spacing w:val="-26"/>
        </w:rPr>
        <w:t xml:space="preserve"> </w:t>
      </w:r>
      <w:r>
        <w:rPr>
          <w:color w:val="231F20"/>
        </w:rPr>
        <w:t>and</w:t>
      </w:r>
      <w:r>
        <w:rPr>
          <w:color w:val="231F20"/>
          <w:spacing w:val="-25"/>
        </w:rPr>
        <w:t xml:space="preserve"> </w:t>
      </w:r>
      <w:r>
        <w:rPr>
          <w:color w:val="231F20"/>
        </w:rPr>
        <w:t>commodities</w:t>
      </w:r>
      <w:r>
        <w:rPr>
          <w:color w:val="231F20"/>
          <w:spacing w:val="-25"/>
        </w:rPr>
        <w:t xml:space="preserve"> </w:t>
      </w:r>
      <w:r>
        <w:rPr>
          <w:color w:val="231F20"/>
        </w:rPr>
        <w:t>to</w:t>
      </w:r>
      <w:r>
        <w:rPr>
          <w:color w:val="231F20"/>
          <w:spacing w:val="-25"/>
        </w:rPr>
        <w:t xml:space="preserve"> </w:t>
      </w:r>
      <w:r>
        <w:rPr>
          <w:color w:val="231F20"/>
        </w:rPr>
        <w:t>all</w:t>
      </w:r>
      <w:r>
        <w:rPr>
          <w:color w:val="231F20"/>
          <w:spacing w:val="-25"/>
        </w:rPr>
        <w:t xml:space="preserve"> </w:t>
      </w:r>
      <w:r>
        <w:rPr>
          <w:color w:val="231F20"/>
        </w:rPr>
        <w:t>HFs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15557374" w14:textId="77777777" w:rsidR="009948F1" w:rsidRDefault="009948F1">
      <w:pPr>
        <w:pStyle w:val="BodyText"/>
        <w:spacing w:before="10"/>
        <w:rPr>
          <w:sz w:val="27"/>
        </w:rPr>
      </w:pPr>
    </w:p>
    <w:p w14:paraId="0A3AE9F5" w14:textId="77777777" w:rsidR="009948F1" w:rsidRDefault="00BC0563">
      <w:pPr>
        <w:pStyle w:val="ListParagraph"/>
        <w:numPr>
          <w:ilvl w:val="3"/>
          <w:numId w:val="293"/>
        </w:numPr>
        <w:tabs>
          <w:tab w:val="left" w:pos="953"/>
        </w:tabs>
        <w:spacing w:before="1" w:line="290" w:lineRule="auto"/>
        <w:ind w:left="177" w:right="168" w:firstLine="0"/>
      </w:pPr>
      <w:r>
        <w:rPr>
          <w:color w:val="231F20"/>
        </w:rPr>
        <w:t xml:space="preserve">Intensify the promotion of exclusive breastfeeding for the first six months of life </w:t>
      </w:r>
      <w:r>
        <w:rPr>
          <w:color w:val="231F20"/>
          <w:spacing w:val="-5"/>
        </w:rPr>
        <w:t xml:space="preserve">and </w:t>
      </w:r>
      <w:r>
        <w:rPr>
          <w:color w:val="231F20"/>
        </w:rPr>
        <w:t>appropriate</w:t>
      </w:r>
      <w:r>
        <w:rPr>
          <w:color w:val="231F20"/>
          <w:spacing w:val="-7"/>
        </w:rPr>
        <w:t xml:space="preserve"> </w:t>
      </w:r>
      <w:r>
        <w:rPr>
          <w:color w:val="231F20"/>
        </w:rPr>
        <w:t>complimentary</w:t>
      </w:r>
      <w:r>
        <w:rPr>
          <w:color w:val="231F20"/>
          <w:spacing w:val="-6"/>
        </w:rPr>
        <w:t xml:space="preserve"> </w:t>
      </w:r>
      <w:r>
        <w:rPr>
          <w:color w:val="231F20"/>
        </w:rPr>
        <w:t>feeding.</w:t>
      </w:r>
      <w:r>
        <w:rPr>
          <w:color w:val="231F20"/>
          <w:spacing w:val="-6"/>
        </w:rPr>
        <w:t xml:space="preserve"> </w:t>
      </w:r>
      <w:r>
        <w:rPr>
          <w:color w:val="231F20"/>
        </w:rPr>
        <w:t>Key</w:t>
      </w:r>
      <w:r>
        <w:rPr>
          <w:color w:val="231F20"/>
          <w:spacing w:val="-7"/>
        </w:rPr>
        <w:t xml:space="preserve"> </w:t>
      </w:r>
      <w:r>
        <w:rPr>
          <w:color w:val="231F20"/>
        </w:rPr>
        <w:t>actions</w:t>
      </w:r>
      <w:r>
        <w:rPr>
          <w:color w:val="231F20"/>
          <w:spacing w:val="-6"/>
        </w:rPr>
        <w:t xml:space="preserve"> </w:t>
      </w:r>
      <w:r>
        <w:rPr>
          <w:color w:val="231F20"/>
        </w:rPr>
        <w:t>include;</w:t>
      </w:r>
      <w:r>
        <w:rPr>
          <w:color w:val="231F20"/>
          <w:spacing w:val="-6"/>
        </w:rPr>
        <w:t xml:space="preserve"> </w:t>
      </w:r>
      <w:r>
        <w:rPr>
          <w:color w:val="231F20"/>
        </w:rPr>
        <w:t>Promote</w:t>
      </w:r>
      <w:r>
        <w:rPr>
          <w:color w:val="231F20"/>
          <w:spacing w:val="-7"/>
        </w:rPr>
        <w:t xml:space="preserve"> </w:t>
      </w:r>
      <w:r>
        <w:rPr>
          <w:color w:val="231F20"/>
        </w:rPr>
        <w:t>early</w:t>
      </w:r>
      <w:r>
        <w:rPr>
          <w:color w:val="231F20"/>
          <w:spacing w:val="-6"/>
        </w:rPr>
        <w:t xml:space="preserve"> </w:t>
      </w:r>
      <w:r>
        <w:rPr>
          <w:color w:val="231F20"/>
        </w:rPr>
        <w:t>initiation</w:t>
      </w:r>
      <w:r>
        <w:rPr>
          <w:color w:val="231F20"/>
          <w:spacing w:val="-6"/>
        </w:rPr>
        <w:t xml:space="preserve"> </w:t>
      </w:r>
      <w:r>
        <w:rPr>
          <w:color w:val="231F20"/>
        </w:rPr>
        <w:t>of</w:t>
      </w:r>
      <w:r>
        <w:rPr>
          <w:color w:val="231F20"/>
          <w:spacing w:val="-7"/>
        </w:rPr>
        <w:t xml:space="preserve"> </w:t>
      </w:r>
      <w:r>
        <w:rPr>
          <w:color w:val="231F20"/>
        </w:rPr>
        <w:t xml:space="preserve">breastfeeding including promotion of Hospital Baby Friendly Initiative (HBFI), so that every maternity home practices the 10 steps to successful breast feeding; Intensify mass media edutainment </w:t>
      </w:r>
      <w:r>
        <w:rPr>
          <w:color w:val="231F20"/>
          <w:spacing w:val="-4"/>
        </w:rPr>
        <w:t xml:space="preserve">and </w:t>
      </w:r>
      <w:r>
        <w:rPr>
          <w:color w:val="231F20"/>
        </w:rPr>
        <w:t xml:space="preserve">community engagement/sensitization on Exclusive Breast Feeding (EBF); Develop, print </w:t>
      </w:r>
      <w:r>
        <w:rPr>
          <w:color w:val="231F20"/>
          <w:spacing w:val="-5"/>
        </w:rPr>
        <w:t xml:space="preserve">and </w:t>
      </w:r>
      <w:r>
        <w:rPr>
          <w:color w:val="231F20"/>
        </w:rPr>
        <w:t>distribute</w:t>
      </w:r>
      <w:r>
        <w:rPr>
          <w:color w:val="231F20"/>
          <w:spacing w:val="-25"/>
        </w:rPr>
        <w:t xml:space="preserve"> </w:t>
      </w:r>
      <w:r>
        <w:rPr>
          <w:color w:val="231F20"/>
        </w:rPr>
        <w:t>IEC</w:t>
      </w:r>
      <w:r>
        <w:rPr>
          <w:color w:val="231F20"/>
          <w:spacing w:val="-25"/>
        </w:rPr>
        <w:t xml:space="preserve"> </w:t>
      </w:r>
      <w:r>
        <w:rPr>
          <w:color w:val="231F20"/>
        </w:rPr>
        <w:t>materials</w:t>
      </w:r>
      <w:r>
        <w:rPr>
          <w:color w:val="231F20"/>
          <w:spacing w:val="-25"/>
        </w:rPr>
        <w:t xml:space="preserve"> </w:t>
      </w:r>
      <w:r>
        <w:rPr>
          <w:color w:val="231F20"/>
        </w:rPr>
        <w:t>on</w:t>
      </w:r>
      <w:r>
        <w:rPr>
          <w:color w:val="231F20"/>
          <w:spacing w:val="-25"/>
        </w:rPr>
        <w:t xml:space="preserve"> </w:t>
      </w:r>
      <w:r>
        <w:rPr>
          <w:color w:val="231F20"/>
          <w:spacing w:val="-7"/>
        </w:rPr>
        <w:t>EBF.</w:t>
      </w:r>
    </w:p>
    <w:p w14:paraId="112E140E" w14:textId="77777777" w:rsidR="009948F1" w:rsidRDefault="009948F1">
      <w:pPr>
        <w:pStyle w:val="BodyText"/>
        <w:spacing w:before="9"/>
        <w:rPr>
          <w:sz w:val="26"/>
        </w:rPr>
      </w:pPr>
    </w:p>
    <w:p w14:paraId="2FC40B78" w14:textId="77777777" w:rsidR="009948F1" w:rsidRDefault="00BC0563">
      <w:pPr>
        <w:pStyle w:val="ListParagraph"/>
        <w:numPr>
          <w:ilvl w:val="3"/>
          <w:numId w:val="293"/>
        </w:numPr>
        <w:tabs>
          <w:tab w:val="left" w:pos="970"/>
        </w:tabs>
        <w:spacing w:line="290" w:lineRule="auto"/>
        <w:ind w:left="177" w:right="166" w:firstLine="0"/>
      </w:pPr>
      <w:r>
        <w:rPr>
          <w:color w:val="231F20"/>
        </w:rPr>
        <w:t xml:space="preserve">Strengthen routine child immunization including new antigens. Key actions include; Conduct advocacy visit for RI Focal Officers (RIFO) to the 23 Local Government Chairmen </w:t>
      </w:r>
      <w:r>
        <w:rPr>
          <w:color w:val="231F20"/>
          <w:spacing w:val="-4"/>
        </w:rPr>
        <w:t>for</w:t>
      </w:r>
      <w:r>
        <w:rPr>
          <w:color w:val="231F20"/>
          <w:spacing w:val="53"/>
        </w:rPr>
        <w:t xml:space="preserve"> </w:t>
      </w:r>
      <w:r>
        <w:rPr>
          <w:color w:val="231F20"/>
        </w:rPr>
        <w:t>timely</w:t>
      </w:r>
      <w:r>
        <w:rPr>
          <w:color w:val="231F20"/>
          <w:spacing w:val="-23"/>
        </w:rPr>
        <w:t xml:space="preserve"> </w:t>
      </w:r>
      <w:r>
        <w:rPr>
          <w:color w:val="231F20"/>
        </w:rPr>
        <w:t>release</w:t>
      </w:r>
      <w:r>
        <w:rPr>
          <w:color w:val="231F20"/>
          <w:spacing w:val="-22"/>
        </w:rPr>
        <w:t xml:space="preserve"> </w:t>
      </w:r>
      <w:r>
        <w:rPr>
          <w:color w:val="231F20"/>
        </w:rPr>
        <w:t>of</w:t>
      </w:r>
      <w:r>
        <w:rPr>
          <w:color w:val="231F20"/>
          <w:spacing w:val="-22"/>
        </w:rPr>
        <w:t xml:space="preserve"> </w:t>
      </w:r>
      <w:r>
        <w:rPr>
          <w:color w:val="231F20"/>
        </w:rPr>
        <w:t>RI</w:t>
      </w:r>
      <w:r>
        <w:rPr>
          <w:color w:val="231F20"/>
          <w:spacing w:val="-22"/>
        </w:rPr>
        <w:t xml:space="preserve"> </w:t>
      </w:r>
      <w:r>
        <w:rPr>
          <w:color w:val="231F20"/>
        </w:rPr>
        <w:t>funding</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LGAs;</w:t>
      </w:r>
      <w:r>
        <w:rPr>
          <w:color w:val="231F20"/>
          <w:spacing w:val="-22"/>
        </w:rPr>
        <w:t xml:space="preserve"> </w:t>
      </w:r>
      <w:r>
        <w:rPr>
          <w:color w:val="231F20"/>
        </w:rPr>
        <w:t>Procure</w:t>
      </w:r>
      <w:r>
        <w:rPr>
          <w:color w:val="231F20"/>
          <w:spacing w:val="-22"/>
        </w:rPr>
        <w:t xml:space="preserve"> </w:t>
      </w:r>
      <w:r>
        <w:rPr>
          <w:color w:val="231F20"/>
        </w:rPr>
        <w:t>and</w:t>
      </w:r>
      <w:r>
        <w:rPr>
          <w:color w:val="231F20"/>
          <w:spacing w:val="-22"/>
        </w:rPr>
        <w:t xml:space="preserve"> </w:t>
      </w:r>
      <w:r>
        <w:rPr>
          <w:color w:val="231F20"/>
        </w:rPr>
        <w:t>supply</w:t>
      </w:r>
      <w:r>
        <w:rPr>
          <w:color w:val="231F20"/>
          <w:spacing w:val="-22"/>
        </w:rPr>
        <w:t xml:space="preserve"> </w:t>
      </w:r>
      <w:r>
        <w:rPr>
          <w:color w:val="231F20"/>
        </w:rPr>
        <w:t>cold</w:t>
      </w:r>
      <w:r>
        <w:rPr>
          <w:color w:val="231F20"/>
          <w:spacing w:val="-22"/>
        </w:rPr>
        <w:t xml:space="preserve"> </w:t>
      </w:r>
      <w:r>
        <w:rPr>
          <w:color w:val="231F20"/>
        </w:rPr>
        <w:t>room</w:t>
      </w:r>
      <w:r>
        <w:rPr>
          <w:color w:val="231F20"/>
          <w:spacing w:val="-22"/>
        </w:rPr>
        <w:t xml:space="preserve"> </w:t>
      </w:r>
      <w:r>
        <w:rPr>
          <w:color w:val="231F20"/>
        </w:rPr>
        <w:t>kit</w:t>
      </w:r>
      <w:r>
        <w:rPr>
          <w:color w:val="231F20"/>
          <w:spacing w:val="-22"/>
        </w:rPr>
        <w:t xml:space="preserve"> </w:t>
      </w:r>
      <w:r>
        <w:rPr>
          <w:color w:val="231F20"/>
        </w:rPr>
        <w:t>for</w:t>
      </w:r>
      <w:r>
        <w:rPr>
          <w:color w:val="231F20"/>
          <w:spacing w:val="-22"/>
        </w:rPr>
        <w:t xml:space="preserve"> </w:t>
      </w:r>
      <w:r>
        <w:rPr>
          <w:color w:val="231F20"/>
        </w:rPr>
        <w:t>SCCO</w:t>
      </w:r>
      <w:r>
        <w:rPr>
          <w:color w:val="231F20"/>
          <w:spacing w:val="-22"/>
        </w:rPr>
        <w:t xml:space="preserve"> </w:t>
      </w:r>
      <w:r>
        <w:rPr>
          <w:color w:val="231F20"/>
        </w:rPr>
        <w:t>to</w:t>
      </w:r>
      <w:r>
        <w:rPr>
          <w:color w:val="231F20"/>
          <w:spacing w:val="-22"/>
        </w:rPr>
        <w:t xml:space="preserve"> </w:t>
      </w:r>
      <w:r>
        <w:rPr>
          <w:color w:val="231F20"/>
        </w:rPr>
        <w:t>conduct</w:t>
      </w:r>
      <w:r>
        <w:rPr>
          <w:color w:val="231F20"/>
          <w:spacing w:val="-22"/>
        </w:rPr>
        <w:t xml:space="preserve"> </w:t>
      </w:r>
      <w:r>
        <w:rPr>
          <w:color w:val="231F20"/>
        </w:rPr>
        <w:t>the temperature</w:t>
      </w:r>
      <w:r>
        <w:rPr>
          <w:color w:val="231F20"/>
          <w:spacing w:val="-19"/>
        </w:rPr>
        <w:t xml:space="preserve"> </w:t>
      </w:r>
      <w:r>
        <w:rPr>
          <w:color w:val="231F20"/>
        </w:rPr>
        <w:t>mapping;</w:t>
      </w:r>
      <w:r>
        <w:rPr>
          <w:color w:val="231F20"/>
          <w:spacing w:val="-18"/>
        </w:rPr>
        <w:t xml:space="preserve"> </w:t>
      </w:r>
      <w:r>
        <w:rPr>
          <w:color w:val="231F20"/>
        </w:rPr>
        <w:t>Develop</w:t>
      </w:r>
      <w:r>
        <w:rPr>
          <w:color w:val="231F20"/>
          <w:spacing w:val="-18"/>
        </w:rPr>
        <w:t xml:space="preserve"> </w:t>
      </w:r>
      <w:r>
        <w:rPr>
          <w:color w:val="231F20"/>
        </w:rPr>
        <w:t>and</w:t>
      </w:r>
      <w:r>
        <w:rPr>
          <w:color w:val="231F20"/>
          <w:spacing w:val="-18"/>
        </w:rPr>
        <w:t xml:space="preserve"> </w:t>
      </w:r>
      <w:r>
        <w:rPr>
          <w:color w:val="231F20"/>
        </w:rPr>
        <w:t>implement</w:t>
      </w:r>
      <w:r>
        <w:rPr>
          <w:color w:val="231F20"/>
          <w:spacing w:val="-18"/>
        </w:rPr>
        <w:t xml:space="preserve"> </w:t>
      </w:r>
      <w:r>
        <w:rPr>
          <w:color w:val="231F20"/>
        </w:rPr>
        <w:t>MOU</w:t>
      </w:r>
      <w:r>
        <w:rPr>
          <w:color w:val="231F20"/>
          <w:spacing w:val="-19"/>
        </w:rPr>
        <w:t xml:space="preserve"> </w:t>
      </w:r>
      <w:r>
        <w:rPr>
          <w:color w:val="231F20"/>
        </w:rPr>
        <w:t>on</w:t>
      </w:r>
      <w:r>
        <w:rPr>
          <w:color w:val="231F20"/>
          <w:spacing w:val="-19"/>
        </w:rPr>
        <w:t xml:space="preserve"> </w:t>
      </w:r>
      <w:r>
        <w:rPr>
          <w:color w:val="231F20"/>
        </w:rPr>
        <w:t>accountability</w:t>
      </w:r>
      <w:r>
        <w:rPr>
          <w:color w:val="231F20"/>
          <w:spacing w:val="-18"/>
        </w:rPr>
        <w:t xml:space="preserve"> </w:t>
      </w:r>
      <w:r>
        <w:rPr>
          <w:color w:val="231F20"/>
        </w:rPr>
        <w:t>for</w:t>
      </w:r>
      <w:r>
        <w:rPr>
          <w:color w:val="231F20"/>
          <w:spacing w:val="-20"/>
        </w:rPr>
        <w:t xml:space="preserve"> </w:t>
      </w:r>
      <w:r>
        <w:rPr>
          <w:color w:val="231F20"/>
        </w:rPr>
        <w:t>RI</w:t>
      </w:r>
      <w:r>
        <w:rPr>
          <w:color w:val="231F20"/>
          <w:spacing w:val="-19"/>
        </w:rPr>
        <w:t xml:space="preserve"> </w:t>
      </w:r>
      <w:r>
        <w:rPr>
          <w:color w:val="231F20"/>
        </w:rPr>
        <w:t>(with</w:t>
      </w:r>
      <w:r>
        <w:rPr>
          <w:color w:val="231F20"/>
          <w:spacing w:val="-19"/>
        </w:rPr>
        <w:t xml:space="preserve"> </w:t>
      </w:r>
      <w:r>
        <w:rPr>
          <w:color w:val="231F20"/>
        </w:rPr>
        <w:t>all</w:t>
      </w:r>
      <w:r>
        <w:rPr>
          <w:color w:val="231F20"/>
          <w:spacing w:val="-18"/>
        </w:rPr>
        <w:t xml:space="preserve"> </w:t>
      </w:r>
      <w:r>
        <w:rPr>
          <w:color w:val="231F20"/>
        </w:rPr>
        <w:t xml:space="preserve">stakeholders, including Private Sector) and re-active Routine </w:t>
      </w:r>
      <w:proofErr w:type="spellStart"/>
      <w:r>
        <w:rPr>
          <w:color w:val="231F20"/>
        </w:rPr>
        <w:t>Immunisation</w:t>
      </w:r>
      <w:proofErr w:type="spellEnd"/>
      <w:r>
        <w:rPr>
          <w:color w:val="231F20"/>
        </w:rPr>
        <w:t xml:space="preserve"> task force; Conduct RI in all HFs </w:t>
      </w:r>
      <w:r>
        <w:rPr>
          <w:color w:val="231F20"/>
          <w:spacing w:val="-7"/>
        </w:rPr>
        <w:t xml:space="preserve">to </w:t>
      </w:r>
      <w:r>
        <w:rPr>
          <w:color w:val="231F20"/>
        </w:rPr>
        <w:t xml:space="preserve">ensure vaccination of newborn with BCG, HBV &amp; OPV at birth before discharge; Initiate and implement Community Health Influencers/Promoters and Service (CHIPS) Program for </w:t>
      </w:r>
      <w:r>
        <w:rPr>
          <w:color w:val="231F20"/>
          <w:spacing w:val="-3"/>
        </w:rPr>
        <w:t xml:space="preserve">demand </w:t>
      </w:r>
      <w:r>
        <w:rPr>
          <w:color w:val="231F20"/>
        </w:rPr>
        <w:t>creation.</w:t>
      </w:r>
    </w:p>
    <w:p w14:paraId="0EF8BEC8" w14:textId="77777777" w:rsidR="009948F1" w:rsidRDefault="009948F1">
      <w:pPr>
        <w:pStyle w:val="BodyText"/>
        <w:spacing w:before="10"/>
        <w:rPr>
          <w:sz w:val="26"/>
        </w:rPr>
      </w:pPr>
    </w:p>
    <w:p w14:paraId="77BBBD5E" w14:textId="77777777" w:rsidR="009948F1" w:rsidRDefault="00BC0563">
      <w:pPr>
        <w:pStyle w:val="ListParagraph"/>
        <w:numPr>
          <w:ilvl w:val="3"/>
          <w:numId w:val="293"/>
        </w:numPr>
        <w:tabs>
          <w:tab w:val="left" w:pos="1004"/>
        </w:tabs>
        <w:spacing w:before="1" w:line="290" w:lineRule="auto"/>
        <w:ind w:left="177" w:right="168" w:firstLine="0"/>
      </w:pPr>
      <w:r>
        <w:rPr>
          <w:color w:val="231F20"/>
        </w:rPr>
        <w:t xml:space="preserve">Improve quality of newborn and child healthcare services. Key actions include; develop/adapt and produce newborn and child health treatment guidelines and protocols </w:t>
      </w:r>
      <w:r>
        <w:rPr>
          <w:color w:val="231F20"/>
          <w:spacing w:val="-6"/>
        </w:rPr>
        <w:t xml:space="preserve">for </w:t>
      </w:r>
      <w:r>
        <w:rPr>
          <w:color w:val="231F20"/>
        </w:rPr>
        <w:t>different</w:t>
      </w:r>
      <w:r>
        <w:rPr>
          <w:color w:val="231F20"/>
          <w:spacing w:val="-17"/>
        </w:rPr>
        <w:t xml:space="preserve"> </w:t>
      </w:r>
      <w:r>
        <w:rPr>
          <w:color w:val="231F20"/>
        </w:rPr>
        <w:t>levels</w:t>
      </w:r>
      <w:r>
        <w:rPr>
          <w:color w:val="231F20"/>
          <w:spacing w:val="-16"/>
        </w:rPr>
        <w:t xml:space="preserve"> </w:t>
      </w:r>
      <w:r>
        <w:rPr>
          <w:color w:val="231F20"/>
        </w:rPr>
        <w:t>of</w:t>
      </w:r>
      <w:r>
        <w:rPr>
          <w:color w:val="231F20"/>
          <w:spacing w:val="-17"/>
        </w:rPr>
        <w:t xml:space="preserve"> </w:t>
      </w:r>
      <w:r>
        <w:rPr>
          <w:color w:val="231F20"/>
        </w:rPr>
        <w:t>care;</w:t>
      </w:r>
      <w:r>
        <w:rPr>
          <w:color w:val="231F20"/>
          <w:spacing w:val="-16"/>
        </w:rPr>
        <w:t xml:space="preserve"> </w:t>
      </w:r>
      <w:r>
        <w:rPr>
          <w:color w:val="231F20"/>
        </w:rPr>
        <w:t>Strengthen</w:t>
      </w:r>
      <w:r>
        <w:rPr>
          <w:color w:val="231F20"/>
          <w:spacing w:val="-16"/>
        </w:rPr>
        <w:t xml:space="preserve"> </w:t>
      </w:r>
      <w:r>
        <w:rPr>
          <w:color w:val="231F20"/>
        </w:rPr>
        <w:t>capacity</w:t>
      </w:r>
      <w:r>
        <w:rPr>
          <w:color w:val="231F20"/>
          <w:spacing w:val="-17"/>
        </w:rPr>
        <w:t xml:space="preserve"> </w:t>
      </w:r>
      <w:r>
        <w:rPr>
          <w:color w:val="231F20"/>
        </w:rPr>
        <w:t>of</w:t>
      </w:r>
      <w:r>
        <w:rPr>
          <w:color w:val="231F20"/>
          <w:spacing w:val="-16"/>
        </w:rPr>
        <w:t xml:space="preserve"> </w:t>
      </w:r>
      <w:r>
        <w:rPr>
          <w:color w:val="231F20"/>
        </w:rPr>
        <w:t>health</w:t>
      </w:r>
      <w:r>
        <w:rPr>
          <w:color w:val="231F20"/>
          <w:spacing w:val="-16"/>
        </w:rPr>
        <w:t xml:space="preserve"> </w:t>
      </w:r>
      <w:r>
        <w:rPr>
          <w:color w:val="231F20"/>
        </w:rPr>
        <w:t>care</w:t>
      </w:r>
      <w:r>
        <w:rPr>
          <w:color w:val="231F20"/>
          <w:spacing w:val="-17"/>
        </w:rPr>
        <w:t xml:space="preserve"> </w:t>
      </w:r>
      <w:r>
        <w:rPr>
          <w:color w:val="231F20"/>
        </w:rPr>
        <w:t>providers</w:t>
      </w:r>
      <w:r>
        <w:rPr>
          <w:color w:val="231F20"/>
          <w:spacing w:val="-16"/>
        </w:rPr>
        <w:t xml:space="preserve"> </w:t>
      </w:r>
      <w:r>
        <w:rPr>
          <w:color w:val="231F20"/>
        </w:rPr>
        <w:t>and</w:t>
      </w:r>
      <w:r>
        <w:rPr>
          <w:color w:val="231F20"/>
          <w:spacing w:val="-17"/>
        </w:rPr>
        <w:t xml:space="preserve"> </w:t>
      </w:r>
      <w:r>
        <w:rPr>
          <w:color w:val="231F20"/>
        </w:rPr>
        <w:t>facilities</w:t>
      </w:r>
      <w:r>
        <w:rPr>
          <w:color w:val="231F20"/>
          <w:spacing w:val="-16"/>
        </w:rPr>
        <w:t xml:space="preserve"> </w:t>
      </w:r>
      <w:r>
        <w:rPr>
          <w:color w:val="231F20"/>
        </w:rPr>
        <w:t>to</w:t>
      </w:r>
      <w:r>
        <w:rPr>
          <w:color w:val="231F20"/>
          <w:spacing w:val="-16"/>
        </w:rPr>
        <w:t xml:space="preserve"> </w:t>
      </w:r>
      <w:r>
        <w:rPr>
          <w:color w:val="231F20"/>
        </w:rPr>
        <w:t>provide</w:t>
      </w:r>
      <w:r>
        <w:rPr>
          <w:color w:val="231F20"/>
          <w:spacing w:val="-17"/>
        </w:rPr>
        <w:t xml:space="preserve"> </w:t>
      </w:r>
      <w:r>
        <w:rPr>
          <w:color w:val="231F20"/>
        </w:rPr>
        <w:t xml:space="preserve">quality newborn care; Develop and disseminate messages in local dialects through multiple </w:t>
      </w:r>
      <w:r>
        <w:rPr>
          <w:color w:val="231F20"/>
          <w:spacing w:val="-3"/>
        </w:rPr>
        <w:t xml:space="preserve">media </w:t>
      </w:r>
      <w:r>
        <w:rPr>
          <w:color w:val="231F20"/>
        </w:rPr>
        <w:t>channels (Print and electronic media) on ENCC &amp; chlorhexidine gel use for cord care; Orientate Private</w:t>
      </w:r>
      <w:r>
        <w:rPr>
          <w:color w:val="231F20"/>
          <w:spacing w:val="-26"/>
        </w:rPr>
        <w:t xml:space="preserve"> </w:t>
      </w:r>
      <w:r>
        <w:rPr>
          <w:color w:val="231F20"/>
        </w:rPr>
        <w:t>HFs,</w:t>
      </w:r>
      <w:r>
        <w:rPr>
          <w:color w:val="231F20"/>
          <w:spacing w:val="-25"/>
        </w:rPr>
        <w:t xml:space="preserve"> </w:t>
      </w:r>
      <w:r>
        <w:rPr>
          <w:color w:val="231F20"/>
        </w:rPr>
        <w:t>PPMVs/Pharmacies</w:t>
      </w:r>
      <w:r>
        <w:rPr>
          <w:color w:val="231F20"/>
          <w:spacing w:val="-25"/>
        </w:rPr>
        <w:t xml:space="preserve"> </w:t>
      </w:r>
      <w:r>
        <w:rPr>
          <w:color w:val="231F20"/>
        </w:rPr>
        <w:t>on</w:t>
      </w:r>
      <w:r>
        <w:rPr>
          <w:color w:val="231F20"/>
          <w:spacing w:val="-25"/>
        </w:rPr>
        <w:t xml:space="preserve"> </w:t>
      </w:r>
      <w:r>
        <w:rPr>
          <w:color w:val="231F20"/>
        </w:rPr>
        <w:t>Newborn</w:t>
      </w:r>
      <w:r>
        <w:rPr>
          <w:color w:val="231F20"/>
          <w:spacing w:val="-25"/>
        </w:rPr>
        <w:t xml:space="preserve"> </w:t>
      </w:r>
      <w:r>
        <w:rPr>
          <w:color w:val="231F20"/>
        </w:rPr>
        <w:t>Care</w:t>
      </w:r>
      <w:r>
        <w:rPr>
          <w:color w:val="231F20"/>
          <w:spacing w:val="-25"/>
        </w:rPr>
        <w:t xml:space="preserve"> </w:t>
      </w:r>
      <w:r>
        <w:rPr>
          <w:color w:val="231F20"/>
        </w:rPr>
        <w:t>including</w:t>
      </w:r>
      <w:r>
        <w:rPr>
          <w:color w:val="231F20"/>
          <w:spacing w:val="-25"/>
        </w:rPr>
        <w:t xml:space="preserve"> </w:t>
      </w:r>
      <w:r>
        <w:rPr>
          <w:color w:val="231F20"/>
        </w:rPr>
        <w:t>cord</w:t>
      </w:r>
      <w:r>
        <w:rPr>
          <w:color w:val="231F20"/>
          <w:spacing w:val="-25"/>
        </w:rPr>
        <w:t xml:space="preserve"> </w:t>
      </w:r>
      <w:r>
        <w:rPr>
          <w:color w:val="231F20"/>
        </w:rPr>
        <w:t>care</w:t>
      </w:r>
      <w:r>
        <w:rPr>
          <w:color w:val="231F20"/>
          <w:spacing w:val="-25"/>
        </w:rPr>
        <w:t xml:space="preserve"> </w:t>
      </w:r>
      <w:r>
        <w:rPr>
          <w:color w:val="231F20"/>
        </w:rPr>
        <w:t>with</w:t>
      </w:r>
      <w:r>
        <w:rPr>
          <w:color w:val="231F20"/>
          <w:spacing w:val="-25"/>
        </w:rPr>
        <w:t xml:space="preserve"> </w:t>
      </w:r>
      <w:r>
        <w:rPr>
          <w:color w:val="231F20"/>
        </w:rPr>
        <w:t>CHX.</w:t>
      </w:r>
    </w:p>
    <w:p w14:paraId="785CC09F" w14:textId="77777777" w:rsidR="009948F1" w:rsidRDefault="009948F1">
      <w:pPr>
        <w:pStyle w:val="BodyText"/>
        <w:spacing w:before="2"/>
        <w:rPr>
          <w:sz w:val="24"/>
        </w:rPr>
      </w:pPr>
    </w:p>
    <w:p w14:paraId="19568F2C" w14:textId="417873C2" w:rsidR="009948F1" w:rsidRDefault="00BC0563">
      <w:pPr>
        <w:pStyle w:val="ListParagraph"/>
        <w:numPr>
          <w:ilvl w:val="3"/>
          <w:numId w:val="293"/>
        </w:numPr>
        <w:tabs>
          <w:tab w:val="left" w:pos="928"/>
        </w:tabs>
        <w:spacing w:before="1" w:line="261" w:lineRule="auto"/>
        <w:ind w:left="177" w:right="168" w:firstLine="0"/>
      </w:pPr>
      <w:r>
        <w:rPr>
          <w:color w:val="231F20"/>
        </w:rPr>
        <w:t xml:space="preserve">Promote advocacy, community mobilization and </w:t>
      </w:r>
      <w:proofErr w:type="spellStart"/>
      <w:r>
        <w:rPr>
          <w:color w:val="231F20"/>
        </w:rPr>
        <w:t>behavioural</w:t>
      </w:r>
      <w:proofErr w:type="spellEnd"/>
      <w:r>
        <w:rPr>
          <w:color w:val="231F20"/>
        </w:rPr>
        <w:t xml:space="preserve"> change communication for newborn and child healthcare services. Key actions include; advocate to policy makers and legislators</w:t>
      </w:r>
      <w:r>
        <w:rPr>
          <w:color w:val="231F20"/>
          <w:spacing w:val="-17"/>
        </w:rPr>
        <w:t xml:space="preserve"> </w:t>
      </w:r>
      <w:r>
        <w:rPr>
          <w:color w:val="231F20"/>
        </w:rPr>
        <w:t>for</w:t>
      </w:r>
      <w:r>
        <w:rPr>
          <w:color w:val="231F20"/>
          <w:spacing w:val="-17"/>
        </w:rPr>
        <w:t xml:space="preserve"> </w:t>
      </w:r>
      <w:r>
        <w:rPr>
          <w:color w:val="231F20"/>
        </w:rPr>
        <w:t>enabling</w:t>
      </w:r>
      <w:r>
        <w:rPr>
          <w:color w:val="231F20"/>
          <w:spacing w:val="-17"/>
        </w:rPr>
        <w:t xml:space="preserve"> </w:t>
      </w:r>
      <w:r>
        <w:rPr>
          <w:color w:val="231F20"/>
        </w:rPr>
        <w:t>policies,</w:t>
      </w:r>
      <w:r>
        <w:rPr>
          <w:color w:val="231F20"/>
          <w:spacing w:val="-17"/>
        </w:rPr>
        <w:t xml:space="preserve"> </w:t>
      </w:r>
      <w:r>
        <w:rPr>
          <w:color w:val="231F20"/>
        </w:rPr>
        <w:t>funding</w:t>
      </w:r>
      <w:r>
        <w:rPr>
          <w:color w:val="231F20"/>
          <w:spacing w:val="-17"/>
        </w:rPr>
        <w:t xml:space="preserve"> </w:t>
      </w:r>
      <w:r>
        <w:rPr>
          <w:color w:val="231F20"/>
        </w:rPr>
        <w:t>and</w:t>
      </w:r>
      <w:r>
        <w:rPr>
          <w:color w:val="231F20"/>
          <w:spacing w:val="-17"/>
        </w:rPr>
        <w:t xml:space="preserve"> </w:t>
      </w:r>
      <w:r>
        <w:rPr>
          <w:color w:val="231F20"/>
        </w:rPr>
        <w:t>prioritization</w:t>
      </w:r>
      <w:r>
        <w:rPr>
          <w:color w:val="231F20"/>
          <w:spacing w:val="-17"/>
        </w:rPr>
        <w:t xml:space="preserve"> </w:t>
      </w:r>
      <w:r>
        <w:rPr>
          <w:color w:val="231F20"/>
        </w:rPr>
        <w:t>of</w:t>
      </w:r>
      <w:r>
        <w:rPr>
          <w:color w:val="231F20"/>
          <w:spacing w:val="-17"/>
        </w:rPr>
        <w:t xml:space="preserve"> </w:t>
      </w:r>
      <w:r>
        <w:rPr>
          <w:color w:val="231F20"/>
        </w:rPr>
        <w:t>newborn</w:t>
      </w:r>
      <w:r>
        <w:rPr>
          <w:color w:val="231F20"/>
          <w:spacing w:val="-17"/>
        </w:rPr>
        <w:t xml:space="preserve"> </w:t>
      </w:r>
      <w:r>
        <w:rPr>
          <w:color w:val="231F20"/>
        </w:rPr>
        <w:t>and</w:t>
      </w:r>
      <w:r>
        <w:rPr>
          <w:color w:val="231F20"/>
          <w:spacing w:val="-17"/>
        </w:rPr>
        <w:t xml:space="preserve"> </w:t>
      </w:r>
      <w:r>
        <w:rPr>
          <w:color w:val="231F20"/>
        </w:rPr>
        <w:t>child</w:t>
      </w:r>
      <w:r>
        <w:rPr>
          <w:color w:val="231F20"/>
          <w:spacing w:val="-17"/>
        </w:rPr>
        <w:t xml:space="preserve"> </w:t>
      </w:r>
      <w:r>
        <w:rPr>
          <w:color w:val="231F20"/>
        </w:rPr>
        <w:t>health;</w:t>
      </w:r>
      <w:r>
        <w:rPr>
          <w:color w:val="231F20"/>
          <w:spacing w:val="-17"/>
        </w:rPr>
        <w:t xml:space="preserve"> </w:t>
      </w:r>
      <w:r>
        <w:rPr>
          <w:color w:val="231F20"/>
        </w:rPr>
        <w:t>Engage</w:t>
      </w:r>
      <w:r>
        <w:rPr>
          <w:color w:val="231F20"/>
          <w:spacing w:val="-17"/>
        </w:rPr>
        <w:t xml:space="preserve"> </w:t>
      </w:r>
      <w:r>
        <w:rPr>
          <w:color w:val="231F20"/>
          <w:spacing w:val="-5"/>
        </w:rPr>
        <w:t xml:space="preserve">and </w:t>
      </w:r>
      <w:r>
        <w:rPr>
          <w:color w:val="231F20"/>
        </w:rPr>
        <w:t>train</w:t>
      </w:r>
      <w:r>
        <w:rPr>
          <w:color w:val="231F20"/>
          <w:spacing w:val="-7"/>
        </w:rPr>
        <w:t xml:space="preserve"> </w:t>
      </w:r>
      <w:r>
        <w:rPr>
          <w:color w:val="231F20"/>
        </w:rPr>
        <w:t>WDC/Community</w:t>
      </w:r>
      <w:r>
        <w:rPr>
          <w:color w:val="231F20"/>
          <w:spacing w:val="-6"/>
        </w:rPr>
        <w:t xml:space="preserve"> </w:t>
      </w:r>
      <w:r>
        <w:rPr>
          <w:color w:val="231F20"/>
        </w:rPr>
        <w:t>volunteers</w:t>
      </w:r>
      <w:r>
        <w:rPr>
          <w:color w:val="231F20"/>
          <w:spacing w:val="-6"/>
        </w:rPr>
        <w:t xml:space="preserve"> </w:t>
      </w:r>
      <w:r>
        <w:rPr>
          <w:color w:val="231F20"/>
        </w:rPr>
        <w:t>on</w:t>
      </w:r>
      <w:r>
        <w:rPr>
          <w:color w:val="231F20"/>
          <w:spacing w:val="-6"/>
        </w:rPr>
        <w:t xml:space="preserve"> </w:t>
      </w:r>
      <w:r>
        <w:rPr>
          <w:color w:val="231F20"/>
        </w:rPr>
        <w:t>community</w:t>
      </w:r>
      <w:r>
        <w:rPr>
          <w:color w:val="231F20"/>
          <w:spacing w:val="-7"/>
        </w:rPr>
        <w:t xml:space="preserve"> </w:t>
      </w:r>
      <w:r>
        <w:rPr>
          <w:color w:val="231F20"/>
        </w:rPr>
        <w:t>sensitization</w:t>
      </w:r>
      <w:r>
        <w:rPr>
          <w:color w:val="231F20"/>
          <w:spacing w:val="-6"/>
        </w:rPr>
        <w:t xml:space="preserve"> </w:t>
      </w:r>
      <w:r>
        <w:rPr>
          <w:color w:val="231F20"/>
        </w:rPr>
        <w:t>and</w:t>
      </w:r>
      <w:r>
        <w:rPr>
          <w:color w:val="231F20"/>
          <w:spacing w:val="-6"/>
        </w:rPr>
        <w:t xml:space="preserve"> </w:t>
      </w:r>
      <w:r>
        <w:rPr>
          <w:color w:val="231F20"/>
        </w:rPr>
        <w:t>education</w:t>
      </w:r>
      <w:r>
        <w:rPr>
          <w:color w:val="231F20"/>
          <w:spacing w:val="-6"/>
        </w:rPr>
        <w:t xml:space="preserve"> </w:t>
      </w:r>
      <w:r>
        <w:rPr>
          <w:color w:val="231F20"/>
        </w:rPr>
        <w:t>for</w:t>
      </w:r>
      <w:r>
        <w:rPr>
          <w:color w:val="231F20"/>
          <w:spacing w:val="-6"/>
        </w:rPr>
        <w:t xml:space="preserve"> </w:t>
      </w:r>
      <w:r>
        <w:rPr>
          <w:color w:val="231F20"/>
        </w:rPr>
        <w:t>public</w:t>
      </w:r>
      <w:r>
        <w:rPr>
          <w:color w:val="231F20"/>
          <w:spacing w:val="-7"/>
        </w:rPr>
        <w:t xml:space="preserve"> </w:t>
      </w:r>
      <w:r w:rsidR="001D7055">
        <w:rPr>
          <w:color w:val="231F20"/>
        </w:rPr>
        <w:t>promotion a</w:t>
      </w:r>
      <w:r>
        <w:rPr>
          <w:color w:val="231F20"/>
        </w:rPr>
        <w:t>nd uptake of newborn and child health services; Develop and distribute newbor</w:t>
      </w:r>
      <w:r w:rsidR="00DE6DF0">
        <w:rPr>
          <w:color w:val="231F20"/>
        </w:rPr>
        <w:t xml:space="preserve">n and child health communication </w:t>
      </w:r>
      <w:r>
        <w:rPr>
          <w:color w:val="231F20"/>
        </w:rPr>
        <w:t>materials.</w:t>
      </w:r>
    </w:p>
    <w:p w14:paraId="28BF44C1" w14:textId="77777777" w:rsidR="009948F1" w:rsidRDefault="009948F1">
      <w:pPr>
        <w:pStyle w:val="BodyText"/>
        <w:spacing w:before="1"/>
        <w:rPr>
          <w:sz w:val="27"/>
        </w:rPr>
      </w:pPr>
    </w:p>
    <w:p w14:paraId="4CBD7BAD" w14:textId="77777777" w:rsidR="009948F1" w:rsidRDefault="00BC0563">
      <w:pPr>
        <w:pStyle w:val="BodyText"/>
        <w:spacing w:line="290" w:lineRule="auto"/>
        <w:ind w:left="177" w:right="168"/>
        <w:jc w:val="both"/>
      </w:pPr>
      <w:r>
        <w:rPr>
          <w:color w:val="231F20"/>
        </w:rPr>
        <w:t xml:space="preserve">5.4.4.8 Expand coverage of IMCI (Community-IMCI, Community Case Management (ICCM) </w:t>
      </w:r>
      <w:r>
        <w:rPr>
          <w:color w:val="231F20"/>
          <w:spacing w:val="-12"/>
        </w:rPr>
        <w:t xml:space="preserve">&amp; </w:t>
      </w:r>
      <w:r>
        <w:rPr>
          <w:color w:val="231F20"/>
        </w:rPr>
        <w:t xml:space="preserve">IMCI). Key actions include; scale-up implementation of Community Case Management </w:t>
      </w:r>
      <w:r>
        <w:rPr>
          <w:color w:val="231F20"/>
          <w:spacing w:val="-8"/>
        </w:rPr>
        <w:t xml:space="preserve">of </w:t>
      </w:r>
      <w:r>
        <w:rPr>
          <w:color w:val="231F20"/>
        </w:rPr>
        <w:t xml:space="preserve">Childhood Illness (CIMCI) using national protocols at all PHC facilities in all LGAs; Scale </w:t>
      </w:r>
      <w:r>
        <w:rPr>
          <w:color w:val="231F20"/>
          <w:spacing w:val="-6"/>
        </w:rPr>
        <w:t xml:space="preserve">up </w:t>
      </w:r>
      <w:r>
        <w:rPr>
          <w:color w:val="231F20"/>
        </w:rPr>
        <w:t xml:space="preserve">implementation of Community IMCI (promotion of key household practices for child survival </w:t>
      </w:r>
      <w:r>
        <w:rPr>
          <w:color w:val="231F20"/>
          <w:spacing w:val="-6"/>
        </w:rPr>
        <w:t xml:space="preserve">and </w:t>
      </w:r>
      <w:r>
        <w:rPr>
          <w:color w:val="231F20"/>
        </w:rPr>
        <w:t>development);</w:t>
      </w:r>
      <w:r>
        <w:rPr>
          <w:color w:val="231F20"/>
          <w:spacing w:val="-19"/>
        </w:rPr>
        <w:t xml:space="preserve"> </w:t>
      </w:r>
      <w:r>
        <w:rPr>
          <w:color w:val="231F20"/>
        </w:rPr>
        <w:t>Train</w:t>
      </w:r>
      <w:r>
        <w:rPr>
          <w:color w:val="231F20"/>
          <w:spacing w:val="-16"/>
        </w:rPr>
        <w:t xml:space="preserve"> </w:t>
      </w:r>
      <w:r>
        <w:rPr>
          <w:color w:val="231F20"/>
        </w:rPr>
        <w:t>health</w:t>
      </w:r>
      <w:r>
        <w:rPr>
          <w:color w:val="231F20"/>
          <w:spacing w:val="-16"/>
        </w:rPr>
        <w:t xml:space="preserve"> </w:t>
      </w:r>
      <w:r>
        <w:rPr>
          <w:color w:val="231F20"/>
        </w:rPr>
        <w:t>care</w:t>
      </w:r>
      <w:r>
        <w:rPr>
          <w:color w:val="231F20"/>
          <w:spacing w:val="-16"/>
        </w:rPr>
        <w:t xml:space="preserve"> </w:t>
      </w:r>
      <w:r>
        <w:rPr>
          <w:color w:val="231F20"/>
        </w:rPr>
        <w:t>providers</w:t>
      </w:r>
      <w:r>
        <w:rPr>
          <w:color w:val="231F20"/>
          <w:spacing w:val="-15"/>
        </w:rPr>
        <w:t xml:space="preserve"> </w:t>
      </w:r>
      <w:r>
        <w:rPr>
          <w:color w:val="231F20"/>
        </w:rPr>
        <w:t>IMCI</w:t>
      </w:r>
      <w:r>
        <w:rPr>
          <w:color w:val="231F20"/>
          <w:spacing w:val="-16"/>
        </w:rPr>
        <w:t xml:space="preserve"> </w:t>
      </w:r>
      <w:r>
        <w:rPr>
          <w:color w:val="231F20"/>
        </w:rPr>
        <w:t>(case</w:t>
      </w:r>
      <w:r>
        <w:rPr>
          <w:color w:val="231F20"/>
          <w:spacing w:val="-16"/>
        </w:rPr>
        <w:t xml:space="preserve"> </w:t>
      </w:r>
      <w:r>
        <w:rPr>
          <w:color w:val="231F20"/>
        </w:rPr>
        <w:t>management)</w:t>
      </w:r>
      <w:r>
        <w:rPr>
          <w:color w:val="231F20"/>
          <w:spacing w:val="-15"/>
        </w:rPr>
        <w:t xml:space="preserve"> </w:t>
      </w:r>
      <w:r>
        <w:rPr>
          <w:color w:val="231F20"/>
        </w:rPr>
        <w:t>and</w:t>
      </w:r>
      <w:r>
        <w:rPr>
          <w:color w:val="231F20"/>
          <w:spacing w:val="-16"/>
        </w:rPr>
        <w:t xml:space="preserve"> </w:t>
      </w:r>
      <w:r>
        <w:rPr>
          <w:color w:val="231F20"/>
        </w:rPr>
        <w:t>community-based</w:t>
      </w:r>
      <w:r>
        <w:rPr>
          <w:color w:val="231F20"/>
          <w:spacing w:val="-15"/>
        </w:rPr>
        <w:t xml:space="preserve"> </w:t>
      </w:r>
      <w:r>
        <w:rPr>
          <w:color w:val="231F20"/>
        </w:rPr>
        <w:t>health care</w:t>
      </w:r>
      <w:r>
        <w:rPr>
          <w:color w:val="231F20"/>
          <w:spacing w:val="-17"/>
        </w:rPr>
        <w:t xml:space="preserve"> </w:t>
      </w:r>
      <w:r>
        <w:rPr>
          <w:color w:val="231F20"/>
        </w:rPr>
        <w:t>providers</w:t>
      </w:r>
      <w:r>
        <w:rPr>
          <w:color w:val="231F20"/>
          <w:spacing w:val="-17"/>
        </w:rPr>
        <w:t xml:space="preserve"> </w:t>
      </w:r>
      <w:r>
        <w:rPr>
          <w:color w:val="231F20"/>
        </w:rPr>
        <w:t>and</w:t>
      </w:r>
      <w:r>
        <w:rPr>
          <w:color w:val="231F20"/>
          <w:spacing w:val="-17"/>
        </w:rPr>
        <w:t xml:space="preserve"> </w:t>
      </w:r>
      <w:r>
        <w:rPr>
          <w:color w:val="231F20"/>
        </w:rPr>
        <w:t>CHEWs</w:t>
      </w:r>
      <w:r>
        <w:rPr>
          <w:color w:val="231F20"/>
          <w:spacing w:val="51"/>
        </w:rPr>
        <w:t xml:space="preserve"> </w:t>
      </w:r>
      <w:r>
        <w:rPr>
          <w:color w:val="231F20"/>
        </w:rPr>
        <w:t>on</w:t>
      </w:r>
      <w:r>
        <w:rPr>
          <w:color w:val="231F20"/>
          <w:spacing w:val="-17"/>
        </w:rPr>
        <w:t xml:space="preserve"> </w:t>
      </w:r>
      <w:r>
        <w:rPr>
          <w:color w:val="231F20"/>
        </w:rPr>
        <w:t>IMCI</w:t>
      </w:r>
      <w:r>
        <w:rPr>
          <w:color w:val="231F20"/>
          <w:spacing w:val="-17"/>
        </w:rPr>
        <w:t xml:space="preserve"> </w:t>
      </w:r>
      <w:r>
        <w:rPr>
          <w:color w:val="231F20"/>
        </w:rPr>
        <w:t>and</w:t>
      </w:r>
      <w:r>
        <w:rPr>
          <w:color w:val="231F20"/>
          <w:spacing w:val="-17"/>
        </w:rPr>
        <w:t xml:space="preserve"> </w:t>
      </w:r>
      <w:r>
        <w:rPr>
          <w:color w:val="231F20"/>
        </w:rPr>
        <w:t>CIMCI);</w:t>
      </w:r>
      <w:r>
        <w:rPr>
          <w:color w:val="231F20"/>
          <w:spacing w:val="-17"/>
        </w:rPr>
        <w:t xml:space="preserve"> </w:t>
      </w:r>
      <w:r>
        <w:rPr>
          <w:color w:val="231F20"/>
        </w:rPr>
        <w:t>Build</w:t>
      </w:r>
      <w:r>
        <w:rPr>
          <w:color w:val="231F20"/>
          <w:spacing w:val="-17"/>
        </w:rPr>
        <w:t xml:space="preserve"> </w:t>
      </w:r>
      <w:r>
        <w:rPr>
          <w:color w:val="231F20"/>
        </w:rPr>
        <w:t>capacity</w:t>
      </w:r>
      <w:r>
        <w:rPr>
          <w:color w:val="231F20"/>
          <w:spacing w:val="-17"/>
        </w:rPr>
        <w:t xml:space="preserve"> </w:t>
      </w:r>
      <w:r>
        <w:rPr>
          <w:color w:val="231F20"/>
        </w:rPr>
        <w:t>of</w:t>
      </w:r>
      <w:r>
        <w:rPr>
          <w:color w:val="231F20"/>
          <w:spacing w:val="-17"/>
        </w:rPr>
        <w:t xml:space="preserve"> </w:t>
      </w:r>
      <w:r>
        <w:rPr>
          <w:color w:val="231F20"/>
        </w:rPr>
        <w:t>community</w:t>
      </w:r>
      <w:r>
        <w:rPr>
          <w:color w:val="231F20"/>
          <w:spacing w:val="-17"/>
        </w:rPr>
        <w:t xml:space="preserve"> </w:t>
      </w:r>
      <w:r>
        <w:rPr>
          <w:color w:val="231F20"/>
        </w:rPr>
        <w:t>structures</w:t>
      </w:r>
      <w:r>
        <w:rPr>
          <w:color w:val="231F20"/>
          <w:spacing w:val="-17"/>
        </w:rPr>
        <w:t xml:space="preserve"> </w:t>
      </w:r>
      <w:r>
        <w:rPr>
          <w:color w:val="231F20"/>
        </w:rPr>
        <w:t>(WDC)</w:t>
      </w:r>
      <w:r>
        <w:rPr>
          <w:color w:val="231F20"/>
          <w:spacing w:val="-17"/>
        </w:rPr>
        <w:t xml:space="preserve"> </w:t>
      </w:r>
      <w:r>
        <w:rPr>
          <w:color w:val="231F20"/>
          <w:spacing w:val="-7"/>
        </w:rPr>
        <w:t xml:space="preserve">in </w:t>
      </w:r>
      <w:r>
        <w:rPr>
          <w:color w:val="231F20"/>
        </w:rPr>
        <w:t>planning</w:t>
      </w:r>
      <w:r>
        <w:rPr>
          <w:color w:val="231F20"/>
          <w:spacing w:val="-25"/>
        </w:rPr>
        <w:t xml:space="preserve"> </w:t>
      </w:r>
      <w:r>
        <w:rPr>
          <w:color w:val="231F20"/>
        </w:rPr>
        <w:t>and</w:t>
      </w:r>
      <w:r>
        <w:rPr>
          <w:color w:val="231F20"/>
          <w:spacing w:val="-26"/>
        </w:rPr>
        <w:t xml:space="preserve"> </w:t>
      </w:r>
      <w:r>
        <w:rPr>
          <w:color w:val="231F20"/>
        </w:rPr>
        <w:t>implementation</w:t>
      </w:r>
      <w:r>
        <w:rPr>
          <w:color w:val="231F20"/>
          <w:spacing w:val="-25"/>
        </w:rPr>
        <w:t xml:space="preserve"> </w:t>
      </w:r>
      <w:r>
        <w:rPr>
          <w:color w:val="231F20"/>
        </w:rPr>
        <w:t>of</w:t>
      </w:r>
      <w:r>
        <w:rPr>
          <w:color w:val="231F20"/>
          <w:spacing w:val="-25"/>
        </w:rPr>
        <w:t xml:space="preserve"> </w:t>
      </w:r>
      <w:r>
        <w:rPr>
          <w:color w:val="231F20"/>
        </w:rPr>
        <w:t>CIMCI</w:t>
      </w:r>
      <w:r>
        <w:rPr>
          <w:color w:val="231F20"/>
          <w:spacing w:val="-25"/>
        </w:rPr>
        <w:t xml:space="preserve"> </w:t>
      </w:r>
      <w:r>
        <w:rPr>
          <w:color w:val="231F20"/>
        </w:rPr>
        <w:t>and</w:t>
      </w:r>
      <w:r>
        <w:rPr>
          <w:color w:val="231F20"/>
          <w:spacing w:val="-25"/>
        </w:rPr>
        <w:t xml:space="preserve"> </w:t>
      </w:r>
      <w:r>
        <w:rPr>
          <w:color w:val="231F20"/>
        </w:rPr>
        <w:t>IMCI</w:t>
      </w:r>
      <w:r>
        <w:rPr>
          <w:color w:val="231F20"/>
          <w:spacing w:val="-25"/>
        </w:rPr>
        <w:t xml:space="preserve"> </w:t>
      </w:r>
      <w:r>
        <w:rPr>
          <w:color w:val="231F20"/>
        </w:rPr>
        <w:t>interventions.</w:t>
      </w:r>
    </w:p>
    <w:p w14:paraId="1C3E7457" w14:textId="77777777" w:rsidR="009948F1" w:rsidRDefault="009948F1">
      <w:pPr>
        <w:spacing w:line="290" w:lineRule="auto"/>
        <w:jc w:val="both"/>
        <w:sectPr w:rsidR="009948F1">
          <w:pgSz w:w="11910" w:h="16840"/>
          <w:pgMar w:top="1260" w:right="1080" w:bottom="1420" w:left="1120" w:header="0" w:footer="1235" w:gutter="0"/>
          <w:cols w:space="720"/>
        </w:sectPr>
      </w:pPr>
    </w:p>
    <w:p w14:paraId="2301F4F0" w14:textId="77777777" w:rsidR="009948F1" w:rsidRDefault="009948F1">
      <w:pPr>
        <w:pStyle w:val="BodyText"/>
        <w:spacing w:before="7"/>
        <w:rPr>
          <w:sz w:val="19"/>
        </w:rPr>
      </w:pPr>
    </w:p>
    <w:p w14:paraId="1D1E7208" w14:textId="77777777" w:rsidR="009948F1" w:rsidRDefault="00BC0563">
      <w:pPr>
        <w:pStyle w:val="Heading7"/>
        <w:numPr>
          <w:ilvl w:val="2"/>
          <w:numId w:val="293"/>
        </w:numPr>
        <w:tabs>
          <w:tab w:val="left" w:pos="811"/>
        </w:tabs>
        <w:spacing w:before="65" w:line="261" w:lineRule="auto"/>
        <w:ind w:left="161" w:right="689" w:firstLine="0"/>
        <w:jc w:val="left"/>
        <w:rPr>
          <w:color w:val="231F20"/>
        </w:rPr>
      </w:pPr>
      <w:bookmarkStart w:id="66" w:name="Page_52"/>
      <w:bookmarkEnd w:id="66"/>
      <w:r>
        <w:rPr>
          <w:color w:val="231F20"/>
        </w:rPr>
        <w:t>Improve</w:t>
      </w:r>
      <w:r>
        <w:rPr>
          <w:color w:val="231F20"/>
          <w:spacing w:val="-26"/>
        </w:rPr>
        <w:t xml:space="preserve"> </w:t>
      </w:r>
      <w:r>
        <w:rPr>
          <w:color w:val="231F20"/>
        </w:rPr>
        <w:t>access</w:t>
      </w:r>
      <w:r>
        <w:rPr>
          <w:color w:val="231F20"/>
          <w:spacing w:val="-25"/>
        </w:rPr>
        <w:t xml:space="preserve"> </w:t>
      </w:r>
      <w:r>
        <w:rPr>
          <w:color w:val="231F20"/>
        </w:rPr>
        <w:t>to</w:t>
      </w:r>
      <w:r>
        <w:rPr>
          <w:color w:val="231F20"/>
          <w:spacing w:val="-25"/>
        </w:rPr>
        <w:t xml:space="preserve"> </w:t>
      </w:r>
      <w:r>
        <w:rPr>
          <w:color w:val="231F20"/>
        </w:rPr>
        <w:t>adolescent</w:t>
      </w:r>
      <w:r>
        <w:rPr>
          <w:color w:val="231F20"/>
          <w:spacing w:val="-25"/>
        </w:rPr>
        <w:t xml:space="preserve"> </w:t>
      </w:r>
      <w:r>
        <w:rPr>
          <w:color w:val="231F20"/>
        </w:rPr>
        <w:t>health</w:t>
      </w:r>
      <w:r>
        <w:rPr>
          <w:color w:val="231F20"/>
          <w:spacing w:val="-25"/>
        </w:rPr>
        <w:t xml:space="preserve"> </w:t>
      </w:r>
      <w:r>
        <w:rPr>
          <w:color w:val="231F20"/>
        </w:rPr>
        <w:t>and</w:t>
      </w:r>
      <w:r>
        <w:rPr>
          <w:color w:val="231F20"/>
          <w:spacing w:val="-25"/>
        </w:rPr>
        <w:t xml:space="preserve"> </w:t>
      </w:r>
      <w:r>
        <w:rPr>
          <w:color w:val="231F20"/>
        </w:rPr>
        <w:t>young</w:t>
      </w:r>
      <w:r>
        <w:rPr>
          <w:color w:val="231F20"/>
          <w:spacing w:val="-25"/>
        </w:rPr>
        <w:t xml:space="preserve"> </w:t>
      </w:r>
      <w:r>
        <w:rPr>
          <w:color w:val="231F20"/>
        </w:rPr>
        <w:t>people</w:t>
      </w:r>
      <w:r>
        <w:rPr>
          <w:color w:val="231F20"/>
          <w:spacing w:val="-25"/>
        </w:rPr>
        <w:t xml:space="preserve"> </w:t>
      </w:r>
      <w:r>
        <w:rPr>
          <w:color w:val="231F20"/>
        </w:rPr>
        <w:t>information</w:t>
      </w:r>
      <w:r>
        <w:rPr>
          <w:color w:val="231F20"/>
          <w:spacing w:val="-25"/>
        </w:rPr>
        <w:t xml:space="preserve"> </w:t>
      </w:r>
      <w:r>
        <w:rPr>
          <w:color w:val="231F20"/>
        </w:rPr>
        <w:t>and</w:t>
      </w:r>
      <w:r>
        <w:rPr>
          <w:color w:val="231F20"/>
          <w:spacing w:val="-25"/>
        </w:rPr>
        <w:t xml:space="preserve"> </w:t>
      </w:r>
      <w:r>
        <w:rPr>
          <w:color w:val="231F20"/>
        </w:rPr>
        <w:t xml:space="preserve">services </w:t>
      </w:r>
      <w:r>
        <w:rPr>
          <w:color w:val="231F20"/>
          <w:spacing w:val="-3"/>
        </w:rPr>
        <w:t>Target</w:t>
      </w:r>
    </w:p>
    <w:p w14:paraId="34096464" w14:textId="77777777" w:rsidR="009948F1" w:rsidRDefault="009948F1">
      <w:pPr>
        <w:pStyle w:val="BodyText"/>
        <w:spacing w:before="5"/>
        <w:rPr>
          <w:b/>
          <w:sz w:val="25"/>
        </w:rPr>
      </w:pPr>
    </w:p>
    <w:tbl>
      <w:tblPr>
        <w:tblW w:w="0" w:type="auto"/>
        <w:tblInd w:w="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46"/>
        <w:gridCol w:w="1023"/>
        <w:gridCol w:w="888"/>
        <w:gridCol w:w="886"/>
        <w:gridCol w:w="886"/>
        <w:gridCol w:w="886"/>
        <w:gridCol w:w="888"/>
        <w:gridCol w:w="981"/>
      </w:tblGrid>
      <w:tr w:rsidR="009948F1" w14:paraId="5CBF4A5E" w14:textId="77777777">
        <w:trPr>
          <w:trHeight w:val="210"/>
        </w:trPr>
        <w:tc>
          <w:tcPr>
            <w:tcW w:w="2946" w:type="dxa"/>
            <w:shd w:val="clear" w:color="auto" w:fill="F6ADCD"/>
          </w:tcPr>
          <w:p w14:paraId="675D0EBE" w14:textId="77777777" w:rsidR="009948F1" w:rsidRDefault="00BC0563">
            <w:pPr>
              <w:pStyle w:val="TableParagraph"/>
              <w:spacing w:before="2" w:line="188" w:lineRule="exact"/>
              <w:ind w:left="110"/>
              <w:rPr>
                <w:sz w:val="18"/>
              </w:rPr>
            </w:pPr>
            <w:r>
              <w:rPr>
                <w:color w:val="231F20"/>
                <w:sz w:val="18"/>
              </w:rPr>
              <w:t>Targets</w:t>
            </w:r>
          </w:p>
        </w:tc>
        <w:tc>
          <w:tcPr>
            <w:tcW w:w="1023" w:type="dxa"/>
            <w:tcBorders>
              <w:top w:val="nil"/>
            </w:tcBorders>
            <w:shd w:val="clear" w:color="auto" w:fill="F6ADCD"/>
          </w:tcPr>
          <w:p w14:paraId="780B74A0" w14:textId="77777777" w:rsidR="009948F1" w:rsidRDefault="00BC0563">
            <w:pPr>
              <w:pStyle w:val="TableParagraph"/>
              <w:spacing w:before="2" w:line="188" w:lineRule="exact"/>
              <w:ind w:left="110"/>
              <w:rPr>
                <w:sz w:val="18"/>
              </w:rPr>
            </w:pPr>
            <w:r>
              <w:rPr>
                <w:color w:val="231F20"/>
                <w:sz w:val="18"/>
              </w:rPr>
              <w:t>Baseline</w:t>
            </w:r>
          </w:p>
        </w:tc>
        <w:tc>
          <w:tcPr>
            <w:tcW w:w="888" w:type="dxa"/>
            <w:shd w:val="clear" w:color="auto" w:fill="F6ADCD"/>
          </w:tcPr>
          <w:p w14:paraId="6A8603A7" w14:textId="77777777" w:rsidR="009948F1" w:rsidRDefault="00BC0563">
            <w:pPr>
              <w:pStyle w:val="TableParagraph"/>
              <w:spacing w:line="191" w:lineRule="exact"/>
              <w:ind w:left="110"/>
              <w:rPr>
                <w:b/>
                <w:sz w:val="18"/>
              </w:rPr>
            </w:pPr>
            <w:r>
              <w:rPr>
                <w:b/>
                <w:color w:val="231F20"/>
                <w:sz w:val="18"/>
              </w:rPr>
              <w:t>2018</w:t>
            </w:r>
          </w:p>
        </w:tc>
        <w:tc>
          <w:tcPr>
            <w:tcW w:w="886" w:type="dxa"/>
            <w:shd w:val="clear" w:color="auto" w:fill="F6ADCD"/>
          </w:tcPr>
          <w:p w14:paraId="3246FC4E" w14:textId="77777777" w:rsidR="009948F1" w:rsidRDefault="00BC0563">
            <w:pPr>
              <w:pStyle w:val="TableParagraph"/>
              <w:spacing w:line="191" w:lineRule="exact"/>
              <w:ind w:left="109"/>
              <w:rPr>
                <w:b/>
                <w:sz w:val="18"/>
              </w:rPr>
            </w:pPr>
            <w:r>
              <w:rPr>
                <w:b/>
                <w:color w:val="231F20"/>
                <w:sz w:val="18"/>
              </w:rPr>
              <w:t>2019</w:t>
            </w:r>
          </w:p>
        </w:tc>
        <w:tc>
          <w:tcPr>
            <w:tcW w:w="886" w:type="dxa"/>
            <w:shd w:val="clear" w:color="auto" w:fill="F6ADCD"/>
          </w:tcPr>
          <w:p w14:paraId="6849FF9F" w14:textId="77777777" w:rsidR="009948F1" w:rsidRDefault="00BC0563">
            <w:pPr>
              <w:pStyle w:val="TableParagraph"/>
              <w:spacing w:line="191" w:lineRule="exact"/>
              <w:ind w:left="109"/>
              <w:rPr>
                <w:b/>
                <w:sz w:val="18"/>
              </w:rPr>
            </w:pPr>
            <w:r>
              <w:rPr>
                <w:b/>
                <w:color w:val="231F20"/>
                <w:sz w:val="18"/>
              </w:rPr>
              <w:t>2020</w:t>
            </w:r>
          </w:p>
        </w:tc>
        <w:tc>
          <w:tcPr>
            <w:tcW w:w="886" w:type="dxa"/>
            <w:shd w:val="clear" w:color="auto" w:fill="F6ADCD"/>
          </w:tcPr>
          <w:p w14:paraId="79E054F2" w14:textId="77777777" w:rsidR="009948F1" w:rsidRDefault="00BC0563">
            <w:pPr>
              <w:pStyle w:val="TableParagraph"/>
              <w:spacing w:line="191" w:lineRule="exact"/>
              <w:ind w:left="108"/>
              <w:rPr>
                <w:b/>
                <w:sz w:val="18"/>
              </w:rPr>
            </w:pPr>
            <w:r>
              <w:rPr>
                <w:b/>
                <w:color w:val="231F20"/>
                <w:sz w:val="18"/>
              </w:rPr>
              <w:t>2021</w:t>
            </w:r>
          </w:p>
        </w:tc>
        <w:tc>
          <w:tcPr>
            <w:tcW w:w="888" w:type="dxa"/>
            <w:shd w:val="clear" w:color="auto" w:fill="F6ADCD"/>
          </w:tcPr>
          <w:p w14:paraId="2E27AE1E" w14:textId="77777777" w:rsidR="009948F1" w:rsidRDefault="00BC0563">
            <w:pPr>
              <w:pStyle w:val="TableParagraph"/>
              <w:spacing w:line="191" w:lineRule="exact"/>
              <w:ind w:left="108"/>
              <w:rPr>
                <w:b/>
                <w:sz w:val="18"/>
              </w:rPr>
            </w:pPr>
            <w:r>
              <w:rPr>
                <w:b/>
                <w:color w:val="231F20"/>
                <w:sz w:val="18"/>
              </w:rPr>
              <w:t>2022</w:t>
            </w:r>
          </w:p>
        </w:tc>
        <w:tc>
          <w:tcPr>
            <w:tcW w:w="981" w:type="dxa"/>
            <w:shd w:val="clear" w:color="auto" w:fill="F6ADCD"/>
          </w:tcPr>
          <w:p w14:paraId="434F8572" w14:textId="77777777" w:rsidR="009948F1" w:rsidRDefault="00BC0563">
            <w:pPr>
              <w:pStyle w:val="TableParagraph"/>
              <w:spacing w:line="191" w:lineRule="exact"/>
              <w:ind w:left="108"/>
              <w:rPr>
                <w:b/>
                <w:sz w:val="18"/>
              </w:rPr>
            </w:pPr>
            <w:r>
              <w:rPr>
                <w:b/>
                <w:color w:val="231F20"/>
                <w:sz w:val="18"/>
              </w:rPr>
              <w:t>National</w:t>
            </w:r>
          </w:p>
        </w:tc>
      </w:tr>
      <w:tr w:rsidR="009948F1" w14:paraId="3ABE4854" w14:textId="77777777">
        <w:trPr>
          <w:trHeight w:val="846"/>
        </w:trPr>
        <w:tc>
          <w:tcPr>
            <w:tcW w:w="2946" w:type="dxa"/>
          </w:tcPr>
          <w:p w14:paraId="3194DDD4" w14:textId="77777777" w:rsidR="009948F1" w:rsidRDefault="00BC0563">
            <w:pPr>
              <w:pStyle w:val="TableParagraph"/>
              <w:spacing w:before="2" w:line="244" w:lineRule="auto"/>
              <w:ind w:left="110"/>
              <w:rPr>
                <w:sz w:val="18"/>
              </w:rPr>
            </w:pPr>
            <w:r>
              <w:rPr>
                <w:color w:val="231F20"/>
                <w:sz w:val="18"/>
              </w:rPr>
              <w:t>Adolescent birth rate per 1000 women aged 10 to 19 years</w:t>
            </w:r>
          </w:p>
          <w:p w14:paraId="370ED426" w14:textId="77777777" w:rsidR="009948F1" w:rsidRDefault="00BC0563">
            <w:pPr>
              <w:pStyle w:val="TableParagraph"/>
              <w:spacing w:before="3" w:line="210" w:lineRule="exact"/>
              <w:ind w:left="110" w:right="43"/>
              <w:rPr>
                <w:sz w:val="18"/>
              </w:rPr>
            </w:pPr>
            <w:r>
              <w:rPr>
                <w:color w:val="231F20"/>
                <w:sz w:val="18"/>
              </w:rPr>
              <w:t>decreased from 18/1000 to 14/1000</w:t>
            </w:r>
          </w:p>
        </w:tc>
        <w:tc>
          <w:tcPr>
            <w:tcW w:w="1023" w:type="dxa"/>
          </w:tcPr>
          <w:p w14:paraId="4EED903E" w14:textId="77777777" w:rsidR="009948F1" w:rsidRDefault="00BC0563">
            <w:pPr>
              <w:pStyle w:val="TableParagraph"/>
              <w:spacing w:before="2"/>
              <w:ind w:left="110"/>
              <w:rPr>
                <w:sz w:val="18"/>
              </w:rPr>
            </w:pPr>
            <w:r>
              <w:rPr>
                <w:color w:val="231F20"/>
                <w:sz w:val="18"/>
              </w:rPr>
              <w:t>TBD</w:t>
            </w:r>
          </w:p>
        </w:tc>
        <w:tc>
          <w:tcPr>
            <w:tcW w:w="888" w:type="dxa"/>
          </w:tcPr>
          <w:p w14:paraId="0AC37D95" w14:textId="77777777" w:rsidR="009948F1" w:rsidRDefault="00BC0563">
            <w:pPr>
              <w:pStyle w:val="TableParagraph"/>
              <w:spacing w:before="2"/>
              <w:ind w:left="110"/>
              <w:rPr>
                <w:sz w:val="18"/>
              </w:rPr>
            </w:pPr>
            <w:r>
              <w:rPr>
                <w:color w:val="231F20"/>
                <w:sz w:val="18"/>
              </w:rPr>
              <w:t>18/1000</w:t>
            </w:r>
          </w:p>
        </w:tc>
        <w:tc>
          <w:tcPr>
            <w:tcW w:w="886" w:type="dxa"/>
          </w:tcPr>
          <w:p w14:paraId="08B5758E" w14:textId="77777777" w:rsidR="009948F1" w:rsidRDefault="00BC0563">
            <w:pPr>
              <w:pStyle w:val="TableParagraph"/>
              <w:spacing w:before="2"/>
              <w:ind w:left="109"/>
              <w:rPr>
                <w:sz w:val="18"/>
              </w:rPr>
            </w:pPr>
            <w:r>
              <w:rPr>
                <w:color w:val="231F20"/>
                <w:sz w:val="18"/>
              </w:rPr>
              <w:t>17/1000</w:t>
            </w:r>
          </w:p>
        </w:tc>
        <w:tc>
          <w:tcPr>
            <w:tcW w:w="886" w:type="dxa"/>
          </w:tcPr>
          <w:p w14:paraId="346B7372" w14:textId="77777777" w:rsidR="009948F1" w:rsidRDefault="00BC0563">
            <w:pPr>
              <w:pStyle w:val="TableParagraph"/>
              <w:spacing w:before="2"/>
              <w:ind w:left="109"/>
              <w:rPr>
                <w:sz w:val="18"/>
              </w:rPr>
            </w:pPr>
            <w:r>
              <w:rPr>
                <w:color w:val="231F20"/>
                <w:sz w:val="18"/>
              </w:rPr>
              <w:t>16/1000</w:t>
            </w:r>
          </w:p>
        </w:tc>
        <w:tc>
          <w:tcPr>
            <w:tcW w:w="886" w:type="dxa"/>
          </w:tcPr>
          <w:p w14:paraId="1938B25C" w14:textId="77777777" w:rsidR="009948F1" w:rsidRDefault="00BC0563">
            <w:pPr>
              <w:pStyle w:val="TableParagraph"/>
              <w:spacing w:before="2"/>
              <w:ind w:left="108"/>
              <w:rPr>
                <w:sz w:val="18"/>
              </w:rPr>
            </w:pPr>
            <w:r>
              <w:rPr>
                <w:color w:val="231F20"/>
                <w:sz w:val="18"/>
              </w:rPr>
              <w:t>15/1000</w:t>
            </w:r>
          </w:p>
        </w:tc>
        <w:tc>
          <w:tcPr>
            <w:tcW w:w="888" w:type="dxa"/>
          </w:tcPr>
          <w:p w14:paraId="2F1F3403" w14:textId="77777777" w:rsidR="009948F1" w:rsidRDefault="00BC0563">
            <w:pPr>
              <w:pStyle w:val="TableParagraph"/>
              <w:spacing w:before="2"/>
              <w:ind w:left="108"/>
              <w:rPr>
                <w:sz w:val="18"/>
              </w:rPr>
            </w:pPr>
            <w:r>
              <w:rPr>
                <w:color w:val="231F20"/>
                <w:sz w:val="18"/>
              </w:rPr>
              <w:t>14/1000</w:t>
            </w:r>
          </w:p>
        </w:tc>
        <w:tc>
          <w:tcPr>
            <w:tcW w:w="981" w:type="dxa"/>
          </w:tcPr>
          <w:p w14:paraId="5B1B2098" w14:textId="77777777" w:rsidR="009948F1" w:rsidRDefault="00BC0563">
            <w:pPr>
              <w:pStyle w:val="TableParagraph"/>
              <w:spacing w:before="2"/>
              <w:ind w:left="108"/>
              <w:rPr>
                <w:sz w:val="18"/>
              </w:rPr>
            </w:pPr>
            <w:r>
              <w:rPr>
                <w:color w:val="231F20"/>
                <w:sz w:val="18"/>
              </w:rPr>
              <w:t>60/1000</w:t>
            </w:r>
          </w:p>
        </w:tc>
      </w:tr>
    </w:tbl>
    <w:p w14:paraId="30E98194" w14:textId="77777777" w:rsidR="009948F1" w:rsidRDefault="00BC0563">
      <w:pPr>
        <w:spacing w:before="70"/>
        <w:ind w:left="168"/>
        <w:rPr>
          <w:b/>
        </w:rPr>
      </w:pPr>
      <w:r>
        <w:rPr>
          <w:b/>
          <w:color w:val="231F20"/>
        </w:rPr>
        <w:t>Interventions</w:t>
      </w:r>
    </w:p>
    <w:p w14:paraId="091CD40D" w14:textId="77777777" w:rsidR="009948F1" w:rsidRDefault="00BC0563">
      <w:pPr>
        <w:pStyle w:val="ListParagraph"/>
        <w:numPr>
          <w:ilvl w:val="3"/>
          <w:numId w:val="293"/>
        </w:numPr>
        <w:tabs>
          <w:tab w:val="left" w:pos="903"/>
        </w:tabs>
        <w:spacing w:before="23" w:line="261" w:lineRule="auto"/>
        <w:ind w:left="168" w:right="203" w:firstLine="0"/>
      </w:pPr>
      <w:r>
        <w:rPr>
          <w:color w:val="231F20"/>
        </w:rPr>
        <w:t xml:space="preserve">Intensify advocacy, social mobilization and </w:t>
      </w:r>
      <w:proofErr w:type="spellStart"/>
      <w:r>
        <w:rPr>
          <w:color w:val="231F20"/>
        </w:rPr>
        <w:t>behaviour</w:t>
      </w:r>
      <w:proofErr w:type="spellEnd"/>
      <w:r>
        <w:rPr>
          <w:color w:val="231F20"/>
        </w:rPr>
        <w:t xml:space="preserve"> change communication for</w:t>
      </w:r>
      <w:r>
        <w:rPr>
          <w:color w:val="231F20"/>
          <w:spacing w:val="-40"/>
        </w:rPr>
        <w:t xml:space="preserve"> </w:t>
      </w:r>
      <w:r>
        <w:rPr>
          <w:color w:val="231F20"/>
        </w:rPr>
        <w:t xml:space="preserve">positive adolescent </w:t>
      </w:r>
      <w:proofErr w:type="spellStart"/>
      <w:r>
        <w:rPr>
          <w:color w:val="231F20"/>
        </w:rPr>
        <w:t>behaviour</w:t>
      </w:r>
      <w:proofErr w:type="spellEnd"/>
      <w:r>
        <w:rPr>
          <w:color w:val="231F20"/>
        </w:rPr>
        <w:t xml:space="preserve">. Key actions include; set up Core </w:t>
      </w:r>
      <w:r>
        <w:rPr>
          <w:color w:val="231F20"/>
          <w:spacing w:val="-3"/>
        </w:rPr>
        <w:t xml:space="preserve">Technical </w:t>
      </w:r>
      <w:r>
        <w:rPr>
          <w:color w:val="231F20"/>
        </w:rPr>
        <w:t xml:space="preserve">Committee (CTC) </w:t>
      </w:r>
      <w:r>
        <w:rPr>
          <w:color w:val="231F20"/>
          <w:spacing w:val="-4"/>
        </w:rPr>
        <w:t xml:space="preserve">with </w:t>
      </w:r>
      <w:r>
        <w:rPr>
          <w:color w:val="231F20"/>
        </w:rPr>
        <w:t>membership</w:t>
      </w:r>
      <w:r>
        <w:rPr>
          <w:color w:val="231F20"/>
          <w:spacing w:val="-16"/>
        </w:rPr>
        <w:t xml:space="preserve"> </w:t>
      </w:r>
      <w:r>
        <w:rPr>
          <w:color w:val="231F20"/>
        </w:rPr>
        <w:t>from</w:t>
      </w:r>
      <w:r>
        <w:rPr>
          <w:color w:val="231F20"/>
          <w:spacing w:val="-15"/>
        </w:rPr>
        <w:t xml:space="preserve"> </w:t>
      </w:r>
      <w:r>
        <w:rPr>
          <w:color w:val="231F20"/>
        </w:rPr>
        <w:t>all</w:t>
      </w:r>
      <w:r>
        <w:rPr>
          <w:color w:val="231F20"/>
          <w:spacing w:val="-16"/>
        </w:rPr>
        <w:t xml:space="preserve"> </w:t>
      </w:r>
      <w:r>
        <w:rPr>
          <w:color w:val="231F20"/>
        </w:rPr>
        <w:t>adolescent</w:t>
      </w:r>
      <w:r>
        <w:rPr>
          <w:color w:val="231F20"/>
          <w:spacing w:val="-15"/>
        </w:rPr>
        <w:t xml:space="preserve"> </w:t>
      </w:r>
      <w:r>
        <w:rPr>
          <w:color w:val="231F20"/>
        </w:rPr>
        <w:t>related</w:t>
      </w:r>
      <w:r>
        <w:rPr>
          <w:color w:val="231F20"/>
          <w:spacing w:val="-15"/>
        </w:rPr>
        <w:t xml:space="preserve"> </w:t>
      </w:r>
      <w:r>
        <w:rPr>
          <w:color w:val="231F20"/>
        </w:rPr>
        <w:t>services</w:t>
      </w:r>
      <w:r>
        <w:rPr>
          <w:color w:val="231F20"/>
          <w:spacing w:val="-16"/>
        </w:rPr>
        <w:t xml:space="preserve"> </w:t>
      </w:r>
      <w:r>
        <w:rPr>
          <w:color w:val="231F20"/>
        </w:rPr>
        <w:t>(SMOH,</w:t>
      </w:r>
      <w:r>
        <w:rPr>
          <w:color w:val="231F20"/>
          <w:spacing w:val="-15"/>
        </w:rPr>
        <w:t xml:space="preserve"> </w:t>
      </w:r>
      <w:r>
        <w:rPr>
          <w:color w:val="231F20"/>
        </w:rPr>
        <w:t>Women</w:t>
      </w:r>
      <w:r>
        <w:rPr>
          <w:color w:val="231F20"/>
          <w:spacing w:val="-27"/>
        </w:rPr>
        <w:t xml:space="preserve"> </w:t>
      </w:r>
      <w:r>
        <w:rPr>
          <w:color w:val="231F20"/>
        </w:rPr>
        <w:t>Affairs,</w:t>
      </w:r>
      <w:r>
        <w:rPr>
          <w:color w:val="231F20"/>
          <w:spacing w:val="-19"/>
        </w:rPr>
        <w:t xml:space="preserve"> </w:t>
      </w:r>
      <w:r>
        <w:rPr>
          <w:color w:val="231F20"/>
          <w:spacing w:val="-5"/>
        </w:rPr>
        <w:t>Youth</w:t>
      </w:r>
      <w:r>
        <w:rPr>
          <w:color w:val="231F20"/>
          <w:spacing w:val="-15"/>
        </w:rPr>
        <w:t xml:space="preserve"> </w:t>
      </w:r>
      <w:r>
        <w:rPr>
          <w:color w:val="231F20"/>
        </w:rPr>
        <w:t>&amp;</w:t>
      </w:r>
      <w:r>
        <w:rPr>
          <w:color w:val="231F20"/>
          <w:spacing w:val="-16"/>
        </w:rPr>
        <w:t xml:space="preserve"> </w:t>
      </w:r>
      <w:r>
        <w:rPr>
          <w:color w:val="231F20"/>
        </w:rPr>
        <w:t xml:space="preserve">Empowerment, Sports, Finance, Chieftaincy, Justice, Agriculture, Media, CBOs, FBOs </w:t>
      </w:r>
      <w:proofErr w:type="spellStart"/>
      <w:r>
        <w:rPr>
          <w:color w:val="231F20"/>
        </w:rPr>
        <w:t>etc</w:t>
      </w:r>
      <w:proofErr w:type="spellEnd"/>
      <w:r>
        <w:rPr>
          <w:color w:val="231F20"/>
        </w:rPr>
        <w:t>) to ensure positive adolescent</w:t>
      </w:r>
      <w:r>
        <w:rPr>
          <w:color w:val="231F20"/>
          <w:spacing w:val="-7"/>
        </w:rPr>
        <w:t xml:space="preserve"> </w:t>
      </w:r>
      <w:proofErr w:type="spellStart"/>
      <w:r>
        <w:rPr>
          <w:color w:val="231F20"/>
        </w:rPr>
        <w:t>behaviour</w:t>
      </w:r>
      <w:proofErr w:type="spellEnd"/>
      <w:r>
        <w:rPr>
          <w:color w:val="231F20"/>
        </w:rPr>
        <w:t>;</w:t>
      </w:r>
      <w:r>
        <w:rPr>
          <w:color w:val="231F20"/>
          <w:spacing w:val="-17"/>
        </w:rPr>
        <w:t xml:space="preserve"> </w:t>
      </w:r>
      <w:r>
        <w:rPr>
          <w:color w:val="231F20"/>
        </w:rPr>
        <w:t>Advocate</w:t>
      </w:r>
      <w:r>
        <w:rPr>
          <w:color w:val="231F20"/>
          <w:spacing w:val="-6"/>
        </w:rPr>
        <w:t xml:space="preserve"> </w:t>
      </w:r>
      <w:r>
        <w:rPr>
          <w:color w:val="231F20"/>
        </w:rPr>
        <w:t>for</w:t>
      </w:r>
      <w:r>
        <w:rPr>
          <w:color w:val="231F20"/>
          <w:spacing w:val="-6"/>
        </w:rPr>
        <w:t xml:space="preserve"> </w:t>
      </w:r>
      <w:r>
        <w:rPr>
          <w:color w:val="231F20"/>
        </w:rPr>
        <w:t>revival</w:t>
      </w:r>
      <w:r>
        <w:rPr>
          <w:color w:val="231F20"/>
          <w:spacing w:val="-6"/>
        </w:rPr>
        <w:t xml:space="preserve"> </w:t>
      </w:r>
      <w:r>
        <w:rPr>
          <w:color w:val="231F20"/>
        </w:rPr>
        <w:t>of</w:t>
      </w:r>
      <w:r>
        <w:rPr>
          <w:color w:val="231F20"/>
          <w:spacing w:val="-6"/>
        </w:rPr>
        <w:t xml:space="preserve"> </w:t>
      </w:r>
      <w:r>
        <w:rPr>
          <w:color w:val="231F20"/>
        </w:rPr>
        <w:t>Peer</w:t>
      </w:r>
      <w:r>
        <w:rPr>
          <w:color w:val="231F20"/>
          <w:spacing w:val="-10"/>
        </w:rPr>
        <w:t xml:space="preserve"> </w:t>
      </w:r>
      <w:r>
        <w:rPr>
          <w:color w:val="231F20"/>
          <w:spacing w:val="-13"/>
        </w:rPr>
        <w:t>To</w:t>
      </w:r>
      <w:r>
        <w:rPr>
          <w:color w:val="231F20"/>
          <w:spacing w:val="-6"/>
        </w:rPr>
        <w:t xml:space="preserve"> </w:t>
      </w:r>
      <w:r>
        <w:rPr>
          <w:color w:val="231F20"/>
        </w:rPr>
        <w:t>Peer</w:t>
      </w:r>
      <w:r>
        <w:rPr>
          <w:color w:val="231F20"/>
          <w:spacing w:val="-6"/>
        </w:rPr>
        <w:t xml:space="preserve"> </w:t>
      </w:r>
      <w:r>
        <w:rPr>
          <w:color w:val="231F20"/>
        </w:rPr>
        <w:t>Health</w:t>
      </w:r>
      <w:r>
        <w:rPr>
          <w:color w:val="231F20"/>
          <w:spacing w:val="-6"/>
        </w:rPr>
        <w:t xml:space="preserve"> </w:t>
      </w:r>
      <w:r>
        <w:rPr>
          <w:color w:val="231F20"/>
        </w:rPr>
        <w:t>Education;</w:t>
      </w:r>
      <w:r>
        <w:rPr>
          <w:color w:val="231F20"/>
          <w:spacing w:val="-6"/>
        </w:rPr>
        <w:t xml:space="preserve"> </w:t>
      </w:r>
      <w:r>
        <w:rPr>
          <w:color w:val="231F20"/>
        </w:rPr>
        <w:t>Conduct</w:t>
      </w:r>
      <w:r>
        <w:rPr>
          <w:color w:val="231F20"/>
          <w:spacing w:val="-6"/>
        </w:rPr>
        <w:t xml:space="preserve"> </w:t>
      </w:r>
      <w:r>
        <w:rPr>
          <w:color w:val="231F20"/>
        </w:rPr>
        <w:t xml:space="preserve">advocacy visits to relevant stakeholders </w:t>
      </w:r>
      <w:proofErr w:type="spellStart"/>
      <w:r>
        <w:rPr>
          <w:color w:val="231F20"/>
        </w:rPr>
        <w:t>e.g</w:t>
      </w:r>
      <w:proofErr w:type="spellEnd"/>
      <w:r>
        <w:rPr>
          <w:color w:val="231F20"/>
        </w:rPr>
        <w:t xml:space="preserve"> SMOH, SMOE, PHCMB, Women Affairs, </w:t>
      </w:r>
      <w:r>
        <w:rPr>
          <w:color w:val="231F20"/>
          <w:spacing w:val="-5"/>
        </w:rPr>
        <w:t xml:space="preserve">Youth </w:t>
      </w:r>
      <w:r>
        <w:rPr>
          <w:color w:val="231F20"/>
        </w:rPr>
        <w:t xml:space="preserve">&amp; Empowerment, Sports, NDLEA, FRSC </w:t>
      </w:r>
      <w:proofErr w:type="spellStart"/>
      <w:r>
        <w:rPr>
          <w:color w:val="231F20"/>
        </w:rPr>
        <w:t>etc</w:t>
      </w:r>
      <w:proofErr w:type="spellEnd"/>
      <w:r>
        <w:rPr>
          <w:color w:val="231F20"/>
        </w:rPr>
        <w:t xml:space="preserve"> to mobilize them to support promotion of positive adolescent </w:t>
      </w:r>
      <w:proofErr w:type="spellStart"/>
      <w:r>
        <w:rPr>
          <w:color w:val="231F20"/>
        </w:rPr>
        <w:t>behaviour</w:t>
      </w:r>
      <w:proofErr w:type="spellEnd"/>
      <w:r>
        <w:rPr>
          <w:color w:val="231F20"/>
        </w:rPr>
        <w:t xml:space="preserve"> change in Schools; Conduct sensitization/advocacy visits to schools </w:t>
      </w:r>
      <w:r>
        <w:rPr>
          <w:color w:val="231F20"/>
          <w:spacing w:val="-7"/>
        </w:rPr>
        <w:t xml:space="preserve">on </w:t>
      </w:r>
      <w:r>
        <w:rPr>
          <w:color w:val="231F20"/>
        </w:rPr>
        <w:t xml:space="preserve">positive adolescent </w:t>
      </w:r>
      <w:proofErr w:type="spellStart"/>
      <w:r>
        <w:rPr>
          <w:color w:val="231F20"/>
        </w:rPr>
        <w:t>behaviour</w:t>
      </w:r>
      <w:proofErr w:type="spellEnd"/>
      <w:r>
        <w:rPr>
          <w:color w:val="231F20"/>
        </w:rPr>
        <w:t xml:space="preserve"> change; Engage media advocacy and sensitization to promote positive</w:t>
      </w:r>
      <w:r>
        <w:rPr>
          <w:color w:val="231F20"/>
          <w:spacing w:val="-25"/>
        </w:rPr>
        <w:t xml:space="preserve"> </w:t>
      </w:r>
      <w:r>
        <w:rPr>
          <w:color w:val="231F20"/>
        </w:rPr>
        <w:t>adolescent</w:t>
      </w:r>
      <w:r>
        <w:rPr>
          <w:color w:val="231F20"/>
          <w:spacing w:val="-25"/>
        </w:rPr>
        <w:t xml:space="preserve"> </w:t>
      </w:r>
      <w:proofErr w:type="spellStart"/>
      <w:r>
        <w:rPr>
          <w:color w:val="231F20"/>
        </w:rPr>
        <w:t>behaviour</w:t>
      </w:r>
      <w:proofErr w:type="spellEnd"/>
      <w:r>
        <w:rPr>
          <w:color w:val="231F20"/>
          <w:spacing w:val="-26"/>
        </w:rPr>
        <w:t xml:space="preserve"> </w:t>
      </w:r>
      <w:r>
        <w:rPr>
          <w:color w:val="231F20"/>
        </w:rPr>
        <w:t>change.</w:t>
      </w:r>
    </w:p>
    <w:p w14:paraId="31FF9C90" w14:textId="77777777" w:rsidR="009948F1" w:rsidRDefault="009948F1">
      <w:pPr>
        <w:pStyle w:val="BodyText"/>
        <w:spacing w:before="2"/>
        <w:rPr>
          <w:sz w:val="24"/>
        </w:rPr>
      </w:pPr>
    </w:p>
    <w:p w14:paraId="36260FBD" w14:textId="50E3DDFB" w:rsidR="009948F1" w:rsidRDefault="00BC0563">
      <w:pPr>
        <w:pStyle w:val="ListParagraph"/>
        <w:numPr>
          <w:ilvl w:val="3"/>
          <w:numId w:val="293"/>
        </w:numPr>
        <w:tabs>
          <w:tab w:val="left" w:pos="917"/>
        </w:tabs>
        <w:spacing w:before="1" w:line="261" w:lineRule="auto"/>
        <w:ind w:left="167" w:right="200" w:firstLine="0"/>
      </w:pPr>
      <w:r>
        <w:rPr>
          <w:color w:val="231F20"/>
        </w:rPr>
        <w:t xml:space="preserve">Expand access to quality adolescent reproductive health services. Key actions include; Conduct comprehensive sexual and reproductive health education for in- and </w:t>
      </w:r>
      <w:proofErr w:type="spellStart"/>
      <w:r>
        <w:rPr>
          <w:color w:val="231F20"/>
        </w:rPr>
        <w:t>out-of</w:t>
      </w:r>
      <w:proofErr w:type="spellEnd"/>
      <w:r>
        <w:rPr>
          <w:color w:val="231F20"/>
        </w:rPr>
        <w:t xml:space="preserve"> school adolescents;</w:t>
      </w:r>
      <w:r>
        <w:rPr>
          <w:color w:val="231F20"/>
          <w:spacing w:val="-5"/>
        </w:rPr>
        <w:t xml:space="preserve"> </w:t>
      </w:r>
      <w:r>
        <w:rPr>
          <w:color w:val="231F20"/>
        </w:rPr>
        <w:t>Provide</w:t>
      </w:r>
      <w:r>
        <w:rPr>
          <w:color w:val="231F20"/>
          <w:spacing w:val="-4"/>
        </w:rPr>
        <w:t xml:space="preserve"> </w:t>
      </w:r>
      <w:r>
        <w:rPr>
          <w:color w:val="231F20"/>
        </w:rPr>
        <w:t>Family</w:t>
      </w:r>
      <w:r>
        <w:rPr>
          <w:color w:val="231F20"/>
          <w:spacing w:val="-4"/>
        </w:rPr>
        <w:t xml:space="preserve"> </w:t>
      </w:r>
      <w:r>
        <w:rPr>
          <w:color w:val="231F20"/>
        </w:rPr>
        <w:t>Planning</w:t>
      </w:r>
      <w:r>
        <w:rPr>
          <w:color w:val="231F20"/>
          <w:spacing w:val="-4"/>
        </w:rPr>
        <w:t xml:space="preserve"> </w:t>
      </w:r>
      <w:r>
        <w:rPr>
          <w:color w:val="231F20"/>
        </w:rPr>
        <w:t>Services</w:t>
      </w:r>
      <w:r>
        <w:rPr>
          <w:color w:val="231F20"/>
          <w:spacing w:val="-4"/>
        </w:rPr>
        <w:t xml:space="preserve"> </w:t>
      </w:r>
      <w:r>
        <w:rPr>
          <w:color w:val="231F20"/>
        </w:rPr>
        <w:t>in</w:t>
      </w:r>
      <w:r>
        <w:rPr>
          <w:color w:val="231F20"/>
          <w:spacing w:val="-4"/>
        </w:rPr>
        <w:t xml:space="preserve"> </w:t>
      </w:r>
      <w:r>
        <w:rPr>
          <w:color w:val="231F20"/>
        </w:rPr>
        <w:t>secondary</w:t>
      </w:r>
      <w:r>
        <w:rPr>
          <w:color w:val="231F20"/>
          <w:spacing w:val="-4"/>
        </w:rPr>
        <w:t xml:space="preserve"> </w:t>
      </w:r>
      <w:r>
        <w:rPr>
          <w:color w:val="231F20"/>
        </w:rPr>
        <w:t>schools</w:t>
      </w:r>
      <w:r>
        <w:rPr>
          <w:color w:val="231F20"/>
          <w:spacing w:val="-4"/>
        </w:rPr>
        <w:t xml:space="preserve"> </w:t>
      </w:r>
      <w:r>
        <w:rPr>
          <w:color w:val="231F20"/>
        </w:rPr>
        <w:t>(include</w:t>
      </w:r>
      <w:r>
        <w:rPr>
          <w:color w:val="231F20"/>
          <w:spacing w:val="-5"/>
        </w:rPr>
        <w:t xml:space="preserve"> </w:t>
      </w:r>
      <w:r>
        <w:rPr>
          <w:color w:val="231F20"/>
        </w:rPr>
        <w:t>HPV</w:t>
      </w:r>
      <w:r>
        <w:rPr>
          <w:color w:val="231F20"/>
          <w:spacing w:val="-4"/>
        </w:rPr>
        <w:t xml:space="preserve"> </w:t>
      </w:r>
      <w:r>
        <w:rPr>
          <w:color w:val="231F20"/>
        </w:rPr>
        <w:t>vaccine</w:t>
      </w:r>
      <w:r>
        <w:rPr>
          <w:color w:val="231F20"/>
          <w:spacing w:val="-4"/>
        </w:rPr>
        <w:t xml:space="preserve"> </w:t>
      </w:r>
      <w:r>
        <w:rPr>
          <w:color w:val="231F20"/>
        </w:rPr>
        <w:t>&amp;</w:t>
      </w:r>
      <w:r>
        <w:rPr>
          <w:color w:val="231F20"/>
          <w:spacing w:val="-8"/>
        </w:rPr>
        <w:t xml:space="preserve"> </w:t>
      </w:r>
      <w:r>
        <w:rPr>
          <w:color w:val="231F20"/>
        </w:rPr>
        <w:t>TT immunization);</w:t>
      </w:r>
      <w:r>
        <w:rPr>
          <w:color w:val="231F20"/>
          <w:spacing w:val="-16"/>
        </w:rPr>
        <w:t xml:space="preserve"> </w:t>
      </w:r>
      <w:r>
        <w:rPr>
          <w:color w:val="231F20"/>
        </w:rPr>
        <w:t>Give</w:t>
      </w:r>
      <w:r>
        <w:rPr>
          <w:color w:val="231F20"/>
          <w:spacing w:val="-15"/>
        </w:rPr>
        <w:t xml:space="preserve"> </w:t>
      </w:r>
      <w:r>
        <w:rPr>
          <w:color w:val="231F20"/>
        </w:rPr>
        <w:t>Health</w:t>
      </w:r>
      <w:r>
        <w:rPr>
          <w:color w:val="231F20"/>
          <w:spacing w:val="-15"/>
        </w:rPr>
        <w:t xml:space="preserve"> </w:t>
      </w:r>
      <w:r>
        <w:rPr>
          <w:color w:val="231F20"/>
        </w:rPr>
        <w:t>Education</w:t>
      </w:r>
      <w:r>
        <w:rPr>
          <w:color w:val="231F20"/>
          <w:spacing w:val="-15"/>
        </w:rPr>
        <w:t xml:space="preserve"> </w:t>
      </w:r>
      <w:r>
        <w:rPr>
          <w:color w:val="231F20"/>
        </w:rPr>
        <w:t>on</w:t>
      </w:r>
      <w:r>
        <w:rPr>
          <w:color w:val="231F20"/>
          <w:spacing w:val="-15"/>
        </w:rPr>
        <w:t xml:space="preserve"> </w:t>
      </w:r>
      <w:r>
        <w:rPr>
          <w:color w:val="231F20"/>
        </w:rPr>
        <w:t>Family</w:t>
      </w:r>
      <w:r>
        <w:rPr>
          <w:color w:val="231F20"/>
          <w:spacing w:val="-15"/>
        </w:rPr>
        <w:t xml:space="preserve"> </w:t>
      </w:r>
      <w:r>
        <w:rPr>
          <w:color w:val="231F20"/>
        </w:rPr>
        <w:t>Life</w:t>
      </w:r>
      <w:r>
        <w:rPr>
          <w:color w:val="231F20"/>
          <w:spacing w:val="-15"/>
        </w:rPr>
        <w:t xml:space="preserve"> </w:t>
      </w:r>
      <w:r>
        <w:rPr>
          <w:color w:val="231F20"/>
        </w:rPr>
        <w:t>Education,</w:t>
      </w:r>
      <w:r>
        <w:rPr>
          <w:color w:val="231F20"/>
          <w:spacing w:val="-15"/>
        </w:rPr>
        <w:t xml:space="preserve"> </w:t>
      </w:r>
      <w:r>
        <w:rPr>
          <w:color w:val="231F20"/>
        </w:rPr>
        <w:t>Nutrition,</w:t>
      </w:r>
      <w:r>
        <w:rPr>
          <w:color w:val="231F20"/>
          <w:spacing w:val="-15"/>
        </w:rPr>
        <w:t xml:space="preserve"> </w:t>
      </w:r>
      <w:r>
        <w:rPr>
          <w:color w:val="231F20"/>
        </w:rPr>
        <w:t>Sex</w:t>
      </w:r>
      <w:r>
        <w:rPr>
          <w:color w:val="231F20"/>
          <w:spacing w:val="-16"/>
        </w:rPr>
        <w:t xml:space="preserve"> </w:t>
      </w:r>
      <w:r>
        <w:rPr>
          <w:color w:val="231F20"/>
        </w:rPr>
        <w:t>Education,</w:t>
      </w:r>
      <w:r>
        <w:rPr>
          <w:color w:val="231F20"/>
          <w:spacing w:val="-15"/>
        </w:rPr>
        <w:t xml:space="preserve"> </w:t>
      </w:r>
      <w:r>
        <w:rPr>
          <w:color w:val="231F20"/>
        </w:rPr>
        <w:t xml:space="preserve">Gender equality </w:t>
      </w:r>
      <w:proofErr w:type="spellStart"/>
      <w:r>
        <w:rPr>
          <w:color w:val="231F20"/>
        </w:rPr>
        <w:t>e</w:t>
      </w:r>
      <w:r w:rsidR="001D7055">
        <w:rPr>
          <w:color w:val="231F20"/>
        </w:rPr>
        <w:t>.</w:t>
      </w:r>
      <w:r>
        <w:rPr>
          <w:color w:val="231F20"/>
        </w:rPr>
        <w:t>t</w:t>
      </w:r>
      <w:r w:rsidR="001D7055">
        <w:rPr>
          <w:color w:val="231F20"/>
        </w:rPr>
        <w:t>.</w:t>
      </w:r>
      <w:r>
        <w:rPr>
          <w:color w:val="231F20"/>
        </w:rPr>
        <w:t>c</w:t>
      </w:r>
      <w:proofErr w:type="spellEnd"/>
      <w:r>
        <w:rPr>
          <w:color w:val="231F20"/>
        </w:rPr>
        <w:t xml:space="preserve"> in schools; Provide Career </w:t>
      </w:r>
      <w:r w:rsidR="00DE6DF0">
        <w:rPr>
          <w:color w:val="231F20"/>
        </w:rPr>
        <w:t>Counseling</w:t>
      </w:r>
      <w:r>
        <w:rPr>
          <w:color w:val="231F20"/>
        </w:rPr>
        <w:t xml:space="preserve">, Integrate </w:t>
      </w:r>
      <w:r>
        <w:rPr>
          <w:color w:val="231F20"/>
          <w:spacing w:val="-5"/>
        </w:rPr>
        <w:t xml:space="preserve">Youth </w:t>
      </w:r>
      <w:r>
        <w:rPr>
          <w:color w:val="231F20"/>
        </w:rPr>
        <w:t>friendly ARHS into Primary Health</w:t>
      </w:r>
      <w:r>
        <w:rPr>
          <w:color w:val="231F20"/>
          <w:spacing w:val="-25"/>
        </w:rPr>
        <w:t xml:space="preserve"> </w:t>
      </w:r>
      <w:r>
        <w:rPr>
          <w:color w:val="231F20"/>
        </w:rPr>
        <w:t>Centre.</w:t>
      </w:r>
    </w:p>
    <w:p w14:paraId="6D368DD0" w14:textId="77777777" w:rsidR="009948F1" w:rsidRDefault="009948F1">
      <w:pPr>
        <w:pStyle w:val="BodyText"/>
        <w:spacing w:before="1"/>
        <w:rPr>
          <w:sz w:val="24"/>
        </w:rPr>
      </w:pPr>
    </w:p>
    <w:p w14:paraId="60EB61B1" w14:textId="77777777" w:rsidR="009948F1" w:rsidRDefault="00BC0563">
      <w:pPr>
        <w:pStyle w:val="ListParagraph"/>
        <w:numPr>
          <w:ilvl w:val="3"/>
          <w:numId w:val="293"/>
        </w:numPr>
        <w:tabs>
          <w:tab w:val="left" w:pos="897"/>
        </w:tabs>
        <w:spacing w:line="261" w:lineRule="auto"/>
        <w:ind w:left="167" w:right="200" w:firstLine="0"/>
      </w:pPr>
      <w:r>
        <w:rPr>
          <w:color w:val="231F20"/>
        </w:rPr>
        <w:t>Strengthen</w:t>
      </w:r>
      <w:r>
        <w:rPr>
          <w:color w:val="231F20"/>
          <w:spacing w:val="-7"/>
        </w:rPr>
        <w:t xml:space="preserve"> </w:t>
      </w:r>
      <w:r>
        <w:rPr>
          <w:color w:val="231F20"/>
        </w:rPr>
        <w:t>prevention,</w:t>
      </w:r>
      <w:r>
        <w:rPr>
          <w:color w:val="231F20"/>
          <w:spacing w:val="-6"/>
        </w:rPr>
        <w:t xml:space="preserve"> </w:t>
      </w:r>
      <w:r>
        <w:rPr>
          <w:color w:val="231F20"/>
        </w:rPr>
        <w:t>detection,</w:t>
      </w:r>
      <w:r>
        <w:rPr>
          <w:color w:val="231F20"/>
          <w:spacing w:val="-6"/>
        </w:rPr>
        <w:t xml:space="preserve"> </w:t>
      </w:r>
      <w:r>
        <w:rPr>
          <w:color w:val="231F20"/>
        </w:rPr>
        <w:t>and</w:t>
      </w:r>
      <w:r>
        <w:rPr>
          <w:color w:val="231F20"/>
          <w:spacing w:val="-6"/>
        </w:rPr>
        <w:t xml:space="preserve"> </w:t>
      </w:r>
      <w:r>
        <w:rPr>
          <w:color w:val="231F20"/>
        </w:rPr>
        <w:t>management</w:t>
      </w:r>
      <w:r>
        <w:rPr>
          <w:color w:val="231F20"/>
          <w:spacing w:val="-6"/>
        </w:rPr>
        <w:t xml:space="preserve"> </w:t>
      </w:r>
      <w:r>
        <w:rPr>
          <w:color w:val="231F20"/>
        </w:rPr>
        <w:t>of</w:t>
      </w:r>
      <w:r>
        <w:rPr>
          <w:color w:val="231F20"/>
          <w:spacing w:val="-6"/>
        </w:rPr>
        <w:t xml:space="preserve"> </w:t>
      </w:r>
      <w:r>
        <w:rPr>
          <w:color w:val="231F20"/>
        </w:rPr>
        <w:t>HIV</w:t>
      </w:r>
      <w:r>
        <w:rPr>
          <w:color w:val="231F20"/>
          <w:spacing w:val="-6"/>
        </w:rPr>
        <w:t xml:space="preserve"> </w:t>
      </w:r>
      <w:r>
        <w:rPr>
          <w:color w:val="231F20"/>
        </w:rPr>
        <w:t>and</w:t>
      </w:r>
      <w:r>
        <w:rPr>
          <w:color w:val="231F20"/>
          <w:spacing w:val="-6"/>
        </w:rPr>
        <w:t xml:space="preserve"> </w:t>
      </w:r>
      <w:r>
        <w:rPr>
          <w:color w:val="231F20"/>
        </w:rPr>
        <w:t>STIs</w:t>
      </w:r>
      <w:r>
        <w:rPr>
          <w:color w:val="231F20"/>
          <w:spacing w:val="-6"/>
        </w:rPr>
        <w:t xml:space="preserve"> </w:t>
      </w:r>
      <w:r>
        <w:rPr>
          <w:color w:val="231F20"/>
        </w:rPr>
        <w:t>among</w:t>
      </w:r>
      <w:r>
        <w:rPr>
          <w:color w:val="231F20"/>
          <w:spacing w:val="-6"/>
        </w:rPr>
        <w:t xml:space="preserve"> </w:t>
      </w:r>
      <w:r>
        <w:rPr>
          <w:color w:val="231F20"/>
        </w:rPr>
        <w:t xml:space="preserve">adolescents. Key actions include; Conduct sensitization meetings with </w:t>
      </w:r>
      <w:r>
        <w:rPr>
          <w:color w:val="231F20"/>
          <w:spacing w:val="-8"/>
        </w:rPr>
        <w:t xml:space="preserve">MOY, </w:t>
      </w:r>
      <w:r>
        <w:rPr>
          <w:color w:val="231F20"/>
        </w:rPr>
        <w:t>MOE, CBOs, FBOs, YBOs for support</w:t>
      </w:r>
      <w:r>
        <w:rPr>
          <w:color w:val="231F20"/>
          <w:spacing w:val="-8"/>
        </w:rPr>
        <w:t xml:space="preserve"> </w:t>
      </w:r>
      <w:r>
        <w:rPr>
          <w:color w:val="231F20"/>
        </w:rPr>
        <w:t>in</w:t>
      </w:r>
      <w:r>
        <w:rPr>
          <w:color w:val="231F20"/>
          <w:spacing w:val="-7"/>
        </w:rPr>
        <w:t xml:space="preserve"> </w:t>
      </w:r>
      <w:r>
        <w:rPr>
          <w:color w:val="231F20"/>
        </w:rPr>
        <w:t>prevention,</w:t>
      </w:r>
      <w:r>
        <w:rPr>
          <w:color w:val="231F20"/>
          <w:spacing w:val="-8"/>
        </w:rPr>
        <w:t xml:space="preserve"> </w:t>
      </w:r>
      <w:r>
        <w:rPr>
          <w:color w:val="231F20"/>
        </w:rPr>
        <w:t>detection</w:t>
      </w:r>
      <w:r>
        <w:rPr>
          <w:color w:val="231F20"/>
          <w:spacing w:val="-7"/>
        </w:rPr>
        <w:t xml:space="preserve"> </w:t>
      </w:r>
      <w:r>
        <w:rPr>
          <w:color w:val="231F20"/>
        </w:rPr>
        <w:t>&amp;</w:t>
      </w:r>
      <w:r>
        <w:rPr>
          <w:color w:val="231F20"/>
          <w:spacing w:val="-7"/>
        </w:rPr>
        <w:t xml:space="preserve"> </w:t>
      </w:r>
      <w:r>
        <w:rPr>
          <w:color w:val="231F20"/>
        </w:rPr>
        <w:t>management</w:t>
      </w:r>
      <w:r>
        <w:rPr>
          <w:color w:val="231F20"/>
          <w:spacing w:val="-8"/>
        </w:rPr>
        <w:t xml:space="preserve"> </w:t>
      </w:r>
      <w:r>
        <w:rPr>
          <w:color w:val="231F20"/>
        </w:rPr>
        <w:t>of</w:t>
      </w:r>
      <w:r>
        <w:rPr>
          <w:color w:val="231F20"/>
          <w:spacing w:val="-7"/>
        </w:rPr>
        <w:t xml:space="preserve"> </w:t>
      </w:r>
      <w:r>
        <w:rPr>
          <w:color w:val="231F20"/>
        </w:rPr>
        <w:t>HIV</w:t>
      </w:r>
      <w:r>
        <w:rPr>
          <w:color w:val="231F20"/>
          <w:spacing w:val="-7"/>
        </w:rPr>
        <w:t xml:space="preserve"> </w:t>
      </w:r>
      <w:r>
        <w:rPr>
          <w:color w:val="231F20"/>
        </w:rPr>
        <w:t>&amp;</w:t>
      </w:r>
      <w:r>
        <w:rPr>
          <w:color w:val="231F20"/>
          <w:spacing w:val="-8"/>
        </w:rPr>
        <w:t xml:space="preserve"> </w:t>
      </w:r>
      <w:r>
        <w:rPr>
          <w:color w:val="231F20"/>
        </w:rPr>
        <w:t>STIs</w:t>
      </w:r>
      <w:r>
        <w:rPr>
          <w:color w:val="231F20"/>
          <w:spacing w:val="-7"/>
        </w:rPr>
        <w:t xml:space="preserve"> </w:t>
      </w:r>
      <w:r>
        <w:rPr>
          <w:color w:val="231F20"/>
        </w:rPr>
        <w:t>among</w:t>
      </w:r>
      <w:r>
        <w:rPr>
          <w:color w:val="231F20"/>
          <w:spacing w:val="-8"/>
        </w:rPr>
        <w:t xml:space="preserve"> </w:t>
      </w:r>
      <w:r>
        <w:rPr>
          <w:color w:val="231F20"/>
        </w:rPr>
        <w:t>adolescents;</w:t>
      </w:r>
      <w:r>
        <w:rPr>
          <w:color w:val="231F20"/>
          <w:spacing w:val="-7"/>
        </w:rPr>
        <w:t xml:space="preserve"> </w:t>
      </w:r>
      <w:r>
        <w:rPr>
          <w:color w:val="231F20"/>
        </w:rPr>
        <w:t>Conduct</w:t>
      </w:r>
      <w:r>
        <w:rPr>
          <w:color w:val="231F20"/>
          <w:spacing w:val="-11"/>
        </w:rPr>
        <w:t xml:space="preserve"> </w:t>
      </w:r>
      <w:r>
        <w:rPr>
          <w:color w:val="231F20"/>
        </w:rPr>
        <w:t>TOT for</w:t>
      </w:r>
      <w:r>
        <w:rPr>
          <w:color w:val="231F20"/>
          <w:spacing w:val="-20"/>
        </w:rPr>
        <w:t xml:space="preserve"> </w:t>
      </w:r>
      <w:r>
        <w:rPr>
          <w:color w:val="231F20"/>
        </w:rPr>
        <w:t>secondary</w:t>
      </w:r>
      <w:r>
        <w:rPr>
          <w:color w:val="231F20"/>
          <w:spacing w:val="-19"/>
        </w:rPr>
        <w:t xml:space="preserve"> </w:t>
      </w:r>
      <w:r>
        <w:rPr>
          <w:color w:val="231F20"/>
        </w:rPr>
        <w:t>school</w:t>
      </w:r>
      <w:r>
        <w:rPr>
          <w:color w:val="231F20"/>
          <w:spacing w:val="-19"/>
        </w:rPr>
        <w:t xml:space="preserve"> </w:t>
      </w:r>
      <w:r>
        <w:rPr>
          <w:color w:val="231F20"/>
        </w:rPr>
        <w:t>(JS1</w:t>
      </w:r>
      <w:r>
        <w:rPr>
          <w:color w:val="231F20"/>
          <w:spacing w:val="-19"/>
        </w:rPr>
        <w:t xml:space="preserve"> </w:t>
      </w:r>
      <w:r>
        <w:rPr>
          <w:color w:val="231F20"/>
        </w:rPr>
        <w:t>-</w:t>
      </w:r>
      <w:r>
        <w:rPr>
          <w:color w:val="231F20"/>
          <w:spacing w:val="-19"/>
        </w:rPr>
        <w:t xml:space="preserve"> </w:t>
      </w:r>
      <w:r>
        <w:rPr>
          <w:color w:val="231F20"/>
        </w:rPr>
        <w:t>SS3)</w:t>
      </w:r>
      <w:r>
        <w:rPr>
          <w:color w:val="231F20"/>
          <w:spacing w:val="-19"/>
        </w:rPr>
        <w:t xml:space="preserve"> </w:t>
      </w:r>
      <w:r>
        <w:rPr>
          <w:color w:val="231F20"/>
        </w:rPr>
        <w:t>teachers</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23</w:t>
      </w:r>
      <w:r>
        <w:rPr>
          <w:color w:val="231F20"/>
          <w:spacing w:val="-19"/>
        </w:rPr>
        <w:t xml:space="preserve"> </w:t>
      </w:r>
      <w:r>
        <w:rPr>
          <w:color w:val="231F20"/>
        </w:rPr>
        <w:t>LGAs</w:t>
      </w:r>
      <w:r>
        <w:rPr>
          <w:color w:val="231F20"/>
          <w:spacing w:val="-19"/>
        </w:rPr>
        <w:t xml:space="preserve"> </w:t>
      </w:r>
      <w:r>
        <w:rPr>
          <w:color w:val="231F20"/>
        </w:rPr>
        <w:t>on</w:t>
      </w:r>
      <w:r>
        <w:rPr>
          <w:color w:val="231F20"/>
          <w:spacing w:val="-19"/>
        </w:rPr>
        <w:t xml:space="preserve"> </w:t>
      </w:r>
      <w:r>
        <w:rPr>
          <w:color w:val="231F20"/>
        </w:rPr>
        <w:t>prevention,</w:t>
      </w:r>
      <w:r>
        <w:rPr>
          <w:color w:val="231F20"/>
          <w:spacing w:val="-19"/>
        </w:rPr>
        <w:t xml:space="preserve"> </w:t>
      </w:r>
      <w:r>
        <w:rPr>
          <w:color w:val="231F20"/>
        </w:rPr>
        <w:t>detection</w:t>
      </w:r>
      <w:r>
        <w:rPr>
          <w:color w:val="231F20"/>
          <w:spacing w:val="-20"/>
        </w:rPr>
        <w:t xml:space="preserve"> </w:t>
      </w:r>
      <w:r>
        <w:rPr>
          <w:color w:val="231F20"/>
        </w:rPr>
        <w:t>&amp;</w:t>
      </w:r>
      <w:r>
        <w:rPr>
          <w:color w:val="231F20"/>
          <w:spacing w:val="-19"/>
        </w:rPr>
        <w:t xml:space="preserve"> </w:t>
      </w:r>
      <w:r>
        <w:rPr>
          <w:color w:val="231F20"/>
        </w:rPr>
        <w:t>management of HIV &amp; STIs among adolescents; Train JSS1 - SS3 students on prevention, detection &amp; management</w:t>
      </w:r>
      <w:r>
        <w:rPr>
          <w:color w:val="231F20"/>
          <w:spacing w:val="-11"/>
        </w:rPr>
        <w:t xml:space="preserve"> </w:t>
      </w:r>
      <w:r>
        <w:rPr>
          <w:color w:val="231F20"/>
        </w:rPr>
        <w:t>of</w:t>
      </w:r>
      <w:r>
        <w:rPr>
          <w:color w:val="231F20"/>
          <w:spacing w:val="-11"/>
        </w:rPr>
        <w:t xml:space="preserve"> </w:t>
      </w:r>
      <w:r>
        <w:rPr>
          <w:color w:val="231F20"/>
        </w:rPr>
        <w:t>HIV</w:t>
      </w:r>
      <w:r>
        <w:rPr>
          <w:color w:val="231F20"/>
          <w:spacing w:val="-11"/>
        </w:rPr>
        <w:t xml:space="preserve"> </w:t>
      </w:r>
      <w:r>
        <w:rPr>
          <w:color w:val="231F20"/>
        </w:rPr>
        <w:t>&amp;</w:t>
      </w:r>
      <w:r>
        <w:rPr>
          <w:color w:val="231F20"/>
          <w:spacing w:val="-10"/>
        </w:rPr>
        <w:t xml:space="preserve"> </w:t>
      </w:r>
      <w:r>
        <w:rPr>
          <w:color w:val="231F20"/>
        </w:rPr>
        <w:t>STIs</w:t>
      </w:r>
      <w:r>
        <w:rPr>
          <w:color w:val="231F20"/>
          <w:spacing w:val="-11"/>
        </w:rPr>
        <w:t xml:space="preserve"> </w:t>
      </w:r>
      <w:r>
        <w:rPr>
          <w:color w:val="231F20"/>
        </w:rPr>
        <w:t>among</w:t>
      </w:r>
      <w:r>
        <w:rPr>
          <w:color w:val="231F20"/>
          <w:spacing w:val="-11"/>
        </w:rPr>
        <w:t xml:space="preserve"> </w:t>
      </w:r>
      <w:r>
        <w:rPr>
          <w:color w:val="231F20"/>
        </w:rPr>
        <w:t>adolescents;</w:t>
      </w:r>
      <w:r>
        <w:rPr>
          <w:color w:val="231F20"/>
          <w:spacing w:val="-14"/>
        </w:rPr>
        <w:t xml:space="preserve"> </w:t>
      </w:r>
      <w:r>
        <w:rPr>
          <w:color w:val="231F20"/>
        </w:rPr>
        <w:t>Train</w:t>
      </w:r>
      <w:r>
        <w:rPr>
          <w:color w:val="231F20"/>
          <w:spacing w:val="-11"/>
        </w:rPr>
        <w:t xml:space="preserve"> </w:t>
      </w:r>
      <w:r>
        <w:rPr>
          <w:color w:val="231F20"/>
        </w:rPr>
        <w:t>female</w:t>
      </w:r>
      <w:r>
        <w:rPr>
          <w:color w:val="231F20"/>
          <w:spacing w:val="-11"/>
        </w:rPr>
        <w:t xml:space="preserve"> </w:t>
      </w:r>
      <w:r>
        <w:rPr>
          <w:color w:val="231F20"/>
        </w:rPr>
        <w:t>secondary</w:t>
      </w:r>
      <w:r>
        <w:rPr>
          <w:color w:val="231F20"/>
          <w:spacing w:val="-10"/>
        </w:rPr>
        <w:t xml:space="preserve"> </w:t>
      </w:r>
      <w:r>
        <w:rPr>
          <w:color w:val="231F20"/>
        </w:rPr>
        <w:t>students</w:t>
      </w:r>
      <w:r>
        <w:rPr>
          <w:color w:val="231F20"/>
          <w:spacing w:val="-11"/>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23</w:t>
      </w:r>
      <w:r>
        <w:rPr>
          <w:color w:val="231F20"/>
          <w:spacing w:val="-11"/>
        </w:rPr>
        <w:t xml:space="preserve"> </w:t>
      </w:r>
      <w:r>
        <w:rPr>
          <w:color w:val="231F20"/>
        </w:rPr>
        <w:t>LGAs on</w:t>
      </w:r>
      <w:r>
        <w:rPr>
          <w:color w:val="231F20"/>
          <w:spacing w:val="-9"/>
        </w:rPr>
        <w:t xml:space="preserve"> </w:t>
      </w:r>
      <w:r>
        <w:rPr>
          <w:color w:val="231F20"/>
        </w:rPr>
        <w:t>cervical</w:t>
      </w:r>
      <w:r>
        <w:rPr>
          <w:color w:val="231F20"/>
          <w:spacing w:val="-7"/>
        </w:rPr>
        <w:t xml:space="preserve"> </w:t>
      </w:r>
      <w:r>
        <w:rPr>
          <w:color w:val="231F20"/>
        </w:rPr>
        <w:t>cancer</w:t>
      </w:r>
      <w:r>
        <w:rPr>
          <w:color w:val="231F20"/>
          <w:spacing w:val="-7"/>
        </w:rPr>
        <w:t xml:space="preserve"> </w:t>
      </w:r>
      <w:r>
        <w:rPr>
          <w:color w:val="231F20"/>
        </w:rPr>
        <w:t>prevention</w:t>
      </w:r>
      <w:r>
        <w:rPr>
          <w:color w:val="231F20"/>
          <w:spacing w:val="-7"/>
        </w:rPr>
        <w:t xml:space="preserve"> </w:t>
      </w:r>
      <w:r>
        <w:rPr>
          <w:color w:val="231F20"/>
        </w:rPr>
        <w:t>&amp;</w:t>
      </w:r>
      <w:r>
        <w:rPr>
          <w:color w:val="231F20"/>
          <w:spacing w:val="-8"/>
        </w:rPr>
        <w:t xml:space="preserve"> </w:t>
      </w:r>
      <w:r>
        <w:rPr>
          <w:color w:val="231F20"/>
        </w:rPr>
        <w:t>awareness</w:t>
      </w:r>
      <w:r>
        <w:rPr>
          <w:color w:val="231F20"/>
          <w:spacing w:val="-7"/>
        </w:rPr>
        <w:t xml:space="preserve"> </w:t>
      </w:r>
      <w:r>
        <w:rPr>
          <w:color w:val="231F20"/>
        </w:rPr>
        <w:t>creation;</w:t>
      </w:r>
      <w:r>
        <w:rPr>
          <w:color w:val="231F20"/>
          <w:spacing w:val="-7"/>
        </w:rPr>
        <w:t xml:space="preserve"> </w:t>
      </w:r>
      <w:r>
        <w:rPr>
          <w:color w:val="231F20"/>
        </w:rPr>
        <w:t>Conduct</w:t>
      </w:r>
      <w:r>
        <w:rPr>
          <w:color w:val="231F20"/>
          <w:spacing w:val="-8"/>
        </w:rPr>
        <w:t xml:space="preserve"> </w:t>
      </w:r>
      <w:r>
        <w:rPr>
          <w:color w:val="231F20"/>
        </w:rPr>
        <w:t>identification</w:t>
      </w:r>
      <w:r>
        <w:rPr>
          <w:color w:val="231F20"/>
          <w:spacing w:val="-7"/>
        </w:rPr>
        <w:t xml:space="preserve"> </w:t>
      </w:r>
      <w:r>
        <w:rPr>
          <w:color w:val="231F20"/>
        </w:rPr>
        <w:t>exercise</w:t>
      </w:r>
      <w:r>
        <w:rPr>
          <w:color w:val="231F20"/>
          <w:spacing w:val="-7"/>
        </w:rPr>
        <w:t xml:space="preserve"> </w:t>
      </w:r>
      <w:r>
        <w:rPr>
          <w:color w:val="231F20"/>
        </w:rPr>
        <w:t>in</w:t>
      </w:r>
      <w:r>
        <w:rPr>
          <w:color w:val="231F20"/>
          <w:spacing w:val="-8"/>
        </w:rPr>
        <w:t xml:space="preserve"> </w:t>
      </w:r>
      <w:r>
        <w:rPr>
          <w:color w:val="231F20"/>
        </w:rPr>
        <w:t>schools</w:t>
      </w:r>
      <w:r>
        <w:rPr>
          <w:color w:val="231F20"/>
          <w:spacing w:val="-7"/>
        </w:rPr>
        <w:t xml:space="preserve"> </w:t>
      </w:r>
      <w:r>
        <w:rPr>
          <w:color w:val="231F20"/>
        </w:rPr>
        <w:t>in the</w:t>
      </w:r>
      <w:r>
        <w:rPr>
          <w:color w:val="231F20"/>
          <w:spacing w:val="-25"/>
        </w:rPr>
        <w:t xml:space="preserve"> </w:t>
      </w:r>
      <w:r>
        <w:rPr>
          <w:color w:val="231F20"/>
        </w:rPr>
        <w:t>state.</w:t>
      </w:r>
    </w:p>
    <w:p w14:paraId="410FAA54" w14:textId="77777777" w:rsidR="009948F1" w:rsidRDefault="009948F1">
      <w:pPr>
        <w:pStyle w:val="BodyText"/>
        <w:spacing w:before="2"/>
        <w:rPr>
          <w:sz w:val="24"/>
        </w:rPr>
      </w:pPr>
    </w:p>
    <w:p w14:paraId="110628FE" w14:textId="60C74097" w:rsidR="009948F1" w:rsidRDefault="00BC0563">
      <w:pPr>
        <w:pStyle w:val="ListParagraph"/>
        <w:numPr>
          <w:ilvl w:val="3"/>
          <w:numId w:val="293"/>
        </w:numPr>
        <w:tabs>
          <w:tab w:val="left" w:pos="906"/>
        </w:tabs>
        <w:spacing w:line="261" w:lineRule="auto"/>
        <w:ind w:left="167" w:right="204" w:firstLine="0"/>
      </w:pPr>
      <w:r>
        <w:rPr>
          <w:color w:val="231F20"/>
        </w:rPr>
        <w:t xml:space="preserve">Promote menstrual hygiene among adolescents. Key actions include;– Conduct TOT </w:t>
      </w:r>
      <w:r>
        <w:rPr>
          <w:color w:val="231F20"/>
          <w:spacing w:val="-4"/>
        </w:rPr>
        <w:t xml:space="preserve">for </w:t>
      </w:r>
      <w:r>
        <w:rPr>
          <w:color w:val="231F20"/>
        </w:rPr>
        <w:t>Health</w:t>
      </w:r>
      <w:r>
        <w:rPr>
          <w:color w:val="231F20"/>
          <w:spacing w:val="-6"/>
        </w:rPr>
        <w:t xml:space="preserve"> </w:t>
      </w:r>
      <w:r>
        <w:rPr>
          <w:color w:val="231F20"/>
        </w:rPr>
        <w:t>Educators</w:t>
      </w:r>
      <w:r>
        <w:rPr>
          <w:color w:val="231F20"/>
          <w:spacing w:val="-5"/>
        </w:rPr>
        <w:t xml:space="preserve"> </w:t>
      </w:r>
      <w:r>
        <w:rPr>
          <w:color w:val="231F20"/>
        </w:rPr>
        <w:t>and</w:t>
      </w:r>
      <w:r>
        <w:rPr>
          <w:color w:val="231F20"/>
          <w:spacing w:val="-5"/>
        </w:rPr>
        <w:t xml:space="preserve"> </w:t>
      </w:r>
      <w:r w:rsidR="00DE6DF0">
        <w:rPr>
          <w:color w:val="231F20"/>
        </w:rPr>
        <w:t>councilors</w:t>
      </w:r>
      <w:r>
        <w:rPr>
          <w:color w:val="231F20"/>
          <w:spacing w:val="-5"/>
        </w:rPr>
        <w:t xml:space="preserve"> </w:t>
      </w:r>
      <w:r>
        <w:rPr>
          <w:color w:val="231F20"/>
        </w:rPr>
        <w:t>from</w:t>
      </w:r>
      <w:r>
        <w:rPr>
          <w:color w:val="231F20"/>
          <w:spacing w:val="-6"/>
        </w:rPr>
        <w:t xml:space="preserve"> </w:t>
      </w:r>
      <w:r>
        <w:rPr>
          <w:color w:val="231F20"/>
        </w:rPr>
        <w:t>concerned</w:t>
      </w:r>
      <w:r>
        <w:rPr>
          <w:color w:val="231F20"/>
          <w:spacing w:val="-6"/>
        </w:rPr>
        <w:t xml:space="preserve"> </w:t>
      </w:r>
      <w:r>
        <w:rPr>
          <w:color w:val="231F20"/>
        </w:rPr>
        <w:t>NGOs</w:t>
      </w:r>
      <w:r>
        <w:rPr>
          <w:color w:val="231F20"/>
          <w:spacing w:val="-6"/>
        </w:rPr>
        <w:t xml:space="preserve"> </w:t>
      </w:r>
      <w:r>
        <w:rPr>
          <w:color w:val="231F20"/>
        </w:rPr>
        <w:t>on</w:t>
      </w:r>
      <w:r>
        <w:rPr>
          <w:color w:val="231F20"/>
          <w:spacing w:val="-5"/>
        </w:rPr>
        <w:t xml:space="preserve"> </w:t>
      </w:r>
      <w:r>
        <w:rPr>
          <w:color w:val="231F20"/>
        </w:rPr>
        <w:t>menstrual</w:t>
      </w:r>
      <w:r>
        <w:rPr>
          <w:color w:val="231F20"/>
          <w:spacing w:val="-5"/>
        </w:rPr>
        <w:t xml:space="preserve"> </w:t>
      </w:r>
      <w:r>
        <w:rPr>
          <w:color w:val="231F20"/>
        </w:rPr>
        <w:t>hygiene</w:t>
      </w:r>
      <w:r>
        <w:rPr>
          <w:color w:val="231F20"/>
          <w:spacing w:val="-5"/>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 xml:space="preserve">LGA/State; Conduct Health Education for secondary school girls in the state on Menstrual hygiene </w:t>
      </w:r>
      <w:r>
        <w:rPr>
          <w:color w:val="231F20"/>
          <w:spacing w:val="-3"/>
        </w:rPr>
        <w:t xml:space="preserve">among </w:t>
      </w:r>
      <w:r>
        <w:rPr>
          <w:color w:val="231F20"/>
        </w:rPr>
        <w:t>adolescents;</w:t>
      </w:r>
      <w:r>
        <w:rPr>
          <w:color w:val="231F20"/>
          <w:spacing w:val="-20"/>
        </w:rPr>
        <w:t xml:space="preserve"> </w:t>
      </w:r>
      <w:r>
        <w:rPr>
          <w:color w:val="231F20"/>
        </w:rPr>
        <w:t>Conduct</w:t>
      </w:r>
      <w:r>
        <w:rPr>
          <w:color w:val="231F20"/>
          <w:spacing w:val="-20"/>
        </w:rPr>
        <w:t xml:space="preserve"> </w:t>
      </w:r>
      <w:r>
        <w:rPr>
          <w:color w:val="231F20"/>
        </w:rPr>
        <w:t>peer</w:t>
      </w:r>
      <w:r>
        <w:rPr>
          <w:color w:val="231F20"/>
          <w:spacing w:val="-20"/>
        </w:rPr>
        <w:t xml:space="preserve"> </w:t>
      </w:r>
      <w:r>
        <w:rPr>
          <w:color w:val="231F20"/>
        </w:rPr>
        <w:t>to</w:t>
      </w:r>
      <w:r>
        <w:rPr>
          <w:color w:val="231F20"/>
          <w:spacing w:val="-20"/>
        </w:rPr>
        <w:t xml:space="preserve"> </w:t>
      </w:r>
      <w:r>
        <w:rPr>
          <w:color w:val="231F20"/>
        </w:rPr>
        <w:t>peer</w:t>
      </w:r>
      <w:r>
        <w:rPr>
          <w:color w:val="231F20"/>
          <w:spacing w:val="-20"/>
        </w:rPr>
        <w:t xml:space="preserve"> </w:t>
      </w:r>
      <w:r>
        <w:rPr>
          <w:color w:val="231F20"/>
        </w:rPr>
        <w:t>education</w:t>
      </w:r>
      <w:r>
        <w:rPr>
          <w:color w:val="231F20"/>
          <w:spacing w:val="-19"/>
        </w:rPr>
        <w:t xml:space="preserve"> </w:t>
      </w:r>
      <w:r>
        <w:rPr>
          <w:color w:val="231F20"/>
        </w:rPr>
        <w:t>in</w:t>
      </w:r>
      <w:r>
        <w:rPr>
          <w:color w:val="231F20"/>
          <w:spacing w:val="-20"/>
        </w:rPr>
        <w:t xml:space="preserve"> </w:t>
      </w:r>
      <w:proofErr w:type="spellStart"/>
      <w:r>
        <w:rPr>
          <w:color w:val="231F20"/>
        </w:rPr>
        <w:t>girls</w:t>
      </w:r>
      <w:proofErr w:type="spellEnd"/>
      <w:r>
        <w:rPr>
          <w:color w:val="231F20"/>
          <w:spacing w:val="-20"/>
        </w:rPr>
        <w:t xml:space="preserve"> </w:t>
      </w:r>
      <w:r>
        <w:rPr>
          <w:color w:val="231F20"/>
        </w:rPr>
        <w:t>schools</w:t>
      </w:r>
      <w:r>
        <w:rPr>
          <w:color w:val="231F20"/>
          <w:spacing w:val="-20"/>
        </w:rPr>
        <w:t xml:space="preserve"> </w:t>
      </w:r>
      <w:r>
        <w:rPr>
          <w:color w:val="231F20"/>
        </w:rPr>
        <w:t>in</w:t>
      </w:r>
      <w:r>
        <w:rPr>
          <w:color w:val="231F20"/>
          <w:spacing w:val="-20"/>
        </w:rPr>
        <w:t xml:space="preserve"> </w:t>
      </w:r>
      <w:r>
        <w:rPr>
          <w:color w:val="231F20"/>
        </w:rPr>
        <w:t>the</w:t>
      </w:r>
      <w:r>
        <w:rPr>
          <w:color w:val="231F20"/>
          <w:spacing w:val="-19"/>
        </w:rPr>
        <w:t xml:space="preserve"> </w:t>
      </w:r>
      <w:r>
        <w:rPr>
          <w:color w:val="231F20"/>
        </w:rPr>
        <w:t>23</w:t>
      </w:r>
      <w:r>
        <w:rPr>
          <w:color w:val="231F20"/>
          <w:spacing w:val="-20"/>
        </w:rPr>
        <w:t xml:space="preserve"> </w:t>
      </w:r>
      <w:r>
        <w:rPr>
          <w:color w:val="231F20"/>
        </w:rPr>
        <w:t>LGAs;</w:t>
      </w:r>
      <w:r>
        <w:rPr>
          <w:color w:val="231F20"/>
          <w:spacing w:val="-20"/>
        </w:rPr>
        <w:t xml:space="preserve"> </w:t>
      </w:r>
      <w:r>
        <w:rPr>
          <w:color w:val="231F20"/>
        </w:rPr>
        <w:t>Purchase</w:t>
      </w:r>
      <w:r>
        <w:rPr>
          <w:color w:val="231F20"/>
          <w:spacing w:val="-20"/>
        </w:rPr>
        <w:t xml:space="preserve"> </w:t>
      </w:r>
      <w:r>
        <w:rPr>
          <w:color w:val="231F20"/>
        </w:rPr>
        <w:t>&amp;</w:t>
      </w:r>
      <w:r>
        <w:rPr>
          <w:color w:val="231F20"/>
          <w:spacing w:val="-20"/>
        </w:rPr>
        <w:t xml:space="preserve"> </w:t>
      </w:r>
      <w:r>
        <w:rPr>
          <w:color w:val="231F20"/>
        </w:rPr>
        <w:t>distribute toiletries</w:t>
      </w:r>
      <w:r>
        <w:rPr>
          <w:color w:val="231F20"/>
          <w:spacing w:val="-25"/>
        </w:rPr>
        <w:t xml:space="preserve"> </w:t>
      </w:r>
      <w:r>
        <w:rPr>
          <w:color w:val="231F20"/>
        </w:rPr>
        <w:t>&amp;</w:t>
      </w:r>
      <w:r>
        <w:rPr>
          <w:color w:val="231F20"/>
          <w:spacing w:val="-26"/>
        </w:rPr>
        <w:t xml:space="preserve"> </w:t>
      </w:r>
      <w:r>
        <w:rPr>
          <w:color w:val="231F20"/>
        </w:rPr>
        <w:t>sanitary</w:t>
      </w:r>
      <w:r>
        <w:rPr>
          <w:color w:val="231F20"/>
          <w:spacing w:val="-25"/>
        </w:rPr>
        <w:t xml:space="preserve"> </w:t>
      </w:r>
      <w:r>
        <w:rPr>
          <w:color w:val="231F20"/>
        </w:rPr>
        <w:t>pad</w:t>
      </w:r>
      <w:r>
        <w:rPr>
          <w:color w:val="231F20"/>
          <w:spacing w:val="-25"/>
        </w:rPr>
        <w:t xml:space="preserve"> </w:t>
      </w:r>
      <w:r>
        <w:rPr>
          <w:color w:val="231F20"/>
        </w:rPr>
        <w:t>to</w:t>
      </w:r>
      <w:r>
        <w:rPr>
          <w:color w:val="231F20"/>
          <w:spacing w:val="-25"/>
        </w:rPr>
        <w:t xml:space="preserve"> </w:t>
      </w:r>
      <w:r>
        <w:rPr>
          <w:color w:val="231F20"/>
        </w:rPr>
        <w:t>secondary</w:t>
      </w:r>
      <w:r>
        <w:rPr>
          <w:color w:val="231F20"/>
          <w:spacing w:val="-25"/>
        </w:rPr>
        <w:t xml:space="preserve"> </w:t>
      </w:r>
      <w:r>
        <w:rPr>
          <w:color w:val="231F20"/>
        </w:rPr>
        <w:t>school</w:t>
      </w:r>
      <w:r>
        <w:rPr>
          <w:color w:val="231F20"/>
          <w:spacing w:val="-25"/>
        </w:rPr>
        <w:t xml:space="preserve"> </w:t>
      </w:r>
      <w:r>
        <w:rPr>
          <w:color w:val="231F20"/>
        </w:rPr>
        <w:t>females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23</w:t>
      </w:r>
      <w:r>
        <w:rPr>
          <w:color w:val="231F20"/>
          <w:spacing w:val="-25"/>
        </w:rPr>
        <w:t xml:space="preserve"> </w:t>
      </w:r>
      <w:r>
        <w:rPr>
          <w:color w:val="231F20"/>
        </w:rPr>
        <w:t>LGA.</w:t>
      </w:r>
    </w:p>
    <w:p w14:paraId="345F4EE6" w14:textId="77777777" w:rsidR="009948F1" w:rsidRDefault="009948F1">
      <w:pPr>
        <w:pStyle w:val="BodyText"/>
        <w:spacing w:before="1"/>
        <w:rPr>
          <w:sz w:val="24"/>
        </w:rPr>
      </w:pPr>
    </w:p>
    <w:p w14:paraId="476290FD" w14:textId="77777777" w:rsidR="009948F1" w:rsidRDefault="00BC0563">
      <w:pPr>
        <w:pStyle w:val="ListParagraph"/>
        <w:numPr>
          <w:ilvl w:val="3"/>
          <w:numId w:val="293"/>
        </w:numPr>
        <w:tabs>
          <w:tab w:val="left" w:pos="914"/>
        </w:tabs>
        <w:spacing w:line="261" w:lineRule="auto"/>
        <w:ind w:left="167" w:right="205" w:firstLine="0"/>
      </w:pPr>
      <w:r>
        <w:rPr>
          <w:color w:val="231F20"/>
        </w:rPr>
        <w:t xml:space="preserve">Scale-up implementation of adolescent sexual and reproductive health education in </w:t>
      </w:r>
      <w:r>
        <w:rPr>
          <w:color w:val="231F20"/>
          <w:spacing w:val="-5"/>
        </w:rPr>
        <w:t xml:space="preserve">the </w:t>
      </w:r>
      <w:r>
        <w:rPr>
          <w:color w:val="231F20"/>
        </w:rPr>
        <w:t>school</w:t>
      </w:r>
      <w:r>
        <w:rPr>
          <w:color w:val="231F20"/>
          <w:spacing w:val="-17"/>
        </w:rPr>
        <w:t xml:space="preserve"> </w:t>
      </w:r>
      <w:r>
        <w:rPr>
          <w:color w:val="231F20"/>
        </w:rPr>
        <w:t>curriculum.</w:t>
      </w:r>
      <w:r>
        <w:rPr>
          <w:color w:val="231F20"/>
          <w:spacing w:val="-16"/>
        </w:rPr>
        <w:t xml:space="preserve"> </w:t>
      </w:r>
      <w:r>
        <w:rPr>
          <w:color w:val="231F20"/>
        </w:rPr>
        <w:t>Key</w:t>
      </w:r>
      <w:r>
        <w:rPr>
          <w:color w:val="231F20"/>
          <w:spacing w:val="-16"/>
        </w:rPr>
        <w:t xml:space="preserve"> </w:t>
      </w:r>
      <w:r>
        <w:rPr>
          <w:color w:val="231F20"/>
        </w:rPr>
        <w:t>actions</w:t>
      </w:r>
      <w:r>
        <w:rPr>
          <w:color w:val="231F20"/>
          <w:spacing w:val="-16"/>
        </w:rPr>
        <w:t xml:space="preserve"> </w:t>
      </w:r>
      <w:r>
        <w:rPr>
          <w:color w:val="231F20"/>
        </w:rPr>
        <w:t>include;</w:t>
      </w:r>
      <w:r>
        <w:rPr>
          <w:color w:val="231F20"/>
          <w:spacing w:val="-16"/>
        </w:rPr>
        <w:t xml:space="preserve"> </w:t>
      </w:r>
      <w:r>
        <w:rPr>
          <w:color w:val="231F20"/>
        </w:rPr>
        <w:t>–</w:t>
      </w:r>
      <w:r>
        <w:rPr>
          <w:color w:val="231F20"/>
          <w:spacing w:val="-28"/>
        </w:rPr>
        <w:t xml:space="preserve"> </w:t>
      </w:r>
      <w:r>
        <w:rPr>
          <w:color w:val="231F20"/>
        </w:rPr>
        <w:t>Advocate</w:t>
      </w:r>
      <w:r>
        <w:rPr>
          <w:color w:val="231F20"/>
          <w:spacing w:val="-16"/>
        </w:rPr>
        <w:t xml:space="preserve"> </w:t>
      </w:r>
      <w:r>
        <w:rPr>
          <w:color w:val="231F20"/>
        </w:rPr>
        <w:t>for</w:t>
      </w:r>
      <w:r>
        <w:rPr>
          <w:color w:val="231F20"/>
          <w:spacing w:val="-16"/>
        </w:rPr>
        <w:t xml:space="preserve"> </w:t>
      </w:r>
      <w:r>
        <w:rPr>
          <w:color w:val="231F20"/>
        </w:rPr>
        <w:t>inclusion</w:t>
      </w:r>
      <w:r>
        <w:rPr>
          <w:color w:val="231F20"/>
          <w:spacing w:val="-17"/>
        </w:rPr>
        <w:t xml:space="preserve"> </w:t>
      </w:r>
      <w:r>
        <w:rPr>
          <w:color w:val="231F20"/>
        </w:rPr>
        <w:t>of</w:t>
      </w:r>
      <w:r>
        <w:rPr>
          <w:color w:val="231F20"/>
          <w:spacing w:val="-16"/>
        </w:rPr>
        <w:t xml:space="preserve"> </w:t>
      </w:r>
      <w:r>
        <w:rPr>
          <w:color w:val="231F20"/>
        </w:rPr>
        <w:t>adolescent</w:t>
      </w:r>
      <w:r>
        <w:rPr>
          <w:color w:val="231F20"/>
          <w:spacing w:val="-16"/>
        </w:rPr>
        <w:t xml:space="preserve"> </w:t>
      </w:r>
      <w:r>
        <w:rPr>
          <w:color w:val="231F20"/>
        </w:rPr>
        <w:t>sexual</w:t>
      </w:r>
      <w:r>
        <w:rPr>
          <w:color w:val="231F20"/>
          <w:spacing w:val="-16"/>
        </w:rPr>
        <w:t xml:space="preserve"> </w:t>
      </w:r>
      <w:r>
        <w:rPr>
          <w:color w:val="231F20"/>
        </w:rPr>
        <w:t xml:space="preserve">reproductive health in the school curriculum; Operating cost for engaging and supervising the contractor to purchase vehicle (Hilux &amp; Bus) for supervision &amp; monitoring of sex education in primary </w:t>
      </w:r>
      <w:r>
        <w:rPr>
          <w:color w:val="231F20"/>
          <w:spacing w:val="-13"/>
        </w:rPr>
        <w:t>&amp;</w:t>
      </w:r>
      <w:r>
        <w:rPr>
          <w:color w:val="231F20"/>
          <w:spacing w:val="35"/>
        </w:rPr>
        <w:t xml:space="preserve"> </w:t>
      </w:r>
      <w:r>
        <w:rPr>
          <w:color w:val="231F20"/>
        </w:rPr>
        <w:t>secondary schools; Conduct periodic supportive supervision &amp; monitoring of implementation of adolescent</w:t>
      </w:r>
      <w:r>
        <w:rPr>
          <w:color w:val="231F20"/>
          <w:spacing w:val="-26"/>
        </w:rPr>
        <w:t xml:space="preserve"> </w:t>
      </w:r>
      <w:r>
        <w:rPr>
          <w:color w:val="231F20"/>
        </w:rPr>
        <w:t>sexual</w:t>
      </w:r>
      <w:r>
        <w:rPr>
          <w:color w:val="231F20"/>
          <w:spacing w:val="-25"/>
        </w:rPr>
        <w:t xml:space="preserve"> </w:t>
      </w:r>
      <w:r>
        <w:rPr>
          <w:color w:val="231F20"/>
        </w:rPr>
        <w:t>and</w:t>
      </w:r>
      <w:r>
        <w:rPr>
          <w:color w:val="231F20"/>
          <w:spacing w:val="-25"/>
        </w:rPr>
        <w:t xml:space="preserve"> </w:t>
      </w:r>
      <w:r>
        <w:rPr>
          <w:color w:val="231F20"/>
        </w:rPr>
        <w:t>reproductive</w:t>
      </w:r>
      <w:r>
        <w:rPr>
          <w:color w:val="231F20"/>
          <w:spacing w:val="-25"/>
        </w:rPr>
        <w:t xml:space="preserve"> </w:t>
      </w:r>
      <w:r>
        <w:rPr>
          <w:color w:val="231F20"/>
        </w:rPr>
        <w:t>health</w:t>
      </w:r>
      <w:r>
        <w:rPr>
          <w:color w:val="231F20"/>
          <w:spacing w:val="-25"/>
        </w:rPr>
        <w:t xml:space="preserve"> </w:t>
      </w:r>
      <w:r>
        <w:rPr>
          <w:color w:val="231F20"/>
        </w:rPr>
        <w:t>education</w:t>
      </w:r>
      <w:r>
        <w:rPr>
          <w:color w:val="231F20"/>
          <w:spacing w:val="-25"/>
        </w:rPr>
        <w:t xml:space="preserve"> </w:t>
      </w:r>
      <w:r>
        <w:rPr>
          <w:color w:val="231F20"/>
        </w:rPr>
        <w:t>in</w:t>
      </w:r>
      <w:r>
        <w:rPr>
          <w:color w:val="231F20"/>
          <w:spacing w:val="-25"/>
        </w:rPr>
        <w:t xml:space="preserve"> </w:t>
      </w:r>
      <w:r>
        <w:rPr>
          <w:color w:val="231F20"/>
        </w:rPr>
        <w:t>schools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2B612609" w14:textId="77777777" w:rsidR="009948F1" w:rsidRDefault="009948F1">
      <w:pPr>
        <w:spacing w:line="261" w:lineRule="auto"/>
        <w:jc w:val="both"/>
        <w:sectPr w:rsidR="009948F1">
          <w:pgSz w:w="11910" w:h="16840"/>
          <w:pgMar w:top="1580" w:right="1080" w:bottom="1420" w:left="1120" w:header="0" w:footer="1235" w:gutter="0"/>
          <w:cols w:space="720"/>
        </w:sectPr>
      </w:pPr>
    </w:p>
    <w:p w14:paraId="48FCDEDE" w14:textId="413CC04D" w:rsidR="009948F1" w:rsidRDefault="00BC0563">
      <w:pPr>
        <w:pStyle w:val="ListParagraph"/>
        <w:numPr>
          <w:ilvl w:val="3"/>
          <w:numId w:val="293"/>
        </w:numPr>
        <w:tabs>
          <w:tab w:val="left" w:pos="907"/>
        </w:tabs>
        <w:spacing w:before="35" w:line="261" w:lineRule="auto"/>
        <w:ind w:left="155" w:right="185" w:firstLine="0"/>
      </w:pPr>
      <w:bookmarkStart w:id="67" w:name="Page_53"/>
      <w:bookmarkEnd w:id="67"/>
      <w:r>
        <w:rPr>
          <w:color w:val="231F20"/>
        </w:rPr>
        <w:lastRenderedPageBreak/>
        <w:t xml:space="preserve">Scale up screening and management of drug use, internet addiction, self-harm, mental health, nutrition disorders and other leading adolescent health problems. Key actions include; – Conduct Training of Trainers (TOT) workshops for teachers on identification of substance use, internet addiction, self, mental health, nutrition disorders &amp; other leading adolescent health problems &amp; management in schools; Conduct training of Doctors, Nurses, Psychologists, </w:t>
      </w:r>
      <w:r w:rsidR="00B91F17">
        <w:rPr>
          <w:color w:val="231F20"/>
        </w:rPr>
        <w:t>Counsellor</w:t>
      </w:r>
      <w:r w:rsidR="00DE6DF0">
        <w:rPr>
          <w:color w:val="231F20"/>
        </w:rPr>
        <w:t>s</w:t>
      </w:r>
      <w:r>
        <w:rPr>
          <w:color w:val="231F20"/>
        </w:rPr>
        <w:t xml:space="preserve"> </w:t>
      </w:r>
      <w:proofErr w:type="spellStart"/>
      <w:r>
        <w:rPr>
          <w:color w:val="231F20"/>
        </w:rPr>
        <w:t>etc</w:t>
      </w:r>
      <w:proofErr w:type="spellEnd"/>
      <w:r>
        <w:rPr>
          <w:color w:val="231F20"/>
        </w:rPr>
        <w:t xml:space="preserve"> on Drug Demand Reduction in the 23 LGAs; Operating cost for engaging and supervising</w:t>
      </w:r>
      <w:r>
        <w:rPr>
          <w:color w:val="231F20"/>
          <w:spacing w:val="-5"/>
        </w:rPr>
        <w:t xml:space="preserve"> </w:t>
      </w:r>
      <w:r>
        <w:rPr>
          <w:color w:val="231F20"/>
        </w:rPr>
        <w:t>the</w:t>
      </w:r>
      <w:r>
        <w:rPr>
          <w:color w:val="231F20"/>
          <w:spacing w:val="-4"/>
        </w:rPr>
        <w:t xml:space="preserve"> </w:t>
      </w:r>
      <w:r>
        <w:rPr>
          <w:color w:val="231F20"/>
        </w:rPr>
        <w:t>contractor</w:t>
      </w:r>
      <w:r>
        <w:rPr>
          <w:color w:val="231F20"/>
          <w:spacing w:val="-4"/>
        </w:rPr>
        <w:t xml:space="preserve"> </w:t>
      </w:r>
      <w:r>
        <w:rPr>
          <w:color w:val="231F20"/>
        </w:rPr>
        <w:t>to</w:t>
      </w:r>
      <w:r>
        <w:rPr>
          <w:color w:val="231F20"/>
          <w:spacing w:val="-4"/>
        </w:rPr>
        <w:t xml:space="preserve"> </w:t>
      </w:r>
      <w:r>
        <w:rPr>
          <w:color w:val="231F20"/>
        </w:rPr>
        <w:t>establish</w:t>
      </w:r>
      <w:r>
        <w:rPr>
          <w:color w:val="231F20"/>
          <w:spacing w:val="-4"/>
        </w:rPr>
        <w:t xml:space="preserve"> </w:t>
      </w:r>
      <w:r>
        <w:rPr>
          <w:color w:val="231F20"/>
        </w:rPr>
        <w:t>drug</w:t>
      </w:r>
      <w:r>
        <w:rPr>
          <w:color w:val="231F20"/>
          <w:spacing w:val="-4"/>
        </w:rPr>
        <w:t xml:space="preserve"> </w:t>
      </w:r>
      <w:r>
        <w:rPr>
          <w:color w:val="231F20"/>
        </w:rPr>
        <w:t>treatment/rehabilitation</w:t>
      </w:r>
      <w:r>
        <w:rPr>
          <w:color w:val="231F20"/>
          <w:spacing w:val="-4"/>
        </w:rPr>
        <w:t xml:space="preserve"> </w:t>
      </w:r>
      <w:proofErr w:type="spellStart"/>
      <w:r>
        <w:rPr>
          <w:color w:val="231F20"/>
        </w:rPr>
        <w:t>centre</w:t>
      </w:r>
      <w:proofErr w:type="spellEnd"/>
      <w:r>
        <w:rPr>
          <w:color w:val="231F20"/>
          <w:spacing w:val="-4"/>
        </w:rPr>
        <w:t xml:space="preserve"> </w:t>
      </w:r>
      <w:r>
        <w:rPr>
          <w:color w:val="231F20"/>
        </w:rPr>
        <w:t>for</w:t>
      </w:r>
      <w:r>
        <w:rPr>
          <w:color w:val="231F20"/>
          <w:spacing w:val="-4"/>
        </w:rPr>
        <w:t xml:space="preserve"> </w:t>
      </w:r>
      <w:r>
        <w:rPr>
          <w:color w:val="231F20"/>
        </w:rPr>
        <w:t>males</w:t>
      </w:r>
      <w:r>
        <w:rPr>
          <w:color w:val="231F20"/>
          <w:spacing w:val="-4"/>
        </w:rPr>
        <w:t xml:space="preserve"> </w:t>
      </w:r>
      <w:r>
        <w:rPr>
          <w:color w:val="231F20"/>
        </w:rPr>
        <w:t>&amp;</w:t>
      </w:r>
      <w:r>
        <w:rPr>
          <w:color w:val="231F20"/>
          <w:spacing w:val="-5"/>
        </w:rPr>
        <w:t xml:space="preserve"> </w:t>
      </w:r>
      <w:r>
        <w:rPr>
          <w:color w:val="231F20"/>
        </w:rPr>
        <w:t>females</w:t>
      </w:r>
      <w:r>
        <w:rPr>
          <w:color w:val="231F20"/>
          <w:spacing w:val="-4"/>
        </w:rPr>
        <w:t xml:space="preserve"> </w:t>
      </w:r>
      <w:r>
        <w:rPr>
          <w:color w:val="231F20"/>
        </w:rPr>
        <w:t xml:space="preserve">in the state. Provide skill acquisition </w:t>
      </w:r>
      <w:proofErr w:type="spellStart"/>
      <w:r>
        <w:rPr>
          <w:color w:val="231F20"/>
        </w:rPr>
        <w:t>centres</w:t>
      </w:r>
      <w:proofErr w:type="spellEnd"/>
      <w:r>
        <w:rPr>
          <w:color w:val="231F20"/>
        </w:rPr>
        <w:t xml:space="preserve"> for paint making, tailoring, shoe making, computer training &amp; fabrication; Operating cost for engaging and supervising the contractor to equip drug treatment/rehabilitation </w:t>
      </w:r>
      <w:proofErr w:type="spellStart"/>
      <w:r>
        <w:rPr>
          <w:color w:val="231F20"/>
        </w:rPr>
        <w:t>centre</w:t>
      </w:r>
      <w:proofErr w:type="spellEnd"/>
      <w:r>
        <w:rPr>
          <w:color w:val="231F20"/>
        </w:rPr>
        <w:t xml:space="preserve"> for males &amp; females in the state; Advocacy for integration </w:t>
      </w:r>
      <w:r>
        <w:rPr>
          <w:color w:val="231F20"/>
          <w:spacing w:val="-6"/>
        </w:rPr>
        <w:t xml:space="preserve">of </w:t>
      </w:r>
      <w:r>
        <w:rPr>
          <w:color w:val="231F20"/>
        </w:rPr>
        <w:t>adolescent</w:t>
      </w:r>
      <w:r>
        <w:rPr>
          <w:color w:val="231F20"/>
          <w:spacing w:val="-25"/>
        </w:rPr>
        <w:t xml:space="preserve"> </w:t>
      </w:r>
      <w:r>
        <w:rPr>
          <w:color w:val="231F20"/>
        </w:rPr>
        <w:t>drug</w:t>
      </w:r>
      <w:r>
        <w:rPr>
          <w:color w:val="231F20"/>
          <w:spacing w:val="-26"/>
        </w:rPr>
        <w:t xml:space="preserve"> </w:t>
      </w:r>
      <w:r>
        <w:rPr>
          <w:color w:val="231F20"/>
        </w:rPr>
        <w:t>addiction</w:t>
      </w:r>
      <w:r>
        <w:rPr>
          <w:color w:val="231F20"/>
          <w:spacing w:val="-25"/>
        </w:rPr>
        <w:t xml:space="preserve"> </w:t>
      </w:r>
      <w:r>
        <w:rPr>
          <w:color w:val="231F20"/>
        </w:rPr>
        <w:t>into</w:t>
      </w:r>
      <w:r>
        <w:rPr>
          <w:color w:val="231F20"/>
          <w:spacing w:val="-25"/>
        </w:rPr>
        <w:t xml:space="preserve"> </w:t>
      </w:r>
      <w:r>
        <w:rPr>
          <w:color w:val="231F20"/>
        </w:rPr>
        <w:t>mental</w:t>
      </w:r>
      <w:r>
        <w:rPr>
          <w:color w:val="231F20"/>
          <w:spacing w:val="-25"/>
        </w:rPr>
        <w:t xml:space="preserve"> </w:t>
      </w:r>
      <w:r>
        <w:rPr>
          <w:color w:val="231F20"/>
        </w:rPr>
        <w:t>health.</w:t>
      </w:r>
    </w:p>
    <w:p w14:paraId="27FEBBF3" w14:textId="77777777" w:rsidR="009948F1" w:rsidRDefault="009948F1">
      <w:pPr>
        <w:pStyle w:val="BodyText"/>
        <w:spacing w:before="3"/>
        <w:rPr>
          <w:sz w:val="24"/>
        </w:rPr>
      </w:pPr>
    </w:p>
    <w:p w14:paraId="727D0FD3" w14:textId="77777777" w:rsidR="009948F1" w:rsidRDefault="00BC0563">
      <w:pPr>
        <w:pStyle w:val="ListParagraph"/>
        <w:numPr>
          <w:ilvl w:val="3"/>
          <w:numId w:val="293"/>
        </w:numPr>
        <w:tabs>
          <w:tab w:val="left" w:pos="915"/>
        </w:tabs>
        <w:spacing w:line="261" w:lineRule="auto"/>
        <w:ind w:left="155" w:right="185" w:firstLine="0"/>
      </w:pPr>
      <w:r>
        <w:rPr>
          <w:color w:val="231F20"/>
        </w:rPr>
        <w:t xml:space="preserve">Promote school health services including de worming. Key actions include; – </w:t>
      </w:r>
      <w:r>
        <w:rPr>
          <w:color w:val="231F20"/>
          <w:spacing w:val="-3"/>
        </w:rPr>
        <w:t xml:space="preserve">Conduct </w:t>
      </w:r>
      <w:r>
        <w:rPr>
          <w:color w:val="231F20"/>
        </w:rPr>
        <w:t>biannual</w:t>
      </w:r>
      <w:r>
        <w:rPr>
          <w:color w:val="231F20"/>
          <w:spacing w:val="-16"/>
        </w:rPr>
        <w:t xml:space="preserve"> </w:t>
      </w:r>
      <w:r>
        <w:rPr>
          <w:color w:val="231F20"/>
        </w:rPr>
        <w:t>deworming</w:t>
      </w:r>
      <w:r>
        <w:rPr>
          <w:color w:val="231F20"/>
          <w:spacing w:val="-15"/>
        </w:rPr>
        <w:t xml:space="preserve"> </w:t>
      </w:r>
      <w:r>
        <w:rPr>
          <w:color w:val="231F20"/>
        </w:rPr>
        <w:t>of</w:t>
      </w:r>
      <w:r>
        <w:rPr>
          <w:color w:val="231F20"/>
          <w:spacing w:val="-16"/>
        </w:rPr>
        <w:t xml:space="preserve"> </w:t>
      </w:r>
      <w:r>
        <w:rPr>
          <w:color w:val="231F20"/>
        </w:rPr>
        <w:t>school</w:t>
      </w:r>
      <w:r>
        <w:rPr>
          <w:color w:val="231F20"/>
          <w:spacing w:val="-16"/>
        </w:rPr>
        <w:t xml:space="preserve"> </w:t>
      </w:r>
      <w:r>
        <w:rPr>
          <w:color w:val="231F20"/>
        </w:rPr>
        <w:t>age</w:t>
      </w:r>
      <w:r>
        <w:rPr>
          <w:color w:val="231F20"/>
          <w:spacing w:val="-16"/>
        </w:rPr>
        <w:t xml:space="preserve"> </w:t>
      </w:r>
      <w:r>
        <w:rPr>
          <w:color w:val="231F20"/>
        </w:rPr>
        <w:t>children;</w:t>
      </w:r>
      <w:r>
        <w:rPr>
          <w:color w:val="231F20"/>
          <w:spacing w:val="-16"/>
        </w:rPr>
        <w:t xml:space="preserve"> </w:t>
      </w:r>
      <w:r>
        <w:rPr>
          <w:color w:val="231F20"/>
        </w:rPr>
        <w:t>Purchase</w:t>
      </w:r>
      <w:r>
        <w:rPr>
          <w:color w:val="231F20"/>
          <w:spacing w:val="-16"/>
        </w:rPr>
        <w:t xml:space="preserve"> </w:t>
      </w:r>
      <w:r>
        <w:rPr>
          <w:color w:val="231F20"/>
        </w:rPr>
        <w:t>&amp;</w:t>
      </w:r>
      <w:r>
        <w:rPr>
          <w:color w:val="231F20"/>
          <w:spacing w:val="-16"/>
        </w:rPr>
        <w:t xml:space="preserve"> </w:t>
      </w:r>
      <w:r>
        <w:rPr>
          <w:color w:val="231F20"/>
        </w:rPr>
        <w:t>distribute</w:t>
      </w:r>
      <w:r>
        <w:rPr>
          <w:color w:val="231F20"/>
          <w:spacing w:val="-17"/>
        </w:rPr>
        <w:t xml:space="preserve"> </w:t>
      </w:r>
      <w:r>
        <w:rPr>
          <w:color w:val="231F20"/>
        </w:rPr>
        <w:t>worm</w:t>
      </w:r>
      <w:r>
        <w:rPr>
          <w:color w:val="231F20"/>
          <w:spacing w:val="-16"/>
        </w:rPr>
        <w:t xml:space="preserve"> </w:t>
      </w:r>
      <w:r>
        <w:rPr>
          <w:color w:val="231F20"/>
        </w:rPr>
        <w:t>expellant</w:t>
      </w:r>
      <w:r>
        <w:rPr>
          <w:color w:val="231F20"/>
          <w:spacing w:val="-15"/>
        </w:rPr>
        <w:t xml:space="preserve"> </w:t>
      </w:r>
      <w:r>
        <w:rPr>
          <w:color w:val="231F20"/>
        </w:rPr>
        <w:t>to</w:t>
      </w:r>
      <w:r>
        <w:rPr>
          <w:color w:val="231F20"/>
          <w:spacing w:val="-16"/>
        </w:rPr>
        <w:t xml:space="preserve"> </w:t>
      </w:r>
      <w:r>
        <w:rPr>
          <w:color w:val="231F20"/>
        </w:rPr>
        <w:t>schools</w:t>
      </w:r>
      <w:r>
        <w:rPr>
          <w:color w:val="231F20"/>
          <w:spacing w:val="-16"/>
        </w:rPr>
        <w:t xml:space="preserve"> </w:t>
      </w:r>
      <w:r>
        <w:rPr>
          <w:color w:val="231F20"/>
        </w:rPr>
        <w:t>in</w:t>
      </w:r>
      <w:r>
        <w:rPr>
          <w:color w:val="231F20"/>
          <w:spacing w:val="-16"/>
        </w:rPr>
        <w:t xml:space="preserve"> </w:t>
      </w:r>
      <w:r>
        <w:rPr>
          <w:color w:val="231F20"/>
        </w:rPr>
        <w:t>the state</w:t>
      </w:r>
      <w:r>
        <w:rPr>
          <w:color w:val="231F20"/>
          <w:spacing w:val="-10"/>
        </w:rPr>
        <w:t xml:space="preserve"> </w:t>
      </w:r>
      <w:r>
        <w:rPr>
          <w:color w:val="231F20"/>
        </w:rPr>
        <w:t>according</w:t>
      </w:r>
      <w:r>
        <w:rPr>
          <w:color w:val="231F20"/>
          <w:spacing w:val="-9"/>
        </w:rPr>
        <w:t xml:space="preserve"> </w:t>
      </w:r>
      <w:r>
        <w:rPr>
          <w:color w:val="231F20"/>
        </w:rPr>
        <w:t>to</w:t>
      </w:r>
      <w:r>
        <w:rPr>
          <w:color w:val="231F20"/>
          <w:spacing w:val="-9"/>
        </w:rPr>
        <w:t xml:space="preserve"> </w:t>
      </w:r>
      <w:r>
        <w:rPr>
          <w:color w:val="231F20"/>
        </w:rPr>
        <w:t>target</w:t>
      </w:r>
      <w:r>
        <w:rPr>
          <w:color w:val="231F20"/>
          <w:spacing w:val="-9"/>
        </w:rPr>
        <w:t xml:space="preserve"> </w:t>
      </w:r>
      <w:r>
        <w:rPr>
          <w:color w:val="231F20"/>
        </w:rPr>
        <w:t>population;</w:t>
      </w:r>
      <w:r>
        <w:rPr>
          <w:color w:val="231F20"/>
          <w:spacing w:val="-9"/>
        </w:rPr>
        <w:t xml:space="preserve"> </w:t>
      </w:r>
      <w:r>
        <w:rPr>
          <w:color w:val="231F20"/>
        </w:rPr>
        <w:t>Conduct</w:t>
      </w:r>
      <w:r>
        <w:rPr>
          <w:color w:val="231F20"/>
          <w:spacing w:val="-9"/>
        </w:rPr>
        <w:t xml:space="preserve"> </w:t>
      </w:r>
      <w:r>
        <w:rPr>
          <w:color w:val="231F20"/>
        </w:rPr>
        <w:t>orientation</w:t>
      </w:r>
      <w:r>
        <w:rPr>
          <w:color w:val="231F20"/>
          <w:spacing w:val="-9"/>
        </w:rPr>
        <w:t xml:space="preserve"> </w:t>
      </w:r>
      <w:r>
        <w:rPr>
          <w:color w:val="231F20"/>
        </w:rPr>
        <w:t>workshop</w:t>
      </w:r>
      <w:r>
        <w:rPr>
          <w:color w:val="231F20"/>
          <w:spacing w:val="-9"/>
        </w:rPr>
        <w:t xml:space="preserve"> </w:t>
      </w:r>
      <w:r>
        <w:rPr>
          <w:color w:val="231F20"/>
        </w:rPr>
        <w:t>for</w:t>
      </w:r>
      <w:r>
        <w:rPr>
          <w:color w:val="231F20"/>
          <w:spacing w:val="-9"/>
        </w:rPr>
        <w:t xml:space="preserve"> </w:t>
      </w:r>
      <w:r>
        <w:rPr>
          <w:color w:val="231F20"/>
        </w:rPr>
        <w:t>secondary</w:t>
      </w:r>
      <w:r>
        <w:rPr>
          <w:color w:val="231F20"/>
          <w:spacing w:val="-10"/>
        </w:rPr>
        <w:t xml:space="preserve"> </w:t>
      </w:r>
      <w:r>
        <w:rPr>
          <w:color w:val="231F20"/>
        </w:rPr>
        <w:t>school</w:t>
      </w:r>
      <w:r>
        <w:rPr>
          <w:color w:val="231F20"/>
          <w:spacing w:val="-9"/>
        </w:rPr>
        <w:t xml:space="preserve"> </w:t>
      </w:r>
      <w:r>
        <w:rPr>
          <w:color w:val="231F20"/>
        </w:rPr>
        <w:t xml:space="preserve">students &amp; </w:t>
      </w:r>
      <w:r>
        <w:rPr>
          <w:color w:val="231F20"/>
          <w:spacing w:val="-6"/>
        </w:rPr>
        <w:t xml:space="preserve">PTA </w:t>
      </w:r>
      <w:r>
        <w:rPr>
          <w:color w:val="231F20"/>
        </w:rPr>
        <w:t xml:space="preserve">Chairmen on the importance of deworming in children and adolescents; Conduct </w:t>
      </w:r>
      <w:r>
        <w:rPr>
          <w:color w:val="231F20"/>
          <w:spacing w:val="-3"/>
        </w:rPr>
        <w:t xml:space="preserve">media </w:t>
      </w:r>
      <w:r>
        <w:rPr>
          <w:color w:val="231F20"/>
        </w:rPr>
        <w:t xml:space="preserve">(Radio &amp; </w:t>
      </w:r>
      <w:r>
        <w:rPr>
          <w:color w:val="231F20"/>
          <w:spacing w:val="-3"/>
        </w:rPr>
        <w:t xml:space="preserve">Television) </w:t>
      </w:r>
      <w:r>
        <w:rPr>
          <w:color w:val="231F20"/>
        </w:rPr>
        <w:t>talks on deworming exercise in schools during MNCH Week; Operating</w:t>
      </w:r>
      <w:r>
        <w:rPr>
          <w:color w:val="231F20"/>
          <w:spacing w:val="-38"/>
        </w:rPr>
        <w:t xml:space="preserve"> </w:t>
      </w:r>
      <w:r>
        <w:rPr>
          <w:color w:val="231F20"/>
        </w:rPr>
        <w:t>cost for engaging and supervising the contractor to provide vehicle for School Health activities in the LGAs.</w:t>
      </w:r>
    </w:p>
    <w:p w14:paraId="42D4F47C" w14:textId="77777777" w:rsidR="009948F1" w:rsidRDefault="009948F1">
      <w:pPr>
        <w:pStyle w:val="BodyText"/>
        <w:spacing w:before="2"/>
        <w:rPr>
          <w:sz w:val="24"/>
        </w:rPr>
      </w:pPr>
    </w:p>
    <w:p w14:paraId="7EB402FF" w14:textId="77777777" w:rsidR="009948F1" w:rsidRDefault="00BC0563">
      <w:pPr>
        <w:pStyle w:val="Heading7"/>
        <w:numPr>
          <w:ilvl w:val="2"/>
          <w:numId w:val="293"/>
        </w:numPr>
        <w:tabs>
          <w:tab w:val="left" w:pos="745"/>
        </w:tabs>
        <w:spacing w:line="261" w:lineRule="auto"/>
        <w:ind w:left="155" w:right="185" w:firstLine="0"/>
        <w:jc w:val="both"/>
        <w:rPr>
          <w:color w:val="231F20"/>
        </w:rPr>
      </w:pPr>
      <w:r>
        <w:rPr>
          <w:color w:val="231F20"/>
        </w:rPr>
        <w:t xml:space="preserve">Improve the nutritional status of Rivers people throughout their life cycle with </w:t>
      </w:r>
      <w:r>
        <w:rPr>
          <w:color w:val="231F20"/>
          <w:spacing w:val="-13"/>
        </w:rPr>
        <w:t xml:space="preserve">a </w:t>
      </w:r>
      <w:r>
        <w:rPr>
          <w:color w:val="231F20"/>
        </w:rPr>
        <w:t xml:space="preserve">particular focus on vulnerable groups especially children under five years, </w:t>
      </w:r>
      <w:r>
        <w:rPr>
          <w:color w:val="231F20"/>
          <w:spacing w:val="-2"/>
        </w:rPr>
        <w:t xml:space="preserve">adolescents, </w:t>
      </w:r>
      <w:r>
        <w:rPr>
          <w:color w:val="231F20"/>
        </w:rPr>
        <w:t>women</w:t>
      </w:r>
      <w:r>
        <w:rPr>
          <w:color w:val="231F20"/>
          <w:spacing w:val="-25"/>
        </w:rPr>
        <w:t xml:space="preserve"> </w:t>
      </w:r>
      <w:r>
        <w:rPr>
          <w:color w:val="231F20"/>
        </w:rPr>
        <w:t>of</w:t>
      </w:r>
      <w:r>
        <w:rPr>
          <w:color w:val="231F20"/>
          <w:spacing w:val="-25"/>
        </w:rPr>
        <w:t xml:space="preserve"> </w:t>
      </w:r>
      <w:r>
        <w:rPr>
          <w:color w:val="231F20"/>
        </w:rPr>
        <w:t>reproductive</w:t>
      </w:r>
      <w:r>
        <w:rPr>
          <w:color w:val="231F20"/>
          <w:spacing w:val="-25"/>
        </w:rPr>
        <w:t xml:space="preserve"> </w:t>
      </w:r>
      <w:r>
        <w:rPr>
          <w:color w:val="231F20"/>
        </w:rPr>
        <w:t>age</w:t>
      </w:r>
      <w:r>
        <w:rPr>
          <w:color w:val="231F20"/>
          <w:spacing w:val="-25"/>
        </w:rPr>
        <w:t xml:space="preserve"> </w:t>
      </w:r>
      <w:r>
        <w:rPr>
          <w:color w:val="231F20"/>
        </w:rPr>
        <w:t>and</w:t>
      </w:r>
      <w:r>
        <w:rPr>
          <w:color w:val="231F20"/>
          <w:spacing w:val="-25"/>
        </w:rPr>
        <w:t xml:space="preserve"> </w:t>
      </w:r>
      <w:r>
        <w:rPr>
          <w:color w:val="231F20"/>
        </w:rPr>
        <w:t>the</w:t>
      </w:r>
      <w:r>
        <w:rPr>
          <w:color w:val="231F20"/>
          <w:spacing w:val="-25"/>
        </w:rPr>
        <w:t xml:space="preserve"> </w:t>
      </w:r>
      <w:r>
        <w:rPr>
          <w:color w:val="231F20"/>
          <w:spacing w:val="-3"/>
        </w:rPr>
        <w:t>elderly.</w:t>
      </w:r>
    </w:p>
    <w:p w14:paraId="5AE3FB8D" w14:textId="77777777" w:rsidR="009948F1" w:rsidRDefault="009948F1">
      <w:pPr>
        <w:pStyle w:val="BodyText"/>
        <w:rPr>
          <w:b/>
        </w:rPr>
      </w:pPr>
    </w:p>
    <w:p w14:paraId="7736476E" w14:textId="77777777" w:rsidR="009948F1" w:rsidRDefault="009948F1">
      <w:pPr>
        <w:pStyle w:val="BodyText"/>
        <w:spacing w:before="10"/>
        <w:rPr>
          <w:b/>
        </w:rPr>
      </w:pPr>
    </w:p>
    <w:p w14:paraId="785F46C9" w14:textId="77777777" w:rsidR="009948F1" w:rsidRDefault="00BC0563">
      <w:pPr>
        <w:spacing w:before="1" w:after="51"/>
        <w:ind w:left="300"/>
        <w:rPr>
          <w:b/>
          <w:sz w:val="27"/>
        </w:rPr>
      </w:pPr>
      <w:r>
        <w:rPr>
          <w:b/>
          <w:color w:val="231F20"/>
          <w:w w:val="95"/>
          <w:sz w:val="27"/>
        </w:rPr>
        <w:t>Target</w:t>
      </w:r>
    </w:p>
    <w:tbl>
      <w:tblPr>
        <w:tblW w:w="0" w:type="auto"/>
        <w:tblInd w:w="19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159"/>
        <w:gridCol w:w="1232"/>
        <w:gridCol w:w="768"/>
        <w:gridCol w:w="766"/>
        <w:gridCol w:w="768"/>
        <w:gridCol w:w="766"/>
        <w:gridCol w:w="773"/>
        <w:gridCol w:w="1011"/>
      </w:tblGrid>
      <w:tr w:rsidR="009948F1" w14:paraId="61C521CA" w14:textId="77777777">
        <w:trPr>
          <w:trHeight w:val="252"/>
        </w:trPr>
        <w:tc>
          <w:tcPr>
            <w:tcW w:w="3159" w:type="dxa"/>
            <w:tcBorders>
              <w:left w:val="single" w:sz="4" w:space="0" w:color="231F20"/>
              <w:right w:val="single" w:sz="4" w:space="0" w:color="231F20"/>
            </w:tcBorders>
            <w:shd w:val="clear" w:color="auto" w:fill="F6ADCD"/>
          </w:tcPr>
          <w:p w14:paraId="7A2B88B9" w14:textId="77777777" w:rsidR="009948F1" w:rsidRDefault="00BC0563">
            <w:pPr>
              <w:pStyle w:val="TableParagraph"/>
              <w:spacing w:line="232" w:lineRule="exact"/>
              <w:ind w:left="110"/>
            </w:pPr>
            <w:r>
              <w:rPr>
                <w:color w:val="231F20"/>
                <w:w w:val="95"/>
              </w:rPr>
              <w:t>Targets</w:t>
            </w:r>
          </w:p>
        </w:tc>
        <w:tc>
          <w:tcPr>
            <w:tcW w:w="1232" w:type="dxa"/>
            <w:tcBorders>
              <w:left w:val="single" w:sz="4" w:space="0" w:color="231F20"/>
              <w:right w:val="single" w:sz="4" w:space="0" w:color="231F20"/>
            </w:tcBorders>
            <w:shd w:val="clear" w:color="auto" w:fill="F6ADCD"/>
          </w:tcPr>
          <w:p w14:paraId="73291D36" w14:textId="77777777" w:rsidR="009948F1" w:rsidRDefault="00BC0563">
            <w:pPr>
              <w:pStyle w:val="TableParagraph"/>
              <w:spacing w:line="232" w:lineRule="exact"/>
              <w:ind w:left="110"/>
            </w:pPr>
            <w:r>
              <w:rPr>
                <w:color w:val="231F20"/>
                <w:w w:val="95"/>
              </w:rPr>
              <w:t>Baseline</w:t>
            </w:r>
          </w:p>
        </w:tc>
        <w:tc>
          <w:tcPr>
            <w:tcW w:w="768" w:type="dxa"/>
            <w:tcBorders>
              <w:left w:val="single" w:sz="4" w:space="0" w:color="231F20"/>
              <w:right w:val="single" w:sz="4" w:space="0" w:color="231F20"/>
            </w:tcBorders>
            <w:shd w:val="clear" w:color="auto" w:fill="F6ADCD"/>
          </w:tcPr>
          <w:p w14:paraId="0B529223" w14:textId="77777777" w:rsidR="009948F1" w:rsidRDefault="00BC0563">
            <w:pPr>
              <w:pStyle w:val="TableParagraph"/>
              <w:spacing w:line="232" w:lineRule="exact"/>
              <w:ind w:left="111"/>
              <w:rPr>
                <w:b/>
              </w:rPr>
            </w:pPr>
            <w:r>
              <w:rPr>
                <w:b/>
                <w:color w:val="231F20"/>
                <w:w w:val="95"/>
              </w:rPr>
              <w:t>2018</w:t>
            </w:r>
          </w:p>
        </w:tc>
        <w:tc>
          <w:tcPr>
            <w:tcW w:w="766" w:type="dxa"/>
            <w:tcBorders>
              <w:left w:val="single" w:sz="4" w:space="0" w:color="231F20"/>
              <w:right w:val="single" w:sz="4" w:space="0" w:color="231F20"/>
            </w:tcBorders>
            <w:shd w:val="clear" w:color="auto" w:fill="F6ADCD"/>
          </w:tcPr>
          <w:p w14:paraId="79BD0361" w14:textId="77777777" w:rsidR="009948F1" w:rsidRDefault="00BC0563">
            <w:pPr>
              <w:pStyle w:val="TableParagraph"/>
              <w:spacing w:line="232" w:lineRule="exact"/>
              <w:ind w:left="111"/>
              <w:rPr>
                <w:b/>
              </w:rPr>
            </w:pPr>
            <w:r>
              <w:rPr>
                <w:b/>
                <w:color w:val="231F20"/>
                <w:w w:val="95"/>
              </w:rPr>
              <w:t>2019</w:t>
            </w:r>
          </w:p>
        </w:tc>
        <w:tc>
          <w:tcPr>
            <w:tcW w:w="768" w:type="dxa"/>
            <w:tcBorders>
              <w:left w:val="single" w:sz="4" w:space="0" w:color="231F20"/>
              <w:right w:val="single" w:sz="4" w:space="0" w:color="231F20"/>
            </w:tcBorders>
            <w:shd w:val="clear" w:color="auto" w:fill="F6ADCD"/>
          </w:tcPr>
          <w:p w14:paraId="6337A90E" w14:textId="77777777" w:rsidR="009948F1" w:rsidRDefault="00BC0563">
            <w:pPr>
              <w:pStyle w:val="TableParagraph"/>
              <w:spacing w:line="232" w:lineRule="exact"/>
              <w:ind w:left="111"/>
              <w:rPr>
                <w:b/>
              </w:rPr>
            </w:pPr>
            <w:r>
              <w:rPr>
                <w:b/>
                <w:color w:val="231F20"/>
                <w:w w:val="95"/>
              </w:rPr>
              <w:t>2020</w:t>
            </w:r>
          </w:p>
        </w:tc>
        <w:tc>
          <w:tcPr>
            <w:tcW w:w="766" w:type="dxa"/>
            <w:tcBorders>
              <w:left w:val="single" w:sz="4" w:space="0" w:color="231F20"/>
              <w:right w:val="single" w:sz="4" w:space="0" w:color="231F20"/>
            </w:tcBorders>
            <w:shd w:val="clear" w:color="auto" w:fill="F6ADCD"/>
          </w:tcPr>
          <w:p w14:paraId="695D71FF" w14:textId="77777777" w:rsidR="009948F1" w:rsidRDefault="00BC0563">
            <w:pPr>
              <w:pStyle w:val="TableParagraph"/>
              <w:spacing w:line="232" w:lineRule="exact"/>
              <w:ind w:left="111"/>
              <w:rPr>
                <w:b/>
              </w:rPr>
            </w:pPr>
            <w:r>
              <w:rPr>
                <w:b/>
                <w:color w:val="231F20"/>
                <w:w w:val="95"/>
              </w:rPr>
              <w:t>2021</w:t>
            </w:r>
          </w:p>
        </w:tc>
        <w:tc>
          <w:tcPr>
            <w:tcW w:w="773" w:type="dxa"/>
            <w:tcBorders>
              <w:left w:val="single" w:sz="4" w:space="0" w:color="231F20"/>
              <w:right w:val="single" w:sz="4" w:space="0" w:color="231F20"/>
            </w:tcBorders>
            <w:shd w:val="clear" w:color="auto" w:fill="F6ADCD"/>
          </w:tcPr>
          <w:p w14:paraId="40EB43C4" w14:textId="77777777" w:rsidR="009948F1" w:rsidRDefault="00BC0563">
            <w:pPr>
              <w:pStyle w:val="TableParagraph"/>
              <w:spacing w:line="232" w:lineRule="exact"/>
              <w:ind w:left="111"/>
              <w:rPr>
                <w:b/>
              </w:rPr>
            </w:pPr>
            <w:r>
              <w:rPr>
                <w:b/>
                <w:color w:val="231F20"/>
                <w:w w:val="95"/>
              </w:rPr>
              <w:t>2022</w:t>
            </w:r>
          </w:p>
        </w:tc>
        <w:tc>
          <w:tcPr>
            <w:tcW w:w="1011" w:type="dxa"/>
            <w:tcBorders>
              <w:left w:val="single" w:sz="4" w:space="0" w:color="231F20"/>
              <w:right w:val="single" w:sz="4" w:space="0" w:color="231F20"/>
            </w:tcBorders>
            <w:shd w:val="clear" w:color="auto" w:fill="F6ADCD"/>
          </w:tcPr>
          <w:p w14:paraId="1C9380E9" w14:textId="77777777" w:rsidR="009948F1" w:rsidRDefault="00BC0563">
            <w:pPr>
              <w:pStyle w:val="TableParagraph"/>
              <w:spacing w:line="232" w:lineRule="exact"/>
              <w:ind w:left="111"/>
              <w:rPr>
                <w:b/>
              </w:rPr>
            </w:pPr>
            <w:r>
              <w:rPr>
                <w:b/>
                <w:color w:val="231F20"/>
                <w:w w:val="95"/>
              </w:rPr>
              <w:t>National</w:t>
            </w:r>
          </w:p>
        </w:tc>
      </w:tr>
      <w:tr w:rsidR="009948F1" w14:paraId="1BE7951C" w14:textId="77777777">
        <w:trPr>
          <w:trHeight w:val="757"/>
        </w:trPr>
        <w:tc>
          <w:tcPr>
            <w:tcW w:w="3159" w:type="dxa"/>
            <w:tcBorders>
              <w:left w:val="single" w:sz="4" w:space="0" w:color="231F20"/>
              <w:right w:val="single" w:sz="4" w:space="0" w:color="231F20"/>
            </w:tcBorders>
          </w:tcPr>
          <w:p w14:paraId="62AE3698" w14:textId="77777777" w:rsidR="009948F1" w:rsidRDefault="00BC0563">
            <w:pPr>
              <w:pStyle w:val="TableParagraph"/>
              <w:spacing w:before="2" w:line="252" w:lineRule="exact"/>
              <w:ind w:left="110" w:right="123" w:firstLine="51"/>
              <w:jc w:val="both"/>
            </w:pPr>
            <w:r>
              <w:rPr>
                <w:color w:val="231F20"/>
                <w:w w:val="85"/>
              </w:rPr>
              <w:t xml:space="preserve">Exclusive breastfeeding rate in the </w:t>
            </w:r>
            <w:r>
              <w:rPr>
                <w:color w:val="231F20"/>
                <w:w w:val="90"/>
              </w:rPr>
              <w:t>first</w:t>
            </w:r>
            <w:r>
              <w:rPr>
                <w:color w:val="231F20"/>
                <w:spacing w:val="-25"/>
                <w:w w:val="90"/>
              </w:rPr>
              <w:t xml:space="preserve"> </w:t>
            </w:r>
            <w:r>
              <w:rPr>
                <w:color w:val="231F20"/>
                <w:w w:val="90"/>
              </w:rPr>
              <w:t>six</w:t>
            </w:r>
            <w:r>
              <w:rPr>
                <w:color w:val="231F20"/>
                <w:spacing w:val="-24"/>
                <w:w w:val="90"/>
              </w:rPr>
              <w:t xml:space="preserve"> </w:t>
            </w:r>
            <w:r>
              <w:rPr>
                <w:color w:val="231F20"/>
                <w:w w:val="90"/>
              </w:rPr>
              <w:t>months</w:t>
            </w:r>
            <w:r>
              <w:rPr>
                <w:color w:val="231F20"/>
                <w:spacing w:val="-25"/>
                <w:w w:val="90"/>
              </w:rPr>
              <w:t xml:space="preserve"> </w:t>
            </w:r>
            <w:r>
              <w:rPr>
                <w:color w:val="231F20"/>
                <w:w w:val="90"/>
              </w:rPr>
              <w:t>of</w:t>
            </w:r>
            <w:r>
              <w:rPr>
                <w:color w:val="231F20"/>
                <w:spacing w:val="-25"/>
                <w:w w:val="90"/>
              </w:rPr>
              <w:t xml:space="preserve"> </w:t>
            </w:r>
            <w:r>
              <w:rPr>
                <w:color w:val="231F20"/>
                <w:w w:val="90"/>
              </w:rPr>
              <w:t>life</w:t>
            </w:r>
            <w:r>
              <w:rPr>
                <w:color w:val="231F20"/>
                <w:spacing w:val="4"/>
                <w:w w:val="90"/>
              </w:rPr>
              <w:t xml:space="preserve"> </w:t>
            </w:r>
            <w:r>
              <w:rPr>
                <w:color w:val="231F20"/>
                <w:w w:val="90"/>
              </w:rPr>
              <w:t>increased</w:t>
            </w:r>
            <w:r>
              <w:rPr>
                <w:color w:val="231F20"/>
                <w:spacing w:val="-25"/>
                <w:w w:val="90"/>
              </w:rPr>
              <w:t xml:space="preserve"> </w:t>
            </w:r>
            <w:r>
              <w:rPr>
                <w:color w:val="231F20"/>
                <w:spacing w:val="-7"/>
                <w:w w:val="90"/>
              </w:rPr>
              <w:t xml:space="preserve">to </w:t>
            </w:r>
            <w:r>
              <w:rPr>
                <w:color w:val="231F20"/>
                <w:w w:val="95"/>
              </w:rPr>
              <w:t>42% by</w:t>
            </w:r>
            <w:r>
              <w:rPr>
                <w:color w:val="231F20"/>
                <w:spacing w:val="-21"/>
                <w:w w:val="95"/>
              </w:rPr>
              <w:t xml:space="preserve"> </w:t>
            </w:r>
            <w:r>
              <w:rPr>
                <w:color w:val="231F20"/>
                <w:w w:val="95"/>
              </w:rPr>
              <w:t>2022</w:t>
            </w:r>
          </w:p>
        </w:tc>
        <w:tc>
          <w:tcPr>
            <w:tcW w:w="1232" w:type="dxa"/>
            <w:tcBorders>
              <w:left w:val="single" w:sz="4" w:space="0" w:color="231F20"/>
              <w:right w:val="single" w:sz="4" w:space="0" w:color="231F20"/>
            </w:tcBorders>
          </w:tcPr>
          <w:p w14:paraId="50715ADB" w14:textId="77777777" w:rsidR="009948F1" w:rsidRDefault="00BC0563">
            <w:pPr>
              <w:pStyle w:val="TableParagraph"/>
              <w:spacing w:line="251" w:lineRule="exact"/>
              <w:ind w:left="110"/>
            </w:pPr>
            <w:r>
              <w:rPr>
                <w:color w:val="231F20"/>
                <w:w w:val="95"/>
              </w:rPr>
              <w:t>19.8%</w:t>
            </w:r>
          </w:p>
        </w:tc>
        <w:tc>
          <w:tcPr>
            <w:tcW w:w="768" w:type="dxa"/>
            <w:tcBorders>
              <w:left w:val="single" w:sz="4" w:space="0" w:color="231F20"/>
              <w:right w:val="single" w:sz="4" w:space="0" w:color="231F20"/>
            </w:tcBorders>
          </w:tcPr>
          <w:p w14:paraId="27B76425" w14:textId="77777777" w:rsidR="009948F1" w:rsidRDefault="00BC0563">
            <w:pPr>
              <w:pStyle w:val="TableParagraph"/>
              <w:spacing w:line="251" w:lineRule="exact"/>
              <w:ind w:left="111"/>
            </w:pPr>
            <w:r>
              <w:rPr>
                <w:color w:val="231F20"/>
                <w:w w:val="95"/>
              </w:rPr>
              <w:t>34%</w:t>
            </w:r>
          </w:p>
        </w:tc>
        <w:tc>
          <w:tcPr>
            <w:tcW w:w="766" w:type="dxa"/>
            <w:tcBorders>
              <w:left w:val="single" w:sz="4" w:space="0" w:color="231F20"/>
              <w:right w:val="single" w:sz="4" w:space="0" w:color="231F20"/>
            </w:tcBorders>
          </w:tcPr>
          <w:p w14:paraId="41899816" w14:textId="77777777" w:rsidR="009948F1" w:rsidRDefault="00BC0563">
            <w:pPr>
              <w:pStyle w:val="TableParagraph"/>
              <w:spacing w:line="251" w:lineRule="exact"/>
              <w:ind w:left="111"/>
            </w:pPr>
            <w:r>
              <w:rPr>
                <w:color w:val="231F20"/>
                <w:w w:val="95"/>
              </w:rPr>
              <w:t>36%</w:t>
            </w:r>
          </w:p>
        </w:tc>
        <w:tc>
          <w:tcPr>
            <w:tcW w:w="768" w:type="dxa"/>
            <w:tcBorders>
              <w:left w:val="single" w:sz="4" w:space="0" w:color="231F20"/>
              <w:right w:val="single" w:sz="4" w:space="0" w:color="231F20"/>
            </w:tcBorders>
          </w:tcPr>
          <w:p w14:paraId="569C6A1E" w14:textId="77777777" w:rsidR="009948F1" w:rsidRDefault="00BC0563">
            <w:pPr>
              <w:pStyle w:val="TableParagraph"/>
              <w:spacing w:line="251" w:lineRule="exact"/>
              <w:ind w:left="111"/>
            </w:pPr>
            <w:r>
              <w:rPr>
                <w:color w:val="231F20"/>
                <w:w w:val="95"/>
              </w:rPr>
              <w:t>38%</w:t>
            </w:r>
          </w:p>
        </w:tc>
        <w:tc>
          <w:tcPr>
            <w:tcW w:w="766" w:type="dxa"/>
            <w:tcBorders>
              <w:left w:val="single" w:sz="4" w:space="0" w:color="231F20"/>
              <w:right w:val="single" w:sz="4" w:space="0" w:color="231F20"/>
            </w:tcBorders>
          </w:tcPr>
          <w:p w14:paraId="499FF0D7" w14:textId="77777777" w:rsidR="009948F1" w:rsidRDefault="00BC0563">
            <w:pPr>
              <w:pStyle w:val="TableParagraph"/>
              <w:spacing w:line="251" w:lineRule="exact"/>
              <w:ind w:left="111"/>
            </w:pPr>
            <w:r>
              <w:rPr>
                <w:color w:val="231F20"/>
                <w:w w:val="95"/>
              </w:rPr>
              <w:t>40%</w:t>
            </w:r>
          </w:p>
        </w:tc>
        <w:tc>
          <w:tcPr>
            <w:tcW w:w="773" w:type="dxa"/>
            <w:tcBorders>
              <w:left w:val="single" w:sz="4" w:space="0" w:color="231F20"/>
              <w:right w:val="single" w:sz="4" w:space="0" w:color="231F20"/>
            </w:tcBorders>
          </w:tcPr>
          <w:p w14:paraId="17E7502F" w14:textId="77777777" w:rsidR="009948F1" w:rsidRDefault="00BC0563">
            <w:pPr>
              <w:pStyle w:val="TableParagraph"/>
              <w:spacing w:line="251" w:lineRule="exact"/>
              <w:ind w:left="111"/>
            </w:pPr>
            <w:r>
              <w:rPr>
                <w:color w:val="231F20"/>
                <w:w w:val="95"/>
              </w:rPr>
              <w:t>42%</w:t>
            </w:r>
          </w:p>
        </w:tc>
        <w:tc>
          <w:tcPr>
            <w:tcW w:w="1011" w:type="dxa"/>
            <w:tcBorders>
              <w:left w:val="single" w:sz="4" w:space="0" w:color="231F20"/>
              <w:right w:val="single" w:sz="4" w:space="0" w:color="231F20"/>
            </w:tcBorders>
          </w:tcPr>
          <w:p w14:paraId="1FFBDA04" w14:textId="77777777" w:rsidR="009948F1" w:rsidRDefault="00BC0563">
            <w:pPr>
              <w:pStyle w:val="TableParagraph"/>
              <w:spacing w:line="251" w:lineRule="exact"/>
              <w:ind w:left="111"/>
            </w:pPr>
            <w:r>
              <w:rPr>
                <w:color w:val="231F20"/>
                <w:w w:val="95"/>
              </w:rPr>
              <w:t>60%</w:t>
            </w:r>
          </w:p>
        </w:tc>
      </w:tr>
      <w:tr w:rsidR="009948F1" w14:paraId="4F4551E4" w14:textId="77777777">
        <w:trPr>
          <w:trHeight w:val="502"/>
        </w:trPr>
        <w:tc>
          <w:tcPr>
            <w:tcW w:w="3159" w:type="dxa"/>
            <w:tcBorders>
              <w:left w:val="single" w:sz="4" w:space="0" w:color="231F20"/>
              <w:right w:val="single" w:sz="4" w:space="0" w:color="231F20"/>
            </w:tcBorders>
          </w:tcPr>
          <w:p w14:paraId="1E501BDB" w14:textId="77777777" w:rsidR="009948F1" w:rsidRDefault="00BC0563">
            <w:pPr>
              <w:pStyle w:val="TableParagraph"/>
              <w:spacing w:before="2" w:line="252" w:lineRule="exact"/>
              <w:ind w:left="110"/>
            </w:pPr>
            <w:r>
              <w:rPr>
                <w:color w:val="231F20"/>
                <w:w w:val="85"/>
              </w:rPr>
              <w:t xml:space="preserve">Incidence of low birth weight </w:t>
            </w:r>
            <w:r>
              <w:rPr>
                <w:color w:val="231F20"/>
                <w:w w:val="95"/>
              </w:rPr>
              <w:t>reduced to 5%</w:t>
            </w:r>
          </w:p>
        </w:tc>
        <w:tc>
          <w:tcPr>
            <w:tcW w:w="1232" w:type="dxa"/>
            <w:tcBorders>
              <w:left w:val="single" w:sz="4" w:space="0" w:color="231F20"/>
              <w:right w:val="single" w:sz="4" w:space="0" w:color="231F20"/>
            </w:tcBorders>
          </w:tcPr>
          <w:p w14:paraId="02495B62" w14:textId="77777777" w:rsidR="009948F1" w:rsidRDefault="00BC0563">
            <w:pPr>
              <w:pStyle w:val="TableParagraph"/>
              <w:spacing w:line="250" w:lineRule="exact"/>
              <w:ind w:left="110"/>
            </w:pPr>
            <w:r>
              <w:rPr>
                <w:color w:val="231F20"/>
                <w:w w:val="95"/>
              </w:rPr>
              <w:t>23%</w:t>
            </w:r>
          </w:p>
        </w:tc>
        <w:tc>
          <w:tcPr>
            <w:tcW w:w="768" w:type="dxa"/>
            <w:tcBorders>
              <w:left w:val="single" w:sz="4" w:space="0" w:color="231F20"/>
              <w:right w:val="single" w:sz="4" w:space="0" w:color="231F20"/>
            </w:tcBorders>
          </w:tcPr>
          <w:p w14:paraId="53436244" w14:textId="77777777" w:rsidR="009948F1" w:rsidRDefault="00BC0563">
            <w:pPr>
              <w:pStyle w:val="TableParagraph"/>
              <w:spacing w:line="250" w:lineRule="exact"/>
              <w:ind w:left="111"/>
            </w:pPr>
            <w:r>
              <w:rPr>
                <w:color w:val="231F20"/>
                <w:w w:val="95"/>
              </w:rPr>
              <w:t>25%</w:t>
            </w:r>
          </w:p>
        </w:tc>
        <w:tc>
          <w:tcPr>
            <w:tcW w:w="766" w:type="dxa"/>
            <w:tcBorders>
              <w:left w:val="single" w:sz="4" w:space="0" w:color="231F20"/>
              <w:right w:val="single" w:sz="4" w:space="0" w:color="231F20"/>
            </w:tcBorders>
          </w:tcPr>
          <w:p w14:paraId="5B1DB63A" w14:textId="77777777" w:rsidR="009948F1" w:rsidRDefault="00BC0563">
            <w:pPr>
              <w:pStyle w:val="TableParagraph"/>
              <w:spacing w:line="250" w:lineRule="exact"/>
              <w:ind w:left="111"/>
            </w:pPr>
            <w:r>
              <w:rPr>
                <w:color w:val="231F20"/>
                <w:w w:val="95"/>
              </w:rPr>
              <w:t>20%</w:t>
            </w:r>
          </w:p>
        </w:tc>
        <w:tc>
          <w:tcPr>
            <w:tcW w:w="768" w:type="dxa"/>
            <w:tcBorders>
              <w:left w:val="single" w:sz="4" w:space="0" w:color="231F20"/>
              <w:right w:val="single" w:sz="4" w:space="0" w:color="231F20"/>
            </w:tcBorders>
          </w:tcPr>
          <w:p w14:paraId="1DE4B2A7" w14:textId="77777777" w:rsidR="009948F1" w:rsidRDefault="00BC0563">
            <w:pPr>
              <w:pStyle w:val="TableParagraph"/>
              <w:spacing w:line="250" w:lineRule="exact"/>
              <w:ind w:left="111"/>
            </w:pPr>
            <w:r>
              <w:rPr>
                <w:color w:val="231F20"/>
                <w:w w:val="95"/>
              </w:rPr>
              <w:t>15%</w:t>
            </w:r>
          </w:p>
        </w:tc>
        <w:tc>
          <w:tcPr>
            <w:tcW w:w="766" w:type="dxa"/>
            <w:tcBorders>
              <w:left w:val="single" w:sz="4" w:space="0" w:color="231F20"/>
              <w:right w:val="single" w:sz="4" w:space="0" w:color="231F20"/>
            </w:tcBorders>
          </w:tcPr>
          <w:p w14:paraId="69A67380" w14:textId="77777777" w:rsidR="009948F1" w:rsidRDefault="00BC0563">
            <w:pPr>
              <w:pStyle w:val="TableParagraph"/>
              <w:spacing w:line="250" w:lineRule="exact"/>
              <w:ind w:left="111"/>
            </w:pPr>
            <w:r>
              <w:rPr>
                <w:color w:val="231F20"/>
                <w:w w:val="95"/>
              </w:rPr>
              <w:t>10%</w:t>
            </w:r>
          </w:p>
        </w:tc>
        <w:tc>
          <w:tcPr>
            <w:tcW w:w="773" w:type="dxa"/>
            <w:tcBorders>
              <w:left w:val="single" w:sz="4" w:space="0" w:color="231F20"/>
              <w:right w:val="single" w:sz="4" w:space="0" w:color="231F20"/>
            </w:tcBorders>
          </w:tcPr>
          <w:p w14:paraId="31A9F69A" w14:textId="77777777" w:rsidR="009948F1" w:rsidRDefault="00BC0563">
            <w:pPr>
              <w:pStyle w:val="TableParagraph"/>
              <w:spacing w:line="250" w:lineRule="exact"/>
              <w:ind w:left="111"/>
            </w:pPr>
            <w:r>
              <w:rPr>
                <w:color w:val="231F20"/>
                <w:w w:val="95"/>
              </w:rPr>
              <w:t>5%</w:t>
            </w:r>
          </w:p>
        </w:tc>
        <w:tc>
          <w:tcPr>
            <w:tcW w:w="1011" w:type="dxa"/>
            <w:tcBorders>
              <w:left w:val="single" w:sz="4" w:space="0" w:color="231F20"/>
              <w:right w:val="single" w:sz="4" w:space="0" w:color="231F20"/>
            </w:tcBorders>
          </w:tcPr>
          <w:p w14:paraId="60664A82" w14:textId="77777777" w:rsidR="009948F1" w:rsidRDefault="00BC0563">
            <w:pPr>
              <w:pStyle w:val="TableParagraph"/>
              <w:spacing w:line="250" w:lineRule="exact"/>
              <w:ind w:left="111"/>
            </w:pPr>
            <w:r>
              <w:rPr>
                <w:color w:val="231F20"/>
                <w:w w:val="95"/>
              </w:rPr>
              <w:t>10%</w:t>
            </w:r>
          </w:p>
        </w:tc>
      </w:tr>
      <w:tr w:rsidR="009948F1" w14:paraId="147D01FE" w14:textId="77777777">
        <w:trPr>
          <w:trHeight w:val="753"/>
        </w:trPr>
        <w:tc>
          <w:tcPr>
            <w:tcW w:w="3159" w:type="dxa"/>
            <w:tcBorders>
              <w:left w:val="single" w:sz="4" w:space="0" w:color="231F20"/>
              <w:right w:val="single" w:sz="4" w:space="0" w:color="231F20"/>
            </w:tcBorders>
          </w:tcPr>
          <w:p w14:paraId="31636A8D" w14:textId="77777777" w:rsidR="009948F1" w:rsidRDefault="00BC0563">
            <w:pPr>
              <w:pStyle w:val="TableParagraph"/>
              <w:spacing w:before="1" w:line="252" w:lineRule="exact"/>
              <w:ind w:left="110" w:right="313"/>
            </w:pPr>
            <w:r>
              <w:rPr>
                <w:color w:val="231F20"/>
                <w:w w:val="85"/>
              </w:rPr>
              <w:t xml:space="preserve">Prevalence of childhood wasting </w:t>
            </w:r>
            <w:r>
              <w:rPr>
                <w:color w:val="231F20"/>
                <w:w w:val="90"/>
              </w:rPr>
              <w:t>reduced</w:t>
            </w:r>
            <w:r>
              <w:rPr>
                <w:color w:val="231F20"/>
                <w:spacing w:val="-33"/>
                <w:w w:val="90"/>
              </w:rPr>
              <w:t xml:space="preserve"> </w:t>
            </w:r>
            <w:r>
              <w:rPr>
                <w:color w:val="231F20"/>
                <w:w w:val="90"/>
              </w:rPr>
              <w:t>from</w:t>
            </w:r>
            <w:r>
              <w:rPr>
                <w:color w:val="231F20"/>
                <w:spacing w:val="-33"/>
                <w:w w:val="90"/>
              </w:rPr>
              <w:t xml:space="preserve"> </w:t>
            </w:r>
            <w:r>
              <w:rPr>
                <w:color w:val="231F20"/>
                <w:w w:val="90"/>
              </w:rPr>
              <w:t>8%</w:t>
            </w:r>
            <w:r>
              <w:rPr>
                <w:color w:val="231F20"/>
                <w:spacing w:val="-33"/>
                <w:w w:val="90"/>
              </w:rPr>
              <w:t xml:space="preserve"> </w:t>
            </w:r>
            <w:r>
              <w:rPr>
                <w:color w:val="231F20"/>
                <w:w w:val="90"/>
              </w:rPr>
              <w:t>to</w:t>
            </w:r>
            <w:r>
              <w:rPr>
                <w:color w:val="231F20"/>
                <w:spacing w:val="-32"/>
                <w:w w:val="90"/>
              </w:rPr>
              <w:t xml:space="preserve"> </w:t>
            </w:r>
            <w:r>
              <w:rPr>
                <w:color w:val="231F20"/>
                <w:w w:val="90"/>
              </w:rPr>
              <w:t>less</w:t>
            </w:r>
            <w:r>
              <w:rPr>
                <w:color w:val="231F20"/>
                <w:spacing w:val="-33"/>
                <w:w w:val="90"/>
              </w:rPr>
              <w:t xml:space="preserve"> </w:t>
            </w:r>
            <w:r>
              <w:rPr>
                <w:color w:val="231F20"/>
                <w:w w:val="90"/>
              </w:rPr>
              <w:t>than</w:t>
            </w:r>
            <w:r>
              <w:rPr>
                <w:color w:val="231F20"/>
                <w:spacing w:val="-33"/>
                <w:w w:val="90"/>
              </w:rPr>
              <w:t xml:space="preserve"> </w:t>
            </w:r>
            <w:r>
              <w:rPr>
                <w:color w:val="231F20"/>
                <w:spacing w:val="-7"/>
                <w:w w:val="90"/>
              </w:rPr>
              <w:t xml:space="preserve">4% </w:t>
            </w:r>
            <w:r>
              <w:rPr>
                <w:color w:val="231F20"/>
                <w:w w:val="95"/>
              </w:rPr>
              <w:t>by</w:t>
            </w:r>
            <w:r>
              <w:rPr>
                <w:color w:val="231F20"/>
                <w:spacing w:val="-9"/>
                <w:w w:val="95"/>
              </w:rPr>
              <w:t xml:space="preserve"> </w:t>
            </w:r>
            <w:r>
              <w:rPr>
                <w:color w:val="231F20"/>
                <w:w w:val="95"/>
              </w:rPr>
              <w:t>2022</w:t>
            </w:r>
          </w:p>
        </w:tc>
        <w:tc>
          <w:tcPr>
            <w:tcW w:w="1232" w:type="dxa"/>
            <w:tcBorders>
              <w:left w:val="single" w:sz="4" w:space="0" w:color="231F20"/>
              <w:right w:val="single" w:sz="4" w:space="0" w:color="231F20"/>
            </w:tcBorders>
          </w:tcPr>
          <w:p w14:paraId="4DFB6B14" w14:textId="77777777" w:rsidR="009948F1" w:rsidRDefault="00BC0563">
            <w:pPr>
              <w:pStyle w:val="TableParagraph"/>
              <w:spacing w:line="249" w:lineRule="exact"/>
              <w:ind w:left="110"/>
            </w:pPr>
            <w:r>
              <w:rPr>
                <w:color w:val="231F20"/>
                <w:w w:val="95"/>
              </w:rPr>
              <w:t>TBD</w:t>
            </w:r>
          </w:p>
        </w:tc>
        <w:tc>
          <w:tcPr>
            <w:tcW w:w="768" w:type="dxa"/>
            <w:tcBorders>
              <w:left w:val="single" w:sz="4" w:space="0" w:color="231F20"/>
              <w:right w:val="single" w:sz="4" w:space="0" w:color="231F20"/>
            </w:tcBorders>
          </w:tcPr>
          <w:p w14:paraId="4147BF86" w14:textId="77777777" w:rsidR="009948F1" w:rsidRDefault="00BC0563">
            <w:pPr>
              <w:pStyle w:val="TableParagraph"/>
              <w:spacing w:line="249" w:lineRule="exact"/>
              <w:ind w:left="111"/>
            </w:pPr>
            <w:r>
              <w:rPr>
                <w:color w:val="231F20"/>
                <w:w w:val="95"/>
              </w:rPr>
              <w:t>8%</w:t>
            </w:r>
          </w:p>
        </w:tc>
        <w:tc>
          <w:tcPr>
            <w:tcW w:w="766" w:type="dxa"/>
            <w:tcBorders>
              <w:left w:val="single" w:sz="4" w:space="0" w:color="231F20"/>
              <w:right w:val="single" w:sz="4" w:space="0" w:color="231F20"/>
            </w:tcBorders>
          </w:tcPr>
          <w:p w14:paraId="788B48AD" w14:textId="77777777" w:rsidR="009948F1" w:rsidRDefault="00BC0563">
            <w:pPr>
              <w:pStyle w:val="TableParagraph"/>
              <w:spacing w:line="249" w:lineRule="exact"/>
              <w:ind w:left="111"/>
            </w:pPr>
            <w:r>
              <w:rPr>
                <w:color w:val="231F20"/>
                <w:w w:val="95"/>
              </w:rPr>
              <w:t>7%</w:t>
            </w:r>
          </w:p>
        </w:tc>
        <w:tc>
          <w:tcPr>
            <w:tcW w:w="768" w:type="dxa"/>
            <w:tcBorders>
              <w:left w:val="single" w:sz="4" w:space="0" w:color="231F20"/>
              <w:right w:val="single" w:sz="4" w:space="0" w:color="231F20"/>
            </w:tcBorders>
          </w:tcPr>
          <w:p w14:paraId="126FFC40" w14:textId="77777777" w:rsidR="009948F1" w:rsidRDefault="00BC0563">
            <w:pPr>
              <w:pStyle w:val="TableParagraph"/>
              <w:spacing w:line="249" w:lineRule="exact"/>
              <w:ind w:left="111"/>
            </w:pPr>
            <w:r>
              <w:rPr>
                <w:color w:val="231F20"/>
                <w:w w:val="95"/>
              </w:rPr>
              <w:t>6%</w:t>
            </w:r>
          </w:p>
        </w:tc>
        <w:tc>
          <w:tcPr>
            <w:tcW w:w="766" w:type="dxa"/>
            <w:tcBorders>
              <w:left w:val="single" w:sz="4" w:space="0" w:color="231F20"/>
              <w:right w:val="single" w:sz="4" w:space="0" w:color="231F20"/>
            </w:tcBorders>
          </w:tcPr>
          <w:p w14:paraId="6D2CF033" w14:textId="77777777" w:rsidR="009948F1" w:rsidRDefault="00BC0563">
            <w:pPr>
              <w:pStyle w:val="TableParagraph"/>
              <w:spacing w:line="249" w:lineRule="exact"/>
              <w:ind w:left="111"/>
            </w:pPr>
            <w:r>
              <w:rPr>
                <w:color w:val="231F20"/>
                <w:w w:val="95"/>
              </w:rPr>
              <w:t>5%</w:t>
            </w:r>
          </w:p>
        </w:tc>
        <w:tc>
          <w:tcPr>
            <w:tcW w:w="773" w:type="dxa"/>
            <w:tcBorders>
              <w:left w:val="single" w:sz="4" w:space="0" w:color="231F20"/>
              <w:right w:val="single" w:sz="4" w:space="0" w:color="231F20"/>
            </w:tcBorders>
          </w:tcPr>
          <w:p w14:paraId="7007C345" w14:textId="77777777" w:rsidR="009948F1" w:rsidRDefault="00BC0563">
            <w:pPr>
              <w:pStyle w:val="TableParagraph"/>
              <w:spacing w:line="249" w:lineRule="exact"/>
              <w:ind w:left="111"/>
            </w:pPr>
            <w:r>
              <w:rPr>
                <w:color w:val="231F20"/>
                <w:w w:val="95"/>
              </w:rPr>
              <w:t>4%</w:t>
            </w:r>
          </w:p>
        </w:tc>
        <w:tc>
          <w:tcPr>
            <w:tcW w:w="1011" w:type="dxa"/>
            <w:tcBorders>
              <w:left w:val="single" w:sz="4" w:space="0" w:color="231F20"/>
              <w:right w:val="single" w:sz="4" w:space="0" w:color="231F20"/>
            </w:tcBorders>
          </w:tcPr>
          <w:p w14:paraId="74DB19E3" w14:textId="77777777" w:rsidR="009948F1" w:rsidRDefault="00BC0563">
            <w:pPr>
              <w:pStyle w:val="TableParagraph"/>
              <w:spacing w:line="249" w:lineRule="exact"/>
              <w:ind w:left="111"/>
            </w:pPr>
            <w:r>
              <w:rPr>
                <w:color w:val="231F20"/>
                <w:w w:val="95"/>
              </w:rPr>
              <w:t>10%</w:t>
            </w:r>
          </w:p>
        </w:tc>
      </w:tr>
      <w:tr w:rsidR="009948F1" w14:paraId="761D0C8B" w14:textId="77777777">
        <w:trPr>
          <w:trHeight w:val="753"/>
        </w:trPr>
        <w:tc>
          <w:tcPr>
            <w:tcW w:w="3159" w:type="dxa"/>
            <w:tcBorders>
              <w:left w:val="single" w:sz="4" w:space="0" w:color="231F20"/>
              <w:right w:val="single" w:sz="4" w:space="0" w:color="231F20"/>
            </w:tcBorders>
          </w:tcPr>
          <w:p w14:paraId="1AC22FBD" w14:textId="7DA5FC77" w:rsidR="009948F1" w:rsidRDefault="00BC0563">
            <w:pPr>
              <w:pStyle w:val="TableParagraph"/>
              <w:tabs>
                <w:tab w:val="left" w:pos="2928"/>
              </w:tabs>
              <w:spacing w:line="247" w:lineRule="exact"/>
              <w:ind w:left="110" w:firstLine="51"/>
            </w:pPr>
            <w:r>
              <w:rPr>
                <w:color w:val="231F20"/>
                <w:w w:val="90"/>
              </w:rPr>
              <w:t>Prevalence</w:t>
            </w:r>
            <w:r>
              <w:rPr>
                <w:color w:val="231F20"/>
                <w:spacing w:val="-31"/>
                <w:w w:val="90"/>
              </w:rPr>
              <w:t xml:space="preserve"> </w:t>
            </w:r>
            <w:r>
              <w:rPr>
                <w:color w:val="231F20"/>
                <w:w w:val="90"/>
              </w:rPr>
              <w:t>of</w:t>
            </w:r>
            <w:r>
              <w:rPr>
                <w:color w:val="231F20"/>
                <w:spacing w:val="-32"/>
                <w:w w:val="90"/>
              </w:rPr>
              <w:t xml:space="preserve"> </w:t>
            </w:r>
            <w:r>
              <w:rPr>
                <w:color w:val="231F20"/>
                <w:w w:val="90"/>
              </w:rPr>
              <w:t>stunting</w:t>
            </w:r>
            <w:r>
              <w:rPr>
                <w:color w:val="231F20"/>
                <w:spacing w:val="-30"/>
                <w:w w:val="90"/>
              </w:rPr>
              <w:t xml:space="preserve"> </w:t>
            </w:r>
            <w:r>
              <w:rPr>
                <w:color w:val="231F20"/>
                <w:w w:val="90"/>
              </w:rPr>
              <w:t>in</w:t>
            </w:r>
            <w:r>
              <w:rPr>
                <w:color w:val="231F20"/>
                <w:spacing w:val="-31"/>
                <w:w w:val="90"/>
              </w:rPr>
              <w:t xml:space="preserve"> </w:t>
            </w:r>
            <w:r w:rsidR="00DE6DF0">
              <w:rPr>
                <w:color w:val="231F20"/>
                <w:w w:val="90"/>
              </w:rPr>
              <w:t>unde</w:t>
            </w:r>
            <w:r>
              <w:rPr>
                <w:color w:val="231F20"/>
                <w:w w:val="95"/>
              </w:rPr>
              <w:t>r-</w:t>
            </w:r>
          </w:p>
          <w:p w14:paraId="26AE1D8F" w14:textId="4A666371" w:rsidR="009948F1" w:rsidRDefault="00DE6DF0">
            <w:pPr>
              <w:pStyle w:val="TableParagraph"/>
              <w:spacing w:before="7" w:line="252" w:lineRule="exact"/>
              <w:ind w:left="110" w:right="111"/>
            </w:pPr>
            <w:r>
              <w:rPr>
                <w:color w:val="231F20"/>
                <w:w w:val="90"/>
              </w:rPr>
              <w:t>F</w:t>
            </w:r>
            <w:r w:rsidR="00BC0563">
              <w:rPr>
                <w:color w:val="231F20"/>
                <w:w w:val="90"/>
              </w:rPr>
              <w:t>ives</w:t>
            </w:r>
            <w:r w:rsidR="00BC0563">
              <w:rPr>
                <w:color w:val="231F20"/>
                <w:spacing w:val="-35"/>
                <w:w w:val="90"/>
              </w:rPr>
              <w:t xml:space="preserve"> </w:t>
            </w:r>
            <w:r w:rsidR="00BC0563">
              <w:rPr>
                <w:color w:val="231F20"/>
                <w:w w:val="90"/>
              </w:rPr>
              <w:t>reduced</w:t>
            </w:r>
            <w:r w:rsidR="00BC0563">
              <w:rPr>
                <w:color w:val="231F20"/>
                <w:spacing w:val="-34"/>
                <w:w w:val="90"/>
              </w:rPr>
              <w:t xml:space="preserve"> </w:t>
            </w:r>
            <w:r w:rsidR="00BC0563">
              <w:rPr>
                <w:color w:val="231F20"/>
                <w:w w:val="90"/>
              </w:rPr>
              <w:t>from</w:t>
            </w:r>
            <w:r w:rsidR="00BC0563">
              <w:rPr>
                <w:color w:val="231F20"/>
                <w:spacing w:val="-34"/>
                <w:w w:val="90"/>
              </w:rPr>
              <w:t xml:space="preserve"> </w:t>
            </w:r>
            <w:r w:rsidR="00BC0563">
              <w:rPr>
                <w:color w:val="231F20"/>
                <w:spacing w:val="-5"/>
                <w:w w:val="90"/>
              </w:rPr>
              <w:t>11%</w:t>
            </w:r>
            <w:r w:rsidR="00BC0563">
              <w:rPr>
                <w:color w:val="231F20"/>
                <w:spacing w:val="-34"/>
                <w:w w:val="90"/>
              </w:rPr>
              <w:t xml:space="preserve"> </w:t>
            </w:r>
            <w:r w:rsidR="00BC0563">
              <w:rPr>
                <w:color w:val="231F20"/>
                <w:w w:val="90"/>
              </w:rPr>
              <w:t>to</w:t>
            </w:r>
            <w:r w:rsidR="00BC0563">
              <w:rPr>
                <w:color w:val="231F20"/>
                <w:spacing w:val="-34"/>
                <w:w w:val="90"/>
              </w:rPr>
              <w:t xml:space="preserve"> </w:t>
            </w:r>
            <w:r w:rsidR="00BC0563">
              <w:rPr>
                <w:color w:val="231F20"/>
                <w:w w:val="90"/>
              </w:rPr>
              <w:t>less</w:t>
            </w:r>
            <w:r w:rsidR="00BC0563">
              <w:rPr>
                <w:color w:val="231F20"/>
                <w:spacing w:val="-34"/>
                <w:w w:val="90"/>
              </w:rPr>
              <w:t xml:space="preserve"> </w:t>
            </w:r>
            <w:r w:rsidR="00BC0563">
              <w:rPr>
                <w:color w:val="231F20"/>
                <w:spacing w:val="-5"/>
                <w:w w:val="90"/>
              </w:rPr>
              <w:t xml:space="preserve">than </w:t>
            </w:r>
            <w:r w:rsidR="00BC0563">
              <w:rPr>
                <w:color w:val="231F20"/>
                <w:w w:val="95"/>
              </w:rPr>
              <w:t>7%</w:t>
            </w:r>
          </w:p>
        </w:tc>
        <w:tc>
          <w:tcPr>
            <w:tcW w:w="1232" w:type="dxa"/>
            <w:tcBorders>
              <w:left w:val="single" w:sz="4" w:space="0" w:color="231F20"/>
              <w:right w:val="single" w:sz="4" w:space="0" w:color="231F20"/>
            </w:tcBorders>
          </w:tcPr>
          <w:p w14:paraId="00B0BDC3" w14:textId="77777777" w:rsidR="009948F1" w:rsidRDefault="00BC0563">
            <w:pPr>
              <w:pStyle w:val="TableParagraph"/>
              <w:spacing w:line="247" w:lineRule="exact"/>
              <w:ind w:left="110"/>
            </w:pPr>
            <w:r>
              <w:rPr>
                <w:color w:val="231F20"/>
                <w:w w:val="95"/>
              </w:rPr>
              <w:t>TBD</w:t>
            </w:r>
          </w:p>
        </w:tc>
        <w:tc>
          <w:tcPr>
            <w:tcW w:w="768" w:type="dxa"/>
            <w:tcBorders>
              <w:left w:val="single" w:sz="4" w:space="0" w:color="231F20"/>
              <w:right w:val="single" w:sz="4" w:space="0" w:color="231F20"/>
            </w:tcBorders>
          </w:tcPr>
          <w:p w14:paraId="176C87E8" w14:textId="77777777" w:rsidR="009948F1" w:rsidRDefault="00BC0563">
            <w:pPr>
              <w:pStyle w:val="TableParagraph"/>
              <w:spacing w:line="247" w:lineRule="exact"/>
              <w:ind w:left="111"/>
            </w:pPr>
            <w:r>
              <w:rPr>
                <w:color w:val="231F20"/>
                <w:w w:val="95"/>
              </w:rPr>
              <w:t>11%</w:t>
            </w:r>
          </w:p>
        </w:tc>
        <w:tc>
          <w:tcPr>
            <w:tcW w:w="766" w:type="dxa"/>
            <w:tcBorders>
              <w:left w:val="single" w:sz="4" w:space="0" w:color="231F20"/>
              <w:right w:val="single" w:sz="4" w:space="0" w:color="231F20"/>
            </w:tcBorders>
          </w:tcPr>
          <w:p w14:paraId="39A68D40" w14:textId="77777777" w:rsidR="009948F1" w:rsidRDefault="00BC0563">
            <w:pPr>
              <w:pStyle w:val="TableParagraph"/>
              <w:spacing w:line="247" w:lineRule="exact"/>
              <w:ind w:left="111"/>
            </w:pPr>
            <w:r>
              <w:rPr>
                <w:color w:val="231F20"/>
                <w:w w:val="95"/>
              </w:rPr>
              <w:t>10%</w:t>
            </w:r>
          </w:p>
        </w:tc>
        <w:tc>
          <w:tcPr>
            <w:tcW w:w="768" w:type="dxa"/>
            <w:tcBorders>
              <w:left w:val="single" w:sz="4" w:space="0" w:color="231F20"/>
              <w:right w:val="single" w:sz="4" w:space="0" w:color="231F20"/>
            </w:tcBorders>
          </w:tcPr>
          <w:p w14:paraId="4585978B" w14:textId="77777777" w:rsidR="009948F1" w:rsidRDefault="00BC0563">
            <w:pPr>
              <w:pStyle w:val="TableParagraph"/>
              <w:spacing w:line="247" w:lineRule="exact"/>
              <w:ind w:left="111"/>
            </w:pPr>
            <w:r>
              <w:rPr>
                <w:color w:val="231F20"/>
                <w:w w:val="95"/>
              </w:rPr>
              <w:t>9%</w:t>
            </w:r>
          </w:p>
        </w:tc>
        <w:tc>
          <w:tcPr>
            <w:tcW w:w="766" w:type="dxa"/>
            <w:tcBorders>
              <w:left w:val="single" w:sz="4" w:space="0" w:color="231F20"/>
              <w:right w:val="single" w:sz="4" w:space="0" w:color="231F20"/>
            </w:tcBorders>
          </w:tcPr>
          <w:p w14:paraId="31139600" w14:textId="77777777" w:rsidR="009948F1" w:rsidRDefault="00BC0563">
            <w:pPr>
              <w:pStyle w:val="TableParagraph"/>
              <w:spacing w:line="247" w:lineRule="exact"/>
              <w:ind w:left="111"/>
            </w:pPr>
            <w:r>
              <w:rPr>
                <w:color w:val="231F20"/>
                <w:w w:val="95"/>
              </w:rPr>
              <w:t>8%</w:t>
            </w:r>
          </w:p>
        </w:tc>
        <w:tc>
          <w:tcPr>
            <w:tcW w:w="773" w:type="dxa"/>
            <w:tcBorders>
              <w:left w:val="single" w:sz="4" w:space="0" w:color="231F20"/>
              <w:right w:val="single" w:sz="4" w:space="0" w:color="231F20"/>
            </w:tcBorders>
          </w:tcPr>
          <w:p w14:paraId="576E440F" w14:textId="77777777" w:rsidR="009948F1" w:rsidRDefault="00BC0563">
            <w:pPr>
              <w:pStyle w:val="TableParagraph"/>
              <w:spacing w:line="247" w:lineRule="exact"/>
              <w:ind w:left="111"/>
            </w:pPr>
            <w:r>
              <w:rPr>
                <w:color w:val="231F20"/>
                <w:w w:val="95"/>
              </w:rPr>
              <w:t>7%</w:t>
            </w:r>
          </w:p>
        </w:tc>
        <w:tc>
          <w:tcPr>
            <w:tcW w:w="1011" w:type="dxa"/>
            <w:tcBorders>
              <w:left w:val="single" w:sz="4" w:space="0" w:color="231F20"/>
              <w:right w:val="single" w:sz="4" w:space="0" w:color="231F20"/>
            </w:tcBorders>
          </w:tcPr>
          <w:p w14:paraId="3C35C6EB" w14:textId="77777777" w:rsidR="009948F1" w:rsidRDefault="00BC0563">
            <w:pPr>
              <w:pStyle w:val="TableParagraph"/>
              <w:spacing w:line="247" w:lineRule="exact"/>
              <w:ind w:left="111"/>
            </w:pPr>
            <w:r>
              <w:rPr>
                <w:color w:val="231F20"/>
                <w:w w:val="95"/>
              </w:rPr>
              <w:t>20%</w:t>
            </w:r>
          </w:p>
        </w:tc>
      </w:tr>
      <w:tr w:rsidR="009948F1" w14:paraId="6F38C9DF" w14:textId="77777777">
        <w:trPr>
          <w:trHeight w:val="753"/>
        </w:trPr>
        <w:tc>
          <w:tcPr>
            <w:tcW w:w="3159" w:type="dxa"/>
            <w:tcBorders>
              <w:left w:val="single" w:sz="4" w:space="0" w:color="231F20"/>
              <w:right w:val="single" w:sz="4" w:space="0" w:color="231F20"/>
            </w:tcBorders>
          </w:tcPr>
          <w:p w14:paraId="53773545" w14:textId="77777777" w:rsidR="009948F1" w:rsidRDefault="00BC0563">
            <w:pPr>
              <w:pStyle w:val="TableParagraph"/>
              <w:spacing w:line="247" w:lineRule="exact"/>
              <w:ind w:left="110"/>
            </w:pPr>
            <w:r>
              <w:rPr>
                <w:color w:val="231F20"/>
                <w:w w:val="95"/>
              </w:rPr>
              <w:t xml:space="preserve">Incidence of </w:t>
            </w:r>
            <w:proofErr w:type="spellStart"/>
            <w:r>
              <w:rPr>
                <w:color w:val="231F20"/>
                <w:w w:val="95"/>
              </w:rPr>
              <w:t>anaemia</w:t>
            </w:r>
            <w:proofErr w:type="spellEnd"/>
            <w:r>
              <w:rPr>
                <w:color w:val="231F20"/>
                <w:w w:val="95"/>
              </w:rPr>
              <w:t xml:space="preserve"> among</w:t>
            </w:r>
          </w:p>
          <w:p w14:paraId="1F436CD0" w14:textId="77777777" w:rsidR="009948F1" w:rsidRDefault="00BC0563">
            <w:pPr>
              <w:pStyle w:val="TableParagraph"/>
              <w:spacing w:before="7" w:line="252" w:lineRule="exact"/>
              <w:ind w:left="110" w:right="35"/>
            </w:pPr>
            <w:r>
              <w:rPr>
                <w:color w:val="231F20"/>
                <w:w w:val="85"/>
              </w:rPr>
              <w:t xml:space="preserve">women of reproductive age reduced </w:t>
            </w:r>
            <w:r>
              <w:rPr>
                <w:color w:val="231F20"/>
                <w:w w:val="95"/>
              </w:rPr>
              <w:t>to 6%</w:t>
            </w:r>
          </w:p>
        </w:tc>
        <w:tc>
          <w:tcPr>
            <w:tcW w:w="1232" w:type="dxa"/>
            <w:tcBorders>
              <w:left w:val="single" w:sz="4" w:space="0" w:color="231F20"/>
              <w:right w:val="single" w:sz="4" w:space="0" w:color="231F20"/>
            </w:tcBorders>
          </w:tcPr>
          <w:p w14:paraId="78B22BBE" w14:textId="77777777" w:rsidR="009948F1" w:rsidRDefault="00BC0563">
            <w:pPr>
              <w:pStyle w:val="TableParagraph"/>
              <w:spacing w:line="247" w:lineRule="exact"/>
              <w:ind w:left="110"/>
            </w:pPr>
            <w:r>
              <w:rPr>
                <w:color w:val="231F20"/>
                <w:w w:val="95"/>
              </w:rPr>
              <w:t>TBD</w:t>
            </w:r>
          </w:p>
        </w:tc>
        <w:tc>
          <w:tcPr>
            <w:tcW w:w="768" w:type="dxa"/>
            <w:tcBorders>
              <w:left w:val="single" w:sz="4" w:space="0" w:color="231F20"/>
              <w:right w:val="single" w:sz="4" w:space="0" w:color="231F20"/>
            </w:tcBorders>
          </w:tcPr>
          <w:p w14:paraId="66452377" w14:textId="77777777" w:rsidR="009948F1" w:rsidRDefault="00BC0563">
            <w:pPr>
              <w:pStyle w:val="TableParagraph"/>
              <w:spacing w:line="247" w:lineRule="exact"/>
              <w:ind w:left="111"/>
            </w:pPr>
            <w:r>
              <w:rPr>
                <w:color w:val="231F20"/>
                <w:w w:val="95"/>
              </w:rPr>
              <w:t>10%</w:t>
            </w:r>
          </w:p>
        </w:tc>
        <w:tc>
          <w:tcPr>
            <w:tcW w:w="766" w:type="dxa"/>
            <w:tcBorders>
              <w:left w:val="single" w:sz="4" w:space="0" w:color="231F20"/>
              <w:right w:val="single" w:sz="4" w:space="0" w:color="231F20"/>
            </w:tcBorders>
          </w:tcPr>
          <w:p w14:paraId="056E676C" w14:textId="77777777" w:rsidR="009948F1" w:rsidRDefault="00BC0563">
            <w:pPr>
              <w:pStyle w:val="TableParagraph"/>
              <w:spacing w:line="247" w:lineRule="exact"/>
              <w:ind w:left="111"/>
            </w:pPr>
            <w:r>
              <w:rPr>
                <w:color w:val="231F20"/>
                <w:w w:val="95"/>
              </w:rPr>
              <w:t>9%</w:t>
            </w:r>
          </w:p>
        </w:tc>
        <w:tc>
          <w:tcPr>
            <w:tcW w:w="768" w:type="dxa"/>
            <w:tcBorders>
              <w:left w:val="single" w:sz="4" w:space="0" w:color="231F20"/>
              <w:right w:val="single" w:sz="4" w:space="0" w:color="231F20"/>
            </w:tcBorders>
          </w:tcPr>
          <w:p w14:paraId="77824FE1" w14:textId="77777777" w:rsidR="009948F1" w:rsidRDefault="00BC0563">
            <w:pPr>
              <w:pStyle w:val="TableParagraph"/>
              <w:spacing w:line="247" w:lineRule="exact"/>
              <w:ind w:left="111"/>
            </w:pPr>
            <w:r>
              <w:rPr>
                <w:color w:val="231F20"/>
                <w:w w:val="95"/>
              </w:rPr>
              <w:t>8%</w:t>
            </w:r>
          </w:p>
        </w:tc>
        <w:tc>
          <w:tcPr>
            <w:tcW w:w="766" w:type="dxa"/>
            <w:tcBorders>
              <w:left w:val="single" w:sz="4" w:space="0" w:color="231F20"/>
              <w:right w:val="single" w:sz="4" w:space="0" w:color="231F20"/>
            </w:tcBorders>
          </w:tcPr>
          <w:p w14:paraId="5D3F6D0A" w14:textId="77777777" w:rsidR="009948F1" w:rsidRDefault="00BC0563">
            <w:pPr>
              <w:pStyle w:val="TableParagraph"/>
              <w:spacing w:line="247" w:lineRule="exact"/>
              <w:ind w:left="111"/>
            </w:pPr>
            <w:r>
              <w:rPr>
                <w:color w:val="231F20"/>
                <w:w w:val="95"/>
              </w:rPr>
              <w:t>7%</w:t>
            </w:r>
          </w:p>
        </w:tc>
        <w:tc>
          <w:tcPr>
            <w:tcW w:w="773" w:type="dxa"/>
            <w:tcBorders>
              <w:left w:val="single" w:sz="4" w:space="0" w:color="231F20"/>
              <w:right w:val="single" w:sz="4" w:space="0" w:color="231F20"/>
            </w:tcBorders>
          </w:tcPr>
          <w:p w14:paraId="6546EDAD" w14:textId="77777777" w:rsidR="009948F1" w:rsidRDefault="00BC0563">
            <w:pPr>
              <w:pStyle w:val="TableParagraph"/>
              <w:spacing w:line="247" w:lineRule="exact"/>
              <w:ind w:left="111"/>
            </w:pPr>
            <w:r>
              <w:rPr>
                <w:color w:val="231F20"/>
                <w:w w:val="95"/>
              </w:rPr>
              <w:t>6%</w:t>
            </w:r>
          </w:p>
        </w:tc>
        <w:tc>
          <w:tcPr>
            <w:tcW w:w="1011" w:type="dxa"/>
            <w:tcBorders>
              <w:left w:val="single" w:sz="4" w:space="0" w:color="231F20"/>
              <w:right w:val="single" w:sz="4" w:space="0" w:color="231F20"/>
            </w:tcBorders>
          </w:tcPr>
          <w:p w14:paraId="6D18E5E7" w14:textId="77777777" w:rsidR="009948F1" w:rsidRDefault="009948F1">
            <w:pPr>
              <w:pStyle w:val="TableParagraph"/>
              <w:rPr>
                <w:rFonts w:ascii="Times New Roman"/>
                <w:sz w:val="20"/>
              </w:rPr>
            </w:pPr>
          </w:p>
        </w:tc>
      </w:tr>
      <w:tr w:rsidR="009948F1" w14:paraId="5A30B464" w14:textId="77777777">
        <w:trPr>
          <w:trHeight w:val="500"/>
        </w:trPr>
        <w:tc>
          <w:tcPr>
            <w:tcW w:w="3159" w:type="dxa"/>
            <w:tcBorders>
              <w:left w:val="single" w:sz="4" w:space="0" w:color="231F20"/>
              <w:right w:val="single" w:sz="4" w:space="0" w:color="231F20"/>
            </w:tcBorders>
          </w:tcPr>
          <w:p w14:paraId="70A5730F" w14:textId="77777777" w:rsidR="009948F1" w:rsidRDefault="00BC0563">
            <w:pPr>
              <w:pStyle w:val="TableParagraph"/>
              <w:spacing w:line="246" w:lineRule="exact"/>
              <w:ind w:left="110"/>
            </w:pPr>
            <w:r>
              <w:rPr>
                <w:color w:val="231F20"/>
                <w:w w:val="85"/>
              </w:rPr>
              <w:t>Prevalence of childhood overweight</w:t>
            </w:r>
          </w:p>
          <w:p w14:paraId="163BFAD1" w14:textId="77777777" w:rsidR="009948F1" w:rsidRDefault="00BC0563">
            <w:pPr>
              <w:pStyle w:val="TableParagraph"/>
              <w:spacing w:line="235" w:lineRule="exact"/>
              <w:ind w:left="110"/>
            </w:pPr>
            <w:r>
              <w:rPr>
                <w:color w:val="231F20"/>
                <w:w w:val="95"/>
              </w:rPr>
              <w:t>reduced to 1%.</w:t>
            </w:r>
          </w:p>
        </w:tc>
        <w:tc>
          <w:tcPr>
            <w:tcW w:w="1232" w:type="dxa"/>
            <w:tcBorders>
              <w:left w:val="single" w:sz="4" w:space="0" w:color="231F20"/>
              <w:right w:val="single" w:sz="4" w:space="0" w:color="231F20"/>
            </w:tcBorders>
          </w:tcPr>
          <w:p w14:paraId="1611DADA" w14:textId="77777777" w:rsidR="009948F1" w:rsidRDefault="00BC0563">
            <w:pPr>
              <w:pStyle w:val="TableParagraph"/>
              <w:spacing w:line="247" w:lineRule="exact"/>
              <w:ind w:left="110"/>
            </w:pPr>
            <w:r>
              <w:rPr>
                <w:color w:val="231F20"/>
                <w:w w:val="95"/>
              </w:rPr>
              <w:t>TBD</w:t>
            </w:r>
          </w:p>
        </w:tc>
        <w:tc>
          <w:tcPr>
            <w:tcW w:w="768" w:type="dxa"/>
            <w:tcBorders>
              <w:left w:val="single" w:sz="4" w:space="0" w:color="231F20"/>
              <w:right w:val="single" w:sz="4" w:space="0" w:color="231F20"/>
            </w:tcBorders>
          </w:tcPr>
          <w:p w14:paraId="46059624" w14:textId="77777777" w:rsidR="009948F1" w:rsidRDefault="00BC0563">
            <w:pPr>
              <w:pStyle w:val="TableParagraph"/>
              <w:spacing w:line="247" w:lineRule="exact"/>
              <w:ind w:left="111"/>
            </w:pPr>
            <w:r>
              <w:rPr>
                <w:color w:val="231F20"/>
                <w:w w:val="95"/>
              </w:rPr>
              <w:t>5%</w:t>
            </w:r>
          </w:p>
        </w:tc>
        <w:tc>
          <w:tcPr>
            <w:tcW w:w="766" w:type="dxa"/>
            <w:tcBorders>
              <w:left w:val="single" w:sz="4" w:space="0" w:color="231F20"/>
              <w:right w:val="single" w:sz="4" w:space="0" w:color="231F20"/>
            </w:tcBorders>
          </w:tcPr>
          <w:p w14:paraId="5F5DBEB7" w14:textId="77777777" w:rsidR="009948F1" w:rsidRDefault="00BC0563">
            <w:pPr>
              <w:pStyle w:val="TableParagraph"/>
              <w:spacing w:line="247" w:lineRule="exact"/>
              <w:ind w:left="111"/>
            </w:pPr>
            <w:r>
              <w:rPr>
                <w:color w:val="231F20"/>
                <w:w w:val="95"/>
              </w:rPr>
              <w:t>4%</w:t>
            </w:r>
          </w:p>
        </w:tc>
        <w:tc>
          <w:tcPr>
            <w:tcW w:w="768" w:type="dxa"/>
            <w:tcBorders>
              <w:left w:val="single" w:sz="4" w:space="0" w:color="231F20"/>
              <w:right w:val="single" w:sz="4" w:space="0" w:color="231F20"/>
            </w:tcBorders>
          </w:tcPr>
          <w:p w14:paraId="2A6A51F1" w14:textId="77777777" w:rsidR="009948F1" w:rsidRDefault="00BC0563">
            <w:pPr>
              <w:pStyle w:val="TableParagraph"/>
              <w:spacing w:line="247" w:lineRule="exact"/>
              <w:ind w:left="111"/>
            </w:pPr>
            <w:r>
              <w:rPr>
                <w:color w:val="231F20"/>
                <w:w w:val="95"/>
              </w:rPr>
              <w:t>3%</w:t>
            </w:r>
          </w:p>
        </w:tc>
        <w:tc>
          <w:tcPr>
            <w:tcW w:w="766" w:type="dxa"/>
            <w:tcBorders>
              <w:left w:val="single" w:sz="4" w:space="0" w:color="231F20"/>
              <w:right w:val="single" w:sz="4" w:space="0" w:color="231F20"/>
            </w:tcBorders>
          </w:tcPr>
          <w:p w14:paraId="4BD64DC3" w14:textId="77777777" w:rsidR="009948F1" w:rsidRDefault="00BC0563">
            <w:pPr>
              <w:pStyle w:val="TableParagraph"/>
              <w:spacing w:line="247" w:lineRule="exact"/>
              <w:ind w:left="111"/>
            </w:pPr>
            <w:r>
              <w:rPr>
                <w:color w:val="231F20"/>
                <w:w w:val="95"/>
              </w:rPr>
              <w:t>2%</w:t>
            </w:r>
          </w:p>
        </w:tc>
        <w:tc>
          <w:tcPr>
            <w:tcW w:w="773" w:type="dxa"/>
            <w:tcBorders>
              <w:left w:val="single" w:sz="4" w:space="0" w:color="231F20"/>
              <w:right w:val="single" w:sz="4" w:space="0" w:color="231F20"/>
            </w:tcBorders>
          </w:tcPr>
          <w:p w14:paraId="7772090E" w14:textId="77777777" w:rsidR="009948F1" w:rsidRDefault="00BC0563">
            <w:pPr>
              <w:pStyle w:val="TableParagraph"/>
              <w:spacing w:line="247" w:lineRule="exact"/>
              <w:ind w:left="111"/>
            </w:pPr>
            <w:r>
              <w:rPr>
                <w:color w:val="231F20"/>
                <w:w w:val="95"/>
              </w:rPr>
              <w:t>1%</w:t>
            </w:r>
          </w:p>
        </w:tc>
        <w:tc>
          <w:tcPr>
            <w:tcW w:w="1011" w:type="dxa"/>
            <w:tcBorders>
              <w:left w:val="single" w:sz="4" w:space="0" w:color="231F20"/>
              <w:right w:val="single" w:sz="4" w:space="0" w:color="231F20"/>
            </w:tcBorders>
          </w:tcPr>
          <w:p w14:paraId="6CD24868" w14:textId="77777777" w:rsidR="009948F1" w:rsidRDefault="009948F1">
            <w:pPr>
              <w:pStyle w:val="TableParagraph"/>
              <w:rPr>
                <w:rFonts w:ascii="Times New Roman"/>
                <w:sz w:val="20"/>
              </w:rPr>
            </w:pPr>
          </w:p>
        </w:tc>
      </w:tr>
      <w:tr w:rsidR="009948F1" w14:paraId="194FB1E0" w14:textId="77777777">
        <w:trPr>
          <w:trHeight w:val="757"/>
        </w:trPr>
        <w:tc>
          <w:tcPr>
            <w:tcW w:w="3159" w:type="dxa"/>
            <w:tcBorders>
              <w:left w:val="single" w:sz="4" w:space="0" w:color="231F20"/>
              <w:right w:val="single" w:sz="4" w:space="0" w:color="231F20"/>
            </w:tcBorders>
          </w:tcPr>
          <w:p w14:paraId="19854EDA" w14:textId="5501C74F" w:rsidR="009948F1" w:rsidRDefault="00BC0563">
            <w:pPr>
              <w:pStyle w:val="TableParagraph"/>
              <w:spacing w:before="2" w:line="252" w:lineRule="exact"/>
              <w:ind w:left="110" w:right="97"/>
              <w:jc w:val="both"/>
            </w:pPr>
            <w:r>
              <w:rPr>
                <w:color w:val="231F20"/>
                <w:w w:val="90"/>
              </w:rPr>
              <w:t>Prevalence</w:t>
            </w:r>
            <w:r>
              <w:rPr>
                <w:color w:val="231F20"/>
                <w:spacing w:val="-32"/>
                <w:w w:val="90"/>
              </w:rPr>
              <w:t xml:space="preserve"> </w:t>
            </w:r>
            <w:r>
              <w:rPr>
                <w:color w:val="231F20"/>
                <w:w w:val="90"/>
              </w:rPr>
              <w:t>of</w:t>
            </w:r>
            <w:r>
              <w:rPr>
                <w:color w:val="231F20"/>
                <w:spacing w:val="-31"/>
                <w:w w:val="90"/>
              </w:rPr>
              <w:t xml:space="preserve"> </w:t>
            </w:r>
            <w:r>
              <w:rPr>
                <w:color w:val="231F20"/>
                <w:w w:val="90"/>
              </w:rPr>
              <w:t>malnutrition</w:t>
            </w:r>
            <w:r>
              <w:rPr>
                <w:color w:val="231F20"/>
                <w:spacing w:val="-31"/>
                <w:w w:val="90"/>
              </w:rPr>
              <w:t xml:space="preserve"> </w:t>
            </w:r>
            <w:r>
              <w:rPr>
                <w:color w:val="231F20"/>
                <w:w w:val="90"/>
              </w:rPr>
              <w:t>am</w:t>
            </w:r>
            <w:r>
              <w:rPr>
                <w:color w:val="231F20"/>
                <w:spacing w:val="-5"/>
                <w:w w:val="90"/>
              </w:rPr>
              <w:t xml:space="preserve">ong </w:t>
            </w:r>
            <w:r>
              <w:rPr>
                <w:color w:val="231F20"/>
                <w:w w:val="85"/>
              </w:rPr>
              <w:t>women</w:t>
            </w:r>
            <w:r>
              <w:rPr>
                <w:color w:val="231F20"/>
                <w:spacing w:val="-15"/>
                <w:w w:val="85"/>
              </w:rPr>
              <w:t xml:space="preserve"> </w:t>
            </w:r>
            <w:r>
              <w:rPr>
                <w:color w:val="231F20"/>
                <w:w w:val="85"/>
              </w:rPr>
              <w:t>of</w:t>
            </w:r>
            <w:r>
              <w:rPr>
                <w:color w:val="231F20"/>
                <w:spacing w:val="-14"/>
                <w:w w:val="85"/>
              </w:rPr>
              <w:t xml:space="preserve"> </w:t>
            </w:r>
            <w:r>
              <w:rPr>
                <w:color w:val="231F20"/>
                <w:w w:val="85"/>
              </w:rPr>
              <w:t>reproductive</w:t>
            </w:r>
            <w:r>
              <w:rPr>
                <w:color w:val="231F20"/>
                <w:spacing w:val="-14"/>
                <w:w w:val="85"/>
              </w:rPr>
              <w:t xml:space="preserve"> </w:t>
            </w:r>
            <w:r>
              <w:rPr>
                <w:color w:val="231F20"/>
                <w:w w:val="85"/>
              </w:rPr>
              <w:t>age</w:t>
            </w:r>
            <w:r>
              <w:rPr>
                <w:color w:val="231F20"/>
                <w:spacing w:val="-14"/>
                <w:w w:val="85"/>
              </w:rPr>
              <w:t xml:space="preserve"> </w:t>
            </w:r>
            <w:r>
              <w:rPr>
                <w:color w:val="231F20"/>
                <w:w w:val="85"/>
              </w:rPr>
              <w:t xml:space="preserve">reduced </w:t>
            </w:r>
            <w:r>
              <w:rPr>
                <w:color w:val="231F20"/>
                <w:w w:val="95"/>
              </w:rPr>
              <w:t>from</w:t>
            </w:r>
            <w:r>
              <w:rPr>
                <w:color w:val="231F20"/>
                <w:spacing w:val="-41"/>
                <w:w w:val="95"/>
              </w:rPr>
              <w:t xml:space="preserve"> </w:t>
            </w:r>
            <w:r>
              <w:rPr>
                <w:color w:val="231F20"/>
                <w:spacing w:val="-5"/>
                <w:w w:val="95"/>
              </w:rPr>
              <w:t>11%</w:t>
            </w:r>
            <w:r>
              <w:rPr>
                <w:color w:val="231F20"/>
                <w:spacing w:val="-40"/>
                <w:w w:val="95"/>
              </w:rPr>
              <w:t xml:space="preserve"> </w:t>
            </w:r>
            <w:r>
              <w:rPr>
                <w:color w:val="231F20"/>
                <w:w w:val="95"/>
              </w:rPr>
              <w:t>to</w:t>
            </w:r>
            <w:r>
              <w:rPr>
                <w:color w:val="231F20"/>
                <w:spacing w:val="-40"/>
                <w:w w:val="95"/>
              </w:rPr>
              <w:t xml:space="preserve"> </w:t>
            </w:r>
            <w:r>
              <w:rPr>
                <w:color w:val="231F20"/>
                <w:w w:val="95"/>
              </w:rPr>
              <w:t>less</w:t>
            </w:r>
            <w:r>
              <w:rPr>
                <w:color w:val="231F20"/>
                <w:spacing w:val="-40"/>
                <w:w w:val="95"/>
              </w:rPr>
              <w:t xml:space="preserve"> </w:t>
            </w:r>
            <w:r>
              <w:rPr>
                <w:color w:val="231F20"/>
                <w:w w:val="95"/>
              </w:rPr>
              <w:t>than</w:t>
            </w:r>
            <w:r>
              <w:rPr>
                <w:color w:val="231F20"/>
                <w:spacing w:val="-40"/>
                <w:w w:val="95"/>
              </w:rPr>
              <w:t xml:space="preserve"> </w:t>
            </w:r>
            <w:r>
              <w:rPr>
                <w:color w:val="231F20"/>
                <w:w w:val="95"/>
              </w:rPr>
              <w:t>7%</w:t>
            </w:r>
            <w:r>
              <w:rPr>
                <w:color w:val="231F20"/>
                <w:spacing w:val="-40"/>
                <w:w w:val="95"/>
              </w:rPr>
              <w:t xml:space="preserve"> </w:t>
            </w:r>
            <w:r>
              <w:rPr>
                <w:color w:val="231F20"/>
                <w:w w:val="95"/>
              </w:rPr>
              <w:t>by</w:t>
            </w:r>
            <w:r>
              <w:rPr>
                <w:color w:val="231F20"/>
                <w:spacing w:val="-40"/>
                <w:w w:val="95"/>
              </w:rPr>
              <w:t xml:space="preserve"> </w:t>
            </w:r>
            <w:r>
              <w:rPr>
                <w:color w:val="231F20"/>
                <w:w w:val="95"/>
              </w:rPr>
              <w:t>2022</w:t>
            </w:r>
          </w:p>
        </w:tc>
        <w:tc>
          <w:tcPr>
            <w:tcW w:w="1232" w:type="dxa"/>
            <w:tcBorders>
              <w:left w:val="single" w:sz="4" w:space="0" w:color="231F20"/>
              <w:right w:val="single" w:sz="4" w:space="0" w:color="231F20"/>
            </w:tcBorders>
          </w:tcPr>
          <w:p w14:paraId="2A2EB19A" w14:textId="77777777" w:rsidR="009948F1" w:rsidRDefault="00BC0563">
            <w:pPr>
              <w:pStyle w:val="TableParagraph"/>
              <w:spacing w:line="251" w:lineRule="exact"/>
              <w:ind w:left="110"/>
            </w:pPr>
            <w:r>
              <w:rPr>
                <w:color w:val="231F20"/>
                <w:w w:val="95"/>
              </w:rPr>
              <w:t>TBD</w:t>
            </w:r>
          </w:p>
        </w:tc>
        <w:tc>
          <w:tcPr>
            <w:tcW w:w="768" w:type="dxa"/>
            <w:tcBorders>
              <w:left w:val="single" w:sz="4" w:space="0" w:color="231F20"/>
              <w:right w:val="single" w:sz="4" w:space="0" w:color="231F20"/>
            </w:tcBorders>
          </w:tcPr>
          <w:p w14:paraId="5C602175" w14:textId="77777777" w:rsidR="009948F1" w:rsidRDefault="00BC0563">
            <w:pPr>
              <w:pStyle w:val="TableParagraph"/>
              <w:spacing w:line="251" w:lineRule="exact"/>
              <w:ind w:left="111"/>
            </w:pPr>
            <w:r>
              <w:rPr>
                <w:color w:val="231F20"/>
                <w:w w:val="95"/>
              </w:rPr>
              <w:t>11%</w:t>
            </w:r>
          </w:p>
        </w:tc>
        <w:tc>
          <w:tcPr>
            <w:tcW w:w="766" w:type="dxa"/>
            <w:tcBorders>
              <w:left w:val="single" w:sz="4" w:space="0" w:color="231F20"/>
              <w:right w:val="single" w:sz="4" w:space="0" w:color="231F20"/>
            </w:tcBorders>
          </w:tcPr>
          <w:p w14:paraId="6EF06E67" w14:textId="77777777" w:rsidR="009948F1" w:rsidRDefault="00BC0563">
            <w:pPr>
              <w:pStyle w:val="TableParagraph"/>
              <w:spacing w:line="251" w:lineRule="exact"/>
              <w:ind w:left="111"/>
            </w:pPr>
            <w:r>
              <w:rPr>
                <w:color w:val="231F20"/>
                <w:w w:val="95"/>
              </w:rPr>
              <w:t>10%</w:t>
            </w:r>
          </w:p>
        </w:tc>
        <w:tc>
          <w:tcPr>
            <w:tcW w:w="768" w:type="dxa"/>
            <w:tcBorders>
              <w:left w:val="single" w:sz="4" w:space="0" w:color="231F20"/>
              <w:right w:val="single" w:sz="4" w:space="0" w:color="231F20"/>
            </w:tcBorders>
          </w:tcPr>
          <w:p w14:paraId="18C84AA6" w14:textId="77777777" w:rsidR="009948F1" w:rsidRDefault="00BC0563">
            <w:pPr>
              <w:pStyle w:val="TableParagraph"/>
              <w:spacing w:line="251" w:lineRule="exact"/>
              <w:ind w:left="111"/>
            </w:pPr>
            <w:r>
              <w:rPr>
                <w:color w:val="231F20"/>
                <w:w w:val="95"/>
              </w:rPr>
              <w:t>9%</w:t>
            </w:r>
          </w:p>
        </w:tc>
        <w:tc>
          <w:tcPr>
            <w:tcW w:w="766" w:type="dxa"/>
            <w:tcBorders>
              <w:left w:val="single" w:sz="4" w:space="0" w:color="231F20"/>
              <w:right w:val="single" w:sz="4" w:space="0" w:color="231F20"/>
            </w:tcBorders>
          </w:tcPr>
          <w:p w14:paraId="56E48511" w14:textId="77777777" w:rsidR="009948F1" w:rsidRDefault="00BC0563">
            <w:pPr>
              <w:pStyle w:val="TableParagraph"/>
              <w:spacing w:line="251" w:lineRule="exact"/>
              <w:ind w:left="111"/>
            </w:pPr>
            <w:r>
              <w:rPr>
                <w:color w:val="231F20"/>
                <w:w w:val="95"/>
              </w:rPr>
              <w:t>8%</w:t>
            </w:r>
          </w:p>
        </w:tc>
        <w:tc>
          <w:tcPr>
            <w:tcW w:w="773" w:type="dxa"/>
            <w:tcBorders>
              <w:left w:val="single" w:sz="4" w:space="0" w:color="231F20"/>
              <w:right w:val="single" w:sz="4" w:space="0" w:color="231F20"/>
            </w:tcBorders>
          </w:tcPr>
          <w:p w14:paraId="17D1B0F3" w14:textId="77777777" w:rsidR="009948F1" w:rsidRDefault="00BC0563">
            <w:pPr>
              <w:pStyle w:val="TableParagraph"/>
              <w:spacing w:line="251" w:lineRule="exact"/>
              <w:ind w:left="111"/>
            </w:pPr>
            <w:r>
              <w:rPr>
                <w:color w:val="231F20"/>
                <w:w w:val="95"/>
              </w:rPr>
              <w:t>7%</w:t>
            </w:r>
          </w:p>
        </w:tc>
        <w:tc>
          <w:tcPr>
            <w:tcW w:w="1011" w:type="dxa"/>
            <w:tcBorders>
              <w:left w:val="single" w:sz="4" w:space="0" w:color="231F20"/>
              <w:right w:val="single" w:sz="4" w:space="0" w:color="231F20"/>
            </w:tcBorders>
          </w:tcPr>
          <w:p w14:paraId="627E1099" w14:textId="77777777" w:rsidR="009948F1" w:rsidRDefault="00BC0563">
            <w:pPr>
              <w:pStyle w:val="TableParagraph"/>
              <w:spacing w:line="251" w:lineRule="exact"/>
              <w:ind w:left="111"/>
            </w:pPr>
            <w:r>
              <w:rPr>
                <w:color w:val="231F20"/>
                <w:w w:val="95"/>
              </w:rPr>
              <w:t>5%</w:t>
            </w:r>
          </w:p>
        </w:tc>
      </w:tr>
      <w:tr w:rsidR="009948F1" w14:paraId="39292C29" w14:textId="77777777">
        <w:trPr>
          <w:trHeight w:val="502"/>
        </w:trPr>
        <w:tc>
          <w:tcPr>
            <w:tcW w:w="3159" w:type="dxa"/>
            <w:tcBorders>
              <w:left w:val="single" w:sz="4" w:space="0" w:color="231F20"/>
              <w:right w:val="single" w:sz="4" w:space="0" w:color="231F20"/>
            </w:tcBorders>
          </w:tcPr>
          <w:p w14:paraId="21678E42" w14:textId="77777777" w:rsidR="009948F1" w:rsidRDefault="00BC0563">
            <w:pPr>
              <w:pStyle w:val="TableParagraph"/>
              <w:spacing w:before="2" w:line="252" w:lineRule="exact"/>
              <w:ind w:left="110"/>
            </w:pPr>
            <w:r>
              <w:rPr>
                <w:color w:val="231F20"/>
                <w:w w:val="85"/>
              </w:rPr>
              <w:t xml:space="preserve">Malnutrition among the elderly </w:t>
            </w:r>
            <w:r>
              <w:rPr>
                <w:color w:val="231F20"/>
                <w:w w:val="95"/>
              </w:rPr>
              <w:t>reduced 7% by 2022</w:t>
            </w:r>
          </w:p>
        </w:tc>
        <w:tc>
          <w:tcPr>
            <w:tcW w:w="1232" w:type="dxa"/>
            <w:tcBorders>
              <w:left w:val="single" w:sz="4" w:space="0" w:color="231F20"/>
              <w:right w:val="single" w:sz="4" w:space="0" w:color="231F20"/>
            </w:tcBorders>
          </w:tcPr>
          <w:p w14:paraId="1CC93014" w14:textId="77777777" w:rsidR="009948F1" w:rsidRDefault="00BC0563">
            <w:pPr>
              <w:pStyle w:val="TableParagraph"/>
              <w:spacing w:line="250" w:lineRule="exact"/>
              <w:ind w:left="110"/>
            </w:pPr>
            <w:r>
              <w:rPr>
                <w:color w:val="231F20"/>
                <w:w w:val="95"/>
              </w:rPr>
              <w:t>TBD</w:t>
            </w:r>
          </w:p>
        </w:tc>
        <w:tc>
          <w:tcPr>
            <w:tcW w:w="768" w:type="dxa"/>
            <w:tcBorders>
              <w:left w:val="single" w:sz="4" w:space="0" w:color="231F20"/>
              <w:right w:val="single" w:sz="4" w:space="0" w:color="231F20"/>
            </w:tcBorders>
          </w:tcPr>
          <w:p w14:paraId="6D462849" w14:textId="77777777" w:rsidR="009948F1" w:rsidRDefault="00BC0563">
            <w:pPr>
              <w:pStyle w:val="TableParagraph"/>
              <w:spacing w:line="250" w:lineRule="exact"/>
              <w:ind w:left="111"/>
            </w:pPr>
            <w:r>
              <w:rPr>
                <w:color w:val="231F20"/>
                <w:w w:val="95"/>
              </w:rPr>
              <w:t>11%</w:t>
            </w:r>
          </w:p>
        </w:tc>
        <w:tc>
          <w:tcPr>
            <w:tcW w:w="766" w:type="dxa"/>
            <w:tcBorders>
              <w:left w:val="single" w:sz="4" w:space="0" w:color="231F20"/>
              <w:right w:val="single" w:sz="4" w:space="0" w:color="231F20"/>
            </w:tcBorders>
          </w:tcPr>
          <w:p w14:paraId="37845B20" w14:textId="77777777" w:rsidR="009948F1" w:rsidRDefault="00BC0563">
            <w:pPr>
              <w:pStyle w:val="TableParagraph"/>
              <w:spacing w:line="250" w:lineRule="exact"/>
              <w:ind w:left="111"/>
            </w:pPr>
            <w:r>
              <w:rPr>
                <w:color w:val="231F20"/>
                <w:w w:val="95"/>
              </w:rPr>
              <w:t>10%</w:t>
            </w:r>
          </w:p>
        </w:tc>
        <w:tc>
          <w:tcPr>
            <w:tcW w:w="768" w:type="dxa"/>
            <w:tcBorders>
              <w:left w:val="single" w:sz="4" w:space="0" w:color="231F20"/>
              <w:right w:val="single" w:sz="4" w:space="0" w:color="231F20"/>
            </w:tcBorders>
          </w:tcPr>
          <w:p w14:paraId="6BA8B5F6" w14:textId="77777777" w:rsidR="009948F1" w:rsidRDefault="00BC0563">
            <w:pPr>
              <w:pStyle w:val="TableParagraph"/>
              <w:spacing w:line="250" w:lineRule="exact"/>
              <w:ind w:left="111"/>
            </w:pPr>
            <w:r>
              <w:rPr>
                <w:color w:val="231F20"/>
                <w:w w:val="95"/>
              </w:rPr>
              <w:t>9%</w:t>
            </w:r>
          </w:p>
        </w:tc>
        <w:tc>
          <w:tcPr>
            <w:tcW w:w="766" w:type="dxa"/>
            <w:tcBorders>
              <w:left w:val="single" w:sz="4" w:space="0" w:color="231F20"/>
              <w:right w:val="single" w:sz="4" w:space="0" w:color="231F20"/>
            </w:tcBorders>
          </w:tcPr>
          <w:p w14:paraId="42598851" w14:textId="77777777" w:rsidR="009948F1" w:rsidRDefault="00BC0563">
            <w:pPr>
              <w:pStyle w:val="TableParagraph"/>
              <w:spacing w:line="250" w:lineRule="exact"/>
              <w:ind w:left="111"/>
            </w:pPr>
            <w:r>
              <w:rPr>
                <w:color w:val="231F20"/>
                <w:w w:val="95"/>
              </w:rPr>
              <w:t>8%</w:t>
            </w:r>
          </w:p>
        </w:tc>
        <w:tc>
          <w:tcPr>
            <w:tcW w:w="773" w:type="dxa"/>
            <w:tcBorders>
              <w:left w:val="single" w:sz="4" w:space="0" w:color="231F20"/>
              <w:right w:val="single" w:sz="4" w:space="0" w:color="231F20"/>
            </w:tcBorders>
          </w:tcPr>
          <w:p w14:paraId="7FCF5F44" w14:textId="77777777" w:rsidR="009948F1" w:rsidRDefault="00BC0563">
            <w:pPr>
              <w:pStyle w:val="TableParagraph"/>
              <w:spacing w:line="250" w:lineRule="exact"/>
              <w:ind w:left="111"/>
            </w:pPr>
            <w:r>
              <w:rPr>
                <w:color w:val="231F20"/>
                <w:w w:val="95"/>
              </w:rPr>
              <w:t>7%</w:t>
            </w:r>
          </w:p>
        </w:tc>
        <w:tc>
          <w:tcPr>
            <w:tcW w:w="1011" w:type="dxa"/>
            <w:tcBorders>
              <w:left w:val="single" w:sz="4" w:space="0" w:color="231F20"/>
              <w:right w:val="single" w:sz="4" w:space="0" w:color="231F20"/>
            </w:tcBorders>
          </w:tcPr>
          <w:p w14:paraId="5186BDB8" w14:textId="77777777" w:rsidR="009948F1" w:rsidRDefault="009948F1">
            <w:pPr>
              <w:pStyle w:val="TableParagraph"/>
              <w:rPr>
                <w:rFonts w:ascii="Times New Roman"/>
                <w:sz w:val="20"/>
              </w:rPr>
            </w:pPr>
          </w:p>
        </w:tc>
      </w:tr>
    </w:tbl>
    <w:p w14:paraId="7B900572" w14:textId="77777777" w:rsidR="009948F1" w:rsidRDefault="009948F1">
      <w:pPr>
        <w:rPr>
          <w:rFonts w:ascii="Times New Roman"/>
          <w:sz w:val="20"/>
        </w:rPr>
        <w:sectPr w:rsidR="009948F1">
          <w:pgSz w:w="11910" w:h="16840"/>
          <w:pgMar w:top="1460" w:right="1080" w:bottom="1420" w:left="1120" w:header="0" w:footer="1235" w:gutter="0"/>
          <w:cols w:space="720"/>
        </w:sectPr>
      </w:pPr>
    </w:p>
    <w:p w14:paraId="5F2DDD79" w14:textId="77777777" w:rsidR="009948F1" w:rsidRDefault="00BC0563">
      <w:pPr>
        <w:pStyle w:val="Heading7"/>
        <w:spacing w:before="50"/>
        <w:ind w:left="123"/>
      </w:pPr>
      <w:bookmarkStart w:id="68" w:name="Page_54"/>
      <w:bookmarkEnd w:id="68"/>
      <w:r>
        <w:rPr>
          <w:color w:val="231F20"/>
        </w:rPr>
        <w:lastRenderedPageBreak/>
        <w:t>Interventions</w:t>
      </w:r>
    </w:p>
    <w:p w14:paraId="7D965CEB" w14:textId="77777777" w:rsidR="009948F1" w:rsidRDefault="00BC0563">
      <w:pPr>
        <w:pStyle w:val="ListParagraph"/>
        <w:numPr>
          <w:ilvl w:val="3"/>
          <w:numId w:val="293"/>
        </w:numPr>
        <w:tabs>
          <w:tab w:val="left" w:pos="845"/>
        </w:tabs>
        <w:spacing w:before="34" w:line="273" w:lineRule="auto"/>
        <w:ind w:left="123" w:right="183" w:firstLine="0"/>
      </w:pPr>
      <w:r>
        <w:rPr>
          <w:color w:val="231F20"/>
        </w:rPr>
        <w:t>Promote</w:t>
      </w:r>
      <w:r>
        <w:rPr>
          <w:color w:val="231F20"/>
          <w:spacing w:val="-13"/>
        </w:rPr>
        <w:t xml:space="preserve"> </w:t>
      </w:r>
      <w:r>
        <w:rPr>
          <w:color w:val="231F20"/>
        </w:rPr>
        <w:t>hospital</w:t>
      </w:r>
      <w:r>
        <w:rPr>
          <w:color w:val="231F20"/>
          <w:spacing w:val="-13"/>
        </w:rPr>
        <w:t xml:space="preserve"> </w:t>
      </w:r>
      <w:r>
        <w:rPr>
          <w:color w:val="231F20"/>
        </w:rPr>
        <w:t>baby</w:t>
      </w:r>
      <w:r>
        <w:rPr>
          <w:color w:val="231F20"/>
          <w:spacing w:val="-13"/>
        </w:rPr>
        <w:t xml:space="preserve"> </w:t>
      </w:r>
      <w:r>
        <w:rPr>
          <w:color w:val="231F20"/>
        </w:rPr>
        <w:t>friendly</w:t>
      </w:r>
      <w:r>
        <w:rPr>
          <w:color w:val="231F20"/>
          <w:spacing w:val="-13"/>
        </w:rPr>
        <w:t xml:space="preserve"> </w:t>
      </w:r>
      <w:r>
        <w:rPr>
          <w:color w:val="231F20"/>
        </w:rPr>
        <w:t>initiative.</w:t>
      </w:r>
      <w:r>
        <w:rPr>
          <w:color w:val="231F20"/>
          <w:spacing w:val="-13"/>
        </w:rPr>
        <w:t xml:space="preserve"> </w:t>
      </w:r>
      <w:r>
        <w:rPr>
          <w:color w:val="231F20"/>
        </w:rPr>
        <w:t>Key</w:t>
      </w:r>
      <w:r>
        <w:rPr>
          <w:color w:val="231F20"/>
          <w:spacing w:val="-13"/>
        </w:rPr>
        <w:t xml:space="preserve"> </w:t>
      </w:r>
      <w:r>
        <w:rPr>
          <w:color w:val="231F20"/>
        </w:rPr>
        <w:t>actions</w:t>
      </w:r>
      <w:r>
        <w:rPr>
          <w:color w:val="231F20"/>
          <w:spacing w:val="-13"/>
        </w:rPr>
        <w:t xml:space="preserve"> </w:t>
      </w:r>
      <w:r>
        <w:rPr>
          <w:color w:val="231F20"/>
        </w:rPr>
        <w:t>include;</w:t>
      </w:r>
      <w:r>
        <w:rPr>
          <w:color w:val="231F20"/>
          <w:spacing w:val="-13"/>
        </w:rPr>
        <w:t xml:space="preserve"> </w:t>
      </w:r>
      <w:r>
        <w:rPr>
          <w:color w:val="231F20"/>
        </w:rPr>
        <w:t>–</w:t>
      </w:r>
      <w:r>
        <w:rPr>
          <w:color w:val="231F20"/>
          <w:spacing w:val="-13"/>
        </w:rPr>
        <w:t xml:space="preserve"> </w:t>
      </w:r>
      <w:r>
        <w:rPr>
          <w:color w:val="231F20"/>
        </w:rPr>
        <w:t>Print</w:t>
      </w:r>
      <w:r>
        <w:rPr>
          <w:color w:val="231F20"/>
          <w:spacing w:val="-13"/>
        </w:rPr>
        <w:t xml:space="preserve"> </w:t>
      </w:r>
      <w:r>
        <w:rPr>
          <w:color w:val="231F20"/>
        </w:rPr>
        <w:t>&amp;</w:t>
      </w:r>
      <w:r>
        <w:rPr>
          <w:color w:val="231F20"/>
          <w:spacing w:val="-13"/>
        </w:rPr>
        <w:t xml:space="preserve"> </w:t>
      </w:r>
      <w:r>
        <w:rPr>
          <w:color w:val="231F20"/>
        </w:rPr>
        <w:t>distribute</w:t>
      </w:r>
      <w:r>
        <w:rPr>
          <w:color w:val="231F20"/>
          <w:spacing w:val="-13"/>
        </w:rPr>
        <w:t xml:space="preserve"> </w:t>
      </w:r>
      <w:r>
        <w:rPr>
          <w:color w:val="231F20"/>
        </w:rPr>
        <w:t>posters</w:t>
      </w:r>
      <w:r>
        <w:rPr>
          <w:color w:val="231F20"/>
          <w:spacing w:val="-13"/>
        </w:rPr>
        <w:t xml:space="preserve"> </w:t>
      </w:r>
      <w:r>
        <w:rPr>
          <w:color w:val="231F20"/>
          <w:spacing w:val="-7"/>
        </w:rPr>
        <w:t xml:space="preserve">on </w:t>
      </w:r>
      <w:r>
        <w:rPr>
          <w:color w:val="231F20"/>
        </w:rPr>
        <w:t xml:space="preserve">baby friendly initiative to promote awareness on IYCF in all health facilities (PHC </w:t>
      </w:r>
      <w:proofErr w:type="spellStart"/>
      <w:r>
        <w:rPr>
          <w:color w:val="231F20"/>
        </w:rPr>
        <w:t>centres</w:t>
      </w:r>
      <w:proofErr w:type="spellEnd"/>
      <w:r>
        <w:rPr>
          <w:color w:val="231F20"/>
        </w:rPr>
        <w:t xml:space="preserve">, </w:t>
      </w:r>
      <w:r>
        <w:rPr>
          <w:color w:val="231F20"/>
          <w:spacing w:val="-5"/>
        </w:rPr>
        <w:t xml:space="preserve">ANC </w:t>
      </w:r>
      <w:r>
        <w:rPr>
          <w:color w:val="231F20"/>
        </w:rPr>
        <w:t>clinics, OTP and CMAM sites, and child welfare clinics); Conduct periodic campaigns through</w:t>
      </w:r>
      <w:r>
        <w:rPr>
          <w:color w:val="231F20"/>
          <w:spacing w:val="-33"/>
        </w:rPr>
        <w:t xml:space="preserve"> </w:t>
      </w:r>
      <w:r>
        <w:rPr>
          <w:color w:val="231F20"/>
          <w:spacing w:val="-5"/>
        </w:rPr>
        <w:t xml:space="preserve">the </w:t>
      </w:r>
      <w:r>
        <w:rPr>
          <w:color w:val="231F20"/>
        </w:rPr>
        <w:t>media</w:t>
      </w:r>
      <w:r>
        <w:rPr>
          <w:color w:val="231F20"/>
          <w:spacing w:val="-25"/>
        </w:rPr>
        <w:t xml:space="preserve"> </w:t>
      </w:r>
      <w:r>
        <w:rPr>
          <w:color w:val="231F20"/>
        </w:rPr>
        <w:t>to</w:t>
      </w:r>
      <w:r>
        <w:rPr>
          <w:color w:val="231F20"/>
          <w:spacing w:val="-26"/>
        </w:rPr>
        <w:t xml:space="preserve"> </w:t>
      </w:r>
      <w:r>
        <w:rPr>
          <w:color w:val="231F20"/>
        </w:rPr>
        <w:t>the</w:t>
      </w:r>
      <w:r>
        <w:rPr>
          <w:color w:val="231F20"/>
          <w:spacing w:val="-25"/>
        </w:rPr>
        <w:t xml:space="preserve"> </w:t>
      </w:r>
      <w:r>
        <w:rPr>
          <w:color w:val="231F20"/>
        </w:rPr>
        <w:t>general</w:t>
      </w:r>
      <w:r>
        <w:rPr>
          <w:color w:val="231F20"/>
          <w:spacing w:val="-25"/>
        </w:rPr>
        <w:t xml:space="preserve"> </w:t>
      </w:r>
      <w:r>
        <w:rPr>
          <w:color w:val="231F20"/>
        </w:rPr>
        <w:t>public</w:t>
      </w:r>
      <w:r>
        <w:rPr>
          <w:color w:val="231F20"/>
          <w:spacing w:val="-25"/>
        </w:rPr>
        <w:t xml:space="preserve"> </w:t>
      </w:r>
      <w:r>
        <w:rPr>
          <w:color w:val="231F20"/>
        </w:rPr>
        <w:t>to</w:t>
      </w:r>
      <w:r>
        <w:rPr>
          <w:color w:val="231F20"/>
          <w:spacing w:val="-25"/>
        </w:rPr>
        <w:t xml:space="preserve"> </w:t>
      </w:r>
      <w:r>
        <w:rPr>
          <w:color w:val="231F20"/>
        </w:rPr>
        <w:t>promote</w:t>
      </w:r>
      <w:r>
        <w:rPr>
          <w:color w:val="231F20"/>
          <w:spacing w:val="-25"/>
        </w:rPr>
        <w:t xml:space="preserve"> </w:t>
      </w:r>
      <w:r>
        <w:rPr>
          <w:color w:val="231F20"/>
        </w:rPr>
        <w:t>baby</w:t>
      </w:r>
      <w:r>
        <w:rPr>
          <w:color w:val="231F20"/>
          <w:spacing w:val="-25"/>
        </w:rPr>
        <w:t xml:space="preserve"> </w:t>
      </w:r>
      <w:r>
        <w:rPr>
          <w:color w:val="231F20"/>
        </w:rPr>
        <w:t>friendly</w:t>
      </w:r>
      <w:r>
        <w:rPr>
          <w:color w:val="231F20"/>
          <w:spacing w:val="-25"/>
        </w:rPr>
        <w:t xml:space="preserve"> </w:t>
      </w:r>
      <w:r>
        <w:rPr>
          <w:color w:val="231F20"/>
        </w:rPr>
        <w:t>hospitals.</w:t>
      </w:r>
    </w:p>
    <w:p w14:paraId="0C77AE24" w14:textId="77777777" w:rsidR="009948F1" w:rsidRDefault="009948F1">
      <w:pPr>
        <w:pStyle w:val="BodyText"/>
        <w:spacing w:before="6"/>
        <w:rPr>
          <w:sz w:val="24"/>
        </w:rPr>
      </w:pPr>
    </w:p>
    <w:p w14:paraId="66605DD6" w14:textId="1AE1EF0F" w:rsidR="009948F1" w:rsidRDefault="00BC0563">
      <w:pPr>
        <w:pStyle w:val="ListParagraph"/>
        <w:numPr>
          <w:ilvl w:val="3"/>
          <w:numId w:val="293"/>
        </w:numPr>
        <w:tabs>
          <w:tab w:val="left" w:pos="838"/>
        </w:tabs>
        <w:spacing w:before="1" w:line="273" w:lineRule="auto"/>
        <w:ind w:left="123" w:right="183" w:firstLine="0"/>
      </w:pPr>
      <w:r>
        <w:rPr>
          <w:color w:val="231F20"/>
        </w:rPr>
        <w:t>Promote</w:t>
      </w:r>
      <w:r>
        <w:rPr>
          <w:color w:val="231F20"/>
          <w:spacing w:val="-21"/>
        </w:rPr>
        <w:t xml:space="preserve"> </w:t>
      </w:r>
      <w:r>
        <w:rPr>
          <w:color w:val="231F20"/>
        </w:rPr>
        <w:t>exclusive</w:t>
      </w:r>
      <w:r>
        <w:rPr>
          <w:color w:val="231F20"/>
          <w:spacing w:val="-21"/>
        </w:rPr>
        <w:t xml:space="preserve"> </w:t>
      </w:r>
      <w:r>
        <w:rPr>
          <w:color w:val="231F20"/>
        </w:rPr>
        <w:t>breastfeeding</w:t>
      </w:r>
      <w:r>
        <w:rPr>
          <w:color w:val="231F20"/>
          <w:spacing w:val="-21"/>
        </w:rPr>
        <w:t xml:space="preserve"> </w:t>
      </w:r>
      <w:r>
        <w:rPr>
          <w:color w:val="231F20"/>
        </w:rPr>
        <w:t>for</w:t>
      </w:r>
      <w:r>
        <w:rPr>
          <w:color w:val="231F20"/>
          <w:spacing w:val="-22"/>
        </w:rPr>
        <w:t xml:space="preserve"> </w:t>
      </w:r>
      <w:r>
        <w:rPr>
          <w:color w:val="231F20"/>
        </w:rPr>
        <w:t>the</w:t>
      </w:r>
      <w:r>
        <w:rPr>
          <w:color w:val="231F20"/>
          <w:spacing w:val="-20"/>
        </w:rPr>
        <w:t xml:space="preserve"> </w:t>
      </w:r>
      <w:r>
        <w:rPr>
          <w:color w:val="231F20"/>
        </w:rPr>
        <w:t>first</w:t>
      </w:r>
      <w:r>
        <w:rPr>
          <w:color w:val="231F20"/>
          <w:spacing w:val="-22"/>
        </w:rPr>
        <w:t xml:space="preserve"> </w:t>
      </w:r>
      <w:r>
        <w:rPr>
          <w:color w:val="231F20"/>
        </w:rPr>
        <w:t>six</w:t>
      </w:r>
      <w:r>
        <w:rPr>
          <w:color w:val="231F20"/>
          <w:spacing w:val="-22"/>
        </w:rPr>
        <w:t xml:space="preserve"> </w:t>
      </w:r>
      <w:r>
        <w:rPr>
          <w:color w:val="231F20"/>
        </w:rPr>
        <w:t>months</w:t>
      </w:r>
      <w:r>
        <w:rPr>
          <w:color w:val="231F20"/>
          <w:spacing w:val="-21"/>
        </w:rPr>
        <w:t xml:space="preserve"> </w:t>
      </w:r>
      <w:r>
        <w:rPr>
          <w:color w:val="231F20"/>
        </w:rPr>
        <w:t>of</w:t>
      </w:r>
      <w:r>
        <w:rPr>
          <w:color w:val="231F20"/>
          <w:spacing w:val="-22"/>
        </w:rPr>
        <w:t xml:space="preserve"> </w:t>
      </w:r>
      <w:r>
        <w:rPr>
          <w:color w:val="231F20"/>
        </w:rPr>
        <w:t>life.</w:t>
      </w:r>
      <w:r>
        <w:rPr>
          <w:color w:val="231F20"/>
          <w:spacing w:val="-21"/>
        </w:rPr>
        <w:t xml:space="preserve"> </w:t>
      </w:r>
      <w:r>
        <w:rPr>
          <w:color w:val="231F20"/>
        </w:rPr>
        <w:t>Key</w:t>
      </w:r>
      <w:r>
        <w:rPr>
          <w:color w:val="231F20"/>
          <w:spacing w:val="-21"/>
        </w:rPr>
        <w:t xml:space="preserve"> </w:t>
      </w:r>
      <w:r>
        <w:rPr>
          <w:color w:val="231F20"/>
        </w:rPr>
        <w:t>actions</w:t>
      </w:r>
      <w:r>
        <w:rPr>
          <w:color w:val="231F20"/>
          <w:spacing w:val="-21"/>
        </w:rPr>
        <w:t xml:space="preserve"> </w:t>
      </w:r>
      <w:r>
        <w:rPr>
          <w:color w:val="231F20"/>
        </w:rPr>
        <w:t>include;</w:t>
      </w:r>
      <w:r>
        <w:rPr>
          <w:color w:val="231F20"/>
          <w:spacing w:val="-21"/>
        </w:rPr>
        <w:t xml:space="preserve"> </w:t>
      </w:r>
      <w:r>
        <w:rPr>
          <w:color w:val="231F20"/>
        </w:rPr>
        <w:t>-</w:t>
      </w:r>
      <w:r>
        <w:rPr>
          <w:color w:val="231F20"/>
          <w:spacing w:val="-21"/>
        </w:rPr>
        <w:t xml:space="preserve"> </w:t>
      </w:r>
      <w:r>
        <w:rPr>
          <w:color w:val="231F20"/>
        </w:rPr>
        <w:t>Ensure initiation</w:t>
      </w:r>
      <w:r>
        <w:rPr>
          <w:color w:val="231F20"/>
          <w:spacing w:val="-16"/>
        </w:rPr>
        <w:t xml:space="preserve"> </w:t>
      </w:r>
      <w:r>
        <w:rPr>
          <w:color w:val="231F20"/>
        </w:rPr>
        <w:t>of</w:t>
      </w:r>
      <w:r>
        <w:rPr>
          <w:color w:val="231F20"/>
          <w:spacing w:val="-15"/>
        </w:rPr>
        <w:t xml:space="preserve"> </w:t>
      </w:r>
      <w:r>
        <w:rPr>
          <w:color w:val="231F20"/>
        </w:rPr>
        <w:t>breastfeeding</w:t>
      </w:r>
      <w:r>
        <w:rPr>
          <w:color w:val="231F20"/>
          <w:spacing w:val="-15"/>
        </w:rPr>
        <w:t xml:space="preserve"> </w:t>
      </w:r>
      <w:r>
        <w:rPr>
          <w:color w:val="231F20"/>
        </w:rPr>
        <w:t>within</w:t>
      </w:r>
      <w:r>
        <w:rPr>
          <w:color w:val="231F20"/>
          <w:spacing w:val="-15"/>
        </w:rPr>
        <w:t xml:space="preserve"> </w:t>
      </w:r>
      <w:r>
        <w:rPr>
          <w:color w:val="231F20"/>
        </w:rPr>
        <w:t>30</w:t>
      </w:r>
      <w:r>
        <w:rPr>
          <w:color w:val="231F20"/>
          <w:spacing w:val="-15"/>
        </w:rPr>
        <w:t xml:space="preserve"> </w:t>
      </w:r>
      <w:r>
        <w:rPr>
          <w:color w:val="231F20"/>
        </w:rPr>
        <w:t>minutes</w:t>
      </w:r>
      <w:r>
        <w:rPr>
          <w:color w:val="231F20"/>
          <w:spacing w:val="-15"/>
        </w:rPr>
        <w:t xml:space="preserve"> </w:t>
      </w:r>
      <w:r>
        <w:rPr>
          <w:color w:val="231F20"/>
        </w:rPr>
        <w:t>of</w:t>
      </w:r>
      <w:r>
        <w:rPr>
          <w:color w:val="231F20"/>
          <w:spacing w:val="-15"/>
        </w:rPr>
        <w:t xml:space="preserve"> </w:t>
      </w:r>
      <w:r>
        <w:rPr>
          <w:color w:val="231F20"/>
        </w:rPr>
        <w:t>delivery;</w:t>
      </w:r>
      <w:r>
        <w:rPr>
          <w:color w:val="231F20"/>
          <w:spacing w:val="-15"/>
        </w:rPr>
        <w:t xml:space="preserve"> </w:t>
      </w:r>
      <w:r>
        <w:rPr>
          <w:color w:val="231F20"/>
        </w:rPr>
        <w:t>Give</w:t>
      </w:r>
      <w:r>
        <w:rPr>
          <w:color w:val="231F20"/>
          <w:spacing w:val="-15"/>
        </w:rPr>
        <w:t xml:space="preserve"> </w:t>
      </w:r>
      <w:r>
        <w:rPr>
          <w:color w:val="231F20"/>
        </w:rPr>
        <w:t>health</w:t>
      </w:r>
      <w:r>
        <w:rPr>
          <w:color w:val="231F20"/>
          <w:spacing w:val="-15"/>
        </w:rPr>
        <w:t xml:space="preserve"> </w:t>
      </w:r>
      <w:r>
        <w:rPr>
          <w:color w:val="231F20"/>
        </w:rPr>
        <w:t>talk</w:t>
      </w:r>
      <w:r>
        <w:rPr>
          <w:color w:val="231F20"/>
          <w:spacing w:val="-15"/>
        </w:rPr>
        <w:t xml:space="preserve"> </w:t>
      </w:r>
      <w:r>
        <w:rPr>
          <w:color w:val="231F20"/>
        </w:rPr>
        <w:t>on</w:t>
      </w:r>
      <w:r>
        <w:rPr>
          <w:color w:val="231F20"/>
          <w:spacing w:val="-15"/>
        </w:rPr>
        <w:t xml:space="preserve"> </w:t>
      </w:r>
      <w:r>
        <w:rPr>
          <w:color w:val="231F20"/>
        </w:rPr>
        <w:t>exclusive</w:t>
      </w:r>
      <w:r>
        <w:rPr>
          <w:color w:val="231F20"/>
          <w:spacing w:val="-15"/>
        </w:rPr>
        <w:t xml:space="preserve"> </w:t>
      </w:r>
      <w:r>
        <w:rPr>
          <w:color w:val="231F20"/>
        </w:rPr>
        <w:t xml:space="preserve">breastfeeding to pregnant women and parents of infants under 6months of age pregnant/lactation </w:t>
      </w:r>
      <w:r>
        <w:rPr>
          <w:color w:val="231F20"/>
          <w:spacing w:val="-3"/>
        </w:rPr>
        <w:t xml:space="preserve">women, </w:t>
      </w:r>
      <w:r>
        <w:rPr>
          <w:color w:val="231F20"/>
        </w:rPr>
        <w:t>adolescents</w:t>
      </w:r>
      <w:r>
        <w:rPr>
          <w:color w:val="231F20"/>
          <w:spacing w:val="-19"/>
        </w:rPr>
        <w:t xml:space="preserve"> </w:t>
      </w:r>
      <w:r>
        <w:rPr>
          <w:color w:val="231F20"/>
        </w:rPr>
        <w:t>&amp;</w:t>
      </w:r>
      <w:r>
        <w:rPr>
          <w:color w:val="231F20"/>
          <w:spacing w:val="-19"/>
        </w:rPr>
        <w:t xml:space="preserve"> </w:t>
      </w:r>
      <w:r>
        <w:rPr>
          <w:color w:val="231F20"/>
        </w:rPr>
        <w:t>women</w:t>
      </w:r>
      <w:r>
        <w:rPr>
          <w:color w:val="231F20"/>
          <w:spacing w:val="-19"/>
        </w:rPr>
        <w:t xml:space="preserve"> </w:t>
      </w:r>
      <w:r>
        <w:rPr>
          <w:color w:val="231F20"/>
        </w:rPr>
        <w:t>of</w:t>
      </w:r>
      <w:r>
        <w:rPr>
          <w:color w:val="231F20"/>
          <w:spacing w:val="-18"/>
        </w:rPr>
        <w:t xml:space="preserve"> </w:t>
      </w:r>
      <w:r>
        <w:rPr>
          <w:color w:val="231F20"/>
        </w:rPr>
        <w:t>reproductive</w:t>
      </w:r>
      <w:r>
        <w:rPr>
          <w:color w:val="231F20"/>
          <w:spacing w:val="-19"/>
        </w:rPr>
        <w:t xml:space="preserve"> </w:t>
      </w:r>
      <w:r>
        <w:rPr>
          <w:color w:val="231F20"/>
        </w:rPr>
        <w:t>age</w:t>
      </w:r>
      <w:r>
        <w:rPr>
          <w:color w:val="231F20"/>
          <w:spacing w:val="-19"/>
        </w:rPr>
        <w:t xml:space="preserve"> </w:t>
      </w:r>
      <w:r>
        <w:rPr>
          <w:color w:val="231F20"/>
        </w:rPr>
        <w:t>at</w:t>
      </w:r>
      <w:r>
        <w:rPr>
          <w:color w:val="231F20"/>
          <w:spacing w:val="-19"/>
        </w:rPr>
        <w:t xml:space="preserve"> </w:t>
      </w:r>
      <w:r>
        <w:rPr>
          <w:color w:val="231F20"/>
        </w:rPr>
        <w:t>the</w:t>
      </w:r>
      <w:r>
        <w:rPr>
          <w:color w:val="231F20"/>
          <w:spacing w:val="-18"/>
        </w:rPr>
        <w:t xml:space="preserve"> </w:t>
      </w:r>
      <w:r>
        <w:rPr>
          <w:color w:val="231F20"/>
        </w:rPr>
        <w:t>health</w:t>
      </w:r>
      <w:r>
        <w:rPr>
          <w:color w:val="231F20"/>
          <w:spacing w:val="-19"/>
        </w:rPr>
        <w:t xml:space="preserve"> </w:t>
      </w:r>
      <w:r>
        <w:rPr>
          <w:color w:val="231F20"/>
        </w:rPr>
        <w:t>facilities</w:t>
      </w:r>
      <w:r>
        <w:rPr>
          <w:color w:val="231F20"/>
          <w:spacing w:val="-19"/>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23</w:t>
      </w:r>
      <w:r>
        <w:rPr>
          <w:color w:val="231F20"/>
          <w:spacing w:val="-19"/>
        </w:rPr>
        <w:t xml:space="preserve"> </w:t>
      </w:r>
      <w:r>
        <w:rPr>
          <w:color w:val="231F20"/>
        </w:rPr>
        <w:t>LGAs;</w:t>
      </w:r>
      <w:r>
        <w:rPr>
          <w:color w:val="231F20"/>
          <w:spacing w:val="-19"/>
        </w:rPr>
        <w:t xml:space="preserve"> </w:t>
      </w:r>
      <w:r>
        <w:rPr>
          <w:color w:val="231F20"/>
        </w:rPr>
        <w:t>Conduct</w:t>
      </w:r>
      <w:r>
        <w:rPr>
          <w:color w:val="231F20"/>
          <w:spacing w:val="-19"/>
        </w:rPr>
        <w:t xml:space="preserve"> </w:t>
      </w:r>
      <w:r>
        <w:rPr>
          <w:color w:val="231F20"/>
        </w:rPr>
        <w:t>advocacy meeting</w:t>
      </w:r>
      <w:r>
        <w:rPr>
          <w:color w:val="231F20"/>
          <w:spacing w:val="-19"/>
        </w:rPr>
        <w:t xml:space="preserve"> </w:t>
      </w:r>
      <w:r>
        <w:rPr>
          <w:color w:val="231F20"/>
        </w:rPr>
        <w:t>with</w:t>
      </w:r>
      <w:r>
        <w:rPr>
          <w:color w:val="231F20"/>
          <w:spacing w:val="-19"/>
        </w:rPr>
        <w:t xml:space="preserve"> </w:t>
      </w:r>
      <w:r>
        <w:rPr>
          <w:color w:val="231F20"/>
        </w:rPr>
        <w:t>high</w:t>
      </w:r>
      <w:r>
        <w:rPr>
          <w:color w:val="231F20"/>
          <w:spacing w:val="-19"/>
        </w:rPr>
        <w:t xml:space="preserve"> </w:t>
      </w:r>
      <w:r>
        <w:rPr>
          <w:color w:val="231F20"/>
        </w:rPr>
        <w:t>level</w:t>
      </w:r>
      <w:r>
        <w:rPr>
          <w:color w:val="231F20"/>
          <w:spacing w:val="-18"/>
        </w:rPr>
        <w:t xml:space="preserve"> </w:t>
      </w:r>
      <w:r>
        <w:rPr>
          <w:color w:val="231F20"/>
        </w:rPr>
        <w:t>stakeholders</w:t>
      </w:r>
      <w:r>
        <w:rPr>
          <w:color w:val="231F20"/>
          <w:spacing w:val="-19"/>
        </w:rPr>
        <w:t xml:space="preserve"> </w:t>
      </w:r>
      <w:r>
        <w:rPr>
          <w:color w:val="231F20"/>
        </w:rPr>
        <w:t>(Traditional</w:t>
      </w:r>
      <w:r>
        <w:rPr>
          <w:color w:val="231F20"/>
          <w:spacing w:val="-19"/>
        </w:rPr>
        <w:t xml:space="preserve"> </w:t>
      </w:r>
      <w:r>
        <w:rPr>
          <w:color w:val="231F20"/>
          <w:spacing w:val="-3"/>
        </w:rPr>
        <w:t>ruler,</w:t>
      </w:r>
      <w:r>
        <w:rPr>
          <w:color w:val="231F20"/>
          <w:spacing w:val="-19"/>
        </w:rPr>
        <w:t xml:space="preserve"> </w:t>
      </w:r>
      <w:r>
        <w:rPr>
          <w:color w:val="231F20"/>
        </w:rPr>
        <w:t>Legislators,</w:t>
      </w:r>
      <w:r>
        <w:rPr>
          <w:color w:val="231F20"/>
          <w:spacing w:val="-18"/>
        </w:rPr>
        <w:t xml:space="preserve"> </w:t>
      </w:r>
      <w:r>
        <w:rPr>
          <w:color w:val="231F20"/>
        </w:rPr>
        <w:t>Health</w:t>
      </w:r>
      <w:r>
        <w:rPr>
          <w:color w:val="231F20"/>
          <w:spacing w:val="-19"/>
        </w:rPr>
        <w:t xml:space="preserve"> </w:t>
      </w:r>
      <w:r>
        <w:rPr>
          <w:color w:val="231F20"/>
        </w:rPr>
        <w:t>Workers</w:t>
      </w:r>
      <w:r>
        <w:rPr>
          <w:color w:val="231F20"/>
          <w:spacing w:val="-19"/>
        </w:rPr>
        <w:t xml:space="preserve"> </w:t>
      </w:r>
      <w:proofErr w:type="spellStart"/>
      <w:r>
        <w:rPr>
          <w:color w:val="231F20"/>
        </w:rPr>
        <w:t>e</w:t>
      </w:r>
      <w:r w:rsidR="001D7055">
        <w:rPr>
          <w:color w:val="231F20"/>
        </w:rPr>
        <w:t>.</w:t>
      </w:r>
      <w:r>
        <w:rPr>
          <w:color w:val="231F20"/>
        </w:rPr>
        <w:t>t</w:t>
      </w:r>
      <w:r w:rsidR="001D7055">
        <w:rPr>
          <w:color w:val="231F20"/>
        </w:rPr>
        <w:t>.</w:t>
      </w:r>
      <w:r>
        <w:rPr>
          <w:color w:val="231F20"/>
        </w:rPr>
        <w:t>c</w:t>
      </w:r>
      <w:proofErr w:type="spellEnd"/>
      <w:r>
        <w:rPr>
          <w:color w:val="231F20"/>
        </w:rPr>
        <w:t>)</w:t>
      </w:r>
      <w:r>
        <w:rPr>
          <w:color w:val="231F20"/>
          <w:spacing w:val="-18"/>
        </w:rPr>
        <w:t xml:space="preserve"> </w:t>
      </w:r>
      <w:r>
        <w:rPr>
          <w:color w:val="231F20"/>
        </w:rPr>
        <w:t>to</w:t>
      </w:r>
      <w:r>
        <w:rPr>
          <w:color w:val="231F20"/>
          <w:spacing w:val="-19"/>
        </w:rPr>
        <w:t xml:space="preserve"> </w:t>
      </w:r>
      <w:r>
        <w:rPr>
          <w:color w:val="231F20"/>
        </w:rPr>
        <w:t xml:space="preserve">promote, support &amp; protect exclusive breast feeding at state &amp; LGA levels; Observe World Breast Feeding Week at the state &amp; LGA levels; Establishment of Breastfeeding Support Group (BSG) </w:t>
      </w:r>
      <w:r>
        <w:rPr>
          <w:color w:val="231F20"/>
          <w:spacing w:val="-3"/>
        </w:rPr>
        <w:t xml:space="preserve">during </w:t>
      </w:r>
      <w:r>
        <w:rPr>
          <w:color w:val="231F20"/>
        </w:rPr>
        <w:t>Breastfeeding</w:t>
      </w:r>
      <w:r>
        <w:rPr>
          <w:color w:val="231F20"/>
          <w:spacing w:val="-26"/>
        </w:rPr>
        <w:t xml:space="preserve"> </w:t>
      </w:r>
      <w:r>
        <w:rPr>
          <w:color w:val="231F20"/>
        </w:rPr>
        <w:t>Week</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LGA</w:t>
      </w:r>
      <w:r>
        <w:rPr>
          <w:color w:val="231F20"/>
          <w:spacing w:val="-37"/>
        </w:rPr>
        <w:t xml:space="preserve"> </w:t>
      </w:r>
      <w:r>
        <w:rPr>
          <w:color w:val="231F20"/>
        </w:rPr>
        <w:t>level.</w:t>
      </w:r>
    </w:p>
    <w:p w14:paraId="19FCD4E1" w14:textId="77777777" w:rsidR="009948F1" w:rsidRDefault="009948F1">
      <w:pPr>
        <w:pStyle w:val="BodyText"/>
        <w:spacing w:before="1"/>
        <w:rPr>
          <w:sz w:val="24"/>
        </w:rPr>
      </w:pPr>
    </w:p>
    <w:p w14:paraId="137F7210" w14:textId="654FF981" w:rsidR="009948F1" w:rsidRDefault="00BC0563">
      <w:pPr>
        <w:pStyle w:val="ListParagraph"/>
        <w:numPr>
          <w:ilvl w:val="3"/>
          <w:numId w:val="293"/>
        </w:numPr>
        <w:tabs>
          <w:tab w:val="left" w:pos="834"/>
        </w:tabs>
        <w:spacing w:line="273" w:lineRule="auto"/>
        <w:ind w:left="123" w:right="183" w:firstLine="0"/>
      </w:pPr>
      <w:r>
        <w:rPr>
          <w:color w:val="231F20"/>
        </w:rPr>
        <w:t>Scale-up</w:t>
      </w:r>
      <w:r>
        <w:rPr>
          <w:color w:val="231F20"/>
          <w:spacing w:val="-26"/>
        </w:rPr>
        <w:t xml:space="preserve"> </w:t>
      </w:r>
      <w:r>
        <w:rPr>
          <w:color w:val="231F20"/>
        </w:rPr>
        <w:t>continued</w:t>
      </w:r>
      <w:r>
        <w:rPr>
          <w:color w:val="231F20"/>
          <w:spacing w:val="-26"/>
        </w:rPr>
        <w:t xml:space="preserve"> </w:t>
      </w:r>
      <w:r>
        <w:rPr>
          <w:color w:val="231F20"/>
        </w:rPr>
        <w:t>breastfeeding</w:t>
      </w:r>
      <w:r>
        <w:rPr>
          <w:color w:val="231F20"/>
          <w:spacing w:val="-25"/>
        </w:rPr>
        <w:t xml:space="preserve"> </w:t>
      </w:r>
      <w:r>
        <w:rPr>
          <w:color w:val="231F20"/>
        </w:rPr>
        <w:t>and</w:t>
      </w:r>
      <w:r>
        <w:rPr>
          <w:color w:val="231F20"/>
          <w:spacing w:val="-26"/>
        </w:rPr>
        <w:t xml:space="preserve"> </w:t>
      </w:r>
      <w:r>
        <w:rPr>
          <w:color w:val="231F20"/>
        </w:rPr>
        <w:t>appropriate</w:t>
      </w:r>
      <w:r>
        <w:rPr>
          <w:color w:val="231F20"/>
          <w:spacing w:val="-25"/>
        </w:rPr>
        <w:t xml:space="preserve"> </w:t>
      </w:r>
      <w:r>
        <w:rPr>
          <w:color w:val="231F20"/>
        </w:rPr>
        <w:t>complementary</w:t>
      </w:r>
      <w:r>
        <w:rPr>
          <w:color w:val="231F20"/>
          <w:spacing w:val="-26"/>
        </w:rPr>
        <w:t xml:space="preserve"> </w:t>
      </w:r>
      <w:r>
        <w:rPr>
          <w:color w:val="231F20"/>
        </w:rPr>
        <w:t>feeding</w:t>
      </w:r>
      <w:r>
        <w:rPr>
          <w:color w:val="231F20"/>
          <w:spacing w:val="-26"/>
        </w:rPr>
        <w:t xml:space="preserve"> </w:t>
      </w:r>
      <w:r>
        <w:rPr>
          <w:color w:val="231F20"/>
        </w:rPr>
        <w:t>from</w:t>
      </w:r>
      <w:r>
        <w:rPr>
          <w:color w:val="231F20"/>
          <w:spacing w:val="-26"/>
        </w:rPr>
        <w:t xml:space="preserve"> </w:t>
      </w:r>
      <w:r>
        <w:rPr>
          <w:color w:val="231F20"/>
        </w:rPr>
        <w:t>six</w:t>
      </w:r>
      <w:r>
        <w:rPr>
          <w:color w:val="231F20"/>
          <w:spacing w:val="-27"/>
        </w:rPr>
        <w:t xml:space="preserve"> </w:t>
      </w:r>
      <w:r>
        <w:rPr>
          <w:color w:val="231F20"/>
        </w:rPr>
        <w:t>months. Key</w:t>
      </w:r>
      <w:r>
        <w:rPr>
          <w:color w:val="231F20"/>
          <w:spacing w:val="-19"/>
        </w:rPr>
        <w:t xml:space="preserve"> </w:t>
      </w:r>
      <w:r>
        <w:rPr>
          <w:color w:val="231F20"/>
        </w:rPr>
        <w:t>actions</w:t>
      </w:r>
      <w:r>
        <w:rPr>
          <w:color w:val="231F20"/>
          <w:spacing w:val="-18"/>
        </w:rPr>
        <w:t xml:space="preserve"> </w:t>
      </w:r>
      <w:r>
        <w:rPr>
          <w:color w:val="231F20"/>
        </w:rPr>
        <w:t>include;</w:t>
      </w:r>
      <w:r>
        <w:rPr>
          <w:color w:val="231F20"/>
          <w:spacing w:val="-18"/>
        </w:rPr>
        <w:t xml:space="preserve"> </w:t>
      </w:r>
      <w:r>
        <w:rPr>
          <w:color w:val="231F20"/>
        </w:rPr>
        <w:t>–</w:t>
      </w:r>
      <w:r>
        <w:rPr>
          <w:color w:val="231F20"/>
          <w:spacing w:val="-18"/>
        </w:rPr>
        <w:t xml:space="preserve"> </w:t>
      </w:r>
      <w:r>
        <w:rPr>
          <w:color w:val="231F20"/>
        </w:rPr>
        <w:t>Media</w:t>
      </w:r>
      <w:r>
        <w:rPr>
          <w:color w:val="231F20"/>
          <w:spacing w:val="-18"/>
        </w:rPr>
        <w:t xml:space="preserve"> </w:t>
      </w:r>
      <w:r>
        <w:rPr>
          <w:color w:val="231F20"/>
        </w:rPr>
        <w:t>awareness</w:t>
      </w:r>
      <w:r>
        <w:rPr>
          <w:color w:val="231F20"/>
          <w:spacing w:val="-18"/>
        </w:rPr>
        <w:t xml:space="preserve"> </w:t>
      </w:r>
      <w:r>
        <w:rPr>
          <w:color w:val="231F20"/>
        </w:rPr>
        <w:t>campaign</w:t>
      </w:r>
      <w:r>
        <w:rPr>
          <w:color w:val="231F20"/>
          <w:spacing w:val="-18"/>
        </w:rPr>
        <w:t xml:space="preserve"> </w:t>
      </w:r>
      <w:r>
        <w:rPr>
          <w:color w:val="231F20"/>
        </w:rPr>
        <w:t>on</w:t>
      </w:r>
      <w:r>
        <w:rPr>
          <w:color w:val="231F20"/>
          <w:spacing w:val="-18"/>
        </w:rPr>
        <w:t xml:space="preserve"> </w:t>
      </w:r>
      <w:r>
        <w:rPr>
          <w:color w:val="231F20"/>
        </w:rPr>
        <w:t>the</w:t>
      </w:r>
      <w:r>
        <w:rPr>
          <w:color w:val="231F20"/>
          <w:spacing w:val="-19"/>
        </w:rPr>
        <w:t xml:space="preserve"> </w:t>
      </w:r>
      <w:r>
        <w:rPr>
          <w:color w:val="231F20"/>
        </w:rPr>
        <w:t>importance</w:t>
      </w:r>
      <w:r>
        <w:rPr>
          <w:color w:val="231F20"/>
          <w:spacing w:val="-18"/>
        </w:rPr>
        <w:t xml:space="preserve"> </w:t>
      </w:r>
      <w:r>
        <w:rPr>
          <w:color w:val="231F20"/>
        </w:rPr>
        <w:t>of</w:t>
      </w:r>
      <w:r>
        <w:rPr>
          <w:color w:val="231F20"/>
          <w:spacing w:val="-18"/>
        </w:rPr>
        <w:t xml:space="preserve"> </w:t>
      </w:r>
      <w:r>
        <w:rPr>
          <w:color w:val="231F20"/>
        </w:rPr>
        <w:t>continued</w:t>
      </w:r>
      <w:r>
        <w:rPr>
          <w:color w:val="231F20"/>
          <w:spacing w:val="-18"/>
        </w:rPr>
        <w:t xml:space="preserve"> </w:t>
      </w:r>
      <w:r>
        <w:rPr>
          <w:color w:val="231F20"/>
        </w:rPr>
        <w:t>breastfeeding</w:t>
      </w:r>
      <w:r>
        <w:rPr>
          <w:color w:val="231F20"/>
          <w:spacing w:val="-18"/>
        </w:rPr>
        <w:t xml:space="preserve"> </w:t>
      </w:r>
      <w:r>
        <w:rPr>
          <w:color w:val="231F20"/>
        </w:rPr>
        <w:t xml:space="preserve">&amp; complementary feeding; Advocacy to workplace for provision of </w:t>
      </w:r>
      <w:r w:rsidR="001D7055">
        <w:rPr>
          <w:color w:val="231F20"/>
        </w:rPr>
        <w:t>crèche</w:t>
      </w:r>
      <w:r>
        <w:rPr>
          <w:color w:val="231F20"/>
        </w:rPr>
        <w:t xml:space="preserve"> in work environment to enable working nursing mothers continue breastfeeding; Health Education (HE) to promote adoption of principles of </w:t>
      </w:r>
      <w:r>
        <w:rPr>
          <w:color w:val="231F20"/>
          <w:spacing w:val="-3"/>
        </w:rPr>
        <w:t xml:space="preserve">FADUS </w:t>
      </w:r>
      <w:r>
        <w:rPr>
          <w:color w:val="231F20"/>
        </w:rPr>
        <w:t xml:space="preserve">(frequency, adequacy, </w:t>
      </w:r>
      <w:r>
        <w:rPr>
          <w:color w:val="231F20"/>
          <w:spacing w:val="-3"/>
        </w:rPr>
        <w:t xml:space="preserve">density, </w:t>
      </w:r>
      <w:r>
        <w:rPr>
          <w:color w:val="231F20"/>
        </w:rPr>
        <w:t xml:space="preserve">utilization and safety) of complementary feeds and </w:t>
      </w:r>
      <w:r w:rsidR="00765AD2">
        <w:rPr>
          <w:color w:val="231F20"/>
        </w:rPr>
        <w:t>counseling</w:t>
      </w:r>
      <w:r>
        <w:rPr>
          <w:color w:val="231F20"/>
        </w:rPr>
        <w:t xml:space="preserve"> on complimentary feeding promotion to parents of infants from 6 months &amp; pregnant women routinely at the </w:t>
      </w:r>
      <w:r>
        <w:rPr>
          <w:color w:val="231F20"/>
          <w:spacing w:val="-3"/>
        </w:rPr>
        <w:t xml:space="preserve">primary, </w:t>
      </w:r>
      <w:r>
        <w:rPr>
          <w:color w:val="231F20"/>
        </w:rPr>
        <w:t>secondary &amp; tertiary levels; Conduct routine food demonstration at the health facilities on provision &amp; preparation of nutrient dense complimentary</w:t>
      </w:r>
      <w:r>
        <w:rPr>
          <w:color w:val="231F20"/>
          <w:spacing w:val="-1"/>
        </w:rPr>
        <w:t xml:space="preserve"> </w:t>
      </w:r>
      <w:r>
        <w:rPr>
          <w:color w:val="231F20"/>
        </w:rPr>
        <w:t>food</w:t>
      </w:r>
      <w:r>
        <w:rPr>
          <w:color w:val="231F20"/>
          <w:spacing w:val="-4"/>
        </w:rPr>
        <w:t xml:space="preserve"> </w:t>
      </w:r>
      <w:r>
        <w:rPr>
          <w:color w:val="231F20"/>
        </w:rPr>
        <w:t>to</w:t>
      </w:r>
      <w:r>
        <w:rPr>
          <w:color w:val="231F20"/>
          <w:spacing w:val="-3"/>
        </w:rPr>
        <w:t xml:space="preserve"> </w:t>
      </w:r>
      <w:r>
        <w:rPr>
          <w:color w:val="231F20"/>
        </w:rPr>
        <w:t>pregnant women</w:t>
      </w:r>
      <w:r>
        <w:rPr>
          <w:color w:val="231F20"/>
          <w:spacing w:val="-4"/>
        </w:rPr>
        <w:t xml:space="preserve"> </w:t>
      </w:r>
      <w:r>
        <w:rPr>
          <w:color w:val="231F20"/>
        </w:rPr>
        <w:t>&amp;</w:t>
      </w:r>
      <w:r>
        <w:rPr>
          <w:color w:val="231F20"/>
          <w:spacing w:val="-3"/>
        </w:rPr>
        <w:t xml:space="preserve"> </w:t>
      </w:r>
      <w:r>
        <w:rPr>
          <w:color w:val="231F20"/>
        </w:rPr>
        <w:t>parents</w:t>
      </w:r>
      <w:r>
        <w:rPr>
          <w:color w:val="231F20"/>
          <w:spacing w:val="-3"/>
        </w:rPr>
        <w:t xml:space="preserve"> </w:t>
      </w:r>
      <w:r>
        <w:rPr>
          <w:color w:val="231F20"/>
        </w:rPr>
        <w:t>of</w:t>
      </w:r>
      <w:r>
        <w:rPr>
          <w:color w:val="231F20"/>
          <w:spacing w:val="-3"/>
        </w:rPr>
        <w:t xml:space="preserve"> </w:t>
      </w:r>
      <w:r>
        <w:rPr>
          <w:color w:val="231F20"/>
        </w:rPr>
        <w:t>infants</w:t>
      </w:r>
      <w:r>
        <w:rPr>
          <w:color w:val="231F20"/>
          <w:spacing w:val="-3"/>
        </w:rPr>
        <w:t xml:space="preserve"> </w:t>
      </w:r>
      <w:r>
        <w:rPr>
          <w:color w:val="231F20"/>
        </w:rPr>
        <w:t>from</w:t>
      </w:r>
      <w:r>
        <w:rPr>
          <w:color w:val="231F20"/>
          <w:spacing w:val="-3"/>
        </w:rPr>
        <w:t xml:space="preserve"> </w:t>
      </w:r>
      <w:r>
        <w:rPr>
          <w:color w:val="231F20"/>
        </w:rPr>
        <w:t>6months</w:t>
      </w:r>
      <w:r>
        <w:rPr>
          <w:color w:val="231F20"/>
          <w:spacing w:val="-3"/>
        </w:rPr>
        <w:t xml:space="preserve"> </w:t>
      </w:r>
      <w:r>
        <w:rPr>
          <w:color w:val="231F20"/>
        </w:rPr>
        <w:t>at</w:t>
      </w:r>
      <w:r>
        <w:rPr>
          <w:color w:val="231F20"/>
          <w:spacing w:val="-3"/>
        </w:rPr>
        <w:t xml:space="preserve"> </w:t>
      </w:r>
      <w:r>
        <w:rPr>
          <w:color w:val="231F20"/>
        </w:rPr>
        <w:t>LGA</w:t>
      </w:r>
      <w:r>
        <w:rPr>
          <w:color w:val="231F20"/>
          <w:spacing w:val="-15"/>
        </w:rPr>
        <w:t xml:space="preserve"> </w:t>
      </w:r>
      <w:r>
        <w:rPr>
          <w:color w:val="231F20"/>
        </w:rPr>
        <w:t>&amp;</w:t>
      </w:r>
      <w:r>
        <w:rPr>
          <w:color w:val="231F20"/>
          <w:spacing w:val="-3"/>
        </w:rPr>
        <w:t xml:space="preserve"> </w:t>
      </w:r>
      <w:r>
        <w:rPr>
          <w:color w:val="231F20"/>
        </w:rPr>
        <w:t>State</w:t>
      </w:r>
      <w:r>
        <w:rPr>
          <w:color w:val="231F20"/>
          <w:spacing w:val="-3"/>
        </w:rPr>
        <w:t xml:space="preserve"> </w:t>
      </w:r>
      <w:r>
        <w:rPr>
          <w:color w:val="231F20"/>
        </w:rPr>
        <w:t>levels; Conduct</w:t>
      </w:r>
      <w:r>
        <w:rPr>
          <w:color w:val="231F20"/>
          <w:spacing w:val="-25"/>
        </w:rPr>
        <w:t xml:space="preserve"> </w:t>
      </w:r>
      <w:r>
        <w:rPr>
          <w:color w:val="231F20"/>
        </w:rPr>
        <w:t>training</w:t>
      </w:r>
      <w:r>
        <w:rPr>
          <w:color w:val="231F20"/>
          <w:spacing w:val="-25"/>
        </w:rPr>
        <w:t xml:space="preserve"> </w:t>
      </w:r>
      <w:r>
        <w:rPr>
          <w:color w:val="231F20"/>
        </w:rPr>
        <w:t>and</w:t>
      </w:r>
      <w:r>
        <w:rPr>
          <w:color w:val="231F20"/>
          <w:spacing w:val="-25"/>
        </w:rPr>
        <w:t xml:space="preserve"> </w:t>
      </w:r>
      <w:r>
        <w:rPr>
          <w:color w:val="231F20"/>
        </w:rPr>
        <w:t>re-training</w:t>
      </w:r>
      <w:r>
        <w:rPr>
          <w:color w:val="231F20"/>
          <w:spacing w:val="-25"/>
        </w:rPr>
        <w:t xml:space="preserve"> </w:t>
      </w:r>
      <w:r>
        <w:rPr>
          <w:color w:val="231F20"/>
        </w:rPr>
        <w:t>for</w:t>
      </w:r>
      <w:r>
        <w:rPr>
          <w:color w:val="231F20"/>
          <w:spacing w:val="-25"/>
        </w:rPr>
        <w:t xml:space="preserve"> </w:t>
      </w:r>
      <w:r>
        <w:rPr>
          <w:color w:val="231F20"/>
        </w:rPr>
        <w:t>Community</w:t>
      </w:r>
      <w:r>
        <w:rPr>
          <w:color w:val="231F20"/>
          <w:spacing w:val="-24"/>
        </w:rPr>
        <w:t xml:space="preserve"> </w:t>
      </w:r>
      <w:r w:rsidR="00765AD2">
        <w:rPr>
          <w:color w:val="231F20"/>
        </w:rPr>
        <w:t>Counselor</w:t>
      </w:r>
      <w:r>
        <w:rPr>
          <w:color w:val="231F20"/>
          <w:spacing w:val="-25"/>
        </w:rPr>
        <w:t xml:space="preserve"> </w:t>
      </w:r>
      <w:r>
        <w:rPr>
          <w:color w:val="231F20"/>
        </w:rPr>
        <w:t>on</w:t>
      </w:r>
      <w:r>
        <w:rPr>
          <w:color w:val="231F20"/>
          <w:spacing w:val="-25"/>
        </w:rPr>
        <w:t xml:space="preserve"> </w:t>
      </w:r>
      <w:r>
        <w:rPr>
          <w:color w:val="231F20"/>
        </w:rPr>
        <w:t>Infant</w:t>
      </w:r>
      <w:r>
        <w:rPr>
          <w:color w:val="231F20"/>
          <w:spacing w:val="-25"/>
        </w:rPr>
        <w:t xml:space="preserve"> </w:t>
      </w:r>
      <w:r>
        <w:rPr>
          <w:color w:val="231F20"/>
        </w:rPr>
        <w:t>&amp;</w:t>
      </w:r>
      <w:r>
        <w:rPr>
          <w:color w:val="231F20"/>
          <w:spacing w:val="-29"/>
        </w:rPr>
        <w:t xml:space="preserve"> </w:t>
      </w:r>
      <w:r>
        <w:rPr>
          <w:color w:val="231F20"/>
          <w:spacing w:val="-5"/>
        </w:rPr>
        <w:t>Young</w:t>
      </w:r>
      <w:r>
        <w:rPr>
          <w:color w:val="231F20"/>
          <w:spacing w:val="-25"/>
        </w:rPr>
        <w:t xml:space="preserve"> </w:t>
      </w:r>
      <w:r>
        <w:rPr>
          <w:color w:val="231F20"/>
        </w:rPr>
        <w:t>Child</w:t>
      </w:r>
      <w:r>
        <w:rPr>
          <w:color w:val="231F20"/>
          <w:spacing w:val="-25"/>
        </w:rPr>
        <w:t xml:space="preserve"> </w:t>
      </w:r>
      <w:r>
        <w:rPr>
          <w:color w:val="231F20"/>
        </w:rPr>
        <w:t>Feeding</w:t>
      </w:r>
      <w:r>
        <w:rPr>
          <w:color w:val="231F20"/>
          <w:spacing w:val="-24"/>
        </w:rPr>
        <w:t xml:space="preserve"> </w:t>
      </w:r>
      <w:r>
        <w:rPr>
          <w:color w:val="231F20"/>
        </w:rPr>
        <w:t>(IYCF).</w:t>
      </w:r>
    </w:p>
    <w:p w14:paraId="1B479DBE" w14:textId="77777777" w:rsidR="009948F1" w:rsidRDefault="009948F1">
      <w:pPr>
        <w:pStyle w:val="BodyText"/>
        <w:spacing w:before="10"/>
        <w:rPr>
          <w:sz w:val="23"/>
        </w:rPr>
      </w:pPr>
    </w:p>
    <w:p w14:paraId="257B31E8" w14:textId="77777777" w:rsidR="009948F1" w:rsidRDefault="00BC0563">
      <w:pPr>
        <w:pStyle w:val="ListParagraph"/>
        <w:numPr>
          <w:ilvl w:val="3"/>
          <w:numId w:val="293"/>
        </w:numPr>
        <w:tabs>
          <w:tab w:val="left" w:pos="907"/>
        </w:tabs>
        <w:spacing w:line="273" w:lineRule="auto"/>
        <w:ind w:left="122" w:right="184" w:firstLine="0"/>
      </w:pPr>
      <w:r>
        <w:rPr>
          <w:color w:val="231F20"/>
        </w:rPr>
        <w:t xml:space="preserve">Expand coverage with micronutrient powder supplementation. Key actions include; </w:t>
      </w:r>
      <w:r>
        <w:rPr>
          <w:color w:val="231F20"/>
          <w:spacing w:val="-14"/>
        </w:rPr>
        <w:t xml:space="preserve">- </w:t>
      </w:r>
      <w:r>
        <w:rPr>
          <w:color w:val="231F20"/>
        </w:rPr>
        <w:t>Introduce</w:t>
      </w:r>
      <w:r>
        <w:rPr>
          <w:color w:val="231F20"/>
          <w:spacing w:val="-16"/>
        </w:rPr>
        <w:t xml:space="preserve"> </w:t>
      </w:r>
      <w:r>
        <w:rPr>
          <w:color w:val="231F20"/>
        </w:rPr>
        <w:t>&amp;</w:t>
      </w:r>
      <w:r>
        <w:rPr>
          <w:color w:val="231F20"/>
          <w:spacing w:val="-15"/>
        </w:rPr>
        <w:t xml:space="preserve"> </w:t>
      </w:r>
      <w:r>
        <w:rPr>
          <w:color w:val="231F20"/>
        </w:rPr>
        <w:t>distribute</w:t>
      </w:r>
      <w:r>
        <w:rPr>
          <w:color w:val="231F20"/>
          <w:spacing w:val="-15"/>
        </w:rPr>
        <w:t xml:space="preserve"> </w:t>
      </w:r>
      <w:r>
        <w:rPr>
          <w:color w:val="231F20"/>
        </w:rPr>
        <w:t>Multi</w:t>
      </w:r>
      <w:r>
        <w:rPr>
          <w:color w:val="231F20"/>
          <w:spacing w:val="-15"/>
        </w:rPr>
        <w:t xml:space="preserve"> </w:t>
      </w:r>
      <w:r>
        <w:rPr>
          <w:color w:val="231F20"/>
        </w:rPr>
        <w:t>Micronutrient</w:t>
      </w:r>
      <w:r>
        <w:rPr>
          <w:color w:val="231F20"/>
          <w:spacing w:val="-15"/>
        </w:rPr>
        <w:t xml:space="preserve"> </w:t>
      </w:r>
      <w:r>
        <w:rPr>
          <w:color w:val="231F20"/>
        </w:rPr>
        <w:t>Powder</w:t>
      </w:r>
      <w:r>
        <w:rPr>
          <w:color w:val="231F20"/>
          <w:spacing w:val="-15"/>
        </w:rPr>
        <w:t xml:space="preserve"> </w:t>
      </w:r>
      <w:r>
        <w:rPr>
          <w:color w:val="231F20"/>
        </w:rPr>
        <w:t>for</w:t>
      </w:r>
      <w:r>
        <w:rPr>
          <w:color w:val="231F20"/>
          <w:spacing w:val="-15"/>
        </w:rPr>
        <w:t xml:space="preserve"> </w:t>
      </w:r>
      <w:r>
        <w:rPr>
          <w:color w:val="231F20"/>
        </w:rPr>
        <w:t>fortification</w:t>
      </w:r>
      <w:r>
        <w:rPr>
          <w:color w:val="231F20"/>
          <w:spacing w:val="56"/>
        </w:rPr>
        <w:t xml:space="preserve"> </w:t>
      </w:r>
      <w:r>
        <w:rPr>
          <w:color w:val="231F20"/>
        </w:rPr>
        <w:t>of</w:t>
      </w:r>
      <w:r>
        <w:rPr>
          <w:color w:val="231F20"/>
          <w:spacing w:val="-15"/>
        </w:rPr>
        <w:t xml:space="preserve"> </w:t>
      </w:r>
      <w:r>
        <w:rPr>
          <w:color w:val="231F20"/>
        </w:rPr>
        <w:t>home</w:t>
      </w:r>
      <w:r>
        <w:rPr>
          <w:color w:val="231F20"/>
          <w:spacing w:val="-15"/>
        </w:rPr>
        <w:t xml:space="preserve"> </w:t>
      </w:r>
      <w:r>
        <w:rPr>
          <w:color w:val="231F20"/>
        </w:rPr>
        <w:t>feeds</w:t>
      </w:r>
      <w:r>
        <w:rPr>
          <w:color w:val="231F20"/>
          <w:spacing w:val="-15"/>
        </w:rPr>
        <w:t xml:space="preserve"> </w:t>
      </w:r>
      <w:r>
        <w:rPr>
          <w:color w:val="231F20"/>
        </w:rPr>
        <w:t>for</w:t>
      </w:r>
      <w:r>
        <w:rPr>
          <w:color w:val="231F20"/>
          <w:spacing w:val="-15"/>
        </w:rPr>
        <w:t xml:space="preserve"> </w:t>
      </w:r>
      <w:r>
        <w:rPr>
          <w:color w:val="231F20"/>
        </w:rPr>
        <w:t>children</w:t>
      </w:r>
      <w:r>
        <w:rPr>
          <w:color w:val="231F20"/>
          <w:spacing w:val="-15"/>
        </w:rPr>
        <w:t xml:space="preserve"> </w:t>
      </w:r>
      <w:r>
        <w:rPr>
          <w:color w:val="231F20"/>
        </w:rPr>
        <w:t>aged</w:t>
      </w:r>
      <w:r>
        <w:rPr>
          <w:color w:val="231F20"/>
          <w:spacing w:val="-15"/>
        </w:rPr>
        <w:t xml:space="preserve"> </w:t>
      </w:r>
      <w:r>
        <w:rPr>
          <w:color w:val="231F20"/>
        </w:rPr>
        <w:t xml:space="preserve">6 to 23 months; Provide biannual doses of Vitamin A for children aged 6 - 59 months, integrate distribution with measles campaign, RI and in CWC; Provide Zinc supplements as routine constituent of </w:t>
      </w:r>
      <w:proofErr w:type="spellStart"/>
      <w:r>
        <w:rPr>
          <w:color w:val="231F20"/>
        </w:rPr>
        <w:t>diarrhoea</w:t>
      </w:r>
      <w:proofErr w:type="spellEnd"/>
      <w:r>
        <w:rPr>
          <w:color w:val="231F20"/>
        </w:rPr>
        <w:t xml:space="preserve"> management for children aged 6 - 59 months; Conduct demonstration </w:t>
      </w:r>
      <w:r>
        <w:rPr>
          <w:color w:val="231F20"/>
          <w:spacing w:val="-8"/>
        </w:rPr>
        <w:t xml:space="preserve">of </w:t>
      </w:r>
      <w:r>
        <w:rPr>
          <w:color w:val="231F20"/>
        </w:rPr>
        <w:t>the use of micronutrients powders for in-home fortification of complimentary foods to parents of infants</w:t>
      </w:r>
      <w:r>
        <w:rPr>
          <w:color w:val="231F20"/>
          <w:spacing w:val="-26"/>
        </w:rPr>
        <w:t xml:space="preserve"> </w:t>
      </w:r>
      <w:r>
        <w:rPr>
          <w:color w:val="231F20"/>
        </w:rPr>
        <w:t>&amp;</w:t>
      </w:r>
      <w:r>
        <w:rPr>
          <w:color w:val="231F20"/>
          <w:spacing w:val="-25"/>
        </w:rPr>
        <w:t xml:space="preserve"> </w:t>
      </w:r>
      <w:r>
        <w:rPr>
          <w:color w:val="231F20"/>
        </w:rPr>
        <w:t>children</w:t>
      </w:r>
      <w:r>
        <w:rPr>
          <w:color w:val="231F20"/>
          <w:spacing w:val="-25"/>
        </w:rPr>
        <w:t xml:space="preserve"> </w:t>
      </w:r>
      <w:r>
        <w:rPr>
          <w:color w:val="231F20"/>
        </w:rPr>
        <w:t>of</w:t>
      </w:r>
      <w:r>
        <w:rPr>
          <w:color w:val="231F20"/>
          <w:spacing w:val="-25"/>
        </w:rPr>
        <w:t xml:space="preserve"> </w:t>
      </w:r>
      <w:r>
        <w:rPr>
          <w:color w:val="231F20"/>
        </w:rPr>
        <w:t>6-23months</w:t>
      </w:r>
      <w:r>
        <w:rPr>
          <w:color w:val="231F20"/>
          <w:spacing w:val="-26"/>
        </w:rPr>
        <w:t xml:space="preserve"> </w:t>
      </w:r>
      <w:r>
        <w:rPr>
          <w:color w:val="231F20"/>
        </w:rPr>
        <w:t>of</w:t>
      </w:r>
      <w:r>
        <w:rPr>
          <w:color w:val="231F20"/>
          <w:spacing w:val="-25"/>
        </w:rPr>
        <w:t xml:space="preserve"> </w:t>
      </w:r>
      <w:r>
        <w:rPr>
          <w:color w:val="231F20"/>
        </w:rPr>
        <w:t>age</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health</w:t>
      </w:r>
      <w:r>
        <w:rPr>
          <w:color w:val="231F20"/>
          <w:spacing w:val="-26"/>
        </w:rPr>
        <w:t xml:space="preserve"> </w:t>
      </w:r>
      <w:r>
        <w:rPr>
          <w:color w:val="231F20"/>
        </w:rPr>
        <w:t>facilities</w:t>
      </w:r>
      <w:r>
        <w:rPr>
          <w:color w:val="231F20"/>
          <w:spacing w:val="-25"/>
        </w:rPr>
        <w:t xml:space="preserve"> </w:t>
      </w:r>
      <w:r>
        <w:rPr>
          <w:color w:val="231F20"/>
        </w:rPr>
        <w:t>routinely.</w:t>
      </w:r>
    </w:p>
    <w:p w14:paraId="02364762" w14:textId="77777777" w:rsidR="009948F1" w:rsidRDefault="009948F1">
      <w:pPr>
        <w:pStyle w:val="BodyText"/>
        <w:spacing w:before="3"/>
        <w:rPr>
          <w:sz w:val="24"/>
        </w:rPr>
      </w:pPr>
    </w:p>
    <w:p w14:paraId="775D339E" w14:textId="700A8370" w:rsidR="009948F1" w:rsidRDefault="00BC0563">
      <w:pPr>
        <w:pStyle w:val="ListParagraph"/>
        <w:numPr>
          <w:ilvl w:val="3"/>
          <w:numId w:val="293"/>
        </w:numPr>
        <w:tabs>
          <w:tab w:val="left" w:pos="842"/>
        </w:tabs>
        <w:spacing w:line="273" w:lineRule="auto"/>
        <w:ind w:left="122" w:right="180" w:firstLine="0"/>
      </w:pPr>
      <w:r>
        <w:rPr>
          <w:color w:val="231F20"/>
        </w:rPr>
        <w:t>Scale-up</w:t>
      </w:r>
      <w:r>
        <w:rPr>
          <w:color w:val="231F20"/>
          <w:spacing w:val="-17"/>
        </w:rPr>
        <w:t xml:space="preserve"> </w:t>
      </w:r>
      <w:r>
        <w:rPr>
          <w:color w:val="231F20"/>
        </w:rPr>
        <w:t>prevention,</w:t>
      </w:r>
      <w:r>
        <w:rPr>
          <w:color w:val="231F20"/>
          <w:spacing w:val="-16"/>
        </w:rPr>
        <w:t xml:space="preserve"> </w:t>
      </w:r>
      <w:r>
        <w:rPr>
          <w:color w:val="231F20"/>
        </w:rPr>
        <w:t>detection,</w:t>
      </w:r>
      <w:r>
        <w:rPr>
          <w:color w:val="231F20"/>
          <w:spacing w:val="-16"/>
        </w:rPr>
        <w:t xml:space="preserve"> </w:t>
      </w:r>
      <w:r>
        <w:rPr>
          <w:color w:val="231F20"/>
        </w:rPr>
        <w:t>control</w:t>
      </w:r>
      <w:r>
        <w:rPr>
          <w:color w:val="231F20"/>
          <w:spacing w:val="-16"/>
        </w:rPr>
        <w:t xml:space="preserve"> </w:t>
      </w:r>
      <w:r>
        <w:rPr>
          <w:color w:val="231F20"/>
        </w:rPr>
        <w:t>and</w:t>
      </w:r>
      <w:r>
        <w:rPr>
          <w:color w:val="231F20"/>
          <w:spacing w:val="-16"/>
        </w:rPr>
        <w:t xml:space="preserve"> </w:t>
      </w:r>
      <w:r>
        <w:rPr>
          <w:color w:val="231F20"/>
        </w:rPr>
        <w:t>management</w:t>
      </w:r>
      <w:r>
        <w:rPr>
          <w:color w:val="231F20"/>
          <w:spacing w:val="-15"/>
        </w:rPr>
        <w:t xml:space="preserve"> </w:t>
      </w:r>
      <w:r>
        <w:rPr>
          <w:color w:val="231F20"/>
        </w:rPr>
        <w:t>of</w:t>
      </w:r>
      <w:r>
        <w:rPr>
          <w:color w:val="231F20"/>
          <w:spacing w:val="-16"/>
        </w:rPr>
        <w:t xml:space="preserve"> </w:t>
      </w:r>
      <w:r>
        <w:rPr>
          <w:color w:val="231F20"/>
        </w:rPr>
        <w:t>acute</w:t>
      </w:r>
      <w:r>
        <w:rPr>
          <w:color w:val="231F20"/>
          <w:spacing w:val="-16"/>
        </w:rPr>
        <w:t xml:space="preserve"> </w:t>
      </w:r>
      <w:r>
        <w:rPr>
          <w:color w:val="231F20"/>
        </w:rPr>
        <w:t>malnutrition.</w:t>
      </w:r>
      <w:r>
        <w:rPr>
          <w:color w:val="231F20"/>
          <w:spacing w:val="-16"/>
        </w:rPr>
        <w:t xml:space="preserve"> </w:t>
      </w:r>
      <w:r>
        <w:rPr>
          <w:color w:val="231F20"/>
        </w:rPr>
        <w:t>Key</w:t>
      </w:r>
      <w:r>
        <w:rPr>
          <w:color w:val="231F20"/>
          <w:spacing w:val="-17"/>
        </w:rPr>
        <w:t xml:space="preserve"> </w:t>
      </w:r>
      <w:r>
        <w:rPr>
          <w:color w:val="231F20"/>
        </w:rPr>
        <w:t xml:space="preserve">actions include; - </w:t>
      </w:r>
      <w:r w:rsidR="00765AD2">
        <w:rPr>
          <w:color w:val="231F20"/>
        </w:rPr>
        <w:t>Sensitize</w:t>
      </w:r>
      <w:r>
        <w:rPr>
          <w:color w:val="231F20"/>
        </w:rPr>
        <w:t xml:space="preserve"> mothers/caregivers within communities on adequate nutrition for infants and young children; Mass media (special regular nutrition </w:t>
      </w:r>
      <w:proofErr w:type="spellStart"/>
      <w:r>
        <w:rPr>
          <w:color w:val="231F20"/>
        </w:rPr>
        <w:t>programmes</w:t>
      </w:r>
      <w:proofErr w:type="spellEnd"/>
      <w:r>
        <w:rPr>
          <w:color w:val="231F20"/>
        </w:rPr>
        <w:t xml:space="preserve"> on radio and TV) and </w:t>
      </w:r>
      <w:r>
        <w:rPr>
          <w:color w:val="231F20"/>
          <w:spacing w:val="-5"/>
        </w:rPr>
        <w:t xml:space="preserve">ICT </w:t>
      </w:r>
      <w:r>
        <w:rPr>
          <w:color w:val="231F20"/>
        </w:rPr>
        <w:t>platforms</w:t>
      </w:r>
      <w:r>
        <w:rPr>
          <w:color w:val="231F20"/>
          <w:spacing w:val="-7"/>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general</w:t>
      </w:r>
      <w:r>
        <w:rPr>
          <w:color w:val="231F20"/>
          <w:spacing w:val="-6"/>
        </w:rPr>
        <w:t xml:space="preserve"> </w:t>
      </w:r>
      <w:r>
        <w:rPr>
          <w:color w:val="231F20"/>
        </w:rPr>
        <w:t>information</w:t>
      </w:r>
      <w:r>
        <w:rPr>
          <w:color w:val="231F20"/>
          <w:spacing w:val="-6"/>
        </w:rPr>
        <w:t xml:space="preserve"> </w:t>
      </w:r>
      <w:r>
        <w:rPr>
          <w:color w:val="231F20"/>
        </w:rPr>
        <w:t>on</w:t>
      </w:r>
      <w:r>
        <w:rPr>
          <w:color w:val="231F20"/>
          <w:spacing w:val="-6"/>
        </w:rPr>
        <w:t xml:space="preserve"> </w:t>
      </w:r>
      <w:r>
        <w:rPr>
          <w:color w:val="231F20"/>
        </w:rPr>
        <w:t>Community-Based</w:t>
      </w:r>
      <w:r>
        <w:rPr>
          <w:color w:val="231F20"/>
          <w:spacing w:val="-6"/>
        </w:rPr>
        <w:t xml:space="preserve"> </w:t>
      </w:r>
      <w:r>
        <w:rPr>
          <w:color w:val="231F20"/>
        </w:rPr>
        <w:t>Management</w:t>
      </w:r>
      <w:r>
        <w:rPr>
          <w:color w:val="231F20"/>
          <w:spacing w:val="-6"/>
        </w:rPr>
        <w:t xml:space="preserve"> </w:t>
      </w:r>
      <w:r>
        <w:rPr>
          <w:color w:val="231F20"/>
        </w:rPr>
        <w:t>of</w:t>
      </w:r>
      <w:r>
        <w:rPr>
          <w:color w:val="231F20"/>
          <w:spacing w:val="-19"/>
        </w:rPr>
        <w:t xml:space="preserve"> </w:t>
      </w:r>
      <w:r>
        <w:rPr>
          <w:color w:val="231F20"/>
        </w:rPr>
        <w:t>Acute</w:t>
      </w:r>
      <w:r>
        <w:rPr>
          <w:color w:val="231F20"/>
          <w:spacing w:val="-6"/>
        </w:rPr>
        <w:t xml:space="preserve"> </w:t>
      </w:r>
      <w:r>
        <w:rPr>
          <w:color w:val="231F20"/>
        </w:rPr>
        <w:t>Malnutrition (CMAM);</w:t>
      </w:r>
      <w:r>
        <w:rPr>
          <w:color w:val="231F20"/>
          <w:spacing w:val="-11"/>
        </w:rPr>
        <w:t xml:space="preserve"> </w:t>
      </w:r>
      <w:r>
        <w:rPr>
          <w:color w:val="231F20"/>
        </w:rPr>
        <w:t>Observe</w:t>
      </w:r>
      <w:r>
        <w:rPr>
          <w:color w:val="231F20"/>
          <w:spacing w:val="-10"/>
        </w:rPr>
        <w:t xml:space="preserve"> </w:t>
      </w:r>
      <w:r>
        <w:rPr>
          <w:color w:val="231F20"/>
        </w:rPr>
        <w:t>Nutrition</w:t>
      </w:r>
      <w:r>
        <w:rPr>
          <w:color w:val="231F20"/>
          <w:spacing w:val="-11"/>
        </w:rPr>
        <w:t xml:space="preserve"> </w:t>
      </w:r>
      <w:r>
        <w:rPr>
          <w:color w:val="231F20"/>
        </w:rPr>
        <w:t>Week</w:t>
      </w:r>
      <w:r>
        <w:rPr>
          <w:color w:val="231F20"/>
          <w:spacing w:val="-10"/>
        </w:rPr>
        <w:t xml:space="preserve"> </w:t>
      </w:r>
      <w:r>
        <w:rPr>
          <w:color w:val="231F20"/>
        </w:rPr>
        <w:t>and</w:t>
      </w:r>
      <w:r>
        <w:rPr>
          <w:color w:val="231F20"/>
          <w:spacing w:val="-10"/>
        </w:rPr>
        <w:t xml:space="preserve"> </w:t>
      </w:r>
      <w:r>
        <w:rPr>
          <w:color w:val="231F20"/>
        </w:rPr>
        <w:t>conduct</w:t>
      </w:r>
      <w:r>
        <w:rPr>
          <w:color w:val="231F20"/>
          <w:spacing w:val="-11"/>
        </w:rPr>
        <w:t xml:space="preserve"> </w:t>
      </w:r>
      <w:r>
        <w:rPr>
          <w:color w:val="231F20"/>
        </w:rPr>
        <w:t>active</w:t>
      </w:r>
      <w:r>
        <w:rPr>
          <w:color w:val="231F20"/>
          <w:spacing w:val="-10"/>
        </w:rPr>
        <w:t xml:space="preserve"> </w:t>
      </w:r>
      <w:r>
        <w:rPr>
          <w:color w:val="231F20"/>
        </w:rPr>
        <w:t>community</w:t>
      </w:r>
      <w:r>
        <w:rPr>
          <w:color w:val="231F20"/>
          <w:spacing w:val="-10"/>
        </w:rPr>
        <w:t xml:space="preserve"> </w:t>
      </w:r>
      <w:r>
        <w:rPr>
          <w:color w:val="231F20"/>
        </w:rPr>
        <w:t>screening</w:t>
      </w:r>
      <w:r>
        <w:rPr>
          <w:color w:val="231F20"/>
          <w:spacing w:val="-11"/>
        </w:rPr>
        <w:t xml:space="preserve"> </w:t>
      </w:r>
      <w:r>
        <w:rPr>
          <w:color w:val="231F20"/>
        </w:rPr>
        <w:t>of</w:t>
      </w:r>
      <w:r>
        <w:rPr>
          <w:color w:val="231F20"/>
          <w:spacing w:val="-10"/>
        </w:rPr>
        <w:t xml:space="preserve"> </w:t>
      </w:r>
      <w:r>
        <w:rPr>
          <w:color w:val="231F20"/>
        </w:rPr>
        <w:t>children</w:t>
      </w:r>
      <w:r>
        <w:rPr>
          <w:color w:val="231F20"/>
          <w:spacing w:val="-11"/>
        </w:rPr>
        <w:t xml:space="preserve"> </w:t>
      </w:r>
      <w:r>
        <w:rPr>
          <w:color w:val="231F20"/>
        </w:rPr>
        <w:t>for</w:t>
      </w:r>
      <w:r>
        <w:rPr>
          <w:color w:val="231F20"/>
          <w:spacing w:val="-10"/>
        </w:rPr>
        <w:t xml:space="preserve"> </w:t>
      </w:r>
      <w:r>
        <w:rPr>
          <w:color w:val="231F20"/>
        </w:rPr>
        <w:t>signs</w:t>
      </w:r>
      <w:r>
        <w:rPr>
          <w:color w:val="231F20"/>
          <w:spacing w:val="-10"/>
        </w:rPr>
        <w:t xml:space="preserve"> </w:t>
      </w:r>
      <w:r>
        <w:rPr>
          <w:color w:val="231F20"/>
        </w:rPr>
        <w:t>of undernutrition;</w:t>
      </w:r>
      <w:r>
        <w:rPr>
          <w:color w:val="231F20"/>
          <w:spacing w:val="-17"/>
        </w:rPr>
        <w:t xml:space="preserve"> </w:t>
      </w:r>
      <w:r>
        <w:rPr>
          <w:color w:val="231F20"/>
        </w:rPr>
        <w:t>Establish</w:t>
      </w:r>
      <w:r>
        <w:rPr>
          <w:color w:val="231F20"/>
          <w:spacing w:val="-16"/>
        </w:rPr>
        <w:t xml:space="preserve"> </w:t>
      </w:r>
      <w:r>
        <w:rPr>
          <w:color w:val="231F20"/>
        </w:rPr>
        <w:t>CMAM</w:t>
      </w:r>
      <w:r>
        <w:rPr>
          <w:color w:val="231F20"/>
          <w:spacing w:val="-16"/>
        </w:rPr>
        <w:t xml:space="preserve"> </w:t>
      </w:r>
      <w:r>
        <w:rPr>
          <w:color w:val="231F20"/>
        </w:rPr>
        <w:t>sites</w:t>
      </w:r>
      <w:r>
        <w:rPr>
          <w:color w:val="231F20"/>
          <w:spacing w:val="-16"/>
        </w:rPr>
        <w:t xml:space="preserve"> </w:t>
      </w:r>
      <w:r>
        <w:rPr>
          <w:color w:val="231F20"/>
        </w:rPr>
        <w:t>in</w:t>
      </w:r>
      <w:r>
        <w:rPr>
          <w:color w:val="231F20"/>
          <w:spacing w:val="-16"/>
        </w:rPr>
        <w:t xml:space="preserve"> </w:t>
      </w:r>
      <w:r>
        <w:rPr>
          <w:color w:val="231F20"/>
        </w:rPr>
        <w:t>Primary</w:t>
      </w:r>
      <w:r>
        <w:rPr>
          <w:color w:val="231F20"/>
          <w:spacing w:val="-16"/>
        </w:rPr>
        <w:t xml:space="preserve"> </w:t>
      </w:r>
      <w:r>
        <w:rPr>
          <w:color w:val="231F20"/>
        </w:rPr>
        <w:t>and</w:t>
      </w:r>
      <w:r>
        <w:rPr>
          <w:color w:val="231F20"/>
          <w:spacing w:val="-16"/>
        </w:rPr>
        <w:t xml:space="preserve"> </w:t>
      </w:r>
      <w:r>
        <w:rPr>
          <w:color w:val="231F20"/>
        </w:rPr>
        <w:t>Secondary</w:t>
      </w:r>
      <w:r>
        <w:rPr>
          <w:color w:val="231F20"/>
          <w:spacing w:val="-16"/>
        </w:rPr>
        <w:t xml:space="preserve"> </w:t>
      </w:r>
      <w:r>
        <w:rPr>
          <w:color w:val="231F20"/>
        </w:rPr>
        <w:t>health</w:t>
      </w:r>
      <w:r>
        <w:rPr>
          <w:color w:val="231F20"/>
          <w:spacing w:val="-16"/>
        </w:rPr>
        <w:t xml:space="preserve"> </w:t>
      </w:r>
      <w:r>
        <w:rPr>
          <w:color w:val="231F20"/>
        </w:rPr>
        <w:t>facilities</w:t>
      </w:r>
      <w:r>
        <w:rPr>
          <w:color w:val="231F20"/>
          <w:spacing w:val="-16"/>
        </w:rPr>
        <w:t xml:space="preserve"> </w:t>
      </w:r>
      <w:r>
        <w:rPr>
          <w:color w:val="231F20"/>
        </w:rPr>
        <w:t>to</w:t>
      </w:r>
      <w:r>
        <w:rPr>
          <w:color w:val="231F20"/>
          <w:spacing w:val="-17"/>
        </w:rPr>
        <w:t xml:space="preserve"> </w:t>
      </w:r>
      <w:r>
        <w:rPr>
          <w:color w:val="231F20"/>
        </w:rPr>
        <w:t>increase</w:t>
      </w:r>
      <w:r>
        <w:rPr>
          <w:color w:val="231F20"/>
          <w:spacing w:val="-16"/>
        </w:rPr>
        <w:t xml:space="preserve"> </w:t>
      </w:r>
      <w:r>
        <w:rPr>
          <w:color w:val="231F20"/>
        </w:rPr>
        <w:t>access to CMAM services; Procure and distribute to all Primary and Secondary health care facilities, essential</w:t>
      </w:r>
      <w:r>
        <w:rPr>
          <w:color w:val="231F20"/>
          <w:spacing w:val="-10"/>
        </w:rPr>
        <w:t xml:space="preserve"> </w:t>
      </w:r>
      <w:r>
        <w:rPr>
          <w:color w:val="231F20"/>
        </w:rPr>
        <w:t>drugs</w:t>
      </w:r>
      <w:r>
        <w:rPr>
          <w:color w:val="231F20"/>
          <w:spacing w:val="-9"/>
        </w:rPr>
        <w:t xml:space="preserve"> </w:t>
      </w:r>
      <w:r>
        <w:rPr>
          <w:color w:val="231F20"/>
        </w:rPr>
        <w:t>for</w:t>
      </w:r>
      <w:r>
        <w:rPr>
          <w:color w:val="231F20"/>
          <w:spacing w:val="-10"/>
        </w:rPr>
        <w:t xml:space="preserve"> </w:t>
      </w:r>
      <w:r>
        <w:rPr>
          <w:color w:val="231F20"/>
        </w:rPr>
        <w:t>the</w:t>
      </w:r>
      <w:r>
        <w:rPr>
          <w:color w:val="231F20"/>
          <w:spacing w:val="-9"/>
        </w:rPr>
        <w:t xml:space="preserve"> </w:t>
      </w:r>
      <w:r>
        <w:rPr>
          <w:color w:val="231F20"/>
        </w:rPr>
        <w:t>management</w:t>
      </w:r>
      <w:r>
        <w:rPr>
          <w:color w:val="231F20"/>
          <w:spacing w:val="-9"/>
        </w:rPr>
        <w:t xml:space="preserve"> </w:t>
      </w:r>
      <w:r>
        <w:rPr>
          <w:color w:val="231F20"/>
        </w:rPr>
        <w:t>of</w:t>
      </w:r>
      <w:r>
        <w:rPr>
          <w:color w:val="231F20"/>
          <w:spacing w:val="-10"/>
        </w:rPr>
        <w:t xml:space="preserve"> </w:t>
      </w:r>
      <w:r>
        <w:rPr>
          <w:color w:val="231F20"/>
        </w:rPr>
        <w:t>malnutrition</w:t>
      </w:r>
      <w:r>
        <w:rPr>
          <w:color w:val="231F20"/>
          <w:spacing w:val="-9"/>
        </w:rPr>
        <w:t xml:space="preserve"> </w:t>
      </w:r>
      <w:r>
        <w:rPr>
          <w:color w:val="231F20"/>
        </w:rPr>
        <w:t>and</w:t>
      </w:r>
      <w:r>
        <w:rPr>
          <w:color w:val="231F20"/>
          <w:spacing w:val="6"/>
        </w:rPr>
        <w:t xml:space="preserve"> </w:t>
      </w:r>
      <w:r>
        <w:rPr>
          <w:color w:val="231F20"/>
        </w:rPr>
        <w:t>nutrition</w:t>
      </w:r>
      <w:r>
        <w:rPr>
          <w:color w:val="231F20"/>
          <w:spacing w:val="-9"/>
        </w:rPr>
        <w:t xml:space="preserve"> </w:t>
      </w:r>
      <w:r>
        <w:rPr>
          <w:color w:val="231F20"/>
        </w:rPr>
        <w:t>commodities</w:t>
      </w:r>
      <w:r>
        <w:rPr>
          <w:color w:val="231F20"/>
          <w:spacing w:val="-10"/>
        </w:rPr>
        <w:t xml:space="preserve"> </w:t>
      </w:r>
      <w:r>
        <w:rPr>
          <w:color w:val="231F20"/>
        </w:rPr>
        <w:t>for</w:t>
      </w:r>
      <w:r>
        <w:rPr>
          <w:color w:val="231F20"/>
          <w:spacing w:val="-10"/>
        </w:rPr>
        <w:t xml:space="preserve"> </w:t>
      </w:r>
      <w:r>
        <w:rPr>
          <w:color w:val="231F20"/>
        </w:rPr>
        <w:t>management</w:t>
      </w:r>
      <w:r>
        <w:rPr>
          <w:color w:val="231F20"/>
          <w:spacing w:val="-9"/>
        </w:rPr>
        <w:t xml:space="preserve"> </w:t>
      </w:r>
      <w:r>
        <w:rPr>
          <w:color w:val="231F20"/>
        </w:rPr>
        <w:t>of severe</w:t>
      </w:r>
      <w:r>
        <w:rPr>
          <w:color w:val="231F20"/>
          <w:spacing w:val="-26"/>
        </w:rPr>
        <w:t xml:space="preserve"> </w:t>
      </w:r>
      <w:r>
        <w:rPr>
          <w:color w:val="231F20"/>
        </w:rPr>
        <w:t>acute</w:t>
      </w:r>
      <w:r>
        <w:rPr>
          <w:color w:val="231F20"/>
          <w:spacing w:val="-25"/>
        </w:rPr>
        <w:t xml:space="preserve"> </w:t>
      </w:r>
      <w:r>
        <w:rPr>
          <w:color w:val="231F20"/>
        </w:rPr>
        <w:t>malnutrition</w:t>
      </w:r>
      <w:r>
        <w:rPr>
          <w:color w:val="231F20"/>
          <w:spacing w:val="-25"/>
        </w:rPr>
        <w:t xml:space="preserve"> </w:t>
      </w:r>
      <w:r>
        <w:rPr>
          <w:color w:val="231F20"/>
        </w:rPr>
        <w:t>including</w:t>
      </w:r>
      <w:r>
        <w:rPr>
          <w:color w:val="231F20"/>
          <w:spacing w:val="-25"/>
        </w:rPr>
        <w:t xml:space="preserve"> </w:t>
      </w:r>
      <w:r>
        <w:rPr>
          <w:color w:val="231F20"/>
        </w:rPr>
        <w:t>Ready</w:t>
      </w:r>
      <w:r>
        <w:rPr>
          <w:color w:val="231F20"/>
          <w:spacing w:val="-25"/>
        </w:rPr>
        <w:t xml:space="preserve"> </w:t>
      </w:r>
      <w:r>
        <w:rPr>
          <w:color w:val="231F20"/>
        </w:rPr>
        <w:t>to</w:t>
      </w:r>
      <w:r>
        <w:rPr>
          <w:color w:val="231F20"/>
          <w:spacing w:val="-25"/>
        </w:rPr>
        <w:t xml:space="preserve"> </w:t>
      </w:r>
      <w:r>
        <w:rPr>
          <w:color w:val="231F20"/>
        </w:rPr>
        <w:t>Use</w:t>
      </w:r>
      <w:r>
        <w:rPr>
          <w:color w:val="231F20"/>
          <w:spacing w:val="-29"/>
        </w:rPr>
        <w:t xml:space="preserve"> </w:t>
      </w:r>
      <w:r>
        <w:rPr>
          <w:color w:val="231F20"/>
        </w:rPr>
        <w:t>Therapeutic</w:t>
      </w:r>
      <w:r>
        <w:rPr>
          <w:color w:val="231F20"/>
          <w:spacing w:val="-25"/>
        </w:rPr>
        <w:t xml:space="preserve"> </w:t>
      </w:r>
      <w:r>
        <w:rPr>
          <w:color w:val="231F20"/>
        </w:rPr>
        <w:t>Foods</w:t>
      </w:r>
      <w:r>
        <w:rPr>
          <w:color w:val="231F20"/>
          <w:spacing w:val="-25"/>
        </w:rPr>
        <w:t xml:space="preserve"> </w:t>
      </w:r>
      <w:r>
        <w:rPr>
          <w:color w:val="231F20"/>
        </w:rPr>
        <w:t>(RUTF).</w:t>
      </w:r>
    </w:p>
    <w:p w14:paraId="4D923D5F" w14:textId="77777777" w:rsidR="009948F1" w:rsidRDefault="009948F1">
      <w:pPr>
        <w:pStyle w:val="BodyText"/>
        <w:rPr>
          <w:sz w:val="24"/>
        </w:rPr>
      </w:pPr>
    </w:p>
    <w:p w14:paraId="7E49318F" w14:textId="77777777" w:rsidR="009948F1" w:rsidRDefault="00BC0563">
      <w:pPr>
        <w:pStyle w:val="ListParagraph"/>
        <w:numPr>
          <w:ilvl w:val="3"/>
          <w:numId w:val="293"/>
        </w:numPr>
        <w:tabs>
          <w:tab w:val="left" w:pos="911"/>
        </w:tabs>
        <w:spacing w:line="273" w:lineRule="auto"/>
        <w:ind w:left="122" w:right="184" w:firstLine="57"/>
      </w:pPr>
      <w:r>
        <w:rPr>
          <w:color w:val="231F20"/>
        </w:rPr>
        <w:t>Scale</w:t>
      </w:r>
      <w:r>
        <w:rPr>
          <w:color w:val="231F20"/>
          <w:spacing w:val="-5"/>
        </w:rPr>
        <w:t xml:space="preserve"> </w:t>
      </w:r>
      <w:r>
        <w:rPr>
          <w:color w:val="231F20"/>
        </w:rPr>
        <w:t>up</w:t>
      </w:r>
      <w:r>
        <w:rPr>
          <w:color w:val="231F20"/>
          <w:spacing w:val="-4"/>
        </w:rPr>
        <w:t xml:space="preserve"> </w:t>
      </w:r>
      <w:r>
        <w:rPr>
          <w:color w:val="231F20"/>
        </w:rPr>
        <w:t>nutrition</w:t>
      </w:r>
      <w:r>
        <w:rPr>
          <w:color w:val="231F20"/>
          <w:spacing w:val="-4"/>
        </w:rPr>
        <w:t xml:space="preserve"> </w:t>
      </w:r>
      <w:r>
        <w:rPr>
          <w:color w:val="231F20"/>
        </w:rPr>
        <w:t>for</w:t>
      </w:r>
      <w:r>
        <w:rPr>
          <w:color w:val="231F20"/>
          <w:spacing w:val="-4"/>
        </w:rPr>
        <w:t xml:space="preserve"> </w:t>
      </w:r>
      <w:r>
        <w:rPr>
          <w:color w:val="231F20"/>
        </w:rPr>
        <w:t>children</w:t>
      </w:r>
      <w:r>
        <w:rPr>
          <w:color w:val="231F20"/>
          <w:spacing w:val="-4"/>
        </w:rPr>
        <w:t xml:space="preserve"> </w:t>
      </w:r>
      <w:r>
        <w:rPr>
          <w:color w:val="231F20"/>
        </w:rPr>
        <w:t>with</w:t>
      </w:r>
      <w:r>
        <w:rPr>
          <w:color w:val="231F20"/>
          <w:spacing w:val="-4"/>
        </w:rPr>
        <w:t xml:space="preserve"> </w:t>
      </w:r>
      <w:r>
        <w:rPr>
          <w:color w:val="231F20"/>
        </w:rPr>
        <w:t>special</w:t>
      </w:r>
      <w:r>
        <w:rPr>
          <w:color w:val="231F20"/>
          <w:spacing w:val="-4"/>
        </w:rPr>
        <w:t xml:space="preserve"> </w:t>
      </w:r>
      <w:r>
        <w:rPr>
          <w:color w:val="231F20"/>
        </w:rPr>
        <w:t>nutritional</w:t>
      </w:r>
      <w:r>
        <w:rPr>
          <w:color w:val="231F20"/>
          <w:spacing w:val="-4"/>
        </w:rPr>
        <w:t xml:space="preserve"> </w:t>
      </w:r>
      <w:r>
        <w:rPr>
          <w:color w:val="231F20"/>
        </w:rPr>
        <w:t>needs</w:t>
      </w:r>
      <w:r>
        <w:rPr>
          <w:color w:val="231F20"/>
          <w:spacing w:val="-5"/>
        </w:rPr>
        <w:t xml:space="preserve"> </w:t>
      </w:r>
      <w:r>
        <w:rPr>
          <w:color w:val="231F20"/>
        </w:rPr>
        <w:t>including</w:t>
      </w:r>
      <w:r>
        <w:rPr>
          <w:color w:val="231F20"/>
          <w:spacing w:val="-4"/>
        </w:rPr>
        <w:t xml:space="preserve"> </w:t>
      </w:r>
      <w:r>
        <w:rPr>
          <w:color w:val="231F20"/>
        </w:rPr>
        <w:t>children</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HIV </w:t>
      </w:r>
      <w:r>
        <w:rPr>
          <w:color w:val="231F20"/>
        </w:rPr>
        <w:t xml:space="preserve">positive mothers; infants and young children in emergencies with persistent </w:t>
      </w:r>
      <w:proofErr w:type="spellStart"/>
      <w:r>
        <w:rPr>
          <w:color w:val="231F20"/>
        </w:rPr>
        <w:t>diarrhoea</w:t>
      </w:r>
      <w:proofErr w:type="spellEnd"/>
      <w:r>
        <w:rPr>
          <w:color w:val="231F20"/>
        </w:rPr>
        <w:t xml:space="preserve"> etc. key actions</w:t>
      </w:r>
      <w:r>
        <w:rPr>
          <w:color w:val="231F20"/>
          <w:spacing w:val="-26"/>
        </w:rPr>
        <w:t xml:space="preserve"> </w:t>
      </w:r>
      <w:r>
        <w:rPr>
          <w:color w:val="231F20"/>
        </w:rPr>
        <w:t>include;</w:t>
      </w:r>
      <w:r>
        <w:rPr>
          <w:color w:val="231F20"/>
          <w:spacing w:val="-25"/>
        </w:rPr>
        <w:t xml:space="preserve"> </w:t>
      </w:r>
      <w:r>
        <w:rPr>
          <w:color w:val="231F20"/>
        </w:rPr>
        <w:t>-</w:t>
      </w:r>
      <w:r>
        <w:rPr>
          <w:color w:val="231F20"/>
          <w:spacing w:val="-37"/>
        </w:rPr>
        <w:t xml:space="preserve"> </w:t>
      </w:r>
      <w:r>
        <w:rPr>
          <w:color w:val="231F20"/>
        </w:rPr>
        <w:t>Adhere</w:t>
      </w:r>
      <w:r>
        <w:rPr>
          <w:color w:val="231F20"/>
          <w:spacing w:val="-25"/>
        </w:rPr>
        <w:t xml:space="preserve"> </w:t>
      </w:r>
      <w:r>
        <w:rPr>
          <w:color w:val="231F20"/>
        </w:rPr>
        <w:t>to</w:t>
      </w:r>
      <w:r>
        <w:rPr>
          <w:color w:val="231F20"/>
          <w:spacing w:val="-25"/>
        </w:rPr>
        <w:t xml:space="preserve"> </w:t>
      </w:r>
      <w:r>
        <w:rPr>
          <w:color w:val="231F20"/>
        </w:rPr>
        <w:t>national</w:t>
      </w:r>
      <w:r>
        <w:rPr>
          <w:color w:val="231F20"/>
          <w:spacing w:val="-25"/>
        </w:rPr>
        <w:t xml:space="preserve"> </w:t>
      </w:r>
      <w:r>
        <w:rPr>
          <w:color w:val="231F20"/>
        </w:rPr>
        <w:t>guidelines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management</w:t>
      </w:r>
      <w:r>
        <w:rPr>
          <w:color w:val="231F20"/>
          <w:spacing w:val="-26"/>
        </w:rPr>
        <w:t xml:space="preserve"> </w:t>
      </w:r>
      <w:r>
        <w:rPr>
          <w:color w:val="231F20"/>
        </w:rPr>
        <w:t>of</w:t>
      </w:r>
      <w:r>
        <w:rPr>
          <w:color w:val="231F20"/>
          <w:spacing w:val="-25"/>
        </w:rPr>
        <w:t xml:space="preserve"> </w:t>
      </w:r>
      <w:r>
        <w:rPr>
          <w:color w:val="231F20"/>
        </w:rPr>
        <w:t>nutritional</w:t>
      </w:r>
      <w:r>
        <w:rPr>
          <w:color w:val="231F20"/>
          <w:spacing w:val="-25"/>
        </w:rPr>
        <w:t xml:space="preserve"> </w:t>
      </w:r>
      <w:r>
        <w:rPr>
          <w:color w:val="231F20"/>
        </w:rPr>
        <w:t>needs</w:t>
      </w:r>
      <w:r>
        <w:rPr>
          <w:color w:val="231F20"/>
          <w:spacing w:val="-25"/>
        </w:rPr>
        <w:t xml:space="preserve"> </w:t>
      </w:r>
      <w:r>
        <w:rPr>
          <w:color w:val="231F20"/>
        </w:rPr>
        <w:t>of</w:t>
      </w:r>
      <w:r>
        <w:rPr>
          <w:color w:val="231F20"/>
          <w:spacing w:val="-25"/>
        </w:rPr>
        <w:t xml:space="preserve"> </w:t>
      </w:r>
      <w:r>
        <w:rPr>
          <w:color w:val="231F20"/>
        </w:rPr>
        <w:t>children</w:t>
      </w:r>
      <w:r>
        <w:rPr>
          <w:color w:val="231F20"/>
          <w:spacing w:val="-25"/>
        </w:rPr>
        <w:t xml:space="preserve"> </w:t>
      </w:r>
      <w:r>
        <w:rPr>
          <w:color w:val="231F20"/>
        </w:rPr>
        <w:t>in</w:t>
      </w:r>
    </w:p>
    <w:p w14:paraId="58FF4929" w14:textId="77777777" w:rsidR="009948F1" w:rsidRDefault="009948F1">
      <w:pPr>
        <w:spacing w:line="273" w:lineRule="auto"/>
        <w:jc w:val="both"/>
        <w:sectPr w:rsidR="009948F1">
          <w:pgSz w:w="11910" w:h="16840"/>
          <w:pgMar w:top="1180" w:right="1080" w:bottom="1420" w:left="1120" w:header="0" w:footer="1235" w:gutter="0"/>
          <w:cols w:space="720"/>
        </w:sectPr>
      </w:pPr>
    </w:p>
    <w:p w14:paraId="54A6A0CE" w14:textId="77777777" w:rsidR="009948F1" w:rsidRDefault="00BC0563">
      <w:pPr>
        <w:pStyle w:val="BodyText"/>
        <w:spacing w:before="54" w:line="266" w:lineRule="auto"/>
        <w:ind w:left="189" w:right="203"/>
        <w:jc w:val="both"/>
      </w:pPr>
      <w:bookmarkStart w:id="69" w:name="Page_55"/>
      <w:bookmarkEnd w:id="69"/>
      <w:r>
        <w:rPr>
          <w:color w:val="231F20"/>
        </w:rPr>
        <w:lastRenderedPageBreak/>
        <w:t>difficult</w:t>
      </w:r>
      <w:r>
        <w:rPr>
          <w:color w:val="231F20"/>
          <w:spacing w:val="-23"/>
        </w:rPr>
        <w:t xml:space="preserve"> </w:t>
      </w:r>
      <w:r>
        <w:rPr>
          <w:color w:val="231F20"/>
        </w:rPr>
        <w:t>situations;</w:t>
      </w:r>
      <w:r>
        <w:rPr>
          <w:color w:val="231F20"/>
          <w:spacing w:val="-22"/>
        </w:rPr>
        <w:t xml:space="preserve"> </w:t>
      </w:r>
      <w:r>
        <w:rPr>
          <w:color w:val="231F20"/>
        </w:rPr>
        <w:t>Give</w:t>
      </w:r>
      <w:r>
        <w:rPr>
          <w:color w:val="231F20"/>
          <w:spacing w:val="-22"/>
        </w:rPr>
        <w:t xml:space="preserve"> </w:t>
      </w:r>
      <w:r>
        <w:rPr>
          <w:color w:val="231F20"/>
        </w:rPr>
        <w:t>health</w:t>
      </w:r>
      <w:r>
        <w:rPr>
          <w:color w:val="231F20"/>
          <w:spacing w:val="-23"/>
        </w:rPr>
        <w:t xml:space="preserve"> </w:t>
      </w:r>
      <w:r>
        <w:rPr>
          <w:color w:val="231F20"/>
        </w:rPr>
        <w:t>talk</w:t>
      </w:r>
      <w:r>
        <w:rPr>
          <w:color w:val="231F20"/>
          <w:spacing w:val="-22"/>
        </w:rPr>
        <w:t xml:space="preserve"> </w:t>
      </w:r>
      <w:r>
        <w:rPr>
          <w:color w:val="231F20"/>
        </w:rPr>
        <w:t>to</w:t>
      </w:r>
      <w:r>
        <w:rPr>
          <w:color w:val="231F20"/>
          <w:spacing w:val="-22"/>
        </w:rPr>
        <w:t xml:space="preserve"> </w:t>
      </w:r>
      <w:r>
        <w:rPr>
          <w:color w:val="231F20"/>
        </w:rPr>
        <w:t>HIV</w:t>
      </w:r>
      <w:r>
        <w:rPr>
          <w:color w:val="231F20"/>
          <w:spacing w:val="-23"/>
        </w:rPr>
        <w:t xml:space="preserve"> </w:t>
      </w:r>
      <w:r>
        <w:rPr>
          <w:color w:val="231F20"/>
        </w:rPr>
        <w:t>positive</w:t>
      </w:r>
      <w:r>
        <w:rPr>
          <w:color w:val="231F20"/>
          <w:spacing w:val="-22"/>
        </w:rPr>
        <w:t xml:space="preserve"> </w:t>
      </w:r>
      <w:r>
        <w:rPr>
          <w:color w:val="231F20"/>
        </w:rPr>
        <w:t>mothers</w:t>
      </w:r>
      <w:r>
        <w:rPr>
          <w:color w:val="231F20"/>
          <w:spacing w:val="-22"/>
        </w:rPr>
        <w:t xml:space="preserve"> </w:t>
      </w:r>
      <w:r>
        <w:rPr>
          <w:color w:val="231F20"/>
        </w:rPr>
        <w:t>and</w:t>
      </w:r>
      <w:r>
        <w:rPr>
          <w:color w:val="231F20"/>
          <w:spacing w:val="-23"/>
        </w:rPr>
        <w:t xml:space="preserve"> </w:t>
      </w:r>
      <w:r>
        <w:rPr>
          <w:color w:val="231F20"/>
        </w:rPr>
        <w:t>caregivers</w:t>
      </w:r>
      <w:r>
        <w:rPr>
          <w:color w:val="231F20"/>
          <w:spacing w:val="-22"/>
        </w:rPr>
        <w:t xml:space="preserve"> </w:t>
      </w:r>
      <w:r>
        <w:rPr>
          <w:color w:val="231F20"/>
        </w:rPr>
        <w:t>of</w:t>
      </w:r>
      <w:r>
        <w:rPr>
          <w:color w:val="231F20"/>
          <w:spacing w:val="-22"/>
        </w:rPr>
        <w:t xml:space="preserve"> </w:t>
      </w:r>
      <w:r>
        <w:rPr>
          <w:color w:val="231F20"/>
        </w:rPr>
        <w:t>under-fives</w:t>
      </w:r>
      <w:r>
        <w:rPr>
          <w:color w:val="231F20"/>
          <w:spacing w:val="-23"/>
        </w:rPr>
        <w:t xml:space="preserve"> </w:t>
      </w:r>
      <w:r>
        <w:rPr>
          <w:color w:val="231F20"/>
        </w:rPr>
        <w:t>on</w:t>
      </w:r>
      <w:r>
        <w:rPr>
          <w:color w:val="231F20"/>
          <w:spacing w:val="-22"/>
        </w:rPr>
        <w:t xml:space="preserve"> </w:t>
      </w:r>
      <w:r>
        <w:rPr>
          <w:color w:val="231F20"/>
        </w:rPr>
        <w:t>the</w:t>
      </w:r>
      <w:r>
        <w:rPr>
          <w:color w:val="231F20"/>
          <w:spacing w:val="-22"/>
        </w:rPr>
        <w:t xml:space="preserve"> </w:t>
      </w:r>
      <w:r>
        <w:rPr>
          <w:color w:val="231F20"/>
        </w:rPr>
        <w:t>use of</w:t>
      </w:r>
      <w:r>
        <w:rPr>
          <w:color w:val="231F20"/>
          <w:spacing w:val="-23"/>
        </w:rPr>
        <w:t xml:space="preserve"> </w:t>
      </w:r>
      <w:r>
        <w:rPr>
          <w:color w:val="231F20"/>
        </w:rPr>
        <w:t>zinc</w:t>
      </w:r>
      <w:r>
        <w:rPr>
          <w:color w:val="231F20"/>
          <w:spacing w:val="-21"/>
        </w:rPr>
        <w:t xml:space="preserve"> </w:t>
      </w:r>
      <w:r>
        <w:rPr>
          <w:color w:val="231F20"/>
        </w:rPr>
        <w:t>supplement</w:t>
      </w:r>
      <w:r>
        <w:rPr>
          <w:color w:val="231F20"/>
          <w:spacing w:val="-21"/>
        </w:rPr>
        <w:t xml:space="preserve"> </w:t>
      </w:r>
      <w:r>
        <w:rPr>
          <w:color w:val="231F20"/>
        </w:rPr>
        <w:t>as</w:t>
      </w:r>
      <w:r>
        <w:rPr>
          <w:color w:val="231F20"/>
          <w:spacing w:val="-22"/>
        </w:rPr>
        <w:t xml:space="preserve"> </w:t>
      </w:r>
      <w:r>
        <w:rPr>
          <w:color w:val="231F20"/>
        </w:rPr>
        <w:t>part</w:t>
      </w:r>
      <w:r>
        <w:rPr>
          <w:color w:val="231F20"/>
          <w:spacing w:val="-22"/>
        </w:rPr>
        <w:t xml:space="preserve"> </w:t>
      </w:r>
      <w:proofErr w:type="spellStart"/>
      <w:r>
        <w:rPr>
          <w:color w:val="231F20"/>
        </w:rPr>
        <w:t>diarrhoea</w:t>
      </w:r>
      <w:proofErr w:type="spellEnd"/>
      <w:r>
        <w:rPr>
          <w:color w:val="231F20"/>
          <w:spacing w:val="-21"/>
        </w:rPr>
        <w:t xml:space="preserve"> </w:t>
      </w:r>
      <w:r>
        <w:rPr>
          <w:color w:val="231F20"/>
        </w:rPr>
        <w:t>management</w:t>
      </w:r>
      <w:r>
        <w:rPr>
          <w:color w:val="231F20"/>
          <w:spacing w:val="-21"/>
        </w:rPr>
        <w:t xml:space="preserve"> </w:t>
      </w:r>
      <w:r>
        <w:rPr>
          <w:color w:val="231F20"/>
        </w:rPr>
        <w:t>in</w:t>
      </w:r>
      <w:r>
        <w:rPr>
          <w:color w:val="231F20"/>
          <w:spacing w:val="-22"/>
        </w:rPr>
        <w:t xml:space="preserve"> </w:t>
      </w:r>
      <w:r>
        <w:rPr>
          <w:color w:val="231F20"/>
        </w:rPr>
        <w:t>all</w:t>
      </w:r>
      <w:r>
        <w:rPr>
          <w:color w:val="231F20"/>
          <w:spacing w:val="-21"/>
        </w:rPr>
        <w:t xml:space="preserve"> </w:t>
      </w:r>
      <w:r>
        <w:rPr>
          <w:color w:val="231F20"/>
        </w:rPr>
        <w:t>facilities</w:t>
      </w:r>
      <w:r>
        <w:rPr>
          <w:color w:val="231F20"/>
          <w:spacing w:val="-21"/>
        </w:rPr>
        <w:t xml:space="preserve"> </w:t>
      </w:r>
      <w:r>
        <w:rPr>
          <w:color w:val="231F20"/>
        </w:rPr>
        <w:t>routinely;</w:t>
      </w:r>
      <w:r>
        <w:rPr>
          <w:color w:val="231F20"/>
          <w:spacing w:val="-21"/>
        </w:rPr>
        <w:t xml:space="preserve"> </w:t>
      </w:r>
      <w:r>
        <w:rPr>
          <w:color w:val="231F20"/>
        </w:rPr>
        <w:t>Conduct</w:t>
      </w:r>
      <w:r>
        <w:rPr>
          <w:color w:val="231F20"/>
          <w:spacing w:val="-21"/>
        </w:rPr>
        <w:t xml:space="preserve"> </w:t>
      </w:r>
      <w:r>
        <w:rPr>
          <w:color w:val="231F20"/>
        </w:rPr>
        <w:t>demonstration on</w:t>
      </w:r>
      <w:r>
        <w:rPr>
          <w:color w:val="231F20"/>
          <w:spacing w:val="-17"/>
        </w:rPr>
        <w:t xml:space="preserve"> </w:t>
      </w:r>
      <w:r>
        <w:rPr>
          <w:color w:val="231F20"/>
        </w:rPr>
        <w:t>the</w:t>
      </w:r>
      <w:r>
        <w:rPr>
          <w:color w:val="231F20"/>
          <w:spacing w:val="-16"/>
        </w:rPr>
        <w:t xml:space="preserve"> </w:t>
      </w:r>
      <w:r>
        <w:rPr>
          <w:color w:val="231F20"/>
        </w:rPr>
        <w:t>use</w:t>
      </w:r>
      <w:r>
        <w:rPr>
          <w:color w:val="231F20"/>
          <w:spacing w:val="-16"/>
        </w:rPr>
        <w:t xml:space="preserve"> </w:t>
      </w:r>
      <w:r>
        <w:rPr>
          <w:color w:val="231F20"/>
        </w:rPr>
        <w:t>of</w:t>
      </w:r>
      <w:r>
        <w:rPr>
          <w:color w:val="231F20"/>
          <w:spacing w:val="-16"/>
        </w:rPr>
        <w:t xml:space="preserve"> </w:t>
      </w:r>
      <w:r>
        <w:rPr>
          <w:color w:val="231F20"/>
        </w:rPr>
        <w:t>micronutrients</w:t>
      </w:r>
      <w:r>
        <w:rPr>
          <w:color w:val="231F20"/>
          <w:spacing w:val="-16"/>
        </w:rPr>
        <w:t xml:space="preserve"> </w:t>
      </w:r>
      <w:r>
        <w:rPr>
          <w:color w:val="231F20"/>
        </w:rPr>
        <w:t>powders</w:t>
      </w:r>
      <w:r>
        <w:rPr>
          <w:color w:val="231F20"/>
          <w:spacing w:val="-16"/>
        </w:rPr>
        <w:t xml:space="preserve"> </w:t>
      </w:r>
      <w:r>
        <w:rPr>
          <w:color w:val="231F20"/>
        </w:rPr>
        <w:t>for</w:t>
      </w:r>
      <w:r>
        <w:rPr>
          <w:color w:val="231F20"/>
          <w:spacing w:val="-16"/>
        </w:rPr>
        <w:t xml:space="preserve"> </w:t>
      </w:r>
      <w:r>
        <w:rPr>
          <w:color w:val="231F20"/>
        </w:rPr>
        <w:t>in-home</w:t>
      </w:r>
      <w:r>
        <w:rPr>
          <w:color w:val="231F20"/>
          <w:spacing w:val="-16"/>
        </w:rPr>
        <w:t xml:space="preserve"> </w:t>
      </w:r>
      <w:r>
        <w:rPr>
          <w:color w:val="231F20"/>
        </w:rPr>
        <w:t>fortification</w:t>
      </w:r>
      <w:r>
        <w:rPr>
          <w:color w:val="231F20"/>
          <w:spacing w:val="-16"/>
        </w:rPr>
        <w:t xml:space="preserve"> </w:t>
      </w:r>
      <w:r>
        <w:rPr>
          <w:color w:val="231F20"/>
        </w:rPr>
        <w:t>of</w:t>
      </w:r>
      <w:r>
        <w:rPr>
          <w:color w:val="231F20"/>
          <w:spacing w:val="-16"/>
        </w:rPr>
        <w:t xml:space="preserve"> </w:t>
      </w:r>
      <w:r>
        <w:rPr>
          <w:color w:val="231F20"/>
        </w:rPr>
        <w:t>complimentary</w:t>
      </w:r>
      <w:r>
        <w:rPr>
          <w:color w:val="231F20"/>
          <w:spacing w:val="-16"/>
        </w:rPr>
        <w:t xml:space="preserve"> </w:t>
      </w:r>
      <w:r>
        <w:rPr>
          <w:color w:val="231F20"/>
        </w:rPr>
        <w:t>foods</w:t>
      </w:r>
      <w:r>
        <w:rPr>
          <w:color w:val="231F20"/>
          <w:spacing w:val="-16"/>
        </w:rPr>
        <w:t xml:space="preserve"> </w:t>
      </w:r>
      <w:r>
        <w:rPr>
          <w:color w:val="231F20"/>
        </w:rPr>
        <w:t>to</w:t>
      </w:r>
      <w:r>
        <w:rPr>
          <w:color w:val="231F20"/>
          <w:spacing w:val="-16"/>
        </w:rPr>
        <w:t xml:space="preserve"> </w:t>
      </w:r>
      <w:r>
        <w:rPr>
          <w:color w:val="231F20"/>
        </w:rPr>
        <w:t>parents</w:t>
      </w:r>
      <w:r>
        <w:rPr>
          <w:color w:val="231F20"/>
          <w:spacing w:val="-16"/>
        </w:rPr>
        <w:t xml:space="preserve"> </w:t>
      </w:r>
      <w:r>
        <w:rPr>
          <w:color w:val="231F20"/>
        </w:rPr>
        <w:t>of HIV</w:t>
      </w:r>
      <w:r>
        <w:rPr>
          <w:color w:val="231F20"/>
          <w:spacing w:val="-26"/>
        </w:rPr>
        <w:t xml:space="preserve"> </w:t>
      </w:r>
      <w:r>
        <w:rPr>
          <w:color w:val="231F20"/>
        </w:rPr>
        <w:t>positive</w:t>
      </w:r>
      <w:r>
        <w:rPr>
          <w:color w:val="231F20"/>
          <w:spacing w:val="-25"/>
        </w:rPr>
        <w:t xml:space="preserve"> </w:t>
      </w:r>
      <w:r>
        <w:rPr>
          <w:color w:val="231F20"/>
        </w:rPr>
        <w:t>under-five</w:t>
      </w:r>
      <w:r>
        <w:rPr>
          <w:color w:val="231F20"/>
          <w:spacing w:val="-25"/>
        </w:rPr>
        <w:t xml:space="preserve"> </w:t>
      </w:r>
      <w:r>
        <w:rPr>
          <w:color w:val="231F20"/>
        </w:rPr>
        <w:t>children</w:t>
      </w:r>
      <w:r>
        <w:rPr>
          <w:color w:val="231F20"/>
          <w:spacing w:val="-25"/>
        </w:rPr>
        <w:t xml:space="preserve"> </w:t>
      </w:r>
      <w:r>
        <w:rPr>
          <w:color w:val="231F20"/>
        </w:rPr>
        <w:t>in</w:t>
      </w:r>
      <w:r>
        <w:rPr>
          <w:color w:val="231F20"/>
          <w:spacing w:val="-26"/>
        </w:rPr>
        <w:t xml:space="preserve"> </w:t>
      </w:r>
      <w:r>
        <w:rPr>
          <w:color w:val="231F20"/>
        </w:rPr>
        <w:t>all</w:t>
      </w:r>
      <w:r>
        <w:rPr>
          <w:color w:val="231F20"/>
          <w:spacing w:val="-25"/>
        </w:rPr>
        <w:t xml:space="preserve"> </w:t>
      </w:r>
      <w:r>
        <w:rPr>
          <w:color w:val="231F20"/>
        </w:rPr>
        <w:t>health</w:t>
      </w:r>
      <w:r>
        <w:rPr>
          <w:color w:val="231F20"/>
          <w:spacing w:val="-25"/>
        </w:rPr>
        <w:t xml:space="preserve"> </w:t>
      </w:r>
      <w:r>
        <w:rPr>
          <w:color w:val="231F20"/>
        </w:rPr>
        <w:t>facilities</w:t>
      </w:r>
      <w:r>
        <w:rPr>
          <w:color w:val="231F20"/>
          <w:spacing w:val="-25"/>
        </w:rPr>
        <w:t xml:space="preserve"> </w:t>
      </w:r>
      <w:r>
        <w:rPr>
          <w:color w:val="231F20"/>
        </w:rPr>
        <w:t>in</w:t>
      </w:r>
      <w:r>
        <w:rPr>
          <w:color w:val="231F20"/>
          <w:spacing w:val="-26"/>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routinely.</w:t>
      </w:r>
    </w:p>
    <w:p w14:paraId="1773E2CB" w14:textId="77777777" w:rsidR="009948F1" w:rsidRDefault="009948F1">
      <w:pPr>
        <w:pStyle w:val="BodyText"/>
        <w:spacing w:before="3"/>
        <w:rPr>
          <w:sz w:val="24"/>
        </w:rPr>
      </w:pPr>
    </w:p>
    <w:p w14:paraId="53D0450F" w14:textId="77777777" w:rsidR="009948F1" w:rsidRDefault="00BC0563">
      <w:pPr>
        <w:pStyle w:val="ListParagraph"/>
        <w:numPr>
          <w:ilvl w:val="3"/>
          <w:numId w:val="293"/>
        </w:numPr>
        <w:tabs>
          <w:tab w:val="left" w:pos="937"/>
        </w:tabs>
        <w:spacing w:line="266" w:lineRule="auto"/>
        <w:ind w:left="189" w:right="203" w:firstLine="0"/>
      </w:pPr>
      <w:r>
        <w:rPr>
          <w:color w:val="231F20"/>
        </w:rPr>
        <w:t xml:space="preserve">Promote implementation of school feeding </w:t>
      </w:r>
      <w:proofErr w:type="spellStart"/>
      <w:r>
        <w:rPr>
          <w:color w:val="231F20"/>
        </w:rPr>
        <w:t>programme</w:t>
      </w:r>
      <w:proofErr w:type="spellEnd"/>
      <w:r>
        <w:rPr>
          <w:color w:val="231F20"/>
        </w:rPr>
        <w:t>. Key actions include; – Conduct advocacy</w:t>
      </w:r>
      <w:r>
        <w:rPr>
          <w:color w:val="231F20"/>
          <w:spacing w:val="-22"/>
        </w:rPr>
        <w:t xml:space="preserve"> </w:t>
      </w:r>
      <w:r>
        <w:rPr>
          <w:color w:val="231F20"/>
        </w:rPr>
        <w:t>meetings</w:t>
      </w:r>
      <w:r>
        <w:rPr>
          <w:color w:val="231F20"/>
          <w:spacing w:val="-21"/>
        </w:rPr>
        <w:t xml:space="preserve"> </w:t>
      </w:r>
      <w:r>
        <w:rPr>
          <w:color w:val="231F20"/>
        </w:rPr>
        <w:t>with</w:t>
      </w:r>
      <w:r>
        <w:rPr>
          <w:color w:val="231F20"/>
          <w:spacing w:val="-21"/>
        </w:rPr>
        <w:t xml:space="preserve"> </w:t>
      </w:r>
      <w:r>
        <w:rPr>
          <w:color w:val="231F20"/>
        </w:rPr>
        <w:t>Ministry</w:t>
      </w:r>
      <w:r>
        <w:rPr>
          <w:color w:val="231F20"/>
          <w:spacing w:val="-21"/>
        </w:rPr>
        <w:t xml:space="preserve"> </w:t>
      </w:r>
      <w:r>
        <w:rPr>
          <w:color w:val="231F20"/>
        </w:rPr>
        <w:t>of</w:t>
      </w:r>
      <w:r>
        <w:rPr>
          <w:color w:val="231F20"/>
          <w:spacing w:val="-23"/>
        </w:rPr>
        <w:t xml:space="preserve"> </w:t>
      </w:r>
      <w:r>
        <w:rPr>
          <w:color w:val="231F20"/>
        </w:rPr>
        <w:t>Education</w:t>
      </w:r>
      <w:r>
        <w:rPr>
          <w:color w:val="231F20"/>
          <w:spacing w:val="-21"/>
        </w:rPr>
        <w:t xml:space="preserve"> </w:t>
      </w:r>
      <w:r>
        <w:rPr>
          <w:color w:val="231F20"/>
        </w:rPr>
        <w:t>on</w:t>
      </w:r>
      <w:r>
        <w:rPr>
          <w:color w:val="231F20"/>
          <w:spacing w:val="-21"/>
        </w:rPr>
        <w:t xml:space="preserve"> </w:t>
      </w:r>
      <w:r>
        <w:rPr>
          <w:color w:val="231F20"/>
        </w:rPr>
        <w:t>promotion</w:t>
      </w:r>
      <w:r>
        <w:rPr>
          <w:color w:val="231F20"/>
          <w:spacing w:val="-21"/>
        </w:rPr>
        <w:t xml:space="preserve"> </w:t>
      </w:r>
      <w:r>
        <w:rPr>
          <w:color w:val="231F20"/>
        </w:rPr>
        <w:t>and</w:t>
      </w:r>
      <w:r>
        <w:rPr>
          <w:color w:val="231F20"/>
          <w:spacing w:val="-21"/>
        </w:rPr>
        <w:t xml:space="preserve"> </w:t>
      </w:r>
      <w:r>
        <w:rPr>
          <w:color w:val="231F20"/>
        </w:rPr>
        <w:t>implementation</w:t>
      </w:r>
      <w:r>
        <w:rPr>
          <w:color w:val="231F20"/>
          <w:spacing w:val="-22"/>
        </w:rPr>
        <w:t xml:space="preserve"> </w:t>
      </w:r>
      <w:r>
        <w:rPr>
          <w:color w:val="231F20"/>
        </w:rPr>
        <w:t>of</w:t>
      </w:r>
      <w:r>
        <w:rPr>
          <w:color w:val="231F20"/>
          <w:spacing w:val="-22"/>
        </w:rPr>
        <w:t xml:space="preserve"> </w:t>
      </w:r>
      <w:r>
        <w:rPr>
          <w:color w:val="231F20"/>
        </w:rPr>
        <w:t>school</w:t>
      </w:r>
      <w:r>
        <w:rPr>
          <w:color w:val="231F20"/>
          <w:spacing w:val="-21"/>
        </w:rPr>
        <w:t xml:space="preserve"> </w:t>
      </w:r>
      <w:r>
        <w:rPr>
          <w:color w:val="231F20"/>
        </w:rPr>
        <w:t xml:space="preserve">feeding; Train Primary School </w:t>
      </w:r>
      <w:r>
        <w:rPr>
          <w:color w:val="231F20"/>
          <w:spacing w:val="-4"/>
        </w:rPr>
        <w:t xml:space="preserve">Teachers </w:t>
      </w:r>
      <w:r>
        <w:rPr>
          <w:color w:val="231F20"/>
        </w:rPr>
        <w:t>on salt testing for presence of Iodine; Community outreaches through</w:t>
      </w:r>
      <w:r>
        <w:rPr>
          <w:color w:val="231F20"/>
          <w:spacing w:val="-25"/>
        </w:rPr>
        <w:t xml:space="preserve"> </w:t>
      </w:r>
      <w:r>
        <w:rPr>
          <w:color w:val="231F20"/>
        </w:rPr>
        <w:t>the</w:t>
      </w:r>
      <w:r>
        <w:rPr>
          <w:color w:val="231F20"/>
          <w:spacing w:val="-26"/>
        </w:rPr>
        <w:t xml:space="preserve"> </w:t>
      </w:r>
      <w:r>
        <w:rPr>
          <w:color w:val="231F20"/>
        </w:rPr>
        <w:t>media</w:t>
      </w:r>
      <w:r>
        <w:rPr>
          <w:color w:val="231F20"/>
          <w:spacing w:val="-25"/>
        </w:rPr>
        <w:t xml:space="preserve"> </w:t>
      </w:r>
      <w:r>
        <w:rPr>
          <w:color w:val="231F20"/>
        </w:rPr>
        <w:t>to</w:t>
      </w:r>
      <w:r>
        <w:rPr>
          <w:color w:val="231F20"/>
          <w:spacing w:val="-25"/>
        </w:rPr>
        <w:t xml:space="preserve"> </w:t>
      </w:r>
      <w:r>
        <w:rPr>
          <w:color w:val="231F20"/>
        </w:rPr>
        <w:t>promote</w:t>
      </w:r>
      <w:r>
        <w:rPr>
          <w:color w:val="231F20"/>
          <w:spacing w:val="-25"/>
        </w:rPr>
        <w:t xml:space="preserve"> </w:t>
      </w:r>
      <w:r>
        <w:rPr>
          <w:color w:val="231F20"/>
        </w:rPr>
        <w:t>hand</w:t>
      </w:r>
      <w:r>
        <w:rPr>
          <w:color w:val="231F20"/>
          <w:spacing w:val="-25"/>
        </w:rPr>
        <w:t xml:space="preserve"> </w:t>
      </w:r>
      <w:r>
        <w:rPr>
          <w:color w:val="231F20"/>
        </w:rPr>
        <w:t>washing</w:t>
      </w:r>
      <w:r>
        <w:rPr>
          <w:color w:val="231F20"/>
          <w:spacing w:val="-25"/>
        </w:rPr>
        <w:t xml:space="preserve"> </w:t>
      </w:r>
      <w:r>
        <w:rPr>
          <w:color w:val="231F20"/>
        </w:rPr>
        <w:t>and</w:t>
      </w:r>
      <w:r>
        <w:rPr>
          <w:color w:val="231F20"/>
          <w:spacing w:val="-25"/>
        </w:rPr>
        <w:t xml:space="preserve"> </w:t>
      </w:r>
      <w:r>
        <w:rPr>
          <w:color w:val="231F20"/>
        </w:rPr>
        <w:t>sanitation.</w:t>
      </w:r>
    </w:p>
    <w:p w14:paraId="77F63CF1" w14:textId="77777777" w:rsidR="009948F1" w:rsidRDefault="009948F1">
      <w:pPr>
        <w:pStyle w:val="BodyText"/>
        <w:spacing w:before="4"/>
        <w:rPr>
          <w:sz w:val="24"/>
        </w:rPr>
      </w:pPr>
    </w:p>
    <w:p w14:paraId="3C8CEA5A" w14:textId="77777777" w:rsidR="009948F1" w:rsidRDefault="00BC0563">
      <w:pPr>
        <w:pStyle w:val="ListParagraph"/>
        <w:numPr>
          <w:ilvl w:val="3"/>
          <w:numId w:val="293"/>
        </w:numPr>
        <w:tabs>
          <w:tab w:val="left" w:pos="1008"/>
        </w:tabs>
        <w:spacing w:line="266" w:lineRule="auto"/>
        <w:ind w:left="189" w:right="191" w:firstLine="0"/>
      </w:pPr>
      <w:r>
        <w:rPr>
          <w:color w:val="231F20"/>
        </w:rPr>
        <w:t xml:space="preserve">Foster Iron and Folic Acid supplementation in pregnant women; and Vitamin </w:t>
      </w:r>
      <w:r>
        <w:rPr>
          <w:color w:val="231F20"/>
          <w:spacing w:val="-15"/>
        </w:rPr>
        <w:t xml:space="preserve">A </w:t>
      </w:r>
      <w:r>
        <w:rPr>
          <w:color w:val="231F20"/>
        </w:rPr>
        <w:t>supplementation in lactating women. Key actions include; – Integrate provision of iron, folic acid and</w:t>
      </w:r>
      <w:r>
        <w:rPr>
          <w:color w:val="231F20"/>
          <w:spacing w:val="-1"/>
        </w:rPr>
        <w:t xml:space="preserve"> </w:t>
      </w:r>
      <w:r>
        <w:rPr>
          <w:color w:val="231F20"/>
        </w:rPr>
        <w:t>vitamin</w:t>
      </w:r>
      <w:r>
        <w:rPr>
          <w:color w:val="231F20"/>
          <w:spacing w:val="-13"/>
        </w:rPr>
        <w:t xml:space="preserve"> </w:t>
      </w:r>
      <w:r>
        <w:rPr>
          <w:color w:val="231F20"/>
        </w:rPr>
        <w:t>A</w:t>
      </w:r>
      <w:r>
        <w:rPr>
          <w:color w:val="231F20"/>
          <w:spacing w:val="-13"/>
        </w:rPr>
        <w:t xml:space="preserve"> </w:t>
      </w:r>
      <w:r>
        <w:rPr>
          <w:color w:val="231F20"/>
        </w:rPr>
        <w:t>supplementation into</w:t>
      </w:r>
      <w:r>
        <w:rPr>
          <w:color w:val="231F20"/>
          <w:spacing w:val="-14"/>
        </w:rPr>
        <w:t xml:space="preserve"> </w:t>
      </w:r>
      <w:r>
        <w:rPr>
          <w:color w:val="231F20"/>
        </w:rPr>
        <w:t>ANC package and vit</w:t>
      </w:r>
      <w:r>
        <w:rPr>
          <w:color w:val="231F20"/>
          <w:spacing w:val="-14"/>
        </w:rPr>
        <w:t xml:space="preserve"> </w:t>
      </w:r>
      <w:r>
        <w:rPr>
          <w:color w:val="231F20"/>
        </w:rPr>
        <w:t>A</w:t>
      </w:r>
      <w:r>
        <w:rPr>
          <w:color w:val="231F20"/>
          <w:spacing w:val="-13"/>
        </w:rPr>
        <w:t xml:space="preserve"> </w:t>
      </w:r>
      <w:r>
        <w:rPr>
          <w:color w:val="231F20"/>
        </w:rPr>
        <w:t>for lactating mothers</w:t>
      </w:r>
      <w:r>
        <w:rPr>
          <w:color w:val="231F20"/>
          <w:spacing w:val="-2"/>
        </w:rPr>
        <w:t xml:space="preserve"> </w:t>
      </w:r>
      <w:r>
        <w:rPr>
          <w:color w:val="231F20"/>
        </w:rPr>
        <w:t>--- Link</w:t>
      </w:r>
      <w:r>
        <w:rPr>
          <w:color w:val="231F20"/>
          <w:spacing w:val="-1"/>
        </w:rPr>
        <w:t xml:space="preserve"> </w:t>
      </w:r>
      <w:r>
        <w:rPr>
          <w:color w:val="231F20"/>
        </w:rPr>
        <w:t>to</w:t>
      </w:r>
      <w:r>
        <w:rPr>
          <w:color w:val="231F20"/>
          <w:spacing w:val="-14"/>
        </w:rPr>
        <w:t xml:space="preserve"> </w:t>
      </w:r>
      <w:r>
        <w:rPr>
          <w:color w:val="231F20"/>
        </w:rPr>
        <w:t xml:space="preserve">ANC; Conduct media campaign on the importance and use of iron-folic acid in pregnancy &amp; vitamin </w:t>
      </w:r>
      <w:r>
        <w:rPr>
          <w:color w:val="231F20"/>
          <w:spacing w:val="-14"/>
        </w:rPr>
        <w:t xml:space="preserve">A </w:t>
      </w:r>
      <w:r>
        <w:rPr>
          <w:color w:val="231F20"/>
        </w:rPr>
        <w:t>supplementation</w:t>
      </w:r>
      <w:r>
        <w:rPr>
          <w:color w:val="231F20"/>
          <w:spacing w:val="-25"/>
        </w:rPr>
        <w:t xml:space="preserve"> </w:t>
      </w:r>
      <w:r>
        <w:rPr>
          <w:color w:val="231F20"/>
        </w:rPr>
        <w:t>in</w:t>
      </w:r>
      <w:r>
        <w:rPr>
          <w:color w:val="231F20"/>
          <w:spacing w:val="-25"/>
        </w:rPr>
        <w:t xml:space="preserve"> </w:t>
      </w:r>
      <w:r>
        <w:rPr>
          <w:color w:val="231F20"/>
        </w:rPr>
        <w:t>lactating</w:t>
      </w:r>
      <w:r>
        <w:rPr>
          <w:color w:val="231F20"/>
          <w:spacing w:val="-26"/>
        </w:rPr>
        <w:t xml:space="preserve"> </w:t>
      </w:r>
      <w:r>
        <w:rPr>
          <w:color w:val="231F20"/>
        </w:rPr>
        <w:t>women.</w:t>
      </w:r>
    </w:p>
    <w:p w14:paraId="050761D4" w14:textId="77777777" w:rsidR="009948F1" w:rsidRDefault="009948F1">
      <w:pPr>
        <w:pStyle w:val="BodyText"/>
        <w:spacing w:before="3"/>
        <w:rPr>
          <w:sz w:val="24"/>
        </w:rPr>
      </w:pPr>
    </w:p>
    <w:p w14:paraId="0740C169" w14:textId="3865EC92" w:rsidR="009948F1" w:rsidRDefault="00BC0563">
      <w:pPr>
        <w:pStyle w:val="ListParagraph"/>
        <w:numPr>
          <w:ilvl w:val="3"/>
          <w:numId w:val="293"/>
        </w:numPr>
        <w:tabs>
          <w:tab w:val="left" w:pos="936"/>
        </w:tabs>
        <w:spacing w:before="1" w:line="266" w:lineRule="auto"/>
        <w:ind w:left="189" w:right="203" w:firstLine="0"/>
      </w:pPr>
      <w:r>
        <w:rPr>
          <w:color w:val="231F20"/>
        </w:rPr>
        <w:t xml:space="preserve">Promote optimal nutrition of adolescents and Women of Reproductive Age (WRA). </w:t>
      </w:r>
      <w:r>
        <w:rPr>
          <w:color w:val="231F20"/>
          <w:spacing w:val="-4"/>
        </w:rPr>
        <w:t xml:space="preserve">Key </w:t>
      </w:r>
      <w:r>
        <w:rPr>
          <w:color w:val="231F20"/>
        </w:rPr>
        <w:t xml:space="preserve">actions include; – Conduct dietary </w:t>
      </w:r>
      <w:r w:rsidR="001E197A">
        <w:rPr>
          <w:color w:val="231F20"/>
        </w:rPr>
        <w:t>counseling</w:t>
      </w:r>
      <w:r>
        <w:rPr>
          <w:color w:val="231F20"/>
        </w:rPr>
        <w:t xml:space="preserve"> sessions to adolescents &amp; WRA at the </w:t>
      </w:r>
      <w:r>
        <w:rPr>
          <w:color w:val="231F20"/>
          <w:spacing w:val="-3"/>
        </w:rPr>
        <w:t>health</w:t>
      </w:r>
      <w:r>
        <w:rPr>
          <w:color w:val="231F20"/>
          <w:spacing w:val="55"/>
        </w:rPr>
        <w:t xml:space="preserve"> </w:t>
      </w:r>
      <w:r>
        <w:rPr>
          <w:color w:val="231F20"/>
        </w:rPr>
        <w:t>facilities on promotion &amp; importance of good nutrition during pregnancy &amp; lactation; Conduct sensitization</w:t>
      </w:r>
      <w:r>
        <w:rPr>
          <w:color w:val="231F20"/>
          <w:spacing w:val="-12"/>
        </w:rPr>
        <w:t xml:space="preserve"> </w:t>
      </w:r>
      <w:r>
        <w:rPr>
          <w:color w:val="231F20"/>
        </w:rPr>
        <w:t>training</w:t>
      </w:r>
      <w:r>
        <w:rPr>
          <w:color w:val="231F20"/>
          <w:spacing w:val="-12"/>
        </w:rPr>
        <w:t xml:space="preserve"> </w:t>
      </w:r>
      <w:r>
        <w:rPr>
          <w:color w:val="231F20"/>
        </w:rPr>
        <w:t>on</w:t>
      </w:r>
      <w:r>
        <w:rPr>
          <w:color w:val="231F20"/>
          <w:spacing w:val="-12"/>
        </w:rPr>
        <w:t xml:space="preserve"> </w:t>
      </w:r>
      <w:r>
        <w:rPr>
          <w:color w:val="231F20"/>
        </w:rPr>
        <w:t>Improved</w:t>
      </w:r>
      <w:r>
        <w:rPr>
          <w:color w:val="231F20"/>
          <w:spacing w:val="-12"/>
        </w:rPr>
        <w:t xml:space="preserve"> </w:t>
      </w:r>
      <w:r>
        <w:rPr>
          <w:color w:val="231F20"/>
        </w:rPr>
        <w:t>Nutrition</w:t>
      </w:r>
      <w:r>
        <w:rPr>
          <w:color w:val="231F20"/>
          <w:spacing w:val="-12"/>
        </w:rPr>
        <w:t xml:space="preserve"> </w:t>
      </w:r>
      <w:r>
        <w:rPr>
          <w:color w:val="231F20"/>
        </w:rPr>
        <w:t>for</w:t>
      </w:r>
      <w:r>
        <w:rPr>
          <w:color w:val="231F20"/>
          <w:spacing w:val="-25"/>
        </w:rPr>
        <w:t xml:space="preserve"> </w:t>
      </w:r>
      <w:r>
        <w:rPr>
          <w:color w:val="231F20"/>
        </w:rPr>
        <w:t>Adolescent</w:t>
      </w:r>
      <w:r>
        <w:rPr>
          <w:color w:val="231F20"/>
          <w:spacing w:val="-12"/>
        </w:rPr>
        <w:t xml:space="preserve"> </w:t>
      </w:r>
      <w:r>
        <w:rPr>
          <w:color w:val="231F20"/>
        </w:rPr>
        <w:t>Girls</w:t>
      </w:r>
      <w:r>
        <w:rPr>
          <w:color w:val="231F20"/>
          <w:spacing w:val="-12"/>
        </w:rPr>
        <w:t xml:space="preserve"> </w:t>
      </w:r>
      <w:r>
        <w:rPr>
          <w:color w:val="231F20"/>
        </w:rPr>
        <w:t>for</w:t>
      </w:r>
      <w:r>
        <w:rPr>
          <w:color w:val="231F20"/>
          <w:spacing w:val="-12"/>
        </w:rPr>
        <w:t xml:space="preserve"> </w:t>
      </w:r>
      <w:r>
        <w:rPr>
          <w:color w:val="231F20"/>
        </w:rPr>
        <w:t>Secondary</w:t>
      </w:r>
      <w:r>
        <w:rPr>
          <w:color w:val="231F20"/>
          <w:spacing w:val="-12"/>
        </w:rPr>
        <w:t xml:space="preserve"> </w:t>
      </w:r>
      <w:r>
        <w:rPr>
          <w:color w:val="231F20"/>
        </w:rPr>
        <w:t>Schools</w:t>
      </w:r>
      <w:r>
        <w:rPr>
          <w:color w:val="231F20"/>
          <w:spacing w:val="-12"/>
        </w:rPr>
        <w:t xml:space="preserve"> </w:t>
      </w:r>
      <w:r>
        <w:rPr>
          <w:color w:val="231F20"/>
        </w:rPr>
        <w:t>girls</w:t>
      </w:r>
      <w:r>
        <w:rPr>
          <w:color w:val="231F20"/>
          <w:spacing w:val="-12"/>
        </w:rPr>
        <w:t xml:space="preserve"> </w:t>
      </w:r>
      <w:r>
        <w:rPr>
          <w:color w:val="231F20"/>
        </w:rPr>
        <w:t>in</w:t>
      </w:r>
      <w:r>
        <w:rPr>
          <w:color w:val="231F20"/>
          <w:spacing w:val="-12"/>
        </w:rPr>
        <w:t xml:space="preserve"> </w:t>
      </w:r>
      <w:r>
        <w:rPr>
          <w:color w:val="231F20"/>
          <w:spacing w:val="-5"/>
        </w:rPr>
        <w:t xml:space="preserve">the </w:t>
      </w:r>
      <w:r>
        <w:rPr>
          <w:color w:val="231F20"/>
        </w:rPr>
        <w:t xml:space="preserve">23 LGAs; Conduct seminar on nutrition education and the importance of adequate nutrition </w:t>
      </w:r>
      <w:r>
        <w:rPr>
          <w:color w:val="231F20"/>
          <w:spacing w:val="-8"/>
        </w:rPr>
        <w:t xml:space="preserve">to </w:t>
      </w:r>
      <w:r>
        <w:rPr>
          <w:color w:val="231F20"/>
        </w:rPr>
        <w:t>adolescents</w:t>
      </w:r>
      <w:r>
        <w:rPr>
          <w:color w:val="231F20"/>
          <w:spacing w:val="-18"/>
        </w:rPr>
        <w:t xml:space="preserve"> </w:t>
      </w:r>
      <w:r>
        <w:rPr>
          <w:color w:val="231F20"/>
        </w:rPr>
        <w:t>&amp;</w:t>
      </w:r>
      <w:r>
        <w:rPr>
          <w:color w:val="231F20"/>
          <w:spacing w:val="-18"/>
        </w:rPr>
        <w:t xml:space="preserve"> </w:t>
      </w:r>
      <w:r>
        <w:rPr>
          <w:color w:val="231F20"/>
        </w:rPr>
        <w:t>Women</w:t>
      </w:r>
      <w:r>
        <w:rPr>
          <w:color w:val="231F20"/>
          <w:spacing w:val="-19"/>
        </w:rPr>
        <w:t xml:space="preserve"> </w:t>
      </w:r>
      <w:r>
        <w:rPr>
          <w:color w:val="231F20"/>
        </w:rPr>
        <w:t>of</w:t>
      </w:r>
      <w:r>
        <w:rPr>
          <w:color w:val="231F20"/>
          <w:spacing w:val="-18"/>
        </w:rPr>
        <w:t xml:space="preserve"> </w:t>
      </w:r>
      <w:r>
        <w:rPr>
          <w:color w:val="231F20"/>
        </w:rPr>
        <w:t>Reproductive</w:t>
      </w:r>
      <w:r>
        <w:rPr>
          <w:color w:val="231F20"/>
          <w:spacing w:val="-30"/>
        </w:rPr>
        <w:t xml:space="preserve"> </w:t>
      </w:r>
      <w:r>
        <w:rPr>
          <w:color w:val="231F20"/>
        </w:rPr>
        <w:t>Age</w:t>
      </w:r>
      <w:r>
        <w:rPr>
          <w:color w:val="231F20"/>
          <w:spacing w:val="-19"/>
        </w:rPr>
        <w:t xml:space="preserve"> </w:t>
      </w:r>
      <w:r>
        <w:rPr>
          <w:color w:val="231F20"/>
        </w:rPr>
        <w:t>(WRA)</w:t>
      </w:r>
      <w:r>
        <w:rPr>
          <w:color w:val="231F20"/>
          <w:spacing w:val="-18"/>
        </w:rPr>
        <w:t xml:space="preserve"> </w:t>
      </w:r>
      <w:r>
        <w:rPr>
          <w:color w:val="231F20"/>
        </w:rPr>
        <w:t>in</w:t>
      </w:r>
      <w:r>
        <w:rPr>
          <w:color w:val="231F20"/>
          <w:spacing w:val="-18"/>
        </w:rPr>
        <w:t xml:space="preserve"> </w:t>
      </w:r>
      <w:r>
        <w:rPr>
          <w:color w:val="231F20"/>
        </w:rPr>
        <w:t>Faith</w:t>
      </w:r>
      <w:r>
        <w:rPr>
          <w:color w:val="231F20"/>
          <w:spacing w:val="-19"/>
        </w:rPr>
        <w:t xml:space="preserve"> </w:t>
      </w:r>
      <w:r>
        <w:rPr>
          <w:color w:val="231F20"/>
        </w:rPr>
        <w:t>Based</w:t>
      </w:r>
      <w:r>
        <w:rPr>
          <w:color w:val="231F20"/>
          <w:spacing w:val="-18"/>
        </w:rPr>
        <w:t xml:space="preserve"> </w:t>
      </w:r>
      <w:r w:rsidR="001E197A">
        <w:rPr>
          <w:color w:val="231F20"/>
        </w:rPr>
        <w:t>Organizations</w:t>
      </w:r>
      <w:r>
        <w:rPr>
          <w:color w:val="231F20"/>
          <w:spacing w:val="-17"/>
        </w:rPr>
        <w:t xml:space="preserve"> </w:t>
      </w:r>
      <w:r>
        <w:rPr>
          <w:color w:val="231F20"/>
        </w:rPr>
        <w:t>(FBOs),</w:t>
      </w:r>
      <w:r>
        <w:rPr>
          <w:color w:val="231F20"/>
          <w:spacing w:val="-19"/>
        </w:rPr>
        <w:t xml:space="preserve"> </w:t>
      </w:r>
      <w:r>
        <w:rPr>
          <w:color w:val="231F20"/>
        </w:rPr>
        <w:t>CBOs</w:t>
      </w:r>
      <w:r>
        <w:rPr>
          <w:color w:val="231F20"/>
          <w:spacing w:val="-18"/>
        </w:rPr>
        <w:t xml:space="preserve"> </w:t>
      </w:r>
      <w:r>
        <w:rPr>
          <w:color w:val="231F20"/>
        </w:rPr>
        <w:t>&amp; the</w:t>
      </w:r>
      <w:r>
        <w:rPr>
          <w:color w:val="231F20"/>
          <w:spacing w:val="-23"/>
        </w:rPr>
        <w:t xml:space="preserve"> </w:t>
      </w:r>
      <w:r>
        <w:rPr>
          <w:color w:val="231F20"/>
        </w:rPr>
        <w:t>general</w:t>
      </w:r>
      <w:r>
        <w:rPr>
          <w:color w:val="231F20"/>
          <w:spacing w:val="-21"/>
        </w:rPr>
        <w:t xml:space="preserve"> </w:t>
      </w:r>
      <w:r>
        <w:rPr>
          <w:color w:val="231F20"/>
        </w:rPr>
        <w:t>public</w:t>
      </w:r>
      <w:r>
        <w:rPr>
          <w:color w:val="231F20"/>
          <w:spacing w:val="-22"/>
        </w:rPr>
        <w:t xml:space="preserve"> </w:t>
      </w:r>
      <w:r>
        <w:rPr>
          <w:color w:val="231F20"/>
        </w:rPr>
        <w:t>to</w:t>
      </w:r>
      <w:r>
        <w:rPr>
          <w:color w:val="231F20"/>
          <w:spacing w:val="-22"/>
        </w:rPr>
        <w:t xml:space="preserve"> </w:t>
      </w:r>
      <w:r>
        <w:rPr>
          <w:color w:val="231F20"/>
        </w:rPr>
        <w:t>promote</w:t>
      </w:r>
      <w:r>
        <w:rPr>
          <w:color w:val="231F20"/>
          <w:spacing w:val="-23"/>
        </w:rPr>
        <w:t xml:space="preserve"> </w:t>
      </w:r>
      <w:r>
        <w:rPr>
          <w:color w:val="231F20"/>
        </w:rPr>
        <w:t>women</w:t>
      </w:r>
      <w:r>
        <w:rPr>
          <w:color w:val="231F20"/>
          <w:spacing w:val="-21"/>
        </w:rPr>
        <w:t xml:space="preserve"> </w:t>
      </w:r>
      <w:r>
        <w:rPr>
          <w:color w:val="231F20"/>
        </w:rPr>
        <w:t>nutritional</w:t>
      </w:r>
      <w:r>
        <w:rPr>
          <w:color w:val="231F20"/>
          <w:spacing w:val="-21"/>
        </w:rPr>
        <w:t xml:space="preserve"> </w:t>
      </w:r>
      <w:r>
        <w:rPr>
          <w:color w:val="231F20"/>
        </w:rPr>
        <w:t>status;</w:t>
      </w:r>
      <w:r>
        <w:rPr>
          <w:color w:val="231F20"/>
          <w:spacing w:val="-23"/>
        </w:rPr>
        <w:t xml:space="preserve"> </w:t>
      </w:r>
      <w:r>
        <w:rPr>
          <w:color w:val="231F20"/>
        </w:rPr>
        <w:t>Observe</w:t>
      </w:r>
      <w:r>
        <w:rPr>
          <w:color w:val="231F20"/>
          <w:spacing w:val="-22"/>
        </w:rPr>
        <w:t xml:space="preserve"> </w:t>
      </w:r>
      <w:r>
        <w:rPr>
          <w:color w:val="231F20"/>
        </w:rPr>
        <w:t>International</w:t>
      </w:r>
      <w:r>
        <w:rPr>
          <w:color w:val="231F20"/>
          <w:spacing w:val="-22"/>
        </w:rPr>
        <w:t xml:space="preserve"> </w:t>
      </w:r>
      <w:r>
        <w:rPr>
          <w:color w:val="231F20"/>
        </w:rPr>
        <w:t>Women's</w:t>
      </w:r>
      <w:r>
        <w:rPr>
          <w:color w:val="231F20"/>
          <w:spacing w:val="-22"/>
        </w:rPr>
        <w:t xml:space="preserve"> </w:t>
      </w:r>
      <w:r>
        <w:rPr>
          <w:color w:val="231F20"/>
        </w:rPr>
        <w:t>Day</w:t>
      </w:r>
      <w:r>
        <w:rPr>
          <w:color w:val="231F20"/>
          <w:spacing w:val="-22"/>
        </w:rPr>
        <w:t xml:space="preserve"> </w:t>
      </w:r>
      <w:r>
        <w:rPr>
          <w:color w:val="231F20"/>
        </w:rPr>
        <w:t>(IWD) celebration; Baseline survey on nutritional status of Adolescent girls in secondary and tertiary institutions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A487FE2" w14:textId="77777777" w:rsidR="009948F1" w:rsidRDefault="009948F1">
      <w:pPr>
        <w:pStyle w:val="BodyText"/>
        <w:spacing w:before="2"/>
        <w:rPr>
          <w:sz w:val="24"/>
        </w:rPr>
      </w:pPr>
    </w:p>
    <w:p w14:paraId="2A5ED76C" w14:textId="77777777" w:rsidR="009948F1" w:rsidRDefault="00BC0563">
      <w:pPr>
        <w:pStyle w:val="ListParagraph"/>
        <w:numPr>
          <w:ilvl w:val="3"/>
          <w:numId w:val="293"/>
        </w:numPr>
        <w:tabs>
          <w:tab w:val="left" w:pos="1048"/>
        </w:tabs>
        <w:spacing w:line="266" w:lineRule="auto"/>
        <w:ind w:left="189" w:right="203" w:firstLine="0"/>
      </w:pPr>
      <w:r>
        <w:rPr>
          <w:color w:val="231F20"/>
        </w:rPr>
        <w:t xml:space="preserve">Promote healthy diets for the </w:t>
      </w:r>
      <w:r>
        <w:rPr>
          <w:color w:val="231F20"/>
          <w:spacing w:val="-3"/>
        </w:rPr>
        <w:t xml:space="preserve">elderly. </w:t>
      </w:r>
      <w:r>
        <w:rPr>
          <w:color w:val="231F20"/>
        </w:rPr>
        <w:t xml:space="preserve">Key actions include - Baseline Survey on number and health/nutritional status of elderly men/women in 319 wards of the State; Development </w:t>
      </w:r>
      <w:r>
        <w:rPr>
          <w:color w:val="231F20"/>
          <w:spacing w:val="-8"/>
        </w:rPr>
        <w:t xml:space="preserve">of </w:t>
      </w:r>
      <w:r>
        <w:rPr>
          <w:color w:val="231F20"/>
        </w:rPr>
        <w:t>Guidelines</w:t>
      </w:r>
      <w:r>
        <w:rPr>
          <w:color w:val="231F20"/>
          <w:spacing w:val="-17"/>
        </w:rPr>
        <w:t xml:space="preserve"> </w:t>
      </w:r>
      <w:r>
        <w:rPr>
          <w:color w:val="231F20"/>
        </w:rPr>
        <w:t>/</w:t>
      </w:r>
      <w:r>
        <w:rPr>
          <w:color w:val="231F20"/>
          <w:spacing w:val="-16"/>
        </w:rPr>
        <w:t xml:space="preserve"> </w:t>
      </w:r>
      <w:r>
        <w:rPr>
          <w:color w:val="231F20"/>
        </w:rPr>
        <w:t>SOP</w:t>
      </w:r>
      <w:r>
        <w:rPr>
          <w:color w:val="231F20"/>
          <w:spacing w:val="-21"/>
        </w:rPr>
        <w:t xml:space="preserve"> </w:t>
      </w:r>
      <w:r>
        <w:rPr>
          <w:color w:val="231F20"/>
        </w:rPr>
        <w:t>on</w:t>
      </w:r>
      <w:r>
        <w:rPr>
          <w:color w:val="231F20"/>
          <w:spacing w:val="-16"/>
        </w:rPr>
        <w:t xml:space="preserve"> </w:t>
      </w:r>
      <w:r>
        <w:rPr>
          <w:color w:val="231F20"/>
        </w:rPr>
        <w:t>the</w:t>
      </w:r>
      <w:r>
        <w:rPr>
          <w:color w:val="231F20"/>
          <w:spacing w:val="-16"/>
        </w:rPr>
        <w:t xml:space="preserve"> </w:t>
      </w:r>
      <w:r>
        <w:rPr>
          <w:color w:val="231F20"/>
        </w:rPr>
        <w:t>Nutritional</w:t>
      </w:r>
      <w:r>
        <w:rPr>
          <w:color w:val="231F20"/>
          <w:spacing w:val="-17"/>
        </w:rPr>
        <w:t xml:space="preserve"> </w:t>
      </w:r>
      <w:r>
        <w:rPr>
          <w:color w:val="231F20"/>
        </w:rPr>
        <w:t>care</w:t>
      </w:r>
      <w:r>
        <w:rPr>
          <w:color w:val="231F20"/>
          <w:spacing w:val="-16"/>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elderly;</w:t>
      </w:r>
      <w:r>
        <w:rPr>
          <w:color w:val="231F20"/>
          <w:spacing w:val="-16"/>
        </w:rPr>
        <w:t xml:space="preserve"> </w:t>
      </w:r>
      <w:r>
        <w:rPr>
          <w:color w:val="231F20"/>
        </w:rPr>
        <w:t>Build</w:t>
      </w:r>
      <w:r>
        <w:rPr>
          <w:color w:val="231F20"/>
          <w:spacing w:val="-17"/>
        </w:rPr>
        <w:t xml:space="preserve"> </w:t>
      </w:r>
      <w:r>
        <w:rPr>
          <w:color w:val="231F20"/>
        </w:rPr>
        <w:t>capacity</w:t>
      </w:r>
      <w:r>
        <w:rPr>
          <w:color w:val="231F20"/>
          <w:spacing w:val="-16"/>
        </w:rPr>
        <w:t xml:space="preserve"> </w:t>
      </w:r>
      <w:r>
        <w:rPr>
          <w:color w:val="231F20"/>
        </w:rPr>
        <w:t>of</w:t>
      </w:r>
      <w:r>
        <w:rPr>
          <w:color w:val="231F20"/>
          <w:spacing w:val="-16"/>
        </w:rPr>
        <w:t xml:space="preserve"> </w:t>
      </w:r>
      <w:r>
        <w:rPr>
          <w:color w:val="231F20"/>
        </w:rPr>
        <w:t>LGA</w:t>
      </w:r>
      <w:r>
        <w:rPr>
          <w:color w:val="231F20"/>
          <w:spacing w:val="-29"/>
        </w:rPr>
        <w:t xml:space="preserve"> </w:t>
      </w:r>
      <w:r>
        <w:rPr>
          <w:color w:val="231F20"/>
        </w:rPr>
        <w:t>Nutrition</w:t>
      </w:r>
      <w:r>
        <w:rPr>
          <w:color w:val="231F20"/>
          <w:spacing w:val="-16"/>
        </w:rPr>
        <w:t xml:space="preserve"> </w:t>
      </w:r>
      <w:r>
        <w:rPr>
          <w:color w:val="231F20"/>
        </w:rPr>
        <w:t>Officers</w:t>
      </w:r>
      <w:r>
        <w:rPr>
          <w:color w:val="231F20"/>
          <w:spacing w:val="-16"/>
        </w:rPr>
        <w:t xml:space="preserve"> </w:t>
      </w:r>
      <w:r>
        <w:rPr>
          <w:color w:val="231F20"/>
        </w:rPr>
        <w:t xml:space="preserve">and State officers on Geriatric nutrition and care; Train Volunteer Health Workers per ward on Nutritional Care of the elderly; Conduct quarterly orientation/sensitization per senatorial zone </w:t>
      </w:r>
      <w:r>
        <w:rPr>
          <w:color w:val="231F20"/>
          <w:spacing w:val="-5"/>
        </w:rPr>
        <w:t xml:space="preserve">for </w:t>
      </w:r>
      <w:r>
        <w:rPr>
          <w:color w:val="231F20"/>
        </w:rPr>
        <w:t>the</w:t>
      </w:r>
      <w:r>
        <w:rPr>
          <w:color w:val="231F20"/>
          <w:spacing w:val="-25"/>
        </w:rPr>
        <w:t xml:space="preserve"> </w:t>
      </w:r>
      <w:r>
        <w:rPr>
          <w:color w:val="231F20"/>
        </w:rPr>
        <w:t>Elderly</w:t>
      </w:r>
      <w:r>
        <w:rPr>
          <w:color w:val="231F20"/>
          <w:spacing w:val="-26"/>
        </w:rPr>
        <w:t xml:space="preserve"> </w:t>
      </w:r>
      <w:r>
        <w:rPr>
          <w:color w:val="231F20"/>
        </w:rPr>
        <w:t>on</w:t>
      </w:r>
      <w:r>
        <w:rPr>
          <w:color w:val="231F20"/>
          <w:spacing w:val="-25"/>
        </w:rPr>
        <w:t xml:space="preserve"> </w:t>
      </w:r>
      <w:r>
        <w:rPr>
          <w:color w:val="231F20"/>
        </w:rPr>
        <w:t>healthy</w:t>
      </w:r>
      <w:r>
        <w:rPr>
          <w:color w:val="231F20"/>
          <w:spacing w:val="-25"/>
        </w:rPr>
        <w:t xml:space="preserve"> </w:t>
      </w:r>
      <w:r>
        <w:rPr>
          <w:color w:val="231F20"/>
        </w:rPr>
        <w:t>choice</w:t>
      </w:r>
      <w:r>
        <w:rPr>
          <w:color w:val="231F20"/>
          <w:spacing w:val="-25"/>
        </w:rPr>
        <w:t xml:space="preserve"> </w:t>
      </w:r>
      <w:r>
        <w:rPr>
          <w:color w:val="231F20"/>
        </w:rPr>
        <w:t>of</w:t>
      </w:r>
      <w:r>
        <w:rPr>
          <w:color w:val="231F20"/>
          <w:spacing w:val="-25"/>
        </w:rPr>
        <w:t xml:space="preserve"> </w:t>
      </w:r>
      <w:r>
        <w:rPr>
          <w:color w:val="231F20"/>
        </w:rPr>
        <w:t>foods</w:t>
      </w:r>
      <w:r>
        <w:rPr>
          <w:color w:val="231F20"/>
          <w:spacing w:val="-25"/>
        </w:rPr>
        <w:t xml:space="preserve"> </w:t>
      </w:r>
      <w:r>
        <w:rPr>
          <w:color w:val="231F20"/>
        </w:rPr>
        <w:t>for</w:t>
      </w:r>
      <w:r>
        <w:rPr>
          <w:color w:val="231F20"/>
          <w:spacing w:val="-25"/>
        </w:rPr>
        <w:t xml:space="preserve"> </w:t>
      </w:r>
      <w:r>
        <w:rPr>
          <w:color w:val="231F20"/>
        </w:rPr>
        <w:t>improved</w:t>
      </w:r>
      <w:r>
        <w:rPr>
          <w:color w:val="231F20"/>
          <w:spacing w:val="-25"/>
        </w:rPr>
        <w:t xml:space="preserve"> </w:t>
      </w:r>
      <w:r>
        <w:rPr>
          <w:color w:val="231F20"/>
        </w:rPr>
        <w:t>life.</w:t>
      </w:r>
    </w:p>
    <w:p w14:paraId="137B074E" w14:textId="77777777" w:rsidR="009948F1" w:rsidRDefault="009948F1">
      <w:pPr>
        <w:pStyle w:val="BodyText"/>
        <w:spacing w:before="8"/>
        <w:rPr>
          <w:sz w:val="20"/>
        </w:rPr>
      </w:pPr>
    </w:p>
    <w:p w14:paraId="71D3F03C" w14:textId="77777777" w:rsidR="009948F1" w:rsidRDefault="00BC0563">
      <w:pPr>
        <w:pStyle w:val="Heading7"/>
        <w:spacing w:before="1" w:line="266" w:lineRule="auto"/>
        <w:ind w:left="189" w:right="204"/>
        <w:jc w:val="both"/>
      </w:pPr>
      <w:r>
        <w:rPr>
          <w:color w:val="231F20"/>
        </w:rPr>
        <w:t>Priority Area 5: Communicable Disease ((Malaria, TB, Leprosy, HIV/AIDS) and Neglected Tropical Diseases)</w:t>
      </w:r>
    </w:p>
    <w:p w14:paraId="6AB410C6" w14:textId="77777777" w:rsidR="009948F1" w:rsidRDefault="009948F1">
      <w:pPr>
        <w:pStyle w:val="BodyText"/>
        <w:spacing w:before="9"/>
        <w:rPr>
          <w:b/>
          <w:sz w:val="20"/>
        </w:rPr>
      </w:pPr>
    </w:p>
    <w:p w14:paraId="18F47A30" w14:textId="77777777" w:rsidR="009948F1" w:rsidRDefault="00BC0563">
      <w:pPr>
        <w:ind w:left="189"/>
        <w:rPr>
          <w:b/>
        </w:rPr>
      </w:pPr>
      <w:r>
        <w:rPr>
          <w:b/>
          <w:color w:val="231F20"/>
        </w:rPr>
        <w:t>Context</w:t>
      </w:r>
    </w:p>
    <w:p w14:paraId="76003962" w14:textId="17FAB356" w:rsidR="009948F1" w:rsidRDefault="00BC0563">
      <w:pPr>
        <w:pStyle w:val="BodyText"/>
        <w:spacing w:before="28" w:line="266" w:lineRule="auto"/>
        <w:ind w:left="189" w:right="202"/>
        <w:jc w:val="both"/>
      </w:pPr>
      <w:r>
        <w:rPr>
          <w:color w:val="231F20"/>
        </w:rPr>
        <w:t>Communicable diseases continue to pose major challenges to the global community accounting for over 60% of all causes of deaths in 2015</w:t>
      </w:r>
      <w:r>
        <w:rPr>
          <w:i/>
          <w:color w:val="231F20"/>
        </w:rPr>
        <w:t xml:space="preserve">(World Health Organization, 2015). </w:t>
      </w:r>
      <w:r>
        <w:rPr>
          <w:color w:val="231F20"/>
        </w:rPr>
        <w:t>In Nigeria, communicable</w:t>
      </w:r>
      <w:r>
        <w:rPr>
          <w:color w:val="231F20"/>
          <w:spacing w:val="-18"/>
        </w:rPr>
        <w:t xml:space="preserve"> </w:t>
      </w:r>
      <w:r>
        <w:rPr>
          <w:color w:val="231F20"/>
        </w:rPr>
        <w:t>diseases</w:t>
      </w:r>
      <w:r>
        <w:rPr>
          <w:color w:val="231F20"/>
          <w:spacing w:val="-18"/>
        </w:rPr>
        <w:t xml:space="preserve"> </w:t>
      </w:r>
      <w:r>
        <w:rPr>
          <w:color w:val="231F20"/>
        </w:rPr>
        <w:t>(HIV/AIDS,</w:t>
      </w:r>
      <w:r>
        <w:rPr>
          <w:color w:val="231F20"/>
          <w:spacing w:val="-17"/>
        </w:rPr>
        <w:t xml:space="preserve"> </w:t>
      </w:r>
      <w:r>
        <w:rPr>
          <w:color w:val="231F20"/>
        </w:rPr>
        <w:t>Viral</w:t>
      </w:r>
      <w:r>
        <w:rPr>
          <w:color w:val="231F20"/>
          <w:spacing w:val="-18"/>
        </w:rPr>
        <w:t xml:space="preserve"> </w:t>
      </w:r>
      <w:r>
        <w:rPr>
          <w:color w:val="231F20"/>
        </w:rPr>
        <w:t>Hepatitis,</w:t>
      </w:r>
      <w:r>
        <w:rPr>
          <w:color w:val="231F20"/>
          <w:spacing w:val="-17"/>
        </w:rPr>
        <w:t xml:space="preserve"> </w:t>
      </w:r>
      <w:r>
        <w:rPr>
          <w:color w:val="231F20"/>
        </w:rPr>
        <w:t>Malaria,</w:t>
      </w:r>
      <w:r>
        <w:rPr>
          <w:color w:val="231F20"/>
          <w:spacing w:val="-22"/>
        </w:rPr>
        <w:t xml:space="preserve"> </w:t>
      </w:r>
      <w:r>
        <w:rPr>
          <w:color w:val="231F20"/>
        </w:rPr>
        <w:t>Tuberculosis,</w:t>
      </w:r>
      <w:r>
        <w:rPr>
          <w:color w:val="231F20"/>
          <w:spacing w:val="-17"/>
        </w:rPr>
        <w:t xml:space="preserve"> </w:t>
      </w:r>
      <w:r>
        <w:rPr>
          <w:color w:val="231F20"/>
        </w:rPr>
        <w:t>Leprosy</w:t>
      </w:r>
      <w:r>
        <w:rPr>
          <w:color w:val="231F20"/>
          <w:spacing w:val="-18"/>
        </w:rPr>
        <w:t xml:space="preserve"> </w:t>
      </w:r>
      <w:r>
        <w:rPr>
          <w:color w:val="231F20"/>
        </w:rPr>
        <w:t>and</w:t>
      </w:r>
      <w:r>
        <w:rPr>
          <w:color w:val="231F20"/>
          <w:spacing w:val="-17"/>
        </w:rPr>
        <w:t xml:space="preserve"> </w:t>
      </w:r>
      <w:r>
        <w:rPr>
          <w:color w:val="231F20"/>
        </w:rPr>
        <w:t>neglected tr</w:t>
      </w:r>
      <w:r w:rsidR="001D7055">
        <w:rPr>
          <w:color w:val="231F20"/>
        </w:rPr>
        <w:t>opical diseases (filariasis, on</w:t>
      </w:r>
      <w:r>
        <w:rPr>
          <w:color w:val="231F20"/>
        </w:rPr>
        <w:t xml:space="preserve">chocerciasis, trachoma, worm infestation, and schistosomiasis), account for 66% of the total burden of morbidity. However, with advances in medicine, most of these diseases are now treatable </w:t>
      </w:r>
      <w:r>
        <w:rPr>
          <w:color w:val="231F20"/>
          <w:spacing w:val="-5"/>
        </w:rPr>
        <w:t xml:space="preserve">(HIV, </w:t>
      </w:r>
      <w:r>
        <w:rPr>
          <w:color w:val="231F20"/>
        </w:rPr>
        <w:t xml:space="preserve">Viral Hepatitis B) and curable (Tuberculosis, Malaria </w:t>
      </w:r>
      <w:r>
        <w:rPr>
          <w:color w:val="231F20"/>
          <w:spacing w:val="-6"/>
        </w:rPr>
        <w:t xml:space="preserve">and </w:t>
      </w:r>
      <w:r>
        <w:rPr>
          <w:color w:val="231F20"/>
        </w:rPr>
        <w:t>Viral</w:t>
      </w:r>
      <w:r>
        <w:rPr>
          <w:color w:val="231F20"/>
          <w:spacing w:val="-15"/>
        </w:rPr>
        <w:t xml:space="preserve"> </w:t>
      </w:r>
      <w:r>
        <w:rPr>
          <w:color w:val="231F20"/>
        </w:rPr>
        <w:t>Hepatitis</w:t>
      </w:r>
      <w:r>
        <w:rPr>
          <w:color w:val="231F20"/>
          <w:spacing w:val="-15"/>
        </w:rPr>
        <w:t xml:space="preserve"> </w:t>
      </w:r>
      <w:r>
        <w:rPr>
          <w:color w:val="231F20"/>
        </w:rPr>
        <w:t>C</w:t>
      </w:r>
      <w:r>
        <w:rPr>
          <w:color w:val="231F20"/>
          <w:spacing w:val="-15"/>
        </w:rPr>
        <w:t xml:space="preserve"> </w:t>
      </w:r>
      <w:r>
        <w:rPr>
          <w:color w:val="231F20"/>
        </w:rPr>
        <w:t>and</w:t>
      </w:r>
      <w:r>
        <w:rPr>
          <w:color w:val="231F20"/>
          <w:spacing w:val="-15"/>
        </w:rPr>
        <w:t xml:space="preserve"> </w:t>
      </w:r>
      <w:r>
        <w:rPr>
          <w:color w:val="231F20"/>
        </w:rPr>
        <w:t>NTDs).</w:t>
      </w:r>
      <w:r>
        <w:rPr>
          <w:color w:val="231F20"/>
          <w:spacing w:val="-18"/>
        </w:rPr>
        <w:t xml:space="preserve"> </w:t>
      </w:r>
      <w:r>
        <w:rPr>
          <w:color w:val="231F20"/>
        </w:rPr>
        <w:t>The</w:t>
      </w:r>
      <w:r>
        <w:rPr>
          <w:color w:val="231F20"/>
          <w:spacing w:val="-15"/>
        </w:rPr>
        <w:t xml:space="preserve"> </w:t>
      </w:r>
      <w:r>
        <w:rPr>
          <w:color w:val="231F20"/>
        </w:rPr>
        <w:t>SDG</w:t>
      </w:r>
      <w:r>
        <w:rPr>
          <w:color w:val="231F20"/>
          <w:spacing w:val="-15"/>
        </w:rPr>
        <w:t xml:space="preserve"> </w:t>
      </w:r>
      <w:r>
        <w:rPr>
          <w:color w:val="231F20"/>
        </w:rPr>
        <w:t>3,</w:t>
      </w:r>
      <w:r>
        <w:rPr>
          <w:color w:val="231F20"/>
          <w:spacing w:val="-19"/>
        </w:rPr>
        <w:t xml:space="preserve"> </w:t>
      </w:r>
      <w:r>
        <w:rPr>
          <w:color w:val="231F20"/>
          <w:spacing w:val="-5"/>
        </w:rPr>
        <w:t>Target</w:t>
      </w:r>
      <w:r>
        <w:rPr>
          <w:color w:val="231F20"/>
          <w:spacing w:val="-14"/>
        </w:rPr>
        <w:t xml:space="preserve"> </w:t>
      </w:r>
      <w:r>
        <w:rPr>
          <w:color w:val="231F20"/>
        </w:rPr>
        <w:t>3.3,</w:t>
      </w:r>
      <w:r>
        <w:rPr>
          <w:color w:val="231F20"/>
          <w:spacing w:val="-15"/>
        </w:rPr>
        <w:t xml:space="preserve"> </w:t>
      </w:r>
      <w:r>
        <w:rPr>
          <w:color w:val="231F20"/>
        </w:rPr>
        <w:t>explicitly</w:t>
      </w:r>
      <w:r>
        <w:rPr>
          <w:color w:val="231F20"/>
          <w:spacing w:val="-15"/>
        </w:rPr>
        <w:t xml:space="preserve"> </w:t>
      </w:r>
      <w:r>
        <w:rPr>
          <w:color w:val="231F20"/>
        </w:rPr>
        <w:t>seeks</w:t>
      </w:r>
      <w:r>
        <w:rPr>
          <w:color w:val="231F20"/>
          <w:spacing w:val="-15"/>
        </w:rPr>
        <w:t xml:space="preserve"> </w:t>
      </w:r>
      <w:r>
        <w:rPr>
          <w:color w:val="231F20"/>
        </w:rPr>
        <w:t>to</w:t>
      </w:r>
      <w:r>
        <w:rPr>
          <w:color w:val="231F20"/>
          <w:spacing w:val="-15"/>
        </w:rPr>
        <w:t xml:space="preserve"> </w:t>
      </w:r>
      <w:r>
        <w:rPr>
          <w:color w:val="231F20"/>
        </w:rPr>
        <w:t>end</w:t>
      </w:r>
      <w:r>
        <w:rPr>
          <w:color w:val="231F20"/>
          <w:spacing w:val="-14"/>
        </w:rPr>
        <w:t xml:space="preserve"> </w:t>
      </w:r>
      <w:r>
        <w:rPr>
          <w:color w:val="231F20"/>
        </w:rPr>
        <w:t>the</w:t>
      </w:r>
      <w:r>
        <w:rPr>
          <w:color w:val="231F20"/>
          <w:spacing w:val="-15"/>
        </w:rPr>
        <w:t xml:space="preserve"> </w:t>
      </w:r>
      <w:r>
        <w:rPr>
          <w:color w:val="231F20"/>
        </w:rPr>
        <w:t>epidemics</w:t>
      </w:r>
      <w:r>
        <w:rPr>
          <w:color w:val="231F20"/>
          <w:spacing w:val="-15"/>
        </w:rPr>
        <w:t xml:space="preserve"> </w:t>
      </w:r>
      <w:r>
        <w:rPr>
          <w:color w:val="231F20"/>
        </w:rPr>
        <w:t>of</w:t>
      </w:r>
      <w:r>
        <w:rPr>
          <w:color w:val="231F20"/>
          <w:spacing w:val="-27"/>
        </w:rPr>
        <w:t xml:space="preserve"> </w:t>
      </w:r>
      <w:r>
        <w:rPr>
          <w:color w:val="231F20"/>
          <w:spacing w:val="-3"/>
        </w:rPr>
        <w:t xml:space="preserve">AIDS, </w:t>
      </w:r>
      <w:r>
        <w:rPr>
          <w:color w:val="231F20"/>
        </w:rPr>
        <w:t>tuberculosis,</w:t>
      </w:r>
      <w:r>
        <w:rPr>
          <w:color w:val="231F20"/>
          <w:spacing w:val="-13"/>
        </w:rPr>
        <w:t xml:space="preserve"> </w:t>
      </w:r>
      <w:r>
        <w:rPr>
          <w:color w:val="231F20"/>
        </w:rPr>
        <w:t>malaria</w:t>
      </w:r>
      <w:r>
        <w:rPr>
          <w:color w:val="231F20"/>
          <w:spacing w:val="-12"/>
        </w:rPr>
        <w:t xml:space="preserve"> </w:t>
      </w:r>
      <w:r>
        <w:rPr>
          <w:color w:val="231F20"/>
        </w:rPr>
        <w:t>and</w:t>
      </w:r>
      <w:r>
        <w:rPr>
          <w:color w:val="231F20"/>
          <w:spacing w:val="-12"/>
        </w:rPr>
        <w:t xml:space="preserve"> </w:t>
      </w:r>
      <w:r>
        <w:rPr>
          <w:color w:val="231F20"/>
        </w:rPr>
        <w:t>neglected</w:t>
      </w:r>
      <w:r>
        <w:rPr>
          <w:color w:val="231F20"/>
          <w:spacing w:val="-12"/>
        </w:rPr>
        <w:t xml:space="preserve"> </w:t>
      </w:r>
      <w:r>
        <w:rPr>
          <w:color w:val="231F20"/>
        </w:rPr>
        <w:t>tropical</w:t>
      </w:r>
      <w:r>
        <w:rPr>
          <w:color w:val="231F20"/>
          <w:spacing w:val="-12"/>
        </w:rPr>
        <w:t xml:space="preserve"> </w:t>
      </w:r>
      <w:r>
        <w:rPr>
          <w:color w:val="231F20"/>
        </w:rPr>
        <w:t>diseases</w:t>
      </w:r>
      <w:r>
        <w:rPr>
          <w:color w:val="231F20"/>
          <w:spacing w:val="-12"/>
        </w:rPr>
        <w:t xml:space="preserve"> </w:t>
      </w:r>
      <w:r>
        <w:rPr>
          <w:color w:val="231F20"/>
        </w:rPr>
        <w:t>(filariasis,</w:t>
      </w:r>
      <w:r>
        <w:rPr>
          <w:color w:val="231F20"/>
          <w:spacing w:val="-12"/>
        </w:rPr>
        <w:t xml:space="preserve"> </w:t>
      </w:r>
      <w:r>
        <w:rPr>
          <w:color w:val="231F20"/>
        </w:rPr>
        <w:t>onchocerciasis,</w:t>
      </w:r>
      <w:r>
        <w:rPr>
          <w:color w:val="231F20"/>
          <w:spacing w:val="-12"/>
        </w:rPr>
        <w:t xml:space="preserve"> </w:t>
      </w:r>
      <w:r>
        <w:rPr>
          <w:color w:val="231F20"/>
        </w:rPr>
        <w:t>trachoma,</w:t>
      </w:r>
      <w:r>
        <w:rPr>
          <w:color w:val="231F20"/>
          <w:spacing w:val="-12"/>
        </w:rPr>
        <w:t xml:space="preserve"> </w:t>
      </w:r>
      <w:r>
        <w:rPr>
          <w:color w:val="231F20"/>
          <w:spacing w:val="-3"/>
        </w:rPr>
        <w:t xml:space="preserve">worm </w:t>
      </w:r>
      <w:r>
        <w:rPr>
          <w:color w:val="231F20"/>
        </w:rPr>
        <w:t xml:space="preserve">infestation, schistosomiasis, leprosy etc.) and combat hepatitis, waterborne diseases and </w:t>
      </w:r>
      <w:r>
        <w:rPr>
          <w:color w:val="231F20"/>
          <w:spacing w:val="-3"/>
        </w:rPr>
        <w:t xml:space="preserve">other </w:t>
      </w:r>
      <w:r>
        <w:rPr>
          <w:color w:val="231F20"/>
        </w:rPr>
        <w:t xml:space="preserve">communicable diseases by 2030 </w:t>
      </w:r>
      <w:r>
        <w:rPr>
          <w:i/>
          <w:color w:val="231F20"/>
        </w:rPr>
        <w:t>(https://sustainabledevelopment.un.org</w:t>
      </w:r>
      <w:r>
        <w:rPr>
          <w:color w:val="231F20"/>
        </w:rPr>
        <w:t xml:space="preserve">). These diseases </w:t>
      </w:r>
      <w:r>
        <w:rPr>
          <w:color w:val="231F20"/>
          <w:spacing w:val="-4"/>
        </w:rPr>
        <w:t xml:space="preserve">have </w:t>
      </w:r>
      <w:r>
        <w:rPr>
          <w:color w:val="231F20"/>
        </w:rPr>
        <w:t>also</w:t>
      </w:r>
      <w:r>
        <w:rPr>
          <w:color w:val="231F20"/>
          <w:spacing w:val="-25"/>
        </w:rPr>
        <w:t xml:space="preserve"> </w:t>
      </w:r>
      <w:r>
        <w:rPr>
          <w:color w:val="231F20"/>
        </w:rPr>
        <w:t>been</w:t>
      </w:r>
      <w:r>
        <w:rPr>
          <w:color w:val="231F20"/>
          <w:spacing w:val="-25"/>
        </w:rPr>
        <w:t xml:space="preserve"> </w:t>
      </w:r>
      <w:r>
        <w:rPr>
          <w:color w:val="231F20"/>
        </w:rPr>
        <w:t>listed</w:t>
      </w:r>
      <w:r>
        <w:rPr>
          <w:color w:val="231F20"/>
          <w:spacing w:val="-25"/>
        </w:rPr>
        <w:t xml:space="preserve"> </w:t>
      </w:r>
      <w:r>
        <w:rPr>
          <w:color w:val="231F20"/>
        </w:rPr>
        <w:t>as</w:t>
      </w:r>
      <w:r>
        <w:rPr>
          <w:color w:val="231F20"/>
          <w:spacing w:val="-25"/>
        </w:rPr>
        <w:t xml:space="preserve"> </w:t>
      </w:r>
      <w:r>
        <w:rPr>
          <w:color w:val="231F20"/>
        </w:rPr>
        <w:t>priority</w:t>
      </w:r>
      <w:r>
        <w:rPr>
          <w:color w:val="231F20"/>
          <w:spacing w:val="-25"/>
        </w:rPr>
        <w:t xml:space="preserve"> </w:t>
      </w:r>
      <w:r>
        <w:rPr>
          <w:color w:val="231F20"/>
        </w:rPr>
        <w:t>concerns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National</w:t>
      </w:r>
      <w:r>
        <w:rPr>
          <w:color w:val="231F20"/>
          <w:spacing w:val="-25"/>
        </w:rPr>
        <w:t xml:space="preserve"> </w:t>
      </w:r>
      <w:r>
        <w:rPr>
          <w:color w:val="231F20"/>
        </w:rPr>
        <w:t>Health</w:t>
      </w:r>
      <w:r>
        <w:rPr>
          <w:color w:val="231F20"/>
          <w:spacing w:val="-25"/>
        </w:rPr>
        <w:t xml:space="preserve"> </w:t>
      </w:r>
      <w:r>
        <w:rPr>
          <w:color w:val="231F20"/>
          <w:spacing w:val="-3"/>
        </w:rPr>
        <w:t>Policy.</w:t>
      </w:r>
    </w:p>
    <w:p w14:paraId="01A65C6B" w14:textId="77777777" w:rsidR="009948F1" w:rsidRDefault="009948F1">
      <w:pPr>
        <w:spacing w:line="266" w:lineRule="auto"/>
        <w:jc w:val="both"/>
        <w:sectPr w:rsidR="009948F1">
          <w:pgSz w:w="11910" w:h="16840"/>
          <w:pgMar w:top="1400" w:right="1080" w:bottom="1420" w:left="1120" w:header="0" w:footer="1235" w:gutter="0"/>
          <w:cols w:space="720"/>
        </w:sectPr>
      </w:pPr>
    </w:p>
    <w:p w14:paraId="66341311" w14:textId="77777777" w:rsidR="009948F1" w:rsidRDefault="00BC0563">
      <w:pPr>
        <w:pStyle w:val="Heading7"/>
        <w:spacing w:before="39"/>
        <w:ind w:left="160"/>
      </w:pPr>
      <w:bookmarkStart w:id="70" w:name="Page_56"/>
      <w:bookmarkEnd w:id="70"/>
      <w:r>
        <w:rPr>
          <w:color w:val="231F20"/>
        </w:rPr>
        <w:lastRenderedPageBreak/>
        <w:t>Strategic Goal</w:t>
      </w:r>
    </w:p>
    <w:p w14:paraId="76CC54BB" w14:textId="77777777" w:rsidR="009948F1" w:rsidRDefault="00BC0563">
      <w:pPr>
        <w:pStyle w:val="ListParagraph"/>
        <w:numPr>
          <w:ilvl w:val="2"/>
          <w:numId w:val="289"/>
        </w:numPr>
        <w:tabs>
          <w:tab w:val="left" w:pos="698"/>
        </w:tabs>
        <w:spacing w:before="23" w:line="261" w:lineRule="auto"/>
        <w:ind w:right="233" w:firstLine="0"/>
        <w:jc w:val="both"/>
        <w:rPr>
          <w:color w:val="231F20"/>
        </w:rPr>
      </w:pPr>
      <w:r>
        <w:rPr>
          <w:color w:val="231F20"/>
          <w:spacing w:val="-13"/>
        </w:rPr>
        <w:t>To</w:t>
      </w:r>
      <w:r>
        <w:rPr>
          <w:color w:val="231F20"/>
          <w:spacing w:val="-10"/>
        </w:rPr>
        <w:t xml:space="preserve"> </w:t>
      </w:r>
      <w:r>
        <w:rPr>
          <w:color w:val="231F20"/>
        </w:rPr>
        <w:t>improve</w:t>
      </w:r>
      <w:r>
        <w:rPr>
          <w:color w:val="231F20"/>
          <w:spacing w:val="-10"/>
        </w:rPr>
        <w:t xml:space="preserve"> </w:t>
      </w:r>
      <w:r>
        <w:rPr>
          <w:color w:val="231F20"/>
        </w:rPr>
        <w:t>prevention,</w:t>
      </w:r>
      <w:r>
        <w:rPr>
          <w:color w:val="231F20"/>
          <w:spacing w:val="-10"/>
        </w:rPr>
        <w:t xml:space="preserve"> </w:t>
      </w:r>
      <w:r>
        <w:rPr>
          <w:color w:val="231F20"/>
        </w:rPr>
        <w:t>case</w:t>
      </w:r>
      <w:r>
        <w:rPr>
          <w:color w:val="231F20"/>
          <w:spacing w:val="-10"/>
        </w:rPr>
        <w:t xml:space="preserve"> </w:t>
      </w:r>
      <w:r>
        <w:rPr>
          <w:color w:val="231F20"/>
        </w:rPr>
        <w:t>detection</w:t>
      </w:r>
      <w:r>
        <w:rPr>
          <w:color w:val="231F20"/>
          <w:spacing w:val="-10"/>
        </w:rPr>
        <w:t xml:space="preserve"> </w:t>
      </w:r>
      <w:r>
        <w:rPr>
          <w:color w:val="231F20"/>
        </w:rPr>
        <w:t>and</w:t>
      </w:r>
      <w:r>
        <w:rPr>
          <w:color w:val="231F20"/>
          <w:spacing w:val="-10"/>
        </w:rPr>
        <w:t xml:space="preserve"> </w:t>
      </w:r>
      <w:r>
        <w:rPr>
          <w:color w:val="231F20"/>
        </w:rPr>
        <w:t>coordinated</w:t>
      </w:r>
      <w:r>
        <w:rPr>
          <w:color w:val="231F20"/>
          <w:spacing w:val="-10"/>
        </w:rPr>
        <w:t xml:space="preserve"> </w:t>
      </w:r>
      <w:r>
        <w:rPr>
          <w:color w:val="231F20"/>
        </w:rPr>
        <w:t>response</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prevention,</w:t>
      </w:r>
      <w:r>
        <w:rPr>
          <w:color w:val="231F20"/>
          <w:spacing w:val="-10"/>
        </w:rPr>
        <w:t xml:space="preserve"> </w:t>
      </w:r>
      <w:r>
        <w:rPr>
          <w:color w:val="231F20"/>
        </w:rPr>
        <w:t>control and</w:t>
      </w:r>
      <w:r>
        <w:rPr>
          <w:color w:val="231F20"/>
          <w:spacing w:val="-25"/>
        </w:rPr>
        <w:t xml:space="preserve"> </w:t>
      </w:r>
      <w:r>
        <w:rPr>
          <w:color w:val="231F20"/>
        </w:rPr>
        <w:t>management</w:t>
      </w:r>
      <w:r>
        <w:rPr>
          <w:color w:val="231F20"/>
          <w:spacing w:val="-26"/>
        </w:rPr>
        <w:t xml:space="preserve"> </w:t>
      </w:r>
      <w:r>
        <w:rPr>
          <w:color w:val="231F20"/>
        </w:rPr>
        <w:t>of</w:t>
      </w:r>
      <w:r>
        <w:rPr>
          <w:color w:val="231F20"/>
          <w:spacing w:val="-25"/>
        </w:rPr>
        <w:t xml:space="preserve"> </w:t>
      </w:r>
      <w:r>
        <w:rPr>
          <w:color w:val="231F20"/>
        </w:rPr>
        <w:t>communicable</w:t>
      </w:r>
      <w:r>
        <w:rPr>
          <w:color w:val="231F20"/>
          <w:spacing w:val="-25"/>
        </w:rPr>
        <w:t xml:space="preserve"> </w:t>
      </w:r>
      <w:r>
        <w:rPr>
          <w:color w:val="231F20"/>
        </w:rPr>
        <w:t>diseases</w:t>
      </w:r>
      <w:r>
        <w:rPr>
          <w:color w:val="231F20"/>
          <w:spacing w:val="-25"/>
        </w:rPr>
        <w:t xml:space="preserve"> </w:t>
      </w:r>
      <w:r>
        <w:rPr>
          <w:color w:val="231F20"/>
        </w:rPr>
        <w:t>and</w:t>
      </w:r>
      <w:r>
        <w:rPr>
          <w:color w:val="231F20"/>
          <w:spacing w:val="-25"/>
        </w:rPr>
        <w:t xml:space="preserve"> </w:t>
      </w:r>
      <w:r>
        <w:rPr>
          <w:color w:val="231F20"/>
        </w:rPr>
        <w:t>NTDs.</w:t>
      </w:r>
    </w:p>
    <w:p w14:paraId="17DB8245" w14:textId="77777777" w:rsidR="009948F1" w:rsidRDefault="009948F1">
      <w:pPr>
        <w:pStyle w:val="BodyText"/>
        <w:spacing w:before="8"/>
        <w:rPr>
          <w:sz w:val="19"/>
        </w:rPr>
      </w:pPr>
    </w:p>
    <w:p w14:paraId="5B21601D" w14:textId="77777777" w:rsidR="009948F1" w:rsidRDefault="00BC0563">
      <w:pPr>
        <w:pStyle w:val="Heading7"/>
        <w:ind w:left="451"/>
      </w:pPr>
      <w:r>
        <w:rPr>
          <w:color w:val="231F20"/>
        </w:rPr>
        <w:t>Strategic objectives</w:t>
      </w:r>
    </w:p>
    <w:p w14:paraId="2A712A94" w14:textId="77777777" w:rsidR="009948F1" w:rsidRDefault="00BC0563">
      <w:pPr>
        <w:pStyle w:val="ListParagraph"/>
        <w:numPr>
          <w:ilvl w:val="2"/>
          <w:numId w:val="289"/>
        </w:numPr>
        <w:tabs>
          <w:tab w:val="left" w:pos="1002"/>
        </w:tabs>
        <w:spacing w:before="40" w:line="280" w:lineRule="auto"/>
        <w:ind w:left="451" w:right="516" w:firstLine="0"/>
        <w:jc w:val="left"/>
        <w:rPr>
          <w:b/>
          <w:color w:val="231F20"/>
        </w:rPr>
      </w:pPr>
      <w:r>
        <w:rPr>
          <w:b/>
          <w:color w:val="231F20"/>
        </w:rPr>
        <w:t>Reduce significantly morbidity and mortality due to malaria and move towards pre-elimination</w:t>
      </w:r>
      <w:r>
        <w:rPr>
          <w:b/>
          <w:color w:val="231F20"/>
          <w:spacing w:val="-2"/>
        </w:rPr>
        <w:t xml:space="preserve"> </w:t>
      </w:r>
      <w:r>
        <w:rPr>
          <w:b/>
          <w:color w:val="231F20"/>
        </w:rPr>
        <w:t>levels.</w:t>
      </w:r>
    </w:p>
    <w:tbl>
      <w:tblPr>
        <w:tblW w:w="0" w:type="auto"/>
        <w:tblInd w:w="1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07"/>
        <w:gridCol w:w="1235"/>
        <w:gridCol w:w="822"/>
        <w:gridCol w:w="827"/>
        <w:gridCol w:w="822"/>
        <w:gridCol w:w="963"/>
        <w:gridCol w:w="1049"/>
        <w:gridCol w:w="1051"/>
      </w:tblGrid>
      <w:tr w:rsidR="009948F1" w14:paraId="3AB04B42" w14:textId="77777777">
        <w:trPr>
          <w:trHeight w:val="207"/>
        </w:trPr>
        <w:tc>
          <w:tcPr>
            <w:tcW w:w="2607" w:type="dxa"/>
            <w:shd w:val="clear" w:color="auto" w:fill="F6ADCD"/>
          </w:tcPr>
          <w:p w14:paraId="527B34C6" w14:textId="77777777" w:rsidR="009948F1" w:rsidRDefault="00BC0563">
            <w:pPr>
              <w:pStyle w:val="TableParagraph"/>
              <w:spacing w:line="187" w:lineRule="exact"/>
              <w:ind w:left="112"/>
              <w:rPr>
                <w:sz w:val="18"/>
              </w:rPr>
            </w:pPr>
            <w:r>
              <w:rPr>
                <w:color w:val="231F20"/>
                <w:sz w:val="18"/>
              </w:rPr>
              <w:t>Targets</w:t>
            </w:r>
          </w:p>
        </w:tc>
        <w:tc>
          <w:tcPr>
            <w:tcW w:w="1235" w:type="dxa"/>
            <w:shd w:val="clear" w:color="auto" w:fill="F6ADCD"/>
          </w:tcPr>
          <w:p w14:paraId="5BA474EF" w14:textId="77777777" w:rsidR="009948F1" w:rsidRDefault="00BC0563">
            <w:pPr>
              <w:pStyle w:val="TableParagraph"/>
              <w:spacing w:line="187" w:lineRule="exact"/>
              <w:ind w:left="109"/>
              <w:rPr>
                <w:sz w:val="18"/>
              </w:rPr>
            </w:pPr>
            <w:r>
              <w:rPr>
                <w:color w:val="231F20"/>
                <w:sz w:val="18"/>
              </w:rPr>
              <w:t>Baseline</w:t>
            </w:r>
          </w:p>
        </w:tc>
        <w:tc>
          <w:tcPr>
            <w:tcW w:w="822" w:type="dxa"/>
            <w:shd w:val="clear" w:color="auto" w:fill="F6ADCD"/>
          </w:tcPr>
          <w:p w14:paraId="4F26C8F8" w14:textId="77777777" w:rsidR="009948F1" w:rsidRDefault="00BC0563">
            <w:pPr>
              <w:pStyle w:val="TableParagraph"/>
              <w:spacing w:line="188" w:lineRule="exact"/>
              <w:ind w:left="112"/>
              <w:rPr>
                <w:b/>
                <w:sz w:val="18"/>
              </w:rPr>
            </w:pPr>
            <w:r>
              <w:rPr>
                <w:b/>
                <w:color w:val="231F20"/>
                <w:sz w:val="18"/>
              </w:rPr>
              <w:t>2018</w:t>
            </w:r>
          </w:p>
        </w:tc>
        <w:tc>
          <w:tcPr>
            <w:tcW w:w="827" w:type="dxa"/>
            <w:shd w:val="clear" w:color="auto" w:fill="F6ADCD"/>
          </w:tcPr>
          <w:p w14:paraId="1DF8AB43" w14:textId="77777777" w:rsidR="009948F1" w:rsidRDefault="00BC0563">
            <w:pPr>
              <w:pStyle w:val="TableParagraph"/>
              <w:spacing w:line="188" w:lineRule="exact"/>
              <w:ind w:left="112"/>
              <w:rPr>
                <w:b/>
                <w:sz w:val="18"/>
              </w:rPr>
            </w:pPr>
            <w:r>
              <w:rPr>
                <w:b/>
                <w:color w:val="231F20"/>
                <w:sz w:val="18"/>
              </w:rPr>
              <w:t>2019</w:t>
            </w:r>
          </w:p>
        </w:tc>
        <w:tc>
          <w:tcPr>
            <w:tcW w:w="822" w:type="dxa"/>
            <w:shd w:val="clear" w:color="auto" w:fill="F6ADCD"/>
          </w:tcPr>
          <w:p w14:paraId="67CEE2A8" w14:textId="77777777" w:rsidR="009948F1" w:rsidRDefault="00BC0563">
            <w:pPr>
              <w:pStyle w:val="TableParagraph"/>
              <w:spacing w:line="188" w:lineRule="exact"/>
              <w:ind w:left="112"/>
              <w:rPr>
                <w:b/>
                <w:sz w:val="18"/>
              </w:rPr>
            </w:pPr>
            <w:r>
              <w:rPr>
                <w:b/>
                <w:color w:val="231F20"/>
                <w:sz w:val="18"/>
              </w:rPr>
              <w:t>2020</w:t>
            </w:r>
          </w:p>
        </w:tc>
        <w:tc>
          <w:tcPr>
            <w:tcW w:w="963" w:type="dxa"/>
            <w:shd w:val="clear" w:color="auto" w:fill="F6ADCD"/>
          </w:tcPr>
          <w:p w14:paraId="06DA4584" w14:textId="77777777" w:rsidR="009948F1" w:rsidRDefault="00BC0563">
            <w:pPr>
              <w:pStyle w:val="TableParagraph"/>
              <w:spacing w:line="188" w:lineRule="exact"/>
              <w:ind w:left="112"/>
              <w:rPr>
                <w:b/>
                <w:sz w:val="18"/>
              </w:rPr>
            </w:pPr>
            <w:r>
              <w:rPr>
                <w:b/>
                <w:color w:val="231F20"/>
                <w:sz w:val="18"/>
              </w:rPr>
              <w:t>2021</w:t>
            </w:r>
          </w:p>
        </w:tc>
        <w:tc>
          <w:tcPr>
            <w:tcW w:w="1049" w:type="dxa"/>
            <w:shd w:val="clear" w:color="auto" w:fill="F6ADCD"/>
          </w:tcPr>
          <w:p w14:paraId="7EA97D71" w14:textId="77777777" w:rsidR="009948F1" w:rsidRDefault="00BC0563">
            <w:pPr>
              <w:pStyle w:val="TableParagraph"/>
              <w:spacing w:line="188" w:lineRule="exact"/>
              <w:ind w:left="113"/>
              <w:rPr>
                <w:b/>
                <w:sz w:val="18"/>
              </w:rPr>
            </w:pPr>
            <w:r>
              <w:rPr>
                <w:b/>
                <w:color w:val="231F20"/>
                <w:sz w:val="18"/>
              </w:rPr>
              <w:t>2022</w:t>
            </w:r>
          </w:p>
        </w:tc>
        <w:tc>
          <w:tcPr>
            <w:tcW w:w="1051" w:type="dxa"/>
            <w:shd w:val="clear" w:color="auto" w:fill="F6ADCD"/>
          </w:tcPr>
          <w:p w14:paraId="473E437F" w14:textId="77777777" w:rsidR="009948F1" w:rsidRDefault="00BC0563">
            <w:pPr>
              <w:pStyle w:val="TableParagraph"/>
              <w:spacing w:line="188" w:lineRule="exact"/>
              <w:ind w:left="113"/>
              <w:rPr>
                <w:b/>
                <w:sz w:val="18"/>
              </w:rPr>
            </w:pPr>
            <w:r>
              <w:rPr>
                <w:b/>
                <w:color w:val="231F20"/>
                <w:sz w:val="18"/>
              </w:rPr>
              <w:t>National</w:t>
            </w:r>
          </w:p>
        </w:tc>
      </w:tr>
      <w:tr w:rsidR="009948F1" w14:paraId="64C70FC7" w14:textId="77777777">
        <w:trPr>
          <w:trHeight w:val="834"/>
        </w:trPr>
        <w:tc>
          <w:tcPr>
            <w:tcW w:w="2607" w:type="dxa"/>
            <w:tcBorders>
              <w:left w:val="single" w:sz="8" w:space="0" w:color="231F20"/>
              <w:bottom w:val="single" w:sz="8" w:space="0" w:color="231F20"/>
              <w:right w:val="single" w:sz="8" w:space="0" w:color="231F20"/>
            </w:tcBorders>
          </w:tcPr>
          <w:p w14:paraId="184400F0" w14:textId="45789DE4" w:rsidR="009948F1" w:rsidRDefault="007A04B2">
            <w:pPr>
              <w:pStyle w:val="TableParagraph"/>
              <w:spacing w:line="242" w:lineRule="auto"/>
              <w:ind w:left="107"/>
              <w:rPr>
                <w:sz w:val="18"/>
              </w:rPr>
            </w:pPr>
            <w:r>
              <w:rPr>
                <w:color w:val="231F20"/>
                <w:sz w:val="18"/>
              </w:rPr>
              <w:t>% of children with su</w:t>
            </w:r>
            <w:r w:rsidR="00BC0563">
              <w:rPr>
                <w:color w:val="231F20"/>
                <w:sz w:val="18"/>
              </w:rPr>
              <w:t xml:space="preserve">spected malaria tested with </w:t>
            </w:r>
            <w:proofErr w:type="spellStart"/>
            <w:r w:rsidR="00BC0563">
              <w:rPr>
                <w:color w:val="231F20"/>
                <w:sz w:val="18"/>
              </w:rPr>
              <w:t>mRDT</w:t>
            </w:r>
            <w:proofErr w:type="spellEnd"/>
            <w:r w:rsidR="00BC0563">
              <w:rPr>
                <w:color w:val="231F20"/>
                <w:sz w:val="18"/>
              </w:rPr>
              <w:t xml:space="preserve"> or microscopy increased from</w:t>
            </w:r>
          </w:p>
          <w:p w14:paraId="03E4C87D" w14:textId="77777777" w:rsidR="009948F1" w:rsidRDefault="00BC0563">
            <w:pPr>
              <w:pStyle w:val="TableParagraph"/>
              <w:spacing w:line="187" w:lineRule="exact"/>
              <w:ind w:left="107"/>
              <w:rPr>
                <w:sz w:val="18"/>
              </w:rPr>
            </w:pPr>
            <w:r>
              <w:rPr>
                <w:color w:val="231F20"/>
                <w:sz w:val="18"/>
              </w:rPr>
              <w:t>55% to 75%</w:t>
            </w:r>
          </w:p>
        </w:tc>
        <w:tc>
          <w:tcPr>
            <w:tcW w:w="1235" w:type="dxa"/>
            <w:tcBorders>
              <w:left w:val="single" w:sz="8" w:space="0" w:color="231F20"/>
              <w:bottom w:val="single" w:sz="8" w:space="0" w:color="231F20"/>
              <w:right w:val="single" w:sz="8" w:space="0" w:color="231F20"/>
            </w:tcBorders>
          </w:tcPr>
          <w:p w14:paraId="7AEC19F4" w14:textId="77777777" w:rsidR="009948F1" w:rsidRDefault="00BC0563">
            <w:pPr>
              <w:pStyle w:val="TableParagraph"/>
              <w:ind w:left="104"/>
              <w:rPr>
                <w:sz w:val="18"/>
              </w:rPr>
            </w:pPr>
            <w:r>
              <w:rPr>
                <w:color w:val="231F20"/>
                <w:sz w:val="18"/>
              </w:rPr>
              <w:t>TBD</w:t>
            </w:r>
          </w:p>
        </w:tc>
        <w:tc>
          <w:tcPr>
            <w:tcW w:w="822" w:type="dxa"/>
            <w:tcBorders>
              <w:left w:val="single" w:sz="8" w:space="0" w:color="231F20"/>
            </w:tcBorders>
          </w:tcPr>
          <w:p w14:paraId="4EACAED5" w14:textId="77777777" w:rsidR="009948F1" w:rsidRDefault="00BC0563">
            <w:pPr>
              <w:pStyle w:val="TableParagraph"/>
              <w:ind w:left="107"/>
              <w:rPr>
                <w:sz w:val="18"/>
              </w:rPr>
            </w:pPr>
            <w:r>
              <w:rPr>
                <w:color w:val="231F20"/>
                <w:sz w:val="18"/>
              </w:rPr>
              <w:t>55%</w:t>
            </w:r>
          </w:p>
        </w:tc>
        <w:tc>
          <w:tcPr>
            <w:tcW w:w="827" w:type="dxa"/>
          </w:tcPr>
          <w:p w14:paraId="51BC11B2" w14:textId="77777777" w:rsidR="009948F1" w:rsidRDefault="00BC0563">
            <w:pPr>
              <w:pStyle w:val="TableParagraph"/>
              <w:ind w:left="112"/>
              <w:rPr>
                <w:sz w:val="18"/>
              </w:rPr>
            </w:pPr>
            <w:r>
              <w:rPr>
                <w:color w:val="231F20"/>
                <w:sz w:val="18"/>
              </w:rPr>
              <w:t>60%</w:t>
            </w:r>
          </w:p>
        </w:tc>
        <w:tc>
          <w:tcPr>
            <w:tcW w:w="822" w:type="dxa"/>
          </w:tcPr>
          <w:p w14:paraId="36FFBE38" w14:textId="77777777" w:rsidR="009948F1" w:rsidRDefault="00BC0563">
            <w:pPr>
              <w:pStyle w:val="TableParagraph"/>
              <w:ind w:left="112"/>
              <w:rPr>
                <w:sz w:val="18"/>
              </w:rPr>
            </w:pPr>
            <w:r>
              <w:rPr>
                <w:color w:val="231F20"/>
                <w:sz w:val="18"/>
              </w:rPr>
              <w:t>65%</w:t>
            </w:r>
          </w:p>
        </w:tc>
        <w:tc>
          <w:tcPr>
            <w:tcW w:w="963" w:type="dxa"/>
          </w:tcPr>
          <w:p w14:paraId="0C313B0C" w14:textId="77777777" w:rsidR="009948F1" w:rsidRDefault="00BC0563">
            <w:pPr>
              <w:pStyle w:val="TableParagraph"/>
              <w:ind w:left="112"/>
              <w:rPr>
                <w:sz w:val="18"/>
              </w:rPr>
            </w:pPr>
            <w:r>
              <w:rPr>
                <w:color w:val="231F20"/>
                <w:sz w:val="18"/>
              </w:rPr>
              <w:t>70%</w:t>
            </w:r>
          </w:p>
        </w:tc>
        <w:tc>
          <w:tcPr>
            <w:tcW w:w="1049" w:type="dxa"/>
          </w:tcPr>
          <w:p w14:paraId="57B2E086" w14:textId="77777777" w:rsidR="009948F1" w:rsidRDefault="00BC0563">
            <w:pPr>
              <w:pStyle w:val="TableParagraph"/>
              <w:ind w:left="113"/>
              <w:rPr>
                <w:sz w:val="18"/>
              </w:rPr>
            </w:pPr>
            <w:r>
              <w:rPr>
                <w:color w:val="231F20"/>
                <w:sz w:val="18"/>
              </w:rPr>
              <w:t>75%</w:t>
            </w:r>
          </w:p>
        </w:tc>
        <w:tc>
          <w:tcPr>
            <w:tcW w:w="1051" w:type="dxa"/>
          </w:tcPr>
          <w:p w14:paraId="045C521F" w14:textId="77777777" w:rsidR="009948F1" w:rsidRDefault="00BC0563">
            <w:pPr>
              <w:pStyle w:val="TableParagraph"/>
              <w:ind w:left="113"/>
              <w:rPr>
                <w:sz w:val="18"/>
              </w:rPr>
            </w:pPr>
            <w:r>
              <w:rPr>
                <w:color w:val="231F20"/>
                <w:sz w:val="18"/>
              </w:rPr>
              <w:t>80%</w:t>
            </w:r>
          </w:p>
        </w:tc>
      </w:tr>
      <w:tr w:rsidR="009948F1" w14:paraId="50A06EAE" w14:textId="77777777">
        <w:trPr>
          <w:trHeight w:val="836"/>
        </w:trPr>
        <w:tc>
          <w:tcPr>
            <w:tcW w:w="2607" w:type="dxa"/>
            <w:tcBorders>
              <w:top w:val="single" w:sz="8" w:space="0" w:color="231F20"/>
              <w:left w:val="single" w:sz="8" w:space="0" w:color="231F20"/>
              <w:bottom w:val="single" w:sz="8" w:space="0" w:color="231F20"/>
              <w:right w:val="single" w:sz="8" w:space="0" w:color="231F20"/>
            </w:tcBorders>
          </w:tcPr>
          <w:p w14:paraId="43B53F0D" w14:textId="77777777" w:rsidR="009948F1" w:rsidRDefault="00BC0563">
            <w:pPr>
              <w:pStyle w:val="TableParagraph"/>
              <w:spacing w:line="210" w:lineRule="atLeast"/>
              <w:ind w:left="107" w:right="28"/>
              <w:rPr>
                <w:sz w:val="18"/>
              </w:rPr>
            </w:pPr>
            <w:r>
              <w:rPr>
                <w:color w:val="231F20"/>
                <w:sz w:val="18"/>
              </w:rPr>
              <w:t xml:space="preserve">Prevalence of malaria in children under -five reduced from 13% to 8% (80% reduction based on </w:t>
            </w:r>
            <w:proofErr w:type="spellStart"/>
            <w:r>
              <w:rPr>
                <w:color w:val="231F20"/>
                <w:sz w:val="18"/>
              </w:rPr>
              <w:t>mRDT</w:t>
            </w:r>
            <w:proofErr w:type="spellEnd"/>
            <w:r>
              <w:rPr>
                <w:color w:val="231F20"/>
                <w:sz w:val="18"/>
              </w:rPr>
              <w:t>)</w:t>
            </w:r>
          </w:p>
        </w:tc>
        <w:tc>
          <w:tcPr>
            <w:tcW w:w="1235" w:type="dxa"/>
            <w:tcBorders>
              <w:top w:val="single" w:sz="8" w:space="0" w:color="231F20"/>
              <w:left w:val="single" w:sz="8" w:space="0" w:color="231F20"/>
              <w:bottom w:val="single" w:sz="8" w:space="0" w:color="231F20"/>
              <w:right w:val="single" w:sz="8" w:space="0" w:color="231F20"/>
            </w:tcBorders>
          </w:tcPr>
          <w:p w14:paraId="1B40B5EF" w14:textId="77777777" w:rsidR="009948F1" w:rsidRDefault="00BC0563">
            <w:pPr>
              <w:pStyle w:val="TableParagraph"/>
              <w:spacing w:before="2"/>
              <w:ind w:left="104"/>
              <w:rPr>
                <w:sz w:val="18"/>
              </w:rPr>
            </w:pPr>
            <w:r>
              <w:rPr>
                <w:color w:val="231F20"/>
                <w:sz w:val="18"/>
              </w:rPr>
              <w:t>13%</w:t>
            </w:r>
          </w:p>
        </w:tc>
        <w:tc>
          <w:tcPr>
            <w:tcW w:w="822" w:type="dxa"/>
            <w:tcBorders>
              <w:left w:val="single" w:sz="8" w:space="0" w:color="231F20"/>
            </w:tcBorders>
          </w:tcPr>
          <w:p w14:paraId="1C904DFE" w14:textId="77777777" w:rsidR="009948F1" w:rsidRDefault="00BC0563">
            <w:pPr>
              <w:pStyle w:val="TableParagraph"/>
              <w:spacing w:before="2"/>
              <w:ind w:left="107"/>
              <w:rPr>
                <w:sz w:val="18"/>
              </w:rPr>
            </w:pPr>
            <w:r>
              <w:rPr>
                <w:color w:val="231F20"/>
                <w:sz w:val="18"/>
              </w:rPr>
              <w:t>12%</w:t>
            </w:r>
          </w:p>
        </w:tc>
        <w:tc>
          <w:tcPr>
            <w:tcW w:w="827" w:type="dxa"/>
          </w:tcPr>
          <w:p w14:paraId="670CDDA4" w14:textId="77777777" w:rsidR="009948F1" w:rsidRDefault="00BC0563">
            <w:pPr>
              <w:pStyle w:val="TableParagraph"/>
              <w:spacing w:before="2"/>
              <w:ind w:left="112"/>
              <w:rPr>
                <w:sz w:val="18"/>
              </w:rPr>
            </w:pPr>
            <w:r>
              <w:rPr>
                <w:color w:val="231F20"/>
                <w:sz w:val="18"/>
              </w:rPr>
              <w:t>11%</w:t>
            </w:r>
          </w:p>
        </w:tc>
        <w:tc>
          <w:tcPr>
            <w:tcW w:w="822" w:type="dxa"/>
          </w:tcPr>
          <w:p w14:paraId="739FCAA5" w14:textId="77777777" w:rsidR="009948F1" w:rsidRDefault="00BC0563">
            <w:pPr>
              <w:pStyle w:val="TableParagraph"/>
              <w:spacing w:before="2"/>
              <w:ind w:left="112"/>
              <w:rPr>
                <w:sz w:val="18"/>
              </w:rPr>
            </w:pPr>
            <w:r>
              <w:rPr>
                <w:color w:val="231F20"/>
                <w:sz w:val="18"/>
              </w:rPr>
              <w:t>10%</w:t>
            </w:r>
          </w:p>
        </w:tc>
        <w:tc>
          <w:tcPr>
            <w:tcW w:w="963" w:type="dxa"/>
          </w:tcPr>
          <w:p w14:paraId="542E15A0" w14:textId="77777777" w:rsidR="009948F1" w:rsidRDefault="00BC0563">
            <w:pPr>
              <w:pStyle w:val="TableParagraph"/>
              <w:spacing w:before="2"/>
              <w:ind w:left="112"/>
              <w:rPr>
                <w:sz w:val="18"/>
              </w:rPr>
            </w:pPr>
            <w:r>
              <w:rPr>
                <w:color w:val="231F20"/>
                <w:sz w:val="18"/>
              </w:rPr>
              <w:t>9%</w:t>
            </w:r>
          </w:p>
        </w:tc>
        <w:tc>
          <w:tcPr>
            <w:tcW w:w="1049" w:type="dxa"/>
          </w:tcPr>
          <w:p w14:paraId="0700745E" w14:textId="77777777" w:rsidR="009948F1" w:rsidRDefault="00BC0563">
            <w:pPr>
              <w:pStyle w:val="TableParagraph"/>
              <w:spacing w:before="2"/>
              <w:ind w:left="113"/>
              <w:rPr>
                <w:sz w:val="18"/>
              </w:rPr>
            </w:pPr>
            <w:r>
              <w:rPr>
                <w:color w:val="231F20"/>
                <w:sz w:val="18"/>
              </w:rPr>
              <w:t>8%</w:t>
            </w:r>
          </w:p>
        </w:tc>
        <w:tc>
          <w:tcPr>
            <w:tcW w:w="1051" w:type="dxa"/>
          </w:tcPr>
          <w:p w14:paraId="377CFA70" w14:textId="77777777" w:rsidR="009948F1" w:rsidRDefault="00BC0563">
            <w:pPr>
              <w:pStyle w:val="TableParagraph"/>
              <w:spacing w:before="2"/>
              <w:ind w:left="113"/>
              <w:rPr>
                <w:sz w:val="18"/>
              </w:rPr>
            </w:pPr>
            <w:r>
              <w:rPr>
                <w:color w:val="231F20"/>
                <w:sz w:val="18"/>
              </w:rPr>
              <w:t>9%</w:t>
            </w:r>
          </w:p>
        </w:tc>
      </w:tr>
      <w:tr w:rsidR="009948F1" w14:paraId="7C94FCAC" w14:textId="77777777">
        <w:trPr>
          <w:trHeight w:val="623"/>
        </w:trPr>
        <w:tc>
          <w:tcPr>
            <w:tcW w:w="2607" w:type="dxa"/>
            <w:tcBorders>
              <w:top w:val="single" w:sz="8" w:space="0" w:color="231F20"/>
              <w:left w:val="single" w:sz="8" w:space="0" w:color="231F20"/>
              <w:bottom w:val="single" w:sz="8" w:space="0" w:color="231F20"/>
              <w:right w:val="single" w:sz="8" w:space="0" w:color="231F20"/>
            </w:tcBorders>
          </w:tcPr>
          <w:p w14:paraId="35C2FACE" w14:textId="77777777" w:rsidR="009948F1" w:rsidRDefault="00BC0563">
            <w:pPr>
              <w:pStyle w:val="TableParagraph"/>
              <w:spacing w:line="242" w:lineRule="auto"/>
              <w:ind w:left="107" w:firstLine="50"/>
              <w:rPr>
                <w:sz w:val="18"/>
              </w:rPr>
            </w:pPr>
            <w:r>
              <w:rPr>
                <w:color w:val="231F20"/>
                <w:sz w:val="18"/>
              </w:rPr>
              <w:t>% of children &lt;5yrs sleeping under an ITN increased from</w:t>
            </w:r>
          </w:p>
          <w:p w14:paraId="141C7267" w14:textId="77777777" w:rsidR="009948F1" w:rsidRDefault="00BC0563">
            <w:pPr>
              <w:pStyle w:val="TableParagraph"/>
              <w:spacing w:line="188" w:lineRule="exact"/>
              <w:ind w:left="107"/>
              <w:rPr>
                <w:sz w:val="18"/>
              </w:rPr>
            </w:pPr>
            <w:r>
              <w:rPr>
                <w:color w:val="231F20"/>
                <w:sz w:val="18"/>
              </w:rPr>
              <w:t>29.5% to 50%</w:t>
            </w:r>
          </w:p>
        </w:tc>
        <w:tc>
          <w:tcPr>
            <w:tcW w:w="1235" w:type="dxa"/>
            <w:tcBorders>
              <w:top w:val="single" w:sz="8" w:space="0" w:color="231F20"/>
              <w:left w:val="single" w:sz="8" w:space="0" w:color="231F20"/>
              <w:bottom w:val="single" w:sz="8" w:space="0" w:color="231F20"/>
              <w:right w:val="single" w:sz="8" w:space="0" w:color="231F20"/>
            </w:tcBorders>
          </w:tcPr>
          <w:p w14:paraId="225D8A6C" w14:textId="77777777" w:rsidR="009948F1" w:rsidRDefault="00BC0563">
            <w:pPr>
              <w:pStyle w:val="TableParagraph"/>
              <w:spacing w:line="204" w:lineRule="exact"/>
              <w:ind w:left="104"/>
              <w:rPr>
                <w:sz w:val="18"/>
              </w:rPr>
            </w:pPr>
            <w:r>
              <w:rPr>
                <w:color w:val="231F20"/>
                <w:sz w:val="18"/>
              </w:rPr>
              <w:t>29.5%</w:t>
            </w:r>
          </w:p>
        </w:tc>
        <w:tc>
          <w:tcPr>
            <w:tcW w:w="822" w:type="dxa"/>
            <w:tcBorders>
              <w:left w:val="single" w:sz="8" w:space="0" w:color="231F20"/>
            </w:tcBorders>
          </w:tcPr>
          <w:p w14:paraId="79942321" w14:textId="77777777" w:rsidR="009948F1" w:rsidRDefault="00BC0563">
            <w:pPr>
              <w:pStyle w:val="TableParagraph"/>
              <w:spacing w:line="204" w:lineRule="exact"/>
              <w:ind w:left="107"/>
              <w:rPr>
                <w:sz w:val="18"/>
              </w:rPr>
            </w:pPr>
            <w:r>
              <w:rPr>
                <w:color w:val="231F20"/>
                <w:sz w:val="18"/>
              </w:rPr>
              <w:t>30%</w:t>
            </w:r>
          </w:p>
        </w:tc>
        <w:tc>
          <w:tcPr>
            <w:tcW w:w="827" w:type="dxa"/>
          </w:tcPr>
          <w:p w14:paraId="43149748" w14:textId="77777777" w:rsidR="009948F1" w:rsidRDefault="00BC0563">
            <w:pPr>
              <w:pStyle w:val="TableParagraph"/>
              <w:spacing w:line="204" w:lineRule="exact"/>
              <w:ind w:left="112"/>
              <w:rPr>
                <w:sz w:val="18"/>
              </w:rPr>
            </w:pPr>
            <w:r>
              <w:rPr>
                <w:color w:val="231F20"/>
                <w:sz w:val="18"/>
              </w:rPr>
              <w:t>35%</w:t>
            </w:r>
          </w:p>
        </w:tc>
        <w:tc>
          <w:tcPr>
            <w:tcW w:w="822" w:type="dxa"/>
          </w:tcPr>
          <w:p w14:paraId="07FC8D63" w14:textId="77777777" w:rsidR="009948F1" w:rsidRDefault="00BC0563">
            <w:pPr>
              <w:pStyle w:val="TableParagraph"/>
              <w:spacing w:line="204" w:lineRule="exact"/>
              <w:ind w:left="112"/>
              <w:rPr>
                <w:sz w:val="18"/>
              </w:rPr>
            </w:pPr>
            <w:r>
              <w:rPr>
                <w:color w:val="231F20"/>
                <w:sz w:val="18"/>
              </w:rPr>
              <w:t>40%</w:t>
            </w:r>
          </w:p>
        </w:tc>
        <w:tc>
          <w:tcPr>
            <w:tcW w:w="963" w:type="dxa"/>
          </w:tcPr>
          <w:p w14:paraId="7EC8B579" w14:textId="77777777" w:rsidR="009948F1" w:rsidRDefault="00BC0563">
            <w:pPr>
              <w:pStyle w:val="TableParagraph"/>
              <w:spacing w:line="204" w:lineRule="exact"/>
              <w:ind w:left="112"/>
              <w:rPr>
                <w:sz w:val="18"/>
              </w:rPr>
            </w:pPr>
            <w:r>
              <w:rPr>
                <w:color w:val="231F20"/>
                <w:sz w:val="18"/>
              </w:rPr>
              <w:t>45%</w:t>
            </w:r>
          </w:p>
        </w:tc>
        <w:tc>
          <w:tcPr>
            <w:tcW w:w="1049" w:type="dxa"/>
          </w:tcPr>
          <w:p w14:paraId="74E6F118" w14:textId="77777777" w:rsidR="009948F1" w:rsidRDefault="00BC0563">
            <w:pPr>
              <w:pStyle w:val="TableParagraph"/>
              <w:spacing w:line="204" w:lineRule="exact"/>
              <w:ind w:left="113"/>
              <w:rPr>
                <w:sz w:val="18"/>
              </w:rPr>
            </w:pPr>
            <w:r>
              <w:rPr>
                <w:color w:val="231F20"/>
                <w:sz w:val="18"/>
              </w:rPr>
              <w:t>50%</w:t>
            </w:r>
          </w:p>
        </w:tc>
        <w:tc>
          <w:tcPr>
            <w:tcW w:w="1051" w:type="dxa"/>
          </w:tcPr>
          <w:p w14:paraId="5ABC1596" w14:textId="77777777" w:rsidR="009948F1" w:rsidRDefault="00BC0563">
            <w:pPr>
              <w:pStyle w:val="TableParagraph"/>
              <w:spacing w:line="204" w:lineRule="exact"/>
              <w:ind w:left="113"/>
              <w:rPr>
                <w:sz w:val="18"/>
              </w:rPr>
            </w:pPr>
            <w:r>
              <w:rPr>
                <w:color w:val="231F20"/>
                <w:sz w:val="18"/>
              </w:rPr>
              <w:t>80%</w:t>
            </w:r>
          </w:p>
        </w:tc>
      </w:tr>
      <w:tr w:rsidR="009948F1" w14:paraId="14CB593A" w14:textId="77777777">
        <w:trPr>
          <w:trHeight w:val="626"/>
        </w:trPr>
        <w:tc>
          <w:tcPr>
            <w:tcW w:w="2607" w:type="dxa"/>
            <w:tcBorders>
              <w:top w:val="single" w:sz="8" w:space="0" w:color="231F20"/>
              <w:left w:val="single" w:sz="8" w:space="0" w:color="231F20"/>
              <w:bottom w:val="single" w:sz="8" w:space="0" w:color="231F20"/>
              <w:right w:val="single" w:sz="8" w:space="0" w:color="231F20"/>
            </w:tcBorders>
          </w:tcPr>
          <w:p w14:paraId="7AAE42E0" w14:textId="77777777" w:rsidR="009948F1" w:rsidRDefault="00BC0563">
            <w:pPr>
              <w:pStyle w:val="TableParagraph"/>
              <w:ind w:left="107" w:right="28" w:firstLine="50"/>
              <w:rPr>
                <w:sz w:val="18"/>
              </w:rPr>
            </w:pPr>
            <w:r>
              <w:rPr>
                <w:color w:val="231F20"/>
                <w:sz w:val="18"/>
              </w:rPr>
              <w:t>% of pregnant women sleeping under an ITN</w:t>
            </w:r>
          </w:p>
          <w:p w14:paraId="0A4876E7" w14:textId="77777777" w:rsidR="009948F1" w:rsidRDefault="00BC0563">
            <w:pPr>
              <w:pStyle w:val="TableParagraph"/>
              <w:spacing w:before="5" w:line="187" w:lineRule="exact"/>
              <w:ind w:left="107"/>
              <w:rPr>
                <w:sz w:val="18"/>
              </w:rPr>
            </w:pPr>
            <w:r>
              <w:rPr>
                <w:color w:val="231F20"/>
                <w:sz w:val="18"/>
              </w:rPr>
              <w:t>increased from 30% to 70%</w:t>
            </w:r>
          </w:p>
        </w:tc>
        <w:tc>
          <w:tcPr>
            <w:tcW w:w="1235" w:type="dxa"/>
            <w:tcBorders>
              <w:top w:val="single" w:sz="8" w:space="0" w:color="231F20"/>
              <w:left w:val="single" w:sz="8" w:space="0" w:color="231F20"/>
              <w:bottom w:val="single" w:sz="8" w:space="0" w:color="231F20"/>
              <w:right w:val="single" w:sz="8" w:space="0" w:color="231F20"/>
            </w:tcBorders>
          </w:tcPr>
          <w:p w14:paraId="19062236" w14:textId="77777777" w:rsidR="009948F1" w:rsidRDefault="00BC0563">
            <w:pPr>
              <w:pStyle w:val="TableParagraph"/>
              <w:ind w:left="104"/>
              <w:rPr>
                <w:sz w:val="18"/>
              </w:rPr>
            </w:pPr>
            <w:r>
              <w:rPr>
                <w:color w:val="231F20"/>
                <w:sz w:val="18"/>
              </w:rPr>
              <w:t>TBD</w:t>
            </w:r>
          </w:p>
        </w:tc>
        <w:tc>
          <w:tcPr>
            <w:tcW w:w="822" w:type="dxa"/>
            <w:tcBorders>
              <w:left w:val="single" w:sz="8" w:space="0" w:color="231F20"/>
            </w:tcBorders>
          </w:tcPr>
          <w:p w14:paraId="1B5B1E21" w14:textId="77777777" w:rsidR="009948F1" w:rsidRDefault="00BC0563">
            <w:pPr>
              <w:pStyle w:val="TableParagraph"/>
              <w:ind w:left="107"/>
              <w:rPr>
                <w:sz w:val="18"/>
              </w:rPr>
            </w:pPr>
            <w:r>
              <w:rPr>
                <w:color w:val="231F20"/>
                <w:sz w:val="18"/>
              </w:rPr>
              <w:t>30%</w:t>
            </w:r>
          </w:p>
        </w:tc>
        <w:tc>
          <w:tcPr>
            <w:tcW w:w="827" w:type="dxa"/>
          </w:tcPr>
          <w:p w14:paraId="119F876C" w14:textId="77777777" w:rsidR="009948F1" w:rsidRDefault="00BC0563">
            <w:pPr>
              <w:pStyle w:val="TableParagraph"/>
              <w:ind w:left="112"/>
              <w:rPr>
                <w:sz w:val="18"/>
              </w:rPr>
            </w:pPr>
            <w:r>
              <w:rPr>
                <w:color w:val="231F20"/>
                <w:sz w:val="18"/>
              </w:rPr>
              <w:t>40%</w:t>
            </w:r>
          </w:p>
        </w:tc>
        <w:tc>
          <w:tcPr>
            <w:tcW w:w="822" w:type="dxa"/>
          </w:tcPr>
          <w:p w14:paraId="301AECE3" w14:textId="77777777" w:rsidR="009948F1" w:rsidRDefault="00BC0563">
            <w:pPr>
              <w:pStyle w:val="TableParagraph"/>
              <w:ind w:left="112"/>
              <w:rPr>
                <w:sz w:val="18"/>
              </w:rPr>
            </w:pPr>
            <w:r>
              <w:rPr>
                <w:color w:val="231F20"/>
                <w:sz w:val="18"/>
              </w:rPr>
              <w:t>50%</w:t>
            </w:r>
          </w:p>
        </w:tc>
        <w:tc>
          <w:tcPr>
            <w:tcW w:w="963" w:type="dxa"/>
          </w:tcPr>
          <w:p w14:paraId="13FE9237" w14:textId="77777777" w:rsidR="009948F1" w:rsidRDefault="00BC0563">
            <w:pPr>
              <w:pStyle w:val="TableParagraph"/>
              <w:ind w:left="112"/>
              <w:rPr>
                <w:sz w:val="18"/>
              </w:rPr>
            </w:pPr>
            <w:r>
              <w:rPr>
                <w:color w:val="231F20"/>
                <w:sz w:val="18"/>
              </w:rPr>
              <w:t>60%</w:t>
            </w:r>
          </w:p>
        </w:tc>
        <w:tc>
          <w:tcPr>
            <w:tcW w:w="1049" w:type="dxa"/>
          </w:tcPr>
          <w:p w14:paraId="283C01FA" w14:textId="77777777" w:rsidR="009948F1" w:rsidRDefault="00BC0563">
            <w:pPr>
              <w:pStyle w:val="TableParagraph"/>
              <w:ind w:left="113"/>
              <w:rPr>
                <w:sz w:val="18"/>
              </w:rPr>
            </w:pPr>
            <w:r>
              <w:rPr>
                <w:color w:val="231F20"/>
                <w:sz w:val="18"/>
              </w:rPr>
              <w:t>70%</w:t>
            </w:r>
          </w:p>
        </w:tc>
        <w:tc>
          <w:tcPr>
            <w:tcW w:w="1051" w:type="dxa"/>
          </w:tcPr>
          <w:p w14:paraId="21249DED" w14:textId="77777777" w:rsidR="009948F1" w:rsidRDefault="00BC0563">
            <w:pPr>
              <w:pStyle w:val="TableParagraph"/>
              <w:ind w:left="113"/>
              <w:rPr>
                <w:sz w:val="18"/>
              </w:rPr>
            </w:pPr>
            <w:r>
              <w:rPr>
                <w:color w:val="231F20"/>
                <w:sz w:val="18"/>
              </w:rPr>
              <w:t>70%</w:t>
            </w:r>
          </w:p>
        </w:tc>
      </w:tr>
      <w:tr w:rsidR="009948F1" w14:paraId="51252FC5" w14:textId="77777777">
        <w:trPr>
          <w:trHeight w:val="418"/>
        </w:trPr>
        <w:tc>
          <w:tcPr>
            <w:tcW w:w="2607" w:type="dxa"/>
            <w:tcBorders>
              <w:top w:val="single" w:sz="8" w:space="0" w:color="231F20"/>
              <w:left w:val="single" w:sz="8" w:space="0" w:color="231F20"/>
              <w:bottom w:val="single" w:sz="8" w:space="0" w:color="231F20"/>
              <w:right w:val="single" w:sz="8" w:space="0" w:color="231F20"/>
            </w:tcBorders>
          </w:tcPr>
          <w:p w14:paraId="582ACE86" w14:textId="77777777" w:rsidR="009948F1" w:rsidRDefault="00BC0563">
            <w:pPr>
              <w:pStyle w:val="TableParagraph"/>
              <w:spacing w:before="2" w:line="208" w:lineRule="exact"/>
              <w:ind w:left="107" w:firstLine="50"/>
              <w:rPr>
                <w:sz w:val="18"/>
              </w:rPr>
            </w:pPr>
            <w:r>
              <w:rPr>
                <w:color w:val="231F20"/>
                <w:sz w:val="18"/>
              </w:rPr>
              <w:t>% of pregnant women who receive IPT from 17% to 60%</w:t>
            </w:r>
          </w:p>
        </w:tc>
        <w:tc>
          <w:tcPr>
            <w:tcW w:w="1235" w:type="dxa"/>
            <w:tcBorders>
              <w:top w:val="single" w:sz="8" w:space="0" w:color="231F20"/>
              <w:left w:val="single" w:sz="8" w:space="0" w:color="231F20"/>
              <w:bottom w:val="single" w:sz="8" w:space="0" w:color="231F20"/>
              <w:right w:val="single" w:sz="8" w:space="0" w:color="231F20"/>
            </w:tcBorders>
          </w:tcPr>
          <w:p w14:paraId="7D41DD51" w14:textId="77777777" w:rsidR="009948F1" w:rsidRDefault="00BC0563">
            <w:pPr>
              <w:pStyle w:val="TableParagraph"/>
              <w:ind w:left="104"/>
              <w:rPr>
                <w:sz w:val="18"/>
              </w:rPr>
            </w:pPr>
            <w:r>
              <w:rPr>
                <w:color w:val="231F20"/>
                <w:sz w:val="18"/>
              </w:rPr>
              <w:t>17%</w:t>
            </w:r>
          </w:p>
        </w:tc>
        <w:tc>
          <w:tcPr>
            <w:tcW w:w="822" w:type="dxa"/>
            <w:tcBorders>
              <w:left w:val="single" w:sz="8" w:space="0" w:color="231F20"/>
            </w:tcBorders>
          </w:tcPr>
          <w:p w14:paraId="62D4692E" w14:textId="77777777" w:rsidR="009948F1" w:rsidRDefault="00BC0563">
            <w:pPr>
              <w:pStyle w:val="TableParagraph"/>
              <w:ind w:left="107"/>
              <w:rPr>
                <w:sz w:val="18"/>
              </w:rPr>
            </w:pPr>
            <w:r>
              <w:rPr>
                <w:color w:val="231F20"/>
                <w:sz w:val="18"/>
              </w:rPr>
              <w:t>20%</w:t>
            </w:r>
          </w:p>
        </w:tc>
        <w:tc>
          <w:tcPr>
            <w:tcW w:w="827" w:type="dxa"/>
          </w:tcPr>
          <w:p w14:paraId="09D3F430" w14:textId="77777777" w:rsidR="009948F1" w:rsidRDefault="00BC0563">
            <w:pPr>
              <w:pStyle w:val="TableParagraph"/>
              <w:ind w:left="112"/>
              <w:rPr>
                <w:sz w:val="18"/>
              </w:rPr>
            </w:pPr>
            <w:r>
              <w:rPr>
                <w:color w:val="231F20"/>
                <w:sz w:val="18"/>
              </w:rPr>
              <w:t>30%</w:t>
            </w:r>
          </w:p>
        </w:tc>
        <w:tc>
          <w:tcPr>
            <w:tcW w:w="822" w:type="dxa"/>
          </w:tcPr>
          <w:p w14:paraId="234B8D30" w14:textId="77777777" w:rsidR="009948F1" w:rsidRDefault="00BC0563">
            <w:pPr>
              <w:pStyle w:val="TableParagraph"/>
              <w:ind w:left="112"/>
              <w:rPr>
                <w:sz w:val="18"/>
              </w:rPr>
            </w:pPr>
            <w:r>
              <w:rPr>
                <w:color w:val="231F20"/>
                <w:sz w:val="18"/>
              </w:rPr>
              <w:t>40%</w:t>
            </w:r>
          </w:p>
        </w:tc>
        <w:tc>
          <w:tcPr>
            <w:tcW w:w="963" w:type="dxa"/>
          </w:tcPr>
          <w:p w14:paraId="2474234F" w14:textId="77777777" w:rsidR="009948F1" w:rsidRDefault="00BC0563">
            <w:pPr>
              <w:pStyle w:val="TableParagraph"/>
              <w:ind w:left="112"/>
              <w:rPr>
                <w:sz w:val="18"/>
              </w:rPr>
            </w:pPr>
            <w:r>
              <w:rPr>
                <w:color w:val="231F20"/>
                <w:sz w:val="18"/>
              </w:rPr>
              <w:t>50%</w:t>
            </w:r>
          </w:p>
        </w:tc>
        <w:tc>
          <w:tcPr>
            <w:tcW w:w="1049" w:type="dxa"/>
          </w:tcPr>
          <w:p w14:paraId="167B625F" w14:textId="77777777" w:rsidR="009948F1" w:rsidRDefault="00BC0563">
            <w:pPr>
              <w:pStyle w:val="TableParagraph"/>
              <w:ind w:left="113"/>
              <w:rPr>
                <w:sz w:val="18"/>
              </w:rPr>
            </w:pPr>
            <w:r>
              <w:rPr>
                <w:color w:val="231F20"/>
                <w:sz w:val="18"/>
              </w:rPr>
              <w:t>60%</w:t>
            </w:r>
          </w:p>
        </w:tc>
        <w:tc>
          <w:tcPr>
            <w:tcW w:w="1051" w:type="dxa"/>
          </w:tcPr>
          <w:p w14:paraId="167993BB" w14:textId="77777777" w:rsidR="009948F1" w:rsidRDefault="00BC0563">
            <w:pPr>
              <w:pStyle w:val="TableParagraph"/>
              <w:ind w:left="113"/>
              <w:rPr>
                <w:sz w:val="18"/>
              </w:rPr>
            </w:pPr>
            <w:r>
              <w:rPr>
                <w:color w:val="231F20"/>
                <w:sz w:val="18"/>
              </w:rPr>
              <w:t>80%</w:t>
            </w:r>
          </w:p>
        </w:tc>
      </w:tr>
    </w:tbl>
    <w:p w14:paraId="1AA6734F" w14:textId="77777777" w:rsidR="009948F1" w:rsidRDefault="009948F1">
      <w:pPr>
        <w:pStyle w:val="BodyText"/>
        <w:spacing w:before="6"/>
        <w:rPr>
          <w:b/>
          <w:sz w:val="19"/>
        </w:rPr>
      </w:pPr>
    </w:p>
    <w:p w14:paraId="7EA24FE6" w14:textId="77777777" w:rsidR="009948F1" w:rsidRDefault="00BC0563">
      <w:pPr>
        <w:ind w:left="199"/>
        <w:rPr>
          <w:b/>
        </w:rPr>
      </w:pPr>
      <w:r>
        <w:rPr>
          <w:b/>
          <w:color w:val="231F20"/>
        </w:rPr>
        <w:t>Interventions</w:t>
      </w:r>
    </w:p>
    <w:p w14:paraId="33E01F38" w14:textId="77777777" w:rsidR="009948F1" w:rsidRDefault="00BC0563">
      <w:pPr>
        <w:pStyle w:val="ListParagraph"/>
        <w:numPr>
          <w:ilvl w:val="3"/>
          <w:numId w:val="288"/>
        </w:numPr>
        <w:tabs>
          <w:tab w:val="left" w:pos="936"/>
        </w:tabs>
        <w:spacing w:before="97" w:line="331" w:lineRule="auto"/>
        <w:ind w:right="241" w:firstLine="0"/>
      </w:pPr>
      <w:r>
        <w:rPr>
          <w:color w:val="231F20"/>
        </w:rPr>
        <w:t xml:space="preserve">Expand access to integrated vector control interventions. Key actions </w:t>
      </w:r>
      <w:proofErr w:type="gramStart"/>
      <w:r>
        <w:rPr>
          <w:color w:val="231F20"/>
        </w:rPr>
        <w:t>include;-</w:t>
      </w:r>
      <w:proofErr w:type="gramEnd"/>
      <w:r>
        <w:rPr>
          <w:color w:val="231F20"/>
        </w:rPr>
        <w:t xml:space="preserve"> Conduct micro plan for LLIN mass campaign; Procure and distribute LLIN/L, Larvicides, IRS for health facilities</w:t>
      </w:r>
      <w:r>
        <w:rPr>
          <w:color w:val="231F20"/>
          <w:spacing w:val="-21"/>
        </w:rPr>
        <w:t xml:space="preserve"> </w:t>
      </w:r>
      <w:r>
        <w:rPr>
          <w:color w:val="231F20"/>
        </w:rPr>
        <w:t>(Primary</w:t>
      </w:r>
      <w:r>
        <w:rPr>
          <w:color w:val="231F20"/>
          <w:spacing w:val="-20"/>
        </w:rPr>
        <w:t xml:space="preserve"> </w:t>
      </w:r>
      <w:r>
        <w:rPr>
          <w:color w:val="231F20"/>
        </w:rPr>
        <w:t>&amp;</w:t>
      </w:r>
      <w:r>
        <w:rPr>
          <w:color w:val="231F20"/>
          <w:spacing w:val="-20"/>
        </w:rPr>
        <w:t xml:space="preserve"> </w:t>
      </w:r>
      <w:r>
        <w:rPr>
          <w:color w:val="231F20"/>
        </w:rPr>
        <w:t>Secondary);</w:t>
      </w:r>
      <w:r>
        <w:rPr>
          <w:color w:val="231F20"/>
          <w:spacing w:val="-20"/>
        </w:rPr>
        <w:t xml:space="preserve"> </w:t>
      </w:r>
      <w:r>
        <w:rPr>
          <w:color w:val="231F20"/>
        </w:rPr>
        <w:t>Conduct</w:t>
      </w:r>
      <w:r>
        <w:rPr>
          <w:color w:val="231F20"/>
          <w:spacing w:val="-20"/>
        </w:rPr>
        <w:t xml:space="preserve"> </w:t>
      </w:r>
      <w:r>
        <w:rPr>
          <w:color w:val="231F20"/>
        </w:rPr>
        <w:t>indoor</w:t>
      </w:r>
      <w:r>
        <w:rPr>
          <w:color w:val="231F20"/>
          <w:spacing w:val="-20"/>
        </w:rPr>
        <w:t xml:space="preserve"> </w:t>
      </w:r>
      <w:r>
        <w:rPr>
          <w:color w:val="231F20"/>
        </w:rPr>
        <w:t>residual</w:t>
      </w:r>
      <w:r>
        <w:rPr>
          <w:color w:val="231F20"/>
          <w:spacing w:val="-20"/>
        </w:rPr>
        <w:t xml:space="preserve"> </w:t>
      </w:r>
      <w:r>
        <w:rPr>
          <w:color w:val="231F20"/>
        </w:rPr>
        <w:t>spray</w:t>
      </w:r>
      <w:r>
        <w:rPr>
          <w:color w:val="231F20"/>
          <w:spacing w:val="-20"/>
        </w:rPr>
        <w:t xml:space="preserve"> </w:t>
      </w:r>
      <w:r>
        <w:rPr>
          <w:color w:val="231F20"/>
        </w:rPr>
        <w:t>in</w:t>
      </w:r>
      <w:r>
        <w:rPr>
          <w:color w:val="231F20"/>
          <w:spacing w:val="-20"/>
        </w:rPr>
        <w:t xml:space="preserve"> </w:t>
      </w:r>
      <w:r>
        <w:rPr>
          <w:color w:val="231F20"/>
        </w:rPr>
        <w:t>Port</w:t>
      </w:r>
      <w:r>
        <w:rPr>
          <w:color w:val="231F20"/>
          <w:spacing w:val="-20"/>
        </w:rPr>
        <w:t xml:space="preserve"> </w:t>
      </w:r>
      <w:r>
        <w:rPr>
          <w:color w:val="231F20"/>
        </w:rPr>
        <w:t>Harcourt</w:t>
      </w:r>
      <w:r>
        <w:rPr>
          <w:color w:val="231F20"/>
          <w:spacing w:val="-21"/>
        </w:rPr>
        <w:t xml:space="preserve"> </w:t>
      </w:r>
      <w:r>
        <w:rPr>
          <w:color w:val="231F20"/>
        </w:rPr>
        <w:t>watersides</w:t>
      </w:r>
      <w:r>
        <w:rPr>
          <w:color w:val="231F20"/>
          <w:spacing w:val="-20"/>
        </w:rPr>
        <w:t xml:space="preserve"> </w:t>
      </w:r>
      <w:r>
        <w:rPr>
          <w:color w:val="231F20"/>
        </w:rPr>
        <w:t>&amp;</w:t>
      </w:r>
      <w:r>
        <w:rPr>
          <w:color w:val="231F20"/>
          <w:spacing w:val="-20"/>
        </w:rPr>
        <w:t xml:space="preserve"> </w:t>
      </w:r>
      <w:r>
        <w:rPr>
          <w:color w:val="231F20"/>
        </w:rPr>
        <w:t>high density areas and the 23 LGAs Headquarters; Produce and air jingles in electronic media on malaria</w:t>
      </w:r>
      <w:r>
        <w:rPr>
          <w:color w:val="231F20"/>
          <w:spacing w:val="-19"/>
        </w:rPr>
        <w:t xml:space="preserve"> </w:t>
      </w:r>
      <w:r>
        <w:rPr>
          <w:color w:val="231F20"/>
        </w:rPr>
        <w:t>prevention</w:t>
      </w:r>
      <w:r>
        <w:rPr>
          <w:color w:val="231F20"/>
          <w:spacing w:val="-18"/>
        </w:rPr>
        <w:t xml:space="preserve"> </w:t>
      </w:r>
      <w:r>
        <w:rPr>
          <w:color w:val="231F20"/>
        </w:rPr>
        <w:t>and</w:t>
      </w:r>
      <w:r>
        <w:rPr>
          <w:color w:val="231F20"/>
          <w:spacing w:val="-18"/>
        </w:rPr>
        <w:t xml:space="preserve"> </w:t>
      </w:r>
      <w:r>
        <w:rPr>
          <w:color w:val="231F20"/>
        </w:rPr>
        <w:t>vector</w:t>
      </w:r>
      <w:r>
        <w:rPr>
          <w:color w:val="231F20"/>
          <w:spacing w:val="-18"/>
        </w:rPr>
        <w:t xml:space="preserve"> </w:t>
      </w:r>
      <w:r>
        <w:rPr>
          <w:color w:val="231F20"/>
        </w:rPr>
        <w:t>control;</w:t>
      </w:r>
      <w:r>
        <w:rPr>
          <w:color w:val="231F20"/>
          <w:spacing w:val="-18"/>
        </w:rPr>
        <w:t xml:space="preserve"> </w:t>
      </w:r>
      <w:r>
        <w:rPr>
          <w:color w:val="231F20"/>
        </w:rPr>
        <w:t>Operating</w:t>
      </w:r>
      <w:r>
        <w:rPr>
          <w:color w:val="231F20"/>
          <w:spacing w:val="-19"/>
        </w:rPr>
        <w:t xml:space="preserve"> </w:t>
      </w:r>
      <w:r>
        <w:rPr>
          <w:color w:val="231F20"/>
        </w:rPr>
        <w:t>cost</w:t>
      </w:r>
      <w:r>
        <w:rPr>
          <w:color w:val="231F20"/>
          <w:spacing w:val="-18"/>
        </w:rPr>
        <w:t xml:space="preserve"> </w:t>
      </w:r>
      <w:r>
        <w:rPr>
          <w:color w:val="231F20"/>
        </w:rPr>
        <w:t>for</w:t>
      </w:r>
      <w:r>
        <w:rPr>
          <w:color w:val="231F20"/>
          <w:spacing w:val="-18"/>
        </w:rPr>
        <w:t xml:space="preserve"> </w:t>
      </w:r>
      <w:r>
        <w:rPr>
          <w:color w:val="231F20"/>
        </w:rPr>
        <w:t>engaging</w:t>
      </w:r>
      <w:r>
        <w:rPr>
          <w:color w:val="231F20"/>
          <w:spacing w:val="-18"/>
        </w:rPr>
        <w:t xml:space="preserve"> </w:t>
      </w:r>
      <w:r>
        <w:rPr>
          <w:color w:val="231F20"/>
        </w:rPr>
        <w:t>and</w:t>
      </w:r>
      <w:r>
        <w:rPr>
          <w:color w:val="231F20"/>
          <w:spacing w:val="-18"/>
        </w:rPr>
        <w:t xml:space="preserve"> </w:t>
      </w:r>
      <w:r>
        <w:rPr>
          <w:color w:val="231F20"/>
        </w:rPr>
        <w:t>supervising</w:t>
      </w:r>
      <w:r>
        <w:rPr>
          <w:color w:val="231F20"/>
          <w:spacing w:val="-19"/>
        </w:rPr>
        <w:t xml:space="preserve"> </w:t>
      </w:r>
      <w:r>
        <w:rPr>
          <w:color w:val="231F20"/>
        </w:rPr>
        <w:t>the</w:t>
      </w:r>
      <w:r>
        <w:rPr>
          <w:color w:val="231F20"/>
          <w:spacing w:val="-18"/>
        </w:rPr>
        <w:t xml:space="preserve"> </w:t>
      </w:r>
      <w:r>
        <w:rPr>
          <w:color w:val="231F20"/>
        </w:rPr>
        <w:t>contractor to</w:t>
      </w:r>
      <w:r>
        <w:rPr>
          <w:color w:val="231F20"/>
          <w:spacing w:val="-26"/>
        </w:rPr>
        <w:t xml:space="preserve"> </w:t>
      </w:r>
      <w:r>
        <w:rPr>
          <w:color w:val="231F20"/>
        </w:rPr>
        <w:t>construct</w:t>
      </w:r>
      <w:r>
        <w:rPr>
          <w:color w:val="231F20"/>
          <w:spacing w:val="-25"/>
        </w:rPr>
        <w:t xml:space="preserve"> </w:t>
      </w:r>
      <w:r>
        <w:rPr>
          <w:color w:val="231F20"/>
        </w:rPr>
        <w:t>and</w:t>
      </w:r>
      <w:r>
        <w:rPr>
          <w:color w:val="231F20"/>
          <w:spacing w:val="-25"/>
        </w:rPr>
        <w:t xml:space="preserve"> </w:t>
      </w:r>
      <w:r>
        <w:rPr>
          <w:color w:val="231F20"/>
        </w:rPr>
        <w:t>mount</w:t>
      </w:r>
      <w:r>
        <w:rPr>
          <w:color w:val="231F20"/>
          <w:spacing w:val="-25"/>
        </w:rPr>
        <w:t xml:space="preserve"> </w:t>
      </w:r>
      <w:r>
        <w:rPr>
          <w:color w:val="231F20"/>
        </w:rPr>
        <w:t>Bill</w:t>
      </w:r>
      <w:r>
        <w:rPr>
          <w:color w:val="231F20"/>
          <w:spacing w:val="-25"/>
        </w:rPr>
        <w:t xml:space="preserve"> </w:t>
      </w:r>
      <w:r>
        <w:rPr>
          <w:color w:val="231F20"/>
        </w:rPr>
        <w:t>boards</w:t>
      </w:r>
      <w:r>
        <w:rPr>
          <w:color w:val="231F20"/>
          <w:spacing w:val="-25"/>
        </w:rPr>
        <w:t xml:space="preserve"> </w:t>
      </w:r>
      <w:r>
        <w:rPr>
          <w:color w:val="231F20"/>
        </w:rPr>
        <w:t>on</w:t>
      </w:r>
      <w:r>
        <w:rPr>
          <w:color w:val="231F20"/>
          <w:spacing w:val="-25"/>
        </w:rPr>
        <w:t xml:space="preserve"> </w:t>
      </w:r>
      <w:r>
        <w:rPr>
          <w:color w:val="231F20"/>
        </w:rPr>
        <w:t>Malaria</w:t>
      </w:r>
      <w:r>
        <w:rPr>
          <w:color w:val="231F20"/>
          <w:spacing w:val="-25"/>
        </w:rPr>
        <w:t xml:space="preserve"> </w:t>
      </w:r>
      <w:r>
        <w:rPr>
          <w:color w:val="231F20"/>
        </w:rPr>
        <w:t>prevention</w:t>
      </w:r>
      <w:r>
        <w:rPr>
          <w:color w:val="231F20"/>
          <w:spacing w:val="-25"/>
        </w:rPr>
        <w:t xml:space="preserve"> </w:t>
      </w:r>
      <w:r>
        <w:rPr>
          <w:color w:val="231F20"/>
        </w:rPr>
        <w:t>and</w:t>
      </w:r>
      <w:r>
        <w:rPr>
          <w:color w:val="231F20"/>
          <w:spacing w:val="-25"/>
        </w:rPr>
        <w:t xml:space="preserve"> </w:t>
      </w:r>
      <w:r>
        <w:rPr>
          <w:color w:val="231F20"/>
        </w:rPr>
        <w:t>vector</w:t>
      </w:r>
      <w:r>
        <w:rPr>
          <w:color w:val="231F20"/>
          <w:spacing w:val="-25"/>
        </w:rPr>
        <w:t xml:space="preserve"> </w:t>
      </w:r>
      <w:r>
        <w:rPr>
          <w:color w:val="231F20"/>
        </w:rPr>
        <w:t>control.</w:t>
      </w:r>
    </w:p>
    <w:p w14:paraId="381A7A24" w14:textId="77777777" w:rsidR="009948F1" w:rsidRDefault="009948F1">
      <w:pPr>
        <w:pStyle w:val="BodyText"/>
        <w:spacing w:before="10"/>
        <w:rPr>
          <w:sz w:val="30"/>
        </w:rPr>
      </w:pPr>
    </w:p>
    <w:p w14:paraId="6ACC85E7" w14:textId="77777777" w:rsidR="009948F1" w:rsidRDefault="00BC0563">
      <w:pPr>
        <w:pStyle w:val="ListParagraph"/>
        <w:numPr>
          <w:ilvl w:val="3"/>
          <w:numId w:val="288"/>
        </w:numPr>
        <w:tabs>
          <w:tab w:val="left" w:pos="919"/>
        </w:tabs>
        <w:spacing w:before="1" w:line="331" w:lineRule="auto"/>
        <w:ind w:right="240" w:firstLine="0"/>
      </w:pPr>
      <w:r>
        <w:rPr>
          <w:color w:val="231F20"/>
        </w:rPr>
        <w:t>Strengthen</w:t>
      </w:r>
      <w:r>
        <w:rPr>
          <w:color w:val="231F20"/>
          <w:spacing w:val="-16"/>
        </w:rPr>
        <w:t xml:space="preserve"> </w:t>
      </w:r>
      <w:r>
        <w:rPr>
          <w:color w:val="231F20"/>
        </w:rPr>
        <w:t>laboratory</w:t>
      </w:r>
      <w:r>
        <w:rPr>
          <w:color w:val="231F20"/>
          <w:spacing w:val="-15"/>
        </w:rPr>
        <w:t xml:space="preserve"> </w:t>
      </w:r>
      <w:r>
        <w:rPr>
          <w:color w:val="231F20"/>
        </w:rPr>
        <w:t>services</w:t>
      </w:r>
      <w:r>
        <w:rPr>
          <w:color w:val="231F20"/>
          <w:spacing w:val="-15"/>
        </w:rPr>
        <w:t xml:space="preserve"> </w:t>
      </w:r>
      <w:r>
        <w:rPr>
          <w:color w:val="231F20"/>
        </w:rPr>
        <w:t>for</w:t>
      </w:r>
      <w:r>
        <w:rPr>
          <w:color w:val="231F20"/>
          <w:spacing w:val="-15"/>
        </w:rPr>
        <w:t xml:space="preserve"> </w:t>
      </w:r>
      <w:r>
        <w:rPr>
          <w:color w:val="231F20"/>
        </w:rPr>
        <w:t>diagnosis</w:t>
      </w:r>
      <w:r>
        <w:rPr>
          <w:color w:val="231F20"/>
          <w:spacing w:val="-15"/>
        </w:rPr>
        <w:t xml:space="preserve"> </w:t>
      </w:r>
      <w:r>
        <w:rPr>
          <w:color w:val="231F20"/>
        </w:rPr>
        <w:t>of</w:t>
      </w:r>
      <w:r>
        <w:rPr>
          <w:color w:val="231F20"/>
          <w:spacing w:val="-15"/>
        </w:rPr>
        <w:t xml:space="preserve"> </w:t>
      </w:r>
      <w:r>
        <w:rPr>
          <w:color w:val="231F20"/>
        </w:rPr>
        <w:t>malaria</w:t>
      </w:r>
      <w:r>
        <w:rPr>
          <w:color w:val="231F20"/>
          <w:spacing w:val="-15"/>
        </w:rPr>
        <w:t xml:space="preserve"> </w:t>
      </w:r>
      <w:r>
        <w:rPr>
          <w:color w:val="231F20"/>
        </w:rPr>
        <w:t>at</w:t>
      </w:r>
      <w:r>
        <w:rPr>
          <w:color w:val="231F20"/>
          <w:spacing w:val="-15"/>
        </w:rPr>
        <w:t xml:space="preserve"> </w:t>
      </w:r>
      <w:r>
        <w:rPr>
          <w:color w:val="231F20"/>
        </w:rPr>
        <w:t>all</w:t>
      </w:r>
      <w:r>
        <w:rPr>
          <w:color w:val="231F20"/>
          <w:spacing w:val="-15"/>
        </w:rPr>
        <w:t xml:space="preserve"> </w:t>
      </w:r>
      <w:r>
        <w:rPr>
          <w:color w:val="231F20"/>
        </w:rPr>
        <w:t>levels.</w:t>
      </w:r>
      <w:r>
        <w:rPr>
          <w:color w:val="231F20"/>
          <w:spacing w:val="-15"/>
        </w:rPr>
        <w:t xml:space="preserve"> </w:t>
      </w:r>
      <w:r>
        <w:rPr>
          <w:color w:val="231F20"/>
        </w:rPr>
        <w:t>Key</w:t>
      </w:r>
      <w:r>
        <w:rPr>
          <w:color w:val="231F20"/>
          <w:spacing w:val="-16"/>
        </w:rPr>
        <w:t xml:space="preserve"> </w:t>
      </w:r>
      <w:r>
        <w:rPr>
          <w:color w:val="231F20"/>
        </w:rPr>
        <w:t>actions</w:t>
      </w:r>
      <w:r>
        <w:rPr>
          <w:color w:val="231F20"/>
          <w:spacing w:val="-15"/>
        </w:rPr>
        <w:t xml:space="preserve"> </w:t>
      </w:r>
      <w:r>
        <w:rPr>
          <w:color w:val="231F20"/>
        </w:rPr>
        <w:t>include;</w:t>
      </w:r>
      <w:r>
        <w:rPr>
          <w:color w:val="231F20"/>
          <w:spacing w:val="-15"/>
        </w:rPr>
        <w:t xml:space="preserve"> </w:t>
      </w:r>
      <w:r>
        <w:rPr>
          <w:color w:val="231F20"/>
        </w:rPr>
        <w:t xml:space="preserve">– Upgrade </w:t>
      </w:r>
      <w:r>
        <w:rPr>
          <w:color w:val="231F20"/>
          <w:spacing w:val="-3"/>
        </w:rPr>
        <w:t xml:space="preserve">Ward </w:t>
      </w:r>
      <w:r>
        <w:rPr>
          <w:color w:val="231F20"/>
        </w:rPr>
        <w:t xml:space="preserve">Health </w:t>
      </w:r>
      <w:proofErr w:type="spellStart"/>
      <w:r>
        <w:rPr>
          <w:color w:val="231F20"/>
        </w:rPr>
        <w:t>Centres</w:t>
      </w:r>
      <w:proofErr w:type="spellEnd"/>
      <w:r>
        <w:rPr>
          <w:color w:val="231F20"/>
        </w:rPr>
        <w:t xml:space="preserve"> for laboratory services; Procure &amp; distribute microscopes for </w:t>
      </w:r>
      <w:r>
        <w:rPr>
          <w:color w:val="231F20"/>
          <w:spacing w:val="-5"/>
        </w:rPr>
        <w:t xml:space="preserve">319 </w:t>
      </w:r>
      <w:r>
        <w:rPr>
          <w:color w:val="231F20"/>
          <w:spacing w:val="-3"/>
        </w:rPr>
        <w:t>Ward</w:t>
      </w:r>
      <w:r>
        <w:rPr>
          <w:color w:val="231F20"/>
          <w:spacing w:val="-21"/>
        </w:rPr>
        <w:t xml:space="preserve"> </w:t>
      </w:r>
      <w:r>
        <w:rPr>
          <w:color w:val="231F20"/>
        </w:rPr>
        <w:t>Health</w:t>
      </w:r>
      <w:r>
        <w:rPr>
          <w:color w:val="231F20"/>
          <w:spacing w:val="-21"/>
        </w:rPr>
        <w:t xml:space="preserve"> </w:t>
      </w:r>
      <w:r>
        <w:rPr>
          <w:color w:val="231F20"/>
        </w:rPr>
        <w:t>Centre</w:t>
      </w:r>
      <w:r>
        <w:rPr>
          <w:color w:val="231F20"/>
          <w:spacing w:val="-21"/>
        </w:rPr>
        <w:t xml:space="preserve"> </w:t>
      </w:r>
      <w:r>
        <w:rPr>
          <w:color w:val="231F20"/>
        </w:rPr>
        <w:t>laboratories;</w:t>
      </w:r>
      <w:r>
        <w:rPr>
          <w:color w:val="231F20"/>
          <w:spacing w:val="-20"/>
        </w:rPr>
        <w:t xml:space="preserve"> </w:t>
      </w:r>
      <w:r>
        <w:rPr>
          <w:color w:val="231F20"/>
        </w:rPr>
        <w:t>Procure</w:t>
      </w:r>
      <w:r>
        <w:rPr>
          <w:color w:val="231F20"/>
          <w:spacing w:val="-21"/>
        </w:rPr>
        <w:t xml:space="preserve"> </w:t>
      </w:r>
      <w:r>
        <w:rPr>
          <w:color w:val="231F20"/>
        </w:rPr>
        <w:t>and</w:t>
      </w:r>
      <w:r>
        <w:rPr>
          <w:color w:val="231F20"/>
          <w:spacing w:val="-21"/>
        </w:rPr>
        <w:t xml:space="preserve"> </w:t>
      </w:r>
      <w:r>
        <w:rPr>
          <w:color w:val="231F20"/>
        </w:rPr>
        <w:t>distribute</w:t>
      </w:r>
      <w:r>
        <w:rPr>
          <w:color w:val="231F20"/>
          <w:spacing w:val="-21"/>
        </w:rPr>
        <w:t xml:space="preserve"> </w:t>
      </w:r>
      <w:r>
        <w:rPr>
          <w:color w:val="231F20"/>
        </w:rPr>
        <w:t>malaria</w:t>
      </w:r>
      <w:r>
        <w:rPr>
          <w:color w:val="231F20"/>
          <w:spacing w:val="-20"/>
        </w:rPr>
        <w:t xml:space="preserve"> </w:t>
      </w:r>
      <w:r>
        <w:rPr>
          <w:color w:val="231F20"/>
        </w:rPr>
        <w:t>RDT</w:t>
      </w:r>
      <w:r>
        <w:rPr>
          <w:color w:val="231F20"/>
          <w:spacing w:val="-25"/>
        </w:rPr>
        <w:t xml:space="preserve"> </w:t>
      </w:r>
      <w:r>
        <w:rPr>
          <w:color w:val="231F20"/>
        </w:rPr>
        <w:t>Kits</w:t>
      </w:r>
      <w:r>
        <w:rPr>
          <w:color w:val="231F20"/>
          <w:spacing w:val="-21"/>
        </w:rPr>
        <w:t xml:space="preserve"> </w:t>
      </w:r>
      <w:r>
        <w:rPr>
          <w:color w:val="231F20"/>
        </w:rPr>
        <w:t>to</w:t>
      </w:r>
      <w:r>
        <w:rPr>
          <w:color w:val="231F20"/>
          <w:spacing w:val="-21"/>
        </w:rPr>
        <w:t xml:space="preserve"> </w:t>
      </w:r>
      <w:r>
        <w:rPr>
          <w:color w:val="231F20"/>
        </w:rPr>
        <w:t>Primary</w:t>
      </w:r>
      <w:r>
        <w:rPr>
          <w:color w:val="231F20"/>
          <w:spacing w:val="-21"/>
        </w:rPr>
        <w:t xml:space="preserve"> </w:t>
      </w:r>
      <w:r>
        <w:rPr>
          <w:color w:val="231F20"/>
        </w:rPr>
        <w:t>&amp;</w:t>
      </w:r>
      <w:r>
        <w:rPr>
          <w:color w:val="231F20"/>
          <w:spacing w:val="-21"/>
        </w:rPr>
        <w:t xml:space="preserve"> </w:t>
      </w:r>
      <w:r>
        <w:rPr>
          <w:color w:val="231F20"/>
        </w:rPr>
        <w:t xml:space="preserve">Secondary Health facilities; Procure consumables for </w:t>
      </w:r>
      <w:r>
        <w:rPr>
          <w:color w:val="231F20"/>
          <w:spacing w:val="-3"/>
        </w:rPr>
        <w:t xml:space="preserve">Ward </w:t>
      </w:r>
      <w:r>
        <w:rPr>
          <w:color w:val="231F20"/>
        </w:rPr>
        <w:t xml:space="preserve">Health </w:t>
      </w:r>
      <w:proofErr w:type="spellStart"/>
      <w:r>
        <w:rPr>
          <w:color w:val="231F20"/>
        </w:rPr>
        <w:t>Centres</w:t>
      </w:r>
      <w:proofErr w:type="spellEnd"/>
      <w:r>
        <w:rPr>
          <w:color w:val="231F20"/>
        </w:rPr>
        <w:t xml:space="preserve"> laboratories; Conduct parasitological</w:t>
      </w:r>
      <w:r>
        <w:rPr>
          <w:color w:val="231F20"/>
          <w:spacing w:val="-25"/>
        </w:rPr>
        <w:t xml:space="preserve"> </w:t>
      </w:r>
      <w:r>
        <w:rPr>
          <w:color w:val="231F20"/>
        </w:rPr>
        <w:t>diagnosis.</w:t>
      </w:r>
    </w:p>
    <w:p w14:paraId="4339CC0E" w14:textId="77777777" w:rsidR="009948F1" w:rsidRDefault="009948F1">
      <w:pPr>
        <w:pStyle w:val="BodyText"/>
        <w:spacing w:before="9"/>
        <w:rPr>
          <w:sz w:val="30"/>
        </w:rPr>
      </w:pPr>
    </w:p>
    <w:p w14:paraId="1B560689" w14:textId="77777777" w:rsidR="009948F1" w:rsidRDefault="00BC0563">
      <w:pPr>
        <w:pStyle w:val="ListParagraph"/>
        <w:numPr>
          <w:ilvl w:val="3"/>
          <w:numId w:val="288"/>
        </w:numPr>
        <w:tabs>
          <w:tab w:val="left" w:pos="983"/>
        </w:tabs>
        <w:spacing w:line="331" w:lineRule="auto"/>
        <w:ind w:right="242" w:firstLine="0"/>
      </w:pPr>
      <w:r>
        <w:rPr>
          <w:color w:val="231F20"/>
        </w:rPr>
        <w:t xml:space="preserve">Build capacity of personnel in public and private health facilities for parasitological confirmation of malaria. Key actions include; – Conduct re-training workshops for Med. </w:t>
      </w:r>
      <w:r>
        <w:rPr>
          <w:color w:val="231F20"/>
          <w:spacing w:val="-6"/>
        </w:rPr>
        <w:t xml:space="preserve">Lab </w:t>
      </w:r>
      <w:r>
        <w:rPr>
          <w:color w:val="231F20"/>
        </w:rPr>
        <w:t>scientists,</w:t>
      </w:r>
      <w:r>
        <w:rPr>
          <w:color w:val="231F20"/>
          <w:spacing w:val="-10"/>
        </w:rPr>
        <w:t xml:space="preserve"> </w:t>
      </w:r>
      <w:r>
        <w:rPr>
          <w:color w:val="231F20"/>
          <w:spacing w:val="-3"/>
        </w:rPr>
        <w:t>Technicians</w:t>
      </w:r>
      <w:r>
        <w:rPr>
          <w:color w:val="231F20"/>
          <w:spacing w:val="-5"/>
        </w:rPr>
        <w:t xml:space="preserve"> </w:t>
      </w:r>
      <w:r>
        <w:rPr>
          <w:color w:val="231F20"/>
        </w:rPr>
        <w:t>and</w:t>
      </w:r>
      <w:r>
        <w:rPr>
          <w:color w:val="231F20"/>
          <w:spacing w:val="-18"/>
        </w:rPr>
        <w:t xml:space="preserve"> </w:t>
      </w:r>
      <w:r>
        <w:rPr>
          <w:color w:val="231F20"/>
        </w:rPr>
        <w:t>Assistants</w:t>
      </w:r>
      <w:r>
        <w:rPr>
          <w:color w:val="231F20"/>
          <w:spacing w:val="-5"/>
        </w:rPr>
        <w:t xml:space="preserve"> </w:t>
      </w:r>
      <w:r>
        <w:rPr>
          <w:color w:val="231F20"/>
        </w:rPr>
        <w:t>on</w:t>
      </w:r>
      <w:r>
        <w:rPr>
          <w:color w:val="231F20"/>
          <w:spacing w:val="-5"/>
        </w:rPr>
        <w:t xml:space="preserve"> </w:t>
      </w:r>
      <w:r>
        <w:rPr>
          <w:color w:val="231F20"/>
        </w:rPr>
        <w:t>malaria</w:t>
      </w:r>
      <w:r>
        <w:rPr>
          <w:color w:val="231F20"/>
          <w:spacing w:val="-6"/>
        </w:rPr>
        <w:t xml:space="preserve"> </w:t>
      </w:r>
      <w:r>
        <w:rPr>
          <w:color w:val="231F20"/>
        </w:rPr>
        <w:t>parasitological</w:t>
      </w:r>
      <w:r>
        <w:rPr>
          <w:color w:val="231F20"/>
          <w:spacing w:val="-4"/>
        </w:rPr>
        <w:t xml:space="preserve"> </w:t>
      </w:r>
      <w:r>
        <w:rPr>
          <w:color w:val="231F20"/>
        </w:rPr>
        <w:t>confirmation;</w:t>
      </w:r>
      <w:r>
        <w:rPr>
          <w:color w:val="231F20"/>
          <w:spacing w:val="-6"/>
        </w:rPr>
        <w:t xml:space="preserve"> </w:t>
      </w:r>
      <w:r>
        <w:rPr>
          <w:color w:val="231F20"/>
        </w:rPr>
        <w:t>Conduct</w:t>
      </w:r>
      <w:r>
        <w:rPr>
          <w:color w:val="231F20"/>
          <w:spacing w:val="-5"/>
        </w:rPr>
        <w:t xml:space="preserve"> </w:t>
      </w:r>
      <w:r>
        <w:rPr>
          <w:color w:val="231F20"/>
        </w:rPr>
        <w:t>trainings for</w:t>
      </w:r>
      <w:r>
        <w:rPr>
          <w:color w:val="231F20"/>
          <w:spacing w:val="-18"/>
        </w:rPr>
        <w:t xml:space="preserve"> </w:t>
      </w:r>
      <w:r>
        <w:rPr>
          <w:color w:val="231F20"/>
        </w:rPr>
        <w:t>laboratory</w:t>
      </w:r>
      <w:r>
        <w:rPr>
          <w:color w:val="231F20"/>
          <w:spacing w:val="-17"/>
        </w:rPr>
        <w:t xml:space="preserve"> </w:t>
      </w:r>
      <w:r>
        <w:rPr>
          <w:color w:val="231F20"/>
        </w:rPr>
        <w:t>microscopists</w:t>
      </w:r>
      <w:r>
        <w:rPr>
          <w:color w:val="231F20"/>
          <w:spacing w:val="-17"/>
        </w:rPr>
        <w:t xml:space="preserve"> </w:t>
      </w:r>
      <w:r>
        <w:rPr>
          <w:color w:val="231F20"/>
        </w:rPr>
        <w:t>on</w:t>
      </w:r>
      <w:r>
        <w:rPr>
          <w:color w:val="231F20"/>
          <w:spacing w:val="-17"/>
        </w:rPr>
        <w:t xml:space="preserve"> </w:t>
      </w:r>
      <w:r>
        <w:rPr>
          <w:color w:val="231F20"/>
        </w:rPr>
        <w:t>basic</w:t>
      </w:r>
      <w:r>
        <w:rPr>
          <w:color w:val="231F20"/>
          <w:spacing w:val="-17"/>
        </w:rPr>
        <w:t xml:space="preserve"> </w:t>
      </w:r>
      <w:r>
        <w:rPr>
          <w:color w:val="231F20"/>
        </w:rPr>
        <w:t>malaria</w:t>
      </w:r>
      <w:r>
        <w:rPr>
          <w:color w:val="231F20"/>
          <w:spacing w:val="-17"/>
        </w:rPr>
        <w:t xml:space="preserve"> </w:t>
      </w:r>
      <w:r>
        <w:rPr>
          <w:color w:val="231F20"/>
        </w:rPr>
        <w:t>microscopy</w:t>
      </w:r>
      <w:r>
        <w:rPr>
          <w:color w:val="231F20"/>
          <w:spacing w:val="-17"/>
        </w:rPr>
        <w:t xml:space="preserve"> </w:t>
      </w:r>
      <w:r>
        <w:rPr>
          <w:color w:val="231F20"/>
        </w:rPr>
        <w:t>for</w:t>
      </w:r>
      <w:r>
        <w:rPr>
          <w:color w:val="231F20"/>
          <w:spacing w:val="-17"/>
        </w:rPr>
        <w:t xml:space="preserve"> </w:t>
      </w:r>
      <w:r>
        <w:rPr>
          <w:color w:val="231F20"/>
        </w:rPr>
        <w:t>deployment</w:t>
      </w:r>
      <w:r>
        <w:rPr>
          <w:color w:val="231F20"/>
          <w:spacing w:val="-17"/>
        </w:rPr>
        <w:t xml:space="preserve"> </w:t>
      </w:r>
      <w:r>
        <w:rPr>
          <w:color w:val="231F20"/>
        </w:rPr>
        <w:t>to</w:t>
      </w:r>
      <w:r>
        <w:rPr>
          <w:color w:val="231F20"/>
          <w:spacing w:val="-18"/>
        </w:rPr>
        <w:t xml:space="preserve"> </w:t>
      </w:r>
      <w:r>
        <w:rPr>
          <w:color w:val="231F20"/>
          <w:spacing w:val="-3"/>
        </w:rPr>
        <w:t>Ward</w:t>
      </w:r>
      <w:r>
        <w:rPr>
          <w:color w:val="231F20"/>
          <w:spacing w:val="-17"/>
        </w:rPr>
        <w:t xml:space="preserve"> </w:t>
      </w:r>
      <w:r>
        <w:rPr>
          <w:color w:val="231F20"/>
        </w:rPr>
        <w:t>Health</w:t>
      </w:r>
      <w:r>
        <w:rPr>
          <w:color w:val="231F20"/>
          <w:spacing w:val="-17"/>
        </w:rPr>
        <w:t xml:space="preserve"> </w:t>
      </w:r>
      <w:proofErr w:type="spellStart"/>
      <w:r>
        <w:rPr>
          <w:color w:val="231F20"/>
        </w:rPr>
        <w:t>Centres</w:t>
      </w:r>
      <w:proofErr w:type="spellEnd"/>
      <w:r>
        <w:rPr>
          <w:color w:val="231F20"/>
        </w:rPr>
        <w:t xml:space="preserve">; Conduct a training/retraining for Malaria Focal persons and State </w:t>
      </w:r>
      <w:r>
        <w:rPr>
          <w:color w:val="231F20"/>
          <w:spacing w:val="-7"/>
        </w:rPr>
        <w:t xml:space="preserve">Team </w:t>
      </w:r>
      <w:r>
        <w:rPr>
          <w:color w:val="231F20"/>
        </w:rPr>
        <w:t xml:space="preserve">Members on the use </w:t>
      </w:r>
      <w:r>
        <w:rPr>
          <w:color w:val="231F20"/>
          <w:spacing w:val="-6"/>
        </w:rPr>
        <w:t xml:space="preserve">of </w:t>
      </w:r>
      <w:r>
        <w:rPr>
          <w:color w:val="231F20"/>
          <w:spacing w:val="-7"/>
        </w:rPr>
        <w:t xml:space="preserve">RDTs </w:t>
      </w:r>
      <w:r>
        <w:rPr>
          <w:color w:val="231F20"/>
        </w:rPr>
        <w:t>for malaria diagnosis; Distribute SOPs on parasitological confirmation to Health Facilities; Hold Stakeholders' Annual Review Meetings on National Guidelines for laboratory diagnosis of malaria.</w:t>
      </w:r>
    </w:p>
    <w:p w14:paraId="4E457A41" w14:textId="77777777" w:rsidR="009948F1" w:rsidRDefault="009948F1">
      <w:pPr>
        <w:spacing w:line="331" w:lineRule="auto"/>
        <w:jc w:val="both"/>
        <w:sectPr w:rsidR="009948F1">
          <w:pgSz w:w="11910" w:h="16840"/>
          <w:pgMar w:top="1440" w:right="1080" w:bottom="1420" w:left="1120" w:header="0" w:footer="1235" w:gutter="0"/>
          <w:cols w:space="720"/>
        </w:sectPr>
      </w:pPr>
    </w:p>
    <w:p w14:paraId="5A6FEA33" w14:textId="77777777" w:rsidR="009948F1" w:rsidRDefault="00BC0563">
      <w:pPr>
        <w:pStyle w:val="BodyText"/>
        <w:spacing w:before="50" w:line="256" w:lineRule="auto"/>
        <w:ind w:left="170" w:right="225"/>
        <w:jc w:val="both"/>
      </w:pPr>
      <w:bookmarkStart w:id="71" w:name="Page_57"/>
      <w:bookmarkEnd w:id="71"/>
      <w:r>
        <w:rPr>
          <w:color w:val="231F20"/>
        </w:rPr>
        <w:lastRenderedPageBreak/>
        <w:t xml:space="preserve">5.5.1.5 Improve availability of and access to commodities and supplies for treatment </w:t>
      </w:r>
      <w:r>
        <w:rPr>
          <w:color w:val="231F20"/>
          <w:spacing w:val="-6"/>
        </w:rPr>
        <w:t xml:space="preserve">of </w:t>
      </w:r>
      <w:r>
        <w:rPr>
          <w:color w:val="231F20"/>
        </w:rPr>
        <w:t xml:space="preserve">uncomplicated and severe malaria. Key actions include; – Strengthen malaria treatment </w:t>
      </w:r>
      <w:r>
        <w:rPr>
          <w:color w:val="231F20"/>
          <w:spacing w:val="-6"/>
        </w:rPr>
        <w:t xml:space="preserve">by </w:t>
      </w:r>
      <w:r>
        <w:rPr>
          <w:color w:val="231F20"/>
        </w:rPr>
        <w:t>purchasing and distributing ACT and artesunate injections and ensuring successful treatment using approved protocol; Procure and distribute hand gloves to Primary &amp; Secondary Health facilities</w:t>
      </w:r>
      <w:r>
        <w:rPr>
          <w:color w:val="231F20"/>
          <w:spacing w:val="-5"/>
        </w:rPr>
        <w:t xml:space="preserve"> </w:t>
      </w:r>
      <w:r>
        <w:rPr>
          <w:color w:val="231F20"/>
        </w:rPr>
        <w:t>for</w:t>
      </w:r>
      <w:r>
        <w:rPr>
          <w:color w:val="231F20"/>
          <w:spacing w:val="-5"/>
        </w:rPr>
        <w:t xml:space="preserve"> </w:t>
      </w:r>
      <w:r>
        <w:rPr>
          <w:color w:val="231F20"/>
        </w:rPr>
        <w:t>effective</w:t>
      </w:r>
      <w:r>
        <w:rPr>
          <w:color w:val="231F20"/>
          <w:spacing w:val="-4"/>
        </w:rPr>
        <w:t xml:space="preserve"> </w:t>
      </w:r>
      <w:r>
        <w:rPr>
          <w:color w:val="231F20"/>
        </w:rPr>
        <w:t>Lab</w:t>
      </w:r>
      <w:r>
        <w:rPr>
          <w:color w:val="231F20"/>
          <w:spacing w:val="-5"/>
        </w:rPr>
        <w:t xml:space="preserve"> </w:t>
      </w:r>
      <w:r>
        <w:rPr>
          <w:color w:val="231F20"/>
        </w:rPr>
        <w:t>use;</w:t>
      </w:r>
      <w:r>
        <w:rPr>
          <w:color w:val="231F20"/>
          <w:spacing w:val="-4"/>
        </w:rPr>
        <w:t xml:space="preserve"> </w:t>
      </w:r>
      <w:r>
        <w:rPr>
          <w:color w:val="231F20"/>
        </w:rPr>
        <w:t>Conduct</w:t>
      </w:r>
      <w:r>
        <w:rPr>
          <w:color w:val="231F20"/>
          <w:spacing w:val="-5"/>
        </w:rPr>
        <w:t xml:space="preserve"> </w:t>
      </w:r>
      <w:r>
        <w:rPr>
          <w:color w:val="231F20"/>
        </w:rPr>
        <w:t>trainings</w:t>
      </w:r>
      <w:r>
        <w:rPr>
          <w:color w:val="231F20"/>
          <w:spacing w:val="-5"/>
        </w:rPr>
        <w:t xml:space="preserve"> </w:t>
      </w:r>
      <w:r>
        <w:rPr>
          <w:color w:val="231F20"/>
        </w:rPr>
        <w:t>for</w:t>
      </w:r>
      <w:r>
        <w:rPr>
          <w:color w:val="231F20"/>
          <w:spacing w:val="-4"/>
        </w:rPr>
        <w:t xml:space="preserve"> </w:t>
      </w:r>
      <w:r>
        <w:rPr>
          <w:color w:val="231F20"/>
        </w:rPr>
        <w:t>RBM</w:t>
      </w:r>
      <w:r>
        <w:rPr>
          <w:color w:val="231F20"/>
          <w:spacing w:val="-5"/>
        </w:rPr>
        <w:t xml:space="preserve"> </w:t>
      </w:r>
      <w:r>
        <w:rPr>
          <w:color w:val="231F20"/>
        </w:rPr>
        <w:t>manager,</w:t>
      </w:r>
      <w:r>
        <w:rPr>
          <w:color w:val="231F20"/>
          <w:spacing w:val="-4"/>
        </w:rPr>
        <w:t xml:space="preserve"> </w:t>
      </w:r>
      <w:r>
        <w:rPr>
          <w:color w:val="231F20"/>
        </w:rPr>
        <w:t>State</w:t>
      </w:r>
      <w:r>
        <w:rPr>
          <w:color w:val="231F20"/>
          <w:spacing w:val="-5"/>
        </w:rPr>
        <w:t xml:space="preserve"> </w:t>
      </w:r>
      <w:r>
        <w:rPr>
          <w:color w:val="231F20"/>
        </w:rPr>
        <w:t>Malaria</w:t>
      </w:r>
      <w:r>
        <w:rPr>
          <w:color w:val="231F20"/>
          <w:spacing w:val="-5"/>
        </w:rPr>
        <w:t xml:space="preserve"> </w:t>
      </w:r>
      <w:r>
        <w:rPr>
          <w:color w:val="231F20"/>
        </w:rPr>
        <w:t>logistics</w:t>
      </w:r>
      <w:r>
        <w:rPr>
          <w:color w:val="231F20"/>
          <w:spacing w:val="-4"/>
        </w:rPr>
        <w:t xml:space="preserve"> officer </w:t>
      </w:r>
      <w:r>
        <w:rPr>
          <w:color w:val="231F20"/>
        </w:rPr>
        <w:t>and</w:t>
      </w:r>
      <w:r>
        <w:rPr>
          <w:color w:val="231F20"/>
          <w:spacing w:val="-25"/>
        </w:rPr>
        <w:t xml:space="preserve"> </w:t>
      </w:r>
      <w:r>
        <w:rPr>
          <w:color w:val="231F20"/>
        </w:rPr>
        <w:t>23</w:t>
      </w:r>
      <w:r>
        <w:rPr>
          <w:color w:val="231F20"/>
          <w:spacing w:val="-25"/>
        </w:rPr>
        <w:t xml:space="preserve"> </w:t>
      </w:r>
      <w:r>
        <w:rPr>
          <w:color w:val="231F20"/>
        </w:rPr>
        <w:t>MFPs</w:t>
      </w:r>
      <w:r>
        <w:rPr>
          <w:color w:val="231F20"/>
          <w:spacing w:val="-25"/>
        </w:rPr>
        <w:t xml:space="preserve"> </w:t>
      </w:r>
      <w:r>
        <w:rPr>
          <w:color w:val="231F20"/>
        </w:rPr>
        <w:t>on</w:t>
      </w:r>
      <w:r>
        <w:rPr>
          <w:color w:val="231F20"/>
          <w:spacing w:val="-26"/>
        </w:rPr>
        <w:t xml:space="preserve"> </w:t>
      </w:r>
      <w:r>
        <w:rPr>
          <w:color w:val="231F20"/>
        </w:rPr>
        <w:t>commodity</w:t>
      </w:r>
      <w:r>
        <w:rPr>
          <w:color w:val="231F20"/>
          <w:spacing w:val="-25"/>
        </w:rPr>
        <w:t xml:space="preserve"> </w:t>
      </w:r>
      <w:r>
        <w:rPr>
          <w:color w:val="231F20"/>
        </w:rPr>
        <w:t>management.</w:t>
      </w:r>
    </w:p>
    <w:p w14:paraId="12789786" w14:textId="77777777" w:rsidR="009948F1" w:rsidRDefault="009948F1">
      <w:pPr>
        <w:pStyle w:val="BodyText"/>
        <w:spacing w:before="2"/>
        <w:rPr>
          <w:sz w:val="27"/>
        </w:rPr>
      </w:pPr>
    </w:p>
    <w:p w14:paraId="37599FDC" w14:textId="77777777" w:rsidR="009948F1" w:rsidRDefault="00BC0563">
      <w:pPr>
        <w:pStyle w:val="BodyText"/>
        <w:spacing w:before="1" w:line="278" w:lineRule="auto"/>
        <w:ind w:left="170" w:right="225"/>
        <w:jc w:val="both"/>
      </w:pPr>
      <w:r>
        <w:rPr>
          <w:color w:val="231F20"/>
        </w:rPr>
        <w:t xml:space="preserve">5.1.6 Expand use of IPTp among pregnant women attending ANC. Key actions include; – Strengthen malaria prevention among pregnant women attending ANC by providing </w:t>
      </w:r>
      <w:r>
        <w:rPr>
          <w:color w:val="231F20"/>
          <w:spacing w:val="-6"/>
        </w:rPr>
        <w:t xml:space="preserve">and </w:t>
      </w:r>
      <w:r>
        <w:rPr>
          <w:color w:val="231F20"/>
        </w:rPr>
        <w:t>distributing</w:t>
      </w:r>
      <w:r>
        <w:rPr>
          <w:color w:val="231F20"/>
          <w:spacing w:val="-22"/>
        </w:rPr>
        <w:t xml:space="preserve"> </w:t>
      </w:r>
      <w:r>
        <w:rPr>
          <w:color w:val="231F20"/>
        </w:rPr>
        <w:t>SP</w:t>
      </w:r>
      <w:r>
        <w:rPr>
          <w:color w:val="231F20"/>
          <w:spacing w:val="-25"/>
        </w:rPr>
        <w:t xml:space="preserve"> </w:t>
      </w:r>
      <w:r>
        <w:rPr>
          <w:color w:val="231F20"/>
        </w:rPr>
        <w:t>to</w:t>
      </w:r>
      <w:r>
        <w:rPr>
          <w:color w:val="231F20"/>
          <w:spacing w:val="-21"/>
        </w:rPr>
        <w:t xml:space="preserve"> </w:t>
      </w:r>
      <w:r>
        <w:rPr>
          <w:color w:val="231F20"/>
        </w:rPr>
        <w:t>all</w:t>
      </w:r>
      <w:r>
        <w:rPr>
          <w:color w:val="231F20"/>
          <w:spacing w:val="-21"/>
        </w:rPr>
        <w:t xml:space="preserve"> </w:t>
      </w:r>
      <w:r>
        <w:rPr>
          <w:color w:val="231F20"/>
        </w:rPr>
        <w:t>Primary</w:t>
      </w:r>
      <w:r>
        <w:rPr>
          <w:color w:val="231F20"/>
          <w:spacing w:val="-21"/>
        </w:rPr>
        <w:t xml:space="preserve"> </w:t>
      </w:r>
      <w:r>
        <w:rPr>
          <w:color w:val="231F20"/>
        </w:rPr>
        <w:t>&amp;</w:t>
      </w:r>
      <w:r>
        <w:rPr>
          <w:color w:val="231F20"/>
          <w:spacing w:val="-21"/>
        </w:rPr>
        <w:t xml:space="preserve"> </w:t>
      </w:r>
      <w:r>
        <w:rPr>
          <w:color w:val="231F20"/>
        </w:rPr>
        <w:t>Secondary</w:t>
      </w:r>
      <w:r>
        <w:rPr>
          <w:color w:val="231F20"/>
          <w:spacing w:val="-21"/>
        </w:rPr>
        <w:t xml:space="preserve"> </w:t>
      </w:r>
      <w:r>
        <w:rPr>
          <w:color w:val="231F20"/>
        </w:rPr>
        <w:t>Health</w:t>
      </w:r>
      <w:r>
        <w:rPr>
          <w:color w:val="231F20"/>
          <w:spacing w:val="-21"/>
        </w:rPr>
        <w:t xml:space="preserve"> </w:t>
      </w:r>
      <w:r>
        <w:rPr>
          <w:color w:val="231F20"/>
        </w:rPr>
        <w:t>Facilities</w:t>
      </w:r>
      <w:r>
        <w:rPr>
          <w:color w:val="231F20"/>
          <w:spacing w:val="-21"/>
        </w:rPr>
        <w:t xml:space="preserve"> </w:t>
      </w:r>
      <w:r>
        <w:rPr>
          <w:color w:val="231F20"/>
        </w:rPr>
        <w:t>in</w:t>
      </w:r>
      <w:r>
        <w:rPr>
          <w:color w:val="231F20"/>
          <w:spacing w:val="-21"/>
        </w:rPr>
        <w:t xml:space="preserve"> </w:t>
      </w:r>
      <w:r>
        <w:rPr>
          <w:color w:val="231F20"/>
        </w:rPr>
        <w:t>the</w:t>
      </w:r>
      <w:r>
        <w:rPr>
          <w:color w:val="231F20"/>
          <w:spacing w:val="-22"/>
        </w:rPr>
        <w:t xml:space="preserve"> </w:t>
      </w:r>
      <w:r>
        <w:rPr>
          <w:color w:val="231F20"/>
        </w:rPr>
        <w:t>State;</w:t>
      </w:r>
      <w:r>
        <w:rPr>
          <w:color w:val="231F20"/>
          <w:spacing w:val="-21"/>
        </w:rPr>
        <w:t xml:space="preserve"> </w:t>
      </w:r>
      <w:r>
        <w:rPr>
          <w:color w:val="231F20"/>
        </w:rPr>
        <w:t>Production</w:t>
      </w:r>
      <w:r>
        <w:rPr>
          <w:color w:val="231F20"/>
          <w:spacing w:val="-21"/>
        </w:rPr>
        <w:t xml:space="preserve"> </w:t>
      </w:r>
      <w:r>
        <w:rPr>
          <w:color w:val="231F20"/>
        </w:rPr>
        <w:t>and</w:t>
      </w:r>
      <w:r>
        <w:rPr>
          <w:color w:val="231F20"/>
          <w:spacing w:val="-21"/>
        </w:rPr>
        <w:t xml:space="preserve"> </w:t>
      </w:r>
      <w:r>
        <w:rPr>
          <w:color w:val="231F20"/>
        </w:rPr>
        <w:t>distribution of malaria IEC materials (posters &amp; flyers) on IPT annually to all Primary and Secondary Health Facilities.</w:t>
      </w:r>
    </w:p>
    <w:p w14:paraId="04568CE6" w14:textId="77777777" w:rsidR="009948F1" w:rsidRDefault="009948F1">
      <w:pPr>
        <w:pStyle w:val="BodyText"/>
        <w:spacing w:before="9"/>
        <w:rPr>
          <w:sz w:val="25"/>
        </w:rPr>
      </w:pPr>
    </w:p>
    <w:p w14:paraId="0767FC18" w14:textId="77777777" w:rsidR="009948F1" w:rsidRDefault="00BC0563">
      <w:pPr>
        <w:pStyle w:val="BodyText"/>
        <w:spacing w:line="278" w:lineRule="auto"/>
        <w:ind w:left="169" w:right="225"/>
        <w:jc w:val="both"/>
      </w:pPr>
      <w:r>
        <w:rPr>
          <w:color w:val="231F20"/>
        </w:rPr>
        <w:t>5.5.1.7</w:t>
      </w:r>
      <w:r>
        <w:rPr>
          <w:color w:val="231F20"/>
          <w:spacing w:val="-11"/>
        </w:rPr>
        <w:t xml:space="preserve"> </w:t>
      </w:r>
      <w:r>
        <w:rPr>
          <w:color w:val="231F20"/>
        </w:rPr>
        <w:t>Promote</w:t>
      </w:r>
      <w:r>
        <w:rPr>
          <w:color w:val="231F20"/>
          <w:spacing w:val="-10"/>
        </w:rPr>
        <w:t xml:space="preserve"> </w:t>
      </w:r>
      <w:r>
        <w:rPr>
          <w:color w:val="231F20"/>
        </w:rPr>
        <w:t>active</w:t>
      </w:r>
      <w:r>
        <w:rPr>
          <w:color w:val="231F20"/>
          <w:spacing w:val="-10"/>
        </w:rPr>
        <w:t xml:space="preserve"> </w:t>
      </w:r>
      <w:r>
        <w:rPr>
          <w:color w:val="231F20"/>
        </w:rPr>
        <w:t>community</w:t>
      </w:r>
      <w:r>
        <w:rPr>
          <w:color w:val="231F20"/>
          <w:spacing w:val="-10"/>
        </w:rPr>
        <w:t xml:space="preserve"> </w:t>
      </w:r>
      <w:r>
        <w:rPr>
          <w:color w:val="231F20"/>
        </w:rPr>
        <w:t>participation</w:t>
      </w:r>
      <w:r>
        <w:rPr>
          <w:color w:val="231F20"/>
          <w:spacing w:val="-10"/>
        </w:rPr>
        <w:t xml:space="preserve"> </w:t>
      </w:r>
      <w:r>
        <w:rPr>
          <w:color w:val="231F20"/>
        </w:rPr>
        <w:t>in</w:t>
      </w:r>
      <w:r>
        <w:rPr>
          <w:color w:val="231F20"/>
          <w:spacing w:val="-10"/>
        </w:rPr>
        <w:t xml:space="preserve"> </w:t>
      </w:r>
      <w:r>
        <w:rPr>
          <w:color w:val="231F20"/>
        </w:rPr>
        <w:t>malaria</w:t>
      </w:r>
      <w:r>
        <w:rPr>
          <w:color w:val="231F20"/>
          <w:spacing w:val="-10"/>
        </w:rPr>
        <w:t xml:space="preserve"> </w:t>
      </w:r>
      <w:r>
        <w:rPr>
          <w:color w:val="231F20"/>
        </w:rPr>
        <w:t>control</w:t>
      </w:r>
      <w:r>
        <w:rPr>
          <w:color w:val="231F20"/>
          <w:spacing w:val="-10"/>
        </w:rPr>
        <w:t xml:space="preserve"> </w:t>
      </w:r>
      <w:r>
        <w:rPr>
          <w:color w:val="231F20"/>
        </w:rPr>
        <w:t>initiative.</w:t>
      </w:r>
      <w:r>
        <w:rPr>
          <w:color w:val="231F20"/>
          <w:spacing w:val="-10"/>
        </w:rPr>
        <w:t xml:space="preserve"> </w:t>
      </w:r>
      <w:r>
        <w:rPr>
          <w:color w:val="231F20"/>
        </w:rPr>
        <w:t>Key</w:t>
      </w:r>
      <w:r>
        <w:rPr>
          <w:color w:val="231F20"/>
          <w:spacing w:val="-10"/>
        </w:rPr>
        <w:t xml:space="preserve"> </w:t>
      </w:r>
      <w:r>
        <w:rPr>
          <w:color w:val="231F20"/>
        </w:rPr>
        <w:t>actions</w:t>
      </w:r>
      <w:r>
        <w:rPr>
          <w:color w:val="231F20"/>
          <w:spacing w:val="-10"/>
        </w:rPr>
        <w:t xml:space="preserve"> </w:t>
      </w:r>
      <w:r>
        <w:rPr>
          <w:color w:val="231F20"/>
        </w:rPr>
        <w:t>include;</w:t>
      </w:r>
      <w:r>
        <w:rPr>
          <w:color w:val="231F20"/>
          <w:spacing w:val="-10"/>
        </w:rPr>
        <w:t xml:space="preserve"> </w:t>
      </w:r>
      <w:r>
        <w:rPr>
          <w:color w:val="231F20"/>
          <w:spacing w:val="-16"/>
        </w:rPr>
        <w:t xml:space="preserve">– </w:t>
      </w:r>
      <w:r>
        <w:rPr>
          <w:color w:val="231F20"/>
        </w:rPr>
        <w:t xml:space="preserve">Conduct workshops with community stakeholders to plan malaria control </w:t>
      </w:r>
      <w:proofErr w:type="spellStart"/>
      <w:r>
        <w:rPr>
          <w:color w:val="231F20"/>
        </w:rPr>
        <w:t>programmes</w:t>
      </w:r>
      <w:proofErr w:type="spellEnd"/>
      <w:r>
        <w:rPr>
          <w:color w:val="231F20"/>
        </w:rPr>
        <w:t>; Conduct community dialogue meetings in the 23 LGAs; Increase advocacy visits to community chiefs &amp; compound heads for initiating community sensitizations; Conduct quarterly meetings to review M&amp;E</w:t>
      </w:r>
      <w:r>
        <w:rPr>
          <w:color w:val="231F20"/>
          <w:spacing w:val="-26"/>
        </w:rPr>
        <w:t xml:space="preserve"> </w:t>
      </w:r>
      <w:r>
        <w:rPr>
          <w:color w:val="231F20"/>
        </w:rPr>
        <w:t>conducted;</w:t>
      </w:r>
      <w:r>
        <w:rPr>
          <w:color w:val="231F20"/>
          <w:spacing w:val="-25"/>
        </w:rPr>
        <w:t xml:space="preserve"> </w:t>
      </w:r>
      <w:r>
        <w:rPr>
          <w:color w:val="231F20"/>
        </w:rPr>
        <w:t>Observe</w:t>
      </w:r>
      <w:r>
        <w:rPr>
          <w:color w:val="231F20"/>
          <w:spacing w:val="-25"/>
        </w:rPr>
        <w:t xml:space="preserve"> </w:t>
      </w:r>
      <w:r>
        <w:rPr>
          <w:color w:val="231F20"/>
        </w:rPr>
        <w:t>World</w:t>
      </w:r>
      <w:r>
        <w:rPr>
          <w:color w:val="231F20"/>
          <w:spacing w:val="-25"/>
        </w:rPr>
        <w:t xml:space="preserve"> </w:t>
      </w:r>
      <w:r>
        <w:rPr>
          <w:color w:val="231F20"/>
        </w:rPr>
        <w:t>Malaria</w:t>
      </w:r>
      <w:r>
        <w:rPr>
          <w:color w:val="231F20"/>
          <w:spacing w:val="-25"/>
        </w:rPr>
        <w:t xml:space="preserve"> </w:t>
      </w:r>
      <w:r>
        <w:rPr>
          <w:color w:val="231F20"/>
        </w:rPr>
        <w:t>Day</w:t>
      </w:r>
      <w:r>
        <w:rPr>
          <w:color w:val="231F20"/>
          <w:spacing w:val="-25"/>
        </w:rPr>
        <w:t xml:space="preserve"> </w:t>
      </w:r>
      <w:r>
        <w:rPr>
          <w:color w:val="231F20"/>
        </w:rPr>
        <w:t>Celebration.</w:t>
      </w:r>
    </w:p>
    <w:p w14:paraId="3B3EE276" w14:textId="77777777" w:rsidR="009948F1" w:rsidRDefault="009948F1">
      <w:pPr>
        <w:pStyle w:val="BodyText"/>
        <w:spacing w:before="10"/>
        <w:rPr>
          <w:sz w:val="25"/>
        </w:rPr>
      </w:pPr>
    </w:p>
    <w:p w14:paraId="7682961E" w14:textId="77777777" w:rsidR="009948F1" w:rsidRDefault="00BC0563">
      <w:pPr>
        <w:pStyle w:val="Heading7"/>
        <w:numPr>
          <w:ilvl w:val="2"/>
          <w:numId w:val="287"/>
        </w:numPr>
        <w:tabs>
          <w:tab w:val="left" w:pos="747"/>
        </w:tabs>
        <w:spacing w:line="278" w:lineRule="auto"/>
        <w:ind w:right="225" w:firstLine="0"/>
        <w:jc w:val="both"/>
      </w:pPr>
      <w:r>
        <w:rPr>
          <w:color w:val="231F20"/>
        </w:rPr>
        <w:t xml:space="preserve">Ensure universal access to high </w:t>
      </w:r>
      <w:r>
        <w:rPr>
          <w:color w:val="231F20"/>
          <w:spacing w:val="-3"/>
        </w:rPr>
        <w:t xml:space="preserve">quality, </w:t>
      </w:r>
      <w:r>
        <w:rPr>
          <w:color w:val="231F20"/>
        </w:rPr>
        <w:t>client-</w:t>
      </w:r>
      <w:proofErr w:type="spellStart"/>
      <w:r>
        <w:rPr>
          <w:color w:val="231F20"/>
        </w:rPr>
        <w:t>centred</w:t>
      </w:r>
      <w:proofErr w:type="spellEnd"/>
      <w:r>
        <w:rPr>
          <w:color w:val="231F20"/>
        </w:rPr>
        <w:t xml:space="preserve"> TB/Leprosy diagnosis </w:t>
      </w:r>
      <w:r>
        <w:rPr>
          <w:color w:val="231F20"/>
          <w:spacing w:val="-4"/>
        </w:rPr>
        <w:t xml:space="preserve">and </w:t>
      </w:r>
      <w:r>
        <w:rPr>
          <w:color w:val="231F20"/>
          <w:spacing w:val="9"/>
        </w:rPr>
        <w:t xml:space="preserve">treatment services </w:t>
      </w:r>
      <w:r>
        <w:rPr>
          <w:color w:val="231F20"/>
          <w:spacing w:val="7"/>
        </w:rPr>
        <w:t xml:space="preserve">for the </w:t>
      </w:r>
      <w:r>
        <w:rPr>
          <w:color w:val="231F20"/>
          <w:spacing w:val="9"/>
        </w:rPr>
        <w:t xml:space="preserve">reduction </w:t>
      </w:r>
      <w:r>
        <w:rPr>
          <w:color w:val="231F20"/>
          <w:spacing w:val="5"/>
        </w:rPr>
        <w:t xml:space="preserve">in </w:t>
      </w:r>
      <w:r>
        <w:rPr>
          <w:color w:val="231F20"/>
          <w:spacing w:val="7"/>
        </w:rPr>
        <w:t xml:space="preserve">the </w:t>
      </w:r>
      <w:r>
        <w:rPr>
          <w:color w:val="231F20"/>
          <w:spacing w:val="9"/>
        </w:rPr>
        <w:t xml:space="preserve">incidence </w:t>
      </w:r>
      <w:r>
        <w:rPr>
          <w:color w:val="231F20"/>
          <w:spacing w:val="7"/>
        </w:rPr>
        <w:t xml:space="preserve">and </w:t>
      </w:r>
      <w:r>
        <w:rPr>
          <w:color w:val="231F20"/>
          <w:spacing w:val="9"/>
        </w:rPr>
        <w:t xml:space="preserve">prevalence </w:t>
      </w:r>
      <w:r>
        <w:rPr>
          <w:color w:val="231F20"/>
          <w:spacing w:val="5"/>
        </w:rPr>
        <w:t xml:space="preserve">of </w:t>
      </w:r>
      <w:r>
        <w:rPr>
          <w:color w:val="231F20"/>
        </w:rPr>
        <w:t>tuberculosis/leprosy</w:t>
      </w:r>
      <w:r>
        <w:rPr>
          <w:color w:val="231F20"/>
          <w:spacing w:val="-25"/>
        </w:rPr>
        <w:t xml:space="preserve"> </w:t>
      </w:r>
      <w:r>
        <w:rPr>
          <w:color w:val="231F20"/>
        </w:rPr>
        <w:t>in</w:t>
      </w:r>
      <w:r>
        <w:rPr>
          <w:color w:val="231F20"/>
          <w:spacing w:val="-25"/>
        </w:rPr>
        <w:t xml:space="preserve"> </w:t>
      </w:r>
      <w:r>
        <w:rPr>
          <w:color w:val="231F20"/>
        </w:rPr>
        <w:t>Rivers</w:t>
      </w:r>
      <w:r>
        <w:rPr>
          <w:color w:val="231F20"/>
          <w:spacing w:val="-25"/>
        </w:rPr>
        <w:t xml:space="preserve"> </w:t>
      </w:r>
      <w:r>
        <w:rPr>
          <w:color w:val="231F20"/>
        </w:rPr>
        <w:t>State.</w:t>
      </w:r>
    </w:p>
    <w:p w14:paraId="0AC5E128" w14:textId="77777777" w:rsidR="009948F1" w:rsidRDefault="009948F1">
      <w:pPr>
        <w:pStyle w:val="BodyText"/>
        <w:rPr>
          <w:b/>
          <w:sz w:val="31"/>
        </w:rPr>
      </w:pPr>
    </w:p>
    <w:p w14:paraId="645B7081" w14:textId="77777777" w:rsidR="009948F1" w:rsidRDefault="00BC0563">
      <w:pPr>
        <w:spacing w:after="44"/>
        <w:ind w:left="451"/>
        <w:rPr>
          <w:b/>
        </w:rPr>
      </w:pPr>
      <w:r>
        <w:rPr>
          <w:b/>
          <w:color w:val="231F20"/>
        </w:rPr>
        <w:t>Target</w:t>
      </w:r>
    </w:p>
    <w:tbl>
      <w:tblPr>
        <w:tblW w:w="0" w:type="auto"/>
        <w:tblInd w:w="1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74"/>
        <w:gridCol w:w="1050"/>
        <w:gridCol w:w="982"/>
        <w:gridCol w:w="817"/>
        <w:gridCol w:w="812"/>
        <w:gridCol w:w="951"/>
        <w:gridCol w:w="1036"/>
        <w:gridCol w:w="1038"/>
      </w:tblGrid>
      <w:tr w:rsidR="009948F1" w14:paraId="450752A4" w14:textId="77777777">
        <w:trPr>
          <w:trHeight w:val="211"/>
        </w:trPr>
        <w:tc>
          <w:tcPr>
            <w:tcW w:w="2574" w:type="dxa"/>
            <w:shd w:val="clear" w:color="auto" w:fill="F6ADCD"/>
          </w:tcPr>
          <w:p w14:paraId="22F7EED0" w14:textId="77777777" w:rsidR="009948F1" w:rsidRDefault="00BC0563">
            <w:pPr>
              <w:pStyle w:val="TableParagraph"/>
              <w:spacing w:before="3" w:line="188" w:lineRule="exact"/>
              <w:ind w:left="110"/>
              <w:rPr>
                <w:sz w:val="18"/>
              </w:rPr>
            </w:pPr>
            <w:r>
              <w:rPr>
                <w:color w:val="231F20"/>
                <w:sz w:val="18"/>
              </w:rPr>
              <w:t>Targets</w:t>
            </w:r>
          </w:p>
        </w:tc>
        <w:tc>
          <w:tcPr>
            <w:tcW w:w="1050" w:type="dxa"/>
            <w:shd w:val="clear" w:color="auto" w:fill="F6ADCD"/>
          </w:tcPr>
          <w:p w14:paraId="1C917543" w14:textId="77777777" w:rsidR="009948F1" w:rsidRDefault="00BC0563">
            <w:pPr>
              <w:pStyle w:val="TableParagraph"/>
              <w:spacing w:before="3" w:line="188" w:lineRule="exact"/>
              <w:ind w:left="108"/>
              <w:rPr>
                <w:sz w:val="18"/>
              </w:rPr>
            </w:pPr>
            <w:r>
              <w:rPr>
                <w:color w:val="231F20"/>
                <w:sz w:val="18"/>
              </w:rPr>
              <w:t>Baseline</w:t>
            </w:r>
          </w:p>
        </w:tc>
        <w:tc>
          <w:tcPr>
            <w:tcW w:w="982" w:type="dxa"/>
            <w:shd w:val="clear" w:color="auto" w:fill="F6ADCD"/>
          </w:tcPr>
          <w:p w14:paraId="134C3AB3" w14:textId="77777777" w:rsidR="009948F1" w:rsidRDefault="00BC0563">
            <w:pPr>
              <w:pStyle w:val="TableParagraph"/>
              <w:spacing w:line="191" w:lineRule="exact"/>
              <w:ind w:left="110"/>
              <w:rPr>
                <w:b/>
                <w:sz w:val="18"/>
              </w:rPr>
            </w:pPr>
            <w:r>
              <w:rPr>
                <w:b/>
                <w:color w:val="231F20"/>
                <w:sz w:val="18"/>
              </w:rPr>
              <w:t>2018</w:t>
            </w:r>
          </w:p>
        </w:tc>
        <w:tc>
          <w:tcPr>
            <w:tcW w:w="817" w:type="dxa"/>
            <w:shd w:val="clear" w:color="auto" w:fill="F6ADCD"/>
          </w:tcPr>
          <w:p w14:paraId="6E7490B5" w14:textId="77777777" w:rsidR="009948F1" w:rsidRDefault="00BC0563">
            <w:pPr>
              <w:pStyle w:val="TableParagraph"/>
              <w:spacing w:line="191" w:lineRule="exact"/>
              <w:ind w:left="110"/>
              <w:rPr>
                <w:b/>
                <w:sz w:val="18"/>
              </w:rPr>
            </w:pPr>
            <w:r>
              <w:rPr>
                <w:b/>
                <w:color w:val="231F20"/>
                <w:sz w:val="18"/>
              </w:rPr>
              <w:t>2019</w:t>
            </w:r>
          </w:p>
        </w:tc>
        <w:tc>
          <w:tcPr>
            <w:tcW w:w="812" w:type="dxa"/>
            <w:shd w:val="clear" w:color="auto" w:fill="F6ADCD"/>
          </w:tcPr>
          <w:p w14:paraId="08E06BFD" w14:textId="77777777" w:rsidR="009948F1" w:rsidRDefault="00BC0563">
            <w:pPr>
              <w:pStyle w:val="TableParagraph"/>
              <w:spacing w:line="191" w:lineRule="exact"/>
              <w:ind w:left="109"/>
              <w:rPr>
                <w:b/>
                <w:sz w:val="18"/>
              </w:rPr>
            </w:pPr>
            <w:r>
              <w:rPr>
                <w:b/>
                <w:color w:val="231F20"/>
                <w:sz w:val="18"/>
              </w:rPr>
              <w:t>2020</w:t>
            </w:r>
          </w:p>
        </w:tc>
        <w:tc>
          <w:tcPr>
            <w:tcW w:w="951" w:type="dxa"/>
            <w:shd w:val="clear" w:color="auto" w:fill="F6ADCD"/>
          </w:tcPr>
          <w:p w14:paraId="249B82AF" w14:textId="77777777" w:rsidR="009948F1" w:rsidRDefault="00BC0563">
            <w:pPr>
              <w:pStyle w:val="TableParagraph"/>
              <w:spacing w:line="191" w:lineRule="exact"/>
              <w:ind w:left="109"/>
              <w:rPr>
                <w:b/>
                <w:sz w:val="18"/>
              </w:rPr>
            </w:pPr>
            <w:r>
              <w:rPr>
                <w:b/>
                <w:color w:val="231F20"/>
                <w:sz w:val="18"/>
              </w:rPr>
              <w:t>2021</w:t>
            </w:r>
          </w:p>
        </w:tc>
        <w:tc>
          <w:tcPr>
            <w:tcW w:w="1036" w:type="dxa"/>
            <w:shd w:val="clear" w:color="auto" w:fill="F6ADCD"/>
          </w:tcPr>
          <w:p w14:paraId="7CF128C5" w14:textId="77777777" w:rsidR="009948F1" w:rsidRDefault="00BC0563">
            <w:pPr>
              <w:pStyle w:val="TableParagraph"/>
              <w:spacing w:line="191" w:lineRule="exact"/>
              <w:ind w:left="109"/>
              <w:rPr>
                <w:b/>
                <w:sz w:val="18"/>
              </w:rPr>
            </w:pPr>
            <w:r>
              <w:rPr>
                <w:b/>
                <w:color w:val="231F20"/>
                <w:sz w:val="18"/>
              </w:rPr>
              <w:t>2022</w:t>
            </w:r>
          </w:p>
        </w:tc>
        <w:tc>
          <w:tcPr>
            <w:tcW w:w="1038" w:type="dxa"/>
            <w:shd w:val="clear" w:color="auto" w:fill="F6ADCD"/>
          </w:tcPr>
          <w:p w14:paraId="4AB60C6B" w14:textId="77777777" w:rsidR="009948F1" w:rsidRDefault="00BC0563">
            <w:pPr>
              <w:pStyle w:val="TableParagraph"/>
              <w:spacing w:line="191" w:lineRule="exact"/>
              <w:ind w:left="109"/>
              <w:rPr>
                <w:b/>
                <w:sz w:val="18"/>
              </w:rPr>
            </w:pPr>
            <w:r>
              <w:rPr>
                <w:b/>
                <w:color w:val="231F20"/>
                <w:sz w:val="18"/>
              </w:rPr>
              <w:t>National</w:t>
            </w:r>
          </w:p>
        </w:tc>
      </w:tr>
      <w:tr w:rsidR="009948F1" w14:paraId="3939515F" w14:textId="77777777">
        <w:trPr>
          <w:trHeight w:val="417"/>
        </w:trPr>
        <w:tc>
          <w:tcPr>
            <w:tcW w:w="2574" w:type="dxa"/>
            <w:tcBorders>
              <w:left w:val="single" w:sz="8" w:space="0" w:color="231F20"/>
              <w:bottom w:val="single" w:sz="8" w:space="0" w:color="231F20"/>
              <w:right w:val="single" w:sz="8" w:space="0" w:color="231F20"/>
            </w:tcBorders>
          </w:tcPr>
          <w:p w14:paraId="44FA3B63" w14:textId="77777777" w:rsidR="009948F1" w:rsidRDefault="00BC0563">
            <w:pPr>
              <w:pStyle w:val="TableParagraph"/>
              <w:spacing w:before="3" w:line="208" w:lineRule="exact"/>
              <w:ind w:left="105" w:right="88" w:firstLine="49"/>
              <w:rPr>
                <w:sz w:val="18"/>
              </w:rPr>
            </w:pPr>
            <w:r>
              <w:rPr>
                <w:color w:val="231F20"/>
                <w:sz w:val="18"/>
              </w:rPr>
              <w:t>To increase TB case detection from 30% to 38%</w:t>
            </w:r>
          </w:p>
        </w:tc>
        <w:tc>
          <w:tcPr>
            <w:tcW w:w="1050" w:type="dxa"/>
            <w:tcBorders>
              <w:left w:val="single" w:sz="8" w:space="0" w:color="231F20"/>
              <w:bottom w:val="single" w:sz="8" w:space="0" w:color="231F20"/>
              <w:right w:val="single" w:sz="8" w:space="0" w:color="231F20"/>
            </w:tcBorders>
          </w:tcPr>
          <w:p w14:paraId="4EC52EB0" w14:textId="77777777" w:rsidR="009948F1" w:rsidRDefault="00BC0563">
            <w:pPr>
              <w:pStyle w:val="TableParagraph"/>
              <w:spacing w:before="1"/>
              <w:ind w:left="103"/>
              <w:rPr>
                <w:sz w:val="18"/>
              </w:rPr>
            </w:pPr>
            <w:r>
              <w:rPr>
                <w:color w:val="231F20"/>
                <w:sz w:val="18"/>
              </w:rPr>
              <w:t>26%</w:t>
            </w:r>
          </w:p>
        </w:tc>
        <w:tc>
          <w:tcPr>
            <w:tcW w:w="982" w:type="dxa"/>
            <w:tcBorders>
              <w:left w:val="single" w:sz="8" w:space="0" w:color="231F20"/>
            </w:tcBorders>
          </w:tcPr>
          <w:p w14:paraId="7D9CFB16" w14:textId="77777777" w:rsidR="009948F1" w:rsidRDefault="00BC0563">
            <w:pPr>
              <w:pStyle w:val="TableParagraph"/>
              <w:spacing w:before="1"/>
              <w:ind w:left="105"/>
              <w:rPr>
                <w:sz w:val="18"/>
              </w:rPr>
            </w:pPr>
            <w:r>
              <w:rPr>
                <w:color w:val="231F20"/>
                <w:sz w:val="18"/>
              </w:rPr>
              <w:t>30%</w:t>
            </w:r>
          </w:p>
        </w:tc>
        <w:tc>
          <w:tcPr>
            <w:tcW w:w="817" w:type="dxa"/>
          </w:tcPr>
          <w:p w14:paraId="0A598371" w14:textId="77777777" w:rsidR="009948F1" w:rsidRDefault="00BC0563">
            <w:pPr>
              <w:pStyle w:val="TableParagraph"/>
              <w:spacing w:before="1"/>
              <w:ind w:left="110"/>
              <w:rPr>
                <w:sz w:val="18"/>
              </w:rPr>
            </w:pPr>
            <w:r>
              <w:rPr>
                <w:color w:val="231F20"/>
                <w:sz w:val="18"/>
              </w:rPr>
              <w:t>32%</w:t>
            </w:r>
          </w:p>
        </w:tc>
        <w:tc>
          <w:tcPr>
            <w:tcW w:w="812" w:type="dxa"/>
          </w:tcPr>
          <w:p w14:paraId="271430B0" w14:textId="77777777" w:rsidR="009948F1" w:rsidRDefault="00BC0563">
            <w:pPr>
              <w:pStyle w:val="TableParagraph"/>
              <w:spacing w:before="1"/>
              <w:ind w:left="109"/>
              <w:rPr>
                <w:sz w:val="18"/>
              </w:rPr>
            </w:pPr>
            <w:r>
              <w:rPr>
                <w:color w:val="231F20"/>
                <w:sz w:val="18"/>
              </w:rPr>
              <w:t>34%</w:t>
            </w:r>
          </w:p>
        </w:tc>
        <w:tc>
          <w:tcPr>
            <w:tcW w:w="951" w:type="dxa"/>
          </w:tcPr>
          <w:p w14:paraId="4C9C90FA" w14:textId="77777777" w:rsidR="009948F1" w:rsidRDefault="00BC0563">
            <w:pPr>
              <w:pStyle w:val="TableParagraph"/>
              <w:spacing w:before="1"/>
              <w:ind w:left="109"/>
              <w:rPr>
                <w:sz w:val="18"/>
              </w:rPr>
            </w:pPr>
            <w:r>
              <w:rPr>
                <w:color w:val="231F20"/>
                <w:sz w:val="18"/>
              </w:rPr>
              <w:t>36%</w:t>
            </w:r>
          </w:p>
        </w:tc>
        <w:tc>
          <w:tcPr>
            <w:tcW w:w="1036" w:type="dxa"/>
          </w:tcPr>
          <w:p w14:paraId="2D7293C6" w14:textId="77777777" w:rsidR="009948F1" w:rsidRDefault="00BC0563">
            <w:pPr>
              <w:pStyle w:val="TableParagraph"/>
              <w:spacing w:before="1"/>
              <w:ind w:left="109"/>
              <w:rPr>
                <w:sz w:val="18"/>
              </w:rPr>
            </w:pPr>
            <w:r>
              <w:rPr>
                <w:color w:val="231F20"/>
                <w:sz w:val="18"/>
              </w:rPr>
              <w:t>38%</w:t>
            </w:r>
          </w:p>
        </w:tc>
        <w:tc>
          <w:tcPr>
            <w:tcW w:w="1038" w:type="dxa"/>
          </w:tcPr>
          <w:p w14:paraId="1F9BDB50" w14:textId="77777777" w:rsidR="009948F1" w:rsidRDefault="00BC0563">
            <w:pPr>
              <w:pStyle w:val="TableParagraph"/>
              <w:spacing w:before="1"/>
              <w:ind w:left="109"/>
              <w:rPr>
                <w:sz w:val="18"/>
              </w:rPr>
            </w:pPr>
            <w:r>
              <w:rPr>
                <w:color w:val="231F20"/>
                <w:sz w:val="18"/>
              </w:rPr>
              <w:t>50%</w:t>
            </w:r>
          </w:p>
        </w:tc>
      </w:tr>
      <w:tr w:rsidR="009948F1" w14:paraId="3379D84D" w14:textId="77777777">
        <w:trPr>
          <w:trHeight w:val="630"/>
        </w:trPr>
        <w:tc>
          <w:tcPr>
            <w:tcW w:w="2574" w:type="dxa"/>
            <w:tcBorders>
              <w:top w:val="single" w:sz="8" w:space="0" w:color="231F20"/>
              <w:left w:val="single" w:sz="8" w:space="0" w:color="231F20"/>
              <w:bottom w:val="single" w:sz="8" w:space="0" w:color="231F20"/>
              <w:right w:val="single" w:sz="8" w:space="0" w:color="231F20"/>
            </w:tcBorders>
          </w:tcPr>
          <w:p w14:paraId="66F38406" w14:textId="77777777" w:rsidR="009948F1" w:rsidRDefault="00BC0563">
            <w:pPr>
              <w:pStyle w:val="TableParagraph"/>
              <w:spacing w:line="210" w:lineRule="atLeast"/>
              <w:ind w:left="105" w:right="196" w:firstLine="49"/>
              <w:jc w:val="both"/>
              <w:rPr>
                <w:sz w:val="18"/>
              </w:rPr>
            </w:pPr>
            <w:r>
              <w:rPr>
                <w:color w:val="231F20"/>
                <w:spacing w:val="-10"/>
                <w:sz w:val="18"/>
              </w:rPr>
              <w:t xml:space="preserve">To </w:t>
            </w:r>
            <w:r>
              <w:rPr>
                <w:color w:val="231F20"/>
                <w:sz w:val="18"/>
              </w:rPr>
              <w:t>reduce TB prevalence</w:t>
            </w:r>
            <w:r>
              <w:rPr>
                <w:color w:val="231F20"/>
                <w:spacing w:val="-30"/>
                <w:sz w:val="18"/>
              </w:rPr>
              <w:t xml:space="preserve"> </w:t>
            </w:r>
            <w:r>
              <w:rPr>
                <w:color w:val="231F20"/>
                <w:spacing w:val="-7"/>
                <w:sz w:val="18"/>
              </w:rPr>
              <w:t xml:space="preserve">by </w:t>
            </w:r>
            <w:r>
              <w:rPr>
                <w:color w:val="231F20"/>
                <w:sz w:val="18"/>
              </w:rPr>
              <w:t>25% from 171 /100,000 to 126/100,000</w:t>
            </w:r>
          </w:p>
        </w:tc>
        <w:tc>
          <w:tcPr>
            <w:tcW w:w="1050" w:type="dxa"/>
            <w:tcBorders>
              <w:top w:val="single" w:sz="8" w:space="0" w:color="231F20"/>
              <w:left w:val="single" w:sz="8" w:space="0" w:color="231F20"/>
              <w:bottom w:val="single" w:sz="8" w:space="0" w:color="231F20"/>
              <w:right w:val="single" w:sz="8" w:space="0" w:color="231F20"/>
            </w:tcBorders>
          </w:tcPr>
          <w:p w14:paraId="271CC434" w14:textId="77777777" w:rsidR="009948F1" w:rsidRDefault="00BC0563">
            <w:pPr>
              <w:pStyle w:val="TableParagraph"/>
              <w:spacing w:before="2"/>
              <w:ind w:left="103"/>
              <w:rPr>
                <w:sz w:val="18"/>
              </w:rPr>
            </w:pPr>
            <w:r>
              <w:rPr>
                <w:color w:val="231F20"/>
                <w:sz w:val="18"/>
              </w:rPr>
              <w:t>171/</w:t>
            </w:r>
          </w:p>
          <w:p w14:paraId="159FD98F" w14:textId="77777777" w:rsidR="009948F1" w:rsidRDefault="00BC0563">
            <w:pPr>
              <w:pStyle w:val="TableParagraph"/>
              <w:spacing w:before="2"/>
              <w:ind w:left="103"/>
              <w:rPr>
                <w:sz w:val="18"/>
              </w:rPr>
            </w:pPr>
            <w:r>
              <w:rPr>
                <w:color w:val="231F20"/>
                <w:sz w:val="18"/>
              </w:rPr>
              <w:t>100,000</w:t>
            </w:r>
          </w:p>
        </w:tc>
        <w:tc>
          <w:tcPr>
            <w:tcW w:w="982" w:type="dxa"/>
            <w:tcBorders>
              <w:left w:val="single" w:sz="8" w:space="0" w:color="231F20"/>
            </w:tcBorders>
          </w:tcPr>
          <w:p w14:paraId="3069EE2F" w14:textId="77777777" w:rsidR="009948F1" w:rsidRDefault="00BC0563">
            <w:pPr>
              <w:pStyle w:val="TableParagraph"/>
              <w:spacing w:before="2"/>
              <w:ind w:left="105"/>
              <w:rPr>
                <w:sz w:val="18"/>
              </w:rPr>
            </w:pPr>
            <w:r>
              <w:rPr>
                <w:color w:val="231F20"/>
                <w:sz w:val="18"/>
              </w:rPr>
              <w:t>162/</w:t>
            </w:r>
          </w:p>
          <w:p w14:paraId="6AE3537E" w14:textId="77777777" w:rsidR="009948F1" w:rsidRDefault="00BC0563">
            <w:pPr>
              <w:pStyle w:val="TableParagraph"/>
              <w:spacing w:before="2"/>
              <w:ind w:left="105"/>
              <w:rPr>
                <w:sz w:val="18"/>
              </w:rPr>
            </w:pPr>
            <w:r>
              <w:rPr>
                <w:color w:val="231F20"/>
                <w:sz w:val="18"/>
              </w:rPr>
              <w:t>100,000</w:t>
            </w:r>
          </w:p>
        </w:tc>
        <w:tc>
          <w:tcPr>
            <w:tcW w:w="817" w:type="dxa"/>
          </w:tcPr>
          <w:p w14:paraId="2E07017C" w14:textId="77777777" w:rsidR="009948F1" w:rsidRDefault="00BC0563">
            <w:pPr>
              <w:pStyle w:val="TableParagraph"/>
              <w:spacing w:before="2"/>
              <w:ind w:left="110"/>
              <w:rPr>
                <w:sz w:val="18"/>
              </w:rPr>
            </w:pPr>
            <w:r>
              <w:rPr>
                <w:color w:val="231F20"/>
                <w:sz w:val="18"/>
              </w:rPr>
              <w:t>153/10</w:t>
            </w:r>
          </w:p>
          <w:p w14:paraId="5DD0BD80" w14:textId="77777777" w:rsidR="009948F1" w:rsidRDefault="00BC0563">
            <w:pPr>
              <w:pStyle w:val="TableParagraph"/>
              <w:spacing w:before="2"/>
              <w:ind w:left="110"/>
              <w:rPr>
                <w:sz w:val="18"/>
              </w:rPr>
            </w:pPr>
            <w:r>
              <w:rPr>
                <w:color w:val="231F20"/>
                <w:sz w:val="18"/>
              </w:rPr>
              <w:t>0,000</w:t>
            </w:r>
          </w:p>
        </w:tc>
        <w:tc>
          <w:tcPr>
            <w:tcW w:w="812" w:type="dxa"/>
          </w:tcPr>
          <w:p w14:paraId="2C02ADF8" w14:textId="77777777" w:rsidR="009948F1" w:rsidRDefault="00BC0563">
            <w:pPr>
              <w:pStyle w:val="TableParagraph"/>
              <w:spacing w:before="2"/>
              <w:ind w:left="109"/>
              <w:rPr>
                <w:sz w:val="18"/>
              </w:rPr>
            </w:pPr>
            <w:r>
              <w:rPr>
                <w:color w:val="231F20"/>
                <w:sz w:val="18"/>
              </w:rPr>
              <w:t>144/10</w:t>
            </w:r>
          </w:p>
          <w:p w14:paraId="7DD8CE18" w14:textId="77777777" w:rsidR="009948F1" w:rsidRDefault="00BC0563">
            <w:pPr>
              <w:pStyle w:val="TableParagraph"/>
              <w:spacing w:before="2"/>
              <w:ind w:left="109"/>
              <w:rPr>
                <w:sz w:val="18"/>
              </w:rPr>
            </w:pPr>
            <w:r>
              <w:rPr>
                <w:color w:val="231F20"/>
                <w:sz w:val="18"/>
              </w:rPr>
              <w:t>0,000</w:t>
            </w:r>
          </w:p>
        </w:tc>
        <w:tc>
          <w:tcPr>
            <w:tcW w:w="951" w:type="dxa"/>
          </w:tcPr>
          <w:p w14:paraId="0167681B" w14:textId="77777777" w:rsidR="009948F1" w:rsidRDefault="00BC0563">
            <w:pPr>
              <w:pStyle w:val="TableParagraph"/>
              <w:spacing w:before="2"/>
              <w:ind w:left="109"/>
              <w:rPr>
                <w:sz w:val="18"/>
              </w:rPr>
            </w:pPr>
            <w:r>
              <w:rPr>
                <w:color w:val="231F20"/>
                <w:sz w:val="18"/>
              </w:rPr>
              <w:t>135/100,</w:t>
            </w:r>
          </w:p>
          <w:p w14:paraId="7711912C" w14:textId="77777777" w:rsidR="009948F1" w:rsidRDefault="00BC0563">
            <w:pPr>
              <w:pStyle w:val="TableParagraph"/>
              <w:spacing w:before="2"/>
              <w:ind w:left="109"/>
              <w:rPr>
                <w:sz w:val="18"/>
              </w:rPr>
            </w:pPr>
            <w:r>
              <w:rPr>
                <w:color w:val="231F20"/>
                <w:sz w:val="18"/>
              </w:rPr>
              <w:t>000</w:t>
            </w:r>
          </w:p>
        </w:tc>
        <w:tc>
          <w:tcPr>
            <w:tcW w:w="1036" w:type="dxa"/>
          </w:tcPr>
          <w:p w14:paraId="77FB3C1E" w14:textId="77777777" w:rsidR="009948F1" w:rsidRDefault="00BC0563">
            <w:pPr>
              <w:pStyle w:val="TableParagraph"/>
              <w:spacing w:before="2"/>
              <w:ind w:left="109"/>
              <w:rPr>
                <w:sz w:val="18"/>
              </w:rPr>
            </w:pPr>
            <w:r>
              <w:rPr>
                <w:color w:val="231F20"/>
                <w:sz w:val="18"/>
              </w:rPr>
              <w:t>126/100,0</w:t>
            </w:r>
          </w:p>
          <w:p w14:paraId="7C3E4F4B" w14:textId="77777777" w:rsidR="009948F1" w:rsidRDefault="00BC0563">
            <w:pPr>
              <w:pStyle w:val="TableParagraph"/>
              <w:spacing w:before="2"/>
              <w:ind w:left="109"/>
              <w:rPr>
                <w:sz w:val="18"/>
              </w:rPr>
            </w:pPr>
            <w:r>
              <w:rPr>
                <w:color w:val="231F20"/>
                <w:sz w:val="18"/>
              </w:rPr>
              <w:t>00</w:t>
            </w:r>
          </w:p>
        </w:tc>
        <w:tc>
          <w:tcPr>
            <w:tcW w:w="1038" w:type="dxa"/>
          </w:tcPr>
          <w:p w14:paraId="7D74EEF2" w14:textId="77777777" w:rsidR="009948F1" w:rsidRDefault="00BC0563">
            <w:pPr>
              <w:pStyle w:val="TableParagraph"/>
              <w:spacing w:before="2"/>
              <w:ind w:left="109"/>
              <w:rPr>
                <w:sz w:val="18"/>
              </w:rPr>
            </w:pPr>
            <w:r>
              <w:rPr>
                <w:color w:val="231F20"/>
                <w:sz w:val="18"/>
              </w:rPr>
              <w:t>244/</w:t>
            </w:r>
          </w:p>
          <w:p w14:paraId="09FFC01D" w14:textId="77777777" w:rsidR="009948F1" w:rsidRDefault="00BC0563">
            <w:pPr>
              <w:pStyle w:val="TableParagraph"/>
              <w:spacing w:before="2"/>
              <w:ind w:left="109"/>
              <w:rPr>
                <w:sz w:val="18"/>
              </w:rPr>
            </w:pPr>
            <w:r>
              <w:rPr>
                <w:color w:val="231F20"/>
                <w:sz w:val="18"/>
              </w:rPr>
              <w:t>100,000</w:t>
            </w:r>
          </w:p>
        </w:tc>
      </w:tr>
      <w:tr w:rsidR="009948F1" w14:paraId="3252C967" w14:textId="77777777">
        <w:trPr>
          <w:trHeight w:val="837"/>
        </w:trPr>
        <w:tc>
          <w:tcPr>
            <w:tcW w:w="2574" w:type="dxa"/>
            <w:tcBorders>
              <w:top w:val="single" w:sz="8" w:space="0" w:color="231F20"/>
              <w:left w:val="single" w:sz="8" w:space="0" w:color="231F20"/>
              <w:bottom w:val="single" w:sz="8" w:space="0" w:color="231F20"/>
              <w:right w:val="single" w:sz="8" w:space="0" w:color="231F20"/>
            </w:tcBorders>
          </w:tcPr>
          <w:p w14:paraId="646BCB8D" w14:textId="77777777" w:rsidR="009948F1" w:rsidRDefault="00BC0563">
            <w:pPr>
              <w:pStyle w:val="TableParagraph"/>
              <w:ind w:left="105" w:right="88" w:firstLine="49"/>
              <w:rPr>
                <w:sz w:val="18"/>
              </w:rPr>
            </w:pPr>
            <w:r>
              <w:rPr>
                <w:color w:val="231F20"/>
                <w:sz w:val="18"/>
              </w:rPr>
              <w:t>Decrease the incidence of TB by 60% from 300/100,000 to 156/100,000</w:t>
            </w:r>
          </w:p>
        </w:tc>
        <w:tc>
          <w:tcPr>
            <w:tcW w:w="1050" w:type="dxa"/>
            <w:tcBorders>
              <w:top w:val="single" w:sz="8" w:space="0" w:color="231F20"/>
              <w:left w:val="single" w:sz="8" w:space="0" w:color="231F20"/>
              <w:bottom w:val="single" w:sz="8" w:space="0" w:color="231F20"/>
              <w:right w:val="single" w:sz="8" w:space="0" w:color="231F20"/>
            </w:tcBorders>
          </w:tcPr>
          <w:p w14:paraId="166CC84D" w14:textId="77777777" w:rsidR="009948F1" w:rsidRDefault="00BC0563">
            <w:pPr>
              <w:pStyle w:val="TableParagraph"/>
              <w:ind w:left="103"/>
              <w:rPr>
                <w:sz w:val="18"/>
              </w:rPr>
            </w:pPr>
            <w:r>
              <w:rPr>
                <w:color w:val="231F20"/>
                <w:sz w:val="18"/>
              </w:rPr>
              <w:t>TBD</w:t>
            </w:r>
          </w:p>
        </w:tc>
        <w:tc>
          <w:tcPr>
            <w:tcW w:w="982" w:type="dxa"/>
            <w:tcBorders>
              <w:left w:val="single" w:sz="8" w:space="0" w:color="231F20"/>
            </w:tcBorders>
          </w:tcPr>
          <w:p w14:paraId="664CF0E9" w14:textId="77777777" w:rsidR="009948F1" w:rsidRDefault="00BC0563">
            <w:pPr>
              <w:pStyle w:val="TableParagraph"/>
              <w:ind w:left="105"/>
              <w:rPr>
                <w:sz w:val="18"/>
              </w:rPr>
            </w:pPr>
            <w:r>
              <w:rPr>
                <w:color w:val="231F20"/>
                <w:sz w:val="18"/>
              </w:rPr>
              <w:t>300/100,</w:t>
            </w:r>
          </w:p>
          <w:p w14:paraId="30C30AAA" w14:textId="77777777" w:rsidR="009948F1" w:rsidRDefault="00BC0563">
            <w:pPr>
              <w:pStyle w:val="TableParagraph"/>
              <w:spacing w:before="2"/>
              <w:ind w:left="105"/>
              <w:rPr>
                <w:sz w:val="18"/>
              </w:rPr>
            </w:pPr>
            <w:r>
              <w:rPr>
                <w:color w:val="231F20"/>
                <w:sz w:val="18"/>
              </w:rPr>
              <w:t>000</w:t>
            </w:r>
          </w:p>
        </w:tc>
        <w:tc>
          <w:tcPr>
            <w:tcW w:w="817" w:type="dxa"/>
          </w:tcPr>
          <w:p w14:paraId="457CE470" w14:textId="77777777" w:rsidR="009948F1" w:rsidRDefault="00BC0563">
            <w:pPr>
              <w:pStyle w:val="TableParagraph"/>
              <w:ind w:left="110"/>
              <w:rPr>
                <w:sz w:val="18"/>
              </w:rPr>
            </w:pPr>
            <w:r>
              <w:rPr>
                <w:color w:val="231F20"/>
                <w:sz w:val="18"/>
              </w:rPr>
              <w:t>264/10</w:t>
            </w:r>
          </w:p>
          <w:p w14:paraId="63547DDE" w14:textId="77777777" w:rsidR="009948F1" w:rsidRDefault="00BC0563">
            <w:pPr>
              <w:pStyle w:val="TableParagraph"/>
              <w:spacing w:before="2"/>
              <w:ind w:left="110"/>
              <w:rPr>
                <w:sz w:val="18"/>
              </w:rPr>
            </w:pPr>
            <w:r>
              <w:rPr>
                <w:color w:val="231F20"/>
                <w:sz w:val="18"/>
              </w:rPr>
              <w:t>0,000</w:t>
            </w:r>
          </w:p>
        </w:tc>
        <w:tc>
          <w:tcPr>
            <w:tcW w:w="812" w:type="dxa"/>
          </w:tcPr>
          <w:p w14:paraId="3B6D9E0B" w14:textId="77777777" w:rsidR="009948F1" w:rsidRDefault="00BC0563">
            <w:pPr>
              <w:pStyle w:val="TableParagraph"/>
              <w:ind w:left="109"/>
              <w:rPr>
                <w:sz w:val="18"/>
              </w:rPr>
            </w:pPr>
            <w:r>
              <w:rPr>
                <w:color w:val="231F20"/>
                <w:sz w:val="18"/>
              </w:rPr>
              <w:t>228/10</w:t>
            </w:r>
          </w:p>
          <w:p w14:paraId="7754D127" w14:textId="77777777" w:rsidR="009948F1" w:rsidRDefault="00BC0563">
            <w:pPr>
              <w:pStyle w:val="TableParagraph"/>
              <w:spacing w:before="2"/>
              <w:ind w:left="109"/>
              <w:rPr>
                <w:sz w:val="18"/>
              </w:rPr>
            </w:pPr>
            <w:r>
              <w:rPr>
                <w:color w:val="231F20"/>
                <w:sz w:val="18"/>
              </w:rPr>
              <w:t>0,000</w:t>
            </w:r>
          </w:p>
        </w:tc>
        <w:tc>
          <w:tcPr>
            <w:tcW w:w="951" w:type="dxa"/>
          </w:tcPr>
          <w:p w14:paraId="0BE8B81D" w14:textId="77777777" w:rsidR="009948F1" w:rsidRDefault="00BC0563">
            <w:pPr>
              <w:pStyle w:val="TableParagraph"/>
              <w:ind w:left="109"/>
              <w:rPr>
                <w:sz w:val="18"/>
              </w:rPr>
            </w:pPr>
            <w:r>
              <w:rPr>
                <w:color w:val="231F20"/>
                <w:sz w:val="18"/>
              </w:rPr>
              <w:t>192/100,</w:t>
            </w:r>
          </w:p>
          <w:p w14:paraId="79EBD639" w14:textId="77777777" w:rsidR="009948F1" w:rsidRDefault="00BC0563">
            <w:pPr>
              <w:pStyle w:val="TableParagraph"/>
              <w:spacing w:before="2"/>
              <w:ind w:left="109"/>
              <w:rPr>
                <w:sz w:val="18"/>
              </w:rPr>
            </w:pPr>
            <w:r>
              <w:rPr>
                <w:color w:val="231F20"/>
                <w:sz w:val="18"/>
              </w:rPr>
              <w:t>000</w:t>
            </w:r>
          </w:p>
        </w:tc>
        <w:tc>
          <w:tcPr>
            <w:tcW w:w="1036" w:type="dxa"/>
          </w:tcPr>
          <w:p w14:paraId="6786308E" w14:textId="77777777" w:rsidR="009948F1" w:rsidRDefault="00BC0563">
            <w:pPr>
              <w:pStyle w:val="TableParagraph"/>
              <w:ind w:left="109"/>
              <w:rPr>
                <w:sz w:val="18"/>
              </w:rPr>
            </w:pPr>
            <w:r>
              <w:rPr>
                <w:color w:val="231F20"/>
                <w:sz w:val="18"/>
              </w:rPr>
              <w:t>156/100,0</w:t>
            </w:r>
          </w:p>
          <w:p w14:paraId="2201AE80" w14:textId="77777777" w:rsidR="009948F1" w:rsidRDefault="00BC0563">
            <w:pPr>
              <w:pStyle w:val="TableParagraph"/>
              <w:spacing w:before="2"/>
              <w:ind w:left="109"/>
              <w:rPr>
                <w:sz w:val="18"/>
              </w:rPr>
            </w:pPr>
            <w:r>
              <w:rPr>
                <w:color w:val="231F20"/>
                <w:sz w:val="18"/>
              </w:rPr>
              <w:t>00</w:t>
            </w:r>
          </w:p>
        </w:tc>
        <w:tc>
          <w:tcPr>
            <w:tcW w:w="1038" w:type="dxa"/>
          </w:tcPr>
          <w:p w14:paraId="35902218" w14:textId="77777777" w:rsidR="009948F1" w:rsidRDefault="00BC0563">
            <w:pPr>
              <w:pStyle w:val="TableParagraph"/>
              <w:ind w:left="109"/>
              <w:rPr>
                <w:sz w:val="18"/>
              </w:rPr>
            </w:pPr>
            <w:r>
              <w:rPr>
                <w:color w:val="231F20"/>
                <w:sz w:val="18"/>
              </w:rPr>
              <w:t>129/</w:t>
            </w:r>
          </w:p>
          <w:p w14:paraId="7578B208" w14:textId="77777777" w:rsidR="009948F1" w:rsidRDefault="00BC0563">
            <w:pPr>
              <w:pStyle w:val="TableParagraph"/>
              <w:spacing w:before="2"/>
              <w:ind w:left="109"/>
              <w:rPr>
                <w:sz w:val="18"/>
              </w:rPr>
            </w:pPr>
            <w:r>
              <w:rPr>
                <w:color w:val="231F20"/>
                <w:sz w:val="18"/>
              </w:rPr>
              <w:t>100,000</w:t>
            </w:r>
          </w:p>
        </w:tc>
      </w:tr>
      <w:tr w:rsidR="009948F1" w14:paraId="2F611EB5" w14:textId="77777777">
        <w:trPr>
          <w:trHeight w:val="628"/>
        </w:trPr>
        <w:tc>
          <w:tcPr>
            <w:tcW w:w="2574" w:type="dxa"/>
            <w:tcBorders>
              <w:top w:val="single" w:sz="8" w:space="0" w:color="231F20"/>
              <w:left w:val="single" w:sz="8" w:space="0" w:color="231F20"/>
              <w:bottom w:val="single" w:sz="8" w:space="0" w:color="231F20"/>
              <w:right w:val="single" w:sz="8" w:space="0" w:color="231F20"/>
            </w:tcBorders>
          </w:tcPr>
          <w:p w14:paraId="2D054EDC" w14:textId="77777777" w:rsidR="009948F1" w:rsidRDefault="00BC0563">
            <w:pPr>
              <w:pStyle w:val="TableParagraph"/>
              <w:spacing w:before="1"/>
              <w:ind w:left="105" w:right="349" w:firstLine="49"/>
              <w:rPr>
                <w:sz w:val="18"/>
              </w:rPr>
            </w:pPr>
            <w:r>
              <w:rPr>
                <w:color w:val="231F20"/>
                <w:sz w:val="18"/>
              </w:rPr>
              <w:t>To increase TB treatment success rate from 74% to</w:t>
            </w:r>
          </w:p>
          <w:p w14:paraId="3FAF0A9D" w14:textId="77777777" w:rsidR="009948F1" w:rsidRDefault="00BC0563">
            <w:pPr>
              <w:pStyle w:val="TableParagraph"/>
              <w:spacing w:before="6" w:line="187" w:lineRule="exact"/>
              <w:ind w:left="105"/>
              <w:rPr>
                <w:sz w:val="18"/>
              </w:rPr>
            </w:pPr>
            <w:r>
              <w:rPr>
                <w:color w:val="231F20"/>
                <w:sz w:val="18"/>
              </w:rPr>
              <w:t>90%</w:t>
            </w:r>
          </w:p>
        </w:tc>
        <w:tc>
          <w:tcPr>
            <w:tcW w:w="1050" w:type="dxa"/>
            <w:tcBorders>
              <w:top w:val="single" w:sz="8" w:space="0" w:color="231F20"/>
              <w:left w:val="single" w:sz="8" w:space="0" w:color="231F20"/>
              <w:bottom w:val="single" w:sz="8" w:space="0" w:color="231F20"/>
              <w:right w:val="single" w:sz="8" w:space="0" w:color="231F20"/>
            </w:tcBorders>
          </w:tcPr>
          <w:p w14:paraId="393707D2" w14:textId="77777777" w:rsidR="009948F1" w:rsidRDefault="00BC0563">
            <w:pPr>
              <w:pStyle w:val="TableParagraph"/>
              <w:spacing w:before="1"/>
              <w:ind w:left="103"/>
              <w:rPr>
                <w:sz w:val="18"/>
              </w:rPr>
            </w:pPr>
            <w:r>
              <w:rPr>
                <w:color w:val="231F20"/>
                <w:sz w:val="18"/>
              </w:rPr>
              <w:t>70%</w:t>
            </w:r>
          </w:p>
        </w:tc>
        <w:tc>
          <w:tcPr>
            <w:tcW w:w="982" w:type="dxa"/>
            <w:tcBorders>
              <w:left w:val="single" w:sz="8" w:space="0" w:color="231F20"/>
            </w:tcBorders>
          </w:tcPr>
          <w:p w14:paraId="0F33D484" w14:textId="77777777" w:rsidR="009948F1" w:rsidRDefault="00BC0563">
            <w:pPr>
              <w:pStyle w:val="TableParagraph"/>
              <w:spacing w:before="1"/>
              <w:ind w:left="105"/>
              <w:rPr>
                <w:sz w:val="18"/>
              </w:rPr>
            </w:pPr>
            <w:r>
              <w:rPr>
                <w:color w:val="231F20"/>
                <w:sz w:val="18"/>
              </w:rPr>
              <w:t>74%</w:t>
            </w:r>
          </w:p>
        </w:tc>
        <w:tc>
          <w:tcPr>
            <w:tcW w:w="817" w:type="dxa"/>
          </w:tcPr>
          <w:p w14:paraId="526C7B88" w14:textId="77777777" w:rsidR="009948F1" w:rsidRDefault="00BC0563">
            <w:pPr>
              <w:pStyle w:val="TableParagraph"/>
              <w:spacing w:before="1"/>
              <w:ind w:left="110"/>
              <w:rPr>
                <w:sz w:val="18"/>
              </w:rPr>
            </w:pPr>
            <w:r>
              <w:rPr>
                <w:color w:val="231F20"/>
                <w:sz w:val="18"/>
              </w:rPr>
              <w:t>78%</w:t>
            </w:r>
          </w:p>
        </w:tc>
        <w:tc>
          <w:tcPr>
            <w:tcW w:w="812" w:type="dxa"/>
          </w:tcPr>
          <w:p w14:paraId="26CBF75C" w14:textId="77777777" w:rsidR="009948F1" w:rsidRDefault="00BC0563">
            <w:pPr>
              <w:pStyle w:val="TableParagraph"/>
              <w:spacing w:before="1"/>
              <w:ind w:left="109"/>
              <w:rPr>
                <w:sz w:val="18"/>
              </w:rPr>
            </w:pPr>
            <w:r>
              <w:rPr>
                <w:color w:val="231F20"/>
                <w:sz w:val="18"/>
              </w:rPr>
              <w:t>82%</w:t>
            </w:r>
          </w:p>
        </w:tc>
        <w:tc>
          <w:tcPr>
            <w:tcW w:w="951" w:type="dxa"/>
          </w:tcPr>
          <w:p w14:paraId="79DD4DEC" w14:textId="77777777" w:rsidR="009948F1" w:rsidRDefault="00BC0563">
            <w:pPr>
              <w:pStyle w:val="TableParagraph"/>
              <w:spacing w:before="1"/>
              <w:ind w:left="109"/>
              <w:rPr>
                <w:sz w:val="18"/>
              </w:rPr>
            </w:pPr>
            <w:r>
              <w:rPr>
                <w:color w:val="231F20"/>
                <w:sz w:val="18"/>
              </w:rPr>
              <w:t>86%</w:t>
            </w:r>
          </w:p>
        </w:tc>
        <w:tc>
          <w:tcPr>
            <w:tcW w:w="1036" w:type="dxa"/>
          </w:tcPr>
          <w:p w14:paraId="3A035E35" w14:textId="77777777" w:rsidR="009948F1" w:rsidRDefault="00BC0563">
            <w:pPr>
              <w:pStyle w:val="TableParagraph"/>
              <w:spacing w:before="1"/>
              <w:ind w:left="109"/>
              <w:rPr>
                <w:sz w:val="18"/>
              </w:rPr>
            </w:pPr>
            <w:r>
              <w:rPr>
                <w:color w:val="231F20"/>
                <w:sz w:val="18"/>
              </w:rPr>
              <w:t>90%</w:t>
            </w:r>
          </w:p>
        </w:tc>
        <w:tc>
          <w:tcPr>
            <w:tcW w:w="1038" w:type="dxa"/>
          </w:tcPr>
          <w:p w14:paraId="2E41DA51" w14:textId="77777777" w:rsidR="009948F1" w:rsidRDefault="00BC0563">
            <w:pPr>
              <w:pStyle w:val="TableParagraph"/>
              <w:spacing w:before="1"/>
              <w:ind w:left="109"/>
              <w:rPr>
                <w:sz w:val="18"/>
              </w:rPr>
            </w:pPr>
            <w:r>
              <w:rPr>
                <w:color w:val="231F20"/>
                <w:sz w:val="18"/>
              </w:rPr>
              <w:t>100%</w:t>
            </w:r>
          </w:p>
        </w:tc>
      </w:tr>
    </w:tbl>
    <w:p w14:paraId="3BE3D1F5" w14:textId="77777777" w:rsidR="009948F1" w:rsidRDefault="009948F1">
      <w:pPr>
        <w:pStyle w:val="BodyText"/>
        <w:spacing w:before="5"/>
        <w:rPr>
          <w:b/>
          <w:sz w:val="27"/>
        </w:rPr>
      </w:pPr>
    </w:p>
    <w:p w14:paraId="2DFA736E" w14:textId="77777777" w:rsidR="009948F1" w:rsidRDefault="00BC0563">
      <w:pPr>
        <w:ind w:left="144"/>
        <w:rPr>
          <w:b/>
        </w:rPr>
      </w:pPr>
      <w:r>
        <w:rPr>
          <w:b/>
          <w:color w:val="231F20"/>
        </w:rPr>
        <w:t>Interventions</w:t>
      </w:r>
    </w:p>
    <w:p w14:paraId="7C2B0B1D" w14:textId="77777777" w:rsidR="009948F1" w:rsidRDefault="00BC0563">
      <w:pPr>
        <w:pStyle w:val="ListParagraph"/>
        <w:numPr>
          <w:ilvl w:val="3"/>
          <w:numId w:val="287"/>
        </w:numPr>
        <w:tabs>
          <w:tab w:val="left" w:pos="855"/>
        </w:tabs>
        <w:spacing w:before="23" w:line="261" w:lineRule="auto"/>
        <w:ind w:right="198" w:firstLine="0"/>
      </w:pPr>
      <w:r>
        <w:rPr>
          <w:color w:val="231F20"/>
        </w:rPr>
        <w:t>Strengthen</w:t>
      </w:r>
      <w:r>
        <w:rPr>
          <w:color w:val="231F20"/>
          <w:spacing w:val="-29"/>
        </w:rPr>
        <w:t xml:space="preserve"> </w:t>
      </w:r>
      <w:r>
        <w:rPr>
          <w:color w:val="231F20"/>
        </w:rPr>
        <w:t>TB</w:t>
      </w:r>
      <w:r>
        <w:rPr>
          <w:color w:val="231F20"/>
          <w:spacing w:val="-26"/>
        </w:rPr>
        <w:t xml:space="preserve"> </w:t>
      </w:r>
      <w:r>
        <w:rPr>
          <w:color w:val="231F20"/>
        </w:rPr>
        <w:t>case</w:t>
      </w:r>
      <w:r>
        <w:rPr>
          <w:color w:val="231F20"/>
          <w:spacing w:val="-25"/>
        </w:rPr>
        <w:t xml:space="preserve"> </w:t>
      </w:r>
      <w:r>
        <w:rPr>
          <w:color w:val="231F20"/>
        </w:rPr>
        <w:t>detection,</w:t>
      </w:r>
      <w:r>
        <w:rPr>
          <w:color w:val="231F20"/>
          <w:spacing w:val="-25"/>
        </w:rPr>
        <w:t xml:space="preserve"> </w:t>
      </w:r>
      <w:r>
        <w:rPr>
          <w:color w:val="231F20"/>
        </w:rPr>
        <w:t>diagnostic</w:t>
      </w:r>
      <w:r>
        <w:rPr>
          <w:color w:val="231F20"/>
          <w:spacing w:val="-25"/>
        </w:rPr>
        <w:t xml:space="preserve"> </w:t>
      </w:r>
      <w:r>
        <w:rPr>
          <w:color w:val="231F20"/>
        </w:rPr>
        <w:t>capacity</w:t>
      </w:r>
      <w:r>
        <w:rPr>
          <w:color w:val="231F20"/>
          <w:spacing w:val="-25"/>
        </w:rPr>
        <w:t xml:space="preserve"> </w:t>
      </w:r>
      <w:r>
        <w:rPr>
          <w:color w:val="231F20"/>
        </w:rPr>
        <w:t>and</w:t>
      </w:r>
      <w:r>
        <w:rPr>
          <w:color w:val="231F20"/>
          <w:spacing w:val="-25"/>
        </w:rPr>
        <w:t xml:space="preserve"> </w:t>
      </w:r>
      <w:r>
        <w:rPr>
          <w:color w:val="231F20"/>
        </w:rPr>
        <w:t>access</w:t>
      </w:r>
      <w:r>
        <w:rPr>
          <w:color w:val="231F20"/>
          <w:spacing w:val="-25"/>
        </w:rPr>
        <w:t xml:space="preserve"> </w:t>
      </w:r>
      <w:r>
        <w:rPr>
          <w:color w:val="231F20"/>
        </w:rPr>
        <w:t>to</w:t>
      </w:r>
      <w:r>
        <w:rPr>
          <w:color w:val="231F20"/>
          <w:spacing w:val="-26"/>
        </w:rPr>
        <w:t xml:space="preserve"> </w:t>
      </w:r>
      <w:r>
        <w:rPr>
          <w:color w:val="231F20"/>
        </w:rPr>
        <w:t>quality</w:t>
      </w:r>
      <w:r>
        <w:rPr>
          <w:color w:val="231F20"/>
          <w:spacing w:val="-25"/>
        </w:rPr>
        <w:t xml:space="preserve"> </w:t>
      </w:r>
      <w:r>
        <w:rPr>
          <w:color w:val="231F20"/>
        </w:rPr>
        <w:t>treatment</w:t>
      </w:r>
      <w:r>
        <w:rPr>
          <w:color w:val="231F20"/>
          <w:spacing w:val="-25"/>
        </w:rPr>
        <w:t xml:space="preserve"> </w:t>
      </w:r>
      <w:r>
        <w:rPr>
          <w:color w:val="231F20"/>
        </w:rPr>
        <w:t>services. Key</w:t>
      </w:r>
      <w:r>
        <w:rPr>
          <w:color w:val="231F20"/>
          <w:spacing w:val="-10"/>
        </w:rPr>
        <w:t xml:space="preserve"> </w:t>
      </w:r>
      <w:r>
        <w:rPr>
          <w:color w:val="231F20"/>
        </w:rPr>
        <w:t>actions</w:t>
      </w:r>
      <w:r>
        <w:rPr>
          <w:color w:val="231F20"/>
          <w:spacing w:val="-9"/>
        </w:rPr>
        <w:t xml:space="preserve"> </w:t>
      </w:r>
      <w:r>
        <w:rPr>
          <w:color w:val="231F20"/>
        </w:rPr>
        <w:t>include;</w:t>
      </w:r>
      <w:r>
        <w:rPr>
          <w:color w:val="231F20"/>
          <w:spacing w:val="-9"/>
        </w:rPr>
        <w:t xml:space="preserve"> </w:t>
      </w:r>
      <w:r>
        <w:rPr>
          <w:color w:val="231F20"/>
        </w:rPr>
        <w:t>-</w:t>
      </w:r>
      <w:r>
        <w:rPr>
          <w:color w:val="231F20"/>
          <w:spacing w:val="-9"/>
        </w:rPr>
        <w:t xml:space="preserve"> </w:t>
      </w:r>
      <w:r>
        <w:rPr>
          <w:color w:val="231F20"/>
        </w:rPr>
        <w:t>Strengthen</w:t>
      </w:r>
      <w:r>
        <w:rPr>
          <w:color w:val="231F20"/>
          <w:spacing w:val="-9"/>
        </w:rPr>
        <w:t xml:space="preserve"> </w:t>
      </w:r>
      <w:r>
        <w:rPr>
          <w:color w:val="231F20"/>
        </w:rPr>
        <w:t>and</w:t>
      </w:r>
      <w:r>
        <w:rPr>
          <w:color w:val="231F20"/>
          <w:spacing w:val="-9"/>
        </w:rPr>
        <w:t xml:space="preserve"> </w:t>
      </w:r>
      <w:r>
        <w:rPr>
          <w:color w:val="231F20"/>
        </w:rPr>
        <w:t>scale</w:t>
      </w:r>
      <w:r>
        <w:rPr>
          <w:color w:val="231F20"/>
          <w:spacing w:val="-9"/>
        </w:rPr>
        <w:t xml:space="preserve"> </w:t>
      </w:r>
      <w:r>
        <w:rPr>
          <w:color w:val="231F20"/>
        </w:rPr>
        <w:t>up</w:t>
      </w:r>
      <w:r>
        <w:rPr>
          <w:color w:val="231F20"/>
          <w:spacing w:val="-10"/>
        </w:rPr>
        <w:t xml:space="preserve"> </w:t>
      </w:r>
      <w:r>
        <w:rPr>
          <w:color w:val="231F20"/>
        </w:rPr>
        <w:t>diagnostic</w:t>
      </w:r>
      <w:r>
        <w:rPr>
          <w:color w:val="231F20"/>
          <w:spacing w:val="-9"/>
        </w:rPr>
        <w:t xml:space="preserve"> </w:t>
      </w:r>
      <w:r>
        <w:rPr>
          <w:color w:val="231F20"/>
        </w:rPr>
        <w:t>capacity</w:t>
      </w:r>
      <w:r>
        <w:rPr>
          <w:color w:val="231F20"/>
          <w:spacing w:val="-9"/>
        </w:rPr>
        <w:t xml:space="preserve"> </w:t>
      </w:r>
      <w:r>
        <w:rPr>
          <w:color w:val="231F20"/>
        </w:rPr>
        <w:t>strategically,</w:t>
      </w:r>
      <w:r>
        <w:rPr>
          <w:color w:val="231F20"/>
          <w:spacing w:val="-9"/>
        </w:rPr>
        <w:t xml:space="preserve"> </w:t>
      </w:r>
      <w:r>
        <w:rPr>
          <w:color w:val="231F20"/>
        </w:rPr>
        <w:t>focusing</w:t>
      </w:r>
      <w:r>
        <w:rPr>
          <w:color w:val="231F20"/>
          <w:spacing w:val="-9"/>
        </w:rPr>
        <w:t xml:space="preserve"> </w:t>
      </w:r>
      <w:r>
        <w:rPr>
          <w:color w:val="231F20"/>
        </w:rPr>
        <w:t>on</w:t>
      </w:r>
      <w:r>
        <w:rPr>
          <w:color w:val="231F20"/>
          <w:spacing w:val="-9"/>
        </w:rPr>
        <w:t xml:space="preserve"> </w:t>
      </w:r>
      <w:r>
        <w:rPr>
          <w:color w:val="231F20"/>
          <w:spacing w:val="-3"/>
        </w:rPr>
        <w:t xml:space="preserve">high- </w:t>
      </w:r>
      <w:r>
        <w:rPr>
          <w:color w:val="231F20"/>
        </w:rPr>
        <w:t>burden</w:t>
      </w:r>
      <w:r>
        <w:rPr>
          <w:color w:val="231F20"/>
          <w:spacing w:val="-11"/>
        </w:rPr>
        <w:t xml:space="preserve"> </w:t>
      </w:r>
      <w:r>
        <w:rPr>
          <w:color w:val="231F20"/>
        </w:rPr>
        <w:t>areas</w:t>
      </w:r>
      <w:r>
        <w:rPr>
          <w:color w:val="231F20"/>
          <w:spacing w:val="-10"/>
        </w:rPr>
        <w:t xml:space="preserve"> </w:t>
      </w:r>
      <w:r>
        <w:rPr>
          <w:color w:val="231F20"/>
        </w:rPr>
        <w:t>and</w:t>
      </w:r>
      <w:r>
        <w:rPr>
          <w:color w:val="231F20"/>
          <w:spacing w:val="-10"/>
        </w:rPr>
        <w:t xml:space="preserve"> </w:t>
      </w:r>
      <w:r>
        <w:rPr>
          <w:color w:val="231F20"/>
        </w:rPr>
        <w:t>areas</w:t>
      </w:r>
      <w:r>
        <w:rPr>
          <w:color w:val="231F20"/>
          <w:spacing w:val="-10"/>
        </w:rPr>
        <w:t xml:space="preserve"> </w:t>
      </w:r>
      <w:r>
        <w:rPr>
          <w:color w:val="231F20"/>
        </w:rPr>
        <w:t>of</w:t>
      </w:r>
      <w:r>
        <w:rPr>
          <w:color w:val="231F20"/>
          <w:spacing w:val="-11"/>
        </w:rPr>
        <w:t xml:space="preserve"> </w:t>
      </w:r>
      <w:r>
        <w:rPr>
          <w:color w:val="231F20"/>
        </w:rPr>
        <w:t>poor</w:t>
      </w:r>
      <w:r>
        <w:rPr>
          <w:color w:val="231F20"/>
          <w:spacing w:val="-11"/>
        </w:rPr>
        <w:t xml:space="preserve"> </w:t>
      </w:r>
      <w:r>
        <w:rPr>
          <w:color w:val="231F20"/>
        </w:rPr>
        <w:t>coverage</w:t>
      </w:r>
      <w:r>
        <w:rPr>
          <w:color w:val="231F20"/>
          <w:spacing w:val="-10"/>
        </w:rPr>
        <w:t xml:space="preserve"> </w:t>
      </w:r>
      <w:r>
        <w:rPr>
          <w:color w:val="231F20"/>
        </w:rPr>
        <w:t>and</w:t>
      </w:r>
      <w:r>
        <w:rPr>
          <w:color w:val="231F20"/>
          <w:spacing w:val="-10"/>
        </w:rPr>
        <w:t xml:space="preserve"> </w:t>
      </w:r>
      <w:r>
        <w:rPr>
          <w:color w:val="231F20"/>
        </w:rPr>
        <w:t>maintain</w:t>
      </w:r>
      <w:r>
        <w:rPr>
          <w:color w:val="231F20"/>
          <w:spacing w:val="-10"/>
        </w:rPr>
        <w:t xml:space="preserve"> </w:t>
      </w:r>
      <w:r>
        <w:rPr>
          <w:color w:val="231F20"/>
        </w:rPr>
        <w:t>quality</w:t>
      </w:r>
      <w:r>
        <w:rPr>
          <w:color w:val="231F20"/>
          <w:spacing w:val="-10"/>
        </w:rPr>
        <w:t xml:space="preserve"> </w:t>
      </w:r>
      <w:r>
        <w:rPr>
          <w:color w:val="231F20"/>
        </w:rPr>
        <w:t>throughout</w:t>
      </w:r>
      <w:r>
        <w:rPr>
          <w:color w:val="231F20"/>
          <w:spacing w:val="-10"/>
        </w:rPr>
        <w:t xml:space="preserve"> </w:t>
      </w:r>
      <w:r>
        <w:rPr>
          <w:color w:val="231F20"/>
        </w:rPr>
        <w:t>the</w:t>
      </w:r>
      <w:r>
        <w:rPr>
          <w:color w:val="231F20"/>
          <w:spacing w:val="-12"/>
        </w:rPr>
        <w:t xml:space="preserve"> </w:t>
      </w:r>
      <w:r>
        <w:rPr>
          <w:color w:val="231F20"/>
        </w:rPr>
        <w:t>laboratory</w:t>
      </w:r>
      <w:r>
        <w:rPr>
          <w:color w:val="231F20"/>
          <w:spacing w:val="-10"/>
        </w:rPr>
        <w:t xml:space="preserve"> </w:t>
      </w:r>
      <w:r>
        <w:rPr>
          <w:color w:val="231F20"/>
        </w:rPr>
        <w:t xml:space="preserve">network; Engage all health facilities in intensified case finding through presumptive and referral to </w:t>
      </w:r>
      <w:r>
        <w:rPr>
          <w:color w:val="231F20"/>
          <w:spacing w:val="-3"/>
        </w:rPr>
        <w:t xml:space="preserve">ensure </w:t>
      </w:r>
      <w:r>
        <w:rPr>
          <w:color w:val="231F20"/>
        </w:rPr>
        <w:t>universal</w:t>
      </w:r>
      <w:r>
        <w:rPr>
          <w:color w:val="231F20"/>
          <w:spacing w:val="-25"/>
        </w:rPr>
        <w:t xml:space="preserve"> </w:t>
      </w:r>
      <w:r>
        <w:rPr>
          <w:color w:val="231F20"/>
        </w:rPr>
        <w:t>access</w:t>
      </w:r>
      <w:r>
        <w:rPr>
          <w:color w:val="231F20"/>
          <w:spacing w:val="-25"/>
        </w:rPr>
        <w:t xml:space="preserve"> </w:t>
      </w:r>
      <w:r>
        <w:rPr>
          <w:color w:val="231F20"/>
        </w:rPr>
        <w:t>to</w:t>
      </w:r>
      <w:r>
        <w:rPr>
          <w:color w:val="231F20"/>
          <w:spacing w:val="-29"/>
        </w:rPr>
        <w:t xml:space="preserve"> </w:t>
      </w:r>
      <w:r>
        <w:rPr>
          <w:color w:val="231F20"/>
        </w:rPr>
        <w:t>TB</w:t>
      </w:r>
      <w:r>
        <w:rPr>
          <w:color w:val="231F20"/>
          <w:spacing w:val="-25"/>
        </w:rPr>
        <w:t xml:space="preserve"> </w:t>
      </w:r>
      <w:r>
        <w:rPr>
          <w:color w:val="231F20"/>
        </w:rPr>
        <w:t>services.</w:t>
      </w:r>
    </w:p>
    <w:p w14:paraId="1A5654AB" w14:textId="77777777" w:rsidR="009948F1" w:rsidRDefault="009948F1">
      <w:pPr>
        <w:pStyle w:val="BodyText"/>
        <w:spacing w:before="1"/>
        <w:rPr>
          <w:sz w:val="24"/>
        </w:rPr>
      </w:pPr>
    </w:p>
    <w:p w14:paraId="7CFAE4C8" w14:textId="77777777" w:rsidR="009948F1" w:rsidRDefault="00BC0563">
      <w:pPr>
        <w:pStyle w:val="ListParagraph"/>
        <w:numPr>
          <w:ilvl w:val="3"/>
          <w:numId w:val="287"/>
        </w:numPr>
        <w:tabs>
          <w:tab w:val="left" w:pos="859"/>
        </w:tabs>
        <w:spacing w:line="261" w:lineRule="auto"/>
        <w:ind w:left="143" w:right="198" w:firstLine="0"/>
      </w:pPr>
      <w:r>
        <w:rPr>
          <w:color w:val="231F20"/>
        </w:rPr>
        <w:t>Promote</w:t>
      </w:r>
      <w:r>
        <w:rPr>
          <w:color w:val="231F20"/>
          <w:spacing w:val="-21"/>
        </w:rPr>
        <w:t xml:space="preserve"> </w:t>
      </w:r>
      <w:r>
        <w:rPr>
          <w:color w:val="231F20"/>
        </w:rPr>
        <w:t>demand</w:t>
      </w:r>
      <w:r>
        <w:rPr>
          <w:color w:val="231F20"/>
          <w:spacing w:val="-20"/>
        </w:rPr>
        <w:t xml:space="preserve"> </w:t>
      </w:r>
      <w:r>
        <w:rPr>
          <w:color w:val="231F20"/>
        </w:rPr>
        <w:t>for</w:t>
      </w:r>
      <w:r>
        <w:rPr>
          <w:color w:val="231F20"/>
          <w:spacing w:val="-24"/>
        </w:rPr>
        <w:t xml:space="preserve"> </w:t>
      </w:r>
      <w:r>
        <w:rPr>
          <w:color w:val="231F20"/>
        </w:rPr>
        <w:t>TB</w:t>
      </w:r>
      <w:r>
        <w:rPr>
          <w:color w:val="231F20"/>
          <w:spacing w:val="-21"/>
        </w:rPr>
        <w:t xml:space="preserve"> </w:t>
      </w:r>
      <w:r>
        <w:rPr>
          <w:color w:val="231F20"/>
        </w:rPr>
        <w:t>services.</w:t>
      </w:r>
      <w:r>
        <w:rPr>
          <w:color w:val="231F20"/>
          <w:spacing w:val="-20"/>
        </w:rPr>
        <w:t xml:space="preserve"> </w:t>
      </w:r>
      <w:r>
        <w:rPr>
          <w:color w:val="231F20"/>
        </w:rPr>
        <w:t>Key</w:t>
      </w:r>
      <w:r>
        <w:rPr>
          <w:color w:val="231F20"/>
          <w:spacing w:val="-21"/>
        </w:rPr>
        <w:t xml:space="preserve"> </w:t>
      </w:r>
      <w:r>
        <w:rPr>
          <w:color w:val="231F20"/>
        </w:rPr>
        <w:t>actions</w:t>
      </w:r>
      <w:r>
        <w:rPr>
          <w:color w:val="231F20"/>
          <w:spacing w:val="-20"/>
        </w:rPr>
        <w:t xml:space="preserve"> </w:t>
      </w:r>
      <w:r>
        <w:rPr>
          <w:color w:val="231F20"/>
        </w:rPr>
        <w:t>include;</w:t>
      </w:r>
      <w:r>
        <w:rPr>
          <w:color w:val="231F20"/>
          <w:spacing w:val="-20"/>
        </w:rPr>
        <w:t xml:space="preserve"> </w:t>
      </w:r>
      <w:r>
        <w:rPr>
          <w:color w:val="231F20"/>
        </w:rPr>
        <w:t>–</w:t>
      </w:r>
      <w:r>
        <w:rPr>
          <w:color w:val="231F20"/>
          <w:spacing w:val="-20"/>
        </w:rPr>
        <w:t xml:space="preserve"> </w:t>
      </w:r>
      <w:r>
        <w:rPr>
          <w:color w:val="231F20"/>
        </w:rPr>
        <w:t>Conduct</w:t>
      </w:r>
      <w:r>
        <w:rPr>
          <w:color w:val="231F20"/>
          <w:spacing w:val="-20"/>
        </w:rPr>
        <w:t xml:space="preserve"> </w:t>
      </w:r>
      <w:r>
        <w:rPr>
          <w:color w:val="231F20"/>
        </w:rPr>
        <w:t>mass</w:t>
      </w:r>
      <w:r>
        <w:rPr>
          <w:color w:val="231F20"/>
          <w:spacing w:val="-21"/>
        </w:rPr>
        <w:t xml:space="preserve"> </w:t>
      </w:r>
      <w:r>
        <w:rPr>
          <w:color w:val="231F20"/>
        </w:rPr>
        <w:t>media</w:t>
      </w:r>
      <w:r>
        <w:rPr>
          <w:color w:val="231F20"/>
          <w:spacing w:val="-20"/>
        </w:rPr>
        <w:t xml:space="preserve"> </w:t>
      </w:r>
      <w:r>
        <w:rPr>
          <w:color w:val="231F20"/>
        </w:rPr>
        <w:t xml:space="preserve">edutainment to create awareness on how to access TB services, get cured and what their rights </w:t>
      </w:r>
      <w:r>
        <w:rPr>
          <w:color w:val="231F20"/>
          <w:spacing w:val="-5"/>
        </w:rPr>
        <w:t xml:space="preserve">and </w:t>
      </w:r>
      <w:r>
        <w:rPr>
          <w:color w:val="231F20"/>
        </w:rPr>
        <w:t xml:space="preserve">responsibilities are to support demand for universal access to services; Advocacy visits </w:t>
      </w:r>
      <w:r>
        <w:rPr>
          <w:color w:val="231F20"/>
          <w:spacing w:val="-6"/>
        </w:rPr>
        <w:t xml:space="preserve">to </w:t>
      </w:r>
      <w:r>
        <w:rPr>
          <w:color w:val="231F20"/>
        </w:rPr>
        <w:t>Government</w:t>
      </w:r>
      <w:r>
        <w:rPr>
          <w:color w:val="231F20"/>
          <w:spacing w:val="-14"/>
        </w:rPr>
        <w:t xml:space="preserve"> </w:t>
      </w:r>
      <w:r>
        <w:rPr>
          <w:color w:val="231F20"/>
        </w:rPr>
        <w:t>&amp;</w:t>
      </w:r>
      <w:r>
        <w:rPr>
          <w:color w:val="231F20"/>
          <w:spacing w:val="-13"/>
        </w:rPr>
        <w:t xml:space="preserve"> </w:t>
      </w:r>
      <w:r>
        <w:rPr>
          <w:color w:val="231F20"/>
        </w:rPr>
        <w:t>Development</w:t>
      </w:r>
      <w:r>
        <w:rPr>
          <w:color w:val="231F20"/>
          <w:spacing w:val="-13"/>
        </w:rPr>
        <w:t xml:space="preserve"> </w:t>
      </w:r>
      <w:r>
        <w:rPr>
          <w:color w:val="231F20"/>
        </w:rPr>
        <w:t>Partners</w:t>
      </w:r>
      <w:r>
        <w:rPr>
          <w:color w:val="231F20"/>
          <w:spacing w:val="-13"/>
        </w:rPr>
        <w:t xml:space="preserve"> </w:t>
      </w:r>
      <w:r>
        <w:rPr>
          <w:color w:val="231F20"/>
        </w:rPr>
        <w:t>to</w:t>
      </w:r>
      <w:r>
        <w:rPr>
          <w:color w:val="231F20"/>
          <w:spacing w:val="-13"/>
        </w:rPr>
        <w:t xml:space="preserve"> </w:t>
      </w:r>
      <w:r>
        <w:rPr>
          <w:color w:val="231F20"/>
        </w:rPr>
        <w:t>provide/increase</w:t>
      </w:r>
      <w:r>
        <w:rPr>
          <w:color w:val="231F20"/>
          <w:spacing w:val="-13"/>
        </w:rPr>
        <w:t xml:space="preserve"> </w:t>
      </w:r>
      <w:r>
        <w:rPr>
          <w:color w:val="231F20"/>
        </w:rPr>
        <w:t>funding</w:t>
      </w:r>
      <w:r>
        <w:rPr>
          <w:color w:val="231F20"/>
          <w:spacing w:val="-13"/>
        </w:rPr>
        <w:t xml:space="preserve"> </w:t>
      </w:r>
      <w:r>
        <w:rPr>
          <w:color w:val="231F20"/>
        </w:rPr>
        <w:t>of</w:t>
      </w:r>
      <w:r>
        <w:rPr>
          <w:color w:val="231F20"/>
          <w:spacing w:val="-13"/>
        </w:rPr>
        <w:t xml:space="preserve"> </w:t>
      </w:r>
      <w:r>
        <w:rPr>
          <w:color w:val="231F20"/>
        </w:rPr>
        <w:t>the</w:t>
      </w:r>
      <w:r>
        <w:rPr>
          <w:color w:val="231F20"/>
          <w:spacing w:val="-17"/>
        </w:rPr>
        <w:t xml:space="preserve"> </w:t>
      </w:r>
      <w:r>
        <w:rPr>
          <w:color w:val="231F20"/>
        </w:rPr>
        <w:t>TB</w:t>
      </w:r>
      <w:r>
        <w:rPr>
          <w:color w:val="231F20"/>
          <w:spacing w:val="-13"/>
        </w:rPr>
        <w:t xml:space="preserve"> </w:t>
      </w:r>
      <w:r>
        <w:rPr>
          <w:color w:val="231F20"/>
        </w:rPr>
        <w:t>programs</w:t>
      </w:r>
      <w:r>
        <w:rPr>
          <w:color w:val="231F20"/>
          <w:spacing w:val="-13"/>
        </w:rPr>
        <w:t xml:space="preserve"> </w:t>
      </w:r>
      <w:r>
        <w:rPr>
          <w:color w:val="231F20"/>
        </w:rPr>
        <w:t>at</w:t>
      </w:r>
      <w:r>
        <w:rPr>
          <w:color w:val="231F20"/>
          <w:spacing w:val="-13"/>
        </w:rPr>
        <w:t xml:space="preserve"> </w:t>
      </w:r>
      <w:r>
        <w:rPr>
          <w:color w:val="231F20"/>
        </w:rPr>
        <w:t>all</w:t>
      </w:r>
      <w:r>
        <w:rPr>
          <w:color w:val="231F20"/>
          <w:spacing w:val="-13"/>
        </w:rPr>
        <w:t xml:space="preserve"> </w:t>
      </w:r>
      <w:r>
        <w:rPr>
          <w:color w:val="231F20"/>
        </w:rPr>
        <w:t>levels; Observe</w:t>
      </w:r>
      <w:r>
        <w:rPr>
          <w:color w:val="231F20"/>
          <w:spacing w:val="-26"/>
        </w:rPr>
        <w:t xml:space="preserve"> </w:t>
      </w:r>
      <w:r>
        <w:rPr>
          <w:color w:val="231F20"/>
        </w:rPr>
        <w:t>world</w:t>
      </w:r>
      <w:r>
        <w:rPr>
          <w:color w:val="231F20"/>
          <w:spacing w:val="-29"/>
        </w:rPr>
        <w:t xml:space="preserve"> </w:t>
      </w:r>
      <w:r>
        <w:rPr>
          <w:color w:val="231F20"/>
        </w:rPr>
        <w:t>TB</w:t>
      </w:r>
      <w:r>
        <w:rPr>
          <w:color w:val="231F20"/>
          <w:spacing w:val="-25"/>
        </w:rPr>
        <w:t xml:space="preserve"> </w:t>
      </w:r>
      <w:r>
        <w:rPr>
          <w:color w:val="231F20"/>
        </w:rPr>
        <w:t>day</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&amp;</w:t>
      </w:r>
      <w:r>
        <w:rPr>
          <w:color w:val="231F20"/>
          <w:spacing w:val="-26"/>
        </w:rPr>
        <w:t xml:space="preserve"> </w:t>
      </w:r>
      <w:r>
        <w:rPr>
          <w:color w:val="231F20"/>
        </w:rPr>
        <w:t>23</w:t>
      </w:r>
      <w:r>
        <w:rPr>
          <w:color w:val="231F20"/>
          <w:spacing w:val="-25"/>
        </w:rPr>
        <w:t xml:space="preserve"> </w:t>
      </w:r>
      <w:r>
        <w:rPr>
          <w:color w:val="231F20"/>
        </w:rPr>
        <w:t>LGAs</w:t>
      </w:r>
      <w:r>
        <w:rPr>
          <w:color w:val="231F20"/>
          <w:spacing w:val="-25"/>
        </w:rPr>
        <w:t xml:space="preserve"> </w:t>
      </w:r>
      <w:r>
        <w:rPr>
          <w:color w:val="231F20"/>
        </w:rPr>
        <w:t>annually.</w:t>
      </w:r>
    </w:p>
    <w:p w14:paraId="4027C37E" w14:textId="77777777" w:rsidR="009948F1" w:rsidRDefault="009948F1">
      <w:pPr>
        <w:spacing w:line="261" w:lineRule="auto"/>
        <w:jc w:val="both"/>
        <w:sectPr w:rsidR="009948F1">
          <w:pgSz w:w="11910" w:h="16840"/>
          <w:pgMar w:top="1260" w:right="1080" w:bottom="1420" w:left="1120" w:header="0" w:footer="1235" w:gutter="0"/>
          <w:cols w:space="720"/>
        </w:sectPr>
      </w:pPr>
    </w:p>
    <w:p w14:paraId="508395E9" w14:textId="2514F1E1" w:rsidR="009948F1" w:rsidRDefault="00BC0563">
      <w:pPr>
        <w:pStyle w:val="ListParagraph"/>
        <w:numPr>
          <w:ilvl w:val="3"/>
          <w:numId w:val="287"/>
        </w:numPr>
        <w:tabs>
          <w:tab w:val="left" w:pos="899"/>
        </w:tabs>
        <w:spacing w:before="42" w:line="247" w:lineRule="auto"/>
        <w:ind w:left="170" w:right="175" w:firstLine="0"/>
      </w:pPr>
      <w:bookmarkStart w:id="72" w:name="Page_58"/>
      <w:bookmarkEnd w:id="72"/>
      <w:r>
        <w:rPr>
          <w:color w:val="231F20"/>
        </w:rPr>
        <w:lastRenderedPageBreak/>
        <w:t>Expand</w:t>
      </w:r>
      <w:r>
        <w:rPr>
          <w:color w:val="231F20"/>
          <w:spacing w:val="-8"/>
        </w:rPr>
        <w:t xml:space="preserve"> </w:t>
      </w:r>
      <w:r>
        <w:rPr>
          <w:color w:val="231F20"/>
        </w:rPr>
        <w:t>access</w:t>
      </w:r>
      <w:r>
        <w:rPr>
          <w:color w:val="231F20"/>
          <w:spacing w:val="-7"/>
        </w:rPr>
        <w:t xml:space="preserve"> </w:t>
      </w:r>
      <w:r>
        <w:rPr>
          <w:color w:val="231F20"/>
        </w:rPr>
        <w:t>to</w:t>
      </w:r>
      <w:r>
        <w:rPr>
          <w:color w:val="231F20"/>
          <w:spacing w:val="-11"/>
        </w:rPr>
        <w:t xml:space="preserve"> </w:t>
      </w:r>
      <w:r>
        <w:rPr>
          <w:color w:val="231F20"/>
        </w:rPr>
        <w:t>TB</w:t>
      </w:r>
      <w:r>
        <w:rPr>
          <w:color w:val="231F20"/>
          <w:spacing w:val="-7"/>
        </w:rPr>
        <w:t xml:space="preserve"> </w:t>
      </w:r>
      <w:r>
        <w:rPr>
          <w:color w:val="231F20"/>
        </w:rPr>
        <w:t>diagnosis</w:t>
      </w:r>
      <w:r>
        <w:rPr>
          <w:color w:val="231F20"/>
          <w:spacing w:val="-6"/>
        </w:rPr>
        <w:t xml:space="preserve"> </w:t>
      </w:r>
      <w:r>
        <w:rPr>
          <w:color w:val="231F20"/>
        </w:rPr>
        <w:t>and</w:t>
      </w:r>
      <w:r>
        <w:rPr>
          <w:color w:val="231F20"/>
          <w:spacing w:val="-7"/>
        </w:rPr>
        <w:t xml:space="preserve"> </w:t>
      </w:r>
      <w:r>
        <w:rPr>
          <w:color w:val="231F20"/>
        </w:rPr>
        <w:t>treatment</w:t>
      </w:r>
      <w:r>
        <w:rPr>
          <w:color w:val="231F20"/>
          <w:spacing w:val="-7"/>
        </w:rPr>
        <w:t xml:space="preserve"> </w:t>
      </w:r>
      <w:r>
        <w:rPr>
          <w:color w:val="231F20"/>
        </w:rPr>
        <w:t>services</w:t>
      </w:r>
      <w:r>
        <w:rPr>
          <w:color w:val="231F20"/>
          <w:spacing w:val="-7"/>
        </w:rPr>
        <w:t xml:space="preserve"> </w:t>
      </w:r>
      <w:r>
        <w:rPr>
          <w:color w:val="231F20"/>
        </w:rPr>
        <w:t>for</w:t>
      </w:r>
      <w:r>
        <w:rPr>
          <w:color w:val="231F20"/>
          <w:spacing w:val="-7"/>
        </w:rPr>
        <w:t xml:space="preserve"> </w:t>
      </w:r>
      <w:r>
        <w:rPr>
          <w:color w:val="231F20"/>
        </w:rPr>
        <w:t>persons</w:t>
      </w:r>
      <w:r>
        <w:rPr>
          <w:color w:val="231F20"/>
          <w:spacing w:val="-7"/>
        </w:rPr>
        <w:t xml:space="preserve"> </w:t>
      </w:r>
      <w:r>
        <w:rPr>
          <w:color w:val="231F20"/>
        </w:rPr>
        <w:t>co-infected</w:t>
      </w:r>
      <w:r>
        <w:rPr>
          <w:color w:val="231F20"/>
          <w:spacing w:val="-7"/>
        </w:rPr>
        <w:t xml:space="preserve"> </w:t>
      </w:r>
      <w:r>
        <w:rPr>
          <w:color w:val="231F20"/>
        </w:rPr>
        <w:t>by</w:t>
      </w:r>
      <w:r>
        <w:rPr>
          <w:color w:val="231F20"/>
          <w:spacing w:val="-11"/>
        </w:rPr>
        <w:t xml:space="preserve"> </w:t>
      </w:r>
      <w:r>
        <w:rPr>
          <w:color w:val="231F20"/>
        </w:rPr>
        <w:t>TB</w:t>
      </w:r>
      <w:r>
        <w:rPr>
          <w:color w:val="231F20"/>
          <w:spacing w:val="-7"/>
        </w:rPr>
        <w:t xml:space="preserve"> </w:t>
      </w:r>
      <w:r>
        <w:rPr>
          <w:color w:val="231F20"/>
        </w:rPr>
        <w:t xml:space="preserve">and </w:t>
      </w:r>
      <w:r>
        <w:rPr>
          <w:color w:val="231F20"/>
          <w:spacing w:val="-6"/>
        </w:rPr>
        <w:t>HIV.</w:t>
      </w:r>
      <w:r>
        <w:rPr>
          <w:color w:val="231F20"/>
          <w:spacing w:val="-7"/>
        </w:rPr>
        <w:t xml:space="preserve"> </w:t>
      </w:r>
      <w:r>
        <w:rPr>
          <w:color w:val="231F20"/>
        </w:rPr>
        <w:t>Key</w:t>
      </w:r>
      <w:r>
        <w:rPr>
          <w:color w:val="231F20"/>
          <w:spacing w:val="-7"/>
        </w:rPr>
        <w:t xml:space="preserve"> </w:t>
      </w:r>
      <w:r>
        <w:rPr>
          <w:color w:val="231F20"/>
        </w:rPr>
        <w:t>actions</w:t>
      </w:r>
      <w:r>
        <w:rPr>
          <w:color w:val="231F20"/>
          <w:spacing w:val="-7"/>
        </w:rPr>
        <w:t xml:space="preserve"> </w:t>
      </w:r>
      <w:r>
        <w:rPr>
          <w:color w:val="231F20"/>
        </w:rPr>
        <w:t>include;</w:t>
      </w:r>
      <w:r>
        <w:rPr>
          <w:color w:val="231F20"/>
          <w:spacing w:val="-7"/>
        </w:rPr>
        <w:t xml:space="preserve"> </w:t>
      </w:r>
      <w:r>
        <w:rPr>
          <w:color w:val="231F20"/>
        </w:rPr>
        <w:t>–</w:t>
      </w:r>
      <w:r>
        <w:rPr>
          <w:color w:val="231F20"/>
          <w:spacing w:val="-7"/>
        </w:rPr>
        <w:t xml:space="preserve"> </w:t>
      </w:r>
      <w:r>
        <w:rPr>
          <w:color w:val="231F20"/>
        </w:rPr>
        <w:t>Operating</w:t>
      </w:r>
      <w:r>
        <w:rPr>
          <w:color w:val="231F20"/>
          <w:spacing w:val="-7"/>
        </w:rPr>
        <w:t xml:space="preserve"> </w:t>
      </w:r>
      <w:r>
        <w:rPr>
          <w:color w:val="231F20"/>
        </w:rPr>
        <w:t>cost</w:t>
      </w:r>
      <w:r>
        <w:rPr>
          <w:color w:val="231F20"/>
          <w:spacing w:val="-7"/>
        </w:rPr>
        <w:t xml:space="preserve"> </w:t>
      </w:r>
      <w:r>
        <w:rPr>
          <w:color w:val="231F20"/>
        </w:rPr>
        <w:t>for</w:t>
      </w:r>
      <w:r>
        <w:rPr>
          <w:color w:val="231F20"/>
          <w:spacing w:val="-6"/>
        </w:rPr>
        <w:t xml:space="preserve"> </w:t>
      </w:r>
      <w:r>
        <w:rPr>
          <w:color w:val="231F20"/>
        </w:rPr>
        <w:t>engaging</w:t>
      </w:r>
      <w:r>
        <w:rPr>
          <w:color w:val="231F20"/>
          <w:spacing w:val="-6"/>
        </w:rPr>
        <w:t xml:space="preserve"> </w:t>
      </w:r>
      <w:r>
        <w:rPr>
          <w:color w:val="231F20"/>
        </w:rPr>
        <w:t>and</w:t>
      </w:r>
      <w:r>
        <w:rPr>
          <w:color w:val="231F20"/>
          <w:spacing w:val="-7"/>
        </w:rPr>
        <w:t xml:space="preserve"> </w:t>
      </w:r>
      <w:r>
        <w:rPr>
          <w:color w:val="231F20"/>
        </w:rPr>
        <w:t>supervising</w:t>
      </w:r>
      <w:r>
        <w:rPr>
          <w:color w:val="231F20"/>
          <w:spacing w:val="-7"/>
        </w:rPr>
        <w:t xml:space="preserve"> </w:t>
      </w:r>
      <w:r>
        <w:rPr>
          <w:color w:val="231F20"/>
        </w:rPr>
        <w:t>the</w:t>
      </w:r>
      <w:r>
        <w:rPr>
          <w:color w:val="231F20"/>
          <w:spacing w:val="-7"/>
        </w:rPr>
        <w:t xml:space="preserve"> </w:t>
      </w:r>
      <w:r>
        <w:rPr>
          <w:color w:val="231F20"/>
        </w:rPr>
        <w:t>contractor</w:t>
      </w:r>
      <w:r>
        <w:rPr>
          <w:color w:val="231F20"/>
          <w:spacing w:val="-7"/>
        </w:rPr>
        <w:t xml:space="preserve"> </w:t>
      </w:r>
      <w:r>
        <w:rPr>
          <w:color w:val="231F20"/>
        </w:rPr>
        <w:t>to</w:t>
      </w:r>
      <w:r>
        <w:rPr>
          <w:color w:val="231F20"/>
          <w:spacing w:val="-7"/>
        </w:rPr>
        <w:t xml:space="preserve"> </w:t>
      </w:r>
      <w:r>
        <w:rPr>
          <w:color w:val="231F20"/>
        </w:rPr>
        <w:t>procure TB</w:t>
      </w:r>
      <w:r>
        <w:rPr>
          <w:color w:val="231F20"/>
          <w:spacing w:val="-10"/>
        </w:rPr>
        <w:t xml:space="preserve"> </w:t>
      </w:r>
      <w:r>
        <w:rPr>
          <w:color w:val="231F20"/>
        </w:rPr>
        <w:t>equipment</w:t>
      </w:r>
      <w:r>
        <w:rPr>
          <w:color w:val="231F20"/>
          <w:spacing w:val="-9"/>
        </w:rPr>
        <w:t xml:space="preserve"> </w:t>
      </w:r>
      <w:r>
        <w:rPr>
          <w:color w:val="231F20"/>
        </w:rPr>
        <w:t>to</w:t>
      </w:r>
      <w:r>
        <w:rPr>
          <w:color w:val="231F20"/>
          <w:spacing w:val="-9"/>
        </w:rPr>
        <w:t xml:space="preserve"> </w:t>
      </w:r>
      <w:r>
        <w:rPr>
          <w:color w:val="231F20"/>
        </w:rPr>
        <w:t>upgrade</w:t>
      </w:r>
      <w:r>
        <w:rPr>
          <w:color w:val="231F20"/>
          <w:spacing w:val="-9"/>
        </w:rPr>
        <w:t xml:space="preserve"> </w:t>
      </w:r>
      <w:r>
        <w:rPr>
          <w:color w:val="231F20"/>
        </w:rPr>
        <w:t>health</w:t>
      </w:r>
      <w:r>
        <w:rPr>
          <w:color w:val="231F20"/>
          <w:spacing w:val="-9"/>
        </w:rPr>
        <w:t xml:space="preserve"> </w:t>
      </w:r>
      <w:r>
        <w:rPr>
          <w:color w:val="231F20"/>
        </w:rPr>
        <w:t>facilities</w:t>
      </w:r>
      <w:r>
        <w:rPr>
          <w:color w:val="231F20"/>
          <w:spacing w:val="-9"/>
        </w:rPr>
        <w:t xml:space="preserve"> </w:t>
      </w:r>
      <w:r>
        <w:rPr>
          <w:color w:val="231F20"/>
        </w:rPr>
        <w:t>for</w:t>
      </w:r>
      <w:r>
        <w:rPr>
          <w:color w:val="231F20"/>
          <w:spacing w:val="-13"/>
        </w:rPr>
        <w:t xml:space="preserve"> </w:t>
      </w:r>
      <w:r>
        <w:rPr>
          <w:color w:val="231F20"/>
        </w:rPr>
        <w:t>TB</w:t>
      </w:r>
      <w:r>
        <w:rPr>
          <w:color w:val="231F20"/>
          <w:spacing w:val="-9"/>
        </w:rPr>
        <w:t xml:space="preserve"> </w:t>
      </w:r>
      <w:r>
        <w:rPr>
          <w:color w:val="231F20"/>
        </w:rPr>
        <w:t>microscopy</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23</w:t>
      </w:r>
      <w:r>
        <w:rPr>
          <w:color w:val="231F20"/>
          <w:spacing w:val="-9"/>
        </w:rPr>
        <w:t xml:space="preserve"> </w:t>
      </w:r>
      <w:r>
        <w:rPr>
          <w:color w:val="231F20"/>
        </w:rPr>
        <w:t>LGAs;</w:t>
      </w:r>
      <w:r>
        <w:rPr>
          <w:color w:val="231F20"/>
          <w:spacing w:val="-10"/>
        </w:rPr>
        <w:t xml:space="preserve"> </w:t>
      </w:r>
      <w:r w:rsidR="00FE4EDF">
        <w:rPr>
          <w:color w:val="231F20"/>
        </w:rPr>
        <w:t>conduct</w:t>
      </w:r>
      <w:r>
        <w:rPr>
          <w:color w:val="231F20"/>
          <w:spacing w:val="-9"/>
        </w:rPr>
        <w:t xml:space="preserve"> </w:t>
      </w:r>
      <w:r>
        <w:rPr>
          <w:color w:val="231F20"/>
        </w:rPr>
        <w:t>trainings</w:t>
      </w:r>
      <w:r>
        <w:rPr>
          <w:color w:val="231F20"/>
          <w:spacing w:val="-9"/>
        </w:rPr>
        <w:t xml:space="preserve"> </w:t>
      </w:r>
      <w:r>
        <w:rPr>
          <w:color w:val="231F20"/>
        </w:rPr>
        <w:t xml:space="preserve">for Health workers on HCT in new Dots sites; Provide HIV services in all </w:t>
      </w:r>
      <w:r>
        <w:rPr>
          <w:color w:val="231F20"/>
          <w:spacing w:val="-7"/>
        </w:rPr>
        <w:t xml:space="preserve">DOTs </w:t>
      </w:r>
      <w:r>
        <w:rPr>
          <w:color w:val="231F20"/>
        </w:rPr>
        <w:t xml:space="preserve">sites in the state </w:t>
      </w:r>
      <w:r>
        <w:rPr>
          <w:color w:val="231F20"/>
          <w:spacing w:val="-6"/>
        </w:rPr>
        <w:t xml:space="preserve">to </w:t>
      </w:r>
      <w:r>
        <w:rPr>
          <w:color w:val="231F20"/>
        </w:rPr>
        <w:t>enhance</w:t>
      </w:r>
      <w:r>
        <w:rPr>
          <w:color w:val="231F20"/>
          <w:spacing w:val="-25"/>
        </w:rPr>
        <w:t xml:space="preserve"> </w:t>
      </w:r>
      <w:r>
        <w:rPr>
          <w:color w:val="231F20"/>
        </w:rPr>
        <w:t>patient-</w:t>
      </w:r>
      <w:proofErr w:type="spellStart"/>
      <w:r>
        <w:rPr>
          <w:color w:val="231F20"/>
        </w:rPr>
        <w:t>centred</w:t>
      </w:r>
      <w:proofErr w:type="spellEnd"/>
      <w:r>
        <w:rPr>
          <w:color w:val="231F20"/>
          <w:spacing w:val="-25"/>
        </w:rPr>
        <w:t xml:space="preserve"> </w:t>
      </w:r>
      <w:r>
        <w:rPr>
          <w:color w:val="231F20"/>
        </w:rPr>
        <w:t>treatment</w:t>
      </w:r>
      <w:r>
        <w:rPr>
          <w:color w:val="231F20"/>
          <w:spacing w:val="-26"/>
        </w:rPr>
        <w:t xml:space="preserve"> </w:t>
      </w:r>
      <w:r>
        <w:rPr>
          <w:color w:val="231F20"/>
        </w:rPr>
        <w:t>(one</w:t>
      </w:r>
      <w:r>
        <w:rPr>
          <w:color w:val="231F20"/>
          <w:spacing w:val="-25"/>
        </w:rPr>
        <w:t xml:space="preserve"> </w:t>
      </w:r>
      <w:r>
        <w:rPr>
          <w:color w:val="231F20"/>
        </w:rPr>
        <w:t>stop</w:t>
      </w:r>
      <w:r>
        <w:rPr>
          <w:color w:val="231F20"/>
          <w:spacing w:val="-25"/>
        </w:rPr>
        <w:t xml:space="preserve"> </w:t>
      </w:r>
      <w:r>
        <w:rPr>
          <w:color w:val="231F20"/>
        </w:rPr>
        <w:t>shop).</w:t>
      </w:r>
    </w:p>
    <w:p w14:paraId="631ADD04" w14:textId="77777777" w:rsidR="009948F1" w:rsidRDefault="009948F1">
      <w:pPr>
        <w:pStyle w:val="BodyText"/>
        <w:spacing w:before="1"/>
        <w:rPr>
          <w:sz w:val="27"/>
        </w:rPr>
      </w:pPr>
    </w:p>
    <w:p w14:paraId="189DC656" w14:textId="77777777" w:rsidR="009948F1" w:rsidRDefault="00BC0563">
      <w:pPr>
        <w:pStyle w:val="ListParagraph"/>
        <w:numPr>
          <w:ilvl w:val="3"/>
          <w:numId w:val="287"/>
        </w:numPr>
        <w:tabs>
          <w:tab w:val="left" w:pos="896"/>
        </w:tabs>
        <w:spacing w:line="268" w:lineRule="auto"/>
        <w:ind w:left="170" w:right="176" w:firstLine="0"/>
      </w:pPr>
      <w:r>
        <w:rPr>
          <w:color w:val="231F20"/>
        </w:rPr>
        <w:t>Scale</w:t>
      </w:r>
      <w:r>
        <w:rPr>
          <w:color w:val="231F20"/>
          <w:spacing w:val="-11"/>
        </w:rPr>
        <w:t xml:space="preserve"> </w:t>
      </w:r>
      <w:r>
        <w:rPr>
          <w:color w:val="231F20"/>
        </w:rPr>
        <w:t>up</w:t>
      </w:r>
      <w:r>
        <w:rPr>
          <w:color w:val="231F20"/>
          <w:spacing w:val="-10"/>
        </w:rPr>
        <w:t xml:space="preserve"> </w:t>
      </w:r>
      <w:proofErr w:type="spellStart"/>
      <w:r>
        <w:rPr>
          <w:color w:val="231F20"/>
        </w:rPr>
        <w:t>paediatric</w:t>
      </w:r>
      <w:proofErr w:type="spellEnd"/>
      <w:r>
        <w:rPr>
          <w:color w:val="231F20"/>
          <w:spacing w:val="-14"/>
        </w:rPr>
        <w:t xml:space="preserve"> </w:t>
      </w:r>
      <w:r>
        <w:rPr>
          <w:color w:val="231F20"/>
        </w:rPr>
        <w:t>TB</w:t>
      </w:r>
      <w:r>
        <w:rPr>
          <w:color w:val="231F20"/>
          <w:spacing w:val="-10"/>
        </w:rPr>
        <w:t xml:space="preserve"> </w:t>
      </w:r>
      <w:r>
        <w:rPr>
          <w:color w:val="231F20"/>
        </w:rPr>
        <w:t>diagnosis</w:t>
      </w:r>
      <w:r>
        <w:rPr>
          <w:color w:val="231F20"/>
          <w:spacing w:val="-10"/>
        </w:rPr>
        <w:t xml:space="preserve"> </w:t>
      </w:r>
      <w:r>
        <w:rPr>
          <w:color w:val="231F20"/>
        </w:rPr>
        <w:t>and</w:t>
      </w:r>
      <w:r>
        <w:rPr>
          <w:color w:val="231F20"/>
          <w:spacing w:val="-10"/>
        </w:rPr>
        <w:t xml:space="preserve"> </w:t>
      </w:r>
      <w:r>
        <w:rPr>
          <w:color w:val="231F20"/>
        </w:rPr>
        <w:t>treatment</w:t>
      </w:r>
      <w:r>
        <w:rPr>
          <w:color w:val="231F20"/>
          <w:spacing w:val="-11"/>
        </w:rPr>
        <w:t xml:space="preserve"> </w:t>
      </w:r>
      <w:r>
        <w:rPr>
          <w:color w:val="231F20"/>
        </w:rPr>
        <w:t>services.</w:t>
      </w:r>
      <w:r>
        <w:rPr>
          <w:color w:val="231F20"/>
          <w:spacing w:val="-10"/>
        </w:rPr>
        <w:t xml:space="preserve"> </w:t>
      </w:r>
      <w:r>
        <w:rPr>
          <w:color w:val="231F20"/>
        </w:rPr>
        <w:t>Key</w:t>
      </w:r>
      <w:r>
        <w:rPr>
          <w:color w:val="231F20"/>
          <w:spacing w:val="-10"/>
        </w:rPr>
        <w:t xml:space="preserve"> </w:t>
      </w:r>
      <w:r>
        <w:rPr>
          <w:color w:val="231F20"/>
        </w:rPr>
        <w:t>actions</w:t>
      </w:r>
      <w:r>
        <w:rPr>
          <w:color w:val="231F20"/>
          <w:spacing w:val="-10"/>
        </w:rPr>
        <w:t xml:space="preserve"> </w:t>
      </w:r>
      <w:r>
        <w:rPr>
          <w:color w:val="231F20"/>
        </w:rPr>
        <w:t>include;-</w:t>
      </w:r>
      <w:r>
        <w:rPr>
          <w:color w:val="231F20"/>
          <w:spacing w:val="-10"/>
        </w:rPr>
        <w:t xml:space="preserve"> </w:t>
      </w:r>
      <w:r>
        <w:rPr>
          <w:color w:val="231F20"/>
        </w:rPr>
        <w:t>Implement active TB case finding in specific vulnerable populations (e.g. contacts to active TB cases, migrants,</w:t>
      </w:r>
      <w:r>
        <w:rPr>
          <w:color w:val="231F20"/>
          <w:spacing w:val="-16"/>
        </w:rPr>
        <w:t xml:space="preserve"> </w:t>
      </w:r>
      <w:r>
        <w:rPr>
          <w:color w:val="231F20"/>
        </w:rPr>
        <w:t>prisoners</w:t>
      </w:r>
      <w:r>
        <w:rPr>
          <w:color w:val="231F20"/>
          <w:spacing w:val="-15"/>
        </w:rPr>
        <w:t xml:space="preserve"> </w:t>
      </w:r>
      <w:r>
        <w:rPr>
          <w:color w:val="231F20"/>
        </w:rPr>
        <w:t>and</w:t>
      </w:r>
      <w:r>
        <w:rPr>
          <w:color w:val="231F20"/>
          <w:spacing w:val="-15"/>
        </w:rPr>
        <w:t xml:space="preserve"> </w:t>
      </w:r>
      <w:r>
        <w:rPr>
          <w:color w:val="231F20"/>
        </w:rPr>
        <w:t>slum</w:t>
      </w:r>
      <w:r>
        <w:rPr>
          <w:color w:val="231F20"/>
          <w:spacing w:val="-15"/>
        </w:rPr>
        <w:t xml:space="preserve"> </w:t>
      </w:r>
      <w:r>
        <w:rPr>
          <w:color w:val="231F20"/>
        </w:rPr>
        <w:t>dwellers);</w:t>
      </w:r>
      <w:r>
        <w:rPr>
          <w:color w:val="231F20"/>
          <w:spacing w:val="-15"/>
        </w:rPr>
        <w:t xml:space="preserve"> </w:t>
      </w:r>
      <w:r>
        <w:rPr>
          <w:color w:val="231F20"/>
        </w:rPr>
        <w:t>Conduct</w:t>
      </w:r>
      <w:r>
        <w:rPr>
          <w:color w:val="231F20"/>
          <w:spacing w:val="-15"/>
        </w:rPr>
        <w:t xml:space="preserve"> </w:t>
      </w:r>
      <w:r>
        <w:rPr>
          <w:color w:val="231F20"/>
        </w:rPr>
        <w:t>advocacy</w:t>
      </w:r>
      <w:r>
        <w:rPr>
          <w:color w:val="231F20"/>
          <w:spacing w:val="-15"/>
        </w:rPr>
        <w:t xml:space="preserve"> </w:t>
      </w:r>
      <w:r>
        <w:rPr>
          <w:color w:val="231F20"/>
        </w:rPr>
        <w:t>to</w:t>
      </w:r>
      <w:r>
        <w:rPr>
          <w:color w:val="231F20"/>
          <w:spacing w:val="-16"/>
        </w:rPr>
        <w:t xml:space="preserve"> </w:t>
      </w:r>
      <w:proofErr w:type="spellStart"/>
      <w:r>
        <w:rPr>
          <w:color w:val="231F20"/>
        </w:rPr>
        <w:t>paediatric</w:t>
      </w:r>
      <w:proofErr w:type="spellEnd"/>
      <w:r>
        <w:rPr>
          <w:color w:val="231F20"/>
          <w:spacing w:val="-14"/>
        </w:rPr>
        <w:t xml:space="preserve"> </w:t>
      </w:r>
      <w:r>
        <w:rPr>
          <w:color w:val="231F20"/>
        </w:rPr>
        <w:t>related</w:t>
      </w:r>
      <w:r>
        <w:rPr>
          <w:color w:val="231F20"/>
          <w:spacing w:val="-15"/>
        </w:rPr>
        <w:t xml:space="preserve"> </w:t>
      </w:r>
      <w:r>
        <w:rPr>
          <w:color w:val="231F20"/>
        </w:rPr>
        <w:t>bodies</w:t>
      </w:r>
      <w:r>
        <w:rPr>
          <w:color w:val="231F20"/>
          <w:spacing w:val="-15"/>
        </w:rPr>
        <w:t xml:space="preserve"> </w:t>
      </w:r>
      <w:r>
        <w:rPr>
          <w:color w:val="231F20"/>
        </w:rPr>
        <w:t>(</w:t>
      </w:r>
      <w:proofErr w:type="spellStart"/>
      <w:r>
        <w:rPr>
          <w:color w:val="231F20"/>
        </w:rPr>
        <w:t>Paediatric</w:t>
      </w:r>
      <w:proofErr w:type="spellEnd"/>
      <w:r>
        <w:rPr>
          <w:color w:val="231F20"/>
        </w:rPr>
        <w:t xml:space="preserve"> associations, department of IMCI, thoracic associations, UNICEF and other bi- and </w:t>
      </w:r>
      <w:r>
        <w:rPr>
          <w:color w:val="231F20"/>
          <w:spacing w:val="-2"/>
        </w:rPr>
        <w:t xml:space="preserve">multilateral </w:t>
      </w:r>
      <w:r>
        <w:rPr>
          <w:color w:val="231F20"/>
        </w:rPr>
        <w:t>agencies)</w:t>
      </w:r>
      <w:r>
        <w:rPr>
          <w:color w:val="231F20"/>
          <w:spacing w:val="-26"/>
        </w:rPr>
        <w:t xml:space="preserve"> </w:t>
      </w:r>
      <w:r>
        <w:rPr>
          <w:color w:val="231F20"/>
        </w:rPr>
        <w:t>on</w:t>
      </w:r>
      <w:r>
        <w:rPr>
          <w:color w:val="231F20"/>
          <w:spacing w:val="-25"/>
        </w:rPr>
        <w:t xml:space="preserve"> </w:t>
      </w:r>
      <w:r>
        <w:rPr>
          <w:color w:val="231F20"/>
        </w:rPr>
        <w:t>integration</w:t>
      </w:r>
      <w:r>
        <w:rPr>
          <w:color w:val="231F20"/>
          <w:spacing w:val="-25"/>
        </w:rPr>
        <w:t xml:space="preserve"> </w:t>
      </w:r>
      <w:r>
        <w:rPr>
          <w:color w:val="231F20"/>
        </w:rPr>
        <w:t>of</w:t>
      </w:r>
      <w:r>
        <w:rPr>
          <w:color w:val="231F20"/>
          <w:spacing w:val="-29"/>
        </w:rPr>
        <w:t xml:space="preserve"> </w:t>
      </w:r>
      <w:r>
        <w:rPr>
          <w:color w:val="231F20"/>
        </w:rPr>
        <w:t>TB</w:t>
      </w:r>
      <w:r>
        <w:rPr>
          <w:color w:val="231F20"/>
          <w:spacing w:val="-25"/>
        </w:rPr>
        <w:t xml:space="preserve"> </w:t>
      </w:r>
      <w:r>
        <w:rPr>
          <w:color w:val="231F20"/>
        </w:rPr>
        <w:t>services</w:t>
      </w:r>
      <w:r>
        <w:rPr>
          <w:color w:val="231F20"/>
          <w:spacing w:val="-25"/>
        </w:rPr>
        <w:t xml:space="preserve"> </w:t>
      </w:r>
      <w:r>
        <w:rPr>
          <w:color w:val="231F20"/>
        </w:rPr>
        <w:t>into</w:t>
      </w:r>
      <w:r>
        <w:rPr>
          <w:color w:val="231F20"/>
          <w:spacing w:val="-25"/>
        </w:rPr>
        <w:t xml:space="preserve"> </w:t>
      </w:r>
      <w:r>
        <w:rPr>
          <w:color w:val="231F20"/>
        </w:rPr>
        <w:t>other</w:t>
      </w:r>
      <w:r>
        <w:rPr>
          <w:color w:val="231F20"/>
          <w:spacing w:val="-25"/>
        </w:rPr>
        <w:t xml:space="preserve"> </w:t>
      </w:r>
      <w:r>
        <w:rPr>
          <w:color w:val="231F20"/>
        </w:rPr>
        <w:t>child</w:t>
      </w:r>
      <w:r>
        <w:rPr>
          <w:color w:val="231F20"/>
          <w:spacing w:val="-25"/>
        </w:rPr>
        <w:t xml:space="preserve"> </w:t>
      </w:r>
      <w:r>
        <w:rPr>
          <w:color w:val="231F20"/>
        </w:rPr>
        <w:t>survival</w:t>
      </w:r>
      <w:r>
        <w:rPr>
          <w:color w:val="231F20"/>
          <w:spacing w:val="-25"/>
        </w:rPr>
        <w:t xml:space="preserve"> </w:t>
      </w:r>
      <w:r>
        <w:rPr>
          <w:color w:val="231F20"/>
        </w:rPr>
        <w:t>strategies.</w:t>
      </w:r>
    </w:p>
    <w:p w14:paraId="77CE8996" w14:textId="77777777" w:rsidR="009948F1" w:rsidRDefault="009948F1">
      <w:pPr>
        <w:pStyle w:val="BodyText"/>
        <w:spacing w:before="7"/>
        <w:rPr>
          <w:sz w:val="24"/>
        </w:rPr>
      </w:pPr>
    </w:p>
    <w:p w14:paraId="4981301C" w14:textId="77777777" w:rsidR="009948F1" w:rsidRDefault="00BC0563">
      <w:pPr>
        <w:pStyle w:val="ListParagraph"/>
        <w:numPr>
          <w:ilvl w:val="3"/>
          <w:numId w:val="287"/>
        </w:numPr>
        <w:tabs>
          <w:tab w:val="left" w:pos="896"/>
        </w:tabs>
        <w:spacing w:line="268" w:lineRule="auto"/>
        <w:ind w:left="170" w:right="176" w:firstLine="0"/>
      </w:pPr>
      <w:r>
        <w:rPr>
          <w:color w:val="231F20"/>
        </w:rPr>
        <w:t>Increase</w:t>
      </w:r>
      <w:r>
        <w:rPr>
          <w:color w:val="231F20"/>
          <w:spacing w:val="-10"/>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diagnosis</w:t>
      </w:r>
      <w:r>
        <w:rPr>
          <w:color w:val="231F20"/>
          <w:spacing w:val="-9"/>
        </w:rPr>
        <w:t xml:space="preserve"> </w:t>
      </w:r>
      <w:r>
        <w:rPr>
          <w:color w:val="231F20"/>
        </w:rPr>
        <w:t>and</w:t>
      </w:r>
      <w:r>
        <w:rPr>
          <w:color w:val="231F20"/>
          <w:spacing w:val="-9"/>
        </w:rPr>
        <w:t xml:space="preserve"> </w:t>
      </w:r>
      <w:r>
        <w:rPr>
          <w:color w:val="231F20"/>
        </w:rPr>
        <w:t>management</w:t>
      </w:r>
      <w:r>
        <w:rPr>
          <w:color w:val="231F20"/>
          <w:spacing w:val="-9"/>
        </w:rPr>
        <w:t xml:space="preserve"> </w:t>
      </w:r>
      <w:r>
        <w:rPr>
          <w:color w:val="231F20"/>
        </w:rPr>
        <w:t>services</w:t>
      </w:r>
      <w:r>
        <w:rPr>
          <w:color w:val="231F20"/>
          <w:spacing w:val="-9"/>
        </w:rPr>
        <w:t xml:space="preserve"> </w:t>
      </w:r>
      <w:r>
        <w:rPr>
          <w:color w:val="231F20"/>
        </w:rPr>
        <w:t>for</w:t>
      </w:r>
      <w:r>
        <w:rPr>
          <w:color w:val="231F20"/>
          <w:spacing w:val="-9"/>
        </w:rPr>
        <w:t xml:space="preserve"> </w:t>
      </w:r>
      <w:r>
        <w:rPr>
          <w:color w:val="231F20"/>
        </w:rPr>
        <w:t>DR-TB.</w:t>
      </w:r>
      <w:r>
        <w:rPr>
          <w:color w:val="231F20"/>
          <w:spacing w:val="-9"/>
        </w:rPr>
        <w:t xml:space="preserve"> </w:t>
      </w:r>
      <w:r>
        <w:rPr>
          <w:color w:val="231F20"/>
        </w:rPr>
        <w:t>Key</w:t>
      </w:r>
      <w:r>
        <w:rPr>
          <w:color w:val="231F20"/>
          <w:spacing w:val="-9"/>
        </w:rPr>
        <w:t xml:space="preserve"> </w:t>
      </w:r>
      <w:r>
        <w:rPr>
          <w:color w:val="231F20"/>
        </w:rPr>
        <w:t>actions</w:t>
      </w:r>
      <w:r>
        <w:rPr>
          <w:color w:val="231F20"/>
          <w:spacing w:val="-9"/>
        </w:rPr>
        <w:t xml:space="preserve"> </w:t>
      </w:r>
      <w:r>
        <w:rPr>
          <w:color w:val="231F20"/>
        </w:rPr>
        <w:t>include;</w:t>
      </w:r>
      <w:r>
        <w:rPr>
          <w:color w:val="231F20"/>
          <w:spacing w:val="-9"/>
        </w:rPr>
        <w:t xml:space="preserve"> </w:t>
      </w:r>
      <w:r>
        <w:rPr>
          <w:color w:val="231F20"/>
        </w:rPr>
        <w:t>- Operating</w:t>
      </w:r>
      <w:r>
        <w:rPr>
          <w:color w:val="231F20"/>
          <w:spacing w:val="-16"/>
        </w:rPr>
        <w:t xml:space="preserve"> </w:t>
      </w:r>
      <w:r>
        <w:rPr>
          <w:color w:val="231F20"/>
        </w:rPr>
        <w:t>cost</w:t>
      </w:r>
      <w:r>
        <w:rPr>
          <w:color w:val="231F20"/>
          <w:spacing w:val="-15"/>
        </w:rPr>
        <w:t xml:space="preserve"> </w:t>
      </w:r>
      <w:r>
        <w:rPr>
          <w:color w:val="231F20"/>
        </w:rPr>
        <w:t>for</w:t>
      </w:r>
      <w:r>
        <w:rPr>
          <w:color w:val="231F20"/>
          <w:spacing w:val="-15"/>
        </w:rPr>
        <w:t xml:space="preserve"> </w:t>
      </w:r>
      <w:r>
        <w:rPr>
          <w:color w:val="231F20"/>
        </w:rPr>
        <w:t>engaging</w:t>
      </w:r>
      <w:r>
        <w:rPr>
          <w:color w:val="231F20"/>
          <w:spacing w:val="-16"/>
        </w:rPr>
        <w:t xml:space="preserve"> </w:t>
      </w:r>
      <w:r>
        <w:rPr>
          <w:color w:val="231F20"/>
        </w:rPr>
        <w:t>and</w:t>
      </w:r>
      <w:r>
        <w:rPr>
          <w:color w:val="231F20"/>
          <w:spacing w:val="-15"/>
        </w:rPr>
        <w:t xml:space="preserve"> </w:t>
      </w:r>
      <w:r>
        <w:rPr>
          <w:color w:val="231F20"/>
        </w:rPr>
        <w:t>supervising</w:t>
      </w:r>
      <w:r>
        <w:rPr>
          <w:color w:val="231F20"/>
          <w:spacing w:val="-15"/>
        </w:rPr>
        <w:t xml:space="preserve"> </w:t>
      </w:r>
      <w:r>
        <w:rPr>
          <w:color w:val="231F20"/>
        </w:rPr>
        <w:t>the</w:t>
      </w:r>
      <w:r>
        <w:rPr>
          <w:color w:val="231F20"/>
          <w:spacing w:val="-15"/>
        </w:rPr>
        <w:t xml:space="preserve"> </w:t>
      </w:r>
      <w:r>
        <w:rPr>
          <w:color w:val="231F20"/>
        </w:rPr>
        <w:t>contractor</w:t>
      </w:r>
      <w:r>
        <w:rPr>
          <w:color w:val="231F20"/>
          <w:spacing w:val="-16"/>
        </w:rPr>
        <w:t xml:space="preserve"> </w:t>
      </w:r>
      <w:r>
        <w:rPr>
          <w:color w:val="231F20"/>
        </w:rPr>
        <w:t>to</w:t>
      </w:r>
      <w:r>
        <w:rPr>
          <w:color w:val="231F20"/>
          <w:spacing w:val="-15"/>
        </w:rPr>
        <w:t xml:space="preserve"> </w:t>
      </w:r>
      <w:r>
        <w:rPr>
          <w:color w:val="231F20"/>
        </w:rPr>
        <w:t>establish</w:t>
      </w:r>
      <w:r>
        <w:rPr>
          <w:color w:val="231F20"/>
          <w:spacing w:val="-15"/>
        </w:rPr>
        <w:t xml:space="preserve"> </w:t>
      </w:r>
      <w:r>
        <w:rPr>
          <w:color w:val="231F20"/>
        </w:rPr>
        <w:t>a</w:t>
      </w:r>
      <w:r>
        <w:rPr>
          <w:color w:val="231F20"/>
          <w:spacing w:val="-15"/>
        </w:rPr>
        <w:t xml:space="preserve"> </w:t>
      </w:r>
      <w:r>
        <w:rPr>
          <w:color w:val="231F20"/>
        </w:rPr>
        <w:t>robust</w:t>
      </w:r>
      <w:r>
        <w:rPr>
          <w:color w:val="231F20"/>
          <w:spacing w:val="-16"/>
        </w:rPr>
        <w:t xml:space="preserve"> </w:t>
      </w:r>
      <w:r>
        <w:rPr>
          <w:color w:val="231F20"/>
        </w:rPr>
        <w:t>DR-TB</w:t>
      </w:r>
      <w:r>
        <w:rPr>
          <w:color w:val="231F20"/>
          <w:spacing w:val="-15"/>
        </w:rPr>
        <w:t xml:space="preserve"> </w:t>
      </w:r>
      <w:r>
        <w:rPr>
          <w:color w:val="231F20"/>
        </w:rPr>
        <w:t>diagnosis, treatment</w:t>
      </w:r>
      <w:r>
        <w:rPr>
          <w:color w:val="231F20"/>
          <w:spacing w:val="-25"/>
        </w:rPr>
        <w:t xml:space="preserve"> </w:t>
      </w:r>
      <w:r>
        <w:rPr>
          <w:color w:val="231F20"/>
        </w:rPr>
        <w:t>and</w:t>
      </w:r>
      <w:r>
        <w:rPr>
          <w:color w:val="231F20"/>
          <w:spacing w:val="-25"/>
        </w:rPr>
        <w:t xml:space="preserve"> </w:t>
      </w:r>
      <w:r>
        <w:rPr>
          <w:color w:val="231F20"/>
        </w:rPr>
        <w:t>care</w:t>
      </w:r>
      <w:r>
        <w:rPr>
          <w:color w:val="231F20"/>
          <w:spacing w:val="-25"/>
        </w:rPr>
        <w:t xml:space="preserve"> </w:t>
      </w:r>
      <w:r>
        <w:rPr>
          <w:color w:val="231F20"/>
        </w:rPr>
        <w:t>services.</w:t>
      </w:r>
    </w:p>
    <w:p w14:paraId="7C1F7C4F" w14:textId="77777777" w:rsidR="009948F1" w:rsidRDefault="009948F1">
      <w:pPr>
        <w:pStyle w:val="BodyText"/>
        <w:spacing w:before="8"/>
        <w:rPr>
          <w:sz w:val="24"/>
        </w:rPr>
      </w:pPr>
    </w:p>
    <w:p w14:paraId="5EF0D03E" w14:textId="77777777" w:rsidR="009948F1" w:rsidRDefault="00BC0563">
      <w:pPr>
        <w:pStyle w:val="ListParagraph"/>
        <w:numPr>
          <w:ilvl w:val="3"/>
          <w:numId w:val="287"/>
        </w:numPr>
        <w:tabs>
          <w:tab w:val="left" w:pos="935"/>
        </w:tabs>
        <w:spacing w:line="268" w:lineRule="auto"/>
        <w:ind w:left="170" w:right="176" w:firstLine="0"/>
      </w:pPr>
      <w:r>
        <w:rPr>
          <w:color w:val="231F20"/>
        </w:rPr>
        <w:t xml:space="preserve">Strengthen collaboration with and capacity of CBOs to support TB programming. </w:t>
      </w:r>
      <w:r>
        <w:rPr>
          <w:color w:val="231F20"/>
          <w:spacing w:val="-6"/>
        </w:rPr>
        <w:t xml:space="preserve">Key </w:t>
      </w:r>
      <w:r>
        <w:rPr>
          <w:color w:val="231F20"/>
        </w:rPr>
        <w:t xml:space="preserve">actions include; – Engage patent medicine vendors and community pharmacists, traditional healers, religious leaders and other first-points-of-contact in identification of people with </w:t>
      </w:r>
      <w:r>
        <w:rPr>
          <w:color w:val="231F20"/>
          <w:spacing w:val="-7"/>
        </w:rPr>
        <w:t xml:space="preserve">TB </w:t>
      </w:r>
      <w:r>
        <w:rPr>
          <w:color w:val="231F20"/>
        </w:rPr>
        <w:t xml:space="preserve">symptoms and referral for evaluation; Engage FBO health facilities and private health facilities </w:t>
      </w:r>
      <w:r>
        <w:rPr>
          <w:color w:val="231F20"/>
          <w:spacing w:val="-8"/>
        </w:rPr>
        <w:t xml:space="preserve">in </w:t>
      </w:r>
      <w:r>
        <w:rPr>
          <w:color w:val="231F20"/>
        </w:rPr>
        <w:t>providing</w:t>
      </w:r>
      <w:r>
        <w:rPr>
          <w:color w:val="231F20"/>
          <w:spacing w:val="-24"/>
        </w:rPr>
        <w:t xml:space="preserve"> </w:t>
      </w:r>
      <w:r>
        <w:rPr>
          <w:color w:val="231F20"/>
        </w:rPr>
        <w:t>TB</w:t>
      </w:r>
      <w:r>
        <w:rPr>
          <w:color w:val="231F20"/>
          <w:spacing w:val="-20"/>
        </w:rPr>
        <w:t xml:space="preserve"> </w:t>
      </w:r>
      <w:r>
        <w:rPr>
          <w:color w:val="231F20"/>
        </w:rPr>
        <w:t>diagnostic</w:t>
      </w:r>
      <w:r>
        <w:rPr>
          <w:color w:val="231F20"/>
          <w:spacing w:val="-19"/>
        </w:rPr>
        <w:t xml:space="preserve"> </w:t>
      </w:r>
      <w:r>
        <w:rPr>
          <w:color w:val="231F20"/>
        </w:rPr>
        <w:t>services;</w:t>
      </w:r>
      <w:r>
        <w:rPr>
          <w:color w:val="231F20"/>
          <w:spacing w:val="-20"/>
        </w:rPr>
        <w:t xml:space="preserve"> </w:t>
      </w:r>
      <w:r>
        <w:rPr>
          <w:color w:val="231F20"/>
        </w:rPr>
        <w:t>Conduct</w:t>
      </w:r>
      <w:r>
        <w:rPr>
          <w:color w:val="231F20"/>
          <w:spacing w:val="-19"/>
        </w:rPr>
        <w:t xml:space="preserve"> </w:t>
      </w:r>
      <w:r>
        <w:rPr>
          <w:color w:val="231F20"/>
        </w:rPr>
        <w:t>trainings</w:t>
      </w:r>
      <w:r>
        <w:rPr>
          <w:color w:val="231F20"/>
          <w:spacing w:val="-19"/>
        </w:rPr>
        <w:t xml:space="preserve"> </w:t>
      </w:r>
      <w:r>
        <w:rPr>
          <w:color w:val="231F20"/>
        </w:rPr>
        <w:t>to</w:t>
      </w:r>
      <w:r>
        <w:rPr>
          <w:color w:val="231F20"/>
          <w:spacing w:val="-20"/>
        </w:rPr>
        <w:t xml:space="preserve"> </w:t>
      </w:r>
      <w:r>
        <w:rPr>
          <w:color w:val="231F20"/>
        </w:rPr>
        <w:t>increase</w:t>
      </w:r>
      <w:r>
        <w:rPr>
          <w:color w:val="231F20"/>
          <w:spacing w:val="-19"/>
        </w:rPr>
        <w:t xml:space="preserve"> </w:t>
      </w:r>
      <w:r>
        <w:rPr>
          <w:color w:val="231F20"/>
        </w:rPr>
        <w:t>capacity</w:t>
      </w:r>
      <w:r>
        <w:rPr>
          <w:color w:val="231F20"/>
          <w:spacing w:val="-20"/>
        </w:rPr>
        <w:t xml:space="preserve"> </w:t>
      </w:r>
      <w:r>
        <w:rPr>
          <w:color w:val="231F20"/>
        </w:rPr>
        <w:t>of</w:t>
      </w:r>
      <w:r>
        <w:rPr>
          <w:color w:val="231F20"/>
          <w:spacing w:val="-20"/>
        </w:rPr>
        <w:t xml:space="preserve"> </w:t>
      </w:r>
      <w:r>
        <w:rPr>
          <w:color w:val="231F20"/>
        </w:rPr>
        <w:t>CBOs</w:t>
      </w:r>
      <w:r>
        <w:rPr>
          <w:color w:val="231F20"/>
          <w:spacing w:val="-20"/>
        </w:rPr>
        <w:t xml:space="preserve"> </w:t>
      </w:r>
      <w:r>
        <w:rPr>
          <w:color w:val="231F20"/>
        </w:rPr>
        <w:t>for</w:t>
      </w:r>
      <w:r>
        <w:rPr>
          <w:color w:val="231F20"/>
          <w:spacing w:val="-20"/>
        </w:rPr>
        <w:t xml:space="preserve"> </w:t>
      </w:r>
      <w:r>
        <w:rPr>
          <w:color w:val="231F20"/>
        </w:rPr>
        <w:t>PMV</w:t>
      </w:r>
      <w:r>
        <w:rPr>
          <w:color w:val="231F20"/>
          <w:spacing w:val="-20"/>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rPr>
        <w:t>23 LGAs; Conduct re-training for PMV and Health providers in the 23 LGAs; Hold Education &amp; Sensitization</w:t>
      </w:r>
      <w:r>
        <w:rPr>
          <w:color w:val="231F20"/>
          <w:spacing w:val="-26"/>
        </w:rPr>
        <w:t xml:space="preserve"> </w:t>
      </w:r>
      <w:r>
        <w:rPr>
          <w:color w:val="231F20"/>
        </w:rPr>
        <w:t>meetings</w:t>
      </w:r>
      <w:r>
        <w:rPr>
          <w:color w:val="231F20"/>
          <w:spacing w:val="-25"/>
        </w:rPr>
        <w:t xml:space="preserve"> </w:t>
      </w:r>
      <w:r>
        <w:rPr>
          <w:color w:val="231F20"/>
        </w:rPr>
        <w:t>for</w:t>
      </w:r>
      <w:r>
        <w:rPr>
          <w:color w:val="231F20"/>
          <w:spacing w:val="-25"/>
        </w:rPr>
        <w:t xml:space="preserve"> </w:t>
      </w:r>
      <w:r>
        <w:rPr>
          <w:color w:val="231F20"/>
        </w:rPr>
        <w:t>community</w:t>
      </w:r>
      <w:r>
        <w:rPr>
          <w:color w:val="231F20"/>
          <w:spacing w:val="-25"/>
        </w:rPr>
        <w:t xml:space="preserve"> </w:t>
      </w:r>
      <w:r>
        <w:rPr>
          <w:color w:val="231F20"/>
        </w:rPr>
        <w:t>members</w:t>
      </w:r>
      <w:r>
        <w:rPr>
          <w:color w:val="231F20"/>
          <w:spacing w:val="-25"/>
        </w:rPr>
        <w:t xml:space="preserve"> </w:t>
      </w:r>
      <w:r>
        <w:rPr>
          <w:color w:val="231F20"/>
        </w:rPr>
        <w:t>on</w:t>
      </w:r>
      <w:r>
        <w:rPr>
          <w:color w:val="231F20"/>
          <w:spacing w:val="-29"/>
        </w:rPr>
        <w:t xml:space="preserve"> </w:t>
      </w:r>
      <w:r>
        <w:rPr>
          <w:color w:val="231F20"/>
        </w:rPr>
        <w:t>TB</w:t>
      </w:r>
      <w:r>
        <w:rPr>
          <w:color w:val="231F20"/>
          <w:spacing w:val="-25"/>
        </w:rPr>
        <w:t xml:space="preserve"> </w:t>
      </w:r>
      <w:r>
        <w:rPr>
          <w:color w:val="231F20"/>
        </w:rPr>
        <w:t>programming</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23</w:t>
      </w:r>
      <w:r>
        <w:rPr>
          <w:color w:val="231F20"/>
          <w:spacing w:val="-25"/>
        </w:rPr>
        <w:t xml:space="preserve"> </w:t>
      </w:r>
      <w:r>
        <w:rPr>
          <w:color w:val="231F20"/>
        </w:rPr>
        <w:t>LGAs.</w:t>
      </w:r>
    </w:p>
    <w:p w14:paraId="5771C9F1" w14:textId="77777777" w:rsidR="009948F1" w:rsidRDefault="009948F1">
      <w:pPr>
        <w:pStyle w:val="BodyText"/>
        <w:spacing w:before="7"/>
        <w:rPr>
          <w:sz w:val="24"/>
        </w:rPr>
      </w:pPr>
    </w:p>
    <w:p w14:paraId="435D0036" w14:textId="77777777" w:rsidR="009948F1" w:rsidRDefault="00BC0563">
      <w:pPr>
        <w:pStyle w:val="ListParagraph"/>
        <w:numPr>
          <w:ilvl w:val="3"/>
          <w:numId w:val="287"/>
        </w:numPr>
        <w:tabs>
          <w:tab w:val="left" w:pos="919"/>
        </w:tabs>
        <w:spacing w:before="1" w:line="268" w:lineRule="auto"/>
        <w:ind w:left="169" w:right="176" w:firstLine="0"/>
      </w:pPr>
      <w:r>
        <w:rPr>
          <w:color w:val="231F20"/>
        </w:rPr>
        <w:t xml:space="preserve">Strengthen mechanism for coordination of TB/HIV collaborative activities at all levels of health care. Key actions include; – Upgrade the existing Monitoring and Evaluation system to </w:t>
      </w:r>
      <w:r>
        <w:rPr>
          <w:color w:val="231F20"/>
          <w:spacing w:val="-7"/>
        </w:rPr>
        <w:t xml:space="preserve">be </w:t>
      </w:r>
      <w:r>
        <w:rPr>
          <w:color w:val="231F20"/>
        </w:rPr>
        <w:t>more</w:t>
      </w:r>
      <w:r>
        <w:rPr>
          <w:color w:val="231F20"/>
          <w:spacing w:val="-18"/>
        </w:rPr>
        <w:t xml:space="preserve"> </w:t>
      </w:r>
      <w:r>
        <w:rPr>
          <w:color w:val="231F20"/>
        </w:rPr>
        <w:t>robust</w:t>
      </w:r>
      <w:r>
        <w:rPr>
          <w:color w:val="231F20"/>
          <w:spacing w:val="-17"/>
        </w:rPr>
        <w:t xml:space="preserve"> </w:t>
      </w:r>
      <w:r>
        <w:rPr>
          <w:color w:val="231F20"/>
        </w:rPr>
        <w:t>and</w:t>
      </w:r>
      <w:r>
        <w:rPr>
          <w:color w:val="231F20"/>
          <w:spacing w:val="-17"/>
        </w:rPr>
        <w:t xml:space="preserve"> </w:t>
      </w:r>
      <w:r>
        <w:rPr>
          <w:color w:val="231F20"/>
        </w:rPr>
        <w:t>be</w:t>
      </w:r>
      <w:r>
        <w:rPr>
          <w:color w:val="231F20"/>
          <w:spacing w:val="-17"/>
        </w:rPr>
        <w:t xml:space="preserve"> </w:t>
      </w:r>
      <w:r>
        <w:rPr>
          <w:color w:val="231F20"/>
        </w:rPr>
        <w:t>able</w:t>
      </w:r>
      <w:r>
        <w:rPr>
          <w:color w:val="231F20"/>
          <w:spacing w:val="-17"/>
        </w:rPr>
        <w:t xml:space="preserve"> </w:t>
      </w:r>
      <w:r>
        <w:rPr>
          <w:color w:val="231F20"/>
        </w:rPr>
        <w:t>to</w:t>
      </w:r>
      <w:r>
        <w:rPr>
          <w:color w:val="231F20"/>
          <w:spacing w:val="-17"/>
        </w:rPr>
        <w:t xml:space="preserve"> </w:t>
      </w:r>
      <w:r>
        <w:rPr>
          <w:color w:val="231F20"/>
        </w:rPr>
        <w:t>meet</w:t>
      </w:r>
      <w:r>
        <w:rPr>
          <w:color w:val="231F20"/>
          <w:spacing w:val="-17"/>
        </w:rPr>
        <w:t xml:space="preserve"> </w:t>
      </w:r>
      <w:r>
        <w:rPr>
          <w:color w:val="231F20"/>
        </w:rPr>
        <w:t>up</w:t>
      </w:r>
      <w:r>
        <w:rPr>
          <w:color w:val="231F20"/>
          <w:spacing w:val="-17"/>
        </w:rPr>
        <w:t xml:space="preserve"> </w:t>
      </w:r>
      <w:r>
        <w:rPr>
          <w:color w:val="231F20"/>
        </w:rPr>
        <w:t>with</w:t>
      </w:r>
      <w:r>
        <w:rPr>
          <w:color w:val="231F20"/>
          <w:spacing w:val="-17"/>
        </w:rPr>
        <w:t xml:space="preserve"> </w:t>
      </w:r>
      <w:r>
        <w:rPr>
          <w:color w:val="231F20"/>
        </w:rPr>
        <w:t>the</w:t>
      </w:r>
      <w:r>
        <w:rPr>
          <w:color w:val="231F20"/>
          <w:spacing w:val="-17"/>
        </w:rPr>
        <w:t xml:space="preserve"> </w:t>
      </w:r>
      <w:r>
        <w:rPr>
          <w:color w:val="231F20"/>
        </w:rPr>
        <w:t>increasing</w:t>
      </w:r>
      <w:r>
        <w:rPr>
          <w:color w:val="231F20"/>
          <w:spacing w:val="-16"/>
        </w:rPr>
        <w:t xml:space="preserve"> </w:t>
      </w:r>
      <w:r>
        <w:rPr>
          <w:color w:val="231F20"/>
        </w:rPr>
        <w:t>demand</w:t>
      </w:r>
      <w:r>
        <w:rPr>
          <w:color w:val="231F20"/>
          <w:spacing w:val="-16"/>
        </w:rPr>
        <w:t xml:space="preserve"> </w:t>
      </w:r>
      <w:r>
        <w:rPr>
          <w:color w:val="231F20"/>
        </w:rPr>
        <w:t>for</w:t>
      </w:r>
      <w:r>
        <w:rPr>
          <w:color w:val="231F20"/>
          <w:spacing w:val="-17"/>
        </w:rPr>
        <w:t xml:space="preserve"> </w:t>
      </w:r>
      <w:r>
        <w:rPr>
          <w:color w:val="231F20"/>
        </w:rPr>
        <w:t>the</w:t>
      </w:r>
      <w:r>
        <w:rPr>
          <w:color w:val="231F20"/>
          <w:spacing w:val="-22"/>
        </w:rPr>
        <w:t xml:space="preserve"> </w:t>
      </w:r>
      <w:r>
        <w:rPr>
          <w:color w:val="231F20"/>
        </w:rPr>
        <w:t>TBL</w:t>
      </w:r>
      <w:r>
        <w:rPr>
          <w:color w:val="231F20"/>
          <w:spacing w:val="-25"/>
        </w:rPr>
        <w:t xml:space="preserve"> </w:t>
      </w:r>
      <w:proofErr w:type="spellStart"/>
      <w:r>
        <w:rPr>
          <w:color w:val="231F20"/>
        </w:rPr>
        <w:t>programme</w:t>
      </w:r>
      <w:proofErr w:type="spellEnd"/>
      <w:r>
        <w:rPr>
          <w:color w:val="231F20"/>
          <w:spacing w:val="-16"/>
        </w:rPr>
        <w:t xml:space="preserve"> </w:t>
      </w:r>
      <w:r>
        <w:rPr>
          <w:color w:val="231F20"/>
        </w:rPr>
        <w:t>at</w:t>
      </w:r>
      <w:r>
        <w:rPr>
          <w:color w:val="231F20"/>
          <w:spacing w:val="-17"/>
        </w:rPr>
        <w:t xml:space="preserve"> </w:t>
      </w:r>
      <w:r>
        <w:rPr>
          <w:color w:val="231F20"/>
        </w:rPr>
        <w:t>all</w:t>
      </w:r>
      <w:r>
        <w:rPr>
          <w:color w:val="231F20"/>
          <w:spacing w:val="-17"/>
        </w:rPr>
        <w:t xml:space="preserve"> </w:t>
      </w:r>
      <w:r>
        <w:rPr>
          <w:color w:val="231F20"/>
        </w:rPr>
        <w:t>level; Build the capacity of health care workers to deliver integrated TB/HIV services; Conduct periodic review</w:t>
      </w:r>
      <w:r>
        <w:rPr>
          <w:color w:val="231F20"/>
          <w:spacing w:val="-26"/>
        </w:rPr>
        <w:t xml:space="preserve"> </w:t>
      </w:r>
      <w:r>
        <w:rPr>
          <w:color w:val="231F20"/>
        </w:rPr>
        <w:t>meetings</w:t>
      </w:r>
      <w:r>
        <w:rPr>
          <w:color w:val="231F20"/>
          <w:spacing w:val="-25"/>
        </w:rPr>
        <w:t xml:space="preserve"> </w:t>
      </w:r>
      <w:r>
        <w:rPr>
          <w:color w:val="231F20"/>
        </w:rPr>
        <w:t>for</w:t>
      </w:r>
      <w:r>
        <w:rPr>
          <w:color w:val="231F20"/>
          <w:spacing w:val="-25"/>
        </w:rPr>
        <w:t xml:space="preserve"> </w:t>
      </w:r>
      <w:r>
        <w:rPr>
          <w:color w:val="231F20"/>
        </w:rPr>
        <w:t>coordination</w:t>
      </w:r>
      <w:r>
        <w:rPr>
          <w:color w:val="231F20"/>
          <w:spacing w:val="-25"/>
        </w:rPr>
        <w:t xml:space="preserve"> </w:t>
      </w:r>
      <w:r>
        <w:rPr>
          <w:color w:val="231F20"/>
        </w:rPr>
        <w:t>of</w:t>
      </w:r>
      <w:r>
        <w:rPr>
          <w:color w:val="231F20"/>
          <w:spacing w:val="-29"/>
        </w:rPr>
        <w:t xml:space="preserve"> </w:t>
      </w:r>
      <w:r>
        <w:rPr>
          <w:color w:val="231F20"/>
        </w:rPr>
        <w:t>TB/HIV</w:t>
      </w:r>
      <w:r>
        <w:rPr>
          <w:color w:val="231F20"/>
          <w:spacing w:val="-25"/>
        </w:rPr>
        <w:t xml:space="preserve"> </w:t>
      </w:r>
      <w:r>
        <w:rPr>
          <w:color w:val="231F20"/>
        </w:rPr>
        <w:t>collaborative</w:t>
      </w:r>
      <w:r>
        <w:rPr>
          <w:color w:val="231F20"/>
          <w:spacing w:val="-25"/>
        </w:rPr>
        <w:t xml:space="preserve"> </w:t>
      </w:r>
      <w:r>
        <w:rPr>
          <w:color w:val="231F20"/>
        </w:rPr>
        <w:t>activities</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p>
    <w:p w14:paraId="61DDF367" w14:textId="77777777" w:rsidR="009948F1" w:rsidRDefault="009948F1">
      <w:pPr>
        <w:pStyle w:val="BodyText"/>
        <w:spacing w:before="7"/>
        <w:rPr>
          <w:sz w:val="24"/>
        </w:rPr>
      </w:pPr>
    </w:p>
    <w:p w14:paraId="1ACFA3D1" w14:textId="446282EC" w:rsidR="009948F1" w:rsidRDefault="00BC0563">
      <w:pPr>
        <w:pStyle w:val="ListParagraph"/>
        <w:numPr>
          <w:ilvl w:val="3"/>
          <w:numId w:val="287"/>
        </w:numPr>
        <w:tabs>
          <w:tab w:val="left" w:pos="880"/>
        </w:tabs>
        <w:spacing w:line="268" w:lineRule="auto"/>
        <w:ind w:left="169" w:right="176" w:firstLine="0"/>
      </w:pPr>
      <w:r>
        <w:rPr>
          <w:color w:val="231F20"/>
        </w:rPr>
        <w:t>Promote</w:t>
      </w:r>
      <w:r>
        <w:rPr>
          <w:color w:val="231F20"/>
          <w:spacing w:val="-26"/>
        </w:rPr>
        <w:t xml:space="preserve"> </w:t>
      </w:r>
      <w:r>
        <w:rPr>
          <w:color w:val="231F20"/>
        </w:rPr>
        <w:t>innovative</w:t>
      </w:r>
      <w:r>
        <w:rPr>
          <w:color w:val="231F20"/>
          <w:spacing w:val="-26"/>
        </w:rPr>
        <w:t xml:space="preserve"> </w:t>
      </w:r>
      <w:r>
        <w:rPr>
          <w:color w:val="231F20"/>
        </w:rPr>
        <w:t>advocacy,</w:t>
      </w:r>
      <w:r>
        <w:rPr>
          <w:color w:val="231F20"/>
          <w:spacing w:val="-26"/>
        </w:rPr>
        <w:t xml:space="preserve"> </w:t>
      </w:r>
      <w:r>
        <w:rPr>
          <w:color w:val="231F20"/>
        </w:rPr>
        <w:t>social</w:t>
      </w:r>
      <w:r>
        <w:rPr>
          <w:color w:val="231F20"/>
          <w:spacing w:val="-26"/>
        </w:rPr>
        <w:t xml:space="preserve"> </w:t>
      </w:r>
      <w:r>
        <w:rPr>
          <w:color w:val="231F20"/>
        </w:rPr>
        <w:t>mobilization</w:t>
      </w:r>
      <w:r>
        <w:rPr>
          <w:color w:val="231F20"/>
          <w:spacing w:val="-25"/>
        </w:rPr>
        <w:t xml:space="preserve"> </w:t>
      </w:r>
      <w:r>
        <w:rPr>
          <w:color w:val="231F20"/>
        </w:rPr>
        <w:t>and</w:t>
      </w:r>
      <w:r>
        <w:rPr>
          <w:color w:val="231F20"/>
          <w:spacing w:val="-26"/>
        </w:rPr>
        <w:t xml:space="preserve"> </w:t>
      </w:r>
      <w:proofErr w:type="spellStart"/>
      <w:r>
        <w:rPr>
          <w:color w:val="231F20"/>
        </w:rPr>
        <w:t>behaviour</w:t>
      </w:r>
      <w:proofErr w:type="spellEnd"/>
      <w:r>
        <w:rPr>
          <w:color w:val="231F20"/>
          <w:spacing w:val="-25"/>
        </w:rPr>
        <w:t xml:space="preserve"> </w:t>
      </w:r>
      <w:r>
        <w:rPr>
          <w:color w:val="231F20"/>
        </w:rPr>
        <w:t>change</w:t>
      </w:r>
      <w:r>
        <w:rPr>
          <w:color w:val="231F20"/>
          <w:spacing w:val="-26"/>
        </w:rPr>
        <w:t xml:space="preserve"> </w:t>
      </w:r>
      <w:r>
        <w:rPr>
          <w:color w:val="231F20"/>
        </w:rPr>
        <w:t>intervention</w:t>
      </w:r>
      <w:r>
        <w:rPr>
          <w:color w:val="231F20"/>
          <w:spacing w:val="-25"/>
        </w:rPr>
        <w:t xml:space="preserve"> </w:t>
      </w:r>
      <w:r>
        <w:rPr>
          <w:color w:val="231F20"/>
        </w:rPr>
        <w:t>for</w:t>
      </w:r>
      <w:r>
        <w:rPr>
          <w:color w:val="231F20"/>
          <w:spacing w:val="-26"/>
        </w:rPr>
        <w:t xml:space="preserve"> </w:t>
      </w:r>
      <w:r>
        <w:rPr>
          <w:color w:val="231F20"/>
          <w:spacing w:val="-5"/>
        </w:rPr>
        <w:t xml:space="preserve">the </w:t>
      </w:r>
      <w:r>
        <w:rPr>
          <w:color w:val="231F20"/>
        </w:rPr>
        <w:t>prevention</w:t>
      </w:r>
      <w:r>
        <w:rPr>
          <w:color w:val="231F20"/>
          <w:spacing w:val="-25"/>
        </w:rPr>
        <w:t xml:space="preserve"> </w:t>
      </w:r>
      <w:r>
        <w:rPr>
          <w:color w:val="231F20"/>
        </w:rPr>
        <w:t>and</w:t>
      </w:r>
      <w:r>
        <w:rPr>
          <w:color w:val="231F20"/>
          <w:spacing w:val="-25"/>
        </w:rPr>
        <w:t xml:space="preserve"> </w:t>
      </w:r>
      <w:r>
        <w:rPr>
          <w:color w:val="231F20"/>
        </w:rPr>
        <w:t>control</w:t>
      </w:r>
      <w:r>
        <w:rPr>
          <w:color w:val="231F20"/>
          <w:spacing w:val="-24"/>
        </w:rPr>
        <w:t xml:space="preserve"> </w:t>
      </w:r>
      <w:r>
        <w:rPr>
          <w:color w:val="231F20"/>
        </w:rPr>
        <w:t>of</w:t>
      </w:r>
      <w:r>
        <w:rPr>
          <w:color w:val="231F20"/>
          <w:spacing w:val="-29"/>
        </w:rPr>
        <w:t xml:space="preserve"> </w:t>
      </w:r>
      <w:r>
        <w:rPr>
          <w:color w:val="231F20"/>
        </w:rPr>
        <w:t>TB.</w:t>
      </w:r>
      <w:r>
        <w:rPr>
          <w:color w:val="231F20"/>
          <w:spacing w:val="-25"/>
        </w:rPr>
        <w:t xml:space="preserve"> </w:t>
      </w:r>
      <w:r>
        <w:rPr>
          <w:color w:val="231F20"/>
        </w:rPr>
        <w:t>Key</w:t>
      </w:r>
      <w:r>
        <w:rPr>
          <w:color w:val="231F20"/>
          <w:spacing w:val="-24"/>
        </w:rPr>
        <w:t xml:space="preserve"> </w:t>
      </w:r>
      <w:r>
        <w:rPr>
          <w:color w:val="231F20"/>
        </w:rPr>
        <w:t>actions</w:t>
      </w:r>
      <w:r>
        <w:rPr>
          <w:color w:val="231F20"/>
          <w:spacing w:val="-25"/>
        </w:rPr>
        <w:t xml:space="preserve"> </w:t>
      </w:r>
      <w:r>
        <w:rPr>
          <w:color w:val="231F20"/>
        </w:rPr>
        <w:t>include;</w:t>
      </w:r>
      <w:r>
        <w:rPr>
          <w:color w:val="231F20"/>
          <w:spacing w:val="-25"/>
        </w:rPr>
        <w:t xml:space="preserve"> </w:t>
      </w:r>
      <w:r>
        <w:rPr>
          <w:color w:val="231F20"/>
        </w:rPr>
        <w:t>–</w:t>
      </w:r>
      <w:r>
        <w:rPr>
          <w:color w:val="231F20"/>
          <w:spacing w:val="-24"/>
        </w:rPr>
        <w:t xml:space="preserve"> </w:t>
      </w:r>
      <w:r>
        <w:rPr>
          <w:color w:val="231F20"/>
        </w:rPr>
        <w:t>Develop</w:t>
      </w:r>
      <w:r>
        <w:rPr>
          <w:color w:val="231F20"/>
          <w:spacing w:val="-25"/>
        </w:rPr>
        <w:t xml:space="preserve"> </w:t>
      </w:r>
      <w:r>
        <w:rPr>
          <w:color w:val="231F20"/>
        </w:rPr>
        <w:t>an</w:t>
      </w:r>
      <w:r>
        <w:rPr>
          <w:color w:val="231F20"/>
          <w:spacing w:val="-25"/>
        </w:rPr>
        <w:t xml:space="preserve"> </w:t>
      </w:r>
      <w:r>
        <w:rPr>
          <w:color w:val="231F20"/>
        </w:rPr>
        <w:t>effective</w:t>
      </w:r>
      <w:r>
        <w:rPr>
          <w:color w:val="231F20"/>
          <w:spacing w:val="-24"/>
        </w:rPr>
        <w:t xml:space="preserve"> </w:t>
      </w:r>
      <w:r>
        <w:rPr>
          <w:color w:val="231F20"/>
        </w:rPr>
        <w:t>advocacy,</w:t>
      </w:r>
      <w:r>
        <w:rPr>
          <w:color w:val="231F20"/>
          <w:spacing w:val="-25"/>
        </w:rPr>
        <w:t xml:space="preserve"> </w:t>
      </w:r>
      <w:r>
        <w:rPr>
          <w:color w:val="231F20"/>
        </w:rPr>
        <w:t>communication and</w:t>
      </w:r>
      <w:r>
        <w:rPr>
          <w:color w:val="231F20"/>
          <w:spacing w:val="-4"/>
        </w:rPr>
        <w:t xml:space="preserve"> </w:t>
      </w:r>
      <w:r>
        <w:rPr>
          <w:color w:val="231F20"/>
        </w:rPr>
        <w:t>social</w:t>
      </w:r>
      <w:r>
        <w:rPr>
          <w:color w:val="231F20"/>
          <w:spacing w:val="-3"/>
        </w:rPr>
        <w:t xml:space="preserve"> </w:t>
      </w:r>
      <w:r>
        <w:rPr>
          <w:color w:val="231F20"/>
        </w:rPr>
        <w:t>mobilization system</w:t>
      </w:r>
      <w:r>
        <w:rPr>
          <w:color w:val="231F20"/>
          <w:spacing w:val="-5"/>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prevention and</w:t>
      </w:r>
      <w:r>
        <w:rPr>
          <w:color w:val="231F20"/>
          <w:spacing w:val="-5"/>
        </w:rPr>
        <w:t xml:space="preserve"> </w:t>
      </w:r>
      <w:r>
        <w:rPr>
          <w:color w:val="231F20"/>
        </w:rPr>
        <w:t>control</w:t>
      </w:r>
      <w:r>
        <w:rPr>
          <w:color w:val="231F20"/>
          <w:spacing w:val="-3"/>
        </w:rPr>
        <w:t xml:space="preserve"> </w:t>
      </w:r>
      <w:r>
        <w:rPr>
          <w:color w:val="231F20"/>
        </w:rPr>
        <w:t>of</w:t>
      </w:r>
      <w:r>
        <w:rPr>
          <w:color w:val="231F20"/>
          <w:spacing w:val="-7"/>
        </w:rPr>
        <w:t xml:space="preserve"> </w:t>
      </w:r>
      <w:r>
        <w:rPr>
          <w:color w:val="231F20"/>
        </w:rPr>
        <w:t>TB;</w:t>
      </w:r>
      <w:r>
        <w:rPr>
          <w:color w:val="231F20"/>
          <w:spacing w:val="-3"/>
        </w:rPr>
        <w:t xml:space="preserve"> </w:t>
      </w:r>
      <w:r>
        <w:rPr>
          <w:color w:val="231F20"/>
        </w:rPr>
        <w:t>Conduct</w:t>
      </w:r>
      <w:r>
        <w:rPr>
          <w:color w:val="231F20"/>
          <w:spacing w:val="-4"/>
        </w:rPr>
        <w:t xml:space="preserve"> </w:t>
      </w:r>
      <w:r>
        <w:rPr>
          <w:color w:val="231F20"/>
        </w:rPr>
        <w:t>advocacy</w:t>
      </w:r>
      <w:r>
        <w:rPr>
          <w:color w:val="231F20"/>
          <w:spacing w:val="-3"/>
        </w:rPr>
        <w:t xml:space="preserve"> </w:t>
      </w:r>
      <w:r>
        <w:rPr>
          <w:color w:val="231F20"/>
        </w:rPr>
        <w:t>visit</w:t>
      </w:r>
      <w:r>
        <w:rPr>
          <w:color w:val="231F20"/>
          <w:spacing w:val="-3"/>
        </w:rPr>
        <w:t xml:space="preserve"> </w:t>
      </w:r>
      <w:r>
        <w:rPr>
          <w:color w:val="231F20"/>
        </w:rPr>
        <w:t>to Chiefs,</w:t>
      </w:r>
      <w:r>
        <w:rPr>
          <w:color w:val="231F20"/>
          <w:spacing w:val="-6"/>
        </w:rPr>
        <w:t xml:space="preserve"> </w:t>
      </w:r>
      <w:r>
        <w:rPr>
          <w:color w:val="231F20"/>
        </w:rPr>
        <w:t>Elders,</w:t>
      </w:r>
      <w:r>
        <w:rPr>
          <w:color w:val="231F20"/>
          <w:spacing w:val="-5"/>
        </w:rPr>
        <w:t xml:space="preserve"> </w:t>
      </w:r>
      <w:r>
        <w:rPr>
          <w:color w:val="231F20"/>
        </w:rPr>
        <w:t>Community</w:t>
      </w:r>
      <w:r>
        <w:rPr>
          <w:color w:val="231F20"/>
          <w:spacing w:val="-4"/>
        </w:rPr>
        <w:t xml:space="preserve"> </w:t>
      </w:r>
      <w:r>
        <w:rPr>
          <w:color w:val="231F20"/>
        </w:rPr>
        <w:t>leaders</w:t>
      </w:r>
      <w:r>
        <w:rPr>
          <w:color w:val="231F20"/>
          <w:spacing w:val="-4"/>
        </w:rPr>
        <w:t xml:space="preserve"> </w:t>
      </w:r>
      <w:r>
        <w:rPr>
          <w:color w:val="231F20"/>
        </w:rPr>
        <w:t>on</w:t>
      </w:r>
      <w:r>
        <w:rPr>
          <w:color w:val="231F20"/>
          <w:spacing w:val="-9"/>
        </w:rPr>
        <w:t xml:space="preserve"> </w:t>
      </w:r>
      <w:r>
        <w:rPr>
          <w:color w:val="231F20"/>
        </w:rPr>
        <w:t>TB</w:t>
      </w:r>
      <w:r>
        <w:rPr>
          <w:color w:val="231F20"/>
          <w:spacing w:val="-5"/>
        </w:rPr>
        <w:t xml:space="preserve"> </w:t>
      </w:r>
      <w:r>
        <w:rPr>
          <w:color w:val="231F20"/>
        </w:rPr>
        <w:t>&amp;</w:t>
      </w:r>
      <w:r>
        <w:rPr>
          <w:color w:val="231F20"/>
          <w:spacing w:val="-5"/>
        </w:rPr>
        <w:t xml:space="preserve"> </w:t>
      </w:r>
      <w:r>
        <w:rPr>
          <w:color w:val="231F20"/>
        </w:rPr>
        <w:t>Leprosy</w:t>
      </w:r>
      <w:r>
        <w:rPr>
          <w:color w:val="231F20"/>
          <w:spacing w:val="-5"/>
        </w:rPr>
        <w:t xml:space="preserve"> </w:t>
      </w:r>
      <w:r w:rsidR="00FE4EDF">
        <w:rPr>
          <w:color w:val="231F20"/>
        </w:rPr>
        <w:t>sensitization</w:t>
      </w:r>
      <w:r>
        <w:rPr>
          <w:color w:val="231F20"/>
        </w:rPr>
        <w:t>;</w:t>
      </w:r>
      <w:r>
        <w:rPr>
          <w:color w:val="231F20"/>
          <w:spacing w:val="-4"/>
        </w:rPr>
        <w:t xml:space="preserve"> </w:t>
      </w:r>
      <w:r>
        <w:rPr>
          <w:color w:val="231F20"/>
        </w:rPr>
        <w:t>Conduct</w:t>
      </w:r>
      <w:r>
        <w:rPr>
          <w:color w:val="231F20"/>
          <w:spacing w:val="-4"/>
        </w:rPr>
        <w:t xml:space="preserve"> </w:t>
      </w:r>
      <w:r>
        <w:rPr>
          <w:color w:val="231F20"/>
        </w:rPr>
        <w:t>trainings</w:t>
      </w:r>
      <w:r>
        <w:rPr>
          <w:color w:val="231F20"/>
          <w:spacing w:val="-4"/>
        </w:rPr>
        <w:t xml:space="preserve"> </w:t>
      </w:r>
      <w:r>
        <w:rPr>
          <w:color w:val="231F20"/>
        </w:rPr>
        <w:t>for</w:t>
      </w:r>
      <w:r>
        <w:rPr>
          <w:color w:val="231F20"/>
          <w:spacing w:val="-5"/>
        </w:rPr>
        <w:t xml:space="preserve"> </w:t>
      </w:r>
      <w:r>
        <w:rPr>
          <w:color w:val="231F20"/>
        </w:rPr>
        <w:t>GHW</w:t>
      </w:r>
      <w:r>
        <w:rPr>
          <w:color w:val="231F20"/>
          <w:spacing w:val="-5"/>
        </w:rPr>
        <w:t xml:space="preserve"> </w:t>
      </w:r>
      <w:r>
        <w:rPr>
          <w:color w:val="231F20"/>
        </w:rPr>
        <w:t>on M&amp;E</w:t>
      </w:r>
      <w:r>
        <w:rPr>
          <w:color w:val="231F20"/>
          <w:spacing w:val="-25"/>
        </w:rPr>
        <w:t xml:space="preserve"> </w:t>
      </w:r>
      <w:r>
        <w:rPr>
          <w:color w:val="231F20"/>
        </w:rPr>
        <w:t>and</w:t>
      </w:r>
      <w:r>
        <w:rPr>
          <w:color w:val="231F20"/>
          <w:spacing w:val="-25"/>
        </w:rPr>
        <w:t xml:space="preserve"> </w:t>
      </w:r>
      <w:r>
        <w:rPr>
          <w:color w:val="231F20"/>
        </w:rPr>
        <w:t>ICT</w:t>
      </w:r>
      <w:r>
        <w:rPr>
          <w:color w:val="231F20"/>
          <w:spacing w:val="-29"/>
        </w:rPr>
        <w:t xml:space="preserve"> </w:t>
      </w:r>
      <w:r>
        <w:rPr>
          <w:color w:val="231F20"/>
        </w:rPr>
        <w:t>Data</w:t>
      </w:r>
      <w:r>
        <w:rPr>
          <w:color w:val="231F20"/>
          <w:spacing w:val="-25"/>
        </w:rPr>
        <w:t xml:space="preserve"> </w:t>
      </w:r>
      <w:r>
        <w:rPr>
          <w:color w:val="231F20"/>
        </w:rPr>
        <w:t>management.</w:t>
      </w:r>
    </w:p>
    <w:p w14:paraId="2ACC43E5" w14:textId="77777777" w:rsidR="009948F1" w:rsidRDefault="009948F1">
      <w:pPr>
        <w:pStyle w:val="BodyText"/>
        <w:spacing w:before="8"/>
        <w:rPr>
          <w:sz w:val="24"/>
        </w:rPr>
      </w:pPr>
    </w:p>
    <w:p w14:paraId="79558027" w14:textId="77777777" w:rsidR="009948F1" w:rsidRDefault="00BC0563">
      <w:pPr>
        <w:pStyle w:val="ListParagraph"/>
        <w:numPr>
          <w:ilvl w:val="3"/>
          <w:numId w:val="287"/>
        </w:numPr>
        <w:tabs>
          <w:tab w:val="left" w:pos="885"/>
        </w:tabs>
        <w:spacing w:line="268" w:lineRule="auto"/>
        <w:ind w:left="169" w:right="176" w:firstLine="0"/>
      </w:pPr>
      <w:r>
        <w:rPr>
          <w:color w:val="231F20"/>
        </w:rPr>
        <w:t>Build</w:t>
      </w:r>
      <w:r>
        <w:rPr>
          <w:color w:val="231F20"/>
          <w:spacing w:val="-21"/>
        </w:rPr>
        <w:t xml:space="preserve"> </w:t>
      </w:r>
      <w:r>
        <w:rPr>
          <w:color w:val="231F20"/>
        </w:rPr>
        <w:t>capacity</w:t>
      </w:r>
      <w:r>
        <w:rPr>
          <w:color w:val="231F20"/>
          <w:spacing w:val="-20"/>
        </w:rPr>
        <w:t xml:space="preserve"> </w:t>
      </w:r>
      <w:r>
        <w:rPr>
          <w:color w:val="231F20"/>
        </w:rPr>
        <w:t>of</w:t>
      </w:r>
      <w:r>
        <w:rPr>
          <w:color w:val="231F20"/>
          <w:spacing w:val="-20"/>
        </w:rPr>
        <w:t xml:space="preserve"> </w:t>
      </w:r>
      <w:r>
        <w:rPr>
          <w:color w:val="231F20"/>
        </w:rPr>
        <w:t>all</w:t>
      </w:r>
      <w:r>
        <w:rPr>
          <w:color w:val="231F20"/>
          <w:spacing w:val="-20"/>
        </w:rPr>
        <w:t xml:space="preserve"> </w:t>
      </w:r>
      <w:r>
        <w:rPr>
          <w:color w:val="231F20"/>
        </w:rPr>
        <w:t>cadres</w:t>
      </w:r>
      <w:r>
        <w:rPr>
          <w:color w:val="231F20"/>
          <w:spacing w:val="-21"/>
        </w:rPr>
        <w:t xml:space="preserve"> </w:t>
      </w:r>
      <w:r>
        <w:rPr>
          <w:color w:val="231F20"/>
        </w:rPr>
        <w:t>of</w:t>
      </w:r>
      <w:r>
        <w:rPr>
          <w:color w:val="231F20"/>
          <w:spacing w:val="-20"/>
        </w:rPr>
        <w:t xml:space="preserve"> </w:t>
      </w:r>
      <w:r>
        <w:rPr>
          <w:color w:val="231F20"/>
        </w:rPr>
        <w:t>health</w:t>
      </w:r>
      <w:r>
        <w:rPr>
          <w:color w:val="231F20"/>
          <w:spacing w:val="-20"/>
        </w:rPr>
        <w:t xml:space="preserve"> </w:t>
      </w:r>
      <w:r>
        <w:rPr>
          <w:color w:val="231F20"/>
        </w:rPr>
        <w:t>staff</w:t>
      </w:r>
      <w:r>
        <w:rPr>
          <w:color w:val="231F20"/>
          <w:spacing w:val="-20"/>
        </w:rPr>
        <w:t xml:space="preserve"> </w:t>
      </w:r>
      <w:r>
        <w:rPr>
          <w:color w:val="231F20"/>
          <w:spacing w:val="-3"/>
        </w:rPr>
        <w:t>(GHW,</w:t>
      </w:r>
      <w:r>
        <w:rPr>
          <w:color w:val="231F20"/>
          <w:spacing w:val="-20"/>
        </w:rPr>
        <w:t xml:space="preserve"> </w:t>
      </w:r>
      <w:r>
        <w:rPr>
          <w:color w:val="231F20"/>
        </w:rPr>
        <w:t>Physicians,</w:t>
      </w:r>
      <w:r>
        <w:rPr>
          <w:color w:val="231F20"/>
          <w:spacing w:val="-21"/>
        </w:rPr>
        <w:t xml:space="preserve"> </w:t>
      </w:r>
      <w:r>
        <w:rPr>
          <w:color w:val="231F20"/>
        </w:rPr>
        <w:t>and</w:t>
      </w:r>
      <w:r>
        <w:rPr>
          <w:color w:val="231F20"/>
          <w:spacing w:val="-20"/>
        </w:rPr>
        <w:t xml:space="preserve"> </w:t>
      </w:r>
      <w:r>
        <w:rPr>
          <w:color w:val="231F20"/>
        </w:rPr>
        <w:t>specialist)</w:t>
      </w:r>
      <w:r>
        <w:rPr>
          <w:color w:val="231F20"/>
          <w:spacing w:val="-20"/>
        </w:rPr>
        <w:t xml:space="preserve"> </w:t>
      </w:r>
      <w:r>
        <w:rPr>
          <w:color w:val="231F20"/>
        </w:rPr>
        <w:t>and</w:t>
      </w:r>
      <w:r>
        <w:rPr>
          <w:color w:val="231F20"/>
          <w:spacing w:val="-20"/>
        </w:rPr>
        <w:t xml:space="preserve"> </w:t>
      </w:r>
      <w:r>
        <w:rPr>
          <w:color w:val="231F20"/>
        </w:rPr>
        <w:t>community members</w:t>
      </w:r>
      <w:r>
        <w:rPr>
          <w:color w:val="231F20"/>
          <w:spacing w:val="-15"/>
        </w:rPr>
        <w:t xml:space="preserve"> </w:t>
      </w:r>
      <w:r>
        <w:rPr>
          <w:color w:val="231F20"/>
        </w:rPr>
        <w:t>on</w:t>
      </w:r>
      <w:r>
        <w:rPr>
          <w:color w:val="231F20"/>
          <w:spacing w:val="-14"/>
        </w:rPr>
        <w:t xml:space="preserve"> </w:t>
      </w:r>
      <w:r>
        <w:rPr>
          <w:color w:val="231F20"/>
        </w:rPr>
        <w:t>Leprosy</w:t>
      </w:r>
      <w:r>
        <w:rPr>
          <w:color w:val="231F20"/>
          <w:spacing w:val="-14"/>
        </w:rPr>
        <w:t xml:space="preserve"> </w:t>
      </w:r>
      <w:r>
        <w:rPr>
          <w:color w:val="231F20"/>
        </w:rPr>
        <w:t>case</w:t>
      </w:r>
      <w:r>
        <w:rPr>
          <w:color w:val="231F20"/>
          <w:spacing w:val="-14"/>
        </w:rPr>
        <w:t xml:space="preserve"> </w:t>
      </w:r>
      <w:r>
        <w:rPr>
          <w:color w:val="231F20"/>
        </w:rPr>
        <w:t>finding</w:t>
      </w:r>
      <w:r>
        <w:rPr>
          <w:color w:val="231F20"/>
          <w:spacing w:val="-14"/>
        </w:rPr>
        <w:t xml:space="preserve"> </w:t>
      </w:r>
      <w:r>
        <w:rPr>
          <w:color w:val="231F20"/>
        </w:rPr>
        <w:t>and</w:t>
      </w:r>
      <w:r>
        <w:rPr>
          <w:color w:val="231F20"/>
          <w:spacing w:val="-15"/>
        </w:rPr>
        <w:t xml:space="preserve"> </w:t>
      </w:r>
      <w:r>
        <w:rPr>
          <w:color w:val="231F20"/>
        </w:rPr>
        <w:t>case</w:t>
      </w:r>
      <w:r>
        <w:rPr>
          <w:color w:val="231F20"/>
          <w:spacing w:val="-14"/>
        </w:rPr>
        <w:t xml:space="preserve"> </w:t>
      </w:r>
      <w:r>
        <w:rPr>
          <w:color w:val="231F20"/>
        </w:rPr>
        <w:t>management.</w:t>
      </w:r>
      <w:r>
        <w:rPr>
          <w:color w:val="231F20"/>
          <w:spacing w:val="-14"/>
        </w:rPr>
        <w:t xml:space="preserve"> </w:t>
      </w:r>
      <w:r>
        <w:rPr>
          <w:color w:val="231F20"/>
        </w:rPr>
        <w:t>Key</w:t>
      </w:r>
      <w:r>
        <w:rPr>
          <w:color w:val="231F20"/>
          <w:spacing w:val="-14"/>
        </w:rPr>
        <w:t xml:space="preserve"> </w:t>
      </w:r>
      <w:r>
        <w:rPr>
          <w:color w:val="231F20"/>
        </w:rPr>
        <w:t>actions</w:t>
      </w:r>
      <w:r>
        <w:rPr>
          <w:color w:val="231F20"/>
          <w:spacing w:val="-14"/>
        </w:rPr>
        <w:t xml:space="preserve"> </w:t>
      </w:r>
      <w:r>
        <w:rPr>
          <w:color w:val="231F20"/>
        </w:rPr>
        <w:t>include;</w:t>
      </w:r>
      <w:r>
        <w:rPr>
          <w:color w:val="231F20"/>
          <w:spacing w:val="-15"/>
        </w:rPr>
        <w:t xml:space="preserve"> </w:t>
      </w:r>
      <w:r>
        <w:rPr>
          <w:color w:val="231F20"/>
        </w:rPr>
        <w:t>–</w:t>
      </w:r>
      <w:r>
        <w:rPr>
          <w:color w:val="231F20"/>
          <w:spacing w:val="-15"/>
        </w:rPr>
        <w:t xml:space="preserve"> </w:t>
      </w:r>
      <w:r>
        <w:rPr>
          <w:color w:val="231F20"/>
        </w:rPr>
        <w:t>Conduct</w:t>
      </w:r>
      <w:r>
        <w:rPr>
          <w:color w:val="231F20"/>
          <w:spacing w:val="-14"/>
        </w:rPr>
        <w:t xml:space="preserve"> </w:t>
      </w:r>
      <w:r>
        <w:rPr>
          <w:color w:val="231F20"/>
        </w:rPr>
        <w:t xml:space="preserve">training for medical officers on TB, </w:t>
      </w:r>
      <w:r>
        <w:rPr>
          <w:color w:val="231F20"/>
          <w:spacing w:val="-3"/>
        </w:rPr>
        <w:t xml:space="preserve">Leprosy, </w:t>
      </w:r>
      <w:r>
        <w:rPr>
          <w:color w:val="231F20"/>
        </w:rPr>
        <w:t>Buruli Ulcer case finding and management in the 23 LGA; Conduct</w:t>
      </w:r>
      <w:r>
        <w:rPr>
          <w:color w:val="231F20"/>
          <w:spacing w:val="-26"/>
        </w:rPr>
        <w:t xml:space="preserve"> </w:t>
      </w:r>
      <w:r>
        <w:rPr>
          <w:color w:val="231F20"/>
        </w:rPr>
        <w:t>trainings</w:t>
      </w:r>
      <w:r>
        <w:rPr>
          <w:color w:val="231F20"/>
          <w:spacing w:val="-25"/>
        </w:rPr>
        <w:t xml:space="preserve"> </w:t>
      </w:r>
      <w:r>
        <w:rPr>
          <w:color w:val="231F20"/>
        </w:rPr>
        <w:t>for</w:t>
      </w:r>
      <w:r>
        <w:rPr>
          <w:color w:val="231F20"/>
          <w:spacing w:val="-25"/>
        </w:rPr>
        <w:t xml:space="preserve"> </w:t>
      </w:r>
      <w:r>
        <w:rPr>
          <w:color w:val="231F20"/>
        </w:rPr>
        <w:t>GHW</w:t>
      </w:r>
      <w:r>
        <w:rPr>
          <w:color w:val="231F20"/>
          <w:spacing w:val="-25"/>
        </w:rPr>
        <w:t xml:space="preserve"> </w:t>
      </w:r>
      <w:r>
        <w:rPr>
          <w:color w:val="231F20"/>
        </w:rPr>
        <w:t>on</w:t>
      </w:r>
      <w:r>
        <w:rPr>
          <w:color w:val="231F20"/>
          <w:spacing w:val="-25"/>
        </w:rPr>
        <w:t xml:space="preserve"> </w:t>
      </w:r>
      <w:r>
        <w:rPr>
          <w:color w:val="231F20"/>
        </w:rPr>
        <w:t>case</w:t>
      </w:r>
      <w:r>
        <w:rPr>
          <w:color w:val="231F20"/>
          <w:spacing w:val="-25"/>
        </w:rPr>
        <w:t xml:space="preserve"> </w:t>
      </w:r>
      <w:r>
        <w:rPr>
          <w:color w:val="231F20"/>
        </w:rPr>
        <w:t>finding</w:t>
      </w:r>
      <w:r>
        <w:rPr>
          <w:color w:val="231F20"/>
          <w:spacing w:val="-25"/>
        </w:rPr>
        <w:t xml:space="preserve"> </w:t>
      </w:r>
      <w:r>
        <w:rPr>
          <w:color w:val="231F20"/>
        </w:rPr>
        <w:t>and</w:t>
      </w:r>
      <w:r>
        <w:rPr>
          <w:color w:val="231F20"/>
          <w:spacing w:val="-25"/>
        </w:rPr>
        <w:t xml:space="preserve"> </w:t>
      </w:r>
      <w:r>
        <w:rPr>
          <w:color w:val="231F20"/>
        </w:rPr>
        <w:t>management</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23</w:t>
      </w:r>
      <w:r>
        <w:rPr>
          <w:color w:val="231F20"/>
          <w:spacing w:val="-25"/>
        </w:rPr>
        <w:t xml:space="preserve"> </w:t>
      </w:r>
      <w:r>
        <w:rPr>
          <w:color w:val="231F20"/>
        </w:rPr>
        <w:t>LGA.</w:t>
      </w:r>
    </w:p>
    <w:p w14:paraId="602261CF" w14:textId="77777777" w:rsidR="009948F1" w:rsidRDefault="009948F1">
      <w:pPr>
        <w:pStyle w:val="BodyText"/>
        <w:spacing w:before="7"/>
        <w:rPr>
          <w:sz w:val="24"/>
        </w:rPr>
      </w:pPr>
    </w:p>
    <w:p w14:paraId="220F35F7" w14:textId="537ABAB9" w:rsidR="009948F1" w:rsidRDefault="00BC0563">
      <w:pPr>
        <w:pStyle w:val="ListParagraph"/>
        <w:numPr>
          <w:ilvl w:val="3"/>
          <w:numId w:val="287"/>
        </w:numPr>
        <w:tabs>
          <w:tab w:val="left" w:pos="1026"/>
        </w:tabs>
        <w:spacing w:line="268" w:lineRule="auto"/>
        <w:ind w:left="169" w:right="174" w:firstLine="0"/>
      </w:pPr>
      <w:r>
        <w:rPr>
          <w:color w:val="231F20"/>
        </w:rPr>
        <w:t>Promote community</w:t>
      </w:r>
      <w:r w:rsidR="004979EA">
        <w:rPr>
          <w:color w:val="231F20"/>
        </w:rPr>
        <w:t xml:space="preserve"> </w:t>
      </w:r>
      <w:r>
        <w:rPr>
          <w:color w:val="231F20"/>
        </w:rPr>
        <w:t>based TB/Leprosy control initiatives. Key actions include; -</w:t>
      </w:r>
      <w:r>
        <w:rPr>
          <w:color w:val="231F20"/>
          <w:spacing w:val="-36"/>
        </w:rPr>
        <w:t xml:space="preserve"> </w:t>
      </w:r>
      <w:r>
        <w:rPr>
          <w:color w:val="231F20"/>
        </w:rPr>
        <w:t>Conduct consensus building meetings for TBL Officers on community TB / Leprosy control; Conduct trainings</w:t>
      </w:r>
      <w:r>
        <w:rPr>
          <w:color w:val="231F20"/>
          <w:spacing w:val="-25"/>
        </w:rPr>
        <w:t xml:space="preserve"> </w:t>
      </w:r>
      <w:r>
        <w:rPr>
          <w:color w:val="231F20"/>
        </w:rPr>
        <w:t>for</w:t>
      </w:r>
      <w:r>
        <w:rPr>
          <w:color w:val="231F20"/>
          <w:spacing w:val="-25"/>
        </w:rPr>
        <w:t xml:space="preserve"> </w:t>
      </w:r>
      <w:r>
        <w:rPr>
          <w:color w:val="231F20"/>
        </w:rPr>
        <w:t>community</w:t>
      </w:r>
      <w:r>
        <w:rPr>
          <w:color w:val="231F20"/>
          <w:spacing w:val="-26"/>
        </w:rPr>
        <w:t xml:space="preserve"> </w:t>
      </w:r>
      <w:r>
        <w:rPr>
          <w:color w:val="231F20"/>
        </w:rPr>
        <w:t>volunteers</w:t>
      </w:r>
      <w:r>
        <w:rPr>
          <w:color w:val="231F20"/>
          <w:spacing w:val="-25"/>
        </w:rPr>
        <w:t xml:space="preserve"> </w:t>
      </w:r>
      <w:r>
        <w:rPr>
          <w:color w:val="231F20"/>
        </w:rPr>
        <w:t>on</w:t>
      </w:r>
      <w:r>
        <w:rPr>
          <w:color w:val="231F20"/>
          <w:spacing w:val="-29"/>
        </w:rPr>
        <w:t xml:space="preserve"> </w:t>
      </w:r>
      <w:r>
        <w:rPr>
          <w:color w:val="231F20"/>
        </w:rPr>
        <w:t>TB</w:t>
      </w:r>
      <w:r>
        <w:rPr>
          <w:color w:val="231F20"/>
          <w:spacing w:val="-25"/>
        </w:rPr>
        <w:t xml:space="preserve"> </w:t>
      </w:r>
      <w:r>
        <w:rPr>
          <w:color w:val="231F20"/>
        </w:rPr>
        <w:t>management.</w:t>
      </w:r>
    </w:p>
    <w:p w14:paraId="3C96108F" w14:textId="77777777" w:rsidR="009948F1" w:rsidRDefault="009948F1">
      <w:pPr>
        <w:pStyle w:val="BodyText"/>
        <w:spacing w:before="8"/>
        <w:rPr>
          <w:sz w:val="24"/>
        </w:rPr>
      </w:pPr>
    </w:p>
    <w:p w14:paraId="640610E5" w14:textId="77777777" w:rsidR="009948F1" w:rsidRDefault="00BC0563">
      <w:pPr>
        <w:pStyle w:val="ListParagraph"/>
        <w:numPr>
          <w:ilvl w:val="3"/>
          <w:numId w:val="287"/>
        </w:numPr>
        <w:tabs>
          <w:tab w:val="left" w:pos="1003"/>
        </w:tabs>
        <w:spacing w:line="268" w:lineRule="auto"/>
        <w:ind w:left="169" w:right="176" w:firstLine="0"/>
      </w:pPr>
      <w:r>
        <w:rPr>
          <w:color w:val="231F20"/>
        </w:rPr>
        <w:t>Strengthen</w:t>
      </w:r>
      <w:r>
        <w:rPr>
          <w:color w:val="231F20"/>
          <w:spacing w:val="-7"/>
        </w:rPr>
        <w:t xml:space="preserve"> </w:t>
      </w:r>
      <w:r>
        <w:rPr>
          <w:color w:val="231F20"/>
        </w:rPr>
        <w:t>physical</w:t>
      </w:r>
      <w:r>
        <w:rPr>
          <w:color w:val="231F20"/>
          <w:spacing w:val="-6"/>
        </w:rPr>
        <w:t xml:space="preserve"> </w:t>
      </w:r>
      <w:r>
        <w:rPr>
          <w:color w:val="231F20"/>
        </w:rPr>
        <w:t>and</w:t>
      </w:r>
      <w:r>
        <w:rPr>
          <w:color w:val="231F20"/>
          <w:spacing w:val="-7"/>
        </w:rPr>
        <w:t xml:space="preserve"> </w:t>
      </w:r>
      <w:r>
        <w:rPr>
          <w:color w:val="231F20"/>
        </w:rPr>
        <w:t>socio-economic</w:t>
      </w:r>
      <w:r>
        <w:rPr>
          <w:color w:val="231F20"/>
          <w:spacing w:val="-6"/>
        </w:rPr>
        <w:t xml:space="preserve"> </w:t>
      </w:r>
      <w:r>
        <w:rPr>
          <w:color w:val="231F20"/>
        </w:rPr>
        <w:t>rehabilitation</w:t>
      </w:r>
      <w:r>
        <w:rPr>
          <w:color w:val="231F20"/>
          <w:spacing w:val="-7"/>
        </w:rPr>
        <w:t xml:space="preserve"> </w:t>
      </w:r>
      <w:r>
        <w:rPr>
          <w:color w:val="231F20"/>
        </w:rPr>
        <w:t>for</w:t>
      </w:r>
      <w:r>
        <w:rPr>
          <w:color w:val="231F20"/>
          <w:spacing w:val="-6"/>
        </w:rPr>
        <w:t xml:space="preserve"> </w:t>
      </w:r>
      <w:r>
        <w:rPr>
          <w:color w:val="231F20"/>
          <w:spacing w:val="-3"/>
        </w:rPr>
        <w:t>leprosy.</w:t>
      </w:r>
      <w:r>
        <w:rPr>
          <w:color w:val="231F20"/>
          <w:spacing w:val="-6"/>
        </w:rPr>
        <w:t xml:space="preserve"> </w:t>
      </w:r>
      <w:r>
        <w:rPr>
          <w:color w:val="231F20"/>
        </w:rPr>
        <w:t>Key</w:t>
      </w:r>
      <w:r>
        <w:rPr>
          <w:color w:val="231F20"/>
          <w:spacing w:val="-7"/>
        </w:rPr>
        <w:t xml:space="preserve"> </w:t>
      </w:r>
      <w:r>
        <w:rPr>
          <w:color w:val="231F20"/>
        </w:rPr>
        <w:t>actions</w:t>
      </w:r>
      <w:r>
        <w:rPr>
          <w:color w:val="231F20"/>
          <w:spacing w:val="-6"/>
        </w:rPr>
        <w:t xml:space="preserve"> </w:t>
      </w:r>
      <w:r>
        <w:rPr>
          <w:color w:val="231F20"/>
        </w:rPr>
        <w:t>include;</w:t>
      </w:r>
      <w:r>
        <w:rPr>
          <w:color w:val="231F20"/>
          <w:spacing w:val="-7"/>
        </w:rPr>
        <w:t xml:space="preserve"> </w:t>
      </w:r>
      <w:r>
        <w:rPr>
          <w:color w:val="231F20"/>
          <w:spacing w:val="-13"/>
        </w:rPr>
        <w:t xml:space="preserve">– </w:t>
      </w:r>
      <w:r>
        <w:rPr>
          <w:color w:val="231F20"/>
        </w:rPr>
        <w:t>Operating</w:t>
      </w:r>
      <w:r>
        <w:rPr>
          <w:color w:val="231F20"/>
          <w:spacing w:val="-23"/>
        </w:rPr>
        <w:t xml:space="preserve"> </w:t>
      </w:r>
      <w:r>
        <w:rPr>
          <w:color w:val="231F20"/>
        </w:rPr>
        <w:t>cost</w:t>
      </w:r>
      <w:r>
        <w:rPr>
          <w:color w:val="231F20"/>
          <w:spacing w:val="-22"/>
        </w:rPr>
        <w:t xml:space="preserve"> </w:t>
      </w:r>
      <w:r>
        <w:rPr>
          <w:color w:val="231F20"/>
        </w:rPr>
        <w:t>for</w:t>
      </w:r>
      <w:r>
        <w:rPr>
          <w:color w:val="231F20"/>
          <w:spacing w:val="-22"/>
        </w:rPr>
        <w:t xml:space="preserve"> </w:t>
      </w:r>
      <w:r>
        <w:rPr>
          <w:color w:val="231F20"/>
        </w:rPr>
        <w:t>engaging</w:t>
      </w:r>
      <w:r>
        <w:rPr>
          <w:color w:val="231F20"/>
          <w:spacing w:val="-22"/>
        </w:rPr>
        <w:t xml:space="preserve"> </w:t>
      </w:r>
      <w:r>
        <w:rPr>
          <w:color w:val="231F20"/>
        </w:rPr>
        <w:t>and</w:t>
      </w:r>
      <w:r>
        <w:rPr>
          <w:color w:val="231F20"/>
          <w:spacing w:val="-22"/>
        </w:rPr>
        <w:t xml:space="preserve"> </w:t>
      </w:r>
      <w:r>
        <w:rPr>
          <w:color w:val="231F20"/>
        </w:rPr>
        <w:t>supervising</w:t>
      </w:r>
      <w:r>
        <w:rPr>
          <w:color w:val="231F20"/>
          <w:spacing w:val="-22"/>
        </w:rPr>
        <w:t xml:space="preserve"> </w:t>
      </w:r>
      <w:r>
        <w:rPr>
          <w:color w:val="231F20"/>
        </w:rPr>
        <w:t>the</w:t>
      </w:r>
      <w:r>
        <w:rPr>
          <w:color w:val="231F20"/>
          <w:spacing w:val="-22"/>
        </w:rPr>
        <w:t xml:space="preserve"> </w:t>
      </w:r>
      <w:r>
        <w:rPr>
          <w:color w:val="231F20"/>
        </w:rPr>
        <w:t>contractor</w:t>
      </w:r>
      <w:r>
        <w:rPr>
          <w:color w:val="231F20"/>
          <w:spacing w:val="-22"/>
        </w:rPr>
        <w:t xml:space="preserve"> </w:t>
      </w:r>
      <w:r>
        <w:rPr>
          <w:color w:val="231F20"/>
        </w:rPr>
        <w:t>to</w:t>
      </w:r>
      <w:r>
        <w:rPr>
          <w:color w:val="231F20"/>
          <w:spacing w:val="-23"/>
        </w:rPr>
        <w:t xml:space="preserve"> </w:t>
      </w:r>
      <w:r>
        <w:rPr>
          <w:color w:val="231F20"/>
        </w:rPr>
        <w:t>provide</w:t>
      </w:r>
      <w:r>
        <w:rPr>
          <w:color w:val="231F20"/>
          <w:spacing w:val="-22"/>
        </w:rPr>
        <w:t xml:space="preserve"> </w:t>
      </w:r>
      <w:r>
        <w:rPr>
          <w:color w:val="231F20"/>
        </w:rPr>
        <w:t>&amp;</w:t>
      </w:r>
      <w:r>
        <w:rPr>
          <w:color w:val="231F20"/>
          <w:spacing w:val="-22"/>
        </w:rPr>
        <w:t xml:space="preserve"> </w:t>
      </w:r>
      <w:r>
        <w:rPr>
          <w:color w:val="231F20"/>
        </w:rPr>
        <w:t>equip</w:t>
      </w:r>
      <w:r>
        <w:rPr>
          <w:color w:val="231F20"/>
          <w:spacing w:val="-22"/>
        </w:rPr>
        <w:t xml:space="preserve"> </w:t>
      </w:r>
      <w:r>
        <w:rPr>
          <w:color w:val="231F20"/>
        </w:rPr>
        <w:t>leprosy</w:t>
      </w:r>
      <w:r>
        <w:rPr>
          <w:color w:val="231F20"/>
          <w:spacing w:val="-22"/>
        </w:rPr>
        <w:t xml:space="preserve"> </w:t>
      </w:r>
      <w:r>
        <w:rPr>
          <w:color w:val="231F20"/>
        </w:rPr>
        <w:t xml:space="preserve">rehabilitation </w:t>
      </w:r>
      <w:proofErr w:type="spellStart"/>
      <w:r>
        <w:rPr>
          <w:color w:val="231F20"/>
        </w:rPr>
        <w:t>centre</w:t>
      </w:r>
      <w:proofErr w:type="spellEnd"/>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7C2FDF4" w14:textId="77777777" w:rsidR="009948F1" w:rsidRDefault="009948F1">
      <w:pPr>
        <w:spacing w:line="268" w:lineRule="auto"/>
        <w:jc w:val="both"/>
        <w:sectPr w:rsidR="009948F1">
          <w:pgSz w:w="11910" w:h="16840"/>
          <w:pgMar w:top="1220" w:right="1080" w:bottom="1420" w:left="1120" w:header="0" w:footer="1235" w:gutter="0"/>
          <w:cols w:space="720"/>
        </w:sectPr>
      </w:pPr>
    </w:p>
    <w:p w14:paraId="6E954E88" w14:textId="77777777" w:rsidR="009948F1" w:rsidRDefault="009948F1">
      <w:pPr>
        <w:pStyle w:val="BodyText"/>
        <w:spacing w:before="5"/>
        <w:rPr>
          <w:sz w:val="25"/>
        </w:rPr>
      </w:pPr>
    </w:p>
    <w:p w14:paraId="70F2AFE3" w14:textId="77777777" w:rsidR="009948F1" w:rsidRDefault="00BC0563">
      <w:pPr>
        <w:pStyle w:val="Heading7"/>
        <w:numPr>
          <w:ilvl w:val="2"/>
          <w:numId w:val="287"/>
        </w:numPr>
        <w:tabs>
          <w:tab w:val="left" w:pos="675"/>
        </w:tabs>
        <w:spacing w:before="65"/>
        <w:ind w:left="674" w:hanging="527"/>
        <w:jc w:val="both"/>
      </w:pPr>
      <w:bookmarkStart w:id="73" w:name="Page_59"/>
      <w:bookmarkEnd w:id="73"/>
      <w:r>
        <w:rPr>
          <w:color w:val="231F20"/>
        </w:rPr>
        <w:t>Significantly</w:t>
      </w:r>
      <w:r>
        <w:rPr>
          <w:color w:val="231F20"/>
          <w:spacing w:val="-25"/>
        </w:rPr>
        <w:t xml:space="preserve"> </w:t>
      </w:r>
      <w:r>
        <w:rPr>
          <w:color w:val="231F20"/>
        </w:rPr>
        <w:t>reduce</w:t>
      </w:r>
      <w:r>
        <w:rPr>
          <w:color w:val="231F20"/>
          <w:spacing w:val="-26"/>
        </w:rPr>
        <w:t xml:space="preserve"> </w:t>
      </w:r>
      <w:r>
        <w:rPr>
          <w:color w:val="231F20"/>
        </w:rPr>
        <w:t>the</w:t>
      </w:r>
      <w:r>
        <w:rPr>
          <w:color w:val="231F20"/>
          <w:spacing w:val="-25"/>
        </w:rPr>
        <w:t xml:space="preserve"> </w:t>
      </w:r>
      <w:r>
        <w:rPr>
          <w:color w:val="231F20"/>
        </w:rPr>
        <w:t>incidence</w:t>
      </w:r>
      <w:r>
        <w:rPr>
          <w:color w:val="231F20"/>
          <w:spacing w:val="-25"/>
        </w:rPr>
        <w:t xml:space="preserve"> </w:t>
      </w:r>
      <w:r>
        <w:rPr>
          <w:color w:val="231F20"/>
        </w:rPr>
        <w:t>and</w:t>
      </w:r>
      <w:r>
        <w:rPr>
          <w:color w:val="231F20"/>
          <w:spacing w:val="-25"/>
        </w:rPr>
        <w:t xml:space="preserve"> </w:t>
      </w:r>
      <w:r>
        <w:rPr>
          <w:color w:val="231F20"/>
        </w:rPr>
        <w:t>prevalence</w:t>
      </w:r>
      <w:r>
        <w:rPr>
          <w:color w:val="231F20"/>
          <w:spacing w:val="-25"/>
        </w:rPr>
        <w:t xml:space="preserve"> </w:t>
      </w:r>
      <w:r>
        <w:rPr>
          <w:color w:val="231F20"/>
        </w:rPr>
        <w:t>of</w:t>
      </w:r>
      <w:r>
        <w:rPr>
          <w:color w:val="231F20"/>
          <w:spacing w:val="-25"/>
        </w:rPr>
        <w:t xml:space="preserve"> </w:t>
      </w:r>
      <w:r>
        <w:rPr>
          <w:color w:val="231F20"/>
        </w:rPr>
        <w:t>HIV/AIDS</w:t>
      </w:r>
      <w:r>
        <w:rPr>
          <w:color w:val="231F20"/>
          <w:spacing w:val="-25"/>
        </w:rPr>
        <w:t xml:space="preserve"> </w:t>
      </w:r>
      <w:r>
        <w:rPr>
          <w:color w:val="231F20"/>
        </w:rPr>
        <w:t>in</w:t>
      </w:r>
      <w:r>
        <w:rPr>
          <w:color w:val="231F20"/>
          <w:spacing w:val="-25"/>
        </w:rPr>
        <w:t xml:space="preserve"> </w:t>
      </w:r>
      <w:r>
        <w:rPr>
          <w:color w:val="231F20"/>
        </w:rPr>
        <w:t>Rivers</w:t>
      </w:r>
      <w:r>
        <w:rPr>
          <w:color w:val="231F20"/>
          <w:spacing w:val="-25"/>
        </w:rPr>
        <w:t xml:space="preserve"> </w:t>
      </w:r>
      <w:r>
        <w:rPr>
          <w:color w:val="231F20"/>
        </w:rPr>
        <w:t>State</w:t>
      </w:r>
      <w:r>
        <w:rPr>
          <w:color w:val="231F20"/>
          <w:spacing w:val="-25"/>
        </w:rPr>
        <w:t xml:space="preserve"> </w:t>
      </w:r>
      <w:r>
        <w:rPr>
          <w:color w:val="231F20"/>
        </w:rPr>
        <w:t>by</w:t>
      </w:r>
      <w:r>
        <w:rPr>
          <w:color w:val="231F20"/>
          <w:spacing w:val="-25"/>
        </w:rPr>
        <w:t xml:space="preserve"> </w:t>
      </w:r>
      <w:r>
        <w:rPr>
          <w:color w:val="231F20"/>
        </w:rPr>
        <w:t>2022.</w:t>
      </w:r>
    </w:p>
    <w:p w14:paraId="29529AAA" w14:textId="77777777" w:rsidR="009948F1" w:rsidRDefault="009948F1">
      <w:pPr>
        <w:pStyle w:val="BodyText"/>
        <w:rPr>
          <w:b/>
        </w:rPr>
      </w:pPr>
    </w:p>
    <w:p w14:paraId="610447B1" w14:textId="77777777" w:rsidR="009948F1" w:rsidRDefault="00BC0563">
      <w:pPr>
        <w:spacing w:before="143" w:after="41"/>
        <w:ind w:left="104" w:right="8153"/>
        <w:jc w:val="center"/>
        <w:rPr>
          <w:b/>
          <w:sz w:val="20"/>
        </w:rPr>
      </w:pPr>
      <w:r>
        <w:rPr>
          <w:b/>
          <w:color w:val="231F20"/>
          <w:w w:val="110"/>
          <w:sz w:val="20"/>
        </w:rPr>
        <w:t>Target</w:t>
      </w:r>
    </w:p>
    <w:tbl>
      <w:tblPr>
        <w:tblW w:w="0" w:type="auto"/>
        <w:tblInd w:w="2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27"/>
        <w:gridCol w:w="1245"/>
        <w:gridCol w:w="831"/>
        <w:gridCol w:w="831"/>
        <w:gridCol w:w="831"/>
        <w:gridCol w:w="968"/>
        <w:gridCol w:w="775"/>
        <w:gridCol w:w="1136"/>
      </w:tblGrid>
      <w:tr w:rsidR="009948F1" w14:paraId="3EF945D9" w14:textId="77777777">
        <w:trPr>
          <w:trHeight w:val="192"/>
        </w:trPr>
        <w:tc>
          <w:tcPr>
            <w:tcW w:w="2627" w:type="dxa"/>
            <w:shd w:val="clear" w:color="auto" w:fill="F6ADCD"/>
          </w:tcPr>
          <w:p w14:paraId="7C3F4CA1" w14:textId="77777777" w:rsidR="009948F1" w:rsidRDefault="00BC0563">
            <w:pPr>
              <w:pStyle w:val="TableParagraph"/>
              <w:spacing w:before="7" w:line="165" w:lineRule="exact"/>
              <w:ind w:left="113"/>
              <w:rPr>
                <w:sz w:val="16"/>
              </w:rPr>
            </w:pPr>
            <w:r>
              <w:rPr>
                <w:color w:val="231F20"/>
                <w:w w:val="115"/>
                <w:sz w:val="16"/>
              </w:rPr>
              <w:t>Targets</w:t>
            </w:r>
          </w:p>
        </w:tc>
        <w:tc>
          <w:tcPr>
            <w:tcW w:w="1245" w:type="dxa"/>
            <w:shd w:val="clear" w:color="auto" w:fill="F6ADCD"/>
          </w:tcPr>
          <w:p w14:paraId="236BBBF2" w14:textId="77777777" w:rsidR="009948F1" w:rsidRDefault="00BC0563">
            <w:pPr>
              <w:pStyle w:val="TableParagraph"/>
              <w:spacing w:before="7" w:line="165" w:lineRule="exact"/>
              <w:ind w:left="113"/>
              <w:rPr>
                <w:sz w:val="16"/>
              </w:rPr>
            </w:pPr>
            <w:r>
              <w:rPr>
                <w:color w:val="231F20"/>
                <w:w w:val="115"/>
                <w:sz w:val="16"/>
              </w:rPr>
              <w:t>Baseline</w:t>
            </w:r>
          </w:p>
        </w:tc>
        <w:tc>
          <w:tcPr>
            <w:tcW w:w="831" w:type="dxa"/>
            <w:shd w:val="clear" w:color="auto" w:fill="F6ADCD"/>
          </w:tcPr>
          <w:p w14:paraId="7715E556" w14:textId="77777777" w:rsidR="009948F1" w:rsidRDefault="00BC0563">
            <w:pPr>
              <w:pStyle w:val="TableParagraph"/>
              <w:spacing w:before="2" w:line="170" w:lineRule="exact"/>
              <w:ind w:left="113"/>
              <w:rPr>
                <w:b/>
                <w:sz w:val="16"/>
              </w:rPr>
            </w:pPr>
            <w:r>
              <w:rPr>
                <w:b/>
                <w:color w:val="231F20"/>
                <w:w w:val="115"/>
                <w:sz w:val="16"/>
              </w:rPr>
              <w:t>2018</w:t>
            </w:r>
          </w:p>
        </w:tc>
        <w:tc>
          <w:tcPr>
            <w:tcW w:w="831" w:type="dxa"/>
            <w:shd w:val="clear" w:color="auto" w:fill="F6ADCD"/>
          </w:tcPr>
          <w:p w14:paraId="1E0C1DD0" w14:textId="77777777" w:rsidR="009948F1" w:rsidRDefault="00BC0563">
            <w:pPr>
              <w:pStyle w:val="TableParagraph"/>
              <w:spacing w:before="2" w:line="170" w:lineRule="exact"/>
              <w:ind w:left="113"/>
              <w:rPr>
                <w:b/>
                <w:sz w:val="16"/>
              </w:rPr>
            </w:pPr>
            <w:r>
              <w:rPr>
                <w:b/>
                <w:color w:val="231F20"/>
                <w:w w:val="115"/>
                <w:sz w:val="16"/>
              </w:rPr>
              <w:t>2019</w:t>
            </w:r>
          </w:p>
        </w:tc>
        <w:tc>
          <w:tcPr>
            <w:tcW w:w="831" w:type="dxa"/>
            <w:shd w:val="clear" w:color="auto" w:fill="F6ADCD"/>
          </w:tcPr>
          <w:p w14:paraId="51E07AEB" w14:textId="77777777" w:rsidR="009948F1" w:rsidRDefault="00BC0563">
            <w:pPr>
              <w:pStyle w:val="TableParagraph"/>
              <w:spacing w:before="2" w:line="170" w:lineRule="exact"/>
              <w:ind w:left="112"/>
              <w:rPr>
                <w:b/>
                <w:sz w:val="16"/>
              </w:rPr>
            </w:pPr>
            <w:r>
              <w:rPr>
                <w:b/>
                <w:color w:val="231F20"/>
                <w:w w:val="115"/>
                <w:sz w:val="16"/>
              </w:rPr>
              <w:t>2020</w:t>
            </w:r>
          </w:p>
        </w:tc>
        <w:tc>
          <w:tcPr>
            <w:tcW w:w="968" w:type="dxa"/>
            <w:shd w:val="clear" w:color="auto" w:fill="F6ADCD"/>
          </w:tcPr>
          <w:p w14:paraId="2BD878B7" w14:textId="77777777" w:rsidR="009948F1" w:rsidRDefault="00BC0563">
            <w:pPr>
              <w:pStyle w:val="TableParagraph"/>
              <w:spacing w:before="2" w:line="170" w:lineRule="exact"/>
              <w:ind w:left="112"/>
              <w:rPr>
                <w:b/>
                <w:sz w:val="16"/>
              </w:rPr>
            </w:pPr>
            <w:r>
              <w:rPr>
                <w:b/>
                <w:color w:val="231F20"/>
                <w:w w:val="115"/>
                <w:sz w:val="16"/>
              </w:rPr>
              <w:t>2021</w:t>
            </w:r>
          </w:p>
        </w:tc>
        <w:tc>
          <w:tcPr>
            <w:tcW w:w="775" w:type="dxa"/>
            <w:shd w:val="clear" w:color="auto" w:fill="F6ADCD"/>
          </w:tcPr>
          <w:p w14:paraId="2A9BDB2D" w14:textId="77777777" w:rsidR="009948F1" w:rsidRDefault="00BC0563">
            <w:pPr>
              <w:pStyle w:val="TableParagraph"/>
              <w:spacing w:before="2" w:line="170" w:lineRule="exact"/>
              <w:ind w:left="112"/>
              <w:rPr>
                <w:b/>
                <w:sz w:val="16"/>
              </w:rPr>
            </w:pPr>
            <w:r>
              <w:rPr>
                <w:b/>
                <w:color w:val="231F20"/>
                <w:w w:val="115"/>
                <w:sz w:val="16"/>
              </w:rPr>
              <w:t>2022</w:t>
            </w:r>
          </w:p>
        </w:tc>
        <w:tc>
          <w:tcPr>
            <w:tcW w:w="1136" w:type="dxa"/>
            <w:shd w:val="clear" w:color="auto" w:fill="F6ADCD"/>
          </w:tcPr>
          <w:p w14:paraId="383406E5" w14:textId="77777777" w:rsidR="009948F1" w:rsidRDefault="00BC0563">
            <w:pPr>
              <w:pStyle w:val="TableParagraph"/>
              <w:spacing w:before="2" w:line="170" w:lineRule="exact"/>
              <w:ind w:left="113"/>
              <w:rPr>
                <w:b/>
                <w:sz w:val="16"/>
              </w:rPr>
            </w:pPr>
            <w:r>
              <w:rPr>
                <w:b/>
                <w:color w:val="231F20"/>
                <w:w w:val="115"/>
                <w:sz w:val="16"/>
              </w:rPr>
              <w:t>National</w:t>
            </w:r>
          </w:p>
        </w:tc>
      </w:tr>
      <w:tr w:rsidR="009948F1" w14:paraId="7B287C5B" w14:textId="77777777">
        <w:trPr>
          <w:trHeight w:val="765"/>
        </w:trPr>
        <w:tc>
          <w:tcPr>
            <w:tcW w:w="2627" w:type="dxa"/>
            <w:tcBorders>
              <w:left w:val="single" w:sz="8" w:space="0" w:color="231F20"/>
              <w:bottom w:val="single" w:sz="8" w:space="0" w:color="231F20"/>
              <w:right w:val="single" w:sz="8" w:space="0" w:color="231F20"/>
            </w:tcBorders>
          </w:tcPr>
          <w:p w14:paraId="7BF97AAF" w14:textId="6CC1BE37" w:rsidR="009948F1" w:rsidRDefault="004979EA">
            <w:pPr>
              <w:pStyle w:val="TableParagraph"/>
              <w:spacing w:before="5" w:line="249" w:lineRule="auto"/>
              <w:ind w:left="108"/>
              <w:rPr>
                <w:sz w:val="16"/>
              </w:rPr>
            </w:pPr>
            <w:r>
              <w:rPr>
                <w:color w:val="231F20"/>
                <w:w w:val="115"/>
                <w:sz w:val="16"/>
              </w:rPr>
              <w:t>Incidence of HIV amon</w:t>
            </w:r>
            <w:r w:rsidR="00BC0563">
              <w:rPr>
                <w:color w:val="231F20"/>
                <w:w w:val="115"/>
                <w:sz w:val="16"/>
              </w:rPr>
              <w:t>g key and general population (disaggregated by age and</w:t>
            </w:r>
          </w:p>
          <w:p w14:paraId="2CE47826" w14:textId="77777777" w:rsidR="009948F1" w:rsidRDefault="00BC0563">
            <w:pPr>
              <w:pStyle w:val="TableParagraph"/>
              <w:spacing w:before="1" w:line="165" w:lineRule="exact"/>
              <w:ind w:left="108"/>
              <w:rPr>
                <w:sz w:val="16"/>
              </w:rPr>
            </w:pPr>
            <w:r>
              <w:rPr>
                <w:color w:val="231F20"/>
                <w:w w:val="115"/>
                <w:sz w:val="16"/>
              </w:rPr>
              <w:t>sex) reduced by 70%</w:t>
            </w:r>
          </w:p>
        </w:tc>
        <w:tc>
          <w:tcPr>
            <w:tcW w:w="1245" w:type="dxa"/>
            <w:tcBorders>
              <w:left w:val="single" w:sz="8" w:space="0" w:color="231F20"/>
              <w:bottom w:val="single" w:sz="8" w:space="0" w:color="231F20"/>
              <w:right w:val="single" w:sz="8" w:space="0" w:color="231F20"/>
            </w:tcBorders>
          </w:tcPr>
          <w:p w14:paraId="53E204EC" w14:textId="77777777" w:rsidR="009948F1" w:rsidRDefault="00BC0563">
            <w:pPr>
              <w:pStyle w:val="TableParagraph"/>
              <w:spacing w:before="5"/>
              <w:ind w:left="108"/>
              <w:rPr>
                <w:sz w:val="16"/>
              </w:rPr>
            </w:pPr>
            <w:r>
              <w:rPr>
                <w:color w:val="231F20"/>
                <w:w w:val="115"/>
                <w:sz w:val="16"/>
              </w:rPr>
              <w:t>TBD</w:t>
            </w:r>
          </w:p>
        </w:tc>
        <w:tc>
          <w:tcPr>
            <w:tcW w:w="831" w:type="dxa"/>
            <w:tcBorders>
              <w:left w:val="single" w:sz="8" w:space="0" w:color="231F20"/>
            </w:tcBorders>
          </w:tcPr>
          <w:p w14:paraId="20E3B7A4" w14:textId="77777777" w:rsidR="009948F1" w:rsidRDefault="00BC0563">
            <w:pPr>
              <w:pStyle w:val="TableParagraph"/>
              <w:spacing w:before="5"/>
              <w:ind w:left="108"/>
              <w:rPr>
                <w:sz w:val="16"/>
              </w:rPr>
            </w:pPr>
            <w:r>
              <w:rPr>
                <w:color w:val="231F20"/>
                <w:w w:val="115"/>
                <w:sz w:val="16"/>
              </w:rPr>
              <w:t>15%</w:t>
            </w:r>
          </w:p>
        </w:tc>
        <w:tc>
          <w:tcPr>
            <w:tcW w:w="831" w:type="dxa"/>
          </w:tcPr>
          <w:p w14:paraId="5B08C340" w14:textId="77777777" w:rsidR="009948F1" w:rsidRDefault="00BC0563">
            <w:pPr>
              <w:pStyle w:val="TableParagraph"/>
              <w:spacing w:before="5"/>
              <w:ind w:left="113"/>
              <w:rPr>
                <w:sz w:val="16"/>
              </w:rPr>
            </w:pPr>
            <w:r>
              <w:rPr>
                <w:color w:val="231F20"/>
                <w:w w:val="115"/>
                <w:sz w:val="16"/>
              </w:rPr>
              <w:t>12%</w:t>
            </w:r>
          </w:p>
        </w:tc>
        <w:tc>
          <w:tcPr>
            <w:tcW w:w="831" w:type="dxa"/>
          </w:tcPr>
          <w:p w14:paraId="7A3762AF" w14:textId="77777777" w:rsidR="009948F1" w:rsidRDefault="00BC0563">
            <w:pPr>
              <w:pStyle w:val="TableParagraph"/>
              <w:spacing w:before="5"/>
              <w:ind w:left="112"/>
              <w:rPr>
                <w:sz w:val="16"/>
              </w:rPr>
            </w:pPr>
            <w:r>
              <w:rPr>
                <w:color w:val="231F20"/>
                <w:w w:val="115"/>
                <w:sz w:val="16"/>
              </w:rPr>
              <w:t>10%</w:t>
            </w:r>
          </w:p>
        </w:tc>
        <w:tc>
          <w:tcPr>
            <w:tcW w:w="968" w:type="dxa"/>
          </w:tcPr>
          <w:p w14:paraId="39D1DE1E" w14:textId="77777777" w:rsidR="009948F1" w:rsidRDefault="00BC0563">
            <w:pPr>
              <w:pStyle w:val="TableParagraph"/>
              <w:spacing w:before="5"/>
              <w:ind w:left="112"/>
              <w:rPr>
                <w:sz w:val="16"/>
              </w:rPr>
            </w:pPr>
            <w:r>
              <w:rPr>
                <w:color w:val="231F20"/>
                <w:w w:val="115"/>
                <w:sz w:val="16"/>
              </w:rPr>
              <w:t>8%</w:t>
            </w:r>
          </w:p>
        </w:tc>
        <w:tc>
          <w:tcPr>
            <w:tcW w:w="775" w:type="dxa"/>
          </w:tcPr>
          <w:p w14:paraId="4342F931" w14:textId="77777777" w:rsidR="009948F1" w:rsidRDefault="00BC0563">
            <w:pPr>
              <w:pStyle w:val="TableParagraph"/>
              <w:spacing w:before="5"/>
              <w:ind w:left="112"/>
              <w:rPr>
                <w:sz w:val="16"/>
              </w:rPr>
            </w:pPr>
            <w:r>
              <w:rPr>
                <w:color w:val="231F20"/>
                <w:w w:val="115"/>
                <w:sz w:val="16"/>
              </w:rPr>
              <w:t>6%</w:t>
            </w:r>
          </w:p>
        </w:tc>
        <w:tc>
          <w:tcPr>
            <w:tcW w:w="1136" w:type="dxa"/>
          </w:tcPr>
          <w:p w14:paraId="7B5EB3E6" w14:textId="77777777" w:rsidR="009948F1" w:rsidRDefault="00BC0563">
            <w:pPr>
              <w:pStyle w:val="TableParagraph"/>
              <w:spacing w:before="5" w:line="249" w:lineRule="auto"/>
              <w:ind w:left="113" w:right="102"/>
              <w:rPr>
                <w:sz w:val="16"/>
              </w:rPr>
            </w:pPr>
            <w:r>
              <w:rPr>
                <w:color w:val="231F20"/>
                <w:w w:val="115"/>
                <w:sz w:val="16"/>
              </w:rPr>
              <w:t>Reduced by 70% of baseline</w:t>
            </w:r>
          </w:p>
        </w:tc>
      </w:tr>
      <w:tr w:rsidR="009948F1" w14:paraId="4D5EE7E9" w14:textId="77777777">
        <w:trPr>
          <w:trHeight w:val="764"/>
        </w:trPr>
        <w:tc>
          <w:tcPr>
            <w:tcW w:w="2627" w:type="dxa"/>
            <w:tcBorders>
              <w:top w:val="single" w:sz="8" w:space="0" w:color="231F20"/>
              <w:left w:val="single" w:sz="8" w:space="0" w:color="231F20"/>
              <w:bottom w:val="single" w:sz="8" w:space="0" w:color="231F20"/>
              <w:right w:val="single" w:sz="8" w:space="0" w:color="231F20"/>
            </w:tcBorders>
          </w:tcPr>
          <w:p w14:paraId="5B37AE5C" w14:textId="77777777" w:rsidR="009948F1" w:rsidRDefault="00BC0563">
            <w:pPr>
              <w:pStyle w:val="TableParagraph"/>
              <w:spacing w:before="4" w:line="252" w:lineRule="auto"/>
              <w:ind w:left="108" w:right="25" w:firstLine="50"/>
              <w:rPr>
                <w:sz w:val="16"/>
              </w:rPr>
            </w:pPr>
            <w:r>
              <w:rPr>
                <w:color w:val="231F20"/>
                <w:w w:val="115"/>
                <w:sz w:val="16"/>
              </w:rPr>
              <w:t>Prevalence of HIV among the general adult population reduced from 10% by 70% to</w:t>
            </w:r>
          </w:p>
          <w:p w14:paraId="0228F0A5" w14:textId="77777777" w:rsidR="009948F1" w:rsidRDefault="00BC0563">
            <w:pPr>
              <w:pStyle w:val="TableParagraph"/>
              <w:spacing w:line="161" w:lineRule="exact"/>
              <w:ind w:left="108"/>
              <w:rPr>
                <w:sz w:val="16"/>
              </w:rPr>
            </w:pPr>
            <w:r>
              <w:rPr>
                <w:color w:val="231F20"/>
                <w:w w:val="115"/>
                <w:sz w:val="16"/>
              </w:rPr>
              <w:t>2%</w:t>
            </w:r>
          </w:p>
        </w:tc>
        <w:tc>
          <w:tcPr>
            <w:tcW w:w="1245" w:type="dxa"/>
            <w:tcBorders>
              <w:top w:val="single" w:sz="8" w:space="0" w:color="231F20"/>
              <w:left w:val="single" w:sz="8" w:space="0" w:color="231F20"/>
              <w:bottom w:val="single" w:sz="8" w:space="0" w:color="231F20"/>
              <w:right w:val="single" w:sz="8" w:space="0" w:color="231F20"/>
            </w:tcBorders>
          </w:tcPr>
          <w:p w14:paraId="77A488A9" w14:textId="77777777" w:rsidR="009948F1" w:rsidRDefault="00BC0563">
            <w:pPr>
              <w:pStyle w:val="TableParagraph"/>
              <w:spacing w:before="4"/>
              <w:ind w:left="108"/>
              <w:rPr>
                <w:sz w:val="16"/>
              </w:rPr>
            </w:pPr>
            <w:r>
              <w:rPr>
                <w:color w:val="231F20"/>
                <w:w w:val="115"/>
                <w:sz w:val="16"/>
              </w:rPr>
              <w:t>TBD</w:t>
            </w:r>
          </w:p>
        </w:tc>
        <w:tc>
          <w:tcPr>
            <w:tcW w:w="831" w:type="dxa"/>
            <w:tcBorders>
              <w:left w:val="single" w:sz="8" w:space="0" w:color="231F20"/>
            </w:tcBorders>
          </w:tcPr>
          <w:p w14:paraId="7E1BA75D" w14:textId="77777777" w:rsidR="009948F1" w:rsidRDefault="00BC0563">
            <w:pPr>
              <w:pStyle w:val="TableParagraph"/>
              <w:spacing w:before="4"/>
              <w:ind w:left="108"/>
              <w:rPr>
                <w:sz w:val="16"/>
              </w:rPr>
            </w:pPr>
            <w:r>
              <w:rPr>
                <w:color w:val="231F20"/>
                <w:w w:val="115"/>
                <w:sz w:val="16"/>
              </w:rPr>
              <w:t>10%</w:t>
            </w:r>
          </w:p>
        </w:tc>
        <w:tc>
          <w:tcPr>
            <w:tcW w:w="831" w:type="dxa"/>
          </w:tcPr>
          <w:p w14:paraId="05F0A82E" w14:textId="77777777" w:rsidR="009948F1" w:rsidRDefault="00BC0563">
            <w:pPr>
              <w:pStyle w:val="TableParagraph"/>
              <w:spacing w:before="4"/>
              <w:ind w:left="113"/>
              <w:rPr>
                <w:sz w:val="16"/>
              </w:rPr>
            </w:pPr>
            <w:r>
              <w:rPr>
                <w:color w:val="231F20"/>
                <w:w w:val="115"/>
                <w:sz w:val="16"/>
              </w:rPr>
              <w:t>8%</w:t>
            </w:r>
          </w:p>
        </w:tc>
        <w:tc>
          <w:tcPr>
            <w:tcW w:w="831" w:type="dxa"/>
          </w:tcPr>
          <w:p w14:paraId="7C7096E4" w14:textId="77777777" w:rsidR="009948F1" w:rsidRDefault="00BC0563">
            <w:pPr>
              <w:pStyle w:val="TableParagraph"/>
              <w:spacing w:before="4"/>
              <w:ind w:left="112"/>
              <w:rPr>
                <w:sz w:val="16"/>
              </w:rPr>
            </w:pPr>
            <w:r>
              <w:rPr>
                <w:color w:val="231F20"/>
                <w:w w:val="115"/>
                <w:sz w:val="16"/>
              </w:rPr>
              <w:t>6%</w:t>
            </w:r>
          </w:p>
        </w:tc>
        <w:tc>
          <w:tcPr>
            <w:tcW w:w="968" w:type="dxa"/>
          </w:tcPr>
          <w:p w14:paraId="0659B326" w14:textId="77777777" w:rsidR="009948F1" w:rsidRDefault="00BC0563">
            <w:pPr>
              <w:pStyle w:val="TableParagraph"/>
              <w:spacing w:before="4"/>
              <w:ind w:left="112"/>
              <w:rPr>
                <w:sz w:val="16"/>
              </w:rPr>
            </w:pPr>
            <w:r>
              <w:rPr>
                <w:color w:val="231F20"/>
                <w:w w:val="115"/>
                <w:sz w:val="16"/>
              </w:rPr>
              <w:t>4%</w:t>
            </w:r>
          </w:p>
        </w:tc>
        <w:tc>
          <w:tcPr>
            <w:tcW w:w="775" w:type="dxa"/>
          </w:tcPr>
          <w:p w14:paraId="3A3A7845" w14:textId="77777777" w:rsidR="009948F1" w:rsidRDefault="00BC0563">
            <w:pPr>
              <w:pStyle w:val="TableParagraph"/>
              <w:spacing w:before="4"/>
              <w:ind w:left="112"/>
              <w:rPr>
                <w:sz w:val="16"/>
              </w:rPr>
            </w:pPr>
            <w:r>
              <w:rPr>
                <w:color w:val="231F20"/>
                <w:w w:val="115"/>
                <w:sz w:val="16"/>
              </w:rPr>
              <w:t>2%</w:t>
            </w:r>
          </w:p>
        </w:tc>
        <w:tc>
          <w:tcPr>
            <w:tcW w:w="1136" w:type="dxa"/>
          </w:tcPr>
          <w:p w14:paraId="7024C322" w14:textId="77777777" w:rsidR="009948F1" w:rsidRDefault="00BC0563">
            <w:pPr>
              <w:pStyle w:val="TableParagraph"/>
              <w:spacing w:before="4"/>
              <w:ind w:left="113"/>
              <w:rPr>
                <w:sz w:val="16"/>
              </w:rPr>
            </w:pPr>
            <w:r>
              <w:rPr>
                <w:color w:val="231F20"/>
                <w:w w:val="115"/>
                <w:sz w:val="16"/>
              </w:rPr>
              <w:t>1%</w:t>
            </w:r>
          </w:p>
        </w:tc>
      </w:tr>
      <w:tr w:rsidR="009948F1" w14:paraId="36190A52" w14:textId="77777777">
        <w:trPr>
          <w:trHeight w:val="382"/>
        </w:trPr>
        <w:tc>
          <w:tcPr>
            <w:tcW w:w="2627" w:type="dxa"/>
            <w:tcBorders>
              <w:top w:val="single" w:sz="8" w:space="0" w:color="231F20"/>
              <w:left w:val="single" w:sz="8" w:space="0" w:color="231F20"/>
              <w:bottom w:val="single" w:sz="8" w:space="0" w:color="231F20"/>
              <w:right w:val="single" w:sz="8" w:space="0" w:color="231F20"/>
            </w:tcBorders>
          </w:tcPr>
          <w:p w14:paraId="4CF3B986" w14:textId="3DE16B0B" w:rsidR="009948F1" w:rsidRDefault="00BC0563">
            <w:pPr>
              <w:pStyle w:val="TableParagraph"/>
              <w:tabs>
                <w:tab w:val="left" w:pos="2352"/>
              </w:tabs>
              <w:spacing w:before="3" w:line="192" w:lineRule="exact"/>
              <w:ind w:left="108" w:right="82" w:firstLine="50"/>
              <w:rPr>
                <w:sz w:val="16"/>
              </w:rPr>
            </w:pPr>
            <w:r>
              <w:rPr>
                <w:color w:val="231F20"/>
                <w:w w:val="115"/>
                <w:sz w:val="16"/>
              </w:rPr>
              <w:t>Increase coverage</w:t>
            </w:r>
            <w:r>
              <w:rPr>
                <w:color w:val="231F20"/>
                <w:spacing w:val="-18"/>
                <w:w w:val="115"/>
                <w:sz w:val="16"/>
              </w:rPr>
              <w:t xml:space="preserve"> </w:t>
            </w:r>
            <w:r>
              <w:rPr>
                <w:color w:val="231F20"/>
                <w:w w:val="115"/>
                <w:sz w:val="16"/>
              </w:rPr>
              <w:t>of</w:t>
            </w:r>
            <w:r>
              <w:rPr>
                <w:color w:val="231F20"/>
                <w:spacing w:val="-9"/>
                <w:w w:val="115"/>
                <w:sz w:val="16"/>
              </w:rPr>
              <w:t xml:space="preserve"> </w:t>
            </w:r>
            <w:r w:rsidR="00A6697A">
              <w:rPr>
                <w:color w:val="231F20"/>
                <w:w w:val="115"/>
                <w:sz w:val="16"/>
              </w:rPr>
              <w:t>H</w:t>
            </w:r>
            <w:r>
              <w:rPr>
                <w:color w:val="231F20"/>
                <w:spacing w:val="-10"/>
                <w:w w:val="115"/>
                <w:sz w:val="16"/>
              </w:rPr>
              <w:t xml:space="preserve">IV </w:t>
            </w:r>
            <w:r>
              <w:rPr>
                <w:color w:val="231F20"/>
                <w:w w:val="115"/>
                <w:sz w:val="16"/>
              </w:rPr>
              <w:t>HTS from 20% to</w:t>
            </w:r>
            <w:r>
              <w:rPr>
                <w:color w:val="231F20"/>
                <w:spacing w:val="-15"/>
                <w:w w:val="115"/>
                <w:sz w:val="16"/>
              </w:rPr>
              <w:t xml:space="preserve"> </w:t>
            </w:r>
            <w:r>
              <w:rPr>
                <w:color w:val="231F20"/>
                <w:w w:val="115"/>
                <w:sz w:val="16"/>
              </w:rPr>
              <w:t>40%</w:t>
            </w:r>
          </w:p>
        </w:tc>
        <w:tc>
          <w:tcPr>
            <w:tcW w:w="1245" w:type="dxa"/>
            <w:tcBorders>
              <w:top w:val="single" w:sz="8" w:space="0" w:color="231F20"/>
              <w:left w:val="single" w:sz="8" w:space="0" w:color="231F20"/>
              <w:bottom w:val="single" w:sz="8" w:space="0" w:color="231F20"/>
              <w:right w:val="single" w:sz="8" w:space="0" w:color="231F20"/>
            </w:tcBorders>
          </w:tcPr>
          <w:p w14:paraId="3D212864" w14:textId="77777777" w:rsidR="009948F1" w:rsidRDefault="00BC0563">
            <w:pPr>
              <w:pStyle w:val="TableParagraph"/>
              <w:spacing w:before="6"/>
              <w:ind w:left="108"/>
              <w:rPr>
                <w:sz w:val="16"/>
              </w:rPr>
            </w:pPr>
            <w:r>
              <w:rPr>
                <w:color w:val="231F20"/>
                <w:w w:val="115"/>
                <w:sz w:val="16"/>
              </w:rPr>
              <w:t>TBD</w:t>
            </w:r>
          </w:p>
        </w:tc>
        <w:tc>
          <w:tcPr>
            <w:tcW w:w="831" w:type="dxa"/>
            <w:tcBorders>
              <w:left w:val="single" w:sz="8" w:space="0" w:color="231F20"/>
            </w:tcBorders>
          </w:tcPr>
          <w:p w14:paraId="3C174E95" w14:textId="77777777" w:rsidR="009948F1" w:rsidRDefault="00BC0563">
            <w:pPr>
              <w:pStyle w:val="TableParagraph"/>
              <w:spacing w:before="6"/>
              <w:ind w:left="108"/>
              <w:rPr>
                <w:sz w:val="16"/>
              </w:rPr>
            </w:pPr>
            <w:r>
              <w:rPr>
                <w:color w:val="231F20"/>
                <w:w w:val="115"/>
                <w:sz w:val="16"/>
              </w:rPr>
              <w:t>20%</w:t>
            </w:r>
          </w:p>
        </w:tc>
        <w:tc>
          <w:tcPr>
            <w:tcW w:w="831" w:type="dxa"/>
          </w:tcPr>
          <w:p w14:paraId="652E8431" w14:textId="77777777" w:rsidR="009948F1" w:rsidRDefault="00BC0563">
            <w:pPr>
              <w:pStyle w:val="TableParagraph"/>
              <w:spacing w:before="6"/>
              <w:ind w:left="113"/>
              <w:rPr>
                <w:sz w:val="16"/>
              </w:rPr>
            </w:pPr>
            <w:r>
              <w:rPr>
                <w:color w:val="231F20"/>
                <w:w w:val="115"/>
                <w:sz w:val="16"/>
              </w:rPr>
              <w:t>25%</w:t>
            </w:r>
          </w:p>
        </w:tc>
        <w:tc>
          <w:tcPr>
            <w:tcW w:w="831" w:type="dxa"/>
          </w:tcPr>
          <w:p w14:paraId="44923261" w14:textId="77777777" w:rsidR="009948F1" w:rsidRDefault="00BC0563">
            <w:pPr>
              <w:pStyle w:val="TableParagraph"/>
              <w:spacing w:before="6"/>
              <w:ind w:left="112"/>
              <w:rPr>
                <w:sz w:val="16"/>
              </w:rPr>
            </w:pPr>
            <w:r>
              <w:rPr>
                <w:color w:val="231F20"/>
                <w:w w:val="115"/>
                <w:sz w:val="16"/>
              </w:rPr>
              <w:t>30%</w:t>
            </w:r>
          </w:p>
        </w:tc>
        <w:tc>
          <w:tcPr>
            <w:tcW w:w="968" w:type="dxa"/>
          </w:tcPr>
          <w:p w14:paraId="37A38044" w14:textId="77777777" w:rsidR="009948F1" w:rsidRDefault="00BC0563">
            <w:pPr>
              <w:pStyle w:val="TableParagraph"/>
              <w:spacing w:before="6"/>
              <w:ind w:left="112"/>
              <w:rPr>
                <w:sz w:val="16"/>
              </w:rPr>
            </w:pPr>
            <w:r>
              <w:rPr>
                <w:color w:val="231F20"/>
                <w:w w:val="115"/>
                <w:sz w:val="16"/>
              </w:rPr>
              <w:t>35%</w:t>
            </w:r>
          </w:p>
        </w:tc>
        <w:tc>
          <w:tcPr>
            <w:tcW w:w="775" w:type="dxa"/>
          </w:tcPr>
          <w:p w14:paraId="167C800E" w14:textId="77777777" w:rsidR="009948F1" w:rsidRDefault="00BC0563">
            <w:pPr>
              <w:pStyle w:val="TableParagraph"/>
              <w:spacing w:before="6"/>
              <w:ind w:left="112"/>
              <w:rPr>
                <w:sz w:val="16"/>
              </w:rPr>
            </w:pPr>
            <w:r>
              <w:rPr>
                <w:color w:val="231F20"/>
                <w:w w:val="115"/>
                <w:sz w:val="16"/>
              </w:rPr>
              <w:t>40%</w:t>
            </w:r>
          </w:p>
        </w:tc>
        <w:tc>
          <w:tcPr>
            <w:tcW w:w="1136" w:type="dxa"/>
          </w:tcPr>
          <w:p w14:paraId="41495A46" w14:textId="77777777" w:rsidR="009948F1" w:rsidRDefault="00BC0563">
            <w:pPr>
              <w:pStyle w:val="TableParagraph"/>
              <w:spacing w:before="6"/>
              <w:ind w:left="113"/>
              <w:rPr>
                <w:sz w:val="16"/>
              </w:rPr>
            </w:pPr>
            <w:r>
              <w:rPr>
                <w:color w:val="231F20"/>
                <w:w w:val="115"/>
                <w:sz w:val="16"/>
              </w:rPr>
              <w:t>60%</w:t>
            </w:r>
          </w:p>
        </w:tc>
      </w:tr>
      <w:tr w:rsidR="009948F1" w14:paraId="076D686F" w14:textId="77777777">
        <w:trPr>
          <w:trHeight w:val="568"/>
        </w:trPr>
        <w:tc>
          <w:tcPr>
            <w:tcW w:w="2627" w:type="dxa"/>
            <w:tcBorders>
              <w:top w:val="single" w:sz="8" w:space="0" w:color="231F20"/>
              <w:left w:val="single" w:sz="8" w:space="0" w:color="231F20"/>
              <w:bottom w:val="single" w:sz="8" w:space="0" w:color="231F20"/>
              <w:right w:val="single" w:sz="8" w:space="0" w:color="231F20"/>
            </w:tcBorders>
          </w:tcPr>
          <w:p w14:paraId="79ADABED" w14:textId="77777777" w:rsidR="009948F1" w:rsidRDefault="00BC0563">
            <w:pPr>
              <w:pStyle w:val="TableParagraph"/>
              <w:ind w:left="108" w:firstLine="50"/>
              <w:rPr>
                <w:sz w:val="16"/>
              </w:rPr>
            </w:pPr>
            <w:r>
              <w:rPr>
                <w:color w:val="231F20"/>
                <w:w w:val="115"/>
                <w:sz w:val="16"/>
              </w:rPr>
              <w:t>Incidence of mother -to-child</w:t>
            </w:r>
          </w:p>
          <w:p w14:paraId="16A98F86" w14:textId="77777777" w:rsidR="009948F1" w:rsidRDefault="00BC0563">
            <w:pPr>
              <w:pStyle w:val="TableParagraph"/>
              <w:spacing w:before="3" w:line="190" w:lineRule="atLeast"/>
              <w:ind w:left="108" w:right="45"/>
              <w:rPr>
                <w:sz w:val="16"/>
              </w:rPr>
            </w:pPr>
            <w:r>
              <w:rPr>
                <w:color w:val="231F20"/>
                <w:w w:val="115"/>
                <w:sz w:val="16"/>
              </w:rPr>
              <w:t>transmission of HIV from 11% to 0%</w:t>
            </w:r>
          </w:p>
        </w:tc>
        <w:tc>
          <w:tcPr>
            <w:tcW w:w="1245" w:type="dxa"/>
            <w:tcBorders>
              <w:top w:val="single" w:sz="8" w:space="0" w:color="231F20"/>
              <w:left w:val="single" w:sz="8" w:space="0" w:color="231F20"/>
              <w:bottom w:val="single" w:sz="8" w:space="0" w:color="231F20"/>
              <w:right w:val="single" w:sz="8" w:space="0" w:color="231F20"/>
            </w:tcBorders>
          </w:tcPr>
          <w:p w14:paraId="01F3B4DE" w14:textId="77777777" w:rsidR="009948F1" w:rsidRDefault="00BC0563">
            <w:pPr>
              <w:pStyle w:val="TableParagraph"/>
              <w:ind w:left="108"/>
              <w:rPr>
                <w:sz w:val="16"/>
              </w:rPr>
            </w:pPr>
            <w:r>
              <w:rPr>
                <w:color w:val="231F20"/>
                <w:w w:val="115"/>
                <w:sz w:val="16"/>
              </w:rPr>
              <w:t>TBD</w:t>
            </w:r>
          </w:p>
        </w:tc>
        <w:tc>
          <w:tcPr>
            <w:tcW w:w="831" w:type="dxa"/>
            <w:tcBorders>
              <w:left w:val="single" w:sz="8" w:space="0" w:color="231F20"/>
            </w:tcBorders>
          </w:tcPr>
          <w:p w14:paraId="7D6E4A10" w14:textId="77777777" w:rsidR="009948F1" w:rsidRDefault="00BC0563">
            <w:pPr>
              <w:pStyle w:val="TableParagraph"/>
              <w:ind w:left="108"/>
              <w:rPr>
                <w:sz w:val="16"/>
              </w:rPr>
            </w:pPr>
            <w:r>
              <w:rPr>
                <w:color w:val="231F20"/>
                <w:w w:val="115"/>
                <w:sz w:val="16"/>
              </w:rPr>
              <w:t>11%</w:t>
            </w:r>
          </w:p>
        </w:tc>
        <w:tc>
          <w:tcPr>
            <w:tcW w:w="831" w:type="dxa"/>
          </w:tcPr>
          <w:p w14:paraId="0B1C4878" w14:textId="77777777" w:rsidR="009948F1" w:rsidRDefault="00BC0563">
            <w:pPr>
              <w:pStyle w:val="TableParagraph"/>
              <w:ind w:left="113"/>
              <w:rPr>
                <w:sz w:val="16"/>
              </w:rPr>
            </w:pPr>
            <w:r>
              <w:rPr>
                <w:color w:val="231F20"/>
                <w:w w:val="115"/>
                <w:sz w:val="16"/>
              </w:rPr>
              <w:t>8%</w:t>
            </w:r>
          </w:p>
        </w:tc>
        <w:tc>
          <w:tcPr>
            <w:tcW w:w="831" w:type="dxa"/>
          </w:tcPr>
          <w:p w14:paraId="5714E95A" w14:textId="77777777" w:rsidR="009948F1" w:rsidRDefault="00BC0563">
            <w:pPr>
              <w:pStyle w:val="TableParagraph"/>
              <w:ind w:left="112"/>
              <w:rPr>
                <w:sz w:val="16"/>
              </w:rPr>
            </w:pPr>
            <w:r>
              <w:rPr>
                <w:color w:val="231F20"/>
                <w:w w:val="115"/>
                <w:sz w:val="16"/>
              </w:rPr>
              <w:t>5%</w:t>
            </w:r>
          </w:p>
        </w:tc>
        <w:tc>
          <w:tcPr>
            <w:tcW w:w="968" w:type="dxa"/>
          </w:tcPr>
          <w:p w14:paraId="5848FFA7" w14:textId="77777777" w:rsidR="009948F1" w:rsidRDefault="00BC0563">
            <w:pPr>
              <w:pStyle w:val="TableParagraph"/>
              <w:ind w:left="112"/>
              <w:rPr>
                <w:sz w:val="16"/>
              </w:rPr>
            </w:pPr>
            <w:r>
              <w:rPr>
                <w:color w:val="231F20"/>
                <w:w w:val="115"/>
                <w:sz w:val="16"/>
              </w:rPr>
              <w:t>3%</w:t>
            </w:r>
          </w:p>
        </w:tc>
        <w:tc>
          <w:tcPr>
            <w:tcW w:w="775" w:type="dxa"/>
          </w:tcPr>
          <w:p w14:paraId="0384A155" w14:textId="77777777" w:rsidR="009948F1" w:rsidRDefault="00BC0563">
            <w:pPr>
              <w:pStyle w:val="TableParagraph"/>
              <w:ind w:left="112"/>
              <w:rPr>
                <w:sz w:val="16"/>
              </w:rPr>
            </w:pPr>
            <w:r>
              <w:rPr>
                <w:color w:val="231F20"/>
                <w:w w:val="115"/>
                <w:sz w:val="16"/>
              </w:rPr>
              <w:t>0%</w:t>
            </w:r>
          </w:p>
        </w:tc>
        <w:tc>
          <w:tcPr>
            <w:tcW w:w="1136" w:type="dxa"/>
          </w:tcPr>
          <w:p w14:paraId="122DF06E" w14:textId="77777777" w:rsidR="009948F1" w:rsidRDefault="00BC0563">
            <w:pPr>
              <w:pStyle w:val="TableParagraph"/>
              <w:ind w:left="113"/>
              <w:rPr>
                <w:sz w:val="16"/>
              </w:rPr>
            </w:pPr>
            <w:r>
              <w:rPr>
                <w:color w:val="231F20"/>
                <w:w w:val="115"/>
                <w:sz w:val="16"/>
              </w:rPr>
              <w:t>0%</w:t>
            </w:r>
          </w:p>
        </w:tc>
      </w:tr>
      <w:tr w:rsidR="009948F1" w14:paraId="61EA273F" w14:textId="77777777">
        <w:trPr>
          <w:trHeight w:val="764"/>
        </w:trPr>
        <w:tc>
          <w:tcPr>
            <w:tcW w:w="2627" w:type="dxa"/>
            <w:tcBorders>
              <w:top w:val="single" w:sz="8" w:space="0" w:color="231F20"/>
              <w:left w:val="single" w:sz="8" w:space="0" w:color="231F20"/>
              <w:bottom w:val="single" w:sz="8" w:space="0" w:color="231F20"/>
              <w:right w:val="single" w:sz="8" w:space="0" w:color="231F20"/>
            </w:tcBorders>
          </w:tcPr>
          <w:p w14:paraId="0B4C0DD8" w14:textId="77777777" w:rsidR="009948F1" w:rsidRDefault="00BC0563">
            <w:pPr>
              <w:pStyle w:val="TableParagraph"/>
              <w:spacing w:before="4" w:line="252" w:lineRule="auto"/>
              <w:ind w:left="108" w:right="116" w:firstLine="50"/>
              <w:rPr>
                <w:sz w:val="16"/>
              </w:rPr>
            </w:pPr>
            <w:r>
              <w:rPr>
                <w:color w:val="231F20"/>
                <w:w w:val="115"/>
                <w:sz w:val="16"/>
              </w:rPr>
              <w:t>% of HIV positive persons receiving HIV treatment services increased from 20%</w:t>
            </w:r>
          </w:p>
          <w:p w14:paraId="7FBBCEB0" w14:textId="77777777" w:rsidR="009948F1" w:rsidRDefault="00BC0563">
            <w:pPr>
              <w:pStyle w:val="TableParagraph"/>
              <w:spacing w:line="161" w:lineRule="exact"/>
              <w:ind w:left="108"/>
              <w:rPr>
                <w:sz w:val="16"/>
              </w:rPr>
            </w:pPr>
            <w:r>
              <w:rPr>
                <w:color w:val="231F20"/>
                <w:w w:val="115"/>
                <w:sz w:val="16"/>
              </w:rPr>
              <w:t>to 60%</w:t>
            </w:r>
          </w:p>
        </w:tc>
        <w:tc>
          <w:tcPr>
            <w:tcW w:w="1245" w:type="dxa"/>
            <w:tcBorders>
              <w:top w:val="single" w:sz="8" w:space="0" w:color="231F20"/>
              <w:left w:val="single" w:sz="8" w:space="0" w:color="231F20"/>
              <w:bottom w:val="single" w:sz="8" w:space="0" w:color="231F20"/>
              <w:right w:val="single" w:sz="8" w:space="0" w:color="231F20"/>
            </w:tcBorders>
          </w:tcPr>
          <w:p w14:paraId="62F5311E" w14:textId="77777777" w:rsidR="009948F1" w:rsidRDefault="00BC0563">
            <w:pPr>
              <w:pStyle w:val="TableParagraph"/>
              <w:spacing w:before="4"/>
              <w:ind w:left="108"/>
              <w:rPr>
                <w:sz w:val="16"/>
              </w:rPr>
            </w:pPr>
            <w:r>
              <w:rPr>
                <w:color w:val="231F20"/>
                <w:w w:val="115"/>
                <w:sz w:val="16"/>
              </w:rPr>
              <w:t>10%</w:t>
            </w:r>
          </w:p>
        </w:tc>
        <w:tc>
          <w:tcPr>
            <w:tcW w:w="831" w:type="dxa"/>
            <w:tcBorders>
              <w:left w:val="single" w:sz="8" w:space="0" w:color="231F20"/>
            </w:tcBorders>
          </w:tcPr>
          <w:p w14:paraId="736A3D69" w14:textId="77777777" w:rsidR="009948F1" w:rsidRDefault="00BC0563">
            <w:pPr>
              <w:pStyle w:val="TableParagraph"/>
              <w:spacing w:before="4"/>
              <w:ind w:left="108"/>
              <w:rPr>
                <w:sz w:val="16"/>
              </w:rPr>
            </w:pPr>
            <w:r>
              <w:rPr>
                <w:color w:val="231F20"/>
                <w:w w:val="115"/>
                <w:sz w:val="16"/>
              </w:rPr>
              <w:t>20%</w:t>
            </w:r>
          </w:p>
        </w:tc>
        <w:tc>
          <w:tcPr>
            <w:tcW w:w="831" w:type="dxa"/>
          </w:tcPr>
          <w:p w14:paraId="4DC2EC77" w14:textId="77777777" w:rsidR="009948F1" w:rsidRDefault="00BC0563">
            <w:pPr>
              <w:pStyle w:val="TableParagraph"/>
              <w:spacing w:before="4"/>
              <w:ind w:left="113"/>
              <w:rPr>
                <w:sz w:val="16"/>
              </w:rPr>
            </w:pPr>
            <w:r>
              <w:rPr>
                <w:color w:val="231F20"/>
                <w:w w:val="115"/>
                <w:sz w:val="16"/>
              </w:rPr>
              <w:t>30%</w:t>
            </w:r>
          </w:p>
        </w:tc>
        <w:tc>
          <w:tcPr>
            <w:tcW w:w="831" w:type="dxa"/>
          </w:tcPr>
          <w:p w14:paraId="49F66CDE" w14:textId="77777777" w:rsidR="009948F1" w:rsidRDefault="00BC0563">
            <w:pPr>
              <w:pStyle w:val="TableParagraph"/>
              <w:spacing w:before="4"/>
              <w:ind w:left="112"/>
              <w:rPr>
                <w:sz w:val="16"/>
              </w:rPr>
            </w:pPr>
            <w:r>
              <w:rPr>
                <w:color w:val="231F20"/>
                <w:w w:val="115"/>
                <w:sz w:val="16"/>
              </w:rPr>
              <w:t>40%</w:t>
            </w:r>
          </w:p>
        </w:tc>
        <w:tc>
          <w:tcPr>
            <w:tcW w:w="968" w:type="dxa"/>
          </w:tcPr>
          <w:p w14:paraId="0DBB601C" w14:textId="77777777" w:rsidR="009948F1" w:rsidRDefault="00BC0563">
            <w:pPr>
              <w:pStyle w:val="TableParagraph"/>
              <w:spacing w:before="4"/>
              <w:ind w:left="112"/>
              <w:rPr>
                <w:sz w:val="16"/>
              </w:rPr>
            </w:pPr>
            <w:r>
              <w:rPr>
                <w:color w:val="231F20"/>
                <w:w w:val="115"/>
                <w:sz w:val="16"/>
              </w:rPr>
              <w:t>50%</w:t>
            </w:r>
          </w:p>
        </w:tc>
        <w:tc>
          <w:tcPr>
            <w:tcW w:w="775" w:type="dxa"/>
          </w:tcPr>
          <w:p w14:paraId="6862D561" w14:textId="77777777" w:rsidR="009948F1" w:rsidRDefault="00BC0563">
            <w:pPr>
              <w:pStyle w:val="TableParagraph"/>
              <w:spacing w:before="4"/>
              <w:ind w:left="112"/>
              <w:rPr>
                <w:sz w:val="16"/>
              </w:rPr>
            </w:pPr>
            <w:r>
              <w:rPr>
                <w:color w:val="231F20"/>
                <w:w w:val="115"/>
                <w:sz w:val="16"/>
              </w:rPr>
              <w:t>60%</w:t>
            </w:r>
          </w:p>
        </w:tc>
        <w:tc>
          <w:tcPr>
            <w:tcW w:w="1136" w:type="dxa"/>
          </w:tcPr>
          <w:p w14:paraId="32A0E7D2" w14:textId="77777777" w:rsidR="009948F1" w:rsidRDefault="00BC0563">
            <w:pPr>
              <w:pStyle w:val="TableParagraph"/>
              <w:spacing w:before="4"/>
              <w:ind w:left="113"/>
              <w:rPr>
                <w:sz w:val="16"/>
              </w:rPr>
            </w:pPr>
            <w:r>
              <w:rPr>
                <w:color w:val="231F20"/>
                <w:w w:val="115"/>
                <w:sz w:val="16"/>
              </w:rPr>
              <w:t>90%</w:t>
            </w:r>
          </w:p>
        </w:tc>
      </w:tr>
      <w:tr w:rsidR="009948F1" w14:paraId="78544B1F" w14:textId="77777777">
        <w:trPr>
          <w:trHeight w:val="767"/>
        </w:trPr>
        <w:tc>
          <w:tcPr>
            <w:tcW w:w="2627" w:type="dxa"/>
            <w:tcBorders>
              <w:top w:val="single" w:sz="8" w:space="0" w:color="231F20"/>
              <w:left w:val="single" w:sz="8" w:space="0" w:color="231F20"/>
              <w:bottom w:val="single" w:sz="8" w:space="0" w:color="231F20"/>
              <w:right w:val="single" w:sz="8" w:space="0" w:color="231F20"/>
            </w:tcBorders>
          </w:tcPr>
          <w:p w14:paraId="6EF0926C" w14:textId="77777777" w:rsidR="009948F1" w:rsidRDefault="00BC0563">
            <w:pPr>
              <w:pStyle w:val="TableParagraph"/>
              <w:spacing w:before="3" w:line="192" w:lineRule="exact"/>
              <w:ind w:left="108" w:right="82" w:firstLine="50"/>
              <w:rPr>
                <w:sz w:val="16"/>
              </w:rPr>
            </w:pPr>
            <w:r>
              <w:rPr>
                <w:color w:val="231F20"/>
                <w:w w:val="115"/>
                <w:sz w:val="16"/>
              </w:rPr>
              <w:t>% of the population age 15 - 49 years tested for HIV (VCT and collected result) from 30% to 50%</w:t>
            </w:r>
          </w:p>
        </w:tc>
        <w:tc>
          <w:tcPr>
            <w:tcW w:w="1245" w:type="dxa"/>
            <w:tcBorders>
              <w:top w:val="single" w:sz="8" w:space="0" w:color="231F20"/>
              <w:left w:val="single" w:sz="8" w:space="0" w:color="231F20"/>
              <w:bottom w:val="single" w:sz="8" w:space="0" w:color="231F20"/>
              <w:right w:val="single" w:sz="8" w:space="0" w:color="231F20"/>
            </w:tcBorders>
          </w:tcPr>
          <w:p w14:paraId="1E2E20B6" w14:textId="77777777" w:rsidR="009948F1" w:rsidRDefault="00BC0563">
            <w:pPr>
              <w:pStyle w:val="TableParagraph"/>
              <w:spacing w:before="6"/>
              <w:ind w:left="108"/>
              <w:rPr>
                <w:sz w:val="16"/>
              </w:rPr>
            </w:pPr>
            <w:r>
              <w:rPr>
                <w:color w:val="231F20"/>
                <w:w w:val="115"/>
                <w:sz w:val="16"/>
              </w:rPr>
              <w:t>TBD</w:t>
            </w:r>
          </w:p>
        </w:tc>
        <w:tc>
          <w:tcPr>
            <w:tcW w:w="831" w:type="dxa"/>
            <w:tcBorders>
              <w:left w:val="single" w:sz="8" w:space="0" w:color="231F20"/>
            </w:tcBorders>
          </w:tcPr>
          <w:p w14:paraId="6AA9BA1C" w14:textId="77777777" w:rsidR="009948F1" w:rsidRDefault="00BC0563">
            <w:pPr>
              <w:pStyle w:val="TableParagraph"/>
              <w:spacing w:before="6"/>
              <w:ind w:left="108"/>
              <w:rPr>
                <w:sz w:val="16"/>
              </w:rPr>
            </w:pPr>
            <w:r>
              <w:rPr>
                <w:color w:val="231F20"/>
                <w:w w:val="115"/>
                <w:sz w:val="16"/>
              </w:rPr>
              <w:t>30%</w:t>
            </w:r>
          </w:p>
        </w:tc>
        <w:tc>
          <w:tcPr>
            <w:tcW w:w="831" w:type="dxa"/>
          </w:tcPr>
          <w:p w14:paraId="0C55B5C4" w14:textId="77777777" w:rsidR="009948F1" w:rsidRDefault="00BC0563">
            <w:pPr>
              <w:pStyle w:val="TableParagraph"/>
              <w:spacing w:before="6"/>
              <w:ind w:left="113"/>
              <w:rPr>
                <w:sz w:val="16"/>
              </w:rPr>
            </w:pPr>
            <w:r>
              <w:rPr>
                <w:color w:val="231F20"/>
                <w:w w:val="115"/>
                <w:sz w:val="16"/>
              </w:rPr>
              <w:t>35%</w:t>
            </w:r>
          </w:p>
        </w:tc>
        <w:tc>
          <w:tcPr>
            <w:tcW w:w="831" w:type="dxa"/>
          </w:tcPr>
          <w:p w14:paraId="4F2AE1C4" w14:textId="77777777" w:rsidR="009948F1" w:rsidRDefault="00BC0563">
            <w:pPr>
              <w:pStyle w:val="TableParagraph"/>
              <w:spacing w:before="6"/>
              <w:ind w:left="112"/>
              <w:rPr>
                <w:sz w:val="16"/>
              </w:rPr>
            </w:pPr>
            <w:r>
              <w:rPr>
                <w:color w:val="231F20"/>
                <w:w w:val="115"/>
                <w:sz w:val="16"/>
              </w:rPr>
              <w:t>40%</w:t>
            </w:r>
          </w:p>
        </w:tc>
        <w:tc>
          <w:tcPr>
            <w:tcW w:w="968" w:type="dxa"/>
          </w:tcPr>
          <w:p w14:paraId="3B23F392" w14:textId="77777777" w:rsidR="009948F1" w:rsidRDefault="00BC0563">
            <w:pPr>
              <w:pStyle w:val="TableParagraph"/>
              <w:spacing w:before="6"/>
              <w:ind w:left="112"/>
              <w:rPr>
                <w:sz w:val="16"/>
              </w:rPr>
            </w:pPr>
            <w:r>
              <w:rPr>
                <w:color w:val="231F20"/>
                <w:w w:val="115"/>
                <w:sz w:val="16"/>
              </w:rPr>
              <w:t>45%</w:t>
            </w:r>
          </w:p>
        </w:tc>
        <w:tc>
          <w:tcPr>
            <w:tcW w:w="775" w:type="dxa"/>
          </w:tcPr>
          <w:p w14:paraId="6D43F9EF" w14:textId="77777777" w:rsidR="009948F1" w:rsidRDefault="00BC0563">
            <w:pPr>
              <w:pStyle w:val="TableParagraph"/>
              <w:spacing w:before="6"/>
              <w:ind w:left="112"/>
              <w:rPr>
                <w:sz w:val="16"/>
              </w:rPr>
            </w:pPr>
            <w:r>
              <w:rPr>
                <w:color w:val="231F20"/>
                <w:w w:val="115"/>
                <w:sz w:val="16"/>
              </w:rPr>
              <w:t>50%</w:t>
            </w:r>
          </w:p>
        </w:tc>
        <w:tc>
          <w:tcPr>
            <w:tcW w:w="1136" w:type="dxa"/>
          </w:tcPr>
          <w:p w14:paraId="63D8341E" w14:textId="77777777" w:rsidR="009948F1" w:rsidRDefault="00BC0563">
            <w:pPr>
              <w:pStyle w:val="TableParagraph"/>
              <w:spacing w:before="6"/>
              <w:ind w:left="113"/>
              <w:rPr>
                <w:sz w:val="16"/>
              </w:rPr>
            </w:pPr>
            <w:r>
              <w:rPr>
                <w:color w:val="231F20"/>
                <w:w w:val="115"/>
                <w:sz w:val="16"/>
              </w:rPr>
              <w:t>60%</w:t>
            </w:r>
          </w:p>
        </w:tc>
      </w:tr>
      <w:tr w:rsidR="009948F1" w14:paraId="6F4C2821" w14:textId="77777777">
        <w:trPr>
          <w:trHeight w:val="378"/>
        </w:trPr>
        <w:tc>
          <w:tcPr>
            <w:tcW w:w="2627" w:type="dxa"/>
            <w:tcBorders>
              <w:top w:val="single" w:sz="8" w:space="0" w:color="231F20"/>
              <w:left w:val="single" w:sz="8" w:space="0" w:color="231F20"/>
              <w:bottom w:val="single" w:sz="8" w:space="0" w:color="231F20"/>
              <w:right w:val="single" w:sz="8" w:space="0" w:color="231F20"/>
            </w:tcBorders>
          </w:tcPr>
          <w:p w14:paraId="54D2D780" w14:textId="77777777" w:rsidR="009948F1" w:rsidRDefault="00BC0563">
            <w:pPr>
              <w:pStyle w:val="TableParagraph"/>
              <w:ind w:left="158"/>
              <w:rPr>
                <w:sz w:val="16"/>
              </w:rPr>
            </w:pPr>
            <w:r>
              <w:rPr>
                <w:color w:val="231F20"/>
                <w:w w:val="115"/>
                <w:sz w:val="16"/>
              </w:rPr>
              <w:t>% of HIV positive pregnant</w:t>
            </w:r>
          </w:p>
          <w:p w14:paraId="37A2316D" w14:textId="77777777" w:rsidR="009948F1" w:rsidRDefault="00BC0563">
            <w:pPr>
              <w:pStyle w:val="TableParagraph"/>
              <w:spacing w:before="7" w:line="167" w:lineRule="exact"/>
              <w:ind w:left="108"/>
              <w:rPr>
                <w:sz w:val="16"/>
              </w:rPr>
            </w:pPr>
            <w:r>
              <w:rPr>
                <w:color w:val="231F20"/>
                <w:w w:val="115"/>
                <w:sz w:val="16"/>
              </w:rPr>
              <w:t>women who received ART</w:t>
            </w:r>
          </w:p>
        </w:tc>
        <w:tc>
          <w:tcPr>
            <w:tcW w:w="1245" w:type="dxa"/>
            <w:tcBorders>
              <w:top w:val="single" w:sz="8" w:space="0" w:color="231F20"/>
              <w:left w:val="single" w:sz="8" w:space="0" w:color="231F20"/>
              <w:bottom w:val="single" w:sz="8" w:space="0" w:color="231F20"/>
              <w:right w:val="single" w:sz="8" w:space="0" w:color="231F20"/>
            </w:tcBorders>
          </w:tcPr>
          <w:p w14:paraId="644EF9F6" w14:textId="77777777" w:rsidR="009948F1" w:rsidRDefault="00BC0563">
            <w:pPr>
              <w:pStyle w:val="TableParagraph"/>
              <w:ind w:left="108"/>
              <w:rPr>
                <w:sz w:val="16"/>
              </w:rPr>
            </w:pPr>
            <w:r>
              <w:rPr>
                <w:color w:val="231F20"/>
                <w:w w:val="115"/>
                <w:sz w:val="16"/>
              </w:rPr>
              <w:t>10%</w:t>
            </w:r>
          </w:p>
        </w:tc>
        <w:tc>
          <w:tcPr>
            <w:tcW w:w="831" w:type="dxa"/>
            <w:tcBorders>
              <w:left w:val="single" w:sz="8" w:space="0" w:color="231F20"/>
            </w:tcBorders>
          </w:tcPr>
          <w:p w14:paraId="44D84AA1" w14:textId="77777777" w:rsidR="009948F1" w:rsidRDefault="00BC0563">
            <w:pPr>
              <w:pStyle w:val="TableParagraph"/>
              <w:ind w:left="108"/>
              <w:rPr>
                <w:sz w:val="16"/>
              </w:rPr>
            </w:pPr>
            <w:r>
              <w:rPr>
                <w:color w:val="231F20"/>
                <w:w w:val="115"/>
                <w:sz w:val="16"/>
              </w:rPr>
              <w:t>20%</w:t>
            </w:r>
          </w:p>
        </w:tc>
        <w:tc>
          <w:tcPr>
            <w:tcW w:w="831" w:type="dxa"/>
          </w:tcPr>
          <w:p w14:paraId="38B3CA6C" w14:textId="77777777" w:rsidR="009948F1" w:rsidRDefault="00BC0563">
            <w:pPr>
              <w:pStyle w:val="TableParagraph"/>
              <w:ind w:left="113"/>
              <w:rPr>
                <w:sz w:val="16"/>
              </w:rPr>
            </w:pPr>
            <w:r>
              <w:rPr>
                <w:color w:val="231F20"/>
                <w:w w:val="115"/>
                <w:sz w:val="16"/>
              </w:rPr>
              <w:t>30%</w:t>
            </w:r>
          </w:p>
        </w:tc>
        <w:tc>
          <w:tcPr>
            <w:tcW w:w="831" w:type="dxa"/>
          </w:tcPr>
          <w:p w14:paraId="64695318" w14:textId="77777777" w:rsidR="009948F1" w:rsidRDefault="00BC0563">
            <w:pPr>
              <w:pStyle w:val="TableParagraph"/>
              <w:ind w:left="112"/>
              <w:rPr>
                <w:sz w:val="16"/>
              </w:rPr>
            </w:pPr>
            <w:r>
              <w:rPr>
                <w:color w:val="231F20"/>
                <w:w w:val="115"/>
                <w:sz w:val="16"/>
              </w:rPr>
              <w:t>40%</w:t>
            </w:r>
          </w:p>
        </w:tc>
        <w:tc>
          <w:tcPr>
            <w:tcW w:w="968" w:type="dxa"/>
          </w:tcPr>
          <w:p w14:paraId="37A5B2F6" w14:textId="77777777" w:rsidR="009948F1" w:rsidRDefault="00BC0563">
            <w:pPr>
              <w:pStyle w:val="TableParagraph"/>
              <w:ind w:left="112"/>
              <w:rPr>
                <w:sz w:val="16"/>
              </w:rPr>
            </w:pPr>
            <w:r>
              <w:rPr>
                <w:color w:val="231F20"/>
                <w:w w:val="115"/>
                <w:sz w:val="16"/>
              </w:rPr>
              <w:t>50%</w:t>
            </w:r>
          </w:p>
        </w:tc>
        <w:tc>
          <w:tcPr>
            <w:tcW w:w="775" w:type="dxa"/>
          </w:tcPr>
          <w:p w14:paraId="6ACF48C7" w14:textId="77777777" w:rsidR="009948F1" w:rsidRDefault="00BC0563">
            <w:pPr>
              <w:pStyle w:val="TableParagraph"/>
              <w:ind w:left="112"/>
              <w:rPr>
                <w:sz w:val="16"/>
              </w:rPr>
            </w:pPr>
            <w:r>
              <w:rPr>
                <w:color w:val="231F20"/>
                <w:w w:val="115"/>
                <w:sz w:val="16"/>
              </w:rPr>
              <w:t>60%</w:t>
            </w:r>
          </w:p>
        </w:tc>
        <w:tc>
          <w:tcPr>
            <w:tcW w:w="1136" w:type="dxa"/>
          </w:tcPr>
          <w:p w14:paraId="2D27EA16" w14:textId="77777777" w:rsidR="009948F1" w:rsidRDefault="00BC0563">
            <w:pPr>
              <w:pStyle w:val="TableParagraph"/>
              <w:ind w:left="113"/>
              <w:rPr>
                <w:sz w:val="16"/>
              </w:rPr>
            </w:pPr>
            <w:r>
              <w:rPr>
                <w:color w:val="231F20"/>
                <w:w w:val="115"/>
                <w:sz w:val="16"/>
              </w:rPr>
              <w:t>66%</w:t>
            </w:r>
          </w:p>
        </w:tc>
      </w:tr>
    </w:tbl>
    <w:p w14:paraId="57AC6788" w14:textId="77777777" w:rsidR="009948F1" w:rsidRDefault="009948F1">
      <w:pPr>
        <w:pStyle w:val="BodyText"/>
        <w:spacing w:before="2"/>
        <w:rPr>
          <w:b/>
          <w:sz w:val="29"/>
        </w:rPr>
      </w:pPr>
    </w:p>
    <w:p w14:paraId="0C0CBBD4" w14:textId="77777777" w:rsidR="009948F1" w:rsidRDefault="00BC0563">
      <w:pPr>
        <w:pStyle w:val="Heading7"/>
        <w:ind w:left="128" w:right="8153"/>
        <w:jc w:val="center"/>
      </w:pPr>
      <w:r>
        <w:rPr>
          <w:color w:val="231F20"/>
        </w:rPr>
        <w:t>Interventions</w:t>
      </w:r>
    </w:p>
    <w:p w14:paraId="5F8E6B50" w14:textId="77777777" w:rsidR="009948F1" w:rsidRDefault="00BC0563">
      <w:pPr>
        <w:pStyle w:val="ListParagraph"/>
        <w:numPr>
          <w:ilvl w:val="3"/>
          <w:numId w:val="287"/>
        </w:numPr>
        <w:tabs>
          <w:tab w:val="left" w:pos="880"/>
        </w:tabs>
        <w:spacing w:before="23" w:line="261" w:lineRule="auto"/>
        <w:ind w:left="148" w:right="175" w:firstLine="0"/>
      </w:pPr>
      <w:r>
        <w:rPr>
          <w:color w:val="231F20"/>
        </w:rPr>
        <w:t>Expand</w:t>
      </w:r>
      <w:r>
        <w:rPr>
          <w:color w:val="231F20"/>
          <w:spacing w:val="-5"/>
        </w:rPr>
        <w:t xml:space="preserve"> </w:t>
      </w:r>
      <w:r>
        <w:rPr>
          <w:color w:val="231F20"/>
        </w:rPr>
        <w:t>access</w:t>
      </w:r>
      <w:r>
        <w:rPr>
          <w:color w:val="231F20"/>
          <w:spacing w:val="-4"/>
        </w:rPr>
        <w:t xml:space="preserve"> </w:t>
      </w:r>
      <w:r>
        <w:rPr>
          <w:color w:val="231F20"/>
        </w:rPr>
        <w:t>to</w:t>
      </w:r>
      <w:r>
        <w:rPr>
          <w:color w:val="231F20"/>
          <w:spacing w:val="-5"/>
        </w:rPr>
        <w:t xml:space="preserve"> </w:t>
      </w:r>
      <w:r>
        <w:rPr>
          <w:color w:val="231F20"/>
        </w:rPr>
        <w:t>Minimum</w:t>
      </w:r>
      <w:r>
        <w:rPr>
          <w:color w:val="231F20"/>
          <w:spacing w:val="-4"/>
        </w:rPr>
        <w:t xml:space="preserve"> </w:t>
      </w:r>
      <w:r>
        <w:rPr>
          <w:color w:val="231F20"/>
        </w:rPr>
        <w:t>Package</w:t>
      </w:r>
      <w:r>
        <w:rPr>
          <w:color w:val="231F20"/>
          <w:spacing w:val="-4"/>
        </w:rPr>
        <w:t xml:space="preserve"> </w:t>
      </w:r>
      <w:r>
        <w:rPr>
          <w:color w:val="231F20"/>
        </w:rPr>
        <w:t>of</w:t>
      </w:r>
      <w:r>
        <w:rPr>
          <w:color w:val="231F20"/>
          <w:spacing w:val="-5"/>
        </w:rPr>
        <w:t xml:space="preserve"> </w:t>
      </w:r>
      <w:r>
        <w:rPr>
          <w:color w:val="231F20"/>
        </w:rPr>
        <w:t>Preventive</w:t>
      </w:r>
      <w:r>
        <w:rPr>
          <w:color w:val="231F20"/>
          <w:spacing w:val="-4"/>
        </w:rPr>
        <w:t xml:space="preserve"> </w:t>
      </w:r>
      <w:r>
        <w:rPr>
          <w:color w:val="231F20"/>
        </w:rPr>
        <w:t>Interventions</w:t>
      </w:r>
      <w:r>
        <w:rPr>
          <w:color w:val="231F20"/>
          <w:spacing w:val="-4"/>
        </w:rPr>
        <w:t xml:space="preserve"> </w:t>
      </w:r>
      <w:r>
        <w:rPr>
          <w:color w:val="231F20"/>
        </w:rPr>
        <w:t>(MPPI)</w:t>
      </w:r>
      <w:r>
        <w:rPr>
          <w:color w:val="231F20"/>
          <w:spacing w:val="-5"/>
        </w:rPr>
        <w:t xml:space="preserve"> </w:t>
      </w:r>
      <w:r>
        <w:rPr>
          <w:color w:val="231F20"/>
        </w:rPr>
        <w:t>for</w:t>
      </w:r>
      <w:r>
        <w:rPr>
          <w:color w:val="231F20"/>
          <w:spacing w:val="-5"/>
        </w:rPr>
        <w:t xml:space="preserve"> </w:t>
      </w:r>
      <w:r>
        <w:rPr>
          <w:color w:val="231F20"/>
        </w:rPr>
        <w:t>HIV</w:t>
      </w:r>
      <w:r>
        <w:rPr>
          <w:color w:val="231F20"/>
          <w:spacing w:val="-5"/>
        </w:rPr>
        <w:t xml:space="preserve"> </w:t>
      </w:r>
      <w:r>
        <w:rPr>
          <w:color w:val="231F20"/>
        </w:rPr>
        <w:t>targeting key</w:t>
      </w:r>
      <w:r>
        <w:rPr>
          <w:color w:val="231F20"/>
          <w:spacing w:val="-15"/>
        </w:rPr>
        <w:t xml:space="preserve"> </w:t>
      </w:r>
      <w:r>
        <w:rPr>
          <w:color w:val="231F20"/>
        </w:rPr>
        <w:t>and</w:t>
      </w:r>
      <w:r>
        <w:rPr>
          <w:color w:val="231F20"/>
          <w:spacing w:val="-14"/>
        </w:rPr>
        <w:t xml:space="preserve"> </w:t>
      </w:r>
      <w:r>
        <w:rPr>
          <w:color w:val="231F20"/>
        </w:rPr>
        <w:t>general</w:t>
      </w:r>
      <w:r>
        <w:rPr>
          <w:color w:val="231F20"/>
          <w:spacing w:val="-14"/>
        </w:rPr>
        <w:t xml:space="preserve"> </w:t>
      </w:r>
      <w:r>
        <w:rPr>
          <w:color w:val="231F20"/>
        </w:rPr>
        <w:t>populations.</w:t>
      </w:r>
      <w:r>
        <w:rPr>
          <w:color w:val="231F20"/>
          <w:spacing w:val="-14"/>
        </w:rPr>
        <w:t xml:space="preserve"> </w:t>
      </w:r>
      <w:r>
        <w:rPr>
          <w:color w:val="231F20"/>
        </w:rPr>
        <w:t>Key</w:t>
      </w:r>
      <w:r>
        <w:rPr>
          <w:color w:val="231F20"/>
          <w:spacing w:val="-14"/>
        </w:rPr>
        <w:t xml:space="preserve"> </w:t>
      </w:r>
      <w:r>
        <w:rPr>
          <w:color w:val="231F20"/>
        </w:rPr>
        <w:t>actions</w:t>
      </w:r>
      <w:r>
        <w:rPr>
          <w:color w:val="231F20"/>
          <w:spacing w:val="-14"/>
        </w:rPr>
        <w:t xml:space="preserve"> </w:t>
      </w:r>
      <w:r>
        <w:rPr>
          <w:color w:val="231F20"/>
        </w:rPr>
        <w:t>include;</w:t>
      </w:r>
      <w:r>
        <w:rPr>
          <w:color w:val="231F20"/>
          <w:spacing w:val="-14"/>
        </w:rPr>
        <w:t xml:space="preserve"> </w:t>
      </w:r>
      <w:r>
        <w:rPr>
          <w:color w:val="231F20"/>
        </w:rPr>
        <w:t>-</w:t>
      </w:r>
      <w:r>
        <w:rPr>
          <w:color w:val="231F20"/>
          <w:spacing w:val="-14"/>
        </w:rPr>
        <w:t xml:space="preserve"> </w:t>
      </w:r>
      <w:r>
        <w:rPr>
          <w:color w:val="231F20"/>
        </w:rPr>
        <w:t>Conduct</w:t>
      </w:r>
      <w:r>
        <w:rPr>
          <w:color w:val="231F20"/>
          <w:spacing w:val="-14"/>
        </w:rPr>
        <w:t xml:space="preserve"> </w:t>
      </w:r>
      <w:r>
        <w:rPr>
          <w:color w:val="231F20"/>
        </w:rPr>
        <w:t>HTS/</w:t>
      </w:r>
      <w:r>
        <w:rPr>
          <w:color w:val="231F20"/>
          <w:spacing w:val="-14"/>
        </w:rPr>
        <w:t xml:space="preserve"> </w:t>
      </w:r>
      <w:r>
        <w:rPr>
          <w:color w:val="231F20"/>
        </w:rPr>
        <w:t>PMTCT</w:t>
      </w:r>
      <w:r>
        <w:rPr>
          <w:color w:val="231F20"/>
          <w:spacing w:val="-18"/>
        </w:rPr>
        <w:t xml:space="preserve"> </w:t>
      </w:r>
      <w:r>
        <w:rPr>
          <w:color w:val="231F20"/>
        </w:rPr>
        <w:t>in</w:t>
      </w:r>
      <w:r>
        <w:rPr>
          <w:color w:val="231F20"/>
          <w:spacing w:val="-15"/>
        </w:rPr>
        <w:t xml:space="preserve"> </w:t>
      </w:r>
      <w:r>
        <w:rPr>
          <w:color w:val="231F20"/>
        </w:rPr>
        <w:t>PHC</w:t>
      </w:r>
      <w:r>
        <w:rPr>
          <w:color w:val="231F20"/>
          <w:spacing w:val="-14"/>
        </w:rPr>
        <w:t xml:space="preserve"> </w:t>
      </w:r>
      <w:r>
        <w:rPr>
          <w:color w:val="231F20"/>
        </w:rPr>
        <w:t>facilities</w:t>
      </w:r>
      <w:r>
        <w:rPr>
          <w:color w:val="231F20"/>
          <w:spacing w:val="-14"/>
        </w:rPr>
        <w:t xml:space="preserve"> </w:t>
      </w:r>
      <w:r>
        <w:rPr>
          <w:color w:val="231F20"/>
        </w:rPr>
        <w:t>at</w:t>
      </w:r>
      <w:r>
        <w:rPr>
          <w:color w:val="231F20"/>
          <w:spacing w:val="-26"/>
        </w:rPr>
        <w:t xml:space="preserve"> </w:t>
      </w:r>
      <w:r>
        <w:rPr>
          <w:color w:val="231F20"/>
        </w:rPr>
        <w:t>ANC clinics in 23 LGAs; Engage TBA / private health facilities to provide PMTCT/HTS services in 23 LGAs;</w:t>
      </w:r>
      <w:r>
        <w:rPr>
          <w:color w:val="231F20"/>
          <w:spacing w:val="-18"/>
        </w:rPr>
        <w:t xml:space="preserve"> </w:t>
      </w:r>
      <w:r>
        <w:rPr>
          <w:color w:val="231F20"/>
        </w:rPr>
        <w:t>Conduct</w:t>
      </w:r>
      <w:r>
        <w:rPr>
          <w:color w:val="231F20"/>
          <w:spacing w:val="-17"/>
        </w:rPr>
        <w:t xml:space="preserve"> </w:t>
      </w:r>
      <w:r>
        <w:rPr>
          <w:color w:val="231F20"/>
        </w:rPr>
        <w:t>HTS</w:t>
      </w:r>
      <w:r>
        <w:rPr>
          <w:color w:val="231F20"/>
          <w:spacing w:val="-17"/>
        </w:rPr>
        <w:t xml:space="preserve"> </w:t>
      </w:r>
      <w:r>
        <w:rPr>
          <w:color w:val="231F20"/>
        </w:rPr>
        <w:t>in</w:t>
      </w:r>
      <w:r>
        <w:rPr>
          <w:color w:val="231F20"/>
          <w:spacing w:val="-17"/>
        </w:rPr>
        <w:t xml:space="preserve"> </w:t>
      </w:r>
      <w:r>
        <w:rPr>
          <w:color w:val="231F20"/>
        </w:rPr>
        <w:t>communities</w:t>
      </w:r>
      <w:r>
        <w:rPr>
          <w:color w:val="231F20"/>
          <w:spacing w:val="-17"/>
        </w:rPr>
        <w:t xml:space="preserve"> </w:t>
      </w:r>
      <w:r>
        <w:rPr>
          <w:color w:val="231F20"/>
        </w:rPr>
        <w:t>in</w:t>
      </w:r>
      <w:r>
        <w:rPr>
          <w:color w:val="231F20"/>
          <w:spacing w:val="-17"/>
        </w:rPr>
        <w:t xml:space="preserve"> </w:t>
      </w:r>
      <w:r>
        <w:rPr>
          <w:color w:val="231F20"/>
        </w:rPr>
        <w:t>23</w:t>
      </w:r>
      <w:r>
        <w:rPr>
          <w:color w:val="231F20"/>
          <w:spacing w:val="-17"/>
        </w:rPr>
        <w:t xml:space="preserve"> </w:t>
      </w:r>
      <w:r>
        <w:rPr>
          <w:color w:val="231F20"/>
        </w:rPr>
        <w:t>LGAs;</w:t>
      </w:r>
      <w:r>
        <w:rPr>
          <w:color w:val="231F20"/>
          <w:spacing w:val="-17"/>
        </w:rPr>
        <w:t xml:space="preserve"> </w:t>
      </w:r>
      <w:r>
        <w:rPr>
          <w:color w:val="231F20"/>
        </w:rPr>
        <w:t>Carry</w:t>
      </w:r>
      <w:r>
        <w:rPr>
          <w:color w:val="231F20"/>
          <w:spacing w:val="-17"/>
        </w:rPr>
        <w:t xml:space="preserve"> </w:t>
      </w:r>
      <w:r>
        <w:rPr>
          <w:color w:val="231F20"/>
        </w:rPr>
        <w:t>out</w:t>
      </w:r>
      <w:r>
        <w:rPr>
          <w:color w:val="231F20"/>
          <w:spacing w:val="-17"/>
        </w:rPr>
        <w:t xml:space="preserve"> </w:t>
      </w:r>
      <w:r>
        <w:rPr>
          <w:color w:val="231F20"/>
        </w:rPr>
        <w:t>advocacy</w:t>
      </w:r>
      <w:r>
        <w:rPr>
          <w:color w:val="231F20"/>
          <w:spacing w:val="-17"/>
        </w:rPr>
        <w:t xml:space="preserve"> </w:t>
      </w:r>
      <w:r>
        <w:rPr>
          <w:color w:val="231F20"/>
        </w:rPr>
        <w:t>visit</w:t>
      </w:r>
      <w:r>
        <w:rPr>
          <w:color w:val="231F20"/>
          <w:spacing w:val="-17"/>
        </w:rPr>
        <w:t xml:space="preserve"> </w:t>
      </w:r>
      <w:r>
        <w:rPr>
          <w:color w:val="231F20"/>
        </w:rPr>
        <w:t>to</w:t>
      </w:r>
      <w:r>
        <w:rPr>
          <w:color w:val="231F20"/>
          <w:spacing w:val="-17"/>
        </w:rPr>
        <w:t xml:space="preserve"> </w:t>
      </w:r>
      <w:r>
        <w:rPr>
          <w:color w:val="231F20"/>
        </w:rPr>
        <w:t>CBO</w:t>
      </w:r>
      <w:r>
        <w:rPr>
          <w:color w:val="231F20"/>
          <w:spacing w:val="-17"/>
        </w:rPr>
        <w:t xml:space="preserve"> </w:t>
      </w:r>
      <w:r>
        <w:rPr>
          <w:color w:val="231F20"/>
        </w:rPr>
        <w:t>to</w:t>
      </w:r>
      <w:r>
        <w:rPr>
          <w:color w:val="231F20"/>
          <w:spacing w:val="-17"/>
        </w:rPr>
        <w:t xml:space="preserve"> </w:t>
      </w:r>
      <w:r>
        <w:rPr>
          <w:color w:val="231F20"/>
        </w:rPr>
        <w:t>link</w:t>
      </w:r>
      <w:r>
        <w:rPr>
          <w:color w:val="231F20"/>
          <w:spacing w:val="-17"/>
        </w:rPr>
        <w:t xml:space="preserve"> </w:t>
      </w:r>
      <w:r>
        <w:rPr>
          <w:color w:val="231F20"/>
        </w:rPr>
        <w:t>with</w:t>
      </w:r>
      <w:r>
        <w:rPr>
          <w:color w:val="231F20"/>
          <w:spacing w:val="-17"/>
        </w:rPr>
        <w:t xml:space="preserve"> </w:t>
      </w:r>
      <w:r>
        <w:rPr>
          <w:color w:val="231F20"/>
        </w:rPr>
        <w:t>health facilities</w:t>
      </w:r>
      <w:r>
        <w:rPr>
          <w:color w:val="231F20"/>
          <w:spacing w:val="-25"/>
        </w:rPr>
        <w:t xml:space="preserve"> </w:t>
      </w:r>
      <w:r>
        <w:rPr>
          <w:color w:val="231F20"/>
        </w:rPr>
        <w:t>to</w:t>
      </w:r>
      <w:r>
        <w:rPr>
          <w:color w:val="231F20"/>
          <w:spacing w:val="-25"/>
        </w:rPr>
        <w:t xml:space="preserve"> </w:t>
      </w:r>
      <w:r>
        <w:rPr>
          <w:color w:val="231F20"/>
        </w:rPr>
        <w:t>promote</w:t>
      </w:r>
      <w:r>
        <w:rPr>
          <w:color w:val="231F20"/>
          <w:spacing w:val="-26"/>
        </w:rPr>
        <w:t xml:space="preserve"> </w:t>
      </w:r>
      <w:r>
        <w:rPr>
          <w:color w:val="231F20"/>
        </w:rPr>
        <w:t>client</w:t>
      </w:r>
      <w:r>
        <w:rPr>
          <w:color w:val="231F20"/>
          <w:spacing w:val="-25"/>
        </w:rPr>
        <w:t xml:space="preserve"> </w:t>
      </w:r>
      <w:r>
        <w:rPr>
          <w:color w:val="231F20"/>
        </w:rPr>
        <w:t>tracking</w:t>
      </w:r>
      <w:r>
        <w:rPr>
          <w:color w:val="231F20"/>
          <w:spacing w:val="-25"/>
        </w:rPr>
        <w:t xml:space="preserve"> </w:t>
      </w:r>
      <w:r>
        <w:rPr>
          <w:color w:val="231F20"/>
        </w:rPr>
        <w:t>in</w:t>
      </w:r>
      <w:r>
        <w:rPr>
          <w:color w:val="231F20"/>
          <w:spacing w:val="-25"/>
        </w:rPr>
        <w:t xml:space="preserve"> </w:t>
      </w:r>
      <w:r>
        <w:rPr>
          <w:color w:val="231F20"/>
        </w:rPr>
        <w:t>all</w:t>
      </w:r>
      <w:r>
        <w:rPr>
          <w:color w:val="231F20"/>
          <w:spacing w:val="-25"/>
        </w:rPr>
        <w:t xml:space="preserve"> </w:t>
      </w:r>
      <w:r>
        <w:rPr>
          <w:color w:val="231F20"/>
        </w:rPr>
        <w:t>PHC.</w:t>
      </w:r>
    </w:p>
    <w:p w14:paraId="75B7B7D9" w14:textId="77777777" w:rsidR="009948F1" w:rsidRDefault="009948F1">
      <w:pPr>
        <w:pStyle w:val="BodyText"/>
        <w:spacing w:before="1"/>
        <w:rPr>
          <w:sz w:val="24"/>
        </w:rPr>
      </w:pPr>
    </w:p>
    <w:p w14:paraId="2414ED3B" w14:textId="77777777" w:rsidR="009948F1" w:rsidRDefault="00BC0563">
      <w:pPr>
        <w:pStyle w:val="ListParagraph"/>
        <w:numPr>
          <w:ilvl w:val="3"/>
          <w:numId w:val="287"/>
        </w:numPr>
        <w:tabs>
          <w:tab w:val="left" w:pos="888"/>
        </w:tabs>
        <w:spacing w:before="1" w:line="261" w:lineRule="auto"/>
        <w:ind w:left="148" w:right="176" w:firstLine="0"/>
      </w:pPr>
      <w:r>
        <w:rPr>
          <w:color w:val="231F20"/>
        </w:rPr>
        <w:t xml:space="preserve">Expand access of people living with HIV and AIDS to ART and co-infection management services. Key actions </w:t>
      </w:r>
      <w:proofErr w:type="gramStart"/>
      <w:r>
        <w:rPr>
          <w:color w:val="231F20"/>
        </w:rPr>
        <w:t>include;</w:t>
      </w:r>
      <w:proofErr w:type="gramEnd"/>
      <w:r>
        <w:rPr>
          <w:color w:val="231F20"/>
        </w:rPr>
        <w:t xml:space="preserve"> - Activate inactive ART sites in PHC facilities in 23 LGAs and train Health workers; Activate inactive PMTCT/HTS sites &amp; train Health workers; Conduct supportive supervisory visits to PHC facilities in 23 LGAs; Conduct DQA to PMTCT/HTS/ART in PHC in </w:t>
      </w:r>
      <w:r>
        <w:rPr>
          <w:color w:val="231F20"/>
          <w:spacing w:val="-6"/>
        </w:rPr>
        <w:t xml:space="preserve">23 </w:t>
      </w:r>
      <w:r>
        <w:rPr>
          <w:color w:val="231F20"/>
        </w:rPr>
        <w:t>LGAs.</w:t>
      </w:r>
    </w:p>
    <w:p w14:paraId="51DDAB67" w14:textId="77777777" w:rsidR="009948F1" w:rsidRDefault="009948F1">
      <w:pPr>
        <w:pStyle w:val="BodyText"/>
        <w:spacing w:before="1"/>
        <w:rPr>
          <w:sz w:val="24"/>
        </w:rPr>
      </w:pPr>
    </w:p>
    <w:p w14:paraId="40056662" w14:textId="77777777" w:rsidR="009948F1" w:rsidRDefault="00BC0563">
      <w:pPr>
        <w:pStyle w:val="ListParagraph"/>
        <w:numPr>
          <w:ilvl w:val="3"/>
          <w:numId w:val="287"/>
        </w:numPr>
        <w:tabs>
          <w:tab w:val="left" w:pos="903"/>
        </w:tabs>
        <w:spacing w:line="261" w:lineRule="auto"/>
        <w:ind w:left="147" w:right="176" w:firstLine="0"/>
      </w:pPr>
      <w:r>
        <w:rPr>
          <w:color w:val="231F20"/>
        </w:rPr>
        <w:t xml:space="preserve">Promote universal access to quality PMTCT services. Key actions include; </w:t>
      </w:r>
      <w:r>
        <w:rPr>
          <w:color w:val="231F20"/>
          <w:spacing w:val="-3"/>
        </w:rPr>
        <w:t xml:space="preserve">–Train/build </w:t>
      </w:r>
      <w:r>
        <w:rPr>
          <w:color w:val="231F20"/>
        </w:rPr>
        <w:t>capacity of health workers on the implementation of HTS / PMTCT (</w:t>
      </w:r>
      <w:proofErr w:type="spellStart"/>
      <w:r>
        <w:rPr>
          <w:color w:val="231F20"/>
        </w:rPr>
        <w:t>Paediatric</w:t>
      </w:r>
      <w:proofErr w:type="spellEnd"/>
      <w:r>
        <w:rPr>
          <w:color w:val="231F20"/>
        </w:rPr>
        <w:t xml:space="preserve"> diagnosis (EID); Conduct trainings/capacity building for HIV Desk officers in 23 LGAs; Conduct regular review meetings</w:t>
      </w:r>
      <w:r>
        <w:rPr>
          <w:color w:val="231F20"/>
          <w:spacing w:val="-17"/>
        </w:rPr>
        <w:t xml:space="preserve"> </w:t>
      </w:r>
      <w:r>
        <w:rPr>
          <w:color w:val="231F20"/>
        </w:rPr>
        <w:t>of</w:t>
      </w:r>
      <w:r>
        <w:rPr>
          <w:color w:val="231F20"/>
          <w:spacing w:val="-16"/>
        </w:rPr>
        <w:t xml:space="preserve"> </w:t>
      </w:r>
      <w:r>
        <w:rPr>
          <w:color w:val="231F20"/>
        </w:rPr>
        <w:t>HIV</w:t>
      </w:r>
      <w:r>
        <w:rPr>
          <w:color w:val="231F20"/>
          <w:spacing w:val="-17"/>
        </w:rPr>
        <w:t xml:space="preserve"> </w:t>
      </w:r>
      <w:r>
        <w:rPr>
          <w:color w:val="231F20"/>
        </w:rPr>
        <w:t>desk</w:t>
      </w:r>
      <w:r>
        <w:rPr>
          <w:color w:val="231F20"/>
          <w:spacing w:val="-16"/>
        </w:rPr>
        <w:t xml:space="preserve"> </w:t>
      </w:r>
      <w:r>
        <w:rPr>
          <w:color w:val="231F20"/>
        </w:rPr>
        <w:t>officers</w:t>
      </w:r>
      <w:r>
        <w:rPr>
          <w:color w:val="231F20"/>
          <w:spacing w:val="-16"/>
        </w:rPr>
        <w:t xml:space="preserve"> </w:t>
      </w:r>
      <w:r>
        <w:rPr>
          <w:color w:val="231F20"/>
        </w:rPr>
        <w:t>and</w:t>
      </w:r>
      <w:r>
        <w:rPr>
          <w:color w:val="231F20"/>
          <w:spacing w:val="-17"/>
        </w:rPr>
        <w:t xml:space="preserve"> </w:t>
      </w:r>
      <w:r>
        <w:rPr>
          <w:color w:val="231F20"/>
        </w:rPr>
        <w:t>stakeholders</w:t>
      </w:r>
      <w:r>
        <w:rPr>
          <w:color w:val="231F20"/>
          <w:spacing w:val="-16"/>
        </w:rPr>
        <w:t xml:space="preserve"> </w:t>
      </w:r>
      <w:r>
        <w:rPr>
          <w:color w:val="231F20"/>
        </w:rPr>
        <w:t>on</w:t>
      </w:r>
      <w:r>
        <w:rPr>
          <w:color w:val="231F20"/>
          <w:spacing w:val="-16"/>
        </w:rPr>
        <w:t xml:space="preserve"> </w:t>
      </w:r>
      <w:r>
        <w:rPr>
          <w:color w:val="231F20"/>
        </w:rPr>
        <w:t>data</w:t>
      </w:r>
      <w:r>
        <w:rPr>
          <w:color w:val="231F20"/>
          <w:spacing w:val="-17"/>
        </w:rPr>
        <w:t xml:space="preserve"> </w:t>
      </w:r>
      <w:r>
        <w:rPr>
          <w:color w:val="231F20"/>
        </w:rPr>
        <w:t>harmonization</w:t>
      </w:r>
      <w:r>
        <w:rPr>
          <w:color w:val="231F20"/>
          <w:spacing w:val="-16"/>
        </w:rPr>
        <w:t xml:space="preserve"> </w:t>
      </w:r>
      <w:r>
        <w:rPr>
          <w:color w:val="231F20"/>
        </w:rPr>
        <w:t>in</w:t>
      </w:r>
      <w:r>
        <w:rPr>
          <w:color w:val="231F20"/>
          <w:spacing w:val="-16"/>
        </w:rPr>
        <w:t xml:space="preserve"> </w:t>
      </w:r>
      <w:r>
        <w:rPr>
          <w:color w:val="231F20"/>
        </w:rPr>
        <w:t>the</w:t>
      </w:r>
      <w:r>
        <w:rPr>
          <w:color w:val="231F20"/>
          <w:spacing w:val="-17"/>
        </w:rPr>
        <w:t xml:space="preserve"> </w:t>
      </w:r>
      <w:r>
        <w:rPr>
          <w:color w:val="231F20"/>
        </w:rPr>
        <w:t>state</w:t>
      </w:r>
      <w:r>
        <w:rPr>
          <w:color w:val="231F20"/>
          <w:spacing w:val="-16"/>
        </w:rPr>
        <w:t xml:space="preserve"> </w:t>
      </w:r>
      <w:r>
        <w:rPr>
          <w:color w:val="231F20"/>
        </w:rPr>
        <w:t>(Expand</w:t>
      </w:r>
      <w:r>
        <w:rPr>
          <w:color w:val="231F20"/>
          <w:spacing w:val="-17"/>
        </w:rPr>
        <w:t xml:space="preserve"> </w:t>
      </w:r>
      <w:r>
        <w:rPr>
          <w:color w:val="231F20"/>
        </w:rPr>
        <w:t>access of</w:t>
      </w:r>
      <w:r>
        <w:rPr>
          <w:color w:val="231F20"/>
          <w:spacing w:val="-17"/>
        </w:rPr>
        <w:t xml:space="preserve"> </w:t>
      </w:r>
      <w:r>
        <w:rPr>
          <w:color w:val="231F20"/>
        </w:rPr>
        <w:t>pregnant</w:t>
      </w:r>
      <w:r>
        <w:rPr>
          <w:color w:val="231F20"/>
          <w:spacing w:val="-17"/>
        </w:rPr>
        <w:t xml:space="preserve"> </w:t>
      </w:r>
      <w:r>
        <w:rPr>
          <w:color w:val="231F20"/>
        </w:rPr>
        <w:t>women</w:t>
      </w:r>
      <w:r>
        <w:rPr>
          <w:color w:val="231F20"/>
          <w:spacing w:val="-17"/>
        </w:rPr>
        <w:t xml:space="preserve"> </w:t>
      </w:r>
      <w:r>
        <w:rPr>
          <w:color w:val="231F20"/>
        </w:rPr>
        <w:t>to</w:t>
      </w:r>
      <w:r>
        <w:rPr>
          <w:color w:val="231F20"/>
          <w:spacing w:val="-17"/>
        </w:rPr>
        <w:t xml:space="preserve"> </w:t>
      </w:r>
      <w:r>
        <w:rPr>
          <w:color w:val="231F20"/>
        </w:rPr>
        <w:t>testing</w:t>
      </w:r>
      <w:r>
        <w:rPr>
          <w:color w:val="231F20"/>
          <w:spacing w:val="-17"/>
        </w:rPr>
        <w:t xml:space="preserve"> </w:t>
      </w:r>
      <w:r>
        <w:rPr>
          <w:color w:val="231F20"/>
        </w:rPr>
        <w:t>and</w:t>
      </w:r>
      <w:r>
        <w:rPr>
          <w:color w:val="231F20"/>
          <w:spacing w:val="-30"/>
        </w:rPr>
        <w:t xml:space="preserve"> </w:t>
      </w:r>
      <w:r>
        <w:rPr>
          <w:color w:val="231F20"/>
        </w:rPr>
        <w:t>ART</w:t>
      </w:r>
      <w:r>
        <w:rPr>
          <w:color w:val="231F20"/>
          <w:spacing w:val="-21"/>
        </w:rPr>
        <w:t xml:space="preserve"> </w:t>
      </w:r>
      <w:r>
        <w:rPr>
          <w:color w:val="231F20"/>
        </w:rPr>
        <w:t>for</w:t>
      </w:r>
      <w:r>
        <w:rPr>
          <w:color w:val="231F20"/>
          <w:spacing w:val="-17"/>
        </w:rPr>
        <w:t xml:space="preserve"> </w:t>
      </w:r>
      <w:r>
        <w:rPr>
          <w:color w:val="231F20"/>
        </w:rPr>
        <w:t>pregnant</w:t>
      </w:r>
      <w:r>
        <w:rPr>
          <w:color w:val="231F20"/>
          <w:spacing w:val="-16"/>
        </w:rPr>
        <w:t xml:space="preserve"> </w:t>
      </w:r>
      <w:r>
        <w:rPr>
          <w:color w:val="231F20"/>
        </w:rPr>
        <w:t>women</w:t>
      </w:r>
      <w:r>
        <w:rPr>
          <w:color w:val="231F20"/>
          <w:spacing w:val="-17"/>
        </w:rPr>
        <w:t xml:space="preserve"> </w:t>
      </w:r>
      <w:r>
        <w:rPr>
          <w:color w:val="231F20"/>
        </w:rPr>
        <w:t>exposed</w:t>
      </w:r>
      <w:r>
        <w:rPr>
          <w:color w:val="231F20"/>
          <w:spacing w:val="-17"/>
        </w:rPr>
        <w:t xml:space="preserve"> </w:t>
      </w:r>
      <w:r>
        <w:rPr>
          <w:color w:val="231F20"/>
        </w:rPr>
        <w:t>infants</w:t>
      </w:r>
      <w:r>
        <w:rPr>
          <w:color w:val="231F20"/>
          <w:spacing w:val="-17"/>
        </w:rPr>
        <w:t xml:space="preserve"> </w:t>
      </w:r>
      <w:r>
        <w:rPr>
          <w:color w:val="231F20"/>
        </w:rPr>
        <w:t>to</w:t>
      </w:r>
      <w:r>
        <w:rPr>
          <w:color w:val="231F20"/>
          <w:spacing w:val="-17"/>
        </w:rPr>
        <w:t xml:space="preserve"> </w:t>
      </w:r>
      <w:r>
        <w:rPr>
          <w:color w:val="231F20"/>
        </w:rPr>
        <w:t>diagnosis);</w:t>
      </w:r>
      <w:r>
        <w:rPr>
          <w:color w:val="231F20"/>
          <w:spacing w:val="-17"/>
        </w:rPr>
        <w:t xml:space="preserve"> </w:t>
      </w:r>
      <w:r>
        <w:rPr>
          <w:color w:val="231F20"/>
          <w:spacing w:val="-3"/>
        </w:rPr>
        <w:t xml:space="preserve">Conduct </w:t>
      </w:r>
      <w:r>
        <w:rPr>
          <w:color w:val="231F20"/>
        </w:rPr>
        <w:t>enlightenment</w:t>
      </w:r>
      <w:r>
        <w:rPr>
          <w:color w:val="231F20"/>
          <w:spacing w:val="-17"/>
        </w:rPr>
        <w:t xml:space="preserve"> </w:t>
      </w:r>
      <w:r>
        <w:rPr>
          <w:color w:val="231F20"/>
        </w:rPr>
        <w:t>and</w:t>
      </w:r>
      <w:r>
        <w:rPr>
          <w:color w:val="231F20"/>
          <w:spacing w:val="-17"/>
        </w:rPr>
        <w:t xml:space="preserve"> </w:t>
      </w:r>
      <w:r>
        <w:rPr>
          <w:color w:val="231F20"/>
        </w:rPr>
        <w:t>orientation</w:t>
      </w:r>
      <w:r>
        <w:rPr>
          <w:color w:val="231F20"/>
          <w:spacing w:val="-16"/>
        </w:rPr>
        <w:t xml:space="preserve"> </w:t>
      </w:r>
      <w:r>
        <w:rPr>
          <w:color w:val="231F20"/>
        </w:rPr>
        <w:t>activities</w:t>
      </w:r>
      <w:r>
        <w:rPr>
          <w:color w:val="231F20"/>
          <w:spacing w:val="-17"/>
        </w:rPr>
        <w:t xml:space="preserve"> </w:t>
      </w:r>
      <w:r>
        <w:rPr>
          <w:color w:val="231F20"/>
        </w:rPr>
        <w:t>on</w:t>
      </w:r>
      <w:r>
        <w:rPr>
          <w:color w:val="231F20"/>
          <w:spacing w:val="-17"/>
        </w:rPr>
        <w:t xml:space="preserve"> </w:t>
      </w:r>
      <w:r>
        <w:rPr>
          <w:color w:val="231F20"/>
        </w:rPr>
        <w:t>PMTCT</w:t>
      </w:r>
      <w:r>
        <w:rPr>
          <w:color w:val="231F20"/>
          <w:spacing w:val="-20"/>
        </w:rPr>
        <w:t xml:space="preserve"> </w:t>
      </w:r>
      <w:r>
        <w:rPr>
          <w:color w:val="231F20"/>
        </w:rPr>
        <w:t>in</w:t>
      </w:r>
      <w:r>
        <w:rPr>
          <w:color w:val="231F20"/>
          <w:spacing w:val="-30"/>
        </w:rPr>
        <w:t xml:space="preserve"> </w:t>
      </w:r>
      <w:r>
        <w:rPr>
          <w:color w:val="231F20"/>
        </w:rPr>
        <w:t>ANCs</w:t>
      </w:r>
      <w:r>
        <w:rPr>
          <w:color w:val="231F20"/>
          <w:spacing w:val="-16"/>
        </w:rPr>
        <w:t xml:space="preserve"> </w:t>
      </w:r>
      <w:r>
        <w:rPr>
          <w:color w:val="231F20"/>
          <w:spacing w:val="-4"/>
        </w:rPr>
        <w:t>(Testing</w:t>
      </w:r>
      <w:r>
        <w:rPr>
          <w:color w:val="231F20"/>
          <w:spacing w:val="-17"/>
        </w:rPr>
        <w:t xml:space="preserve"> </w:t>
      </w:r>
      <w:r>
        <w:rPr>
          <w:color w:val="231F20"/>
        </w:rPr>
        <w:t>of</w:t>
      </w:r>
      <w:r>
        <w:rPr>
          <w:color w:val="231F20"/>
          <w:spacing w:val="-17"/>
        </w:rPr>
        <w:t xml:space="preserve"> </w:t>
      </w:r>
      <w:r>
        <w:rPr>
          <w:color w:val="231F20"/>
        </w:rPr>
        <w:t>pregnant</w:t>
      </w:r>
      <w:r>
        <w:rPr>
          <w:color w:val="231F20"/>
          <w:spacing w:val="-16"/>
        </w:rPr>
        <w:t xml:space="preserve"> </w:t>
      </w:r>
      <w:r>
        <w:rPr>
          <w:color w:val="231F20"/>
        </w:rPr>
        <w:t>women);</w:t>
      </w:r>
      <w:r>
        <w:rPr>
          <w:color w:val="231F20"/>
          <w:spacing w:val="-17"/>
        </w:rPr>
        <w:t xml:space="preserve"> </w:t>
      </w:r>
      <w:r>
        <w:rPr>
          <w:color w:val="231F20"/>
        </w:rPr>
        <w:t>Conduct HIV</w:t>
      </w:r>
      <w:r>
        <w:rPr>
          <w:color w:val="231F20"/>
          <w:spacing w:val="-26"/>
        </w:rPr>
        <w:t xml:space="preserve"> </w:t>
      </w:r>
      <w:r>
        <w:rPr>
          <w:color w:val="231F20"/>
        </w:rPr>
        <w:t>awareness</w:t>
      </w:r>
      <w:r>
        <w:rPr>
          <w:color w:val="231F20"/>
          <w:spacing w:val="-25"/>
        </w:rPr>
        <w:t xml:space="preserve"> </w:t>
      </w:r>
      <w:r>
        <w:rPr>
          <w:color w:val="231F20"/>
        </w:rPr>
        <w:t>campaign</w:t>
      </w:r>
      <w:r>
        <w:rPr>
          <w:color w:val="231F20"/>
          <w:spacing w:val="-25"/>
        </w:rPr>
        <w:t xml:space="preserve"> </w:t>
      </w:r>
      <w:r>
        <w:rPr>
          <w:color w:val="231F20"/>
        </w:rPr>
        <w:t>for</w:t>
      </w:r>
      <w:r>
        <w:rPr>
          <w:color w:val="231F20"/>
          <w:spacing w:val="-25"/>
        </w:rPr>
        <w:t xml:space="preserve"> </w:t>
      </w:r>
      <w:r>
        <w:rPr>
          <w:color w:val="231F20"/>
        </w:rPr>
        <w:t>adolescents</w:t>
      </w:r>
      <w:r>
        <w:rPr>
          <w:color w:val="231F20"/>
          <w:spacing w:val="-25"/>
        </w:rPr>
        <w:t xml:space="preserve"> </w:t>
      </w:r>
      <w:r>
        <w:rPr>
          <w:color w:val="231F20"/>
        </w:rPr>
        <w:t>in</w:t>
      </w:r>
      <w:r>
        <w:rPr>
          <w:color w:val="231F20"/>
          <w:spacing w:val="-25"/>
        </w:rPr>
        <w:t xml:space="preserve"> </w:t>
      </w:r>
      <w:r>
        <w:rPr>
          <w:color w:val="231F20"/>
        </w:rPr>
        <w:t>secondary</w:t>
      </w:r>
      <w:r>
        <w:rPr>
          <w:color w:val="231F20"/>
          <w:spacing w:val="-25"/>
        </w:rPr>
        <w:t xml:space="preserve"> </w:t>
      </w:r>
      <w:r>
        <w:rPr>
          <w:color w:val="231F20"/>
        </w:rPr>
        <w:t>schools</w:t>
      </w:r>
      <w:r>
        <w:rPr>
          <w:color w:val="231F20"/>
          <w:spacing w:val="-25"/>
        </w:rPr>
        <w:t xml:space="preserve"> </w:t>
      </w:r>
      <w:r>
        <w:rPr>
          <w:color w:val="231F20"/>
        </w:rPr>
        <w:t>in</w:t>
      </w:r>
      <w:r>
        <w:rPr>
          <w:color w:val="231F20"/>
          <w:spacing w:val="-25"/>
        </w:rPr>
        <w:t xml:space="preserve"> </w:t>
      </w:r>
      <w:r>
        <w:rPr>
          <w:color w:val="231F20"/>
        </w:rPr>
        <w:t>23</w:t>
      </w:r>
      <w:r>
        <w:rPr>
          <w:color w:val="231F20"/>
          <w:spacing w:val="-25"/>
        </w:rPr>
        <w:t xml:space="preserve"> </w:t>
      </w:r>
      <w:r>
        <w:rPr>
          <w:color w:val="231F20"/>
        </w:rPr>
        <w:t>LGAs.</w:t>
      </w:r>
    </w:p>
    <w:p w14:paraId="2A35A0E2" w14:textId="77777777" w:rsidR="009948F1" w:rsidRDefault="009948F1">
      <w:pPr>
        <w:pStyle w:val="BodyText"/>
        <w:spacing w:before="1"/>
        <w:rPr>
          <w:sz w:val="24"/>
        </w:rPr>
      </w:pPr>
    </w:p>
    <w:p w14:paraId="6669CB6D" w14:textId="77777777" w:rsidR="009948F1" w:rsidRDefault="00BC0563">
      <w:pPr>
        <w:pStyle w:val="ListParagraph"/>
        <w:numPr>
          <w:ilvl w:val="3"/>
          <w:numId w:val="287"/>
        </w:numPr>
        <w:tabs>
          <w:tab w:val="left" w:pos="886"/>
        </w:tabs>
        <w:spacing w:before="1" w:line="261" w:lineRule="auto"/>
        <w:ind w:left="147" w:right="176" w:firstLine="0"/>
      </w:pPr>
      <w:r>
        <w:rPr>
          <w:color w:val="231F20"/>
        </w:rPr>
        <w:t xml:space="preserve">Strengthen referral and linkages between HIV/AIDS services and other health and </w:t>
      </w:r>
      <w:r>
        <w:rPr>
          <w:color w:val="231F20"/>
          <w:spacing w:val="-3"/>
        </w:rPr>
        <w:t xml:space="preserve">social </w:t>
      </w:r>
      <w:r>
        <w:rPr>
          <w:color w:val="231F20"/>
        </w:rPr>
        <w:t>services.</w:t>
      </w:r>
      <w:r>
        <w:rPr>
          <w:color w:val="231F20"/>
          <w:spacing w:val="-14"/>
        </w:rPr>
        <w:t xml:space="preserve"> </w:t>
      </w:r>
      <w:r>
        <w:rPr>
          <w:color w:val="231F20"/>
        </w:rPr>
        <w:t>Key</w:t>
      </w:r>
      <w:r>
        <w:rPr>
          <w:color w:val="231F20"/>
          <w:spacing w:val="-13"/>
        </w:rPr>
        <w:t xml:space="preserve"> </w:t>
      </w:r>
      <w:r>
        <w:rPr>
          <w:color w:val="231F20"/>
        </w:rPr>
        <w:t>actions</w:t>
      </w:r>
      <w:r>
        <w:rPr>
          <w:color w:val="231F20"/>
          <w:spacing w:val="-13"/>
        </w:rPr>
        <w:t xml:space="preserve"> </w:t>
      </w:r>
      <w:r>
        <w:rPr>
          <w:color w:val="231F20"/>
        </w:rPr>
        <w:t>include;</w:t>
      </w:r>
      <w:r>
        <w:rPr>
          <w:color w:val="231F20"/>
          <w:spacing w:val="-13"/>
        </w:rPr>
        <w:t xml:space="preserve"> </w:t>
      </w:r>
      <w:r>
        <w:rPr>
          <w:color w:val="231F20"/>
        </w:rPr>
        <w:t>–</w:t>
      </w:r>
      <w:r>
        <w:rPr>
          <w:color w:val="231F20"/>
          <w:spacing w:val="-13"/>
        </w:rPr>
        <w:t xml:space="preserve"> </w:t>
      </w:r>
      <w:r>
        <w:rPr>
          <w:color w:val="231F20"/>
        </w:rPr>
        <w:t>Engage</w:t>
      </w:r>
      <w:r>
        <w:rPr>
          <w:color w:val="231F20"/>
          <w:spacing w:val="-17"/>
        </w:rPr>
        <w:t xml:space="preserve"> </w:t>
      </w:r>
      <w:r>
        <w:rPr>
          <w:color w:val="231F20"/>
        </w:rPr>
        <w:t>TBA</w:t>
      </w:r>
      <w:r>
        <w:rPr>
          <w:color w:val="231F20"/>
          <w:spacing w:val="-25"/>
        </w:rPr>
        <w:t xml:space="preserve"> </w:t>
      </w:r>
      <w:r>
        <w:rPr>
          <w:color w:val="231F20"/>
        </w:rPr>
        <w:t>/</w:t>
      </w:r>
      <w:r>
        <w:rPr>
          <w:color w:val="231F20"/>
          <w:spacing w:val="-13"/>
        </w:rPr>
        <w:t xml:space="preserve"> </w:t>
      </w:r>
      <w:r>
        <w:rPr>
          <w:color w:val="231F20"/>
        </w:rPr>
        <w:t>private</w:t>
      </w:r>
      <w:r>
        <w:rPr>
          <w:color w:val="231F20"/>
          <w:spacing w:val="-13"/>
        </w:rPr>
        <w:t xml:space="preserve"> </w:t>
      </w:r>
      <w:r>
        <w:rPr>
          <w:color w:val="231F20"/>
        </w:rPr>
        <w:t>health</w:t>
      </w:r>
      <w:r>
        <w:rPr>
          <w:color w:val="231F20"/>
          <w:spacing w:val="-13"/>
        </w:rPr>
        <w:t xml:space="preserve"> </w:t>
      </w:r>
      <w:r>
        <w:rPr>
          <w:color w:val="231F20"/>
        </w:rPr>
        <w:t>facilities</w:t>
      </w:r>
      <w:r>
        <w:rPr>
          <w:color w:val="231F20"/>
          <w:spacing w:val="-13"/>
        </w:rPr>
        <w:t xml:space="preserve"> </w:t>
      </w:r>
      <w:r>
        <w:rPr>
          <w:color w:val="231F20"/>
        </w:rPr>
        <w:t>to</w:t>
      </w:r>
      <w:r>
        <w:rPr>
          <w:color w:val="231F20"/>
          <w:spacing w:val="-13"/>
        </w:rPr>
        <w:t xml:space="preserve"> </w:t>
      </w:r>
      <w:r>
        <w:rPr>
          <w:color w:val="231F20"/>
        </w:rPr>
        <w:t>provide</w:t>
      </w:r>
      <w:r>
        <w:rPr>
          <w:color w:val="231F20"/>
          <w:spacing w:val="-14"/>
        </w:rPr>
        <w:t xml:space="preserve"> </w:t>
      </w:r>
      <w:r>
        <w:rPr>
          <w:color w:val="231F20"/>
        </w:rPr>
        <w:t>PMTCT</w:t>
      </w:r>
      <w:r>
        <w:rPr>
          <w:color w:val="231F20"/>
          <w:spacing w:val="-17"/>
        </w:rPr>
        <w:t xml:space="preserve"> </w:t>
      </w:r>
      <w:r>
        <w:rPr>
          <w:color w:val="231F20"/>
        </w:rPr>
        <w:t>service</w:t>
      </w:r>
      <w:r>
        <w:rPr>
          <w:color w:val="231F20"/>
          <w:spacing w:val="-13"/>
        </w:rPr>
        <w:t xml:space="preserve"> </w:t>
      </w:r>
      <w:r>
        <w:rPr>
          <w:color w:val="231F20"/>
        </w:rPr>
        <w:t>or make referral to PHC; Supervise testing and link HIV positive infants to treatment in 23 LGAs; Engage</w:t>
      </w:r>
      <w:r>
        <w:rPr>
          <w:color w:val="231F20"/>
          <w:spacing w:val="-25"/>
        </w:rPr>
        <w:t xml:space="preserve"> </w:t>
      </w:r>
      <w:r>
        <w:rPr>
          <w:color w:val="231F20"/>
        </w:rPr>
        <w:t>expert</w:t>
      </w:r>
      <w:r>
        <w:rPr>
          <w:color w:val="231F20"/>
          <w:spacing w:val="-26"/>
        </w:rPr>
        <w:t xml:space="preserve"> </w:t>
      </w:r>
      <w:r>
        <w:rPr>
          <w:color w:val="231F20"/>
        </w:rPr>
        <w:t>clients/</w:t>
      </w:r>
      <w:r>
        <w:rPr>
          <w:color w:val="231F20"/>
          <w:spacing w:val="-25"/>
        </w:rPr>
        <w:t xml:space="preserve"> </w:t>
      </w:r>
      <w:r>
        <w:rPr>
          <w:color w:val="231F20"/>
        </w:rPr>
        <w:t>volunteers</w:t>
      </w:r>
      <w:r>
        <w:rPr>
          <w:color w:val="231F20"/>
          <w:spacing w:val="-25"/>
        </w:rPr>
        <w:t xml:space="preserve"> </w:t>
      </w:r>
      <w:r>
        <w:rPr>
          <w:color w:val="231F20"/>
        </w:rPr>
        <w:t>to</w:t>
      </w:r>
      <w:r>
        <w:rPr>
          <w:color w:val="231F20"/>
          <w:spacing w:val="-25"/>
        </w:rPr>
        <w:t xml:space="preserve"> </w:t>
      </w:r>
      <w:r>
        <w:rPr>
          <w:color w:val="231F20"/>
        </w:rPr>
        <w:t>track</w:t>
      </w:r>
      <w:r>
        <w:rPr>
          <w:color w:val="231F20"/>
          <w:spacing w:val="-25"/>
        </w:rPr>
        <w:t xml:space="preserve"> </w:t>
      </w:r>
      <w:r>
        <w:rPr>
          <w:color w:val="231F20"/>
        </w:rPr>
        <w:t>HIV</w:t>
      </w:r>
      <w:r>
        <w:rPr>
          <w:color w:val="231F20"/>
          <w:spacing w:val="-25"/>
        </w:rPr>
        <w:t xml:space="preserve"> </w:t>
      </w:r>
      <w:r>
        <w:rPr>
          <w:color w:val="231F20"/>
        </w:rPr>
        <w:t>positive</w:t>
      </w:r>
      <w:r>
        <w:rPr>
          <w:color w:val="231F20"/>
          <w:spacing w:val="-25"/>
        </w:rPr>
        <w:t xml:space="preserve"> </w:t>
      </w:r>
      <w:r>
        <w:rPr>
          <w:color w:val="231F20"/>
        </w:rPr>
        <w:t>mothers.</w:t>
      </w:r>
    </w:p>
    <w:p w14:paraId="03ADFFD3" w14:textId="77777777" w:rsidR="009948F1" w:rsidRDefault="009948F1">
      <w:pPr>
        <w:spacing w:line="261" w:lineRule="auto"/>
        <w:jc w:val="both"/>
        <w:sectPr w:rsidR="009948F1">
          <w:pgSz w:w="11910" w:h="16840"/>
          <w:pgMar w:top="1580" w:right="1080" w:bottom="1420" w:left="1120" w:header="0" w:footer="1235" w:gutter="0"/>
          <w:cols w:space="720"/>
        </w:sectPr>
      </w:pPr>
    </w:p>
    <w:p w14:paraId="453BF25B" w14:textId="77777777" w:rsidR="009948F1" w:rsidRDefault="00BC0563">
      <w:pPr>
        <w:pStyle w:val="ListParagraph"/>
        <w:numPr>
          <w:ilvl w:val="3"/>
          <w:numId w:val="287"/>
        </w:numPr>
        <w:tabs>
          <w:tab w:val="left" w:pos="923"/>
        </w:tabs>
        <w:spacing w:before="43" w:line="261" w:lineRule="auto"/>
        <w:ind w:left="168" w:right="220" w:firstLine="0"/>
      </w:pPr>
      <w:bookmarkStart w:id="74" w:name="Page_60"/>
      <w:bookmarkEnd w:id="74"/>
      <w:r>
        <w:rPr>
          <w:color w:val="231F20"/>
        </w:rPr>
        <w:lastRenderedPageBreak/>
        <w:t xml:space="preserve">Improve access to safe blood and blood products. Key actions include; – Train Health Workers in PHC facilities in the state to improve access to safe blood products; Provide </w:t>
      </w:r>
      <w:r>
        <w:rPr>
          <w:color w:val="231F20"/>
          <w:spacing w:val="-3"/>
        </w:rPr>
        <w:t xml:space="preserve">blood </w:t>
      </w:r>
      <w:r>
        <w:rPr>
          <w:color w:val="231F20"/>
        </w:rPr>
        <w:t>banking</w:t>
      </w:r>
      <w:r>
        <w:rPr>
          <w:color w:val="231F20"/>
          <w:spacing w:val="-25"/>
        </w:rPr>
        <w:t xml:space="preserve"> </w:t>
      </w:r>
      <w:r>
        <w:rPr>
          <w:color w:val="231F20"/>
        </w:rPr>
        <w:t>services</w:t>
      </w:r>
      <w:r>
        <w:rPr>
          <w:color w:val="231F20"/>
          <w:spacing w:val="-26"/>
        </w:rPr>
        <w:t xml:space="preserve"> </w:t>
      </w:r>
      <w:r>
        <w:rPr>
          <w:color w:val="231F20"/>
        </w:rPr>
        <w:t>in</w:t>
      </w:r>
      <w:r>
        <w:rPr>
          <w:color w:val="231F20"/>
          <w:spacing w:val="-25"/>
        </w:rPr>
        <w:t xml:space="preserve"> </w:t>
      </w:r>
      <w:r>
        <w:rPr>
          <w:color w:val="231F20"/>
        </w:rPr>
        <w:t>2</w:t>
      </w:r>
      <w:r>
        <w:rPr>
          <w:color w:val="231F20"/>
          <w:spacing w:val="37"/>
        </w:rPr>
        <w:t xml:space="preserve"> </w:t>
      </w:r>
      <w:r>
        <w:rPr>
          <w:color w:val="231F20"/>
        </w:rPr>
        <w:t>facilities</w:t>
      </w:r>
      <w:r>
        <w:rPr>
          <w:color w:val="231F20"/>
          <w:spacing w:val="-25"/>
        </w:rPr>
        <w:t xml:space="preserve"> </w:t>
      </w:r>
      <w:r>
        <w:rPr>
          <w:color w:val="231F20"/>
        </w:rPr>
        <w:t>each</w:t>
      </w:r>
      <w:r>
        <w:rPr>
          <w:color w:val="231F20"/>
          <w:spacing w:val="-25"/>
        </w:rPr>
        <w:t xml:space="preserve"> </w:t>
      </w:r>
      <w:r>
        <w:rPr>
          <w:color w:val="231F20"/>
        </w:rPr>
        <w:t>for</w:t>
      </w:r>
      <w:r>
        <w:rPr>
          <w:color w:val="231F20"/>
          <w:spacing w:val="-25"/>
        </w:rPr>
        <w:t xml:space="preserve"> </w:t>
      </w:r>
      <w:r>
        <w:rPr>
          <w:color w:val="231F20"/>
        </w:rPr>
        <w:t>23</w:t>
      </w:r>
      <w:r>
        <w:rPr>
          <w:color w:val="231F20"/>
          <w:spacing w:val="-25"/>
        </w:rPr>
        <w:t xml:space="preserve"> </w:t>
      </w:r>
      <w:r>
        <w:rPr>
          <w:color w:val="231F20"/>
        </w:rPr>
        <w:t>LGAs.</w:t>
      </w:r>
    </w:p>
    <w:p w14:paraId="27CD6972" w14:textId="77777777" w:rsidR="009948F1" w:rsidRDefault="009948F1">
      <w:pPr>
        <w:pStyle w:val="BodyText"/>
        <w:spacing w:before="1"/>
        <w:rPr>
          <w:sz w:val="24"/>
        </w:rPr>
      </w:pPr>
    </w:p>
    <w:p w14:paraId="0E5312D5" w14:textId="77777777" w:rsidR="009948F1" w:rsidRDefault="00BC0563">
      <w:pPr>
        <w:pStyle w:val="ListParagraph"/>
        <w:numPr>
          <w:ilvl w:val="3"/>
          <w:numId w:val="287"/>
        </w:numPr>
        <w:tabs>
          <w:tab w:val="left" w:pos="946"/>
        </w:tabs>
        <w:spacing w:line="261" w:lineRule="auto"/>
        <w:ind w:left="168" w:right="220" w:firstLine="0"/>
      </w:pPr>
      <w:r>
        <w:rPr>
          <w:color w:val="231F20"/>
        </w:rPr>
        <w:t xml:space="preserve">Promote injection safety and health care waste management practices. Key </w:t>
      </w:r>
      <w:r>
        <w:rPr>
          <w:color w:val="231F20"/>
          <w:spacing w:val="-3"/>
        </w:rPr>
        <w:t xml:space="preserve">actions </w:t>
      </w:r>
      <w:r>
        <w:rPr>
          <w:color w:val="231F20"/>
        </w:rPr>
        <w:t xml:space="preserve">include; – Train HWs in PHC facilities on Safety and Waste management practices; Train </w:t>
      </w:r>
      <w:r>
        <w:rPr>
          <w:color w:val="231F20"/>
          <w:spacing w:val="-4"/>
        </w:rPr>
        <w:t xml:space="preserve">CBOs </w:t>
      </w:r>
      <w:r>
        <w:rPr>
          <w:color w:val="231F20"/>
        </w:rPr>
        <w:t>and private health workers in the 23 LGA on injection safety &amp; healthcare waste management practices.</w:t>
      </w:r>
    </w:p>
    <w:p w14:paraId="240635BF" w14:textId="77777777" w:rsidR="009948F1" w:rsidRDefault="009948F1">
      <w:pPr>
        <w:pStyle w:val="BodyText"/>
        <w:spacing w:before="1"/>
        <w:rPr>
          <w:sz w:val="24"/>
        </w:rPr>
      </w:pPr>
    </w:p>
    <w:p w14:paraId="1D4894FD" w14:textId="77777777" w:rsidR="009948F1" w:rsidRDefault="00BC0563">
      <w:pPr>
        <w:pStyle w:val="ListParagraph"/>
        <w:numPr>
          <w:ilvl w:val="3"/>
          <w:numId w:val="287"/>
        </w:numPr>
        <w:tabs>
          <w:tab w:val="left" w:pos="918"/>
        </w:tabs>
        <w:spacing w:line="261" w:lineRule="auto"/>
        <w:ind w:left="168" w:right="220" w:firstLine="0"/>
      </w:pPr>
      <w:r>
        <w:rPr>
          <w:color w:val="231F20"/>
        </w:rPr>
        <w:t>Strengthen community systems to support HIV/AIDS programming for key and general populations.</w:t>
      </w:r>
      <w:r>
        <w:rPr>
          <w:color w:val="231F20"/>
          <w:spacing w:val="-14"/>
        </w:rPr>
        <w:t xml:space="preserve"> </w:t>
      </w:r>
      <w:r>
        <w:rPr>
          <w:color w:val="231F20"/>
        </w:rPr>
        <w:t>Key</w:t>
      </w:r>
      <w:r>
        <w:rPr>
          <w:color w:val="231F20"/>
          <w:spacing w:val="-13"/>
        </w:rPr>
        <w:t xml:space="preserve"> </w:t>
      </w:r>
      <w:r>
        <w:rPr>
          <w:color w:val="231F20"/>
        </w:rPr>
        <w:t>actions</w:t>
      </w:r>
      <w:r>
        <w:rPr>
          <w:color w:val="231F20"/>
          <w:spacing w:val="-13"/>
        </w:rPr>
        <w:t xml:space="preserve"> </w:t>
      </w:r>
      <w:r>
        <w:rPr>
          <w:color w:val="231F20"/>
        </w:rPr>
        <w:t>include;</w:t>
      </w:r>
      <w:r>
        <w:rPr>
          <w:color w:val="231F20"/>
          <w:spacing w:val="-13"/>
        </w:rPr>
        <w:t xml:space="preserve"> </w:t>
      </w:r>
      <w:r>
        <w:rPr>
          <w:color w:val="231F20"/>
        </w:rPr>
        <w:t>–</w:t>
      </w:r>
      <w:r>
        <w:rPr>
          <w:color w:val="231F20"/>
          <w:spacing w:val="-13"/>
        </w:rPr>
        <w:t xml:space="preserve"> </w:t>
      </w:r>
      <w:r>
        <w:rPr>
          <w:color w:val="231F20"/>
        </w:rPr>
        <w:t>Engage</w:t>
      </w:r>
      <w:r>
        <w:rPr>
          <w:color w:val="231F20"/>
          <w:spacing w:val="-13"/>
        </w:rPr>
        <w:t xml:space="preserve"> </w:t>
      </w:r>
      <w:r>
        <w:rPr>
          <w:color w:val="231F20"/>
        </w:rPr>
        <w:t>WDC</w:t>
      </w:r>
      <w:r>
        <w:rPr>
          <w:color w:val="231F20"/>
          <w:spacing w:val="-13"/>
        </w:rPr>
        <w:t xml:space="preserve"> </w:t>
      </w:r>
      <w:r>
        <w:rPr>
          <w:color w:val="231F20"/>
        </w:rPr>
        <w:t>to</w:t>
      </w:r>
      <w:r>
        <w:rPr>
          <w:color w:val="231F20"/>
          <w:spacing w:val="-13"/>
        </w:rPr>
        <w:t xml:space="preserve"> </w:t>
      </w:r>
      <w:r>
        <w:rPr>
          <w:color w:val="231F20"/>
        </w:rPr>
        <w:t>support</w:t>
      </w:r>
      <w:r>
        <w:rPr>
          <w:color w:val="231F20"/>
          <w:spacing w:val="-14"/>
        </w:rPr>
        <w:t xml:space="preserve"> </w:t>
      </w:r>
      <w:r>
        <w:rPr>
          <w:color w:val="231F20"/>
        </w:rPr>
        <w:t>HIV/AIDs</w:t>
      </w:r>
      <w:r>
        <w:rPr>
          <w:color w:val="231F20"/>
          <w:spacing w:val="-13"/>
        </w:rPr>
        <w:t xml:space="preserve"> </w:t>
      </w:r>
      <w:proofErr w:type="spellStart"/>
      <w:r>
        <w:rPr>
          <w:color w:val="231F20"/>
        </w:rPr>
        <w:t>Programme</w:t>
      </w:r>
      <w:proofErr w:type="spellEnd"/>
      <w:r>
        <w:rPr>
          <w:color w:val="231F20"/>
          <w:spacing w:val="-13"/>
        </w:rPr>
        <w:t xml:space="preserve"> </w:t>
      </w:r>
      <w:r>
        <w:rPr>
          <w:color w:val="231F20"/>
        </w:rPr>
        <w:t>mobilization</w:t>
      </w:r>
      <w:r>
        <w:rPr>
          <w:color w:val="231F20"/>
          <w:spacing w:val="-13"/>
        </w:rPr>
        <w:t xml:space="preserve"> </w:t>
      </w:r>
      <w:r>
        <w:rPr>
          <w:color w:val="231F20"/>
        </w:rPr>
        <w:t>in 23</w:t>
      </w:r>
      <w:r>
        <w:rPr>
          <w:color w:val="231F20"/>
          <w:spacing w:val="-25"/>
        </w:rPr>
        <w:t xml:space="preserve"> </w:t>
      </w:r>
      <w:r>
        <w:rPr>
          <w:color w:val="231F20"/>
        </w:rPr>
        <w:t>LGAs;</w:t>
      </w:r>
      <w:r>
        <w:rPr>
          <w:color w:val="231F20"/>
          <w:spacing w:val="-26"/>
        </w:rPr>
        <w:t xml:space="preserve"> </w:t>
      </w:r>
      <w:r>
        <w:rPr>
          <w:color w:val="231F20"/>
        </w:rPr>
        <w:t>Conduct</w:t>
      </w:r>
      <w:r>
        <w:rPr>
          <w:color w:val="231F20"/>
          <w:spacing w:val="-25"/>
        </w:rPr>
        <w:t xml:space="preserve"> </w:t>
      </w:r>
      <w:r>
        <w:rPr>
          <w:color w:val="231F20"/>
        </w:rPr>
        <w:t>community</w:t>
      </w:r>
      <w:r>
        <w:rPr>
          <w:color w:val="231F20"/>
          <w:spacing w:val="-25"/>
        </w:rPr>
        <w:t xml:space="preserve"> </w:t>
      </w:r>
      <w:r>
        <w:rPr>
          <w:color w:val="231F20"/>
        </w:rPr>
        <w:t>outreach</w:t>
      </w:r>
      <w:r>
        <w:rPr>
          <w:color w:val="231F20"/>
          <w:spacing w:val="-25"/>
        </w:rPr>
        <w:t xml:space="preserve"> </w:t>
      </w:r>
      <w:proofErr w:type="spellStart"/>
      <w:r>
        <w:rPr>
          <w:color w:val="231F20"/>
        </w:rPr>
        <w:t>programmes</w:t>
      </w:r>
      <w:proofErr w:type="spellEnd"/>
      <w:r>
        <w:rPr>
          <w:color w:val="231F20"/>
          <w:spacing w:val="-25"/>
        </w:rPr>
        <w:t xml:space="preserve"> </w:t>
      </w:r>
      <w:r>
        <w:rPr>
          <w:color w:val="231F20"/>
        </w:rPr>
        <w:t>on</w:t>
      </w:r>
      <w:r>
        <w:rPr>
          <w:color w:val="231F20"/>
          <w:spacing w:val="-25"/>
        </w:rPr>
        <w:t xml:space="preserve"> </w:t>
      </w:r>
      <w:r>
        <w:rPr>
          <w:color w:val="231F20"/>
        </w:rPr>
        <w:t>HIV</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23</w:t>
      </w:r>
      <w:r>
        <w:rPr>
          <w:color w:val="231F20"/>
          <w:spacing w:val="-25"/>
        </w:rPr>
        <w:t xml:space="preserve"> </w:t>
      </w:r>
      <w:r>
        <w:rPr>
          <w:color w:val="231F20"/>
        </w:rPr>
        <w:t>LGAs.</w:t>
      </w:r>
    </w:p>
    <w:p w14:paraId="04887505" w14:textId="77777777" w:rsidR="009948F1" w:rsidRDefault="009948F1">
      <w:pPr>
        <w:pStyle w:val="BodyText"/>
        <w:rPr>
          <w:sz w:val="24"/>
        </w:rPr>
      </w:pPr>
    </w:p>
    <w:p w14:paraId="01FE02C2" w14:textId="77777777" w:rsidR="009948F1" w:rsidRDefault="00BC0563">
      <w:pPr>
        <w:pStyle w:val="ListParagraph"/>
        <w:numPr>
          <w:ilvl w:val="3"/>
          <w:numId w:val="287"/>
        </w:numPr>
        <w:tabs>
          <w:tab w:val="left" w:pos="914"/>
        </w:tabs>
        <w:spacing w:before="1" w:line="261" w:lineRule="auto"/>
        <w:ind w:left="167" w:right="216" w:firstLine="0"/>
      </w:pPr>
      <w:r>
        <w:rPr>
          <w:color w:val="231F20"/>
        </w:rPr>
        <w:t xml:space="preserve">Improve the logistics and supply chain management for all </w:t>
      </w:r>
      <w:r>
        <w:rPr>
          <w:color w:val="231F20"/>
          <w:spacing w:val="-3"/>
        </w:rPr>
        <w:t xml:space="preserve">HIVAIDS- </w:t>
      </w:r>
      <w:r>
        <w:rPr>
          <w:color w:val="231F20"/>
        </w:rPr>
        <w:t>related drugs and commodities. Key actions include – Procure and distribute Rapid test kits pack in the 23 LGAs; Procure</w:t>
      </w:r>
      <w:r>
        <w:rPr>
          <w:color w:val="231F20"/>
          <w:spacing w:val="-10"/>
        </w:rPr>
        <w:t xml:space="preserve"> </w:t>
      </w:r>
      <w:r>
        <w:rPr>
          <w:color w:val="231F20"/>
        </w:rPr>
        <w:t>and</w:t>
      </w:r>
      <w:r>
        <w:rPr>
          <w:color w:val="231F20"/>
          <w:spacing w:val="-9"/>
        </w:rPr>
        <w:t xml:space="preserve"> </w:t>
      </w:r>
      <w:r>
        <w:rPr>
          <w:color w:val="231F20"/>
        </w:rPr>
        <w:t>distribute</w:t>
      </w:r>
      <w:r>
        <w:rPr>
          <w:color w:val="231F20"/>
          <w:spacing w:val="-21"/>
        </w:rPr>
        <w:t xml:space="preserve"> </w:t>
      </w:r>
      <w:r>
        <w:rPr>
          <w:color w:val="231F20"/>
        </w:rPr>
        <w:t>ART</w:t>
      </w:r>
      <w:r>
        <w:rPr>
          <w:color w:val="231F20"/>
          <w:spacing w:val="-14"/>
        </w:rPr>
        <w:t xml:space="preserve"> </w:t>
      </w:r>
      <w:r>
        <w:rPr>
          <w:color w:val="231F20"/>
        </w:rPr>
        <w:t>Drugs</w:t>
      </w:r>
      <w:r>
        <w:rPr>
          <w:color w:val="231F20"/>
          <w:spacing w:val="-9"/>
        </w:rPr>
        <w:t xml:space="preserve"> </w:t>
      </w:r>
      <w:r>
        <w:rPr>
          <w:color w:val="231F20"/>
        </w:rPr>
        <w:t>for</w:t>
      </w:r>
      <w:r>
        <w:rPr>
          <w:color w:val="231F20"/>
          <w:spacing w:val="-9"/>
        </w:rPr>
        <w:t xml:space="preserve"> </w:t>
      </w:r>
      <w:r>
        <w:rPr>
          <w:color w:val="231F20"/>
        </w:rPr>
        <w:t>positive</w:t>
      </w:r>
      <w:r>
        <w:rPr>
          <w:color w:val="231F20"/>
          <w:spacing w:val="-10"/>
        </w:rPr>
        <w:t xml:space="preserve"> </w:t>
      </w:r>
      <w:r>
        <w:rPr>
          <w:color w:val="231F20"/>
        </w:rPr>
        <w:t>client</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23</w:t>
      </w:r>
      <w:r>
        <w:rPr>
          <w:color w:val="231F20"/>
          <w:spacing w:val="-9"/>
        </w:rPr>
        <w:t xml:space="preserve"> </w:t>
      </w:r>
      <w:r>
        <w:rPr>
          <w:color w:val="231F20"/>
        </w:rPr>
        <w:t>LGAs;</w:t>
      </w:r>
      <w:r>
        <w:rPr>
          <w:color w:val="231F20"/>
          <w:spacing w:val="-9"/>
        </w:rPr>
        <w:t xml:space="preserve"> </w:t>
      </w:r>
      <w:r>
        <w:rPr>
          <w:color w:val="231F20"/>
        </w:rPr>
        <w:t>Print</w:t>
      </w:r>
      <w:r>
        <w:rPr>
          <w:color w:val="231F20"/>
          <w:spacing w:val="-10"/>
        </w:rPr>
        <w:t xml:space="preserve"> </w:t>
      </w:r>
      <w:r>
        <w:rPr>
          <w:color w:val="231F20"/>
        </w:rPr>
        <w:t>and</w:t>
      </w:r>
      <w:r>
        <w:rPr>
          <w:color w:val="231F20"/>
          <w:spacing w:val="-9"/>
        </w:rPr>
        <w:t xml:space="preserve"> </w:t>
      </w:r>
      <w:r>
        <w:rPr>
          <w:color w:val="231F20"/>
        </w:rPr>
        <w:t>distribution</w:t>
      </w:r>
      <w:r>
        <w:rPr>
          <w:color w:val="231F20"/>
          <w:spacing w:val="-9"/>
        </w:rPr>
        <w:t xml:space="preserve"> </w:t>
      </w:r>
      <w:r>
        <w:rPr>
          <w:color w:val="231F20"/>
        </w:rPr>
        <w:t>PMTCT collection</w:t>
      </w:r>
      <w:r>
        <w:rPr>
          <w:color w:val="231F20"/>
          <w:spacing w:val="-25"/>
        </w:rPr>
        <w:t xml:space="preserve"> </w:t>
      </w:r>
      <w:r>
        <w:rPr>
          <w:color w:val="231F20"/>
        </w:rPr>
        <w:t>tools</w:t>
      </w:r>
      <w:r>
        <w:rPr>
          <w:color w:val="231F20"/>
          <w:spacing w:val="-26"/>
        </w:rPr>
        <w:t xml:space="preserve"> </w:t>
      </w:r>
      <w:r>
        <w:rPr>
          <w:color w:val="231F20"/>
        </w:rPr>
        <w:t>to</w:t>
      </w:r>
      <w:r>
        <w:rPr>
          <w:color w:val="231F20"/>
          <w:spacing w:val="-25"/>
        </w:rPr>
        <w:t xml:space="preserve"> </w:t>
      </w:r>
      <w:r>
        <w:rPr>
          <w:color w:val="231F20"/>
        </w:rPr>
        <w:t>Secondary</w:t>
      </w:r>
      <w:r>
        <w:rPr>
          <w:color w:val="231F20"/>
          <w:spacing w:val="-25"/>
        </w:rPr>
        <w:t xml:space="preserve"> </w:t>
      </w:r>
      <w:r>
        <w:rPr>
          <w:color w:val="231F20"/>
        </w:rPr>
        <w:t>&amp;</w:t>
      </w:r>
      <w:r>
        <w:rPr>
          <w:color w:val="231F20"/>
          <w:spacing w:val="-25"/>
        </w:rPr>
        <w:t xml:space="preserve"> </w:t>
      </w:r>
      <w:r>
        <w:rPr>
          <w:color w:val="231F20"/>
        </w:rPr>
        <w:t>PHC</w:t>
      </w:r>
      <w:r>
        <w:rPr>
          <w:color w:val="231F20"/>
          <w:spacing w:val="-25"/>
        </w:rPr>
        <w:t xml:space="preserve"> </w:t>
      </w:r>
      <w:r>
        <w:rPr>
          <w:color w:val="231F20"/>
        </w:rPr>
        <w:t>facilities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08BC79F6" w14:textId="77777777" w:rsidR="009948F1" w:rsidRDefault="009948F1">
      <w:pPr>
        <w:pStyle w:val="BodyText"/>
        <w:rPr>
          <w:sz w:val="24"/>
        </w:rPr>
      </w:pPr>
    </w:p>
    <w:p w14:paraId="419F8FA9" w14:textId="77777777" w:rsidR="009948F1" w:rsidRDefault="00BC0563">
      <w:pPr>
        <w:pStyle w:val="Heading7"/>
        <w:numPr>
          <w:ilvl w:val="2"/>
          <w:numId w:val="286"/>
        </w:numPr>
        <w:tabs>
          <w:tab w:val="left" w:pos="793"/>
        </w:tabs>
        <w:spacing w:before="1" w:line="261" w:lineRule="auto"/>
        <w:ind w:right="220" w:firstLine="0"/>
        <w:jc w:val="both"/>
      </w:pPr>
      <w:r>
        <w:rPr>
          <w:color w:val="231F20"/>
        </w:rPr>
        <w:t>Reduce morbidity, disability and mortality due to targeted Neglected Tropical Diseases</w:t>
      </w:r>
      <w:r>
        <w:rPr>
          <w:color w:val="231F20"/>
          <w:spacing w:val="-25"/>
        </w:rPr>
        <w:t xml:space="preserve"> </w:t>
      </w:r>
      <w:r>
        <w:rPr>
          <w:color w:val="231F20"/>
        </w:rPr>
        <w:t>(NTDs)</w:t>
      </w:r>
      <w:r>
        <w:rPr>
          <w:color w:val="231F20"/>
          <w:spacing w:val="-25"/>
        </w:rPr>
        <w:t xml:space="preserve"> </w:t>
      </w:r>
      <w:r>
        <w:rPr>
          <w:color w:val="231F20"/>
        </w:rPr>
        <w:t>and</w:t>
      </w:r>
      <w:r>
        <w:rPr>
          <w:color w:val="231F20"/>
          <w:spacing w:val="-25"/>
        </w:rPr>
        <w:t xml:space="preserve"> </w:t>
      </w:r>
      <w:r>
        <w:rPr>
          <w:color w:val="231F20"/>
        </w:rPr>
        <w:t>improve</w:t>
      </w:r>
      <w:r>
        <w:rPr>
          <w:color w:val="231F20"/>
          <w:spacing w:val="-25"/>
        </w:rPr>
        <w:t xml:space="preserve"> </w:t>
      </w:r>
      <w:r>
        <w:rPr>
          <w:color w:val="231F20"/>
        </w:rPr>
        <w:t>quality</w:t>
      </w:r>
      <w:r>
        <w:rPr>
          <w:color w:val="231F20"/>
          <w:spacing w:val="-25"/>
        </w:rPr>
        <w:t xml:space="preserve"> </w:t>
      </w:r>
      <w:r>
        <w:rPr>
          <w:color w:val="231F20"/>
        </w:rPr>
        <w:t>of</w:t>
      </w:r>
      <w:r>
        <w:rPr>
          <w:color w:val="231F20"/>
          <w:spacing w:val="-25"/>
        </w:rPr>
        <w:t xml:space="preserve"> </w:t>
      </w:r>
      <w:r>
        <w:rPr>
          <w:color w:val="231F20"/>
        </w:rPr>
        <w:t>life</w:t>
      </w:r>
      <w:r>
        <w:rPr>
          <w:color w:val="231F20"/>
          <w:spacing w:val="-25"/>
        </w:rPr>
        <w:t xml:space="preserve"> </w:t>
      </w:r>
      <w:r>
        <w:rPr>
          <w:color w:val="231F20"/>
        </w:rPr>
        <w:t>of</w:t>
      </w:r>
      <w:r>
        <w:rPr>
          <w:color w:val="231F20"/>
          <w:spacing w:val="-25"/>
        </w:rPr>
        <w:t xml:space="preserve"> </w:t>
      </w:r>
      <w:r>
        <w:rPr>
          <w:color w:val="231F20"/>
        </w:rPr>
        <w:t>those</w:t>
      </w:r>
      <w:r>
        <w:rPr>
          <w:color w:val="231F20"/>
          <w:spacing w:val="-25"/>
        </w:rPr>
        <w:t xml:space="preserve"> </w:t>
      </w:r>
      <w:r>
        <w:rPr>
          <w:color w:val="231F20"/>
        </w:rPr>
        <w:t>affected.</w:t>
      </w:r>
    </w:p>
    <w:p w14:paraId="21572732" w14:textId="77777777" w:rsidR="009948F1" w:rsidRDefault="009948F1">
      <w:pPr>
        <w:pStyle w:val="BodyText"/>
        <w:spacing w:before="5"/>
        <w:rPr>
          <w:b/>
          <w:sz w:val="19"/>
        </w:rPr>
      </w:pPr>
    </w:p>
    <w:p w14:paraId="2787676E" w14:textId="77777777" w:rsidR="009948F1" w:rsidRDefault="00BC0563">
      <w:pPr>
        <w:spacing w:after="45"/>
        <w:ind w:left="463"/>
        <w:rPr>
          <w:b/>
        </w:rPr>
      </w:pPr>
      <w:r>
        <w:rPr>
          <w:b/>
          <w:color w:val="231F20"/>
        </w:rPr>
        <w:t>Target</w:t>
      </w:r>
    </w:p>
    <w:tbl>
      <w:tblPr>
        <w:tblW w:w="0" w:type="auto"/>
        <w:tblInd w:w="1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79"/>
        <w:gridCol w:w="1273"/>
        <w:gridCol w:w="843"/>
        <w:gridCol w:w="848"/>
        <w:gridCol w:w="843"/>
        <w:gridCol w:w="988"/>
        <w:gridCol w:w="703"/>
        <w:gridCol w:w="1126"/>
      </w:tblGrid>
      <w:tr w:rsidR="009948F1" w14:paraId="7FE6F536" w14:textId="77777777">
        <w:trPr>
          <w:trHeight w:val="213"/>
        </w:trPr>
        <w:tc>
          <w:tcPr>
            <w:tcW w:w="2679" w:type="dxa"/>
            <w:shd w:val="clear" w:color="auto" w:fill="F6ADCD"/>
          </w:tcPr>
          <w:p w14:paraId="1097BEA1" w14:textId="77777777" w:rsidR="009948F1" w:rsidRDefault="00BC0563">
            <w:pPr>
              <w:pStyle w:val="TableParagraph"/>
              <w:spacing w:before="5" w:line="188" w:lineRule="exact"/>
              <w:ind w:left="113"/>
              <w:rPr>
                <w:sz w:val="18"/>
              </w:rPr>
            </w:pPr>
            <w:r>
              <w:rPr>
                <w:color w:val="231F20"/>
                <w:sz w:val="18"/>
              </w:rPr>
              <w:t>Targets</w:t>
            </w:r>
          </w:p>
        </w:tc>
        <w:tc>
          <w:tcPr>
            <w:tcW w:w="1273" w:type="dxa"/>
            <w:shd w:val="clear" w:color="auto" w:fill="F6ADCD"/>
          </w:tcPr>
          <w:p w14:paraId="2878EDE6" w14:textId="77777777" w:rsidR="009948F1" w:rsidRDefault="00BC0563">
            <w:pPr>
              <w:pStyle w:val="TableParagraph"/>
              <w:spacing w:before="5" w:line="188" w:lineRule="exact"/>
              <w:ind w:left="113"/>
              <w:rPr>
                <w:sz w:val="18"/>
              </w:rPr>
            </w:pPr>
            <w:r>
              <w:rPr>
                <w:color w:val="231F20"/>
                <w:sz w:val="18"/>
              </w:rPr>
              <w:t>Baseline</w:t>
            </w:r>
          </w:p>
        </w:tc>
        <w:tc>
          <w:tcPr>
            <w:tcW w:w="843" w:type="dxa"/>
            <w:shd w:val="clear" w:color="auto" w:fill="F6ADCD"/>
          </w:tcPr>
          <w:p w14:paraId="424B4800" w14:textId="77777777" w:rsidR="009948F1" w:rsidRDefault="00BC0563">
            <w:pPr>
              <w:pStyle w:val="TableParagraph"/>
              <w:spacing w:line="193" w:lineRule="exact"/>
              <w:ind w:left="113"/>
              <w:rPr>
                <w:b/>
                <w:sz w:val="18"/>
              </w:rPr>
            </w:pPr>
            <w:r>
              <w:rPr>
                <w:b/>
                <w:color w:val="231F20"/>
                <w:sz w:val="18"/>
              </w:rPr>
              <w:t>2018</w:t>
            </w:r>
          </w:p>
        </w:tc>
        <w:tc>
          <w:tcPr>
            <w:tcW w:w="848" w:type="dxa"/>
            <w:shd w:val="clear" w:color="auto" w:fill="F6ADCD"/>
          </w:tcPr>
          <w:p w14:paraId="5D1611B9" w14:textId="77777777" w:rsidR="009948F1" w:rsidRDefault="00BC0563">
            <w:pPr>
              <w:pStyle w:val="TableParagraph"/>
              <w:spacing w:line="193" w:lineRule="exact"/>
              <w:ind w:left="113"/>
              <w:rPr>
                <w:b/>
                <w:sz w:val="18"/>
              </w:rPr>
            </w:pPr>
            <w:r>
              <w:rPr>
                <w:b/>
                <w:color w:val="231F20"/>
                <w:sz w:val="18"/>
              </w:rPr>
              <w:t>2019</w:t>
            </w:r>
          </w:p>
        </w:tc>
        <w:tc>
          <w:tcPr>
            <w:tcW w:w="843" w:type="dxa"/>
            <w:shd w:val="clear" w:color="auto" w:fill="F6ADCD"/>
          </w:tcPr>
          <w:p w14:paraId="32B2CB5D" w14:textId="77777777" w:rsidR="009948F1" w:rsidRDefault="00BC0563">
            <w:pPr>
              <w:pStyle w:val="TableParagraph"/>
              <w:spacing w:line="193" w:lineRule="exact"/>
              <w:ind w:left="113"/>
              <w:rPr>
                <w:b/>
                <w:sz w:val="18"/>
              </w:rPr>
            </w:pPr>
            <w:r>
              <w:rPr>
                <w:b/>
                <w:color w:val="231F20"/>
                <w:sz w:val="18"/>
              </w:rPr>
              <w:t>2020</w:t>
            </w:r>
          </w:p>
        </w:tc>
        <w:tc>
          <w:tcPr>
            <w:tcW w:w="988" w:type="dxa"/>
            <w:shd w:val="clear" w:color="auto" w:fill="F6ADCD"/>
          </w:tcPr>
          <w:p w14:paraId="10306A82" w14:textId="77777777" w:rsidR="009948F1" w:rsidRDefault="00BC0563">
            <w:pPr>
              <w:pStyle w:val="TableParagraph"/>
              <w:spacing w:line="193" w:lineRule="exact"/>
              <w:ind w:left="114"/>
              <w:rPr>
                <w:b/>
                <w:sz w:val="18"/>
              </w:rPr>
            </w:pPr>
            <w:r>
              <w:rPr>
                <w:b/>
                <w:color w:val="231F20"/>
                <w:sz w:val="18"/>
              </w:rPr>
              <w:t>2021</w:t>
            </w:r>
          </w:p>
        </w:tc>
        <w:tc>
          <w:tcPr>
            <w:tcW w:w="703" w:type="dxa"/>
            <w:shd w:val="clear" w:color="auto" w:fill="F6ADCD"/>
          </w:tcPr>
          <w:p w14:paraId="2C72A7CA" w14:textId="77777777" w:rsidR="009948F1" w:rsidRDefault="00BC0563">
            <w:pPr>
              <w:pStyle w:val="TableParagraph"/>
              <w:spacing w:line="193" w:lineRule="exact"/>
              <w:ind w:left="114"/>
              <w:rPr>
                <w:b/>
                <w:sz w:val="18"/>
              </w:rPr>
            </w:pPr>
            <w:r>
              <w:rPr>
                <w:b/>
                <w:color w:val="231F20"/>
                <w:sz w:val="18"/>
              </w:rPr>
              <w:t>2022</w:t>
            </w:r>
          </w:p>
        </w:tc>
        <w:tc>
          <w:tcPr>
            <w:tcW w:w="1126" w:type="dxa"/>
            <w:shd w:val="clear" w:color="auto" w:fill="F6ADCD"/>
          </w:tcPr>
          <w:p w14:paraId="459BAA74" w14:textId="77777777" w:rsidR="009948F1" w:rsidRDefault="00BC0563">
            <w:pPr>
              <w:pStyle w:val="TableParagraph"/>
              <w:spacing w:line="193" w:lineRule="exact"/>
              <w:ind w:left="114"/>
              <w:rPr>
                <w:b/>
                <w:sz w:val="18"/>
              </w:rPr>
            </w:pPr>
            <w:r>
              <w:rPr>
                <w:b/>
                <w:color w:val="231F20"/>
                <w:sz w:val="18"/>
              </w:rPr>
              <w:t>National</w:t>
            </w:r>
          </w:p>
        </w:tc>
      </w:tr>
      <w:tr w:rsidR="009948F1" w14:paraId="79599988" w14:textId="77777777">
        <w:trPr>
          <w:trHeight w:val="636"/>
        </w:trPr>
        <w:tc>
          <w:tcPr>
            <w:tcW w:w="2679" w:type="dxa"/>
            <w:tcBorders>
              <w:left w:val="single" w:sz="8" w:space="0" w:color="231F20"/>
              <w:bottom w:val="single" w:sz="8" w:space="0" w:color="231F20"/>
              <w:right w:val="single" w:sz="8" w:space="0" w:color="231F20"/>
            </w:tcBorders>
          </w:tcPr>
          <w:p w14:paraId="5A5A06FC" w14:textId="77777777" w:rsidR="009948F1" w:rsidRDefault="00BC0563">
            <w:pPr>
              <w:pStyle w:val="TableParagraph"/>
              <w:spacing w:before="2" w:line="212" w:lineRule="exact"/>
              <w:ind w:left="108" w:right="379"/>
              <w:rPr>
                <w:sz w:val="18"/>
              </w:rPr>
            </w:pPr>
            <w:r>
              <w:rPr>
                <w:color w:val="231F20"/>
                <w:sz w:val="18"/>
              </w:rPr>
              <w:t>State implement integrated vector management for targeted NTDs?</w:t>
            </w:r>
          </w:p>
        </w:tc>
        <w:tc>
          <w:tcPr>
            <w:tcW w:w="1273" w:type="dxa"/>
            <w:tcBorders>
              <w:left w:val="single" w:sz="8" w:space="0" w:color="231F20"/>
              <w:bottom w:val="single" w:sz="8" w:space="0" w:color="231F20"/>
              <w:right w:val="single" w:sz="8" w:space="0" w:color="231F20"/>
            </w:tcBorders>
          </w:tcPr>
          <w:p w14:paraId="4ACAE0D1" w14:textId="77777777" w:rsidR="009948F1" w:rsidRDefault="00BC0563">
            <w:pPr>
              <w:pStyle w:val="TableParagraph"/>
              <w:spacing w:before="3"/>
              <w:ind w:left="108"/>
              <w:rPr>
                <w:sz w:val="18"/>
              </w:rPr>
            </w:pPr>
            <w:r>
              <w:rPr>
                <w:color w:val="231F20"/>
                <w:sz w:val="18"/>
              </w:rPr>
              <w:t>TBD</w:t>
            </w:r>
          </w:p>
        </w:tc>
        <w:tc>
          <w:tcPr>
            <w:tcW w:w="843" w:type="dxa"/>
            <w:tcBorders>
              <w:left w:val="single" w:sz="8" w:space="0" w:color="231F20"/>
            </w:tcBorders>
          </w:tcPr>
          <w:p w14:paraId="641F81A6" w14:textId="77777777" w:rsidR="009948F1" w:rsidRDefault="00BC0563">
            <w:pPr>
              <w:pStyle w:val="TableParagraph"/>
              <w:spacing w:before="3"/>
              <w:ind w:left="108"/>
              <w:rPr>
                <w:sz w:val="18"/>
              </w:rPr>
            </w:pPr>
            <w:r>
              <w:rPr>
                <w:color w:val="231F20"/>
                <w:sz w:val="18"/>
              </w:rPr>
              <w:t>0%</w:t>
            </w:r>
          </w:p>
        </w:tc>
        <w:tc>
          <w:tcPr>
            <w:tcW w:w="848" w:type="dxa"/>
          </w:tcPr>
          <w:p w14:paraId="27BDA156" w14:textId="77777777" w:rsidR="009948F1" w:rsidRDefault="00BC0563">
            <w:pPr>
              <w:pStyle w:val="TableParagraph"/>
              <w:spacing w:before="3"/>
              <w:ind w:left="113"/>
              <w:rPr>
                <w:sz w:val="18"/>
              </w:rPr>
            </w:pPr>
            <w:r>
              <w:rPr>
                <w:color w:val="231F20"/>
                <w:sz w:val="18"/>
              </w:rPr>
              <w:t>5%</w:t>
            </w:r>
          </w:p>
        </w:tc>
        <w:tc>
          <w:tcPr>
            <w:tcW w:w="843" w:type="dxa"/>
          </w:tcPr>
          <w:p w14:paraId="30E32687" w14:textId="77777777" w:rsidR="009948F1" w:rsidRDefault="00BC0563">
            <w:pPr>
              <w:pStyle w:val="TableParagraph"/>
              <w:spacing w:before="3"/>
              <w:ind w:left="113"/>
              <w:rPr>
                <w:sz w:val="18"/>
              </w:rPr>
            </w:pPr>
            <w:r>
              <w:rPr>
                <w:color w:val="231F20"/>
                <w:sz w:val="18"/>
              </w:rPr>
              <w:t>10%</w:t>
            </w:r>
          </w:p>
        </w:tc>
        <w:tc>
          <w:tcPr>
            <w:tcW w:w="988" w:type="dxa"/>
          </w:tcPr>
          <w:p w14:paraId="1549CB0F" w14:textId="77777777" w:rsidR="009948F1" w:rsidRDefault="00BC0563">
            <w:pPr>
              <w:pStyle w:val="TableParagraph"/>
              <w:spacing w:before="3"/>
              <w:ind w:left="114"/>
              <w:rPr>
                <w:sz w:val="18"/>
              </w:rPr>
            </w:pPr>
            <w:r>
              <w:rPr>
                <w:color w:val="231F20"/>
                <w:sz w:val="18"/>
              </w:rPr>
              <w:t>20%</w:t>
            </w:r>
          </w:p>
        </w:tc>
        <w:tc>
          <w:tcPr>
            <w:tcW w:w="703" w:type="dxa"/>
          </w:tcPr>
          <w:p w14:paraId="4AFFB2E6" w14:textId="77777777" w:rsidR="009948F1" w:rsidRDefault="00BC0563">
            <w:pPr>
              <w:pStyle w:val="TableParagraph"/>
              <w:spacing w:before="3"/>
              <w:ind w:left="114"/>
              <w:rPr>
                <w:sz w:val="18"/>
              </w:rPr>
            </w:pPr>
            <w:r>
              <w:rPr>
                <w:color w:val="231F20"/>
                <w:sz w:val="18"/>
              </w:rPr>
              <w:t>30%</w:t>
            </w:r>
          </w:p>
        </w:tc>
        <w:tc>
          <w:tcPr>
            <w:tcW w:w="1126" w:type="dxa"/>
          </w:tcPr>
          <w:p w14:paraId="4E7F0116" w14:textId="77777777" w:rsidR="009948F1" w:rsidRDefault="00BC0563">
            <w:pPr>
              <w:pStyle w:val="TableParagraph"/>
              <w:spacing w:before="2" w:line="212" w:lineRule="exact"/>
              <w:ind w:left="114" w:right="204"/>
              <w:jc w:val="both"/>
              <w:rPr>
                <w:sz w:val="18"/>
              </w:rPr>
            </w:pPr>
            <w:r>
              <w:rPr>
                <w:color w:val="231F20"/>
                <w:sz w:val="18"/>
              </w:rPr>
              <w:t>Increased to 70% of baseline</w:t>
            </w:r>
          </w:p>
        </w:tc>
      </w:tr>
      <w:tr w:rsidR="009948F1" w14:paraId="4F49CEEF" w14:textId="77777777">
        <w:trPr>
          <w:trHeight w:val="845"/>
        </w:trPr>
        <w:tc>
          <w:tcPr>
            <w:tcW w:w="2679" w:type="dxa"/>
            <w:tcBorders>
              <w:top w:val="single" w:sz="8" w:space="0" w:color="231F20"/>
              <w:left w:val="single" w:sz="8" w:space="0" w:color="231F20"/>
              <w:bottom w:val="single" w:sz="8" w:space="0" w:color="231F20"/>
              <w:right w:val="single" w:sz="8" w:space="0" w:color="231F20"/>
            </w:tcBorders>
          </w:tcPr>
          <w:p w14:paraId="7D63EFDD" w14:textId="77777777" w:rsidR="009948F1" w:rsidRDefault="00BC0563">
            <w:pPr>
              <w:pStyle w:val="TableParagraph"/>
              <w:spacing w:before="1" w:line="244" w:lineRule="auto"/>
              <w:ind w:left="108" w:right="249"/>
              <w:rPr>
                <w:sz w:val="18"/>
              </w:rPr>
            </w:pPr>
            <w:r>
              <w:rPr>
                <w:color w:val="231F20"/>
                <w:sz w:val="18"/>
              </w:rPr>
              <w:t>Attain 50% coverage in preventive chemotherapy for</w:t>
            </w:r>
          </w:p>
          <w:p w14:paraId="7DF5DC0E" w14:textId="77777777" w:rsidR="009948F1" w:rsidRDefault="00BC0563">
            <w:pPr>
              <w:pStyle w:val="TableParagraph"/>
              <w:spacing w:before="2" w:line="212" w:lineRule="exact"/>
              <w:ind w:left="108" w:right="399"/>
              <w:rPr>
                <w:sz w:val="18"/>
              </w:rPr>
            </w:pPr>
            <w:r>
              <w:rPr>
                <w:color w:val="231F20"/>
                <w:sz w:val="18"/>
              </w:rPr>
              <w:t>selected neglected tropical diseases (NTDs) by 2022</w:t>
            </w:r>
          </w:p>
        </w:tc>
        <w:tc>
          <w:tcPr>
            <w:tcW w:w="1273" w:type="dxa"/>
            <w:tcBorders>
              <w:top w:val="single" w:sz="8" w:space="0" w:color="231F20"/>
              <w:left w:val="single" w:sz="8" w:space="0" w:color="231F20"/>
              <w:bottom w:val="single" w:sz="8" w:space="0" w:color="231F20"/>
              <w:right w:val="single" w:sz="8" w:space="0" w:color="231F20"/>
            </w:tcBorders>
          </w:tcPr>
          <w:p w14:paraId="5C07FF25" w14:textId="77777777" w:rsidR="009948F1" w:rsidRDefault="00BC0563">
            <w:pPr>
              <w:pStyle w:val="TableParagraph"/>
              <w:spacing w:before="1"/>
              <w:ind w:left="108"/>
              <w:rPr>
                <w:sz w:val="18"/>
              </w:rPr>
            </w:pPr>
            <w:r>
              <w:rPr>
                <w:color w:val="231F20"/>
                <w:sz w:val="18"/>
              </w:rPr>
              <w:t>TBD</w:t>
            </w:r>
          </w:p>
        </w:tc>
        <w:tc>
          <w:tcPr>
            <w:tcW w:w="843" w:type="dxa"/>
            <w:tcBorders>
              <w:left w:val="single" w:sz="8" w:space="0" w:color="231F20"/>
            </w:tcBorders>
          </w:tcPr>
          <w:p w14:paraId="39D4043C" w14:textId="77777777" w:rsidR="009948F1" w:rsidRDefault="00BC0563">
            <w:pPr>
              <w:pStyle w:val="TableParagraph"/>
              <w:spacing w:before="1"/>
              <w:ind w:left="108"/>
              <w:rPr>
                <w:sz w:val="18"/>
              </w:rPr>
            </w:pPr>
            <w:r>
              <w:rPr>
                <w:color w:val="231F20"/>
                <w:sz w:val="18"/>
              </w:rPr>
              <w:t>10%</w:t>
            </w:r>
          </w:p>
        </w:tc>
        <w:tc>
          <w:tcPr>
            <w:tcW w:w="848" w:type="dxa"/>
          </w:tcPr>
          <w:p w14:paraId="15B34AD1" w14:textId="77777777" w:rsidR="009948F1" w:rsidRDefault="00BC0563">
            <w:pPr>
              <w:pStyle w:val="TableParagraph"/>
              <w:spacing w:before="1"/>
              <w:ind w:left="113"/>
              <w:rPr>
                <w:sz w:val="18"/>
              </w:rPr>
            </w:pPr>
            <w:r>
              <w:rPr>
                <w:color w:val="231F20"/>
                <w:sz w:val="18"/>
              </w:rPr>
              <w:t>20%</w:t>
            </w:r>
          </w:p>
        </w:tc>
        <w:tc>
          <w:tcPr>
            <w:tcW w:w="843" w:type="dxa"/>
          </w:tcPr>
          <w:p w14:paraId="1A49DF50" w14:textId="77777777" w:rsidR="009948F1" w:rsidRDefault="00BC0563">
            <w:pPr>
              <w:pStyle w:val="TableParagraph"/>
              <w:spacing w:before="1"/>
              <w:ind w:left="113"/>
              <w:rPr>
                <w:sz w:val="18"/>
              </w:rPr>
            </w:pPr>
            <w:r>
              <w:rPr>
                <w:color w:val="231F20"/>
                <w:sz w:val="18"/>
              </w:rPr>
              <w:t>30%</w:t>
            </w:r>
          </w:p>
        </w:tc>
        <w:tc>
          <w:tcPr>
            <w:tcW w:w="988" w:type="dxa"/>
          </w:tcPr>
          <w:p w14:paraId="1F08BA0F" w14:textId="77777777" w:rsidR="009948F1" w:rsidRDefault="00BC0563">
            <w:pPr>
              <w:pStyle w:val="TableParagraph"/>
              <w:spacing w:before="1"/>
              <w:ind w:left="114"/>
              <w:rPr>
                <w:sz w:val="18"/>
              </w:rPr>
            </w:pPr>
            <w:r>
              <w:rPr>
                <w:color w:val="231F20"/>
                <w:sz w:val="18"/>
              </w:rPr>
              <w:t>40%</w:t>
            </w:r>
          </w:p>
        </w:tc>
        <w:tc>
          <w:tcPr>
            <w:tcW w:w="703" w:type="dxa"/>
          </w:tcPr>
          <w:p w14:paraId="2CD69B8E" w14:textId="77777777" w:rsidR="009948F1" w:rsidRDefault="00BC0563">
            <w:pPr>
              <w:pStyle w:val="TableParagraph"/>
              <w:spacing w:before="1"/>
              <w:ind w:left="114"/>
              <w:rPr>
                <w:sz w:val="18"/>
              </w:rPr>
            </w:pPr>
            <w:r>
              <w:rPr>
                <w:color w:val="231F20"/>
                <w:sz w:val="18"/>
              </w:rPr>
              <w:t>50%</w:t>
            </w:r>
          </w:p>
        </w:tc>
        <w:tc>
          <w:tcPr>
            <w:tcW w:w="1126" w:type="dxa"/>
          </w:tcPr>
          <w:p w14:paraId="401A62B7" w14:textId="77777777" w:rsidR="009948F1" w:rsidRDefault="00BC0563">
            <w:pPr>
              <w:pStyle w:val="TableParagraph"/>
              <w:spacing w:before="1" w:line="247" w:lineRule="auto"/>
              <w:ind w:left="114" w:right="162"/>
              <w:jc w:val="both"/>
              <w:rPr>
                <w:sz w:val="18"/>
              </w:rPr>
            </w:pPr>
            <w:r>
              <w:rPr>
                <w:color w:val="231F20"/>
                <w:sz w:val="18"/>
              </w:rPr>
              <w:t>Increased to 50% of baseline</w:t>
            </w:r>
          </w:p>
        </w:tc>
      </w:tr>
      <w:tr w:rsidR="009948F1" w14:paraId="574A07A7" w14:textId="77777777">
        <w:trPr>
          <w:trHeight w:val="633"/>
        </w:trPr>
        <w:tc>
          <w:tcPr>
            <w:tcW w:w="2679" w:type="dxa"/>
            <w:tcBorders>
              <w:top w:val="single" w:sz="8" w:space="0" w:color="231F20"/>
              <w:left w:val="single" w:sz="8" w:space="0" w:color="231F20"/>
              <w:bottom w:val="single" w:sz="8" w:space="0" w:color="231F20"/>
              <w:right w:val="single" w:sz="8" w:space="0" w:color="231F20"/>
            </w:tcBorders>
          </w:tcPr>
          <w:p w14:paraId="5D949977" w14:textId="77777777" w:rsidR="009948F1" w:rsidRDefault="00BC0563">
            <w:pPr>
              <w:pStyle w:val="TableParagraph"/>
              <w:spacing w:line="261" w:lineRule="auto"/>
              <w:ind w:left="108" w:right="209"/>
              <w:rPr>
                <w:sz w:val="18"/>
              </w:rPr>
            </w:pPr>
            <w:r>
              <w:rPr>
                <w:color w:val="231F20"/>
                <w:sz w:val="18"/>
              </w:rPr>
              <w:t>Prevalence of targeted NTDs reduced to 32% by 2022</w:t>
            </w:r>
          </w:p>
        </w:tc>
        <w:tc>
          <w:tcPr>
            <w:tcW w:w="1273" w:type="dxa"/>
            <w:tcBorders>
              <w:top w:val="single" w:sz="8" w:space="0" w:color="231F20"/>
              <w:left w:val="single" w:sz="8" w:space="0" w:color="231F20"/>
              <w:bottom w:val="single" w:sz="8" w:space="0" w:color="231F20"/>
              <w:right w:val="single" w:sz="8" w:space="0" w:color="231F20"/>
            </w:tcBorders>
          </w:tcPr>
          <w:p w14:paraId="28D040A0" w14:textId="77777777" w:rsidR="009948F1" w:rsidRDefault="00BC0563">
            <w:pPr>
              <w:pStyle w:val="TableParagraph"/>
              <w:spacing w:line="207" w:lineRule="exact"/>
              <w:ind w:left="108"/>
              <w:rPr>
                <w:sz w:val="18"/>
              </w:rPr>
            </w:pPr>
            <w:r>
              <w:rPr>
                <w:color w:val="231F20"/>
                <w:sz w:val="18"/>
              </w:rPr>
              <w:t>TBD</w:t>
            </w:r>
          </w:p>
        </w:tc>
        <w:tc>
          <w:tcPr>
            <w:tcW w:w="843" w:type="dxa"/>
            <w:tcBorders>
              <w:left w:val="single" w:sz="8" w:space="0" w:color="231F20"/>
            </w:tcBorders>
          </w:tcPr>
          <w:p w14:paraId="584BFE29" w14:textId="77777777" w:rsidR="009948F1" w:rsidRDefault="00BC0563">
            <w:pPr>
              <w:pStyle w:val="TableParagraph"/>
              <w:spacing w:line="207" w:lineRule="exact"/>
              <w:ind w:left="108"/>
              <w:rPr>
                <w:sz w:val="18"/>
              </w:rPr>
            </w:pPr>
            <w:r>
              <w:rPr>
                <w:color w:val="231F20"/>
                <w:sz w:val="18"/>
              </w:rPr>
              <w:t>40%</w:t>
            </w:r>
          </w:p>
        </w:tc>
        <w:tc>
          <w:tcPr>
            <w:tcW w:w="848" w:type="dxa"/>
          </w:tcPr>
          <w:p w14:paraId="76624208" w14:textId="77777777" w:rsidR="009948F1" w:rsidRDefault="00BC0563">
            <w:pPr>
              <w:pStyle w:val="TableParagraph"/>
              <w:spacing w:line="207" w:lineRule="exact"/>
              <w:ind w:left="113"/>
              <w:rPr>
                <w:sz w:val="18"/>
              </w:rPr>
            </w:pPr>
            <w:r>
              <w:rPr>
                <w:color w:val="231F20"/>
                <w:sz w:val="18"/>
              </w:rPr>
              <w:t>38%</w:t>
            </w:r>
          </w:p>
        </w:tc>
        <w:tc>
          <w:tcPr>
            <w:tcW w:w="843" w:type="dxa"/>
          </w:tcPr>
          <w:p w14:paraId="328C36A0" w14:textId="77777777" w:rsidR="009948F1" w:rsidRDefault="00BC0563">
            <w:pPr>
              <w:pStyle w:val="TableParagraph"/>
              <w:spacing w:line="207" w:lineRule="exact"/>
              <w:ind w:left="113"/>
              <w:rPr>
                <w:sz w:val="18"/>
              </w:rPr>
            </w:pPr>
            <w:r>
              <w:rPr>
                <w:color w:val="231F20"/>
                <w:sz w:val="18"/>
              </w:rPr>
              <w:t>36%</w:t>
            </w:r>
          </w:p>
        </w:tc>
        <w:tc>
          <w:tcPr>
            <w:tcW w:w="988" w:type="dxa"/>
          </w:tcPr>
          <w:p w14:paraId="48186C92" w14:textId="77777777" w:rsidR="009948F1" w:rsidRDefault="00BC0563">
            <w:pPr>
              <w:pStyle w:val="TableParagraph"/>
              <w:spacing w:line="207" w:lineRule="exact"/>
              <w:ind w:left="114"/>
              <w:rPr>
                <w:sz w:val="18"/>
              </w:rPr>
            </w:pPr>
            <w:r>
              <w:rPr>
                <w:color w:val="231F20"/>
                <w:sz w:val="18"/>
              </w:rPr>
              <w:t>34%</w:t>
            </w:r>
          </w:p>
        </w:tc>
        <w:tc>
          <w:tcPr>
            <w:tcW w:w="703" w:type="dxa"/>
          </w:tcPr>
          <w:p w14:paraId="6C09EBB6" w14:textId="77777777" w:rsidR="009948F1" w:rsidRDefault="00BC0563">
            <w:pPr>
              <w:pStyle w:val="TableParagraph"/>
              <w:spacing w:line="207" w:lineRule="exact"/>
              <w:ind w:left="114"/>
              <w:rPr>
                <w:sz w:val="18"/>
              </w:rPr>
            </w:pPr>
            <w:r>
              <w:rPr>
                <w:color w:val="231F20"/>
                <w:sz w:val="18"/>
              </w:rPr>
              <w:t>32%</w:t>
            </w:r>
          </w:p>
        </w:tc>
        <w:tc>
          <w:tcPr>
            <w:tcW w:w="1126" w:type="dxa"/>
          </w:tcPr>
          <w:p w14:paraId="53A49AAE" w14:textId="77777777" w:rsidR="009948F1" w:rsidRDefault="00BC0563">
            <w:pPr>
              <w:pStyle w:val="TableParagraph"/>
              <w:spacing w:line="207" w:lineRule="exact"/>
              <w:ind w:left="114"/>
              <w:rPr>
                <w:sz w:val="18"/>
              </w:rPr>
            </w:pPr>
            <w:r>
              <w:rPr>
                <w:color w:val="231F20"/>
                <w:sz w:val="18"/>
              </w:rPr>
              <w:t>Reduced</w:t>
            </w:r>
          </w:p>
          <w:p w14:paraId="6CCEDEE6" w14:textId="77777777" w:rsidR="009948F1" w:rsidRDefault="00BC0563">
            <w:pPr>
              <w:pStyle w:val="TableParagraph"/>
              <w:spacing w:before="4" w:line="210" w:lineRule="atLeast"/>
              <w:ind w:left="114"/>
              <w:rPr>
                <w:sz w:val="18"/>
              </w:rPr>
            </w:pPr>
            <w:r>
              <w:rPr>
                <w:color w:val="231F20"/>
                <w:sz w:val="18"/>
              </w:rPr>
              <w:t xml:space="preserve">to 60% </w:t>
            </w:r>
            <w:r>
              <w:rPr>
                <w:color w:val="231F20"/>
                <w:spacing w:val="-8"/>
                <w:sz w:val="18"/>
              </w:rPr>
              <w:t xml:space="preserve">of </w:t>
            </w:r>
            <w:r>
              <w:rPr>
                <w:color w:val="231F20"/>
                <w:sz w:val="18"/>
              </w:rPr>
              <w:t>baseline</w:t>
            </w:r>
          </w:p>
        </w:tc>
      </w:tr>
      <w:tr w:rsidR="009948F1" w14:paraId="766B1147" w14:textId="77777777">
        <w:trPr>
          <w:trHeight w:val="850"/>
        </w:trPr>
        <w:tc>
          <w:tcPr>
            <w:tcW w:w="2679" w:type="dxa"/>
            <w:tcBorders>
              <w:top w:val="single" w:sz="8" w:space="0" w:color="231F20"/>
              <w:left w:val="single" w:sz="8" w:space="0" w:color="231F20"/>
              <w:bottom w:val="single" w:sz="8" w:space="0" w:color="231F20"/>
              <w:right w:val="single" w:sz="8" w:space="0" w:color="231F20"/>
            </w:tcBorders>
          </w:tcPr>
          <w:p w14:paraId="4E14734D" w14:textId="77777777" w:rsidR="009948F1" w:rsidRDefault="00BC0563">
            <w:pPr>
              <w:pStyle w:val="TableParagraph"/>
              <w:spacing w:before="3" w:line="247" w:lineRule="auto"/>
              <w:ind w:left="108" w:right="249"/>
              <w:rPr>
                <w:sz w:val="18"/>
              </w:rPr>
            </w:pPr>
            <w:r>
              <w:rPr>
                <w:color w:val="231F20"/>
                <w:sz w:val="18"/>
              </w:rPr>
              <w:t>Attain 50% coverage in preventive chemotherapy for selected neglected tropical</w:t>
            </w:r>
          </w:p>
          <w:p w14:paraId="01981E74" w14:textId="77777777" w:rsidR="009948F1" w:rsidRDefault="00BC0563">
            <w:pPr>
              <w:pStyle w:val="TableParagraph"/>
              <w:spacing w:line="187" w:lineRule="exact"/>
              <w:ind w:left="108"/>
              <w:rPr>
                <w:sz w:val="18"/>
              </w:rPr>
            </w:pPr>
            <w:r>
              <w:rPr>
                <w:color w:val="231F20"/>
                <w:sz w:val="18"/>
              </w:rPr>
              <w:t>diseases (NTDs)</w:t>
            </w:r>
          </w:p>
        </w:tc>
        <w:tc>
          <w:tcPr>
            <w:tcW w:w="1273" w:type="dxa"/>
            <w:tcBorders>
              <w:top w:val="single" w:sz="8" w:space="0" w:color="231F20"/>
              <w:left w:val="single" w:sz="8" w:space="0" w:color="231F20"/>
              <w:bottom w:val="single" w:sz="8" w:space="0" w:color="231F20"/>
              <w:right w:val="single" w:sz="8" w:space="0" w:color="231F20"/>
            </w:tcBorders>
          </w:tcPr>
          <w:p w14:paraId="43D4F493" w14:textId="77777777" w:rsidR="009948F1" w:rsidRDefault="00BC0563">
            <w:pPr>
              <w:pStyle w:val="TableParagraph"/>
              <w:spacing w:before="3"/>
              <w:ind w:left="108"/>
              <w:rPr>
                <w:sz w:val="18"/>
              </w:rPr>
            </w:pPr>
            <w:r>
              <w:rPr>
                <w:color w:val="231F20"/>
                <w:sz w:val="18"/>
              </w:rPr>
              <w:t>TBD</w:t>
            </w:r>
          </w:p>
        </w:tc>
        <w:tc>
          <w:tcPr>
            <w:tcW w:w="843" w:type="dxa"/>
            <w:tcBorders>
              <w:left w:val="single" w:sz="8" w:space="0" w:color="231F20"/>
            </w:tcBorders>
          </w:tcPr>
          <w:p w14:paraId="5BB77A3A" w14:textId="77777777" w:rsidR="009948F1" w:rsidRDefault="00BC0563">
            <w:pPr>
              <w:pStyle w:val="TableParagraph"/>
              <w:spacing w:before="3"/>
              <w:ind w:left="108"/>
              <w:rPr>
                <w:sz w:val="18"/>
              </w:rPr>
            </w:pPr>
            <w:r>
              <w:rPr>
                <w:color w:val="231F20"/>
                <w:sz w:val="18"/>
              </w:rPr>
              <w:t>10%</w:t>
            </w:r>
          </w:p>
        </w:tc>
        <w:tc>
          <w:tcPr>
            <w:tcW w:w="848" w:type="dxa"/>
          </w:tcPr>
          <w:p w14:paraId="28D8EBAC" w14:textId="77777777" w:rsidR="009948F1" w:rsidRDefault="00BC0563">
            <w:pPr>
              <w:pStyle w:val="TableParagraph"/>
              <w:spacing w:before="3"/>
              <w:ind w:left="113"/>
              <w:rPr>
                <w:sz w:val="18"/>
              </w:rPr>
            </w:pPr>
            <w:r>
              <w:rPr>
                <w:color w:val="231F20"/>
                <w:sz w:val="18"/>
              </w:rPr>
              <w:t>20%</w:t>
            </w:r>
          </w:p>
        </w:tc>
        <w:tc>
          <w:tcPr>
            <w:tcW w:w="843" w:type="dxa"/>
          </w:tcPr>
          <w:p w14:paraId="24D5EED7" w14:textId="77777777" w:rsidR="009948F1" w:rsidRDefault="00BC0563">
            <w:pPr>
              <w:pStyle w:val="TableParagraph"/>
              <w:spacing w:before="3"/>
              <w:ind w:left="113"/>
              <w:rPr>
                <w:sz w:val="18"/>
              </w:rPr>
            </w:pPr>
            <w:r>
              <w:rPr>
                <w:color w:val="231F20"/>
                <w:sz w:val="18"/>
              </w:rPr>
              <w:t>30%</w:t>
            </w:r>
          </w:p>
        </w:tc>
        <w:tc>
          <w:tcPr>
            <w:tcW w:w="988" w:type="dxa"/>
          </w:tcPr>
          <w:p w14:paraId="3E388147" w14:textId="77777777" w:rsidR="009948F1" w:rsidRDefault="00BC0563">
            <w:pPr>
              <w:pStyle w:val="TableParagraph"/>
              <w:spacing w:before="3"/>
              <w:ind w:left="114"/>
              <w:rPr>
                <w:sz w:val="18"/>
              </w:rPr>
            </w:pPr>
            <w:r>
              <w:rPr>
                <w:color w:val="231F20"/>
                <w:sz w:val="18"/>
              </w:rPr>
              <w:t>40%</w:t>
            </w:r>
          </w:p>
        </w:tc>
        <w:tc>
          <w:tcPr>
            <w:tcW w:w="703" w:type="dxa"/>
          </w:tcPr>
          <w:p w14:paraId="18C44C19" w14:textId="77777777" w:rsidR="009948F1" w:rsidRDefault="00BC0563">
            <w:pPr>
              <w:pStyle w:val="TableParagraph"/>
              <w:spacing w:before="3"/>
              <w:ind w:left="114"/>
              <w:rPr>
                <w:sz w:val="18"/>
              </w:rPr>
            </w:pPr>
            <w:r>
              <w:rPr>
                <w:color w:val="231F20"/>
                <w:sz w:val="18"/>
              </w:rPr>
              <w:t>50%</w:t>
            </w:r>
          </w:p>
        </w:tc>
        <w:tc>
          <w:tcPr>
            <w:tcW w:w="1126" w:type="dxa"/>
          </w:tcPr>
          <w:p w14:paraId="3DA8239D" w14:textId="77777777" w:rsidR="009948F1" w:rsidRDefault="00BC0563">
            <w:pPr>
              <w:pStyle w:val="TableParagraph"/>
              <w:spacing w:before="3" w:line="247" w:lineRule="auto"/>
              <w:ind w:left="114" w:right="191"/>
              <w:rPr>
                <w:sz w:val="18"/>
              </w:rPr>
            </w:pPr>
            <w:r>
              <w:rPr>
                <w:color w:val="231F20"/>
                <w:sz w:val="18"/>
              </w:rPr>
              <w:t>Increased to 50%</w:t>
            </w:r>
          </w:p>
        </w:tc>
      </w:tr>
    </w:tbl>
    <w:p w14:paraId="0482C96E" w14:textId="77777777" w:rsidR="009948F1" w:rsidRDefault="009948F1">
      <w:pPr>
        <w:pStyle w:val="BodyText"/>
        <w:spacing w:before="5"/>
        <w:rPr>
          <w:b/>
        </w:rPr>
      </w:pPr>
    </w:p>
    <w:p w14:paraId="28764586" w14:textId="77777777" w:rsidR="009948F1" w:rsidRDefault="00BC0563">
      <w:pPr>
        <w:ind w:left="171"/>
        <w:rPr>
          <w:b/>
        </w:rPr>
      </w:pPr>
      <w:r>
        <w:rPr>
          <w:b/>
          <w:color w:val="231F20"/>
        </w:rPr>
        <w:t>Interventions</w:t>
      </w:r>
    </w:p>
    <w:p w14:paraId="5C55E0DF" w14:textId="77777777" w:rsidR="009948F1" w:rsidRDefault="00BC0563">
      <w:pPr>
        <w:pStyle w:val="ListParagraph"/>
        <w:numPr>
          <w:ilvl w:val="3"/>
          <w:numId w:val="286"/>
        </w:numPr>
        <w:tabs>
          <w:tab w:val="left" w:pos="888"/>
        </w:tabs>
        <w:spacing w:before="23" w:line="261" w:lineRule="auto"/>
        <w:ind w:right="231" w:firstLine="0"/>
      </w:pPr>
      <w:r>
        <w:rPr>
          <w:color w:val="231F20"/>
        </w:rPr>
        <w:t>Strengthen</w:t>
      </w:r>
      <w:r>
        <w:rPr>
          <w:color w:val="231F20"/>
          <w:spacing w:val="-20"/>
        </w:rPr>
        <w:t xml:space="preserve"> </w:t>
      </w:r>
      <w:r>
        <w:rPr>
          <w:color w:val="231F20"/>
        </w:rPr>
        <w:t>advocacy,</w:t>
      </w:r>
      <w:r>
        <w:rPr>
          <w:color w:val="231F20"/>
          <w:spacing w:val="-20"/>
        </w:rPr>
        <w:t xml:space="preserve"> </w:t>
      </w:r>
      <w:r>
        <w:rPr>
          <w:color w:val="231F20"/>
        </w:rPr>
        <w:t>social</w:t>
      </w:r>
      <w:r>
        <w:rPr>
          <w:color w:val="231F20"/>
          <w:spacing w:val="-20"/>
        </w:rPr>
        <w:t xml:space="preserve"> </w:t>
      </w:r>
      <w:r>
        <w:rPr>
          <w:color w:val="231F20"/>
        </w:rPr>
        <w:t>mobilization</w:t>
      </w:r>
      <w:r>
        <w:rPr>
          <w:color w:val="231F20"/>
          <w:spacing w:val="-20"/>
        </w:rPr>
        <w:t xml:space="preserve"> </w:t>
      </w:r>
      <w:r>
        <w:rPr>
          <w:color w:val="231F20"/>
        </w:rPr>
        <w:t>and</w:t>
      </w:r>
      <w:r>
        <w:rPr>
          <w:color w:val="231F20"/>
          <w:spacing w:val="-20"/>
        </w:rPr>
        <w:t xml:space="preserve"> </w:t>
      </w:r>
      <w:proofErr w:type="spellStart"/>
      <w:r>
        <w:rPr>
          <w:color w:val="231F20"/>
        </w:rPr>
        <w:t>behaviour</w:t>
      </w:r>
      <w:proofErr w:type="spellEnd"/>
      <w:r>
        <w:rPr>
          <w:color w:val="231F20"/>
          <w:spacing w:val="-20"/>
        </w:rPr>
        <w:t xml:space="preserve"> </w:t>
      </w:r>
      <w:r>
        <w:rPr>
          <w:color w:val="231F20"/>
        </w:rPr>
        <w:t>change</w:t>
      </w:r>
      <w:r>
        <w:rPr>
          <w:color w:val="231F20"/>
          <w:spacing w:val="-20"/>
        </w:rPr>
        <w:t xml:space="preserve"> </w:t>
      </w:r>
      <w:r>
        <w:rPr>
          <w:color w:val="231F20"/>
        </w:rPr>
        <w:t>communication</w:t>
      </w:r>
      <w:r>
        <w:rPr>
          <w:color w:val="231F20"/>
          <w:spacing w:val="-20"/>
        </w:rPr>
        <w:t xml:space="preserve"> </w:t>
      </w:r>
      <w:r>
        <w:rPr>
          <w:color w:val="231F20"/>
        </w:rPr>
        <w:t>for</w:t>
      </w:r>
      <w:r>
        <w:rPr>
          <w:color w:val="231F20"/>
          <w:spacing w:val="-20"/>
        </w:rPr>
        <w:t xml:space="preserve"> </w:t>
      </w:r>
      <w:r>
        <w:rPr>
          <w:color w:val="231F20"/>
        </w:rPr>
        <w:t>NTDs. Key actions include; – Conduct advocacy visit to community institutions on Community Mobilization</w:t>
      </w:r>
      <w:r>
        <w:rPr>
          <w:color w:val="231F20"/>
          <w:spacing w:val="-16"/>
        </w:rPr>
        <w:t xml:space="preserve"> </w:t>
      </w:r>
      <w:r>
        <w:rPr>
          <w:color w:val="231F20"/>
        </w:rPr>
        <w:t>on</w:t>
      </w:r>
      <w:r>
        <w:rPr>
          <w:color w:val="231F20"/>
          <w:spacing w:val="-15"/>
        </w:rPr>
        <w:t xml:space="preserve"> </w:t>
      </w:r>
      <w:r>
        <w:rPr>
          <w:color w:val="231F20"/>
        </w:rPr>
        <w:t>NTDs</w:t>
      </w:r>
      <w:r>
        <w:rPr>
          <w:color w:val="231F20"/>
          <w:spacing w:val="-15"/>
        </w:rPr>
        <w:t xml:space="preserve"> </w:t>
      </w:r>
      <w:r>
        <w:rPr>
          <w:color w:val="231F20"/>
        </w:rPr>
        <w:t>recognition,</w:t>
      </w:r>
      <w:r>
        <w:rPr>
          <w:color w:val="231F20"/>
          <w:spacing w:val="-15"/>
        </w:rPr>
        <w:t xml:space="preserve"> </w:t>
      </w:r>
      <w:r>
        <w:rPr>
          <w:color w:val="231F20"/>
        </w:rPr>
        <w:t>reporting</w:t>
      </w:r>
      <w:r>
        <w:rPr>
          <w:color w:val="231F20"/>
          <w:spacing w:val="-15"/>
        </w:rPr>
        <w:t xml:space="preserve"> </w:t>
      </w:r>
      <w:r>
        <w:rPr>
          <w:color w:val="231F20"/>
        </w:rPr>
        <w:t>and</w:t>
      </w:r>
      <w:r>
        <w:rPr>
          <w:color w:val="231F20"/>
          <w:spacing w:val="-15"/>
        </w:rPr>
        <w:t xml:space="preserve"> </w:t>
      </w:r>
      <w:r>
        <w:rPr>
          <w:color w:val="231F20"/>
        </w:rPr>
        <w:t>control</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23</w:t>
      </w:r>
      <w:r>
        <w:rPr>
          <w:color w:val="231F20"/>
          <w:spacing w:val="-15"/>
        </w:rPr>
        <w:t xml:space="preserve"> </w:t>
      </w:r>
      <w:r>
        <w:rPr>
          <w:color w:val="231F20"/>
        </w:rPr>
        <w:t>LGAs;</w:t>
      </w:r>
      <w:r>
        <w:rPr>
          <w:color w:val="231F20"/>
          <w:spacing w:val="-15"/>
        </w:rPr>
        <w:t xml:space="preserve"> </w:t>
      </w:r>
      <w:r>
        <w:rPr>
          <w:color w:val="231F20"/>
        </w:rPr>
        <w:t>Conduct</w:t>
      </w:r>
      <w:r>
        <w:rPr>
          <w:color w:val="231F20"/>
          <w:spacing w:val="-16"/>
        </w:rPr>
        <w:t xml:space="preserve"> </w:t>
      </w:r>
      <w:r>
        <w:rPr>
          <w:color w:val="231F20"/>
        </w:rPr>
        <w:t>advocacy</w:t>
      </w:r>
      <w:r>
        <w:rPr>
          <w:color w:val="231F20"/>
          <w:spacing w:val="-15"/>
        </w:rPr>
        <w:t xml:space="preserve"> </w:t>
      </w:r>
      <w:r>
        <w:rPr>
          <w:color w:val="231F20"/>
        </w:rPr>
        <w:t>visit</w:t>
      </w:r>
      <w:r>
        <w:rPr>
          <w:color w:val="231F20"/>
          <w:spacing w:val="-15"/>
        </w:rPr>
        <w:t xml:space="preserve"> </w:t>
      </w:r>
      <w:r>
        <w:rPr>
          <w:color w:val="231F20"/>
        </w:rPr>
        <w:t>to the Commissioner of Education for inclusion of all NTDs control in curricula of health training schools; Design, print and distribute IEC materials and advocacy kits; Engage media advocacy and</w:t>
      </w:r>
      <w:r>
        <w:rPr>
          <w:color w:val="231F20"/>
          <w:spacing w:val="-6"/>
        </w:rPr>
        <w:t xml:space="preserve"> </w:t>
      </w:r>
      <w:r>
        <w:rPr>
          <w:color w:val="231F20"/>
        </w:rPr>
        <w:t>sensitization</w:t>
      </w:r>
      <w:r>
        <w:rPr>
          <w:color w:val="231F20"/>
          <w:spacing w:val="-5"/>
        </w:rPr>
        <w:t xml:space="preserve"> </w:t>
      </w:r>
      <w:r>
        <w:rPr>
          <w:color w:val="231F20"/>
        </w:rPr>
        <w:t>:</w:t>
      </w:r>
      <w:r>
        <w:rPr>
          <w:color w:val="231F20"/>
          <w:spacing w:val="-5"/>
        </w:rPr>
        <w:t xml:space="preserve"> </w:t>
      </w:r>
      <w:r>
        <w:rPr>
          <w:color w:val="231F20"/>
        </w:rPr>
        <w:t>Press</w:t>
      </w:r>
      <w:r>
        <w:rPr>
          <w:color w:val="231F20"/>
          <w:spacing w:val="-5"/>
        </w:rPr>
        <w:t xml:space="preserve"> </w:t>
      </w:r>
      <w:r>
        <w:rPr>
          <w:color w:val="231F20"/>
        </w:rPr>
        <w:t>briefing,</w:t>
      </w:r>
      <w:r>
        <w:rPr>
          <w:color w:val="231F20"/>
          <w:spacing w:val="-5"/>
        </w:rPr>
        <w:t xml:space="preserve"> </w:t>
      </w:r>
      <w:r>
        <w:rPr>
          <w:color w:val="231F20"/>
        </w:rPr>
        <w:t>talk</w:t>
      </w:r>
      <w:r>
        <w:rPr>
          <w:color w:val="231F20"/>
          <w:spacing w:val="-5"/>
        </w:rPr>
        <w:t xml:space="preserve"> </w:t>
      </w:r>
      <w:r>
        <w:rPr>
          <w:color w:val="231F20"/>
        </w:rPr>
        <w:t>shows</w:t>
      </w:r>
      <w:r>
        <w:rPr>
          <w:color w:val="231F20"/>
          <w:spacing w:val="-5"/>
        </w:rPr>
        <w:t xml:space="preserve"> </w:t>
      </w:r>
      <w:r>
        <w:rPr>
          <w:color w:val="231F20"/>
        </w:rPr>
        <w:t>on</w:t>
      </w:r>
      <w:r>
        <w:rPr>
          <w:color w:val="231F20"/>
          <w:spacing w:val="-5"/>
        </w:rPr>
        <w:t xml:space="preserve"> </w:t>
      </w:r>
      <w:r>
        <w:rPr>
          <w:color w:val="231F20"/>
        </w:rPr>
        <w:t>NTDs</w:t>
      </w:r>
      <w:r>
        <w:rPr>
          <w:color w:val="231F20"/>
          <w:spacing w:val="-5"/>
        </w:rPr>
        <w:t xml:space="preserve"> </w:t>
      </w:r>
      <w:r>
        <w:rPr>
          <w:color w:val="231F20"/>
        </w:rPr>
        <w:t>(TV</w:t>
      </w:r>
      <w:r>
        <w:rPr>
          <w:color w:val="231F20"/>
          <w:spacing w:val="-5"/>
        </w:rPr>
        <w:t xml:space="preserve"> </w:t>
      </w:r>
      <w:r>
        <w:rPr>
          <w:color w:val="231F20"/>
        </w:rPr>
        <w:t>&amp;</w:t>
      </w:r>
      <w:r>
        <w:rPr>
          <w:color w:val="231F20"/>
          <w:spacing w:val="-5"/>
        </w:rPr>
        <w:t xml:space="preserve"> </w:t>
      </w:r>
      <w:r>
        <w:rPr>
          <w:color w:val="231F20"/>
        </w:rPr>
        <w:t>Radio);</w:t>
      </w:r>
      <w:r>
        <w:rPr>
          <w:color w:val="231F20"/>
          <w:spacing w:val="-5"/>
        </w:rPr>
        <w:t xml:space="preserve"> </w:t>
      </w:r>
      <w:r>
        <w:rPr>
          <w:color w:val="231F20"/>
        </w:rPr>
        <w:t>Production</w:t>
      </w:r>
      <w:r>
        <w:rPr>
          <w:color w:val="231F20"/>
          <w:spacing w:val="-5"/>
        </w:rPr>
        <w:t xml:space="preserve"> </w:t>
      </w:r>
      <w:r>
        <w:rPr>
          <w:color w:val="231F20"/>
        </w:rPr>
        <w:t>of</w:t>
      </w:r>
      <w:r>
        <w:rPr>
          <w:color w:val="231F20"/>
          <w:spacing w:val="-5"/>
        </w:rPr>
        <w:t xml:space="preserve"> </w:t>
      </w:r>
      <w:r>
        <w:rPr>
          <w:color w:val="231F20"/>
        </w:rPr>
        <w:t>newsletter</w:t>
      </w:r>
      <w:r>
        <w:rPr>
          <w:color w:val="231F20"/>
          <w:spacing w:val="-6"/>
        </w:rPr>
        <w:t xml:space="preserve"> </w:t>
      </w:r>
      <w:r>
        <w:rPr>
          <w:color w:val="231F20"/>
        </w:rPr>
        <w:t>on NTDs.</w:t>
      </w:r>
    </w:p>
    <w:p w14:paraId="65A0B7E1" w14:textId="77777777" w:rsidR="009948F1" w:rsidRDefault="009948F1">
      <w:pPr>
        <w:pStyle w:val="BodyText"/>
        <w:spacing w:before="2"/>
        <w:rPr>
          <w:sz w:val="24"/>
        </w:rPr>
      </w:pPr>
    </w:p>
    <w:p w14:paraId="61BB3004" w14:textId="77777777" w:rsidR="009948F1" w:rsidRDefault="00BC0563">
      <w:pPr>
        <w:pStyle w:val="ListParagraph"/>
        <w:numPr>
          <w:ilvl w:val="3"/>
          <w:numId w:val="286"/>
        </w:numPr>
        <w:tabs>
          <w:tab w:val="left" w:pos="906"/>
        </w:tabs>
        <w:spacing w:line="261" w:lineRule="auto"/>
        <w:ind w:right="231" w:firstLine="0"/>
      </w:pPr>
      <w:r>
        <w:rPr>
          <w:color w:val="231F20"/>
        </w:rPr>
        <w:t>Scale up delivery of integrated preventive chemotherapy packages and other packages. Key</w:t>
      </w:r>
      <w:r>
        <w:rPr>
          <w:color w:val="231F20"/>
          <w:spacing w:val="-18"/>
        </w:rPr>
        <w:t xml:space="preserve"> </w:t>
      </w:r>
      <w:r>
        <w:rPr>
          <w:color w:val="231F20"/>
        </w:rPr>
        <w:t>actions</w:t>
      </w:r>
      <w:r>
        <w:rPr>
          <w:color w:val="231F20"/>
          <w:spacing w:val="-16"/>
        </w:rPr>
        <w:t xml:space="preserve"> </w:t>
      </w:r>
      <w:r>
        <w:rPr>
          <w:color w:val="231F20"/>
        </w:rPr>
        <w:t>include;</w:t>
      </w:r>
      <w:r>
        <w:rPr>
          <w:color w:val="231F20"/>
          <w:spacing w:val="-16"/>
        </w:rPr>
        <w:t xml:space="preserve"> </w:t>
      </w:r>
      <w:r>
        <w:rPr>
          <w:color w:val="231F20"/>
        </w:rPr>
        <w:t>–</w:t>
      </w:r>
      <w:r>
        <w:rPr>
          <w:color w:val="231F20"/>
          <w:spacing w:val="-17"/>
        </w:rPr>
        <w:t xml:space="preserve"> </w:t>
      </w:r>
      <w:r>
        <w:rPr>
          <w:color w:val="231F20"/>
        </w:rPr>
        <w:t>Collection</w:t>
      </w:r>
      <w:r>
        <w:rPr>
          <w:color w:val="231F20"/>
          <w:spacing w:val="-16"/>
        </w:rPr>
        <w:t xml:space="preserve"> </w:t>
      </w:r>
      <w:r>
        <w:rPr>
          <w:color w:val="231F20"/>
        </w:rPr>
        <w:t>of</w:t>
      </w:r>
      <w:r>
        <w:rPr>
          <w:color w:val="231F20"/>
          <w:spacing w:val="-17"/>
        </w:rPr>
        <w:t xml:space="preserve"> </w:t>
      </w:r>
      <w:r>
        <w:rPr>
          <w:color w:val="231F20"/>
        </w:rPr>
        <w:t>FMOH</w:t>
      </w:r>
      <w:r>
        <w:rPr>
          <w:color w:val="231F20"/>
          <w:spacing w:val="-17"/>
        </w:rPr>
        <w:t xml:space="preserve"> </w:t>
      </w:r>
      <w:r>
        <w:rPr>
          <w:color w:val="231F20"/>
        </w:rPr>
        <w:t>allocation</w:t>
      </w:r>
      <w:r>
        <w:rPr>
          <w:color w:val="231F20"/>
          <w:spacing w:val="-16"/>
        </w:rPr>
        <w:t xml:space="preserve"> </w:t>
      </w:r>
      <w:r>
        <w:rPr>
          <w:color w:val="231F20"/>
        </w:rPr>
        <w:t>of</w:t>
      </w:r>
      <w:r>
        <w:rPr>
          <w:color w:val="231F20"/>
          <w:spacing w:val="-17"/>
        </w:rPr>
        <w:t xml:space="preserve"> </w:t>
      </w:r>
      <w:r>
        <w:rPr>
          <w:color w:val="231F20"/>
        </w:rPr>
        <w:t>medicine</w:t>
      </w:r>
      <w:r>
        <w:rPr>
          <w:color w:val="231F20"/>
          <w:spacing w:val="-16"/>
        </w:rPr>
        <w:t xml:space="preserve"> </w:t>
      </w:r>
      <w:r>
        <w:rPr>
          <w:color w:val="231F20"/>
        </w:rPr>
        <w:t>from</w:t>
      </w:r>
      <w:r>
        <w:rPr>
          <w:color w:val="231F20"/>
          <w:spacing w:val="-17"/>
        </w:rPr>
        <w:t xml:space="preserve"> </w:t>
      </w:r>
      <w:r>
        <w:rPr>
          <w:color w:val="231F20"/>
        </w:rPr>
        <w:t>CMS,</w:t>
      </w:r>
      <w:r>
        <w:rPr>
          <w:color w:val="231F20"/>
          <w:spacing w:val="-17"/>
        </w:rPr>
        <w:t xml:space="preserve"> </w:t>
      </w:r>
      <w:r>
        <w:rPr>
          <w:color w:val="231F20"/>
        </w:rPr>
        <w:t>Oshodi,</w:t>
      </w:r>
      <w:r>
        <w:rPr>
          <w:color w:val="231F20"/>
          <w:spacing w:val="-18"/>
        </w:rPr>
        <w:t xml:space="preserve"> </w:t>
      </w:r>
      <w:r>
        <w:rPr>
          <w:color w:val="231F20"/>
        </w:rPr>
        <w:t>Lagos</w:t>
      </w:r>
      <w:r>
        <w:rPr>
          <w:color w:val="231F20"/>
          <w:spacing w:val="-16"/>
        </w:rPr>
        <w:t xml:space="preserve"> </w:t>
      </w:r>
      <w:r>
        <w:rPr>
          <w:color w:val="231F20"/>
        </w:rPr>
        <w:t xml:space="preserve">State; Conduct trainings for state &amp; 23 LGA Officers on Logistic Management Information System; Conduct delivery of chemotherapy packages and others to LGAs, communities and schools </w:t>
      </w:r>
      <w:r>
        <w:rPr>
          <w:color w:val="231F20"/>
          <w:spacing w:val="-5"/>
        </w:rPr>
        <w:t xml:space="preserve">and </w:t>
      </w:r>
      <w:r>
        <w:rPr>
          <w:color w:val="231F20"/>
        </w:rPr>
        <w:t>retrieval</w:t>
      </w:r>
      <w:r>
        <w:rPr>
          <w:color w:val="231F20"/>
          <w:spacing w:val="-25"/>
        </w:rPr>
        <w:t xml:space="preserve"> </w:t>
      </w:r>
      <w:r>
        <w:rPr>
          <w:color w:val="231F20"/>
        </w:rPr>
        <w:t>of</w:t>
      </w:r>
      <w:r>
        <w:rPr>
          <w:color w:val="231F20"/>
          <w:spacing w:val="-25"/>
        </w:rPr>
        <w:t xml:space="preserve"> </w:t>
      </w:r>
      <w:r>
        <w:rPr>
          <w:color w:val="231F20"/>
        </w:rPr>
        <w:t>left</w:t>
      </w:r>
      <w:r>
        <w:rPr>
          <w:color w:val="231F20"/>
          <w:spacing w:val="-25"/>
        </w:rPr>
        <w:t xml:space="preserve"> </w:t>
      </w:r>
      <w:r>
        <w:rPr>
          <w:color w:val="231F20"/>
          <w:spacing w:val="-3"/>
        </w:rPr>
        <w:t>over.</w:t>
      </w:r>
    </w:p>
    <w:p w14:paraId="652DFE44" w14:textId="77777777" w:rsidR="009948F1" w:rsidRDefault="009948F1">
      <w:pPr>
        <w:spacing w:line="261" w:lineRule="auto"/>
        <w:jc w:val="both"/>
        <w:sectPr w:rsidR="009948F1">
          <w:pgSz w:w="11910" w:h="16840"/>
          <w:pgMar w:top="1440" w:right="1080" w:bottom="1420" w:left="1120" w:header="0" w:footer="1235" w:gutter="0"/>
          <w:cols w:space="720"/>
        </w:sectPr>
      </w:pPr>
    </w:p>
    <w:p w14:paraId="3080575D" w14:textId="77777777" w:rsidR="009948F1" w:rsidRDefault="00BC0563">
      <w:pPr>
        <w:pStyle w:val="ListParagraph"/>
        <w:numPr>
          <w:ilvl w:val="3"/>
          <w:numId w:val="286"/>
        </w:numPr>
        <w:tabs>
          <w:tab w:val="left" w:pos="915"/>
        </w:tabs>
        <w:spacing w:before="53" w:line="252" w:lineRule="auto"/>
        <w:ind w:left="189" w:right="200" w:firstLine="0"/>
      </w:pPr>
      <w:bookmarkStart w:id="75" w:name="Page_61"/>
      <w:bookmarkEnd w:id="75"/>
      <w:r>
        <w:rPr>
          <w:color w:val="231F20"/>
        </w:rPr>
        <w:lastRenderedPageBreak/>
        <w:t>Strengthen</w:t>
      </w:r>
      <w:r>
        <w:rPr>
          <w:color w:val="231F20"/>
          <w:spacing w:val="-11"/>
        </w:rPr>
        <w:t xml:space="preserve"> </w:t>
      </w:r>
      <w:r>
        <w:rPr>
          <w:color w:val="231F20"/>
        </w:rPr>
        <w:t>integrated</w:t>
      </w:r>
      <w:r>
        <w:rPr>
          <w:color w:val="231F20"/>
          <w:spacing w:val="-10"/>
        </w:rPr>
        <w:t xml:space="preserve"> </w:t>
      </w:r>
      <w:r>
        <w:rPr>
          <w:color w:val="231F20"/>
        </w:rPr>
        <w:t>vector</w:t>
      </w:r>
      <w:r>
        <w:rPr>
          <w:color w:val="231F20"/>
          <w:spacing w:val="-10"/>
        </w:rPr>
        <w:t xml:space="preserve"> </w:t>
      </w:r>
      <w:r>
        <w:rPr>
          <w:color w:val="231F20"/>
        </w:rPr>
        <w:t>and</w:t>
      </w:r>
      <w:r>
        <w:rPr>
          <w:color w:val="231F20"/>
          <w:spacing w:val="-10"/>
        </w:rPr>
        <w:t xml:space="preserve"> </w:t>
      </w:r>
      <w:r>
        <w:rPr>
          <w:color w:val="231F20"/>
        </w:rPr>
        <w:t>management</w:t>
      </w:r>
      <w:r>
        <w:rPr>
          <w:color w:val="231F20"/>
          <w:spacing w:val="-10"/>
        </w:rPr>
        <w:t xml:space="preserve"> </w:t>
      </w:r>
      <w:r>
        <w:rPr>
          <w:color w:val="231F20"/>
        </w:rPr>
        <w:t>and</w:t>
      </w:r>
      <w:r>
        <w:rPr>
          <w:color w:val="231F20"/>
          <w:spacing w:val="-10"/>
        </w:rPr>
        <w:t xml:space="preserve"> </w:t>
      </w:r>
      <w:r>
        <w:rPr>
          <w:color w:val="231F20"/>
        </w:rPr>
        <w:t>activities</w:t>
      </w:r>
      <w:r>
        <w:rPr>
          <w:color w:val="231F20"/>
          <w:spacing w:val="-10"/>
        </w:rPr>
        <w:t xml:space="preserve"> </w:t>
      </w:r>
      <w:r>
        <w:rPr>
          <w:color w:val="231F20"/>
        </w:rPr>
        <w:t>for</w:t>
      </w:r>
      <w:r>
        <w:rPr>
          <w:color w:val="231F20"/>
          <w:spacing w:val="-10"/>
        </w:rPr>
        <w:t xml:space="preserve"> </w:t>
      </w:r>
      <w:r>
        <w:rPr>
          <w:color w:val="231F20"/>
        </w:rPr>
        <w:t>health</w:t>
      </w:r>
      <w:r>
        <w:rPr>
          <w:color w:val="231F20"/>
          <w:spacing w:val="-10"/>
        </w:rPr>
        <w:t xml:space="preserve"> </w:t>
      </w:r>
      <w:r>
        <w:rPr>
          <w:color w:val="231F20"/>
        </w:rPr>
        <w:t>education,</w:t>
      </w:r>
      <w:r>
        <w:rPr>
          <w:color w:val="231F20"/>
          <w:spacing w:val="-10"/>
        </w:rPr>
        <w:t xml:space="preserve"> </w:t>
      </w:r>
      <w:r>
        <w:rPr>
          <w:color w:val="231F20"/>
        </w:rPr>
        <w:t>access to</w:t>
      </w:r>
      <w:r>
        <w:rPr>
          <w:color w:val="231F20"/>
          <w:spacing w:val="-23"/>
        </w:rPr>
        <w:t xml:space="preserve"> </w:t>
      </w:r>
      <w:r>
        <w:rPr>
          <w:color w:val="231F20"/>
        </w:rPr>
        <w:t>clean</w:t>
      </w:r>
      <w:r>
        <w:rPr>
          <w:color w:val="231F20"/>
          <w:spacing w:val="-23"/>
        </w:rPr>
        <w:t xml:space="preserve"> </w:t>
      </w:r>
      <w:r>
        <w:rPr>
          <w:color w:val="231F20"/>
          <w:spacing w:val="-3"/>
        </w:rPr>
        <w:t>water,</w:t>
      </w:r>
      <w:r>
        <w:rPr>
          <w:color w:val="231F20"/>
          <w:spacing w:val="-23"/>
        </w:rPr>
        <w:t xml:space="preserve"> </w:t>
      </w:r>
      <w:r>
        <w:rPr>
          <w:color w:val="231F20"/>
        </w:rPr>
        <w:t>sanitation,</w:t>
      </w:r>
      <w:r>
        <w:rPr>
          <w:color w:val="231F20"/>
          <w:spacing w:val="-22"/>
        </w:rPr>
        <w:t xml:space="preserve"> </w:t>
      </w:r>
      <w:r>
        <w:rPr>
          <w:color w:val="231F20"/>
        </w:rPr>
        <w:t>and</w:t>
      </w:r>
      <w:r>
        <w:rPr>
          <w:color w:val="231F20"/>
          <w:spacing w:val="-23"/>
        </w:rPr>
        <w:t xml:space="preserve"> </w:t>
      </w:r>
      <w:r>
        <w:rPr>
          <w:color w:val="231F20"/>
        </w:rPr>
        <w:t>environmental</w:t>
      </w:r>
      <w:r>
        <w:rPr>
          <w:color w:val="231F20"/>
          <w:spacing w:val="-23"/>
        </w:rPr>
        <w:t xml:space="preserve"> </w:t>
      </w:r>
      <w:r>
        <w:rPr>
          <w:color w:val="231F20"/>
        </w:rPr>
        <w:t>improvement</w:t>
      </w:r>
      <w:r>
        <w:rPr>
          <w:color w:val="231F20"/>
          <w:spacing w:val="-22"/>
        </w:rPr>
        <w:t xml:space="preserve"> </w:t>
      </w:r>
      <w:r>
        <w:rPr>
          <w:color w:val="231F20"/>
        </w:rPr>
        <w:t>for</w:t>
      </w:r>
      <w:r>
        <w:rPr>
          <w:color w:val="231F20"/>
          <w:spacing w:val="-23"/>
        </w:rPr>
        <w:t xml:space="preserve"> </w:t>
      </w:r>
      <w:r>
        <w:rPr>
          <w:color w:val="231F20"/>
        </w:rPr>
        <w:t>targeted</w:t>
      </w:r>
      <w:r>
        <w:rPr>
          <w:color w:val="231F20"/>
          <w:spacing w:val="-23"/>
        </w:rPr>
        <w:t xml:space="preserve"> </w:t>
      </w:r>
      <w:r>
        <w:rPr>
          <w:color w:val="231F20"/>
        </w:rPr>
        <w:t>NTDs.</w:t>
      </w:r>
      <w:r>
        <w:rPr>
          <w:color w:val="231F20"/>
          <w:spacing w:val="-22"/>
        </w:rPr>
        <w:t xml:space="preserve"> </w:t>
      </w:r>
      <w:r>
        <w:rPr>
          <w:color w:val="231F20"/>
        </w:rPr>
        <w:t>Key</w:t>
      </w:r>
      <w:r>
        <w:rPr>
          <w:color w:val="231F20"/>
          <w:spacing w:val="-23"/>
        </w:rPr>
        <w:t xml:space="preserve"> </w:t>
      </w:r>
      <w:r>
        <w:rPr>
          <w:color w:val="231F20"/>
        </w:rPr>
        <w:t>actions</w:t>
      </w:r>
      <w:r>
        <w:rPr>
          <w:color w:val="231F20"/>
          <w:spacing w:val="-23"/>
        </w:rPr>
        <w:t xml:space="preserve"> </w:t>
      </w:r>
      <w:r>
        <w:rPr>
          <w:color w:val="231F20"/>
        </w:rPr>
        <w:t>include;</w:t>
      </w:r>
    </w:p>
    <w:p w14:paraId="46A44A66" w14:textId="77777777" w:rsidR="009948F1" w:rsidRDefault="00BC0563">
      <w:pPr>
        <w:pStyle w:val="BodyText"/>
        <w:spacing w:line="252" w:lineRule="auto"/>
        <w:ind w:left="189" w:right="200"/>
        <w:jc w:val="both"/>
      </w:pPr>
      <w:r>
        <w:rPr>
          <w:color w:val="231F20"/>
        </w:rPr>
        <w:t>– Conduct advocacy visit to Ministry of Environment for increased coverage of safe water</w:t>
      </w:r>
      <w:r>
        <w:rPr>
          <w:color w:val="231F20"/>
          <w:spacing w:val="-40"/>
        </w:rPr>
        <w:t xml:space="preserve"> </w:t>
      </w:r>
      <w:r>
        <w:rPr>
          <w:color w:val="231F20"/>
          <w:spacing w:val="-3"/>
        </w:rPr>
        <w:t xml:space="preserve">supply </w:t>
      </w:r>
      <w:r>
        <w:rPr>
          <w:color w:val="231F20"/>
        </w:rPr>
        <w:t xml:space="preserve">and sanitation; Set up intersectoral collaboration forum for water supply in the state; </w:t>
      </w:r>
      <w:r>
        <w:rPr>
          <w:color w:val="231F20"/>
          <w:spacing w:val="-3"/>
        </w:rPr>
        <w:t xml:space="preserve">Conduct </w:t>
      </w:r>
      <w:r>
        <w:rPr>
          <w:color w:val="231F20"/>
        </w:rPr>
        <w:t>periodic meetings for intersectoral collaboration forum for water supply; Conduct advocacy meetings</w:t>
      </w:r>
      <w:r>
        <w:rPr>
          <w:color w:val="231F20"/>
          <w:spacing w:val="-25"/>
        </w:rPr>
        <w:t xml:space="preserve"> </w:t>
      </w:r>
      <w:r>
        <w:rPr>
          <w:color w:val="231F20"/>
        </w:rPr>
        <w:t>with</w:t>
      </w:r>
      <w:r>
        <w:rPr>
          <w:color w:val="231F20"/>
          <w:spacing w:val="-26"/>
        </w:rPr>
        <w:t xml:space="preserve"> </w:t>
      </w:r>
      <w:r>
        <w:rPr>
          <w:color w:val="231F20"/>
        </w:rPr>
        <w:t>WDC</w:t>
      </w:r>
      <w:r>
        <w:rPr>
          <w:color w:val="231F20"/>
          <w:spacing w:val="-25"/>
        </w:rPr>
        <w:t xml:space="preserve"> </w:t>
      </w:r>
      <w:r>
        <w:rPr>
          <w:color w:val="231F20"/>
        </w:rPr>
        <w:t>to</w:t>
      </w:r>
      <w:r>
        <w:rPr>
          <w:color w:val="231F20"/>
          <w:spacing w:val="-25"/>
        </w:rPr>
        <w:t xml:space="preserve"> </w:t>
      </w:r>
      <w:r>
        <w:rPr>
          <w:color w:val="231F20"/>
        </w:rPr>
        <w:t>mobilize</w:t>
      </w:r>
      <w:r>
        <w:rPr>
          <w:color w:val="231F20"/>
          <w:spacing w:val="-25"/>
        </w:rPr>
        <w:t xml:space="preserve"> </w:t>
      </w:r>
      <w:r>
        <w:rPr>
          <w:color w:val="231F20"/>
        </w:rPr>
        <w:t>communities</w:t>
      </w:r>
      <w:r>
        <w:rPr>
          <w:color w:val="231F20"/>
          <w:spacing w:val="-25"/>
        </w:rPr>
        <w:t xml:space="preserve"> </w:t>
      </w:r>
      <w:r>
        <w:rPr>
          <w:color w:val="231F20"/>
        </w:rPr>
        <w:t>to</w:t>
      </w:r>
      <w:r>
        <w:rPr>
          <w:color w:val="231F20"/>
          <w:spacing w:val="-25"/>
        </w:rPr>
        <w:t xml:space="preserve"> </w:t>
      </w:r>
      <w:r>
        <w:rPr>
          <w:color w:val="231F20"/>
        </w:rPr>
        <w:t>undertake</w:t>
      </w:r>
      <w:r>
        <w:rPr>
          <w:color w:val="231F20"/>
          <w:spacing w:val="-25"/>
        </w:rPr>
        <w:t xml:space="preserve"> </w:t>
      </w:r>
      <w:r>
        <w:rPr>
          <w:color w:val="231F20"/>
        </w:rPr>
        <w:t>IVM</w:t>
      </w:r>
      <w:r>
        <w:rPr>
          <w:color w:val="231F20"/>
          <w:spacing w:val="-25"/>
        </w:rPr>
        <w:t xml:space="preserve"> </w:t>
      </w:r>
      <w:r>
        <w:rPr>
          <w:color w:val="231F20"/>
        </w:rPr>
        <w:t>measures.</w:t>
      </w:r>
    </w:p>
    <w:p w14:paraId="27C70D10" w14:textId="77777777" w:rsidR="009948F1" w:rsidRDefault="009948F1">
      <w:pPr>
        <w:pStyle w:val="BodyText"/>
        <w:spacing w:before="9"/>
        <w:rPr>
          <w:sz w:val="26"/>
        </w:rPr>
      </w:pPr>
    </w:p>
    <w:p w14:paraId="1A4CE8C5" w14:textId="1DC15D5B" w:rsidR="009948F1" w:rsidRDefault="00BC0563">
      <w:pPr>
        <w:pStyle w:val="ListParagraph"/>
        <w:numPr>
          <w:ilvl w:val="3"/>
          <w:numId w:val="286"/>
        </w:numPr>
        <w:tabs>
          <w:tab w:val="left" w:pos="929"/>
        </w:tabs>
        <w:spacing w:line="273" w:lineRule="auto"/>
        <w:ind w:left="189" w:right="200" w:firstLine="0"/>
      </w:pPr>
      <w:r>
        <w:rPr>
          <w:color w:val="231F20"/>
        </w:rPr>
        <w:t xml:space="preserve">Increase access to integrated case management for NTDs (Buruli </w:t>
      </w:r>
      <w:r>
        <w:rPr>
          <w:color w:val="231F20"/>
          <w:spacing w:val="-3"/>
        </w:rPr>
        <w:t xml:space="preserve">Ulcer, </w:t>
      </w:r>
      <w:r>
        <w:rPr>
          <w:color w:val="231F20"/>
        </w:rPr>
        <w:t xml:space="preserve">Leishmaniasis, Trypanosomiasis, </w:t>
      </w:r>
      <w:proofErr w:type="spellStart"/>
      <w:r>
        <w:rPr>
          <w:color w:val="231F20"/>
        </w:rPr>
        <w:t>Loasis</w:t>
      </w:r>
      <w:proofErr w:type="spellEnd"/>
      <w:r>
        <w:rPr>
          <w:color w:val="231F20"/>
        </w:rPr>
        <w:t xml:space="preserve">, Schistosomiasis, Zoonosis, soil-transmitted helminthic infections, onchocerciasis, </w:t>
      </w:r>
      <w:r w:rsidR="00FE4EDF">
        <w:rPr>
          <w:color w:val="231F20"/>
        </w:rPr>
        <w:t>and filariasis</w:t>
      </w:r>
      <w:r>
        <w:rPr>
          <w:color w:val="231F20"/>
        </w:rPr>
        <w:t xml:space="preserve">). Key actions include; – Awareness creation through jingles, </w:t>
      </w:r>
      <w:r>
        <w:rPr>
          <w:color w:val="231F20"/>
          <w:spacing w:val="-3"/>
        </w:rPr>
        <w:t xml:space="preserve">town </w:t>
      </w:r>
      <w:r>
        <w:rPr>
          <w:color w:val="231F20"/>
        </w:rPr>
        <w:t>announcers</w:t>
      </w:r>
      <w:r>
        <w:rPr>
          <w:color w:val="231F20"/>
          <w:spacing w:val="-25"/>
        </w:rPr>
        <w:t xml:space="preserve"> </w:t>
      </w:r>
      <w:r>
        <w:rPr>
          <w:color w:val="231F20"/>
        </w:rPr>
        <w:t>and</w:t>
      </w:r>
      <w:r>
        <w:rPr>
          <w:color w:val="231F20"/>
          <w:spacing w:val="-26"/>
        </w:rPr>
        <w:t xml:space="preserve"> </w:t>
      </w:r>
      <w:r>
        <w:rPr>
          <w:color w:val="231F20"/>
        </w:rPr>
        <w:t>other</w:t>
      </w:r>
      <w:r>
        <w:rPr>
          <w:color w:val="231F20"/>
          <w:spacing w:val="-25"/>
        </w:rPr>
        <w:t xml:space="preserve"> </w:t>
      </w:r>
      <w:r>
        <w:rPr>
          <w:color w:val="231F20"/>
        </w:rPr>
        <w:t>channels</w:t>
      </w:r>
      <w:r>
        <w:rPr>
          <w:color w:val="231F20"/>
          <w:spacing w:val="-25"/>
        </w:rPr>
        <w:t xml:space="preserve"> </w:t>
      </w:r>
      <w:r>
        <w:rPr>
          <w:color w:val="231F20"/>
        </w:rPr>
        <w:t>of</w:t>
      </w:r>
      <w:r>
        <w:rPr>
          <w:color w:val="231F20"/>
          <w:spacing w:val="-25"/>
        </w:rPr>
        <w:t xml:space="preserve"> </w:t>
      </w:r>
      <w:r>
        <w:rPr>
          <w:color w:val="231F20"/>
        </w:rPr>
        <w:t>communication</w:t>
      </w:r>
      <w:r>
        <w:rPr>
          <w:color w:val="231F20"/>
          <w:spacing w:val="-25"/>
        </w:rPr>
        <w:t xml:space="preserve"> </w:t>
      </w:r>
      <w:r>
        <w:rPr>
          <w:color w:val="231F20"/>
        </w:rPr>
        <w:t>on</w:t>
      </w:r>
      <w:r>
        <w:rPr>
          <w:color w:val="231F20"/>
          <w:spacing w:val="-25"/>
        </w:rPr>
        <w:t xml:space="preserve"> </w:t>
      </w:r>
      <w:r>
        <w:rPr>
          <w:color w:val="231F20"/>
        </w:rPr>
        <w:t>NTDs.</w:t>
      </w:r>
    </w:p>
    <w:p w14:paraId="138A8BC3" w14:textId="77777777" w:rsidR="009948F1" w:rsidRDefault="009948F1">
      <w:pPr>
        <w:pStyle w:val="BodyText"/>
        <w:rPr>
          <w:sz w:val="25"/>
        </w:rPr>
      </w:pPr>
    </w:p>
    <w:p w14:paraId="4520622D" w14:textId="5E3C5914" w:rsidR="009948F1" w:rsidRDefault="00BC0563">
      <w:pPr>
        <w:pStyle w:val="ListParagraph"/>
        <w:numPr>
          <w:ilvl w:val="3"/>
          <w:numId w:val="286"/>
        </w:numPr>
        <w:tabs>
          <w:tab w:val="left" w:pos="948"/>
        </w:tabs>
        <w:spacing w:line="273" w:lineRule="auto"/>
        <w:ind w:left="189" w:right="200" w:firstLine="0"/>
      </w:pPr>
      <w:r>
        <w:rPr>
          <w:color w:val="231F20"/>
        </w:rPr>
        <w:t xml:space="preserve">Strengthen capacity for NTD programming and implementation. Key actions include </w:t>
      </w:r>
      <w:r>
        <w:rPr>
          <w:color w:val="231F20"/>
          <w:spacing w:val="-15"/>
        </w:rPr>
        <w:t xml:space="preserve">– </w:t>
      </w:r>
      <w:r>
        <w:rPr>
          <w:color w:val="231F20"/>
        </w:rPr>
        <w:t xml:space="preserve">Sponsor state NTD Coordinator on disease </w:t>
      </w:r>
      <w:proofErr w:type="spellStart"/>
      <w:r>
        <w:rPr>
          <w:color w:val="231F20"/>
        </w:rPr>
        <w:t>programme</w:t>
      </w:r>
      <w:proofErr w:type="spellEnd"/>
      <w:r>
        <w:rPr>
          <w:color w:val="231F20"/>
        </w:rPr>
        <w:t xml:space="preserve"> management short courses; Sponsor NTDs</w:t>
      </w:r>
      <w:r>
        <w:rPr>
          <w:color w:val="231F20"/>
          <w:spacing w:val="-11"/>
        </w:rPr>
        <w:t xml:space="preserve"> </w:t>
      </w:r>
      <w:r>
        <w:rPr>
          <w:color w:val="231F20"/>
        </w:rPr>
        <w:t>Desk</w:t>
      </w:r>
      <w:r>
        <w:rPr>
          <w:color w:val="231F20"/>
          <w:spacing w:val="-10"/>
        </w:rPr>
        <w:t xml:space="preserve"> </w:t>
      </w:r>
      <w:r>
        <w:rPr>
          <w:color w:val="231F20"/>
        </w:rPr>
        <w:t>Officers</w:t>
      </w:r>
      <w:r>
        <w:rPr>
          <w:color w:val="231F20"/>
          <w:spacing w:val="-11"/>
        </w:rPr>
        <w:t xml:space="preserve"> </w:t>
      </w:r>
      <w:r>
        <w:rPr>
          <w:color w:val="231F20"/>
        </w:rPr>
        <w:t>on</w:t>
      </w:r>
      <w:r>
        <w:rPr>
          <w:color w:val="231F20"/>
          <w:spacing w:val="-10"/>
        </w:rPr>
        <w:t xml:space="preserve"> </w:t>
      </w:r>
      <w:r>
        <w:rPr>
          <w:color w:val="231F20"/>
        </w:rPr>
        <w:t>their</w:t>
      </w:r>
      <w:r>
        <w:rPr>
          <w:color w:val="231F20"/>
          <w:spacing w:val="-11"/>
        </w:rPr>
        <w:t xml:space="preserve"> </w:t>
      </w:r>
      <w:r>
        <w:rPr>
          <w:color w:val="231F20"/>
        </w:rPr>
        <w:t>respective</w:t>
      </w:r>
      <w:r>
        <w:rPr>
          <w:color w:val="231F20"/>
          <w:spacing w:val="-10"/>
        </w:rPr>
        <w:t xml:space="preserve"> </w:t>
      </w:r>
      <w:r>
        <w:rPr>
          <w:color w:val="231F20"/>
        </w:rPr>
        <w:t>Desk</w:t>
      </w:r>
      <w:r>
        <w:rPr>
          <w:color w:val="231F20"/>
          <w:spacing w:val="-11"/>
        </w:rPr>
        <w:t xml:space="preserve"> </w:t>
      </w:r>
      <w:r>
        <w:rPr>
          <w:color w:val="231F20"/>
        </w:rPr>
        <w:t>Disease</w:t>
      </w:r>
      <w:r>
        <w:rPr>
          <w:color w:val="231F20"/>
          <w:spacing w:val="-9"/>
        </w:rPr>
        <w:t xml:space="preserve"> </w:t>
      </w:r>
      <w:r>
        <w:rPr>
          <w:color w:val="231F20"/>
        </w:rPr>
        <w:t>Management</w:t>
      </w:r>
      <w:r>
        <w:rPr>
          <w:color w:val="231F20"/>
          <w:spacing w:val="-10"/>
        </w:rPr>
        <w:t xml:space="preserve"> </w:t>
      </w:r>
      <w:r>
        <w:rPr>
          <w:color w:val="231F20"/>
        </w:rPr>
        <w:t>short</w:t>
      </w:r>
      <w:r>
        <w:rPr>
          <w:color w:val="231F20"/>
          <w:spacing w:val="-10"/>
        </w:rPr>
        <w:t xml:space="preserve"> </w:t>
      </w:r>
      <w:r>
        <w:rPr>
          <w:color w:val="231F20"/>
        </w:rPr>
        <w:t>courses;</w:t>
      </w:r>
      <w:r>
        <w:rPr>
          <w:color w:val="231F20"/>
          <w:spacing w:val="-11"/>
        </w:rPr>
        <w:t xml:space="preserve"> </w:t>
      </w:r>
      <w:r>
        <w:rPr>
          <w:color w:val="231F20"/>
        </w:rPr>
        <w:t>Sponsor</w:t>
      </w:r>
      <w:r>
        <w:rPr>
          <w:color w:val="231F20"/>
          <w:spacing w:val="-10"/>
        </w:rPr>
        <w:t xml:space="preserve"> </w:t>
      </w:r>
      <w:r>
        <w:rPr>
          <w:color w:val="231F20"/>
        </w:rPr>
        <w:t xml:space="preserve">state and LGAs NTD teams on Data Management short courses; Operating cost for engaging </w:t>
      </w:r>
      <w:r>
        <w:rPr>
          <w:color w:val="231F20"/>
          <w:spacing w:val="-4"/>
        </w:rPr>
        <w:t>and</w:t>
      </w:r>
      <w:r>
        <w:rPr>
          <w:color w:val="231F20"/>
          <w:spacing w:val="53"/>
        </w:rPr>
        <w:t xml:space="preserve"> </w:t>
      </w:r>
      <w:r>
        <w:rPr>
          <w:color w:val="231F20"/>
        </w:rPr>
        <w:t>supervising</w:t>
      </w:r>
      <w:r>
        <w:rPr>
          <w:color w:val="231F20"/>
          <w:spacing w:val="-23"/>
        </w:rPr>
        <w:t xml:space="preserve"> </w:t>
      </w:r>
      <w:r>
        <w:rPr>
          <w:color w:val="231F20"/>
        </w:rPr>
        <w:t>the</w:t>
      </w:r>
      <w:r>
        <w:rPr>
          <w:color w:val="231F20"/>
          <w:spacing w:val="-22"/>
        </w:rPr>
        <w:t xml:space="preserve"> </w:t>
      </w:r>
      <w:r>
        <w:rPr>
          <w:color w:val="231F20"/>
        </w:rPr>
        <w:t>contractor</w:t>
      </w:r>
      <w:r>
        <w:rPr>
          <w:color w:val="231F20"/>
          <w:spacing w:val="-23"/>
        </w:rPr>
        <w:t xml:space="preserve"> </w:t>
      </w:r>
      <w:r>
        <w:rPr>
          <w:color w:val="231F20"/>
        </w:rPr>
        <w:t>to</w:t>
      </w:r>
      <w:r>
        <w:rPr>
          <w:color w:val="231F20"/>
          <w:spacing w:val="-22"/>
        </w:rPr>
        <w:t xml:space="preserve"> </w:t>
      </w:r>
      <w:r>
        <w:rPr>
          <w:color w:val="231F20"/>
        </w:rPr>
        <w:t>equip</w:t>
      </w:r>
      <w:r>
        <w:rPr>
          <w:color w:val="231F20"/>
          <w:spacing w:val="-22"/>
        </w:rPr>
        <w:t xml:space="preserve"> </w:t>
      </w:r>
      <w:r>
        <w:rPr>
          <w:color w:val="231F20"/>
        </w:rPr>
        <w:t>State</w:t>
      </w:r>
      <w:r>
        <w:rPr>
          <w:color w:val="231F20"/>
          <w:spacing w:val="-23"/>
        </w:rPr>
        <w:t xml:space="preserve"> </w:t>
      </w:r>
      <w:r>
        <w:rPr>
          <w:color w:val="231F20"/>
        </w:rPr>
        <w:t>and</w:t>
      </w:r>
      <w:r>
        <w:rPr>
          <w:color w:val="231F20"/>
          <w:spacing w:val="-22"/>
        </w:rPr>
        <w:t xml:space="preserve"> </w:t>
      </w:r>
      <w:r>
        <w:rPr>
          <w:color w:val="231F20"/>
        </w:rPr>
        <w:t>23</w:t>
      </w:r>
      <w:r>
        <w:rPr>
          <w:color w:val="231F20"/>
          <w:spacing w:val="-22"/>
        </w:rPr>
        <w:t xml:space="preserve"> </w:t>
      </w:r>
      <w:r>
        <w:rPr>
          <w:color w:val="231F20"/>
        </w:rPr>
        <w:t>LGA</w:t>
      </w:r>
      <w:r>
        <w:rPr>
          <w:color w:val="231F20"/>
          <w:spacing w:val="-34"/>
        </w:rPr>
        <w:t xml:space="preserve"> </w:t>
      </w:r>
      <w:r>
        <w:rPr>
          <w:color w:val="231F20"/>
        </w:rPr>
        <w:t>NTD</w:t>
      </w:r>
      <w:r>
        <w:rPr>
          <w:color w:val="231F20"/>
          <w:spacing w:val="-23"/>
        </w:rPr>
        <w:t xml:space="preserve"> </w:t>
      </w:r>
      <w:r>
        <w:rPr>
          <w:color w:val="231F20"/>
        </w:rPr>
        <w:t>offices;</w:t>
      </w:r>
      <w:r>
        <w:rPr>
          <w:color w:val="231F20"/>
          <w:spacing w:val="-22"/>
        </w:rPr>
        <w:t xml:space="preserve"> </w:t>
      </w:r>
      <w:r>
        <w:rPr>
          <w:color w:val="231F20"/>
        </w:rPr>
        <w:t>Operating</w:t>
      </w:r>
      <w:r>
        <w:rPr>
          <w:color w:val="231F20"/>
          <w:spacing w:val="-22"/>
        </w:rPr>
        <w:t xml:space="preserve"> </w:t>
      </w:r>
      <w:r>
        <w:rPr>
          <w:color w:val="231F20"/>
        </w:rPr>
        <w:t>cost</w:t>
      </w:r>
      <w:r>
        <w:rPr>
          <w:color w:val="231F20"/>
          <w:spacing w:val="-23"/>
        </w:rPr>
        <w:t xml:space="preserve"> </w:t>
      </w:r>
      <w:r>
        <w:rPr>
          <w:color w:val="231F20"/>
        </w:rPr>
        <w:t>for</w:t>
      </w:r>
      <w:r>
        <w:rPr>
          <w:color w:val="231F20"/>
          <w:spacing w:val="-22"/>
        </w:rPr>
        <w:t xml:space="preserve"> </w:t>
      </w:r>
      <w:r>
        <w:rPr>
          <w:color w:val="231F20"/>
        </w:rPr>
        <w:t>engaging</w:t>
      </w:r>
      <w:r>
        <w:rPr>
          <w:color w:val="231F20"/>
          <w:spacing w:val="-22"/>
        </w:rPr>
        <w:t xml:space="preserve"> </w:t>
      </w:r>
      <w:r>
        <w:rPr>
          <w:color w:val="231F20"/>
        </w:rPr>
        <w:t>and supervising</w:t>
      </w:r>
      <w:r>
        <w:rPr>
          <w:color w:val="231F20"/>
          <w:spacing w:val="-14"/>
        </w:rPr>
        <w:t xml:space="preserve"> </w:t>
      </w:r>
      <w:r>
        <w:rPr>
          <w:color w:val="231F20"/>
        </w:rPr>
        <w:t>the</w:t>
      </w:r>
      <w:r>
        <w:rPr>
          <w:color w:val="231F20"/>
          <w:spacing w:val="-13"/>
        </w:rPr>
        <w:t xml:space="preserve"> </w:t>
      </w:r>
      <w:r>
        <w:rPr>
          <w:color w:val="231F20"/>
        </w:rPr>
        <w:t>contractor</w:t>
      </w:r>
      <w:r>
        <w:rPr>
          <w:color w:val="231F20"/>
          <w:spacing w:val="-13"/>
        </w:rPr>
        <w:t xml:space="preserve"> </w:t>
      </w:r>
      <w:r>
        <w:rPr>
          <w:color w:val="231F20"/>
        </w:rPr>
        <w:t>to</w:t>
      </w:r>
      <w:r>
        <w:rPr>
          <w:color w:val="231F20"/>
          <w:spacing w:val="-13"/>
        </w:rPr>
        <w:t xml:space="preserve"> </w:t>
      </w:r>
      <w:r>
        <w:rPr>
          <w:color w:val="231F20"/>
        </w:rPr>
        <w:t>procure</w:t>
      </w:r>
      <w:r>
        <w:rPr>
          <w:color w:val="231F20"/>
          <w:spacing w:val="-14"/>
        </w:rPr>
        <w:t xml:space="preserve"> </w:t>
      </w:r>
      <w:r>
        <w:rPr>
          <w:color w:val="231F20"/>
        </w:rPr>
        <w:t>a</w:t>
      </w:r>
      <w:r>
        <w:rPr>
          <w:color w:val="231F20"/>
          <w:spacing w:val="-13"/>
        </w:rPr>
        <w:t xml:space="preserve"> </w:t>
      </w:r>
      <w:r>
        <w:rPr>
          <w:color w:val="231F20"/>
        </w:rPr>
        <w:t>Hilux</w:t>
      </w:r>
      <w:r>
        <w:rPr>
          <w:color w:val="231F20"/>
          <w:spacing w:val="-13"/>
        </w:rPr>
        <w:t xml:space="preserve"> </w:t>
      </w:r>
      <w:r>
        <w:rPr>
          <w:color w:val="231F20"/>
        </w:rPr>
        <w:t>and</w:t>
      </w:r>
      <w:r>
        <w:rPr>
          <w:color w:val="231F20"/>
          <w:spacing w:val="-13"/>
        </w:rPr>
        <w:t xml:space="preserve"> </w:t>
      </w:r>
      <w:r>
        <w:rPr>
          <w:color w:val="231F20"/>
        </w:rPr>
        <w:t>a</w:t>
      </w:r>
      <w:r>
        <w:rPr>
          <w:color w:val="231F20"/>
          <w:spacing w:val="-14"/>
        </w:rPr>
        <w:t xml:space="preserve"> </w:t>
      </w:r>
      <w:r>
        <w:rPr>
          <w:color w:val="231F20"/>
        </w:rPr>
        <w:t>Bus</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State</w:t>
      </w:r>
      <w:r>
        <w:rPr>
          <w:color w:val="231F20"/>
          <w:spacing w:val="-14"/>
        </w:rPr>
        <w:t xml:space="preserve"> </w:t>
      </w:r>
      <w:r>
        <w:rPr>
          <w:color w:val="231F20"/>
        </w:rPr>
        <w:t>office,</w:t>
      </w:r>
      <w:r>
        <w:rPr>
          <w:color w:val="231F20"/>
          <w:spacing w:val="-13"/>
        </w:rPr>
        <w:t xml:space="preserve"> </w:t>
      </w:r>
      <w:r>
        <w:rPr>
          <w:color w:val="231F20"/>
        </w:rPr>
        <w:t>and</w:t>
      </w:r>
      <w:r>
        <w:rPr>
          <w:color w:val="231F20"/>
          <w:spacing w:val="-13"/>
        </w:rPr>
        <w:t xml:space="preserve"> </w:t>
      </w:r>
      <w:r>
        <w:rPr>
          <w:color w:val="231F20"/>
        </w:rPr>
        <w:t>a</w:t>
      </w:r>
      <w:r>
        <w:rPr>
          <w:color w:val="231F20"/>
          <w:spacing w:val="-13"/>
        </w:rPr>
        <w:t xml:space="preserve"> </w:t>
      </w:r>
      <w:r>
        <w:rPr>
          <w:color w:val="231F20"/>
        </w:rPr>
        <w:t>bike</w:t>
      </w:r>
      <w:r>
        <w:rPr>
          <w:color w:val="231F20"/>
          <w:spacing w:val="-14"/>
        </w:rPr>
        <w:t xml:space="preserve"> </w:t>
      </w:r>
      <w:r>
        <w:rPr>
          <w:color w:val="231F20"/>
        </w:rPr>
        <w:t>each</w:t>
      </w:r>
      <w:r>
        <w:rPr>
          <w:color w:val="231F20"/>
          <w:spacing w:val="-13"/>
        </w:rPr>
        <w:t xml:space="preserve"> </w:t>
      </w:r>
      <w:r>
        <w:rPr>
          <w:color w:val="231F20"/>
        </w:rPr>
        <w:t>for</w:t>
      </w:r>
      <w:r>
        <w:rPr>
          <w:color w:val="231F20"/>
          <w:spacing w:val="-13"/>
        </w:rPr>
        <w:t xml:space="preserve"> </w:t>
      </w:r>
      <w:r>
        <w:rPr>
          <w:color w:val="231F20"/>
          <w:spacing w:val="-5"/>
        </w:rPr>
        <w:t xml:space="preserve">the </w:t>
      </w:r>
      <w:r>
        <w:rPr>
          <w:color w:val="231F20"/>
        </w:rPr>
        <w:t>23</w:t>
      </w:r>
      <w:r>
        <w:rPr>
          <w:color w:val="231F20"/>
          <w:spacing w:val="-25"/>
        </w:rPr>
        <w:t xml:space="preserve"> </w:t>
      </w:r>
      <w:r>
        <w:rPr>
          <w:color w:val="231F20"/>
        </w:rPr>
        <w:t>LGAs</w:t>
      </w:r>
      <w:r>
        <w:rPr>
          <w:color w:val="231F20"/>
          <w:spacing w:val="-26"/>
        </w:rPr>
        <w:t xml:space="preserve"> </w:t>
      </w:r>
      <w:r>
        <w:rPr>
          <w:color w:val="231F20"/>
        </w:rPr>
        <w:t>with</w:t>
      </w:r>
      <w:r>
        <w:rPr>
          <w:color w:val="231F20"/>
          <w:spacing w:val="-25"/>
        </w:rPr>
        <w:t xml:space="preserve"> </w:t>
      </w:r>
      <w:r>
        <w:rPr>
          <w:color w:val="231F20"/>
        </w:rPr>
        <w:t>annual</w:t>
      </w:r>
      <w:r>
        <w:rPr>
          <w:color w:val="231F20"/>
          <w:spacing w:val="-25"/>
        </w:rPr>
        <w:t xml:space="preserve"> </w:t>
      </w:r>
      <w:r>
        <w:rPr>
          <w:color w:val="231F20"/>
        </w:rPr>
        <w:t>fund</w:t>
      </w:r>
      <w:r>
        <w:rPr>
          <w:color w:val="231F20"/>
          <w:spacing w:val="-25"/>
        </w:rPr>
        <w:t xml:space="preserve"> </w:t>
      </w:r>
      <w:r>
        <w:rPr>
          <w:color w:val="231F20"/>
        </w:rPr>
        <w:t>for</w:t>
      </w:r>
      <w:r>
        <w:rPr>
          <w:color w:val="231F20"/>
          <w:spacing w:val="-25"/>
        </w:rPr>
        <w:t xml:space="preserve"> </w:t>
      </w:r>
      <w:r w:rsidR="00FE4EDF">
        <w:rPr>
          <w:color w:val="231F20"/>
        </w:rPr>
        <w:t>fueling</w:t>
      </w:r>
      <w:r>
        <w:rPr>
          <w:color w:val="231F20"/>
          <w:spacing w:val="-25"/>
        </w:rPr>
        <w:t xml:space="preserve"> </w:t>
      </w:r>
      <w:r>
        <w:rPr>
          <w:color w:val="231F20"/>
        </w:rPr>
        <w:t>and</w:t>
      </w:r>
      <w:r>
        <w:rPr>
          <w:color w:val="231F20"/>
          <w:spacing w:val="-25"/>
        </w:rPr>
        <w:t xml:space="preserve"> </w:t>
      </w:r>
      <w:r>
        <w:rPr>
          <w:color w:val="231F20"/>
        </w:rPr>
        <w:t>maintenance.</w:t>
      </w:r>
    </w:p>
    <w:p w14:paraId="066323E1" w14:textId="77777777" w:rsidR="009948F1" w:rsidRDefault="009948F1">
      <w:pPr>
        <w:pStyle w:val="BodyText"/>
        <w:rPr>
          <w:sz w:val="25"/>
        </w:rPr>
      </w:pPr>
    </w:p>
    <w:p w14:paraId="246425D0" w14:textId="77777777" w:rsidR="009948F1" w:rsidRDefault="00BC0563">
      <w:pPr>
        <w:pStyle w:val="ListParagraph"/>
        <w:numPr>
          <w:ilvl w:val="3"/>
          <w:numId w:val="286"/>
        </w:numPr>
        <w:tabs>
          <w:tab w:val="left" w:pos="906"/>
        </w:tabs>
        <w:spacing w:before="1" w:line="273" w:lineRule="auto"/>
        <w:ind w:left="188" w:right="201" w:firstLine="0"/>
      </w:pPr>
      <w:r>
        <w:rPr>
          <w:color w:val="231F20"/>
        </w:rPr>
        <w:t>Strengthen</w:t>
      </w:r>
      <w:r>
        <w:rPr>
          <w:color w:val="231F20"/>
          <w:spacing w:val="-19"/>
        </w:rPr>
        <w:t xml:space="preserve"> </w:t>
      </w:r>
      <w:r>
        <w:rPr>
          <w:color w:val="231F20"/>
        </w:rPr>
        <w:t>the</w:t>
      </w:r>
      <w:r>
        <w:rPr>
          <w:color w:val="231F20"/>
          <w:spacing w:val="-18"/>
        </w:rPr>
        <w:t xml:space="preserve"> </w:t>
      </w:r>
      <w:r>
        <w:rPr>
          <w:color w:val="231F20"/>
        </w:rPr>
        <w:t>integration</w:t>
      </w:r>
      <w:r>
        <w:rPr>
          <w:color w:val="231F20"/>
          <w:spacing w:val="-18"/>
        </w:rPr>
        <w:t xml:space="preserve"> </w:t>
      </w:r>
      <w:r>
        <w:rPr>
          <w:color w:val="231F20"/>
        </w:rPr>
        <w:t>and</w:t>
      </w:r>
      <w:r>
        <w:rPr>
          <w:color w:val="231F20"/>
          <w:spacing w:val="-18"/>
        </w:rPr>
        <w:t xml:space="preserve"> </w:t>
      </w:r>
      <w:r>
        <w:rPr>
          <w:color w:val="231F20"/>
        </w:rPr>
        <w:t>linkages</w:t>
      </w:r>
      <w:r>
        <w:rPr>
          <w:color w:val="231F20"/>
          <w:spacing w:val="-18"/>
        </w:rPr>
        <w:t xml:space="preserve"> </w:t>
      </w:r>
      <w:r>
        <w:rPr>
          <w:color w:val="231F20"/>
        </w:rPr>
        <w:t>of</w:t>
      </w:r>
      <w:r>
        <w:rPr>
          <w:color w:val="231F20"/>
          <w:spacing w:val="-18"/>
        </w:rPr>
        <w:t xml:space="preserve"> </w:t>
      </w:r>
      <w:r>
        <w:rPr>
          <w:color w:val="231F20"/>
        </w:rPr>
        <w:t>NTD</w:t>
      </w:r>
      <w:r>
        <w:rPr>
          <w:color w:val="231F20"/>
          <w:spacing w:val="-18"/>
        </w:rPr>
        <w:t xml:space="preserve"> </w:t>
      </w:r>
      <w:proofErr w:type="spellStart"/>
      <w:r>
        <w:rPr>
          <w:color w:val="231F20"/>
        </w:rPr>
        <w:t>programme</w:t>
      </w:r>
      <w:proofErr w:type="spellEnd"/>
      <w:r>
        <w:rPr>
          <w:color w:val="231F20"/>
          <w:spacing w:val="-18"/>
        </w:rPr>
        <w:t xml:space="preserve"> </w:t>
      </w:r>
      <w:r>
        <w:rPr>
          <w:color w:val="231F20"/>
        </w:rPr>
        <w:t>and</w:t>
      </w:r>
      <w:r>
        <w:rPr>
          <w:color w:val="231F20"/>
          <w:spacing w:val="-18"/>
        </w:rPr>
        <w:t xml:space="preserve"> </w:t>
      </w:r>
      <w:r>
        <w:rPr>
          <w:color w:val="231F20"/>
        </w:rPr>
        <w:t>financial</w:t>
      </w:r>
      <w:r>
        <w:rPr>
          <w:color w:val="231F20"/>
          <w:spacing w:val="-19"/>
        </w:rPr>
        <w:t xml:space="preserve"> </w:t>
      </w:r>
      <w:r>
        <w:rPr>
          <w:color w:val="231F20"/>
        </w:rPr>
        <w:t>plans</w:t>
      </w:r>
      <w:r>
        <w:rPr>
          <w:color w:val="231F20"/>
          <w:spacing w:val="-18"/>
        </w:rPr>
        <w:t xml:space="preserve"> </w:t>
      </w:r>
      <w:r>
        <w:rPr>
          <w:color w:val="231F20"/>
        </w:rPr>
        <w:t>into</w:t>
      </w:r>
      <w:r>
        <w:rPr>
          <w:color w:val="231F20"/>
          <w:spacing w:val="-18"/>
        </w:rPr>
        <w:t xml:space="preserve"> </w:t>
      </w:r>
      <w:r>
        <w:rPr>
          <w:color w:val="231F20"/>
        </w:rPr>
        <w:t xml:space="preserve">sector- </w:t>
      </w:r>
      <w:r>
        <w:rPr>
          <w:color w:val="231F20"/>
          <w:spacing w:val="4"/>
        </w:rPr>
        <w:t xml:space="preserve">wide and </w:t>
      </w:r>
      <w:r>
        <w:rPr>
          <w:color w:val="231F20"/>
          <w:spacing w:val="5"/>
        </w:rPr>
        <w:t xml:space="preserve">national budgetary </w:t>
      </w:r>
      <w:r>
        <w:rPr>
          <w:color w:val="231F20"/>
          <w:spacing w:val="4"/>
        </w:rPr>
        <w:t xml:space="preserve">and </w:t>
      </w:r>
      <w:r>
        <w:rPr>
          <w:color w:val="231F20"/>
          <w:spacing w:val="5"/>
        </w:rPr>
        <w:t xml:space="preserve">financing mechanisms. </w:t>
      </w:r>
      <w:r>
        <w:rPr>
          <w:color w:val="231F20"/>
          <w:spacing w:val="4"/>
        </w:rPr>
        <w:t xml:space="preserve">Key </w:t>
      </w:r>
      <w:r>
        <w:rPr>
          <w:color w:val="231F20"/>
          <w:spacing w:val="5"/>
        </w:rPr>
        <w:t xml:space="preserve">actions include; </w:t>
      </w:r>
      <w:r>
        <w:rPr>
          <w:color w:val="231F20"/>
        </w:rPr>
        <w:t>– Establish/Inaugurate</w:t>
      </w:r>
      <w:r>
        <w:rPr>
          <w:color w:val="231F20"/>
          <w:spacing w:val="-14"/>
        </w:rPr>
        <w:t xml:space="preserve"> </w:t>
      </w:r>
      <w:r>
        <w:rPr>
          <w:color w:val="231F20"/>
        </w:rPr>
        <w:t>NTD</w:t>
      </w:r>
      <w:r>
        <w:rPr>
          <w:color w:val="231F20"/>
          <w:spacing w:val="-26"/>
        </w:rPr>
        <w:t xml:space="preserve"> </w:t>
      </w:r>
      <w:r>
        <w:rPr>
          <w:color w:val="231F20"/>
        </w:rPr>
        <w:t>Advisory</w:t>
      </w:r>
      <w:r>
        <w:rPr>
          <w:color w:val="231F20"/>
          <w:spacing w:val="-15"/>
        </w:rPr>
        <w:t xml:space="preserve"> </w:t>
      </w:r>
      <w:r>
        <w:rPr>
          <w:color w:val="231F20"/>
        </w:rPr>
        <w:t>Committee;</w:t>
      </w:r>
      <w:r>
        <w:rPr>
          <w:color w:val="231F20"/>
          <w:spacing w:val="-14"/>
        </w:rPr>
        <w:t xml:space="preserve"> </w:t>
      </w:r>
      <w:r>
        <w:rPr>
          <w:color w:val="231F20"/>
        </w:rPr>
        <w:t>Develop</w:t>
      </w:r>
      <w:r>
        <w:rPr>
          <w:color w:val="231F20"/>
          <w:spacing w:val="-15"/>
        </w:rPr>
        <w:t xml:space="preserve"> </w:t>
      </w:r>
      <w:r>
        <w:rPr>
          <w:color w:val="231F20"/>
        </w:rPr>
        <w:t>annual</w:t>
      </w:r>
      <w:r>
        <w:rPr>
          <w:color w:val="231F20"/>
          <w:spacing w:val="-14"/>
        </w:rPr>
        <w:t xml:space="preserve"> </w:t>
      </w:r>
      <w:r>
        <w:rPr>
          <w:color w:val="231F20"/>
        </w:rPr>
        <w:t>NTD</w:t>
      </w:r>
      <w:r>
        <w:rPr>
          <w:color w:val="231F20"/>
          <w:spacing w:val="-15"/>
        </w:rPr>
        <w:t xml:space="preserve"> </w:t>
      </w:r>
      <w:r>
        <w:rPr>
          <w:color w:val="231F20"/>
        </w:rPr>
        <w:t>Work</w:t>
      </w:r>
      <w:r>
        <w:rPr>
          <w:color w:val="231F20"/>
          <w:spacing w:val="-14"/>
        </w:rPr>
        <w:t xml:space="preserve"> </w:t>
      </w:r>
      <w:r>
        <w:rPr>
          <w:color w:val="231F20"/>
        </w:rPr>
        <w:t>plans</w:t>
      </w:r>
      <w:r>
        <w:rPr>
          <w:color w:val="231F20"/>
          <w:spacing w:val="-15"/>
        </w:rPr>
        <w:t xml:space="preserve"> </w:t>
      </w:r>
      <w:r>
        <w:rPr>
          <w:color w:val="231F20"/>
        </w:rPr>
        <w:t>with</w:t>
      </w:r>
      <w:r>
        <w:rPr>
          <w:color w:val="231F20"/>
          <w:spacing w:val="-14"/>
        </w:rPr>
        <w:t xml:space="preserve"> </w:t>
      </w:r>
      <w:r>
        <w:rPr>
          <w:color w:val="231F20"/>
        </w:rPr>
        <w:t>inputs</w:t>
      </w:r>
      <w:r>
        <w:rPr>
          <w:color w:val="231F20"/>
          <w:spacing w:val="-14"/>
        </w:rPr>
        <w:t xml:space="preserve"> </w:t>
      </w:r>
      <w:r>
        <w:rPr>
          <w:color w:val="231F20"/>
        </w:rPr>
        <w:t xml:space="preserve">from partners; Strengthen collaboration with other community based health programs like RBM, </w:t>
      </w:r>
      <w:r>
        <w:rPr>
          <w:color w:val="231F20"/>
          <w:spacing w:val="-4"/>
        </w:rPr>
        <w:t xml:space="preserve">EPI, </w:t>
      </w:r>
      <w:r>
        <w:rPr>
          <w:color w:val="231F20"/>
        </w:rPr>
        <w:t>School Feeding programs, WASH, Sanitation Authority, Ministry of Environment; Conduct sensitization</w:t>
      </w:r>
      <w:r>
        <w:rPr>
          <w:color w:val="231F20"/>
          <w:spacing w:val="-18"/>
        </w:rPr>
        <w:t xml:space="preserve"> </w:t>
      </w:r>
      <w:r>
        <w:rPr>
          <w:color w:val="231F20"/>
        </w:rPr>
        <w:t>meetings</w:t>
      </w:r>
      <w:r>
        <w:rPr>
          <w:color w:val="231F20"/>
          <w:spacing w:val="-17"/>
        </w:rPr>
        <w:t xml:space="preserve"> </w:t>
      </w:r>
      <w:r>
        <w:rPr>
          <w:color w:val="231F20"/>
        </w:rPr>
        <w:t>with</w:t>
      </w:r>
      <w:r>
        <w:rPr>
          <w:color w:val="231F20"/>
          <w:spacing w:val="-17"/>
        </w:rPr>
        <w:t xml:space="preserve"> </w:t>
      </w:r>
      <w:r>
        <w:rPr>
          <w:color w:val="231F20"/>
        </w:rPr>
        <w:t>policy</w:t>
      </w:r>
      <w:r>
        <w:rPr>
          <w:color w:val="231F20"/>
          <w:spacing w:val="-17"/>
        </w:rPr>
        <w:t xml:space="preserve"> </w:t>
      </w:r>
      <w:r>
        <w:rPr>
          <w:color w:val="231F20"/>
        </w:rPr>
        <w:t>makers,</w:t>
      </w:r>
      <w:r>
        <w:rPr>
          <w:color w:val="231F20"/>
          <w:spacing w:val="-17"/>
        </w:rPr>
        <w:t xml:space="preserve"> </w:t>
      </w:r>
      <w:r>
        <w:rPr>
          <w:color w:val="231F20"/>
        </w:rPr>
        <w:t>line</w:t>
      </w:r>
      <w:r>
        <w:rPr>
          <w:color w:val="231F20"/>
          <w:spacing w:val="-17"/>
        </w:rPr>
        <w:t xml:space="preserve"> </w:t>
      </w:r>
      <w:r>
        <w:rPr>
          <w:color w:val="231F20"/>
        </w:rPr>
        <w:t>ministries,</w:t>
      </w:r>
      <w:r>
        <w:rPr>
          <w:color w:val="231F20"/>
          <w:spacing w:val="-17"/>
        </w:rPr>
        <w:t xml:space="preserve"> </w:t>
      </w:r>
      <w:r>
        <w:rPr>
          <w:color w:val="231F20"/>
        </w:rPr>
        <w:t>and</w:t>
      </w:r>
      <w:r>
        <w:rPr>
          <w:color w:val="231F20"/>
          <w:spacing w:val="-17"/>
        </w:rPr>
        <w:t xml:space="preserve"> </w:t>
      </w:r>
      <w:r>
        <w:rPr>
          <w:color w:val="231F20"/>
        </w:rPr>
        <w:t>other</w:t>
      </w:r>
      <w:r>
        <w:rPr>
          <w:color w:val="231F20"/>
          <w:spacing w:val="-17"/>
        </w:rPr>
        <w:t xml:space="preserve"> </w:t>
      </w:r>
      <w:r>
        <w:rPr>
          <w:color w:val="231F20"/>
        </w:rPr>
        <w:t>stakeholders</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 xml:space="preserve">beneficial synergy of integration at the state, LGAs and community levels (including Village </w:t>
      </w:r>
      <w:r>
        <w:rPr>
          <w:color w:val="231F20"/>
          <w:spacing w:val="-3"/>
        </w:rPr>
        <w:t xml:space="preserve">health </w:t>
      </w:r>
      <w:r>
        <w:rPr>
          <w:color w:val="231F20"/>
        </w:rPr>
        <w:t>Committees);</w:t>
      </w:r>
      <w:r>
        <w:rPr>
          <w:color w:val="231F20"/>
          <w:spacing w:val="-26"/>
        </w:rPr>
        <w:t xml:space="preserve"> </w:t>
      </w:r>
      <w:r>
        <w:rPr>
          <w:color w:val="231F20"/>
        </w:rPr>
        <w:t>Conduct</w:t>
      </w:r>
      <w:r>
        <w:rPr>
          <w:color w:val="231F20"/>
          <w:spacing w:val="-25"/>
        </w:rPr>
        <w:t xml:space="preserve"> </w:t>
      </w:r>
      <w:r>
        <w:rPr>
          <w:color w:val="231F20"/>
        </w:rPr>
        <w:t>periodic</w:t>
      </w:r>
      <w:r>
        <w:rPr>
          <w:color w:val="231F20"/>
          <w:spacing w:val="-25"/>
        </w:rPr>
        <w:t xml:space="preserve"> </w:t>
      </w:r>
      <w:r>
        <w:rPr>
          <w:color w:val="231F20"/>
        </w:rPr>
        <w:t>meetings</w:t>
      </w:r>
      <w:r>
        <w:rPr>
          <w:color w:val="231F20"/>
          <w:spacing w:val="-25"/>
        </w:rPr>
        <w:t xml:space="preserve"> </w:t>
      </w:r>
      <w:r>
        <w:rPr>
          <w:color w:val="231F20"/>
        </w:rPr>
        <w:t>for</w:t>
      </w:r>
      <w:r>
        <w:rPr>
          <w:color w:val="231F20"/>
          <w:spacing w:val="-25"/>
        </w:rPr>
        <w:t xml:space="preserve"> </w:t>
      </w:r>
      <w:r>
        <w:rPr>
          <w:color w:val="231F20"/>
        </w:rPr>
        <w:t>NTDs</w:t>
      </w:r>
      <w:r>
        <w:rPr>
          <w:color w:val="231F20"/>
          <w:spacing w:val="-25"/>
        </w:rPr>
        <w:t xml:space="preserve"> </w:t>
      </w:r>
      <w:proofErr w:type="spellStart"/>
      <w:r>
        <w:rPr>
          <w:color w:val="231F20"/>
        </w:rPr>
        <w:t>programmes</w:t>
      </w:r>
      <w:proofErr w:type="spellEnd"/>
      <w:r>
        <w:rPr>
          <w:color w:val="231F20"/>
          <w:spacing w:val="-25"/>
        </w:rPr>
        <w:t xml:space="preserve"> </w:t>
      </w:r>
      <w:r>
        <w:rPr>
          <w:color w:val="231F20"/>
        </w:rPr>
        <w:t>managers</w:t>
      </w:r>
      <w:r>
        <w:rPr>
          <w:color w:val="231F20"/>
          <w:spacing w:val="-25"/>
        </w:rPr>
        <w:t xml:space="preserve"> </w:t>
      </w:r>
      <w:r>
        <w:rPr>
          <w:color w:val="231F20"/>
        </w:rPr>
        <w:t>and</w:t>
      </w:r>
      <w:r>
        <w:rPr>
          <w:color w:val="231F20"/>
          <w:spacing w:val="-25"/>
        </w:rPr>
        <w:t xml:space="preserve"> </w:t>
      </w:r>
      <w:r>
        <w:rPr>
          <w:color w:val="231F20"/>
        </w:rPr>
        <w:t>all</w:t>
      </w:r>
      <w:r>
        <w:rPr>
          <w:color w:val="231F20"/>
          <w:spacing w:val="-25"/>
        </w:rPr>
        <w:t xml:space="preserve"> </w:t>
      </w:r>
      <w:r>
        <w:rPr>
          <w:color w:val="231F20"/>
        </w:rPr>
        <w:t>stakeholders.</w:t>
      </w:r>
    </w:p>
    <w:p w14:paraId="310B6372" w14:textId="77777777" w:rsidR="009948F1" w:rsidRDefault="009948F1">
      <w:pPr>
        <w:pStyle w:val="BodyText"/>
        <w:rPr>
          <w:sz w:val="25"/>
        </w:rPr>
      </w:pPr>
    </w:p>
    <w:p w14:paraId="1CF2DFD0" w14:textId="77777777" w:rsidR="009948F1" w:rsidRDefault="00BC0563">
      <w:pPr>
        <w:pStyle w:val="Heading7"/>
        <w:spacing w:line="273" w:lineRule="auto"/>
        <w:ind w:left="188"/>
      </w:pPr>
      <w:r>
        <w:rPr>
          <w:color w:val="231F20"/>
        </w:rPr>
        <w:t>Priority Area 6: Non-Communicable Disease, Care of Elderly, Mental Health, Oral Health, Eye Healthcare.</w:t>
      </w:r>
    </w:p>
    <w:p w14:paraId="2C80E869" w14:textId="77777777" w:rsidR="009948F1" w:rsidRDefault="00BC0563">
      <w:pPr>
        <w:ind w:left="188"/>
        <w:rPr>
          <w:b/>
        </w:rPr>
      </w:pPr>
      <w:r>
        <w:rPr>
          <w:b/>
          <w:color w:val="231F20"/>
        </w:rPr>
        <w:t>Context</w:t>
      </w:r>
    </w:p>
    <w:p w14:paraId="6860C04F" w14:textId="77777777" w:rsidR="009948F1" w:rsidRDefault="00BC0563">
      <w:pPr>
        <w:pStyle w:val="BodyText"/>
        <w:spacing w:before="35" w:line="273" w:lineRule="auto"/>
        <w:ind w:left="188" w:right="201"/>
        <w:jc w:val="both"/>
      </w:pPr>
      <w:r>
        <w:rPr>
          <w:color w:val="231F20"/>
        </w:rPr>
        <w:t xml:space="preserve">Nigeria is experiencing a rapid epidemiological and demographic transition from </w:t>
      </w:r>
      <w:r>
        <w:rPr>
          <w:color w:val="231F20"/>
          <w:spacing w:val="-2"/>
        </w:rPr>
        <w:t xml:space="preserve">communicable </w:t>
      </w:r>
      <w:r>
        <w:rPr>
          <w:color w:val="231F20"/>
        </w:rPr>
        <w:t>diseases</w:t>
      </w:r>
      <w:r>
        <w:rPr>
          <w:color w:val="231F20"/>
          <w:spacing w:val="-16"/>
        </w:rPr>
        <w:t xml:space="preserve"> </w:t>
      </w:r>
      <w:r>
        <w:rPr>
          <w:color w:val="231F20"/>
        </w:rPr>
        <w:t>to</w:t>
      </w:r>
      <w:r>
        <w:rPr>
          <w:color w:val="231F20"/>
          <w:spacing w:val="-15"/>
        </w:rPr>
        <w:t xml:space="preserve"> </w:t>
      </w:r>
      <w:r>
        <w:rPr>
          <w:color w:val="231F20"/>
        </w:rPr>
        <w:t>Non-Communicable</w:t>
      </w:r>
      <w:r>
        <w:rPr>
          <w:color w:val="231F20"/>
          <w:spacing w:val="-15"/>
        </w:rPr>
        <w:t xml:space="preserve"> </w:t>
      </w:r>
      <w:r>
        <w:rPr>
          <w:color w:val="231F20"/>
        </w:rPr>
        <w:t>Diseases</w:t>
      </w:r>
      <w:r>
        <w:rPr>
          <w:color w:val="231F20"/>
          <w:spacing w:val="-15"/>
        </w:rPr>
        <w:t xml:space="preserve"> </w:t>
      </w:r>
      <w:r>
        <w:rPr>
          <w:color w:val="231F20"/>
        </w:rPr>
        <w:t>(NCDs),</w:t>
      </w:r>
      <w:r>
        <w:rPr>
          <w:color w:val="231F20"/>
          <w:spacing w:val="-15"/>
        </w:rPr>
        <w:t xml:space="preserve"> </w:t>
      </w:r>
      <w:r>
        <w:rPr>
          <w:color w:val="231F20"/>
        </w:rPr>
        <w:t>thus</w:t>
      </w:r>
      <w:r>
        <w:rPr>
          <w:color w:val="231F20"/>
          <w:spacing w:val="-15"/>
        </w:rPr>
        <w:t xml:space="preserve"> </w:t>
      </w:r>
      <w:r>
        <w:rPr>
          <w:color w:val="231F20"/>
        </w:rPr>
        <w:t>resulting</w:t>
      </w:r>
      <w:r>
        <w:rPr>
          <w:color w:val="231F20"/>
          <w:spacing w:val="-15"/>
        </w:rPr>
        <w:t xml:space="preserve"> </w:t>
      </w:r>
      <w:r>
        <w:rPr>
          <w:color w:val="231F20"/>
        </w:rPr>
        <w:t>in</w:t>
      </w:r>
      <w:r>
        <w:rPr>
          <w:color w:val="231F20"/>
          <w:spacing w:val="-15"/>
        </w:rPr>
        <w:t xml:space="preserve"> </w:t>
      </w:r>
      <w:r>
        <w:rPr>
          <w:color w:val="231F20"/>
        </w:rPr>
        <w:t>double</w:t>
      </w:r>
      <w:r>
        <w:rPr>
          <w:color w:val="231F20"/>
          <w:spacing w:val="-15"/>
        </w:rPr>
        <w:t xml:space="preserve"> </w:t>
      </w:r>
      <w:r>
        <w:rPr>
          <w:color w:val="231F20"/>
        </w:rPr>
        <w:t>burden</w:t>
      </w:r>
      <w:r>
        <w:rPr>
          <w:color w:val="231F20"/>
          <w:spacing w:val="-15"/>
        </w:rPr>
        <w:t xml:space="preserve"> </w:t>
      </w:r>
      <w:r>
        <w:rPr>
          <w:color w:val="231F20"/>
        </w:rPr>
        <w:t>of</w:t>
      </w:r>
      <w:r>
        <w:rPr>
          <w:color w:val="231F20"/>
          <w:spacing w:val="-15"/>
        </w:rPr>
        <w:t xml:space="preserve"> </w:t>
      </w:r>
      <w:r>
        <w:rPr>
          <w:color w:val="231F20"/>
        </w:rPr>
        <w:t>diseases.</w:t>
      </w:r>
      <w:r>
        <w:rPr>
          <w:color w:val="231F20"/>
          <w:spacing w:val="-15"/>
        </w:rPr>
        <w:t xml:space="preserve"> </w:t>
      </w:r>
      <w:r>
        <w:rPr>
          <w:color w:val="231F20"/>
          <w:spacing w:val="-6"/>
        </w:rPr>
        <w:t xml:space="preserve">In </w:t>
      </w:r>
      <w:r>
        <w:rPr>
          <w:color w:val="231F20"/>
        </w:rPr>
        <w:t>Rivers</w:t>
      </w:r>
      <w:r>
        <w:rPr>
          <w:color w:val="231F20"/>
          <w:spacing w:val="-8"/>
        </w:rPr>
        <w:t xml:space="preserve"> </w:t>
      </w:r>
      <w:r>
        <w:rPr>
          <w:color w:val="231F20"/>
        </w:rPr>
        <w:t>State,</w:t>
      </w:r>
      <w:r>
        <w:rPr>
          <w:color w:val="231F20"/>
          <w:spacing w:val="-7"/>
        </w:rPr>
        <w:t xml:space="preserve"> </w:t>
      </w:r>
      <w:r>
        <w:rPr>
          <w:color w:val="231F20"/>
        </w:rPr>
        <w:t>NCDs</w:t>
      </w:r>
      <w:r>
        <w:rPr>
          <w:color w:val="231F20"/>
          <w:spacing w:val="-8"/>
        </w:rPr>
        <w:t xml:space="preserve"> </w:t>
      </w:r>
      <w:r>
        <w:rPr>
          <w:color w:val="231F20"/>
        </w:rPr>
        <w:t>contribute</w:t>
      </w:r>
      <w:r>
        <w:rPr>
          <w:color w:val="231F20"/>
          <w:spacing w:val="-7"/>
        </w:rPr>
        <w:t xml:space="preserve"> </w:t>
      </w:r>
      <w:r>
        <w:rPr>
          <w:color w:val="231F20"/>
        </w:rPr>
        <w:t>significantly</w:t>
      </w:r>
      <w:r>
        <w:rPr>
          <w:color w:val="231F20"/>
          <w:spacing w:val="-7"/>
        </w:rPr>
        <w:t xml:space="preserve"> </w:t>
      </w:r>
      <w:r>
        <w:rPr>
          <w:color w:val="231F20"/>
        </w:rPr>
        <w:t>to</w:t>
      </w:r>
      <w:r>
        <w:rPr>
          <w:color w:val="231F20"/>
          <w:spacing w:val="-8"/>
        </w:rPr>
        <w:t xml:space="preserve"> </w:t>
      </w:r>
      <w:r>
        <w:rPr>
          <w:color w:val="231F20"/>
        </w:rPr>
        <w:t>adult</w:t>
      </w:r>
      <w:r>
        <w:rPr>
          <w:color w:val="231F20"/>
          <w:spacing w:val="-7"/>
        </w:rPr>
        <w:t xml:space="preserve"> </w:t>
      </w:r>
      <w:r>
        <w:rPr>
          <w:color w:val="231F20"/>
        </w:rPr>
        <w:t>mortality</w:t>
      </w:r>
      <w:r>
        <w:rPr>
          <w:color w:val="231F20"/>
          <w:spacing w:val="-7"/>
        </w:rPr>
        <w:t xml:space="preserve"> </w:t>
      </w:r>
      <w:r>
        <w:rPr>
          <w:color w:val="231F20"/>
        </w:rPr>
        <w:t>and</w:t>
      </w:r>
      <w:r>
        <w:rPr>
          <w:color w:val="231F20"/>
          <w:spacing w:val="-8"/>
        </w:rPr>
        <w:t xml:space="preserve"> </w:t>
      </w:r>
      <w:r>
        <w:rPr>
          <w:color w:val="231F20"/>
        </w:rPr>
        <w:t>morbidity.</w:t>
      </w:r>
      <w:r>
        <w:rPr>
          <w:color w:val="231F20"/>
          <w:spacing w:val="-11"/>
        </w:rPr>
        <w:t xml:space="preserve"> </w:t>
      </w:r>
      <w:r>
        <w:rPr>
          <w:color w:val="231F20"/>
        </w:rPr>
        <w:t>They</w:t>
      </w:r>
      <w:r>
        <w:rPr>
          <w:color w:val="231F20"/>
          <w:spacing w:val="-7"/>
        </w:rPr>
        <w:t xml:space="preserve"> </w:t>
      </w:r>
      <w:r>
        <w:rPr>
          <w:color w:val="231F20"/>
        </w:rPr>
        <w:t>impose</w:t>
      </w:r>
      <w:r>
        <w:rPr>
          <w:color w:val="231F20"/>
          <w:spacing w:val="-8"/>
        </w:rPr>
        <w:t xml:space="preserve"> </w:t>
      </w:r>
      <w:r>
        <w:rPr>
          <w:color w:val="231F20"/>
        </w:rPr>
        <w:t>a</w:t>
      </w:r>
      <w:r>
        <w:rPr>
          <w:color w:val="231F20"/>
          <w:spacing w:val="-7"/>
        </w:rPr>
        <w:t xml:space="preserve"> </w:t>
      </w:r>
      <w:r>
        <w:rPr>
          <w:color w:val="231F20"/>
        </w:rPr>
        <w:t>heavy economic</w:t>
      </w:r>
      <w:r>
        <w:rPr>
          <w:color w:val="231F20"/>
          <w:spacing w:val="-5"/>
        </w:rPr>
        <w:t xml:space="preserve"> </w:t>
      </w:r>
      <w:r>
        <w:rPr>
          <w:color w:val="231F20"/>
        </w:rPr>
        <w:t>burden</w:t>
      </w:r>
      <w:r>
        <w:rPr>
          <w:color w:val="231F20"/>
          <w:spacing w:val="-4"/>
        </w:rPr>
        <w:t xml:space="preserve"> </w:t>
      </w:r>
      <w:r>
        <w:rPr>
          <w:color w:val="231F20"/>
        </w:rPr>
        <w:t>on</w:t>
      </w:r>
      <w:r>
        <w:rPr>
          <w:color w:val="231F20"/>
          <w:spacing w:val="-5"/>
        </w:rPr>
        <w:t xml:space="preserve"> </w:t>
      </w:r>
      <w:r>
        <w:rPr>
          <w:color w:val="231F20"/>
        </w:rPr>
        <w:t>individuals,</w:t>
      </w:r>
      <w:r>
        <w:rPr>
          <w:color w:val="231F20"/>
          <w:spacing w:val="-4"/>
        </w:rPr>
        <w:t xml:space="preserve"> </w:t>
      </w:r>
      <w:r>
        <w:rPr>
          <w:color w:val="231F20"/>
        </w:rPr>
        <w:t>societies</w:t>
      </w:r>
      <w:r>
        <w:rPr>
          <w:color w:val="231F20"/>
          <w:spacing w:val="-5"/>
        </w:rPr>
        <w:t xml:space="preserve"> </w:t>
      </w:r>
      <w:r>
        <w:rPr>
          <w:color w:val="231F20"/>
        </w:rPr>
        <w:t>and</w:t>
      </w:r>
      <w:r>
        <w:rPr>
          <w:color w:val="231F20"/>
          <w:spacing w:val="-4"/>
        </w:rPr>
        <w:t xml:space="preserve"> </w:t>
      </w:r>
      <w:r>
        <w:rPr>
          <w:color w:val="231F20"/>
        </w:rPr>
        <w:t>health</w:t>
      </w:r>
      <w:r>
        <w:rPr>
          <w:color w:val="231F20"/>
          <w:spacing w:val="-5"/>
        </w:rPr>
        <w:t xml:space="preserve"> </w:t>
      </w:r>
      <w:r>
        <w:rPr>
          <w:color w:val="231F20"/>
        </w:rPr>
        <w:t>system</w:t>
      </w:r>
      <w:r>
        <w:rPr>
          <w:color w:val="231F20"/>
          <w:spacing w:val="-4"/>
        </w:rPr>
        <w:t xml:space="preserve"> </w:t>
      </w:r>
      <w:r>
        <w:rPr>
          <w:color w:val="231F20"/>
        </w:rPr>
        <w:t>as</w:t>
      </w:r>
      <w:r>
        <w:rPr>
          <w:color w:val="231F20"/>
          <w:spacing w:val="-5"/>
        </w:rPr>
        <w:t xml:space="preserve"> </w:t>
      </w:r>
      <w:r>
        <w:rPr>
          <w:color w:val="231F20"/>
        </w:rPr>
        <w:t>they</w:t>
      </w:r>
      <w:r>
        <w:rPr>
          <w:color w:val="231F20"/>
          <w:spacing w:val="-4"/>
        </w:rPr>
        <w:t xml:space="preserve"> </w:t>
      </w:r>
      <w:r>
        <w:rPr>
          <w:color w:val="231F20"/>
        </w:rPr>
        <w:t>affect</w:t>
      </w:r>
      <w:r>
        <w:rPr>
          <w:color w:val="231F20"/>
          <w:spacing w:val="-5"/>
        </w:rPr>
        <w:t xml:space="preserve"> </w:t>
      </w:r>
      <w:r>
        <w:rPr>
          <w:color w:val="231F20"/>
        </w:rPr>
        <w:t>the</w:t>
      </w:r>
      <w:r>
        <w:rPr>
          <w:color w:val="231F20"/>
          <w:spacing w:val="-4"/>
        </w:rPr>
        <w:t xml:space="preserve"> </w:t>
      </w:r>
      <w:r>
        <w:rPr>
          <w:color w:val="231F20"/>
        </w:rPr>
        <w:t>highly</w:t>
      </w:r>
      <w:r>
        <w:rPr>
          <w:color w:val="231F20"/>
          <w:spacing w:val="-5"/>
        </w:rPr>
        <w:t xml:space="preserve"> </w:t>
      </w:r>
      <w:r>
        <w:rPr>
          <w:color w:val="231F20"/>
        </w:rPr>
        <w:t>productive population.</w:t>
      </w:r>
      <w:r>
        <w:rPr>
          <w:color w:val="231F20"/>
          <w:spacing w:val="-9"/>
        </w:rPr>
        <w:t xml:space="preserve"> </w:t>
      </w:r>
      <w:r>
        <w:rPr>
          <w:color w:val="231F20"/>
        </w:rPr>
        <w:t>The</w:t>
      </w:r>
      <w:r>
        <w:rPr>
          <w:color w:val="231F20"/>
          <w:spacing w:val="-4"/>
        </w:rPr>
        <w:t xml:space="preserve"> </w:t>
      </w:r>
      <w:r>
        <w:rPr>
          <w:color w:val="231F20"/>
        </w:rPr>
        <w:t>major</w:t>
      </w:r>
      <w:r>
        <w:rPr>
          <w:color w:val="231F20"/>
          <w:spacing w:val="-4"/>
        </w:rPr>
        <w:t xml:space="preserve"> </w:t>
      </w:r>
      <w:r>
        <w:rPr>
          <w:color w:val="231F20"/>
        </w:rPr>
        <w:t>NCDs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include;</w:t>
      </w:r>
      <w:r>
        <w:rPr>
          <w:color w:val="231F20"/>
          <w:spacing w:val="-4"/>
        </w:rPr>
        <w:t xml:space="preserve"> </w:t>
      </w:r>
      <w:r>
        <w:rPr>
          <w:color w:val="231F20"/>
        </w:rPr>
        <w:t>cardiovascular</w:t>
      </w:r>
      <w:r>
        <w:rPr>
          <w:color w:val="231F20"/>
          <w:spacing w:val="-5"/>
        </w:rPr>
        <w:t xml:space="preserve"> </w:t>
      </w:r>
      <w:r>
        <w:rPr>
          <w:color w:val="231F20"/>
        </w:rPr>
        <w:t>diseases</w:t>
      </w:r>
      <w:r>
        <w:rPr>
          <w:color w:val="231F20"/>
          <w:spacing w:val="-4"/>
        </w:rPr>
        <w:t xml:space="preserve"> </w:t>
      </w:r>
      <w:r>
        <w:rPr>
          <w:color w:val="231F20"/>
        </w:rPr>
        <w:t>(hypertension,</w:t>
      </w:r>
      <w:r>
        <w:rPr>
          <w:color w:val="231F20"/>
          <w:spacing w:val="-4"/>
        </w:rPr>
        <w:t xml:space="preserve"> </w:t>
      </w:r>
      <w:r>
        <w:rPr>
          <w:color w:val="231F20"/>
        </w:rPr>
        <w:t>stroke, and</w:t>
      </w:r>
      <w:r>
        <w:rPr>
          <w:color w:val="231F20"/>
          <w:spacing w:val="-26"/>
        </w:rPr>
        <w:t xml:space="preserve"> </w:t>
      </w:r>
      <w:r>
        <w:rPr>
          <w:color w:val="231F20"/>
        </w:rPr>
        <w:t>coronary</w:t>
      </w:r>
      <w:r>
        <w:rPr>
          <w:color w:val="231F20"/>
          <w:spacing w:val="-25"/>
        </w:rPr>
        <w:t xml:space="preserve"> </w:t>
      </w:r>
      <w:r>
        <w:rPr>
          <w:color w:val="231F20"/>
        </w:rPr>
        <w:t>heart</w:t>
      </w:r>
      <w:r>
        <w:rPr>
          <w:color w:val="231F20"/>
          <w:spacing w:val="-25"/>
        </w:rPr>
        <w:t xml:space="preserve"> </w:t>
      </w:r>
      <w:r>
        <w:rPr>
          <w:color w:val="231F20"/>
        </w:rPr>
        <w:t>disease),</w:t>
      </w:r>
      <w:r>
        <w:rPr>
          <w:color w:val="231F20"/>
          <w:spacing w:val="-25"/>
        </w:rPr>
        <w:t xml:space="preserve"> </w:t>
      </w:r>
      <w:r>
        <w:rPr>
          <w:color w:val="231F20"/>
        </w:rPr>
        <w:t>diabetes</w:t>
      </w:r>
      <w:r>
        <w:rPr>
          <w:color w:val="231F20"/>
          <w:spacing w:val="-25"/>
        </w:rPr>
        <w:t xml:space="preserve"> </w:t>
      </w:r>
      <w:r>
        <w:rPr>
          <w:color w:val="231F20"/>
        </w:rPr>
        <w:t>mellitus,</w:t>
      </w:r>
      <w:r>
        <w:rPr>
          <w:color w:val="231F20"/>
          <w:spacing w:val="-25"/>
        </w:rPr>
        <w:t xml:space="preserve"> </w:t>
      </w:r>
      <w:r>
        <w:rPr>
          <w:color w:val="231F20"/>
        </w:rPr>
        <w:t>cancers,</w:t>
      </w:r>
      <w:r>
        <w:rPr>
          <w:color w:val="231F20"/>
          <w:spacing w:val="-26"/>
        </w:rPr>
        <w:t xml:space="preserve"> </w:t>
      </w:r>
      <w:r>
        <w:rPr>
          <w:color w:val="231F20"/>
        </w:rPr>
        <w:t>sickle</w:t>
      </w:r>
      <w:r>
        <w:rPr>
          <w:color w:val="231F20"/>
          <w:spacing w:val="-25"/>
        </w:rPr>
        <w:t xml:space="preserve"> </w:t>
      </w:r>
      <w:r>
        <w:rPr>
          <w:color w:val="231F20"/>
        </w:rPr>
        <w:t>cell</w:t>
      </w:r>
      <w:r>
        <w:rPr>
          <w:color w:val="231F20"/>
          <w:spacing w:val="-25"/>
        </w:rPr>
        <w:t xml:space="preserve"> </w:t>
      </w:r>
      <w:r>
        <w:rPr>
          <w:color w:val="231F20"/>
        </w:rPr>
        <w:t>disease</w:t>
      </w:r>
      <w:r>
        <w:rPr>
          <w:color w:val="231F20"/>
          <w:spacing w:val="-25"/>
        </w:rPr>
        <w:t xml:space="preserve"> </w:t>
      </w:r>
      <w:r>
        <w:rPr>
          <w:color w:val="231F20"/>
        </w:rPr>
        <w:t>and</w:t>
      </w:r>
      <w:r>
        <w:rPr>
          <w:color w:val="231F20"/>
          <w:spacing w:val="-25"/>
        </w:rPr>
        <w:t xml:space="preserve"> </w:t>
      </w:r>
      <w:r>
        <w:rPr>
          <w:color w:val="231F20"/>
        </w:rPr>
        <w:t>chronic</w:t>
      </w:r>
      <w:r>
        <w:rPr>
          <w:color w:val="231F20"/>
          <w:spacing w:val="-25"/>
        </w:rPr>
        <w:t xml:space="preserve"> </w:t>
      </w:r>
      <w:r>
        <w:rPr>
          <w:color w:val="231F20"/>
        </w:rPr>
        <w:t>obstructive airway diseases including asthma. Others include mental health disorders, violence, road traffic injuries</w:t>
      </w:r>
      <w:r>
        <w:rPr>
          <w:color w:val="231F20"/>
          <w:spacing w:val="-10"/>
        </w:rPr>
        <w:t xml:space="preserve"> </w:t>
      </w:r>
      <w:r>
        <w:rPr>
          <w:color w:val="231F20"/>
        </w:rPr>
        <w:t>and</w:t>
      </w:r>
      <w:r>
        <w:rPr>
          <w:color w:val="231F20"/>
          <w:spacing w:val="-10"/>
        </w:rPr>
        <w:t xml:space="preserve"> </w:t>
      </w:r>
      <w:r>
        <w:rPr>
          <w:color w:val="231F20"/>
        </w:rPr>
        <w:t>oral</w:t>
      </w:r>
      <w:r>
        <w:rPr>
          <w:color w:val="231F20"/>
          <w:spacing w:val="-10"/>
        </w:rPr>
        <w:t xml:space="preserve"> </w:t>
      </w:r>
      <w:r>
        <w:rPr>
          <w:color w:val="231F20"/>
        </w:rPr>
        <w:t>health.</w:t>
      </w:r>
      <w:r>
        <w:rPr>
          <w:color w:val="231F20"/>
          <w:spacing w:val="-22"/>
        </w:rPr>
        <w:t xml:space="preserve"> </w:t>
      </w:r>
      <w:r>
        <w:rPr>
          <w:color w:val="231F20"/>
        </w:rPr>
        <w:t>Although</w:t>
      </w:r>
      <w:r>
        <w:rPr>
          <w:color w:val="231F20"/>
          <w:spacing w:val="-9"/>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dearth</w:t>
      </w:r>
      <w:r>
        <w:rPr>
          <w:color w:val="231F20"/>
          <w:spacing w:val="-10"/>
        </w:rPr>
        <w:t xml:space="preserve"> </w:t>
      </w:r>
      <w:r>
        <w:rPr>
          <w:color w:val="231F20"/>
        </w:rPr>
        <w:t>of</w:t>
      </w:r>
      <w:r>
        <w:rPr>
          <w:color w:val="231F20"/>
          <w:spacing w:val="-10"/>
        </w:rPr>
        <w:t xml:space="preserve"> </w:t>
      </w:r>
      <w:r>
        <w:rPr>
          <w:color w:val="231F20"/>
        </w:rPr>
        <w:t>data</w:t>
      </w:r>
      <w:r>
        <w:rPr>
          <w:color w:val="231F20"/>
          <w:spacing w:val="-10"/>
        </w:rPr>
        <w:t xml:space="preserve"> </w:t>
      </w:r>
      <w:r>
        <w:rPr>
          <w:color w:val="231F20"/>
        </w:rPr>
        <w:t>on</w:t>
      </w:r>
      <w:r>
        <w:rPr>
          <w:color w:val="231F20"/>
          <w:spacing w:val="-10"/>
        </w:rPr>
        <w:t xml:space="preserve"> </w:t>
      </w:r>
      <w:r>
        <w:rPr>
          <w:color w:val="231F20"/>
        </w:rPr>
        <w:t>NCDs</w:t>
      </w:r>
      <w:r>
        <w:rPr>
          <w:color w:val="231F20"/>
          <w:spacing w:val="-10"/>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as</w:t>
      </w:r>
      <w:r>
        <w:rPr>
          <w:color w:val="231F20"/>
          <w:spacing w:val="-10"/>
        </w:rPr>
        <w:t xml:space="preserve"> </w:t>
      </w:r>
      <w:r>
        <w:rPr>
          <w:color w:val="231F20"/>
        </w:rPr>
        <w:t>the</w:t>
      </w:r>
      <w:r>
        <w:rPr>
          <w:color w:val="231F20"/>
          <w:spacing w:val="-10"/>
        </w:rPr>
        <w:t xml:space="preserve"> </w:t>
      </w:r>
      <w:r>
        <w:rPr>
          <w:color w:val="231F20"/>
        </w:rPr>
        <w:t>last</w:t>
      </w:r>
      <w:r>
        <w:rPr>
          <w:color w:val="231F20"/>
          <w:spacing w:val="-10"/>
        </w:rPr>
        <w:t xml:space="preserve"> </w:t>
      </w:r>
      <w:r>
        <w:rPr>
          <w:color w:val="231F20"/>
        </w:rPr>
        <w:t>national survey</w:t>
      </w:r>
      <w:r>
        <w:rPr>
          <w:color w:val="231F20"/>
          <w:spacing w:val="-12"/>
        </w:rPr>
        <w:t xml:space="preserve"> </w:t>
      </w:r>
      <w:r>
        <w:rPr>
          <w:color w:val="231F20"/>
        </w:rPr>
        <w:t>on</w:t>
      </w:r>
      <w:r>
        <w:rPr>
          <w:color w:val="231F20"/>
          <w:spacing w:val="-11"/>
        </w:rPr>
        <w:t xml:space="preserve"> </w:t>
      </w:r>
      <w:r>
        <w:rPr>
          <w:color w:val="231F20"/>
        </w:rPr>
        <w:t>NCD</w:t>
      </w:r>
      <w:r>
        <w:rPr>
          <w:color w:val="231F20"/>
          <w:spacing w:val="-11"/>
        </w:rPr>
        <w:t xml:space="preserve"> </w:t>
      </w:r>
      <w:r>
        <w:rPr>
          <w:color w:val="231F20"/>
        </w:rPr>
        <w:t>was</w:t>
      </w:r>
      <w:r>
        <w:rPr>
          <w:color w:val="231F20"/>
          <w:spacing w:val="-11"/>
        </w:rPr>
        <w:t xml:space="preserve"> </w:t>
      </w:r>
      <w:r>
        <w:rPr>
          <w:color w:val="231F20"/>
        </w:rPr>
        <w:t>in</w:t>
      </w:r>
      <w:r>
        <w:rPr>
          <w:color w:val="231F20"/>
          <w:spacing w:val="-11"/>
        </w:rPr>
        <w:t xml:space="preserve"> </w:t>
      </w:r>
      <w:r>
        <w:rPr>
          <w:color w:val="231F20"/>
        </w:rPr>
        <w:t>1992,</w:t>
      </w:r>
      <w:r>
        <w:rPr>
          <w:color w:val="231F20"/>
          <w:spacing w:val="-11"/>
        </w:rPr>
        <w:t xml:space="preserve"> </w:t>
      </w:r>
      <w:r>
        <w:rPr>
          <w:color w:val="231F20"/>
        </w:rPr>
        <w:t>the</w:t>
      </w:r>
      <w:r>
        <w:rPr>
          <w:color w:val="231F20"/>
          <w:spacing w:val="-11"/>
        </w:rPr>
        <w:t xml:space="preserve"> </w:t>
      </w:r>
      <w:r>
        <w:rPr>
          <w:color w:val="231F20"/>
        </w:rPr>
        <w:t>prevalence</w:t>
      </w:r>
      <w:r>
        <w:rPr>
          <w:color w:val="231F20"/>
          <w:spacing w:val="-11"/>
        </w:rPr>
        <w:t xml:space="preserve"> </w:t>
      </w:r>
      <w:r>
        <w:rPr>
          <w:color w:val="231F20"/>
        </w:rPr>
        <w:t>of</w:t>
      </w:r>
      <w:r>
        <w:rPr>
          <w:color w:val="231F20"/>
          <w:spacing w:val="-11"/>
        </w:rPr>
        <w:t xml:space="preserve"> </w:t>
      </w:r>
      <w:r>
        <w:rPr>
          <w:color w:val="231F20"/>
        </w:rPr>
        <w:t>NCDs</w:t>
      </w:r>
      <w:r>
        <w:rPr>
          <w:color w:val="231F20"/>
          <w:spacing w:val="-11"/>
        </w:rPr>
        <w:t xml:space="preserve"> </w:t>
      </w:r>
      <w:r>
        <w:rPr>
          <w:color w:val="231F20"/>
        </w:rPr>
        <w:t>is</w:t>
      </w:r>
      <w:r>
        <w:rPr>
          <w:color w:val="231F20"/>
          <w:spacing w:val="-11"/>
        </w:rPr>
        <w:t xml:space="preserve"> </w:t>
      </w:r>
      <w:r>
        <w:rPr>
          <w:color w:val="231F20"/>
        </w:rPr>
        <w:t>predicted</w:t>
      </w:r>
      <w:r>
        <w:rPr>
          <w:color w:val="231F20"/>
          <w:spacing w:val="-11"/>
        </w:rPr>
        <w:t xml:space="preserve"> </w:t>
      </w:r>
      <w:r>
        <w:rPr>
          <w:color w:val="231F20"/>
        </w:rPr>
        <w:t>to</w:t>
      </w:r>
      <w:r>
        <w:rPr>
          <w:color w:val="231F20"/>
          <w:spacing w:val="-12"/>
        </w:rPr>
        <w:t xml:space="preserve"> </w:t>
      </w:r>
      <w:r>
        <w:rPr>
          <w:color w:val="231F20"/>
        </w:rPr>
        <w:t>rise</w:t>
      </w:r>
      <w:r>
        <w:rPr>
          <w:color w:val="231F20"/>
          <w:spacing w:val="-11"/>
        </w:rPr>
        <w:t xml:space="preserve"> </w:t>
      </w:r>
      <w:r>
        <w:rPr>
          <w:color w:val="231F20"/>
        </w:rPr>
        <w:t>even</w:t>
      </w:r>
      <w:r>
        <w:rPr>
          <w:color w:val="231F20"/>
          <w:spacing w:val="-11"/>
        </w:rPr>
        <w:t xml:space="preserve"> </w:t>
      </w:r>
      <w:r>
        <w:rPr>
          <w:color w:val="231F20"/>
        </w:rPr>
        <w:t>more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coming decades.</w:t>
      </w:r>
    </w:p>
    <w:p w14:paraId="62BE916E" w14:textId="3D3F068C" w:rsidR="009948F1" w:rsidRDefault="00BC0563">
      <w:pPr>
        <w:pStyle w:val="BodyText"/>
        <w:spacing w:line="273" w:lineRule="auto"/>
        <w:ind w:left="188" w:right="201"/>
        <w:jc w:val="both"/>
      </w:pPr>
      <w:r>
        <w:rPr>
          <w:color w:val="231F20"/>
        </w:rPr>
        <w:t>The</w:t>
      </w:r>
      <w:r>
        <w:rPr>
          <w:color w:val="231F20"/>
          <w:spacing w:val="-17"/>
        </w:rPr>
        <w:t xml:space="preserve"> </w:t>
      </w:r>
      <w:r>
        <w:rPr>
          <w:color w:val="231F20"/>
        </w:rPr>
        <w:t>modifiable</w:t>
      </w:r>
      <w:r>
        <w:rPr>
          <w:color w:val="231F20"/>
          <w:spacing w:val="-17"/>
        </w:rPr>
        <w:t xml:space="preserve"> </w:t>
      </w:r>
      <w:r>
        <w:rPr>
          <w:color w:val="231F20"/>
        </w:rPr>
        <w:t>shared</w:t>
      </w:r>
      <w:r>
        <w:rPr>
          <w:color w:val="231F20"/>
          <w:spacing w:val="-17"/>
        </w:rPr>
        <w:t xml:space="preserve"> </w:t>
      </w:r>
      <w:r>
        <w:rPr>
          <w:color w:val="231F20"/>
        </w:rPr>
        <w:t>risk</w:t>
      </w:r>
      <w:r>
        <w:rPr>
          <w:color w:val="231F20"/>
          <w:spacing w:val="-18"/>
        </w:rPr>
        <w:t xml:space="preserve"> </w:t>
      </w:r>
      <w:r>
        <w:rPr>
          <w:color w:val="231F20"/>
        </w:rPr>
        <w:t>factors</w:t>
      </w:r>
      <w:r>
        <w:rPr>
          <w:color w:val="231F20"/>
          <w:spacing w:val="-18"/>
        </w:rPr>
        <w:t xml:space="preserve"> </w:t>
      </w:r>
      <w:r>
        <w:rPr>
          <w:color w:val="231F20"/>
        </w:rPr>
        <w:t>for</w:t>
      </w:r>
      <w:r>
        <w:rPr>
          <w:color w:val="231F20"/>
          <w:spacing w:val="-18"/>
        </w:rPr>
        <w:t xml:space="preserve"> </w:t>
      </w:r>
      <w:r>
        <w:rPr>
          <w:color w:val="231F20"/>
        </w:rPr>
        <w:t>NCDs</w:t>
      </w:r>
      <w:r>
        <w:rPr>
          <w:color w:val="231F20"/>
          <w:spacing w:val="-17"/>
        </w:rPr>
        <w:t xml:space="preserve"> </w:t>
      </w:r>
      <w:r>
        <w:rPr>
          <w:color w:val="231F20"/>
        </w:rPr>
        <w:t>include-</w:t>
      </w:r>
      <w:r>
        <w:rPr>
          <w:color w:val="231F20"/>
          <w:spacing w:val="-17"/>
        </w:rPr>
        <w:t xml:space="preserve"> </w:t>
      </w:r>
      <w:r>
        <w:rPr>
          <w:color w:val="231F20"/>
        </w:rPr>
        <w:t>tobacco</w:t>
      </w:r>
      <w:r>
        <w:rPr>
          <w:color w:val="231F20"/>
          <w:spacing w:val="-17"/>
        </w:rPr>
        <w:t xml:space="preserve"> </w:t>
      </w:r>
      <w:r>
        <w:rPr>
          <w:color w:val="231F20"/>
        </w:rPr>
        <w:t>use,</w:t>
      </w:r>
      <w:r>
        <w:rPr>
          <w:color w:val="231F20"/>
          <w:spacing w:val="-16"/>
        </w:rPr>
        <w:t xml:space="preserve"> </w:t>
      </w:r>
      <w:r>
        <w:rPr>
          <w:color w:val="231F20"/>
        </w:rPr>
        <w:t>harmful</w:t>
      </w:r>
      <w:r>
        <w:rPr>
          <w:color w:val="231F20"/>
          <w:spacing w:val="-17"/>
        </w:rPr>
        <w:t xml:space="preserve"> </w:t>
      </w:r>
      <w:r>
        <w:rPr>
          <w:color w:val="231F20"/>
        </w:rPr>
        <w:t>use</w:t>
      </w:r>
      <w:r>
        <w:rPr>
          <w:color w:val="231F20"/>
          <w:spacing w:val="-17"/>
        </w:rPr>
        <w:t xml:space="preserve"> </w:t>
      </w:r>
      <w:r>
        <w:rPr>
          <w:color w:val="231F20"/>
        </w:rPr>
        <w:t>of</w:t>
      </w:r>
      <w:r>
        <w:rPr>
          <w:color w:val="231F20"/>
          <w:spacing w:val="-18"/>
        </w:rPr>
        <w:t xml:space="preserve"> </w:t>
      </w:r>
      <w:r>
        <w:rPr>
          <w:color w:val="231F20"/>
        </w:rPr>
        <w:t>alcohol,</w:t>
      </w:r>
      <w:r>
        <w:rPr>
          <w:color w:val="231F20"/>
          <w:spacing w:val="-17"/>
        </w:rPr>
        <w:t xml:space="preserve"> </w:t>
      </w:r>
      <w:r>
        <w:rPr>
          <w:color w:val="231F20"/>
        </w:rPr>
        <w:t xml:space="preserve">physical inactivity and unhealthy diets such as excessive consumption of red meat, salt, saturated </w:t>
      </w:r>
      <w:r>
        <w:rPr>
          <w:color w:val="231F20"/>
          <w:spacing w:val="-4"/>
        </w:rPr>
        <w:t>fat,</w:t>
      </w:r>
      <w:r>
        <w:rPr>
          <w:color w:val="231F20"/>
          <w:spacing w:val="53"/>
        </w:rPr>
        <w:t xml:space="preserve"> </w:t>
      </w:r>
      <w:r>
        <w:rPr>
          <w:color w:val="231F20"/>
        </w:rPr>
        <w:t>refined sugars in foods and drinks. Others include exposure to outdoor and indoor smoke from solid</w:t>
      </w:r>
      <w:r>
        <w:rPr>
          <w:color w:val="231F20"/>
          <w:spacing w:val="-8"/>
        </w:rPr>
        <w:t xml:space="preserve"> </w:t>
      </w:r>
      <w:r>
        <w:rPr>
          <w:color w:val="231F20"/>
        </w:rPr>
        <w:t>fuels,</w:t>
      </w:r>
      <w:r>
        <w:rPr>
          <w:color w:val="231F20"/>
          <w:spacing w:val="-8"/>
        </w:rPr>
        <w:t xml:space="preserve"> </w:t>
      </w:r>
      <w:r>
        <w:rPr>
          <w:color w:val="231F20"/>
        </w:rPr>
        <w:t>harmful</w:t>
      </w:r>
      <w:r>
        <w:rPr>
          <w:color w:val="231F20"/>
          <w:spacing w:val="-8"/>
        </w:rPr>
        <w:t xml:space="preserve"> </w:t>
      </w:r>
      <w:r>
        <w:rPr>
          <w:color w:val="231F20"/>
        </w:rPr>
        <w:t>radiation</w:t>
      </w:r>
      <w:r>
        <w:rPr>
          <w:color w:val="231F20"/>
          <w:spacing w:val="-8"/>
        </w:rPr>
        <w:t xml:space="preserve"> </w:t>
      </w:r>
      <w:r>
        <w:rPr>
          <w:color w:val="231F20"/>
        </w:rPr>
        <w:t>(domestic</w:t>
      </w:r>
      <w:r>
        <w:rPr>
          <w:color w:val="231F20"/>
          <w:spacing w:val="-8"/>
        </w:rPr>
        <w:t xml:space="preserve"> </w:t>
      </w:r>
      <w:r>
        <w:rPr>
          <w:color w:val="231F20"/>
        </w:rPr>
        <w:t>or</w:t>
      </w:r>
      <w:r>
        <w:rPr>
          <w:color w:val="231F20"/>
          <w:spacing w:val="-8"/>
        </w:rPr>
        <w:t xml:space="preserve"> </w:t>
      </w:r>
      <w:r>
        <w:rPr>
          <w:color w:val="231F20"/>
        </w:rPr>
        <w:t>industrial)</w:t>
      </w:r>
      <w:r>
        <w:rPr>
          <w:color w:val="231F20"/>
          <w:spacing w:val="-8"/>
        </w:rPr>
        <w:t xml:space="preserve"> </w:t>
      </w:r>
      <w:r>
        <w:rPr>
          <w:color w:val="231F20"/>
        </w:rPr>
        <w:t>contribute</w:t>
      </w:r>
      <w:r>
        <w:rPr>
          <w:color w:val="231F20"/>
          <w:spacing w:val="-8"/>
        </w:rPr>
        <w:t xml:space="preserve"> </w:t>
      </w:r>
      <w:r>
        <w:rPr>
          <w:color w:val="231F20"/>
        </w:rPr>
        <w:t>to</w:t>
      </w:r>
      <w:r>
        <w:rPr>
          <w:color w:val="231F20"/>
          <w:spacing w:val="-8"/>
        </w:rPr>
        <w:t xml:space="preserve"> </w:t>
      </w:r>
      <w:r>
        <w:rPr>
          <w:color w:val="231F20"/>
        </w:rPr>
        <w:t>an</w:t>
      </w:r>
      <w:r>
        <w:rPr>
          <w:color w:val="231F20"/>
          <w:spacing w:val="-8"/>
        </w:rPr>
        <w:t xml:space="preserve"> </w:t>
      </w:r>
      <w:r>
        <w:rPr>
          <w:color w:val="231F20"/>
        </w:rPr>
        <w:t>emerging</w:t>
      </w:r>
      <w:r>
        <w:rPr>
          <w:color w:val="231F20"/>
          <w:spacing w:val="-8"/>
        </w:rPr>
        <w:t xml:space="preserve"> </w:t>
      </w:r>
      <w:r>
        <w:rPr>
          <w:color w:val="231F20"/>
        </w:rPr>
        <w:t>increase</w:t>
      </w:r>
      <w:r>
        <w:rPr>
          <w:color w:val="231F20"/>
          <w:spacing w:val="-8"/>
        </w:rPr>
        <w:t xml:space="preserve"> </w:t>
      </w:r>
      <w:r>
        <w:rPr>
          <w:color w:val="231F20"/>
        </w:rPr>
        <w:t>in</w:t>
      </w:r>
      <w:r>
        <w:rPr>
          <w:color w:val="231F20"/>
          <w:spacing w:val="-8"/>
        </w:rPr>
        <w:t xml:space="preserve"> </w:t>
      </w:r>
      <w:r>
        <w:rPr>
          <w:color w:val="231F20"/>
          <w:spacing w:val="-3"/>
        </w:rPr>
        <w:t xml:space="preserve">NCDs. </w:t>
      </w:r>
      <w:r>
        <w:rPr>
          <w:color w:val="231F20"/>
        </w:rPr>
        <w:t>The</w:t>
      </w:r>
      <w:r>
        <w:rPr>
          <w:color w:val="231F20"/>
          <w:spacing w:val="-26"/>
        </w:rPr>
        <w:t xml:space="preserve"> </w:t>
      </w:r>
      <w:r>
        <w:rPr>
          <w:color w:val="231F20"/>
        </w:rPr>
        <w:t>above</w:t>
      </w:r>
      <w:r>
        <w:rPr>
          <w:color w:val="231F20"/>
          <w:spacing w:val="-25"/>
        </w:rPr>
        <w:t xml:space="preserve"> </w:t>
      </w:r>
      <w:r>
        <w:rPr>
          <w:color w:val="231F20"/>
        </w:rPr>
        <w:t>risk</w:t>
      </w:r>
      <w:r>
        <w:rPr>
          <w:color w:val="231F20"/>
          <w:spacing w:val="-25"/>
        </w:rPr>
        <w:t xml:space="preserve"> </w:t>
      </w:r>
      <w:r>
        <w:rPr>
          <w:color w:val="231F20"/>
        </w:rPr>
        <w:t>factors</w:t>
      </w:r>
      <w:r>
        <w:rPr>
          <w:color w:val="231F20"/>
          <w:spacing w:val="-25"/>
        </w:rPr>
        <w:t xml:space="preserve"> </w:t>
      </w:r>
      <w:r>
        <w:rPr>
          <w:color w:val="231F20"/>
        </w:rPr>
        <w:t>are</w:t>
      </w:r>
      <w:r>
        <w:rPr>
          <w:color w:val="231F20"/>
          <w:spacing w:val="-25"/>
        </w:rPr>
        <w:t xml:space="preserve"> </w:t>
      </w:r>
      <w:r w:rsidR="00FE4EDF">
        <w:rPr>
          <w:color w:val="231F20"/>
        </w:rPr>
        <w:t>fueled</w:t>
      </w:r>
      <w:r>
        <w:rPr>
          <w:color w:val="231F20"/>
          <w:spacing w:val="-25"/>
        </w:rPr>
        <w:t xml:space="preserve"> </w:t>
      </w:r>
      <w:r>
        <w:rPr>
          <w:color w:val="231F20"/>
        </w:rPr>
        <w:t>by</w:t>
      </w:r>
      <w:r>
        <w:rPr>
          <w:color w:val="231F20"/>
          <w:spacing w:val="-25"/>
        </w:rPr>
        <w:t xml:space="preserve"> </w:t>
      </w:r>
      <w:r>
        <w:rPr>
          <w:color w:val="231F20"/>
        </w:rPr>
        <w:t>increasing</w:t>
      </w:r>
      <w:r>
        <w:rPr>
          <w:color w:val="231F20"/>
          <w:spacing w:val="-25"/>
        </w:rPr>
        <w:t xml:space="preserve"> </w:t>
      </w:r>
      <w:r>
        <w:rPr>
          <w:color w:val="231F20"/>
        </w:rPr>
        <w:t>globalization,</w:t>
      </w:r>
      <w:r>
        <w:rPr>
          <w:color w:val="231F20"/>
          <w:spacing w:val="-25"/>
        </w:rPr>
        <w:t xml:space="preserve"> </w:t>
      </w:r>
      <w:r>
        <w:rPr>
          <w:color w:val="231F20"/>
        </w:rPr>
        <w:t>urbanization</w:t>
      </w:r>
      <w:r>
        <w:rPr>
          <w:color w:val="231F20"/>
          <w:spacing w:val="-26"/>
        </w:rPr>
        <w:t xml:space="preserve"> </w:t>
      </w:r>
      <w:r>
        <w:rPr>
          <w:color w:val="231F20"/>
        </w:rPr>
        <w:t>and</w:t>
      </w:r>
      <w:r>
        <w:rPr>
          <w:color w:val="231F20"/>
          <w:spacing w:val="-25"/>
        </w:rPr>
        <w:t xml:space="preserve"> </w:t>
      </w:r>
      <w:r>
        <w:rPr>
          <w:color w:val="231F20"/>
        </w:rPr>
        <w:t>industrialization</w:t>
      </w:r>
      <w:r>
        <w:rPr>
          <w:color w:val="231F20"/>
          <w:spacing w:val="-25"/>
        </w:rPr>
        <w:t xml:space="preserve"> </w:t>
      </w:r>
      <w:r>
        <w:rPr>
          <w:color w:val="231F20"/>
        </w:rPr>
        <w:t>in</w:t>
      </w:r>
    </w:p>
    <w:p w14:paraId="43DE1708" w14:textId="77777777" w:rsidR="009948F1" w:rsidRDefault="009948F1">
      <w:pPr>
        <w:spacing w:line="273" w:lineRule="auto"/>
        <w:jc w:val="both"/>
        <w:sectPr w:rsidR="009948F1">
          <w:pgSz w:w="11910" w:h="16840"/>
          <w:pgMar w:top="1280" w:right="1080" w:bottom="1420" w:left="1120" w:header="0" w:footer="1235" w:gutter="0"/>
          <w:cols w:space="720"/>
        </w:sectPr>
      </w:pPr>
    </w:p>
    <w:p w14:paraId="3A26613A" w14:textId="35B029F5" w:rsidR="009948F1" w:rsidRDefault="00BC0563">
      <w:pPr>
        <w:pStyle w:val="BodyText"/>
        <w:spacing w:before="51" w:line="261" w:lineRule="auto"/>
        <w:ind w:left="160"/>
      </w:pPr>
      <w:bookmarkStart w:id="76" w:name="Page_62"/>
      <w:bookmarkEnd w:id="76"/>
      <w:r>
        <w:rPr>
          <w:color w:val="231F20"/>
        </w:rPr>
        <w:lastRenderedPageBreak/>
        <w:t>the</w:t>
      </w:r>
      <w:r>
        <w:rPr>
          <w:color w:val="231F20"/>
          <w:spacing w:val="-22"/>
        </w:rPr>
        <w:t xml:space="preserve"> </w:t>
      </w:r>
      <w:r>
        <w:rPr>
          <w:color w:val="231F20"/>
        </w:rPr>
        <w:t>last</w:t>
      </w:r>
      <w:r>
        <w:rPr>
          <w:color w:val="231F20"/>
          <w:spacing w:val="-22"/>
        </w:rPr>
        <w:t xml:space="preserve"> </w:t>
      </w:r>
      <w:r>
        <w:rPr>
          <w:color w:val="231F20"/>
        </w:rPr>
        <w:t>few</w:t>
      </w:r>
      <w:r>
        <w:rPr>
          <w:color w:val="231F20"/>
          <w:spacing w:val="-22"/>
        </w:rPr>
        <w:t xml:space="preserve"> </w:t>
      </w:r>
      <w:r>
        <w:rPr>
          <w:color w:val="231F20"/>
        </w:rPr>
        <w:t>years</w:t>
      </w:r>
      <w:r>
        <w:rPr>
          <w:color w:val="231F20"/>
          <w:spacing w:val="-22"/>
        </w:rPr>
        <w:t xml:space="preserve"> </w:t>
      </w:r>
      <w:r>
        <w:rPr>
          <w:color w:val="231F20"/>
        </w:rPr>
        <w:t>that</w:t>
      </w:r>
      <w:r>
        <w:rPr>
          <w:color w:val="231F20"/>
          <w:spacing w:val="-22"/>
        </w:rPr>
        <w:t xml:space="preserve"> </w:t>
      </w:r>
      <w:r>
        <w:rPr>
          <w:color w:val="231F20"/>
        </w:rPr>
        <w:t>imposed</w:t>
      </w:r>
      <w:r>
        <w:rPr>
          <w:color w:val="231F20"/>
          <w:spacing w:val="-22"/>
        </w:rPr>
        <w:t xml:space="preserve"> </w:t>
      </w:r>
      <w:r>
        <w:rPr>
          <w:color w:val="231F20"/>
        </w:rPr>
        <w:t>new</w:t>
      </w:r>
      <w:r>
        <w:rPr>
          <w:color w:val="231F20"/>
          <w:spacing w:val="-22"/>
        </w:rPr>
        <w:t xml:space="preserve"> </w:t>
      </w:r>
      <w:r>
        <w:rPr>
          <w:color w:val="231F20"/>
        </w:rPr>
        <w:t>lifestyle</w:t>
      </w:r>
      <w:r>
        <w:rPr>
          <w:color w:val="231F20"/>
          <w:spacing w:val="-22"/>
        </w:rPr>
        <w:t xml:space="preserve"> </w:t>
      </w:r>
      <w:r>
        <w:rPr>
          <w:color w:val="231F20"/>
        </w:rPr>
        <w:t>on</w:t>
      </w:r>
      <w:r>
        <w:rPr>
          <w:color w:val="231F20"/>
          <w:spacing w:val="-22"/>
        </w:rPr>
        <w:t xml:space="preserve"> </w:t>
      </w:r>
      <w:r>
        <w:rPr>
          <w:color w:val="231F20"/>
        </w:rPr>
        <w:t>the</w:t>
      </w:r>
      <w:r>
        <w:rPr>
          <w:color w:val="231F20"/>
          <w:spacing w:val="-22"/>
        </w:rPr>
        <w:t xml:space="preserve"> </w:t>
      </w:r>
      <w:r>
        <w:rPr>
          <w:color w:val="231F20"/>
        </w:rPr>
        <w:t>population</w:t>
      </w:r>
      <w:r>
        <w:rPr>
          <w:color w:val="231F20"/>
          <w:spacing w:val="-22"/>
        </w:rPr>
        <w:t xml:space="preserve"> </w:t>
      </w:r>
      <w:r>
        <w:rPr>
          <w:color w:val="231F20"/>
        </w:rPr>
        <w:t>with</w:t>
      </w:r>
      <w:r>
        <w:rPr>
          <w:color w:val="231F20"/>
          <w:spacing w:val="-22"/>
        </w:rPr>
        <w:t xml:space="preserve"> </w:t>
      </w:r>
      <w:r>
        <w:rPr>
          <w:color w:val="231F20"/>
        </w:rPr>
        <w:t>ascendancy</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occurrence</w:t>
      </w:r>
      <w:r>
        <w:rPr>
          <w:color w:val="231F20"/>
          <w:spacing w:val="-22"/>
        </w:rPr>
        <w:t xml:space="preserve"> </w:t>
      </w:r>
      <w:r>
        <w:rPr>
          <w:color w:val="231F20"/>
          <w:spacing w:val="-8"/>
        </w:rPr>
        <w:t xml:space="preserve">of </w:t>
      </w:r>
      <w:r w:rsidR="006A2ECE">
        <w:rPr>
          <w:color w:val="231F20"/>
        </w:rPr>
        <w:t xml:space="preserve">related chronic </w:t>
      </w:r>
      <w:r>
        <w:rPr>
          <w:color w:val="231F20"/>
        </w:rPr>
        <w:t>conditions.</w:t>
      </w:r>
    </w:p>
    <w:p w14:paraId="6D6CC74F" w14:textId="77777777" w:rsidR="009948F1" w:rsidRDefault="009948F1">
      <w:pPr>
        <w:pStyle w:val="BodyText"/>
        <w:spacing w:before="1"/>
        <w:rPr>
          <w:sz w:val="24"/>
        </w:rPr>
      </w:pPr>
    </w:p>
    <w:p w14:paraId="0127085B" w14:textId="77777777" w:rsidR="009948F1" w:rsidRDefault="00BC0563">
      <w:pPr>
        <w:pStyle w:val="Heading7"/>
        <w:ind w:left="160"/>
        <w:rPr>
          <w:b w:val="0"/>
        </w:rPr>
      </w:pPr>
      <w:r>
        <w:rPr>
          <w:color w:val="231F20"/>
        </w:rPr>
        <w:t>Strategic Goal</w:t>
      </w:r>
      <w:r>
        <w:rPr>
          <w:b w:val="0"/>
          <w:color w:val="231F20"/>
        </w:rPr>
        <w:t>:</w:t>
      </w:r>
    </w:p>
    <w:p w14:paraId="517838D7" w14:textId="77777777" w:rsidR="009948F1" w:rsidRDefault="00BC0563">
      <w:pPr>
        <w:pStyle w:val="ListParagraph"/>
        <w:numPr>
          <w:ilvl w:val="3"/>
          <w:numId w:val="285"/>
        </w:numPr>
        <w:tabs>
          <w:tab w:val="left" w:pos="933"/>
        </w:tabs>
        <w:spacing w:before="23" w:line="261" w:lineRule="auto"/>
        <w:ind w:right="172" w:firstLine="0"/>
      </w:pPr>
      <w:r>
        <w:rPr>
          <w:color w:val="231F20"/>
          <w:spacing w:val="-13"/>
        </w:rPr>
        <w:t xml:space="preserve">To </w:t>
      </w:r>
      <w:r>
        <w:rPr>
          <w:color w:val="231F20"/>
        </w:rPr>
        <w:t>reduce the burden of morbidity, mortality and disability due to non-communicable diseases.</w:t>
      </w:r>
    </w:p>
    <w:p w14:paraId="0C296946" w14:textId="77777777" w:rsidR="009948F1" w:rsidRDefault="009948F1">
      <w:pPr>
        <w:pStyle w:val="BodyText"/>
        <w:rPr>
          <w:sz w:val="24"/>
        </w:rPr>
      </w:pPr>
    </w:p>
    <w:p w14:paraId="2BB86737" w14:textId="77777777" w:rsidR="009948F1" w:rsidRDefault="00BC0563">
      <w:pPr>
        <w:pStyle w:val="Heading7"/>
        <w:ind w:left="160"/>
      </w:pPr>
      <w:r>
        <w:rPr>
          <w:color w:val="231F20"/>
        </w:rPr>
        <w:t>Strategic Objectives</w:t>
      </w:r>
    </w:p>
    <w:p w14:paraId="5C5C7914" w14:textId="77777777" w:rsidR="009948F1" w:rsidRDefault="00BC0563">
      <w:pPr>
        <w:pStyle w:val="ListParagraph"/>
        <w:numPr>
          <w:ilvl w:val="3"/>
          <w:numId w:val="285"/>
        </w:numPr>
        <w:tabs>
          <w:tab w:val="left" w:pos="885"/>
        </w:tabs>
        <w:spacing w:before="23" w:line="261" w:lineRule="auto"/>
        <w:ind w:right="171" w:firstLine="0"/>
      </w:pPr>
      <w:r>
        <w:rPr>
          <w:color w:val="231F20"/>
        </w:rPr>
        <w:t>Reduce</w:t>
      </w:r>
      <w:r>
        <w:rPr>
          <w:color w:val="231F20"/>
          <w:spacing w:val="-12"/>
        </w:rPr>
        <w:t xml:space="preserve"> </w:t>
      </w:r>
      <w:r>
        <w:rPr>
          <w:color w:val="231F20"/>
        </w:rPr>
        <w:t>morbidity</w:t>
      </w:r>
      <w:r>
        <w:rPr>
          <w:color w:val="231F20"/>
          <w:spacing w:val="-11"/>
        </w:rPr>
        <w:t xml:space="preserve"> </w:t>
      </w:r>
      <w:r>
        <w:rPr>
          <w:color w:val="231F20"/>
        </w:rPr>
        <w:t>and</w:t>
      </w:r>
      <w:r>
        <w:rPr>
          <w:color w:val="231F20"/>
          <w:spacing w:val="-11"/>
        </w:rPr>
        <w:t xml:space="preserve"> </w:t>
      </w:r>
      <w:r>
        <w:rPr>
          <w:color w:val="231F20"/>
        </w:rPr>
        <w:t>mortality</w:t>
      </w:r>
      <w:r>
        <w:rPr>
          <w:color w:val="231F20"/>
          <w:spacing w:val="-11"/>
        </w:rPr>
        <w:t xml:space="preserve"> </w:t>
      </w:r>
      <w:r>
        <w:rPr>
          <w:color w:val="231F20"/>
        </w:rPr>
        <w:t>due</w:t>
      </w:r>
      <w:r>
        <w:rPr>
          <w:color w:val="231F20"/>
          <w:spacing w:val="-11"/>
        </w:rPr>
        <w:t xml:space="preserve"> </w:t>
      </w:r>
      <w:r>
        <w:rPr>
          <w:color w:val="231F20"/>
        </w:rPr>
        <w:t>to</w:t>
      </w:r>
      <w:r>
        <w:rPr>
          <w:color w:val="231F20"/>
          <w:spacing w:val="-11"/>
        </w:rPr>
        <w:t xml:space="preserve"> </w:t>
      </w:r>
      <w:r>
        <w:rPr>
          <w:color w:val="231F20"/>
        </w:rPr>
        <w:t>NCDs</w:t>
      </w:r>
      <w:r>
        <w:rPr>
          <w:color w:val="231F20"/>
          <w:spacing w:val="-11"/>
        </w:rPr>
        <w:t xml:space="preserve"> </w:t>
      </w:r>
      <w:r>
        <w:rPr>
          <w:color w:val="231F20"/>
        </w:rPr>
        <w:t>(Cancers,</w:t>
      </w:r>
      <w:r>
        <w:rPr>
          <w:color w:val="231F20"/>
          <w:spacing w:val="-11"/>
        </w:rPr>
        <w:t xml:space="preserve"> </w:t>
      </w:r>
      <w:r>
        <w:rPr>
          <w:color w:val="231F20"/>
        </w:rPr>
        <w:t>Cardiovascular</w:t>
      </w:r>
      <w:r>
        <w:rPr>
          <w:color w:val="231F20"/>
          <w:spacing w:val="-12"/>
        </w:rPr>
        <w:t xml:space="preserve"> </w:t>
      </w:r>
      <w:r>
        <w:rPr>
          <w:color w:val="231F20"/>
        </w:rPr>
        <w:t>Diseases,</w:t>
      </w:r>
      <w:r>
        <w:rPr>
          <w:color w:val="231F20"/>
          <w:spacing w:val="-11"/>
        </w:rPr>
        <w:t xml:space="preserve"> </w:t>
      </w:r>
      <w:r>
        <w:rPr>
          <w:color w:val="231F20"/>
        </w:rPr>
        <w:t>Chronic Obstructive</w:t>
      </w:r>
      <w:r>
        <w:rPr>
          <w:color w:val="231F20"/>
          <w:spacing w:val="-37"/>
        </w:rPr>
        <w:t xml:space="preserve"> </w:t>
      </w:r>
      <w:r>
        <w:rPr>
          <w:color w:val="231F20"/>
        </w:rPr>
        <w:t>Airway</w:t>
      </w:r>
      <w:r>
        <w:rPr>
          <w:color w:val="231F20"/>
          <w:spacing w:val="-26"/>
        </w:rPr>
        <w:t xml:space="preserve"> </w:t>
      </w:r>
      <w:r>
        <w:rPr>
          <w:color w:val="231F20"/>
        </w:rPr>
        <w:t>Diseases,</w:t>
      </w:r>
      <w:r>
        <w:rPr>
          <w:color w:val="231F20"/>
          <w:spacing w:val="-25"/>
        </w:rPr>
        <w:t xml:space="preserve"> </w:t>
      </w:r>
      <w:r>
        <w:rPr>
          <w:color w:val="231F20"/>
        </w:rPr>
        <w:t>Diabetes</w:t>
      </w:r>
      <w:r>
        <w:rPr>
          <w:color w:val="231F20"/>
          <w:spacing w:val="-25"/>
        </w:rPr>
        <w:t xml:space="preserve"> </w:t>
      </w:r>
      <w:r>
        <w:rPr>
          <w:color w:val="231F20"/>
        </w:rPr>
        <w:t>and</w:t>
      </w:r>
      <w:r>
        <w:rPr>
          <w:color w:val="231F20"/>
          <w:spacing w:val="-25"/>
        </w:rPr>
        <w:t xml:space="preserve"> </w:t>
      </w:r>
      <w:r>
        <w:rPr>
          <w:color w:val="231F20"/>
        </w:rPr>
        <w:t>Sickle</w:t>
      </w:r>
      <w:r>
        <w:rPr>
          <w:color w:val="231F20"/>
          <w:spacing w:val="-25"/>
        </w:rPr>
        <w:t xml:space="preserve"> </w:t>
      </w:r>
      <w:r>
        <w:rPr>
          <w:color w:val="231F20"/>
        </w:rPr>
        <w:t>Cell</w:t>
      </w:r>
      <w:r>
        <w:rPr>
          <w:color w:val="231F20"/>
          <w:spacing w:val="-25"/>
        </w:rPr>
        <w:t xml:space="preserve"> </w:t>
      </w:r>
      <w:r>
        <w:rPr>
          <w:color w:val="231F20"/>
        </w:rPr>
        <w:t>Disease).</w:t>
      </w:r>
    </w:p>
    <w:p w14:paraId="629DD4C5" w14:textId="77777777" w:rsidR="009948F1" w:rsidRDefault="009948F1">
      <w:pPr>
        <w:pStyle w:val="BodyText"/>
        <w:spacing w:before="11"/>
        <w:rPr>
          <w:sz w:val="24"/>
        </w:rPr>
      </w:pPr>
    </w:p>
    <w:p w14:paraId="5BF887F8" w14:textId="77777777" w:rsidR="009948F1" w:rsidRDefault="00BC0563">
      <w:pPr>
        <w:spacing w:after="38"/>
        <w:ind w:left="494"/>
        <w:rPr>
          <w:i/>
          <w:sz w:val="20"/>
        </w:rPr>
      </w:pPr>
      <w:r>
        <w:rPr>
          <w:b/>
          <w:color w:val="231F20"/>
          <w:w w:val="110"/>
          <w:sz w:val="20"/>
        </w:rPr>
        <w:t>Targets</w:t>
      </w:r>
      <w:r>
        <w:rPr>
          <w:i/>
          <w:color w:val="231F20"/>
          <w:w w:val="110"/>
          <w:sz w:val="20"/>
        </w:rPr>
        <w:t>:</w:t>
      </w:r>
    </w:p>
    <w:tbl>
      <w:tblPr>
        <w:tblW w:w="0" w:type="auto"/>
        <w:tblInd w:w="2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73"/>
        <w:gridCol w:w="982"/>
        <w:gridCol w:w="848"/>
        <w:gridCol w:w="841"/>
        <w:gridCol w:w="848"/>
        <w:gridCol w:w="841"/>
        <w:gridCol w:w="843"/>
        <w:gridCol w:w="1374"/>
      </w:tblGrid>
      <w:tr w:rsidR="009948F1" w14:paraId="67E26688" w14:textId="77777777">
        <w:trPr>
          <w:trHeight w:val="191"/>
        </w:trPr>
        <w:tc>
          <w:tcPr>
            <w:tcW w:w="2673" w:type="dxa"/>
            <w:shd w:val="clear" w:color="auto" w:fill="F4CEB2"/>
          </w:tcPr>
          <w:p w14:paraId="68851F57" w14:textId="77777777" w:rsidR="009948F1" w:rsidRDefault="00BC0563">
            <w:pPr>
              <w:pStyle w:val="TableParagraph"/>
              <w:spacing w:before="7" w:line="165" w:lineRule="exact"/>
              <w:ind w:left="112"/>
              <w:rPr>
                <w:sz w:val="16"/>
              </w:rPr>
            </w:pPr>
            <w:r>
              <w:rPr>
                <w:color w:val="231F20"/>
                <w:w w:val="115"/>
                <w:sz w:val="16"/>
              </w:rPr>
              <w:t>Targets</w:t>
            </w:r>
          </w:p>
        </w:tc>
        <w:tc>
          <w:tcPr>
            <w:tcW w:w="982" w:type="dxa"/>
            <w:shd w:val="clear" w:color="auto" w:fill="F4CEB2"/>
          </w:tcPr>
          <w:p w14:paraId="56103C2C" w14:textId="77777777" w:rsidR="009948F1" w:rsidRDefault="00BC0563">
            <w:pPr>
              <w:pStyle w:val="TableParagraph"/>
              <w:spacing w:before="7" w:line="165" w:lineRule="exact"/>
              <w:ind w:left="112"/>
              <w:rPr>
                <w:sz w:val="16"/>
              </w:rPr>
            </w:pPr>
            <w:r>
              <w:rPr>
                <w:color w:val="231F20"/>
                <w:w w:val="115"/>
                <w:sz w:val="16"/>
              </w:rPr>
              <w:t>Baseline</w:t>
            </w:r>
          </w:p>
        </w:tc>
        <w:tc>
          <w:tcPr>
            <w:tcW w:w="848" w:type="dxa"/>
            <w:shd w:val="clear" w:color="auto" w:fill="F4CEB2"/>
          </w:tcPr>
          <w:p w14:paraId="47E14F95" w14:textId="77777777" w:rsidR="009948F1" w:rsidRDefault="00BC0563">
            <w:pPr>
              <w:pStyle w:val="TableParagraph"/>
              <w:spacing w:before="2" w:line="169" w:lineRule="exact"/>
              <w:ind w:left="112"/>
              <w:rPr>
                <w:b/>
                <w:sz w:val="16"/>
              </w:rPr>
            </w:pPr>
            <w:r>
              <w:rPr>
                <w:b/>
                <w:color w:val="231F20"/>
                <w:w w:val="115"/>
                <w:sz w:val="16"/>
              </w:rPr>
              <w:t>2018</w:t>
            </w:r>
          </w:p>
        </w:tc>
        <w:tc>
          <w:tcPr>
            <w:tcW w:w="841" w:type="dxa"/>
            <w:shd w:val="clear" w:color="auto" w:fill="F4CEB2"/>
          </w:tcPr>
          <w:p w14:paraId="29B6DAAD" w14:textId="77777777" w:rsidR="009948F1" w:rsidRDefault="00BC0563">
            <w:pPr>
              <w:pStyle w:val="TableParagraph"/>
              <w:spacing w:before="2" w:line="169" w:lineRule="exact"/>
              <w:ind w:left="112"/>
              <w:rPr>
                <w:b/>
                <w:sz w:val="16"/>
              </w:rPr>
            </w:pPr>
            <w:r>
              <w:rPr>
                <w:b/>
                <w:color w:val="231F20"/>
                <w:w w:val="115"/>
                <w:sz w:val="16"/>
              </w:rPr>
              <w:t>2019</w:t>
            </w:r>
          </w:p>
        </w:tc>
        <w:tc>
          <w:tcPr>
            <w:tcW w:w="848" w:type="dxa"/>
            <w:shd w:val="clear" w:color="auto" w:fill="F4CEB2"/>
          </w:tcPr>
          <w:p w14:paraId="66EFE6A0" w14:textId="77777777" w:rsidR="009948F1" w:rsidRDefault="00BC0563">
            <w:pPr>
              <w:pStyle w:val="TableParagraph"/>
              <w:spacing w:before="2" w:line="169" w:lineRule="exact"/>
              <w:ind w:left="112"/>
              <w:rPr>
                <w:b/>
                <w:sz w:val="16"/>
              </w:rPr>
            </w:pPr>
            <w:r>
              <w:rPr>
                <w:b/>
                <w:color w:val="231F20"/>
                <w:w w:val="115"/>
                <w:sz w:val="16"/>
              </w:rPr>
              <w:t>2020</w:t>
            </w:r>
          </w:p>
        </w:tc>
        <w:tc>
          <w:tcPr>
            <w:tcW w:w="841" w:type="dxa"/>
            <w:shd w:val="clear" w:color="auto" w:fill="F4CEB2"/>
          </w:tcPr>
          <w:p w14:paraId="1C6F88C8" w14:textId="77777777" w:rsidR="009948F1" w:rsidRDefault="00BC0563">
            <w:pPr>
              <w:pStyle w:val="TableParagraph"/>
              <w:spacing w:before="2" w:line="169" w:lineRule="exact"/>
              <w:ind w:left="111"/>
              <w:rPr>
                <w:b/>
                <w:sz w:val="16"/>
              </w:rPr>
            </w:pPr>
            <w:r>
              <w:rPr>
                <w:b/>
                <w:color w:val="231F20"/>
                <w:w w:val="115"/>
                <w:sz w:val="16"/>
              </w:rPr>
              <w:t>2021</w:t>
            </w:r>
          </w:p>
        </w:tc>
        <w:tc>
          <w:tcPr>
            <w:tcW w:w="843" w:type="dxa"/>
            <w:shd w:val="clear" w:color="auto" w:fill="F4CEB2"/>
          </w:tcPr>
          <w:p w14:paraId="7DDF0F68" w14:textId="77777777" w:rsidR="009948F1" w:rsidRDefault="00BC0563">
            <w:pPr>
              <w:pStyle w:val="TableParagraph"/>
              <w:spacing w:before="2" w:line="169" w:lineRule="exact"/>
              <w:ind w:left="111"/>
              <w:rPr>
                <w:b/>
                <w:sz w:val="16"/>
              </w:rPr>
            </w:pPr>
            <w:r>
              <w:rPr>
                <w:b/>
                <w:color w:val="231F20"/>
                <w:w w:val="115"/>
                <w:sz w:val="16"/>
              </w:rPr>
              <w:t>2022</w:t>
            </w:r>
          </w:p>
        </w:tc>
        <w:tc>
          <w:tcPr>
            <w:tcW w:w="1374" w:type="dxa"/>
            <w:shd w:val="clear" w:color="auto" w:fill="F4CEB2"/>
          </w:tcPr>
          <w:p w14:paraId="715F162B" w14:textId="77777777" w:rsidR="009948F1" w:rsidRDefault="00BC0563">
            <w:pPr>
              <w:pStyle w:val="TableParagraph"/>
              <w:spacing w:before="2" w:line="169" w:lineRule="exact"/>
              <w:ind w:left="111"/>
              <w:rPr>
                <w:b/>
                <w:sz w:val="16"/>
              </w:rPr>
            </w:pPr>
            <w:r>
              <w:rPr>
                <w:b/>
                <w:color w:val="231F20"/>
                <w:w w:val="115"/>
                <w:sz w:val="16"/>
              </w:rPr>
              <w:t>National</w:t>
            </w:r>
          </w:p>
        </w:tc>
      </w:tr>
      <w:tr w:rsidR="009948F1" w14:paraId="600C7AF0" w14:textId="77777777">
        <w:trPr>
          <w:trHeight w:val="954"/>
        </w:trPr>
        <w:tc>
          <w:tcPr>
            <w:tcW w:w="2673" w:type="dxa"/>
            <w:tcBorders>
              <w:left w:val="single" w:sz="8" w:space="0" w:color="231F20"/>
              <w:bottom w:val="single" w:sz="8" w:space="0" w:color="231F20"/>
              <w:right w:val="single" w:sz="8" w:space="0" w:color="231F20"/>
            </w:tcBorders>
          </w:tcPr>
          <w:p w14:paraId="7384536F" w14:textId="77777777" w:rsidR="009948F1" w:rsidRDefault="00BC0563">
            <w:pPr>
              <w:pStyle w:val="TableParagraph"/>
              <w:spacing w:before="4" w:line="249" w:lineRule="auto"/>
              <w:ind w:left="107" w:right="102"/>
              <w:rPr>
                <w:sz w:val="16"/>
              </w:rPr>
            </w:pPr>
            <w:r>
              <w:rPr>
                <w:color w:val="231F20"/>
                <w:w w:val="115"/>
                <w:sz w:val="16"/>
              </w:rPr>
              <w:t>Reduce overall mortality from NCDs (cardiovascular diseases, cancer, diabetes, sickle cell diseases or chronic</w:t>
            </w:r>
          </w:p>
          <w:p w14:paraId="3681B5F9" w14:textId="77777777" w:rsidR="009948F1" w:rsidRDefault="00BC0563">
            <w:pPr>
              <w:pStyle w:val="TableParagraph"/>
              <w:spacing w:before="1" w:line="164" w:lineRule="exact"/>
              <w:ind w:left="107"/>
              <w:rPr>
                <w:sz w:val="16"/>
              </w:rPr>
            </w:pPr>
            <w:r>
              <w:rPr>
                <w:color w:val="231F20"/>
                <w:w w:val="115"/>
                <w:sz w:val="16"/>
              </w:rPr>
              <w:t>respiratory diseases.)</w:t>
            </w:r>
          </w:p>
        </w:tc>
        <w:tc>
          <w:tcPr>
            <w:tcW w:w="982" w:type="dxa"/>
            <w:tcBorders>
              <w:left w:val="single" w:sz="8" w:space="0" w:color="231F20"/>
              <w:bottom w:val="single" w:sz="8" w:space="0" w:color="231F20"/>
              <w:right w:val="single" w:sz="8" w:space="0" w:color="231F20"/>
            </w:tcBorders>
          </w:tcPr>
          <w:p w14:paraId="292ED39F" w14:textId="77777777" w:rsidR="009948F1" w:rsidRDefault="00BC0563">
            <w:pPr>
              <w:pStyle w:val="TableParagraph"/>
              <w:spacing w:before="4"/>
              <w:ind w:left="107"/>
              <w:rPr>
                <w:sz w:val="16"/>
              </w:rPr>
            </w:pPr>
            <w:r>
              <w:rPr>
                <w:color w:val="231F20"/>
                <w:w w:val="115"/>
                <w:sz w:val="16"/>
              </w:rPr>
              <w:t>TBD</w:t>
            </w:r>
          </w:p>
        </w:tc>
        <w:tc>
          <w:tcPr>
            <w:tcW w:w="848" w:type="dxa"/>
            <w:tcBorders>
              <w:left w:val="single" w:sz="8" w:space="0" w:color="231F20"/>
            </w:tcBorders>
          </w:tcPr>
          <w:p w14:paraId="04793D27" w14:textId="77777777" w:rsidR="009948F1" w:rsidRDefault="00BC0563">
            <w:pPr>
              <w:pStyle w:val="TableParagraph"/>
              <w:spacing w:before="4"/>
              <w:ind w:left="107"/>
              <w:rPr>
                <w:sz w:val="16"/>
              </w:rPr>
            </w:pPr>
            <w:r>
              <w:rPr>
                <w:color w:val="231F20"/>
                <w:w w:val="115"/>
                <w:sz w:val="16"/>
              </w:rPr>
              <w:t>56%</w:t>
            </w:r>
          </w:p>
        </w:tc>
        <w:tc>
          <w:tcPr>
            <w:tcW w:w="841" w:type="dxa"/>
          </w:tcPr>
          <w:p w14:paraId="3A2BB219" w14:textId="77777777" w:rsidR="009948F1" w:rsidRDefault="00BC0563">
            <w:pPr>
              <w:pStyle w:val="TableParagraph"/>
              <w:spacing w:before="4"/>
              <w:ind w:left="112"/>
              <w:rPr>
                <w:sz w:val="16"/>
              </w:rPr>
            </w:pPr>
            <w:r>
              <w:rPr>
                <w:color w:val="231F20"/>
                <w:w w:val="115"/>
                <w:sz w:val="16"/>
              </w:rPr>
              <w:t>54%</w:t>
            </w:r>
          </w:p>
        </w:tc>
        <w:tc>
          <w:tcPr>
            <w:tcW w:w="848" w:type="dxa"/>
          </w:tcPr>
          <w:p w14:paraId="395C3403" w14:textId="77777777" w:rsidR="009948F1" w:rsidRDefault="00BC0563">
            <w:pPr>
              <w:pStyle w:val="TableParagraph"/>
              <w:spacing w:before="4"/>
              <w:ind w:left="112"/>
              <w:rPr>
                <w:sz w:val="16"/>
              </w:rPr>
            </w:pPr>
            <w:r>
              <w:rPr>
                <w:color w:val="231F20"/>
                <w:w w:val="115"/>
                <w:sz w:val="16"/>
              </w:rPr>
              <w:t>52%</w:t>
            </w:r>
          </w:p>
        </w:tc>
        <w:tc>
          <w:tcPr>
            <w:tcW w:w="841" w:type="dxa"/>
          </w:tcPr>
          <w:p w14:paraId="21442325" w14:textId="77777777" w:rsidR="009948F1" w:rsidRDefault="00BC0563">
            <w:pPr>
              <w:pStyle w:val="TableParagraph"/>
              <w:spacing w:before="4"/>
              <w:ind w:left="111"/>
              <w:rPr>
                <w:sz w:val="16"/>
              </w:rPr>
            </w:pPr>
            <w:r>
              <w:rPr>
                <w:color w:val="231F20"/>
                <w:w w:val="115"/>
                <w:sz w:val="16"/>
              </w:rPr>
              <w:t>50%</w:t>
            </w:r>
          </w:p>
        </w:tc>
        <w:tc>
          <w:tcPr>
            <w:tcW w:w="843" w:type="dxa"/>
          </w:tcPr>
          <w:p w14:paraId="4E0503EE" w14:textId="77777777" w:rsidR="009948F1" w:rsidRDefault="00BC0563">
            <w:pPr>
              <w:pStyle w:val="TableParagraph"/>
              <w:spacing w:before="4"/>
              <w:ind w:left="111"/>
              <w:rPr>
                <w:sz w:val="16"/>
              </w:rPr>
            </w:pPr>
            <w:r>
              <w:rPr>
                <w:color w:val="231F20"/>
                <w:w w:val="115"/>
                <w:sz w:val="16"/>
              </w:rPr>
              <w:t>48%</w:t>
            </w:r>
          </w:p>
        </w:tc>
        <w:tc>
          <w:tcPr>
            <w:tcW w:w="1374" w:type="dxa"/>
          </w:tcPr>
          <w:p w14:paraId="317491DC" w14:textId="77777777" w:rsidR="009948F1" w:rsidRDefault="00BC0563">
            <w:pPr>
              <w:pStyle w:val="TableParagraph"/>
              <w:spacing w:before="4" w:line="249" w:lineRule="auto"/>
              <w:ind w:left="111"/>
              <w:rPr>
                <w:sz w:val="16"/>
              </w:rPr>
            </w:pPr>
            <w:r>
              <w:rPr>
                <w:color w:val="231F20"/>
                <w:w w:val="115"/>
                <w:sz w:val="16"/>
              </w:rPr>
              <w:t>Reduced by 20%</w:t>
            </w:r>
          </w:p>
        </w:tc>
      </w:tr>
      <w:tr w:rsidR="009948F1" w14:paraId="4A562584" w14:textId="77777777">
        <w:trPr>
          <w:trHeight w:val="205"/>
        </w:trPr>
        <w:tc>
          <w:tcPr>
            <w:tcW w:w="2673" w:type="dxa"/>
            <w:tcBorders>
              <w:top w:val="single" w:sz="8" w:space="0" w:color="231F20"/>
              <w:left w:val="single" w:sz="8" w:space="0" w:color="231F20"/>
              <w:bottom w:val="nil"/>
              <w:right w:val="single" w:sz="8" w:space="0" w:color="231F20"/>
            </w:tcBorders>
          </w:tcPr>
          <w:p w14:paraId="59D5371B" w14:textId="77777777" w:rsidR="009948F1" w:rsidRDefault="00BC0563">
            <w:pPr>
              <w:pStyle w:val="TableParagraph"/>
              <w:spacing w:before="6" w:line="180" w:lineRule="exact"/>
              <w:ind w:left="107"/>
              <w:rPr>
                <w:sz w:val="16"/>
              </w:rPr>
            </w:pPr>
            <w:r>
              <w:rPr>
                <w:color w:val="231F20"/>
                <w:w w:val="115"/>
                <w:sz w:val="16"/>
              </w:rPr>
              <w:t>Reduce the prevalence of</w:t>
            </w:r>
          </w:p>
        </w:tc>
        <w:tc>
          <w:tcPr>
            <w:tcW w:w="982" w:type="dxa"/>
            <w:tcBorders>
              <w:top w:val="single" w:sz="8" w:space="0" w:color="231F20"/>
              <w:left w:val="single" w:sz="8" w:space="0" w:color="231F20"/>
              <w:bottom w:val="nil"/>
              <w:right w:val="single" w:sz="8" w:space="0" w:color="231F20"/>
            </w:tcBorders>
          </w:tcPr>
          <w:p w14:paraId="63AFF28E" w14:textId="77777777" w:rsidR="009948F1" w:rsidRDefault="009948F1">
            <w:pPr>
              <w:pStyle w:val="TableParagraph"/>
              <w:rPr>
                <w:rFonts w:ascii="Times New Roman"/>
                <w:sz w:val="14"/>
              </w:rPr>
            </w:pPr>
          </w:p>
        </w:tc>
        <w:tc>
          <w:tcPr>
            <w:tcW w:w="848" w:type="dxa"/>
            <w:tcBorders>
              <w:left w:val="single" w:sz="8" w:space="0" w:color="231F20"/>
              <w:bottom w:val="nil"/>
            </w:tcBorders>
          </w:tcPr>
          <w:p w14:paraId="6FF91311" w14:textId="77777777" w:rsidR="009948F1" w:rsidRDefault="009948F1">
            <w:pPr>
              <w:pStyle w:val="TableParagraph"/>
              <w:rPr>
                <w:rFonts w:ascii="Times New Roman"/>
                <w:sz w:val="14"/>
              </w:rPr>
            </w:pPr>
          </w:p>
        </w:tc>
        <w:tc>
          <w:tcPr>
            <w:tcW w:w="841" w:type="dxa"/>
            <w:tcBorders>
              <w:bottom w:val="nil"/>
            </w:tcBorders>
          </w:tcPr>
          <w:p w14:paraId="415D5914" w14:textId="77777777" w:rsidR="009948F1" w:rsidRDefault="009948F1">
            <w:pPr>
              <w:pStyle w:val="TableParagraph"/>
              <w:rPr>
                <w:rFonts w:ascii="Times New Roman"/>
                <w:sz w:val="14"/>
              </w:rPr>
            </w:pPr>
          </w:p>
        </w:tc>
        <w:tc>
          <w:tcPr>
            <w:tcW w:w="848" w:type="dxa"/>
            <w:tcBorders>
              <w:bottom w:val="nil"/>
            </w:tcBorders>
          </w:tcPr>
          <w:p w14:paraId="352F2F4E" w14:textId="77777777" w:rsidR="009948F1" w:rsidRDefault="009948F1">
            <w:pPr>
              <w:pStyle w:val="TableParagraph"/>
              <w:rPr>
                <w:rFonts w:ascii="Times New Roman"/>
                <w:sz w:val="14"/>
              </w:rPr>
            </w:pPr>
          </w:p>
        </w:tc>
        <w:tc>
          <w:tcPr>
            <w:tcW w:w="841" w:type="dxa"/>
            <w:tcBorders>
              <w:bottom w:val="nil"/>
            </w:tcBorders>
          </w:tcPr>
          <w:p w14:paraId="6E369169" w14:textId="77777777" w:rsidR="009948F1" w:rsidRDefault="009948F1">
            <w:pPr>
              <w:pStyle w:val="TableParagraph"/>
              <w:rPr>
                <w:rFonts w:ascii="Times New Roman"/>
                <w:sz w:val="14"/>
              </w:rPr>
            </w:pPr>
          </w:p>
        </w:tc>
        <w:tc>
          <w:tcPr>
            <w:tcW w:w="843" w:type="dxa"/>
            <w:tcBorders>
              <w:bottom w:val="nil"/>
            </w:tcBorders>
          </w:tcPr>
          <w:p w14:paraId="3E754D53" w14:textId="77777777" w:rsidR="009948F1" w:rsidRDefault="009948F1">
            <w:pPr>
              <w:pStyle w:val="TableParagraph"/>
              <w:rPr>
                <w:rFonts w:ascii="Times New Roman"/>
                <w:sz w:val="14"/>
              </w:rPr>
            </w:pPr>
          </w:p>
        </w:tc>
        <w:tc>
          <w:tcPr>
            <w:tcW w:w="1374" w:type="dxa"/>
            <w:tcBorders>
              <w:bottom w:val="nil"/>
            </w:tcBorders>
          </w:tcPr>
          <w:p w14:paraId="35243D73" w14:textId="77777777" w:rsidR="009948F1" w:rsidRDefault="009948F1">
            <w:pPr>
              <w:pStyle w:val="TableParagraph"/>
              <w:rPr>
                <w:rFonts w:ascii="Times New Roman"/>
                <w:sz w:val="14"/>
              </w:rPr>
            </w:pPr>
          </w:p>
        </w:tc>
      </w:tr>
      <w:tr w:rsidR="009948F1" w14:paraId="749EF87D" w14:textId="77777777">
        <w:trPr>
          <w:trHeight w:val="190"/>
        </w:trPr>
        <w:tc>
          <w:tcPr>
            <w:tcW w:w="2673" w:type="dxa"/>
            <w:tcBorders>
              <w:top w:val="nil"/>
              <w:left w:val="single" w:sz="8" w:space="0" w:color="231F20"/>
              <w:bottom w:val="nil"/>
              <w:right w:val="single" w:sz="8" w:space="0" w:color="231F20"/>
            </w:tcBorders>
          </w:tcPr>
          <w:p w14:paraId="65EA1064" w14:textId="77777777" w:rsidR="009948F1" w:rsidRDefault="00BC0563">
            <w:pPr>
              <w:pStyle w:val="TableParagraph"/>
              <w:spacing w:line="171" w:lineRule="exact"/>
              <w:ind w:left="107"/>
              <w:rPr>
                <w:sz w:val="16"/>
              </w:rPr>
            </w:pPr>
            <w:r>
              <w:rPr>
                <w:color w:val="231F20"/>
                <w:w w:val="115"/>
                <w:sz w:val="16"/>
              </w:rPr>
              <w:t>modifiable risk factors for</w:t>
            </w:r>
          </w:p>
        </w:tc>
        <w:tc>
          <w:tcPr>
            <w:tcW w:w="982" w:type="dxa"/>
            <w:tcBorders>
              <w:top w:val="nil"/>
              <w:left w:val="single" w:sz="8" w:space="0" w:color="231F20"/>
              <w:bottom w:val="nil"/>
              <w:right w:val="single" w:sz="8" w:space="0" w:color="231F20"/>
            </w:tcBorders>
          </w:tcPr>
          <w:p w14:paraId="5F83CB8E" w14:textId="77777777" w:rsidR="009948F1" w:rsidRDefault="009948F1">
            <w:pPr>
              <w:pStyle w:val="TableParagraph"/>
              <w:rPr>
                <w:rFonts w:ascii="Times New Roman"/>
                <w:sz w:val="12"/>
              </w:rPr>
            </w:pPr>
          </w:p>
        </w:tc>
        <w:tc>
          <w:tcPr>
            <w:tcW w:w="848" w:type="dxa"/>
            <w:tcBorders>
              <w:top w:val="nil"/>
              <w:left w:val="single" w:sz="8" w:space="0" w:color="231F20"/>
              <w:bottom w:val="nil"/>
            </w:tcBorders>
          </w:tcPr>
          <w:p w14:paraId="5E24F0C2" w14:textId="77777777" w:rsidR="009948F1" w:rsidRDefault="009948F1">
            <w:pPr>
              <w:pStyle w:val="TableParagraph"/>
              <w:rPr>
                <w:rFonts w:ascii="Times New Roman"/>
                <w:sz w:val="12"/>
              </w:rPr>
            </w:pPr>
          </w:p>
        </w:tc>
        <w:tc>
          <w:tcPr>
            <w:tcW w:w="841" w:type="dxa"/>
            <w:tcBorders>
              <w:top w:val="nil"/>
              <w:bottom w:val="nil"/>
            </w:tcBorders>
          </w:tcPr>
          <w:p w14:paraId="4A352B13" w14:textId="77777777" w:rsidR="009948F1" w:rsidRDefault="009948F1">
            <w:pPr>
              <w:pStyle w:val="TableParagraph"/>
              <w:rPr>
                <w:rFonts w:ascii="Times New Roman"/>
                <w:sz w:val="12"/>
              </w:rPr>
            </w:pPr>
          </w:p>
        </w:tc>
        <w:tc>
          <w:tcPr>
            <w:tcW w:w="848" w:type="dxa"/>
            <w:tcBorders>
              <w:top w:val="nil"/>
              <w:bottom w:val="nil"/>
            </w:tcBorders>
          </w:tcPr>
          <w:p w14:paraId="74C2679E" w14:textId="77777777" w:rsidR="009948F1" w:rsidRDefault="009948F1">
            <w:pPr>
              <w:pStyle w:val="TableParagraph"/>
              <w:rPr>
                <w:rFonts w:ascii="Times New Roman"/>
                <w:sz w:val="12"/>
              </w:rPr>
            </w:pPr>
          </w:p>
        </w:tc>
        <w:tc>
          <w:tcPr>
            <w:tcW w:w="841" w:type="dxa"/>
            <w:tcBorders>
              <w:top w:val="nil"/>
              <w:bottom w:val="nil"/>
            </w:tcBorders>
          </w:tcPr>
          <w:p w14:paraId="610E11EE" w14:textId="77777777" w:rsidR="009948F1" w:rsidRDefault="009948F1">
            <w:pPr>
              <w:pStyle w:val="TableParagraph"/>
              <w:rPr>
                <w:rFonts w:ascii="Times New Roman"/>
                <w:sz w:val="12"/>
              </w:rPr>
            </w:pPr>
          </w:p>
        </w:tc>
        <w:tc>
          <w:tcPr>
            <w:tcW w:w="843" w:type="dxa"/>
            <w:tcBorders>
              <w:top w:val="nil"/>
              <w:bottom w:val="nil"/>
            </w:tcBorders>
          </w:tcPr>
          <w:p w14:paraId="73D2C946" w14:textId="77777777" w:rsidR="009948F1" w:rsidRDefault="009948F1">
            <w:pPr>
              <w:pStyle w:val="TableParagraph"/>
              <w:rPr>
                <w:rFonts w:ascii="Times New Roman"/>
                <w:sz w:val="12"/>
              </w:rPr>
            </w:pPr>
          </w:p>
        </w:tc>
        <w:tc>
          <w:tcPr>
            <w:tcW w:w="1374" w:type="dxa"/>
            <w:tcBorders>
              <w:top w:val="nil"/>
              <w:bottom w:val="nil"/>
            </w:tcBorders>
          </w:tcPr>
          <w:p w14:paraId="78807F42" w14:textId="77777777" w:rsidR="009948F1" w:rsidRDefault="009948F1">
            <w:pPr>
              <w:pStyle w:val="TableParagraph"/>
              <w:rPr>
                <w:rFonts w:ascii="Times New Roman"/>
                <w:sz w:val="12"/>
              </w:rPr>
            </w:pPr>
          </w:p>
        </w:tc>
      </w:tr>
      <w:tr w:rsidR="009948F1" w14:paraId="6AA62BAD" w14:textId="77777777">
        <w:trPr>
          <w:trHeight w:val="190"/>
        </w:trPr>
        <w:tc>
          <w:tcPr>
            <w:tcW w:w="2673" w:type="dxa"/>
            <w:tcBorders>
              <w:top w:val="nil"/>
              <w:left w:val="single" w:sz="8" w:space="0" w:color="231F20"/>
              <w:bottom w:val="nil"/>
              <w:right w:val="single" w:sz="8" w:space="0" w:color="231F20"/>
            </w:tcBorders>
          </w:tcPr>
          <w:p w14:paraId="11AFDACF" w14:textId="77777777" w:rsidR="009948F1" w:rsidRDefault="00BC0563">
            <w:pPr>
              <w:pStyle w:val="TableParagraph"/>
              <w:spacing w:line="171" w:lineRule="exact"/>
              <w:ind w:left="107"/>
              <w:rPr>
                <w:sz w:val="16"/>
              </w:rPr>
            </w:pPr>
            <w:r>
              <w:rPr>
                <w:color w:val="231F20"/>
                <w:w w:val="115"/>
                <w:sz w:val="16"/>
              </w:rPr>
              <w:t>NCDs in Nigeria from current</w:t>
            </w:r>
          </w:p>
        </w:tc>
        <w:tc>
          <w:tcPr>
            <w:tcW w:w="982" w:type="dxa"/>
            <w:tcBorders>
              <w:top w:val="nil"/>
              <w:left w:val="single" w:sz="8" w:space="0" w:color="231F20"/>
              <w:bottom w:val="nil"/>
              <w:right w:val="single" w:sz="8" w:space="0" w:color="231F20"/>
            </w:tcBorders>
          </w:tcPr>
          <w:p w14:paraId="2269F35E" w14:textId="77777777" w:rsidR="009948F1" w:rsidRDefault="009948F1">
            <w:pPr>
              <w:pStyle w:val="TableParagraph"/>
              <w:rPr>
                <w:rFonts w:ascii="Times New Roman"/>
                <w:sz w:val="12"/>
              </w:rPr>
            </w:pPr>
          </w:p>
        </w:tc>
        <w:tc>
          <w:tcPr>
            <w:tcW w:w="848" w:type="dxa"/>
            <w:tcBorders>
              <w:top w:val="nil"/>
              <w:left w:val="single" w:sz="8" w:space="0" w:color="231F20"/>
              <w:bottom w:val="nil"/>
            </w:tcBorders>
          </w:tcPr>
          <w:p w14:paraId="55AA3184" w14:textId="77777777" w:rsidR="009948F1" w:rsidRDefault="009948F1">
            <w:pPr>
              <w:pStyle w:val="TableParagraph"/>
              <w:rPr>
                <w:rFonts w:ascii="Times New Roman"/>
                <w:sz w:val="12"/>
              </w:rPr>
            </w:pPr>
          </w:p>
        </w:tc>
        <w:tc>
          <w:tcPr>
            <w:tcW w:w="841" w:type="dxa"/>
            <w:tcBorders>
              <w:top w:val="nil"/>
              <w:bottom w:val="nil"/>
            </w:tcBorders>
          </w:tcPr>
          <w:p w14:paraId="7D3A8305" w14:textId="77777777" w:rsidR="009948F1" w:rsidRDefault="009948F1">
            <w:pPr>
              <w:pStyle w:val="TableParagraph"/>
              <w:rPr>
                <w:rFonts w:ascii="Times New Roman"/>
                <w:sz w:val="12"/>
              </w:rPr>
            </w:pPr>
          </w:p>
        </w:tc>
        <w:tc>
          <w:tcPr>
            <w:tcW w:w="848" w:type="dxa"/>
            <w:tcBorders>
              <w:top w:val="nil"/>
              <w:bottom w:val="nil"/>
            </w:tcBorders>
          </w:tcPr>
          <w:p w14:paraId="48C15080" w14:textId="77777777" w:rsidR="009948F1" w:rsidRDefault="009948F1">
            <w:pPr>
              <w:pStyle w:val="TableParagraph"/>
              <w:rPr>
                <w:rFonts w:ascii="Times New Roman"/>
                <w:sz w:val="12"/>
              </w:rPr>
            </w:pPr>
          </w:p>
        </w:tc>
        <w:tc>
          <w:tcPr>
            <w:tcW w:w="841" w:type="dxa"/>
            <w:tcBorders>
              <w:top w:val="nil"/>
              <w:bottom w:val="nil"/>
            </w:tcBorders>
          </w:tcPr>
          <w:p w14:paraId="3B3A17BD" w14:textId="77777777" w:rsidR="009948F1" w:rsidRDefault="009948F1">
            <w:pPr>
              <w:pStyle w:val="TableParagraph"/>
              <w:rPr>
                <w:rFonts w:ascii="Times New Roman"/>
                <w:sz w:val="12"/>
              </w:rPr>
            </w:pPr>
          </w:p>
        </w:tc>
        <w:tc>
          <w:tcPr>
            <w:tcW w:w="843" w:type="dxa"/>
            <w:tcBorders>
              <w:top w:val="nil"/>
              <w:bottom w:val="nil"/>
            </w:tcBorders>
          </w:tcPr>
          <w:p w14:paraId="3EAD9450" w14:textId="77777777" w:rsidR="009948F1" w:rsidRDefault="009948F1">
            <w:pPr>
              <w:pStyle w:val="TableParagraph"/>
              <w:rPr>
                <w:rFonts w:ascii="Times New Roman"/>
                <w:sz w:val="12"/>
              </w:rPr>
            </w:pPr>
          </w:p>
        </w:tc>
        <w:tc>
          <w:tcPr>
            <w:tcW w:w="1374" w:type="dxa"/>
            <w:tcBorders>
              <w:top w:val="nil"/>
              <w:bottom w:val="nil"/>
            </w:tcBorders>
          </w:tcPr>
          <w:p w14:paraId="241F950F" w14:textId="77777777" w:rsidR="009948F1" w:rsidRDefault="009948F1">
            <w:pPr>
              <w:pStyle w:val="TableParagraph"/>
              <w:rPr>
                <w:rFonts w:ascii="Times New Roman"/>
                <w:sz w:val="12"/>
              </w:rPr>
            </w:pPr>
          </w:p>
        </w:tc>
      </w:tr>
      <w:tr w:rsidR="009948F1" w14:paraId="32B2CDE3" w14:textId="77777777">
        <w:trPr>
          <w:trHeight w:val="190"/>
        </w:trPr>
        <w:tc>
          <w:tcPr>
            <w:tcW w:w="2673" w:type="dxa"/>
            <w:tcBorders>
              <w:top w:val="nil"/>
              <w:left w:val="single" w:sz="8" w:space="0" w:color="231F20"/>
              <w:bottom w:val="nil"/>
              <w:right w:val="single" w:sz="8" w:space="0" w:color="231F20"/>
            </w:tcBorders>
          </w:tcPr>
          <w:p w14:paraId="03E673C7" w14:textId="77777777" w:rsidR="009948F1" w:rsidRDefault="00BC0563">
            <w:pPr>
              <w:pStyle w:val="TableParagraph"/>
              <w:spacing w:line="171" w:lineRule="exact"/>
              <w:ind w:left="107"/>
              <w:rPr>
                <w:sz w:val="16"/>
              </w:rPr>
            </w:pPr>
            <w:r>
              <w:rPr>
                <w:color w:val="231F20"/>
                <w:w w:val="115"/>
                <w:sz w:val="16"/>
              </w:rPr>
              <w:t>levels by:</w:t>
            </w:r>
          </w:p>
        </w:tc>
        <w:tc>
          <w:tcPr>
            <w:tcW w:w="982" w:type="dxa"/>
            <w:tcBorders>
              <w:top w:val="nil"/>
              <w:left w:val="single" w:sz="8" w:space="0" w:color="231F20"/>
              <w:bottom w:val="nil"/>
              <w:right w:val="single" w:sz="8" w:space="0" w:color="231F20"/>
            </w:tcBorders>
          </w:tcPr>
          <w:p w14:paraId="3AF44A4C" w14:textId="77777777" w:rsidR="009948F1" w:rsidRDefault="009948F1">
            <w:pPr>
              <w:pStyle w:val="TableParagraph"/>
              <w:rPr>
                <w:rFonts w:ascii="Times New Roman"/>
                <w:sz w:val="12"/>
              </w:rPr>
            </w:pPr>
          </w:p>
        </w:tc>
        <w:tc>
          <w:tcPr>
            <w:tcW w:w="848" w:type="dxa"/>
            <w:tcBorders>
              <w:top w:val="nil"/>
              <w:left w:val="single" w:sz="8" w:space="0" w:color="231F20"/>
              <w:bottom w:val="nil"/>
            </w:tcBorders>
          </w:tcPr>
          <w:p w14:paraId="48D31781" w14:textId="77777777" w:rsidR="009948F1" w:rsidRDefault="009948F1">
            <w:pPr>
              <w:pStyle w:val="TableParagraph"/>
              <w:rPr>
                <w:rFonts w:ascii="Times New Roman"/>
                <w:sz w:val="12"/>
              </w:rPr>
            </w:pPr>
          </w:p>
        </w:tc>
        <w:tc>
          <w:tcPr>
            <w:tcW w:w="841" w:type="dxa"/>
            <w:tcBorders>
              <w:top w:val="nil"/>
              <w:bottom w:val="nil"/>
            </w:tcBorders>
          </w:tcPr>
          <w:p w14:paraId="65399E28" w14:textId="77777777" w:rsidR="009948F1" w:rsidRDefault="009948F1">
            <w:pPr>
              <w:pStyle w:val="TableParagraph"/>
              <w:rPr>
                <w:rFonts w:ascii="Times New Roman"/>
                <w:sz w:val="12"/>
              </w:rPr>
            </w:pPr>
          </w:p>
        </w:tc>
        <w:tc>
          <w:tcPr>
            <w:tcW w:w="848" w:type="dxa"/>
            <w:tcBorders>
              <w:top w:val="nil"/>
              <w:bottom w:val="nil"/>
            </w:tcBorders>
          </w:tcPr>
          <w:p w14:paraId="6E754CC1" w14:textId="77777777" w:rsidR="009948F1" w:rsidRDefault="009948F1">
            <w:pPr>
              <w:pStyle w:val="TableParagraph"/>
              <w:rPr>
                <w:rFonts w:ascii="Times New Roman"/>
                <w:sz w:val="12"/>
              </w:rPr>
            </w:pPr>
          </w:p>
        </w:tc>
        <w:tc>
          <w:tcPr>
            <w:tcW w:w="841" w:type="dxa"/>
            <w:tcBorders>
              <w:top w:val="nil"/>
              <w:bottom w:val="nil"/>
            </w:tcBorders>
          </w:tcPr>
          <w:p w14:paraId="250E7B5B" w14:textId="77777777" w:rsidR="009948F1" w:rsidRDefault="009948F1">
            <w:pPr>
              <w:pStyle w:val="TableParagraph"/>
              <w:rPr>
                <w:rFonts w:ascii="Times New Roman"/>
                <w:sz w:val="12"/>
              </w:rPr>
            </w:pPr>
          </w:p>
        </w:tc>
        <w:tc>
          <w:tcPr>
            <w:tcW w:w="843" w:type="dxa"/>
            <w:tcBorders>
              <w:top w:val="nil"/>
              <w:bottom w:val="nil"/>
            </w:tcBorders>
          </w:tcPr>
          <w:p w14:paraId="379F139F" w14:textId="77777777" w:rsidR="009948F1" w:rsidRDefault="009948F1">
            <w:pPr>
              <w:pStyle w:val="TableParagraph"/>
              <w:rPr>
                <w:rFonts w:ascii="Times New Roman"/>
                <w:sz w:val="12"/>
              </w:rPr>
            </w:pPr>
          </w:p>
        </w:tc>
        <w:tc>
          <w:tcPr>
            <w:tcW w:w="1374" w:type="dxa"/>
            <w:tcBorders>
              <w:top w:val="nil"/>
              <w:bottom w:val="nil"/>
            </w:tcBorders>
          </w:tcPr>
          <w:p w14:paraId="6CC09220" w14:textId="77777777" w:rsidR="009948F1" w:rsidRDefault="009948F1">
            <w:pPr>
              <w:pStyle w:val="TableParagraph"/>
              <w:rPr>
                <w:rFonts w:ascii="Times New Roman"/>
                <w:sz w:val="12"/>
              </w:rPr>
            </w:pPr>
          </w:p>
        </w:tc>
      </w:tr>
      <w:tr w:rsidR="009948F1" w14:paraId="20DCD8BF" w14:textId="77777777">
        <w:trPr>
          <w:trHeight w:val="191"/>
        </w:trPr>
        <w:tc>
          <w:tcPr>
            <w:tcW w:w="2673" w:type="dxa"/>
            <w:tcBorders>
              <w:top w:val="nil"/>
              <w:left w:val="single" w:sz="8" w:space="0" w:color="231F20"/>
              <w:bottom w:val="nil"/>
              <w:right w:val="single" w:sz="8" w:space="0" w:color="231F20"/>
            </w:tcBorders>
          </w:tcPr>
          <w:p w14:paraId="10914579" w14:textId="77777777" w:rsidR="009948F1" w:rsidRDefault="00BC0563">
            <w:pPr>
              <w:pStyle w:val="TableParagraph"/>
              <w:spacing w:line="172" w:lineRule="exact"/>
              <w:ind w:left="107"/>
              <w:rPr>
                <w:sz w:val="16"/>
              </w:rPr>
            </w:pPr>
            <w:proofErr w:type="spellStart"/>
            <w:r>
              <w:rPr>
                <w:color w:val="231F20"/>
                <w:w w:val="115"/>
                <w:sz w:val="16"/>
              </w:rPr>
              <w:t>a.Tobacco</w:t>
            </w:r>
            <w:proofErr w:type="spellEnd"/>
            <w:r>
              <w:rPr>
                <w:color w:val="231F20"/>
                <w:w w:val="115"/>
                <w:sz w:val="16"/>
              </w:rPr>
              <w:t xml:space="preserve"> use (current</w:t>
            </w:r>
          </w:p>
        </w:tc>
        <w:tc>
          <w:tcPr>
            <w:tcW w:w="982" w:type="dxa"/>
            <w:tcBorders>
              <w:top w:val="nil"/>
              <w:left w:val="single" w:sz="8" w:space="0" w:color="231F20"/>
              <w:bottom w:val="nil"/>
              <w:right w:val="single" w:sz="8" w:space="0" w:color="231F20"/>
            </w:tcBorders>
          </w:tcPr>
          <w:p w14:paraId="3022FBCA" w14:textId="77777777" w:rsidR="009948F1" w:rsidRDefault="009948F1">
            <w:pPr>
              <w:pStyle w:val="TableParagraph"/>
              <w:rPr>
                <w:rFonts w:ascii="Times New Roman"/>
                <w:sz w:val="12"/>
              </w:rPr>
            </w:pPr>
          </w:p>
        </w:tc>
        <w:tc>
          <w:tcPr>
            <w:tcW w:w="848" w:type="dxa"/>
            <w:tcBorders>
              <w:top w:val="nil"/>
              <w:left w:val="single" w:sz="8" w:space="0" w:color="231F20"/>
              <w:bottom w:val="nil"/>
            </w:tcBorders>
          </w:tcPr>
          <w:p w14:paraId="49223D23" w14:textId="77777777" w:rsidR="009948F1" w:rsidRDefault="009948F1">
            <w:pPr>
              <w:pStyle w:val="TableParagraph"/>
              <w:rPr>
                <w:rFonts w:ascii="Times New Roman"/>
                <w:sz w:val="12"/>
              </w:rPr>
            </w:pPr>
          </w:p>
        </w:tc>
        <w:tc>
          <w:tcPr>
            <w:tcW w:w="841" w:type="dxa"/>
            <w:tcBorders>
              <w:top w:val="nil"/>
              <w:bottom w:val="nil"/>
            </w:tcBorders>
          </w:tcPr>
          <w:p w14:paraId="41904FDE" w14:textId="77777777" w:rsidR="009948F1" w:rsidRDefault="009948F1">
            <w:pPr>
              <w:pStyle w:val="TableParagraph"/>
              <w:rPr>
                <w:rFonts w:ascii="Times New Roman"/>
                <w:sz w:val="12"/>
              </w:rPr>
            </w:pPr>
          </w:p>
        </w:tc>
        <w:tc>
          <w:tcPr>
            <w:tcW w:w="848" w:type="dxa"/>
            <w:tcBorders>
              <w:top w:val="nil"/>
              <w:bottom w:val="nil"/>
            </w:tcBorders>
          </w:tcPr>
          <w:p w14:paraId="5854BD8E" w14:textId="77777777" w:rsidR="009948F1" w:rsidRDefault="009948F1">
            <w:pPr>
              <w:pStyle w:val="TableParagraph"/>
              <w:rPr>
                <w:rFonts w:ascii="Times New Roman"/>
                <w:sz w:val="12"/>
              </w:rPr>
            </w:pPr>
          </w:p>
        </w:tc>
        <w:tc>
          <w:tcPr>
            <w:tcW w:w="841" w:type="dxa"/>
            <w:tcBorders>
              <w:top w:val="nil"/>
              <w:bottom w:val="nil"/>
            </w:tcBorders>
          </w:tcPr>
          <w:p w14:paraId="45F8DC7C" w14:textId="77777777" w:rsidR="009948F1" w:rsidRDefault="009948F1">
            <w:pPr>
              <w:pStyle w:val="TableParagraph"/>
              <w:rPr>
                <w:rFonts w:ascii="Times New Roman"/>
                <w:sz w:val="12"/>
              </w:rPr>
            </w:pPr>
          </w:p>
        </w:tc>
        <w:tc>
          <w:tcPr>
            <w:tcW w:w="843" w:type="dxa"/>
            <w:tcBorders>
              <w:top w:val="nil"/>
              <w:bottom w:val="nil"/>
            </w:tcBorders>
          </w:tcPr>
          <w:p w14:paraId="772F4A19" w14:textId="77777777" w:rsidR="009948F1" w:rsidRDefault="009948F1">
            <w:pPr>
              <w:pStyle w:val="TableParagraph"/>
              <w:rPr>
                <w:rFonts w:ascii="Times New Roman"/>
                <w:sz w:val="12"/>
              </w:rPr>
            </w:pPr>
          </w:p>
        </w:tc>
        <w:tc>
          <w:tcPr>
            <w:tcW w:w="1374" w:type="dxa"/>
            <w:tcBorders>
              <w:top w:val="nil"/>
              <w:bottom w:val="nil"/>
            </w:tcBorders>
          </w:tcPr>
          <w:p w14:paraId="6C3AA51A" w14:textId="77777777" w:rsidR="009948F1" w:rsidRDefault="00BC0563">
            <w:pPr>
              <w:pStyle w:val="TableParagraph"/>
              <w:spacing w:line="172" w:lineRule="exact"/>
              <w:ind w:left="111"/>
              <w:rPr>
                <w:sz w:val="16"/>
              </w:rPr>
            </w:pPr>
            <w:r>
              <w:rPr>
                <w:color w:val="231F20"/>
                <w:w w:val="115"/>
                <w:sz w:val="16"/>
              </w:rPr>
              <w:t>Reduced by</w:t>
            </w:r>
          </w:p>
        </w:tc>
      </w:tr>
      <w:tr w:rsidR="009948F1" w14:paraId="65FBCA9F" w14:textId="77777777">
        <w:trPr>
          <w:trHeight w:val="191"/>
        </w:trPr>
        <w:tc>
          <w:tcPr>
            <w:tcW w:w="2673" w:type="dxa"/>
            <w:tcBorders>
              <w:top w:val="nil"/>
              <w:left w:val="single" w:sz="8" w:space="0" w:color="231F20"/>
              <w:bottom w:val="nil"/>
              <w:right w:val="single" w:sz="8" w:space="0" w:color="231F20"/>
            </w:tcBorders>
          </w:tcPr>
          <w:p w14:paraId="5373EC6E" w14:textId="77777777" w:rsidR="009948F1" w:rsidRDefault="00BC0563">
            <w:pPr>
              <w:pStyle w:val="TableParagraph"/>
              <w:spacing w:line="172" w:lineRule="exact"/>
              <w:ind w:left="107"/>
              <w:rPr>
                <w:sz w:val="16"/>
              </w:rPr>
            </w:pPr>
            <w:r>
              <w:rPr>
                <w:color w:val="231F20"/>
                <w:w w:val="115"/>
                <w:sz w:val="16"/>
              </w:rPr>
              <w:t>prevalence rate is 5.6%</w:t>
            </w:r>
          </w:p>
        </w:tc>
        <w:tc>
          <w:tcPr>
            <w:tcW w:w="982" w:type="dxa"/>
            <w:tcBorders>
              <w:top w:val="nil"/>
              <w:left w:val="single" w:sz="8" w:space="0" w:color="231F20"/>
              <w:bottom w:val="nil"/>
              <w:right w:val="single" w:sz="8" w:space="0" w:color="231F20"/>
            </w:tcBorders>
          </w:tcPr>
          <w:p w14:paraId="21421805" w14:textId="77777777" w:rsidR="009948F1" w:rsidRDefault="00BC0563">
            <w:pPr>
              <w:pStyle w:val="TableParagraph"/>
              <w:spacing w:line="172" w:lineRule="exact"/>
              <w:ind w:left="107"/>
              <w:rPr>
                <w:sz w:val="16"/>
              </w:rPr>
            </w:pPr>
            <w:r>
              <w:rPr>
                <w:color w:val="231F20"/>
                <w:w w:val="115"/>
                <w:sz w:val="16"/>
              </w:rPr>
              <w:t>TBD</w:t>
            </w:r>
          </w:p>
        </w:tc>
        <w:tc>
          <w:tcPr>
            <w:tcW w:w="848" w:type="dxa"/>
            <w:tcBorders>
              <w:top w:val="nil"/>
              <w:left w:val="single" w:sz="8" w:space="0" w:color="231F20"/>
              <w:bottom w:val="nil"/>
            </w:tcBorders>
          </w:tcPr>
          <w:p w14:paraId="7FA04C68" w14:textId="77777777" w:rsidR="009948F1" w:rsidRDefault="00BC0563">
            <w:pPr>
              <w:pStyle w:val="TableParagraph"/>
              <w:spacing w:line="172" w:lineRule="exact"/>
              <w:ind w:left="107"/>
              <w:rPr>
                <w:sz w:val="16"/>
              </w:rPr>
            </w:pPr>
            <w:r>
              <w:rPr>
                <w:color w:val="231F20"/>
                <w:w w:val="115"/>
                <w:sz w:val="16"/>
              </w:rPr>
              <w:t>6%</w:t>
            </w:r>
          </w:p>
        </w:tc>
        <w:tc>
          <w:tcPr>
            <w:tcW w:w="841" w:type="dxa"/>
            <w:tcBorders>
              <w:top w:val="nil"/>
              <w:bottom w:val="nil"/>
            </w:tcBorders>
          </w:tcPr>
          <w:p w14:paraId="43A034C2" w14:textId="77777777" w:rsidR="009948F1" w:rsidRDefault="00BC0563">
            <w:pPr>
              <w:pStyle w:val="TableParagraph"/>
              <w:spacing w:line="172" w:lineRule="exact"/>
              <w:ind w:left="112"/>
              <w:rPr>
                <w:sz w:val="16"/>
              </w:rPr>
            </w:pPr>
            <w:r>
              <w:rPr>
                <w:color w:val="231F20"/>
                <w:w w:val="115"/>
                <w:sz w:val="16"/>
              </w:rPr>
              <w:t>5%</w:t>
            </w:r>
          </w:p>
        </w:tc>
        <w:tc>
          <w:tcPr>
            <w:tcW w:w="848" w:type="dxa"/>
            <w:tcBorders>
              <w:top w:val="nil"/>
              <w:bottom w:val="nil"/>
            </w:tcBorders>
          </w:tcPr>
          <w:p w14:paraId="7414BD6E" w14:textId="77777777" w:rsidR="009948F1" w:rsidRDefault="00BC0563">
            <w:pPr>
              <w:pStyle w:val="TableParagraph"/>
              <w:spacing w:line="172" w:lineRule="exact"/>
              <w:ind w:left="112"/>
              <w:rPr>
                <w:sz w:val="16"/>
              </w:rPr>
            </w:pPr>
            <w:r>
              <w:rPr>
                <w:color w:val="231F20"/>
                <w:w w:val="115"/>
                <w:sz w:val="16"/>
              </w:rPr>
              <w:t>4%</w:t>
            </w:r>
          </w:p>
        </w:tc>
        <w:tc>
          <w:tcPr>
            <w:tcW w:w="841" w:type="dxa"/>
            <w:tcBorders>
              <w:top w:val="nil"/>
              <w:bottom w:val="nil"/>
            </w:tcBorders>
          </w:tcPr>
          <w:p w14:paraId="5AB425B0" w14:textId="77777777" w:rsidR="009948F1" w:rsidRDefault="00BC0563">
            <w:pPr>
              <w:pStyle w:val="TableParagraph"/>
              <w:spacing w:line="172" w:lineRule="exact"/>
              <w:ind w:left="111"/>
              <w:rPr>
                <w:sz w:val="16"/>
              </w:rPr>
            </w:pPr>
            <w:r>
              <w:rPr>
                <w:color w:val="231F20"/>
                <w:w w:val="115"/>
                <w:sz w:val="16"/>
              </w:rPr>
              <w:t>3%</w:t>
            </w:r>
          </w:p>
        </w:tc>
        <w:tc>
          <w:tcPr>
            <w:tcW w:w="843" w:type="dxa"/>
            <w:tcBorders>
              <w:top w:val="nil"/>
              <w:bottom w:val="nil"/>
            </w:tcBorders>
          </w:tcPr>
          <w:p w14:paraId="4C16AD2C" w14:textId="77777777" w:rsidR="009948F1" w:rsidRDefault="00BC0563">
            <w:pPr>
              <w:pStyle w:val="TableParagraph"/>
              <w:spacing w:line="172" w:lineRule="exact"/>
              <w:ind w:left="111"/>
              <w:rPr>
                <w:sz w:val="16"/>
              </w:rPr>
            </w:pPr>
            <w:r>
              <w:rPr>
                <w:color w:val="231F20"/>
                <w:w w:val="115"/>
                <w:sz w:val="16"/>
              </w:rPr>
              <w:t>1%</w:t>
            </w:r>
          </w:p>
        </w:tc>
        <w:tc>
          <w:tcPr>
            <w:tcW w:w="1374" w:type="dxa"/>
            <w:tcBorders>
              <w:top w:val="nil"/>
              <w:bottom w:val="nil"/>
            </w:tcBorders>
          </w:tcPr>
          <w:p w14:paraId="1CFE61D4" w14:textId="77777777" w:rsidR="009948F1" w:rsidRDefault="00BC0563">
            <w:pPr>
              <w:pStyle w:val="TableParagraph"/>
              <w:spacing w:line="172" w:lineRule="exact"/>
              <w:ind w:left="111"/>
              <w:rPr>
                <w:sz w:val="16"/>
              </w:rPr>
            </w:pPr>
            <w:r>
              <w:rPr>
                <w:color w:val="231F20"/>
                <w:w w:val="115"/>
                <w:sz w:val="16"/>
              </w:rPr>
              <w:t>30% of</w:t>
            </w:r>
          </w:p>
        </w:tc>
      </w:tr>
      <w:tr w:rsidR="009948F1" w14:paraId="66D7C101" w14:textId="77777777">
        <w:trPr>
          <w:trHeight w:val="286"/>
        </w:trPr>
        <w:tc>
          <w:tcPr>
            <w:tcW w:w="2673" w:type="dxa"/>
            <w:tcBorders>
              <w:top w:val="nil"/>
              <w:left w:val="single" w:sz="8" w:space="0" w:color="231F20"/>
              <w:bottom w:val="nil"/>
              <w:right w:val="single" w:sz="8" w:space="0" w:color="231F20"/>
            </w:tcBorders>
          </w:tcPr>
          <w:p w14:paraId="07990FFB" w14:textId="77777777" w:rsidR="009948F1" w:rsidRDefault="00BC0563">
            <w:pPr>
              <w:pStyle w:val="TableParagraph"/>
              <w:spacing w:line="175" w:lineRule="exact"/>
              <w:ind w:left="107"/>
              <w:rPr>
                <w:sz w:val="16"/>
              </w:rPr>
            </w:pPr>
            <w:r>
              <w:rPr>
                <w:color w:val="231F20"/>
                <w:w w:val="115"/>
                <w:sz w:val="16"/>
              </w:rPr>
              <w:t>among adults)</w:t>
            </w:r>
          </w:p>
        </w:tc>
        <w:tc>
          <w:tcPr>
            <w:tcW w:w="982" w:type="dxa"/>
            <w:tcBorders>
              <w:top w:val="nil"/>
              <w:left w:val="single" w:sz="8" w:space="0" w:color="231F20"/>
              <w:bottom w:val="nil"/>
              <w:right w:val="single" w:sz="8" w:space="0" w:color="231F20"/>
            </w:tcBorders>
          </w:tcPr>
          <w:p w14:paraId="1606B7F9" w14:textId="77777777" w:rsidR="009948F1" w:rsidRDefault="009948F1">
            <w:pPr>
              <w:pStyle w:val="TableParagraph"/>
              <w:rPr>
                <w:rFonts w:ascii="Times New Roman"/>
                <w:sz w:val="18"/>
              </w:rPr>
            </w:pPr>
          </w:p>
        </w:tc>
        <w:tc>
          <w:tcPr>
            <w:tcW w:w="848" w:type="dxa"/>
            <w:tcBorders>
              <w:top w:val="nil"/>
              <w:left w:val="single" w:sz="8" w:space="0" w:color="231F20"/>
              <w:bottom w:val="nil"/>
            </w:tcBorders>
          </w:tcPr>
          <w:p w14:paraId="1ACC903E" w14:textId="77777777" w:rsidR="009948F1" w:rsidRDefault="009948F1">
            <w:pPr>
              <w:pStyle w:val="TableParagraph"/>
              <w:rPr>
                <w:rFonts w:ascii="Times New Roman"/>
                <w:sz w:val="18"/>
              </w:rPr>
            </w:pPr>
          </w:p>
        </w:tc>
        <w:tc>
          <w:tcPr>
            <w:tcW w:w="841" w:type="dxa"/>
            <w:tcBorders>
              <w:top w:val="nil"/>
              <w:bottom w:val="nil"/>
            </w:tcBorders>
          </w:tcPr>
          <w:p w14:paraId="34C66A9F" w14:textId="77777777" w:rsidR="009948F1" w:rsidRDefault="009948F1">
            <w:pPr>
              <w:pStyle w:val="TableParagraph"/>
              <w:rPr>
                <w:rFonts w:ascii="Times New Roman"/>
                <w:sz w:val="18"/>
              </w:rPr>
            </w:pPr>
          </w:p>
        </w:tc>
        <w:tc>
          <w:tcPr>
            <w:tcW w:w="848" w:type="dxa"/>
            <w:tcBorders>
              <w:top w:val="nil"/>
              <w:bottom w:val="nil"/>
            </w:tcBorders>
          </w:tcPr>
          <w:p w14:paraId="3AF53645" w14:textId="77777777" w:rsidR="009948F1" w:rsidRDefault="009948F1">
            <w:pPr>
              <w:pStyle w:val="TableParagraph"/>
              <w:rPr>
                <w:rFonts w:ascii="Times New Roman"/>
                <w:sz w:val="18"/>
              </w:rPr>
            </w:pPr>
          </w:p>
        </w:tc>
        <w:tc>
          <w:tcPr>
            <w:tcW w:w="841" w:type="dxa"/>
            <w:tcBorders>
              <w:top w:val="nil"/>
              <w:bottom w:val="nil"/>
            </w:tcBorders>
          </w:tcPr>
          <w:p w14:paraId="6C2FCD1B" w14:textId="77777777" w:rsidR="009948F1" w:rsidRDefault="009948F1">
            <w:pPr>
              <w:pStyle w:val="TableParagraph"/>
              <w:rPr>
                <w:rFonts w:ascii="Times New Roman"/>
                <w:sz w:val="18"/>
              </w:rPr>
            </w:pPr>
          </w:p>
        </w:tc>
        <w:tc>
          <w:tcPr>
            <w:tcW w:w="843" w:type="dxa"/>
            <w:tcBorders>
              <w:top w:val="nil"/>
              <w:bottom w:val="nil"/>
            </w:tcBorders>
          </w:tcPr>
          <w:p w14:paraId="00DC6F10" w14:textId="77777777" w:rsidR="009948F1" w:rsidRDefault="009948F1">
            <w:pPr>
              <w:pStyle w:val="TableParagraph"/>
              <w:rPr>
                <w:rFonts w:ascii="Times New Roman"/>
                <w:sz w:val="18"/>
              </w:rPr>
            </w:pPr>
          </w:p>
        </w:tc>
        <w:tc>
          <w:tcPr>
            <w:tcW w:w="1374" w:type="dxa"/>
            <w:tcBorders>
              <w:top w:val="nil"/>
              <w:bottom w:val="nil"/>
            </w:tcBorders>
          </w:tcPr>
          <w:p w14:paraId="239D5BCE" w14:textId="77777777" w:rsidR="009948F1" w:rsidRDefault="00BC0563">
            <w:pPr>
              <w:pStyle w:val="TableParagraph"/>
              <w:spacing w:line="175" w:lineRule="exact"/>
              <w:ind w:left="111"/>
              <w:rPr>
                <w:sz w:val="16"/>
              </w:rPr>
            </w:pPr>
            <w:r>
              <w:rPr>
                <w:color w:val="231F20"/>
                <w:w w:val="115"/>
                <w:sz w:val="16"/>
              </w:rPr>
              <w:t>baseline</w:t>
            </w:r>
          </w:p>
        </w:tc>
      </w:tr>
      <w:tr w:rsidR="009948F1" w14:paraId="690A1643" w14:textId="77777777">
        <w:trPr>
          <w:trHeight w:val="287"/>
        </w:trPr>
        <w:tc>
          <w:tcPr>
            <w:tcW w:w="2673" w:type="dxa"/>
            <w:tcBorders>
              <w:top w:val="nil"/>
              <w:left w:val="single" w:sz="8" w:space="0" w:color="231F20"/>
              <w:bottom w:val="nil"/>
              <w:right w:val="single" w:sz="8" w:space="0" w:color="231F20"/>
            </w:tcBorders>
          </w:tcPr>
          <w:p w14:paraId="7E144087" w14:textId="77777777" w:rsidR="009948F1" w:rsidRDefault="00BC0563">
            <w:pPr>
              <w:pStyle w:val="TableParagraph"/>
              <w:spacing w:before="86" w:line="181" w:lineRule="exact"/>
              <w:ind w:left="107"/>
              <w:rPr>
                <w:sz w:val="16"/>
              </w:rPr>
            </w:pPr>
            <w:proofErr w:type="spellStart"/>
            <w:r>
              <w:rPr>
                <w:color w:val="231F20"/>
                <w:w w:val="115"/>
                <w:sz w:val="16"/>
              </w:rPr>
              <w:t>b.Insufficient</w:t>
            </w:r>
            <w:proofErr w:type="spellEnd"/>
            <w:r>
              <w:rPr>
                <w:color w:val="231F20"/>
                <w:w w:val="115"/>
                <w:sz w:val="16"/>
              </w:rPr>
              <w:t xml:space="preserve"> physical activity</w:t>
            </w:r>
          </w:p>
        </w:tc>
        <w:tc>
          <w:tcPr>
            <w:tcW w:w="982" w:type="dxa"/>
            <w:tcBorders>
              <w:top w:val="nil"/>
              <w:left w:val="single" w:sz="8" w:space="0" w:color="231F20"/>
              <w:bottom w:val="nil"/>
              <w:right w:val="single" w:sz="8" w:space="0" w:color="231F20"/>
            </w:tcBorders>
          </w:tcPr>
          <w:p w14:paraId="69FC789F" w14:textId="77777777" w:rsidR="009948F1" w:rsidRDefault="00BC0563">
            <w:pPr>
              <w:pStyle w:val="TableParagraph"/>
              <w:spacing w:before="86" w:line="181" w:lineRule="exact"/>
              <w:ind w:left="107"/>
              <w:rPr>
                <w:sz w:val="16"/>
              </w:rPr>
            </w:pPr>
            <w:r>
              <w:rPr>
                <w:color w:val="231F20"/>
                <w:w w:val="115"/>
                <w:sz w:val="16"/>
              </w:rPr>
              <w:t>TBD</w:t>
            </w:r>
          </w:p>
        </w:tc>
        <w:tc>
          <w:tcPr>
            <w:tcW w:w="848" w:type="dxa"/>
            <w:tcBorders>
              <w:top w:val="nil"/>
              <w:left w:val="single" w:sz="8" w:space="0" w:color="231F20"/>
              <w:bottom w:val="nil"/>
            </w:tcBorders>
          </w:tcPr>
          <w:p w14:paraId="15AC5616" w14:textId="77777777" w:rsidR="009948F1" w:rsidRDefault="00BC0563">
            <w:pPr>
              <w:pStyle w:val="TableParagraph"/>
              <w:spacing w:before="86" w:line="181" w:lineRule="exact"/>
              <w:ind w:left="107"/>
              <w:rPr>
                <w:sz w:val="16"/>
              </w:rPr>
            </w:pPr>
            <w:r>
              <w:rPr>
                <w:color w:val="231F20"/>
                <w:w w:val="115"/>
                <w:sz w:val="16"/>
              </w:rPr>
              <w:t>80%</w:t>
            </w:r>
          </w:p>
        </w:tc>
        <w:tc>
          <w:tcPr>
            <w:tcW w:w="841" w:type="dxa"/>
            <w:tcBorders>
              <w:top w:val="nil"/>
              <w:bottom w:val="nil"/>
            </w:tcBorders>
          </w:tcPr>
          <w:p w14:paraId="0F6F5A2B" w14:textId="77777777" w:rsidR="009948F1" w:rsidRDefault="00BC0563">
            <w:pPr>
              <w:pStyle w:val="TableParagraph"/>
              <w:spacing w:before="86" w:line="181" w:lineRule="exact"/>
              <w:ind w:left="112"/>
              <w:rPr>
                <w:sz w:val="16"/>
              </w:rPr>
            </w:pPr>
            <w:r>
              <w:rPr>
                <w:color w:val="231F20"/>
                <w:w w:val="115"/>
                <w:sz w:val="16"/>
              </w:rPr>
              <w:t>70%</w:t>
            </w:r>
          </w:p>
        </w:tc>
        <w:tc>
          <w:tcPr>
            <w:tcW w:w="848" w:type="dxa"/>
            <w:tcBorders>
              <w:top w:val="nil"/>
              <w:bottom w:val="nil"/>
            </w:tcBorders>
          </w:tcPr>
          <w:p w14:paraId="3DE2E4BC" w14:textId="77777777" w:rsidR="009948F1" w:rsidRDefault="00BC0563">
            <w:pPr>
              <w:pStyle w:val="TableParagraph"/>
              <w:spacing w:before="86" w:line="181" w:lineRule="exact"/>
              <w:ind w:left="112"/>
              <w:rPr>
                <w:sz w:val="16"/>
              </w:rPr>
            </w:pPr>
            <w:r>
              <w:rPr>
                <w:color w:val="231F20"/>
                <w:w w:val="115"/>
                <w:sz w:val="16"/>
              </w:rPr>
              <w:t>60%</w:t>
            </w:r>
          </w:p>
        </w:tc>
        <w:tc>
          <w:tcPr>
            <w:tcW w:w="841" w:type="dxa"/>
            <w:tcBorders>
              <w:top w:val="nil"/>
              <w:bottom w:val="nil"/>
            </w:tcBorders>
          </w:tcPr>
          <w:p w14:paraId="446DD437" w14:textId="77777777" w:rsidR="009948F1" w:rsidRDefault="00BC0563">
            <w:pPr>
              <w:pStyle w:val="TableParagraph"/>
              <w:spacing w:before="86" w:line="181" w:lineRule="exact"/>
              <w:ind w:left="111"/>
              <w:rPr>
                <w:sz w:val="16"/>
              </w:rPr>
            </w:pPr>
            <w:r>
              <w:rPr>
                <w:color w:val="231F20"/>
                <w:w w:val="115"/>
                <w:sz w:val="16"/>
              </w:rPr>
              <w:t>50%</w:t>
            </w:r>
          </w:p>
        </w:tc>
        <w:tc>
          <w:tcPr>
            <w:tcW w:w="843" w:type="dxa"/>
            <w:tcBorders>
              <w:top w:val="nil"/>
              <w:bottom w:val="nil"/>
            </w:tcBorders>
          </w:tcPr>
          <w:p w14:paraId="44732C9A" w14:textId="77777777" w:rsidR="009948F1" w:rsidRDefault="00BC0563">
            <w:pPr>
              <w:pStyle w:val="TableParagraph"/>
              <w:spacing w:before="86" w:line="181" w:lineRule="exact"/>
              <w:ind w:left="111"/>
              <w:rPr>
                <w:sz w:val="16"/>
              </w:rPr>
            </w:pPr>
            <w:r>
              <w:rPr>
                <w:color w:val="231F20"/>
                <w:w w:val="115"/>
                <w:sz w:val="16"/>
              </w:rPr>
              <w:t>40%</w:t>
            </w:r>
          </w:p>
        </w:tc>
        <w:tc>
          <w:tcPr>
            <w:tcW w:w="1374" w:type="dxa"/>
            <w:tcBorders>
              <w:top w:val="nil"/>
              <w:bottom w:val="nil"/>
            </w:tcBorders>
          </w:tcPr>
          <w:p w14:paraId="1182FBFF" w14:textId="77777777" w:rsidR="009948F1" w:rsidRDefault="00BC0563">
            <w:pPr>
              <w:pStyle w:val="TableParagraph"/>
              <w:spacing w:before="86" w:line="181" w:lineRule="exact"/>
              <w:ind w:left="111"/>
              <w:rPr>
                <w:sz w:val="16"/>
              </w:rPr>
            </w:pPr>
            <w:r>
              <w:rPr>
                <w:color w:val="231F20"/>
                <w:w w:val="115"/>
                <w:sz w:val="16"/>
              </w:rPr>
              <w:t>Reduced by</w:t>
            </w:r>
          </w:p>
        </w:tc>
      </w:tr>
      <w:tr w:rsidR="009948F1" w14:paraId="035475C6" w14:textId="77777777">
        <w:trPr>
          <w:trHeight w:val="173"/>
        </w:trPr>
        <w:tc>
          <w:tcPr>
            <w:tcW w:w="2673" w:type="dxa"/>
            <w:tcBorders>
              <w:top w:val="nil"/>
              <w:left w:val="single" w:sz="8" w:space="0" w:color="231F20"/>
              <w:bottom w:val="nil"/>
              <w:right w:val="single" w:sz="8" w:space="0" w:color="231F20"/>
            </w:tcBorders>
          </w:tcPr>
          <w:p w14:paraId="4305041F" w14:textId="77777777" w:rsidR="009948F1" w:rsidRDefault="009948F1">
            <w:pPr>
              <w:pStyle w:val="TableParagraph"/>
              <w:rPr>
                <w:rFonts w:ascii="Times New Roman"/>
                <w:sz w:val="10"/>
              </w:rPr>
            </w:pPr>
          </w:p>
        </w:tc>
        <w:tc>
          <w:tcPr>
            <w:tcW w:w="982" w:type="dxa"/>
            <w:tcBorders>
              <w:top w:val="nil"/>
              <w:left w:val="single" w:sz="8" w:space="0" w:color="231F20"/>
              <w:bottom w:val="nil"/>
              <w:right w:val="single" w:sz="8" w:space="0" w:color="231F20"/>
            </w:tcBorders>
          </w:tcPr>
          <w:p w14:paraId="327BF5CD" w14:textId="77777777" w:rsidR="009948F1" w:rsidRDefault="009948F1">
            <w:pPr>
              <w:pStyle w:val="TableParagraph"/>
              <w:rPr>
                <w:rFonts w:ascii="Times New Roman"/>
                <w:sz w:val="10"/>
              </w:rPr>
            </w:pPr>
          </w:p>
        </w:tc>
        <w:tc>
          <w:tcPr>
            <w:tcW w:w="848" w:type="dxa"/>
            <w:tcBorders>
              <w:top w:val="nil"/>
              <w:left w:val="single" w:sz="8" w:space="0" w:color="231F20"/>
              <w:bottom w:val="nil"/>
            </w:tcBorders>
          </w:tcPr>
          <w:p w14:paraId="58917976" w14:textId="77777777" w:rsidR="009948F1" w:rsidRDefault="009948F1">
            <w:pPr>
              <w:pStyle w:val="TableParagraph"/>
              <w:rPr>
                <w:rFonts w:ascii="Times New Roman"/>
                <w:sz w:val="10"/>
              </w:rPr>
            </w:pPr>
          </w:p>
        </w:tc>
        <w:tc>
          <w:tcPr>
            <w:tcW w:w="841" w:type="dxa"/>
            <w:tcBorders>
              <w:top w:val="nil"/>
              <w:bottom w:val="nil"/>
            </w:tcBorders>
          </w:tcPr>
          <w:p w14:paraId="5FED825A" w14:textId="77777777" w:rsidR="009948F1" w:rsidRDefault="009948F1">
            <w:pPr>
              <w:pStyle w:val="TableParagraph"/>
              <w:rPr>
                <w:rFonts w:ascii="Times New Roman"/>
                <w:sz w:val="10"/>
              </w:rPr>
            </w:pPr>
          </w:p>
        </w:tc>
        <w:tc>
          <w:tcPr>
            <w:tcW w:w="848" w:type="dxa"/>
            <w:tcBorders>
              <w:top w:val="nil"/>
              <w:bottom w:val="nil"/>
            </w:tcBorders>
          </w:tcPr>
          <w:p w14:paraId="35AE9269" w14:textId="77777777" w:rsidR="009948F1" w:rsidRDefault="009948F1">
            <w:pPr>
              <w:pStyle w:val="TableParagraph"/>
              <w:rPr>
                <w:rFonts w:ascii="Times New Roman"/>
                <w:sz w:val="10"/>
              </w:rPr>
            </w:pPr>
          </w:p>
        </w:tc>
        <w:tc>
          <w:tcPr>
            <w:tcW w:w="841" w:type="dxa"/>
            <w:tcBorders>
              <w:top w:val="nil"/>
              <w:bottom w:val="nil"/>
            </w:tcBorders>
          </w:tcPr>
          <w:p w14:paraId="05338636" w14:textId="77777777" w:rsidR="009948F1" w:rsidRDefault="009948F1">
            <w:pPr>
              <w:pStyle w:val="TableParagraph"/>
              <w:rPr>
                <w:rFonts w:ascii="Times New Roman"/>
                <w:sz w:val="10"/>
              </w:rPr>
            </w:pPr>
          </w:p>
        </w:tc>
        <w:tc>
          <w:tcPr>
            <w:tcW w:w="843" w:type="dxa"/>
            <w:tcBorders>
              <w:top w:val="nil"/>
              <w:bottom w:val="nil"/>
            </w:tcBorders>
          </w:tcPr>
          <w:p w14:paraId="24B084B5" w14:textId="77777777" w:rsidR="009948F1" w:rsidRDefault="009948F1">
            <w:pPr>
              <w:pStyle w:val="TableParagraph"/>
              <w:rPr>
                <w:rFonts w:ascii="Times New Roman"/>
                <w:sz w:val="10"/>
              </w:rPr>
            </w:pPr>
          </w:p>
        </w:tc>
        <w:tc>
          <w:tcPr>
            <w:tcW w:w="1374" w:type="dxa"/>
            <w:tcBorders>
              <w:top w:val="nil"/>
              <w:bottom w:val="nil"/>
            </w:tcBorders>
          </w:tcPr>
          <w:p w14:paraId="22DFEB59" w14:textId="77777777" w:rsidR="009948F1" w:rsidRDefault="00BC0563">
            <w:pPr>
              <w:pStyle w:val="TableParagraph"/>
              <w:spacing w:line="153" w:lineRule="exact"/>
              <w:ind w:left="111"/>
              <w:rPr>
                <w:sz w:val="16"/>
              </w:rPr>
            </w:pPr>
            <w:r>
              <w:rPr>
                <w:color w:val="231F20"/>
                <w:w w:val="115"/>
                <w:sz w:val="16"/>
              </w:rPr>
              <w:t>30% of</w:t>
            </w:r>
          </w:p>
        </w:tc>
      </w:tr>
      <w:tr w:rsidR="009948F1" w14:paraId="75210769" w14:textId="77777777">
        <w:trPr>
          <w:trHeight w:val="400"/>
        </w:trPr>
        <w:tc>
          <w:tcPr>
            <w:tcW w:w="2673" w:type="dxa"/>
            <w:tcBorders>
              <w:top w:val="nil"/>
              <w:left w:val="single" w:sz="8" w:space="0" w:color="231F20"/>
              <w:bottom w:val="nil"/>
              <w:right w:val="single" w:sz="8" w:space="0" w:color="231F20"/>
            </w:tcBorders>
          </w:tcPr>
          <w:p w14:paraId="5A36E87F" w14:textId="77777777" w:rsidR="009948F1" w:rsidRDefault="00BC0563">
            <w:pPr>
              <w:pStyle w:val="TableParagraph"/>
              <w:spacing w:before="4" w:line="190" w:lineRule="atLeast"/>
              <w:ind w:left="107" w:right="20"/>
              <w:rPr>
                <w:sz w:val="16"/>
              </w:rPr>
            </w:pPr>
            <w:proofErr w:type="spellStart"/>
            <w:r>
              <w:rPr>
                <w:color w:val="231F20"/>
                <w:w w:val="115"/>
                <w:sz w:val="16"/>
              </w:rPr>
              <w:t>c.Mean</w:t>
            </w:r>
            <w:proofErr w:type="spellEnd"/>
            <w:r>
              <w:rPr>
                <w:color w:val="231F20"/>
                <w:w w:val="115"/>
                <w:sz w:val="16"/>
              </w:rPr>
              <w:t xml:space="preserve"> adult (aged ≥18) population salt intake, with aim</w:t>
            </w:r>
          </w:p>
        </w:tc>
        <w:tc>
          <w:tcPr>
            <w:tcW w:w="982" w:type="dxa"/>
            <w:tcBorders>
              <w:top w:val="nil"/>
              <w:left w:val="single" w:sz="8" w:space="0" w:color="231F20"/>
              <w:bottom w:val="nil"/>
              <w:right w:val="single" w:sz="8" w:space="0" w:color="231F20"/>
            </w:tcBorders>
          </w:tcPr>
          <w:p w14:paraId="0782397E" w14:textId="77777777" w:rsidR="009948F1" w:rsidRDefault="009948F1">
            <w:pPr>
              <w:pStyle w:val="TableParagraph"/>
              <w:rPr>
                <w:rFonts w:ascii="Times New Roman"/>
                <w:sz w:val="18"/>
              </w:rPr>
            </w:pPr>
          </w:p>
        </w:tc>
        <w:tc>
          <w:tcPr>
            <w:tcW w:w="848" w:type="dxa"/>
            <w:tcBorders>
              <w:top w:val="nil"/>
              <w:left w:val="single" w:sz="8" w:space="0" w:color="231F20"/>
              <w:bottom w:val="nil"/>
            </w:tcBorders>
          </w:tcPr>
          <w:p w14:paraId="29E449BA" w14:textId="77777777" w:rsidR="009948F1" w:rsidRDefault="009948F1">
            <w:pPr>
              <w:pStyle w:val="TableParagraph"/>
              <w:rPr>
                <w:rFonts w:ascii="Times New Roman"/>
                <w:sz w:val="18"/>
              </w:rPr>
            </w:pPr>
          </w:p>
        </w:tc>
        <w:tc>
          <w:tcPr>
            <w:tcW w:w="841" w:type="dxa"/>
            <w:tcBorders>
              <w:top w:val="nil"/>
              <w:bottom w:val="nil"/>
            </w:tcBorders>
          </w:tcPr>
          <w:p w14:paraId="35ED2BD4" w14:textId="77777777" w:rsidR="009948F1" w:rsidRDefault="009948F1">
            <w:pPr>
              <w:pStyle w:val="TableParagraph"/>
              <w:rPr>
                <w:rFonts w:ascii="Times New Roman"/>
                <w:sz w:val="18"/>
              </w:rPr>
            </w:pPr>
          </w:p>
        </w:tc>
        <w:tc>
          <w:tcPr>
            <w:tcW w:w="848" w:type="dxa"/>
            <w:tcBorders>
              <w:top w:val="nil"/>
              <w:bottom w:val="nil"/>
            </w:tcBorders>
          </w:tcPr>
          <w:p w14:paraId="66B733E3" w14:textId="77777777" w:rsidR="009948F1" w:rsidRDefault="009948F1">
            <w:pPr>
              <w:pStyle w:val="TableParagraph"/>
              <w:rPr>
                <w:rFonts w:ascii="Times New Roman"/>
                <w:sz w:val="18"/>
              </w:rPr>
            </w:pPr>
          </w:p>
        </w:tc>
        <w:tc>
          <w:tcPr>
            <w:tcW w:w="841" w:type="dxa"/>
            <w:tcBorders>
              <w:top w:val="nil"/>
              <w:bottom w:val="nil"/>
            </w:tcBorders>
          </w:tcPr>
          <w:p w14:paraId="1D4E7D6F" w14:textId="77777777" w:rsidR="009948F1" w:rsidRDefault="009948F1">
            <w:pPr>
              <w:pStyle w:val="TableParagraph"/>
              <w:rPr>
                <w:rFonts w:ascii="Times New Roman"/>
                <w:sz w:val="18"/>
              </w:rPr>
            </w:pPr>
          </w:p>
        </w:tc>
        <w:tc>
          <w:tcPr>
            <w:tcW w:w="843" w:type="dxa"/>
            <w:tcBorders>
              <w:top w:val="nil"/>
              <w:bottom w:val="nil"/>
            </w:tcBorders>
          </w:tcPr>
          <w:p w14:paraId="672EC95D" w14:textId="77777777" w:rsidR="009948F1" w:rsidRDefault="009948F1">
            <w:pPr>
              <w:pStyle w:val="TableParagraph"/>
              <w:rPr>
                <w:rFonts w:ascii="Times New Roman"/>
                <w:sz w:val="18"/>
              </w:rPr>
            </w:pPr>
          </w:p>
        </w:tc>
        <w:tc>
          <w:tcPr>
            <w:tcW w:w="1374" w:type="dxa"/>
            <w:tcBorders>
              <w:top w:val="nil"/>
              <w:bottom w:val="nil"/>
            </w:tcBorders>
          </w:tcPr>
          <w:p w14:paraId="08EFDDEA" w14:textId="77777777" w:rsidR="009948F1" w:rsidRDefault="00BC0563">
            <w:pPr>
              <w:pStyle w:val="TableParagraph"/>
              <w:spacing w:before="10"/>
              <w:ind w:left="111"/>
              <w:rPr>
                <w:sz w:val="16"/>
              </w:rPr>
            </w:pPr>
            <w:r>
              <w:rPr>
                <w:color w:val="231F20"/>
                <w:w w:val="115"/>
                <w:sz w:val="16"/>
              </w:rPr>
              <w:t>baseline</w:t>
            </w:r>
          </w:p>
        </w:tc>
      </w:tr>
      <w:tr w:rsidR="009948F1" w14:paraId="45B4250B" w14:textId="77777777">
        <w:trPr>
          <w:trHeight w:val="191"/>
        </w:trPr>
        <w:tc>
          <w:tcPr>
            <w:tcW w:w="2673" w:type="dxa"/>
            <w:tcBorders>
              <w:top w:val="nil"/>
              <w:left w:val="single" w:sz="8" w:space="0" w:color="231F20"/>
              <w:bottom w:val="nil"/>
              <w:right w:val="single" w:sz="8" w:space="0" w:color="231F20"/>
            </w:tcBorders>
          </w:tcPr>
          <w:p w14:paraId="0F264A33" w14:textId="77777777" w:rsidR="009948F1" w:rsidRDefault="00BC0563">
            <w:pPr>
              <w:pStyle w:val="TableParagraph"/>
              <w:spacing w:line="172" w:lineRule="exact"/>
              <w:ind w:left="107"/>
              <w:rPr>
                <w:sz w:val="16"/>
              </w:rPr>
            </w:pPr>
            <w:r>
              <w:rPr>
                <w:color w:val="231F20"/>
                <w:w w:val="115"/>
                <w:sz w:val="16"/>
              </w:rPr>
              <w:t>of achieving recommended</w:t>
            </w:r>
          </w:p>
        </w:tc>
        <w:tc>
          <w:tcPr>
            <w:tcW w:w="982" w:type="dxa"/>
            <w:tcBorders>
              <w:top w:val="nil"/>
              <w:left w:val="single" w:sz="8" w:space="0" w:color="231F20"/>
              <w:bottom w:val="nil"/>
              <w:right w:val="single" w:sz="8" w:space="0" w:color="231F20"/>
            </w:tcBorders>
          </w:tcPr>
          <w:p w14:paraId="4AF92E2A" w14:textId="77777777" w:rsidR="009948F1" w:rsidRDefault="00BC0563">
            <w:pPr>
              <w:pStyle w:val="TableParagraph"/>
              <w:spacing w:line="172" w:lineRule="exact"/>
              <w:ind w:left="107"/>
              <w:rPr>
                <w:sz w:val="16"/>
              </w:rPr>
            </w:pPr>
            <w:r>
              <w:rPr>
                <w:color w:val="231F20"/>
                <w:w w:val="115"/>
                <w:sz w:val="16"/>
              </w:rPr>
              <w:t>TBD</w:t>
            </w:r>
          </w:p>
        </w:tc>
        <w:tc>
          <w:tcPr>
            <w:tcW w:w="848" w:type="dxa"/>
            <w:tcBorders>
              <w:top w:val="nil"/>
              <w:left w:val="single" w:sz="8" w:space="0" w:color="231F20"/>
              <w:bottom w:val="nil"/>
            </w:tcBorders>
          </w:tcPr>
          <w:p w14:paraId="546CDE78" w14:textId="77777777" w:rsidR="009948F1" w:rsidRDefault="00BC0563">
            <w:pPr>
              <w:pStyle w:val="TableParagraph"/>
              <w:spacing w:line="172" w:lineRule="exact"/>
              <w:ind w:left="107"/>
              <w:rPr>
                <w:sz w:val="16"/>
              </w:rPr>
            </w:pPr>
            <w:r>
              <w:rPr>
                <w:color w:val="231F20"/>
                <w:w w:val="115"/>
                <w:sz w:val="16"/>
              </w:rPr>
              <w:t>80%</w:t>
            </w:r>
          </w:p>
        </w:tc>
        <w:tc>
          <w:tcPr>
            <w:tcW w:w="841" w:type="dxa"/>
            <w:tcBorders>
              <w:top w:val="nil"/>
              <w:bottom w:val="nil"/>
            </w:tcBorders>
          </w:tcPr>
          <w:p w14:paraId="6F9F79EE" w14:textId="77777777" w:rsidR="009948F1" w:rsidRDefault="00BC0563">
            <w:pPr>
              <w:pStyle w:val="TableParagraph"/>
              <w:spacing w:line="172" w:lineRule="exact"/>
              <w:ind w:left="112"/>
              <w:rPr>
                <w:sz w:val="16"/>
              </w:rPr>
            </w:pPr>
            <w:r>
              <w:rPr>
                <w:color w:val="231F20"/>
                <w:w w:val="115"/>
                <w:sz w:val="16"/>
              </w:rPr>
              <w:t>70%</w:t>
            </w:r>
          </w:p>
        </w:tc>
        <w:tc>
          <w:tcPr>
            <w:tcW w:w="848" w:type="dxa"/>
            <w:tcBorders>
              <w:top w:val="nil"/>
              <w:bottom w:val="nil"/>
            </w:tcBorders>
          </w:tcPr>
          <w:p w14:paraId="5415A595" w14:textId="77777777" w:rsidR="009948F1" w:rsidRDefault="00BC0563">
            <w:pPr>
              <w:pStyle w:val="TableParagraph"/>
              <w:spacing w:line="172" w:lineRule="exact"/>
              <w:ind w:left="112"/>
              <w:rPr>
                <w:sz w:val="16"/>
              </w:rPr>
            </w:pPr>
            <w:r>
              <w:rPr>
                <w:color w:val="231F20"/>
                <w:w w:val="115"/>
                <w:sz w:val="16"/>
              </w:rPr>
              <w:t>60%</w:t>
            </w:r>
          </w:p>
        </w:tc>
        <w:tc>
          <w:tcPr>
            <w:tcW w:w="841" w:type="dxa"/>
            <w:tcBorders>
              <w:top w:val="nil"/>
              <w:bottom w:val="nil"/>
            </w:tcBorders>
          </w:tcPr>
          <w:p w14:paraId="5D7E245C" w14:textId="77777777" w:rsidR="009948F1" w:rsidRDefault="00BC0563">
            <w:pPr>
              <w:pStyle w:val="TableParagraph"/>
              <w:spacing w:line="172" w:lineRule="exact"/>
              <w:ind w:left="111"/>
              <w:rPr>
                <w:sz w:val="16"/>
              </w:rPr>
            </w:pPr>
            <w:r>
              <w:rPr>
                <w:color w:val="231F20"/>
                <w:w w:val="115"/>
                <w:sz w:val="16"/>
              </w:rPr>
              <w:t>50%</w:t>
            </w:r>
          </w:p>
        </w:tc>
        <w:tc>
          <w:tcPr>
            <w:tcW w:w="843" w:type="dxa"/>
            <w:tcBorders>
              <w:top w:val="nil"/>
              <w:bottom w:val="nil"/>
            </w:tcBorders>
          </w:tcPr>
          <w:p w14:paraId="4B45D874" w14:textId="77777777" w:rsidR="009948F1" w:rsidRDefault="00BC0563">
            <w:pPr>
              <w:pStyle w:val="TableParagraph"/>
              <w:spacing w:line="172" w:lineRule="exact"/>
              <w:ind w:left="111"/>
              <w:rPr>
                <w:sz w:val="16"/>
              </w:rPr>
            </w:pPr>
            <w:r>
              <w:rPr>
                <w:color w:val="231F20"/>
                <w:w w:val="115"/>
                <w:sz w:val="16"/>
              </w:rPr>
              <w:t>40%</w:t>
            </w:r>
          </w:p>
        </w:tc>
        <w:tc>
          <w:tcPr>
            <w:tcW w:w="1374" w:type="dxa"/>
            <w:tcBorders>
              <w:top w:val="nil"/>
              <w:bottom w:val="nil"/>
            </w:tcBorders>
          </w:tcPr>
          <w:p w14:paraId="518DBDB8" w14:textId="77777777" w:rsidR="009948F1" w:rsidRDefault="00BC0563">
            <w:pPr>
              <w:pStyle w:val="TableParagraph"/>
              <w:spacing w:line="172" w:lineRule="exact"/>
              <w:ind w:left="111"/>
              <w:rPr>
                <w:sz w:val="16"/>
              </w:rPr>
            </w:pPr>
            <w:r>
              <w:rPr>
                <w:color w:val="231F20"/>
                <w:w w:val="115"/>
                <w:sz w:val="16"/>
              </w:rPr>
              <w:t>Reduced by</w:t>
            </w:r>
          </w:p>
        </w:tc>
      </w:tr>
      <w:tr w:rsidR="009948F1" w14:paraId="4C1AEA7E" w14:textId="77777777">
        <w:trPr>
          <w:trHeight w:val="191"/>
        </w:trPr>
        <w:tc>
          <w:tcPr>
            <w:tcW w:w="2673" w:type="dxa"/>
            <w:tcBorders>
              <w:top w:val="nil"/>
              <w:left w:val="single" w:sz="8" w:space="0" w:color="231F20"/>
              <w:bottom w:val="nil"/>
              <w:right w:val="single" w:sz="8" w:space="0" w:color="231F20"/>
            </w:tcBorders>
          </w:tcPr>
          <w:p w14:paraId="2AFDF1BC" w14:textId="77777777" w:rsidR="009948F1" w:rsidRDefault="00BC0563">
            <w:pPr>
              <w:pStyle w:val="TableParagraph"/>
              <w:spacing w:line="172" w:lineRule="exact"/>
              <w:ind w:left="107"/>
              <w:rPr>
                <w:sz w:val="16"/>
              </w:rPr>
            </w:pPr>
            <w:r>
              <w:rPr>
                <w:color w:val="231F20"/>
                <w:w w:val="115"/>
                <w:sz w:val="16"/>
              </w:rPr>
              <w:t>level of &lt;5g per day.</w:t>
            </w:r>
          </w:p>
        </w:tc>
        <w:tc>
          <w:tcPr>
            <w:tcW w:w="982" w:type="dxa"/>
            <w:tcBorders>
              <w:top w:val="nil"/>
              <w:left w:val="single" w:sz="8" w:space="0" w:color="231F20"/>
              <w:bottom w:val="nil"/>
              <w:right w:val="single" w:sz="8" w:space="0" w:color="231F20"/>
            </w:tcBorders>
          </w:tcPr>
          <w:p w14:paraId="6B2F91DC" w14:textId="77777777" w:rsidR="009948F1" w:rsidRDefault="009948F1">
            <w:pPr>
              <w:pStyle w:val="TableParagraph"/>
              <w:rPr>
                <w:rFonts w:ascii="Times New Roman"/>
                <w:sz w:val="12"/>
              </w:rPr>
            </w:pPr>
          </w:p>
        </w:tc>
        <w:tc>
          <w:tcPr>
            <w:tcW w:w="848" w:type="dxa"/>
            <w:tcBorders>
              <w:top w:val="nil"/>
              <w:left w:val="single" w:sz="8" w:space="0" w:color="231F20"/>
              <w:bottom w:val="nil"/>
            </w:tcBorders>
          </w:tcPr>
          <w:p w14:paraId="1AFB9996" w14:textId="77777777" w:rsidR="009948F1" w:rsidRDefault="009948F1">
            <w:pPr>
              <w:pStyle w:val="TableParagraph"/>
              <w:rPr>
                <w:rFonts w:ascii="Times New Roman"/>
                <w:sz w:val="12"/>
              </w:rPr>
            </w:pPr>
          </w:p>
        </w:tc>
        <w:tc>
          <w:tcPr>
            <w:tcW w:w="841" w:type="dxa"/>
            <w:tcBorders>
              <w:top w:val="nil"/>
              <w:bottom w:val="nil"/>
            </w:tcBorders>
          </w:tcPr>
          <w:p w14:paraId="413FE24A" w14:textId="77777777" w:rsidR="009948F1" w:rsidRDefault="009948F1">
            <w:pPr>
              <w:pStyle w:val="TableParagraph"/>
              <w:rPr>
                <w:rFonts w:ascii="Times New Roman"/>
                <w:sz w:val="12"/>
              </w:rPr>
            </w:pPr>
          </w:p>
        </w:tc>
        <w:tc>
          <w:tcPr>
            <w:tcW w:w="848" w:type="dxa"/>
            <w:tcBorders>
              <w:top w:val="nil"/>
              <w:bottom w:val="nil"/>
            </w:tcBorders>
          </w:tcPr>
          <w:p w14:paraId="4AD8FFB5" w14:textId="77777777" w:rsidR="009948F1" w:rsidRDefault="009948F1">
            <w:pPr>
              <w:pStyle w:val="TableParagraph"/>
              <w:rPr>
                <w:rFonts w:ascii="Times New Roman"/>
                <w:sz w:val="12"/>
              </w:rPr>
            </w:pPr>
          </w:p>
        </w:tc>
        <w:tc>
          <w:tcPr>
            <w:tcW w:w="841" w:type="dxa"/>
            <w:tcBorders>
              <w:top w:val="nil"/>
              <w:bottom w:val="nil"/>
            </w:tcBorders>
          </w:tcPr>
          <w:p w14:paraId="01D69FE5" w14:textId="77777777" w:rsidR="009948F1" w:rsidRDefault="009948F1">
            <w:pPr>
              <w:pStyle w:val="TableParagraph"/>
              <w:rPr>
                <w:rFonts w:ascii="Times New Roman"/>
                <w:sz w:val="12"/>
              </w:rPr>
            </w:pPr>
          </w:p>
        </w:tc>
        <w:tc>
          <w:tcPr>
            <w:tcW w:w="843" w:type="dxa"/>
            <w:tcBorders>
              <w:top w:val="nil"/>
              <w:bottom w:val="nil"/>
            </w:tcBorders>
          </w:tcPr>
          <w:p w14:paraId="21C0BF34" w14:textId="77777777" w:rsidR="009948F1" w:rsidRDefault="009948F1">
            <w:pPr>
              <w:pStyle w:val="TableParagraph"/>
              <w:rPr>
                <w:rFonts w:ascii="Times New Roman"/>
                <w:sz w:val="12"/>
              </w:rPr>
            </w:pPr>
          </w:p>
        </w:tc>
        <w:tc>
          <w:tcPr>
            <w:tcW w:w="1374" w:type="dxa"/>
            <w:tcBorders>
              <w:top w:val="nil"/>
              <w:bottom w:val="nil"/>
            </w:tcBorders>
          </w:tcPr>
          <w:p w14:paraId="7A73EB68" w14:textId="77777777" w:rsidR="009948F1" w:rsidRDefault="00BC0563">
            <w:pPr>
              <w:pStyle w:val="TableParagraph"/>
              <w:spacing w:line="172" w:lineRule="exact"/>
              <w:ind w:left="111"/>
              <w:rPr>
                <w:sz w:val="16"/>
              </w:rPr>
            </w:pPr>
            <w:r>
              <w:rPr>
                <w:color w:val="231F20"/>
                <w:w w:val="115"/>
                <w:sz w:val="16"/>
              </w:rPr>
              <w:t>30% of</w:t>
            </w:r>
          </w:p>
        </w:tc>
      </w:tr>
      <w:tr w:rsidR="009948F1" w14:paraId="34BAA6F7" w14:textId="77777777">
        <w:trPr>
          <w:trHeight w:val="175"/>
        </w:trPr>
        <w:tc>
          <w:tcPr>
            <w:tcW w:w="2673" w:type="dxa"/>
            <w:tcBorders>
              <w:top w:val="nil"/>
              <w:left w:val="single" w:sz="8" w:space="0" w:color="231F20"/>
              <w:bottom w:val="single" w:sz="8" w:space="0" w:color="231F20"/>
              <w:right w:val="single" w:sz="8" w:space="0" w:color="231F20"/>
            </w:tcBorders>
          </w:tcPr>
          <w:p w14:paraId="3FA2CB66" w14:textId="77777777" w:rsidR="009948F1" w:rsidRDefault="009948F1">
            <w:pPr>
              <w:pStyle w:val="TableParagraph"/>
              <w:rPr>
                <w:rFonts w:ascii="Times New Roman"/>
                <w:sz w:val="10"/>
              </w:rPr>
            </w:pPr>
          </w:p>
        </w:tc>
        <w:tc>
          <w:tcPr>
            <w:tcW w:w="982" w:type="dxa"/>
            <w:tcBorders>
              <w:top w:val="nil"/>
              <w:left w:val="single" w:sz="8" w:space="0" w:color="231F20"/>
              <w:bottom w:val="single" w:sz="8" w:space="0" w:color="231F20"/>
              <w:right w:val="single" w:sz="8" w:space="0" w:color="231F20"/>
            </w:tcBorders>
          </w:tcPr>
          <w:p w14:paraId="6361E9E9" w14:textId="77777777" w:rsidR="009948F1" w:rsidRDefault="009948F1">
            <w:pPr>
              <w:pStyle w:val="TableParagraph"/>
              <w:rPr>
                <w:rFonts w:ascii="Times New Roman"/>
                <w:sz w:val="10"/>
              </w:rPr>
            </w:pPr>
          </w:p>
        </w:tc>
        <w:tc>
          <w:tcPr>
            <w:tcW w:w="848" w:type="dxa"/>
            <w:tcBorders>
              <w:top w:val="nil"/>
              <w:left w:val="single" w:sz="8" w:space="0" w:color="231F20"/>
            </w:tcBorders>
          </w:tcPr>
          <w:p w14:paraId="3E577207" w14:textId="77777777" w:rsidR="009948F1" w:rsidRDefault="009948F1">
            <w:pPr>
              <w:pStyle w:val="TableParagraph"/>
              <w:rPr>
                <w:rFonts w:ascii="Times New Roman"/>
                <w:sz w:val="10"/>
              </w:rPr>
            </w:pPr>
          </w:p>
        </w:tc>
        <w:tc>
          <w:tcPr>
            <w:tcW w:w="841" w:type="dxa"/>
            <w:tcBorders>
              <w:top w:val="nil"/>
            </w:tcBorders>
          </w:tcPr>
          <w:p w14:paraId="3BBE3CFA" w14:textId="77777777" w:rsidR="009948F1" w:rsidRDefault="009948F1">
            <w:pPr>
              <w:pStyle w:val="TableParagraph"/>
              <w:rPr>
                <w:rFonts w:ascii="Times New Roman"/>
                <w:sz w:val="10"/>
              </w:rPr>
            </w:pPr>
          </w:p>
        </w:tc>
        <w:tc>
          <w:tcPr>
            <w:tcW w:w="848" w:type="dxa"/>
            <w:tcBorders>
              <w:top w:val="nil"/>
            </w:tcBorders>
          </w:tcPr>
          <w:p w14:paraId="0C3612C6" w14:textId="77777777" w:rsidR="009948F1" w:rsidRDefault="009948F1">
            <w:pPr>
              <w:pStyle w:val="TableParagraph"/>
              <w:rPr>
                <w:rFonts w:ascii="Times New Roman"/>
                <w:sz w:val="10"/>
              </w:rPr>
            </w:pPr>
          </w:p>
        </w:tc>
        <w:tc>
          <w:tcPr>
            <w:tcW w:w="841" w:type="dxa"/>
            <w:tcBorders>
              <w:top w:val="nil"/>
            </w:tcBorders>
          </w:tcPr>
          <w:p w14:paraId="117AE224" w14:textId="77777777" w:rsidR="009948F1" w:rsidRDefault="009948F1">
            <w:pPr>
              <w:pStyle w:val="TableParagraph"/>
              <w:rPr>
                <w:rFonts w:ascii="Times New Roman"/>
                <w:sz w:val="10"/>
              </w:rPr>
            </w:pPr>
          </w:p>
        </w:tc>
        <w:tc>
          <w:tcPr>
            <w:tcW w:w="843" w:type="dxa"/>
            <w:tcBorders>
              <w:top w:val="nil"/>
            </w:tcBorders>
          </w:tcPr>
          <w:p w14:paraId="32423900" w14:textId="77777777" w:rsidR="009948F1" w:rsidRDefault="009948F1">
            <w:pPr>
              <w:pStyle w:val="TableParagraph"/>
              <w:rPr>
                <w:rFonts w:ascii="Times New Roman"/>
                <w:sz w:val="10"/>
              </w:rPr>
            </w:pPr>
          </w:p>
        </w:tc>
        <w:tc>
          <w:tcPr>
            <w:tcW w:w="1374" w:type="dxa"/>
            <w:tcBorders>
              <w:top w:val="nil"/>
            </w:tcBorders>
          </w:tcPr>
          <w:p w14:paraId="31917823" w14:textId="77777777" w:rsidR="009948F1" w:rsidRDefault="00BC0563">
            <w:pPr>
              <w:pStyle w:val="TableParagraph"/>
              <w:spacing w:line="156" w:lineRule="exact"/>
              <w:ind w:left="111"/>
              <w:rPr>
                <w:sz w:val="16"/>
              </w:rPr>
            </w:pPr>
            <w:r>
              <w:rPr>
                <w:color w:val="231F20"/>
                <w:w w:val="115"/>
                <w:sz w:val="16"/>
              </w:rPr>
              <w:t>baseline</w:t>
            </w:r>
          </w:p>
        </w:tc>
      </w:tr>
      <w:tr w:rsidR="009948F1" w14:paraId="35946B5F" w14:textId="77777777">
        <w:trPr>
          <w:trHeight w:val="956"/>
        </w:trPr>
        <w:tc>
          <w:tcPr>
            <w:tcW w:w="2673" w:type="dxa"/>
            <w:tcBorders>
              <w:top w:val="single" w:sz="8" w:space="0" w:color="231F20"/>
              <w:left w:val="single" w:sz="8" w:space="0" w:color="231F20"/>
              <w:bottom w:val="single" w:sz="8" w:space="0" w:color="231F20"/>
              <w:right w:val="single" w:sz="8" w:space="0" w:color="231F20"/>
            </w:tcBorders>
          </w:tcPr>
          <w:p w14:paraId="77A419CF" w14:textId="77777777" w:rsidR="009948F1" w:rsidRDefault="00BC0563">
            <w:pPr>
              <w:pStyle w:val="TableParagraph"/>
              <w:spacing w:before="4" w:line="249" w:lineRule="auto"/>
              <w:ind w:left="107" w:right="50"/>
              <w:rPr>
                <w:sz w:val="16"/>
              </w:rPr>
            </w:pPr>
            <w:r>
              <w:rPr>
                <w:color w:val="231F20"/>
                <w:w w:val="115"/>
                <w:sz w:val="16"/>
              </w:rPr>
              <w:t>Increase in uptake of vaccines for carcinogenic viruses (HBV, high risk HPV serotypes and pneumococcal vaccination</w:t>
            </w:r>
          </w:p>
          <w:p w14:paraId="6D7F105C" w14:textId="77777777" w:rsidR="009948F1" w:rsidRDefault="00BC0563">
            <w:pPr>
              <w:pStyle w:val="TableParagraph"/>
              <w:spacing w:line="167" w:lineRule="exact"/>
              <w:ind w:left="107"/>
              <w:rPr>
                <w:sz w:val="16"/>
              </w:rPr>
            </w:pPr>
            <w:r>
              <w:rPr>
                <w:color w:val="231F20"/>
                <w:w w:val="115"/>
                <w:sz w:val="16"/>
              </w:rPr>
              <w:t>among children)</w:t>
            </w:r>
          </w:p>
        </w:tc>
        <w:tc>
          <w:tcPr>
            <w:tcW w:w="982" w:type="dxa"/>
            <w:tcBorders>
              <w:top w:val="single" w:sz="8" w:space="0" w:color="231F20"/>
              <w:left w:val="single" w:sz="8" w:space="0" w:color="231F20"/>
              <w:bottom w:val="single" w:sz="8" w:space="0" w:color="231F20"/>
              <w:right w:val="single" w:sz="8" w:space="0" w:color="231F20"/>
            </w:tcBorders>
          </w:tcPr>
          <w:p w14:paraId="3EA3847F" w14:textId="77777777" w:rsidR="009948F1" w:rsidRDefault="00BC0563">
            <w:pPr>
              <w:pStyle w:val="TableParagraph"/>
              <w:spacing w:before="4"/>
              <w:ind w:left="107"/>
              <w:rPr>
                <w:sz w:val="16"/>
              </w:rPr>
            </w:pPr>
            <w:r>
              <w:rPr>
                <w:color w:val="231F20"/>
                <w:w w:val="115"/>
                <w:sz w:val="16"/>
              </w:rPr>
              <w:t>TBD</w:t>
            </w:r>
          </w:p>
        </w:tc>
        <w:tc>
          <w:tcPr>
            <w:tcW w:w="848" w:type="dxa"/>
            <w:tcBorders>
              <w:left w:val="single" w:sz="8" w:space="0" w:color="231F20"/>
            </w:tcBorders>
          </w:tcPr>
          <w:p w14:paraId="221EC558" w14:textId="77777777" w:rsidR="009948F1" w:rsidRDefault="00BC0563">
            <w:pPr>
              <w:pStyle w:val="TableParagraph"/>
              <w:spacing w:before="4"/>
              <w:ind w:left="107"/>
              <w:rPr>
                <w:sz w:val="16"/>
              </w:rPr>
            </w:pPr>
            <w:r>
              <w:rPr>
                <w:color w:val="231F20"/>
                <w:w w:val="115"/>
                <w:sz w:val="16"/>
              </w:rPr>
              <w:t>10%</w:t>
            </w:r>
          </w:p>
        </w:tc>
        <w:tc>
          <w:tcPr>
            <w:tcW w:w="841" w:type="dxa"/>
          </w:tcPr>
          <w:p w14:paraId="11858635" w14:textId="77777777" w:rsidR="009948F1" w:rsidRDefault="00BC0563">
            <w:pPr>
              <w:pStyle w:val="TableParagraph"/>
              <w:spacing w:before="4"/>
              <w:ind w:left="112"/>
              <w:rPr>
                <w:sz w:val="16"/>
              </w:rPr>
            </w:pPr>
            <w:r>
              <w:rPr>
                <w:color w:val="231F20"/>
                <w:w w:val="115"/>
                <w:sz w:val="16"/>
              </w:rPr>
              <w:t>20%</w:t>
            </w:r>
          </w:p>
        </w:tc>
        <w:tc>
          <w:tcPr>
            <w:tcW w:w="848" w:type="dxa"/>
          </w:tcPr>
          <w:p w14:paraId="4A7A4C6F" w14:textId="77777777" w:rsidR="009948F1" w:rsidRDefault="00BC0563">
            <w:pPr>
              <w:pStyle w:val="TableParagraph"/>
              <w:spacing w:before="4"/>
              <w:ind w:left="112"/>
              <w:rPr>
                <w:sz w:val="16"/>
              </w:rPr>
            </w:pPr>
            <w:r>
              <w:rPr>
                <w:color w:val="231F20"/>
                <w:w w:val="115"/>
                <w:sz w:val="16"/>
              </w:rPr>
              <w:t>30%</w:t>
            </w:r>
          </w:p>
        </w:tc>
        <w:tc>
          <w:tcPr>
            <w:tcW w:w="841" w:type="dxa"/>
          </w:tcPr>
          <w:p w14:paraId="50D32C78" w14:textId="77777777" w:rsidR="009948F1" w:rsidRDefault="00BC0563">
            <w:pPr>
              <w:pStyle w:val="TableParagraph"/>
              <w:spacing w:before="4"/>
              <w:ind w:left="111"/>
              <w:rPr>
                <w:sz w:val="16"/>
              </w:rPr>
            </w:pPr>
            <w:r>
              <w:rPr>
                <w:color w:val="231F20"/>
                <w:w w:val="115"/>
                <w:sz w:val="16"/>
              </w:rPr>
              <w:t>40%</w:t>
            </w:r>
          </w:p>
        </w:tc>
        <w:tc>
          <w:tcPr>
            <w:tcW w:w="843" w:type="dxa"/>
          </w:tcPr>
          <w:p w14:paraId="505DD1E2" w14:textId="77777777" w:rsidR="009948F1" w:rsidRDefault="00BC0563">
            <w:pPr>
              <w:pStyle w:val="TableParagraph"/>
              <w:spacing w:before="4"/>
              <w:ind w:left="111"/>
              <w:rPr>
                <w:sz w:val="16"/>
              </w:rPr>
            </w:pPr>
            <w:r>
              <w:rPr>
                <w:color w:val="231F20"/>
                <w:w w:val="115"/>
                <w:sz w:val="16"/>
              </w:rPr>
              <w:t>50%</w:t>
            </w:r>
          </w:p>
        </w:tc>
        <w:tc>
          <w:tcPr>
            <w:tcW w:w="1374" w:type="dxa"/>
          </w:tcPr>
          <w:p w14:paraId="3A49A039" w14:textId="77777777" w:rsidR="009948F1" w:rsidRDefault="00BC0563">
            <w:pPr>
              <w:pStyle w:val="TableParagraph"/>
              <w:spacing w:before="4" w:line="252" w:lineRule="auto"/>
              <w:ind w:left="111" w:right="557"/>
              <w:rPr>
                <w:sz w:val="16"/>
              </w:rPr>
            </w:pPr>
            <w:r>
              <w:rPr>
                <w:color w:val="231F20"/>
                <w:w w:val="110"/>
                <w:sz w:val="16"/>
              </w:rPr>
              <w:t xml:space="preserve">Increase </w:t>
            </w:r>
            <w:r>
              <w:rPr>
                <w:color w:val="231F20"/>
                <w:w w:val="115"/>
                <w:sz w:val="16"/>
              </w:rPr>
              <w:t>to50%</w:t>
            </w:r>
          </w:p>
        </w:tc>
      </w:tr>
    </w:tbl>
    <w:p w14:paraId="19E7EBFD" w14:textId="77777777" w:rsidR="009948F1" w:rsidRDefault="009948F1">
      <w:pPr>
        <w:pStyle w:val="BodyText"/>
        <w:rPr>
          <w:i/>
          <w:sz w:val="20"/>
        </w:rPr>
      </w:pPr>
    </w:p>
    <w:p w14:paraId="7154FF88" w14:textId="77777777" w:rsidR="009948F1" w:rsidRDefault="009948F1">
      <w:pPr>
        <w:pStyle w:val="BodyText"/>
        <w:rPr>
          <w:i/>
          <w:sz w:val="20"/>
        </w:rPr>
      </w:pPr>
    </w:p>
    <w:p w14:paraId="64DBEE34" w14:textId="77777777" w:rsidR="009948F1" w:rsidRDefault="009948F1">
      <w:pPr>
        <w:pStyle w:val="BodyText"/>
        <w:spacing w:before="5"/>
        <w:rPr>
          <w:i/>
          <w:sz w:val="17"/>
        </w:rPr>
      </w:pPr>
    </w:p>
    <w:tbl>
      <w:tblPr>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700"/>
        <w:gridCol w:w="992"/>
        <w:gridCol w:w="855"/>
        <w:gridCol w:w="848"/>
        <w:gridCol w:w="855"/>
        <w:gridCol w:w="848"/>
        <w:gridCol w:w="850"/>
        <w:gridCol w:w="1386"/>
      </w:tblGrid>
      <w:tr w:rsidR="009948F1" w14:paraId="6ED2367B" w14:textId="77777777">
        <w:trPr>
          <w:trHeight w:val="211"/>
        </w:trPr>
        <w:tc>
          <w:tcPr>
            <w:tcW w:w="2700" w:type="dxa"/>
            <w:tcBorders>
              <w:left w:val="single" w:sz="8" w:space="0" w:color="231F20"/>
              <w:right w:val="single" w:sz="4" w:space="0" w:color="231F20"/>
            </w:tcBorders>
            <w:shd w:val="clear" w:color="auto" w:fill="F4CEB2"/>
          </w:tcPr>
          <w:p w14:paraId="644E2D03" w14:textId="77777777" w:rsidR="009948F1" w:rsidRDefault="00BC0563">
            <w:pPr>
              <w:pStyle w:val="TableParagraph"/>
              <w:spacing w:line="192" w:lineRule="exact"/>
              <w:ind w:left="108"/>
              <w:rPr>
                <w:sz w:val="19"/>
              </w:rPr>
            </w:pPr>
            <w:r>
              <w:rPr>
                <w:color w:val="231F20"/>
                <w:sz w:val="19"/>
              </w:rPr>
              <w:t>Targets</w:t>
            </w:r>
          </w:p>
        </w:tc>
        <w:tc>
          <w:tcPr>
            <w:tcW w:w="992" w:type="dxa"/>
            <w:tcBorders>
              <w:left w:val="single" w:sz="4" w:space="0" w:color="231F20"/>
              <w:right w:val="single" w:sz="4" w:space="0" w:color="231F20"/>
            </w:tcBorders>
            <w:shd w:val="clear" w:color="auto" w:fill="F4CEB2"/>
          </w:tcPr>
          <w:p w14:paraId="2621AA0D" w14:textId="77777777" w:rsidR="009948F1" w:rsidRDefault="00BC0563">
            <w:pPr>
              <w:pStyle w:val="TableParagraph"/>
              <w:spacing w:line="192" w:lineRule="exact"/>
              <w:ind w:left="112"/>
              <w:rPr>
                <w:sz w:val="19"/>
              </w:rPr>
            </w:pPr>
            <w:r>
              <w:rPr>
                <w:color w:val="231F20"/>
                <w:sz w:val="19"/>
              </w:rPr>
              <w:t>Baseline</w:t>
            </w:r>
          </w:p>
        </w:tc>
        <w:tc>
          <w:tcPr>
            <w:tcW w:w="855" w:type="dxa"/>
            <w:tcBorders>
              <w:left w:val="single" w:sz="4" w:space="0" w:color="231F20"/>
              <w:bottom w:val="single" w:sz="8" w:space="0" w:color="231F20"/>
            </w:tcBorders>
            <w:shd w:val="clear" w:color="auto" w:fill="F4CEB2"/>
          </w:tcPr>
          <w:p w14:paraId="74858604" w14:textId="77777777" w:rsidR="009948F1" w:rsidRDefault="00BC0563">
            <w:pPr>
              <w:pStyle w:val="TableParagraph"/>
              <w:spacing w:line="192" w:lineRule="exact"/>
              <w:ind w:left="112"/>
              <w:rPr>
                <w:b/>
                <w:sz w:val="19"/>
              </w:rPr>
            </w:pPr>
            <w:r>
              <w:rPr>
                <w:b/>
                <w:color w:val="231F20"/>
                <w:sz w:val="19"/>
              </w:rPr>
              <w:t>2018</w:t>
            </w:r>
          </w:p>
        </w:tc>
        <w:tc>
          <w:tcPr>
            <w:tcW w:w="848" w:type="dxa"/>
            <w:tcBorders>
              <w:bottom w:val="single" w:sz="8" w:space="0" w:color="231F20"/>
            </w:tcBorders>
            <w:shd w:val="clear" w:color="auto" w:fill="F4CEB2"/>
          </w:tcPr>
          <w:p w14:paraId="41734ABA" w14:textId="77777777" w:rsidR="009948F1" w:rsidRDefault="00BC0563">
            <w:pPr>
              <w:pStyle w:val="TableParagraph"/>
              <w:spacing w:line="192" w:lineRule="exact"/>
              <w:ind w:left="110"/>
              <w:rPr>
                <w:b/>
                <w:sz w:val="19"/>
              </w:rPr>
            </w:pPr>
            <w:r>
              <w:rPr>
                <w:b/>
                <w:color w:val="231F20"/>
                <w:sz w:val="19"/>
              </w:rPr>
              <w:t>2019</w:t>
            </w:r>
          </w:p>
        </w:tc>
        <w:tc>
          <w:tcPr>
            <w:tcW w:w="855" w:type="dxa"/>
            <w:tcBorders>
              <w:bottom w:val="single" w:sz="8" w:space="0" w:color="231F20"/>
            </w:tcBorders>
            <w:shd w:val="clear" w:color="auto" w:fill="F4CEB2"/>
          </w:tcPr>
          <w:p w14:paraId="7F06A466" w14:textId="77777777" w:rsidR="009948F1" w:rsidRDefault="00BC0563">
            <w:pPr>
              <w:pStyle w:val="TableParagraph"/>
              <w:spacing w:line="192" w:lineRule="exact"/>
              <w:ind w:left="111"/>
              <w:rPr>
                <w:b/>
                <w:sz w:val="19"/>
              </w:rPr>
            </w:pPr>
            <w:r>
              <w:rPr>
                <w:b/>
                <w:color w:val="231F20"/>
                <w:sz w:val="19"/>
              </w:rPr>
              <w:t>2020</w:t>
            </w:r>
          </w:p>
        </w:tc>
        <w:tc>
          <w:tcPr>
            <w:tcW w:w="848" w:type="dxa"/>
            <w:tcBorders>
              <w:bottom w:val="single" w:sz="8" w:space="0" w:color="231F20"/>
            </w:tcBorders>
            <w:shd w:val="clear" w:color="auto" w:fill="F4CEB2"/>
          </w:tcPr>
          <w:p w14:paraId="3CDDCD4C" w14:textId="77777777" w:rsidR="009948F1" w:rsidRDefault="00BC0563">
            <w:pPr>
              <w:pStyle w:val="TableParagraph"/>
              <w:spacing w:line="192" w:lineRule="exact"/>
              <w:ind w:left="111"/>
              <w:rPr>
                <w:b/>
                <w:sz w:val="19"/>
              </w:rPr>
            </w:pPr>
            <w:r>
              <w:rPr>
                <w:b/>
                <w:color w:val="231F20"/>
                <w:sz w:val="19"/>
              </w:rPr>
              <w:t>2021</w:t>
            </w:r>
          </w:p>
        </w:tc>
        <w:tc>
          <w:tcPr>
            <w:tcW w:w="850" w:type="dxa"/>
            <w:tcBorders>
              <w:bottom w:val="single" w:sz="8" w:space="0" w:color="231F20"/>
            </w:tcBorders>
            <w:shd w:val="clear" w:color="auto" w:fill="F4CEB2"/>
          </w:tcPr>
          <w:p w14:paraId="2419BA59" w14:textId="77777777" w:rsidR="009948F1" w:rsidRDefault="00BC0563">
            <w:pPr>
              <w:pStyle w:val="TableParagraph"/>
              <w:spacing w:line="192" w:lineRule="exact"/>
              <w:ind w:left="112"/>
              <w:rPr>
                <w:b/>
                <w:sz w:val="19"/>
              </w:rPr>
            </w:pPr>
            <w:r>
              <w:rPr>
                <w:b/>
                <w:color w:val="231F20"/>
                <w:sz w:val="19"/>
              </w:rPr>
              <w:t>2022</w:t>
            </w:r>
          </w:p>
        </w:tc>
        <w:tc>
          <w:tcPr>
            <w:tcW w:w="1386" w:type="dxa"/>
            <w:tcBorders>
              <w:bottom w:val="single" w:sz="8" w:space="0" w:color="231F20"/>
            </w:tcBorders>
            <w:shd w:val="clear" w:color="auto" w:fill="F4CEB2"/>
          </w:tcPr>
          <w:p w14:paraId="0A0EA4BA" w14:textId="77777777" w:rsidR="009948F1" w:rsidRDefault="00BC0563">
            <w:pPr>
              <w:pStyle w:val="TableParagraph"/>
              <w:spacing w:line="192" w:lineRule="exact"/>
              <w:ind w:left="113"/>
              <w:rPr>
                <w:b/>
                <w:sz w:val="19"/>
              </w:rPr>
            </w:pPr>
            <w:r>
              <w:rPr>
                <w:b/>
                <w:color w:val="231F20"/>
                <w:sz w:val="19"/>
              </w:rPr>
              <w:t>National</w:t>
            </w:r>
          </w:p>
        </w:tc>
      </w:tr>
      <w:tr w:rsidR="009948F1" w14:paraId="1A575207" w14:textId="77777777">
        <w:trPr>
          <w:trHeight w:val="821"/>
        </w:trPr>
        <w:tc>
          <w:tcPr>
            <w:tcW w:w="2700" w:type="dxa"/>
            <w:tcBorders>
              <w:left w:val="single" w:sz="8" w:space="0" w:color="231F20"/>
              <w:bottom w:val="single" w:sz="12" w:space="0" w:color="231F20"/>
              <w:right w:val="single" w:sz="8" w:space="0" w:color="231F20"/>
            </w:tcBorders>
          </w:tcPr>
          <w:p w14:paraId="1180EE65" w14:textId="77777777" w:rsidR="009948F1" w:rsidRDefault="00BC0563">
            <w:pPr>
              <w:pStyle w:val="TableParagraph"/>
              <w:spacing w:before="9"/>
              <w:ind w:left="108"/>
              <w:rPr>
                <w:sz w:val="20"/>
              </w:rPr>
            </w:pPr>
            <w:r>
              <w:rPr>
                <w:color w:val="231F20"/>
                <w:sz w:val="20"/>
              </w:rPr>
              <w:t>Increase proportion of adults</w:t>
            </w:r>
          </w:p>
          <w:p w14:paraId="1A4646C6" w14:textId="77777777" w:rsidR="009948F1" w:rsidRDefault="00BC0563">
            <w:pPr>
              <w:pStyle w:val="TableParagraph"/>
              <w:spacing w:before="5" w:line="270" w:lineRule="atLeast"/>
              <w:ind w:left="108" w:right="672"/>
              <w:rPr>
                <w:sz w:val="20"/>
              </w:rPr>
            </w:pPr>
            <w:r>
              <w:rPr>
                <w:color w:val="231F20"/>
                <w:w w:val="95"/>
                <w:sz w:val="20"/>
              </w:rPr>
              <w:t xml:space="preserve">who are aware of their </w:t>
            </w:r>
            <w:r>
              <w:rPr>
                <w:color w:val="231F20"/>
                <w:sz w:val="20"/>
              </w:rPr>
              <w:t>genotype to 30%</w:t>
            </w:r>
          </w:p>
        </w:tc>
        <w:tc>
          <w:tcPr>
            <w:tcW w:w="992" w:type="dxa"/>
            <w:tcBorders>
              <w:left w:val="single" w:sz="8" w:space="0" w:color="231F20"/>
              <w:bottom w:val="single" w:sz="12" w:space="0" w:color="231F20"/>
              <w:right w:val="single" w:sz="8" w:space="0" w:color="231F20"/>
            </w:tcBorders>
          </w:tcPr>
          <w:p w14:paraId="1515E89B" w14:textId="77777777" w:rsidR="009948F1" w:rsidRDefault="00BC0563">
            <w:pPr>
              <w:pStyle w:val="TableParagraph"/>
              <w:spacing w:before="9"/>
              <w:ind w:left="108"/>
              <w:rPr>
                <w:sz w:val="20"/>
              </w:rPr>
            </w:pPr>
            <w:r>
              <w:rPr>
                <w:color w:val="231F20"/>
                <w:sz w:val="20"/>
              </w:rPr>
              <w:t>TBD</w:t>
            </w:r>
          </w:p>
        </w:tc>
        <w:tc>
          <w:tcPr>
            <w:tcW w:w="855" w:type="dxa"/>
            <w:tcBorders>
              <w:top w:val="single" w:sz="8" w:space="0" w:color="231F20"/>
              <w:left w:val="single" w:sz="8" w:space="0" w:color="231F20"/>
            </w:tcBorders>
          </w:tcPr>
          <w:p w14:paraId="04895183" w14:textId="77777777" w:rsidR="009948F1" w:rsidRDefault="00BC0563">
            <w:pPr>
              <w:pStyle w:val="TableParagraph"/>
              <w:spacing w:before="9"/>
              <w:ind w:left="108"/>
              <w:rPr>
                <w:sz w:val="20"/>
              </w:rPr>
            </w:pPr>
            <w:r>
              <w:rPr>
                <w:color w:val="231F20"/>
                <w:sz w:val="20"/>
              </w:rPr>
              <w:t>5%</w:t>
            </w:r>
          </w:p>
        </w:tc>
        <w:tc>
          <w:tcPr>
            <w:tcW w:w="848" w:type="dxa"/>
            <w:tcBorders>
              <w:top w:val="single" w:sz="8" w:space="0" w:color="231F20"/>
            </w:tcBorders>
          </w:tcPr>
          <w:p w14:paraId="2308C1D8" w14:textId="77777777" w:rsidR="009948F1" w:rsidRDefault="00BC0563">
            <w:pPr>
              <w:pStyle w:val="TableParagraph"/>
              <w:spacing w:before="9"/>
              <w:ind w:left="112"/>
              <w:rPr>
                <w:sz w:val="20"/>
              </w:rPr>
            </w:pPr>
            <w:r>
              <w:rPr>
                <w:color w:val="231F20"/>
                <w:sz w:val="20"/>
              </w:rPr>
              <w:t>10%</w:t>
            </w:r>
          </w:p>
        </w:tc>
        <w:tc>
          <w:tcPr>
            <w:tcW w:w="855" w:type="dxa"/>
            <w:tcBorders>
              <w:top w:val="single" w:sz="8" w:space="0" w:color="231F20"/>
            </w:tcBorders>
          </w:tcPr>
          <w:p w14:paraId="2201383D" w14:textId="77777777" w:rsidR="009948F1" w:rsidRDefault="00BC0563">
            <w:pPr>
              <w:pStyle w:val="TableParagraph"/>
              <w:spacing w:before="9"/>
              <w:ind w:left="113"/>
              <w:rPr>
                <w:sz w:val="20"/>
              </w:rPr>
            </w:pPr>
            <w:r>
              <w:rPr>
                <w:color w:val="231F20"/>
                <w:sz w:val="20"/>
              </w:rPr>
              <w:t>20%</w:t>
            </w:r>
          </w:p>
        </w:tc>
        <w:tc>
          <w:tcPr>
            <w:tcW w:w="848" w:type="dxa"/>
            <w:tcBorders>
              <w:top w:val="single" w:sz="8" w:space="0" w:color="231F20"/>
            </w:tcBorders>
          </w:tcPr>
          <w:p w14:paraId="23D73B8D" w14:textId="77777777" w:rsidR="009948F1" w:rsidRDefault="00BC0563">
            <w:pPr>
              <w:pStyle w:val="TableParagraph"/>
              <w:spacing w:before="9"/>
              <w:ind w:left="114"/>
              <w:rPr>
                <w:sz w:val="20"/>
              </w:rPr>
            </w:pPr>
            <w:r>
              <w:rPr>
                <w:color w:val="231F20"/>
                <w:sz w:val="20"/>
              </w:rPr>
              <w:t>25%</w:t>
            </w:r>
          </w:p>
        </w:tc>
        <w:tc>
          <w:tcPr>
            <w:tcW w:w="850" w:type="dxa"/>
            <w:tcBorders>
              <w:top w:val="single" w:sz="8" w:space="0" w:color="231F20"/>
            </w:tcBorders>
          </w:tcPr>
          <w:p w14:paraId="13145D54" w14:textId="77777777" w:rsidR="009948F1" w:rsidRDefault="00BC0563">
            <w:pPr>
              <w:pStyle w:val="TableParagraph"/>
              <w:spacing w:before="9"/>
              <w:ind w:left="115"/>
              <w:rPr>
                <w:sz w:val="20"/>
              </w:rPr>
            </w:pPr>
            <w:r>
              <w:rPr>
                <w:color w:val="231F20"/>
                <w:sz w:val="20"/>
              </w:rPr>
              <w:t>30%</w:t>
            </w:r>
          </w:p>
        </w:tc>
        <w:tc>
          <w:tcPr>
            <w:tcW w:w="1386" w:type="dxa"/>
            <w:tcBorders>
              <w:top w:val="single" w:sz="8" w:space="0" w:color="231F20"/>
            </w:tcBorders>
          </w:tcPr>
          <w:p w14:paraId="0F4D0F79" w14:textId="77777777" w:rsidR="009948F1" w:rsidRDefault="00BC0563">
            <w:pPr>
              <w:pStyle w:val="TableParagraph"/>
              <w:spacing w:before="9" w:line="249" w:lineRule="auto"/>
              <w:ind w:left="116"/>
              <w:rPr>
                <w:sz w:val="20"/>
              </w:rPr>
            </w:pPr>
            <w:r>
              <w:rPr>
                <w:color w:val="231F20"/>
                <w:w w:val="95"/>
                <w:sz w:val="20"/>
              </w:rPr>
              <w:t xml:space="preserve">Increase to </w:t>
            </w:r>
            <w:r>
              <w:rPr>
                <w:color w:val="231F20"/>
                <w:sz w:val="20"/>
              </w:rPr>
              <w:t>50%</w:t>
            </w:r>
          </w:p>
        </w:tc>
      </w:tr>
      <w:tr w:rsidR="009948F1" w14:paraId="7C122E6D" w14:textId="77777777">
        <w:trPr>
          <w:trHeight w:val="2607"/>
        </w:trPr>
        <w:tc>
          <w:tcPr>
            <w:tcW w:w="2700" w:type="dxa"/>
            <w:tcBorders>
              <w:top w:val="single" w:sz="12" w:space="0" w:color="231F20"/>
              <w:left w:val="single" w:sz="8" w:space="0" w:color="231F20"/>
              <w:bottom w:val="single" w:sz="12" w:space="0" w:color="231F20"/>
              <w:right w:val="single" w:sz="8" w:space="0" w:color="231F20"/>
            </w:tcBorders>
          </w:tcPr>
          <w:p w14:paraId="22F28B72" w14:textId="77777777" w:rsidR="009948F1" w:rsidRDefault="00BC0563">
            <w:pPr>
              <w:pStyle w:val="TableParagraph"/>
              <w:spacing w:before="1" w:line="247" w:lineRule="auto"/>
              <w:ind w:left="108" w:right="94"/>
              <w:rPr>
                <w:sz w:val="20"/>
              </w:rPr>
            </w:pPr>
            <w:r>
              <w:rPr>
                <w:color w:val="231F20"/>
                <w:sz w:val="20"/>
              </w:rPr>
              <w:t xml:space="preserve">Increase in proportion of </w:t>
            </w:r>
            <w:r>
              <w:rPr>
                <w:color w:val="231F20"/>
                <w:w w:val="95"/>
                <w:sz w:val="20"/>
              </w:rPr>
              <w:t xml:space="preserve">eligible population screened </w:t>
            </w:r>
            <w:r>
              <w:rPr>
                <w:color w:val="231F20"/>
                <w:sz w:val="20"/>
              </w:rPr>
              <w:t xml:space="preserve">for early detection and </w:t>
            </w:r>
            <w:r>
              <w:rPr>
                <w:color w:val="231F20"/>
                <w:w w:val="95"/>
                <w:sz w:val="20"/>
              </w:rPr>
              <w:t>management of</w:t>
            </w:r>
            <w:r>
              <w:rPr>
                <w:color w:val="231F20"/>
                <w:spacing w:val="-42"/>
                <w:w w:val="95"/>
                <w:sz w:val="20"/>
              </w:rPr>
              <w:t xml:space="preserve"> </w:t>
            </w:r>
            <w:r>
              <w:rPr>
                <w:color w:val="231F20"/>
                <w:w w:val="95"/>
                <w:sz w:val="20"/>
              </w:rPr>
              <w:t xml:space="preserve">NCDs </w:t>
            </w:r>
            <w:r>
              <w:rPr>
                <w:color w:val="231F20"/>
                <w:spacing w:val="-4"/>
                <w:w w:val="95"/>
                <w:sz w:val="20"/>
              </w:rPr>
              <w:t xml:space="preserve">(These </w:t>
            </w:r>
            <w:r>
              <w:rPr>
                <w:color w:val="231F20"/>
                <w:sz w:val="20"/>
              </w:rPr>
              <w:t>include mammography for breast</w:t>
            </w:r>
            <w:r>
              <w:rPr>
                <w:color w:val="231F20"/>
                <w:spacing w:val="-39"/>
                <w:sz w:val="20"/>
              </w:rPr>
              <w:t xml:space="preserve"> </w:t>
            </w:r>
            <w:r>
              <w:rPr>
                <w:color w:val="231F20"/>
                <w:sz w:val="20"/>
              </w:rPr>
              <w:t>cancer,</w:t>
            </w:r>
            <w:r>
              <w:rPr>
                <w:color w:val="231F20"/>
                <w:spacing w:val="-39"/>
                <w:sz w:val="20"/>
              </w:rPr>
              <w:t xml:space="preserve"> </w:t>
            </w:r>
            <w:r>
              <w:rPr>
                <w:color w:val="231F20"/>
                <w:sz w:val="20"/>
              </w:rPr>
              <w:t>Pap</w:t>
            </w:r>
            <w:r>
              <w:rPr>
                <w:color w:val="231F20"/>
                <w:spacing w:val="-39"/>
                <w:sz w:val="20"/>
              </w:rPr>
              <w:t xml:space="preserve"> </w:t>
            </w:r>
            <w:r>
              <w:rPr>
                <w:color w:val="231F20"/>
                <w:sz w:val="20"/>
              </w:rPr>
              <w:t>smear</w:t>
            </w:r>
            <w:r>
              <w:rPr>
                <w:color w:val="231F20"/>
                <w:spacing w:val="-39"/>
                <w:sz w:val="20"/>
              </w:rPr>
              <w:t xml:space="preserve"> </w:t>
            </w:r>
            <w:r>
              <w:rPr>
                <w:color w:val="231F20"/>
                <w:sz w:val="20"/>
              </w:rPr>
              <w:t>for cancer</w:t>
            </w:r>
            <w:r>
              <w:rPr>
                <w:color w:val="231F20"/>
                <w:spacing w:val="-31"/>
                <w:sz w:val="20"/>
              </w:rPr>
              <w:t xml:space="preserve"> </w:t>
            </w:r>
            <w:proofErr w:type="spellStart"/>
            <w:r>
              <w:rPr>
                <w:color w:val="231F20"/>
                <w:sz w:val="20"/>
              </w:rPr>
              <w:t>o</w:t>
            </w:r>
            <w:r>
              <w:rPr>
                <w:color w:val="231F20"/>
                <w:spacing w:val="-37"/>
                <w:sz w:val="20"/>
              </w:rPr>
              <w:t xml:space="preserve"> </w:t>
            </w:r>
            <w:r>
              <w:rPr>
                <w:color w:val="231F20"/>
                <w:sz w:val="20"/>
              </w:rPr>
              <w:t>f</w:t>
            </w:r>
            <w:proofErr w:type="spellEnd"/>
            <w:r>
              <w:rPr>
                <w:color w:val="231F20"/>
                <w:spacing w:val="-30"/>
                <w:sz w:val="20"/>
              </w:rPr>
              <w:t xml:space="preserve"> </w:t>
            </w:r>
            <w:r>
              <w:rPr>
                <w:color w:val="231F20"/>
                <w:sz w:val="20"/>
              </w:rPr>
              <w:t>the</w:t>
            </w:r>
            <w:r>
              <w:rPr>
                <w:color w:val="231F20"/>
                <w:spacing w:val="-30"/>
                <w:sz w:val="20"/>
              </w:rPr>
              <w:t xml:space="preserve"> </w:t>
            </w:r>
            <w:r>
              <w:rPr>
                <w:color w:val="231F20"/>
                <w:sz w:val="20"/>
              </w:rPr>
              <w:t>cervix,</w:t>
            </w:r>
            <w:r>
              <w:rPr>
                <w:color w:val="231F20"/>
                <w:spacing w:val="-30"/>
                <w:sz w:val="20"/>
              </w:rPr>
              <w:t xml:space="preserve"> </w:t>
            </w:r>
            <w:r>
              <w:rPr>
                <w:color w:val="231F20"/>
                <w:sz w:val="20"/>
              </w:rPr>
              <w:t>PSA</w:t>
            </w:r>
            <w:r>
              <w:rPr>
                <w:color w:val="231F20"/>
                <w:spacing w:val="-36"/>
                <w:sz w:val="20"/>
              </w:rPr>
              <w:t xml:space="preserve"> </w:t>
            </w:r>
            <w:r>
              <w:rPr>
                <w:color w:val="231F20"/>
                <w:sz w:val="20"/>
              </w:rPr>
              <w:t>for cancer of the prostate; and screening for diabetes mellitus,</w:t>
            </w:r>
            <w:r>
              <w:rPr>
                <w:color w:val="231F20"/>
                <w:spacing w:val="-28"/>
                <w:sz w:val="20"/>
              </w:rPr>
              <w:t xml:space="preserve"> </w:t>
            </w:r>
            <w:r>
              <w:rPr>
                <w:color w:val="231F20"/>
                <w:sz w:val="20"/>
              </w:rPr>
              <w:t>hypertension</w:t>
            </w:r>
            <w:r>
              <w:rPr>
                <w:color w:val="231F20"/>
                <w:spacing w:val="-28"/>
                <w:sz w:val="20"/>
              </w:rPr>
              <w:t xml:space="preserve"> </w:t>
            </w:r>
            <w:r>
              <w:rPr>
                <w:color w:val="231F20"/>
                <w:sz w:val="20"/>
              </w:rPr>
              <w:t>and</w:t>
            </w:r>
          </w:p>
          <w:p w14:paraId="4DDC5108" w14:textId="153D8E68" w:rsidR="009948F1" w:rsidRDefault="00FE4EDF">
            <w:pPr>
              <w:pStyle w:val="TableParagraph"/>
              <w:spacing w:before="9" w:line="208" w:lineRule="exact"/>
              <w:ind w:left="108"/>
              <w:rPr>
                <w:sz w:val="20"/>
              </w:rPr>
            </w:pPr>
            <w:r>
              <w:rPr>
                <w:color w:val="231F20"/>
                <w:sz w:val="20"/>
              </w:rPr>
              <w:t>Sickle</w:t>
            </w:r>
            <w:r w:rsidR="00BC0563">
              <w:rPr>
                <w:color w:val="231F20"/>
                <w:sz w:val="20"/>
              </w:rPr>
              <w:t xml:space="preserve"> cell disease).</w:t>
            </w:r>
          </w:p>
        </w:tc>
        <w:tc>
          <w:tcPr>
            <w:tcW w:w="992" w:type="dxa"/>
            <w:tcBorders>
              <w:top w:val="single" w:sz="12" w:space="0" w:color="231F20"/>
              <w:left w:val="single" w:sz="8" w:space="0" w:color="231F20"/>
              <w:bottom w:val="single" w:sz="12" w:space="0" w:color="231F20"/>
              <w:right w:val="single" w:sz="8" w:space="0" w:color="231F20"/>
            </w:tcBorders>
          </w:tcPr>
          <w:p w14:paraId="181D77BA" w14:textId="77777777" w:rsidR="009948F1" w:rsidRDefault="00BC0563">
            <w:pPr>
              <w:pStyle w:val="TableParagraph"/>
              <w:spacing w:before="1"/>
              <w:ind w:left="108"/>
              <w:rPr>
                <w:sz w:val="20"/>
              </w:rPr>
            </w:pPr>
            <w:r>
              <w:rPr>
                <w:color w:val="231F20"/>
                <w:sz w:val="20"/>
              </w:rPr>
              <w:t>TBD</w:t>
            </w:r>
          </w:p>
        </w:tc>
        <w:tc>
          <w:tcPr>
            <w:tcW w:w="855" w:type="dxa"/>
            <w:tcBorders>
              <w:left w:val="single" w:sz="8" w:space="0" w:color="231F20"/>
            </w:tcBorders>
          </w:tcPr>
          <w:p w14:paraId="3D86C98D" w14:textId="77777777" w:rsidR="009948F1" w:rsidRDefault="00BC0563">
            <w:pPr>
              <w:pStyle w:val="TableParagraph"/>
              <w:spacing w:before="1"/>
              <w:ind w:left="108"/>
              <w:rPr>
                <w:sz w:val="20"/>
              </w:rPr>
            </w:pPr>
            <w:r>
              <w:rPr>
                <w:color w:val="231F20"/>
                <w:sz w:val="20"/>
              </w:rPr>
              <w:t>10%</w:t>
            </w:r>
          </w:p>
        </w:tc>
        <w:tc>
          <w:tcPr>
            <w:tcW w:w="848" w:type="dxa"/>
          </w:tcPr>
          <w:p w14:paraId="76EEFBCA" w14:textId="77777777" w:rsidR="009948F1" w:rsidRDefault="00BC0563">
            <w:pPr>
              <w:pStyle w:val="TableParagraph"/>
              <w:spacing w:before="1"/>
              <w:ind w:left="112"/>
              <w:rPr>
                <w:sz w:val="20"/>
              </w:rPr>
            </w:pPr>
            <w:r>
              <w:rPr>
                <w:color w:val="231F20"/>
                <w:sz w:val="20"/>
              </w:rPr>
              <w:t>20%</w:t>
            </w:r>
          </w:p>
        </w:tc>
        <w:tc>
          <w:tcPr>
            <w:tcW w:w="855" w:type="dxa"/>
          </w:tcPr>
          <w:p w14:paraId="493E5EDB" w14:textId="77777777" w:rsidR="009948F1" w:rsidRDefault="00BC0563">
            <w:pPr>
              <w:pStyle w:val="TableParagraph"/>
              <w:spacing w:before="1"/>
              <w:ind w:left="113"/>
              <w:rPr>
                <w:sz w:val="20"/>
              </w:rPr>
            </w:pPr>
            <w:r>
              <w:rPr>
                <w:color w:val="231F20"/>
                <w:sz w:val="20"/>
              </w:rPr>
              <w:t>30%</w:t>
            </w:r>
          </w:p>
        </w:tc>
        <w:tc>
          <w:tcPr>
            <w:tcW w:w="848" w:type="dxa"/>
          </w:tcPr>
          <w:p w14:paraId="78C9D5BE" w14:textId="77777777" w:rsidR="009948F1" w:rsidRDefault="00BC0563">
            <w:pPr>
              <w:pStyle w:val="TableParagraph"/>
              <w:spacing w:before="1"/>
              <w:ind w:left="114"/>
              <w:rPr>
                <w:sz w:val="20"/>
              </w:rPr>
            </w:pPr>
            <w:r>
              <w:rPr>
                <w:color w:val="231F20"/>
                <w:sz w:val="20"/>
              </w:rPr>
              <w:t>40%</w:t>
            </w:r>
          </w:p>
        </w:tc>
        <w:tc>
          <w:tcPr>
            <w:tcW w:w="850" w:type="dxa"/>
          </w:tcPr>
          <w:p w14:paraId="7219C039" w14:textId="77777777" w:rsidR="009948F1" w:rsidRDefault="00BC0563">
            <w:pPr>
              <w:pStyle w:val="TableParagraph"/>
              <w:spacing w:before="1"/>
              <w:ind w:left="115"/>
              <w:rPr>
                <w:sz w:val="20"/>
              </w:rPr>
            </w:pPr>
            <w:r>
              <w:rPr>
                <w:color w:val="231F20"/>
                <w:sz w:val="20"/>
              </w:rPr>
              <w:t>50%</w:t>
            </w:r>
          </w:p>
        </w:tc>
        <w:tc>
          <w:tcPr>
            <w:tcW w:w="1386" w:type="dxa"/>
          </w:tcPr>
          <w:p w14:paraId="60F0419E" w14:textId="77777777" w:rsidR="009948F1" w:rsidRDefault="00BC0563">
            <w:pPr>
              <w:pStyle w:val="TableParagraph"/>
              <w:spacing w:before="1" w:line="247" w:lineRule="auto"/>
              <w:ind w:left="116"/>
              <w:rPr>
                <w:sz w:val="20"/>
              </w:rPr>
            </w:pPr>
            <w:r>
              <w:rPr>
                <w:color w:val="231F20"/>
                <w:w w:val="95"/>
                <w:sz w:val="20"/>
              </w:rPr>
              <w:t xml:space="preserve">Increase to </w:t>
            </w:r>
            <w:r>
              <w:rPr>
                <w:color w:val="231F20"/>
                <w:sz w:val="20"/>
              </w:rPr>
              <w:t>50%</w:t>
            </w:r>
          </w:p>
        </w:tc>
      </w:tr>
      <w:tr w:rsidR="009948F1" w14:paraId="1F213235" w14:textId="77777777">
        <w:trPr>
          <w:trHeight w:val="705"/>
        </w:trPr>
        <w:tc>
          <w:tcPr>
            <w:tcW w:w="2700" w:type="dxa"/>
            <w:tcBorders>
              <w:top w:val="single" w:sz="12" w:space="0" w:color="231F20"/>
              <w:left w:val="single" w:sz="8" w:space="0" w:color="231F20"/>
              <w:bottom w:val="single" w:sz="12" w:space="0" w:color="231F20"/>
              <w:right w:val="single" w:sz="8" w:space="0" w:color="231F20"/>
            </w:tcBorders>
          </w:tcPr>
          <w:p w14:paraId="608BF83E" w14:textId="77777777" w:rsidR="009948F1" w:rsidRDefault="00BC0563">
            <w:pPr>
              <w:pStyle w:val="TableParagraph"/>
              <w:spacing w:before="1" w:line="247" w:lineRule="auto"/>
              <w:ind w:left="108" w:right="297"/>
              <w:rPr>
                <w:sz w:val="20"/>
              </w:rPr>
            </w:pPr>
            <w:r>
              <w:rPr>
                <w:color w:val="231F20"/>
                <w:w w:val="95"/>
                <w:sz w:val="20"/>
              </w:rPr>
              <w:t xml:space="preserve">Access to quality </w:t>
            </w:r>
            <w:r>
              <w:rPr>
                <w:color w:val="231F20"/>
                <w:spacing w:val="-3"/>
                <w:w w:val="95"/>
                <w:sz w:val="20"/>
              </w:rPr>
              <w:t xml:space="preserve">treatment </w:t>
            </w:r>
            <w:r>
              <w:rPr>
                <w:color w:val="231F20"/>
                <w:sz w:val="20"/>
              </w:rPr>
              <w:t>facilities for persons with</w:t>
            </w:r>
          </w:p>
          <w:p w14:paraId="74BF4B0C" w14:textId="77777777" w:rsidR="009948F1" w:rsidRDefault="00BC0563">
            <w:pPr>
              <w:pStyle w:val="TableParagraph"/>
              <w:spacing w:before="3" w:line="208" w:lineRule="exact"/>
              <w:ind w:left="108"/>
              <w:rPr>
                <w:sz w:val="20"/>
              </w:rPr>
            </w:pPr>
            <w:r>
              <w:rPr>
                <w:color w:val="231F20"/>
                <w:sz w:val="20"/>
              </w:rPr>
              <w:t>NCDs</w:t>
            </w:r>
          </w:p>
        </w:tc>
        <w:tc>
          <w:tcPr>
            <w:tcW w:w="992" w:type="dxa"/>
            <w:tcBorders>
              <w:top w:val="single" w:sz="12" w:space="0" w:color="231F20"/>
              <w:left w:val="single" w:sz="8" w:space="0" w:color="231F20"/>
              <w:bottom w:val="single" w:sz="12" w:space="0" w:color="231F20"/>
              <w:right w:val="single" w:sz="8" w:space="0" w:color="231F20"/>
            </w:tcBorders>
          </w:tcPr>
          <w:p w14:paraId="69AEF41B" w14:textId="77777777" w:rsidR="009948F1" w:rsidRDefault="00BC0563">
            <w:pPr>
              <w:pStyle w:val="TableParagraph"/>
              <w:spacing w:before="1"/>
              <w:ind w:left="108"/>
              <w:rPr>
                <w:sz w:val="20"/>
              </w:rPr>
            </w:pPr>
            <w:r>
              <w:rPr>
                <w:color w:val="231F20"/>
                <w:sz w:val="20"/>
              </w:rPr>
              <w:t>TBD</w:t>
            </w:r>
          </w:p>
        </w:tc>
        <w:tc>
          <w:tcPr>
            <w:tcW w:w="855" w:type="dxa"/>
            <w:tcBorders>
              <w:left w:val="single" w:sz="8" w:space="0" w:color="231F20"/>
            </w:tcBorders>
          </w:tcPr>
          <w:p w14:paraId="77D7AD9C" w14:textId="77777777" w:rsidR="009948F1" w:rsidRDefault="00BC0563">
            <w:pPr>
              <w:pStyle w:val="TableParagraph"/>
              <w:spacing w:before="1"/>
              <w:ind w:left="108"/>
              <w:rPr>
                <w:sz w:val="20"/>
              </w:rPr>
            </w:pPr>
            <w:r>
              <w:rPr>
                <w:color w:val="231F20"/>
                <w:sz w:val="20"/>
              </w:rPr>
              <w:t>10%</w:t>
            </w:r>
          </w:p>
        </w:tc>
        <w:tc>
          <w:tcPr>
            <w:tcW w:w="848" w:type="dxa"/>
          </w:tcPr>
          <w:p w14:paraId="282C38E7" w14:textId="77777777" w:rsidR="009948F1" w:rsidRDefault="00BC0563">
            <w:pPr>
              <w:pStyle w:val="TableParagraph"/>
              <w:spacing w:before="1"/>
              <w:ind w:left="112"/>
              <w:rPr>
                <w:sz w:val="20"/>
              </w:rPr>
            </w:pPr>
            <w:r>
              <w:rPr>
                <w:color w:val="231F20"/>
                <w:sz w:val="20"/>
              </w:rPr>
              <w:t>20%</w:t>
            </w:r>
          </w:p>
        </w:tc>
        <w:tc>
          <w:tcPr>
            <w:tcW w:w="855" w:type="dxa"/>
          </w:tcPr>
          <w:p w14:paraId="438FB9E1" w14:textId="77777777" w:rsidR="009948F1" w:rsidRDefault="00BC0563">
            <w:pPr>
              <w:pStyle w:val="TableParagraph"/>
              <w:spacing w:before="1"/>
              <w:ind w:left="113"/>
              <w:rPr>
                <w:sz w:val="20"/>
              </w:rPr>
            </w:pPr>
            <w:r>
              <w:rPr>
                <w:color w:val="231F20"/>
                <w:sz w:val="20"/>
              </w:rPr>
              <w:t>30%</w:t>
            </w:r>
          </w:p>
        </w:tc>
        <w:tc>
          <w:tcPr>
            <w:tcW w:w="848" w:type="dxa"/>
          </w:tcPr>
          <w:p w14:paraId="7BDABCE9" w14:textId="77777777" w:rsidR="009948F1" w:rsidRDefault="00BC0563">
            <w:pPr>
              <w:pStyle w:val="TableParagraph"/>
              <w:spacing w:before="1"/>
              <w:ind w:left="114"/>
              <w:rPr>
                <w:sz w:val="20"/>
              </w:rPr>
            </w:pPr>
            <w:r>
              <w:rPr>
                <w:color w:val="231F20"/>
                <w:sz w:val="20"/>
              </w:rPr>
              <w:t>40%</w:t>
            </w:r>
          </w:p>
        </w:tc>
        <w:tc>
          <w:tcPr>
            <w:tcW w:w="850" w:type="dxa"/>
          </w:tcPr>
          <w:p w14:paraId="118E1E20" w14:textId="77777777" w:rsidR="009948F1" w:rsidRDefault="00BC0563">
            <w:pPr>
              <w:pStyle w:val="TableParagraph"/>
              <w:spacing w:before="1"/>
              <w:ind w:left="115"/>
              <w:rPr>
                <w:sz w:val="20"/>
              </w:rPr>
            </w:pPr>
            <w:r>
              <w:rPr>
                <w:color w:val="231F20"/>
                <w:sz w:val="20"/>
              </w:rPr>
              <w:t>50%</w:t>
            </w:r>
          </w:p>
        </w:tc>
        <w:tc>
          <w:tcPr>
            <w:tcW w:w="1386" w:type="dxa"/>
          </w:tcPr>
          <w:p w14:paraId="14265F42" w14:textId="77777777" w:rsidR="009948F1" w:rsidRDefault="00BC0563">
            <w:pPr>
              <w:pStyle w:val="TableParagraph"/>
              <w:spacing w:before="1" w:line="247" w:lineRule="auto"/>
              <w:ind w:left="116"/>
              <w:rPr>
                <w:sz w:val="20"/>
              </w:rPr>
            </w:pPr>
            <w:r>
              <w:rPr>
                <w:color w:val="231F20"/>
                <w:w w:val="95"/>
                <w:sz w:val="20"/>
              </w:rPr>
              <w:t xml:space="preserve">Increase to </w:t>
            </w:r>
            <w:r>
              <w:rPr>
                <w:color w:val="231F20"/>
                <w:sz w:val="20"/>
              </w:rPr>
              <w:t>50%</w:t>
            </w:r>
          </w:p>
        </w:tc>
      </w:tr>
    </w:tbl>
    <w:p w14:paraId="578FDCD1" w14:textId="77777777" w:rsidR="009948F1" w:rsidRDefault="009948F1">
      <w:pPr>
        <w:spacing w:line="247" w:lineRule="auto"/>
        <w:rPr>
          <w:sz w:val="20"/>
        </w:rPr>
        <w:sectPr w:rsidR="009948F1">
          <w:pgSz w:w="11910" w:h="16840"/>
          <w:pgMar w:top="1300" w:right="1080" w:bottom="1420" w:left="1120" w:header="0" w:footer="1235" w:gutter="0"/>
          <w:cols w:space="720"/>
        </w:sectPr>
      </w:pPr>
    </w:p>
    <w:p w14:paraId="4517154B" w14:textId="77777777" w:rsidR="009948F1" w:rsidRDefault="00BC0563">
      <w:pPr>
        <w:pStyle w:val="Heading8"/>
        <w:spacing w:before="47"/>
        <w:ind w:left="128"/>
      </w:pPr>
      <w:bookmarkStart w:id="77" w:name="Page_63"/>
      <w:bookmarkEnd w:id="77"/>
      <w:r>
        <w:rPr>
          <w:color w:val="231F20"/>
        </w:rPr>
        <w:lastRenderedPageBreak/>
        <w:t>Interventions</w:t>
      </w:r>
    </w:p>
    <w:p w14:paraId="2198B025" w14:textId="77777777" w:rsidR="009948F1" w:rsidRDefault="00BC0563">
      <w:pPr>
        <w:pStyle w:val="ListParagraph"/>
        <w:numPr>
          <w:ilvl w:val="3"/>
          <w:numId w:val="284"/>
        </w:numPr>
        <w:tabs>
          <w:tab w:val="left" w:pos="874"/>
        </w:tabs>
        <w:spacing w:before="32" w:line="271" w:lineRule="auto"/>
        <w:ind w:right="195" w:firstLine="0"/>
      </w:pPr>
      <w:r>
        <w:rPr>
          <w:color w:val="231F20"/>
        </w:rPr>
        <w:t xml:space="preserve">Promote generation of evidence for decision-making for planning and implementation </w:t>
      </w:r>
      <w:r>
        <w:rPr>
          <w:color w:val="231F20"/>
          <w:spacing w:val="-7"/>
        </w:rPr>
        <w:t xml:space="preserve">of </w:t>
      </w:r>
      <w:r>
        <w:rPr>
          <w:color w:val="231F20"/>
        </w:rPr>
        <w:t>NCD interventions. Key actions involved here include; – Conduct sensitization meetings with DSNOs</w:t>
      </w:r>
      <w:r>
        <w:rPr>
          <w:color w:val="231F20"/>
          <w:spacing w:val="-14"/>
        </w:rPr>
        <w:t xml:space="preserve"> </w:t>
      </w:r>
      <w:r>
        <w:rPr>
          <w:color w:val="231F20"/>
        </w:rPr>
        <w:t>on</w:t>
      </w:r>
      <w:r>
        <w:rPr>
          <w:color w:val="231F20"/>
          <w:spacing w:val="-14"/>
        </w:rPr>
        <w:t xml:space="preserve"> </w:t>
      </w:r>
      <w:r>
        <w:rPr>
          <w:color w:val="231F20"/>
        </w:rPr>
        <w:t>collection</w:t>
      </w:r>
      <w:r>
        <w:rPr>
          <w:color w:val="231F20"/>
          <w:spacing w:val="-13"/>
        </w:rPr>
        <w:t xml:space="preserve"> </w:t>
      </w:r>
      <w:r>
        <w:rPr>
          <w:color w:val="231F20"/>
        </w:rPr>
        <w:t>and</w:t>
      </w:r>
      <w:r>
        <w:rPr>
          <w:color w:val="231F20"/>
          <w:spacing w:val="-13"/>
        </w:rPr>
        <w:t xml:space="preserve"> </w:t>
      </w:r>
      <w:r>
        <w:rPr>
          <w:color w:val="231F20"/>
        </w:rPr>
        <w:t>collation</w:t>
      </w:r>
      <w:r>
        <w:rPr>
          <w:color w:val="231F20"/>
          <w:spacing w:val="-13"/>
        </w:rPr>
        <w:t xml:space="preserve"> </w:t>
      </w:r>
      <w:r>
        <w:rPr>
          <w:color w:val="231F20"/>
        </w:rPr>
        <w:t>of</w:t>
      </w:r>
      <w:r>
        <w:rPr>
          <w:color w:val="231F20"/>
          <w:spacing w:val="-14"/>
        </w:rPr>
        <w:t xml:space="preserve"> </w:t>
      </w:r>
      <w:r>
        <w:rPr>
          <w:color w:val="231F20"/>
        </w:rPr>
        <w:t>NCDs</w:t>
      </w:r>
      <w:r>
        <w:rPr>
          <w:color w:val="231F20"/>
          <w:spacing w:val="-13"/>
        </w:rPr>
        <w:t xml:space="preserve"> </w:t>
      </w:r>
      <w:r>
        <w:rPr>
          <w:color w:val="231F20"/>
        </w:rPr>
        <w:t>data;</w:t>
      </w:r>
      <w:r>
        <w:rPr>
          <w:color w:val="231F20"/>
          <w:spacing w:val="-14"/>
        </w:rPr>
        <w:t xml:space="preserve"> </w:t>
      </w:r>
      <w:r>
        <w:rPr>
          <w:color w:val="231F20"/>
        </w:rPr>
        <w:t>Operating</w:t>
      </w:r>
      <w:r>
        <w:rPr>
          <w:color w:val="231F20"/>
          <w:spacing w:val="-13"/>
        </w:rPr>
        <w:t xml:space="preserve"> </w:t>
      </w:r>
      <w:r>
        <w:rPr>
          <w:color w:val="231F20"/>
        </w:rPr>
        <w:t>Cost</w:t>
      </w:r>
      <w:r>
        <w:rPr>
          <w:color w:val="231F20"/>
          <w:spacing w:val="-14"/>
        </w:rPr>
        <w:t xml:space="preserve"> </w:t>
      </w:r>
      <w:r>
        <w:rPr>
          <w:color w:val="231F20"/>
        </w:rPr>
        <w:t>for</w:t>
      </w:r>
      <w:r>
        <w:rPr>
          <w:color w:val="231F20"/>
          <w:spacing w:val="-14"/>
        </w:rPr>
        <w:t xml:space="preserve"> </w:t>
      </w:r>
      <w:r>
        <w:rPr>
          <w:color w:val="231F20"/>
        </w:rPr>
        <w:t>engaging</w:t>
      </w:r>
      <w:r>
        <w:rPr>
          <w:color w:val="231F20"/>
          <w:spacing w:val="-13"/>
        </w:rPr>
        <w:t xml:space="preserve"> </w:t>
      </w:r>
      <w:r>
        <w:rPr>
          <w:color w:val="231F20"/>
        </w:rPr>
        <w:t>and</w:t>
      </w:r>
      <w:r>
        <w:rPr>
          <w:color w:val="231F20"/>
          <w:spacing w:val="-13"/>
        </w:rPr>
        <w:t xml:space="preserve"> </w:t>
      </w:r>
      <w:r>
        <w:rPr>
          <w:color w:val="231F20"/>
        </w:rPr>
        <w:t>supervising</w:t>
      </w:r>
      <w:r>
        <w:rPr>
          <w:color w:val="231F20"/>
          <w:spacing w:val="-13"/>
        </w:rPr>
        <w:t xml:space="preserve"> </w:t>
      </w:r>
      <w:r>
        <w:rPr>
          <w:color w:val="231F20"/>
          <w:spacing w:val="-4"/>
        </w:rPr>
        <w:t xml:space="preserve">the </w:t>
      </w:r>
      <w:r>
        <w:rPr>
          <w:color w:val="231F20"/>
        </w:rPr>
        <w:t>contractor</w:t>
      </w:r>
      <w:r>
        <w:rPr>
          <w:color w:val="231F20"/>
          <w:spacing w:val="-16"/>
        </w:rPr>
        <w:t xml:space="preserve"> </w:t>
      </w:r>
      <w:r>
        <w:rPr>
          <w:color w:val="231F20"/>
        </w:rPr>
        <w:t>to</w:t>
      </w:r>
      <w:r>
        <w:rPr>
          <w:color w:val="231F20"/>
          <w:spacing w:val="-15"/>
        </w:rPr>
        <w:t xml:space="preserve"> </w:t>
      </w:r>
      <w:r>
        <w:rPr>
          <w:color w:val="231F20"/>
        </w:rPr>
        <w:t>establish</w:t>
      </w:r>
      <w:r>
        <w:rPr>
          <w:color w:val="231F20"/>
          <w:spacing w:val="-15"/>
        </w:rPr>
        <w:t xml:space="preserve"> </w:t>
      </w:r>
      <w:r>
        <w:rPr>
          <w:color w:val="231F20"/>
        </w:rPr>
        <w:t>a</w:t>
      </w:r>
      <w:r>
        <w:rPr>
          <w:color w:val="231F20"/>
          <w:spacing w:val="-15"/>
        </w:rPr>
        <w:t xml:space="preserve"> </w:t>
      </w:r>
      <w:r>
        <w:rPr>
          <w:color w:val="231F20"/>
        </w:rPr>
        <w:t>population-based</w:t>
      </w:r>
      <w:r>
        <w:rPr>
          <w:color w:val="231F20"/>
          <w:spacing w:val="-15"/>
        </w:rPr>
        <w:t xml:space="preserve"> </w:t>
      </w:r>
      <w:r>
        <w:rPr>
          <w:color w:val="231F20"/>
        </w:rPr>
        <w:t>cancer</w:t>
      </w:r>
      <w:r>
        <w:rPr>
          <w:color w:val="231F20"/>
          <w:spacing w:val="-15"/>
        </w:rPr>
        <w:t xml:space="preserve"> </w:t>
      </w:r>
      <w:r>
        <w:rPr>
          <w:color w:val="231F20"/>
        </w:rPr>
        <w:t>registry</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in</w:t>
      </w:r>
      <w:r>
        <w:rPr>
          <w:color w:val="231F20"/>
          <w:spacing w:val="-15"/>
        </w:rPr>
        <w:t xml:space="preserve"> </w:t>
      </w:r>
      <w:r>
        <w:rPr>
          <w:color w:val="231F20"/>
        </w:rPr>
        <w:t>collaboration</w:t>
      </w:r>
      <w:r>
        <w:rPr>
          <w:color w:val="231F20"/>
          <w:spacing w:val="-16"/>
        </w:rPr>
        <w:t xml:space="preserve"> </w:t>
      </w:r>
      <w:r>
        <w:rPr>
          <w:color w:val="231F20"/>
        </w:rPr>
        <w:t>with</w:t>
      </w:r>
      <w:r>
        <w:rPr>
          <w:color w:val="231F20"/>
          <w:spacing w:val="-15"/>
        </w:rPr>
        <w:t xml:space="preserve"> </w:t>
      </w:r>
      <w:r>
        <w:rPr>
          <w:color w:val="231F20"/>
          <w:spacing w:val="-3"/>
        </w:rPr>
        <w:t xml:space="preserve">FMOH; </w:t>
      </w:r>
      <w:r>
        <w:rPr>
          <w:color w:val="231F20"/>
        </w:rPr>
        <w:t>Initiate continued active case search of NCDs cases in the state; Report accurately with use of appropriate tools on NCDs prevalence/incidence in the state to FMOH for planning and control; Implement</w:t>
      </w:r>
      <w:r>
        <w:rPr>
          <w:color w:val="231F20"/>
          <w:spacing w:val="-26"/>
        </w:rPr>
        <w:t xml:space="preserve"> </w:t>
      </w:r>
      <w:r>
        <w:rPr>
          <w:color w:val="231F20"/>
        </w:rPr>
        <w:t>surveillance</w:t>
      </w:r>
      <w:r>
        <w:rPr>
          <w:color w:val="231F20"/>
          <w:spacing w:val="-25"/>
        </w:rPr>
        <w:t xml:space="preserve"> </w:t>
      </w:r>
      <w:r>
        <w:rPr>
          <w:color w:val="231F20"/>
        </w:rPr>
        <w:t>activities</w:t>
      </w:r>
      <w:r>
        <w:rPr>
          <w:color w:val="231F20"/>
          <w:spacing w:val="-25"/>
        </w:rPr>
        <w:t xml:space="preserve"> </w:t>
      </w:r>
      <w:r>
        <w:rPr>
          <w:color w:val="231F20"/>
        </w:rPr>
        <w:t>in</w:t>
      </w:r>
      <w:r>
        <w:rPr>
          <w:color w:val="231F20"/>
          <w:spacing w:val="-25"/>
        </w:rPr>
        <w:t xml:space="preserve"> </w:t>
      </w:r>
      <w:r>
        <w:rPr>
          <w:color w:val="231F20"/>
        </w:rPr>
        <w:t>all</w:t>
      </w:r>
      <w:r>
        <w:rPr>
          <w:color w:val="231F20"/>
          <w:spacing w:val="-25"/>
        </w:rPr>
        <w:t xml:space="preserve"> </w:t>
      </w:r>
      <w:r>
        <w:rPr>
          <w:color w:val="231F20"/>
        </w:rPr>
        <w:t>health</w:t>
      </w:r>
      <w:r>
        <w:rPr>
          <w:color w:val="231F20"/>
          <w:spacing w:val="37"/>
        </w:rPr>
        <w:t xml:space="preserve"> </w:t>
      </w:r>
      <w:r>
        <w:rPr>
          <w:color w:val="231F20"/>
        </w:rPr>
        <w:t>sectors</w:t>
      </w:r>
      <w:r>
        <w:rPr>
          <w:color w:val="231F20"/>
          <w:spacing w:val="-25"/>
        </w:rPr>
        <w:t xml:space="preserve"> </w:t>
      </w:r>
      <w:r>
        <w:rPr>
          <w:color w:val="231F20"/>
        </w:rPr>
        <w:t>(public</w:t>
      </w:r>
      <w:r>
        <w:rPr>
          <w:color w:val="231F20"/>
          <w:spacing w:val="-25"/>
        </w:rPr>
        <w:t xml:space="preserve"> </w:t>
      </w:r>
      <w:r>
        <w:rPr>
          <w:color w:val="231F20"/>
        </w:rPr>
        <w:t>and</w:t>
      </w:r>
      <w:r>
        <w:rPr>
          <w:color w:val="231F20"/>
          <w:spacing w:val="-25"/>
        </w:rPr>
        <w:t xml:space="preserve"> </w:t>
      </w:r>
      <w:r>
        <w:rPr>
          <w:color w:val="231F20"/>
        </w:rPr>
        <w:t>private).</w:t>
      </w:r>
    </w:p>
    <w:p w14:paraId="79AA435F" w14:textId="77777777" w:rsidR="009948F1" w:rsidRDefault="009948F1">
      <w:pPr>
        <w:pStyle w:val="BodyText"/>
        <w:spacing w:before="9"/>
        <w:rPr>
          <w:sz w:val="24"/>
        </w:rPr>
      </w:pPr>
    </w:p>
    <w:p w14:paraId="13E77BBD" w14:textId="77777777" w:rsidR="009948F1" w:rsidRDefault="00BC0563">
      <w:pPr>
        <w:pStyle w:val="ListParagraph"/>
        <w:numPr>
          <w:ilvl w:val="3"/>
          <w:numId w:val="284"/>
        </w:numPr>
        <w:tabs>
          <w:tab w:val="left" w:pos="870"/>
        </w:tabs>
        <w:spacing w:line="271" w:lineRule="auto"/>
        <w:ind w:right="195" w:firstLine="0"/>
      </w:pPr>
      <w:r>
        <w:rPr>
          <w:color w:val="231F20"/>
        </w:rPr>
        <w:t xml:space="preserve">Intensify advocacy, legislation, social mobilization and </w:t>
      </w:r>
      <w:proofErr w:type="spellStart"/>
      <w:r>
        <w:rPr>
          <w:color w:val="231F20"/>
        </w:rPr>
        <w:t>behaviour</w:t>
      </w:r>
      <w:proofErr w:type="spellEnd"/>
      <w:r>
        <w:rPr>
          <w:color w:val="231F20"/>
        </w:rPr>
        <w:t xml:space="preserve"> change communication for</w:t>
      </w:r>
      <w:r>
        <w:rPr>
          <w:color w:val="231F20"/>
          <w:spacing w:val="-7"/>
        </w:rPr>
        <w:t xml:space="preserve"> </w:t>
      </w:r>
      <w:r>
        <w:rPr>
          <w:color w:val="231F20"/>
        </w:rPr>
        <w:t>NCD</w:t>
      </w:r>
      <w:r>
        <w:rPr>
          <w:color w:val="231F20"/>
          <w:spacing w:val="-6"/>
        </w:rPr>
        <w:t xml:space="preserve"> </w:t>
      </w:r>
      <w:r>
        <w:rPr>
          <w:color w:val="231F20"/>
        </w:rPr>
        <w:t>prevention</w:t>
      </w:r>
      <w:r>
        <w:rPr>
          <w:color w:val="231F20"/>
          <w:spacing w:val="-5"/>
        </w:rPr>
        <w:t xml:space="preserve"> </w:t>
      </w:r>
      <w:r>
        <w:rPr>
          <w:color w:val="231F20"/>
        </w:rPr>
        <w:t>and</w:t>
      </w:r>
      <w:r>
        <w:rPr>
          <w:color w:val="231F20"/>
          <w:spacing w:val="-6"/>
        </w:rPr>
        <w:t xml:space="preserve"> </w:t>
      </w:r>
      <w:r>
        <w:rPr>
          <w:color w:val="231F20"/>
        </w:rPr>
        <w:t>control:</w:t>
      </w:r>
      <w:r>
        <w:rPr>
          <w:color w:val="231F20"/>
          <w:spacing w:val="-6"/>
        </w:rPr>
        <w:t xml:space="preserve"> </w:t>
      </w:r>
      <w:r>
        <w:rPr>
          <w:color w:val="231F20"/>
        </w:rPr>
        <w:t>Key</w:t>
      </w:r>
      <w:r>
        <w:rPr>
          <w:color w:val="231F20"/>
          <w:spacing w:val="-6"/>
        </w:rPr>
        <w:t xml:space="preserve"> </w:t>
      </w:r>
      <w:r>
        <w:rPr>
          <w:color w:val="231F20"/>
        </w:rPr>
        <w:t>actions</w:t>
      </w:r>
      <w:r>
        <w:rPr>
          <w:color w:val="231F20"/>
          <w:spacing w:val="-6"/>
        </w:rPr>
        <w:t xml:space="preserve"> </w:t>
      </w:r>
      <w:r>
        <w:rPr>
          <w:color w:val="231F20"/>
        </w:rPr>
        <w:t>include;</w:t>
      </w:r>
      <w:r>
        <w:rPr>
          <w:color w:val="231F20"/>
          <w:spacing w:val="-5"/>
        </w:rPr>
        <w:t xml:space="preserve"> </w:t>
      </w:r>
      <w:r>
        <w:rPr>
          <w:color w:val="231F20"/>
        </w:rPr>
        <w:t>–</w:t>
      </w:r>
      <w:r>
        <w:rPr>
          <w:color w:val="231F20"/>
          <w:spacing w:val="-6"/>
        </w:rPr>
        <w:t xml:space="preserve"> </w:t>
      </w:r>
      <w:r>
        <w:rPr>
          <w:color w:val="231F20"/>
        </w:rPr>
        <w:t>Setting</w:t>
      </w:r>
      <w:r>
        <w:rPr>
          <w:color w:val="231F20"/>
          <w:spacing w:val="-6"/>
        </w:rPr>
        <w:t xml:space="preserve"> </w:t>
      </w:r>
      <w:r>
        <w:rPr>
          <w:color w:val="231F20"/>
        </w:rPr>
        <w:t>up</w:t>
      </w:r>
      <w:r>
        <w:rPr>
          <w:color w:val="231F20"/>
          <w:spacing w:val="-6"/>
        </w:rPr>
        <w:t xml:space="preserve"> </w:t>
      </w:r>
      <w:r>
        <w:rPr>
          <w:color w:val="231F20"/>
        </w:rPr>
        <w:t>an</w:t>
      </w:r>
      <w:r>
        <w:rPr>
          <w:color w:val="231F20"/>
          <w:spacing w:val="-7"/>
        </w:rPr>
        <w:t xml:space="preserve"> </w:t>
      </w:r>
      <w:r>
        <w:rPr>
          <w:color w:val="231F20"/>
        </w:rPr>
        <w:t>NCD</w:t>
      </w:r>
      <w:r>
        <w:rPr>
          <w:color w:val="231F20"/>
          <w:spacing w:val="-6"/>
        </w:rPr>
        <w:t xml:space="preserve"> </w:t>
      </w:r>
      <w:r>
        <w:rPr>
          <w:color w:val="231F20"/>
        </w:rPr>
        <w:t>stirring/Cancer</w:t>
      </w:r>
      <w:r>
        <w:rPr>
          <w:color w:val="231F20"/>
          <w:spacing w:val="-5"/>
        </w:rPr>
        <w:t xml:space="preserve"> </w:t>
      </w:r>
      <w:r>
        <w:rPr>
          <w:color w:val="231F20"/>
        </w:rPr>
        <w:t>Control committees to carry out advocacy on NCDs prevention &amp; control; Conduct sensitization on</w:t>
      </w:r>
      <w:r>
        <w:rPr>
          <w:color w:val="231F20"/>
          <w:spacing w:val="-40"/>
        </w:rPr>
        <w:t xml:space="preserve"> </w:t>
      </w:r>
      <w:r>
        <w:rPr>
          <w:color w:val="231F20"/>
          <w:spacing w:val="-3"/>
        </w:rPr>
        <w:t xml:space="preserve">NCDs </w:t>
      </w:r>
      <w:r>
        <w:rPr>
          <w:color w:val="231F20"/>
        </w:rPr>
        <w:t xml:space="preserve">for all HWs in the state; Observe Global days marked for celebration </w:t>
      </w:r>
      <w:proofErr w:type="spellStart"/>
      <w:r>
        <w:rPr>
          <w:color w:val="231F20"/>
        </w:rPr>
        <w:t>ie</w:t>
      </w:r>
      <w:proofErr w:type="spellEnd"/>
      <w:r>
        <w:rPr>
          <w:color w:val="231F20"/>
        </w:rPr>
        <w:t xml:space="preserve"> World Hypertension </w:t>
      </w:r>
      <w:r>
        <w:rPr>
          <w:color w:val="231F20"/>
          <w:spacing w:val="-5"/>
        </w:rPr>
        <w:t xml:space="preserve">day, </w:t>
      </w:r>
      <w:r>
        <w:rPr>
          <w:color w:val="231F20"/>
        </w:rPr>
        <w:t>World</w:t>
      </w:r>
      <w:r>
        <w:rPr>
          <w:color w:val="231F20"/>
          <w:spacing w:val="-22"/>
        </w:rPr>
        <w:t xml:space="preserve"> </w:t>
      </w:r>
      <w:r>
        <w:rPr>
          <w:color w:val="231F20"/>
        </w:rPr>
        <w:t>Heart</w:t>
      </w:r>
      <w:r>
        <w:rPr>
          <w:color w:val="231F20"/>
          <w:spacing w:val="-21"/>
        </w:rPr>
        <w:t xml:space="preserve"> </w:t>
      </w:r>
      <w:r>
        <w:rPr>
          <w:color w:val="231F20"/>
          <w:spacing w:val="-5"/>
        </w:rPr>
        <w:t>Day,</w:t>
      </w:r>
      <w:r>
        <w:rPr>
          <w:color w:val="231F20"/>
          <w:spacing w:val="-22"/>
        </w:rPr>
        <w:t xml:space="preserve"> </w:t>
      </w:r>
      <w:r>
        <w:rPr>
          <w:color w:val="231F20"/>
        </w:rPr>
        <w:t>World</w:t>
      </w:r>
      <w:r>
        <w:rPr>
          <w:color w:val="231F20"/>
          <w:spacing w:val="-21"/>
        </w:rPr>
        <w:t xml:space="preserve"> </w:t>
      </w:r>
      <w:r>
        <w:rPr>
          <w:color w:val="231F20"/>
        </w:rPr>
        <w:t>Cancer</w:t>
      </w:r>
      <w:r>
        <w:rPr>
          <w:color w:val="231F20"/>
          <w:spacing w:val="-22"/>
        </w:rPr>
        <w:t xml:space="preserve"> </w:t>
      </w:r>
      <w:r>
        <w:rPr>
          <w:color w:val="231F20"/>
          <w:spacing w:val="-5"/>
        </w:rPr>
        <w:t>Day,</w:t>
      </w:r>
      <w:r>
        <w:rPr>
          <w:color w:val="231F20"/>
          <w:spacing w:val="-21"/>
        </w:rPr>
        <w:t xml:space="preserve"> </w:t>
      </w:r>
      <w:r>
        <w:rPr>
          <w:color w:val="231F20"/>
        </w:rPr>
        <w:t>World</w:t>
      </w:r>
      <w:r>
        <w:rPr>
          <w:color w:val="231F20"/>
          <w:spacing w:val="-21"/>
        </w:rPr>
        <w:t xml:space="preserve"> </w:t>
      </w:r>
      <w:r>
        <w:rPr>
          <w:color w:val="231F20"/>
        </w:rPr>
        <w:t>Diabetes</w:t>
      </w:r>
      <w:r>
        <w:rPr>
          <w:color w:val="231F20"/>
          <w:spacing w:val="-22"/>
        </w:rPr>
        <w:t xml:space="preserve"> </w:t>
      </w:r>
      <w:r>
        <w:rPr>
          <w:color w:val="231F20"/>
          <w:spacing w:val="-5"/>
        </w:rPr>
        <w:t>Day,</w:t>
      </w:r>
      <w:r>
        <w:rPr>
          <w:color w:val="231F20"/>
          <w:spacing w:val="-21"/>
        </w:rPr>
        <w:t xml:space="preserve"> </w:t>
      </w:r>
      <w:r>
        <w:rPr>
          <w:color w:val="231F20"/>
        </w:rPr>
        <w:t>World</w:t>
      </w:r>
      <w:r>
        <w:rPr>
          <w:color w:val="231F20"/>
          <w:spacing w:val="-22"/>
        </w:rPr>
        <w:t xml:space="preserve"> </w:t>
      </w:r>
      <w:r>
        <w:rPr>
          <w:color w:val="231F20"/>
        </w:rPr>
        <w:t>NO</w:t>
      </w:r>
      <w:r>
        <w:rPr>
          <w:color w:val="231F20"/>
          <w:spacing w:val="-25"/>
        </w:rPr>
        <w:t xml:space="preserve"> </w:t>
      </w:r>
      <w:r>
        <w:rPr>
          <w:color w:val="231F20"/>
          <w:spacing w:val="-4"/>
        </w:rPr>
        <w:t>Tobacco</w:t>
      </w:r>
      <w:r>
        <w:rPr>
          <w:color w:val="231F20"/>
          <w:spacing w:val="-21"/>
        </w:rPr>
        <w:t xml:space="preserve"> </w:t>
      </w:r>
      <w:r>
        <w:rPr>
          <w:color w:val="231F20"/>
          <w:spacing w:val="-5"/>
        </w:rPr>
        <w:t>Day,</w:t>
      </w:r>
      <w:r>
        <w:rPr>
          <w:color w:val="231F20"/>
          <w:spacing w:val="-22"/>
        </w:rPr>
        <w:t xml:space="preserve"> </w:t>
      </w:r>
      <w:r>
        <w:rPr>
          <w:color w:val="231F20"/>
        </w:rPr>
        <w:t>World</w:t>
      </w:r>
      <w:r>
        <w:rPr>
          <w:color w:val="231F20"/>
          <w:spacing w:val="-21"/>
        </w:rPr>
        <w:t xml:space="preserve"> </w:t>
      </w:r>
      <w:r>
        <w:rPr>
          <w:color w:val="231F20"/>
        </w:rPr>
        <w:t>Sickle</w:t>
      </w:r>
      <w:r>
        <w:rPr>
          <w:color w:val="231F20"/>
          <w:spacing w:val="-22"/>
        </w:rPr>
        <w:t xml:space="preserve"> </w:t>
      </w:r>
      <w:r>
        <w:rPr>
          <w:color w:val="231F20"/>
        </w:rPr>
        <w:t xml:space="preserve">cell </w:t>
      </w:r>
      <w:r>
        <w:rPr>
          <w:color w:val="231F20"/>
          <w:spacing w:val="-5"/>
        </w:rPr>
        <w:t xml:space="preserve">Day, </w:t>
      </w:r>
      <w:r>
        <w:rPr>
          <w:color w:val="231F20"/>
        </w:rPr>
        <w:t>World Breast and Cervical Cancer Month &amp; World Bronchial Asthma Month for highlighting problem</w:t>
      </w:r>
      <w:r>
        <w:rPr>
          <w:color w:val="231F20"/>
          <w:spacing w:val="-25"/>
        </w:rPr>
        <w:t xml:space="preserve"> </w:t>
      </w:r>
      <w:r>
        <w:rPr>
          <w:color w:val="231F20"/>
        </w:rPr>
        <w:t>associated</w:t>
      </w:r>
      <w:r>
        <w:rPr>
          <w:color w:val="231F20"/>
          <w:spacing w:val="-25"/>
        </w:rPr>
        <w:t xml:space="preserve"> </w:t>
      </w:r>
      <w:r>
        <w:rPr>
          <w:color w:val="231F20"/>
        </w:rPr>
        <w:t>with</w:t>
      </w:r>
      <w:r>
        <w:rPr>
          <w:color w:val="231F20"/>
          <w:spacing w:val="-26"/>
        </w:rPr>
        <w:t xml:space="preserve"> </w:t>
      </w:r>
      <w:r>
        <w:rPr>
          <w:color w:val="231F20"/>
        </w:rPr>
        <w:t>these</w:t>
      </w:r>
      <w:r>
        <w:rPr>
          <w:color w:val="231F20"/>
          <w:spacing w:val="-25"/>
        </w:rPr>
        <w:t xml:space="preserve"> </w:t>
      </w:r>
      <w:r>
        <w:rPr>
          <w:color w:val="231F20"/>
        </w:rPr>
        <w:t>disease.</w:t>
      </w:r>
    </w:p>
    <w:p w14:paraId="3282CE9D" w14:textId="77777777" w:rsidR="009948F1" w:rsidRDefault="009948F1">
      <w:pPr>
        <w:pStyle w:val="BodyText"/>
        <w:spacing w:before="8"/>
        <w:rPr>
          <w:sz w:val="24"/>
        </w:rPr>
      </w:pPr>
    </w:p>
    <w:p w14:paraId="5F3D256A" w14:textId="42466848" w:rsidR="009948F1" w:rsidRDefault="00BC0563">
      <w:pPr>
        <w:pStyle w:val="ListParagraph"/>
        <w:numPr>
          <w:ilvl w:val="3"/>
          <w:numId w:val="284"/>
        </w:numPr>
        <w:tabs>
          <w:tab w:val="left" w:pos="852"/>
        </w:tabs>
        <w:spacing w:line="271" w:lineRule="auto"/>
        <w:ind w:right="195" w:firstLine="0"/>
      </w:pPr>
      <w:r>
        <w:rPr>
          <w:color w:val="231F20"/>
        </w:rPr>
        <w:t>Promote</w:t>
      </w:r>
      <w:r>
        <w:rPr>
          <w:color w:val="231F20"/>
          <w:spacing w:val="-11"/>
        </w:rPr>
        <w:t xml:space="preserve"> </w:t>
      </w:r>
      <w:r>
        <w:rPr>
          <w:color w:val="231F20"/>
        </w:rPr>
        <w:t>healthy</w:t>
      </w:r>
      <w:r>
        <w:rPr>
          <w:color w:val="231F20"/>
          <w:spacing w:val="-10"/>
        </w:rPr>
        <w:t xml:space="preserve"> </w:t>
      </w:r>
      <w:r>
        <w:rPr>
          <w:color w:val="231F20"/>
        </w:rPr>
        <w:t>lifestyles</w:t>
      </w:r>
      <w:r>
        <w:rPr>
          <w:color w:val="231F20"/>
          <w:spacing w:val="-10"/>
        </w:rPr>
        <w:t xml:space="preserve"> </w:t>
      </w:r>
      <w:r>
        <w:rPr>
          <w:color w:val="231F20"/>
        </w:rPr>
        <w:t>and</w:t>
      </w:r>
      <w:r>
        <w:rPr>
          <w:color w:val="231F20"/>
          <w:spacing w:val="-10"/>
        </w:rPr>
        <w:t xml:space="preserve"> </w:t>
      </w:r>
      <w:proofErr w:type="spellStart"/>
      <w:r>
        <w:rPr>
          <w:color w:val="231F20"/>
        </w:rPr>
        <w:t>behaviour</w:t>
      </w:r>
      <w:proofErr w:type="spellEnd"/>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prevention</w:t>
      </w:r>
      <w:r>
        <w:rPr>
          <w:color w:val="231F20"/>
          <w:spacing w:val="-10"/>
        </w:rPr>
        <w:t xml:space="preserve"> </w:t>
      </w:r>
      <w:r>
        <w:rPr>
          <w:color w:val="231F20"/>
        </w:rPr>
        <w:t>of</w:t>
      </w:r>
      <w:r>
        <w:rPr>
          <w:color w:val="231F20"/>
          <w:spacing w:val="-10"/>
        </w:rPr>
        <w:t xml:space="preserve"> </w:t>
      </w:r>
      <w:r>
        <w:rPr>
          <w:color w:val="231F20"/>
        </w:rPr>
        <w:t>NCDs.</w:t>
      </w:r>
      <w:r>
        <w:rPr>
          <w:color w:val="231F20"/>
          <w:spacing w:val="-10"/>
        </w:rPr>
        <w:t xml:space="preserve"> </w:t>
      </w:r>
      <w:r>
        <w:rPr>
          <w:color w:val="231F20"/>
        </w:rPr>
        <w:t>Key</w:t>
      </w:r>
      <w:r>
        <w:rPr>
          <w:color w:val="231F20"/>
          <w:spacing w:val="-10"/>
        </w:rPr>
        <w:t xml:space="preserve"> </w:t>
      </w:r>
      <w:r>
        <w:rPr>
          <w:color w:val="231F20"/>
        </w:rPr>
        <w:t>action</w:t>
      </w:r>
      <w:r>
        <w:rPr>
          <w:color w:val="231F20"/>
          <w:spacing w:val="-11"/>
        </w:rPr>
        <w:t xml:space="preserve"> </w:t>
      </w:r>
      <w:r>
        <w:rPr>
          <w:color w:val="231F20"/>
        </w:rPr>
        <w:t>include;</w:t>
      </w:r>
      <w:r>
        <w:rPr>
          <w:color w:val="231F20"/>
          <w:spacing w:val="-10"/>
        </w:rPr>
        <w:t xml:space="preserve"> </w:t>
      </w:r>
      <w:r>
        <w:rPr>
          <w:color w:val="231F20"/>
        </w:rPr>
        <w:t xml:space="preserve">– Establish public awareness </w:t>
      </w:r>
      <w:proofErr w:type="spellStart"/>
      <w:r>
        <w:rPr>
          <w:color w:val="231F20"/>
        </w:rPr>
        <w:t>programmes</w:t>
      </w:r>
      <w:proofErr w:type="spellEnd"/>
      <w:r>
        <w:rPr>
          <w:color w:val="231F20"/>
        </w:rPr>
        <w:t xml:space="preserve"> to promote healthy lifestyles and increase physical activities including advertisement to discourage and prohibit tobacco amongst the populace; Conduct screening </w:t>
      </w:r>
      <w:proofErr w:type="spellStart"/>
      <w:r>
        <w:rPr>
          <w:color w:val="231F20"/>
        </w:rPr>
        <w:t>programmes</w:t>
      </w:r>
      <w:proofErr w:type="spellEnd"/>
      <w:r>
        <w:rPr>
          <w:color w:val="231F20"/>
        </w:rPr>
        <w:t xml:space="preserve"> for clinical breast examination, 2 yearly mammogram examination, 3 yearly </w:t>
      </w:r>
      <w:r>
        <w:rPr>
          <w:color w:val="231F20"/>
          <w:spacing w:val="-6"/>
        </w:rPr>
        <w:t xml:space="preserve">PAP </w:t>
      </w:r>
      <w:r>
        <w:rPr>
          <w:color w:val="231F20"/>
        </w:rPr>
        <w:t xml:space="preserve">examination in the target population, women of reproductive </w:t>
      </w:r>
      <w:r>
        <w:rPr>
          <w:color w:val="231F20"/>
          <w:spacing w:val="-3"/>
        </w:rPr>
        <w:t>age;</w:t>
      </w:r>
      <w:r>
        <w:rPr>
          <w:color w:val="231F20"/>
          <w:spacing w:val="55"/>
        </w:rPr>
        <w:t xml:space="preserve"> </w:t>
      </w:r>
      <w:r>
        <w:rPr>
          <w:color w:val="231F20"/>
        </w:rPr>
        <w:t>Produce &amp; distribute approved health posters by State</w:t>
      </w:r>
      <w:r w:rsidR="006A2ECE">
        <w:rPr>
          <w:color w:val="231F20"/>
        </w:rPr>
        <w:t xml:space="preserve"> </w:t>
      </w:r>
      <w:r>
        <w:rPr>
          <w:color w:val="231F20"/>
        </w:rPr>
        <w:t xml:space="preserve">Ministry of Health for NCDs; Establish </w:t>
      </w:r>
      <w:proofErr w:type="spellStart"/>
      <w:r>
        <w:rPr>
          <w:color w:val="231F20"/>
        </w:rPr>
        <w:t>programmes</w:t>
      </w:r>
      <w:proofErr w:type="spellEnd"/>
      <w:r>
        <w:rPr>
          <w:color w:val="231F20"/>
        </w:rPr>
        <w:t xml:space="preserve"> to address NCD risk factors such as physical inactivity, unhealthy diet, tobacco </w:t>
      </w:r>
      <w:r>
        <w:rPr>
          <w:color w:val="231F20"/>
          <w:spacing w:val="-4"/>
        </w:rPr>
        <w:t xml:space="preserve">use </w:t>
      </w:r>
      <w:r>
        <w:rPr>
          <w:color w:val="231F20"/>
        </w:rPr>
        <w:t>and</w:t>
      </w:r>
      <w:r>
        <w:rPr>
          <w:color w:val="231F20"/>
          <w:spacing w:val="36"/>
        </w:rPr>
        <w:t xml:space="preserve"> </w:t>
      </w:r>
      <w:r>
        <w:rPr>
          <w:color w:val="231F20"/>
        </w:rPr>
        <w:t>harmful</w:t>
      </w:r>
      <w:r>
        <w:rPr>
          <w:color w:val="231F20"/>
          <w:spacing w:val="-25"/>
        </w:rPr>
        <w:t xml:space="preserve"> </w:t>
      </w:r>
      <w:r>
        <w:rPr>
          <w:color w:val="231F20"/>
        </w:rPr>
        <w:t>use</w:t>
      </w:r>
      <w:r>
        <w:rPr>
          <w:color w:val="231F20"/>
          <w:spacing w:val="-25"/>
        </w:rPr>
        <w:t xml:space="preserve"> </w:t>
      </w:r>
      <w:r>
        <w:rPr>
          <w:color w:val="231F20"/>
        </w:rPr>
        <w:t>of</w:t>
      </w:r>
      <w:r>
        <w:rPr>
          <w:color w:val="231F20"/>
          <w:spacing w:val="-25"/>
        </w:rPr>
        <w:t xml:space="preserve"> </w:t>
      </w:r>
      <w:r>
        <w:rPr>
          <w:color w:val="231F20"/>
        </w:rPr>
        <w:t>alcohol</w:t>
      </w:r>
      <w:r>
        <w:rPr>
          <w:color w:val="231F20"/>
          <w:spacing w:val="-25"/>
        </w:rPr>
        <w:t xml:space="preserve"> </w:t>
      </w:r>
      <w:r>
        <w:rPr>
          <w:color w:val="231F20"/>
        </w:rPr>
        <w:t>in</w:t>
      </w:r>
      <w:r>
        <w:rPr>
          <w:color w:val="231F20"/>
          <w:spacing w:val="-25"/>
        </w:rPr>
        <w:t xml:space="preserve"> </w:t>
      </w:r>
      <w:r>
        <w:rPr>
          <w:color w:val="231F20"/>
        </w:rPr>
        <w:t>schools,</w:t>
      </w:r>
      <w:r>
        <w:rPr>
          <w:color w:val="231F20"/>
          <w:spacing w:val="-25"/>
        </w:rPr>
        <w:t xml:space="preserve"> </w:t>
      </w:r>
      <w:r>
        <w:rPr>
          <w:color w:val="231F20"/>
        </w:rPr>
        <w:t>religious</w:t>
      </w:r>
      <w:r>
        <w:rPr>
          <w:color w:val="231F20"/>
          <w:spacing w:val="-25"/>
        </w:rPr>
        <w:t xml:space="preserve"> </w:t>
      </w:r>
      <w:r>
        <w:rPr>
          <w:color w:val="231F20"/>
        </w:rPr>
        <w:t>places,</w:t>
      </w:r>
      <w:r>
        <w:rPr>
          <w:color w:val="231F20"/>
          <w:spacing w:val="-25"/>
        </w:rPr>
        <w:t xml:space="preserve"> </w:t>
      </w:r>
      <w:r>
        <w:rPr>
          <w:color w:val="231F20"/>
        </w:rPr>
        <w:t>etc.</w:t>
      </w:r>
    </w:p>
    <w:p w14:paraId="47D13F2E" w14:textId="77777777" w:rsidR="009948F1" w:rsidRDefault="009948F1">
      <w:pPr>
        <w:pStyle w:val="BodyText"/>
        <w:spacing w:before="8"/>
        <w:rPr>
          <w:sz w:val="24"/>
        </w:rPr>
      </w:pPr>
    </w:p>
    <w:p w14:paraId="4171A239" w14:textId="3AF89AA5" w:rsidR="009948F1" w:rsidRDefault="00BC0563">
      <w:pPr>
        <w:pStyle w:val="ListParagraph"/>
        <w:numPr>
          <w:ilvl w:val="3"/>
          <w:numId w:val="284"/>
        </w:numPr>
        <w:tabs>
          <w:tab w:val="left" w:pos="862"/>
        </w:tabs>
        <w:spacing w:before="1" w:line="271" w:lineRule="auto"/>
        <w:ind w:right="195" w:firstLine="0"/>
      </w:pPr>
      <w:r>
        <w:rPr>
          <w:color w:val="231F20"/>
        </w:rPr>
        <w:t xml:space="preserve">Expand access (geographic and financial etc.) to NCD prevention, screening, control </w:t>
      </w:r>
      <w:r>
        <w:rPr>
          <w:color w:val="231F20"/>
          <w:spacing w:val="-6"/>
        </w:rPr>
        <w:t xml:space="preserve">and </w:t>
      </w:r>
      <w:r>
        <w:rPr>
          <w:color w:val="231F20"/>
        </w:rPr>
        <w:t>treatment services. Key actions include; – Identify facilities rendering NCD services in the state, both public and private for monitoring and supervision; Develop SOPs for NCDs in all Health facilities in the state; Provide screening to</w:t>
      </w:r>
      <w:r w:rsidR="00FE4EDF">
        <w:rPr>
          <w:color w:val="231F20"/>
        </w:rPr>
        <w:t xml:space="preserve">ols such as VIAs, Mammogram, </w:t>
      </w:r>
      <w:proofErr w:type="spellStart"/>
      <w:r w:rsidR="00FE4EDF">
        <w:rPr>
          <w:color w:val="231F20"/>
        </w:rPr>
        <w:t>Acc</w:t>
      </w:r>
      <w:r>
        <w:rPr>
          <w:color w:val="231F20"/>
        </w:rPr>
        <w:t>u</w:t>
      </w:r>
      <w:proofErr w:type="spellEnd"/>
      <w:r w:rsidR="00CF6E75">
        <w:rPr>
          <w:color w:val="231F20"/>
        </w:rPr>
        <w:t>-</w:t>
      </w:r>
      <w:r>
        <w:rPr>
          <w:color w:val="231F20"/>
        </w:rPr>
        <w:t xml:space="preserve">check </w:t>
      </w:r>
      <w:proofErr w:type="spellStart"/>
      <w:r>
        <w:rPr>
          <w:color w:val="231F20"/>
        </w:rPr>
        <w:t>metres</w:t>
      </w:r>
      <w:proofErr w:type="spellEnd"/>
      <w:r>
        <w:rPr>
          <w:color w:val="231F20"/>
        </w:rPr>
        <w:t>, Sphygmomanometers</w:t>
      </w:r>
      <w:r>
        <w:rPr>
          <w:color w:val="231F20"/>
          <w:spacing w:val="-14"/>
        </w:rPr>
        <w:t xml:space="preserve"> </w:t>
      </w:r>
      <w:proofErr w:type="spellStart"/>
      <w:r>
        <w:rPr>
          <w:color w:val="231F20"/>
        </w:rPr>
        <w:t>etc</w:t>
      </w:r>
      <w:proofErr w:type="spellEnd"/>
      <w:r>
        <w:rPr>
          <w:color w:val="231F20"/>
        </w:rPr>
        <w:t>;</w:t>
      </w:r>
      <w:r>
        <w:rPr>
          <w:color w:val="231F20"/>
          <w:spacing w:val="-14"/>
        </w:rPr>
        <w:t xml:space="preserve"> </w:t>
      </w:r>
      <w:r>
        <w:rPr>
          <w:color w:val="231F20"/>
        </w:rPr>
        <w:t>Operating</w:t>
      </w:r>
      <w:r>
        <w:rPr>
          <w:color w:val="231F20"/>
          <w:spacing w:val="-14"/>
        </w:rPr>
        <w:t xml:space="preserve"> </w:t>
      </w:r>
      <w:r>
        <w:rPr>
          <w:color w:val="231F20"/>
        </w:rPr>
        <w:t>cost</w:t>
      </w:r>
      <w:r>
        <w:rPr>
          <w:color w:val="231F20"/>
          <w:spacing w:val="-14"/>
        </w:rPr>
        <w:t xml:space="preserve"> </w:t>
      </w:r>
      <w:r>
        <w:rPr>
          <w:color w:val="231F20"/>
        </w:rPr>
        <w:t>for</w:t>
      </w:r>
      <w:r>
        <w:rPr>
          <w:color w:val="231F20"/>
          <w:spacing w:val="-14"/>
        </w:rPr>
        <w:t xml:space="preserve"> </w:t>
      </w:r>
      <w:r>
        <w:rPr>
          <w:color w:val="231F20"/>
        </w:rPr>
        <w:t>engaging</w:t>
      </w:r>
      <w:r>
        <w:rPr>
          <w:color w:val="231F20"/>
          <w:spacing w:val="-14"/>
        </w:rPr>
        <w:t xml:space="preserve"> </w:t>
      </w:r>
      <w:r>
        <w:rPr>
          <w:color w:val="231F20"/>
        </w:rPr>
        <w:t>and</w:t>
      </w:r>
      <w:r>
        <w:rPr>
          <w:color w:val="231F20"/>
          <w:spacing w:val="-14"/>
        </w:rPr>
        <w:t xml:space="preserve"> </w:t>
      </w:r>
      <w:r>
        <w:rPr>
          <w:color w:val="231F20"/>
        </w:rPr>
        <w:t>supervising</w:t>
      </w:r>
      <w:r>
        <w:rPr>
          <w:color w:val="231F20"/>
          <w:spacing w:val="-14"/>
        </w:rPr>
        <w:t xml:space="preserve"> </w:t>
      </w:r>
      <w:r>
        <w:rPr>
          <w:color w:val="231F20"/>
        </w:rPr>
        <w:t>the</w:t>
      </w:r>
      <w:r>
        <w:rPr>
          <w:color w:val="231F20"/>
          <w:spacing w:val="-14"/>
        </w:rPr>
        <w:t xml:space="preserve"> </w:t>
      </w:r>
      <w:r>
        <w:rPr>
          <w:color w:val="231F20"/>
        </w:rPr>
        <w:t>contractor</w:t>
      </w:r>
      <w:r>
        <w:rPr>
          <w:color w:val="231F20"/>
          <w:spacing w:val="-15"/>
        </w:rPr>
        <w:t xml:space="preserve"> </w:t>
      </w:r>
      <w:r>
        <w:rPr>
          <w:color w:val="231F20"/>
        </w:rPr>
        <w:t>to</w:t>
      </w:r>
      <w:r>
        <w:rPr>
          <w:color w:val="231F20"/>
          <w:spacing w:val="-14"/>
        </w:rPr>
        <w:t xml:space="preserve"> </w:t>
      </w:r>
      <w:r>
        <w:rPr>
          <w:color w:val="231F20"/>
        </w:rPr>
        <w:t>establish comprehensive</w:t>
      </w:r>
      <w:r>
        <w:rPr>
          <w:color w:val="231F20"/>
          <w:spacing w:val="-25"/>
        </w:rPr>
        <w:t xml:space="preserve"> </w:t>
      </w:r>
      <w:r>
        <w:rPr>
          <w:color w:val="231F20"/>
        </w:rPr>
        <w:t>NCD</w:t>
      </w:r>
      <w:r>
        <w:rPr>
          <w:color w:val="231F20"/>
          <w:spacing w:val="-26"/>
        </w:rPr>
        <w:t xml:space="preserve"> </w:t>
      </w:r>
      <w:r>
        <w:rPr>
          <w:color w:val="231F20"/>
        </w:rPr>
        <w:t>treatment/Cancer</w:t>
      </w:r>
      <w:r>
        <w:rPr>
          <w:color w:val="231F20"/>
          <w:spacing w:val="-25"/>
        </w:rPr>
        <w:t xml:space="preserve"> </w:t>
      </w:r>
      <w:r>
        <w:rPr>
          <w:color w:val="231F20"/>
        </w:rPr>
        <w:t>treatment/Radiotherapy</w:t>
      </w:r>
      <w:r>
        <w:rPr>
          <w:color w:val="231F20"/>
          <w:spacing w:val="-25"/>
        </w:rPr>
        <w:t xml:space="preserve"> </w:t>
      </w:r>
      <w:proofErr w:type="spellStart"/>
      <w:r>
        <w:rPr>
          <w:color w:val="231F20"/>
        </w:rPr>
        <w:t>centres</w:t>
      </w:r>
      <w:proofErr w:type="spellEnd"/>
      <w:r>
        <w:rPr>
          <w:color w:val="231F20"/>
        </w:rPr>
        <w:t>.</w:t>
      </w:r>
    </w:p>
    <w:p w14:paraId="3F694EBB" w14:textId="77777777" w:rsidR="009948F1" w:rsidRDefault="009948F1">
      <w:pPr>
        <w:pStyle w:val="BodyText"/>
        <w:spacing w:before="8"/>
        <w:rPr>
          <w:sz w:val="24"/>
        </w:rPr>
      </w:pPr>
    </w:p>
    <w:p w14:paraId="45FE3699" w14:textId="77777777" w:rsidR="009948F1" w:rsidRDefault="00BC0563">
      <w:pPr>
        <w:pStyle w:val="ListParagraph"/>
        <w:numPr>
          <w:ilvl w:val="3"/>
          <w:numId w:val="284"/>
        </w:numPr>
        <w:tabs>
          <w:tab w:val="left" w:pos="877"/>
        </w:tabs>
        <w:spacing w:line="271" w:lineRule="auto"/>
        <w:ind w:right="196" w:firstLine="0"/>
      </w:pPr>
      <w:r>
        <w:rPr>
          <w:color w:val="231F20"/>
        </w:rPr>
        <w:t>Increase the quality of life affected by NCDs. Key actions include; – Establishment of a multidisciplinary management team for prevention and control of NCDs; Provide psychotherapy and vocational rehabilitation to all patients undergoing diagnosis, treatment and rehabilitation; Expand</w:t>
      </w:r>
      <w:r>
        <w:rPr>
          <w:color w:val="231F20"/>
          <w:spacing w:val="-10"/>
        </w:rPr>
        <w:t xml:space="preserve"> </w:t>
      </w:r>
      <w:r>
        <w:rPr>
          <w:color w:val="231F20"/>
        </w:rPr>
        <w:t>the</w:t>
      </w:r>
      <w:r>
        <w:rPr>
          <w:color w:val="231F20"/>
          <w:spacing w:val="-9"/>
        </w:rPr>
        <w:t xml:space="preserve"> </w:t>
      </w:r>
      <w:r>
        <w:rPr>
          <w:color w:val="231F20"/>
        </w:rPr>
        <w:t>availability</w:t>
      </w:r>
      <w:r>
        <w:rPr>
          <w:color w:val="231F20"/>
          <w:spacing w:val="-9"/>
        </w:rPr>
        <w:t xml:space="preserve"> </w:t>
      </w:r>
      <w:r>
        <w:rPr>
          <w:color w:val="231F20"/>
        </w:rPr>
        <w:t>of</w:t>
      </w:r>
      <w:r>
        <w:rPr>
          <w:color w:val="231F20"/>
          <w:spacing w:val="-9"/>
        </w:rPr>
        <w:t xml:space="preserve"> </w:t>
      </w:r>
      <w:r>
        <w:rPr>
          <w:color w:val="231F20"/>
        </w:rPr>
        <w:t>drugs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essential</w:t>
      </w:r>
      <w:r>
        <w:rPr>
          <w:color w:val="231F20"/>
          <w:spacing w:val="-9"/>
        </w:rPr>
        <w:t xml:space="preserve"> </w:t>
      </w:r>
      <w:r>
        <w:rPr>
          <w:color w:val="231F20"/>
        </w:rPr>
        <w:t>drug</w:t>
      </w:r>
      <w:r>
        <w:rPr>
          <w:color w:val="231F20"/>
          <w:spacing w:val="-9"/>
        </w:rPr>
        <w:t xml:space="preserve"> </w:t>
      </w:r>
      <w:r>
        <w:rPr>
          <w:color w:val="231F20"/>
        </w:rPr>
        <w:t>list</w:t>
      </w:r>
      <w:r>
        <w:rPr>
          <w:color w:val="231F20"/>
          <w:spacing w:val="-9"/>
        </w:rPr>
        <w:t xml:space="preserve"> </w:t>
      </w:r>
      <w:r>
        <w:rPr>
          <w:color w:val="231F20"/>
        </w:rPr>
        <w:t>such</w:t>
      </w:r>
      <w:r>
        <w:rPr>
          <w:color w:val="231F20"/>
          <w:spacing w:val="-10"/>
        </w:rPr>
        <w:t xml:space="preserve"> </w:t>
      </w:r>
      <w:r>
        <w:rPr>
          <w:color w:val="231F20"/>
        </w:rPr>
        <w:t>as</w:t>
      </w:r>
      <w:r>
        <w:rPr>
          <w:color w:val="231F20"/>
          <w:spacing w:val="-9"/>
        </w:rPr>
        <w:t xml:space="preserve"> </w:t>
      </w:r>
      <w:r>
        <w:rPr>
          <w:color w:val="231F20"/>
        </w:rPr>
        <w:t>drugs</w:t>
      </w:r>
      <w:r>
        <w:rPr>
          <w:color w:val="231F20"/>
          <w:spacing w:val="-9"/>
        </w:rPr>
        <w:t xml:space="preserve"> </w:t>
      </w:r>
      <w:r>
        <w:rPr>
          <w:color w:val="231F20"/>
        </w:rPr>
        <w:t>used</w:t>
      </w:r>
      <w:r>
        <w:rPr>
          <w:color w:val="231F20"/>
          <w:spacing w:val="-9"/>
        </w:rPr>
        <w:t xml:space="preserve"> </w:t>
      </w:r>
      <w:r>
        <w:rPr>
          <w:color w:val="231F20"/>
        </w:rPr>
        <w:t>for</w:t>
      </w:r>
      <w:r>
        <w:rPr>
          <w:color w:val="231F20"/>
          <w:spacing w:val="-9"/>
        </w:rPr>
        <w:t xml:space="preserve"> </w:t>
      </w:r>
      <w:r>
        <w:rPr>
          <w:color w:val="231F20"/>
        </w:rPr>
        <w:t>palliative</w:t>
      </w:r>
      <w:r>
        <w:rPr>
          <w:color w:val="231F20"/>
          <w:spacing w:val="-9"/>
        </w:rPr>
        <w:t xml:space="preserve"> </w:t>
      </w:r>
      <w:r>
        <w:rPr>
          <w:color w:val="231F20"/>
        </w:rPr>
        <w:t>care</w:t>
      </w:r>
      <w:r>
        <w:rPr>
          <w:color w:val="231F20"/>
          <w:spacing w:val="-9"/>
        </w:rPr>
        <w:t xml:space="preserve"> </w:t>
      </w:r>
      <w:r>
        <w:rPr>
          <w:color w:val="231F20"/>
        </w:rPr>
        <w:t>and treatment</w:t>
      </w:r>
      <w:r>
        <w:rPr>
          <w:color w:val="231F20"/>
          <w:spacing w:val="-26"/>
        </w:rPr>
        <w:t xml:space="preserve"> </w:t>
      </w:r>
      <w:r>
        <w:rPr>
          <w:color w:val="231F20"/>
        </w:rPr>
        <w:t>of</w:t>
      </w:r>
      <w:r>
        <w:rPr>
          <w:color w:val="231F20"/>
          <w:spacing w:val="-25"/>
        </w:rPr>
        <w:t xml:space="preserve"> </w:t>
      </w:r>
      <w:r>
        <w:rPr>
          <w:color w:val="231F20"/>
        </w:rPr>
        <w:t>NCDs;</w:t>
      </w:r>
      <w:r>
        <w:rPr>
          <w:color w:val="231F20"/>
          <w:spacing w:val="-25"/>
        </w:rPr>
        <w:t xml:space="preserve"> </w:t>
      </w:r>
      <w:r>
        <w:rPr>
          <w:color w:val="231F20"/>
        </w:rPr>
        <w:t>Provide</w:t>
      </w:r>
      <w:r>
        <w:rPr>
          <w:color w:val="231F20"/>
          <w:spacing w:val="-25"/>
        </w:rPr>
        <w:t xml:space="preserve"> </w:t>
      </w:r>
      <w:r>
        <w:rPr>
          <w:color w:val="231F20"/>
        </w:rPr>
        <w:t>prosthetic</w:t>
      </w:r>
      <w:r>
        <w:rPr>
          <w:color w:val="231F20"/>
          <w:spacing w:val="-25"/>
        </w:rPr>
        <w:t xml:space="preserve"> </w:t>
      </w:r>
      <w:r>
        <w:rPr>
          <w:color w:val="231F20"/>
        </w:rPr>
        <w:t>aides</w:t>
      </w:r>
      <w:r>
        <w:rPr>
          <w:color w:val="231F20"/>
          <w:spacing w:val="-25"/>
        </w:rPr>
        <w:t xml:space="preserve"> </w:t>
      </w:r>
      <w:r>
        <w:rPr>
          <w:color w:val="231F20"/>
        </w:rPr>
        <w:t>for</w:t>
      </w:r>
      <w:r>
        <w:rPr>
          <w:color w:val="231F20"/>
          <w:spacing w:val="-25"/>
        </w:rPr>
        <w:t xml:space="preserve"> </w:t>
      </w:r>
      <w:r>
        <w:rPr>
          <w:color w:val="231F20"/>
        </w:rPr>
        <w:t>patients</w:t>
      </w:r>
      <w:r>
        <w:rPr>
          <w:color w:val="231F20"/>
          <w:spacing w:val="-25"/>
        </w:rPr>
        <w:t xml:space="preserve"> </w:t>
      </w:r>
      <w:r>
        <w:rPr>
          <w:color w:val="231F20"/>
        </w:rPr>
        <w:t>affected</w:t>
      </w:r>
      <w:r>
        <w:rPr>
          <w:color w:val="231F20"/>
          <w:spacing w:val="-26"/>
        </w:rPr>
        <w:t xml:space="preserve"> </w:t>
      </w:r>
      <w:r>
        <w:rPr>
          <w:color w:val="231F20"/>
        </w:rPr>
        <w:t>by</w:t>
      </w:r>
      <w:r>
        <w:rPr>
          <w:color w:val="231F20"/>
          <w:spacing w:val="-25"/>
        </w:rPr>
        <w:t xml:space="preserve"> </w:t>
      </w:r>
      <w:r>
        <w:rPr>
          <w:color w:val="231F20"/>
        </w:rPr>
        <w:t>NCD</w:t>
      </w:r>
      <w:r>
        <w:rPr>
          <w:color w:val="231F20"/>
          <w:spacing w:val="-25"/>
        </w:rPr>
        <w:t xml:space="preserve"> </w:t>
      </w:r>
      <w:r>
        <w:rPr>
          <w:color w:val="231F20"/>
        </w:rPr>
        <w:t>complications.</w:t>
      </w:r>
    </w:p>
    <w:p w14:paraId="44815D2E" w14:textId="77777777" w:rsidR="009948F1" w:rsidRDefault="009948F1">
      <w:pPr>
        <w:pStyle w:val="BodyText"/>
        <w:spacing w:before="9"/>
        <w:rPr>
          <w:sz w:val="24"/>
        </w:rPr>
      </w:pPr>
    </w:p>
    <w:p w14:paraId="31E08022" w14:textId="1AD57634" w:rsidR="009948F1" w:rsidRDefault="00BC0563">
      <w:pPr>
        <w:pStyle w:val="ListParagraph"/>
        <w:numPr>
          <w:ilvl w:val="3"/>
          <w:numId w:val="284"/>
        </w:numPr>
        <w:tabs>
          <w:tab w:val="left" w:pos="859"/>
        </w:tabs>
        <w:spacing w:line="271" w:lineRule="auto"/>
        <w:ind w:left="126" w:right="196" w:firstLine="0"/>
      </w:pPr>
      <w:r>
        <w:rPr>
          <w:color w:val="231F20"/>
        </w:rPr>
        <w:t>Build capacity of health care providers, especially at lower levels (PHC) in prevention</w:t>
      </w:r>
      <w:r>
        <w:rPr>
          <w:color w:val="231F20"/>
          <w:spacing w:val="-41"/>
        </w:rPr>
        <w:t xml:space="preserve"> </w:t>
      </w:r>
      <w:r>
        <w:rPr>
          <w:color w:val="231F20"/>
        </w:rPr>
        <w:t>and screening</w:t>
      </w:r>
      <w:r>
        <w:rPr>
          <w:color w:val="231F20"/>
          <w:spacing w:val="-7"/>
        </w:rPr>
        <w:t xml:space="preserve"> </w:t>
      </w:r>
      <w:r>
        <w:rPr>
          <w:color w:val="231F20"/>
        </w:rPr>
        <w:t>for</w:t>
      </w:r>
      <w:r>
        <w:rPr>
          <w:color w:val="231F20"/>
          <w:spacing w:val="-6"/>
        </w:rPr>
        <w:t xml:space="preserve"> </w:t>
      </w:r>
      <w:r>
        <w:rPr>
          <w:color w:val="231F20"/>
        </w:rPr>
        <w:t>NCDs:</w:t>
      </w:r>
      <w:r>
        <w:rPr>
          <w:color w:val="231F20"/>
          <w:spacing w:val="-6"/>
        </w:rPr>
        <w:t xml:space="preserve"> </w:t>
      </w:r>
      <w:r>
        <w:rPr>
          <w:color w:val="231F20"/>
        </w:rPr>
        <w:t>Key</w:t>
      </w:r>
      <w:r>
        <w:rPr>
          <w:color w:val="231F20"/>
          <w:spacing w:val="-6"/>
        </w:rPr>
        <w:t xml:space="preserve"> </w:t>
      </w:r>
      <w:r>
        <w:rPr>
          <w:color w:val="231F20"/>
        </w:rPr>
        <w:t>actions</w:t>
      </w:r>
      <w:r>
        <w:rPr>
          <w:color w:val="231F20"/>
          <w:spacing w:val="-6"/>
        </w:rPr>
        <w:t xml:space="preserve"> </w:t>
      </w:r>
      <w:r>
        <w:rPr>
          <w:color w:val="231F20"/>
        </w:rPr>
        <w:t>include;</w:t>
      </w:r>
      <w:r>
        <w:rPr>
          <w:color w:val="231F20"/>
          <w:spacing w:val="-6"/>
        </w:rPr>
        <w:t xml:space="preserve"> </w:t>
      </w:r>
      <w:r>
        <w:rPr>
          <w:color w:val="231F20"/>
        </w:rPr>
        <w:t>–</w:t>
      </w:r>
      <w:r>
        <w:rPr>
          <w:color w:val="231F20"/>
          <w:spacing w:val="-6"/>
        </w:rPr>
        <w:t xml:space="preserve"> </w:t>
      </w:r>
      <w:r>
        <w:rPr>
          <w:color w:val="231F20"/>
        </w:rPr>
        <w:t>Develop</w:t>
      </w:r>
      <w:r>
        <w:rPr>
          <w:color w:val="231F20"/>
          <w:spacing w:val="-6"/>
        </w:rPr>
        <w:t xml:space="preserve"> </w:t>
      </w:r>
      <w:r>
        <w:rPr>
          <w:color w:val="231F20"/>
        </w:rPr>
        <w:t>&amp;</w:t>
      </w:r>
      <w:r>
        <w:rPr>
          <w:color w:val="231F20"/>
          <w:spacing w:val="-6"/>
        </w:rPr>
        <w:t xml:space="preserve"> </w:t>
      </w:r>
      <w:r>
        <w:rPr>
          <w:color w:val="231F20"/>
        </w:rPr>
        <w:t>disseminate</w:t>
      </w:r>
      <w:r>
        <w:rPr>
          <w:color w:val="231F20"/>
          <w:spacing w:val="-6"/>
        </w:rPr>
        <w:t xml:space="preserve"> </w:t>
      </w:r>
      <w:r>
        <w:rPr>
          <w:color w:val="231F20"/>
        </w:rPr>
        <w:t>guides</w:t>
      </w:r>
      <w:r>
        <w:rPr>
          <w:color w:val="231F20"/>
          <w:spacing w:val="-7"/>
        </w:rPr>
        <w:t xml:space="preserve"> </w:t>
      </w:r>
      <w:r>
        <w:rPr>
          <w:color w:val="231F20"/>
        </w:rPr>
        <w:t>lines</w:t>
      </w:r>
      <w:r>
        <w:rPr>
          <w:color w:val="231F20"/>
          <w:spacing w:val="-6"/>
        </w:rPr>
        <w:t xml:space="preserve"> </w:t>
      </w:r>
      <w:r>
        <w:rPr>
          <w:color w:val="231F20"/>
        </w:rPr>
        <w:t>and</w:t>
      </w:r>
      <w:r>
        <w:rPr>
          <w:color w:val="231F20"/>
          <w:spacing w:val="-6"/>
        </w:rPr>
        <w:t xml:space="preserve"> </w:t>
      </w:r>
      <w:r>
        <w:rPr>
          <w:color w:val="231F20"/>
        </w:rPr>
        <w:t>SOPs</w:t>
      </w:r>
      <w:r>
        <w:rPr>
          <w:color w:val="231F20"/>
          <w:spacing w:val="-6"/>
        </w:rPr>
        <w:t xml:space="preserve"> </w:t>
      </w:r>
      <w:r>
        <w:rPr>
          <w:color w:val="231F20"/>
        </w:rPr>
        <w:t>for</w:t>
      </w:r>
      <w:r>
        <w:rPr>
          <w:color w:val="231F20"/>
          <w:spacing w:val="-6"/>
        </w:rPr>
        <w:t xml:space="preserve"> </w:t>
      </w:r>
      <w:r>
        <w:rPr>
          <w:color w:val="231F20"/>
        </w:rPr>
        <w:t xml:space="preserve">the management of NCDs at all health care </w:t>
      </w:r>
      <w:r w:rsidR="00303199">
        <w:rPr>
          <w:color w:val="231F20"/>
        </w:rPr>
        <w:t>levels; Train</w:t>
      </w:r>
      <w:r>
        <w:rPr>
          <w:color w:val="231F20"/>
        </w:rPr>
        <w:t xml:space="preserve"> &amp; Re-train Community Health workers on prevention &amp; screening for NCDs; Periodic review and update of Community health workers and standing orders to include current trends in the management of major NCDs; Conduct capacity building for NCD focal points in Health Facilities on </w:t>
      </w:r>
      <w:proofErr w:type="spellStart"/>
      <w:r>
        <w:rPr>
          <w:color w:val="231F20"/>
        </w:rPr>
        <w:t>programme</w:t>
      </w:r>
      <w:proofErr w:type="spellEnd"/>
      <w:r>
        <w:rPr>
          <w:color w:val="231F20"/>
        </w:rPr>
        <w:t xml:space="preserve"> management; Promotion of educational activities: conferences, workshops, seminars etc. for health care personnel in </w:t>
      </w:r>
      <w:r>
        <w:rPr>
          <w:color w:val="231F20"/>
          <w:spacing w:val="-5"/>
        </w:rPr>
        <w:t xml:space="preserve">the </w:t>
      </w:r>
      <w:r>
        <w:rPr>
          <w:color w:val="231F20"/>
        </w:rPr>
        <w:t>management</w:t>
      </w:r>
      <w:r>
        <w:rPr>
          <w:color w:val="231F20"/>
          <w:spacing w:val="-26"/>
        </w:rPr>
        <w:t xml:space="preserve"> </w:t>
      </w:r>
      <w:r>
        <w:rPr>
          <w:color w:val="231F20"/>
        </w:rPr>
        <w:t>of</w:t>
      </w:r>
      <w:r>
        <w:rPr>
          <w:color w:val="231F20"/>
          <w:spacing w:val="-25"/>
        </w:rPr>
        <w:t xml:space="preserve"> </w:t>
      </w:r>
      <w:r>
        <w:rPr>
          <w:color w:val="231F20"/>
        </w:rPr>
        <w:t>NCDs</w:t>
      </w:r>
      <w:r>
        <w:rPr>
          <w:color w:val="231F20"/>
          <w:spacing w:val="-25"/>
        </w:rPr>
        <w:t xml:space="preserve"> </w:t>
      </w:r>
      <w:r>
        <w:rPr>
          <w:color w:val="231F20"/>
        </w:rPr>
        <w:t>especially</w:t>
      </w:r>
      <w:r>
        <w:rPr>
          <w:color w:val="231F20"/>
          <w:spacing w:val="-25"/>
        </w:rPr>
        <w:t xml:space="preserve"> </w:t>
      </w:r>
      <w:r>
        <w:rPr>
          <w:color w:val="231F20"/>
        </w:rPr>
        <w:t>pre-diabetes</w:t>
      </w:r>
      <w:r>
        <w:rPr>
          <w:color w:val="231F20"/>
          <w:spacing w:val="-25"/>
        </w:rPr>
        <w:t xml:space="preserve"> </w:t>
      </w:r>
      <w:r>
        <w:rPr>
          <w:color w:val="231F20"/>
        </w:rPr>
        <w:t>and</w:t>
      </w:r>
      <w:r>
        <w:rPr>
          <w:color w:val="231F20"/>
          <w:spacing w:val="-25"/>
        </w:rPr>
        <w:t xml:space="preserve"> </w:t>
      </w:r>
      <w:r>
        <w:rPr>
          <w:color w:val="231F20"/>
        </w:rPr>
        <w:t>diabetes</w:t>
      </w:r>
      <w:r>
        <w:rPr>
          <w:color w:val="231F20"/>
          <w:spacing w:val="-25"/>
        </w:rPr>
        <w:t xml:space="preserve"> </w:t>
      </w:r>
      <w:r>
        <w:rPr>
          <w:color w:val="231F20"/>
        </w:rPr>
        <w:t>mellitus.</w:t>
      </w:r>
    </w:p>
    <w:p w14:paraId="0CA06AB4" w14:textId="77777777" w:rsidR="009948F1" w:rsidRDefault="009948F1">
      <w:pPr>
        <w:spacing w:line="271" w:lineRule="auto"/>
        <w:jc w:val="both"/>
        <w:sectPr w:rsidR="009948F1">
          <w:pgSz w:w="11910" w:h="16840"/>
          <w:pgMar w:top="1280" w:right="1080" w:bottom="1420" w:left="1120" w:header="0" w:footer="1235" w:gutter="0"/>
          <w:cols w:space="720"/>
        </w:sectPr>
      </w:pPr>
    </w:p>
    <w:p w14:paraId="012A2069" w14:textId="77777777" w:rsidR="009948F1" w:rsidRDefault="00BC0563">
      <w:pPr>
        <w:pStyle w:val="ListParagraph"/>
        <w:numPr>
          <w:ilvl w:val="3"/>
          <w:numId w:val="284"/>
        </w:numPr>
        <w:tabs>
          <w:tab w:val="left" w:pos="857"/>
        </w:tabs>
        <w:spacing w:before="38" w:line="261" w:lineRule="auto"/>
        <w:ind w:left="145" w:right="171" w:firstLine="0"/>
      </w:pPr>
      <w:bookmarkStart w:id="78" w:name="Page_64"/>
      <w:bookmarkEnd w:id="78"/>
      <w:r>
        <w:rPr>
          <w:color w:val="231F20"/>
        </w:rPr>
        <w:lastRenderedPageBreak/>
        <w:t>Promote</w:t>
      </w:r>
      <w:r>
        <w:rPr>
          <w:color w:val="231F20"/>
          <w:spacing w:val="-25"/>
        </w:rPr>
        <w:t xml:space="preserve"> </w:t>
      </w:r>
      <w:r>
        <w:rPr>
          <w:color w:val="231F20"/>
        </w:rPr>
        <w:t>demand</w:t>
      </w:r>
      <w:r>
        <w:rPr>
          <w:color w:val="231F20"/>
          <w:spacing w:val="-23"/>
        </w:rPr>
        <w:t xml:space="preserve"> </w:t>
      </w:r>
      <w:r>
        <w:rPr>
          <w:color w:val="231F20"/>
        </w:rPr>
        <w:t>for</w:t>
      </w:r>
      <w:r>
        <w:rPr>
          <w:color w:val="231F20"/>
          <w:spacing w:val="-24"/>
        </w:rPr>
        <w:t xml:space="preserve"> </w:t>
      </w:r>
      <w:r>
        <w:rPr>
          <w:color w:val="231F20"/>
        </w:rPr>
        <w:t>NCD</w:t>
      </w:r>
      <w:r>
        <w:rPr>
          <w:color w:val="231F20"/>
          <w:spacing w:val="-24"/>
        </w:rPr>
        <w:t xml:space="preserve"> </w:t>
      </w:r>
      <w:r>
        <w:rPr>
          <w:color w:val="231F20"/>
        </w:rPr>
        <w:t>services:</w:t>
      </w:r>
      <w:r>
        <w:rPr>
          <w:color w:val="231F20"/>
          <w:spacing w:val="-24"/>
        </w:rPr>
        <w:t xml:space="preserve"> </w:t>
      </w:r>
      <w:r>
        <w:rPr>
          <w:color w:val="231F20"/>
        </w:rPr>
        <w:t>Key</w:t>
      </w:r>
      <w:r>
        <w:rPr>
          <w:color w:val="231F20"/>
          <w:spacing w:val="-24"/>
        </w:rPr>
        <w:t xml:space="preserve"> </w:t>
      </w:r>
      <w:r>
        <w:rPr>
          <w:color w:val="231F20"/>
        </w:rPr>
        <w:t>actions</w:t>
      </w:r>
      <w:r>
        <w:rPr>
          <w:color w:val="231F20"/>
          <w:spacing w:val="-23"/>
        </w:rPr>
        <w:t xml:space="preserve"> </w:t>
      </w:r>
      <w:r>
        <w:rPr>
          <w:color w:val="231F20"/>
        </w:rPr>
        <w:t>include;</w:t>
      </w:r>
      <w:r>
        <w:rPr>
          <w:color w:val="231F20"/>
          <w:spacing w:val="-23"/>
        </w:rPr>
        <w:t xml:space="preserve"> </w:t>
      </w:r>
      <w:r>
        <w:rPr>
          <w:color w:val="231F20"/>
        </w:rPr>
        <w:t>–</w:t>
      </w:r>
      <w:r>
        <w:rPr>
          <w:color w:val="231F20"/>
          <w:spacing w:val="-24"/>
        </w:rPr>
        <w:t xml:space="preserve"> </w:t>
      </w:r>
      <w:r>
        <w:rPr>
          <w:color w:val="231F20"/>
        </w:rPr>
        <w:t>Conduct</w:t>
      </w:r>
      <w:r>
        <w:rPr>
          <w:color w:val="231F20"/>
          <w:spacing w:val="-23"/>
        </w:rPr>
        <w:t xml:space="preserve"> </w:t>
      </w:r>
      <w:r>
        <w:rPr>
          <w:color w:val="231F20"/>
        </w:rPr>
        <w:t>campaign</w:t>
      </w:r>
      <w:r>
        <w:rPr>
          <w:color w:val="231F20"/>
          <w:spacing w:val="-23"/>
        </w:rPr>
        <w:t xml:space="preserve"> </w:t>
      </w:r>
      <w:r>
        <w:rPr>
          <w:color w:val="231F20"/>
        </w:rPr>
        <w:t>in</w:t>
      </w:r>
      <w:r>
        <w:rPr>
          <w:color w:val="231F20"/>
          <w:spacing w:val="-24"/>
        </w:rPr>
        <w:t xml:space="preserve"> </w:t>
      </w:r>
      <w:r>
        <w:rPr>
          <w:color w:val="231F20"/>
        </w:rPr>
        <w:t>key</w:t>
      </w:r>
      <w:r>
        <w:rPr>
          <w:color w:val="231F20"/>
          <w:spacing w:val="-24"/>
        </w:rPr>
        <w:t xml:space="preserve"> </w:t>
      </w:r>
      <w:r>
        <w:rPr>
          <w:color w:val="231F20"/>
        </w:rPr>
        <w:t xml:space="preserve">sectors of the communities community, schools (including </w:t>
      </w:r>
      <w:r>
        <w:rPr>
          <w:color w:val="231F20"/>
          <w:spacing w:val="-3"/>
        </w:rPr>
        <w:t xml:space="preserve">primary, </w:t>
      </w:r>
      <w:r>
        <w:rPr>
          <w:color w:val="231F20"/>
        </w:rPr>
        <w:t>secondary and tertiary institutions), Health facilities, Workplaces, Unions, Trade Unions, Market women, etc. on available of NCD services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Provide</w:t>
      </w:r>
      <w:r>
        <w:rPr>
          <w:color w:val="231F20"/>
          <w:spacing w:val="-9"/>
        </w:rPr>
        <w:t xml:space="preserve"> </w:t>
      </w:r>
      <w:r>
        <w:rPr>
          <w:color w:val="231F20"/>
        </w:rPr>
        <w:t>free</w:t>
      </w:r>
      <w:r>
        <w:rPr>
          <w:color w:val="231F20"/>
          <w:spacing w:val="-10"/>
        </w:rPr>
        <w:t xml:space="preserve"> </w:t>
      </w:r>
      <w:r>
        <w:rPr>
          <w:color w:val="231F20"/>
        </w:rPr>
        <w:t>NCD</w:t>
      </w:r>
      <w:r>
        <w:rPr>
          <w:color w:val="231F20"/>
          <w:spacing w:val="-10"/>
        </w:rPr>
        <w:t xml:space="preserve"> </w:t>
      </w:r>
      <w:r>
        <w:rPr>
          <w:color w:val="231F20"/>
        </w:rPr>
        <w:t>screening</w:t>
      </w:r>
      <w:r>
        <w:rPr>
          <w:color w:val="231F20"/>
          <w:spacing w:val="-10"/>
        </w:rPr>
        <w:t xml:space="preserve"> </w:t>
      </w:r>
      <w:r>
        <w:rPr>
          <w:color w:val="231F20"/>
        </w:rPr>
        <w:t>services</w:t>
      </w:r>
      <w:r>
        <w:rPr>
          <w:color w:val="231F20"/>
          <w:spacing w:val="6"/>
        </w:rPr>
        <w:t xml:space="preserve"> </w:t>
      </w:r>
      <w:r>
        <w:rPr>
          <w:color w:val="231F20"/>
        </w:rPr>
        <w:t>at</w:t>
      </w:r>
      <w:r>
        <w:rPr>
          <w:color w:val="231F20"/>
          <w:spacing w:val="-10"/>
        </w:rPr>
        <w:t xml:space="preserve"> </w:t>
      </w:r>
      <w:r>
        <w:rPr>
          <w:color w:val="231F20"/>
        </w:rPr>
        <w:t>five</w:t>
      </w:r>
      <w:r>
        <w:rPr>
          <w:color w:val="231F20"/>
          <w:spacing w:val="-10"/>
        </w:rPr>
        <w:t xml:space="preserve"> </w:t>
      </w:r>
      <w:r>
        <w:rPr>
          <w:color w:val="231F20"/>
        </w:rPr>
        <w:t>designated</w:t>
      </w:r>
      <w:r>
        <w:rPr>
          <w:color w:val="231F20"/>
          <w:spacing w:val="-10"/>
        </w:rPr>
        <w:t xml:space="preserve"> </w:t>
      </w:r>
      <w:proofErr w:type="spellStart"/>
      <w:r>
        <w:rPr>
          <w:color w:val="231F20"/>
        </w:rPr>
        <w:t>centres</w:t>
      </w:r>
      <w:proofErr w:type="spellEnd"/>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 xml:space="preserve">state. </w:t>
      </w:r>
      <w:proofErr w:type="spellStart"/>
      <w:r>
        <w:rPr>
          <w:color w:val="231F20"/>
        </w:rPr>
        <w:t>Centres</w:t>
      </w:r>
      <w:proofErr w:type="spellEnd"/>
      <w:r>
        <w:rPr>
          <w:color w:val="231F20"/>
          <w:spacing w:val="-25"/>
        </w:rPr>
        <w:t xml:space="preserve"> </w:t>
      </w:r>
      <w:r>
        <w:rPr>
          <w:color w:val="231F20"/>
        </w:rPr>
        <w:t>-</w:t>
      </w:r>
      <w:r>
        <w:rPr>
          <w:color w:val="231F20"/>
          <w:spacing w:val="-25"/>
        </w:rPr>
        <w:t xml:space="preserve"> </w:t>
      </w:r>
      <w:r>
        <w:rPr>
          <w:color w:val="231F20"/>
        </w:rPr>
        <w:t>PH.,</w:t>
      </w:r>
      <w:r>
        <w:rPr>
          <w:color w:val="231F20"/>
          <w:spacing w:val="-25"/>
        </w:rPr>
        <w:t xml:space="preserve"> </w:t>
      </w:r>
      <w:proofErr w:type="spellStart"/>
      <w:r>
        <w:rPr>
          <w:color w:val="231F20"/>
        </w:rPr>
        <w:t>Bori</w:t>
      </w:r>
      <w:proofErr w:type="spellEnd"/>
      <w:r>
        <w:rPr>
          <w:color w:val="231F20"/>
        </w:rPr>
        <w:t>,</w:t>
      </w:r>
      <w:r>
        <w:rPr>
          <w:color w:val="231F20"/>
          <w:spacing w:val="-37"/>
        </w:rPr>
        <w:t xml:space="preserve"> </w:t>
      </w:r>
      <w:proofErr w:type="spellStart"/>
      <w:r>
        <w:rPr>
          <w:color w:val="231F20"/>
        </w:rPr>
        <w:t>Ahoada</w:t>
      </w:r>
      <w:proofErr w:type="spellEnd"/>
      <w:r>
        <w:rPr>
          <w:color w:val="231F20"/>
        </w:rPr>
        <w:t>,</w:t>
      </w:r>
      <w:r>
        <w:rPr>
          <w:color w:val="231F20"/>
          <w:spacing w:val="-26"/>
        </w:rPr>
        <w:t xml:space="preserve"> </w:t>
      </w:r>
      <w:proofErr w:type="spellStart"/>
      <w:r>
        <w:rPr>
          <w:color w:val="231F20"/>
        </w:rPr>
        <w:t>Oyigbo</w:t>
      </w:r>
      <w:proofErr w:type="spellEnd"/>
      <w:r>
        <w:rPr>
          <w:color w:val="231F20"/>
        </w:rPr>
        <w:t>,</w:t>
      </w:r>
      <w:r>
        <w:rPr>
          <w:color w:val="231F20"/>
          <w:spacing w:val="-37"/>
        </w:rPr>
        <w:t xml:space="preserve"> </w:t>
      </w:r>
      <w:proofErr w:type="spellStart"/>
      <w:r>
        <w:rPr>
          <w:color w:val="231F20"/>
        </w:rPr>
        <w:t>Abua</w:t>
      </w:r>
      <w:proofErr w:type="spellEnd"/>
      <w:r>
        <w:rPr>
          <w:color w:val="231F20"/>
          <w:spacing w:val="-25"/>
        </w:rPr>
        <w:t xml:space="preserve"> </w:t>
      </w:r>
      <w:r>
        <w:rPr>
          <w:color w:val="231F20"/>
        </w:rPr>
        <w:t>central.</w:t>
      </w:r>
    </w:p>
    <w:p w14:paraId="482A0548" w14:textId="77777777" w:rsidR="009948F1" w:rsidRDefault="009948F1">
      <w:pPr>
        <w:pStyle w:val="BodyText"/>
      </w:pPr>
    </w:p>
    <w:p w14:paraId="0F196A49" w14:textId="77777777" w:rsidR="009948F1" w:rsidRDefault="009948F1">
      <w:pPr>
        <w:pStyle w:val="BodyText"/>
        <w:spacing w:before="5"/>
        <w:rPr>
          <w:sz w:val="17"/>
        </w:rPr>
      </w:pPr>
    </w:p>
    <w:p w14:paraId="5D0F2A44" w14:textId="77777777" w:rsidR="009948F1" w:rsidRDefault="00BC0563">
      <w:pPr>
        <w:ind w:left="323"/>
        <w:rPr>
          <w:b/>
          <w:sz w:val="26"/>
        </w:rPr>
      </w:pPr>
      <w:r>
        <w:rPr>
          <w:b/>
          <w:color w:val="231F20"/>
          <w:sz w:val="26"/>
        </w:rPr>
        <w:t>5.6.2 Promote the health and wellbeing of the elderly in Rivers State</w:t>
      </w:r>
    </w:p>
    <w:p w14:paraId="29D551F0" w14:textId="77777777" w:rsidR="009948F1" w:rsidRDefault="00BC0563">
      <w:pPr>
        <w:spacing w:before="75" w:after="52"/>
        <w:ind w:left="323"/>
        <w:rPr>
          <w:sz w:val="29"/>
        </w:rPr>
      </w:pPr>
      <w:r>
        <w:rPr>
          <w:b/>
          <w:color w:val="231F20"/>
          <w:w w:val="90"/>
          <w:sz w:val="29"/>
        </w:rPr>
        <w:t>Targets</w:t>
      </w:r>
      <w:r>
        <w:rPr>
          <w:color w:val="231F20"/>
          <w:w w:val="90"/>
          <w:sz w:val="29"/>
        </w:rPr>
        <w:t>:</w:t>
      </w:r>
    </w:p>
    <w:tbl>
      <w:tblPr>
        <w:tblW w:w="0" w:type="auto"/>
        <w:tblInd w:w="2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076"/>
        <w:gridCol w:w="1228"/>
        <w:gridCol w:w="782"/>
        <w:gridCol w:w="782"/>
        <w:gridCol w:w="782"/>
        <w:gridCol w:w="782"/>
        <w:gridCol w:w="674"/>
        <w:gridCol w:w="1142"/>
      </w:tblGrid>
      <w:tr w:rsidR="009948F1" w14:paraId="3F3CC1D6" w14:textId="77777777">
        <w:trPr>
          <w:trHeight w:val="266"/>
        </w:trPr>
        <w:tc>
          <w:tcPr>
            <w:tcW w:w="3076" w:type="dxa"/>
            <w:shd w:val="clear" w:color="auto" w:fill="F4CEB2"/>
          </w:tcPr>
          <w:p w14:paraId="77B538DA" w14:textId="77777777" w:rsidR="009948F1" w:rsidRDefault="00BC0563">
            <w:pPr>
              <w:pStyle w:val="TableParagraph"/>
              <w:spacing w:before="2" w:line="245" w:lineRule="exact"/>
              <w:ind w:left="110"/>
              <w:rPr>
                <w:sz w:val="23"/>
              </w:rPr>
            </w:pPr>
            <w:r>
              <w:rPr>
                <w:color w:val="231F20"/>
                <w:w w:val="90"/>
                <w:sz w:val="23"/>
              </w:rPr>
              <w:t>Targets</w:t>
            </w:r>
          </w:p>
        </w:tc>
        <w:tc>
          <w:tcPr>
            <w:tcW w:w="1228" w:type="dxa"/>
            <w:shd w:val="clear" w:color="auto" w:fill="F4CEB2"/>
          </w:tcPr>
          <w:p w14:paraId="7E530D23" w14:textId="77777777" w:rsidR="009948F1" w:rsidRDefault="00BC0563">
            <w:pPr>
              <w:pStyle w:val="TableParagraph"/>
              <w:spacing w:before="2" w:line="245" w:lineRule="exact"/>
              <w:ind w:left="109"/>
              <w:rPr>
                <w:sz w:val="23"/>
              </w:rPr>
            </w:pPr>
            <w:r>
              <w:rPr>
                <w:color w:val="231F20"/>
                <w:w w:val="90"/>
                <w:sz w:val="23"/>
              </w:rPr>
              <w:t>Baseline</w:t>
            </w:r>
          </w:p>
        </w:tc>
        <w:tc>
          <w:tcPr>
            <w:tcW w:w="782" w:type="dxa"/>
            <w:shd w:val="clear" w:color="auto" w:fill="F4CEB2"/>
          </w:tcPr>
          <w:p w14:paraId="532BE0FD" w14:textId="77777777" w:rsidR="009948F1" w:rsidRDefault="00BC0563">
            <w:pPr>
              <w:pStyle w:val="TableParagraph"/>
              <w:spacing w:line="247" w:lineRule="exact"/>
              <w:ind w:left="109"/>
              <w:rPr>
                <w:b/>
                <w:sz w:val="23"/>
              </w:rPr>
            </w:pPr>
            <w:r>
              <w:rPr>
                <w:b/>
                <w:color w:val="231F20"/>
                <w:w w:val="90"/>
                <w:sz w:val="23"/>
              </w:rPr>
              <w:t>2018</w:t>
            </w:r>
          </w:p>
        </w:tc>
        <w:tc>
          <w:tcPr>
            <w:tcW w:w="782" w:type="dxa"/>
            <w:shd w:val="clear" w:color="auto" w:fill="F4CEB2"/>
          </w:tcPr>
          <w:p w14:paraId="55632BB1" w14:textId="77777777" w:rsidR="009948F1" w:rsidRDefault="00BC0563">
            <w:pPr>
              <w:pStyle w:val="TableParagraph"/>
              <w:spacing w:line="247" w:lineRule="exact"/>
              <w:ind w:left="108"/>
              <w:rPr>
                <w:b/>
                <w:sz w:val="23"/>
              </w:rPr>
            </w:pPr>
            <w:r>
              <w:rPr>
                <w:b/>
                <w:color w:val="231F20"/>
                <w:w w:val="90"/>
                <w:sz w:val="23"/>
              </w:rPr>
              <w:t>2019</w:t>
            </w:r>
          </w:p>
        </w:tc>
        <w:tc>
          <w:tcPr>
            <w:tcW w:w="782" w:type="dxa"/>
            <w:shd w:val="clear" w:color="auto" w:fill="F4CEB2"/>
          </w:tcPr>
          <w:p w14:paraId="589000B6" w14:textId="77777777" w:rsidR="009948F1" w:rsidRDefault="00BC0563">
            <w:pPr>
              <w:pStyle w:val="TableParagraph"/>
              <w:spacing w:line="247" w:lineRule="exact"/>
              <w:ind w:left="108"/>
              <w:rPr>
                <w:b/>
                <w:sz w:val="23"/>
              </w:rPr>
            </w:pPr>
            <w:r>
              <w:rPr>
                <w:b/>
                <w:color w:val="231F20"/>
                <w:w w:val="90"/>
                <w:sz w:val="23"/>
              </w:rPr>
              <w:t>2020</w:t>
            </w:r>
          </w:p>
        </w:tc>
        <w:tc>
          <w:tcPr>
            <w:tcW w:w="782" w:type="dxa"/>
            <w:shd w:val="clear" w:color="auto" w:fill="F4CEB2"/>
          </w:tcPr>
          <w:p w14:paraId="27783709" w14:textId="77777777" w:rsidR="009948F1" w:rsidRDefault="00BC0563">
            <w:pPr>
              <w:pStyle w:val="TableParagraph"/>
              <w:spacing w:line="247" w:lineRule="exact"/>
              <w:ind w:left="107"/>
              <w:rPr>
                <w:b/>
                <w:sz w:val="23"/>
              </w:rPr>
            </w:pPr>
            <w:r>
              <w:rPr>
                <w:b/>
                <w:color w:val="231F20"/>
                <w:w w:val="90"/>
                <w:sz w:val="23"/>
              </w:rPr>
              <w:t>2021</w:t>
            </w:r>
          </w:p>
        </w:tc>
        <w:tc>
          <w:tcPr>
            <w:tcW w:w="674" w:type="dxa"/>
            <w:shd w:val="clear" w:color="auto" w:fill="F4CEB2"/>
          </w:tcPr>
          <w:p w14:paraId="49E423D8" w14:textId="77777777" w:rsidR="009948F1" w:rsidRDefault="00BC0563">
            <w:pPr>
              <w:pStyle w:val="TableParagraph"/>
              <w:spacing w:line="247" w:lineRule="exact"/>
              <w:ind w:left="67" w:right="91"/>
              <w:jc w:val="center"/>
              <w:rPr>
                <w:b/>
                <w:sz w:val="23"/>
              </w:rPr>
            </w:pPr>
            <w:r>
              <w:rPr>
                <w:b/>
                <w:color w:val="231F20"/>
                <w:w w:val="90"/>
                <w:sz w:val="23"/>
              </w:rPr>
              <w:t>2022</w:t>
            </w:r>
          </w:p>
        </w:tc>
        <w:tc>
          <w:tcPr>
            <w:tcW w:w="1142" w:type="dxa"/>
            <w:tcBorders>
              <w:right w:val="single" w:sz="4" w:space="0" w:color="231F20"/>
            </w:tcBorders>
            <w:shd w:val="clear" w:color="auto" w:fill="F4CEB2"/>
          </w:tcPr>
          <w:p w14:paraId="503FEB90" w14:textId="77777777" w:rsidR="009948F1" w:rsidRDefault="00BC0563">
            <w:pPr>
              <w:pStyle w:val="TableParagraph"/>
              <w:spacing w:line="247" w:lineRule="exact"/>
              <w:ind w:left="106"/>
              <w:rPr>
                <w:b/>
                <w:sz w:val="23"/>
              </w:rPr>
            </w:pPr>
            <w:r>
              <w:rPr>
                <w:b/>
                <w:color w:val="231F20"/>
                <w:w w:val="90"/>
                <w:sz w:val="23"/>
              </w:rPr>
              <w:t>National</w:t>
            </w:r>
          </w:p>
        </w:tc>
      </w:tr>
      <w:tr w:rsidR="009948F1" w14:paraId="142DF4E9" w14:textId="77777777">
        <w:trPr>
          <w:trHeight w:val="1081"/>
        </w:trPr>
        <w:tc>
          <w:tcPr>
            <w:tcW w:w="3076" w:type="dxa"/>
          </w:tcPr>
          <w:p w14:paraId="18E5165F" w14:textId="77777777" w:rsidR="009948F1" w:rsidRDefault="00BC0563">
            <w:pPr>
              <w:pStyle w:val="TableParagraph"/>
              <w:spacing w:before="2" w:line="244" w:lineRule="auto"/>
              <w:ind w:left="110" w:right="279"/>
              <w:rPr>
                <w:sz w:val="23"/>
              </w:rPr>
            </w:pPr>
            <w:r>
              <w:rPr>
                <w:color w:val="231F20"/>
                <w:spacing w:val="-11"/>
                <w:w w:val="85"/>
                <w:sz w:val="23"/>
              </w:rPr>
              <w:t>To</w:t>
            </w:r>
            <w:r>
              <w:rPr>
                <w:color w:val="231F20"/>
                <w:spacing w:val="-21"/>
                <w:w w:val="85"/>
                <w:sz w:val="23"/>
              </w:rPr>
              <w:t xml:space="preserve"> </w:t>
            </w:r>
            <w:r>
              <w:rPr>
                <w:color w:val="231F20"/>
                <w:w w:val="85"/>
                <w:sz w:val="23"/>
              </w:rPr>
              <w:t>increase</w:t>
            </w:r>
            <w:r>
              <w:rPr>
                <w:color w:val="231F20"/>
                <w:spacing w:val="-21"/>
                <w:w w:val="85"/>
                <w:sz w:val="23"/>
              </w:rPr>
              <w:t xml:space="preserve"> </w:t>
            </w:r>
            <w:r>
              <w:rPr>
                <w:color w:val="231F20"/>
                <w:w w:val="85"/>
                <w:sz w:val="23"/>
              </w:rPr>
              <w:t>access</w:t>
            </w:r>
            <w:r>
              <w:rPr>
                <w:color w:val="231F20"/>
                <w:spacing w:val="-21"/>
                <w:w w:val="85"/>
                <w:sz w:val="23"/>
              </w:rPr>
              <w:t xml:space="preserve"> </w:t>
            </w:r>
            <w:r>
              <w:rPr>
                <w:color w:val="231F20"/>
                <w:w w:val="85"/>
                <w:sz w:val="23"/>
              </w:rPr>
              <w:t>to</w:t>
            </w:r>
            <w:r>
              <w:rPr>
                <w:color w:val="231F20"/>
                <w:spacing w:val="-20"/>
                <w:w w:val="85"/>
                <w:sz w:val="23"/>
              </w:rPr>
              <w:t xml:space="preserve"> </w:t>
            </w:r>
            <w:r>
              <w:rPr>
                <w:color w:val="231F20"/>
                <w:w w:val="85"/>
                <w:sz w:val="23"/>
              </w:rPr>
              <w:t>basic</w:t>
            </w:r>
            <w:r>
              <w:rPr>
                <w:color w:val="231F20"/>
                <w:spacing w:val="-21"/>
                <w:w w:val="85"/>
                <w:sz w:val="23"/>
              </w:rPr>
              <w:t xml:space="preserve"> </w:t>
            </w:r>
            <w:r>
              <w:rPr>
                <w:color w:val="231F20"/>
                <w:spacing w:val="-5"/>
                <w:w w:val="85"/>
                <w:sz w:val="23"/>
              </w:rPr>
              <w:t xml:space="preserve">and </w:t>
            </w:r>
            <w:r>
              <w:rPr>
                <w:color w:val="231F20"/>
                <w:w w:val="90"/>
                <w:sz w:val="23"/>
              </w:rPr>
              <w:t>long</w:t>
            </w:r>
            <w:r>
              <w:rPr>
                <w:color w:val="231F20"/>
                <w:spacing w:val="-36"/>
                <w:w w:val="90"/>
                <w:sz w:val="23"/>
              </w:rPr>
              <w:t xml:space="preserve"> </w:t>
            </w:r>
            <w:r>
              <w:rPr>
                <w:color w:val="231F20"/>
                <w:w w:val="90"/>
                <w:sz w:val="23"/>
              </w:rPr>
              <w:t>term</w:t>
            </w:r>
            <w:r>
              <w:rPr>
                <w:color w:val="231F20"/>
                <w:spacing w:val="-36"/>
                <w:w w:val="90"/>
                <w:sz w:val="23"/>
              </w:rPr>
              <w:t xml:space="preserve"> </w:t>
            </w:r>
            <w:r>
              <w:rPr>
                <w:color w:val="231F20"/>
                <w:w w:val="90"/>
                <w:sz w:val="23"/>
              </w:rPr>
              <w:t>care</w:t>
            </w:r>
            <w:r>
              <w:rPr>
                <w:color w:val="231F20"/>
                <w:spacing w:val="-36"/>
                <w:w w:val="90"/>
                <w:sz w:val="23"/>
              </w:rPr>
              <w:t xml:space="preserve"> </w:t>
            </w:r>
            <w:r>
              <w:rPr>
                <w:color w:val="231F20"/>
                <w:w w:val="90"/>
                <w:sz w:val="23"/>
              </w:rPr>
              <w:t>of</w:t>
            </w:r>
            <w:r>
              <w:rPr>
                <w:color w:val="231F20"/>
                <w:spacing w:val="-36"/>
                <w:w w:val="90"/>
                <w:sz w:val="23"/>
              </w:rPr>
              <w:t xml:space="preserve"> </w:t>
            </w:r>
            <w:r>
              <w:rPr>
                <w:color w:val="231F20"/>
                <w:w w:val="90"/>
                <w:sz w:val="23"/>
              </w:rPr>
              <w:t>the</w:t>
            </w:r>
            <w:r>
              <w:rPr>
                <w:color w:val="231F20"/>
                <w:spacing w:val="-35"/>
                <w:w w:val="90"/>
                <w:sz w:val="23"/>
              </w:rPr>
              <w:t xml:space="preserve"> </w:t>
            </w:r>
            <w:r>
              <w:rPr>
                <w:color w:val="231F20"/>
                <w:w w:val="90"/>
                <w:sz w:val="23"/>
              </w:rPr>
              <w:t>elderly</w:t>
            </w:r>
            <w:r>
              <w:rPr>
                <w:color w:val="231F20"/>
                <w:spacing w:val="-36"/>
                <w:w w:val="90"/>
                <w:sz w:val="23"/>
              </w:rPr>
              <w:t xml:space="preserve"> </w:t>
            </w:r>
            <w:r>
              <w:rPr>
                <w:color w:val="231F20"/>
                <w:w w:val="90"/>
                <w:sz w:val="23"/>
              </w:rPr>
              <w:t>by 50% of</w:t>
            </w:r>
            <w:r>
              <w:rPr>
                <w:color w:val="231F20"/>
                <w:spacing w:val="-21"/>
                <w:w w:val="90"/>
                <w:sz w:val="23"/>
              </w:rPr>
              <w:t xml:space="preserve"> </w:t>
            </w:r>
            <w:r>
              <w:rPr>
                <w:color w:val="231F20"/>
                <w:w w:val="90"/>
                <w:sz w:val="23"/>
              </w:rPr>
              <w:t>baseline</w:t>
            </w:r>
          </w:p>
        </w:tc>
        <w:tc>
          <w:tcPr>
            <w:tcW w:w="1228" w:type="dxa"/>
          </w:tcPr>
          <w:p w14:paraId="2797F602" w14:textId="77777777" w:rsidR="009948F1" w:rsidRDefault="00BC0563">
            <w:pPr>
              <w:pStyle w:val="TableParagraph"/>
              <w:spacing w:before="2"/>
              <w:ind w:left="109"/>
              <w:rPr>
                <w:sz w:val="23"/>
              </w:rPr>
            </w:pPr>
            <w:r>
              <w:rPr>
                <w:color w:val="231F20"/>
                <w:w w:val="90"/>
                <w:sz w:val="23"/>
              </w:rPr>
              <w:t>TBD</w:t>
            </w:r>
          </w:p>
        </w:tc>
        <w:tc>
          <w:tcPr>
            <w:tcW w:w="782" w:type="dxa"/>
          </w:tcPr>
          <w:p w14:paraId="0BC566BF" w14:textId="77777777" w:rsidR="009948F1" w:rsidRDefault="00BC0563">
            <w:pPr>
              <w:pStyle w:val="TableParagraph"/>
              <w:spacing w:before="2"/>
              <w:ind w:left="109"/>
              <w:rPr>
                <w:sz w:val="23"/>
              </w:rPr>
            </w:pPr>
            <w:r>
              <w:rPr>
                <w:color w:val="231F20"/>
                <w:w w:val="90"/>
                <w:sz w:val="23"/>
              </w:rPr>
              <w:t>4%</w:t>
            </w:r>
          </w:p>
        </w:tc>
        <w:tc>
          <w:tcPr>
            <w:tcW w:w="782" w:type="dxa"/>
          </w:tcPr>
          <w:p w14:paraId="2F0373D2" w14:textId="77777777" w:rsidR="009948F1" w:rsidRDefault="00BC0563">
            <w:pPr>
              <w:pStyle w:val="TableParagraph"/>
              <w:spacing w:before="2"/>
              <w:ind w:left="108"/>
              <w:rPr>
                <w:sz w:val="23"/>
              </w:rPr>
            </w:pPr>
            <w:r>
              <w:rPr>
                <w:color w:val="231F20"/>
                <w:w w:val="90"/>
                <w:sz w:val="23"/>
              </w:rPr>
              <w:t>6%</w:t>
            </w:r>
          </w:p>
        </w:tc>
        <w:tc>
          <w:tcPr>
            <w:tcW w:w="782" w:type="dxa"/>
          </w:tcPr>
          <w:p w14:paraId="327F0F3D" w14:textId="77777777" w:rsidR="009948F1" w:rsidRDefault="00BC0563">
            <w:pPr>
              <w:pStyle w:val="TableParagraph"/>
              <w:spacing w:before="2"/>
              <w:ind w:left="108"/>
              <w:rPr>
                <w:sz w:val="23"/>
              </w:rPr>
            </w:pPr>
            <w:r>
              <w:rPr>
                <w:color w:val="231F20"/>
                <w:w w:val="90"/>
                <w:sz w:val="23"/>
              </w:rPr>
              <w:t>8%</w:t>
            </w:r>
          </w:p>
        </w:tc>
        <w:tc>
          <w:tcPr>
            <w:tcW w:w="782" w:type="dxa"/>
          </w:tcPr>
          <w:p w14:paraId="4F7869BB" w14:textId="77777777" w:rsidR="009948F1" w:rsidRDefault="00BC0563">
            <w:pPr>
              <w:pStyle w:val="TableParagraph"/>
              <w:spacing w:before="2"/>
              <w:ind w:left="107"/>
              <w:rPr>
                <w:sz w:val="23"/>
              </w:rPr>
            </w:pPr>
            <w:r>
              <w:rPr>
                <w:color w:val="231F20"/>
                <w:w w:val="90"/>
                <w:sz w:val="23"/>
              </w:rPr>
              <w:t>10%</w:t>
            </w:r>
          </w:p>
        </w:tc>
        <w:tc>
          <w:tcPr>
            <w:tcW w:w="674" w:type="dxa"/>
          </w:tcPr>
          <w:p w14:paraId="597D0B37" w14:textId="77777777" w:rsidR="009948F1" w:rsidRDefault="00BC0563">
            <w:pPr>
              <w:pStyle w:val="TableParagraph"/>
              <w:spacing w:before="2"/>
              <w:ind w:left="25" w:right="91"/>
              <w:jc w:val="center"/>
              <w:rPr>
                <w:sz w:val="23"/>
              </w:rPr>
            </w:pPr>
            <w:r>
              <w:rPr>
                <w:color w:val="231F20"/>
                <w:w w:val="90"/>
                <w:sz w:val="23"/>
              </w:rPr>
              <w:t>20%</w:t>
            </w:r>
          </w:p>
        </w:tc>
        <w:tc>
          <w:tcPr>
            <w:tcW w:w="1142" w:type="dxa"/>
            <w:tcBorders>
              <w:right w:val="single" w:sz="4" w:space="0" w:color="231F20"/>
            </w:tcBorders>
          </w:tcPr>
          <w:p w14:paraId="2D24267B" w14:textId="77777777" w:rsidR="009948F1" w:rsidRDefault="00BC0563">
            <w:pPr>
              <w:pStyle w:val="TableParagraph"/>
              <w:spacing w:before="2" w:line="244" w:lineRule="auto"/>
              <w:ind w:left="106" w:right="297"/>
              <w:rPr>
                <w:sz w:val="23"/>
              </w:rPr>
            </w:pPr>
            <w:r>
              <w:rPr>
                <w:color w:val="231F20"/>
                <w:w w:val="80"/>
                <w:sz w:val="23"/>
              </w:rPr>
              <w:t xml:space="preserve">Increase </w:t>
            </w:r>
            <w:r>
              <w:rPr>
                <w:color w:val="231F20"/>
                <w:w w:val="90"/>
                <w:sz w:val="23"/>
              </w:rPr>
              <w:t>to 50% from</w:t>
            </w:r>
          </w:p>
          <w:p w14:paraId="5EE50CEE" w14:textId="77777777" w:rsidR="009948F1" w:rsidRDefault="00BC0563">
            <w:pPr>
              <w:pStyle w:val="TableParagraph"/>
              <w:spacing w:before="2" w:line="248" w:lineRule="exact"/>
              <w:ind w:left="106"/>
              <w:rPr>
                <w:sz w:val="23"/>
              </w:rPr>
            </w:pPr>
            <w:r>
              <w:rPr>
                <w:color w:val="231F20"/>
                <w:w w:val="90"/>
                <w:sz w:val="23"/>
              </w:rPr>
              <w:t>baseline</w:t>
            </w:r>
          </w:p>
        </w:tc>
      </w:tr>
    </w:tbl>
    <w:p w14:paraId="42193815" w14:textId="77777777" w:rsidR="009948F1" w:rsidRDefault="009948F1">
      <w:pPr>
        <w:pStyle w:val="BodyText"/>
        <w:spacing w:before="1"/>
        <w:rPr>
          <w:sz w:val="23"/>
        </w:rPr>
      </w:pPr>
    </w:p>
    <w:p w14:paraId="5C894243" w14:textId="77777777" w:rsidR="009948F1" w:rsidRDefault="00BC0563">
      <w:pPr>
        <w:pStyle w:val="Heading7"/>
        <w:ind w:left="146"/>
      </w:pPr>
      <w:r>
        <w:rPr>
          <w:i/>
          <w:color w:val="231F20"/>
        </w:rPr>
        <w:t>I</w:t>
      </w:r>
      <w:r>
        <w:rPr>
          <w:color w:val="231F20"/>
        </w:rPr>
        <w:t>nterventions</w:t>
      </w:r>
    </w:p>
    <w:p w14:paraId="18BFECDE" w14:textId="77777777" w:rsidR="009948F1" w:rsidRDefault="00BC0563">
      <w:pPr>
        <w:pStyle w:val="ListParagraph"/>
        <w:numPr>
          <w:ilvl w:val="3"/>
          <w:numId w:val="283"/>
        </w:numPr>
        <w:tabs>
          <w:tab w:val="left" w:pos="889"/>
        </w:tabs>
        <w:spacing w:before="23" w:line="261" w:lineRule="auto"/>
        <w:ind w:right="188" w:firstLine="0"/>
      </w:pPr>
      <w:r>
        <w:rPr>
          <w:color w:val="231F20"/>
        </w:rPr>
        <w:t xml:space="preserve">Promote generation of evidence for planning, implementation and monitoring of geriatric services: Key actions include; – </w:t>
      </w:r>
      <w:r>
        <w:rPr>
          <w:color w:val="231F20"/>
          <w:spacing w:val="-13"/>
        </w:rPr>
        <w:t xml:space="preserve">To </w:t>
      </w:r>
      <w:r>
        <w:rPr>
          <w:color w:val="231F20"/>
        </w:rPr>
        <w:t xml:space="preserve">carry out community survey in the 23 LGAs to ascertain </w:t>
      </w:r>
      <w:r>
        <w:rPr>
          <w:color w:val="231F20"/>
          <w:spacing w:val="-5"/>
        </w:rPr>
        <w:t xml:space="preserve">the </w:t>
      </w:r>
      <w:r>
        <w:rPr>
          <w:color w:val="231F20"/>
        </w:rPr>
        <w:t xml:space="preserve">proportion of the elderly requiring geriatric care in the State; Report accurately with use </w:t>
      </w:r>
      <w:r>
        <w:rPr>
          <w:color w:val="231F20"/>
          <w:spacing w:val="-8"/>
        </w:rPr>
        <w:t xml:space="preserve">of </w:t>
      </w:r>
      <w:r>
        <w:rPr>
          <w:color w:val="231F20"/>
        </w:rPr>
        <w:t>appropriate</w:t>
      </w:r>
      <w:r>
        <w:rPr>
          <w:color w:val="231F20"/>
          <w:spacing w:val="-17"/>
        </w:rPr>
        <w:t xml:space="preserve"> </w:t>
      </w:r>
      <w:r>
        <w:rPr>
          <w:color w:val="231F20"/>
        </w:rPr>
        <w:t>tools</w:t>
      </w:r>
      <w:r>
        <w:rPr>
          <w:color w:val="231F20"/>
          <w:spacing w:val="-17"/>
        </w:rPr>
        <w:t xml:space="preserve"> </w:t>
      </w:r>
      <w:r>
        <w:rPr>
          <w:color w:val="231F20"/>
        </w:rPr>
        <w:t>on</w:t>
      </w:r>
      <w:r>
        <w:rPr>
          <w:color w:val="231F20"/>
          <w:spacing w:val="-17"/>
        </w:rPr>
        <w:t xml:space="preserve"> </w:t>
      </w:r>
      <w:r>
        <w:rPr>
          <w:color w:val="231F20"/>
        </w:rPr>
        <w:t>geriatric</w:t>
      </w:r>
      <w:r>
        <w:rPr>
          <w:color w:val="231F20"/>
          <w:spacing w:val="-17"/>
        </w:rPr>
        <w:t xml:space="preserve"> </w:t>
      </w:r>
      <w:r>
        <w:rPr>
          <w:color w:val="231F20"/>
        </w:rPr>
        <w:t>population</w:t>
      </w:r>
      <w:r>
        <w:rPr>
          <w:color w:val="231F20"/>
          <w:spacing w:val="-16"/>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state</w:t>
      </w:r>
      <w:r>
        <w:rPr>
          <w:color w:val="231F20"/>
          <w:spacing w:val="-17"/>
        </w:rPr>
        <w:t xml:space="preserve"> </w:t>
      </w:r>
      <w:r>
        <w:rPr>
          <w:color w:val="231F20"/>
        </w:rPr>
        <w:t>to</w:t>
      </w:r>
      <w:r>
        <w:rPr>
          <w:color w:val="231F20"/>
          <w:spacing w:val="-17"/>
        </w:rPr>
        <w:t xml:space="preserve"> </w:t>
      </w:r>
      <w:r>
        <w:rPr>
          <w:color w:val="231F20"/>
        </w:rPr>
        <w:t>SMOH/FMOH</w:t>
      </w:r>
      <w:r>
        <w:rPr>
          <w:color w:val="231F20"/>
          <w:spacing w:val="-18"/>
        </w:rPr>
        <w:t xml:space="preserve"> </w:t>
      </w:r>
      <w:r>
        <w:rPr>
          <w:color w:val="231F20"/>
        </w:rPr>
        <w:t>for</w:t>
      </w:r>
      <w:r>
        <w:rPr>
          <w:color w:val="231F20"/>
          <w:spacing w:val="-17"/>
        </w:rPr>
        <w:t xml:space="preserve"> </w:t>
      </w:r>
      <w:r>
        <w:rPr>
          <w:color w:val="231F20"/>
        </w:rPr>
        <w:t>planning,</w:t>
      </w:r>
      <w:r>
        <w:rPr>
          <w:color w:val="231F20"/>
          <w:spacing w:val="-16"/>
        </w:rPr>
        <w:t xml:space="preserve"> </w:t>
      </w:r>
      <w:r>
        <w:rPr>
          <w:color w:val="231F20"/>
        </w:rPr>
        <w:t>implementation, monitoring of geriatric services; Initiate continued active case search of geriatrics in the state in other to determine their health problems; Collaborate with Geriatric Association of Nigeria to provide</w:t>
      </w:r>
      <w:r>
        <w:rPr>
          <w:color w:val="231F20"/>
          <w:spacing w:val="-25"/>
        </w:rPr>
        <w:t xml:space="preserve"> </w:t>
      </w:r>
      <w:r>
        <w:rPr>
          <w:color w:val="231F20"/>
        </w:rPr>
        <w:t>adequate</w:t>
      </w:r>
      <w:r>
        <w:rPr>
          <w:color w:val="231F20"/>
          <w:spacing w:val="-25"/>
        </w:rPr>
        <w:t xml:space="preserve"> </w:t>
      </w:r>
      <w:r>
        <w:rPr>
          <w:color w:val="231F20"/>
        </w:rPr>
        <w:t>care</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spacing w:val="-3"/>
        </w:rPr>
        <w:t>elderly.</w:t>
      </w:r>
    </w:p>
    <w:p w14:paraId="15EEC30A" w14:textId="77777777" w:rsidR="009948F1" w:rsidRDefault="009948F1">
      <w:pPr>
        <w:pStyle w:val="BodyText"/>
        <w:spacing w:before="2"/>
        <w:rPr>
          <w:sz w:val="24"/>
        </w:rPr>
      </w:pPr>
    </w:p>
    <w:p w14:paraId="03BD0791" w14:textId="77777777" w:rsidR="009948F1" w:rsidRDefault="00BC0563">
      <w:pPr>
        <w:pStyle w:val="ListParagraph"/>
        <w:numPr>
          <w:ilvl w:val="3"/>
          <w:numId w:val="283"/>
        </w:numPr>
        <w:tabs>
          <w:tab w:val="left" w:pos="856"/>
        </w:tabs>
        <w:spacing w:line="261" w:lineRule="auto"/>
        <w:ind w:right="188" w:firstLine="0"/>
      </w:pPr>
      <w:r>
        <w:rPr>
          <w:color w:val="231F20"/>
        </w:rPr>
        <w:t>Promote</w:t>
      </w:r>
      <w:r>
        <w:rPr>
          <w:color w:val="231F20"/>
          <w:spacing w:val="-26"/>
        </w:rPr>
        <w:t xml:space="preserve"> </w:t>
      </w:r>
      <w:r>
        <w:rPr>
          <w:color w:val="231F20"/>
        </w:rPr>
        <w:t>enabling</w:t>
      </w:r>
      <w:r>
        <w:rPr>
          <w:color w:val="231F20"/>
          <w:spacing w:val="-25"/>
        </w:rPr>
        <w:t xml:space="preserve"> </w:t>
      </w:r>
      <w:r>
        <w:rPr>
          <w:color w:val="231F20"/>
        </w:rPr>
        <w:t>policy</w:t>
      </w:r>
      <w:r>
        <w:rPr>
          <w:color w:val="231F20"/>
          <w:spacing w:val="-25"/>
        </w:rPr>
        <w:t xml:space="preserve"> </w:t>
      </w:r>
      <w:r>
        <w:rPr>
          <w:color w:val="231F20"/>
        </w:rPr>
        <w:t>environment</w:t>
      </w:r>
      <w:r>
        <w:rPr>
          <w:color w:val="231F20"/>
          <w:spacing w:val="-25"/>
        </w:rPr>
        <w:t xml:space="preserve"> </w:t>
      </w:r>
      <w:r>
        <w:rPr>
          <w:color w:val="231F20"/>
        </w:rPr>
        <w:t>for</w:t>
      </w:r>
      <w:r>
        <w:rPr>
          <w:color w:val="231F20"/>
          <w:spacing w:val="-25"/>
        </w:rPr>
        <w:t xml:space="preserve"> </w:t>
      </w:r>
      <w:r>
        <w:rPr>
          <w:color w:val="231F20"/>
        </w:rPr>
        <w:t>programming</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elderly:</w:t>
      </w:r>
      <w:r>
        <w:rPr>
          <w:color w:val="231F20"/>
          <w:spacing w:val="-25"/>
        </w:rPr>
        <w:t xml:space="preserve"> </w:t>
      </w:r>
      <w:r>
        <w:rPr>
          <w:color w:val="231F20"/>
        </w:rPr>
        <w:t>Key</w:t>
      </w:r>
      <w:r>
        <w:rPr>
          <w:color w:val="231F20"/>
          <w:spacing w:val="-26"/>
        </w:rPr>
        <w:t xml:space="preserve"> </w:t>
      </w:r>
      <w:r>
        <w:rPr>
          <w:color w:val="231F20"/>
        </w:rPr>
        <w:t>actions</w:t>
      </w:r>
      <w:r>
        <w:rPr>
          <w:color w:val="231F20"/>
          <w:spacing w:val="-25"/>
        </w:rPr>
        <w:t xml:space="preserve"> </w:t>
      </w:r>
      <w:r>
        <w:rPr>
          <w:color w:val="231F20"/>
        </w:rPr>
        <w:t>include;</w:t>
      </w:r>
      <w:r>
        <w:rPr>
          <w:color w:val="231F20"/>
          <w:spacing w:val="-25"/>
        </w:rPr>
        <w:t xml:space="preserve"> </w:t>
      </w:r>
      <w:r>
        <w:rPr>
          <w:color w:val="231F20"/>
        </w:rPr>
        <w:t xml:space="preserve">– Propose bill to Government on policy/ law that protect the rights and privileges of the elderly; Advocacy visit to Chiefs and Traditional rulers in the community to intimate them on roles and responsibilities they need to play to create enabling environment for implementation of elderly </w:t>
      </w:r>
      <w:proofErr w:type="spellStart"/>
      <w:r>
        <w:rPr>
          <w:color w:val="231F20"/>
        </w:rPr>
        <w:t>programmes</w:t>
      </w:r>
      <w:proofErr w:type="spellEnd"/>
      <w:r>
        <w:rPr>
          <w:color w:val="231F20"/>
        </w:rPr>
        <w:t xml:space="preserve">; Establish a multi-sectoral State / Local Government task force on prevention </w:t>
      </w:r>
      <w:r>
        <w:rPr>
          <w:color w:val="231F20"/>
          <w:spacing w:val="-4"/>
        </w:rPr>
        <w:t>and</w:t>
      </w:r>
      <w:r>
        <w:rPr>
          <w:color w:val="231F20"/>
          <w:spacing w:val="53"/>
        </w:rPr>
        <w:t xml:space="preserve"> </w:t>
      </w:r>
      <w:r>
        <w:rPr>
          <w:color w:val="231F20"/>
        </w:rPr>
        <w:t>control</w:t>
      </w:r>
      <w:r>
        <w:rPr>
          <w:color w:val="231F20"/>
          <w:spacing w:val="-25"/>
        </w:rPr>
        <w:t xml:space="preserve"> </w:t>
      </w:r>
      <w:r>
        <w:rPr>
          <w:color w:val="231F20"/>
        </w:rPr>
        <w:t>of</w:t>
      </w:r>
      <w:r>
        <w:rPr>
          <w:color w:val="231F20"/>
          <w:spacing w:val="-25"/>
        </w:rPr>
        <w:t xml:space="preserve"> </w:t>
      </w:r>
      <w:r>
        <w:rPr>
          <w:color w:val="231F20"/>
        </w:rPr>
        <w:t>elderly</w:t>
      </w:r>
      <w:r>
        <w:rPr>
          <w:color w:val="231F20"/>
          <w:spacing w:val="-25"/>
        </w:rPr>
        <w:t xml:space="preserve"> </w:t>
      </w:r>
      <w:r>
        <w:rPr>
          <w:color w:val="231F20"/>
        </w:rPr>
        <w:t>abuse.</w:t>
      </w:r>
    </w:p>
    <w:p w14:paraId="05D7EA3F" w14:textId="77777777" w:rsidR="009948F1" w:rsidRDefault="009948F1">
      <w:pPr>
        <w:pStyle w:val="BodyText"/>
        <w:spacing w:before="1"/>
        <w:rPr>
          <w:sz w:val="24"/>
        </w:rPr>
      </w:pPr>
    </w:p>
    <w:p w14:paraId="47421893" w14:textId="77777777" w:rsidR="009948F1" w:rsidRDefault="00BC0563">
      <w:pPr>
        <w:pStyle w:val="ListParagraph"/>
        <w:numPr>
          <w:ilvl w:val="3"/>
          <w:numId w:val="283"/>
        </w:numPr>
        <w:tabs>
          <w:tab w:val="left" w:pos="870"/>
        </w:tabs>
        <w:spacing w:before="1" w:line="261" w:lineRule="auto"/>
        <w:ind w:right="188" w:firstLine="0"/>
      </w:pPr>
      <w:r>
        <w:rPr>
          <w:color w:val="231F20"/>
        </w:rPr>
        <w:t>Promote</w:t>
      </w:r>
      <w:r>
        <w:rPr>
          <w:color w:val="231F20"/>
          <w:spacing w:val="-13"/>
        </w:rPr>
        <w:t xml:space="preserve"> </w:t>
      </w:r>
      <w:r>
        <w:rPr>
          <w:color w:val="231F20"/>
        </w:rPr>
        <w:t>community</w:t>
      </w:r>
      <w:r>
        <w:rPr>
          <w:color w:val="231F20"/>
          <w:spacing w:val="-13"/>
        </w:rPr>
        <w:t xml:space="preserve"> </w:t>
      </w:r>
      <w:r>
        <w:rPr>
          <w:color w:val="231F20"/>
        </w:rPr>
        <w:t>participation</w:t>
      </w:r>
      <w:r>
        <w:rPr>
          <w:color w:val="231F20"/>
          <w:spacing w:val="-12"/>
        </w:rPr>
        <w:t xml:space="preserve"> </w:t>
      </w:r>
      <w:r>
        <w:rPr>
          <w:color w:val="231F20"/>
        </w:rPr>
        <w:t>and</w:t>
      </w:r>
      <w:r>
        <w:rPr>
          <w:color w:val="231F20"/>
          <w:spacing w:val="-13"/>
        </w:rPr>
        <w:t xml:space="preserve"> </w:t>
      </w:r>
      <w:r>
        <w:rPr>
          <w:color w:val="231F20"/>
        </w:rPr>
        <w:t>partnerships</w:t>
      </w:r>
      <w:r>
        <w:rPr>
          <w:color w:val="231F20"/>
          <w:spacing w:val="-13"/>
        </w:rPr>
        <w:t xml:space="preserve"> </w:t>
      </w:r>
      <w:r>
        <w:rPr>
          <w:color w:val="231F20"/>
        </w:rPr>
        <w:t>for</w:t>
      </w:r>
      <w:r>
        <w:rPr>
          <w:color w:val="231F20"/>
          <w:spacing w:val="-12"/>
        </w:rPr>
        <w:t xml:space="preserve"> </w:t>
      </w:r>
      <w:r>
        <w:rPr>
          <w:color w:val="231F20"/>
        </w:rPr>
        <w:t>sustainability</w:t>
      </w:r>
      <w:r>
        <w:rPr>
          <w:color w:val="231F20"/>
          <w:spacing w:val="-13"/>
        </w:rPr>
        <w:t xml:space="preserve"> </w:t>
      </w:r>
      <w:r>
        <w:rPr>
          <w:color w:val="231F20"/>
        </w:rPr>
        <w:t>of</w:t>
      </w:r>
      <w:r>
        <w:rPr>
          <w:color w:val="231F20"/>
          <w:spacing w:val="-12"/>
        </w:rPr>
        <w:t xml:space="preserve"> </w:t>
      </w:r>
      <w:r>
        <w:rPr>
          <w:color w:val="231F20"/>
        </w:rPr>
        <w:t>health</w:t>
      </w:r>
      <w:r>
        <w:rPr>
          <w:color w:val="231F20"/>
          <w:spacing w:val="-13"/>
        </w:rPr>
        <w:t xml:space="preserve"> </w:t>
      </w:r>
      <w:proofErr w:type="spellStart"/>
      <w:r>
        <w:rPr>
          <w:color w:val="231F20"/>
        </w:rPr>
        <w:t>programmes</w:t>
      </w:r>
      <w:proofErr w:type="spellEnd"/>
      <w:r>
        <w:rPr>
          <w:color w:val="231F20"/>
        </w:rPr>
        <w:t xml:space="preserve"> for the elderly: Key actions include Conduct trainings&amp; re-training for HWs in the 23 LGAs on Interpersonal</w:t>
      </w:r>
      <w:r>
        <w:rPr>
          <w:color w:val="231F20"/>
          <w:spacing w:val="-25"/>
        </w:rPr>
        <w:t xml:space="preserve"> </w:t>
      </w:r>
      <w:r>
        <w:rPr>
          <w:color w:val="231F20"/>
        </w:rPr>
        <w:t>Communication</w:t>
      </w:r>
      <w:r>
        <w:rPr>
          <w:color w:val="231F20"/>
          <w:spacing w:val="-25"/>
        </w:rPr>
        <w:t xml:space="preserve"> </w:t>
      </w:r>
      <w:r>
        <w:rPr>
          <w:color w:val="231F20"/>
        </w:rPr>
        <w:t>Skill</w:t>
      </w:r>
      <w:r>
        <w:rPr>
          <w:color w:val="231F20"/>
          <w:spacing w:val="-25"/>
        </w:rPr>
        <w:t xml:space="preserve"> </w:t>
      </w:r>
      <w:r>
        <w:rPr>
          <w:color w:val="231F20"/>
        </w:rPr>
        <w:t>(IPCS)</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care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spacing w:val="-3"/>
        </w:rPr>
        <w:t>elderly.</w:t>
      </w:r>
    </w:p>
    <w:p w14:paraId="4DB5A741" w14:textId="77777777" w:rsidR="009948F1" w:rsidRDefault="00BC0563">
      <w:pPr>
        <w:pStyle w:val="ListParagraph"/>
        <w:numPr>
          <w:ilvl w:val="2"/>
          <w:numId w:val="282"/>
        </w:numPr>
        <w:tabs>
          <w:tab w:val="left" w:pos="855"/>
        </w:tabs>
        <w:spacing w:before="151" w:line="285" w:lineRule="auto"/>
        <w:ind w:right="4179" w:firstLine="0"/>
        <w:jc w:val="left"/>
        <w:rPr>
          <w:b/>
          <w:color w:val="231F20"/>
          <w:sz w:val="20"/>
        </w:rPr>
      </w:pPr>
      <w:r>
        <w:rPr>
          <w:b/>
          <w:color w:val="231F20"/>
          <w:w w:val="115"/>
          <w:sz w:val="20"/>
        </w:rPr>
        <w:t>Promote</w:t>
      </w:r>
      <w:r>
        <w:rPr>
          <w:b/>
          <w:color w:val="231F20"/>
          <w:spacing w:val="-18"/>
          <w:w w:val="115"/>
          <w:sz w:val="20"/>
        </w:rPr>
        <w:t xml:space="preserve"> </w:t>
      </w:r>
      <w:r>
        <w:rPr>
          <w:b/>
          <w:color w:val="231F20"/>
          <w:w w:val="115"/>
          <w:sz w:val="20"/>
        </w:rPr>
        <w:t>optimal</w:t>
      </w:r>
      <w:r>
        <w:rPr>
          <w:b/>
          <w:color w:val="231F20"/>
          <w:spacing w:val="-17"/>
          <w:w w:val="115"/>
          <w:sz w:val="20"/>
        </w:rPr>
        <w:t xml:space="preserve"> </w:t>
      </w:r>
      <w:r>
        <w:rPr>
          <w:b/>
          <w:color w:val="231F20"/>
          <w:w w:val="115"/>
          <w:sz w:val="20"/>
        </w:rPr>
        <w:t>oral</w:t>
      </w:r>
      <w:r>
        <w:rPr>
          <w:b/>
          <w:color w:val="231F20"/>
          <w:spacing w:val="-17"/>
          <w:w w:val="115"/>
          <w:sz w:val="20"/>
        </w:rPr>
        <w:t xml:space="preserve"> </w:t>
      </w:r>
      <w:r>
        <w:rPr>
          <w:b/>
          <w:color w:val="231F20"/>
          <w:w w:val="115"/>
          <w:sz w:val="20"/>
        </w:rPr>
        <w:t>health</w:t>
      </w:r>
      <w:r>
        <w:rPr>
          <w:b/>
          <w:color w:val="231F20"/>
          <w:spacing w:val="-17"/>
          <w:w w:val="115"/>
          <w:sz w:val="20"/>
        </w:rPr>
        <w:t xml:space="preserve"> </w:t>
      </w:r>
      <w:r>
        <w:rPr>
          <w:b/>
          <w:color w:val="231F20"/>
          <w:w w:val="115"/>
          <w:sz w:val="20"/>
        </w:rPr>
        <w:t>in</w:t>
      </w:r>
      <w:r>
        <w:rPr>
          <w:b/>
          <w:color w:val="231F20"/>
          <w:spacing w:val="-18"/>
          <w:w w:val="115"/>
          <w:sz w:val="20"/>
        </w:rPr>
        <w:t xml:space="preserve"> </w:t>
      </w:r>
      <w:r>
        <w:rPr>
          <w:b/>
          <w:color w:val="231F20"/>
          <w:w w:val="115"/>
          <w:sz w:val="20"/>
        </w:rPr>
        <w:t>Rivers</w:t>
      </w:r>
      <w:r>
        <w:rPr>
          <w:b/>
          <w:color w:val="231F20"/>
          <w:spacing w:val="-17"/>
          <w:w w:val="115"/>
          <w:sz w:val="20"/>
        </w:rPr>
        <w:t xml:space="preserve"> </w:t>
      </w:r>
      <w:r>
        <w:rPr>
          <w:b/>
          <w:color w:val="231F20"/>
          <w:w w:val="115"/>
          <w:sz w:val="20"/>
        </w:rPr>
        <w:t xml:space="preserve">State. </w:t>
      </w:r>
      <w:r>
        <w:rPr>
          <w:b/>
          <w:color w:val="231F20"/>
          <w:spacing w:val="-3"/>
          <w:w w:val="115"/>
          <w:sz w:val="20"/>
        </w:rPr>
        <w:t>Target:</w:t>
      </w:r>
    </w:p>
    <w:tbl>
      <w:tblPr>
        <w:tblW w:w="0" w:type="auto"/>
        <w:tblInd w:w="1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47"/>
        <w:gridCol w:w="1004"/>
        <w:gridCol w:w="729"/>
        <w:gridCol w:w="729"/>
        <w:gridCol w:w="727"/>
        <w:gridCol w:w="729"/>
        <w:gridCol w:w="768"/>
        <w:gridCol w:w="1011"/>
      </w:tblGrid>
      <w:tr w:rsidR="009948F1" w14:paraId="767F54D9" w14:textId="77777777">
        <w:trPr>
          <w:trHeight w:val="192"/>
        </w:trPr>
        <w:tc>
          <w:tcPr>
            <w:tcW w:w="3547" w:type="dxa"/>
            <w:shd w:val="clear" w:color="auto" w:fill="F4CEB2"/>
          </w:tcPr>
          <w:p w14:paraId="4CDE3903" w14:textId="77777777" w:rsidR="009948F1" w:rsidRDefault="00BC0563">
            <w:pPr>
              <w:pStyle w:val="TableParagraph"/>
              <w:spacing w:line="173" w:lineRule="exact"/>
              <w:ind w:left="115"/>
              <w:rPr>
                <w:sz w:val="17"/>
              </w:rPr>
            </w:pPr>
            <w:r>
              <w:rPr>
                <w:color w:val="231F20"/>
                <w:w w:val="110"/>
                <w:sz w:val="17"/>
              </w:rPr>
              <w:t>Targets</w:t>
            </w:r>
          </w:p>
        </w:tc>
        <w:tc>
          <w:tcPr>
            <w:tcW w:w="1004" w:type="dxa"/>
            <w:shd w:val="clear" w:color="auto" w:fill="F4CEB2"/>
          </w:tcPr>
          <w:p w14:paraId="043DFE1D" w14:textId="77777777" w:rsidR="009948F1" w:rsidRDefault="00BC0563">
            <w:pPr>
              <w:pStyle w:val="TableParagraph"/>
              <w:spacing w:line="173" w:lineRule="exact"/>
              <w:ind w:left="115"/>
              <w:rPr>
                <w:b/>
                <w:sz w:val="17"/>
              </w:rPr>
            </w:pPr>
            <w:r>
              <w:rPr>
                <w:b/>
                <w:color w:val="231F20"/>
                <w:w w:val="110"/>
                <w:sz w:val="17"/>
              </w:rPr>
              <w:t>Baseline</w:t>
            </w:r>
          </w:p>
        </w:tc>
        <w:tc>
          <w:tcPr>
            <w:tcW w:w="729" w:type="dxa"/>
            <w:shd w:val="clear" w:color="auto" w:fill="F4CEB2"/>
          </w:tcPr>
          <w:p w14:paraId="594A3FBA" w14:textId="77777777" w:rsidR="009948F1" w:rsidRDefault="00BC0563">
            <w:pPr>
              <w:pStyle w:val="TableParagraph"/>
              <w:spacing w:line="173" w:lineRule="exact"/>
              <w:ind w:left="115"/>
              <w:rPr>
                <w:b/>
                <w:sz w:val="17"/>
              </w:rPr>
            </w:pPr>
            <w:r>
              <w:rPr>
                <w:b/>
                <w:color w:val="231F20"/>
                <w:w w:val="110"/>
                <w:sz w:val="17"/>
              </w:rPr>
              <w:t>2018</w:t>
            </w:r>
          </w:p>
        </w:tc>
        <w:tc>
          <w:tcPr>
            <w:tcW w:w="729" w:type="dxa"/>
            <w:shd w:val="clear" w:color="auto" w:fill="F4CEB2"/>
          </w:tcPr>
          <w:p w14:paraId="107BAE52" w14:textId="77777777" w:rsidR="009948F1" w:rsidRDefault="00BC0563">
            <w:pPr>
              <w:pStyle w:val="TableParagraph"/>
              <w:spacing w:line="173" w:lineRule="exact"/>
              <w:ind w:left="115"/>
              <w:rPr>
                <w:b/>
                <w:sz w:val="17"/>
              </w:rPr>
            </w:pPr>
            <w:r>
              <w:rPr>
                <w:b/>
                <w:color w:val="231F20"/>
                <w:w w:val="110"/>
                <w:sz w:val="17"/>
              </w:rPr>
              <w:t>2019</w:t>
            </w:r>
          </w:p>
        </w:tc>
        <w:tc>
          <w:tcPr>
            <w:tcW w:w="727" w:type="dxa"/>
            <w:shd w:val="clear" w:color="auto" w:fill="F4CEB2"/>
          </w:tcPr>
          <w:p w14:paraId="73DB3AE8" w14:textId="77777777" w:rsidR="009948F1" w:rsidRDefault="00BC0563">
            <w:pPr>
              <w:pStyle w:val="TableParagraph"/>
              <w:spacing w:line="173" w:lineRule="exact"/>
              <w:ind w:left="113"/>
              <w:rPr>
                <w:b/>
                <w:sz w:val="17"/>
              </w:rPr>
            </w:pPr>
            <w:r>
              <w:rPr>
                <w:b/>
                <w:color w:val="231F20"/>
                <w:w w:val="110"/>
                <w:sz w:val="17"/>
              </w:rPr>
              <w:t>2020</w:t>
            </w:r>
          </w:p>
        </w:tc>
        <w:tc>
          <w:tcPr>
            <w:tcW w:w="729" w:type="dxa"/>
            <w:shd w:val="clear" w:color="auto" w:fill="F4CEB2"/>
          </w:tcPr>
          <w:p w14:paraId="3C6FBC2F" w14:textId="77777777" w:rsidR="009948F1" w:rsidRDefault="00BC0563">
            <w:pPr>
              <w:pStyle w:val="TableParagraph"/>
              <w:spacing w:line="173" w:lineRule="exact"/>
              <w:ind w:left="115"/>
              <w:rPr>
                <w:b/>
                <w:sz w:val="17"/>
              </w:rPr>
            </w:pPr>
            <w:r>
              <w:rPr>
                <w:b/>
                <w:color w:val="231F20"/>
                <w:w w:val="110"/>
                <w:sz w:val="17"/>
              </w:rPr>
              <w:t>2021</w:t>
            </w:r>
          </w:p>
        </w:tc>
        <w:tc>
          <w:tcPr>
            <w:tcW w:w="768" w:type="dxa"/>
            <w:shd w:val="clear" w:color="auto" w:fill="F4CEB2"/>
          </w:tcPr>
          <w:p w14:paraId="2593321D" w14:textId="77777777" w:rsidR="009948F1" w:rsidRDefault="00BC0563">
            <w:pPr>
              <w:pStyle w:val="TableParagraph"/>
              <w:spacing w:line="173" w:lineRule="exact"/>
              <w:ind w:left="115"/>
              <w:rPr>
                <w:b/>
                <w:sz w:val="17"/>
              </w:rPr>
            </w:pPr>
            <w:r>
              <w:rPr>
                <w:b/>
                <w:color w:val="231F20"/>
                <w:w w:val="110"/>
                <w:sz w:val="17"/>
              </w:rPr>
              <w:t>2022</w:t>
            </w:r>
          </w:p>
        </w:tc>
        <w:tc>
          <w:tcPr>
            <w:tcW w:w="1011" w:type="dxa"/>
            <w:shd w:val="clear" w:color="auto" w:fill="F4CEB2"/>
          </w:tcPr>
          <w:p w14:paraId="1AF6509D" w14:textId="77777777" w:rsidR="009948F1" w:rsidRDefault="00BC0563">
            <w:pPr>
              <w:pStyle w:val="TableParagraph"/>
              <w:spacing w:line="173" w:lineRule="exact"/>
              <w:ind w:left="115"/>
              <w:rPr>
                <w:b/>
                <w:sz w:val="17"/>
              </w:rPr>
            </w:pPr>
            <w:r>
              <w:rPr>
                <w:b/>
                <w:color w:val="231F20"/>
                <w:w w:val="110"/>
                <w:sz w:val="17"/>
              </w:rPr>
              <w:t>National</w:t>
            </w:r>
          </w:p>
        </w:tc>
      </w:tr>
      <w:tr w:rsidR="009948F1" w14:paraId="73AFF0F9" w14:textId="77777777">
        <w:trPr>
          <w:trHeight w:val="582"/>
        </w:trPr>
        <w:tc>
          <w:tcPr>
            <w:tcW w:w="3547" w:type="dxa"/>
            <w:tcBorders>
              <w:left w:val="single" w:sz="8" w:space="0" w:color="231F20"/>
              <w:bottom w:val="single" w:sz="8" w:space="0" w:color="231F20"/>
              <w:right w:val="single" w:sz="8" w:space="0" w:color="231F20"/>
            </w:tcBorders>
          </w:tcPr>
          <w:p w14:paraId="0DE7036B" w14:textId="77777777" w:rsidR="009948F1" w:rsidRDefault="00BC0563">
            <w:pPr>
              <w:pStyle w:val="TableParagraph"/>
              <w:spacing w:line="237" w:lineRule="auto"/>
              <w:ind w:left="110" w:right="247"/>
              <w:rPr>
                <w:sz w:val="17"/>
              </w:rPr>
            </w:pPr>
            <w:r>
              <w:rPr>
                <w:color w:val="231F20"/>
                <w:w w:val="110"/>
                <w:sz w:val="17"/>
              </w:rPr>
              <w:t>Percent decrease in the prevalence of oral diseases (e.g. dental caries,</w:t>
            </w:r>
          </w:p>
          <w:p w14:paraId="727AD9A3" w14:textId="1CD7FD1B" w:rsidR="009948F1" w:rsidRDefault="00BC0563">
            <w:pPr>
              <w:pStyle w:val="TableParagraph"/>
              <w:spacing w:line="175" w:lineRule="exact"/>
              <w:ind w:left="110"/>
              <w:rPr>
                <w:sz w:val="17"/>
              </w:rPr>
            </w:pPr>
            <w:r>
              <w:rPr>
                <w:color w:val="231F20"/>
                <w:w w:val="110"/>
                <w:sz w:val="17"/>
              </w:rPr>
              <w:t xml:space="preserve">gingivitis, </w:t>
            </w:r>
            <w:proofErr w:type="spellStart"/>
            <w:r>
              <w:rPr>
                <w:color w:val="231F20"/>
                <w:w w:val="110"/>
                <w:sz w:val="17"/>
              </w:rPr>
              <w:t>cancrum</w:t>
            </w:r>
            <w:proofErr w:type="spellEnd"/>
            <w:r w:rsidR="00582DC8">
              <w:rPr>
                <w:color w:val="231F20"/>
                <w:w w:val="110"/>
                <w:sz w:val="17"/>
              </w:rPr>
              <w:t xml:space="preserve"> </w:t>
            </w:r>
            <w:proofErr w:type="spellStart"/>
            <w:r>
              <w:rPr>
                <w:color w:val="231F20"/>
                <w:w w:val="110"/>
                <w:sz w:val="17"/>
              </w:rPr>
              <w:t>oris</w:t>
            </w:r>
            <w:proofErr w:type="spellEnd"/>
            <w:r>
              <w:rPr>
                <w:color w:val="231F20"/>
                <w:w w:val="110"/>
                <w:sz w:val="17"/>
              </w:rPr>
              <w:t xml:space="preserve"> etc.)</w:t>
            </w:r>
          </w:p>
        </w:tc>
        <w:tc>
          <w:tcPr>
            <w:tcW w:w="1004" w:type="dxa"/>
            <w:tcBorders>
              <w:left w:val="single" w:sz="8" w:space="0" w:color="231F20"/>
              <w:bottom w:val="single" w:sz="8" w:space="0" w:color="231F20"/>
              <w:right w:val="single" w:sz="8" w:space="0" w:color="231F20"/>
            </w:tcBorders>
          </w:tcPr>
          <w:p w14:paraId="6DFC4423" w14:textId="77777777" w:rsidR="009948F1" w:rsidRDefault="00BC0563">
            <w:pPr>
              <w:pStyle w:val="TableParagraph"/>
              <w:spacing w:line="193" w:lineRule="exact"/>
              <w:ind w:left="110"/>
              <w:rPr>
                <w:sz w:val="17"/>
              </w:rPr>
            </w:pPr>
            <w:r>
              <w:rPr>
                <w:color w:val="231F20"/>
                <w:w w:val="110"/>
                <w:sz w:val="17"/>
              </w:rPr>
              <w:t>TBD</w:t>
            </w:r>
          </w:p>
        </w:tc>
        <w:tc>
          <w:tcPr>
            <w:tcW w:w="729" w:type="dxa"/>
            <w:tcBorders>
              <w:left w:val="single" w:sz="8" w:space="0" w:color="231F20"/>
            </w:tcBorders>
          </w:tcPr>
          <w:p w14:paraId="01CEF1B9" w14:textId="77777777" w:rsidR="009948F1" w:rsidRDefault="00BC0563">
            <w:pPr>
              <w:pStyle w:val="TableParagraph"/>
              <w:spacing w:line="193" w:lineRule="exact"/>
              <w:ind w:left="110"/>
              <w:rPr>
                <w:sz w:val="17"/>
              </w:rPr>
            </w:pPr>
            <w:r>
              <w:rPr>
                <w:color w:val="231F20"/>
                <w:w w:val="108"/>
                <w:sz w:val="17"/>
              </w:rPr>
              <w:t>5</w:t>
            </w:r>
          </w:p>
        </w:tc>
        <w:tc>
          <w:tcPr>
            <w:tcW w:w="729" w:type="dxa"/>
          </w:tcPr>
          <w:p w14:paraId="7B1BF52F" w14:textId="77777777" w:rsidR="009948F1" w:rsidRDefault="00BC0563">
            <w:pPr>
              <w:pStyle w:val="TableParagraph"/>
              <w:spacing w:line="193" w:lineRule="exact"/>
              <w:ind w:left="115"/>
              <w:rPr>
                <w:sz w:val="17"/>
              </w:rPr>
            </w:pPr>
            <w:r>
              <w:rPr>
                <w:color w:val="231F20"/>
                <w:w w:val="110"/>
                <w:sz w:val="17"/>
              </w:rPr>
              <w:t>10</w:t>
            </w:r>
          </w:p>
        </w:tc>
        <w:tc>
          <w:tcPr>
            <w:tcW w:w="727" w:type="dxa"/>
          </w:tcPr>
          <w:p w14:paraId="7A9A0801" w14:textId="77777777" w:rsidR="009948F1" w:rsidRDefault="00BC0563">
            <w:pPr>
              <w:pStyle w:val="TableParagraph"/>
              <w:spacing w:line="193" w:lineRule="exact"/>
              <w:ind w:left="113"/>
              <w:rPr>
                <w:sz w:val="17"/>
              </w:rPr>
            </w:pPr>
            <w:r>
              <w:rPr>
                <w:color w:val="231F20"/>
                <w:w w:val="110"/>
                <w:sz w:val="17"/>
              </w:rPr>
              <w:t>20</w:t>
            </w:r>
          </w:p>
        </w:tc>
        <w:tc>
          <w:tcPr>
            <w:tcW w:w="729" w:type="dxa"/>
          </w:tcPr>
          <w:p w14:paraId="02320FEB" w14:textId="77777777" w:rsidR="009948F1" w:rsidRDefault="00BC0563">
            <w:pPr>
              <w:pStyle w:val="TableParagraph"/>
              <w:spacing w:line="193" w:lineRule="exact"/>
              <w:ind w:left="115"/>
              <w:rPr>
                <w:sz w:val="17"/>
              </w:rPr>
            </w:pPr>
            <w:r>
              <w:rPr>
                <w:color w:val="231F20"/>
                <w:w w:val="110"/>
                <w:sz w:val="17"/>
              </w:rPr>
              <w:t>30</w:t>
            </w:r>
          </w:p>
        </w:tc>
        <w:tc>
          <w:tcPr>
            <w:tcW w:w="768" w:type="dxa"/>
          </w:tcPr>
          <w:p w14:paraId="55996018" w14:textId="77777777" w:rsidR="009948F1" w:rsidRDefault="00BC0563">
            <w:pPr>
              <w:pStyle w:val="TableParagraph"/>
              <w:spacing w:line="193" w:lineRule="exact"/>
              <w:ind w:left="115"/>
              <w:rPr>
                <w:sz w:val="17"/>
              </w:rPr>
            </w:pPr>
            <w:r>
              <w:rPr>
                <w:color w:val="231F20"/>
                <w:w w:val="110"/>
                <w:sz w:val="17"/>
              </w:rPr>
              <w:t>40</w:t>
            </w:r>
          </w:p>
        </w:tc>
        <w:tc>
          <w:tcPr>
            <w:tcW w:w="1011" w:type="dxa"/>
          </w:tcPr>
          <w:p w14:paraId="78085BA0" w14:textId="77777777" w:rsidR="009948F1" w:rsidRDefault="00BC0563">
            <w:pPr>
              <w:pStyle w:val="TableParagraph"/>
              <w:spacing w:line="237" w:lineRule="auto"/>
              <w:ind w:left="115"/>
              <w:rPr>
                <w:sz w:val="17"/>
              </w:rPr>
            </w:pPr>
            <w:r>
              <w:rPr>
                <w:color w:val="231F20"/>
                <w:w w:val="105"/>
                <w:sz w:val="17"/>
              </w:rPr>
              <w:t xml:space="preserve">Decrease </w:t>
            </w:r>
            <w:r>
              <w:rPr>
                <w:color w:val="231F20"/>
                <w:w w:val="110"/>
                <w:sz w:val="17"/>
              </w:rPr>
              <w:t>by 40%</w:t>
            </w:r>
          </w:p>
        </w:tc>
      </w:tr>
      <w:tr w:rsidR="009948F1" w14:paraId="62DC9CF2" w14:textId="77777777">
        <w:trPr>
          <w:trHeight w:val="581"/>
        </w:trPr>
        <w:tc>
          <w:tcPr>
            <w:tcW w:w="3547" w:type="dxa"/>
            <w:tcBorders>
              <w:top w:val="single" w:sz="8" w:space="0" w:color="231F20"/>
              <w:left w:val="single" w:sz="8" w:space="0" w:color="231F20"/>
              <w:bottom w:val="single" w:sz="8" w:space="0" w:color="231F20"/>
              <w:right w:val="single" w:sz="8" w:space="0" w:color="231F20"/>
            </w:tcBorders>
          </w:tcPr>
          <w:p w14:paraId="3FBC775E" w14:textId="77777777" w:rsidR="009948F1" w:rsidRDefault="00BC0563">
            <w:pPr>
              <w:pStyle w:val="TableParagraph"/>
              <w:spacing w:line="237" w:lineRule="auto"/>
              <w:ind w:left="110" w:right="278"/>
              <w:rPr>
                <w:sz w:val="17"/>
              </w:rPr>
            </w:pPr>
            <w:r>
              <w:rPr>
                <w:color w:val="231F20"/>
                <w:w w:val="110"/>
                <w:sz w:val="17"/>
              </w:rPr>
              <w:t>Percent Increase in the proportion of PHCs providing basic package of oral</w:t>
            </w:r>
          </w:p>
          <w:p w14:paraId="3C3C352E" w14:textId="77777777" w:rsidR="009948F1" w:rsidRDefault="00BC0563">
            <w:pPr>
              <w:pStyle w:val="TableParagraph"/>
              <w:spacing w:line="175" w:lineRule="exact"/>
              <w:ind w:left="110"/>
              <w:rPr>
                <w:sz w:val="17"/>
              </w:rPr>
            </w:pPr>
            <w:r>
              <w:rPr>
                <w:color w:val="231F20"/>
                <w:w w:val="110"/>
                <w:sz w:val="17"/>
              </w:rPr>
              <w:t>care by 60% of baseline</w:t>
            </w:r>
          </w:p>
        </w:tc>
        <w:tc>
          <w:tcPr>
            <w:tcW w:w="1004" w:type="dxa"/>
            <w:tcBorders>
              <w:top w:val="single" w:sz="8" w:space="0" w:color="231F20"/>
              <w:left w:val="single" w:sz="8" w:space="0" w:color="231F20"/>
              <w:bottom w:val="single" w:sz="8" w:space="0" w:color="231F20"/>
              <w:right w:val="single" w:sz="8" w:space="0" w:color="231F20"/>
            </w:tcBorders>
          </w:tcPr>
          <w:p w14:paraId="6CD0EBFE" w14:textId="77777777" w:rsidR="009948F1" w:rsidRDefault="00BC0563">
            <w:pPr>
              <w:pStyle w:val="TableParagraph"/>
              <w:spacing w:line="193" w:lineRule="exact"/>
              <w:ind w:left="110"/>
              <w:rPr>
                <w:sz w:val="17"/>
              </w:rPr>
            </w:pPr>
            <w:r>
              <w:rPr>
                <w:color w:val="231F20"/>
                <w:w w:val="110"/>
                <w:sz w:val="17"/>
              </w:rPr>
              <w:t>TBD</w:t>
            </w:r>
          </w:p>
        </w:tc>
        <w:tc>
          <w:tcPr>
            <w:tcW w:w="729" w:type="dxa"/>
            <w:tcBorders>
              <w:left w:val="single" w:sz="8" w:space="0" w:color="231F20"/>
            </w:tcBorders>
          </w:tcPr>
          <w:p w14:paraId="25FA57A7" w14:textId="77777777" w:rsidR="009948F1" w:rsidRDefault="00BC0563">
            <w:pPr>
              <w:pStyle w:val="TableParagraph"/>
              <w:spacing w:line="193" w:lineRule="exact"/>
              <w:ind w:left="110"/>
              <w:rPr>
                <w:sz w:val="17"/>
              </w:rPr>
            </w:pPr>
            <w:r>
              <w:rPr>
                <w:color w:val="231F20"/>
                <w:w w:val="110"/>
                <w:sz w:val="17"/>
              </w:rPr>
              <w:t>10</w:t>
            </w:r>
          </w:p>
        </w:tc>
        <w:tc>
          <w:tcPr>
            <w:tcW w:w="729" w:type="dxa"/>
          </w:tcPr>
          <w:p w14:paraId="10015632" w14:textId="77777777" w:rsidR="009948F1" w:rsidRDefault="00BC0563">
            <w:pPr>
              <w:pStyle w:val="TableParagraph"/>
              <w:spacing w:line="193" w:lineRule="exact"/>
              <w:ind w:left="115"/>
              <w:rPr>
                <w:sz w:val="17"/>
              </w:rPr>
            </w:pPr>
            <w:r>
              <w:rPr>
                <w:color w:val="231F20"/>
                <w:w w:val="110"/>
                <w:sz w:val="17"/>
              </w:rPr>
              <w:t>20</w:t>
            </w:r>
          </w:p>
        </w:tc>
        <w:tc>
          <w:tcPr>
            <w:tcW w:w="727" w:type="dxa"/>
          </w:tcPr>
          <w:p w14:paraId="1E547C4E" w14:textId="77777777" w:rsidR="009948F1" w:rsidRDefault="00BC0563">
            <w:pPr>
              <w:pStyle w:val="TableParagraph"/>
              <w:spacing w:line="193" w:lineRule="exact"/>
              <w:ind w:left="113"/>
              <w:rPr>
                <w:sz w:val="17"/>
              </w:rPr>
            </w:pPr>
            <w:r>
              <w:rPr>
                <w:color w:val="231F20"/>
                <w:w w:val="110"/>
                <w:sz w:val="17"/>
              </w:rPr>
              <w:t>30</w:t>
            </w:r>
          </w:p>
        </w:tc>
        <w:tc>
          <w:tcPr>
            <w:tcW w:w="729" w:type="dxa"/>
          </w:tcPr>
          <w:p w14:paraId="2A318265" w14:textId="77777777" w:rsidR="009948F1" w:rsidRDefault="00BC0563">
            <w:pPr>
              <w:pStyle w:val="TableParagraph"/>
              <w:spacing w:line="193" w:lineRule="exact"/>
              <w:ind w:left="115"/>
              <w:rPr>
                <w:sz w:val="17"/>
              </w:rPr>
            </w:pPr>
            <w:r>
              <w:rPr>
                <w:color w:val="231F20"/>
                <w:w w:val="110"/>
                <w:sz w:val="17"/>
              </w:rPr>
              <w:t>40</w:t>
            </w:r>
          </w:p>
        </w:tc>
        <w:tc>
          <w:tcPr>
            <w:tcW w:w="768" w:type="dxa"/>
          </w:tcPr>
          <w:p w14:paraId="48643029" w14:textId="77777777" w:rsidR="009948F1" w:rsidRDefault="00BC0563">
            <w:pPr>
              <w:pStyle w:val="TableParagraph"/>
              <w:spacing w:line="193" w:lineRule="exact"/>
              <w:ind w:left="115"/>
              <w:rPr>
                <w:sz w:val="17"/>
              </w:rPr>
            </w:pPr>
            <w:r>
              <w:rPr>
                <w:color w:val="231F20"/>
                <w:w w:val="110"/>
                <w:sz w:val="17"/>
              </w:rPr>
              <w:t>50</w:t>
            </w:r>
          </w:p>
        </w:tc>
        <w:tc>
          <w:tcPr>
            <w:tcW w:w="1011" w:type="dxa"/>
          </w:tcPr>
          <w:p w14:paraId="46987C12" w14:textId="77777777" w:rsidR="009948F1" w:rsidRDefault="00BC0563">
            <w:pPr>
              <w:pStyle w:val="TableParagraph"/>
              <w:spacing w:line="237" w:lineRule="auto"/>
              <w:ind w:left="115" w:right="65"/>
              <w:rPr>
                <w:sz w:val="17"/>
              </w:rPr>
            </w:pPr>
            <w:r>
              <w:rPr>
                <w:color w:val="231F20"/>
                <w:w w:val="105"/>
                <w:sz w:val="17"/>
              </w:rPr>
              <w:t xml:space="preserve">Increase </w:t>
            </w:r>
            <w:r>
              <w:rPr>
                <w:color w:val="231F20"/>
                <w:w w:val="110"/>
                <w:sz w:val="17"/>
              </w:rPr>
              <w:t>to 60%</w:t>
            </w:r>
          </w:p>
        </w:tc>
      </w:tr>
      <w:tr w:rsidR="009948F1" w14:paraId="6E320204" w14:textId="77777777">
        <w:trPr>
          <w:trHeight w:val="581"/>
        </w:trPr>
        <w:tc>
          <w:tcPr>
            <w:tcW w:w="3547" w:type="dxa"/>
            <w:tcBorders>
              <w:top w:val="single" w:sz="8" w:space="0" w:color="231F20"/>
              <w:left w:val="single" w:sz="8" w:space="0" w:color="231F20"/>
              <w:bottom w:val="single" w:sz="8" w:space="0" w:color="231F20"/>
              <w:right w:val="single" w:sz="8" w:space="0" w:color="231F20"/>
            </w:tcBorders>
          </w:tcPr>
          <w:p w14:paraId="447DEB05" w14:textId="77777777" w:rsidR="009948F1" w:rsidRDefault="00BC0563">
            <w:pPr>
              <w:pStyle w:val="TableParagraph"/>
              <w:spacing w:line="193" w:lineRule="exact"/>
              <w:ind w:left="110"/>
              <w:rPr>
                <w:sz w:val="17"/>
              </w:rPr>
            </w:pPr>
            <w:r>
              <w:rPr>
                <w:color w:val="231F20"/>
                <w:w w:val="110"/>
                <w:sz w:val="17"/>
              </w:rPr>
              <w:t>Percent of Rivers residents who have</w:t>
            </w:r>
          </w:p>
          <w:p w14:paraId="2DAE095E" w14:textId="77777777" w:rsidR="009948F1" w:rsidRDefault="00BC0563">
            <w:pPr>
              <w:pStyle w:val="TableParagraph"/>
              <w:spacing w:before="5" w:line="194" w:lineRule="exact"/>
              <w:ind w:left="110" w:right="184"/>
              <w:rPr>
                <w:sz w:val="17"/>
              </w:rPr>
            </w:pPr>
            <w:r>
              <w:rPr>
                <w:color w:val="231F20"/>
                <w:w w:val="110"/>
                <w:sz w:val="17"/>
              </w:rPr>
              <w:t>adequate access to oral health care by 2022</w:t>
            </w:r>
          </w:p>
        </w:tc>
        <w:tc>
          <w:tcPr>
            <w:tcW w:w="1004" w:type="dxa"/>
            <w:tcBorders>
              <w:top w:val="single" w:sz="8" w:space="0" w:color="231F20"/>
              <w:left w:val="single" w:sz="8" w:space="0" w:color="231F20"/>
              <w:bottom w:val="single" w:sz="8" w:space="0" w:color="231F20"/>
              <w:right w:val="single" w:sz="8" w:space="0" w:color="231F20"/>
            </w:tcBorders>
          </w:tcPr>
          <w:p w14:paraId="08AA19DE" w14:textId="77777777" w:rsidR="009948F1" w:rsidRDefault="00BC0563">
            <w:pPr>
              <w:pStyle w:val="TableParagraph"/>
              <w:spacing w:line="193" w:lineRule="exact"/>
              <w:ind w:left="110"/>
              <w:rPr>
                <w:sz w:val="17"/>
              </w:rPr>
            </w:pPr>
            <w:r>
              <w:rPr>
                <w:color w:val="231F20"/>
                <w:w w:val="110"/>
                <w:sz w:val="17"/>
              </w:rPr>
              <w:t>TBD</w:t>
            </w:r>
          </w:p>
        </w:tc>
        <w:tc>
          <w:tcPr>
            <w:tcW w:w="729" w:type="dxa"/>
            <w:tcBorders>
              <w:left w:val="single" w:sz="8" w:space="0" w:color="231F20"/>
            </w:tcBorders>
          </w:tcPr>
          <w:p w14:paraId="00AF0E67" w14:textId="77777777" w:rsidR="009948F1" w:rsidRDefault="00BC0563">
            <w:pPr>
              <w:pStyle w:val="TableParagraph"/>
              <w:spacing w:line="193" w:lineRule="exact"/>
              <w:ind w:left="110"/>
              <w:rPr>
                <w:sz w:val="17"/>
              </w:rPr>
            </w:pPr>
            <w:r>
              <w:rPr>
                <w:color w:val="231F20"/>
                <w:w w:val="108"/>
                <w:sz w:val="17"/>
              </w:rPr>
              <w:t>5</w:t>
            </w:r>
          </w:p>
        </w:tc>
        <w:tc>
          <w:tcPr>
            <w:tcW w:w="729" w:type="dxa"/>
          </w:tcPr>
          <w:p w14:paraId="56C83419" w14:textId="77777777" w:rsidR="009948F1" w:rsidRDefault="00BC0563">
            <w:pPr>
              <w:pStyle w:val="TableParagraph"/>
              <w:spacing w:line="193" w:lineRule="exact"/>
              <w:ind w:left="115"/>
              <w:rPr>
                <w:sz w:val="17"/>
              </w:rPr>
            </w:pPr>
            <w:r>
              <w:rPr>
                <w:color w:val="231F20"/>
                <w:w w:val="110"/>
                <w:sz w:val="17"/>
              </w:rPr>
              <w:t>10</w:t>
            </w:r>
          </w:p>
        </w:tc>
        <w:tc>
          <w:tcPr>
            <w:tcW w:w="727" w:type="dxa"/>
          </w:tcPr>
          <w:p w14:paraId="59838324" w14:textId="77777777" w:rsidR="009948F1" w:rsidRDefault="00BC0563">
            <w:pPr>
              <w:pStyle w:val="TableParagraph"/>
              <w:spacing w:line="193" w:lineRule="exact"/>
              <w:ind w:left="113"/>
              <w:rPr>
                <w:sz w:val="17"/>
              </w:rPr>
            </w:pPr>
            <w:r>
              <w:rPr>
                <w:color w:val="231F20"/>
                <w:w w:val="110"/>
                <w:sz w:val="17"/>
              </w:rPr>
              <w:t>15</w:t>
            </w:r>
          </w:p>
        </w:tc>
        <w:tc>
          <w:tcPr>
            <w:tcW w:w="729" w:type="dxa"/>
          </w:tcPr>
          <w:p w14:paraId="254ADC23" w14:textId="77777777" w:rsidR="009948F1" w:rsidRDefault="00BC0563">
            <w:pPr>
              <w:pStyle w:val="TableParagraph"/>
              <w:spacing w:line="193" w:lineRule="exact"/>
              <w:ind w:left="115"/>
              <w:rPr>
                <w:sz w:val="17"/>
              </w:rPr>
            </w:pPr>
            <w:r>
              <w:rPr>
                <w:color w:val="231F20"/>
                <w:w w:val="110"/>
                <w:sz w:val="17"/>
              </w:rPr>
              <w:t>20</w:t>
            </w:r>
          </w:p>
        </w:tc>
        <w:tc>
          <w:tcPr>
            <w:tcW w:w="768" w:type="dxa"/>
          </w:tcPr>
          <w:p w14:paraId="43EBFF4F" w14:textId="77777777" w:rsidR="009948F1" w:rsidRDefault="00BC0563">
            <w:pPr>
              <w:pStyle w:val="TableParagraph"/>
              <w:spacing w:line="193" w:lineRule="exact"/>
              <w:ind w:left="115"/>
              <w:rPr>
                <w:sz w:val="17"/>
              </w:rPr>
            </w:pPr>
            <w:r>
              <w:rPr>
                <w:color w:val="231F20"/>
                <w:w w:val="110"/>
                <w:sz w:val="17"/>
              </w:rPr>
              <w:t>25</w:t>
            </w:r>
          </w:p>
        </w:tc>
        <w:tc>
          <w:tcPr>
            <w:tcW w:w="1011" w:type="dxa"/>
          </w:tcPr>
          <w:p w14:paraId="4FAE564F" w14:textId="77777777" w:rsidR="009948F1" w:rsidRDefault="00BC0563">
            <w:pPr>
              <w:pStyle w:val="TableParagraph"/>
              <w:spacing w:line="193" w:lineRule="exact"/>
              <w:ind w:left="115"/>
              <w:rPr>
                <w:sz w:val="17"/>
              </w:rPr>
            </w:pPr>
            <w:r>
              <w:rPr>
                <w:color w:val="231F20"/>
                <w:w w:val="110"/>
                <w:sz w:val="17"/>
              </w:rPr>
              <w:t>50%</w:t>
            </w:r>
          </w:p>
        </w:tc>
      </w:tr>
      <w:tr w:rsidR="009948F1" w14:paraId="7407FD6D" w14:textId="77777777">
        <w:trPr>
          <w:trHeight w:val="384"/>
        </w:trPr>
        <w:tc>
          <w:tcPr>
            <w:tcW w:w="3547" w:type="dxa"/>
            <w:tcBorders>
              <w:top w:val="single" w:sz="8" w:space="0" w:color="231F20"/>
              <w:left w:val="single" w:sz="8" w:space="0" w:color="231F20"/>
              <w:bottom w:val="single" w:sz="8" w:space="0" w:color="231F20"/>
              <w:right w:val="single" w:sz="8" w:space="0" w:color="231F20"/>
            </w:tcBorders>
          </w:tcPr>
          <w:p w14:paraId="0F84542F" w14:textId="77777777" w:rsidR="009948F1" w:rsidRDefault="00BC0563">
            <w:pPr>
              <w:pStyle w:val="TableParagraph"/>
              <w:spacing w:line="189" w:lineRule="exact"/>
              <w:ind w:left="110"/>
              <w:rPr>
                <w:sz w:val="17"/>
              </w:rPr>
            </w:pPr>
            <w:r>
              <w:rPr>
                <w:color w:val="231F20"/>
                <w:w w:val="110"/>
                <w:sz w:val="17"/>
              </w:rPr>
              <w:t>Percent of PHCs providing basic</w:t>
            </w:r>
          </w:p>
          <w:p w14:paraId="629E44F2" w14:textId="77777777" w:rsidR="009948F1" w:rsidRDefault="00BC0563">
            <w:pPr>
              <w:pStyle w:val="TableParagraph"/>
              <w:spacing w:line="175" w:lineRule="exact"/>
              <w:ind w:left="110"/>
              <w:rPr>
                <w:sz w:val="17"/>
              </w:rPr>
            </w:pPr>
            <w:r>
              <w:rPr>
                <w:color w:val="231F20"/>
                <w:w w:val="110"/>
                <w:sz w:val="17"/>
              </w:rPr>
              <w:t>package of oral care by 2022</w:t>
            </w:r>
          </w:p>
        </w:tc>
        <w:tc>
          <w:tcPr>
            <w:tcW w:w="1004" w:type="dxa"/>
            <w:tcBorders>
              <w:top w:val="single" w:sz="8" w:space="0" w:color="231F20"/>
              <w:left w:val="single" w:sz="8" w:space="0" w:color="231F20"/>
              <w:bottom w:val="single" w:sz="8" w:space="0" w:color="231F20"/>
              <w:right w:val="single" w:sz="8" w:space="0" w:color="231F20"/>
            </w:tcBorders>
          </w:tcPr>
          <w:p w14:paraId="6CC7E8C1" w14:textId="77777777" w:rsidR="009948F1" w:rsidRDefault="00BC0563">
            <w:pPr>
              <w:pStyle w:val="TableParagraph"/>
              <w:spacing w:line="189" w:lineRule="exact"/>
              <w:ind w:left="110"/>
              <w:rPr>
                <w:sz w:val="17"/>
              </w:rPr>
            </w:pPr>
            <w:r>
              <w:rPr>
                <w:color w:val="231F20"/>
                <w:w w:val="108"/>
                <w:sz w:val="17"/>
              </w:rPr>
              <w:t>0</w:t>
            </w:r>
          </w:p>
        </w:tc>
        <w:tc>
          <w:tcPr>
            <w:tcW w:w="729" w:type="dxa"/>
            <w:tcBorders>
              <w:left w:val="single" w:sz="8" w:space="0" w:color="231F20"/>
            </w:tcBorders>
          </w:tcPr>
          <w:p w14:paraId="4C392315" w14:textId="77777777" w:rsidR="009948F1" w:rsidRDefault="00BC0563">
            <w:pPr>
              <w:pStyle w:val="TableParagraph"/>
              <w:spacing w:line="189" w:lineRule="exact"/>
              <w:ind w:left="110"/>
              <w:rPr>
                <w:sz w:val="17"/>
              </w:rPr>
            </w:pPr>
            <w:r>
              <w:rPr>
                <w:color w:val="231F20"/>
                <w:w w:val="110"/>
                <w:sz w:val="17"/>
              </w:rPr>
              <w:t>10</w:t>
            </w:r>
          </w:p>
        </w:tc>
        <w:tc>
          <w:tcPr>
            <w:tcW w:w="729" w:type="dxa"/>
          </w:tcPr>
          <w:p w14:paraId="4703B6EB" w14:textId="77777777" w:rsidR="009948F1" w:rsidRDefault="00BC0563">
            <w:pPr>
              <w:pStyle w:val="TableParagraph"/>
              <w:spacing w:line="189" w:lineRule="exact"/>
              <w:ind w:left="115"/>
              <w:rPr>
                <w:sz w:val="17"/>
              </w:rPr>
            </w:pPr>
            <w:r>
              <w:rPr>
                <w:color w:val="231F20"/>
                <w:w w:val="110"/>
                <w:sz w:val="17"/>
              </w:rPr>
              <w:t>20</w:t>
            </w:r>
          </w:p>
        </w:tc>
        <w:tc>
          <w:tcPr>
            <w:tcW w:w="727" w:type="dxa"/>
          </w:tcPr>
          <w:p w14:paraId="748D2A7D" w14:textId="77777777" w:rsidR="009948F1" w:rsidRDefault="00BC0563">
            <w:pPr>
              <w:pStyle w:val="TableParagraph"/>
              <w:spacing w:line="189" w:lineRule="exact"/>
              <w:ind w:left="113"/>
              <w:rPr>
                <w:sz w:val="17"/>
              </w:rPr>
            </w:pPr>
            <w:r>
              <w:rPr>
                <w:color w:val="231F20"/>
                <w:w w:val="110"/>
                <w:sz w:val="17"/>
              </w:rPr>
              <w:t>30</w:t>
            </w:r>
          </w:p>
        </w:tc>
        <w:tc>
          <w:tcPr>
            <w:tcW w:w="729" w:type="dxa"/>
          </w:tcPr>
          <w:p w14:paraId="66A3E46F" w14:textId="77777777" w:rsidR="009948F1" w:rsidRDefault="00BC0563">
            <w:pPr>
              <w:pStyle w:val="TableParagraph"/>
              <w:spacing w:line="189" w:lineRule="exact"/>
              <w:ind w:left="115"/>
              <w:rPr>
                <w:sz w:val="17"/>
              </w:rPr>
            </w:pPr>
            <w:r>
              <w:rPr>
                <w:color w:val="231F20"/>
                <w:w w:val="110"/>
                <w:sz w:val="17"/>
              </w:rPr>
              <w:t>40</w:t>
            </w:r>
          </w:p>
        </w:tc>
        <w:tc>
          <w:tcPr>
            <w:tcW w:w="768" w:type="dxa"/>
          </w:tcPr>
          <w:p w14:paraId="387F6D3C" w14:textId="77777777" w:rsidR="009948F1" w:rsidRDefault="00BC0563">
            <w:pPr>
              <w:pStyle w:val="TableParagraph"/>
              <w:spacing w:line="189" w:lineRule="exact"/>
              <w:ind w:left="115"/>
              <w:rPr>
                <w:sz w:val="17"/>
              </w:rPr>
            </w:pPr>
            <w:r>
              <w:rPr>
                <w:color w:val="231F20"/>
                <w:w w:val="110"/>
                <w:sz w:val="17"/>
              </w:rPr>
              <w:t>50</w:t>
            </w:r>
          </w:p>
        </w:tc>
        <w:tc>
          <w:tcPr>
            <w:tcW w:w="1011" w:type="dxa"/>
          </w:tcPr>
          <w:p w14:paraId="0B8E7AC1" w14:textId="77777777" w:rsidR="009948F1" w:rsidRDefault="00BC0563">
            <w:pPr>
              <w:pStyle w:val="TableParagraph"/>
              <w:spacing w:line="189" w:lineRule="exact"/>
              <w:ind w:left="115"/>
              <w:rPr>
                <w:sz w:val="17"/>
              </w:rPr>
            </w:pPr>
            <w:r>
              <w:rPr>
                <w:color w:val="231F20"/>
                <w:w w:val="110"/>
                <w:sz w:val="17"/>
              </w:rPr>
              <w:t>50%</w:t>
            </w:r>
          </w:p>
        </w:tc>
      </w:tr>
      <w:tr w:rsidR="009948F1" w14:paraId="5DA052AA" w14:textId="77777777">
        <w:trPr>
          <w:trHeight w:val="581"/>
        </w:trPr>
        <w:tc>
          <w:tcPr>
            <w:tcW w:w="3547" w:type="dxa"/>
            <w:tcBorders>
              <w:top w:val="single" w:sz="8" w:space="0" w:color="231F20"/>
              <w:left w:val="single" w:sz="8" w:space="0" w:color="231F20"/>
              <w:bottom w:val="single" w:sz="8" w:space="0" w:color="231F20"/>
              <w:right w:val="single" w:sz="8" w:space="0" w:color="231F20"/>
            </w:tcBorders>
          </w:tcPr>
          <w:p w14:paraId="71922B17" w14:textId="77777777" w:rsidR="009948F1" w:rsidRDefault="00BC0563">
            <w:pPr>
              <w:pStyle w:val="TableParagraph"/>
              <w:spacing w:line="237" w:lineRule="auto"/>
              <w:ind w:left="110" w:right="216"/>
              <w:rPr>
                <w:sz w:val="17"/>
              </w:rPr>
            </w:pPr>
            <w:r>
              <w:rPr>
                <w:color w:val="231F20"/>
                <w:w w:val="110"/>
                <w:sz w:val="17"/>
              </w:rPr>
              <w:t>Percent of secondary level health care facilities are providing oral health care</w:t>
            </w:r>
          </w:p>
          <w:p w14:paraId="0F8C1229" w14:textId="77777777" w:rsidR="009948F1" w:rsidRDefault="00BC0563">
            <w:pPr>
              <w:pStyle w:val="TableParagraph"/>
              <w:spacing w:line="175" w:lineRule="exact"/>
              <w:ind w:left="110"/>
              <w:rPr>
                <w:sz w:val="17"/>
              </w:rPr>
            </w:pPr>
            <w:r>
              <w:rPr>
                <w:color w:val="231F20"/>
                <w:w w:val="110"/>
                <w:sz w:val="17"/>
              </w:rPr>
              <w:t>appropriate for that</w:t>
            </w:r>
          </w:p>
        </w:tc>
        <w:tc>
          <w:tcPr>
            <w:tcW w:w="1004" w:type="dxa"/>
            <w:tcBorders>
              <w:top w:val="single" w:sz="8" w:space="0" w:color="231F20"/>
              <w:left w:val="single" w:sz="8" w:space="0" w:color="231F20"/>
              <w:bottom w:val="single" w:sz="8" w:space="0" w:color="231F20"/>
              <w:right w:val="single" w:sz="8" w:space="0" w:color="231F20"/>
            </w:tcBorders>
          </w:tcPr>
          <w:p w14:paraId="0BA16BAA" w14:textId="77777777" w:rsidR="009948F1" w:rsidRDefault="00BC0563">
            <w:pPr>
              <w:pStyle w:val="TableParagraph"/>
              <w:spacing w:line="193" w:lineRule="exact"/>
              <w:ind w:left="110"/>
              <w:rPr>
                <w:sz w:val="17"/>
              </w:rPr>
            </w:pPr>
            <w:r>
              <w:rPr>
                <w:color w:val="231F20"/>
                <w:w w:val="110"/>
                <w:sz w:val="17"/>
              </w:rPr>
              <w:t>TBD</w:t>
            </w:r>
          </w:p>
        </w:tc>
        <w:tc>
          <w:tcPr>
            <w:tcW w:w="729" w:type="dxa"/>
            <w:tcBorders>
              <w:left w:val="single" w:sz="8" w:space="0" w:color="231F20"/>
            </w:tcBorders>
          </w:tcPr>
          <w:p w14:paraId="4AAC1826" w14:textId="77777777" w:rsidR="009948F1" w:rsidRDefault="00BC0563">
            <w:pPr>
              <w:pStyle w:val="TableParagraph"/>
              <w:spacing w:line="193" w:lineRule="exact"/>
              <w:ind w:left="110"/>
              <w:rPr>
                <w:sz w:val="17"/>
              </w:rPr>
            </w:pPr>
            <w:r>
              <w:rPr>
                <w:color w:val="231F20"/>
                <w:w w:val="110"/>
                <w:sz w:val="17"/>
              </w:rPr>
              <w:t>10</w:t>
            </w:r>
          </w:p>
        </w:tc>
        <w:tc>
          <w:tcPr>
            <w:tcW w:w="729" w:type="dxa"/>
          </w:tcPr>
          <w:p w14:paraId="472736E8" w14:textId="77777777" w:rsidR="009948F1" w:rsidRDefault="00BC0563">
            <w:pPr>
              <w:pStyle w:val="TableParagraph"/>
              <w:spacing w:line="193" w:lineRule="exact"/>
              <w:ind w:left="115"/>
              <w:rPr>
                <w:sz w:val="17"/>
              </w:rPr>
            </w:pPr>
            <w:r>
              <w:rPr>
                <w:color w:val="231F20"/>
                <w:w w:val="110"/>
                <w:sz w:val="17"/>
              </w:rPr>
              <w:t>20</w:t>
            </w:r>
          </w:p>
        </w:tc>
        <w:tc>
          <w:tcPr>
            <w:tcW w:w="727" w:type="dxa"/>
          </w:tcPr>
          <w:p w14:paraId="46723899" w14:textId="77777777" w:rsidR="009948F1" w:rsidRDefault="00BC0563">
            <w:pPr>
              <w:pStyle w:val="TableParagraph"/>
              <w:spacing w:line="193" w:lineRule="exact"/>
              <w:ind w:left="113"/>
              <w:rPr>
                <w:sz w:val="17"/>
              </w:rPr>
            </w:pPr>
            <w:r>
              <w:rPr>
                <w:color w:val="231F20"/>
                <w:w w:val="110"/>
                <w:sz w:val="17"/>
              </w:rPr>
              <w:t>30</w:t>
            </w:r>
          </w:p>
        </w:tc>
        <w:tc>
          <w:tcPr>
            <w:tcW w:w="729" w:type="dxa"/>
          </w:tcPr>
          <w:p w14:paraId="26F22904" w14:textId="77777777" w:rsidR="009948F1" w:rsidRDefault="00BC0563">
            <w:pPr>
              <w:pStyle w:val="TableParagraph"/>
              <w:spacing w:line="193" w:lineRule="exact"/>
              <w:ind w:left="115"/>
              <w:rPr>
                <w:sz w:val="17"/>
              </w:rPr>
            </w:pPr>
            <w:r>
              <w:rPr>
                <w:color w:val="231F20"/>
                <w:w w:val="110"/>
                <w:sz w:val="17"/>
              </w:rPr>
              <w:t>40</w:t>
            </w:r>
          </w:p>
        </w:tc>
        <w:tc>
          <w:tcPr>
            <w:tcW w:w="768" w:type="dxa"/>
          </w:tcPr>
          <w:p w14:paraId="331C335B" w14:textId="77777777" w:rsidR="009948F1" w:rsidRDefault="00BC0563">
            <w:pPr>
              <w:pStyle w:val="TableParagraph"/>
              <w:spacing w:line="193" w:lineRule="exact"/>
              <w:ind w:left="115"/>
              <w:rPr>
                <w:sz w:val="17"/>
              </w:rPr>
            </w:pPr>
            <w:r>
              <w:rPr>
                <w:color w:val="231F20"/>
                <w:w w:val="110"/>
                <w:sz w:val="17"/>
              </w:rPr>
              <w:t>50</w:t>
            </w:r>
          </w:p>
        </w:tc>
        <w:tc>
          <w:tcPr>
            <w:tcW w:w="1011" w:type="dxa"/>
          </w:tcPr>
          <w:p w14:paraId="5BEAE6AD" w14:textId="77777777" w:rsidR="009948F1" w:rsidRDefault="00BC0563">
            <w:pPr>
              <w:pStyle w:val="TableParagraph"/>
              <w:spacing w:line="193" w:lineRule="exact"/>
              <w:ind w:left="115"/>
              <w:rPr>
                <w:sz w:val="17"/>
              </w:rPr>
            </w:pPr>
            <w:r>
              <w:rPr>
                <w:color w:val="231F20"/>
                <w:w w:val="110"/>
                <w:sz w:val="17"/>
              </w:rPr>
              <w:t>60%</w:t>
            </w:r>
          </w:p>
        </w:tc>
      </w:tr>
    </w:tbl>
    <w:p w14:paraId="6A901919" w14:textId="77777777" w:rsidR="009948F1" w:rsidRDefault="009948F1">
      <w:pPr>
        <w:spacing w:line="193" w:lineRule="exact"/>
        <w:rPr>
          <w:sz w:val="17"/>
        </w:rPr>
        <w:sectPr w:rsidR="009948F1">
          <w:pgSz w:w="11910" w:h="16840"/>
          <w:pgMar w:top="1500" w:right="1080" w:bottom="1420" w:left="1120" w:header="0" w:footer="1235" w:gutter="0"/>
          <w:cols w:space="720"/>
        </w:sectPr>
      </w:pPr>
    </w:p>
    <w:p w14:paraId="351FD004" w14:textId="77777777" w:rsidR="009948F1" w:rsidRDefault="00BC0563">
      <w:pPr>
        <w:pStyle w:val="Heading7"/>
        <w:spacing w:before="43"/>
        <w:ind w:left="135"/>
      </w:pPr>
      <w:bookmarkStart w:id="79" w:name="Page_65"/>
      <w:bookmarkEnd w:id="79"/>
      <w:r>
        <w:rPr>
          <w:color w:val="231F20"/>
        </w:rPr>
        <w:lastRenderedPageBreak/>
        <w:t>Interventions</w:t>
      </w:r>
    </w:p>
    <w:p w14:paraId="207BED91" w14:textId="77777777" w:rsidR="009948F1" w:rsidRDefault="00BC0563">
      <w:pPr>
        <w:pStyle w:val="ListParagraph"/>
        <w:numPr>
          <w:ilvl w:val="3"/>
          <w:numId w:val="281"/>
        </w:numPr>
        <w:tabs>
          <w:tab w:val="left" w:pos="854"/>
        </w:tabs>
        <w:spacing w:before="34" w:line="273" w:lineRule="auto"/>
        <w:ind w:right="221" w:firstLine="0"/>
      </w:pPr>
      <w:r>
        <w:rPr>
          <w:color w:val="231F20"/>
        </w:rPr>
        <w:t>Scale-up</w:t>
      </w:r>
      <w:r>
        <w:rPr>
          <w:color w:val="231F20"/>
          <w:spacing w:val="-17"/>
        </w:rPr>
        <w:t xml:space="preserve"> </w:t>
      </w:r>
      <w:r>
        <w:rPr>
          <w:color w:val="231F20"/>
        </w:rPr>
        <w:t>BCC</w:t>
      </w:r>
      <w:r>
        <w:rPr>
          <w:color w:val="231F20"/>
          <w:spacing w:val="-16"/>
        </w:rPr>
        <w:t xml:space="preserve"> </w:t>
      </w:r>
      <w:r>
        <w:rPr>
          <w:color w:val="231F20"/>
        </w:rPr>
        <w:t>for</w:t>
      </w:r>
      <w:r>
        <w:rPr>
          <w:color w:val="231F20"/>
          <w:spacing w:val="-16"/>
        </w:rPr>
        <w:t xml:space="preserve"> </w:t>
      </w:r>
      <w:r>
        <w:rPr>
          <w:color w:val="231F20"/>
        </w:rPr>
        <w:t>oral</w:t>
      </w:r>
      <w:r>
        <w:rPr>
          <w:color w:val="231F20"/>
          <w:spacing w:val="-16"/>
        </w:rPr>
        <w:t xml:space="preserve"> </w:t>
      </w:r>
      <w:r>
        <w:rPr>
          <w:color w:val="231F20"/>
        </w:rPr>
        <w:t>health</w:t>
      </w:r>
      <w:r>
        <w:rPr>
          <w:color w:val="231F20"/>
          <w:spacing w:val="-16"/>
        </w:rPr>
        <w:t xml:space="preserve"> </w:t>
      </w:r>
      <w:r>
        <w:rPr>
          <w:color w:val="231F20"/>
        </w:rPr>
        <w:t>promotion,</w:t>
      </w:r>
      <w:r>
        <w:rPr>
          <w:color w:val="231F20"/>
          <w:spacing w:val="-16"/>
        </w:rPr>
        <w:t xml:space="preserve"> </w:t>
      </w:r>
      <w:r>
        <w:rPr>
          <w:color w:val="231F20"/>
        </w:rPr>
        <w:t>disease</w:t>
      </w:r>
      <w:r>
        <w:rPr>
          <w:color w:val="231F20"/>
          <w:spacing w:val="-16"/>
        </w:rPr>
        <w:t xml:space="preserve"> </w:t>
      </w:r>
      <w:r>
        <w:rPr>
          <w:color w:val="231F20"/>
        </w:rPr>
        <w:t>prevention</w:t>
      </w:r>
      <w:r>
        <w:rPr>
          <w:color w:val="231F20"/>
          <w:spacing w:val="-16"/>
        </w:rPr>
        <w:t xml:space="preserve"> </w:t>
      </w:r>
      <w:r>
        <w:rPr>
          <w:color w:val="231F20"/>
        </w:rPr>
        <w:t>and</w:t>
      </w:r>
      <w:r>
        <w:rPr>
          <w:color w:val="231F20"/>
          <w:spacing w:val="-17"/>
        </w:rPr>
        <w:t xml:space="preserve"> </w:t>
      </w:r>
      <w:r>
        <w:rPr>
          <w:color w:val="231F20"/>
        </w:rPr>
        <w:t>early</w:t>
      </w:r>
      <w:r>
        <w:rPr>
          <w:color w:val="231F20"/>
          <w:spacing w:val="-16"/>
        </w:rPr>
        <w:t xml:space="preserve"> </w:t>
      </w:r>
      <w:r>
        <w:rPr>
          <w:color w:val="231F20"/>
        </w:rPr>
        <w:t>care</w:t>
      </w:r>
      <w:r>
        <w:rPr>
          <w:color w:val="231F20"/>
          <w:spacing w:val="-16"/>
        </w:rPr>
        <w:t xml:space="preserve"> </w:t>
      </w:r>
      <w:r>
        <w:rPr>
          <w:color w:val="231F20"/>
        </w:rPr>
        <w:t>seeking</w:t>
      </w:r>
      <w:r>
        <w:rPr>
          <w:color w:val="231F20"/>
          <w:spacing w:val="-16"/>
        </w:rPr>
        <w:t xml:space="preserve"> </w:t>
      </w:r>
      <w:r>
        <w:rPr>
          <w:color w:val="231F20"/>
        </w:rPr>
        <w:t>for</w:t>
      </w:r>
      <w:r>
        <w:rPr>
          <w:color w:val="231F20"/>
          <w:spacing w:val="-16"/>
        </w:rPr>
        <w:t xml:space="preserve"> </w:t>
      </w:r>
      <w:r>
        <w:rPr>
          <w:color w:val="231F20"/>
        </w:rPr>
        <w:t>oral diseases.</w:t>
      </w:r>
      <w:r>
        <w:rPr>
          <w:color w:val="231F20"/>
          <w:spacing w:val="-10"/>
        </w:rPr>
        <w:t xml:space="preserve"> </w:t>
      </w:r>
      <w:r>
        <w:rPr>
          <w:color w:val="231F20"/>
        </w:rPr>
        <w:t>Key</w:t>
      </w:r>
      <w:r>
        <w:rPr>
          <w:color w:val="231F20"/>
          <w:spacing w:val="-9"/>
        </w:rPr>
        <w:t xml:space="preserve"> </w:t>
      </w:r>
      <w:r>
        <w:rPr>
          <w:color w:val="231F20"/>
        </w:rPr>
        <w:t>actions</w:t>
      </w:r>
      <w:r>
        <w:rPr>
          <w:color w:val="231F20"/>
          <w:spacing w:val="-9"/>
        </w:rPr>
        <w:t xml:space="preserve"> </w:t>
      </w:r>
      <w:r>
        <w:rPr>
          <w:color w:val="231F20"/>
        </w:rPr>
        <w:t>include;</w:t>
      </w:r>
      <w:r>
        <w:rPr>
          <w:color w:val="231F20"/>
          <w:spacing w:val="-9"/>
        </w:rPr>
        <w:t xml:space="preserve"> </w:t>
      </w:r>
      <w:r>
        <w:rPr>
          <w:color w:val="231F20"/>
        </w:rPr>
        <w:t>–</w:t>
      </w:r>
      <w:r>
        <w:rPr>
          <w:color w:val="231F20"/>
          <w:spacing w:val="-9"/>
        </w:rPr>
        <w:t xml:space="preserve"> </w:t>
      </w:r>
      <w:r>
        <w:rPr>
          <w:color w:val="231F20"/>
        </w:rPr>
        <w:t>Develop</w:t>
      </w:r>
      <w:r>
        <w:rPr>
          <w:color w:val="231F20"/>
          <w:spacing w:val="-9"/>
        </w:rPr>
        <w:t xml:space="preserve"> </w:t>
      </w:r>
      <w:r>
        <w:rPr>
          <w:color w:val="231F20"/>
        </w:rPr>
        <w:t>and</w:t>
      </w:r>
      <w:r>
        <w:rPr>
          <w:color w:val="231F20"/>
          <w:spacing w:val="-9"/>
        </w:rPr>
        <w:t xml:space="preserve"> </w:t>
      </w:r>
      <w:r>
        <w:rPr>
          <w:color w:val="231F20"/>
        </w:rPr>
        <w:t>implement</w:t>
      </w:r>
      <w:r>
        <w:rPr>
          <w:color w:val="231F20"/>
          <w:spacing w:val="-10"/>
        </w:rPr>
        <w:t xml:space="preserve"> </w:t>
      </w:r>
      <w:r>
        <w:rPr>
          <w:color w:val="231F20"/>
        </w:rPr>
        <w:t>an</w:t>
      </w:r>
      <w:r>
        <w:rPr>
          <w:color w:val="231F20"/>
          <w:spacing w:val="-9"/>
        </w:rPr>
        <w:t xml:space="preserve"> </w:t>
      </w:r>
      <w:r>
        <w:rPr>
          <w:color w:val="231F20"/>
        </w:rPr>
        <w:t>oral</w:t>
      </w:r>
      <w:r>
        <w:rPr>
          <w:color w:val="231F20"/>
          <w:spacing w:val="-9"/>
        </w:rPr>
        <w:t xml:space="preserve"> </w:t>
      </w:r>
      <w:r>
        <w:rPr>
          <w:color w:val="231F20"/>
        </w:rPr>
        <w:t>health</w:t>
      </w:r>
      <w:r>
        <w:rPr>
          <w:color w:val="231F20"/>
          <w:spacing w:val="-9"/>
        </w:rPr>
        <w:t xml:space="preserve"> </w:t>
      </w:r>
      <w:r>
        <w:rPr>
          <w:color w:val="231F20"/>
        </w:rPr>
        <w:t>prevention</w:t>
      </w:r>
      <w:r>
        <w:rPr>
          <w:color w:val="231F20"/>
          <w:spacing w:val="-8"/>
        </w:rPr>
        <w:t xml:space="preserve"> </w:t>
      </w:r>
      <w:r>
        <w:rPr>
          <w:color w:val="231F20"/>
        </w:rPr>
        <w:t>and</w:t>
      </w:r>
      <w:r>
        <w:rPr>
          <w:color w:val="231F20"/>
          <w:spacing w:val="-9"/>
        </w:rPr>
        <w:t xml:space="preserve"> </w:t>
      </w:r>
      <w:r>
        <w:rPr>
          <w:color w:val="231F20"/>
        </w:rPr>
        <w:t>promotion strategy;</w:t>
      </w:r>
      <w:r>
        <w:rPr>
          <w:color w:val="231F20"/>
          <w:spacing w:val="-22"/>
        </w:rPr>
        <w:t xml:space="preserve"> </w:t>
      </w:r>
      <w:r>
        <w:rPr>
          <w:color w:val="231F20"/>
        </w:rPr>
        <w:t>Develop</w:t>
      </w:r>
      <w:r>
        <w:rPr>
          <w:color w:val="231F20"/>
          <w:spacing w:val="-22"/>
        </w:rPr>
        <w:t xml:space="preserve"> </w:t>
      </w:r>
      <w:r>
        <w:rPr>
          <w:color w:val="231F20"/>
        </w:rPr>
        <w:t>and</w:t>
      </w:r>
      <w:r>
        <w:rPr>
          <w:color w:val="231F20"/>
          <w:spacing w:val="-22"/>
        </w:rPr>
        <w:t xml:space="preserve"> </w:t>
      </w:r>
      <w:r>
        <w:rPr>
          <w:color w:val="231F20"/>
        </w:rPr>
        <w:t>distribute</w:t>
      </w:r>
      <w:r>
        <w:rPr>
          <w:color w:val="231F20"/>
          <w:spacing w:val="-22"/>
        </w:rPr>
        <w:t xml:space="preserve"> </w:t>
      </w:r>
      <w:r>
        <w:rPr>
          <w:color w:val="231F20"/>
        </w:rPr>
        <w:t>Information</w:t>
      </w:r>
      <w:r>
        <w:rPr>
          <w:color w:val="231F20"/>
          <w:spacing w:val="-22"/>
        </w:rPr>
        <w:t xml:space="preserve"> </w:t>
      </w:r>
      <w:r>
        <w:rPr>
          <w:color w:val="231F20"/>
        </w:rPr>
        <w:t>Education</w:t>
      </w:r>
      <w:r>
        <w:rPr>
          <w:color w:val="231F20"/>
          <w:spacing w:val="-22"/>
        </w:rPr>
        <w:t xml:space="preserve"> </w:t>
      </w:r>
      <w:r>
        <w:rPr>
          <w:color w:val="231F20"/>
        </w:rPr>
        <w:t>and</w:t>
      </w:r>
      <w:r>
        <w:rPr>
          <w:color w:val="231F20"/>
          <w:spacing w:val="-21"/>
        </w:rPr>
        <w:t xml:space="preserve"> </w:t>
      </w:r>
      <w:r>
        <w:rPr>
          <w:color w:val="231F20"/>
        </w:rPr>
        <w:t>Communication</w:t>
      </w:r>
      <w:r>
        <w:rPr>
          <w:color w:val="231F20"/>
          <w:spacing w:val="-22"/>
        </w:rPr>
        <w:t xml:space="preserve"> </w:t>
      </w:r>
      <w:r>
        <w:rPr>
          <w:color w:val="231F20"/>
        </w:rPr>
        <w:t>(IEC)</w:t>
      </w:r>
      <w:r>
        <w:rPr>
          <w:color w:val="231F20"/>
          <w:spacing w:val="-22"/>
        </w:rPr>
        <w:t xml:space="preserve"> </w:t>
      </w:r>
      <w:r>
        <w:rPr>
          <w:color w:val="231F20"/>
        </w:rPr>
        <w:t>materials</w:t>
      </w:r>
      <w:r>
        <w:rPr>
          <w:color w:val="231F20"/>
          <w:spacing w:val="-22"/>
        </w:rPr>
        <w:t xml:space="preserve"> </w:t>
      </w:r>
      <w:r>
        <w:rPr>
          <w:color w:val="231F20"/>
        </w:rPr>
        <w:t>for</w:t>
      </w:r>
      <w:r>
        <w:rPr>
          <w:color w:val="231F20"/>
          <w:spacing w:val="-22"/>
        </w:rPr>
        <w:t xml:space="preserve"> </w:t>
      </w:r>
      <w:r>
        <w:rPr>
          <w:color w:val="231F20"/>
          <w:spacing w:val="-4"/>
        </w:rPr>
        <w:t xml:space="preserve">oral </w:t>
      </w:r>
      <w:r>
        <w:rPr>
          <w:color w:val="231F20"/>
        </w:rPr>
        <w:t>health awareness creation among the general population; Conduct advocacy to integrate oral health education into school curricula; Integrate oral health education into health education activities</w:t>
      </w:r>
      <w:r>
        <w:rPr>
          <w:color w:val="231F20"/>
          <w:spacing w:val="-26"/>
        </w:rPr>
        <w:t xml:space="preserve"> </w:t>
      </w:r>
      <w:r>
        <w:rPr>
          <w:color w:val="231F20"/>
        </w:rPr>
        <w:t>at</w:t>
      </w:r>
      <w:r>
        <w:rPr>
          <w:color w:val="231F20"/>
          <w:spacing w:val="-25"/>
        </w:rPr>
        <w:t xml:space="preserve"> </w:t>
      </w:r>
      <w:r>
        <w:rPr>
          <w:color w:val="231F20"/>
        </w:rPr>
        <w:t>PHC</w:t>
      </w:r>
      <w:r>
        <w:rPr>
          <w:color w:val="231F20"/>
          <w:spacing w:val="-25"/>
        </w:rPr>
        <w:t xml:space="preserve"> </w:t>
      </w:r>
      <w:r>
        <w:rPr>
          <w:color w:val="231F20"/>
        </w:rPr>
        <w:t>level;</w:t>
      </w:r>
      <w:r>
        <w:rPr>
          <w:color w:val="231F20"/>
          <w:spacing w:val="-25"/>
        </w:rPr>
        <w:t xml:space="preserve"> </w:t>
      </w:r>
      <w:r>
        <w:rPr>
          <w:color w:val="231F20"/>
        </w:rPr>
        <w:t>Institutionalize</w:t>
      </w:r>
      <w:r>
        <w:rPr>
          <w:color w:val="231F20"/>
          <w:spacing w:val="-25"/>
        </w:rPr>
        <w:t xml:space="preserve"> </w:t>
      </w:r>
      <w:r>
        <w:rPr>
          <w:color w:val="231F20"/>
        </w:rPr>
        <w:t>Oral</w:t>
      </w:r>
      <w:r>
        <w:rPr>
          <w:color w:val="231F20"/>
          <w:spacing w:val="-25"/>
        </w:rPr>
        <w:t xml:space="preserve"> </w:t>
      </w:r>
      <w:r>
        <w:rPr>
          <w:color w:val="231F20"/>
        </w:rPr>
        <w:t>week</w:t>
      </w:r>
      <w:r>
        <w:rPr>
          <w:color w:val="231F20"/>
          <w:spacing w:val="-25"/>
        </w:rPr>
        <w:t xml:space="preserve"> </w:t>
      </w:r>
      <w:r>
        <w:rPr>
          <w:color w:val="231F20"/>
        </w:rPr>
        <w:t>to</w:t>
      </w:r>
      <w:r>
        <w:rPr>
          <w:color w:val="231F20"/>
          <w:spacing w:val="-25"/>
        </w:rPr>
        <w:t xml:space="preserve"> </w:t>
      </w:r>
      <w:r>
        <w:rPr>
          <w:color w:val="231F20"/>
        </w:rPr>
        <w:t>promote</w:t>
      </w:r>
      <w:r>
        <w:rPr>
          <w:color w:val="231F20"/>
          <w:spacing w:val="-25"/>
        </w:rPr>
        <w:t xml:space="preserve"> </w:t>
      </w:r>
      <w:r>
        <w:rPr>
          <w:color w:val="231F20"/>
        </w:rPr>
        <w:t>good</w:t>
      </w:r>
      <w:r>
        <w:rPr>
          <w:color w:val="231F20"/>
          <w:spacing w:val="-25"/>
        </w:rPr>
        <w:t xml:space="preserve"> </w:t>
      </w:r>
      <w:r>
        <w:rPr>
          <w:color w:val="231F20"/>
        </w:rPr>
        <w:t>oral</w:t>
      </w:r>
      <w:r>
        <w:rPr>
          <w:color w:val="231F20"/>
          <w:spacing w:val="-25"/>
        </w:rPr>
        <w:t xml:space="preserve"> </w:t>
      </w:r>
      <w:r>
        <w:rPr>
          <w:color w:val="231F20"/>
        </w:rPr>
        <w:t>health</w:t>
      </w:r>
      <w:r>
        <w:rPr>
          <w:color w:val="231F20"/>
          <w:spacing w:val="-25"/>
        </w:rPr>
        <w:t xml:space="preserve"> </w:t>
      </w:r>
      <w:r>
        <w:rPr>
          <w:color w:val="231F20"/>
        </w:rPr>
        <w:t>habits.</w:t>
      </w:r>
    </w:p>
    <w:p w14:paraId="4D558B6C" w14:textId="77777777" w:rsidR="009948F1" w:rsidRDefault="009948F1">
      <w:pPr>
        <w:pStyle w:val="BodyText"/>
        <w:spacing w:before="9"/>
        <w:rPr>
          <w:sz w:val="24"/>
        </w:rPr>
      </w:pPr>
    </w:p>
    <w:p w14:paraId="65D28D77" w14:textId="77777777" w:rsidR="009948F1" w:rsidRDefault="00BC0563">
      <w:pPr>
        <w:pStyle w:val="ListParagraph"/>
        <w:numPr>
          <w:ilvl w:val="3"/>
          <w:numId w:val="281"/>
        </w:numPr>
        <w:tabs>
          <w:tab w:val="left" w:pos="851"/>
        </w:tabs>
        <w:spacing w:line="273" w:lineRule="auto"/>
        <w:ind w:right="222" w:firstLine="0"/>
      </w:pPr>
      <w:r>
        <w:rPr>
          <w:color w:val="231F20"/>
        </w:rPr>
        <w:t>Expand</w:t>
      </w:r>
      <w:r>
        <w:rPr>
          <w:color w:val="231F20"/>
          <w:spacing w:val="-20"/>
        </w:rPr>
        <w:t xml:space="preserve"> </w:t>
      </w:r>
      <w:r>
        <w:rPr>
          <w:color w:val="231F20"/>
        </w:rPr>
        <w:t>access</w:t>
      </w:r>
      <w:r>
        <w:rPr>
          <w:color w:val="231F20"/>
          <w:spacing w:val="-19"/>
        </w:rPr>
        <w:t xml:space="preserve"> </w:t>
      </w:r>
      <w:r>
        <w:rPr>
          <w:color w:val="231F20"/>
        </w:rPr>
        <w:t>to</w:t>
      </w:r>
      <w:r>
        <w:rPr>
          <w:color w:val="231F20"/>
          <w:spacing w:val="-19"/>
        </w:rPr>
        <w:t xml:space="preserve"> </w:t>
      </w:r>
      <w:r>
        <w:rPr>
          <w:color w:val="231F20"/>
        </w:rPr>
        <w:t>oral</w:t>
      </w:r>
      <w:r>
        <w:rPr>
          <w:color w:val="231F20"/>
          <w:spacing w:val="-19"/>
        </w:rPr>
        <w:t xml:space="preserve"> </w:t>
      </w:r>
      <w:r>
        <w:rPr>
          <w:color w:val="231F20"/>
        </w:rPr>
        <w:t>health</w:t>
      </w:r>
      <w:r>
        <w:rPr>
          <w:color w:val="231F20"/>
          <w:spacing w:val="-19"/>
        </w:rPr>
        <w:t xml:space="preserve"> </w:t>
      </w:r>
      <w:r>
        <w:rPr>
          <w:color w:val="231F20"/>
        </w:rPr>
        <w:t>care</w:t>
      </w:r>
      <w:r>
        <w:rPr>
          <w:color w:val="231F20"/>
          <w:spacing w:val="-19"/>
        </w:rPr>
        <w:t xml:space="preserve"> </w:t>
      </w:r>
      <w:r>
        <w:rPr>
          <w:color w:val="231F20"/>
        </w:rPr>
        <w:t>services</w:t>
      </w:r>
      <w:r>
        <w:rPr>
          <w:color w:val="231F20"/>
          <w:spacing w:val="-19"/>
        </w:rPr>
        <w:t xml:space="preserve"> </w:t>
      </w:r>
      <w:r>
        <w:rPr>
          <w:color w:val="231F20"/>
        </w:rPr>
        <w:t>by</w:t>
      </w:r>
      <w:r>
        <w:rPr>
          <w:color w:val="231F20"/>
          <w:spacing w:val="-19"/>
        </w:rPr>
        <w:t xml:space="preserve"> </w:t>
      </w:r>
      <w:r>
        <w:rPr>
          <w:color w:val="231F20"/>
        </w:rPr>
        <w:t>integrating</w:t>
      </w:r>
      <w:r>
        <w:rPr>
          <w:color w:val="231F20"/>
          <w:spacing w:val="-19"/>
        </w:rPr>
        <w:t xml:space="preserve"> </w:t>
      </w:r>
      <w:r>
        <w:rPr>
          <w:color w:val="231F20"/>
        </w:rPr>
        <w:t>oral</w:t>
      </w:r>
      <w:r>
        <w:rPr>
          <w:color w:val="231F20"/>
          <w:spacing w:val="-19"/>
        </w:rPr>
        <w:t xml:space="preserve"> </w:t>
      </w:r>
      <w:r>
        <w:rPr>
          <w:color w:val="231F20"/>
        </w:rPr>
        <w:t>health</w:t>
      </w:r>
      <w:r>
        <w:rPr>
          <w:color w:val="231F20"/>
          <w:spacing w:val="-19"/>
        </w:rPr>
        <w:t xml:space="preserve"> </w:t>
      </w:r>
      <w:r>
        <w:rPr>
          <w:color w:val="231F20"/>
        </w:rPr>
        <w:t>into</w:t>
      </w:r>
      <w:r>
        <w:rPr>
          <w:color w:val="231F20"/>
          <w:spacing w:val="-20"/>
        </w:rPr>
        <w:t xml:space="preserve"> </w:t>
      </w:r>
      <w:r>
        <w:rPr>
          <w:color w:val="231F20"/>
        </w:rPr>
        <w:t>the</w:t>
      </w:r>
      <w:r>
        <w:rPr>
          <w:color w:val="231F20"/>
          <w:spacing w:val="-19"/>
        </w:rPr>
        <w:t xml:space="preserve"> </w:t>
      </w:r>
      <w:r>
        <w:rPr>
          <w:color w:val="231F20"/>
        </w:rPr>
        <w:t>mainstream</w:t>
      </w:r>
      <w:r>
        <w:rPr>
          <w:color w:val="231F20"/>
          <w:spacing w:val="-19"/>
        </w:rPr>
        <w:t xml:space="preserve"> </w:t>
      </w:r>
      <w:r>
        <w:rPr>
          <w:color w:val="231F20"/>
        </w:rPr>
        <w:t>of service</w:t>
      </w:r>
      <w:r>
        <w:rPr>
          <w:color w:val="231F20"/>
          <w:spacing w:val="-17"/>
        </w:rPr>
        <w:t xml:space="preserve"> </w:t>
      </w:r>
      <w:r>
        <w:rPr>
          <w:color w:val="231F20"/>
        </w:rPr>
        <w:t>delivery</w:t>
      </w:r>
      <w:r>
        <w:rPr>
          <w:color w:val="231F20"/>
          <w:spacing w:val="-17"/>
        </w:rPr>
        <w:t xml:space="preserve"> </w:t>
      </w:r>
      <w:r>
        <w:rPr>
          <w:color w:val="231F20"/>
        </w:rPr>
        <w:t>at</w:t>
      </w:r>
      <w:r>
        <w:rPr>
          <w:color w:val="231F20"/>
          <w:spacing w:val="-17"/>
        </w:rPr>
        <w:t xml:space="preserve"> </w:t>
      </w:r>
      <w:r>
        <w:rPr>
          <w:color w:val="231F20"/>
        </w:rPr>
        <w:t>all</w:t>
      </w:r>
      <w:r>
        <w:rPr>
          <w:color w:val="231F20"/>
          <w:spacing w:val="-17"/>
        </w:rPr>
        <w:t xml:space="preserve"> </w:t>
      </w:r>
      <w:r>
        <w:rPr>
          <w:color w:val="231F20"/>
        </w:rPr>
        <w:t>levels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health</w:t>
      </w:r>
      <w:r>
        <w:rPr>
          <w:color w:val="231F20"/>
          <w:spacing w:val="-17"/>
        </w:rPr>
        <w:t xml:space="preserve"> </w:t>
      </w:r>
      <w:r>
        <w:rPr>
          <w:color w:val="231F20"/>
        </w:rPr>
        <w:t>care</w:t>
      </w:r>
      <w:r>
        <w:rPr>
          <w:color w:val="231F20"/>
          <w:spacing w:val="-17"/>
        </w:rPr>
        <w:t xml:space="preserve"> </w:t>
      </w:r>
      <w:r>
        <w:rPr>
          <w:color w:val="231F20"/>
        </w:rPr>
        <w:t>system.</w:t>
      </w:r>
      <w:r>
        <w:rPr>
          <w:color w:val="231F20"/>
          <w:spacing w:val="-17"/>
        </w:rPr>
        <w:t xml:space="preserve"> </w:t>
      </w:r>
      <w:r>
        <w:rPr>
          <w:color w:val="231F20"/>
        </w:rPr>
        <w:t>Key</w:t>
      </w:r>
      <w:r>
        <w:rPr>
          <w:color w:val="231F20"/>
          <w:spacing w:val="-17"/>
        </w:rPr>
        <w:t xml:space="preserve"> </w:t>
      </w:r>
      <w:r>
        <w:rPr>
          <w:color w:val="231F20"/>
        </w:rPr>
        <w:t>actions</w:t>
      </w:r>
      <w:r>
        <w:rPr>
          <w:color w:val="231F20"/>
          <w:spacing w:val="-17"/>
        </w:rPr>
        <w:t xml:space="preserve"> </w:t>
      </w:r>
      <w:r>
        <w:rPr>
          <w:color w:val="231F20"/>
        </w:rPr>
        <w:t>include;</w:t>
      </w:r>
      <w:r>
        <w:rPr>
          <w:color w:val="231F20"/>
          <w:spacing w:val="-17"/>
        </w:rPr>
        <w:t xml:space="preserve"> </w:t>
      </w:r>
      <w:r>
        <w:rPr>
          <w:color w:val="231F20"/>
        </w:rPr>
        <w:t>–</w:t>
      </w:r>
      <w:r>
        <w:rPr>
          <w:color w:val="231F20"/>
          <w:spacing w:val="-17"/>
        </w:rPr>
        <w:t xml:space="preserve"> </w:t>
      </w:r>
      <w:r>
        <w:rPr>
          <w:color w:val="231F20"/>
        </w:rPr>
        <w:t>Develop/adapt</w:t>
      </w:r>
      <w:r>
        <w:rPr>
          <w:color w:val="231F20"/>
          <w:spacing w:val="-17"/>
        </w:rPr>
        <w:t xml:space="preserve"> </w:t>
      </w:r>
      <w:r>
        <w:rPr>
          <w:color w:val="231F20"/>
          <w:spacing w:val="-3"/>
        </w:rPr>
        <w:t xml:space="preserve">norms </w:t>
      </w:r>
      <w:r>
        <w:rPr>
          <w:color w:val="231F20"/>
        </w:rPr>
        <w:t>and</w:t>
      </w:r>
      <w:r>
        <w:rPr>
          <w:color w:val="231F20"/>
          <w:spacing w:val="-18"/>
        </w:rPr>
        <w:t xml:space="preserve"> </w:t>
      </w:r>
      <w:r>
        <w:rPr>
          <w:color w:val="231F20"/>
        </w:rPr>
        <w:t>standards</w:t>
      </w:r>
      <w:r>
        <w:rPr>
          <w:color w:val="231F20"/>
          <w:spacing w:val="-17"/>
        </w:rPr>
        <w:t xml:space="preserve"> </w:t>
      </w:r>
      <w:r>
        <w:rPr>
          <w:color w:val="231F20"/>
        </w:rPr>
        <w:t>for</w:t>
      </w:r>
      <w:r>
        <w:rPr>
          <w:color w:val="231F20"/>
          <w:spacing w:val="-17"/>
        </w:rPr>
        <w:t xml:space="preserve"> </w:t>
      </w:r>
      <w:r>
        <w:rPr>
          <w:color w:val="231F20"/>
        </w:rPr>
        <w:t>oral</w:t>
      </w:r>
      <w:r>
        <w:rPr>
          <w:color w:val="231F20"/>
          <w:spacing w:val="-18"/>
        </w:rPr>
        <w:t xml:space="preserve"> </w:t>
      </w:r>
      <w:r>
        <w:rPr>
          <w:color w:val="231F20"/>
        </w:rPr>
        <w:t>health</w:t>
      </w:r>
      <w:r>
        <w:rPr>
          <w:color w:val="231F20"/>
          <w:spacing w:val="-17"/>
        </w:rPr>
        <w:t xml:space="preserve"> </w:t>
      </w:r>
      <w:r>
        <w:rPr>
          <w:color w:val="231F20"/>
        </w:rPr>
        <w:t>at</w:t>
      </w:r>
      <w:r>
        <w:rPr>
          <w:color w:val="231F20"/>
          <w:spacing w:val="-17"/>
        </w:rPr>
        <w:t xml:space="preserve"> </w:t>
      </w:r>
      <w:r>
        <w:rPr>
          <w:color w:val="231F20"/>
        </w:rPr>
        <w:t>different</w:t>
      </w:r>
      <w:r>
        <w:rPr>
          <w:color w:val="231F20"/>
          <w:spacing w:val="-18"/>
        </w:rPr>
        <w:t xml:space="preserve"> </w:t>
      </w:r>
      <w:r>
        <w:rPr>
          <w:color w:val="231F20"/>
        </w:rPr>
        <w:t>levels</w:t>
      </w:r>
      <w:r>
        <w:rPr>
          <w:color w:val="231F20"/>
          <w:spacing w:val="-17"/>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health</w:t>
      </w:r>
      <w:r>
        <w:rPr>
          <w:color w:val="231F20"/>
          <w:spacing w:val="-17"/>
        </w:rPr>
        <w:t xml:space="preserve"> </w:t>
      </w:r>
      <w:r>
        <w:rPr>
          <w:color w:val="231F20"/>
        </w:rPr>
        <w:t>care</w:t>
      </w:r>
      <w:r>
        <w:rPr>
          <w:color w:val="231F20"/>
          <w:spacing w:val="-17"/>
        </w:rPr>
        <w:t xml:space="preserve"> </w:t>
      </w:r>
      <w:r>
        <w:rPr>
          <w:color w:val="231F20"/>
        </w:rPr>
        <w:t>system;</w:t>
      </w:r>
      <w:r>
        <w:rPr>
          <w:color w:val="231F20"/>
          <w:spacing w:val="-18"/>
        </w:rPr>
        <w:t xml:space="preserve"> </w:t>
      </w:r>
      <w:r>
        <w:rPr>
          <w:color w:val="231F20"/>
        </w:rPr>
        <w:t>Integrate</w:t>
      </w:r>
      <w:r>
        <w:rPr>
          <w:color w:val="231F20"/>
          <w:spacing w:val="-17"/>
        </w:rPr>
        <w:t xml:space="preserve"> </w:t>
      </w:r>
      <w:r>
        <w:rPr>
          <w:color w:val="231F20"/>
        </w:rPr>
        <w:t>oral</w:t>
      </w:r>
      <w:r>
        <w:rPr>
          <w:color w:val="231F20"/>
          <w:spacing w:val="-17"/>
        </w:rPr>
        <w:t xml:space="preserve"> </w:t>
      </w:r>
      <w:r>
        <w:rPr>
          <w:color w:val="231F20"/>
        </w:rPr>
        <w:t>health</w:t>
      </w:r>
      <w:r>
        <w:rPr>
          <w:color w:val="231F20"/>
          <w:spacing w:val="-18"/>
        </w:rPr>
        <w:t xml:space="preserve"> </w:t>
      </w:r>
      <w:r>
        <w:rPr>
          <w:color w:val="231F20"/>
        </w:rPr>
        <w:t>care at</w:t>
      </w:r>
      <w:r>
        <w:rPr>
          <w:color w:val="231F20"/>
          <w:spacing w:val="-13"/>
        </w:rPr>
        <w:t xml:space="preserve"> </w:t>
      </w:r>
      <w:r>
        <w:rPr>
          <w:color w:val="231F20"/>
        </w:rPr>
        <w:t>all</w:t>
      </w:r>
      <w:r>
        <w:rPr>
          <w:color w:val="231F20"/>
          <w:spacing w:val="-12"/>
        </w:rPr>
        <w:t xml:space="preserve"> </w:t>
      </w:r>
      <w:r>
        <w:rPr>
          <w:color w:val="231F20"/>
        </w:rPr>
        <w:t>levels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health</w:t>
      </w:r>
      <w:r>
        <w:rPr>
          <w:color w:val="231F20"/>
          <w:spacing w:val="-12"/>
        </w:rPr>
        <w:t xml:space="preserve"> </w:t>
      </w:r>
      <w:r>
        <w:rPr>
          <w:color w:val="231F20"/>
        </w:rPr>
        <w:t>care</w:t>
      </w:r>
      <w:r>
        <w:rPr>
          <w:color w:val="231F20"/>
          <w:spacing w:val="-12"/>
        </w:rPr>
        <w:t xml:space="preserve"> </w:t>
      </w:r>
      <w:r>
        <w:rPr>
          <w:color w:val="231F20"/>
        </w:rPr>
        <w:t>system,</w:t>
      </w:r>
      <w:r>
        <w:rPr>
          <w:color w:val="231F20"/>
          <w:spacing w:val="-12"/>
        </w:rPr>
        <w:t xml:space="preserve"> </w:t>
      </w:r>
      <w:r>
        <w:rPr>
          <w:color w:val="231F20"/>
        </w:rPr>
        <w:t>from</w:t>
      </w:r>
      <w:r>
        <w:rPr>
          <w:color w:val="231F20"/>
          <w:spacing w:val="-12"/>
        </w:rPr>
        <w:t xml:space="preserve"> </w:t>
      </w:r>
      <w:r>
        <w:rPr>
          <w:color w:val="231F20"/>
        </w:rPr>
        <w:t>primary</w:t>
      </w:r>
      <w:r>
        <w:rPr>
          <w:color w:val="231F20"/>
          <w:spacing w:val="-12"/>
        </w:rPr>
        <w:t xml:space="preserve"> </w:t>
      </w:r>
      <w:r>
        <w:rPr>
          <w:color w:val="231F20"/>
        </w:rPr>
        <w:t>level</w:t>
      </w:r>
      <w:r>
        <w:rPr>
          <w:color w:val="231F20"/>
          <w:spacing w:val="-12"/>
        </w:rPr>
        <w:t xml:space="preserve"> </w:t>
      </w:r>
      <w:r>
        <w:rPr>
          <w:color w:val="231F20"/>
        </w:rPr>
        <w:t>in</w:t>
      </w:r>
      <w:r>
        <w:rPr>
          <w:color w:val="231F20"/>
          <w:spacing w:val="-12"/>
        </w:rPr>
        <w:t xml:space="preserve"> </w:t>
      </w:r>
      <w:r>
        <w:rPr>
          <w:color w:val="231F20"/>
        </w:rPr>
        <w:t>line</w:t>
      </w:r>
      <w:r>
        <w:rPr>
          <w:color w:val="231F20"/>
          <w:spacing w:val="-12"/>
        </w:rPr>
        <w:t xml:space="preserve"> </w:t>
      </w:r>
      <w:r>
        <w:rPr>
          <w:color w:val="231F20"/>
        </w:rPr>
        <w:t>with</w:t>
      </w:r>
      <w:r>
        <w:rPr>
          <w:color w:val="231F20"/>
          <w:spacing w:val="-13"/>
        </w:rPr>
        <w:t xml:space="preserve"> </w:t>
      </w:r>
      <w:r>
        <w:rPr>
          <w:color w:val="231F20"/>
        </w:rPr>
        <w:t>defined</w:t>
      </w:r>
      <w:r>
        <w:rPr>
          <w:color w:val="231F20"/>
          <w:spacing w:val="-12"/>
        </w:rPr>
        <w:t xml:space="preserve"> </w:t>
      </w:r>
      <w:r>
        <w:rPr>
          <w:color w:val="231F20"/>
        </w:rPr>
        <w:t>norms</w:t>
      </w:r>
      <w:r>
        <w:rPr>
          <w:color w:val="231F20"/>
          <w:spacing w:val="-12"/>
        </w:rPr>
        <w:t xml:space="preserve"> </w:t>
      </w:r>
      <w:r>
        <w:rPr>
          <w:color w:val="231F20"/>
        </w:rPr>
        <w:t>and</w:t>
      </w:r>
      <w:r>
        <w:rPr>
          <w:color w:val="231F20"/>
          <w:spacing w:val="-12"/>
        </w:rPr>
        <w:t xml:space="preserve"> </w:t>
      </w:r>
      <w:r>
        <w:rPr>
          <w:color w:val="231F20"/>
        </w:rPr>
        <w:t>standards; Strengthen</w:t>
      </w:r>
      <w:r>
        <w:rPr>
          <w:color w:val="231F20"/>
          <w:spacing w:val="-20"/>
        </w:rPr>
        <w:t xml:space="preserve"> </w:t>
      </w:r>
      <w:r>
        <w:rPr>
          <w:color w:val="231F20"/>
        </w:rPr>
        <w:t>the</w:t>
      </w:r>
      <w:r>
        <w:rPr>
          <w:color w:val="231F20"/>
          <w:spacing w:val="-19"/>
        </w:rPr>
        <w:t xml:space="preserve"> </w:t>
      </w:r>
      <w:r>
        <w:rPr>
          <w:color w:val="231F20"/>
        </w:rPr>
        <w:t>capacity</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health</w:t>
      </w:r>
      <w:r>
        <w:rPr>
          <w:color w:val="231F20"/>
          <w:spacing w:val="-19"/>
        </w:rPr>
        <w:t xml:space="preserve"> </w:t>
      </w:r>
      <w:r>
        <w:rPr>
          <w:color w:val="231F20"/>
        </w:rPr>
        <w:t>facilities</w:t>
      </w:r>
      <w:r>
        <w:rPr>
          <w:color w:val="231F20"/>
          <w:spacing w:val="-19"/>
        </w:rPr>
        <w:t xml:space="preserve"> </w:t>
      </w:r>
      <w:r>
        <w:rPr>
          <w:color w:val="231F20"/>
        </w:rPr>
        <w:t>to</w:t>
      </w:r>
      <w:r>
        <w:rPr>
          <w:color w:val="231F20"/>
          <w:spacing w:val="-19"/>
        </w:rPr>
        <w:t xml:space="preserve"> </w:t>
      </w:r>
      <w:r>
        <w:rPr>
          <w:color w:val="231F20"/>
        </w:rPr>
        <w:t>provide</w:t>
      </w:r>
      <w:r>
        <w:rPr>
          <w:color w:val="231F20"/>
          <w:spacing w:val="-19"/>
        </w:rPr>
        <w:t xml:space="preserve"> </w:t>
      </w:r>
      <w:r>
        <w:rPr>
          <w:color w:val="231F20"/>
        </w:rPr>
        <w:t>dental</w:t>
      </w:r>
      <w:r>
        <w:rPr>
          <w:color w:val="231F20"/>
          <w:spacing w:val="-19"/>
        </w:rPr>
        <w:t xml:space="preserve"> </w:t>
      </w:r>
      <w:r>
        <w:rPr>
          <w:color w:val="231F20"/>
        </w:rPr>
        <w:t>care</w:t>
      </w:r>
      <w:r>
        <w:rPr>
          <w:color w:val="231F20"/>
          <w:spacing w:val="-19"/>
        </w:rPr>
        <w:t xml:space="preserve"> </w:t>
      </w:r>
      <w:r>
        <w:rPr>
          <w:color w:val="231F20"/>
        </w:rPr>
        <w:t>services</w:t>
      </w:r>
      <w:r>
        <w:rPr>
          <w:color w:val="231F20"/>
          <w:spacing w:val="-19"/>
        </w:rPr>
        <w:t xml:space="preserve"> </w:t>
      </w:r>
      <w:r>
        <w:rPr>
          <w:color w:val="231F20"/>
        </w:rPr>
        <w:t>as</w:t>
      </w:r>
      <w:r>
        <w:rPr>
          <w:color w:val="231F20"/>
          <w:spacing w:val="-20"/>
        </w:rPr>
        <w:t xml:space="preserve"> </w:t>
      </w:r>
      <w:r>
        <w:rPr>
          <w:color w:val="231F20"/>
        </w:rPr>
        <w:t>appropriate</w:t>
      </w:r>
      <w:r>
        <w:rPr>
          <w:color w:val="231F20"/>
          <w:spacing w:val="-19"/>
        </w:rPr>
        <w:t xml:space="preserve"> </w:t>
      </w:r>
      <w:r>
        <w:rPr>
          <w:color w:val="231F20"/>
        </w:rPr>
        <w:t>for</w:t>
      </w:r>
      <w:r>
        <w:rPr>
          <w:color w:val="231F20"/>
          <w:spacing w:val="-19"/>
        </w:rPr>
        <w:t xml:space="preserve"> </w:t>
      </w:r>
      <w:r>
        <w:rPr>
          <w:color w:val="231F20"/>
        </w:rPr>
        <w:t xml:space="preserve">the level of care (Dental clinic from level of General hospital with at least one Dental unit per </w:t>
      </w:r>
      <w:r>
        <w:rPr>
          <w:color w:val="231F20"/>
          <w:spacing w:val="-3"/>
        </w:rPr>
        <w:t xml:space="preserve">LGA). </w:t>
      </w:r>
      <w:r>
        <w:rPr>
          <w:color w:val="231F20"/>
        </w:rPr>
        <w:t xml:space="preserve">Establish/strengthen regional oral health referral </w:t>
      </w:r>
      <w:proofErr w:type="spellStart"/>
      <w:r>
        <w:rPr>
          <w:color w:val="231F20"/>
        </w:rPr>
        <w:t>centres</w:t>
      </w:r>
      <w:proofErr w:type="spellEnd"/>
      <w:r>
        <w:rPr>
          <w:color w:val="231F20"/>
        </w:rPr>
        <w:t>; Advocate for inclusion of dental health into</w:t>
      </w:r>
      <w:r>
        <w:rPr>
          <w:color w:val="231F20"/>
          <w:spacing w:val="-25"/>
        </w:rPr>
        <w:t xml:space="preserve"> </w:t>
      </w:r>
      <w:r>
        <w:rPr>
          <w:color w:val="231F20"/>
        </w:rPr>
        <w:t>NHIS,</w:t>
      </w:r>
      <w:r>
        <w:rPr>
          <w:color w:val="231F20"/>
          <w:spacing w:val="-25"/>
        </w:rPr>
        <w:t xml:space="preserve"> </w:t>
      </w:r>
      <w:r>
        <w:rPr>
          <w:color w:val="231F20"/>
        </w:rPr>
        <w:t>including</w:t>
      </w:r>
      <w:r>
        <w:rPr>
          <w:color w:val="231F20"/>
          <w:spacing w:val="-25"/>
        </w:rPr>
        <w:t xml:space="preserve"> </w:t>
      </w:r>
      <w:r>
        <w:rPr>
          <w:color w:val="231F20"/>
        </w:rPr>
        <w:t>CBHIS.</w:t>
      </w:r>
    </w:p>
    <w:p w14:paraId="598A0943" w14:textId="77777777" w:rsidR="009948F1" w:rsidRDefault="009948F1">
      <w:pPr>
        <w:pStyle w:val="BodyText"/>
        <w:spacing w:before="7"/>
        <w:rPr>
          <w:sz w:val="24"/>
        </w:rPr>
      </w:pPr>
    </w:p>
    <w:p w14:paraId="1F9232EC" w14:textId="77777777" w:rsidR="009948F1" w:rsidRDefault="00BC0563">
      <w:pPr>
        <w:pStyle w:val="ListParagraph"/>
        <w:numPr>
          <w:ilvl w:val="3"/>
          <w:numId w:val="281"/>
        </w:numPr>
        <w:tabs>
          <w:tab w:val="left" w:pos="861"/>
        </w:tabs>
        <w:spacing w:line="273" w:lineRule="auto"/>
        <w:ind w:right="222" w:firstLine="0"/>
      </w:pPr>
      <w:r>
        <w:rPr>
          <w:color w:val="231F20"/>
        </w:rPr>
        <w:t>Strengthen</w:t>
      </w:r>
      <w:r>
        <w:rPr>
          <w:color w:val="231F20"/>
          <w:spacing w:val="-9"/>
        </w:rPr>
        <w:t xml:space="preserve"> </w:t>
      </w:r>
      <w:r>
        <w:rPr>
          <w:color w:val="231F20"/>
        </w:rPr>
        <w:t>capacity</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workers</w:t>
      </w:r>
      <w:r>
        <w:rPr>
          <w:color w:val="231F20"/>
          <w:spacing w:val="-8"/>
        </w:rPr>
        <w:t xml:space="preserve"> </w:t>
      </w:r>
      <w:r>
        <w:rPr>
          <w:color w:val="231F20"/>
        </w:rPr>
        <w:t>at</w:t>
      </w:r>
      <w:r>
        <w:rPr>
          <w:color w:val="231F20"/>
          <w:spacing w:val="-8"/>
        </w:rPr>
        <w:t xml:space="preserve"> </w:t>
      </w:r>
      <w:r>
        <w:rPr>
          <w:color w:val="231F20"/>
        </w:rPr>
        <w:t>all</w:t>
      </w:r>
      <w:r>
        <w:rPr>
          <w:color w:val="231F20"/>
          <w:spacing w:val="-8"/>
        </w:rPr>
        <w:t xml:space="preserve"> </w:t>
      </w:r>
      <w:r>
        <w:rPr>
          <w:color w:val="231F20"/>
        </w:rPr>
        <w:t>levels</w:t>
      </w:r>
      <w:r>
        <w:rPr>
          <w:color w:val="231F20"/>
          <w:spacing w:val="-8"/>
        </w:rPr>
        <w:t xml:space="preserve"> </w:t>
      </w:r>
      <w:r>
        <w:rPr>
          <w:color w:val="231F20"/>
        </w:rPr>
        <w:t>to</w:t>
      </w:r>
      <w:r>
        <w:rPr>
          <w:color w:val="231F20"/>
          <w:spacing w:val="-8"/>
        </w:rPr>
        <w:t xml:space="preserve"> </w:t>
      </w:r>
      <w:r>
        <w:rPr>
          <w:color w:val="231F20"/>
        </w:rPr>
        <w:t>deliver</w:t>
      </w:r>
      <w:r>
        <w:rPr>
          <w:color w:val="231F20"/>
          <w:spacing w:val="-8"/>
        </w:rPr>
        <w:t xml:space="preserve"> </w:t>
      </w:r>
      <w:r>
        <w:rPr>
          <w:color w:val="231F20"/>
        </w:rPr>
        <w:t>oral</w:t>
      </w:r>
      <w:r>
        <w:rPr>
          <w:color w:val="231F20"/>
          <w:spacing w:val="-8"/>
        </w:rPr>
        <w:t xml:space="preserve"> </w:t>
      </w:r>
      <w:r>
        <w:rPr>
          <w:color w:val="231F20"/>
        </w:rPr>
        <w:t>health</w:t>
      </w:r>
      <w:r>
        <w:rPr>
          <w:color w:val="231F20"/>
          <w:spacing w:val="-8"/>
        </w:rPr>
        <w:t xml:space="preserve"> </w:t>
      </w:r>
      <w:r>
        <w:rPr>
          <w:color w:val="231F20"/>
        </w:rPr>
        <w:t>care</w:t>
      </w:r>
      <w:r>
        <w:rPr>
          <w:color w:val="231F20"/>
          <w:spacing w:val="-8"/>
        </w:rPr>
        <w:t xml:space="preserve"> </w:t>
      </w:r>
      <w:r>
        <w:rPr>
          <w:color w:val="231F20"/>
        </w:rPr>
        <w:t>services.</w:t>
      </w:r>
      <w:r>
        <w:rPr>
          <w:color w:val="231F20"/>
          <w:spacing w:val="-8"/>
        </w:rPr>
        <w:t xml:space="preserve"> </w:t>
      </w:r>
      <w:r>
        <w:rPr>
          <w:color w:val="231F20"/>
          <w:spacing w:val="-5"/>
        </w:rPr>
        <w:t xml:space="preserve">Key </w:t>
      </w:r>
      <w:r>
        <w:rPr>
          <w:color w:val="231F20"/>
        </w:rPr>
        <w:t>actions</w:t>
      </w:r>
      <w:r>
        <w:rPr>
          <w:color w:val="231F20"/>
          <w:spacing w:val="-23"/>
        </w:rPr>
        <w:t xml:space="preserve"> </w:t>
      </w:r>
      <w:r>
        <w:rPr>
          <w:color w:val="231F20"/>
        </w:rPr>
        <w:t>include</w:t>
      </w:r>
      <w:r>
        <w:rPr>
          <w:color w:val="231F20"/>
          <w:spacing w:val="-23"/>
        </w:rPr>
        <w:t xml:space="preserve"> </w:t>
      </w:r>
      <w:r>
        <w:rPr>
          <w:color w:val="231F20"/>
        </w:rPr>
        <w:t>–Conduct</w:t>
      </w:r>
      <w:r>
        <w:rPr>
          <w:color w:val="231F20"/>
          <w:spacing w:val="-23"/>
        </w:rPr>
        <w:t xml:space="preserve"> </w:t>
      </w:r>
      <w:r>
        <w:rPr>
          <w:color w:val="231F20"/>
        </w:rPr>
        <w:t>train</w:t>
      </w:r>
      <w:r>
        <w:rPr>
          <w:color w:val="231F20"/>
          <w:spacing w:val="-23"/>
        </w:rPr>
        <w:t xml:space="preserve"> </w:t>
      </w:r>
      <w:r>
        <w:rPr>
          <w:color w:val="231F20"/>
        </w:rPr>
        <w:t>&amp;</w:t>
      </w:r>
      <w:r>
        <w:rPr>
          <w:color w:val="231F20"/>
          <w:spacing w:val="-23"/>
        </w:rPr>
        <w:t xml:space="preserve"> </w:t>
      </w:r>
      <w:r>
        <w:rPr>
          <w:color w:val="231F20"/>
        </w:rPr>
        <w:t>re-train</w:t>
      </w:r>
      <w:r>
        <w:rPr>
          <w:color w:val="231F20"/>
          <w:spacing w:val="-23"/>
        </w:rPr>
        <w:t xml:space="preserve"> </w:t>
      </w:r>
      <w:r>
        <w:rPr>
          <w:color w:val="231F20"/>
        </w:rPr>
        <w:t>workshops</w:t>
      </w:r>
      <w:r>
        <w:rPr>
          <w:color w:val="231F20"/>
          <w:spacing w:val="-23"/>
        </w:rPr>
        <w:t xml:space="preserve"> </w:t>
      </w:r>
      <w:r>
        <w:rPr>
          <w:color w:val="231F20"/>
        </w:rPr>
        <w:t>for</w:t>
      </w:r>
      <w:r>
        <w:rPr>
          <w:color w:val="231F20"/>
          <w:spacing w:val="-23"/>
        </w:rPr>
        <w:t xml:space="preserve"> </w:t>
      </w:r>
      <w:r>
        <w:rPr>
          <w:color w:val="231F20"/>
        </w:rPr>
        <w:t>health</w:t>
      </w:r>
      <w:r>
        <w:rPr>
          <w:color w:val="231F20"/>
          <w:spacing w:val="-23"/>
        </w:rPr>
        <w:t xml:space="preserve"> </w:t>
      </w:r>
      <w:r>
        <w:rPr>
          <w:color w:val="231F20"/>
        </w:rPr>
        <w:t>workers</w:t>
      </w:r>
      <w:r>
        <w:rPr>
          <w:color w:val="231F20"/>
          <w:spacing w:val="-23"/>
        </w:rPr>
        <w:t xml:space="preserve"> </w:t>
      </w:r>
      <w:r>
        <w:rPr>
          <w:color w:val="231F20"/>
        </w:rPr>
        <w:t>at</w:t>
      </w:r>
      <w:r>
        <w:rPr>
          <w:color w:val="231F20"/>
          <w:spacing w:val="-23"/>
        </w:rPr>
        <w:t xml:space="preserve"> </w:t>
      </w:r>
      <w:r>
        <w:rPr>
          <w:color w:val="231F20"/>
        </w:rPr>
        <w:t>State</w:t>
      </w:r>
      <w:r>
        <w:rPr>
          <w:color w:val="231F20"/>
          <w:spacing w:val="-23"/>
        </w:rPr>
        <w:t xml:space="preserve"> </w:t>
      </w:r>
      <w:r>
        <w:rPr>
          <w:color w:val="231F20"/>
        </w:rPr>
        <w:t>&amp;</w:t>
      </w:r>
      <w:r>
        <w:rPr>
          <w:color w:val="231F20"/>
          <w:spacing w:val="-23"/>
        </w:rPr>
        <w:t xml:space="preserve"> </w:t>
      </w:r>
      <w:r>
        <w:rPr>
          <w:color w:val="231F20"/>
        </w:rPr>
        <w:t>LGA</w:t>
      </w:r>
      <w:r>
        <w:rPr>
          <w:color w:val="231F20"/>
          <w:spacing w:val="-35"/>
        </w:rPr>
        <w:t xml:space="preserve"> </w:t>
      </w:r>
      <w:r>
        <w:rPr>
          <w:color w:val="231F20"/>
        </w:rPr>
        <w:t>levels</w:t>
      </w:r>
      <w:r>
        <w:rPr>
          <w:color w:val="231F20"/>
          <w:spacing w:val="-23"/>
        </w:rPr>
        <w:t xml:space="preserve"> </w:t>
      </w:r>
      <w:r>
        <w:rPr>
          <w:color w:val="231F20"/>
        </w:rPr>
        <w:t>on</w:t>
      </w:r>
      <w:r>
        <w:rPr>
          <w:color w:val="231F20"/>
          <w:spacing w:val="-23"/>
        </w:rPr>
        <w:t xml:space="preserve"> </w:t>
      </w:r>
      <w:r>
        <w:rPr>
          <w:color w:val="231F20"/>
          <w:spacing w:val="-3"/>
        </w:rPr>
        <w:t xml:space="preserve">oral </w:t>
      </w:r>
      <w:r>
        <w:rPr>
          <w:color w:val="231F20"/>
        </w:rPr>
        <w:t>health.</w:t>
      </w:r>
    </w:p>
    <w:p w14:paraId="46B84A92" w14:textId="77777777" w:rsidR="009948F1" w:rsidRDefault="009948F1">
      <w:pPr>
        <w:pStyle w:val="BodyText"/>
        <w:spacing w:before="10"/>
        <w:rPr>
          <w:sz w:val="24"/>
        </w:rPr>
      </w:pPr>
    </w:p>
    <w:p w14:paraId="27119DC7" w14:textId="77777777" w:rsidR="009948F1" w:rsidRDefault="00BC0563">
      <w:pPr>
        <w:pStyle w:val="Heading7"/>
        <w:numPr>
          <w:ilvl w:val="2"/>
          <w:numId w:val="282"/>
        </w:numPr>
        <w:tabs>
          <w:tab w:val="left" w:pos="696"/>
        </w:tabs>
        <w:spacing w:line="273" w:lineRule="auto"/>
        <w:ind w:left="134" w:right="222" w:firstLine="0"/>
        <w:jc w:val="left"/>
        <w:rPr>
          <w:color w:val="231F20"/>
        </w:rPr>
      </w:pPr>
      <w:r>
        <w:rPr>
          <w:color w:val="231F20"/>
        </w:rPr>
        <w:t>Eliminate avoidable blindness, and reduce the burden of various visual impairment conditions.</w:t>
      </w:r>
    </w:p>
    <w:p w14:paraId="69DEB3DB" w14:textId="77777777" w:rsidR="009948F1" w:rsidRDefault="00BC0563">
      <w:pPr>
        <w:pStyle w:val="BodyText"/>
        <w:spacing w:line="273" w:lineRule="auto"/>
        <w:ind w:left="134"/>
      </w:pPr>
      <w:r>
        <w:rPr>
          <w:color w:val="231F20"/>
        </w:rPr>
        <w:t>Target: 70% of blind and visually impaired persons have adequate access to eye treatment and rehabilitative services by 2022.</w:t>
      </w:r>
    </w:p>
    <w:p w14:paraId="1FA6CD39" w14:textId="77777777" w:rsidR="009948F1" w:rsidRDefault="00BC0563">
      <w:pPr>
        <w:pStyle w:val="BodyText"/>
        <w:spacing w:line="273" w:lineRule="auto"/>
        <w:ind w:left="134" w:right="221"/>
      </w:pPr>
      <w:r>
        <w:rPr>
          <w:color w:val="231F20"/>
        </w:rPr>
        <w:t>30%</w:t>
      </w:r>
      <w:r>
        <w:rPr>
          <w:color w:val="231F20"/>
          <w:spacing w:val="-17"/>
        </w:rPr>
        <w:t xml:space="preserve"> </w:t>
      </w:r>
      <w:r>
        <w:rPr>
          <w:color w:val="231F20"/>
        </w:rPr>
        <w:t>of</w:t>
      </w:r>
      <w:r>
        <w:rPr>
          <w:color w:val="231F20"/>
          <w:spacing w:val="-16"/>
        </w:rPr>
        <w:t xml:space="preserve"> </w:t>
      </w:r>
      <w:r>
        <w:rPr>
          <w:color w:val="231F20"/>
        </w:rPr>
        <w:t>health</w:t>
      </w:r>
      <w:r>
        <w:rPr>
          <w:color w:val="231F20"/>
          <w:spacing w:val="-16"/>
        </w:rPr>
        <w:t xml:space="preserve"> </w:t>
      </w:r>
      <w:r>
        <w:rPr>
          <w:color w:val="231F20"/>
        </w:rPr>
        <w:t>facilities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country</w:t>
      </w:r>
      <w:r>
        <w:rPr>
          <w:color w:val="231F20"/>
          <w:spacing w:val="-16"/>
        </w:rPr>
        <w:t xml:space="preserve"> </w:t>
      </w:r>
      <w:r>
        <w:rPr>
          <w:color w:val="231F20"/>
        </w:rPr>
        <w:t>have</w:t>
      </w:r>
      <w:r>
        <w:rPr>
          <w:color w:val="231F20"/>
          <w:spacing w:val="-16"/>
        </w:rPr>
        <w:t xml:space="preserve"> </w:t>
      </w:r>
      <w:r>
        <w:rPr>
          <w:color w:val="231F20"/>
        </w:rPr>
        <w:t>capacity</w:t>
      </w:r>
      <w:r>
        <w:rPr>
          <w:color w:val="231F20"/>
          <w:spacing w:val="-16"/>
        </w:rPr>
        <w:t xml:space="preserve"> </w:t>
      </w:r>
      <w:r>
        <w:rPr>
          <w:color w:val="231F20"/>
        </w:rPr>
        <w:t>to</w:t>
      </w:r>
      <w:r>
        <w:rPr>
          <w:color w:val="231F20"/>
          <w:spacing w:val="-16"/>
        </w:rPr>
        <w:t xml:space="preserve"> </w:t>
      </w:r>
      <w:r>
        <w:rPr>
          <w:color w:val="231F20"/>
        </w:rPr>
        <w:t>deliver</w:t>
      </w:r>
      <w:r>
        <w:rPr>
          <w:color w:val="231F20"/>
          <w:spacing w:val="-17"/>
        </w:rPr>
        <w:t xml:space="preserve"> </w:t>
      </w:r>
      <w:r>
        <w:rPr>
          <w:color w:val="231F20"/>
        </w:rPr>
        <w:t>appropriate</w:t>
      </w:r>
      <w:r>
        <w:rPr>
          <w:color w:val="231F20"/>
          <w:spacing w:val="-15"/>
        </w:rPr>
        <w:t xml:space="preserve"> </w:t>
      </w:r>
      <w:r>
        <w:rPr>
          <w:color w:val="231F20"/>
        </w:rPr>
        <w:t>quality</w:t>
      </w:r>
      <w:r>
        <w:rPr>
          <w:color w:val="231F20"/>
          <w:spacing w:val="-16"/>
        </w:rPr>
        <w:t xml:space="preserve"> </w:t>
      </w:r>
      <w:r>
        <w:rPr>
          <w:color w:val="231F20"/>
        </w:rPr>
        <w:t>eye</w:t>
      </w:r>
      <w:r>
        <w:rPr>
          <w:color w:val="231F20"/>
          <w:spacing w:val="-16"/>
        </w:rPr>
        <w:t xml:space="preserve"> </w:t>
      </w:r>
      <w:r>
        <w:rPr>
          <w:color w:val="231F20"/>
        </w:rPr>
        <w:t>care</w:t>
      </w:r>
      <w:r>
        <w:rPr>
          <w:color w:val="231F20"/>
          <w:spacing w:val="-16"/>
        </w:rPr>
        <w:t xml:space="preserve"> </w:t>
      </w:r>
      <w:r>
        <w:rPr>
          <w:color w:val="231F20"/>
        </w:rPr>
        <w:t>services by</w:t>
      </w:r>
      <w:r>
        <w:rPr>
          <w:color w:val="231F20"/>
          <w:spacing w:val="-25"/>
        </w:rPr>
        <w:t xml:space="preserve"> </w:t>
      </w:r>
      <w:r>
        <w:rPr>
          <w:color w:val="231F20"/>
        </w:rPr>
        <w:t>2022.</w:t>
      </w:r>
    </w:p>
    <w:p w14:paraId="5D1BD66D" w14:textId="77777777" w:rsidR="009948F1" w:rsidRDefault="00BC0563">
      <w:pPr>
        <w:pStyle w:val="BodyText"/>
        <w:spacing w:line="273" w:lineRule="auto"/>
        <w:ind w:left="134" w:right="518"/>
      </w:pPr>
      <w:r>
        <w:rPr>
          <w:color w:val="231F20"/>
        </w:rPr>
        <w:t>50% of blind and visually impaired needing rehabilitation have access to required services by 2022</w:t>
      </w:r>
    </w:p>
    <w:p w14:paraId="0FFE01D2" w14:textId="77777777" w:rsidR="009948F1" w:rsidRDefault="00BC0563">
      <w:pPr>
        <w:pStyle w:val="BodyText"/>
        <w:spacing w:line="252" w:lineRule="exact"/>
        <w:ind w:left="134"/>
      </w:pPr>
      <w:r>
        <w:rPr>
          <w:color w:val="231F20"/>
        </w:rPr>
        <w:t>Prevalence of avoidable visual impairment in the country reduced to 25% by 2022.</w:t>
      </w:r>
    </w:p>
    <w:p w14:paraId="1E98902F" w14:textId="77777777" w:rsidR="009948F1" w:rsidRDefault="009948F1">
      <w:pPr>
        <w:pStyle w:val="BodyText"/>
        <w:spacing w:before="9"/>
        <w:rPr>
          <w:sz w:val="27"/>
        </w:rPr>
      </w:pPr>
    </w:p>
    <w:p w14:paraId="5DE02C12" w14:textId="77777777" w:rsidR="009948F1" w:rsidRDefault="00BC0563">
      <w:pPr>
        <w:pStyle w:val="Heading7"/>
        <w:ind w:left="134"/>
      </w:pPr>
      <w:r>
        <w:rPr>
          <w:color w:val="231F20"/>
        </w:rPr>
        <w:t>Interventions</w:t>
      </w:r>
    </w:p>
    <w:p w14:paraId="7C0795F0" w14:textId="77777777" w:rsidR="009948F1" w:rsidRDefault="00BC0563">
      <w:pPr>
        <w:pStyle w:val="ListParagraph"/>
        <w:numPr>
          <w:ilvl w:val="3"/>
          <w:numId w:val="282"/>
        </w:numPr>
        <w:tabs>
          <w:tab w:val="left" w:pos="887"/>
        </w:tabs>
        <w:spacing w:before="35" w:line="273" w:lineRule="auto"/>
        <w:ind w:right="222" w:firstLine="0"/>
      </w:pPr>
      <w:r>
        <w:rPr>
          <w:color w:val="231F20"/>
        </w:rPr>
        <w:t xml:space="preserve">Improve coordination of eye care services. Key actions include; – Conduct meeting </w:t>
      </w:r>
      <w:r>
        <w:rPr>
          <w:color w:val="231F20"/>
          <w:spacing w:val="-5"/>
        </w:rPr>
        <w:t xml:space="preserve">for </w:t>
      </w:r>
      <w:r>
        <w:rPr>
          <w:color w:val="231F20"/>
        </w:rPr>
        <w:t>National</w:t>
      </w:r>
      <w:r>
        <w:rPr>
          <w:color w:val="231F20"/>
          <w:spacing w:val="-14"/>
        </w:rPr>
        <w:t xml:space="preserve"> </w:t>
      </w:r>
      <w:proofErr w:type="spellStart"/>
      <w:r>
        <w:rPr>
          <w:color w:val="231F20"/>
        </w:rPr>
        <w:t>Programme</w:t>
      </w:r>
      <w:proofErr w:type="spellEnd"/>
      <w:r>
        <w:rPr>
          <w:color w:val="231F20"/>
          <w:spacing w:val="-14"/>
        </w:rPr>
        <w:t xml:space="preserve"> </w:t>
      </w:r>
      <w:r>
        <w:rPr>
          <w:color w:val="231F20"/>
        </w:rPr>
        <w:t>for</w:t>
      </w:r>
      <w:r>
        <w:rPr>
          <w:color w:val="231F20"/>
          <w:spacing w:val="-14"/>
        </w:rPr>
        <w:t xml:space="preserve"> </w:t>
      </w:r>
      <w:r>
        <w:rPr>
          <w:color w:val="231F20"/>
        </w:rPr>
        <w:t>Prevention</w:t>
      </w:r>
      <w:r>
        <w:rPr>
          <w:color w:val="231F20"/>
          <w:spacing w:val="-14"/>
        </w:rPr>
        <w:t xml:space="preserve"> </w:t>
      </w:r>
      <w:r>
        <w:rPr>
          <w:color w:val="231F20"/>
        </w:rPr>
        <w:t>of</w:t>
      </w:r>
      <w:r>
        <w:rPr>
          <w:color w:val="231F20"/>
          <w:spacing w:val="-14"/>
        </w:rPr>
        <w:t xml:space="preserve"> </w:t>
      </w:r>
      <w:r>
        <w:rPr>
          <w:color w:val="231F20"/>
        </w:rPr>
        <w:t>Blindness</w:t>
      </w:r>
      <w:r>
        <w:rPr>
          <w:color w:val="231F20"/>
          <w:spacing w:val="-14"/>
        </w:rPr>
        <w:t xml:space="preserve"> </w:t>
      </w:r>
      <w:r>
        <w:rPr>
          <w:color w:val="231F20"/>
        </w:rPr>
        <w:t>(NPPB)</w:t>
      </w:r>
      <w:r>
        <w:rPr>
          <w:color w:val="231F20"/>
          <w:spacing w:val="-14"/>
        </w:rPr>
        <w:t xml:space="preserve"> </w:t>
      </w:r>
      <w:r>
        <w:rPr>
          <w:color w:val="231F20"/>
        </w:rPr>
        <w:t>committee</w:t>
      </w:r>
      <w:r>
        <w:rPr>
          <w:color w:val="231F20"/>
          <w:spacing w:val="-14"/>
        </w:rPr>
        <w:t xml:space="preserve"> </w:t>
      </w:r>
      <w:r>
        <w:rPr>
          <w:color w:val="231F20"/>
        </w:rPr>
        <w:t>to</w:t>
      </w:r>
      <w:r>
        <w:rPr>
          <w:color w:val="231F20"/>
          <w:spacing w:val="-14"/>
        </w:rPr>
        <w:t xml:space="preserve"> </w:t>
      </w:r>
      <w:r>
        <w:rPr>
          <w:color w:val="231F20"/>
        </w:rPr>
        <w:t>assess</w:t>
      </w:r>
      <w:r>
        <w:rPr>
          <w:color w:val="231F20"/>
          <w:spacing w:val="-14"/>
        </w:rPr>
        <w:t xml:space="preserve"> </w:t>
      </w:r>
      <w:r>
        <w:rPr>
          <w:color w:val="231F20"/>
        </w:rPr>
        <w:t>the</w:t>
      </w:r>
      <w:r>
        <w:rPr>
          <w:color w:val="231F20"/>
          <w:spacing w:val="-14"/>
        </w:rPr>
        <w:t xml:space="preserve"> </w:t>
      </w:r>
      <w:r>
        <w:rPr>
          <w:color w:val="231F20"/>
        </w:rPr>
        <w:t>present</w:t>
      </w:r>
      <w:r>
        <w:rPr>
          <w:color w:val="231F20"/>
          <w:spacing w:val="-14"/>
        </w:rPr>
        <w:t xml:space="preserve"> </w:t>
      </w:r>
      <w:r>
        <w:rPr>
          <w:color w:val="231F20"/>
        </w:rPr>
        <w:t>state</w:t>
      </w:r>
      <w:r>
        <w:rPr>
          <w:color w:val="231F20"/>
          <w:spacing w:val="-14"/>
        </w:rPr>
        <w:t xml:space="preserve"> </w:t>
      </w:r>
      <w:r>
        <w:rPr>
          <w:color w:val="231F20"/>
          <w:spacing w:val="-7"/>
        </w:rPr>
        <w:t xml:space="preserve">of </w:t>
      </w:r>
      <w:r>
        <w:rPr>
          <w:color w:val="231F20"/>
        </w:rPr>
        <w:t xml:space="preserve">coordination of eye services in </w:t>
      </w:r>
      <w:r>
        <w:rPr>
          <w:color w:val="231F20"/>
          <w:spacing w:val="-3"/>
        </w:rPr>
        <w:t xml:space="preserve">Primary, </w:t>
      </w:r>
      <w:r>
        <w:rPr>
          <w:color w:val="231F20"/>
        </w:rPr>
        <w:t xml:space="preserve">Secondary and </w:t>
      </w:r>
      <w:r>
        <w:rPr>
          <w:color w:val="231F20"/>
          <w:spacing w:val="-4"/>
        </w:rPr>
        <w:t xml:space="preserve">Tertiary </w:t>
      </w:r>
      <w:r>
        <w:rPr>
          <w:color w:val="231F20"/>
        </w:rPr>
        <w:t>health facilities in the state; Conduct</w:t>
      </w:r>
      <w:r>
        <w:rPr>
          <w:color w:val="231F20"/>
          <w:spacing w:val="-26"/>
        </w:rPr>
        <w:t xml:space="preserve"> </w:t>
      </w:r>
      <w:r>
        <w:rPr>
          <w:color w:val="231F20"/>
        </w:rPr>
        <w:t>periodic</w:t>
      </w:r>
      <w:r>
        <w:rPr>
          <w:color w:val="231F20"/>
          <w:spacing w:val="-25"/>
        </w:rPr>
        <w:t xml:space="preserve"> </w:t>
      </w:r>
      <w:r>
        <w:rPr>
          <w:color w:val="231F20"/>
        </w:rPr>
        <w:t>trainings&amp;</w:t>
      </w:r>
      <w:r>
        <w:rPr>
          <w:color w:val="231F20"/>
          <w:spacing w:val="-25"/>
        </w:rPr>
        <w:t xml:space="preserve"> </w:t>
      </w:r>
      <w:r>
        <w:rPr>
          <w:color w:val="231F20"/>
        </w:rPr>
        <w:t>re-training</w:t>
      </w:r>
      <w:r>
        <w:rPr>
          <w:color w:val="231F20"/>
          <w:spacing w:val="-25"/>
        </w:rPr>
        <w:t xml:space="preserve"> </w:t>
      </w:r>
      <w:r>
        <w:rPr>
          <w:color w:val="231F20"/>
        </w:rPr>
        <w:t>workshops</w:t>
      </w:r>
      <w:r>
        <w:rPr>
          <w:color w:val="231F20"/>
          <w:spacing w:val="-25"/>
        </w:rPr>
        <w:t xml:space="preserve"> </w:t>
      </w:r>
      <w:r>
        <w:rPr>
          <w:color w:val="231F20"/>
        </w:rPr>
        <w:t>for</w:t>
      </w:r>
      <w:r>
        <w:rPr>
          <w:color w:val="231F20"/>
          <w:spacing w:val="-25"/>
        </w:rPr>
        <w:t xml:space="preserve"> </w:t>
      </w:r>
      <w:r>
        <w:rPr>
          <w:color w:val="231F20"/>
        </w:rPr>
        <w:t>eye</w:t>
      </w:r>
      <w:r>
        <w:rPr>
          <w:color w:val="231F20"/>
          <w:spacing w:val="-25"/>
        </w:rPr>
        <w:t xml:space="preserve"> </w:t>
      </w:r>
      <w:r>
        <w:rPr>
          <w:color w:val="231F20"/>
        </w:rPr>
        <w:t>care</w:t>
      </w:r>
      <w:r>
        <w:rPr>
          <w:color w:val="231F20"/>
          <w:spacing w:val="-25"/>
        </w:rPr>
        <w:t xml:space="preserve"> </w:t>
      </w:r>
      <w:r>
        <w:rPr>
          <w:color w:val="231F20"/>
        </w:rPr>
        <w:t>personnel</w:t>
      </w:r>
      <w:r>
        <w:rPr>
          <w:color w:val="231F20"/>
          <w:spacing w:val="-25"/>
        </w:rPr>
        <w:t xml:space="preserve"> </w:t>
      </w:r>
      <w:r>
        <w:rPr>
          <w:color w:val="231F20"/>
        </w:rPr>
        <w:t>of</w:t>
      </w:r>
      <w:r>
        <w:rPr>
          <w:color w:val="231F20"/>
          <w:spacing w:val="-25"/>
        </w:rPr>
        <w:t xml:space="preserve"> </w:t>
      </w:r>
      <w:r>
        <w:rPr>
          <w:color w:val="231F20"/>
        </w:rPr>
        <w:t>eye</w:t>
      </w:r>
      <w:r>
        <w:rPr>
          <w:color w:val="231F20"/>
          <w:spacing w:val="-25"/>
        </w:rPr>
        <w:t xml:space="preserve"> </w:t>
      </w:r>
      <w:r>
        <w:rPr>
          <w:color w:val="231F20"/>
        </w:rPr>
        <w:t>care</w:t>
      </w:r>
      <w:r>
        <w:rPr>
          <w:color w:val="231F20"/>
          <w:spacing w:val="-25"/>
        </w:rPr>
        <w:t xml:space="preserve"> </w:t>
      </w:r>
      <w:r>
        <w:rPr>
          <w:color w:val="231F20"/>
        </w:rPr>
        <w:t>services.</w:t>
      </w:r>
    </w:p>
    <w:p w14:paraId="4A100B80" w14:textId="77777777" w:rsidR="009948F1" w:rsidRDefault="009948F1">
      <w:pPr>
        <w:pStyle w:val="BodyText"/>
        <w:spacing w:before="9"/>
        <w:rPr>
          <w:sz w:val="24"/>
        </w:rPr>
      </w:pPr>
    </w:p>
    <w:p w14:paraId="64961C51" w14:textId="77777777" w:rsidR="009948F1" w:rsidRDefault="00BC0563">
      <w:pPr>
        <w:pStyle w:val="ListParagraph"/>
        <w:numPr>
          <w:ilvl w:val="3"/>
          <w:numId w:val="282"/>
        </w:numPr>
        <w:tabs>
          <w:tab w:val="left" w:pos="853"/>
        </w:tabs>
        <w:spacing w:before="1" w:line="273" w:lineRule="auto"/>
        <w:ind w:left="133" w:right="222" w:firstLine="0"/>
      </w:pPr>
      <w:r>
        <w:rPr>
          <w:color w:val="231F20"/>
        </w:rPr>
        <w:t>Promote</w:t>
      </w:r>
      <w:r>
        <w:rPr>
          <w:color w:val="231F20"/>
          <w:spacing w:val="-16"/>
        </w:rPr>
        <w:t xml:space="preserve"> </w:t>
      </w:r>
      <w:r>
        <w:rPr>
          <w:color w:val="231F20"/>
        </w:rPr>
        <w:t>the</w:t>
      </w:r>
      <w:r>
        <w:rPr>
          <w:color w:val="231F20"/>
          <w:spacing w:val="-16"/>
        </w:rPr>
        <w:t xml:space="preserve"> </w:t>
      </w:r>
      <w:r>
        <w:rPr>
          <w:color w:val="231F20"/>
        </w:rPr>
        <w:t>development</w:t>
      </w:r>
      <w:r>
        <w:rPr>
          <w:color w:val="231F20"/>
          <w:spacing w:val="-16"/>
        </w:rPr>
        <w:t xml:space="preserve"> </w:t>
      </w:r>
      <w:r>
        <w:rPr>
          <w:color w:val="231F20"/>
        </w:rPr>
        <w:t>of</w:t>
      </w:r>
      <w:r>
        <w:rPr>
          <w:color w:val="231F20"/>
          <w:spacing w:val="-16"/>
        </w:rPr>
        <w:t xml:space="preserve"> </w:t>
      </w:r>
      <w:r>
        <w:rPr>
          <w:color w:val="231F20"/>
        </w:rPr>
        <w:t>health</w:t>
      </w:r>
      <w:r>
        <w:rPr>
          <w:color w:val="231F20"/>
          <w:spacing w:val="-16"/>
        </w:rPr>
        <w:t xml:space="preserve"> </w:t>
      </w:r>
      <w:r>
        <w:rPr>
          <w:color w:val="231F20"/>
        </w:rPr>
        <w:t>plans</w:t>
      </w:r>
      <w:r>
        <w:rPr>
          <w:color w:val="231F20"/>
          <w:spacing w:val="-16"/>
        </w:rPr>
        <w:t xml:space="preserve"> </w:t>
      </w:r>
      <w:r>
        <w:rPr>
          <w:color w:val="231F20"/>
        </w:rPr>
        <w:t>and</w:t>
      </w:r>
      <w:r>
        <w:rPr>
          <w:color w:val="231F20"/>
          <w:spacing w:val="-16"/>
        </w:rPr>
        <w:t xml:space="preserve"> </w:t>
      </w:r>
      <w:r>
        <w:rPr>
          <w:color w:val="231F20"/>
        </w:rPr>
        <w:t>policies</w:t>
      </w:r>
      <w:r>
        <w:rPr>
          <w:color w:val="231F20"/>
          <w:spacing w:val="-15"/>
        </w:rPr>
        <w:t xml:space="preserve"> </w:t>
      </w:r>
      <w:r>
        <w:rPr>
          <w:color w:val="231F20"/>
        </w:rPr>
        <w:t>at</w:t>
      </w:r>
      <w:r>
        <w:rPr>
          <w:color w:val="231F20"/>
          <w:spacing w:val="-16"/>
        </w:rPr>
        <w:t xml:space="preserve"> </w:t>
      </w:r>
      <w:r>
        <w:rPr>
          <w:color w:val="231F20"/>
        </w:rPr>
        <w:t>all</w:t>
      </w:r>
      <w:r>
        <w:rPr>
          <w:color w:val="231F20"/>
          <w:spacing w:val="-16"/>
        </w:rPr>
        <w:t xml:space="preserve"> </w:t>
      </w:r>
      <w:r>
        <w:rPr>
          <w:color w:val="231F20"/>
        </w:rPr>
        <w:t>levels</w:t>
      </w:r>
      <w:r>
        <w:rPr>
          <w:color w:val="231F20"/>
          <w:spacing w:val="-16"/>
        </w:rPr>
        <w:t xml:space="preserve"> </w:t>
      </w:r>
      <w:r>
        <w:rPr>
          <w:color w:val="231F20"/>
        </w:rPr>
        <w:t>to</w:t>
      </w:r>
      <w:r>
        <w:rPr>
          <w:color w:val="231F20"/>
          <w:spacing w:val="-16"/>
        </w:rPr>
        <w:t xml:space="preserve"> </w:t>
      </w:r>
      <w:r>
        <w:rPr>
          <w:color w:val="231F20"/>
        </w:rPr>
        <w:t>be</w:t>
      </w:r>
      <w:r>
        <w:rPr>
          <w:color w:val="231F20"/>
          <w:spacing w:val="-16"/>
        </w:rPr>
        <w:t xml:space="preserve"> </w:t>
      </w:r>
      <w:r>
        <w:rPr>
          <w:color w:val="231F20"/>
        </w:rPr>
        <w:t>in</w:t>
      </w:r>
      <w:r>
        <w:rPr>
          <w:color w:val="231F20"/>
          <w:spacing w:val="-16"/>
        </w:rPr>
        <w:t xml:space="preserve"> </w:t>
      </w:r>
      <w:r>
        <w:rPr>
          <w:color w:val="231F20"/>
        </w:rPr>
        <w:t>consonance</w:t>
      </w:r>
      <w:r>
        <w:rPr>
          <w:color w:val="231F20"/>
          <w:spacing w:val="-16"/>
        </w:rPr>
        <w:t xml:space="preserve"> </w:t>
      </w:r>
      <w:r>
        <w:rPr>
          <w:color w:val="231F20"/>
          <w:spacing w:val="-4"/>
        </w:rPr>
        <w:t xml:space="preserve">with </w:t>
      </w:r>
      <w:r>
        <w:rPr>
          <w:color w:val="231F20"/>
        </w:rPr>
        <w:t>the</w:t>
      </w:r>
      <w:r>
        <w:rPr>
          <w:color w:val="231F20"/>
          <w:spacing w:val="-23"/>
        </w:rPr>
        <w:t xml:space="preserve"> </w:t>
      </w:r>
      <w:r>
        <w:rPr>
          <w:color w:val="231F20"/>
        </w:rPr>
        <w:t>WHO</w:t>
      </w:r>
      <w:r>
        <w:rPr>
          <w:color w:val="231F20"/>
          <w:spacing w:val="-22"/>
        </w:rPr>
        <w:t xml:space="preserve"> </w:t>
      </w:r>
      <w:r>
        <w:rPr>
          <w:color w:val="231F20"/>
        </w:rPr>
        <w:t>Global</w:t>
      </w:r>
      <w:r>
        <w:rPr>
          <w:color w:val="231F20"/>
          <w:spacing w:val="-22"/>
        </w:rPr>
        <w:t xml:space="preserve"> </w:t>
      </w:r>
      <w:r>
        <w:rPr>
          <w:color w:val="231F20"/>
        </w:rPr>
        <w:t>Eye</w:t>
      </w:r>
      <w:r>
        <w:rPr>
          <w:color w:val="231F20"/>
          <w:spacing w:val="-22"/>
        </w:rPr>
        <w:t xml:space="preserve"> </w:t>
      </w:r>
      <w:r>
        <w:rPr>
          <w:color w:val="231F20"/>
        </w:rPr>
        <w:t>Health</w:t>
      </w:r>
      <w:r>
        <w:rPr>
          <w:color w:val="231F20"/>
          <w:spacing w:val="-34"/>
        </w:rPr>
        <w:t xml:space="preserve"> </w:t>
      </w:r>
      <w:r>
        <w:rPr>
          <w:color w:val="231F20"/>
        </w:rPr>
        <w:t>Action</w:t>
      </w:r>
      <w:r>
        <w:rPr>
          <w:color w:val="231F20"/>
          <w:spacing w:val="-22"/>
        </w:rPr>
        <w:t xml:space="preserve"> </w:t>
      </w:r>
      <w:r>
        <w:rPr>
          <w:color w:val="231F20"/>
        </w:rPr>
        <w:t>Plan</w:t>
      </w:r>
      <w:r>
        <w:rPr>
          <w:color w:val="231F20"/>
          <w:spacing w:val="-22"/>
        </w:rPr>
        <w:t xml:space="preserve"> </w:t>
      </w:r>
      <w:r>
        <w:rPr>
          <w:color w:val="231F20"/>
        </w:rPr>
        <w:t>2014</w:t>
      </w:r>
      <w:r>
        <w:rPr>
          <w:color w:val="231F20"/>
          <w:spacing w:val="-22"/>
        </w:rPr>
        <w:t xml:space="preserve"> </w:t>
      </w:r>
      <w:r>
        <w:rPr>
          <w:color w:val="231F20"/>
        </w:rPr>
        <w:t>–</w:t>
      </w:r>
      <w:r>
        <w:rPr>
          <w:color w:val="231F20"/>
          <w:spacing w:val="-22"/>
        </w:rPr>
        <w:t xml:space="preserve"> </w:t>
      </w:r>
      <w:r>
        <w:rPr>
          <w:color w:val="231F20"/>
        </w:rPr>
        <w:t>2019.</w:t>
      </w:r>
      <w:r>
        <w:rPr>
          <w:color w:val="231F20"/>
          <w:spacing w:val="-22"/>
        </w:rPr>
        <w:t xml:space="preserve"> </w:t>
      </w:r>
      <w:r>
        <w:rPr>
          <w:color w:val="231F20"/>
        </w:rPr>
        <w:t>Key</w:t>
      </w:r>
      <w:r>
        <w:rPr>
          <w:color w:val="231F20"/>
          <w:spacing w:val="-22"/>
        </w:rPr>
        <w:t xml:space="preserve"> </w:t>
      </w:r>
      <w:r>
        <w:rPr>
          <w:color w:val="231F20"/>
        </w:rPr>
        <w:t>actions</w:t>
      </w:r>
      <w:r>
        <w:rPr>
          <w:color w:val="231F20"/>
          <w:spacing w:val="-22"/>
        </w:rPr>
        <w:t xml:space="preserve"> </w:t>
      </w:r>
      <w:r>
        <w:rPr>
          <w:color w:val="231F20"/>
        </w:rPr>
        <w:t>include;</w:t>
      </w:r>
      <w:r>
        <w:rPr>
          <w:color w:val="231F20"/>
          <w:spacing w:val="-22"/>
        </w:rPr>
        <w:t xml:space="preserve"> </w:t>
      </w:r>
      <w:r>
        <w:rPr>
          <w:color w:val="231F20"/>
        </w:rPr>
        <w:t>–</w:t>
      </w:r>
      <w:r>
        <w:rPr>
          <w:color w:val="231F20"/>
          <w:spacing w:val="-22"/>
        </w:rPr>
        <w:t xml:space="preserve"> </w:t>
      </w:r>
      <w:r>
        <w:rPr>
          <w:color w:val="231F20"/>
        </w:rPr>
        <w:t>Conduct</w:t>
      </w:r>
      <w:r>
        <w:rPr>
          <w:color w:val="231F20"/>
          <w:spacing w:val="-22"/>
        </w:rPr>
        <w:t xml:space="preserve"> </w:t>
      </w:r>
      <w:r>
        <w:rPr>
          <w:color w:val="231F20"/>
        </w:rPr>
        <w:t>workshops</w:t>
      </w:r>
      <w:r>
        <w:rPr>
          <w:color w:val="231F20"/>
          <w:spacing w:val="-21"/>
        </w:rPr>
        <w:t xml:space="preserve"> </w:t>
      </w:r>
      <w:r>
        <w:rPr>
          <w:color w:val="231F20"/>
        </w:rPr>
        <w:t>to develop</w:t>
      </w:r>
      <w:r>
        <w:rPr>
          <w:color w:val="231F20"/>
          <w:spacing w:val="-4"/>
        </w:rPr>
        <w:t xml:space="preserve"> </w:t>
      </w:r>
      <w:r>
        <w:rPr>
          <w:color w:val="231F20"/>
        </w:rPr>
        <w:t>eye</w:t>
      </w:r>
      <w:r>
        <w:rPr>
          <w:color w:val="231F20"/>
          <w:spacing w:val="-4"/>
        </w:rPr>
        <w:t xml:space="preserve"> </w:t>
      </w:r>
      <w:r>
        <w:rPr>
          <w:color w:val="231F20"/>
        </w:rPr>
        <w:t>plans</w:t>
      </w:r>
      <w:r>
        <w:rPr>
          <w:color w:val="231F20"/>
          <w:spacing w:val="-4"/>
        </w:rPr>
        <w:t xml:space="preserve"> </w:t>
      </w:r>
      <w:r>
        <w:rPr>
          <w:color w:val="231F20"/>
        </w:rPr>
        <w:t>&amp;</w:t>
      </w:r>
      <w:r>
        <w:rPr>
          <w:color w:val="231F20"/>
          <w:spacing w:val="-4"/>
        </w:rPr>
        <w:t xml:space="preserve"> </w:t>
      </w:r>
      <w:r>
        <w:rPr>
          <w:color w:val="231F20"/>
        </w:rPr>
        <w:t>policies</w:t>
      </w:r>
      <w:r>
        <w:rPr>
          <w:color w:val="231F20"/>
          <w:spacing w:val="-4"/>
        </w:rPr>
        <w:t xml:space="preserve"> </w:t>
      </w:r>
      <w:r>
        <w:rPr>
          <w:color w:val="231F20"/>
        </w:rPr>
        <w:t>for</w:t>
      </w:r>
      <w:r>
        <w:rPr>
          <w:color w:val="231F20"/>
          <w:spacing w:val="-3"/>
        </w:rPr>
        <w:t xml:space="preserve"> </w:t>
      </w:r>
      <w:r>
        <w:rPr>
          <w:color w:val="231F20"/>
        </w:rPr>
        <w:t>all</w:t>
      </w:r>
      <w:r>
        <w:rPr>
          <w:color w:val="231F20"/>
          <w:spacing w:val="-4"/>
        </w:rPr>
        <w:t xml:space="preserve"> </w:t>
      </w:r>
      <w:r>
        <w:rPr>
          <w:color w:val="231F20"/>
        </w:rPr>
        <w:t>levels</w:t>
      </w:r>
      <w:r>
        <w:rPr>
          <w:color w:val="231F20"/>
          <w:spacing w:val="-4"/>
        </w:rPr>
        <w:t xml:space="preserve"> </w:t>
      </w:r>
      <w:r>
        <w:rPr>
          <w:color w:val="231F20"/>
        </w:rPr>
        <w:t>in</w:t>
      </w:r>
      <w:r>
        <w:rPr>
          <w:color w:val="231F20"/>
          <w:spacing w:val="-4"/>
        </w:rPr>
        <w:t xml:space="preserve"> </w:t>
      </w:r>
      <w:r>
        <w:rPr>
          <w:color w:val="231F20"/>
        </w:rPr>
        <w:t>consonance</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WHO</w:t>
      </w:r>
      <w:r>
        <w:rPr>
          <w:color w:val="231F20"/>
          <w:spacing w:val="-4"/>
        </w:rPr>
        <w:t xml:space="preserve"> </w:t>
      </w:r>
      <w:r>
        <w:rPr>
          <w:color w:val="231F20"/>
        </w:rPr>
        <w:t>Global</w:t>
      </w:r>
      <w:r>
        <w:rPr>
          <w:color w:val="231F20"/>
          <w:spacing w:val="-4"/>
        </w:rPr>
        <w:t xml:space="preserve"> </w:t>
      </w:r>
      <w:r>
        <w:rPr>
          <w:color w:val="231F20"/>
        </w:rPr>
        <w:t>Eye</w:t>
      </w:r>
      <w:r>
        <w:rPr>
          <w:color w:val="231F20"/>
          <w:spacing w:val="-4"/>
        </w:rPr>
        <w:t xml:space="preserve"> </w:t>
      </w:r>
      <w:r>
        <w:rPr>
          <w:color w:val="231F20"/>
        </w:rPr>
        <w:t>Health</w:t>
      </w:r>
      <w:r>
        <w:rPr>
          <w:color w:val="231F20"/>
          <w:spacing w:val="-15"/>
        </w:rPr>
        <w:t xml:space="preserve"> </w:t>
      </w:r>
      <w:r>
        <w:rPr>
          <w:color w:val="231F20"/>
        </w:rPr>
        <w:t>Action Plan</w:t>
      </w:r>
      <w:r>
        <w:rPr>
          <w:color w:val="231F20"/>
          <w:spacing w:val="-6"/>
        </w:rPr>
        <w:t xml:space="preserve"> </w:t>
      </w:r>
      <w:r>
        <w:rPr>
          <w:color w:val="231F20"/>
        </w:rPr>
        <w:t>2014-2019;</w:t>
      </w:r>
      <w:r>
        <w:rPr>
          <w:color w:val="231F20"/>
          <w:spacing w:val="-6"/>
        </w:rPr>
        <w:t xml:space="preserve"> </w:t>
      </w:r>
      <w:r>
        <w:rPr>
          <w:color w:val="231F20"/>
        </w:rPr>
        <w:t>Conduct</w:t>
      </w:r>
      <w:r>
        <w:rPr>
          <w:color w:val="231F20"/>
          <w:spacing w:val="-6"/>
        </w:rPr>
        <w:t xml:space="preserve"> </w:t>
      </w:r>
      <w:r>
        <w:rPr>
          <w:color w:val="231F20"/>
        </w:rPr>
        <w:t>periodic</w:t>
      </w:r>
      <w:r>
        <w:rPr>
          <w:color w:val="231F20"/>
          <w:spacing w:val="-6"/>
        </w:rPr>
        <w:t xml:space="preserve"> </w:t>
      </w:r>
      <w:r>
        <w:rPr>
          <w:color w:val="231F20"/>
        </w:rPr>
        <w:t>meetings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NPPB</w:t>
      </w:r>
      <w:r>
        <w:rPr>
          <w:color w:val="231F20"/>
          <w:spacing w:val="-6"/>
        </w:rPr>
        <w:t xml:space="preserve"> </w:t>
      </w:r>
      <w:r>
        <w:rPr>
          <w:color w:val="231F20"/>
        </w:rPr>
        <w:t>committee</w:t>
      </w:r>
      <w:r>
        <w:rPr>
          <w:color w:val="231F20"/>
          <w:spacing w:val="-6"/>
        </w:rPr>
        <w:t xml:space="preserve"> </w:t>
      </w:r>
      <w:r>
        <w:rPr>
          <w:color w:val="231F20"/>
        </w:rPr>
        <w:t>to</w:t>
      </w:r>
      <w:r>
        <w:rPr>
          <w:color w:val="231F20"/>
          <w:spacing w:val="-6"/>
        </w:rPr>
        <w:t xml:space="preserve"> </w:t>
      </w:r>
      <w:r>
        <w:rPr>
          <w:color w:val="231F20"/>
        </w:rPr>
        <w:t>assess</w:t>
      </w:r>
      <w:r>
        <w:rPr>
          <w:color w:val="231F20"/>
          <w:spacing w:val="-6"/>
        </w:rPr>
        <w:t xml:space="preserve"> </w:t>
      </w:r>
      <w:r>
        <w:rPr>
          <w:color w:val="231F20"/>
        </w:rPr>
        <w:t>implementation</w:t>
      </w:r>
      <w:r>
        <w:rPr>
          <w:color w:val="231F20"/>
          <w:spacing w:val="-6"/>
        </w:rPr>
        <w:t xml:space="preserve"> </w:t>
      </w:r>
      <w:r>
        <w:rPr>
          <w:color w:val="231F20"/>
          <w:spacing w:val="-7"/>
        </w:rPr>
        <w:t xml:space="preserve">of </w:t>
      </w:r>
      <w:r>
        <w:rPr>
          <w:color w:val="231F20"/>
        </w:rPr>
        <w:t>the</w:t>
      </w:r>
      <w:r>
        <w:rPr>
          <w:color w:val="231F20"/>
          <w:spacing w:val="-25"/>
        </w:rPr>
        <w:t xml:space="preserve"> </w:t>
      </w:r>
      <w:r>
        <w:rPr>
          <w:color w:val="231F20"/>
        </w:rPr>
        <w:t>WHO</w:t>
      </w:r>
      <w:r>
        <w:rPr>
          <w:color w:val="231F20"/>
          <w:spacing w:val="-26"/>
        </w:rPr>
        <w:t xml:space="preserve"> </w:t>
      </w:r>
      <w:r>
        <w:rPr>
          <w:color w:val="231F20"/>
        </w:rPr>
        <w:t>Global</w:t>
      </w:r>
      <w:r>
        <w:rPr>
          <w:color w:val="231F20"/>
          <w:spacing w:val="-25"/>
        </w:rPr>
        <w:t xml:space="preserve"> </w:t>
      </w:r>
      <w:r>
        <w:rPr>
          <w:color w:val="231F20"/>
        </w:rPr>
        <w:t>Eye</w:t>
      </w:r>
      <w:r>
        <w:rPr>
          <w:color w:val="231F20"/>
          <w:spacing w:val="-25"/>
        </w:rPr>
        <w:t xml:space="preserve"> </w:t>
      </w:r>
      <w:r>
        <w:rPr>
          <w:color w:val="231F20"/>
        </w:rPr>
        <w:t>Health</w:t>
      </w:r>
      <w:r>
        <w:rPr>
          <w:color w:val="231F20"/>
          <w:spacing w:val="-37"/>
        </w:rPr>
        <w:t xml:space="preserve"> </w:t>
      </w:r>
      <w:r>
        <w:rPr>
          <w:color w:val="231F20"/>
        </w:rPr>
        <w:t>Action</w:t>
      </w:r>
      <w:r>
        <w:rPr>
          <w:color w:val="231F20"/>
          <w:spacing w:val="-25"/>
        </w:rPr>
        <w:t xml:space="preserve"> </w:t>
      </w:r>
      <w:r>
        <w:rPr>
          <w:color w:val="231F20"/>
        </w:rPr>
        <w:t>Plan</w:t>
      </w:r>
      <w:r>
        <w:rPr>
          <w:color w:val="231F20"/>
          <w:spacing w:val="-25"/>
        </w:rPr>
        <w:t xml:space="preserve"> </w:t>
      </w:r>
      <w:r>
        <w:rPr>
          <w:color w:val="231F20"/>
        </w:rPr>
        <w:t>2014</w:t>
      </w:r>
      <w:r>
        <w:rPr>
          <w:color w:val="231F20"/>
          <w:spacing w:val="-25"/>
        </w:rPr>
        <w:t xml:space="preserve"> </w:t>
      </w:r>
      <w:r>
        <w:rPr>
          <w:color w:val="231F20"/>
        </w:rPr>
        <w:t>–</w:t>
      </w:r>
      <w:r>
        <w:rPr>
          <w:color w:val="231F20"/>
          <w:spacing w:val="-25"/>
        </w:rPr>
        <w:t xml:space="preserve"> </w:t>
      </w:r>
      <w:r>
        <w:rPr>
          <w:color w:val="231F20"/>
        </w:rPr>
        <w:t>2019.</w:t>
      </w:r>
    </w:p>
    <w:p w14:paraId="6DC94210" w14:textId="77777777" w:rsidR="009948F1" w:rsidRDefault="009948F1">
      <w:pPr>
        <w:pStyle w:val="BodyText"/>
        <w:spacing w:before="8"/>
        <w:rPr>
          <w:sz w:val="24"/>
        </w:rPr>
      </w:pPr>
    </w:p>
    <w:p w14:paraId="5CF85C91" w14:textId="77777777" w:rsidR="009948F1" w:rsidRDefault="00BC0563">
      <w:pPr>
        <w:pStyle w:val="ListParagraph"/>
        <w:numPr>
          <w:ilvl w:val="3"/>
          <w:numId w:val="282"/>
        </w:numPr>
        <w:tabs>
          <w:tab w:val="left" w:pos="844"/>
        </w:tabs>
        <w:spacing w:before="1"/>
        <w:ind w:left="843" w:hanging="711"/>
      </w:pPr>
      <w:r>
        <w:rPr>
          <w:color w:val="231F20"/>
        </w:rPr>
        <w:t>Strengthen</w:t>
      </w:r>
      <w:r>
        <w:rPr>
          <w:color w:val="231F20"/>
          <w:spacing w:val="-26"/>
        </w:rPr>
        <w:t xml:space="preserve"> </w:t>
      </w:r>
      <w:r>
        <w:rPr>
          <w:color w:val="231F20"/>
        </w:rPr>
        <w:t>eye</w:t>
      </w:r>
      <w:r>
        <w:rPr>
          <w:color w:val="231F20"/>
          <w:spacing w:val="-25"/>
        </w:rPr>
        <w:t xml:space="preserve"> </w:t>
      </w:r>
      <w:r>
        <w:rPr>
          <w:color w:val="231F20"/>
        </w:rPr>
        <w:t>health</w:t>
      </w:r>
      <w:r>
        <w:rPr>
          <w:color w:val="231F20"/>
          <w:spacing w:val="-25"/>
        </w:rPr>
        <w:t xml:space="preserve"> </w:t>
      </w:r>
      <w:r>
        <w:rPr>
          <w:color w:val="231F20"/>
        </w:rPr>
        <w:t>focused</w:t>
      </w:r>
      <w:r>
        <w:rPr>
          <w:color w:val="231F20"/>
          <w:spacing w:val="-25"/>
        </w:rPr>
        <w:t xml:space="preserve"> </w:t>
      </w:r>
      <w:r>
        <w:rPr>
          <w:color w:val="231F20"/>
        </w:rPr>
        <w:t>research</w:t>
      </w:r>
      <w:r>
        <w:rPr>
          <w:color w:val="231F20"/>
          <w:spacing w:val="-25"/>
        </w:rPr>
        <w:t xml:space="preserve"> </w:t>
      </w:r>
      <w:r>
        <w:rPr>
          <w:color w:val="231F20"/>
        </w:rPr>
        <w:t>and</w:t>
      </w:r>
      <w:r>
        <w:rPr>
          <w:color w:val="231F20"/>
          <w:spacing w:val="-25"/>
        </w:rPr>
        <w:t xml:space="preserve"> </w:t>
      </w:r>
      <w:r>
        <w:rPr>
          <w:color w:val="231F20"/>
        </w:rPr>
        <w:t>information</w:t>
      </w:r>
      <w:r>
        <w:rPr>
          <w:color w:val="231F20"/>
          <w:spacing w:val="-25"/>
        </w:rPr>
        <w:t xml:space="preserve"> </w:t>
      </w:r>
      <w:r>
        <w:rPr>
          <w:color w:val="231F20"/>
        </w:rPr>
        <w:t>system.</w:t>
      </w:r>
      <w:r>
        <w:rPr>
          <w:color w:val="231F20"/>
          <w:spacing w:val="-25"/>
        </w:rPr>
        <w:t xml:space="preserve"> </w:t>
      </w:r>
      <w:r>
        <w:rPr>
          <w:color w:val="231F20"/>
        </w:rPr>
        <w:t>Key</w:t>
      </w:r>
      <w:r>
        <w:rPr>
          <w:color w:val="231F20"/>
          <w:spacing w:val="-25"/>
        </w:rPr>
        <w:t xml:space="preserve"> </w:t>
      </w:r>
      <w:r>
        <w:rPr>
          <w:color w:val="231F20"/>
        </w:rPr>
        <w:t>actions</w:t>
      </w:r>
    </w:p>
    <w:p w14:paraId="3F041126" w14:textId="77777777" w:rsidR="009948F1" w:rsidRDefault="00BC0563">
      <w:pPr>
        <w:pStyle w:val="BodyText"/>
        <w:spacing w:before="34" w:line="273" w:lineRule="auto"/>
        <w:ind w:left="133" w:right="223"/>
        <w:jc w:val="both"/>
      </w:pPr>
      <w:r>
        <w:rPr>
          <w:color w:val="231F20"/>
        </w:rPr>
        <w:t>Include; – Set up research team in major eye care facilities (RSUTH &amp; UPTH) with focus on eye health &amp; information system; Hold periodic meetings to review research articles and adopt innovations in eye management.</w:t>
      </w:r>
    </w:p>
    <w:p w14:paraId="1A12BCEB" w14:textId="77777777" w:rsidR="009948F1" w:rsidRDefault="009948F1">
      <w:pPr>
        <w:spacing w:line="273" w:lineRule="auto"/>
        <w:jc w:val="both"/>
        <w:sectPr w:rsidR="009948F1">
          <w:pgSz w:w="11910" w:h="16840"/>
          <w:pgMar w:top="1280" w:right="1080" w:bottom="1420" w:left="1120" w:header="0" w:footer="1235" w:gutter="0"/>
          <w:cols w:space="720"/>
        </w:sectPr>
      </w:pPr>
    </w:p>
    <w:p w14:paraId="5BE63C3E" w14:textId="77777777" w:rsidR="009948F1" w:rsidRDefault="00BC0563">
      <w:pPr>
        <w:pStyle w:val="ListParagraph"/>
        <w:numPr>
          <w:ilvl w:val="3"/>
          <w:numId w:val="282"/>
        </w:numPr>
        <w:tabs>
          <w:tab w:val="left" w:pos="889"/>
        </w:tabs>
        <w:spacing w:before="45"/>
        <w:ind w:right="177" w:firstLine="0"/>
      </w:pPr>
      <w:bookmarkStart w:id="80" w:name="Page_66"/>
      <w:bookmarkEnd w:id="80"/>
      <w:r>
        <w:rPr>
          <w:color w:val="231F20"/>
        </w:rPr>
        <w:lastRenderedPageBreak/>
        <w:t xml:space="preserve">Strengthen advocacy, social mobilization and </w:t>
      </w:r>
      <w:proofErr w:type="spellStart"/>
      <w:r>
        <w:rPr>
          <w:color w:val="231F20"/>
        </w:rPr>
        <w:t>behaviour</w:t>
      </w:r>
      <w:proofErr w:type="spellEnd"/>
      <w:r>
        <w:rPr>
          <w:color w:val="231F20"/>
        </w:rPr>
        <w:t xml:space="preserve"> change communication on eye health. Key actions include; – Conduct advocacy visits to the Government for provision </w:t>
      </w:r>
      <w:r>
        <w:rPr>
          <w:color w:val="231F20"/>
          <w:spacing w:val="-6"/>
        </w:rPr>
        <w:t xml:space="preserve">of </w:t>
      </w:r>
      <w:r>
        <w:rPr>
          <w:color w:val="231F20"/>
        </w:rPr>
        <w:t xml:space="preserve">affordable, accessible and adequate eye care delivery services in the state; Conduct advocacy visits to community institutions (WDCs) in the 23 LGAs to increase public awareness of available eye care services; Public enlightenment through multi-media approach to enhance positive </w:t>
      </w:r>
      <w:proofErr w:type="spellStart"/>
      <w:r>
        <w:rPr>
          <w:color w:val="231F20"/>
        </w:rPr>
        <w:t>behaviour</w:t>
      </w:r>
      <w:proofErr w:type="spellEnd"/>
      <w:r>
        <w:rPr>
          <w:color w:val="231F20"/>
          <w:spacing w:val="-26"/>
        </w:rPr>
        <w:t xml:space="preserve"> </w:t>
      </w:r>
      <w:r>
        <w:rPr>
          <w:color w:val="231F20"/>
        </w:rPr>
        <w:t>change</w:t>
      </w:r>
      <w:r>
        <w:rPr>
          <w:color w:val="231F20"/>
          <w:spacing w:val="-25"/>
        </w:rPr>
        <w:t xml:space="preserve"> </w:t>
      </w:r>
      <w:r>
        <w:rPr>
          <w:color w:val="231F20"/>
        </w:rPr>
        <w:t>and</w:t>
      </w:r>
      <w:r>
        <w:rPr>
          <w:color w:val="231F20"/>
          <w:spacing w:val="-25"/>
        </w:rPr>
        <w:t xml:space="preserve"> </w:t>
      </w:r>
      <w:r>
        <w:rPr>
          <w:color w:val="231F20"/>
        </w:rPr>
        <w:t>improved</w:t>
      </w:r>
      <w:r>
        <w:rPr>
          <w:color w:val="231F20"/>
          <w:spacing w:val="-25"/>
        </w:rPr>
        <w:t xml:space="preserve"> </w:t>
      </w:r>
      <w:r>
        <w:rPr>
          <w:color w:val="231F20"/>
        </w:rPr>
        <w:t>uptake</w:t>
      </w:r>
      <w:r>
        <w:rPr>
          <w:color w:val="231F20"/>
          <w:spacing w:val="-25"/>
        </w:rPr>
        <w:t xml:space="preserve"> </w:t>
      </w:r>
      <w:r>
        <w:rPr>
          <w:color w:val="231F20"/>
        </w:rPr>
        <w:t>eye</w:t>
      </w:r>
      <w:r>
        <w:rPr>
          <w:color w:val="231F20"/>
          <w:spacing w:val="-25"/>
        </w:rPr>
        <w:t xml:space="preserve"> </w:t>
      </w:r>
      <w:r>
        <w:rPr>
          <w:color w:val="231F20"/>
        </w:rPr>
        <w:t>care</w:t>
      </w:r>
      <w:r>
        <w:rPr>
          <w:color w:val="231F20"/>
          <w:spacing w:val="-25"/>
        </w:rPr>
        <w:t xml:space="preserve"> </w:t>
      </w:r>
      <w:r>
        <w:rPr>
          <w:color w:val="231F20"/>
        </w:rPr>
        <w:t>services</w:t>
      </w:r>
      <w:r>
        <w:rPr>
          <w:color w:val="231F20"/>
          <w:spacing w:val="-25"/>
        </w:rPr>
        <w:t xml:space="preserve"> </w:t>
      </w:r>
      <w:r>
        <w:rPr>
          <w:color w:val="231F20"/>
        </w:rPr>
        <w:t>by</w:t>
      </w:r>
      <w:r>
        <w:rPr>
          <w:color w:val="231F20"/>
          <w:spacing w:val="-25"/>
        </w:rPr>
        <w:t xml:space="preserve"> </w:t>
      </w:r>
      <w:r>
        <w:rPr>
          <w:color w:val="231F20"/>
        </w:rPr>
        <w:t>the</w:t>
      </w:r>
      <w:r>
        <w:rPr>
          <w:color w:val="231F20"/>
          <w:spacing w:val="-25"/>
        </w:rPr>
        <w:t xml:space="preserve"> </w:t>
      </w:r>
      <w:r>
        <w:rPr>
          <w:color w:val="231F20"/>
        </w:rPr>
        <w:t>communities.</w:t>
      </w:r>
    </w:p>
    <w:p w14:paraId="2AA1EB32" w14:textId="77777777" w:rsidR="009948F1" w:rsidRDefault="009948F1">
      <w:pPr>
        <w:pStyle w:val="BodyText"/>
        <w:rPr>
          <w:sz w:val="26"/>
        </w:rPr>
      </w:pPr>
    </w:p>
    <w:p w14:paraId="20C89A62" w14:textId="77777777" w:rsidR="009948F1" w:rsidRDefault="00BC0563">
      <w:pPr>
        <w:pStyle w:val="Heading7"/>
        <w:spacing w:line="261" w:lineRule="auto"/>
        <w:ind w:left="134" w:right="3181"/>
        <w:jc w:val="both"/>
      </w:pPr>
      <w:r>
        <w:rPr>
          <w:color w:val="231F20"/>
        </w:rPr>
        <w:t>Priority</w:t>
      </w:r>
      <w:r>
        <w:rPr>
          <w:color w:val="231F20"/>
          <w:spacing w:val="-33"/>
        </w:rPr>
        <w:t xml:space="preserve"> </w:t>
      </w:r>
      <w:r>
        <w:rPr>
          <w:color w:val="231F20"/>
        </w:rPr>
        <w:t>Area</w:t>
      </w:r>
      <w:r>
        <w:rPr>
          <w:color w:val="231F20"/>
          <w:spacing w:val="-25"/>
        </w:rPr>
        <w:t xml:space="preserve"> </w:t>
      </w:r>
      <w:r>
        <w:rPr>
          <w:color w:val="231F20"/>
        </w:rPr>
        <w:t>7:</w:t>
      </w:r>
      <w:r>
        <w:rPr>
          <w:color w:val="231F20"/>
          <w:spacing w:val="-26"/>
        </w:rPr>
        <w:t xml:space="preserve"> </w:t>
      </w:r>
      <w:r>
        <w:rPr>
          <w:color w:val="231F20"/>
        </w:rPr>
        <w:t>Emergency</w:t>
      </w:r>
      <w:r>
        <w:rPr>
          <w:color w:val="231F20"/>
          <w:spacing w:val="-25"/>
        </w:rPr>
        <w:t xml:space="preserve"> </w:t>
      </w:r>
      <w:r>
        <w:rPr>
          <w:color w:val="231F20"/>
        </w:rPr>
        <w:t>Medical</w:t>
      </w:r>
      <w:r>
        <w:rPr>
          <w:color w:val="231F20"/>
          <w:spacing w:val="-25"/>
        </w:rPr>
        <w:t xml:space="preserve"> </w:t>
      </w:r>
      <w:r>
        <w:rPr>
          <w:color w:val="231F20"/>
        </w:rPr>
        <w:t>Services</w:t>
      </w:r>
      <w:r>
        <w:rPr>
          <w:color w:val="231F20"/>
          <w:spacing w:val="-25"/>
        </w:rPr>
        <w:t xml:space="preserve"> </w:t>
      </w:r>
      <w:r>
        <w:rPr>
          <w:color w:val="231F20"/>
        </w:rPr>
        <w:t>and</w:t>
      </w:r>
      <w:r>
        <w:rPr>
          <w:color w:val="231F20"/>
          <w:spacing w:val="-25"/>
        </w:rPr>
        <w:t xml:space="preserve"> </w:t>
      </w:r>
      <w:r>
        <w:rPr>
          <w:color w:val="231F20"/>
        </w:rPr>
        <w:t>Hospital</w:t>
      </w:r>
      <w:r>
        <w:rPr>
          <w:color w:val="231F20"/>
          <w:spacing w:val="-25"/>
        </w:rPr>
        <w:t xml:space="preserve"> </w:t>
      </w:r>
      <w:r>
        <w:rPr>
          <w:color w:val="231F20"/>
          <w:spacing w:val="-3"/>
        </w:rPr>
        <w:t xml:space="preserve">Care </w:t>
      </w:r>
      <w:r>
        <w:rPr>
          <w:color w:val="231F20"/>
        </w:rPr>
        <w:t>Context</w:t>
      </w:r>
    </w:p>
    <w:p w14:paraId="4AD76470" w14:textId="77777777" w:rsidR="009948F1" w:rsidRDefault="00BC0563">
      <w:pPr>
        <w:pStyle w:val="BodyText"/>
        <w:spacing w:before="1" w:line="261" w:lineRule="auto"/>
        <w:ind w:left="134" w:right="176"/>
        <w:jc w:val="both"/>
      </w:pPr>
      <w:r>
        <w:rPr>
          <w:color w:val="231F20"/>
        </w:rPr>
        <w:t xml:space="preserve">The health care delivery system is divided into the </w:t>
      </w:r>
      <w:r>
        <w:rPr>
          <w:color w:val="231F20"/>
          <w:spacing w:val="-3"/>
        </w:rPr>
        <w:t xml:space="preserve">Primary, </w:t>
      </w:r>
      <w:r>
        <w:rPr>
          <w:color w:val="231F20"/>
        </w:rPr>
        <w:t xml:space="preserve">Secondary and </w:t>
      </w:r>
      <w:r>
        <w:rPr>
          <w:color w:val="231F20"/>
          <w:spacing w:val="-4"/>
        </w:rPr>
        <w:t xml:space="preserve">Tertiary </w:t>
      </w:r>
      <w:r>
        <w:rPr>
          <w:color w:val="231F20"/>
        </w:rPr>
        <w:t>sub-systems. The primary and secondary sub-systems are under the supervision of the Local and State governments</w:t>
      </w:r>
      <w:r>
        <w:rPr>
          <w:color w:val="231F20"/>
          <w:spacing w:val="-12"/>
        </w:rPr>
        <w:t xml:space="preserve"> </w:t>
      </w:r>
      <w:r>
        <w:rPr>
          <w:color w:val="231F20"/>
        </w:rPr>
        <w:t>respectively</w:t>
      </w:r>
      <w:r>
        <w:rPr>
          <w:color w:val="231F20"/>
          <w:spacing w:val="-11"/>
        </w:rPr>
        <w:t xml:space="preserve"> </w:t>
      </w:r>
      <w:r>
        <w:rPr>
          <w:color w:val="231F20"/>
        </w:rPr>
        <w:t>and</w:t>
      </w:r>
      <w:r>
        <w:rPr>
          <w:color w:val="231F20"/>
          <w:spacing w:val="-11"/>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the</w:t>
      </w:r>
      <w:r>
        <w:rPr>
          <w:color w:val="231F20"/>
          <w:spacing w:val="-11"/>
        </w:rPr>
        <w:t xml:space="preserve"> </w:t>
      </w:r>
      <w:r>
        <w:rPr>
          <w:color w:val="231F20"/>
        </w:rPr>
        <w:t>weakest</w:t>
      </w:r>
      <w:r>
        <w:rPr>
          <w:color w:val="231F20"/>
          <w:spacing w:val="-11"/>
        </w:rPr>
        <w:t xml:space="preserve"> </w:t>
      </w:r>
      <w:r>
        <w:rPr>
          <w:color w:val="231F20"/>
        </w:rPr>
        <w:t>links.</w:t>
      </w:r>
      <w:r>
        <w:rPr>
          <w:color w:val="231F20"/>
          <w:spacing w:val="-11"/>
        </w:rPr>
        <w:t xml:space="preserve"> </w:t>
      </w:r>
      <w:r>
        <w:rPr>
          <w:color w:val="231F20"/>
        </w:rPr>
        <w:t>In</w:t>
      </w:r>
      <w:r>
        <w:rPr>
          <w:color w:val="231F20"/>
          <w:spacing w:val="-11"/>
        </w:rPr>
        <w:t xml:space="preserve"> </w:t>
      </w:r>
      <w:r>
        <w:rPr>
          <w:color w:val="231F20"/>
        </w:rPr>
        <w:t>many</w:t>
      </w:r>
      <w:r>
        <w:rPr>
          <w:color w:val="231F20"/>
          <w:spacing w:val="-11"/>
        </w:rPr>
        <w:t xml:space="preserve"> </w:t>
      </w:r>
      <w:r>
        <w:rPr>
          <w:color w:val="231F20"/>
        </w:rPr>
        <w:t>States,</w:t>
      </w:r>
      <w:r>
        <w:rPr>
          <w:color w:val="231F20"/>
          <w:spacing w:val="-11"/>
        </w:rPr>
        <w:t xml:space="preserve"> </w:t>
      </w:r>
      <w:r>
        <w:rPr>
          <w:color w:val="231F20"/>
        </w:rPr>
        <w:t>they</w:t>
      </w:r>
      <w:r>
        <w:rPr>
          <w:color w:val="231F20"/>
          <w:spacing w:val="-11"/>
        </w:rPr>
        <w:t xml:space="preserve"> </w:t>
      </w:r>
      <w:r>
        <w:rPr>
          <w:color w:val="231F20"/>
        </w:rPr>
        <w:t>are</w:t>
      </w:r>
      <w:r>
        <w:rPr>
          <w:color w:val="231F20"/>
          <w:spacing w:val="-12"/>
        </w:rPr>
        <w:t xml:space="preserve"> </w:t>
      </w:r>
      <w:r>
        <w:rPr>
          <w:color w:val="231F20"/>
        </w:rPr>
        <w:t>non-functional, and</w:t>
      </w:r>
      <w:r>
        <w:rPr>
          <w:color w:val="231F20"/>
          <w:spacing w:val="-21"/>
        </w:rPr>
        <w:t xml:space="preserve"> </w:t>
      </w:r>
      <w:r>
        <w:rPr>
          <w:color w:val="231F20"/>
        </w:rPr>
        <w:t>this</w:t>
      </w:r>
      <w:r>
        <w:rPr>
          <w:color w:val="231F20"/>
          <w:spacing w:val="-20"/>
        </w:rPr>
        <w:t xml:space="preserve"> </w:t>
      </w:r>
      <w:r>
        <w:rPr>
          <w:color w:val="231F20"/>
        </w:rPr>
        <w:t>has</w:t>
      </w:r>
      <w:r>
        <w:rPr>
          <w:color w:val="231F20"/>
          <w:spacing w:val="-20"/>
        </w:rPr>
        <w:t xml:space="preserve"> </w:t>
      </w:r>
      <w:r>
        <w:rPr>
          <w:color w:val="231F20"/>
        </w:rPr>
        <w:t>severely</w:t>
      </w:r>
      <w:r>
        <w:rPr>
          <w:color w:val="231F20"/>
          <w:spacing w:val="-20"/>
        </w:rPr>
        <w:t xml:space="preserve"> </w:t>
      </w:r>
      <w:r>
        <w:rPr>
          <w:color w:val="231F20"/>
        </w:rPr>
        <w:t>weakened</w:t>
      </w:r>
      <w:r>
        <w:rPr>
          <w:color w:val="231F20"/>
          <w:spacing w:val="-20"/>
        </w:rPr>
        <w:t xml:space="preserve"> </w:t>
      </w:r>
      <w:r>
        <w:rPr>
          <w:color w:val="231F20"/>
        </w:rPr>
        <w:t>referral</w:t>
      </w:r>
      <w:r>
        <w:rPr>
          <w:color w:val="231F20"/>
          <w:spacing w:val="-20"/>
        </w:rPr>
        <w:t xml:space="preserve"> </w:t>
      </w:r>
      <w:r>
        <w:rPr>
          <w:color w:val="231F20"/>
        </w:rPr>
        <w:t>services.</w:t>
      </w:r>
      <w:r>
        <w:rPr>
          <w:color w:val="231F20"/>
          <w:spacing w:val="-20"/>
        </w:rPr>
        <w:t xml:space="preserve"> </w:t>
      </w:r>
      <w:r>
        <w:rPr>
          <w:color w:val="231F20"/>
        </w:rPr>
        <w:t>Most</w:t>
      </w:r>
      <w:r>
        <w:rPr>
          <w:color w:val="231F20"/>
          <w:spacing w:val="-20"/>
        </w:rPr>
        <w:t xml:space="preserve"> </w:t>
      </w:r>
      <w:r>
        <w:rPr>
          <w:color w:val="231F20"/>
        </w:rPr>
        <w:t>Rivers</w:t>
      </w:r>
      <w:r>
        <w:rPr>
          <w:color w:val="231F20"/>
          <w:spacing w:val="-20"/>
        </w:rPr>
        <w:t xml:space="preserve"> </w:t>
      </w:r>
      <w:r>
        <w:rPr>
          <w:color w:val="231F20"/>
        </w:rPr>
        <w:t>people</w:t>
      </w:r>
      <w:r>
        <w:rPr>
          <w:color w:val="231F20"/>
          <w:spacing w:val="-20"/>
        </w:rPr>
        <w:t xml:space="preserve"> </w:t>
      </w:r>
      <w:r>
        <w:rPr>
          <w:color w:val="231F20"/>
        </w:rPr>
        <w:t>have</w:t>
      </w:r>
      <w:r>
        <w:rPr>
          <w:color w:val="231F20"/>
          <w:spacing w:val="-21"/>
        </w:rPr>
        <w:t xml:space="preserve"> </w:t>
      </w:r>
      <w:r>
        <w:rPr>
          <w:color w:val="231F20"/>
        </w:rPr>
        <w:t>lost</w:t>
      </w:r>
      <w:r>
        <w:rPr>
          <w:color w:val="231F20"/>
          <w:spacing w:val="-20"/>
        </w:rPr>
        <w:t xml:space="preserve"> </w:t>
      </w:r>
      <w:r>
        <w:rPr>
          <w:color w:val="231F20"/>
        </w:rPr>
        <w:t>confidence</w:t>
      </w:r>
      <w:r>
        <w:rPr>
          <w:color w:val="231F20"/>
          <w:spacing w:val="-20"/>
        </w:rPr>
        <w:t xml:space="preserve"> </w:t>
      </w:r>
      <w:r>
        <w:rPr>
          <w:color w:val="231F20"/>
        </w:rPr>
        <w:t>in</w:t>
      </w:r>
      <w:r>
        <w:rPr>
          <w:color w:val="231F20"/>
          <w:spacing w:val="-20"/>
        </w:rPr>
        <w:t xml:space="preserve"> </w:t>
      </w:r>
      <w:r>
        <w:rPr>
          <w:color w:val="231F20"/>
        </w:rPr>
        <w:t>these two</w:t>
      </w:r>
      <w:r>
        <w:rPr>
          <w:color w:val="231F20"/>
          <w:spacing w:val="-3"/>
        </w:rPr>
        <w:t xml:space="preserve"> </w:t>
      </w:r>
      <w:r>
        <w:rPr>
          <w:color w:val="231F20"/>
        </w:rPr>
        <w:t>sub-systems</w:t>
      </w:r>
      <w:r>
        <w:rPr>
          <w:color w:val="231F20"/>
          <w:spacing w:val="-3"/>
        </w:rPr>
        <w:t xml:space="preserve"> </w:t>
      </w:r>
      <w:r>
        <w:rPr>
          <w:color w:val="231F20"/>
        </w:rPr>
        <w:t>and</w:t>
      </w:r>
      <w:r>
        <w:rPr>
          <w:color w:val="231F20"/>
          <w:spacing w:val="-3"/>
        </w:rPr>
        <w:t xml:space="preserve"> </w:t>
      </w:r>
      <w:r>
        <w:rPr>
          <w:color w:val="231F20"/>
        </w:rPr>
        <w:t>usually</w:t>
      </w:r>
      <w:r>
        <w:rPr>
          <w:color w:val="231F20"/>
          <w:spacing w:val="-3"/>
        </w:rPr>
        <w:t xml:space="preserve"> </w:t>
      </w:r>
      <w:r>
        <w:rPr>
          <w:color w:val="231F20"/>
        </w:rPr>
        <w:t>bypass</w:t>
      </w:r>
      <w:r>
        <w:rPr>
          <w:color w:val="231F20"/>
          <w:spacing w:val="-3"/>
        </w:rPr>
        <w:t xml:space="preserve"> </w:t>
      </w:r>
      <w:r>
        <w:rPr>
          <w:color w:val="231F20"/>
        </w:rPr>
        <w:t>them</w:t>
      </w:r>
      <w:r>
        <w:rPr>
          <w:color w:val="231F20"/>
          <w:spacing w:val="-3"/>
        </w:rPr>
        <w:t xml:space="preserve"> </w:t>
      </w:r>
      <w:r>
        <w:rPr>
          <w:color w:val="231F20"/>
        </w:rPr>
        <w:t>in</w:t>
      </w:r>
      <w:r>
        <w:rPr>
          <w:color w:val="231F20"/>
          <w:spacing w:val="-3"/>
        </w:rPr>
        <w:t xml:space="preserve"> </w:t>
      </w:r>
      <w:r>
        <w:rPr>
          <w:color w:val="231F20"/>
        </w:rPr>
        <w:t>their</w:t>
      </w:r>
      <w:r>
        <w:rPr>
          <w:color w:val="231F20"/>
          <w:spacing w:val="-3"/>
        </w:rPr>
        <w:t xml:space="preserve"> </w:t>
      </w:r>
      <w:r>
        <w:rPr>
          <w:color w:val="231F20"/>
        </w:rPr>
        <w:t>quest</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medical</w:t>
      </w:r>
      <w:r>
        <w:rPr>
          <w:color w:val="231F20"/>
          <w:spacing w:val="-3"/>
        </w:rPr>
        <w:t xml:space="preserve"> </w:t>
      </w:r>
      <w:r>
        <w:rPr>
          <w:color w:val="231F20"/>
        </w:rPr>
        <w:t>services.</w:t>
      </w:r>
      <w:r>
        <w:rPr>
          <w:color w:val="231F20"/>
          <w:spacing w:val="-7"/>
        </w:rPr>
        <w:t xml:space="preserve"> </w:t>
      </w:r>
      <w:r>
        <w:rPr>
          <w:color w:val="231F20"/>
        </w:rPr>
        <w:t>The</w:t>
      </w:r>
      <w:r>
        <w:rPr>
          <w:color w:val="231F20"/>
          <w:spacing w:val="-3"/>
        </w:rPr>
        <w:t xml:space="preserve"> </w:t>
      </w:r>
      <w:r>
        <w:rPr>
          <w:color w:val="231F20"/>
        </w:rPr>
        <w:t>result</w:t>
      </w:r>
      <w:r>
        <w:rPr>
          <w:color w:val="231F20"/>
          <w:spacing w:val="-2"/>
        </w:rPr>
        <w:t xml:space="preserve"> </w:t>
      </w:r>
      <w:r>
        <w:rPr>
          <w:color w:val="231F20"/>
          <w:spacing w:val="-8"/>
        </w:rPr>
        <w:t xml:space="preserve">is </w:t>
      </w:r>
      <w:r>
        <w:rPr>
          <w:color w:val="231F20"/>
        </w:rPr>
        <w:t>that</w:t>
      </w:r>
      <w:r>
        <w:rPr>
          <w:color w:val="231F20"/>
          <w:spacing w:val="-23"/>
        </w:rPr>
        <w:t xml:space="preserve"> </w:t>
      </w:r>
      <w:r>
        <w:rPr>
          <w:color w:val="231F20"/>
        </w:rPr>
        <w:t>the</w:t>
      </w:r>
      <w:r>
        <w:rPr>
          <w:color w:val="231F20"/>
          <w:spacing w:val="-22"/>
        </w:rPr>
        <w:t xml:space="preserve"> </w:t>
      </w:r>
      <w:r>
        <w:rPr>
          <w:color w:val="231F20"/>
        </w:rPr>
        <w:t>tertiary</w:t>
      </w:r>
      <w:r>
        <w:rPr>
          <w:color w:val="231F20"/>
          <w:spacing w:val="-22"/>
        </w:rPr>
        <w:t xml:space="preserve"> </w:t>
      </w:r>
      <w:r>
        <w:rPr>
          <w:color w:val="231F20"/>
        </w:rPr>
        <w:t>system</w:t>
      </w:r>
      <w:r>
        <w:rPr>
          <w:color w:val="231F20"/>
          <w:spacing w:val="-22"/>
        </w:rPr>
        <w:t xml:space="preserve"> </w:t>
      </w:r>
      <w:r>
        <w:rPr>
          <w:color w:val="231F20"/>
        </w:rPr>
        <w:t>is</w:t>
      </w:r>
      <w:r>
        <w:rPr>
          <w:color w:val="231F20"/>
          <w:spacing w:val="-22"/>
        </w:rPr>
        <w:t xml:space="preserve"> </w:t>
      </w:r>
      <w:r>
        <w:rPr>
          <w:color w:val="231F20"/>
        </w:rPr>
        <w:t>over</w:t>
      </w:r>
      <w:r>
        <w:rPr>
          <w:color w:val="231F20"/>
          <w:spacing w:val="-22"/>
        </w:rPr>
        <w:t xml:space="preserve"> </w:t>
      </w:r>
      <w:r>
        <w:rPr>
          <w:color w:val="231F20"/>
        </w:rPr>
        <w:t>burdened</w:t>
      </w:r>
      <w:r>
        <w:rPr>
          <w:color w:val="231F20"/>
          <w:spacing w:val="-22"/>
        </w:rPr>
        <w:t xml:space="preserve"> </w:t>
      </w:r>
      <w:r>
        <w:rPr>
          <w:color w:val="231F20"/>
        </w:rPr>
        <w:t>with</w:t>
      </w:r>
      <w:r>
        <w:rPr>
          <w:color w:val="231F20"/>
          <w:spacing w:val="-22"/>
        </w:rPr>
        <w:t xml:space="preserve"> </w:t>
      </w:r>
      <w:r>
        <w:rPr>
          <w:color w:val="231F20"/>
        </w:rPr>
        <w:t>minor</w:t>
      </w:r>
      <w:r>
        <w:rPr>
          <w:color w:val="231F20"/>
          <w:spacing w:val="-22"/>
        </w:rPr>
        <w:t xml:space="preserve"> </w:t>
      </w:r>
      <w:r>
        <w:rPr>
          <w:color w:val="231F20"/>
        </w:rPr>
        <w:t>ailments</w:t>
      </w:r>
      <w:r>
        <w:rPr>
          <w:color w:val="231F20"/>
          <w:spacing w:val="-22"/>
        </w:rPr>
        <w:t xml:space="preserve"> </w:t>
      </w:r>
      <w:r>
        <w:rPr>
          <w:color w:val="231F20"/>
        </w:rPr>
        <w:t>which</w:t>
      </w:r>
      <w:r>
        <w:rPr>
          <w:color w:val="231F20"/>
          <w:spacing w:val="-22"/>
        </w:rPr>
        <w:t xml:space="preserve"> </w:t>
      </w:r>
      <w:r>
        <w:rPr>
          <w:color w:val="231F20"/>
        </w:rPr>
        <w:t>tend</w:t>
      </w:r>
      <w:r>
        <w:rPr>
          <w:color w:val="231F20"/>
          <w:spacing w:val="-22"/>
        </w:rPr>
        <w:t xml:space="preserve"> </w:t>
      </w:r>
      <w:r>
        <w:rPr>
          <w:color w:val="231F20"/>
        </w:rPr>
        <w:t>to</w:t>
      </w:r>
      <w:r>
        <w:rPr>
          <w:color w:val="231F20"/>
          <w:spacing w:val="-22"/>
        </w:rPr>
        <w:t xml:space="preserve"> </w:t>
      </w:r>
      <w:r>
        <w:rPr>
          <w:color w:val="231F20"/>
        </w:rPr>
        <w:t>distract</w:t>
      </w:r>
      <w:r>
        <w:rPr>
          <w:color w:val="231F20"/>
          <w:spacing w:val="-22"/>
        </w:rPr>
        <w:t xml:space="preserve"> </w:t>
      </w:r>
      <w:r>
        <w:rPr>
          <w:color w:val="231F20"/>
        </w:rPr>
        <w:t>health</w:t>
      </w:r>
      <w:r>
        <w:rPr>
          <w:color w:val="231F20"/>
          <w:spacing w:val="-23"/>
        </w:rPr>
        <w:t xml:space="preserve"> </w:t>
      </w:r>
      <w:r>
        <w:rPr>
          <w:color w:val="231F20"/>
        </w:rPr>
        <w:t>workers</w:t>
      </w:r>
      <w:r>
        <w:rPr>
          <w:color w:val="231F20"/>
          <w:spacing w:val="-22"/>
        </w:rPr>
        <w:t xml:space="preserve"> </w:t>
      </w:r>
      <w:r>
        <w:rPr>
          <w:color w:val="231F20"/>
        </w:rPr>
        <w:t>at that</w:t>
      </w:r>
      <w:r>
        <w:rPr>
          <w:color w:val="231F20"/>
          <w:spacing w:val="-26"/>
        </w:rPr>
        <w:t xml:space="preserve"> </w:t>
      </w:r>
      <w:r>
        <w:rPr>
          <w:color w:val="231F20"/>
        </w:rPr>
        <w:t>level</w:t>
      </w:r>
      <w:r>
        <w:rPr>
          <w:color w:val="231F20"/>
          <w:spacing w:val="-25"/>
        </w:rPr>
        <w:t xml:space="preserve"> </w:t>
      </w:r>
      <w:r>
        <w:rPr>
          <w:color w:val="231F20"/>
        </w:rPr>
        <w:t>from</w:t>
      </w:r>
      <w:r>
        <w:rPr>
          <w:color w:val="231F20"/>
          <w:spacing w:val="-25"/>
        </w:rPr>
        <w:t xml:space="preserve"> </w:t>
      </w:r>
      <w:r>
        <w:rPr>
          <w:color w:val="231F20"/>
        </w:rPr>
        <w:t>their</w:t>
      </w:r>
      <w:r>
        <w:rPr>
          <w:color w:val="231F20"/>
          <w:spacing w:val="-25"/>
        </w:rPr>
        <w:t xml:space="preserve"> </w:t>
      </w:r>
      <w:r>
        <w:rPr>
          <w:color w:val="231F20"/>
        </w:rPr>
        <w:t>other</w:t>
      </w:r>
      <w:r>
        <w:rPr>
          <w:color w:val="231F20"/>
          <w:spacing w:val="-25"/>
        </w:rPr>
        <w:t xml:space="preserve"> </w:t>
      </w:r>
      <w:r>
        <w:rPr>
          <w:color w:val="231F20"/>
        </w:rPr>
        <w:t>core</w:t>
      </w:r>
      <w:r>
        <w:rPr>
          <w:color w:val="231F20"/>
          <w:spacing w:val="-25"/>
        </w:rPr>
        <w:t xml:space="preserve"> </w:t>
      </w:r>
      <w:r>
        <w:rPr>
          <w:color w:val="231F20"/>
        </w:rPr>
        <w:t>mandates</w:t>
      </w:r>
      <w:r>
        <w:rPr>
          <w:color w:val="231F20"/>
          <w:spacing w:val="-25"/>
        </w:rPr>
        <w:t xml:space="preserve"> </w:t>
      </w:r>
      <w:r>
        <w:rPr>
          <w:color w:val="231F20"/>
        </w:rPr>
        <w:t>of</w:t>
      </w:r>
      <w:r>
        <w:rPr>
          <w:color w:val="231F20"/>
          <w:spacing w:val="-25"/>
        </w:rPr>
        <w:t xml:space="preserve"> </w:t>
      </w:r>
      <w:r>
        <w:rPr>
          <w:color w:val="231F20"/>
        </w:rPr>
        <w:t>training</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workers</w:t>
      </w:r>
      <w:r>
        <w:rPr>
          <w:color w:val="231F20"/>
          <w:spacing w:val="-25"/>
        </w:rPr>
        <w:t xml:space="preserve"> </w:t>
      </w:r>
      <w:r>
        <w:rPr>
          <w:color w:val="231F20"/>
        </w:rPr>
        <w:t>and</w:t>
      </w:r>
      <w:r>
        <w:rPr>
          <w:color w:val="231F20"/>
          <w:spacing w:val="-25"/>
        </w:rPr>
        <w:t xml:space="preserve"> </w:t>
      </w:r>
      <w:r>
        <w:rPr>
          <w:color w:val="231F20"/>
        </w:rPr>
        <w:t>health</w:t>
      </w:r>
      <w:r>
        <w:rPr>
          <w:color w:val="231F20"/>
          <w:spacing w:val="-25"/>
        </w:rPr>
        <w:t xml:space="preserve"> </w:t>
      </w:r>
      <w:r>
        <w:rPr>
          <w:color w:val="231F20"/>
        </w:rPr>
        <w:t>research.</w:t>
      </w:r>
    </w:p>
    <w:p w14:paraId="4434F76D" w14:textId="77777777" w:rsidR="009948F1" w:rsidRDefault="009948F1">
      <w:pPr>
        <w:pStyle w:val="BodyText"/>
        <w:spacing w:before="1"/>
        <w:rPr>
          <w:sz w:val="24"/>
        </w:rPr>
      </w:pPr>
    </w:p>
    <w:p w14:paraId="3F04E92A" w14:textId="01C8B934" w:rsidR="009948F1" w:rsidRDefault="00BC0563">
      <w:pPr>
        <w:pStyle w:val="BodyText"/>
        <w:spacing w:before="1" w:line="261" w:lineRule="auto"/>
        <w:ind w:left="134" w:right="178"/>
        <w:jc w:val="both"/>
      </w:pPr>
      <w:r>
        <w:rPr>
          <w:color w:val="231F20"/>
        </w:rPr>
        <w:t>The</w:t>
      </w:r>
      <w:r>
        <w:rPr>
          <w:color w:val="231F20"/>
          <w:spacing w:val="-18"/>
        </w:rPr>
        <w:t xml:space="preserve"> </w:t>
      </w:r>
      <w:r>
        <w:rPr>
          <w:color w:val="231F20"/>
        </w:rPr>
        <w:t>tertiary</w:t>
      </w:r>
      <w:r>
        <w:rPr>
          <w:color w:val="231F20"/>
          <w:spacing w:val="-17"/>
        </w:rPr>
        <w:t xml:space="preserve"> </w:t>
      </w:r>
      <w:r>
        <w:rPr>
          <w:color w:val="231F20"/>
        </w:rPr>
        <w:t>health</w:t>
      </w:r>
      <w:r>
        <w:rPr>
          <w:color w:val="231F20"/>
          <w:spacing w:val="-17"/>
        </w:rPr>
        <w:t xml:space="preserve"> </w:t>
      </w:r>
      <w:r>
        <w:rPr>
          <w:color w:val="231F20"/>
        </w:rPr>
        <w:t>care</w:t>
      </w:r>
      <w:r>
        <w:rPr>
          <w:color w:val="231F20"/>
          <w:spacing w:val="-17"/>
        </w:rPr>
        <w:t xml:space="preserve"> </w:t>
      </w:r>
      <w:r>
        <w:rPr>
          <w:color w:val="231F20"/>
        </w:rPr>
        <w:t>delivery</w:t>
      </w:r>
      <w:r>
        <w:rPr>
          <w:color w:val="231F20"/>
          <w:spacing w:val="-17"/>
        </w:rPr>
        <w:t xml:space="preserve"> </w:t>
      </w:r>
      <w:r>
        <w:rPr>
          <w:color w:val="231F20"/>
        </w:rPr>
        <w:t>sub-system</w:t>
      </w:r>
      <w:r>
        <w:rPr>
          <w:color w:val="231F20"/>
          <w:spacing w:val="-17"/>
        </w:rPr>
        <w:t xml:space="preserve"> </w:t>
      </w:r>
      <w:r>
        <w:rPr>
          <w:color w:val="231F20"/>
        </w:rPr>
        <w:t>is</w:t>
      </w:r>
      <w:r>
        <w:rPr>
          <w:color w:val="231F20"/>
          <w:spacing w:val="-17"/>
        </w:rPr>
        <w:t xml:space="preserve"> </w:t>
      </w:r>
      <w:r>
        <w:rPr>
          <w:color w:val="231F20"/>
        </w:rPr>
        <w:t>operated</w:t>
      </w:r>
      <w:r>
        <w:rPr>
          <w:color w:val="231F20"/>
          <w:spacing w:val="-17"/>
        </w:rPr>
        <w:t xml:space="preserve"> </w:t>
      </w:r>
      <w:r>
        <w:rPr>
          <w:color w:val="231F20"/>
        </w:rPr>
        <w:t>by</w:t>
      </w:r>
      <w:r>
        <w:rPr>
          <w:color w:val="231F20"/>
          <w:spacing w:val="-17"/>
        </w:rPr>
        <w:t xml:space="preserve"> </w:t>
      </w:r>
      <w:r>
        <w:rPr>
          <w:color w:val="231F20"/>
        </w:rPr>
        <w:t>the</w:t>
      </w:r>
      <w:r>
        <w:rPr>
          <w:color w:val="231F20"/>
          <w:spacing w:val="-17"/>
        </w:rPr>
        <w:t xml:space="preserve"> </w:t>
      </w:r>
      <w:r>
        <w:rPr>
          <w:color w:val="231F20"/>
        </w:rPr>
        <w:t>Federal</w:t>
      </w:r>
      <w:r>
        <w:rPr>
          <w:color w:val="231F20"/>
          <w:spacing w:val="-17"/>
        </w:rPr>
        <w:t xml:space="preserve"> </w:t>
      </w:r>
      <w:r>
        <w:rPr>
          <w:color w:val="231F20"/>
        </w:rPr>
        <w:t>Ministry</w:t>
      </w:r>
      <w:r>
        <w:rPr>
          <w:color w:val="231F20"/>
          <w:spacing w:val="-17"/>
        </w:rPr>
        <w:t xml:space="preserve"> </w:t>
      </w:r>
      <w:r>
        <w:rPr>
          <w:color w:val="231F20"/>
        </w:rPr>
        <w:t>of</w:t>
      </w:r>
      <w:r>
        <w:rPr>
          <w:color w:val="231F20"/>
          <w:spacing w:val="-17"/>
        </w:rPr>
        <w:t xml:space="preserve"> </w:t>
      </w:r>
      <w:r>
        <w:rPr>
          <w:color w:val="231F20"/>
        </w:rPr>
        <w:t>Health</w:t>
      </w:r>
      <w:r>
        <w:rPr>
          <w:color w:val="231F20"/>
          <w:spacing w:val="-18"/>
        </w:rPr>
        <w:t xml:space="preserve"> </w:t>
      </w:r>
      <w:r>
        <w:rPr>
          <w:color w:val="231F20"/>
        </w:rPr>
        <w:t>and</w:t>
      </w:r>
      <w:r>
        <w:rPr>
          <w:color w:val="231F20"/>
          <w:spacing w:val="-17"/>
        </w:rPr>
        <w:t xml:space="preserve"> </w:t>
      </w:r>
      <w:r>
        <w:rPr>
          <w:color w:val="231F20"/>
        </w:rPr>
        <w:t xml:space="preserve">there are fifty-four (54) institutions providing services in this sub-system. They are under the </w:t>
      </w:r>
      <w:r>
        <w:rPr>
          <w:color w:val="231F20"/>
          <w:spacing w:val="-3"/>
        </w:rPr>
        <w:t xml:space="preserve">direct </w:t>
      </w:r>
      <w:r>
        <w:rPr>
          <w:color w:val="231F20"/>
        </w:rPr>
        <w:t xml:space="preserve">supervision of the Department of Hospital Services of the Ministry. In the Rivers State there are6 tertiary health facilities with 4 state-owned and the other one is run by the federal government (UPTH) while the last one is privately owned </w:t>
      </w:r>
      <w:r>
        <w:rPr>
          <w:color w:val="231F20"/>
          <w:spacing w:val="-5"/>
        </w:rPr>
        <w:t xml:space="preserve">(Table </w:t>
      </w:r>
      <w:r>
        <w:rPr>
          <w:color w:val="231F20"/>
        </w:rPr>
        <w:t xml:space="preserve">5). Most of the hospitals have adequate manpower and some level of equipment to deliver reasonable services but this is not usually </w:t>
      </w:r>
      <w:r>
        <w:rPr>
          <w:color w:val="231F20"/>
          <w:spacing w:val="-5"/>
        </w:rPr>
        <w:t xml:space="preserve">the </w:t>
      </w:r>
      <w:r>
        <w:rPr>
          <w:color w:val="231F20"/>
        </w:rPr>
        <w:t xml:space="preserve">case as a result of poor attitude of health workers, inter-professional wrangling, incessant </w:t>
      </w:r>
      <w:r>
        <w:rPr>
          <w:color w:val="231F20"/>
          <w:spacing w:val="-3"/>
        </w:rPr>
        <w:t xml:space="preserve">strike </w:t>
      </w:r>
      <w:r>
        <w:rPr>
          <w:color w:val="231F20"/>
        </w:rPr>
        <w:t>actions,</w:t>
      </w:r>
      <w:r>
        <w:rPr>
          <w:color w:val="231F20"/>
          <w:spacing w:val="-6"/>
        </w:rPr>
        <w:t xml:space="preserve"> </w:t>
      </w:r>
      <w:r>
        <w:rPr>
          <w:color w:val="231F20"/>
        </w:rPr>
        <w:t>conflict</w:t>
      </w:r>
      <w:r>
        <w:rPr>
          <w:color w:val="231F20"/>
          <w:spacing w:val="-5"/>
        </w:rPr>
        <w:t xml:space="preserve"> </w:t>
      </w:r>
      <w:r>
        <w:rPr>
          <w:color w:val="231F20"/>
        </w:rPr>
        <w:t>of</w:t>
      </w:r>
      <w:r>
        <w:rPr>
          <w:color w:val="231F20"/>
          <w:spacing w:val="-5"/>
        </w:rPr>
        <w:t xml:space="preserve"> </w:t>
      </w:r>
      <w:r>
        <w:rPr>
          <w:color w:val="231F20"/>
        </w:rPr>
        <w:t>interest,</w:t>
      </w:r>
      <w:r>
        <w:rPr>
          <w:color w:val="231F20"/>
          <w:spacing w:val="-5"/>
        </w:rPr>
        <w:t xml:space="preserve"> </w:t>
      </w:r>
      <w:r>
        <w:rPr>
          <w:color w:val="231F20"/>
        </w:rPr>
        <w:t>poor</w:t>
      </w:r>
      <w:r>
        <w:rPr>
          <w:color w:val="231F20"/>
          <w:spacing w:val="-5"/>
        </w:rPr>
        <w:t xml:space="preserve"> </w:t>
      </w:r>
      <w:r>
        <w:rPr>
          <w:color w:val="231F20"/>
        </w:rPr>
        <w:t>housekeeping</w:t>
      </w:r>
      <w:r>
        <w:rPr>
          <w:color w:val="231F20"/>
          <w:spacing w:val="-4"/>
        </w:rPr>
        <w:t xml:space="preserve"> </w:t>
      </w:r>
      <w:r>
        <w:rPr>
          <w:color w:val="231F20"/>
        </w:rPr>
        <w:t>and</w:t>
      </w:r>
      <w:r>
        <w:rPr>
          <w:color w:val="231F20"/>
          <w:spacing w:val="-5"/>
        </w:rPr>
        <w:t xml:space="preserve"> </w:t>
      </w:r>
      <w:r>
        <w:rPr>
          <w:color w:val="231F20"/>
        </w:rPr>
        <w:t>unregulated</w:t>
      </w:r>
      <w:r>
        <w:rPr>
          <w:color w:val="231F20"/>
          <w:spacing w:val="-4"/>
        </w:rPr>
        <w:t xml:space="preserve"> </w:t>
      </w:r>
      <w:proofErr w:type="spellStart"/>
      <w:r>
        <w:rPr>
          <w:color w:val="231F20"/>
        </w:rPr>
        <w:t>labour</w:t>
      </w:r>
      <w:proofErr w:type="spellEnd"/>
      <w:r>
        <w:rPr>
          <w:color w:val="231F20"/>
          <w:spacing w:val="-5"/>
        </w:rPr>
        <w:t xml:space="preserve"> </w:t>
      </w:r>
      <w:r>
        <w:rPr>
          <w:color w:val="231F20"/>
        </w:rPr>
        <w:t>Unionism</w:t>
      </w:r>
      <w:r>
        <w:rPr>
          <w:color w:val="231F20"/>
          <w:spacing w:val="-5"/>
        </w:rPr>
        <w:t xml:space="preserve"> </w:t>
      </w:r>
      <w:r w:rsidR="00305EAC">
        <w:rPr>
          <w:color w:val="231F20"/>
        </w:rPr>
        <w:t>etc. The</w:t>
      </w:r>
      <w:r>
        <w:rPr>
          <w:color w:val="231F20"/>
          <w:spacing w:val="-5"/>
        </w:rPr>
        <w:t xml:space="preserve"> </w:t>
      </w:r>
      <w:r>
        <w:rPr>
          <w:color w:val="231F20"/>
        </w:rPr>
        <w:t>result</w:t>
      </w:r>
      <w:r>
        <w:rPr>
          <w:color w:val="231F20"/>
          <w:spacing w:val="-5"/>
        </w:rPr>
        <w:t xml:space="preserve"> </w:t>
      </w:r>
      <w:r>
        <w:rPr>
          <w:color w:val="231F20"/>
        </w:rPr>
        <w:t>is that more people are fast losing confidence in this level of care and those who can afford it go outside</w:t>
      </w:r>
      <w:r>
        <w:rPr>
          <w:color w:val="231F20"/>
          <w:spacing w:val="-22"/>
        </w:rPr>
        <w:t xml:space="preserve"> </w:t>
      </w:r>
      <w:r>
        <w:rPr>
          <w:color w:val="231F20"/>
        </w:rPr>
        <w:t>the</w:t>
      </w:r>
      <w:r>
        <w:rPr>
          <w:color w:val="231F20"/>
          <w:spacing w:val="-22"/>
        </w:rPr>
        <w:t xml:space="preserve"> </w:t>
      </w:r>
      <w:r>
        <w:rPr>
          <w:color w:val="231F20"/>
        </w:rPr>
        <w:t>country</w:t>
      </w:r>
      <w:r>
        <w:rPr>
          <w:color w:val="231F20"/>
          <w:spacing w:val="-22"/>
        </w:rPr>
        <w:t xml:space="preserve"> </w:t>
      </w:r>
      <w:r>
        <w:rPr>
          <w:color w:val="231F20"/>
        </w:rPr>
        <w:t>to</w:t>
      </w:r>
      <w:r>
        <w:rPr>
          <w:color w:val="231F20"/>
          <w:spacing w:val="-22"/>
        </w:rPr>
        <w:t xml:space="preserve"> </w:t>
      </w:r>
      <w:r>
        <w:rPr>
          <w:color w:val="231F20"/>
        </w:rPr>
        <w:t>access</w:t>
      </w:r>
      <w:r>
        <w:rPr>
          <w:color w:val="231F20"/>
          <w:spacing w:val="-22"/>
        </w:rPr>
        <w:t xml:space="preserve"> </w:t>
      </w:r>
      <w:r>
        <w:rPr>
          <w:color w:val="231F20"/>
        </w:rPr>
        <w:t>care,</w:t>
      </w:r>
      <w:r>
        <w:rPr>
          <w:color w:val="231F20"/>
          <w:spacing w:val="-22"/>
        </w:rPr>
        <w:t xml:space="preserve"> </w:t>
      </w:r>
      <w:r>
        <w:rPr>
          <w:color w:val="231F20"/>
        </w:rPr>
        <w:t>which</w:t>
      </w:r>
      <w:r>
        <w:rPr>
          <w:color w:val="231F20"/>
          <w:spacing w:val="-22"/>
        </w:rPr>
        <w:t xml:space="preserve"> </w:t>
      </w:r>
      <w:r>
        <w:rPr>
          <w:color w:val="231F20"/>
        </w:rPr>
        <w:t>in</w:t>
      </w:r>
      <w:r>
        <w:rPr>
          <w:color w:val="231F20"/>
          <w:spacing w:val="-22"/>
        </w:rPr>
        <w:t xml:space="preserve"> </w:t>
      </w:r>
      <w:r>
        <w:rPr>
          <w:color w:val="231F20"/>
        </w:rPr>
        <w:t>some</w:t>
      </w:r>
      <w:r>
        <w:rPr>
          <w:color w:val="231F20"/>
          <w:spacing w:val="-22"/>
        </w:rPr>
        <w:t xml:space="preserve"> </w:t>
      </w:r>
      <w:r>
        <w:rPr>
          <w:color w:val="231F20"/>
        </w:rPr>
        <w:t>cases</w:t>
      </w:r>
      <w:r>
        <w:rPr>
          <w:color w:val="231F20"/>
          <w:spacing w:val="-22"/>
        </w:rPr>
        <w:t xml:space="preserve"> </w:t>
      </w:r>
      <w:r>
        <w:rPr>
          <w:color w:val="231F20"/>
        </w:rPr>
        <w:t>may</w:t>
      </w:r>
      <w:r>
        <w:rPr>
          <w:color w:val="231F20"/>
          <w:spacing w:val="-22"/>
        </w:rPr>
        <w:t xml:space="preserve"> </w:t>
      </w:r>
      <w:r>
        <w:rPr>
          <w:color w:val="231F20"/>
        </w:rPr>
        <w:t>not</w:t>
      </w:r>
      <w:r>
        <w:rPr>
          <w:color w:val="231F20"/>
          <w:spacing w:val="-22"/>
        </w:rPr>
        <w:t xml:space="preserve"> </w:t>
      </w:r>
      <w:r>
        <w:rPr>
          <w:color w:val="231F20"/>
        </w:rPr>
        <w:t>be</w:t>
      </w:r>
      <w:r>
        <w:rPr>
          <w:color w:val="231F20"/>
          <w:spacing w:val="-22"/>
        </w:rPr>
        <w:t xml:space="preserve"> </w:t>
      </w:r>
      <w:r>
        <w:rPr>
          <w:color w:val="231F20"/>
        </w:rPr>
        <w:t>up</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standard</w:t>
      </w:r>
      <w:r>
        <w:rPr>
          <w:color w:val="231F20"/>
          <w:spacing w:val="-22"/>
        </w:rPr>
        <w:t xml:space="preserve"> </w:t>
      </w:r>
      <w:r>
        <w:rPr>
          <w:color w:val="231F20"/>
        </w:rPr>
        <w:t>obtainable</w:t>
      </w:r>
      <w:r>
        <w:rPr>
          <w:color w:val="231F20"/>
          <w:spacing w:val="-22"/>
        </w:rPr>
        <w:t xml:space="preserve"> </w:t>
      </w:r>
      <w:r>
        <w:rPr>
          <w:color w:val="231F20"/>
          <w:spacing w:val="-7"/>
        </w:rPr>
        <w:t xml:space="preserve">in </w:t>
      </w:r>
      <w:r>
        <w:rPr>
          <w:color w:val="231F20"/>
        </w:rPr>
        <w:t>the</w:t>
      </w:r>
      <w:r>
        <w:rPr>
          <w:color w:val="231F20"/>
          <w:spacing w:val="-26"/>
        </w:rPr>
        <w:t xml:space="preserve"> </w:t>
      </w:r>
      <w:r>
        <w:rPr>
          <w:color w:val="231F20"/>
          <w:spacing w:val="-3"/>
        </w:rPr>
        <w:t>country.</w:t>
      </w:r>
      <w:r>
        <w:rPr>
          <w:color w:val="231F20"/>
          <w:spacing w:val="-26"/>
        </w:rPr>
        <w:t xml:space="preserve"> </w:t>
      </w:r>
      <w:r>
        <w:rPr>
          <w:color w:val="231F20"/>
        </w:rPr>
        <w:t>It</w:t>
      </w:r>
      <w:r>
        <w:rPr>
          <w:color w:val="231F20"/>
          <w:spacing w:val="-25"/>
        </w:rPr>
        <w:t xml:space="preserve"> </w:t>
      </w:r>
      <w:r>
        <w:rPr>
          <w:color w:val="231F20"/>
        </w:rPr>
        <w:t>has</w:t>
      </w:r>
      <w:r>
        <w:rPr>
          <w:color w:val="231F20"/>
          <w:spacing w:val="-26"/>
        </w:rPr>
        <w:t xml:space="preserve"> </w:t>
      </w:r>
      <w:r>
        <w:rPr>
          <w:color w:val="231F20"/>
        </w:rPr>
        <w:t>been</w:t>
      </w:r>
      <w:r>
        <w:rPr>
          <w:color w:val="231F20"/>
          <w:spacing w:val="-25"/>
        </w:rPr>
        <w:t xml:space="preserve"> </w:t>
      </w:r>
      <w:r>
        <w:rPr>
          <w:color w:val="231F20"/>
        </w:rPr>
        <w:t>estimated</w:t>
      </w:r>
      <w:r>
        <w:rPr>
          <w:color w:val="231F20"/>
          <w:spacing w:val="-26"/>
        </w:rPr>
        <w:t xml:space="preserve"> </w:t>
      </w:r>
      <w:r>
        <w:rPr>
          <w:color w:val="231F20"/>
        </w:rPr>
        <w:t>that</w:t>
      </w:r>
      <w:r>
        <w:rPr>
          <w:color w:val="231F20"/>
          <w:spacing w:val="-25"/>
        </w:rPr>
        <w:t xml:space="preserve"> </w:t>
      </w:r>
      <w:r>
        <w:rPr>
          <w:color w:val="231F20"/>
        </w:rPr>
        <w:t>Nigeria</w:t>
      </w:r>
      <w:r>
        <w:rPr>
          <w:color w:val="231F20"/>
          <w:spacing w:val="-26"/>
        </w:rPr>
        <w:t xml:space="preserve"> </w:t>
      </w:r>
      <w:r>
        <w:rPr>
          <w:color w:val="231F20"/>
        </w:rPr>
        <w:t>loses</w:t>
      </w:r>
      <w:r>
        <w:rPr>
          <w:color w:val="231F20"/>
          <w:spacing w:val="-26"/>
        </w:rPr>
        <w:t xml:space="preserve"> </w:t>
      </w:r>
      <w:r>
        <w:rPr>
          <w:color w:val="231F20"/>
        </w:rPr>
        <w:t>up</w:t>
      </w:r>
      <w:r>
        <w:rPr>
          <w:color w:val="231F20"/>
          <w:spacing w:val="-25"/>
        </w:rPr>
        <w:t xml:space="preserve"> </w:t>
      </w:r>
      <w:r>
        <w:rPr>
          <w:color w:val="231F20"/>
        </w:rPr>
        <w:t>to</w:t>
      </w:r>
      <w:r>
        <w:rPr>
          <w:color w:val="231F20"/>
          <w:spacing w:val="-26"/>
        </w:rPr>
        <w:t xml:space="preserve"> </w:t>
      </w:r>
      <w:r>
        <w:rPr>
          <w:color w:val="231F20"/>
        </w:rPr>
        <w:t>USD</w:t>
      </w:r>
      <w:r>
        <w:rPr>
          <w:color w:val="231F20"/>
          <w:spacing w:val="-25"/>
        </w:rPr>
        <w:t xml:space="preserve"> </w:t>
      </w:r>
      <w:r>
        <w:rPr>
          <w:color w:val="231F20"/>
        </w:rPr>
        <w:t>1billion</w:t>
      </w:r>
      <w:r>
        <w:rPr>
          <w:color w:val="231F20"/>
          <w:spacing w:val="-26"/>
        </w:rPr>
        <w:t xml:space="preserve"> </w:t>
      </w:r>
      <w:r>
        <w:rPr>
          <w:color w:val="231F20"/>
        </w:rPr>
        <w:t>to</w:t>
      </w:r>
      <w:r>
        <w:rPr>
          <w:color w:val="231F20"/>
          <w:spacing w:val="-25"/>
        </w:rPr>
        <w:t xml:space="preserve"> </w:t>
      </w:r>
      <w:r>
        <w:rPr>
          <w:color w:val="231F20"/>
        </w:rPr>
        <w:t>medical</w:t>
      </w:r>
      <w:r>
        <w:rPr>
          <w:color w:val="231F20"/>
          <w:spacing w:val="-26"/>
        </w:rPr>
        <w:t xml:space="preserve"> </w:t>
      </w:r>
      <w:r>
        <w:rPr>
          <w:color w:val="231F20"/>
        </w:rPr>
        <w:t>tourism</w:t>
      </w:r>
      <w:r>
        <w:rPr>
          <w:color w:val="231F20"/>
          <w:spacing w:val="-26"/>
        </w:rPr>
        <w:t xml:space="preserve"> </w:t>
      </w:r>
      <w:r>
        <w:rPr>
          <w:color w:val="231F20"/>
        </w:rPr>
        <w:t>annually.</w:t>
      </w:r>
    </w:p>
    <w:p w14:paraId="3A71BE8F" w14:textId="77777777" w:rsidR="009948F1" w:rsidRDefault="009948F1">
      <w:pPr>
        <w:pStyle w:val="BodyText"/>
        <w:spacing w:before="2"/>
        <w:rPr>
          <w:sz w:val="24"/>
        </w:rPr>
      </w:pPr>
    </w:p>
    <w:p w14:paraId="38A846AC" w14:textId="77777777" w:rsidR="009948F1" w:rsidRDefault="00BC0563">
      <w:pPr>
        <w:pStyle w:val="Heading7"/>
        <w:ind w:left="134"/>
      </w:pPr>
      <w:r>
        <w:rPr>
          <w:color w:val="231F20"/>
        </w:rPr>
        <w:t>Strategic Goal:</w:t>
      </w:r>
    </w:p>
    <w:p w14:paraId="2AABFC58" w14:textId="77777777" w:rsidR="009948F1" w:rsidRDefault="00BC0563">
      <w:pPr>
        <w:pStyle w:val="ListParagraph"/>
        <w:numPr>
          <w:ilvl w:val="2"/>
          <w:numId w:val="280"/>
        </w:numPr>
        <w:tabs>
          <w:tab w:val="left" w:pos="772"/>
        </w:tabs>
        <w:spacing w:before="23" w:line="261" w:lineRule="auto"/>
        <w:ind w:right="178" w:firstLine="0"/>
        <w:jc w:val="both"/>
        <w:rPr>
          <w:b/>
          <w:color w:val="231F20"/>
        </w:rPr>
      </w:pPr>
      <w:r>
        <w:rPr>
          <w:b/>
          <w:color w:val="231F20"/>
        </w:rPr>
        <w:t>Improve health outcomes through prompt and effective response to medical emergencies.</w:t>
      </w:r>
    </w:p>
    <w:p w14:paraId="22FC76DD" w14:textId="77777777" w:rsidR="009948F1" w:rsidRDefault="009948F1">
      <w:pPr>
        <w:pStyle w:val="BodyText"/>
        <w:spacing w:before="1"/>
        <w:rPr>
          <w:b/>
          <w:sz w:val="24"/>
        </w:rPr>
      </w:pPr>
    </w:p>
    <w:p w14:paraId="4A68CD48" w14:textId="77777777" w:rsidR="009948F1" w:rsidRDefault="00BC0563">
      <w:pPr>
        <w:ind w:left="134"/>
        <w:rPr>
          <w:b/>
        </w:rPr>
      </w:pPr>
      <w:r>
        <w:rPr>
          <w:b/>
          <w:color w:val="231F20"/>
        </w:rPr>
        <w:t>Strategic objectives:</w:t>
      </w:r>
    </w:p>
    <w:p w14:paraId="31982A8F" w14:textId="77777777" w:rsidR="009948F1" w:rsidRDefault="009948F1">
      <w:pPr>
        <w:pStyle w:val="BodyText"/>
        <w:rPr>
          <w:b/>
          <w:sz w:val="26"/>
        </w:rPr>
      </w:pPr>
    </w:p>
    <w:p w14:paraId="35A57CE7" w14:textId="77777777" w:rsidR="009948F1" w:rsidRDefault="00BC0563">
      <w:pPr>
        <w:pStyle w:val="ListParagraph"/>
        <w:numPr>
          <w:ilvl w:val="2"/>
          <w:numId w:val="280"/>
        </w:numPr>
        <w:tabs>
          <w:tab w:val="left" w:pos="855"/>
        </w:tabs>
        <w:ind w:left="854" w:hanging="721"/>
        <w:jc w:val="both"/>
        <w:rPr>
          <w:b/>
          <w:color w:val="231F20"/>
        </w:rPr>
      </w:pPr>
      <w:r>
        <w:rPr>
          <w:b/>
          <w:color w:val="231F20"/>
        </w:rPr>
        <w:t>Strengthen</w:t>
      </w:r>
      <w:r>
        <w:rPr>
          <w:b/>
          <w:color w:val="231F20"/>
          <w:spacing w:val="-25"/>
        </w:rPr>
        <w:t xml:space="preserve"> </w:t>
      </w:r>
      <w:r>
        <w:rPr>
          <w:b/>
          <w:color w:val="231F20"/>
        </w:rPr>
        <w:t>Emergency</w:t>
      </w:r>
      <w:r>
        <w:rPr>
          <w:b/>
          <w:color w:val="231F20"/>
          <w:spacing w:val="-26"/>
        </w:rPr>
        <w:t xml:space="preserve"> </w:t>
      </w:r>
      <w:r>
        <w:rPr>
          <w:b/>
          <w:color w:val="231F20"/>
        </w:rPr>
        <w:t>Medical</w:t>
      </w:r>
      <w:r>
        <w:rPr>
          <w:b/>
          <w:color w:val="231F20"/>
          <w:spacing w:val="-25"/>
        </w:rPr>
        <w:t xml:space="preserve"> </w:t>
      </w:r>
      <w:r>
        <w:rPr>
          <w:b/>
          <w:color w:val="231F20"/>
        </w:rPr>
        <w:t>Services</w:t>
      </w:r>
      <w:r>
        <w:rPr>
          <w:b/>
          <w:color w:val="231F20"/>
          <w:spacing w:val="-25"/>
        </w:rPr>
        <w:t xml:space="preserve"> </w:t>
      </w:r>
      <w:r>
        <w:rPr>
          <w:b/>
          <w:color w:val="231F20"/>
        </w:rPr>
        <w:t>(EMS)</w:t>
      </w:r>
    </w:p>
    <w:p w14:paraId="28B5724D" w14:textId="77777777" w:rsidR="009948F1" w:rsidRDefault="009948F1">
      <w:pPr>
        <w:pStyle w:val="BodyText"/>
        <w:spacing w:before="7"/>
        <w:rPr>
          <w:b/>
          <w:sz w:val="29"/>
        </w:rPr>
      </w:pPr>
    </w:p>
    <w:tbl>
      <w:tblPr>
        <w:tblW w:w="0" w:type="auto"/>
        <w:tblInd w:w="20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998"/>
        <w:gridCol w:w="1365"/>
        <w:gridCol w:w="791"/>
        <w:gridCol w:w="794"/>
        <w:gridCol w:w="791"/>
        <w:gridCol w:w="794"/>
        <w:gridCol w:w="719"/>
        <w:gridCol w:w="995"/>
      </w:tblGrid>
      <w:tr w:rsidR="009948F1" w14:paraId="5EC3BFA1" w14:textId="77777777">
        <w:trPr>
          <w:trHeight w:val="216"/>
        </w:trPr>
        <w:tc>
          <w:tcPr>
            <w:tcW w:w="2998" w:type="dxa"/>
            <w:shd w:val="clear" w:color="auto" w:fill="F4CEB2"/>
          </w:tcPr>
          <w:p w14:paraId="53EEB948" w14:textId="77777777" w:rsidR="009948F1" w:rsidRDefault="00BC0563">
            <w:pPr>
              <w:pStyle w:val="TableParagraph"/>
              <w:spacing w:line="197" w:lineRule="exact"/>
              <w:ind w:left="113"/>
              <w:rPr>
                <w:sz w:val="19"/>
              </w:rPr>
            </w:pPr>
            <w:r>
              <w:rPr>
                <w:color w:val="231F20"/>
                <w:sz w:val="19"/>
              </w:rPr>
              <w:t>Targets</w:t>
            </w:r>
          </w:p>
        </w:tc>
        <w:tc>
          <w:tcPr>
            <w:tcW w:w="1365" w:type="dxa"/>
            <w:shd w:val="clear" w:color="auto" w:fill="F4CEB2"/>
          </w:tcPr>
          <w:p w14:paraId="0846D9AC" w14:textId="77777777" w:rsidR="009948F1" w:rsidRDefault="00BC0563">
            <w:pPr>
              <w:pStyle w:val="TableParagraph"/>
              <w:spacing w:line="197" w:lineRule="exact"/>
              <w:ind w:left="113"/>
              <w:rPr>
                <w:sz w:val="19"/>
              </w:rPr>
            </w:pPr>
            <w:r>
              <w:rPr>
                <w:color w:val="231F20"/>
                <w:sz w:val="19"/>
              </w:rPr>
              <w:t>Baseline</w:t>
            </w:r>
          </w:p>
        </w:tc>
        <w:tc>
          <w:tcPr>
            <w:tcW w:w="791" w:type="dxa"/>
            <w:shd w:val="clear" w:color="auto" w:fill="F4CEB2"/>
          </w:tcPr>
          <w:p w14:paraId="21195F26" w14:textId="77777777" w:rsidR="009948F1" w:rsidRDefault="00BC0563">
            <w:pPr>
              <w:pStyle w:val="TableParagraph"/>
              <w:spacing w:line="197" w:lineRule="exact"/>
              <w:ind w:left="113"/>
              <w:rPr>
                <w:b/>
                <w:sz w:val="19"/>
              </w:rPr>
            </w:pPr>
            <w:r>
              <w:rPr>
                <w:b/>
                <w:color w:val="231F20"/>
                <w:sz w:val="19"/>
              </w:rPr>
              <w:t>2018</w:t>
            </w:r>
          </w:p>
        </w:tc>
        <w:tc>
          <w:tcPr>
            <w:tcW w:w="794" w:type="dxa"/>
            <w:shd w:val="clear" w:color="auto" w:fill="F4CEB2"/>
          </w:tcPr>
          <w:p w14:paraId="6563E91A" w14:textId="77777777" w:rsidR="009948F1" w:rsidRDefault="00BC0563">
            <w:pPr>
              <w:pStyle w:val="TableParagraph"/>
              <w:spacing w:line="197" w:lineRule="exact"/>
              <w:ind w:left="113"/>
              <w:rPr>
                <w:b/>
                <w:sz w:val="19"/>
              </w:rPr>
            </w:pPr>
            <w:r>
              <w:rPr>
                <w:b/>
                <w:color w:val="231F20"/>
                <w:sz w:val="19"/>
              </w:rPr>
              <w:t>2019</w:t>
            </w:r>
          </w:p>
        </w:tc>
        <w:tc>
          <w:tcPr>
            <w:tcW w:w="791" w:type="dxa"/>
            <w:shd w:val="clear" w:color="auto" w:fill="F4CEB2"/>
          </w:tcPr>
          <w:p w14:paraId="44F28268" w14:textId="77777777" w:rsidR="009948F1" w:rsidRDefault="00BC0563">
            <w:pPr>
              <w:pStyle w:val="TableParagraph"/>
              <w:spacing w:line="197" w:lineRule="exact"/>
              <w:ind w:left="113"/>
              <w:rPr>
                <w:b/>
                <w:sz w:val="19"/>
              </w:rPr>
            </w:pPr>
            <w:r>
              <w:rPr>
                <w:b/>
                <w:color w:val="231F20"/>
                <w:sz w:val="19"/>
              </w:rPr>
              <w:t>2020</w:t>
            </w:r>
          </w:p>
        </w:tc>
        <w:tc>
          <w:tcPr>
            <w:tcW w:w="794" w:type="dxa"/>
            <w:shd w:val="clear" w:color="auto" w:fill="F4CEB2"/>
          </w:tcPr>
          <w:p w14:paraId="2681A234" w14:textId="77777777" w:rsidR="009948F1" w:rsidRDefault="00BC0563">
            <w:pPr>
              <w:pStyle w:val="TableParagraph"/>
              <w:spacing w:line="197" w:lineRule="exact"/>
              <w:ind w:left="112"/>
              <w:rPr>
                <w:b/>
                <w:sz w:val="19"/>
              </w:rPr>
            </w:pPr>
            <w:r>
              <w:rPr>
                <w:b/>
                <w:color w:val="231F20"/>
                <w:sz w:val="19"/>
              </w:rPr>
              <w:t>2021</w:t>
            </w:r>
          </w:p>
        </w:tc>
        <w:tc>
          <w:tcPr>
            <w:tcW w:w="719" w:type="dxa"/>
            <w:shd w:val="clear" w:color="auto" w:fill="F4CEB2"/>
          </w:tcPr>
          <w:p w14:paraId="5638773C" w14:textId="77777777" w:rsidR="009948F1" w:rsidRDefault="00BC0563">
            <w:pPr>
              <w:pStyle w:val="TableParagraph"/>
              <w:spacing w:line="197" w:lineRule="exact"/>
              <w:ind w:left="112"/>
              <w:rPr>
                <w:b/>
                <w:sz w:val="19"/>
              </w:rPr>
            </w:pPr>
            <w:r>
              <w:rPr>
                <w:b/>
                <w:color w:val="231F20"/>
                <w:sz w:val="19"/>
              </w:rPr>
              <w:t>2022</w:t>
            </w:r>
          </w:p>
        </w:tc>
        <w:tc>
          <w:tcPr>
            <w:tcW w:w="995" w:type="dxa"/>
            <w:shd w:val="clear" w:color="auto" w:fill="F4CEB2"/>
          </w:tcPr>
          <w:p w14:paraId="4F432A8A" w14:textId="77777777" w:rsidR="009948F1" w:rsidRDefault="00BC0563">
            <w:pPr>
              <w:pStyle w:val="TableParagraph"/>
              <w:spacing w:line="197" w:lineRule="exact"/>
              <w:ind w:left="111"/>
              <w:rPr>
                <w:b/>
                <w:sz w:val="19"/>
              </w:rPr>
            </w:pPr>
            <w:r>
              <w:rPr>
                <w:b/>
                <w:color w:val="231F20"/>
                <w:sz w:val="19"/>
              </w:rPr>
              <w:t>National</w:t>
            </w:r>
          </w:p>
        </w:tc>
      </w:tr>
      <w:tr w:rsidR="009948F1" w14:paraId="6D1ED6FA" w14:textId="77777777">
        <w:trPr>
          <w:trHeight w:val="886"/>
        </w:trPr>
        <w:tc>
          <w:tcPr>
            <w:tcW w:w="2998" w:type="dxa"/>
          </w:tcPr>
          <w:p w14:paraId="169B78FB" w14:textId="77777777" w:rsidR="009948F1" w:rsidRDefault="00BC0563">
            <w:pPr>
              <w:pStyle w:val="TableParagraph"/>
              <w:spacing w:before="2" w:line="242" w:lineRule="auto"/>
              <w:ind w:left="113" w:right="247"/>
              <w:jc w:val="both"/>
              <w:rPr>
                <w:sz w:val="19"/>
              </w:rPr>
            </w:pPr>
            <w:r>
              <w:rPr>
                <w:color w:val="231F20"/>
                <w:sz w:val="19"/>
              </w:rPr>
              <w:t>Does state have EMS policies, plans and services in place by 2022</w:t>
            </w:r>
          </w:p>
        </w:tc>
        <w:tc>
          <w:tcPr>
            <w:tcW w:w="1365" w:type="dxa"/>
          </w:tcPr>
          <w:p w14:paraId="657CE177" w14:textId="77777777" w:rsidR="009948F1" w:rsidRDefault="00BC0563">
            <w:pPr>
              <w:pStyle w:val="TableParagraph"/>
              <w:spacing w:before="2"/>
              <w:ind w:left="113"/>
              <w:rPr>
                <w:sz w:val="19"/>
              </w:rPr>
            </w:pPr>
            <w:r>
              <w:rPr>
                <w:color w:val="231F20"/>
                <w:sz w:val="19"/>
              </w:rPr>
              <w:t>TBD</w:t>
            </w:r>
          </w:p>
        </w:tc>
        <w:tc>
          <w:tcPr>
            <w:tcW w:w="791" w:type="dxa"/>
          </w:tcPr>
          <w:p w14:paraId="02E2797C" w14:textId="77777777" w:rsidR="009948F1" w:rsidRDefault="00BC0563">
            <w:pPr>
              <w:pStyle w:val="TableParagraph"/>
              <w:spacing w:before="2"/>
              <w:ind w:left="113"/>
              <w:rPr>
                <w:sz w:val="19"/>
              </w:rPr>
            </w:pPr>
            <w:r>
              <w:rPr>
                <w:color w:val="231F20"/>
                <w:sz w:val="19"/>
              </w:rPr>
              <w:t>5%</w:t>
            </w:r>
          </w:p>
        </w:tc>
        <w:tc>
          <w:tcPr>
            <w:tcW w:w="794" w:type="dxa"/>
          </w:tcPr>
          <w:p w14:paraId="455B4910" w14:textId="77777777" w:rsidR="009948F1" w:rsidRDefault="00BC0563">
            <w:pPr>
              <w:pStyle w:val="TableParagraph"/>
              <w:spacing w:before="2"/>
              <w:ind w:left="113"/>
              <w:rPr>
                <w:sz w:val="19"/>
              </w:rPr>
            </w:pPr>
            <w:r>
              <w:rPr>
                <w:color w:val="231F20"/>
                <w:sz w:val="19"/>
              </w:rPr>
              <w:t>10%</w:t>
            </w:r>
          </w:p>
        </w:tc>
        <w:tc>
          <w:tcPr>
            <w:tcW w:w="791" w:type="dxa"/>
          </w:tcPr>
          <w:p w14:paraId="5A0EBB70" w14:textId="77777777" w:rsidR="009948F1" w:rsidRDefault="00BC0563">
            <w:pPr>
              <w:pStyle w:val="TableParagraph"/>
              <w:spacing w:before="2"/>
              <w:ind w:left="113"/>
              <w:rPr>
                <w:sz w:val="19"/>
              </w:rPr>
            </w:pPr>
            <w:r>
              <w:rPr>
                <w:color w:val="231F20"/>
                <w:sz w:val="19"/>
              </w:rPr>
              <w:t>20%</w:t>
            </w:r>
          </w:p>
        </w:tc>
        <w:tc>
          <w:tcPr>
            <w:tcW w:w="794" w:type="dxa"/>
          </w:tcPr>
          <w:p w14:paraId="02399341" w14:textId="77777777" w:rsidR="009948F1" w:rsidRDefault="00BC0563">
            <w:pPr>
              <w:pStyle w:val="TableParagraph"/>
              <w:spacing w:before="2"/>
              <w:ind w:left="112"/>
              <w:rPr>
                <w:sz w:val="19"/>
              </w:rPr>
            </w:pPr>
            <w:r>
              <w:rPr>
                <w:color w:val="231F20"/>
                <w:sz w:val="19"/>
              </w:rPr>
              <w:t>30%</w:t>
            </w:r>
          </w:p>
        </w:tc>
        <w:tc>
          <w:tcPr>
            <w:tcW w:w="719" w:type="dxa"/>
          </w:tcPr>
          <w:p w14:paraId="75D2D6BD" w14:textId="77777777" w:rsidR="009948F1" w:rsidRDefault="00BC0563">
            <w:pPr>
              <w:pStyle w:val="TableParagraph"/>
              <w:spacing w:before="2"/>
              <w:ind w:left="112"/>
              <w:rPr>
                <w:sz w:val="19"/>
              </w:rPr>
            </w:pPr>
            <w:r>
              <w:rPr>
                <w:color w:val="231F20"/>
                <w:sz w:val="19"/>
              </w:rPr>
              <w:t>40%</w:t>
            </w:r>
          </w:p>
        </w:tc>
        <w:tc>
          <w:tcPr>
            <w:tcW w:w="995" w:type="dxa"/>
          </w:tcPr>
          <w:p w14:paraId="3484FE5C" w14:textId="77777777" w:rsidR="009948F1" w:rsidRDefault="00BC0563">
            <w:pPr>
              <w:pStyle w:val="TableParagraph"/>
              <w:spacing w:before="2"/>
              <w:ind w:left="111"/>
              <w:rPr>
                <w:sz w:val="19"/>
              </w:rPr>
            </w:pPr>
            <w:r>
              <w:rPr>
                <w:color w:val="231F20"/>
                <w:sz w:val="19"/>
              </w:rPr>
              <w:t>50%</w:t>
            </w:r>
          </w:p>
        </w:tc>
      </w:tr>
    </w:tbl>
    <w:p w14:paraId="532A2091" w14:textId="77777777" w:rsidR="009948F1" w:rsidRDefault="009948F1">
      <w:pPr>
        <w:pStyle w:val="BodyText"/>
        <w:spacing w:before="7"/>
        <w:rPr>
          <w:b/>
          <w:sz w:val="26"/>
        </w:rPr>
      </w:pPr>
    </w:p>
    <w:p w14:paraId="12303C4F" w14:textId="77777777" w:rsidR="009948F1" w:rsidRDefault="00BC0563">
      <w:pPr>
        <w:spacing w:before="1"/>
        <w:ind w:left="135"/>
        <w:rPr>
          <w:b/>
        </w:rPr>
      </w:pPr>
      <w:r>
        <w:rPr>
          <w:b/>
          <w:color w:val="231F20"/>
        </w:rPr>
        <w:t>Interventions:</w:t>
      </w:r>
    </w:p>
    <w:p w14:paraId="5F86702C" w14:textId="77777777" w:rsidR="009948F1" w:rsidRDefault="00BC0563">
      <w:pPr>
        <w:pStyle w:val="ListParagraph"/>
        <w:numPr>
          <w:ilvl w:val="3"/>
          <w:numId w:val="280"/>
        </w:numPr>
        <w:tabs>
          <w:tab w:val="left" w:pos="873"/>
        </w:tabs>
        <w:spacing w:before="23" w:line="261" w:lineRule="auto"/>
        <w:ind w:right="158" w:firstLine="0"/>
      </w:pPr>
      <w:r>
        <w:rPr>
          <w:color w:val="231F20"/>
        </w:rPr>
        <w:t xml:space="preserve">Promote the development/adaptation and implementation of regulatory framework, </w:t>
      </w:r>
      <w:r>
        <w:rPr>
          <w:color w:val="231F20"/>
          <w:spacing w:val="-3"/>
        </w:rPr>
        <w:t xml:space="preserve">policy </w:t>
      </w:r>
      <w:r>
        <w:rPr>
          <w:color w:val="231F20"/>
        </w:rPr>
        <w:t>and</w:t>
      </w:r>
      <w:r>
        <w:rPr>
          <w:color w:val="231F20"/>
          <w:spacing w:val="-5"/>
        </w:rPr>
        <w:t xml:space="preserve"> </w:t>
      </w:r>
      <w:r>
        <w:rPr>
          <w:color w:val="231F20"/>
        </w:rPr>
        <w:t>plans</w:t>
      </w:r>
      <w:r>
        <w:rPr>
          <w:color w:val="231F20"/>
          <w:spacing w:val="-4"/>
        </w:rPr>
        <w:t xml:space="preserve"> </w:t>
      </w:r>
      <w:r>
        <w:rPr>
          <w:color w:val="231F20"/>
        </w:rPr>
        <w:t>for</w:t>
      </w:r>
      <w:r>
        <w:rPr>
          <w:color w:val="231F20"/>
          <w:spacing w:val="-4"/>
        </w:rPr>
        <w:t xml:space="preserve"> </w:t>
      </w:r>
      <w:r>
        <w:rPr>
          <w:color w:val="231F20"/>
        </w:rPr>
        <w:t>Emergency</w:t>
      </w:r>
      <w:r>
        <w:rPr>
          <w:color w:val="231F20"/>
          <w:spacing w:val="-4"/>
        </w:rPr>
        <w:t xml:space="preserve"> </w:t>
      </w:r>
      <w:r>
        <w:rPr>
          <w:color w:val="231F20"/>
        </w:rPr>
        <w:t>Medical</w:t>
      </w:r>
      <w:r>
        <w:rPr>
          <w:color w:val="231F20"/>
          <w:spacing w:val="-4"/>
        </w:rPr>
        <w:t xml:space="preserve"> </w:t>
      </w:r>
      <w:r>
        <w:rPr>
          <w:color w:val="231F20"/>
        </w:rPr>
        <w:t>Services</w:t>
      </w:r>
      <w:r>
        <w:rPr>
          <w:color w:val="231F20"/>
          <w:spacing w:val="-4"/>
        </w:rPr>
        <w:t xml:space="preserve"> </w:t>
      </w:r>
      <w:r>
        <w:rPr>
          <w:color w:val="231F20"/>
        </w:rPr>
        <w:t>(EMS)</w:t>
      </w:r>
      <w:r>
        <w:rPr>
          <w:color w:val="231F20"/>
          <w:spacing w:val="-4"/>
        </w:rPr>
        <w:t xml:space="preserve"> </w:t>
      </w:r>
      <w:r>
        <w:rPr>
          <w:color w:val="231F20"/>
        </w:rPr>
        <w:t>across</w:t>
      </w:r>
      <w:r>
        <w:rPr>
          <w:color w:val="231F20"/>
          <w:spacing w:val="-4"/>
        </w:rPr>
        <w:t xml:space="preserve"> </w:t>
      </w:r>
      <w:r>
        <w:rPr>
          <w:color w:val="231F20"/>
        </w:rPr>
        <w:t>all</w:t>
      </w:r>
      <w:r>
        <w:rPr>
          <w:color w:val="231F20"/>
          <w:spacing w:val="-4"/>
        </w:rPr>
        <w:t xml:space="preserve"> </w:t>
      </w:r>
      <w:r>
        <w:rPr>
          <w:color w:val="231F20"/>
        </w:rPr>
        <w:t>levels</w:t>
      </w:r>
      <w:r>
        <w:rPr>
          <w:color w:val="231F20"/>
          <w:spacing w:val="-4"/>
        </w:rPr>
        <w:t xml:space="preserve"> </w:t>
      </w:r>
      <w:r>
        <w:rPr>
          <w:color w:val="231F20"/>
        </w:rPr>
        <w:t>of</w:t>
      </w:r>
      <w:r>
        <w:rPr>
          <w:color w:val="231F20"/>
          <w:spacing w:val="-4"/>
        </w:rPr>
        <w:t xml:space="preserve"> </w:t>
      </w:r>
      <w:r>
        <w:rPr>
          <w:color w:val="231F20"/>
        </w:rPr>
        <w:t>care.</w:t>
      </w:r>
      <w:r>
        <w:rPr>
          <w:color w:val="231F20"/>
          <w:spacing w:val="-4"/>
        </w:rPr>
        <w:t xml:space="preserve"> </w:t>
      </w:r>
      <w:r>
        <w:rPr>
          <w:color w:val="231F20"/>
        </w:rPr>
        <w:t>Key</w:t>
      </w:r>
      <w:r>
        <w:rPr>
          <w:color w:val="231F20"/>
          <w:spacing w:val="-5"/>
        </w:rPr>
        <w:t xml:space="preserve"> </w:t>
      </w:r>
      <w:r>
        <w:rPr>
          <w:color w:val="231F20"/>
        </w:rPr>
        <w:t>actions</w:t>
      </w:r>
      <w:r>
        <w:rPr>
          <w:color w:val="231F20"/>
          <w:spacing w:val="-4"/>
        </w:rPr>
        <w:t xml:space="preserve"> </w:t>
      </w:r>
      <w:r>
        <w:rPr>
          <w:color w:val="231F20"/>
        </w:rPr>
        <w:t>include;</w:t>
      </w:r>
      <w:r>
        <w:rPr>
          <w:color w:val="231F20"/>
          <w:spacing w:val="-4"/>
        </w:rPr>
        <w:t xml:space="preserve"> </w:t>
      </w:r>
      <w:r>
        <w:rPr>
          <w:color w:val="231F20"/>
        </w:rPr>
        <w:t xml:space="preserve">– Adapt national EMS policies, plans and guidelines on EMS services with support from </w:t>
      </w:r>
      <w:r>
        <w:rPr>
          <w:color w:val="231F20"/>
          <w:spacing w:val="-3"/>
        </w:rPr>
        <w:t xml:space="preserve">FMOH; </w:t>
      </w:r>
      <w:r>
        <w:rPr>
          <w:color w:val="231F20"/>
        </w:rPr>
        <w:t xml:space="preserve">Revamp the coordinating framework for EMS and ETS at state level; Strengthen </w:t>
      </w:r>
      <w:r>
        <w:rPr>
          <w:color w:val="231F20"/>
          <w:spacing w:val="-2"/>
        </w:rPr>
        <w:t xml:space="preserve">institutional </w:t>
      </w:r>
      <w:r>
        <w:rPr>
          <w:color w:val="231F20"/>
        </w:rPr>
        <w:t>structures for the implementation of the EMS and ETS services; Mobilize resources (Financial, human,</w:t>
      </w:r>
      <w:r>
        <w:rPr>
          <w:color w:val="231F20"/>
          <w:spacing w:val="-25"/>
        </w:rPr>
        <w:t xml:space="preserve"> </w:t>
      </w:r>
      <w:r>
        <w:rPr>
          <w:color w:val="231F20"/>
        </w:rPr>
        <w:t>infrastructure</w:t>
      </w:r>
      <w:r>
        <w:rPr>
          <w:color w:val="231F20"/>
          <w:spacing w:val="-26"/>
        </w:rPr>
        <w:t xml:space="preserve"> </w:t>
      </w:r>
      <w:r>
        <w:rPr>
          <w:color w:val="231F20"/>
        </w:rPr>
        <w:t>etc.)</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functioning</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EMS</w:t>
      </w:r>
      <w:r>
        <w:rPr>
          <w:color w:val="231F20"/>
          <w:spacing w:val="-25"/>
        </w:rPr>
        <w:t xml:space="preserve"> </w:t>
      </w:r>
      <w:r>
        <w:rPr>
          <w:color w:val="231F20"/>
        </w:rPr>
        <w:t>and</w:t>
      </w:r>
      <w:r>
        <w:rPr>
          <w:color w:val="231F20"/>
          <w:spacing w:val="-25"/>
        </w:rPr>
        <w:t xml:space="preserve"> </w:t>
      </w:r>
      <w:r>
        <w:rPr>
          <w:color w:val="231F20"/>
        </w:rPr>
        <w:t>ETS</w:t>
      </w:r>
      <w:r>
        <w:rPr>
          <w:color w:val="231F20"/>
          <w:spacing w:val="-25"/>
        </w:rPr>
        <w:t xml:space="preserve"> </w:t>
      </w:r>
      <w:r>
        <w:rPr>
          <w:color w:val="231F20"/>
        </w:rPr>
        <w:t>services.</w:t>
      </w:r>
    </w:p>
    <w:p w14:paraId="438A4125" w14:textId="77777777" w:rsidR="009948F1" w:rsidRDefault="009948F1">
      <w:pPr>
        <w:spacing w:line="261" w:lineRule="auto"/>
        <w:jc w:val="both"/>
        <w:sectPr w:rsidR="009948F1">
          <w:pgSz w:w="11910" w:h="16840"/>
          <w:pgMar w:top="1200" w:right="1080" w:bottom="1420" w:left="1120" w:header="0" w:footer="1235" w:gutter="0"/>
          <w:cols w:space="720"/>
        </w:sectPr>
      </w:pPr>
    </w:p>
    <w:p w14:paraId="29F1F745" w14:textId="77777777" w:rsidR="009948F1" w:rsidRDefault="00BC0563">
      <w:pPr>
        <w:pStyle w:val="ListParagraph"/>
        <w:numPr>
          <w:ilvl w:val="3"/>
          <w:numId w:val="280"/>
        </w:numPr>
        <w:tabs>
          <w:tab w:val="left" w:pos="913"/>
        </w:tabs>
        <w:spacing w:before="45"/>
        <w:ind w:left="178" w:right="221" w:firstLine="0"/>
      </w:pPr>
      <w:bookmarkStart w:id="81" w:name="Page_67"/>
      <w:bookmarkEnd w:id="81"/>
      <w:r>
        <w:rPr>
          <w:color w:val="231F20"/>
        </w:rPr>
        <w:lastRenderedPageBreak/>
        <w:t>Build capacity of health care providers for emergency medical services including</w:t>
      </w:r>
      <w:r>
        <w:rPr>
          <w:color w:val="231F20"/>
          <w:spacing w:val="-32"/>
        </w:rPr>
        <w:t xml:space="preserve"> </w:t>
      </w:r>
      <w:r>
        <w:rPr>
          <w:color w:val="231F20"/>
        </w:rPr>
        <w:t>training for first responders and ambulance drivers. The key actions include; - Conduct a needs assessment</w:t>
      </w:r>
      <w:r>
        <w:rPr>
          <w:color w:val="231F20"/>
          <w:spacing w:val="-8"/>
        </w:rPr>
        <w:t xml:space="preserve"> </w:t>
      </w:r>
      <w:r>
        <w:rPr>
          <w:color w:val="231F20"/>
        </w:rPr>
        <w:t>with</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HR</w:t>
      </w:r>
      <w:r>
        <w:rPr>
          <w:color w:val="231F20"/>
          <w:spacing w:val="-7"/>
        </w:rPr>
        <w:t xml:space="preserve"> </w:t>
      </w:r>
      <w:r>
        <w:rPr>
          <w:color w:val="231F20"/>
        </w:rPr>
        <w:t>gaps</w:t>
      </w:r>
      <w:r>
        <w:rPr>
          <w:color w:val="231F20"/>
          <w:spacing w:val="-7"/>
        </w:rPr>
        <w:t xml:space="preserve"> </w:t>
      </w:r>
      <w:r>
        <w:rPr>
          <w:color w:val="231F20"/>
        </w:rPr>
        <w:t>on</w:t>
      </w:r>
      <w:r>
        <w:rPr>
          <w:color w:val="231F20"/>
          <w:spacing w:val="-7"/>
        </w:rPr>
        <w:t xml:space="preserve"> </w:t>
      </w:r>
      <w:r>
        <w:rPr>
          <w:color w:val="231F20"/>
        </w:rPr>
        <w:t>EMS</w:t>
      </w:r>
      <w:r>
        <w:rPr>
          <w:color w:val="231F20"/>
          <w:spacing w:val="-7"/>
        </w:rPr>
        <w:t xml:space="preserve"> </w:t>
      </w:r>
      <w:r>
        <w:rPr>
          <w:color w:val="231F20"/>
        </w:rPr>
        <w:t>and</w:t>
      </w:r>
      <w:r>
        <w:rPr>
          <w:color w:val="231F20"/>
          <w:spacing w:val="-7"/>
        </w:rPr>
        <w:t xml:space="preserve"> </w:t>
      </w:r>
      <w:r>
        <w:rPr>
          <w:color w:val="231F20"/>
        </w:rPr>
        <w:t>ETS</w:t>
      </w:r>
      <w:r>
        <w:rPr>
          <w:color w:val="231F20"/>
          <w:spacing w:val="-7"/>
        </w:rPr>
        <w:t xml:space="preserve"> </w:t>
      </w:r>
      <w:r>
        <w:rPr>
          <w:color w:val="231F20"/>
        </w:rPr>
        <w:t>services;</w:t>
      </w:r>
      <w:r>
        <w:rPr>
          <w:color w:val="231F20"/>
          <w:spacing w:val="-7"/>
        </w:rPr>
        <w:t xml:space="preserve"> </w:t>
      </w:r>
      <w:r>
        <w:rPr>
          <w:color w:val="231F20"/>
        </w:rPr>
        <w:t>Develop</w:t>
      </w:r>
      <w:r>
        <w:rPr>
          <w:color w:val="231F20"/>
          <w:spacing w:val="-8"/>
        </w:rPr>
        <w:t xml:space="preserve"> </w:t>
      </w:r>
      <w:r>
        <w:rPr>
          <w:color w:val="231F20"/>
        </w:rPr>
        <w:t>and</w:t>
      </w:r>
      <w:r>
        <w:rPr>
          <w:color w:val="231F20"/>
          <w:spacing w:val="-7"/>
        </w:rPr>
        <w:t xml:space="preserve"> </w:t>
      </w:r>
      <w:r>
        <w:rPr>
          <w:color w:val="231F20"/>
        </w:rPr>
        <w:t>implement</w:t>
      </w:r>
      <w:r>
        <w:rPr>
          <w:color w:val="231F20"/>
          <w:spacing w:val="-7"/>
        </w:rPr>
        <w:t xml:space="preserve"> </w:t>
      </w:r>
      <w:r>
        <w:rPr>
          <w:color w:val="231F20"/>
        </w:rPr>
        <w:t xml:space="preserve">training </w:t>
      </w:r>
      <w:proofErr w:type="spellStart"/>
      <w:r>
        <w:rPr>
          <w:color w:val="231F20"/>
        </w:rPr>
        <w:t>programmes</w:t>
      </w:r>
      <w:proofErr w:type="spellEnd"/>
      <w:r>
        <w:rPr>
          <w:color w:val="231F20"/>
        </w:rPr>
        <w:t xml:space="preserve"> for EMS (Training of paramedics in basic and advanced life support, ETS drivers, EMS</w:t>
      </w:r>
      <w:r>
        <w:rPr>
          <w:color w:val="231F20"/>
          <w:spacing w:val="-25"/>
        </w:rPr>
        <w:t xml:space="preserve"> </w:t>
      </w:r>
      <w:r>
        <w:rPr>
          <w:color w:val="231F20"/>
        </w:rPr>
        <w:t>Doctors,</w:t>
      </w:r>
      <w:r>
        <w:rPr>
          <w:color w:val="231F20"/>
          <w:spacing w:val="-26"/>
        </w:rPr>
        <w:t xml:space="preserve"> </w:t>
      </w:r>
      <w:r>
        <w:rPr>
          <w:color w:val="231F20"/>
        </w:rPr>
        <w:t>Nurses</w:t>
      </w:r>
      <w:r>
        <w:rPr>
          <w:color w:val="231F20"/>
          <w:spacing w:val="-25"/>
        </w:rPr>
        <w:t xml:space="preserve"> </w:t>
      </w:r>
      <w:r>
        <w:rPr>
          <w:color w:val="231F20"/>
        </w:rPr>
        <w:t>and</w:t>
      </w:r>
      <w:r>
        <w:rPr>
          <w:color w:val="231F20"/>
          <w:spacing w:val="-25"/>
        </w:rPr>
        <w:t xml:space="preserve"> </w:t>
      </w:r>
      <w:r>
        <w:rPr>
          <w:color w:val="231F20"/>
        </w:rPr>
        <w:t>other</w:t>
      </w:r>
      <w:r>
        <w:rPr>
          <w:color w:val="231F20"/>
          <w:spacing w:val="-25"/>
        </w:rPr>
        <w:t xml:space="preserve"> </w:t>
      </w:r>
      <w:r>
        <w:rPr>
          <w:color w:val="231F20"/>
        </w:rPr>
        <w:t>relevant</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workers).</w:t>
      </w:r>
    </w:p>
    <w:p w14:paraId="42A7C8D7" w14:textId="77777777" w:rsidR="009948F1" w:rsidRDefault="009948F1">
      <w:pPr>
        <w:pStyle w:val="BodyText"/>
        <w:spacing w:before="11"/>
        <w:rPr>
          <w:sz w:val="25"/>
        </w:rPr>
      </w:pPr>
    </w:p>
    <w:p w14:paraId="39D0B17A" w14:textId="77777777" w:rsidR="009948F1" w:rsidRDefault="00BC0563">
      <w:pPr>
        <w:pStyle w:val="ListParagraph"/>
        <w:numPr>
          <w:ilvl w:val="3"/>
          <w:numId w:val="280"/>
        </w:numPr>
        <w:tabs>
          <w:tab w:val="left" w:pos="931"/>
        </w:tabs>
        <w:spacing w:line="261" w:lineRule="auto"/>
        <w:ind w:left="178" w:right="221" w:firstLine="0"/>
      </w:pPr>
      <w:r>
        <w:rPr>
          <w:color w:val="231F20"/>
        </w:rPr>
        <w:t xml:space="preserve">Create/Strengthen coordination of various emergency medical services (NEMA/SEMA, Police, Public, Private </w:t>
      </w:r>
      <w:proofErr w:type="spellStart"/>
      <w:r>
        <w:rPr>
          <w:color w:val="231F20"/>
        </w:rPr>
        <w:t>etc</w:t>
      </w:r>
      <w:proofErr w:type="spellEnd"/>
      <w:r>
        <w:rPr>
          <w:color w:val="231F20"/>
        </w:rPr>
        <w:t xml:space="preserve">). Key activities here are – Establish a coordinating framework </w:t>
      </w:r>
      <w:r>
        <w:rPr>
          <w:color w:val="231F20"/>
          <w:spacing w:val="-4"/>
        </w:rPr>
        <w:t xml:space="preserve">for </w:t>
      </w:r>
      <w:r>
        <w:rPr>
          <w:color w:val="231F20"/>
        </w:rPr>
        <w:t>harmonization, integration and alignment of all public sector medical emergency services; Promote</w:t>
      </w:r>
      <w:r>
        <w:rPr>
          <w:color w:val="231F20"/>
          <w:spacing w:val="-25"/>
        </w:rPr>
        <w:t xml:space="preserve"> </w:t>
      </w:r>
      <w:r>
        <w:rPr>
          <w:color w:val="231F20"/>
        </w:rPr>
        <w:t>PPP</w:t>
      </w:r>
      <w:r>
        <w:rPr>
          <w:color w:val="231F20"/>
          <w:spacing w:val="-29"/>
        </w:rPr>
        <w:t xml:space="preserve"> </w:t>
      </w:r>
      <w:r>
        <w:rPr>
          <w:color w:val="231F20"/>
        </w:rPr>
        <w:t>in</w:t>
      </w:r>
      <w:r>
        <w:rPr>
          <w:color w:val="231F20"/>
          <w:spacing w:val="-25"/>
        </w:rPr>
        <w:t xml:space="preserve"> </w:t>
      </w:r>
      <w:r>
        <w:rPr>
          <w:color w:val="231F20"/>
        </w:rPr>
        <w:t>EMS</w:t>
      </w:r>
      <w:r>
        <w:rPr>
          <w:color w:val="231F20"/>
          <w:spacing w:val="-25"/>
        </w:rPr>
        <w:t xml:space="preserve"> </w:t>
      </w:r>
      <w:r>
        <w:rPr>
          <w:color w:val="231F20"/>
        </w:rPr>
        <w:t>and</w:t>
      </w:r>
      <w:r>
        <w:rPr>
          <w:color w:val="231F20"/>
          <w:spacing w:val="-25"/>
        </w:rPr>
        <w:t xml:space="preserve"> </w:t>
      </w:r>
      <w:r>
        <w:rPr>
          <w:color w:val="231F20"/>
        </w:rPr>
        <w:t>ETS</w:t>
      </w:r>
      <w:r>
        <w:rPr>
          <w:color w:val="231F20"/>
          <w:spacing w:val="-25"/>
        </w:rPr>
        <w:t xml:space="preserve"> </w:t>
      </w:r>
      <w:r>
        <w:rPr>
          <w:color w:val="231F20"/>
        </w:rPr>
        <w:t>services.</w:t>
      </w:r>
    </w:p>
    <w:p w14:paraId="16357934" w14:textId="77777777" w:rsidR="009948F1" w:rsidRDefault="009948F1">
      <w:pPr>
        <w:pStyle w:val="BodyText"/>
        <w:spacing w:before="1"/>
        <w:rPr>
          <w:sz w:val="24"/>
        </w:rPr>
      </w:pPr>
    </w:p>
    <w:p w14:paraId="1C77783D" w14:textId="77777777" w:rsidR="009948F1" w:rsidRDefault="00BC0563">
      <w:pPr>
        <w:pStyle w:val="ListParagraph"/>
        <w:numPr>
          <w:ilvl w:val="3"/>
          <w:numId w:val="280"/>
        </w:numPr>
        <w:tabs>
          <w:tab w:val="left" w:pos="913"/>
        </w:tabs>
        <w:spacing w:line="261" w:lineRule="auto"/>
        <w:ind w:left="178" w:right="223" w:firstLine="0"/>
      </w:pPr>
      <w:r>
        <w:rPr>
          <w:color w:val="231F20"/>
        </w:rPr>
        <w:t xml:space="preserve">Promote demand for appropriate use of medical services. Key activities include; - </w:t>
      </w:r>
      <w:r>
        <w:rPr>
          <w:color w:val="231F20"/>
          <w:spacing w:val="-3"/>
        </w:rPr>
        <w:t xml:space="preserve">Public </w:t>
      </w:r>
      <w:r>
        <w:rPr>
          <w:color w:val="231F20"/>
        </w:rPr>
        <w:t>enlightenment</w:t>
      </w:r>
      <w:r>
        <w:rPr>
          <w:color w:val="231F20"/>
          <w:spacing w:val="-26"/>
        </w:rPr>
        <w:t xml:space="preserve"> </w:t>
      </w:r>
      <w:r>
        <w:rPr>
          <w:color w:val="231F20"/>
        </w:rPr>
        <w:t>through</w:t>
      </w:r>
      <w:r>
        <w:rPr>
          <w:color w:val="231F20"/>
          <w:spacing w:val="-25"/>
        </w:rPr>
        <w:t xml:space="preserve"> </w:t>
      </w:r>
      <w:r>
        <w:rPr>
          <w:color w:val="231F20"/>
        </w:rPr>
        <w:t>multi-media</w:t>
      </w:r>
      <w:r>
        <w:rPr>
          <w:color w:val="231F20"/>
          <w:spacing w:val="-25"/>
        </w:rPr>
        <w:t xml:space="preserve"> </w:t>
      </w:r>
      <w:r>
        <w:rPr>
          <w:color w:val="231F20"/>
        </w:rPr>
        <w:t>approach</w:t>
      </w:r>
      <w:r>
        <w:rPr>
          <w:color w:val="231F20"/>
          <w:spacing w:val="-25"/>
        </w:rPr>
        <w:t xml:space="preserve"> </w:t>
      </w:r>
      <w:r>
        <w:rPr>
          <w:color w:val="231F20"/>
        </w:rPr>
        <w:t>on</w:t>
      </w:r>
      <w:r>
        <w:rPr>
          <w:color w:val="231F20"/>
          <w:spacing w:val="-25"/>
        </w:rPr>
        <w:t xml:space="preserve"> </w:t>
      </w:r>
      <w:r>
        <w:rPr>
          <w:color w:val="231F20"/>
        </w:rPr>
        <w:t>use</w:t>
      </w:r>
      <w:r>
        <w:rPr>
          <w:color w:val="231F20"/>
          <w:spacing w:val="-25"/>
        </w:rPr>
        <w:t xml:space="preserve"> </w:t>
      </w:r>
      <w:r>
        <w:rPr>
          <w:color w:val="231F20"/>
        </w:rPr>
        <w:t>of</w:t>
      </w:r>
      <w:r>
        <w:rPr>
          <w:color w:val="231F20"/>
          <w:spacing w:val="-25"/>
        </w:rPr>
        <w:t xml:space="preserve"> </w:t>
      </w:r>
      <w:r>
        <w:rPr>
          <w:color w:val="231F20"/>
        </w:rPr>
        <w:t>emergency</w:t>
      </w:r>
      <w:r>
        <w:rPr>
          <w:color w:val="231F20"/>
          <w:spacing w:val="-25"/>
        </w:rPr>
        <w:t xml:space="preserve"> </w:t>
      </w:r>
      <w:r>
        <w:rPr>
          <w:color w:val="231F20"/>
        </w:rPr>
        <w:t>and</w:t>
      </w:r>
      <w:r>
        <w:rPr>
          <w:color w:val="231F20"/>
          <w:spacing w:val="-25"/>
        </w:rPr>
        <w:t xml:space="preserve"> </w:t>
      </w:r>
      <w:r>
        <w:rPr>
          <w:color w:val="231F20"/>
        </w:rPr>
        <w:t>trauma</w:t>
      </w:r>
      <w:r>
        <w:rPr>
          <w:color w:val="231F20"/>
          <w:spacing w:val="-25"/>
        </w:rPr>
        <w:t xml:space="preserve"> </w:t>
      </w:r>
      <w:r>
        <w:rPr>
          <w:color w:val="231F20"/>
        </w:rPr>
        <w:t>care</w:t>
      </w:r>
      <w:r>
        <w:rPr>
          <w:color w:val="231F20"/>
          <w:spacing w:val="-25"/>
        </w:rPr>
        <w:t xml:space="preserve"> </w:t>
      </w:r>
      <w:r>
        <w:rPr>
          <w:color w:val="231F20"/>
        </w:rPr>
        <w:t>services.</w:t>
      </w:r>
    </w:p>
    <w:p w14:paraId="2E4C866A" w14:textId="77777777" w:rsidR="009948F1" w:rsidRDefault="009948F1">
      <w:pPr>
        <w:pStyle w:val="BodyText"/>
      </w:pPr>
    </w:p>
    <w:p w14:paraId="48CD6A92" w14:textId="77777777" w:rsidR="009948F1" w:rsidRDefault="009948F1">
      <w:pPr>
        <w:pStyle w:val="BodyText"/>
        <w:spacing w:before="7"/>
        <w:rPr>
          <w:sz w:val="21"/>
        </w:rPr>
      </w:pPr>
    </w:p>
    <w:p w14:paraId="0B7E499F" w14:textId="77777777" w:rsidR="009948F1" w:rsidRDefault="00BC0563">
      <w:pPr>
        <w:pStyle w:val="Heading6"/>
        <w:numPr>
          <w:ilvl w:val="2"/>
          <w:numId w:val="280"/>
        </w:numPr>
        <w:tabs>
          <w:tab w:val="left" w:pos="933"/>
        </w:tabs>
        <w:spacing w:line="278" w:lineRule="auto"/>
        <w:ind w:left="301" w:right="311" w:firstLine="0"/>
        <w:jc w:val="left"/>
        <w:rPr>
          <w:color w:val="231F20"/>
        </w:rPr>
      </w:pPr>
      <w:r>
        <w:rPr>
          <w:color w:val="231F20"/>
        </w:rPr>
        <w:t xml:space="preserve">Increase provision and access to </w:t>
      </w:r>
      <w:r>
        <w:rPr>
          <w:color w:val="231F20"/>
          <w:spacing w:val="-3"/>
        </w:rPr>
        <w:t xml:space="preserve">quality, </w:t>
      </w:r>
      <w:r>
        <w:rPr>
          <w:color w:val="231F20"/>
        </w:rPr>
        <w:t>affordable &amp; integrated Emergency Medical Services</w:t>
      </w:r>
    </w:p>
    <w:p w14:paraId="06DAFF6E" w14:textId="77777777" w:rsidR="009948F1" w:rsidRDefault="00BC0563">
      <w:pPr>
        <w:spacing w:before="2" w:after="45"/>
        <w:ind w:left="301"/>
        <w:rPr>
          <w:b/>
          <w:sz w:val="23"/>
        </w:rPr>
      </w:pPr>
      <w:r>
        <w:rPr>
          <w:b/>
          <w:color w:val="231F20"/>
          <w:sz w:val="23"/>
        </w:rPr>
        <w:t>Targets</w:t>
      </w:r>
    </w:p>
    <w:tbl>
      <w:tblPr>
        <w:tblW w:w="0" w:type="auto"/>
        <w:tblInd w:w="19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195"/>
        <w:gridCol w:w="1198"/>
        <w:gridCol w:w="788"/>
        <w:gridCol w:w="788"/>
        <w:gridCol w:w="788"/>
        <w:gridCol w:w="785"/>
        <w:gridCol w:w="651"/>
        <w:gridCol w:w="1046"/>
      </w:tblGrid>
      <w:tr w:rsidR="009948F1" w14:paraId="6BE4F12A" w14:textId="77777777">
        <w:trPr>
          <w:trHeight w:val="212"/>
        </w:trPr>
        <w:tc>
          <w:tcPr>
            <w:tcW w:w="3195" w:type="dxa"/>
            <w:shd w:val="clear" w:color="auto" w:fill="F4CEB2"/>
          </w:tcPr>
          <w:p w14:paraId="1A85C7F3" w14:textId="77777777" w:rsidR="009948F1" w:rsidRDefault="00BC0563">
            <w:pPr>
              <w:pStyle w:val="TableParagraph"/>
              <w:spacing w:line="193" w:lineRule="exact"/>
              <w:ind w:left="111"/>
              <w:rPr>
                <w:sz w:val="19"/>
              </w:rPr>
            </w:pPr>
            <w:r>
              <w:rPr>
                <w:color w:val="231F20"/>
                <w:sz w:val="19"/>
              </w:rPr>
              <w:t>Targets</w:t>
            </w:r>
          </w:p>
        </w:tc>
        <w:tc>
          <w:tcPr>
            <w:tcW w:w="1198" w:type="dxa"/>
            <w:shd w:val="clear" w:color="auto" w:fill="F4CEB2"/>
          </w:tcPr>
          <w:p w14:paraId="19547678" w14:textId="77777777" w:rsidR="009948F1" w:rsidRDefault="00BC0563">
            <w:pPr>
              <w:pStyle w:val="TableParagraph"/>
              <w:spacing w:line="193" w:lineRule="exact"/>
              <w:ind w:left="111"/>
              <w:rPr>
                <w:sz w:val="19"/>
              </w:rPr>
            </w:pPr>
            <w:r>
              <w:rPr>
                <w:color w:val="231F20"/>
                <w:sz w:val="19"/>
              </w:rPr>
              <w:t>Baseline</w:t>
            </w:r>
          </w:p>
        </w:tc>
        <w:tc>
          <w:tcPr>
            <w:tcW w:w="788" w:type="dxa"/>
            <w:shd w:val="clear" w:color="auto" w:fill="F4CEB2"/>
          </w:tcPr>
          <w:p w14:paraId="58518E1E" w14:textId="77777777" w:rsidR="009948F1" w:rsidRDefault="00BC0563">
            <w:pPr>
              <w:pStyle w:val="TableParagraph"/>
              <w:spacing w:line="193" w:lineRule="exact"/>
              <w:ind w:left="110"/>
              <w:rPr>
                <w:b/>
                <w:sz w:val="19"/>
              </w:rPr>
            </w:pPr>
            <w:r>
              <w:rPr>
                <w:b/>
                <w:color w:val="231F20"/>
                <w:sz w:val="19"/>
              </w:rPr>
              <w:t>2018</w:t>
            </w:r>
          </w:p>
        </w:tc>
        <w:tc>
          <w:tcPr>
            <w:tcW w:w="788" w:type="dxa"/>
            <w:shd w:val="clear" w:color="auto" w:fill="F4CEB2"/>
          </w:tcPr>
          <w:p w14:paraId="4BC5FB66" w14:textId="77777777" w:rsidR="009948F1" w:rsidRDefault="00BC0563">
            <w:pPr>
              <w:pStyle w:val="TableParagraph"/>
              <w:spacing w:line="193" w:lineRule="exact"/>
              <w:ind w:left="110"/>
              <w:rPr>
                <w:b/>
                <w:sz w:val="19"/>
              </w:rPr>
            </w:pPr>
            <w:r>
              <w:rPr>
                <w:b/>
                <w:color w:val="231F20"/>
                <w:sz w:val="19"/>
              </w:rPr>
              <w:t>2019</w:t>
            </w:r>
          </w:p>
        </w:tc>
        <w:tc>
          <w:tcPr>
            <w:tcW w:w="788" w:type="dxa"/>
            <w:shd w:val="clear" w:color="auto" w:fill="F4CEB2"/>
          </w:tcPr>
          <w:p w14:paraId="054A647B" w14:textId="77777777" w:rsidR="009948F1" w:rsidRDefault="00BC0563">
            <w:pPr>
              <w:pStyle w:val="TableParagraph"/>
              <w:spacing w:line="193" w:lineRule="exact"/>
              <w:ind w:left="109"/>
              <w:rPr>
                <w:b/>
                <w:sz w:val="19"/>
              </w:rPr>
            </w:pPr>
            <w:r>
              <w:rPr>
                <w:b/>
                <w:color w:val="231F20"/>
                <w:sz w:val="19"/>
              </w:rPr>
              <w:t>2020</w:t>
            </w:r>
          </w:p>
        </w:tc>
        <w:tc>
          <w:tcPr>
            <w:tcW w:w="785" w:type="dxa"/>
            <w:shd w:val="clear" w:color="auto" w:fill="F4CEB2"/>
          </w:tcPr>
          <w:p w14:paraId="11FD6FCB" w14:textId="77777777" w:rsidR="009948F1" w:rsidRDefault="00BC0563">
            <w:pPr>
              <w:pStyle w:val="TableParagraph"/>
              <w:spacing w:line="193" w:lineRule="exact"/>
              <w:ind w:left="106"/>
              <w:rPr>
                <w:b/>
                <w:sz w:val="19"/>
              </w:rPr>
            </w:pPr>
            <w:r>
              <w:rPr>
                <w:b/>
                <w:color w:val="231F20"/>
                <w:sz w:val="19"/>
              </w:rPr>
              <w:t>2021</w:t>
            </w:r>
          </w:p>
        </w:tc>
        <w:tc>
          <w:tcPr>
            <w:tcW w:w="651" w:type="dxa"/>
            <w:shd w:val="clear" w:color="auto" w:fill="F4CEB2"/>
          </w:tcPr>
          <w:p w14:paraId="42B67F8F" w14:textId="77777777" w:rsidR="009948F1" w:rsidRDefault="00BC0563">
            <w:pPr>
              <w:pStyle w:val="TableParagraph"/>
              <w:spacing w:line="193" w:lineRule="exact"/>
              <w:ind w:left="108"/>
              <w:rPr>
                <w:b/>
                <w:sz w:val="19"/>
              </w:rPr>
            </w:pPr>
            <w:r>
              <w:rPr>
                <w:b/>
                <w:color w:val="231F20"/>
                <w:sz w:val="19"/>
              </w:rPr>
              <w:t>2022</w:t>
            </w:r>
          </w:p>
        </w:tc>
        <w:tc>
          <w:tcPr>
            <w:tcW w:w="1046" w:type="dxa"/>
            <w:shd w:val="clear" w:color="auto" w:fill="F4CEB2"/>
          </w:tcPr>
          <w:p w14:paraId="6E486F5B" w14:textId="77777777" w:rsidR="009948F1" w:rsidRDefault="00BC0563">
            <w:pPr>
              <w:pStyle w:val="TableParagraph"/>
              <w:spacing w:line="193" w:lineRule="exact"/>
              <w:ind w:left="108"/>
              <w:rPr>
                <w:b/>
                <w:sz w:val="19"/>
              </w:rPr>
            </w:pPr>
            <w:r>
              <w:rPr>
                <w:b/>
                <w:color w:val="231F20"/>
                <w:sz w:val="19"/>
              </w:rPr>
              <w:t>National</w:t>
            </w:r>
          </w:p>
        </w:tc>
      </w:tr>
      <w:tr w:rsidR="009948F1" w14:paraId="64EE754D" w14:textId="77777777">
        <w:trPr>
          <w:trHeight w:val="871"/>
        </w:trPr>
        <w:tc>
          <w:tcPr>
            <w:tcW w:w="3195" w:type="dxa"/>
          </w:tcPr>
          <w:p w14:paraId="4904C2E1" w14:textId="77777777" w:rsidR="009948F1" w:rsidRDefault="00BC0563">
            <w:pPr>
              <w:pStyle w:val="TableParagraph"/>
              <w:ind w:left="111" w:right="123"/>
              <w:rPr>
                <w:sz w:val="19"/>
              </w:rPr>
            </w:pPr>
            <w:r>
              <w:rPr>
                <w:color w:val="231F20"/>
                <w:sz w:val="19"/>
              </w:rPr>
              <w:t xml:space="preserve">Does state have dedicated </w:t>
            </w:r>
            <w:proofErr w:type="spellStart"/>
            <w:r>
              <w:rPr>
                <w:color w:val="231F20"/>
                <w:sz w:val="19"/>
              </w:rPr>
              <w:t>centres</w:t>
            </w:r>
            <w:proofErr w:type="spellEnd"/>
            <w:r>
              <w:rPr>
                <w:color w:val="231F20"/>
                <w:sz w:val="19"/>
              </w:rPr>
              <w:t xml:space="preserve"> for integrated emergency medical service</w:t>
            </w:r>
          </w:p>
        </w:tc>
        <w:tc>
          <w:tcPr>
            <w:tcW w:w="1198" w:type="dxa"/>
          </w:tcPr>
          <w:p w14:paraId="56B51DDC" w14:textId="77777777" w:rsidR="009948F1" w:rsidRDefault="00BC0563">
            <w:pPr>
              <w:pStyle w:val="TableParagraph"/>
              <w:spacing w:line="215" w:lineRule="exact"/>
              <w:ind w:left="111"/>
              <w:rPr>
                <w:sz w:val="19"/>
              </w:rPr>
            </w:pPr>
            <w:r>
              <w:rPr>
                <w:color w:val="231F20"/>
                <w:sz w:val="19"/>
              </w:rPr>
              <w:t>TBD</w:t>
            </w:r>
          </w:p>
        </w:tc>
        <w:tc>
          <w:tcPr>
            <w:tcW w:w="788" w:type="dxa"/>
          </w:tcPr>
          <w:p w14:paraId="7D475EE1" w14:textId="77777777" w:rsidR="009948F1" w:rsidRDefault="00BC0563">
            <w:pPr>
              <w:pStyle w:val="TableParagraph"/>
              <w:spacing w:line="215" w:lineRule="exact"/>
              <w:ind w:left="110"/>
              <w:rPr>
                <w:sz w:val="19"/>
              </w:rPr>
            </w:pPr>
            <w:r>
              <w:rPr>
                <w:color w:val="231F20"/>
                <w:sz w:val="19"/>
              </w:rPr>
              <w:t>1%</w:t>
            </w:r>
          </w:p>
        </w:tc>
        <w:tc>
          <w:tcPr>
            <w:tcW w:w="788" w:type="dxa"/>
          </w:tcPr>
          <w:p w14:paraId="360FD566" w14:textId="77777777" w:rsidR="009948F1" w:rsidRDefault="00BC0563">
            <w:pPr>
              <w:pStyle w:val="TableParagraph"/>
              <w:spacing w:line="215" w:lineRule="exact"/>
              <w:ind w:left="110"/>
              <w:rPr>
                <w:sz w:val="19"/>
              </w:rPr>
            </w:pPr>
            <w:r>
              <w:rPr>
                <w:color w:val="231F20"/>
                <w:sz w:val="19"/>
              </w:rPr>
              <w:t>10%</w:t>
            </w:r>
          </w:p>
        </w:tc>
        <w:tc>
          <w:tcPr>
            <w:tcW w:w="788" w:type="dxa"/>
          </w:tcPr>
          <w:p w14:paraId="187A870B" w14:textId="77777777" w:rsidR="009948F1" w:rsidRDefault="00BC0563">
            <w:pPr>
              <w:pStyle w:val="TableParagraph"/>
              <w:spacing w:line="215" w:lineRule="exact"/>
              <w:ind w:left="109"/>
              <w:rPr>
                <w:sz w:val="19"/>
              </w:rPr>
            </w:pPr>
            <w:r>
              <w:rPr>
                <w:color w:val="231F20"/>
                <w:sz w:val="19"/>
              </w:rPr>
              <w:t>20%</w:t>
            </w:r>
          </w:p>
        </w:tc>
        <w:tc>
          <w:tcPr>
            <w:tcW w:w="785" w:type="dxa"/>
          </w:tcPr>
          <w:p w14:paraId="2F9B746F" w14:textId="77777777" w:rsidR="009948F1" w:rsidRDefault="00BC0563">
            <w:pPr>
              <w:pStyle w:val="TableParagraph"/>
              <w:spacing w:line="215" w:lineRule="exact"/>
              <w:ind w:left="106"/>
              <w:rPr>
                <w:sz w:val="19"/>
              </w:rPr>
            </w:pPr>
            <w:r>
              <w:rPr>
                <w:color w:val="231F20"/>
                <w:sz w:val="19"/>
              </w:rPr>
              <w:t>30%</w:t>
            </w:r>
          </w:p>
        </w:tc>
        <w:tc>
          <w:tcPr>
            <w:tcW w:w="651" w:type="dxa"/>
          </w:tcPr>
          <w:p w14:paraId="79CE8C14" w14:textId="77777777" w:rsidR="009948F1" w:rsidRDefault="00BC0563">
            <w:pPr>
              <w:pStyle w:val="TableParagraph"/>
              <w:spacing w:line="215" w:lineRule="exact"/>
              <w:ind w:left="108"/>
              <w:rPr>
                <w:sz w:val="19"/>
              </w:rPr>
            </w:pPr>
            <w:r>
              <w:rPr>
                <w:color w:val="231F20"/>
                <w:sz w:val="19"/>
              </w:rPr>
              <w:t>40%</w:t>
            </w:r>
          </w:p>
        </w:tc>
        <w:tc>
          <w:tcPr>
            <w:tcW w:w="1046" w:type="dxa"/>
          </w:tcPr>
          <w:p w14:paraId="03E0DF98" w14:textId="77777777" w:rsidR="009948F1" w:rsidRDefault="00BC0563">
            <w:pPr>
              <w:pStyle w:val="TableParagraph"/>
              <w:spacing w:line="215" w:lineRule="exact"/>
              <w:ind w:left="108"/>
              <w:rPr>
                <w:sz w:val="19"/>
              </w:rPr>
            </w:pPr>
            <w:r>
              <w:rPr>
                <w:color w:val="231F20"/>
                <w:sz w:val="19"/>
              </w:rPr>
              <w:t>80%</w:t>
            </w:r>
          </w:p>
        </w:tc>
      </w:tr>
    </w:tbl>
    <w:p w14:paraId="2B16F5D2" w14:textId="77777777" w:rsidR="009948F1" w:rsidRDefault="009948F1">
      <w:pPr>
        <w:pStyle w:val="BodyText"/>
        <w:spacing w:before="1"/>
        <w:rPr>
          <w:b/>
          <w:sz w:val="20"/>
        </w:rPr>
      </w:pPr>
    </w:p>
    <w:p w14:paraId="2AE153E1" w14:textId="77777777" w:rsidR="009948F1" w:rsidRDefault="00BC0563">
      <w:pPr>
        <w:pStyle w:val="Heading7"/>
        <w:spacing w:before="1"/>
        <w:ind w:left="143"/>
      </w:pPr>
      <w:r>
        <w:rPr>
          <w:color w:val="231F20"/>
        </w:rPr>
        <w:t>Interventions:</w:t>
      </w:r>
    </w:p>
    <w:p w14:paraId="215BA95E" w14:textId="77777777" w:rsidR="009948F1" w:rsidRDefault="00BC0563">
      <w:pPr>
        <w:pStyle w:val="ListParagraph"/>
        <w:numPr>
          <w:ilvl w:val="3"/>
          <w:numId w:val="279"/>
        </w:numPr>
        <w:tabs>
          <w:tab w:val="left" w:pos="818"/>
        </w:tabs>
        <w:spacing w:before="23" w:line="261" w:lineRule="auto"/>
        <w:ind w:right="235" w:firstLine="0"/>
      </w:pPr>
      <w:r>
        <w:rPr>
          <w:color w:val="231F20"/>
        </w:rPr>
        <w:t xml:space="preserve">Ensure provision and access to emergency medical services. Key actions include; </w:t>
      </w:r>
      <w:r>
        <w:rPr>
          <w:color w:val="231F20"/>
          <w:spacing w:val="-15"/>
        </w:rPr>
        <w:t xml:space="preserve">– </w:t>
      </w:r>
      <w:r>
        <w:rPr>
          <w:color w:val="231F20"/>
        </w:rPr>
        <w:t>Provide</w:t>
      </w:r>
      <w:r>
        <w:rPr>
          <w:color w:val="231F20"/>
          <w:spacing w:val="-8"/>
        </w:rPr>
        <w:t xml:space="preserve"> </w:t>
      </w:r>
      <w:r>
        <w:rPr>
          <w:color w:val="231F20"/>
        </w:rPr>
        <w:t>reliable</w:t>
      </w:r>
      <w:r>
        <w:rPr>
          <w:color w:val="231F20"/>
          <w:spacing w:val="-7"/>
        </w:rPr>
        <w:t xml:space="preserve"> </w:t>
      </w:r>
      <w:r>
        <w:rPr>
          <w:color w:val="231F20"/>
        </w:rPr>
        <w:t>community-based</w:t>
      </w:r>
      <w:r>
        <w:rPr>
          <w:color w:val="231F20"/>
          <w:spacing w:val="-7"/>
        </w:rPr>
        <w:t xml:space="preserve"> </w:t>
      </w:r>
      <w:r>
        <w:rPr>
          <w:color w:val="231F20"/>
        </w:rPr>
        <w:t>transport</w:t>
      </w:r>
      <w:r>
        <w:rPr>
          <w:color w:val="231F20"/>
          <w:spacing w:val="-7"/>
        </w:rPr>
        <w:t xml:space="preserve"> </w:t>
      </w:r>
      <w:r>
        <w:rPr>
          <w:color w:val="231F20"/>
        </w:rPr>
        <w:t>system</w:t>
      </w:r>
      <w:r>
        <w:rPr>
          <w:color w:val="231F20"/>
          <w:spacing w:val="-7"/>
        </w:rPr>
        <w:t xml:space="preserve"> </w:t>
      </w:r>
      <w:r>
        <w:rPr>
          <w:color w:val="231F20"/>
        </w:rPr>
        <w:t>in</w:t>
      </w:r>
      <w:r>
        <w:rPr>
          <w:color w:val="231F20"/>
          <w:spacing w:val="-7"/>
        </w:rPr>
        <w:t xml:space="preserve"> </w:t>
      </w:r>
      <w:r>
        <w:rPr>
          <w:color w:val="231F20"/>
        </w:rPr>
        <w:t>emergencies</w:t>
      </w:r>
      <w:r>
        <w:rPr>
          <w:color w:val="231F20"/>
          <w:spacing w:val="-7"/>
        </w:rPr>
        <w:t xml:space="preserve"> </w:t>
      </w:r>
      <w:r>
        <w:rPr>
          <w:color w:val="231F20"/>
        </w:rPr>
        <w:t>in</w:t>
      </w:r>
      <w:r>
        <w:rPr>
          <w:color w:val="231F20"/>
          <w:spacing w:val="-7"/>
        </w:rPr>
        <w:t xml:space="preserve"> </w:t>
      </w:r>
      <w:r>
        <w:rPr>
          <w:color w:val="231F20"/>
        </w:rPr>
        <w:t>all</w:t>
      </w:r>
      <w:r>
        <w:rPr>
          <w:color w:val="231F20"/>
          <w:spacing w:val="-7"/>
        </w:rPr>
        <w:t xml:space="preserve"> </w:t>
      </w:r>
      <w:r>
        <w:rPr>
          <w:color w:val="231F20"/>
        </w:rPr>
        <w:t>HFs;</w:t>
      </w:r>
      <w:r>
        <w:rPr>
          <w:color w:val="231F20"/>
          <w:spacing w:val="-8"/>
        </w:rPr>
        <w:t xml:space="preserve"> </w:t>
      </w:r>
      <w:r>
        <w:rPr>
          <w:color w:val="231F20"/>
        </w:rPr>
        <w:t>Operating</w:t>
      </w:r>
      <w:r>
        <w:rPr>
          <w:color w:val="231F20"/>
          <w:spacing w:val="-7"/>
        </w:rPr>
        <w:t xml:space="preserve"> </w:t>
      </w:r>
      <w:r>
        <w:rPr>
          <w:color w:val="231F20"/>
        </w:rPr>
        <w:t>cost</w:t>
      </w:r>
      <w:r>
        <w:rPr>
          <w:color w:val="231F20"/>
          <w:spacing w:val="-7"/>
        </w:rPr>
        <w:t xml:space="preserve"> </w:t>
      </w:r>
      <w:r>
        <w:rPr>
          <w:color w:val="231F20"/>
        </w:rPr>
        <w:t>for engaging</w:t>
      </w:r>
      <w:r>
        <w:rPr>
          <w:color w:val="231F20"/>
          <w:spacing w:val="-26"/>
        </w:rPr>
        <w:t xml:space="preserve"> </w:t>
      </w:r>
      <w:r>
        <w:rPr>
          <w:color w:val="231F20"/>
        </w:rPr>
        <w:t>and</w:t>
      </w:r>
      <w:r>
        <w:rPr>
          <w:color w:val="231F20"/>
          <w:spacing w:val="-25"/>
        </w:rPr>
        <w:t xml:space="preserve"> </w:t>
      </w:r>
      <w:r>
        <w:rPr>
          <w:color w:val="231F20"/>
        </w:rPr>
        <w:t>supervising</w:t>
      </w:r>
      <w:r>
        <w:rPr>
          <w:color w:val="231F20"/>
          <w:spacing w:val="-25"/>
        </w:rPr>
        <w:t xml:space="preserve"> </w:t>
      </w:r>
      <w:r>
        <w:rPr>
          <w:color w:val="231F20"/>
        </w:rPr>
        <w:t>the</w:t>
      </w:r>
      <w:r>
        <w:rPr>
          <w:color w:val="231F20"/>
          <w:spacing w:val="-25"/>
        </w:rPr>
        <w:t xml:space="preserve"> </w:t>
      </w:r>
      <w:r>
        <w:rPr>
          <w:color w:val="231F20"/>
        </w:rPr>
        <w:t>contractors</w:t>
      </w:r>
      <w:r>
        <w:rPr>
          <w:color w:val="231F20"/>
          <w:spacing w:val="-25"/>
        </w:rPr>
        <w:t xml:space="preserve"> </w:t>
      </w:r>
      <w:r>
        <w:rPr>
          <w:color w:val="231F20"/>
        </w:rPr>
        <w:t>to</w:t>
      </w:r>
      <w:r>
        <w:rPr>
          <w:color w:val="231F20"/>
          <w:spacing w:val="-25"/>
        </w:rPr>
        <w:t xml:space="preserve"> </w:t>
      </w:r>
      <w:r>
        <w:rPr>
          <w:color w:val="231F20"/>
        </w:rPr>
        <w:t>provide</w:t>
      </w:r>
      <w:r>
        <w:rPr>
          <w:color w:val="231F20"/>
          <w:spacing w:val="-25"/>
        </w:rPr>
        <w:t xml:space="preserve"> </w:t>
      </w:r>
      <w:r>
        <w:rPr>
          <w:color w:val="231F20"/>
        </w:rPr>
        <w:t>standard</w:t>
      </w:r>
      <w:r>
        <w:rPr>
          <w:color w:val="231F20"/>
          <w:spacing w:val="-25"/>
        </w:rPr>
        <w:t xml:space="preserve"> </w:t>
      </w:r>
      <w:r>
        <w:rPr>
          <w:color w:val="231F20"/>
        </w:rPr>
        <w:t>ambulance.</w:t>
      </w:r>
    </w:p>
    <w:p w14:paraId="547D51B1" w14:textId="77777777" w:rsidR="009948F1" w:rsidRDefault="009948F1">
      <w:pPr>
        <w:pStyle w:val="BodyText"/>
        <w:rPr>
          <w:sz w:val="24"/>
        </w:rPr>
      </w:pPr>
    </w:p>
    <w:p w14:paraId="66B3C545" w14:textId="77777777" w:rsidR="009948F1" w:rsidRDefault="00BC0563">
      <w:pPr>
        <w:pStyle w:val="ListParagraph"/>
        <w:numPr>
          <w:ilvl w:val="3"/>
          <w:numId w:val="279"/>
        </w:numPr>
        <w:tabs>
          <w:tab w:val="left" w:pos="865"/>
        </w:tabs>
        <w:spacing w:line="261" w:lineRule="auto"/>
        <w:ind w:right="235" w:firstLine="0"/>
      </w:pPr>
      <w:r>
        <w:rPr>
          <w:color w:val="231F20"/>
        </w:rPr>
        <w:t>Build</w:t>
      </w:r>
      <w:r>
        <w:rPr>
          <w:color w:val="231F20"/>
          <w:spacing w:val="-15"/>
        </w:rPr>
        <w:t xml:space="preserve"> </w:t>
      </w:r>
      <w:r>
        <w:rPr>
          <w:color w:val="231F20"/>
        </w:rPr>
        <w:t>capacity</w:t>
      </w:r>
      <w:r>
        <w:rPr>
          <w:color w:val="231F20"/>
          <w:spacing w:val="-15"/>
        </w:rPr>
        <w:t xml:space="preserve"> </w:t>
      </w:r>
      <w:r>
        <w:rPr>
          <w:color w:val="231F20"/>
        </w:rPr>
        <w:t>(human</w:t>
      </w:r>
      <w:r>
        <w:rPr>
          <w:color w:val="231F20"/>
          <w:spacing w:val="-14"/>
        </w:rPr>
        <w:t xml:space="preserve"> </w:t>
      </w:r>
      <w:r>
        <w:rPr>
          <w:color w:val="231F20"/>
        </w:rPr>
        <w:t>and</w:t>
      </w:r>
      <w:r>
        <w:rPr>
          <w:color w:val="231F20"/>
          <w:spacing w:val="-15"/>
        </w:rPr>
        <w:t xml:space="preserve"> </w:t>
      </w:r>
      <w:r>
        <w:rPr>
          <w:color w:val="231F20"/>
        </w:rPr>
        <w:t>institutional)</w:t>
      </w:r>
      <w:r>
        <w:rPr>
          <w:color w:val="231F20"/>
          <w:spacing w:val="-14"/>
        </w:rPr>
        <w:t xml:space="preserve"> </w:t>
      </w:r>
      <w:r>
        <w:rPr>
          <w:color w:val="231F20"/>
        </w:rPr>
        <w:t>of</w:t>
      </w:r>
      <w:r>
        <w:rPr>
          <w:color w:val="231F20"/>
          <w:spacing w:val="-15"/>
        </w:rPr>
        <w:t xml:space="preserve"> </w:t>
      </w:r>
      <w:r>
        <w:rPr>
          <w:color w:val="231F20"/>
        </w:rPr>
        <w:t>emergency</w:t>
      </w:r>
      <w:r>
        <w:rPr>
          <w:color w:val="231F20"/>
          <w:spacing w:val="-15"/>
        </w:rPr>
        <w:t xml:space="preserve"> </w:t>
      </w:r>
      <w:r>
        <w:rPr>
          <w:color w:val="231F20"/>
        </w:rPr>
        <w:t>medical</w:t>
      </w:r>
      <w:r>
        <w:rPr>
          <w:color w:val="231F20"/>
          <w:spacing w:val="-14"/>
        </w:rPr>
        <w:t xml:space="preserve"> </w:t>
      </w:r>
      <w:r>
        <w:rPr>
          <w:color w:val="231F20"/>
        </w:rPr>
        <w:t>services</w:t>
      </w:r>
      <w:r>
        <w:rPr>
          <w:color w:val="231F20"/>
          <w:spacing w:val="-15"/>
        </w:rPr>
        <w:t xml:space="preserve"> </w:t>
      </w:r>
      <w:r>
        <w:rPr>
          <w:color w:val="231F20"/>
        </w:rPr>
        <w:t>units/departments of</w:t>
      </w:r>
      <w:r>
        <w:rPr>
          <w:color w:val="231F20"/>
          <w:spacing w:val="-15"/>
        </w:rPr>
        <w:t xml:space="preserve"> </w:t>
      </w:r>
      <w:r>
        <w:rPr>
          <w:color w:val="231F20"/>
        </w:rPr>
        <w:t>receiving</w:t>
      </w:r>
      <w:r>
        <w:rPr>
          <w:color w:val="231F20"/>
          <w:spacing w:val="-15"/>
        </w:rPr>
        <w:t xml:space="preserve"> </w:t>
      </w:r>
      <w:r>
        <w:rPr>
          <w:color w:val="231F20"/>
        </w:rPr>
        <w:t>health</w:t>
      </w:r>
      <w:r>
        <w:rPr>
          <w:color w:val="231F20"/>
          <w:spacing w:val="-15"/>
        </w:rPr>
        <w:t xml:space="preserve"> </w:t>
      </w:r>
      <w:r>
        <w:rPr>
          <w:color w:val="231F20"/>
        </w:rPr>
        <w:t>facilities.</w:t>
      </w:r>
      <w:r>
        <w:rPr>
          <w:color w:val="231F20"/>
          <w:spacing w:val="-15"/>
        </w:rPr>
        <w:t xml:space="preserve"> </w:t>
      </w:r>
      <w:r>
        <w:rPr>
          <w:color w:val="231F20"/>
        </w:rPr>
        <w:t>Key</w:t>
      </w:r>
      <w:r>
        <w:rPr>
          <w:color w:val="231F20"/>
          <w:spacing w:val="-14"/>
        </w:rPr>
        <w:t xml:space="preserve"> </w:t>
      </w:r>
      <w:r>
        <w:rPr>
          <w:color w:val="231F20"/>
        </w:rPr>
        <w:t>actions</w:t>
      </w:r>
      <w:r>
        <w:rPr>
          <w:color w:val="231F20"/>
          <w:spacing w:val="-15"/>
        </w:rPr>
        <w:t xml:space="preserve"> </w:t>
      </w:r>
      <w:r>
        <w:rPr>
          <w:color w:val="231F20"/>
        </w:rPr>
        <w:t>include;</w:t>
      </w:r>
      <w:r>
        <w:rPr>
          <w:color w:val="231F20"/>
          <w:spacing w:val="-15"/>
        </w:rPr>
        <w:t xml:space="preserve"> </w:t>
      </w:r>
      <w:r>
        <w:rPr>
          <w:color w:val="231F20"/>
        </w:rPr>
        <w:t>–</w:t>
      </w:r>
      <w:r>
        <w:rPr>
          <w:color w:val="231F20"/>
          <w:spacing w:val="-19"/>
        </w:rPr>
        <w:t xml:space="preserve"> </w:t>
      </w:r>
      <w:r>
        <w:rPr>
          <w:color w:val="231F20"/>
        </w:rPr>
        <w:t>Training</w:t>
      </w:r>
      <w:r>
        <w:rPr>
          <w:color w:val="231F20"/>
          <w:spacing w:val="-14"/>
        </w:rPr>
        <w:t xml:space="preserve"> </w:t>
      </w:r>
      <w:r>
        <w:rPr>
          <w:color w:val="231F20"/>
        </w:rPr>
        <w:t>of</w:t>
      </w:r>
      <w:r>
        <w:rPr>
          <w:color w:val="231F20"/>
          <w:spacing w:val="-15"/>
        </w:rPr>
        <w:t xml:space="preserve"> </w:t>
      </w:r>
      <w:r>
        <w:rPr>
          <w:color w:val="231F20"/>
        </w:rPr>
        <w:t>staff</w:t>
      </w:r>
      <w:r>
        <w:rPr>
          <w:color w:val="231F20"/>
          <w:spacing w:val="-16"/>
        </w:rPr>
        <w:t xml:space="preserve"> </w:t>
      </w:r>
      <w:r>
        <w:rPr>
          <w:color w:val="231F20"/>
        </w:rPr>
        <w:t>on</w:t>
      </w:r>
      <w:r>
        <w:rPr>
          <w:color w:val="231F20"/>
          <w:spacing w:val="-15"/>
        </w:rPr>
        <w:t xml:space="preserve"> </w:t>
      </w:r>
      <w:r>
        <w:rPr>
          <w:color w:val="231F20"/>
        </w:rPr>
        <w:t>services</w:t>
      </w:r>
      <w:r>
        <w:rPr>
          <w:color w:val="231F20"/>
          <w:spacing w:val="-15"/>
        </w:rPr>
        <w:t xml:space="preserve"> </w:t>
      </w:r>
      <w:r>
        <w:rPr>
          <w:color w:val="231F20"/>
        </w:rPr>
        <w:t>and</w:t>
      </w:r>
      <w:r>
        <w:rPr>
          <w:color w:val="231F20"/>
          <w:spacing w:val="-14"/>
        </w:rPr>
        <w:t xml:space="preserve"> </w:t>
      </w:r>
      <w:r>
        <w:rPr>
          <w:color w:val="231F20"/>
        </w:rPr>
        <w:t>advance</w:t>
      </w:r>
      <w:r>
        <w:rPr>
          <w:color w:val="231F20"/>
          <w:spacing w:val="-15"/>
        </w:rPr>
        <w:t xml:space="preserve"> </w:t>
      </w:r>
      <w:r>
        <w:rPr>
          <w:color w:val="231F20"/>
          <w:spacing w:val="-4"/>
        </w:rPr>
        <w:t xml:space="preserve">CPR; </w:t>
      </w:r>
      <w:r>
        <w:rPr>
          <w:color w:val="231F20"/>
        </w:rPr>
        <w:t>Operating</w:t>
      </w:r>
      <w:r>
        <w:rPr>
          <w:color w:val="231F20"/>
          <w:spacing w:val="-10"/>
        </w:rPr>
        <w:t xml:space="preserve"> </w:t>
      </w:r>
      <w:r>
        <w:rPr>
          <w:color w:val="231F20"/>
        </w:rPr>
        <w:t>cost</w:t>
      </w:r>
      <w:r>
        <w:rPr>
          <w:color w:val="231F20"/>
          <w:spacing w:val="-10"/>
        </w:rPr>
        <w:t xml:space="preserve"> </w:t>
      </w:r>
      <w:r>
        <w:rPr>
          <w:color w:val="231F20"/>
        </w:rPr>
        <w:t>for</w:t>
      </w:r>
      <w:r>
        <w:rPr>
          <w:color w:val="231F20"/>
          <w:spacing w:val="-10"/>
        </w:rPr>
        <w:t xml:space="preserve"> </w:t>
      </w:r>
      <w:r>
        <w:rPr>
          <w:color w:val="231F20"/>
        </w:rPr>
        <w:t>engaging</w:t>
      </w:r>
      <w:r>
        <w:rPr>
          <w:color w:val="231F20"/>
          <w:spacing w:val="-10"/>
        </w:rPr>
        <w:t xml:space="preserve"> </w:t>
      </w:r>
      <w:r>
        <w:rPr>
          <w:color w:val="231F20"/>
        </w:rPr>
        <w:t>and</w:t>
      </w:r>
      <w:r>
        <w:rPr>
          <w:color w:val="231F20"/>
          <w:spacing w:val="-10"/>
        </w:rPr>
        <w:t xml:space="preserve"> </w:t>
      </w:r>
      <w:r>
        <w:rPr>
          <w:color w:val="231F20"/>
        </w:rPr>
        <w:t>supervising</w:t>
      </w:r>
      <w:r>
        <w:rPr>
          <w:color w:val="231F20"/>
          <w:spacing w:val="-9"/>
        </w:rPr>
        <w:t xml:space="preserve"> </w:t>
      </w:r>
      <w:r>
        <w:rPr>
          <w:color w:val="231F20"/>
        </w:rPr>
        <w:t>the</w:t>
      </w:r>
      <w:r>
        <w:rPr>
          <w:color w:val="231F20"/>
          <w:spacing w:val="-10"/>
        </w:rPr>
        <w:t xml:space="preserve"> </w:t>
      </w:r>
      <w:r>
        <w:rPr>
          <w:color w:val="231F20"/>
        </w:rPr>
        <w:t>contractor</w:t>
      </w:r>
      <w:r>
        <w:rPr>
          <w:color w:val="231F20"/>
          <w:spacing w:val="-10"/>
        </w:rPr>
        <w:t xml:space="preserve"> </w:t>
      </w:r>
      <w:r>
        <w:rPr>
          <w:color w:val="231F20"/>
        </w:rPr>
        <w:t>to</w:t>
      </w:r>
      <w:r>
        <w:rPr>
          <w:color w:val="231F20"/>
          <w:spacing w:val="-10"/>
        </w:rPr>
        <w:t xml:space="preserve"> </w:t>
      </w:r>
      <w:r>
        <w:rPr>
          <w:color w:val="231F20"/>
        </w:rPr>
        <w:t>procure</w:t>
      </w:r>
      <w:r>
        <w:rPr>
          <w:color w:val="231F20"/>
          <w:spacing w:val="-10"/>
        </w:rPr>
        <w:t xml:space="preserve"> </w:t>
      </w:r>
      <w:r>
        <w:rPr>
          <w:color w:val="231F20"/>
        </w:rPr>
        <w:t>emergency</w:t>
      </w:r>
      <w:r>
        <w:rPr>
          <w:color w:val="231F20"/>
          <w:spacing w:val="-9"/>
        </w:rPr>
        <w:t xml:space="preserve"> </w:t>
      </w:r>
      <w:r>
        <w:rPr>
          <w:color w:val="231F20"/>
        </w:rPr>
        <w:t>equipment</w:t>
      </w:r>
      <w:r>
        <w:rPr>
          <w:color w:val="231F20"/>
          <w:spacing w:val="-10"/>
        </w:rPr>
        <w:t xml:space="preserve"> </w:t>
      </w:r>
      <w:r>
        <w:rPr>
          <w:color w:val="231F20"/>
          <w:spacing w:val="-4"/>
        </w:rPr>
        <w:t xml:space="preserve">e.g. </w:t>
      </w:r>
      <w:r>
        <w:rPr>
          <w:color w:val="231F20"/>
        </w:rPr>
        <w:t xml:space="preserve">oxygen, defibrillator and life-saving equipment; Build capacity of disease surveillance officers </w:t>
      </w:r>
      <w:r>
        <w:rPr>
          <w:color w:val="231F20"/>
          <w:spacing w:val="-6"/>
        </w:rPr>
        <w:t xml:space="preserve">for </w:t>
      </w:r>
      <w:r>
        <w:rPr>
          <w:color w:val="231F20"/>
        </w:rPr>
        <w:t xml:space="preserve">disease outbreak control; Conduct review meetings with stakeholders on improvement </w:t>
      </w:r>
      <w:r>
        <w:rPr>
          <w:color w:val="231F20"/>
          <w:spacing w:val="-8"/>
        </w:rPr>
        <w:t xml:space="preserve">of </w:t>
      </w:r>
      <w:r>
        <w:rPr>
          <w:color w:val="231F20"/>
        </w:rPr>
        <w:t>comprehensive</w:t>
      </w:r>
      <w:r>
        <w:rPr>
          <w:color w:val="231F20"/>
          <w:spacing w:val="-25"/>
        </w:rPr>
        <w:t xml:space="preserve"> </w:t>
      </w:r>
      <w:r>
        <w:rPr>
          <w:color w:val="231F20"/>
        </w:rPr>
        <w:t>emergency</w:t>
      </w:r>
      <w:r>
        <w:rPr>
          <w:color w:val="231F20"/>
          <w:spacing w:val="-25"/>
        </w:rPr>
        <w:t xml:space="preserve"> </w:t>
      </w:r>
      <w:r>
        <w:rPr>
          <w:color w:val="231F20"/>
        </w:rPr>
        <w:t>and</w:t>
      </w:r>
      <w:r>
        <w:rPr>
          <w:color w:val="231F20"/>
          <w:spacing w:val="-26"/>
        </w:rPr>
        <w:t xml:space="preserve"> </w:t>
      </w:r>
      <w:r>
        <w:rPr>
          <w:color w:val="231F20"/>
        </w:rPr>
        <w:t>trauma</w:t>
      </w:r>
      <w:r>
        <w:rPr>
          <w:color w:val="231F20"/>
          <w:spacing w:val="-25"/>
        </w:rPr>
        <w:t xml:space="preserve"> </w:t>
      </w:r>
      <w:r>
        <w:rPr>
          <w:color w:val="231F20"/>
        </w:rPr>
        <w:t>care.</w:t>
      </w:r>
    </w:p>
    <w:p w14:paraId="19A3DD55" w14:textId="77777777" w:rsidR="009948F1" w:rsidRDefault="009948F1">
      <w:pPr>
        <w:pStyle w:val="BodyText"/>
        <w:spacing w:before="2"/>
        <w:rPr>
          <w:sz w:val="24"/>
        </w:rPr>
      </w:pPr>
    </w:p>
    <w:p w14:paraId="3E6EC39F" w14:textId="77777777" w:rsidR="009948F1" w:rsidRDefault="00BC0563">
      <w:pPr>
        <w:pStyle w:val="ListParagraph"/>
        <w:numPr>
          <w:ilvl w:val="3"/>
          <w:numId w:val="279"/>
        </w:numPr>
        <w:tabs>
          <w:tab w:val="left" w:pos="888"/>
        </w:tabs>
        <w:spacing w:line="261" w:lineRule="auto"/>
        <w:ind w:right="235" w:firstLine="0"/>
      </w:pPr>
      <w:r>
        <w:rPr>
          <w:color w:val="231F20"/>
        </w:rPr>
        <w:t>Strengthen coordinated and integrated emergency transport system (ETS). Key actions include; – Evaluate the existing integrated transport system for emergencies and trauma; Operating cost for engaging and supervising the contractor for maintenance of ambulance and repairs;</w:t>
      </w:r>
      <w:r>
        <w:rPr>
          <w:color w:val="231F20"/>
          <w:spacing w:val="-26"/>
        </w:rPr>
        <w:t xml:space="preserve"> </w:t>
      </w:r>
      <w:r>
        <w:rPr>
          <w:color w:val="231F20"/>
        </w:rPr>
        <w:t>Procure</w:t>
      </w:r>
      <w:r>
        <w:rPr>
          <w:color w:val="231F20"/>
          <w:spacing w:val="-25"/>
        </w:rPr>
        <w:t xml:space="preserve"> </w:t>
      </w:r>
      <w:r>
        <w:rPr>
          <w:color w:val="231F20"/>
        </w:rPr>
        <w:t>drugs</w:t>
      </w:r>
      <w:r>
        <w:rPr>
          <w:color w:val="231F20"/>
          <w:spacing w:val="-25"/>
        </w:rPr>
        <w:t xml:space="preserve"> </w:t>
      </w:r>
      <w:r>
        <w:rPr>
          <w:color w:val="231F20"/>
        </w:rPr>
        <w:t>and</w:t>
      </w:r>
      <w:r>
        <w:rPr>
          <w:color w:val="231F20"/>
          <w:spacing w:val="-25"/>
        </w:rPr>
        <w:t xml:space="preserve"> </w:t>
      </w:r>
      <w:r>
        <w:rPr>
          <w:color w:val="231F20"/>
        </w:rPr>
        <w:t>consumables</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ambulance</w:t>
      </w:r>
      <w:r>
        <w:rPr>
          <w:color w:val="231F20"/>
          <w:spacing w:val="-25"/>
        </w:rPr>
        <w:t xml:space="preserve"> </w:t>
      </w:r>
      <w:r>
        <w:rPr>
          <w:color w:val="231F20"/>
        </w:rPr>
        <w:t>for</w:t>
      </w:r>
      <w:r>
        <w:rPr>
          <w:color w:val="231F20"/>
          <w:spacing w:val="-25"/>
        </w:rPr>
        <w:t xml:space="preserve"> </w:t>
      </w:r>
      <w:r>
        <w:rPr>
          <w:color w:val="231F20"/>
        </w:rPr>
        <w:t>three</w:t>
      </w:r>
      <w:r>
        <w:rPr>
          <w:color w:val="231F20"/>
          <w:spacing w:val="-25"/>
        </w:rPr>
        <w:t xml:space="preserve"> </w:t>
      </w:r>
      <w:r>
        <w:rPr>
          <w:color w:val="231F20"/>
        </w:rPr>
        <w:t>senatorial</w:t>
      </w:r>
      <w:r>
        <w:rPr>
          <w:color w:val="231F20"/>
          <w:spacing w:val="-25"/>
        </w:rPr>
        <w:t xml:space="preserve"> </w:t>
      </w:r>
      <w:r>
        <w:rPr>
          <w:color w:val="231F20"/>
        </w:rPr>
        <w:t>zones.</w:t>
      </w:r>
    </w:p>
    <w:p w14:paraId="3A537803" w14:textId="77777777" w:rsidR="009948F1" w:rsidRDefault="009948F1">
      <w:pPr>
        <w:pStyle w:val="BodyText"/>
        <w:spacing w:before="4"/>
        <w:rPr>
          <w:sz w:val="26"/>
        </w:rPr>
      </w:pPr>
    </w:p>
    <w:p w14:paraId="2F2FEF58" w14:textId="1915FE58" w:rsidR="009948F1" w:rsidRDefault="00BC0563">
      <w:pPr>
        <w:pStyle w:val="Heading7"/>
        <w:numPr>
          <w:ilvl w:val="2"/>
          <w:numId w:val="280"/>
        </w:numPr>
        <w:tabs>
          <w:tab w:val="left" w:pos="705"/>
        </w:tabs>
        <w:spacing w:line="280" w:lineRule="auto"/>
        <w:ind w:left="143" w:right="765" w:firstLine="0"/>
        <w:jc w:val="left"/>
        <w:rPr>
          <w:color w:val="231F20"/>
        </w:rPr>
      </w:pPr>
      <w:r>
        <w:rPr>
          <w:color w:val="231F20"/>
        </w:rPr>
        <w:t xml:space="preserve">Improve </w:t>
      </w:r>
      <w:r w:rsidR="00305EAC">
        <w:rPr>
          <w:color w:val="231F20"/>
        </w:rPr>
        <w:t>provision,</w:t>
      </w:r>
      <w:r>
        <w:rPr>
          <w:color w:val="231F20"/>
        </w:rPr>
        <w:t xml:space="preserve"> access, quality and responsiveness of ambulatory </w:t>
      </w:r>
      <w:r>
        <w:rPr>
          <w:color w:val="231F20"/>
          <w:spacing w:val="-3"/>
        </w:rPr>
        <w:t xml:space="preserve">(OPD) </w:t>
      </w:r>
      <w:r>
        <w:rPr>
          <w:color w:val="231F20"/>
        </w:rPr>
        <w:t>services at all levels of health care</w:t>
      </w:r>
      <w:r>
        <w:rPr>
          <w:color w:val="231F20"/>
          <w:spacing w:val="3"/>
        </w:rPr>
        <w:t xml:space="preserve"> </w:t>
      </w:r>
      <w:r>
        <w:rPr>
          <w:color w:val="231F20"/>
        </w:rPr>
        <w:t>system</w:t>
      </w:r>
    </w:p>
    <w:p w14:paraId="5CFDDE28" w14:textId="77777777" w:rsidR="009948F1" w:rsidRDefault="00BC0563">
      <w:pPr>
        <w:spacing w:before="1"/>
        <w:ind w:left="143"/>
        <w:rPr>
          <w:b/>
        </w:rPr>
      </w:pPr>
      <w:r>
        <w:rPr>
          <w:b/>
          <w:color w:val="231F20"/>
        </w:rPr>
        <w:t>Target:</w:t>
      </w:r>
    </w:p>
    <w:p w14:paraId="1240808C" w14:textId="77777777" w:rsidR="009948F1" w:rsidRDefault="009948F1">
      <w:pPr>
        <w:pStyle w:val="BodyText"/>
        <w:spacing w:before="3" w:after="1"/>
        <w:rPr>
          <w:b/>
          <w:sz w:val="16"/>
        </w:rPr>
      </w:pPr>
    </w:p>
    <w:tbl>
      <w:tblPr>
        <w:tblW w:w="0" w:type="auto"/>
        <w:tblInd w:w="1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33"/>
        <w:gridCol w:w="1270"/>
        <w:gridCol w:w="763"/>
        <w:gridCol w:w="761"/>
        <w:gridCol w:w="763"/>
        <w:gridCol w:w="761"/>
        <w:gridCol w:w="724"/>
        <w:gridCol w:w="1007"/>
      </w:tblGrid>
      <w:tr w:rsidR="009948F1" w14:paraId="4EDF9AD9" w14:textId="77777777">
        <w:trPr>
          <w:trHeight w:val="209"/>
        </w:trPr>
        <w:tc>
          <w:tcPr>
            <w:tcW w:w="3133" w:type="dxa"/>
            <w:shd w:val="clear" w:color="auto" w:fill="F4CEB2"/>
          </w:tcPr>
          <w:p w14:paraId="4F90306F" w14:textId="77777777" w:rsidR="009948F1" w:rsidRDefault="009948F1">
            <w:pPr>
              <w:pStyle w:val="TableParagraph"/>
              <w:rPr>
                <w:rFonts w:ascii="Times New Roman"/>
                <w:sz w:val="14"/>
              </w:rPr>
            </w:pPr>
          </w:p>
        </w:tc>
        <w:tc>
          <w:tcPr>
            <w:tcW w:w="1270" w:type="dxa"/>
            <w:shd w:val="clear" w:color="auto" w:fill="F4CEB2"/>
          </w:tcPr>
          <w:p w14:paraId="699EE74A" w14:textId="77777777" w:rsidR="009948F1" w:rsidRDefault="00BC0563">
            <w:pPr>
              <w:pStyle w:val="TableParagraph"/>
              <w:spacing w:before="1" w:line="188" w:lineRule="exact"/>
              <w:ind w:left="109"/>
              <w:rPr>
                <w:sz w:val="18"/>
              </w:rPr>
            </w:pPr>
            <w:r>
              <w:rPr>
                <w:color w:val="231F20"/>
                <w:sz w:val="18"/>
              </w:rPr>
              <w:t>Baseline</w:t>
            </w:r>
          </w:p>
        </w:tc>
        <w:tc>
          <w:tcPr>
            <w:tcW w:w="763" w:type="dxa"/>
            <w:shd w:val="clear" w:color="auto" w:fill="F4CEB2"/>
          </w:tcPr>
          <w:p w14:paraId="101C0157" w14:textId="77777777" w:rsidR="009948F1" w:rsidRDefault="00BC0563">
            <w:pPr>
              <w:pStyle w:val="TableParagraph"/>
              <w:spacing w:line="189" w:lineRule="exact"/>
              <w:ind w:left="109"/>
              <w:rPr>
                <w:b/>
                <w:sz w:val="18"/>
              </w:rPr>
            </w:pPr>
            <w:r>
              <w:rPr>
                <w:b/>
                <w:color w:val="231F20"/>
                <w:sz w:val="18"/>
              </w:rPr>
              <w:t>2018</w:t>
            </w:r>
          </w:p>
        </w:tc>
        <w:tc>
          <w:tcPr>
            <w:tcW w:w="761" w:type="dxa"/>
            <w:shd w:val="clear" w:color="auto" w:fill="F4CEB2"/>
          </w:tcPr>
          <w:p w14:paraId="1D6C18F6" w14:textId="77777777" w:rsidR="009948F1" w:rsidRDefault="00BC0563">
            <w:pPr>
              <w:pStyle w:val="TableParagraph"/>
              <w:spacing w:line="189" w:lineRule="exact"/>
              <w:ind w:left="109"/>
              <w:rPr>
                <w:b/>
                <w:sz w:val="18"/>
              </w:rPr>
            </w:pPr>
            <w:r>
              <w:rPr>
                <w:b/>
                <w:color w:val="231F20"/>
                <w:sz w:val="18"/>
              </w:rPr>
              <w:t>2019</w:t>
            </w:r>
          </w:p>
        </w:tc>
        <w:tc>
          <w:tcPr>
            <w:tcW w:w="763" w:type="dxa"/>
            <w:shd w:val="clear" w:color="auto" w:fill="F4CEB2"/>
          </w:tcPr>
          <w:p w14:paraId="57064B3D" w14:textId="77777777" w:rsidR="009948F1" w:rsidRDefault="00BC0563">
            <w:pPr>
              <w:pStyle w:val="TableParagraph"/>
              <w:spacing w:line="189" w:lineRule="exact"/>
              <w:ind w:left="109"/>
              <w:rPr>
                <w:b/>
                <w:sz w:val="18"/>
              </w:rPr>
            </w:pPr>
            <w:r>
              <w:rPr>
                <w:b/>
                <w:color w:val="231F20"/>
                <w:sz w:val="18"/>
              </w:rPr>
              <w:t>2020</w:t>
            </w:r>
          </w:p>
        </w:tc>
        <w:tc>
          <w:tcPr>
            <w:tcW w:w="761" w:type="dxa"/>
            <w:shd w:val="clear" w:color="auto" w:fill="F4CEB2"/>
          </w:tcPr>
          <w:p w14:paraId="27815401" w14:textId="77777777" w:rsidR="009948F1" w:rsidRDefault="00BC0563">
            <w:pPr>
              <w:pStyle w:val="TableParagraph"/>
              <w:spacing w:line="189" w:lineRule="exact"/>
              <w:ind w:left="109"/>
              <w:rPr>
                <w:b/>
                <w:sz w:val="18"/>
              </w:rPr>
            </w:pPr>
            <w:r>
              <w:rPr>
                <w:b/>
                <w:color w:val="231F20"/>
                <w:sz w:val="18"/>
              </w:rPr>
              <w:t>2021</w:t>
            </w:r>
          </w:p>
        </w:tc>
        <w:tc>
          <w:tcPr>
            <w:tcW w:w="724" w:type="dxa"/>
            <w:shd w:val="clear" w:color="auto" w:fill="F4CEB2"/>
          </w:tcPr>
          <w:p w14:paraId="278072F8" w14:textId="77777777" w:rsidR="009948F1" w:rsidRDefault="00BC0563">
            <w:pPr>
              <w:pStyle w:val="TableParagraph"/>
              <w:spacing w:line="189" w:lineRule="exact"/>
              <w:ind w:left="109"/>
              <w:rPr>
                <w:b/>
                <w:sz w:val="18"/>
              </w:rPr>
            </w:pPr>
            <w:r>
              <w:rPr>
                <w:b/>
                <w:color w:val="231F20"/>
                <w:sz w:val="18"/>
              </w:rPr>
              <w:t>2022</w:t>
            </w:r>
          </w:p>
        </w:tc>
        <w:tc>
          <w:tcPr>
            <w:tcW w:w="1007" w:type="dxa"/>
            <w:shd w:val="clear" w:color="auto" w:fill="F4CEB2"/>
          </w:tcPr>
          <w:p w14:paraId="05C76E50" w14:textId="77777777" w:rsidR="009948F1" w:rsidRDefault="00BC0563">
            <w:pPr>
              <w:pStyle w:val="TableParagraph"/>
              <w:spacing w:line="189" w:lineRule="exact"/>
              <w:ind w:left="109"/>
              <w:rPr>
                <w:b/>
                <w:sz w:val="18"/>
              </w:rPr>
            </w:pPr>
            <w:r>
              <w:rPr>
                <w:b/>
                <w:color w:val="231F20"/>
                <w:sz w:val="18"/>
              </w:rPr>
              <w:t>National</w:t>
            </w:r>
          </w:p>
        </w:tc>
      </w:tr>
      <w:tr w:rsidR="009948F1" w14:paraId="6A130C53" w14:textId="77777777">
        <w:trPr>
          <w:trHeight w:val="631"/>
        </w:trPr>
        <w:tc>
          <w:tcPr>
            <w:tcW w:w="3133" w:type="dxa"/>
          </w:tcPr>
          <w:p w14:paraId="734461FA" w14:textId="77777777" w:rsidR="009948F1" w:rsidRDefault="00BC0563">
            <w:pPr>
              <w:pStyle w:val="TableParagraph"/>
              <w:spacing w:before="1" w:line="244" w:lineRule="auto"/>
              <w:ind w:left="109" w:right="52"/>
              <w:rPr>
                <w:sz w:val="18"/>
              </w:rPr>
            </w:pPr>
            <w:r>
              <w:rPr>
                <w:color w:val="231F20"/>
                <w:sz w:val="18"/>
              </w:rPr>
              <w:t>70% of states have coordinated functional ambulance services</w:t>
            </w:r>
          </w:p>
        </w:tc>
        <w:tc>
          <w:tcPr>
            <w:tcW w:w="1270" w:type="dxa"/>
          </w:tcPr>
          <w:p w14:paraId="216FAA49" w14:textId="77777777" w:rsidR="009948F1" w:rsidRDefault="00BC0563">
            <w:pPr>
              <w:pStyle w:val="TableParagraph"/>
              <w:spacing w:before="1"/>
              <w:ind w:left="109"/>
              <w:rPr>
                <w:sz w:val="18"/>
              </w:rPr>
            </w:pPr>
            <w:r>
              <w:rPr>
                <w:color w:val="231F20"/>
                <w:sz w:val="18"/>
              </w:rPr>
              <w:t>TBD</w:t>
            </w:r>
          </w:p>
        </w:tc>
        <w:tc>
          <w:tcPr>
            <w:tcW w:w="763" w:type="dxa"/>
          </w:tcPr>
          <w:p w14:paraId="53E46CBD" w14:textId="77777777" w:rsidR="009948F1" w:rsidRDefault="00BC0563">
            <w:pPr>
              <w:pStyle w:val="TableParagraph"/>
              <w:spacing w:before="1"/>
              <w:ind w:left="109"/>
              <w:rPr>
                <w:sz w:val="18"/>
              </w:rPr>
            </w:pPr>
            <w:r>
              <w:rPr>
                <w:color w:val="231F20"/>
                <w:sz w:val="18"/>
              </w:rPr>
              <w:t>5%</w:t>
            </w:r>
          </w:p>
        </w:tc>
        <w:tc>
          <w:tcPr>
            <w:tcW w:w="761" w:type="dxa"/>
          </w:tcPr>
          <w:p w14:paraId="7D2C6DAA" w14:textId="77777777" w:rsidR="009948F1" w:rsidRDefault="00BC0563">
            <w:pPr>
              <w:pStyle w:val="TableParagraph"/>
              <w:spacing w:before="1"/>
              <w:ind w:left="109"/>
              <w:rPr>
                <w:sz w:val="18"/>
              </w:rPr>
            </w:pPr>
            <w:r>
              <w:rPr>
                <w:color w:val="231F20"/>
                <w:sz w:val="18"/>
              </w:rPr>
              <w:t>10%</w:t>
            </w:r>
          </w:p>
        </w:tc>
        <w:tc>
          <w:tcPr>
            <w:tcW w:w="763" w:type="dxa"/>
          </w:tcPr>
          <w:p w14:paraId="2C781F40" w14:textId="77777777" w:rsidR="009948F1" w:rsidRDefault="00BC0563">
            <w:pPr>
              <w:pStyle w:val="TableParagraph"/>
              <w:spacing w:before="1"/>
              <w:ind w:left="109"/>
              <w:rPr>
                <w:sz w:val="18"/>
              </w:rPr>
            </w:pPr>
            <w:r>
              <w:rPr>
                <w:color w:val="231F20"/>
                <w:sz w:val="18"/>
              </w:rPr>
              <w:t>20%</w:t>
            </w:r>
          </w:p>
        </w:tc>
        <w:tc>
          <w:tcPr>
            <w:tcW w:w="761" w:type="dxa"/>
          </w:tcPr>
          <w:p w14:paraId="1753A3E8" w14:textId="77777777" w:rsidR="009948F1" w:rsidRDefault="00BC0563">
            <w:pPr>
              <w:pStyle w:val="TableParagraph"/>
              <w:spacing w:before="1"/>
              <w:ind w:left="109"/>
              <w:rPr>
                <w:sz w:val="18"/>
              </w:rPr>
            </w:pPr>
            <w:r>
              <w:rPr>
                <w:color w:val="231F20"/>
                <w:sz w:val="18"/>
              </w:rPr>
              <w:t>30%</w:t>
            </w:r>
          </w:p>
        </w:tc>
        <w:tc>
          <w:tcPr>
            <w:tcW w:w="724" w:type="dxa"/>
          </w:tcPr>
          <w:p w14:paraId="7EC3C3F5" w14:textId="77777777" w:rsidR="009948F1" w:rsidRDefault="00BC0563">
            <w:pPr>
              <w:pStyle w:val="TableParagraph"/>
              <w:spacing w:before="1"/>
              <w:ind w:left="109"/>
              <w:rPr>
                <w:sz w:val="18"/>
              </w:rPr>
            </w:pPr>
            <w:r>
              <w:rPr>
                <w:color w:val="231F20"/>
                <w:sz w:val="18"/>
              </w:rPr>
              <w:t>40%</w:t>
            </w:r>
          </w:p>
        </w:tc>
        <w:tc>
          <w:tcPr>
            <w:tcW w:w="1007" w:type="dxa"/>
          </w:tcPr>
          <w:p w14:paraId="3741958D" w14:textId="77777777" w:rsidR="009948F1" w:rsidRDefault="00BC0563">
            <w:pPr>
              <w:pStyle w:val="TableParagraph"/>
              <w:spacing w:before="1"/>
              <w:ind w:left="109"/>
              <w:rPr>
                <w:sz w:val="18"/>
              </w:rPr>
            </w:pPr>
            <w:r>
              <w:rPr>
                <w:color w:val="231F20"/>
                <w:sz w:val="18"/>
              </w:rPr>
              <w:t>70%</w:t>
            </w:r>
          </w:p>
        </w:tc>
      </w:tr>
      <w:tr w:rsidR="009948F1" w14:paraId="2E598911" w14:textId="77777777">
        <w:trPr>
          <w:trHeight w:val="631"/>
        </w:trPr>
        <w:tc>
          <w:tcPr>
            <w:tcW w:w="3133" w:type="dxa"/>
          </w:tcPr>
          <w:p w14:paraId="77CCBEA4" w14:textId="77777777" w:rsidR="009948F1" w:rsidRDefault="00BC0563">
            <w:pPr>
              <w:pStyle w:val="TableParagraph"/>
              <w:spacing w:before="1" w:line="244" w:lineRule="auto"/>
              <w:ind w:left="109" w:right="52"/>
              <w:rPr>
                <w:sz w:val="18"/>
              </w:rPr>
            </w:pPr>
            <w:r>
              <w:rPr>
                <w:color w:val="231F20"/>
                <w:sz w:val="18"/>
              </w:rPr>
              <w:t>Case fatality rates reduced by 30% by 2022</w:t>
            </w:r>
          </w:p>
        </w:tc>
        <w:tc>
          <w:tcPr>
            <w:tcW w:w="1270" w:type="dxa"/>
          </w:tcPr>
          <w:p w14:paraId="04BA8867" w14:textId="77777777" w:rsidR="009948F1" w:rsidRDefault="00BC0563">
            <w:pPr>
              <w:pStyle w:val="TableParagraph"/>
              <w:spacing w:before="1"/>
              <w:ind w:left="109"/>
              <w:rPr>
                <w:sz w:val="18"/>
              </w:rPr>
            </w:pPr>
            <w:r>
              <w:rPr>
                <w:color w:val="231F20"/>
                <w:sz w:val="18"/>
              </w:rPr>
              <w:t>TBD</w:t>
            </w:r>
          </w:p>
        </w:tc>
        <w:tc>
          <w:tcPr>
            <w:tcW w:w="763" w:type="dxa"/>
          </w:tcPr>
          <w:p w14:paraId="030F7D69" w14:textId="77777777" w:rsidR="009948F1" w:rsidRDefault="00BC0563">
            <w:pPr>
              <w:pStyle w:val="TableParagraph"/>
              <w:spacing w:before="1"/>
              <w:ind w:left="109"/>
              <w:rPr>
                <w:sz w:val="18"/>
              </w:rPr>
            </w:pPr>
            <w:r>
              <w:rPr>
                <w:color w:val="231F20"/>
                <w:sz w:val="18"/>
              </w:rPr>
              <w:t>10</w:t>
            </w:r>
          </w:p>
        </w:tc>
        <w:tc>
          <w:tcPr>
            <w:tcW w:w="761" w:type="dxa"/>
          </w:tcPr>
          <w:p w14:paraId="044ADC25" w14:textId="77777777" w:rsidR="009948F1" w:rsidRDefault="00BC0563">
            <w:pPr>
              <w:pStyle w:val="TableParagraph"/>
              <w:spacing w:before="1"/>
              <w:ind w:left="109"/>
              <w:rPr>
                <w:sz w:val="18"/>
              </w:rPr>
            </w:pPr>
            <w:r>
              <w:rPr>
                <w:color w:val="231F20"/>
                <w:sz w:val="18"/>
              </w:rPr>
              <w:t>10</w:t>
            </w:r>
          </w:p>
        </w:tc>
        <w:tc>
          <w:tcPr>
            <w:tcW w:w="763" w:type="dxa"/>
          </w:tcPr>
          <w:p w14:paraId="46EC375C" w14:textId="77777777" w:rsidR="009948F1" w:rsidRDefault="00BC0563">
            <w:pPr>
              <w:pStyle w:val="TableParagraph"/>
              <w:spacing w:before="1"/>
              <w:ind w:left="109"/>
              <w:rPr>
                <w:sz w:val="18"/>
              </w:rPr>
            </w:pPr>
            <w:r>
              <w:rPr>
                <w:color w:val="231F20"/>
                <w:sz w:val="18"/>
              </w:rPr>
              <w:t>15</w:t>
            </w:r>
          </w:p>
        </w:tc>
        <w:tc>
          <w:tcPr>
            <w:tcW w:w="761" w:type="dxa"/>
          </w:tcPr>
          <w:p w14:paraId="6F148C91" w14:textId="77777777" w:rsidR="009948F1" w:rsidRDefault="00BC0563">
            <w:pPr>
              <w:pStyle w:val="TableParagraph"/>
              <w:spacing w:before="1"/>
              <w:ind w:left="109"/>
              <w:rPr>
                <w:sz w:val="18"/>
              </w:rPr>
            </w:pPr>
            <w:r>
              <w:rPr>
                <w:color w:val="231F20"/>
                <w:sz w:val="18"/>
              </w:rPr>
              <w:t>20</w:t>
            </w:r>
          </w:p>
        </w:tc>
        <w:tc>
          <w:tcPr>
            <w:tcW w:w="724" w:type="dxa"/>
          </w:tcPr>
          <w:p w14:paraId="02618486" w14:textId="77777777" w:rsidR="009948F1" w:rsidRDefault="00BC0563">
            <w:pPr>
              <w:pStyle w:val="TableParagraph"/>
              <w:spacing w:before="1"/>
              <w:ind w:left="109"/>
              <w:rPr>
                <w:sz w:val="18"/>
              </w:rPr>
            </w:pPr>
            <w:r>
              <w:rPr>
                <w:color w:val="231F20"/>
                <w:sz w:val="18"/>
              </w:rPr>
              <w:t>25</w:t>
            </w:r>
          </w:p>
        </w:tc>
        <w:tc>
          <w:tcPr>
            <w:tcW w:w="1007" w:type="dxa"/>
          </w:tcPr>
          <w:p w14:paraId="7225C73E" w14:textId="77777777" w:rsidR="009948F1" w:rsidRDefault="00BC0563">
            <w:pPr>
              <w:pStyle w:val="TableParagraph"/>
              <w:spacing w:before="1"/>
              <w:ind w:left="109"/>
              <w:rPr>
                <w:sz w:val="18"/>
              </w:rPr>
            </w:pPr>
            <w:r>
              <w:rPr>
                <w:color w:val="231F20"/>
                <w:sz w:val="18"/>
              </w:rPr>
              <w:t>30</w:t>
            </w:r>
          </w:p>
        </w:tc>
      </w:tr>
    </w:tbl>
    <w:p w14:paraId="3BEC1F2D" w14:textId="77777777" w:rsidR="009948F1" w:rsidRDefault="009948F1">
      <w:pPr>
        <w:rPr>
          <w:sz w:val="18"/>
        </w:rPr>
        <w:sectPr w:rsidR="009948F1">
          <w:pgSz w:w="11910" w:h="16840"/>
          <w:pgMar w:top="1240" w:right="1080" w:bottom="1420" w:left="1120" w:header="0" w:footer="1235" w:gutter="0"/>
          <w:cols w:space="720"/>
        </w:sectPr>
      </w:pPr>
    </w:p>
    <w:p w14:paraId="6C74DE8E" w14:textId="77777777" w:rsidR="009948F1" w:rsidRDefault="00BC0563">
      <w:pPr>
        <w:spacing w:before="38"/>
        <w:ind w:left="179"/>
        <w:rPr>
          <w:b/>
        </w:rPr>
      </w:pPr>
      <w:bookmarkStart w:id="82" w:name="Page_68"/>
      <w:bookmarkEnd w:id="82"/>
      <w:r>
        <w:rPr>
          <w:b/>
          <w:color w:val="231F20"/>
        </w:rPr>
        <w:lastRenderedPageBreak/>
        <w:t>Interventions:</w:t>
      </w:r>
    </w:p>
    <w:p w14:paraId="5A8AEC4A" w14:textId="77777777" w:rsidR="009948F1" w:rsidRDefault="00BC0563">
      <w:pPr>
        <w:pStyle w:val="ListParagraph"/>
        <w:numPr>
          <w:ilvl w:val="3"/>
          <w:numId w:val="280"/>
        </w:numPr>
        <w:tabs>
          <w:tab w:val="left" w:pos="926"/>
        </w:tabs>
        <w:spacing w:before="55" w:line="292" w:lineRule="auto"/>
        <w:ind w:left="178" w:right="155" w:firstLine="0"/>
      </w:pPr>
      <w:r>
        <w:rPr>
          <w:color w:val="231F20"/>
        </w:rPr>
        <w:t>Promote the development of practice standards and guidelines for ambulatory services. Key actions include; - Revive Joint Consultative Committee on Referral (JCCR); Develop guidelines</w:t>
      </w:r>
      <w:r>
        <w:rPr>
          <w:color w:val="231F20"/>
          <w:spacing w:val="-26"/>
        </w:rPr>
        <w:t xml:space="preserve"> </w:t>
      </w:r>
      <w:r>
        <w:rPr>
          <w:color w:val="231F20"/>
        </w:rPr>
        <w:t>for</w:t>
      </w:r>
      <w:r>
        <w:rPr>
          <w:color w:val="231F20"/>
          <w:spacing w:val="-25"/>
        </w:rPr>
        <w:t xml:space="preserve"> </w:t>
      </w:r>
      <w:r>
        <w:rPr>
          <w:color w:val="231F20"/>
        </w:rPr>
        <w:t>ambulatory</w:t>
      </w:r>
      <w:r>
        <w:rPr>
          <w:color w:val="231F20"/>
          <w:spacing w:val="-25"/>
        </w:rPr>
        <w:t xml:space="preserve"> </w:t>
      </w:r>
      <w:r>
        <w:rPr>
          <w:color w:val="231F20"/>
        </w:rPr>
        <w:t>services</w:t>
      </w:r>
      <w:r>
        <w:rPr>
          <w:color w:val="231F20"/>
          <w:spacing w:val="-26"/>
        </w:rPr>
        <w:t xml:space="preserve"> </w:t>
      </w:r>
      <w:r>
        <w:rPr>
          <w:color w:val="231F20"/>
        </w:rPr>
        <w:t>by</w:t>
      </w:r>
      <w:r>
        <w:rPr>
          <w:color w:val="231F20"/>
          <w:spacing w:val="-25"/>
        </w:rPr>
        <w:t xml:space="preserve"> </w:t>
      </w:r>
      <w:r>
        <w:rPr>
          <w:color w:val="231F20"/>
        </w:rPr>
        <w:t>the</w:t>
      </w:r>
      <w:r>
        <w:rPr>
          <w:color w:val="231F20"/>
          <w:spacing w:val="-25"/>
        </w:rPr>
        <w:t xml:space="preserve"> </w:t>
      </w:r>
      <w:r>
        <w:rPr>
          <w:color w:val="231F20"/>
        </w:rPr>
        <w:t>JCCR;</w:t>
      </w:r>
      <w:r>
        <w:rPr>
          <w:color w:val="231F20"/>
          <w:spacing w:val="-29"/>
        </w:rPr>
        <w:t xml:space="preserve"> </w:t>
      </w:r>
      <w:r>
        <w:rPr>
          <w:color w:val="231F20"/>
        </w:rPr>
        <w:t>Train</w:t>
      </w:r>
      <w:r>
        <w:rPr>
          <w:color w:val="231F20"/>
          <w:spacing w:val="-26"/>
        </w:rPr>
        <w:t xml:space="preserve"> </w:t>
      </w:r>
      <w:r>
        <w:rPr>
          <w:color w:val="231F20"/>
        </w:rPr>
        <w:t>staff</w:t>
      </w:r>
      <w:r>
        <w:rPr>
          <w:color w:val="231F20"/>
          <w:spacing w:val="-25"/>
        </w:rPr>
        <w:t xml:space="preserve"> </w:t>
      </w:r>
      <w:r>
        <w:rPr>
          <w:color w:val="231F20"/>
        </w:rPr>
        <w:t>on</w:t>
      </w:r>
      <w:r>
        <w:rPr>
          <w:color w:val="231F20"/>
          <w:spacing w:val="-25"/>
        </w:rPr>
        <w:t xml:space="preserve"> </w:t>
      </w:r>
      <w:r>
        <w:rPr>
          <w:color w:val="231F20"/>
        </w:rPr>
        <w:t>developed</w:t>
      </w:r>
      <w:r>
        <w:rPr>
          <w:color w:val="231F20"/>
          <w:spacing w:val="-26"/>
        </w:rPr>
        <w:t xml:space="preserve"> </w:t>
      </w:r>
      <w:r>
        <w:rPr>
          <w:color w:val="231F20"/>
        </w:rPr>
        <w:t>guidelines.</w:t>
      </w:r>
    </w:p>
    <w:p w14:paraId="1E97B2B8" w14:textId="77777777" w:rsidR="009948F1" w:rsidRDefault="009948F1">
      <w:pPr>
        <w:pStyle w:val="BodyText"/>
        <w:spacing w:before="6"/>
        <w:rPr>
          <w:sz w:val="26"/>
        </w:rPr>
      </w:pPr>
    </w:p>
    <w:p w14:paraId="3CAFFC89" w14:textId="77777777" w:rsidR="009948F1" w:rsidRDefault="00BC0563">
      <w:pPr>
        <w:pStyle w:val="ListParagraph"/>
        <w:numPr>
          <w:ilvl w:val="3"/>
          <w:numId w:val="280"/>
        </w:numPr>
        <w:tabs>
          <w:tab w:val="left" w:pos="930"/>
        </w:tabs>
        <w:spacing w:line="292" w:lineRule="auto"/>
        <w:ind w:left="178" w:right="155" w:firstLine="0"/>
      </w:pPr>
      <w:r>
        <w:rPr>
          <w:color w:val="231F20"/>
        </w:rPr>
        <w:t>Scale-up functional and integrated ambulatory services (general, and specialized) in all facilities</w:t>
      </w:r>
      <w:r>
        <w:rPr>
          <w:color w:val="231F20"/>
          <w:spacing w:val="-12"/>
        </w:rPr>
        <w:t xml:space="preserve"> </w:t>
      </w:r>
      <w:r>
        <w:rPr>
          <w:color w:val="231F20"/>
        </w:rPr>
        <w:t>according</w:t>
      </w:r>
      <w:r>
        <w:rPr>
          <w:color w:val="231F20"/>
          <w:spacing w:val="-11"/>
        </w:rPr>
        <w:t xml:space="preserve"> </w:t>
      </w:r>
      <w:r>
        <w:rPr>
          <w:color w:val="231F20"/>
        </w:rPr>
        <w:t>to</w:t>
      </w:r>
      <w:r>
        <w:rPr>
          <w:color w:val="231F20"/>
          <w:spacing w:val="-12"/>
        </w:rPr>
        <w:t xml:space="preserve"> </w:t>
      </w:r>
      <w:r>
        <w:rPr>
          <w:color w:val="231F20"/>
        </w:rPr>
        <w:t>standards.</w:t>
      </w:r>
      <w:r>
        <w:rPr>
          <w:color w:val="231F20"/>
          <w:spacing w:val="-11"/>
        </w:rPr>
        <w:t xml:space="preserve"> </w:t>
      </w:r>
      <w:r>
        <w:rPr>
          <w:color w:val="231F20"/>
        </w:rPr>
        <w:t>Key</w:t>
      </w:r>
      <w:r>
        <w:rPr>
          <w:color w:val="231F20"/>
          <w:spacing w:val="-12"/>
        </w:rPr>
        <w:t xml:space="preserve"> </w:t>
      </w:r>
      <w:r>
        <w:rPr>
          <w:color w:val="231F20"/>
        </w:rPr>
        <w:t>actions</w:t>
      </w:r>
      <w:r>
        <w:rPr>
          <w:color w:val="231F20"/>
          <w:spacing w:val="-11"/>
        </w:rPr>
        <w:t xml:space="preserve"> </w:t>
      </w:r>
      <w:r>
        <w:rPr>
          <w:color w:val="231F20"/>
        </w:rPr>
        <w:t>include;</w:t>
      </w:r>
      <w:r>
        <w:rPr>
          <w:color w:val="231F20"/>
          <w:spacing w:val="-11"/>
        </w:rPr>
        <w:t xml:space="preserve"> </w:t>
      </w:r>
      <w:r>
        <w:rPr>
          <w:color w:val="231F20"/>
        </w:rPr>
        <w:t>–</w:t>
      </w:r>
      <w:r>
        <w:rPr>
          <w:color w:val="231F20"/>
          <w:spacing w:val="-12"/>
        </w:rPr>
        <w:t xml:space="preserve"> </w:t>
      </w:r>
      <w:r>
        <w:rPr>
          <w:color w:val="231F20"/>
        </w:rPr>
        <w:t>Monitor</w:t>
      </w:r>
      <w:r>
        <w:rPr>
          <w:color w:val="231F20"/>
          <w:spacing w:val="-11"/>
        </w:rPr>
        <w:t xml:space="preserve"> </w:t>
      </w:r>
      <w:r>
        <w:rPr>
          <w:color w:val="231F20"/>
        </w:rPr>
        <w:t>and</w:t>
      </w:r>
      <w:r>
        <w:rPr>
          <w:color w:val="231F20"/>
          <w:spacing w:val="-11"/>
        </w:rPr>
        <w:t xml:space="preserve"> </w:t>
      </w:r>
      <w:r>
        <w:rPr>
          <w:color w:val="231F20"/>
        </w:rPr>
        <w:t>Evaluate</w:t>
      </w:r>
      <w:r>
        <w:rPr>
          <w:color w:val="231F20"/>
          <w:spacing w:val="-12"/>
        </w:rPr>
        <w:t xml:space="preserve"> </w:t>
      </w:r>
      <w:r>
        <w:rPr>
          <w:color w:val="231F20"/>
        </w:rPr>
        <w:t>ambulatory</w:t>
      </w:r>
      <w:r>
        <w:rPr>
          <w:color w:val="231F20"/>
          <w:spacing w:val="-11"/>
        </w:rPr>
        <w:t xml:space="preserve"> </w:t>
      </w:r>
      <w:r>
        <w:rPr>
          <w:color w:val="231F20"/>
        </w:rPr>
        <w:t>services activities</w:t>
      </w:r>
      <w:r>
        <w:rPr>
          <w:color w:val="231F20"/>
          <w:spacing w:val="-17"/>
        </w:rPr>
        <w:t xml:space="preserve"> </w:t>
      </w:r>
      <w:r>
        <w:rPr>
          <w:color w:val="231F20"/>
        </w:rPr>
        <w:t>by</w:t>
      </w:r>
      <w:r>
        <w:rPr>
          <w:color w:val="231F20"/>
          <w:spacing w:val="-16"/>
        </w:rPr>
        <w:t xml:space="preserve"> </w:t>
      </w:r>
      <w:r>
        <w:rPr>
          <w:color w:val="231F20"/>
        </w:rPr>
        <w:t>the</w:t>
      </w:r>
      <w:r>
        <w:rPr>
          <w:color w:val="231F20"/>
          <w:spacing w:val="-16"/>
        </w:rPr>
        <w:t xml:space="preserve"> </w:t>
      </w:r>
      <w:r>
        <w:rPr>
          <w:color w:val="231F20"/>
        </w:rPr>
        <w:t>central</w:t>
      </w:r>
      <w:r>
        <w:rPr>
          <w:color w:val="231F20"/>
          <w:spacing w:val="-16"/>
        </w:rPr>
        <w:t xml:space="preserve"> </w:t>
      </w:r>
      <w:r>
        <w:rPr>
          <w:color w:val="231F20"/>
        </w:rPr>
        <w:t>M&amp;E</w:t>
      </w:r>
      <w:r>
        <w:rPr>
          <w:color w:val="231F20"/>
          <w:spacing w:val="-16"/>
        </w:rPr>
        <w:t xml:space="preserve"> </w:t>
      </w:r>
      <w:r>
        <w:rPr>
          <w:color w:val="231F20"/>
        </w:rPr>
        <w:t>unit</w:t>
      </w:r>
      <w:r>
        <w:rPr>
          <w:color w:val="231F20"/>
          <w:spacing w:val="-16"/>
        </w:rPr>
        <w:t xml:space="preserve"> </w:t>
      </w:r>
      <w:r>
        <w:rPr>
          <w:color w:val="231F20"/>
        </w:rPr>
        <w:t>and</w:t>
      </w:r>
      <w:r>
        <w:rPr>
          <w:color w:val="231F20"/>
          <w:spacing w:val="-16"/>
        </w:rPr>
        <w:t xml:space="preserve"> </w:t>
      </w:r>
      <w:r>
        <w:rPr>
          <w:color w:val="231F20"/>
        </w:rPr>
        <w:t>make</w:t>
      </w:r>
      <w:r>
        <w:rPr>
          <w:color w:val="231F20"/>
          <w:spacing w:val="-16"/>
        </w:rPr>
        <w:t xml:space="preserve"> </w:t>
      </w:r>
      <w:r>
        <w:rPr>
          <w:color w:val="231F20"/>
        </w:rPr>
        <w:t>report</w:t>
      </w:r>
      <w:r>
        <w:rPr>
          <w:color w:val="231F20"/>
          <w:spacing w:val="-16"/>
        </w:rPr>
        <w:t xml:space="preserve"> </w:t>
      </w:r>
      <w:r>
        <w:rPr>
          <w:color w:val="231F20"/>
        </w:rPr>
        <w:t>available</w:t>
      </w:r>
      <w:r>
        <w:rPr>
          <w:color w:val="231F20"/>
          <w:spacing w:val="-16"/>
        </w:rPr>
        <w:t xml:space="preserve"> </w:t>
      </w:r>
      <w:r>
        <w:rPr>
          <w:color w:val="231F20"/>
        </w:rPr>
        <w:t>to</w:t>
      </w:r>
      <w:r>
        <w:rPr>
          <w:color w:val="231F20"/>
          <w:spacing w:val="-17"/>
        </w:rPr>
        <w:t xml:space="preserve"> </w:t>
      </w:r>
      <w:r>
        <w:rPr>
          <w:color w:val="231F20"/>
        </w:rPr>
        <w:t>all</w:t>
      </w:r>
      <w:r>
        <w:rPr>
          <w:color w:val="231F20"/>
          <w:spacing w:val="-16"/>
        </w:rPr>
        <w:t xml:space="preserve"> </w:t>
      </w:r>
      <w:r>
        <w:rPr>
          <w:color w:val="231F20"/>
        </w:rPr>
        <w:t>stakeholders;</w:t>
      </w:r>
      <w:r>
        <w:rPr>
          <w:color w:val="231F20"/>
          <w:spacing w:val="-16"/>
        </w:rPr>
        <w:t xml:space="preserve"> </w:t>
      </w:r>
      <w:r>
        <w:rPr>
          <w:color w:val="231F20"/>
        </w:rPr>
        <w:t>Employ</w:t>
      </w:r>
      <w:r>
        <w:rPr>
          <w:color w:val="231F20"/>
          <w:spacing w:val="-16"/>
        </w:rPr>
        <w:t xml:space="preserve"> </w:t>
      </w:r>
      <w:r>
        <w:rPr>
          <w:color w:val="231F20"/>
        </w:rPr>
        <w:t>and</w:t>
      </w:r>
      <w:r>
        <w:rPr>
          <w:color w:val="231F20"/>
          <w:spacing w:val="-16"/>
        </w:rPr>
        <w:t xml:space="preserve"> </w:t>
      </w:r>
      <w:r>
        <w:rPr>
          <w:color w:val="231F20"/>
        </w:rPr>
        <w:t>deploy health professionals to all facilities in the state; Train and re-train staff on integrated ambulatory services</w:t>
      </w:r>
      <w:r>
        <w:rPr>
          <w:color w:val="231F20"/>
          <w:spacing w:val="-25"/>
        </w:rPr>
        <w:t xml:space="preserve"> </w:t>
      </w:r>
      <w:r>
        <w:rPr>
          <w:color w:val="231F20"/>
        </w:rPr>
        <w:t>in</w:t>
      </w:r>
      <w:r>
        <w:rPr>
          <w:color w:val="231F20"/>
          <w:spacing w:val="-25"/>
        </w:rPr>
        <w:t xml:space="preserve"> </w:t>
      </w:r>
      <w:r>
        <w:rPr>
          <w:color w:val="231F20"/>
        </w:rPr>
        <w:t>all</w:t>
      </w:r>
      <w:r>
        <w:rPr>
          <w:color w:val="231F20"/>
          <w:spacing w:val="-25"/>
        </w:rPr>
        <w:t xml:space="preserve"> </w:t>
      </w:r>
      <w:proofErr w:type="spellStart"/>
      <w:r>
        <w:rPr>
          <w:color w:val="231F20"/>
        </w:rPr>
        <w:t>Hfs</w:t>
      </w:r>
      <w:proofErr w:type="spellEnd"/>
      <w:r>
        <w:rPr>
          <w:color w:val="231F20"/>
        </w:rPr>
        <w:t>.</w:t>
      </w:r>
    </w:p>
    <w:p w14:paraId="4677D661" w14:textId="77777777" w:rsidR="009948F1" w:rsidRDefault="009948F1">
      <w:pPr>
        <w:pStyle w:val="BodyText"/>
        <w:spacing w:before="5"/>
        <w:rPr>
          <w:sz w:val="26"/>
        </w:rPr>
      </w:pPr>
    </w:p>
    <w:p w14:paraId="7E68336E" w14:textId="77777777" w:rsidR="009948F1" w:rsidRDefault="00BC0563">
      <w:pPr>
        <w:pStyle w:val="ListParagraph"/>
        <w:numPr>
          <w:ilvl w:val="3"/>
          <w:numId w:val="280"/>
        </w:numPr>
        <w:tabs>
          <w:tab w:val="left" w:pos="902"/>
        </w:tabs>
        <w:spacing w:line="292" w:lineRule="auto"/>
        <w:ind w:left="178" w:right="156" w:firstLine="0"/>
      </w:pPr>
      <w:r>
        <w:rPr>
          <w:color w:val="231F20"/>
        </w:rPr>
        <w:t>Promote</w:t>
      </w:r>
      <w:r>
        <w:rPr>
          <w:color w:val="231F20"/>
          <w:spacing w:val="-13"/>
        </w:rPr>
        <w:t xml:space="preserve"> </w:t>
      </w:r>
      <w:r>
        <w:rPr>
          <w:color w:val="231F20"/>
        </w:rPr>
        <w:t>&amp;</w:t>
      </w:r>
      <w:r>
        <w:rPr>
          <w:color w:val="231F20"/>
          <w:spacing w:val="-13"/>
        </w:rPr>
        <w:t xml:space="preserve"> </w:t>
      </w:r>
      <w:r>
        <w:rPr>
          <w:color w:val="231F20"/>
        </w:rPr>
        <w:t>enhance</w:t>
      </w:r>
      <w:r>
        <w:rPr>
          <w:color w:val="231F20"/>
          <w:spacing w:val="-13"/>
        </w:rPr>
        <w:t xml:space="preserve"> </w:t>
      </w:r>
      <w:r>
        <w:rPr>
          <w:color w:val="231F20"/>
        </w:rPr>
        <w:t>capacity</w:t>
      </w:r>
      <w:r>
        <w:rPr>
          <w:color w:val="231F20"/>
          <w:spacing w:val="-12"/>
        </w:rPr>
        <w:t xml:space="preserve"> </w:t>
      </w:r>
      <w:r>
        <w:rPr>
          <w:color w:val="231F20"/>
        </w:rPr>
        <w:t>(human</w:t>
      </w:r>
      <w:r>
        <w:rPr>
          <w:color w:val="231F20"/>
          <w:spacing w:val="-13"/>
        </w:rPr>
        <w:t xml:space="preserve"> </w:t>
      </w:r>
      <w:r>
        <w:rPr>
          <w:color w:val="231F20"/>
        </w:rPr>
        <w:t>and</w:t>
      </w:r>
      <w:r>
        <w:rPr>
          <w:color w:val="231F20"/>
          <w:spacing w:val="-12"/>
        </w:rPr>
        <w:t xml:space="preserve"> </w:t>
      </w:r>
      <w:r>
        <w:rPr>
          <w:color w:val="231F20"/>
        </w:rPr>
        <w:t>institutional)</w:t>
      </w:r>
      <w:r>
        <w:rPr>
          <w:color w:val="231F20"/>
          <w:spacing w:val="-13"/>
        </w:rPr>
        <w:t xml:space="preserve"> </w:t>
      </w:r>
      <w:r>
        <w:rPr>
          <w:color w:val="231F20"/>
        </w:rPr>
        <w:t>for</w:t>
      </w:r>
      <w:r>
        <w:rPr>
          <w:color w:val="231F20"/>
          <w:spacing w:val="-13"/>
        </w:rPr>
        <w:t xml:space="preserve"> </w:t>
      </w:r>
      <w:r>
        <w:rPr>
          <w:color w:val="231F20"/>
        </w:rPr>
        <w:t>continuous</w:t>
      </w:r>
      <w:r>
        <w:rPr>
          <w:color w:val="231F20"/>
          <w:spacing w:val="-12"/>
        </w:rPr>
        <w:t xml:space="preserve"> </w:t>
      </w:r>
      <w:r>
        <w:rPr>
          <w:color w:val="231F20"/>
        </w:rPr>
        <w:t>quality</w:t>
      </w:r>
      <w:r>
        <w:rPr>
          <w:color w:val="231F20"/>
          <w:spacing w:val="-13"/>
        </w:rPr>
        <w:t xml:space="preserve"> </w:t>
      </w:r>
      <w:r>
        <w:rPr>
          <w:color w:val="231F20"/>
        </w:rPr>
        <w:t>improvement of Outpatient services. Key actions include; – Train health care providers on Triage and Lean Approach</w:t>
      </w:r>
      <w:r>
        <w:rPr>
          <w:color w:val="231F20"/>
          <w:spacing w:val="-8"/>
        </w:rPr>
        <w:t xml:space="preserve"> </w:t>
      </w:r>
      <w:r>
        <w:rPr>
          <w:color w:val="231F20"/>
        </w:rPr>
        <w:t>to</w:t>
      </w:r>
      <w:r>
        <w:rPr>
          <w:color w:val="231F20"/>
          <w:spacing w:val="-8"/>
        </w:rPr>
        <w:t xml:space="preserve"> </w:t>
      </w:r>
      <w:r>
        <w:rPr>
          <w:color w:val="231F20"/>
        </w:rPr>
        <w:t>health</w:t>
      </w:r>
      <w:r>
        <w:rPr>
          <w:color w:val="231F20"/>
          <w:spacing w:val="-8"/>
        </w:rPr>
        <w:t xml:space="preserve"> </w:t>
      </w:r>
      <w:r>
        <w:rPr>
          <w:color w:val="231F20"/>
        </w:rPr>
        <w:t>care</w:t>
      </w:r>
      <w:r>
        <w:rPr>
          <w:color w:val="231F20"/>
          <w:spacing w:val="-8"/>
        </w:rPr>
        <w:t xml:space="preserve"> </w:t>
      </w:r>
      <w:r>
        <w:rPr>
          <w:color w:val="231F20"/>
        </w:rPr>
        <w:t>service;</w:t>
      </w:r>
      <w:r>
        <w:rPr>
          <w:color w:val="231F20"/>
          <w:spacing w:val="-7"/>
        </w:rPr>
        <w:t xml:space="preserve"> </w:t>
      </w:r>
      <w:r>
        <w:rPr>
          <w:color w:val="231F20"/>
        </w:rPr>
        <w:t>Monthly</w:t>
      </w:r>
      <w:r>
        <w:rPr>
          <w:color w:val="231F20"/>
          <w:spacing w:val="-8"/>
        </w:rPr>
        <w:t xml:space="preserve"> </w:t>
      </w:r>
      <w:r>
        <w:rPr>
          <w:color w:val="231F20"/>
        </w:rPr>
        <w:t>review</w:t>
      </w:r>
      <w:r>
        <w:rPr>
          <w:color w:val="231F20"/>
          <w:spacing w:val="-8"/>
        </w:rPr>
        <w:t xml:space="preserve"> </w:t>
      </w:r>
      <w:r>
        <w:rPr>
          <w:color w:val="231F20"/>
        </w:rPr>
        <w:t>meetings</w:t>
      </w:r>
      <w:r>
        <w:rPr>
          <w:color w:val="231F20"/>
          <w:spacing w:val="-8"/>
        </w:rPr>
        <w:t xml:space="preserve"> </w:t>
      </w:r>
      <w:r>
        <w:rPr>
          <w:color w:val="231F20"/>
        </w:rPr>
        <w:t>on</w:t>
      </w:r>
      <w:r>
        <w:rPr>
          <w:color w:val="231F20"/>
          <w:spacing w:val="-8"/>
        </w:rPr>
        <w:t xml:space="preserve"> </w:t>
      </w:r>
      <w:r>
        <w:rPr>
          <w:color w:val="231F20"/>
        </w:rPr>
        <w:t>implementation</w:t>
      </w:r>
      <w:r>
        <w:rPr>
          <w:color w:val="231F20"/>
          <w:spacing w:val="-7"/>
        </w:rPr>
        <w:t xml:space="preserve"> </w:t>
      </w:r>
      <w:r>
        <w:rPr>
          <w:color w:val="231F20"/>
        </w:rPr>
        <w:t>of</w:t>
      </w:r>
      <w:r>
        <w:rPr>
          <w:color w:val="231F20"/>
          <w:spacing w:val="-12"/>
        </w:rPr>
        <w:t xml:space="preserve"> </w:t>
      </w:r>
      <w:r>
        <w:rPr>
          <w:color w:val="231F20"/>
        </w:rPr>
        <w:t>Triage</w:t>
      </w:r>
      <w:r>
        <w:rPr>
          <w:color w:val="231F20"/>
          <w:spacing w:val="-8"/>
        </w:rPr>
        <w:t xml:space="preserve"> </w:t>
      </w:r>
      <w:r>
        <w:rPr>
          <w:color w:val="231F20"/>
        </w:rPr>
        <w:t>and</w:t>
      </w:r>
      <w:r>
        <w:rPr>
          <w:color w:val="231F20"/>
          <w:spacing w:val="-8"/>
        </w:rPr>
        <w:t xml:space="preserve"> </w:t>
      </w:r>
      <w:r>
        <w:rPr>
          <w:color w:val="231F20"/>
        </w:rPr>
        <w:t>Lean; Provide</w:t>
      </w:r>
      <w:r>
        <w:rPr>
          <w:color w:val="231F20"/>
          <w:spacing w:val="-12"/>
        </w:rPr>
        <w:t xml:space="preserve"> </w:t>
      </w:r>
      <w:r>
        <w:rPr>
          <w:color w:val="231F20"/>
        </w:rPr>
        <w:t>directional</w:t>
      </w:r>
      <w:r>
        <w:rPr>
          <w:color w:val="231F20"/>
          <w:spacing w:val="-11"/>
        </w:rPr>
        <w:t xml:space="preserve"> </w:t>
      </w:r>
      <w:r>
        <w:rPr>
          <w:color w:val="231F20"/>
        </w:rPr>
        <w:t>signs</w:t>
      </w:r>
      <w:r>
        <w:rPr>
          <w:color w:val="231F20"/>
          <w:spacing w:val="-11"/>
        </w:rPr>
        <w:t xml:space="preserve"> </w:t>
      </w:r>
      <w:r>
        <w:rPr>
          <w:color w:val="231F20"/>
        </w:rPr>
        <w:t>and</w:t>
      </w:r>
      <w:r>
        <w:rPr>
          <w:color w:val="231F20"/>
          <w:spacing w:val="-11"/>
        </w:rPr>
        <w:t xml:space="preserve"> </w:t>
      </w:r>
      <w:r>
        <w:rPr>
          <w:color w:val="231F20"/>
        </w:rPr>
        <w:t>tagging</w:t>
      </w:r>
      <w:r>
        <w:rPr>
          <w:color w:val="231F20"/>
          <w:spacing w:val="-11"/>
        </w:rPr>
        <w:t xml:space="preserve"> </w:t>
      </w:r>
      <w:r>
        <w:rPr>
          <w:color w:val="231F20"/>
        </w:rPr>
        <w:t>of</w:t>
      </w:r>
      <w:r>
        <w:rPr>
          <w:color w:val="231F20"/>
          <w:spacing w:val="-11"/>
        </w:rPr>
        <w:t xml:space="preserve"> </w:t>
      </w:r>
      <w:r>
        <w:rPr>
          <w:color w:val="231F20"/>
        </w:rPr>
        <w:t>Departments</w:t>
      </w:r>
      <w:r>
        <w:rPr>
          <w:color w:val="231F20"/>
          <w:spacing w:val="-11"/>
        </w:rPr>
        <w:t xml:space="preserve"> </w:t>
      </w:r>
      <w:r>
        <w:rPr>
          <w:color w:val="231F20"/>
        </w:rPr>
        <w:t>and</w:t>
      </w:r>
      <w:r>
        <w:rPr>
          <w:color w:val="231F20"/>
          <w:spacing w:val="-11"/>
        </w:rPr>
        <w:t xml:space="preserve"> </w:t>
      </w:r>
      <w:r>
        <w:rPr>
          <w:color w:val="231F20"/>
        </w:rPr>
        <w:t>Units</w:t>
      </w:r>
      <w:r>
        <w:rPr>
          <w:color w:val="231F20"/>
          <w:spacing w:val="-11"/>
        </w:rPr>
        <w:t xml:space="preserve"> </w:t>
      </w:r>
      <w:r>
        <w:rPr>
          <w:color w:val="231F20"/>
        </w:rPr>
        <w:t>in</w:t>
      </w:r>
      <w:r>
        <w:rPr>
          <w:color w:val="231F20"/>
          <w:spacing w:val="-11"/>
        </w:rPr>
        <w:t xml:space="preserve"> </w:t>
      </w:r>
      <w:r>
        <w:rPr>
          <w:color w:val="231F20"/>
        </w:rPr>
        <w:t>all</w:t>
      </w:r>
      <w:r>
        <w:rPr>
          <w:color w:val="231F20"/>
          <w:spacing w:val="-11"/>
        </w:rPr>
        <w:t xml:space="preserve"> </w:t>
      </w:r>
      <w:r>
        <w:rPr>
          <w:color w:val="231F20"/>
        </w:rPr>
        <w:t>HFs</w:t>
      </w:r>
      <w:r>
        <w:rPr>
          <w:color w:val="231F20"/>
          <w:spacing w:val="-12"/>
        </w:rPr>
        <w:t xml:space="preserve"> </w:t>
      </w:r>
      <w:r>
        <w:rPr>
          <w:color w:val="231F20"/>
        </w:rPr>
        <w:t>to</w:t>
      </w:r>
      <w:r>
        <w:rPr>
          <w:color w:val="231F20"/>
          <w:spacing w:val="-11"/>
        </w:rPr>
        <w:t xml:space="preserve"> </w:t>
      </w:r>
      <w:r>
        <w:rPr>
          <w:color w:val="231F20"/>
        </w:rPr>
        <w:t>shorten</w:t>
      </w:r>
      <w:r>
        <w:rPr>
          <w:color w:val="231F20"/>
          <w:spacing w:val="-11"/>
        </w:rPr>
        <w:t xml:space="preserve"> </w:t>
      </w:r>
      <w:r>
        <w:rPr>
          <w:color w:val="231F20"/>
        </w:rPr>
        <w:t>time</w:t>
      </w:r>
      <w:r>
        <w:rPr>
          <w:color w:val="231F20"/>
          <w:spacing w:val="-11"/>
        </w:rPr>
        <w:t xml:space="preserve"> </w:t>
      </w:r>
      <w:r>
        <w:rPr>
          <w:color w:val="231F20"/>
        </w:rPr>
        <w:t>spent</w:t>
      </w:r>
      <w:r>
        <w:rPr>
          <w:color w:val="231F20"/>
          <w:spacing w:val="-11"/>
        </w:rPr>
        <w:t xml:space="preserve"> </w:t>
      </w:r>
      <w:r>
        <w:rPr>
          <w:color w:val="231F20"/>
        </w:rPr>
        <w:t>by clients;</w:t>
      </w:r>
      <w:r>
        <w:rPr>
          <w:color w:val="231F20"/>
          <w:spacing w:val="-27"/>
        </w:rPr>
        <w:t xml:space="preserve"> </w:t>
      </w:r>
      <w:r>
        <w:rPr>
          <w:color w:val="231F20"/>
        </w:rPr>
        <w:t>Training</w:t>
      </w:r>
      <w:r>
        <w:rPr>
          <w:color w:val="231F20"/>
          <w:spacing w:val="-22"/>
        </w:rPr>
        <w:t xml:space="preserve"> </w:t>
      </w:r>
      <w:r>
        <w:rPr>
          <w:color w:val="231F20"/>
        </w:rPr>
        <w:t>of</w:t>
      </w:r>
      <w:r>
        <w:rPr>
          <w:color w:val="231F20"/>
          <w:spacing w:val="-24"/>
        </w:rPr>
        <w:t xml:space="preserve"> </w:t>
      </w:r>
      <w:r>
        <w:rPr>
          <w:color w:val="231F20"/>
        </w:rPr>
        <w:t>diseases</w:t>
      </w:r>
      <w:r>
        <w:rPr>
          <w:color w:val="231F20"/>
          <w:spacing w:val="-22"/>
        </w:rPr>
        <w:t xml:space="preserve"> </w:t>
      </w:r>
      <w:r>
        <w:rPr>
          <w:color w:val="231F20"/>
        </w:rPr>
        <w:t>surveillance</w:t>
      </w:r>
      <w:r>
        <w:rPr>
          <w:color w:val="231F20"/>
          <w:spacing w:val="-22"/>
        </w:rPr>
        <w:t xml:space="preserve"> </w:t>
      </w:r>
      <w:r>
        <w:rPr>
          <w:color w:val="231F20"/>
        </w:rPr>
        <w:t>officers</w:t>
      </w:r>
      <w:r>
        <w:rPr>
          <w:color w:val="231F20"/>
          <w:spacing w:val="-23"/>
        </w:rPr>
        <w:t xml:space="preserve"> </w:t>
      </w:r>
      <w:r>
        <w:rPr>
          <w:color w:val="231F20"/>
        </w:rPr>
        <w:t>for</w:t>
      </w:r>
      <w:r>
        <w:rPr>
          <w:color w:val="231F20"/>
          <w:spacing w:val="-23"/>
        </w:rPr>
        <w:t xml:space="preserve"> </w:t>
      </w:r>
      <w:r>
        <w:rPr>
          <w:color w:val="231F20"/>
        </w:rPr>
        <w:t>active</w:t>
      </w:r>
      <w:r>
        <w:rPr>
          <w:color w:val="231F20"/>
          <w:spacing w:val="-23"/>
        </w:rPr>
        <w:t xml:space="preserve"> </w:t>
      </w:r>
      <w:r>
        <w:rPr>
          <w:color w:val="231F20"/>
        </w:rPr>
        <w:t>case</w:t>
      </w:r>
      <w:r>
        <w:rPr>
          <w:color w:val="231F20"/>
          <w:spacing w:val="-23"/>
        </w:rPr>
        <w:t xml:space="preserve"> </w:t>
      </w:r>
      <w:r>
        <w:rPr>
          <w:color w:val="231F20"/>
        </w:rPr>
        <w:t>search;</w:t>
      </w:r>
      <w:r>
        <w:rPr>
          <w:color w:val="231F20"/>
          <w:spacing w:val="-23"/>
        </w:rPr>
        <w:t xml:space="preserve"> </w:t>
      </w:r>
      <w:r>
        <w:rPr>
          <w:color w:val="231F20"/>
        </w:rPr>
        <w:t>Prompt</w:t>
      </w:r>
      <w:r>
        <w:rPr>
          <w:color w:val="231F20"/>
          <w:spacing w:val="-23"/>
        </w:rPr>
        <w:t xml:space="preserve"> </w:t>
      </w:r>
      <w:r>
        <w:rPr>
          <w:color w:val="231F20"/>
        </w:rPr>
        <w:t>treatment</w:t>
      </w:r>
      <w:r>
        <w:rPr>
          <w:color w:val="231F20"/>
          <w:spacing w:val="-23"/>
        </w:rPr>
        <w:t xml:space="preserve"> </w:t>
      </w:r>
      <w:r>
        <w:rPr>
          <w:color w:val="231F20"/>
        </w:rPr>
        <w:t>of</w:t>
      </w:r>
      <w:r>
        <w:rPr>
          <w:color w:val="231F20"/>
          <w:spacing w:val="-23"/>
        </w:rPr>
        <w:t xml:space="preserve"> </w:t>
      </w:r>
      <w:r>
        <w:rPr>
          <w:color w:val="231F20"/>
        </w:rPr>
        <w:t>clients on</w:t>
      </w:r>
      <w:r>
        <w:rPr>
          <w:color w:val="231F20"/>
          <w:spacing w:val="-25"/>
        </w:rPr>
        <w:t xml:space="preserve"> </w:t>
      </w:r>
      <w:r>
        <w:rPr>
          <w:color w:val="231F20"/>
        </w:rPr>
        <w:t>arrival</w:t>
      </w:r>
      <w:r>
        <w:rPr>
          <w:color w:val="231F20"/>
          <w:spacing w:val="-25"/>
        </w:rPr>
        <w:t xml:space="preserve"> </w:t>
      </w:r>
      <w:r>
        <w:rPr>
          <w:color w:val="231F20"/>
        </w:rPr>
        <w:t>to</w:t>
      </w:r>
      <w:r>
        <w:rPr>
          <w:color w:val="231F20"/>
          <w:spacing w:val="-25"/>
        </w:rPr>
        <w:t xml:space="preserve"> </w:t>
      </w:r>
      <w:r>
        <w:rPr>
          <w:color w:val="231F20"/>
        </w:rPr>
        <w:t>health</w:t>
      </w:r>
      <w:r>
        <w:rPr>
          <w:color w:val="231F20"/>
          <w:spacing w:val="-25"/>
        </w:rPr>
        <w:t xml:space="preserve"> </w:t>
      </w:r>
      <w:r>
        <w:rPr>
          <w:color w:val="231F20"/>
        </w:rPr>
        <w:t>facilities.</w:t>
      </w:r>
    </w:p>
    <w:p w14:paraId="7E8A0E40" w14:textId="77777777" w:rsidR="009948F1" w:rsidRDefault="009948F1">
      <w:pPr>
        <w:pStyle w:val="BodyText"/>
        <w:spacing w:before="5"/>
        <w:rPr>
          <w:sz w:val="26"/>
        </w:rPr>
      </w:pPr>
    </w:p>
    <w:p w14:paraId="1151A0DE" w14:textId="77777777" w:rsidR="009948F1" w:rsidRDefault="00BC0563">
      <w:pPr>
        <w:pStyle w:val="Heading7"/>
        <w:ind w:left="178"/>
        <w:jc w:val="both"/>
      </w:pPr>
      <w:r>
        <w:rPr>
          <w:color w:val="231F20"/>
        </w:rPr>
        <w:t>Strategic objectives:</w:t>
      </w:r>
    </w:p>
    <w:p w14:paraId="0395229E" w14:textId="77777777" w:rsidR="009948F1" w:rsidRDefault="00BC0563">
      <w:pPr>
        <w:pStyle w:val="ListParagraph"/>
        <w:numPr>
          <w:ilvl w:val="2"/>
          <w:numId w:val="280"/>
        </w:numPr>
        <w:tabs>
          <w:tab w:val="left" w:pos="730"/>
        </w:tabs>
        <w:spacing w:before="55" w:line="292" w:lineRule="auto"/>
        <w:ind w:left="178" w:right="154" w:firstLine="0"/>
        <w:jc w:val="both"/>
        <w:rPr>
          <w:b/>
          <w:color w:val="231F20"/>
        </w:rPr>
      </w:pPr>
      <w:r>
        <w:rPr>
          <w:b/>
          <w:color w:val="231F20"/>
        </w:rPr>
        <w:t xml:space="preserve">Strengthen the provision of health services at public and private health facilities </w:t>
      </w:r>
      <w:r>
        <w:rPr>
          <w:b/>
          <w:color w:val="231F20"/>
          <w:spacing w:val="-4"/>
        </w:rPr>
        <w:t xml:space="preserve">that </w:t>
      </w:r>
      <w:r>
        <w:rPr>
          <w:b/>
          <w:color w:val="231F20"/>
        </w:rPr>
        <w:t>are appropriate, accessible and meet minimum quality and safety standard for optimized health</w:t>
      </w:r>
      <w:r>
        <w:rPr>
          <w:b/>
          <w:color w:val="231F20"/>
          <w:spacing w:val="-25"/>
        </w:rPr>
        <w:t xml:space="preserve"> </w:t>
      </w:r>
      <w:r>
        <w:rPr>
          <w:b/>
          <w:color w:val="231F20"/>
        </w:rPr>
        <w:t>outcomes.</w:t>
      </w:r>
    </w:p>
    <w:p w14:paraId="0B5DC332" w14:textId="77777777" w:rsidR="009948F1" w:rsidRDefault="009948F1">
      <w:pPr>
        <w:pStyle w:val="BodyText"/>
        <w:spacing w:before="6"/>
        <w:rPr>
          <w:b/>
          <w:sz w:val="26"/>
        </w:rPr>
      </w:pPr>
    </w:p>
    <w:p w14:paraId="271606B2" w14:textId="77777777" w:rsidR="009948F1" w:rsidRDefault="00BC0563">
      <w:pPr>
        <w:ind w:left="178"/>
        <w:rPr>
          <w:b/>
        </w:rPr>
      </w:pPr>
      <w:r>
        <w:rPr>
          <w:b/>
          <w:color w:val="231F20"/>
        </w:rPr>
        <w:t>Interventions:</w:t>
      </w:r>
    </w:p>
    <w:p w14:paraId="130B909E" w14:textId="77777777" w:rsidR="009948F1" w:rsidRDefault="00BC0563">
      <w:pPr>
        <w:pStyle w:val="ListParagraph"/>
        <w:numPr>
          <w:ilvl w:val="3"/>
          <w:numId w:val="280"/>
        </w:numPr>
        <w:tabs>
          <w:tab w:val="left" w:pos="917"/>
        </w:tabs>
        <w:spacing w:before="55" w:line="292" w:lineRule="auto"/>
        <w:ind w:left="178" w:right="156" w:firstLine="0"/>
      </w:pPr>
      <w:r>
        <w:rPr>
          <w:color w:val="231F20"/>
        </w:rPr>
        <w:t>Promote the development and implementation of policies, plans, legislations, regulations and</w:t>
      </w:r>
      <w:r>
        <w:rPr>
          <w:color w:val="231F20"/>
          <w:spacing w:val="-18"/>
        </w:rPr>
        <w:t xml:space="preserve"> </w:t>
      </w:r>
      <w:r>
        <w:rPr>
          <w:color w:val="231F20"/>
        </w:rPr>
        <w:t>clinical</w:t>
      </w:r>
      <w:r>
        <w:rPr>
          <w:color w:val="231F20"/>
          <w:spacing w:val="-17"/>
        </w:rPr>
        <w:t xml:space="preserve"> </w:t>
      </w:r>
      <w:r>
        <w:rPr>
          <w:color w:val="231F20"/>
        </w:rPr>
        <w:t>standards</w:t>
      </w:r>
      <w:r>
        <w:rPr>
          <w:color w:val="231F20"/>
          <w:spacing w:val="-17"/>
        </w:rPr>
        <w:t xml:space="preserve"> </w:t>
      </w:r>
      <w:r>
        <w:rPr>
          <w:color w:val="231F20"/>
        </w:rPr>
        <w:t>for</w:t>
      </w:r>
      <w:r>
        <w:rPr>
          <w:color w:val="231F20"/>
          <w:spacing w:val="-17"/>
        </w:rPr>
        <w:t xml:space="preserve"> </w:t>
      </w:r>
      <w:r>
        <w:rPr>
          <w:color w:val="231F20"/>
        </w:rPr>
        <w:t>safety</w:t>
      </w:r>
      <w:r>
        <w:rPr>
          <w:color w:val="231F20"/>
          <w:spacing w:val="-17"/>
        </w:rPr>
        <w:t xml:space="preserve"> </w:t>
      </w:r>
      <w:r>
        <w:rPr>
          <w:color w:val="231F20"/>
        </w:rPr>
        <w:t>and</w:t>
      </w:r>
      <w:r>
        <w:rPr>
          <w:color w:val="231F20"/>
          <w:spacing w:val="-17"/>
        </w:rPr>
        <w:t xml:space="preserve"> </w:t>
      </w:r>
      <w:r>
        <w:rPr>
          <w:color w:val="231F20"/>
        </w:rPr>
        <w:t>quality</w:t>
      </w:r>
      <w:r>
        <w:rPr>
          <w:color w:val="231F20"/>
          <w:spacing w:val="-17"/>
        </w:rPr>
        <w:t xml:space="preserve"> </w:t>
      </w:r>
      <w:r>
        <w:rPr>
          <w:color w:val="231F20"/>
        </w:rPr>
        <w:t>improvement</w:t>
      </w:r>
      <w:r>
        <w:rPr>
          <w:color w:val="231F20"/>
          <w:spacing w:val="-17"/>
        </w:rPr>
        <w:t xml:space="preserve"> </w:t>
      </w:r>
      <w:r>
        <w:rPr>
          <w:color w:val="231F20"/>
        </w:rPr>
        <w:t>of</w:t>
      </w:r>
      <w:r>
        <w:rPr>
          <w:color w:val="231F20"/>
          <w:spacing w:val="-17"/>
        </w:rPr>
        <w:t xml:space="preserve"> </w:t>
      </w:r>
      <w:r>
        <w:rPr>
          <w:color w:val="231F20"/>
        </w:rPr>
        <w:t>medical</w:t>
      </w:r>
      <w:r>
        <w:rPr>
          <w:color w:val="231F20"/>
          <w:spacing w:val="-17"/>
        </w:rPr>
        <w:t xml:space="preserve"> </w:t>
      </w:r>
      <w:r>
        <w:rPr>
          <w:color w:val="231F20"/>
        </w:rPr>
        <w:t>services</w:t>
      </w:r>
      <w:r>
        <w:rPr>
          <w:color w:val="231F20"/>
          <w:spacing w:val="-18"/>
        </w:rPr>
        <w:t xml:space="preserve"> </w:t>
      </w:r>
      <w:r>
        <w:rPr>
          <w:color w:val="231F20"/>
        </w:rPr>
        <w:t>across</w:t>
      </w:r>
      <w:r>
        <w:rPr>
          <w:color w:val="231F20"/>
          <w:spacing w:val="-17"/>
        </w:rPr>
        <w:t xml:space="preserve"> </w:t>
      </w:r>
      <w:r>
        <w:rPr>
          <w:color w:val="231F20"/>
        </w:rPr>
        <w:t>levels</w:t>
      </w:r>
      <w:r>
        <w:rPr>
          <w:color w:val="231F20"/>
          <w:spacing w:val="-17"/>
        </w:rPr>
        <w:t xml:space="preserve"> </w:t>
      </w:r>
      <w:r>
        <w:rPr>
          <w:color w:val="231F20"/>
        </w:rPr>
        <w:t>of</w:t>
      </w:r>
      <w:r>
        <w:rPr>
          <w:color w:val="231F20"/>
          <w:spacing w:val="-17"/>
        </w:rPr>
        <w:t xml:space="preserve"> </w:t>
      </w:r>
      <w:r>
        <w:rPr>
          <w:color w:val="231F20"/>
        </w:rPr>
        <w:t xml:space="preserve">care. Key actions include; – Set up committee to pay advocacy visit to Legislative/executive bodies </w:t>
      </w:r>
      <w:r>
        <w:rPr>
          <w:color w:val="231F20"/>
          <w:spacing w:val="-7"/>
        </w:rPr>
        <w:t xml:space="preserve">in </w:t>
      </w:r>
      <w:r>
        <w:rPr>
          <w:color w:val="231F20"/>
        </w:rPr>
        <w:t>Government</w:t>
      </w:r>
      <w:r>
        <w:rPr>
          <w:color w:val="231F20"/>
          <w:spacing w:val="-20"/>
        </w:rPr>
        <w:t xml:space="preserve"> </w:t>
      </w:r>
      <w:r>
        <w:rPr>
          <w:color w:val="231F20"/>
        </w:rPr>
        <w:t>as</w:t>
      </w:r>
      <w:r>
        <w:rPr>
          <w:color w:val="231F20"/>
          <w:spacing w:val="-19"/>
        </w:rPr>
        <w:t xml:space="preserve"> </w:t>
      </w:r>
      <w:r>
        <w:rPr>
          <w:color w:val="231F20"/>
        </w:rPr>
        <w:t>well</w:t>
      </w:r>
      <w:r>
        <w:rPr>
          <w:color w:val="231F20"/>
          <w:spacing w:val="-19"/>
        </w:rPr>
        <w:t xml:space="preserve"> </w:t>
      </w:r>
      <w:r>
        <w:rPr>
          <w:color w:val="231F20"/>
        </w:rPr>
        <w:t>as</w:t>
      </w:r>
      <w:r>
        <w:rPr>
          <w:color w:val="231F20"/>
          <w:spacing w:val="-19"/>
        </w:rPr>
        <w:t xml:space="preserve"> </w:t>
      </w:r>
      <w:r>
        <w:rPr>
          <w:color w:val="231F20"/>
        </w:rPr>
        <w:t>Partners</w:t>
      </w:r>
      <w:r>
        <w:rPr>
          <w:color w:val="231F20"/>
          <w:spacing w:val="-31"/>
        </w:rPr>
        <w:t xml:space="preserve"> </w:t>
      </w:r>
      <w:r>
        <w:rPr>
          <w:color w:val="231F20"/>
        </w:rPr>
        <w:t>Agencies(</w:t>
      </w:r>
      <w:r>
        <w:rPr>
          <w:color w:val="231F20"/>
          <w:spacing w:val="-18"/>
        </w:rPr>
        <w:t xml:space="preserve"> </w:t>
      </w:r>
      <w:r>
        <w:rPr>
          <w:color w:val="231F20"/>
        </w:rPr>
        <w:t>NGOs,</w:t>
      </w:r>
      <w:r>
        <w:rPr>
          <w:color w:val="231F20"/>
          <w:spacing w:val="-19"/>
        </w:rPr>
        <w:t xml:space="preserve"> </w:t>
      </w:r>
      <w:r>
        <w:rPr>
          <w:color w:val="231F20"/>
        </w:rPr>
        <w:t>Public</w:t>
      </w:r>
      <w:r>
        <w:rPr>
          <w:color w:val="231F20"/>
          <w:spacing w:val="-19"/>
        </w:rPr>
        <w:t xml:space="preserve"> </w:t>
      </w:r>
      <w:r>
        <w:rPr>
          <w:color w:val="231F20"/>
        </w:rPr>
        <w:t>Health</w:t>
      </w:r>
      <w:r>
        <w:rPr>
          <w:color w:val="231F20"/>
          <w:spacing w:val="-19"/>
        </w:rPr>
        <w:t xml:space="preserve"> </w:t>
      </w:r>
      <w:r>
        <w:rPr>
          <w:color w:val="231F20"/>
        </w:rPr>
        <w:t>Institutions,</w:t>
      </w:r>
      <w:r>
        <w:rPr>
          <w:color w:val="231F20"/>
          <w:spacing w:val="-19"/>
        </w:rPr>
        <w:t xml:space="preserve"> </w:t>
      </w:r>
      <w:r>
        <w:rPr>
          <w:color w:val="231F20"/>
        </w:rPr>
        <w:t>Companies</w:t>
      </w:r>
      <w:r>
        <w:rPr>
          <w:color w:val="231F20"/>
          <w:spacing w:val="-18"/>
        </w:rPr>
        <w:t xml:space="preserve"> </w:t>
      </w:r>
      <w:r>
        <w:rPr>
          <w:color w:val="231F20"/>
        </w:rPr>
        <w:t>and</w:t>
      </w:r>
      <w:r>
        <w:rPr>
          <w:color w:val="231F20"/>
          <w:spacing w:val="-20"/>
        </w:rPr>
        <w:t xml:space="preserve"> </w:t>
      </w:r>
      <w:r>
        <w:rPr>
          <w:color w:val="231F20"/>
        </w:rPr>
        <w:t>other Parastatals)</w:t>
      </w:r>
      <w:r>
        <w:rPr>
          <w:color w:val="231F20"/>
          <w:spacing w:val="-26"/>
        </w:rPr>
        <w:t xml:space="preserve"> </w:t>
      </w:r>
      <w:r>
        <w:rPr>
          <w:color w:val="231F20"/>
        </w:rPr>
        <w:t>for</w:t>
      </w:r>
      <w:r>
        <w:rPr>
          <w:color w:val="231F20"/>
          <w:spacing w:val="-25"/>
        </w:rPr>
        <w:t xml:space="preserve"> </w:t>
      </w:r>
      <w:r>
        <w:rPr>
          <w:color w:val="231F20"/>
        </w:rPr>
        <w:t>safety</w:t>
      </w:r>
      <w:r>
        <w:rPr>
          <w:color w:val="231F20"/>
          <w:spacing w:val="-25"/>
        </w:rPr>
        <w:t xml:space="preserve"> </w:t>
      </w:r>
      <w:r>
        <w:rPr>
          <w:color w:val="231F20"/>
        </w:rPr>
        <w:t>and</w:t>
      </w:r>
      <w:r>
        <w:rPr>
          <w:color w:val="231F20"/>
          <w:spacing w:val="-25"/>
        </w:rPr>
        <w:t xml:space="preserve"> </w:t>
      </w:r>
      <w:r>
        <w:rPr>
          <w:color w:val="231F20"/>
        </w:rPr>
        <w:t>quality</w:t>
      </w:r>
      <w:r>
        <w:rPr>
          <w:color w:val="231F20"/>
          <w:spacing w:val="-25"/>
        </w:rPr>
        <w:t xml:space="preserve"> </w:t>
      </w:r>
      <w:r>
        <w:rPr>
          <w:color w:val="231F20"/>
        </w:rPr>
        <w:t>improvement</w:t>
      </w:r>
      <w:r>
        <w:rPr>
          <w:color w:val="231F20"/>
          <w:spacing w:val="-25"/>
        </w:rPr>
        <w:t xml:space="preserve"> </w:t>
      </w:r>
      <w:r>
        <w:rPr>
          <w:color w:val="231F20"/>
        </w:rPr>
        <w:t>of</w:t>
      </w:r>
      <w:r>
        <w:rPr>
          <w:color w:val="231F20"/>
          <w:spacing w:val="-25"/>
        </w:rPr>
        <w:t xml:space="preserve"> </w:t>
      </w:r>
      <w:r>
        <w:rPr>
          <w:color w:val="231F20"/>
        </w:rPr>
        <w:t>medical</w:t>
      </w:r>
      <w:r>
        <w:rPr>
          <w:color w:val="231F20"/>
          <w:spacing w:val="-25"/>
        </w:rPr>
        <w:t xml:space="preserve"> </w:t>
      </w:r>
      <w:r>
        <w:rPr>
          <w:color w:val="231F20"/>
        </w:rPr>
        <w:t>services;</w:t>
      </w:r>
      <w:r>
        <w:rPr>
          <w:color w:val="231F20"/>
          <w:spacing w:val="-25"/>
        </w:rPr>
        <w:t xml:space="preserve"> </w:t>
      </w:r>
      <w:r>
        <w:rPr>
          <w:color w:val="231F20"/>
        </w:rPr>
        <w:t>Conduct</w:t>
      </w:r>
      <w:r>
        <w:rPr>
          <w:color w:val="231F20"/>
          <w:spacing w:val="-25"/>
        </w:rPr>
        <w:t xml:space="preserve"> </w:t>
      </w:r>
      <w:r>
        <w:rPr>
          <w:color w:val="231F20"/>
        </w:rPr>
        <w:t>workshops</w:t>
      </w:r>
      <w:r>
        <w:rPr>
          <w:color w:val="231F20"/>
          <w:spacing w:val="-26"/>
        </w:rPr>
        <w:t xml:space="preserve"> </w:t>
      </w:r>
      <w:r>
        <w:rPr>
          <w:color w:val="231F20"/>
        </w:rPr>
        <w:t>to</w:t>
      </w:r>
      <w:r>
        <w:rPr>
          <w:color w:val="231F20"/>
          <w:spacing w:val="-25"/>
        </w:rPr>
        <w:t xml:space="preserve"> </w:t>
      </w:r>
      <w:r>
        <w:rPr>
          <w:color w:val="231F20"/>
        </w:rPr>
        <w:t>develop policy guidelines ( Standard Operating Procedures) for Management of Common Medical conditions,</w:t>
      </w:r>
      <w:r>
        <w:rPr>
          <w:color w:val="231F20"/>
          <w:spacing w:val="-14"/>
        </w:rPr>
        <w:t xml:space="preserve"> </w:t>
      </w:r>
      <w:r>
        <w:rPr>
          <w:color w:val="231F20"/>
        </w:rPr>
        <w:t>Infection</w:t>
      </w:r>
      <w:r>
        <w:rPr>
          <w:color w:val="231F20"/>
          <w:spacing w:val="-14"/>
        </w:rPr>
        <w:t xml:space="preserve"> </w:t>
      </w:r>
      <w:r>
        <w:rPr>
          <w:color w:val="231F20"/>
        </w:rPr>
        <w:t>Prevention</w:t>
      </w:r>
      <w:r>
        <w:rPr>
          <w:color w:val="231F20"/>
          <w:spacing w:val="-13"/>
        </w:rPr>
        <w:t xml:space="preserve"> </w:t>
      </w:r>
      <w:r>
        <w:rPr>
          <w:color w:val="231F20"/>
        </w:rPr>
        <w:t>and</w:t>
      </w:r>
      <w:r>
        <w:rPr>
          <w:color w:val="231F20"/>
          <w:spacing w:val="-14"/>
        </w:rPr>
        <w:t xml:space="preserve"> </w:t>
      </w:r>
      <w:r>
        <w:rPr>
          <w:color w:val="231F20"/>
        </w:rPr>
        <w:t>Control</w:t>
      </w:r>
      <w:r>
        <w:rPr>
          <w:color w:val="231F20"/>
          <w:spacing w:val="-13"/>
        </w:rPr>
        <w:t xml:space="preserve"> </w:t>
      </w:r>
      <w:r>
        <w:rPr>
          <w:color w:val="231F20"/>
        </w:rPr>
        <w:t>and</w:t>
      </w:r>
      <w:r>
        <w:rPr>
          <w:color w:val="231F20"/>
          <w:spacing w:val="-14"/>
        </w:rPr>
        <w:t xml:space="preserve"> </w:t>
      </w:r>
      <w:r>
        <w:rPr>
          <w:color w:val="231F20"/>
        </w:rPr>
        <w:t>Quality</w:t>
      </w:r>
      <w:r>
        <w:rPr>
          <w:color w:val="231F20"/>
          <w:spacing w:val="-14"/>
        </w:rPr>
        <w:t xml:space="preserve"> </w:t>
      </w:r>
      <w:r>
        <w:rPr>
          <w:color w:val="231F20"/>
        </w:rPr>
        <w:t>of</w:t>
      </w:r>
      <w:r>
        <w:rPr>
          <w:color w:val="231F20"/>
          <w:spacing w:val="-14"/>
        </w:rPr>
        <w:t xml:space="preserve"> </w:t>
      </w:r>
      <w:r>
        <w:rPr>
          <w:color w:val="231F20"/>
        </w:rPr>
        <w:t>Care;</w:t>
      </w:r>
      <w:r>
        <w:rPr>
          <w:color w:val="231F20"/>
          <w:spacing w:val="-14"/>
        </w:rPr>
        <w:t xml:space="preserve"> </w:t>
      </w:r>
      <w:r>
        <w:rPr>
          <w:color w:val="231F20"/>
        </w:rPr>
        <w:t>Print</w:t>
      </w:r>
      <w:r>
        <w:rPr>
          <w:color w:val="231F20"/>
          <w:spacing w:val="-15"/>
        </w:rPr>
        <w:t xml:space="preserve"> </w:t>
      </w:r>
      <w:r>
        <w:rPr>
          <w:color w:val="231F20"/>
        </w:rPr>
        <w:t>and</w:t>
      </w:r>
      <w:r>
        <w:rPr>
          <w:color w:val="231F20"/>
          <w:spacing w:val="-14"/>
        </w:rPr>
        <w:t xml:space="preserve"> </w:t>
      </w:r>
      <w:r>
        <w:rPr>
          <w:color w:val="231F20"/>
        </w:rPr>
        <w:t>distribute</w:t>
      </w:r>
      <w:r>
        <w:rPr>
          <w:color w:val="231F20"/>
          <w:spacing w:val="-13"/>
        </w:rPr>
        <w:t xml:space="preserve"> </w:t>
      </w:r>
      <w:r>
        <w:rPr>
          <w:color w:val="231F20"/>
        </w:rPr>
        <w:t>guideline</w:t>
      </w:r>
      <w:r>
        <w:rPr>
          <w:color w:val="231F20"/>
          <w:spacing w:val="-13"/>
        </w:rPr>
        <w:t xml:space="preserve"> </w:t>
      </w:r>
      <w:r>
        <w:rPr>
          <w:color w:val="231F20"/>
        </w:rPr>
        <w:t xml:space="preserve">and SOPS and ensure implementation; Orientation/Interactive sessions with Stakeholders on </w:t>
      </w:r>
      <w:r>
        <w:rPr>
          <w:color w:val="231F20"/>
          <w:spacing w:val="-5"/>
        </w:rPr>
        <w:t xml:space="preserve">new </w:t>
      </w:r>
      <w:r>
        <w:rPr>
          <w:color w:val="231F20"/>
        </w:rPr>
        <w:t xml:space="preserve">Policy Documents across all levels of care; Training of Trainers Workshops on the new policy </w:t>
      </w:r>
      <w:r>
        <w:rPr>
          <w:color w:val="231F20"/>
          <w:spacing w:val="-7"/>
        </w:rPr>
        <w:t xml:space="preserve">on </w:t>
      </w:r>
      <w:r>
        <w:rPr>
          <w:color w:val="231F20"/>
        </w:rPr>
        <w:t>Quality</w:t>
      </w:r>
      <w:r>
        <w:rPr>
          <w:color w:val="231F20"/>
          <w:spacing w:val="-26"/>
        </w:rPr>
        <w:t xml:space="preserve"> </w:t>
      </w:r>
      <w:r>
        <w:rPr>
          <w:color w:val="231F20"/>
        </w:rPr>
        <w:t>of</w:t>
      </w:r>
      <w:r>
        <w:rPr>
          <w:color w:val="231F20"/>
          <w:spacing w:val="-25"/>
        </w:rPr>
        <w:t xml:space="preserve"> </w:t>
      </w:r>
      <w:r>
        <w:rPr>
          <w:color w:val="231F20"/>
        </w:rPr>
        <w:t>Care</w:t>
      </w:r>
      <w:r>
        <w:rPr>
          <w:color w:val="231F20"/>
          <w:spacing w:val="-25"/>
        </w:rPr>
        <w:t xml:space="preserve"> </w:t>
      </w:r>
      <w:r>
        <w:rPr>
          <w:color w:val="231F20"/>
        </w:rPr>
        <w:t>in</w:t>
      </w:r>
      <w:r>
        <w:rPr>
          <w:color w:val="231F20"/>
          <w:spacing w:val="-25"/>
        </w:rPr>
        <w:t xml:space="preserve"> </w:t>
      </w:r>
      <w:r>
        <w:rPr>
          <w:color w:val="231F20"/>
        </w:rPr>
        <w:t>General</w:t>
      </w:r>
      <w:r>
        <w:rPr>
          <w:color w:val="231F20"/>
          <w:spacing w:val="-25"/>
        </w:rPr>
        <w:t xml:space="preserve"> </w:t>
      </w:r>
      <w:r>
        <w:rPr>
          <w:color w:val="231F20"/>
        </w:rPr>
        <w:t>Hospital</w:t>
      </w:r>
      <w:r>
        <w:rPr>
          <w:color w:val="231F20"/>
          <w:spacing w:val="-25"/>
        </w:rPr>
        <w:t xml:space="preserve"> </w:t>
      </w:r>
      <w:r>
        <w:rPr>
          <w:color w:val="231F20"/>
        </w:rPr>
        <w:t>and</w:t>
      </w:r>
      <w:r>
        <w:rPr>
          <w:color w:val="231F20"/>
          <w:spacing w:val="-25"/>
        </w:rPr>
        <w:t xml:space="preserve"> </w:t>
      </w:r>
      <w:r>
        <w:rPr>
          <w:color w:val="231F20"/>
        </w:rPr>
        <w:t>Primary</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Facilities.</w:t>
      </w:r>
    </w:p>
    <w:p w14:paraId="3DB7A87C" w14:textId="77777777" w:rsidR="009948F1" w:rsidRDefault="009948F1">
      <w:pPr>
        <w:pStyle w:val="BodyText"/>
        <w:spacing w:before="1"/>
        <w:rPr>
          <w:sz w:val="26"/>
        </w:rPr>
      </w:pPr>
    </w:p>
    <w:p w14:paraId="49C76188" w14:textId="766E2B29" w:rsidR="009948F1" w:rsidRDefault="00BC0563">
      <w:pPr>
        <w:pStyle w:val="ListParagraph"/>
        <w:numPr>
          <w:ilvl w:val="3"/>
          <w:numId w:val="280"/>
        </w:numPr>
        <w:tabs>
          <w:tab w:val="left" w:pos="924"/>
        </w:tabs>
        <w:spacing w:line="292" w:lineRule="auto"/>
        <w:ind w:left="177" w:right="156" w:firstLine="0"/>
      </w:pPr>
      <w:r>
        <w:rPr>
          <w:color w:val="231F20"/>
        </w:rPr>
        <w:t>Scale up provision of accessible medical services. The key actions include; - Mapping, categorizing and establishing</w:t>
      </w:r>
      <w:r w:rsidR="00C54568">
        <w:rPr>
          <w:color w:val="231F20"/>
        </w:rPr>
        <w:t xml:space="preserve"> </w:t>
      </w:r>
      <w:r>
        <w:rPr>
          <w:color w:val="231F20"/>
        </w:rPr>
        <w:t>Geographic Information System (GIS) for all HFs &amp; ensure networking between PHC Board and all PHC HFs and SMOH and all secondary health facilities; Operating</w:t>
      </w:r>
      <w:r>
        <w:rPr>
          <w:color w:val="231F20"/>
          <w:spacing w:val="-23"/>
        </w:rPr>
        <w:t xml:space="preserve"> </w:t>
      </w:r>
      <w:r>
        <w:rPr>
          <w:color w:val="231F20"/>
        </w:rPr>
        <w:t>cost</w:t>
      </w:r>
      <w:r>
        <w:rPr>
          <w:color w:val="231F20"/>
          <w:spacing w:val="-22"/>
        </w:rPr>
        <w:t xml:space="preserve"> </w:t>
      </w:r>
      <w:r>
        <w:rPr>
          <w:color w:val="231F20"/>
        </w:rPr>
        <w:t>for</w:t>
      </w:r>
      <w:r>
        <w:rPr>
          <w:color w:val="231F20"/>
          <w:spacing w:val="-22"/>
        </w:rPr>
        <w:t xml:space="preserve"> </w:t>
      </w:r>
      <w:r>
        <w:rPr>
          <w:color w:val="231F20"/>
        </w:rPr>
        <w:t>engaging</w:t>
      </w:r>
      <w:r>
        <w:rPr>
          <w:color w:val="231F20"/>
          <w:spacing w:val="-22"/>
        </w:rPr>
        <w:t xml:space="preserve"> </w:t>
      </w:r>
      <w:r>
        <w:rPr>
          <w:color w:val="231F20"/>
        </w:rPr>
        <w:t>and</w:t>
      </w:r>
      <w:r>
        <w:rPr>
          <w:color w:val="231F20"/>
          <w:spacing w:val="-22"/>
        </w:rPr>
        <w:t xml:space="preserve"> </w:t>
      </w:r>
      <w:r>
        <w:rPr>
          <w:color w:val="231F20"/>
        </w:rPr>
        <w:t>supervising</w:t>
      </w:r>
      <w:r>
        <w:rPr>
          <w:color w:val="231F20"/>
          <w:spacing w:val="-22"/>
        </w:rPr>
        <w:t xml:space="preserve"> </w:t>
      </w:r>
      <w:r>
        <w:rPr>
          <w:color w:val="231F20"/>
        </w:rPr>
        <w:t>the</w:t>
      </w:r>
      <w:r>
        <w:rPr>
          <w:color w:val="231F20"/>
          <w:spacing w:val="-22"/>
        </w:rPr>
        <w:t xml:space="preserve"> </w:t>
      </w:r>
      <w:r>
        <w:rPr>
          <w:color w:val="231F20"/>
        </w:rPr>
        <w:t>contractors</w:t>
      </w:r>
      <w:r>
        <w:rPr>
          <w:color w:val="231F20"/>
          <w:spacing w:val="-22"/>
        </w:rPr>
        <w:t xml:space="preserve"> </w:t>
      </w:r>
      <w:r>
        <w:rPr>
          <w:color w:val="231F20"/>
        </w:rPr>
        <w:t>to</w:t>
      </w:r>
      <w:r>
        <w:rPr>
          <w:color w:val="231F20"/>
          <w:spacing w:val="-22"/>
        </w:rPr>
        <w:t xml:space="preserve"> </w:t>
      </w:r>
      <w:r>
        <w:rPr>
          <w:color w:val="231F20"/>
        </w:rPr>
        <w:t>construct</w:t>
      </w:r>
      <w:r>
        <w:rPr>
          <w:color w:val="231F20"/>
          <w:spacing w:val="-22"/>
        </w:rPr>
        <w:t xml:space="preserve"> </w:t>
      </w:r>
      <w:r>
        <w:rPr>
          <w:color w:val="231F20"/>
        </w:rPr>
        <w:t>&amp;</w:t>
      </w:r>
      <w:r>
        <w:rPr>
          <w:color w:val="231F20"/>
          <w:spacing w:val="-22"/>
        </w:rPr>
        <w:t xml:space="preserve"> </w:t>
      </w:r>
      <w:r>
        <w:rPr>
          <w:color w:val="231F20"/>
        </w:rPr>
        <w:t>equip</w:t>
      </w:r>
      <w:r>
        <w:rPr>
          <w:color w:val="231F20"/>
          <w:spacing w:val="-23"/>
        </w:rPr>
        <w:t xml:space="preserve"> </w:t>
      </w:r>
      <w:r>
        <w:rPr>
          <w:color w:val="231F20"/>
        </w:rPr>
        <w:t>General</w:t>
      </w:r>
      <w:r>
        <w:rPr>
          <w:color w:val="231F20"/>
          <w:spacing w:val="-22"/>
        </w:rPr>
        <w:t xml:space="preserve"> </w:t>
      </w:r>
      <w:r>
        <w:rPr>
          <w:color w:val="231F20"/>
        </w:rPr>
        <w:t>Hospitals in LGAs without any (</w:t>
      </w:r>
      <w:proofErr w:type="spellStart"/>
      <w:r>
        <w:rPr>
          <w:color w:val="231F20"/>
        </w:rPr>
        <w:t>Obio</w:t>
      </w:r>
      <w:proofErr w:type="spellEnd"/>
      <w:r>
        <w:rPr>
          <w:color w:val="231F20"/>
        </w:rPr>
        <w:t>/</w:t>
      </w:r>
      <w:proofErr w:type="spellStart"/>
      <w:r>
        <w:rPr>
          <w:color w:val="231F20"/>
        </w:rPr>
        <w:t>Akpor</w:t>
      </w:r>
      <w:proofErr w:type="spellEnd"/>
      <w:r>
        <w:rPr>
          <w:color w:val="231F20"/>
        </w:rPr>
        <w:t xml:space="preserve">, </w:t>
      </w:r>
      <w:proofErr w:type="spellStart"/>
      <w:r>
        <w:rPr>
          <w:color w:val="231F20"/>
        </w:rPr>
        <w:t>Oyigbo</w:t>
      </w:r>
      <w:proofErr w:type="spellEnd"/>
      <w:r>
        <w:rPr>
          <w:color w:val="231F20"/>
        </w:rPr>
        <w:t xml:space="preserve">&amp; </w:t>
      </w:r>
      <w:r>
        <w:rPr>
          <w:color w:val="231F20"/>
          <w:spacing w:val="-5"/>
        </w:rPr>
        <w:t xml:space="preserve">Tai); </w:t>
      </w:r>
      <w:r>
        <w:rPr>
          <w:color w:val="231F20"/>
        </w:rPr>
        <w:t xml:space="preserve">Operating cost for engaging and supervising </w:t>
      </w:r>
      <w:r>
        <w:rPr>
          <w:color w:val="231F20"/>
          <w:spacing w:val="-5"/>
        </w:rPr>
        <w:t xml:space="preserve">the </w:t>
      </w:r>
      <w:r>
        <w:rPr>
          <w:color w:val="231F20"/>
        </w:rPr>
        <w:t>contractor</w:t>
      </w:r>
      <w:r>
        <w:rPr>
          <w:color w:val="231F20"/>
          <w:spacing w:val="-22"/>
        </w:rPr>
        <w:t xml:space="preserve"> </w:t>
      </w:r>
      <w:r>
        <w:rPr>
          <w:color w:val="231F20"/>
        </w:rPr>
        <w:t>to</w:t>
      </w:r>
      <w:r>
        <w:rPr>
          <w:color w:val="231F20"/>
          <w:spacing w:val="-21"/>
        </w:rPr>
        <w:t xml:space="preserve"> </w:t>
      </w:r>
      <w:r>
        <w:rPr>
          <w:color w:val="231F20"/>
        </w:rPr>
        <w:t>provide</w:t>
      </w:r>
      <w:r>
        <w:rPr>
          <w:color w:val="231F20"/>
          <w:spacing w:val="-21"/>
        </w:rPr>
        <w:t xml:space="preserve"> </w:t>
      </w:r>
      <w:r>
        <w:rPr>
          <w:color w:val="231F20"/>
        </w:rPr>
        <w:t>ambulances</w:t>
      </w:r>
      <w:r>
        <w:rPr>
          <w:color w:val="231F20"/>
          <w:spacing w:val="-21"/>
        </w:rPr>
        <w:t xml:space="preserve"> </w:t>
      </w:r>
      <w:r>
        <w:rPr>
          <w:color w:val="231F20"/>
        </w:rPr>
        <w:t>for</w:t>
      </w:r>
      <w:r>
        <w:rPr>
          <w:color w:val="231F20"/>
          <w:spacing w:val="-21"/>
        </w:rPr>
        <w:t xml:space="preserve"> </w:t>
      </w:r>
      <w:r>
        <w:rPr>
          <w:color w:val="231F20"/>
        </w:rPr>
        <w:t>SMOH</w:t>
      </w:r>
      <w:r>
        <w:rPr>
          <w:color w:val="231F20"/>
          <w:spacing w:val="-21"/>
        </w:rPr>
        <w:t xml:space="preserve"> </w:t>
      </w:r>
      <w:r>
        <w:rPr>
          <w:color w:val="231F20"/>
        </w:rPr>
        <w:t>and</w:t>
      </w:r>
      <w:r>
        <w:rPr>
          <w:color w:val="231F20"/>
          <w:spacing w:val="-21"/>
        </w:rPr>
        <w:t xml:space="preserve"> </w:t>
      </w:r>
      <w:r>
        <w:rPr>
          <w:color w:val="231F20"/>
        </w:rPr>
        <w:t>LGAs</w:t>
      </w:r>
      <w:r>
        <w:rPr>
          <w:color w:val="231F20"/>
          <w:spacing w:val="-21"/>
        </w:rPr>
        <w:t xml:space="preserve"> </w:t>
      </w:r>
      <w:r>
        <w:rPr>
          <w:color w:val="231F20"/>
        </w:rPr>
        <w:t>for</w:t>
      </w:r>
      <w:r>
        <w:rPr>
          <w:color w:val="231F20"/>
          <w:spacing w:val="-21"/>
        </w:rPr>
        <w:t xml:space="preserve"> </w:t>
      </w:r>
      <w:r>
        <w:rPr>
          <w:color w:val="231F20"/>
        </w:rPr>
        <w:t>emergency</w:t>
      </w:r>
      <w:r>
        <w:rPr>
          <w:color w:val="231F20"/>
          <w:spacing w:val="-21"/>
        </w:rPr>
        <w:t xml:space="preserve"> </w:t>
      </w:r>
      <w:r>
        <w:rPr>
          <w:color w:val="231F20"/>
        </w:rPr>
        <w:t>response;</w:t>
      </w:r>
      <w:r>
        <w:rPr>
          <w:color w:val="231F20"/>
          <w:spacing w:val="-21"/>
        </w:rPr>
        <w:t xml:space="preserve"> </w:t>
      </w:r>
      <w:r>
        <w:rPr>
          <w:color w:val="231F20"/>
        </w:rPr>
        <w:t>Operating</w:t>
      </w:r>
      <w:r>
        <w:rPr>
          <w:color w:val="231F20"/>
          <w:spacing w:val="-21"/>
        </w:rPr>
        <w:t xml:space="preserve"> </w:t>
      </w:r>
      <w:r>
        <w:rPr>
          <w:color w:val="231F20"/>
        </w:rPr>
        <w:t>cost</w:t>
      </w:r>
      <w:r>
        <w:rPr>
          <w:color w:val="231F20"/>
          <w:spacing w:val="-21"/>
        </w:rPr>
        <w:t xml:space="preserve"> </w:t>
      </w:r>
      <w:r>
        <w:rPr>
          <w:color w:val="231F20"/>
        </w:rPr>
        <w:t>for engaging</w:t>
      </w:r>
      <w:r>
        <w:rPr>
          <w:color w:val="231F20"/>
          <w:spacing w:val="-19"/>
        </w:rPr>
        <w:t xml:space="preserve"> </w:t>
      </w:r>
      <w:r>
        <w:rPr>
          <w:color w:val="231F20"/>
        </w:rPr>
        <w:t>and</w:t>
      </w:r>
      <w:r>
        <w:rPr>
          <w:color w:val="231F20"/>
          <w:spacing w:val="-18"/>
        </w:rPr>
        <w:t xml:space="preserve"> </w:t>
      </w:r>
      <w:r>
        <w:rPr>
          <w:color w:val="231F20"/>
        </w:rPr>
        <w:t>supervising</w:t>
      </w:r>
      <w:r>
        <w:rPr>
          <w:color w:val="231F20"/>
          <w:spacing w:val="-18"/>
        </w:rPr>
        <w:t xml:space="preserve"> </w:t>
      </w:r>
      <w:r>
        <w:rPr>
          <w:color w:val="231F20"/>
        </w:rPr>
        <w:t>the</w:t>
      </w:r>
      <w:r>
        <w:rPr>
          <w:color w:val="231F20"/>
          <w:spacing w:val="-18"/>
        </w:rPr>
        <w:t xml:space="preserve"> </w:t>
      </w:r>
      <w:r>
        <w:rPr>
          <w:color w:val="231F20"/>
        </w:rPr>
        <w:t>contractor</w:t>
      </w:r>
      <w:r>
        <w:rPr>
          <w:color w:val="231F20"/>
          <w:spacing w:val="-18"/>
        </w:rPr>
        <w:t xml:space="preserve"> </w:t>
      </w:r>
      <w:r>
        <w:rPr>
          <w:color w:val="231F20"/>
        </w:rPr>
        <w:t>to</w:t>
      </w:r>
      <w:r>
        <w:rPr>
          <w:color w:val="231F20"/>
          <w:spacing w:val="-18"/>
        </w:rPr>
        <w:t xml:space="preserve"> </w:t>
      </w:r>
      <w:r>
        <w:rPr>
          <w:color w:val="231F20"/>
        </w:rPr>
        <w:t>provide</w:t>
      </w:r>
      <w:r>
        <w:rPr>
          <w:color w:val="231F20"/>
          <w:spacing w:val="-18"/>
        </w:rPr>
        <w:t xml:space="preserve"> </w:t>
      </w:r>
      <w:r>
        <w:rPr>
          <w:color w:val="231F20"/>
        </w:rPr>
        <w:t>vehicles</w:t>
      </w:r>
      <w:r>
        <w:rPr>
          <w:color w:val="231F20"/>
          <w:spacing w:val="-18"/>
        </w:rPr>
        <w:t xml:space="preserve"> </w:t>
      </w:r>
      <w:r>
        <w:rPr>
          <w:color w:val="231F20"/>
        </w:rPr>
        <w:t>(</w:t>
      </w:r>
      <w:r>
        <w:rPr>
          <w:color w:val="231F20"/>
          <w:spacing w:val="-18"/>
        </w:rPr>
        <w:t xml:space="preserve"> </w:t>
      </w:r>
      <w:r>
        <w:rPr>
          <w:color w:val="231F20"/>
        </w:rPr>
        <w:t>Hilux</w:t>
      </w:r>
      <w:r>
        <w:rPr>
          <w:color w:val="231F20"/>
          <w:spacing w:val="-18"/>
        </w:rPr>
        <w:t xml:space="preserve"> </w:t>
      </w:r>
      <w:r>
        <w:rPr>
          <w:color w:val="231F20"/>
        </w:rPr>
        <w:t>and</w:t>
      </w:r>
      <w:r>
        <w:rPr>
          <w:color w:val="231F20"/>
          <w:spacing w:val="-18"/>
        </w:rPr>
        <w:t xml:space="preserve"> </w:t>
      </w:r>
      <w:r>
        <w:rPr>
          <w:color w:val="231F20"/>
        </w:rPr>
        <w:t>buses)</w:t>
      </w:r>
      <w:r>
        <w:rPr>
          <w:color w:val="231F20"/>
          <w:spacing w:val="-18"/>
        </w:rPr>
        <w:t xml:space="preserve"> </w:t>
      </w:r>
      <w:r>
        <w:rPr>
          <w:color w:val="231F20"/>
        </w:rPr>
        <w:t>for</w:t>
      </w:r>
      <w:r>
        <w:rPr>
          <w:color w:val="231F20"/>
          <w:spacing w:val="-19"/>
        </w:rPr>
        <w:t xml:space="preserve"> </w:t>
      </w:r>
      <w:r>
        <w:rPr>
          <w:color w:val="231F20"/>
        </w:rPr>
        <w:t>State</w:t>
      </w:r>
      <w:r>
        <w:rPr>
          <w:color w:val="231F20"/>
          <w:spacing w:val="-18"/>
        </w:rPr>
        <w:t xml:space="preserve"> </w:t>
      </w:r>
      <w:r>
        <w:rPr>
          <w:color w:val="231F20"/>
        </w:rPr>
        <w:t>and</w:t>
      </w:r>
      <w:r>
        <w:rPr>
          <w:color w:val="231F20"/>
          <w:spacing w:val="50"/>
        </w:rPr>
        <w:t xml:space="preserve"> </w:t>
      </w:r>
      <w:r>
        <w:rPr>
          <w:color w:val="231F20"/>
        </w:rPr>
        <w:t>LGAs for Monitoring and Supervision; Operating cost for engaging and supervising the contractor to purchase</w:t>
      </w:r>
      <w:r>
        <w:rPr>
          <w:color w:val="231F20"/>
          <w:spacing w:val="-26"/>
        </w:rPr>
        <w:t xml:space="preserve"> </w:t>
      </w:r>
      <w:r>
        <w:rPr>
          <w:color w:val="231F20"/>
        </w:rPr>
        <w:t>and</w:t>
      </w:r>
      <w:r>
        <w:rPr>
          <w:color w:val="231F20"/>
          <w:spacing w:val="-25"/>
        </w:rPr>
        <w:t xml:space="preserve"> </w:t>
      </w:r>
      <w:r>
        <w:rPr>
          <w:color w:val="231F20"/>
        </w:rPr>
        <w:t>install</w:t>
      </w:r>
      <w:r>
        <w:rPr>
          <w:color w:val="231F20"/>
          <w:spacing w:val="-25"/>
        </w:rPr>
        <w:t xml:space="preserve"> </w:t>
      </w:r>
      <w:r>
        <w:rPr>
          <w:color w:val="231F20"/>
        </w:rPr>
        <w:t>ultrasound</w:t>
      </w:r>
      <w:r>
        <w:rPr>
          <w:color w:val="231F20"/>
          <w:spacing w:val="-25"/>
        </w:rPr>
        <w:t xml:space="preserve"> </w:t>
      </w:r>
      <w:r>
        <w:rPr>
          <w:color w:val="231F20"/>
        </w:rPr>
        <w:t>scan</w:t>
      </w:r>
      <w:r>
        <w:rPr>
          <w:color w:val="231F20"/>
          <w:spacing w:val="-25"/>
        </w:rPr>
        <w:t xml:space="preserve"> </w:t>
      </w:r>
      <w:r>
        <w:rPr>
          <w:color w:val="231F20"/>
        </w:rPr>
        <w:t>in</w:t>
      </w:r>
      <w:r>
        <w:rPr>
          <w:color w:val="231F20"/>
          <w:spacing w:val="-25"/>
        </w:rPr>
        <w:t xml:space="preserve"> </w:t>
      </w:r>
      <w:r>
        <w:rPr>
          <w:color w:val="231F20"/>
        </w:rPr>
        <w:t>all</w:t>
      </w:r>
      <w:r>
        <w:rPr>
          <w:color w:val="231F20"/>
          <w:spacing w:val="-25"/>
        </w:rPr>
        <w:t xml:space="preserve"> </w:t>
      </w:r>
      <w:r>
        <w:rPr>
          <w:color w:val="231F20"/>
        </w:rPr>
        <w:t>General</w:t>
      </w:r>
      <w:r>
        <w:rPr>
          <w:color w:val="231F20"/>
          <w:spacing w:val="-25"/>
        </w:rPr>
        <w:t xml:space="preserve"> </w:t>
      </w:r>
      <w:r>
        <w:rPr>
          <w:color w:val="231F20"/>
        </w:rPr>
        <w:t>Hospitals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00F57900" w14:textId="77777777" w:rsidR="009948F1" w:rsidRDefault="009948F1">
      <w:pPr>
        <w:spacing w:line="292" w:lineRule="auto"/>
        <w:jc w:val="both"/>
        <w:sectPr w:rsidR="009948F1">
          <w:pgSz w:w="11910" w:h="16840"/>
          <w:pgMar w:top="1320" w:right="1080" w:bottom="1420" w:left="1120" w:header="0" w:footer="1235" w:gutter="0"/>
          <w:cols w:space="720"/>
        </w:sectPr>
      </w:pPr>
    </w:p>
    <w:p w14:paraId="642F9943" w14:textId="6D712D4F" w:rsidR="009948F1" w:rsidRDefault="00BC0563">
      <w:pPr>
        <w:pStyle w:val="ListParagraph"/>
        <w:numPr>
          <w:ilvl w:val="3"/>
          <w:numId w:val="280"/>
        </w:numPr>
        <w:tabs>
          <w:tab w:val="left" w:pos="889"/>
        </w:tabs>
        <w:spacing w:before="45"/>
        <w:ind w:right="221" w:firstLine="0"/>
      </w:pPr>
      <w:bookmarkStart w:id="83" w:name="Page_69"/>
      <w:bookmarkEnd w:id="83"/>
      <w:r>
        <w:rPr>
          <w:color w:val="231F20"/>
        </w:rPr>
        <w:lastRenderedPageBreak/>
        <w:t>Intensify continuous quality improvement in medical service provision at all levels. Key activities</w:t>
      </w:r>
      <w:r>
        <w:rPr>
          <w:color w:val="231F20"/>
          <w:spacing w:val="-19"/>
        </w:rPr>
        <w:t xml:space="preserve"> </w:t>
      </w:r>
      <w:r>
        <w:rPr>
          <w:color w:val="231F20"/>
        </w:rPr>
        <w:t>here</w:t>
      </w:r>
      <w:r>
        <w:rPr>
          <w:color w:val="231F20"/>
          <w:spacing w:val="-18"/>
        </w:rPr>
        <w:t xml:space="preserve"> </w:t>
      </w:r>
      <w:r>
        <w:rPr>
          <w:color w:val="231F20"/>
        </w:rPr>
        <w:t>are;</w:t>
      </w:r>
      <w:r>
        <w:rPr>
          <w:color w:val="231F20"/>
          <w:spacing w:val="-18"/>
        </w:rPr>
        <w:t xml:space="preserve"> </w:t>
      </w:r>
      <w:r>
        <w:rPr>
          <w:color w:val="231F20"/>
        </w:rPr>
        <w:t>–</w:t>
      </w:r>
      <w:r>
        <w:rPr>
          <w:color w:val="231F20"/>
          <w:spacing w:val="-18"/>
        </w:rPr>
        <w:t xml:space="preserve"> </w:t>
      </w:r>
      <w:r>
        <w:rPr>
          <w:color w:val="231F20"/>
        </w:rPr>
        <w:t>Conduct</w:t>
      </w:r>
      <w:r>
        <w:rPr>
          <w:color w:val="231F20"/>
          <w:spacing w:val="-18"/>
        </w:rPr>
        <w:t xml:space="preserve"> </w:t>
      </w:r>
      <w:r>
        <w:rPr>
          <w:color w:val="231F20"/>
        </w:rPr>
        <w:t>continuous</w:t>
      </w:r>
      <w:r>
        <w:rPr>
          <w:color w:val="231F20"/>
          <w:spacing w:val="-18"/>
        </w:rPr>
        <w:t xml:space="preserve"> </w:t>
      </w:r>
      <w:r>
        <w:rPr>
          <w:color w:val="231F20"/>
        </w:rPr>
        <w:t>training</w:t>
      </w:r>
      <w:r>
        <w:rPr>
          <w:color w:val="231F20"/>
          <w:spacing w:val="-19"/>
        </w:rPr>
        <w:t xml:space="preserve"> </w:t>
      </w:r>
      <w:r>
        <w:rPr>
          <w:color w:val="231F20"/>
        </w:rPr>
        <w:t>of</w:t>
      </w:r>
      <w:r>
        <w:rPr>
          <w:color w:val="231F20"/>
          <w:spacing w:val="-18"/>
        </w:rPr>
        <w:t xml:space="preserve"> </w:t>
      </w:r>
      <w:r>
        <w:rPr>
          <w:color w:val="231F20"/>
        </w:rPr>
        <w:t>Secondary</w:t>
      </w:r>
      <w:r>
        <w:rPr>
          <w:color w:val="231F20"/>
          <w:spacing w:val="-18"/>
        </w:rPr>
        <w:t xml:space="preserve"> </w:t>
      </w:r>
      <w:r>
        <w:rPr>
          <w:color w:val="231F20"/>
        </w:rPr>
        <w:t>and</w:t>
      </w:r>
      <w:r>
        <w:rPr>
          <w:color w:val="231F20"/>
          <w:spacing w:val="-18"/>
        </w:rPr>
        <w:t xml:space="preserve"> </w:t>
      </w:r>
      <w:r>
        <w:rPr>
          <w:color w:val="231F20"/>
        </w:rPr>
        <w:t>Primary</w:t>
      </w:r>
      <w:r>
        <w:rPr>
          <w:color w:val="231F20"/>
          <w:spacing w:val="-18"/>
        </w:rPr>
        <w:t xml:space="preserve"> </w:t>
      </w:r>
      <w:r>
        <w:rPr>
          <w:color w:val="231F20"/>
        </w:rPr>
        <w:t>healthcare</w:t>
      </w:r>
      <w:r>
        <w:rPr>
          <w:color w:val="231F20"/>
          <w:spacing w:val="-18"/>
        </w:rPr>
        <w:t xml:space="preserve"> </w:t>
      </w:r>
      <w:r>
        <w:rPr>
          <w:color w:val="231F20"/>
        </w:rPr>
        <w:t>staff</w:t>
      </w:r>
      <w:r>
        <w:rPr>
          <w:color w:val="231F20"/>
          <w:spacing w:val="-19"/>
        </w:rPr>
        <w:t xml:space="preserve"> </w:t>
      </w:r>
      <w:r>
        <w:rPr>
          <w:color w:val="231F20"/>
        </w:rPr>
        <w:t>on</w:t>
      </w:r>
      <w:r>
        <w:rPr>
          <w:color w:val="231F20"/>
          <w:spacing w:val="-18"/>
        </w:rPr>
        <w:t xml:space="preserve"> </w:t>
      </w:r>
      <w:r>
        <w:rPr>
          <w:color w:val="231F20"/>
          <w:spacing w:val="-5"/>
        </w:rPr>
        <w:t xml:space="preserve">the </w:t>
      </w:r>
      <w:r>
        <w:rPr>
          <w:color w:val="231F20"/>
        </w:rPr>
        <w:t xml:space="preserve">SOPS on Quality of Care, Infection Prevention and Control, Management of common medical </w:t>
      </w:r>
      <w:r w:rsidR="00C54568">
        <w:rPr>
          <w:color w:val="231F20"/>
        </w:rPr>
        <w:t>conditions; Operating</w:t>
      </w:r>
      <w:r>
        <w:rPr>
          <w:color w:val="231F20"/>
          <w:spacing w:val="-16"/>
        </w:rPr>
        <w:t xml:space="preserve"> </w:t>
      </w:r>
      <w:r>
        <w:rPr>
          <w:color w:val="231F20"/>
        </w:rPr>
        <w:t>cost</w:t>
      </w:r>
      <w:r>
        <w:rPr>
          <w:color w:val="231F20"/>
          <w:spacing w:val="-16"/>
        </w:rPr>
        <w:t xml:space="preserve"> </w:t>
      </w:r>
      <w:r>
        <w:rPr>
          <w:color w:val="231F20"/>
        </w:rPr>
        <w:t>for</w:t>
      </w:r>
      <w:r>
        <w:rPr>
          <w:color w:val="231F20"/>
          <w:spacing w:val="-16"/>
        </w:rPr>
        <w:t xml:space="preserve"> </w:t>
      </w:r>
      <w:r>
        <w:rPr>
          <w:color w:val="231F20"/>
        </w:rPr>
        <w:t>engaging</w:t>
      </w:r>
      <w:r>
        <w:rPr>
          <w:color w:val="231F20"/>
          <w:spacing w:val="-15"/>
        </w:rPr>
        <w:t xml:space="preserve"> </w:t>
      </w:r>
      <w:r>
        <w:rPr>
          <w:color w:val="231F20"/>
        </w:rPr>
        <w:t>and</w:t>
      </w:r>
      <w:r>
        <w:rPr>
          <w:color w:val="231F20"/>
          <w:spacing w:val="-15"/>
        </w:rPr>
        <w:t xml:space="preserve"> </w:t>
      </w:r>
      <w:r>
        <w:rPr>
          <w:color w:val="231F20"/>
        </w:rPr>
        <w:t>supervising</w:t>
      </w:r>
      <w:r>
        <w:rPr>
          <w:color w:val="231F20"/>
          <w:spacing w:val="-15"/>
        </w:rPr>
        <w:t xml:space="preserve"> </w:t>
      </w:r>
      <w:r>
        <w:rPr>
          <w:color w:val="231F20"/>
        </w:rPr>
        <w:t>the</w:t>
      </w:r>
      <w:r>
        <w:rPr>
          <w:color w:val="231F20"/>
          <w:spacing w:val="-15"/>
        </w:rPr>
        <w:t xml:space="preserve"> </w:t>
      </w:r>
      <w:r>
        <w:rPr>
          <w:color w:val="231F20"/>
        </w:rPr>
        <w:t>contractor</w:t>
      </w:r>
      <w:r>
        <w:rPr>
          <w:color w:val="231F20"/>
          <w:spacing w:val="-15"/>
        </w:rPr>
        <w:t xml:space="preserve"> </w:t>
      </w:r>
      <w:r>
        <w:rPr>
          <w:color w:val="231F20"/>
        </w:rPr>
        <w:t>to</w:t>
      </w:r>
      <w:r>
        <w:rPr>
          <w:color w:val="231F20"/>
          <w:spacing w:val="-16"/>
        </w:rPr>
        <w:t xml:space="preserve"> </w:t>
      </w:r>
      <w:r>
        <w:rPr>
          <w:color w:val="231F20"/>
        </w:rPr>
        <w:t>maintain</w:t>
      </w:r>
      <w:r>
        <w:rPr>
          <w:color w:val="231F20"/>
          <w:spacing w:val="-15"/>
        </w:rPr>
        <w:t xml:space="preserve"> </w:t>
      </w:r>
      <w:r>
        <w:rPr>
          <w:color w:val="231F20"/>
        </w:rPr>
        <w:t>equipment</w:t>
      </w:r>
      <w:r>
        <w:rPr>
          <w:color w:val="231F20"/>
          <w:spacing w:val="-15"/>
        </w:rPr>
        <w:t xml:space="preserve"> </w:t>
      </w:r>
      <w:r>
        <w:rPr>
          <w:color w:val="231F20"/>
        </w:rPr>
        <w:t>at</w:t>
      </w:r>
      <w:r>
        <w:rPr>
          <w:color w:val="231F20"/>
          <w:spacing w:val="-16"/>
        </w:rPr>
        <w:t xml:space="preserve"> </w:t>
      </w:r>
      <w:r>
        <w:rPr>
          <w:color w:val="231F20"/>
          <w:spacing w:val="-4"/>
        </w:rPr>
        <w:t xml:space="preserve">all </w:t>
      </w:r>
      <w:r>
        <w:rPr>
          <w:color w:val="231F20"/>
        </w:rPr>
        <w:t>levels;</w:t>
      </w:r>
      <w:r>
        <w:rPr>
          <w:color w:val="231F20"/>
          <w:spacing w:val="-26"/>
        </w:rPr>
        <w:t xml:space="preserve"> </w:t>
      </w:r>
      <w:r>
        <w:rPr>
          <w:color w:val="231F20"/>
        </w:rPr>
        <w:t>Periodic</w:t>
      </w:r>
      <w:r>
        <w:rPr>
          <w:color w:val="231F20"/>
          <w:spacing w:val="-25"/>
        </w:rPr>
        <w:t xml:space="preserve"> </w:t>
      </w:r>
      <w:r>
        <w:rPr>
          <w:color w:val="231F20"/>
        </w:rPr>
        <w:t>training</w:t>
      </w:r>
      <w:r>
        <w:rPr>
          <w:color w:val="231F20"/>
          <w:spacing w:val="-26"/>
        </w:rPr>
        <w:t xml:space="preserve"> </w:t>
      </w:r>
      <w:r>
        <w:rPr>
          <w:color w:val="231F20"/>
        </w:rPr>
        <w:t>of</w:t>
      </w:r>
      <w:r>
        <w:rPr>
          <w:color w:val="231F20"/>
          <w:spacing w:val="-25"/>
        </w:rPr>
        <w:t xml:space="preserve"> </w:t>
      </w:r>
      <w:r>
        <w:rPr>
          <w:color w:val="231F20"/>
        </w:rPr>
        <w:t>staff</w:t>
      </w:r>
      <w:r>
        <w:rPr>
          <w:color w:val="231F20"/>
          <w:spacing w:val="-25"/>
        </w:rPr>
        <w:t xml:space="preserve"> </w:t>
      </w:r>
      <w:r>
        <w:rPr>
          <w:color w:val="231F20"/>
        </w:rPr>
        <w:t>on</w:t>
      </w:r>
      <w:r>
        <w:rPr>
          <w:color w:val="231F20"/>
          <w:spacing w:val="-26"/>
        </w:rPr>
        <w:t xml:space="preserve"> </w:t>
      </w:r>
      <w:r>
        <w:rPr>
          <w:color w:val="231F20"/>
        </w:rPr>
        <w:t>management</w:t>
      </w:r>
      <w:r>
        <w:rPr>
          <w:color w:val="231F20"/>
          <w:spacing w:val="-25"/>
        </w:rPr>
        <w:t xml:space="preserve"> </w:t>
      </w:r>
      <w:r>
        <w:rPr>
          <w:color w:val="231F20"/>
        </w:rPr>
        <w:t>and</w:t>
      </w:r>
      <w:r>
        <w:rPr>
          <w:color w:val="231F20"/>
          <w:spacing w:val="-25"/>
        </w:rPr>
        <w:t xml:space="preserve"> </w:t>
      </w:r>
      <w:r>
        <w:rPr>
          <w:color w:val="231F20"/>
        </w:rPr>
        <w:t>maintenance</w:t>
      </w:r>
      <w:r>
        <w:rPr>
          <w:color w:val="231F20"/>
          <w:spacing w:val="-26"/>
        </w:rPr>
        <w:t xml:space="preserve"> </w:t>
      </w:r>
      <w:r>
        <w:rPr>
          <w:color w:val="231F20"/>
        </w:rPr>
        <w:t>of</w:t>
      </w:r>
      <w:r>
        <w:rPr>
          <w:color w:val="231F20"/>
          <w:spacing w:val="-25"/>
        </w:rPr>
        <w:t xml:space="preserve"> </w:t>
      </w:r>
      <w:r>
        <w:rPr>
          <w:color w:val="231F20"/>
        </w:rPr>
        <w:t>equipment</w:t>
      </w:r>
      <w:r>
        <w:rPr>
          <w:color w:val="231F20"/>
          <w:spacing w:val="-25"/>
        </w:rPr>
        <w:t xml:space="preserve"> </w:t>
      </w:r>
      <w:r>
        <w:rPr>
          <w:color w:val="231F20"/>
        </w:rPr>
        <w:t>&amp;</w:t>
      </w:r>
      <w:r>
        <w:rPr>
          <w:color w:val="231F20"/>
          <w:spacing w:val="-26"/>
        </w:rPr>
        <w:t xml:space="preserve"> </w:t>
      </w:r>
      <w:r>
        <w:rPr>
          <w:color w:val="231F20"/>
        </w:rPr>
        <w:t>supplies;</w:t>
      </w:r>
      <w:r>
        <w:rPr>
          <w:color w:val="231F20"/>
          <w:spacing w:val="-25"/>
        </w:rPr>
        <w:t xml:space="preserve"> </w:t>
      </w:r>
      <w:r>
        <w:rPr>
          <w:color w:val="231F20"/>
        </w:rPr>
        <w:t>Printing of</w:t>
      </w:r>
      <w:r>
        <w:rPr>
          <w:color w:val="231F20"/>
          <w:spacing w:val="-25"/>
        </w:rPr>
        <w:t xml:space="preserve"> </w:t>
      </w:r>
      <w:r>
        <w:rPr>
          <w:color w:val="231F20"/>
        </w:rPr>
        <w:t>private</w:t>
      </w:r>
      <w:r>
        <w:rPr>
          <w:color w:val="231F20"/>
          <w:spacing w:val="-26"/>
        </w:rPr>
        <w:t xml:space="preserve"> </w:t>
      </w:r>
      <w:r>
        <w:rPr>
          <w:color w:val="231F20"/>
        </w:rPr>
        <w:t>health</w:t>
      </w:r>
      <w:r>
        <w:rPr>
          <w:color w:val="231F20"/>
          <w:spacing w:val="-25"/>
        </w:rPr>
        <w:t xml:space="preserve"> </w:t>
      </w:r>
      <w:r>
        <w:rPr>
          <w:color w:val="231F20"/>
        </w:rPr>
        <w:t>institutions</w:t>
      </w:r>
      <w:r>
        <w:rPr>
          <w:color w:val="231F20"/>
          <w:spacing w:val="-25"/>
        </w:rPr>
        <w:t xml:space="preserve"> </w:t>
      </w:r>
      <w:r>
        <w:rPr>
          <w:color w:val="231F20"/>
        </w:rPr>
        <w:t>registration/renewal</w:t>
      </w:r>
      <w:r>
        <w:rPr>
          <w:color w:val="231F20"/>
          <w:spacing w:val="-25"/>
        </w:rPr>
        <w:t xml:space="preserve"> </w:t>
      </w:r>
      <w:r>
        <w:rPr>
          <w:color w:val="231F20"/>
        </w:rPr>
        <w:t>certificate.</w:t>
      </w:r>
    </w:p>
    <w:p w14:paraId="11179C40" w14:textId="77777777" w:rsidR="009948F1" w:rsidRDefault="009948F1">
      <w:pPr>
        <w:pStyle w:val="BodyText"/>
        <w:rPr>
          <w:sz w:val="26"/>
        </w:rPr>
      </w:pPr>
    </w:p>
    <w:p w14:paraId="51D1FA52" w14:textId="77777777" w:rsidR="009948F1" w:rsidRDefault="00BC0563">
      <w:pPr>
        <w:pStyle w:val="ListParagraph"/>
        <w:numPr>
          <w:ilvl w:val="3"/>
          <w:numId w:val="280"/>
        </w:numPr>
        <w:tabs>
          <w:tab w:val="left" w:pos="809"/>
        </w:tabs>
        <w:spacing w:line="261" w:lineRule="auto"/>
        <w:ind w:right="220" w:firstLine="0"/>
      </w:pPr>
      <w:r>
        <w:rPr>
          <w:color w:val="231F20"/>
        </w:rPr>
        <w:t xml:space="preserve">Build capacity of health care providers for emergency medical services. Key actions are </w:t>
      </w:r>
      <w:r>
        <w:rPr>
          <w:color w:val="231F20"/>
          <w:spacing w:val="-15"/>
        </w:rPr>
        <w:t xml:space="preserve">– </w:t>
      </w:r>
      <w:r>
        <w:rPr>
          <w:color w:val="231F20"/>
        </w:rPr>
        <w:t>Build capacity of Health workers on quality medical services; Employ Health care professionals; Training of HWs on current emerging health challenges at all levels; Trainings on the use of ultrasound</w:t>
      </w:r>
      <w:r>
        <w:rPr>
          <w:color w:val="231F20"/>
          <w:spacing w:val="-25"/>
        </w:rPr>
        <w:t xml:space="preserve"> </w:t>
      </w:r>
      <w:r>
        <w:rPr>
          <w:color w:val="231F20"/>
        </w:rPr>
        <w:t>scan.</w:t>
      </w:r>
    </w:p>
    <w:p w14:paraId="7F7D0908" w14:textId="77777777" w:rsidR="009948F1" w:rsidRDefault="009948F1">
      <w:pPr>
        <w:pStyle w:val="BodyText"/>
        <w:spacing w:before="1"/>
        <w:rPr>
          <w:sz w:val="24"/>
        </w:rPr>
      </w:pPr>
    </w:p>
    <w:p w14:paraId="7AD071A9" w14:textId="77777777" w:rsidR="009948F1" w:rsidRDefault="00BC0563">
      <w:pPr>
        <w:pStyle w:val="ListParagraph"/>
        <w:numPr>
          <w:ilvl w:val="3"/>
          <w:numId w:val="280"/>
        </w:numPr>
        <w:tabs>
          <w:tab w:val="left" w:pos="906"/>
        </w:tabs>
        <w:spacing w:line="261" w:lineRule="auto"/>
        <w:ind w:right="222" w:firstLine="0"/>
      </w:pPr>
      <w:r>
        <w:rPr>
          <w:color w:val="231F20"/>
        </w:rPr>
        <w:t>Promote demand for appropriate use of medical services. Key actions are – Public enlightenment</w:t>
      </w:r>
      <w:r>
        <w:rPr>
          <w:color w:val="231F20"/>
          <w:spacing w:val="-26"/>
        </w:rPr>
        <w:t xml:space="preserve"> </w:t>
      </w:r>
      <w:r>
        <w:rPr>
          <w:color w:val="231F20"/>
        </w:rPr>
        <w:t>through</w:t>
      </w:r>
      <w:r>
        <w:rPr>
          <w:color w:val="231F20"/>
          <w:spacing w:val="-25"/>
        </w:rPr>
        <w:t xml:space="preserve"> </w:t>
      </w:r>
      <w:r>
        <w:rPr>
          <w:color w:val="231F20"/>
        </w:rPr>
        <w:t>multi-media</w:t>
      </w:r>
      <w:r>
        <w:rPr>
          <w:color w:val="231F20"/>
          <w:spacing w:val="-25"/>
        </w:rPr>
        <w:t xml:space="preserve"> </w:t>
      </w:r>
      <w:r>
        <w:rPr>
          <w:color w:val="231F20"/>
        </w:rPr>
        <w:t>approach</w:t>
      </w:r>
      <w:r>
        <w:rPr>
          <w:color w:val="231F20"/>
          <w:spacing w:val="-25"/>
        </w:rPr>
        <w:t xml:space="preserve"> </w:t>
      </w:r>
      <w:r>
        <w:rPr>
          <w:color w:val="231F20"/>
        </w:rPr>
        <w:t>on</w:t>
      </w:r>
      <w:r>
        <w:rPr>
          <w:color w:val="231F20"/>
          <w:spacing w:val="-25"/>
        </w:rPr>
        <w:t xml:space="preserve"> </w:t>
      </w:r>
      <w:r>
        <w:rPr>
          <w:color w:val="231F20"/>
        </w:rPr>
        <w:t>use</w:t>
      </w:r>
      <w:r>
        <w:rPr>
          <w:color w:val="231F20"/>
          <w:spacing w:val="-25"/>
        </w:rPr>
        <w:t xml:space="preserve"> </w:t>
      </w:r>
      <w:r>
        <w:rPr>
          <w:color w:val="231F20"/>
        </w:rPr>
        <w:t>of</w:t>
      </w:r>
      <w:r>
        <w:rPr>
          <w:color w:val="231F20"/>
          <w:spacing w:val="-25"/>
        </w:rPr>
        <w:t xml:space="preserve"> </w:t>
      </w:r>
      <w:r>
        <w:rPr>
          <w:color w:val="231F20"/>
        </w:rPr>
        <w:t>medical</w:t>
      </w:r>
      <w:r>
        <w:rPr>
          <w:color w:val="231F20"/>
          <w:spacing w:val="-25"/>
        </w:rPr>
        <w:t xml:space="preserve"> </w:t>
      </w:r>
      <w:r>
        <w:rPr>
          <w:color w:val="231F20"/>
        </w:rPr>
        <w:t>services</w:t>
      </w:r>
    </w:p>
    <w:p w14:paraId="29A5670B" w14:textId="77777777" w:rsidR="009948F1" w:rsidRDefault="009948F1">
      <w:pPr>
        <w:pStyle w:val="BodyText"/>
        <w:spacing w:before="1"/>
        <w:rPr>
          <w:sz w:val="24"/>
        </w:rPr>
      </w:pPr>
    </w:p>
    <w:p w14:paraId="496ED435" w14:textId="77777777" w:rsidR="009948F1" w:rsidRDefault="00BC0563">
      <w:pPr>
        <w:pStyle w:val="ListParagraph"/>
        <w:numPr>
          <w:ilvl w:val="3"/>
          <w:numId w:val="280"/>
        </w:numPr>
        <w:tabs>
          <w:tab w:val="left" w:pos="874"/>
        </w:tabs>
        <w:spacing w:line="261" w:lineRule="auto"/>
        <w:ind w:right="222" w:firstLine="0"/>
      </w:pPr>
      <w:r>
        <w:rPr>
          <w:color w:val="231F20"/>
        </w:rPr>
        <w:t xml:space="preserve">Strengthen Infection, Prevention and Control (IPC) practices in health care settings. </w:t>
      </w:r>
      <w:r>
        <w:rPr>
          <w:color w:val="231F20"/>
          <w:spacing w:val="-4"/>
        </w:rPr>
        <w:t xml:space="preserve">Key </w:t>
      </w:r>
      <w:r>
        <w:rPr>
          <w:color w:val="231F20"/>
        </w:rPr>
        <w:t>actions are – Train HWs on universal precaution; Regular update of guidelines on universal precaution;</w:t>
      </w:r>
      <w:r>
        <w:rPr>
          <w:color w:val="231F20"/>
          <w:spacing w:val="-15"/>
        </w:rPr>
        <w:t xml:space="preserve"> </w:t>
      </w:r>
      <w:r>
        <w:rPr>
          <w:color w:val="231F20"/>
        </w:rPr>
        <w:t>Procurement</w:t>
      </w:r>
      <w:r>
        <w:rPr>
          <w:color w:val="231F20"/>
          <w:spacing w:val="-15"/>
        </w:rPr>
        <w:t xml:space="preserve"> </w:t>
      </w:r>
      <w:r>
        <w:rPr>
          <w:color w:val="231F20"/>
        </w:rPr>
        <w:t>of</w:t>
      </w:r>
      <w:r>
        <w:rPr>
          <w:color w:val="231F20"/>
          <w:spacing w:val="-15"/>
        </w:rPr>
        <w:t xml:space="preserve"> </w:t>
      </w:r>
      <w:r>
        <w:rPr>
          <w:color w:val="231F20"/>
        </w:rPr>
        <w:t>Personal</w:t>
      </w:r>
      <w:r>
        <w:rPr>
          <w:color w:val="231F20"/>
          <w:spacing w:val="-15"/>
        </w:rPr>
        <w:t xml:space="preserve"> </w:t>
      </w:r>
      <w:r>
        <w:rPr>
          <w:color w:val="231F20"/>
        </w:rPr>
        <w:t>Protective</w:t>
      </w:r>
      <w:r>
        <w:rPr>
          <w:color w:val="231F20"/>
          <w:spacing w:val="-15"/>
        </w:rPr>
        <w:t xml:space="preserve"> </w:t>
      </w:r>
      <w:r>
        <w:rPr>
          <w:color w:val="231F20"/>
        </w:rPr>
        <w:t>Equipment</w:t>
      </w:r>
      <w:r>
        <w:rPr>
          <w:color w:val="231F20"/>
          <w:spacing w:val="-15"/>
        </w:rPr>
        <w:t xml:space="preserve"> </w:t>
      </w:r>
      <w:r>
        <w:rPr>
          <w:color w:val="231F20"/>
        </w:rPr>
        <w:t>(PPE)</w:t>
      </w:r>
      <w:r>
        <w:rPr>
          <w:color w:val="231F20"/>
          <w:spacing w:val="-15"/>
        </w:rPr>
        <w:t xml:space="preserve"> </w:t>
      </w:r>
      <w:r>
        <w:rPr>
          <w:color w:val="231F20"/>
        </w:rPr>
        <w:t>for</w:t>
      </w:r>
      <w:r>
        <w:rPr>
          <w:color w:val="231F20"/>
          <w:spacing w:val="-15"/>
        </w:rPr>
        <w:t xml:space="preserve"> </w:t>
      </w:r>
      <w:r>
        <w:rPr>
          <w:color w:val="231F20"/>
        </w:rPr>
        <w:t>use</w:t>
      </w:r>
      <w:r>
        <w:rPr>
          <w:color w:val="231F20"/>
          <w:spacing w:val="-15"/>
        </w:rPr>
        <w:t xml:space="preserve"> </w:t>
      </w:r>
      <w:r>
        <w:rPr>
          <w:color w:val="231F20"/>
        </w:rPr>
        <w:t>at</w:t>
      </w:r>
      <w:r>
        <w:rPr>
          <w:color w:val="231F20"/>
          <w:spacing w:val="-15"/>
        </w:rPr>
        <w:t xml:space="preserve"> </w:t>
      </w:r>
      <w:r>
        <w:rPr>
          <w:color w:val="231F20"/>
        </w:rPr>
        <w:t>all</w:t>
      </w:r>
      <w:r>
        <w:rPr>
          <w:color w:val="231F20"/>
          <w:spacing w:val="-15"/>
        </w:rPr>
        <w:t xml:space="preserve"> </w:t>
      </w:r>
      <w:r>
        <w:rPr>
          <w:color w:val="231F20"/>
        </w:rPr>
        <w:t>levels;</w:t>
      </w:r>
      <w:r>
        <w:rPr>
          <w:color w:val="231F20"/>
          <w:spacing w:val="-15"/>
        </w:rPr>
        <w:t xml:space="preserve"> </w:t>
      </w:r>
      <w:r>
        <w:rPr>
          <w:color w:val="231F20"/>
        </w:rPr>
        <w:t>Provision</w:t>
      </w:r>
      <w:r>
        <w:rPr>
          <w:color w:val="231F20"/>
          <w:spacing w:val="-15"/>
        </w:rPr>
        <w:t xml:space="preserve"> </w:t>
      </w:r>
      <w:r>
        <w:rPr>
          <w:color w:val="231F20"/>
          <w:spacing w:val="-7"/>
        </w:rPr>
        <w:t xml:space="preserve">of </w:t>
      </w:r>
      <w:r>
        <w:rPr>
          <w:color w:val="231F20"/>
        </w:rPr>
        <w:t xml:space="preserve">IEC materials on infection control; Operating cost for engaging and supervising the contractor </w:t>
      </w:r>
      <w:r>
        <w:rPr>
          <w:color w:val="231F20"/>
          <w:spacing w:val="-7"/>
        </w:rPr>
        <w:t xml:space="preserve">to </w:t>
      </w:r>
      <w:r>
        <w:rPr>
          <w:color w:val="231F20"/>
        </w:rPr>
        <w:t>provide</w:t>
      </w:r>
      <w:r>
        <w:rPr>
          <w:color w:val="231F20"/>
          <w:spacing w:val="-25"/>
        </w:rPr>
        <w:t xml:space="preserve"> </w:t>
      </w:r>
      <w:r>
        <w:rPr>
          <w:color w:val="231F20"/>
        </w:rPr>
        <w:t>incinerator</w:t>
      </w:r>
      <w:r>
        <w:rPr>
          <w:color w:val="231F20"/>
          <w:spacing w:val="-26"/>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for</w:t>
      </w:r>
      <w:r>
        <w:rPr>
          <w:color w:val="231F20"/>
          <w:spacing w:val="-25"/>
        </w:rPr>
        <w:t xml:space="preserve"> </w:t>
      </w:r>
      <w:r>
        <w:rPr>
          <w:color w:val="231F20"/>
        </w:rPr>
        <w:t>hazardous</w:t>
      </w:r>
      <w:r>
        <w:rPr>
          <w:color w:val="231F20"/>
          <w:spacing w:val="-25"/>
        </w:rPr>
        <w:t xml:space="preserve"> </w:t>
      </w:r>
      <w:r>
        <w:rPr>
          <w:color w:val="231F20"/>
        </w:rPr>
        <w:t>hospital</w:t>
      </w:r>
      <w:r>
        <w:rPr>
          <w:color w:val="231F20"/>
          <w:spacing w:val="-25"/>
        </w:rPr>
        <w:t xml:space="preserve"> </w:t>
      </w:r>
      <w:r>
        <w:rPr>
          <w:color w:val="231F20"/>
        </w:rPr>
        <w:t>wastes.</w:t>
      </w:r>
    </w:p>
    <w:p w14:paraId="3BCFCC79" w14:textId="77777777" w:rsidR="009948F1" w:rsidRDefault="009948F1">
      <w:pPr>
        <w:pStyle w:val="BodyText"/>
        <w:spacing w:before="1"/>
        <w:rPr>
          <w:sz w:val="24"/>
        </w:rPr>
      </w:pPr>
    </w:p>
    <w:p w14:paraId="2DE401EB" w14:textId="77777777" w:rsidR="009948F1" w:rsidRDefault="00BC0563">
      <w:pPr>
        <w:pStyle w:val="Heading7"/>
        <w:spacing w:line="249" w:lineRule="exact"/>
        <w:ind w:left="134"/>
        <w:jc w:val="both"/>
      </w:pPr>
      <w:r>
        <w:rPr>
          <w:color w:val="231F20"/>
        </w:rPr>
        <w:t>Strategic Objectives</w:t>
      </w:r>
    </w:p>
    <w:p w14:paraId="1F2A648C" w14:textId="77777777" w:rsidR="009948F1" w:rsidRDefault="00BC0563">
      <w:pPr>
        <w:pStyle w:val="ListParagraph"/>
        <w:numPr>
          <w:ilvl w:val="3"/>
          <w:numId w:val="280"/>
        </w:numPr>
        <w:tabs>
          <w:tab w:val="left" w:pos="851"/>
        </w:tabs>
        <w:spacing w:before="3" w:line="232" w:lineRule="auto"/>
        <w:ind w:right="222" w:firstLine="0"/>
      </w:pPr>
      <w:r>
        <w:rPr>
          <w:color w:val="231F20"/>
        </w:rPr>
        <w:t>Promote</w:t>
      </w:r>
      <w:r>
        <w:rPr>
          <w:color w:val="231F20"/>
          <w:spacing w:val="-19"/>
        </w:rPr>
        <w:t xml:space="preserve"> </w:t>
      </w:r>
      <w:r>
        <w:rPr>
          <w:color w:val="231F20"/>
        </w:rPr>
        <w:t>the</w:t>
      </w:r>
      <w:r>
        <w:rPr>
          <w:color w:val="231F20"/>
          <w:spacing w:val="-18"/>
        </w:rPr>
        <w:t xml:space="preserve"> </w:t>
      </w:r>
      <w:r>
        <w:rPr>
          <w:color w:val="231F20"/>
        </w:rPr>
        <w:t>provision</w:t>
      </w:r>
      <w:r>
        <w:rPr>
          <w:color w:val="231F20"/>
          <w:spacing w:val="-18"/>
        </w:rPr>
        <w:t xml:space="preserve"> </w:t>
      </w:r>
      <w:r>
        <w:rPr>
          <w:color w:val="231F20"/>
        </w:rPr>
        <w:t>of</w:t>
      </w:r>
      <w:r>
        <w:rPr>
          <w:color w:val="231F20"/>
          <w:spacing w:val="-18"/>
        </w:rPr>
        <w:t xml:space="preserve"> </w:t>
      </w:r>
      <w:r>
        <w:rPr>
          <w:color w:val="231F20"/>
        </w:rPr>
        <w:t>and</w:t>
      </w:r>
      <w:r>
        <w:rPr>
          <w:color w:val="231F20"/>
          <w:spacing w:val="-18"/>
        </w:rPr>
        <w:t xml:space="preserve"> </w:t>
      </w:r>
      <w:r>
        <w:rPr>
          <w:color w:val="231F20"/>
        </w:rPr>
        <w:t>access</w:t>
      </w:r>
      <w:r>
        <w:rPr>
          <w:color w:val="231F20"/>
          <w:spacing w:val="-18"/>
        </w:rPr>
        <w:t xml:space="preserve"> </w:t>
      </w:r>
      <w:r>
        <w:rPr>
          <w:color w:val="231F20"/>
        </w:rPr>
        <w:t>to</w:t>
      </w:r>
      <w:r>
        <w:rPr>
          <w:color w:val="231F20"/>
          <w:spacing w:val="-18"/>
        </w:rPr>
        <w:t xml:space="preserve"> </w:t>
      </w:r>
      <w:r>
        <w:rPr>
          <w:color w:val="231F20"/>
        </w:rPr>
        <w:t>palliative</w:t>
      </w:r>
      <w:r>
        <w:rPr>
          <w:color w:val="231F20"/>
          <w:spacing w:val="-18"/>
        </w:rPr>
        <w:t xml:space="preserve"> </w:t>
      </w:r>
      <w:r>
        <w:rPr>
          <w:color w:val="231F20"/>
        </w:rPr>
        <w:t>and</w:t>
      </w:r>
      <w:r>
        <w:rPr>
          <w:color w:val="231F20"/>
          <w:spacing w:val="-18"/>
        </w:rPr>
        <w:t xml:space="preserve"> </w:t>
      </w:r>
      <w:r>
        <w:rPr>
          <w:color w:val="231F20"/>
        </w:rPr>
        <w:t>End-of-life</w:t>
      </w:r>
      <w:r>
        <w:rPr>
          <w:color w:val="231F20"/>
          <w:spacing w:val="-18"/>
        </w:rPr>
        <w:t xml:space="preserve"> </w:t>
      </w:r>
      <w:r>
        <w:rPr>
          <w:color w:val="231F20"/>
        </w:rPr>
        <w:t>care</w:t>
      </w:r>
      <w:r>
        <w:rPr>
          <w:color w:val="231F20"/>
          <w:spacing w:val="-18"/>
        </w:rPr>
        <w:t xml:space="preserve"> </w:t>
      </w:r>
      <w:r>
        <w:rPr>
          <w:color w:val="231F20"/>
        </w:rPr>
        <w:t>services</w:t>
      </w:r>
      <w:r>
        <w:rPr>
          <w:color w:val="231F20"/>
          <w:spacing w:val="-18"/>
        </w:rPr>
        <w:t xml:space="preserve"> </w:t>
      </w:r>
      <w:r>
        <w:rPr>
          <w:color w:val="231F20"/>
        </w:rPr>
        <w:t>at</w:t>
      </w:r>
      <w:r>
        <w:rPr>
          <w:color w:val="231F20"/>
          <w:spacing w:val="-18"/>
        </w:rPr>
        <w:t xml:space="preserve"> </w:t>
      </w:r>
      <w:r>
        <w:rPr>
          <w:color w:val="231F20"/>
        </w:rPr>
        <w:t>public</w:t>
      </w:r>
      <w:r>
        <w:rPr>
          <w:color w:val="231F20"/>
          <w:spacing w:val="-18"/>
        </w:rPr>
        <w:t xml:space="preserve"> </w:t>
      </w:r>
      <w:r>
        <w:rPr>
          <w:color w:val="231F20"/>
          <w:spacing w:val="-4"/>
        </w:rPr>
        <w:t xml:space="preserve">and </w:t>
      </w:r>
      <w:r>
        <w:rPr>
          <w:color w:val="231F20"/>
        </w:rPr>
        <w:t>private</w:t>
      </w:r>
      <w:r>
        <w:rPr>
          <w:color w:val="231F20"/>
          <w:spacing w:val="-26"/>
        </w:rPr>
        <w:t xml:space="preserve"> </w:t>
      </w:r>
      <w:r>
        <w:rPr>
          <w:color w:val="231F20"/>
        </w:rPr>
        <w:t>health</w:t>
      </w:r>
      <w:r>
        <w:rPr>
          <w:color w:val="231F20"/>
          <w:spacing w:val="-25"/>
        </w:rPr>
        <w:t xml:space="preserve"> </w:t>
      </w:r>
      <w:r>
        <w:rPr>
          <w:color w:val="231F20"/>
        </w:rPr>
        <w:t>facilities</w:t>
      </w:r>
      <w:r>
        <w:rPr>
          <w:color w:val="231F20"/>
          <w:spacing w:val="-25"/>
        </w:rPr>
        <w:t xml:space="preserve"> </w:t>
      </w:r>
      <w:r>
        <w:rPr>
          <w:color w:val="231F20"/>
        </w:rPr>
        <w:t>that</w:t>
      </w:r>
      <w:r>
        <w:rPr>
          <w:color w:val="231F20"/>
          <w:spacing w:val="-25"/>
        </w:rPr>
        <w:t xml:space="preserve"> </w:t>
      </w:r>
      <w:r>
        <w:rPr>
          <w:color w:val="231F20"/>
        </w:rPr>
        <w:t>meet</w:t>
      </w:r>
      <w:r>
        <w:rPr>
          <w:color w:val="231F20"/>
          <w:spacing w:val="-25"/>
        </w:rPr>
        <w:t xml:space="preserve"> </w:t>
      </w:r>
      <w:r>
        <w:rPr>
          <w:color w:val="231F20"/>
        </w:rPr>
        <w:t>defined</w:t>
      </w:r>
      <w:r>
        <w:rPr>
          <w:color w:val="231F20"/>
          <w:spacing w:val="-25"/>
        </w:rPr>
        <w:t xml:space="preserve"> </w:t>
      </w:r>
      <w:r>
        <w:rPr>
          <w:color w:val="231F20"/>
        </w:rPr>
        <w:t>minimum</w:t>
      </w:r>
      <w:r>
        <w:rPr>
          <w:color w:val="231F20"/>
          <w:spacing w:val="-25"/>
        </w:rPr>
        <w:t xml:space="preserve"> </w:t>
      </w:r>
      <w:r>
        <w:rPr>
          <w:color w:val="231F20"/>
        </w:rPr>
        <w:t>quality</w:t>
      </w:r>
      <w:r>
        <w:rPr>
          <w:color w:val="231F20"/>
          <w:spacing w:val="-25"/>
        </w:rPr>
        <w:t xml:space="preserve"> </w:t>
      </w:r>
      <w:r>
        <w:rPr>
          <w:color w:val="231F20"/>
        </w:rPr>
        <w:t>and</w:t>
      </w:r>
      <w:r>
        <w:rPr>
          <w:color w:val="231F20"/>
          <w:spacing w:val="-25"/>
        </w:rPr>
        <w:t xml:space="preserve"> </w:t>
      </w:r>
      <w:r>
        <w:rPr>
          <w:color w:val="231F20"/>
        </w:rPr>
        <w:t>safety</w:t>
      </w:r>
      <w:r>
        <w:rPr>
          <w:color w:val="231F20"/>
          <w:spacing w:val="-25"/>
        </w:rPr>
        <w:t xml:space="preserve"> </w:t>
      </w:r>
      <w:r>
        <w:rPr>
          <w:color w:val="231F20"/>
        </w:rPr>
        <w:t>standards</w:t>
      </w:r>
    </w:p>
    <w:p w14:paraId="38600FF9" w14:textId="77777777" w:rsidR="009948F1" w:rsidRDefault="009948F1">
      <w:pPr>
        <w:pStyle w:val="BodyText"/>
      </w:pPr>
    </w:p>
    <w:p w14:paraId="58519760" w14:textId="77777777" w:rsidR="009948F1" w:rsidRDefault="009948F1">
      <w:pPr>
        <w:pStyle w:val="BodyText"/>
        <w:spacing w:before="5"/>
        <w:rPr>
          <w:sz w:val="19"/>
        </w:rPr>
      </w:pPr>
    </w:p>
    <w:p w14:paraId="4D29287F" w14:textId="77777777" w:rsidR="009948F1" w:rsidRDefault="00BC0563">
      <w:pPr>
        <w:pStyle w:val="Heading6"/>
        <w:ind w:left="222"/>
      </w:pPr>
      <w:r>
        <w:rPr>
          <w:color w:val="231F20"/>
        </w:rPr>
        <w:t>Targets</w:t>
      </w:r>
    </w:p>
    <w:p w14:paraId="3F037C2F" w14:textId="77777777" w:rsidR="009948F1" w:rsidRDefault="009948F1">
      <w:pPr>
        <w:pStyle w:val="BodyText"/>
        <w:spacing w:before="6"/>
        <w:rPr>
          <w:b/>
          <w:sz w:val="13"/>
        </w:rPr>
      </w:pPr>
    </w:p>
    <w:tbl>
      <w:tblPr>
        <w:tblW w:w="0" w:type="auto"/>
        <w:tblInd w:w="17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159"/>
        <w:gridCol w:w="1244"/>
        <w:gridCol w:w="765"/>
        <w:gridCol w:w="765"/>
        <w:gridCol w:w="765"/>
        <w:gridCol w:w="763"/>
        <w:gridCol w:w="765"/>
        <w:gridCol w:w="1013"/>
      </w:tblGrid>
      <w:tr w:rsidR="009948F1" w14:paraId="622A8953" w14:textId="77777777">
        <w:trPr>
          <w:trHeight w:val="241"/>
        </w:trPr>
        <w:tc>
          <w:tcPr>
            <w:tcW w:w="3159" w:type="dxa"/>
            <w:tcBorders>
              <w:left w:val="single" w:sz="4" w:space="0" w:color="231F20"/>
              <w:right w:val="single" w:sz="4" w:space="0" w:color="231F20"/>
            </w:tcBorders>
            <w:shd w:val="clear" w:color="auto" w:fill="F4CEB2"/>
          </w:tcPr>
          <w:p w14:paraId="03BFEE12" w14:textId="77777777" w:rsidR="009948F1" w:rsidRDefault="00BC0563">
            <w:pPr>
              <w:pStyle w:val="TableParagraph"/>
              <w:spacing w:line="221" w:lineRule="exact"/>
              <w:ind w:left="110"/>
              <w:rPr>
                <w:sz w:val="21"/>
              </w:rPr>
            </w:pPr>
            <w:r>
              <w:rPr>
                <w:color w:val="231F20"/>
                <w:sz w:val="21"/>
              </w:rPr>
              <w:t>Targets</w:t>
            </w:r>
          </w:p>
        </w:tc>
        <w:tc>
          <w:tcPr>
            <w:tcW w:w="1244" w:type="dxa"/>
            <w:tcBorders>
              <w:left w:val="single" w:sz="4" w:space="0" w:color="231F20"/>
              <w:right w:val="single" w:sz="4" w:space="0" w:color="231F20"/>
            </w:tcBorders>
            <w:shd w:val="clear" w:color="auto" w:fill="F4CEB2"/>
          </w:tcPr>
          <w:p w14:paraId="751CD797" w14:textId="77777777" w:rsidR="009948F1" w:rsidRDefault="00BC0563">
            <w:pPr>
              <w:pStyle w:val="TableParagraph"/>
              <w:spacing w:line="221" w:lineRule="exact"/>
              <w:ind w:left="110"/>
              <w:rPr>
                <w:sz w:val="21"/>
              </w:rPr>
            </w:pPr>
            <w:r>
              <w:rPr>
                <w:color w:val="231F20"/>
                <w:sz w:val="21"/>
              </w:rPr>
              <w:t>Baseline</w:t>
            </w:r>
          </w:p>
        </w:tc>
        <w:tc>
          <w:tcPr>
            <w:tcW w:w="765" w:type="dxa"/>
            <w:tcBorders>
              <w:left w:val="single" w:sz="4" w:space="0" w:color="231F20"/>
              <w:right w:val="single" w:sz="4" w:space="0" w:color="231F20"/>
            </w:tcBorders>
            <w:shd w:val="clear" w:color="auto" w:fill="F4CEB2"/>
          </w:tcPr>
          <w:p w14:paraId="6E87BEC1" w14:textId="77777777" w:rsidR="009948F1" w:rsidRDefault="00BC0563">
            <w:pPr>
              <w:pStyle w:val="TableParagraph"/>
              <w:spacing w:line="221" w:lineRule="exact"/>
              <w:ind w:left="111"/>
              <w:rPr>
                <w:b/>
                <w:sz w:val="21"/>
              </w:rPr>
            </w:pPr>
            <w:r>
              <w:rPr>
                <w:b/>
                <w:color w:val="231F20"/>
                <w:sz w:val="21"/>
              </w:rPr>
              <w:t>2018</w:t>
            </w:r>
          </w:p>
        </w:tc>
        <w:tc>
          <w:tcPr>
            <w:tcW w:w="765" w:type="dxa"/>
            <w:tcBorders>
              <w:left w:val="single" w:sz="4" w:space="0" w:color="231F20"/>
              <w:right w:val="single" w:sz="4" w:space="0" w:color="231F20"/>
            </w:tcBorders>
            <w:shd w:val="clear" w:color="auto" w:fill="F4CEB2"/>
          </w:tcPr>
          <w:p w14:paraId="68ADD88A" w14:textId="77777777" w:rsidR="009948F1" w:rsidRDefault="00BC0563">
            <w:pPr>
              <w:pStyle w:val="TableParagraph"/>
              <w:spacing w:line="221" w:lineRule="exact"/>
              <w:ind w:left="112"/>
              <w:rPr>
                <w:b/>
                <w:sz w:val="21"/>
              </w:rPr>
            </w:pPr>
            <w:r>
              <w:rPr>
                <w:b/>
                <w:color w:val="231F20"/>
                <w:sz w:val="21"/>
              </w:rPr>
              <w:t>2019</w:t>
            </w:r>
          </w:p>
        </w:tc>
        <w:tc>
          <w:tcPr>
            <w:tcW w:w="765" w:type="dxa"/>
            <w:tcBorders>
              <w:left w:val="single" w:sz="4" w:space="0" w:color="231F20"/>
              <w:right w:val="single" w:sz="4" w:space="0" w:color="231F20"/>
            </w:tcBorders>
            <w:shd w:val="clear" w:color="auto" w:fill="F4CEB2"/>
          </w:tcPr>
          <w:p w14:paraId="70590BA8" w14:textId="77777777" w:rsidR="009948F1" w:rsidRDefault="00BC0563">
            <w:pPr>
              <w:pStyle w:val="TableParagraph"/>
              <w:spacing w:line="221" w:lineRule="exact"/>
              <w:ind w:left="113"/>
              <w:rPr>
                <w:b/>
                <w:sz w:val="21"/>
              </w:rPr>
            </w:pPr>
            <w:r>
              <w:rPr>
                <w:b/>
                <w:color w:val="231F20"/>
                <w:sz w:val="21"/>
              </w:rPr>
              <w:t>2020</w:t>
            </w:r>
          </w:p>
        </w:tc>
        <w:tc>
          <w:tcPr>
            <w:tcW w:w="763" w:type="dxa"/>
            <w:tcBorders>
              <w:left w:val="single" w:sz="4" w:space="0" w:color="231F20"/>
              <w:right w:val="single" w:sz="4" w:space="0" w:color="231F20"/>
            </w:tcBorders>
            <w:shd w:val="clear" w:color="auto" w:fill="F4CEB2"/>
          </w:tcPr>
          <w:p w14:paraId="232130F5" w14:textId="77777777" w:rsidR="009948F1" w:rsidRDefault="00BC0563">
            <w:pPr>
              <w:pStyle w:val="TableParagraph"/>
              <w:spacing w:line="221" w:lineRule="exact"/>
              <w:ind w:left="114"/>
              <w:rPr>
                <w:b/>
                <w:sz w:val="21"/>
              </w:rPr>
            </w:pPr>
            <w:r>
              <w:rPr>
                <w:b/>
                <w:color w:val="231F20"/>
                <w:sz w:val="21"/>
              </w:rPr>
              <w:t>2021</w:t>
            </w:r>
          </w:p>
        </w:tc>
        <w:tc>
          <w:tcPr>
            <w:tcW w:w="765" w:type="dxa"/>
            <w:tcBorders>
              <w:left w:val="single" w:sz="4" w:space="0" w:color="231F20"/>
              <w:right w:val="single" w:sz="4" w:space="0" w:color="231F20"/>
            </w:tcBorders>
            <w:shd w:val="clear" w:color="auto" w:fill="F4CEB2"/>
          </w:tcPr>
          <w:p w14:paraId="4B5FE378" w14:textId="77777777" w:rsidR="009948F1" w:rsidRDefault="00BC0563">
            <w:pPr>
              <w:pStyle w:val="TableParagraph"/>
              <w:spacing w:line="221" w:lineRule="exact"/>
              <w:ind w:left="114"/>
              <w:rPr>
                <w:b/>
                <w:sz w:val="21"/>
              </w:rPr>
            </w:pPr>
            <w:r>
              <w:rPr>
                <w:b/>
                <w:color w:val="231F20"/>
                <w:sz w:val="21"/>
              </w:rPr>
              <w:t>2022</w:t>
            </w:r>
          </w:p>
        </w:tc>
        <w:tc>
          <w:tcPr>
            <w:tcW w:w="1013" w:type="dxa"/>
            <w:tcBorders>
              <w:left w:val="single" w:sz="4" w:space="0" w:color="231F20"/>
              <w:right w:val="single" w:sz="4" w:space="0" w:color="231F20"/>
            </w:tcBorders>
            <w:shd w:val="clear" w:color="auto" w:fill="F4CEB2"/>
          </w:tcPr>
          <w:p w14:paraId="38A662D6" w14:textId="77777777" w:rsidR="009948F1" w:rsidRDefault="00BC0563">
            <w:pPr>
              <w:pStyle w:val="TableParagraph"/>
              <w:spacing w:line="221" w:lineRule="exact"/>
              <w:ind w:left="115"/>
              <w:rPr>
                <w:b/>
                <w:sz w:val="21"/>
              </w:rPr>
            </w:pPr>
            <w:r>
              <w:rPr>
                <w:b/>
                <w:color w:val="231F20"/>
                <w:sz w:val="21"/>
              </w:rPr>
              <w:t>National</w:t>
            </w:r>
          </w:p>
        </w:tc>
      </w:tr>
      <w:tr w:rsidR="009948F1" w14:paraId="54ECBA0A" w14:textId="77777777">
        <w:trPr>
          <w:trHeight w:val="489"/>
        </w:trPr>
        <w:tc>
          <w:tcPr>
            <w:tcW w:w="3159" w:type="dxa"/>
            <w:tcBorders>
              <w:left w:val="single" w:sz="4" w:space="0" w:color="231F20"/>
              <w:right w:val="single" w:sz="4" w:space="0" w:color="231F20"/>
            </w:tcBorders>
          </w:tcPr>
          <w:p w14:paraId="14E33056" w14:textId="77777777" w:rsidR="009948F1" w:rsidRDefault="00BC0563">
            <w:pPr>
              <w:pStyle w:val="TableParagraph"/>
              <w:ind w:left="110"/>
              <w:rPr>
                <w:sz w:val="21"/>
              </w:rPr>
            </w:pPr>
            <w:r>
              <w:rPr>
                <w:color w:val="231F20"/>
                <w:w w:val="90"/>
                <w:sz w:val="21"/>
              </w:rPr>
              <w:t>Client satisfaction level improved by</w:t>
            </w:r>
          </w:p>
          <w:p w14:paraId="6AC21E65" w14:textId="77777777" w:rsidR="009948F1" w:rsidRDefault="00BC0563">
            <w:pPr>
              <w:pStyle w:val="TableParagraph"/>
              <w:spacing w:before="7" w:line="221" w:lineRule="exact"/>
              <w:ind w:left="110"/>
              <w:rPr>
                <w:sz w:val="21"/>
              </w:rPr>
            </w:pPr>
            <w:r>
              <w:rPr>
                <w:color w:val="231F20"/>
                <w:sz w:val="21"/>
              </w:rPr>
              <w:t>35 % by 2022</w:t>
            </w:r>
          </w:p>
        </w:tc>
        <w:tc>
          <w:tcPr>
            <w:tcW w:w="1244" w:type="dxa"/>
            <w:tcBorders>
              <w:left w:val="single" w:sz="4" w:space="0" w:color="231F20"/>
              <w:right w:val="single" w:sz="4" w:space="0" w:color="231F20"/>
            </w:tcBorders>
          </w:tcPr>
          <w:p w14:paraId="3414E9A6" w14:textId="77777777" w:rsidR="009948F1" w:rsidRDefault="00BC0563">
            <w:pPr>
              <w:pStyle w:val="TableParagraph"/>
              <w:ind w:left="110"/>
              <w:rPr>
                <w:sz w:val="21"/>
              </w:rPr>
            </w:pPr>
            <w:r>
              <w:rPr>
                <w:color w:val="231F20"/>
                <w:sz w:val="21"/>
              </w:rPr>
              <w:t>TBD</w:t>
            </w:r>
          </w:p>
        </w:tc>
        <w:tc>
          <w:tcPr>
            <w:tcW w:w="765" w:type="dxa"/>
            <w:tcBorders>
              <w:left w:val="single" w:sz="4" w:space="0" w:color="231F20"/>
              <w:right w:val="single" w:sz="4" w:space="0" w:color="231F20"/>
            </w:tcBorders>
          </w:tcPr>
          <w:p w14:paraId="215460CB" w14:textId="77777777" w:rsidR="009948F1" w:rsidRDefault="00BC0563">
            <w:pPr>
              <w:pStyle w:val="TableParagraph"/>
              <w:ind w:left="111"/>
              <w:rPr>
                <w:sz w:val="21"/>
              </w:rPr>
            </w:pPr>
            <w:r>
              <w:rPr>
                <w:color w:val="231F20"/>
                <w:sz w:val="21"/>
              </w:rPr>
              <w:t>15%</w:t>
            </w:r>
          </w:p>
        </w:tc>
        <w:tc>
          <w:tcPr>
            <w:tcW w:w="765" w:type="dxa"/>
            <w:tcBorders>
              <w:left w:val="single" w:sz="4" w:space="0" w:color="231F20"/>
              <w:right w:val="single" w:sz="4" w:space="0" w:color="231F20"/>
            </w:tcBorders>
          </w:tcPr>
          <w:p w14:paraId="3D121D45" w14:textId="77777777" w:rsidR="009948F1" w:rsidRDefault="00BC0563">
            <w:pPr>
              <w:pStyle w:val="TableParagraph"/>
              <w:ind w:left="112"/>
              <w:rPr>
                <w:sz w:val="21"/>
              </w:rPr>
            </w:pPr>
            <w:r>
              <w:rPr>
                <w:color w:val="231F20"/>
                <w:sz w:val="21"/>
              </w:rPr>
              <w:t>20%</w:t>
            </w:r>
          </w:p>
        </w:tc>
        <w:tc>
          <w:tcPr>
            <w:tcW w:w="765" w:type="dxa"/>
            <w:tcBorders>
              <w:left w:val="single" w:sz="4" w:space="0" w:color="231F20"/>
              <w:right w:val="single" w:sz="4" w:space="0" w:color="231F20"/>
            </w:tcBorders>
          </w:tcPr>
          <w:p w14:paraId="7AF9AB84" w14:textId="77777777" w:rsidR="009948F1" w:rsidRDefault="00BC0563">
            <w:pPr>
              <w:pStyle w:val="TableParagraph"/>
              <w:ind w:left="113"/>
              <w:rPr>
                <w:sz w:val="21"/>
              </w:rPr>
            </w:pPr>
            <w:r>
              <w:rPr>
                <w:color w:val="231F20"/>
                <w:sz w:val="21"/>
              </w:rPr>
              <w:t>25%</w:t>
            </w:r>
          </w:p>
        </w:tc>
        <w:tc>
          <w:tcPr>
            <w:tcW w:w="763" w:type="dxa"/>
            <w:tcBorders>
              <w:left w:val="single" w:sz="4" w:space="0" w:color="231F20"/>
              <w:right w:val="single" w:sz="4" w:space="0" w:color="231F20"/>
            </w:tcBorders>
          </w:tcPr>
          <w:p w14:paraId="5735E3C8" w14:textId="77777777" w:rsidR="009948F1" w:rsidRDefault="00BC0563">
            <w:pPr>
              <w:pStyle w:val="TableParagraph"/>
              <w:ind w:left="114"/>
              <w:rPr>
                <w:sz w:val="21"/>
              </w:rPr>
            </w:pPr>
            <w:r>
              <w:rPr>
                <w:color w:val="231F20"/>
                <w:sz w:val="21"/>
              </w:rPr>
              <w:t>30%</w:t>
            </w:r>
          </w:p>
        </w:tc>
        <w:tc>
          <w:tcPr>
            <w:tcW w:w="765" w:type="dxa"/>
            <w:tcBorders>
              <w:left w:val="single" w:sz="4" w:space="0" w:color="231F20"/>
              <w:right w:val="single" w:sz="4" w:space="0" w:color="231F20"/>
            </w:tcBorders>
          </w:tcPr>
          <w:p w14:paraId="4970612C" w14:textId="77777777" w:rsidR="009948F1" w:rsidRDefault="00BC0563">
            <w:pPr>
              <w:pStyle w:val="TableParagraph"/>
              <w:ind w:left="114"/>
              <w:rPr>
                <w:sz w:val="21"/>
              </w:rPr>
            </w:pPr>
            <w:r>
              <w:rPr>
                <w:color w:val="231F20"/>
                <w:sz w:val="21"/>
              </w:rPr>
              <w:t>35%</w:t>
            </w:r>
          </w:p>
        </w:tc>
        <w:tc>
          <w:tcPr>
            <w:tcW w:w="1013" w:type="dxa"/>
            <w:tcBorders>
              <w:left w:val="single" w:sz="4" w:space="0" w:color="231F20"/>
              <w:right w:val="single" w:sz="4" w:space="0" w:color="231F20"/>
            </w:tcBorders>
          </w:tcPr>
          <w:p w14:paraId="774CB5F0" w14:textId="77777777" w:rsidR="009948F1" w:rsidRDefault="00BC0563">
            <w:pPr>
              <w:pStyle w:val="TableParagraph"/>
              <w:ind w:left="115"/>
              <w:rPr>
                <w:sz w:val="21"/>
              </w:rPr>
            </w:pPr>
            <w:r>
              <w:rPr>
                <w:color w:val="231F20"/>
                <w:sz w:val="21"/>
              </w:rPr>
              <w:t>50%</w:t>
            </w:r>
          </w:p>
        </w:tc>
      </w:tr>
      <w:tr w:rsidR="009948F1" w14:paraId="5BBC35C3" w14:textId="77777777">
        <w:trPr>
          <w:trHeight w:val="734"/>
        </w:trPr>
        <w:tc>
          <w:tcPr>
            <w:tcW w:w="3159" w:type="dxa"/>
            <w:tcBorders>
              <w:left w:val="single" w:sz="4" w:space="0" w:color="231F20"/>
              <w:right w:val="single" w:sz="4" w:space="0" w:color="231F20"/>
            </w:tcBorders>
          </w:tcPr>
          <w:p w14:paraId="18A9E33C" w14:textId="77777777" w:rsidR="009948F1" w:rsidRDefault="00BC0563">
            <w:pPr>
              <w:pStyle w:val="TableParagraph"/>
              <w:spacing w:line="242" w:lineRule="auto"/>
              <w:ind w:left="110" w:right="413"/>
              <w:rPr>
                <w:sz w:val="21"/>
              </w:rPr>
            </w:pPr>
            <w:r>
              <w:rPr>
                <w:color w:val="231F20"/>
                <w:w w:val="90"/>
                <w:sz w:val="21"/>
              </w:rPr>
              <w:t xml:space="preserve">Adherence to quality measures </w:t>
            </w:r>
            <w:r>
              <w:rPr>
                <w:color w:val="231F20"/>
                <w:sz w:val="21"/>
              </w:rPr>
              <w:t>improved by 25% by 2022</w:t>
            </w:r>
          </w:p>
        </w:tc>
        <w:tc>
          <w:tcPr>
            <w:tcW w:w="1244" w:type="dxa"/>
            <w:tcBorders>
              <w:left w:val="single" w:sz="4" w:space="0" w:color="231F20"/>
              <w:right w:val="single" w:sz="4" w:space="0" w:color="231F20"/>
            </w:tcBorders>
          </w:tcPr>
          <w:p w14:paraId="487F20DB" w14:textId="77777777" w:rsidR="009948F1" w:rsidRDefault="00BC0563">
            <w:pPr>
              <w:pStyle w:val="TableParagraph"/>
              <w:ind w:left="110"/>
              <w:rPr>
                <w:sz w:val="21"/>
              </w:rPr>
            </w:pPr>
            <w:r>
              <w:rPr>
                <w:color w:val="231F20"/>
                <w:sz w:val="21"/>
              </w:rPr>
              <w:t>TBD</w:t>
            </w:r>
          </w:p>
        </w:tc>
        <w:tc>
          <w:tcPr>
            <w:tcW w:w="765" w:type="dxa"/>
            <w:tcBorders>
              <w:left w:val="single" w:sz="4" w:space="0" w:color="231F20"/>
              <w:right w:val="single" w:sz="4" w:space="0" w:color="231F20"/>
            </w:tcBorders>
          </w:tcPr>
          <w:p w14:paraId="501C43E7" w14:textId="77777777" w:rsidR="009948F1" w:rsidRDefault="00BC0563">
            <w:pPr>
              <w:pStyle w:val="TableParagraph"/>
              <w:ind w:left="111"/>
              <w:rPr>
                <w:sz w:val="21"/>
              </w:rPr>
            </w:pPr>
            <w:r>
              <w:rPr>
                <w:color w:val="231F20"/>
                <w:sz w:val="21"/>
              </w:rPr>
              <w:t>5%</w:t>
            </w:r>
          </w:p>
        </w:tc>
        <w:tc>
          <w:tcPr>
            <w:tcW w:w="765" w:type="dxa"/>
            <w:tcBorders>
              <w:left w:val="single" w:sz="4" w:space="0" w:color="231F20"/>
              <w:right w:val="single" w:sz="4" w:space="0" w:color="231F20"/>
            </w:tcBorders>
          </w:tcPr>
          <w:p w14:paraId="6765E6A8" w14:textId="77777777" w:rsidR="009948F1" w:rsidRDefault="00BC0563">
            <w:pPr>
              <w:pStyle w:val="TableParagraph"/>
              <w:ind w:left="112"/>
              <w:rPr>
                <w:sz w:val="21"/>
              </w:rPr>
            </w:pPr>
            <w:r>
              <w:rPr>
                <w:color w:val="231F20"/>
                <w:sz w:val="21"/>
              </w:rPr>
              <w:t>10%</w:t>
            </w:r>
          </w:p>
        </w:tc>
        <w:tc>
          <w:tcPr>
            <w:tcW w:w="765" w:type="dxa"/>
            <w:tcBorders>
              <w:left w:val="single" w:sz="4" w:space="0" w:color="231F20"/>
              <w:right w:val="single" w:sz="4" w:space="0" w:color="231F20"/>
            </w:tcBorders>
          </w:tcPr>
          <w:p w14:paraId="4B4EB0E5" w14:textId="77777777" w:rsidR="009948F1" w:rsidRDefault="00BC0563">
            <w:pPr>
              <w:pStyle w:val="TableParagraph"/>
              <w:ind w:left="113"/>
              <w:rPr>
                <w:sz w:val="21"/>
              </w:rPr>
            </w:pPr>
            <w:r>
              <w:rPr>
                <w:color w:val="231F20"/>
                <w:sz w:val="21"/>
              </w:rPr>
              <w:t>15%</w:t>
            </w:r>
          </w:p>
        </w:tc>
        <w:tc>
          <w:tcPr>
            <w:tcW w:w="763" w:type="dxa"/>
            <w:tcBorders>
              <w:left w:val="single" w:sz="4" w:space="0" w:color="231F20"/>
              <w:right w:val="single" w:sz="4" w:space="0" w:color="231F20"/>
            </w:tcBorders>
          </w:tcPr>
          <w:p w14:paraId="24E51051" w14:textId="77777777" w:rsidR="009948F1" w:rsidRDefault="00BC0563">
            <w:pPr>
              <w:pStyle w:val="TableParagraph"/>
              <w:ind w:left="114"/>
              <w:rPr>
                <w:sz w:val="21"/>
              </w:rPr>
            </w:pPr>
            <w:r>
              <w:rPr>
                <w:color w:val="231F20"/>
                <w:sz w:val="21"/>
              </w:rPr>
              <w:t>20%</w:t>
            </w:r>
          </w:p>
        </w:tc>
        <w:tc>
          <w:tcPr>
            <w:tcW w:w="765" w:type="dxa"/>
            <w:tcBorders>
              <w:left w:val="single" w:sz="4" w:space="0" w:color="231F20"/>
              <w:right w:val="single" w:sz="4" w:space="0" w:color="231F20"/>
            </w:tcBorders>
          </w:tcPr>
          <w:p w14:paraId="02AFC613" w14:textId="77777777" w:rsidR="009948F1" w:rsidRDefault="00BC0563">
            <w:pPr>
              <w:pStyle w:val="TableParagraph"/>
              <w:ind w:left="114"/>
              <w:rPr>
                <w:sz w:val="21"/>
              </w:rPr>
            </w:pPr>
            <w:r>
              <w:rPr>
                <w:color w:val="231F20"/>
                <w:sz w:val="21"/>
              </w:rPr>
              <w:t>25%</w:t>
            </w:r>
          </w:p>
        </w:tc>
        <w:tc>
          <w:tcPr>
            <w:tcW w:w="1013" w:type="dxa"/>
            <w:tcBorders>
              <w:left w:val="single" w:sz="4" w:space="0" w:color="231F20"/>
              <w:right w:val="single" w:sz="4" w:space="0" w:color="231F20"/>
            </w:tcBorders>
          </w:tcPr>
          <w:p w14:paraId="2C4E87CB" w14:textId="77777777" w:rsidR="009948F1" w:rsidRDefault="00BC0563">
            <w:pPr>
              <w:pStyle w:val="TableParagraph"/>
              <w:ind w:left="115"/>
              <w:rPr>
                <w:sz w:val="21"/>
              </w:rPr>
            </w:pPr>
            <w:r>
              <w:rPr>
                <w:color w:val="231F20"/>
                <w:sz w:val="21"/>
              </w:rPr>
              <w:t>50%</w:t>
            </w:r>
          </w:p>
        </w:tc>
      </w:tr>
    </w:tbl>
    <w:p w14:paraId="5E676177" w14:textId="77777777" w:rsidR="009948F1" w:rsidRDefault="009948F1">
      <w:pPr>
        <w:pStyle w:val="BodyText"/>
        <w:rPr>
          <w:b/>
          <w:sz w:val="20"/>
        </w:rPr>
      </w:pPr>
    </w:p>
    <w:p w14:paraId="3F12F416" w14:textId="77777777" w:rsidR="009948F1" w:rsidRDefault="00BC0563">
      <w:pPr>
        <w:pStyle w:val="Heading7"/>
        <w:ind w:left="153"/>
      </w:pPr>
      <w:r>
        <w:rPr>
          <w:color w:val="231F20"/>
        </w:rPr>
        <w:t>Interventions</w:t>
      </w:r>
    </w:p>
    <w:p w14:paraId="552AD25F" w14:textId="77777777" w:rsidR="009948F1" w:rsidRDefault="00BC0563">
      <w:pPr>
        <w:pStyle w:val="ListParagraph"/>
        <w:numPr>
          <w:ilvl w:val="3"/>
          <w:numId w:val="278"/>
        </w:numPr>
        <w:tabs>
          <w:tab w:val="left" w:pos="892"/>
        </w:tabs>
        <w:spacing w:before="107" w:line="340" w:lineRule="auto"/>
        <w:ind w:right="172" w:firstLine="0"/>
      </w:pPr>
      <w:r>
        <w:rPr>
          <w:color w:val="231F20"/>
        </w:rPr>
        <w:t xml:space="preserve">Promote the development and implementation of policies, plans, legislations, regulations and clinical standards for palliative and end-of -life care services. Key actions include; – </w:t>
      </w:r>
      <w:r>
        <w:rPr>
          <w:color w:val="231F20"/>
          <w:spacing w:val="-3"/>
        </w:rPr>
        <w:t xml:space="preserve">Adopt </w:t>
      </w:r>
      <w:r>
        <w:rPr>
          <w:color w:val="231F20"/>
        </w:rPr>
        <w:t>existing</w:t>
      </w:r>
      <w:r>
        <w:rPr>
          <w:color w:val="231F20"/>
          <w:spacing w:val="-11"/>
        </w:rPr>
        <w:t xml:space="preserve"> </w:t>
      </w:r>
      <w:r>
        <w:rPr>
          <w:color w:val="231F20"/>
        </w:rPr>
        <w:t>policies</w:t>
      </w:r>
      <w:r>
        <w:rPr>
          <w:color w:val="231F20"/>
          <w:spacing w:val="-10"/>
        </w:rPr>
        <w:t xml:space="preserve"> </w:t>
      </w:r>
      <w:r>
        <w:rPr>
          <w:color w:val="231F20"/>
        </w:rPr>
        <w:t>and</w:t>
      </w:r>
      <w:r>
        <w:rPr>
          <w:color w:val="231F20"/>
          <w:spacing w:val="-10"/>
        </w:rPr>
        <w:t xml:space="preserve"> </w:t>
      </w:r>
      <w:r>
        <w:rPr>
          <w:color w:val="231F20"/>
        </w:rPr>
        <w:t>develop</w:t>
      </w:r>
      <w:r>
        <w:rPr>
          <w:color w:val="231F20"/>
          <w:spacing w:val="-10"/>
        </w:rPr>
        <w:t xml:space="preserve"> </w:t>
      </w:r>
      <w:r>
        <w:rPr>
          <w:color w:val="231F20"/>
        </w:rPr>
        <w:t>protocols</w:t>
      </w:r>
      <w:r>
        <w:rPr>
          <w:color w:val="231F20"/>
          <w:spacing w:val="-10"/>
        </w:rPr>
        <w:t xml:space="preserve"> </w:t>
      </w:r>
      <w:r>
        <w:rPr>
          <w:color w:val="231F20"/>
        </w:rPr>
        <w:t>and</w:t>
      </w:r>
      <w:r>
        <w:rPr>
          <w:color w:val="231F20"/>
          <w:spacing w:val="-10"/>
        </w:rPr>
        <w:t xml:space="preserve"> </w:t>
      </w:r>
      <w:r>
        <w:rPr>
          <w:color w:val="231F20"/>
        </w:rPr>
        <w:t>guidelines</w:t>
      </w:r>
      <w:r>
        <w:rPr>
          <w:color w:val="231F20"/>
          <w:spacing w:val="-10"/>
        </w:rPr>
        <w:t xml:space="preserve"> </w:t>
      </w:r>
      <w:r>
        <w:rPr>
          <w:color w:val="231F20"/>
        </w:rPr>
        <w:t>for</w:t>
      </w:r>
      <w:r>
        <w:rPr>
          <w:color w:val="231F20"/>
          <w:spacing w:val="-10"/>
        </w:rPr>
        <w:t xml:space="preserve"> </w:t>
      </w:r>
      <w:r>
        <w:rPr>
          <w:color w:val="231F20"/>
        </w:rPr>
        <w:t>Palliative</w:t>
      </w:r>
      <w:r>
        <w:rPr>
          <w:color w:val="231F20"/>
          <w:spacing w:val="-10"/>
        </w:rPr>
        <w:t xml:space="preserve"> </w:t>
      </w:r>
      <w:r>
        <w:rPr>
          <w:color w:val="231F20"/>
        </w:rPr>
        <w:t>and</w:t>
      </w:r>
      <w:r>
        <w:rPr>
          <w:color w:val="231F20"/>
          <w:spacing w:val="-10"/>
        </w:rPr>
        <w:t xml:space="preserve"> </w:t>
      </w:r>
      <w:r>
        <w:rPr>
          <w:color w:val="231F20"/>
        </w:rPr>
        <w:t>End</w:t>
      </w:r>
      <w:r>
        <w:rPr>
          <w:color w:val="231F20"/>
          <w:spacing w:val="-10"/>
        </w:rPr>
        <w:t xml:space="preserve"> </w:t>
      </w:r>
      <w:r>
        <w:rPr>
          <w:color w:val="231F20"/>
        </w:rPr>
        <w:t>of</w:t>
      </w:r>
      <w:r>
        <w:rPr>
          <w:color w:val="231F20"/>
          <w:spacing w:val="-11"/>
        </w:rPr>
        <w:t xml:space="preserve"> </w:t>
      </w:r>
      <w:r>
        <w:rPr>
          <w:color w:val="231F20"/>
        </w:rPr>
        <w:t>Life</w:t>
      </w:r>
      <w:r>
        <w:rPr>
          <w:color w:val="231F20"/>
          <w:spacing w:val="-10"/>
        </w:rPr>
        <w:t xml:space="preserve"> </w:t>
      </w:r>
      <w:r>
        <w:rPr>
          <w:color w:val="231F20"/>
        </w:rPr>
        <w:t>Care</w:t>
      </w:r>
      <w:r>
        <w:rPr>
          <w:color w:val="231F20"/>
          <w:spacing w:val="-10"/>
        </w:rPr>
        <w:t xml:space="preserve"> </w:t>
      </w:r>
      <w:r>
        <w:rPr>
          <w:color w:val="231F20"/>
        </w:rPr>
        <w:t>services; Conduct advocacy visits to policy makers on establishing Palliative and End of Life services; Conduct</w:t>
      </w:r>
      <w:r>
        <w:rPr>
          <w:color w:val="231F20"/>
          <w:spacing w:val="-23"/>
        </w:rPr>
        <w:t xml:space="preserve"> </w:t>
      </w:r>
      <w:r>
        <w:rPr>
          <w:color w:val="231F20"/>
        </w:rPr>
        <w:t>need</w:t>
      </w:r>
      <w:r>
        <w:rPr>
          <w:color w:val="231F20"/>
          <w:spacing w:val="-22"/>
        </w:rPr>
        <w:t xml:space="preserve"> </w:t>
      </w:r>
      <w:r>
        <w:rPr>
          <w:color w:val="231F20"/>
        </w:rPr>
        <w:t>assessment</w:t>
      </w:r>
      <w:r>
        <w:rPr>
          <w:color w:val="231F20"/>
          <w:spacing w:val="-22"/>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Palliative</w:t>
      </w:r>
      <w:r>
        <w:rPr>
          <w:color w:val="231F20"/>
          <w:spacing w:val="-22"/>
        </w:rPr>
        <w:t xml:space="preserve"> </w:t>
      </w:r>
      <w:r>
        <w:rPr>
          <w:color w:val="231F20"/>
        </w:rPr>
        <w:t>/End</w:t>
      </w:r>
      <w:r>
        <w:rPr>
          <w:color w:val="231F20"/>
          <w:spacing w:val="-23"/>
        </w:rPr>
        <w:t xml:space="preserve"> </w:t>
      </w:r>
      <w:r>
        <w:rPr>
          <w:color w:val="231F20"/>
        </w:rPr>
        <w:t>of</w:t>
      </w:r>
      <w:r>
        <w:rPr>
          <w:color w:val="231F20"/>
          <w:spacing w:val="-23"/>
        </w:rPr>
        <w:t xml:space="preserve"> </w:t>
      </w:r>
      <w:r>
        <w:rPr>
          <w:color w:val="231F20"/>
        </w:rPr>
        <w:t>Life</w:t>
      </w:r>
      <w:r>
        <w:rPr>
          <w:color w:val="231F20"/>
          <w:spacing w:val="-22"/>
        </w:rPr>
        <w:t xml:space="preserve"> </w:t>
      </w:r>
      <w:r>
        <w:rPr>
          <w:color w:val="231F20"/>
        </w:rPr>
        <w:t>Care</w:t>
      </w:r>
      <w:r>
        <w:rPr>
          <w:color w:val="231F20"/>
          <w:spacing w:val="-22"/>
        </w:rPr>
        <w:t xml:space="preserve"> </w:t>
      </w:r>
      <w:r>
        <w:rPr>
          <w:color w:val="231F20"/>
        </w:rPr>
        <w:t>by</w:t>
      </w:r>
      <w:r>
        <w:rPr>
          <w:color w:val="231F20"/>
          <w:spacing w:val="-23"/>
        </w:rPr>
        <w:t xml:space="preserve"> </w:t>
      </w:r>
      <w:r>
        <w:rPr>
          <w:color w:val="231F20"/>
        </w:rPr>
        <w:t>DPRS,</w:t>
      </w:r>
      <w:r>
        <w:rPr>
          <w:color w:val="231F20"/>
          <w:spacing w:val="-23"/>
        </w:rPr>
        <w:t xml:space="preserve"> </w:t>
      </w:r>
      <w:r>
        <w:rPr>
          <w:color w:val="231F20"/>
        </w:rPr>
        <w:t>SMOH;</w:t>
      </w:r>
      <w:r>
        <w:rPr>
          <w:color w:val="231F20"/>
          <w:spacing w:val="-23"/>
        </w:rPr>
        <w:t xml:space="preserve"> </w:t>
      </w:r>
      <w:r>
        <w:rPr>
          <w:color w:val="231F20"/>
        </w:rPr>
        <w:t>Print</w:t>
      </w:r>
      <w:r>
        <w:rPr>
          <w:color w:val="231F20"/>
          <w:spacing w:val="-23"/>
        </w:rPr>
        <w:t xml:space="preserve"> </w:t>
      </w:r>
      <w:r>
        <w:rPr>
          <w:color w:val="231F20"/>
        </w:rPr>
        <w:t>&amp;</w:t>
      </w:r>
      <w:r>
        <w:rPr>
          <w:color w:val="231F20"/>
          <w:spacing w:val="-23"/>
        </w:rPr>
        <w:t xml:space="preserve"> </w:t>
      </w:r>
      <w:r>
        <w:rPr>
          <w:color w:val="231F20"/>
        </w:rPr>
        <w:t>disseminate guideline;</w:t>
      </w:r>
      <w:r>
        <w:rPr>
          <w:color w:val="231F20"/>
          <w:spacing w:val="-25"/>
        </w:rPr>
        <w:t xml:space="preserve"> </w:t>
      </w:r>
      <w:r>
        <w:rPr>
          <w:color w:val="231F20"/>
        </w:rPr>
        <w:t>Create</w:t>
      </w:r>
      <w:r>
        <w:rPr>
          <w:color w:val="231F20"/>
          <w:spacing w:val="-26"/>
        </w:rPr>
        <w:t xml:space="preserve"> </w:t>
      </w:r>
      <w:r>
        <w:rPr>
          <w:color w:val="231F20"/>
        </w:rPr>
        <w:t>awareness</w:t>
      </w:r>
      <w:r>
        <w:rPr>
          <w:color w:val="231F20"/>
          <w:spacing w:val="-25"/>
        </w:rPr>
        <w:t xml:space="preserve"> </w:t>
      </w:r>
      <w:r>
        <w:rPr>
          <w:color w:val="231F20"/>
        </w:rPr>
        <w:t>on</w:t>
      </w:r>
      <w:r>
        <w:rPr>
          <w:color w:val="231F20"/>
          <w:spacing w:val="-25"/>
        </w:rPr>
        <w:t xml:space="preserve"> </w:t>
      </w:r>
      <w:r>
        <w:rPr>
          <w:color w:val="231F20"/>
        </w:rPr>
        <w:t>availability</w:t>
      </w:r>
      <w:r>
        <w:rPr>
          <w:color w:val="231F20"/>
          <w:spacing w:val="-25"/>
        </w:rPr>
        <w:t xml:space="preserve"> </w:t>
      </w:r>
      <w:r>
        <w:rPr>
          <w:color w:val="231F20"/>
        </w:rPr>
        <w:t>care.</w:t>
      </w:r>
    </w:p>
    <w:p w14:paraId="66D5734E" w14:textId="77777777" w:rsidR="009948F1" w:rsidRDefault="009948F1">
      <w:pPr>
        <w:pStyle w:val="BodyText"/>
        <w:spacing w:before="7"/>
        <w:rPr>
          <w:sz w:val="31"/>
        </w:rPr>
      </w:pPr>
    </w:p>
    <w:p w14:paraId="25B56DA6" w14:textId="77777777" w:rsidR="009948F1" w:rsidRDefault="00BC0563">
      <w:pPr>
        <w:pStyle w:val="ListParagraph"/>
        <w:numPr>
          <w:ilvl w:val="3"/>
          <w:numId w:val="278"/>
        </w:numPr>
        <w:tabs>
          <w:tab w:val="left" w:pos="867"/>
        </w:tabs>
        <w:spacing w:line="340" w:lineRule="auto"/>
        <w:ind w:left="152" w:right="172" w:firstLine="0"/>
      </w:pPr>
      <w:r>
        <w:rPr>
          <w:color w:val="231F20"/>
        </w:rPr>
        <w:t>Build</w:t>
      </w:r>
      <w:r>
        <w:rPr>
          <w:color w:val="231F20"/>
          <w:spacing w:val="-22"/>
        </w:rPr>
        <w:t xml:space="preserve"> </w:t>
      </w:r>
      <w:r>
        <w:rPr>
          <w:color w:val="231F20"/>
        </w:rPr>
        <w:t>capacity</w:t>
      </w:r>
      <w:r>
        <w:rPr>
          <w:color w:val="231F20"/>
          <w:spacing w:val="-21"/>
        </w:rPr>
        <w:t xml:space="preserve"> </w:t>
      </w:r>
      <w:r>
        <w:rPr>
          <w:color w:val="231F20"/>
        </w:rPr>
        <w:t>(human</w:t>
      </w:r>
      <w:r>
        <w:rPr>
          <w:color w:val="231F20"/>
          <w:spacing w:val="-21"/>
        </w:rPr>
        <w:t xml:space="preserve"> </w:t>
      </w:r>
      <w:r>
        <w:rPr>
          <w:color w:val="231F20"/>
        </w:rPr>
        <w:t>and</w:t>
      </w:r>
      <w:r>
        <w:rPr>
          <w:color w:val="231F20"/>
          <w:spacing w:val="-21"/>
        </w:rPr>
        <w:t xml:space="preserve"> </w:t>
      </w:r>
      <w:r>
        <w:rPr>
          <w:color w:val="231F20"/>
        </w:rPr>
        <w:t>institutional)</w:t>
      </w:r>
      <w:r>
        <w:rPr>
          <w:color w:val="231F20"/>
          <w:spacing w:val="-21"/>
        </w:rPr>
        <w:t xml:space="preserve"> </w:t>
      </w:r>
      <w:r>
        <w:rPr>
          <w:color w:val="231F20"/>
        </w:rPr>
        <w:t>for</w:t>
      </w:r>
      <w:r>
        <w:rPr>
          <w:color w:val="231F20"/>
          <w:spacing w:val="-21"/>
        </w:rPr>
        <w:t xml:space="preserve"> </w:t>
      </w:r>
      <w:r>
        <w:rPr>
          <w:color w:val="231F20"/>
        </w:rPr>
        <w:t>continuous</w:t>
      </w:r>
      <w:r>
        <w:rPr>
          <w:color w:val="231F20"/>
          <w:spacing w:val="-21"/>
        </w:rPr>
        <w:t xml:space="preserve"> </w:t>
      </w:r>
      <w:r>
        <w:rPr>
          <w:color w:val="231F20"/>
        </w:rPr>
        <w:t>quality</w:t>
      </w:r>
      <w:r>
        <w:rPr>
          <w:color w:val="231F20"/>
          <w:spacing w:val="-22"/>
        </w:rPr>
        <w:t xml:space="preserve"> </w:t>
      </w:r>
      <w:r>
        <w:rPr>
          <w:color w:val="231F20"/>
        </w:rPr>
        <w:t>improvement</w:t>
      </w:r>
      <w:r>
        <w:rPr>
          <w:color w:val="231F20"/>
          <w:spacing w:val="-21"/>
        </w:rPr>
        <w:t xml:space="preserve"> </w:t>
      </w:r>
      <w:r>
        <w:rPr>
          <w:color w:val="231F20"/>
        </w:rPr>
        <w:t>of</w:t>
      </w:r>
      <w:r>
        <w:rPr>
          <w:color w:val="231F20"/>
          <w:spacing w:val="-21"/>
        </w:rPr>
        <w:t xml:space="preserve"> </w:t>
      </w:r>
      <w:r>
        <w:rPr>
          <w:color w:val="231F20"/>
        </w:rPr>
        <w:t>palliative</w:t>
      </w:r>
      <w:r>
        <w:rPr>
          <w:color w:val="231F20"/>
          <w:spacing w:val="-21"/>
        </w:rPr>
        <w:t xml:space="preserve"> </w:t>
      </w:r>
      <w:r>
        <w:rPr>
          <w:color w:val="231F20"/>
        </w:rPr>
        <w:t xml:space="preserve">and End-of-life care services. Key actions include; – Operating cost for engaging and supervising </w:t>
      </w:r>
      <w:r>
        <w:rPr>
          <w:color w:val="231F20"/>
          <w:spacing w:val="-5"/>
        </w:rPr>
        <w:t xml:space="preserve">the </w:t>
      </w:r>
      <w:r>
        <w:rPr>
          <w:color w:val="231F20"/>
        </w:rPr>
        <w:t>contractor to purchase, supply and maintain equipment for End-of-life care services; Procure commodities for End-of-life care services; Build capacity of staff on protocols and guidelines; Institute referral</w:t>
      </w:r>
      <w:r>
        <w:rPr>
          <w:color w:val="231F20"/>
          <w:spacing w:val="-50"/>
        </w:rPr>
        <w:t xml:space="preserve"> </w:t>
      </w:r>
      <w:r>
        <w:rPr>
          <w:color w:val="231F20"/>
        </w:rPr>
        <w:t>linkage.</w:t>
      </w:r>
    </w:p>
    <w:p w14:paraId="3C3C4BE0" w14:textId="77777777" w:rsidR="009948F1" w:rsidRDefault="009948F1">
      <w:pPr>
        <w:spacing w:line="340" w:lineRule="auto"/>
        <w:jc w:val="both"/>
        <w:sectPr w:rsidR="009948F1">
          <w:pgSz w:w="11910" w:h="16840"/>
          <w:pgMar w:top="1200" w:right="1080" w:bottom="1420" w:left="1120" w:header="0" w:footer="1235" w:gutter="0"/>
          <w:cols w:space="720"/>
        </w:sectPr>
      </w:pPr>
    </w:p>
    <w:p w14:paraId="7037B0A8" w14:textId="77777777" w:rsidR="009948F1" w:rsidRDefault="00BC0563">
      <w:pPr>
        <w:pStyle w:val="ListParagraph"/>
        <w:numPr>
          <w:ilvl w:val="3"/>
          <w:numId w:val="278"/>
        </w:numPr>
        <w:tabs>
          <w:tab w:val="left" w:pos="926"/>
        </w:tabs>
        <w:spacing w:before="36" w:line="283" w:lineRule="auto"/>
        <w:ind w:left="176" w:right="222" w:firstLine="0"/>
      </w:pPr>
      <w:bookmarkStart w:id="84" w:name="Page_70"/>
      <w:bookmarkEnd w:id="84"/>
      <w:r>
        <w:rPr>
          <w:color w:val="231F20"/>
        </w:rPr>
        <w:lastRenderedPageBreak/>
        <w:t xml:space="preserve">Strengthen community systems to support Palliative and End-of-life care services. </w:t>
      </w:r>
      <w:r>
        <w:rPr>
          <w:color w:val="231F20"/>
          <w:spacing w:val="-4"/>
        </w:rPr>
        <w:t>Key</w:t>
      </w:r>
      <w:r>
        <w:rPr>
          <w:color w:val="231F20"/>
          <w:spacing w:val="53"/>
        </w:rPr>
        <w:t xml:space="preserve"> </w:t>
      </w:r>
      <w:r>
        <w:rPr>
          <w:color w:val="231F20"/>
        </w:rPr>
        <w:t>actions</w:t>
      </w:r>
      <w:r>
        <w:rPr>
          <w:color w:val="231F20"/>
          <w:spacing w:val="-21"/>
        </w:rPr>
        <w:t xml:space="preserve"> </w:t>
      </w:r>
      <w:r>
        <w:rPr>
          <w:color w:val="231F20"/>
        </w:rPr>
        <w:t>include;</w:t>
      </w:r>
      <w:r>
        <w:rPr>
          <w:color w:val="231F20"/>
          <w:spacing w:val="-21"/>
        </w:rPr>
        <w:t xml:space="preserve"> </w:t>
      </w:r>
      <w:r>
        <w:rPr>
          <w:color w:val="231F20"/>
        </w:rPr>
        <w:t>-</w:t>
      </w:r>
      <w:r>
        <w:rPr>
          <w:color w:val="231F20"/>
          <w:spacing w:val="-24"/>
        </w:rPr>
        <w:t xml:space="preserve"> </w:t>
      </w:r>
      <w:r>
        <w:rPr>
          <w:color w:val="231F20"/>
        </w:rPr>
        <w:t>Train</w:t>
      </w:r>
      <w:r>
        <w:rPr>
          <w:color w:val="231F20"/>
          <w:spacing w:val="-21"/>
        </w:rPr>
        <w:t xml:space="preserve"> </w:t>
      </w:r>
      <w:r>
        <w:rPr>
          <w:color w:val="231F20"/>
        </w:rPr>
        <w:t>Community</w:t>
      </w:r>
      <w:r>
        <w:rPr>
          <w:color w:val="231F20"/>
          <w:spacing w:val="-20"/>
        </w:rPr>
        <w:t xml:space="preserve"> </w:t>
      </w:r>
      <w:r>
        <w:rPr>
          <w:color w:val="231F20"/>
        </w:rPr>
        <w:t>Care</w:t>
      </w:r>
      <w:r>
        <w:rPr>
          <w:color w:val="231F20"/>
          <w:spacing w:val="-21"/>
        </w:rPr>
        <w:t xml:space="preserve"> </w:t>
      </w:r>
      <w:r>
        <w:rPr>
          <w:color w:val="231F20"/>
        </w:rPr>
        <w:t>Givers</w:t>
      </w:r>
      <w:r>
        <w:rPr>
          <w:color w:val="231F20"/>
          <w:spacing w:val="-21"/>
        </w:rPr>
        <w:t xml:space="preserve"> </w:t>
      </w:r>
      <w:r>
        <w:rPr>
          <w:color w:val="231F20"/>
        </w:rPr>
        <w:t>on</w:t>
      </w:r>
      <w:r>
        <w:rPr>
          <w:color w:val="231F20"/>
          <w:spacing w:val="-20"/>
        </w:rPr>
        <w:t xml:space="preserve"> </w:t>
      </w:r>
      <w:r>
        <w:rPr>
          <w:color w:val="231F20"/>
        </w:rPr>
        <w:t>End-of-Life</w:t>
      </w:r>
      <w:r>
        <w:rPr>
          <w:color w:val="231F20"/>
          <w:spacing w:val="-21"/>
        </w:rPr>
        <w:t xml:space="preserve"> </w:t>
      </w:r>
      <w:r>
        <w:rPr>
          <w:color w:val="231F20"/>
        </w:rPr>
        <w:t>guidelines;</w:t>
      </w:r>
      <w:r>
        <w:rPr>
          <w:color w:val="231F20"/>
          <w:spacing w:val="-24"/>
        </w:rPr>
        <w:t xml:space="preserve"> </w:t>
      </w:r>
      <w:r>
        <w:rPr>
          <w:color w:val="231F20"/>
        </w:rPr>
        <w:t>Train</w:t>
      </w:r>
      <w:r>
        <w:rPr>
          <w:color w:val="231F20"/>
          <w:spacing w:val="-21"/>
        </w:rPr>
        <w:t xml:space="preserve"> </w:t>
      </w:r>
      <w:r>
        <w:rPr>
          <w:color w:val="231F20"/>
        </w:rPr>
        <w:t>Religious</w:t>
      </w:r>
      <w:r>
        <w:rPr>
          <w:color w:val="231F20"/>
          <w:spacing w:val="-20"/>
        </w:rPr>
        <w:t xml:space="preserve"> </w:t>
      </w:r>
      <w:r>
        <w:rPr>
          <w:color w:val="231F20"/>
        </w:rPr>
        <w:t>leaders, WDCs,</w:t>
      </w:r>
      <w:r>
        <w:rPr>
          <w:color w:val="231F20"/>
          <w:spacing w:val="-25"/>
        </w:rPr>
        <w:t xml:space="preserve"> </w:t>
      </w:r>
      <w:r>
        <w:rPr>
          <w:color w:val="231F20"/>
        </w:rPr>
        <w:t>CDCs</w:t>
      </w:r>
      <w:r>
        <w:rPr>
          <w:color w:val="231F20"/>
          <w:spacing w:val="-26"/>
        </w:rPr>
        <w:t xml:space="preserve"> </w:t>
      </w:r>
      <w:r>
        <w:rPr>
          <w:color w:val="231F20"/>
        </w:rPr>
        <w:t>and</w:t>
      </w:r>
      <w:r>
        <w:rPr>
          <w:color w:val="231F20"/>
          <w:spacing w:val="-25"/>
        </w:rPr>
        <w:t xml:space="preserve"> </w:t>
      </w:r>
      <w:r>
        <w:rPr>
          <w:color w:val="231F20"/>
        </w:rPr>
        <w:t>VDCs</w:t>
      </w:r>
      <w:r>
        <w:rPr>
          <w:color w:val="231F20"/>
          <w:spacing w:val="-25"/>
        </w:rPr>
        <w:t xml:space="preserve"> </w:t>
      </w:r>
      <w:r>
        <w:rPr>
          <w:color w:val="231F20"/>
        </w:rPr>
        <w:t>on</w:t>
      </w:r>
      <w:r>
        <w:rPr>
          <w:color w:val="231F20"/>
          <w:spacing w:val="-25"/>
        </w:rPr>
        <w:t xml:space="preserve"> </w:t>
      </w:r>
      <w:r>
        <w:rPr>
          <w:color w:val="231F20"/>
        </w:rPr>
        <w:t>their</w:t>
      </w:r>
      <w:r>
        <w:rPr>
          <w:color w:val="231F20"/>
          <w:spacing w:val="-25"/>
        </w:rPr>
        <w:t xml:space="preserve"> </w:t>
      </w:r>
      <w:r>
        <w:rPr>
          <w:color w:val="231F20"/>
        </w:rPr>
        <w:t>roles</w:t>
      </w:r>
      <w:r>
        <w:rPr>
          <w:color w:val="231F20"/>
          <w:spacing w:val="-25"/>
        </w:rPr>
        <w:t xml:space="preserve"> </w:t>
      </w:r>
      <w:r>
        <w:rPr>
          <w:color w:val="231F20"/>
        </w:rPr>
        <w:t>and</w:t>
      </w:r>
      <w:r>
        <w:rPr>
          <w:color w:val="231F20"/>
          <w:spacing w:val="-25"/>
        </w:rPr>
        <w:t xml:space="preserve"> </w:t>
      </w:r>
      <w:r>
        <w:rPr>
          <w:color w:val="231F20"/>
        </w:rPr>
        <w:t>responsibilities.</w:t>
      </w:r>
    </w:p>
    <w:p w14:paraId="23810688" w14:textId="77777777" w:rsidR="009948F1" w:rsidRDefault="009948F1">
      <w:pPr>
        <w:pStyle w:val="BodyText"/>
        <w:spacing w:before="2"/>
        <w:rPr>
          <w:sz w:val="26"/>
        </w:rPr>
      </w:pPr>
    </w:p>
    <w:p w14:paraId="27E45FA8" w14:textId="77777777" w:rsidR="009948F1" w:rsidRDefault="00BC0563">
      <w:pPr>
        <w:pStyle w:val="ListParagraph"/>
        <w:numPr>
          <w:ilvl w:val="3"/>
          <w:numId w:val="278"/>
        </w:numPr>
        <w:tabs>
          <w:tab w:val="left" w:pos="925"/>
        </w:tabs>
        <w:spacing w:line="283" w:lineRule="auto"/>
        <w:ind w:left="176" w:right="218" w:firstLine="0"/>
      </w:pPr>
      <w:r>
        <w:rPr>
          <w:color w:val="231F20"/>
        </w:rPr>
        <w:t xml:space="preserve">Promote appropriate disposal of dead bodies. Key actions include;– Advocacy for </w:t>
      </w:r>
      <w:r>
        <w:rPr>
          <w:color w:val="231F20"/>
          <w:spacing w:val="-4"/>
        </w:rPr>
        <w:t>PPP</w:t>
      </w:r>
      <w:r>
        <w:rPr>
          <w:color w:val="231F20"/>
          <w:spacing w:val="53"/>
        </w:rPr>
        <w:t xml:space="preserve"> </w:t>
      </w:r>
      <w:r>
        <w:rPr>
          <w:color w:val="231F20"/>
        </w:rPr>
        <w:t>collaboration</w:t>
      </w:r>
      <w:r>
        <w:rPr>
          <w:color w:val="231F20"/>
          <w:spacing w:val="-16"/>
        </w:rPr>
        <w:t xml:space="preserve"> </w:t>
      </w:r>
      <w:r>
        <w:rPr>
          <w:color w:val="231F20"/>
        </w:rPr>
        <w:t>in</w:t>
      </w:r>
      <w:r>
        <w:rPr>
          <w:color w:val="231F20"/>
          <w:spacing w:val="-17"/>
        </w:rPr>
        <w:t xml:space="preserve"> </w:t>
      </w:r>
      <w:r>
        <w:rPr>
          <w:color w:val="231F20"/>
        </w:rPr>
        <w:t>provision</w:t>
      </w:r>
      <w:r>
        <w:rPr>
          <w:color w:val="231F20"/>
          <w:spacing w:val="-16"/>
        </w:rPr>
        <w:t xml:space="preserve"> </w:t>
      </w:r>
      <w:r>
        <w:rPr>
          <w:color w:val="231F20"/>
        </w:rPr>
        <w:t>of</w:t>
      </w:r>
      <w:r>
        <w:rPr>
          <w:color w:val="231F20"/>
          <w:spacing w:val="-17"/>
        </w:rPr>
        <w:t xml:space="preserve"> </w:t>
      </w:r>
      <w:r>
        <w:rPr>
          <w:color w:val="231F20"/>
        </w:rPr>
        <w:t>mortuary</w:t>
      </w:r>
      <w:r>
        <w:rPr>
          <w:color w:val="231F20"/>
          <w:spacing w:val="-16"/>
        </w:rPr>
        <w:t xml:space="preserve"> </w:t>
      </w:r>
      <w:r>
        <w:rPr>
          <w:color w:val="231F20"/>
        </w:rPr>
        <w:t>services</w:t>
      </w:r>
      <w:r>
        <w:rPr>
          <w:color w:val="231F20"/>
          <w:spacing w:val="-17"/>
        </w:rPr>
        <w:t xml:space="preserve"> </w:t>
      </w:r>
      <w:r>
        <w:rPr>
          <w:color w:val="231F20"/>
        </w:rPr>
        <w:t>at</w:t>
      </w:r>
      <w:r>
        <w:rPr>
          <w:color w:val="231F20"/>
          <w:spacing w:val="-17"/>
        </w:rPr>
        <w:t xml:space="preserve"> </w:t>
      </w:r>
      <w:r>
        <w:rPr>
          <w:color w:val="231F20"/>
        </w:rPr>
        <w:t>primary</w:t>
      </w:r>
      <w:r>
        <w:rPr>
          <w:color w:val="231F20"/>
          <w:spacing w:val="-17"/>
        </w:rPr>
        <w:t xml:space="preserve"> </w:t>
      </w:r>
      <w:r>
        <w:rPr>
          <w:color w:val="231F20"/>
        </w:rPr>
        <w:t>&amp;</w:t>
      </w:r>
      <w:r>
        <w:rPr>
          <w:color w:val="231F20"/>
          <w:spacing w:val="-17"/>
        </w:rPr>
        <w:t xml:space="preserve"> </w:t>
      </w:r>
      <w:r>
        <w:rPr>
          <w:color w:val="231F20"/>
        </w:rPr>
        <w:t>secondary</w:t>
      </w:r>
      <w:r>
        <w:rPr>
          <w:color w:val="231F20"/>
          <w:spacing w:val="-15"/>
        </w:rPr>
        <w:t xml:space="preserve"> </w:t>
      </w:r>
      <w:r>
        <w:rPr>
          <w:color w:val="231F20"/>
        </w:rPr>
        <w:t>levels;</w:t>
      </w:r>
      <w:r>
        <w:rPr>
          <w:color w:val="231F20"/>
          <w:spacing w:val="-21"/>
        </w:rPr>
        <w:t xml:space="preserve"> </w:t>
      </w:r>
      <w:r>
        <w:rPr>
          <w:color w:val="231F20"/>
        </w:rPr>
        <w:t>Training</w:t>
      </w:r>
      <w:r>
        <w:rPr>
          <w:color w:val="231F20"/>
          <w:spacing w:val="-16"/>
        </w:rPr>
        <w:t xml:space="preserve"> </w:t>
      </w:r>
      <w:r>
        <w:rPr>
          <w:color w:val="231F20"/>
        </w:rPr>
        <w:t>on</w:t>
      </w:r>
      <w:r>
        <w:rPr>
          <w:color w:val="231F20"/>
          <w:spacing w:val="-17"/>
        </w:rPr>
        <w:t xml:space="preserve"> </w:t>
      </w:r>
      <w:r>
        <w:rPr>
          <w:color w:val="231F20"/>
        </w:rPr>
        <w:t>infection prevention and control of all health workers in Primary and Secondary facilities; Procure and distribute</w:t>
      </w:r>
      <w:r>
        <w:rPr>
          <w:color w:val="231F20"/>
          <w:spacing w:val="-16"/>
        </w:rPr>
        <w:t xml:space="preserve"> </w:t>
      </w:r>
      <w:r>
        <w:rPr>
          <w:color w:val="231F20"/>
        </w:rPr>
        <w:t>personnel</w:t>
      </w:r>
      <w:r>
        <w:rPr>
          <w:color w:val="231F20"/>
          <w:spacing w:val="-16"/>
        </w:rPr>
        <w:t xml:space="preserve"> </w:t>
      </w:r>
      <w:r>
        <w:rPr>
          <w:color w:val="231F20"/>
        </w:rPr>
        <w:t>protective</w:t>
      </w:r>
      <w:r>
        <w:rPr>
          <w:color w:val="231F20"/>
          <w:spacing w:val="-16"/>
        </w:rPr>
        <w:t xml:space="preserve"> </w:t>
      </w:r>
      <w:r>
        <w:rPr>
          <w:color w:val="231F20"/>
        </w:rPr>
        <w:t>equipment;</w:t>
      </w:r>
      <w:r>
        <w:rPr>
          <w:color w:val="231F20"/>
          <w:spacing w:val="-20"/>
        </w:rPr>
        <w:t xml:space="preserve"> </w:t>
      </w:r>
      <w:r>
        <w:rPr>
          <w:color w:val="231F20"/>
        </w:rPr>
        <w:t>Training</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mortuary</w:t>
      </w:r>
      <w:r>
        <w:rPr>
          <w:color w:val="231F20"/>
          <w:spacing w:val="-16"/>
        </w:rPr>
        <w:t xml:space="preserve"> </w:t>
      </w:r>
      <w:r>
        <w:rPr>
          <w:color w:val="231F20"/>
        </w:rPr>
        <w:t>attendants</w:t>
      </w:r>
      <w:r>
        <w:rPr>
          <w:color w:val="231F20"/>
          <w:spacing w:val="-16"/>
        </w:rPr>
        <w:t xml:space="preserve"> </w:t>
      </w:r>
      <w:r>
        <w:rPr>
          <w:color w:val="231F20"/>
        </w:rPr>
        <w:t>and</w:t>
      </w:r>
      <w:r>
        <w:rPr>
          <w:color w:val="231F20"/>
          <w:spacing w:val="-16"/>
        </w:rPr>
        <w:t xml:space="preserve"> </w:t>
      </w:r>
      <w:r>
        <w:rPr>
          <w:color w:val="231F20"/>
        </w:rPr>
        <w:t>Environmental Health</w:t>
      </w:r>
      <w:r>
        <w:rPr>
          <w:color w:val="231F20"/>
          <w:spacing w:val="-26"/>
        </w:rPr>
        <w:t xml:space="preserve"> </w:t>
      </w:r>
      <w:r>
        <w:rPr>
          <w:color w:val="231F20"/>
        </w:rPr>
        <w:t>Officers</w:t>
      </w:r>
      <w:r>
        <w:rPr>
          <w:color w:val="231F20"/>
          <w:spacing w:val="-25"/>
        </w:rPr>
        <w:t xml:space="preserve"> </w:t>
      </w:r>
      <w:r>
        <w:rPr>
          <w:color w:val="231F20"/>
        </w:rPr>
        <w:t>(EHOs);</w:t>
      </w:r>
      <w:r>
        <w:rPr>
          <w:color w:val="231F20"/>
          <w:spacing w:val="-25"/>
        </w:rPr>
        <w:t xml:space="preserve"> </w:t>
      </w:r>
      <w:r>
        <w:rPr>
          <w:color w:val="231F20"/>
        </w:rPr>
        <w:t>Print</w:t>
      </w:r>
      <w:r>
        <w:rPr>
          <w:color w:val="231F20"/>
          <w:spacing w:val="-25"/>
        </w:rPr>
        <w:t xml:space="preserve"> </w:t>
      </w:r>
      <w:r>
        <w:rPr>
          <w:color w:val="231F20"/>
        </w:rPr>
        <w:t>and</w:t>
      </w:r>
      <w:r>
        <w:rPr>
          <w:color w:val="231F20"/>
          <w:spacing w:val="-25"/>
        </w:rPr>
        <w:t xml:space="preserve"> </w:t>
      </w:r>
      <w:r>
        <w:rPr>
          <w:color w:val="231F20"/>
        </w:rPr>
        <w:t>distribute</w:t>
      </w:r>
      <w:r>
        <w:rPr>
          <w:color w:val="231F20"/>
          <w:spacing w:val="-25"/>
        </w:rPr>
        <w:t xml:space="preserve"> </w:t>
      </w:r>
      <w:r>
        <w:rPr>
          <w:color w:val="231F20"/>
        </w:rPr>
        <w:t>tools</w:t>
      </w:r>
      <w:r>
        <w:rPr>
          <w:color w:val="231F20"/>
          <w:spacing w:val="-25"/>
        </w:rPr>
        <w:t xml:space="preserve"> </w:t>
      </w:r>
      <w:r>
        <w:rPr>
          <w:color w:val="231F20"/>
        </w:rPr>
        <w:t>on</w:t>
      </w:r>
      <w:r>
        <w:rPr>
          <w:color w:val="231F20"/>
          <w:spacing w:val="-25"/>
        </w:rPr>
        <w:t xml:space="preserve"> </w:t>
      </w:r>
      <w:r>
        <w:rPr>
          <w:color w:val="231F20"/>
        </w:rPr>
        <w:t>capturing</w:t>
      </w:r>
      <w:r>
        <w:rPr>
          <w:color w:val="231F20"/>
          <w:spacing w:val="-25"/>
        </w:rPr>
        <w:t xml:space="preserve"> </w:t>
      </w:r>
      <w:r>
        <w:rPr>
          <w:color w:val="231F20"/>
        </w:rPr>
        <w:t>dead</w:t>
      </w:r>
      <w:r>
        <w:rPr>
          <w:color w:val="231F20"/>
          <w:spacing w:val="-25"/>
        </w:rPr>
        <w:t xml:space="preserve"> </w:t>
      </w:r>
      <w:r>
        <w:rPr>
          <w:color w:val="231F20"/>
        </w:rPr>
        <w:t>bodies.</w:t>
      </w:r>
    </w:p>
    <w:p w14:paraId="7F36781C" w14:textId="77777777" w:rsidR="009948F1" w:rsidRDefault="009948F1">
      <w:pPr>
        <w:pStyle w:val="BodyText"/>
        <w:spacing w:before="2"/>
        <w:rPr>
          <w:sz w:val="26"/>
        </w:rPr>
      </w:pPr>
    </w:p>
    <w:p w14:paraId="67AAC055" w14:textId="77777777" w:rsidR="009948F1" w:rsidRDefault="00BC0563">
      <w:pPr>
        <w:pStyle w:val="Heading7"/>
        <w:spacing w:line="283" w:lineRule="auto"/>
        <w:ind w:left="176" w:right="3459"/>
        <w:jc w:val="both"/>
      </w:pPr>
      <w:r>
        <w:rPr>
          <w:color w:val="231F20"/>
        </w:rPr>
        <w:t>Priority</w:t>
      </w:r>
      <w:r>
        <w:rPr>
          <w:color w:val="231F20"/>
          <w:spacing w:val="-33"/>
        </w:rPr>
        <w:t xml:space="preserve"> </w:t>
      </w:r>
      <w:r>
        <w:rPr>
          <w:color w:val="231F20"/>
        </w:rPr>
        <w:t>Area</w:t>
      </w:r>
      <w:r>
        <w:rPr>
          <w:color w:val="231F20"/>
          <w:spacing w:val="-24"/>
        </w:rPr>
        <w:t xml:space="preserve"> </w:t>
      </w:r>
      <w:r>
        <w:rPr>
          <w:color w:val="231F20"/>
        </w:rPr>
        <w:t>8:</w:t>
      </w:r>
      <w:r>
        <w:rPr>
          <w:color w:val="231F20"/>
          <w:spacing w:val="-25"/>
        </w:rPr>
        <w:t xml:space="preserve"> </w:t>
      </w:r>
      <w:r>
        <w:rPr>
          <w:color w:val="231F20"/>
        </w:rPr>
        <w:t>Health</w:t>
      </w:r>
      <w:r>
        <w:rPr>
          <w:color w:val="231F20"/>
          <w:spacing w:val="-24"/>
        </w:rPr>
        <w:t xml:space="preserve"> </w:t>
      </w:r>
      <w:r>
        <w:rPr>
          <w:color w:val="231F20"/>
        </w:rPr>
        <w:t>Promotion</w:t>
      </w:r>
      <w:r>
        <w:rPr>
          <w:color w:val="231F20"/>
          <w:spacing w:val="-24"/>
        </w:rPr>
        <w:t xml:space="preserve"> </w:t>
      </w:r>
      <w:r>
        <w:rPr>
          <w:color w:val="231F20"/>
        </w:rPr>
        <w:t>and</w:t>
      </w:r>
      <w:r>
        <w:rPr>
          <w:color w:val="231F20"/>
          <w:spacing w:val="-25"/>
        </w:rPr>
        <w:t xml:space="preserve"> </w:t>
      </w:r>
      <w:r>
        <w:rPr>
          <w:color w:val="231F20"/>
        </w:rPr>
        <w:t>Environmental</w:t>
      </w:r>
      <w:r>
        <w:rPr>
          <w:color w:val="231F20"/>
          <w:spacing w:val="-24"/>
        </w:rPr>
        <w:t xml:space="preserve"> </w:t>
      </w:r>
      <w:r>
        <w:rPr>
          <w:color w:val="231F20"/>
          <w:spacing w:val="-3"/>
        </w:rPr>
        <w:t xml:space="preserve">Health </w:t>
      </w:r>
      <w:r>
        <w:rPr>
          <w:color w:val="231F20"/>
        </w:rPr>
        <w:t>Context</w:t>
      </w:r>
    </w:p>
    <w:p w14:paraId="1CA167F4" w14:textId="77777777" w:rsidR="009948F1" w:rsidRDefault="00BC0563">
      <w:pPr>
        <w:pStyle w:val="BodyText"/>
        <w:spacing w:before="1" w:line="283" w:lineRule="auto"/>
        <w:ind w:left="176" w:right="222"/>
        <w:jc w:val="both"/>
      </w:pPr>
      <w:r>
        <w:rPr>
          <w:color w:val="231F20"/>
        </w:rPr>
        <w:t xml:space="preserve">Health promotion is defined as 'the process of enabling people to increase control over and </w:t>
      </w:r>
      <w:r>
        <w:rPr>
          <w:color w:val="231F20"/>
          <w:spacing w:val="-7"/>
        </w:rPr>
        <w:t xml:space="preserve">to </w:t>
      </w:r>
      <w:r>
        <w:rPr>
          <w:color w:val="231F20"/>
        </w:rPr>
        <w:t xml:space="preserve">improve their health' (WHO 1986). It comprises actions aimed at fostering good health and wellbeing, focusing on populations within the context of their everyday lives. It is aimed </w:t>
      </w:r>
      <w:r>
        <w:rPr>
          <w:color w:val="231F20"/>
          <w:spacing w:val="-7"/>
        </w:rPr>
        <w:t xml:space="preserve">at </w:t>
      </w:r>
      <w:r>
        <w:rPr>
          <w:color w:val="231F20"/>
        </w:rPr>
        <w:t>promoting</w:t>
      </w:r>
      <w:r>
        <w:rPr>
          <w:color w:val="231F20"/>
          <w:spacing w:val="-14"/>
        </w:rPr>
        <w:t xml:space="preserve"> </w:t>
      </w:r>
      <w:r>
        <w:rPr>
          <w:color w:val="231F20"/>
        </w:rPr>
        <w:t>health</w:t>
      </w:r>
      <w:r>
        <w:rPr>
          <w:color w:val="231F20"/>
          <w:spacing w:val="-13"/>
        </w:rPr>
        <w:t xml:space="preserve"> </w:t>
      </w:r>
      <w:r>
        <w:rPr>
          <w:color w:val="231F20"/>
        </w:rPr>
        <w:t>and</w:t>
      </w:r>
      <w:r>
        <w:rPr>
          <w:color w:val="231F20"/>
          <w:spacing w:val="-13"/>
        </w:rPr>
        <w:t xml:space="preserve"> </w:t>
      </w:r>
      <w:r>
        <w:rPr>
          <w:color w:val="231F20"/>
        </w:rPr>
        <w:t>preventing</w:t>
      </w:r>
      <w:r>
        <w:rPr>
          <w:color w:val="231F20"/>
          <w:spacing w:val="-13"/>
        </w:rPr>
        <w:t xml:space="preserve"> </w:t>
      </w:r>
      <w:r>
        <w:rPr>
          <w:color w:val="231F20"/>
        </w:rPr>
        <w:t>disease.</w:t>
      </w:r>
      <w:r>
        <w:rPr>
          <w:color w:val="231F20"/>
          <w:spacing w:val="-13"/>
        </w:rPr>
        <w:t xml:space="preserve"> </w:t>
      </w:r>
      <w:r>
        <w:rPr>
          <w:color w:val="231F20"/>
        </w:rPr>
        <w:t>It</w:t>
      </w:r>
      <w:r>
        <w:rPr>
          <w:color w:val="231F20"/>
          <w:spacing w:val="-13"/>
        </w:rPr>
        <w:t xml:space="preserve"> </w:t>
      </w:r>
      <w:r>
        <w:rPr>
          <w:color w:val="231F20"/>
        </w:rPr>
        <w:t>addresses</w:t>
      </w:r>
      <w:r>
        <w:rPr>
          <w:color w:val="231F20"/>
          <w:spacing w:val="-13"/>
        </w:rPr>
        <w:t xml:space="preserve"> </w:t>
      </w:r>
      <w:r>
        <w:rPr>
          <w:color w:val="231F20"/>
        </w:rPr>
        <w:t>many</w:t>
      </w:r>
      <w:r>
        <w:rPr>
          <w:color w:val="231F20"/>
          <w:spacing w:val="-13"/>
        </w:rPr>
        <w:t xml:space="preserve"> </w:t>
      </w:r>
      <w:r>
        <w:rPr>
          <w:color w:val="231F20"/>
        </w:rPr>
        <w:t>factors</w:t>
      </w:r>
      <w:r>
        <w:rPr>
          <w:color w:val="231F20"/>
          <w:spacing w:val="-13"/>
        </w:rPr>
        <w:t xml:space="preserve"> </w:t>
      </w:r>
      <w:r>
        <w:rPr>
          <w:color w:val="231F20"/>
        </w:rPr>
        <w:t>that</w:t>
      </w:r>
      <w:r>
        <w:rPr>
          <w:color w:val="231F20"/>
          <w:spacing w:val="-13"/>
        </w:rPr>
        <w:t xml:space="preserve"> </w:t>
      </w:r>
      <w:r>
        <w:rPr>
          <w:color w:val="231F20"/>
        </w:rPr>
        <w:t>influence</w:t>
      </w:r>
      <w:r>
        <w:rPr>
          <w:color w:val="231F20"/>
          <w:spacing w:val="-14"/>
        </w:rPr>
        <w:t xml:space="preserve"> </w:t>
      </w:r>
      <w:r>
        <w:rPr>
          <w:color w:val="231F20"/>
        </w:rPr>
        <w:t>health</w:t>
      </w:r>
      <w:r>
        <w:rPr>
          <w:color w:val="231F20"/>
          <w:spacing w:val="-13"/>
        </w:rPr>
        <w:t xml:space="preserve"> </w:t>
      </w:r>
      <w:r>
        <w:rPr>
          <w:color w:val="231F20"/>
        </w:rPr>
        <w:t>such</w:t>
      </w:r>
      <w:r>
        <w:rPr>
          <w:color w:val="231F20"/>
          <w:spacing w:val="-13"/>
        </w:rPr>
        <w:t xml:space="preserve"> </w:t>
      </w:r>
      <w:r>
        <w:rPr>
          <w:color w:val="231F20"/>
        </w:rPr>
        <w:t>as Individual</w:t>
      </w:r>
      <w:r>
        <w:rPr>
          <w:color w:val="231F20"/>
          <w:spacing w:val="-22"/>
        </w:rPr>
        <w:t xml:space="preserve"> </w:t>
      </w:r>
      <w:r>
        <w:rPr>
          <w:color w:val="231F20"/>
        </w:rPr>
        <w:t>factors-(biological,</w:t>
      </w:r>
      <w:r>
        <w:rPr>
          <w:color w:val="231F20"/>
          <w:spacing w:val="-20"/>
        </w:rPr>
        <w:t xml:space="preserve"> </w:t>
      </w:r>
      <w:r>
        <w:rPr>
          <w:color w:val="231F20"/>
        </w:rPr>
        <w:t>socio-demographic</w:t>
      </w:r>
      <w:r>
        <w:rPr>
          <w:color w:val="231F20"/>
          <w:spacing w:val="-20"/>
        </w:rPr>
        <w:t xml:space="preserve"> </w:t>
      </w:r>
      <w:r>
        <w:rPr>
          <w:color w:val="231F20"/>
        </w:rPr>
        <w:t>and</w:t>
      </w:r>
      <w:r>
        <w:rPr>
          <w:color w:val="231F20"/>
          <w:spacing w:val="-21"/>
        </w:rPr>
        <w:t xml:space="preserve"> </w:t>
      </w:r>
      <w:r>
        <w:rPr>
          <w:color w:val="231F20"/>
        </w:rPr>
        <w:t>lifestyle</w:t>
      </w:r>
      <w:r>
        <w:rPr>
          <w:color w:val="231F20"/>
          <w:spacing w:val="-22"/>
        </w:rPr>
        <w:t xml:space="preserve"> </w:t>
      </w:r>
      <w:r>
        <w:rPr>
          <w:color w:val="231F20"/>
        </w:rPr>
        <w:t>and</w:t>
      </w:r>
      <w:r>
        <w:rPr>
          <w:color w:val="231F20"/>
          <w:spacing w:val="-21"/>
        </w:rPr>
        <w:t xml:space="preserve"> </w:t>
      </w:r>
      <w:r>
        <w:rPr>
          <w:color w:val="231F20"/>
        </w:rPr>
        <w:t>health</w:t>
      </w:r>
      <w:r>
        <w:rPr>
          <w:color w:val="231F20"/>
          <w:spacing w:val="-21"/>
        </w:rPr>
        <w:t xml:space="preserve"> </w:t>
      </w:r>
      <w:r>
        <w:rPr>
          <w:color w:val="231F20"/>
        </w:rPr>
        <w:t>care</w:t>
      </w:r>
      <w:r>
        <w:rPr>
          <w:color w:val="231F20"/>
          <w:spacing w:val="-21"/>
        </w:rPr>
        <w:t xml:space="preserve"> </w:t>
      </w:r>
      <w:r>
        <w:rPr>
          <w:color w:val="231F20"/>
        </w:rPr>
        <w:t>seeking</w:t>
      </w:r>
      <w:r>
        <w:rPr>
          <w:color w:val="231F20"/>
          <w:spacing w:val="-22"/>
        </w:rPr>
        <w:t xml:space="preserve"> </w:t>
      </w:r>
      <w:proofErr w:type="spellStart"/>
      <w:r>
        <w:rPr>
          <w:color w:val="231F20"/>
        </w:rPr>
        <w:t>behaviour</w:t>
      </w:r>
      <w:proofErr w:type="spellEnd"/>
      <w:r>
        <w:rPr>
          <w:color w:val="231F20"/>
        </w:rPr>
        <w:t>); and Environmental factors (cultural, social, economic, physical, etc.). These are the social determinants of</w:t>
      </w:r>
      <w:r>
        <w:rPr>
          <w:color w:val="231F20"/>
          <w:spacing w:val="-50"/>
        </w:rPr>
        <w:t xml:space="preserve"> </w:t>
      </w:r>
      <w:r>
        <w:rPr>
          <w:color w:val="231F20"/>
        </w:rPr>
        <w:t>health.</w:t>
      </w:r>
    </w:p>
    <w:p w14:paraId="771DC4C5" w14:textId="77777777" w:rsidR="009948F1" w:rsidRDefault="009948F1">
      <w:pPr>
        <w:pStyle w:val="BodyText"/>
        <w:spacing w:before="3"/>
        <w:rPr>
          <w:sz w:val="26"/>
        </w:rPr>
      </w:pPr>
    </w:p>
    <w:p w14:paraId="4C129E32" w14:textId="77777777" w:rsidR="009948F1" w:rsidRDefault="00BC0563">
      <w:pPr>
        <w:pStyle w:val="Heading7"/>
        <w:spacing w:before="1"/>
        <w:ind w:left="176"/>
      </w:pPr>
      <w:r>
        <w:rPr>
          <w:color w:val="231F20"/>
        </w:rPr>
        <w:t>Strategic Goals:</w:t>
      </w:r>
    </w:p>
    <w:p w14:paraId="014BBBE9" w14:textId="4E07C61C" w:rsidR="009948F1" w:rsidRDefault="00BC0563">
      <w:pPr>
        <w:pStyle w:val="ListParagraph"/>
        <w:numPr>
          <w:ilvl w:val="2"/>
          <w:numId w:val="277"/>
        </w:numPr>
        <w:tabs>
          <w:tab w:val="left" w:pos="727"/>
        </w:tabs>
        <w:spacing w:before="46" w:line="283" w:lineRule="auto"/>
        <w:ind w:right="221" w:firstLine="0"/>
        <w:jc w:val="both"/>
        <w:rPr>
          <w:color w:val="231F20"/>
        </w:rPr>
      </w:pPr>
      <w:r>
        <w:rPr>
          <w:color w:val="231F20"/>
        </w:rPr>
        <w:t xml:space="preserve">Improve the </w:t>
      </w:r>
      <w:r w:rsidR="00582DC8">
        <w:rPr>
          <w:color w:val="231F20"/>
        </w:rPr>
        <w:t>well-being</w:t>
      </w:r>
      <w:r>
        <w:rPr>
          <w:color w:val="231F20"/>
        </w:rPr>
        <w:t>, safety and quality of life of Rivers people through health</w:t>
      </w:r>
      <w:r>
        <w:rPr>
          <w:color w:val="231F20"/>
          <w:spacing w:val="-43"/>
        </w:rPr>
        <w:t xml:space="preserve"> </w:t>
      </w:r>
      <w:r>
        <w:rPr>
          <w:color w:val="231F20"/>
        </w:rPr>
        <w:t>promotion and healthy</w:t>
      </w:r>
      <w:r>
        <w:rPr>
          <w:color w:val="231F20"/>
          <w:spacing w:val="-50"/>
        </w:rPr>
        <w:t xml:space="preserve"> </w:t>
      </w:r>
      <w:r>
        <w:rPr>
          <w:color w:val="231F20"/>
        </w:rPr>
        <w:t>environment.</w:t>
      </w:r>
    </w:p>
    <w:p w14:paraId="517481A8" w14:textId="77777777" w:rsidR="009948F1" w:rsidRDefault="009948F1">
      <w:pPr>
        <w:pStyle w:val="BodyText"/>
      </w:pPr>
    </w:p>
    <w:p w14:paraId="7D9EE3B8" w14:textId="77777777" w:rsidR="009948F1" w:rsidRDefault="009948F1">
      <w:pPr>
        <w:pStyle w:val="BodyText"/>
        <w:spacing w:before="5"/>
        <w:rPr>
          <w:sz w:val="18"/>
        </w:rPr>
      </w:pPr>
    </w:p>
    <w:p w14:paraId="5392FF68" w14:textId="77777777" w:rsidR="009948F1" w:rsidRDefault="00BC0563">
      <w:pPr>
        <w:pStyle w:val="Heading6"/>
      </w:pPr>
      <w:r>
        <w:rPr>
          <w:color w:val="231F20"/>
        </w:rPr>
        <w:t>Strategic objective:</w:t>
      </w:r>
    </w:p>
    <w:p w14:paraId="495D1278" w14:textId="77777777" w:rsidR="009948F1" w:rsidRDefault="00BC0563">
      <w:pPr>
        <w:pStyle w:val="ListParagraph"/>
        <w:numPr>
          <w:ilvl w:val="2"/>
          <w:numId w:val="277"/>
        </w:numPr>
        <w:tabs>
          <w:tab w:val="left" w:pos="829"/>
        </w:tabs>
        <w:spacing w:before="39" w:line="278" w:lineRule="auto"/>
        <w:ind w:left="251" w:right="194" w:firstLine="0"/>
        <w:jc w:val="both"/>
        <w:rPr>
          <w:b/>
          <w:color w:val="231F20"/>
          <w:sz w:val="23"/>
        </w:rPr>
      </w:pPr>
      <w:r>
        <w:rPr>
          <w:b/>
          <w:color w:val="231F20"/>
          <w:sz w:val="23"/>
        </w:rPr>
        <w:t xml:space="preserve">Promote the wellbeing of individuals and communities through protection </w:t>
      </w:r>
      <w:r>
        <w:rPr>
          <w:b/>
          <w:color w:val="231F20"/>
          <w:spacing w:val="-4"/>
          <w:sz w:val="23"/>
        </w:rPr>
        <w:t xml:space="preserve">from </w:t>
      </w:r>
      <w:r>
        <w:rPr>
          <w:b/>
          <w:color w:val="231F20"/>
          <w:sz w:val="23"/>
        </w:rPr>
        <w:t>health risks, and promotion of healthy lifestyle and</w:t>
      </w:r>
      <w:r>
        <w:rPr>
          <w:b/>
          <w:color w:val="231F20"/>
          <w:spacing w:val="-1"/>
          <w:sz w:val="23"/>
        </w:rPr>
        <w:t xml:space="preserve"> </w:t>
      </w:r>
      <w:r>
        <w:rPr>
          <w:b/>
          <w:color w:val="231F20"/>
          <w:sz w:val="23"/>
        </w:rPr>
        <w:t>environment.</w:t>
      </w:r>
    </w:p>
    <w:p w14:paraId="129A6FB2" w14:textId="77777777" w:rsidR="009948F1" w:rsidRDefault="00BC0563">
      <w:pPr>
        <w:spacing w:before="155" w:after="45"/>
        <w:ind w:left="251"/>
        <w:rPr>
          <w:b/>
          <w:sz w:val="23"/>
        </w:rPr>
      </w:pPr>
      <w:r>
        <w:rPr>
          <w:b/>
          <w:color w:val="231F20"/>
          <w:sz w:val="23"/>
        </w:rPr>
        <w:t>Target:</w:t>
      </w:r>
    </w:p>
    <w:tbl>
      <w:tblPr>
        <w:tblW w:w="0" w:type="auto"/>
        <w:tblInd w:w="14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060"/>
        <w:gridCol w:w="1357"/>
        <w:gridCol w:w="770"/>
        <w:gridCol w:w="767"/>
        <w:gridCol w:w="770"/>
        <w:gridCol w:w="770"/>
        <w:gridCol w:w="667"/>
        <w:gridCol w:w="988"/>
      </w:tblGrid>
      <w:tr w:rsidR="009948F1" w14:paraId="357E290A" w14:textId="77777777">
        <w:trPr>
          <w:trHeight w:val="213"/>
        </w:trPr>
        <w:tc>
          <w:tcPr>
            <w:tcW w:w="3060" w:type="dxa"/>
            <w:shd w:val="clear" w:color="auto" w:fill="F4CEB2"/>
          </w:tcPr>
          <w:p w14:paraId="49BBBAEF" w14:textId="77777777" w:rsidR="009948F1" w:rsidRDefault="00BC0563">
            <w:pPr>
              <w:pStyle w:val="TableParagraph"/>
              <w:spacing w:line="193" w:lineRule="exact"/>
              <w:ind w:left="110"/>
              <w:rPr>
                <w:sz w:val="19"/>
              </w:rPr>
            </w:pPr>
            <w:r>
              <w:rPr>
                <w:color w:val="231F20"/>
                <w:sz w:val="19"/>
              </w:rPr>
              <w:t>Targets</w:t>
            </w:r>
          </w:p>
        </w:tc>
        <w:tc>
          <w:tcPr>
            <w:tcW w:w="1357" w:type="dxa"/>
            <w:shd w:val="clear" w:color="auto" w:fill="F4CEB2"/>
          </w:tcPr>
          <w:p w14:paraId="41FF304D" w14:textId="77777777" w:rsidR="009948F1" w:rsidRDefault="00BC0563">
            <w:pPr>
              <w:pStyle w:val="TableParagraph"/>
              <w:spacing w:line="193" w:lineRule="exact"/>
              <w:ind w:left="110"/>
              <w:rPr>
                <w:sz w:val="19"/>
              </w:rPr>
            </w:pPr>
            <w:r>
              <w:rPr>
                <w:color w:val="231F20"/>
                <w:sz w:val="19"/>
              </w:rPr>
              <w:t>Baseline</w:t>
            </w:r>
          </w:p>
        </w:tc>
        <w:tc>
          <w:tcPr>
            <w:tcW w:w="770" w:type="dxa"/>
            <w:shd w:val="clear" w:color="auto" w:fill="F4CEB2"/>
          </w:tcPr>
          <w:p w14:paraId="75ECCCC4" w14:textId="77777777" w:rsidR="009948F1" w:rsidRDefault="00BC0563">
            <w:pPr>
              <w:pStyle w:val="TableParagraph"/>
              <w:spacing w:line="193" w:lineRule="exact"/>
              <w:ind w:left="110"/>
              <w:rPr>
                <w:b/>
                <w:sz w:val="19"/>
              </w:rPr>
            </w:pPr>
            <w:r>
              <w:rPr>
                <w:b/>
                <w:color w:val="231F20"/>
                <w:sz w:val="19"/>
              </w:rPr>
              <w:t>2018</w:t>
            </w:r>
          </w:p>
        </w:tc>
        <w:tc>
          <w:tcPr>
            <w:tcW w:w="767" w:type="dxa"/>
            <w:shd w:val="clear" w:color="auto" w:fill="F4CEB2"/>
          </w:tcPr>
          <w:p w14:paraId="18787065" w14:textId="77777777" w:rsidR="009948F1" w:rsidRDefault="00BC0563">
            <w:pPr>
              <w:pStyle w:val="TableParagraph"/>
              <w:spacing w:line="193" w:lineRule="exact"/>
              <w:ind w:left="108"/>
              <w:rPr>
                <w:b/>
                <w:sz w:val="19"/>
              </w:rPr>
            </w:pPr>
            <w:r>
              <w:rPr>
                <w:b/>
                <w:color w:val="231F20"/>
                <w:sz w:val="19"/>
              </w:rPr>
              <w:t>2019</w:t>
            </w:r>
          </w:p>
        </w:tc>
        <w:tc>
          <w:tcPr>
            <w:tcW w:w="770" w:type="dxa"/>
            <w:shd w:val="clear" w:color="auto" w:fill="F4CEB2"/>
          </w:tcPr>
          <w:p w14:paraId="5F7C8976" w14:textId="77777777" w:rsidR="009948F1" w:rsidRDefault="00BC0563">
            <w:pPr>
              <w:pStyle w:val="TableParagraph"/>
              <w:spacing w:line="193" w:lineRule="exact"/>
              <w:ind w:left="111"/>
              <w:rPr>
                <w:b/>
                <w:sz w:val="19"/>
              </w:rPr>
            </w:pPr>
            <w:r>
              <w:rPr>
                <w:b/>
                <w:color w:val="231F20"/>
                <w:sz w:val="19"/>
              </w:rPr>
              <w:t>2020</w:t>
            </w:r>
          </w:p>
        </w:tc>
        <w:tc>
          <w:tcPr>
            <w:tcW w:w="770" w:type="dxa"/>
            <w:shd w:val="clear" w:color="auto" w:fill="F4CEB2"/>
          </w:tcPr>
          <w:p w14:paraId="47B26B9A" w14:textId="77777777" w:rsidR="009948F1" w:rsidRDefault="00BC0563">
            <w:pPr>
              <w:pStyle w:val="TableParagraph"/>
              <w:spacing w:line="193" w:lineRule="exact"/>
              <w:ind w:left="111"/>
              <w:rPr>
                <w:b/>
                <w:sz w:val="19"/>
              </w:rPr>
            </w:pPr>
            <w:r>
              <w:rPr>
                <w:b/>
                <w:color w:val="231F20"/>
                <w:sz w:val="19"/>
              </w:rPr>
              <w:t>2021</w:t>
            </w:r>
          </w:p>
        </w:tc>
        <w:tc>
          <w:tcPr>
            <w:tcW w:w="667" w:type="dxa"/>
            <w:shd w:val="clear" w:color="auto" w:fill="F4CEB2"/>
          </w:tcPr>
          <w:p w14:paraId="22D6D6D4" w14:textId="77777777" w:rsidR="009948F1" w:rsidRDefault="00BC0563">
            <w:pPr>
              <w:pStyle w:val="TableParagraph"/>
              <w:spacing w:line="193" w:lineRule="exact"/>
              <w:ind w:left="111"/>
              <w:rPr>
                <w:b/>
                <w:sz w:val="19"/>
              </w:rPr>
            </w:pPr>
            <w:r>
              <w:rPr>
                <w:b/>
                <w:color w:val="231F20"/>
                <w:sz w:val="19"/>
              </w:rPr>
              <w:t>2022</w:t>
            </w:r>
          </w:p>
        </w:tc>
        <w:tc>
          <w:tcPr>
            <w:tcW w:w="988" w:type="dxa"/>
            <w:shd w:val="clear" w:color="auto" w:fill="F4CEB2"/>
          </w:tcPr>
          <w:p w14:paraId="26FC3B5D" w14:textId="77777777" w:rsidR="009948F1" w:rsidRDefault="00BC0563">
            <w:pPr>
              <w:pStyle w:val="TableParagraph"/>
              <w:spacing w:line="193" w:lineRule="exact"/>
              <w:ind w:left="111"/>
              <w:rPr>
                <w:b/>
                <w:sz w:val="19"/>
              </w:rPr>
            </w:pPr>
            <w:r>
              <w:rPr>
                <w:b/>
                <w:color w:val="231F20"/>
                <w:sz w:val="19"/>
              </w:rPr>
              <w:t>National</w:t>
            </w:r>
          </w:p>
        </w:tc>
      </w:tr>
      <w:tr w:rsidR="009948F1" w14:paraId="5BB190A3" w14:textId="77777777">
        <w:trPr>
          <w:trHeight w:val="860"/>
        </w:trPr>
        <w:tc>
          <w:tcPr>
            <w:tcW w:w="3060" w:type="dxa"/>
          </w:tcPr>
          <w:p w14:paraId="43F93EB2" w14:textId="77777777" w:rsidR="009948F1" w:rsidRDefault="00BC0563">
            <w:pPr>
              <w:pStyle w:val="TableParagraph"/>
              <w:spacing w:line="237" w:lineRule="auto"/>
              <w:ind w:left="110"/>
              <w:rPr>
                <w:sz w:val="19"/>
              </w:rPr>
            </w:pPr>
            <w:r>
              <w:rPr>
                <w:color w:val="231F20"/>
                <w:sz w:val="19"/>
              </w:rPr>
              <w:t>% of communities that have capacity for health promotion increased by 25% of baseline</w:t>
            </w:r>
          </w:p>
          <w:p w14:paraId="4BE7193E" w14:textId="77777777" w:rsidR="009948F1" w:rsidRDefault="00BC0563">
            <w:pPr>
              <w:pStyle w:val="TableParagraph"/>
              <w:spacing w:line="195" w:lineRule="exact"/>
              <w:ind w:left="110"/>
              <w:rPr>
                <w:sz w:val="19"/>
              </w:rPr>
            </w:pPr>
            <w:r>
              <w:rPr>
                <w:color w:val="231F20"/>
                <w:sz w:val="19"/>
              </w:rPr>
              <w:t>(TBD) by 2022</w:t>
            </w:r>
          </w:p>
        </w:tc>
        <w:tc>
          <w:tcPr>
            <w:tcW w:w="1357" w:type="dxa"/>
          </w:tcPr>
          <w:p w14:paraId="7BC02C8C" w14:textId="77777777" w:rsidR="009948F1" w:rsidRDefault="00BC0563">
            <w:pPr>
              <w:pStyle w:val="TableParagraph"/>
              <w:spacing w:line="213" w:lineRule="exact"/>
              <w:ind w:left="110"/>
              <w:rPr>
                <w:sz w:val="19"/>
              </w:rPr>
            </w:pPr>
            <w:r>
              <w:rPr>
                <w:color w:val="231F20"/>
                <w:sz w:val="19"/>
              </w:rPr>
              <w:t>TBD</w:t>
            </w:r>
          </w:p>
        </w:tc>
        <w:tc>
          <w:tcPr>
            <w:tcW w:w="770" w:type="dxa"/>
          </w:tcPr>
          <w:p w14:paraId="1679EC93" w14:textId="77777777" w:rsidR="009948F1" w:rsidRDefault="00BC0563">
            <w:pPr>
              <w:pStyle w:val="TableParagraph"/>
              <w:spacing w:line="213" w:lineRule="exact"/>
              <w:ind w:left="110"/>
              <w:rPr>
                <w:sz w:val="19"/>
              </w:rPr>
            </w:pPr>
            <w:r>
              <w:rPr>
                <w:color w:val="231F20"/>
                <w:sz w:val="19"/>
              </w:rPr>
              <w:t>20</w:t>
            </w:r>
          </w:p>
        </w:tc>
        <w:tc>
          <w:tcPr>
            <w:tcW w:w="767" w:type="dxa"/>
          </w:tcPr>
          <w:p w14:paraId="5E7584AA" w14:textId="77777777" w:rsidR="009948F1" w:rsidRDefault="00BC0563">
            <w:pPr>
              <w:pStyle w:val="TableParagraph"/>
              <w:spacing w:line="213" w:lineRule="exact"/>
              <w:ind w:left="108"/>
              <w:rPr>
                <w:sz w:val="19"/>
              </w:rPr>
            </w:pPr>
            <w:r>
              <w:rPr>
                <w:color w:val="231F20"/>
                <w:sz w:val="19"/>
              </w:rPr>
              <w:t>10</w:t>
            </w:r>
          </w:p>
        </w:tc>
        <w:tc>
          <w:tcPr>
            <w:tcW w:w="770" w:type="dxa"/>
          </w:tcPr>
          <w:p w14:paraId="5D6F4F9D" w14:textId="77777777" w:rsidR="009948F1" w:rsidRDefault="00BC0563">
            <w:pPr>
              <w:pStyle w:val="TableParagraph"/>
              <w:spacing w:line="213" w:lineRule="exact"/>
              <w:ind w:left="111"/>
              <w:rPr>
                <w:sz w:val="19"/>
              </w:rPr>
            </w:pPr>
            <w:r>
              <w:rPr>
                <w:color w:val="231F20"/>
                <w:sz w:val="19"/>
              </w:rPr>
              <w:t>15</w:t>
            </w:r>
          </w:p>
        </w:tc>
        <w:tc>
          <w:tcPr>
            <w:tcW w:w="770" w:type="dxa"/>
          </w:tcPr>
          <w:p w14:paraId="124E1C6B" w14:textId="77777777" w:rsidR="009948F1" w:rsidRDefault="00BC0563">
            <w:pPr>
              <w:pStyle w:val="TableParagraph"/>
              <w:spacing w:line="213" w:lineRule="exact"/>
              <w:ind w:left="111"/>
              <w:rPr>
                <w:sz w:val="19"/>
              </w:rPr>
            </w:pPr>
            <w:r>
              <w:rPr>
                <w:color w:val="231F20"/>
                <w:sz w:val="19"/>
              </w:rPr>
              <w:t>20</w:t>
            </w:r>
          </w:p>
        </w:tc>
        <w:tc>
          <w:tcPr>
            <w:tcW w:w="667" w:type="dxa"/>
          </w:tcPr>
          <w:p w14:paraId="59A4FB4D" w14:textId="77777777" w:rsidR="009948F1" w:rsidRDefault="00BC0563">
            <w:pPr>
              <w:pStyle w:val="TableParagraph"/>
              <w:spacing w:line="213" w:lineRule="exact"/>
              <w:ind w:left="111"/>
              <w:rPr>
                <w:sz w:val="19"/>
              </w:rPr>
            </w:pPr>
            <w:r>
              <w:rPr>
                <w:color w:val="231F20"/>
                <w:sz w:val="19"/>
              </w:rPr>
              <w:t>25</w:t>
            </w:r>
          </w:p>
        </w:tc>
        <w:tc>
          <w:tcPr>
            <w:tcW w:w="988" w:type="dxa"/>
          </w:tcPr>
          <w:p w14:paraId="2949AF49" w14:textId="77777777" w:rsidR="009948F1" w:rsidRDefault="00BC0563">
            <w:pPr>
              <w:pStyle w:val="TableParagraph"/>
              <w:spacing w:line="237" w:lineRule="auto"/>
              <w:ind w:left="111" w:right="89"/>
              <w:rPr>
                <w:sz w:val="19"/>
              </w:rPr>
            </w:pPr>
            <w:r>
              <w:rPr>
                <w:color w:val="231F20"/>
                <w:w w:val="95"/>
                <w:sz w:val="19"/>
              </w:rPr>
              <w:t xml:space="preserve">Increase </w:t>
            </w:r>
            <w:r>
              <w:rPr>
                <w:color w:val="231F20"/>
                <w:sz w:val="19"/>
              </w:rPr>
              <w:t>by 25% of</w:t>
            </w:r>
          </w:p>
          <w:p w14:paraId="0AD65618" w14:textId="77777777" w:rsidR="009948F1" w:rsidRDefault="00BC0563">
            <w:pPr>
              <w:pStyle w:val="TableParagraph"/>
              <w:spacing w:line="195" w:lineRule="exact"/>
              <w:ind w:left="111"/>
              <w:rPr>
                <w:sz w:val="19"/>
              </w:rPr>
            </w:pPr>
            <w:r>
              <w:rPr>
                <w:color w:val="231F20"/>
                <w:sz w:val="19"/>
              </w:rPr>
              <w:t>baseline</w:t>
            </w:r>
          </w:p>
        </w:tc>
      </w:tr>
      <w:tr w:rsidR="009948F1" w14:paraId="783B9DC0" w14:textId="77777777">
        <w:trPr>
          <w:trHeight w:val="860"/>
        </w:trPr>
        <w:tc>
          <w:tcPr>
            <w:tcW w:w="3060" w:type="dxa"/>
          </w:tcPr>
          <w:p w14:paraId="4606A6B7" w14:textId="77777777" w:rsidR="009948F1" w:rsidRDefault="00BC0563">
            <w:pPr>
              <w:pStyle w:val="TableParagraph"/>
              <w:spacing w:line="237" w:lineRule="auto"/>
              <w:ind w:left="110" w:right="62"/>
              <w:rPr>
                <w:sz w:val="19"/>
              </w:rPr>
            </w:pPr>
            <w:r>
              <w:rPr>
                <w:color w:val="231F20"/>
                <w:sz w:val="19"/>
              </w:rPr>
              <w:t>% of community members making healthy life style choices increased by 40% of baseline</w:t>
            </w:r>
          </w:p>
          <w:p w14:paraId="08368ABB" w14:textId="77777777" w:rsidR="009948F1" w:rsidRDefault="00BC0563">
            <w:pPr>
              <w:pStyle w:val="TableParagraph"/>
              <w:spacing w:line="195" w:lineRule="exact"/>
              <w:ind w:left="110"/>
              <w:rPr>
                <w:sz w:val="19"/>
              </w:rPr>
            </w:pPr>
            <w:r>
              <w:rPr>
                <w:color w:val="231F20"/>
                <w:sz w:val="19"/>
              </w:rPr>
              <w:t>(TBD) by 2022</w:t>
            </w:r>
          </w:p>
        </w:tc>
        <w:tc>
          <w:tcPr>
            <w:tcW w:w="1357" w:type="dxa"/>
          </w:tcPr>
          <w:p w14:paraId="2F74F004" w14:textId="77777777" w:rsidR="009948F1" w:rsidRDefault="00BC0563">
            <w:pPr>
              <w:pStyle w:val="TableParagraph"/>
              <w:spacing w:line="213" w:lineRule="exact"/>
              <w:ind w:left="110"/>
              <w:rPr>
                <w:sz w:val="19"/>
              </w:rPr>
            </w:pPr>
            <w:r>
              <w:rPr>
                <w:color w:val="231F20"/>
                <w:sz w:val="19"/>
              </w:rPr>
              <w:t>TBD</w:t>
            </w:r>
          </w:p>
        </w:tc>
        <w:tc>
          <w:tcPr>
            <w:tcW w:w="770" w:type="dxa"/>
          </w:tcPr>
          <w:p w14:paraId="34289941" w14:textId="77777777" w:rsidR="009948F1" w:rsidRDefault="00BC0563">
            <w:pPr>
              <w:pStyle w:val="TableParagraph"/>
              <w:spacing w:line="213" w:lineRule="exact"/>
              <w:ind w:left="110"/>
              <w:rPr>
                <w:sz w:val="19"/>
              </w:rPr>
            </w:pPr>
            <w:r>
              <w:rPr>
                <w:color w:val="231F20"/>
                <w:sz w:val="19"/>
              </w:rPr>
              <w:t>20</w:t>
            </w:r>
          </w:p>
        </w:tc>
        <w:tc>
          <w:tcPr>
            <w:tcW w:w="767" w:type="dxa"/>
          </w:tcPr>
          <w:p w14:paraId="148C1740" w14:textId="77777777" w:rsidR="009948F1" w:rsidRDefault="00BC0563">
            <w:pPr>
              <w:pStyle w:val="TableParagraph"/>
              <w:spacing w:line="213" w:lineRule="exact"/>
              <w:ind w:left="108"/>
              <w:rPr>
                <w:sz w:val="19"/>
              </w:rPr>
            </w:pPr>
            <w:r>
              <w:rPr>
                <w:color w:val="231F20"/>
                <w:sz w:val="19"/>
              </w:rPr>
              <w:t>30</w:t>
            </w:r>
          </w:p>
        </w:tc>
        <w:tc>
          <w:tcPr>
            <w:tcW w:w="770" w:type="dxa"/>
          </w:tcPr>
          <w:p w14:paraId="5D64B469" w14:textId="77777777" w:rsidR="009948F1" w:rsidRDefault="00BC0563">
            <w:pPr>
              <w:pStyle w:val="TableParagraph"/>
              <w:spacing w:line="213" w:lineRule="exact"/>
              <w:ind w:left="111"/>
              <w:rPr>
                <w:sz w:val="19"/>
              </w:rPr>
            </w:pPr>
            <w:r>
              <w:rPr>
                <w:color w:val="231F20"/>
                <w:sz w:val="19"/>
              </w:rPr>
              <w:t>40</w:t>
            </w:r>
          </w:p>
        </w:tc>
        <w:tc>
          <w:tcPr>
            <w:tcW w:w="770" w:type="dxa"/>
          </w:tcPr>
          <w:p w14:paraId="7B6A08E4" w14:textId="77777777" w:rsidR="009948F1" w:rsidRDefault="00BC0563">
            <w:pPr>
              <w:pStyle w:val="TableParagraph"/>
              <w:spacing w:line="213" w:lineRule="exact"/>
              <w:ind w:left="111"/>
              <w:rPr>
                <w:sz w:val="19"/>
              </w:rPr>
            </w:pPr>
            <w:r>
              <w:rPr>
                <w:color w:val="231F20"/>
                <w:sz w:val="19"/>
              </w:rPr>
              <w:t>50</w:t>
            </w:r>
          </w:p>
        </w:tc>
        <w:tc>
          <w:tcPr>
            <w:tcW w:w="667" w:type="dxa"/>
          </w:tcPr>
          <w:p w14:paraId="2DE4107C" w14:textId="77777777" w:rsidR="009948F1" w:rsidRDefault="00BC0563">
            <w:pPr>
              <w:pStyle w:val="TableParagraph"/>
              <w:spacing w:line="213" w:lineRule="exact"/>
              <w:ind w:left="111"/>
              <w:rPr>
                <w:sz w:val="19"/>
              </w:rPr>
            </w:pPr>
            <w:r>
              <w:rPr>
                <w:color w:val="231F20"/>
                <w:sz w:val="19"/>
              </w:rPr>
              <w:t>60</w:t>
            </w:r>
          </w:p>
        </w:tc>
        <w:tc>
          <w:tcPr>
            <w:tcW w:w="988" w:type="dxa"/>
          </w:tcPr>
          <w:p w14:paraId="2159300D" w14:textId="77777777" w:rsidR="009948F1" w:rsidRDefault="00BC0563">
            <w:pPr>
              <w:pStyle w:val="TableParagraph"/>
              <w:spacing w:line="237" w:lineRule="auto"/>
              <w:ind w:left="111" w:right="95"/>
              <w:jc w:val="both"/>
              <w:rPr>
                <w:sz w:val="19"/>
              </w:rPr>
            </w:pPr>
            <w:r>
              <w:rPr>
                <w:color w:val="231F20"/>
                <w:sz w:val="19"/>
              </w:rPr>
              <w:t>Increase by 40% of</w:t>
            </w:r>
          </w:p>
          <w:p w14:paraId="759535BE" w14:textId="77777777" w:rsidR="009948F1" w:rsidRDefault="00BC0563">
            <w:pPr>
              <w:pStyle w:val="TableParagraph"/>
              <w:spacing w:line="195" w:lineRule="exact"/>
              <w:ind w:left="111"/>
              <w:rPr>
                <w:sz w:val="19"/>
              </w:rPr>
            </w:pPr>
            <w:r>
              <w:rPr>
                <w:color w:val="231F20"/>
                <w:sz w:val="19"/>
              </w:rPr>
              <w:t>baseline</w:t>
            </w:r>
          </w:p>
        </w:tc>
      </w:tr>
    </w:tbl>
    <w:p w14:paraId="221FC5F7" w14:textId="77777777" w:rsidR="009948F1" w:rsidRDefault="009948F1">
      <w:pPr>
        <w:pStyle w:val="BodyText"/>
        <w:spacing w:before="2"/>
        <w:rPr>
          <w:b/>
          <w:sz w:val="31"/>
        </w:rPr>
      </w:pPr>
    </w:p>
    <w:p w14:paraId="37FA47E8" w14:textId="77777777" w:rsidR="009948F1" w:rsidRDefault="00BC0563">
      <w:pPr>
        <w:pStyle w:val="Heading7"/>
        <w:spacing w:before="1"/>
        <w:ind w:left="139"/>
      </w:pPr>
      <w:r>
        <w:rPr>
          <w:color w:val="231F20"/>
        </w:rPr>
        <w:t>Interventions:</w:t>
      </w:r>
    </w:p>
    <w:p w14:paraId="17A56B72" w14:textId="77777777" w:rsidR="009948F1" w:rsidRDefault="00BC0563">
      <w:pPr>
        <w:pStyle w:val="ListParagraph"/>
        <w:numPr>
          <w:ilvl w:val="3"/>
          <w:numId w:val="276"/>
        </w:numPr>
        <w:tabs>
          <w:tab w:val="left" w:pos="852"/>
        </w:tabs>
        <w:spacing w:before="80" w:line="316" w:lineRule="auto"/>
        <w:ind w:right="212" w:firstLine="0"/>
      </w:pPr>
      <w:r>
        <w:rPr>
          <w:color w:val="231F20"/>
        </w:rPr>
        <w:t>Promote</w:t>
      </w:r>
      <w:r>
        <w:rPr>
          <w:color w:val="231F20"/>
          <w:spacing w:val="-24"/>
        </w:rPr>
        <w:t xml:space="preserve"> </w:t>
      </w:r>
      <w:r>
        <w:rPr>
          <w:color w:val="231F20"/>
        </w:rPr>
        <w:t>the</w:t>
      </w:r>
      <w:r>
        <w:rPr>
          <w:color w:val="231F20"/>
          <w:spacing w:val="-23"/>
        </w:rPr>
        <w:t xml:space="preserve"> </w:t>
      </w:r>
      <w:r>
        <w:rPr>
          <w:color w:val="231F20"/>
        </w:rPr>
        <w:t>development</w:t>
      </w:r>
      <w:r>
        <w:rPr>
          <w:color w:val="231F20"/>
          <w:spacing w:val="-23"/>
        </w:rPr>
        <w:t xml:space="preserve"> </w:t>
      </w:r>
      <w:r>
        <w:rPr>
          <w:color w:val="231F20"/>
        </w:rPr>
        <w:t>and</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3"/>
        </w:rPr>
        <w:t xml:space="preserve"> </w:t>
      </w:r>
      <w:r>
        <w:rPr>
          <w:color w:val="231F20"/>
        </w:rPr>
        <w:t>policies,</w:t>
      </w:r>
      <w:r>
        <w:rPr>
          <w:color w:val="231F20"/>
          <w:spacing w:val="-23"/>
        </w:rPr>
        <w:t xml:space="preserve"> </w:t>
      </w:r>
      <w:r>
        <w:rPr>
          <w:color w:val="231F20"/>
        </w:rPr>
        <w:t>plans,</w:t>
      </w:r>
      <w:r>
        <w:rPr>
          <w:color w:val="231F20"/>
          <w:spacing w:val="-23"/>
        </w:rPr>
        <w:t xml:space="preserve"> </w:t>
      </w:r>
      <w:r>
        <w:rPr>
          <w:color w:val="231F20"/>
        </w:rPr>
        <w:t>legislation</w:t>
      </w:r>
      <w:r>
        <w:rPr>
          <w:color w:val="231F20"/>
          <w:spacing w:val="-23"/>
        </w:rPr>
        <w:t xml:space="preserve"> </w:t>
      </w:r>
      <w:r>
        <w:rPr>
          <w:color w:val="231F20"/>
        </w:rPr>
        <w:t>and</w:t>
      </w:r>
      <w:r>
        <w:rPr>
          <w:color w:val="231F20"/>
          <w:spacing w:val="-23"/>
        </w:rPr>
        <w:t xml:space="preserve"> </w:t>
      </w:r>
      <w:r>
        <w:rPr>
          <w:color w:val="231F20"/>
        </w:rPr>
        <w:t xml:space="preserve">regulations that prevent health risks and ensures healthy life styles. Key actions are; – Conduct advocacy </w:t>
      </w:r>
      <w:r>
        <w:rPr>
          <w:color w:val="231F20"/>
          <w:spacing w:val="-8"/>
        </w:rPr>
        <w:t xml:space="preserve">to </w:t>
      </w:r>
      <w:r>
        <w:rPr>
          <w:color w:val="231F20"/>
        </w:rPr>
        <w:t xml:space="preserve">policy makers to enact laws that will promote healthy life style; Conduct situation analysis on </w:t>
      </w:r>
      <w:r>
        <w:rPr>
          <w:color w:val="231F20"/>
          <w:spacing w:val="-5"/>
        </w:rPr>
        <w:t xml:space="preserve">the </w:t>
      </w:r>
      <w:r>
        <w:rPr>
          <w:color w:val="231F20"/>
        </w:rPr>
        <w:t xml:space="preserve">risky health </w:t>
      </w:r>
      <w:proofErr w:type="spellStart"/>
      <w:r>
        <w:rPr>
          <w:color w:val="231F20"/>
        </w:rPr>
        <w:t>behaviours</w:t>
      </w:r>
      <w:proofErr w:type="spellEnd"/>
      <w:r>
        <w:rPr>
          <w:color w:val="231F20"/>
        </w:rPr>
        <w:t>, Conduct stakeholders' meetings to Identify and review existing policies; Design &amp; print posters on healthy living and distribute to every community and schools in the 23 LGAs</w:t>
      </w:r>
      <w:r>
        <w:rPr>
          <w:color w:val="231F20"/>
          <w:spacing w:val="-25"/>
        </w:rPr>
        <w:t xml:space="preserve"> </w:t>
      </w:r>
      <w:r>
        <w:rPr>
          <w:color w:val="231F20"/>
        </w:rPr>
        <w:t>of</w:t>
      </w:r>
      <w:r>
        <w:rPr>
          <w:color w:val="231F20"/>
          <w:spacing w:val="-26"/>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Legislate</w:t>
      </w:r>
      <w:r>
        <w:rPr>
          <w:color w:val="231F20"/>
          <w:spacing w:val="-25"/>
        </w:rPr>
        <w:t xml:space="preserve"> </w:t>
      </w:r>
      <w:r>
        <w:rPr>
          <w:color w:val="231F20"/>
        </w:rPr>
        <w:t>standard</w:t>
      </w:r>
      <w:r>
        <w:rPr>
          <w:color w:val="231F20"/>
          <w:spacing w:val="-25"/>
        </w:rPr>
        <w:t xml:space="preserve"> </w:t>
      </w:r>
      <w:r>
        <w:rPr>
          <w:color w:val="231F20"/>
        </w:rPr>
        <w:t>of</w:t>
      </w:r>
      <w:r>
        <w:rPr>
          <w:color w:val="231F20"/>
          <w:spacing w:val="-25"/>
        </w:rPr>
        <w:t xml:space="preserve"> </w:t>
      </w:r>
      <w:r>
        <w:rPr>
          <w:color w:val="231F20"/>
        </w:rPr>
        <w:t>establishment</w:t>
      </w:r>
      <w:r>
        <w:rPr>
          <w:color w:val="231F20"/>
          <w:spacing w:val="-25"/>
        </w:rPr>
        <w:t xml:space="preserve"> </w:t>
      </w:r>
      <w:r>
        <w:rPr>
          <w:color w:val="231F20"/>
        </w:rPr>
        <w:t>of</w:t>
      </w:r>
      <w:r>
        <w:rPr>
          <w:color w:val="231F20"/>
          <w:spacing w:val="-25"/>
        </w:rPr>
        <w:t xml:space="preserve"> </w:t>
      </w:r>
      <w:r>
        <w:rPr>
          <w:color w:val="231F20"/>
        </w:rPr>
        <w:t>private</w:t>
      </w:r>
      <w:r>
        <w:rPr>
          <w:color w:val="231F20"/>
          <w:spacing w:val="-25"/>
        </w:rPr>
        <w:t xml:space="preserve"> </w:t>
      </w:r>
      <w:r>
        <w:rPr>
          <w:color w:val="231F20"/>
        </w:rPr>
        <w:t>schools.</w:t>
      </w:r>
    </w:p>
    <w:p w14:paraId="4017B7ED" w14:textId="77777777" w:rsidR="009948F1" w:rsidRDefault="009948F1">
      <w:pPr>
        <w:spacing w:line="316" w:lineRule="auto"/>
        <w:jc w:val="both"/>
        <w:sectPr w:rsidR="009948F1">
          <w:pgSz w:w="11910" w:h="16840"/>
          <w:pgMar w:top="1500" w:right="1080" w:bottom="1420" w:left="1120" w:header="0" w:footer="1235" w:gutter="0"/>
          <w:cols w:space="720"/>
        </w:sectPr>
      </w:pPr>
    </w:p>
    <w:p w14:paraId="68F7CBD2" w14:textId="77777777" w:rsidR="009948F1" w:rsidRDefault="00BC0563">
      <w:pPr>
        <w:pStyle w:val="ListParagraph"/>
        <w:numPr>
          <w:ilvl w:val="3"/>
          <w:numId w:val="276"/>
        </w:numPr>
        <w:tabs>
          <w:tab w:val="left" w:pos="889"/>
        </w:tabs>
        <w:spacing w:before="44" w:line="249" w:lineRule="auto"/>
        <w:ind w:left="128" w:right="154" w:firstLine="0"/>
      </w:pPr>
      <w:bookmarkStart w:id="85" w:name="Page_71"/>
      <w:bookmarkEnd w:id="85"/>
      <w:r>
        <w:rPr>
          <w:color w:val="231F20"/>
        </w:rPr>
        <w:lastRenderedPageBreak/>
        <w:t xml:space="preserve">Strengthen community capacity for responses and ownership of health promotion. </w:t>
      </w:r>
      <w:r>
        <w:rPr>
          <w:color w:val="231F20"/>
          <w:spacing w:val="-4"/>
        </w:rPr>
        <w:t xml:space="preserve">Key </w:t>
      </w:r>
      <w:r>
        <w:rPr>
          <w:color w:val="231F20"/>
        </w:rPr>
        <w:t>actions</w:t>
      </w:r>
      <w:r>
        <w:rPr>
          <w:color w:val="231F20"/>
          <w:spacing w:val="-16"/>
        </w:rPr>
        <w:t xml:space="preserve"> </w:t>
      </w:r>
      <w:r>
        <w:rPr>
          <w:color w:val="231F20"/>
        </w:rPr>
        <w:t>include;</w:t>
      </w:r>
      <w:r>
        <w:rPr>
          <w:color w:val="231F20"/>
          <w:spacing w:val="-14"/>
        </w:rPr>
        <w:t xml:space="preserve"> </w:t>
      </w:r>
      <w:r>
        <w:rPr>
          <w:color w:val="231F20"/>
        </w:rPr>
        <w:t>-</w:t>
      </w:r>
      <w:r>
        <w:rPr>
          <w:color w:val="231F20"/>
          <w:spacing w:val="-15"/>
        </w:rPr>
        <w:t xml:space="preserve"> </w:t>
      </w:r>
      <w:r>
        <w:rPr>
          <w:color w:val="231F20"/>
        </w:rPr>
        <w:t>Conduct</w:t>
      </w:r>
      <w:r>
        <w:rPr>
          <w:color w:val="231F20"/>
          <w:spacing w:val="-15"/>
        </w:rPr>
        <w:t xml:space="preserve"> </w:t>
      </w:r>
      <w:r>
        <w:rPr>
          <w:color w:val="231F20"/>
        </w:rPr>
        <w:t>meetings</w:t>
      </w:r>
      <w:r>
        <w:rPr>
          <w:color w:val="231F20"/>
          <w:spacing w:val="-14"/>
        </w:rPr>
        <w:t xml:space="preserve"> </w:t>
      </w:r>
      <w:r>
        <w:rPr>
          <w:color w:val="231F20"/>
        </w:rPr>
        <w:t>with</w:t>
      </w:r>
      <w:r>
        <w:rPr>
          <w:color w:val="231F20"/>
          <w:spacing w:val="-15"/>
        </w:rPr>
        <w:t xml:space="preserve"> </w:t>
      </w:r>
      <w:r>
        <w:rPr>
          <w:color w:val="231F20"/>
        </w:rPr>
        <w:t>the</w:t>
      </w:r>
      <w:r>
        <w:rPr>
          <w:color w:val="231F20"/>
          <w:spacing w:val="-16"/>
        </w:rPr>
        <w:t xml:space="preserve"> </w:t>
      </w:r>
      <w:r>
        <w:rPr>
          <w:color w:val="231F20"/>
        </w:rPr>
        <w:t>different</w:t>
      </w:r>
      <w:r>
        <w:rPr>
          <w:color w:val="231F20"/>
          <w:spacing w:val="-15"/>
        </w:rPr>
        <w:t xml:space="preserve"> </w:t>
      </w:r>
      <w:r>
        <w:rPr>
          <w:color w:val="231F20"/>
        </w:rPr>
        <w:t>groups</w:t>
      </w:r>
      <w:r>
        <w:rPr>
          <w:color w:val="231F20"/>
          <w:spacing w:val="-14"/>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community</w:t>
      </w:r>
      <w:r>
        <w:rPr>
          <w:color w:val="231F20"/>
          <w:spacing w:val="-15"/>
        </w:rPr>
        <w:t xml:space="preserve"> </w:t>
      </w:r>
      <w:r>
        <w:rPr>
          <w:color w:val="231F20"/>
        </w:rPr>
        <w:t>to</w:t>
      </w:r>
      <w:r>
        <w:rPr>
          <w:color w:val="231F20"/>
          <w:spacing w:val="-16"/>
        </w:rPr>
        <w:t xml:space="preserve"> </w:t>
      </w:r>
      <w:r>
        <w:rPr>
          <w:color w:val="231F20"/>
        </w:rPr>
        <w:t>sensitize</w:t>
      </w:r>
      <w:r>
        <w:rPr>
          <w:color w:val="231F20"/>
          <w:spacing w:val="-14"/>
        </w:rPr>
        <w:t xml:space="preserve"> </w:t>
      </w:r>
      <w:r>
        <w:rPr>
          <w:color w:val="231F20"/>
        </w:rPr>
        <w:t>them</w:t>
      </w:r>
      <w:r>
        <w:rPr>
          <w:color w:val="231F20"/>
          <w:spacing w:val="-15"/>
        </w:rPr>
        <w:t xml:space="preserve"> </w:t>
      </w:r>
      <w:r>
        <w:rPr>
          <w:color w:val="231F20"/>
        </w:rPr>
        <w:t xml:space="preserve">on the risky health </w:t>
      </w:r>
      <w:proofErr w:type="spellStart"/>
      <w:r>
        <w:rPr>
          <w:color w:val="231F20"/>
        </w:rPr>
        <w:t>behaviours</w:t>
      </w:r>
      <w:proofErr w:type="spellEnd"/>
      <w:r>
        <w:rPr>
          <w:color w:val="231F20"/>
        </w:rPr>
        <w:t xml:space="preserve"> and consequences; Orientate and re-orientate WDCs, CBOs </w:t>
      </w:r>
      <w:r>
        <w:rPr>
          <w:color w:val="231F20"/>
          <w:spacing w:val="-7"/>
        </w:rPr>
        <w:t xml:space="preserve">on </w:t>
      </w:r>
      <w:r>
        <w:rPr>
          <w:color w:val="231F20"/>
        </w:rPr>
        <w:t>promotion</w:t>
      </w:r>
      <w:r>
        <w:rPr>
          <w:color w:val="231F20"/>
          <w:spacing w:val="-15"/>
        </w:rPr>
        <w:t xml:space="preserve"> </w:t>
      </w:r>
      <w:r>
        <w:rPr>
          <w:color w:val="231F20"/>
        </w:rPr>
        <w:t>of</w:t>
      </w:r>
      <w:r>
        <w:rPr>
          <w:color w:val="231F20"/>
          <w:spacing w:val="-15"/>
        </w:rPr>
        <w:t xml:space="preserve"> </w:t>
      </w:r>
      <w:r>
        <w:rPr>
          <w:color w:val="231F20"/>
        </w:rPr>
        <w:t>healthy</w:t>
      </w:r>
      <w:r>
        <w:rPr>
          <w:color w:val="231F20"/>
          <w:spacing w:val="-15"/>
        </w:rPr>
        <w:t xml:space="preserve"> </w:t>
      </w:r>
      <w:r>
        <w:rPr>
          <w:color w:val="231F20"/>
        </w:rPr>
        <w:t>life</w:t>
      </w:r>
      <w:r>
        <w:rPr>
          <w:color w:val="231F20"/>
          <w:spacing w:val="-15"/>
        </w:rPr>
        <w:t xml:space="preserve"> </w:t>
      </w:r>
      <w:r>
        <w:rPr>
          <w:color w:val="231F20"/>
        </w:rPr>
        <w:t>style;</w:t>
      </w:r>
      <w:r>
        <w:rPr>
          <w:color w:val="231F20"/>
          <w:spacing w:val="-15"/>
        </w:rPr>
        <w:t xml:space="preserve"> </w:t>
      </w:r>
      <w:r>
        <w:rPr>
          <w:color w:val="231F20"/>
        </w:rPr>
        <w:t>Conduct</w:t>
      </w:r>
      <w:r>
        <w:rPr>
          <w:color w:val="231F20"/>
          <w:spacing w:val="-15"/>
        </w:rPr>
        <w:t xml:space="preserve"> </w:t>
      </w:r>
      <w:r>
        <w:rPr>
          <w:color w:val="231F20"/>
        </w:rPr>
        <w:t>outreaches</w:t>
      </w:r>
      <w:r>
        <w:rPr>
          <w:color w:val="231F20"/>
          <w:spacing w:val="-15"/>
        </w:rPr>
        <w:t xml:space="preserve"> </w:t>
      </w:r>
      <w:r>
        <w:rPr>
          <w:color w:val="231F20"/>
        </w:rPr>
        <w:t>and</w:t>
      </w:r>
      <w:r>
        <w:rPr>
          <w:color w:val="231F20"/>
          <w:spacing w:val="-15"/>
        </w:rPr>
        <w:t xml:space="preserve"> </w:t>
      </w:r>
      <w:r>
        <w:rPr>
          <w:color w:val="231F20"/>
        </w:rPr>
        <w:t>town</w:t>
      </w:r>
      <w:r>
        <w:rPr>
          <w:color w:val="231F20"/>
          <w:spacing w:val="-14"/>
        </w:rPr>
        <w:t xml:space="preserve"> </w:t>
      </w:r>
      <w:r>
        <w:rPr>
          <w:color w:val="231F20"/>
        </w:rPr>
        <w:t>hall</w:t>
      </w:r>
      <w:r>
        <w:rPr>
          <w:color w:val="231F20"/>
          <w:spacing w:val="-15"/>
        </w:rPr>
        <w:t xml:space="preserve"> </w:t>
      </w:r>
      <w:r>
        <w:rPr>
          <w:color w:val="231F20"/>
        </w:rPr>
        <w:t>meetings</w:t>
      </w:r>
      <w:r>
        <w:rPr>
          <w:color w:val="231F20"/>
          <w:spacing w:val="-15"/>
        </w:rPr>
        <w:t xml:space="preserve"> </w:t>
      </w:r>
      <w:r>
        <w:rPr>
          <w:color w:val="231F20"/>
        </w:rPr>
        <w:t>on</w:t>
      </w:r>
      <w:r>
        <w:rPr>
          <w:color w:val="231F20"/>
          <w:spacing w:val="-15"/>
        </w:rPr>
        <w:t xml:space="preserve"> </w:t>
      </w:r>
      <w:r>
        <w:rPr>
          <w:color w:val="231F20"/>
        </w:rPr>
        <w:t>promotion</w:t>
      </w:r>
      <w:r>
        <w:rPr>
          <w:color w:val="231F20"/>
          <w:spacing w:val="-15"/>
        </w:rPr>
        <w:t xml:space="preserve"> </w:t>
      </w:r>
      <w:r>
        <w:rPr>
          <w:color w:val="231F20"/>
        </w:rPr>
        <w:t>of</w:t>
      </w:r>
      <w:r>
        <w:rPr>
          <w:color w:val="231F20"/>
          <w:spacing w:val="-15"/>
        </w:rPr>
        <w:t xml:space="preserve"> </w:t>
      </w:r>
      <w:r>
        <w:rPr>
          <w:color w:val="231F20"/>
        </w:rPr>
        <w:t>healthy life</w:t>
      </w:r>
      <w:r>
        <w:rPr>
          <w:color w:val="231F20"/>
          <w:spacing w:val="-25"/>
        </w:rPr>
        <w:t xml:space="preserve"> </w:t>
      </w:r>
      <w:r>
        <w:rPr>
          <w:color w:val="231F20"/>
        </w:rPr>
        <w:t>style</w:t>
      </w:r>
      <w:r>
        <w:rPr>
          <w:color w:val="231F20"/>
          <w:spacing w:val="-25"/>
        </w:rPr>
        <w:t xml:space="preserve"> </w:t>
      </w:r>
      <w:r>
        <w:rPr>
          <w:color w:val="231F20"/>
        </w:rPr>
        <w:t>and</w:t>
      </w:r>
      <w:r>
        <w:rPr>
          <w:color w:val="231F20"/>
          <w:spacing w:val="-25"/>
        </w:rPr>
        <w:t xml:space="preserve"> </w:t>
      </w:r>
      <w:r>
        <w:rPr>
          <w:color w:val="231F20"/>
        </w:rPr>
        <w:t>environment.</w:t>
      </w:r>
    </w:p>
    <w:p w14:paraId="0553377F" w14:textId="77777777" w:rsidR="009948F1" w:rsidRDefault="009948F1">
      <w:pPr>
        <w:pStyle w:val="BodyText"/>
        <w:spacing w:before="2"/>
        <w:rPr>
          <w:sz w:val="23"/>
        </w:rPr>
      </w:pPr>
    </w:p>
    <w:p w14:paraId="6484AE72" w14:textId="77777777" w:rsidR="009948F1" w:rsidRDefault="00BC0563">
      <w:pPr>
        <w:pStyle w:val="ListParagraph"/>
        <w:numPr>
          <w:ilvl w:val="3"/>
          <w:numId w:val="276"/>
        </w:numPr>
        <w:tabs>
          <w:tab w:val="left" w:pos="841"/>
        </w:tabs>
        <w:spacing w:line="249" w:lineRule="auto"/>
        <w:ind w:left="128" w:right="156" w:firstLine="0"/>
      </w:pPr>
      <w:r>
        <w:rPr>
          <w:color w:val="231F20"/>
        </w:rPr>
        <w:t>Strengthen</w:t>
      </w:r>
      <w:r>
        <w:rPr>
          <w:color w:val="231F20"/>
          <w:spacing w:val="-24"/>
        </w:rPr>
        <w:t xml:space="preserve"> </w:t>
      </w:r>
      <w:r>
        <w:rPr>
          <w:color w:val="231F20"/>
        </w:rPr>
        <w:t>health</w:t>
      </w:r>
      <w:r>
        <w:rPr>
          <w:color w:val="231F20"/>
          <w:spacing w:val="-23"/>
        </w:rPr>
        <w:t xml:space="preserve"> </w:t>
      </w:r>
      <w:r>
        <w:rPr>
          <w:color w:val="231F20"/>
        </w:rPr>
        <w:t>promotion</w:t>
      </w:r>
      <w:r>
        <w:rPr>
          <w:color w:val="231F20"/>
          <w:spacing w:val="-23"/>
        </w:rPr>
        <w:t xml:space="preserve"> </w:t>
      </w:r>
      <w:r>
        <w:rPr>
          <w:color w:val="231F20"/>
        </w:rPr>
        <w:t>coordination</w:t>
      </w:r>
      <w:r>
        <w:rPr>
          <w:color w:val="231F20"/>
          <w:spacing w:val="-22"/>
        </w:rPr>
        <w:t xml:space="preserve"> </w:t>
      </w:r>
      <w:r>
        <w:rPr>
          <w:color w:val="231F20"/>
        </w:rPr>
        <w:t>mechanisms</w:t>
      </w:r>
      <w:r>
        <w:rPr>
          <w:color w:val="231F20"/>
          <w:spacing w:val="-23"/>
        </w:rPr>
        <w:t xml:space="preserve"> </w:t>
      </w:r>
      <w:r>
        <w:rPr>
          <w:color w:val="231F20"/>
        </w:rPr>
        <w:t>at</w:t>
      </w:r>
      <w:r>
        <w:rPr>
          <w:color w:val="231F20"/>
          <w:spacing w:val="-23"/>
        </w:rPr>
        <w:t xml:space="preserve"> </w:t>
      </w:r>
      <w:r>
        <w:rPr>
          <w:color w:val="231F20"/>
        </w:rPr>
        <w:t>all</w:t>
      </w:r>
      <w:r>
        <w:rPr>
          <w:color w:val="231F20"/>
          <w:spacing w:val="-23"/>
        </w:rPr>
        <w:t xml:space="preserve"> </w:t>
      </w:r>
      <w:r>
        <w:rPr>
          <w:color w:val="231F20"/>
        </w:rPr>
        <w:t>levels.</w:t>
      </w:r>
      <w:r>
        <w:rPr>
          <w:color w:val="231F20"/>
          <w:spacing w:val="-23"/>
        </w:rPr>
        <w:t xml:space="preserve"> </w:t>
      </w:r>
      <w:r>
        <w:rPr>
          <w:color w:val="231F20"/>
        </w:rPr>
        <w:t>Key</w:t>
      </w:r>
      <w:r>
        <w:rPr>
          <w:color w:val="231F20"/>
          <w:spacing w:val="-23"/>
        </w:rPr>
        <w:t xml:space="preserve"> </w:t>
      </w:r>
      <w:r>
        <w:rPr>
          <w:color w:val="231F20"/>
        </w:rPr>
        <w:t>actions</w:t>
      </w:r>
      <w:r>
        <w:rPr>
          <w:color w:val="231F20"/>
          <w:spacing w:val="-23"/>
        </w:rPr>
        <w:t xml:space="preserve"> </w:t>
      </w:r>
      <w:r>
        <w:rPr>
          <w:color w:val="231F20"/>
        </w:rPr>
        <w:t>are;</w:t>
      </w:r>
      <w:r>
        <w:rPr>
          <w:color w:val="231F20"/>
          <w:spacing w:val="-24"/>
        </w:rPr>
        <w:t xml:space="preserve"> </w:t>
      </w:r>
      <w:r>
        <w:rPr>
          <w:color w:val="231F20"/>
        </w:rPr>
        <w:t>-</w:t>
      </w:r>
      <w:r>
        <w:rPr>
          <w:color w:val="231F20"/>
          <w:spacing w:val="-23"/>
        </w:rPr>
        <w:t xml:space="preserve"> </w:t>
      </w:r>
      <w:r>
        <w:rPr>
          <w:color w:val="231F20"/>
        </w:rPr>
        <w:t xml:space="preserve">Public enlightenment on risky health </w:t>
      </w:r>
      <w:proofErr w:type="spellStart"/>
      <w:r>
        <w:rPr>
          <w:color w:val="231F20"/>
        </w:rPr>
        <w:t>behaviours</w:t>
      </w:r>
      <w:proofErr w:type="spellEnd"/>
      <w:r>
        <w:rPr>
          <w:color w:val="231F20"/>
        </w:rPr>
        <w:t xml:space="preserve"> through production and airing of jingles; Conduct stakeholders'</w:t>
      </w:r>
      <w:r>
        <w:rPr>
          <w:color w:val="231F20"/>
          <w:spacing w:val="-10"/>
        </w:rPr>
        <w:t xml:space="preserve"> </w:t>
      </w:r>
      <w:r>
        <w:rPr>
          <w:color w:val="231F20"/>
        </w:rPr>
        <w:t>meetings</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level</w:t>
      </w:r>
      <w:r>
        <w:rPr>
          <w:color w:val="231F20"/>
          <w:spacing w:val="-9"/>
        </w:rPr>
        <w:t xml:space="preserve"> </w:t>
      </w:r>
      <w:r>
        <w:rPr>
          <w:color w:val="231F20"/>
        </w:rPr>
        <w:t>to</w:t>
      </w:r>
      <w:r>
        <w:rPr>
          <w:color w:val="231F20"/>
          <w:spacing w:val="-9"/>
        </w:rPr>
        <w:t xml:space="preserve"> </w:t>
      </w:r>
      <w:r>
        <w:rPr>
          <w:color w:val="231F20"/>
        </w:rPr>
        <w:t>disseminate</w:t>
      </w:r>
      <w:r>
        <w:rPr>
          <w:color w:val="231F20"/>
          <w:spacing w:val="-9"/>
        </w:rPr>
        <w:t xml:space="preserve"> </w:t>
      </w:r>
      <w:r>
        <w:rPr>
          <w:color w:val="231F20"/>
        </w:rPr>
        <w:t>information</w:t>
      </w:r>
      <w:r>
        <w:rPr>
          <w:color w:val="231F20"/>
          <w:spacing w:val="-9"/>
        </w:rPr>
        <w:t xml:space="preserve"> </w:t>
      </w:r>
      <w:r>
        <w:rPr>
          <w:color w:val="231F20"/>
        </w:rPr>
        <w:t>on</w:t>
      </w:r>
      <w:r>
        <w:rPr>
          <w:color w:val="231F20"/>
          <w:spacing w:val="-9"/>
        </w:rPr>
        <w:t xml:space="preserve"> </w:t>
      </w:r>
      <w:r>
        <w:rPr>
          <w:color w:val="231F20"/>
        </w:rPr>
        <w:t>promotion</w:t>
      </w:r>
      <w:r>
        <w:rPr>
          <w:color w:val="231F20"/>
          <w:spacing w:val="-9"/>
        </w:rPr>
        <w:t xml:space="preserve"> </w:t>
      </w:r>
      <w:r>
        <w:rPr>
          <w:color w:val="231F20"/>
        </w:rPr>
        <w:t>of</w:t>
      </w:r>
      <w:r>
        <w:rPr>
          <w:color w:val="231F20"/>
          <w:spacing w:val="-9"/>
        </w:rPr>
        <w:t xml:space="preserve"> </w:t>
      </w:r>
      <w:r>
        <w:rPr>
          <w:color w:val="231F20"/>
        </w:rPr>
        <w:t>healthy</w:t>
      </w:r>
      <w:r>
        <w:rPr>
          <w:color w:val="231F20"/>
          <w:spacing w:val="-9"/>
        </w:rPr>
        <w:t xml:space="preserve"> </w:t>
      </w:r>
      <w:r>
        <w:rPr>
          <w:color w:val="231F20"/>
        </w:rPr>
        <w:t>living; Conduct</w:t>
      </w:r>
      <w:r>
        <w:rPr>
          <w:color w:val="231F20"/>
          <w:spacing w:val="-26"/>
        </w:rPr>
        <w:t xml:space="preserve"> </w:t>
      </w:r>
      <w:r>
        <w:rPr>
          <w:color w:val="231F20"/>
        </w:rPr>
        <w:t>stakeholders'</w:t>
      </w:r>
      <w:r>
        <w:rPr>
          <w:color w:val="231F20"/>
          <w:spacing w:val="-25"/>
        </w:rPr>
        <w:t xml:space="preserve"> </w:t>
      </w:r>
      <w:r>
        <w:rPr>
          <w:color w:val="231F20"/>
        </w:rPr>
        <w:t>meetings</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LGA</w:t>
      </w:r>
      <w:r>
        <w:rPr>
          <w:color w:val="231F20"/>
          <w:spacing w:val="-37"/>
        </w:rPr>
        <w:t xml:space="preserve"> </w:t>
      </w:r>
      <w:r>
        <w:rPr>
          <w:color w:val="231F20"/>
        </w:rPr>
        <w:t>level</w:t>
      </w:r>
      <w:r>
        <w:rPr>
          <w:color w:val="231F20"/>
          <w:spacing w:val="-25"/>
        </w:rPr>
        <w:t xml:space="preserve"> </w:t>
      </w:r>
      <w:r>
        <w:rPr>
          <w:color w:val="231F20"/>
        </w:rPr>
        <w:t>to</w:t>
      </w:r>
      <w:r>
        <w:rPr>
          <w:color w:val="231F20"/>
          <w:spacing w:val="-25"/>
        </w:rPr>
        <w:t xml:space="preserve"> </w:t>
      </w:r>
      <w:r>
        <w:rPr>
          <w:color w:val="231F20"/>
        </w:rPr>
        <w:t>disseminate</w:t>
      </w:r>
      <w:r>
        <w:rPr>
          <w:color w:val="231F20"/>
          <w:spacing w:val="-25"/>
        </w:rPr>
        <w:t xml:space="preserve"> </w:t>
      </w:r>
      <w:r>
        <w:rPr>
          <w:color w:val="231F20"/>
        </w:rPr>
        <w:t>information</w:t>
      </w:r>
      <w:r>
        <w:rPr>
          <w:color w:val="231F20"/>
          <w:spacing w:val="-25"/>
        </w:rPr>
        <w:t xml:space="preserve"> </w:t>
      </w:r>
      <w:r>
        <w:rPr>
          <w:color w:val="231F20"/>
        </w:rPr>
        <w:t>on</w:t>
      </w:r>
      <w:r>
        <w:rPr>
          <w:color w:val="231F20"/>
          <w:spacing w:val="-25"/>
        </w:rPr>
        <w:t xml:space="preserve"> </w:t>
      </w:r>
      <w:r>
        <w:rPr>
          <w:color w:val="231F20"/>
        </w:rPr>
        <w:t>promotion</w:t>
      </w:r>
      <w:r>
        <w:rPr>
          <w:color w:val="231F20"/>
          <w:spacing w:val="-25"/>
        </w:rPr>
        <w:t xml:space="preserve"> </w:t>
      </w:r>
      <w:r>
        <w:rPr>
          <w:color w:val="231F20"/>
        </w:rPr>
        <w:t>of</w:t>
      </w:r>
      <w:r>
        <w:rPr>
          <w:color w:val="231F20"/>
          <w:spacing w:val="-25"/>
        </w:rPr>
        <w:t xml:space="preserve"> </w:t>
      </w:r>
      <w:r>
        <w:rPr>
          <w:color w:val="231F20"/>
        </w:rPr>
        <w:t>healthy living; Support zonal meetings with WDC Chairman to disseminate information on promotion of healthy</w:t>
      </w:r>
      <w:r>
        <w:rPr>
          <w:color w:val="231F20"/>
          <w:spacing w:val="-25"/>
        </w:rPr>
        <w:t xml:space="preserve"> </w:t>
      </w:r>
      <w:r>
        <w:rPr>
          <w:color w:val="231F20"/>
        </w:rPr>
        <w:t>living.</w:t>
      </w:r>
    </w:p>
    <w:p w14:paraId="512524CE" w14:textId="77777777" w:rsidR="009948F1" w:rsidRDefault="009948F1">
      <w:pPr>
        <w:pStyle w:val="BodyText"/>
        <w:spacing w:before="3"/>
        <w:rPr>
          <w:sz w:val="27"/>
        </w:rPr>
      </w:pPr>
    </w:p>
    <w:p w14:paraId="1901C110" w14:textId="77777777" w:rsidR="009948F1" w:rsidRDefault="00BC0563">
      <w:pPr>
        <w:pStyle w:val="ListParagraph"/>
        <w:numPr>
          <w:ilvl w:val="3"/>
          <w:numId w:val="276"/>
        </w:numPr>
        <w:tabs>
          <w:tab w:val="left" w:pos="876"/>
        </w:tabs>
        <w:spacing w:line="271" w:lineRule="auto"/>
        <w:ind w:left="128" w:right="155" w:firstLine="0"/>
      </w:pPr>
      <w:r>
        <w:rPr>
          <w:color w:val="231F20"/>
        </w:rPr>
        <w:t xml:space="preserve">Scale-up health promotion activities at all levels. Key actions include; – Integrate </w:t>
      </w:r>
      <w:r>
        <w:rPr>
          <w:color w:val="231F20"/>
          <w:spacing w:val="-3"/>
        </w:rPr>
        <w:t xml:space="preserve">Reach </w:t>
      </w:r>
      <w:r>
        <w:rPr>
          <w:color w:val="231F20"/>
        </w:rPr>
        <w:t xml:space="preserve">Every </w:t>
      </w:r>
      <w:r>
        <w:rPr>
          <w:color w:val="231F20"/>
          <w:spacing w:val="-3"/>
        </w:rPr>
        <w:t xml:space="preserve">Ward </w:t>
      </w:r>
      <w:r>
        <w:rPr>
          <w:color w:val="231F20"/>
        </w:rPr>
        <w:t xml:space="preserve">(REW) strategy with components of all health interventions at state &amp; LGA levels; Conduct zonal hygiene promotion debate and quiz amongst schools in the state, Celebration </w:t>
      </w:r>
      <w:r>
        <w:rPr>
          <w:color w:val="231F20"/>
          <w:spacing w:val="-6"/>
        </w:rPr>
        <w:t xml:space="preserve">of </w:t>
      </w:r>
      <w:r>
        <w:rPr>
          <w:color w:val="231F20"/>
        </w:rPr>
        <w:t xml:space="preserve">world hand washing day in the state &amp; 23 LGAs, Establish environmental health clubs in </w:t>
      </w:r>
      <w:r>
        <w:rPr>
          <w:color w:val="231F20"/>
          <w:spacing w:val="-3"/>
        </w:rPr>
        <w:t xml:space="preserve">schools; </w:t>
      </w:r>
      <w:r>
        <w:rPr>
          <w:color w:val="231F20"/>
        </w:rPr>
        <w:t>Monitoring</w:t>
      </w:r>
      <w:r>
        <w:rPr>
          <w:color w:val="231F20"/>
          <w:spacing w:val="-25"/>
        </w:rPr>
        <w:t xml:space="preserve"> </w:t>
      </w:r>
      <w:r>
        <w:rPr>
          <w:color w:val="231F20"/>
        </w:rPr>
        <w:t>of</w:t>
      </w:r>
      <w:r>
        <w:rPr>
          <w:color w:val="231F20"/>
          <w:spacing w:val="-26"/>
        </w:rPr>
        <w:t xml:space="preserve"> </w:t>
      </w:r>
      <w:r>
        <w:rPr>
          <w:color w:val="231F20"/>
        </w:rPr>
        <w:t>activities</w:t>
      </w:r>
      <w:r>
        <w:rPr>
          <w:color w:val="231F20"/>
          <w:spacing w:val="-25"/>
        </w:rPr>
        <w:t xml:space="preserve"> </w:t>
      </w:r>
      <w:r>
        <w:rPr>
          <w:color w:val="231F20"/>
        </w:rPr>
        <w:t>of</w:t>
      </w:r>
      <w:r>
        <w:rPr>
          <w:color w:val="231F20"/>
          <w:spacing w:val="-25"/>
        </w:rPr>
        <w:t xml:space="preserve"> </w:t>
      </w:r>
      <w:r>
        <w:rPr>
          <w:color w:val="231F20"/>
        </w:rPr>
        <w:t>environmental</w:t>
      </w:r>
      <w:r>
        <w:rPr>
          <w:color w:val="231F20"/>
          <w:spacing w:val="-25"/>
        </w:rPr>
        <w:t xml:space="preserve"> </w:t>
      </w:r>
      <w:r>
        <w:rPr>
          <w:color w:val="231F20"/>
        </w:rPr>
        <w:t>health</w:t>
      </w:r>
      <w:r>
        <w:rPr>
          <w:color w:val="231F20"/>
          <w:spacing w:val="-25"/>
        </w:rPr>
        <w:t xml:space="preserve"> </w:t>
      </w:r>
      <w:r>
        <w:rPr>
          <w:color w:val="231F20"/>
        </w:rPr>
        <w:t>clubs.</w:t>
      </w:r>
    </w:p>
    <w:p w14:paraId="73584E90" w14:textId="77777777" w:rsidR="009948F1" w:rsidRDefault="009948F1">
      <w:pPr>
        <w:pStyle w:val="BodyText"/>
        <w:spacing w:before="6"/>
        <w:rPr>
          <w:sz w:val="25"/>
        </w:rPr>
      </w:pPr>
    </w:p>
    <w:p w14:paraId="1DCADCA8" w14:textId="0BD44485" w:rsidR="009948F1" w:rsidRDefault="00BC0563">
      <w:pPr>
        <w:pStyle w:val="ListParagraph"/>
        <w:numPr>
          <w:ilvl w:val="3"/>
          <w:numId w:val="276"/>
        </w:numPr>
        <w:tabs>
          <w:tab w:val="left" w:pos="911"/>
        </w:tabs>
        <w:spacing w:line="271" w:lineRule="auto"/>
        <w:ind w:left="128" w:right="155" w:firstLine="0"/>
      </w:pPr>
      <w:r>
        <w:rPr>
          <w:color w:val="231F20"/>
        </w:rPr>
        <w:t>Promote</w:t>
      </w:r>
      <w:r>
        <w:rPr>
          <w:color w:val="231F20"/>
          <w:spacing w:val="-20"/>
        </w:rPr>
        <w:t xml:space="preserve"> </w:t>
      </w:r>
      <w:r>
        <w:rPr>
          <w:color w:val="231F20"/>
        </w:rPr>
        <w:t>the</w:t>
      </w:r>
      <w:r>
        <w:rPr>
          <w:color w:val="231F20"/>
          <w:spacing w:val="-19"/>
        </w:rPr>
        <w:t xml:space="preserve"> </w:t>
      </w:r>
      <w:r>
        <w:rPr>
          <w:color w:val="231F20"/>
        </w:rPr>
        <w:t>inclusion</w:t>
      </w:r>
      <w:r>
        <w:rPr>
          <w:color w:val="231F20"/>
          <w:spacing w:val="-19"/>
        </w:rPr>
        <w:t xml:space="preserve"> </w:t>
      </w:r>
      <w:r>
        <w:rPr>
          <w:color w:val="231F20"/>
        </w:rPr>
        <w:t>of</w:t>
      </w:r>
      <w:r>
        <w:rPr>
          <w:color w:val="231F20"/>
          <w:spacing w:val="-19"/>
        </w:rPr>
        <w:t xml:space="preserve"> </w:t>
      </w:r>
      <w:r>
        <w:rPr>
          <w:color w:val="231F20"/>
        </w:rPr>
        <w:t>health</w:t>
      </w:r>
      <w:r>
        <w:rPr>
          <w:color w:val="231F20"/>
          <w:spacing w:val="-19"/>
        </w:rPr>
        <w:t xml:space="preserve"> </w:t>
      </w:r>
      <w:r>
        <w:rPr>
          <w:color w:val="231F20"/>
        </w:rPr>
        <w:t>promotion</w:t>
      </w:r>
      <w:r>
        <w:rPr>
          <w:color w:val="231F20"/>
          <w:spacing w:val="-19"/>
        </w:rPr>
        <w:t xml:space="preserve"> </w:t>
      </w:r>
      <w:r>
        <w:rPr>
          <w:color w:val="231F20"/>
        </w:rPr>
        <w:t>in</w:t>
      </w:r>
      <w:r>
        <w:rPr>
          <w:color w:val="231F20"/>
          <w:spacing w:val="-19"/>
        </w:rPr>
        <w:t xml:space="preserve"> </w:t>
      </w:r>
      <w:r>
        <w:rPr>
          <w:color w:val="231F20"/>
        </w:rPr>
        <w:t>workplace</w:t>
      </w:r>
      <w:r>
        <w:rPr>
          <w:color w:val="231F20"/>
          <w:spacing w:val="-19"/>
        </w:rPr>
        <w:t xml:space="preserve"> </w:t>
      </w:r>
      <w:r>
        <w:rPr>
          <w:color w:val="231F20"/>
        </w:rPr>
        <w:t>health</w:t>
      </w:r>
      <w:r>
        <w:rPr>
          <w:color w:val="231F20"/>
          <w:spacing w:val="-19"/>
        </w:rPr>
        <w:t xml:space="preserve"> </w:t>
      </w:r>
      <w:r>
        <w:rPr>
          <w:color w:val="231F20"/>
        </w:rPr>
        <w:t>programs.</w:t>
      </w:r>
      <w:r>
        <w:rPr>
          <w:color w:val="231F20"/>
          <w:spacing w:val="-19"/>
        </w:rPr>
        <w:t xml:space="preserve"> </w:t>
      </w:r>
      <w:r>
        <w:rPr>
          <w:color w:val="231F20"/>
        </w:rPr>
        <w:t>Key</w:t>
      </w:r>
      <w:r>
        <w:rPr>
          <w:color w:val="231F20"/>
          <w:spacing w:val="-19"/>
        </w:rPr>
        <w:t xml:space="preserve"> </w:t>
      </w:r>
      <w:r>
        <w:rPr>
          <w:color w:val="231F20"/>
        </w:rPr>
        <w:t>actions</w:t>
      </w:r>
      <w:r>
        <w:rPr>
          <w:color w:val="231F20"/>
          <w:spacing w:val="-20"/>
        </w:rPr>
        <w:t xml:space="preserve"> </w:t>
      </w:r>
      <w:r>
        <w:rPr>
          <w:color w:val="231F20"/>
        </w:rPr>
        <w:t>are;</w:t>
      </w:r>
      <w:r>
        <w:rPr>
          <w:color w:val="231F20"/>
          <w:spacing w:val="-19"/>
        </w:rPr>
        <w:t xml:space="preserve"> </w:t>
      </w:r>
      <w:r>
        <w:rPr>
          <w:color w:val="231F20"/>
        </w:rPr>
        <w:t>– Conduct advocacy visit to the Head of Service by Environmental Health Officers (EHOs) for inclusion</w:t>
      </w:r>
      <w:r>
        <w:rPr>
          <w:color w:val="231F20"/>
          <w:spacing w:val="-11"/>
        </w:rPr>
        <w:t xml:space="preserve"> </w:t>
      </w:r>
      <w:r>
        <w:rPr>
          <w:color w:val="231F20"/>
        </w:rPr>
        <w:t>of</w:t>
      </w:r>
      <w:r>
        <w:rPr>
          <w:color w:val="231F20"/>
          <w:spacing w:val="-11"/>
        </w:rPr>
        <w:t xml:space="preserve"> </w:t>
      </w:r>
      <w:r>
        <w:rPr>
          <w:color w:val="231F20"/>
        </w:rPr>
        <w:t>health</w:t>
      </w:r>
      <w:r>
        <w:rPr>
          <w:color w:val="231F20"/>
          <w:spacing w:val="-11"/>
        </w:rPr>
        <w:t xml:space="preserve"> </w:t>
      </w:r>
      <w:r>
        <w:rPr>
          <w:color w:val="231F20"/>
        </w:rPr>
        <w:t>promotion</w:t>
      </w:r>
      <w:r>
        <w:rPr>
          <w:color w:val="231F20"/>
          <w:spacing w:val="-11"/>
        </w:rPr>
        <w:t xml:space="preserve"> </w:t>
      </w:r>
      <w:r>
        <w:rPr>
          <w:color w:val="231F20"/>
        </w:rPr>
        <w:t>(violence</w:t>
      </w:r>
      <w:r>
        <w:rPr>
          <w:color w:val="231F20"/>
          <w:spacing w:val="-10"/>
        </w:rPr>
        <w:t xml:space="preserve"> </w:t>
      </w:r>
      <w:r>
        <w:rPr>
          <w:color w:val="231F20"/>
        </w:rPr>
        <w:t>at</w:t>
      </w:r>
      <w:r>
        <w:rPr>
          <w:color w:val="231F20"/>
          <w:spacing w:val="-11"/>
        </w:rPr>
        <w:t xml:space="preserve"> </w:t>
      </w:r>
      <w:r>
        <w:rPr>
          <w:color w:val="231F20"/>
        </w:rPr>
        <w:t>work,</w:t>
      </w:r>
      <w:r>
        <w:rPr>
          <w:color w:val="231F20"/>
          <w:spacing w:val="-11"/>
        </w:rPr>
        <w:t xml:space="preserve"> </w:t>
      </w:r>
      <w:r>
        <w:rPr>
          <w:color w:val="231F20"/>
        </w:rPr>
        <w:t>smoking</w:t>
      </w:r>
      <w:r>
        <w:rPr>
          <w:color w:val="231F20"/>
          <w:spacing w:val="-11"/>
        </w:rPr>
        <w:t xml:space="preserve"> </w:t>
      </w:r>
      <w:r>
        <w:rPr>
          <w:color w:val="231F20"/>
        </w:rPr>
        <w:t>at</w:t>
      </w:r>
      <w:r>
        <w:rPr>
          <w:color w:val="231F20"/>
          <w:spacing w:val="-11"/>
        </w:rPr>
        <w:t xml:space="preserve"> </w:t>
      </w:r>
      <w:r>
        <w:rPr>
          <w:color w:val="231F20"/>
        </w:rPr>
        <w:t>work</w:t>
      </w:r>
      <w:r>
        <w:rPr>
          <w:color w:val="231F20"/>
          <w:spacing w:val="-12"/>
        </w:rPr>
        <w:t xml:space="preserve"> </w:t>
      </w:r>
      <w:r>
        <w:rPr>
          <w:color w:val="231F20"/>
        </w:rPr>
        <w:t>place,</w:t>
      </w:r>
      <w:r>
        <w:rPr>
          <w:color w:val="231F20"/>
          <w:spacing w:val="-11"/>
        </w:rPr>
        <w:t xml:space="preserve"> </w:t>
      </w:r>
      <w:r>
        <w:rPr>
          <w:color w:val="231F20"/>
        </w:rPr>
        <w:t>harassment</w:t>
      </w:r>
      <w:r>
        <w:rPr>
          <w:color w:val="231F20"/>
          <w:spacing w:val="-11"/>
        </w:rPr>
        <w:t xml:space="preserve"> </w:t>
      </w:r>
      <w:r>
        <w:rPr>
          <w:color w:val="231F20"/>
        </w:rPr>
        <w:t>and</w:t>
      </w:r>
      <w:r>
        <w:rPr>
          <w:color w:val="231F20"/>
          <w:spacing w:val="-11"/>
        </w:rPr>
        <w:t xml:space="preserve"> </w:t>
      </w:r>
      <w:r>
        <w:rPr>
          <w:color w:val="231F20"/>
        </w:rPr>
        <w:t>bullying</w:t>
      </w:r>
      <w:r>
        <w:rPr>
          <w:color w:val="231F20"/>
          <w:spacing w:val="-10"/>
        </w:rPr>
        <w:t xml:space="preserve"> </w:t>
      </w:r>
      <w:r>
        <w:rPr>
          <w:color w:val="231F20"/>
        </w:rPr>
        <w:t xml:space="preserve">at work place, consumption of alcohol and substance abuse at work place) in workplace health </w:t>
      </w:r>
      <w:proofErr w:type="spellStart"/>
      <w:r>
        <w:rPr>
          <w:color w:val="231F20"/>
        </w:rPr>
        <w:t>programmes</w:t>
      </w:r>
      <w:proofErr w:type="spellEnd"/>
      <w:r>
        <w:rPr>
          <w:color w:val="231F20"/>
        </w:rPr>
        <w:t>; Operating cost for engaging and supervising the contractor to construct sanitary convenience</w:t>
      </w:r>
      <w:r>
        <w:rPr>
          <w:color w:val="231F20"/>
          <w:spacing w:val="-24"/>
        </w:rPr>
        <w:t xml:space="preserve"> </w:t>
      </w:r>
      <w:r>
        <w:rPr>
          <w:color w:val="231F20"/>
        </w:rPr>
        <w:t>in</w:t>
      </w:r>
      <w:r>
        <w:rPr>
          <w:color w:val="231F20"/>
          <w:spacing w:val="-24"/>
        </w:rPr>
        <w:t xml:space="preserve"> </w:t>
      </w:r>
      <w:r>
        <w:rPr>
          <w:color w:val="231F20"/>
        </w:rPr>
        <w:t>workplaces;</w:t>
      </w:r>
      <w:r>
        <w:rPr>
          <w:color w:val="231F20"/>
          <w:spacing w:val="-23"/>
        </w:rPr>
        <w:t xml:space="preserve"> </w:t>
      </w:r>
      <w:r>
        <w:rPr>
          <w:color w:val="231F20"/>
        </w:rPr>
        <w:t>Procure</w:t>
      </w:r>
      <w:r>
        <w:rPr>
          <w:color w:val="231F20"/>
          <w:spacing w:val="-23"/>
        </w:rPr>
        <w:t xml:space="preserve"> </w:t>
      </w:r>
      <w:r>
        <w:rPr>
          <w:color w:val="231F20"/>
        </w:rPr>
        <w:t>and</w:t>
      </w:r>
      <w:r>
        <w:rPr>
          <w:color w:val="231F20"/>
          <w:spacing w:val="-23"/>
        </w:rPr>
        <w:t xml:space="preserve"> </w:t>
      </w:r>
      <w:r>
        <w:rPr>
          <w:color w:val="231F20"/>
        </w:rPr>
        <w:t>distribute</w:t>
      </w:r>
      <w:r>
        <w:rPr>
          <w:color w:val="231F20"/>
          <w:spacing w:val="-23"/>
        </w:rPr>
        <w:t xml:space="preserve"> </w:t>
      </w:r>
      <w:r>
        <w:rPr>
          <w:color w:val="231F20"/>
        </w:rPr>
        <w:t>dust</w:t>
      </w:r>
      <w:r>
        <w:rPr>
          <w:color w:val="231F20"/>
          <w:spacing w:val="-24"/>
        </w:rPr>
        <w:t xml:space="preserve"> </w:t>
      </w:r>
      <w:r>
        <w:rPr>
          <w:color w:val="231F20"/>
        </w:rPr>
        <w:t>bins</w:t>
      </w:r>
      <w:r>
        <w:rPr>
          <w:color w:val="231F20"/>
          <w:spacing w:val="-24"/>
        </w:rPr>
        <w:t xml:space="preserve"> </w:t>
      </w:r>
      <w:r>
        <w:rPr>
          <w:color w:val="231F20"/>
        </w:rPr>
        <w:t>&amp;</w:t>
      </w:r>
      <w:r>
        <w:rPr>
          <w:color w:val="231F20"/>
          <w:spacing w:val="-24"/>
        </w:rPr>
        <w:t xml:space="preserve"> </w:t>
      </w:r>
      <w:r>
        <w:rPr>
          <w:color w:val="231F20"/>
        </w:rPr>
        <w:t>buckets</w:t>
      </w:r>
      <w:r>
        <w:rPr>
          <w:color w:val="231F20"/>
          <w:spacing w:val="-24"/>
        </w:rPr>
        <w:t xml:space="preserve"> </w:t>
      </w:r>
      <w:r>
        <w:rPr>
          <w:color w:val="231F20"/>
        </w:rPr>
        <w:t>at</w:t>
      </w:r>
      <w:r>
        <w:rPr>
          <w:color w:val="231F20"/>
          <w:spacing w:val="-24"/>
        </w:rPr>
        <w:t xml:space="preserve"> </w:t>
      </w:r>
      <w:r>
        <w:rPr>
          <w:color w:val="231F20"/>
        </w:rPr>
        <w:t>workplace;</w:t>
      </w:r>
      <w:r>
        <w:rPr>
          <w:color w:val="231F20"/>
          <w:spacing w:val="-23"/>
        </w:rPr>
        <w:t xml:space="preserve"> </w:t>
      </w:r>
      <w:r w:rsidR="00B62AE0">
        <w:rPr>
          <w:color w:val="231F20"/>
        </w:rPr>
        <w:t>Institutionalize</w:t>
      </w:r>
      <w:r>
        <w:rPr>
          <w:color w:val="231F20"/>
        </w:rPr>
        <w:t xml:space="preserve"> weekly</w:t>
      </w:r>
      <w:r>
        <w:rPr>
          <w:color w:val="231F20"/>
          <w:spacing w:val="-14"/>
        </w:rPr>
        <w:t xml:space="preserve"> </w:t>
      </w:r>
      <w:r>
        <w:rPr>
          <w:color w:val="231F20"/>
        </w:rPr>
        <w:t>environmental</w:t>
      </w:r>
      <w:r>
        <w:rPr>
          <w:color w:val="231F20"/>
          <w:spacing w:val="-13"/>
        </w:rPr>
        <w:t xml:space="preserve"> </w:t>
      </w:r>
      <w:r>
        <w:rPr>
          <w:color w:val="231F20"/>
        </w:rPr>
        <w:t>sanitation</w:t>
      </w:r>
      <w:r>
        <w:rPr>
          <w:color w:val="231F20"/>
          <w:spacing w:val="-14"/>
        </w:rPr>
        <w:t xml:space="preserve"> </w:t>
      </w:r>
      <w:r>
        <w:rPr>
          <w:color w:val="231F20"/>
        </w:rPr>
        <w:t>in</w:t>
      </w:r>
      <w:r>
        <w:rPr>
          <w:color w:val="231F20"/>
          <w:spacing w:val="-13"/>
        </w:rPr>
        <w:t xml:space="preserve"> </w:t>
      </w:r>
      <w:r>
        <w:rPr>
          <w:color w:val="231F20"/>
        </w:rPr>
        <w:t>workplace;</w:t>
      </w:r>
      <w:r>
        <w:rPr>
          <w:color w:val="231F20"/>
          <w:spacing w:val="-14"/>
        </w:rPr>
        <w:t xml:space="preserve"> </w:t>
      </w:r>
      <w:r>
        <w:rPr>
          <w:color w:val="231F20"/>
        </w:rPr>
        <w:t>Orientation</w:t>
      </w:r>
      <w:r>
        <w:rPr>
          <w:color w:val="231F20"/>
          <w:spacing w:val="-13"/>
        </w:rPr>
        <w:t xml:space="preserve"> </w:t>
      </w:r>
      <w:r>
        <w:rPr>
          <w:color w:val="231F20"/>
        </w:rPr>
        <w:t>of</w:t>
      </w:r>
      <w:r>
        <w:rPr>
          <w:color w:val="231F20"/>
          <w:spacing w:val="-13"/>
        </w:rPr>
        <w:t xml:space="preserve"> </w:t>
      </w:r>
      <w:r>
        <w:rPr>
          <w:color w:val="231F20"/>
        </w:rPr>
        <w:t>public</w:t>
      </w:r>
      <w:r>
        <w:rPr>
          <w:color w:val="231F20"/>
          <w:spacing w:val="-14"/>
        </w:rPr>
        <w:t xml:space="preserve"> </w:t>
      </w:r>
      <w:r>
        <w:rPr>
          <w:color w:val="231F20"/>
        </w:rPr>
        <w:t>servants</w:t>
      </w:r>
      <w:r>
        <w:rPr>
          <w:color w:val="231F20"/>
          <w:spacing w:val="-13"/>
        </w:rPr>
        <w:t xml:space="preserve"> </w:t>
      </w:r>
      <w:r>
        <w:rPr>
          <w:color w:val="231F20"/>
        </w:rPr>
        <w:t>on</w:t>
      </w:r>
      <w:r>
        <w:rPr>
          <w:color w:val="231F20"/>
          <w:spacing w:val="-14"/>
        </w:rPr>
        <w:t xml:space="preserve"> </w:t>
      </w:r>
      <w:r>
        <w:rPr>
          <w:color w:val="231F20"/>
        </w:rPr>
        <w:t>hygiene</w:t>
      </w:r>
      <w:r>
        <w:rPr>
          <w:color w:val="231F20"/>
          <w:spacing w:val="-13"/>
        </w:rPr>
        <w:t xml:space="preserve"> </w:t>
      </w:r>
      <w:r>
        <w:rPr>
          <w:color w:val="231F20"/>
        </w:rPr>
        <w:t>promotion in</w:t>
      </w:r>
      <w:r>
        <w:rPr>
          <w:color w:val="231F20"/>
          <w:spacing w:val="-25"/>
        </w:rPr>
        <w:t xml:space="preserve"> </w:t>
      </w:r>
      <w:r>
        <w:rPr>
          <w:color w:val="231F20"/>
        </w:rPr>
        <w:t>workplace.</w:t>
      </w:r>
    </w:p>
    <w:p w14:paraId="0A7FD3B4" w14:textId="77777777" w:rsidR="009948F1" w:rsidRDefault="009948F1">
      <w:pPr>
        <w:pStyle w:val="BodyText"/>
        <w:spacing w:before="9"/>
        <w:rPr>
          <w:sz w:val="25"/>
        </w:rPr>
      </w:pPr>
    </w:p>
    <w:p w14:paraId="64E95C7B" w14:textId="77777777" w:rsidR="009948F1" w:rsidRDefault="00BC0563">
      <w:pPr>
        <w:pStyle w:val="ListParagraph"/>
        <w:numPr>
          <w:ilvl w:val="3"/>
          <w:numId w:val="276"/>
        </w:numPr>
        <w:tabs>
          <w:tab w:val="left" w:pos="851"/>
        </w:tabs>
        <w:spacing w:line="271" w:lineRule="auto"/>
        <w:ind w:left="127" w:right="155" w:firstLine="0"/>
      </w:pPr>
      <w:r>
        <w:rPr>
          <w:color w:val="231F20"/>
        </w:rPr>
        <w:t>Promote</w:t>
      </w:r>
      <w:r>
        <w:rPr>
          <w:color w:val="231F20"/>
          <w:spacing w:val="-13"/>
        </w:rPr>
        <w:t xml:space="preserve"> </w:t>
      </w:r>
      <w:r>
        <w:rPr>
          <w:color w:val="231F20"/>
        </w:rPr>
        <w:t>the</w:t>
      </w:r>
      <w:r>
        <w:rPr>
          <w:color w:val="231F20"/>
          <w:spacing w:val="-12"/>
        </w:rPr>
        <w:t xml:space="preserve"> </w:t>
      </w:r>
      <w:r>
        <w:rPr>
          <w:color w:val="231F20"/>
        </w:rPr>
        <w:t>inclusion</w:t>
      </w:r>
      <w:r>
        <w:rPr>
          <w:color w:val="231F20"/>
          <w:spacing w:val="-11"/>
        </w:rPr>
        <w:t xml:space="preserve"> </w:t>
      </w:r>
      <w:r>
        <w:rPr>
          <w:color w:val="231F20"/>
        </w:rPr>
        <w:t>of</w:t>
      </w:r>
      <w:r>
        <w:rPr>
          <w:color w:val="231F20"/>
          <w:spacing w:val="-12"/>
        </w:rPr>
        <w:t xml:space="preserve"> </w:t>
      </w:r>
      <w:r>
        <w:rPr>
          <w:color w:val="231F20"/>
        </w:rPr>
        <w:t>health</w:t>
      </w:r>
      <w:r>
        <w:rPr>
          <w:color w:val="231F20"/>
          <w:spacing w:val="-12"/>
        </w:rPr>
        <w:t xml:space="preserve"> </w:t>
      </w:r>
      <w:r>
        <w:rPr>
          <w:color w:val="231F20"/>
        </w:rPr>
        <w:t>promotion</w:t>
      </w:r>
      <w:r>
        <w:rPr>
          <w:color w:val="231F20"/>
          <w:spacing w:val="-12"/>
        </w:rPr>
        <w:t xml:space="preserve"> </w:t>
      </w:r>
      <w:r>
        <w:rPr>
          <w:color w:val="231F20"/>
        </w:rPr>
        <w:t>in</w:t>
      </w:r>
      <w:r>
        <w:rPr>
          <w:color w:val="231F20"/>
          <w:spacing w:val="-12"/>
        </w:rPr>
        <w:t xml:space="preserve"> </w:t>
      </w:r>
      <w:r>
        <w:rPr>
          <w:color w:val="231F20"/>
        </w:rPr>
        <w:t>school</w:t>
      </w:r>
      <w:r>
        <w:rPr>
          <w:color w:val="231F20"/>
          <w:spacing w:val="-12"/>
        </w:rPr>
        <w:t xml:space="preserve"> </w:t>
      </w:r>
      <w:r>
        <w:rPr>
          <w:color w:val="231F20"/>
        </w:rPr>
        <w:t>curricula</w:t>
      </w:r>
      <w:r>
        <w:rPr>
          <w:color w:val="231F20"/>
          <w:spacing w:val="-12"/>
        </w:rPr>
        <w:t xml:space="preserve"> </w:t>
      </w:r>
      <w:r>
        <w:rPr>
          <w:color w:val="231F20"/>
        </w:rPr>
        <w:t>at</w:t>
      </w:r>
      <w:r>
        <w:rPr>
          <w:color w:val="231F20"/>
          <w:spacing w:val="-12"/>
        </w:rPr>
        <w:t xml:space="preserve"> </w:t>
      </w:r>
      <w:r>
        <w:rPr>
          <w:color w:val="231F20"/>
        </w:rPr>
        <w:t>all</w:t>
      </w:r>
      <w:r>
        <w:rPr>
          <w:color w:val="231F20"/>
          <w:spacing w:val="-12"/>
        </w:rPr>
        <w:t xml:space="preserve"> </w:t>
      </w:r>
      <w:r>
        <w:rPr>
          <w:color w:val="231F20"/>
        </w:rPr>
        <w:t>levels.</w:t>
      </w:r>
      <w:r>
        <w:rPr>
          <w:color w:val="231F20"/>
          <w:spacing w:val="-12"/>
        </w:rPr>
        <w:t xml:space="preserve"> </w:t>
      </w:r>
      <w:r>
        <w:rPr>
          <w:color w:val="231F20"/>
        </w:rPr>
        <w:t>Key</w:t>
      </w:r>
      <w:r>
        <w:rPr>
          <w:color w:val="231F20"/>
          <w:spacing w:val="-13"/>
        </w:rPr>
        <w:t xml:space="preserve"> </w:t>
      </w:r>
      <w:r>
        <w:rPr>
          <w:color w:val="231F20"/>
        </w:rPr>
        <w:t>actions</w:t>
      </w:r>
      <w:r>
        <w:rPr>
          <w:color w:val="231F20"/>
          <w:spacing w:val="-12"/>
        </w:rPr>
        <w:t xml:space="preserve"> </w:t>
      </w:r>
      <w:r>
        <w:rPr>
          <w:color w:val="231F20"/>
        </w:rPr>
        <w:t>are;</w:t>
      </w:r>
      <w:r>
        <w:rPr>
          <w:color w:val="231F20"/>
          <w:spacing w:val="-12"/>
        </w:rPr>
        <w:t xml:space="preserve"> </w:t>
      </w:r>
      <w:r>
        <w:rPr>
          <w:color w:val="231F20"/>
        </w:rPr>
        <w:t>- Conduct</w:t>
      </w:r>
      <w:r>
        <w:rPr>
          <w:color w:val="231F20"/>
          <w:spacing w:val="-24"/>
        </w:rPr>
        <w:t xml:space="preserve"> </w:t>
      </w:r>
      <w:r>
        <w:rPr>
          <w:color w:val="231F20"/>
        </w:rPr>
        <w:t>advocacy</w:t>
      </w:r>
      <w:r>
        <w:rPr>
          <w:color w:val="231F20"/>
          <w:spacing w:val="-23"/>
        </w:rPr>
        <w:t xml:space="preserve"> </w:t>
      </w:r>
      <w:r>
        <w:rPr>
          <w:color w:val="231F20"/>
        </w:rPr>
        <w:t>visit</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Commissioner</w:t>
      </w:r>
      <w:r>
        <w:rPr>
          <w:color w:val="231F20"/>
          <w:spacing w:val="-23"/>
        </w:rPr>
        <w:t xml:space="preserve"> </w:t>
      </w:r>
      <w:r>
        <w:rPr>
          <w:color w:val="231F20"/>
        </w:rPr>
        <w:t>of</w:t>
      </w:r>
      <w:r>
        <w:rPr>
          <w:color w:val="231F20"/>
          <w:spacing w:val="-23"/>
        </w:rPr>
        <w:t xml:space="preserve"> </w:t>
      </w:r>
      <w:r>
        <w:rPr>
          <w:color w:val="231F20"/>
        </w:rPr>
        <w:t>Education</w:t>
      </w:r>
      <w:r>
        <w:rPr>
          <w:color w:val="231F20"/>
          <w:spacing w:val="-23"/>
        </w:rPr>
        <w:t xml:space="preserve"> </w:t>
      </w:r>
      <w:r>
        <w:rPr>
          <w:color w:val="231F20"/>
        </w:rPr>
        <w:t>by</w:t>
      </w:r>
      <w:r>
        <w:rPr>
          <w:color w:val="231F20"/>
          <w:spacing w:val="-23"/>
        </w:rPr>
        <w:t xml:space="preserve"> </w:t>
      </w:r>
      <w:r>
        <w:rPr>
          <w:color w:val="231F20"/>
        </w:rPr>
        <w:t>EHOs</w:t>
      </w:r>
      <w:r>
        <w:rPr>
          <w:color w:val="231F20"/>
          <w:spacing w:val="-23"/>
        </w:rPr>
        <w:t xml:space="preserve"> </w:t>
      </w:r>
      <w:r>
        <w:rPr>
          <w:color w:val="231F20"/>
        </w:rPr>
        <w:t>for</w:t>
      </w:r>
      <w:r>
        <w:rPr>
          <w:color w:val="231F20"/>
          <w:spacing w:val="-23"/>
        </w:rPr>
        <w:t xml:space="preserve"> </w:t>
      </w:r>
      <w:r>
        <w:rPr>
          <w:color w:val="231F20"/>
        </w:rPr>
        <w:t>inclusion</w:t>
      </w:r>
      <w:r>
        <w:rPr>
          <w:color w:val="231F20"/>
          <w:spacing w:val="-24"/>
        </w:rPr>
        <w:t xml:space="preserve"> </w:t>
      </w:r>
      <w:r>
        <w:rPr>
          <w:color w:val="231F20"/>
        </w:rPr>
        <w:t>of</w:t>
      </w:r>
      <w:r>
        <w:rPr>
          <w:color w:val="231F20"/>
          <w:spacing w:val="-23"/>
        </w:rPr>
        <w:t xml:space="preserve"> </w:t>
      </w:r>
      <w:r>
        <w:rPr>
          <w:color w:val="231F20"/>
        </w:rPr>
        <w:t>health</w:t>
      </w:r>
      <w:r>
        <w:rPr>
          <w:color w:val="231F20"/>
          <w:spacing w:val="-23"/>
        </w:rPr>
        <w:t xml:space="preserve"> </w:t>
      </w:r>
      <w:r>
        <w:rPr>
          <w:color w:val="231F20"/>
        </w:rPr>
        <w:t xml:space="preserve">promotion in school curricula at all levels; Institutionalize health promotion activities in school curricula at </w:t>
      </w:r>
      <w:r>
        <w:rPr>
          <w:color w:val="231F20"/>
          <w:spacing w:val="-4"/>
        </w:rPr>
        <w:t xml:space="preserve">all </w:t>
      </w:r>
      <w:r>
        <w:rPr>
          <w:color w:val="231F20"/>
        </w:rPr>
        <w:t>levels;</w:t>
      </w:r>
      <w:r>
        <w:rPr>
          <w:color w:val="231F20"/>
          <w:spacing w:val="-25"/>
        </w:rPr>
        <w:t xml:space="preserve"> </w:t>
      </w:r>
      <w:r>
        <w:rPr>
          <w:color w:val="231F20"/>
        </w:rPr>
        <w:t>Conduct</w:t>
      </w:r>
      <w:r>
        <w:rPr>
          <w:color w:val="231F20"/>
          <w:spacing w:val="-26"/>
        </w:rPr>
        <w:t xml:space="preserve"> </w:t>
      </w:r>
      <w:r>
        <w:rPr>
          <w:color w:val="231F20"/>
        </w:rPr>
        <w:t>quiz</w:t>
      </w:r>
      <w:r>
        <w:rPr>
          <w:color w:val="231F20"/>
          <w:spacing w:val="-25"/>
        </w:rPr>
        <w:t xml:space="preserve"> </w:t>
      </w:r>
      <w:r>
        <w:rPr>
          <w:color w:val="231F20"/>
        </w:rPr>
        <w:t>and</w:t>
      </w:r>
      <w:r>
        <w:rPr>
          <w:color w:val="231F20"/>
          <w:spacing w:val="-25"/>
        </w:rPr>
        <w:t xml:space="preserve"> </w:t>
      </w:r>
      <w:r>
        <w:rPr>
          <w:color w:val="231F20"/>
        </w:rPr>
        <w:t>debates</w:t>
      </w:r>
      <w:r>
        <w:rPr>
          <w:color w:val="231F20"/>
          <w:spacing w:val="-25"/>
        </w:rPr>
        <w:t xml:space="preserve"> </w:t>
      </w:r>
      <w:r>
        <w:rPr>
          <w:color w:val="231F20"/>
        </w:rPr>
        <w:t>on</w:t>
      </w:r>
      <w:r>
        <w:rPr>
          <w:color w:val="231F20"/>
          <w:spacing w:val="-25"/>
        </w:rPr>
        <w:t xml:space="preserve"> </w:t>
      </w:r>
      <w:r>
        <w:rPr>
          <w:color w:val="231F20"/>
        </w:rPr>
        <w:t>healthy</w:t>
      </w:r>
      <w:r>
        <w:rPr>
          <w:color w:val="231F20"/>
          <w:spacing w:val="-25"/>
        </w:rPr>
        <w:t xml:space="preserve"> </w:t>
      </w:r>
      <w:r>
        <w:rPr>
          <w:color w:val="231F20"/>
        </w:rPr>
        <w:t>living.</w:t>
      </w:r>
    </w:p>
    <w:p w14:paraId="678DCE72" w14:textId="77777777" w:rsidR="009948F1" w:rsidRDefault="009948F1">
      <w:pPr>
        <w:pStyle w:val="BodyText"/>
        <w:spacing w:before="5"/>
        <w:rPr>
          <w:sz w:val="25"/>
        </w:rPr>
      </w:pPr>
    </w:p>
    <w:p w14:paraId="4635DD9B" w14:textId="77777777" w:rsidR="009948F1" w:rsidRDefault="00BC0563">
      <w:pPr>
        <w:pStyle w:val="ListParagraph"/>
        <w:numPr>
          <w:ilvl w:val="3"/>
          <w:numId w:val="276"/>
        </w:numPr>
        <w:tabs>
          <w:tab w:val="left" w:pos="912"/>
        </w:tabs>
        <w:spacing w:line="271" w:lineRule="auto"/>
        <w:ind w:left="127" w:right="155" w:firstLine="0"/>
      </w:pPr>
      <w:r>
        <w:rPr>
          <w:color w:val="231F20"/>
        </w:rPr>
        <w:t xml:space="preserve">Intensify multi-sectorial and intra-sectorial collaboration and partnerships in planning, implementation and health promotion activities. Key activities are; – Hold periodic stakeholders' meetings with line ministries and MDAs to review implementation of planned activities; Periodic monitoring and supervision of health promotion activities in schools in collaboration with </w:t>
      </w:r>
      <w:r>
        <w:rPr>
          <w:color w:val="231F20"/>
          <w:spacing w:val="-4"/>
        </w:rPr>
        <w:t xml:space="preserve">line </w:t>
      </w:r>
      <w:r>
        <w:rPr>
          <w:color w:val="231F20"/>
        </w:rPr>
        <w:t>ministries and MDAs; Monitoring of citing of public conveniences and borehole by environmental health</w:t>
      </w:r>
      <w:r>
        <w:rPr>
          <w:color w:val="231F20"/>
          <w:spacing w:val="-25"/>
        </w:rPr>
        <w:t xml:space="preserve"> </w:t>
      </w:r>
      <w:r>
        <w:rPr>
          <w:color w:val="231F20"/>
        </w:rPr>
        <w:t>workers.</w:t>
      </w:r>
    </w:p>
    <w:p w14:paraId="1B835642" w14:textId="77777777" w:rsidR="009948F1" w:rsidRDefault="009948F1">
      <w:pPr>
        <w:pStyle w:val="BodyText"/>
      </w:pPr>
    </w:p>
    <w:p w14:paraId="1890D861" w14:textId="77777777" w:rsidR="009948F1" w:rsidRDefault="00BC0563">
      <w:pPr>
        <w:pStyle w:val="ListParagraph"/>
        <w:numPr>
          <w:ilvl w:val="2"/>
          <w:numId w:val="277"/>
        </w:numPr>
        <w:tabs>
          <w:tab w:val="left" w:pos="804"/>
        </w:tabs>
        <w:spacing w:before="181" w:line="280" w:lineRule="auto"/>
        <w:ind w:left="224" w:right="221" w:firstLine="0"/>
        <w:jc w:val="left"/>
        <w:rPr>
          <w:b/>
          <w:color w:val="231F20"/>
          <w:sz w:val="25"/>
        </w:rPr>
      </w:pPr>
      <w:r>
        <w:rPr>
          <w:b/>
          <w:color w:val="231F20"/>
          <w:w w:val="95"/>
          <w:sz w:val="25"/>
        </w:rPr>
        <w:t>Promote</w:t>
      </w:r>
      <w:r>
        <w:rPr>
          <w:b/>
          <w:color w:val="231F20"/>
          <w:spacing w:val="-22"/>
          <w:w w:val="95"/>
          <w:sz w:val="25"/>
        </w:rPr>
        <w:t xml:space="preserve"> </w:t>
      </w:r>
      <w:r>
        <w:rPr>
          <w:b/>
          <w:color w:val="231F20"/>
          <w:w w:val="95"/>
          <w:sz w:val="25"/>
        </w:rPr>
        <w:t>food</w:t>
      </w:r>
      <w:r>
        <w:rPr>
          <w:b/>
          <w:color w:val="231F20"/>
          <w:spacing w:val="-22"/>
          <w:w w:val="95"/>
          <w:sz w:val="25"/>
        </w:rPr>
        <w:t xml:space="preserve"> </w:t>
      </w:r>
      <w:r>
        <w:rPr>
          <w:b/>
          <w:color w:val="231F20"/>
          <w:w w:val="95"/>
          <w:sz w:val="25"/>
        </w:rPr>
        <w:t>hygiene</w:t>
      </w:r>
      <w:r>
        <w:rPr>
          <w:b/>
          <w:color w:val="231F20"/>
          <w:spacing w:val="-21"/>
          <w:w w:val="95"/>
          <w:sz w:val="25"/>
        </w:rPr>
        <w:t xml:space="preserve"> </w:t>
      </w:r>
      <w:r>
        <w:rPr>
          <w:b/>
          <w:color w:val="231F20"/>
          <w:w w:val="95"/>
          <w:sz w:val="25"/>
        </w:rPr>
        <w:t>and</w:t>
      </w:r>
      <w:r>
        <w:rPr>
          <w:b/>
          <w:color w:val="231F20"/>
          <w:spacing w:val="-22"/>
          <w:w w:val="95"/>
          <w:sz w:val="25"/>
        </w:rPr>
        <w:t xml:space="preserve"> </w:t>
      </w:r>
      <w:r>
        <w:rPr>
          <w:b/>
          <w:color w:val="231F20"/>
          <w:w w:val="95"/>
          <w:sz w:val="25"/>
        </w:rPr>
        <w:t>safety</w:t>
      </w:r>
      <w:r>
        <w:rPr>
          <w:b/>
          <w:color w:val="231F20"/>
          <w:spacing w:val="-22"/>
          <w:w w:val="95"/>
          <w:sz w:val="25"/>
        </w:rPr>
        <w:t xml:space="preserve"> </w:t>
      </w:r>
      <w:r>
        <w:rPr>
          <w:b/>
          <w:color w:val="231F20"/>
          <w:w w:val="95"/>
          <w:sz w:val="25"/>
        </w:rPr>
        <w:t>for</w:t>
      </w:r>
      <w:r>
        <w:rPr>
          <w:b/>
          <w:color w:val="231F20"/>
          <w:spacing w:val="-21"/>
          <w:w w:val="95"/>
          <w:sz w:val="25"/>
        </w:rPr>
        <w:t xml:space="preserve"> </w:t>
      </w:r>
      <w:r>
        <w:rPr>
          <w:b/>
          <w:color w:val="231F20"/>
          <w:w w:val="95"/>
          <w:sz w:val="25"/>
        </w:rPr>
        <w:t>the</w:t>
      </w:r>
      <w:r>
        <w:rPr>
          <w:b/>
          <w:color w:val="231F20"/>
          <w:spacing w:val="-22"/>
          <w:w w:val="95"/>
          <w:sz w:val="25"/>
        </w:rPr>
        <w:t xml:space="preserve"> </w:t>
      </w:r>
      <w:r>
        <w:rPr>
          <w:b/>
          <w:color w:val="231F20"/>
          <w:w w:val="95"/>
          <w:sz w:val="25"/>
        </w:rPr>
        <w:t>reduction</w:t>
      </w:r>
      <w:r>
        <w:rPr>
          <w:b/>
          <w:color w:val="231F20"/>
          <w:spacing w:val="-22"/>
          <w:w w:val="95"/>
          <w:sz w:val="25"/>
        </w:rPr>
        <w:t xml:space="preserve"> </w:t>
      </w:r>
      <w:r>
        <w:rPr>
          <w:b/>
          <w:color w:val="231F20"/>
          <w:w w:val="95"/>
          <w:sz w:val="25"/>
        </w:rPr>
        <w:t>of</w:t>
      </w:r>
      <w:r>
        <w:rPr>
          <w:b/>
          <w:color w:val="231F20"/>
          <w:spacing w:val="-21"/>
          <w:w w:val="95"/>
          <w:sz w:val="25"/>
        </w:rPr>
        <w:t xml:space="preserve"> </w:t>
      </w:r>
      <w:r>
        <w:rPr>
          <w:b/>
          <w:color w:val="231F20"/>
          <w:w w:val="95"/>
          <w:sz w:val="25"/>
        </w:rPr>
        <w:t>illnesses</w:t>
      </w:r>
      <w:r>
        <w:rPr>
          <w:b/>
          <w:color w:val="231F20"/>
          <w:spacing w:val="-22"/>
          <w:w w:val="95"/>
          <w:sz w:val="25"/>
        </w:rPr>
        <w:t xml:space="preserve"> </w:t>
      </w:r>
      <w:r>
        <w:rPr>
          <w:b/>
          <w:color w:val="231F20"/>
          <w:w w:val="95"/>
          <w:sz w:val="25"/>
        </w:rPr>
        <w:t>associated</w:t>
      </w:r>
      <w:r>
        <w:rPr>
          <w:b/>
          <w:color w:val="231F20"/>
          <w:spacing w:val="-22"/>
          <w:w w:val="95"/>
          <w:sz w:val="25"/>
        </w:rPr>
        <w:t xml:space="preserve"> </w:t>
      </w:r>
      <w:r>
        <w:rPr>
          <w:b/>
          <w:color w:val="231F20"/>
          <w:w w:val="95"/>
          <w:sz w:val="25"/>
        </w:rPr>
        <w:t xml:space="preserve">with </w:t>
      </w:r>
      <w:r>
        <w:rPr>
          <w:b/>
          <w:color w:val="231F20"/>
          <w:sz w:val="25"/>
        </w:rPr>
        <w:t>unwholesome</w:t>
      </w:r>
      <w:r>
        <w:rPr>
          <w:b/>
          <w:color w:val="231F20"/>
          <w:spacing w:val="-8"/>
          <w:sz w:val="25"/>
        </w:rPr>
        <w:t xml:space="preserve"> </w:t>
      </w:r>
      <w:r>
        <w:rPr>
          <w:b/>
          <w:color w:val="231F20"/>
          <w:sz w:val="25"/>
        </w:rPr>
        <w:t>food.</w:t>
      </w:r>
    </w:p>
    <w:p w14:paraId="07C9AFC6" w14:textId="77777777" w:rsidR="009948F1" w:rsidRDefault="00BC0563">
      <w:pPr>
        <w:spacing w:before="5" w:after="51"/>
        <w:ind w:left="224"/>
        <w:rPr>
          <w:b/>
          <w:sz w:val="25"/>
        </w:rPr>
      </w:pPr>
      <w:r>
        <w:rPr>
          <w:b/>
          <w:color w:val="231F20"/>
          <w:sz w:val="25"/>
        </w:rPr>
        <w:t>Targets:</w:t>
      </w:r>
    </w:p>
    <w:tbl>
      <w:tblPr>
        <w:tblW w:w="0" w:type="auto"/>
        <w:tblInd w:w="1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209"/>
        <w:gridCol w:w="1254"/>
        <w:gridCol w:w="758"/>
        <w:gridCol w:w="758"/>
        <w:gridCol w:w="758"/>
        <w:gridCol w:w="761"/>
        <w:gridCol w:w="748"/>
        <w:gridCol w:w="972"/>
      </w:tblGrid>
      <w:tr w:rsidR="009948F1" w14:paraId="0C5A82A8" w14:textId="77777777">
        <w:trPr>
          <w:trHeight w:val="235"/>
        </w:trPr>
        <w:tc>
          <w:tcPr>
            <w:tcW w:w="3209" w:type="dxa"/>
            <w:shd w:val="clear" w:color="auto" w:fill="F4CEB2"/>
          </w:tcPr>
          <w:p w14:paraId="5F68EAB0" w14:textId="77777777" w:rsidR="009948F1" w:rsidRDefault="00BC0563">
            <w:pPr>
              <w:pStyle w:val="TableParagraph"/>
              <w:spacing w:line="216" w:lineRule="exact"/>
              <w:ind w:left="110"/>
              <w:rPr>
                <w:sz w:val="21"/>
              </w:rPr>
            </w:pPr>
            <w:r>
              <w:rPr>
                <w:color w:val="231F20"/>
                <w:sz w:val="21"/>
              </w:rPr>
              <w:t>Targets</w:t>
            </w:r>
          </w:p>
        </w:tc>
        <w:tc>
          <w:tcPr>
            <w:tcW w:w="1254" w:type="dxa"/>
            <w:shd w:val="clear" w:color="auto" w:fill="F4CEB2"/>
          </w:tcPr>
          <w:p w14:paraId="57003EC6" w14:textId="77777777" w:rsidR="009948F1" w:rsidRDefault="00BC0563">
            <w:pPr>
              <w:pStyle w:val="TableParagraph"/>
              <w:spacing w:line="216" w:lineRule="exact"/>
              <w:ind w:left="110"/>
              <w:rPr>
                <w:sz w:val="21"/>
              </w:rPr>
            </w:pPr>
            <w:r>
              <w:rPr>
                <w:color w:val="231F20"/>
                <w:sz w:val="21"/>
              </w:rPr>
              <w:t>Baseline</w:t>
            </w:r>
          </w:p>
        </w:tc>
        <w:tc>
          <w:tcPr>
            <w:tcW w:w="758" w:type="dxa"/>
            <w:shd w:val="clear" w:color="auto" w:fill="F4CEB2"/>
          </w:tcPr>
          <w:p w14:paraId="3F750DCB" w14:textId="77777777" w:rsidR="009948F1" w:rsidRDefault="00BC0563">
            <w:pPr>
              <w:pStyle w:val="TableParagraph"/>
              <w:spacing w:line="216" w:lineRule="exact"/>
              <w:ind w:left="110"/>
              <w:rPr>
                <w:b/>
                <w:sz w:val="21"/>
              </w:rPr>
            </w:pPr>
            <w:r>
              <w:rPr>
                <w:b/>
                <w:color w:val="231F20"/>
                <w:sz w:val="21"/>
              </w:rPr>
              <w:t>2018</w:t>
            </w:r>
          </w:p>
        </w:tc>
        <w:tc>
          <w:tcPr>
            <w:tcW w:w="758" w:type="dxa"/>
            <w:shd w:val="clear" w:color="auto" w:fill="F4CEB2"/>
          </w:tcPr>
          <w:p w14:paraId="089EF2C0" w14:textId="77777777" w:rsidR="009948F1" w:rsidRDefault="00BC0563">
            <w:pPr>
              <w:pStyle w:val="TableParagraph"/>
              <w:spacing w:line="216" w:lineRule="exact"/>
              <w:ind w:left="111"/>
              <w:rPr>
                <w:b/>
                <w:sz w:val="21"/>
              </w:rPr>
            </w:pPr>
            <w:r>
              <w:rPr>
                <w:b/>
                <w:color w:val="231F20"/>
                <w:sz w:val="21"/>
              </w:rPr>
              <w:t>2019</w:t>
            </w:r>
          </w:p>
        </w:tc>
        <w:tc>
          <w:tcPr>
            <w:tcW w:w="758" w:type="dxa"/>
            <w:shd w:val="clear" w:color="auto" w:fill="F4CEB2"/>
          </w:tcPr>
          <w:p w14:paraId="54D36699" w14:textId="77777777" w:rsidR="009948F1" w:rsidRDefault="00BC0563">
            <w:pPr>
              <w:pStyle w:val="TableParagraph"/>
              <w:spacing w:line="216" w:lineRule="exact"/>
              <w:ind w:left="111"/>
              <w:rPr>
                <w:b/>
                <w:sz w:val="21"/>
              </w:rPr>
            </w:pPr>
            <w:r>
              <w:rPr>
                <w:b/>
                <w:color w:val="231F20"/>
                <w:sz w:val="21"/>
              </w:rPr>
              <w:t>2020</w:t>
            </w:r>
          </w:p>
        </w:tc>
        <w:tc>
          <w:tcPr>
            <w:tcW w:w="761" w:type="dxa"/>
            <w:shd w:val="clear" w:color="auto" w:fill="F4CEB2"/>
          </w:tcPr>
          <w:p w14:paraId="4D13D3EC" w14:textId="77777777" w:rsidR="009948F1" w:rsidRDefault="00BC0563">
            <w:pPr>
              <w:pStyle w:val="TableParagraph"/>
              <w:spacing w:line="216" w:lineRule="exact"/>
              <w:ind w:left="111"/>
              <w:rPr>
                <w:b/>
                <w:sz w:val="21"/>
              </w:rPr>
            </w:pPr>
            <w:r>
              <w:rPr>
                <w:b/>
                <w:color w:val="231F20"/>
                <w:sz w:val="21"/>
              </w:rPr>
              <w:t>2021</w:t>
            </w:r>
          </w:p>
        </w:tc>
        <w:tc>
          <w:tcPr>
            <w:tcW w:w="748" w:type="dxa"/>
            <w:shd w:val="clear" w:color="auto" w:fill="F4CEB2"/>
          </w:tcPr>
          <w:p w14:paraId="0CB5E47F" w14:textId="77777777" w:rsidR="009948F1" w:rsidRDefault="00BC0563">
            <w:pPr>
              <w:pStyle w:val="TableParagraph"/>
              <w:spacing w:line="216" w:lineRule="exact"/>
              <w:ind w:left="110"/>
              <w:rPr>
                <w:b/>
                <w:sz w:val="21"/>
              </w:rPr>
            </w:pPr>
            <w:r>
              <w:rPr>
                <w:b/>
                <w:color w:val="231F20"/>
                <w:sz w:val="21"/>
              </w:rPr>
              <w:t>2022</w:t>
            </w:r>
          </w:p>
        </w:tc>
        <w:tc>
          <w:tcPr>
            <w:tcW w:w="972" w:type="dxa"/>
            <w:shd w:val="clear" w:color="auto" w:fill="F4CEB2"/>
          </w:tcPr>
          <w:p w14:paraId="390B94DC" w14:textId="77777777" w:rsidR="009948F1" w:rsidRDefault="00BC0563">
            <w:pPr>
              <w:pStyle w:val="TableParagraph"/>
              <w:spacing w:line="216" w:lineRule="exact"/>
              <w:ind w:left="111"/>
              <w:rPr>
                <w:b/>
                <w:sz w:val="21"/>
              </w:rPr>
            </w:pPr>
            <w:r>
              <w:rPr>
                <w:b/>
                <w:color w:val="231F20"/>
                <w:w w:val="95"/>
                <w:sz w:val="21"/>
              </w:rPr>
              <w:t>National</w:t>
            </w:r>
          </w:p>
        </w:tc>
      </w:tr>
      <w:tr w:rsidR="009948F1" w14:paraId="73A6FC20" w14:textId="77777777">
        <w:trPr>
          <w:trHeight w:val="718"/>
        </w:trPr>
        <w:tc>
          <w:tcPr>
            <w:tcW w:w="3209" w:type="dxa"/>
          </w:tcPr>
          <w:p w14:paraId="07532C7E" w14:textId="77777777" w:rsidR="009948F1" w:rsidRDefault="00BC0563">
            <w:pPr>
              <w:pStyle w:val="TableParagraph"/>
              <w:spacing w:line="238" w:lineRule="exact"/>
              <w:ind w:left="110"/>
              <w:rPr>
                <w:sz w:val="21"/>
              </w:rPr>
            </w:pPr>
            <w:r>
              <w:rPr>
                <w:color w:val="231F20"/>
                <w:sz w:val="21"/>
              </w:rPr>
              <w:t>Designated sentinel site</w:t>
            </w:r>
          </w:p>
          <w:p w14:paraId="1CDE9FDD" w14:textId="77777777" w:rsidR="009948F1" w:rsidRDefault="00BC0563">
            <w:pPr>
              <w:pStyle w:val="TableParagraph"/>
              <w:spacing w:before="6" w:line="240" w:lineRule="exact"/>
              <w:ind w:left="110" w:right="159"/>
              <w:rPr>
                <w:sz w:val="21"/>
              </w:rPr>
            </w:pPr>
            <w:r>
              <w:rPr>
                <w:color w:val="231F20"/>
                <w:w w:val="95"/>
                <w:sz w:val="21"/>
              </w:rPr>
              <w:t>established</w:t>
            </w:r>
            <w:r>
              <w:rPr>
                <w:color w:val="231F20"/>
                <w:spacing w:val="-36"/>
                <w:w w:val="95"/>
                <w:sz w:val="21"/>
              </w:rPr>
              <w:t xml:space="preserve"> </w:t>
            </w:r>
            <w:r>
              <w:rPr>
                <w:color w:val="231F20"/>
                <w:w w:val="95"/>
                <w:sz w:val="21"/>
              </w:rPr>
              <w:t>and</w:t>
            </w:r>
            <w:r>
              <w:rPr>
                <w:color w:val="231F20"/>
                <w:spacing w:val="-36"/>
                <w:w w:val="95"/>
                <w:sz w:val="21"/>
              </w:rPr>
              <w:t xml:space="preserve"> </w:t>
            </w:r>
            <w:r>
              <w:rPr>
                <w:color w:val="231F20"/>
                <w:w w:val="95"/>
                <w:sz w:val="21"/>
              </w:rPr>
              <w:t>equipped</w:t>
            </w:r>
            <w:r>
              <w:rPr>
                <w:color w:val="231F20"/>
                <w:spacing w:val="-36"/>
                <w:w w:val="95"/>
                <w:sz w:val="21"/>
              </w:rPr>
              <w:t xml:space="preserve"> </w:t>
            </w:r>
            <w:r>
              <w:rPr>
                <w:color w:val="231F20"/>
                <w:w w:val="95"/>
                <w:sz w:val="21"/>
              </w:rPr>
              <w:t>to</w:t>
            </w:r>
            <w:r>
              <w:rPr>
                <w:color w:val="231F20"/>
                <w:spacing w:val="-36"/>
                <w:w w:val="95"/>
                <w:sz w:val="21"/>
              </w:rPr>
              <w:t xml:space="preserve"> </w:t>
            </w:r>
            <w:r>
              <w:rPr>
                <w:color w:val="231F20"/>
                <w:spacing w:val="-4"/>
                <w:w w:val="95"/>
                <w:sz w:val="21"/>
              </w:rPr>
              <w:t xml:space="preserve">report </w:t>
            </w:r>
            <w:r>
              <w:rPr>
                <w:color w:val="231F20"/>
                <w:sz w:val="21"/>
              </w:rPr>
              <w:t>on foodborne</w:t>
            </w:r>
            <w:r>
              <w:rPr>
                <w:color w:val="231F20"/>
                <w:spacing w:val="-31"/>
                <w:sz w:val="21"/>
              </w:rPr>
              <w:t xml:space="preserve"> </w:t>
            </w:r>
            <w:r>
              <w:rPr>
                <w:color w:val="231F20"/>
                <w:sz w:val="21"/>
              </w:rPr>
              <w:t>illnesses</w:t>
            </w:r>
          </w:p>
        </w:tc>
        <w:tc>
          <w:tcPr>
            <w:tcW w:w="1254" w:type="dxa"/>
          </w:tcPr>
          <w:p w14:paraId="23A79CB5" w14:textId="77777777" w:rsidR="009948F1" w:rsidRDefault="00BC0563">
            <w:pPr>
              <w:pStyle w:val="TableParagraph"/>
              <w:spacing w:line="238" w:lineRule="exact"/>
              <w:ind w:left="110"/>
              <w:rPr>
                <w:sz w:val="21"/>
              </w:rPr>
            </w:pPr>
            <w:r>
              <w:rPr>
                <w:color w:val="231F20"/>
                <w:sz w:val="21"/>
              </w:rPr>
              <w:t>TBD</w:t>
            </w:r>
          </w:p>
        </w:tc>
        <w:tc>
          <w:tcPr>
            <w:tcW w:w="758" w:type="dxa"/>
          </w:tcPr>
          <w:p w14:paraId="703380CD" w14:textId="77777777" w:rsidR="009948F1" w:rsidRDefault="00BC0563">
            <w:pPr>
              <w:pStyle w:val="TableParagraph"/>
              <w:spacing w:line="238" w:lineRule="exact"/>
              <w:ind w:left="110"/>
              <w:rPr>
                <w:sz w:val="21"/>
              </w:rPr>
            </w:pPr>
            <w:r>
              <w:rPr>
                <w:color w:val="231F20"/>
                <w:w w:val="89"/>
                <w:sz w:val="21"/>
              </w:rPr>
              <w:t>0</w:t>
            </w:r>
          </w:p>
        </w:tc>
        <w:tc>
          <w:tcPr>
            <w:tcW w:w="758" w:type="dxa"/>
          </w:tcPr>
          <w:p w14:paraId="02E12965" w14:textId="77777777" w:rsidR="009948F1" w:rsidRDefault="00BC0563">
            <w:pPr>
              <w:pStyle w:val="TableParagraph"/>
              <w:spacing w:line="238" w:lineRule="exact"/>
              <w:ind w:left="111"/>
              <w:rPr>
                <w:sz w:val="21"/>
              </w:rPr>
            </w:pPr>
            <w:r>
              <w:rPr>
                <w:color w:val="231F20"/>
                <w:w w:val="89"/>
                <w:sz w:val="21"/>
              </w:rPr>
              <w:t>1</w:t>
            </w:r>
          </w:p>
        </w:tc>
        <w:tc>
          <w:tcPr>
            <w:tcW w:w="758" w:type="dxa"/>
          </w:tcPr>
          <w:p w14:paraId="12FDB0FB" w14:textId="77777777" w:rsidR="009948F1" w:rsidRDefault="00BC0563">
            <w:pPr>
              <w:pStyle w:val="TableParagraph"/>
              <w:spacing w:line="238" w:lineRule="exact"/>
              <w:ind w:left="111"/>
              <w:rPr>
                <w:sz w:val="21"/>
              </w:rPr>
            </w:pPr>
            <w:r>
              <w:rPr>
                <w:color w:val="231F20"/>
                <w:w w:val="89"/>
                <w:sz w:val="21"/>
              </w:rPr>
              <w:t>3</w:t>
            </w:r>
          </w:p>
        </w:tc>
        <w:tc>
          <w:tcPr>
            <w:tcW w:w="761" w:type="dxa"/>
          </w:tcPr>
          <w:p w14:paraId="297B43E3" w14:textId="77777777" w:rsidR="009948F1" w:rsidRDefault="00BC0563">
            <w:pPr>
              <w:pStyle w:val="TableParagraph"/>
              <w:spacing w:line="238" w:lineRule="exact"/>
              <w:ind w:left="111"/>
              <w:rPr>
                <w:sz w:val="21"/>
              </w:rPr>
            </w:pPr>
            <w:r>
              <w:rPr>
                <w:color w:val="231F20"/>
                <w:w w:val="89"/>
                <w:sz w:val="21"/>
              </w:rPr>
              <w:t>3</w:t>
            </w:r>
          </w:p>
        </w:tc>
        <w:tc>
          <w:tcPr>
            <w:tcW w:w="748" w:type="dxa"/>
          </w:tcPr>
          <w:p w14:paraId="78E81681" w14:textId="77777777" w:rsidR="009948F1" w:rsidRDefault="00BC0563">
            <w:pPr>
              <w:pStyle w:val="TableParagraph"/>
              <w:spacing w:line="238" w:lineRule="exact"/>
              <w:ind w:left="110"/>
              <w:rPr>
                <w:sz w:val="21"/>
              </w:rPr>
            </w:pPr>
            <w:r>
              <w:rPr>
                <w:color w:val="231F20"/>
                <w:w w:val="89"/>
                <w:sz w:val="21"/>
              </w:rPr>
              <w:t>3</w:t>
            </w:r>
          </w:p>
        </w:tc>
        <w:tc>
          <w:tcPr>
            <w:tcW w:w="972" w:type="dxa"/>
          </w:tcPr>
          <w:p w14:paraId="7AB45828" w14:textId="77777777" w:rsidR="009948F1" w:rsidRDefault="009948F1">
            <w:pPr>
              <w:pStyle w:val="TableParagraph"/>
              <w:rPr>
                <w:rFonts w:ascii="Times New Roman"/>
                <w:sz w:val="20"/>
              </w:rPr>
            </w:pPr>
          </w:p>
        </w:tc>
      </w:tr>
    </w:tbl>
    <w:p w14:paraId="682352BB" w14:textId="77777777" w:rsidR="009948F1" w:rsidRDefault="009948F1">
      <w:pPr>
        <w:rPr>
          <w:rFonts w:ascii="Times New Roman"/>
          <w:sz w:val="20"/>
        </w:rPr>
        <w:sectPr w:rsidR="009948F1">
          <w:pgSz w:w="11910" w:h="16840"/>
          <w:pgMar w:top="1260" w:right="1080" w:bottom="1420" w:left="1120" w:header="0" w:footer="1235" w:gutter="0"/>
          <w:cols w:space="720"/>
        </w:sectPr>
      </w:pPr>
    </w:p>
    <w:p w14:paraId="2E29BA8F" w14:textId="77777777" w:rsidR="009948F1" w:rsidRDefault="00BC0563">
      <w:pPr>
        <w:pStyle w:val="Heading7"/>
        <w:spacing w:before="46"/>
        <w:ind w:left="166"/>
      </w:pPr>
      <w:bookmarkStart w:id="86" w:name="Page_72"/>
      <w:bookmarkEnd w:id="86"/>
      <w:r>
        <w:rPr>
          <w:color w:val="231F20"/>
        </w:rPr>
        <w:lastRenderedPageBreak/>
        <w:t>Interventions:</w:t>
      </w:r>
    </w:p>
    <w:p w14:paraId="11E6C5A3" w14:textId="3C84C15A" w:rsidR="009948F1" w:rsidRDefault="00BC0563">
      <w:pPr>
        <w:pStyle w:val="ListParagraph"/>
        <w:numPr>
          <w:ilvl w:val="3"/>
          <w:numId w:val="277"/>
        </w:numPr>
        <w:tabs>
          <w:tab w:val="left" w:pos="922"/>
        </w:tabs>
        <w:spacing w:before="41" w:line="278" w:lineRule="auto"/>
        <w:ind w:right="203" w:firstLine="0"/>
      </w:pPr>
      <w:r>
        <w:rPr>
          <w:color w:val="231F20"/>
        </w:rPr>
        <w:t xml:space="preserve">Strengthen system for food and water safety surveillance. Key actions are; - </w:t>
      </w:r>
      <w:r w:rsidR="00191746">
        <w:rPr>
          <w:color w:val="231F20"/>
        </w:rPr>
        <w:t>Organize</w:t>
      </w:r>
      <w:r>
        <w:rPr>
          <w:color w:val="231F20"/>
        </w:rPr>
        <w:t xml:space="preserve"> periodic</w:t>
      </w:r>
      <w:r>
        <w:rPr>
          <w:color w:val="231F20"/>
          <w:spacing w:val="-17"/>
        </w:rPr>
        <w:t xml:space="preserve"> </w:t>
      </w:r>
      <w:r>
        <w:rPr>
          <w:color w:val="231F20"/>
        </w:rPr>
        <w:t>trainings</w:t>
      </w:r>
      <w:r>
        <w:rPr>
          <w:color w:val="231F20"/>
          <w:spacing w:val="-16"/>
        </w:rPr>
        <w:t xml:space="preserve"> </w:t>
      </w:r>
      <w:r>
        <w:rPr>
          <w:color w:val="231F20"/>
        </w:rPr>
        <w:t>for</w:t>
      </w:r>
      <w:r>
        <w:rPr>
          <w:color w:val="231F20"/>
          <w:spacing w:val="-16"/>
        </w:rPr>
        <w:t xml:space="preserve"> </w:t>
      </w:r>
      <w:r>
        <w:rPr>
          <w:color w:val="231F20"/>
        </w:rPr>
        <w:t>food</w:t>
      </w:r>
      <w:r>
        <w:rPr>
          <w:color w:val="231F20"/>
          <w:spacing w:val="-16"/>
        </w:rPr>
        <w:t xml:space="preserve"> </w:t>
      </w:r>
      <w:r>
        <w:rPr>
          <w:color w:val="231F20"/>
        </w:rPr>
        <w:t>handlers</w:t>
      </w:r>
      <w:r>
        <w:rPr>
          <w:color w:val="231F20"/>
          <w:spacing w:val="-16"/>
        </w:rPr>
        <w:t xml:space="preserve"> </w:t>
      </w:r>
      <w:r>
        <w:rPr>
          <w:color w:val="231F20"/>
        </w:rPr>
        <w:t>from</w:t>
      </w:r>
      <w:r>
        <w:rPr>
          <w:color w:val="231F20"/>
          <w:spacing w:val="-16"/>
        </w:rPr>
        <w:t xml:space="preserve"> </w:t>
      </w:r>
      <w:r>
        <w:rPr>
          <w:color w:val="231F20"/>
        </w:rPr>
        <w:t>23</w:t>
      </w:r>
      <w:r>
        <w:rPr>
          <w:color w:val="231F20"/>
          <w:spacing w:val="-16"/>
        </w:rPr>
        <w:t xml:space="preserve"> </w:t>
      </w:r>
      <w:r>
        <w:rPr>
          <w:color w:val="231F20"/>
        </w:rPr>
        <w:t>LGAs</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state</w:t>
      </w:r>
      <w:r>
        <w:rPr>
          <w:color w:val="231F20"/>
          <w:spacing w:val="-17"/>
        </w:rPr>
        <w:t xml:space="preserve"> </w:t>
      </w:r>
      <w:r>
        <w:rPr>
          <w:color w:val="231F20"/>
        </w:rPr>
        <w:t>on</w:t>
      </w:r>
      <w:r>
        <w:rPr>
          <w:color w:val="231F20"/>
          <w:spacing w:val="-16"/>
        </w:rPr>
        <w:t xml:space="preserve"> </w:t>
      </w:r>
      <w:r>
        <w:rPr>
          <w:color w:val="231F20"/>
        </w:rPr>
        <w:t>food</w:t>
      </w:r>
      <w:r>
        <w:rPr>
          <w:color w:val="231F20"/>
          <w:spacing w:val="-16"/>
        </w:rPr>
        <w:t xml:space="preserve"> </w:t>
      </w:r>
      <w:r>
        <w:rPr>
          <w:color w:val="231F20"/>
        </w:rPr>
        <w:t>handling;</w:t>
      </w:r>
      <w:r>
        <w:rPr>
          <w:color w:val="231F20"/>
          <w:spacing w:val="-16"/>
        </w:rPr>
        <w:t xml:space="preserve"> </w:t>
      </w:r>
      <w:r>
        <w:rPr>
          <w:color w:val="231F20"/>
        </w:rPr>
        <w:t>Conduct</w:t>
      </w:r>
      <w:r>
        <w:rPr>
          <w:color w:val="231F20"/>
          <w:spacing w:val="-16"/>
        </w:rPr>
        <w:t xml:space="preserve"> </w:t>
      </w:r>
      <w:r>
        <w:rPr>
          <w:color w:val="231F20"/>
        </w:rPr>
        <w:t>workshop for</w:t>
      </w:r>
      <w:r>
        <w:rPr>
          <w:color w:val="231F20"/>
          <w:spacing w:val="-5"/>
        </w:rPr>
        <w:t xml:space="preserve"> </w:t>
      </w:r>
      <w:r>
        <w:rPr>
          <w:color w:val="231F20"/>
        </w:rPr>
        <w:t>EHOs</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food</w:t>
      </w:r>
      <w:r>
        <w:rPr>
          <w:color w:val="231F20"/>
          <w:spacing w:val="-5"/>
        </w:rPr>
        <w:t xml:space="preserve"> </w:t>
      </w:r>
      <w:r>
        <w:rPr>
          <w:color w:val="231F20"/>
        </w:rPr>
        <w:t>which</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consumes</w:t>
      </w:r>
      <w:r>
        <w:rPr>
          <w:color w:val="231F20"/>
          <w:spacing w:val="-5"/>
        </w:rPr>
        <w:t xml:space="preserve"> </w:t>
      </w:r>
      <w:r>
        <w:rPr>
          <w:color w:val="231F20"/>
        </w:rPr>
        <w:t>are</w:t>
      </w:r>
      <w:r>
        <w:rPr>
          <w:color w:val="231F20"/>
          <w:spacing w:val="-5"/>
        </w:rPr>
        <w:t xml:space="preserve"> </w:t>
      </w:r>
      <w:r>
        <w:rPr>
          <w:color w:val="231F20"/>
        </w:rPr>
        <w:t>safe,</w:t>
      </w:r>
      <w:r>
        <w:rPr>
          <w:color w:val="231F20"/>
          <w:spacing w:val="-5"/>
        </w:rPr>
        <w:t xml:space="preserve"> </w:t>
      </w:r>
      <w:r>
        <w:rPr>
          <w:color w:val="231F20"/>
        </w:rPr>
        <w:t>wholesome</w:t>
      </w:r>
      <w:r>
        <w:rPr>
          <w:color w:val="231F20"/>
          <w:spacing w:val="-5"/>
        </w:rPr>
        <w:t xml:space="preserve"> </w:t>
      </w:r>
      <w:r>
        <w:rPr>
          <w:color w:val="231F20"/>
        </w:rPr>
        <w:t>and</w:t>
      </w:r>
      <w:r>
        <w:rPr>
          <w:color w:val="231F20"/>
          <w:spacing w:val="-5"/>
        </w:rPr>
        <w:t xml:space="preserve"> </w:t>
      </w:r>
      <w:r>
        <w:rPr>
          <w:color w:val="231F20"/>
        </w:rPr>
        <w:t>nutritious; Conduct</w:t>
      </w:r>
      <w:r>
        <w:rPr>
          <w:color w:val="231F20"/>
          <w:spacing w:val="-7"/>
        </w:rPr>
        <w:t xml:space="preserve"> </w:t>
      </w:r>
      <w:r>
        <w:rPr>
          <w:color w:val="231F20"/>
        </w:rPr>
        <w:t>sensitization</w:t>
      </w:r>
      <w:r>
        <w:rPr>
          <w:color w:val="231F20"/>
          <w:spacing w:val="-7"/>
        </w:rPr>
        <w:t xml:space="preserve"> </w:t>
      </w:r>
      <w:r>
        <w:rPr>
          <w:color w:val="231F20"/>
        </w:rPr>
        <w:t>workshops</w:t>
      </w:r>
      <w:r>
        <w:rPr>
          <w:color w:val="231F20"/>
          <w:spacing w:val="-6"/>
        </w:rPr>
        <w:t xml:space="preserve"> </w:t>
      </w:r>
      <w:r>
        <w:rPr>
          <w:color w:val="231F20"/>
        </w:rPr>
        <w:t>for</w:t>
      </w:r>
      <w:r>
        <w:rPr>
          <w:color w:val="231F20"/>
          <w:spacing w:val="-7"/>
        </w:rPr>
        <w:t xml:space="preserve"> </w:t>
      </w:r>
      <w:r>
        <w:rPr>
          <w:color w:val="231F20"/>
        </w:rPr>
        <w:t>food</w:t>
      </w:r>
      <w:r>
        <w:rPr>
          <w:color w:val="231F20"/>
          <w:spacing w:val="-7"/>
        </w:rPr>
        <w:t xml:space="preserve"> </w:t>
      </w:r>
      <w:r>
        <w:rPr>
          <w:color w:val="231F20"/>
        </w:rPr>
        <w:t>handlers</w:t>
      </w:r>
      <w:r>
        <w:rPr>
          <w:color w:val="231F20"/>
          <w:spacing w:val="-6"/>
        </w:rPr>
        <w:t xml:space="preserve"> </w:t>
      </w:r>
      <w:r>
        <w:rPr>
          <w:color w:val="231F20"/>
        </w:rPr>
        <w:t>on</w:t>
      </w:r>
      <w:r>
        <w:rPr>
          <w:color w:val="231F20"/>
          <w:spacing w:val="-7"/>
        </w:rPr>
        <w:t xml:space="preserve"> </w:t>
      </w:r>
      <w:r>
        <w:rPr>
          <w:color w:val="231F20"/>
        </w:rPr>
        <w:t>food</w:t>
      </w:r>
      <w:r>
        <w:rPr>
          <w:color w:val="231F20"/>
          <w:spacing w:val="-6"/>
        </w:rPr>
        <w:t xml:space="preserve"> </w:t>
      </w:r>
      <w:r>
        <w:rPr>
          <w:color w:val="231F20"/>
        </w:rPr>
        <w:t>hygiene</w:t>
      </w:r>
      <w:r>
        <w:rPr>
          <w:color w:val="231F20"/>
          <w:spacing w:val="-7"/>
        </w:rPr>
        <w:t xml:space="preserve"> </w:t>
      </w:r>
      <w:r>
        <w:rPr>
          <w:color w:val="231F20"/>
        </w:rPr>
        <w:t>and</w:t>
      </w:r>
      <w:r>
        <w:rPr>
          <w:color w:val="231F20"/>
          <w:spacing w:val="-7"/>
        </w:rPr>
        <w:t xml:space="preserve"> </w:t>
      </w:r>
      <w:r>
        <w:rPr>
          <w:color w:val="231F20"/>
        </w:rPr>
        <w:t>other</w:t>
      </w:r>
      <w:r>
        <w:rPr>
          <w:color w:val="231F20"/>
          <w:spacing w:val="-6"/>
        </w:rPr>
        <w:t xml:space="preserve"> </w:t>
      </w:r>
      <w:r>
        <w:rPr>
          <w:color w:val="231F20"/>
        </w:rPr>
        <w:t>practices;</w:t>
      </w:r>
      <w:r>
        <w:rPr>
          <w:color w:val="231F20"/>
          <w:spacing w:val="-7"/>
        </w:rPr>
        <w:t xml:space="preserve"> </w:t>
      </w:r>
      <w:r>
        <w:rPr>
          <w:color w:val="231F20"/>
          <w:spacing w:val="-3"/>
        </w:rPr>
        <w:t xml:space="preserve">Conduct </w:t>
      </w:r>
      <w:r>
        <w:rPr>
          <w:color w:val="231F20"/>
        </w:rPr>
        <w:t>sensitization</w:t>
      </w:r>
      <w:r>
        <w:rPr>
          <w:color w:val="231F20"/>
          <w:spacing w:val="-15"/>
        </w:rPr>
        <w:t xml:space="preserve"> </w:t>
      </w:r>
      <w:r>
        <w:rPr>
          <w:color w:val="231F20"/>
        </w:rPr>
        <w:t>trainings</w:t>
      </w:r>
      <w:r>
        <w:rPr>
          <w:color w:val="231F20"/>
          <w:spacing w:val="-14"/>
        </w:rPr>
        <w:t xml:space="preserve"> </w:t>
      </w:r>
      <w:r>
        <w:rPr>
          <w:color w:val="231F20"/>
        </w:rPr>
        <w:t>for</w:t>
      </w:r>
      <w:r>
        <w:rPr>
          <w:color w:val="231F20"/>
          <w:spacing w:val="-14"/>
        </w:rPr>
        <w:t xml:space="preserve"> </w:t>
      </w:r>
      <w:r>
        <w:rPr>
          <w:color w:val="231F20"/>
        </w:rPr>
        <w:t>butchers</w:t>
      </w:r>
      <w:r>
        <w:rPr>
          <w:color w:val="231F20"/>
          <w:spacing w:val="-14"/>
        </w:rPr>
        <w:t xml:space="preserve"> </w:t>
      </w:r>
      <w:r>
        <w:rPr>
          <w:color w:val="231F20"/>
        </w:rPr>
        <w:t>and</w:t>
      </w:r>
      <w:r>
        <w:rPr>
          <w:color w:val="231F20"/>
          <w:spacing w:val="-14"/>
        </w:rPr>
        <w:t xml:space="preserve"> </w:t>
      </w:r>
      <w:r>
        <w:rPr>
          <w:color w:val="231F20"/>
        </w:rPr>
        <w:t>meat</w:t>
      </w:r>
      <w:r>
        <w:rPr>
          <w:color w:val="231F20"/>
          <w:spacing w:val="-14"/>
        </w:rPr>
        <w:t xml:space="preserve"> </w:t>
      </w:r>
      <w:r>
        <w:rPr>
          <w:color w:val="231F20"/>
        </w:rPr>
        <w:t>handlers</w:t>
      </w:r>
      <w:r>
        <w:rPr>
          <w:color w:val="231F20"/>
          <w:spacing w:val="-14"/>
        </w:rPr>
        <w:t xml:space="preserve"> </w:t>
      </w:r>
      <w:r>
        <w:rPr>
          <w:color w:val="231F20"/>
        </w:rPr>
        <w:t>from</w:t>
      </w:r>
      <w:r>
        <w:rPr>
          <w:color w:val="231F20"/>
          <w:spacing w:val="-14"/>
        </w:rPr>
        <w:t xml:space="preserve"> </w:t>
      </w:r>
      <w:r>
        <w:rPr>
          <w:color w:val="231F20"/>
        </w:rPr>
        <w:t>23</w:t>
      </w:r>
      <w:r>
        <w:rPr>
          <w:color w:val="231F20"/>
          <w:spacing w:val="-14"/>
        </w:rPr>
        <w:t xml:space="preserve"> </w:t>
      </w:r>
      <w:r>
        <w:rPr>
          <w:color w:val="231F20"/>
        </w:rPr>
        <w:t>LGAs</w:t>
      </w:r>
      <w:r>
        <w:rPr>
          <w:color w:val="231F20"/>
          <w:spacing w:val="-14"/>
        </w:rPr>
        <w:t xml:space="preserve"> </w:t>
      </w:r>
      <w:r>
        <w:rPr>
          <w:color w:val="231F20"/>
        </w:rPr>
        <w:t>on</w:t>
      </w:r>
      <w:r>
        <w:rPr>
          <w:color w:val="231F20"/>
          <w:spacing w:val="-14"/>
        </w:rPr>
        <w:t xml:space="preserve"> </w:t>
      </w:r>
      <w:r>
        <w:rPr>
          <w:color w:val="231F20"/>
        </w:rPr>
        <w:t>practice</w:t>
      </w:r>
      <w:r>
        <w:rPr>
          <w:color w:val="231F20"/>
          <w:spacing w:val="-14"/>
        </w:rPr>
        <w:t xml:space="preserve"> </w:t>
      </w:r>
      <w:r>
        <w:rPr>
          <w:color w:val="231F20"/>
        </w:rPr>
        <w:t>of</w:t>
      </w:r>
      <w:r>
        <w:rPr>
          <w:color w:val="231F20"/>
          <w:spacing w:val="-14"/>
        </w:rPr>
        <w:t xml:space="preserve"> </w:t>
      </w:r>
      <w:r>
        <w:rPr>
          <w:color w:val="231F20"/>
        </w:rPr>
        <w:t>meat</w:t>
      </w:r>
      <w:r>
        <w:rPr>
          <w:color w:val="231F20"/>
          <w:spacing w:val="-14"/>
        </w:rPr>
        <w:t xml:space="preserve"> </w:t>
      </w:r>
      <w:r>
        <w:rPr>
          <w:color w:val="231F20"/>
        </w:rPr>
        <w:t>handling; Conduct</w:t>
      </w:r>
      <w:r>
        <w:rPr>
          <w:color w:val="231F20"/>
          <w:spacing w:val="-13"/>
        </w:rPr>
        <w:t xml:space="preserve"> </w:t>
      </w:r>
      <w:r>
        <w:rPr>
          <w:color w:val="231F20"/>
        </w:rPr>
        <w:t>training</w:t>
      </w:r>
      <w:r>
        <w:rPr>
          <w:color w:val="231F20"/>
          <w:spacing w:val="-13"/>
        </w:rPr>
        <w:t xml:space="preserve"> </w:t>
      </w:r>
      <w:r>
        <w:rPr>
          <w:color w:val="231F20"/>
        </w:rPr>
        <w:t>workshops</w:t>
      </w:r>
      <w:r>
        <w:rPr>
          <w:color w:val="231F20"/>
          <w:spacing w:val="-13"/>
        </w:rPr>
        <w:t xml:space="preserve"> </w:t>
      </w:r>
      <w:r>
        <w:rPr>
          <w:color w:val="231F20"/>
        </w:rPr>
        <w:t>for</w:t>
      </w:r>
      <w:r>
        <w:rPr>
          <w:color w:val="231F20"/>
          <w:spacing w:val="-13"/>
        </w:rPr>
        <w:t xml:space="preserve"> </w:t>
      </w:r>
      <w:r>
        <w:rPr>
          <w:color w:val="231F20"/>
        </w:rPr>
        <w:t>water</w:t>
      </w:r>
      <w:r>
        <w:rPr>
          <w:color w:val="231F20"/>
          <w:spacing w:val="-13"/>
        </w:rPr>
        <w:t xml:space="preserve"> </w:t>
      </w:r>
      <w:r>
        <w:rPr>
          <w:color w:val="231F20"/>
        </w:rPr>
        <w:t>and</w:t>
      </w:r>
      <w:r>
        <w:rPr>
          <w:color w:val="231F20"/>
          <w:spacing w:val="-13"/>
        </w:rPr>
        <w:t xml:space="preserve"> </w:t>
      </w:r>
      <w:r>
        <w:rPr>
          <w:color w:val="231F20"/>
        </w:rPr>
        <w:t>sanitation</w:t>
      </w:r>
      <w:r>
        <w:rPr>
          <w:color w:val="231F20"/>
          <w:spacing w:val="60"/>
        </w:rPr>
        <w:t xml:space="preserve"> </w:t>
      </w:r>
      <w:r>
        <w:rPr>
          <w:color w:val="231F20"/>
          <w:spacing w:val="-4"/>
        </w:rPr>
        <w:t>(WATSAN)</w:t>
      </w:r>
      <w:r>
        <w:rPr>
          <w:color w:val="231F20"/>
          <w:spacing w:val="-13"/>
        </w:rPr>
        <w:t xml:space="preserve"> </w:t>
      </w:r>
      <w:r>
        <w:rPr>
          <w:color w:val="231F20"/>
        </w:rPr>
        <w:t>officers</w:t>
      </w:r>
      <w:r>
        <w:rPr>
          <w:color w:val="231F20"/>
          <w:spacing w:val="-13"/>
        </w:rPr>
        <w:t xml:space="preserve"> </w:t>
      </w:r>
      <w:r>
        <w:rPr>
          <w:color w:val="231F20"/>
        </w:rPr>
        <w:t>and</w:t>
      </w:r>
      <w:r>
        <w:rPr>
          <w:color w:val="231F20"/>
          <w:spacing w:val="-13"/>
        </w:rPr>
        <w:t xml:space="preserve"> </w:t>
      </w:r>
      <w:r>
        <w:rPr>
          <w:color w:val="231F20"/>
        </w:rPr>
        <w:t>zonal</w:t>
      </w:r>
      <w:r>
        <w:rPr>
          <w:color w:val="231F20"/>
          <w:spacing w:val="-13"/>
        </w:rPr>
        <w:t xml:space="preserve"> </w:t>
      </w:r>
      <w:r>
        <w:rPr>
          <w:color w:val="231F20"/>
        </w:rPr>
        <w:t>EHOs</w:t>
      </w:r>
      <w:r>
        <w:rPr>
          <w:color w:val="231F20"/>
          <w:spacing w:val="-13"/>
        </w:rPr>
        <w:t xml:space="preserve"> </w:t>
      </w:r>
      <w:r>
        <w:rPr>
          <w:color w:val="231F20"/>
        </w:rPr>
        <w:t>from</w:t>
      </w:r>
      <w:r>
        <w:rPr>
          <w:color w:val="231F20"/>
          <w:spacing w:val="-12"/>
        </w:rPr>
        <w:t xml:space="preserve"> </w:t>
      </w:r>
      <w:r>
        <w:rPr>
          <w:color w:val="231F20"/>
        </w:rPr>
        <w:t>23 LGAs</w:t>
      </w:r>
      <w:r>
        <w:rPr>
          <w:color w:val="231F20"/>
          <w:spacing w:val="-25"/>
        </w:rPr>
        <w:t xml:space="preserve"> </w:t>
      </w:r>
      <w:r>
        <w:rPr>
          <w:color w:val="231F20"/>
        </w:rPr>
        <w:t>for</w:t>
      </w:r>
      <w:r>
        <w:rPr>
          <w:color w:val="231F20"/>
          <w:spacing w:val="-25"/>
        </w:rPr>
        <w:t xml:space="preserve"> </w:t>
      </w:r>
      <w:r>
        <w:rPr>
          <w:color w:val="231F20"/>
        </w:rPr>
        <w:t>promotion</w:t>
      </w:r>
      <w:r>
        <w:rPr>
          <w:color w:val="231F20"/>
          <w:spacing w:val="-26"/>
        </w:rPr>
        <w:t xml:space="preserve"> </w:t>
      </w:r>
      <w:r>
        <w:rPr>
          <w:color w:val="231F20"/>
        </w:rPr>
        <w:t>of</w:t>
      </w:r>
      <w:r>
        <w:rPr>
          <w:color w:val="231F20"/>
          <w:spacing w:val="-25"/>
        </w:rPr>
        <w:t xml:space="preserve"> </w:t>
      </w:r>
      <w:r>
        <w:rPr>
          <w:color w:val="231F20"/>
        </w:rPr>
        <w:t>potable</w:t>
      </w:r>
      <w:r>
        <w:rPr>
          <w:color w:val="231F20"/>
          <w:spacing w:val="-25"/>
        </w:rPr>
        <w:t xml:space="preserve"> </w:t>
      </w:r>
      <w:r>
        <w:rPr>
          <w:color w:val="231F20"/>
        </w:rPr>
        <w:t>water</w:t>
      </w:r>
      <w:r>
        <w:rPr>
          <w:color w:val="231F20"/>
          <w:spacing w:val="-25"/>
        </w:rPr>
        <w:t xml:space="preserve"> </w:t>
      </w:r>
      <w:r>
        <w:rPr>
          <w:color w:val="231F20"/>
        </w:rPr>
        <w:t>supply</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D38AED8" w14:textId="77777777" w:rsidR="009948F1" w:rsidRDefault="009948F1">
      <w:pPr>
        <w:pStyle w:val="BodyText"/>
        <w:spacing w:before="6"/>
        <w:rPr>
          <w:sz w:val="25"/>
        </w:rPr>
      </w:pPr>
    </w:p>
    <w:p w14:paraId="629869E3" w14:textId="5F9CF50F" w:rsidR="009948F1" w:rsidRDefault="00BC0563">
      <w:pPr>
        <w:pStyle w:val="ListParagraph"/>
        <w:numPr>
          <w:ilvl w:val="3"/>
          <w:numId w:val="277"/>
        </w:numPr>
        <w:tabs>
          <w:tab w:val="left" w:pos="917"/>
        </w:tabs>
        <w:spacing w:line="278" w:lineRule="auto"/>
        <w:ind w:right="203" w:firstLine="0"/>
      </w:pPr>
      <w:r>
        <w:rPr>
          <w:color w:val="231F20"/>
        </w:rPr>
        <w:t xml:space="preserve">Strengthen the legal, and regulatory framework for food safety in line with </w:t>
      </w:r>
      <w:r>
        <w:rPr>
          <w:color w:val="231F20"/>
          <w:spacing w:val="-2"/>
        </w:rPr>
        <w:t xml:space="preserve">international </w:t>
      </w:r>
      <w:r>
        <w:rPr>
          <w:color w:val="231F20"/>
        </w:rPr>
        <w:t>guidelines.</w:t>
      </w:r>
      <w:r>
        <w:rPr>
          <w:color w:val="231F20"/>
          <w:spacing w:val="-15"/>
        </w:rPr>
        <w:t xml:space="preserve"> </w:t>
      </w:r>
      <w:r>
        <w:rPr>
          <w:color w:val="231F20"/>
        </w:rPr>
        <w:t>Key</w:t>
      </w:r>
      <w:r>
        <w:rPr>
          <w:color w:val="231F20"/>
          <w:spacing w:val="-14"/>
        </w:rPr>
        <w:t xml:space="preserve"> </w:t>
      </w:r>
      <w:r>
        <w:rPr>
          <w:color w:val="231F20"/>
        </w:rPr>
        <w:t>actions</w:t>
      </w:r>
      <w:r>
        <w:rPr>
          <w:color w:val="231F20"/>
          <w:spacing w:val="-14"/>
        </w:rPr>
        <w:t xml:space="preserve"> </w:t>
      </w:r>
      <w:r>
        <w:rPr>
          <w:color w:val="231F20"/>
        </w:rPr>
        <w:t>include;</w:t>
      </w:r>
      <w:r>
        <w:rPr>
          <w:color w:val="231F20"/>
          <w:spacing w:val="-14"/>
        </w:rPr>
        <w:t xml:space="preserve"> </w:t>
      </w:r>
      <w:r>
        <w:rPr>
          <w:color w:val="231F20"/>
        </w:rPr>
        <w:t>–</w:t>
      </w:r>
      <w:r>
        <w:rPr>
          <w:color w:val="231F20"/>
          <w:spacing w:val="-14"/>
        </w:rPr>
        <w:t xml:space="preserve"> </w:t>
      </w:r>
      <w:r>
        <w:rPr>
          <w:color w:val="231F20"/>
        </w:rPr>
        <w:t>Engage</w:t>
      </w:r>
      <w:r>
        <w:rPr>
          <w:color w:val="231F20"/>
          <w:spacing w:val="-14"/>
        </w:rPr>
        <w:t xml:space="preserve"> </w:t>
      </w:r>
      <w:r>
        <w:rPr>
          <w:color w:val="231F20"/>
        </w:rPr>
        <w:t>a</w:t>
      </w:r>
      <w:r>
        <w:rPr>
          <w:color w:val="231F20"/>
          <w:spacing w:val="-14"/>
        </w:rPr>
        <w:t xml:space="preserve"> </w:t>
      </w:r>
      <w:r>
        <w:rPr>
          <w:color w:val="231F20"/>
        </w:rPr>
        <w:t>Consultant</w:t>
      </w:r>
      <w:r>
        <w:rPr>
          <w:color w:val="231F20"/>
          <w:spacing w:val="-14"/>
        </w:rPr>
        <w:t xml:space="preserve"> </w:t>
      </w:r>
      <w:r>
        <w:rPr>
          <w:color w:val="231F20"/>
        </w:rPr>
        <w:t>to</w:t>
      </w:r>
      <w:r>
        <w:rPr>
          <w:color w:val="231F20"/>
          <w:spacing w:val="-14"/>
        </w:rPr>
        <w:t xml:space="preserve"> </w:t>
      </w:r>
      <w:r>
        <w:rPr>
          <w:color w:val="231F20"/>
        </w:rPr>
        <w:t>review</w:t>
      </w:r>
      <w:r>
        <w:rPr>
          <w:color w:val="231F20"/>
          <w:spacing w:val="-14"/>
        </w:rPr>
        <w:t xml:space="preserve"> </w:t>
      </w:r>
      <w:r>
        <w:rPr>
          <w:color w:val="231F20"/>
        </w:rPr>
        <w:t>and</w:t>
      </w:r>
      <w:r>
        <w:rPr>
          <w:color w:val="231F20"/>
          <w:spacing w:val="-14"/>
        </w:rPr>
        <w:t xml:space="preserve"> </w:t>
      </w:r>
      <w:r>
        <w:rPr>
          <w:color w:val="231F20"/>
        </w:rPr>
        <w:t>adapt</w:t>
      </w:r>
      <w:r>
        <w:rPr>
          <w:color w:val="231F20"/>
          <w:spacing w:val="-14"/>
        </w:rPr>
        <w:t xml:space="preserve"> </w:t>
      </w:r>
      <w:r>
        <w:rPr>
          <w:color w:val="231F20"/>
        </w:rPr>
        <w:t>the</w:t>
      </w:r>
      <w:r>
        <w:rPr>
          <w:color w:val="231F20"/>
          <w:spacing w:val="-14"/>
        </w:rPr>
        <w:t xml:space="preserve"> </w:t>
      </w:r>
      <w:r>
        <w:rPr>
          <w:color w:val="231F20"/>
        </w:rPr>
        <w:t>National</w:t>
      </w:r>
      <w:r>
        <w:rPr>
          <w:color w:val="231F20"/>
          <w:spacing w:val="-14"/>
        </w:rPr>
        <w:t xml:space="preserve"> </w:t>
      </w:r>
      <w:r>
        <w:rPr>
          <w:color w:val="231F20"/>
        </w:rPr>
        <w:t>Policy</w:t>
      </w:r>
      <w:r>
        <w:rPr>
          <w:color w:val="231F20"/>
          <w:spacing w:val="-14"/>
        </w:rPr>
        <w:t xml:space="preserve"> </w:t>
      </w:r>
      <w:r>
        <w:rPr>
          <w:color w:val="231F20"/>
          <w:spacing w:val="-6"/>
        </w:rPr>
        <w:t xml:space="preserve">on </w:t>
      </w:r>
      <w:r>
        <w:rPr>
          <w:color w:val="231F20"/>
        </w:rPr>
        <w:t>Food</w:t>
      </w:r>
      <w:r>
        <w:rPr>
          <w:color w:val="231F20"/>
          <w:spacing w:val="-26"/>
        </w:rPr>
        <w:t xml:space="preserve"> </w:t>
      </w:r>
      <w:r>
        <w:rPr>
          <w:color w:val="231F20"/>
        </w:rPr>
        <w:t>and</w:t>
      </w:r>
      <w:r>
        <w:rPr>
          <w:color w:val="231F20"/>
          <w:spacing w:val="-25"/>
        </w:rPr>
        <w:t xml:space="preserve"> </w:t>
      </w:r>
      <w:r>
        <w:rPr>
          <w:color w:val="231F20"/>
        </w:rPr>
        <w:t>Nutrition</w:t>
      </w:r>
      <w:r>
        <w:rPr>
          <w:color w:val="231F20"/>
          <w:spacing w:val="-25"/>
        </w:rPr>
        <w:t xml:space="preserve"> </w:t>
      </w:r>
      <w:r>
        <w:rPr>
          <w:color w:val="231F20"/>
        </w:rPr>
        <w:t>and</w:t>
      </w:r>
      <w:r>
        <w:rPr>
          <w:color w:val="231F20"/>
          <w:spacing w:val="-25"/>
        </w:rPr>
        <w:t xml:space="preserve"> </w:t>
      </w:r>
      <w:r>
        <w:rPr>
          <w:color w:val="231F20"/>
        </w:rPr>
        <w:t>any</w:t>
      </w:r>
      <w:r>
        <w:rPr>
          <w:color w:val="231F20"/>
          <w:spacing w:val="-25"/>
        </w:rPr>
        <w:t xml:space="preserve"> </w:t>
      </w:r>
      <w:r>
        <w:rPr>
          <w:color w:val="231F20"/>
        </w:rPr>
        <w:t>other</w:t>
      </w:r>
      <w:r>
        <w:rPr>
          <w:color w:val="231F20"/>
          <w:spacing w:val="-25"/>
        </w:rPr>
        <w:t xml:space="preserve"> </w:t>
      </w:r>
      <w:r>
        <w:rPr>
          <w:color w:val="231F20"/>
        </w:rPr>
        <w:t>policy</w:t>
      </w:r>
      <w:r>
        <w:rPr>
          <w:color w:val="231F20"/>
          <w:spacing w:val="-25"/>
        </w:rPr>
        <w:t xml:space="preserve"> </w:t>
      </w:r>
      <w:r>
        <w:rPr>
          <w:color w:val="231F20"/>
        </w:rPr>
        <w:t>on</w:t>
      </w:r>
      <w:r>
        <w:rPr>
          <w:color w:val="231F20"/>
          <w:spacing w:val="-25"/>
        </w:rPr>
        <w:t xml:space="preserve"> </w:t>
      </w:r>
      <w:r>
        <w:rPr>
          <w:color w:val="231F20"/>
        </w:rPr>
        <w:t>Food</w:t>
      </w:r>
      <w:r>
        <w:rPr>
          <w:color w:val="231F20"/>
          <w:spacing w:val="-25"/>
        </w:rPr>
        <w:t xml:space="preserve"> </w:t>
      </w:r>
      <w:r>
        <w:rPr>
          <w:color w:val="231F20"/>
        </w:rPr>
        <w:t>Safety;</w:t>
      </w:r>
      <w:r>
        <w:rPr>
          <w:color w:val="231F20"/>
          <w:spacing w:val="-25"/>
        </w:rPr>
        <w:t xml:space="preserve"> </w:t>
      </w:r>
      <w:r>
        <w:rPr>
          <w:color w:val="231F20"/>
        </w:rPr>
        <w:t>Review</w:t>
      </w:r>
      <w:r>
        <w:rPr>
          <w:color w:val="231F20"/>
          <w:spacing w:val="-26"/>
        </w:rPr>
        <w:t xml:space="preserve"> </w:t>
      </w:r>
      <w:r>
        <w:rPr>
          <w:color w:val="231F20"/>
        </w:rPr>
        <w:t>/Adaptation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existing</w:t>
      </w:r>
      <w:r>
        <w:rPr>
          <w:color w:val="231F20"/>
          <w:spacing w:val="-25"/>
        </w:rPr>
        <w:t xml:space="preserve"> </w:t>
      </w:r>
      <w:r>
        <w:rPr>
          <w:color w:val="231F20"/>
        </w:rPr>
        <w:t>National policies</w:t>
      </w:r>
      <w:r>
        <w:rPr>
          <w:color w:val="231F20"/>
          <w:spacing w:val="-22"/>
        </w:rPr>
        <w:t xml:space="preserve"> </w:t>
      </w:r>
      <w:r>
        <w:rPr>
          <w:color w:val="231F20"/>
        </w:rPr>
        <w:t>on</w:t>
      </w:r>
      <w:r>
        <w:rPr>
          <w:color w:val="231F20"/>
          <w:spacing w:val="-21"/>
        </w:rPr>
        <w:t xml:space="preserve"> </w:t>
      </w:r>
      <w:r>
        <w:rPr>
          <w:color w:val="231F20"/>
        </w:rPr>
        <w:t>Food/Nutrition;</w:t>
      </w:r>
      <w:r>
        <w:rPr>
          <w:color w:val="231F20"/>
          <w:spacing w:val="-21"/>
        </w:rPr>
        <w:t xml:space="preserve"> </w:t>
      </w:r>
      <w:r>
        <w:rPr>
          <w:color w:val="231F20"/>
        </w:rPr>
        <w:t>Food</w:t>
      </w:r>
      <w:r>
        <w:rPr>
          <w:color w:val="231F20"/>
          <w:spacing w:val="-21"/>
        </w:rPr>
        <w:t xml:space="preserve"> </w:t>
      </w:r>
      <w:r>
        <w:rPr>
          <w:color w:val="231F20"/>
        </w:rPr>
        <w:t>Safety</w:t>
      </w:r>
      <w:r>
        <w:rPr>
          <w:color w:val="231F20"/>
          <w:spacing w:val="-21"/>
        </w:rPr>
        <w:t xml:space="preserve"> </w:t>
      </w:r>
      <w:proofErr w:type="spellStart"/>
      <w:r>
        <w:rPr>
          <w:color w:val="231F20"/>
        </w:rPr>
        <w:t>etc</w:t>
      </w:r>
      <w:proofErr w:type="spellEnd"/>
      <w:r>
        <w:rPr>
          <w:color w:val="231F20"/>
        </w:rPr>
        <w:t>,</w:t>
      </w:r>
      <w:r>
        <w:rPr>
          <w:color w:val="231F20"/>
          <w:spacing w:val="-21"/>
        </w:rPr>
        <w:t xml:space="preserve"> </w:t>
      </w:r>
      <w:r>
        <w:rPr>
          <w:color w:val="231F20"/>
        </w:rPr>
        <w:t>in</w:t>
      </w:r>
      <w:r>
        <w:rPr>
          <w:color w:val="231F20"/>
          <w:spacing w:val="-21"/>
        </w:rPr>
        <w:t xml:space="preserve"> </w:t>
      </w:r>
      <w:r>
        <w:rPr>
          <w:color w:val="231F20"/>
        </w:rPr>
        <w:t>line</w:t>
      </w:r>
      <w:r>
        <w:rPr>
          <w:color w:val="231F20"/>
          <w:spacing w:val="-21"/>
        </w:rPr>
        <w:t xml:space="preserve"> </w:t>
      </w:r>
      <w:r>
        <w:rPr>
          <w:color w:val="231F20"/>
        </w:rPr>
        <w:t>with</w:t>
      </w:r>
      <w:r>
        <w:rPr>
          <w:color w:val="231F20"/>
          <w:spacing w:val="-21"/>
        </w:rPr>
        <w:t xml:space="preserve"> </w:t>
      </w:r>
      <w:r>
        <w:rPr>
          <w:color w:val="231F20"/>
        </w:rPr>
        <w:t>national</w:t>
      </w:r>
      <w:r>
        <w:rPr>
          <w:color w:val="231F20"/>
          <w:spacing w:val="-22"/>
        </w:rPr>
        <w:t xml:space="preserve"> </w:t>
      </w:r>
      <w:r>
        <w:rPr>
          <w:color w:val="231F20"/>
        </w:rPr>
        <w:t>guidelines;</w:t>
      </w:r>
      <w:r>
        <w:rPr>
          <w:color w:val="231F20"/>
          <w:spacing w:val="-21"/>
        </w:rPr>
        <w:t xml:space="preserve"> </w:t>
      </w:r>
      <w:r w:rsidR="00191746">
        <w:rPr>
          <w:color w:val="231F20"/>
        </w:rPr>
        <w:t>Organize</w:t>
      </w:r>
      <w:r>
        <w:rPr>
          <w:color w:val="231F20"/>
          <w:spacing w:val="-21"/>
        </w:rPr>
        <w:t xml:space="preserve"> </w:t>
      </w:r>
      <w:r>
        <w:rPr>
          <w:color w:val="231F20"/>
        </w:rPr>
        <w:t>meetings</w:t>
      </w:r>
      <w:r>
        <w:rPr>
          <w:color w:val="231F20"/>
          <w:spacing w:val="-21"/>
        </w:rPr>
        <w:t xml:space="preserve"> </w:t>
      </w:r>
      <w:r>
        <w:rPr>
          <w:color w:val="231F20"/>
        </w:rPr>
        <w:t>with State Assembly on the adopted policies on Food safety; Validation and printing of the policy document</w:t>
      </w:r>
      <w:r>
        <w:rPr>
          <w:color w:val="231F20"/>
          <w:spacing w:val="-15"/>
        </w:rPr>
        <w:t xml:space="preserve"> </w:t>
      </w:r>
      <w:r>
        <w:rPr>
          <w:color w:val="231F20"/>
        </w:rPr>
        <w:t>on</w:t>
      </w:r>
      <w:r>
        <w:rPr>
          <w:color w:val="231F20"/>
          <w:spacing w:val="-15"/>
        </w:rPr>
        <w:t xml:space="preserve"> </w:t>
      </w:r>
      <w:r>
        <w:rPr>
          <w:color w:val="231F20"/>
        </w:rPr>
        <w:t>Food</w:t>
      </w:r>
      <w:r>
        <w:rPr>
          <w:color w:val="231F20"/>
          <w:spacing w:val="-15"/>
        </w:rPr>
        <w:t xml:space="preserve"> </w:t>
      </w:r>
      <w:r>
        <w:rPr>
          <w:color w:val="231F20"/>
        </w:rPr>
        <w:t>/Nutrition</w:t>
      </w:r>
      <w:r>
        <w:rPr>
          <w:color w:val="231F20"/>
          <w:spacing w:val="-15"/>
        </w:rPr>
        <w:t xml:space="preserve"> </w:t>
      </w:r>
      <w:r>
        <w:rPr>
          <w:color w:val="231F20"/>
        </w:rPr>
        <w:t>and</w:t>
      </w:r>
      <w:r>
        <w:rPr>
          <w:color w:val="231F20"/>
          <w:spacing w:val="-14"/>
        </w:rPr>
        <w:t xml:space="preserve"> </w:t>
      </w:r>
      <w:r>
        <w:rPr>
          <w:color w:val="231F20"/>
        </w:rPr>
        <w:t>food</w:t>
      </w:r>
      <w:r>
        <w:rPr>
          <w:color w:val="231F20"/>
          <w:spacing w:val="-15"/>
        </w:rPr>
        <w:t xml:space="preserve"> </w:t>
      </w:r>
      <w:r>
        <w:rPr>
          <w:color w:val="231F20"/>
        </w:rPr>
        <w:t>Safety;</w:t>
      </w:r>
      <w:r>
        <w:rPr>
          <w:color w:val="231F20"/>
          <w:spacing w:val="56"/>
        </w:rPr>
        <w:t xml:space="preserve"> </w:t>
      </w:r>
      <w:r>
        <w:rPr>
          <w:color w:val="231F20"/>
        </w:rPr>
        <w:t>Dissemination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adopted</w:t>
      </w:r>
      <w:r>
        <w:rPr>
          <w:color w:val="231F20"/>
          <w:spacing w:val="-14"/>
        </w:rPr>
        <w:t xml:space="preserve"> </w:t>
      </w:r>
      <w:r>
        <w:rPr>
          <w:color w:val="231F20"/>
        </w:rPr>
        <w:t>Food/Nutrition</w:t>
      </w:r>
      <w:r>
        <w:rPr>
          <w:color w:val="231F20"/>
          <w:spacing w:val="-15"/>
        </w:rPr>
        <w:t xml:space="preserve"> </w:t>
      </w:r>
      <w:r>
        <w:rPr>
          <w:color w:val="231F20"/>
          <w:spacing w:val="-3"/>
        </w:rPr>
        <w:t xml:space="preserve">Policy </w:t>
      </w:r>
      <w:r>
        <w:rPr>
          <w:color w:val="231F20"/>
        </w:rPr>
        <w:t>and</w:t>
      </w:r>
      <w:r>
        <w:rPr>
          <w:color w:val="231F20"/>
          <w:spacing w:val="-25"/>
        </w:rPr>
        <w:t xml:space="preserve"> </w:t>
      </w:r>
      <w:r>
        <w:rPr>
          <w:color w:val="231F20"/>
        </w:rPr>
        <w:t>Food</w:t>
      </w:r>
      <w:r>
        <w:rPr>
          <w:color w:val="231F20"/>
          <w:spacing w:val="-26"/>
        </w:rPr>
        <w:t xml:space="preserve"> </w:t>
      </w:r>
      <w:r>
        <w:rPr>
          <w:color w:val="231F20"/>
        </w:rPr>
        <w:t>safety</w:t>
      </w:r>
      <w:r>
        <w:rPr>
          <w:color w:val="231F20"/>
          <w:spacing w:val="-25"/>
        </w:rPr>
        <w:t xml:space="preserve"> </w:t>
      </w:r>
      <w:r>
        <w:rPr>
          <w:color w:val="231F20"/>
        </w:rPr>
        <w:t>policy</w:t>
      </w:r>
      <w:r>
        <w:rPr>
          <w:color w:val="231F20"/>
          <w:spacing w:val="-25"/>
        </w:rPr>
        <w:t xml:space="preserve"> </w:t>
      </w:r>
      <w:r>
        <w:rPr>
          <w:color w:val="231F20"/>
        </w:rPr>
        <w:t>to</w:t>
      </w:r>
      <w:r>
        <w:rPr>
          <w:color w:val="231F20"/>
          <w:spacing w:val="-25"/>
        </w:rPr>
        <w:t xml:space="preserve"> </w:t>
      </w:r>
      <w:r>
        <w:rPr>
          <w:color w:val="231F20"/>
        </w:rPr>
        <w:t>relevant</w:t>
      </w:r>
      <w:r>
        <w:rPr>
          <w:color w:val="231F20"/>
          <w:spacing w:val="-25"/>
        </w:rPr>
        <w:t xml:space="preserve"> </w:t>
      </w:r>
      <w:r>
        <w:rPr>
          <w:color w:val="231F20"/>
        </w:rPr>
        <w:t>stakeholders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0C230601" w14:textId="77777777" w:rsidR="009948F1" w:rsidRDefault="009948F1">
      <w:pPr>
        <w:pStyle w:val="BodyText"/>
        <w:spacing w:before="6"/>
        <w:rPr>
          <w:sz w:val="25"/>
        </w:rPr>
      </w:pPr>
    </w:p>
    <w:p w14:paraId="36AA145A" w14:textId="77777777" w:rsidR="009948F1" w:rsidRDefault="00BC0563">
      <w:pPr>
        <w:pStyle w:val="ListParagraph"/>
        <w:numPr>
          <w:ilvl w:val="3"/>
          <w:numId w:val="277"/>
        </w:numPr>
        <w:tabs>
          <w:tab w:val="left" w:pos="912"/>
        </w:tabs>
        <w:spacing w:line="278" w:lineRule="auto"/>
        <w:ind w:left="165" w:right="191" w:firstLine="0"/>
      </w:pPr>
      <w:r>
        <w:rPr>
          <w:color w:val="231F20"/>
        </w:rPr>
        <w:t>Intensify awareness and sensitization on food safety and quality particularly at the rural community</w:t>
      </w:r>
      <w:r>
        <w:rPr>
          <w:color w:val="231F20"/>
          <w:spacing w:val="-26"/>
        </w:rPr>
        <w:t xml:space="preserve"> </w:t>
      </w:r>
      <w:r>
        <w:rPr>
          <w:color w:val="231F20"/>
        </w:rPr>
        <w:t>level.</w:t>
      </w:r>
      <w:r>
        <w:rPr>
          <w:color w:val="231F20"/>
          <w:spacing w:val="-25"/>
        </w:rPr>
        <w:t xml:space="preserve"> </w:t>
      </w:r>
      <w:r>
        <w:rPr>
          <w:color w:val="231F20"/>
        </w:rPr>
        <w:t>Key</w:t>
      </w:r>
      <w:r>
        <w:rPr>
          <w:color w:val="231F20"/>
          <w:spacing w:val="-25"/>
        </w:rPr>
        <w:t xml:space="preserve"> </w:t>
      </w:r>
      <w:r>
        <w:rPr>
          <w:color w:val="231F20"/>
        </w:rPr>
        <w:t>actions</w:t>
      </w:r>
      <w:r>
        <w:rPr>
          <w:color w:val="231F20"/>
          <w:spacing w:val="-25"/>
        </w:rPr>
        <w:t xml:space="preserve"> </w:t>
      </w:r>
      <w:r>
        <w:rPr>
          <w:color w:val="231F20"/>
        </w:rPr>
        <w:t>include;</w:t>
      </w:r>
      <w:r>
        <w:rPr>
          <w:color w:val="231F20"/>
          <w:spacing w:val="-25"/>
        </w:rPr>
        <w:t xml:space="preserve"> </w:t>
      </w:r>
      <w:r>
        <w:rPr>
          <w:color w:val="231F20"/>
        </w:rPr>
        <w:t>–</w:t>
      </w:r>
      <w:r>
        <w:rPr>
          <w:color w:val="231F20"/>
          <w:spacing w:val="-25"/>
        </w:rPr>
        <w:t xml:space="preserve"> </w:t>
      </w:r>
      <w:r>
        <w:rPr>
          <w:color w:val="231F20"/>
        </w:rPr>
        <w:t>Engage</w:t>
      </w:r>
      <w:r>
        <w:rPr>
          <w:color w:val="231F20"/>
          <w:spacing w:val="-25"/>
        </w:rPr>
        <w:t xml:space="preserve"> </w:t>
      </w:r>
      <w:r>
        <w:rPr>
          <w:color w:val="231F20"/>
        </w:rPr>
        <w:t>the</w:t>
      </w:r>
      <w:r>
        <w:rPr>
          <w:color w:val="231F20"/>
          <w:spacing w:val="-25"/>
        </w:rPr>
        <w:t xml:space="preserve"> </w:t>
      </w:r>
      <w:r>
        <w:rPr>
          <w:color w:val="231F20"/>
        </w:rPr>
        <w:t>media</w:t>
      </w:r>
      <w:r>
        <w:rPr>
          <w:color w:val="231F20"/>
          <w:spacing w:val="-25"/>
        </w:rPr>
        <w:t xml:space="preserve"> </w:t>
      </w:r>
      <w:r>
        <w:rPr>
          <w:color w:val="231F20"/>
        </w:rPr>
        <w:t>(both</w:t>
      </w:r>
      <w:r>
        <w:rPr>
          <w:color w:val="231F20"/>
          <w:spacing w:val="-25"/>
        </w:rPr>
        <w:t xml:space="preserve"> </w:t>
      </w:r>
      <w:r>
        <w:rPr>
          <w:color w:val="231F20"/>
        </w:rPr>
        <w:t>electronic</w:t>
      </w:r>
      <w:r>
        <w:rPr>
          <w:color w:val="231F20"/>
          <w:spacing w:val="-26"/>
        </w:rPr>
        <w:t xml:space="preserve"> </w:t>
      </w:r>
      <w:r>
        <w:rPr>
          <w:color w:val="231F20"/>
        </w:rPr>
        <w:t>and</w:t>
      </w:r>
      <w:r>
        <w:rPr>
          <w:color w:val="231F20"/>
          <w:spacing w:val="-25"/>
        </w:rPr>
        <w:t xml:space="preserve"> </w:t>
      </w:r>
      <w:r>
        <w:rPr>
          <w:color w:val="231F20"/>
        </w:rPr>
        <w:t>print)</w:t>
      </w:r>
      <w:r>
        <w:rPr>
          <w:color w:val="231F20"/>
          <w:spacing w:val="-25"/>
        </w:rPr>
        <w:t xml:space="preserve"> </w:t>
      </w:r>
      <w:r>
        <w:rPr>
          <w:color w:val="231F20"/>
        </w:rPr>
        <w:t>on</w:t>
      </w:r>
      <w:r>
        <w:rPr>
          <w:color w:val="231F20"/>
          <w:spacing w:val="-25"/>
        </w:rPr>
        <w:t xml:space="preserve"> </w:t>
      </w:r>
      <w:r>
        <w:rPr>
          <w:color w:val="231F20"/>
        </w:rPr>
        <w:t>awareness creation</w:t>
      </w:r>
      <w:r>
        <w:rPr>
          <w:color w:val="231F20"/>
          <w:spacing w:val="-22"/>
        </w:rPr>
        <w:t xml:space="preserve"> </w:t>
      </w:r>
      <w:r>
        <w:rPr>
          <w:color w:val="231F20"/>
        </w:rPr>
        <w:t>and</w:t>
      </w:r>
      <w:r>
        <w:rPr>
          <w:color w:val="231F20"/>
          <w:spacing w:val="-21"/>
        </w:rPr>
        <w:t xml:space="preserve"> </w:t>
      </w:r>
      <w:r>
        <w:rPr>
          <w:color w:val="231F20"/>
        </w:rPr>
        <w:t>sensitization</w:t>
      </w:r>
      <w:r>
        <w:rPr>
          <w:color w:val="231F20"/>
          <w:spacing w:val="-21"/>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populace</w:t>
      </w:r>
      <w:r>
        <w:rPr>
          <w:color w:val="231F20"/>
          <w:spacing w:val="-21"/>
        </w:rPr>
        <w:t xml:space="preserve"> </w:t>
      </w:r>
      <w:r>
        <w:rPr>
          <w:color w:val="231F20"/>
        </w:rPr>
        <w:t>on</w:t>
      </w:r>
      <w:r>
        <w:rPr>
          <w:color w:val="231F20"/>
          <w:spacing w:val="-21"/>
        </w:rPr>
        <w:t xml:space="preserve"> </w:t>
      </w:r>
      <w:r>
        <w:rPr>
          <w:color w:val="231F20"/>
        </w:rPr>
        <w:t>food</w:t>
      </w:r>
      <w:r>
        <w:rPr>
          <w:color w:val="231F20"/>
          <w:spacing w:val="-21"/>
        </w:rPr>
        <w:t xml:space="preserve"> </w:t>
      </w:r>
      <w:r>
        <w:rPr>
          <w:color w:val="231F20"/>
        </w:rPr>
        <w:t>safety</w:t>
      </w:r>
      <w:r>
        <w:rPr>
          <w:color w:val="231F20"/>
          <w:spacing w:val="-22"/>
        </w:rPr>
        <w:t xml:space="preserve"> </w:t>
      </w:r>
      <w:r>
        <w:rPr>
          <w:color w:val="231F20"/>
        </w:rPr>
        <w:t>and</w:t>
      </w:r>
      <w:r>
        <w:rPr>
          <w:color w:val="231F20"/>
          <w:spacing w:val="-21"/>
        </w:rPr>
        <w:t xml:space="preserve"> </w:t>
      </w:r>
      <w:r>
        <w:rPr>
          <w:color w:val="231F20"/>
        </w:rPr>
        <w:t>quality;</w:t>
      </w:r>
      <w:r>
        <w:rPr>
          <w:color w:val="231F20"/>
          <w:spacing w:val="-21"/>
        </w:rPr>
        <w:t xml:space="preserve"> </w:t>
      </w:r>
      <w:r>
        <w:rPr>
          <w:color w:val="231F20"/>
        </w:rPr>
        <w:t>Orientation</w:t>
      </w:r>
      <w:r>
        <w:rPr>
          <w:color w:val="231F20"/>
          <w:spacing w:val="-21"/>
        </w:rPr>
        <w:t xml:space="preserve"> </w:t>
      </w:r>
      <w:r>
        <w:rPr>
          <w:color w:val="231F20"/>
        </w:rPr>
        <w:t>of</w:t>
      </w:r>
      <w:r>
        <w:rPr>
          <w:color w:val="231F20"/>
          <w:spacing w:val="-23"/>
        </w:rPr>
        <w:t xml:space="preserve"> </w:t>
      </w:r>
      <w:r>
        <w:rPr>
          <w:color w:val="231F20"/>
        </w:rPr>
        <w:t>members</w:t>
      </w:r>
      <w:r>
        <w:rPr>
          <w:color w:val="231F20"/>
          <w:spacing w:val="-21"/>
        </w:rPr>
        <w:t xml:space="preserve"> </w:t>
      </w:r>
      <w:r>
        <w:rPr>
          <w:color w:val="231F20"/>
        </w:rPr>
        <w:t>of</w:t>
      </w:r>
      <w:r>
        <w:rPr>
          <w:color w:val="231F20"/>
          <w:spacing w:val="-22"/>
        </w:rPr>
        <w:t xml:space="preserve"> </w:t>
      </w:r>
      <w:r>
        <w:rPr>
          <w:color w:val="231F20"/>
        </w:rPr>
        <w:t xml:space="preserve">the State Committee on Food and nutrition on Food safety and quality; Inauguration of </w:t>
      </w:r>
      <w:r>
        <w:rPr>
          <w:color w:val="231F20"/>
          <w:spacing w:val="-6"/>
        </w:rPr>
        <w:t xml:space="preserve">LGA </w:t>
      </w:r>
      <w:r>
        <w:rPr>
          <w:color w:val="231F20"/>
        </w:rPr>
        <w:t>Committees</w:t>
      </w:r>
      <w:r>
        <w:rPr>
          <w:color w:val="231F20"/>
          <w:spacing w:val="-10"/>
        </w:rPr>
        <w:t xml:space="preserve"> </w:t>
      </w:r>
      <w:r>
        <w:rPr>
          <w:color w:val="231F20"/>
        </w:rPr>
        <w:t>on</w:t>
      </w:r>
      <w:r>
        <w:rPr>
          <w:color w:val="231F20"/>
          <w:spacing w:val="-9"/>
        </w:rPr>
        <w:t xml:space="preserve"> </w:t>
      </w:r>
      <w:r>
        <w:rPr>
          <w:color w:val="231F20"/>
        </w:rPr>
        <w:t>Food</w:t>
      </w:r>
      <w:r>
        <w:rPr>
          <w:color w:val="231F20"/>
          <w:spacing w:val="-9"/>
        </w:rPr>
        <w:t xml:space="preserve"> </w:t>
      </w:r>
      <w:r>
        <w:rPr>
          <w:color w:val="231F20"/>
        </w:rPr>
        <w:t>and</w:t>
      </w:r>
      <w:r>
        <w:rPr>
          <w:color w:val="231F20"/>
          <w:spacing w:val="-9"/>
        </w:rPr>
        <w:t xml:space="preserve"> </w:t>
      </w:r>
      <w:r>
        <w:rPr>
          <w:color w:val="231F20"/>
        </w:rPr>
        <w:t>Nutrition</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23</w:t>
      </w:r>
      <w:r>
        <w:rPr>
          <w:color w:val="231F20"/>
          <w:spacing w:val="-9"/>
        </w:rPr>
        <w:t xml:space="preserve"> </w:t>
      </w:r>
      <w:r>
        <w:rPr>
          <w:color w:val="231F20"/>
        </w:rPr>
        <w:t>LGAs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Orientation</w:t>
      </w:r>
      <w:r>
        <w:rPr>
          <w:color w:val="231F20"/>
          <w:spacing w:val="-9"/>
        </w:rPr>
        <w:t xml:space="preserve"> </w:t>
      </w:r>
      <w:r>
        <w:rPr>
          <w:color w:val="231F20"/>
        </w:rPr>
        <w:t>of</w:t>
      </w:r>
      <w:r>
        <w:rPr>
          <w:color w:val="231F20"/>
          <w:spacing w:val="-9"/>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23</w:t>
      </w:r>
      <w:r>
        <w:rPr>
          <w:color w:val="231F20"/>
          <w:spacing w:val="-9"/>
        </w:rPr>
        <w:t xml:space="preserve"> </w:t>
      </w:r>
      <w:r>
        <w:rPr>
          <w:color w:val="231F20"/>
        </w:rPr>
        <w:t>LGA Committees</w:t>
      </w:r>
      <w:r>
        <w:rPr>
          <w:color w:val="231F20"/>
          <w:spacing w:val="-24"/>
        </w:rPr>
        <w:t xml:space="preserve"> </w:t>
      </w:r>
      <w:r>
        <w:rPr>
          <w:color w:val="231F20"/>
        </w:rPr>
        <w:t>on</w:t>
      </w:r>
      <w:r>
        <w:rPr>
          <w:color w:val="231F20"/>
          <w:spacing w:val="-24"/>
        </w:rPr>
        <w:t xml:space="preserve"> </w:t>
      </w:r>
      <w:r>
        <w:rPr>
          <w:color w:val="231F20"/>
        </w:rPr>
        <w:t>Food</w:t>
      </w:r>
      <w:r>
        <w:rPr>
          <w:color w:val="231F20"/>
          <w:spacing w:val="-24"/>
        </w:rPr>
        <w:t xml:space="preserve"> </w:t>
      </w:r>
      <w:r>
        <w:rPr>
          <w:color w:val="231F20"/>
        </w:rPr>
        <w:t>and</w:t>
      </w:r>
      <w:r>
        <w:rPr>
          <w:color w:val="231F20"/>
          <w:spacing w:val="-23"/>
        </w:rPr>
        <w:t xml:space="preserve"> </w:t>
      </w:r>
      <w:r>
        <w:rPr>
          <w:color w:val="231F20"/>
        </w:rPr>
        <w:t>Nutrition</w:t>
      </w:r>
      <w:r>
        <w:rPr>
          <w:color w:val="231F20"/>
          <w:spacing w:val="-24"/>
        </w:rPr>
        <w:t xml:space="preserve"> </w:t>
      </w:r>
      <w:r>
        <w:rPr>
          <w:color w:val="231F20"/>
        </w:rPr>
        <w:t>on</w:t>
      </w:r>
      <w:r>
        <w:rPr>
          <w:color w:val="231F20"/>
          <w:spacing w:val="-24"/>
        </w:rPr>
        <w:t xml:space="preserve"> </w:t>
      </w:r>
      <w:r>
        <w:rPr>
          <w:color w:val="231F20"/>
        </w:rPr>
        <w:t>Food</w:t>
      </w:r>
      <w:r>
        <w:rPr>
          <w:color w:val="231F20"/>
          <w:spacing w:val="-23"/>
        </w:rPr>
        <w:t xml:space="preserve"> </w:t>
      </w:r>
      <w:r>
        <w:rPr>
          <w:color w:val="231F20"/>
        </w:rPr>
        <w:t>safety</w:t>
      </w:r>
      <w:r>
        <w:rPr>
          <w:color w:val="231F20"/>
          <w:spacing w:val="-24"/>
        </w:rPr>
        <w:t xml:space="preserve"> </w:t>
      </w:r>
      <w:r>
        <w:rPr>
          <w:color w:val="231F20"/>
        </w:rPr>
        <w:t>and</w:t>
      </w:r>
      <w:r>
        <w:rPr>
          <w:color w:val="231F20"/>
          <w:spacing w:val="-24"/>
        </w:rPr>
        <w:t xml:space="preserve"> </w:t>
      </w:r>
      <w:r>
        <w:rPr>
          <w:color w:val="231F20"/>
        </w:rPr>
        <w:t>quality;</w:t>
      </w:r>
      <w:r>
        <w:rPr>
          <w:color w:val="231F20"/>
          <w:spacing w:val="-27"/>
        </w:rPr>
        <w:t xml:space="preserve"> </w:t>
      </w:r>
      <w:r>
        <w:rPr>
          <w:color w:val="231F20"/>
        </w:rPr>
        <w:t>Training</w:t>
      </w:r>
      <w:r>
        <w:rPr>
          <w:color w:val="231F20"/>
          <w:spacing w:val="-24"/>
        </w:rPr>
        <w:t xml:space="preserve"> </w:t>
      </w:r>
      <w:r>
        <w:rPr>
          <w:color w:val="231F20"/>
        </w:rPr>
        <w:t>of</w:t>
      </w:r>
      <w:r>
        <w:rPr>
          <w:color w:val="231F20"/>
          <w:spacing w:val="-24"/>
        </w:rPr>
        <w:t xml:space="preserve"> </w:t>
      </w:r>
      <w:r>
        <w:rPr>
          <w:color w:val="231F20"/>
        </w:rPr>
        <w:t>community</w:t>
      </w:r>
      <w:r>
        <w:rPr>
          <w:color w:val="231F20"/>
          <w:spacing w:val="-23"/>
        </w:rPr>
        <w:t xml:space="preserve"> </w:t>
      </w:r>
      <w:r>
        <w:rPr>
          <w:color w:val="231F20"/>
        </w:rPr>
        <w:t>volunteers</w:t>
      </w:r>
      <w:r>
        <w:rPr>
          <w:color w:val="231F20"/>
          <w:spacing w:val="-24"/>
        </w:rPr>
        <w:t xml:space="preserve"> </w:t>
      </w:r>
      <w:r>
        <w:rPr>
          <w:color w:val="231F20"/>
        </w:rPr>
        <w:t>on Food</w:t>
      </w:r>
      <w:r>
        <w:rPr>
          <w:color w:val="231F20"/>
          <w:spacing w:val="-25"/>
        </w:rPr>
        <w:t xml:space="preserve"> </w:t>
      </w:r>
      <w:r>
        <w:rPr>
          <w:color w:val="231F20"/>
        </w:rPr>
        <w:t>Safety</w:t>
      </w:r>
      <w:r>
        <w:rPr>
          <w:color w:val="231F20"/>
          <w:spacing w:val="-25"/>
        </w:rPr>
        <w:t xml:space="preserve"> </w:t>
      </w:r>
      <w:r>
        <w:rPr>
          <w:color w:val="231F20"/>
        </w:rPr>
        <w:t>and</w:t>
      </w:r>
      <w:r>
        <w:rPr>
          <w:color w:val="231F20"/>
          <w:spacing w:val="-25"/>
        </w:rPr>
        <w:t xml:space="preserve"> </w:t>
      </w:r>
      <w:r>
        <w:rPr>
          <w:color w:val="231F20"/>
          <w:spacing w:val="-3"/>
        </w:rPr>
        <w:t>Quality.</w:t>
      </w:r>
    </w:p>
    <w:p w14:paraId="35DB9F2E" w14:textId="77777777" w:rsidR="009948F1" w:rsidRDefault="009948F1">
      <w:pPr>
        <w:pStyle w:val="BodyText"/>
        <w:spacing w:before="7"/>
        <w:rPr>
          <w:sz w:val="25"/>
        </w:rPr>
      </w:pPr>
    </w:p>
    <w:p w14:paraId="4576836C" w14:textId="237227C7" w:rsidR="009948F1" w:rsidRDefault="00BC0563">
      <w:pPr>
        <w:pStyle w:val="ListParagraph"/>
        <w:numPr>
          <w:ilvl w:val="3"/>
          <w:numId w:val="277"/>
        </w:numPr>
        <w:tabs>
          <w:tab w:val="left" w:pos="880"/>
        </w:tabs>
        <w:spacing w:line="278" w:lineRule="auto"/>
        <w:ind w:left="165" w:right="204" w:firstLine="0"/>
      </w:pPr>
      <w:r>
        <w:rPr>
          <w:color w:val="231F20"/>
        </w:rPr>
        <w:t>Scale</w:t>
      </w:r>
      <w:r>
        <w:rPr>
          <w:color w:val="231F20"/>
          <w:spacing w:val="-21"/>
        </w:rPr>
        <w:t xml:space="preserve"> </w:t>
      </w:r>
      <w:r>
        <w:rPr>
          <w:color w:val="231F20"/>
        </w:rPr>
        <w:t>up</w:t>
      </w:r>
      <w:r>
        <w:rPr>
          <w:color w:val="231F20"/>
          <w:spacing w:val="-20"/>
        </w:rPr>
        <w:t xml:space="preserve"> </w:t>
      </w:r>
      <w:r>
        <w:rPr>
          <w:color w:val="231F20"/>
        </w:rPr>
        <w:t>the</w:t>
      </w:r>
      <w:r>
        <w:rPr>
          <w:color w:val="231F20"/>
          <w:spacing w:val="-20"/>
        </w:rPr>
        <w:t xml:space="preserve"> </w:t>
      </w:r>
      <w:r>
        <w:rPr>
          <w:color w:val="231F20"/>
        </w:rPr>
        <w:t>training</w:t>
      </w:r>
      <w:r>
        <w:rPr>
          <w:color w:val="231F20"/>
          <w:spacing w:val="-20"/>
        </w:rPr>
        <w:t xml:space="preserve"> </w:t>
      </w:r>
      <w:r>
        <w:rPr>
          <w:color w:val="231F20"/>
        </w:rPr>
        <w:t>of</w:t>
      </w:r>
      <w:r>
        <w:rPr>
          <w:color w:val="231F20"/>
          <w:spacing w:val="-21"/>
        </w:rPr>
        <w:t xml:space="preserve"> </w:t>
      </w:r>
      <w:r>
        <w:rPr>
          <w:color w:val="231F20"/>
        </w:rPr>
        <w:t>food</w:t>
      </w:r>
      <w:r>
        <w:rPr>
          <w:color w:val="231F20"/>
          <w:spacing w:val="-20"/>
        </w:rPr>
        <w:t xml:space="preserve"> </w:t>
      </w:r>
      <w:r>
        <w:rPr>
          <w:color w:val="231F20"/>
        </w:rPr>
        <w:t>inspectors</w:t>
      </w:r>
      <w:r>
        <w:rPr>
          <w:color w:val="231F20"/>
          <w:spacing w:val="-20"/>
        </w:rPr>
        <w:t xml:space="preserve"> </w:t>
      </w:r>
      <w:r>
        <w:rPr>
          <w:color w:val="231F20"/>
        </w:rPr>
        <w:t>that</w:t>
      </w:r>
      <w:r>
        <w:rPr>
          <w:color w:val="231F20"/>
          <w:spacing w:val="-21"/>
        </w:rPr>
        <w:t xml:space="preserve"> </w:t>
      </w:r>
      <w:r>
        <w:rPr>
          <w:color w:val="231F20"/>
        </w:rPr>
        <w:t>will</w:t>
      </w:r>
      <w:r>
        <w:rPr>
          <w:color w:val="231F20"/>
          <w:spacing w:val="-20"/>
        </w:rPr>
        <w:t xml:space="preserve"> </w:t>
      </w:r>
      <w:r>
        <w:rPr>
          <w:color w:val="231F20"/>
        </w:rPr>
        <w:t>ensure</w:t>
      </w:r>
      <w:r>
        <w:rPr>
          <w:color w:val="231F20"/>
          <w:spacing w:val="-20"/>
        </w:rPr>
        <w:t xml:space="preserve"> </w:t>
      </w:r>
      <w:r>
        <w:rPr>
          <w:color w:val="231F20"/>
        </w:rPr>
        <w:t>that</w:t>
      </w:r>
      <w:r>
        <w:rPr>
          <w:color w:val="231F20"/>
          <w:spacing w:val="-20"/>
        </w:rPr>
        <w:t xml:space="preserve"> </w:t>
      </w:r>
      <w:r>
        <w:rPr>
          <w:color w:val="231F20"/>
        </w:rPr>
        <w:t>foods</w:t>
      </w:r>
      <w:r>
        <w:rPr>
          <w:color w:val="231F20"/>
          <w:spacing w:val="-20"/>
        </w:rPr>
        <w:t xml:space="preserve"> </w:t>
      </w:r>
      <w:r>
        <w:rPr>
          <w:color w:val="231F20"/>
        </w:rPr>
        <w:t>sold</w:t>
      </w:r>
      <w:r>
        <w:rPr>
          <w:color w:val="231F20"/>
          <w:spacing w:val="-20"/>
        </w:rPr>
        <w:t xml:space="preserve"> </w:t>
      </w:r>
      <w:r>
        <w:rPr>
          <w:color w:val="231F20"/>
        </w:rPr>
        <w:t>within</w:t>
      </w:r>
      <w:r>
        <w:rPr>
          <w:color w:val="231F20"/>
          <w:spacing w:val="-20"/>
        </w:rPr>
        <w:t xml:space="preserve"> </w:t>
      </w:r>
      <w:r>
        <w:rPr>
          <w:color w:val="231F20"/>
        </w:rPr>
        <w:t>the</w:t>
      </w:r>
      <w:r>
        <w:rPr>
          <w:color w:val="231F20"/>
          <w:spacing w:val="-21"/>
        </w:rPr>
        <w:t xml:space="preserve"> </w:t>
      </w:r>
      <w:r>
        <w:rPr>
          <w:color w:val="231F20"/>
        </w:rPr>
        <w:t>State</w:t>
      </w:r>
      <w:r w:rsidR="00191746">
        <w:rPr>
          <w:color w:val="231F20"/>
        </w:rPr>
        <w:t xml:space="preserve"> </w:t>
      </w:r>
      <w:r>
        <w:rPr>
          <w:color w:val="231F20"/>
        </w:rPr>
        <w:t>are</w:t>
      </w:r>
      <w:r>
        <w:rPr>
          <w:color w:val="231F20"/>
          <w:spacing w:val="-20"/>
        </w:rPr>
        <w:t xml:space="preserve"> </w:t>
      </w:r>
      <w:r>
        <w:rPr>
          <w:color w:val="231F20"/>
          <w:spacing w:val="-7"/>
        </w:rPr>
        <w:t xml:space="preserve">in </w:t>
      </w:r>
      <w:r>
        <w:rPr>
          <w:color w:val="231F20"/>
        </w:rPr>
        <w:t>compliance with current standards and regulations. Key actions are; - Mapping of the Food inspectors in the state; Development of SOP on Food Safety and Quality; Training of Food Inspectors</w:t>
      </w:r>
      <w:r>
        <w:rPr>
          <w:color w:val="231F20"/>
          <w:spacing w:val="-11"/>
        </w:rPr>
        <w:t xml:space="preserve"> </w:t>
      </w:r>
      <w:r>
        <w:rPr>
          <w:color w:val="231F20"/>
        </w:rPr>
        <w:t>on</w:t>
      </w:r>
      <w:r>
        <w:rPr>
          <w:color w:val="231F20"/>
          <w:spacing w:val="-10"/>
        </w:rPr>
        <w:t xml:space="preserve"> </w:t>
      </w:r>
      <w:r>
        <w:rPr>
          <w:color w:val="231F20"/>
        </w:rPr>
        <w:t>Food</w:t>
      </w:r>
      <w:r>
        <w:rPr>
          <w:color w:val="231F20"/>
          <w:spacing w:val="-10"/>
        </w:rPr>
        <w:t xml:space="preserve"> </w:t>
      </w:r>
      <w:r>
        <w:rPr>
          <w:color w:val="231F20"/>
        </w:rPr>
        <w:t>Safety</w:t>
      </w:r>
      <w:r>
        <w:rPr>
          <w:color w:val="231F20"/>
          <w:spacing w:val="-10"/>
        </w:rPr>
        <w:t xml:space="preserve"> </w:t>
      </w:r>
      <w:r>
        <w:rPr>
          <w:color w:val="231F20"/>
        </w:rPr>
        <w:t>and</w:t>
      </w:r>
      <w:r>
        <w:rPr>
          <w:color w:val="231F20"/>
          <w:spacing w:val="-10"/>
        </w:rPr>
        <w:t xml:space="preserve"> </w:t>
      </w:r>
      <w:r>
        <w:rPr>
          <w:color w:val="231F20"/>
        </w:rPr>
        <w:t>quality;</w:t>
      </w:r>
      <w:r>
        <w:rPr>
          <w:color w:val="231F20"/>
          <w:spacing w:val="-10"/>
        </w:rPr>
        <w:t xml:space="preserve"> </w:t>
      </w:r>
      <w:r>
        <w:rPr>
          <w:color w:val="231F20"/>
        </w:rPr>
        <w:t>Review</w:t>
      </w:r>
      <w:r>
        <w:rPr>
          <w:color w:val="231F20"/>
          <w:spacing w:val="-10"/>
        </w:rPr>
        <w:t xml:space="preserve"> </w:t>
      </w:r>
      <w:r>
        <w:rPr>
          <w:color w:val="231F20"/>
        </w:rPr>
        <w:t>meetings</w:t>
      </w:r>
      <w:r>
        <w:rPr>
          <w:color w:val="231F20"/>
          <w:spacing w:val="-10"/>
        </w:rPr>
        <w:t xml:space="preserve"> </w:t>
      </w:r>
      <w:r>
        <w:rPr>
          <w:color w:val="231F20"/>
        </w:rPr>
        <w:t>for</w:t>
      </w:r>
      <w:r>
        <w:rPr>
          <w:color w:val="231F20"/>
          <w:spacing w:val="-10"/>
        </w:rPr>
        <w:t xml:space="preserve"> </w:t>
      </w:r>
      <w:r>
        <w:rPr>
          <w:color w:val="231F20"/>
        </w:rPr>
        <w:t>Food</w:t>
      </w:r>
      <w:r>
        <w:rPr>
          <w:color w:val="231F20"/>
          <w:spacing w:val="-10"/>
        </w:rPr>
        <w:t xml:space="preserve"> </w:t>
      </w:r>
      <w:r>
        <w:rPr>
          <w:color w:val="231F20"/>
        </w:rPr>
        <w:t>Inspectors</w:t>
      </w:r>
      <w:r>
        <w:rPr>
          <w:color w:val="231F20"/>
          <w:spacing w:val="-10"/>
        </w:rPr>
        <w:t xml:space="preserve"> </w:t>
      </w:r>
      <w:r>
        <w:rPr>
          <w:color w:val="231F20"/>
        </w:rPr>
        <w:t>and</w:t>
      </w:r>
      <w:r>
        <w:rPr>
          <w:color w:val="231F20"/>
          <w:spacing w:val="-10"/>
        </w:rPr>
        <w:t xml:space="preserve"> </w:t>
      </w:r>
      <w:r>
        <w:rPr>
          <w:color w:val="231F20"/>
        </w:rPr>
        <w:t>members</w:t>
      </w:r>
      <w:r>
        <w:rPr>
          <w:color w:val="231F20"/>
          <w:spacing w:val="-10"/>
        </w:rPr>
        <w:t xml:space="preserve"> </w:t>
      </w:r>
      <w:r>
        <w:rPr>
          <w:color w:val="231F20"/>
        </w:rPr>
        <w:t>of</w:t>
      </w:r>
      <w:r>
        <w:rPr>
          <w:color w:val="231F20"/>
          <w:spacing w:val="-11"/>
        </w:rPr>
        <w:t xml:space="preserve"> </w:t>
      </w:r>
      <w:r>
        <w:rPr>
          <w:color w:val="231F20"/>
        </w:rPr>
        <w:t>the Food/Nutrition</w:t>
      </w:r>
      <w:r>
        <w:rPr>
          <w:color w:val="231F20"/>
          <w:spacing w:val="-25"/>
        </w:rPr>
        <w:t xml:space="preserve"> </w:t>
      </w:r>
      <w:r>
        <w:rPr>
          <w:color w:val="231F20"/>
        </w:rPr>
        <w:t>committee.</w:t>
      </w:r>
    </w:p>
    <w:p w14:paraId="6E9CACA9" w14:textId="77777777" w:rsidR="009948F1" w:rsidRDefault="009948F1">
      <w:pPr>
        <w:pStyle w:val="BodyText"/>
        <w:spacing w:before="6"/>
        <w:rPr>
          <w:sz w:val="25"/>
        </w:rPr>
      </w:pPr>
    </w:p>
    <w:p w14:paraId="0B98B4DA" w14:textId="77777777" w:rsidR="009948F1" w:rsidRDefault="00BC0563">
      <w:pPr>
        <w:pStyle w:val="ListParagraph"/>
        <w:numPr>
          <w:ilvl w:val="3"/>
          <w:numId w:val="277"/>
        </w:numPr>
        <w:tabs>
          <w:tab w:val="left" w:pos="840"/>
        </w:tabs>
        <w:spacing w:line="278" w:lineRule="auto"/>
        <w:ind w:left="165" w:right="204" w:firstLine="0"/>
      </w:pPr>
      <w:r>
        <w:rPr>
          <w:b/>
          <w:color w:val="231F20"/>
        </w:rPr>
        <w:t>:</w:t>
      </w:r>
      <w:r>
        <w:rPr>
          <w:b/>
          <w:color w:val="231F20"/>
          <w:spacing w:val="-16"/>
        </w:rPr>
        <w:t xml:space="preserve"> </w:t>
      </w:r>
      <w:r>
        <w:rPr>
          <w:color w:val="231F20"/>
        </w:rPr>
        <w:t>Promote</w:t>
      </w:r>
      <w:r>
        <w:rPr>
          <w:color w:val="231F20"/>
          <w:spacing w:val="-16"/>
        </w:rPr>
        <w:t xml:space="preserve"> </w:t>
      </w:r>
      <w:r>
        <w:rPr>
          <w:color w:val="231F20"/>
        </w:rPr>
        <w:t>the</w:t>
      </w:r>
      <w:r>
        <w:rPr>
          <w:color w:val="231F20"/>
          <w:spacing w:val="-16"/>
        </w:rPr>
        <w:t xml:space="preserve"> </w:t>
      </w:r>
      <w:r>
        <w:rPr>
          <w:color w:val="231F20"/>
        </w:rPr>
        <w:t>practice</w:t>
      </w:r>
      <w:r>
        <w:rPr>
          <w:color w:val="231F20"/>
          <w:spacing w:val="-16"/>
        </w:rPr>
        <w:t xml:space="preserve"> </w:t>
      </w:r>
      <w:r>
        <w:rPr>
          <w:color w:val="231F20"/>
        </w:rPr>
        <w:t>of</w:t>
      </w:r>
      <w:r>
        <w:rPr>
          <w:color w:val="231F20"/>
          <w:spacing w:val="-16"/>
        </w:rPr>
        <w:t xml:space="preserve"> </w:t>
      </w:r>
      <w:r>
        <w:rPr>
          <w:color w:val="231F20"/>
        </w:rPr>
        <w:t>food</w:t>
      </w:r>
      <w:r>
        <w:rPr>
          <w:color w:val="231F20"/>
          <w:spacing w:val="-16"/>
        </w:rPr>
        <w:t xml:space="preserve"> </w:t>
      </w:r>
      <w:r>
        <w:rPr>
          <w:color w:val="231F20"/>
        </w:rPr>
        <w:t>safety</w:t>
      </w:r>
      <w:r>
        <w:rPr>
          <w:color w:val="231F20"/>
          <w:spacing w:val="-16"/>
        </w:rPr>
        <w:t xml:space="preserve"> </w:t>
      </w:r>
      <w:r>
        <w:rPr>
          <w:color w:val="231F20"/>
        </w:rPr>
        <w:t>across</w:t>
      </w:r>
      <w:r>
        <w:rPr>
          <w:color w:val="231F20"/>
          <w:spacing w:val="-16"/>
        </w:rPr>
        <w:t xml:space="preserve"> </w:t>
      </w:r>
      <w:r>
        <w:rPr>
          <w:color w:val="231F20"/>
        </w:rPr>
        <w:t>the</w:t>
      </w:r>
      <w:r>
        <w:rPr>
          <w:color w:val="231F20"/>
          <w:spacing w:val="-16"/>
        </w:rPr>
        <w:t xml:space="preserve"> </w:t>
      </w:r>
      <w:r>
        <w:rPr>
          <w:color w:val="231F20"/>
        </w:rPr>
        <w:t>food</w:t>
      </w:r>
      <w:r>
        <w:rPr>
          <w:color w:val="231F20"/>
          <w:spacing w:val="-16"/>
        </w:rPr>
        <w:t xml:space="preserve"> </w:t>
      </w:r>
      <w:r>
        <w:rPr>
          <w:color w:val="231F20"/>
        </w:rPr>
        <w:t>production</w:t>
      </w:r>
      <w:r>
        <w:rPr>
          <w:color w:val="231F20"/>
          <w:spacing w:val="-16"/>
        </w:rPr>
        <w:t xml:space="preserve"> </w:t>
      </w:r>
      <w:r>
        <w:rPr>
          <w:color w:val="231F20"/>
        </w:rPr>
        <w:t>pipe</w:t>
      </w:r>
      <w:r>
        <w:rPr>
          <w:color w:val="231F20"/>
          <w:spacing w:val="-16"/>
        </w:rPr>
        <w:t xml:space="preserve"> </w:t>
      </w:r>
      <w:r>
        <w:rPr>
          <w:color w:val="231F20"/>
        </w:rPr>
        <w:t>lines</w:t>
      </w:r>
      <w:r>
        <w:rPr>
          <w:color w:val="231F20"/>
          <w:spacing w:val="-16"/>
        </w:rPr>
        <w:t xml:space="preserve"> </w:t>
      </w:r>
      <w:r>
        <w:rPr>
          <w:color w:val="231F20"/>
        </w:rPr>
        <w:t>from</w:t>
      </w:r>
      <w:r>
        <w:rPr>
          <w:color w:val="231F20"/>
          <w:spacing w:val="-16"/>
        </w:rPr>
        <w:t xml:space="preserve"> </w:t>
      </w:r>
      <w:r>
        <w:rPr>
          <w:color w:val="231F20"/>
        </w:rPr>
        <w:t>farms</w:t>
      </w:r>
      <w:r>
        <w:rPr>
          <w:color w:val="231F20"/>
          <w:spacing w:val="-16"/>
        </w:rPr>
        <w:t xml:space="preserve"> </w:t>
      </w:r>
      <w:r>
        <w:rPr>
          <w:color w:val="231F20"/>
        </w:rPr>
        <w:t>to</w:t>
      </w:r>
      <w:r>
        <w:rPr>
          <w:color w:val="231F20"/>
          <w:spacing w:val="-16"/>
        </w:rPr>
        <w:t xml:space="preserve"> </w:t>
      </w:r>
      <w:r>
        <w:rPr>
          <w:color w:val="231F20"/>
          <w:spacing w:val="-5"/>
        </w:rPr>
        <w:t xml:space="preserve">the </w:t>
      </w:r>
      <w:r>
        <w:rPr>
          <w:color w:val="231F20"/>
        </w:rPr>
        <w:t xml:space="preserve">table. Key actions are; - Collaborate with the relevant Ministries and Parastatals in the state </w:t>
      </w:r>
      <w:r>
        <w:rPr>
          <w:color w:val="231F20"/>
          <w:spacing w:val="-8"/>
        </w:rPr>
        <w:t xml:space="preserve">to </w:t>
      </w:r>
      <w:r>
        <w:rPr>
          <w:color w:val="231F20"/>
        </w:rPr>
        <w:t xml:space="preserve">promote the practice of Food Safety and quality e.g. Ministry of Agriculture, </w:t>
      </w:r>
      <w:r>
        <w:rPr>
          <w:color w:val="231F20"/>
          <w:spacing w:val="-8"/>
        </w:rPr>
        <w:t xml:space="preserve">ADP, </w:t>
      </w:r>
      <w:r>
        <w:rPr>
          <w:color w:val="231F20"/>
        </w:rPr>
        <w:t>Ministry of Education</w:t>
      </w:r>
      <w:r>
        <w:rPr>
          <w:color w:val="231F20"/>
          <w:spacing w:val="-6"/>
        </w:rPr>
        <w:t xml:space="preserve"> </w:t>
      </w:r>
      <w:r>
        <w:rPr>
          <w:color w:val="231F20"/>
        </w:rPr>
        <w:t>etc.;</w:t>
      </w:r>
      <w:r>
        <w:rPr>
          <w:color w:val="231F20"/>
          <w:spacing w:val="-7"/>
        </w:rPr>
        <w:t xml:space="preserve"> </w:t>
      </w:r>
      <w:r>
        <w:rPr>
          <w:color w:val="231F20"/>
        </w:rPr>
        <w:t>Collaboration</w:t>
      </w:r>
      <w:r>
        <w:rPr>
          <w:color w:val="231F20"/>
          <w:spacing w:val="-6"/>
        </w:rPr>
        <w:t xml:space="preserve"> </w:t>
      </w:r>
      <w:r>
        <w:rPr>
          <w:color w:val="231F20"/>
        </w:rPr>
        <w:t>with</w:t>
      </w:r>
      <w:r>
        <w:rPr>
          <w:color w:val="231F20"/>
          <w:spacing w:val="-5"/>
        </w:rPr>
        <w:t xml:space="preserve"> </w:t>
      </w:r>
      <w:r>
        <w:rPr>
          <w:color w:val="231F20"/>
        </w:rPr>
        <w:t>Ministry</w:t>
      </w:r>
      <w:r>
        <w:rPr>
          <w:color w:val="231F20"/>
          <w:spacing w:val="-6"/>
        </w:rPr>
        <w:t xml:space="preserve"> </w:t>
      </w:r>
      <w:r>
        <w:rPr>
          <w:color w:val="231F20"/>
        </w:rPr>
        <w:t>of</w:t>
      </w:r>
      <w:r>
        <w:rPr>
          <w:color w:val="231F20"/>
          <w:spacing w:val="-19"/>
        </w:rPr>
        <w:t xml:space="preserve"> </w:t>
      </w:r>
      <w:r>
        <w:rPr>
          <w:color w:val="231F20"/>
        </w:rPr>
        <w:t>Agriculture</w:t>
      </w:r>
      <w:r>
        <w:rPr>
          <w:color w:val="231F20"/>
          <w:spacing w:val="-5"/>
        </w:rPr>
        <w:t xml:space="preserve"> </w:t>
      </w:r>
      <w:r>
        <w:rPr>
          <w:color w:val="231F20"/>
        </w:rPr>
        <w:t>and</w:t>
      </w:r>
      <w:r>
        <w:rPr>
          <w:color w:val="231F20"/>
          <w:spacing w:val="-19"/>
        </w:rPr>
        <w:t xml:space="preserve"> </w:t>
      </w:r>
      <w:r>
        <w:rPr>
          <w:color w:val="231F20"/>
        </w:rPr>
        <w:t>ADP</w:t>
      </w:r>
      <w:r>
        <w:rPr>
          <w:color w:val="231F20"/>
          <w:spacing w:val="-10"/>
        </w:rPr>
        <w:t xml:space="preserve"> </w:t>
      </w:r>
      <w:r>
        <w:rPr>
          <w:color w:val="231F20"/>
        </w:rPr>
        <w:t>on</w:t>
      </w:r>
      <w:r>
        <w:rPr>
          <w:color w:val="231F20"/>
          <w:spacing w:val="-5"/>
        </w:rPr>
        <w:t xml:space="preserve"> </w:t>
      </w:r>
      <w:r>
        <w:rPr>
          <w:color w:val="231F20"/>
        </w:rPr>
        <w:t>food</w:t>
      </w:r>
      <w:r>
        <w:rPr>
          <w:color w:val="231F20"/>
          <w:spacing w:val="-6"/>
        </w:rPr>
        <w:t xml:space="preserve"> </w:t>
      </w:r>
      <w:r>
        <w:rPr>
          <w:color w:val="231F20"/>
        </w:rPr>
        <w:t>safety</w:t>
      </w:r>
      <w:r>
        <w:rPr>
          <w:color w:val="231F20"/>
          <w:spacing w:val="-7"/>
        </w:rPr>
        <w:t xml:space="preserve"> </w:t>
      </w:r>
      <w:r>
        <w:rPr>
          <w:color w:val="231F20"/>
        </w:rPr>
        <w:t>practices</w:t>
      </w:r>
      <w:r>
        <w:rPr>
          <w:color w:val="231F20"/>
          <w:spacing w:val="-5"/>
        </w:rPr>
        <w:t xml:space="preserve"> </w:t>
      </w:r>
      <w:r>
        <w:rPr>
          <w:color w:val="231F20"/>
          <w:spacing w:val="-3"/>
        </w:rPr>
        <w:t xml:space="preserve">during </w:t>
      </w:r>
      <w:r>
        <w:rPr>
          <w:color w:val="231F20"/>
        </w:rPr>
        <w:t>production and processing of foods from farms to the table; Training for farmers on food safety practices</w:t>
      </w:r>
      <w:r>
        <w:rPr>
          <w:color w:val="231F20"/>
          <w:spacing w:val="-26"/>
        </w:rPr>
        <w:t xml:space="preserve"> </w:t>
      </w:r>
      <w:r>
        <w:rPr>
          <w:color w:val="231F20"/>
        </w:rPr>
        <w:t>during</w:t>
      </w:r>
      <w:r>
        <w:rPr>
          <w:color w:val="231F20"/>
          <w:spacing w:val="-25"/>
        </w:rPr>
        <w:t xml:space="preserve"> </w:t>
      </w:r>
      <w:r>
        <w:rPr>
          <w:color w:val="231F20"/>
        </w:rPr>
        <w:t>production</w:t>
      </w:r>
      <w:r>
        <w:rPr>
          <w:color w:val="231F20"/>
          <w:spacing w:val="-25"/>
        </w:rPr>
        <w:t xml:space="preserve"> </w:t>
      </w:r>
      <w:r>
        <w:rPr>
          <w:color w:val="231F20"/>
        </w:rPr>
        <w:t>and</w:t>
      </w:r>
      <w:r>
        <w:rPr>
          <w:color w:val="231F20"/>
          <w:spacing w:val="-25"/>
        </w:rPr>
        <w:t xml:space="preserve"> </w:t>
      </w:r>
      <w:r>
        <w:rPr>
          <w:color w:val="231F20"/>
        </w:rPr>
        <w:t>processing</w:t>
      </w:r>
      <w:r>
        <w:rPr>
          <w:color w:val="231F20"/>
          <w:spacing w:val="-25"/>
        </w:rPr>
        <w:t xml:space="preserve"> </w:t>
      </w:r>
      <w:r>
        <w:rPr>
          <w:color w:val="231F20"/>
        </w:rPr>
        <w:t>of</w:t>
      </w:r>
      <w:r>
        <w:rPr>
          <w:color w:val="231F20"/>
          <w:spacing w:val="-25"/>
        </w:rPr>
        <w:t xml:space="preserve"> </w:t>
      </w:r>
      <w:r>
        <w:rPr>
          <w:color w:val="231F20"/>
        </w:rPr>
        <w:t>foods</w:t>
      </w:r>
      <w:r>
        <w:rPr>
          <w:color w:val="231F20"/>
          <w:spacing w:val="-25"/>
        </w:rPr>
        <w:t xml:space="preserve"> </w:t>
      </w:r>
      <w:r>
        <w:rPr>
          <w:color w:val="231F20"/>
        </w:rPr>
        <w:t>from</w:t>
      </w:r>
      <w:r>
        <w:rPr>
          <w:color w:val="231F20"/>
          <w:spacing w:val="-25"/>
        </w:rPr>
        <w:t xml:space="preserve"> </w:t>
      </w:r>
      <w:r>
        <w:rPr>
          <w:color w:val="231F20"/>
        </w:rPr>
        <w:t>farms</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table.</w:t>
      </w:r>
    </w:p>
    <w:p w14:paraId="7C5EC092" w14:textId="77777777" w:rsidR="009948F1" w:rsidRDefault="009948F1">
      <w:pPr>
        <w:pStyle w:val="BodyText"/>
      </w:pPr>
    </w:p>
    <w:p w14:paraId="5A0E95C7" w14:textId="77777777" w:rsidR="009948F1" w:rsidRDefault="009948F1">
      <w:pPr>
        <w:pStyle w:val="BodyText"/>
        <w:spacing w:before="11"/>
        <w:rPr>
          <w:sz w:val="21"/>
        </w:rPr>
      </w:pPr>
    </w:p>
    <w:p w14:paraId="7C94CD21" w14:textId="77777777" w:rsidR="009948F1" w:rsidRDefault="00BC0563">
      <w:pPr>
        <w:pStyle w:val="Heading7"/>
        <w:numPr>
          <w:ilvl w:val="2"/>
          <w:numId w:val="277"/>
        </w:numPr>
        <w:tabs>
          <w:tab w:val="left" w:pos="842"/>
        </w:tabs>
        <w:ind w:left="841" w:hanging="562"/>
        <w:jc w:val="left"/>
        <w:rPr>
          <w:color w:val="231F20"/>
        </w:rPr>
      </w:pPr>
      <w:r>
        <w:rPr>
          <w:color w:val="231F20"/>
        </w:rPr>
        <w:t>Promote universal access to safe drinking water and acceptable</w:t>
      </w:r>
      <w:r>
        <w:rPr>
          <w:color w:val="231F20"/>
          <w:spacing w:val="51"/>
        </w:rPr>
        <w:t xml:space="preserve"> </w:t>
      </w:r>
      <w:r>
        <w:rPr>
          <w:color w:val="231F20"/>
        </w:rPr>
        <w:t>sanitation</w:t>
      </w:r>
    </w:p>
    <w:p w14:paraId="738E6305" w14:textId="77777777" w:rsidR="009948F1" w:rsidRDefault="009948F1">
      <w:pPr>
        <w:pStyle w:val="BodyText"/>
        <w:spacing w:before="2"/>
        <w:rPr>
          <w:b/>
          <w:sz w:val="28"/>
        </w:rPr>
      </w:pPr>
    </w:p>
    <w:p w14:paraId="3879B6B8" w14:textId="77777777" w:rsidR="009948F1" w:rsidRDefault="00BC0563">
      <w:pPr>
        <w:spacing w:after="45"/>
        <w:ind w:left="280"/>
        <w:rPr>
          <w:b/>
        </w:rPr>
      </w:pPr>
      <w:r>
        <w:rPr>
          <w:b/>
          <w:color w:val="231F20"/>
        </w:rPr>
        <w:t>Targets:</w:t>
      </w:r>
    </w:p>
    <w:tbl>
      <w:tblPr>
        <w:tblW w:w="0" w:type="auto"/>
        <w:tblInd w:w="1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8"/>
        <w:gridCol w:w="1008"/>
        <w:gridCol w:w="721"/>
        <w:gridCol w:w="719"/>
        <w:gridCol w:w="721"/>
        <w:gridCol w:w="719"/>
        <w:gridCol w:w="1296"/>
        <w:gridCol w:w="1004"/>
      </w:tblGrid>
      <w:tr w:rsidR="009948F1" w14:paraId="1F6FC87E" w14:textId="77777777">
        <w:trPr>
          <w:trHeight w:val="210"/>
        </w:trPr>
        <w:tc>
          <w:tcPr>
            <w:tcW w:w="3128" w:type="dxa"/>
            <w:shd w:val="clear" w:color="auto" w:fill="F4CEB2"/>
          </w:tcPr>
          <w:p w14:paraId="30638D15" w14:textId="77777777" w:rsidR="009948F1" w:rsidRDefault="00BC0563">
            <w:pPr>
              <w:pStyle w:val="TableParagraph"/>
              <w:spacing w:before="2" w:line="188" w:lineRule="exact"/>
              <w:ind w:left="109"/>
              <w:rPr>
                <w:sz w:val="18"/>
              </w:rPr>
            </w:pPr>
            <w:r>
              <w:rPr>
                <w:color w:val="231F20"/>
                <w:sz w:val="18"/>
              </w:rPr>
              <w:t>Targets</w:t>
            </w:r>
          </w:p>
        </w:tc>
        <w:tc>
          <w:tcPr>
            <w:tcW w:w="1008" w:type="dxa"/>
            <w:shd w:val="clear" w:color="auto" w:fill="F4CEB2"/>
          </w:tcPr>
          <w:p w14:paraId="7628291B" w14:textId="77777777" w:rsidR="009948F1" w:rsidRDefault="00BC0563">
            <w:pPr>
              <w:pStyle w:val="TableParagraph"/>
              <w:spacing w:before="2" w:line="188" w:lineRule="exact"/>
              <w:ind w:left="109"/>
              <w:rPr>
                <w:sz w:val="18"/>
              </w:rPr>
            </w:pPr>
            <w:r>
              <w:rPr>
                <w:color w:val="231F20"/>
                <w:sz w:val="18"/>
              </w:rPr>
              <w:t>Baseline</w:t>
            </w:r>
          </w:p>
        </w:tc>
        <w:tc>
          <w:tcPr>
            <w:tcW w:w="721" w:type="dxa"/>
            <w:shd w:val="clear" w:color="auto" w:fill="F4CEB2"/>
          </w:tcPr>
          <w:p w14:paraId="7DBDDFC6" w14:textId="77777777" w:rsidR="009948F1" w:rsidRDefault="00BC0563">
            <w:pPr>
              <w:pStyle w:val="TableParagraph"/>
              <w:spacing w:line="190" w:lineRule="exact"/>
              <w:ind w:left="109"/>
              <w:rPr>
                <w:b/>
                <w:sz w:val="18"/>
              </w:rPr>
            </w:pPr>
            <w:r>
              <w:rPr>
                <w:b/>
                <w:color w:val="231F20"/>
                <w:sz w:val="18"/>
              </w:rPr>
              <w:t>2018</w:t>
            </w:r>
          </w:p>
        </w:tc>
        <w:tc>
          <w:tcPr>
            <w:tcW w:w="719" w:type="dxa"/>
            <w:shd w:val="clear" w:color="auto" w:fill="F4CEB2"/>
          </w:tcPr>
          <w:p w14:paraId="783EAF94" w14:textId="77777777" w:rsidR="009948F1" w:rsidRDefault="00BC0563">
            <w:pPr>
              <w:pStyle w:val="TableParagraph"/>
              <w:spacing w:line="190" w:lineRule="exact"/>
              <w:ind w:left="108"/>
              <w:rPr>
                <w:b/>
                <w:sz w:val="18"/>
              </w:rPr>
            </w:pPr>
            <w:r>
              <w:rPr>
                <w:b/>
                <w:color w:val="231F20"/>
                <w:sz w:val="18"/>
              </w:rPr>
              <w:t>2019</w:t>
            </w:r>
          </w:p>
        </w:tc>
        <w:tc>
          <w:tcPr>
            <w:tcW w:w="721" w:type="dxa"/>
            <w:shd w:val="clear" w:color="auto" w:fill="F4CEB2"/>
          </w:tcPr>
          <w:p w14:paraId="17E2BC53" w14:textId="77777777" w:rsidR="009948F1" w:rsidRDefault="00BC0563">
            <w:pPr>
              <w:pStyle w:val="TableParagraph"/>
              <w:spacing w:line="190" w:lineRule="exact"/>
              <w:ind w:left="107"/>
              <w:rPr>
                <w:b/>
                <w:sz w:val="18"/>
              </w:rPr>
            </w:pPr>
            <w:r>
              <w:rPr>
                <w:b/>
                <w:color w:val="231F20"/>
                <w:sz w:val="18"/>
              </w:rPr>
              <w:t>2020</w:t>
            </w:r>
          </w:p>
        </w:tc>
        <w:tc>
          <w:tcPr>
            <w:tcW w:w="719" w:type="dxa"/>
            <w:shd w:val="clear" w:color="auto" w:fill="F4CEB2"/>
          </w:tcPr>
          <w:p w14:paraId="705F83DB" w14:textId="77777777" w:rsidR="009948F1" w:rsidRDefault="00BC0563">
            <w:pPr>
              <w:pStyle w:val="TableParagraph"/>
              <w:spacing w:line="190" w:lineRule="exact"/>
              <w:ind w:left="107"/>
              <w:rPr>
                <w:b/>
                <w:sz w:val="18"/>
              </w:rPr>
            </w:pPr>
            <w:r>
              <w:rPr>
                <w:b/>
                <w:color w:val="231F20"/>
                <w:sz w:val="18"/>
              </w:rPr>
              <w:t>2021</w:t>
            </w:r>
          </w:p>
        </w:tc>
        <w:tc>
          <w:tcPr>
            <w:tcW w:w="1296" w:type="dxa"/>
            <w:shd w:val="clear" w:color="auto" w:fill="F4CEB2"/>
          </w:tcPr>
          <w:p w14:paraId="1B52623F" w14:textId="77777777" w:rsidR="009948F1" w:rsidRDefault="00BC0563">
            <w:pPr>
              <w:pStyle w:val="TableParagraph"/>
              <w:spacing w:line="190" w:lineRule="exact"/>
              <w:ind w:left="106"/>
              <w:rPr>
                <w:b/>
                <w:sz w:val="18"/>
              </w:rPr>
            </w:pPr>
            <w:r>
              <w:rPr>
                <w:b/>
                <w:color w:val="231F20"/>
                <w:sz w:val="18"/>
              </w:rPr>
              <w:t>2022</w:t>
            </w:r>
          </w:p>
        </w:tc>
        <w:tc>
          <w:tcPr>
            <w:tcW w:w="1004" w:type="dxa"/>
            <w:shd w:val="clear" w:color="auto" w:fill="F4CEB2"/>
          </w:tcPr>
          <w:p w14:paraId="428FBDC3" w14:textId="77777777" w:rsidR="009948F1" w:rsidRDefault="00BC0563">
            <w:pPr>
              <w:pStyle w:val="TableParagraph"/>
              <w:spacing w:line="190" w:lineRule="exact"/>
              <w:ind w:left="105"/>
              <w:rPr>
                <w:b/>
                <w:sz w:val="18"/>
              </w:rPr>
            </w:pPr>
            <w:r>
              <w:rPr>
                <w:b/>
                <w:color w:val="231F20"/>
                <w:sz w:val="18"/>
              </w:rPr>
              <w:t>National</w:t>
            </w:r>
          </w:p>
        </w:tc>
      </w:tr>
      <w:tr w:rsidR="009948F1" w14:paraId="63E7DDEE" w14:textId="77777777">
        <w:trPr>
          <w:trHeight w:val="847"/>
        </w:trPr>
        <w:tc>
          <w:tcPr>
            <w:tcW w:w="3128" w:type="dxa"/>
          </w:tcPr>
          <w:p w14:paraId="1E6B5DC5" w14:textId="77777777" w:rsidR="009948F1" w:rsidRDefault="00BC0563">
            <w:pPr>
              <w:pStyle w:val="TableParagraph"/>
              <w:spacing w:before="5" w:line="244" w:lineRule="auto"/>
              <w:ind w:left="109"/>
              <w:rPr>
                <w:sz w:val="18"/>
              </w:rPr>
            </w:pPr>
            <w:r>
              <w:rPr>
                <w:color w:val="231F20"/>
                <w:sz w:val="18"/>
              </w:rPr>
              <w:t>% of mortality rate attributable to unsafe water, unsafe sanitation and lack of hygiene (WASH)</w:t>
            </w:r>
          </w:p>
        </w:tc>
        <w:tc>
          <w:tcPr>
            <w:tcW w:w="1008" w:type="dxa"/>
          </w:tcPr>
          <w:p w14:paraId="17F919CC" w14:textId="77777777" w:rsidR="009948F1" w:rsidRDefault="00BC0563">
            <w:pPr>
              <w:pStyle w:val="TableParagraph"/>
              <w:spacing w:before="5"/>
              <w:ind w:left="109"/>
              <w:rPr>
                <w:sz w:val="18"/>
              </w:rPr>
            </w:pPr>
            <w:r>
              <w:rPr>
                <w:color w:val="231F20"/>
                <w:sz w:val="18"/>
              </w:rPr>
              <w:t>TBD</w:t>
            </w:r>
          </w:p>
        </w:tc>
        <w:tc>
          <w:tcPr>
            <w:tcW w:w="721" w:type="dxa"/>
          </w:tcPr>
          <w:p w14:paraId="4A5F68AC" w14:textId="77777777" w:rsidR="009948F1" w:rsidRDefault="00BC0563">
            <w:pPr>
              <w:pStyle w:val="TableParagraph"/>
              <w:spacing w:before="5"/>
              <w:ind w:left="109"/>
              <w:rPr>
                <w:sz w:val="18"/>
              </w:rPr>
            </w:pPr>
            <w:r>
              <w:rPr>
                <w:color w:val="231F20"/>
                <w:sz w:val="18"/>
              </w:rPr>
              <w:t>75</w:t>
            </w:r>
          </w:p>
        </w:tc>
        <w:tc>
          <w:tcPr>
            <w:tcW w:w="719" w:type="dxa"/>
          </w:tcPr>
          <w:p w14:paraId="493F65DA" w14:textId="77777777" w:rsidR="009948F1" w:rsidRDefault="00BC0563">
            <w:pPr>
              <w:pStyle w:val="TableParagraph"/>
              <w:spacing w:before="5"/>
              <w:ind w:left="108"/>
              <w:rPr>
                <w:sz w:val="18"/>
              </w:rPr>
            </w:pPr>
            <w:r>
              <w:rPr>
                <w:color w:val="231F20"/>
                <w:sz w:val="18"/>
              </w:rPr>
              <w:t>70</w:t>
            </w:r>
          </w:p>
        </w:tc>
        <w:tc>
          <w:tcPr>
            <w:tcW w:w="721" w:type="dxa"/>
          </w:tcPr>
          <w:p w14:paraId="20332E18" w14:textId="77777777" w:rsidR="009948F1" w:rsidRDefault="00BC0563">
            <w:pPr>
              <w:pStyle w:val="TableParagraph"/>
              <w:spacing w:before="5"/>
              <w:ind w:left="107"/>
              <w:rPr>
                <w:sz w:val="18"/>
              </w:rPr>
            </w:pPr>
            <w:r>
              <w:rPr>
                <w:color w:val="231F20"/>
                <w:sz w:val="18"/>
              </w:rPr>
              <w:t>65</w:t>
            </w:r>
          </w:p>
        </w:tc>
        <w:tc>
          <w:tcPr>
            <w:tcW w:w="719" w:type="dxa"/>
          </w:tcPr>
          <w:p w14:paraId="667C16A6" w14:textId="77777777" w:rsidR="009948F1" w:rsidRDefault="00BC0563">
            <w:pPr>
              <w:pStyle w:val="TableParagraph"/>
              <w:spacing w:before="5"/>
              <w:ind w:left="107"/>
              <w:rPr>
                <w:sz w:val="18"/>
              </w:rPr>
            </w:pPr>
            <w:r>
              <w:rPr>
                <w:color w:val="231F20"/>
                <w:sz w:val="18"/>
              </w:rPr>
              <w:t>60</w:t>
            </w:r>
          </w:p>
        </w:tc>
        <w:tc>
          <w:tcPr>
            <w:tcW w:w="1296" w:type="dxa"/>
          </w:tcPr>
          <w:p w14:paraId="417DC688" w14:textId="77777777" w:rsidR="009948F1" w:rsidRDefault="00BC0563">
            <w:pPr>
              <w:pStyle w:val="TableParagraph"/>
              <w:spacing w:before="5"/>
              <w:ind w:left="106"/>
              <w:rPr>
                <w:sz w:val="18"/>
              </w:rPr>
            </w:pPr>
            <w:r>
              <w:rPr>
                <w:color w:val="231F20"/>
                <w:sz w:val="18"/>
              </w:rPr>
              <w:t>55</w:t>
            </w:r>
          </w:p>
        </w:tc>
        <w:tc>
          <w:tcPr>
            <w:tcW w:w="1004" w:type="dxa"/>
          </w:tcPr>
          <w:p w14:paraId="11361C49" w14:textId="77777777" w:rsidR="009948F1" w:rsidRDefault="00BC0563">
            <w:pPr>
              <w:pStyle w:val="TableParagraph"/>
              <w:spacing w:before="2" w:line="210" w:lineRule="atLeast"/>
              <w:ind w:left="105" w:right="148"/>
              <w:rPr>
                <w:sz w:val="18"/>
              </w:rPr>
            </w:pPr>
            <w:r>
              <w:rPr>
                <w:color w:val="231F20"/>
                <w:sz w:val="18"/>
              </w:rPr>
              <w:t>Reduced by 50% from baseline</w:t>
            </w:r>
          </w:p>
        </w:tc>
      </w:tr>
    </w:tbl>
    <w:p w14:paraId="5139E341" w14:textId="77777777" w:rsidR="009948F1" w:rsidRDefault="009948F1">
      <w:pPr>
        <w:spacing w:line="210" w:lineRule="atLeast"/>
        <w:rPr>
          <w:sz w:val="18"/>
        </w:rPr>
        <w:sectPr w:rsidR="009948F1">
          <w:pgSz w:w="11910" w:h="16840"/>
          <w:pgMar w:top="1380" w:right="1080" w:bottom="1420" w:left="1120" w:header="0" w:footer="1235" w:gutter="0"/>
          <w:cols w:space="720"/>
        </w:sectPr>
      </w:pPr>
    </w:p>
    <w:p w14:paraId="34D00EC1" w14:textId="77777777" w:rsidR="009948F1" w:rsidRDefault="00BC0563">
      <w:pPr>
        <w:spacing w:before="53"/>
        <w:ind w:left="176"/>
        <w:rPr>
          <w:b/>
        </w:rPr>
      </w:pPr>
      <w:bookmarkStart w:id="87" w:name="Page_73"/>
      <w:bookmarkEnd w:id="87"/>
      <w:r>
        <w:rPr>
          <w:b/>
          <w:color w:val="231F20"/>
        </w:rPr>
        <w:lastRenderedPageBreak/>
        <w:t>Interventions:</w:t>
      </w:r>
    </w:p>
    <w:p w14:paraId="2CD2C94C" w14:textId="77777777" w:rsidR="009948F1" w:rsidRDefault="00BC0563">
      <w:pPr>
        <w:pStyle w:val="ListParagraph"/>
        <w:numPr>
          <w:ilvl w:val="3"/>
          <w:numId w:val="275"/>
        </w:numPr>
        <w:tabs>
          <w:tab w:val="left" w:pos="926"/>
        </w:tabs>
        <w:spacing w:before="43" w:line="280" w:lineRule="auto"/>
        <w:ind w:right="159" w:firstLine="0"/>
      </w:pPr>
      <w:r>
        <w:rPr>
          <w:color w:val="231F20"/>
        </w:rPr>
        <w:t xml:space="preserve">Promote the development and the implementation of policies, plans and legislation </w:t>
      </w:r>
      <w:r>
        <w:rPr>
          <w:color w:val="231F20"/>
          <w:spacing w:val="-4"/>
        </w:rPr>
        <w:t>and</w:t>
      </w:r>
      <w:r>
        <w:rPr>
          <w:color w:val="231F20"/>
          <w:spacing w:val="53"/>
        </w:rPr>
        <w:t xml:space="preserve"> </w:t>
      </w:r>
      <w:r>
        <w:rPr>
          <w:color w:val="231F20"/>
        </w:rPr>
        <w:t>regulation</w:t>
      </w:r>
      <w:r>
        <w:rPr>
          <w:color w:val="231F20"/>
          <w:spacing w:val="-24"/>
        </w:rPr>
        <w:t xml:space="preserve"> </w:t>
      </w:r>
      <w:r>
        <w:rPr>
          <w:color w:val="231F20"/>
        </w:rPr>
        <w:t>for</w:t>
      </w:r>
      <w:r>
        <w:rPr>
          <w:color w:val="231F20"/>
          <w:spacing w:val="-24"/>
        </w:rPr>
        <w:t xml:space="preserve"> </w:t>
      </w:r>
      <w:r>
        <w:rPr>
          <w:color w:val="231F20"/>
        </w:rPr>
        <w:t>the</w:t>
      </w:r>
      <w:r>
        <w:rPr>
          <w:color w:val="231F20"/>
          <w:spacing w:val="-24"/>
        </w:rPr>
        <w:t xml:space="preserve"> </w:t>
      </w:r>
      <w:r>
        <w:rPr>
          <w:color w:val="231F20"/>
        </w:rPr>
        <w:t>provision</w:t>
      </w:r>
      <w:r>
        <w:rPr>
          <w:color w:val="231F20"/>
          <w:spacing w:val="-24"/>
        </w:rPr>
        <w:t xml:space="preserve"> </w:t>
      </w:r>
      <w:r>
        <w:rPr>
          <w:color w:val="231F20"/>
        </w:rPr>
        <w:t>of</w:t>
      </w:r>
      <w:r>
        <w:rPr>
          <w:color w:val="231F20"/>
          <w:spacing w:val="-24"/>
        </w:rPr>
        <w:t xml:space="preserve"> </w:t>
      </w:r>
      <w:r>
        <w:rPr>
          <w:color w:val="231F20"/>
        </w:rPr>
        <w:t>safe</w:t>
      </w:r>
      <w:r>
        <w:rPr>
          <w:color w:val="231F20"/>
          <w:spacing w:val="-23"/>
        </w:rPr>
        <w:t xml:space="preserve"> </w:t>
      </w:r>
      <w:r>
        <w:rPr>
          <w:color w:val="231F20"/>
        </w:rPr>
        <w:t>water</w:t>
      </w:r>
      <w:r>
        <w:rPr>
          <w:color w:val="231F20"/>
          <w:spacing w:val="-24"/>
        </w:rPr>
        <w:t xml:space="preserve"> </w:t>
      </w:r>
      <w:r>
        <w:rPr>
          <w:color w:val="231F20"/>
        </w:rPr>
        <w:t>supply</w:t>
      </w:r>
      <w:r>
        <w:rPr>
          <w:color w:val="231F20"/>
          <w:spacing w:val="-24"/>
        </w:rPr>
        <w:t xml:space="preserve"> </w:t>
      </w:r>
      <w:r>
        <w:rPr>
          <w:color w:val="231F20"/>
        </w:rPr>
        <w:t>and</w:t>
      </w:r>
      <w:r>
        <w:rPr>
          <w:color w:val="231F20"/>
          <w:spacing w:val="-24"/>
        </w:rPr>
        <w:t xml:space="preserve"> </w:t>
      </w:r>
      <w:r>
        <w:rPr>
          <w:color w:val="231F20"/>
        </w:rPr>
        <w:t>promotion</w:t>
      </w:r>
      <w:r>
        <w:rPr>
          <w:color w:val="231F20"/>
          <w:spacing w:val="-24"/>
        </w:rPr>
        <w:t xml:space="preserve"> </w:t>
      </w:r>
      <w:r>
        <w:rPr>
          <w:color w:val="231F20"/>
        </w:rPr>
        <w:t>of</w:t>
      </w:r>
      <w:r>
        <w:rPr>
          <w:color w:val="231F20"/>
          <w:spacing w:val="-24"/>
        </w:rPr>
        <w:t xml:space="preserve"> </w:t>
      </w:r>
      <w:r>
        <w:rPr>
          <w:color w:val="231F20"/>
        </w:rPr>
        <w:t>environmental</w:t>
      </w:r>
      <w:r>
        <w:rPr>
          <w:color w:val="231F20"/>
          <w:spacing w:val="-23"/>
        </w:rPr>
        <w:t xml:space="preserve"> </w:t>
      </w:r>
      <w:r>
        <w:rPr>
          <w:color w:val="231F20"/>
        </w:rPr>
        <w:t>health.</w:t>
      </w:r>
      <w:r>
        <w:rPr>
          <w:color w:val="231F20"/>
          <w:spacing w:val="-24"/>
        </w:rPr>
        <w:t xml:space="preserve"> </w:t>
      </w:r>
      <w:r>
        <w:rPr>
          <w:color w:val="231F20"/>
        </w:rPr>
        <w:t>Key</w:t>
      </w:r>
      <w:r>
        <w:rPr>
          <w:color w:val="231F20"/>
          <w:spacing w:val="-24"/>
        </w:rPr>
        <w:t xml:space="preserve"> </w:t>
      </w:r>
      <w:r>
        <w:rPr>
          <w:color w:val="231F20"/>
        </w:rPr>
        <w:t>actions are</w:t>
      </w:r>
      <w:r>
        <w:rPr>
          <w:color w:val="231F20"/>
          <w:spacing w:val="-17"/>
        </w:rPr>
        <w:t xml:space="preserve"> </w:t>
      </w:r>
      <w:r>
        <w:rPr>
          <w:color w:val="231F20"/>
        </w:rPr>
        <w:t>-</w:t>
      </w:r>
      <w:r>
        <w:rPr>
          <w:color w:val="231F20"/>
          <w:spacing w:val="-17"/>
        </w:rPr>
        <w:t xml:space="preserve"> </w:t>
      </w:r>
      <w:r>
        <w:rPr>
          <w:color w:val="231F20"/>
        </w:rPr>
        <w:t>Establish</w:t>
      </w:r>
      <w:r>
        <w:rPr>
          <w:color w:val="231F20"/>
          <w:spacing w:val="-16"/>
        </w:rPr>
        <w:t xml:space="preserve"> </w:t>
      </w:r>
      <w:r>
        <w:rPr>
          <w:color w:val="231F20"/>
          <w:spacing w:val="-3"/>
        </w:rPr>
        <w:t>WASH</w:t>
      </w:r>
      <w:r>
        <w:rPr>
          <w:color w:val="231F20"/>
          <w:spacing w:val="-17"/>
        </w:rPr>
        <w:t xml:space="preserve"> </w:t>
      </w:r>
      <w:r>
        <w:rPr>
          <w:color w:val="231F20"/>
        </w:rPr>
        <w:t>committees</w:t>
      </w:r>
      <w:r>
        <w:rPr>
          <w:color w:val="231F20"/>
          <w:spacing w:val="-17"/>
        </w:rPr>
        <w:t xml:space="preserve"> </w:t>
      </w:r>
      <w:r>
        <w:rPr>
          <w:color w:val="231F20"/>
        </w:rPr>
        <w:t>at</w:t>
      </w:r>
      <w:r>
        <w:rPr>
          <w:color w:val="231F20"/>
          <w:spacing w:val="-16"/>
        </w:rPr>
        <w:t xml:space="preserve"> </w:t>
      </w:r>
      <w:r>
        <w:rPr>
          <w:color w:val="231F20"/>
        </w:rPr>
        <w:t>all</w:t>
      </w:r>
      <w:r>
        <w:rPr>
          <w:color w:val="231F20"/>
          <w:spacing w:val="-17"/>
        </w:rPr>
        <w:t xml:space="preserve"> </w:t>
      </w:r>
      <w:r>
        <w:rPr>
          <w:color w:val="231F20"/>
        </w:rPr>
        <w:t>levels</w:t>
      </w:r>
      <w:r>
        <w:rPr>
          <w:color w:val="231F20"/>
          <w:spacing w:val="-17"/>
        </w:rPr>
        <w:t xml:space="preserve"> </w:t>
      </w:r>
      <w:r>
        <w:rPr>
          <w:color w:val="231F20"/>
        </w:rPr>
        <w:t>to</w:t>
      </w:r>
      <w:r>
        <w:rPr>
          <w:color w:val="231F20"/>
          <w:spacing w:val="-16"/>
        </w:rPr>
        <w:t xml:space="preserve"> </w:t>
      </w:r>
      <w:r>
        <w:rPr>
          <w:color w:val="231F20"/>
        </w:rPr>
        <w:t>ensure</w:t>
      </w:r>
      <w:r>
        <w:rPr>
          <w:color w:val="231F20"/>
          <w:spacing w:val="-17"/>
        </w:rPr>
        <w:t xml:space="preserve"> </w:t>
      </w:r>
      <w:r>
        <w:rPr>
          <w:color w:val="231F20"/>
        </w:rPr>
        <w:t>implementation</w:t>
      </w:r>
      <w:r>
        <w:rPr>
          <w:color w:val="231F20"/>
          <w:spacing w:val="-17"/>
        </w:rPr>
        <w:t xml:space="preserve"> </w:t>
      </w:r>
      <w:r>
        <w:rPr>
          <w:color w:val="231F20"/>
        </w:rPr>
        <w:t>of</w:t>
      </w:r>
      <w:r>
        <w:rPr>
          <w:color w:val="231F20"/>
          <w:spacing w:val="-16"/>
        </w:rPr>
        <w:t xml:space="preserve"> </w:t>
      </w:r>
      <w:r>
        <w:rPr>
          <w:color w:val="231F20"/>
          <w:spacing w:val="-3"/>
        </w:rPr>
        <w:t>policy,</w:t>
      </w:r>
      <w:r>
        <w:rPr>
          <w:color w:val="231F20"/>
          <w:spacing w:val="-17"/>
        </w:rPr>
        <w:t xml:space="preserve"> </w:t>
      </w:r>
      <w:r>
        <w:rPr>
          <w:color w:val="231F20"/>
        </w:rPr>
        <w:t>plan</w:t>
      </w:r>
      <w:r>
        <w:rPr>
          <w:color w:val="231F20"/>
          <w:spacing w:val="-17"/>
        </w:rPr>
        <w:t xml:space="preserve"> </w:t>
      </w:r>
      <w:proofErr w:type="spellStart"/>
      <w:r>
        <w:rPr>
          <w:color w:val="231F20"/>
        </w:rPr>
        <w:t>etc</w:t>
      </w:r>
      <w:proofErr w:type="spellEnd"/>
      <w:r>
        <w:rPr>
          <w:color w:val="231F20"/>
          <w:spacing w:val="-16"/>
        </w:rPr>
        <w:t xml:space="preserve"> </w:t>
      </w:r>
      <w:r>
        <w:rPr>
          <w:color w:val="231F20"/>
        </w:rPr>
        <w:t>and</w:t>
      </w:r>
      <w:r>
        <w:rPr>
          <w:color w:val="231F20"/>
          <w:spacing w:val="-17"/>
        </w:rPr>
        <w:t xml:space="preserve"> </w:t>
      </w:r>
      <w:r>
        <w:rPr>
          <w:color w:val="231F20"/>
        </w:rPr>
        <w:t>hold quarterly</w:t>
      </w:r>
      <w:r>
        <w:rPr>
          <w:color w:val="231F20"/>
          <w:spacing w:val="-12"/>
        </w:rPr>
        <w:t xml:space="preserve"> </w:t>
      </w:r>
      <w:r>
        <w:rPr>
          <w:color w:val="231F20"/>
        </w:rPr>
        <w:t>meeting;</w:t>
      </w:r>
      <w:r>
        <w:rPr>
          <w:color w:val="231F20"/>
          <w:spacing w:val="-11"/>
        </w:rPr>
        <w:t xml:space="preserve"> </w:t>
      </w:r>
      <w:r>
        <w:rPr>
          <w:color w:val="231F20"/>
        </w:rPr>
        <w:t>Review</w:t>
      </w:r>
      <w:r>
        <w:rPr>
          <w:color w:val="231F20"/>
          <w:spacing w:val="-11"/>
        </w:rPr>
        <w:t xml:space="preserve"> </w:t>
      </w:r>
      <w:r>
        <w:rPr>
          <w:color w:val="231F20"/>
        </w:rPr>
        <w:t>of</w:t>
      </w:r>
      <w:r>
        <w:rPr>
          <w:color w:val="231F20"/>
          <w:spacing w:val="-11"/>
        </w:rPr>
        <w:t xml:space="preserve"> </w:t>
      </w:r>
      <w:r>
        <w:rPr>
          <w:color w:val="231F20"/>
        </w:rPr>
        <w:t>existing</w:t>
      </w:r>
      <w:r>
        <w:rPr>
          <w:color w:val="231F20"/>
          <w:spacing w:val="-11"/>
        </w:rPr>
        <w:t xml:space="preserve"> </w:t>
      </w:r>
      <w:r>
        <w:rPr>
          <w:color w:val="231F20"/>
        </w:rPr>
        <w:t>policies</w:t>
      </w:r>
      <w:r>
        <w:rPr>
          <w:color w:val="231F20"/>
          <w:spacing w:val="-11"/>
        </w:rPr>
        <w:t xml:space="preserve"> </w:t>
      </w:r>
      <w:r>
        <w:rPr>
          <w:color w:val="231F20"/>
        </w:rPr>
        <w:t>and</w:t>
      </w:r>
      <w:r>
        <w:rPr>
          <w:color w:val="231F20"/>
          <w:spacing w:val="-11"/>
        </w:rPr>
        <w:t xml:space="preserve"> </w:t>
      </w:r>
      <w:r>
        <w:rPr>
          <w:color w:val="231F20"/>
        </w:rPr>
        <w:t>regulations</w:t>
      </w:r>
      <w:r>
        <w:rPr>
          <w:color w:val="231F20"/>
          <w:spacing w:val="-11"/>
        </w:rPr>
        <w:t xml:space="preserve"> </w:t>
      </w:r>
      <w:r>
        <w:rPr>
          <w:color w:val="231F20"/>
        </w:rPr>
        <w:t>on</w:t>
      </w:r>
      <w:r>
        <w:rPr>
          <w:color w:val="231F20"/>
          <w:spacing w:val="-12"/>
        </w:rPr>
        <w:t xml:space="preserve"> </w:t>
      </w:r>
      <w:r>
        <w:rPr>
          <w:color w:val="231F20"/>
        </w:rPr>
        <w:t>safe</w:t>
      </w:r>
      <w:r>
        <w:rPr>
          <w:color w:val="231F20"/>
          <w:spacing w:val="-11"/>
        </w:rPr>
        <w:t xml:space="preserve"> </w:t>
      </w:r>
      <w:r>
        <w:rPr>
          <w:color w:val="231F20"/>
        </w:rPr>
        <w:t>water</w:t>
      </w:r>
      <w:r>
        <w:rPr>
          <w:color w:val="231F20"/>
          <w:spacing w:val="-11"/>
        </w:rPr>
        <w:t xml:space="preserve"> </w:t>
      </w:r>
      <w:r>
        <w:rPr>
          <w:color w:val="231F20"/>
        </w:rPr>
        <w:t>supply</w:t>
      </w:r>
      <w:r>
        <w:rPr>
          <w:color w:val="231F20"/>
          <w:spacing w:val="-11"/>
        </w:rPr>
        <w:t xml:space="preserve"> </w:t>
      </w:r>
      <w:r>
        <w:rPr>
          <w:color w:val="231F20"/>
        </w:rPr>
        <w:t>and</w:t>
      </w:r>
      <w:r>
        <w:rPr>
          <w:color w:val="231F20"/>
          <w:spacing w:val="-11"/>
        </w:rPr>
        <w:t xml:space="preserve"> </w:t>
      </w:r>
      <w:r>
        <w:rPr>
          <w:color w:val="231F20"/>
        </w:rPr>
        <w:t>promotion of</w:t>
      </w:r>
      <w:r>
        <w:rPr>
          <w:color w:val="231F20"/>
          <w:spacing w:val="-20"/>
        </w:rPr>
        <w:t xml:space="preserve"> </w:t>
      </w:r>
      <w:r>
        <w:rPr>
          <w:color w:val="231F20"/>
        </w:rPr>
        <w:t>environmental</w:t>
      </w:r>
      <w:r>
        <w:rPr>
          <w:color w:val="231F20"/>
          <w:spacing w:val="-20"/>
        </w:rPr>
        <w:t xml:space="preserve"> </w:t>
      </w:r>
      <w:r>
        <w:rPr>
          <w:color w:val="231F20"/>
        </w:rPr>
        <w:t>health;</w:t>
      </w:r>
      <w:r>
        <w:rPr>
          <w:color w:val="231F20"/>
          <w:spacing w:val="-31"/>
        </w:rPr>
        <w:t xml:space="preserve"> </w:t>
      </w:r>
      <w:r>
        <w:rPr>
          <w:color w:val="231F20"/>
        </w:rPr>
        <w:t>Advocacy</w:t>
      </w:r>
      <w:r>
        <w:rPr>
          <w:color w:val="231F20"/>
          <w:spacing w:val="-20"/>
        </w:rPr>
        <w:t xml:space="preserve"> </w:t>
      </w:r>
      <w:r>
        <w:rPr>
          <w:color w:val="231F20"/>
        </w:rPr>
        <w:t>visits</w:t>
      </w:r>
      <w:r>
        <w:rPr>
          <w:color w:val="231F20"/>
          <w:spacing w:val="-19"/>
        </w:rPr>
        <w:t xml:space="preserve"> </w:t>
      </w:r>
      <w:r>
        <w:rPr>
          <w:color w:val="231F20"/>
        </w:rPr>
        <w:t>to</w:t>
      </w:r>
      <w:r>
        <w:rPr>
          <w:color w:val="231F20"/>
          <w:spacing w:val="-20"/>
        </w:rPr>
        <w:t xml:space="preserve"> </w:t>
      </w:r>
      <w:r>
        <w:rPr>
          <w:color w:val="231F20"/>
        </w:rPr>
        <w:t>the</w:t>
      </w:r>
      <w:r>
        <w:rPr>
          <w:color w:val="231F20"/>
          <w:spacing w:val="-19"/>
        </w:rPr>
        <w:t xml:space="preserve"> </w:t>
      </w:r>
      <w:r>
        <w:rPr>
          <w:color w:val="231F20"/>
        </w:rPr>
        <w:t>23</w:t>
      </w:r>
      <w:r>
        <w:rPr>
          <w:color w:val="231F20"/>
          <w:spacing w:val="-20"/>
        </w:rPr>
        <w:t xml:space="preserve"> </w:t>
      </w:r>
      <w:r>
        <w:rPr>
          <w:color w:val="231F20"/>
        </w:rPr>
        <w:t>LGAs</w:t>
      </w:r>
      <w:r>
        <w:rPr>
          <w:color w:val="231F20"/>
          <w:spacing w:val="-19"/>
        </w:rPr>
        <w:t xml:space="preserve"> </w:t>
      </w:r>
      <w:r>
        <w:rPr>
          <w:color w:val="231F20"/>
        </w:rPr>
        <w:t>Chairmen</w:t>
      </w:r>
      <w:r>
        <w:rPr>
          <w:color w:val="231F20"/>
          <w:spacing w:val="-20"/>
        </w:rPr>
        <w:t xml:space="preserve"> </w:t>
      </w:r>
      <w:r>
        <w:rPr>
          <w:color w:val="231F20"/>
        </w:rPr>
        <w:t>&amp;</w:t>
      </w:r>
      <w:r>
        <w:rPr>
          <w:color w:val="231F20"/>
          <w:spacing w:val="-23"/>
        </w:rPr>
        <w:t xml:space="preserve"> </w:t>
      </w:r>
      <w:r>
        <w:rPr>
          <w:color w:val="231F20"/>
        </w:rPr>
        <w:t>Traditional</w:t>
      </w:r>
      <w:r>
        <w:rPr>
          <w:color w:val="231F20"/>
          <w:spacing w:val="-20"/>
        </w:rPr>
        <w:t xml:space="preserve"> </w:t>
      </w:r>
      <w:r>
        <w:rPr>
          <w:color w:val="231F20"/>
        </w:rPr>
        <w:t>Rulers</w:t>
      </w:r>
      <w:r>
        <w:rPr>
          <w:color w:val="231F20"/>
          <w:spacing w:val="-19"/>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spacing w:val="-3"/>
        </w:rPr>
        <w:t xml:space="preserve">need </w:t>
      </w:r>
      <w:r>
        <w:rPr>
          <w:color w:val="231F20"/>
        </w:rPr>
        <w:t>to</w:t>
      </w:r>
      <w:r>
        <w:rPr>
          <w:color w:val="231F20"/>
          <w:spacing w:val="-22"/>
        </w:rPr>
        <w:t xml:space="preserve"> </w:t>
      </w:r>
      <w:r>
        <w:rPr>
          <w:color w:val="231F20"/>
        </w:rPr>
        <w:t>provide</w:t>
      </w:r>
      <w:r>
        <w:rPr>
          <w:color w:val="231F20"/>
          <w:spacing w:val="-22"/>
        </w:rPr>
        <w:t xml:space="preserve"> </w:t>
      </w:r>
      <w:r>
        <w:rPr>
          <w:color w:val="231F20"/>
        </w:rPr>
        <w:t>potable</w:t>
      </w:r>
      <w:r>
        <w:rPr>
          <w:color w:val="231F20"/>
          <w:spacing w:val="-22"/>
        </w:rPr>
        <w:t xml:space="preserve"> </w:t>
      </w:r>
      <w:r>
        <w:rPr>
          <w:color w:val="231F20"/>
        </w:rPr>
        <w:t>water</w:t>
      </w:r>
      <w:r>
        <w:rPr>
          <w:color w:val="231F20"/>
          <w:spacing w:val="-22"/>
        </w:rPr>
        <w:t xml:space="preserve"> </w:t>
      </w:r>
      <w:r>
        <w:rPr>
          <w:color w:val="231F20"/>
        </w:rPr>
        <w:t>in</w:t>
      </w:r>
      <w:r>
        <w:rPr>
          <w:color w:val="231F20"/>
          <w:spacing w:val="-21"/>
        </w:rPr>
        <w:t xml:space="preserve"> </w:t>
      </w:r>
      <w:r>
        <w:rPr>
          <w:color w:val="231F20"/>
        </w:rPr>
        <w:t>accordance</w:t>
      </w:r>
      <w:r>
        <w:rPr>
          <w:color w:val="231F20"/>
          <w:spacing w:val="-22"/>
        </w:rPr>
        <w:t xml:space="preserve"> </w:t>
      </w:r>
      <w:r>
        <w:rPr>
          <w:color w:val="231F20"/>
        </w:rPr>
        <w:t>to</w:t>
      </w:r>
      <w:r>
        <w:rPr>
          <w:color w:val="231F20"/>
          <w:spacing w:val="-22"/>
        </w:rPr>
        <w:t xml:space="preserve"> </w:t>
      </w:r>
      <w:r>
        <w:rPr>
          <w:color w:val="231F20"/>
        </w:rPr>
        <w:t>WHO</w:t>
      </w:r>
      <w:r>
        <w:rPr>
          <w:color w:val="231F20"/>
          <w:spacing w:val="-22"/>
        </w:rPr>
        <w:t xml:space="preserve"> </w:t>
      </w:r>
      <w:r>
        <w:rPr>
          <w:color w:val="231F20"/>
        </w:rPr>
        <w:t>standard;</w:t>
      </w:r>
      <w:r>
        <w:rPr>
          <w:color w:val="231F20"/>
          <w:spacing w:val="-25"/>
        </w:rPr>
        <w:t xml:space="preserve"> </w:t>
      </w:r>
      <w:r>
        <w:rPr>
          <w:color w:val="231F20"/>
        </w:rPr>
        <w:t>Training</w:t>
      </w:r>
      <w:r>
        <w:rPr>
          <w:color w:val="231F20"/>
          <w:spacing w:val="-22"/>
        </w:rPr>
        <w:t xml:space="preserve"> </w:t>
      </w:r>
      <w:r>
        <w:rPr>
          <w:color w:val="231F20"/>
        </w:rPr>
        <w:t>of</w:t>
      </w:r>
      <w:r>
        <w:rPr>
          <w:color w:val="231F20"/>
          <w:spacing w:val="-22"/>
        </w:rPr>
        <w:t xml:space="preserve"> </w:t>
      </w:r>
      <w:r>
        <w:rPr>
          <w:color w:val="231F20"/>
        </w:rPr>
        <w:t>community</w:t>
      </w:r>
      <w:r>
        <w:rPr>
          <w:color w:val="231F20"/>
          <w:spacing w:val="-21"/>
        </w:rPr>
        <w:t xml:space="preserve"> </w:t>
      </w:r>
      <w:r>
        <w:rPr>
          <w:color w:val="231F20"/>
        </w:rPr>
        <w:t>members</w:t>
      </w:r>
      <w:r>
        <w:rPr>
          <w:color w:val="231F20"/>
          <w:spacing w:val="-22"/>
        </w:rPr>
        <w:t xml:space="preserve"> </w:t>
      </w:r>
      <w:r>
        <w:rPr>
          <w:color w:val="231F20"/>
        </w:rPr>
        <w:t>(WDCs) on</w:t>
      </w:r>
      <w:r>
        <w:rPr>
          <w:color w:val="231F20"/>
          <w:spacing w:val="-8"/>
        </w:rPr>
        <w:t xml:space="preserve"> </w:t>
      </w:r>
      <w:r>
        <w:rPr>
          <w:color w:val="231F20"/>
        </w:rPr>
        <w:t>regulation</w:t>
      </w:r>
      <w:r>
        <w:rPr>
          <w:color w:val="231F20"/>
          <w:spacing w:val="-7"/>
        </w:rPr>
        <w:t xml:space="preserve"> </w:t>
      </w:r>
      <w:r>
        <w:rPr>
          <w:color w:val="231F20"/>
        </w:rPr>
        <w:t>guiding</w:t>
      </w:r>
      <w:r>
        <w:rPr>
          <w:color w:val="231F20"/>
          <w:spacing w:val="-7"/>
        </w:rPr>
        <w:t xml:space="preserve"> </w:t>
      </w:r>
      <w:r>
        <w:rPr>
          <w:color w:val="231F20"/>
        </w:rPr>
        <w:t>safe</w:t>
      </w:r>
      <w:r>
        <w:rPr>
          <w:color w:val="231F20"/>
          <w:spacing w:val="-7"/>
        </w:rPr>
        <w:t xml:space="preserve"> </w:t>
      </w:r>
      <w:r>
        <w:rPr>
          <w:color w:val="231F20"/>
        </w:rPr>
        <w:t>water</w:t>
      </w:r>
      <w:r>
        <w:rPr>
          <w:color w:val="231F20"/>
          <w:spacing w:val="-7"/>
        </w:rPr>
        <w:t xml:space="preserve"> </w:t>
      </w:r>
      <w:r>
        <w:rPr>
          <w:color w:val="231F20"/>
        </w:rPr>
        <w:t>supply;</w:t>
      </w:r>
      <w:r>
        <w:rPr>
          <w:color w:val="231F20"/>
          <w:spacing w:val="-7"/>
        </w:rPr>
        <w:t xml:space="preserve"> </w:t>
      </w:r>
      <w:r>
        <w:rPr>
          <w:color w:val="231F20"/>
        </w:rPr>
        <w:t>Create</w:t>
      </w:r>
      <w:r>
        <w:rPr>
          <w:color w:val="231F20"/>
          <w:spacing w:val="-7"/>
        </w:rPr>
        <w:t xml:space="preserve"> </w:t>
      </w:r>
      <w:r>
        <w:rPr>
          <w:color w:val="231F20"/>
        </w:rPr>
        <w:t>awareness</w:t>
      </w:r>
      <w:r>
        <w:rPr>
          <w:color w:val="231F20"/>
          <w:spacing w:val="-7"/>
        </w:rPr>
        <w:t xml:space="preserve"> </w:t>
      </w:r>
      <w:r>
        <w:rPr>
          <w:color w:val="231F20"/>
        </w:rPr>
        <w:t>on</w:t>
      </w:r>
      <w:r>
        <w:rPr>
          <w:color w:val="231F20"/>
          <w:spacing w:val="-8"/>
        </w:rPr>
        <w:t xml:space="preserve"> </w:t>
      </w:r>
      <w:r>
        <w:rPr>
          <w:color w:val="231F20"/>
        </w:rPr>
        <w:t>hand</w:t>
      </w:r>
      <w:r>
        <w:rPr>
          <w:color w:val="231F20"/>
          <w:spacing w:val="-7"/>
        </w:rPr>
        <w:t xml:space="preserve"> </w:t>
      </w:r>
      <w:r>
        <w:rPr>
          <w:color w:val="231F20"/>
        </w:rPr>
        <w:t>washing</w:t>
      </w:r>
      <w:r>
        <w:rPr>
          <w:color w:val="231F20"/>
          <w:spacing w:val="-7"/>
        </w:rPr>
        <w:t xml:space="preserve"> </w:t>
      </w:r>
      <w:r>
        <w:rPr>
          <w:color w:val="231F20"/>
        </w:rPr>
        <w:t>at</w:t>
      </w:r>
      <w:r>
        <w:rPr>
          <w:color w:val="231F20"/>
          <w:spacing w:val="-7"/>
        </w:rPr>
        <w:t xml:space="preserve"> </w:t>
      </w:r>
      <w:r>
        <w:rPr>
          <w:color w:val="231F20"/>
        </w:rPr>
        <w:t>appropriate</w:t>
      </w:r>
      <w:r>
        <w:rPr>
          <w:color w:val="231F20"/>
          <w:spacing w:val="-7"/>
        </w:rPr>
        <w:t xml:space="preserve"> </w:t>
      </w:r>
      <w:r>
        <w:rPr>
          <w:color w:val="231F20"/>
        </w:rPr>
        <w:t>times using</w:t>
      </w:r>
      <w:r>
        <w:rPr>
          <w:color w:val="231F20"/>
          <w:spacing w:val="-25"/>
        </w:rPr>
        <w:t xml:space="preserve"> </w:t>
      </w:r>
      <w:r>
        <w:rPr>
          <w:color w:val="231F20"/>
        </w:rPr>
        <w:t>print,</w:t>
      </w:r>
      <w:r>
        <w:rPr>
          <w:color w:val="231F20"/>
          <w:spacing w:val="-26"/>
        </w:rPr>
        <w:t xml:space="preserve"> </w:t>
      </w:r>
      <w:r>
        <w:rPr>
          <w:color w:val="231F20"/>
        </w:rPr>
        <w:t>electronic</w:t>
      </w:r>
      <w:r>
        <w:rPr>
          <w:color w:val="231F20"/>
          <w:spacing w:val="-25"/>
        </w:rPr>
        <w:t xml:space="preserve"> </w:t>
      </w:r>
      <w:r>
        <w:rPr>
          <w:color w:val="231F20"/>
        </w:rPr>
        <w:t>and</w:t>
      </w:r>
      <w:r>
        <w:rPr>
          <w:color w:val="231F20"/>
          <w:spacing w:val="-25"/>
        </w:rPr>
        <w:t xml:space="preserve"> </w:t>
      </w:r>
      <w:r>
        <w:rPr>
          <w:color w:val="231F20"/>
        </w:rPr>
        <w:t>social</w:t>
      </w:r>
      <w:r>
        <w:rPr>
          <w:color w:val="231F20"/>
          <w:spacing w:val="-25"/>
        </w:rPr>
        <w:t xml:space="preserve"> </w:t>
      </w:r>
      <w:r>
        <w:rPr>
          <w:color w:val="231F20"/>
        </w:rPr>
        <w:t>media</w:t>
      </w:r>
      <w:r>
        <w:rPr>
          <w:color w:val="231F20"/>
          <w:spacing w:val="-25"/>
        </w:rPr>
        <w:t xml:space="preserve"> </w:t>
      </w:r>
      <w:r>
        <w:rPr>
          <w:color w:val="231F20"/>
        </w:rPr>
        <w:t>platforms.</w:t>
      </w:r>
    </w:p>
    <w:p w14:paraId="2D813184" w14:textId="77777777" w:rsidR="009948F1" w:rsidRDefault="009948F1">
      <w:pPr>
        <w:pStyle w:val="BodyText"/>
        <w:spacing w:before="4"/>
        <w:rPr>
          <w:sz w:val="26"/>
        </w:rPr>
      </w:pPr>
    </w:p>
    <w:p w14:paraId="505564AD" w14:textId="208582E3" w:rsidR="009948F1" w:rsidRDefault="00BC0563">
      <w:pPr>
        <w:pStyle w:val="ListParagraph"/>
        <w:numPr>
          <w:ilvl w:val="3"/>
          <w:numId w:val="275"/>
        </w:numPr>
        <w:tabs>
          <w:tab w:val="left" w:pos="923"/>
        </w:tabs>
        <w:spacing w:line="280" w:lineRule="auto"/>
        <w:ind w:right="160" w:firstLine="0"/>
      </w:pPr>
      <w:r>
        <w:rPr>
          <w:color w:val="231F20"/>
        </w:rPr>
        <w:t xml:space="preserve">Promote preventive and curative healthcare for water and sewage borne diseases. </w:t>
      </w:r>
      <w:r>
        <w:rPr>
          <w:color w:val="231F20"/>
          <w:spacing w:val="-5"/>
        </w:rPr>
        <w:t xml:space="preserve">Key </w:t>
      </w:r>
      <w:r>
        <w:rPr>
          <w:color w:val="231F20"/>
        </w:rPr>
        <w:t xml:space="preserve">actions are; – Conduct training workshops for waste management desk officers in the 23 </w:t>
      </w:r>
      <w:r>
        <w:rPr>
          <w:color w:val="231F20"/>
          <w:spacing w:val="-4"/>
        </w:rPr>
        <w:t xml:space="preserve">LGA; </w:t>
      </w:r>
      <w:r>
        <w:rPr>
          <w:color w:val="231F20"/>
        </w:rPr>
        <w:t xml:space="preserve">Conduct community sensitization in the 23 LGAs on the prevention of water &amp; sewage </w:t>
      </w:r>
      <w:r>
        <w:rPr>
          <w:color w:val="231F20"/>
          <w:spacing w:val="-3"/>
        </w:rPr>
        <w:t>borne</w:t>
      </w:r>
      <w:r>
        <w:rPr>
          <w:color w:val="231F20"/>
          <w:spacing w:val="55"/>
        </w:rPr>
        <w:t xml:space="preserve"> </w:t>
      </w:r>
      <w:r>
        <w:rPr>
          <w:color w:val="231F20"/>
        </w:rPr>
        <w:t xml:space="preserve">diseases; Conduct workshops for all registered commercial table water in 23 LGAs on proper standard of water </w:t>
      </w:r>
      <w:r>
        <w:rPr>
          <w:color w:val="231F20"/>
          <w:spacing w:val="-3"/>
        </w:rPr>
        <w:t xml:space="preserve">safety, </w:t>
      </w:r>
      <w:r>
        <w:rPr>
          <w:color w:val="231F20"/>
        </w:rPr>
        <w:t xml:space="preserve">to prevent water &amp; sewage borne diseases; </w:t>
      </w:r>
      <w:r w:rsidR="00E62884">
        <w:rPr>
          <w:color w:val="231F20"/>
        </w:rPr>
        <w:t>Organize</w:t>
      </w:r>
      <w:r>
        <w:rPr>
          <w:color w:val="231F20"/>
        </w:rPr>
        <w:t xml:space="preserve"> orientation for commercial water producers on proper standard of water safety; Public enlightenment of the populace</w:t>
      </w:r>
      <w:r>
        <w:rPr>
          <w:color w:val="231F20"/>
          <w:spacing w:val="-26"/>
        </w:rPr>
        <w:t xml:space="preserve"> </w:t>
      </w:r>
      <w:r>
        <w:rPr>
          <w:color w:val="231F20"/>
        </w:rPr>
        <w:t>through</w:t>
      </w:r>
      <w:r>
        <w:rPr>
          <w:color w:val="231F20"/>
          <w:spacing w:val="-25"/>
        </w:rPr>
        <w:t xml:space="preserve"> </w:t>
      </w:r>
      <w:r>
        <w:rPr>
          <w:color w:val="231F20"/>
        </w:rPr>
        <w:t>production</w:t>
      </w:r>
      <w:r>
        <w:rPr>
          <w:color w:val="231F20"/>
          <w:spacing w:val="-26"/>
        </w:rPr>
        <w:t xml:space="preserve"> </w:t>
      </w:r>
      <w:r>
        <w:rPr>
          <w:color w:val="231F20"/>
        </w:rPr>
        <w:t>and</w:t>
      </w:r>
      <w:r>
        <w:rPr>
          <w:color w:val="231F20"/>
          <w:spacing w:val="-25"/>
        </w:rPr>
        <w:t xml:space="preserve"> </w:t>
      </w:r>
      <w:r>
        <w:rPr>
          <w:color w:val="231F20"/>
        </w:rPr>
        <w:t>airing</w:t>
      </w:r>
      <w:r>
        <w:rPr>
          <w:color w:val="231F20"/>
          <w:spacing w:val="-26"/>
        </w:rPr>
        <w:t xml:space="preserve"> </w:t>
      </w:r>
      <w:r>
        <w:rPr>
          <w:color w:val="231F20"/>
        </w:rPr>
        <w:t>of</w:t>
      </w:r>
      <w:r>
        <w:rPr>
          <w:color w:val="231F20"/>
          <w:spacing w:val="-25"/>
        </w:rPr>
        <w:t xml:space="preserve"> </w:t>
      </w:r>
      <w:r>
        <w:rPr>
          <w:color w:val="231F20"/>
        </w:rPr>
        <w:t>jingles</w:t>
      </w:r>
      <w:r>
        <w:rPr>
          <w:color w:val="231F20"/>
          <w:spacing w:val="-25"/>
        </w:rPr>
        <w:t xml:space="preserve"> </w:t>
      </w:r>
      <w:r>
        <w:rPr>
          <w:color w:val="231F20"/>
        </w:rPr>
        <w:t>&amp;</w:t>
      </w:r>
      <w:r>
        <w:rPr>
          <w:color w:val="231F20"/>
          <w:spacing w:val="-26"/>
        </w:rPr>
        <w:t xml:space="preserve"> </w:t>
      </w:r>
      <w:r>
        <w:rPr>
          <w:color w:val="231F20"/>
        </w:rPr>
        <w:t>print/distribution</w:t>
      </w:r>
      <w:r>
        <w:rPr>
          <w:color w:val="231F20"/>
          <w:spacing w:val="-25"/>
        </w:rPr>
        <w:t xml:space="preserve"> </w:t>
      </w:r>
      <w:r>
        <w:rPr>
          <w:color w:val="231F20"/>
        </w:rPr>
        <w:t>of</w:t>
      </w:r>
      <w:r>
        <w:rPr>
          <w:color w:val="231F20"/>
          <w:spacing w:val="-26"/>
        </w:rPr>
        <w:t xml:space="preserve"> </w:t>
      </w:r>
      <w:r>
        <w:rPr>
          <w:color w:val="231F20"/>
        </w:rPr>
        <w:t>posters/fliers</w:t>
      </w:r>
      <w:r>
        <w:rPr>
          <w:color w:val="231F20"/>
          <w:spacing w:val="-25"/>
        </w:rPr>
        <w:t xml:space="preserve"> </w:t>
      </w:r>
      <w:r>
        <w:rPr>
          <w:color w:val="231F20"/>
        </w:rPr>
        <w:t>on</w:t>
      </w:r>
      <w:r>
        <w:rPr>
          <w:color w:val="231F20"/>
          <w:spacing w:val="-25"/>
        </w:rPr>
        <w:t xml:space="preserve"> </w:t>
      </w:r>
      <w:r>
        <w:rPr>
          <w:color w:val="231F20"/>
        </w:rPr>
        <w:t>WASH.</w:t>
      </w:r>
    </w:p>
    <w:p w14:paraId="770424E0" w14:textId="77777777" w:rsidR="009948F1" w:rsidRDefault="009948F1">
      <w:pPr>
        <w:pStyle w:val="BodyText"/>
        <w:spacing w:before="3"/>
        <w:rPr>
          <w:sz w:val="26"/>
        </w:rPr>
      </w:pPr>
    </w:p>
    <w:p w14:paraId="75079205" w14:textId="77777777" w:rsidR="009948F1" w:rsidRDefault="00BC0563">
      <w:pPr>
        <w:pStyle w:val="ListParagraph"/>
        <w:numPr>
          <w:ilvl w:val="3"/>
          <w:numId w:val="275"/>
        </w:numPr>
        <w:tabs>
          <w:tab w:val="left" w:pos="912"/>
        </w:tabs>
        <w:spacing w:line="280" w:lineRule="auto"/>
        <w:ind w:right="160" w:firstLine="0"/>
      </w:pPr>
      <w:r>
        <w:rPr>
          <w:color w:val="231F20"/>
        </w:rPr>
        <w:t xml:space="preserve">Strengthen </w:t>
      </w:r>
      <w:proofErr w:type="spellStart"/>
      <w:r>
        <w:rPr>
          <w:color w:val="231F20"/>
        </w:rPr>
        <w:t>behavioural</w:t>
      </w:r>
      <w:proofErr w:type="spellEnd"/>
      <w:r>
        <w:rPr>
          <w:color w:val="231F20"/>
        </w:rPr>
        <w:t xml:space="preserve"> change communication, social mobilization and advocacy for </w:t>
      </w:r>
      <w:r>
        <w:rPr>
          <w:color w:val="231F20"/>
          <w:spacing w:val="-4"/>
        </w:rPr>
        <w:t xml:space="preserve">the </w:t>
      </w:r>
      <w:r>
        <w:rPr>
          <w:color w:val="231F20"/>
        </w:rPr>
        <w:t>promotion of safe water and sanitation. Key activities are; – Conduct advocacy visits to policy makers</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provision</w:t>
      </w:r>
      <w:r>
        <w:rPr>
          <w:color w:val="231F20"/>
          <w:spacing w:val="-13"/>
        </w:rPr>
        <w:t xml:space="preserve"> </w:t>
      </w:r>
      <w:r>
        <w:rPr>
          <w:color w:val="231F20"/>
        </w:rPr>
        <w:t>of</w:t>
      </w:r>
      <w:r>
        <w:rPr>
          <w:color w:val="231F20"/>
          <w:spacing w:val="-13"/>
        </w:rPr>
        <w:t xml:space="preserve"> </w:t>
      </w:r>
      <w:r>
        <w:rPr>
          <w:color w:val="231F20"/>
        </w:rPr>
        <w:t>functional</w:t>
      </w:r>
      <w:r>
        <w:rPr>
          <w:color w:val="231F20"/>
          <w:spacing w:val="-13"/>
        </w:rPr>
        <w:t xml:space="preserve"> </w:t>
      </w:r>
      <w:r>
        <w:rPr>
          <w:color w:val="231F20"/>
        </w:rPr>
        <w:t>safe</w:t>
      </w:r>
      <w:r>
        <w:rPr>
          <w:color w:val="231F20"/>
          <w:spacing w:val="-12"/>
        </w:rPr>
        <w:t xml:space="preserve"> </w:t>
      </w:r>
      <w:r>
        <w:rPr>
          <w:color w:val="231F20"/>
        </w:rPr>
        <w:t>water</w:t>
      </w:r>
      <w:r>
        <w:rPr>
          <w:color w:val="231F20"/>
          <w:spacing w:val="-13"/>
        </w:rPr>
        <w:t xml:space="preserve"> </w:t>
      </w:r>
      <w:r>
        <w:rPr>
          <w:color w:val="231F20"/>
        </w:rPr>
        <w:t>points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Develop,</w:t>
      </w:r>
      <w:r>
        <w:rPr>
          <w:color w:val="231F20"/>
          <w:spacing w:val="-13"/>
        </w:rPr>
        <w:t xml:space="preserve"> </w:t>
      </w:r>
      <w:r>
        <w:rPr>
          <w:color w:val="231F20"/>
        </w:rPr>
        <w:t>print</w:t>
      </w:r>
      <w:r>
        <w:rPr>
          <w:color w:val="231F20"/>
          <w:spacing w:val="-13"/>
        </w:rPr>
        <w:t xml:space="preserve"> </w:t>
      </w:r>
      <w:r>
        <w:rPr>
          <w:color w:val="231F20"/>
          <w:spacing w:val="-6"/>
        </w:rPr>
        <w:t xml:space="preserve">and </w:t>
      </w:r>
      <w:r>
        <w:rPr>
          <w:color w:val="231F20"/>
        </w:rPr>
        <w:t>distribute</w:t>
      </w:r>
      <w:r>
        <w:rPr>
          <w:color w:val="231F20"/>
          <w:spacing w:val="-24"/>
        </w:rPr>
        <w:t xml:space="preserve"> </w:t>
      </w:r>
      <w:r>
        <w:rPr>
          <w:color w:val="231F20"/>
        </w:rPr>
        <w:t>IEC</w:t>
      </w:r>
      <w:r>
        <w:rPr>
          <w:color w:val="231F20"/>
          <w:spacing w:val="-23"/>
        </w:rPr>
        <w:t xml:space="preserve"> </w:t>
      </w:r>
      <w:r>
        <w:rPr>
          <w:color w:val="231F20"/>
        </w:rPr>
        <w:t>materials</w:t>
      </w:r>
      <w:r>
        <w:rPr>
          <w:color w:val="231F20"/>
          <w:spacing w:val="-23"/>
        </w:rPr>
        <w:t xml:space="preserve"> </w:t>
      </w:r>
      <w:r>
        <w:rPr>
          <w:color w:val="231F20"/>
        </w:rPr>
        <w:t>on</w:t>
      </w:r>
      <w:r>
        <w:rPr>
          <w:color w:val="231F20"/>
          <w:spacing w:val="-23"/>
        </w:rPr>
        <w:t xml:space="preserve"> </w:t>
      </w:r>
      <w:r>
        <w:rPr>
          <w:color w:val="231F20"/>
        </w:rPr>
        <w:t>promotion</w:t>
      </w:r>
      <w:r>
        <w:rPr>
          <w:color w:val="231F20"/>
          <w:spacing w:val="-23"/>
        </w:rPr>
        <w:t xml:space="preserve"> </w:t>
      </w:r>
      <w:r>
        <w:rPr>
          <w:color w:val="231F20"/>
        </w:rPr>
        <w:t>of</w:t>
      </w:r>
      <w:r>
        <w:rPr>
          <w:color w:val="231F20"/>
          <w:spacing w:val="-23"/>
        </w:rPr>
        <w:t xml:space="preserve"> </w:t>
      </w:r>
      <w:r>
        <w:rPr>
          <w:color w:val="231F20"/>
        </w:rPr>
        <w:t>safe</w:t>
      </w:r>
      <w:r>
        <w:rPr>
          <w:color w:val="231F20"/>
          <w:spacing w:val="-23"/>
        </w:rPr>
        <w:t xml:space="preserve"> </w:t>
      </w:r>
      <w:r>
        <w:rPr>
          <w:color w:val="231F20"/>
        </w:rPr>
        <w:t>water</w:t>
      </w:r>
      <w:r>
        <w:rPr>
          <w:color w:val="231F20"/>
          <w:spacing w:val="-23"/>
        </w:rPr>
        <w:t xml:space="preserve"> </w:t>
      </w:r>
      <w:r>
        <w:rPr>
          <w:color w:val="231F20"/>
        </w:rPr>
        <w:t>and</w:t>
      </w:r>
      <w:r>
        <w:rPr>
          <w:color w:val="231F20"/>
          <w:spacing w:val="-23"/>
        </w:rPr>
        <w:t xml:space="preserve"> </w:t>
      </w:r>
      <w:r>
        <w:rPr>
          <w:color w:val="231F20"/>
        </w:rPr>
        <w:t>sanitation;</w:t>
      </w:r>
      <w:r>
        <w:rPr>
          <w:color w:val="231F20"/>
          <w:spacing w:val="-23"/>
        </w:rPr>
        <w:t xml:space="preserve"> </w:t>
      </w:r>
      <w:r>
        <w:rPr>
          <w:color w:val="231F20"/>
        </w:rPr>
        <w:t>Community</w:t>
      </w:r>
      <w:r>
        <w:rPr>
          <w:color w:val="231F20"/>
          <w:spacing w:val="-23"/>
        </w:rPr>
        <w:t xml:space="preserve"> </w:t>
      </w:r>
      <w:r>
        <w:rPr>
          <w:color w:val="231F20"/>
        </w:rPr>
        <w:t>sensitization</w:t>
      </w:r>
      <w:r>
        <w:rPr>
          <w:color w:val="231F20"/>
          <w:spacing w:val="-24"/>
        </w:rPr>
        <w:t xml:space="preserve"> </w:t>
      </w:r>
      <w:r>
        <w:rPr>
          <w:color w:val="231F20"/>
        </w:rPr>
        <w:t>on</w:t>
      </w:r>
      <w:r>
        <w:rPr>
          <w:color w:val="231F20"/>
          <w:spacing w:val="-23"/>
        </w:rPr>
        <w:t xml:space="preserve"> </w:t>
      </w:r>
      <w:r>
        <w:rPr>
          <w:color w:val="231F20"/>
        </w:rPr>
        <w:t>safe water</w:t>
      </w:r>
      <w:r>
        <w:rPr>
          <w:color w:val="231F20"/>
          <w:spacing w:val="-19"/>
        </w:rPr>
        <w:t xml:space="preserve"> </w:t>
      </w:r>
      <w:r>
        <w:rPr>
          <w:color w:val="231F20"/>
        </w:rPr>
        <w:t>and</w:t>
      </w:r>
      <w:r>
        <w:rPr>
          <w:color w:val="231F20"/>
          <w:spacing w:val="-18"/>
        </w:rPr>
        <w:t xml:space="preserve"> </w:t>
      </w:r>
      <w:r>
        <w:rPr>
          <w:color w:val="231F20"/>
        </w:rPr>
        <w:t>sanitation</w:t>
      </w:r>
      <w:r>
        <w:rPr>
          <w:color w:val="231F20"/>
          <w:spacing w:val="-19"/>
        </w:rPr>
        <w:t xml:space="preserve"> </w:t>
      </w:r>
      <w:r>
        <w:rPr>
          <w:color w:val="231F20"/>
        </w:rPr>
        <w:t>using</w:t>
      </w:r>
      <w:r>
        <w:rPr>
          <w:color w:val="231F20"/>
          <w:spacing w:val="-18"/>
        </w:rPr>
        <w:t xml:space="preserve"> </w:t>
      </w:r>
      <w:r>
        <w:rPr>
          <w:color w:val="231F20"/>
        </w:rPr>
        <w:t>WDC</w:t>
      </w:r>
      <w:r>
        <w:rPr>
          <w:color w:val="231F20"/>
          <w:spacing w:val="-18"/>
        </w:rPr>
        <w:t xml:space="preserve"> </w:t>
      </w:r>
      <w:r>
        <w:rPr>
          <w:color w:val="231F20"/>
        </w:rPr>
        <w:t>monthly</w:t>
      </w:r>
      <w:r>
        <w:rPr>
          <w:color w:val="231F20"/>
          <w:spacing w:val="-19"/>
        </w:rPr>
        <w:t xml:space="preserve"> </w:t>
      </w:r>
      <w:r>
        <w:rPr>
          <w:color w:val="231F20"/>
        </w:rPr>
        <w:t>meetings;</w:t>
      </w:r>
      <w:r>
        <w:rPr>
          <w:color w:val="231F20"/>
          <w:spacing w:val="-18"/>
        </w:rPr>
        <w:t xml:space="preserve"> </w:t>
      </w:r>
      <w:r>
        <w:rPr>
          <w:color w:val="231F20"/>
        </w:rPr>
        <w:t>Orientation</w:t>
      </w:r>
      <w:r>
        <w:rPr>
          <w:color w:val="231F20"/>
          <w:spacing w:val="-19"/>
        </w:rPr>
        <w:t xml:space="preserve"> </w:t>
      </w:r>
      <w:r>
        <w:rPr>
          <w:color w:val="231F20"/>
        </w:rPr>
        <w:t>of</w:t>
      </w:r>
      <w:r>
        <w:rPr>
          <w:color w:val="231F20"/>
          <w:spacing w:val="-18"/>
        </w:rPr>
        <w:t xml:space="preserve"> </w:t>
      </w:r>
      <w:r>
        <w:rPr>
          <w:color w:val="231F20"/>
        </w:rPr>
        <w:t>health</w:t>
      </w:r>
      <w:r>
        <w:rPr>
          <w:color w:val="231F20"/>
          <w:spacing w:val="-18"/>
        </w:rPr>
        <w:t xml:space="preserve"> </w:t>
      </w:r>
      <w:r>
        <w:rPr>
          <w:color w:val="231F20"/>
        </w:rPr>
        <w:t>workers</w:t>
      </w:r>
      <w:r>
        <w:rPr>
          <w:color w:val="231F20"/>
          <w:spacing w:val="-19"/>
        </w:rPr>
        <w:t xml:space="preserve"> </w:t>
      </w:r>
      <w:r>
        <w:rPr>
          <w:color w:val="231F20"/>
        </w:rPr>
        <w:t>on</w:t>
      </w:r>
      <w:r>
        <w:rPr>
          <w:color w:val="231F20"/>
          <w:spacing w:val="-18"/>
        </w:rPr>
        <w:t xml:space="preserve"> </w:t>
      </w:r>
      <w:r>
        <w:rPr>
          <w:color w:val="231F20"/>
        </w:rPr>
        <w:t>effective</w:t>
      </w:r>
      <w:r>
        <w:rPr>
          <w:color w:val="231F20"/>
          <w:spacing w:val="-19"/>
        </w:rPr>
        <w:t xml:space="preserve"> </w:t>
      </w:r>
      <w:r>
        <w:rPr>
          <w:color w:val="231F20"/>
        </w:rPr>
        <w:t>hand washing</w:t>
      </w:r>
      <w:r>
        <w:rPr>
          <w:color w:val="231F20"/>
          <w:spacing w:val="-26"/>
        </w:rPr>
        <w:t xml:space="preserve"> </w:t>
      </w:r>
      <w:r>
        <w:rPr>
          <w:color w:val="231F20"/>
        </w:rPr>
        <w:t>and</w:t>
      </w:r>
      <w:r>
        <w:rPr>
          <w:color w:val="231F20"/>
          <w:spacing w:val="-25"/>
        </w:rPr>
        <w:t xml:space="preserve"> </w:t>
      </w:r>
      <w:r>
        <w:rPr>
          <w:color w:val="231F20"/>
        </w:rPr>
        <w:t>sanitation;</w:t>
      </w:r>
      <w:r>
        <w:rPr>
          <w:color w:val="231F20"/>
          <w:spacing w:val="-25"/>
        </w:rPr>
        <w:t xml:space="preserve"> </w:t>
      </w:r>
      <w:r>
        <w:rPr>
          <w:color w:val="231F20"/>
        </w:rPr>
        <w:t>Production</w:t>
      </w:r>
      <w:r>
        <w:rPr>
          <w:color w:val="231F20"/>
          <w:spacing w:val="-25"/>
        </w:rPr>
        <w:t xml:space="preserve"> </w:t>
      </w:r>
      <w:r>
        <w:rPr>
          <w:color w:val="231F20"/>
        </w:rPr>
        <w:t>and</w:t>
      </w:r>
      <w:r>
        <w:rPr>
          <w:color w:val="231F20"/>
          <w:spacing w:val="-25"/>
        </w:rPr>
        <w:t xml:space="preserve"> </w:t>
      </w:r>
      <w:r>
        <w:rPr>
          <w:color w:val="231F20"/>
        </w:rPr>
        <w:t>airing</w:t>
      </w:r>
      <w:r>
        <w:rPr>
          <w:color w:val="231F20"/>
          <w:spacing w:val="-25"/>
        </w:rPr>
        <w:t xml:space="preserve"> </w:t>
      </w:r>
      <w:r>
        <w:rPr>
          <w:color w:val="231F20"/>
        </w:rPr>
        <w:t>safe</w:t>
      </w:r>
      <w:r>
        <w:rPr>
          <w:color w:val="231F20"/>
          <w:spacing w:val="-25"/>
        </w:rPr>
        <w:t xml:space="preserve"> </w:t>
      </w:r>
      <w:r>
        <w:rPr>
          <w:color w:val="231F20"/>
        </w:rPr>
        <w:t>water</w:t>
      </w:r>
      <w:r>
        <w:rPr>
          <w:color w:val="231F20"/>
          <w:spacing w:val="-25"/>
        </w:rPr>
        <w:t xml:space="preserve"> </w:t>
      </w:r>
      <w:r>
        <w:rPr>
          <w:color w:val="231F20"/>
        </w:rPr>
        <w:t>and</w:t>
      </w:r>
      <w:r>
        <w:rPr>
          <w:color w:val="231F20"/>
          <w:spacing w:val="-25"/>
        </w:rPr>
        <w:t xml:space="preserve"> </w:t>
      </w:r>
      <w:r>
        <w:rPr>
          <w:color w:val="231F20"/>
        </w:rPr>
        <w:t>sanitation</w:t>
      </w:r>
      <w:r>
        <w:rPr>
          <w:color w:val="231F20"/>
          <w:spacing w:val="-25"/>
        </w:rPr>
        <w:t xml:space="preserve"> </w:t>
      </w:r>
      <w:r>
        <w:rPr>
          <w:color w:val="231F20"/>
        </w:rPr>
        <w:t>jingles.</w:t>
      </w:r>
    </w:p>
    <w:p w14:paraId="3E79B258" w14:textId="77777777" w:rsidR="009948F1" w:rsidRDefault="009948F1">
      <w:pPr>
        <w:pStyle w:val="BodyText"/>
        <w:spacing w:before="2"/>
        <w:rPr>
          <w:sz w:val="26"/>
        </w:rPr>
      </w:pPr>
    </w:p>
    <w:p w14:paraId="5DBB9C6E" w14:textId="77777777" w:rsidR="009948F1" w:rsidRDefault="00BC0563">
      <w:pPr>
        <w:pStyle w:val="ListParagraph"/>
        <w:numPr>
          <w:ilvl w:val="3"/>
          <w:numId w:val="275"/>
        </w:numPr>
        <w:tabs>
          <w:tab w:val="left" w:pos="887"/>
        </w:tabs>
        <w:spacing w:line="280" w:lineRule="auto"/>
        <w:ind w:right="160" w:firstLine="0"/>
      </w:pPr>
      <w:r>
        <w:rPr>
          <w:color w:val="231F20"/>
        </w:rPr>
        <w:t>Strengthen</w:t>
      </w:r>
      <w:r>
        <w:rPr>
          <w:color w:val="231F20"/>
          <w:spacing w:val="-24"/>
        </w:rPr>
        <w:t xml:space="preserve"> </w:t>
      </w:r>
      <w:r>
        <w:rPr>
          <w:color w:val="231F20"/>
        </w:rPr>
        <w:t>the</w:t>
      </w:r>
      <w:r>
        <w:rPr>
          <w:color w:val="231F20"/>
          <w:spacing w:val="-23"/>
        </w:rPr>
        <w:t xml:space="preserve"> </w:t>
      </w:r>
      <w:r>
        <w:rPr>
          <w:color w:val="231F20"/>
        </w:rPr>
        <w:t>regulatory</w:t>
      </w:r>
      <w:r>
        <w:rPr>
          <w:color w:val="231F20"/>
          <w:spacing w:val="-23"/>
        </w:rPr>
        <w:t xml:space="preserve"> </w:t>
      </w:r>
      <w:r>
        <w:rPr>
          <w:color w:val="231F20"/>
        </w:rPr>
        <w:t>and</w:t>
      </w:r>
      <w:r>
        <w:rPr>
          <w:color w:val="231F20"/>
          <w:spacing w:val="-23"/>
        </w:rPr>
        <w:t xml:space="preserve"> </w:t>
      </w:r>
      <w:r>
        <w:rPr>
          <w:color w:val="231F20"/>
        </w:rPr>
        <w:t>supervisory</w:t>
      </w:r>
      <w:r>
        <w:rPr>
          <w:color w:val="231F20"/>
          <w:spacing w:val="-23"/>
        </w:rPr>
        <w:t xml:space="preserve"> </w:t>
      </w:r>
      <w:r>
        <w:rPr>
          <w:color w:val="231F20"/>
        </w:rPr>
        <w:t>frame</w:t>
      </w:r>
      <w:r>
        <w:rPr>
          <w:color w:val="231F20"/>
          <w:spacing w:val="-23"/>
        </w:rPr>
        <w:t xml:space="preserve"> </w:t>
      </w:r>
      <w:r>
        <w:rPr>
          <w:color w:val="231F20"/>
        </w:rPr>
        <w:t>work</w:t>
      </w:r>
      <w:r>
        <w:rPr>
          <w:color w:val="231F20"/>
          <w:spacing w:val="-23"/>
        </w:rPr>
        <w:t xml:space="preserve"> </w:t>
      </w:r>
      <w:r>
        <w:rPr>
          <w:color w:val="231F20"/>
        </w:rPr>
        <w:t>for</w:t>
      </w:r>
      <w:r>
        <w:rPr>
          <w:color w:val="231F20"/>
          <w:spacing w:val="-23"/>
        </w:rPr>
        <w:t xml:space="preserve"> </w:t>
      </w:r>
      <w:r>
        <w:rPr>
          <w:color w:val="231F20"/>
        </w:rPr>
        <w:t>production</w:t>
      </w:r>
      <w:r>
        <w:rPr>
          <w:color w:val="231F20"/>
          <w:spacing w:val="-23"/>
        </w:rPr>
        <w:t xml:space="preserve"> </w:t>
      </w:r>
      <w:r>
        <w:rPr>
          <w:color w:val="231F20"/>
        </w:rPr>
        <w:t>of</w:t>
      </w:r>
      <w:r>
        <w:rPr>
          <w:color w:val="231F20"/>
          <w:spacing w:val="-23"/>
        </w:rPr>
        <w:t xml:space="preserve"> </w:t>
      </w:r>
      <w:r>
        <w:rPr>
          <w:color w:val="231F20"/>
        </w:rPr>
        <w:t>commercial</w:t>
      </w:r>
      <w:r>
        <w:rPr>
          <w:color w:val="231F20"/>
          <w:spacing w:val="-23"/>
        </w:rPr>
        <w:t xml:space="preserve"> </w:t>
      </w:r>
      <w:r>
        <w:rPr>
          <w:color w:val="231F20"/>
        </w:rPr>
        <w:t>water</w:t>
      </w:r>
      <w:r>
        <w:rPr>
          <w:color w:val="231F20"/>
          <w:spacing w:val="-23"/>
        </w:rPr>
        <w:t xml:space="preserve"> </w:t>
      </w:r>
      <w:r>
        <w:rPr>
          <w:color w:val="231F20"/>
        </w:rPr>
        <w:t xml:space="preserve">to ensure water </w:t>
      </w:r>
      <w:r>
        <w:rPr>
          <w:color w:val="231F20"/>
          <w:spacing w:val="-3"/>
        </w:rPr>
        <w:t xml:space="preserve">safety. </w:t>
      </w:r>
      <w:r>
        <w:rPr>
          <w:color w:val="231F20"/>
        </w:rPr>
        <w:t>The key actions are – Establish in collaboration with NAFDAC a regulation enforcement committee for commercial water producer; Produce and distribute regulation for production</w:t>
      </w:r>
      <w:r>
        <w:rPr>
          <w:color w:val="231F20"/>
          <w:spacing w:val="-7"/>
        </w:rPr>
        <w:t xml:space="preserve"> </w:t>
      </w:r>
      <w:r>
        <w:rPr>
          <w:color w:val="231F20"/>
        </w:rPr>
        <w:t>of</w:t>
      </w:r>
      <w:r>
        <w:rPr>
          <w:color w:val="231F20"/>
          <w:spacing w:val="-6"/>
        </w:rPr>
        <w:t xml:space="preserve"> </w:t>
      </w:r>
      <w:r>
        <w:rPr>
          <w:color w:val="231F20"/>
        </w:rPr>
        <w:t>commercial</w:t>
      </w:r>
      <w:r>
        <w:rPr>
          <w:color w:val="231F20"/>
          <w:spacing w:val="-6"/>
        </w:rPr>
        <w:t xml:space="preserve"> </w:t>
      </w:r>
      <w:r>
        <w:rPr>
          <w:color w:val="231F20"/>
        </w:rPr>
        <w:t>water</w:t>
      </w:r>
      <w:r>
        <w:rPr>
          <w:color w:val="231F20"/>
          <w:spacing w:val="-6"/>
        </w:rPr>
        <w:t xml:space="preserve"> </w:t>
      </w:r>
      <w:r>
        <w:rPr>
          <w:color w:val="231F20"/>
        </w:rPr>
        <w:t>supply;</w:t>
      </w:r>
      <w:r>
        <w:rPr>
          <w:color w:val="231F20"/>
          <w:spacing w:val="-6"/>
        </w:rPr>
        <w:t xml:space="preserve"> </w:t>
      </w:r>
      <w:r>
        <w:rPr>
          <w:color w:val="231F20"/>
        </w:rPr>
        <w:t>Monitoring</w:t>
      </w:r>
      <w:r>
        <w:rPr>
          <w:color w:val="231F20"/>
          <w:spacing w:val="-6"/>
        </w:rPr>
        <w:t xml:space="preserve"> </w:t>
      </w:r>
      <w:r>
        <w:rPr>
          <w:color w:val="231F20"/>
        </w:rPr>
        <w:t>and</w:t>
      </w:r>
      <w:r>
        <w:rPr>
          <w:color w:val="231F20"/>
          <w:spacing w:val="-6"/>
        </w:rPr>
        <w:t xml:space="preserve"> </w:t>
      </w:r>
      <w:r>
        <w:rPr>
          <w:color w:val="231F20"/>
        </w:rPr>
        <w:t>supervision</w:t>
      </w:r>
      <w:r>
        <w:rPr>
          <w:color w:val="231F20"/>
          <w:spacing w:val="-6"/>
        </w:rPr>
        <w:t xml:space="preserve"> </w:t>
      </w:r>
      <w:r>
        <w:rPr>
          <w:color w:val="231F20"/>
        </w:rPr>
        <w:t>of</w:t>
      </w:r>
      <w:r>
        <w:rPr>
          <w:color w:val="231F20"/>
          <w:spacing w:val="-7"/>
        </w:rPr>
        <w:t xml:space="preserve"> </w:t>
      </w:r>
      <w:r>
        <w:rPr>
          <w:color w:val="231F20"/>
        </w:rPr>
        <w:t>construction</w:t>
      </w:r>
      <w:r>
        <w:rPr>
          <w:color w:val="231F20"/>
          <w:spacing w:val="-6"/>
        </w:rPr>
        <w:t xml:space="preserve"> </w:t>
      </w:r>
      <w:r>
        <w:rPr>
          <w:color w:val="231F20"/>
        </w:rPr>
        <w:t>of</w:t>
      </w:r>
      <w:r>
        <w:rPr>
          <w:color w:val="231F20"/>
          <w:spacing w:val="-6"/>
        </w:rPr>
        <w:t xml:space="preserve"> </w:t>
      </w:r>
      <w:r>
        <w:rPr>
          <w:color w:val="231F20"/>
        </w:rPr>
        <w:t>commercial water</w:t>
      </w:r>
      <w:r>
        <w:rPr>
          <w:color w:val="231F20"/>
          <w:spacing w:val="-25"/>
        </w:rPr>
        <w:t xml:space="preserve"> </w:t>
      </w:r>
      <w:r>
        <w:rPr>
          <w:color w:val="231F20"/>
        </w:rPr>
        <w:t>points.</w:t>
      </w:r>
    </w:p>
    <w:p w14:paraId="016D063A" w14:textId="77777777" w:rsidR="009948F1" w:rsidRDefault="009948F1">
      <w:pPr>
        <w:pStyle w:val="BodyText"/>
        <w:spacing w:before="4"/>
        <w:rPr>
          <w:sz w:val="25"/>
        </w:rPr>
      </w:pPr>
    </w:p>
    <w:p w14:paraId="4E947F84" w14:textId="77777777" w:rsidR="009948F1" w:rsidRDefault="00244DD0">
      <w:pPr>
        <w:pStyle w:val="Heading7"/>
        <w:numPr>
          <w:ilvl w:val="2"/>
          <w:numId w:val="277"/>
        </w:numPr>
        <w:tabs>
          <w:tab w:val="left" w:pos="839"/>
        </w:tabs>
        <w:spacing w:before="1" w:line="417" w:lineRule="auto"/>
        <w:ind w:left="277" w:right="2048" w:firstLine="0"/>
        <w:jc w:val="left"/>
        <w:rPr>
          <w:color w:val="231F20"/>
        </w:rPr>
      </w:pPr>
      <w:r>
        <w:pict w14:anchorId="2C50907B">
          <v:shape id="_x0000_s2076" type="#_x0000_t202" style="position:absolute;left:0;text-align:left;margin-left:64.15pt;margin-top:41.95pt;width:467.25pt;height:54.05pt;z-index:15740416;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17"/>
                    <w:gridCol w:w="1141"/>
                    <w:gridCol w:w="734"/>
                    <w:gridCol w:w="734"/>
                    <w:gridCol w:w="734"/>
                    <w:gridCol w:w="736"/>
                    <w:gridCol w:w="1080"/>
                    <w:gridCol w:w="1151"/>
                  </w:tblGrid>
                  <w:tr w:rsidR="00080B77" w14:paraId="4324BCE7" w14:textId="77777777">
                    <w:trPr>
                      <w:trHeight w:val="209"/>
                    </w:trPr>
                    <w:tc>
                      <w:tcPr>
                        <w:tcW w:w="3017" w:type="dxa"/>
                        <w:shd w:val="clear" w:color="auto" w:fill="F4CEB2"/>
                      </w:tcPr>
                      <w:p w14:paraId="1484ED83" w14:textId="77777777" w:rsidR="00080B77" w:rsidRDefault="00080B77">
                        <w:pPr>
                          <w:pStyle w:val="TableParagraph"/>
                          <w:spacing w:before="1" w:line="188" w:lineRule="exact"/>
                          <w:ind w:left="109"/>
                          <w:rPr>
                            <w:sz w:val="18"/>
                          </w:rPr>
                        </w:pPr>
                        <w:r>
                          <w:rPr>
                            <w:color w:val="231F20"/>
                            <w:sz w:val="18"/>
                          </w:rPr>
                          <w:t>Targets</w:t>
                        </w:r>
                      </w:p>
                    </w:tc>
                    <w:tc>
                      <w:tcPr>
                        <w:tcW w:w="1141" w:type="dxa"/>
                        <w:shd w:val="clear" w:color="auto" w:fill="F4CEB2"/>
                      </w:tcPr>
                      <w:p w14:paraId="4A986BE4" w14:textId="77777777" w:rsidR="00080B77" w:rsidRDefault="00080B77">
                        <w:pPr>
                          <w:pStyle w:val="TableParagraph"/>
                          <w:spacing w:before="1" w:line="188" w:lineRule="exact"/>
                          <w:ind w:left="109"/>
                          <w:rPr>
                            <w:sz w:val="18"/>
                          </w:rPr>
                        </w:pPr>
                        <w:r>
                          <w:rPr>
                            <w:color w:val="231F20"/>
                            <w:sz w:val="18"/>
                          </w:rPr>
                          <w:t>Baseline</w:t>
                        </w:r>
                      </w:p>
                    </w:tc>
                    <w:tc>
                      <w:tcPr>
                        <w:tcW w:w="734" w:type="dxa"/>
                        <w:shd w:val="clear" w:color="auto" w:fill="F4CEB2"/>
                      </w:tcPr>
                      <w:p w14:paraId="546FF799" w14:textId="77777777" w:rsidR="00080B77" w:rsidRDefault="00080B77">
                        <w:pPr>
                          <w:pStyle w:val="TableParagraph"/>
                          <w:spacing w:line="190" w:lineRule="exact"/>
                          <w:ind w:left="110"/>
                          <w:rPr>
                            <w:b/>
                            <w:sz w:val="18"/>
                          </w:rPr>
                        </w:pPr>
                        <w:r>
                          <w:rPr>
                            <w:b/>
                            <w:color w:val="231F20"/>
                            <w:sz w:val="18"/>
                          </w:rPr>
                          <w:t>2018</w:t>
                        </w:r>
                      </w:p>
                    </w:tc>
                    <w:tc>
                      <w:tcPr>
                        <w:tcW w:w="734" w:type="dxa"/>
                        <w:shd w:val="clear" w:color="auto" w:fill="F4CEB2"/>
                      </w:tcPr>
                      <w:p w14:paraId="667A8664" w14:textId="77777777" w:rsidR="00080B77" w:rsidRDefault="00080B77">
                        <w:pPr>
                          <w:pStyle w:val="TableParagraph"/>
                          <w:spacing w:line="190" w:lineRule="exact"/>
                          <w:ind w:left="110"/>
                          <w:rPr>
                            <w:b/>
                            <w:sz w:val="18"/>
                          </w:rPr>
                        </w:pPr>
                        <w:r>
                          <w:rPr>
                            <w:b/>
                            <w:color w:val="231F20"/>
                            <w:sz w:val="18"/>
                          </w:rPr>
                          <w:t>2019</w:t>
                        </w:r>
                      </w:p>
                    </w:tc>
                    <w:tc>
                      <w:tcPr>
                        <w:tcW w:w="734" w:type="dxa"/>
                        <w:shd w:val="clear" w:color="auto" w:fill="F4CEB2"/>
                      </w:tcPr>
                      <w:p w14:paraId="0582940E" w14:textId="77777777" w:rsidR="00080B77" w:rsidRDefault="00080B77">
                        <w:pPr>
                          <w:pStyle w:val="TableParagraph"/>
                          <w:spacing w:line="190" w:lineRule="exact"/>
                          <w:ind w:left="110"/>
                          <w:rPr>
                            <w:b/>
                            <w:sz w:val="18"/>
                          </w:rPr>
                        </w:pPr>
                        <w:r>
                          <w:rPr>
                            <w:b/>
                            <w:color w:val="231F20"/>
                            <w:sz w:val="18"/>
                          </w:rPr>
                          <w:t>2020</w:t>
                        </w:r>
                      </w:p>
                    </w:tc>
                    <w:tc>
                      <w:tcPr>
                        <w:tcW w:w="736" w:type="dxa"/>
                        <w:shd w:val="clear" w:color="auto" w:fill="F4CEB2"/>
                      </w:tcPr>
                      <w:p w14:paraId="7D769BDF" w14:textId="77777777" w:rsidR="00080B77" w:rsidRDefault="00080B77">
                        <w:pPr>
                          <w:pStyle w:val="TableParagraph"/>
                          <w:spacing w:line="190" w:lineRule="exact"/>
                          <w:ind w:left="110"/>
                          <w:rPr>
                            <w:b/>
                            <w:sz w:val="18"/>
                          </w:rPr>
                        </w:pPr>
                        <w:r>
                          <w:rPr>
                            <w:b/>
                            <w:color w:val="231F20"/>
                            <w:sz w:val="18"/>
                          </w:rPr>
                          <w:t>2021</w:t>
                        </w:r>
                      </w:p>
                    </w:tc>
                    <w:tc>
                      <w:tcPr>
                        <w:tcW w:w="1080" w:type="dxa"/>
                        <w:shd w:val="clear" w:color="auto" w:fill="F4CEB2"/>
                      </w:tcPr>
                      <w:p w14:paraId="4A46C275" w14:textId="77777777" w:rsidR="00080B77" w:rsidRDefault="00080B77">
                        <w:pPr>
                          <w:pStyle w:val="TableParagraph"/>
                          <w:spacing w:line="190" w:lineRule="exact"/>
                          <w:ind w:left="111"/>
                          <w:rPr>
                            <w:b/>
                            <w:sz w:val="18"/>
                          </w:rPr>
                        </w:pPr>
                        <w:r>
                          <w:rPr>
                            <w:b/>
                            <w:color w:val="231F20"/>
                            <w:sz w:val="18"/>
                          </w:rPr>
                          <w:t>2022</w:t>
                        </w:r>
                      </w:p>
                    </w:tc>
                    <w:tc>
                      <w:tcPr>
                        <w:tcW w:w="1151" w:type="dxa"/>
                        <w:shd w:val="clear" w:color="auto" w:fill="F4CEB2"/>
                      </w:tcPr>
                      <w:p w14:paraId="179ED381" w14:textId="77777777" w:rsidR="00080B77" w:rsidRDefault="00080B77">
                        <w:pPr>
                          <w:pStyle w:val="TableParagraph"/>
                          <w:spacing w:line="190" w:lineRule="exact"/>
                          <w:ind w:left="112"/>
                          <w:rPr>
                            <w:b/>
                            <w:sz w:val="18"/>
                          </w:rPr>
                        </w:pPr>
                        <w:r>
                          <w:rPr>
                            <w:b/>
                            <w:color w:val="231F20"/>
                            <w:sz w:val="18"/>
                          </w:rPr>
                          <w:t>National</w:t>
                        </w:r>
                      </w:p>
                    </w:tc>
                  </w:tr>
                  <w:tr w:rsidR="00080B77" w14:paraId="54EBDEB1" w14:textId="77777777">
                    <w:trPr>
                      <w:trHeight w:val="841"/>
                    </w:trPr>
                    <w:tc>
                      <w:tcPr>
                        <w:tcW w:w="3017" w:type="dxa"/>
                      </w:tcPr>
                      <w:p w14:paraId="736FB6DE" w14:textId="77777777" w:rsidR="00080B77" w:rsidRDefault="00080B77">
                        <w:pPr>
                          <w:pStyle w:val="TableParagraph"/>
                          <w:spacing w:line="242" w:lineRule="auto"/>
                          <w:ind w:left="109"/>
                          <w:rPr>
                            <w:b/>
                            <w:sz w:val="18"/>
                          </w:rPr>
                        </w:pPr>
                        <w:r>
                          <w:rPr>
                            <w:b/>
                            <w:color w:val="231F20"/>
                            <w:sz w:val="18"/>
                          </w:rPr>
                          <w:t>Reduction in the incidence of snakebites by 2022</w:t>
                        </w:r>
                      </w:p>
                    </w:tc>
                    <w:tc>
                      <w:tcPr>
                        <w:tcW w:w="1141" w:type="dxa"/>
                      </w:tcPr>
                      <w:p w14:paraId="1FC75165" w14:textId="77777777" w:rsidR="00080B77" w:rsidRDefault="00080B77">
                        <w:pPr>
                          <w:pStyle w:val="TableParagraph"/>
                          <w:spacing w:before="1"/>
                          <w:ind w:left="109"/>
                          <w:rPr>
                            <w:sz w:val="18"/>
                          </w:rPr>
                        </w:pPr>
                        <w:r>
                          <w:rPr>
                            <w:color w:val="231F20"/>
                            <w:sz w:val="18"/>
                          </w:rPr>
                          <w:t>TBD</w:t>
                        </w:r>
                      </w:p>
                    </w:tc>
                    <w:tc>
                      <w:tcPr>
                        <w:tcW w:w="734" w:type="dxa"/>
                      </w:tcPr>
                      <w:p w14:paraId="3C8A5527" w14:textId="77777777" w:rsidR="00080B77" w:rsidRDefault="00080B77">
                        <w:pPr>
                          <w:pStyle w:val="TableParagraph"/>
                          <w:spacing w:before="1"/>
                          <w:ind w:left="110"/>
                          <w:rPr>
                            <w:sz w:val="18"/>
                          </w:rPr>
                        </w:pPr>
                        <w:r>
                          <w:rPr>
                            <w:color w:val="231F20"/>
                            <w:sz w:val="18"/>
                          </w:rPr>
                          <w:t>12%</w:t>
                        </w:r>
                      </w:p>
                    </w:tc>
                    <w:tc>
                      <w:tcPr>
                        <w:tcW w:w="734" w:type="dxa"/>
                      </w:tcPr>
                      <w:p w14:paraId="21F17B42" w14:textId="77777777" w:rsidR="00080B77" w:rsidRDefault="00080B77">
                        <w:pPr>
                          <w:pStyle w:val="TableParagraph"/>
                          <w:spacing w:before="1"/>
                          <w:ind w:left="110"/>
                          <w:rPr>
                            <w:sz w:val="18"/>
                          </w:rPr>
                        </w:pPr>
                        <w:r>
                          <w:rPr>
                            <w:color w:val="231F20"/>
                            <w:sz w:val="18"/>
                          </w:rPr>
                          <w:t>14%</w:t>
                        </w:r>
                      </w:p>
                    </w:tc>
                    <w:tc>
                      <w:tcPr>
                        <w:tcW w:w="734" w:type="dxa"/>
                      </w:tcPr>
                      <w:p w14:paraId="48124E65" w14:textId="77777777" w:rsidR="00080B77" w:rsidRDefault="00080B77">
                        <w:pPr>
                          <w:pStyle w:val="TableParagraph"/>
                          <w:spacing w:before="1"/>
                          <w:ind w:left="110"/>
                          <w:rPr>
                            <w:sz w:val="18"/>
                          </w:rPr>
                        </w:pPr>
                        <w:r>
                          <w:rPr>
                            <w:color w:val="231F20"/>
                            <w:sz w:val="18"/>
                          </w:rPr>
                          <w:t>16%</w:t>
                        </w:r>
                      </w:p>
                    </w:tc>
                    <w:tc>
                      <w:tcPr>
                        <w:tcW w:w="736" w:type="dxa"/>
                      </w:tcPr>
                      <w:p w14:paraId="0156541C" w14:textId="77777777" w:rsidR="00080B77" w:rsidRDefault="00080B77">
                        <w:pPr>
                          <w:pStyle w:val="TableParagraph"/>
                          <w:spacing w:before="1"/>
                          <w:ind w:left="110"/>
                          <w:rPr>
                            <w:sz w:val="18"/>
                          </w:rPr>
                        </w:pPr>
                        <w:r>
                          <w:rPr>
                            <w:color w:val="231F20"/>
                            <w:sz w:val="18"/>
                          </w:rPr>
                          <w:t>18%</w:t>
                        </w:r>
                      </w:p>
                    </w:tc>
                    <w:tc>
                      <w:tcPr>
                        <w:tcW w:w="1080" w:type="dxa"/>
                      </w:tcPr>
                      <w:p w14:paraId="67E55A5C" w14:textId="77777777" w:rsidR="00080B77" w:rsidRDefault="00080B77">
                        <w:pPr>
                          <w:pStyle w:val="TableParagraph"/>
                          <w:spacing w:before="1"/>
                          <w:ind w:left="111"/>
                          <w:rPr>
                            <w:sz w:val="18"/>
                          </w:rPr>
                        </w:pPr>
                        <w:r>
                          <w:rPr>
                            <w:color w:val="231F20"/>
                            <w:sz w:val="18"/>
                          </w:rPr>
                          <w:t>20%</w:t>
                        </w:r>
                      </w:p>
                    </w:tc>
                    <w:tc>
                      <w:tcPr>
                        <w:tcW w:w="1151" w:type="dxa"/>
                      </w:tcPr>
                      <w:p w14:paraId="64C8715C" w14:textId="77777777" w:rsidR="00080B77" w:rsidRDefault="00080B77">
                        <w:pPr>
                          <w:pStyle w:val="TableParagraph"/>
                          <w:tabs>
                            <w:tab w:val="left" w:pos="675"/>
                          </w:tabs>
                          <w:spacing w:before="1" w:line="242" w:lineRule="auto"/>
                          <w:ind w:left="112" w:right="96"/>
                          <w:rPr>
                            <w:sz w:val="18"/>
                          </w:rPr>
                        </w:pPr>
                        <w:r>
                          <w:rPr>
                            <w:color w:val="231F20"/>
                            <w:sz w:val="18"/>
                          </w:rPr>
                          <w:t>Reduced by</w:t>
                        </w:r>
                        <w:r>
                          <w:rPr>
                            <w:color w:val="231F20"/>
                            <w:sz w:val="18"/>
                          </w:rPr>
                          <w:tab/>
                        </w:r>
                        <w:r>
                          <w:rPr>
                            <w:color w:val="231F20"/>
                            <w:spacing w:val="-6"/>
                            <w:sz w:val="18"/>
                          </w:rPr>
                          <w:t>50%</w:t>
                        </w:r>
                      </w:p>
                      <w:p w14:paraId="78B1B7FA" w14:textId="77777777" w:rsidR="00080B77" w:rsidRDefault="00080B77">
                        <w:pPr>
                          <w:pStyle w:val="TableParagraph"/>
                          <w:spacing w:before="1" w:line="210" w:lineRule="atLeast"/>
                          <w:ind w:left="112" w:right="338"/>
                          <w:rPr>
                            <w:sz w:val="18"/>
                          </w:rPr>
                        </w:pPr>
                        <w:r>
                          <w:rPr>
                            <w:color w:val="231F20"/>
                            <w:sz w:val="18"/>
                          </w:rPr>
                          <w:t>from baseline</w:t>
                        </w:r>
                      </w:p>
                    </w:tc>
                  </w:tr>
                </w:tbl>
                <w:p w14:paraId="77CB034A" w14:textId="77777777" w:rsidR="00080B77" w:rsidRDefault="00080B77">
                  <w:pPr>
                    <w:pStyle w:val="BodyText"/>
                  </w:pPr>
                </w:p>
              </w:txbxContent>
            </v:textbox>
            <w10:wrap anchorx="page"/>
          </v:shape>
        </w:pict>
      </w:r>
      <w:r w:rsidR="00BC0563">
        <w:rPr>
          <w:color w:val="231F20"/>
        </w:rPr>
        <w:t xml:space="preserve">Reduce morbidity and mortality from snake bites in Rivers </w:t>
      </w:r>
      <w:r w:rsidR="00BC0563">
        <w:rPr>
          <w:color w:val="231F20"/>
          <w:spacing w:val="-3"/>
        </w:rPr>
        <w:t>State Target:</w:t>
      </w:r>
    </w:p>
    <w:p w14:paraId="31ECB762" w14:textId="77777777" w:rsidR="009948F1" w:rsidRDefault="009948F1">
      <w:pPr>
        <w:pStyle w:val="BodyText"/>
        <w:rPr>
          <w:b/>
        </w:rPr>
      </w:pPr>
    </w:p>
    <w:p w14:paraId="6143F408" w14:textId="77777777" w:rsidR="009948F1" w:rsidRDefault="009948F1">
      <w:pPr>
        <w:pStyle w:val="BodyText"/>
        <w:rPr>
          <w:b/>
        </w:rPr>
      </w:pPr>
    </w:p>
    <w:p w14:paraId="06F5B10C" w14:textId="77777777" w:rsidR="009948F1" w:rsidRDefault="009948F1">
      <w:pPr>
        <w:pStyle w:val="BodyText"/>
        <w:rPr>
          <w:b/>
        </w:rPr>
      </w:pPr>
    </w:p>
    <w:p w14:paraId="1A95E08B" w14:textId="77777777" w:rsidR="009948F1" w:rsidRDefault="009948F1">
      <w:pPr>
        <w:pStyle w:val="BodyText"/>
        <w:rPr>
          <w:b/>
        </w:rPr>
      </w:pPr>
    </w:p>
    <w:p w14:paraId="02D3FD68" w14:textId="77777777" w:rsidR="009948F1" w:rsidRDefault="009948F1">
      <w:pPr>
        <w:pStyle w:val="BodyText"/>
        <w:spacing w:before="6"/>
        <w:rPr>
          <w:b/>
          <w:sz w:val="20"/>
        </w:rPr>
      </w:pPr>
    </w:p>
    <w:p w14:paraId="19AD2825" w14:textId="77777777" w:rsidR="009948F1" w:rsidRDefault="00BC0563">
      <w:pPr>
        <w:ind w:left="176"/>
        <w:rPr>
          <w:b/>
        </w:rPr>
      </w:pPr>
      <w:r>
        <w:rPr>
          <w:b/>
          <w:color w:val="231F20"/>
        </w:rPr>
        <w:t>Interventions:</w:t>
      </w:r>
    </w:p>
    <w:p w14:paraId="22E9D11D" w14:textId="77777777" w:rsidR="009948F1" w:rsidRDefault="00BC0563">
      <w:pPr>
        <w:pStyle w:val="ListParagraph"/>
        <w:numPr>
          <w:ilvl w:val="3"/>
          <w:numId w:val="274"/>
        </w:numPr>
        <w:tabs>
          <w:tab w:val="left" w:pos="953"/>
        </w:tabs>
        <w:spacing w:before="154" w:line="386" w:lineRule="auto"/>
        <w:ind w:left="175" w:right="134" w:firstLine="0"/>
      </w:pPr>
      <w:r>
        <w:rPr>
          <w:color w:val="231F20"/>
        </w:rPr>
        <w:t xml:space="preserve">Promote the development and the implementation of policies, plans, legislations </w:t>
      </w:r>
      <w:r>
        <w:rPr>
          <w:color w:val="231F20"/>
          <w:spacing w:val="-5"/>
        </w:rPr>
        <w:t xml:space="preserve">and </w:t>
      </w:r>
      <w:r>
        <w:rPr>
          <w:color w:val="231F20"/>
        </w:rPr>
        <w:t>regulations for the reduction of snake bites in the State. Key activities are; – Identify qualified members</w:t>
      </w:r>
      <w:r>
        <w:rPr>
          <w:color w:val="231F20"/>
          <w:spacing w:val="-7"/>
        </w:rPr>
        <w:t xml:space="preserve"> </w:t>
      </w:r>
      <w:r>
        <w:rPr>
          <w:color w:val="231F20"/>
        </w:rPr>
        <w:t>for</w:t>
      </w:r>
      <w:r>
        <w:rPr>
          <w:color w:val="231F20"/>
          <w:spacing w:val="-6"/>
        </w:rPr>
        <w:t xml:space="preserve"> </w:t>
      </w:r>
      <w:r>
        <w:rPr>
          <w:color w:val="231F20"/>
        </w:rPr>
        <w:t>a</w:t>
      </w:r>
      <w:r>
        <w:rPr>
          <w:color w:val="231F20"/>
          <w:spacing w:val="-10"/>
        </w:rPr>
        <w:t xml:space="preserve"> </w:t>
      </w:r>
      <w:r>
        <w:rPr>
          <w:color w:val="231F20"/>
        </w:rPr>
        <w:t>TWG</w:t>
      </w:r>
      <w:r>
        <w:rPr>
          <w:color w:val="231F20"/>
          <w:spacing w:val="-6"/>
        </w:rPr>
        <w:t xml:space="preserve"> </w:t>
      </w:r>
      <w:r>
        <w:rPr>
          <w:color w:val="231F20"/>
        </w:rPr>
        <w:t>on</w:t>
      </w:r>
      <w:r>
        <w:rPr>
          <w:color w:val="231F20"/>
          <w:spacing w:val="-18"/>
        </w:rPr>
        <w:t xml:space="preserve"> </w:t>
      </w:r>
      <w:r>
        <w:rPr>
          <w:color w:val="231F20"/>
        </w:rPr>
        <w:t>Anti-snake</w:t>
      </w:r>
      <w:r>
        <w:rPr>
          <w:color w:val="231F20"/>
          <w:spacing w:val="-6"/>
        </w:rPr>
        <w:t xml:space="preserve"> </w:t>
      </w:r>
      <w:r>
        <w:rPr>
          <w:color w:val="231F20"/>
        </w:rPr>
        <w:t>bites;</w:t>
      </w:r>
      <w:r>
        <w:rPr>
          <w:color w:val="231F20"/>
          <w:spacing w:val="-6"/>
        </w:rPr>
        <w:t xml:space="preserve"> </w:t>
      </w:r>
      <w:r>
        <w:rPr>
          <w:color w:val="231F20"/>
        </w:rPr>
        <w:t>and</w:t>
      </w:r>
      <w:r>
        <w:rPr>
          <w:color w:val="231F20"/>
          <w:spacing w:val="-6"/>
        </w:rPr>
        <w:t xml:space="preserve"> </w:t>
      </w:r>
      <w:r>
        <w:rPr>
          <w:color w:val="231F20"/>
        </w:rPr>
        <w:t>conduct</w:t>
      </w:r>
      <w:r>
        <w:rPr>
          <w:color w:val="231F20"/>
          <w:spacing w:val="-6"/>
        </w:rPr>
        <w:t xml:space="preserve"> </w:t>
      </w:r>
      <w:r>
        <w:rPr>
          <w:color w:val="231F20"/>
        </w:rPr>
        <w:t>a</w:t>
      </w:r>
      <w:r>
        <w:rPr>
          <w:color w:val="231F20"/>
          <w:spacing w:val="-6"/>
        </w:rPr>
        <w:t xml:space="preserve"> </w:t>
      </w:r>
      <w:r>
        <w:rPr>
          <w:color w:val="231F20"/>
        </w:rPr>
        <w:t>meeting</w:t>
      </w:r>
      <w:r>
        <w:rPr>
          <w:color w:val="231F20"/>
          <w:spacing w:val="-6"/>
        </w:rPr>
        <w:t xml:space="preserve"> </w:t>
      </w:r>
      <w:r>
        <w:rPr>
          <w:color w:val="231F20"/>
        </w:rPr>
        <w:t>to</w:t>
      </w:r>
      <w:r>
        <w:rPr>
          <w:color w:val="231F20"/>
          <w:spacing w:val="-6"/>
        </w:rPr>
        <w:t xml:space="preserve"> </w:t>
      </w:r>
      <w:r>
        <w:rPr>
          <w:color w:val="231F20"/>
        </w:rPr>
        <w:t>inaugurate</w:t>
      </w:r>
      <w:r>
        <w:rPr>
          <w:color w:val="231F20"/>
          <w:spacing w:val="-6"/>
        </w:rPr>
        <w:t xml:space="preserve"> </w:t>
      </w:r>
      <w:r>
        <w:rPr>
          <w:color w:val="231F20"/>
        </w:rPr>
        <w:t>the</w:t>
      </w:r>
      <w:r>
        <w:rPr>
          <w:color w:val="231F20"/>
          <w:spacing w:val="-18"/>
        </w:rPr>
        <w:t xml:space="preserve"> </w:t>
      </w:r>
      <w:r>
        <w:rPr>
          <w:color w:val="231F20"/>
        </w:rPr>
        <w:t>Anti-snake</w:t>
      </w:r>
      <w:r>
        <w:rPr>
          <w:color w:val="231F20"/>
          <w:spacing w:val="-7"/>
        </w:rPr>
        <w:t xml:space="preserve"> </w:t>
      </w:r>
      <w:r>
        <w:rPr>
          <w:color w:val="231F20"/>
        </w:rPr>
        <w:t>bite TWG</w:t>
      </w:r>
      <w:r>
        <w:rPr>
          <w:color w:val="231F20"/>
          <w:spacing w:val="-10"/>
        </w:rPr>
        <w:t xml:space="preserve"> </w:t>
      </w:r>
      <w:r>
        <w:rPr>
          <w:color w:val="231F20"/>
        </w:rPr>
        <w:t>with</w:t>
      </w:r>
      <w:r>
        <w:rPr>
          <w:color w:val="231F20"/>
          <w:spacing w:val="-9"/>
        </w:rPr>
        <w:t xml:space="preserve"> </w:t>
      </w:r>
      <w:r>
        <w:rPr>
          <w:color w:val="231F20"/>
        </w:rPr>
        <w:t>terms</w:t>
      </w:r>
      <w:r>
        <w:rPr>
          <w:color w:val="231F20"/>
          <w:spacing w:val="-9"/>
        </w:rPr>
        <w:t xml:space="preserve"> </w:t>
      </w:r>
      <w:r>
        <w:rPr>
          <w:color w:val="231F20"/>
        </w:rPr>
        <w:t>of</w:t>
      </w:r>
      <w:r>
        <w:rPr>
          <w:color w:val="231F20"/>
          <w:spacing w:val="-9"/>
        </w:rPr>
        <w:t xml:space="preserve"> </w:t>
      </w:r>
      <w:r>
        <w:rPr>
          <w:color w:val="231F20"/>
        </w:rPr>
        <w:t>reference;</w:t>
      </w:r>
      <w:r>
        <w:rPr>
          <w:color w:val="231F20"/>
          <w:spacing w:val="-9"/>
        </w:rPr>
        <w:t xml:space="preserve"> </w:t>
      </w:r>
      <w:r>
        <w:rPr>
          <w:color w:val="231F20"/>
        </w:rPr>
        <w:t>Conduct</w:t>
      </w:r>
      <w:r>
        <w:rPr>
          <w:color w:val="231F20"/>
          <w:spacing w:val="-9"/>
        </w:rPr>
        <w:t xml:space="preserve"> </w:t>
      </w:r>
      <w:r>
        <w:rPr>
          <w:color w:val="231F20"/>
        </w:rPr>
        <w:t>workshops</w:t>
      </w:r>
      <w:r>
        <w:rPr>
          <w:color w:val="231F20"/>
          <w:spacing w:val="-9"/>
        </w:rPr>
        <w:t xml:space="preserve"> </w:t>
      </w:r>
      <w:r>
        <w:rPr>
          <w:color w:val="231F20"/>
        </w:rPr>
        <w:t>to</w:t>
      </w:r>
      <w:r>
        <w:rPr>
          <w:color w:val="231F20"/>
          <w:spacing w:val="-9"/>
        </w:rPr>
        <w:t xml:space="preserve"> </w:t>
      </w:r>
      <w:r>
        <w:rPr>
          <w:color w:val="231F20"/>
        </w:rPr>
        <w:t>review</w:t>
      </w:r>
      <w:r>
        <w:rPr>
          <w:color w:val="231F20"/>
          <w:spacing w:val="-9"/>
        </w:rPr>
        <w:t xml:space="preserve"> </w:t>
      </w:r>
      <w:r>
        <w:rPr>
          <w:color w:val="231F20"/>
        </w:rPr>
        <w:t>and</w:t>
      </w:r>
      <w:r>
        <w:rPr>
          <w:color w:val="231F20"/>
          <w:spacing w:val="-9"/>
        </w:rPr>
        <w:t xml:space="preserve"> </w:t>
      </w:r>
      <w:r>
        <w:rPr>
          <w:color w:val="231F20"/>
        </w:rPr>
        <w:t>adapt</w:t>
      </w:r>
      <w:r>
        <w:rPr>
          <w:color w:val="231F20"/>
          <w:spacing w:val="-9"/>
        </w:rPr>
        <w:t xml:space="preserve"> </w:t>
      </w:r>
      <w:r>
        <w:rPr>
          <w:color w:val="231F20"/>
        </w:rPr>
        <w:t>policies,</w:t>
      </w:r>
      <w:r>
        <w:rPr>
          <w:color w:val="231F20"/>
          <w:spacing w:val="-10"/>
        </w:rPr>
        <w:t xml:space="preserve"> </w:t>
      </w:r>
      <w:r>
        <w:rPr>
          <w:color w:val="231F20"/>
        </w:rPr>
        <w:t>plans,</w:t>
      </w:r>
      <w:r>
        <w:rPr>
          <w:color w:val="231F20"/>
          <w:spacing w:val="-9"/>
        </w:rPr>
        <w:t xml:space="preserve"> </w:t>
      </w:r>
      <w:r>
        <w:rPr>
          <w:color w:val="231F20"/>
        </w:rPr>
        <w:t>legislations and</w:t>
      </w:r>
      <w:r>
        <w:rPr>
          <w:color w:val="231F20"/>
          <w:spacing w:val="-25"/>
        </w:rPr>
        <w:t xml:space="preserve"> </w:t>
      </w:r>
      <w:r>
        <w:rPr>
          <w:color w:val="231F20"/>
        </w:rPr>
        <w:t>regulations</w:t>
      </w:r>
      <w:r>
        <w:rPr>
          <w:color w:val="231F20"/>
          <w:spacing w:val="-26"/>
        </w:rPr>
        <w:t xml:space="preserve"> </w:t>
      </w:r>
      <w:r>
        <w:rPr>
          <w:color w:val="231F20"/>
        </w:rPr>
        <w:t>for</w:t>
      </w:r>
      <w:r>
        <w:rPr>
          <w:color w:val="231F20"/>
          <w:spacing w:val="-25"/>
        </w:rPr>
        <w:t xml:space="preserve"> </w:t>
      </w:r>
      <w:r>
        <w:rPr>
          <w:color w:val="231F20"/>
        </w:rPr>
        <w:t>snake</w:t>
      </w:r>
      <w:r>
        <w:rPr>
          <w:color w:val="231F20"/>
          <w:spacing w:val="-25"/>
        </w:rPr>
        <w:t xml:space="preserve"> </w:t>
      </w:r>
      <w:r>
        <w:rPr>
          <w:color w:val="231F20"/>
        </w:rPr>
        <w:t>bite</w:t>
      </w:r>
      <w:r>
        <w:rPr>
          <w:color w:val="231F20"/>
          <w:spacing w:val="-25"/>
        </w:rPr>
        <w:t xml:space="preserve"> </w:t>
      </w:r>
      <w:r>
        <w:rPr>
          <w:color w:val="231F20"/>
        </w:rPr>
        <w:t>reduction</w:t>
      </w:r>
      <w:r>
        <w:rPr>
          <w:color w:val="231F20"/>
          <w:spacing w:val="-25"/>
        </w:rPr>
        <w:t xml:space="preserve"> </w:t>
      </w:r>
      <w:r>
        <w:rPr>
          <w:color w:val="231F20"/>
        </w:rPr>
        <w:t>in</w:t>
      </w:r>
      <w:r>
        <w:rPr>
          <w:color w:val="231F20"/>
          <w:spacing w:val="-25"/>
        </w:rPr>
        <w:t xml:space="preserve"> </w:t>
      </w:r>
      <w:r>
        <w:rPr>
          <w:color w:val="231F20"/>
        </w:rPr>
        <w:t>Rivers</w:t>
      </w:r>
      <w:r>
        <w:rPr>
          <w:color w:val="231F20"/>
          <w:spacing w:val="-25"/>
        </w:rPr>
        <w:t xml:space="preserve"> </w:t>
      </w:r>
      <w:r>
        <w:rPr>
          <w:color w:val="231F20"/>
        </w:rPr>
        <w:t>State.</w:t>
      </w:r>
    </w:p>
    <w:p w14:paraId="7F07FC74" w14:textId="77777777" w:rsidR="009948F1" w:rsidRDefault="009948F1">
      <w:pPr>
        <w:spacing w:line="386" w:lineRule="auto"/>
        <w:jc w:val="both"/>
        <w:sectPr w:rsidR="009948F1">
          <w:pgSz w:w="11910" w:h="16840"/>
          <w:pgMar w:top="1180" w:right="1080" w:bottom="1420" w:left="1120" w:header="0" w:footer="1235" w:gutter="0"/>
          <w:cols w:space="720"/>
        </w:sectPr>
      </w:pPr>
    </w:p>
    <w:p w14:paraId="706CF3CF" w14:textId="77777777" w:rsidR="009948F1" w:rsidRDefault="00BC0563">
      <w:pPr>
        <w:pStyle w:val="BodyText"/>
        <w:spacing w:before="35"/>
        <w:ind w:left="151" w:right="163"/>
        <w:jc w:val="both"/>
      </w:pPr>
      <w:bookmarkStart w:id="88" w:name="Page_74"/>
      <w:bookmarkEnd w:id="88"/>
      <w:r>
        <w:rPr>
          <w:color w:val="231F20"/>
        </w:rPr>
        <w:lastRenderedPageBreak/>
        <w:t xml:space="preserve">Draw up Work plan and budget for anti-snake bite </w:t>
      </w:r>
      <w:proofErr w:type="spellStart"/>
      <w:r>
        <w:rPr>
          <w:color w:val="231F20"/>
        </w:rPr>
        <w:t>programme</w:t>
      </w:r>
      <w:proofErr w:type="spellEnd"/>
      <w:r>
        <w:rPr>
          <w:color w:val="231F20"/>
        </w:rPr>
        <w:t xml:space="preserve">. Identify all potential sources </w:t>
      </w:r>
      <w:r>
        <w:rPr>
          <w:color w:val="231F20"/>
          <w:spacing w:val="-7"/>
        </w:rPr>
        <w:t xml:space="preserve">of </w:t>
      </w:r>
      <w:r>
        <w:rPr>
          <w:color w:val="231F20"/>
        </w:rPr>
        <w:t>funding and partnership; Conduct advocacy visits to incorporate policies and regulations into the State</w:t>
      </w:r>
      <w:r>
        <w:rPr>
          <w:color w:val="231F20"/>
          <w:spacing w:val="-26"/>
        </w:rPr>
        <w:t xml:space="preserve"> </w:t>
      </w:r>
      <w:r>
        <w:rPr>
          <w:color w:val="231F20"/>
        </w:rPr>
        <w:t>Legislative</w:t>
      </w:r>
      <w:r>
        <w:rPr>
          <w:color w:val="231F20"/>
          <w:spacing w:val="-25"/>
        </w:rPr>
        <w:t xml:space="preserve"> </w:t>
      </w:r>
      <w:r>
        <w:rPr>
          <w:color w:val="231F20"/>
        </w:rPr>
        <w:t>system</w:t>
      </w:r>
      <w:r>
        <w:rPr>
          <w:color w:val="231F20"/>
          <w:spacing w:val="-25"/>
        </w:rPr>
        <w:t xml:space="preserve"> </w:t>
      </w:r>
      <w:r>
        <w:rPr>
          <w:color w:val="231F20"/>
        </w:rPr>
        <w:t>by</w:t>
      </w:r>
      <w:r>
        <w:rPr>
          <w:color w:val="231F20"/>
          <w:spacing w:val="-29"/>
        </w:rPr>
        <w:t xml:space="preserve"> </w:t>
      </w:r>
      <w:r>
        <w:rPr>
          <w:color w:val="231F20"/>
        </w:rPr>
        <w:t>TWG;</w:t>
      </w:r>
      <w:r>
        <w:rPr>
          <w:color w:val="231F20"/>
          <w:spacing w:val="-25"/>
        </w:rPr>
        <w:t xml:space="preserve"> </w:t>
      </w:r>
      <w:r>
        <w:rPr>
          <w:color w:val="231F20"/>
        </w:rPr>
        <w:t>Print</w:t>
      </w:r>
      <w:r>
        <w:rPr>
          <w:color w:val="231F20"/>
          <w:spacing w:val="-25"/>
        </w:rPr>
        <w:t xml:space="preserve"> </w:t>
      </w:r>
      <w:r>
        <w:rPr>
          <w:color w:val="231F20"/>
        </w:rPr>
        <w:t>and</w:t>
      </w:r>
      <w:r>
        <w:rPr>
          <w:color w:val="231F20"/>
          <w:spacing w:val="-25"/>
        </w:rPr>
        <w:t xml:space="preserve"> </w:t>
      </w:r>
      <w:r>
        <w:rPr>
          <w:color w:val="231F20"/>
        </w:rPr>
        <w:t>disseminate</w:t>
      </w:r>
      <w:r>
        <w:rPr>
          <w:color w:val="231F20"/>
          <w:spacing w:val="-25"/>
        </w:rPr>
        <w:t xml:space="preserve"> </w:t>
      </w:r>
      <w:r>
        <w:rPr>
          <w:color w:val="231F20"/>
        </w:rPr>
        <w:t>anti</w:t>
      </w:r>
      <w:r>
        <w:rPr>
          <w:color w:val="231F20"/>
          <w:spacing w:val="-25"/>
        </w:rPr>
        <w:t xml:space="preserve"> </w:t>
      </w:r>
      <w:r>
        <w:rPr>
          <w:color w:val="231F20"/>
        </w:rPr>
        <w:t>snakebite</w:t>
      </w:r>
      <w:r>
        <w:rPr>
          <w:color w:val="231F20"/>
          <w:spacing w:val="-25"/>
        </w:rPr>
        <w:t xml:space="preserve"> </w:t>
      </w:r>
      <w:r>
        <w:rPr>
          <w:color w:val="231F20"/>
        </w:rPr>
        <w:t>policies</w:t>
      </w:r>
      <w:r>
        <w:rPr>
          <w:color w:val="231F20"/>
          <w:spacing w:val="-25"/>
        </w:rPr>
        <w:t xml:space="preserve"> </w:t>
      </w:r>
      <w:r>
        <w:rPr>
          <w:color w:val="231F20"/>
        </w:rPr>
        <w:t>to</w:t>
      </w:r>
      <w:r>
        <w:rPr>
          <w:color w:val="231F20"/>
          <w:spacing w:val="-25"/>
        </w:rPr>
        <w:t xml:space="preserve"> </w:t>
      </w:r>
      <w:r>
        <w:rPr>
          <w:color w:val="231F20"/>
        </w:rPr>
        <w:t>all</w:t>
      </w:r>
      <w:r>
        <w:rPr>
          <w:color w:val="231F20"/>
          <w:spacing w:val="-25"/>
        </w:rPr>
        <w:t xml:space="preserve"> </w:t>
      </w:r>
      <w:r>
        <w:rPr>
          <w:color w:val="231F20"/>
        </w:rPr>
        <w:t>parastatals.</w:t>
      </w:r>
    </w:p>
    <w:p w14:paraId="1ED24E34" w14:textId="77777777" w:rsidR="009948F1" w:rsidRDefault="009948F1">
      <w:pPr>
        <w:pStyle w:val="BodyText"/>
        <w:rPr>
          <w:sz w:val="26"/>
        </w:rPr>
      </w:pPr>
    </w:p>
    <w:p w14:paraId="050EDA11" w14:textId="77777777" w:rsidR="009948F1" w:rsidRDefault="00BC0563">
      <w:pPr>
        <w:pStyle w:val="ListParagraph"/>
        <w:numPr>
          <w:ilvl w:val="3"/>
          <w:numId w:val="274"/>
        </w:numPr>
        <w:tabs>
          <w:tab w:val="left" w:pos="866"/>
        </w:tabs>
        <w:spacing w:line="261" w:lineRule="auto"/>
        <w:ind w:left="150" w:right="163" w:firstLine="0"/>
      </w:pPr>
      <w:r>
        <w:rPr>
          <w:color w:val="231F20"/>
        </w:rPr>
        <w:t>Scale</w:t>
      </w:r>
      <w:r>
        <w:rPr>
          <w:color w:val="231F20"/>
          <w:spacing w:val="-22"/>
        </w:rPr>
        <w:t xml:space="preserve"> </w:t>
      </w:r>
      <w:r>
        <w:rPr>
          <w:color w:val="231F20"/>
        </w:rPr>
        <w:t>up</w:t>
      </w:r>
      <w:r>
        <w:rPr>
          <w:color w:val="231F20"/>
          <w:spacing w:val="-21"/>
        </w:rPr>
        <w:t xml:space="preserve"> </w:t>
      </w:r>
      <w:r>
        <w:rPr>
          <w:color w:val="231F20"/>
        </w:rPr>
        <w:t>sustainable</w:t>
      </w:r>
      <w:r>
        <w:rPr>
          <w:color w:val="231F20"/>
          <w:spacing w:val="-21"/>
        </w:rPr>
        <w:t xml:space="preserve"> </w:t>
      </w:r>
      <w:r>
        <w:rPr>
          <w:color w:val="231F20"/>
        </w:rPr>
        <w:t>supply</w:t>
      </w:r>
      <w:r>
        <w:rPr>
          <w:color w:val="231F20"/>
          <w:spacing w:val="-21"/>
        </w:rPr>
        <w:t xml:space="preserve"> </w:t>
      </w:r>
      <w:r>
        <w:rPr>
          <w:color w:val="231F20"/>
        </w:rPr>
        <w:t>of</w:t>
      </w:r>
      <w:r>
        <w:rPr>
          <w:color w:val="231F20"/>
          <w:spacing w:val="-22"/>
        </w:rPr>
        <w:t xml:space="preserve"> </w:t>
      </w:r>
      <w:r>
        <w:rPr>
          <w:color w:val="231F20"/>
        </w:rPr>
        <w:t>anti-snake</w:t>
      </w:r>
      <w:r>
        <w:rPr>
          <w:color w:val="231F20"/>
          <w:spacing w:val="-21"/>
        </w:rPr>
        <w:t xml:space="preserve"> </w:t>
      </w:r>
      <w:r>
        <w:rPr>
          <w:color w:val="231F20"/>
        </w:rPr>
        <w:t>venom</w:t>
      </w:r>
      <w:r>
        <w:rPr>
          <w:color w:val="231F20"/>
          <w:spacing w:val="-21"/>
        </w:rPr>
        <w:t xml:space="preserve"> </w:t>
      </w:r>
      <w:r>
        <w:rPr>
          <w:color w:val="231F20"/>
        </w:rPr>
        <w:t>in</w:t>
      </w:r>
      <w:r>
        <w:rPr>
          <w:color w:val="231F20"/>
          <w:spacing w:val="-22"/>
        </w:rPr>
        <w:t xml:space="preserve"> </w:t>
      </w:r>
      <w:r>
        <w:rPr>
          <w:color w:val="231F20"/>
        </w:rPr>
        <w:t>Rivers</w:t>
      </w:r>
      <w:r>
        <w:rPr>
          <w:color w:val="231F20"/>
          <w:spacing w:val="-21"/>
        </w:rPr>
        <w:t xml:space="preserve"> </w:t>
      </w:r>
      <w:r>
        <w:rPr>
          <w:color w:val="231F20"/>
        </w:rPr>
        <w:t>State,</w:t>
      </w:r>
      <w:r>
        <w:rPr>
          <w:color w:val="231F20"/>
          <w:spacing w:val="-22"/>
        </w:rPr>
        <w:t xml:space="preserve"> </w:t>
      </w:r>
      <w:r>
        <w:rPr>
          <w:color w:val="231F20"/>
        </w:rPr>
        <w:t>including</w:t>
      </w:r>
      <w:r>
        <w:rPr>
          <w:color w:val="231F20"/>
          <w:spacing w:val="-21"/>
        </w:rPr>
        <w:t xml:space="preserve"> </w:t>
      </w:r>
      <w:r>
        <w:rPr>
          <w:color w:val="231F20"/>
        </w:rPr>
        <w:t>local</w:t>
      </w:r>
      <w:r>
        <w:rPr>
          <w:color w:val="231F20"/>
          <w:spacing w:val="-21"/>
        </w:rPr>
        <w:t xml:space="preserve"> </w:t>
      </w:r>
      <w:r>
        <w:rPr>
          <w:color w:val="231F20"/>
        </w:rPr>
        <w:t>production. Key</w:t>
      </w:r>
      <w:r>
        <w:rPr>
          <w:color w:val="231F20"/>
          <w:spacing w:val="-8"/>
        </w:rPr>
        <w:t xml:space="preserve"> </w:t>
      </w:r>
      <w:r>
        <w:rPr>
          <w:color w:val="231F20"/>
        </w:rPr>
        <w:t>activities</w:t>
      </w:r>
      <w:r>
        <w:rPr>
          <w:color w:val="231F20"/>
          <w:spacing w:val="-8"/>
        </w:rPr>
        <w:t xml:space="preserve"> </w:t>
      </w:r>
      <w:r>
        <w:rPr>
          <w:color w:val="231F20"/>
        </w:rPr>
        <w:t>are;</w:t>
      </w:r>
      <w:r>
        <w:rPr>
          <w:color w:val="231F20"/>
          <w:spacing w:val="-8"/>
        </w:rPr>
        <w:t xml:space="preserve"> </w:t>
      </w:r>
      <w:r>
        <w:rPr>
          <w:color w:val="231F20"/>
        </w:rPr>
        <w:t>-</w:t>
      </w:r>
      <w:r>
        <w:rPr>
          <w:color w:val="231F20"/>
          <w:spacing w:val="-7"/>
        </w:rPr>
        <w:t xml:space="preserve"> </w:t>
      </w:r>
      <w:r>
        <w:rPr>
          <w:color w:val="231F20"/>
        </w:rPr>
        <w:t>Conduct</w:t>
      </w:r>
      <w:r>
        <w:rPr>
          <w:color w:val="231F20"/>
          <w:spacing w:val="-8"/>
        </w:rPr>
        <w:t xml:space="preserve"> </w:t>
      </w:r>
      <w:r>
        <w:rPr>
          <w:color w:val="231F20"/>
        </w:rPr>
        <w:t>review</w:t>
      </w:r>
      <w:r>
        <w:rPr>
          <w:color w:val="231F20"/>
          <w:spacing w:val="-8"/>
        </w:rPr>
        <w:t xml:space="preserve"> </w:t>
      </w:r>
      <w:r>
        <w:rPr>
          <w:color w:val="231F20"/>
        </w:rPr>
        <w:t>of</w:t>
      </w:r>
      <w:r>
        <w:rPr>
          <w:color w:val="231F20"/>
          <w:spacing w:val="-8"/>
        </w:rPr>
        <w:t xml:space="preserve"> </w:t>
      </w:r>
      <w:r>
        <w:rPr>
          <w:color w:val="231F20"/>
        </w:rPr>
        <w:t>existing</w:t>
      </w:r>
      <w:r>
        <w:rPr>
          <w:color w:val="231F20"/>
          <w:spacing w:val="-7"/>
        </w:rPr>
        <w:t xml:space="preserve"> </w:t>
      </w:r>
      <w:r>
        <w:rPr>
          <w:color w:val="231F20"/>
        </w:rPr>
        <w:t>sources</w:t>
      </w:r>
      <w:r>
        <w:rPr>
          <w:color w:val="231F20"/>
          <w:spacing w:val="-8"/>
        </w:rPr>
        <w:t xml:space="preserve"> </w:t>
      </w:r>
      <w:r>
        <w:rPr>
          <w:color w:val="231F20"/>
        </w:rPr>
        <w:t>of</w:t>
      </w:r>
      <w:r>
        <w:rPr>
          <w:color w:val="231F20"/>
          <w:spacing w:val="-8"/>
        </w:rPr>
        <w:t xml:space="preserve"> </w:t>
      </w:r>
      <w:r>
        <w:rPr>
          <w:color w:val="231F20"/>
        </w:rPr>
        <w:t>supply</w:t>
      </w:r>
      <w:r>
        <w:rPr>
          <w:color w:val="231F20"/>
          <w:spacing w:val="-8"/>
        </w:rPr>
        <w:t xml:space="preserve"> </w:t>
      </w:r>
      <w:r>
        <w:rPr>
          <w:color w:val="231F20"/>
        </w:rPr>
        <w:t>of</w:t>
      </w:r>
      <w:r>
        <w:rPr>
          <w:color w:val="231F20"/>
          <w:spacing w:val="-7"/>
        </w:rPr>
        <w:t xml:space="preserve"> </w:t>
      </w:r>
      <w:r>
        <w:rPr>
          <w:color w:val="231F20"/>
        </w:rPr>
        <w:t>anti-snake</w:t>
      </w:r>
      <w:r>
        <w:rPr>
          <w:color w:val="231F20"/>
          <w:spacing w:val="-8"/>
        </w:rPr>
        <w:t xml:space="preserve"> </w:t>
      </w:r>
      <w:r>
        <w:rPr>
          <w:color w:val="231F20"/>
        </w:rPr>
        <w:t>venom</w:t>
      </w:r>
      <w:r>
        <w:rPr>
          <w:color w:val="231F20"/>
          <w:spacing w:val="-8"/>
        </w:rPr>
        <w:t xml:space="preserve"> </w:t>
      </w:r>
      <w:r>
        <w:rPr>
          <w:color w:val="231F20"/>
        </w:rPr>
        <w:t>and</w:t>
      </w:r>
      <w:r>
        <w:rPr>
          <w:color w:val="231F20"/>
          <w:spacing w:val="-8"/>
        </w:rPr>
        <w:t xml:space="preserve"> </w:t>
      </w:r>
      <w:r>
        <w:rPr>
          <w:color w:val="231F20"/>
        </w:rPr>
        <w:t xml:space="preserve">identify institutions and companies involved with snake venom research for local production; Support procurement and distribution of anti-venoms and complimentary items (analgesics, TT </w:t>
      </w:r>
      <w:r>
        <w:rPr>
          <w:color w:val="231F20"/>
          <w:spacing w:val="-4"/>
        </w:rPr>
        <w:t xml:space="preserve">and </w:t>
      </w:r>
      <w:r>
        <w:rPr>
          <w:color w:val="231F20"/>
        </w:rPr>
        <w:t>antisera,</w:t>
      </w:r>
      <w:r>
        <w:rPr>
          <w:color w:val="231F20"/>
          <w:spacing w:val="-19"/>
        </w:rPr>
        <w:t xml:space="preserve"> </w:t>
      </w:r>
      <w:r>
        <w:rPr>
          <w:color w:val="231F20"/>
        </w:rPr>
        <w:t>parenteral</w:t>
      </w:r>
      <w:r>
        <w:rPr>
          <w:color w:val="231F20"/>
          <w:spacing w:val="-18"/>
        </w:rPr>
        <w:t xml:space="preserve"> </w:t>
      </w:r>
      <w:r>
        <w:rPr>
          <w:color w:val="231F20"/>
        </w:rPr>
        <w:t>fluids,</w:t>
      </w:r>
      <w:r>
        <w:rPr>
          <w:color w:val="231F20"/>
          <w:spacing w:val="-18"/>
        </w:rPr>
        <w:t xml:space="preserve"> </w:t>
      </w:r>
      <w:r>
        <w:rPr>
          <w:color w:val="231F20"/>
        </w:rPr>
        <w:t>wound</w:t>
      </w:r>
      <w:r>
        <w:rPr>
          <w:color w:val="231F20"/>
          <w:spacing w:val="-18"/>
        </w:rPr>
        <w:t xml:space="preserve"> </w:t>
      </w:r>
      <w:r>
        <w:rPr>
          <w:color w:val="231F20"/>
        </w:rPr>
        <w:t>care</w:t>
      </w:r>
      <w:r>
        <w:rPr>
          <w:color w:val="231F20"/>
          <w:spacing w:val="-18"/>
        </w:rPr>
        <w:t xml:space="preserve"> </w:t>
      </w:r>
      <w:r>
        <w:rPr>
          <w:color w:val="231F20"/>
        </w:rPr>
        <w:t>consumables</w:t>
      </w:r>
      <w:r>
        <w:rPr>
          <w:color w:val="231F20"/>
          <w:spacing w:val="-18"/>
        </w:rPr>
        <w:t xml:space="preserve"> </w:t>
      </w:r>
      <w:r>
        <w:rPr>
          <w:color w:val="231F20"/>
        </w:rPr>
        <w:t>etc.);</w:t>
      </w:r>
      <w:r>
        <w:rPr>
          <w:color w:val="231F20"/>
          <w:spacing w:val="-18"/>
        </w:rPr>
        <w:t xml:space="preserve"> </w:t>
      </w:r>
      <w:r>
        <w:rPr>
          <w:color w:val="231F20"/>
        </w:rPr>
        <w:t>Conduct</w:t>
      </w:r>
      <w:r>
        <w:rPr>
          <w:color w:val="231F20"/>
          <w:spacing w:val="-19"/>
        </w:rPr>
        <w:t xml:space="preserve"> </w:t>
      </w:r>
      <w:r>
        <w:rPr>
          <w:color w:val="231F20"/>
        </w:rPr>
        <w:t>resource</w:t>
      </w:r>
      <w:r>
        <w:rPr>
          <w:color w:val="231F20"/>
          <w:spacing w:val="-18"/>
        </w:rPr>
        <w:t xml:space="preserve"> </w:t>
      </w:r>
      <w:r>
        <w:rPr>
          <w:color w:val="231F20"/>
        </w:rPr>
        <w:t>mobilization</w:t>
      </w:r>
      <w:r>
        <w:rPr>
          <w:color w:val="231F20"/>
          <w:spacing w:val="-18"/>
        </w:rPr>
        <w:t xml:space="preserve"> </w:t>
      </w:r>
      <w:r>
        <w:rPr>
          <w:color w:val="231F20"/>
        </w:rPr>
        <w:t>activities for</w:t>
      </w:r>
      <w:r>
        <w:rPr>
          <w:color w:val="231F20"/>
          <w:spacing w:val="-25"/>
        </w:rPr>
        <w:t xml:space="preserve"> </w:t>
      </w:r>
      <w:r>
        <w:rPr>
          <w:color w:val="231F20"/>
        </w:rPr>
        <w:t>implementation:</w:t>
      </w:r>
      <w:r>
        <w:rPr>
          <w:color w:val="231F20"/>
          <w:spacing w:val="-26"/>
        </w:rPr>
        <w:t xml:space="preserve"> </w:t>
      </w:r>
      <w:r>
        <w:rPr>
          <w:color w:val="231F20"/>
        </w:rPr>
        <w:t>advocacy</w:t>
      </w:r>
      <w:r>
        <w:rPr>
          <w:color w:val="231F20"/>
          <w:spacing w:val="-25"/>
        </w:rPr>
        <w:t xml:space="preserve"> </w:t>
      </w:r>
      <w:r>
        <w:rPr>
          <w:color w:val="231F20"/>
        </w:rPr>
        <w:t>visits</w:t>
      </w:r>
      <w:r>
        <w:rPr>
          <w:color w:val="231F20"/>
          <w:spacing w:val="-25"/>
        </w:rPr>
        <w:t xml:space="preserve"> </w:t>
      </w:r>
      <w:r>
        <w:rPr>
          <w:color w:val="231F20"/>
        </w:rPr>
        <w:t>to</w:t>
      </w:r>
      <w:r>
        <w:rPr>
          <w:color w:val="231F20"/>
          <w:spacing w:val="-25"/>
        </w:rPr>
        <w:t xml:space="preserve"> </w:t>
      </w:r>
      <w:r>
        <w:rPr>
          <w:color w:val="231F20"/>
        </w:rPr>
        <w:t>identified</w:t>
      </w:r>
      <w:r>
        <w:rPr>
          <w:color w:val="231F20"/>
          <w:spacing w:val="-25"/>
        </w:rPr>
        <w:t xml:space="preserve"> </w:t>
      </w:r>
      <w:r>
        <w:rPr>
          <w:color w:val="231F20"/>
        </w:rPr>
        <w:t>sources</w:t>
      </w:r>
      <w:r>
        <w:rPr>
          <w:color w:val="231F20"/>
          <w:spacing w:val="-25"/>
        </w:rPr>
        <w:t xml:space="preserve"> </w:t>
      </w:r>
      <w:r>
        <w:rPr>
          <w:color w:val="231F20"/>
        </w:rPr>
        <w:t>of</w:t>
      </w:r>
      <w:r>
        <w:rPr>
          <w:color w:val="231F20"/>
          <w:spacing w:val="-25"/>
        </w:rPr>
        <w:t xml:space="preserve"> </w:t>
      </w:r>
      <w:r>
        <w:rPr>
          <w:color w:val="231F20"/>
        </w:rPr>
        <w:t>funding.</w:t>
      </w:r>
    </w:p>
    <w:p w14:paraId="25D061FE" w14:textId="77777777" w:rsidR="009948F1" w:rsidRDefault="009948F1">
      <w:pPr>
        <w:pStyle w:val="BodyText"/>
        <w:spacing w:before="1"/>
        <w:rPr>
          <w:sz w:val="24"/>
        </w:rPr>
      </w:pPr>
    </w:p>
    <w:p w14:paraId="464C205E" w14:textId="77777777" w:rsidR="009948F1" w:rsidRDefault="00BC0563">
      <w:pPr>
        <w:pStyle w:val="ListParagraph"/>
        <w:numPr>
          <w:ilvl w:val="3"/>
          <w:numId w:val="274"/>
        </w:numPr>
        <w:tabs>
          <w:tab w:val="left" w:pos="876"/>
        </w:tabs>
        <w:spacing w:before="1" w:line="261" w:lineRule="auto"/>
        <w:ind w:left="150" w:right="164" w:firstLine="0"/>
      </w:pPr>
      <w:r>
        <w:rPr>
          <w:color w:val="231F20"/>
        </w:rPr>
        <w:t>Build</w:t>
      </w:r>
      <w:r>
        <w:rPr>
          <w:color w:val="231F20"/>
          <w:spacing w:val="-12"/>
        </w:rPr>
        <w:t xml:space="preserve"> </w:t>
      </w:r>
      <w:r>
        <w:rPr>
          <w:color w:val="231F20"/>
        </w:rPr>
        <w:t>capacity</w:t>
      </w:r>
      <w:r>
        <w:rPr>
          <w:color w:val="231F20"/>
          <w:spacing w:val="-11"/>
        </w:rPr>
        <w:t xml:space="preserve"> </w:t>
      </w:r>
      <w:r>
        <w:rPr>
          <w:color w:val="231F20"/>
        </w:rPr>
        <w:t>of</w:t>
      </w:r>
      <w:r>
        <w:rPr>
          <w:color w:val="231F20"/>
          <w:spacing w:val="-11"/>
        </w:rPr>
        <w:t xml:space="preserve"> </w:t>
      </w:r>
      <w:r>
        <w:rPr>
          <w:color w:val="231F20"/>
        </w:rPr>
        <w:t>health</w:t>
      </w:r>
      <w:r>
        <w:rPr>
          <w:color w:val="231F20"/>
          <w:spacing w:val="-11"/>
        </w:rPr>
        <w:t xml:space="preserve"> </w:t>
      </w:r>
      <w:r>
        <w:rPr>
          <w:color w:val="231F20"/>
        </w:rPr>
        <w:t>care</w:t>
      </w:r>
      <w:r>
        <w:rPr>
          <w:color w:val="231F20"/>
          <w:spacing w:val="-11"/>
        </w:rPr>
        <w:t xml:space="preserve"> </w:t>
      </w:r>
      <w:r>
        <w:rPr>
          <w:color w:val="231F20"/>
        </w:rPr>
        <w:t>workers</w:t>
      </w:r>
      <w:r>
        <w:rPr>
          <w:color w:val="231F20"/>
          <w:spacing w:val="-11"/>
        </w:rPr>
        <w:t xml:space="preserve"> </w:t>
      </w:r>
      <w:r>
        <w:rPr>
          <w:color w:val="231F20"/>
        </w:rPr>
        <w:t>on</w:t>
      </w:r>
      <w:r>
        <w:rPr>
          <w:color w:val="231F20"/>
          <w:spacing w:val="-11"/>
        </w:rPr>
        <w:t xml:space="preserve"> </w:t>
      </w:r>
      <w:r>
        <w:rPr>
          <w:color w:val="231F20"/>
        </w:rPr>
        <w:t>snakebite</w:t>
      </w:r>
      <w:r>
        <w:rPr>
          <w:color w:val="231F20"/>
          <w:spacing w:val="-11"/>
        </w:rPr>
        <w:t xml:space="preserve"> </w:t>
      </w:r>
      <w:r>
        <w:rPr>
          <w:color w:val="231F20"/>
        </w:rPr>
        <w:t>management</w:t>
      </w:r>
      <w:r>
        <w:rPr>
          <w:color w:val="231F20"/>
          <w:spacing w:val="-11"/>
        </w:rPr>
        <w:t xml:space="preserve"> </w:t>
      </w:r>
      <w:r>
        <w:rPr>
          <w:color w:val="231F20"/>
        </w:rPr>
        <w:t>at</w:t>
      </w:r>
      <w:r>
        <w:rPr>
          <w:color w:val="231F20"/>
          <w:spacing w:val="-11"/>
        </w:rPr>
        <w:t xml:space="preserve"> </w:t>
      </w:r>
      <w:r>
        <w:rPr>
          <w:color w:val="231F20"/>
        </w:rPr>
        <w:t>all</w:t>
      </w:r>
      <w:r>
        <w:rPr>
          <w:color w:val="231F20"/>
          <w:spacing w:val="-12"/>
        </w:rPr>
        <w:t xml:space="preserve"> </w:t>
      </w:r>
      <w:r>
        <w:rPr>
          <w:color w:val="231F20"/>
        </w:rPr>
        <w:t>levels.</w:t>
      </w:r>
      <w:r>
        <w:rPr>
          <w:color w:val="231F20"/>
          <w:spacing w:val="-11"/>
        </w:rPr>
        <w:t xml:space="preserve"> </w:t>
      </w:r>
      <w:r>
        <w:rPr>
          <w:color w:val="231F20"/>
        </w:rPr>
        <w:t>Key</w:t>
      </w:r>
      <w:r>
        <w:rPr>
          <w:color w:val="231F20"/>
          <w:spacing w:val="-11"/>
        </w:rPr>
        <w:t xml:space="preserve"> </w:t>
      </w:r>
      <w:r>
        <w:rPr>
          <w:color w:val="231F20"/>
        </w:rPr>
        <w:t>activities are;</w:t>
      </w:r>
      <w:r>
        <w:rPr>
          <w:color w:val="231F20"/>
          <w:spacing w:val="-25"/>
        </w:rPr>
        <w:t xml:space="preserve"> </w:t>
      </w:r>
      <w:r>
        <w:rPr>
          <w:color w:val="231F20"/>
        </w:rPr>
        <w:t>–</w:t>
      </w:r>
      <w:r>
        <w:rPr>
          <w:color w:val="231F20"/>
          <w:spacing w:val="-24"/>
        </w:rPr>
        <w:t xml:space="preserve"> </w:t>
      </w:r>
      <w:r>
        <w:rPr>
          <w:color w:val="231F20"/>
        </w:rPr>
        <w:t>Conduct</w:t>
      </w:r>
      <w:r>
        <w:rPr>
          <w:color w:val="231F20"/>
          <w:spacing w:val="-29"/>
        </w:rPr>
        <w:t xml:space="preserve"> </w:t>
      </w:r>
      <w:r>
        <w:rPr>
          <w:color w:val="231F20"/>
        </w:rPr>
        <w:t>TOT</w:t>
      </w:r>
      <w:r>
        <w:rPr>
          <w:color w:val="231F20"/>
          <w:spacing w:val="-28"/>
        </w:rPr>
        <w:t xml:space="preserve"> </w:t>
      </w:r>
      <w:r>
        <w:rPr>
          <w:color w:val="231F20"/>
        </w:rPr>
        <w:t>of</w:t>
      </w:r>
      <w:r>
        <w:rPr>
          <w:color w:val="231F20"/>
          <w:spacing w:val="-24"/>
        </w:rPr>
        <w:t xml:space="preserve"> </w:t>
      </w:r>
      <w:r>
        <w:rPr>
          <w:color w:val="231F20"/>
        </w:rPr>
        <w:t>state</w:t>
      </w:r>
      <w:r>
        <w:rPr>
          <w:color w:val="231F20"/>
          <w:spacing w:val="-25"/>
        </w:rPr>
        <w:t xml:space="preserve"> </w:t>
      </w:r>
      <w:r>
        <w:rPr>
          <w:color w:val="231F20"/>
        </w:rPr>
        <w:t>officers</w:t>
      </w:r>
      <w:r>
        <w:rPr>
          <w:color w:val="231F20"/>
          <w:spacing w:val="-24"/>
        </w:rPr>
        <w:t xml:space="preserve"> </w:t>
      </w:r>
      <w:r>
        <w:rPr>
          <w:color w:val="231F20"/>
        </w:rPr>
        <w:t>on</w:t>
      </w:r>
      <w:r>
        <w:rPr>
          <w:color w:val="231F20"/>
          <w:spacing w:val="-24"/>
        </w:rPr>
        <w:t xml:space="preserve"> </w:t>
      </w:r>
      <w:r>
        <w:rPr>
          <w:color w:val="231F20"/>
        </w:rPr>
        <w:t>snakebite</w:t>
      </w:r>
      <w:r>
        <w:rPr>
          <w:color w:val="231F20"/>
          <w:spacing w:val="-25"/>
        </w:rPr>
        <w:t xml:space="preserve"> </w:t>
      </w:r>
      <w:r>
        <w:rPr>
          <w:color w:val="231F20"/>
        </w:rPr>
        <w:t>management;</w:t>
      </w:r>
      <w:r>
        <w:rPr>
          <w:color w:val="231F20"/>
          <w:spacing w:val="-24"/>
        </w:rPr>
        <w:t xml:space="preserve"> </w:t>
      </w:r>
      <w:r>
        <w:rPr>
          <w:color w:val="231F20"/>
        </w:rPr>
        <w:t>Conduct</w:t>
      </w:r>
      <w:r>
        <w:rPr>
          <w:color w:val="231F20"/>
          <w:spacing w:val="-25"/>
        </w:rPr>
        <w:t xml:space="preserve"> </w:t>
      </w:r>
      <w:r>
        <w:rPr>
          <w:color w:val="231F20"/>
        </w:rPr>
        <w:t>trainings</w:t>
      </w:r>
      <w:r>
        <w:rPr>
          <w:color w:val="231F20"/>
          <w:spacing w:val="-24"/>
        </w:rPr>
        <w:t xml:space="preserve"> </w:t>
      </w:r>
      <w:r>
        <w:rPr>
          <w:color w:val="231F20"/>
        </w:rPr>
        <w:t>of</w:t>
      </w:r>
      <w:r>
        <w:rPr>
          <w:color w:val="231F20"/>
          <w:spacing w:val="-24"/>
        </w:rPr>
        <w:t xml:space="preserve"> </w:t>
      </w:r>
      <w:r>
        <w:rPr>
          <w:color w:val="231F20"/>
        </w:rPr>
        <w:t>health</w:t>
      </w:r>
      <w:r>
        <w:rPr>
          <w:color w:val="231F20"/>
          <w:spacing w:val="-25"/>
        </w:rPr>
        <w:t xml:space="preserve"> </w:t>
      </w:r>
      <w:r>
        <w:rPr>
          <w:color w:val="231F20"/>
        </w:rPr>
        <w:t xml:space="preserve">workers on appropriate snakebite management at State level, including on data management </w:t>
      </w:r>
      <w:r>
        <w:rPr>
          <w:color w:val="231F20"/>
          <w:spacing w:val="-7"/>
        </w:rPr>
        <w:t xml:space="preserve">on </w:t>
      </w:r>
      <w:r>
        <w:rPr>
          <w:color w:val="231F20"/>
        </w:rPr>
        <w:t>snakebites;</w:t>
      </w:r>
      <w:r>
        <w:rPr>
          <w:color w:val="231F20"/>
          <w:spacing w:val="-10"/>
        </w:rPr>
        <w:t xml:space="preserve"> </w:t>
      </w:r>
      <w:r>
        <w:rPr>
          <w:color w:val="231F20"/>
        </w:rPr>
        <w:t>Conduct</w:t>
      </w:r>
      <w:r>
        <w:rPr>
          <w:color w:val="231F20"/>
          <w:spacing w:val="-9"/>
        </w:rPr>
        <w:t xml:space="preserve"> </w:t>
      </w:r>
      <w:r>
        <w:rPr>
          <w:color w:val="231F20"/>
        </w:rPr>
        <w:t>training</w:t>
      </w:r>
      <w:r>
        <w:rPr>
          <w:color w:val="231F20"/>
          <w:spacing w:val="-9"/>
        </w:rPr>
        <w:t xml:space="preserve"> </w:t>
      </w:r>
      <w:r>
        <w:rPr>
          <w:color w:val="231F20"/>
        </w:rPr>
        <w:t>of</w:t>
      </w:r>
      <w:r>
        <w:rPr>
          <w:color w:val="231F20"/>
          <w:spacing w:val="-9"/>
        </w:rPr>
        <w:t xml:space="preserve"> </w:t>
      </w:r>
      <w:r>
        <w:rPr>
          <w:color w:val="231F20"/>
        </w:rPr>
        <w:t>all</w:t>
      </w:r>
      <w:r>
        <w:rPr>
          <w:color w:val="231F20"/>
          <w:spacing w:val="-9"/>
        </w:rPr>
        <w:t xml:space="preserve"> </w:t>
      </w:r>
      <w:r>
        <w:rPr>
          <w:color w:val="231F20"/>
        </w:rPr>
        <w:t>levels</w:t>
      </w:r>
      <w:r>
        <w:rPr>
          <w:color w:val="231F20"/>
          <w:spacing w:val="-9"/>
        </w:rPr>
        <w:t xml:space="preserve"> </w:t>
      </w:r>
      <w:r>
        <w:rPr>
          <w:color w:val="231F20"/>
        </w:rPr>
        <w:t>of</w:t>
      </w:r>
      <w:r>
        <w:rPr>
          <w:color w:val="231F20"/>
          <w:spacing w:val="-9"/>
        </w:rPr>
        <w:t xml:space="preserve"> </w:t>
      </w:r>
      <w:r>
        <w:rPr>
          <w:color w:val="231F20"/>
        </w:rPr>
        <w:t>health</w:t>
      </w:r>
      <w:r>
        <w:rPr>
          <w:color w:val="231F20"/>
          <w:spacing w:val="-10"/>
        </w:rPr>
        <w:t xml:space="preserve"> </w:t>
      </w:r>
      <w:r>
        <w:rPr>
          <w:color w:val="231F20"/>
        </w:rPr>
        <w:t>workers</w:t>
      </w:r>
      <w:r>
        <w:rPr>
          <w:color w:val="231F20"/>
          <w:spacing w:val="-9"/>
        </w:rPr>
        <w:t xml:space="preserve"> </w:t>
      </w:r>
      <w:r>
        <w:rPr>
          <w:color w:val="231F20"/>
        </w:rPr>
        <w:t>on</w:t>
      </w:r>
      <w:r>
        <w:rPr>
          <w:color w:val="231F20"/>
          <w:spacing w:val="-9"/>
        </w:rPr>
        <w:t xml:space="preserve"> </w:t>
      </w:r>
      <w:r>
        <w:rPr>
          <w:color w:val="231F20"/>
        </w:rPr>
        <w:t>appropriate</w:t>
      </w:r>
      <w:r>
        <w:rPr>
          <w:color w:val="231F20"/>
          <w:spacing w:val="-9"/>
        </w:rPr>
        <w:t xml:space="preserve"> </w:t>
      </w:r>
      <w:r>
        <w:rPr>
          <w:color w:val="231F20"/>
        </w:rPr>
        <w:t>snakebite</w:t>
      </w:r>
      <w:r>
        <w:rPr>
          <w:color w:val="231F20"/>
          <w:spacing w:val="-9"/>
        </w:rPr>
        <w:t xml:space="preserve"> </w:t>
      </w:r>
      <w:r>
        <w:rPr>
          <w:color w:val="231F20"/>
        </w:rPr>
        <w:t>management at</w:t>
      </w:r>
      <w:r>
        <w:rPr>
          <w:color w:val="231F20"/>
          <w:spacing w:val="-25"/>
        </w:rPr>
        <w:t xml:space="preserve"> </w:t>
      </w:r>
      <w:r>
        <w:rPr>
          <w:color w:val="231F20"/>
        </w:rPr>
        <w:t>LG</w:t>
      </w:r>
      <w:r>
        <w:rPr>
          <w:color w:val="231F20"/>
          <w:spacing w:val="-26"/>
        </w:rPr>
        <w:t xml:space="preserve"> </w:t>
      </w:r>
      <w:r>
        <w:rPr>
          <w:color w:val="231F20"/>
        </w:rPr>
        <w:t>level,</w:t>
      </w:r>
      <w:r>
        <w:rPr>
          <w:color w:val="231F20"/>
          <w:spacing w:val="-25"/>
        </w:rPr>
        <w:t xml:space="preserve"> </w:t>
      </w:r>
      <w:r>
        <w:rPr>
          <w:color w:val="231F20"/>
        </w:rPr>
        <w:t>including</w:t>
      </w:r>
      <w:r>
        <w:rPr>
          <w:color w:val="231F20"/>
          <w:spacing w:val="-25"/>
        </w:rPr>
        <w:t xml:space="preserve"> </w:t>
      </w:r>
      <w:r>
        <w:rPr>
          <w:color w:val="231F20"/>
        </w:rPr>
        <w:t>on</w:t>
      </w:r>
      <w:r>
        <w:rPr>
          <w:color w:val="231F20"/>
          <w:spacing w:val="-25"/>
        </w:rPr>
        <w:t xml:space="preserve"> </w:t>
      </w:r>
      <w:r>
        <w:rPr>
          <w:color w:val="231F20"/>
        </w:rPr>
        <w:t>data</w:t>
      </w:r>
      <w:r>
        <w:rPr>
          <w:color w:val="231F20"/>
          <w:spacing w:val="-25"/>
        </w:rPr>
        <w:t xml:space="preserve"> </w:t>
      </w:r>
      <w:r>
        <w:rPr>
          <w:color w:val="231F20"/>
        </w:rPr>
        <w:t>management</w:t>
      </w:r>
      <w:r>
        <w:rPr>
          <w:color w:val="231F20"/>
          <w:spacing w:val="-25"/>
        </w:rPr>
        <w:t xml:space="preserve"> </w:t>
      </w:r>
      <w:r>
        <w:rPr>
          <w:color w:val="231F20"/>
        </w:rPr>
        <w:t>on</w:t>
      </w:r>
      <w:r>
        <w:rPr>
          <w:color w:val="231F20"/>
          <w:spacing w:val="-25"/>
        </w:rPr>
        <w:t xml:space="preserve"> </w:t>
      </w:r>
      <w:r>
        <w:rPr>
          <w:color w:val="231F20"/>
        </w:rPr>
        <w:t>snakebites.</w:t>
      </w:r>
    </w:p>
    <w:p w14:paraId="7182A0D8" w14:textId="77777777" w:rsidR="009948F1" w:rsidRDefault="009948F1">
      <w:pPr>
        <w:pStyle w:val="BodyText"/>
        <w:spacing w:before="1"/>
        <w:rPr>
          <w:sz w:val="24"/>
        </w:rPr>
      </w:pPr>
    </w:p>
    <w:p w14:paraId="3B61717C" w14:textId="77777777" w:rsidR="009948F1" w:rsidRDefault="00BC0563">
      <w:pPr>
        <w:pStyle w:val="ListParagraph"/>
        <w:numPr>
          <w:ilvl w:val="3"/>
          <w:numId w:val="274"/>
        </w:numPr>
        <w:tabs>
          <w:tab w:val="left" w:pos="889"/>
        </w:tabs>
        <w:spacing w:line="261" w:lineRule="auto"/>
        <w:ind w:left="150" w:right="163" w:firstLine="0"/>
      </w:pPr>
      <w:r>
        <w:rPr>
          <w:color w:val="231F20"/>
        </w:rPr>
        <w:t>Promote partnerships for national snakebite response. Key actions are; – Identify NGOs, FBOs, CBOs and related partners for partnership on national snakebite response; Conduct advocacies</w:t>
      </w:r>
      <w:r>
        <w:rPr>
          <w:color w:val="231F20"/>
          <w:spacing w:val="-25"/>
        </w:rPr>
        <w:t xml:space="preserve"> </w:t>
      </w:r>
      <w:r>
        <w:rPr>
          <w:color w:val="231F20"/>
        </w:rPr>
        <w:t>to</w:t>
      </w:r>
      <w:r>
        <w:rPr>
          <w:color w:val="231F20"/>
          <w:spacing w:val="-26"/>
        </w:rPr>
        <w:t xml:space="preserve"> </w:t>
      </w:r>
      <w:r>
        <w:rPr>
          <w:color w:val="231F20"/>
        </w:rPr>
        <w:t>identified</w:t>
      </w:r>
      <w:r>
        <w:rPr>
          <w:color w:val="231F20"/>
          <w:spacing w:val="-25"/>
        </w:rPr>
        <w:t xml:space="preserve"> </w:t>
      </w:r>
      <w:r>
        <w:rPr>
          <w:color w:val="231F20"/>
        </w:rPr>
        <w:t>partners</w:t>
      </w:r>
      <w:r>
        <w:rPr>
          <w:color w:val="231F20"/>
          <w:spacing w:val="-25"/>
        </w:rPr>
        <w:t xml:space="preserve"> </w:t>
      </w:r>
      <w:r>
        <w:rPr>
          <w:color w:val="231F20"/>
        </w:rPr>
        <w:t>for</w:t>
      </w:r>
      <w:r>
        <w:rPr>
          <w:color w:val="231F20"/>
          <w:spacing w:val="-25"/>
        </w:rPr>
        <w:t xml:space="preserve"> </w:t>
      </w:r>
      <w:r>
        <w:rPr>
          <w:color w:val="231F20"/>
        </w:rPr>
        <w:t>partnership</w:t>
      </w:r>
      <w:r>
        <w:rPr>
          <w:color w:val="231F20"/>
          <w:spacing w:val="-25"/>
        </w:rPr>
        <w:t xml:space="preserve"> </w:t>
      </w:r>
      <w:r>
        <w:rPr>
          <w:color w:val="231F20"/>
        </w:rPr>
        <w:t>negotiations.</w:t>
      </w:r>
    </w:p>
    <w:p w14:paraId="244B74FF" w14:textId="77777777" w:rsidR="009948F1" w:rsidRDefault="009948F1">
      <w:pPr>
        <w:pStyle w:val="BodyText"/>
        <w:rPr>
          <w:sz w:val="24"/>
        </w:rPr>
      </w:pPr>
    </w:p>
    <w:p w14:paraId="7DD41108" w14:textId="77777777" w:rsidR="009948F1" w:rsidRDefault="00BC0563">
      <w:pPr>
        <w:pStyle w:val="ListParagraph"/>
        <w:numPr>
          <w:ilvl w:val="3"/>
          <w:numId w:val="274"/>
        </w:numPr>
        <w:tabs>
          <w:tab w:val="left" w:pos="883"/>
        </w:tabs>
        <w:spacing w:before="1" w:line="261" w:lineRule="auto"/>
        <w:ind w:left="150" w:right="164" w:firstLine="0"/>
      </w:pPr>
      <w:r>
        <w:rPr>
          <w:color w:val="231F20"/>
        </w:rPr>
        <w:t>Scale up generation of local evidence to inform more responsive snakebite</w:t>
      </w:r>
      <w:r>
        <w:rPr>
          <w:color w:val="231F20"/>
          <w:spacing w:val="-35"/>
        </w:rPr>
        <w:t xml:space="preserve"> </w:t>
      </w:r>
      <w:r>
        <w:rPr>
          <w:color w:val="231F20"/>
        </w:rPr>
        <w:t xml:space="preserve">programming. Key activities are: Conduct periodic data quality assessments of snakebite </w:t>
      </w:r>
      <w:proofErr w:type="spellStart"/>
      <w:r>
        <w:rPr>
          <w:color w:val="231F20"/>
        </w:rPr>
        <w:t>programmes</w:t>
      </w:r>
      <w:proofErr w:type="spellEnd"/>
      <w:r>
        <w:rPr>
          <w:color w:val="231F20"/>
        </w:rPr>
        <w:t>; Initiate surveillance</w:t>
      </w:r>
      <w:r>
        <w:rPr>
          <w:color w:val="231F20"/>
          <w:spacing w:val="-18"/>
        </w:rPr>
        <w:t xml:space="preserve"> </w:t>
      </w:r>
      <w:r>
        <w:rPr>
          <w:color w:val="231F20"/>
        </w:rPr>
        <w:t>and</w:t>
      </w:r>
      <w:r>
        <w:rPr>
          <w:color w:val="231F20"/>
          <w:spacing w:val="-18"/>
        </w:rPr>
        <w:t xml:space="preserve"> </w:t>
      </w:r>
      <w:r>
        <w:rPr>
          <w:color w:val="231F20"/>
        </w:rPr>
        <w:t>reporting</w:t>
      </w:r>
      <w:r>
        <w:rPr>
          <w:color w:val="231F20"/>
          <w:spacing w:val="-17"/>
        </w:rPr>
        <w:t xml:space="preserve"> </w:t>
      </w:r>
      <w:r>
        <w:rPr>
          <w:color w:val="231F20"/>
        </w:rPr>
        <w:t>systems</w:t>
      </w:r>
      <w:r>
        <w:rPr>
          <w:color w:val="231F20"/>
          <w:spacing w:val="-18"/>
        </w:rPr>
        <w:t xml:space="preserve"> </w:t>
      </w:r>
      <w:r>
        <w:rPr>
          <w:color w:val="231F20"/>
        </w:rPr>
        <w:t>for</w:t>
      </w:r>
      <w:r>
        <w:rPr>
          <w:color w:val="231F20"/>
          <w:spacing w:val="-18"/>
        </w:rPr>
        <w:t xml:space="preserve"> </w:t>
      </w:r>
      <w:r>
        <w:rPr>
          <w:color w:val="231F20"/>
        </w:rPr>
        <w:t>snakebite</w:t>
      </w:r>
      <w:r>
        <w:rPr>
          <w:color w:val="231F20"/>
          <w:spacing w:val="-17"/>
        </w:rPr>
        <w:t xml:space="preserve"> </w:t>
      </w:r>
      <w:r>
        <w:rPr>
          <w:color w:val="231F20"/>
        </w:rPr>
        <w:t>and</w:t>
      </w:r>
      <w:r>
        <w:rPr>
          <w:color w:val="231F20"/>
          <w:spacing w:val="-18"/>
        </w:rPr>
        <w:t xml:space="preserve"> </w:t>
      </w:r>
      <w:r>
        <w:rPr>
          <w:color w:val="231F20"/>
        </w:rPr>
        <w:t>conduct</w:t>
      </w:r>
      <w:r>
        <w:rPr>
          <w:color w:val="231F20"/>
          <w:spacing w:val="-18"/>
        </w:rPr>
        <w:t xml:space="preserve"> </w:t>
      </w:r>
      <w:r>
        <w:rPr>
          <w:color w:val="231F20"/>
        </w:rPr>
        <w:t>regular</w:t>
      </w:r>
      <w:r>
        <w:rPr>
          <w:color w:val="231F20"/>
          <w:spacing w:val="-18"/>
        </w:rPr>
        <w:t xml:space="preserve"> </w:t>
      </w:r>
      <w:r>
        <w:rPr>
          <w:color w:val="231F20"/>
        </w:rPr>
        <w:t>surveillance.</w:t>
      </w:r>
      <w:r>
        <w:rPr>
          <w:color w:val="231F20"/>
          <w:spacing w:val="-17"/>
        </w:rPr>
        <w:t xml:space="preserve"> </w:t>
      </w:r>
      <w:r>
        <w:rPr>
          <w:color w:val="231F20"/>
        </w:rPr>
        <w:t>Data</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used for</w:t>
      </w:r>
      <w:r>
        <w:rPr>
          <w:color w:val="231F20"/>
          <w:spacing w:val="-25"/>
        </w:rPr>
        <w:t xml:space="preserve"> </w:t>
      </w:r>
      <w:r>
        <w:rPr>
          <w:color w:val="231F20"/>
        </w:rPr>
        <w:t>resource</w:t>
      </w:r>
      <w:r>
        <w:rPr>
          <w:color w:val="231F20"/>
          <w:spacing w:val="-25"/>
        </w:rPr>
        <w:t xml:space="preserve"> </w:t>
      </w:r>
      <w:r>
        <w:rPr>
          <w:color w:val="231F20"/>
        </w:rPr>
        <w:t>allocation</w:t>
      </w:r>
      <w:r>
        <w:rPr>
          <w:color w:val="231F20"/>
          <w:spacing w:val="-26"/>
        </w:rPr>
        <w:t xml:space="preserve"> </w:t>
      </w:r>
      <w:r>
        <w:rPr>
          <w:color w:val="231F20"/>
        </w:rPr>
        <w:t>and</w:t>
      </w:r>
      <w:r>
        <w:rPr>
          <w:color w:val="231F20"/>
          <w:spacing w:val="-25"/>
        </w:rPr>
        <w:t xml:space="preserve"> </w:t>
      </w:r>
      <w:r>
        <w:rPr>
          <w:color w:val="231F20"/>
        </w:rPr>
        <w:t>distribution.</w:t>
      </w:r>
    </w:p>
    <w:p w14:paraId="4B9E5B2A" w14:textId="77777777" w:rsidR="009948F1" w:rsidRDefault="009948F1">
      <w:pPr>
        <w:pStyle w:val="BodyText"/>
        <w:spacing w:before="1"/>
        <w:rPr>
          <w:sz w:val="24"/>
        </w:rPr>
      </w:pPr>
    </w:p>
    <w:p w14:paraId="151C2C75" w14:textId="77777777" w:rsidR="009948F1" w:rsidRDefault="00BC0563">
      <w:pPr>
        <w:pStyle w:val="ListParagraph"/>
        <w:numPr>
          <w:ilvl w:val="3"/>
          <w:numId w:val="274"/>
        </w:numPr>
        <w:tabs>
          <w:tab w:val="left" w:pos="880"/>
        </w:tabs>
        <w:spacing w:line="261" w:lineRule="auto"/>
        <w:ind w:left="150" w:right="164" w:firstLine="0"/>
      </w:pPr>
      <w:r>
        <w:rPr>
          <w:color w:val="231F20"/>
        </w:rPr>
        <w:t xml:space="preserve">Promote snakebite prevention and Control interventions. Key actions include;- </w:t>
      </w:r>
      <w:r>
        <w:rPr>
          <w:color w:val="231F20"/>
          <w:spacing w:val="-3"/>
        </w:rPr>
        <w:t xml:space="preserve">Produce </w:t>
      </w:r>
      <w:r>
        <w:rPr>
          <w:color w:val="231F20"/>
        </w:rPr>
        <w:t>and</w:t>
      </w:r>
      <w:r>
        <w:rPr>
          <w:color w:val="231F20"/>
          <w:spacing w:val="-5"/>
        </w:rPr>
        <w:t xml:space="preserve"> </w:t>
      </w:r>
      <w:r>
        <w:rPr>
          <w:color w:val="231F20"/>
        </w:rPr>
        <w:t>distribute</w:t>
      </w:r>
      <w:r>
        <w:rPr>
          <w:color w:val="231F20"/>
          <w:spacing w:val="-4"/>
        </w:rPr>
        <w:t xml:space="preserve"> </w:t>
      </w:r>
      <w:r>
        <w:rPr>
          <w:color w:val="231F20"/>
        </w:rPr>
        <w:t>educational</w:t>
      </w:r>
      <w:r>
        <w:rPr>
          <w:color w:val="231F20"/>
          <w:spacing w:val="-4"/>
        </w:rPr>
        <w:t xml:space="preserve"> </w:t>
      </w:r>
      <w:r>
        <w:rPr>
          <w:color w:val="231F20"/>
        </w:rPr>
        <w:t>posters</w:t>
      </w:r>
      <w:r>
        <w:rPr>
          <w:color w:val="231F20"/>
          <w:spacing w:val="-4"/>
        </w:rPr>
        <w:t xml:space="preserve"> </w:t>
      </w:r>
      <w:r>
        <w:rPr>
          <w:color w:val="231F20"/>
        </w:rPr>
        <w:t>and</w:t>
      </w:r>
      <w:r>
        <w:rPr>
          <w:color w:val="231F20"/>
          <w:spacing w:val="-4"/>
        </w:rPr>
        <w:t xml:space="preserve"> </w:t>
      </w:r>
      <w:r>
        <w:rPr>
          <w:color w:val="231F20"/>
        </w:rPr>
        <w:t>leaflets</w:t>
      </w:r>
      <w:r>
        <w:rPr>
          <w:color w:val="231F20"/>
          <w:spacing w:val="-4"/>
        </w:rPr>
        <w:t xml:space="preserve"> </w:t>
      </w:r>
      <w:r>
        <w:rPr>
          <w:color w:val="231F20"/>
        </w:rPr>
        <w:t>across</w:t>
      </w:r>
      <w:r>
        <w:rPr>
          <w:color w:val="231F20"/>
          <w:spacing w:val="-4"/>
        </w:rPr>
        <w:t xml:space="preserve"> </w:t>
      </w:r>
      <w:r>
        <w:rPr>
          <w:color w:val="231F20"/>
        </w:rPr>
        <w:t>communities</w:t>
      </w:r>
      <w:r>
        <w:rPr>
          <w:color w:val="231F20"/>
          <w:spacing w:val="-4"/>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state;</w:t>
      </w:r>
      <w:r>
        <w:rPr>
          <w:color w:val="231F20"/>
          <w:spacing w:val="-4"/>
        </w:rPr>
        <w:t xml:space="preserve"> </w:t>
      </w:r>
      <w:r>
        <w:rPr>
          <w:color w:val="231F20"/>
        </w:rPr>
        <w:t>Support</w:t>
      </w:r>
      <w:r>
        <w:rPr>
          <w:color w:val="231F20"/>
          <w:spacing w:val="-4"/>
        </w:rPr>
        <w:t xml:space="preserve"> </w:t>
      </w:r>
      <w:r>
        <w:rPr>
          <w:color w:val="231F20"/>
        </w:rPr>
        <w:t xml:space="preserve">research into snakebite prevention and control for regular improvements; Advocate for incorporation </w:t>
      </w:r>
      <w:r>
        <w:rPr>
          <w:color w:val="231F20"/>
          <w:spacing w:val="-8"/>
        </w:rPr>
        <w:t xml:space="preserve">of  </w:t>
      </w:r>
      <w:r>
        <w:rPr>
          <w:color w:val="231F20"/>
        </w:rPr>
        <w:t xml:space="preserve">modern management of snakebites into the schools' curriculums of medical personnel; </w:t>
      </w:r>
      <w:r>
        <w:rPr>
          <w:color w:val="231F20"/>
          <w:spacing w:val="-3"/>
        </w:rPr>
        <w:t xml:space="preserve">Conduct </w:t>
      </w:r>
      <w:r>
        <w:rPr>
          <w:color w:val="231F20"/>
        </w:rPr>
        <w:t>supervision</w:t>
      </w:r>
      <w:r>
        <w:rPr>
          <w:color w:val="231F20"/>
          <w:spacing w:val="-26"/>
        </w:rPr>
        <w:t xml:space="preserve"> </w:t>
      </w:r>
      <w:r>
        <w:rPr>
          <w:color w:val="231F20"/>
        </w:rPr>
        <w:t>and</w:t>
      </w:r>
      <w:r>
        <w:rPr>
          <w:color w:val="231F20"/>
          <w:spacing w:val="-25"/>
        </w:rPr>
        <w:t xml:space="preserve"> </w:t>
      </w:r>
      <w:r>
        <w:rPr>
          <w:color w:val="231F20"/>
        </w:rPr>
        <w:t>monitoring</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proofErr w:type="spellStart"/>
      <w:r>
        <w:rPr>
          <w:color w:val="231F20"/>
        </w:rPr>
        <w:t>centres</w:t>
      </w:r>
      <w:proofErr w:type="spellEnd"/>
      <w:r>
        <w:rPr>
          <w:color w:val="231F20"/>
          <w:spacing w:val="-25"/>
        </w:rPr>
        <w:t xml:space="preserve"> </w:t>
      </w:r>
      <w:r>
        <w:rPr>
          <w:color w:val="231F20"/>
        </w:rPr>
        <w:t>and</w:t>
      </w:r>
      <w:r>
        <w:rPr>
          <w:color w:val="231F20"/>
          <w:spacing w:val="-25"/>
        </w:rPr>
        <w:t xml:space="preserve"> </w:t>
      </w:r>
      <w:r>
        <w:rPr>
          <w:color w:val="231F20"/>
        </w:rPr>
        <w:t>facilities</w:t>
      </w:r>
      <w:r>
        <w:rPr>
          <w:color w:val="231F20"/>
          <w:spacing w:val="-25"/>
        </w:rPr>
        <w:t xml:space="preserve"> </w:t>
      </w:r>
      <w:r>
        <w:rPr>
          <w:color w:val="231F20"/>
        </w:rPr>
        <w:t>for</w:t>
      </w:r>
      <w:r>
        <w:rPr>
          <w:color w:val="231F20"/>
          <w:spacing w:val="-25"/>
        </w:rPr>
        <w:t xml:space="preserve"> </w:t>
      </w:r>
      <w:r>
        <w:rPr>
          <w:color w:val="231F20"/>
        </w:rPr>
        <w:t>snakebite</w:t>
      </w:r>
      <w:r>
        <w:rPr>
          <w:color w:val="231F20"/>
          <w:spacing w:val="-25"/>
        </w:rPr>
        <w:t xml:space="preserve"> </w:t>
      </w:r>
      <w:r>
        <w:rPr>
          <w:color w:val="231F20"/>
        </w:rPr>
        <w:t>prevention</w:t>
      </w:r>
      <w:r>
        <w:rPr>
          <w:color w:val="231F20"/>
          <w:spacing w:val="-25"/>
        </w:rPr>
        <w:t xml:space="preserve"> </w:t>
      </w:r>
      <w:r>
        <w:rPr>
          <w:color w:val="231F20"/>
        </w:rPr>
        <w:t>and</w:t>
      </w:r>
      <w:r>
        <w:rPr>
          <w:color w:val="231F20"/>
          <w:spacing w:val="-25"/>
        </w:rPr>
        <w:t xml:space="preserve"> </w:t>
      </w:r>
      <w:r>
        <w:rPr>
          <w:color w:val="231F20"/>
        </w:rPr>
        <w:t>control.</w:t>
      </w:r>
    </w:p>
    <w:p w14:paraId="74E241F1" w14:textId="77777777" w:rsidR="009948F1" w:rsidRDefault="009948F1">
      <w:pPr>
        <w:pStyle w:val="BodyText"/>
      </w:pPr>
    </w:p>
    <w:p w14:paraId="2708B8A8" w14:textId="77777777" w:rsidR="009948F1" w:rsidRDefault="009948F1">
      <w:pPr>
        <w:pStyle w:val="BodyText"/>
        <w:spacing w:before="4"/>
        <w:rPr>
          <w:sz w:val="32"/>
        </w:rPr>
      </w:pPr>
    </w:p>
    <w:p w14:paraId="14A0D37C" w14:textId="77777777" w:rsidR="009948F1" w:rsidRDefault="00BC0563">
      <w:pPr>
        <w:pStyle w:val="Heading7"/>
        <w:numPr>
          <w:ilvl w:val="2"/>
          <w:numId w:val="277"/>
        </w:numPr>
        <w:tabs>
          <w:tab w:val="left" w:pos="818"/>
        </w:tabs>
        <w:spacing w:line="276" w:lineRule="auto"/>
        <w:ind w:left="264" w:right="827" w:firstLine="0"/>
        <w:jc w:val="left"/>
        <w:rPr>
          <w:color w:val="231F20"/>
        </w:rPr>
      </w:pPr>
      <w:r>
        <w:rPr>
          <w:color w:val="231F20"/>
        </w:rPr>
        <w:t>Protect human health, environment and infrastructure from chemical hazard, medical &amp; Bio waste and</w:t>
      </w:r>
      <w:r>
        <w:rPr>
          <w:color w:val="231F20"/>
          <w:spacing w:val="1"/>
        </w:rPr>
        <w:t xml:space="preserve"> </w:t>
      </w:r>
      <w:r>
        <w:rPr>
          <w:color w:val="231F20"/>
        </w:rPr>
        <w:t>poisoning.</w:t>
      </w:r>
    </w:p>
    <w:p w14:paraId="78DDF657" w14:textId="77777777" w:rsidR="009948F1" w:rsidRDefault="00BC0563">
      <w:pPr>
        <w:spacing w:before="149" w:after="43"/>
        <w:ind w:left="264"/>
        <w:rPr>
          <w:b/>
        </w:rPr>
      </w:pPr>
      <w:r>
        <w:rPr>
          <w:b/>
          <w:color w:val="231F20"/>
        </w:rPr>
        <w:t>Targets:</w:t>
      </w:r>
    </w:p>
    <w:tbl>
      <w:tblPr>
        <w:tblW w:w="0" w:type="auto"/>
        <w:tblInd w:w="1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5"/>
        <w:gridCol w:w="1256"/>
        <w:gridCol w:w="725"/>
        <w:gridCol w:w="723"/>
        <w:gridCol w:w="723"/>
        <w:gridCol w:w="723"/>
        <w:gridCol w:w="1134"/>
        <w:gridCol w:w="1132"/>
      </w:tblGrid>
      <w:tr w:rsidR="009948F1" w14:paraId="433BF572" w14:textId="77777777">
        <w:trPr>
          <w:trHeight w:val="206"/>
        </w:trPr>
        <w:tc>
          <w:tcPr>
            <w:tcW w:w="2835" w:type="dxa"/>
            <w:shd w:val="clear" w:color="auto" w:fill="F4CEB2"/>
          </w:tcPr>
          <w:p w14:paraId="76404D94" w14:textId="77777777" w:rsidR="009948F1" w:rsidRDefault="00BC0563">
            <w:pPr>
              <w:pStyle w:val="TableParagraph"/>
              <w:spacing w:line="186" w:lineRule="exact"/>
              <w:ind w:left="107"/>
              <w:rPr>
                <w:sz w:val="18"/>
              </w:rPr>
            </w:pPr>
            <w:r>
              <w:rPr>
                <w:color w:val="231F20"/>
                <w:sz w:val="18"/>
              </w:rPr>
              <w:t>Target</w:t>
            </w:r>
          </w:p>
        </w:tc>
        <w:tc>
          <w:tcPr>
            <w:tcW w:w="1256" w:type="dxa"/>
            <w:shd w:val="clear" w:color="auto" w:fill="F4CEB2"/>
          </w:tcPr>
          <w:p w14:paraId="1BED2F36" w14:textId="77777777" w:rsidR="009948F1" w:rsidRDefault="00BC0563">
            <w:pPr>
              <w:pStyle w:val="TableParagraph"/>
              <w:spacing w:line="186" w:lineRule="exact"/>
              <w:ind w:left="108"/>
              <w:rPr>
                <w:sz w:val="18"/>
              </w:rPr>
            </w:pPr>
            <w:r>
              <w:rPr>
                <w:color w:val="231F20"/>
                <w:sz w:val="18"/>
              </w:rPr>
              <w:t>Baseline</w:t>
            </w:r>
          </w:p>
        </w:tc>
        <w:tc>
          <w:tcPr>
            <w:tcW w:w="725" w:type="dxa"/>
            <w:shd w:val="clear" w:color="auto" w:fill="F4CEB2"/>
          </w:tcPr>
          <w:p w14:paraId="7538FB9D" w14:textId="77777777" w:rsidR="009948F1" w:rsidRDefault="00BC0563">
            <w:pPr>
              <w:pStyle w:val="TableParagraph"/>
              <w:spacing w:line="186" w:lineRule="exact"/>
              <w:ind w:left="109"/>
              <w:rPr>
                <w:b/>
                <w:sz w:val="18"/>
              </w:rPr>
            </w:pPr>
            <w:r>
              <w:rPr>
                <w:b/>
                <w:color w:val="231F20"/>
                <w:sz w:val="18"/>
              </w:rPr>
              <w:t>2018</w:t>
            </w:r>
          </w:p>
        </w:tc>
        <w:tc>
          <w:tcPr>
            <w:tcW w:w="723" w:type="dxa"/>
            <w:shd w:val="clear" w:color="auto" w:fill="F4CEB2"/>
          </w:tcPr>
          <w:p w14:paraId="26199D70" w14:textId="77777777" w:rsidR="009948F1" w:rsidRDefault="00BC0563">
            <w:pPr>
              <w:pStyle w:val="TableParagraph"/>
              <w:spacing w:line="186" w:lineRule="exact"/>
              <w:ind w:left="109"/>
              <w:rPr>
                <w:b/>
                <w:sz w:val="18"/>
              </w:rPr>
            </w:pPr>
            <w:r>
              <w:rPr>
                <w:b/>
                <w:color w:val="231F20"/>
                <w:sz w:val="18"/>
              </w:rPr>
              <w:t>2019</w:t>
            </w:r>
          </w:p>
        </w:tc>
        <w:tc>
          <w:tcPr>
            <w:tcW w:w="723" w:type="dxa"/>
            <w:shd w:val="clear" w:color="auto" w:fill="F4CEB2"/>
          </w:tcPr>
          <w:p w14:paraId="3FB99EA4" w14:textId="77777777" w:rsidR="009948F1" w:rsidRDefault="00BC0563">
            <w:pPr>
              <w:pStyle w:val="TableParagraph"/>
              <w:spacing w:line="186" w:lineRule="exact"/>
              <w:ind w:left="109"/>
              <w:rPr>
                <w:b/>
                <w:sz w:val="18"/>
              </w:rPr>
            </w:pPr>
            <w:r>
              <w:rPr>
                <w:b/>
                <w:color w:val="231F20"/>
                <w:sz w:val="18"/>
              </w:rPr>
              <w:t>2020</w:t>
            </w:r>
          </w:p>
        </w:tc>
        <w:tc>
          <w:tcPr>
            <w:tcW w:w="723" w:type="dxa"/>
            <w:shd w:val="clear" w:color="auto" w:fill="F4CEB2"/>
          </w:tcPr>
          <w:p w14:paraId="4F07C1F5" w14:textId="77777777" w:rsidR="009948F1" w:rsidRDefault="00BC0563">
            <w:pPr>
              <w:pStyle w:val="TableParagraph"/>
              <w:spacing w:line="186" w:lineRule="exact"/>
              <w:ind w:left="110"/>
              <w:rPr>
                <w:b/>
                <w:sz w:val="18"/>
              </w:rPr>
            </w:pPr>
            <w:r>
              <w:rPr>
                <w:b/>
                <w:color w:val="231F20"/>
                <w:sz w:val="18"/>
              </w:rPr>
              <w:t>2021</w:t>
            </w:r>
          </w:p>
        </w:tc>
        <w:tc>
          <w:tcPr>
            <w:tcW w:w="1134" w:type="dxa"/>
            <w:shd w:val="clear" w:color="auto" w:fill="F4CEB2"/>
          </w:tcPr>
          <w:p w14:paraId="77A8BFAC" w14:textId="77777777" w:rsidR="009948F1" w:rsidRDefault="00BC0563">
            <w:pPr>
              <w:pStyle w:val="TableParagraph"/>
              <w:spacing w:line="186" w:lineRule="exact"/>
              <w:ind w:left="110"/>
              <w:rPr>
                <w:b/>
                <w:sz w:val="18"/>
              </w:rPr>
            </w:pPr>
            <w:r>
              <w:rPr>
                <w:b/>
                <w:color w:val="231F20"/>
                <w:sz w:val="18"/>
              </w:rPr>
              <w:t>2022</w:t>
            </w:r>
          </w:p>
        </w:tc>
        <w:tc>
          <w:tcPr>
            <w:tcW w:w="1132" w:type="dxa"/>
            <w:shd w:val="clear" w:color="auto" w:fill="F4CEB2"/>
          </w:tcPr>
          <w:p w14:paraId="1FCE2A5D" w14:textId="77777777" w:rsidR="009948F1" w:rsidRDefault="00BC0563">
            <w:pPr>
              <w:pStyle w:val="TableParagraph"/>
              <w:spacing w:line="186" w:lineRule="exact"/>
              <w:ind w:left="110"/>
              <w:rPr>
                <w:b/>
                <w:sz w:val="18"/>
              </w:rPr>
            </w:pPr>
            <w:r>
              <w:rPr>
                <w:b/>
                <w:color w:val="231F20"/>
                <w:sz w:val="18"/>
              </w:rPr>
              <w:t>National</w:t>
            </w:r>
          </w:p>
        </w:tc>
      </w:tr>
      <w:tr w:rsidR="009948F1" w14:paraId="62B42903" w14:textId="77777777">
        <w:trPr>
          <w:trHeight w:val="831"/>
        </w:trPr>
        <w:tc>
          <w:tcPr>
            <w:tcW w:w="2835" w:type="dxa"/>
          </w:tcPr>
          <w:p w14:paraId="6E43F113" w14:textId="77777777" w:rsidR="009948F1" w:rsidRDefault="00BC0563">
            <w:pPr>
              <w:pStyle w:val="TableParagraph"/>
              <w:spacing w:before="1"/>
              <w:ind w:left="107" w:right="656"/>
              <w:rPr>
                <w:sz w:val="18"/>
              </w:rPr>
            </w:pPr>
            <w:r>
              <w:rPr>
                <w:color w:val="231F20"/>
                <w:sz w:val="18"/>
              </w:rPr>
              <w:t>Mortality associated with hazardous chemicals and poisons reduced</w:t>
            </w:r>
          </w:p>
        </w:tc>
        <w:tc>
          <w:tcPr>
            <w:tcW w:w="1256" w:type="dxa"/>
          </w:tcPr>
          <w:p w14:paraId="3F845DDD" w14:textId="77777777" w:rsidR="009948F1" w:rsidRDefault="00BC0563">
            <w:pPr>
              <w:pStyle w:val="TableParagraph"/>
              <w:spacing w:before="1"/>
              <w:ind w:left="108"/>
              <w:rPr>
                <w:sz w:val="18"/>
              </w:rPr>
            </w:pPr>
            <w:r>
              <w:rPr>
                <w:color w:val="231F20"/>
                <w:sz w:val="18"/>
              </w:rPr>
              <w:t>TBD</w:t>
            </w:r>
          </w:p>
        </w:tc>
        <w:tc>
          <w:tcPr>
            <w:tcW w:w="725" w:type="dxa"/>
          </w:tcPr>
          <w:p w14:paraId="5411B9C8" w14:textId="77777777" w:rsidR="009948F1" w:rsidRDefault="00BC0563">
            <w:pPr>
              <w:pStyle w:val="TableParagraph"/>
              <w:spacing w:before="1"/>
              <w:ind w:left="109"/>
              <w:rPr>
                <w:sz w:val="18"/>
              </w:rPr>
            </w:pPr>
            <w:r>
              <w:rPr>
                <w:color w:val="231F20"/>
                <w:sz w:val="18"/>
              </w:rPr>
              <w:t>0%</w:t>
            </w:r>
          </w:p>
        </w:tc>
        <w:tc>
          <w:tcPr>
            <w:tcW w:w="723" w:type="dxa"/>
          </w:tcPr>
          <w:p w14:paraId="471106F8" w14:textId="77777777" w:rsidR="009948F1" w:rsidRDefault="00BC0563">
            <w:pPr>
              <w:pStyle w:val="TableParagraph"/>
              <w:spacing w:before="1"/>
              <w:ind w:left="109"/>
              <w:rPr>
                <w:sz w:val="18"/>
              </w:rPr>
            </w:pPr>
            <w:r>
              <w:rPr>
                <w:color w:val="231F20"/>
                <w:sz w:val="18"/>
              </w:rPr>
              <w:t>5%</w:t>
            </w:r>
          </w:p>
        </w:tc>
        <w:tc>
          <w:tcPr>
            <w:tcW w:w="723" w:type="dxa"/>
          </w:tcPr>
          <w:p w14:paraId="734545B6" w14:textId="77777777" w:rsidR="009948F1" w:rsidRDefault="00BC0563">
            <w:pPr>
              <w:pStyle w:val="TableParagraph"/>
              <w:spacing w:before="1"/>
              <w:ind w:left="109"/>
              <w:rPr>
                <w:sz w:val="18"/>
              </w:rPr>
            </w:pPr>
            <w:r>
              <w:rPr>
                <w:color w:val="231F20"/>
                <w:sz w:val="18"/>
              </w:rPr>
              <w:t>10%</w:t>
            </w:r>
          </w:p>
        </w:tc>
        <w:tc>
          <w:tcPr>
            <w:tcW w:w="723" w:type="dxa"/>
          </w:tcPr>
          <w:p w14:paraId="43904D5B" w14:textId="77777777" w:rsidR="009948F1" w:rsidRDefault="00BC0563">
            <w:pPr>
              <w:pStyle w:val="TableParagraph"/>
              <w:spacing w:before="1"/>
              <w:ind w:left="110"/>
              <w:rPr>
                <w:sz w:val="18"/>
              </w:rPr>
            </w:pPr>
            <w:r>
              <w:rPr>
                <w:color w:val="231F20"/>
                <w:sz w:val="18"/>
              </w:rPr>
              <w:t>15%</w:t>
            </w:r>
          </w:p>
        </w:tc>
        <w:tc>
          <w:tcPr>
            <w:tcW w:w="1134" w:type="dxa"/>
          </w:tcPr>
          <w:p w14:paraId="11F467D0" w14:textId="77777777" w:rsidR="009948F1" w:rsidRDefault="00BC0563">
            <w:pPr>
              <w:pStyle w:val="TableParagraph"/>
              <w:spacing w:before="1"/>
              <w:ind w:left="110"/>
              <w:rPr>
                <w:sz w:val="18"/>
              </w:rPr>
            </w:pPr>
            <w:r>
              <w:rPr>
                <w:color w:val="231F20"/>
                <w:sz w:val="18"/>
              </w:rPr>
              <w:t>20%</w:t>
            </w:r>
          </w:p>
        </w:tc>
        <w:tc>
          <w:tcPr>
            <w:tcW w:w="1132" w:type="dxa"/>
          </w:tcPr>
          <w:p w14:paraId="683F628A" w14:textId="77777777" w:rsidR="009948F1" w:rsidRDefault="00BC0563">
            <w:pPr>
              <w:pStyle w:val="TableParagraph"/>
              <w:tabs>
                <w:tab w:val="left" w:pos="663"/>
              </w:tabs>
              <w:spacing w:before="5" w:line="206" w:lineRule="exact"/>
              <w:ind w:left="110" w:right="95"/>
              <w:rPr>
                <w:sz w:val="18"/>
              </w:rPr>
            </w:pPr>
            <w:r>
              <w:rPr>
                <w:color w:val="231F20"/>
                <w:sz w:val="18"/>
              </w:rPr>
              <w:t>Reduced by</w:t>
            </w:r>
            <w:r>
              <w:rPr>
                <w:color w:val="231F20"/>
                <w:sz w:val="18"/>
              </w:rPr>
              <w:tab/>
            </w:r>
            <w:r>
              <w:rPr>
                <w:color w:val="231F20"/>
                <w:spacing w:val="-6"/>
                <w:sz w:val="18"/>
              </w:rPr>
              <w:t xml:space="preserve">30% </w:t>
            </w:r>
            <w:r>
              <w:rPr>
                <w:color w:val="231F20"/>
                <w:sz w:val="18"/>
              </w:rPr>
              <w:t>from baseline</w:t>
            </w:r>
          </w:p>
        </w:tc>
      </w:tr>
    </w:tbl>
    <w:p w14:paraId="349652F9" w14:textId="77777777" w:rsidR="009948F1" w:rsidRDefault="00BC0563">
      <w:pPr>
        <w:spacing w:before="82"/>
        <w:ind w:left="159"/>
        <w:rPr>
          <w:b/>
        </w:rPr>
      </w:pPr>
      <w:r>
        <w:rPr>
          <w:b/>
          <w:color w:val="231F20"/>
        </w:rPr>
        <w:t>Interventions:</w:t>
      </w:r>
    </w:p>
    <w:p w14:paraId="05F9F01B" w14:textId="77777777" w:rsidR="009948F1" w:rsidRDefault="00BC0563">
      <w:pPr>
        <w:pStyle w:val="ListParagraph"/>
        <w:numPr>
          <w:ilvl w:val="3"/>
          <w:numId w:val="273"/>
        </w:numPr>
        <w:tabs>
          <w:tab w:val="left" w:pos="933"/>
        </w:tabs>
        <w:spacing w:before="23" w:line="261" w:lineRule="auto"/>
        <w:ind w:right="197" w:firstLine="0"/>
      </w:pPr>
      <w:r>
        <w:rPr>
          <w:color w:val="231F20"/>
        </w:rPr>
        <w:t xml:space="preserve">Strengthen legal, regulatory framework, policies and plans for chemical hazards </w:t>
      </w:r>
      <w:r>
        <w:rPr>
          <w:color w:val="231F20"/>
          <w:spacing w:val="-5"/>
        </w:rPr>
        <w:t xml:space="preserve">and </w:t>
      </w:r>
      <w:r>
        <w:rPr>
          <w:color w:val="231F20"/>
        </w:rPr>
        <w:t xml:space="preserve">poisoning, medical and Bio waste and climate change. Key actions are; - adapt, print </w:t>
      </w:r>
      <w:r>
        <w:rPr>
          <w:color w:val="231F20"/>
          <w:spacing w:val="-6"/>
        </w:rPr>
        <w:t xml:space="preserve">and </w:t>
      </w:r>
      <w:r>
        <w:rPr>
          <w:color w:val="231F20"/>
        </w:rPr>
        <w:t>disseminate</w:t>
      </w:r>
      <w:r>
        <w:rPr>
          <w:color w:val="231F20"/>
          <w:spacing w:val="-15"/>
        </w:rPr>
        <w:t xml:space="preserve"> </w:t>
      </w:r>
      <w:r>
        <w:rPr>
          <w:color w:val="231F20"/>
        </w:rPr>
        <w:t>relevant</w:t>
      </w:r>
      <w:r>
        <w:rPr>
          <w:color w:val="231F20"/>
          <w:spacing w:val="-15"/>
        </w:rPr>
        <w:t xml:space="preserve"> </w:t>
      </w:r>
      <w:r>
        <w:rPr>
          <w:color w:val="231F20"/>
        </w:rPr>
        <w:t>policies</w:t>
      </w:r>
      <w:r>
        <w:rPr>
          <w:color w:val="231F20"/>
          <w:spacing w:val="-15"/>
        </w:rPr>
        <w:t xml:space="preserve"> </w:t>
      </w:r>
      <w:r>
        <w:rPr>
          <w:color w:val="231F20"/>
        </w:rPr>
        <w:t>and</w:t>
      </w:r>
      <w:r>
        <w:rPr>
          <w:color w:val="231F20"/>
          <w:spacing w:val="-15"/>
        </w:rPr>
        <w:t xml:space="preserve"> </w:t>
      </w:r>
      <w:r>
        <w:rPr>
          <w:color w:val="231F20"/>
        </w:rPr>
        <w:t>regulations</w:t>
      </w:r>
      <w:r>
        <w:rPr>
          <w:color w:val="231F20"/>
          <w:spacing w:val="-15"/>
        </w:rPr>
        <w:t xml:space="preserve"> </w:t>
      </w:r>
      <w:r>
        <w:rPr>
          <w:color w:val="231F20"/>
        </w:rPr>
        <w:t>for</w:t>
      </w:r>
      <w:r>
        <w:rPr>
          <w:color w:val="231F20"/>
          <w:spacing w:val="-15"/>
        </w:rPr>
        <w:t xml:space="preserve"> </w:t>
      </w:r>
      <w:r>
        <w:rPr>
          <w:color w:val="231F20"/>
        </w:rPr>
        <w:t>chemical</w:t>
      </w:r>
      <w:r>
        <w:rPr>
          <w:color w:val="231F20"/>
          <w:spacing w:val="-15"/>
        </w:rPr>
        <w:t xml:space="preserve"> </w:t>
      </w:r>
      <w:r>
        <w:rPr>
          <w:color w:val="231F20"/>
        </w:rPr>
        <w:t>hazards</w:t>
      </w:r>
      <w:r>
        <w:rPr>
          <w:color w:val="231F20"/>
          <w:spacing w:val="-15"/>
        </w:rPr>
        <w:t xml:space="preserve"> </w:t>
      </w:r>
      <w:r>
        <w:rPr>
          <w:color w:val="231F20"/>
        </w:rPr>
        <w:t>&amp;</w:t>
      </w:r>
      <w:r>
        <w:rPr>
          <w:color w:val="231F20"/>
          <w:spacing w:val="-15"/>
        </w:rPr>
        <w:t xml:space="preserve"> </w:t>
      </w:r>
      <w:r>
        <w:rPr>
          <w:color w:val="231F20"/>
        </w:rPr>
        <w:t>poising,</w:t>
      </w:r>
      <w:r>
        <w:rPr>
          <w:color w:val="231F20"/>
          <w:spacing w:val="-15"/>
        </w:rPr>
        <w:t xml:space="preserve"> </w:t>
      </w:r>
      <w:r>
        <w:rPr>
          <w:color w:val="231F20"/>
        </w:rPr>
        <w:t>medical</w:t>
      </w:r>
      <w:r>
        <w:rPr>
          <w:color w:val="231F20"/>
          <w:spacing w:val="-14"/>
        </w:rPr>
        <w:t xml:space="preserve"> </w:t>
      </w:r>
      <w:r>
        <w:rPr>
          <w:color w:val="231F20"/>
        </w:rPr>
        <w:t>&amp;</w:t>
      </w:r>
      <w:r>
        <w:rPr>
          <w:color w:val="231F20"/>
          <w:spacing w:val="-15"/>
        </w:rPr>
        <w:t xml:space="preserve"> </w:t>
      </w:r>
      <w:r>
        <w:rPr>
          <w:color w:val="231F20"/>
        </w:rPr>
        <w:t>Bio</w:t>
      </w:r>
      <w:r>
        <w:rPr>
          <w:color w:val="231F20"/>
          <w:spacing w:val="-15"/>
        </w:rPr>
        <w:t xml:space="preserve"> </w:t>
      </w:r>
      <w:r>
        <w:rPr>
          <w:color w:val="231F20"/>
          <w:spacing w:val="-3"/>
        </w:rPr>
        <w:t xml:space="preserve">waste </w:t>
      </w:r>
      <w:r>
        <w:rPr>
          <w:color w:val="231F20"/>
        </w:rPr>
        <w:t>&amp;</w:t>
      </w:r>
      <w:r>
        <w:rPr>
          <w:color w:val="231F20"/>
          <w:spacing w:val="-24"/>
        </w:rPr>
        <w:t xml:space="preserve"> </w:t>
      </w:r>
      <w:r>
        <w:rPr>
          <w:color w:val="231F20"/>
        </w:rPr>
        <w:t>climate</w:t>
      </w:r>
      <w:r>
        <w:rPr>
          <w:color w:val="231F20"/>
          <w:spacing w:val="-25"/>
        </w:rPr>
        <w:t xml:space="preserve"> </w:t>
      </w:r>
      <w:r>
        <w:rPr>
          <w:color w:val="231F20"/>
        </w:rPr>
        <w:t>change;</w:t>
      </w:r>
      <w:r>
        <w:rPr>
          <w:color w:val="231F20"/>
          <w:spacing w:val="-24"/>
        </w:rPr>
        <w:t xml:space="preserve"> </w:t>
      </w:r>
      <w:r>
        <w:rPr>
          <w:color w:val="231F20"/>
        </w:rPr>
        <w:t>Develop</w:t>
      </w:r>
      <w:r>
        <w:rPr>
          <w:color w:val="231F20"/>
          <w:spacing w:val="-24"/>
        </w:rPr>
        <w:t xml:space="preserve"> </w:t>
      </w:r>
      <w:r>
        <w:rPr>
          <w:color w:val="231F20"/>
        </w:rPr>
        <w:t>health</w:t>
      </w:r>
      <w:r>
        <w:rPr>
          <w:color w:val="231F20"/>
          <w:spacing w:val="-24"/>
        </w:rPr>
        <w:t xml:space="preserve"> </w:t>
      </w:r>
      <w:r>
        <w:rPr>
          <w:color w:val="231F20"/>
        </w:rPr>
        <w:t>protection</w:t>
      </w:r>
      <w:r>
        <w:rPr>
          <w:color w:val="231F20"/>
          <w:spacing w:val="-24"/>
        </w:rPr>
        <w:t xml:space="preserve"> </w:t>
      </w:r>
      <w:r>
        <w:rPr>
          <w:color w:val="231F20"/>
        </w:rPr>
        <w:t>policy</w:t>
      </w:r>
      <w:r>
        <w:rPr>
          <w:color w:val="231F20"/>
          <w:spacing w:val="-24"/>
        </w:rPr>
        <w:t xml:space="preserve"> </w:t>
      </w:r>
      <w:r>
        <w:rPr>
          <w:color w:val="231F20"/>
        </w:rPr>
        <w:t>for</w:t>
      </w:r>
      <w:r>
        <w:rPr>
          <w:color w:val="231F20"/>
          <w:spacing w:val="-24"/>
        </w:rPr>
        <w:t xml:space="preserve"> </w:t>
      </w:r>
      <w:r>
        <w:rPr>
          <w:color w:val="231F20"/>
        </w:rPr>
        <w:t>children;</w:t>
      </w:r>
      <w:r>
        <w:rPr>
          <w:color w:val="231F20"/>
          <w:spacing w:val="-24"/>
        </w:rPr>
        <w:t xml:space="preserve"> </w:t>
      </w:r>
      <w:r>
        <w:rPr>
          <w:color w:val="231F20"/>
        </w:rPr>
        <w:t>Conduct</w:t>
      </w:r>
      <w:r>
        <w:rPr>
          <w:color w:val="231F20"/>
          <w:spacing w:val="-24"/>
        </w:rPr>
        <w:t xml:space="preserve"> </w:t>
      </w:r>
      <w:r>
        <w:rPr>
          <w:color w:val="231F20"/>
        </w:rPr>
        <w:t>stakeholders'</w:t>
      </w:r>
      <w:r>
        <w:rPr>
          <w:color w:val="231F20"/>
          <w:spacing w:val="-24"/>
        </w:rPr>
        <w:t xml:space="preserve"> </w:t>
      </w:r>
      <w:r>
        <w:rPr>
          <w:color w:val="231F20"/>
        </w:rPr>
        <w:t>meetings</w:t>
      </w:r>
      <w:r>
        <w:rPr>
          <w:color w:val="231F20"/>
          <w:spacing w:val="-24"/>
        </w:rPr>
        <w:t xml:space="preserve"> </w:t>
      </w:r>
      <w:r>
        <w:rPr>
          <w:color w:val="231F20"/>
          <w:spacing w:val="-6"/>
        </w:rPr>
        <w:t xml:space="preserve">on </w:t>
      </w:r>
      <w:r>
        <w:rPr>
          <w:color w:val="231F20"/>
        </w:rPr>
        <w:t>legal framework for chemical hazards and poisoning; Conduct advocacy visits to government officials and other stakeholders on the need to mitigate the effects chemical hazards on climate change on</w:t>
      </w:r>
      <w:r>
        <w:rPr>
          <w:color w:val="231F20"/>
          <w:spacing w:val="-50"/>
        </w:rPr>
        <w:t xml:space="preserve"> </w:t>
      </w:r>
      <w:r>
        <w:rPr>
          <w:color w:val="231F20"/>
        </w:rPr>
        <w:t>health.</w:t>
      </w:r>
    </w:p>
    <w:p w14:paraId="607CE086" w14:textId="77777777" w:rsidR="009948F1" w:rsidRDefault="009948F1">
      <w:pPr>
        <w:spacing w:line="261" w:lineRule="auto"/>
        <w:jc w:val="both"/>
        <w:sectPr w:rsidR="009948F1">
          <w:pgSz w:w="11910" w:h="16840"/>
          <w:pgMar w:top="1380" w:right="1080" w:bottom="1420" w:left="1120" w:header="0" w:footer="1235" w:gutter="0"/>
          <w:cols w:space="720"/>
        </w:sectPr>
      </w:pPr>
    </w:p>
    <w:p w14:paraId="31BE4EAB" w14:textId="77777777" w:rsidR="009948F1" w:rsidRDefault="00BC0563">
      <w:pPr>
        <w:pStyle w:val="ListParagraph"/>
        <w:numPr>
          <w:ilvl w:val="3"/>
          <w:numId w:val="273"/>
        </w:numPr>
        <w:tabs>
          <w:tab w:val="left" w:pos="927"/>
        </w:tabs>
        <w:spacing w:before="52" w:line="259" w:lineRule="auto"/>
        <w:ind w:left="141" w:right="161" w:firstLine="0"/>
      </w:pPr>
      <w:bookmarkStart w:id="89" w:name="Page_75"/>
      <w:bookmarkEnd w:id="89"/>
      <w:r>
        <w:rPr>
          <w:color w:val="231F20"/>
        </w:rPr>
        <w:lastRenderedPageBreak/>
        <w:t xml:space="preserve">Scale-up advocacy, community sensitization and education on chemical wastes </w:t>
      </w:r>
      <w:r>
        <w:rPr>
          <w:color w:val="231F20"/>
          <w:spacing w:val="-5"/>
        </w:rPr>
        <w:t xml:space="preserve">and </w:t>
      </w:r>
      <w:r>
        <w:rPr>
          <w:color w:val="231F20"/>
        </w:rPr>
        <w:t>poisoning,</w:t>
      </w:r>
      <w:r>
        <w:rPr>
          <w:color w:val="231F20"/>
          <w:spacing w:val="-17"/>
        </w:rPr>
        <w:t xml:space="preserve"> </w:t>
      </w:r>
      <w:r>
        <w:rPr>
          <w:color w:val="231F20"/>
        </w:rPr>
        <w:t>medical</w:t>
      </w:r>
      <w:r>
        <w:rPr>
          <w:color w:val="231F20"/>
          <w:spacing w:val="-17"/>
        </w:rPr>
        <w:t xml:space="preserve"> </w:t>
      </w:r>
      <w:r>
        <w:rPr>
          <w:color w:val="231F20"/>
        </w:rPr>
        <w:t>and</w:t>
      </w:r>
      <w:r>
        <w:rPr>
          <w:color w:val="231F20"/>
          <w:spacing w:val="-17"/>
        </w:rPr>
        <w:t xml:space="preserve"> </w:t>
      </w:r>
      <w:r>
        <w:rPr>
          <w:color w:val="231F20"/>
        </w:rPr>
        <w:t>Bio</w:t>
      </w:r>
      <w:r>
        <w:rPr>
          <w:color w:val="231F20"/>
          <w:spacing w:val="-17"/>
        </w:rPr>
        <w:t xml:space="preserve"> </w:t>
      </w:r>
      <w:r>
        <w:rPr>
          <w:color w:val="231F20"/>
        </w:rPr>
        <w:t>waste</w:t>
      </w:r>
      <w:r>
        <w:rPr>
          <w:color w:val="231F20"/>
          <w:spacing w:val="-16"/>
        </w:rPr>
        <w:t xml:space="preserve"> </w:t>
      </w:r>
      <w:r>
        <w:rPr>
          <w:color w:val="231F20"/>
        </w:rPr>
        <w:t>and</w:t>
      </w:r>
      <w:r>
        <w:rPr>
          <w:color w:val="231F20"/>
          <w:spacing w:val="-17"/>
        </w:rPr>
        <w:t xml:space="preserve"> </w:t>
      </w:r>
      <w:r>
        <w:rPr>
          <w:color w:val="231F20"/>
        </w:rPr>
        <w:t>climate</w:t>
      </w:r>
      <w:r>
        <w:rPr>
          <w:color w:val="231F20"/>
          <w:spacing w:val="-17"/>
        </w:rPr>
        <w:t xml:space="preserve"> </w:t>
      </w:r>
      <w:r>
        <w:rPr>
          <w:color w:val="231F20"/>
        </w:rPr>
        <w:t>change.</w:t>
      </w:r>
      <w:r>
        <w:rPr>
          <w:color w:val="231F20"/>
          <w:spacing w:val="-17"/>
        </w:rPr>
        <w:t xml:space="preserve"> </w:t>
      </w:r>
      <w:r>
        <w:rPr>
          <w:color w:val="231F20"/>
        </w:rPr>
        <w:t>Key</w:t>
      </w:r>
      <w:r>
        <w:rPr>
          <w:color w:val="231F20"/>
          <w:spacing w:val="-16"/>
        </w:rPr>
        <w:t xml:space="preserve"> </w:t>
      </w:r>
      <w:r>
        <w:rPr>
          <w:color w:val="231F20"/>
        </w:rPr>
        <w:t>activities</w:t>
      </w:r>
      <w:r>
        <w:rPr>
          <w:color w:val="231F20"/>
          <w:spacing w:val="-17"/>
        </w:rPr>
        <w:t xml:space="preserve"> </w:t>
      </w:r>
      <w:r>
        <w:rPr>
          <w:color w:val="231F20"/>
        </w:rPr>
        <w:t>are;</w:t>
      </w:r>
      <w:r>
        <w:rPr>
          <w:color w:val="231F20"/>
          <w:spacing w:val="-17"/>
        </w:rPr>
        <w:t xml:space="preserve"> </w:t>
      </w:r>
      <w:r>
        <w:rPr>
          <w:color w:val="231F20"/>
        </w:rPr>
        <w:t>-</w:t>
      </w:r>
      <w:r>
        <w:rPr>
          <w:color w:val="231F20"/>
          <w:spacing w:val="-17"/>
        </w:rPr>
        <w:t xml:space="preserve"> </w:t>
      </w:r>
      <w:r>
        <w:rPr>
          <w:color w:val="231F20"/>
        </w:rPr>
        <w:t>Conduct</w:t>
      </w:r>
      <w:r>
        <w:rPr>
          <w:color w:val="231F20"/>
          <w:spacing w:val="-16"/>
        </w:rPr>
        <w:t xml:space="preserve"> </w:t>
      </w:r>
      <w:r>
        <w:rPr>
          <w:color w:val="231F20"/>
        </w:rPr>
        <w:t>advocacy</w:t>
      </w:r>
      <w:r>
        <w:rPr>
          <w:color w:val="231F20"/>
          <w:spacing w:val="-17"/>
        </w:rPr>
        <w:t xml:space="preserve"> </w:t>
      </w:r>
      <w:r>
        <w:rPr>
          <w:color w:val="231F20"/>
          <w:spacing w:val="-3"/>
        </w:rPr>
        <w:t xml:space="preserve">visits </w:t>
      </w:r>
      <w:r>
        <w:rPr>
          <w:color w:val="231F20"/>
        </w:rPr>
        <w:t xml:space="preserve">to the stakeholders, to sensitize them on the possible effect of chemical wastes, medical and </w:t>
      </w:r>
      <w:r>
        <w:rPr>
          <w:color w:val="231F20"/>
          <w:spacing w:val="-4"/>
        </w:rPr>
        <w:t xml:space="preserve">bio </w:t>
      </w:r>
      <w:r>
        <w:rPr>
          <w:color w:val="231F20"/>
        </w:rPr>
        <w:t xml:space="preserve">waste and chemical change; Advocacy and social mobilization to communities (319 wards) </w:t>
      </w:r>
      <w:r>
        <w:rPr>
          <w:color w:val="231F20"/>
          <w:spacing w:val="-7"/>
        </w:rPr>
        <w:t xml:space="preserve">to </w:t>
      </w:r>
      <w:r>
        <w:rPr>
          <w:color w:val="231F20"/>
        </w:rPr>
        <w:t>sensitize</w:t>
      </w:r>
      <w:r>
        <w:rPr>
          <w:color w:val="231F20"/>
          <w:spacing w:val="-7"/>
        </w:rPr>
        <w:t xml:space="preserve"> </w:t>
      </w:r>
      <w:r>
        <w:rPr>
          <w:color w:val="231F20"/>
        </w:rPr>
        <w:t>them</w:t>
      </w:r>
      <w:r>
        <w:rPr>
          <w:color w:val="231F20"/>
          <w:spacing w:val="-6"/>
        </w:rPr>
        <w:t xml:space="preserve"> </w:t>
      </w:r>
      <w:r>
        <w:rPr>
          <w:color w:val="231F20"/>
        </w:rPr>
        <w:t>on</w:t>
      </w:r>
      <w:r>
        <w:rPr>
          <w:color w:val="231F20"/>
          <w:spacing w:val="-6"/>
        </w:rPr>
        <w:t xml:space="preserve"> </w:t>
      </w:r>
      <w:r>
        <w:rPr>
          <w:color w:val="231F20"/>
        </w:rPr>
        <w:t>climate</w:t>
      </w:r>
      <w:r>
        <w:rPr>
          <w:color w:val="231F20"/>
          <w:spacing w:val="-7"/>
        </w:rPr>
        <w:t xml:space="preserve"> </w:t>
      </w:r>
      <w:r>
        <w:rPr>
          <w:color w:val="231F20"/>
        </w:rPr>
        <w:t>effects</w:t>
      </w:r>
      <w:r>
        <w:rPr>
          <w:color w:val="231F20"/>
          <w:spacing w:val="-7"/>
        </w:rPr>
        <w:t xml:space="preserve"> </w:t>
      </w:r>
      <w:r>
        <w:rPr>
          <w:color w:val="231F20"/>
        </w:rPr>
        <w:t>on</w:t>
      </w:r>
      <w:r>
        <w:rPr>
          <w:color w:val="231F20"/>
          <w:spacing w:val="-6"/>
        </w:rPr>
        <w:t xml:space="preserve"> </w:t>
      </w:r>
      <w:r>
        <w:rPr>
          <w:color w:val="231F20"/>
        </w:rPr>
        <w:t>health;</w:t>
      </w:r>
      <w:r>
        <w:rPr>
          <w:color w:val="231F20"/>
          <w:spacing w:val="-7"/>
        </w:rPr>
        <w:t xml:space="preserve"> </w:t>
      </w:r>
      <w:r>
        <w:rPr>
          <w:color w:val="231F20"/>
        </w:rPr>
        <w:t>Periodic</w:t>
      </w:r>
      <w:r>
        <w:rPr>
          <w:color w:val="231F20"/>
          <w:spacing w:val="-6"/>
        </w:rPr>
        <w:t xml:space="preserve"> </w:t>
      </w:r>
      <w:r>
        <w:rPr>
          <w:color w:val="231F20"/>
        </w:rPr>
        <w:t>town</w:t>
      </w:r>
      <w:r>
        <w:rPr>
          <w:color w:val="231F20"/>
          <w:spacing w:val="-6"/>
        </w:rPr>
        <w:t xml:space="preserve"> </w:t>
      </w:r>
      <w:r>
        <w:rPr>
          <w:color w:val="231F20"/>
        </w:rPr>
        <w:t>hall</w:t>
      </w:r>
      <w:r>
        <w:rPr>
          <w:color w:val="231F20"/>
          <w:spacing w:val="-7"/>
        </w:rPr>
        <w:t xml:space="preserve"> </w:t>
      </w:r>
      <w:r>
        <w:rPr>
          <w:color w:val="231F20"/>
        </w:rPr>
        <w:t>meetings</w:t>
      </w:r>
      <w:r>
        <w:rPr>
          <w:color w:val="231F20"/>
          <w:spacing w:val="-6"/>
        </w:rPr>
        <w:t xml:space="preserve"> </w:t>
      </w:r>
      <w:r>
        <w:rPr>
          <w:color w:val="231F20"/>
        </w:rPr>
        <w:t>with</w:t>
      </w:r>
      <w:r>
        <w:rPr>
          <w:color w:val="231F20"/>
          <w:spacing w:val="-6"/>
        </w:rPr>
        <w:t xml:space="preserve"> </w:t>
      </w:r>
      <w:r>
        <w:rPr>
          <w:color w:val="231F20"/>
        </w:rPr>
        <w:t>communities</w:t>
      </w:r>
      <w:r>
        <w:rPr>
          <w:color w:val="231F20"/>
          <w:spacing w:val="-6"/>
        </w:rPr>
        <w:t xml:space="preserve"> </w:t>
      </w:r>
      <w:r>
        <w:rPr>
          <w:color w:val="231F20"/>
        </w:rPr>
        <w:t>living</w:t>
      </w:r>
      <w:r>
        <w:rPr>
          <w:color w:val="231F20"/>
          <w:spacing w:val="-7"/>
        </w:rPr>
        <w:t xml:space="preserve"> </w:t>
      </w:r>
      <w:r>
        <w:rPr>
          <w:color w:val="231F20"/>
          <w:spacing w:val="-8"/>
        </w:rPr>
        <w:t xml:space="preserve">in </w:t>
      </w:r>
      <w:r>
        <w:rPr>
          <w:color w:val="231F20"/>
        </w:rPr>
        <w:t>an</w:t>
      </w:r>
      <w:r>
        <w:rPr>
          <w:color w:val="231F20"/>
          <w:spacing w:val="-12"/>
        </w:rPr>
        <w:t xml:space="preserve"> </w:t>
      </w:r>
      <w:r>
        <w:rPr>
          <w:color w:val="231F20"/>
        </w:rPr>
        <w:t>industrial</w:t>
      </w:r>
      <w:r>
        <w:rPr>
          <w:color w:val="231F20"/>
          <w:spacing w:val="-11"/>
        </w:rPr>
        <w:t xml:space="preserve"> </w:t>
      </w:r>
      <w:r>
        <w:rPr>
          <w:color w:val="231F20"/>
        </w:rPr>
        <w:t>area;</w:t>
      </w:r>
      <w:r>
        <w:rPr>
          <w:color w:val="231F20"/>
          <w:spacing w:val="-12"/>
        </w:rPr>
        <w:t xml:space="preserve"> </w:t>
      </w:r>
      <w:r>
        <w:rPr>
          <w:color w:val="231F20"/>
        </w:rPr>
        <w:t>Conduct</w:t>
      </w:r>
      <w:r>
        <w:rPr>
          <w:color w:val="231F20"/>
          <w:spacing w:val="-11"/>
        </w:rPr>
        <w:t xml:space="preserve"> </w:t>
      </w:r>
      <w:r>
        <w:rPr>
          <w:color w:val="231F20"/>
        </w:rPr>
        <w:t>public</w:t>
      </w:r>
      <w:r>
        <w:rPr>
          <w:color w:val="231F20"/>
          <w:spacing w:val="-11"/>
        </w:rPr>
        <w:t xml:space="preserve"> </w:t>
      </w:r>
      <w:r>
        <w:rPr>
          <w:color w:val="231F20"/>
        </w:rPr>
        <w:t>enlightenment</w:t>
      </w:r>
      <w:r>
        <w:rPr>
          <w:color w:val="231F20"/>
          <w:spacing w:val="-12"/>
        </w:rPr>
        <w:t xml:space="preserve"> </w:t>
      </w:r>
      <w:r>
        <w:rPr>
          <w:color w:val="231F20"/>
        </w:rPr>
        <w:t>campaigns</w:t>
      </w:r>
      <w:r>
        <w:rPr>
          <w:color w:val="231F20"/>
          <w:spacing w:val="-11"/>
        </w:rPr>
        <w:t xml:space="preserve"> </w:t>
      </w:r>
      <w:r>
        <w:rPr>
          <w:color w:val="231F20"/>
        </w:rPr>
        <w:t>in</w:t>
      </w:r>
      <w:r>
        <w:rPr>
          <w:color w:val="231F20"/>
          <w:spacing w:val="-12"/>
        </w:rPr>
        <w:t xml:space="preserve"> </w:t>
      </w:r>
      <w:r>
        <w:rPr>
          <w:color w:val="231F20"/>
        </w:rPr>
        <w:t>state</w:t>
      </w:r>
      <w:r>
        <w:rPr>
          <w:color w:val="231F20"/>
          <w:spacing w:val="-11"/>
        </w:rPr>
        <w:t xml:space="preserve"> </w:t>
      </w:r>
      <w:r>
        <w:rPr>
          <w:color w:val="231F20"/>
        </w:rPr>
        <w:t>media</w:t>
      </w:r>
      <w:r>
        <w:rPr>
          <w:color w:val="231F20"/>
          <w:spacing w:val="-11"/>
        </w:rPr>
        <w:t xml:space="preserve"> </w:t>
      </w:r>
      <w:r>
        <w:rPr>
          <w:color w:val="231F20"/>
        </w:rPr>
        <w:t>houses</w:t>
      </w:r>
      <w:r>
        <w:rPr>
          <w:color w:val="231F20"/>
          <w:spacing w:val="-12"/>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effect</w:t>
      </w:r>
      <w:r>
        <w:rPr>
          <w:color w:val="231F20"/>
          <w:spacing w:val="-12"/>
        </w:rPr>
        <w:t xml:space="preserve"> </w:t>
      </w:r>
      <w:r>
        <w:rPr>
          <w:color w:val="231F20"/>
        </w:rPr>
        <w:t>of chemical</w:t>
      </w:r>
      <w:r>
        <w:rPr>
          <w:color w:val="231F20"/>
          <w:spacing w:val="-25"/>
        </w:rPr>
        <w:t xml:space="preserve"> </w:t>
      </w:r>
      <w:r>
        <w:rPr>
          <w:color w:val="231F20"/>
        </w:rPr>
        <w:t>hazards.</w:t>
      </w:r>
    </w:p>
    <w:p w14:paraId="6CDCD5BA" w14:textId="77777777" w:rsidR="009948F1" w:rsidRDefault="009948F1">
      <w:pPr>
        <w:pStyle w:val="BodyText"/>
      </w:pPr>
    </w:p>
    <w:p w14:paraId="6F003814" w14:textId="77777777" w:rsidR="009948F1" w:rsidRDefault="009948F1">
      <w:pPr>
        <w:pStyle w:val="BodyText"/>
        <w:spacing w:before="4"/>
        <w:rPr>
          <w:sz w:val="30"/>
        </w:rPr>
      </w:pPr>
    </w:p>
    <w:p w14:paraId="76744CAD" w14:textId="77777777" w:rsidR="009948F1" w:rsidRDefault="00BC0563">
      <w:pPr>
        <w:pStyle w:val="ListParagraph"/>
        <w:numPr>
          <w:ilvl w:val="3"/>
          <w:numId w:val="273"/>
        </w:numPr>
        <w:tabs>
          <w:tab w:val="left" w:pos="883"/>
        </w:tabs>
        <w:spacing w:line="278" w:lineRule="auto"/>
        <w:ind w:left="141" w:right="161" w:firstLine="0"/>
      </w:pPr>
      <w:r>
        <w:rPr>
          <w:color w:val="231F20"/>
        </w:rPr>
        <w:t xml:space="preserve">Build capacity of health workers for effective management of medical and Bio waste </w:t>
      </w:r>
      <w:r>
        <w:rPr>
          <w:color w:val="231F20"/>
          <w:spacing w:val="-6"/>
        </w:rPr>
        <w:t xml:space="preserve">and </w:t>
      </w:r>
      <w:r>
        <w:rPr>
          <w:color w:val="231F20"/>
        </w:rPr>
        <w:t>hazardous</w:t>
      </w:r>
      <w:r>
        <w:rPr>
          <w:color w:val="231F20"/>
          <w:spacing w:val="-5"/>
        </w:rPr>
        <w:t xml:space="preserve"> </w:t>
      </w:r>
      <w:r>
        <w:rPr>
          <w:color w:val="231F20"/>
        </w:rPr>
        <w:t>chemicals</w:t>
      </w:r>
      <w:r>
        <w:rPr>
          <w:color w:val="231F20"/>
          <w:spacing w:val="-5"/>
        </w:rPr>
        <w:t xml:space="preserve"> </w:t>
      </w:r>
      <w:r>
        <w:rPr>
          <w:color w:val="231F20"/>
        </w:rPr>
        <w:t>at</w:t>
      </w:r>
      <w:r>
        <w:rPr>
          <w:color w:val="231F20"/>
          <w:spacing w:val="-5"/>
        </w:rPr>
        <w:t xml:space="preserve"> </w:t>
      </w:r>
      <w:r>
        <w:rPr>
          <w:color w:val="231F20"/>
        </w:rPr>
        <w:t>all</w:t>
      </w:r>
      <w:r>
        <w:rPr>
          <w:color w:val="231F20"/>
          <w:spacing w:val="-5"/>
        </w:rPr>
        <w:t xml:space="preserve"> </w:t>
      </w:r>
      <w:r>
        <w:rPr>
          <w:color w:val="231F20"/>
        </w:rPr>
        <w:t>levels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system.</w:t>
      </w:r>
      <w:r>
        <w:rPr>
          <w:color w:val="231F20"/>
          <w:spacing w:val="-5"/>
        </w:rPr>
        <w:t xml:space="preserve"> </w:t>
      </w:r>
      <w:r>
        <w:rPr>
          <w:color w:val="231F20"/>
        </w:rPr>
        <w:t>Key</w:t>
      </w:r>
      <w:r>
        <w:rPr>
          <w:color w:val="231F20"/>
          <w:spacing w:val="-5"/>
        </w:rPr>
        <w:t xml:space="preserve"> </w:t>
      </w:r>
      <w:r>
        <w:rPr>
          <w:color w:val="231F20"/>
        </w:rPr>
        <w:t>actions</w:t>
      </w:r>
      <w:r>
        <w:rPr>
          <w:color w:val="231F20"/>
          <w:spacing w:val="-5"/>
        </w:rPr>
        <w:t xml:space="preserve"> </w:t>
      </w:r>
      <w:r>
        <w:rPr>
          <w:color w:val="231F20"/>
        </w:rPr>
        <w:t>are;</w:t>
      </w:r>
      <w:r>
        <w:rPr>
          <w:color w:val="231F20"/>
          <w:spacing w:val="-5"/>
        </w:rPr>
        <w:t xml:space="preserve"> </w:t>
      </w:r>
      <w:r>
        <w:rPr>
          <w:color w:val="231F20"/>
        </w:rPr>
        <w:t>-</w:t>
      </w:r>
      <w:r>
        <w:rPr>
          <w:color w:val="231F20"/>
          <w:spacing w:val="-5"/>
        </w:rPr>
        <w:t xml:space="preserve"> </w:t>
      </w:r>
      <w:r>
        <w:rPr>
          <w:color w:val="231F20"/>
        </w:rPr>
        <w:t>Conduct</w:t>
      </w:r>
      <w:r>
        <w:rPr>
          <w:color w:val="231F20"/>
          <w:spacing w:val="-5"/>
        </w:rPr>
        <w:t xml:space="preserve"> </w:t>
      </w:r>
      <w:r>
        <w:rPr>
          <w:color w:val="231F20"/>
        </w:rPr>
        <w:t>training</w:t>
      </w:r>
      <w:r>
        <w:rPr>
          <w:color w:val="231F20"/>
          <w:spacing w:val="-5"/>
        </w:rPr>
        <w:t xml:space="preserve"> </w:t>
      </w:r>
      <w:r>
        <w:rPr>
          <w:color w:val="231F20"/>
          <w:spacing w:val="-7"/>
        </w:rPr>
        <w:t xml:space="preserve">of </w:t>
      </w:r>
      <w:r>
        <w:rPr>
          <w:color w:val="231F20"/>
        </w:rPr>
        <w:t>health workers on the management of medical and bio waste at all level; Conduct training for Environmental</w:t>
      </w:r>
      <w:r>
        <w:rPr>
          <w:color w:val="231F20"/>
          <w:spacing w:val="-26"/>
        </w:rPr>
        <w:t xml:space="preserve"> </w:t>
      </w:r>
      <w:r>
        <w:rPr>
          <w:color w:val="231F20"/>
        </w:rPr>
        <w:t>Health</w:t>
      </w:r>
      <w:r>
        <w:rPr>
          <w:color w:val="231F20"/>
          <w:spacing w:val="-25"/>
        </w:rPr>
        <w:t xml:space="preserve"> </w:t>
      </w:r>
      <w:r>
        <w:rPr>
          <w:color w:val="231F20"/>
        </w:rPr>
        <w:t>Officers</w:t>
      </w:r>
      <w:r>
        <w:rPr>
          <w:color w:val="231F20"/>
          <w:spacing w:val="-25"/>
        </w:rPr>
        <w:t xml:space="preserve"> </w:t>
      </w:r>
      <w:r>
        <w:rPr>
          <w:color w:val="231F20"/>
        </w:rPr>
        <w:t>on</w:t>
      </w:r>
      <w:r>
        <w:rPr>
          <w:color w:val="231F20"/>
          <w:spacing w:val="-25"/>
        </w:rPr>
        <w:t xml:space="preserve"> </w:t>
      </w:r>
      <w:r>
        <w:rPr>
          <w:color w:val="231F20"/>
        </w:rPr>
        <w:t>risk</w:t>
      </w:r>
      <w:r>
        <w:rPr>
          <w:color w:val="231F20"/>
          <w:spacing w:val="-25"/>
        </w:rPr>
        <w:t xml:space="preserve"> </w:t>
      </w:r>
      <w:r>
        <w:rPr>
          <w:color w:val="231F20"/>
        </w:rPr>
        <w:t>assessment.</w:t>
      </w:r>
    </w:p>
    <w:p w14:paraId="66AE7AF6" w14:textId="77777777" w:rsidR="009948F1" w:rsidRDefault="009948F1">
      <w:pPr>
        <w:pStyle w:val="BodyText"/>
        <w:spacing w:before="5"/>
        <w:rPr>
          <w:sz w:val="25"/>
        </w:rPr>
      </w:pPr>
    </w:p>
    <w:p w14:paraId="4EB021C8" w14:textId="77777777" w:rsidR="009948F1" w:rsidRDefault="00BC0563">
      <w:pPr>
        <w:pStyle w:val="ListParagraph"/>
        <w:numPr>
          <w:ilvl w:val="3"/>
          <w:numId w:val="273"/>
        </w:numPr>
        <w:tabs>
          <w:tab w:val="left" w:pos="881"/>
        </w:tabs>
        <w:spacing w:line="278" w:lineRule="auto"/>
        <w:ind w:left="141" w:right="162" w:firstLine="0"/>
      </w:pPr>
      <w:r>
        <w:rPr>
          <w:color w:val="231F20"/>
        </w:rPr>
        <w:t xml:space="preserve">Build capacity to appropriately respond to health effects of climate change. Key activities are; – Establish a committee made up of weather experts, Develop and implement climate and health adaptation plan; Conduct training of health workers on climate impacts and how to </w:t>
      </w:r>
      <w:r>
        <w:rPr>
          <w:color w:val="231F20"/>
          <w:spacing w:val="-3"/>
        </w:rPr>
        <w:t xml:space="preserve">assess </w:t>
      </w:r>
      <w:r>
        <w:rPr>
          <w:color w:val="231F20"/>
        </w:rPr>
        <w:t>vulnerabilities;</w:t>
      </w:r>
      <w:r>
        <w:rPr>
          <w:color w:val="231F20"/>
          <w:spacing w:val="-21"/>
        </w:rPr>
        <w:t xml:space="preserve"> </w:t>
      </w:r>
      <w:r>
        <w:rPr>
          <w:color w:val="231F20"/>
        </w:rPr>
        <w:t>Hold</w:t>
      </w:r>
      <w:r>
        <w:rPr>
          <w:color w:val="231F20"/>
          <w:spacing w:val="-21"/>
        </w:rPr>
        <w:t xml:space="preserve"> </w:t>
      </w:r>
      <w:r>
        <w:rPr>
          <w:color w:val="231F20"/>
        </w:rPr>
        <w:t>training</w:t>
      </w:r>
      <w:r>
        <w:rPr>
          <w:color w:val="231F20"/>
          <w:spacing w:val="-22"/>
        </w:rPr>
        <w:t xml:space="preserve"> </w:t>
      </w:r>
      <w:r>
        <w:rPr>
          <w:color w:val="231F20"/>
        </w:rPr>
        <w:t>for</w:t>
      </w:r>
      <w:r>
        <w:rPr>
          <w:color w:val="231F20"/>
          <w:spacing w:val="-21"/>
        </w:rPr>
        <w:t xml:space="preserve"> </w:t>
      </w:r>
      <w:r>
        <w:rPr>
          <w:color w:val="231F20"/>
        </w:rPr>
        <w:t>State</w:t>
      </w:r>
      <w:r>
        <w:rPr>
          <w:color w:val="231F20"/>
          <w:spacing w:val="-22"/>
        </w:rPr>
        <w:t xml:space="preserve"> </w:t>
      </w:r>
      <w:r>
        <w:rPr>
          <w:color w:val="231F20"/>
        </w:rPr>
        <w:t>Climate</w:t>
      </w:r>
      <w:r>
        <w:rPr>
          <w:color w:val="231F20"/>
          <w:spacing w:val="-21"/>
        </w:rPr>
        <w:t xml:space="preserve"> </w:t>
      </w:r>
      <w:r>
        <w:rPr>
          <w:color w:val="231F20"/>
        </w:rPr>
        <w:t>Change</w:t>
      </w:r>
      <w:r>
        <w:rPr>
          <w:color w:val="231F20"/>
          <w:spacing w:val="-22"/>
        </w:rPr>
        <w:t xml:space="preserve"> </w:t>
      </w:r>
      <w:r>
        <w:rPr>
          <w:color w:val="231F20"/>
        </w:rPr>
        <w:t>Disk</w:t>
      </w:r>
      <w:r>
        <w:rPr>
          <w:color w:val="231F20"/>
          <w:spacing w:val="-21"/>
        </w:rPr>
        <w:t xml:space="preserve"> </w:t>
      </w:r>
      <w:r>
        <w:rPr>
          <w:color w:val="231F20"/>
        </w:rPr>
        <w:t>officers,</w:t>
      </w:r>
      <w:r>
        <w:rPr>
          <w:color w:val="231F20"/>
          <w:spacing w:val="-21"/>
        </w:rPr>
        <w:t xml:space="preserve"> </w:t>
      </w:r>
      <w:r>
        <w:rPr>
          <w:color w:val="231F20"/>
        </w:rPr>
        <w:t>Civil</w:t>
      </w:r>
      <w:r>
        <w:rPr>
          <w:color w:val="231F20"/>
          <w:spacing w:val="-22"/>
        </w:rPr>
        <w:t xml:space="preserve"> </w:t>
      </w:r>
      <w:r>
        <w:rPr>
          <w:color w:val="231F20"/>
        </w:rPr>
        <w:t>Society</w:t>
      </w:r>
      <w:r>
        <w:rPr>
          <w:color w:val="231F20"/>
          <w:spacing w:val="-21"/>
        </w:rPr>
        <w:t xml:space="preserve"> </w:t>
      </w:r>
      <w:r>
        <w:rPr>
          <w:color w:val="231F20"/>
        </w:rPr>
        <w:t>Organizations</w:t>
      </w:r>
      <w:r>
        <w:rPr>
          <w:color w:val="231F20"/>
          <w:spacing w:val="-22"/>
        </w:rPr>
        <w:t xml:space="preserve"> </w:t>
      </w:r>
      <w:r>
        <w:rPr>
          <w:color w:val="231F20"/>
        </w:rPr>
        <w:t>and 23</w:t>
      </w:r>
      <w:r>
        <w:rPr>
          <w:color w:val="231F20"/>
          <w:spacing w:val="-26"/>
        </w:rPr>
        <w:t xml:space="preserve"> </w:t>
      </w:r>
      <w:r>
        <w:rPr>
          <w:color w:val="231F20"/>
        </w:rPr>
        <w:t>LGA</w:t>
      </w:r>
      <w:r>
        <w:rPr>
          <w:color w:val="231F20"/>
          <w:spacing w:val="-37"/>
        </w:rPr>
        <w:t xml:space="preserve"> </w:t>
      </w:r>
      <w:r>
        <w:rPr>
          <w:color w:val="231F20"/>
        </w:rPr>
        <w:t>climate</w:t>
      </w:r>
      <w:r>
        <w:rPr>
          <w:color w:val="231F20"/>
          <w:spacing w:val="-25"/>
        </w:rPr>
        <w:t xml:space="preserve"> </w:t>
      </w:r>
      <w:r>
        <w:rPr>
          <w:color w:val="231F20"/>
        </w:rPr>
        <w:t>change</w:t>
      </w:r>
      <w:r>
        <w:rPr>
          <w:color w:val="231F20"/>
          <w:spacing w:val="-25"/>
        </w:rPr>
        <w:t xml:space="preserve"> </w:t>
      </w:r>
      <w:r>
        <w:rPr>
          <w:color w:val="231F20"/>
        </w:rPr>
        <w:t>Desk</w:t>
      </w:r>
      <w:r>
        <w:rPr>
          <w:color w:val="231F20"/>
          <w:spacing w:val="-25"/>
        </w:rPr>
        <w:t xml:space="preserve"> </w:t>
      </w:r>
      <w:r>
        <w:rPr>
          <w:color w:val="231F20"/>
        </w:rPr>
        <w:t>officer</w:t>
      </w:r>
      <w:r>
        <w:rPr>
          <w:color w:val="231F20"/>
          <w:spacing w:val="-25"/>
        </w:rPr>
        <w:t xml:space="preserve"> </w:t>
      </w:r>
      <w:r>
        <w:rPr>
          <w:color w:val="231F20"/>
        </w:rPr>
        <w:t>on</w:t>
      </w:r>
      <w:r>
        <w:rPr>
          <w:color w:val="231F20"/>
          <w:spacing w:val="-25"/>
        </w:rPr>
        <w:t xml:space="preserve"> </w:t>
      </w:r>
      <w:r>
        <w:rPr>
          <w:color w:val="231F20"/>
        </w:rPr>
        <w:t>emergency</w:t>
      </w:r>
      <w:r>
        <w:rPr>
          <w:color w:val="231F20"/>
          <w:spacing w:val="-25"/>
        </w:rPr>
        <w:t xml:space="preserve"> </w:t>
      </w:r>
      <w:r>
        <w:rPr>
          <w:color w:val="231F20"/>
        </w:rPr>
        <w:t>Response.</w:t>
      </w:r>
    </w:p>
    <w:p w14:paraId="560CDD81" w14:textId="77777777" w:rsidR="009948F1" w:rsidRDefault="009948F1">
      <w:pPr>
        <w:pStyle w:val="BodyText"/>
        <w:spacing w:before="5"/>
        <w:rPr>
          <w:sz w:val="25"/>
        </w:rPr>
      </w:pPr>
    </w:p>
    <w:p w14:paraId="469A94A0" w14:textId="77777777" w:rsidR="009948F1" w:rsidRDefault="00BC0563">
      <w:pPr>
        <w:pStyle w:val="ListParagraph"/>
        <w:numPr>
          <w:ilvl w:val="3"/>
          <w:numId w:val="273"/>
        </w:numPr>
        <w:tabs>
          <w:tab w:val="left" w:pos="855"/>
        </w:tabs>
        <w:spacing w:line="278" w:lineRule="auto"/>
        <w:ind w:left="140" w:right="162" w:firstLine="0"/>
      </w:pPr>
      <w:r>
        <w:rPr>
          <w:color w:val="231F20"/>
        </w:rPr>
        <w:t>Deepen</w:t>
      </w:r>
      <w:r>
        <w:rPr>
          <w:color w:val="231F20"/>
          <w:spacing w:val="-22"/>
        </w:rPr>
        <w:t xml:space="preserve"> </w:t>
      </w:r>
      <w:r>
        <w:rPr>
          <w:color w:val="231F20"/>
        </w:rPr>
        <w:t>collaboration</w:t>
      </w:r>
      <w:r>
        <w:rPr>
          <w:color w:val="231F20"/>
          <w:spacing w:val="-21"/>
        </w:rPr>
        <w:t xml:space="preserve"> </w:t>
      </w:r>
      <w:r>
        <w:rPr>
          <w:color w:val="231F20"/>
        </w:rPr>
        <w:t>with</w:t>
      </w:r>
      <w:r>
        <w:rPr>
          <w:color w:val="231F20"/>
          <w:spacing w:val="-21"/>
        </w:rPr>
        <w:t xml:space="preserve"> </w:t>
      </w:r>
      <w:r>
        <w:rPr>
          <w:color w:val="231F20"/>
        </w:rPr>
        <w:t>relevant</w:t>
      </w:r>
      <w:r>
        <w:rPr>
          <w:color w:val="231F20"/>
          <w:spacing w:val="-21"/>
        </w:rPr>
        <w:t xml:space="preserve"> </w:t>
      </w:r>
      <w:r>
        <w:rPr>
          <w:color w:val="231F20"/>
        </w:rPr>
        <w:t>stakeholders</w:t>
      </w:r>
      <w:r>
        <w:rPr>
          <w:color w:val="231F20"/>
          <w:spacing w:val="-21"/>
        </w:rPr>
        <w:t xml:space="preserve"> </w:t>
      </w:r>
      <w:r>
        <w:rPr>
          <w:color w:val="231F20"/>
        </w:rPr>
        <w:t>on</w:t>
      </w:r>
      <w:r>
        <w:rPr>
          <w:color w:val="231F20"/>
          <w:spacing w:val="-21"/>
        </w:rPr>
        <w:t xml:space="preserve"> </w:t>
      </w:r>
      <w:r>
        <w:rPr>
          <w:color w:val="231F20"/>
        </w:rPr>
        <w:t>Chemicals</w:t>
      </w:r>
      <w:r>
        <w:rPr>
          <w:color w:val="231F20"/>
          <w:spacing w:val="-22"/>
        </w:rPr>
        <w:t xml:space="preserve"> </w:t>
      </w:r>
      <w:r>
        <w:rPr>
          <w:color w:val="231F20"/>
        </w:rPr>
        <w:t>Management,</w:t>
      </w:r>
      <w:r>
        <w:rPr>
          <w:color w:val="231F20"/>
          <w:spacing w:val="-21"/>
        </w:rPr>
        <w:t xml:space="preserve"> </w:t>
      </w:r>
      <w:r>
        <w:rPr>
          <w:color w:val="231F20"/>
        </w:rPr>
        <w:t>medical</w:t>
      </w:r>
      <w:r>
        <w:rPr>
          <w:color w:val="231F20"/>
          <w:spacing w:val="-21"/>
        </w:rPr>
        <w:t xml:space="preserve"> </w:t>
      </w:r>
      <w:r>
        <w:rPr>
          <w:color w:val="231F20"/>
        </w:rPr>
        <w:t>&amp;</w:t>
      </w:r>
      <w:r>
        <w:rPr>
          <w:color w:val="231F20"/>
          <w:spacing w:val="-21"/>
        </w:rPr>
        <w:t xml:space="preserve"> </w:t>
      </w:r>
      <w:r>
        <w:rPr>
          <w:color w:val="231F20"/>
        </w:rPr>
        <w:t>Bio waste</w:t>
      </w:r>
      <w:r>
        <w:rPr>
          <w:color w:val="231F20"/>
          <w:spacing w:val="-16"/>
        </w:rPr>
        <w:t xml:space="preserve"> </w:t>
      </w:r>
      <w:r>
        <w:rPr>
          <w:color w:val="231F20"/>
        </w:rPr>
        <w:t>management</w:t>
      </w:r>
      <w:r>
        <w:rPr>
          <w:color w:val="231F20"/>
          <w:spacing w:val="-15"/>
        </w:rPr>
        <w:t xml:space="preserve"> </w:t>
      </w:r>
      <w:r>
        <w:rPr>
          <w:color w:val="231F20"/>
        </w:rPr>
        <w:t>and</w:t>
      </w:r>
      <w:r>
        <w:rPr>
          <w:color w:val="231F20"/>
          <w:spacing w:val="-15"/>
        </w:rPr>
        <w:t xml:space="preserve"> </w:t>
      </w:r>
      <w:r>
        <w:rPr>
          <w:color w:val="231F20"/>
        </w:rPr>
        <w:t>climate</w:t>
      </w:r>
      <w:r>
        <w:rPr>
          <w:color w:val="231F20"/>
          <w:spacing w:val="-15"/>
        </w:rPr>
        <w:t xml:space="preserve"> </w:t>
      </w:r>
      <w:r>
        <w:rPr>
          <w:color w:val="231F20"/>
        </w:rPr>
        <w:t>change.</w:t>
      </w:r>
      <w:r>
        <w:rPr>
          <w:color w:val="231F20"/>
          <w:spacing w:val="-15"/>
        </w:rPr>
        <w:t xml:space="preserve"> </w:t>
      </w:r>
      <w:r>
        <w:rPr>
          <w:color w:val="231F20"/>
        </w:rPr>
        <w:t>Key</w:t>
      </w:r>
      <w:r>
        <w:rPr>
          <w:color w:val="231F20"/>
          <w:spacing w:val="-15"/>
        </w:rPr>
        <w:t xml:space="preserve"> </w:t>
      </w:r>
      <w:r>
        <w:rPr>
          <w:color w:val="231F20"/>
        </w:rPr>
        <w:t>actions</w:t>
      </w:r>
      <w:r>
        <w:rPr>
          <w:color w:val="231F20"/>
          <w:spacing w:val="-15"/>
        </w:rPr>
        <w:t xml:space="preserve"> </w:t>
      </w:r>
      <w:r>
        <w:rPr>
          <w:color w:val="231F20"/>
        </w:rPr>
        <w:t>are</w:t>
      </w:r>
      <w:r>
        <w:rPr>
          <w:color w:val="231F20"/>
          <w:spacing w:val="-15"/>
        </w:rPr>
        <w:t xml:space="preserve"> </w:t>
      </w:r>
      <w:r>
        <w:rPr>
          <w:color w:val="231F20"/>
        </w:rPr>
        <w:t>-</w:t>
      </w:r>
      <w:r>
        <w:rPr>
          <w:color w:val="231F20"/>
          <w:spacing w:val="-15"/>
        </w:rPr>
        <w:t xml:space="preserve"> </w:t>
      </w:r>
      <w:r>
        <w:rPr>
          <w:color w:val="231F20"/>
        </w:rPr>
        <w:t>Conduct</w:t>
      </w:r>
      <w:r>
        <w:rPr>
          <w:color w:val="231F20"/>
          <w:spacing w:val="-15"/>
        </w:rPr>
        <w:t xml:space="preserve"> </w:t>
      </w:r>
      <w:r>
        <w:rPr>
          <w:color w:val="231F20"/>
        </w:rPr>
        <w:t>risk</w:t>
      </w:r>
      <w:r>
        <w:rPr>
          <w:color w:val="231F20"/>
          <w:spacing w:val="-15"/>
        </w:rPr>
        <w:t xml:space="preserve"> </w:t>
      </w:r>
      <w:r>
        <w:rPr>
          <w:color w:val="231F20"/>
        </w:rPr>
        <w:t>assessment</w:t>
      </w:r>
      <w:r>
        <w:rPr>
          <w:color w:val="231F20"/>
          <w:spacing w:val="-16"/>
        </w:rPr>
        <w:t xml:space="preserve"> </w:t>
      </w:r>
      <w:r>
        <w:rPr>
          <w:color w:val="231F20"/>
        </w:rPr>
        <w:t>for</w:t>
      </w:r>
      <w:r>
        <w:rPr>
          <w:color w:val="231F20"/>
          <w:spacing w:val="-15"/>
        </w:rPr>
        <w:t xml:space="preserve"> </w:t>
      </w:r>
      <w:r>
        <w:rPr>
          <w:color w:val="231F20"/>
        </w:rPr>
        <w:t>hazardous chemicals and poisoning; Hold Bi-Annual Stakeholders review meetings on effects of climate change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33449425" w14:textId="77777777" w:rsidR="009948F1" w:rsidRDefault="009948F1">
      <w:pPr>
        <w:pStyle w:val="BodyText"/>
        <w:spacing w:before="5"/>
        <w:rPr>
          <w:sz w:val="25"/>
        </w:rPr>
      </w:pPr>
    </w:p>
    <w:p w14:paraId="68F416FF" w14:textId="77777777" w:rsidR="009948F1" w:rsidRDefault="00BC0563">
      <w:pPr>
        <w:pStyle w:val="ListParagraph"/>
        <w:numPr>
          <w:ilvl w:val="3"/>
          <w:numId w:val="273"/>
        </w:numPr>
        <w:tabs>
          <w:tab w:val="left" w:pos="866"/>
        </w:tabs>
        <w:spacing w:line="278" w:lineRule="auto"/>
        <w:ind w:left="140" w:right="162" w:firstLine="0"/>
      </w:pPr>
      <w:r>
        <w:rPr>
          <w:color w:val="231F20"/>
        </w:rPr>
        <w:t>Improve</w:t>
      </w:r>
      <w:r>
        <w:rPr>
          <w:color w:val="231F20"/>
          <w:spacing w:val="-11"/>
        </w:rPr>
        <w:t xml:space="preserve"> </w:t>
      </w:r>
      <w:r>
        <w:rPr>
          <w:color w:val="231F20"/>
        </w:rPr>
        <w:t>systems</w:t>
      </w:r>
      <w:r>
        <w:rPr>
          <w:color w:val="231F20"/>
          <w:spacing w:val="-10"/>
        </w:rPr>
        <w:t xml:space="preserve"> </w:t>
      </w:r>
      <w:r>
        <w:rPr>
          <w:color w:val="231F20"/>
        </w:rPr>
        <w:t>for</w:t>
      </w:r>
      <w:r>
        <w:rPr>
          <w:color w:val="231F20"/>
          <w:spacing w:val="-10"/>
        </w:rPr>
        <w:t xml:space="preserve"> </w:t>
      </w:r>
      <w:r>
        <w:rPr>
          <w:color w:val="231F20"/>
        </w:rPr>
        <w:t>data</w:t>
      </w:r>
      <w:r>
        <w:rPr>
          <w:color w:val="231F20"/>
          <w:spacing w:val="-10"/>
        </w:rPr>
        <w:t xml:space="preserve"> </w:t>
      </w:r>
      <w:r>
        <w:rPr>
          <w:color w:val="231F20"/>
        </w:rPr>
        <w:t>collection,</w:t>
      </w:r>
      <w:r>
        <w:rPr>
          <w:color w:val="231F20"/>
          <w:spacing w:val="-10"/>
        </w:rPr>
        <w:t xml:space="preserve"> </w:t>
      </w:r>
      <w:r>
        <w:rPr>
          <w:color w:val="231F20"/>
        </w:rPr>
        <w:t>management</w:t>
      </w:r>
      <w:r>
        <w:rPr>
          <w:color w:val="231F20"/>
          <w:spacing w:val="-10"/>
        </w:rPr>
        <w:t xml:space="preserve"> </w:t>
      </w:r>
      <w:r>
        <w:rPr>
          <w:color w:val="231F20"/>
        </w:rPr>
        <w:t>and</w:t>
      </w:r>
      <w:r>
        <w:rPr>
          <w:color w:val="231F20"/>
          <w:spacing w:val="-10"/>
        </w:rPr>
        <w:t xml:space="preserve"> </w:t>
      </w:r>
      <w:r>
        <w:rPr>
          <w:color w:val="231F20"/>
        </w:rPr>
        <w:t>utilization</w:t>
      </w:r>
      <w:r>
        <w:rPr>
          <w:color w:val="231F20"/>
          <w:spacing w:val="-10"/>
        </w:rPr>
        <w:t xml:space="preserve"> </w:t>
      </w:r>
      <w:r>
        <w:rPr>
          <w:color w:val="231F20"/>
        </w:rPr>
        <w:t>for</w:t>
      </w:r>
      <w:r>
        <w:rPr>
          <w:color w:val="231F20"/>
          <w:spacing w:val="-10"/>
        </w:rPr>
        <w:t xml:space="preserve"> </w:t>
      </w:r>
      <w:r>
        <w:rPr>
          <w:color w:val="231F20"/>
        </w:rPr>
        <w:t>chemical</w:t>
      </w:r>
      <w:r>
        <w:rPr>
          <w:color w:val="231F20"/>
          <w:spacing w:val="-11"/>
        </w:rPr>
        <w:t xml:space="preserve"> </w:t>
      </w:r>
      <w:r>
        <w:rPr>
          <w:color w:val="231F20"/>
        </w:rPr>
        <w:t>hazards</w:t>
      </w:r>
      <w:r>
        <w:rPr>
          <w:color w:val="231F20"/>
          <w:spacing w:val="-10"/>
        </w:rPr>
        <w:t xml:space="preserve"> </w:t>
      </w:r>
      <w:r>
        <w:rPr>
          <w:color w:val="231F20"/>
        </w:rPr>
        <w:t>and poisons,</w:t>
      </w:r>
      <w:r>
        <w:rPr>
          <w:color w:val="231F20"/>
          <w:spacing w:val="-26"/>
        </w:rPr>
        <w:t xml:space="preserve"> </w:t>
      </w:r>
      <w:r>
        <w:rPr>
          <w:color w:val="231F20"/>
        </w:rPr>
        <w:t>medical</w:t>
      </w:r>
      <w:r>
        <w:rPr>
          <w:color w:val="231F20"/>
          <w:spacing w:val="-25"/>
        </w:rPr>
        <w:t xml:space="preserve"> </w:t>
      </w:r>
      <w:r>
        <w:rPr>
          <w:color w:val="231F20"/>
        </w:rPr>
        <w:t>and</w:t>
      </w:r>
      <w:r>
        <w:rPr>
          <w:color w:val="231F20"/>
          <w:spacing w:val="-25"/>
        </w:rPr>
        <w:t xml:space="preserve"> </w:t>
      </w:r>
      <w:r>
        <w:rPr>
          <w:color w:val="231F20"/>
        </w:rPr>
        <w:t>Bio</w:t>
      </w:r>
      <w:r>
        <w:rPr>
          <w:color w:val="231F20"/>
          <w:spacing w:val="-25"/>
        </w:rPr>
        <w:t xml:space="preserve"> </w:t>
      </w:r>
      <w:r>
        <w:rPr>
          <w:color w:val="231F20"/>
        </w:rPr>
        <w:t>wastes</w:t>
      </w:r>
      <w:r>
        <w:rPr>
          <w:color w:val="231F20"/>
          <w:spacing w:val="-25"/>
        </w:rPr>
        <w:t xml:space="preserve"> </w:t>
      </w:r>
      <w:r>
        <w:rPr>
          <w:color w:val="231F20"/>
        </w:rPr>
        <w:t>and</w:t>
      </w:r>
      <w:r>
        <w:rPr>
          <w:color w:val="231F20"/>
          <w:spacing w:val="-25"/>
        </w:rPr>
        <w:t xml:space="preserve"> </w:t>
      </w:r>
      <w:r>
        <w:rPr>
          <w:color w:val="231F20"/>
        </w:rPr>
        <w:t>climate</w:t>
      </w:r>
      <w:r>
        <w:rPr>
          <w:color w:val="231F20"/>
          <w:spacing w:val="-25"/>
        </w:rPr>
        <w:t xml:space="preserve"> </w:t>
      </w:r>
      <w:r>
        <w:rPr>
          <w:color w:val="231F20"/>
        </w:rPr>
        <w:t>change.</w:t>
      </w:r>
      <w:r>
        <w:rPr>
          <w:color w:val="231F20"/>
          <w:spacing w:val="-25"/>
        </w:rPr>
        <w:t xml:space="preserve"> </w:t>
      </w:r>
      <w:r>
        <w:rPr>
          <w:color w:val="231F20"/>
        </w:rPr>
        <w:t>Key</w:t>
      </w:r>
      <w:r>
        <w:rPr>
          <w:color w:val="231F20"/>
          <w:spacing w:val="-25"/>
        </w:rPr>
        <w:t xml:space="preserve"> </w:t>
      </w:r>
      <w:r>
        <w:rPr>
          <w:color w:val="231F20"/>
        </w:rPr>
        <w:t>actions</w:t>
      </w:r>
      <w:r>
        <w:rPr>
          <w:color w:val="231F20"/>
          <w:spacing w:val="-25"/>
        </w:rPr>
        <w:t xml:space="preserve"> </w:t>
      </w:r>
      <w:r>
        <w:rPr>
          <w:color w:val="231F20"/>
        </w:rPr>
        <w:t>are;</w:t>
      </w:r>
      <w:r>
        <w:rPr>
          <w:color w:val="231F20"/>
          <w:spacing w:val="-25"/>
        </w:rPr>
        <w:t xml:space="preserve"> </w:t>
      </w:r>
      <w:r>
        <w:rPr>
          <w:color w:val="231F20"/>
        </w:rPr>
        <w:t>–</w:t>
      </w:r>
    </w:p>
    <w:p w14:paraId="77232061" w14:textId="77777777" w:rsidR="009948F1" w:rsidRDefault="00BC0563">
      <w:pPr>
        <w:pStyle w:val="BodyText"/>
        <w:spacing w:line="278" w:lineRule="auto"/>
        <w:ind w:left="140" w:right="162"/>
        <w:jc w:val="both"/>
      </w:pPr>
      <w:r>
        <w:rPr>
          <w:color w:val="231F20"/>
        </w:rPr>
        <w:t xml:space="preserve">Develop surveillance and reporting systems for data collection, management and utilization </w:t>
      </w:r>
      <w:r>
        <w:rPr>
          <w:color w:val="231F20"/>
          <w:spacing w:val="-4"/>
        </w:rPr>
        <w:t xml:space="preserve">for </w:t>
      </w:r>
      <w:r>
        <w:rPr>
          <w:color w:val="231F20"/>
        </w:rPr>
        <w:t>chemical</w:t>
      </w:r>
      <w:r>
        <w:rPr>
          <w:color w:val="231F20"/>
          <w:spacing w:val="-24"/>
        </w:rPr>
        <w:t xml:space="preserve"> </w:t>
      </w:r>
      <w:r>
        <w:rPr>
          <w:color w:val="231F20"/>
        </w:rPr>
        <w:t>hazards</w:t>
      </w:r>
      <w:r>
        <w:rPr>
          <w:color w:val="231F20"/>
          <w:spacing w:val="-24"/>
        </w:rPr>
        <w:t xml:space="preserve"> </w:t>
      </w:r>
      <w:r>
        <w:rPr>
          <w:color w:val="231F20"/>
        </w:rPr>
        <w:t>and</w:t>
      </w:r>
      <w:r>
        <w:rPr>
          <w:color w:val="231F20"/>
          <w:spacing w:val="-24"/>
        </w:rPr>
        <w:t xml:space="preserve"> </w:t>
      </w:r>
      <w:r>
        <w:rPr>
          <w:color w:val="231F20"/>
        </w:rPr>
        <w:t>poisons,</w:t>
      </w:r>
      <w:r>
        <w:rPr>
          <w:color w:val="231F20"/>
          <w:spacing w:val="-24"/>
        </w:rPr>
        <w:t xml:space="preserve"> </w:t>
      </w:r>
      <w:r>
        <w:rPr>
          <w:color w:val="231F20"/>
        </w:rPr>
        <w:t>medical</w:t>
      </w:r>
      <w:r>
        <w:rPr>
          <w:color w:val="231F20"/>
          <w:spacing w:val="-24"/>
        </w:rPr>
        <w:t xml:space="preserve"> </w:t>
      </w:r>
      <w:r>
        <w:rPr>
          <w:color w:val="231F20"/>
        </w:rPr>
        <w:t>and</w:t>
      </w:r>
      <w:r>
        <w:rPr>
          <w:color w:val="231F20"/>
          <w:spacing w:val="-24"/>
        </w:rPr>
        <w:t xml:space="preserve"> </w:t>
      </w:r>
      <w:r>
        <w:rPr>
          <w:color w:val="231F20"/>
        </w:rPr>
        <w:t>Bio</w:t>
      </w:r>
      <w:r>
        <w:rPr>
          <w:color w:val="231F20"/>
          <w:spacing w:val="-24"/>
        </w:rPr>
        <w:t xml:space="preserve"> </w:t>
      </w:r>
      <w:r>
        <w:rPr>
          <w:color w:val="231F20"/>
        </w:rPr>
        <w:t>wastes</w:t>
      </w:r>
      <w:r>
        <w:rPr>
          <w:color w:val="231F20"/>
          <w:spacing w:val="-24"/>
        </w:rPr>
        <w:t xml:space="preserve"> </w:t>
      </w:r>
      <w:r>
        <w:rPr>
          <w:color w:val="231F20"/>
        </w:rPr>
        <w:t>and</w:t>
      </w:r>
      <w:r>
        <w:rPr>
          <w:color w:val="231F20"/>
          <w:spacing w:val="-23"/>
        </w:rPr>
        <w:t xml:space="preserve"> </w:t>
      </w:r>
      <w:r>
        <w:rPr>
          <w:color w:val="231F20"/>
        </w:rPr>
        <w:t>climate</w:t>
      </w:r>
      <w:r>
        <w:rPr>
          <w:color w:val="231F20"/>
          <w:spacing w:val="-24"/>
        </w:rPr>
        <w:t xml:space="preserve"> </w:t>
      </w:r>
      <w:r>
        <w:rPr>
          <w:color w:val="231F20"/>
        </w:rPr>
        <w:t>change;</w:t>
      </w:r>
      <w:r>
        <w:rPr>
          <w:color w:val="231F20"/>
          <w:spacing w:val="-24"/>
        </w:rPr>
        <w:t xml:space="preserve"> </w:t>
      </w:r>
      <w:r>
        <w:rPr>
          <w:color w:val="231F20"/>
        </w:rPr>
        <w:t>Conduct</w:t>
      </w:r>
      <w:r>
        <w:rPr>
          <w:color w:val="231F20"/>
          <w:spacing w:val="-24"/>
        </w:rPr>
        <w:t xml:space="preserve"> </w:t>
      </w:r>
      <w:r>
        <w:rPr>
          <w:color w:val="231F20"/>
        </w:rPr>
        <w:t>quarterly</w:t>
      </w:r>
      <w:r>
        <w:rPr>
          <w:color w:val="231F20"/>
          <w:spacing w:val="-24"/>
        </w:rPr>
        <w:t xml:space="preserve"> </w:t>
      </w:r>
      <w:r>
        <w:rPr>
          <w:color w:val="231F20"/>
          <w:spacing w:val="-4"/>
        </w:rPr>
        <w:t xml:space="preserve">data </w:t>
      </w:r>
      <w:r>
        <w:rPr>
          <w:color w:val="231F20"/>
        </w:rPr>
        <w:t>quality</w:t>
      </w:r>
      <w:r>
        <w:rPr>
          <w:color w:val="231F20"/>
          <w:spacing w:val="-26"/>
        </w:rPr>
        <w:t xml:space="preserve"> </w:t>
      </w:r>
      <w:r>
        <w:rPr>
          <w:color w:val="231F20"/>
        </w:rPr>
        <w:t>assessments;</w:t>
      </w:r>
      <w:r>
        <w:rPr>
          <w:color w:val="231F20"/>
          <w:spacing w:val="-25"/>
        </w:rPr>
        <w:t xml:space="preserve"> </w:t>
      </w:r>
      <w:r>
        <w:rPr>
          <w:color w:val="231F20"/>
        </w:rPr>
        <w:t>Review</w:t>
      </w:r>
      <w:r>
        <w:rPr>
          <w:color w:val="231F20"/>
          <w:spacing w:val="-25"/>
        </w:rPr>
        <w:t xml:space="preserve"> </w:t>
      </w:r>
      <w:r>
        <w:rPr>
          <w:color w:val="231F20"/>
        </w:rPr>
        <w:t>of</w:t>
      </w:r>
      <w:r>
        <w:rPr>
          <w:color w:val="231F20"/>
          <w:spacing w:val="-25"/>
        </w:rPr>
        <w:t xml:space="preserve"> </w:t>
      </w:r>
      <w:r>
        <w:rPr>
          <w:color w:val="231F20"/>
        </w:rPr>
        <w:t>activities</w:t>
      </w:r>
      <w:r>
        <w:rPr>
          <w:color w:val="231F20"/>
          <w:spacing w:val="-25"/>
        </w:rPr>
        <w:t xml:space="preserve"> </w:t>
      </w:r>
      <w:r>
        <w:rPr>
          <w:color w:val="231F20"/>
        </w:rPr>
        <w:t>of</w:t>
      </w:r>
      <w:r>
        <w:rPr>
          <w:color w:val="231F20"/>
          <w:spacing w:val="-25"/>
        </w:rPr>
        <w:t xml:space="preserve"> </w:t>
      </w:r>
      <w:r>
        <w:rPr>
          <w:color w:val="231F20"/>
        </w:rPr>
        <w:t>climate</w:t>
      </w:r>
      <w:r>
        <w:rPr>
          <w:color w:val="231F20"/>
          <w:spacing w:val="-25"/>
        </w:rPr>
        <w:t xml:space="preserve"> </w:t>
      </w:r>
      <w:r>
        <w:rPr>
          <w:color w:val="231F20"/>
        </w:rPr>
        <w:t>change</w:t>
      </w:r>
      <w:r>
        <w:rPr>
          <w:color w:val="231F20"/>
          <w:spacing w:val="-25"/>
        </w:rPr>
        <w:t xml:space="preserve"> </w:t>
      </w:r>
      <w:r>
        <w:rPr>
          <w:color w:val="231F20"/>
        </w:rPr>
        <w:t>desk</w:t>
      </w:r>
      <w:r>
        <w:rPr>
          <w:color w:val="231F20"/>
          <w:spacing w:val="-25"/>
        </w:rPr>
        <w:t xml:space="preserve"> </w:t>
      </w:r>
      <w:r>
        <w:rPr>
          <w:color w:val="231F20"/>
        </w:rPr>
        <w:t>officers</w:t>
      </w:r>
      <w:r>
        <w:rPr>
          <w:color w:val="231F20"/>
          <w:spacing w:val="-25"/>
        </w:rPr>
        <w:t xml:space="preserve"> </w:t>
      </w:r>
      <w:r>
        <w:rPr>
          <w:color w:val="231F20"/>
          <w:spacing w:val="-3"/>
        </w:rPr>
        <w:t>yearly.</w:t>
      </w:r>
    </w:p>
    <w:p w14:paraId="199E3116" w14:textId="77777777" w:rsidR="009948F1" w:rsidRDefault="009948F1">
      <w:pPr>
        <w:pStyle w:val="BodyText"/>
        <w:spacing w:before="6"/>
        <w:rPr>
          <w:sz w:val="32"/>
        </w:rPr>
      </w:pPr>
    </w:p>
    <w:p w14:paraId="64CDD89B" w14:textId="77777777" w:rsidR="009948F1" w:rsidRDefault="00BC0563">
      <w:pPr>
        <w:pStyle w:val="Heading7"/>
        <w:ind w:left="314"/>
      </w:pPr>
      <w:r>
        <w:rPr>
          <w:color w:val="231F20"/>
        </w:rPr>
        <w:t>Specific Objectives</w:t>
      </w:r>
    </w:p>
    <w:p w14:paraId="47FB9451" w14:textId="77777777" w:rsidR="009948F1" w:rsidRDefault="00BC0563">
      <w:pPr>
        <w:pStyle w:val="ListParagraph"/>
        <w:numPr>
          <w:ilvl w:val="2"/>
          <w:numId w:val="277"/>
        </w:numPr>
        <w:tabs>
          <w:tab w:val="left" w:pos="867"/>
        </w:tabs>
        <w:spacing w:before="38" w:line="280" w:lineRule="auto"/>
        <w:ind w:left="314" w:right="1283" w:firstLine="0"/>
        <w:jc w:val="left"/>
        <w:rPr>
          <w:b/>
          <w:color w:val="231F20"/>
        </w:rPr>
      </w:pPr>
      <w:r>
        <w:rPr>
          <w:b/>
          <w:color w:val="231F20"/>
        </w:rPr>
        <w:t xml:space="preserve">Promote optimal health and safety of workers in their work environment </w:t>
      </w:r>
      <w:r>
        <w:rPr>
          <w:b/>
          <w:color w:val="231F20"/>
          <w:spacing w:val="-3"/>
        </w:rPr>
        <w:t>Target</w:t>
      </w:r>
    </w:p>
    <w:tbl>
      <w:tblPr>
        <w:tblW w:w="0" w:type="auto"/>
        <w:tblInd w:w="2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4"/>
        <w:gridCol w:w="933"/>
        <w:gridCol w:w="722"/>
        <w:gridCol w:w="722"/>
        <w:gridCol w:w="720"/>
        <w:gridCol w:w="722"/>
        <w:gridCol w:w="1094"/>
        <w:gridCol w:w="1094"/>
      </w:tblGrid>
      <w:tr w:rsidR="009948F1" w14:paraId="686D36D5" w14:textId="77777777">
        <w:trPr>
          <w:trHeight w:val="206"/>
        </w:trPr>
        <w:tc>
          <w:tcPr>
            <w:tcW w:w="3254" w:type="dxa"/>
            <w:shd w:val="clear" w:color="auto" w:fill="F4CEB2"/>
          </w:tcPr>
          <w:p w14:paraId="1975B162" w14:textId="77777777" w:rsidR="009948F1" w:rsidRDefault="00BC0563">
            <w:pPr>
              <w:pStyle w:val="TableParagraph"/>
              <w:spacing w:line="186" w:lineRule="exact"/>
              <w:ind w:left="107"/>
              <w:rPr>
                <w:sz w:val="18"/>
              </w:rPr>
            </w:pPr>
            <w:r>
              <w:rPr>
                <w:color w:val="231F20"/>
                <w:sz w:val="18"/>
              </w:rPr>
              <w:t>Targets</w:t>
            </w:r>
          </w:p>
        </w:tc>
        <w:tc>
          <w:tcPr>
            <w:tcW w:w="933" w:type="dxa"/>
            <w:shd w:val="clear" w:color="auto" w:fill="F4CEB2"/>
          </w:tcPr>
          <w:p w14:paraId="5322BACB" w14:textId="77777777" w:rsidR="009948F1" w:rsidRDefault="00BC0563">
            <w:pPr>
              <w:pStyle w:val="TableParagraph"/>
              <w:spacing w:line="186" w:lineRule="exact"/>
              <w:ind w:left="107"/>
              <w:rPr>
                <w:sz w:val="18"/>
              </w:rPr>
            </w:pPr>
            <w:r>
              <w:rPr>
                <w:color w:val="231F20"/>
                <w:sz w:val="18"/>
              </w:rPr>
              <w:t>Baseline</w:t>
            </w:r>
          </w:p>
        </w:tc>
        <w:tc>
          <w:tcPr>
            <w:tcW w:w="722" w:type="dxa"/>
            <w:shd w:val="clear" w:color="auto" w:fill="F4CEB2"/>
          </w:tcPr>
          <w:p w14:paraId="7664CE71" w14:textId="77777777" w:rsidR="009948F1" w:rsidRDefault="00BC0563">
            <w:pPr>
              <w:pStyle w:val="TableParagraph"/>
              <w:spacing w:line="186" w:lineRule="exact"/>
              <w:ind w:left="106"/>
              <w:rPr>
                <w:b/>
                <w:sz w:val="18"/>
              </w:rPr>
            </w:pPr>
            <w:r>
              <w:rPr>
                <w:b/>
                <w:color w:val="231F20"/>
                <w:sz w:val="18"/>
              </w:rPr>
              <w:t>2018</w:t>
            </w:r>
          </w:p>
        </w:tc>
        <w:tc>
          <w:tcPr>
            <w:tcW w:w="722" w:type="dxa"/>
            <w:shd w:val="clear" w:color="auto" w:fill="F4CEB2"/>
          </w:tcPr>
          <w:p w14:paraId="1450B6F2" w14:textId="77777777" w:rsidR="009948F1" w:rsidRDefault="00BC0563">
            <w:pPr>
              <w:pStyle w:val="TableParagraph"/>
              <w:spacing w:line="186" w:lineRule="exact"/>
              <w:ind w:left="105"/>
              <w:rPr>
                <w:b/>
                <w:sz w:val="18"/>
              </w:rPr>
            </w:pPr>
            <w:r>
              <w:rPr>
                <w:b/>
                <w:color w:val="231F20"/>
                <w:sz w:val="18"/>
              </w:rPr>
              <w:t>2019</w:t>
            </w:r>
          </w:p>
        </w:tc>
        <w:tc>
          <w:tcPr>
            <w:tcW w:w="720" w:type="dxa"/>
            <w:shd w:val="clear" w:color="auto" w:fill="F4CEB2"/>
          </w:tcPr>
          <w:p w14:paraId="778718FC" w14:textId="77777777" w:rsidR="009948F1" w:rsidRDefault="00BC0563">
            <w:pPr>
              <w:pStyle w:val="TableParagraph"/>
              <w:spacing w:line="186" w:lineRule="exact"/>
              <w:ind w:left="104"/>
              <w:rPr>
                <w:b/>
                <w:sz w:val="18"/>
              </w:rPr>
            </w:pPr>
            <w:r>
              <w:rPr>
                <w:b/>
                <w:color w:val="231F20"/>
                <w:sz w:val="18"/>
              </w:rPr>
              <w:t>2020</w:t>
            </w:r>
          </w:p>
        </w:tc>
        <w:tc>
          <w:tcPr>
            <w:tcW w:w="722" w:type="dxa"/>
            <w:shd w:val="clear" w:color="auto" w:fill="F4CEB2"/>
          </w:tcPr>
          <w:p w14:paraId="14D668CC" w14:textId="77777777" w:rsidR="009948F1" w:rsidRDefault="00BC0563">
            <w:pPr>
              <w:pStyle w:val="TableParagraph"/>
              <w:spacing w:line="186" w:lineRule="exact"/>
              <w:ind w:left="102"/>
              <w:rPr>
                <w:b/>
                <w:sz w:val="18"/>
              </w:rPr>
            </w:pPr>
            <w:r>
              <w:rPr>
                <w:b/>
                <w:color w:val="231F20"/>
                <w:sz w:val="18"/>
              </w:rPr>
              <w:t>2021</w:t>
            </w:r>
          </w:p>
        </w:tc>
        <w:tc>
          <w:tcPr>
            <w:tcW w:w="1094" w:type="dxa"/>
            <w:shd w:val="clear" w:color="auto" w:fill="F4CEB2"/>
          </w:tcPr>
          <w:p w14:paraId="007F074C" w14:textId="77777777" w:rsidR="009948F1" w:rsidRDefault="00BC0563">
            <w:pPr>
              <w:pStyle w:val="TableParagraph"/>
              <w:spacing w:line="186" w:lineRule="exact"/>
              <w:ind w:left="101"/>
              <w:rPr>
                <w:b/>
                <w:sz w:val="18"/>
              </w:rPr>
            </w:pPr>
            <w:r>
              <w:rPr>
                <w:b/>
                <w:color w:val="231F20"/>
                <w:sz w:val="18"/>
              </w:rPr>
              <w:t>2022</w:t>
            </w:r>
          </w:p>
        </w:tc>
        <w:tc>
          <w:tcPr>
            <w:tcW w:w="1094" w:type="dxa"/>
            <w:shd w:val="clear" w:color="auto" w:fill="F4CEB2"/>
          </w:tcPr>
          <w:p w14:paraId="24479008" w14:textId="77777777" w:rsidR="009948F1" w:rsidRDefault="00BC0563">
            <w:pPr>
              <w:pStyle w:val="TableParagraph"/>
              <w:spacing w:line="186" w:lineRule="exact"/>
              <w:ind w:left="101"/>
              <w:rPr>
                <w:b/>
                <w:sz w:val="18"/>
              </w:rPr>
            </w:pPr>
            <w:r>
              <w:rPr>
                <w:b/>
                <w:color w:val="231F20"/>
                <w:sz w:val="18"/>
              </w:rPr>
              <w:t>National</w:t>
            </w:r>
          </w:p>
        </w:tc>
      </w:tr>
      <w:tr w:rsidR="009948F1" w14:paraId="047C9D2D" w14:textId="77777777">
        <w:trPr>
          <w:trHeight w:val="831"/>
        </w:trPr>
        <w:tc>
          <w:tcPr>
            <w:tcW w:w="3254" w:type="dxa"/>
          </w:tcPr>
          <w:p w14:paraId="40DD6A00" w14:textId="77777777" w:rsidR="009948F1" w:rsidRDefault="00BC0563">
            <w:pPr>
              <w:pStyle w:val="TableParagraph"/>
              <w:spacing w:before="1"/>
              <w:ind w:left="107" w:right="315"/>
              <w:rPr>
                <w:sz w:val="18"/>
              </w:rPr>
            </w:pPr>
            <w:r>
              <w:rPr>
                <w:color w:val="231F20"/>
                <w:sz w:val="18"/>
              </w:rPr>
              <w:t>Proportion of health workers that have access to occupational health services increased</w:t>
            </w:r>
          </w:p>
        </w:tc>
        <w:tc>
          <w:tcPr>
            <w:tcW w:w="933" w:type="dxa"/>
          </w:tcPr>
          <w:p w14:paraId="09385147" w14:textId="77777777" w:rsidR="009948F1" w:rsidRDefault="00BC0563">
            <w:pPr>
              <w:pStyle w:val="TableParagraph"/>
              <w:spacing w:before="1"/>
              <w:ind w:left="107"/>
              <w:rPr>
                <w:sz w:val="18"/>
              </w:rPr>
            </w:pPr>
            <w:r>
              <w:rPr>
                <w:color w:val="231F20"/>
                <w:sz w:val="18"/>
              </w:rPr>
              <w:t>TBD</w:t>
            </w:r>
          </w:p>
        </w:tc>
        <w:tc>
          <w:tcPr>
            <w:tcW w:w="722" w:type="dxa"/>
          </w:tcPr>
          <w:p w14:paraId="5092CB03" w14:textId="77777777" w:rsidR="009948F1" w:rsidRDefault="00BC0563">
            <w:pPr>
              <w:pStyle w:val="TableParagraph"/>
              <w:spacing w:before="1"/>
              <w:ind w:left="106"/>
              <w:rPr>
                <w:sz w:val="18"/>
              </w:rPr>
            </w:pPr>
            <w:r>
              <w:rPr>
                <w:color w:val="231F20"/>
                <w:sz w:val="18"/>
              </w:rPr>
              <w:t>5%</w:t>
            </w:r>
          </w:p>
        </w:tc>
        <w:tc>
          <w:tcPr>
            <w:tcW w:w="722" w:type="dxa"/>
          </w:tcPr>
          <w:p w14:paraId="2A83111A" w14:textId="77777777" w:rsidR="009948F1" w:rsidRDefault="00BC0563">
            <w:pPr>
              <w:pStyle w:val="TableParagraph"/>
              <w:spacing w:before="1"/>
              <w:ind w:left="105"/>
              <w:rPr>
                <w:sz w:val="18"/>
              </w:rPr>
            </w:pPr>
            <w:r>
              <w:rPr>
                <w:color w:val="231F20"/>
                <w:sz w:val="18"/>
              </w:rPr>
              <w:t>10%</w:t>
            </w:r>
          </w:p>
        </w:tc>
        <w:tc>
          <w:tcPr>
            <w:tcW w:w="720" w:type="dxa"/>
          </w:tcPr>
          <w:p w14:paraId="0133D237" w14:textId="77777777" w:rsidR="009948F1" w:rsidRDefault="00BC0563">
            <w:pPr>
              <w:pStyle w:val="TableParagraph"/>
              <w:spacing w:before="1"/>
              <w:ind w:left="104"/>
              <w:rPr>
                <w:sz w:val="18"/>
              </w:rPr>
            </w:pPr>
            <w:r>
              <w:rPr>
                <w:color w:val="231F20"/>
                <w:sz w:val="18"/>
              </w:rPr>
              <w:t>15%</w:t>
            </w:r>
          </w:p>
        </w:tc>
        <w:tc>
          <w:tcPr>
            <w:tcW w:w="722" w:type="dxa"/>
          </w:tcPr>
          <w:p w14:paraId="3C142B33" w14:textId="77777777" w:rsidR="009948F1" w:rsidRDefault="00BC0563">
            <w:pPr>
              <w:pStyle w:val="TableParagraph"/>
              <w:spacing w:before="1"/>
              <w:ind w:left="102"/>
              <w:rPr>
                <w:sz w:val="18"/>
              </w:rPr>
            </w:pPr>
            <w:r>
              <w:rPr>
                <w:color w:val="231F20"/>
                <w:sz w:val="18"/>
              </w:rPr>
              <w:t>20%</w:t>
            </w:r>
          </w:p>
        </w:tc>
        <w:tc>
          <w:tcPr>
            <w:tcW w:w="1094" w:type="dxa"/>
          </w:tcPr>
          <w:p w14:paraId="6CCA053D" w14:textId="77777777" w:rsidR="009948F1" w:rsidRDefault="00BC0563">
            <w:pPr>
              <w:pStyle w:val="TableParagraph"/>
              <w:spacing w:before="1"/>
              <w:ind w:left="101"/>
              <w:rPr>
                <w:sz w:val="18"/>
              </w:rPr>
            </w:pPr>
            <w:r>
              <w:rPr>
                <w:color w:val="231F20"/>
                <w:sz w:val="18"/>
              </w:rPr>
              <w:t>25%</w:t>
            </w:r>
          </w:p>
        </w:tc>
        <w:tc>
          <w:tcPr>
            <w:tcW w:w="1094" w:type="dxa"/>
          </w:tcPr>
          <w:p w14:paraId="1D37E5EE" w14:textId="77777777" w:rsidR="009948F1" w:rsidRDefault="00BC0563">
            <w:pPr>
              <w:pStyle w:val="TableParagraph"/>
              <w:spacing w:before="5" w:line="206" w:lineRule="exact"/>
              <w:ind w:left="101" w:right="192"/>
              <w:rPr>
                <w:sz w:val="18"/>
              </w:rPr>
            </w:pPr>
            <w:r>
              <w:rPr>
                <w:color w:val="231F20"/>
                <w:sz w:val="18"/>
              </w:rPr>
              <w:t>Increase from 25% From baseline</w:t>
            </w:r>
          </w:p>
        </w:tc>
      </w:tr>
    </w:tbl>
    <w:p w14:paraId="3BA6864A" w14:textId="77777777" w:rsidR="009948F1" w:rsidRDefault="00BC0563">
      <w:pPr>
        <w:spacing w:before="106"/>
        <w:ind w:left="177"/>
        <w:rPr>
          <w:b/>
        </w:rPr>
      </w:pPr>
      <w:r>
        <w:rPr>
          <w:b/>
          <w:color w:val="231F20"/>
        </w:rPr>
        <w:t>Interventions:</w:t>
      </w:r>
    </w:p>
    <w:p w14:paraId="7E7A8E89" w14:textId="3368F599" w:rsidR="009948F1" w:rsidRDefault="00BC0563">
      <w:pPr>
        <w:pStyle w:val="ListParagraph"/>
        <w:numPr>
          <w:ilvl w:val="3"/>
          <w:numId w:val="272"/>
        </w:numPr>
        <w:tabs>
          <w:tab w:val="left" w:pos="975"/>
        </w:tabs>
        <w:spacing w:before="23" w:line="261" w:lineRule="auto"/>
        <w:ind w:right="215" w:firstLine="0"/>
      </w:pPr>
      <w:r>
        <w:rPr>
          <w:color w:val="231F20"/>
        </w:rPr>
        <w:t xml:space="preserve">Promote health and safety in the workplace. Key activities are; - Establishing </w:t>
      </w:r>
      <w:r>
        <w:rPr>
          <w:color w:val="231F20"/>
          <w:spacing w:val="-7"/>
        </w:rPr>
        <w:t xml:space="preserve">an </w:t>
      </w:r>
      <w:r>
        <w:rPr>
          <w:color w:val="231F20"/>
        </w:rPr>
        <w:t xml:space="preserve">occupational health unit in the SMOH; Sensitization of workforce on the use of safety protective devices in the work place; </w:t>
      </w:r>
      <w:r w:rsidR="00582DC8">
        <w:rPr>
          <w:color w:val="231F20"/>
        </w:rPr>
        <w:t>create</w:t>
      </w:r>
      <w:r>
        <w:rPr>
          <w:color w:val="231F20"/>
        </w:rPr>
        <w:t xml:space="preserve"> awareness on any existing &amp; emerging risks using print, electronic</w:t>
      </w:r>
      <w:r>
        <w:rPr>
          <w:color w:val="231F20"/>
          <w:spacing w:val="-25"/>
        </w:rPr>
        <w:t xml:space="preserve"> </w:t>
      </w:r>
      <w:r>
        <w:rPr>
          <w:color w:val="231F20"/>
        </w:rPr>
        <w:t>and</w:t>
      </w:r>
      <w:r>
        <w:rPr>
          <w:color w:val="231F20"/>
          <w:spacing w:val="-25"/>
        </w:rPr>
        <w:t xml:space="preserve"> </w:t>
      </w:r>
      <w:r>
        <w:rPr>
          <w:color w:val="231F20"/>
        </w:rPr>
        <w:t>social</w:t>
      </w:r>
      <w:r>
        <w:rPr>
          <w:color w:val="231F20"/>
          <w:spacing w:val="-26"/>
        </w:rPr>
        <w:t xml:space="preserve"> </w:t>
      </w:r>
      <w:r>
        <w:rPr>
          <w:color w:val="231F20"/>
        </w:rPr>
        <w:t>media</w:t>
      </w:r>
      <w:r>
        <w:rPr>
          <w:color w:val="231F20"/>
          <w:spacing w:val="-25"/>
        </w:rPr>
        <w:t xml:space="preserve"> </w:t>
      </w:r>
      <w:r>
        <w:rPr>
          <w:color w:val="231F20"/>
        </w:rPr>
        <w:t>platforms.</w:t>
      </w:r>
    </w:p>
    <w:p w14:paraId="3EBB0CD0" w14:textId="77777777" w:rsidR="009948F1" w:rsidRDefault="009948F1">
      <w:pPr>
        <w:pStyle w:val="BodyText"/>
        <w:spacing w:before="1"/>
        <w:rPr>
          <w:sz w:val="24"/>
        </w:rPr>
      </w:pPr>
    </w:p>
    <w:p w14:paraId="28E768E5" w14:textId="77777777" w:rsidR="009948F1" w:rsidRDefault="00BC0563">
      <w:pPr>
        <w:pStyle w:val="ListParagraph"/>
        <w:numPr>
          <w:ilvl w:val="3"/>
          <w:numId w:val="272"/>
        </w:numPr>
        <w:tabs>
          <w:tab w:val="left" w:pos="898"/>
        </w:tabs>
        <w:spacing w:line="261" w:lineRule="auto"/>
        <w:ind w:right="216" w:firstLine="0"/>
      </w:pPr>
      <w:r>
        <w:rPr>
          <w:color w:val="231F20"/>
        </w:rPr>
        <w:t>Promote</w:t>
      </w:r>
      <w:r>
        <w:rPr>
          <w:color w:val="231F20"/>
          <w:spacing w:val="-23"/>
        </w:rPr>
        <w:t xml:space="preserve"> </w:t>
      </w:r>
      <w:r>
        <w:rPr>
          <w:color w:val="231F20"/>
        </w:rPr>
        <w:t>collaboration</w:t>
      </w:r>
      <w:r>
        <w:rPr>
          <w:color w:val="231F20"/>
          <w:spacing w:val="-22"/>
        </w:rPr>
        <w:t xml:space="preserve"> </w:t>
      </w:r>
      <w:r>
        <w:rPr>
          <w:color w:val="231F20"/>
        </w:rPr>
        <w:t>between</w:t>
      </w:r>
      <w:r>
        <w:rPr>
          <w:color w:val="231F20"/>
          <w:spacing w:val="-22"/>
        </w:rPr>
        <w:t xml:space="preserve"> </w:t>
      </w:r>
      <w:r>
        <w:rPr>
          <w:color w:val="231F20"/>
        </w:rPr>
        <w:t>the</w:t>
      </w:r>
      <w:r>
        <w:rPr>
          <w:color w:val="231F20"/>
          <w:spacing w:val="-22"/>
        </w:rPr>
        <w:t xml:space="preserve"> </w:t>
      </w:r>
      <w:r>
        <w:rPr>
          <w:color w:val="231F20"/>
        </w:rPr>
        <w:t>key</w:t>
      </w:r>
      <w:r>
        <w:rPr>
          <w:color w:val="231F20"/>
          <w:spacing w:val="-22"/>
        </w:rPr>
        <w:t xml:space="preserve"> </w:t>
      </w:r>
      <w:r>
        <w:rPr>
          <w:color w:val="231F20"/>
        </w:rPr>
        <w:t>stakeholders</w:t>
      </w:r>
      <w:r>
        <w:rPr>
          <w:color w:val="231F20"/>
          <w:spacing w:val="-22"/>
        </w:rPr>
        <w:t xml:space="preserve"> </w:t>
      </w:r>
      <w:r>
        <w:rPr>
          <w:color w:val="231F20"/>
        </w:rPr>
        <w:t>(Ministry</w:t>
      </w:r>
      <w:r>
        <w:rPr>
          <w:color w:val="231F20"/>
          <w:spacing w:val="-22"/>
        </w:rPr>
        <w:t xml:space="preserve"> </w:t>
      </w:r>
      <w:r>
        <w:rPr>
          <w:color w:val="231F20"/>
        </w:rPr>
        <w:t>of</w:t>
      </w:r>
      <w:r>
        <w:rPr>
          <w:color w:val="231F20"/>
          <w:spacing w:val="-22"/>
        </w:rPr>
        <w:t xml:space="preserve"> </w:t>
      </w:r>
      <w:r>
        <w:rPr>
          <w:color w:val="231F20"/>
        </w:rPr>
        <w:t>Health,</w:t>
      </w:r>
      <w:r>
        <w:rPr>
          <w:color w:val="231F20"/>
          <w:spacing w:val="-22"/>
        </w:rPr>
        <w:t xml:space="preserve"> </w:t>
      </w:r>
      <w:r>
        <w:rPr>
          <w:color w:val="231F20"/>
        </w:rPr>
        <w:t>Ministry</w:t>
      </w:r>
      <w:r>
        <w:rPr>
          <w:color w:val="231F20"/>
          <w:spacing w:val="-23"/>
        </w:rPr>
        <w:t xml:space="preserve"> </w:t>
      </w:r>
      <w:r>
        <w:rPr>
          <w:color w:val="231F20"/>
        </w:rPr>
        <w:t>of</w:t>
      </w:r>
      <w:r>
        <w:rPr>
          <w:color w:val="231F20"/>
          <w:spacing w:val="-22"/>
        </w:rPr>
        <w:t xml:space="preserve"> </w:t>
      </w:r>
      <w:proofErr w:type="spellStart"/>
      <w:r>
        <w:rPr>
          <w:color w:val="231F20"/>
        </w:rPr>
        <w:t>Labour</w:t>
      </w:r>
      <w:proofErr w:type="spellEnd"/>
      <w:r>
        <w:rPr>
          <w:color w:val="231F20"/>
        </w:rPr>
        <w:t xml:space="preserve"> and</w:t>
      </w:r>
      <w:r>
        <w:rPr>
          <w:color w:val="231F20"/>
          <w:spacing w:val="-14"/>
        </w:rPr>
        <w:t xml:space="preserve"> </w:t>
      </w:r>
      <w:r>
        <w:rPr>
          <w:color w:val="231F20"/>
        </w:rPr>
        <w:t>the</w:t>
      </w:r>
      <w:r>
        <w:rPr>
          <w:color w:val="231F20"/>
          <w:spacing w:val="-13"/>
        </w:rPr>
        <w:t xml:space="preserve"> </w:t>
      </w:r>
      <w:r>
        <w:rPr>
          <w:color w:val="231F20"/>
        </w:rPr>
        <w:t>private</w:t>
      </w:r>
      <w:r>
        <w:rPr>
          <w:color w:val="231F20"/>
          <w:spacing w:val="-13"/>
        </w:rPr>
        <w:t xml:space="preserve"> </w:t>
      </w:r>
      <w:r>
        <w:rPr>
          <w:color w:val="231F20"/>
        </w:rPr>
        <w:t>sector).</w:t>
      </w:r>
      <w:r>
        <w:rPr>
          <w:color w:val="231F20"/>
          <w:spacing w:val="-13"/>
        </w:rPr>
        <w:t xml:space="preserve"> </w:t>
      </w:r>
      <w:r>
        <w:rPr>
          <w:color w:val="231F20"/>
        </w:rPr>
        <w:t>Key</w:t>
      </w:r>
      <w:r>
        <w:rPr>
          <w:color w:val="231F20"/>
          <w:spacing w:val="-13"/>
        </w:rPr>
        <w:t xml:space="preserve"> </w:t>
      </w:r>
      <w:r>
        <w:rPr>
          <w:color w:val="231F20"/>
        </w:rPr>
        <w:t>activities</w:t>
      </w:r>
      <w:r>
        <w:rPr>
          <w:color w:val="231F20"/>
          <w:spacing w:val="-13"/>
        </w:rPr>
        <w:t xml:space="preserve"> </w:t>
      </w:r>
      <w:r>
        <w:rPr>
          <w:color w:val="231F20"/>
        </w:rPr>
        <w:t>are</w:t>
      </w:r>
      <w:r>
        <w:rPr>
          <w:color w:val="231F20"/>
          <w:spacing w:val="-13"/>
        </w:rPr>
        <w:t xml:space="preserve"> </w:t>
      </w:r>
      <w:r>
        <w:rPr>
          <w:color w:val="231F20"/>
        </w:rPr>
        <w:t>–</w:t>
      </w:r>
      <w:r>
        <w:rPr>
          <w:color w:val="231F20"/>
          <w:spacing w:val="-13"/>
        </w:rPr>
        <w:t xml:space="preserve"> </w:t>
      </w:r>
      <w:r>
        <w:rPr>
          <w:color w:val="231F20"/>
        </w:rPr>
        <w:t>Setup/Inaugurate</w:t>
      </w:r>
      <w:r>
        <w:rPr>
          <w:color w:val="231F20"/>
          <w:spacing w:val="-13"/>
        </w:rPr>
        <w:t xml:space="preserve"> </w:t>
      </w:r>
      <w:r>
        <w:rPr>
          <w:color w:val="231F20"/>
        </w:rPr>
        <w:t>an</w:t>
      </w:r>
      <w:r>
        <w:rPr>
          <w:color w:val="231F20"/>
          <w:spacing w:val="-13"/>
        </w:rPr>
        <w:t xml:space="preserve"> </w:t>
      </w:r>
      <w:r>
        <w:rPr>
          <w:color w:val="231F20"/>
        </w:rPr>
        <w:t>occupational</w:t>
      </w:r>
      <w:r>
        <w:rPr>
          <w:color w:val="231F20"/>
          <w:spacing w:val="-13"/>
        </w:rPr>
        <w:t xml:space="preserve"> </w:t>
      </w:r>
      <w:r>
        <w:rPr>
          <w:color w:val="231F20"/>
        </w:rPr>
        <w:t>health</w:t>
      </w:r>
      <w:r>
        <w:rPr>
          <w:color w:val="231F20"/>
          <w:spacing w:val="-13"/>
        </w:rPr>
        <w:t xml:space="preserve"> </w:t>
      </w:r>
      <w:r>
        <w:rPr>
          <w:color w:val="231F20"/>
        </w:rPr>
        <w:t>committee</w:t>
      </w:r>
      <w:r>
        <w:rPr>
          <w:color w:val="231F20"/>
          <w:spacing w:val="-13"/>
        </w:rPr>
        <w:t xml:space="preserve"> </w:t>
      </w:r>
      <w:r>
        <w:rPr>
          <w:color w:val="231F20"/>
          <w:spacing w:val="-8"/>
        </w:rPr>
        <w:t xml:space="preserve">in </w:t>
      </w:r>
      <w:r>
        <w:rPr>
          <w:color w:val="231F20"/>
        </w:rPr>
        <w:t>the</w:t>
      </w:r>
      <w:r>
        <w:rPr>
          <w:color w:val="231F20"/>
          <w:spacing w:val="-25"/>
        </w:rPr>
        <w:t xml:space="preserve"> </w:t>
      </w:r>
      <w:r>
        <w:rPr>
          <w:color w:val="231F20"/>
        </w:rPr>
        <w:t>State</w:t>
      </w:r>
      <w:r>
        <w:rPr>
          <w:color w:val="231F20"/>
          <w:spacing w:val="-26"/>
        </w:rPr>
        <w:t xml:space="preserve"> </w:t>
      </w:r>
      <w:r>
        <w:rPr>
          <w:color w:val="231F20"/>
        </w:rPr>
        <w:t>Ministry</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Hold</w:t>
      </w:r>
      <w:r>
        <w:rPr>
          <w:color w:val="231F20"/>
          <w:spacing w:val="-25"/>
        </w:rPr>
        <w:t xml:space="preserve"> </w:t>
      </w:r>
      <w:r>
        <w:rPr>
          <w:color w:val="231F20"/>
        </w:rPr>
        <w:t>quarterly</w:t>
      </w:r>
      <w:r>
        <w:rPr>
          <w:color w:val="231F20"/>
          <w:spacing w:val="-25"/>
        </w:rPr>
        <w:t xml:space="preserve"> </w:t>
      </w:r>
      <w:r>
        <w:rPr>
          <w:color w:val="231F20"/>
        </w:rPr>
        <w:t>collaboration</w:t>
      </w:r>
      <w:r>
        <w:rPr>
          <w:color w:val="231F20"/>
          <w:spacing w:val="-25"/>
        </w:rPr>
        <w:t xml:space="preserve"> </w:t>
      </w:r>
      <w:r>
        <w:rPr>
          <w:color w:val="231F20"/>
        </w:rPr>
        <w:t>meetings.</w:t>
      </w:r>
    </w:p>
    <w:p w14:paraId="50AFF128" w14:textId="77777777" w:rsidR="009948F1" w:rsidRDefault="009948F1">
      <w:pPr>
        <w:spacing w:line="261" w:lineRule="auto"/>
        <w:jc w:val="both"/>
        <w:sectPr w:rsidR="009948F1">
          <w:pgSz w:w="11910" w:h="16840"/>
          <w:pgMar w:top="1240" w:right="1080" w:bottom="1420" w:left="1120" w:header="0" w:footer="1235" w:gutter="0"/>
          <w:cols w:space="720"/>
        </w:sectPr>
      </w:pPr>
    </w:p>
    <w:p w14:paraId="08C36ED1" w14:textId="77777777" w:rsidR="009948F1" w:rsidRDefault="00BC0563">
      <w:pPr>
        <w:pStyle w:val="Heading1"/>
        <w:spacing w:line="463" w:lineRule="exact"/>
        <w:ind w:right="1079"/>
      </w:pPr>
      <w:bookmarkStart w:id="90" w:name="_TOC_250020"/>
      <w:bookmarkEnd w:id="90"/>
      <w:r>
        <w:rPr>
          <w:color w:val="231F20"/>
        </w:rPr>
        <w:lastRenderedPageBreak/>
        <w:t>CHAPTER 6</w:t>
      </w:r>
    </w:p>
    <w:p w14:paraId="4C7EEEE3" w14:textId="77777777" w:rsidR="009948F1" w:rsidRDefault="00BC0563">
      <w:pPr>
        <w:pStyle w:val="Heading3"/>
        <w:spacing w:before="47" w:line="196" w:lineRule="auto"/>
        <w:ind w:left="2789" w:right="2787"/>
      </w:pPr>
      <w:r>
        <w:rPr>
          <w:color w:val="231F20"/>
        </w:rPr>
        <w:t>STRATEGIC PILLAR THREE: HEALTH SYSTEM SUPPORT</w:t>
      </w:r>
    </w:p>
    <w:p w14:paraId="3C9F65B0" w14:textId="77777777" w:rsidR="009948F1" w:rsidRDefault="009948F1">
      <w:pPr>
        <w:pStyle w:val="BodyText"/>
        <w:spacing w:before="3"/>
        <w:rPr>
          <w:rFonts w:ascii="Tahoma"/>
          <w:b/>
          <w:sz w:val="17"/>
        </w:rPr>
      </w:pPr>
    </w:p>
    <w:p w14:paraId="4A0CE801" w14:textId="77777777" w:rsidR="009948F1" w:rsidRDefault="00BC0563">
      <w:pPr>
        <w:pStyle w:val="Heading7"/>
        <w:spacing w:before="65" w:line="273" w:lineRule="auto"/>
        <w:ind w:left="158" w:right="4211"/>
        <w:jc w:val="both"/>
      </w:pPr>
      <w:r>
        <w:rPr>
          <w:color w:val="231F20"/>
        </w:rPr>
        <w:t xml:space="preserve">Priority Area 9: Human Resources for Health </w:t>
      </w:r>
      <w:r>
        <w:rPr>
          <w:color w:val="231F20"/>
          <w:spacing w:val="-4"/>
        </w:rPr>
        <w:t xml:space="preserve">(HRH) </w:t>
      </w:r>
      <w:r>
        <w:rPr>
          <w:color w:val="231F20"/>
        </w:rPr>
        <w:t>Context</w:t>
      </w:r>
    </w:p>
    <w:p w14:paraId="6C2D4ABF" w14:textId="77777777" w:rsidR="009948F1" w:rsidRDefault="00BC0563">
      <w:pPr>
        <w:pStyle w:val="BodyText"/>
        <w:spacing w:before="1" w:line="273" w:lineRule="auto"/>
        <w:ind w:left="158" w:right="182"/>
        <w:jc w:val="both"/>
      </w:pPr>
      <w:r>
        <w:rPr>
          <w:color w:val="231F20"/>
        </w:rPr>
        <w:t>The</w:t>
      </w:r>
      <w:r>
        <w:rPr>
          <w:color w:val="231F20"/>
          <w:spacing w:val="-24"/>
        </w:rPr>
        <w:t xml:space="preserve"> </w:t>
      </w:r>
      <w:r>
        <w:rPr>
          <w:color w:val="231F20"/>
        </w:rPr>
        <w:t>performance</w:t>
      </w:r>
      <w:r>
        <w:rPr>
          <w:color w:val="231F20"/>
          <w:spacing w:val="-23"/>
        </w:rPr>
        <w:t xml:space="preserve"> </w:t>
      </w:r>
      <w:r>
        <w:rPr>
          <w:color w:val="231F20"/>
        </w:rPr>
        <w:t>of</w:t>
      </w:r>
      <w:r>
        <w:rPr>
          <w:color w:val="231F20"/>
          <w:spacing w:val="-23"/>
        </w:rPr>
        <w:t xml:space="preserve"> </w:t>
      </w:r>
      <w:r>
        <w:rPr>
          <w:color w:val="231F20"/>
        </w:rPr>
        <w:t>a</w:t>
      </w:r>
      <w:r>
        <w:rPr>
          <w:color w:val="231F20"/>
          <w:spacing w:val="-23"/>
        </w:rPr>
        <w:t xml:space="preserve"> </w:t>
      </w:r>
      <w:r>
        <w:rPr>
          <w:color w:val="231F20"/>
        </w:rPr>
        <w:t>health</w:t>
      </w:r>
      <w:r>
        <w:rPr>
          <w:color w:val="231F20"/>
          <w:spacing w:val="-23"/>
        </w:rPr>
        <w:t xml:space="preserve"> </w:t>
      </w:r>
      <w:r>
        <w:rPr>
          <w:color w:val="231F20"/>
        </w:rPr>
        <w:t>system</w:t>
      </w:r>
      <w:r>
        <w:rPr>
          <w:color w:val="231F20"/>
          <w:spacing w:val="-23"/>
        </w:rPr>
        <w:t xml:space="preserve"> </w:t>
      </w:r>
      <w:r>
        <w:rPr>
          <w:color w:val="231F20"/>
        </w:rPr>
        <w:t>and</w:t>
      </w:r>
      <w:r>
        <w:rPr>
          <w:color w:val="231F20"/>
          <w:spacing w:val="-23"/>
        </w:rPr>
        <w:t xml:space="preserve"> </w:t>
      </w:r>
      <w:r>
        <w:rPr>
          <w:color w:val="231F20"/>
        </w:rPr>
        <w:t>its</w:t>
      </w:r>
      <w:r>
        <w:rPr>
          <w:color w:val="231F20"/>
          <w:spacing w:val="-23"/>
        </w:rPr>
        <w:t xml:space="preserve"> </w:t>
      </w:r>
      <w:r>
        <w:rPr>
          <w:color w:val="231F20"/>
        </w:rPr>
        <w:t>impact</w:t>
      </w:r>
      <w:r>
        <w:rPr>
          <w:color w:val="231F20"/>
          <w:spacing w:val="-23"/>
        </w:rPr>
        <w:t xml:space="preserve"> </w:t>
      </w:r>
      <w:r>
        <w:rPr>
          <w:color w:val="231F20"/>
        </w:rPr>
        <w:t>on</w:t>
      </w:r>
      <w:r>
        <w:rPr>
          <w:color w:val="231F20"/>
          <w:spacing w:val="-23"/>
        </w:rPr>
        <w:t xml:space="preserve"> </w:t>
      </w:r>
      <w:r>
        <w:rPr>
          <w:color w:val="231F20"/>
        </w:rPr>
        <w:t>health</w:t>
      </w:r>
      <w:r>
        <w:rPr>
          <w:color w:val="231F20"/>
          <w:spacing w:val="-23"/>
        </w:rPr>
        <w:t xml:space="preserve"> </w:t>
      </w:r>
      <w:r>
        <w:rPr>
          <w:color w:val="231F20"/>
        </w:rPr>
        <w:t>outcomes</w:t>
      </w:r>
      <w:r>
        <w:rPr>
          <w:color w:val="231F20"/>
          <w:spacing w:val="-24"/>
        </w:rPr>
        <w:t xml:space="preserve"> </w:t>
      </w:r>
      <w:r>
        <w:rPr>
          <w:color w:val="231F20"/>
        </w:rPr>
        <w:t>is</w:t>
      </w:r>
      <w:r>
        <w:rPr>
          <w:color w:val="231F20"/>
          <w:spacing w:val="-23"/>
        </w:rPr>
        <w:t xml:space="preserve"> </w:t>
      </w:r>
      <w:r>
        <w:rPr>
          <w:color w:val="231F20"/>
        </w:rPr>
        <w:t>influenced</w:t>
      </w:r>
      <w:r>
        <w:rPr>
          <w:color w:val="231F20"/>
          <w:spacing w:val="-23"/>
        </w:rPr>
        <w:t xml:space="preserve"> </w:t>
      </w:r>
      <w:r>
        <w:rPr>
          <w:color w:val="231F20"/>
        </w:rPr>
        <w:t>significantly</w:t>
      </w:r>
      <w:r>
        <w:rPr>
          <w:color w:val="231F20"/>
          <w:spacing w:val="-23"/>
        </w:rPr>
        <w:t xml:space="preserve"> </w:t>
      </w:r>
      <w:r>
        <w:rPr>
          <w:color w:val="231F20"/>
        </w:rPr>
        <w:t>by the size, distribution, and skill mix of its health workforce. Nigeria has one of the largest stocks</w:t>
      </w:r>
      <w:r>
        <w:rPr>
          <w:color w:val="231F20"/>
          <w:spacing w:val="-32"/>
        </w:rPr>
        <w:t xml:space="preserve"> </w:t>
      </w:r>
      <w:r>
        <w:rPr>
          <w:color w:val="231F20"/>
          <w:spacing w:val="-7"/>
        </w:rPr>
        <w:t xml:space="preserve">of </w:t>
      </w:r>
      <w:r>
        <w:rPr>
          <w:color w:val="231F20"/>
        </w:rPr>
        <w:t xml:space="preserve">human resources for health in Africa whilst Rivers State has one of the largest supply of </w:t>
      </w:r>
      <w:r>
        <w:rPr>
          <w:color w:val="231F20"/>
          <w:spacing w:val="-3"/>
        </w:rPr>
        <w:t xml:space="preserve">human </w:t>
      </w:r>
      <w:r>
        <w:rPr>
          <w:color w:val="231F20"/>
        </w:rPr>
        <w:t xml:space="preserve">resources for health in the South-South geopolitical zone, with 14,631 skilled health workers. Doctor per population ratio for Rivers State as at 2017 is 27/100,000 and the figure for </w:t>
      </w:r>
      <w:r>
        <w:rPr>
          <w:color w:val="231F20"/>
          <w:spacing w:val="-4"/>
        </w:rPr>
        <w:t xml:space="preserve">the </w:t>
      </w:r>
      <w:r>
        <w:rPr>
          <w:color w:val="231F20"/>
        </w:rPr>
        <w:t>Nurse/Midwife</w:t>
      </w:r>
      <w:r>
        <w:rPr>
          <w:color w:val="231F20"/>
          <w:spacing w:val="-13"/>
        </w:rPr>
        <w:t xml:space="preserve"> </w:t>
      </w:r>
      <w:r>
        <w:rPr>
          <w:color w:val="231F20"/>
        </w:rPr>
        <w:t>per</w:t>
      </w:r>
      <w:r>
        <w:rPr>
          <w:color w:val="231F20"/>
          <w:spacing w:val="-13"/>
        </w:rPr>
        <w:t xml:space="preserve"> </w:t>
      </w:r>
      <w:r>
        <w:rPr>
          <w:color w:val="231F20"/>
        </w:rPr>
        <w:t>population</w:t>
      </w:r>
      <w:r>
        <w:rPr>
          <w:color w:val="231F20"/>
          <w:spacing w:val="-13"/>
        </w:rPr>
        <w:t xml:space="preserve"> </w:t>
      </w:r>
      <w:r>
        <w:rPr>
          <w:color w:val="231F20"/>
        </w:rPr>
        <w:t>ratio</w:t>
      </w:r>
      <w:r>
        <w:rPr>
          <w:color w:val="231F20"/>
          <w:spacing w:val="-14"/>
        </w:rPr>
        <w:t xml:space="preserve"> </w:t>
      </w:r>
      <w:r>
        <w:rPr>
          <w:color w:val="231F20"/>
        </w:rPr>
        <w:t>64/100,000.</w:t>
      </w:r>
      <w:r>
        <w:rPr>
          <w:color w:val="231F20"/>
          <w:spacing w:val="-13"/>
        </w:rPr>
        <w:t xml:space="preserve"> </w:t>
      </w:r>
      <w:r>
        <w:rPr>
          <w:color w:val="231F20"/>
        </w:rPr>
        <w:t>For</w:t>
      </w:r>
      <w:r>
        <w:rPr>
          <w:color w:val="231F20"/>
          <w:spacing w:val="-13"/>
        </w:rPr>
        <w:t xml:space="preserve"> </w:t>
      </w:r>
      <w:r>
        <w:rPr>
          <w:color w:val="231F20"/>
        </w:rPr>
        <w:t>example,</w:t>
      </w:r>
      <w:r>
        <w:rPr>
          <w:color w:val="231F20"/>
          <w:spacing w:val="-13"/>
        </w:rPr>
        <w:t xml:space="preserve"> </w:t>
      </w:r>
      <w:r>
        <w:rPr>
          <w:color w:val="231F20"/>
        </w:rPr>
        <w:t>the</w:t>
      </w:r>
      <w:r>
        <w:rPr>
          <w:color w:val="231F20"/>
          <w:spacing w:val="-13"/>
        </w:rPr>
        <w:t xml:space="preserve"> </w:t>
      </w:r>
      <w:r>
        <w:rPr>
          <w:color w:val="231F20"/>
        </w:rPr>
        <w:t>doctor</w:t>
      </w:r>
      <w:r>
        <w:rPr>
          <w:color w:val="231F20"/>
          <w:spacing w:val="-13"/>
        </w:rPr>
        <w:t xml:space="preserve"> </w:t>
      </w:r>
      <w:r>
        <w:rPr>
          <w:color w:val="231F20"/>
        </w:rPr>
        <w:t>population</w:t>
      </w:r>
      <w:r>
        <w:rPr>
          <w:color w:val="231F20"/>
          <w:spacing w:val="-13"/>
        </w:rPr>
        <w:t xml:space="preserve"> </w:t>
      </w:r>
      <w:r>
        <w:rPr>
          <w:color w:val="231F20"/>
        </w:rPr>
        <w:t>ratio</w:t>
      </w:r>
      <w:r>
        <w:rPr>
          <w:color w:val="231F20"/>
          <w:spacing w:val="-13"/>
        </w:rPr>
        <w:t xml:space="preserve"> </w:t>
      </w:r>
      <w:r>
        <w:rPr>
          <w:color w:val="231F20"/>
        </w:rPr>
        <w:t>in</w:t>
      </w:r>
      <w:r>
        <w:rPr>
          <w:color w:val="231F20"/>
          <w:spacing w:val="-13"/>
        </w:rPr>
        <w:t xml:space="preserve"> </w:t>
      </w:r>
      <w:r>
        <w:rPr>
          <w:color w:val="231F20"/>
        </w:rPr>
        <w:t>Nigeria is</w:t>
      </w:r>
      <w:r>
        <w:rPr>
          <w:color w:val="231F20"/>
          <w:spacing w:val="-9"/>
        </w:rPr>
        <w:t xml:space="preserve"> </w:t>
      </w:r>
      <w:r>
        <w:rPr>
          <w:color w:val="231F20"/>
        </w:rPr>
        <w:t>38.9/100,000</w:t>
      </w:r>
      <w:r>
        <w:rPr>
          <w:color w:val="231F20"/>
          <w:spacing w:val="-9"/>
        </w:rPr>
        <w:t xml:space="preserve"> </w:t>
      </w:r>
      <w:r>
        <w:rPr>
          <w:color w:val="231F20"/>
        </w:rPr>
        <w:t>compared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sub-Saharan</w:t>
      </w:r>
      <w:r>
        <w:rPr>
          <w:color w:val="231F20"/>
          <w:spacing w:val="-21"/>
        </w:rPr>
        <w:t xml:space="preserve"> </w:t>
      </w:r>
      <w:r>
        <w:rPr>
          <w:color w:val="231F20"/>
        </w:rPr>
        <w:t>African</w:t>
      </w:r>
      <w:r>
        <w:rPr>
          <w:color w:val="231F20"/>
          <w:spacing w:val="-9"/>
        </w:rPr>
        <w:t xml:space="preserve"> </w:t>
      </w:r>
      <w:r>
        <w:rPr>
          <w:color w:val="231F20"/>
        </w:rPr>
        <w:t>ratio</w:t>
      </w:r>
      <w:r>
        <w:rPr>
          <w:color w:val="231F20"/>
          <w:spacing w:val="-9"/>
        </w:rPr>
        <w:t xml:space="preserve"> </w:t>
      </w:r>
      <w:r>
        <w:rPr>
          <w:color w:val="231F20"/>
        </w:rPr>
        <w:t>of</w:t>
      </w:r>
      <w:r>
        <w:rPr>
          <w:color w:val="231F20"/>
          <w:spacing w:val="-9"/>
        </w:rPr>
        <w:t xml:space="preserve"> </w:t>
      </w:r>
      <w:r>
        <w:rPr>
          <w:color w:val="231F20"/>
        </w:rPr>
        <w:t>15/100,000</w:t>
      </w:r>
      <w:r>
        <w:rPr>
          <w:color w:val="231F20"/>
          <w:spacing w:val="-9"/>
        </w:rPr>
        <w:t xml:space="preserve"> </w:t>
      </w:r>
      <w:r>
        <w:rPr>
          <w:color w:val="231F20"/>
        </w:rPr>
        <w:t>while</w:t>
      </w:r>
      <w:r>
        <w:rPr>
          <w:color w:val="231F20"/>
          <w:spacing w:val="-9"/>
        </w:rPr>
        <w:t xml:space="preserve"> </w:t>
      </w:r>
      <w:r>
        <w:rPr>
          <w:color w:val="231F20"/>
        </w:rPr>
        <w:t>the</w:t>
      </w:r>
      <w:r>
        <w:rPr>
          <w:color w:val="231F20"/>
          <w:spacing w:val="-9"/>
        </w:rPr>
        <w:t xml:space="preserve"> </w:t>
      </w:r>
      <w:r>
        <w:rPr>
          <w:color w:val="231F20"/>
        </w:rPr>
        <w:t>nurse/midwife ratio is 148/100,000 in the country while the average in the region is 72/100,000. However, the quantity</w:t>
      </w:r>
      <w:r>
        <w:rPr>
          <w:color w:val="231F20"/>
          <w:spacing w:val="-25"/>
        </w:rPr>
        <w:t xml:space="preserve"> </w:t>
      </w:r>
      <w:r>
        <w:rPr>
          <w:color w:val="231F20"/>
        </w:rPr>
        <w:t>is</w:t>
      </w:r>
      <w:r>
        <w:rPr>
          <w:color w:val="231F20"/>
          <w:spacing w:val="-26"/>
        </w:rPr>
        <w:t xml:space="preserve"> </w:t>
      </w:r>
      <w:r>
        <w:rPr>
          <w:color w:val="231F20"/>
        </w:rPr>
        <w:t>inadequate</w:t>
      </w:r>
      <w:r>
        <w:rPr>
          <w:color w:val="231F20"/>
          <w:spacing w:val="-25"/>
        </w:rPr>
        <w:t xml:space="preserve"> </w:t>
      </w:r>
      <w:r>
        <w:rPr>
          <w:color w:val="231F20"/>
        </w:rPr>
        <w:t>to</w:t>
      </w:r>
      <w:r>
        <w:rPr>
          <w:color w:val="231F20"/>
          <w:spacing w:val="-25"/>
        </w:rPr>
        <w:t xml:space="preserve"> </w:t>
      </w:r>
      <w:r>
        <w:rPr>
          <w:color w:val="231F20"/>
        </w:rPr>
        <w:t>meet</w:t>
      </w:r>
      <w:r>
        <w:rPr>
          <w:color w:val="231F20"/>
          <w:spacing w:val="-25"/>
        </w:rPr>
        <w:t xml:space="preserve"> </w:t>
      </w:r>
      <w:r>
        <w:rPr>
          <w:color w:val="231F20"/>
        </w:rPr>
        <w:t>the</w:t>
      </w:r>
      <w:r>
        <w:rPr>
          <w:color w:val="231F20"/>
          <w:spacing w:val="-25"/>
        </w:rPr>
        <w:t xml:space="preserve"> </w:t>
      </w:r>
      <w:r>
        <w:rPr>
          <w:color w:val="231F20"/>
        </w:rPr>
        <w:t>country</w:t>
      </w:r>
      <w:r>
        <w:rPr>
          <w:color w:val="231F20"/>
          <w:spacing w:val="-25"/>
        </w:rPr>
        <w:t xml:space="preserve"> </w:t>
      </w:r>
      <w:r>
        <w:rPr>
          <w:color w:val="231F20"/>
        </w:rPr>
        <w:t>health</w:t>
      </w:r>
      <w:r>
        <w:rPr>
          <w:color w:val="231F20"/>
          <w:spacing w:val="-25"/>
        </w:rPr>
        <w:t xml:space="preserve"> </w:t>
      </w:r>
      <w:r>
        <w:rPr>
          <w:color w:val="231F20"/>
        </w:rPr>
        <w:t>needs.</w:t>
      </w:r>
    </w:p>
    <w:p w14:paraId="2099802B" w14:textId="77777777" w:rsidR="009948F1" w:rsidRDefault="009948F1">
      <w:pPr>
        <w:pStyle w:val="BodyText"/>
        <w:spacing w:before="4"/>
        <w:rPr>
          <w:sz w:val="25"/>
        </w:rPr>
      </w:pPr>
    </w:p>
    <w:p w14:paraId="3BD6B1FC" w14:textId="77777777" w:rsidR="009948F1" w:rsidRDefault="00BC0563">
      <w:pPr>
        <w:pStyle w:val="BodyText"/>
        <w:spacing w:before="1" w:line="273" w:lineRule="auto"/>
        <w:ind w:left="158" w:right="185"/>
        <w:jc w:val="both"/>
      </w:pPr>
      <w:r>
        <w:rPr>
          <w:color w:val="231F20"/>
        </w:rPr>
        <w:t xml:space="preserve">In line with the policy provisions, Rivers state, has established a HRH unit in the Department of Planning, Research and Statistics in the Ministries of Health (SMOH). The Departments of Planning, Research and Statistics provides the institutional hub for HRH policy </w:t>
      </w:r>
      <w:r>
        <w:rPr>
          <w:color w:val="231F20"/>
          <w:spacing w:val="-2"/>
        </w:rPr>
        <w:t xml:space="preserve">formulation, </w:t>
      </w:r>
      <w:r>
        <w:rPr>
          <w:color w:val="231F20"/>
        </w:rPr>
        <w:t>planning</w:t>
      </w:r>
      <w:r>
        <w:rPr>
          <w:color w:val="231F20"/>
          <w:spacing w:val="-17"/>
        </w:rPr>
        <w:t xml:space="preserve"> </w:t>
      </w:r>
      <w:r>
        <w:rPr>
          <w:color w:val="231F20"/>
        </w:rPr>
        <w:t>and</w:t>
      </w:r>
      <w:r>
        <w:rPr>
          <w:color w:val="231F20"/>
          <w:spacing w:val="-17"/>
        </w:rPr>
        <w:t xml:space="preserve"> </w:t>
      </w:r>
      <w:r>
        <w:rPr>
          <w:color w:val="231F20"/>
        </w:rPr>
        <w:t>management.</w:t>
      </w:r>
      <w:r>
        <w:rPr>
          <w:color w:val="231F20"/>
          <w:spacing w:val="-20"/>
        </w:rPr>
        <w:t xml:space="preserve"> </w:t>
      </w:r>
      <w:r>
        <w:rPr>
          <w:color w:val="231F20"/>
        </w:rPr>
        <w:t>The</w:t>
      </w:r>
      <w:r>
        <w:rPr>
          <w:color w:val="231F20"/>
          <w:spacing w:val="-17"/>
        </w:rPr>
        <w:t xml:space="preserve"> </w:t>
      </w:r>
      <w:r>
        <w:rPr>
          <w:color w:val="231F20"/>
        </w:rPr>
        <w:t>National</w:t>
      </w:r>
      <w:r>
        <w:rPr>
          <w:color w:val="231F20"/>
          <w:spacing w:val="-21"/>
        </w:rPr>
        <w:t xml:space="preserve"> </w:t>
      </w:r>
      <w:r>
        <w:rPr>
          <w:color w:val="231F20"/>
          <w:spacing w:val="-7"/>
        </w:rPr>
        <w:t>Task</w:t>
      </w:r>
      <w:r>
        <w:rPr>
          <w:color w:val="231F20"/>
          <w:spacing w:val="-16"/>
        </w:rPr>
        <w:t xml:space="preserve"> </w:t>
      </w:r>
      <w:r>
        <w:rPr>
          <w:color w:val="231F20"/>
        </w:rPr>
        <w:t>Shifting</w:t>
      </w:r>
      <w:r>
        <w:rPr>
          <w:color w:val="231F20"/>
          <w:spacing w:val="-17"/>
        </w:rPr>
        <w:t xml:space="preserve"> </w:t>
      </w:r>
      <w:r>
        <w:rPr>
          <w:color w:val="231F20"/>
        </w:rPr>
        <w:t>and</w:t>
      </w:r>
      <w:r>
        <w:rPr>
          <w:color w:val="231F20"/>
          <w:spacing w:val="-21"/>
        </w:rPr>
        <w:t xml:space="preserve"> </w:t>
      </w:r>
      <w:r>
        <w:rPr>
          <w:color w:val="231F20"/>
          <w:spacing w:val="-7"/>
        </w:rPr>
        <w:t>Task</w:t>
      </w:r>
      <w:r>
        <w:rPr>
          <w:color w:val="231F20"/>
          <w:spacing w:val="-16"/>
        </w:rPr>
        <w:t xml:space="preserve"> </w:t>
      </w:r>
      <w:r>
        <w:rPr>
          <w:color w:val="231F20"/>
        </w:rPr>
        <w:t>Sharing</w:t>
      </w:r>
      <w:r>
        <w:rPr>
          <w:color w:val="231F20"/>
          <w:spacing w:val="-17"/>
        </w:rPr>
        <w:t xml:space="preserve"> </w:t>
      </w:r>
      <w:r>
        <w:rPr>
          <w:color w:val="231F20"/>
        </w:rPr>
        <w:t>(TSS)</w:t>
      </w:r>
      <w:r>
        <w:rPr>
          <w:color w:val="231F20"/>
          <w:spacing w:val="-17"/>
        </w:rPr>
        <w:t xml:space="preserve"> </w:t>
      </w:r>
      <w:r>
        <w:rPr>
          <w:color w:val="231F20"/>
        </w:rPr>
        <w:t>Policies</w:t>
      </w:r>
      <w:r>
        <w:rPr>
          <w:color w:val="231F20"/>
          <w:spacing w:val="-16"/>
        </w:rPr>
        <w:t xml:space="preserve"> </w:t>
      </w:r>
      <w:r>
        <w:rPr>
          <w:color w:val="231F20"/>
        </w:rPr>
        <w:t>have</w:t>
      </w:r>
      <w:r>
        <w:rPr>
          <w:color w:val="231F20"/>
          <w:spacing w:val="-17"/>
        </w:rPr>
        <w:t xml:space="preserve"> </w:t>
      </w:r>
      <w:r>
        <w:rPr>
          <w:color w:val="231F20"/>
        </w:rPr>
        <w:t>been adopted</w:t>
      </w:r>
      <w:r>
        <w:rPr>
          <w:color w:val="231F20"/>
          <w:spacing w:val="-25"/>
        </w:rPr>
        <w:t xml:space="preserve"> </w:t>
      </w:r>
      <w:r>
        <w:rPr>
          <w:color w:val="231F20"/>
        </w:rPr>
        <w:t>and</w:t>
      </w:r>
      <w:r>
        <w:rPr>
          <w:color w:val="231F20"/>
          <w:spacing w:val="-25"/>
        </w:rPr>
        <w:t xml:space="preserve"> </w:t>
      </w:r>
      <w:r>
        <w:rPr>
          <w:color w:val="231F20"/>
        </w:rPr>
        <w:t>validated</w:t>
      </w:r>
      <w:r>
        <w:rPr>
          <w:color w:val="231F20"/>
          <w:spacing w:val="-25"/>
        </w:rPr>
        <w:t xml:space="preserve"> </w:t>
      </w:r>
      <w:r>
        <w:rPr>
          <w:color w:val="231F20"/>
        </w:rPr>
        <w:t>by</w:t>
      </w:r>
      <w:r>
        <w:rPr>
          <w:color w:val="231F20"/>
          <w:spacing w:val="-26"/>
        </w:rPr>
        <w:t xml:space="preserve"> </w:t>
      </w:r>
      <w:r>
        <w:rPr>
          <w:color w:val="231F20"/>
        </w:rPr>
        <w:t>the</w:t>
      </w:r>
      <w:r>
        <w:rPr>
          <w:color w:val="231F20"/>
          <w:spacing w:val="-25"/>
        </w:rPr>
        <w:t xml:space="preserve"> </w:t>
      </w:r>
      <w:r>
        <w:rPr>
          <w:color w:val="231F20"/>
        </w:rPr>
        <w:t>State.</w:t>
      </w:r>
    </w:p>
    <w:p w14:paraId="3676EB83" w14:textId="77777777" w:rsidR="009948F1" w:rsidRDefault="009948F1">
      <w:pPr>
        <w:pStyle w:val="BodyText"/>
        <w:spacing w:before="3"/>
        <w:rPr>
          <w:sz w:val="25"/>
        </w:rPr>
      </w:pPr>
    </w:p>
    <w:p w14:paraId="0B35C7B3" w14:textId="77777777" w:rsidR="009948F1" w:rsidRDefault="00BC0563">
      <w:pPr>
        <w:pStyle w:val="Heading7"/>
        <w:ind w:left="158"/>
        <w:jc w:val="both"/>
        <w:rPr>
          <w:b w:val="0"/>
        </w:rPr>
      </w:pPr>
      <w:r>
        <w:rPr>
          <w:color w:val="231F20"/>
        </w:rPr>
        <w:t>Strategic Goal</w:t>
      </w:r>
      <w:r>
        <w:rPr>
          <w:b w:val="0"/>
          <w:color w:val="231F20"/>
        </w:rPr>
        <w:t>:</w:t>
      </w:r>
    </w:p>
    <w:p w14:paraId="293ADFF7" w14:textId="77777777" w:rsidR="009948F1" w:rsidRDefault="00BC0563">
      <w:pPr>
        <w:pStyle w:val="ListParagraph"/>
        <w:numPr>
          <w:ilvl w:val="1"/>
          <w:numId w:val="271"/>
        </w:numPr>
        <w:tabs>
          <w:tab w:val="left" w:pos="575"/>
        </w:tabs>
        <w:spacing w:before="36" w:line="273" w:lineRule="auto"/>
        <w:ind w:right="185" w:firstLine="0"/>
      </w:pPr>
      <w:r>
        <w:rPr>
          <w:color w:val="231F20"/>
          <w:spacing w:val="-13"/>
        </w:rPr>
        <w:t>To</w:t>
      </w:r>
      <w:r>
        <w:rPr>
          <w:color w:val="231F20"/>
          <w:spacing w:val="-9"/>
        </w:rPr>
        <w:t xml:space="preserve"> </w:t>
      </w:r>
      <w:r>
        <w:rPr>
          <w:color w:val="231F20"/>
        </w:rPr>
        <w:t>have</w:t>
      </w:r>
      <w:r>
        <w:rPr>
          <w:color w:val="231F20"/>
          <w:spacing w:val="-9"/>
        </w:rPr>
        <w:t xml:space="preserve"> </w:t>
      </w:r>
      <w:r>
        <w:rPr>
          <w:color w:val="231F20"/>
        </w:rPr>
        <w:t>in</w:t>
      </w:r>
      <w:r>
        <w:rPr>
          <w:color w:val="231F20"/>
          <w:spacing w:val="-9"/>
        </w:rPr>
        <w:t xml:space="preserve"> </w:t>
      </w:r>
      <w:r>
        <w:rPr>
          <w:color w:val="231F20"/>
        </w:rPr>
        <w:t>place</w:t>
      </w:r>
      <w:r>
        <w:rPr>
          <w:color w:val="231F20"/>
          <w:spacing w:val="-9"/>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rPr>
        <w:t>number,</w:t>
      </w:r>
      <w:r>
        <w:rPr>
          <w:color w:val="231F20"/>
          <w:spacing w:val="-8"/>
        </w:rPr>
        <w:t xml:space="preserve"> </w:t>
      </w:r>
      <w:r>
        <w:rPr>
          <w:color w:val="231F20"/>
        </w:rPr>
        <w:t>skill</w:t>
      </w:r>
      <w:r>
        <w:rPr>
          <w:color w:val="231F20"/>
          <w:spacing w:val="-9"/>
        </w:rPr>
        <w:t xml:space="preserve"> </w:t>
      </w:r>
      <w:r>
        <w:rPr>
          <w:color w:val="231F20"/>
        </w:rPr>
        <w:t>mix</w:t>
      </w:r>
      <w:r>
        <w:rPr>
          <w:color w:val="231F20"/>
          <w:spacing w:val="-9"/>
        </w:rPr>
        <w:t xml:space="preserve"> </w:t>
      </w:r>
      <w:r>
        <w:rPr>
          <w:color w:val="231F20"/>
        </w:rPr>
        <w:t>of</w:t>
      </w:r>
      <w:r>
        <w:rPr>
          <w:color w:val="231F20"/>
          <w:spacing w:val="-9"/>
        </w:rPr>
        <w:t xml:space="preserve"> </w:t>
      </w:r>
      <w:r>
        <w:rPr>
          <w:color w:val="231F20"/>
        </w:rPr>
        <w:t>competent,</w:t>
      </w:r>
      <w:r>
        <w:rPr>
          <w:color w:val="231F20"/>
          <w:spacing w:val="-9"/>
        </w:rPr>
        <w:t xml:space="preserve"> </w:t>
      </w:r>
      <w:r>
        <w:rPr>
          <w:color w:val="231F20"/>
        </w:rPr>
        <w:t>motivated,</w:t>
      </w:r>
      <w:r>
        <w:rPr>
          <w:color w:val="231F20"/>
          <w:spacing w:val="-9"/>
        </w:rPr>
        <w:t xml:space="preserve"> </w:t>
      </w:r>
      <w:r>
        <w:rPr>
          <w:color w:val="231F20"/>
        </w:rPr>
        <w:t>productive</w:t>
      </w:r>
      <w:r>
        <w:rPr>
          <w:color w:val="231F20"/>
          <w:spacing w:val="-8"/>
        </w:rPr>
        <w:t xml:space="preserve"> </w:t>
      </w:r>
      <w:r>
        <w:rPr>
          <w:color w:val="231F20"/>
        </w:rPr>
        <w:t>and</w:t>
      </w:r>
      <w:r>
        <w:rPr>
          <w:color w:val="231F20"/>
          <w:spacing w:val="-9"/>
        </w:rPr>
        <w:t xml:space="preserve"> </w:t>
      </w:r>
      <w:r>
        <w:rPr>
          <w:color w:val="231F20"/>
        </w:rPr>
        <w:t xml:space="preserve">equitably distributed health work force for the provision of optimal and quality health care services in </w:t>
      </w:r>
      <w:r>
        <w:rPr>
          <w:color w:val="231F20"/>
          <w:spacing w:val="-6"/>
        </w:rPr>
        <w:t xml:space="preserve">the </w:t>
      </w:r>
      <w:r>
        <w:rPr>
          <w:color w:val="231F20"/>
        </w:rPr>
        <w:t>State.</w:t>
      </w:r>
    </w:p>
    <w:p w14:paraId="52AEDA93" w14:textId="77777777" w:rsidR="009948F1" w:rsidRDefault="009948F1">
      <w:pPr>
        <w:pStyle w:val="BodyText"/>
        <w:spacing w:before="2"/>
        <w:rPr>
          <w:sz w:val="25"/>
        </w:rPr>
      </w:pPr>
    </w:p>
    <w:p w14:paraId="19041D0F" w14:textId="77777777" w:rsidR="009948F1" w:rsidRDefault="00BC0563">
      <w:pPr>
        <w:pStyle w:val="Heading7"/>
        <w:ind w:left="158"/>
        <w:jc w:val="both"/>
      </w:pPr>
      <w:r>
        <w:rPr>
          <w:color w:val="231F20"/>
        </w:rPr>
        <w:t>Strategic Objectives:</w:t>
      </w:r>
    </w:p>
    <w:p w14:paraId="4DDB9241" w14:textId="77777777" w:rsidR="009948F1" w:rsidRDefault="00BC0563">
      <w:pPr>
        <w:pStyle w:val="ListParagraph"/>
        <w:numPr>
          <w:ilvl w:val="2"/>
          <w:numId w:val="271"/>
        </w:numPr>
        <w:tabs>
          <w:tab w:val="left" w:pos="731"/>
        </w:tabs>
        <w:spacing w:before="36" w:line="273" w:lineRule="auto"/>
        <w:ind w:right="185" w:firstLine="0"/>
        <w:jc w:val="both"/>
        <w:rPr>
          <w:b/>
          <w:color w:val="231F20"/>
        </w:rPr>
      </w:pPr>
      <w:r>
        <w:rPr>
          <w:b/>
          <w:color w:val="231F20"/>
        </w:rPr>
        <w:t>Ensure coordination and partnership for aligning investment of current and future needs</w:t>
      </w:r>
      <w:r>
        <w:rPr>
          <w:b/>
          <w:color w:val="231F20"/>
          <w:spacing w:val="-25"/>
        </w:rPr>
        <w:t xml:space="preserve"> </w:t>
      </w:r>
      <w:r>
        <w:rPr>
          <w:b/>
          <w:color w:val="231F20"/>
        </w:rPr>
        <w:t>and</w:t>
      </w:r>
      <w:r>
        <w:rPr>
          <w:b/>
          <w:color w:val="231F20"/>
          <w:spacing w:val="-25"/>
        </w:rPr>
        <w:t xml:space="preserve"> </w:t>
      </w:r>
      <w:r>
        <w:rPr>
          <w:b/>
          <w:color w:val="231F20"/>
        </w:rPr>
        <w:t>institutional</w:t>
      </w:r>
      <w:r>
        <w:rPr>
          <w:b/>
          <w:color w:val="231F20"/>
          <w:spacing w:val="-25"/>
        </w:rPr>
        <w:t xml:space="preserve"> </w:t>
      </w:r>
      <w:r>
        <w:rPr>
          <w:b/>
          <w:color w:val="231F20"/>
        </w:rPr>
        <w:t>strengthening</w:t>
      </w:r>
      <w:r>
        <w:rPr>
          <w:b/>
          <w:color w:val="231F20"/>
          <w:spacing w:val="-25"/>
        </w:rPr>
        <w:t xml:space="preserve"> </w:t>
      </w:r>
      <w:r>
        <w:rPr>
          <w:b/>
          <w:color w:val="231F20"/>
        </w:rPr>
        <w:t>for</w:t>
      </w:r>
      <w:r>
        <w:rPr>
          <w:b/>
          <w:color w:val="231F20"/>
          <w:spacing w:val="-25"/>
        </w:rPr>
        <w:t xml:space="preserve"> </w:t>
      </w:r>
      <w:r>
        <w:rPr>
          <w:b/>
          <w:color w:val="231F20"/>
        </w:rPr>
        <w:t>HRH</w:t>
      </w:r>
      <w:r>
        <w:rPr>
          <w:b/>
          <w:color w:val="231F20"/>
          <w:spacing w:val="-25"/>
        </w:rPr>
        <w:t xml:space="preserve"> </w:t>
      </w:r>
      <w:r>
        <w:rPr>
          <w:b/>
          <w:color w:val="231F20"/>
        </w:rPr>
        <w:t>agenda.</w:t>
      </w:r>
    </w:p>
    <w:p w14:paraId="7B869E3A" w14:textId="77777777" w:rsidR="009948F1" w:rsidRDefault="009948F1">
      <w:pPr>
        <w:pStyle w:val="BodyText"/>
        <w:rPr>
          <w:b/>
        </w:rPr>
      </w:pPr>
    </w:p>
    <w:p w14:paraId="7671165F" w14:textId="77777777" w:rsidR="009948F1" w:rsidRDefault="00BC0563">
      <w:pPr>
        <w:spacing w:before="134" w:after="45"/>
        <w:ind w:left="324"/>
        <w:rPr>
          <w:b/>
          <w:sz w:val="23"/>
        </w:rPr>
      </w:pPr>
      <w:r>
        <w:rPr>
          <w:b/>
          <w:color w:val="231F20"/>
          <w:sz w:val="23"/>
        </w:rPr>
        <w:t>Target:</w:t>
      </w:r>
    </w:p>
    <w:tbl>
      <w:tblPr>
        <w:tblW w:w="0" w:type="auto"/>
        <w:tblInd w:w="2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213"/>
        <w:gridCol w:w="1240"/>
        <w:gridCol w:w="761"/>
        <w:gridCol w:w="763"/>
        <w:gridCol w:w="760"/>
        <w:gridCol w:w="763"/>
        <w:gridCol w:w="766"/>
        <w:gridCol w:w="975"/>
      </w:tblGrid>
      <w:tr w:rsidR="009948F1" w14:paraId="63DDFF06" w14:textId="77777777">
        <w:trPr>
          <w:trHeight w:val="214"/>
        </w:trPr>
        <w:tc>
          <w:tcPr>
            <w:tcW w:w="3213" w:type="dxa"/>
            <w:shd w:val="clear" w:color="auto" w:fill="F4CEB2"/>
          </w:tcPr>
          <w:p w14:paraId="6B742BBA" w14:textId="77777777" w:rsidR="009948F1" w:rsidRDefault="00BC0563">
            <w:pPr>
              <w:pStyle w:val="TableParagraph"/>
              <w:spacing w:line="194" w:lineRule="exact"/>
              <w:ind w:left="110"/>
              <w:rPr>
                <w:sz w:val="19"/>
              </w:rPr>
            </w:pPr>
            <w:r>
              <w:rPr>
                <w:color w:val="231F20"/>
                <w:sz w:val="19"/>
              </w:rPr>
              <w:t>Targets</w:t>
            </w:r>
          </w:p>
        </w:tc>
        <w:tc>
          <w:tcPr>
            <w:tcW w:w="1240" w:type="dxa"/>
            <w:shd w:val="clear" w:color="auto" w:fill="F4CEB2"/>
          </w:tcPr>
          <w:p w14:paraId="62BE6A17" w14:textId="77777777" w:rsidR="009948F1" w:rsidRDefault="00BC0563">
            <w:pPr>
              <w:pStyle w:val="TableParagraph"/>
              <w:spacing w:line="194" w:lineRule="exact"/>
              <w:ind w:left="111"/>
              <w:rPr>
                <w:sz w:val="19"/>
              </w:rPr>
            </w:pPr>
            <w:r>
              <w:rPr>
                <w:color w:val="231F20"/>
                <w:sz w:val="19"/>
              </w:rPr>
              <w:t>Baseline</w:t>
            </w:r>
          </w:p>
        </w:tc>
        <w:tc>
          <w:tcPr>
            <w:tcW w:w="761" w:type="dxa"/>
            <w:shd w:val="clear" w:color="auto" w:fill="F4CEB2"/>
          </w:tcPr>
          <w:p w14:paraId="3DF8E75F" w14:textId="77777777" w:rsidR="009948F1" w:rsidRDefault="00BC0563">
            <w:pPr>
              <w:pStyle w:val="TableParagraph"/>
              <w:spacing w:line="194" w:lineRule="exact"/>
              <w:ind w:left="111"/>
              <w:rPr>
                <w:b/>
                <w:sz w:val="19"/>
              </w:rPr>
            </w:pPr>
            <w:r>
              <w:rPr>
                <w:b/>
                <w:color w:val="231F20"/>
                <w:sz w:val="19"/>
              </w:rPr>
              <w:t>2018</w:t>
            </w:r>
          </w:p>
        </w:tc>
        <w:tc>
          <w:tcPr>
            <w:tcW w:w="763" w:type="dxa"/>
            <w:shd w:val="clear" w:color="auto" w:fill="F4CEB2"/>
          </w:tcPr>
          <w:p w14:paraId="10D0FA63" w14:textId="77777777" w:rsidR="009948F1" w:rsidRDefault="00BC0563">
            <w:pPr>
              <w:pStyle w:val="TableParagraph"/>
              <w:spacing w:line="194" w:lineRule="exact"/>
              <w:ind w:left="111"/>
              <w:rPr>
                <w:b/>
                <w:sz w:val="19"/>
              </w:rPr>
            </w:pPr>
            <w:r>
              <w:rPr>
                <w:b/>
                <w:color w:val="231F20"/>
                <w:sz w:val="19"/>
              </w:rPr>
              <w:t>2019</w:t>
            </w:r>
          </w:p>
        </w:tc>
        <w:tc>
          <w:tcPr>
            <w:tcW w:w="760" w:type="dxa"/>
            <w:shd w:val="clear" w:color="auto" w:fill="F4CEB2"/>
          </w:tcPr>
          <w:p w14:paraId="3C225765" w14:textId="77777777" w:rsidR="009948F1" w:rsidRDefault="00BC0563">
            <w:pPr>
              <w:pStyle w:val="TableParagraph"/>
              <w:spacing w:line="194" w:lineRule="exact"/>
              <w:ind w:left="111"/>
              <w:rPr>
                <w:b/>
                <w:sz w:val="19"/>
              </w:rPr>
            </w:pPr>
            <w:r>
              <w:rPr>
                <w:b/>
                <w:color w:val="231F20"/>
                <w:sz w:val="19"/>
              </w:rPr>
              <w:t>2020</w:t>
            </w:r>
          </w:p>
        </w:tc>
        <w:tc>
          <w:tcPr>
            <w:tcW w:w="763" w:type="dxa"/>
            <w:shd w:val="clear" w:color="auto" w:fill="F4CEB2"/>
          </w:tcPr>
          <w:p w14:paraId="0C7F96B6" w14:textId="77777777" w:rsidR="009948F1" w:rsidRDefault="00BC0563">
            <w:pPr>
              <w:pStyle w:val="TableParagraph"/>
              <w:spacing w:line="194" w:lineRule="exact"/>
              <w:ind w:left="113"/>
              <w:rPr>
                <w:b/>
                <w:sz w:val="19"/>
              </w:rPr>
            </w:pPr>
            <w:r>
              <w:rPr>
                <w:b/>
                <w:color w:val="231F20"/>
                <w:sz w:val="19"/>
              </w:rPr>
              <w:t>2021</w:t>
            </w:r>
          </w:p>
        </w:tc>
        <w:tc>
          <w:tcPr>
            <w:tcW w:w="766" w:type="dxa"/>
            <w:shd w:val="clear" w:color="auto" w:fill="F4CEB2"/>
          </w:tcPr>
          <w:p w14:paraId="15C56F81" w14:textId="77777777" w:rsidR="009948F1" w:rsidRDefault="00BC0563">
            <w:pPr>
              <w:pStyle w:val="TableParagraph"/>
              <w:spacing w:line="194" w:lineRule="exact"/>
              <w:ind w:left="113"/>
              <w:rPr>
                <w:b/>
                <w:sz w:val="19"/>
              </w:rPr>
            </w:pPr>
            <w:r>
              <w:rPr>
                <w:b/>
                <w:color w:val="231F20"/>
                <w:sz w:val="19"/>
              </w:rPr>
              <w:t>2022</w:t>
            </w:r>
          </w:p>
        </w:tc>
        <w:tc>
          <w:tcPr>
            <w:tcW w:w="975" w:type="dxa"/>
            <w:shd w:val="clear" w:color="auto" w:fill="F4CEB2"/>
          </w:tcPr>
          <w:p w14:paraId="525361DB" w14:textId="77777777" w:rsidR="009948F1" w:rsidRDefault="00BC0563">
            <w:pPr>
              <w:pStyle w:val="TableParagraph"/>
              <w:spacing w:line="194" w:lineRule="exact"/>
              <w:ind w:left="113"/>
              <w:rPr>
                <w:b/>
                <w:sz w:val="19"/>
              </w:rPr>
            </w:pPr>
            <w:r>
              <w:rPr>
                <w:b/>
                <w:color w:val="231F20"/>
                <w:sz w:val="19"/>
              </w:rPr>
              <w:t>National</w:t>
            </w:r>
          </w:p>
        </w:tc>
      </w:tr>
      <w:tr w:rsidR="009948F1" w14:paraId="7FA855CB" w14:textId="77777777">
        <w:trPr>
          <w:trHeight w:val="640"/>
        </w:trPr>
        <w:tc>
          <w:tcPr>
            <w:tcW w:w="3213" w:type="dxa"/>
            <w:tcBorders>
              <w:right w:val="single" w:sz="12" w:space="0" w:color="231F20"/>
            </w:tcBorders>
          </w:tcPr>
          <w:p w14:paraId="568D7BAB" w14:textId="77777777" w:rsidR="009948F1" w:rsidRDefault="00BC0563">
            <w:pPr>
              <w:pStyle w:val="TableParagraph"/>
              <w:spacing w:before="1" w:line="216" w:lineRule="exact"/>
              <w:ind w:left="110"/>
              <w:rPr>
                <w:sz w:val="19"/>
              </w:rPr>
            </w:pPr>
            <w:r>
              <w:rPr>
                <w:color w:val="231F20"/>
                <w:sz w:val="19"/>
              </w:rPr>
              <w:t>% of LGAs that are implementing HRH policy and strategic plans increased</w:t>
            </w:r>
          </w:p>
        </w:tc>
        <w:tc>
          <w:tcPr>
            <w:tcW w:w="1240" w:type="dxa"/>
            <w:tcBorders>
              <w:left w:val="single" w:sz="12" w:space="0" w:color="231F20"/>
              <w:bottom w:val="single" w:sz="12" w:space="0" w:color="231F20"/>
              <w:right w:val="single" w:sz="12" w:space="0" w:color="231F20"/>
            </w:tcBorders>
          </w:tcPr>
          <w:p w14:paraId="0CCE3DF2" w14:textId="77777777" w:rsidR="009948F1" w:rsidRDefault="00BC0563">
            <w:pPr>
              <w:pStyle w:val="TableParagraph"/>
              <w:spacing w:line="214" w:lineRule="exact"/>
              <w:ind w:left="103"/>
              <w:rPr>
                <w:sz w:val="19"/>
              </w:rPr>
            </w:pPr>
            <w:r>
              <w:rPr>
                <w:color w:val="231F20"/>
                <w:sz w:val="19"/>
              </w:rPr>
              <w:t>TBD</w:t>
            </w:r>
          </w:p>
        </w:tc>
        <w:tc>
          <w:tcPr>
            <w:tcW w:w="761" w:type="dxa"/>
            <w:tcBorders>
              <w:left w:val="single" w:sz="12" w:space="0" w:color="231F20"/>
              <w:bottom w:val="single" w:sz="12" w:space="0" w:color="231F20"/>
              <w:right w:val="single" w:sz="12" w:space="0" w:color="231F20"/>
            </w:tcBorders>
          </w:tcPr>
          <w:p w14:paraId="5F2B12D4" w14:textId="77777777" w:rsidR="009948F1" w:rsidRDefault="00BC0563">
            <w:pPr>
              <w:pStyle w:val="TableParagraph"/>
              <w:spacing w:line="214" w:lineRule="exact"/>
              <w:ind w:left="103"/>
              <w:rPr>
                <w:sz w:val="19"/>
              </w:rPr>
            </w:pPr>
            <w:r>
              <w:rPr>
                <w:color w:val="231F20"/>
                <w:sz w:val="19"/>
              </w:rPr>
              <w:t>30</w:t>
            </w:r>
          </w:p>
        </w:tc>
        <w:tc>
          <w:tcPr>
            <w:tcW w:w="763" w:type="dxa"/>
            <w:tcBorders>
              <w:left w:val="single" w:sz="12" w:space="0" w:color="231F20"/>
            </w:tcBorders>
          </w:tcPr>
          <w:p w14:paraId="127E2569" w14:textId="77777777" w:rsidR="009948F1" w:rsidRDefault="00BC0563">
            <w:pPr>
              <w:pStyle w:val="TableParagraph"/>
              <w:spacing w:line="214" w:lineRule="exact"/>
              <w:ind w:left="103"/>
              <w:rPr>
                <w:sz w:val="19"/>
              </w:rPr>
            </w:pPr>
            <w:r>
              <w:rPr>
                <w:color w:val="231F20"/>
                <w:sz w:val="19"/>
              </w:rPr>
              <w:t>40</w:t>
            </w:r>
          </w:p>
        </w:tc>
        <w:tc>
          <w:tcPr>
            <w:tcW w:w="760" w:type="dxa"/>
          </w:tcPr>
          <w:p w14:paraId="0C6DF12F" w14:textId="77777777" w:rsidR="009948F1" w:rsidRDefault="00BC0563">
            <w:pPr>
              <w:pStyle w:val="TableParagraph"/>
              <w:spacing w:line="214" w:lineRule="exact"/>
              <w:ind w:left="111"/>
              <w:rPr>
                <w:sz w:val="19"/>
              </w:rPr>
            </w:pPr>
            <w:r>
              <w:rPr>
                <w:color w:val="231F20"/>
                <w:sz w:val="19"/>
              </w:rPr>
              <w:t>50</w:t>
            </w:r>
          </w:p>
        </w:tc>
        <w:tc>
          <w:tcPr>
            <w:tcW w:w="763" w:type="dxa"/>
          </w:tcPr>
          <w:p w14:paraId="70CA48DA" w14:textId="77777777" w:rsidR="009948F1" w:rsidRDefault="00BC0563">
            <w:pPr>
              <w:pStyle w:val="TableParagraph"/>
              <w:spacing w:line="214" w:lineRule="exact"/>
              <w:ind w:left="113"/>
              <w:rPr>
                <w:sz w:val="19"/>
              </w:rPr>
            </w:pPr>
            <w:r>
              <w:rPr>
                <w:color w:val="231F20"/>
                <w:sz w:val="19"/>
              </w:rPr>
              <w:t>60</w:t>
            </w:r>
          </w:p>
        </w:tc>
        <w:tc>
          <w:tcPr>
            <w:tcW w:w="766" w:type="dxa"/>
          </w:tcPr>
          <w:p w14:paraId="1B59B68E" w14:textId="77777777" w:rsidR="009948F1" w:rsidRDefault="00BC0563">
            <w:pPr>
              <w:pStyle w:val="TableParagraph"/>
              <w:spacing w:line="214" w:lineRule="exact"/>
              <w:ind w:left="113"/>
              <w:rPr>
                <w:sz w:val="19"/>
              </w:rPr>
            </w:pPr>
            <w:r>
              <w:rPr>
                <w:color w:val="231F20"/>
                <w:sz w:val="19"/>
              </w:rPr>
              <w:t>70</w:t>
            </w:r>
          </w:p>
        </w:tc>
        <w:tc>
          <w:tcPr>
            <w:tcW w:w="975" w:type="dxa"/>
          </w:tcPr>
          <w:p w14:paraId="5BBD13AA" w14:textId="77777777" w:rsidR="009948F1" w:rsidRDefault="00BC0563">
            <w:pPr>
              <w:pStyle w:val="TableParagraph"/>
              <w:spacing w:line="214" w:lineRule="exact"/>
              <w:ind w:left="113"/>
              <w:rPr>
                <w:sz w:val="19"/>
              </w:rPr>
            </w:pPr>
            <w:r>
              <w:rPr>
                <w:color w:val="231F20"/>
                <w:sz w:val="19"/>
              </w:rPr>
              <w:t>100%</w:t>
            </w:r>
          </w:p>
        </w:tc>
      </w:tr>
      <w:tr w:rsidR="009948F1" w14:paraId="0B56568B" w14:textId="77777777">
        <w:trPr>
          <w:trHeight w:val="633"/>
        </w:trPr>
        <w:tc>
          <w:tcPr>
            <w:tcW w:w="3213" w:type="dxa"/>
            <w:tcBorders>
              <w:right w:val="single" w:sz="12" w:space="0" w:color="231F20"/>
            </w:tcBorders>
          </w:tcPr>
          <w:p w14:paraId="77F0424E" w14:textId="77777777" w:rsidR="009948F1" w:rsidRDefault="00BC0563">
            <w:pPr>
              <w:pStyle w:val="TableParagraph"/>
              <w:spacing w:line="237" w:lineRule="auto"/>
              <w:ind w:left="110"/>
              <w:rPr>
                <w:sz w:val="19"/>
              </w:rPr>
            </w:pPr>
            <w:r>
              <w:rPr>
                <w:color w:val="231F20"/>
                <w:sz w:val="19"/>
              </w:rPr>
              <w:t>% of health training institutions accredited by the relevant</w:t>
            </w:r>
          </w:p>
          <w:p w14:paraId="572CAA63" w14:textId="77777777" w:rsidR="009948F1" w:rsidRDefault="00BC0563">
            <w:pPr>
              <w:pStyle w:val="TableParagraph"/>
              <w:spacing w:line="189" w:lineRule="exact"/>
              <w:ind w:left="110"/>
              <w:rPr>
                <w:sz w:val="19"/>
              </w:rPr>
            </w:pPr>
            <w:r>
              <w:rPr>
                <w:color w:val="231F20"/>
                <w:sz w:val="19"/>
              </w:rPr>
              <w:t>regulatory bodies each year</w:t>
            </w:r>
          </w:p>
        </w:tc>
        <w:tc>
          <w:tcPr>
            <w:tcW w:w="1240" w:type="dxa"/>
            <w:tcBorders>
              <w:top w:val="single" w:sz="12" w:space="0" w:color="231F20"/>
              <w:left w:val="single" w:sz="12" w:space="0" w:color="231F20"/>
              <w:bottom w:val="single" w:sz="12" w:space="0" w:color="231F20"/>
              <w:right w:val="single" w:sz="12" w:space="0" w:color="231F20"/>
            </w:tcBorders>
          </w:tcPr>
          <w:p w14:paraId="67918223" w14:textId="77777777" w:rsidR="009948F1" w:rsidRDefault="00BC0563">
            <w:pPr>
              <w:pStyle w:val="TableParagraph"/>
              <w:spacing w:line="208" w:lineRule="exact"/>
              <w:ind w:left="103"/>
              <w:rPr>
                <w:sz w:val="19"/>
              </w:rPr>
            </w:pPr>
            <w:r>
              <w:rPr>
                <w:color w:val="231F20"/>
                <w:sz w:val="19"/>
              </w:rPr>
              <w:t>TBD</w:t>
            </w:r>
          </w:p>
        </w:tc>
        <w:tc>
          <w:tcPr>
            <w:tcW w:w="761" w:type="dxa"/>
            <w:tcBorders>
              <w:top w:val="single" w:sz="12" w:space="0" w:color="231F20"/>
              <w:left w:val="single" w:sz="12" w:space="0" w:color="231F20"/>
              <w:bottom w:val="single" w:sz="12" w:space="0" w:color="231F20"/>
              <w:right w:val="single" w:sz="12" w:space="0" w:color="231F20"/>
            </w:tcBorders>
          </w:tcPr>
          <w:p w14:paraId="543A6150" w14:textId="77777777" w:rsidR="009948F1" w:rsidRDefault="00BC0563">
            <w:pPr>
              <w:pStyle w:val="TableParagraph"/>
              <w:spacing w:line="208" w:lineRule="exact"/>
              <w:ind w:left="103"/>
              <w:rPr>
                <w:sz w:val="19"/>
              </w:rPr>
            </w:pPr>
            <w:r>
              <w:rPr>
                <w:color w:val="231F20"/>
                <w:sz w:val="19"/>
              </w:rPr>
              <w:t>65</w:t>
            </w:r>
          </w:p>
        </w:tc>
        <w:tc>
          <w:tcPr>
            <w:tcW w:w="763" w:type="dxa"/>
            <w:tcBorders>
              <w:left w:val="single" w:sz="12" w:space="0" w:color="231F20"/>
            </w:tcBorders>
          </w:tcPr>
          <w:p w14:paraId="5EB429C7" w14:textId="77777777" w:rsidR="009948F1" w:rsidRDefault="00BC0563">
            <w:pPr>
              <w:pStyle w:val="TableParagraph"/>
              <w:spacing w:line="208" w:lineRule="exact"/>
              <w:ind w:left="103"/>
              <w:rPr>
                <w:sz w:val="19"/>
              </w:rPr>
            </w:pPr>
            <w:r>
              <w:rPr>
                <w:color w:val="231F20"/>
                <w:sz w:val="19"/>
              </w:rPr>
              <w:t>70</w:t>
            </w:r>
          </w:p>
        </w:tc>
        <w:tc>
          <w:tcPr>
            <w:tcW w:w="760" w:type="dxa"/>
          </w:tcPr>
          <w:p w14:paraId="40B3B0D4" w14:textId="77777777" w:rsidR="009948F1" w:rsidRDefault="00BC0563">
            <w:pPr>
              <w:pStyle w:val="TableParagraph"/>
              <w:spacing w:line="208" w:lineRule="exact"/>
              <w:ind w:left="111"/>
              <w:rPr>
                <w:sz w:val="19"/>
              </w:rPr>
            </w:pPr>
            <w:r>
              <w:rPr>
                <w:color w:val="231F20"/>
                <w:sz w:val="19"/>
              </w:rPr>
              <w:t>75</w:t>
            </w:r>
          </w:p>
        </w:tc>
        <w:tc>
          <w:tcPr>
            <w:tcW w:w="763" w:type="dxa"/>
          </w:tcPr>
          <w:p w14:paraId="48938052" w14:textId="77777777" w:rsidR="009948F1" w:rsidRDefault="00BC0563">
            <w:pPr>
              <w:pStyle w:val="TableParagraph"/>
              <w:spacing w:line="208" w:lineRule="exact"/>
              <w:ind w:left="113"/>
              <w:rPr>
                <w:sz w:val="19"/>
              </w:rPr>
            </w:pPr>
            <w:r>
              <w:rPr>
                <w:color w:val="231F20"/>
                <w:sz w:val="19"/>
              </w:rPr>
              <w:t>80</w:t>
            </w:r>
          </w:p>
        </w:tc>
        <w:tc>
          <w:tcPr>
            <w:tcW w:w="766" w:type="dxa"/>
          </w:tcPr>
          <w:p w14:paraId="5DAE9251" w14:textId="77777777" w:rsidR="009948F1" w:rsidRDefault="00BC0563">
            <w:pPr>
              <w:pStyle w:val="TableParagraph"/>
              <w:spacing w:line="208" w:lineRule="exact"/>
              <w:ind w:left="113"/>
              <w:rPr>
                <w:sz w:val="19"/>
              </w:rPr>
            </w:pPr>
            <w:r>
              <w:rPr>
                <w:color w:val="231F20"/>
                <w:sz w:val="19"/>
              </w:rPr>
              <w:t>85</w:t>
            </w:r>
          </w:p>
        </w:tc>
        <w:tc>
          <w:tcPr>
            <w:tcW w:w="975" w:type="dxa"/>
          </w:tcPr>
          <w:p w14:paraId="0D30270A" w14:textId="77777777" w:rsidR="009948F1" w:rsidRDefault="00BC0563">
            <w:pPr>
              <w:pStyle w:val="TableParagraph"/>
              <w:spacing w:line="208" w:lineRule="exact"/>
              <w:ind w:left="113"/>
              <w:rPr>
                <w:sz w:val="19"/>
              </w:rPr>
            </w:pPr>
            <w:r>
              <w:rPr>
                <w:color w:val="231F20"/>
                <w:sz w:val="19"/>
              </w:rPr>
              <w:t>90%</w:t>
            </w:r>
          </w:p>
        </w:tc>
      </w:tr>
    </w:tbl>
    <w:p w14:paraId="0A42D6E9" w14:textId="77777777" w:rsidR="009948F1" w:rsidRDefault="009948F1">
      <w:pPr>
        <w:pStyle w:val="BodyText"/>
        <w:spacing w:before="10"/>
        <w:rPr>
          <w:b/>
          <w:sz w:val="18"/>
        </w:rPr>
      </w:pPr>
    </w:p>
    <w:p w14:paraId="413B55E7" w14:textId="77777777" w:rsidR="009948F1" w:rsidRDefault="00BC0563">
      <w:pPr>
        <w:ind w:left="160"/>
        <w:rPr>
          <w:b/>
        </w:rPr>
      </w:pPr>
      <w:r>
        <w:rPr>
          <w:b/>
          <w:color w:val="231F20"/>
        </w:rPr>
        <w:t>Interventions:</w:t>
      </w:r>
    </w:p>
    <w:p w14:paraId="1C5B4DAC" w14:textId="77777777" w:rsidR="009948F1" w:rsidRDefault="00BC0563">
      <w:pPr>
        <w:pStyle w:val="ListParagraph"/>
        <w:numPr>
          <w:ilvl w:val="3"/>
          <w:numId w:val="271"/>
        </w:numPr>
        <w:tabs>
          <w:tab w:val="left" w:pos="897"/>
        </w:tabs>
        <w:spacing w:before="23" w:line="261" w:lineRule="auto"/>
        <w:ind w:right="196" w:firstLine="0"/>
      </w:pPr>
      <w:r>
        <w:rPr>
          <w:color w:val="231F20"/>
        </w:rPr>
        <w:t xml:space="preserve">Strengthen institutional capacities of HRH coordinating structures. The actions are; </w:t>
      </w:r>
      <w:r>
        <w:rPr>
          <w:color w:val="231F20"/>
          <w:spacing w:val="-3"/>
        </w:rPr>
        <w:t xml:space="preserve">Build </w:t>
      </w:r>
      <w:r>
        <w:rPr>
          <w:color w:val="231F20"/>
        </w:rPr>
        <w:t xml:space="preserve">capacity to strengthen HRH units at state level to enhance performance; Set up committee </w:t>
      </w:r>
      <w:r>
        <w:rPr>
          <w:color w:val="231F20"/>
          <w:spacing w:val="-8"/>
        </w:rPr>
        <w:t xml:space="preserve">to </w:t>
      </w:r>
      <w:r>
        <w:rPr>
          <w:color w:val="231F20"/>
        </w:rPr>
        <w:t>assess</w:t>
      </w:r>
      <w:r>
        <w:rPr>
          <w:color w:val="231F20"/>
          <w:spacing w:val="-7"/>
        </w:rPr>
        <w:t xml:space="preserve"> </w:t>
      </w:r>
      <w:r>
        <w:rPr>
          <w:color w:val="231F20"/>
        </w:rPr>
        <w:t>the</w:t>
      </w:r>
      <w:r>
        <w:rPr>
          <w:color w:val="231F20"/>
          <w:spacing w:val="-7"/>
        </w:rPr>
        <w:t xml:space="preserve"> </w:t>
      </w:r>
      <w:r>
        <w:rPr>
          <w:color w:val="231F20"/>
        </w:rPr>
        <w:t>state</w:t>
      </w:r>
      <w:r>
        <w:rPr>
          <w:color w:val="231F20"/>
          <w:spacing w:val="-8"/>
        </w:rPr>
        <w:t xml:space="preserve"> </w:t>
      </w:r>
      <w:r>
        <w:rPr>
          <w:color w:val="231F20"/>
        </w:rPr>
        <w:t>of</w:t>
      </w:r>
      <w:r>
        <w:rPr>
          <w:color w:val="231F20"/>
          <w:spacing w:val="-8"/>
        </w:rPr>
        <w:t xml:space="preserve"> </w:t>
      </w:r>
      <w:r>
        <w:rPr>
          <w:color w:val="231F20"/>
        </w:rPr>
        <w:t>health</w:t>
      </w:r>
      <w:r>
        <w:rPr>
          <w:color w:val="231F20"/>
          <w:spacing w:val="-7"/>
        </w:rPr>
        <w:t xml:space="preserve"> </w:t>
      </w:r>
      <w:r>
        <w:rPr>
          <w:color w:val="231F20"/>
        </w:rPr>
        <w:t>training</w:t>
      </w:r>
      <w:r>
        <w:rPr>
          <w:color w:val="231F20"/>
          <w:spacing w:val="-6"/>
        </w:rPr>
        <w:t xml:space="preserve"> </w:t>
      </w:r>
      <w:r>
        <w:rPr>
          <w:color w:val="231F20"/>
        </w:rPr>
        <w:t>institutions</w:t>
      </w:r>
      <w:r>
        <w:rPr>
          <w:color w:val="231F20"/>
          <w:spacing w:val="-7"/>
        </w:rPr>
        <w:t xml:space="preserve"> </w:t>
      </w:r>
      <w:r>
        <w:rPr>
          <w:color w:val="231F20"/>
        </w:rPr>
        <w:t>(College</w:t>
      </w:r>
      <w:r>
        <w:rPr>
          <w:color w:val="231F20"/>
          <w:spacing w:val="-7"/>
        </w:rPr>
        <w:t xml:space="preserve"> </w:t>
      </w:r>
      <w:r>
        <w:rPr>
          <w:color w:val="231F20"/>
        </w:rPr>
        <w:t>of</w:t>
      </w:r>
      <w:r>
        <w:rPr>
          <w:color w:val="231F20"/>
          <w:spacing w:val="-8"/>
        </w:rPr>
        <w:t xml:space="preserve"> </w:t>
      </w:r>
      <w:r>
        <w:rPr>
          <w:color w:val="231F20"/>
        </w:rPr>
        <w:t>Health</w:t>
      </w:r>
      <w:r>
        <w:rPr>
          <w:color w:val="231F20"/>
          <w:spacing w:val="-7"/>
        </w:rPr>
        <w:t xml:space="preserve"> </w:t>
      </w:r>
      <w:r>
        <w:rPr>
          <w:color w:val="231F20"/>
        </w:rPr>
        <w:t>Science</w:t>
      </w:r>
      <w:r>
        <w:rPr>
          <w:color w:val="231F20"/>
          <w:spacing w:val="-6"/>
        </w:rPr>
        <w:t xml:space="preserve"> </w:t>
      </w:r>
      <w:r>
        <w:rPr>
          <w:color w:val="231F20"/>
        </w:rPr>
        <w:t>&amp;</w:t>
      </w:r>
      <w:r>
        <w:rPr>
          <w:color w:val="231F20"/>
          <w:spacing w:val="-12"/>
        </w:rPr>
        <w:t xml:space="preserve"> </w:t>
      </w:r>
      <w:r>
        <w:rPr>
          <w:color w:val="231F20"/>
          <w:spacing w:val="-4"/>
        </w:rPr>
        <w:t>Technology,</w:t>
      </w:r>
      <w:r>
        <w:rPr>
          <w:color w:val="231F20"/>
          <w:spacing w:val="-8"/>
        </w:rPr>
        <w:t xml:space="preserve"> </w:t>
      </w:r>
      <w:r>
        <w:rPr>
          <w:color w:val="231F20"/>
        </w:rPr>
        <w:t>School</w:t>
      </w:r>
      <w:r>
        <w:rPr>
          <w:color w:val="231F20"/>
          <w:spacing w:val="-7"/>
        </w:rPr>
        <w:t xml:space="preserve"> </w:t>
      </w:r>
      <w:r>
        <w:rPr>
          <w:color w:val="231F20"/>
          <w:spacing w:val="-6"/>
        </w:rPr>
        <w:t xml:space="preserve">of </w:t>
      </w:r>
      <w:r>
        <w:rPr>
          <w:color w:val="231F20"/>
        </w:rPr>
        <w:t>Nursing,</w:t>
      </w:r>
      <w:r>
        <w:rPr>
          <w:color w:val="231F20"/>
          <w:spacing w:val="-19"/>
        </w:rPr>
        <w:t xml:space="preserve"> </w:t>
      </w:r>
      <w:r>
        <w:rPr>
          <w:color w:val="231F20"/>
        </w:rPr>
        <w:t>School</w:t>
      </w:r>
      <w:r>
        <w:rPr>
          <w:color w:val="231F20"/>
          <w:spacing w:val="-18"/>
        </w:rPr>
        <w:t xml:space="preserve"> </w:t>
      </w:r>
      <w:r>
        <w:rPr>
          <w:color w:val="231F20"/>
        </w:rPr>
        <w:t>of</w:t>
      </w:r>
      <w:r>
        <w:rPr>
          <w:color w:val="231F20"/>
          <w:spacing w:val="-18"/>
        </w:rPr>
        <w:t xml:space="preserve"> </w:t>
      </w:r>
      <w:r>
        <w:rPr>
          <w:color w:val="231F20"/>
        </w:rPr>
        <w:t>Midwifery</w:t>
      </w:r>
      <w:r>
        <w:rPr>
          <w:color w:val="231F20"/>
          <w:spacing w:val="-18"/>
        </w:rPr>
        <w:t xml:space="preserve"> </w:t>
      </w:r>
      <w:r>
        <w:rPr>
          <w:color w:val="231F20"/>
        </w:rPr>
        <w:t>&amp;</w:t>
      </w:r>
      <w:r>
        <w:rPr>
          <w:color w:val="231F20"/>
          <w:spacing w:val="-18"/>
        </w:rPr>
        <w:t xml:space="preserve"> </w:t>
      </w:r>
      <w:r>
        <w:rPr>
          <w:color w:val="231F20"/>
        </w:rPr>
        <w:t>School</w:t>
      </w:r>
      <w:r>
        <w:rPr>
          <w:color w:val="231F20"/>
          <w:spacing w:val="-18"/>
        </w:rPr>
        <w:t xml:space="preserve"> </w:t>
      </w:r>
      <w:r>
        <w:rPr>
          <w:color w:val="231F20"/>
        </w:rPr>
        <w:t>of</w:t>
      </w:r>
      <w:r>
        <w:rPr>
          <w:color w:val="231F20"/>
          <w:spacing w:val="-18"/>
        </w:rPr>
        <w:t xml:space="preserve"> </w:t>
      </w:r>
      <w:r>
        <w:rPr>
          <w:color w:val="231F20"/>
        </w:rPr>
        <w:t>Public</w:t>
      </w:r>
      <w:r>
        <w:rPr>
          <w:color w:val="231F20"/>
          <w:spacing w:val="-18"/>
        </w:rPr>
        <w:t xml:space="preserve"> </w:t>
      </w:r>
      <w:r>
        <w:rPr>
          <w:color w:val="231F20"/>
        </w:rPr>
        <w:t>Health)</w:t>
      </w:r>
      <w:r>
        <w:rPr>
          <w:color w:val="231F20"/>
          <w:spacing w:val="-19"/>
        </w:rPr>
        <w:t xml:space="preserve"> </w:t>
      </w:r>
      <w:r>
        <w:rPr>
          <w:color w:val="231F20"/>
        </w:rPr>
        <w:t>and</w:t>
      </w:r>
      <w:r>
        <w:rPr>
          <w:color w:val="231F20"/>
          <w:spacing w:val="-18"/>
        </w:rPr>
        <w:t xml:space="preserve"> </w:t>
      </w:r>
      <w:r>
        <w:rPr>
          <w:color w:val="231F20"/>
        </w:rPr>
        <w:t>establish</w:t>
      </w:r>
      <w:r>
        <w:rPr>
          <w:color w:val="231F20"/>
          <w:spacing w:val="-18"/>
        </w:rPr>
        <w:t xml:space="preserve"> </w:t>
      </w:r>
      <w:r>
        <w:rPr>
          <w:color w:val="231F20"/>
        </w:rPr>
        <w:t>a</w:t>
      </w:r>
      <w:r>
        <w:rPr>
          <w:color w:val="231F20"/>
          <w:spacing w:val="-18"/>
        </w:rPr>
        <w:t xml:space="preserve"> </w:t>
      </w:r>
      <w:r>
        <w:rPr>
          <w:color w:val="231F20"/>
        </w:rPr>
        <w:t>multi-sectoral</w:t>
      </w:r>
      <w:r>
        <w:rPr>
          <w:color w:val="231F20"/>
          <w:spacing w:val="-18"/>
        </w:rPr>
        <w:t xml:space="preserve"> </w:t>
      </w:r>
      <w:r>
        <w:rPr>
          <w:color w:val="231F20"/>
        </w:rPr>
        <w:t xml:space="preserve">coordinating body including Ministry of Health, Education, finance, NGOs, professional bodies such </w:t>
      </w:r>
      <w:r>
        <w:rPr>
          <w:color w:val="231F20"/>
          <w:spacing w:val="-6"/>
        </w:rPr>
        <w:t xml:space="preserve">as </w:t>
      </w:r>
      <w:r>
        <w:rPr>
          <w:color w:val="231F20"/>
        </w:rPr>
        <w:t>associations</w:t>
      </w:r>
      <w:r>
        <w:rPr>
          <w:color w:val="231F20"/>
          <w:spacing w:val="-25"/>
        </w:rPr>
        <w:t xml:space="preserve"> </w:t>
      </w:r>
      <w:r>
        <w:rPr>
          <w:color w:val="231F20"/>
        </w:rPr>
        <w:t>and</w:t>
      </w:r>
      <w:r>
        <w:rPr>
          <w:color w:val="231F20"/>
          <w:spacing w:val="-26"/>
        </w:rPr>
        <w:t xml:space="preserve"> </w:t>
      </w:r>
      <w:r>
        <w:rPr>
          <w:color w:val="231F20"/>
        </w:rPr>
        <w:t>licensing</w:t>
      </w:r>
      <w:r>
        <w:rPr>
          <w:color w:val="231F20"/>
          <w:spacing w:val="-25"/>
        </w:rPr>
        <w:t xml:space="preserve"> </w:t>
      </w:r>
      <w:r>
        <w:rPr>
          <w:color w:val="231F20"/>
        </w:rPr>
        <w:t>councils,</w:t>
      </w:r>
      <w:r>
        <w:rPr>
          <w:color w:val="231F20"/>
          <w:spacing w:val="-25"/>
        </w:rPr>
        <w:t xml:space="preserve"> </w:t>
      </w:r>
      <w:r>
        <w:rPr>
          <w:color w:val="231F20"/>
        </w:rPr>
        <w:t>training</w:t>
      </w:r>
    </w:p>
    <w:p w14:paraId="75BF6F49" w14:textId="77777777" w:rsidR="009948F1" w:rsidRDefault="009948F1">
      <w:pPr>
        <w:spacing w:line="261" w:lineRule="auto"/>
        <w:jc w:val="both"/>
        <w:sectPr w:rsidR="009948F1">
          <w:pgSz w:w="11910" w:h="16840"/>
          <w:pgMar w:top="1320" w:right="1080" w:bottom="1420" w:left="1120" w:header="0" w:footer="1235" w:gutter="0"/>
          <w:cols w:space="720"/>
        </w:sectPr>
      </w:pPr>
    </w:p>
    <w:p w14:paraId="4C1D3F60" w14:textId="77777777" w:rsidR="009948F1" w:rsidRDefault="00BC0563">
      <w:pPr>
        <w:pStyle w:val="BodyText"/>
        <w:spacing w:before="51" w:line="268" w:lineRule="auto"/>
        <w:ind w:left="138" w:right="168"/>
        <w:jc w:val="both"/>
      </w:pPr>
      <w:bookmarkStart w:id="91" w:name="Page_77"/>
      <w:bookmarkEnd w:id="91"/>
      <w:r>
        <w:rPr>
          <w:color w:val="231F20"/>
        </w:rPr>
        <w:lastRenderedPageBreak/>
        <w:t>institutions,</w:t>
      </w:r>
      <w:r>
        <w:rPr>
          <w:color w:val="231F20"/>
          <w:spacing w:val="-20"/>
        </w:rPr>
        <w:t xml:space="preserve"> </w:t>
      </w:r>
      <w:r>
        <w:rPr>
          <w:color w:val="231F20"/>
        </w:rPr>
        <w:t>universities,</w:t>
      </w:r>
      <w:r>
        <w:rPr>
          <w:color w:val="231F20"/>
          <w:spacing w:val="-19"/>
        </w:rPr>
        <w:t xml:space="preserve"> </w:t>
      </w:r>
      <w:r>
        <w:rPr>
          <w:color w:val="231F20"/>
        </w:rPr>
        <w:t>etc.</w:t>
      </w:r>
      <w:r>
        <w:rPr>
          <w:color w:val="231F20"/>
          <w:spacing w:val="-19"/>
        </w:rPr>
        <w:t xml:space="preserve"> </w:t>
      </w:r>
      <w:r>
        <w:rPr>
          <w:color w:val="231F20"/>
        </w:rPr>
        <w:t>to</w:t>
      </w:r>
      <w:r>
        <w:rPr>
          <w:color w:val="231F20"/>
          <w:spacing w:val="-19"/>
        </w:rPr>
        <w:t xml:space="preserve"> </w:t>
      </w:r>
      <w:r>
        <w:rPr>
          <w:color w:val="231F20"/>
        </w:rPr>
        <w:t>coordinate</w:t>
      </w:r>
      <w:r>
        <w:rPr>
          <w:color w:val="231F20"/>
          <w:spacing w:val="-19"/>
        </w:rPr>
        <w:t xml:space="preserve"> </w:t>
      </w:r>
      <w:r>
        <w:rPr>
          <w:color w:val="231F20"/>
        </w:rPr>
        <w:t>human</w:t>
      </w:r>
      <w:r>
        <w:rPr>
          <w:color w:val="231F20"/>
          <w:spacing w:val="-19"/>
        </w:rPr>
        <w:t xml:space="preserve"> </w:t>
      </w:r>
      <w:r>
        <w:rPr>
          <w:color w:val="231F20"/>
        </w:rPr>
        <w:t>resource</w:t>
      </w:r>
      <w:r>
        <w:rPr>
          <w:color w:val="231F20"/>
          <w:spacing w:val="-19"/>
        </w:rPr>
        <w:t xml:space="preserve"> </w:t>
      </w:r>
      <w:r>
        <w:rPr>
          <w:color w:val="231F20"/>
        </w:rPr>
        <w:t>activities</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state;</w:t>
      </w:r>
      <w:r>
        <w:rPr>
          <w:color w:val="231F20"/>
          <w:spacing w:val="-19"/>
        </w:rPr>
        <w:t xml:space="preserve"> </w:t>
      </w:r>
      <w:r>
        <w:rPr>
          <w:color w:val="231F20"/>
        </w:rPr>
        <w:t>Operating</w:t>
      </w:r>
      <w:r>
        <w:rPr>
          <w:color w:val="231F20"/>
          <w:spacing w:val="-19"/>
        </w:rPr>
        <w:t xml:space="preserve"> </w:t>
      </w:r>
      <w:r>
        <w:rPr>
          <w:color w:val="231F20"/>
        </w:rPr>
        <w:t>cost</w:t>
      </w:r>
      <w:r>
        <w:rPr>
          <w:color w:val="231F20"/>
          <w:spacing w:val="-19"/>
        </w:rPr>
        <w:t xml:space="preserve"> </w:t>
      </w:r>
      <w:r>
        <w:rPr>
          <w:color w:val="231F20"/>
        </w:rPr>
        <w:t xml:space="preserve">for engaging and supervising the contractor to equip the practical demonstration rooms of School </w:t>
      </w:r>
      <w:r>
        <w:rPr>
          <w:color w:val="231F20"/>
          <w:spacing w:val="-7"/>
        </w:rPr>
        <w:t xml:space="preserve">of </w:t>
      </w:r>
      <w:r>
        <w:rPr>
          <w:color w:val="231F20"/>
        </w:rPr>
        <w:t>Midwifery</w:t>
      </w:r>
      <w:r>
        <w:rPr>
          <w:color w:val="231F20"/>
          <w:spacing w:val="-21"/>
        </w:rPr>
        <w:t xml:space="preserve"> </w:t>
      </w:r>
      <w:r>
        <w:rPr>
          <w:color w:val="231F20"/>
        </w:rPr>
        <w:t>and</w:t>
      </w:r>
      <w:r>
        <w:rPr>
          <w:color w:val="231F20"/>
          <w:spacing w:val="-20"/>
        </w:rPr>
        <w:t xml:space="preserve"> </w:t>
      </w:r>
      <w:r>
        <w:rPr>
          <w:color w:val="231F20"/>
        </w:rPr>
        <w:t>School</w:t>
      </w:r>
      <w:r>
        <w:rPr>
          <w:color w:val="231F20"/>
          <w:spacing w:val="-20"/>
        </w:rPr>
        <w:t xml:space="preserve"> </w:t>
      </w:r>
      <w:r>
        <w:rPr>
          <w:color w:val="231F20"/>
        </w:rPr>
        <w:t>of</w:t>
      </w:r>
      <w:r>
        <w:rPr>
          <w:color w:val="231F20"/>
          <w:spacing w:val="-20"/>
        </w:rPr>
        <w:t xml:space="preserve"> </w:t>
      </w:r>
      <w:r>
        <w:rPr>
          <w:color w:val="231F20"/>
        </w:rPr>
        <w:t>Public</w:t>
      </w:r>
      <w:r>
        <w:rPr>
          <w:color w:val="231F20"/>
          <w:spacing w:val="-20"/>
        </w:rPr>
        <w:t xml:space="preserve"> </w:t>
      </w:r>
      <w:r>
        <w:rPr>
          <w:color w:val="231F20"/>
        </w:rPr>
        <w:t>Health;</w:t>
      </w:r>
      <w:r>
        <w:rPr>
          <w:color w:val="231F20"/>
          <w:spacing w:val="-20"/>
        </w:rPr>
        <w:t xml:space="preserve"> </w:t>
      </w:r>
      <w:r>
        <w:rPr>
          <w:color w:val="231F20"/>
        </w:rPr>
        <w:t>Operating</w:t>
      </w:r>
      <w:r>
        <w:rPr>
          <w:color w:val="231F20"/>
          <w:spacing w:val="-20"/>
        </w:rPr>
        <w:t xml:space="preserve"> </w:t>
      </w:r>
      <w:r>
        <w:rPr>
          <w:color w:val="231F20"/>
        </w:rPr>
        <w:t>costs</w:t>
      </w:r>
      <w:r>
        <w:rPr>
          <w:color w:val="231F20"/>
          <w:spacing w:val="-20"/>
        </w:rPr>
        <w:t xml:space="preserve"> </w:t>
      </w:r>
      <w:r>
        <w:rPr>
          <w:color w:val="231F20"/>
        </w:rPr>
        <w:t>for</w:t>
      </w:r>
      <w:r>
        <w:rPr>
          <w:color w:val="231F20"/>
          <w:spacing w:val="-20"/>
        </w:rPr>
        <w:t xml:space="preserve"> </w:t>
      </w:r>
      <w:r>
        <w:rPr>
          <w:color w:val="231F20"/>
        </w:rPr>
        <w:t>engaging</w:t>
      </w:r>
      <w:r>
        <w:rPr>
          <w:color w:val="231F20"/>
          <w:spacing w:val="-21"/>
        </w:rPr>
        <w:t xml:space="preserve"> </w:t>
      </w:r>
      <w:r>
        <w:rPr>
          <w:color w:val="231F20"/>
        </w:rPr>
        <w:t>and</w:t>
      </w:r>
      <w:r>
        <w:rPr>
          <w:color w:val="231F20"/>
          <w:spacing w:val="-20"/>
        </w:rPr>
        <w:t xml:space="preserve"> </w:t>
      </w:r>
      <w:r>
        <w:rPr>
          <w:color w:val="231F20"/>
        </w:rPr>
        <w:t>supervising</w:t>
      </w:r>
      <w:r>
        <w:rPr>
          <w:color w:val="231F20"/>
          <w:spacing w:val="-20"/>
        </w:rPr>
        <w:t xml:space="preserve"> </w:t>
      </w:r>
      <w:r>
        <w:rPr>
          <w:color w:val="231F20"/>
        </w:rPr>
        <w:t>the</w:t>
      </w:r>
      <w:r>
        <w:rPr>
          <w:color w:val="231F20"/>
          <w:spacing w:val="-20"/>
        </w:rPr>
        <w:t xml:space="preserve"> </w:t>
      </w:r>
      <w:r>
        <w:rPr>
          <w:color w:val="231F20"/>
        </w:rPr>
        <w:t>contractor to</w:t>
      </w:r>
      <w:r>
        <w:rPr>
          <w:color w:val="231F20"/>
          <w:spacing w:val="-21"/>
        </w:rPr>
        <w:t xml:space="preserve"> </w:t>
      </w:r>
      <w:r>
        <w:rPr>
          <w:color w:val="231F20"/>
        </w:rPr>
        <w:t>renovate</w:t>
      </w:r>
      <w:r>
        <w:rPr>
          <w:color w:val="231F20"/>
          <w:spacing w:val="-19"/>
        </w:rPr>
        <w:t xml:space="preserve"> </w:t>
      </w:r>
      <w:r>
        <w:rPr>
          <w:color w:val="231F20"/>
        </w:rPr>
        <w:t>School</w:t>
      </w:r>
      <w:r>
        <w:rPr>
          <w:color w:val="231F20"/>
          <w:spacing w:val="-19"/>
        </w:rPr>
        <w:t xml:space="preserve"> </w:t>
      </w:r>
      <w:r>
        <w:rPr>
          <w:color w:val="231F20"/>
        </w:rPr>
        <w:t>of</w:t>
      </w:r>
      <w:r>
        <w:rPr>
          <w:color w:val="231F20"/>
          <w:spacing w:val="-20"/>
        </w:rPr>
        <w:t xml:space="preserve"> </w:t>
      </w:r>
      <w:r>
        <w:rPr>
          <w:color w:val="231F20"/>
        </w:rPr>
        <w:t>Nursing</w:t>
      </w:r>
      <w:r>
        <w:rPr>
          <w:color w:val="231F20"/>
          <w:spacing w:val="-20"/>
        </w:rPr>
        <w:t xml:space="preserve"> </w:t>
      </w:r>
      <w:r>
        <w:rPr>
          <w:color w:val="231F20"/>
        </w:rPr>
        <w:t>classroom;</w:t>
      </w:r>
      <w:r>
        <w:rPr>
          <w:color w:val="231F20"/>
          <w:spacing w:val="-19"/>
        </w:rPr>
        <w:t xml:space="preserve"> </w:t>
      </w:r>
      <w:r>
        <w:rPr>
          <w:color w:val="231F20"/>
        </w:rPr>
        <w:t>Conduct</w:t>
      </w:r>
      <w:r>
        <w:rPr>
          <w:color w:val="231F20"/>
          <w:spacing w:val="-19"/>
        </w:rPr>
        <w:t xml:space="preserve"> </w:t>
      </w:r>
      <w:r>
        <w:rPr>
          <w:color w:val="231F20"/>
        </w:rPr>
        <w:t>workshops</w:t>
      </w:r>
      <w:r>
        <w:rPr>
          <w:color w:val="231F20"/>
          <w:spacing w:val="-19"/>
        </w:rPr>
        <w:t xml:space="preserve"> </w:t>
      </w:r>
      <w:r>
        <w:rPr>
          <w:color w:val="231F20"/>
        </w:rPr>
        <w:t>on</w:t>
      </w:r>
      <w:r>
        <w:rPr>
          <w:color w:val="231F20"/>
          <w:spacing w:val="-20"/>
        </w:rPr>
        <w:t xml:space="preserve"> </w:t>
      </w:r>
      <w:r>
        <w:rPr>
          <w:color w:val="231F20"/>
        </w:rPr>
        <w:t>staff</w:t>
      </w:r>
      <w:r>
        <w:rPr>
          <w:color w:val="231F20"/>
          <w:spacing w:val="-21"/>
        </w:rPr>
        <w:t xml:space="preserve"> </w:t>
      </w:r>
      <w:r>
        <w:rPr>
          <w:color w:val="231F20"/>
        </w:rPr>
        <w:t>training</w:t>
      </w:r>
      <w:r>
        <w:rPr>
          <w:color w:val="231F20"/>
          <w:spacing w:val="-19"/>
        </w:rPr>
        <w:t xml:space="preserve"> </w:t>
      </w:r>
      <w:r>
        <w:rPr>
          <w:color w:val="231F20"/>
        </w:rPr>
        <w:t>and</w:t>
      </w:r>
      <w:r>
        <w:rPr>
          <w:color w:val="231F20"/>
          <w:spacing w:val="-19"/>
        </w:rPr>
        <w:t xml:space="preserve"> </w:t>
      </w:r>
      <w:r>
        <w:rPr>
          <w:color w:val="231F20"/>
        </w:rPr>
        <w:t>development</w:t>
      </w:r>
      <w:r>
        <w:rPr>
          <w:color w:val="231F20"/>
          <w:spacing w:val="-19"/>
        </w:rPr>
        <w:t xml:space="preserve"> </w:t>
      </w:r>
      <w:r>
        <w:rPr>
          <w:color w:val="231F20"/>
          <w:spacing w:val="-5"/>
        </w:rPr>
        <w:t xml:space="preserve">for </w:t>
      </w:r>
      <w:r>
        <w:rPr>
          <w:color w:val="231F20"/>
        </w:rPr>
        <w:t>academic staff, Senior Non Academic staff and Junior Non Academic staff for College of Health Science</w:t>
      </w:r>
      <w:r>
        <w:rPr>
          <w:color w:val="231F20"/>
          <w:spacing w:val="-25"/>
        </w:rPr>
        <w:t xml:space="preserve"> </w:t>
      </w:r>
      <w:r>
        <w:rPr>
          <w:color w:val="231F20"/>
        </w:rPr>
        <w:t>&amp;</w:t>
      </w:r>
      <w:r>
        <w:rPr>
          <w:color w:val="231F20"/>
          <w:spacing w:val="-29"/>
        </w:rPr>
        <w:t xml:space="preserve"> </w:t>
      </w:r>
      <w:r>
        <w:rPr>
          <w:color w:val="231F20"/>
          <w:spacing w:val="-4"/>
        </w:rPr>
        <w:t>Technology.</w:t>
      </w:r>
    </w:p>
    <w:p w14:paraId="19152975" w14:textId="77777777" w:rsidR="009948F1" w:rsidRDefault="009948F1">
      <w:pPr>
        <w:pStyle w:val="BodyText"/>
        <w:spacing w:before="8"/>
        <w:rPr>
          <w:sz w:val="29"/>
        </w:rPr>
      </w:pPr>
    </w:p>
    <w:p w14:paraId="5BE43057" w14:textId="77777777" w:rsidR="009948F1" w:rsidRDefault="00BC0563">
      <w:pPr>
        <w:pStyle w:val="ListParagraph"/>
        <w:numPr>
          <w:ilvl w:val="3"/>
          <w:numId w:val="271"/>
        </w:numPr>
        <w:tabs>
          <w:tab w:val="left" w:pos="895"/>
        </w:tabs>
        <w:spacing w:line="295" w:lineRule="auto"/>
        <w:ind w:left="138" w:right="168" w:firstLine="0"/>
      </w:pPr>
      <w:r>
        <w:rPr>
          <w:color w:val="231F20"/>
        </w:rPr>
        <w:t>Strengthen coordination of public, private, regulatory, Health workforce association and development partners at all levels. Key activities are; - Update a state comprehensive HRH database.</w:t>
      </w:r>
    </w:p>
    <w:p w14:paraId="5C1F5458" w14:textId="77777777" w:rsidR="009948F1" w:rsidRDefault="009948F1">
      <w:pPr>
        <w:pStyle w:val="BodyText"/>
        <w:spacing w:before="8"/>
        <w:rPr>
          <w:sz w:val="26"/>
        </w:rPr>
      </w:pPr>
    </w:p>
    <w:p w14:paraId="38F38C89" w14:textId="77777777" w:rsidR="009948F1" w:rsidRDefault="00BC0563">
      <w:pPr>
        <w:pStyle w:val="ListParagraph"/>
        <w:numPr>
          <w:ilvl w:val="3"/>
          <w:numId w:val="271"/>
        </w:numPr>
        <w:tabs>
          <w:tab w:val="left" w:pos="983"/>
        </w:tabs>
        <w:ind w:left="982" w:hanging="845"/>
      </w:pPr>
      <w:r>
        <w:rPr>
          <w:color w:val="231F20"/>
        </w:rPr>
        <w:t>Enhance</w:t>
      </w:r>
      <w:r>
        <w:rPr>
          <w:color w:val="231F20"/>
          <w:spacing w:val="-22"/>
        </w:rPr>
        <w:t xml:space="preserve"> </w:t>
      </w:r>
      <w:r>
        <w:rPr>
          <w:color w:val="231F20"/>
        </w:rPr>
        <w:t>funding</w:t>
      </w:r>
      <w:r>
        <w:rPr>
          <w:color w:val="231F20"/>
          <w:spacing w:val="-21"/>
        </w:rPr>
        <w:t xml:space="preserve"> </w:t>
      </w:r>
      <w:r>
        <w:rPr>
          <w:color w:val="231F20"/>
        </w:rPr>
        <w:t>for</w:t>
      </w:r>
      <w:r>
        <w:rPr>
          <w:color w:val="231F20"/>
          <w:spacing w:val="-21"/>
        </w:rPr>
        <w:t xml:space="preserve"> </w:t>
      </w:r>
      <w:r>
        <w:rPr>
          <w:color w:val="231F20"/>
        </w:rPr>
        <w:t>HRH</w:t>
      </w:r>
      <w:r>
        <w:rPr>
          <w:color w:val="231F20"/>
          <w:spacing w:val="-21"/>
        </w:rPr>
        <w:t xml:space="preserve"> </w:t>
      </w:r>
      <w:r>
        <w:rPr>
          <w:color w:val="231F20"/>
        </w:rPr>
        <w:t>development</w:t>
      </w:r>
      <w:r>
        <w:rPr>
          <w:color w:val="231F20"/>
          <w:spacing w:val="-21"/>
        </w:rPr>
        <w:t xml:space="preserve"> </w:t>
      </w:r>
      <w:r>
        <w:rPr>
          <w:color w:val="231F20"/>
        </w:rPr>
        <w:t>for</w:t>
      </w:r>
      <w:r>
        <w:rPr>
          <w:color w:val="231F20"/>
          <w:spacing w:val="-21"/>
        </w:rPr>
        <w:t xml:space="preserve"> </w:t>
      </w:r>
      <w:r>
        <w:rPr>
          <w:color w:val="231F20"/>
        </w:rPr>
        <w:t>the</w:t>
      </w:r>
      <w:r>
        <w:rPr>
          <w:color w:val="231F20"/>
          <w:spacing w:val="-21"/>
        </w:rPr>
        <w:t xml:space="preserve"> </w:t>
      </w:r>
      <w:r>
        <w:rPr>
          <w:color w:val="231F20"/>
        </w:rPr>
        <w:t>current</w:t>
      </w:r>
      <w:r>
        <w:rPr>
          <w:color w:val="231F20"/>
          <w:spacing w:val="-21"/>
        </w:rPr>
        <w:t xml:space="preserve"> </w:t>
      </w:r>
      <w:r>
        <w:rPr>
          <w:color w:val="231F20"/>
        </w:rPr>
        <w:t>and</w:t>
      </w:r>
      <w:r>
        <w:rPr>
          <w:color w:val="231F20"/>
          <w:spacing w:val="-21"/>
        </w:rPr>
        <w:t xml:space="preserve"> </w:t>
      </w:r>
      <w:r>
        <w:rPr>
          <w:color w:val="231F20"/>
        </w:rPr>
        <w:t>future</w:t>
      </w:r>
      <w:r>
        <w:rPr>
          <w:color w:val="231F20"/>
          <w:spacing w:val="-21"/>
        </w:rPr>
        <w:t xml:space="preserve"> </w:t>
      </w:r>
      <w:r>
        <w:rPr>
          <w:color w:val="231F20"/>
        </w:rPr>
        <w:t>needs.</w:t>
      </w:r>
      <w:r>
        <w:rPr>
          <w:color w:val="231F20"/>
          <w:spacing w:val="-21"/>
        </w:rPr>
        <w:t xml:space="preserve"> </w:t>
      </w:r>
      <w:r>
        <w:rPr>
          <w:color w:val="231F20"/>
        </w:rPr>
        <w:t>Key</w:t>
      </w:r>
      <w:r>
        <w:rPr>
          <w:color w:val="231F20"/>
          <w:spacing w:val="-21"/>
        </w:rPr>
        <w:t xml:space="preserve"> </w:t>
      </w:r>
      <w:r>
        <w:rPr>
          <w:color w:val="231F20"/>
        </w:rPr>
        <w:t>activities</w:t>
      </w:r>
      <w:r>
        <w:rPr>
          <w:color w:val="231F20"/>
          <w:spacing w:val="-21"/>
        </w:rPr>
        <w:t xml:space="preserve"> </w:t>
      </w:r>
      <w:r>
        <w:rPr>
          <w:color w:val="231F20"/>
        </w:rPr>
        <w:t>are;</w:t>
      </w:r>
    </w:p>
    <w:p w14:paraId="72633211" w14:textId="77777777" w:rsidR="009948F1" w:rsidRDefault="00BC0563">
      <w:pPr>
        <w:pStyle w:val="BodyText"/>
        <w:spacing w:before="58" w:line="295" w:lineRule="auto"/>
        <w:ind w:left="138" w:right="168"/>
        <w:jc w:val="both"/>
      </w:pPr>
      <w:r>
        <w:rPr>
          <w:color w:val="231F20"/>
        </w:rPr>
        <w:t>- Advocacy for allocation a minimum of 15% of the health budget to development of human resources.</w:t>
      </w:r>
      <w:r>
        <w:rPr>
          <w:color w:val="231F20"/>
          <w:spacing w:val="-24"/>
        </w:rPr>
        <w:t xml:space="preserve"> </w:t>
      </w:r>
      <w:r>
        <w:rPr>
          <w:color w:val="231F20"/>
        </w:rPr>
        <w:t>(NHP</w:t>
      </w:r>
      <w:r>
        <w:rPr>
          <w:color w:val="231F20"/>
          <w:spacing w:val="-27"/>
        </w:rPr>
        <w:t xml:space="preserve"> </w:t>
      </w:r>
      <w:r>
        <w:rPr>
          <w:color w:val="231F20"/>
        </w:rPr>
        <w:t>2004);</w:t>
      </w:r>
      <w:r>
        <w:rPr>
          <w:color w:val="231F20"/>
          <w:spacing w:val="-35"/>
        </w:rPr>
        <w:t xml:space="preserve"> </w:t>
      </w:r>
      <w:r>
        <w:rPr>
          <w:color w:val="231F20"/>
        </w:rPr>
        <w:t>Advocate</w:t>
      </w:r>
      <w:r>
        <w:rPr>
          <w:color w:val="231F20"/>
          <w:spacing w:val="-23"/>
        </w:rPr>
        <w:t xml:space="preserve"> </w:t>
      </w:r>
      <w:r>
        <w:rPr>
          <w:color w:val="231F20"/>
        </w:rPr>
        <w:t>to</w:t>
      </w:r>
      <w:r>
        <w:rPr>
          <w:color w:val="231F20"/>
          <w:spacing w:val="-23"/>
        </w:rPr>
        <w:t xml:space="preserve"> </w:t>
      </w:r>
      <w:r>
        <w:rPr>
          <w:color w:val="231F20"/>
        </w:rPr>
        <w:t>private</w:t>
      </w:r>
      <w:r>
        <w:rPr>
          <w:color w:val="231F20"/>
          <w:spacing w:val="-23"/>
        </w:rPr>
        <w:t xml:space="preserve"> </w:t>
      </w:r>
      <w:r>
        <w:rPr>
          <w:color w:val="231F20"/>
        </w:rPr>
        <w:t>sector</w:t>
      </w:r>
      <w:r>
        <w:rPr>
          <w:color w:val="231F20"/>
          <w:spacing w:val="-23"/>
        </w:rPr>
        <w:t xml:space="preserve"> </w:t>
      </w:r>
      <w:r>
        <w:rPr>
          <w:color w:val="231F20"/>
        </w:rPr>
        <w:t>for</w:t>
      </w:r>
      <w:r>
        <w:rPr>
          <w:color w:val="231F20"/>
          <w:spacing w:val="-23"/>
        </w:rPr>
        <w:t xml:space="preserve"> </w:t>
      </w:r>
      <w:r>
        <w:rPr>
          <w:color w:val="231F20"/>
        </w:rPr>
        <w:t>adequate</w:t>
      </w:r>
      <w:r>
        <w:rPr>
          <w:color w:val="231F20"/>
          <w:spacing w:val="-23"/>
        </w:rPr>
        <w:t xml:space="preserve"> </w:t>
      </w:r>
      <w:r>
        <w:rPr>
          <w:color w:val="231F20"/>
        </w:rPr>
        <w:t>funding</w:t>
      </w:r>
      <w:r>
        <w:rPr>
          <w:color w:val="231F20"/>
          <w:spacing w:val="-23"/>
        </w:rPr>
        <w:t xml:space="preserve"> </w:t>
      </w:r>
      <w:r>
        <w:rPr>
          <w:color w:val="231F20"/>
        </w:rPr>
        <w:t>for</w:t>
      </w:r>
      <w:r>
        <w:rPr>
          <w:color w:val="231F20"/>
          <w:spacing w:val="-23"/>
        </w:rPr>
        <w:t xml:space="preserve"> </w:t>
      </w:r>
      <w:r>
        <w:rPr>
          <w:color w:val="231F20"/>
        </w:rPr>
        <w:t>HRH</w:t>
      </w:r>
      <w:r>
        <w:rPr>
          <w:color w:val="231F20"/>
          <w:spacing w:val="-24"/>
        </w:rPr>
        <w:t xml:space="preserve"> </w:t>
      </w:r>
      <w:r>
        <w:rPr>
          <w:color w:val="231F20"/>
        </w:rPr>
        <w:t>using</w:t>
      </w:r>
      <w:r>
        <w:rPr>
          <w:color w:val="231F20"/>
          <w:spacing w:val="-23"/>
        </w:rPr>
        <w:t xml:space="preserve"> </w:t>
      </w:r>
      <w:r>
        <w:rPr>
          <w:color w:val="231F20"/>
        </w:rPr>
        <w:t>HRH</w:t>
      </w:r>
      <w:r>
        <w:rPr>
          <w:color w:val="231F20"/>
          <w:spacing w:val="-23"/>
        </w:rPr>
        <w:t xml:space="preserve"> </w:t>
      </w:r>
      <w:r>
        <w:rPr>
          <w:color w:val="231F20"/>
        </w:rPr>
        <w:t>plan</w:t>
      </w:r>
      <w:r>
        <w:rPr>
          <w:color w:val="231F20"/>
          <w:spacing w:val="-23"/>
        </w:rPr>
        <w:t xml:space="preserve"> </w:t>
      </w:r>
      <w:r>
        <w:rPr>
          <w:color w:val="231F20"/>
        </w:rPr>
        <w:t>as an advocacy tool; Conduct resource mobilization activities for HRH, including craftsmanship, proposal</w:t>
      </w:r>
      <w:r>
        <w:rPr>
          <w:color w:val="231F20"/>
          <w:spacing w:val="-25"/>
        </w:rPr>
        <w:t xml:space="preserve"> </w:t>
      </w:r>
      <w:r>
        <w:rPr>
          <w:color w:val="231F20"/>
        </w:rPr>
        <w:t>development,</w:t>
      </w:r>
      <w:r>
        <w:rPr>
          <w:color w:val="231F20"/>
          <w:spacing w:val="-26"/>
        </w:rPr>
        <w:t xml:space="preserve"> </w:t>
      </w:r>
      <w:r>
        <w:rPr>
          <w:color w:val="231F20"/>
        </w:rPr>
        <w:t>fund</w:t>
      </w:r>
      <w:r>
        <w:rPr>
          <w:color w:val="231F20"/>
          <w:spacing w:val="-25"/>
        </w:rPr>
        <w:t xml:space="preserve"> </w:t>
      </w:r>
      <w:r>
        <w:rPr>
          <w:color w:val="231F20"/>
        </w:rPr>
        <w:t>raising</w:t>
      </w:r>
      <w:r>
        <w:rPr>
          <w:color w:val="231F20"/>
          <w:spacing w:val="-25"/>
        </w:rPr>
        <w:t xml:space="preserve"> </w:t>
      </w:r>
      <w:r>
        <w:rPr>
          <w:color w:val="231F20"/>
        </w:rPr>
        <w:t>activities</w:t>
      </w:r>
      <w:r>
        <w:rPr>
          <w:color w:val="231F20"/>
          <w:spacing w:val="-25"/>
        </w:rPr>
        <w:t xml:space="preserve"> </w:t>
      </w:r>
      <w:r>
        <w:rPr>
          <w:color w:val="231F20"/>
        </w:rPr>
        <w:t>etc.</w:t>
      </w:r>
    </w:p>
    <w:p w14:paraId="6284AF42" w14:textId="77777777" w:rsidR="009948F1" w:rsidRDefault="009948F1">
      <w:pPr>
        <w:pStyle w:val="BodyText"/>
      </w:pPr>
    </w:p>
    <w:p w14:paraId="17446533" w14:textId="77777777" w:rsidR="009948F1" w:rsidRDefault="009948F1">
      <w:pPr>
        <w:pStyle w:val="BodyText"/>
        <w:spacing w:before="4"/>
        <w:rPr>
          <w:sz w:val="18"/>
        </w:rPr>
      </w:pPr>
    </w:p>
    <w:p w14:paraId="35EB106C" w14:textId="77777777" w:rsidR="009948F1" w:rsidRDefault="00BC0563">
      <w:pPr>
        <w:pStyle w:val="Heading7"/>
        <w:numPr>
          <w:ilvl w:val="2"/>
          <w:numId w:val="271"/>
        </w:numPr>
        <w:tabs>
          <w:tab w:val="left" w:pos="884"/>
        </w:tabs>
        <w:spacing w:line="290" w:lineRule="auto"/>
        <w:ind w:left="320" w:right="1170" w:firstLine="0"/>
        <w:jc w:val="left"/>
        <w:rPr>
          <w:color w:val="231F20"/>
        </w:rPr>
      </w:pPr>
      <w:r>
        <w:rPr>
          <w:color w:val="231F20"/>
        </w:rPr>
        <w:t xml:space="preserve">Ensure the production of adequate numbers of qualified health workers </w:t>
      </w:r>
      <w:r>
        <w:rPr>
          <w:color w:val="231F20"/>
          <w:spacing w:val="-3"/>
        </w:rPr>
        <w:t>Target:</w:t>
      </w:r>
    </w:p>
    <w:tbl>
      <w:tblPr>
        <w:tblW w:w="0" w:type="auto"/>
        <w:tblInd w:w="2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40"/>
        <w:gridCol w:w="1241"/>
        <w:gridCol w:w="759"/>
        <w:gridCol w:w="759"/>
        <w:gridCol w:w="757"/>
        <w:gridCol w:w="759"/>
        <w:gridCol w:w="886"/>
        <w:gridCol w:w="945"/>
      </w:tblGrid>
      <w:tr w:rsidR="009948F1" w14:paraId="4D51B582" w14:textId="77777777">
        <w:trPr>
          <w:trHeight w:val="210"/>
        </w:trPr>
        <w:tc>
          <w:tcPr>
            <w:tcW w:w="3140" w:type="dxa"/>
            <w:shd w:val="clear" w:color="auto" w:fill="F4CEB2"/>
          </w:tcPr>
          <w:p w14:paraId="15E1D03C" w14:textId="77777777" w:rsidR="009948F1" w:rsidRDefault="00BC0563">
            <w:pPr>
              <w:pStyle w:val="TableParagraph"/>
              <w:spacing w:line="190" w:lineRule="exact"/>
              <w:ind w:left="110"/>
              <w:rPr>
                <w:sz w:val="18"/>
              </w:rPr>
            </w:pPr>
            <w:r>
              <w:rPr>
                <w:color w:val="231F20"/>
                <w:sz w:val="18"/>
              </w:rPr>
              <w:t>Targets</w:t>
            </w:r>
          </w:p>
        </w:tc>
        <w:tc>
          <w:tcPr>
            <w:tcW w:w="1241" w:type="dxa"/>
            <w:shd w:val="clear" w:color="auto" w:fill="F4CEB2"/>
          </w:tcPr>
          <w:p w14:paraId="12FE4ED6" w14:textId="77777777" w:rsidR="009948F1" w:rsidRDefault="00BC0563">
            <w:pPr>
              <w:pStyle w:val="TableParagraph"/>
              <w:spacing w:line="190" w:lineRule="exact"/>
              <w:ind w:left="107"/>
              <w:rPr>
                <w:sz w:val="18"/>
              </w:rPr>
            </w:pPr>
            <w:r>
              <w:rPr>
                <w:color w:val="231F20"/>
                <w:sz w:val="18"/>
              </w:rPr>
              <w:t>Baseline</w:t>
            </w:r>
          </w:p>
        </w:tc>
        <w:tc>
          <w:tcPr>
            <w:tcW w:w="759" w:type="dxa"/>
            <w:shd w:val="clear" w:color="auto" w:fill="F4CEB2"/>
          </w:tcPr>
          <w:p w14:paraId="412334B2" w14:textId="77777777" w:rsidR="009948F1" w:rsidRDefault="00BC0563">
            <w:pPr>
              <w:pStyle w:val="TableParagraph"/>
              <w:spacing w:line="190" w:lineRule="exact"/>
              <w:ind w:left="110"/>
              <w:rPr>
                <w:b/>
                <w:sz w:val="18"/>
              </w:rPr>
            </w:pPr>
            <w:r>
              <w:rPr>
                <w:b/>
                <w:color w:val="231F20"/>
                <w:sz w:val="18"/>
              </w:rPr>
              <w:t>2018</w:t>
            </w:r>
          </w:p>
        </w:tc>
        <w:tc>
          <w:tcPr>
            <w:tcW w:w="759" w:type="dxa"/>
            <w:shd w:val="clear" w:color="auto" w:fill="F4CEB2"/>
          </w:tcPr>
          <w:p w14:paraId="7EA9590B" w14:textId="77777777" w:rsidR="009948F1" w:rsidRDefault="00BC0563">
            <w:pPr>
              <w:pStyle w:val="TableParagraph"/>
              <w:spacing w:line="190" w:lineRule="exact"/>
              <w:ind w:left="110"/>
              <w:rPr>
                <w:b/>
                <w:sz w:val="18"/>
              </w:rPr>
            </w:pPr>
            <w:r>
              <w:rPr>
                <w:b/>
                <w:color w:val="231F20"/>
                <w:sz w:val="18"/>
              </w:rPr>
              <w:t>2019</w:t>
            </w:r>
          </w:p>
        </w:tc>
        <w:tc>
          <w:tcPr>
            <w:tcW w:w="757" w:type="dxa"/>
            <w:shd w:val="clear" w:color="auto" w:fill="F4CEB2"/>
          </w:tcPr>
          <w:p w14:paraId="41C9E6AB" w14:textId="77777777" w:rsidR="009948F1" w:rsidRDefault="00BC0563">
            <w:pPr>
              <w:pStyle w:val="TableParagraph"/>
              <w:spacing w:line="190" w:lineRule="exact"/>
              <w:ind w:left="109"/>
              <w:rPr>
                <w:b/>
                <w:sz w:val="18"/>
              </w:rPr>
            </w:pPr>
            <w:r>
              <w:rPr>
                <w:b/>
                <w:color w:val="231F20"/>
                <w:sz w:val="18"/>
              </w:rPr>
              <w:t>2020</w:t>
            </w:r>
          </w:p>
        </w:tc>
        <w:tc>
          <w:tcPr>
            <w:tcW w:w="759" w:type="dxa"/>
            <w:shd w:val="clear" w:color="auto" w:fill="F4CEB2"/>
          </w:tcPr>
          <w:p w14:paraId="79A308B5" w14:textId="77777777" w:rsidR="009948F1" w:rsidRDefault="00BC0563">
            <w:pPr>
              <w:pStyle w:val="TableParagraph"/>
              <w:spacing w:line="190" w:lineRule="exact"/>
              <w:ind w:left="109"/>
              <w:rPr>
                <w:b/>
                <w:sz w:val="18"/>
              </w:rPr>
            </w:pPr>
            <w:r>
              <w:rPr>
                <w:b/>
                <w:color w:val="231F20"/>
                <w:sz w:val="18"/>
              </w:rPr>
              <w:t>2021</w:t>
            </w:r>
          </w:p>
        </w:tc>
        <w:tc>
          <w:tcPr>
            <w:tcW w:w="886" w:type="dxa"/>
            <w:shd w:val="clear" w:color="auto" w:fill="F4CEB2"/>
          </w:tcPr>
          <w:p w14:paraId="7E91F8BE" w14:textId="77777777" w:rsidR="009948F1" w:rsidRDefault="00BC0563">
            <w:pPr>
              <w:pStyle w:val="TableParagraph"/>
              <w:spacing w:line="190" w:lineRule="exact"/>
              <w:ind w:left="109"/>
              <w:rPr>
                <w:b/>
                <w:sz w:val="18"/>
              </w:rPr>
            </w:pPr>
            <w:r>
              <w:rPr>
                <w:b/>
                <w:color w:val="231F20"/>
                <w:sz w:val="18"/>
              </w:rPr>
              <w:t>2022</w:t>
            </w:r>
          </w:p>
        </w:tc>
        <w:tc>
          <w:tcPr>
            <w:tcW w:w="945" w:type="dxa"/>
            <w:shd w:val="clear" w:color="auto" w:fill="F4CEB2"/>
          </w:tcPr>
          <w:p w14:paraId="41008DEE" w14:textId="77777777" w:rsidR="009948F1" w:rsidRDefault="00BC0563">
            <w:pPr>
              <w:pStyle w:val="TableParagraph"/>
              <w:spacing w:line="190" w:lineRule="exact"/>
              <w:ind w:left="109"/>
              <w:rPr>
                <w:b/>
                <w:sz w:val="18"/>
              </w:rPr>
            </w:pPr>
            <w:r>
              <w:rPr>
                <w:b/>
                <w:color w:val="231F20"/>
                <w:sz w:val="18"/>
              </w:rPr>
              <w:t>National</w:t>
            </w:r>
          </w:p>
        </w:tc>
      </w:tr>
      <w:tr w:rsidR="009948F1" w14:paraId="265764C7" w14:textId="77777777">
        <w:trPr>
          <w:trHeight w:val="1686"/>
        </w:trPr>
        <w:tc>
          <w:tcPr>
            <w:tcW w:w="3140" w:type="dxa"/>
          </w:tcPr>
          <w:p w14:paraId="52AD1218" w14:textId="77777777" w:rsidR="009948F1" w:rsidRDefault="00BC0563">
            <w:pPr>
              <w:pStyle w:val="TableParagraph"/>
              <w:spacing w:line="244" w:lineRule="auto"/>
              <w:ind w:left="110" w:right="118"/>
              <w:rPr>
                <w:sz w:val="18"/>
              </w:rPr>
            </w:pPr>
            <w:r>
              <w:rPr>
                <w:color w:val="231F20"/>
                <w:sz w:val="18"/>
              </w:rPr>
              <w:t>% of health workers who have received in-service training (all forms) based on performance assessments, task analysis, or development needs at least once every 2-3 years, by cadre, location,</w:t>
            </w:r>
          </w:p>
          <w:p w14:paraId="549C02B3" w14:textId="77777777" w:rsidR="009948F1" w:rsidRDefault="00BC0563">
            <w:pPr>
              <w:pStyle w:val="TableParagraph"/>
              <w:spacing w:line="210" w:lineRule="exact"/>
              <w:ind w:left="110" w:right="118"/>
              <w:rPr>
                <w:sz w:val="18"/>
              </w:rPr>
            </w:pPr>
            <w:r>
              <w:rPr>
                <w:color w:val="231F20"/>
                <w:sz w:val="18"/>
              </w:rPr>
              <w:t>and type of training increased to 50% of baseline</w:t>
            </w:r>
          </w:p>
        </w:tc>
        <w:tc>
          <w:tcPr>
            <w:tcW w:w="1241" w:type="dxa"/>
          </w:tcPr>
          <w:p w14:paraId="00208105" w14:textId="77777777" w:rsidR="009948F1" w:rsidRDefault="00BC0563">
            <w:pPr>
              <w:pStyle w:val="TableParagraph"/>
              <w:spacing w:line="201" w:lineRule="exact"/>
              <w:ind w:left="107"/>
              <w:rPr>
                <w:sz w:val="18"/>
              </w:rPr>
            </w:pPr>
            <w:r>
              <w:rPr>
                <w:color w:val="231F20"/>
                <w:sz w:val="18"/>
              </w:rPr>
              <w:t>TBD</w:t>
            </w:r>
          </w:p>
        </w:tc>
        <w:tc>
          <w:tcPr>
            <w:tcW w:w="759" w:type="dxa"/>
            <w:tcBorders>
              <w:bottom w:val="single" w:sz="8" w:space="0" w:color="231F20"/>
              <w:right w:val="single" w:sz="8" w:space="0" w:color="231F20"/>
            </w:tcBorders>
          </w:tcPr>
          <w:p w14:paraId="7A02572F" w14:textId="77777777" w:rsidR="009948F1" w:rsidRDefault="00BC0563">
            <w:pPr>
              <w:pStyle w:val="TableParagraph"/>
              <w:spacing w:line="201" w:lineRule="exact"/>
              <w:ind w:left="110"/>
              <w:rPr>
                <w:sz w:val="18"/>
              </w:rPr>
            </w:pPr>
            <w:r>
              <w:rPr>
                <w:color w:val="231F20"/>
                <w:sz w:val="18"/>
              </w:rPr>
              <w:t>10</w:t>
            </w:r>
          </w:p>
        </w:tc>
        <w:tc>
          <w:tcPr>
            <w:tcW w:w="759" w:type="dxa"/>
            <w:tcBorders>
              <w:left w:val="single" w:sz="8" w:space="0" w:color="231F20"/>
            </w:tcBorders>
          </w:tcPr>
          <w:p w14:paraId="46D79305" w14:textId="77777777" w:rsidR="009948F1" w:rsidRDefault="00BC0563">
            <w:pPr>
              <w:pStyle w:val="TableParagraph"/>
              <w:spacing w:line="201" w:lineRule="exact"/>
              <w:ind w:left="105"/>
              <w:rPr>
                <w:sz w:val="18"/>
              </w:rPr>
            </w:pPr>
            <w:r>
              <w:rPr>
                <w:color w:val="231F20"/>
                <w:sz w:val="18"/>
              </w:rPr>
              <w:t>15</w:t>
            </w:r>
          </w:p>
        </w:tc>
        <w:tc>
          <w:tcPr>
            <w:tcW w:w="757" w:type="dxa"/>
          </w:tcPr>
          <w:p w14:paraId="57301316" w14:textId="77777777" w:rsidR="009948F1" w:rsidRDefault="00BC0563">
            <w:pPr>
              <w:pStyle w:val="TableParagraph"/>
              <w:spacing w:line="201" w:lineRule="exact"/>
              <w:ind w:left="109"/>
              <w:rPr>
                <w:sz w:val="18"/>
              </w:rPr>
            </w:pPr>
            <w:r>
              <w:rPr>
                <w:color w:val="231F20"/>
                <w:sz w:val="18"/>
              </w:rPr>
              <w:t>20</w:t>
            </w:r>
          </w:p>
        </w:tc>
        <w:tc>
          <w:tcPr>
            <w:tcW w:w="759" w:type="dxa"/>
          </w:tcPr>
          <w:p w14:paraId="6A591EE3" w14:textId="77777777" w:rsidR="009948F1" w:rsidRDefault="00BC0563">
            <w:pPr>
              <w:pStyle w:val="TableParagraph"/>
              <w:spacing w:line="201" w:lineRule="exact"/>
              <w:ind w:left="109"/>
              <w:rPr>
                <w:sz w:val="18"/>
              </w:rPr>
            </w:pPr>
            <w:r>
              <w:rPr>
                <w:color w:val="231F20"/>
                <w:sz w:val="18"/>
              </w:rPr>
              <w:t>25</w:t>
            </w:r>
          </w:p>
        </w:tc>
        <w:tc>
          <w:tcPr>
            <w:tcW w:w="886" w:type="dxa"/>
          </w:tcPr>
          <w:p w14:paraId="7802D9E1" w14:textId="77777777" w:rsidR="009948F1" w:rsidRDefault="00BC0563">
            <w:pPr>
              <w:pStyle w:val="TableParagraph"/>
              <w:spacing w:line="201" w:lineRule="exact"/>
              <w:ind w:left="109"/>
              <w:rPr>
                <w:sz w:val="18"/>
              </w:rPr>
            </w:pPr>
            <w:r>
              <w:rPr>
                <w:color w:val="231F20"/>
                <w:sz w:val="18"/>
              </w:rPr>
              <w:t>30</w:t>
            </w:r>
          </w:p>
        </w:tc>
        <w:tc>
          <w:tcPr>
            <w:tcW w:w="945" w:type="dxa"/>
          </w:tcPr>
          <w:p w14:paraId="206D90C4" w14:textId="77777777" w:rsidR="009948F1" w:rsidRDefault="00BC0563">
            <w:pPr>
              <w:pStyle w:val="TableParagraph"/>
              <w:spacing w:line="201" w:lineRule="exact"/>
              <w:ind w:left="109"/>
              <w:rPr>
                <w:sz w:val="18"/>
              </w:rPr>
            </w:pPr>
            <w:r>
              <w:rPr>
                <w:color w:val="231F20"/>
                <w:sz w:val="18"/>
              </w:rPr>
              <w:t>50</w:t>
            </w:r>
          </w:p>
        </w:tc>
      </w:tr>
    </w:tbl>
    <w:p w14:paraId="01C1FB44" w14:textId="77777777" w:rsidR="009948F1" w:rsidRDefault="009948F1">
      <w:pPr>
        <w:pStyle w:val="BodyText"/>
        <w:spacing w:before="5"/>
        <w:rPr>
          <w:b/>
          <w:sz w:val="29"/>
        </w:rPr>
      </w:pPr>
    </w:p>
    <w:p w14:paraId="09D1126F" w14:textId="77777777" w:rsidR="009948F1" w:rsidRDefault="00BC0563">
      <w:pPr>
        <w:ind w:left="139"/>
        <w:rPr>
          <w:b/>
        </w:rPr>
      </w:pPr>
      <w:r>
        <w:rPr>
          <w:b/>
          <w:color w:val="231F20"/>
        </w:rPr>
        <w:t>Interventions:</w:t>
      </w:r>
    </w:p>
    <w:p w14:paraId="34BCDEAE" w14:textId="77777777" w:rsidR="009948F1" w:rsidRDefault="00BC0563">
      <w:pPr>
        <w:pStyle w:val="ListParagraph"/>
        <w:numPr>
          <w:ilvl w:val="3"/>
          <w:numId w:val="270"/>
        </w:numPr>
        <w:tabs>
          <w:tab w:val="left" w:pos="906"/>
        </w:tabs>
        <w:spacing w:before="23" w:line="261" w:lineRule="auto"/>
        <w:ind w:right="143" w:firstLine="0"/>
      </w:pPr>
      <w:r>
        <w:rPr>
          <w:color w:val="231F20"/>
        </w:rPr>
        <w:t>Strengthen the quality assurance for HRH training institutions especially for producing frontline health workers. Key actions are; - Assess training needs of health training institutions; Review and revise training curricula in line with current market needs; Develop</w:t>
      </w:r>
      <w:r>
        <w:rPr>
          <w:color w:val="231F20"/>
          <w:spacing w:val="47"/>
        </w:rPr>
        <w:t xml:space="preserve"> </w:t>
      </w:r>
      <w:r>
        <w:rPr>
          <w:color w:val="231F20"/>
        </w:rPr>
        <w:t xml:space="preserve">continuing professional development </w:t>
      </w:r>
      <w:proofErr w:type="spellStart"/>
      <w:r>
        <w:rPr>
          <w:color w:val="231F20"/>
        </w:rPr>
        <w:t>programmes</w:t>
      </w:r>
      <w:proofErr w:type="spellEnd"/>
      <w:r>
        <w:rPr>
          <w:color w:val="231F20"/>
        </w:rPr>
        <w:t xml:space="preserve"> targeting HR trainers; Develop and implement a quality assurance</w:t>
      </w:r>
      <w:r>
        <w:rPr>
          <w:color w:val="231F20"/>
          <w:spacing w:val="-26"/>
        </w:rPr>
        <w:t xml:space="preserve"> </w:t>
      </w:r>
      <w:r>
        <w:rPr>
          <w:color w:val="231F20"/>
        </w:rPr>
        <w:t>framework</w:t>
      </w:r>
      <w:r>
        <w:rPr>
          <w:color w:val="231F20"/>
          <w:spacing w:val="-25"/>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training</w:t>
      </w:r>
      <w:r>
        <w:rPr>
          <w:color w:val="231F20"/>
          <w:spacing w:val="-25"/>
        </w:rPr>
        <w:t xml:space="preserve"> </w:t>
      </w:r>
      <w:r>
        <w:rPr>
          <w:color w:val="231F20"/>
        </w:rPr>
        <w:t>institutions;</w:t>
      </w:r>
      <w:r>
        <w:rPr>
          <w:color w:val="231F20"/>
          <w:spacing w:val="-25"/>
        </w:rPr>
        <w:t xml:space="preserve"> </w:t>
      </w:r>
      <w:r>
        <w:rPr>
          <w:color w:val="231F20"/>
        </w:rPr>
        <w:t>Monitor</w:t>
      </w:r>
      <w:r>
        <w:rPr>
          <w:color w:val="231F20"/>
          <w:spacing w:val="-25"/>
        </w:rPr>
        <w:t xml:space="preserve"> </w:t>
      </w:r>
      <w:r>
        <w:rPr>
          <w:color w:val="231F20"/>
        </w:rPr>
        <w:t>and</w:t>
      </w:r>
      <w:r>
        <w:rPr>
          <w:color w:val="231F20"/>
          <w:spacing w:val="-25"/>
        </w:rPr>
        <w:t xml:space="preserve"> </w:t>
      </w:r>
      <w:r>
        <w:rPr>
          <w:color w:val="231F20"/>
        </w:rPr>
        <w:t>evaluate</w:t>
      </w:r>
      <w:r>
        <w:rPr>
          <w:color w:val="231F20"/>
          <w:spacing w:val="-25"/>
        </w:rPr>
        <w:t xml:space="preserve"> </w:t>
      </w:r>
      <w:r>
        <w:rPr>
          <w:color w:val="231F20"/>
        </w:rPr>
        <w:t>training</w:t>
      </w:r>
      <w:r>
        <w:rPr>
          <w:color w:val="231F20"/>
          <w:spacing w:val="-25"/>
        </w:rPr>
        <w:t xml:space="preserve"> </w:t>
      </w:r>
      <w:proofErr w:type="spellStart"/>
      <w:r>
        <w:rPr>
          <w:color w:val="231F20"/>
        </w:rPr>
        <w:t>programmes</w:t>
      </w:r>
      <w:proofErr w:type="spellEnd"/>
      <w:r>
        <w:rPr>
          <w:color w:val="231F20"/>
        </w:rPr>
        <w:t>.</w:t>
      </w:r>
    </w:p>
    <w:p w14:paraId="4CB78614" w14:textId="77777777" w:rsidR="009948F1" w:rsidRDefault="009948F1">
      <w:pPr>
        <w:pStyle w:val="BodyText"/>
        <w:spacing w:before="1"/>
        <w:rPr>
          <w:sz w:val="24"/>
        </w:rPr>
      </w:pPr>
    </w:p>
    <w:p w14:paraId="379F85CB" w14:textId="77777777" w:rsidR="009948F1" w:rsidRDefault="00BC0563">
      <w:pPr>
        <w:pStyle w:val="ListParagraph"/>
        <w:numPr>
          <w:ilvl w:val="3"/>
          <w:numId w:val="270"/>
        </w:numPr>
        <w:tabs>
          <w:tab w:val="left" w:pos="898"/>
        </w:tabs>
        <w:spacing w:line="261" w:lineRule="auto"/>
        <w:ind w:right="142" w:firstLine="0"/>
      </w:pPr>
      <w:r>
        <w:rPr>
          <w:color w:val="231F20"/>
        </w:rPr>
        <w:t xml:space="preserve">Strengthen the platform between HRH training institutions, regulatory bodies and other stakeholders to increase health workforce production. Key action is; Establish evidence-based staffing norms for all levels of human resources for health based on workload analysis; Deploy/redeploy/recruit qualified personnel (Clinical and Non Clinical Staff) based on needs and established gaps; Train and retrain healthcare personnel for effective and efficient staff utilization according to training needs (e.g. Train SPHCDA staff on IMCI and Community IMCI, LSS, </w:t>
      </w:r>
      <w:r>
        <w:rPr>
          <w:color w:val="231F20"/>
          <w:spacing w:val="-3"/>
        </w:rPr>
        <w:t xml:space="preserve">MLSS </w:t>
      </w:r>
      <w:proofErr w:type="spellStart"/>
      <w:r>
        <w:rPr>
          <w:color w:val="231F20"/>
        </w:rPr>
        <w:t>etc</w:t>
      </w:r>
      <w:proofErr w:type="spellEnd"/>
      <w:r>
        <w:rPr>
          <w:color w:val="231F20"/>
        </w:rPr>
        <w:t xml:space="preserve">); Conduct periodic Integrated Supportive Supervision (ISS) to all health </w:t>
      </w:r>
      <w:proofErr w:type="spellStart"/>
      <w:r>
        <w:rPr>
          <w:color w:val="231F20"/>
        </w:rPr>
        <w:t>cadre</w:t>
      </w:r>
      <w:proofErr w:type="spellEnd"/>
      <w:r>
        <w:rPr>
          <w:color w:val="231F20"/>
        </w:rPr>
        <w:t xml:space="preserve"> and facilities </w:t>
      </w:r>
      <w:r>
        <w:rPr>
          <w:color w:val="231F20"/>
          <w:spacing w:val="-8"/>
        </w:rPr>
        <w:t xml:space="preserve">by </w:t>
      </w:r>
      <w:r>
        <w:rPr>
          <w:color w:val="231F20"/>
        </w:rPr>
        <w:t>the</w:t>
      </w:r>
      <w:r>
        <w:rPr>
          <w:color w:val="231F20"/>
          <w:spacing w:val="-25"/>
        </w:rPr>
        <w:t xml:space="preserve"> </w:t>
      </w:r>
      <w:r>
        <w:rPr>
          <w:color w:val="231F20"/>
        </w:rPr>
        <w:t>multi-sectoral</w:t>
      </w:r>
      <w:r>
        <w:rPr>
          <w:color w:val="231F20"/>
          <w:spacing w:val="-25"/>
        </w:rPr>
        <w:t xml:space="preserve"> </w:t>
      </w:r>
      <w:r>
        <w:rPr>
          <w:color w:val="231F20"/>
        </w:rPr>
        <w:t>coordinating</w:t>
      </w:r>
      <w:r>
        <w:rPr>
          <w:color w:val="231F20"/>
          <w:spacing w:val="-25"/>
        </w:rPr>
        <w:t xml:space="preserve"> </w:t>
      </w:r>
      <w:r>
        <w:rPr>
          <w:color w:val="231F20"/>
          <w:spacing w:val="-4"/>
        </w:rPr>
        <w:t>body.</w:t>
      </w:r>
    </w:p>
    <w:p w14:paraId="7DDC9AB4" w14:textId="77777777" w:rsidR="009948F1" w:rsidRDefault="009948F1">
      <w:pPr>
        <w:pStyle w:val="BodyText"/>
        <w:spacing w:before="2"/>
        <w:rPr>
          <w:sz w:val="24"/>
        </w:rPr>
      </w:pPr>
    </w:p>
    <w:p w14:paraId="1327E30E" w14:textId="77777777" w:rsidR="009948F1" w:rsidRDefault="00BC0563">
      <w:pPr>
        <w:pStyle w:val="ListParagraph"/>
        <w:numPr>
          <w:ilvl w:val="3"/>
          <w:numId w:val="270"/>
        </w:numPr>
        <w:tabs>
          <w:tab w:val="left" w:pos="1004"/>
        </w:tabs>
        <w:spacing w:before="1" w:line="261" w:lineRule="auto"/>
        <w:ind w:right="144" w:firstLine="0"/>
      </w:pPr>
      <w:r>
        <w:rPr>
          <w:color w:val="231F20"/>
        </w:rPr>
        <w:t>Improve</w:t>
      </w:r>
      <w:r>
        <w:rPr>
          <w:color w:val="231F20"/>
          <w:spacing w:val="-15"/>
        </w:rPr>
        <w:t xml:space="preserve"> </w:t>
      </w:r>
      <w:r>
        <w:rPr>
          <w:color w:val="231F20"/>
        </w:rPr>
        <w:t>gender</w:t>
      </w:r>
      <w:r>
        <w:rPr>
          <w:color w:val="231F20"/>
          <w:spacing w:val="-14"/>
        </w:rPr>
        <w:t xml:space="preserve"> </w:t>
      </w:r>
      <w:r>
        <w:rPr>
          <w:color w:val="231F20"/>
        </w:rPr>
        <w:t>sensitivity</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production</w:t>
      </w:r>
      <w:r>
        <w:rPr>
          <w:color w:val="231F20"/>
          <w:spacing w:val="-14"/>
        </w:rPr>
        <w:t xml:space="preserve"> </w:t>
      </w:r>
      <w:r>
        <w:rPr>
          <w:color w:val="231F20"/>
        </w:rPr>
        <w:t>of</w:t>
      </w:r>
      <w:r>
        <w:rPr>
          <w:color w:val="231F20"/>
          <w:spacing w:val="-14"/>
        </w:rPr>
        <w:t xml:space="preserve"> </w:t>
      </w:r>
      <w:r>
        <w:rPr>
          <w:color w:val="231F20"/>
        </w:rPr>
        <w:t>health</w:t>
      </w:r>
      <w:r>
        <w:rPr>
          <w:color w:val="231F20"/>
          <w:spacing w:val="-14"/>
        </w:rPr>
        <w:t xml:space="preserve"> </w:t>
      </w:r>
      <w:r>
        <w:rPr>
          <w:color w:val="231F20"/>
        </w:rPr>
        <w:t>work</w:t>
      </w:r>
      <w:r>
        <w:rPr>
          <w:color w:val="231F20"/>
          <w:spacing w:val="-14"/>
        </w:rPr>
        <w:t xml:space="preserve"> </w:t>
      </w:r>
      <w:r>
        <w:rPr>
          <w:color w:val="231F20"/>
        </w:rPr>
        <w:t>force</w:t>
      </w:r>
      <w:r>
        <w:rPr>
          <w:color w:val="231F20"/>
          <w:spacing w:val="-14"/>
        </w:rPr>
        <w:t xml:space="preserve"> </w:t>
      </w:r>
      <w:r>
        <w:rPr>
          <w:color w:val="231F20"/>
        </w:rPr>
        <w:t>for</w:t>
      </w:r>
      <w:r>
        <w:rPr>
          <w:color w:val="231F20"/>
          <w:spacing w:val="-14"/>
        </w:rPr>
        <w:t xml:space="preserve"> </w:t>
      </w:r>
      <w:r>
        <w:rPr>
          <w:color w:val="231F20"/>
        </w:rPr>
        <w:t>all</w:t>
      </w:r>
      <w:r>
        <w:rPr>
          <w:color w:val="231F20"/>
          <w:spacing w:val="-14"/>
        </w:rPr>
        <w:t xml:space="preserve"> </w:t>
      </w:r>
      <w:r>
        <w:rPr>
          <w:color w:val="231F20"/>
        </w:rPr>
        <w:t>cadres</w:t>
      </w:r>
      <w:r>
        <w:rPr>
          <w:color w:val="231F20"/>
          <w:spacing w:val="-15"/>
        </w:rPr>
        <w:t xml:space="preserve"> </w:t>
      </w:r>
      <w:r>
        <w:rPr>
          <w:color w:val="231F20"/>
        </w:rPr>
        <w:t>at</w:t>
      </w:r>
      <w:r>
        <w:rPr>
          <w:color w:val="231F20"/>
          <w:spacing w:val="-14"/>
        </w:rPr>
        <w:t xml:space="preserve"> </w:t>
      </w:r>
      <w:r>
        <w:rPr>
          <w:color w:val="231F20"/>
        </w:rPr>
        <w:t>all</w:t>
      </w:r>
      <w:r>
        <w:rPr>
          <w:color w:val="231F20"/>
          <w:spacing w:val="-14"/>
        </w:rPr>
        <w:t xml:space="preserve"> </w:t>
      </w:r>
      <w:r>
        <w:rPr>
          <w:color w:val="231F20"/>
        </w:rPr>
        <w:t>levels. Key</w:t>
      </w:r>
      <w:r>
        <w:rPr>
          <w:color w:val="231F20"/>
          <w:spacing w:val="-7"/>
        </w:rPr>
        <w:t xml:space="preserve"> </w:t>
      </w:r>
      <w:r>
        <w:rPr>
          <w:color w:val="231F20"/>
        </w:rPr>
        <w:t>actions</w:t>
      </w:r>
      <w:r>
        <w:rPr>
          <w:color w:val="231F20"/>
          <w:spacing w:val="-7"/>
        </w:rPr>
        <w:t xml:space="preserve"> </w:t>
      </w:r>
      <w:r>
        <w:rPr>
          <w:color w:val="231F20"/>
        </w:rPr>
        <w:t>are;</w:t>
      </w:r>
      <w:r>
        <w:rPr>
          <w:color w:val="231F20"/>
          <w:spacing w:val="-7"/>
        </w:rPr>
        <w:t xml:space="preserve"> </w:t>
      </w:r>
      <w:r>
        <w:rPr>
          <w:color w:val="231F20"/>
        </w:rPr>
        <w:t>-</w:t>
      </w:r>
      <w:r>
        <w:rPr>
          <w:color w:val="231F20"/>
          <w:spacing w:val="-6"/>
        </w:rPr>
        <w:t xml:space="preserve"> </w:t>
      </w:r>
      <w:r>
        <w:rPr>
          <w:color w:val="231F20"/>
        </w:rPr>
        <w:t>Establish/</w:t>
      </w:r>
      <w:r>
        <w:rPr>
          <w:color w:val="231F20"/>
          <w:spacing w:val="-7"/>
        </w:rPr>
        <w:t xml:space="preserve"> </w:t>
      </w:r>
      <w:r>
        <w:rPr>
          <w:color w:val="231F20"/>
        </w:rPr>
        <w:t>update</w:t>
      </w:r>
      <w:r>
        <w:rPr>
          <w:color w:val="231F20"/>
          <w:spacing w:val="-7"/>
        </w:rPr>
        <w:t xml:space="preserve"> </w:t>
      </w:r>
      <w:r>
        <w:rPr>
          <w:color w:val="231F20"/>
        </w:rPr>
        <w:t>annually</w:t>
      </w:r>
      <w:r>
        <w:rPr>
          <w:color w:val="231F20"/>
          <w:spacing w:val="-6"/>
        </w:rPr>
        <w:t xml:space="preserve"> </w:t>
      </w:r>
      <w:r>
        <w:rPr>
          <w:color w:val="231F20"/>
        </w:rPr>
        <w:t>a</w:t>
      </w:r>
      <w:r>
        <w:rPr>
          <w:color w:val="231F20"/>
          <w:spacing w:val="-7"/>
        </w:rPr>
        <w:t xml:space="preserve"> </w:t>
      </w:r>
      <w:r>
        <w:rPr>
          <w:color w:val="231F20"/>
        </w:rPr>
        <w:t>database</w:t>
      </w:r>
      <w:r>
        <w:rPr>
          <w:color w:val="231F20"/>
          <w:spacing w:val="-7"/>
        </w:rPr>
        <w:t xml:space="preserve"> </w:t>
      </w:r>
      <w:r>
        <w:rPr>
          <w:color w:val="231F20"/>
        </w:rPr>
        <w:t>disaggregated</w:t>
      </w:r>
      <w:r>
        <w:rPr>
          <w:color w:val="231F20"/>
          <w:spacing w:val="-6"/>
        </w:rPr>
        <w:t xml:space="preserve"> </w:t>
      </w:r>
      <w:r>
        <w:rPr>
          <w:color w:val="231F20"/>
        </w:rPr>
        <w:t>by</w:t>
      </w:r>
      <w:r>
        <w:rPr>
          <w:color w:val="231F20"/>
          <w:spacing w:val="-7"/>
        </w:rPr>
        <w:t xml:space="preserve"> </w:t>
      </w:r>
      <w:r>
        <w:rPr>
          <w:color w:val="231F20"/>
        </w:rPr>
        <w:t>gender</w:t>
      </w:r>
      <w:r>
        <w:rPr>
          <w:color w:val="231F20"/>
          <w:spacing w:val="-7"/>
        </w:rPr>
        <w:t xml:space="preserve"> </w:t>
      </w:r>
      <w:r>
        <w:rPr>
          <w:color w:val="231F20"/>
        </w:rPr>
        <w:t>to</w:t>
      </w:r>
      <w:r>
        <w:rPr>
          <w:color w:val="231F20"/>
          <w:spacing w:val="-7"/>
        </w:rPr>
        <w:t xml:space="preserve"> </w:t>
      </w:r>
      <w:r>
        <w:rPr>
          <w:color w:val="231F20"/>
        </w:rPr>
        <w:t>track</w:t>
      </w:r>
      <w:r>
        <w:rPr>
          <w:color w:val="231F20"/>
          <w:spacing w:val="-6"/>
        </w:rPr>
        <w:t xml:space="preserve"> </w:t>
      </w:r>
      <w:r>
        <w:rPr>
          <w:color w:val="231F20"/>
          <w:spacing w:val="-3"/>
        </w:rPr>
        <w:t xml:space="preserve">gender </w:t>
      </w:r>
      <w:r>
        <w:rPr>
          <w:color w:val="231F20"/>
        </w:rPr>
        <w:t>disparities</w:t>
      </w:r>
      <w:r>
        <w:rPr>
          <w:color w:val="231F20"/>
          <w:spacing w:val="-25"/>
        </w:rPr>
        <w:t xml:space="preserve"> </w:t>
      </w:r>
      <w:r>
        <w:rPr>
          <w:color w:val="231F20"/>
        </w:rPr>
        <w:t>in</w:t>
      </w:r>
      <w:r>
        <w:rPr>
          <w:color w:val="231F20"/>
          <w:spacing w:val="-25"/>
        </w:rPr>
        <w:t xml:space="preserve"> </w:t>
      </w:r>
      <w:r>
        <w:rPr>
          <w:color w:val="231F20"/>
        </w:rPr>
        <w:t>training</w:t>
      </w:r>
      <w:r>
        <w:rPr>
          <w:color w:val="231F20"/>
          <w:spacing w:val="-26"/>
        </w:rPr>
        <w:t xml:space="preserve"> </w:t>
      </w:r>
      <w:r>
        <w:rPr>
          <w:color w:val="231F20"/>
        </w:rPr>
        <w:t>of</w:t>
      </w:r>
      <w:r>
        <w:rPr>
          <w:color w:val="231F20"/>
          <w:spacing w:val="-25"/>
        </w:rPr>
        <w:t xml:space="preserve"> </w:t>
      </w:r>
      <w:r>
        <w:rPr>
          <w:color w:val="231F20"/>
        </w:rPr>
        <w:t>healthcare</w:t>
      </w:r>
      <w:r>
        <w:rPr>
          <w:color w:val="231F20"/>
          <w:spacing w:val="-25"/>
        </w:rPr>
        <w:t xml:space="preserve"> </w:t>
      </w:r>
      <w:r>
        <w:rPr>
          <w:color w:val="231F20"/>
        </w:rPr>
        <w:t>workers.</w:t>
      </w:r>
    </w:p>
    <w:p w14:paraId="7C3E46B5" w14:textId="77777777" w:rsidR="009948F1" w:rsidRDefault="009948F1">
      <w:pPr>
        <w:spacing w:line="261" w:lineRule="auto"/>
        <w:jc w:val="both"/>
        <w:sectPr w:rsidR="009948F1">
          <w:pgSz w:w="11910" w:h="16840"/>
          <w:pgMar w:top="1220" w:right="1080" w:bottom="1420" w:left="1120" w:header="0" w:footer="1235" w:gutter="0"/>
          <w:cols w:space="720"/>
        </w:sectPr>
      </w:pPr>
    </w:p>
    <w:p w14:paraId="7C2B778D" w14:textId="77777777" w:rsidR="009948F1" w:rsidRDefault="00BC0563">
      <w:pPr>
        <w:pStyle w:val="ListParagraph"/>
        <w:numPr>
          <w:ilvl w:val="2"/>
          <w:numId w:val="271"/>
        </w:numPr>
        <w:tabs>
          <w:tab w:val="left" w:pos="1069"/>
          <w:tab w:val="left" w:pos="1071"/>
        </w:tabs>
        <w:spacing w:before="48" w:line="271" w:lineRule="auto"/>
        <w:ind w:left="315" w:right="186" w:firstLine="0"/>
        <w:jc w:val="left"/>
        <w:rPr>
          <w:b/>
          <w:color w:val="231F20"/>
          <w:sz w:val="23"/>
        </w:rPr>
      </w:pPr>
      <w:bookmarkStart w:id="92" w:name="Page_78"/>
      <w:bookmarkEnd w:id="92"/>
      <w:r>
        <w:rPr>
          <w:b/>
          <w:color w:val="231F20"/>
          <w:sz w:val="23"/>
        </w:rPr>
        <w:lastRenderedPageBreak/>
        <w:t>Strengthen</w:t>
      </w:r>
      <w:r>
        <w:rPr>
          <w:b/>
          <w:color w:val="231F20"/>
          <w:spacing w:val="6"/>
          <w:sz w:val="23"/>
        </w:rPr>
        <w:t xml:space="preserve"> </w:t>
      </w:r>
      <w:r>
        <w:rPr>
          <w:b/>
          <w:color w:val="231F20"/>
          <w:sz w:val="23"/>
        </w:rPr>
        <w:t>monitoring</w:t>
      </w:r>
      <w:r>
        <w:rPr>
          <w:b/>
          <w:color w:val="231F20"/>
          <w:spacing w:val="-6"/>
          <w:sz w:val="23"/>
        </w:rPr>
        <w:t xml:space="preserve"> </w:t>
      </w:r>
      <w:r>
        <w:rPr>
          <w:b/>
          <w:color w:val="231F20"/>
          <w:sz w:val="23"/>
        </w:rPr>
        <w:t>and</w:t>
      </w:r>
      <w:r>
        <w:rPr>
          <w:b/>
          <w:color w:val="231F20"/>
          <w:spacing w:val="-7"/>
          <w:sz w:val="23"/>
        </w:rPr>
        <w:t xml:space="preserve"> </w:t>
      </w:r>
      <w:r>
        <w:rPr>
          <w:b/>
          <w:color w:val="231F20"/>
          <w:sz w:val="23"/>
        </w:rPr>
        <w:t>evaluation</w:t>
      </w:r>
      <w:r>
        <w:rPr>
          <w:b/>
          <w:color w:val="231F20"/>
          <w:spacing w:val="-7"/>
          <w:sz w:val="23"/>
        </w:rPr>
        <w:t xml:space="preserve"> </w:t>
      </w:r>
      <w:r>
        <w:rPr>
          <w:b/>
          <w:color w:val="231F20"/>
          <w:sz w:val="23"/>
        </w:rPr>
        <w:t>for</w:t>
      </w:r>
      <w:r>
        <w:rPr>
          <w:b/>
          <w:color w:val="231F20"/>
          <w:spacing w:val="-7"/>
          <w:sz w:val="23"/>
        </w:rPr>
        <w:t xml:space="preserve"> </w:t>
      </w:r>
      <w:r>
        <w:rPr>
          <w:b/>
          <w:color w:val="231F20"/>
          <w:sz w:val="23"/>
        </w:rPr>
        <w:t>HRH</w:t>
      </w:r>
      <w:r>
        <w:rPr>
          <w:b/>
          <w:color w:val="231F20"/>
          <w:spacing w:val="-6"/>
          <w:sz w:val="23"/>
        </w:rPr>
        <w:t xml:space="preserve"> </w:t>
      </w:r>
      <w:r>
        <w:rPr>
          <w:b/>
          <w:color w:val="231F20"/>
          <w:sz w:val="23"/>
        </w:rPr>
        <w:t>including</w:t>
      </w:r>
      <w:r>
        <w:rPr>
          <w:b/>
          <w:color w:val="231F20"/>
          <w:spacing w:val="-7"/>
          <w:sz w:val="23"/>
        </w:rPr>
        <w:t xml:space="preserve"> </w:t>
      </w:r>
      <w:r>
        <w:rPr>
          <w:b/>
          <w:color w:val="231F20"/>
          <w:sz w:val="23"/>
        </w:rPr>
        <w:t>systems</w:t>
      </w:r>
      <w:r>
        <w:rPr>
          <w:b/>
          <w:color w:val="231F20"/>
          <w:spacing w:val="-7"/>
          <w:sz w:val="23"/>
        </w:rPr>
        <w:t xml:space="preserve"> </w:t>
      </w:r>
      <w:r>
        <w:rPr>
          <w:b/>
          <w:color w:val="231F20"/>
          <w:sz w:val="23"/>
        </w:rPr>
        <w:t>for</w:t>
      </w:r>
      <w:r>
        <w:rPr>
          <w:b/>
          <w:color w:val="231F20"/>
          <w:spacing w:val="-7"/>
          <w:sz w:val="23"/>
        </w:rPr>
        <w:t xml:space="preserve"> </w:t>
      </w:r>
      <w:r>
        <w:rPr>
          <w:b/>
          <w:color w:val="231F20"/>
          <w:spacing w:val="-3"/>
          <w:sz w:val="23"/>
        </w:rPr>
        <w:t xml:space="preserve">HRHMIS </w:t>
      </w:r>
      <w:r>
        <w:rPr>
          <w:b/>
          <w:color w:val="231F20"/>
          <w:sz w:val="23"/>
        </w:rPr>
        <w:t>and</w:t>
      </w:r>
      <w:r>
        <w:rPr>
          <w:b/>
          <w:color w:val="231F20"/>
          <w:spacing w:val="-2"/>
          <w:sz w:val="23"/>
        </w:rPr>
        <w:t xml:space="preserve"> </w:t>
      </w:r>
      <w:r>
        <w:rPr>
          <w:b/>
          <w:color w:val="231F20"/>
          <w:sz w:val="23"/>
        </w:rPr>
        <w:t>Registry.</w:t>
      </w:r>
    </w:p>
    <w:p w14:paraId="2A964859" w14:textId="77777777" w:rsidR="009948F1" w:rsidRDefault="00BC0563">
      <w:pPr>
        <w:spacing w:before="5" w:after="43"/>
        <w:ind w:left="315"/>
        <w:rPr>
          <w:b/>
          <w:sz w:val="23"/>
        </w:rPr>
      </w:pPr>
      <w:r>
        <w:rPr>
          <w:b/>
          <w:color w:val="231F20"/>
          <w:sz w:val="23"/>
        </w:rPr>
        <w:t>Target:</w:t>
      </w:r>
    </w:p>
    <w:tbl>
      <w:tblPr>
        <w:tblW w:w="0" w:type="auto"/>
        <w:tblInd w:w="2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14"/>
        <w:gridCol w:w="1243"/>
        <w:gridCol w:w="749"/>
        <w:gridCol w:w="744"/>
        <w:gridCol w:w="744"/>
        <w:gridCol w:w="747"/>
        <w:gridCol w:w="730"/>
        <w:gridCol w:w="961"/>
      </w:tblGrid>
      <w:tr w:rsidR="009948F1" w14:paraId="14C8B116" w14:textId="77777777">
        <w:trPr>
          <w:trHeight w:val="213"/>
        </w:trPr>
        <w:tc>
          <w:tcPr>
            <w:tcW w:w="3014" w:type="dxa"/>
            <w:shd w:val="clear" w:color="auto" w:fill="F4CEB2"/>
          </w:tcPr>
          <w:p w14:paraId="62623601" w14:textId="77777777" w:rsidR="009948F1" w:rsidRDefault="00BC0563">
            <w:pPr>
              <w:pStyle w:val="TableParagraph"/>
              <w:spacing w:before="4" w:line="188" w:lineRule="exact"/>
              <w:ind w:left="111"/>
              <w:rPr>
                <w:sz w:val="18"/>
              </w:rPr>
            </w:pPr>
            <w:r>
              <w:rPr>
                <w:color w:val="231F20"/>
                <w:w w:val="105"/>
                <w:sz w:val="18"/>
              </w:rPr>
              <w:t>Targets</w:t>
            </w:r>
          </w:p>
        </w:tc>
        <w:tc>
          <w:tcPr>
            <w:tcW w:w="1243" w:type="dxa"/>
            <w:shd w:val="clear" w:color="auto" w:fill="F4CEB2"/>
          </w:tcPr>
          <w:p w14:paraId="6CBE9CA0" w14:textId="77777777" w:rsidR="009948F1" w:rsidRDefault="00BC0563">
            <w:pPr>
              <w:pStyle w:val="TableParagraph"/>
              <w:spacing w:before="4" w:line="188" w:lineRule="exact"/>
              <w:ind w:left="111"/>
              <w:rPr>
                <w:sz w:val="18"/>
              </w:rPr>
            </w:pPr>
            <w:r>
              <w:rPr>
                <w:color w:val="231F20"/>
                <w:w w:val="105"/>
                <w:sz w:val="18"/>
              </w:rPr>
              <w:t>Baseline</w:t>
            </w:r>
          </w:p>
        </w:tc>
        <w:tc>
          <w:tcPr>
            <w:tcW w:w="749" w:type="dxa"/>
            <w:shd w:val="clear" w:color="auto" w:fill="F4CEB2"/>
          </w:tcPr>
          <w:p w14:paraId="678BA547" w14:textId="77777777" w:rsidR="009948F1" w:rsidRDefault="00BC0563">
            <w:pPr>
              <w:pStyle w:val="TableParagraph"/>
              <w:spacing w:line="193" w:lineRule="exact"/>
              <w:ind w:left="111"/>
              <w:rPr>
                <w:b/>
                <w:sz w:val="18"/>
              </w:rPr>
            </w:pPr>
            <w:r>
              <w:rPr>
                <w:b/>
                <w:color w:val="231F20"/>
                <w:w w:val="105"/>
                <w:sz w:val="18"/>
              </w:rPr>
              <w:t>2018</w:t>
            </w:r>
          </w:p>
        </w:tc>
        <w:tc>
          <w:tcPr>
            <w:tcW w:w="744" w:type="dxa"/>
            <w:shd w:val="clear" w:color="auto" w:fill="F4CEB2"/>
          </w:tcPr>
          <w:p w14:paraId="73507812" w14:textId="77777777" w:rsidR="009948F1" w:rsidRDefault="00BC0563">
            <w:pPr>
              <w:pStyle w:val="TableParagraph"/>
              <w:spacing w:line="193" w:lineRule="exact"/>
              <w:ind w:left="109"/>
              <w:rPr>
                <w:b/>
                <w:sz w:val="18"/>
              </w:rPr>
            </w:pPr>
            <w:r>
              <w:rPr>
                <w:b/>
                <w:color w:val="231F20"/>
                <w:w w:val="105"/>
                <w:sz w:val="18"/>
              </w:rPr>
              <w:t>2019</w:t>
            </w:r>
          </w:p>
        </w:tc>
        <w:tc>
          <w:tcPr>
            <w:tcW w:w="744" w:type="dxa"/>
            <w:shd w:val="clear" w:color="auto" w:fill="F4CEB2"/>
          </w:tcPr>
          <w:p w14:paraId="711B3E3A" w14:textId="77777777" w:rsidR="009948F1" w:rsidRDefault="00BC0563">
            <w:pPr>
              <w:pStyle w:val="TableParagraph"/>
              <w:spacing w:line="193" w:lineRule="exact"/>
              <w:ind w:left="112"/>
              <w:rPr>
                <w:b/>
                <w:sz w:val="18"/>
              </w:rPr>
            </w:pPr>
            <w:r>
              <w:rPr>
                <w:b/>
                <w:color w:val="231F20"/>
                <w:w w:val="105"/>
                <w:sz w:val="18"/>
              </w:rPr>
              <w:t>2020</w:t>
            </w:r>
          </w:p>
        </w:tc>
        <w:tc>
          <w:tcPr>
            <w:tcW w:w="747" w:type="dxa"/>
            <w:shd w:val="clear" w:color="auto" w:fill="F4CEB2"/>
          </w:tcPr>
          <w:p w14:paraId="3D2F224B" w14:textId="77777777" w:rsidR="009948F1" w:rsidRDefault="00BC0563">
            <w:pPr>
              <w:pStyle w:val="TableParagraph"/>
              <w:spacing w:line="193" w:lineRule="exact"/>
              <w:ind w:left="112"/>
              <w:rPr>
                <w:b/>
                <w:sz w:val="18"/>
              </w:rPr>
            </w:pPr>
            <w:r>
              <w:rPr>
                <w:b/>
                <w:color w:val="231F20"/>
                <w:w w:val="105"/>
                <w:sz w:val="18"/>
              </w:rPr>
              <w:t>2021</w:t>
            </w:r>
          </w:p>
        </w:tc>
        <w:tc>
          <w:tcPr>
            <w:tcW w:w="730" w:type="dxa"/>
            <w:shd w:val="clear" w:color="auto" w:fill="F4CEB2"/>
          </w:tcPr>
          <w:p w14:paraId="54436E63" w14:textId="77777777" w:rsidR="009948F1" w:rsidRDefault="00BC0563">
            <w:pPr>
              <w:pStyle w:val="TableParagraph"/>
              <w:spacing w:line="193" w:lineRule="exact"/>
              <w:ind w:left="112"/>
              <w:rPr>
                <w:b/>
                <w:sz w:val="18"/>
              </w:rPr>
            </w:pPr>
            <w:r>
              <w:rPr>
                <w:b/>
                <w:color w:val="231F20"/>
                <w:w w:val="105"/>
                <w:sz w:val="18"/>
              </w:rPr>
              <w:t>2022</w:t>
            </w:r>
          </w:p>
        </w:tc>
        <w:tc>
          <w:tcPr>
            <w:tcW w:w="961" w:type="dxa"/>
            <w:shd w:val="clear" w:color="auto" w:fill="F4CEB2"/>
          </w:tcPr>
          <w:p w14:paraId="39EEAF52" w14:textId="77777777" w:rsidR="009948F1" w:rsidRDefault="00BC0563">
            <w:pPr>
              <w:pStyle w:val="TableParagraph"/>
              <w:spacing w:line="193" w:lineRule="exact"/>
              <w:ind w:left="111"/>
              <w:rPr>
                <w:b/>
                <w:sz w:val="18"/>
              </w:rPr>
            </w:pPr>
            <w:r>
              <w:rPr>
                <w:b/>
                <w:color w:val="231F20"/>
                <w:w w:val="105"/>
                <w:sz w:val="18"/>
              </w:rPr>
              <w:t>National</w:t>
            </w:r>
          </w:p>
        </w:tc>
      </w:tr>
      <w:tr w:rsidR="009948F1" w14:paraId="48C5BE6A" w14:textId="77777777">
        <w:trPr>
          <w:trHeight w:val="424"/>
        </w:trPr>
        <w:tc>
          <w:tcPr>
            <w:tcW w:w="3014" w:type="dxa"/>
            <w:tcBorders>
              <w:right w:val="single" w:sz="8" w:space="0" w:color="231F20"/>
            </w:tcBorders>
          </w:tcPr>
          <w:p w14:paraId="723E59BA" w14:textId="77777777" w:rsidR="009948F1" w:rsidRDefault="00BC0563">
            <w:pPr>
              <w:pStyle w:val="TableParagraph"/>
              <w:spacing w:before="1" w:line="216" w:lineRule="exact"/>
              <w:ind w:left="111"/>
              <w:rPr>
                <w:sz w:val="18"/>
              </w:rPr>
            </w:pPr>
            <w:r>
              <w:rPr>
                <w:color w:val="231F20"/>
                <w:w w:val="105"/>
                <w:sz w:val="18"/>
              </w:rPr>
              <w:t>Number of LGAs with functional HRHIS?</w:t>
            </w:r>
          </w:p>
        </w:tc>
        <w:tc>
          <w:tcPr>
            <w:tcW w:w="1243" w:type="dxa"/>
            <w:tcBorders>
              <w:left w:val="single" w:sz="8" w:space="0" w:color="231F20"/>
              <w:right w:val="single" w:sz="8" w:space="0" w:color="231F20"/>
            </w:tcBorders>
          </w:tcPr>
          <w:p w14:paraId="5D053260" w14:textId="77777777" w:rsidR="009948F1" w:rsidRDefault="00BC0563">
            <w:pPr>
              <w:pStyle w:val="TableParagraph"/>
              <w:spacing w:before="4"/>
              <w:ind w:left="106"/>
              <w:rPr>
                <w:sz w:val="18"/>
              </w:rPr>
            </w:pPr>
            <w:r>
              <w:rPr>
                <w:color w:val="231F20"/>
                <w:w w:val="105"/>
                <w:sz w:val="18"/>
              </w:rPr>
              <w:t>TBD</w:t>
            </w:r>
          </w:p>
        </w:tc>
        <w:tc>
          <w:tcPr>
            <w:tcW w:w="749" w:type="dxa"/>
            <w:tcBorders>
              <w:left w:val="single" w:sz="8" w:space="0" w:color="231F20"/>
              <w:bottom w:val="single" w:sz="8" w:space="0" w:color="231F20"/>
              <w:right w:val="single" w:sz="8" w:space="0" w:color="231F20"/>
            </w:tcBorders>
          </w:tcPr>
          <w:p w14:paraId="2B6A65D1" w14:textId="77777777" w:rsidR="009948F1" w:rsidRDefault="00BC0563">
            <w:pPr>
              <w:pStyle w:val="TableParagraph"/>
              <w:spacing w:before="4"/>
              <w:ind w:left="106"/>
              <w:rPr>
                <w:sz w:val="18"/>
              </w:rPr>
            </w:pPr>
            <w:r>
              <w:rPr>
                <w:color w:val="231F20"/>
                <w:w w:val="105"/>
                <w:sz w:val="18"/>
              </w:rPr>
              <w:t>10%</w:t>
            </w:r>
          </w:p>
        </w:tc>
        <w:tc>
          <w:tcPr>
            <w:tcW w:w="744" w:type="dxa"/>
            <w:tcBorders>
              <w:left w:val="single" w:sz="8" w:space="0" w:color="231F20"/>
            </w:tcBorders>
          </w:tcPr>
          <w:p w14:paraId="2BD0CDB5" w14:textId="77777777" w:rsidR="009948F1" w:rsidRDefault="00BC0563">
            <w:pPr>
              <w:pStyle w:val="TableParagraph"/>
              <w:spacing w:before="4"/>
              <w:ind w:left="104"/>
              <w:rPr>
                <w:sz w:val="18"/>
              </w:rPr>
            </w:pPr>
            <w:r>
              <w:rPr>
                <w:color w:val="231F20"/>
                <w:w w:val="105"/>
                <w:sz w:val="18"/>
              </w:rPr>
              <w:t>15%</w:t>
            </w:r>
          </w:p>
        </w:tc>
        <w:tc>
          <w:tcPr>
            <w:tcW w:w="744" w:type="dxa"/>
          </w:tcPr>
          <w:p w14:paraId="047056E0" w14:textId="77777777" w:rsidR="009948F1" w:rsidRDefault="00BC0563">
            <w:pPr>
              <w:pStyle w:val="TableParagraph"/>
              <w:spacing w:before="4"/>
              <w:ind w:left="112"/>
              <w:rPr>
                <w:sz w:val="18"/>
              </w:rPr>
            </w:pPr>
            <w:r>
              <w:rPr>
                <w:color w:val="231F20"/>
                <w:w w:val="105"/>
                <w:sz w:val="18"/>
              </w:rPr>
              <w:t>20%</w:t>
            </w:r>
          </w:p>
        </w:tc>
        <w:tc>
          <w:tcPr>
            <w:tcW w:w="747" w:type="dxa"/>
          </w:tcPr>
          <w:p w14:paraId="64C172BD" w14:textId="77777777" w:rsidR="009948F1" w:rsidRDefault="00BC0563">
            <w:pPr>
              <w:pStyle w:val="TableParagraph"/>
              <w:spacing w:before="4"/>
              <w:ind w:left="112"/>
              <w:rPr>
                <w:sz w:val="18"/>
              </w:rPr>
            </w:pPr>
            <w:r>
              <w:rPr>
                <w:color w:val="231F20"/>
                <w:w w:val="105"/>
                <w:sz w:val="18"/>
              </w:rPr>
              <w:t>25%</w:t>
            </w:r>
          </w:p>
        </w:tc>
        <w:tc>
          <w:tcPr>
            <w:tcW w:w="730" w:type="dxa"/>
          </w:tcPr>
          <w:p w14:paraId="6C5BB2AB" w14:textId="77777777" w:rsidR="009948F1" w:rsidRDefault="00BC0563">
            <w:pPr>
              <w:pStyle w:val="TableParagraph"/>
              <w:spacing w:before="4"/>
              <w:ind w:left="112"/>
              <w:rPr>
                <w:sz w:val="18"/>
              </w:rPr>
            </w:pPr>
            <w:r>
              <w:rPr>
                <w:color w:val="231F20"/>
                <w:w w:val="105"/>
                <w:sz w:val="18"/>
              </w:rPr>
              <w:t>30%</w:t>
            </w:r>
          </w:p>
        </w:tc>
        <w:tc>
          <w:tcPr>
            <w:tcW w:w="961" w:type="dxa"/>
          </w:tcPr>
          <w:p w14:paraId="14E24D8C" w14:textId="77777777" w:rsidR="009948F1" w:rsidRDefault="00BC0563">
            <w:pPr>
              <w:pStyle w:val="TableParagraph"/>
              <w:spacing w:before="4"/>
              <w:ind w:left="111"/>
              <w:rPr>
                <w:sz w:val="18"/>
              </w:rPr>
            </w:pPr>
            <w:r>
              <w:rPr>
                <w:color w:val="231F20"/>
                <w:w w:val="105"/>
                <w:sz w:val="18"/>
              </w:rPr>
              <w:t>38%</w:t>
            </w:r>
          </w:p>
        </w:tc>
      </w:tr>
      <w:tr w:rsidR="009948F1" w14:paraId="5262A500" w14:textId="77777777">
        <w:trPr>
          <w:trHeight w:val="849"/>
        </w:trPr>
        <w:tc>
          <w:tcPr>
            <w:tcW w:w="3014" w:type="dxa"/>
          </w:tcPr>
          <w:p w14:paraId="6526B814" w14:textId="77777777" w:rsidR="009948F1" w:rsidRDefault="00BC0563">
            <w:pPr>
              <w:pStyle w:val="TableParagraph"/>
              <w:spacing w:before="1" w:line="249" w:lineRule="auto"/>
              <w:ind w:left="111"/>
              <w:rPr>
                <w:sz w:val="18"/>
              </w:rPr>
            </w:pPr>
            <w:r>
              <w:rPr>
                <w:color w:val="231F20"/>
                <w:w w:val="105"/>
                <w:sz w:val="18"/>
              </w:rPr>
              <w:t>Percent of health workers who have received supportive supervision in last six months and</w:t>
            </w:r>
          </w:p>
          <w:p w14:paraId="1970D3B9" w14:textId="77777777" w:rsidR="009948F1" w:rsidRDefault="00BC0563">
            <w:pPr>
              <w:pStyle w:val="TableParagraph"/>
              <w:spacing w:line="183" w:lineRule="exact"/>
              <w:ind w:left="111"/>
              <w:rPr>
                <w:sz w:val="18"/>
              </w:rPr>
            </w:pPr>
            <w:r>
              <w:rPr>
                <w:color w:val="231F20"/>
                <w:w w:val="105"/>
                <w:sz w:val="18"/>
              </w:rPr>
              <w:t>left copy of the checklist</w:t>
            </w:r>
          </w:p>
        </w:tc>
        <w:tc>
          <w:tcPr>
            <w:tcW w:w="1243" w:type="dxa"/>
          </w:tcPr>
          <w:p w14:paraId="18772EBC" w14:textId="77777777" w:rsidR="009948F1" w:rsidRDefault="00BC0563">
            <w:pPr>
              <w:pStyle w:val="TableParagraph"/>
              <w:spacing w:before="1"/>
              <w:ind w:left="111"/>
              <w:rPr>
                <w:sz w:val="18"/>
              </w:rPr>
            </w:pPr>
            <w:r>
              <w:rPr>
                <w:color w:val="231F20"/>
                <w:w w:val="105"/>
                <w:sz w:val="18"/>
              </w:rPr>
              <w:t>TBD</w:t>
            </w:r>
          </w:p>
        </w:tc>
        <w:tc>
          <w:tcPr>
            <w:tcW w:w="749" w:type="dxa"/>
            <w:tcBorders>
              <w:top w:val="single" w:sz="8" w:space="0" w:color="231F20"/>
              <w:bottom w:val="single" w:sz="8" w:space="0" w:color="231F20"/>
              <w:right w:val="single" w:sz="8" w:space="0" w:color="231F20"/>
            </w:tcBorders>
          </w:tcPr>
          <w:p w14:paraId="2F48A390" w14:textId="77777777" w:rsidR="009948F1" w:rsidRDefault="00BC0563">
            <w:pPr>
              <w:pStyle w:val="TableParagraph"/>
              <w:spacing w:before="1"/>
              <w:ind w:left="111"/>
              <w:rPr>
                <w:sz w:val="18"/>
              </w:rPr>
            </w:pPr>
            <w:r>
              <w:rPr>
                <w:color w:val="231F20"/>
                <w:w w:val="105"/>
                <w:sz w:val="18"/>
              </w:rPr>
              <w:t>20</w:t>
            </w:r>
          </w:p>
        </w:tc>
        <w:tc>
          <w:tcPr>
            <w:tcW w:w="744" w:type="dxa"/>
            <w:tcBorders>
              <w:left w:val="single" w:sz="8" w:space="0" w:color="231F20"/>
            </w:tcBorders>
          </w:tcPr>
          <w:p w14:paraId="10B786CF" w14:textId="77777777" w:rsidR="009948F1" w:rsidRDefault="00BC0563">
            <w:pPr>
              <w:pStyle w:val="TableParagraph"/>
              <w:spacing w:before="1"/>
              <w:ind w:left="104"/>
              <w:rPr>
                <w:sz w:val="18"/>
              </w:rPr>
            </w:pPr>
            <w:r>
              <w:rPr>
                <w:color w:val="231F20"/>
                <w:w w:val="105"/>
                <w:sz w:val="18"/>
              </w:rPr>
              <w:t>25</w:t>
            </w:r>
          </w:p>
        </w:tc>
        <w:tc>
          <w:tcPr>
            <w:tcW w:w="744" w:type="dxa"/>
          </w:tcPr>
          <w:p w14:paraId="6BBB6F37" w14:textId="77777777" w:rsidR="009948F1" w:rsidRDefault="00BC0563">
            <w:pPr>
              <w:pStyle w:val="TableParagraph"/>
              <w:spacing w:before="1"/>
              <w:ind w:left="112"/>
              <w:rPr>
                <w:sz w:val="18"/>
              </w:rPr>
            </w:pPr>
            <w:r>
              <w:rPr>
                <w:color w:val="231F20"/>
                <w:w w:val="105"/>
                <w:sz w:val="18"/>
              </w:rPr>
              <w:t>30</w:t>
            </w:r>
          </w:p>
        </w:tc>
        <w:tc>
          <w:tcPr>
            <w:tcW w:w="747" w:type="dxa"/>
          </w:tcPr>
          <w:p w14:paraId="10A67DC8" w14:textId="77777777" w:rsidR="009948F1" w:rsidRDefault="00BC0563">
            <w:pPr>
              <w:pStyle w:val="TableParagraph"/>
              <w:spacing w:before="1"/>
              <w:ind w:left="112"/>
              <w:rPr>
                <w:sz w:val="18"/>
              </w:rPr>
            </w:pPr>
            <w:r>
              <w:rPr>
                <w:color w:val="231F20"/>
                <w:w w:val="105"/>
                <w:sz w:val="18"/>
              </w:rPr>
              <w:t>35</w:t>
            </w:r>
          </w:p>
        </w:tc>
        <w:tc>
          <w:tcPr>
            <w:tcW w:w="730" w:type="dxa"/>
          </w:tcPr>
          <w:p w14:paraId="5E340B3D" w14:textId="77777777" w:rsidR="009948F1" w:rsidRDefault="00BC0563">
            <w:pPr>
              <w:pStyle w:val="TableParagraph"/>
              <w:spacing w:before="1"/>
              <w:ind w:left="112"/>
              <w:rPr>
                <w:sz w:val="18"/>
              </w:rPr>
            </w:pPr>
            <w:r>
              <w:rPr>
                <w:color w:val="231F20"/>
                <w:w w:val="105"/>
                <w:sz w:val="18"/>
              </w:rPr>
              <w:t>40</w:t>
            </w:r>
          </w:p>
        </w:tc>
        <w:tc>
          <w:tcPr>
            <w:tcW w:w="961" w:type="dxa"/>
          </w:tcPr>
          <w:p w14:paraId="0DA01C19" w14:textId="77777777" w:rsidR="009948F1" w:rsidRDefault="00BC0563">
            <w:pPr>
              <w:pStyle w:val="TableParagraph"/>
              <w:spacing w:before="1"/>
              <w:ind w:left="111"/>
              <w:rPr>
                <w:sz w:val="18"/>
              </w:rPr>
            </w:pPr>
            <w:r>
              <w:rPr>
                <w:color w:val="231F20"/>
                <w:w w:val="105"/>
                <w:sz w:val="18"/>
              </w:rPr>
              <w:t>50%</w:t>
            </w:r>
          </w:p>
        </w:tc>
      </w:tr>
    </w:tbl>
    <w:p w14:paraId="2D60DA80" w14:textId="77777777" w:rsidR="009948F1" w:rsidRDefault="009948F1">
      <w:pPr>
        <w:pStyle w:val="BodyText"/>
        <w:spacing w:before="3"/>
        <w:rPr>
          <w:b/>
          <w:sz w:val="26"/>
        </w:rPr>
      </w:pPr>
    </w:p>
    <w:p w14:paraId="77AB30BF" w14:textId="77777777" w:rsidR="009948F1" w:rsidRDefault="00BC0563">
      <w:pPr>
        <w:pStyle w:val="Heading7"/>
        <w:spacing w:before="1"/>
        <w:ind w:left="172"/>
      </w:pPr>
      <w:r>
        <w:rPr>
          <w:color w:val="231F20"/>
        </w:rPr>
        <w:t>Interventions:</w:t>
      </w:r>
    </w:p>
    <w:p w14:paraId="7D79FDD4" w14:textId="77777777" w:rsidR="009948F1" w:rsidRDefault="00BC0563">
      <w:pPr>
        <w:pStyle w:val="ListParagraph"/>
        <w:numPr>
          <w:ilvl w:val="3"/>
          <w:numId w:val="269"/>
        </w:numPr>
        <w:tabs>
          <w:tab w:val="left" w:pos="1056"/>
          <w:tab w:val="left" w:pos="1058"/>
        </w:tabs>
        <w:spacing w:before="23"/>
        <w:ind w:hanging="886"/>
      </w:pPr>
      <w:r>
        <w:rPr>
          <w:color w:val="231F20"/>
        </w:rPr>
        <w:t>Strengthen/establish HRHIS at state and federal levels. The key actions are;-</w:t>
      </w:r>
      <w:r>
        <w:rPr>
          <w:color w:val="231F20"/>
          <w:spacing w:val="-4"/>
        </w:rPr>
        <w:t xml:space="preserve"> </w:t>
      </w:r>
      <w:r>
        <w:rPr>
          <w:color w:val="231F20"/>
        </w:rPr>
        <w:t>Establish</w:t>
      </w:r>
    </w:p>
    <w:p w14:paraId="4C0BA454" w14:textId="5CA2C93E" w:rsidR="009948F1" w:rsidRDefault="00BC0563">
      <w:pPr>
        <w:pStyle w:val="BodyText"/>
        <w:spacing w:before="23" w:line="261" w:lineRule="auto"/>
        <w:ind w:left="172" w:right="197"/>
        <w:jc w:val="both"/>
      </w:pPr>
      <w:r>
        <w:rPr>
          <w:color w:val="231F20"/>
        </w:rPr>
        <w:t>/Strengthen Human Resource Health Information System (HRHIS); Establish a performance management</w:t>
      </w:r>
      <w:r>
        <w:rPr>
          <w:color w:val="231F20"/>
          <w:spacing w:val="-9"/>
        </w:rPr>
        <w:t xml:space="preserve"> </w:t>
      </w:r>
      <w:r>
        <w:rPr>
          <w:color w:val="231F20"/>
        </w:rPr>
        <w:t>system</w:t>
      </w:r>
      <w:r>
        <w:rPr>
          <w:color w:val="231F20"/>
          <w:spacing w:val="-8"/>
        </w:rPr>
        <w:t xml:space="preserve"> </w:t>
      </w:r>
      <w:r>
        <w:rPr>
          <w:color w:val="231F20"/>
        </w:rPr>
        <w:t>(performance</w:t>
      </w:r>
      <w:r>
        <w:rPr>
          <w:color w:val="231F20"/>
          <w:spacing w:val="-8"/>
        </w:rPr>
        <w:t xml:space="preserve"> </w:t>
      </w:r>
      <w:r>
        <w:rPr>
          <w:color w:val="231F20"/>
        </w:rPr>
        <w:t>of</w:t>
      </w:r>
      <w:r>
        <w:rPr>
          <w:color w:val="231F20"/>
          <w:spacing w:val="-8"/>
        </w:rPr>
        <w:t xml:space="preserve"> </w:t>
      </w:r>
      <w:r>
        <w:rPr>
          <w:color w:val="231F20"/>
        </w:rPr>
        <w:t>individual</w:t>
      </w:r>
      <w:r>
        <w:rPr>
          <w:color w:val="231F20"/>
          <w:spacing w:val="-8"/>
        </w:rPr>
        <w:t xml:space="preserve"> </w:t>
      </w:r>
      <w:r>
        <w:rPr>
          <w:color w:val="231F20"/>
        </w:rPr>
        <w:t>workers</w:t>
      </w:r>
      <w:r>
        <w:rPr>
          <w:color w:val="231F20"/>
          <w:spacing w:val="-8"/>
        </w:rPr>
        <w:t xml:space="preserve"> </w:t>
      </w:r>
      <w:r>
        <w:rPr>
          <w:color w:val="231F20"/>
        </w:rPr>
        <w:t>using</w:t>
      </w:r>
      <w:r>
        <w:rPr>
          <w:color w:val="231F20"/>
          <w:spacing w:val="-8"/>
        </w:rPr>
        <w:t xml:space="preserve"> </w:t>
      </w:r>
      <w:r>
        <w:rPr>
          <w:color w:val="231F20"/>
        </w:rPr>
        <w:t>job</w:t>
      </w:r>
      <w:r>
        <w:rPr>
          <w:color w:val="231F20"/>
          <w:spacing w:val="-9"/>
        </w:rPr>
        <w:t xml:space="preserve"> </w:t>
      </w:r>
      <w:r>
        <w:rPr>
          <w:color w:val="231F20"/>
        </w:rPr>
        <w:t>aids,</w:t>
      </w:r>
      <w:r>
        <w:rPr>
          <w:color w:val="231F20"/>
          <w:spacing w:val="-8"/>
        </w:rPr>
        <w:t xml:space="preserve"> </w:t>
      </w:r>
      <w:r>
        <w:rPr>
          <w:color w:val="231F20"/>
        </w:rPr>
        <w:t>job</w:t>
      </w:r>
      <w:r>
        <w:rPr>
          <w:color w:val="231F20"/>
          <w:spacing w:val="-8"/>
        </w:rPr>
        <w:t xml:space="preserve"> </w:t>
      </w:r>
      <w:r>
        <w:rPr>
          <w:color w:val="231F20"/>
        </w:rPr>
        <w:t>descriptions,</w:t>
      </w:r>
      <w:r>
        <w:rPr>
          <w:color w:val="231F20"/>
          <w:spacing w:val="-8"/>
        </w:rPr>
        <w:t xml:space="preserve"> </w:t>
      </w:r>
      <w:r>
        <w:rPr>
          <w:color w:val="231F20"/>
        </w:rPr>
        <w:t xml:space="preserve">scheme of service and </w:t>
      </w:r>
      <w:r w:rsidR="00E62884">
        <w:rPr>
          <w:color w:val="231F20"/>
        </w:rPr>
        <w:t>work plans</w:t>
      </w:r>
      <w:r>
        <w:rPr>
          <w:color w:val="231F20"/>
        </w:rPr>
        <w:t>); Conduct periodic facility-based and health workers' performance assessment,</w:t>
      </w:r>
      <w:r>
        <w:rPr>
          <w:color w:val="231F20"/>
          <w:spacing w:val="-25"/>
        </w:rPr>
        <w:t xml:space="preserve"> </w:t>
      </w:r>
      <w:proofErr w:type="gramStart"/>
      <w:r>
        <w:rPr>
          <w:color w:val="231F20"/>
        </w:rPr>
        <w:t>monitoring</w:t>
      </w:r>
      <w:proofErr w:type="gramEnd"/>
      <w:r>
        <w:rPr>
          <w:color w:val="231F20"/>
          <w:spacing w:val="-25"/>
        </w:rPr>
        <w:t xml:space="preserve"> </w:t>
      </w:r>
      <w:r>
        <w:rPr>
          <w:color w:val="231F20"/>
        </w:rPr>
        <w:t>an</w:t>
      </w:r>
      <w:r w:rsidR="00582DC8">
        <w:rPr>
          <w:color w:val="231F20"/>
        </w:rPr>
        <w:t>d</w:t>
      </w:r>
      <w:r>
        <w:rPr>
          <w:color w:val="231F20"/>
          <w:spacing w:val="-26"/>
        </w:rPr>
        <w:t xml:space="preserve"> </w:t>
      </w:r>
      <w:r>
        <w:rPr>
          <w:color w:val="231F20"/>
        </w:rPr>
        <w:t>supervision.</w:t>
      </w:r>
    </w:p>
    <w:p w14:paraId="75ABFD29" w14:textId="77777777" w:rsidR="009948F1" w:rsidRDefault="009948F1">
      <w:pPr>
        <w:pStyle w:val="BodyText"/>
        <w:rPr>
          <w:sz w:val="24"/>
        </w:rPr>
      </w:pPr>
    </w:p>
    <w:p w14:paraId="621BF525" w14:textId="77777777" w:rsidR="009948F1" w:rsidRDefault="00BC0563">
      <w:pPr>
        <w:pStyle w:val="ListParagraph"/>
        <w:numPr>
          <w:ilvl w:val="3"/>
          <w:numId w:val="269"/>
        </w:numPr>
        <w:tabs>
          <w:tab w:val="left" w:pos="916"/>
        </w:tabs>
        <w:spacing w:before="1" w:line="261" w:lineRule="auto"/>
        <w:ind w:left="172" w:right="197" w:firstLine="0"/>
      </w:pPr>
      <w:r>
        <w:rPr>
          <w:color w:val="231F20"/>
        </w:rPr>
        <w:t>Establish mechanisms for annual HRH reviews and reporting for evidence and decision making</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and</w:t>
      </w:r>
      <w:r>
        <w:rPr>
          <w:color w:val="231F20"/>
          <w:spacing w:val="-11"/>
        </w:rPr>
        <w:t xml:space="preserve"> </w:t>
      </w:r>
      <w:r>
        <w:rPr>
          <w:color w:val="231F20"/>
        </w:rPr>
        <w:t>LGA</w:t>
      </w:r>
      <w:r>
        <w:rPr>
          <w:color w:val="231F20"/>
          <w:spacing w:val="-24"/>
        </w:rPr>
        <w:t xml:space="preserve"> </w:t>
      </w:r>
      <w:r>
        <w:rPr>
          <w:color w:val="231F20"/>
        </w:rPr>
        <w:t>levels.</w:t>
      </w:r>
      <w:r>
        <w:rPr>
          <w:color w:val="231F20"/>
          <w:spacing w:val="-16"/>
        </w:rPr>
        <w:t xml:space="preserve"> </w:t>
      </w:r>
      <w:r>
        <w:rPr>
          <w:color w:val="231F20"/>
        </w:rPr>
        <w:t>The</w:t>
      </w:r>
      <w:r>
        <w:rPr>
          <w:color w:val="231F20"/>
          <w:spacing w:val="-12"/>
        </w:rPr>
        <w:t xml:space="preserve"> </w:t>
      </w:r>
      <w:r>
        <w:rPr>
          <w:color w:val="231F20"/>
        </w:rPr>
        <w:t>key</w:t>
      </w:r>
      <w:r>
        <w:rPr>
          <w:color w:val="231F20"/>
          <w:spacing w:val="-11"/>
        </w:rPr>
        <w:t xml:space="preserve"> </w:t>
      </w:r>
      <w:r>
        <w:rPr>
          <w:color w:val="231F20"/>
        </w:rPr>
        <w:t>actions</w:t>
      </w:r>
      <w:r>
        <w:rPr>
          <w:color w:val="231F20"/>
          <w:spacing w:val="-12"/>
        </w:rPr>
        <w:t xml:space="preserve"> </w:t>
      </w:r>
      <w:r>
        <w:rPr>
          <w:color w:val="231F20"/>
        </w:rPr>
        <w:t>are;</w:t>
      </w:r>
      <w:r>
        <w:rPr>
          <w:color w:val="231F20"/>
          <w:spacing w:val="-12"/>
        </w:rPr>
        <w:t xml:space="preserve"> </w:t>
      </w:r>
      <w:r>
        <w:rPr>
          <w:color w:val="231F20"/>
        </w:rPr>
        <w:t>-</w:t>
      </w:r>
      <w:r>
        <w:rPr>
          <w:color w:val="231F20"/>
          <w:spacing w:val="-12"/>
        </w:rPr>
        <w:t xml:space="preserve"> </w:t>
      </w:r>
      <w:r>
        <w:rPr>
          <w:color w:val="231F20"/>
        </w:rPr>
        <w:t>Conduct</w:t>
      </w:r>
      <w:r>
        <w:rPr>
          <w:color w:val="231F20"/>
          <w:spacing w:val="-12"/>
        </w:rPr>
        <w:t xml:space="preserve"> </w:t>
      </w:r>
      <w:r>
        <w:rPr>
          <w:color w:val="231F20"/>
        </w:rPr>
        <w:t>joint</w:t>
      </w:r>
      <w:r>
        <w:rPr>
          <w:color w:val="231F20"/>
          <w:spacing w:val="-11"/>
        </w:rPr>
        <w:t xml:space="preserve"> </w:t>
      </w:r>
      <w:r>
        <w:rPr>
          <w:color w:val="231F20"/>
        </w:rPr>
        <w:t>annual</w:t>
      </w:r>
      <w:r>
        <w:rPr>
          <w:color w:val="231F20"/>
          <w:spacing w:val="-12"/>
        </w:rPr>
        <w:t xml:space="preserve"> </w:t>
      </w:r>
      <w:r>
        <w:rPr>
          <w:color w:val="231F20"/>
        </w:rPr>
        <w:t>reviews</w:t>
      </w:r>
      <w:r>
        <w:rPr>
          <w:color w:val="231F20"/>
          <w:spacing w:val="-12"/>
        </w:rPr>
        <w:t xml:space="preserve"> </w:t>
      </w:r>
      <w:r>
        <w:rPr>
          <w:color w:val="231F20"/>
        </w:rPr>
        <w:t>to</w:t>
      </w:r>
      <w:r>
        <w:rPr>
          <w:color w:val="231F20"/>
          <w:spacing w:val="-12"/>
        </w:rPr>
        <w:t xml:space="preserve"> </w:t>
      </w:r>
      <w:r>
        <w:rPr>
          <w:color w:val="231F20"/>
          <w:spacing w:val="-3"/>
        </w:rPr>
        <w:t xml:space="preserve">assess </w:t>
      </w:r>
      <w:r>
        <w:rPr>
          <w:color w:val="231F20"/>
        </w:rPr>
        <w:t>progress</w:t>
      </w:r>
      <w:r>
        <w:rPr>
          <w:color w:val="231F20"/>
          <w:spacing w:val="-7"/>
        </w:rPr>
        <w:t xml:space="preserve"> </w:t>
      </w:r>
      <w:r>
        <w:rPr>
          <w:color w:val="231F20"/>
        </w:rPr>
        <w:t>made</w:t>
      </w:r>
      <w:r>
        <w:rPr>
          <w:color w:val="231F20"/>
          <w:spacing w:val="-6"/>
        </w:rPr>
        <w:t xml:space="preserve"> </w:t>
      </w:r>
      <w:r>
        <w:rPr>
          <w:color w:val="231F20"/>
        </w:rPr>
        <w:t>in</w:t>
      </w:r>
      <w:r>
        <w:rPr>
          <w:color w:val="231F20"/>
          <w:spacing w:val="-6"/>
        </w:rPr>
        <w:t xml:space="preserve"> </w:t>
      </w:r>
      <w:r>
        <w:rPr>
          <w:color w:val="231F20"/>
        </w:rPr>
        <w:t>implementing</w:t>
      </w:r>
      <w:r>
        <w:rPr>
          <w:color w:val="231F20"/>
          <w:spacing w:val="-6"/>
        </w:rPr>
        <w:t xml:space="preserve"> </w:t>
      </w:r>
      <w:r>
        <w:rPr>
          <w:color w:val="231F20"/>
        </w:rPr>
        <w:t>HRH</w:t>
      </w:r>
      <w:r>
        <w:rPr>
          <w:color w:val="231F20"/>
          <w:spacing w:val="-6"/>
        </w:rPr>
        <w:t xml:space="preserve"> </w:t>
      </w:r>
      <w:r>
        <w:rPr>
          <w:color w:val="231F20"/>
        </w:rPr>
        <w:t>action</w:t>
      </w:r>
      <w:r>
        <w:rPr>
          <w:color w:val="231F20"/>
          <w:spacing w:val="-6"/>
        </w:rPr>
        <w:t xml:space="preserve"> </w:t>
      </w:r>
      <w:r>
        <w:rPr>
          <w:color w:val="231F20"/>
        </w:rPr>
        <w:t>plans</w:t>
      </w:r>
      <w:r>
        <w:rPr>
          <w:color w:val="231F20"/>
          <w:spacing w:val="-6"/>
        </w:rPr>
        <w:t xml:space="preserve"> </w:t>
      </w:r>
      <w:r>
        <w:rPr>
          <w:color w:val="231F20"/>
        </w:rPr>
        <w:t>by</w:t>
      </w:r>
      <w:r>
        <w:rPr>
          <w:color w:val="231F20"/>
          <w:spacing w:val="-6"/>
        </w:rPr>
        <w:t xml:space="preserve"> </w:t>
      </w:r>
      <w:r>
        <w:rPr>
          <w:color w:val="231F20"/>
        </w:rPr>
        <w:t>thematic</w:t>
      </w:r>
      <w:r>
        <w:rPr>
          <w:color w:val="231F20"/>
          <w:spacing w:val="-6"/>
        </w:rPr>
        <w:t xml:space="preserve"> </w:t>
      </w:r>
      <w:r>
        <w:rPr>
          <w:color w:val="231F20"/>
        </w:rPr>
        <w:t>areas;</w:t>
      </w:r>
      <w:r>
        <w:rPr>
          <w:color w:val="231F20"/>
          <w:spacing w:val="-7"/>
        </w:rPr>
        <w:t xml:space="preserve"> </w:t>
      </w:r>
      <w:r>
        <w:rPr>
          <w:color w:val="231F20"/>
        </w:rPr>
        <w:t>Conduct</w:t>
      </w:r>
      <w:r>
        <w:rPr>
          <w:color w:val="231F20"/>
          <w:spacing w:val="-6"/>
        </w:rPr>
        <w:t xml:space="preserve"> </w:t>
      </w:r>
      <w:r>
        <w:rPr>
          <w:color w:val="231F20"/>
        </w:rPr>
        <w:t>mid-term</w:t>
      </w:r>
      <w:r>
        <w:rPr>
          <w:color w:val="231F20"/>
          <w:spacing w:val="-6"/>
        </w:rPr>
        <w:t xml:space="preserve"> </w:t>
      </w:r>
      <w:r>
        <w:rPr>
          <w:color w:val="231F20"/>
        </w:rPr>
        <w:t>and</w:t>
      </w:r>
      <w:r>
        <w:rPr>
          <w:color w:val="231F20"/>
          <w:spacing w:val="-6"/>
        </w:rPr>
        <w:t xml:space="preserve"> </w:t>
      </w:r>
      <w:r>
        <w:rPr>
          <w:color w:val="231F20"/>
        </w:rPr>
        <w:t>final evaluation</w:t>
      </w:r>
      <w:r>
        <w:rPr>
          <w:color w:val="231F20"/>
          <w:spacing w:val="-25"/>
        </w:rPr>
        <w:t xml:space="preserve"> </w:t>
      </w:r>
      <w:r>
        <w:rPr>
          <w:color w:val="231F20"/>
        </w:rPr>
        <w:t>of</w:t>
      </w:r>
      <w:r>
        <w:rPr>
          <w:color w:val="231F20"/>
          <w:spacing w:val="-26"/>
        </w:rPr>
        <w:t xml:space="preserve"> </w:t>
      </w:r>
      <w:r>
        <w:rPr>
          <w:color w:val="231F20"/>
        </w:rPr>
        <w:t>HRH</w:t>
      </w:r>
      <w:r>
        <w:rPr>
          <w:color w:val="231F20"/>
          <w:spacing w:val="-25"/>
        </w:rPr>
        <w:t xml:space="preserve"> </w:t>
      </w:r>
      <w:r>
        <w:rPr>
          <w:color w:val="231F20"/>
        </w:rPr>
        <w:t>strategic</w:t>
      </w:r>
      <w:r>
        <w:rPr>
          <w:color w:val="231F20"/>
          <w:spacing w:val="-25"/>
        </w:rPr>
        <w:t xml:space="preserve"> </w:t>
      </w:r>
      <w:r>
        <w:rPr>
          <w:color w:val="231F20"/>
        </w:rPr>
        <w:t>plan</w:t>
      </w:r>
      <w:r>
        <w:rPr>
          <w:color w:val="231F20"/>
          <w:spacing w:val="-25"/>
        </w:rPr>
        <w:t xml:space="preserve"> </w:t>
      </w:r>
      <w:r>
        <w:rPr>
          <w:color w:val="231F20"/>
        </w:rPr>
        <w:t>implementation.</w:t>
      </w:r>
    </w:p>
    <w:p w14:paraId="659871F8" w14:textId="77777777" w:rsidR="009948F1" w:rsidRDefault="009948F1">
      <w:pPr>
        <w:pStyle w:val="BodyText"/>
        <w:rPr>
          <w:sz w:val="24"/>
        </w:rPr>
      </w:pPr>
    </w:p>
    <w:p w14:paraId="245915A8" w14:textId="77777777" w:rsidR="009948F1" w:rsidRDefault="00BC0563">
      <w:pPr>
        <w:pStyle w:val="ListParagraph"/>
        <w:numPr>
          <w:ilvl w:val="3"/>
          <w:numId w:val="269"/>
        </w:numPr>
        <w:tabs>
          <w:tab w:val="left" w:pos="936"/>
        </w:tabs>
        <w:spacing w:before="1" w:line="261" w:lineRule="auto"/>
        <w:ind w:left="172" w:right="198" w:firstLine="0"/>
      </w:pPr>
      <w:r>
        <w:rPr>
          <w:color w:val="231F20"/>
        </w:rPr>
        <w:t xml:space="preserve">Improve the production of HRH research evidence through monitoring and evaluation mechanisms. The key actions </w:t>
      </w:r>
      <w:proofErr w:type="gramStart"/>
      <w:r>
        <w:rPr>
          <w:color w:val="231F20"/>
        </w:rPr>
        <w:t>are;</w:t>
      </w:r>
      <w:proofErr w:type="gramEnd"/>
      <w:r>
        <w:rPr>
          <w:color w:val="231F20"/>
        </w:rPr>
        <w:t xml:space="preserve"> - Promote and build capacity for HRH research; Conduct relevant</w:t>
      </w:r>
      <w:r>
        <w:rPr>
          <w:color w:val="231F20"/>
          <w:spacing w:val="-18"/>
        </w:rPr>
        <w:t xml:space="preserve"> </w:t>
      </w:r>
      <w:r>
        <w:rPr>
          <w:color w:val="231F20"/>
        </w:rPr>
        <w:t>research</w:t>
      </w:r>
      <w:r>
        <w:rPr>
          <w:color w:val="231F20"/>
          <w:spacing w:val="-18"/>
        </w:rPr>
        <w:t xml:space="preserve"> </w:t>
      </w:r>
      <w:r>
        <w:rPr>
          <w:color w:val="231F20"/>
        </w:rPr>
        <w:t>to</w:t>
      </w:r>
      <w:r>
        <w:rPr>
          <w:color w:val="231F20"/>
          <w:spacing w:val="-18"/>
        </w:rPr>
        <w:t xml:space="preserve"> </w:t>
      </w:r>
      <w:r>
        <w:rPr>
          <w:color w:val="231F20"/>
        </w:rPr>
        <w:t>improve</w:t>
      </w:r>
      <w:r>
        <w:rPr>
          <w:color w:val="231F20"/>
          <w:spacing w:val="-18"/>
        </w:rPr>
        <w:t xml:space="preserve"> </w:t>
      </w:r>
      <w:r>
        <w:rPr>
          <w:color w:val="231F20"/>
        </w:rPr>
        <w:t>the</w:t>
      </w:r>
      <w:r>
        <w:rPr>
          <w:color w:val="231F20"/>
          <w:spacing w:val="-18"/>
        </w:rPr>
        <w:t xml:space="preserve"> </w:t>
      </w:r>
      <w:r>
        <w:rPr>
          <w:color w:val="231F20"/>
        </w:rPr>
        <w:t>production</w:t>
      </w:r>
      <w:r>
        <w:rPr>
          <w:color w:val="231F20"/>
          <w:spacing w:val="-18"/>
        </w:rPr>
        <w:t xml:space="preserve"> </w:t>
      </w:r>
      <w:r>
        <w:rPr>
          <w:color w:val="231F20"/>
        </w:rPr>
        <w:t>and</w:t>
      </w:r>
      <w:r>
        <w:rPr>
          <w:color w:val="231F20"/>
          <w:spacing w:val="-18"/>
        </w:rPr>
        <w:t xml:space="preserve"> </w:t>
      </w:r>
      <w:r>
        <w:rPr>
          <w:color w:val="231F20"/>
        </w:rPr>
        <w:t>utilization</w:t>
      </w:r>
      <w:r>
        <w:rPr>
          <w:color w:val="231F20"/>
          <w:spacing w:val="-18"/>
        </w:rPr>
        <w:t xml:space="preserve"> </w:t>
      </w:r>
      <w:r>
        <w:rPr>
          <w:color w:val="231F20"/>
        </w:rPr>
        <w:t>of</w:t>
      </w:r>
      <w:r>
        <w:rPr>
          <w:color w:val="231F20"/>
          <w:spacing w:val="-17"/>
        </w:rPr>
        <w:t xml:space="preserve"> </w:t>
      </w:r>
      <w:r>
        <w:rPr>
          <w:color w:val="231F20"/>
        </w:rPr>
        <w:t>relevant</w:t>
      </w:r>
      <w:r>
        <w:rPr>
          <w:color w:val="231F20"/>
          <w:spacing w:val="-18"/>
        </w:rPr>
        <w:t xml:space="preserve"> </w:t>
      </w:r>
      <w:r>
        <w:rPr>
          <w:color w:val="231F20"/>
        </w:rPr>
        <w:t>professional</w:t>
      </w:r>
      <w:r>
        <w:rPr>
          <w:color w:val="231F20"/>
          <w:spacing w:val="-18"/>
        </w:rPr>
        <w:t xml:space="preserve"> </w:t>
      </w:r>
      <w:r>
        <w:rPr>
          <w:color w:val="231F20"/>
        </w:rPr>
        <w:t>cadres</w:t>
      </w:r>
      <w:r>
        <w:rPr>
          <w:color w:val="231F20"/>
          <w:spacing w:val="-18"/>
        </w:rPr>
        <w:t xml:space="preserve"> </w:t>
      </w:r>
      <w:r>
        <w:rPr>
          <w:color w:val="231F20"/>
        </w:rPr>
        <w:t>and</w:t>
      </w:r>
      <w:r>
        <w:rPr>
          <w:color w:val="231F20"/>
          <w:spacing w:val="-18"/>
        </w:rPr>
        <w:t xml:space="preserve"> </w:t>
      </w:r>
      <w:r>
        <w:rPr>
          <w:color w:val="231F20"/>
          <w:spacing w:val="-3"/>
        </w:rPr>
        <w:t xml:space="preserve">skill </w:t>
      </w:r>
      <w:r>
        <w:rPr>
          <w:color w:val="231F20"/>
        </w:rPr>
        <w:t>mix required for a responsive health system; Create a platform for translating HRH research findings</w:t>
      </w:r>
      <w:r>
        <w:rPr>
          <w:color w:val="231F20"/>
          <w:spacing w:val="-25"/>
        </w:rPr>
        <w:t xml:space="preserve"> </w:t>
      </w:r>
      <w:r>
        <w:rPr>
          <w:color w:val="231F20"/>
        </w:rPr>
        <w:t>to</w:t>
      </w:r>
      <w:r>
        <w:rPr>
          <w:color w:val="231F20"/>
          <w:spacing w:val="-25"/>
        </w:rPr>
        <w:t xml:space="preserve"> </w:t>
      </w:r>
      <w:r>
        <w:rPr>
          <w:color w:val="231F20"/>
        </w:rPr>
        <w:t>action</w:t>
      </w:r>
      <w:r>
        <w:rPr>
          <w:color w:val="231F20"/>
          <w:spacing w:val="-25"/>
        </w:rPr>
        <w:t xml:space="preserve"> </w:t>
      </w:r>
      <w:r>
        <w:rPr>
          <w:color w:val="231F20"/>
        </w:rPr>
        <w:t>(evidence</w:t>
      </w:r>
      <w:r>
        <w:rPr>
          <w:color w:val="231F20"/>
          <w:spacing w:val="-26"/>
        </w:rPr>
        <w:t xml:space="preserve"> </w:t>
      </w:r>
      <w:r>
        <w:rPr>
          <w:color w:val="231F20"/>
        </w:rPr>
        <w:t>to</w:t>
      </w:r>
      <w:r>
        <w:rPr>
          <w:color w:val="231F20"/>
          <w:spacing w:val="-25"/>
        </w:rPr>
        <w:t xml:space="preserve"> </w:t>
      </w:r>
      <w:r>
        <w:rPr>
          <w:color w:val="231F20"/>
        </w:rPr>
        <w:t>action).</w:t>
      </w:r>
    </w:p>
    <w:p w14:paraId="08A08A5A" w14:textId="77777777" w:rsidR="009948F1" w:rsidRDefault="009948F1">
      <w:pPr>
        <w:pStyle w:val="BodyText"/>
        <w:spacing w:before="1"/>
        <w:rPr>
          <w:sz w:val="24"/>
        </w:rPr>
      </w:pPr>
    </w:p>
    <w:p w14:paraId="11E85AA4" w14:textId="77777777" w:rsidR="009948F1" w:rsidRDefault="00BC0563">
      <w:pPr>
        <w:pStyle w:val="Heading7"/>
        <w:numPr>
          <w:ilvl w:val="2"/>
          <w:numId w:val="271"/>
        </w:numPr>
        <w:tabs>
          <w:tab w:val="left" w:pos="718"/>
        </w:tabs>
        <w:spacing w:line="261" w:lineRule="auto"/>
        <w:ind w:left="172" w:right="198" w:firstLine="0"/>
        <w:jc w:val="both"/>
        <w:rPr>
          <w:color w:val="231F20"/>
        </w:rPr>
      </w:pPr>
      <w:r>
        <w:rPr>
          <w:color w:val="231F20"/>
        </w:rPr>
        <w:t>Ensure effective health workforce management through retention, deployment,</w:t>
      </w:r>
      <w:r>
        <w:rPr>
          <w:color w:val="231F20"/>
          <w:spacing w:val="-40"/>
        </w:rPr>
        <w:t xml:space="preserve"> </w:t>
      </w:r>
      <w:r>
        <w:rPr>
          <w:color w:val="231F20"/>
          <w:spacing w:val="-4"/>
        </w:rPr>
        <w:t xml:space="preserve">work </w:t>
      </w:r>
      <w:r>
        <w:rPr>
          <w:color w:val="231F20"/>
        </w:rPr>
        <w:t>condition,</w:t>
      </w:r>
      <w:r>
        <w:rPr>
          <w:color w:val="231F20"/>
          <w:spacing w:val="-25"/>
        </w:rPr>
        <w:t xml:space="preserve"> </w:t>
      </w:r>
      <w:r>
        <w:rPr>
          <w:color w:val="231F20"/>
        </w:rPr>
        <w:t>motivation</w:t>
      </w:r>
      <w:r>
        <w:rPr>
          <w:color w:val="231F20"/>
          <w:spacing w:val="-25"/>
        </w:rPr>
        <w:t xml:space="preserve"> </w:t>
      </w:r>
      <w:r>
        <w:rPr>
          <w:color w:val="231F20"/>
        </w:rPr>
        <w:t>and</w:t>
      </w:r>
      <w:r>
        <w:rPr>
          <w:color w:val="231F20"/>
          <w:spacing w:val="-25"/>
        </w:rPr>
        <w:t xml:space="preserve"> </w:t>
      </w:r>
      <w:r>
        <w:rPr>
          <w:color w:val="231F20"/>
        </w:rPr>
        <w:t>performance</w:t>
      </w:r>
      <w:r>
        <w:rPr>
          <w:color w:val="231F20"/>
          <w:spacing w:val="-25"/>
        </w:rPr>
        <w:t xml:space="preserve"> </w:t>
      </w:r>
      <w:r>
        <w:rPr>
          <w:color w:val="231F20"/>
        </w:rPr>
        <w:t>management</w:t>
      </w:r>
    </w:p>
    <w:p w14:paraId="19EA050C" w14:textId="77777777" w:rsidR="009948F1" w:rsidRDefault="009948F1">
      <w:pPr>
        <w:pStyle w:val="BodyText"/>
        <w:spacing w:before="10"/>
        <w:rPr>
          <w:b/>
          <w:sz w:val="32"/>
        </w:rPr>
      </w:pPr>
    </w:p>
    <w:p w14:paraId="41D04B11" w14:textId="77777777" w:rsidR="009948F1" w:rsidRDefault="00BC0563">
      <w:pPr>
        <w:spacing w:before="1" w:after="45"/>
        <w:ind w:left="292"/>
        <w:rPr>
          <w:b/>
          <w:sz w:val="23"/>
        </w:rPr>
      </w:pPr>
      <w:r>
        <w:rPr>
          <w:b/>
          <w:color w:val="231F20"/>
          <w:sz w:val="23"/>
        </w:rPr>
        <w:t>Target:</w:t>
      </w:r>
    </w:p>
    <w:tbl>
      <w:tblPr>
        <w:tblW w:w="0" w:type="auto"/>
        <w:tblInd w:w="1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114"/>
        <w:gridCol w:w="1296"/>
        <w:gridCol w:w="787"/>
        <w:gridCol w:w="787"/>
        <w:gridCol w:w="787"/>
        <w:gridCol w:w="787"/>
        <w:gridCol w:w="703"/>
        <w:gridCol w:w="983"/>
      </w:tblGrid>
      <w:tr w:rsidR="009948F1" w14:paraId="776A5C8F" w14:textId="77777777">
        <w:trPr>
          <w:trHeight w:val="216"/>
        </w:trPr>
        <w:tc>
          <w:tcPr>
            <w:tcW w:w="3114" w:type="dxa"/>
            <w:shd w:val="clear" w:color="auto" w:fill="F4CEB2"/>
          </w:tcPr>
          <w:p w14:paraId="6EDC9D5F" w14:textId="77777777" w:rsidR="009948F1" w:rsidRDefault="00BC0563">
            <w:pPr>
              <w:pStyle w:val="TableParagraph"/>
              <w:spacing w:line="197" w:lineRule="exact"/>
              <w:ind w:left="112"/>
              <w:rPr>
                <w:sz w:val="19"/>
              </w:rPr>
            </w:pPr>
            <w:r>
              <w:rPr>
                <w:color w:val="231F20"/>
                <w:sz w:val="19"/>
              </w:rPr>
              <w:t>Targets</w:t>
            </w:r>
          </w:p>
        </w:tc>
        <w:tc>
          <w:tcPr>
            <w:tcW w:w="1296" w:type="dxa"/>
            <w:shd w:val="clear" w:color="auto" w:fill="F4CEB2"/>
          </w:tcPr>
          <w:p w14:paraId="208E2952" w14:textId="77777777" w:rsidR="009948F1" w:rsidRDefault="00BC0563">
            <w:pPr>
              <w:pStyle w:val="TableParagraph"/>
              <w:spacing w:line="197" w:lineRule="exact"/>
              <w:ind w:left="112"/>
              <w:rPr>
                <w:sz w:val="19"/>
              </w:rPr>
            </w:pPr>
            <w:r>
              <w:rPr>
                <w:color w:val="231F20"/>
                <w:sz w:val="19"/>
              </w:rPr>
              <w:t>Baseline</w:t>
            </w:r>
          </w:p>
        </w:tc>
        <w:tc>
          <w:tcPr>
            <w:tcW w:w="787" w:type="dxa"/>
            <w:shd w:val="clear" w:color="auto" w:fill="F4CEB2"/>
          </w:tcPr>
          <w:p w14:paraId="08D3E02C" w14:textId="77777777" w:rsidR="009948F1" w:rsidRDefault="00BC0563">
            <w:pPr>
              <w:pStyle w:val="TableParagraph"/>
              <w:spacing w:line="197" w:lineRule="exact"/>
              <w:ind w:left="112"/>
              <w:rPr>
                <w:b/>
                <w:sz w:val="19"/>
              </w:rPr>
            </w:pPr>
            <w:r>
              <w:rPr>
                <w:b/>
                <w:color w:val="231F20"/>
                <w:sz w:val="19"/>
              </w:rPr>
              <w:t>2018</w:t>
            </w:r>
          </w:p>
        </w:tc>
        <w:tc>
          <w:tcPr>
            <w:tcW w:w="787" w:type="dxa"/>
            <w:shd w:val="clear" w:color="auto" w:fill="F4CEB2"/>
          </w:tcPr>
          <w:p w14:paraId="434B9FFF" w14:textId="77777777" w:rsidR="009948F1" w:rsidRDefault="00BC0563">
            <w:pPr>
              <w:pStyle w:val="TableParagraph"/>
              <w:spacing w:line="197" w:lineRule="exact"/>
              <w:ind w:left="112"/>
              <w:rPr>
                <w:b/>
                <w:sz w:val="19"/>
              </w:rPr>
            </w:pPr>
            <w:r>
              <w:rPr>
                <w:b/>
                <w:color w:val="231F20"/>
                <w:sz w:val="19"/>
              </w:rPr>
              <w:t>2019</w:t>
            </w:r>
          </w:p>
        </w:tc>
        <w:tc>
          <w:tcPr>
            <w:tcW w:w="787" w:type="dxa"/>
            <w:shd w:val="clear" w:color="auto" w:fill="F4CEB2"/>
          </w:tcPr>
          <w:p w14:paraId="4745D353" w14:textId="77777777" w:rsidR="009948F1" w:rsidRDefault="00BC0563">
            <w:pPr>
              <w:pStyle w:val="TableParagraph"/>
              <w:spacing w:line="197" w:lineRule="exact"/>
              <w:ind w:left="112"/>
              <w:rPr>
                <w:b/>
                <w:sz w:val="19"/>
              </w:rPr>
            </w:pPr>
            <w:r>
              <w:rPr>
                <w:b/>
                <w:color w:val="231F20"/>
                <w:sz w:val="19"/>
              </w:rPr>
              <w:t>2020</w:t>
            </w:r>
          </w:p>
        </w:tc>
        <w:tc>
          <w:tcPr>
            <w:tcW w:w="787" w:type="dxa"/>
            <w:shd w:val="clear" w:color="auto" w:fill="F4CEB2"/>
          </w:tcPr>
          <w:p w14:paraId="5CC90140" w14:textId="77777777" w:rsidR="009948F1" w:rsidRDefault="00BC0563">
            <w:pPr>
              <w:pStyle w:val="TableParagraph"/>
              <w:spacing w:line="197" w:lineRule="exact"/>
              <w:ind w:left="112"/>
              <w:rPr>
                <w:b/>
                <w:sz w:val="19"/>
              </w:rPr>
            </w:pPr>
            <w:r>
              <w:rPr>
                <w:b/>
                <w:color w:val="231F20"/>
                <w:sz w:val="19"/>
              </w:rPr>
              <w:t>2021</w:t>
            </w:r>
          </w:p>
        </w:tc>
        <w:tc>
          <w:tcPr>
            <w:tcW w:w="703" w:type="dxa"/>
            <w:shd w:val="clear" w:color="auto" w:fill="F4CEB2"/>
          </w:tcPr>
          <w:p w14:paraId="2641D5E2" w14:textId="77777777" w:rsidR="009948F1" w:rsidRDefault="00BC0563">
            <w:pPr>
              <w:pStyle w:val="TableParagraph"/>
              <w:spacing w:line="197" w:lineRule="exact"/>
              <w:ind w:left="112"/>
              <w:rPr>
                <w:b/>
                <w:sz w:val="19"/>
              </w:rPr>
            </w:pPr>
            <w:r>
              <w:rPr>
                <w:b/>
                <w:color w:val="231F20"/>
                <w:sz w:val="19"/>
              </w:rPr>
              <w:t>2022</w:t>
            </w:r>
          </w:p>
        </w:tc>
        <w:tc>
          <w:tcPr>
            <w:tcW w:w="983" w:type="dxa"/>
            <w:shd w:val="clear" w:color="auto" w:fill="F4CEB2"/>
          </w:tcPr>
          <w:p w14:paraId="46B70C94" w14:textId="77777777" w:rsidR="009948F1" w:rsidRDefault="00BC0563">
            <w:pPr>
              <w:pStyle w:val="TableParagraph"/>
              <w:spacing w:line="197" w:lineRule="exact"/>
              <w:ind w:left="112"/>
              <w:rPr>
                <w:b/>
                <w:sz w:val="19"/>
              </w:rPr>
            </w:pPr>
            <w:r>
              <w:rPr>
                <w:b/>
                <w:color w:val="231F20"/>
                <w:sz w:val="19"/>
              </w:rPr>
              <w:t>National</w:t>
            </w:r>
          </w:p>
        </w:tc>
      </w:tr>
      <w:tr w:rsidR="009948F1" w14:paraId="13D647DB" w14:textId="77777777">
        <w:trPr>
          <w:trHeight w:val="647"/>
        </w:trPr>
        <w:tc>
          <w:tcPr>
            <w:tcW w:w="3114" w:type="dxa"/>
            <w:tcBorders>
              <w:right w:val="single" w:sz="12" w:space="0" w:color="231F20"/>
            </w:tcBorders>
          </w:tcPr>
          <w:p w14:paraId="466DCF23" w14:textId="77777777" w:rsidR="009948F1" w:rsidRDefault="00BC0563">
            <w:pPr>
              <w:pStyle w:val="TableParagraph"/>
              <w:spacing w:before="1" w:line="218" w:lineRule="exact"/>
              <w:ind w:left="112" w:right="287"/>
              <w:rPr>
                <w:sz w:val="19"/>
              </w:rPr>
            </w:pPr>
            <w:r>
              <w:rPr>
                <w:color w:val="231F20"/>
                <w:sz w:val="19"/>
              </w:rPr>
              <w:t>% of health facilities at all levels with the appropriate skill mix of health providers</w:t>
            </w:r>
          </w:p>
        </w:tc>
        <w:tc>
          <w:tcPr>
            <w:tcW w:w="1296" w:type="dxa"/>
            <w:tcBorders>
              <w:left w:val="single" w:sz="12" w:space="0" w:color="231F20"/>
              <w:bottom w:val="single" w:sz="12" w:space="0" w:color="231F20"/>
              <w:right w:val="single" w:sz="12" w:space="0" w:color="231F20"/>
            </w:tcBorders>
          </w:tcPr>
          <w:p w14:paraId="7DB04ED9" w14:textId="77777777" w:rsidR="009948F1" w:rsidRDefault="00BC0563">
            <w:pPr>
              <w:pStyle w:val="TableParagraph"/>
              <w:spacing w:line="216" w:lineRule="exact"/>
              <w:ind w:left="105"/>
              <w:rPr>
                <w:sz w:val="19"/>
              </w:rPr>
            </w:pPr>
            <w:r>
              <w:rPr>
                <w:color w:val="231F20"/>
                <w:sz w:val="19"/>
              </w:rPr>
              <w:t>TBD</w:t>
            </w:r>
          </w:p>
        </w:tc>
        <w:tc>
          <w:tcPr>
            <w:tcW w:w="787" w:type="dxa"/>
            <w:tcBorders>
              <w:left w:val="single" w:sz="12" w:space="0" w:color="231F20"/>
              <w:bottom w:val="single" w:sz="12" w:space="0" w:color="231F20"/>
              <w:right w:val="single" w:sz="12" w:space="0" w:color="231F20"/>
            </w:tcBorders>
          </w:tcPr>
          <w:p w14:paraId="6FCDD291" w14:textId="77777777" w:rsidR="009948F1" w:rsidRDefault="00BC0563">
            <w:pPr>
              <w:pStyle w:val="TableParagraph"/>
              <w:spacing w:line="216" w:lineRule="exact"/>
              <w:ind w:left="105"/>
              <w:rPr>
                <w:sz w:val="19"/>
              </w:rPr>
            </w:pPr>
            <w:r>
              <w:rPr>
                <w:color w:val="231F20"/>
                <w:sz w:val="19"/>
              </w:rPr>
              <w:t>40</w:t>
            </w:r>
          </w:p>
        </w:tc>
        <w:tc>
          <w:tcPr>
            <w:tcW w:w="787" w:type="dxa"/>
            <w:tcBorders>
              <w:left w:val="single" w:sz="12" w:space="0" w:color="231F20"/>
            </w:tcBorders>
          </w:tcPr>
          <w:p w14:paraId="4613E8B4" w14:textId="77777777" w:rsidR="009948F1" w:rsidRDefault="00BC0563">
            <w:pPr>
              <w:pStyle w:val="TableParagraph"/>
              <w:spacing w:line="216" w:lineRule="exact"/>
              <w:ind w:left="105"/>
              <w:rPr>
                <w:sz w:val="19"/>
              </w:rPr>
            </w:pPr>
            <w:r>
              <w:rPr>
                <w:color w:val="231F20"/>
                <w:sz w:val="19"/>
              </w:rPr>
              <w:t>45</w:t>
            </w:r>
          </w:p>
        </w:tc>
        <w:tc>
          <w:tcPr>
            <w:tcW w:w="787" w:type="dxa"/>
          </w:tcPr>
          <w:p w14:paraId="04D32E1E" w14:textId="77777777" w:rsidR="009948F1" w:rsidRDefault="00BC0563">
            <w:pPr>
              <w:pStyle w:val="TableParagraph"/>
              <w:spacing w:line="216" w:lineRule="exact"/>
              <w:ind w:left="112"/>
              <w:rPr>
                <w:sz w:val="19"/>
              </w:rPr>
            </w:pPr>
            <w:r>
              <w:rPr>
                <w:color w:val="231F20"/>
                <w:sz w:val="19"/>
              </w:rPr>
              <w:t>50</w:t>
            </w:r>
          </w:p>
        </w:tc>
        <w:tc>
          <w:tcPr>
            <w:tcW w:w="787" w:type="dxa"/>
          </w:tcPr>
          <w:p w14:paraId="349CD784" w14:textId="77777777" w:rsidR="009948F1" w:rsidRDefault="00BC0563">
            <w:pPr>
              <w:pStyle w:val="TableParagraph"/>
              <w:spacing w:line="216" w:lineRule="exact"/>
              <w:ind w:left="112"/>
              <w:rPr>
                <w:sz w:val="19"/>
              </w:rPr>
            </w:pPr>
            <w:r>
              <w:rPr>
                <w:color w:val="231F20"/>
                <w:sz w:val="19"/>
              </w:rPr>
              <w:t>55</w:t>
            </w:r>
          </w:p>
        </w:tc>
        <w:tc>
          <w:tcPr>
            <w:tcW w:w="703" w:type="dxa"/>
          </w:tcPr>
          <w:p w14:paraId="0004B9A6" w14:textId="77777777" w:rsidR="009948F1" w:rsidRDefault="00BC0563">
            <w:pPr>
              <w:pStyle w:val="TableParagraph"/>
              <w:spacing w:line="216" w:lineRule="exact"/>
              <w:ind w:left="112"/>
              <w:rPr>
                <w:sz w:val="19"/>
              </w:rPr>
            </w:pPr>
            <w:r>
              <w:rPr>
                <w:color w:val="231F20"/>
                <w:sz w:val="19"/>
              </w:rPr>
              <w:t>60</w:t>
            </w:r>
          </w:p>
        </w:tc>
        <w:tc>
          <w:tcPr>
            <w:tcW w:w="983" w:type="dxa"/>
          </w:tcPr>
          <w:p w14:paraId="5052CED9" w14:textId="77777777" w:rsidR="009948F1" w:rsidRDefault="00BC0563">
            <w:pPr>
              <w:pStyle w:val="TableParagraph"/>
              <w:spacing w:line="216" w:lineRule="exact"/>
              <w:ind w:left="112"/>
              <w:rPr>
                <w:sz w:val="19"/>
              </w:rPr>
            </w:pPr>
            <w:r>
              <w:rPr>
                <w:color w:val="231F20"/>
                <w:sz w:val="19"/>
              </w:rPr>
              <w:t>50</w:t>
            </w:r>
          </w:p>
        </w:tc>
      </w:tr>
    </w:tbl>
    <w:p w14:paraId="1E8F68EA" w14:textId="77777777" w:rsidR="009948F1" w:rsidRDefault="009948F1">
      <w:pPr>
        <w:pStyle w:val="BodyText"/>
        <w:spacing w:before="11"/>
        <w:rPr>
          <w:b/>
          <w:sz w:val="26"/>
        </w:rPr>
      </w:pPr>
    </w:p>
    <w:p w14:paraId="7EB89000" w14:textId="77777777" w:rsidR="009948F1" w:rsidRDefault="00BC0563">
      <w:pPr>
        <w:ind w:left="172"/>
        <w:rPr>
          <w:b/>
        </w:rPr>
      </w:pPr>
      <w:r>
        <w:rPr>
          <w:b/>
          <w:color w:val="231F20"/>
        </w:rPr>
        <w:t>Interventions:</w:t>
      </w:r>
    </w:p>
    <w:p w14:paraId="09795CA5" w14:textId="77777777" w:rsidR="009948F1" w:rsidRDefault="00BC0563">
      <w:pPr>
        <w:pStyle w:val="ListParagraph"/>
        <w:numPr>
          <w:ilvl w:val="3"/>
          <w:numId w:val="271"/>
        </w:numPr>
        <w:tabs>
          <w:tab w:val="left" w:pos="914"/>
        </w:tabs>
        <w:spacing w:before="48" w:line="285" w:lineRule="auto"/>
        <w:ind w:left="172" w:right="281" w:firstLine="0"/>
      </w:pPr>
      <w:r>
        <w:rPr>
          <w:color w:val="231F20"/>
        </w:rPr>
        <w:t xml:space="preserve">Strengthen mechanisms for deployment and retention of HRH at all levels. Key actions include; – Review of existing HRH recruitment and deployment policies to </w:t>
      </w:r>
      <w:r>
        <w:rPr>
          <w:color w:val="231F20"/>
          <w:spacing w:val="-3"/>
        </w:rPr>
        <w:t xml:space="preserve">remove </w:t>
      </w:r>
      <w:r>
        <w:rPr>
          <w:color w:val="231F20"/>
        </w:rPr>
        <w:t xml:space="preserve">barriers/embargo to competitive recruitment, deployment and retention of appropriate </w:t>
      </w:r>
      <w:r>
        <w:rPr>
          <w:color w:val="231F20"/>
          <w:spacing w:val="-3"/>
        </w:rPr>
        <w:t xml:space="preserve">health </w:t>
      </w:r>
      <w:r>
        <w:rPr>
          <w:color w:val="231F20"/>
        </w:rPr>
        <w:t>workforce;</w:t>
      </w:r>
      <w:r>
        <w:rPr>
          <w:color w:val="231F20"/>
          <w:spacing w:val="-13"/>
        </w:rPr>
        <w:t xml:space="preserve"> </w:t>
      </w:r>
      <w:r>
        <w:rPr>
          <w:color w:val="231F20"/>
        </w:rPr>
        <w:t>Create</w:t>
      </w:r>
      <w:r>
        <w:rPr>
          <w:color w:val="231F20"/>
          <w:spacing w:val="-12"/>
        </w:rPr>
        <w:t xml:space="preserve"> </w:t>
      </w:r>
      <w:r>
        <w:rPr>
          <w:color w:val="231F20"/>
        </w:rPr>
        <w:t>an</w:t>
      </w:r>
      <w:r>
        <w:rPr>
          <w:color w:val="231F20"/>
          <w:spacing w:val="-12"/>
        </w:rPr>
        <w:t xml:space="preserve"> </w:t>
      </w:r>
      <w:r>
        <w:rPr>
          <w:color w:val="231F20"/>
        </w:rPr>
        <w:t>enabling</w:t>
      </w:r>
      <w:r>
        <w:rPr>
          <w:color w:val="231F20"/>
          <w:spacing w:val="-12"/>
        </w:rPr>
        <w:t xml:space="preserve"> </w:t>
      </w:r>
      <w:r>
        <w:rPr>
          <w:color w:val="231F20"/>
        </w:rPr>
        <w:t>work</w:t>
      </w:r>
      <w:r>
        <w:rPr>
          <w:color w:val="231F20"/>
          <w:spacing w:val="-12"/>
        </w:rPr>
        <w:t xml:space="preserve"> </w:t>
      </w:r>
      <w:r>
        <w:rPr>
          <w:color w:val="231F20"/>
        </w:rPr>
        <w:t>and</w:t>
      </w:r>
      <w:r>
        <w:rPr>
          <w:color w:val="231F20"/>
          <w:spacing w:val="-12"/>
        </w:rPr>
        <w:t xml:space="preserve"> </w:t>
      </w:r>
      <w:r>
        <w:rPr>
          <w:color w:val="231F20"/>
        </w:rPr>
        <w:t>living</w:t>
      </w:r>
      <w:r>
        <w:rPr>
          <w:color w:val="231F20"/>
          <w:spacing w:val="-13"/>
        </w:rPr>
        <w:t xml:space="preserve"> </w:t>
      </w:r>
      <w:r>
        <w:rPr>
          <w:color w:val="231F20"/>
        </w:rPr>
        <w:t>environment</w:t>
      </w:r>
      <w:r>
        <w:rPr>
          <w:color w:val="231F20"/>
          <w:spacing w:val="-12"/>
        </w:rPr>
        <w:t xml:space="preserve"> </w:t>
      </w:r>
      <w:r>
        <w:rPr>
          <w:color w:val="231F20"/>
        </w:rPr>
        <w:t>to</w:t>
      </w:r>
      <w:r>
        <w:rPr>
          <w:color w:val="231F20"/>
          <w:spacing w:val="-12"/>
        </w:rPr>
        <w:t xml:space="preserve"> </w:t>
      </w:r>
      <w:r>
        <w:rPr>
          <w:color w:val="231F20"/>
        </w:rPr>
        <w:t>promote</w:t>
      </w:r>
      <w:r>
        <w:rPr>
          <w:color w:val="231F20"/>
          <w:spacing w:val="-12"/>
        </w:rPr>
        <w:t xml:space="preserve"> </w:t>
      </w:r>
      <w:r>
        <w:rPr>
          <w:color w:val="231F20"/>
        </w:rPr>
        <w:t>health</w:t>
      </w:r>
      <w:r>
        <w:rPr>
          <w:color w:val="231F20"/>
          <w:spacing w:val="-12"/>
        </w:rPr>
        <w:t xml:space="preserve"> </w:t>
      </w:r>
      <w:r>
        <w:rPr>
          <w:color w:val="231F20"/>
        </w:rPr>
        <w:t>worker</w:t>
      </w:r>
      <w:r>
        <w:rPr>
          <w:color w:val="231F20"/>
          <w:spacing w:val="-12"/>
        </w:rPr>
        <w:t xml:space="preserve"> </w:t>
      </w:r>
      <w:r>
        <w:rPr>
          <w:color w:val="231F20"/>
        </w:rPr>
        <w:t>recruitment and retention; Sustain incentives in the hiring of rural health workers in order to attract qualified staff</w:t>
      </w:r>
      <w:r>
        <w:rPr>
          <w:color w:val="231F20"/>
          <w:spacing w:val="-5"/>
        </w:rPr>
        <w:t xml:space="preserve"> </w:t>
      </w:r>
      <w:r>
        <w:rPr>
          <w:color w:val="231F20"/>
        </w:rPr>
        <w:t>from</w:t>
      </w:r>
      <w:r>
        <w:rPr>
          <w:color w:val="231F20"/>
          <w:spacing w:val="-4"/>
        </w:rPr>
        <w:t xml:space="preserve"> </w:t>
      </w:r>
      <w:r>
        <w:rPr>
          <w:color w:val="231F20"/>
        </w:rPr>
        <w:t>urban</w:t>
      </w:r>
      <w:r>
        <w:rPr>
          <w:color w:val="231F20"/>
          <w:spacing w:val="-4"/>
        </w:rPr>
        <w:t xml:space="preserve"> </w:t>
      </w:r>
      <w:r>
        <w:rPr>
          <w:color w:val="231F20"/>
        </w:rPr>
        <w:t>areas</w:t>
      </w:r>
      <w:r>
        <w:rPr>
          <w:color w:val="231F20"/>
          <w:spacing w:val="-5"/>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rural</w:t>
      </w:r>
      <w:r>
        <w:rPr>
          <w:color w:val="231F20"/>
          <w:spacing w:val="-4"/>
        </w:rPr>
        <w:t xml:space="preserve"> </w:t>
      </w:r>
      <w:r>
        <w:rPr>
          <w:color w:val="231F20"/>
        </w:rPr>
        <w:t>areas;</w:t>
      </w:r>
      <w:r>
        <w:rPr>
          <w:color w:val="231F20"/>
          <w:spacing w:val="-4"/>
        </w:rPr>
        <w:t xml:space="preserve"> </w:t>
      </w:r>
      <w:r>
        <w:rPr>
          <w:color w:val="231F20"/>
        </w:rPr>
        <w:t>Introduce</w:t>
      </w:r>
      <w:r>
        <w:rPr>
          <w:color w:val="231F20"/>
          <w:spacing w:val="-5"/>
        </w:rPr>
        <w:t xml:space="preserve"> </w:t>
      </w:r>
      <w:r>
        <w:rPr>
          <w:color w:val="231F20"/>
        </w:rPr>
        <w:t>performance</w:t>
      </w:r>
      <w:r>
        <w:rPr>
          <w:color w:val="231F20"/>
          <w:spacing w:val="-4"/>
        </w:rPr>
        <w:t xml:space="preserve"> </w:t>
      </w:r>
      <w:r>
        <w:rPr>
          <w:color w:val="231F20"/>
        </w:rPr>
        <w:t>based</w:t>
      </w:r>
      <w:r>
        <w:rPr>
          <w:color w:val="231F20"/>
          <w:spacing w:val="-4"/>
        </w:rPr>
        <w:t xml:space="preserve"> </w:t>
      </w:r>
      <w:r>
        <w:rPr>
          <w:color w:val="231F20"/>
        </w:rPr>
        <w:t>reward</w:t>
      </w:r>
      <w:r>
        <w:rPr>
          <w:color w:val="231F20"/>
          <w:spacing w:val="-5"/>
        </w:rPr>
        <w:t xml:space="preserve"> </w:t>
      </w:r>
      <w:r>
        <w:rPr>
          <w:color w:val="231F20"/>
        </w:rPr>
        <w:t>systems. Identify best performers from each department in SMOH, RSHMB and RSPHCMB annually; Institutionalize</w:t>
      </w:r>
      <w:r>
        <w:rPr>
          <w:color w:val="231F20"/>
          <w:spacing w:val="-12"/>
        </w:rPr>
        <w:t xml:space="preserve"> </w:t>
      </w:r>
      <w:r>
        <w:rPr>
          <w:color w:val="231F20"/>
        </w:rPr>
        <w:t>the</w:t>
      </w:r>
      <w:r>
        <w:rPr>
          <w:color w:val="231F20"/>
          <w:spacing w:val="-11"/>
        </w:rPr>
        <w:t xml:space="preserve"> </w:t>
      </w:r>
      <w:r>
        <w:rPr>
          <w:color w:val="231F20"/>
        </w:rPr>
        <w:t>Midwifery</w:t>
      </w:r>
      <w:r>
        <w:rPr>
          <w:color w:val="231F20"/>
          <w:spacing w:val="-11"/>
        </w:rPr>
        <w:t xml:space="preserve"> </w:t>
      </w:r>
      <w:r>
        <w:rPr>
          <w:color w:val="231F20"/>
        </w:rPr>
        <w:t>Service</w:t>
      </w:r>
      <w:r>
        <w:rPr>
          <w:color w:val="231F20"/>
          <w:spacing w:val="-11"/>
        </w:rPr>
        <w:t xml:space="preserve"> </w:t>
      </w:r>
      <w:r>
        <w:rPr>
          <w:color w:val="231F20"/>
        </w:rPr>
        <w:t>Scheme</w:t>
      </w:r>
      <w:r>
        <w:rPr>
          <w:color w:val="231F20"/>
          <w:spacing w:val="-11"/>
        </w:rPr>
        <w:t xml:space="preserve"> </w:t>
      </w:r>
      <w:r>
        <w:rPr>
          <w:color w:val="231F20"/>
        </w:rPr>
        <w:t>(MSS)</w:t>
      </w:r>
      <w:r>
        <w:rPr>
          <w:color w:val="231F20"/>
          <w:spacing w:val="-11"/>
        </w:rPr>
        <w:t xml:space="preserve"> </w:t>
      </w:r>
      <w:r>
        <w:rPr>
          <w:color w:val="231F20"/>
        </w:rPr>
        <w:t>and</w:t>
      </w:r>
      <w:r>
        <w:rPr>
          <w:color w:val="231F20"/>
          <w:spacing w:val="-11"/>
        </w:rPr>
        <w:t xml:space="preserve"> </w:t>
      </w:r>
      <w:r>
        <w:rPr>
          <w:color w:val="231F20"/>
        </w:rPr>
        <w:t>other</w:t>
      </w:r>
      <w:r>
        <w:rPr>
          <w:color w:val="231F20"/>
          <w:spacing w:val="-11"/>
        </w:rPr>
        <w:t xml:space="preserve"> </w:t>
      </w:r>
      <w:r>
        <w:rPr>
          <w:color w:val="231F20"/>
        </w:rPr>
        <w:t>flagship</w:t>
      </w:r>
      <w:r>
        <w:rPr>
          <w:color w:val="231F20"/>
          <w:spacing w:val="-11"/>
        </w:rPr>
        <w:t xml:space="preserve"> </w:t>
      </w:r>
      <w:r>
        <w:rPr>
          <w:color w:val="231F20"/>
        </w:rPr>
        <w:t>interventions</w:t>
      </w:r>
      <w:r>
        <w:rPr>
          <w:color w:val="231F20"/>
          <w:spacing w:val="-11"/>
        </w:rPr>
        <w:t xml:space="preserve"> </w:t>
      </w:r>
      <w:r>
        <w:rPr>
          <w:color w:val="231F20"/>
        </w:rPr>
        <w:t>to</w:t>
      </w:r>
      <w:r>
        <w:rPr>
          <w:color w:val="231F20"/>
          <w:spacing w:val="-11"/>
        </w:rPr>
        <w:t xml:space="preserve"> </w:t>
      </w:r>
      <w:r>
        <w:rPr>
          <w:color w:val="231F20"/>
        </w:rPr>
        <w:t>increase HRH</w:t>
      </w:r>
      <w:r>
        <w:rPr>
          <w:color w:val="231F20"/>
          <w:spacing w:val="-25"/>
        </w:rPr>
        <w:t xml:space="preserve"> </w:t>
      </w:r>
      <w:r>
        <w:rPr>
          <w:color w:val="231F20"/>
        </w:rPr>
        <w:t>availability</w:t>
      </w:r>
      <w:r>
        <w:rPr>
          <w:color w:val="231F20"/>
          <w:spacing w:val="-26"/>
        </w:rPr>
        <w:t xml:space="preserve"> </w:t>
      </w:r>
      <w:r>
        <w:rPr>
          <w:color w:val="231F20"/>
        </w:rPr>
        <w:t>especially</w:t>
      </w:r>
      <w:r>
        <w:rPr>
          <w:color w:val="231F20"/>
          <w:spacing w:val="-25"/>
        </w:rPr>
        <w:t xml:space="preserve"> </w:t>
      </w:r>
      <w:r>
        <w:rPr>
          <w:color w:val="231F20"/>
        </w:rPr>
        <w:t>in</w:t>
      </w:r>
      <w:r>
        <w:rPr>
          <w:color w:val="231F20"/>
          <w:spacing w:val="-25"/>
        </w:rPr>
        <w:t xml:space="preserve"> </w:t>
      </w:r>
      <w:proofErr w:type="gramStart"/>
      <w:r>
        <w:rPr>
          <w:color w:val="231F20"/>
        </w:rPr>
        <w:t>hard</w:t>
      </w:r>
      <w:r>
        <w:rPr>
          <w:color w:val="231F20"/>
          <w:spacing w:val="-25"/>
        </w:rPr>
        <w:t xml:space="preserve"> </w:t>
      </w:r>
      <w:r>
        <w:rPr>
          <w:color w:val="231F20"/>
        </w:rPr>
        <w:t>to</w:t>
      </w:r>
      <w:r>
        <w:rPr>
          <w:color w:val="231F20"/>
          <w:spacing w:val="-25"/>
        </w:rPr>
        <w:t xml:space="preserve"> </w:t>
      </w:r>
      <w:r>
        <w:rPr>
          <w:color w:val="231F20"/>
        </w:rPr>
        <w:t>reach</w:t>
      </w:r>
      <w:proofErr w:type="gramEnd"/>
      <w:r>
        <w:rPr>
          <w:color w:val="231F20"/>
          <w:spacing w:val="-25"/>
        </w:rPr>
        <w:t xml:space="preserve"> </w:t>
      </w:r>
      <w:r>
        <w:rPr>
          <w:color w:val="231F20"/>
        </w:rPr>
        <w:t>areas.</w:t>
      </w:r>
    </w:p>
    <w:p w14:paraId="0FE3D72C" w14:textId="77777777" w:rsidR="009948F1" w:rsidRDefault="009948F1">
      <w:pPr>
        <w:spacing w:line="285" w:lineRule="auto"/>
        <w:jc w:val="both"/>
        <w:sectPr w:rsidR="009948F1">
          <w:pgSz w:w="11910" w:h="16840"/>
          <w:pgMar w:top="1400" w:right="1080" w:bottom="1420" w:left="1120" w:header="0" w:footer="1235" w:gutter="0"/>
          <w:cols w:space="720"/>
        </w:sectPr>
      </w:pPr>
    </w:p>
    <w:p w14:paraId="32C2736D" w14:textId="77777777" w:rsidR="009948F1" w:rsidRDefault="00BC0563">
      <w:pPr>
        <w:pStyle w:val="ListParagraph"/>
        <w:numPr>
          <w:ilvl w:val="3"/>
          <w:numId w:val="271"/>
        </w:numPr>
        <w:tabs>
          <w:tab w:val="left" w:pos="862"/>
        </w:tabs>
        <w:spacing w:before="54"/>
        <w:ind w:left="147" w:right="177" w:firstLine="0"/>
      </w:pPr>
      <w:bookmarkStart w:id="93" w:name="Page_79"/>
      <w:bookmarkEnd w:id="93"/>
      <w:r>
        <w:rPr>
          <w:color w:val="231F20"/>
        </w:rPr>
        <w:lastRenderedPageBreak/>
        <w:t>Improve</w:t>
      </w:r>
      <w:r>
        <w:rPr>
          <w:color w:val="231F20"/>
          <w:spacing w:val="-22"/>
        </w:rPr>
        <w:t xml:space="preserve"> </w:t>
      </w:r>
      <w:r>
        <w:rPr>
          <w:color w:val="231F20"/>
        </w:rPr>
        <w:t>HRH</w:t>
      </w:r>
      <w:r>
        <w:rPr>
          <w:color w:val="231F20"/>
          <w:spacing w:val="-21"/>
        </w:rPr>
        <w:t xml:space="preserve"> </w:t>
      </w:r>
      <w:r>
        <w:rPr>
          <w:color w:val="231F20"/>
        </w:rPr>
        <w:t>performance</w:t>
      </w:r>
      <w:r>
        <w:rPr>
          <w:color w:val="231F20"/>
          <w:spacing w:val="-20"/>
        </w:rPr>
        <w:t xml:space="preserve"> </w:t>
      </w:r>
      <w:r>
        <w:rPr>
          <w:color w:val="231F20"/>
        </w:rPr>
        <w:t>management</w:t>
      </w:r>
      <w:r>
        <w:rPr>
          <w:color w:val="231F20"/>
          <w:spacing w:val="-20"/>
        </w:rPr>
        <w:t xml:space="preserve"> </w:t>
      </w:r>
      <w:r>
        <w:rPr>
          <w:color w:val="231F20"/>
        </w:rPr>
        <w:t>systems</w:t>
      </w:r>
      <w:r>
        <w:rPr>
          <w:color w:val="231F20"/>
          <w:spacing w:val="-21"/>
        </w:rPr>
        <w:t xml:space="preserve"> </w:t>
      </w:r>
      <w:r>
        <w:rPr>
          <w:color w:val="231F20"/>
        </w:rPr>
        <w:t>at</w:t>
      </w:r>
      <w:r>
        <w:rPr>
          <w:color w:val="231F20"/>
          <w:spacing w:val="-21"/>
        </w:rPr>
        <w:t xml:space="preserve"> </w:t>
      </w:r>
      <w:r>
        <w:rPr>
          <w:color w:val="231F20"/>
        </w:rPr>
        <w:t>all</w:t>
      </w:r>
      <w:r>
        <w:rPr>
          <w:color w:val="231F20"/>
          <w:spacing w:val="-21"/>
        </w:rPr>
        <w:t xml:space="preserve"> </w:t>
      </w:r>
      <w:r>
        <w:rPr>
          <w:color w:val="231F20"/>
        </w:rPr>
        <w:t>levels.</w:t>
      </w:r>
      <w:r>
        <w:rPr>
          <w:color w:val="231F20"/>
          <w:spacing w:val="-20"/>
        </w:rPr>
        <w:t xml:space="preserve"> </w:t>
      </w:r>
      <w:r>
        <w:rPr>
          <w:color w:val="231F20"/>
        </w:rPr>
        <w:t>Key</w:t>
      </w:r>
      <w:r>
        <w:rPr>
          <w:color w:val="231F20"/>
          <w:spacing w:val="-21"/>
        </w:rPr>
        <w:t xml:space="preserve"> </w:t>
      </w:r>
      <w:r>
        <w:rPr>
          <w:color w:val="231F20"/>
        </w:rPr>
        <w:t>action</w:t>
      </w:r>
      <w:r>
        <w:rPr>
          <w:color w:val="231F20"/>
          <w:spacing w:val="-20"/>
        </w:rPr>
        <w:t xml:space="preserve"> </w:t>
      </w:r>
      <w:r>
        <w:rPr>
          <w:color w:val="231F20"/>
        </w:rPr>
        <w:t>are;</w:t>
      </w:r>
      <w:r>
        <w:rPr>
          <w:color w:val="231F20"/>
          <w:spacing w:val="-21"/>
        </w:rPr>
        <w:t xml:space="preserve"> </w:t>
      </w:r>
      <w:r>
        <w:rPr>
          <w:color w:val="231F20"/>
        </w:rPr>
        <w:t>-</w:t>
      </w:r>
      <w:r>
        <w:rPr>
          <w:color w:val="231F20"/>
          <w:spacing w:val="-21"/>
        </w:rPr>
        <w:t xml:space="preserve"> </w:t>
      </w:r>
      <w:r>
        <w:rPr>
          <w:color w:val="231F20"/>
        </w:rPr>
        <w:t>Review</w:t>
      </w:r>
      <w:r>
        <w:rPr>
          <w:color w:val="231F20"/>
          <w:spacing w:val="-21"/>
        </w:rPr>
        <w:t xml:space="preserve"> </w:t>
      </w:r>
      <w:r>
        <w:rPr>
          <w:color w:val="231F20"/>
        </w:rPr>
        <w:t>and implement system for measuring performance of health workers in line with the civil service Performance</w:t>
      </w:r>
      <w:r>
        <w:rPr>
          <w:color w:val="231F20"/>
          <w:spacing w:val="-25"/>
        </w:rPr>
        <w:t xml:space="preserve"> </w:t>
      </w:r>
      <w:r>
        <w:rPr>
          <w:color w:val="231F20"/>
        </w:rPr>
        <w:t>Monitoring</w:t>
      </w:r>
      <w:r>
        <w:rPr>
          <w:color w:val="231F20"/>
          <w:spacing w:val="-25"/>
        </w:rPr>
        <w:t xml:space="preserve"> </w:t>
      </w:r>
      <w:r>
        <w:rPr>
          <w:color w:val="231F20"/>
        </w:rPr>
        <w:t>System</w:t>
      </w:r>
      <w:r>
        <w:rPr>
          <w:color w:val="231F20"/>
          <w:spacing w:val="-25"/>
        </w:rPr>
        <w:t xml:space="preserve"> </w:t>
      </w:r>
      <w:r>
        <w:rPr>
          <w:color w:val="231F20"/>
        </w:rPr>
        <w:t>(PMS).</w:t>
      </w:r>
    </w:p>
    <w:p w14:paraId="68D2D82A" w14:textId="77777777" w:rsidR="009948F1" w:rsidRDefault="009948F1">
      <w:pPr>
        <w:pStyle w:val="BodyText"/>
        <w:rPr>
          <w:sz w:val="26"/>
        </w:rPr>
      </w:pPr>
    </w:p>
    <w:p w14:paraId="7BBBAC9B" w14:textId="77777777" w:rsidR="009948F1" w:rsidRDefault="00BC0563">
      <w:pPr>
        <w:pStyle w:val="ListParagraph"/>
        <w:numPr>
          <w:ilvl w:val="3"/>
          <w:numId w:val="271"/>
        </w:numPr>
        <w:tabs>
          <w:tab w:val="left" w:pos="889"/>
        </w:tabs>
        <w:spacing w:line="261" w:lineRule="auto"/>
        <w:ind w:left="147" w:right="177" w:firstLine="0"/>
      </w:pPr>
      <w:r>
        <w:rPr>
          <w:color w:val="231F20"/>
        </w:rPr>
        <w:t xml:space="preserve">Strengthen the </w:t>
      </w:r>
      <w:r>
        <w:rPr>
          <w:color w:val="231F20"/>
          <w:spacing w:val="-7"/>
        </w:rPr>
        <w:t xml:space="preserve">Task </w:t>
      </w:r>
      <w:r>
        <w:rPr>
          <w:color w:val="231F20"/>
        </w:rPr>
        <w:t xml:space="preserve">Shifting/ </w:t>
      </w:r>
      <w:r>
        <w:rPr>
          <w:color w:val="231F20"/>
          <w:spacing w:val="-7"/>
        </w:rPr>
        <w:t xml:space="preserve">Task </w:t>
      </w:r>
      <w:r>
        <w:rPr>
          <w:color w:val="231F20"/>
        </w:rPr>
        <w:t xml:space="preserve">Sharing implementation with required guidelines. </w:t>
      </w:r>
      <w:r>
        <w:rPr>
          <w:color w:val="231F20"/>
          <w:spacing w:val="-4"/>
        </w:rPr>
        <w:t xml:space="preserve">Key </w:t>
      </w:r>
      <w:r>
        <w:rPr>
          <w:color w:val="231F20"/>
        </w:rPr>
        <w:t xml:space="preserve">activities are; - Submit draft report of </w:t>
      </w:r>
      <w:r>
        <w:rPr>
          <w:color w:val="231F20"/>
          <w:spacing w:val="-7"/>
        </w:rPr>
        <w:t xml:space="preserve">Task </w:t>
      </w:r>
      <w:r>
        <w:rPr>
          <w:color w:val="231F20"/>
        </w:rPr>
        <w:t xml:space="preserve">Shifting </w:t>
      </w:r>
      <w:r>
        <w:rPr>
          <w:color w:val="231F20"/>
          <w:spacing w:val="-5"/>
        </w:rPr>
        <w:t xml:space="preserve">/Task </w:t>
      </w:r>
      <w:r>
        <w:rPr>
          <w:color w:val="231F20"/>
        </w:rPr>
        <w:t xml:space="preserve">Sharing (TSTS) training to Hon. Commissioner for Health; Produce final copies of TSTS Policy and distribute to relevant Stakeholders; Conduct advocacy meetings with Key Stakeholders to sensitize them on </w:t>
      </w:r>
      <w:r>
        <w:rPr>
          <w:color w:val="231F20"/>
          <w:spacing w:val="-4"/>
        </w:rPr>
        <w:t>TSTS</w:t>
      </w:r>
      <w:r>
        <w:rPr>
          <w:color w:val="231F20"/>
          <w:spacing w:val="53"/>
        </w:rPr>
        <w:t xml:space="preserve"> </w:t>
      </w:r>
      <w:r>
        <w:rPr>
          <w:color w:val="231F20"/>
        </w:rPr>
        <w:t xml:space="preserve">Implementation with guidelines; Hold meetings with Stakeholders, Professional Bodies, </w:t>
      </w:r>
      <w:r>
        <w:rPr>
          <w:color w:val="231F20"/>
          <w:spacing w:val="-3"/>
        </w:rPr>
        <w:t xml:space="preserve">Health </w:t>
      </w:r>
      <w:r>
        <w:rPr>
          <w:color w:val="231F20"/>
        </w:rPr>
        <w:t>Institutions</w:t>
      </w:r>
      <w:r>
        <w:rPr>
          <w:color w:val="231F20"/>
          <w:spacing w:val="-7"/>
        </w:rPr>
        <w:t xml:space="preserve"> </w:t>
      </w:r>
      <w:r>
        <w:rPr>
          <w:color w:val="231F20"/>
        </w:rPr>
        <w:t>on</w:t>
      </w:r>
      <w:r>
        <w:rPr>
          <w:color w:val="231F20"/>
          <w:spacing w:val="-10"/>
        </w:rPr>
        <w:t xml:space="preserve"> </w:t>
      </w:r>
      <w:r>
        <w:rPr>
          <w:color w:val="231F20"/>
        </w:rPr>
        <w:t>TSTS</w:t>
      </w:r>
      <w:r>
        <w:rPr>
          <w:color w:val="231F20"/>
          <w:spacing w:val="-7"/>
        </w:rPr>
        <w:t xml:space="preserve"> </w:t>
      </w:r>
      <w:r>
        <w:rPr>
          <w:color w:val="231F20"/>
        </w:rPr>
        <w:t>implementation</w:t>
      </w:r>
      <w:r>
        <w:rPr>
          <w:color w:val="231F20"/>
          <w:spacing w:val="-6"/>
        </w:rPr>
        <w:t xml:space="preserve"> </w:t>
      </w:r>
      <w:r>
        <w:rPr>
          <w:color w:val="231F20"/>
        </w:rPr>
        <w:t>guidelines;</w:t>
      </w:r>
      <w:r>
        <w:rPr>
          <w:color w:val="231F20"/>
          <w:spacing w:val="-6"/>
        </w:rPr>
        <w:t xml:space="preserve"> </w:t>
      </w:r>
      <w:r>
        <w:rPr>
          <w:color w:val="231F20"/>
        </w:rPr>
        <w:t>Commence</w:t>
      </w:r>
      <w:r>
        <w:rPr>
          <w:color w:val="231F20"/>
          <w:spacing w:val="-10"/>
        </w:rPr>
        <w:t xml:space="preserve"> </w:t>
      </w:r>
      <w:r>
        <w:rPr>
          <w:color w:val="231F20"/>
        </w:rPr>
        <w:t>TSTS</w:t>
      </w:r>
      <w:r>
        <w:rPr>
          <w:color w:val="231F20"/>
          <w:spacing w:val="-7"/>
        </w:rPr>
        <w:t xml:space="preserve"> </w:t>
      </w:r>
      <w:r>
        <w:rPr>
          <w:color w:val="231F20"/>
        </w:rPr>
        <w:t>training</w:t>
      </w:r>
      <w:r>
        <w:rPr>
          <w:color w:val="231F20"/>
          <w:spacing w:val="-6"/>
        </w:rPr>
        <w:t xml:space="preserve"> </w:t>
      </w:r>
      <w:r>
        <w:rPr>
          <w:color w:val="231F20"/>
        </w:rPr>
        <w:t>for</w:t>
      </w:r>
      <w:r>
        <w:rPr>
          <w:color w:val="231F20"/>
          <w:spacing w:val="-6"/>
        </w:rPr>
        <w:t xml:space="preserve"> </w:t>
      </w:r>
      <w:r>
        <w:rPr>
          <w:color w:val="231F20"/>
        </w:rPr>
        <w:t>all</w:t>
      </w:r>
      <w:r>
        <w:rPr>
          <w:color w:val="231F20"/>
          <w:spacing w:val="-6"/>
        </w:rPr>
        <w:t xml:space="preserve"> </w:t>
      </w:r>
      <w:r>
        <w:rPr>
          <w:color w:val="231F20"/>
        </w:rPr>
        <w:t>cadre</w:t>
      </w:r>
      <w:r>
        <w:rPr>
          <w:color w:val="231F20"/>
          <w:spacing w:val="-6"/>
        </w:rPr>
        <w:t xml:space="preserve"> </w:t>
      </w:r>
      <w:r>
        <w:rPr>
          <w:color w:val="231F20"/>
        </w:rPr>
        <w:t>of</w:t>
      </w:r>
      <w:r>
        <w:rPr>
          <w:color w:val="231F20"/>
          <w:spacing w:val="-6"/>
        </w:rPr>
        <w:t xml:space="preserve"> </w:t>
      </w:r>
      <w:r>
        <w:rPr>
          <w:color w:val="231F20"/>
        </w:rPr>
        <w:t>HWs</w:t>
      </w:r>
      <w:r>
        <w:rPr>
          <w:color w:val="231F20"/>
          <w:spacing w:val="-6"/>
        </w:rPr>
        <w:t xml:space="preserve"> </w:t>
      </w:r>
      <w:r>
        <w:rPr>
          <w:color w:val="231F20"/>
          <w:spacing w:val="-7"/>
        </w:rPr>
        <w:t xml:space="preserve">in </w:t>
      </w:r>
      <w:r>
        <w:rPr>
          <w:color w:val="231F20"/>
        </w:rPr>
        <w:t>line</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guidelines.</w:t>
      </w:r>
    </w:p>
    <w:p w14:paraId="69D99EFB" w14:textId="77777777" w:rsidR="009948F1" w:rsidRDefault="009948F1">
      <w:pPr>
        <w:pStyle w:val="BodyText"/>
        <w:spacing w:before="7"/>
        <w:rPr>
          <w:sz w:val="31"/>
        </w:rPr>
      </w:pPr>
    </w:p>
    <w:p w14:paraId="5CB4F9F2" w14:textId="77777777" w:rsidR="009948F1" w:rsidRDefault="00BC0563">
      <w:pPr>
        <w:pStyle w:val="Heading6"/>
        <w:numPr>
          <w:ilvl w:val="2"/>
          <w:numId w:val="271"/>
        </w:numPr>
        <w:tabs>
          <w:tab w:val="left" w:pos="839"/>
        </w:tabs>
        <w:spacing w:after="10" w:line="273" w:lineRule="auto"/>
        <w:ind w:left="264" w:right="1867" w:firstLine="0"/>
        <w:jc w:val="left"/>
        <w:rPr>
          <w:color w:val="231F20"/>
        </w:rPr>
      </w:pPr>
      <w:r>
        <w:rPr>
          <w:color w:val="231F20"/>
        </w:rPr>
        <w:t>Strengthen Health workforce planning for effective</w:t>
      </w:r>
      <w:r>
        <w:rPr>
          <w:color w:val="231F20"/>
          <w:spacing w:val="-34"/>
        </w:rPr>
        <w:t xml:space="preserve"> </w:t>
      </w:r>
      <w:r>
        <w:rPr>
          <w:color w:val="231F20"/>
        </w:rPr>
        <w:t xml:space="preserve">management </w:t>
      </w:r>
      <w:r>
        <w:rPr>
          <w:color w:val="231F20"/>
          <w:spacing w:val="-3"/>
        </w:rPr>
        <w:t>Target:</w:t>
      </w:r>
    </w:p>
    <w:tbl>
      <w:tblPr>
        <w:tblW w:w="0" w:type="auto"/>
        <w:tblInd w:w="1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9"/>
        <w:gridCol w:w="1286"/>
        <w:gridCol w:w="767"/>
        <w:gridCol w:w="767"/>
        <w:gridCol w:w="767"/>
        <w:gridCol w:w="765"/>
        <w:gridCol w:w="875"/>
        <w:gridCol w:w="965"/>
      </w:tblGrid>
      <w:tr w:rsidR="009948F1" w14:paraId="7FE90FD0" w14:textId="77777777">
        <w:trPr>
          <w:trHeight w:val="214"/>
        </w:trPr>
        <w:tc>
          <w:tcPr>
            <w:tcW w:w="3049" w:type="dxa"/>
            <w:shd w:val="clear" w:color="auto" w:fill="F4CEB2"/>
          </w:tcPr>
          <w:p w14:paraId="25E58EEF" w14:textId="77777777" w:rsidR="009948F1" w:rsidRDefault="00BC0563">
            <w:pPr>
              <w:pStyle w:val="TableParagraph"/>
              <w:spacing w:before="5" w:line="189" w:lineRule="exact"/>
              <w:ind w:left="112"/>
              <w:rPr>
                <w:sz w:val="18"/>
              </w:rPr>
            </w:pPr>
            <w:r>
              <w:rPr>
                <w:color w:val="231F20"/>
                <w:w w:val="105"/>
                <w:sz w:val="18"/>
              </w:rPr>
              <w:t>Targets</w:t>
            </w:r>
          </w:p>
        </w:tc>
        <w:tc>
          <w:tcPr>
            <w:tcW w:w="1286" w:type="dxa"/>
            <w:shd w:val="clear" w:color="auto" w:fill="F4CEB2"/>
          </w:tcPr>
          <w:p w14:paraId="72A92E61" w14:textId="77777777" w:rsidR="009948F1" w:rsidRDefault="00BC0563">
            <w:pPr>
              <w:pStyle w:val="TableParagraph"/>
              <w:spacing w:before="5" w:line="189" w:lineRule="exact"/>
              <w:ind w:left="109"/>
              <w:rPr>
                <w:sz w:val="18"/>
              </w:rPr>
            </w:pPr>
            <w:r>
              <w:rPr>
                <w:color w:val="231F20"/>
                <w:w w:val="105"/>
                <w:sz w:val="18"/>
              </w:rPr>
              <w:t>Baseline</w:t>
            </w:r>
          </w:p>
        </w:tc>
        <w:tc>
          <w:tcPr>
            <w:tcW w:w="767" w:type="dxa"/>
            <w:shd w:val="clear" w:color="auto" w:fill="F4CEB2"/>
          </w:tcPr>
          <w:p w14:paraId="5F652AFC" w14:textId="77777777" w:rsidR="009948F1" w:rsidRDefault="00BC0563">
            <w:pPr>
              <w:pStyle w:val="TableParagraph"/>
              <w:spacing w:line="194" w:lineRule="exact"/>
              <w:ind w:left="112"/>
              <w:rPr>
                <w:b/>
                <w:sz w:val="18"/>
              </w:rPr>
            </w:pPr>
            <w:r>
              <w:rPr>
                <w:b/>
                <w:color w:val="231F20"/>
                <w:w w:val="105"/>
                <w:sz w:val="18"/>
              </w:rPr>
              <w:t>2018</w:t>
            </w:r>
          </w:p>
        </w:tc>
        <w:tc>
          <w:tcPr>
            <w:tcW w:w="767" w:type="dxa"/>
            <w:shd w:val="clear" w:color="auto" w:fill="F4CEB2"/>
          </w:tcPr>
          <w:p w14:paraId="472EE72E" w14:textId="77777777" w:rsidR="009948F1" w:rsidRDefault="00BC0563">
            <w:pPr>
              <w:pStyle w:val="TableParagraph"/>
              <w:spacing w:line="194" w:lineRule="exact"/>
              <w:ind w:left="113"/>
              <w:rPr>
                <w:b/>
                <w:sz w:val="18"/>
              </w:rPr>
            </w:pPr>
            <w:r>
              <w:rPr>
                <w:b/>
                <w:color w:val="231F20"/>
                <w:w w:val="105"/>
                <w:sz w:val="18"/>
              </w:rPr>
              <w:t>2019</w:t>
            </w:r>
          </w:p>
        </w:tc>
        <w:tc>
          <w:tcPr>
            <w:tcW w:w="767" w:type="dxa"/>
            <w:shd w:val="clear" w:color="auto" w:fill="F4CEB2"/>
          </w:tcPr>
          <w:p w14:paraId="6D679D2F" w14:textId="77777777" w:rsidR="009948F1" w:rsidRDefault="00BC0563">
            <w:pPr>
              <w:pStyle w:val="TableParagraph"/>
              <w:spacing w:line="194" w:lineRule="exact"/>
              <w:ind w:left="114"/>
              <w:rPr>
                <w:b/>
                <w:sz w:val="18"/>
              </w:rPr>
            </w:pPr>
            <w:r>
              <w:rPr>
                <w:b/>
                <w:color w:val="231F20"/>
                <w:w w:val="105"/>
                <w:sz w:val="18"/>
              </w:rPr>
              <w:t>2020</w:t>
            </w:r>
          </w:p>
        </w:tc>
        <w:tc>
          <w:tcPr>
            <w:tcW w:w="765" w:type="dxa"/>
            <w:shd w:val="clear" w:color="auto" w:fill="F4CEB2"/>
          </w:tcPr>
          <w:p w14:paraId="3B060D3C" w14:textId="77777777" w:rsidR="009948F1" w:rsidRDefault="00BC0563">
            <w:pPr>
              <w:pStyle w:val="TableParagraph"/>
              <w:spacing w:line="194" w:lineRule="exact"/>
              <w:ind w:left="115"/>
              <w:rPr>
                <w:b/>
                <w:sz w:val="18"/>
              </w:rPr>
            </w:pPr>
            <w:r>
              <w:rPr>
                <w:b/>
                <w:color w:val="231F20"/>
                <w:w w:val="105"/>
                <w:sz w:val="18"/>
              </w:rPr>
              <w:t>2021</w:t>
            </w:r>
          </w:p>
        </w:tc>
        <w:tc>
          <w:tcPr>
            <w:tcW w:w="875" w:type="dxa"/>
            <w:shd w:val="clear" w:color="auto" w:fill="F4CEB2"/>
          </w:tcPr>
          <w:p w14:paraId="723685B2" w14:textId="77777777" w:rsidR="009948F1" w:rsidRDefault="00BC0563">
            <w:pPr>
              <w:pStyle w:val="TableParagraph"/>
              <w:spacing w:line="194" w:lineRule="exact"/>
              <w:ind w:left="115"/>
              <w:rPr>
                <w:b/>
                <w:sz w:val="18"/>
              </w:rPr>
            </w:pPr>
            <w:r>
              <w:rPr>
                <w:b/>
                <w:color w:val="231F20"/>
                <w:w w:val="105"/>
                <w:sz w:val="18"/>
              </w:rPr>
              <w:t>2022</w:t>
            </w:r>
          </w:p>
        </w:tc>
        <w:tc>
          <w:tcPr>
            <w:tcW w:w="965" w:type="dxa"/>
            <w:shd w:val="clear" w:color="auto" w:fill="F4CEB2"/>
          </w:tcPr>
          <w:p w14:paraId="30B3E1C5" w14:textId="77777777" w:rsidR="009948F1" w:rsidRDefault="00BC0563">
            <w:pPr>
              <w:pStyle w:val="TableParagraph"/>
              <w:spacing w:line="194" w:lineRule="exact"/>
              <w:ind w:left="115"/>
              <w:rPr>
                <w:b/>
                <w:sz w:val="18"/>
              </w:rPr>
            </w:pPr>
            <w:r>
              <w:rPr>
                <w:b/>
                <w:color w:val="231F20"/>
                <w:w w:val="105"/>
                <w:sz w:val="18"/>
              </w:rPr>
              <w:t>National</w:t>
            </w:r>
          </w:p>
        </w:tc>
      </w:tr>
      <w:tr w:rsidR="009948F1" w14:paraId="482DDD40" w14:textId="77777777">
        <w:trPr>
          <w:trHeight w:val="426"/>
        </w:trPr>
        <w:tc>
          <w:tcPr>
            <w:tcW w:w="3049" w:type="dxa"/>
            <w:tcBorders>
              <w:right w:val="single" w:sz="8" w:space="0" w:color="231F20"/>
            </w:tcBorders>
          </w:tcPr>
          <w:p w14:paraId="2B10A92E" w14:textId="77777777" w:rsidR="009948F1" w:rsidRDefault="00BC0563">
            <w:pPr>
              <w:pStyle w:val="TableParagraph"/>
              <w:spacing w:before="3" w:line="214" w:lineRule="exact"/>
              <w:ind w:left="112"/>
              <w:rPr>
                <w:sz w:val="18"/>
              </w:rPr>
            </w:pPr>
            <w:r>
              <w:rPr>
                <w:color w:val="231F20"/>
                <w:w w:val="105"/>
                <w:sz w:val="18"/>
              </w:rPr>
              <w:t>Number of LGAs with harmonized HRH Annual Operational Plan</w:t>
            </w:r>
          </w:p>
        </w:tc>
        <w:tc>
          <w:tcPr>
            <w:tcW w:w="1286" w:type="dxa"/>
            <w:tcBorders>
              <w:left w:val="single" w:sz="8" w:space="0" w:color="231F20"/>
              <w:bottom w:val="single" w:sz="8" w:space="0" w:color="231F20"/>
              <w:right w:val="single" w:sz="8" w:space="0" w:color="231F20"/>
            </w:tcBorders>
          </w:tcPr>
          <w:p w14:paraId="3937250D" w14:textId="77777777" w:rsidR="009948F1" w:rsidRDefault="00BC0563">
            <w:pPr>
              <w:pStyle w:val="TableParagraph"/>
              <w:spacing w:before="5"/>
              <w:ind w:left="104"/>
              <w:rPr>
                <w:sz w:val="18"/>
              </w:rPr>
            </w:pPr>
            <w:r>
              <w:rPr>
                <w:color w:val="231F20"/>
                <w:w w:val="105"/>
                <w:sz w:val="18"/>
              </w:rPr>
              <w:t>TBD</w:t>
            </w:r>
          </w:p>
        </w:tc>
        <w:tc>
          <w:tcPr>
            <w:tcW w:w="767" w:type="dxa"/>
            <w:tcBorders>
              <w:left w:val="single" w:sz="8" w:space="0" w:color="231F20"/>
              <w:bottom w:val="single" w:sz="8" w:space="0" w:color="231F20"/>
              <w:right w:val="single" w:sz="8" w:space="0" w:color="231F20"/>
            </w:tcBorders>
          </w:tcPr>
          <w:p w14:paraId="13952750" w14:textId="77777777" w:rsidR="009948F1" w:rsidRDefault="00BC0563">
            <w:pPr>
              <w:pStyle w:val="TableParagraph"/>
              <w:spacing w:before="5"/>
              <w:ind w:left="107"/>
              <w:rPr>
                <w:sz w:val="18"/>
              </w:rPr>
            </w:pPr>
            <w:r>
              <w:rPr>
                <w:color w:val="231F20"/>
                <w:w w:val="105"/>
                <w:sz w:val="18"/>
              </w:rPr>
              <w:t>30%</w:t>
            </w:r>
          </w:p>
        </w:tc>
        <w:tc>
          <w:tcPr>
            <w:tcW w:w="767" w:type="dxa"/>
            <w:tcBorders>
              <w:left w:val="single" w:sz="8" w:space="0" w:color="231F20"/>
            </w:tcBorders>
          </w:tcPr>
          <w:p w14:paraId="5C11D565" w14:textId="77777777" w:rsidR="009948F1" w:rsidRDefault="00BC0563">
            <w:pPr>
              <w:pStyle w:val="TableParagraph"/>
              <w:spacing w:before="5"/>
              <w:ind w:left="108"/>
              <w:rPr>
                <w:sz w:val="18"/>
              </w:rPr>
            </w:pPr>
            <w:r>
              <w:rPr>
                <w:color w:val="231F20"/>
                <w:w w:val="105"/>
                <w:sz w:val="18"/>
              </w:rPr>
              <w:t>40%</w:t>
            </w:r>
          </w:p>
        </w:tc>
        <w:tc>
          <w:tcPr>
            <w:tcW w:w="767" w:type="dxa"/>
          </w:tcPr>
          <w:p w14:paraId="33345969" w14:textId="77777777" w:rsidR="009948F1" w:rsidRDefault="00BC0563">
            <w:pPr>
              <w:pStyle w:val="TableParagraph"/>
              <w:spacing w:before="5"/>
              <w:ind w:left="114"/>
              <w:rPr>
                <w:sz w:val="18"/>
              </w:rPr>
            </w:pPr>
            <w:r>
              <w:rPr>
                <w:color w:val="231F20"/>
                <w:w w:val="105"/>
                <w:sz w:val="18"/>
              </w:rPr>
              <w:t>45%</w:t>
            </w:r>
          </w:p>
        </w:tc>
        <w:tc>
          <w:tcPr>
            <w:tcW w:w="765" w:type="dxa"/>
          </w:tcPr>
          <w:p w14:paraId="7A56E330" w14:textId="77777777" w:rsidR="009948F1" w:rsidRDefault="00BC0563">
            <w:pPr>
              <w:pStyle w:val="TableParagraph"/>
              <w:spacing w:before="5"/>
              <w:ind w:left="115"/>
              <w:rPr>
                <w:sz w:val="18"/>
              </w:rPr>
            </w:pPr>
            <w:r>
              <w:rPr>
                <w:color w:val="231F20"/>
                <w:w w:val="105"/>
                <w:sz w:val="18"/>
              </w:rPr>
              <w:t>50%</w:t>
            </w:r>
          </w:p>
        </w:tc>
        <w:tc>
          <w:tcPr>
            <w:tcW w:w="875" w:type="dxa"/>
          </w:tcPr>
          <w:p w14:paraId="7256A4AA" w14:textId="77777777" w:rsidR="009948F1" w:rsidRDefault="00BC0563">
            <w:pPr>
              <w:pStyle w:val="TableParagraph"/>
              <w:spacing w:before="5"/>
              <w:ind w:left="115"/>
              <w:rPr>
                <w:sz w:val="18"/>
              </w:rPr>
            </w:pPr>
            <w:r>
              <w:rPr>
                <w:color w:val="231F20"/>
                <w:w w:val="105"/>
                <w:sz w:val="18"/>
              </w:rPr>
              <w:t>55%</w:t>
            </w:r>
          </w:p>
        </w:tc>
        <w:tc>
          <w:tcPr>
            <w:tcW w:w="965" w:type="dxa"/>
          </w:tcPr>
          <w:p w14:paraId="00F81442" w14:textId="77777777" w:rsidR="009948F1" w:rsidRDefault="00BC0563">
            <w:pPr>
              <w:pStyle w:val="TableParagraph"/>
              <w:spacing w:before="5"/>
              <w:ind w:left="115"/>
              <w:rPr>
                <w:sz w:val="18"/>
              </w:rPr>
            </w:pPr>
            <w:r>
              <w:rPr>
                <w:color w:val="231F20"/>
                <w:w w:val="105"/>
                <w:sz w:val="18"/>
              </w:rPr>
              <w:t>50%</w:t>
            </w:r>
          </w:p>
        </w:tc>
      </w:tr>
    </w:tbl>
    <w:p w14:paraId="228DBFB6" w14:textId="77777777" w:rsidR="009948F1" w:rsidRDefault="009948F1">
      <w:pPr>
        <w:pStyle w:val="BodyText"/>
        <w:rPr>
          <w:b/>
        </w:rPr>
      </w:pPr>
    </w:p>
    <w:p w14:paraId="330077CB" w14:textId="77777777" w:rsidR="009948F1" w:rsidRDefault="009948F1">
      <w:pPr>
        <w:pStyle w:val="BodyText"/>
        <w:spacing w:before="8"/>
        <w:rPr>
          <w:b/>
          <w:sz w:val="17"/>
        </w:rPr>
      </w:pPr>
    </w:p>
    <w:p w14:paraId="340075F2" w14:textId="77777777" w:rsidR="009948F1" w:rsidRDefault="00BC0563">
      <w:pPr>
        <w:pStyle w:val="Heading7"/>
        <w:spacing w:before="1"/>
        <w:ind w:left="147"/>
        <w:jc w:val="both"/>
        <w:rPr>
          <w:b w:val="0"/>
        </w:rPr>
      </w:pPr>
      <w:r>
        <w:rPr>
          <w:color w:val="231F20"/>
        </w:rPr>
        <w:t>Strategic Interventions</w:t>
      </w:r>
      <w:r>
        <w:rPr>
          <w:b w:val="0"/>
          <w:color w:val="231F20"/>
        </w:rPr>
        <w:t>:</w:t>
      </w:r>
    </w:p>
    <w:p w14:paraId="10B99E88" w14:textId="77777777" w:rsidR="009948F1" w:rsidRDefault="00BC0563">
      <w:pPr>
        <w:pStyle w:val="ListParagraph"/>
        <w:numPr>
          <w:ilvl w:val="3"/>
          <w:numId w:val="268"/>
        </w:numPr>
        <w:tabs>
          <w:tab w:val="left" w:pos="897"/>
        </w:tabs>
        <w:spacing w:before="42" w:line="280" w:lineRule="auto"/>
        <w:ind w:right="207" w:firstLine="0"/>
      </w:pPr>
      <w:r>
        <w:rPr>
          <w:color w:val="231F20"/>
        </w:rPr>
        <w:t xml:space="preserve">Improve capacity for HRH planning at all levels. Key activities are; - Provide IT tools </w:t>
      </w:r>
      <w:r>
        <w:rPr>
          <w:color w:val="231F20"/>
          <w:spacing w:val="-7"/>
        </w:rPr>
        <w:t xml:space="preserve">to </w:t>
      </w:r>
      <w:r>
        <w:rPr>
          <w:color w:val="231F20"/>
        </w:rPr>
        <w:t>enable</w:t>
      </w:r>
      <w:r>
        <w:rPr>
          <w:color w:val="231F20"/>
          <w:spacing w:val="-20"/>
        </w:rPr>
        <w:t xml:space="preserve"> </w:t>
      </w:r>
      <w:r>
        <w:rPr>
          <w:color w:val="231F20"/>
        </w:rPr>
        <w:t>HRH</w:t>
      </w:r>
      <w:r>
        <w:rPr>
          <w:color w:val="231F20"/>
          <w:spacing w:val="-20"/>
        </w:rPr>
        <w:t xml:space="preserve"> </w:t>
      </w:r>
      <w:r>
        <w:rPr>
          <w:color w:val="231F20"/>
        </w:rPr>
        <w:t>unit</w:t>
      </w:r>
      <w:r>
        <w:rPr>
          <w:color w:val="231F20"/>
          <w:spacing w:val="-20"/>
        </w:rPr>
        <w:t xml:space="preserve"> </w:t>
      </w:r>
      <w:r>
        <w:rPr>
          <w:color w:val="231F20"/>
        </w:rPr>
        <w:t>plan</w:t>
      </w:r>
      <w:r>
        <w:rPr>
          <w:color w:val="231F20"/>
          <w:spacing w:val="-19"/>
        </w:rPr>
        <w:t xml:space="preserve"> </w:t>
      </w:r>
      <w:r>
        <w:rPr>
          <w:color w:val="231F20"/>
        </w:rPr>
        <w:t>HRH</w:t>
      </w:r>
      <w:r>
        <w:rPr>
          <w:color w:val="231F20"/>
          <w:spacing w:val="-20"/>
        </w:rPr>
        <w:t xml:space="preserve"> </w:t>
      </w:r>
      <w:r>
        <w:rPr>
          <w:color w:val="231F20"/>
        </w:rPr>
        <w:t>needs</w:t>
      </w:r>
      <w:r>
        <w:rPr>
          <w:color w:val="231F20"/>
          <w:spacing w:val="-20"/>
        </w:rPr>
        <w:t xml:space="preserve"> </w:t>
      </w:r>
      <w:r>
        <w:rPr>
          <w:color w:val="231F20"/>
        </w:rPr>
        <w:t>across</w:t>
      </w:r>
      <w:r>
        <w:rPr>
          <w:color w:val="231F20"/>
          <w:spacing w:val="-19"/>
        </w:rPr>
        <w:t xml:space="preserve"> </w:t>
      </w:r>
      <w:r>
        <w:rPr>
          <w:color w:val="231F20"/>
        </w:rPr>
        <w:t>all</w:t>
      </w:r>
      <w:r>
        <w:rPr>
          <w:color w:val="231F20"/>
          <w:spacing w:val="-20"/>
        </w:rPr>
        <w:t xml:space="preserve"> </w:t>
      </w:r>
      <w:r>
        <w:rPr>
          <w:color w:val="231F20"/>
        </w:rPr>
        <w:t>levels;</w:t>
      </w:r>
      <w:r>
        <w:rPr>
          <w:color w:val="231F20"/>
          <w:spacing w:val="-24"/>
        </w:rPr>
        <w:t xml:space="preserve"> </w:t>
      </w:r>
      <w:r>
        <w:rPr>
          <w:color w:val="231F20"/>
        </w:rPr>
        <w:t>Train</w:t>
      </w:r>
      <w:r>
        <w:rPr>
          <w:color w:val="231F20"/>
          <w:spacing w:val="-20"/>
        </w:rPr>
        <w:t xml:space="preserve"> </w:t>
      </w:r>
      <w:r>
        <w:rPr>
          <w:color w:val="231F20"/>
        </w:rPr>
        <w:t>HRH</w:t>
      </w:r>
      <w:r>
        <w:rPr>
          <w:color w:val="231F20"/>
          <w:spacing w:val="-19"/>
        </w:rPr>
        <w:t xml:space="preserve"> </w:t>
      </w:r>
      <w:r>
        <w:rPr>
          <w:color w:val="231F20"/>
        </w:rPr>
        <w:t>Personnel</w:t>
      </w:r>
      <w:r>
        <w:rPr>
          <w:color w:val="231F20"/>
          <w:spacing w:val="-20"/>
        </w:rPr>
        <w:t xml:space="preserve"> </w:t>
      </w:r>
      <w:r>
        <w:rPr>
          <w:color w:val="231F20"/>
        </w:rPr>
        <w:t>to</w:t>
      </w:r>
      <w:r>
        <w:rPr>
          <w:color w:val="231F20"/>
          <w:spacing w:val="-20"/>
        </w:rPr>
        <w:t xml:space="preserve"> </w:t>
      </w:r>
      <w:r>
        <w:rPr>
          <w:color w:val="231F20"/>
        </w:rPr>
        <w:t>improve</w:t>
      </w:r>
      <w:r>
        <w:rPr>
          <w:color w:val="231F20"/>
          <w:spacing w:val="-19"/>
        </w:rPr>
        <w:t xml:space="preserve"> </w:t>
      </w:r>
      <w:r>
        <w:rPr>
          <w:color w:val="231F20"/>
        </w:rPr>
        <w:t>HRH</w:t>
      </w:r>
      <w:r>
        <w:rPr>
          <w:color w:val="231F20"/>
          <w:spacing w:val="-20"/>
        </w:rPr>
        <w:t xml:space="preserve"> </w:t>
      </w:r>
      <w:r>
        <w:rPr>
          <w:color w:val="231F20"/>
        </w:rPr>
        <w:t>planning at</w:t>
      </w:r>
      <w:r>
        <w:rPr>
          <w:color w:val="231F20"/>
          <w:spacing w:val="-25"/>
        </w:rPr>
        <w:t xml:space="preserve"> </w:t>
      </w:r>
      <w:r>
        <w:rPr>
          <w:color w:val="231F20"/>
        </w:rPr>
        <w:t>state,</w:t>
      </w:r>
      <w:r>
        <w:rPr>
          <w:color w:val="231F20"/>
          <w:spacing w:val="-25"/>
        </w:rPr>
        <w:t xml:space="preserve"> </w:t>
      </w:r>
      <w:r>
        <w:rPr>
          <w:color w:val="231F20"/>
        </w:rPr>
        <w:t>LGAs</w:t>
      </w:r>
      <w:r>
        <w:rPr>
          <w:color w:val="231F20"/>
          <w:spacing w:val="-25"/>
        </w:rPr>
        <w:t xml:space="preserve"> </w:t>
      </w:r>
      <w:r>
        <w:rPr>
          <w:color w:val="231F20"/>
        </w:rPr>
        <w:t>Health</w:t>
      </w:r>
      <w:r>
        <w:rPr>
          <w:color w:val="231F20"/>
          <w:spacing w:val="-25"/>
        </w:rPr>
        <w:t xml:space="preserve"> </w:t>
      </w:r>
      <w:r>
        <w:rPr>
          <w:color w:val="231F20"/>
        </w:rPr>
        <w:t>Facilities.</w:t>
      </w:r>
    </w:p>
    <w:p w14:paraId="3C03842C" w14:textId="77777777" w:rsidR="009948F1" w:rsidRDefault="009948F1">
      <w:pPr>
        <w:pStyle w:val="BodyText"/>
        <w:spacing w:before="8"/>
        <w:rPr>
          <w:sz w:val="25"/>
        </w:rPr>
      </w:pPr>
    </w:p>
    <w:p w14:paraId="6DF271BC" w14:textId="3B314789" w:rsidR="009948F1" w:rsidRDefault="00BC0563">
      <w:pPr>
        <w:pStyle w:val="ListParagraph"/>
        <w:numPr>
          <w:ilvl w:val="3"/>
          <w:numId w:val="268"/>
        </w:numPr>
        <w:tabs>
          <w:tab w:val="left" w:pos="927"/>
        </w:tabs>
        <w:spacing w:line="280" w:lineRule="auto"/>
        <w:ind w:right="207" w:firstLine="0"/>
      </w:pPr>
      <w:r>
        <w:rPr>
          <w:color w:val="231F20"/>
        </w:rPr>
        <w:t xml:space="preserve">Strengthen mechanisms for HRH joint planning at </w:t>
      </w:r>
      <w:r>
        <w:rPr>
          <w:color w:val="231F20"/>
          <w:spacing w:val="-3"/>
        </w:rPr>
        <w:t xml:space="preserve">primary, </w:t>
      </w:r>
      <w:r>
        <w:rPr>
          <w:color w:val="231F20"/>
        </w:rPr>
        <w:t>secondary and tertiary</w:t>
      </w:r>
      <w:r>
        <w:rPr>
          <w:color w:val="231F20"/>
          <w:spacing w:val="-29"/>
        </w:rPr>
        <w:t xml:space="preserve"> </w:t>
      </w:r>
      <w:r>
        <w:rPr>
          <w:color w:val="231F20"/>
        </w:rPr>
        <w:t>levels. Key</w:t>
      </w:r>
      <w:r>
        <w:rPr>
          <w:color w:val="231F20"/>
          <w:spacing w:val="-14"/>
        </w:rPr>
        <w:t xml:space="preserve"> </w:t>
      </w:r>
      <w:r>
        <w:rPr>
          <w:color w:val="231F20"/>
        </w:rPr>
        <w:t>action</w:t>
      </w:r>
      <w:r>
        <w:rPr>
          <w:color w:val="231F20"/>
          <w:spacing w:val="-14"/>
        </w:rPr>
        <w:t xml:space="preserve"> </w:t>
      </w:r>
      <w:r w:rsidR="00582DC8">
        <w:rPr>
          <w:color w:val="231F20"/>
        </w:rPr>
        <w:t>is;</w:t>
      </w:r>
      <w:r>
        <w:rPr>
          <w:color w:val="231F20"/>
          <w:spacing w:val="-13"/>
        </w:rPr>
        <w:t xml:space="preserve"> </w:t>
      </w:r>
      <w:proofErr w:type="spellStart"/>
      <w:r>
        <w:rPr>
          <w:color w:val="231F20"/>
        </w:rPr>
        <w:t>Organise</w:t>
      </w:r>
      <w:proofErr w:type="spellEnd"/>
      <w:r>
        <w:rPr>
          <w:color w:val="231F20"/>
          <w:spacing w:val="-14"/>
        </w:rPr>
        <w:t xml:space="preserve"> </w:t>
      </w:r>
      <w:r>
        <w:rPr>
          <w:color w:val="231F20"/>
        </w:rPr>
        <w:t>workshops</w:t>
      </w:r>
      <w:r>
        <w:rPr>
          <w:color w:val="231F20"/>
          <w:spacing w:val="-13"/>
        </w:rPr>
        <w:t xml:space="preserve"> </w:t>
      </w:r>
      <w:r>
        <w:rPr>
          <w:color w:val="231F20"/>
        </w:rPr>
        <w:t>for</w:t>
      </w:r>
      <w:r>
        <w:rPr>
          <w:color w:val="231F20"/>
          <w:spacing w:val="-14"/>
        </w:rPr>
        <w:t xml:space="preserve"> </w:t>
      </w:r>
      <w:r>
        <w:rPr>
          <w:color w:val="231F20"/>
          <w:spacing w:val="-3"/>
        </w:rPr>
        <w:t>primary,</w:t>
      </w:r>
      <w:r>
        <w:rPr>
          <w:color w:val="231F20"/>
          <w:spacing w:val="-13"/>
        </w:rPr>
        <w:t xml:space="preserve"> </w:t>
      </w:r>
      <w:r>
        <w:rPr>
          <w:color w:val="231F20"/>
        </w:rPr>
        <w:t>secondary</w:t>
      </w:r>
      <w:r>
        <w:rPr>
          <w:color w:val="231F20"/>
          <w:spacing w:val="-14"/>
        </w:rPr>
        <w:t xml:space="preserve"> </w:t>
      </w:r>
      <w:r>
        <w:rPr>
          <w:color w:val="231F20"/>
        </w:rPr>
        <w:t>&amp;</w:t>
      </w:r>
      <w:r>
        <w:rPr>
          <w:color w:val="231F20"/>
          <w:spacing w:val="-14"/>
        </w:rPr>
        <w:t xml:space="preserve"> </w:t>
      </w:r>
      <w:r>
        <w:rPr>
          <w:color w:val="231F20"/>
        </w:rPr>
        <w:t>tertiary</w:t>
      </w:r>
      <w:r>
        <w:rPr>
          <w:color w:val="231F20"/>
          <w:spacing w:val="-13"/>
        </w:rPr>
        <w:t xml:space="preserve"> </w:t>
      </w:r>
      <w:r>
        <w:rPr>
          <w:color w:val="231F20"/>
        </w:rPr>
        <w:t>levels</w:t>
      </w:r>
      <w:r>
        <w:rPr>
          <w:color w:val="231F20"/>
          <w:spacing w:val="-14"/>
        </w:rPr>
        <w:t xml:space="preserve"> </w:t>
      </w:r>
      <w:r>
        <w:rPr>
          <w:color w:val="231F20"/>
        </w:rPr>
        <w:t>to</w:t>
      </w:r>
      <w:r>
        <w:rPr>
          <w:color w:val="231F20"/>
          <w:spacing w:val="-13"/>
        </w:rPr>
        <w:t xml:space="preserve"> </w:t>
      </w:r>
      <w:r>
        <w:rPr>
          <w:color w:val="231F20"/>
        </w:rPr>
        <w:t>develop</w:t>
      </w:r>
      <w:r>
        <w:rPr>
          <w:color w:val="231F20"/>
          <w:spacing w:val="-14"/>
        </w:rPr>
        <w:t xml:space="preserve"> </w:t>
      </w:r>
      <w:proofErr w:type="spellStart"/>
      <w:r>
        <w:rPr>
          <w:color w:val="231F20"/>
        </w:rPr>
        <w:t>harmonised</w:t>
      </w:r>
      <w:proofErr w:type="spellEnd"/>
      <w:r>
        <w:rPr>
          <w:color w:val="231F20"/>
        </w:rPr>
        <w:t xml:space="preserve"> HRH</w:t>
      </w:r>
      <w:r>
        <w:rPr>
          <w:color w:val="231F20"/>
          <w:spacing w:val="-25"/>
        </w:rPr>
        <w:t xml:space="preserve"> </w:t>
      </w:r>
      <w:r>
        <w:rPr>
          <w:color w:val="231F20"/>
        </w:rPr>
        <w:t>plan.</w:t>
      </w:r>
    </w:p>
    <w:p w14:paraId="09022CC4" w14:textId="77777777" w:rsidR="009948F1" w:rsidRDefault="009948F1">
      <w:pPr>
        <w:pStyle w:val="BodyText"/>
        <w:spacing w:before="9"/>
        <w:rPr>
          <w:sz w:val="20"/>
        </w:rPr>
      </w:pPr>
    </w:p>
    <w:p w14:paraId="337C0B3C" w14:textId="77777777" w:rsidR="009948F1" w:rsidRDefault="00BC0563">
      <w:pPr>
        <w:pStyle w:val="Heading7"/>
        <w:spacing w:line="280" w:lineRule="auto"/>
        <w:ind w:left="147" w:right="5676"/>
        <w:jc w:val="both"/>
      </w:pPr>
      <w:r>
        <w:rPr>
          <w:color w:val="231F20"/>
        </w:rPr>
        <w:t>Priority</w:t>
      </w:r>
      <w:r>
        <w:rPr>
          <w:color w:val="231F20"/>
          <w:spacing w:val="-35"/>
        </w:rPr>
        <w:t xml:space="preserve"> </w:t>
      </w:r>
      <w:r>
        <w:rPr>
          <w:color w:val="231F20"/>
        </w:rPr>
        <w:t>Area</w:t>
      </w:r>
      <w:r>
        <w:rPr>
          <w:color w:val="231F20"/>
          <w:spacing w:val="-28"/>
        </w:rPr>
        <w:t xml:space="preserve"> </w:t>
      </w:r>
      <w:r>
        <w:rPr>
          <w:color w:val="231F20"/>
        </w:rPr>
        <w:t>10:</w:t>
      </w:r>
      <w:r>
        <w:rPr>
          <w:color w:val="231F20"/>
          <w:spacing w:val="30"/>
        </w:rPr>
        <w:t xml:space="preserve"> </w:t>
      </w:r>
      <w:r>
        <w:rPr>
          <w:color w:val="231F20"/>
        </w:rPr>
        <w:t>Health</w:t>
      </w:r>
      <w:r>
        <w:rPr>
          <w:color w:val="231F20"/>
          <w:spacing w:val="-28"/>
        </w:rPr>
        <w:t xml:space="preserve"> </w:t>
      </w:r>
      <w:r>
        <w:rPr>
          <w:color w:val="231F20"/>
        </w:rPr>
        <w:t>Infrastructure Context</w:t>
      </w:r>
    </w:p>
    <w:p w14:paraId="38C7C0D5" w14:textId="77777777" w:rsidR="009948F1" w:rsidRDefault="00BC0563">
      <w:pPr>
        <w:pStyle w:val="BodyText"/>
        <w:spacing w:line="280" w:lineRule="auto"/>
        <w:ind w:left="147" w:right="207"/>
        <w:jc w:val="both"/>
      </w:pPr>
      <w:r>
        <w:rPr>
          <w:color w:val="231F20"/>
        </w:rPr>
        <w:t>Health Infrastructure comprises buildings - both medical &amp; non-medical; equipment - medical equipment, furniture and hospital plant; communications (ICT equipment); and ambulatory systems (ambulances, cars, pick-up vans, trucks, etc.) as required for healthcare delivery at different levels.</w:t>
      </w:r>
    </w:p>
    <w:p w14:paraId="623D8285" w14:textId="77777777" w:rsidR="009948F1" w:rsidRDefault="009948F1">
      <w:pPr>
        <w:pStyle w:val="BodyText"/>
        <w:spacing w:before="7"/>
        <w:rPr>
          <w:sz w:val="25"/>
        </w:rPr>
      </w:pPr>
    </w:p>
    <w:p w14:paraId="6CC50BAB" w14:textId="77777777" w:rsidR="009948F1" w:rsidRDefault="00BC0563">
      <w:pPr>
        <w:pStyle w:val="BodyText"/>
        <w:spacing w:line="280" w:lineRule="auto"/>
        <w:ind w:left="147" w:right="207"/>
        <w:jc w:val="both"/>
      </w:pPr>
      <w:r>
        <w:rPr>
          <w:color w:val="231F20"/>
        </w:rPr>
        <w:t xml:space="preserve">The Federal Government of Nigeria planned to have one functional Primary Healthcare </w:t>
      </w:r>
      <w:r>
        <w:rPr>
          <w:color w:val="231F20"/>
          <w:spacing w:val="-3"/>
        </w:rPr>
        <w:t xml:space="preserve">(PHC) </w:t>
      </w:r>
      <w:proofErr w:type="spellStart"/>
      <w:r>
        <w:rPr>
          <w:color w:val="231F20"/>
        </w:rPr>
        <w:t>centre</w:t>
      </w:r>
      <w:proofErr w:type="spellEnd"/>
      <w:r>
        <w:rPr>
          <w:color w:val="231F20"/>
        </w:rPr>
        <w:t xml:space="preserve"> per ward in the country. The reason for this is to facilitate the provision of universal</w:t>
      </w:r>
      <w:r>
        <w:rPr>
          <w:color w:val="231F20"/>
          <w:spacing w:val="-23"/>
        </w:rPr>
        <w:t xml:space="preserve"> </w:t>
      </w:r>
      <w:r>
        <w:rPr>
          <w:color w:val="231F20"/>
        </w:rPr>
        <w:t>health coverage</w:t>
      </w:r>
      <w:r>
        <w:rPr>
          <w:color w:val="231F20"/>
          <w:spacing w:val="-17"/>
        </w:rPr>
        <w:t xml:space="preserve"> </w:t>
      </w:r>
      <w:r>
        <w:rPr>
          <w:color w:val="231F20"/>
        </w:rPr>
        <w:t>to</w:t>
      </w:r>
      <w:r>
        <w:rPr>
          <w:color w:val="231F20"/>
          <w:spacing w:val="-16"/>
        </w:rPr>
        <w:t xml:space="preserve"> </w:t>
      </w:r>
      <w:r>
        <w:rPr>
          <w:color w:val="231F20"/>
        </w:rPr>
        <w:t>over</w:t>
      </w:r>
      <w:r>
        <w:rPr>
          <w:color w:val="231F20"/>
          <w:spacing w:val="-16"/>
        </w:rPr>
        <w:t xml:space="preserve"> </w:t>
      </w:r>
      <w:r>
        <w:rPr>
          <w:color w:val="231F20"/>
        </w:rPr>
        <w:t>its</w:t>
      </w:r>
      <w:r>
        <w:rPr>
          <w:color w:val="231F20"/>
          <w:spacing w:val="-16"/>
        </w:rPr>
        <w:t xml:space="preserve"> </w:t>
      </w:r>
      <w:r>
        <w:rPr>
          <w:color w:val="231F20"/>
        </w:rPr>
        <w:t>180</w:t>
      </w:r>
      <w:r>
        <w:rPr>
          <w:color w:val="231F20"/>
          <w:spacing w:val="-16"/>
        </w:rPr>
        <w:t xml:space="preserve"> </w:t>
      </w:r>
      <w:r>
        <w:rPr>
          <w:color w:val="231F20"/>
        </w:rPr>
        <w:t>million</w:t>
      </w:r>
      <w:r>
        <w:rPr>
          <w:color w:val="231F20"/>
          <w:spacing w:val="-16"/>
        </w:rPr>
        <w:t xml:space="preserve"> </w:t>
      </w:r>
      <w:r>
        <w:rPr>
          <w:color w:val="231F20"/>
        </w:rPr>
        <w:t>citizens.</w:t>
      </w:r>
      <w:r>
        <w:rPr>
          <w:color w:val="231F20"/>
          <w:spacing w:val="-20"/>
        </w:rPr>
        <w:t xml:space="preserve"> </w:t>
      </w:r>
      <w:r>
        <w:rPr>
          <w:color w:val="231F20"/>
        </w:rPr>
        <w:t>The</w:t>
      </w:r>
      <w:r>
        <w:rPr>
          <w:color w:val="231F20"/>
          <w:spacing w:val="-16"/>
        </w:rPr>
        <w:t xml:space="preserve"> </w:t>
      </w:r>
      <w:r>
        <w:rPr>
          <w:color w:val="231F20"/>
        </w:rPr>
        <w:t>functionality</w:t>
      </w:r>
      <w:r>
        <w:rPr>
          <w:color w:val="231F20"/>
          <w:spacing w:val="-16"/>
        </w:rPr>
        <w:t xml:space="preserve"> </w:t>
      </w:r>
      <w:r>
        <w:rPr>
          <w:color w:val="231F20"/>
        </w:rPr>
        <w:t>referred</w:t>
      </w:r>
      <w:r>
        <w:rPr>
          <w:color w:val="231F20"/>
          <w:spacing w:val="-16"/>
        </w:rPr>
        <w:t xml:space="preserve"> </w:t>
      </w:r>
      <w:r>
        <w:rPr>
          <w:color w:val="231F20"/>
        </w:rPr>
        <w:t>to</w:t>
      </w:r>
      <w:r>
        <w:rPr>
          <w:color w:val="231F20"/>
          <w:spacing w:val="-16"/>
        </w:rPr>
        <w:t xml:space="preserve"> </w:t>
      </w:r>
      <w:r>
        <w:rPr>
          <w:color w:val="231F20"/>
        </w:rPr>
        <w:t>in</w:t>
      </w:r>
      <w:r>
        <w:rPr>
          <w:color w:val="231F20"/>
          <w:spacing w:val="-16"/>
        </w:rPr>
        <w:t xml:space="preserve"> </w:t>
      </w:r>
      <w:r>
        <w:rPr>
          <w:color w:val="231F20"/>
        </w:rPr>
        <w:t>the</w:t>
      </w:r>
      <w:r>
        <w:rPr>
          <w:color w:val="231F20"/>
          <w:spacing w:val="-17"/>
        </w:rPr>
        <w:t xml:space="preserve"> </w:t>
      </w:r>
      <w:r>
        <w:rPr>
          <w:color w:val="231F20"/>
        </w:rPr>
        <w:t>definition</w:t>
      </w:r>
      <w:r>
        <w:rPr>
          <w:color w:val="231F20"/>
          <w:spacing w:val="-16"/>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functional PHC is one that meets the minimum standards, which are for effective planning and continuous development</w:t>
      </w:r>
      <w:r>
        <w:rPr>
          <w:color w:val="231F20"/>
          <w:spacing w:val="-25"/>
        </w:rPr>
        <w:t xml:space="preserve"> </w:t>
      </w:r>
      <w:r>
        <w:rPr>
          <w:color w:val="231F20"/>
        </w:rPr>
        <w:t>of</w:t>
      </w:r>
      <w:r>
        <w:rPr>
          <w:color w:val="231F20"/>
          <w:spacing w:val="-24"/>
        </w:rPr>
        <w:t xml:space="preserve"> </w:t>
      </w:r>
      <w:r>
        <w:rPr>
          <w:color w:val="231F20"/>
        </w:rPr>
        <w:t>PHC</w:t>
      </w:r>
      <w:r>
        <w:rPr>
          <w:color w:val="231F20"/>
          <w:spacing w:val="-24"/>
        </w:rPr>
        <w:t xml:space="preserve"> </w:t>
      </w:r>
      <w:r>
        <w:rPr>
          <w:color w:val="231F20"/>
        </w:rPr>
        <w:t>in</w:t>
      </w:r>
      <w:r>
        <w:rPr>
          <w:color w:val="231F20"/>
          <w:spacing w:val="-24"/>
        </w:rPr>
        <w:t xml:space="preserve"> </w:t>
      </w:r>
      <w:r>
        <w:rPr>
          <w:color w:val="231F20"/>
        </w:rPr>
        <w:t>terms</w:t>
      </w:r>
      <w:r>
        <w:rPr>
          <w:color w:val="231F20"/>
          <w:spacing w:val="-25"/>
        </w:rPr>
        <w:t xml:space="preserve"> </w:t>
      </w:r>
      <w:r>
        <w:rPr>
          <w:color w:val="231F20"/>
        </w:rPr>
        <w:t>of</w:t>
      </w:r>
      <w:r>
        <w:rPr>
          <w:color w:val="231F20"/>
          <w:spacing w:val="-24"/>
        </w:rPr>
        <w:t xml:space="preserve"> </w:t>
      </w:r>
      <w:r>
        <w:rPr>
          <w:color w:val="231F20"/>
        </w:rPr>
        <w:t>infrastructure,</w:t>
      </w:r>
      <w:r>
        <w:rPr>
          <w:color w:val="231F20"/>
          <w:spacing w:val="-24"/>
        </w:rPr>
        <w:t xml:space="preserve"> </w:t>
      </w:r>
      <w:r>
        <w:rPr>
          <w:color w:val="231F20"/>
        </w:rPr>
        <w:t>human</w:t>
      </w:r>
      <w:r>
        <w:rPr>
          <w:color w:val="231F20"/>
          <w:spacing w:val="-24"/>
        </w:rPr>
        <w:t xml:space="preserve"> </w:t>
      </w:r>
      <w:r>
        <w:rPr>
          <w:color w:val="231F20"/>
        </w:rPr>
        <w:t>resources,</w:t>
      </w:r>
      <w:r>
        <w:rPr>
          <w:color w:val="231F20"/>
          <w:spacing w:val="-25"/>
        </w:rPr>
        <w:t xml:space="preserve"> </w:t>
      </w:r>
      <w:r>
        <w:rPr>
          <w:color w:val="231F20"/>
        </w:rPr>
        <w:t>availability</w:t>
      </w:r>
      <w:r>
        <w:rPr>
          <w:color w:val="231F20"/>
          <w:spacing w:val="-24"/>
        </w:rPr>
        <w:t xml:space="preserve"> </w:t>
      </w:r>
      <w:r>
        <w:rPr>
          <w:color w:val="231F20"/>
        </w:rPr>
        <w:t>of</w:t>
      </w:r>
      <w:r>
        <w:rPr>
          <w:color w:val="231F20"/>
          <w:spacing w:val="-24"/>
        </w:rPr>
        <w:t xml:space="preserve"> </w:t>
      </w:r>
      <w:r>
        <w:rPr>
          <w:color w:val="231F20"/>
        </w:rPr>
        <w:t>health</w:t>
      </w:r>
      <w:r>
        <w:rPr>
          <w:color w:val="231F20"/>
          <w:spacing w:val="-24"/>
        </w:rPr>
        <w:t xml:space="preserve"> </w:t>
      </w:r>
      <w:r>
        <w:rPr>
          <w:color w:val="231F20"/>
        </w:rPr>
        <w:t>commodities and</w:t>
      </w:r>
      <w:r>
        <w:rPr>
          <w:color w:val="231F20"/>
          <w:spacing w:val="-19"/>
        </w:rPr>
        <w:t xml:space="preserve"> </w:t>
      </w:r>
      <w:r>
        <w:rPr>
          <w:color w:val="231F20"/>
        </w:rPr>
        <w:t>service</w:t>
      </w:r>
      <w:r>
        <w:rPr>
          <w:color w:val="231F20"/>
          <w:spacing w:val="-19"/>
        </w:rPr>
        <w:t xml:space="preserve"> </w:t>
      </w:r>
      <w:r>
        <w:rPr>
          <w:color w:val="231F20"/>
        </w:rPr>
        <w:t>provision.</w:t>
      </w:r>
      <w:r>
        <w:rPr>
          <w:color w:val="231F20"/>
          <w:spacing w:val="-19"/>
        </w:rPr>
        <w:t xml:space="preserve"> </w:t>
      </w:r>
      <w:r>
        <w:rPr>
          <w:color w:val="231F20"/>
        </w:rPr>
        <w:t>However,</w:t>
      </w:r>
      <w:r>
        <w:rPr>
          <w:color w:val="231F20"/>
          <w:spacing w:val="-19"/>
        </w:rPr>
        <w:t xml:space="preserve"> </w:t>
      </w:r>
      <w:r>
        <w:rPr>
          <w:color w:val="231F20"/>
        </w:rPr>
        <w:t>the</w:t>
      </w:r>
      <w:r>
        <w:rPr>
          <w:color w:val="231F20"/>
          <w:spacing w:val="-19"/>
        </w:rPr>
        <w:t xml:space="preserve"> </w:t>
      </w:r>
      <w:r>
        <w:rPr>
          <w:color w:val="231F20"/>
        </w:rPr>
        <w:t>standards</w:t>
      </w:r>
      <w:r>
        <w:rPr>
          <w:color w:val="231F20"/>
          <w:spacing w:val="-19"/>
        </w:rPr>
        <w:t xml:space="preserve"> </w:t>
      </w:r>
      <w:r>
        <w:rPr>
          <w:color w:val="231F20"/>
        </w:rPr>
        <w:t>do</w:t>
      </w:r>
      <w:r>
        <w:rPr>
          <w:color w:val="231F20"/>
          <w:spacing w:val="-19"/>
        </w:rPr>
        <w:t xml:space="preserve"> </w:t>
      </w:r>
      <w:r>
        <w:rPr>
          <w:color w:val="231F20"/>
        </w:rPr>
        <w:t>not</w:t>
      </w:r>
      <w:r>
        <w:rPr>
          <w:color w:val="231F20"/>
          <w:spacing w:val="-19"/>
        </w:rPr>
        <w:t xml:space="preserve"> </w:t>
      </w:r>
      <w:r>
        <w:rPr>
          <w:color w:val="231F20"/>
        </w:rPr>
        <w:t>include</w:t>
      </w:r>
      <w:r>
        <w:rPr>
          <w:color w:val="231F20"/>
          <w:spacing w:val="-18"/>
        </w:rPr>
        <w:t xml:space="preserve"> </w:t>
      </w:r>
      <w:r>
        <w:rPr>
          <w:color w:val="231F20"/>
        </w:rPr>
        <w:t>building</w:t>
      </w:r>
      <w:r>
        <w:rPr>
          <w:color w:val="231F20"/>
          <w:spacing w:val="-19"/>
        </w:rPr>
        <w:t xml:space="preserve"> </w:t>
      </w:r>
      <w:r>
        <w:rPr>
          <w:color w:val="231F20"/>
        </w:rPr>
        <w:t>of</w:t>
      </w:r>
      <w:r>
        <w:rPr>
          <w:color w:val="231F20"/>
          <w:spacing w:val="-19"/>
        </w:rPr>
        <w:t xml:space="preserve"> </w:t>
      </w:r>
      <w:r>
        <w:rPr>
          <w:color w:val="231F20"/>
        </w:rPr>
        <w:t>new</w:t>
      </w:r>
      <w:r>
        <w:rPr>
          <w:color w:val="231F20"/>
          <w:spacing w:val="-19"/>
        </w:rPr>
        <w:t xml:space="preserve"> </w:t>
      </w:r>
      <w:r>
        <w:rPr>
          <w:color w:val="231F20"/>
        </w:rPr>
        <w:t>facilities</w:t>
      </w:r>
      <w:r>
        <w:rPr>
          <w:color w:val="231F20"/>
          <w:spacing w:val="-19"/>
        </w:rPr>
        <w:t xml:space="preserve"> </w:t>
      </w:r>
      <w:r>
        <w:rPr>
          <w:color w:val="231F20"/>
        </w:rPr>
        <w:t>but</w:t>
      </w:r>
      <w:r>
        <w:rPr>
          <w:color w:val="231F20"/>
          <w:spacing w:val="-19"/>
        </w:rPr>
        <w:t xml:space="preserve"> </w:t>
      </w:r>
      <w:r>
        <w:rPr>
          <w:color w:val="231F20"/>
        </w:rPr>
        <w:t>limited</w:t>
      </w:r>
      <w:r>
        <w:rPr>
          <w:color w:val="231F20"/>
          <w:spacing w:val="-19"/>
        </w:rPr>
        <w:t xml:space="preserve"> </w:t>
      </w:r>
      <w:r>
        <w:rPr>
          <w:color w:val="231F20"/>
        </w:rPr>
        <w:t>to infrastructural</w:t>
      </w:r>
      <w:r>
        <w:rPr>
          <w:color w:val="231F20"/>
          <w:spacing w:val="-25"/>
        </w:rPr>
        <w:t xml:space="preserve"> </w:t>
      </w:r>
      <w:r>
        <w:rPr>
          <w:color w:val="231F20"/>
        </w:rPr>
        <w:t>upgrade</w:t>
      </w:r>
      <w:r>
        <w:rPr>
          <w:color w:val="231F20"/>
          <w:spacing w:val="-25"/>
        </w:rPr>
        <w:t xml:space="preserve"> </w:t>
      </w:r>
      <w:r>
        <w:rPr>
          <w:color w:val="231F20"/>
        </w:rPr>
        <w:t>(Facility</w:t>
      </w:r>
      <w:r>
        <w:rPr>
          <w:color w:val="231F20"/>
          <w:spacing w:val="-25"/>
        </w:rPr>
        <w:t xml:space="preserve"> </w:t>
      </w:r>
      <w:r>
        <w:rPr>
          <w:color w:val="231F20"/>
        </w:rPr>
        <w:t>renovation,</w:t>
      </w:r>
      <w:r>
        <w:rPr>
          <w:color w:val="231F20"/>
          <w:spacing w:val="-25"/>
        </w:rPr>
        <w:t xml:space="preserve"> </w:t>
      </w:r>
      <w:r>
        <w:rPr>
          <w:color w:val="231F20"/>
        </w:rPr>
        <w:t>power</w:t>
      </w:r>
      <w:r>
        <w:rPr>
          <w:color w:val="231F20"/>
          <w:spacing w:val="-25"/>
        </w:rPr>
        <w:t xml:space="preserve"> </w:t>
      </w:r>
      <w:r>
        <w:rPr>
          <w:color w:val="231F20"/>
          <w:spacing w:val="-3"/>
        </w:rPr>
        <w:t>supply,</w:t>
      </w:r>
      <w:r>
        <w:rPr>
          <w:color w:val="231F20"/>
          <w:spacing w:val="-25"/>
        </w:rPr>
        <w:t xml:space="preserve"> </w:t>
      </w:r>
      <w:r>
        <w:rPr>
          <w:color w:val="231F20"/>
        </w:rPr>
        <w:t>toilets</w:t>
      </w:r>
      <w:r>
        <w:rPr>
          <w:color w:val="231F20"/>
          <w:spacing w:val="-25"/>
        </w:rPr>
        <w:t xml:space="preserve"> </w:t>
      </w:r>
      <w:r>
        <w:rPr>
          <w:color w:val="231F20"/>
        </w:rPr>
        <w:t>and</w:t>
      </w:r>
      <w:r>
        <w:rPr>
          <w:color w:val="231F20"/>
          <w:spacing w:val="-25"/>
        </w:rPr>
        <w:t xml:space="preserve"> </w:t>
      </w:r>
      <w:r>
        <w:rPr>
          <w:color w:val="231F20"/>
        </w:rPr>
        <w:t>water</w:t>
      </w:r>
      <w:r>
        <w:rPr>
          <w:color w:val="231F20"/>
          <w:spacing w:val="-25"/>
        </w:rPr>
        <w:t xml:space="preserve"> </w:t>
      </w:r>
      <w:r>
        <w:rPr>
          <w:color w:val="231F20"/>
        </w:rPr>
        <w:t>amenities).</w:t>
      </w:r>
    </w:p>
    <w:p w14:paraId="5E5D99C7" w14:textId="77777777" w:rsidR="009948F1" w:rsidRDefault="009948F1">
      <w:pPr>
        <w:pStyle w:val="BodyText"/>
        <w:spacing w:before="6"/>
        <w:rPr>
          <w:sz w:val="25"/>
        </w:rPr>
      </w:pPr>
    </w:p>
    <w:p w14:paraId="47E14E78" w14:textId="77777777" w:rsidR="009948F1" w:rsidRDefault="00BC0563">
      <w:pPr>
        <w:pStyle w:val="Heading7"/>
        <w:ind w:left="147"/>
        <w:jc w:val="both"/>
      </w:pPr>
      <w:r>
        <w:rPr>
          <w:color w:val="231F20"/>
        </w:rPr>
        <w:t>Strategic Goal</w:t>
      </w:r>
    </w:p>
    <w:p w14:paraId="298C3001" w14:textId="77777777" w:rsidR="009948F1" w:rsidRDefault="00BC0563">
      <w:pPr>
        <w:pStyle w:val="BodyText"/>
        <w:spacing w:before="43" w:line="280" w:lineRule="auto"/>
        <w:ind w:left="147" w:right="207"/>
        <w:jc w:val="both"/>
      </w:pPr>
      <w:r>
        <w:rPr>
          <w:color w:val="231F20"/>
        </w:rPr>
        <w:t>6.10.0 To improve the availability and functionality of health infrastructure required to optimize service delivery at all levels and ensure equitable access to effective and responsive health services throughout the country.</w:t>
      </w:r>
    </w:p>
    <w:p w14:paraId="021A6B1C" w14:textId="77777777" w:rsidR="009948F1" w:rsidRDefault="009948F1">
      <w:pPr>
        <w:spacing w:line="280" w:lineRule="auto"/>
        <w:jc w:val="both"/>
        <w:sectPr w:rsidR="009948F1">
          <w:pgSz w:w="11910" w:h="16840"/>
          <w:pgMar w:top="1360" w:right="1080" w:bottom="1420" w:left="1120" w:header="0" w:footer="1235" w:gutter="0"/>
          <w:cols w:space="720"/>
        </w:sectPr>
      </w:pPr>
    </w:p>
    <w:p w14:paraId="4A8BD55B" w14:textId="77777777" w:rsidR="009948F1" w:rsidRDefault="00BC0563">
      <w:pPr>
        <w:pStyle w:val="Heading7"/>
        <w:spacing w:before="42"/>
        <w:ind w:left="146"/>
      </w:pPr>
      <w:bookmarkStart w:id="94" w:name="Page_80"/>
      <w:bookmarkEnd w:id="94"/>
      <w:r>
        <w:rPr>
          <w:color w:val="231F20"/>
        </w:rPr>
        <w:lastRenderedPageBreak/>
        <w:t>Strategic Objective</w:t>
      </w:r>
    </w:p>
    <w:p w14:paraId="7184E923" w14:textId="77777777" w:rsidR="009948F1" w:rsidRDefault="00BC0563">
      <w:pPr>
        <w:pStyle w:val="BodyText"/>
        <w:spacing w:before="23" w:line="261" w:lineRule="auto"/>
        <w:ind w:left="146" w:right="183"/>
        <w:jc w:val="both"/>
      </w:pPr>
      <w:r>
        <w:rPr>
          <w:color w:val="231F20"/>
        </w:rPr>
        <w:t>6.10.1-</w:t>
      </w:r>
      <w:r>
        <w:rPr>
          <w:color w:val="231F20"/>
          <w:spacing w:val="-20"/>
        </w:rPr>
        <w:t xml:space="preserve"> </w:t>
      </w:r>
      <w:r>
        <w:rPr>
          <w:color w:val="231F20"/>
          <w:spacing w:val="-13"/>
        </w:rPr>
        <w:t>To</w:t>
      </w:r>
      <w:r>
        <w:rPr>
          <w:color w:val="231F20"/>
          <w:spacing w:val="-15"/>
        </w:rPr>
        <w:t xml:space="preserve"> </w:t>
      </w:r>
      <w:r>
        <w:rPr>
          <w:color w:val="231F20"/>
        </w:rPr>
        <w:t>improve</w:t>
      </w:r>
      <w:r>
        <w:rPr>
          <w:color w:val="231F20"/>
          <w:spacing w:val="-15"/>
        </w:rPr>
        <w:t xml:space="preserve"> </w:t>
      </w:r>
      <w:r>
        <w:rPr>
          <w:color w:val="231F20"/>
        </w:rPr>
        <w:t>availability</w:t>
      </w:r>
      <w:r>
        <w:rPr>
          <w:color w:val="231F20"/>
          <w:spacing w:val="-15"/>
        </w:rPr>
        <w:t xml:space="preserve"> </w:t>
      </w:r>
      <w:r>
        <w:rPr>
          <w:color w:val="231F20"/>
        </w:rPr>
        <w:t>and</w:t>
      </w:r>
      <w:r>
        <w:rPr>
          <w:color w:val="231F20"/>
          <w:spacing w:val="-15"/>
        </w:rPr>
        <w:t xml:space="preserve"> </w:t>
      </w:r>
      <w:r>
        <w:rPr>
          <w:color w:val="231F20"/>
        </w:rPr>
        <w:t>functionality</w:t>
      </w:r>
      <w:r>
        <w:rPr>
          <w:color w:val="231F20"/>
          <w:spacing w:val="-15"/>
        </w:rPr>
        <w:t xml:space="preserve"> </w:t>
      </w:r>
      <w:r>
        <w:rPr>
          <w:color w:val="231F20"/>
        </w:rPr>
        <w:t>of</w:t>
      </w:r>
      <w:r>
        <w:rPr>
          <w:color w:val="231F20"/>
          <w:spacing w:val="-15"/>
        </w:rPr>
        <w:t xml:space="preserve"> </w:t>
      </w:r>
      <w:r>
        <w:rPr>
          <w:color w:val="231F20"/>
        </w:rPr>
        <w:t>health</w:t>
      </w:r>
      <w:r>
        <w:rPr>
          <w:color w:val="231F20"/>
          <w:spacing w:val="-15"/>
        </w:rPr>
        <w:t xml:space="preserve"> </w:t>
      </w:r>
      <w:r>
        <w:rPr>
          <w:color w:val="231F20"/>
        </w:rPr>
        <w:t>infrastructure</w:t>
      </w:r>
      <w:r>
        <w:rPr>
          <w:color w:val="231F20"/>
          <w:spacing w:val="-15"/>
        </w:rPr>
        <w:t xml:space="preserve"> </w:t>
      </w:r>
      <w:r>
        <w:rPr>
          <w:color w:val="231F20"/>
        </w:rPr>
        <w:t>required</w:t>
      </w:r>
      <w:r>
        <w:rPr>
          <w:color w:val="231F20"/>
          <w:spacing w:val="-15"/>
        </w:rPr>
        <w:t xml:space="preserve"> </w:t>
      </w:r>
      <w:r>
        <w:rPr>
          <w:color w:val="231F20"/>
        </w:rPr>
        <w:t>to</w:t>
      </w:r>
      <w:r>
        <w:rPr>
          <w:color w:val="231F20"/>
          <w:spacing w:val="-15"/>
        </w:rPr>
        <w:t xml:space="preserve"> </w:t>
      </w:r>
      <w:r>
        <w:rPr>
          <w:color w:val="231F20"/>
        </w:rPr>
        <w:t>optimize</w:t>
      </w:r>
      <w:r>
        <w:rPr>
          <w:color w:val="231F20"/>
          <w:spacing w:val="-15"/>
        </w:rPr>
        <w:t xml:space="preserve"> </w:t>
      </w:r>
      <w:r>
        <w:rPr>
          <w:color w:val="231F20"/>
        </w:rPr>
        <w:t>service delivery</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p>
    <w:p w14:paraId="12F0D5D5" w14:textId="77777777" w:rsidR="009948F1" w:rsidRDefault="009948F1">
      <w:pPr>
        <w:pStyle w:val="BodyText"/>
        <w:rPr>
          <w:sz w:val="24"/>
        </w:rPr>
      </w:pPr>
    </w:p>
    <w:p w14:paraId="3C48186F" w14:textId="77777777" w:rsidR="009948F1" w:rsidRDefault="00BC0563">
      <w:pPr>
        <w:pStyle w:val="Heading7"/>
        <w:ind w:left="146"/>
      </w:pPr>
      <w:r>
        <w:rPr>
          <w:color w:val="231F20"/>
        </w:rPr>
        <w:t>Targets</w:t>
      </w:r>
    </w:p>
    <w:p w14:paraId="34DE1BD0" w14:textId="77777777" w:rsidR="009948F1" w:rsidRDefault="009948F1">
      <w:pPr>
        <w:pStyle w:val="BodyText"/>
        <w:spacing w:before="2" w:after="1"/>
        <w:rPr>
          <w:b/>
          <w:sz w:val="24"/>
        </w:rPr>
      </w:pPr>
    </w:p>
    <w:tbl>
      <w:tblPr>
        <w:tblW w:w="0" w:type="auto"/>
        <w:tblInd w:w="16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236"/>
        <w:gridCol w:w="1346"/>
        <w:gridCol w:w="754"/>
        <w:gridCol w:w="754"/>
        <w:gridCol w:w="754"/>
        <w:gridCol w:w="754"/>
        <w:gridCol w:w="655"/>
        <w:gridCol w:w="987"/>
      </w:tblGrid>
      <w:tr w:rsidR="009948F1" w14:paraId="1EDA26AD" w14:textId="77777777">
        <w:trPr>
          <w:trHeight w:val="217"/>
        </w:trPr>
        <w:tc>
          <w:tcPr>
            <w:tcW w:w="3236" w:type="dxa"/>
            <w:shd w:val="clear" w:color="auto" w:fill="F4CEB2"/>
          </w:tcPr>
          <w:p w14:paraId="47DDCAF6" w14:textId="77777777" w:rsidR="009948F1" w:rsidRDefault="00BC0563">
            <w:pPr>
              <w:pStyle w:val="TableParagraph"/>
              <w:spacing w:line="197" w:lineRule="exact"/>
              <w:ind w:left="112"/>
              <w:rPr>
                <w:sz w:val="19"/>
              </w:rPr>
            </w:pPr>
            <w:r>
              <w:rPr>
                <w:color w:val="231F20"/>
                <w:sz w:val="19"/>
              </w:rPr>
              <w:t>Targets</w:t>
            </w:r>
          </w:p>
        </w:tc>
        <w:tc>
          <w:tcPr>
            <w:tcW w:w="1346" w:type="dxa"/>
            <w:shd w:val="clear" w:color="auto" w:fill="F4CEB2"/>
          </w:tcPr>
          <w:p w14:paraId="22C01563" w14:textId="77777777" w:rsidR="009948F1" w:rsidRDefault="00BC0563">
            <w:pPr>
              <w:pStyle w:val="TableParagraph"/>
              <w:spacing w:line="197" w:lineRule="exact"/>
              <w:ind w:left="112"/>
              <w:rPr>
                <w:sz w:val="19"/>
              </w:rPr>
            </w:pPr>
            <w:r>
              <w:rPr>
                <w:color w:val="231F20"/>
                <w:sz w:val="19"/>
              </w:rPr>
              <w:t>Baseline</w:t>
            </w:r>
          </w:p>
        </w:tc>
        <w:tc>
          <w:tcPr>
            <w:tcW w:w="754" w:type="dxa"/>
            <w:shd w:val="clear" w:color="auto" w:fill="F4CEB2"/>
          </w:tcPr>
          <w:p w14:paraId="3E013E86" w14:textId="77777777" w:rsidR="009948F1" w:rsidRDefault="00BC0563">
            <w:pPr>
              <w:pStyle w:val="TableParagraph"/>
              <w:spacing w:line="197" w:lineRule="exact"/>
              <w:ind w:left="113"/>
              <w:rPr>
                <w:b/>
                <w:sz w:val="19"/>
              </w:rPr>
            </w:pPr>
            <w:r>
              <w:rPr>
                <w:b/>
                <w:color w:val="231F20"/>
                <w:sz w:val="19"/>
              </w:rPr>
              <w:t>2018</w:t>
            </w:r>
          </w:p>
        </w:tc>
        <w:tc>
          <w:tcPr>
            <w:tcW w:w="754" w:type="dxa"/>
            <w:shd w:val="clear" w:color="auto" w:fill="F4CEB2"/>
          </w:tcPr>
          <w:p w14:paraId="50C86010" w14:textId="77777777" w:rsidR="009948F1" w:rsidRDefault="00BC0563">
            <w:pPr>
              <w:pStyle w:val="TableParagraph"/>
              <w:spacing w:line="197" w:lineRule="exact"/>
              <w:ind w:left="114"/>
              <w:rPr>
                <w:b/>
                <w:sz w:val="19"/>
              </w:rPr>
            </w:pPr>
            <w:r>
              <w:rPr>
                <w:b/>
                <w:color w:val="231F20"/>
                <w:sz w:val="19"/>
              </w:rPr>
              <w:t>2019</w:t>
            </w:r>
          </w:p>
        </w:tc>
        <w:tc>
          <w:tcPr>
            <w:tcW w:w="754" w:type="dxa"/>
            <w:shd w:val="clear" w:color="auto" w:fill="F4CEB2"/>
          </w:tcPr>
          <w:p w14:paraId="321A274C" w14:textId="77777777" w:rsidR="009948F1" w:rsidRDefault="00BC0563">
            <w:pPr>
              <w:pStyle w:val="TableParagraph"/>
              <w:spacing w:line="197" w:lineRule="exact"/>
              <w:ind w:left="114"/>
              <w:rPr>
                <w:b/>
                <w:sz w:val="19"/>
              </w:rPr>
            </w:pPr>
            <w:r>
              <w:rPr>
                <w:b/>
                <w:color w:val="231F20"/>
                <w:sz w:val="19"/>
              </w:rPr>
              <w:t>2020</w:t>
            </w:r>
          </w:p>
        </w:tc>
        <w:tc>
          <w:tcPr>
            <w:tcW w:w="754" w:type="dxa"/>
            <w:shd w:val="clear" w:color="auto" w:fill="F4CEB2"/>
          </w:tcPr>
          <w:p w14:paraId="30624E26" w14:textId="77777777" w:rsidR="009948F1" w:rsidRDefault="00BC0563">
            <w:pPr>
              <w:pStyle w:val="TableParagraph"/>
              <w:spacing w:line="197" w:lineRule="exact"/>
              <w:ind w:left="115"/>
              <w:rPr>
                <w:b/>
                <w:sz w:val="19"/>
              </w:rPr>
            </w:pPr>
            <w:r>
              <w:rPr>
                <w:b/>
                <w:color w:val="231F20"/>
                <w:sz w:val="19"/>
              </w:rPr>
              <w:t>2021</w:t>
            </w:r>
          </w:p>
        </w:tc>
        <w:tc>
          <w:tcPr>
            <w:tcW w:w="655" w:type="dxa"/>
            <w:shd w:val="clear" w:color="auto" w:fill="F4CEB2"/>
          </w:tcPr>
          <w:p w14:paraId="465CE2D8" w14:textId="77777777" w:rsidR="009948F1" w:rsidRDefault="00BC0563">
            <w:pPr>
              <w:pStyle w:val="TableParagraph"/>
              <w:spacing w:line="197" w:lineRule="exact"/>
              <w:ind w:left="116"/>
              <w:rPr>
                <w:b/>
                <w:sz w:val="19"/>
              </w:rPr>
            </w:pPr>
            <w:r>
              <w:rPr>
                <w:b/>
                <w:color w:val="231F20"/>
                <w:sz w:val="19"/>
              </w:rPr>
              <w:t>2022</w:t>
            </w:r>
          </w:p>
        </w:tc>
        <w:tc>
          <w:tcPr>
            <w:tcW w:w="987" w:type="dxa"/>
            <w:shd w:val="clear" w:color="auto" w:fill="F4CEB2"/>
          </w:tcPr>
          <w:p w14:paraId="7477468B" w14:textId="77777777" w:rsidR="009948F1" w:rsidRDefault="00BC0563">
            <w:pPr>
              <w:pStyle w:val="TableParagraph"/>
              <w:spacing w:line="197" w:lineRule="exact"/>
              <w:ind w:left="117"/>
              <w:rPr>
                <w:b/>
                <w:sz w:val="19"/>
              </w:rPr>
            </w:pPr>
            <w:r>
              <w:rPr>
                <w:b/>
                <w:color w:val="231F20"/>
                <w:sz w:val="19"/>
              </w:rPr>
              <w:t>National</w:t>
            </w:r>
          </w:p>
        </w:tc>
      </w:tr>
      <w:tr w:rsidR="009948F1" w14:paraId="3708907D" w14:textId="77777777">
        <w:trPr>
          <w:trHeight w:val="1094"/>
        </w:trPr>
        <w:tc>
          <w:tcPr>
            <w:tcW w:w="3236" w:type="dxa"/>
          </w:tcPr>
          <w:p w14:paraId="320A8F25" w14:textId="77777777" w:rsidR="009948F1" w:rsidRDefault="00BC0563">
            <w:pPr>
              <w:pStyle w:val="TableParagraph"/>
              <w:spacing w:line="242" w:lineRule="auto"/>
              <w:ind w:left="112" w:right="119"/>
              <w:rPr>
                <w:sz w:val="19"/>
              </w:rPr>
            </w:pPr>
            <w:r>
              <w:rPr>
                <w:color w:val="231F20"/>
                <w:sz w:val="19"/>
              </w:rPr>
              <w:t xml:space="preserve">80% of Wards in the country has at least one fully functional PHC </w:t>
            </w:r>
            <w:proofErr w:type="spellStart"/>
            <w:r>
              <w:rPr>
                <w:color w:val="231F20"/>
                <w:sz w:val="19"/>
              </w:rPr>
              <w:t>centre</w:t>
            </w:r>
            <w:proofErr w:type="spellEnd"/>
            <w:r>
              <w:rPr>
                <w:color w:val="231F20"/>
                <w:sz w:val="19"/>
              </w:rPr>
              <w:t xml:space="preserve"> with capacity to provide comprehensive primary health care</w:t>
            </w:r>
          </w:p>
          <w:p w14:paraId="5A223F2E" w14:textId="77777777" w:rsidR="009948F1" w:rsidRDefault="00BC0563">
            <w:pPr>
              <w:pStyle w:val="TableParagraph"/>
              <w:spacing w:line="194" w:lineRule="exact"/>
              <w:ind w:left="112"/>
              <w:rPr>
                <w:sz w:val="19"/>
              </w:rPr>
            </w:pPr>
            <w:r>
              <w:rPr>
                <w:color w:val="231F20"/>
                <w:sz w:val="19"/>
              </w:rPr>
              <w:t>services by 2022.</w:t>
            </w:r>
          </w:p>
        </w:tc>
        <w:tc>
          <w:tcPr>
            <w:tcW w:w="1346" w:type="dxa"/>
          </w:tcPr>
          <w:p w14:paraId="6EDE9F26" w14:textId="77777777" w:rsidR="009948F1" w:rsidRDefault="00BC0563">
            <w:pPr>
              <w:pStyle w:val="TableParagraph"/>
              <w:spacing w:line="216" w:lineRule="exact"/>
              <w:ind w:left="112"/>
              <w:rPr>
                <w:sz w:val="19"/>
              </w:rPr>
            </w:pPr>
            <w:r>
              <w:rPr>
                <w:color w:val="231F20"/>
                <w:sz w:val="19"/>
              </w:rPr>
              <w:t>TBD</w:t>
            </w:r>
          </w:p>
        </w:tc>
        <w:tc>
          <w:tcPr>
            <w:tcW w:w="754" w:type="dxa"/>
          </w:tcPr>
          <w:p w14:paraId="6D8C7408" w14:textId="77777777" w:rsidR="009948F1" w:rsidRDefault="00BC0563">
            <w:pPr>
              <w:pStyle w:val="TableParagraph"/>
              <w:spacing w:line="216" w:lineRule="exact"/>
              <w:ind w:left="113"/>
              <w:rPr>
                <w:sz w:val="19"/>
              </w:rPr>
            </w:pPr>
            <w:r>
              <w:rPr>
                <w:color w:val="231F20"/>
                <w:sz w:val="19"/>
              </w:rPr>
              <w:t>55</w:t>
            </w:r>
          </w:p>
        </w:tc>
        <w:tc>
          <w:tcPr>
            <w:tcW w:w="754" w:type="dxa"/>
          </w:tcPr>
          <w:p w14:paraId="404C413B" w14:textId="77777777" w:rsidR="009948F1" w:rsidRDefault="00BC0563">
            <w:pPr>
              <w:pStyle w:val="TableParagraph"/>
              <w:spacing w:line="216" w:lineRule="exact"/>
              <w:ind w:left="114"/>
              <w:rPr>
                <w:sz w:val="19"/>
              </w:rPr>
            </w:pPr>
            <w:r>
              <w:rPr>
                <w:color w:val="231F20"/>
                <w:sz w:val="19"/>
              </w:rPr>
              <w:t>60</w:t>
            </w:r>
          </w:p>
        </w:tc>
        <w:tc>
          <w:tcPr>
            <w:tcW w:w="754" w:type="dxa"/>
          </w:tcPr>
          <w:p w14:paraId="486F44AE" w14:textId="77777777" w:rsidR="009948F1" w:rsidRDefault="00BC0563">
            <w:pPr>
              <w:pStyle w:val="TableParagraph"/>
              <w:spacing w:line="216" w:lineRule="exact"/>
              <w:ind w:left="114"/>
              <w:rPr>
                <w:sz w:val="19"/>
              </w:rPr>
            </w:pPr>
            <w:r>
              <w:rPr>
                <w:color w:val="231F20"/>
                <w:sz w:val="19"/>
              </w:rPr>
              <w:t>65</w:t>
            </w:r>
          </w:p>
        </w:tc>
        <w:tc>
          <w:tcPr>
            <w:tcW w:w="754" w:type="dxa"/>
          </w:tcPr>
          <w:p w14:paraId="6FAAB5A7" w14:textId="77777777" w:rsidR="009948F1" w:rsidRDefault="00BC0563">
            <w:pPr>
              <w:pStyle w:val="TableParagraph"/>
              <w:spacing w:line="216" w:lineRule="exact"/>
              <w:ind w:left="115"/>
              <w:rPr>
                <w:sz w:val="19"/>
              </w:rPr>
            </w:pPr>
            <w:r>
              <w:rPr>
                <w:color w:val="231F20"/>
                <w:sz w:val="19"/>
              </w:rPr>
              <w:t>70</w:t>
            </w:r>
          </w:p>
        </w:tc>
        <w:tc>
          <w:tcPr>
            <w:tcW w:w="655" w:type="dxa"/>
          </w:tcPr>
          <w:p w14:paraId="0307BDD5" w14:textId="77777777" w:rsidR="009948F1" w:rsidRDefault="00BC0563">
            <w:pPr>
              <w:pStyle w:val="TableParagraph"/>
              <w:spacing w:line="216" w:lineRule="exact"/>
              <w:ind w:left="116"/>
              <w:rPr>
                <w:sz w:val="19"/>
              </w:rPr>
            </w:pPr>
            <w:r>
              <w:rPr>
                <w:color w:val="231F20"/>
                <w:sz w:val="19"/>
              </w:rPr>
              <w:t>75</w:t>
            </w:r>
          </w:p>
        </w:tc>
        <w:tc>
          <w:tcPr>
            <w:tcW w:w="987" w:type="dxa"/>
          </w:tcPr>
          <w:p w14:paraId="5B0A5916" w14:textId="77777777" w:rsidR="009948F1" w:rsidRDefault="00BC0563">
            <w:pPr>
              <w:pStyle w:val="TableParagraph"/>
              <w:spacing w:line="216" w:lineRule="exact"/>
              <w:ind w:left="117"/>
              <w:rPr>
                <w:sz w:val="19"/>
              </w:rPr>
            </w:pPr>
            <w:r>
              <w:rPr>
                <w:color w:val="231F20"/>
                <w:sz w:val="19"/>
              </w:rPr>
              <w:t>80%</w:t>
            </w:r>
          </w:p>
        </w:tc>
      </w:tr>
      <w:tr w:rsidR="009948F1" w14:paraId="6EBB8BEC" w14:textId="77777777">
        <w:trPr>
          <w:trHeight w:val="655"/>
        </w:trPr>
        <w:tc>
          <w:tcPr>
            <w:tcW w:w="3236" w:type="dxa"/>
          </w:tcPr>
          <w:p w14:paraId="5E9BE0AD" w14:textId="77777777" w:rsidR="009948F1" w:rsidRDefault="00BC0563">
            <w:pPr>
              <w:pStyle w:val="TableParagraph"/>
              <w:spacing w:line="216" w:lineRule="exact"/>
              <w:ind w:left="112"/>
              <w:rPr>
                <w:sz w:val="19"/>
              </w:rPr>
            </w:pPr>
            <w:r>
              <w:rPr>
                <w:color w:val="231F20"/>
                <w:sz w:val="19"/>
              </w:rPr>
              <w:t>50% of the LGAs have functional</w:t>
            </w:r>
          </w:p>
          <w:p w14:paraId="1D0741D0" w14:textId="3D2840F8" w:rsidR="009948F1" w:rsidRDefault="00582DC8">
            <w:pPr>
              <w:pStyle w:val="TableParagraph"/>
              <w:spacing w:before="2" w:line="220" w:lineRule="atLeast"/>
              <w:ind w:left="112"/>
              <w:rPr>
                <w:sz w:val="19"/>
              </w:rPr>
            </w:pPr>
            <w:r>
              <w:rPr>
                <w:color w:val="231F20"/>
                <w:sz w:val="19"/>
              </w:rPr>
              <w:t>general hospitals for ref</w:t>
            </w:r>
            <w:r w:rsidR="00BC0563">
              <w:rPr>
                <w:color w:val="231F20"/>
                <w:sz w:val="19"/>
              </w:rPr>
              <w:t>erral from PHCs.</w:t>
            </w:r>
          </w:p>
        </w:tc>
        <w:tc>
          <w:tcPr>
            <w:tcW w:w="1346" w:type="dxa"/>
          </w:tcPr>
          <w:p w14:paraId="3A7490CB" w14:textId="77777777" w:rsidR="009948F1" w:rsidRDefault="00BC0563">
            <w:pPr>
              <w:pStyle w:val="TableParagraph"/>
              <w:spacing w:line="216" w:lineRule="exact"/>
              <w:ind w:left="112"/>
              <w:rPr>
                <w:sz w:val="19"/>
              </w:rPr>
            </w:pPr>
            <w:r>
              <w:rPr>
                <w:color w:val="231F20"/>
                <w:sz w:val="19"/>
              </w:rPr>
              <w:t>TBD</w:t>
            </w:r>
          </w:p>
        </w:tc>
        <w:tc>
          <w:tcPr>
            <w:tcW w:w="754" w:type="dxa"/>
          </w:tcPr>
          <w:p w14:paraId="24E3997C" w14:textId="77777777" w:rsidR="009948F1" w:rsidRDefault="00BC0563">
            <w:pPr>
              <w:pStyle w:val="TableParagraph"/>
              <w:spacing w:line="216" w:lineRule="exact"/>
              <w:ind w:left="113"/>
              <w:rPr>
                <w:sz w:val="19"/>
              </w:rPr>
            </w:pPr>
            <w:r>
              <w:rPr>
                <w:color w:val="231F20"/>
                <w:sz w:val="19"/>
              </w:rPr>
              <w:t>50</w:t>
            </w:r>
          </w:p>
        </w:tc>
        <w:tc>
          <w:tcPr>
            <w:tcW w:w="754" w:type="dxa"/>
          </w:tcPr>
          <w:p w14:paraId="4A83E670" w14:textId="77777777" w:rsidR="009948F1" w:rsidRDefault="00BC0563">
            <w:pPr>
              <w:pStyle w:val="TableParagraph"/>
              <w:spacing w:line="216" w:lineRule="exact"/>
              <w:ind w:left="114"/>
              <w:rPr>
                <w:sz w:val="19"/>
              </w:rPr>
            </w:pPr>
            <w:r>
              <w:rPr>
                <w:color w:val="231F20"/>
                <w:sz w:val="19"/>
              </w:rPr>
              <w:t>60</w:t>
            </w:r>
          </w:p>
        </w:tc>
        <w:tc>
          <w:tcPr>
            <w:tcW w:w="754" w:type="dxa"/>
          </w:tcPr>
          <w:p w14:paraId="412C3FF6" w14:textId="77777777" w:rsidR="009948F1" w:rsidRDefault="00BC0563">
            <w:pPr>
              <w:pStyle w:val="TableParagraph"/>
              <w:spacing w:line="216" w:lineRule="exact"/>
              <w:ind w:left="114"/>
              <w:rPr>
                <w:sz w:val="19"/>
              </w:rPr>
            </w:pPr>
            <w:r>
              <w:rPr>
                <w:color w:val="231F20"/>
                <w:sz w:val="19"/>
              </w:rPr>
              <w:t>70</w:t>
            </w:r>
          </w:p>
        </w:tc>
        <w:tc>
          <w:tcPr>
            <w:tcW w:w="754" w:type="dxa"/>
          </w:tcPr>
          <w:p w14:paraId="599EA213" w14:textId="77777777" w:rsidR="009948F1" w:rsidRDefault="00BC0563">
            <w:pPr>
              <w:pStyle w:val="TableParagraph"/>
              <w:spacing w:line="216" w:lineRule="exact"/>
              <w:ind w:left="115"/>
              <w:rPr>
                <w:sz w:val="19"/>
              </w:rPr>
            </w:pPr>
            <w:r>
              <w:rPr>
                <w:color w:val="231F20"/>
                <w:sz w:val="19"/>
              </w:rPr>
              <w:t>80</w:t>
            </w:r>
          </w:p>
        </w:tc>
        <w:tc>
          <w:tcPr>
            <w:tcW w:w="655" w:type="dxa"/>
          </w:tcPr>
          <w:p w14:paraId="35BC8759" w14:textId="77777777" w:rsidR="009948F1" w:rsidRDefault="00BC0563">
            <w:pPr>
              <w:pStyle w:val="TableParagraph"/>
              <w:spacing w:line="216" w:lineRule="exact"/>
              <w:ind w:left="116"/>
              <w:rPr>
                <w:sz w:val="19"/>
              </w:rPr>
            </w:pPr>
            <w:r>
              <w:rPr>
                <w:color w:val="231F20"/>
                <w:sz w:val="19"/>
              </w:rPr>
              <w:t>90</w:t>
            </w:r>
          </w:p>
        </w:tc>
        <w:tc>
          <w:tcPr>
            <w:tcW w:w="987" w:type="dxa"/>
          </w:tcPr>
          <w:p w14:paraId="1CA13002" w14:textId="77777777" w:rsidR="009948F1" w:rsidRDefault="00BC0563">
            <w:pPr>
              <w:pStyle w:val="TableParagraph"/>
              <w:spacing w:line="216" w:lineRule="exact"/>
              <w:ind w:left="117"/>
              <w:rPr>
                <w:sz w:val="19"/>
              </w:rPr>
            </w:pPr>
            <w:r>
              <w:rPr>
                <w:color w:val="231F20"/>
                <w:sz w:val="19"/>
              </w:rPr>
              <w:t>50%</w:t>
            </w:r>
          </w:p>
        </w:tc>
      </w:tr>
      <w:tr w:rsidR="009948F1" w14:paraId="261C5070" w14:textId="77777777">
        <w:trPr>
          <w:trHeight w:val="1973"/>
        </w:trPr>
        <w:tc>
          <w:tcPr>
            <w:tcW w:w="3236" w:type="dxa"/>
          </w:tcPr>
          <w:p w14:paraId="2BF3DCB7" w14:textId="1CEEC58B" w:rsidR="009948F1" w:rsidRDefault="00BC0563">
            <w:pPr>
              <w:pStyle w:val="TableParagraph"/>
              <w:spacing w:line="242" w:lineRule="auto"/>
              <w:ind w:left="112" w:right="139"/>
              <w:rPr>
                <w:sz w:val="19"/>
              </w:rPr>
            </w:pPr>
            <w:r>
              <w:rPr>
                <w:color w:val="231F20"/>
                <w:sz w:val="19"/>
              </w:rPr>
              <w:t>80% of health facilities at all levels of the health system has fully functional health infrastructure (related to medical equipment; water supply; electricity supply; roads; waste disposal; ICT; and security) needed for supporting and facilitating health service</w:t>
            </w:r>
          </w:p>
          <w:p w14:paraId="4567153F" w14:textId="016D0B30" w:rsidR="009948F1" w:rsidRDefault="001D6C4A">
            <w:pPr>
              <w:pStyle w:val="TableParagraph"/>
              <w:spacing w:line="194" w:lineRule="exact"/>
              <w:ind w:left="112"/>
              <w:rPr>
                <w:sz w:val="19"/>
              </w:rPr>
            </w:pPr>
            <w:proofErr w:type="spellStart"/>
            <w:r>
              <w:rPr>
                <w:color w:val="231F20"/>
                <w:sz w:val="19"/>
              </w:rPr>
              <w:t>D</w:t>
            </w:r>
            <w:r w:rsidR="00BC0563">
              <w:rPr>
                <w:color w:val="231F20"/>
                <w:sz w:val="19"/>
              </w:rPr>
              <w:t>eliv</w:t>
            </w:r>
            <w:proofErr w:type="spellEnd"/>
            <w:r w:rsidR="000C385C">
              <w:rPr>
                <w:color w:val="231F20"/>
                <w:sz w:val="19"/>
              </w:rPr>
              <w:t xml:space="preserve"> </w:t>
            </w:r>
            <w:r w:rsidR="002536D6">
              <w:rPr>
                <w:color w:val="231F20"/>
                <w:sz w:val="19"/>
              </w:rPr>
              <w:t xml:space="preserve">b </w:t>
            </w:r>
            <w:proofErr w:type="spellStart"/>
            <w:r w:rsidR="00BC0563">
              <w:rPr>
                <w:color w:val="231F20"/>
                <w:sz w:val="19"/>
              </w:rPr>
              <w:t>ery</w:t>
            </w:r>
            <w:proofErr w:type="spellEnd"/>
            <w:r w:rsidR="00BC0563">
              <w:rPr>
                <w:color w:val="231F20"/>
                <w:sz w:val="19"/>
              </w:rPr>
              <w:t>, by 2022.</w:t>
            </w:r>
          </w:p>
        </w:tc>
        <w:tc>
          <w:tcPr>
            <w:tcW w:w="1346" w:type="dxa"/>
          </w:tcPr>
          <w:p w14:paraId="1EA6F7A4" w14:textId="77777777" w:rsidR="009948F1" w:rsidRDefault="00BC0563">
            <w:pPr>
              <w:pStyle w:val="TableParagraph"/>
              <w:spacing w:line="214" w:lineRule="exact"/>
              <w:ind w:left="112"/>
              <w:rPr>
                <w:sz w:val="19"/>
              </w:rPr>
            </w:pPr>
            <w:r>
              <w:rPr>
                <w:color w:val="231F20"/>
                <w:sz w:val="19"/>
              </w:rPr>
              <w:t>TBD</w:t>
            </w:r>
          </w:p>
        </w:tc>
        <w:tc>
          <w:tcPr>
            <w:tcW w:w="754" w:type="dxa"/>
          </w:tcPr>
          <w:p w14:paraId="06771BAF" w14:textId="77777777" w:rsidR="009948F1" w:rsidRDefault="00BC0563">
            <w:pPr>
              <w:pStyle w:val="TableParagraph"/>
              <w:spacing w:line="214" w:lineRule="exact"/>
              <w:ind w:left="113"/>
              <w:rPr>
                <w:sz w:val="19"/>
              </w:rPr>
            </w:pPr>
            <w:r>
              <w:rPr>
                <w:color w:val="231F20"/>
                <w:sz w:val="19"/>
              </w:rPr>
              <w:t>55</w:t>
            </w:r>
          </w:p>
        </w:tc>
        <w:tc>
          <w:tcPr>
            <w:tcW w:w="754" w:type="dxa"/>
          </w:tcPr>
          <w:p w14:paraId="226DB888" w14:textId="77777777" w:rsidR="009948F1" w:rsidRDefault="00BC0563">
            <w:pPr>
              <w:pStyle w:val="TableParagraph"/>
              <w:spacing w:line="214" w:lineRule="exact"/>
              <w:ind w:left="114"/>
              <w:rPr>
                <w:sz w:val="19"/>
              </w:rPr>
            </w:pPr>
            <w:r>
              <w:rPr>
                <w:color w:val="231F20"/>
                <w:sz w:val="19"/>
              </w:rPr>
              <w:t>60</w:t>
            </w:r>
          </w:p>
        </w:tc>
        <w:tc>
          <w:tcPr>
            <w:tcW w:w="754" w:type="dxa"/>
          </w:tcPr>
          <w:p w14:paraId="664CF679" w14:textId="77777777" w:rsidR="009948F1" w:rsidRDefault="00BC0563">
            <w:pPr>
              <w:pStyle w:val="TableParagraph"/>
              <w:spacing w:line="214" w:lineRule="exact"/>
              <w:ind w:left="114"/>
              <w:rPr>
                <w:sz w:val="19"/>
              </w:rPr>
            </w:pPr>
            <w:r>
              <w:rPr>
                <w:color w:val="231F20"/>
                <w:sz w:val="19"/>
              </w:rPr>
              <w:t>65</w:t>
            </w:r>
          </w:p>
        </w:tc>
        <w:tc>
          <w:tcPr>
            <w:tcW w:w="754" w:type="dxa"/>
          </w:tcPr>
          <w:p w14:paraId="31985B39" w14:textId="77777777" w:rsidR="009948F1" w:rsidRDefault="00BC0563">
            <w:pPr>
              <w:pStyle w:val="TableParagraph"/>
              <w:spacing w:line="214" w:lineRule="exact"/>
              <w:ind w:left="115"/>
              <w:rPr>
                <w:sz w:val="19"/>
              </w:rPr>
            </w:pPr>
            <w:r>
              <w:rPr>
                <w:color w:val="231F20"/>
                <w:sz w:val="19"/>
              </w:rPr>
              <w:t>70</w:t>
            </w:r>
          </w:p>
        </w:tc>
        <w:tc>
          <w:tcPr>
            <w:tcW w:w="655" w:type="dxa"/>
          </w:tcPr>
          <w:p w14:paraId="3CF05653" w14:textId="77777777" w:rsidR="009948F1" w:rsidRDefault="00BC0563">
            <w:pPr>
              <w:pStyle w:val="TableParagraph"/>
              <w:spacing w:line="214" w:lineRule="exact"/>
              <w:ind w:left="116"/>
              <w:rPr>
                <w:sz w:val="19"/>
              </w:rPr>
            </w:pPr>
            <w:r>
              <w:rPr>
                <w:color w:val="231F20"/>
                <w:sz w:val="19"/>
              </w:rPr>
              <w:t>75</w:t>
            </w:r>
          </w:p>
        </w:tc>
        <w:tc>
          <w:tcPr>
            <w:tcW w:w="987" w:type="dxa"/>
          </w:tcPr>
          <w:p w14:paraId="6B2C85F7" w14:textId="77777777" w:rsidR="009948F1" w:rsidRDefault="00BC0563">
            <w:pPr>
              <w:pStyle w:val="TableParagraph"/>
              <w:spacing w:line="214" w:lineRule="exact"/>
              <w:ind w:left="117"/>
              <w:rPr>
                <w:sz w:val="19"/>
              </w:rPr>
            </w:pPr>
            <w:r>
              <w:rPr>
                <w:color w:val="231F20"/>
                <w:sz w:val="19"/>
              </w:rPr>
              <w:t>80%</w:t>
            </w:r>
          </w:p>
        </w:tc>
      </w:tr>
    </w:tbl>
    <w:p w14:paraId="2746AE55" w14:textId="77777777" w:rsidR="009948F1" w:rsidRDefault="009948F1">
      <w:pPr>
        <w:pStyle w:val="BodyText"/>
        <w:spacing w:before="5"/>
        <w:rPr>
          <w:b/>
          <w:sz w:val="29"/>
        </w:rPr>
      </w:pPr>
    </w:p>
    <w:p w14:paraId="5D9ABDF5" w14:textId="77777777" w:rsidR="009948F1" w:rsidRDefault="00BC0563">
      <w:pPr>
        <w:ind w:left="146"/>
        <w:rPr>
          <w:b/>
        </w:rPr>
      </w:pPr>
      <w:r>
        <w:rPr>
          <w:b/>
          <w:color w:val="231F20"/>
        </w:rPr>
        <w:t>Interventions</w:t>
      </w:r>
    </w:p>
    <w:p w14:paraId="147639FF" w14:textId="77777777" w:rsidR="009948F1" w:rsidRDefault="00BC0563">
      <w:pPr>
        <w:pStyle w:val="ListParagraph"/>
        <w:numPr>
          <w:ilvl w:val="3"/>
          <w:numId w:val="267"/>
        </w:numPr>
        <w:tabs>
          <w:tab w:val="left" w:pos="943"/>
        </w:tabs>
        <w:spacing w:before="50" w:line="288" w:lineRule="auto"/>
        <w:ind w:right="206" w:firstLine="0"/>
        <w:jc w:val="both"/>
      </w:pPr>
      <w:r>
        <w:rPr>
          <w:color w:val="231F20"/>
        </w:rPr>
        <w:t xml:space="preserve">: Strengthen legal, policy and institutional frameworks and coordinating mechanisms </w:t>
      </w:r>
      <w:r>
        <w:rPr>
          <w:color w:val="231F20"/>
          <w:spacing w:val="-4"/>
        </w:rPr>
        <w:t xml:space="preserve">for </w:t>
      </w:r>
      <w:r>
        <w:rPr>
          <w:color w:val="231F20"/>
        </w:rPr>
        <w:t xml:space="preserve">health infrastructure planning and maintenance in Rivers State. The activities include; - Set </w:t>
      </w:r>
      <w:r>
        <w:rPr>
          <w:color w:val="231F20"/>
          <w:spacing w:val="-7"/>
        </w:rPr>
        <w:t xml:space="preserve">up </w:t>
      </w:r>
      <w:r>
        <w:rPr>
          <w:color w:val="231F20"/>
        </w:rPr>
        <w:t>functional</w:t>
      </w:r>
      <w:r>
        <w:rPr>
          <w:color w:val="231F20"/>
          <w:spacing w:val="-10"/>
        </w:rPr>
        <w:t xml:space="preserve"> </w:t>
      </w:r>
      <w:r>
        <w:rPr>
          <w:color w:val="231F20"/>
        </w:rPr>
        <w:t>health</w:t>
      </w:r>
      <w:r>
        <w:rPr>
          <w:color w:val="231F20"/>
          <w:spacing w:val="-10"/>
        </w:rPr>
        <w:t xml:space="preserve"> </w:t>
      </w:r>
      <w:r>
        <w:rPr>
          <w:color w:val="231F20"/>
        </w:rPr>
        <w:t>infrastructure</w:t>
      </w:r>
      <w:r>
        <w:rPr>
          <w:color w:val="231F20"/>
          <w:spacing w:val="-11"/>
        </w:rPr>
        <w:t xml:space="preserve"> </w:t>
      </w:r>
      <w:r>
        <w:rPr>
          <w:color w:val="231F20"/>
        </w:rPr>
        <w:t>coordinating</w:t>
      </w:r>
      <w:r>
        <w:rPr>
          <w:color w:val="231F20"/>
          <w:spacing w:val="-10"/>
        </w:rPr>
        <w:t xml:space="preserve"> </w:t>
      </w:r>
      <w:r>
        <w:rPr>
          <w:color w:val="231F20"/>
        </w:rPr>
        <w:t>committees</w:t>
      </w:r>
      <w:r>
        <w:rPr>
          <w:color w:val="231F20"/>
          <w:spacing w:val="-11"/>
        </w:rPr>
        <w:t xml:space="preserve"> </w:t>
      </w:r>
      <w:r>
        <w:rPr>
          <w:color w:val="231F20"/>
        </w:rPr>
        <w:t>at</w:t>
      </w:r>
      <w:r>
        <w:rPr>
          <w:color w:val="231F20"/>
          <w:spacing w:val="-11"/>
        </w:rPr>
        <w:t xml:space="preserve"> </w:t>
      </w:r>
      <w:r>
        <w:rPr>
          <w:color w:val="231F20"/>
        </w:rPr>
        <w:t>different</w:t>
      </w:r>
      <w:r>
        <w:rPr>
          <w:color w:val="231F20"/>
          <w:spacing w:val="-11"/>
        </w:rPr>
        <w:t xml:space="preserve"> </w:t>
      </w:r>
      <w:r>
        <w:rPr>
          <w:color w:val="231F20"/>
        </w:rPr>
        <w:t>levels;</w:t>
      </w:r>
      <w:r>
        <w:rPr>
          <w:color w:val="231F20"/>
          <w:spacing w:val="-10"/>
        </w:rPr>
        <w:t xml:space="preserve"> </w:t>
      </w:r>
      <w:r>
        <w:rPr>
          <w:color w:val="231F20"/>
        </w:rPr>
        <w:t>Review/adapt</w:t>
      </w:r>
      <w:r>
        <w:rPr>
          <w:color w:val="231F20"/>
          <w:spacing w:val="-10"/>
        </w:rPr>
        <w:t xml:space="preserve"> </w:t>
      </w:r>
      <w:r>
        <w:rPr>
          <w:color w:val="231F20"/>
        </w:rPr>
        <w:t>policies, laws</w:t>
      </w:r>
      <w:r>
        <w:rPr>
          <w:color w:val="231F20"/>
          <w:spacing w:val="-23"/>
        </w:rPr>
        <w:t xml:space="preserve"> </w:t>
      </w:r>
      <w:r>
        <w:rPr>
          <w:color w:val="231F20"/>
        </w:rPr>
        <w:t>and</w:t>
      </w:r>
      <w:r>
        <w:rPr>
          <w:color w:val="231F20"/>
          <w:spacing w:val="-22"/>
        </w:rPr>
        <w:t xml:space="preserve"> </w:t>
      </w:r>
      <w:r>
        <w:rPr>
          <w:color w:val="231F20"/>
        </w:rPr>
        <w:t>guidelines</w:t>
      </w:r>
      <w:r>
        <w:rPr>
          <w:color w:val="231F20"/>
          <w:spacing w:val="-22"/>
        </w:rPr>
        <w:t xml:space="preserve"> </w:t>
      </w:r>
      <w:r>
        <w:rPr>
          <w:color w:val="231F20"/>
        </w:rPr>
        <w:t>on</w:t>
      </w:r>
      <w:r>
        <w:rPr>
          <w:color w:val="231F20"/>
          <w:spacing w:val="-22"/>
        </w:rPr>
        <w:t xml:space="preserve"> </w:t>
      </w:r>
      <w:r>
        <w:rPr>
          <w:color w:val="231F20"/>
        </w:rPr>
        <w:t>health</w:t>
      </w:r>
      <w:r>
        <w:rPr>
          <w:color w:val="231F20"/>
          <w:spacing w:val="-22"/>
        </w:rPr>
        <w:t xml:space="preserve"> </w:t>
      </w:r>
      <w:r>
        <w:rPr>
          <w:color w:val="231F20"/>
        </w:rPr>
        <w:t>infrastructure,</w:t>
      </w:r>
      <w:r>
        <w:rPr>
          <w:color w:val="231F20"/>
          <w:spacing w:val="-22"/>
        </w:rPr>
        <w:t xml:space="preserve"> </w:t>
      </w:r>
      <w:r>
        <w:rPr>
          <w:color w:val="231F20"/>
        </w:rPr>
        <w:t>equipment</w:t>
      </w:r>
      <w:r>
        <w:rPr>
          <w:color w:val="231F20"/>
          <w:spacing w:val="-22"/>
        </w:rPr>
        <w:t xml:space="preserve"> </w:t>
      </w:r>
      <w:r>
        <w:rPr>
          <w:color w:val="231F20"/>
        </w:rPr>
        <w:t>maintenance</w:t>
      </w:r>
      <w:r>
        <w:rPr>
          <w:color w:val="231F20"/>
          <w:spacing w:val="-22"/>
        </w:rPr>
        <w:t xml:space="preserve"> </w:t>
      </w:r>
      <w:r>
        <w:rPr>
          <w:color w:val="231F20"/>
        </w:rPr>
        <w:t>and</w:t>
      </w:r>
      <w:r>
        <w:rPr>
          <w:color w:val="231F20"/>
          <w:spacing w:val="-22"/>
        </w:rPr>
        <w:t xml:space="preserve"> </w:t>
      </w:r>
      <w:r>
        <w:rPr>
          <w:color w:val="231F20"/>
        </w:rPr>
        <w:t>management;</w:t>
      </w:r>
      <w:r>
        <w:rPr>
          <w:color w:val="231F20"/>
          <w:spacing w:val="-22"/>
        </w:rPr>
        <w:t xml:space="preserve"> </w:t>
      </w:r>
      <w:r>
        <w:rPr>
          <w:color w:val="231F20"/>
        </w:rPr>
        <w:t>Develop</w:t>
      </w:r>
      <w:r>
        <w:rPr>
          <w:color w:val="231F20"/>
          <w:spacing w:val="-22"/>
        </w:rPr>
        <w:t xml:space="preserve"> </w:t>
      </w:r>
      <w:r>
        <w:rPr>
          <w:color w:val="231F20"/>
          <w:spacing w:val="-12"/>
        </w:rPr>
        <w:t xml:space="preserve">a </w:t>
      </w:r>
      <w:r>
        <w:rPr>
          <w:color w:val="231F20"/>
        </w:rPr>
        <w:t>state</w:t>
      </w:r>
      <w:r>
        <w:rPr>
          <w:color w:val="231F20"/>
          <w:spacing w:val="-26"/>
        </w:rPr>
        <w:t xml:space="preserve"> </w:t>
      </w:r>
      <w:r>
        <w:rPr>
          <w:color w:val="231F20"/>
        </w:rPr>
        <w:t>strategic</w:t>
      </w:r>
      <w:r>
        <w:rPr>
          <w:color w:val="231F20"/>
          <w:spacing w:val="-25"/>
        </w:rPr>
        <w:t xml:space="preserve"> </w:t>
      </w:r>
      <w:r>
        <w:rPr>
          <w:color w:val="231F20"/>
        </w:rPr>
        <w:t>health</w:t>
      </w:r>
      <w:r>
        <w:rPr>
          <w:color w:val="231F20"/>
          <w:spacing w:val="-25"/>
        </w:rPr>
        <w:t xml:space="preserve"> </w:t>
      </w:r>
      <w:r>
        <w:rPr>
          <w:color w:val="231F20"/>
        </w:rPr>
        <w:t>infrastructure</w:t>
      </w:r>
      <w:r>
        <w:rPr>
          <w:color w:val="231F20"/>
          <w:spacing w:val="-25"/>
        </w:rPr>
        <w:t xml:space="preserve"> </w:t>
      </w:r>
      <w:r>
        <w:rPr>
          <w:color w:val="231F20"/>
        </w:rPr>
        <w:t>plan;</w:t>
      </w:r>
      <w:r>
        <w:rPr>
          <w:color w:val="231F20"/>
          <w:spacing w:val="-25"/>
        </w:rPr>
        <w:t xml:space="preserve"> </w:t>
      </w:r>
      <w:r>
        <w:rPr>
          <w:color w:val="231F20"/>
        </w:rPr>
        <w:t>Build</w:t>
      </w:r>
      <w:r>
        <w:rPr>
          <w:color w:val="231F20"/>
          <w:spacing w:val="-25"/>
        </w:rPr>
        <w:t xml:space="preserve"> </w:t>
      </w:r>
      <w:r>
        <w:rPr>
          <w:color w:val="231F20"/>
        </w:rPr>
        <w:t>capacity</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infrastructure</w:t>
      </w:r>
      <w:r>
        <w:rPr>
          <w:color w:val="231F20"/>
          <w:spacing w:val="-25"/>
        </w:rPr>
        <w:t xml:space="preserve"> </w:t>
      </w:r>
      <w:r>
        <w:rPr>
          <w:color w:val="231F20"/>
        </w:rPr>
        <w:t>unit</w:t>
      </w:r>
      <w:r>
        <w:rPr>
          <w:color w:val="231F20"/>
          <w:spacing w:val="-25"/>
        </w:rPr>
        <w:t xml:space="preserve"> </w:t>
      </w:r>
      <w:r>
        <w:rPr>
          <w:color w:val="231F20"/>
        </w:rPr>
        <w:t>at</w:t>
      </w:r>
      <w:r>
        <w:rPr>
          <w:color w:val="231F20"/>
          <w:spacing w:val="-25"/>
        </w:rPr>
        <w:t xml:space="preserve"> </w:t>
      </w:r>
      <w:r>
        <w:rPr>
          <w:color w:val="231F20"/>
        </w:rPr>
        <w:t>state</w:t>
      </w:r>
      <w:r>
        <w:rPr>
          <w:color w:val="231F20"/>
          <w:spacing w:val="-25"/>
        </w:rPr>
        <w:t xml:space="preserve"> </w:t>
      </w:r>
      <w:r>
        <w:rPr>
          <w:color w:val="231F20"/>
        </w:rPr>
        <w:t>level.</w:t>
      </w:r>
    </w:p>
    <w:p w14:paraId="169BA4E3" w14:textId="77777777" w:rsidR="009948F1" w:rsidRDefault="009948F1">
      <w:pPr>
        <w:pStyle w:val="BodyText"/>
        <w:spacing w:before="10"/>
        <w:rPr>
          <w:sz w:val="25"/>
        </w:rPr>
      </w:pPr>
    </w:p>
    <w:p w14:paraId="6C11433F" w14:textId="77777777" w:rsidR="009948F1" w:rsidRDefault="00BC0563">
      <w:pPr>
        <w:pStyle w:val="ListParagraph"/>
        <w:numPr>
          <w:ilvl w:val="3"/>
          <w:numId w:val="267"/>
        </w:numPr>
        <w:tabs>
          <w:tab w:val="left" w:pos="943"/>
        </w:tabs>
        <w:spacing w:line="288" w:lineRule="auto"/>
        <w:ind w:left="145" w:right="206" w:firstLine="0"/>
        <w:jc w:val="both"/>
      </w:pPr>
      <w:r>
        <w:rPr>
          <w:color w:val="231F20"/>
        </w:rPr>
        <w:t>:</w:t>
      </w:r>
      <w:r>
        <w:rPr>
          <w:color w:val="231F20"/>
          <w:spacing w:val="-8"/>
        </w:rPr>
        <w:t xml:space="preserve"> </w:t>
      </w:r>
      <w:r>
        <w:rPr>
          <w:color w:val="231F20"/>
        </w:rPr>
        <w:t>Promote</w:t>
      </w:r>
      <w:r>
        <w:rPr>
          <w:color w:val="231F20"/>
          <w:spacing w:val="-8"/>
        </w:rPr>
        <w:t xml:space="preserve"> </w:t>
      </w:r>
      <w:r>
        <w:rPr>
          <w:color w:val="231F20"/>
        </w:rPr>
        <w:t>the</w:t>
      </w:r>
      <w:r>
        <w:rPr>
          <w:color w:val="231F20"/>
          <w:spacing w:val="-8"/>
        </w:rPr>
        <w:t xml:space="preserve"> </w:t>
      </w:r>
      <w:r>
        <w:rPr>
          <w:color w:val="231F20"/>
        </w:rPr>
        <w:t>establishment</w:t>
      </w:r>
      <w:r>
        <w:rPr>
          <w:color w:val="231F20"/>
          <w:spacing w:val="-7"/>
        </w:rPr>
        <w:t xml:space="preserve"> </w:t>
      </w:r>
      <w:r>
        <w:rPr>
          <w:color w:val="231F20"/>
        </w:rPr>
        <w:t>of</w:t>
      </w:r>
      <w:r>
        <w:rPr>
          <w:color w:val="231F20"/>
          <w:spacing w:val="-8"/>
        </w:rPr>
        <w:t xml:space="preserve"> </w:t>
      </w:r>
      <w:r>
        <w:rPr>
          <w:color w:val="231F20"/>
        </w:rPr>
        <w:t>norms</w:t>
      </w:r>
      <w:r>
        <w:rPr>
          <w:color w:val="231F20"/>
          <w:spacing w:val="-8"/>
        </w:rPr>
        <w:t xml:space="preserve"> </w:t>
      </w:r>
      <w:r>
        <w:rPr>
          <w:color w:val="231F20"/>
        </w:rPr>
        <w:t>and</w:t>
      </w:r>
      <w:r>
        <w:rPr>
          <w:color w:val="231F20"/>
          <w:spacing w:val="-7"/>
        </w:rPr>
        <w:t xml:space="preserve"> </w:t>
      </w:r>
      <w:r>
        <w:rPr>
          <w:color w:val="231F20"/>
        </w:rPr>
        <w:t>standards</w:t>
      </w:r>
      <w:r>
        <w:rPr>
          <w:color w:val="231F20"/>
          <w:spacing w:val="-8"/>
        </w:rPr>
        <w:t xml:space="preserve"> </w:t>
      </w:r>
      <w:r>
        <w:rPr>
          <w:color w:val="231F20"/>
        </w:rPr>
        <w:t>for</w:t>
      </w:r>
      <w:r>
        <w:rPr>
          <w:color w:val="231F20"/>
          <w:spacing w:val="-8"/>
        </w:rPr>
        <w:t xml:space="preserve"> </w:t>
      </w:r>
      <w:r>
        <w:rPr>
          <w:color w:val="231F20"/>
        </w:rPr>
        <w:t>health</w:t>
      </w:r>
      <w:r>
        <w:rPr>
          <w:color w:val="231F20"/>
          <w:spacing w:val="-8"/>
        </w:rPr>
        <w:t xml:space="preserve"> </w:t>
      </w:r>
      <w:r>
        <w:rPr>
          <w:color w:val="231F20"/>
        </w:rPr>
        <w:t>infrastructure</w:t>
      </w:r>
      <w:r>
        <w:rPr>
          <w:color w:val="231F20"/>
          <w:spacing w:val="-7"/>
        </w:rPr>
        <w:t xml:space="preserve"> </w:t>
      </w:r>
      <w:r>
        <w:rPr>
          <w:color w:val="231F20"/>
        </w:rPr>
        <w:t>for</w:t>
      </w:r>
      <w:r>
        <w:rPr>
          <w:color w:val="231F20"/>
          <w:spacing w:val="-8"/>
        </w:rPr>
        <w:t xml:space="preserve"> </w:t>
      </w:r>
      <w:r>
        <w:rPr>
          <w:color w:val="231F20"/>
        </w:rPr>
        <w:t>all</w:t>
      </w:r>
      <w:r>
        <w:rPr>
          <w:color w:val="231F20"/>
          <w:spacing w:val="-8"/>
        </w:rPr>
        <w:t xml:space="preserve"> </w:t>
      </w:r>
      <w:r>
        <w:rPr>
          <w:color w:val="231F20"/>
          <w:spacing w:val="-3"/>
        </w:rPr>
        <w:t xml:space="preserve">levels </w:t>
      </w:r>
      <w:r>
        <w:rPr>
          <w:color w:val="231F20"/>
        </w:rPr>
        <w:t>of</w:t>
      </w:r>
      <w:r>
        <w:rPr>
          <w:color w:val="231F20"/>
          <w:spacing w:val="-4"/>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care</w:t>
      </w:r>
      <w:r>
        <w:rPr>
          <w:color w:val="231F20"/>
          <w:spacing w:val="-3"/>
        </w:rPr>
        <w:t xml:space="preserve"> </w:t>
      </w:r>
      <w:r>
        <w:rPr>
          <w:color w:val="231F20"/>
        </w:rPr>
        <w:t>system</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State.</w:t>
      </w:r>
      <w:r>
        <w:rPr>
          <w:color w:val="231F20"/>
          <w:spacing w:val="-7"/>
        </w:rPr>
        <w:t xml:space="preserve"> </w:t>
      </w:r>
      <w:r>
        <w:rPr>
          <w:color w:val="231F20"/>
        </w:rPr>
        <w:t>The</w:t>
      </w:r>
      <w:r>
        <w:rPr>
          <w:color w:val="231F20"/>
          <w:spacing w:val="-3"/>
        </w:rPr>
        <w:t xml:space="preserve"> </w:t>
      </w:r>
      <w:r>
        <w:rPr>
          <w:color w:val="231F20"/>
        </w:rPr>
        <w:t>activities</w:t>
      </w:r>
      <w:r>
        <w:rPr>
          <w:color w:val="231F20"/>
          <w:spacing w:val="-3"/>
        </w:rPr>
        <w:t xml:space="preserve"> </w:t>
      </w:r>
      <w:r>
        <w:rPr>
          <w:color w:val="231F20"/>
        </w:rPr>
        <w:t>include;</w:t>
      </w:r>
      <w:r>
        <w:rPr>
          <w:color w:val="231F20"/>
          <w:spacing w:val="-3"/>
        </w:rPr>
        <w:t xml:space="preserve"> </w:t>
      </w:r>
      <w:r>
        <w:rPr>
          <w:color w:val="231F20"/>
        </w:rPr>
        <w:t>-</w:t>
      </w:r>
      <w:r>
        <w:rPr>
          <w:color w:val="231F20"/>
          <w:spacing w:val="-3"/>
        </w:rPr>
        <w:t xml:space="preserve"> </w:t>
      </w:r>
      <w:r>
        <w:rPr>
          <w:color w:val="231F20"/>
        </w:rPr>
        <w:t>Establish</w:t>
      </w:r>
      <w:r>
        <w:rPr>
          <w:color w:val="231F20"/>
          <w:spacing w:val="-3"/>
        </w:rPr>
        <w:t xml:space="preserve"> </w:t>
      </w:r>
      <w:r>
        <w:rPr>
          <w:color w:val="231F20"/>
        </w:rPr>
        <w:t>norms</w:t>
      </w:r>
      <w:r>
        <w:rPr>
          <w:color w:val="231F20"/>
          <w:spacing w:val="-3"/>
        </w:rPr>
        <w:t xml:space="preserve"> </w:t>
      </w:r>
      <w:r>
        <w:rPr>
          <w:color w:val="231F20"/>
        </w:rPr>
        <w:t>and</w:t>
      </w:r>
      <w:r>
        <w:rPr>
          <w:color w:val="231F20"/>
          <w:spacing w:val="-3"/>
        </w:rPr>
        <w:t xml:space="preserve"> </w:t>
      </w:r>
      <w:r>
        <w:rPr>
          <w:color w:val="231F20"/>
        </w:rPr>
        <w:t>standards</w:t>
      </w:r>
      <w:r>
        <w:rPr>
          <w:color w:val="231F20"/>
          <w:spacing w:val="-3"/>
        </w:rPr>
        <w:t xml:space="preserve"> </w:t>
      </w:r>
      <w:r>
        <w:rPr>
          <w:color w:val="231F20"/>
        </w:rPr>
        <w:t xml:space="preserve">for health infrastructure (Physical facilities including laboratory services and municipal services e.g. </w:t>
      </w:r>
      <w:r>
        <w:rPr>
          <w:color w:val="231F20"/>
          <w:spacing w:val="-3"/>
        </w:rPr>
        <w:t xml:space="preserve">water, </w:t>
      </w:r>
      <w:r>
        <w:rPr>
          <w:color w:val="231F20"/>
        </w:rPr>
        <w:t xml:space="preserve">sanitation, electricity facilities), </w:t>
      </w:r>
      <w:r>
        <w:rPr>
          <w:color w:val="231F20"/>
          <w:spacing w:val="-7"/>
        </w:rPr>
        <w:t xml:space="preserve">ICT, </w:t>
      </w:r>
      <w:r>
        <w:rPr>
          <w:color w:val="231F20"/>
        </w:rPr>
        <w:t xml:space="preserve">communication, equipment, transport, </w:t>
      </w:r>
      <w:proofErr w:type="spellStart"/>
      <w:r>
        <w:rPr>
          <w:color w:val="231F20"/>
        </w:rPr>
        <w:t>etc</w:t>
      </w:r>
      <w:proofErr w:type="spellEnd"/>
      <w:r>
        <w:rPr>
          <w:color w:val="231F20"/>
        </w:rPr>
        <w:t xml:space="preserve"> including critical</w:t>
      </w:r>
      <w:r>
        <w:rPr>
          <w:color w:val="231F20"/>
          <w:spacing w:val="-19"/>
        </w:rPr>
        <w:t xml:space="preserve"> </w:t>
      </w:r>
      <w:r>
        <w:rPr>
          <w:color w:val="231F20"/>
        </w:rPr>
        <w:t>infrastructure</w:t>
      </w:r>
      <w:r>
        <w:rPr>
          <w:color w:val="231F20"/>
          <w:spacing w:val="-18"/>
        </w:rPr>
        <w:t xml:space="preserve"> </w:t>
      </w:r>
      <w:r>
        <w:rPr>
          <w:color w:val="231F20"/>
        </w:rPr>
        <w:t>(e.g.</w:t>
      </w:r>
      <w:r>
        <w:rPr>
          <w:color w:val="231F20"/>
          <w:spacing w:val="-18"/>
        </w:rPr>
        <w:t xml:space="preserve"> </w:t>
      </w:r>
      <w:r>
        <w:rPr>
          <w:color w:val="231F20"/>
        </w:rPr>
        <w:t>blood</w:t>
      </w:r>
      <w:r>
        <w:rPr>
          <w:color w:val="231F20"/>
          <w:spacing w:val="-18"/>
        </w:rPr>
        <w:t xml:space="preserve"> </w:t>
      </w:r>
      <w:r>
        <w:rPr>
          <w:color w:val="231F20"/>
        </w:rPr>
        <w:t>banks,</w:t>
      </w:r>
      <w:r>
        <w:rPr>
          <w:color w:val="231F20"/>
          <w:spacing w:val="-18"/>
        </w:rPr>
        <w:t xml:space="preserve"> </w:t>
      </w:r>
      <w:r>
        <w:rPr>
          <w:color w:val="231F20"/>
        </w:rPr>
        <w:t>energy</w:t>
      </w:r>
      <w:r>
        <w:rPr>
          <w:color w:val="231F20"/>
          <w:spacing w:val="-18"/>
        </w:rPr>
        <w:t xml:space="preserve"> </w:t>
      </w:r>
      <w:r>
        <w:rPr>
          <w:color w:val="231F20"/>
        </w:rPr>
        <w:t>supply</w:t>
      </w:r>
      <w:r>
        <w:rPr>
          <w:color w:val="231F20"/>
          <w:spacing w:val="-18"/>
        </w:rPr>
        <w:t xml:space="preserve"> </w:t>
      </w:r>
      <w:r>
        <w:rPr>
          <w:color w:val="231F20"/>
        </w:rPr>
        <w:t>systems,</w:t>
      </w:r>
      <w:r>
        <w:rPr>
          <w:color w:val="231F20"/>
          <w:spacing w:val="-18"/>
        </w:rPr>
        <w:t xml:space="preserve"> </w:t>
      </w:r>
      <w:r>
        <w:rPr>
          <w:color w:val="231F20"/>
        </w:rPr>
        <w:t>laboratories,</w:t>
      </w:r>
      <w:r>
        <w:rPr>
          <w:color w:val="231F20"/>
          <w:spacing w:val="-18"/>
        </w:rPr>
        <w:t xml:space="preserve"> </w:t>
      </w:r>
      <w:proofErr w:type="spellStart"/>
      <w:r>
        <w:rPr>
          <w:color w:val="231F20"/>
        </w:rPr>
        <w:t>etc</w:t>
      </w:r>
      <w:proofErr w:type="spellEnd"/>
      <w:r>
        <w:rPr>
          <w:color w:val="231F20"/>
        </w:rPr>
        <w:t>)</w:t>
      </w:r>
      <w:r>
        <w:rPr>
          <w:color w:val="231F20"/>
          <w:spacing w:val="-18"/>
        </w:rPr>
        <w:t xml:space="preserve"> </w:t>
      </w:r>
      <w:r>
        <w:rPr>
          <w:color w:val="231F20"/>
        </w:rPr>
        <w:t>at</w:t>
      </w:r>
      <w:r>
        <w:rPr>
          <w:color w:val="231F20"/>
          <w:spacing w:val="-18"/>
        </w:rPr>
        <w:t xml:space="preserve"> </w:t>
      </w:r>
      <w:r>
        <w:rPr>
          <w:color w:val="231F20"/>
        </w:rPr>
        <w:t>all</w:t>
      </w:r>
      <w:r>
        <w:rPr>
          <w:color w:val="231F20"/>
          <w:spacing w:val="-18"/>
        </w:rPr>
        <w:t xml:space="preserve"> </w:t>
      </w:r>
      <w:r>
        <w:rPr>
          <w:color w:val="231F20"/>
        </w:rPr>
        <w:t>levels</w:t>
      </w:r>
      <w:r>
        <w:rPr>
          <w:color w:val="231F20"/>
          <w:spacing w:val="-18"/>
        </w:rPr>
        <w:t xml:space="preserve"> </w:t>
      </w:r>
      <w:r>
        <w:rPr>
          <w:color w:val="231F20"/>
        </w:rPr>
        <w:t>of</w:t>
      </w:r>
      <w:r>
        <w:rPr>
          <w:color w:val="231F20"/>
          <w:spacing w:val="-18"/>
        </w:rPr>
        <w:t xml:space="preserve"> </w:t>
      </w:r>
      <w:r>
        <w:rPr>
          <w:color w:val="231F20"/>
          <w:spacing w:val="-4"/>
        </w:rPr>
        <w:t xml:space="preserve">the </w:t>
      </w:r>
      <w:r>
        <w:rPr>
          <w:color w:val="231F20"/>
        </w:rPr>
        <w:t>healthcare</w:t>
      </w:r>
      <w:r>
        <w:rPr>
          <w:color w:val="231F20"/>
          <w:spacing w:val="-24"/>
        </w:rPr>
        <w:t xml:space="preserve"> </w:t>
      </w:r>
      <w:r>
        <w:rPr>
          <w:color w:val="231F20"/>
        </w:rPr>
        <w:t>system;</w:t>
      </w:r>
      <w:r>
        <w:rPr>
          <w:color w:val="231F20"/>
          <w:spacing w:val="-24"/>
        </w:rPr>
        <w:t xml:space="preserve"> </w:t>
      </w:r>
      <w:r>
        <w:rPr>
          <w:color w:val="231F20"/>
        </w:rPr>
        <w:t>Convene</w:t>
      </w:r>
      <w:r>
        <w:rPr>
          <w:color w:val="231F20"/>
          <w:spacing w:val="-24"/>
        </w:rPr>
        <w:t xml:space="preserve"> </w:t>
      </w:r>
      <w:r>
        <w:rPr>
          <w:color w:val="231F20"/>
        </w:rPr>
        <w:t>meetings</w:t>
      </w:r>
      <w:r>
        <w:rPr>
          <w:color w:val="231F20"/>
          <w:spacing w:val="-24"/>
        </w:rPr>
        <w:t xml:space="preserve"> </w:t>
      </w:r>
      <w:r>
        <w:rPr>
          <w:color w:val="231F20"/>
        </w:rPr>
        <w:t>of</w:t>
      </w:r>
      <w:r>
        <w:rPr>
          <w:color w:val="231F20"/>
          <w:spacing w:val="-23"/>
        </w:rPr>
        <w:t xml:space="preserve"> </w:t>
      </w:r>
      <w:r>
        <w:rPr>
          <w:color w:val="231F20"/>
        </w:rPr>
        <w:t>key</w:t>
      </w:r>
      <w:r>
        <w:rPr>
          <w:color w:val="231F20"/>
          <w:spacing w:val="-24"/>
        </w:rPr>
        <w:t xml:space="preserve"> </w:t>
      </w:r>
      <w:r>
        <w:rPr>
          <w:color w:val="231F20"/>
        </w:rPr>
        <w:t>stakeholders</w:t>
      </w:r>
      <w:r>
        <w:rPr>
          <w:color w:val="231F20"/>
          <w:spacing w:val="-24"/>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rPr>
        <w:t>public</w:t>
      </w:r>
      <w:r>
        <w:rPr>
          <w:color w:val="231F20"/>
          <w:spacing w:val="-24"/>
        </w:rPr>
        <w:t xml:space="preserve"> </w:t>
      </w:r>
      <w:r>
        <w:rPr>
          <w:color w:val="231F20"/>
        </w:rPr>
        <w:t>and</w:t>
      </w:r>
      <w:r>
        <w:rPr>
          <w:color w:val="231F20"/>
          <w:spacing w:val="-24"/>
        </w:rPr>
        <w:t xml:space="preserve"> </w:t>
      </w:r>
      <w:r>
        <w:rPr>
          <w:color w:val="231F20"/>
        </w:rPr>
        <w:t>private</w:t>
      </w:r>
      <w:r>
        <w:rPr>
          <w:color w:val="231F20"/>
          <w:spacing w:val="-24"/>
        </w:rPr>
        <w:t xml:space="preserve"> </w:t>
      </w:r>
      <w:r>
        <w:rPr>
          <w:color w:val="231F20"/>
        </w:rPr>
        <w:t>sector</w:t>
      </w:r>
      <w:r>
        <w:rPr>
          <w:color w:val="231F20"/>
          <w:spacing w:val="-23"/>
        </w:rPr>
        <w:t xml:space="preserve"> </w:t>
      </w:r>
      <w:r>
        <w:rPr>
          <w:color w:val="231F20"/>
        </w:rPr>
        <w:t>to</w:t>
      </w:r>
      <w:r>
        <w:rPr>
          <w:color w:val="231F20"/>
          <w:spacing w:val="-24"/>
        </w:rPr>
        <w:t xml:space="preserve"> </w:t>
      </w:r>
      <w:r>
        <w:rPr>
          <w:color w:val="231F20"/>
          <w:spacing w:val="-3"/>
        </w:rPr>
        <w:t xml:space="preserve">review </w:t>
      </w:r>
      <w:r>
        <w:rPr>
          <w:color w:val="231F20"/>
        </w:rPr>
        <w:t>and</w:t>
      </w:r>
      <w:r>
        <w:rPr>
          <w:color w:val="231F20"/>
          <w:spacing w:val="-25"/>
        </w:rPr>
        <w:t xml:space="preserve"> </w:t>
      </w:r>
      <w:r>
        <w:rPr>
          <w:color w:val="231F20"/>
        </w:rPr>
        <w:t>adopt</w:t>
      </w:r>
      <w:r>
        <w:rPr>
          <w:color w:val="231F20"/>
          <w:spacing w:val="-25"/>
        </w:rPr>
        <w:t xml:space="preserve"> </w:t>
      </w:r>
      <w:r>
        <w:rPr>
          <w:color w:val="231F20"/>
        </w:rPr>
        <w:t>the</w:t>
      </w:r>
      <w:r>
        <w:rPr>
          <w:color w:val="231F20"/>
          <w:spacing w:val="-25"/>
        </w:rPr>
        <w:t xml:space="preserve"> </w:t>
      </w:r>
      <w:r>
        <w:rPr>
          <w:color w:val="231F20"/>
        </w:rPr>
        <w:t>norms.</w:t>
      </w:r>
    </w:p>
    <w:p w14:paraId="6D4DBD39" w14:textId="77777777" w:rsidR="009948F1" w:rsidRDefault="009948F1">
      <w:pPr>
        <w:pStyle w:val="BodyText"/>
        <w:spacing w:before="9"/>
        <w:rPr>
          <w:sz w:val="25"/>
        </w:rPr>
      </w:pPr>
    </w:p>
    <w:p w14:paraId="5A611EEE" w14:textId="77777777" w:rsidR="009948F1" w:rsidRDefault="00BC0563">
      <w:pPr>
        <w:pStyle w:val="ListParagraph"/>
        <w:numPr>
          <w:ilvl w:val="3"/>
          <w:numId w:val="267"/>
        </w:numPr>
        <w:tabs>
          <w:tab w:val="left" w:pos="942"/>
        </w:tabs>
        <w:spacing w:line="288" w:lineRule="auto"/>
        <w:ind w:left="145" w:right="206" w:firstLine="0"/>
        <w:jc w:val="both"/>
      </w:pPr>
      <w:r>
        <w:rPr>
          <w:color w:val="231F20"/>
        </w:rPr>
        <w:t xml:space="preserve">: Ensure availability of equipment and other health infrastructure in line with established norms and standards for the different levels of health care and other health institutions. </w:t>
      </w:r>
      <w:r>
        <w:rPr>
          <w:color w:val="231F20"/>
          <w:spacing w:val="-5"/>
        </w:rPr>
        <w:t xml:space="preserve">The </w:t>
      </w:r>
      <w:r>
        <w:rPr>
          <w:color w:val="231F20"/>
        </w:rPr>
        <w:t xml:space="preserve">activities include;- Conduct facility assessment of equipment in all secondary and &amp; PHC health facilities in the state by infrastructure coordinating committee; Conduct periodic monitoring </w:t>
      </w:r>
      <w:r>
        <w:rPr>
          <w:color w:val="231F20"/>
          <w:spacing w:val="-5"/>
        </w:rPr>
        <w:t xml:space="preserve">and </w:t>
      </w:r>
      <w:r>
        <w:rPr>
          <w:color w:val="231F20"/>
        </w:rPr>
        <w:t>evaluation of provision &amp; distribution of hospital equipment to all functional secondary &amp; primary health</w:t>
      </w:r>
      <w:r>
        <w:rPr>
          <w:color w:val="231F20"/>
          <w:spacing w:val="-7"/>
        </w:rPr>
        <w:t xml:space="preserve"> </w:t>
      </w:r>
      <w:r>
        <w:rPr>
          <w:color w:val="231F20"/>
        </w:rPr>
        <w:t>facilities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&amp;</w:t>
      </w:r>
      <w:r>
        <w:rPr>
          <w:color w:val="231F20"/>
          <w:spacing w:val="-6"/>
        </w:rPr>
        <w:t xml:space="preserve"> </w:t>
      </w:r>
      <w:r>
        <w:rPr>
          <w:color w:val="231F20"/>
        </w:rPr>
        <w:t>LGA</w:t>
      </w:r>
      <w:r>
        <w:rPr>
          <w:color w:val="231F20"/>
          <w:spacing w:val="-18"/>
        </w:rPr>
        <w:t xml:space="preserve"> </w:t>
      </w:r>
      <w:r>
        <w:rPr>
          <w:color w:val="231F20"/>
        </w:rPr>
        <w:t>as</w:t>
      </w:r>
      <w:r>
        <w:rPr>
          <w:color w:val="231F20"/>
          <w:spacing w:val="-6"/>
        </w:rPr>
        <w:t xml:space="preserve"> </w:t>
      </w:r>
      <w:r>
        <w:rPr>
          <w:color w:val="231F20"/>
        </w:rPr>
        <w:t>planned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various</w:t>
      </w:r>
      <w:r>
        <w:rPr>
          <w:color w:val="231F20"/>
          <w:spacing w:val="-6"/>
        </w:rPr>
        <w:t xml:space="preserve"> </w:t>
      </w:r>
      <w:r>
        <w:rPr>
          <w:color w:val="231F20"/>
        </w:rPr>
        <w:t>departments;</w:t>
      </w:r>
      <w:r>
        <w:rPr>
          <w:color w:val="231F20"/>
          <w:spacing w:val="-6"/>
        </w:rPr>
        <w:t xml:space="preserve"> </w:t>
      </w:r>
      <w:r>
        <w:rPr>
          <w:color w:val="231F20"/>
        </w:rPr>
        <w:t>Establish</w:t>
      </w:r>
      <w:r>
        <w:rPr>
          <w:color w:val="231F20"/>
          <w:spacing w:val="-6"/>
        </w:rPr>
        <w:t xml:space="preserve"> </w:t>
      </w:r>
      <w:r>
        <w:rPr>
          <w:color w:val="231F20"/>
        </w:rPr>
        <w:t>a</w:t>
      </w:r>
      <w:r>
        <w:rPr>
          <w:color w:val="231F20"/>
          <w:spacing w:val="-6"/>
        </w:rPr>
        <w:t xml:space="preserve"> </w:t>
      </w:r>
      <w:r>
        <w:rPr>
          <w:color w:val="231F20"/>
        </w:rPr>
        <w:t>system</w:t>
      </w:r>
      <w:r>
        <w:rPr>
          <w:color w:val="231F20"/>
          <w:spacing w:val="-6"/>
        </w:rPr>
        <w:t xml:space="preserve"> </w:t>
      </w:r>
      <w:r>
        <w:rPr>
          <w:color w:val="231F20"/>
        </w:rPr>
        <w:t xml:space="preserve">for procurements of health infrastructure (e.g. vehicle, </w:t>
      </w:r>
      <w:r>
        <w:rPr>
          <w:color w:val="231F20"/>
          <w:spacing w:val="-7"/>
        </w:rPr>
        <w:t xml:space="preserve">ICT, </w:t>
      </w:r>
      <w:r>
        <w:rPr>
          <w:color w:val="231F20"/>
        </w:rPr>
        <w:t xml:space="preserve">communication, equipment </w:t>
      </w:r>
      <w:proofErr w:type="spellStart"/>
      <w:r>
        <w:rPr>
          <w:color w:val="231F20"/>
        </w:rPr>
        <w:t>etc</w:t>
      </w:r>
      <w:proofErr w:type="spellEnd"/>
      <w:r>
        <w:rPr>
          <w:color w:val="231F20"/>
        </w:rPr>
        <w:t xml:space="preserve">) </w:t>
      </w:r>
      <w:r>
        <w:rPr>
          <w:color w:val="231F20"/>
          <w:spacing w:val="-6"/>
        </w:rPr>
        <w:t xml:space="preserve">in </w:t>
      </w:r>
      <w:r>
        <w:rPr>
          <w:color w:val="231F20"/>
        </w:rPr>
        <w:t>partnership with the private sector; Cost of engaging and supervising the contractor to provide equipment and infrastructure in primary and secondary HFs in the state; Advocate for dedicated funds</w:t>
      </w:r>
      <w:r>
        <w:rPr>
          <w:color w:val="231F20"/>
          <w:spacing w:val="-26"/>
        </w:rPr>
        <w:t xml:space="preserve"> </w:t>
      </w:r>
      <w:r>
        <w:rPr>
          <w:color w:val="231F20"/>
        </w:rPr>
        <w:t>for</w:t>
      </w:r>
      <w:r>
        <w:rPr>
          <w:color w:val="231F20"/>
          <w:spacing w:val="-25"/>
        </w:rPr>
        <w:t xml:space="preserve"> </w:t>
      </w:r>
      <w:r>
        <w:rPr>
          <w:color w:val="231F20"/>
        </w:rPr>
        <w:t>health</w:t>
      </w:r>
      <w:r>
        <w:rPr>
          <w:color w:val="231F20"/>
          <w:spacing w:val="-25"/>
        </w:rPr>
        <w:t xml:space="preserve"> </w:t>
      </w:r>
      <w:r>
        <w:rPr>
          <w:color w:val="231F20"/>
        </w:rPr>
        <w:t>infrastructure</w:t>
      </w:r>
      <w:r>
        <w:rPr>
          <w:color w:val="231F20"/>
          <w:spacing w:val="-25"/>
        </w:rPr>
        <w:t xml:space="preserve"> </w:t>
      </w:r>
      <w:r>
        <w:rPr>
          <w:color w:val="231F20"/>
        </w:rPr>
        <w:t>development</w:t>
      </w:r>
      <w:r>
        <w:rPr>
          <w:color w:val="231F20"/>
          <w:spacing w:val="-25"/>
        </w:rPr>
        <w:t xml:space="preserve"> </w:t>
      </w:r>
      <w:r>
        <w:rPr>
          <w:color w:val="231F20"/>
        </w:rPr>
        <w:t>and</w:t>
      </w:r>
      <w:r>
        <w:rPr>
          <w:color w:val="231F20"/>
          <w:spacing w:val="-25"/>
        </w:rPr>
        <w:t xml:space="preserve"> </w:t>
      </w:r>
      <w:r>
        <w:rPr>
          <w:color w:val="231F20"/>
        </w:rPr>
        <w:t>management</w:t>
      </w:r>
      <w:r>
        <w:rPr>
          <w:color w:val="231F20"/>
          <w:spacing w:val="-25"/>
        </w:rPr>
        <w:t xml:space="preserve"> </w:t>
      </w:r>
      <w:r>
        <w:rPr>
          <w:color w:val="231F20"/>
        </w:rPr>
        <w:t>in</w:t>
      </w:r>
      <w:r>
        <w:rPr>
          <w:color w:val="231F20"/>
          <w:spacing w:val="-25"/>
        </w:rPr>
        <w:t xml:space="preserve"> </w:t>
      </w:r>
      <w:r>
        <w:rPr>
          <w:color w:val="231F20"/>
        </w:rPr>
        <w:t>Rivers</w:t>
      </w:r>
      <w:r>
        <w:rPr>
          <w:color w:val="231F20"/>
          <w:spacing w:val="-25"/>
        </w:rPr>
        <w:t xml:space="preserve"> </w:t>
      </w:r>
      <w:r>
        <w:rPr>
          <w:color w:val="231F20"/>
        </w:rPr>
        <w:t>State.</w:t>
      </w:r>
    </w:p>
    <w:p w14:paraId="5AEC679A" w14:textId="77777777" w:rsidR="009948F1" w:rsidRDefault="009948F1">
      <w:pPr>
        <w:spacing w:line="288" w:lineRule="auto"/>
        <w:jc w:val="both"/>
        <w:sectPr w:rsidR="009948F1">
          <w:pgSz w:w="11910" w:h="16840"/>
          <w:pgMar w:top="1380" w:right="1080" w:bottom="1420" w:left="1120" w:header="0" w:footer="1235" w:gutter="0"/>
          <w:cols w:space="720"/>
        </w:sectPr>
      </w:pPr>
    </w:p>
    <w:p w14:paraId="3A4F624D" w14:textId="77777777" w:rsidR="009948F1" w:rsidRDefault="00BC0563">
      <w:pPr>
        <w:pStyle w:val="ListParagraph"/>
        <w:numPr>
          <w:ilvl w:val="3"/>
          <w:numId w:val="267"/>
        </w:numPr>
        <w:tabs>
          <w:tab w:val="left" w:pos="942"/>
        </w:tabs>
        <w:spacing w:before="42" w:line="247" w:lineRule="auto"/>
        <w:ind w:left="145" w:right="174" w:firstLine="0"/>
        <w:jc w:val="both"/>
      </w:pPr>
      <w:bookmarkStart w:id="95" w:name="Page_81"/>
      <w:bookmarkEnd w:id="95"/>
      <w:r>
        <w:rPr>
          <w:color w:val="231F20"/>
        </w:rPr>
        <w:lastRenderedPageBreak/>
        <w:t>:</w:t>
      </w:r>
      <w:r>
        <w:rPr>
          <w:color w:val="231F20"/>
          <w:spacing w:val="-18"/>
        </w:rPr>
        <w:t xml:space="preserve"> </w:t>
      </w:r>
      <w:r>
        <w:rPr>
          <w:color w:val="231F20"/>
        </w:rPr>
        <w:t>Strengthen</w:t>
      </w:r>
      <w:r>
        <w:rPr>
          <w:color w:val="231F20"/>
          <w:spacing w:val="-17"/>
        </w:rPr>
        <w:t xml:space="preserve"> </w:t>
      </w:r>
      <w:r>
        <w:rPr>
          <w:color w:val="231F20"/>
        </w:rPr>
        <w:t>the</w:t>
      </w:r>
      <w:r>
        <w:rPr>
          <w:color w:val="231F20"/>
          <w:spacing w:val="-17"/>
        </w:rPr>
        <w:t xml:space="preserve"> </w:t>
      </w:r>
      <w:r>
        <w:rPr>
          <w:color w:val="231F20"/>
        </w:rPr>
        <w:t>monitoring</w:t>
      </w:r>
      <w:r>
        <w:rPr>
          <w:color w:val="231F20"/>
          <w:spacing w:val="-17"/>
        </w:rPr>
        <w:t xml:space="preserve"> </w:t>
      </w:r>
      <w:r>
        <w:rPr>
          <w:color w:val="231F20"/>
        </w:rPr>
        <w:t>of</w:t>
      </w:r>
      <w:r>
        <w:rPr>
          <w:color w:val="231F20"/>
          <w:spacing w:val="-17"/>
        </w:rPr>
        <w:t xml:space="preserve"> </w:t>
      </w:r>
      <w:r>
        <w:rPr>
          <w:color w:val="231F20"/>
        </w:rPr>
        <w:t>health</w:t>
      </w:r>
      <w:r>
        <w:rPr>
          <w:color w:val="231F20"/>
          <w:spacing w:val="-18"/>
        </w:rPr>
        <w:t xml:space="preserve"> </w:t>
      </w:r>
      <w:r>
        <w:rPr>
          <w:color w:val="231F20"/>
        </w:rPr>
        <w:t>infrastructure</w:t>
      </w:r>
      <w:r>
        <w:rPr>
          <w:color w:val="231F20"/>
          <w:spacing w:val="-17"/>
        </w:rPr>
        <w:t xml:space="preserve"> </w:t>
      </w:r>
      <w:r>
        <w:rPr>
          <w:color w:val="231F20"/>
        </w:rPr>
        <w:t>including</w:t>
      </w:r>
      <w:r>
        <w:rPr>
          <w:color w:val="231F20"/>
          <w:spacing w:val="-17"/>
        </w:rPr>
        <w:t xml:space="preserve"> </w:t>
      </w:r>
      <w:r>
        <w:rPr>
          <w:color w:val="231F20"/>
        </w:rPr>
        <w:t>inventories</w:t>
      </w:r>
      <w:r>
        <w:rPr>
          <w:color w:val="231F20"/>
          <w:spacing w:val="-17"/>
        </w:rPr>
        <w:t xml:space="preserve"> </w:t>
      </w:r>
      <w:r>
        <w:rPr>
          <w:color w:val="231F20"/>
        </w:rPr>
        <w:t>and</w:t>
      </w:r>
      <w:r>
        <w:rPr>
          <w:color w:val="231F20"/>
          <w:spacing w:val="-17"/>
        </w:rPr>
        <w:t xml:space="preserve"> </w:t>
      </w:r>
      <w:r>
        <w:rPr>
          <w:color w:val="231F20"/>
        </w:rPr>
        <w:t>performance. The activities include; - Conduct monitoring of health infrastructures, including inventories &amp; performance at State &amp; LGA levels; Ensure inclusion of health infrastructures into the Electronic Medical</w:t>
      </w:r>
      <w:r>
        <w:rPr>
          <w:color w:val="231F20"/>
          <w:spacing w:val="-25"/>
        </w:rPr>
        <w:t xml:space="preserve"> </w:t>
      </w:r>
      <w:r>
        <w:rPr>
          <w:color w:val="231F20"/>
        </w:rPr>
        <w:t>Record</w:t>
      </w:r>
      <w:r>
        <w:rPr>
          <w:color w:val="231F20"/>
          <w:spacing w:val="-26"/>
        </w:rPr>
        <w:t xml:space="preserve"> </w:t>
      </w:r>
      <w:r>
        <w:rPr>
          <w:color w:val="231F20"/>
        </w:rPr>
        <w:t>(EMR)</w:t>
      </w:r>
      <w:r>
        <w:rPr>
          <w:color w:val="231F20"/>
          <w:spacing w:val="-25"/>
        </w:rPr>
        <w:t xml:space="preserve"> </w:t>
      </w:r>
      <w:r>
        <w:rPr>
          <w:color w:val="231F20"/>
        </w:rPr>
        <w:t>framework</w:t>
      </w:r>
      <w:r>
        <w:rPr>
          <w:color w:val="231F20"/>
          <w:spacing w:val="-25"/>
        </w:rPr>
        <w:t xml:space="preserve"> </w:t>
      </w:r>
      <w:r>
        <w:rPr>
          <w:color w:val="231F20"/>
        </w:rPr>
        <w:t>for</w:t>
      </w:r>
      <w:r>
        <w:rPr>
          <w:color w:val="231F20"/>
          <w:spacing w:val="-25"/>
        </w:rPr>
        <w:t xml:space="preserve"> </w:t>
      </w:r>
      <w:r>
        <w:rPr>
          <w:color w:val="231F20"/>
        </w:rPr>
        <w:t>all</w:t>
      </w:r>
      <w:r>
        <w:rPr>
          <w:color w:val="231F20"/>
          <w:spacing w:val="37"/>
        </w:rPr>
        <w:t xml:space="preserve"> </w:t>
      </w:r>
      <w:r>
        <w:rPr>
          <w:color w:val="231F20"/>
        </w:rPr>
        <w:t>health</w:t>
      </w:r>
      <w:r>
        <w:rPr>
          <w:color w:val="231F20"/>
          <w:spacing w:val="-25"/>
        </w:rPr>
        <w:t xml:space="preserve"> </w:t>
      </w:r>
      <w:r>
        <w:rPr>
          <w:color w:val="231F20"/>
        </w:rPr>
        <w:t>facilities.</w:t>
      </w:r>
    </w:p>
    <w:p w14:paraId="127AF845" w14:textId="77777777" w:rsidR="009948F1" w:rsidRDefault="009948F1">
      <w:pPr>
        <w:pStyle w:val="BodyText"/>
        <w:spacing w:before="10"/>
        <w:rPr>
          <w:sz w:val="26"/>
        </w:rPr>
      </w:pPr>
    </w:p>
    <w:p w14:paraId="12932FCF" w14:textId="77777777" w:rsidR="009948F1" w:rsidRDefault="00BC0563">
      <w:pPr>
        <w:pStyle w:val="ListParagraph"/>
        <w:numPr>
          <w:ilvl w:val="3"/>
          <w:numId w:val="267"/>
        </w:numPr>
        <w:tabs>
          <w:tab w:val="left" w:pos="1055"/>
        </w:tabs>
        <w:spacing w:line="268" w:lineRule="auto"/>
        <w:ind w:left="145" w:right="170" w:firstLine="112"/>
        <w:jc w:val="both"/>
      </w:pPr>
      <w:r>
        <w:rPr>
          <w:color w:val="231F20"/>
        </w:rPr>
        <w:t xml:space="preserve">: Strengthen capacities and partnerships for health infrastructure maintenance and management. The activities include; - Establish a plan and system for maintenance of all health infrastructure; Develop and implement MoUs with private suppliers in the post-supply of health infrastructure maintenance and training of providers in use and maintenance; Establish PPP platform on health infrastructure procurement, service provision and maintenance (e.g. Build </w:t>
      </w:r>
      <w:r>
        <w:rPr>
          <w:color w:val="231F20"/>
          <w:spacing w:val="-5"/>
        </w:rPr>
        <w:t xml:space="preserve">and </w:t>
      </w:r>
      <w:r>
        <w:rPr>
          <w:color w:val="231F20"/>
        </w:rPr>
        <w:t xml:space="preserve">maintain, outsource, contract, concession </w:t>
      </w:r>
      <w:proofErr w:type="spellStart"/>
      <w:r>
        <w:rPr>
          <w:color w:val="231F20"/>
        </w:rPr>
        <w:t>etc</w:t>
      </w:r>
      <w:proofErr w:type="spellEnd"/>
      <w:r>
        <w:rPr>
          <w:color w:val="231F20"/>
        </w:rPr>
        <w:t xml:space="preserve">); Mobilize resources from development partners, philanthropists, and communities on health infrastructure development, management </w:t>
      </w:r>
      <w:r>
        <w:rPr>
          <w:color w:val="231F20"/>
          <w:spacing w:val="-4"/>
        </w:rPr>
        <w:t xml:space="preserve">and </w:t>
      </w:r>
      <w:r>
        <w:rPr>
          <w:color w:val="231F20"/>
        </w:rPr>
        <w:t>maintenance;</w:t>
      </w:r>
      <w:r>
        <w:rPr>
          <w:color w:val="231F20"/>
          <w:spacing w:val="-30"/>
        </w:rPr>
        <w:t xml:space="preserve"> </w:t>
      </w:r>
      <w:r>
        <w:rPr>
          <w:color w:val="231F20"/>
        </w:rPr>
        <w:t>Train</w:t>
      </w:r>
      <w:r>
        <w:rPr>
          <w:color w:val="231F20"/>
          <w:spacing w:val="-25"/>
        </w:rPr>
        <w:t xml:space="preserve"> </w:t>
      </w:r>
      <w:r>
        <w:rPr>
          <w:color w:val="231F20"/>
        </w:rPr>
        <w:t>human</w:t>
      </w:r>
      <w:r>
        <w:rPr>
          <w:color w:val="231F20"/>
          <w:spacing w:val="-25"/>
        </w:rPr>
        <w:t xml:space="preserve"> </w:t>
      </w:r>
      <w:r>
        <w:rPr>
          <w:color w:val="231F20"/>
        </w:rPr>
        <w:t>resource</w:t>
      </w:r>
      <w:r>
        <w:rPr>
          <w:color w:val="231F20"/>
          <w:spacing w:val="-26"/>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use</w:t>
      </w:r>
      <w:r>
        <w:rPr>
          <w:color w:val="231F20"/>
          <w:spacing w:val="-26"/>
        </w:rPr>
        <w:t xml:space="preserve"> </w:t>
      </w:r>
      <w:r>
        <w:rPr>
          <w:color w:val="231F20"/>
        </w:rPr>
        <w:t>and</w:t>
      </w:r>
      <w:r>
        <w:rPr>
          <w:color w:val="231F20"/>
          <w:spacing w:val="-25"/>
        </w:rPr>
        <w:t xml:space="preserve"> </w:t>
      </w:r>
      <w:r>
        <w:rPr>
          <w:color w:val="231F20"/>
        </w:rPr>
        <w:t>maintenance</w:t>
      </w:r>
      <w:r>
        <w:rPr>
          <w:color w:val="231F20"/>
          <w:spacing w:val="-25"/>
        </w:rPr>
        <w:t xml:space="preserve"> </w:t>
      </w:r>
      <w:r>
        <w:rPr>
          <w:color w:val="231F20"/>
        </w:rPr>
        <w:t>of</w:t>
      </w:r>
      <w:r>
        <w:rPr>
          <w:color w:val="231F20"/>
          <w:spacing w:val="-26"/>
        </w:rPr>
        <w:t xml:space="preserve"> </w:t>
      </w:r>
      <w:r>
        <w:rPr>
          <w:color w:val="231F20"/>
        </w:rPr>
        <w:t>the</w:t>
      </w:r>
      <w:r>
        <w:rPr>
          <w:color w:val="231F20"/>
          <w:spacing w:val="-25"/>
        </w:rPr>
        <w:t xml:space="preserve"> </w:t>
      </w:r>
      <w:r>
        <w:rPr>
          <w:color w:val="231F20"/>
        </w:rPr>
        <w:t>health</w:t>
      </w:r>
      <w:r>
        <w:rPr>
          <w:color w:val="231F20"/>
          <w:spacing w:val="-25"/>
        </w:rPr>
        <w:t xml:space="preserve"> </w:t>
      </w:r>
      <w:r>
        <w:rPr>
          <w:color w:val="231F20"/>
        </w:rPr>
        <w:t>infrastructure.</w:t>
      </w:r>
    </w:p>
    <w:p w14:paraId="339DC947" w14:textId="77777777" w:rsidR="009948F1" w:rsidRDefault="009948F1">
      <w:pPr>
        <w:pStyle w:val="BodyText"/>
        <w:spacing w:before="8"/>
        <w:rPr>
          <w:sz w:val="24"/>
        </w:rPr>
      </w:pPr>
    </w:p>
    <w:p w14:paraId="473F81A8" w14:textId="77777777" w:rsidR="009948F1" w:rsidRDefault="00BC0563">
      <w:pPr>
        <w:pStyle w:val="ListParagraph"/>
        <w:numPr>
          <w:ilvl w:val="3"/>
          <w:numId w:val="267"/>
        </w:numPr>
        <w:tabs>
          <w:tab w:val="left" w:pos="942"/>
        </w:tabs>
        <w:spacing w:line="268" w:lineRule="auto"/>
        <w:ind w:left="144" w:right="174" w:firstLine="0"/>
        <w:jc w:val="both"/>
      </w:pPr>
      <w:r>
        <w:rPr>
          <w:color w:val="231F20"/>
        </w:rPr>
        <w:t xml:space="preserve">: Promote partnerships between Equipment Manufactures/Suppliers and government </w:t>
      </w:r>
      <w:r>
        <w:rPr>
          <w:color w:val="231F20"/>
          <w:spacing w:val="-8"/>
        </w:rPr>
        <w:t xml:space="preserve">at </w:t>
      </w:r>
      <w:r>
        <w:rPr>
          <w:color w:val="231F20"/>
        </w:rPr>
        <w:t>all</w:t>
      </w:r>
      <w:r>
        <w:rPr>
          <w:color w:val="231F20"/>
          <w:spacing w:val="-13"/>
        </w:rPr>
        <w:t xml:space="preserve"> </w:t>
      </w:r>
      <w:r>
        <w:rPr>
          <w:color w:val="231F20"/>
        </w:rPr>
        <w:t>levels</w:t>
      </w:r>
      <w:r>
        <w:rPr>
          <w:color w:val="231F20"/>
          <w:spacing w:val="-12"/>
        </w:rPr>
        <w:t xml:space="preserve"> </w:t>
      </w:r>
      <w:r>
        <w:rPr>
          <w:color w:val="231F20"/>
        </w:rPr>
        <w:t>for</w:t>
      </w:r>
      <w:r>
        <w:rPr>
          <w:color w:val="231F20"/>
          <w:spacing w:val="-12"/>
        </w:rPr>
        <w:t xml:space="preserve"> </w:t>
      </w:r>
      <w:r>
        <w:rPr>
          <w:color w:val="231F20"/>
        </w:rPr>
        <w:t>technology</w:t>
      </w:r>
      <w:r>
        <w:rPr>
          <w:color w:val="231F20"/>
          <w:spacing w:val="-12"/>
        </w:rPr>
        <w:t xml:space="preserve"> </w:t>
      </w:r>
      <w:r>
        <w:rPr>
          <w:color w:val="231F20"/>
        </w:rPr>
        <w:t>transfer/training/maintenance</w:t>
      </w:r>
      <w:r>
        <w:rPr>
          <w:color w:val="231F20"/>
          <w:spacing w:val="-11"/>
        </w:rPr>
        <w:t xml:space="preserve"> </w:t>
      </w:r>
      <w:r>
        <w:rPr>
          <w:color w:val="231F20"/>
        </w:rPr>
        <w:t>agreements.</w:t>
      </w:r>
      <w:r>
        <w:rPr>
          <w:color w:val="231F20"/>
          <w:spacing w:val="-16"/>
        </w:rPr>
        <w:t xml:space="preserve"> </w:t>
      </w:r>
      <w:r>
        <w:rPr>
          <w:color w:val="231F20"/>
        </w:rPr>
        <w:t>The</w:t>
      </w:r>
      <w:r>
        <w:rPr>
          <w:color w:val="231F20"/>
          <w:spacing w:val="-12"/>
        </w:rPr>
        <w:t xml:space="preserve"> </w:t>
      </w:r>
      <w:r>
        <w:rPr>
          <w:color w:val="231F20"/>
        </w:rPr>
        <w:t>activities</w:t>
      </w:r>
      <w:r>
        <w:rPr>
          <w:color w:val="231F20"/>
          <w:spacing w:val="-13"/>
        </w:rPr>
        <w:t xml:space="preserve"> </w:t>
      </w:r>
      <w:r>
        <w:rPr>
          <w:color w:val="231F20"/>
        </w:rPr>
        <w:t>include;</w:t>
      </w:r>
      <w:r>
        <w:rPr>
          <w:color w:val="231F20"/>
          <w:spacing w:val="-12"/>
        </w:rPr>
        <w:t xml:space="preserve"> </w:t>
      </w:r>
      <w:r>
        <w:rPr>
          <w:color w:val="231F20"/>
        </w:rPr>
        <w:t>-Identify and provide platform for engagement of major equipment manufacturers/suppliers for</w:t>
      </w:r>
      <w:r>
        <w:rPr>
          <w:color w:val="231F20"/>
          <w:spacing w:val="-36"/>
        </w:rPr>
        <w:t xml:space="preserve"> </w:t>
      </w:r>
      <w:r>
        <w:rPr>
          <w:color w:val="231F20"/>
        </w:rPr>
        <w:t>technology transfer/training/ maintenance of infrastructure; Develop and implement MoUs for production, training,</w:t>
      </w:r>
      <w:r>
        <w:rPr>
          <w:color w:val="231F20"/>
          <w:spacing w:val="-5"/>
        </w:rPr>
        <w:t xml:space="preserve"> </w:t>
      </w:r>
      <w:r>
        <w:rPr>
          <w:color w:val="231F20"/>
        </w:rPr>
        <w:t>and</w:t>
      </w:r>
      <w:r>
        <w:rPr>
          <w:color w:val="231F20"/>
          <w:spacing w:val="-4"/>
        </w:rPr>
        <w:t xml:space="preserve"> </w:t>
      </w:r>
      <w:r>
        <w:rPr>
          <w:color w:val="231F20"/>
        </w:rPr>
        <w:t>maintenance</w:t>
      </w:r>
      <w:r>
        <w:rPr>
          <w:color w:val="231F20"/>
          <w:spacing w:val="-4"/>
        </w:rPr>
        <w:t xml:space="preserve"> </w:t>
      </w:r>
      <w:r>
        <w:rPr>
          <w:color w:val="231F20"/>
        </w:rPr>
        <w:t>of</w:t>
      </w:r>
      <w:r>
        <w:rPr>
          <w:color w:val="231F20"/>
          <w:spacing w:val="-4"/>
        </w:rPr>
        <w:t xml:space="preserve"> </w:t>
      </w:r>
      <w:r>
        <w:rPr>
          <w:color w:val="231F20"/>
        </w:rPr>
        <w:t>health</w:t>
      </w:r>
      <w:r>
        <w:rPr>
          <w:color w:val="231F20"/>
          <w:spacing w:val="-4"/>
        </w:rPr>
        <w:t xml:space="preserve"> </w:t>
      </w:r>
      <w:r>
        <w:rPr>
          <w:color w:val="231F20"/>
        </w:rPr>
        <w:t>infrastructure;</w:t>
      </w:r>
      <w:r>
        <w:rPr>
          <w:color w:val="231F20"/>
          <w:spacing w:val="-16"/>
        </w:rPr>
        <w:t xml:space="preserve"> </w:t>
      </w:r>
      <w:r>
        <w:rPr>
          <w:color w:val="231F20"/>
        </w:rPr>
        <w:t>Advocate</w:t>
      </w:r>
      <w:r>
        <w:rPr>
          <w:color w:val="231F20"/>
          <w:spacing w:val="-4"/>
        </w:rPr>
        <w:t xml:space="preserve"> </w:t>
      </w:r>
      <w:r>
        <w:rPr>
          <w:color w:val="231F20"/>
        </w:rPr>
        <w:t>for</w:t>
      </w:r>
      <w:r>
        <w:rPr>
          <w:color w:val="231F20"/>
          <w:spacing w:val="-4"/>
        </w:rPr>
        <w:t xml:space="preserve"> </w:t>
      </w:r>
      <w:r>
        <w:rPr>
          <w:color w:val="231F20"/>
        </w:rPr>
        <w:t>an</w:t>
      </w:r>
      <w:r>
        <w:rPr>
          <w:color w:val="231F20"/>
          <w:spacing w:val="-4"/>
        </w:rPr>
        <w:t xml:space="preserve"> </w:t>
      </w:r>
      <w:r>
        <w:rPr>
          <w:color w:val="231F20"/>
        </w:rPr>
        <w:t>enabling</w:t>
      </w:r>
      <w:r>
        <w:rPr>
          <w:color w:val="231F20"/>
          <w:spacing w:val="-4"/>
        </w:rPr>
        <w:t xml:space="preserve"> </w:t>
      </w:r>
      <w:r>
        <w:rPr>
          <w:color w:val="231F20"/>
        </w:rPr>
        <w:t>fiscal</w:t>
      </w:r>
      <w:r>
        <w:rPr>
          <w:color w:val="231F20"/>
          <w:spacing w:val="-5"/>
        </w:rPr>
        <w:t xml:space="preserve"> </w:t>
      </w:r>
      <w:r>
        <w:rPr>
          <w:color w:val="231F20"/>
        </w:rPr>
        <w:t>policy</w:t>
      </w:r>
      <w:r>
        <w:rPr>
          <w:color w:val="231F20"/>
          <w:spacing w:val="-4"/>
        </w:rPr>
        <w:t xml:space="preserve"> </w:t>
      </w:r>
      <w:r>
        <w:rPr>
          <w:color w:val="231F20"/>
        </w:rPr>
        <w:t>to</w:t>
      </w:r>
      <w:r>
        <w:rPr>
          <w:color w:val="231F20"/>
          <w:spacing w:val="-4"/>
        </w:rPr>
        <w:t xml:space="preserve"> </w:t>
      </w:r>
      <w:r>
        <w:rPr>
          <w:color w:val="231F20"/>
        </w:rPr>
        <w:t>create an enabling environment for PPP on health infrastructure e.g. exemption or reduction on import tariffs.</w:t>
      </w:r>
    </w:p>
    <w:p w14:paraId="6A5DF434" w14:textId="77777777" w:rsidR="009948F1" w:rsidRDefault="009948F1">
      <w:pPr>
        <w:pStyle w:val="BodyText"/>
        <w:spacing w:before="9"/>
        <w:rPr>
          <w:sz w:val="24"/>
        </w:rPr>
      </w:pPr>
    </w:p>
    <w:p w14:paraId="316E577E" w14:textId="77777777" w:rsidR="009948F1" w:rsidRDefault="00BC0563">
      <w:pPr>
        <w:pStyle w:val="ListParagraph"/>
        <w:numPr>
          <w:ilvl w:val="3"/>
          <w:numId w:val="267"/>
        </w:numPr>
        <w:tabs>
          <w:tab w:val="left" w:pos="942"/>
        </w:tabs>
        <w:spacing w:line="268" w:lineRule="auto"/>
        <w:ind w:left="144" w:right="174" w:firstLine="0"/>
        <w:jc w:val="both"/>
      </w:pPr>
      <w:r>
        <w:rPr>
          <w:color w:val="231F20"/>
        </w:rPr>
        <w:t>: Scale up training of Biomedical Engineers and health infrastructure equipment maintenance</w:t>
      </w:r>
      <w:r>
        <w:rPr>
          <w:color w:val="231F20"/>
          <w:spacing w:val="-14"/>
        </w:rPr>
        <w:t xml:space="preserve"> </w:t>
      </w:r>
      <w:r>
        <w:rPr>
          <w:color w:val="231F20"/>
        </w:rPr>
        <w:t>officers,</w:t>
      </w:r>
      <w:r>
        <w:rPr>
          <w:color w:val="231F20"/>
          <w:spacing w:val="-14"/>
        </w:rPr>
        <w:t xml:space="preserve"> </w:t>
      </w:r>
      <w:r>
        <w:rPr>
          <w:color w:val="231F20"/>
        </w:rPr>
        <w:t>in</w:t>
      </w:r>
      <w:r>
        <w:rPr>
          <w:color w:val="231F20"/>
          <w:spacing w:val="-14"/>
        </w:rPr>
        <w:t xml:space="preserve"> </w:t>
      </w:r>
      <w:r>
        <w:rPr>
          <w:color w:val="231F20"/>
        </w:rPr>
        <w:t>order</w:t>
      </w:r>
      <w:r>
        <w:rPr>
          <w:color w:val="231F20"/>
          <w:spacing w:val="-14"/>
        </w:rPr>
        <w:t xml:space="preserve"> </w:t>
      </w:r>
      <w:r>
        <w:rPr>
          <w:color w:val="231F20"/>
        </w:rPr>
        <w:t>to</w:t>
      </w:r>
      <w:r>
        <w:rPr>
          <w:color w:val="231F20"/>
          <w:spacing w:val="-14"/>
        </w:rPr>
        <w:t xml:space="preserve"> </w:t>
      </w:r>
      <w:r>
        <w:rPr>
          <w:color w:val="231F20"/>
        </w:rPr>
        <w:t>increase</w:t>
      </w:r>
      <w:r>
        <w:rPr>
          <w:color w:val="231F20"/>
          <w:spacing w:val="-14"/>
        </w:rPr>
        <w:t xml:space="preserve"> </w:t>
      </w:r>
      <w:r>
        <w:rPr>
          <w:color w:val="231F20"/>
        </w:rPr>
        <w:t>stock</w:t>
      </w:r>
      <w:r>
        <w:rPr>
          <w:color w:val="231F20"/>
          <w:spacing w:val="-14"/>
        </w:rPr>
        <w:t xml:space="preserve"> </w:t>
      </w:r>
      <w:r>
        <w:rPr>
          <w:color w:val="231F20"/>
        </w:rPr>
        <w:t>availability.</w:t>
      </w:r>
      <w:r>
        <w:rPr>
          <w:color w:val="231F20"/>
          <w:spacing w:val="-18"/>
        </w:rPr>
        <w:t xml:space="preserve"> </w:t>
      </w:r>
      <w:r>
        <w:rPr>
          <w:color w:val="231F20"/>
        </w:rPr>
        <w:t>The</w:t>
      </w:r>
      <w:r>
        <w:rPr>
          <w:color w:val="231F20"/>
          <w:spacing w:val="-14"/>
        </w:rPr>
        <w:t xml:space="preserve"> </w:t>
      </w:r>
      <w:r>
        <w:rPr>
          <w:color w:val="231F20"/>
        </w:rPr>
        <w:t>key</w:t>
      </w:r>
      <w:r>
        <w:rPr>
          <w:color w:val="231F20"/>
          <w:spacing w:val="-14"/>
        </w:rPr>
        <w:t xml:space="preserve"> </w:t>
      </w:r>
      <w:r>
        <w:rPr>
          <w:color w:val="231F20"/>
        </w:rPr>
        <w:t>actions</w:t>
      </w:r>
      <w:r>
        <w:rPr>
          <w:color w:val="231F20"/>
          <w:spacing w:val="-14"/>
        </w:rPr>
        <w:t xml:space="preserve"> </w:t>
      </w:r>
      <w:r>
        <w:rPr>
          <w:color w:val="231F20"/>
        </w:rPr>
        <w:t>include;</w:t>
      </w:r>
      <w:r>
        <w:rPr>
          <w:color w:val="231F20"/>
          <w:spacing w:val="-14"/>
        </w:rPr>
        <w:t xml:space="preserve"> </w:t>
      </w:r>
      <w:r>
        <w:rPr>
          <w:color w:val="231F20"/>
        </w:rPr>
        <w:t>-</w:t>
      </w:r>
      <w:r>
        <w:rPr>
          <w:color w:val="231F20"/>
          <w:spacing w:val="-18"/>
        </w:rPr>
        <w:t xml:space="preserve"> </w:t>
      </w:r>
      <w:r>
        <w:rPr>
          <w:color w:val="231F20"/>
        </w:rPr>
        <w:t>Training</w:t>
      </w:r>
      <w:r>
        <w:rPr>
          <w:color w:val="231F20"/>
          <w:spacing w:val="-14"/>
        </w:rPr>
        <w:t xml:space="preserve"> </w:t>
      </w:r>
      <w:r>
        <w:rPr>
          <w:color w:val="231F20"/>
          <w:spacing w:val="-5"/>
        </w:rPr>
        <w:t xml:space="preserve">and </w:t>
      </w:r>
      <w:r>
        <w:rPr>
          <w:color w:val="231F20"/>
        </w:rPr>
        <w:t xml:space="preserve">retraining of Biomedical Engineers, </w:t>
      </w:r>
      <w:r>
        <w:rPr>
          <w:color w:val="231F20"/>
          <w:spacing w:val="-3"/>
        </w:rPr>
        <w:t xml:space="preserve">Technicians </w:t>
      </w:r>
      <w:r>
        <w:rPr>
          <w:color w:val="231F20"/>
        </w:rPr>
        <w:t xml:space="preserve">and Health Maintenance Officers with </w:t>
      </w:r>
      <w:r>
        <w:rPr>
          <w:color w:val="231F20"/>
          <w:spacing w:val="-3"/>
        </w:rPr>
        <w:t>major</w:t>
      </w:r>
      <w:r>
        <w:rPr>
          <w:color w:val="231F20"/>
          <w:spacing w:val="55"/>
        </w:rPr>
        <w:t xml:space="preserve"> </w:t>
      </w:r>
      <w:r>
        <w:rPr>
          <w:color w:val="231F20"/>
        </w:rPr>
        <w:t>equipment</w:t>
      </w:r>
      <w:r>
        <w:rPr>
          <w:color w:val="231F20"/>
          <w:spacing w:val="-25"/>
        </w:rPr>
        <w:t xml:space="preserve"> </w:t>
      </w:r>
      <w:r>
        <w:rPr>
          <w:color w:val="231F20"/>
        </w:rPr>
        <w:t>manufacturers.</w:t>
      </w:r>
    </w:p>
    <w:p w14:paraId="711F4620" w14:textId="77777777" w:rsidR="009948F1" w:rsidRDefault="009948F1">
      <w:pPr>
        <w:pStyle w:val="BodyText"/>
        <w:spacing w:before="7"/>
        <w:rPr>
          <w:sz w:val="24"/>
        </w:rPr>
      </w:pPr>
    </w:p>
    <w:p w14:paraId="57D23328" w14:textId="77777777" w:rsidR="009948F1" w:rsidRDefault="00BC0563">
      <w:pPr>
        <w:pStyle w:val="ListParagraph"/>
        <w:numPr>
          <w:ilvl w:val="3"/>
          <w:numId w:val="267"/>
        </w:numPr>
        <w:tabs>
          <w:tab w:val="left" w:pos="941"/>
        </w:tabs>
        <w:spacing w:before="1" w:line="268" w:lineRule="auto"/>
        <w:ind w:left="144" w:right="174" w:firstLine="0"/>
        <w:jc w:val="both"/>
      </w:pPr>
      <w:r>
        <w:rPr>
          <w:color w:val="231F20"/>
        </w:rPr>
        <w:t>:</w:t>
      </w:r>
      <w:r>
        <w:rPr>
          <w:color w:val="231F20"/>
          <w:spacing w:val="-28"/>
        </w:rPr>
        <w:t xml:space="preserve"> </w:t>
      </w:r>
      <w:r>
        <w:rPr>
          <w:color w:val="231F20"/>
        </w:rPr>
        <w:t>Accelerate</w:t>
      </w:r>
      <w:r>
        <w:rPr>
          <w:color w:val="231F20"/>
          <w:spacing w:val="-16"/>
        </w:rPr>
        <w:t xml:space="preserve"> </w:t>
      </w:r>
      <w:r>
        <w:rPr>
          <w:color w:val="231F20"/>
        </w:rPr>
        <w:t>the</w:t>
      </w:r>
      <w:r>
        <w:rPr>
          <w:color w:val="231F20"/>
          <w:spacing w:val="-16"/>
        </w:rPr>
        <w:t xml:space="preserve"> </w:t>
      </w:r>
      <w:r>
        <w:rPr>
          <w:color w:val="231F20"/>
        </w:rPr>
        <w:t>revitalization</w:t>
      </w:r>
      <w:r>
        <w:rPr>
          <w:color w:val="231F20"/>
          <w:spacing w:val="-16"/>
        </w:rPr>
        <w:t xml:space="preserve"> </w:t>
      </w:r>
      <w:r>
        <w:rPr>
          <w:color w:val="231F20"/>
        </w:rPr>
        <w:t>of</w:t>
      </w:r>
      <w:r>
        <w:rPr>
          <w:color w:val="231F20"/>
          <w:spacing w:val="-15"/>
        </w:rPr>
        <w:t xml:space="preserve"> </w:t>
      </w:r>
      <w:r>
        <w:rPr>
          <w:color w:val="231F20"/>
        </w:rPr>
        <w:t>primary</w:t>
      </w:r>
      <w:r>
        <w:rPr>
          <w:color w:val="231F20"/>
          <w:spacing w:val="-16"/>
        </w:rPr>
        <w:t xml:space="preserve"> </w:t>
      </w:r>
      <w:r>
        <w:rPr>
          <w:color w:val="231F20"/>
        </w:rPr>
        <w:t>health</w:t>
      </w:r>
      <w:r>
        <w:rPr>
          <w:color w:val="231F20"/>
          <w:spacing w:val="-16"/>
        </w:rPr>
        <w:t xml:space="preserve"> </w:t>
      </w:r>
      <w:r>
        <w:rPr>
          <w:color w:val="231F20"/>
        </w:rPr>
        <w:t>infrastructure</w:t>
      </w:r>
      <w:r>
        <w:rPr>
          <w:color w:val="231F20"/>
          <w:spacing w:val="-16"/>
        </w:rPr>
        <w:t xml:space="preserve"> </w:t>
      </w:r>
      <w:r>
        <w:rPr>
          <w:color w:val="231F20"/>
        </w:rPr>
        <w:t>for</w:t>
      </w:r>
      <w:r>
        <w:rPr>
          <w:color w:val="231F20"/>
          <w:spacing w:val="-16"/>
        </w:rPr>
        <w:t xml:space="preserve"> </w:t>
      </w:r>
      <w:r>
        <w:rPr>
          <w:color w:val="231F20"/>
        </w:rPr>
        <w:t>improved</w:t>
      </w:r>
      <w:r>
        <w:rPr>
          <w:color w:val="231F20"/>
          <w:spacing w:val="-15"/>
        </w:rPr>
        <w:t xml:space="preserve"> </w:t>
      </w:r>
      <w:r>
        <w:rPr>
          <w:color w:val="231F20"/>
        </w:rPr>
        <w:t>access</w:t>
      </w:r>
      <w:r>
        <w:rPr>
          <w:color w:val="231F20"/>
          <w:spacing w:val="-16"/>
        </w:rPr>
        <w:t xml:space="preserve"> </w:t>
      </w:r>
      <w:r>
        <w:rPr>
          <w:color w:val="231F20"/>
        </w:rPr>
        <w:t>to</w:t>
      </w:r>
      <w:r>
        <w:rPr>
          <w:color w:val="231F20"/>
          <w:spacing w:val="-16"/>
        </w:rPr>
        <w:t xml:space="preserve"> </w:t>
      </w:r>
      <w:r>
        <w:rPr>
          <w:color w:val="231F20"/>
          <w:spacing w:val="-3"/>
        </w:rPr>
        <w:t xml:space="preserve">health </w:t>
      </w:r>
      <w:r>
        <w:rPr>
          <w:color w:val="231F20"/>
        </w:rPr>
        <w:t>services.</w:t>
      </w:r>
      <w:r>
        <w:rPr>
          <w:color w:val="231F20"/>
          <w:spacing w:val="-21"/>
        </w:rPr>
        <w:t xml:space="preserve"> </w:t>
      </w:r>
      <w:r>
        <w:rPr>
          <w:color w:val="231F20"/>
        </w:rPr>
        <w:t>The</w:t>
      </w:r>
      <w:r>
        <w:rPr>
          <w:color w:val="231F20"/>
          <w:spacing w:val="-17"/>
        </w:rPr>
        <w:t xml:space="preserve"> </w:t>
      </w:r>
      <w:r>
        <w:rPr>
          <w:color w:val="231F20"/>
        </w:rPr>
        <w:t>activities</w:t>
      </w:r>
      <w:r>
        <w:rPr>
          <w:color w:val="231F20"/>
          <w:spacing w:val="-17"/>
        </w:rPr>
        <w:t xml:space="preserve"> </w:t>
      </w:r>
      <w:r>
        <w:rPr>
          <w:color w:val="231F20"/>
        </w:rPr>
        <w:t>include;</w:t>
      </w:r>
      <w:r>
        <w:rPr>
          <w:color w:val="231F20"/>
          <w:spacing w:val="-17"/>
        </w:rPr>
        <w:t xml:space="preserve"> </w:t>
      </w:r>
      <w:r>
        <w:rPr>
          <w:color w:val="231F20"/>
        </w:rPr>
        <w:t>-</w:t>
      </w:r>
      <w:r>
        <w:rPr>
          <w:color w:val="231F20"/>
          <w:spacing w:val="-17"/>
        </w:rPr>
        <w:t xml:space="preserve"> </w:t>
      </w:r>
      <w:r>
        <w:rPr>
          <w:color w:val="231F20"/>
        </w:rPr>
        <w:t>Set</w:t>
      </w:r>
      <w:r>
        <w:rPr>
          <w:color w:val="231F20"/>
          <w:spacing w:val="-17"/>
        </w:rPr>
        <w:t xml:space="preserve"> </w:t>
      </w:r>
      <w:r>
        <w:rPr>
          <w:color w:val="231F20"/>
        </w:rPr>
        <w:t>up</w:t>
      </w:r>
      <w:r>
        <w:rPr>
          <w:color w:val="231F20"/>
          <w:spacing w:val="-17"/>
        </w:rPr>
        <w:t xml:space="preserve"> </w:t>
      </w:r>
      <w:r>
        <w:rPr>
          <w:color w:val="231F20"/>
        </w:rPr>
        <w:t>committees</w:t>
      </w:r>
      <w:r>
        <w:rPr>
          <w:color w:val="231F20"/>
          <w:spacing w:val="-17"/>
        </w:rPr>
        <w:t xml:space="preserve"> </w:t>
      </w:r>
      <w:r>
        <w:rPr>
          <w:color w:val="231F20"/>
        </w:rPr>
        <w:t>to</w:t>
      </w:r>
      <w:r>
        <w:rPr>
          <w:color w:val="231F20"/>
          <w:spacing w:val="-17"/>
        </w:rPr>
        <w:t xml:space="preserve"> </w:t>
      </w:r>
      <w:r>
        <w:rPr>
          <w:color w:val="231F20"/>
        </w:rPr>
        <w:t>assess</w:t>
      </w:r>
      <w:r>
        <w:rPr>
          <w:color w:val="231F20"/>
          <w:spacing w:val="-17"/>
        </w:rPr>
        <w:t xml:space="preserve"> </w:t>
      </w:r>
      <w:r>
        <w:rPr>
          <w:color w:val="231F20"/>
        </w:rPr>
        <w:t>the</w:t>
      </w:r>
      <w:r>
        <w:rPr>
          <w:color w:val="231F20"/>
          <w:spacing w:val="-17"/>
        </w:rPr>
        <w:t xml:space="preserve"> </w:t>
      </w:r>
      <w:r>
        <w:rPr>
          <w:color w:val="231F20"/>
        </w:rPr>
        <w:t>state</w:t>
      </w:r>
      <w:r>
        <w:rPr>
          <w:color w:val="231F20"/>
          <w:spacing w:val="-17"/>
        </w:rPr>
        <w:t xml:space="preserve"> </w:t>
      </w:r>
      <w:r>
        <w:rPr>
          <w:color w:val="231F20"/>
        </w:rPr>
        <w:t>of</w:t>
      </w:r>
      <w:r>
        <w:rPr>
          <w:color w:val="231F20"/>
          <w:spacing w:val="-17"/>
        </w:rPr>
        <w:t xml:space="preserve"> </w:t>
      </w:r>
      <w:r>
        <w:rPr>
          <w:color w:val="231F20"/>
        </w:rPr>
        <w:t>existing</w:t>
      </w:r>
      <w:r>
        <w:rPr>
          <w:color w:val="231F20"/>
          <w:spacing w:val="-17"/>
        </w:rPr>
        <w:t xml:space="preserve"> </w:t>
      </w:r>
      <w:r>
        <w:rPr>
          <w:color w:val="231F20"/>
        </w:rPr>
        <w:t>PHC</w:t>
      </w:r>
      <w:r>
        <w:rPr>
          <w:color w:val="231F20"/>
          <w:spacing w:val="-17"/>
        </w:rPr>
        <w:t xml:space="preserve"> </w:t>
      </w:r>
      <w:r>
        <w:rPr>
          <w:color w:val="231F20"/>
        </w:rPr>
        <w:t>facilities</w:t>
      </w:r>
      <w:r>
        <w:rPr>
          <w:color w:val="231F20"/>
          <w:spacing w:val="-17"/>
        </w:rPr>
        <w:t xml:space="preserve"> </w:t>
      </w:r>
      <w:r>
        <w:rPr>
          <w:color w:val="231F20"/>
          <w:spacing w:val="-8"/>
        </w:rPr>
        <w:t xml:space="preserve">as </w:t>
      </w:r>
      <w:r>
        <w:rPr>
          <w:color w:val="231F20"/>
        </w:rPr>
        <w:t xml:space="preserve">well mapping out areas for siting new ones in the 23 LGAs; Operating costs for engaging and supervising contractors to rehabilitate 50 PHC facilities in the 23 LGAs; Operating costs </w:t>
      </w:r>
      <w:r>
        <w:rPr>
          <w:color w:val="231F20"/>
          <w:spacing w:val="-4"/>
        </w:rPr>
        <w:t>for</w:t>
      </w:r>
      <w:r>
        <w:rPr>
          <w:color w:val="231F20"/>
          <w:spacing w:val="53"/>
        </w:rPr>
        <w:t xml:space="preserve"> </w:t>
      </w:r>
      <w:r>
        <w:rPr>
          <w:color w:val="231F20"/>
        </w:rPr>
        <w:t xml:space="preserve">engaging and supervising contractors to renovate the Rivers State Primary Health </w:t>
      </w:r>
      <w:r>
        <w:rPr>
          <w:color w:val="231F20"/>
          <w:spacing w:val="-3"/>
        </w:rPr>
        <w:t xml:space="preserve">Care </w:t>
      </w:r>
      <w:r>
        <w:rPr>
          <w:color w:val="231F20"/>
        </w:rPr>
        <w:t>Management</w:t>
      </w:r>
      <w:r>
        <w:rPr>
          <w:color w:val="231F20"/>
          <w:spacing w:val="-27"/>
        </w:rPr>
        <w:t xml:space="preserve"> </w:t>
      </w:r>
      <w:r>
        <w:rPr>
          <w:color w:val="231F20"/>
        </w:rPr>
        <w:t>Board</w:t>
      </w:r>
      <w:r>
        <w:rPr>
          <w:color w:val="231F20"/>
          <w:spacing w:val="-27"/>
        </w:rPr>
        <w:t xml:space="preserve"> </w:t>
      </w:r>
      <w:r>
        <w:rPr>
          <w:color w:val="231F20"/>
        </w:rPr>
        <w:t>(RSPHCMB)</w:t>
      </w:r>
      <w:r>
        <w:rPr>
          <w:color w:val="231F20"/>
          <w:spacing w:val="-26"/>
        </w:rPr>
        <w:t xml:space="preserve"> </w:t>
      </w:r>
      <w:r>
        <w:rPr>
          <w:color w:val="231F20"/>
        </w:rPr>
        <w:t>office</w:t>
      </w:r>
      <w:r>
        <w:rPr>
          <w:color w:val="231F20"/>
          <w:spacing w:val="-27"/>
        </w:rPr>
        <w:t xml:space="preserve"> </w:t>
      </w:r>
      <w:r>
        <w:rPr>
          <w:color w:val="231F20"/>
        </w:rPr>
        <w:t>complex</w:t>
      </w:r>
      <w:r>
        <w:rPr>
          <w:color w:val="231F20"/>
          <w:spacing w:val="-27"/>
        </w:rPr>
        <w:t xml:space="preserve"> </w:t>
      </w:r>
      <w:r>
        <w:rPr>
          <w:color w:val="231F20"/>
        </w:rPr>
        <w:t>(Waterlines</w:t>
      </w:r>
      <w:r>
        <w:rPr>
          <w:color w:val="231F20"/>
          <w:spacing w:val="-26"/>
        </w:rPr>
        <w:t xml:space="preserve"> </w:t>
      </w:r>
      <w:r>
        <w:rPr>
          <w:color w:val="231F20"/>
        </w:rPr>
        <w:t>Building);</w:t>
      </w:r>
      <w:r>
        <w:rPr>
          <w:color w:val="231F20"/>
          <w:spacing w:val="-27"/>
        </w:rPr>
        <w:t xml:space="preserve"> </w:t>
      </w:r>
      <w:r>
        <w:rPr>
          <w:color w:val="231F20"/>
        </w:rPr>
        <w:t>Operating</w:t>
      </w:r>
      <w:r>
        <w:rPr>
          <w:color w:val="231F20"/>
          <w:spacing w:val="-26"/>
        </w:rPr>
        <w:t xml:space="preserve"> </w:t>
      </w:r>
      <w:r>
        <w:rPr>
          <w:color w:val="231F20"/>
        </w:rPr>
        <w:t>cost</w:t>
      </w:r>
      <w:r>
        <w:rPr>
          <w:color w:val="231F20"/>
          <w:spacing w:val="-27"/>
        </w:rPr>
        <w:t xml:space="preserve"> </w:t>
      </w:r>
      <w:r>
        <w:rPr>
          <w:color w:val="231F20"/>
        </w:rPr>
        <w:t>for</w:t>
      </w:r>
      <w:r>
        <w:rPr>
          <w:color w:val="231F20"/>
          <w:spacing w:val="-27"/>
        </w:rPr>
        <w:t xml:space="preserve"> </w:t>
      </w:r>
      <w:r>
        <w:rPr>
          <w:color w:val="231F20"/>
        </w:rPr>
        <w:t xml:space="preserve">engaging and supervising contractors to equip Rivers State Primary Health Care Management </w:t>
      </w:r>
      <w:r>
        <w:rPr>
          <w:color w:val="231F20"/>
          <w:spacing w:val="-3"/>
        </w:rPr>
        <w:t xml:space="preserve">Board </w:t>
      </w:r>
      <w:r>
        <w:rPr>
          <w:color w:val="231F20"/>
        </w:rPr>
        <w:t>(RSPHCMB)</w:t>
      </w:r>
      <w:r>
        <w:rPr>
          <w:color w:val="231F20"/>
          <w:spacing w:val="-7"/>
        </w:rPr>
        <w:t xml:space="preserve"> </w:t>
      </w:r>
      <w:r>
        <w:rPr>
          <w:color w:val="231F20"/>
        </w:rPr>
        <w:t>office</w:t>
      </w:r>
      <w:r>
        <w:rPr>
          <w:color w:val="231F20"/>
          <w:spacing w:val="-7"/>
        </w:rPr>
        <w:t xml:space="preserve"> </w:t>
      </w:r>
      <w:r>
        <w:rPr>
          <w:color w:val="231F20"/>
        </w:rPr>
        <w:t>complex</w:t>
      </w:r>
      <w:r>
        <w:rPr>
          <w:color w:val="231F20"/>
          <w:spacing w:val="-7"/>
        </w:rPr>
        <w:t xml:space="preserve"> </w:t>
      </w:r>
      <w:r>
        <w:rPr>
          <w:color w:val="231F20"/>
        </w:rPr>
        <w:t>(Waterlines</w:t>
      </w:r>
      <w:r>
        <w:rPr>
          <w:color w:val="231F20"/>
          <w:spacing w:val="-7"/>
        </w:rPr>
        <w:t xml:space="preserve"> </w:t>
      </w:r>
      <w:r>
        <w:rPr>
          <w:color w:val="231F20"/>
        </w:rPr>
        <w:t>Building);</w:t>
      </w:r>
      <w:r>
        <w:rPr>
          <w:color w:val="231F20"/>
          <w:spacing w:val="-7"/>
        </w:rPr>
        <w:t xml:space="preserve"> </w:t>
      </w:r>
      <w:r>
        <w:rPr>
          <w:color w:val="231F20"/>
        </w:rPr>
        <w:t>Strengthen</w:t>
      </w:r>
      <w:r>
        <w:rPr>
          <w:color w:val="231F20"/>
          <w:spacing w:val="-7"/>
        </w:rPr>
        <w:t xml:space="preserve"> </w:t>
      </w:r>
      <w:r>
        <w:rPr>
          <w:color w:val="231F20"/>
        </w:rPr>
        <w:t>at</w:t>
      </w:r>
      <w:r>
        <w:rPr>
          <w:color w:val="231F20"/>
          <w:spacing w:val="-6"/>
        </w:rPr>
        <w:t xml:space="preserve"> </w:t>
      </w:r>
      <w:r>
        <w:rPr>
          <w:color w:val="231F20"/>
        </w:rPr>
        <w:t>least</w:t>
      </w:r>
      <w:r>
        <w:rPr>
          <w:color w:val="231F20"/>
          <w:spacing w:val="-7"/>
        </w:rPr>
        <w:t xml:space="preserve"> </w:t>
      </w:r>
      <w:r>
        <w:rPr>
          <w:color w:val="231F20"/>
        </w:rPr>
        <w:t>1</w:t>
      </w:r>
      <w:r>
        <w:rPr>
          <w:color w:val="231F20"/>
          <w:spacing w:val="-7"/>
        </w:rPr>
        <w:t xml:space="preserve"> </w:t>
      </w:r>
      <w:r>
        <w:rPr>
          <w:color w:val="231F20"/>
        </w:rPr>
        <w:t>PHC</w:t>
      </w:r>
      <w:r>
        <w:rPr>
          <w:color w:val="231F20"/>
          <w:spacing w:val="-7"/>
        </w:rPr>
        <w:t xml:space="preserve"> </w:t>
      </w:r>
      <w:r>
        <w:rPr>
          <w:color w:val="231F20"/>
        </w:rPr>
        <w:t>per</w:t>
      </w:r>
      <w:r>
        <w:rPr>
          <w:color w:val="231F20"/>
          <w:spacing w:val="-7"/>
        </w:rPr>
        <w:t xml:space="preserve"> </w:t>
      </w:r>
      <w:r>
        <w:rPr>
          <w:color w:val="231F20"/>
          <w:spacing w:val="-3"/>
        </w:rPr>
        <w:t>Ward</w:t>
      </w:r>
      <w:r>
        <w:rPr>
          <w:color w:val="231F20"/>
          <w:spacing w:val="-7"/>
        </w:rPr>
        <w:t xml:space="preserve"> </w:t>
      </w:r>
      <w:r>
        <w:rPr>
          <w:color w:val="231F20"/>
        </w:rPr>
        <w:t>to</w:t>
      </w:r>
      <w:r>
        <w:rPr>
          <w:color w:val="231F20"/>
          <w:spacing w:val="-7"/>
        </w:rPr>
        <w:t xml:space="preserve"> </w:t>
      </w:r>
      <w:r>
        <w:rPr>
          <w:color w:val="231F20"/>
        </w:rPr>
        <w:t>provide the</w:t>
      </w:r>
      <w:r>
        <w:rPr>
          <w:color w:val="231F20"/>
          <w:spacing w:val="-25"/>
        </w:rPr>
        <w:t xml:space="preserve"> </w:t>
      </w:r>
      <w:r>
        <w:rPr>
          <w:color w:val="231F20"/>
        </w:rPr>
        <w:t>Essential</w:t>
      </w:r>
      <w:r>
        <w:rPr>
          <w:color w:val="231F20"/>
          <w:spacing w:val="-26"/>
        </w:rPr>
        <w:t xml:space="preserve"> </w:t>
      </w:r>
      <w:r>
        <w:rPr>
          <w:color w:val="231F20"/>
        </w:rPr>
        <w:t>Service</w:t>
      </w:r>
      <w:r>
        <w:rPr>
          <w:color w:val="231F20"/>
          <w:spacing w:val="-25"/>
        </w:rPr>
        <w:t xml:space="preserve"> </w:t>
      </w:r>
      <w:r>
        <w:rPr>
          <w:color w:val="231F20"/>
        </w:rPr>
        <w:t>Package</w:t>
      </w:r>
      <w:r>
        <w:rPr>
          <w:color w:val="231F20"/>
          <w:spacing w:val="-25"/>
        </w:rPr>
        <w:t xml:space="preserve"> </w:t>
      </w:r>
      <w:r>
        <w:rPr>
          <w:color w:val="231F20"/>
        </w:rPr>
        <w:t>(ESP)</w:t>
      </w:r>
      <w:r>
        <w:rPr>
          <w:color w:val="231F20"/>
          <w:spacing w:val="-25"/>
        </w:rPr>
        <w:t xml:space="preserve"> </w:t>
      </w:r>
      <w:r>
        <w:rPr>
          <w:color w:val="231F20"/>
        </w:rPr>
        <w:t>of</w:t>
      </w:r>
      <w:r>
        <w:rPr>
          <w:color w:val="231F20"/>
          <w:spacing w:val="-25"/>
        </w:rPr>
        <w:t xml:space="preserve"> </w:t>
      </w:r>
      <w:r>
        <w:rPr>
          <w:color w:val="231F20"/>
        </w:rPr>
        <w:t>care</w:t>
      </w:r>
      <w:r>
        <w:rPr>
          <w:color w:val="231F20"/>
          <w:spacing w:val="-25"/>
        </w:rPr>
        <w:t xml:space="preserve"> </w:t>
      </w:r>
      <w:r>
        <w:rPr>
          <w:color w:val="231F20"/>
        </w:rPr>
        <w:t>including</w:t>
      </w:r>
      <w:r>
        <w:rPr>
          <w:color w:val="231F20"/>
          <w:spacing w:val="-25"/>
        </w:rPr>
        <w:t xml:space="preserve"> </w:t>
      </w:r>
      <w:proofErr w:type="spellStart"/>
      <w:r>
        <w:rPr>
          <w:color w:val="231F20"/>
        </w:rPr>
        <w:t>BEmOC</w:t>
      </w:r>
      <w:proofErr w:type="spellEnd"/>
      <w:r>
        <w:rPr>
          <w:color w:val="231F20"/>
        </w:rPr>
        <w:t>.</w:t>
      </w:r>
    </w:p>
    <w:p w14:paraId="36017759" w14:textId="77777777" w:rsidR="009948F1" w:rsidRDefault="009948F1">
      <w:pPr>
        <w:pStyle w:val="BodyText"/>
        <w:spacing w:before="8"/>
        <w:rPr>
          <w:sz w:val="24"/>
        </w:rPr>
      </w:pPr>
    </w:p>
    <w:p w14:paraId="714C67CC" w14:textId="77777777" w:rsidR="009948F1" w:rsidRDefault="00BC0563">
      <w:pPr>
        <w:pStyle w:val="ListParagraph"/>
        <w:numPr>
          <w:ilvl w:val="3"/>
          <w:numId w:val="267"/>
        </w:numPr>
        <w:tabs>
          <w:tab w:val="left" w:pos="941"/>
        </w:tabs>
        <w:spacing w:line="268" w:lineRule="auto"/>
        <w:ind w:left="144" w:right="175" w:firstLine="0"/>
        <w:jc w:val="both"/>
      </w:pPr>
      <w:r>
        <w:rPr>
          <w:color w:val="231F20"/>
        </w:rPr>
        <w:t>:</w:t>
      </w:r>
      <w:r>
        <w:rPr>
          <w:color w:val="231F20"/>
          <w:spacing w:val="-18"/>
        </w:rPr>
        <w:t xml:space="preserve"> </w:t>
      </w:r>
      <w:r>
        <w:rPr>
          <w:color w:val="231F20"/>
        </w:rPr>
        <w:t>Improve</w:t>
      </w:r>
      <w:r>
        <w:rPr>
          <w:color w:val="231F20"/>
          <w:spacing w:val="-17"/>
        </w:rPr>
        <w:t xml:space="preserve"> </w:t>
      </w:r>
      <w:r>
        <w:rPr>
          <w:color w:val="231F20"/>
        </w:rPr>
        <w:t>Secondary</w:t>
      </w:r>
      <w:r>
        <w:rPr>
          <w:color w:val="231F20"/>
          <w:spacing w:val="-18"/>
        </w:rPr>
        <w:t xml:space="preserve"> </w:t>
      </w:r>
      <w:r>
        <w:rPr>
          <w:color w:val="231F20"/>
        </w:rPr>
        <w:t>and</w:t>
      </w:r>
      <w:r>
        <w:rPr>
          <w:color w:val="231F20"/>
          <w:spacing w:val="-21"/>
        </w:rPr>
        <w:t xml:space="preserve"> </w:t>
      </w:r>
      <w:r>
        <w:rPr>
          <w:color w:val="231F20"/>
          <w:spacing w:val="-4"/>
        </w:rPr>
        <w:t>Tertiary</w:t>
      </w:r>
      <w:r>
        <w:rPr>
          <w:color w:val="231F20"/>
          <w:spacing w:val="-18"/>
        </w:rPr>
        <w:t xml:space="preserve"> </w:t>
      </w:r>
      <w:r>
        <w:rPr>
          <w:color w:val="231F20"/>
        </w:rPr>
        <w:t>levels</w:t>
      </w:r>
      <w:r>
        <w:rPr>
          <w:color w:val="231F20"/>
          <w:spacing w:val="-17"/>
        </w:rPr>
        <w:t xml:space="preserve"> </w:t>
      </w:r>
      <w:r>
        <w:rPr>
          <w:color w:val="231F20"/>
        </w:rPr>
        <w:t>infrastructure</w:t>
      </w:r>
      <w:r>
        <w:rPr>
          <w:color w:val="231F20"/>
          <w:spacing w:val="-18"/>
        </w:rPr>
        <w:t xml:space="preserve"> </w:t>
      </w:r>
      <w:r>
        <w:rPr>
          <w:color w:val="231F20"/>
        </w:rPr>
        <w:t>to</w:t>
      </w:r>
      <w:r>
        <w:rPr>
          <w:color w:val="231F20"/>
          <w:spacing w:val="-17"/>
        </w:rPr>
        <w:t xml:space="preserve"> </w:t>
      </w:r>
      <w:r>
        <w:rPr>
          <w:color w:val="231F20"/>
        </w:rPr>
        <w:t>support</w:t>
      </w:r>
      <w:r>
        <w:rPr>
          <w:color w:val="231F20"/>
          <w:spacing w:val="-18"/>
        </w:rPr>
        <w:t xml:space="preserve"> </w:t>
      </w:r>
      <w:r>
        <w:rPr>
          <w:color w:val="231F20"/>
        </w:rPr>
        <w:t>for</w:t>
      </w:r>
      <w:r>
        <w:rPr>
          <w:color w:val="231F20"/>
          <w:spacing w:val="-17"/>
        </w:rPr>
        <w:t xml:space="preserve"> </w:t>
      </w:r>
      <w:r>
        <w:rPr>
          <w:color w:val="231F20"/>
        </w:rPr>
        <w:t>referrals</w:t>
      </w:r>
      <w:r>
        <w:rPr>
          <w:color w:val="231F20"/>
          <w:spacing w:val="-18"/>
        </w:rPr>
        <w:t xml:space="preserve"> </w:t>
      </w:r>
      <w:r>
        <w:rPr>
          <w:color w:val="231F20"/>
        </w:rPr>
        <w:t>systems.</w:t>
      </w:r>
      <w:r>
        <w:rPr>
          <w:color w:val="231F20"/>
          <w:spacing w:val="-21"/>
        </w:rPr>
        <w:t xml:space="preserve"> </w:t>
      </w:r>
      <w:r>
        <w:rPr>
          <w:color w:val="231F20"/>
        </w:rPr>
        <w:t xml:space="preserve">The key activities </w:t>
      </w:r>
      <w:proofErr w:type="gramStart"/>
      <w:r>
        <w:rPr>
          <w:color w:val="231F20"/>
        </w:rPr>
        <w:t>include;</w:t>
      </w:r>
      <w:proofErr w:type="gramEnd"/>
      <w:r>
        <w:rPr>
          <w:color w:val="231F20"/>
        </w:rPr>
        <w:t xml:space="preserve"> - Operating costs for engaging and supervising contractors to renovate all General &amp; Specialist Hospitals in the State; Operating costs for engaging and supervising contractors to establish/strengthen logistics support including transportation and communication systems</w:t>
      </w:r>
      <w:r>
        <w:rPr>
          <w:color w:val="231F20"/>
          <w:spacing w:val="-24"/>
        </w:rPr>
        <w:t xml:space="preserve"> </w:t>
      </w:r>
      <w:r>
        <w:rPr>
          <w:color w:val="231F20"/>
        </w:rPr>
        <w:t>to</w:t>
      </w:r>
      <w:r>
        <w:rPr>
          <w:color w:val="231F20"/>
          <w:spacing w:val="-23"/>
        </w:rPr>
        <w:t xml:space="preserve"> </w:t>
      </w:r>
      <w:r>
        <w:rPr>
          <w:color w:val="231F20"/>
        </w:rPr>
        <w:t>aid</w:t>
      </w:r>
      <w:r>
        <w:rPr>
          <w:color w:val="231F20"/>
          <w:spacing w:val="-23"/>
        </w:rPr>
        <w:t xml:space="preserve"> </w:t>
      </w:r>
      <w:r>
        <w:rPr>
          <w:color w:val="231F20"/>
        </w:rPr>
        <w:t>referral;</w:t>
      </w:r>
      <w:r>
        <w:rPr>
          <w:color w:val="231F20"/>
          <w:spacing w:val="-23"/>
        </w:rPr>
        <w:t xml:space="preserve"> </w:t>
      </w:r>
      <w:r>
        <w:rPr>
          <w:color w:val="231F20"/>
        </w:rPr>
        <w:t>Establish</w:t>
      </w:r>
      <w:r>
        <w:rPr>
          <w:color w:val="231F20"/>
          <w:spacing w:val="-23"/>
        </w:rPr>
        <w:t xml:space="preserve"> </w:t>
      </w:r>
      <w:r>
        <w:rPr>
          <w:color w:val="231F20"/>
        </w:rPr>
        <w:t>standard</w:t>
      </w:r>
      <w:r>
        <w:rPr>
          <w:color w:val="231F20"/>
          <w:spacing w:val="-23"/>
        </w:rPr>
        <w:t xml:space="preserve"> </w:t>
      </w:r>
      <w:r>
        <w:rPr>
          <w:color w:val="231F20"/>
        </w:rPr>
        <w:t>diagnostic</w:t>
      </w:r>
      <w:r>
        <w:rPr>
          <w:color w:val="231F20"/>
          <w:spacing w:val="-23"/>
        </w:rPr>
        <w:t xml:space="preserve"> </w:t>
      </w:r>
      <w:proofErr w:type="spellStart"/>
      <w:r>
        <w:rPr>
          <w:color w:val="231F20"/>
        </w:rPr>
        <w:t>centres</w:t>
      </w:r>
      <w:proofErr w:type="spellEnd"/>
      <w:r>
        <w:rPr>
          <w:color w:val="231F20"/>
          <w:spacing w:val="-23"/>
        </w:rPr>
        <w:t xml:space="preserve"> </w:t>
      </w:r>
      <w:r>
        <w:rPr>
          <w:color w:val="231F20"/>
        </w:rPr>
        <w:t>in</w:t>
      </w:r>
      <w:r>
        <w:rPr>
          <w:color w:val="231F20"/>
          <w:spacing w:val="-23"/>
        </w:rPr>
        <w:t xml:space="preserve"> </w:t>
      </w:r>
      <w:r>
        <w:rPr>
          <w:color w:val="231F20"/>
        </w:rPr>
        <w:t>all</w:t>
      </w:r>
      <w:r>
        <w:rPr>
          <w:color w:val="231F20"/>
          <w:spacing w:val="-23"/>
        </w:rPr>
        <w:t xml:space="preserve"> </w:t>
      </w:r>
      <w:r>
        <w:rPr>
          <w:color w:val="231F20"/>
        </w:rPr>
        <w:t>senatorial</w:t>
      </w:r>
      <w:r>
        <w:rPr>
          <w:color w:val="231F20"/>
          <w:spacing w:val="-23"/>
        </w:rPr>
        <w:t xml:space="preserve"> </w:t>
      </w:r>
      <w:r>
        <w:rPr>
          <w:color w:val="231F20"/>
        </w:rPr>
        <w:t>zones</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State</w:t>
      </w:r>
      <w:r>
        <w:rPr>
          <w:color w:val="231F20"/>
          <w:spacing w:val="-24"/>
        </w:rPr>
        <w:t xml:space="preserve"> </w:t>
      </w:r>
      <w:r>
        <w:rPr>
          <w:color w:val="231F20"/>
        </w:rPr>
        <w:t>that are WHO</w:t>
      </w:r>
      <w:r>
        <w:rPr>
          <w:color w:val="231F20"/>
          <w:spacing w:val="-50"/>
        </w:rPr>
        <w:t xml:space="preserve"> </w:t>
      </w:r>
      <w:r>
        <w:rPr>
          <w:color w:val="231F20"/>
        </w:rPr>
        <w:t>certified.</w:t>
      </w:r>
    </w:p>
    <w:p w14:paraId="1B36EE7A" w14:textId="77777777" w:rsidR="009948F1" w:rsidRDefault="009948F1">
      <w:pPr>
        <w:pStyle w:val="BodyText"/>
        <w:spacing w:before="8"/>
        <w:rPr>
          <w:sz w:val="24"/>
        </w:rPr>
      </w:pPr>
    </w:p>
    <w:p w14:paraId="2567916B" w14:textId="77777777" w:rsidR="009948F1" w:rsidRDefault="00BC0563">
      <w:pPr>
        <w:pStyle w:val="Heading7"/>
        <w:spacing w:line="295" w:lineRule="auto"/>
        <w:ind w:left="144" w:right="1698"/>
      </w:pPr>
      <w:r>
        <w:rPr>
          <w:color w:val="231F20"/>
        </w:rPr>
        <w:t>Priority</w:t>
      </w:r>
      <w:r>
        <w:rPr>
          <w:color w:val="231F20"/>
          <w:spacing w:val="-37"/>
        </w:rPr>
        <w:t xml:space="preserve"> </w:t>
      </w:r>
      <w:r>
        <w:rPr>
          <w:color w:val="231F20"/>
        </w:rPr>
        <w:t>Area</w:t>
      </w:r>
      <w:r>
        <w:rPr>
          <w:color w:val="231F20"/>
          <w:spacing w:val="-29"/>
        </w:rPr>
        <w:t xml:space="preserve"> </w:t>
      </w:r>
      <w:r>
        <w:rPr>
          <w:color w:val="231F20"/>
          <w:spacing w:val="-5"/>
        </w:rPr>
        <w:t>11:</w:t>
      </w:r>
      <w:r>
        <w:rPr>
          <w:color w:val="231F20"/>
          <w:spacing w:val="-30"/>
        </w:rPr>
        <w:t xml:space="preserve"> </w:t>
      </w:r>
      <w:r>
        <w:rPr>
          <w:color w:val="231F20"/>
        </w:rPr>
        <w:t>Medicines,</w:t>
      </w:r>
      <w:r>
        <w:rPr>
          <w:color w:val="231F20"/>
          <w:spacing w:val="-29"/>
        </w:rPr>
        <w:t xml:space="preserve"> </w:t>
      </w:r>
      <w:r>
        <w:rPr>
          <w:color w:val="231F20"/>
        </w:rPr>
        <w:t>Vaccines,</w:t>
      </w:r>
      <w:r>
        <w:rPr>
          <w:color w:val="231F20"/>
          <w:spacing w:val="-30"/>
        </w:rPr>
        <w:t xml:space="preserve"> </w:t>
      </w:r>
      <w:r>
        <w:rPr>
          <w:color w:val="231F20"/>
        </w:rPr>
        <w:t>Health</w:t>
      </w:r>
      <w:r>
        <w:rPr>
          <w:color w:val="231F20"/>
          <w:spacing w:val="-29"/>
        </w:rPr>
        <w:t xml:space="preserve"> </w:t>
      </w:r>
      <w:r>
        <w:rPr>
          <w:color w:val="231F20"/>
        </w:rPr>
        <w:t>Technologies</w:t>
      </w:r>
      <w:r>
        <w:rPr>
          <w:color w:val="231F20"/>
          <w:spacing w:val="-30"/>
        </w:rPr>
        <w:t xml:space="preserve"> </w:t>
      </w:r>
      <w:r>
        <w:rPr>
          <w:color w:val="231F20"/>
        </w:rPr>
        <w:t>and</w:t>
      </w:r>
      <w:r>
        <w:rPr>
          <w:color w:val="231F20"/>
          <w:spacing w:val="-29"/>
        </w:rPr>
        <w:t xml:space="preserve"> </w:t>
      </w:r>
      <w:r>
        <w:rPr>
          <w:color w:val="231F20"/>
        </w:rPr>
        <w:t>Supplies Context</w:t>
      </w:r>
    </w:p>
    <w:p w14:paraId="11427A35" w14:textId="77777777" w:rsidR="009948F1" w:rsidRDefault="00BC0563">
      <w:pPr>
        <w:pStyle w:val="BodyText"/>
        <w:spacing w:line="295" w:lineRule="auto"/>
        <w:ind w:left="144" w:right="170"/>
      </w:pPr>
      <w:r>
        <w:rPr>
          <w:color w:val="231F20"/>
        </w:rPr>
        <w:t>Access</w:t>
      </w:r>
      <w:r>
        <w:rPr>
          <w:color w:val="231F20"/>
          <w:spacing w:val="-24"/>
        </w:rPr>
        <w:t xml:space="preserve"> </w:t>
      </w:r>
      <w:r>
        <w:rPr>
          <w:color w:val="231F20"/>
        </w:rPr>
        <w:t>to</w:t>
      </w:r>
      <w:r>
        <w:rPr>
          <w:color w:val="231F20"/>
          <w:spacing w:val="-23"/>
        </w:rPr>
        <w:t xml:space="preserve"> </w:t>
      </w:r>
      <w:r>
        <w:rPr>
          <w:color w:val="231F20"/>
        </w:rPr>
        <w:t>essential</w:t>
      </w:r>
      <w:r>
        <w:rPr>
          <w:color w:val="231F20"/>
          <w:spacing w:val="-23"/>
        </w:rPr>
        <w:t xml:space="preserve"> </w:t>
      </w:r>
      <w:r>
        <w:rPr>
          <w:color w:val="231F20"/>
        </w:rPr>
        <w:t>medicines</w:t>
      </w:r>
      <w:r>
        <w:rPr>
          <w:color w:val="231F20"/>
          <w:spacing w:val="-23"/>
        </w:rPr>
        <w:t xml:space="preserve"> </w:t>
      </w:r>
      <w:r>
        <w:rPr>
          <w:color w:val="231F20"/>
        </w:rPr>
        <w:t>is</w:t>
      </w:r>
      <w:r>
        <w:rPr>
          <w:color w:val="231F20"/>
          <w:spacing w:val="-23"/>
        </w:rPr>
        <w:t xml:space="preserve"> </w:t>
      </w:r>
      <w:r>
        <w:rPr>
          <w:color w:val="231F20"/>
        </w:rPr>
        <w:t>critical</w:t>
      </w:r>
      <w:r>
        <w:rPr>
          <w:color w:val="231F20"/>
          <w:spacing w:val="-23"/>
        </w:rPr>
        <w:t xml:space="preserve"> </w:t>
      </w:r>
      <w:r>
        <w:rPr>
          <w:color w:val="231F20"/>
        </w:rPr>
        <w:t>to</w:t>
      </w:r>
      <w:r>
        <w:rPr>
          <w:color w:val="231F20"/>
          <w:spacing w:val="-23"/>
        </w:rPr>
        <w:t xml:space="preserve"> </w:t>
      </w:r>
      <w:r>
        <w:rPr>
          <w:color w:val="231F20"/>
        </w:rPr>
        <w:t>achieving</w:t>
      </w:r>
      <w:r>
        <w:rPr>
          <w:color w:val="231F20"/>
          <w:spacing w:val="-23"/>
        </w:rPr>
        <w:t xml:space="preserve"> </w:t>
      </w:r>
      <w:r>
        <w:rPr>
          <w:color w:val="231F20"/>
        </w:rPr>
        <w:t>universal</w:t>
      </w:r>
      <w:r>
        <w:rPr>
          <w:color w:val="231F20"/>
          <w:spacing w:val="-23"/>
        </w:rPr>
        <w:t xml:space="preserve"> </w:t>
      </w:r>
      <w:r>
        <w:rPr>
          <w:color w:val="231F20"/>
        </w:rPr>
        <w:t>health</w:t>
      </w:r>
      <w:r>
        <w:rPr>
          <w:color w:val="231F20"/>
          <w:spacing w:val="-23"/>
        </w:rPr>
        <w:t xml:space="preserve"> </w:t>
      </w:r>
      <w:r>
        <w:rPr>
          <w:color w:val="231F20"/>
        </w:rPr>
        <w:t>coverage.</w:t>
      </w:r>
      <w:r>
        <w:rPr>
          <w:color w:val="231F20"/>
          <w:spacing w:val="-23"/>
        </w:rPr>
        <w:t xml:space="preserve"> </w:t>
      </w:r>
      <w:r>
        <w:rPr>
          <w:color w:val="231F20"/>
        </w:rPr>
        <w:t>It</w:t>
      </w:r>
      <w:r>
        <w:rPr>
          <w:color w:val="231F20"/>
          <w:spacing w:val="-23"/>
        </w:rPr>
        <w:t xml:space="preserve"> </w:t>
      </w:r>
      <w:r>
        <w:rPr>
          <w:color w:val="231F20"/>
        </w:rPr>
        <w:t>is</w:t>
      </w:r>
      <w:r>
        <w:rPr>
          <w:color w:val="231F20"/>
          <w:spacing w:val="-24"/>
        </w:rPr>
        <w:t xml:space="preserve"> </w:t>
      </w:r>
      <w:r>
        <w:rPr>
          <w:color w:val="231F20"/>
        </w:rPr>
        <w:t>one</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WHO key</w:t>
      </w:r>
      <w:r>
        <w:rPr>
          <w:color w:val="231F20"/>
          <w:spacing w:val="-25"/>
        </w:rPr>
        <w:t xml:space="preserve"> </w:t>
      </w:r>
      <w:r>
        <w:rPr>
          <w:color w:val="231F20"/>
        </w:rPr>
        <w:t>building</w:t>
      </w:r>
      <w:r>
        <w:rPr>
          <w:color w:val="231F20"/>
          <w:spacing w:val="-25"/>
        </w:rPr>
        <w:t xml:space="preserve"> </w:t>
      </w:r>
      <w:r>
        <w:rPr>
          <w:color w:val="231F20"/>
        </w:rPr>
        <w:t>blocks</w:t>
      </w:r>
      <w:r>
        <w:rPr>
          <w:color w:val="231F20"/>
          <w:spacing w:val="-26"/>
        </w:rPr>
        <w:t xml:space="preserve"> </w:t>
      </w:r>
      <w:r>
        <w:rPr>
          <w:color w:val="231F20"/>
        </w:rPr>
        <w:t>of</w:t>
      </w:r>
      <w:r>
        <w:rPr>
          <w:color w:val="231F20"/>
          <w:spacing w:val="-25"/>
        </w:rPr>
        <w:t xml:space="preserve"> </w:t>
      </w:r>
      <w:r>
        <w:rPr>
          <w:color w:val="231F20"/>
        </w:rPr>
        <w:t>a</w:t>
      </w:r>
      <w:r>
        <w:rPr>
          <w:color w:val="231F20"/>
          <w:spacing w:val="-25"/>
        </w:rPr>
        <w:t xml:space="preserve"> </w:t>
      </w:r>
      <w:r>
        <w:rPr>
          <w:color w:val="231F20"/>
        </w:rPr>
        <w:t>strong</w:t>
      </w:r>
      <w:r>
        <w:rPr>
          <w:color w:val="231F20"/>
          <w:spacing w:val="-25"/>
        </w:rPr>
        <w:t xml:space="preserve"> </w:t>
      </w:r>
      <w:r>
        <w:rPr>
          <w:color w:val="231F20"/>
        </w:rPr>
        <w:t>health</w:t>
      </w:r>
      <w:r>
        <w:rPr>
          <w:color w:val="231F20"/>
          <w:spacing w:val="-25"/>
        </w:rPr>
        <w:t xml:space="preserve"> </w:t>
      </w:r>
      <w:r>
        <w:rPr>
          <w:color w:val="231F20"/>
        </w:rPr>
        <w:t>system.</w:t>
      </w:r>
    </w:p>
    <w:p w14:paraId="3E570FE8" w14:textId="77777777" w:rsidR="009948F1" w:rsidRDefault="009948F1">
      <w:pPr>
        <w:spacing w:line="295" w:lineRule="auto"/>
        <w:sectPr w:rsidR="009948F1">
          <w:pgSz w:w="11910" w:h="16840"/>
          <w:pgMar w:top="1260" w:right="1080" w:bottom="1420" w:left="1120" w:header="0" w:footer="1235" w:gutter="0"/>
          <w:cols w:space="720"/>
        </w:sectPr>
      </w:pPr>
    </w:p>
    <w:p w14:paraId="2D0A0A27" w14:textId="77777777" w:rsidR="009948F1" w:rsidRDefault="00BC0563">
      <w:pPr>
        <w:pStyle w:val="BodyText"/>
        <w:spacing w:before="42" w:line="268" w:lineRule="auto"/>
        <w:ind w:left="145" w:right="214" w:firstLine="36"/>
        <w:jc w:val="both"/>
      </w:pPr>
      <w:bookmarkStart w:id="96" w:name="Page_82"/>
      <w:bookmarkEnd w:id="96"/>
      <w:r>
        <w:rPr>
          <w:color w:val="231F20"/>
        </w:rPr>
        <w:lastRenderedPageBreak/>
        <w:t>The</w:t>
      </w:r>
      <w:r>
        <w:rPr>
          <w:color w:val="231F20"/>
          <w:spacing w:val="-23"/>
        </w:rPr>
        <w:t xml:space="preserve"> </w:t>
      </w:r>
      <w:r>
        <w:rPr>
          <w:color w:val="231F20"/>
        </w:rPr>
        <w:t>primary</w:t>
      </w:r>
      <w:r>
        <w:rPr>
          <w:color w:val="231F20"/>
          <w:spacing w:val="-22"/>
        </w:rPr>
        <w:t xml:space="preserve"> </w:t>
      </w:r>
      <w:r>
        <w:rPr>
          <w:color w:val="231F20"/>
        </w:rPr>
        <w:t>goal</w:t>
      </w:r>
      <w:r>
        <w:rPr>
          <w:color w:val="231F20"/>
          <w:spacing w:val="-22"/>
        </w:rPr>
        <w:t xml:space="preserve"> </w:t>
      </w:r>
      <w:r>
        <w:rPr>
          <w:color w:val="231F20"/>
        </w:rPr>
        <w:t>is</w:t>
      </w:r>
      <w:r>
        <w:rPr>
          <w:color w:val="231F20"/>
          <w:spacing w:val="-22"/>
        </w:rPr>
        <w:t xml:space="preserve"> </w:t>
      </w:r>
      <w:r>
        <w:rPr>
          <w:color w:val="231F20"/>
        </w:rPr>
        <w:t>to</w:t>
      </w:r>
      <w:r>
        <w:rPr>
          <w:color w:val="231F20"/>
          <w:spacing w:val="-22"/>
        </w:rPr>
        <w:t xml:space="preserve"> </w:t>
      </w:r>
      <w:r>
        <w:rPr>
          <w:color w:val="231F20"/>
        </w:rPr>
        <w:t>ensure</w:t>
      </w:r>
      <w:r>
        <w:rPr>
          <w:color w:val="231F20"/>
          <w:spacing w:val="-23"/>
        </w:rPr>
        <w:t xml:space="preserve"> </w:t>
      </w:r>
      <w:r>
        <w:rPr>
          <w:color w:val="231F20"/>
        </w:rPr>
        <w:t>commodity</w:t>
      </w:r>
      <w:r>
        <w:rPr>
          <w:color w:val="231F20"/>
          <w:spacing w:val="-22"/>
        </w:rPr>
        <w:t xml:space="preserve"> </w:t>
      </w:r>
      <w:r>
        <w:rPr>
          <w:color w:val="231F20"/>
        </w:rPr>
        <w:t>security.</w:t>
      </w:r>
      <w:r>
        <w:rPr>
          <w:color w:val="231F20"/>
          <w:spacing w:val="-26"/>
        </w:rPr>
        <w:t xml:space="preserve"> </w:t>
      </w:r>
      <w:r>
        <w:rPr>
          <w:color w:val="231F20"/>
        </w:rPr>
        <w:t>This</w:t>
      </w:r>
      <w:r>
        <w:rPr>
          <w:color w:val="231F20"/>
          <w:spacing w:val="-22"/>
        </w:rPr>
        <w:t xml:space="preserve"> </w:t>
      </w:r>
      <w:r>
        <w:rPr>
          <w:color w:val="231F20"/>
        </w:rPr>
        <w:t>is</w:t>
      </w:r>
      <w:r>
        <w:rPr>
          <w:color w:val="231F20"/>
          <w:spacing w:val="-22"/>
        </w:rPr>
        <w:t xml:space="preserve"> </w:t>
      </w:r>
      <w:r>
        <w:rPr>
          <w:color w:val="231F20"/>
        </w:rPr>
        <w:t>a</w:t>
      </w:r>
      <w:r>
        <w:rPr>
          <w:color w:val="231F20"/>
          <w:spacing w:val="-22"/>
        </w:rPr>
        <w:t xml:space="preserve"> </w:t>
      </w:r>
      <w:r>
        <w:rPr>
          <w:color w:val="231F20"/>
        </w:rPr>
        <w:t>situation</w:t>
      </w:r>
      <w:r>
        <w:rPr>
          <w:color w:val="231F20"/>
          <w:spacing w:val="-23"/>
        </w:rPr>
        <w:t xml:space="preserve"> </w:t>
      </w:r>
      <w:r>
        <w:rPr>
          <w:color w:val="231F20"/>
        </w:rPr>
        <w:t>where</w:t>
      </w:r>
      <w:r>
        <w:rPr>
          <w:color w:val="231F20"/>
          <w:spacing w:val="-22"/>
        </w:rPr>
        <w:t xml:space="preserve"> </w:t>
      </w:r>
      <w:r>
        <w:rPr>
          <w:color w:val="231F20"/>
        </w:rPr>
        <w:t>essential</w:t>
      </w:r>
      <w:r>
        <w:rPr>
          <w:color w:val="231F20"/>
          <w:spacing w:val="-22"/>
        </w:rPr>
        <w:t xml:space="preserve"> </w:t>
      </w:r>
      <w:r>
        <w:rPr>
          <w:color w:val="231F20"/>
        </w:rPr>
        <w:t>medicines</w:t>
      </w:r>
      <w:r>
        <w:rPr>
          <w:color w:val="231F20"/>
          <w:spacing w:val="-22"/>
        </w:rPr>
        <w:t xml:space="preserve"> </w:t>
      </w:r>
      <w:r>
        <w:rPr>
          <w:color w:val="231F20"/>
        </w:rPr>
        <w:t>are available, affordable, and people are able to choose, obtain and use high quality medicines and medical supplies, as at when needed. The supply chain activities include; product selection, quantification,</w:t>
      </w:r>
      <w:r>
        <w:rPr>
          <w:color w:val="231F20"/>
          <w:spacing w:val="-20"/>
        </w:rPr>
        <w:t xml:space="preserve"> </w:t>
      </w:r>
      <w:r>
        <w:rPr>
          <w:color w:val="231F20"/>
        </w:rPr>
        <w:t>procurement,</w:t>
      </w:r>
      <w:r>
        <w:rPr>
          <w:color w:val="231F20"/>
          <w:spacing w:val="-19"/>
        </w:rPr>
        <w:t xml:space="preserve"> </w:t>
      </w:r>
      <w:r>
        <w:rPr>
          <w:color w:val="231F20"/>
        </w:rPr>
        <w:t>warehousing,</w:t>
      </w:r>
      <w:r>
        <w:rPr>
          <w:color w:val="231F20"/>
          <w:spacing w:val="-20"/>
        </w:rPr>
        <w:t xml:space="preserve"> </w:t>
      </w:r>
      <w:r>
        <w:rPr>
          <w:color w:val="231F20"/>
        </w:rPr>
        <w:t>transportation,</w:t>
      </w:r>
      <w:r>
        <w:rPr>
          <w:color w:val="231F20"/>
          <w:spacing w:val="-19"/>
        </w:rPr>
        <w:t xml:space="preserve"> </w:t>
      </w:r>
      <w:r>
        <w:rPr>
          <w:color w:val="231F20"/>
        </w:rPr>
        <w:t>storage</w:t>
      </w:r>
      <w:r>
        <w:rPr>
          <w:color w:val="231F20"/>
          <w:spacing w:val="-20"/>
        </w:rPr>
        <w:t xml:space="preserve"> </w:t>
      </w:r>
      <w:r>
        <w:rPr>
          <w:color w:val="231F20"/>
        </w:rPr>
        <w:t>and</w:t>
      </w:r>
      <w:r>
        <w:rPr>
          <w:color w:val="231F20"/>
          <w:spacing w:val="-19"/>
        </w:rPr>
        <w:t xml:space="preserve"> </w:t>
      </w:r>
      <w:r>
        <w:rPr>
          <w:color w:val="231F20"/>
        </w:rPr>
        <w:t>rational</w:t>
      </w:r>
      <w:r>
        <w:rPr>
          <w:color w:val="231F20"/>
          <w:spacing w:val="-20"/>
        </w:rPr>
        <w:t xml:space="preserve"> </w:t>
      </w:r>
      <w:r>
        <w:rPr>
          <w:color w:val="231F20"/>
        </w:rPr>
        <w:t>use,</w:t>
      </w:r>
      <w:r>
        <w:rPr>
          <w:color w:val="231F20"/>
          <w:spacing w:val="-19"/>
        </w:rPr>
        <w:t xml:space="preserve"> </w:t>
      </w:r>
      <w:r>
        <w:rPr>
          <w:color w:val="231F20"/>
        </w:rPr>
        <w:t>among</w:t>
      </w:r>
      <w:r>
        <w:rPr>
          <w:color w:val="231F20"/>
          <w:spacing w:val="-20"/>
        </w:rPr>
        <w:t xml:space="preserve"> </w:t>
      </w:r>
      <w:r>
        <w:rPr>
          <w:color w:val="231F20"/>
        </w:rPr>
        <w:t xml:space="preserve">others. Supply chain management of commodity-related tasks is a crosscutting issue that requires </w:t>
      </w:r>
      <w:r>
        <w:rPr>
          <w:color w:val="231F20"/>
          <w:spacing w:val="-3"/>
        </w:rPr>
        <w:t xml:space="preserve">inter- </w:t>
      </w:r>
      <w:r>
        <w:rPr>
          <w:color w:val="231F20"/>
        </w:rPr>
        <w:t>sectoral</w:t>
      </w:r>
      <w:r>
        <w:rPr>
          <w:color w:val="231F20"/>
          <w:spacing w:val="-10"/>
        </w:rPr>
        <w:t xml:space="preserve"> </w:t>
      </w:r>
      <w:r>
        <w:rPr>
          <w:color w:val="231F20"/>
        </w:rPr>
        <w:t>and</w:t>
      </w:r>
      <w:r>
        <w:rPr>
          <w:color w:val="231F20"/>
          <w:spacing w:val="-10"/>
        </w:rPr>
        <w:t xml:space="preserve"> </w:t>
      </w:r>
      <w:r>
        <w:rPr>
          <w:color w:val="231F20"/>
        </w:rPr>
        <w:t>inter-governmental</w:t>
      </w:r>
      <w:r>
        <w:rPr>
          <w:color w:val="231F20"/>
          <w:spacing w:val="-9"/>
        </w:rPr>
        <w:t xml:space="preserve"> </w:t>
      </w:r>
      <w:r>
        <w:rPr>
          <w:color w:val="231F20"/>
        </w:rPr>
        <w:t>collaboration</w:t>
      </w:r>
      <w:r>
        <w:rPr>
          <w:color w:val="231F20"/>
          <w:spacing w:val="-10"/>
        </w:rPr>
        <w:t xml:space="preserve"> </w:t>
      </w:r>
      <w:r>
        <w:rPr>
          <w:color w:val="231F20"/>
        </w:rPr>
        <w:t>to</w:t>
      </w:r>
      <w:r>
        <w:rPr>
          <w:color w:val="231F20"/>
          <w:spacing w:val="-10"/>
        </w:rPr>
        <w:t xml:space="preserve"> </w:t>
      </w:r>
      <w:r>
        <w:rPr>
          <w:color w:val="231F20"/>
        </w:rPr>
        <w:t>ensure</w:t>
      </w:r>
      <w:r>
        <w:rPr>
          <w:color w:val="231F20"/>
          <w:spacing w:val="-9"/>
        </w:rPr>
        <w:t xml:space="preserve"> </w:t>
      </w:r>
      <w:r>
        <w:rPr>
          <w:color w:val="231F20"/>
        </w:rPr>
        <w:t>that</w:t>
      </w:r>
      <w:r>
        <w:rPr>
          <w:color w:val="231F20"/>
          <w:spacing w:val="-10"/>
        </w:rPr>
        <w:t xml:space="preserve"> </w:t>
      </w:r>
      <w:r>
        <w:rPr>
          <w:color w:val="231F20"/>
        </w:rPr>
        <w:t>commodities</w:t>
      </w:r>
      <w:r>
        <w:rPr>
          <w:color w:val="231F20"/>
          <w:spacing w:val="-9"/>
        </w:rPr>
        <w:t xml:space="preserve"> </w:t>
      </w:r>
      <w:r>
        <w:rPr>
          <w:color w:val="231F20"/>
        </w:rPr>
        <w:t>are</w:t>
      </w:r>
      <w:r>
        <w:rPr>
          <w:color w:val="231F20"/>
          <w:spacing w:val="-10"/>
        </w:rPr>
        <w:t xml:space="preserve"> </w:t>
      </w:r>
      <w:r>
        <w:rPr>
          <w:color w:val="231F20"/>
        </w:rPr>
        <w:t>available</w:t>
      </w:r>
      <w:r>
        <w:rPr>
          <w:color w:val="231F20"/>
          <w:spacing w:val="-10"/>
        </w:rPr>
        <w:t xml:space="preserve"> </w:t>
      </w:r>
      <w:r>
        <w:rPr>
          <w:color w:val="231F20"/>
        </w:rPr>
        <w:t>to</w:t>
      </w:r>
      <w:r>
        <w:rPr>
          <w:color w:val="231F20"/>
          <w:spacing w:val="-9"/>
        </w:rPr>
        <w:t xml:space="preserve"> </w:t>
      </w:r>
      <w:r>
        <w:rPr>
          <w:color w:val="231F20"/>
          <w:spacing w:val="-3"/>
        </w:rPr>
        <w:t xml:space="preserve">support </w:t>
      </w:r>
      <w:r>
        <w:rPr>
          <w:color w:val="231F20"/>
        </w:rPr>
        <w:t>the</w:t>
      </w:r>
      <w:r>
        <w:rPr>
          <w:color w:val="231F20"/>
          <w:spacing w:val="-21"/>
        </w:rPr>
        <w:t xml:space="preserve"> </w:t>
      </w:r>
      <w:r>
        <w:rPr>
          <w:color w:val="231F20"/>
        </w:rPr>
        <w:t>health</w:t>
      </w:r>
      <w:r>
        <w:rPr>
          <w:color w:val="231F20"/>
          <w:spacing w:val="-20"/>
        </w:rPr>
        <w:t xml:space="preserve"> </w:t>
      </w:r>
      <w:r>
        <w:rPr>
          <w:color w:val="231F20"/>
        </w:rPr>
        <w:t>sector</w:t>
      </w:r>
      <w:r>
        <w:rPr>
          <w:color w:val="231F20"/>
          <w:spacing w:val="-20"/>
        </w:rPr>
        <w:t xml:space="preserve"> </w:t>
      </w:r>
      <w:r>
        <w:rPr>
          <w:color w:val="231F20"/>
        </w:rPr>
        <w:t>goal</w:t>
      </w:r>
      <w:r>
        <w:rPr>
          <w:color w:val="231F20"/>
          <w:spacing w:val="-20"/>
        </w:rPr>
        <w:t xml:space="preserve"> </w:t>
      </w:r>
      <w:r>
        <w:rPr>
          <w:color w:val="231F20"/>
        </w:rPr>
        <w:t>and</w:t>
      </w:r>
      <w:r>
        <w:rPr>
          <w:color w:val="231F20"/>
          <w:spacing w:val="-20"/>
        </w:rPr>
        <w:t xml:space="preserve"> </w:t>
      </w:r>
      <w:r>
        <w:rPr>
          <w:color w:val="231F20"/>
        </w:rPr>
        <w:t>objectives.</w:t>
      </w:r>
      <w:r>
        <w:rPr>
          <w:color w:val="231F20"/>
          <w:spacing w:val="-24"/>
        </w:rPr>
        <w:t xml:space="preserve"> </w:t>
      </w:r>
      <w:r>
        <w:rPr>
          <w:color w:val="231F20"/>
        </w:rPr>
        <w:t>The</w:t>
      </w:r>
      <w:r>
        <w:rPr>
          <w:color w:val="231F20"/>
          <w:spacing w:val="-20"/>
        </w:rPr>
        <w:t xml:space="preserve"> </w:t>
      </w:r>
      <w:r>
        <w:rPr>
          <w:color w:val="231F20"/>
        </w:rPr>
        <w:t>Nigerian</w:t>
      </w:r>
      <w:r>
        <w:rPr>
          <w:color w:val="231F20"/>
          <w:spacing w:val="-20"/>
        </w:rPr>
        <w:t xml:space="preserve"> </w:t>
      </w:r>
      <w:r>
        <w:rPr>
          <w:color w:val="231F20"/>
        </w:rPr>
        <w:t>government</w:t>
      </w:r>
      <w:r>
        <w:rPr>
          <w:color w:val="231F20"/>
          <w:spacing w:val="-20"/>
        </w:rPr>
        <w:t xml:space="preserve"> </w:t>
      </w:r>
      <w:r>
        <w:rPr>
          <w:color w:val="231F20"/>
        </w:rPr>
        <w:t>is</w:t>
      </w:r>
      <w:r>
        <w:rPr>
          <w:color w:val="231F20"/>
          <w:spacing w:val="-21"/>
        </w:rPr>
        <w:t xml:space="preserve"> </w:t>
      </w:r>
      <w:r>
        <w:rPr>
          <w:color w:val="231F20"/>
        </w:rPr>
        <w:t>aware</w:t>
      </w:r>
      <w:r>
        <w:rPr>
          <w:color w:val="231F20"/>
          <w:spacing w:val="-20"/>
        </w:rPr>
        <w:t xml:space="preserve"> </w:t>
      </w:r>
      <w:r>
        <w:rPr>
          <w:color w:val="231F20"/>
        </w:rPr>
        <w:t>that</w:t>
      </w:r>
      <w:r>
        <w:rPr>
          <w:color w:val="231F20"/>
          <w:spacing w:val="-20"/>
        </w:rPr>
        <w:t xml:space="preserve"> </w:t>
      </w:r>
      <w:r>
        <w:rPr>
          <w:color w:val="231F20"/>
        </w:rPr>
        <w:t>optimal</w:t>
      </w:r>
      <w:r>
        <w:rPr>
          <w:color w:val="231F20"/>
          <w:spacing w:val="-20"/>
        </w:rPr>
        <w:t xml:space="preserve"> </w:t>
      </w:r>
      <w:r>
        <w:rPr>
          <w:color w:val="231F20"/>
        </w:rPr>
        <w:t xml:space="preserve">management of Nigeria's essential drugs and commodities supply chain, requires the development of </w:t>
      </w:r>
      <w:r>
        <w:rPr>
          <w:color w:val="231F20"/>
          <w:spacing w:val="-6"/>
        </w:rPr>
        <w:t xml:space="preserve">an </w:t>
      </w:r>
      <w:r>
        <w:rPr>
          <w:color w:val="231F20"/>
        </w:rPr>
        <w:t xml:space="preserve">effective information system for facilitation and coordination of these interrelated functions at </w:t>
      </w:r>
      <w:r>
        <w:rPr>
          <w:color w:val="231F20"/>
          <w:spacing w:val="-6"/>
        </w:rPr>
        <w:t xml:space="preserve">the </w:t>
      </w:r>
      <w:r>
        <w:rPr>
          <w:color w:val="231F20"/>
        </w:rPr>
        <w:t>three</w:t>
      </w:r>
      <w:r>
        <w:rPr>
          <w:color w:val="231F20"/>
          <w:spacing w:val="-26"/>
        </w:rPr>
        <w:t xml:space="preserve"> </w:t>
      </w:r>
      <w:r>
        <w:rPr>
          <w:color w:val="231F20"/>
        </w:rPr>
        <w:t>tiers</w:t>
      </w:r>
      <w:r>
        <w:rPr>
          <w:color w:val="231F20"/>
          <w:spacing w:val="-25"/>
        </w:rPr>
        <w:t xml:space="preserve"> </w:t>
      </w:r>
      <w:r>
        <w:rPr>
          <w:color w:val="231F20"/>
        </w:rPr>
        <w:t>of</w:t>
      </w:r>
      <w:r>
        <w:rPr>
          <w:color w:val="231F20"/>
          <w:spacing w:val="-25"/>
        </w:rPr>
        <w:t xml:space="preserve"> </w:t>
      </w:r>
      <w:r>
        <w:rPr>
          <w:color w:val="231F20"/>
        </w:rPr>
        <w:t>government</w:t>
      </w:r>
      <w:r>
        <w:rPr>
          <w:color w:val="231F20"/>
          <w:spacing w:val="-25"/>
        </w:rPr>
        <w:t xml:space="preserve"> </w:t>
      </w:r>
      <w:r>
        <w:rPr>
          <w:color w:val="231F20"/>
        </w:rPr>
        <w:t>as</w:t>
      </w:r>
      <w:r>
        <w:rPr>
          <w:color w:val="231F20"/>
          <w:spacing w:val="-25"/>
        </w:rPr>
        <w:t xml:space="preserve"> </w:t>
      </w:r>
      <w:r>
        <w:rPr>
          <w:color w:val="231F20"/>
        </w:rPr>
        <w:t>well</w:t>
      </w:r>
      <w:r>
        <w:rPr>
          <w:color w:val="231F20"/>
          <w:spacing w:val="-25"/>
        </w:rPr>
        <w:t xml:space="preserve"> </w:t>
      </w:r>
      <w:r>
        <w:rPr>
          <w:color w:val="231F20"/>
        </w:rPr>
        <w:t>as,</w:t>
      </w:r>
      <w:r>
        <w:rPr>
          <w:color w:val="231F20"/>
          <w:spacing w:val="-25"/>
        </w:rPr>
        <w:t xml:space="preserve"> </w:t>
      </w:r>
      <w:r>
        <w:rPr>
          <w:color w:val="231F20"/>
        </w:rPr>
        <w:t>efficient</w:t>
      </w:r>
      <w:r>
        <w:rPr>
          <w:color w:val="231F20"/>
          <w:spacing w:val="-25"/>
        </w:rPr>
        <w:t xml:space="preserve"> </w:t>
      </w:r>
      <w:r>
        <w:rPr>
          <w:color w:val="231F20"/>
        </w:rPr>
        <w:t>procurement</w:t>
      </w:r>
      <w:r>
        <w:rPr>
          <w:color w:val="231F20"/>
          <w:spacing w:val="-25"/>
        </w:rPr>
        <w:t xml:space="preserve"> </w:t>
      </w:r>
      <w:r>
        <w:rPr>
          <w:color w:val="231F20"/>
        </w:rPr>
        <w:t>procedures</w:t>
      </w:r>
      <w:r>
        <w:rPr>
          <w:color w:val="231F20"/>
          <w:spacing w:val="-25"/>
        </w:rPr>
        <w:t xml:space="preserve"> </w:t>
      </w:r>
      <w:r>
        <w:rPr>
          <w:color w:val="231F20"/>
        </w:rPr>
        <w:t>and</w:t>
      </w:r>
      <w:r>
        <w:rPr>
          <w:color w:val="231F20"/>
          <w:spacing w:val="-26"/>
        </w:rPr>
        <w:t xml:space="preserve"> </w:t>
      </w:r>
      <w:r>
        <w:rPr>
          <w:color w:val="231F20"/>
        </w:rPr>
        <w:t>controls.</w:t>
      </w:r>
    </w:p>
    <w:p w14:paraId="75344FF5" w14:textId="77777777" w:rsidR="009948F1" w:rsidRDefault="009948F1">
      <w:pPr>
        <w:pStyle w:val="BodyText"/>
        <w:spacing w:before="1"/>
        <w:rPr>
          <w:sz w:val="28"/>
        </w:rPr>
      </w:pPr>
    </w:p>
    <w:p w14:paraId="72EC6961" w14:textId="357FCC71" w:rsidR="009948F1" w:rsidRDefault="00BC0563">
      <w:pPr>
        <w:pStyle w:val="BodyText"/>
        <w:spacing w:line="290" w:lineRule="auto"/>
        <w:ind w:left="144" w:right="214"/>
        <w:jc w:val="both"/>
      </w:pPr>
      <w:r>
        <w:rPr>
          <w:color w:val="231F20"/>
          <w:spacing w:val="-13"/>
        </w:rPr>
        <w:t xml:space="preserve">To </w:t>
      </w:r>
      <w:r>
        <w:rPr>
          <w:color w:val="231F20"/>
        </w:rPr>
        <w:t>this effect, the Nigerian government has continued to make concerted effort towards</w:t>
      </w:r>
      <w:r>
        <w:rPr>
          <w:color w:val="231F20"/>
          <w:spacing w:val="-25"/>
        </w:rPr>
        <w:t xml:space="preserve"> </w:t>
      </w:r>
      <w:r>
        <w:rPr>
          <w:color w:val="231F20"/>
        </w:rPr>
        <w:t xml:space="preserve">ensuring availability of essential drugs and commodities in the country through formulation of policies </w:t>
      </w:r>
      <w:r>
        <w:rPr>
          <w:color w:val="231F20"/>
          <w:spacing w:val="-5"/>
        </w:rPr>
        <w:t xml:space="preserve">and </w:t>
      </w:r>
      <w:r>
        <w:rPr>
          <w:color w:val="231F20"/>
        </w:rPr>
        <w:t>issuance</w:t>
      </w:r>
      <w:r>
        <w:rPr>
          <w:color w:val="231F20"/>
          <w:spacing w:val="-23"/>
        </w:rPr>
        <w:t xml:space="preserve"> </w:t>
      </w:r>
      <w:r>
        <w:rPr>
          <w:color w:val="231F20"/>
        </w:rPr>
        <w:t>of</w:t>
      </w:r>
      <w:r>
        <w:rPr>
          <w:color w:val="231F20"/>
          <w:spacing w:val="-23"/>
        </w:rPr>
        <w:t xml:space="preserve"> </w:t>
      </w:r>
      <w:r>
        <w:rPr>
          <w:color w:val="231F20"/>
        </w:rPr>
        <w:t>guidelines.</w:t>
      </w:r>
      <w:r>
        <w:rPr>
          <w:color w:val="231F20"/>
          <w:spacing w:val="27"/>
        </w:rPr>
        <w:t xml:space="preserve"> </w:t>
      </w:r>
      <w:r>
        <w:rPr>
          <w:color w:val="231F20"/>
        </w:rPr>
        <w:t>A</w:t>
      </w:r>
      <w:r>
        <w:rPr>
          <w:color w:val="231F20"/>
          <w:spacing w:val="-36"/>
        </w:rPr>
        <w:t xml:space="preserve"> </w:t>
      </w:r>
      <w:r>
        <w:rPr>
          <w:color w:val="231F20"/>
        </w:rPr>
        <w:t>major</w:t>
      </w:r>
      <w:r>
        <w:rPr>
          <w:color w:val="231F20"/>
          <w:spacing w:val="-23"/>
        </w:rPr>
        <w:t xml:space="preserve"> </w:t>
      </w:r>
      <w:r>
        <w:rPr>
          <w:color w:val="231F20"/>
        </w:rPr>
        <w:t>achievement,</w:t>
      </w:r>
      <w:r>
        <w:rPr>
          <w:color w:val="231F20"/>
          <w:spacing w:val="-23"/>
        </w:rPr>
        <w:t xml:space="preserve"> </w:t>
      </w:r>
      <w:r>
        <w:rPr>
          <w:color w:val="231F20"/>
        </w:rPr>
        <w:t>in</w:t>
      </w:r>
      <w:r>
        <w:rPr>
          <w:color w:val="231F20"/>
          <w:spacing w:val="-23"/>
        </w:rPr>
        <w:t xml:space="preserve"> </w:t>
      </w:r>
      <w:r>
        <w:rPr>
          <w:color w:val="231F20"/>
        </w:rPr>
        <w:t>this</w:t>
      </w:r>
      <w:r>
        <w:rPr>
          <w:color w:val="231F20"/>
          <w:spacing w:val="-23"/>
        </w:rPr>
        <w:t xml:space="preserve"> </w:t>
      </w:r>
      <w:r>
        <w:rPr>
          <w:color w:val="231F20"/>
        </w:rPr>
        <w:t>respect,</w:t>
      </w:r>
      <w:r>
        <w:rPr>
          <w:color w:val="231F20"/>
          <w:spacing w:val="-23"/>
        </w:rPr>
        <w:t xml:space="preserve"> </w:t>
      </w:r>
      <w:r>
        <w:rPr>
          <w:color w:val="231F20"/>
        </w:rPr>
        <w:t>was</w:t>
      </w:r>
      <w:r>
        <w:rPr>
          <w:color w:val="231F20"/>
          <w:spacing w:val="-23"/>
        </w:rPr>
        <w:t xml:space="preserve"> </w:t>
      </w:r>
      <w:r>
        <w:rPr>
          <w:color w:val="231F20"/>
        </w:rPr>
        <w:t>the</w:t>
      </w:r>
      <w:r>
        <w:rPr>
          <w:color w:val="231F20"/>
          <w:spacing w:val="-22"/>
        </w:rPr>
        <w:t xml:space="preserve"> </w:t>
      </w:r>
      <w:r>
        <w:rPr>
          <w:color w:val="231F20"/>
        </w:rPr>
        <w:t>establishment</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National Pharmaceutical</w:t>
      </w:r>
      <w:r>
        <w:rPr>
          <w:color w:val="231F20"/>
          <w:spacing w:val="-25"/>
        </w:rPr>
        <w:t xml:space="preserve"> </w:t>
      </w:r>
      <w:r>
        <w:rPr>
          <w:color w:val="231F20"/>
        </w:rPr>
        <w:t>Research</w:t>
      </w:r>
      <w:r>
        <w:rPr>
          <w:color w:val="231F20"/>
          <w:spacing w:val="-24"/>
        </w:rPr>
        <w:t xml:space="preserve"> </w:t>
      </w:r>
      <w:r>
        <w:rPr>
          <w:color w:val="231F20"/>
        </w:rPr>
        <w:t>Centre,</w:t>
      </w:r>
      <w:r>
        <w:rPr>
          <w:color w:val="231F20"/>
          <w:spacing w:val="-24"/>
        </w:rPr>
        <w:t xml:space="preserve"> </w:t>
      </w:r>
      <w:r>
        <w:rPr>
          <w:color w:val="231F20"/>
        </w:rPr>
        <w:t>with</w:t>
      </w:r>
      <w:r>
        <w:rPr>
          <w:color w:val="231F20"/>
          <w:spacing w:val="-24"/>
        </w:rPr>
        <w:t xml:space="preserve"> </w:t>
      </w:r>
      <w:r>
        <w:rPr>
          <w:color w:val="231F20"/>
        </w:rPr>
        <w:t>the</w:t>
      </w:r>
      <w:r>
        <w:rPr>
          <w:color w:val="231F20"/>
          <w:spacing w:val="-24"/>
        </w:rPr>
        <w:t xml:space="preserve"> </w:t>
      </w:r>
      <w:r>
        <w:rPr>
          <w:color w:val="231F20"/>
        </w:rPr>
        <w:t>mandate</w:t>
      </w:r>
      <w:r>
        <w:rPr>
          <w:color w:val="231F20"/>
          <w:spacing w:val="-24"/>
        </w:rPr>
        <w:t xml:space="preserve"> </w:t>
      </w:r>
      <w:r>
        <w:rPr>
          <w:color w:val="231F20"/>
        </w:rPr>
        <w:t>to</w:t>
      </w:r>
      <w:r>
        <w:rPr>
          <w:color w:val="231F20"/>
          <w:spacing w:val="-24"/>
        </w:rPr>
        <w:t xml:space="preserve"> </w:t>
      </w:r>
      <w:r>
        <w:rPr>
          <w:color w:val="231F20"/>
        </w:rPr>
        <w:t>research</w:t>
      </w:r>
      <w:r>
        <w:rPr>
          <w:color w:val="231F20"/>
          <w:spacing w:val="-24"/>
        </w:rPr>
        <w:t xml:space="preserve"> </w:t>
      </w:r>
      <w:r>
        <w:rPr>
          <w:color w:val="231F20"/>
        </w:rPr>
        <w:t>into</w:t>
      </w:r>
      <w:r>
        <w:rPr>
          <w:color w:val="231F20"/>
          <w:spacing w:val="-24"/>
        </w:rPr>
        <w:t xml:space="preserve"> </w:t>
      </w:r>
      <w:r>
        <w:rPr>
          <w:color w:val="231F20"/>
        </w:rPr>
        <w:t>drugs</w:t>
      </w:r>
      <w:r>
        <w:rPr>
          <w:color w:val="231F20"/>
          <w:spacing w:val="-24"/>
        </w:rPr>
        <w:t xml:space="preserve"> </w:t>
      </w:r>
      <w:r>
        <w:rPr>
          <w:color w:val="231F20"/>
        </w:rPr>
        <w:t>and</w:t>
      </w:r>
      <w:r>
        <w:rPr>
          <w:color w:val="231F20"/>
          <w:spacing w:val="-25"/>
        </w:rPr>
        <w:t xml:space="preserve"> </w:t>
      </w:r>
      <w:r>
        <w:rPr>
          <w:color w:val="231F20"/>
        </w:rPr>
        <w:t>pharmaceuticals.</w:t>
      </w:r>
      <w:r>
        <w:rPr>
          <w:color w:val="231F20"/>
          <w:spacing w:val="-24"/>
        </w:rPr>
        <w:t xml:space="preserve"> </w:t>
      </w:r>
      <w:r>
        <w:rPr>
          <w:color w:val="231F20"/>
        </w:rPr>
        <w:t>In addition,</w:t>
      </w:r>
      <w:r>
        <w:rPr>
          <w:color w:val="231F20"/>
          <w:spacing w:val="-9"/>
        </w:rPr>
        <w:t xml:space="preserve"> </w:t>
      </w:r>
      <w:r>
        <w:rPr>
          <w:color w:val="231F20"/>
        </w:rPr>
        <w:t>local</w:t>
      </w:r>
      <w:r>
        <w:rPr>
          <w:color w:val="231F20"/>
          <w:spacing w:val="-8"/>
        </w:rPr>
        <w:t xml:space="preserve"> </w:t>
      </w:r>
      <w:r>
        <w:rPr>
          <w:color w:val="231F20"/>
        </w:rPr>
        <w:t>manufacturing</w:t>
      </w:r>
      <w:r>
        <w:rPr>
          <w:color w:val="231F20"/>
          <w:spacing w:val="-8"/>
        </w:rPr>
        <w:t xml:space="preserve"> </w:t>
      </w:r>
      <w:r>
        <w:rPr>
          <w:color w:val="231F20"/>
        </w:rPr>
        <w:t>of</w:t>
      </w:r>
      <w:r>
        <w:rPr>
          <w:color w:val="231F20"/>
          <w:spacing w:val="-8"/>
        </w:rPr>
        <w:t xml:space="preserve"> </w:t>
      </w:r>
      <w:r>
        <w:rPr>
          <w:color w:val="231F20"/>
        </w:rPr>
        <w:t>drugs</w:t>
      </w:r>
      <w:r>
        <w:rPr>
          <w:color w:val="231F20"/>
          <w:spacing w:val="-8"/>
        </w:rPr>
        <w:t xml:space="preserve"> </w:t>
      </w:r>
      <w:r>
        <w:rPr>
          <w:color w:val="231F20"/>
        </w:rPr>
        <w:t>is</w:t>
      </w:r>
      <w:r>
        <w:rPr>
          <w:color w:val="231F20"/>
          <w:spacing w:val="-8"/>
        </w:rPr>
        <w:t xml:space="preserve"> </w:t>
      </w:r>
      <w:r>
        <w:rPr>
          <w:color w:val="231F20"/>
        </w:rPr>
        <w:t>being</w:t>
      </w:r>
      <w:r>
        <w:rPr>
          <w:color w:val="231F20"/>
          <w:spacing w:val="-8"/>
        </w:rPr>
        <w:t xml:space="preserve"> </w:t>
      </w:r>
      <w:r>
        <w:rPr>
          <w:color w:val="231F20"/>
        </w:rPr>
        <w:t>promoted</w:t>
      </w:r>
      <w:r>
        <w:rPr>
          <w:color w:val="231F20"/>
          <w:spacing w:val="-8"/>
        </w:rPr>
        <w:t xml:space="preserve"> </w:t>
      </w:r>
      <w:r>
        <w:rPr>
          <w:color w:val="231F20"/>
        </w:rPr>
        <w:t>and</w:t>
      </w:r>
      <w:r>
        <w:rPr>
          <w:color w:val="231F20"/>
          <w:spacing w:val="-8"/>
        </w:rPr>
        <w:t xml:space="preserve"> </w:t>
      </w:r>
      <w:r>
        <w:rPr>
          <w:color w:val="231F20"/>
        </w:rPr>
        <w:t>currently</w:t>
      </w:r>
      <w:r>
        <w:rPr>
          <w:color w:val="231F20"/>
          <w:spacing w:val="-8"/>
        </w:rPr>
        <w:t xml:space="preserve"> </w:t>
      </w:r>
      <w:r>
        <w:rPr>
          <w:color w:val="231F20"/>
        </w:rPr>
        <w:t>four</w:t>
      </w:r>
      <w:r>
        <w:rPr>
          <w:color w:val="231F20"/>
          <w:spacing w:val="-8"/>
        </w:rPr>
        <w:t xml:space="preserve"> </w:t>
      </w:r>
      <w:r>
        <w:rPr>
          <w:color w:val="231F20"/>
        </w:rPr>
        <w:t>out</w:t>
      </w:r>
      <w:r>
        <w:rPr>
          <w:color w:val="231F20"/>
          <w:spacing w:val="-8"/>
        </w:rPr>
        <w:t xml:space="preserve"> </w:t>
      </w:r>
      <w:r>
        <w:rPr>
          <w:color w:val="231F20"/>
        </w:rPr>
        <w:t>of</w:t>
      </w:r>
      <w:r>
        <w:rPr>
          <w:color w:val="231F20"/>
          <w:spacing w:val="-9"/>
        </w:rPr>
        <w:t xml:space="preserve"> </w:t>
      </w:r>
      <w:r>
        <w:rPr>
          <w:color w:val="231F20"/>
        </w:rPr>
        <w:t>eleven</w:t>
      </w:r>
      <w:r>
        <w:rPr>
          <w:color w:val="231F20"/>
          <w:spacing w:val="-8"/>
        </w:rPr>
        <w:t xml:space="preserve"> </w:t>
      </w:r>
      <w:r>
        <w:rPr>
          <w:color w:val="231F20"/>
        </w:rPr>
        <w:t xml:space="preserve">Nigerian Pharmaceutical Companies that applied for have received WHO certification for </w:t>
      </w:r>
      <w:r>
        <w:rPr>
          <w:color w:val="231F20"/>
          <w:spacing w:val="-3"/>
        </w:rPr>
        <w:t>Good</w:t>
      </w:r>
      <w:r>
        <w:rPr>
          <w:color w:val="231F20"/>
          <w:spacing w:val="55"/>
        </w:rPr>
        <w:t xml:space="preserve"> </w:t>
      </w:r>
      <w:r>
        <w:rPr>
          <w:color w:val="231F20"/>
        </w:rPr>
        <w:t xml:space="preserve">Manufacturing Practices (GMP). The National Agency for Food and Drug Administration </w:t>
      </w:r>
      <w:r>
        <w:rPr>
          <w:color w:val="231F20"/>
          <w:spacing w:val="-5"/>
        </w:rPr>
        <w:t xml:space="preserve">and </w:t>
      </w:r>
      <w:r>
        <w:rPr>
          <w:color w:val="231F20"/>
        </w:rPr>
        <w:t>Control</w:t>
      </w:r>
      <w:r>
        <w:rPr>
          <w:color w:val="231F20"/>
          <w:spacing w:val="-13"/>
        </w:rPr>
        <w:t xml:space="preserve"> </w:t>
      </w:r>
      <w:r>
        <w:rPr>
          <w:color w:val="231F20"/>
        </w:rPr>
        <w:t>(NAFDAC)</w:t>
      </w:r>
      <w:r>
        <w:rPr>
          <w:color w:val="231F20"/>
          <w:spacing w:val="-12"/>
        </w:rPr>
        <w:t xml:space="preserve"> </w:t>
      </w:r>
      <w:r>
        <w:rPr>
          <w:color w:val="231F20"/>
        </w:rPr>
        <w:t>has</w:t>
      </w:r>
      <w:r>
        <w:rPr>
          <w:color w:val="231F20"/>
          <w:spacing w:val="-13"/>
        </w:rPr>
        <w:t xml:space="preserve"> </w:t>
      </w:r>
      <w:r>
        <w:rPr>
          <w:color w:val="231F20"/>
        </w:rPr>
        <w:t>provided,</w:t>
      </w:r>
      <w:r>
        <w:rPr>
          <w:color w:val="231F20"/>
          <w:spacing w:val="-12"/>
        </w:rPr>
        <w:t xml:space="preserve"> </w:t>
      </w:r>
      <w:r>
        <w:rPr>
          <w:color w:val="231F20"/>
        </w:rPr>
        <w:t>appropriate</w:t>
      </w:r>
      <w:r>
        <w:rPr>
          <w:color w:val="231F20"/>
          <w:spacing w:val="-13"/>
        </w:rPr>
        <w:t xml:space="preserve"> </w:t>
      </w:r>
      <w:r>
        <w:rPr>
          <w:color w:val="231F20"/>
        </w:rPr>
        <w:t>guidelines</w:t>
      </w:r>
      <w:r>
        <w:rPr>
          <w:color w:val="231F20"/>
          <w:spacing w:val="-12"/>
        </w:rPr>
        <w:t xml:space="preserve"> </w:t>
      </w:r>
      <w:r>
        <w:rPr>
          <w:color w:val="231F20"/>
        </w:rPr>
        <w:t>and</w:t>
      </w:r>
      <w:r>
        <w:rPr>
          <w:color w:val="231F20"/>
          <w:spacing w:val="-13"/>
        </w:rPr>
        <w:t xml:space="preserve"> </w:t>
      </w:r>
      <w:r>
        <w:rPr>
          <w:color w:val="231F20"/>
        </w:rPr>
        <w:t>regulations</w:t>
      </w:r>
      <w:r>
        <w:rPr>
          <w:color w:val="231F20"/>
          <w:spacing w:val="-12"/>
        </w:rPr>
        <w:t xml:space="preserve"> </w:t>
      </w:r>
      <w:r>
        <w:rPr>
          <w:color w:val="231F20"/>
        </w:rPr>
        <w:t>that</w:t>
      </w:r>
      <w:r>
        <w:rPr>
          <w:color w:val="231F20"/>
          <w:spacing w:val="-13"/>
        </w:rPr>
        <w:t xml:space="preserve"> </w:t>
      </w:r>
      <w:r>
        <w:rPr>
          <w:color w:val="231F20"/>
        </w:rPr>
        <w:t>ensured</w:t>
      </w:r>
      <w:r>
        <w:rPr>
          <w:color w:val="231F20"/>
          <w:spacing w:val="-12"/>
        </w:rPr>
        <w:t xml:space="preserve"> </w:t>
      </w:r>
      <w:r>
        <w:rPr>
          <w:color w:val="231F20"/>
        </w:rPr>
        <w:t>compliance with</w:t>
      </w:r>
      <w:r>
        <w:rPr>
          <w:color w:val="231F20"/>
          <w:spacing w:val="-16"/>
        </w:rPr>
        <w:t xml:space="preserve"> </w:t>
      </w:r>
      <w:r>
        <w:rPr>
          <w:color w:val="231F20"/>
        </w:rPr>
        <w:t>Good</w:t>
      </w:r>
      <w:r>
        <w:rPr>
          <w:color w:val="231F20"/>
          <w:spacing w:val="-15"/>
        </w:rPr>
        <w:t xml:space="preserve"> </w:t>
      </w:r>
      <w:r>
        <w:rPr>
          <w:color w:val="231F20"/>
        </w:rPr>
        <w:t>Manufacturing</w:t>
      </w:r>
      <w:r>
        <w:rPr>
          <w:color w:val="231F20"/>
          <w:spacing w:val="-15"/>
        </w:rPr>
        <w:t xml:space="preserve"> </w:t>
      </w:r>
      <w:r>
        <w:rPr>
          <w:color w:val="231F20"/>
        </w:rPr>
        <w:t>Practices;</w:t>
      </w:r>
      <w:r>
        <w:rPr>
          <w:color w:val="231F20"/>
          <w:spacing w:val="-16"/>
        </w:rPr>
        <w:t xml:space="preserve"> </w:t>
      </w:r>
      <w:r>
        <w:rPr>
          <w:color w:val="231F20"/>
        </w:rPr>
        <w:t>and</w:t>
      </w:r>
      <w:r>
        <w:rPr>
          <w:color w:val="231F20"/>
          <w:spacing w:val="56"/>
        </w:rPr>
        <w:t xml:space="preserve"> </w:t>
      </w:r>
      <w:r>
        <w:rPr>
          <w:color w:val="231F20"/>
        </w:rPr>
        <w:t>has</w:t>
      </w:r>
      <w:r>
        <w:rPr>
          <w:color w:val="231F20"/>
          <w:spacing w:val="-16"/>
        </w:rPr>
        <w:t xml:space="preserve"> </w:t>
      </w:r>
      <w:r>
        <w:rPr>
          <w:color w:val="231F20"/>
        </w:rPr>
        <w:t>continued</w:t>
      </w:r>
      <w:r>
        <w:rPr>
          <w:color w:val="231F20"/>
          <w:spacing w:val="-15"/>
        </w:rPr>
        <w:t xml:space="preserve"> </w:t>
      </w:r>
      <w:r>
        <w:rPr>
          <w:color w:val="231F20"/>
        </w:rPr>
        <w:t>to</w:t>
      </w:r>
      <w:r>
        <w:rPr>
          <w:color w:val="231F20"/>
          <w:spacing w:val="-15"/>
        </w:rPr>
        <w:t xml:space="preserve"> </w:t>
      </w:r>
      <w:r>
        <w:rPr>
          <w:color w:val="231F20"/>
        </w:rPr>
        <w:t>make</w:t>
      </w:r>
      <w:r>
        <w:rPr>
          <w:color w:val="231F20"/>
          <w:spacing w:val="-16"/>
        </w:rPr>
        <w:t xml:space="preserve"> </w:t>
      </w:r>
      <w:r>
        <w:rPr>
          <w:color w:val="231F20"/>
        </w:rPr>
        <w:t>efforts</w:t>
      </w:r>
      <w:r>
        <w:rPr>
          <w:color w:val="231F20"/>
          <w:spacing w:val="-15"/>
        </w:rPr>
        <w:t xml:space="preserve"> </w:t>
      </w:r>
      <w:r>
        <w:rPr>
          <w:color w:val="231F20"/>
        </w:rPr>
        <w:t>to</w:t>
      </w:r>
      <w:r>
        <w:rPr>
          <w:color w:val="231F20"/>
          <w:spacing w:val="-15"/>
        </w:rPr>
        <w:t xml:space="preserve"> </w:t>
      </w:r>
      <w:r>
        <w:rPr>
          <w:color w:val="231F20"/>
        </w:rPr>
        <w:t>check</w:t>
      </w:r>
      <w:r>
        <w:rPr>
          <w:color w:val="231F20"/>
          <w:spacing w:val="-16"/>
        </w:rPr>
        <w:t xml:space="preserve"> </w:t>
      </w:r>
      <w:r>
        <w:rPr>
          <w:color w:val="231F20"/>
        </w:rPr>
        <w:t>the</w:t>
      </w:r>
      <w:r>
        <w:rPr>
          <w:color w:val="231F20"/>
          <w:spacing w:val="-15"/>
        </w:rPr>
        <w:t xml:space="preserve"> </w:t>
      </w:r>
      <w:r>
        <w:rPr>
          <w:color w:val="231F20"/>
        </w:rPr>
        <w:t>prevalence</w:t>
      </w:r>
      <w:r>
        <w:rPr>
          <w:color w:val="231F20"/>
          <w:spacing w:val="-15"/>
        </w:rPr>
        <w:t xml:space="preserve"> </w:t>
      </w:r>
      <w:r>
        <w:rPr>
          <w:color w:val="231F20"/>
        </w:rPr>
        <w:t>of fake and substandard medicines, vaccines and products. The Central Medical Stores in Rivers State</w:t>
      </w:r>
      <w:r>
        <w:rPr>
          <w:color w:val="231F20"/>
          <w:spacing w:val="-19"/>
        </w:rPr>
        <w:t xml:space="preserve"> </w:t>
      </w:r>
      <w:r>
        <w:rPr>
          <w:color w:val="231F20"/>
        </w:rPr>
        <w:t>has</w:t>
      </w:r>
      <w:r>
        <w:rPr>
          <w:color w:val="231F20"/>
          <w:spacing w:val="-18"/>
        </w:rPr>
        <w:t xml:space="preserve"> </w:t>
      </w:r>
      <w:r>
        <w:rPr>
          <w:color w:val="231F20"/>
        </w:rPr>
        <w:t>been</w:t>
      </w:r>
      <w:r>
        <w:rPr>
          <w:color w:val="231F20"/>
          <w:spacing w:val="-18"/>
        </w:rPr>
        <w:t xml:space="preserve"> </w:t>
      </w:r>
      <w:r>
        <w:rPr>
          <w:color w:val="231F20"/>
        </w:rPr>
        <w:t>re-</w:t>
      </w:r>
      <w:r w:rsidR="00E62884">
        <w:rPr>
          <w:color w:val="231F20"/>
        </w:rPr>
        <w:t>organized</w:t>
      </w:r>
      <w:r>
        <w:rPr>
          <w:color w:val="231F20"/>
          <w:spacing w:val="-18"/>
        </w:rPr>
        <w:t xml:space="preserve"> </w:t>
      </w:r>
      <w:r>
        <w:rPr>
          <w:color w:val="231F20"/>
        </w:rPr>
        <w:t>and</w:t>
      </w:r>
      <w:r>
        <w:rPr>
          <w:color w:val="231F20"/>
          <w:spacing w:val="-18"/>
        </w:rPr>
        <w:t xml:space="preserve"> </w:t>
      </w:r>
      <w:r>
        <w:rPr>
          <w:color w:val="231F20"/>
        </w:rPr>
        <w:t>runs</w:t>
      </w:r>
      <w:r>
        <w:rPr>
          <w:color w:val="231F20"/>
          <w:spacing w:val="-18"/>
        </w:rPr>
        <w:t xml:space="preserve"> </w:t>
      </w:r>
      <w:r>
        <w:rPr>
          <w:color w:val="231F20"/>
        </w:rPr>
        <w:t>a</w:t>
      </w:r>
      <w:r>
        <w:rPr>
          <w:color w:val="231F20"/>
          <w:spacing w:val="-18"/>
        </w:rPr>
        <w:t xml:space="preserve"> </w:t>
      </w:r>
      <w:r>
        <w:rPr>
          <w:color w:val="231F20"/>
        </w:rPr>
        <w:t>drug</w:t>
      </w:r>
      <w:r>
        <w:rPr>
          <w:color w:val="231F20"/>
          <w:spacing w:val="-19"/>
        </w:rPr>
        <w:t xml:space="preserve"> </w:t>
      </w:r>
      <w:r>
        <w:rPr>
          <w:color w:val="231F20"/>
        </w:rPr>
        <w:t>revolving</w:t>
      </w:r>
      <w:r>
        <w:rPr>
          <w:color w:val="231F20"/>
          <w:spacing w:val="-18"/>
        </w:rPr>
        <w:t xml:space="preserve"> </w:t>
      </w:r>
      <w:r>
        <w:rPr>
          <w:color w:val="231F20"/>
        </w:rPr>
        <w:t>fund</w:t>
      </w:r>
      <w:r>
        <w:rPr>
          <w:color w:val="231F20"/>
          <w:spacing w:val="-18"/>
        </w:rPr>
        <w:t xml:space="preserve"> </w:t>
      </w:r>
      <w:r>
        <w:rPr>
          <w:color w:val="231F20"/>
        </w:rPr>
        <w:t>account</w:t>
      </w:r>
      <w:r>
        <w:rPr>
          <w:color w:val="231F20"/>
          <w:spacing w:val="-18"/>
        </w:rPr>
        <w:t xml:space="preserve"> </w:t>
      </w:r>
      <w:r>
        <w:rPr>
          <w:color w:val="231F20"/>
        </w:rPr>
        <w:t>resulting</w:t>
      </w:r>
      <w:r>
        <w:rPr>
          <w:color w:val="231F20"/>
          <w:spacing w:val="-18"/>
        </w:rPr>
        <w:t xml:space="preserve"> </w:t>
      </w:r>
      <w:r>
        <w:rPr>
          <w:color w:val="231F20"/>
        </w:rPr>
        <w:t>in</w:t>
      </w:r>
      <w:r>
        <w:rPr>
          <w:color w:val="231F20"/>
          <w:spacing w:val="-18"/>
        </w:rPr>
        <w:t xml:space="preserve"> </w:t>
      </w:r>
      <w:r>
        <w:rPr>
          <w:color w:val="231F20"/>
        </w:rPr>
        <w:t>regular</w:t>
      </w:r>
      <w:r>
        <w:rPr>
          <w:color w:val="231F20"/>
          <w:spacing w:val="-18"/>
        </w:rPr>
        <w:t xml:space="preserve"> </w:t>
      </w:r>
      <w:r>
        <w:rPr>
          <w:color w:val="231F20"/>
        </w:rPr>
        <w:t>availability of</w:t>
      </w:r>
      <w:r>
        <w:rPr>
          <w:color w:val="231F20"/>
          <w:spacing w:val="-19"/>
        </w:rPr>
        <w:t xml:space="preserve"> </w:t>
      </w:r>
      <w:r>
        <w:rPr>
          <w:color w:val="231F20"/>
        </w:rPr>
        <w:t>drugs</w:t>
      </w:r>
      <w:r>
        <w:rPr>
          <w:color w:val="231F20"/>
          <w:spacing w:val="-18"/>
        </w:rPr>
        <w:t xml:space="preserve"> </w:t>
      </w:r>
      <w:r>
        <w:rPr>
          <w:color w:val="231F20"/>
        </w:rPr>
        <w:t>and</w:t>
      </w:r>
      <w:r>
        <w:rPr>
          <w:color w:val="231F20"/>
          <w:spacing w:val="-18"/>
        </w:rPr>
        <w:t xml:space="preserve"> </w:t>
      </w:r>
      <w:r>
        <w:rPr>
          <w:color w:val="231F20"/>
        </w:rPr>
        <w:t>consumables.</w:t>
      </w:r>
      <w:r>
        <w:rPr>
          <w:color w:val="231F20"/>
          <w:spacing w:val="-22"/>
        </w:rPr>
        <w:t xml:space="preserve"> </w:t>
      </w:r>
      <w:r>
        <w:rPr>
          <w:color w:val="231F20"/>
        </w:rPr>
        <w:t>The</w:t>
      </w:r>
      <w:r>
        <w:rPr>
          <w:color w:val="231F20"/>
          <w:spacing w:val="-18"/>
        </w:rPr>
        <w:t xml:space="preserve"> </w:t>
      </w:r>
      <w:r>
        <w:rPr>
          <w:color w:val="231F20"/>
        </w:rPr>
        <w:t>CMS</w:t>
      </w:r>
      <w:r>
        <w:rPr>
          <w:color w:val="231F20"/>
          <w:spacing w:val="-18"/>
        </w:rPr>
        <w:t xml:space="preserve"> </w:t>
      </w:r>
      <w:r>
        <w:rPr>
          <w:color w:val="231F20"/>
        </w:rPr>
        <w:t>is</w:t>
      </w:r>
      <w:r>
        <w:rPr>
          <w:color w:val="231F20"/>
          <w:spacing w:val="-18"/>
        </w:rPr>
        <w:t xml:space="preserve"> </w:t>
      </w:r>
      <w:r>
        <w:rPr>
          <w:color w:val="231F20"/>
        </w:rPr>
        <w:t>a</w:t>
      </w:r>
      <w:r>
        <w:rPr>
          <w:color w:val="231F20"/>
          <w:spacing w:val="-18"/>
        </w:rPr>
        <w:t xml:space="preserve"> </w:t>
      </w:r>
      <w:r>
        <w:rPr>
          <w:color w:val="231F20"/>
        </w:rPr>
        <w:t>distributor</w:t>
      </w:r>
      <w:r>
        <w:rPr>
          <w:color w:val="231F20"/>
          <w:spacing w:val="-18"/>
        </w:rPr>
        <w:t xml:space="preserve"> </w:t>
      </w:r>
      <w:r>
        <w:rPr>
          <w:color w:val="231F20"/>
        </w:rPr>
        <w:t>for</w:t>
      </w:r>
      <w:r>
        <w:rPr>
          <w:color w:val="231F20"/>
          <w:spacing w:val="-18"/>
        </w:rPr>
        <w:t xml:space="preserve"> </w:t>
      </w:r>
      <w:r>
        <w:rPr>
          <w:color w:val="231F20"/>
        </w:rPr>
        <w:t>most</w:t>
      </w:r>
      <w:r>
        <w:rPr>
          <w:color w:val="231F20"/>
          <w:spacing w:val="-18"/>
        </w:rPr>
        <w:t xml:space="preserve"> </w:t>
      </w:r>
      <w:r>
        <w:rPr>
          <w:color w:val="231F20"/>
        </w:rPr>
        <w:t>major</w:t>
      </w:r>
      <w:r>
        <w:rPr>
          <w:color w:val="231F20"/>
          <w:spacing w:val="-18"/>
        </w:rPr>
        <w:t xml:space="preserve"> </w:t>
      </w:r>
      <w:r>
        <w:rPr>
          <w:color w:val="231F20"/>
        </w:rPr>
        <w:t>Pharmaceutical</w:t>
      </w:r>
      <w:r>
        <w:rPr>
          <w:color w:val="231F20"/>
          <w:spacing w:val="-18"/>
        </w:rPr>
        <w:t xml:space="preserve"> </w:t>
      </w:r>
      <w:r>
        <w:rPr>
          <w:color w:val="231F20"/>
        </w:rPr>
        <w:t>Manufacturers and</w:t>
      </w:r>
      <w:r>
        <w:rPr>
          <w:color w:val="231F20"/>
          <w:spacing w:val="-26"/>
        </w:rPr>
        <w:t xml:space="preserve"> </w:t>
      </w:r>
      <w:r>
        <w:rPr>
          <w:color w:val="231F20"/>
        </w:rPr>
        <w:t>Companies</w:t>
      </w:r>
      <w:r>
        <w:rPr>
          <w:color w:val="231F20"/>
          <w:spacing w:val="-25"/>
        </w:rPr>
        <w:t xml:space="preserve"> </w:t>
      </w:r>
      <w:r>
        <w:rPr>
          <w:color w:val="231F20"/>
        </w:rPr>
        <w:t>leading</w:t>
      </w:r>
      <w:r>
        <w:rPr>
          <w:color w:val="231F20"/>
          <w:spacing w:val="-25"/>
        </w:rPr>
        <w:t xml:space="preserve"> </w:t>
      </w:r>
      <w:r>
        <w:rPr>
          <w:color w:val="231F20"/>
        </w:rPr>
        <w:t>to</w:t>
      </w:r>
      <w:r>
        <w:rPr>
          <w:color w:val="231F20"/>
          <w:spacing w:val="-25"/>
        </w:rPr>
        <w:t xml:space="preserve"> </w:t>
      </w:r>
      <w:r>
        <w:rPr>
          <w:color w:val="231F20"/>
        </w:rPr>
        <w:t>a</w:t>
      </w:r>
      <w:r>
        <w:rPr>
          <w:color w:val="231F20"/>
          <w:spacing w:val="-25"/>
        </w:rPr>
        <w:t xml:space="preserve"> </w:t>
      </w:r>
      <w:r>
        <w:rPr>
          <w:color w:val="231F20"/>
        </w:rPr>
        <w:t>reduction</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cost</w:t>
      </w:r>
      <w:r>
        <w:rPr>
          <w:color w:val="231F20"/>
          <w:spacing w:val="-25"/>
        </w:rPr>
        <w:t xml:space="preserve"> </w:t>
      </w:r>
      <w:r>
        <w:rPr>
          <w:color w:val="231F20"/>
        </w:rPr>
        <w:t>of</w:t>
      </w:r>
      <w:r>
        <w:rPr>
          <w:color w:val="231F20"/>
          <w:spacing w:val="-25"/>
        </w:rPr>
        <w:t xml:space="preserve"> </w:t>
      </w:r>
      <w:r>
        <w:rPr>
          <w:color w:val="231F20"/>
        </w:rPr>
        <w:t>drugs</w:t>
      </w:r>
      <w:r>
        <w:rPr>
          <w:color w:val="231F20"/>
          <w:spacing w:val="-25"/>
        </w:rPr>
        <w:t xml:space="preserve"> </w:t>
      </w:r>
      <w:r>
        <w:rPr>
          <w:color w:val="231F20"/>
        </w:rPr>
        <w:t>and</w:t>
      </w:r>
      <w:r>
        <w:rPr>
          <w:color w:val="231F20"/>
          <w:spacing w:val="-25"/>
        </w:rPr>
        <w:t xml:space="preserve"> </w:t>
      </w:r>
      <w:r>
        <w:rPr>
          <w:color w:val="231F20"/>
        </w:rPr>
        <w:t>consumables.</w:t>
      </w:r>
    </w:p>
    <w:p w14:paraId="7293A658" w14:textId="77777777" w:rsidR="009948F1" w:rsidRDefault="009948F1">
      <w:pPr>
        <w:pStyle w:val="BodyText"/>
        <w:spacing w:before="3"/>
        <w:rPr>
          <w:sz w:val="26"/>
        </w:rPr>
      </w:pPr>
    </w:p>
    <w:p w14:paraId="256184C4" w14:textId="77777777" w:rsidR="009948F1" w:rsidRDefault="00BC0563">
      <w:pPr>
        <w:pStyle w:val="Heading7"/>
        <w:ind w:left="144"/>
        <w:jc w:val="both"/>
      </w:pPr>
      <w:r>
        <w:rPr>
          <w:color w:val="231F20"/>
        </w:rPr>
        <w:t>Strategic Goal</w:t>
      </w:r>
    </w:p>
    <w:p w14:paraId="292F245A" w14:textId="77777777" w:rsidR="009948F1" w:rsidRDefault="00BC0563">
      <w:pPr>
        <w:pStyle w:val="ListParagraph"/>
        <w:numPr>
          <w:ilvl w:val="2"/>
          <w:numId w:val="266"/>
        </w:numPr>
        <w:tabs>
          <w:tab w:val="left" w:pos="742"/>
        </w:tabs>
        <w:spacing w:before="53" w:line="290" w:lineRule="auto"/>
        <w:ind w:right="215" w:firstLine="0"/>
      </w:pPr>
      <w:r>
        <w:rPr>
          <w:color w:val="231F20"/>
        </w:rPr>
        <w:t>:</w:t>
      </w:r>
      <w:r>
        <w:rPr>
          <w:color w:val="231F20"/>
          <w:spacing w:val="45"/>
        </w:rPr>
        <w:t xml:space="preserve"> </w:t>
      </w:r>
      <w:r>
        <w:rPr>
          <w:color w:val="231F20"/>
          <w:spacing w:val="-13"/>
        </w:rPr>
        <w:t>To</w:t>
      </w:r>
      <w:r>
        <w:rPr>
          <w:color w:val="231F20"/>
          <w:spacing w:val="-20"/>
        </w:rPr>
        <w:t xml:space="preserve"> </w:t>
      </w:r>
      <w:r>
        <w:rPr>
          <w:color w:val="231F20"/>
        </w:rPr>
        <w:t>ensure</w:t>
      </w:r>
      <w:r>
        <w:rPr>
          <w:color w:val="231F20"/>
          <w:spacing w:val="-18"/>
        </w:rPr>
        <w:t xml:space="preserve"> </w:t>
      </w:r>
      <w:r>
        <w:rPr>
          <w:color w:val="231F20"/>
        </w:rPr>
        <w:t>that</w:t>
      </w:r>
      <w:r>
        <w:rPr>
          <w:color w:val="231F20"/>
          <w:spacing w:val="-19"/>
        </w:rPr>
        <w:t xml:space="preserve"> </w:t>
      </w:r>
      <w:r>
        <w:rPr>
          <w:color w:val="231F20"/>
        </w:rPr>
        <w:t>quality</w:t>
      </w:r>
      <w:r>
        <w:rPr>
          <w:color w:val="231F20"/>
          <w:spacing w:val="-18"/>
        </w:rPr>
        <w:t xml:space="preserve"> </w:t>
      </w:r>
      <w:r>
        <w:rPr>
          <w:color w:val="231F20"/>
        </w:rPr>
        <w:t>medicines,</w:t>
      </w:r>
      <w:r>
        <w:rPr>
          <w:color w:val="231F20"/>
          <w:spacing w:val="-18"/>
        </w:rPr>
        <w:t xml:space="preserve"> </w:t>
      </w:r>
      <w:r>
        <w:rPr>
          <w:color w:val="231F20"/>
        </w:rPr>
        <w:t>vaccines</w:t>
      </w:r>
      <w:r>
        <w:rPr>
          <w:color w:val="231F20"/>
          <w:spacing w:val="-19"/>
        </w:rPr>
        <w:t xml:space="preserve"> </w:t>
      </w:r>
      <w:r>
        <w:rPr>
          <w:color w:val="231F20"/>
        </w:rPr>
        <w:t>and</w:t>
      </w:r>
      <w:r>
        <w:rPr>
          <w:color w:val="231F20"/>
          <w:spacing w:val="-18"/>
        </w:rPr>
        <w:t xml:space="preserve"> </w:t>
      </w:r>
      <w:r>
        <w:rPr>
          <w:color w:val="231F20"/>
        </w:rPr>
        <w:t>other</w:t>
      </w:r>
      <w:r>
        <w:rPr>
          <w:color w:val="231F20"/>
          <w:spacing w:val="-19"/>
        </w:rPr>
        <w:t xml:space="preserve"> </w:t>
      </w:r>
      <w:r>
        <w:rPr>
          <w:color w:val="231F20"/>
        </w:rPr>
        <w:t>health</w:t>
      </w:r>
      <w:r>
        <w:rPr>
          <w:color w:val="231F20"/>
          <w:spacing w:val="-18"/>
        </w:rPr>
        <w:t xml:space="preserve"> </w:t>
      </w:r>
      <w:r>
        <w:rPr>
          <w:color w:val="231F20"/>
        </w:rPr>
        <w:t>commodities</w:t>
      </w:r>
      <w:r>
        <w:rPr>
          <w:color w:val="231F20"/>
          <w:spacing w:val="-18"/>
        </w:rPr>
        <w:t xml:space="preserve"> </w:t>
      </w:r>
      <w:r>
        <w:rPr>
          <w:color w:val="231F20"/>
        </w:rPr>
        <w:t>and</w:t>
      </w:r>
      <w:r>
        <w:rPr>
          <w:color w:val="231F20"/>
          <w:spacing w:val="-19"/>
        </w:rPr>
        <w:t xml:space="preserve"> </w:t>
      </w:r>
      <w:r>
        <w:rPr>
          <w:color w:val="231F20"/>
          <w:spacing w:val="-2"/>
        </w:rPr>
        <w:t xml:space="preserve">technologies </w:t>
      </w:r>
      <w:r>
        <w:rPr>
          <w:color w:val="231F20"/>
        </w:rPr>
        <w:t>are</w:t>
      </w:r>
      <w:r>
        <w:rPr>
          <w:color w:val="231F20"/>
          <w:spacing w:val="-26"/>
        </w:rPr>
        <w:t xml:space="preserve"> </w:t>
      </w:r>
      <w:r>
        <w:rPr>
          <w:color w:val="231F20"/>
        </w:rPr>
        <w:t>available,</w:t>
      </w:r>
      <w:r>
        <w:rPr>
          <w:color w:val="231F20"/>
          <w:spacing w:val="-25"/>
        </w:rPr>
        <w:t xml:space="preserve"> </w:t>
      </w:r>
      <w:r>
        <w:rPr>
          <w:color w:val="231F20"/>
        </w:rPr>
        <w:t>affordable</w:t>
      </w:r>
      <w:r>
        <w:rPr>
          <w:color w:val="231F20"/>
          <w:spacing w:val="-25"/>
        </w:rPr>
        <w:t xml:space="preserve"> </w:t>
      </w:r>
      <w:r>
        <w:rPr>
          <w:color w:val="231F20"/>
        </w:rPr>
        <w:t>and</w:t>
      </w:r>
      <w:r>
        <w:rPr>
          <w:color w:val="231F20"/>
          <w:spacing w:val="-25"/>
        </w:rPr>
        <w:t xml:space="preserve"> </w:t>
      </w:r>
      <w:r>
        <w:rPr>
          <w:color w:val="231F20"/>
        </w:rPr>
        <w:t>accessible</w:t>
      </w:r>
      <w:r>
        <w:rPr>
          <w:color w:val="231F20"/>
          <w:spacing w:val="-25"/>
        </w:rPr>
        <w:t xml:space="preserve"> </w:t>
      </w:r>
      <w:r>
        <w:rPr>
          <w:color w:val="231F20"/>
        </w:rPr>
        <w:t>to</w:t>
      </w:r>
      <w:r>
        <w:rPr>
          <w:color w:val="231F20"/>
          <w:spacing w:val="-25"/>
        </w:rPr>
        <w:t xml:space="preserve"> </w:t>
      </w:r>
      <w:r>
        <w:rPr>
          <w:color w:val="231F20"/>
        </w:rPr>
        <w:t>all</w:t>
      </w:r>
      <w:r>
        <w:rPr>
          <w:color w:val="231F20"/>
          <w:spacing w:val="-25"/>
        </w:rPr>
        <w:t xml:space="preserve"> </w:t>
      </w:r>
      <w:r>
        <w:rPr>
          <w:color w:val="231F20"/>
        </w:rPr>
        <w:t>Rivers</w:t>
      </w:r>
      <w:r>
        <w:rPr>
          <w:color w:val="231F20"/>
          <w:spacing w:val="-25"/>
        </w:rPr>
        <w:t xml:space="preserve"> </w:t>
      </w:r>
      <w:r>
        <w:rPr>
          <w:color w:val="231F20"/>
        </w:rPr>
        <w:t>people.</w:t>
      </w:r>
    </w:p>
    <w:p w14:paraId="10925FAC" w14:textId="77777777" w:rsidR="009948F1" w:rsidRDefault="009948F1">
      <w:pPr>
        <w:pStyle w:val="BodyText"/>
        <w:spacing w:before="6"/>
        <w:rPr>
          <w:sz w:val="26"/>
        </w:rPr>
      </w:pPr>
    </w:p>
    <w:p w14:paraId="5A6D0E31" w14:textId="77777777" w:rsidR="009948F1" w:rsidRDefault="00BC0563">
      <w:pPr>
        <w:pStyle w:val="Heading7"/>
        <w:ind w:left="144"/>
        <w:jc w:val="both"/>
      </w:pPr>
      <w:r>
        <w:rPr>
          <w:color w:val="231F20"/>
        </w:rPr>
        <w:t>Strategic Objective</w:t>
      </w:r>
    </w:p>
    <w:p w14:paraId="24C65D4C" w14:textId="77777777" w:rsidR="009948F1" w:rsidRDefault="00BC0563">
      <w:pPr>
        <w:pStyle w:val="ListParagraph"/>
        <w:numPr>
          <w:ilvl w:val="2"/>
          <w:numId w:val="266"/>
        </w:numPr>
        <w:tabs>
          <w:tab w:val="left" w:pos="742"/>
        </w:tabs>
        <w:spacing w:before="53" w:line="290" w:lineRule="auto"/>
        <w:ind w:right="215" w:firstLine="0"/>
      </w:pPr>
      <w:r>
        <w:rPr>
          <w:color w:val="231F20"/>
        </w:rPr>
        <w:t xml:space="preserve">: </w:t>
      </w:r>
      <w:r>
        <w:rPr>
          <w:color w:val="231F20"/>
          <w:spacing w:val="-13"/>
        </w:rPr>
        <w:t xml:space="preserve">To </w:t>
      </w:r>
      <w:r>
        <w:rPr>
          <w:color w:val="231F20"/>
        </w:rPr>
        <w:t>strengthen the availability and use of affordable, accessible and quality medicines, vaccines,</w:t>
      </w:r>
      <w:r>
        <w:rPr>
          <w:color w:val="231F20"/>
          <w:spacing w:val="-25"/>
        </w:rPr>
        <w:t xml:space="preserve"> </w:t>
      </w:r>
      <w:r>
        <w:rPr>
          <w:color w:val="231F20"/>
        </w:rPr>
        <w:t>health</w:t>
      </w:r>
      <w:r>
        <w:rPr>
          <w:color w:val="231F20"/>
          <w:spacing w:val="-26"/>
        </w:rPr>
        <w:t xml:space="preserve"> </w:t>
      </w:r>
      <w:r>
        <w:rPr>
          <w:color w:val="231F20"/>
        </w:rPr>
        <w:t>technologies</w:t>
      </w:r>
      <w:r>
        <w:rPr>
          <w:color w:val="231F20"/>
          <w:spacing w:val="-25"/>
        </w:rPr>
        <w:t xml:space="preserve"> </w:t>
      </w:r>
      <w:r>
        <w:rPr>
          <w:color w:val="231F20"/>
        </w:rPr>
        <w:t>and</w:t>
      </w:r>
      <w:r>
        <w:rPr>
          <w:color w:val="231F20"/>
          <w:spacing w:val="-25"/>
        </w:rPr>
        <w:t xml:space="preserve"> </w:t>
      </w:r>
      <w:r>
        <w:rPr>
          <w:color w:val="231F20"/>
        </w:rPr>
        <w:t>supplies</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p>
    <w:p w14:paraId="68F5EADF" w14:textId="77777777" w:rsidR="009948F1" w:rsidRDefault="009948F1">
      <w:pPr>
        <w:pStyle w:val="BodyText"/>
        <w:spacing w:before="5"/>
        <w:rPr>
          <w:sz w:val="24"/>
        </w:rPr>
      </w:pPr>
    </w:p>
    <w:p w14:paraId="3D406B0B" w14:textId="77777777" w:rsidR="009948F1" w:rsidRDefault="00BC0563">
      <w:pPr>
        <w:spacing w:after="39"/>
        <w:ind w:left="463"/>
        <w:rPr>
          <w:b/>
          <w:sz w:val="20"/>
        </w:rPr>
      </w:pPr>
      <w:r>
        <w:rPr>
          <w:b/>
          <w:color w:val="231F20"/>
          <w:w w:val="110"/>
          <w:sz w:val="20"/>
        </w:rPr>
        <w:t>Targets</w:t>
      </w:r>
    </w:p>
    <w:tbl>
      <w:tblPr>
        <w:tblW w:w="0" w:type="auto"/>
        <w:tblInd w:w="3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32"/>
        <w:gridCol w:w="1282"/>
        <w:gridCol w:w="722"/>
        <w:gridCol w:w="722"/>
        <w:gridCol w:w="724"/>
        <w:gridCol w:w="722"/>
        <w:gridCol w:w="758"/>
        <w:gridCol w:w="917"/>
      </w:tblGrid>
      <w:tr w:rsidR="009948F1" w14:paraId="212326BF" w14:textId="77777777">
        <w:trPr>
          <w:trHeight w:val="190"/>
        </w:trPr>
        <w:tc>
          <w:tcPr>
            <w:tcW w:w="3032" w:type="dxa"/>
            <w:shd w:val="clear" w:color="auto" w:fill="F4CEB2"/>
          </w:tcPr>
          <w:p w14:paraId="6B574C67" w14:textId="77777777" w:rsidR="009948F1" w:rsidRDefault="00BC0563">
            <w:pPr>
              <w:pStyle w:val="TableParagraph"/>
              <w:spacing w:before="5" w:line="165" w:lineRule="exact"/>
              <w:ind w:left="106"/>
              <w:rPr>
                <w:sz w:val="16"/>
              </w:rPr>
            </w:pPr>
            <w:r>
              <w:rPr>
                <w:color w:val="231F20"/>
                <w:w w:val="110"/>
                <w:sz w:val="16"/>
              </w:rPr>
              <w:t>Targets</w:t>
            </w:r>
          </w:p>
        </w:tc>
        <w:tc>
          <w:tcPr>
            <w:tcW w:w="1282" w:type="dxa"/>
            <w:shd w:val="clear" w:color="auto" w:fill="F4CEB2"/>
          </w:tcPr>
          <w:p w14:paraId="0F1AE93B" w14:textId="77777777" w:rsidR="009948F1" w:rsidRDefault="00BC0563">
            <w:pPr>
              <w:pStyle w:val="TableParagraph"/>
              <w:spacing w:before="5" w:line="165" w:lineRule="exact"/>
              <w:ind w:left="106"/>
              <w:rPr>
                <w:sz w:val="16"/>
              </w:rPr>
            </w:pPr>
            <w:r>
              <w:rPr>
                <w:color w:val="231F20"/>
                <w:w w:val="110"/>
                <w:sz w:val="16"/>
              </w:rPr>
              <w:t>Baseline</w:t>
            </w:r>
          </w:p>
        </w:tc>
        <w:tc>
          <w:tcPr>
            <w:tcW w:w="722" w:type="dxa"/>
            <w:shd w:val="clear" w:color="auto" w:fill="F4CEB2"/>
          </w:tcPr>
          <w:p w14:paraId="16723FCC" w14:textId="77777777" w:rsidR="009948F1" w:rsidRDefault="00BC0563">
            <w:pPr>
              <w:pStyle w:val="TableParagraph"/>
              <w:spacing w:before="1" w:line="169" w:lineRule="exact"/>
              <w:ind w:left="107"/>
              <w:rPr>
                <w:b/>
                <w:sz w:val="16"/>
              </w:rPr>
            </w:pPr>
            <w:r>
              <w:rPr>
                <w:b/>
                <w:color w:val="231F20"/>
                <w:w w:val="110"/>
                <w:sz w:val="16"/>
              </w:rPr>
              <w:t>2018</w:t>
            </w:r>
          </w:p>
        </w:tc>
        <w:tc>
          <w:tcPr>
            <w:tcW w:w="722" w:type="dxa"/>
            <w:shd w:val="clear" w:color="auto" w:fill="F4CEB2"/>
          </w:tcPr>
          <w:p w14:paraId="380633E6" w14:textId="77777777" w:rsidR="009948F1" w:rsidRDefault="00BC0563">
            <w:pPr>
              <w:pStyle w:val="TableParagraph"/>
              <w:spacing w:before="1" w:line="169" w:lineRule="exact"/>
              <w:ind w:left="106"/>
              <w:rPr>
                <w:b/>
                <w:sz w:val="16"/>
              </w:rPr>
            </w:pPr>
            <w:r>
              <w:rPr>
                <w:b/>
                <w:color w:val="231F20"/>
                <w:w w:val="110"/>
                <w:sz w:val="16"/>
              </w:rPr>
              <w:t>2019</w:t>
            </w:r>
          </w:p>
        </w:tc>
        <w:tc>
          <w:tcPr>
            <w:tcW w:w="724" w:type="dxa"/>
            <w:shd w:val="clear" w:color="auto" w:fill="F4CEB2"/>
          </w:tcPr>
          <w:p w14:paraId="6101E0A2" w14:textId="77777777" w:rsidR="009948F1" w:rsidRDefault="00BC0563">
            <w:pPr>
              <w:pStyle w:val="TableParagraph"/>
              <w:spacing w:before="1" w:line="169" w:lineRule="exact"/>
              <w:ind w:left="106"/>
              <w:rPr>
                <w:b/>
                <w:sz w:val="16"/>
              </w:rPr>
            </w:pPr>
            <w:r>
              <w:rPr>
                <w:b/>
                <w:color w:val="231F20"/>
                <w:w w:val="110"/>
                <w:sz w:val="16"/>
              </w:rPr>
              <w:t>2020</w:t>
            </w:r>
          </w:p>
        </w:tc>
        <w:tc>
          <w:tcPr>
            <w:tcW w:w="722" w:type="dxa"/>
            <w:shd w:val="clear" w:color="auto" w:fill="F4CEB2"/>
          </w:tcPr>
          <w:p w14:paraId="20139E24" w14:textId="77777777" w:rsidR="009948F1" w:rsidRDefault="00BC0563">
            <w:pPr>
              <w:pStyle w:val="TableParagraph"/>
              <w:spacing w:before="1" w:line="169" w:lineRule="exact"/>
              <w:ind w:left="107"/>
              <w:rPr>
                <w:b/>
                <w:sz w:val="16"/>
              </w:rPr>
            </w:pPr>
            <w:r>
              <w:rPr>
                <w:b/>
                <w:color w:val="231F20"/>
                <w:w w:val="110"/>
                <w:sz w:val="16"/>
              </w:rPr>
              <w:t>2021</w:t>
            </w:r>
          </w:p>
        </w:tc>
        <w:tc>
          <w:tcPr>
            <w:tcW w:w="758" w:type="dxa"/>
            <w:shd w:val="clear" w:color="auto" w:fill="F4CEB2"/>
          </w:tcPr>
          <w:p w14:paraId="2BA68526" w14:textId="77777777" w:rsidR="009948F1" w:rsidRDefault="00BC0563">
            <w:pPr>
              <w:pStyle w:val="TableParagraph"/>
              <w:spacing w:before="1" w:line="169" w:lineRule="exact"/>
              <w:ind w:left="106"/>
              <w:rPr>
                <w:b/>
                <w:sz w:val="16"/>
              </w:rPr>
            </w:pPr>
            <w:r>
              <w:rPr>
                <w:b/>
                <w:color w:val="231F20"/>
                <w:w w:val="110"/>
                <w:sz w:val="16"/>
              </w:rPr>
              <w:t>2022</w:t>
            </w:r>
          </w:p>
        </w:tc>
        <w:tc>
          <w:tcPr>
            <w:tcW w:w="917" w:type="dxa"/>
            <w:shd w:val="clear" w:color="auto" w:fill="F4CEB2"/>
          </w:tcPr>
          <w:p w14:paraId="2E4ED3E1" w14:textId="77777777" w:rsidR="009948F1" w:rsidRDefault="00BC0563">
            <w:pPr>
              <w:pStyle w:val="TableParagraph"/>
              <w:spacing w:before="1" w:line="169" w:lineRule="exact"/>
              <w:ind w:left="106"/>
              <w:rPr>
                <w:b/>
                <w:sz w:val="16"/>
              </w:rPr>
            </w:pPr>
            <w:r>
              <w:rPr>
                <w:b/>
                <w:color w:val="231F20"/>
                <w:w w:val="110"/>
                <w:sz w:val="16"/>
              </w:rPr>
              <w:t>National</w:t>
            </w:r>
          </w:p>
        </w:tc>
      </w:tr>
      <w:tr w:rsidR="009948F1" w14:paraId="4DA180D5" w14:textId="77777777">
        <w:trPr>
          <w:trHeight w:val="563"/>
        </w:trPr>
        <w:tc>
          <w:tcPr>
            <w:tcW w:w="3032" w:type="dxa"/>
          </w:tcPr>
          <w:p w14:paraId="5C923637" w14:textId="77777777" w:rsidR="009948F1" w:rsidRDefault="00BC0563">
            <w:pPr>
              <w:pStyle w:val="TableParagraph"/>
              <w:spacing w:before="1" w:line="190" w:lineRule="exact"/>
              <w:ind w:left="106"/>
              <w:rPr>
                <w:sz w:val="16"/>
              </w:rPr>
            </w:pPr>
            <w:r>
              <w:rPr>
                <w:color w:val="231F20"/>
                <w:w w:val="110"/>
                <w:sz w:val="16"/>
              </w:rPr>
              <w:t>Increase local production of quality medicines, vaccines and other commodities from 5% to 40%,</w:t>
            </w:r>
          </w:p>
        </w:tc>
        <w:tc>
          <w:tcPr>
            <w:tcW w:w="1282" w:type="dxa"/>
            <w:tcBorders>
              <w:bottom w:val="single" w:sz="8" w:space="0" w:color="231F20"/>
              <w:right w:val="single" w:sz="8" w:space="0" w:color="231F20"/>
            </w:tcBorders>
          </w:tcPr>
          <w:p w14:paraId="7036CB19" w14:textId="77777777" w:rsidR="009948F1" w:rsidRDefault="00BC0563">
            <w:pPr>
              <w:pStyle w:val="TableParagraph"/>
              <w:spacing w:before="3"/>
              <w:ind w:left="106"/>
              <w:rPr>
                <w:sz w:val="16"/>
              </w:rPr>
            </w:pPr>
            <w:r>
              <w:rPr>
                <w:color w:val="231F20"/>
                <w:w w:val="110"/>
                <w:sz w:val="16"/>
              </w:rPr>
              <w:t>TBD</w:t>
            </w:r>
          </w:p>
        </w:tc>
        <w:tc>
          <w:tcPr>
            <w:tcW w:w="722" w:type="dxa"/>
            <w:tcBorders>
              <w:left w:val="single" w:sz="8" w:space="0" w:color="231F20"/>
              <w:bottom w:val="single" w:sz="8" w:space="0" w:color="231F20"/>
              <w:right w:val="single" w:sz="8" w:space="0" w:color="231F20"/>
            </w:tcBorders>
          </w:tcPr>
          <w:p w14:paraId="011A663D" w14:textId="77777777" w:rsidR="009948F1" w:rsidRDefault="00BC0563">
            <w:pPr>
              <w:pStyle w:val="TableParagraph"/>
              <w:spacing w:before="3"/>
              <w:ind w:left="102"/>
              <w:rPr>
                <w:sz w:val="16"/>
              </w:rPr>
            </w:pPr>
            <w:r>
              <w:rPr>
                <w:color w:val="231F20"/>
                <w:w w:val="111"/>
                <w:sz w:val="16"/>
              </w:rPr>
              <w:t>0</w:t>
            </w:r>
          </w:p>
        </w:tc>
        <w:tc>
          <w:tcPr>
            <w:tcW w:w="722" w:type="dxa"/>
            <w:tcBorders>
              <w:left w:val="single" w:sz="8" w:space="0" w:color="231F20"/>
            </w:tcBorders>
          </w:tcPr>
          <w:p w14:paraId="6CD0D1DA" w14:textId="77777777" w:rsidR="009948F1" w:rsidRDefault="00BC0563">
            <w:pPr>
              <w:pStyle w:val="TableParagraph"/>
              <w:spacing w:before="3"/>
              <w:ind w:left="101"/>
              <w:rPr>
                <w:sz w:val="16"/>
              </w:rPr>
            </w:pPr>
            <w:r>
              <w:rPr>
                <w:color w:val="231F20"/>
                <w:w w:val="110"/>
                <w:sz w:val="16"/>
              </w:rPr>
              <w:t>5%</w:t>
            </w:r>
          </w:p>
        </w:tc>
        <w:tc>
          <w:tcPr>
            <w:tcW w:w="724" w:type="dxa"/>
          </w:tcPr>
          <w:p w14:paraId="220F9208" w14:textId="77777777" w:rsidR="009948F1" w:rsidRDefault="00BC0563">
            <w:pPr>
              <w:pStyle w:val="TableParagraph"/>
              <w:spacing w:before="3"/>
              <w:ind w:left="106"/>
              <w:rPr>
                <w:sz w:val="16"/>
              </w:rPr>
            </w:pPr>
            <w:r>
              <w:rPr>
                <w:color w:val="231F20"/>
                <w:w w:val="110"/>
                <w:sz w:val="16"/>
              </w:rPr>
              <w:t>5%</w:t>
            </w:r>
          </w:p>
        </w:tc>
        <w:tc>
          <w:tcPr>
            <w:tcW w:w="722" w:type="dxa"/>
          </w:tcPr>
          <w:p w14:paraId="4A620942" w14:textId="77777777" w:rsidR="009948F1" w:rsidRDefault="00BC0563">
            <w:pPr>
              <w:pStyle w:val="TableParagraph"/>
              <w:spacing w:before="3"/>
              <w:ind w:left="107"/>
              <w:rPr>
                <w:sz w:val="16"/>
              </w:rPr>
            </w:pPr>
            <w:r>
              <w:rPr>
                <w:color w:val="231F20"/>
                <w:w w:val="110"/>
                <w:sz w:val="16"/>
              </w:rPr>
              <w:t>10%</w:t>
            </w:r>
          </w:p>
        </w:tc>
        <w:tc>
          <w:tcPr>
            <w:tcW w:w="758" w:type="dxa"/>
          </w:tcPr>
          <w:p w14:paraId="2E0A0657" w14:textId="77777777" w:rsidR="009948F1" w:rsidRDefault="00BC0563">
            <w:pPr>
              <w:pStyle w:val="TableParagraph"/>
              <w:spacing w:before="3"/>
              <w:ind w:left="106"/>
              <w:rPr>
                <w:sz w:val="16"/>
              </w:rPr>
            </w:pPr>
            <w:r>
              <w:rPr>
                <w:color w:val="231F20"/>
                <w:w w:val="110"/>
                <w:sz w:val="16"/>
              </w:rPr>
              <w:t>10%</w:t>
            </w:r>
          </w:p>
        </w:tc>
        <w:tc>
          <w:tcPr>
            <w:tcW w:w="917" w:type="dxa"/>
          </w:tcPr>
          <w:p w14:paraId="51A1F785" w14:textId="77777777" w:rsidR="009948F1" w:rsidRDefault="00BC0563">
            <w:pPr>
              <w:pStyle w:val="TableParagraph"/>
              <w:spacing w:before="3"/>
              <w:ind w:left="106"/>
              <w:rPr>
                <w:sz w:val="16"/>
              </w:rPr>
            </w:pPr>
            <w:r>
              <w:rPr>
                <w:color w:val="231F20"/>
                <w:w w:val="110"/>
                <w:sz w:val="16"/>
              </w:rPr>
              <w:t>40%</w:t>
            </w:r>
          </w:p>
        </w:tc>
      </w:tr>
      <w:tr w:rsidR="009948F1" w14:paraId="3BE9470E" w14:textId="77777777">
        <w:trPr>
          <w:trHeight w:val="559"/>
        </w:trPr>
        <w:tc>
          <w:tcPr>
            <w:tcW w:w="3032" w:type="dxa"/>
          </w:tcPr>
          <w:p w14:paraId="47D84B36" w14:textId="77777777" w:rsidR="009948F1" w:rsidRDefault="00BC0563">
            <w:pPr>
              <w:pStyle w:val="TableParagraph"/>
              <w:spacing w:line="247" w:lineRule="auto"/>
              <w:ind w:left="106"/>
              <w:rPr>
                <w:sz w:val="16"/>
              </w:rPr>
            </w:pPr>
            <w:r>
              <w:rPr>
                <w:color w:val="231F20"/>
                <w:w w:val="110"/>
                <w:sz w:val="16"/>
              </w:rPr>
              <w:t>Increase local production of simple active pharmaceutical ingredient to</w:t>
            </w:r>
          </w:p>
          <w:p w14:paraId="4FCA3CAB" w14:textId="77777777" w:rsidR="009948F1" w:rsidRDefault="00BC0563">
            <w:pPr>
              <w:pStyle w:val="TableParagraph"/>
              <w:spacing w:before="1" w:line="160" w:lineRule="exact"/>
              <w:ind w:left="106"/>
              <w:rPr>
                <w:sz w:val="16"/>
              </w:rPr>
            </w:pPr>
            <w:r>
              <w:rPr>
                <w:color w:val="231F20"/>
                <w:w w:val="110"/>
                <w:sz w:val="16"/>
              </w:rPr>
              <w:t>70%</w:t>
            </w:r>
          </w:p>
        </w:tc>
        <w:tc>
          <w:tcPr>
            <w:tcW w:w="1282" w:type="dxa"/>
            <w:tcBorders>
              <w:top w:val="single" w:sz="8" w:space="0" w:color="231F20"/>
              <w:bottom w:val="single" w:sz="8" w:space="0" w:color="231F20"/>
              <w:right w:val="single" w:sz="8" w:space="0" w:color="231F20"/>
            </w:tcBorders>
          </w:tcPr>
          <w:p w14:paraId="1C865519" w14:textId="77777777" w:rsidR="009948F1" w:rsidRDefault="00BC0563">
            <w:pPr>
              <w:pStyle w:val="TableParagraph"/>
              <w:spacing w:line="183" w:lineRule="exact"/>
              <w:ind w:left="106"/>
              <w:rPr>
                <w:sz w:val="16"/>
              </w:rPr>
            </w:pPr>
            <w:r>
              <w:rPr>
                <w:color w:val="231F20"/>
                <w:w w:val="110"/>
                <w:sz w:val="16"/>
              </w:rPr>
              <w:t>TBD</w:t>
            </w:r>
          </w:p>
        </w:tc>
        <w:tc>
          <w:tcPr>
            <w:tcW w:w="722" w:type="dxa"/>
            <w:tcBorders>
              <w:top w:val="single" w:sz="8" w:space="0" w:color="231F20"/>
              <w:left w:val="single" w:sz="8" w:space="0" w:color="231F20"/>
              <w:bottom w:val="single" w:sz="8" w:space="0" w:color="231F20"/>
              <w:right w:val="single" w:sz="8" w:space="0" w:color="231F20"/>
            </w:tcBorders>
          </w:tcPr>
          <w:p w14:paraId="687B65EA" w14:textId="77777777" w:rsidR="009948F1" w:rsidRDefault="00BC0563">
            <w:pPr>
              <w:pStyle w:val="TableParagraph"/>
              <w:spacing w:line="183" w:lineRule="exact"/>
              <w:ind w:left="102"/>
              <w:rPr>
                <w:sz w:val="16"/>
              </w:rPr>
            </w:pPr>
            <w:r>
              <w:rPr>
                <w:color w:val="231F20"/>
                <w:w w:val="111"/>
                <w:sz w:val="16"/>
              </w:rPr>
              <w:t>0</w:t>
            </w:r>
          </w:p>
        </w:tc>
        <w:tc>
          <w:tcPr>
            <w:tcW w:w="722" w:type="dxa"/>
            <w:tcBorders>
              <w:left w:val="single" w:sz="8" w:space="0" w:color="231F20"/>
            </w:tcBorders>
          </w:tcPr>
          <w:p w14:paraId="6101A6EF" w14:textId="77777777" w:rsidR="009948F1" w:rsidRDefault="00BC0563">
            <w:pPr>
              <w:pStyle w:val="TableParagraph"/>
              <w:spacing w:line="183" w:lineRule="exact"/>
              <w:ind w:left="101"/>
              <w:rPr>
                <w:sz w:val="16"/>
              </w:rPr>
            </w:pPr>
            <w:r>
              <w:rPr>
                <w:color w:val="231F20"/>
                <w:w w:val="110"/>
                <w:sz w:val="16"/>
              </w:rPr>
              <w:t>7%</w:t>
            </w:r>
          </w:p>
        </w:tc>
        <w:tc>
          <w:tcPr>
            <w:tcW w:w="724" w:type="dxa"/>
          </w:tcPr>
          <w:p w14:paraId="176E125E" w14:textId="77777777" w:rsidR="009948F1" w:rsidRDefault="00BC0563">
            <w:pPr>
              <w:pStyle w:val="TableParagraph"/>
              <w:spacing w:line="183" w:lineRule="exact"/>
              <w:ind w:left="106"/>
              <w:rPr>
                <w:sz w:val="16"/>
              </w:rPr>
            </w:pPr>
            <w:r>
              <w:rPr>
                <w:color w:val="231F20"/>
                <w:w w:val="110"/>
                <w:sz w:val="16"/>
              </w:rPr>
              <w:t>8%</w:t>
            </w:r>
          </w:p>
        </w:tc>
        <w:tc>
          <w:tcPr>
            <w:tcW w:w="722" w:type="dxa"/>
          </w:tcPr>
          <w:p w14:paraId="74C35711" w14:textId="77777777" w:rsidR="009948F1" w:rsidRDefault="00BC0563">
            <w:pPr>
              <w:pStyle w:val="TableParagraph"/>
              <w:spacing w:line="183" w:lineRule="exact"/>
              <w:ind w:left="107"/>
              <w:rPr>
                <w:sz w:val="16"/>
              </w:rPr>
            </w:pPr>
            <w:r>
              <w:rPr>
                <w:color w:val="231F20"/>
                <w:w w:val="110"/>
                <w:sz w:val="16"/>
              </w:rPr>
              <w:t>9%</w:t>
            </w:r>
          </w:p>
        </w:tc>
        <w:tc>
          <w:tcPr>
            <w:tcW w:w="758" w:type="dxa"/>
          </w:tcPr>
          <w:p w14:paraId="04F02CDA" w14:textId="77777777" w:rsidR="009948F1" w:rsidRDefault="00BC0563">
            <w:pPr>
              <w:pStyle w:val="TableParagraph"/>
              <w:spacing w:line="183" w:lineRule="exact"/>
              <w:ind w:left="106"/>
              <w:rPr>
                <w:sz w:val="16"/>
              </w:rPr>
            </w:pPr>
            <w:r>
              <w:rPr>
                <w:color w:val="231F20"/>
                <w:w w:val="110"/>
                <w:sz w:val="16"/>
              </w:rPr>
              <w:t>10%</w:t>
            </w:r>
          </w:p>
        </w:tc>
        <w:tc>
          <w:tcPr>
            <w:tcW w:w="917" w:type="dxa"/>
          </w:tcPr>
          <w:p w14:paraId="0CF55C79" w14:textId="77777777" w:rsidR="009948F1" w:rsidRDefault="00BC0563">
            <w:pPr>
              <w:pStyle w:val="TableParagraph"/>
              <w:spacing w:line="183" w:lineRule="exact"/>
              <w:ind w:left="106"/>
              <w:rPr>
                <w:sz w:val="16"/>
              </w:rPr>
            </w:pPr>
            <w:r>
              <w:rPr>
                <w:color w:val="231F20"/>
                <w:w w:val="110"/>
                <w:sz w:val="16"/>
              </w:rPr>
              <w:t>70%</w:t>
            </w:r>
          </w:p>
        </w:tc>
      </w:tr>
      <w:tr w:rsidR="009948F1" w14:paraId="075E91D4" w14:textId="77777777">
        <w:trPr>
          <w:trHeight w:val="567"/>
        </w:trPr>
        <w:tc>
          <w:tcPr>
            <w:tcW w:w="3032" w:type="dxa"/>
          </w:tcPr>
          <w:p w14:paraId="7F57A74B" w14:textId="77777777" w:rsidR="009948F1" w:rsidRDefault="00BC0563">
            <w:pPr>
              <w:pStyle w:val="TableParagraph"/>
              <w:spacing w:before="7" w:line="247" w:lineRule="auto"/>
              <w:ind w:left="106"/>
              <w:rPr>
                <w:sz w:val="16"/>
              </w:rPr>
            </w:pPr>
            <w:r>
              <w:rPr>
                <w:color w:val="231F20"/>
                <w:w w:val="110"/>
                <w:sz w:val="16"/>
              </w:rPr>
              <w:t>Proportion of LGAs with functional logistics management coordinating</w:t>
            </w:r>
          </w:p>
          <w:p w14:paraId="60B9E5D3" w14:textId="77777777" w:rsidR="009948F1" w:rsidRDefault="00BC0563">
            <w:pPr>
              <w:pStyle w:val="TableParagraph"/>
              <w:spacing w:before="1" w:line="160" w:lineRule="exact"/>
              <w:ind w:left="106"/>
              <w:rPr>
                <w:sz w:val="16"/>
              </w:rPr>
            </w:pPr>
            <w:r>
              <w:rPr>
                <w:color w:val="231F20"/>
                <w:w w:val="110"/>
                <w:sz w:val="16"/>
              </w:rPr>
              <w:t>units increased to 50%</w:t>
            </w:r>
          </w:p>
        </w:tc>
        <w:tc>
          <w:tcPr>
            <w:tcW w:w="1282" w:type="dxa"/>
            <w:tcBorders>
              <w:top w:val="single" w:sz="8" w:space="0" w:color="231F20"/>
              <w:bottom w:val="single" w:sz="8" w:space="0" w:color="231F20"/>
              <w:right w:val="single" w:sz="8" w:space="0" w:color="231F20"/>
            </w:tcBorders>
          </w:tcPr>
          <w:p w14:paraId="56B2B9F9" w14:textId="77777777" w:rsidR="009948F1" w:rsidRDefault="00BC0563">
            <w:pPr>
              <w:pStyle w:val="TableParagraph"/>
              <w:spacing w:before="7"/>
              <w:ind w:left="106"/>
              <w:rPr>
                <w:sz w:val="16"/>
              </w:rPr>
            </w:pPr>
            <w:r>
              <w:rPr>
                <w:color w:val="231F20"/>
                <w:w w:val="110"/>
                <w:sz w:val="16"/>
              </w:rPr>
              <w:t>TBD</w:t>
            </w:r>
          </w:p>
        </w:tc>
        <w:tc>
          <w:tcPr>
            <w:tcW w:w="722" w:type="dxa"/>
            <w:tcBorders>
              <w:top w:val="single" w:sz="8" w:space="0" w:color="231F20"/>
              <w:left w:val="single" w:sz="8" w:space="0" w:color="231F20"/>
              <w:bottom w:val="single" w:sz="8" w:space="0" w:color="231F20"/>
              <w:right w:val="single" w:sz="8" w:space="0" w:color="231F20"/>
            </w:tcBorders>
          </w:tcPr>
          <w:p w14:paraId="21957BFF" w14:textId="77777777" w:rsidR="009948F1" w:rsidRDefault="00BC0563">
            <w:pPr>
              <w:pStyle w:val="TableParagraph"/>
              <w:spacing w:before="7"/>
              <w:ind w:left="102"/>
              <w:rPr>
                <w:sz w:val="16"/>
              </w:rPr>
            </w:pPr>
            <w:r>
              <w:rPr>
                <w:color w:val="231F20"/>
                <w:w w:val="110"/>
                <w:sz w:val="16"/>
              </w:rPr>
              <w:t>10%</w:t>
            </w:r>
          </w:p>
        </w:tc>
        <w:tc>
          <w:tcPr>
            <w:tcW w:w="722" w:type="dxa"/>
            <w:tcBorders>
              <w:left w:val="single" w:sz="8" w:space="0" w:color="231F20"/>
            </w:tcBorders>
          </w:tcPr>
          <w:p w14:paraId="7EC2A6BF" w14:textId="77777777" w:rsidR="009948F1" w:rsidRDefault="00BC0563">
            <w:pPr>
              <w:pStyle w:val="TableParagraph"/>
              <w:spacing w:before="7"/>
              <w:ind w:left="101"/>
              <w:rPr>
                <w:sz w:val="16"/>
              </w:rPr>
            </w:pPr>
            <w:r>
              <w:rPr>
                <w:color w:val="231F20"/>
                <w:w w:val="110"/>
                <w:sz w:val="16"/>
              </w:rPr>
              <w:t>20%</w:t>
            </w:r>
          </w:p>
        </w:tc>
        <w:tc>
          <w:tcPr>
            <w:tcW w:w="724" w:type="dxa"/>
          </w:tcPr>
          <w:p w14:paraId="0C83E7AC" w14:textId="77777777" w:rsidR="009948F1" w:rsidRDefault="00BC0563">
            <w:pPr>
              <w:pStyle w:val="TableParagraph"/>
              <w:spacing w:before="7"/>
              <w:ind w:left="106"/>
              <w:rPr>
                <w:sz w:val="16"/>
              </w:rPr>
            </w:pPr>
            <w:r>
              <w:rPr>
                <w:color w:val="231F20"/>
                <w:w w:val="110"/>
                <w:sz w:val="16"/>
              </w:rPr>
              <w:t>30%</w:t>
            </w:r>
          </w:p>
        </w:tc>
        <w:tc>
          <w:tcPr>
            <w:tcW w:w="722" w:type="dxa"/>
          </w:tcPr>
          <w:p w14:paraId="3B5B75BF" w14:textId="77777777" w:rsidR="009948F1" w:rsidRDefault="00BC0563">
            <w:pPr>
              <w:pStyle w:val="TableParagraph"/>
              <w:spacing w:before="7"/>
              <w:ind w:left="107"/>
              <w:rPr>
                <w:sz w:val="16"/>
              </w:rPr>
            </w:pPr>
            <w:r>
              <w:rPr>
                <w:color w:val="231F20"/>
                <w:w w:val="110"/>
                <w:sz w:val="16"/>
              </w:rPr>
              <w:t>40%</w:t>
            </w:r>
          </w:p>
        </w:tc>
        <w:tc>
          <w:tcPr>
            <w:tcW w:w="758" w:type="dxa"/>
          </w:tcPr>
          <w:p w14:paraId="3EC0E612" w14:textId="77777777" w:rsidR="009948F1" w:rsidRDefault="00BC0563">
            <w:pPr>
              <w:pStyle w:val="TableParagraph"/>
              <w:spacing w:before="7"/>
              <w:ind w:left="106"/>
              <w:rPr>
                <w:sz w:val="16"/>
              </w:rPr>
            </w:pPr>
            <w:r>
              <w:rPr>
                <w:color w:val="231F20"/>
                <w:w w:val="110"/>
                <w:sz w:val="16"/>
              </w:rPr>
              <w:t>50%</w:t>
            </w:r>
          </w:p>
        </w:tc>
        <w:tc>
          <w:tcPr>
            <w:tcW w:w="917" w:type="dxa"/>
          </w:tcPr>
          <w:p w14:paraId="09471789" w14:textId="77777777" w:rsidR="009948F1" w:rsidRDefault="00BC0563">
            <w:pPr>
              <w:pStyle w:val="TableParagraph"/>
              <w:spacing w:before="7"/>
              <w:ind w:left="106"/>
              <w:rPr>
                <w:sz w:val="16"/>
              </w:rPr>
            </w:pPr>
            <w:r>
              <w:rPr>
                <w:color w:val="231F20"/>
                <w:w w:val="110"/>
                <w:sz w:val="16"/>
              </w:rPr>
              <w:t>80%</w:t>
            </w:r>
          </w:p>
        </w:tc>
      </w:tr>
      <w:tr w:rsidR="009948F1" w14:paraId="67400BAE" w14:textId="77777777">
        <w:trPr>
          <w:trHeight w:val="761"/>
        </w:trPr>
        <w:tc>
          <w:tcPr>
            <w:tcW w:w="3032" w:type="dxa"/>
          </w:tcPr>
          <w:p w14:paraId="520D2830" w14:textId="77777777" w:rsidR="009948F1" w:rsidRDefault="00BC0563">
            <w:pPr>
              <w:pStyle w:val="TableParagraph"/>
              <w:spacing w:before="7" w:line="247" w:lineRule="auto"/>
              <w:ind w:left="106" w:right="79"/>
              <w:rPr>
                <w:sz w:val="16"/>
              </w:rPr>
            </w:pPr>
            <w:r>
              <w:rPr>
                <w:color w:val="231F20"/>
                <w:w w:val="110"/>
                <w:sz w:val="16"/>
              </w:rPr>
              <w:t>Percentage of health facilities with no stock-out of tracer drugs or vaccines within the last three</w:t>
            </w:r>
          </w:p>
          <w:p w14:paraId="5DCB9FCA" w14:textId="77777777" w:rsidR="009948F1" w:rsidRDefault="00BC0563">
            <w:pPr>
              <w:pStyle w:val="TableParagraph"/>
              <w:spacing w:before="1" w:line="165" w:lineRule="exact"/>
              <w:ind w:left="106"/>
              <w:rPr>
                <w:sz w:val="16"/>
              </w:rPr>
            </w:pPr>
            <w:r>
              <w:rPr>
                <w:color w:val="231F20"/>
                <w:w w:val="110"/>
                <w:sz w:val="16"/>
              </w:rPr>
              <w:t>months</w:t>
            </w:r>
          </w:p>
        </w:tc>
        <w:tc>
          <w:tcPr>
            <w:tcW w:w="1282" w:type="dxa"/>
            <w:tcBorders>
              <w:top w:val="single" w:sz="8" w:space="0" w:color="231F20"/>
              <w:right w:val="single" w:sz="8" w:space="0" w:color="231F20"/>
            </w:tcBorders>
          </w:tcPr>
          <w:p w14:paraId="67BDE6DE" w14:textId="77777777" w:rsidR="009948F1" w:rsidRDefault="00BC0563">
            <w:pPr>
              <w:pStyle w:val="TableParagraph"/>
              <w:spacing w:before="7"/>
              <w:ind w:left="106"/>
              <w:rPr>
                <w:sz w:val="16"/>
              </w:rPr>
            </w:pPr>
            <w:r>
              <w:rPr>
                <w:color w:val="231F20"/>
                <w:w w:val="110"/>
                <w:sz w:val="16"/>
              </w:rPr>
              <w:t>TBD</w:t>
            </w:r>
          </w:p>
        </w:tc>
        <w:tc>
          <w:tcPr>
            <w:tcW w:w="722" w:type="dxa"/>
            <w:tcBorders>
              <w:top w:val="single" w:sz="8" w:space="0" w:color="231F20"/>
              <w:left w:val="single" w:sz="8" w:space="0" w:color="231F20"/>
              <w:right w:val="single" w:sz="8" w:space="0" w:color="231F20"/>
            </w:tcBorders>
          </w:tcPr>
          <w:p w14:paraId="7B4EAE5B" w14:textId="77777777" w:rsidR="009948F1" w:rsidRDefault="00BC0563">
            <w:pPr>
              <w:pStyle w:val="TableParagraph"/>
              <w:spacing w:before="7"/>
              <w:ind w:left="102"/>
              <w:rPr>
                <w:sz w:val="16"/>
              </w:rPr>
            </w:pPr>
            <w:r>
              <w:rPr>
                <w:color w:val="231F20"/>
                <w:w w:val="110"/>
                <w:sz w:val="16"/>
              </w:rPr>
              <w:t>35%</w:t>
            </w:r>
          </w:p>
        </w:tc>
        <w:tc>
          <w:tcPr>
            <w:tcW w:w="722" w:type="dxa"/>
            <w:tcBorders>
              <w:left w:val="single" w:sz="8" w:space="0" w:color="231F20"/>
            </w:tcBorders>
          </w:tcPr>
          <w:p w14:paraId="1483E5DA" w14:textId="77777777" w:rsidR="009948F1" w:rsidRDefault="00BC0563">
            <w:pPr>
              <w:pStyle w:val="TableParagraph"/>
              <w:spacing w:before="7"/>
              <w:ind w:left="101"/>
              <w:rPr>
                <w:sz w:val="16"/>
              </w:rPr>
            </w:pPr>
            <w:r>
              <w:rPr>
                <w:color w:val="231F20"/>
                <w:w w:val="110"/>
                <w:sz w:val="16"/>
              </w:rPr>
              <w:t>40%</w:t>
            </w:r>
          </w:p>
        </w:tc>
        <w:tc>
          <w:tcPr>
            <w:tcW w:w="724" w:type="dxa"/>
          </w:tcPr>
          <w:p w14:paraId="23159B5D" w14:textId="77777777" w:rsidR="009948F1" w:rsidRDefault="00BC0563">
            <w:pPr>
              <w:pStyle w:val="TableParagraph"/>
              <w:spacing w:before="7"/>
              <w:ind w:left="106"/>
              <w:rPr>
                <w:sz w:val="16"/>
              </w:rPr>
            </w:pPr>
            <w:r>
              <w:rPr>
                <w:color w:val="231F20"/>
                <w:w w:val="110"/>
                <w:sz w:val="16"/>
              </w:rPr>
              <w:t>50%</w:t>
            </w:r>
          </w:p>
        </w:tc>
        <w:tc>
          <w:tcPr>
            <w:tcW w:w="722" w:type="dxa"/>
          </w:tcPr>
          <w:p w14:paraId="0EF5F6FC" w14:textId="77777777" w:rsidR="009948F1" w:rsidRDefault="00BC0563">
            <w:pPr>
              <w:pStyle w:val="TableParagraph"/>
              <w:spacing w:before="7"/>
              <w:ind w:left="107"/>
              <w:rPr>
                <w:sz w:val="16"/>
              </w:rPr>
            </w:pPr>
            <w:r>
              <w:rPr>
                <w:color w:val="231F20"/>
                <w:w w:val="110"/>
                <w:sz w:val="16"/>
              </w:rPr>
              <w:t>55%</w:t>
            </w:r>
          </w:p>
        </w:tc>
        <w:tc>
          <w:tcPr>
            <w:tcW w:w="758" w:type="dxa"/>
          </w:tcPr>
          <w:p w14:paraId="0D10DDDE" w14:textId="77777777" w:rsidR="009948F1" w:rsidRDefault="00BC0563">
            <w:pPr>
              <w:pStyle w:val="TableParagraph"/>
              <w:spacing w:before="7"/>
              <w:ind w:left="106"/>
              <w:rPr>
                <w:sz w:val="16"/>
              </w:rPr>
            </w:pPr>
            <w:r>
              <w:rPr>
                <w:color w:val="231F20"/>
                <w:w w:val="110"/>
                <w:sz w:val="16"/>
              </w:rPr>
              <w:t>60%</w:t>
            </w:r>
          </w:p>
        </w:tc>
        <w:tc>
          <w:tcPr>
            <w:tcW w:w="917" w:type="dxa"/>
          </w:tcPr>
          <w:p w14:paraId="5B1C4997" w14:textId="77777777" w:rsidR="009948F1" w:rsidRDefault="009948F1">
            <w:pPr>
              <w:pStyle w:val="TableParagraph"/>
              <w:rPr>
                <w:rFonts w:ascii="Times New Roman"/>
                <w:sz w:val="20"/>
              </w:rPr>
            </w:pPr>
          </w:p>
        </w:tc>
      </w:tr>
      <w:tr w:rsidR="009948F1" w14:paraId="7B81795B" w14:textId="77777777">
        <w:trPr>
          <w:trHeight w:val="568"/>
        </w:trPr>
        <w:tc>
          <w:tcPr>
            <w:tcW w:w="3032" w:type="dxa"/>
          </w:tcPr>
          <w:p w14:paraId="1F0D0CA5" w14:textId="77777777" w:rsidR="009948F1" w:rsidRDefault="00BC0563">
            <w:pPr>
              <w:pStyle w:val="TableParagraph"/>
              <w:spacing w:before="3"/>
              <w:ind w:left="106"/>
              <w:rPr>
                <w:sz w:val="16"/>
              </w:rPr>
            </w:pPr>
            <w:r>
              <w:rPr>
                <w:color w:val="231F20"/>
                <w:w w:val="110"/>
                <w:sz w:val="16"/>
              </w:rPr>
              <w:t>Number of LGAs having a medicine</w:t>
            </w:r>
          </w:p>
          <w:p w14:paraId="52AAE823" w14:textId="77777777" w:rsidR="009948F1" w:rsidRDefault="00BC0563">
            <w:pPr>
              <w:pStyle w:val="TableParagraph"/>
              <w:spacing w:before="1" w:line="190" w:lineRule="atLeast"/>
              <w:ind w:left="106"/>
              <w:rPr>
                <w:sz w:val="16"/>
              </w:rPr>
            </w:pPr>
            <w:r>
              <w:rPr>
                <w:color w:val="231F20"/>
                <w:w w:val="110"/>
                <w:sz w:val="16"/>
              </w:rPr>
              <w:t>and therapeutic committee at the state and facility levels</w:t>
            </w:r>
          </w:p>
        </w:tc>
        <w:tc>
          <w:tcPr>
            <w:tcW w:w="1282" w:type="dxa"/>
          </w:tcPr>
          <w:p w14:paraId="01986A86" w14:textId="77777777" w:rsidR="009948F1" w:rsidRDefault="00BC0563">
            <w:pPr>
              <w:pStyle w:val="TableParagraph"/>
              <w:spacing w:before="3"/>
              <w:ind w:left="106"/>
              <w:rPr>
                <w:sz w:val="16"/>
              </w:rPr>
            </w:pPr>
            <w:r>
              <w:rPr>
                <w:color w:val="231F20"/>
                <w:w w:val="110"/>
                <w:sz w:val="16"/>
              </w:rPr>
              <w:t>TBD</w:t>
            </w:r>
          </w:p>
        </w:tc>
        <w:tc>
          <w:tcPr>
            <w:tcW w:w="722" w:type="dxa"/>
          </w:tcPr>
          <w:p w14:paraId="4F3B480F" w14:textId="77777777" w:rsidR="009948F1" w:rsidRDefault="00BC0563">
            <w:pPr>
              <w:pStyle w:val="TableParagraph"/>
              <w:spacing w:before="3"/>
              <w:ind w:left="157"/>
              <w:rPr>
                <w:sz w:val="16"/>
              </w:rPr>
            </w:pPr>
            <w:r>
              <w:rPr>
                <w:color w:val="231F20"/>
                <w:w w:val="110"/>
                <w:sz w:val="16"/>
              </w:rPr>
              <w:t>5%</w:t>
            </w:r>
          </w:p>
        </w:tc>
        <w:tc>
          <w:tcPr>
            <w:tcW w:w="722" w:type="dxa"/>
          </w:tcPr>
          <w:p w14:paraId="304835D4" w14:textId="77777777" w:rsidR="009948F1" w:rsidRDefault="00BC0563">
            <w:pPr>
              <w:pStyle w:val="TableParagraph"/>
              <w:spacing w:before="3"/>
              <w:ind w:left="106"/>
              <w:rPr>
                <w:sz w:val="16"/>
              </w:rPr>
            </w:pPr>
            <w:r>
              <w:rPr>
                <w:color w:val="231F20"/>
                <w:w w:val="110"/>
                <w:sz w:val="16"/>
              </w:rPr>
              <w:t>10%</w:t>
            </w:r>
          </w:p>
        </w:tc>
        <w:tc>
          <w:tcPr>
            <w:tcW w:w="724" w:type="dxa"/>
          </w:tcPr>
          <w:p w14:paraId="5D45C4CE" w14:textId="77777777" w:rsidR="009948F1" w:rsidRDefault="00BC0563">
            <w:pPr>
              <w:pStyle w:val="TableParagraph"/>
              <w:spacing w:before="3"/>
              <w:ind w:left="106"/>
              <w:rPr>
                <w:sz w:val="16"/>
              </w:rPr>
            </w:pPr>
            <w:r>
              <w:rPr>
                <w:color w:val="231F20"/>
                <w:w w:val="110"/>
                <w:sz w:val="16"/>
              </w:rPr>
              <w:t>15%</w:t>
            </w:r>
          </w:p>
        </w:tc>
        <w:tc>
          <w:tcPr>
            <w:tcW w:w="722" w:type="dxa"/>
          </w:tcPr>
          <w:p w14:paraId="589BF4EA" w14:textId="77777777" w:rsidR="009948F1" w:rsidRDefault="00BC0563">
            <w:pPr>
              <w:pStyle w:val="TableParagraph"/>
              <w:spacing w:before="3"/>
              <w:ind w:left="107"/>
              <w:rPr>
                <w:sz w:val="16"/>
              </w:rPr>
            </w:pPr>
            <w:r>
              <w:rPr>
                <w:color w:val="231F20"/>
                <w:w w:val="110"/>
                <w:sz w:val="16"/>
              </w:rPr>
              <w:t>20%</w:t>
            </w:r>
          </w:p>
        </w:tc>
        <w:tc>
          <w:tcPr>
            <w:tcW w:w="758" w:type="dxa"/>
          </w:tcPr>
          <w:p w14:paraId="720FAC4A" w14:textId="77777777" w:rsidR="009948F1" w:rsidRDefault="00BC0563">
            <w:pPr>
              <w:pStyle w:val="TableParagraph"/>
              <w:spacing w:before="3"/>
              <w:ind w:left="106"/>
              <w:rPr>
                <w:sz w:val="16"/>
              </w:rPr>
            </w:pPr>
            <w:r>
              <w:rPr>
                <w:color w:val="231F20"/>
                <w:w w:val="110"/>
                <w:sz w:val="16"/>
              </w:rPr>
              <w:t>25%</w:t>
            </w:r>
          </w:p>
        </w:tc>
        <w:tc>
          <w:tcPr>
            <w:tcW w:w="917" w:type="dxa"/>
          </w:tcPr>
          <w:p w14:paraId="5E5199AD" w14:textId="77777777" w:rsidR="009948F1" w:rsidRDefault="009948F1">
            <w:pPr>
              <w:pStyle w:val="TableParagraph"/>
              <w:rPr>
                <w:rFonts w:ascii="Times New Roman"/>
                <w:sz w:val="20"/>
              </w:rPr>
            </w:pPr>
          </w:p>
        </w:tc>
      </w:tr>
    </w:tbl>
    <w:p w14:paraId="31198D66" w14:textId="77777777" w:rsidR="009948F1" w:rsidRDefault="009948F1">
      <w:pPr>
        <w:rPr>
          <w:rFonts w:ascii="Times New Roman"/>
          <w:sz w:val="20"/>
        </w:rPr>
        <w:sectPr w:rsidR="009948F1">
          <w:pgSz w:w="11910" w:h="16840"/>
          <w:pgMar w:top="1240" w:right="1080" w:bottom="1420" w:left="1120" w:header="0" w:footer="1235" w:gutter="0"/>
          <w:cols w:space="720"/>
        </w:sectPr>
      </w:pPr>
    </w:p>
    <w:p w14:paraId="3C5246EA" w14:textId="77777777" w:rsidR="009948F1" w:rsidRDefault="00BC0563">
      <w:pPr>
        <w:pStyle w:val="Heading7"/>
        <w:spacing w:before="40"/>
        <w:ind w:left="140"/>
      </w:pPr>
      <w:bookmarkStart w:id="97" w:name="Page_83"/>
      <w:bookmarkEnd w:id="97"/>
      <w:r>
        <w:rPr>
          <w:color w:val="231F20"/>
        </w:rPr>
        <w:lastRenderedPageBreak/>
        <w:t>Interventions</w:t>
      </w:r>
    </w:p>
    <w:p w14:paraId="3B775613" w14:textId="401D9DCD" w:rsidR="009948F1" w:rsidRDefault="00BC0563">
      <w:pPr>
        <w:pStyle w:val="ListParagraph"/>
        <w:numPr>
          <w:ilvl w:val="3"/>
          <w:numId w:val="266"/>
        </w:numPr>
        <w:tabs>
          <w:tab w:val="left" w:pos="921"/>
        </w:tabs>
        <w:spacing w:before="34" w:line="273" w:lineRule="auto"/>
        <w:ind w:right="162" w:firstLine="0"/>
      </w:pPr>
      <w:r>
        <w:rPr>
          <w:color w:val="231F20"/>
        </w:rPr>
        <w:t>: Strengthening the development and implementation of legal, regulatory framework, policies</w:t>
      </w:r>
      <w:r>
        <w:rPr>
          <w:color w:val="231F20"/>
          <w:spacing w:val="-7"/>
        </w:rPr>
        <w:t xml:space="preserve"> </w:t>
      </w:r>
      <w:r>
        <w:rPr>
          <w:color w:val="231F20"/>
        </w:rPr>
        <w:t>and</w:t>
      </w:r>
      <w:r>
        <w:rPr>
          <w:color w:val="231F20"/>
          <w:spacing w:val="-7"/>
        </w:rPr>
        <w:t xml:space="preserve"> </w:t>
      </w:r>
      <w:r>
        <w:rPr>
          <w:color w:val="231F20"/>
        </w:rPr>
        <w:t>plans</w:t>
      </w:r>
      <w:r>
        <w:rPr>
          <w:color w:val="231F20"/>
          <w:spacing w:val="-6"/>
        </w:rPr>
        <w:t xml:space="preserve"> </w:t>
      </w:r>
      <w:r>
        <w:rPr>
          <w:color w:val="231F20"/>
        </w:rPr>
        <w:t>for</w:t>
      </w:r>
      <w:r>
        <w:rPr>
          <w:color w:val="231F20"/>
          <w:spacing w:val="-7"/>
        </w:rPr>
        <w:t xml:space="preserve"> </w:t>
      </w:r>
      <w:r>
        <w:rPr>
          <w:color w:val="231F20"/>
        </w:rPr>
        <w:t>drugs,</w:t>
      </w:r>
      <w:r>
        <w:rPr>
          <w:color w:val="231F20"/>
          <w:spacing w:val="-7"/>
        </w:rPr>
        <w:t xml:space="preserve"> </w:t>
      </w:r>
      <w:r>
        <w:rPr>
          <w:color w:val="231F20"/>
        </w:rPr>
        <w:t>vaccines,</w:t>
      </w:r>
      <w:r>
        <w:rPr>
          <w:color w:val="231F20"/>
          <w:spacing w:val="-6"/>
        </w:rPr>
        <w:t xml:space="preserve"> </w:t>
      </w:r>
      <w:r>
        <w:rPr>
          <w:color w:val="231F20"/>
        </w:rPr>
        <w:t>commodities</w:t>
      </w:r>
      <w:r>
        <w:rPr>
          <w:color w:val="231F20"/>
          <w:spacing w:val="-6"/>
        </w:rPr>
        <w:t xml:space="preserve"> </w:t>
      </w:r>
      <w:r>
        <w:rPr>
          <w:color w:val="231F20"/>
        </w:rPr>
        <w:t>and</w:t>
      </w:r>
      <w:r>
        <w:rPr>
          <w:color w:val="231F20"/>
          <w:spacing w:val="-7"/>
        </w:rPr>
        <w:t xml:space="preserve"> </w:t>
      </w:r>
      <w:r>
        <w:rPr>
          <w:color w:val="231F20"/>
        </w:rPr>
        <w:t>health</w:t>
      </w:r>
      <w:r>
        <w:rPr>
          <w:color w:val="231F20"/>
          <w:spacing w:val="-6"/>
        </w:rPr>
        <w:t xml:space="preserve"> </w:t>
      </w:r>
      <w:r>
        <w:rPr>
          <w:color w:val="231F20"/>
        </w:rPr>
        <w:t>technologies</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levels.</w:t>
      </w:r>
      <w:r>
        <w:rPr>
          <w:color w:val="231F20"/>
          <w:spacing w:val="-10"/>
        </w:rPr>
        <w:t xml:space="preserve"> </w:t>
      </w:r>
      <w:r>
        <w:rPr>
          <w:color w:val="231F20"/>
        </w:rPr>
        <w:t>The</w:t>
      </w:r>
      <w:r>
        <w:rPr>
          <w:color w:val="231F20"/>
          <w:spacing w:val="-7"/>
        </w:rPr>
        <w:t xml:space="preserve"> </w:t>
      </w:r>
      <w:r>
        <w:rPr>
          <w:color w:val="231F20"/>
        </w:rPr>
        <w:t>Key actions;</w:t>
      </w:r>
      <w:r>
        <w:rPr>
          <w:color w:val="231F20"/>
          <w:spacing w:val="-7"/>
        </w:rPr>
        <w:t xml:space="preserve"> </w:t>
      </w:r>
      <w:r>
        <w:rPr>
          <w:color w:val="231F20"/>
        </w:rPr>
        <w:t>-</w:t>
      </w:r>
      <w:r>
        <w:rPr>
          <w:color w:val="231F20"/>
          <w:spacing w:val="-18"/>
        </w:rPr>
        <w:t xml:space="preserve"> </w:t>
      </w:r>
      <w:r>
        <w:rPr>
          <w:color w:val="231F20"/>
        </w:rPr>
        <w:t>Adapt</w:t>
      </w:r>
      <w:r>
        <w:rPr>
          <w:color w:val="231F20"/>
          <w:spacing w:val="-6"/>
        </w:rPr>
        <w:t xml:space="preserve"> </w:t>
      </w:r>
      <w:r>
        <w:rPr>
          <w:color w:val="231F20"/>
        </w:rPr>
        <w:t>the</w:t>
      </w:r>
      <w:r>
        <w:rPr>
          <w:color w:val="231F20"/>
          <w:spacing w:val="-6"/>
        </w:rPr>
        <w:t xml:space="preserve"> </w:t>
      </w:r>
      <w:r>
        <w:rPr>
          <w:color w:val="231F20"/>
        </w:rPr>
        <w:t>National</w:t>
      </w:r>
      <w:r>
        <w:rPr>
          <w:color w:val="231F20"/>
          <w:spacing w:val="-6"/>
        </w:rPr>
        <w:t xml:space="preserve"> </w:t>
      </w:r>
      <w:r>
        <w:rPr>
          <w:color w:val="231F20"/>
        </w:rPr>
        <w:t>Public</w:t>
      </w:r>
      <w:r>
        <w:rPr>
          <w:color w:val="231F20"/>
          <w:spacing w:val="-6"/>
        </w:rPr>
        <w:t xml:space="preserve"> </w:t>
      </w:r>
      <w:r>
        <w:rPr>
          <w:color w:val="231F20"/>
        </w:rPr>
        <w:t>Health</w:t>
      </w:r>
      <w:r>
        <w:rPr>
          <w:color w:val="231F20"/>
          <w:spacing w:val="-6"/>
        </w:rPr>
        <w:t xml:space="preserve"> </w:t>
      </w:r>
      <w:r>
        <w:rPr>
          <w:color w:val="231F20"/>
        </w:rPr>
        <w:t>Supply</w:t>
      </w:r>
      <w:r>
        <w:rPr>
          <w:color w:val="231F20"/>
          <w:spacing w:val="-6"/>
        </w:rPr>
        <w:t xml:space="preserve"> </w:t>
      </w:r>
      <w:r>
        <w:rPr>
          <w:color w:val="231F20"/>
        </w:rPr>
        <w:t>Chain</w:t>
      </w:r>
      <w:r>
        <w:rPr>
          <w:color w:val="231F20"/>
          <w:spacing w:val="-7"/>
        </w:rPr>
        <w:t xml:space="preserve"> </w:t>
      </w:r>
      <w:r>
        <w:rPr>
          <w:color w:val="231F20"/>
        </w:rPr>
        <w:t>Policy</w:t>
      </w:r>
      <w:r>
        <w:rPr>
          <w:color w:val="231F20"/>
          <w:spacing w:val="-6"/>
        </w:rPr>
        <w:t xml:space="preserve"> </w:t>
      </w:r>
      <w:r>
        <w:rPr>
          <w:color w:val="231F20"/>
        </w:rPr>
        <w:t>and</w:t>
      </w:r>
      <w:r>
        <w:rPr>
          <w:color w:val="231F20"/>
          <w:spacing w:val="-6"/>
        </w:rPr>
        <w:t xml:space="preserve"> </w:t>
      </w:r>
      <w:r>
        <w:rPr>
          <w:color w:val="231F20"/>
        </w:rPr>
        <w:t>implement</w:t>
      </w:r>
      <w:r>
        <w:rPr>
          <w:color w:val="231F20"/>
          <w:spacing w:val="-6"/>
        </w:rPr>
        <w:t xml:space="preserve"> </w:t>
      </w:r>
      <w:r>
        <w:rPr>
          <w:color w:val="231F20"/>
        </w:rPr>
        <w:t>enabling</w:t>
      </w:r>
      <w:r>
        <w:rPr>
          <w:color w:val="231F20"/>
          <w:spacing w:val="-6"/>
        </w:rPr>
        <w:t xml:space="preserve"> </w:t>
      </w:r>
      <w:r>
        <w:rPr>
          <w:color w:val="231F20"/>
        </w:rPr>
        <w:t>legal</w:t>
      </w:r>
      <w:r>
        <w:rPr>
          <w:color w:val="231F20"/>
          <w:spacing w:val="-6"/>
        </w:rPr>
        <w:t xml:space="preserve"> </w:t>
      </w:r>
      <w:r>
        <w:rPr>
          <w:color w:val="231F20"/>
        </w:rPr>
        <w:t>and regulatory</w:t>
      </w:r>
      <w:r>
        <w:rPr>
          <w:color w:val="231F20"/>
          <w:spacing w:val="-18"/>
        </w:rPr>
        <w:t xml:space="preserve"> </w:t>
      </w:r>
      <w:r>
        <w:rPr>
          <w:color w:val="231F20"/>
        </w:rPr>
        <w:t>frameworks,</w:t>
      </w:r>
      <w:r>
        <w:rPr>
          <w:color w:val="231F20"/>
          <w:spacing w:val="-18"/>
        </w:rPr>
        <w:t xml:space="preserve"> </w:t>
      </w:r>
      <w:r>
        <w:rPr>
          <w:color w:val="231F20"/>
        </w:rPr>
        <w:t>policies,</w:t>
      </w:r>
      <w:r>
        <w:rPr>
          <w:color w:val="231F20"/>
          <w:spacing w:val="-18"/>
        </w:rPr>
        <w:t xml:space="preserve"> </w:t>
      </w:r>
      <w:r>
        <w:rPr>
          <w:color w:val="231F20"/>
        </w:rPr>
        <w:t>guidelines;</w:t>
      </w:r>
      <w:r>
        <w:rPr>
          <w:color w:val="231F20"/>
          <w:spacing w:val="-18"/>
        </w:rPr>
        <w:t xml:space="preserve"> </w:t>
      </w:r>
      <w:r>
        <w:rPr>
          <w:color w:val="231F20"/>
        </w:rPr>
        <w:t>Develop</w:t>
      </w:r>
      <w:r>
        <w:rPr>
          <w:color w:val="231F20"/>
          <w:spacing w:val="-17"/>
        </w:rPr>
        <w:t xml:space="preserve"> </w:t>
      </w:r>
      <w:r>
        <w:rPr>
          <w:color w:val="231F20"/>
        </w:rPr>
        <w:t>&amp;</w:t>
      </w:r>
      <w:r>
        <w:rPr>
          <w:color w:val="231F20"/>
          <w:spacing w:val="-18"/>
        </w:rPr>
        <w:t xml:space="preserve"> </w:t>
      </w:r>
      <w:r>
        <w:rPr>
          <w:color w:val="231F20"/>
        </w:rPr>
        <w:t>disseminate</w:t>
      </w:r>
      <w:r>
        <w:rPr>
          <w:color w:val="231F20"/>
          <w:spacing w:val="-17"/>
        </w:rPr>
        <w:t xml:space="preserve"> </w:t>
      </w:r>
      <w:r>
        <w:rPr>
          <w:color w:val="231F20"/>
        </w:rPr>
        <w:t>SOPs</w:t>
      </w:r>
      <w:r>
        <w:rPr>
          <w:color w:val="231F20"/>
          <w:spacing w:val="-19"/>
        </w:rPr>
        <w:t xml:space="preserve"> </w:t>
      </w:r>
      <w:r>
        <w:rPr>
          <w:color w:val="231F20"/>
        </w:rPr>
        <w:t>for</w:t>
      </w:r>
      <w:r>
        <w:rPr>
          <w:color w:val="231F20"/>
          <w:spacing w:val="-18"/>
        </w:rPr>
        <w:t xml:space="preserve"> </w:t>
      </w:r>
      <w:r>
        <w:rPr>
          <w:color w:val="231F20"/>
        </w:rPr>
        <w:t>medicines,</w:t>
      </w:r>
      <w:r>
        <w:rPr>
          <w:color w:val="231F20"/>
          <w:spacing w:val="-17"/>
        </w:rPr>
        <w:t xml:space="preserve"> </w:t>
      </w:r>
      <w:r>
        <w:rPr>
          <w:color w:val="231F20"/>
        </w:rPr>
        <w:t xml:space="preserve">vaccines, laboratory supplies, equipment and other health commodities; Establish Logistics Management Coordinating Unit (LMCU) in SMOH &amp; RSPHCMB and develop annual </w:t>
      </w:r>
      <w:r w:rsidR="00E62884">
        <w:rPr>
          <w:color w:val="231F20"/>
        </w:rPr>
        <w:t>work plan</w:t>
      </w:r>
      <w:r>
        <w:rPr>
          <w:color w:val="231F20"/>
        </w:rPr>
        <w:t xml:space="preserve"> and ensure implementation; Set up state Integrated Procurement and Supply Chain Management </w:t>
      </w:r>
      <w:r>
        <w:rPr>
          <w:color w:val="231F20"/>
          <w:spacing w:val="-5"/>
        </w:rPr>
        <w:t xml:space="preserve">Technical </w:t>
      </w:r>
      <w:r>
        <w:rPr>
          <w:color w:val="231F20"/>
        </w:rPr>
        <w:t>Working Group (IPSM TWG) for supply chain decisions at the highest level and coordinate the activities;</w:t>
      </w:r>
      <w:r>
        <w:rPr>
          <w:color w:val="231F20"/>
          <w:spacing w:val="-11"/>
        </w:rPr>
        <w:t xml:space="preserve"> </w:t>
      </w:r>
      <w:r>
        <w:rPr>
          <w:color w:val="231F20"/>
        </w:rPr>
        <w:t>Conduct</w:t>
      </w:r>
      <w:r>
        <w:rPr>
          <w:color w:val="231F20"/>
          <w:spacing w:val="-11"/>
        </w:rPr>
        <w:t xml:space="preserve"> </w:t>
      </w:r>
      <w:r>
        <w:rPr>
          <w:color w:val="231F20"/>
        </w:rPr>
        <w:t>an</w:t>
      </w:r>
      <w:r>
        <w:rPr>
          <w:color w:val="231F20"/>
          <w:spacing w:val="-11"/>
        </w:rPr>
        <w:t xml:space="preserve"> </w:t>
      </w:r>
      <w:r>
        <w:rPr>
          <w:color w:val="231F20"/>
        </w:rPr>
        <w:t>integrated</w:t>
      </w:r>
      <w:r>
        <w:rPr>
          <w:color w:val="231F20"/>
          <w:spacing w:val="-11"/>
        </w:rPr>
        <w:t xml:space="preserve"> </w:t>
      </w:r>
      <w:r>
        <w:rPr>
          <w:color w:val="231F20"/>
        </w:rPr>
        <w:t>State</w:t>
      </w:r>
      <w:r>
        <w:rPr>
          <w:color w:val="231F20"/>
          <w:spacing w:val="-10"/>
        </w:rPr>
        <w:t xml:space="preserve"> </w:t>
      </w:r>
      <w:r>
        <w:rPr>
          <w:color w:val="231F20"/>
        </w:rPr>
        <w:t>stock</w:t>
      </w:r>
      <w:r>
        <w:rPr>
          <w:color w:val="231F20"/>
          <w:spacing w:val="-11"/>
        </w:rPr>
        <w:t xml:space="preserve"> </w:t>
      </w:r>
      <w:r>
        <w:rPr>
          <w:color w:val="231F20"/>
        </w:rPr>
        <w:t>status</w:t>
      </w:r>
      <w:r>
        <w:rPr>
          <w:color w:val="231F20"/>
          <w:spacing w:val="-11"/>
        </w:rPr>
        <w:t xml:space="preserve"> </w:t>
      </w:r>
      <w:r>
        <w:rPr>
          <w:color w:val="231F20"/>
        </w:rPr>
        <w:t>of</w:t>
      </w:r>
      <w:r>
        <w:rPr>
          <w:color w:val="231F20"/>
          <w:spacing w:val="-11"/>
        </w:rPr>
        <w:t xml:space="preserve"> </w:t>
      </w:r>
      <w:r>
        <w:rPr>
          <w:color w:val="231F20"/>
        </w:rPr>
        <w:t>public</w:t>
      </w:r>
      <w:r>
        <w:rPr>
          <w:color w:val="231F20"/>
          <w:spacing w:val="-10"/>
        </w:rPr>
        <w:t xml:space="preserve"> </w:t>
      </w:r>
      <w:r>
        <w:rPr>
          <w:color w:val="231F20"/>
        </w:rPr>
        <w:t>health</w:t>
      </w:r>
      <w:r>
        <w:rPr>
          <w:color w:val="231F20"/>
          <w:spacing w:val="-11"/>
        </w:rPr>
        <w:t xml:space="preserve"> </w:t>
      </w:r>
      <w:r>
        <w:rPr>
          <w:color w:val="231F20"/>
        </w:rPr>
        <w:t>commodities</w:t>
      </w:r>
      <w:r>
        <w:rPr>
          <w:color w:val="231F20"/>
          <w:spacing w:val="-11"/>
        </w:rPr>
        <w:t xml:space="preserve"> </w:t>
      </w:r>
      <w:r>
        <w:rPr>
          <w:color w:val="231F20"/>
        </w:rPr>
        <w:t>meetings</w:t>
      </w:r>
      <w:r>
        <w:rPr>
          <w:color w:val="231F20"/>
          <w:spacing w:val="-11"/>
        </w:rPr>
        <w:t xml:space="preserve"> </w:t>
      </w:r>
      <w:r>
        <w:rPr>
          <w:color w:val="231F20"/>
        </w:rPr>
        <w:t>at</w:t>
      </w:r>
      <w:r>
        <w:rPr>
          <w:color w:val="231F20"/>
          <w:spacing w:val="-10"/>
        </w:rPr>
        <w:t xml:space="preserve"> </w:t>
      </w:r>
      <w:r>
        <w:rPr>
          <w:color w:val="231F20"/>
          <w:spacing w:val="-3"/>
        </w:rPr>
        <w:t xml:space="preserve">State </w:t>
      </w:r>
      <w:r>
        <w:rPr>
          <w:color w:val="231F20"/>
        </w:rPr>
        <w:t>and</w:t>
      </w:r>
      <w:r>
        <w:rPr>
          <w:color w:val="231F20"/>
          <w:spacing w:val="-25"/>
        </w:rPr>
        <w:t xml:space="preserve"> </w:t>
      </w:r>
      <w:r>
        <w:rPr>
          <w:color w:val="231F20"/>
        </w:rPr>
        <w:t>LGA</w:t>
      </w:r>
      <w:r>
        <w:rPr>
          <w:color w:val="231F20"/>
          <w:spacing w:val="-37"/>
        </w:rPr>
        <w:t xml:space="preserve"> </w:t>
      </w:r>
      <w:r>
        <w:rPr>
          <w:color w:val="231F20"/>
        </w:rPr>
        <w:t>levels.</w:t>
      </w:r>
    </w:p>
    <w:p w14:paraId="6C2DF349" w14:textId="77777777" w:rsidR="009948F1" w:rsidRDefault="009948F1">
      <w:pPr>
        <w:pStyle w:val="BodyText"/>
        <w:spacing w:before="10"/>
        <w:rPr>
          <w:sz w:val="23"/>
        </w:rPr>
      </w:pPr>
    </w:p>
    <w:p w14:paraId="39DB364D" w14:textId="77777777" w:rsidR="009948F1" w:rsidRDefault="00BC0563">
      <w:pPr>
        <w:pStyle w:val="ListParagraph"/>
        <w:numPr>
          <w:ilvl w:val="3"/>
          <w:numId w:val="266"/>
        </w:numPr>
        <w:tabs>
          <w:tab w:val="left" w:pos="921"/>
        </w:tabs>
        <w:spacing w:before="1" w:line="273" w:lineRule="auto"/>
        <w:ind w:right="162" w:firstLine="0"/>
      </w:pPr>
      <w:r>
        <w:rPr>
          <w:color w:val="231F20"/>
        </w:rPr>
        <w:t>: Strengthen effective coordination of structures that ensures accessibility of medicines, vaccines,</w:t>
      </w:r>
      <w:r>
        <w:rPr>
          <w:color w:val="231F20"/>
          <w:spacing w:val="-11"/>
        </w:rPr>
        <w:t xml:space="preserve"> </w:t>
      </w:r>
      <w:r>
        <w:rPr>
          <w:color w:val="231F20"/>
        </w:rPr>
        <w:t>commodities</w:t>
      </w:r>
      <w:r>
        <w:rPr>
          <w:color w:val="231F20"/>
          <w:spacing w:val="-10"/>
        </w:rPr>
        <w:t xml:space="preserve"> </w:t>
      </w:r>
      <w:r>
        <w:rPr>
          <w:color w:val="231F20"/>
        </w:rPr>
        <w:t>and</w:t>
      </w:r>
      <w:r>
        <w:rPr>
          <w:color w:val="231F20"/>
          <w:spacing w:val="-10"/>
        </w:rPr>
        <w:t xml:space="preserve"> </w:t>
      </w:r>
      <w:r>
        <w:rPr>
          <w:color w:val="231F20"/>
        </w:rPr>
        <w:t>other</w:t>
      </w:r>
      <w:r>
        <w:rPr>
          <w:color w:val="231F20"/>
          <w:spacing w:val="-10"/>
        </w:rPr>
        <w:t xml:space="preserve"> </w:t>
      </w:r>
      <w:r>
        <w:rPr>
          <w:color w:val="231F20"/>
        </w:rPr>
        <w:t>technologies</w:t>
      </w:r>
      <w:r>
        <w:rPr>
          <w:color w:val="231F20"/>
          <w:spacing w:val="-10"/>
        </w:rPr>
        <w:t xml:space="preserve"> </w:t>
      </w:r>
      <w:r>
        <w:rPr>
          <w:color w:val="231F20"/>
        </w:rPr>
        <w:t>at</w:t>
      </w:r>
      <w:r>
        <w:rPr>
          <w:color w:val="231F20"/>
          <w:spacing w:val="-10"/>
        </w:rPr>
        <w:t xml:space="preserve"> </w:t>
      </w:r>
      <w:r>
        <w:rPr>
          <w:color w:val="231F20"/>
        </w:rPr>
        <w:t>all</w:t>
      </w:r>
      <w:r>
        <w:rPr>
          <w:color w:val="231F20"/>
          <w:spacing w:val="-10"/>
        </w:rPr>
        <w:t xml:space="preserve"> </w:t>
      </w:r>
      <w:r>
        <w:rPr>
          <w:color w:val="231F20"/>
        </w:rPr>
        <w:t>levels</w:t>
      </w:r>
      <w:r>
        <w:rPr>
          <w:color w:val="231F20"/>
          <w:spacing w:val="-10"/>
        </w:rPr>
        <w:t xml:space="preserve"> </w:t>
      </w:r>
      <w:r>
        <w:rPr>
          <w:color w:val="231F20"/>
        </w:rPr>
        <w:t>and</w:t>
      </w:r>
      <w:r>
        <w:rPr>
          <w:color w:val="231F20"/>
          <w:spacing w:val="-10"/>
        </w:rPr>
        <w:t xml:space="preserve"> </w:t>
      </w:r>
      <w:r>
        <w:rPr>
          <w:color w:val="231F20"/>
        </w:rPr>
        <w:t>at</w:t>
      </w:r>
      <w:r>
        <w:rPr>
          <w:color w:val="231F20"/>
          <w:spacing w:val="-10"/>
        </w:rPr>
        <w:t xml:space="preserve"> </w:t>
      </w:r>
      <w:r>
        <w:rPr>
          <w:color w:val="231F20"/>
        </w:rPr>
        <w:t>all</w:t>
      </w:r>
      <w:r>
        <w:rPr>
          <w:color w:val="231F20"/>
          <w:spacing w:val="-10"/>
        </w:rPr>
        <w:t xml:space="preserve"> </w:t>
      </w:r>
      <w:r>
        <w:rPr>
          <w:color w:val="231F20"/>
        </w:rPr>
        <w:t>times.</w:t>
      </w:r>
      <w:r>
        <w:rPr>
          <w:color w:val="231F20"/>
          <w:spacing w:val="-14"/>
        </w:rPr>
        <w:t xml:space="preserve"> </w:t>
      </w:r>
      <w:r>
        <w:rPr>
          <w:color w:val="231F20"/>
        </w:rPr>
        <w:t>The</w:t>
      </w:r>
      <w:r>
        <w:rPr>
          <w:color w:val="231F20"/>
          <w:spacing w:val="-10"/>
        </w:rPr>
        <w:t xml:space="preserve"> </w:t>
      </w:r>
      <w:r>
        <w:rPr>
          <w:color w:val="231F20"/>
        </w:rPr>
        <w:t>activities</w:t>
      </w:r>
      <w:r>
        <w:rPr>
          <w:color w:val="231F20"/>
          <w:spacing w:val="-10"/>
        </w:rPr>
        <w:t xml:space="preserve"> </w:t>
      </w:r>
      <w:r>
        <w:rPr>
          <w:color w:val="231F20"/>
        </w:rPr>
        <w:t>include;</w:t>
      </w:r>
      <w:r>
        <w:rPr>
          <w:color w:val="231F20"/>
          <w:spacing w:val="-10"/>
        </w:rPr>
        <w:t xml:space="preserve"> </w:t>
      </w:r>
      <w:r>
        <w:rPr>
          <w:color w:val="231F20"/>
          <w:spacing w:val="-12"/>
        </w:rPr>
        <w:t xml:space="preserve">- </w:t>
      </w:r>
      <w:r>
        <w:rPr>
          <w:color w:val="231F20"/>
        </w:rPr>
        <w:t>Conduct</w:t>
      </w:r>
      <w:r>
        <w:rPr>
          <w:color w:val="231F20"/>
          <w:spacing w:val="-9"/>
        </w:rPr>
        <w:t xml:space="preserve"> </w:t>
      </w:r>
      <w:r>
        <w:rPr>
          <w:color w:val="231F20"/>
        </w:rPr>
        <w:t>advocacy</w:t>
      </w:r>
      <w:r>
        <w:rPr>
          <w:color w:val="231F20"/>
          <w:spacing w:val="-8"/>
        </w:rPr>
        <w:t xml:space="preserve"> </w:t>
      </w:r>
      <w:r>
        <w:rPr>
          <w:color w:val="231F20"/>
        </w:rPr>
        <w:t>to</w:t>
      </w:r>
      <w:r>
        <w:rPr>
          <w:color w:val="231F20"/>
          <w:spacing w:val="-8"/>
        </w:rPr>
        <w:t xml:space="preserve"> </w:t>
      </w:r>
      <w:r>
        <w:rPr>
          <w:color w:val="231F20"/>
        </w:rPr>
        <w:t>governments</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establishment</w:t>
      </w:r>
      <w:r>
        <w:rPr>
          <w:color w:val="231F20"/>
          <w:spacing w:val="-8"/>
        </w:rPr>
        <w:t xml:space="preserve"> </w:t>
      </w:r>
      <w:r>
        <w:rPr>
          <w:color w:val="231F20"/>
        </w:rPr>
        <w:t>of</w:t>
      </w:r>
      <w:r>
        <w:rPr>
          <w:color w:val="231F20"/>
          <w:spacing w:val="-8"/>
        </w:rPr>
        <w:t xml:space="preserve"> </w:t>
      </w:r>
      <w:r>
        <w:rPr>
          <w:color w:val="231F20"/>
        </w:rPr>
        <w:t>funding</w:t>
      </w:r>
      <w:r>
        <w:rPr>
          <w:color w:val="231F20"/>
          <w:spacing w:val="-8"/>
        </w:rPr>
        <w:t xml:space="preserve"> </w:t>
      </w:r>
      <w:r>
        <w:rPr>
          <w:color w:val="231F20"/>
        </w:rPr>
        <w:t>streams</w:t>
      </w:r>
      <w:r>
        <w:rPr>
          <w:color w:val="231F20"/>
          <w:spacing w:val="-8"/>
        </w:rPr>
        <w:t xml:space="preserve"> </w:t>
      </w:r>
      <w:r>
        <w:rPr>
          <w:color w:val="231F20"/>
        </w:rPr>
        <w:t>and</w:t>
      </w:r>
      <w:r>
        <w:rPr>
          <w:color w:val="231F20"/>
          <w:spacing w:val="-8"/>
        </w:rPr>
        <w:t xml:space="preserve"> </w:t>
      </w:r>
      <w:r>
        <w:rPr>
          <w:color w:val="231F20"/>
        </w:rPr>
        <w:t>explore</w:t>
      </w:r>
      <w:r>
        <w:rPr>
          <w:color w:val="231F20"/>
          <w:spacing w:val="-9"/>
        </w:rPr>
        <w:t xml:space="preserve"> </w:t>
      </w:r>
      <w:r>
        <w:rPr>
          <w:color w:val="231F20"/>
        </w:rPr>
        <w:t>PPP</w:t>
      </w:r>
      <w:r>
        <w:rPr>
          <w:color w:val="231F20"/>
          <w:spacing w:val="-12"/>
        </w:rPr>
        <w:t xml:space="preserve"> </w:t>
      </w:r>
      <w:r>
        <w:rPr>
          <w:color w:val="231F20"/>
        </w:rPr>
        <w:t>and outsourcing</w:t>
      </w:r>
      <w:r>
        <w:rPr>
          <w:color w:val="231F20"/>
          <w:spacing w:val="-26"/>
        </w:rPr>
        <w:t xml:space="preserve"> </w:t>
      </w:r>
      <w:r>
        <w:rPr>
          <w:color w:val="231F20"/>
        </w:rPr>
        <w:t>to</w:t>
      </w:r>
      <w:r>
        <w:rPr>
          <w:color w:val="231F20"/>
          <w:spacing w:val="-25"/>
        </w:rPr>
        <w:t xml:space="preserve"> </w:t>
      </w:r>
      <w:r>
        <w:rPr>
          <w:color w:val="231F20"/>
        </w:rPr>
        <w:t>competent</w:t>
      </w:r>
      <w:r>
        <w:rPr>
          <w:color w:val="231F20"/>
          <w:spacing w:val="-25"/>
        </w:rPr>
        <w:t xml:space="preserve"> </w:t>
      </w:r>
      <w:r>
        <w:rPr>
          <w:color w:val="231F20"/>
        </w:rPr>
        <w:t>companies</w:t>
      </w:r>
      <w:r>
        <w:rPr>
          <w:color w:val="231F20"/>
          <w:spacing w:val="-25"/>
        </w:rPr>
        <w:t xml:space="preserve"> </w:t>
      </w:r>
      <w:r>
        <w:rPr>
          <w:color w:val="231F20"/>
        </w:rPr>
        <w:t>on</w:t>
      </w:r>
      <w:r>
        <w:rPr>
          <w:color w:val="231F20"/>
          <w:spacing w:val="-25"/>
        </w:rPr>
        <w:t xml:space="preserve"> </w:t>
      </w:r>
      <w:r>
        <w:rPr>
          <w:color w:val="231F20"/>
        </w:rPr>
        <w:t>appropriate</w:t>
      </w:r>
      <w:r>
        <w:rPr>
          <w:color w:val="231F20"/>
          <w:spacing w:val="-25"/>
        </w:rPr>
        <w:t xml:space="preserve"> </w:t>
      </w:r>
      <w:r>
        <w:rPr>
          <w:color w:val="231F20"/>
        </w:rPr>
        <w:t>supply</w:t>
      </w:r>
      <w:r>
        <w:rPr>
          <w:color w:val="231F20"/>
          <w:spacing w:val="-26"/>
        </w:rPr>
        <w:t xml:space="preserve"> </w:t>
      </w:r>
      <w:r>
        <w:rPr>
          <w:color w:val="231F20"/>
        </w:rPr>
        <w:t>chain</w:t>
      </w:r>
      <w:r>
        <w:rPr>
          <w:color w:val="231F20"/>
          <w:spacing w:val="-25"/>
        </w:rPr>
        <w:t xml:space="preserve"> </w:t>
      </w:r>
      <w:r>
        <w:rPr>
          <w:color w:val="231F20"/>
        </w:rPr>
        <w:t>functions;</w:t>
      </w:r>
      <w:r>
        <w:rPr>
          <w:color w:val="231F20"/>
          <w:spacing w:val="-25"/>
        </w:rPr>
        <w:t xml:space="preserve"> </w:t>
      </w:r>
      <w:r>
        <w:rPr>
          <w:color w:val="231F20"/>
        </w:rPr>
        <w:t>Hold</w:t>
      </w:r>
      <w:r>
        <w:rPr>
          <w:color w:val="231F20"/>
          <w:spacing w:val="-25"/>
        </w:rPr>
        <w:t xml:space="preserve"> </w:t>
      </w:r>
      <w:r>
        <w:rPr>
          <w:color w:val="231F20"/>
        </w:rPr>
        <w:t>monthly</w:t>
      </w:r>
      <w:r>
        <w:rPr>
          <w:color w:val="231F20"/>
          <w:spacing w:val="-25"/>
        </w:rPr>
        <w:t xml:space="preserve"> </w:t>
      </w:r>
      <w:r>
        <w:rPr>
          <w:color w:val="231F20"/>
        </w:rPr>
        <w:t>meetings at</w:t>
      </w:r>
      <w:r>
        <w:rPr>
          <w:color w:val="231F20"/>
          <w:spacing w:val="-17"/>
        </w:rPr>
        <w:t xml:space="preserve"> </w:t>
      </w:r>
      <w:r>
        <w:rPr>
          <w:color w:val="231F20"/>
        </w:rPr>
        <w:t>State</w:t>
      </w:r>
      <w:r>
        <w:rPr>
          <w:color w:val="231F20"/>
          <w:spacing w:val="-16"/>
        </w:rPr>
        <w:t xml:space="preserve"> </w:t>
      </w:r>
      <w:r>
        <w:rPr>
          <w:color w:val="231F20"/>
        </w:rPr>
        <w:t>&amp;</w:t>
      </w:r>
      <w:r>
        <w:rPr>
          <w:color w:val="231F20"/>
          <w:spacing w:val="-16"/>
        </w:rPr>
        <w:t xml:space="preserve"> </w:t>
      </w:r>
      <w:r>
        <w:rPr>
          <w:color w:val="231F20"/>
        </w:rPr>
        <w:t>LG</w:t>
      </w:r>
      <w:r>
        <w:rPr>
          <w:color w:val="231F20"/>
          <w:spacing w:val="-16"/>
        </w:rPr>
        <w:t xml:space="preserve"> </w:t>
      </w:r>
      <w:r>
        <w:rPr>
          <w:color w:val="231F20"/>
        </w:rPr>
        <w:t>levels</w:t>
      </w:r>
      <w:r>
        <w:rPr>
          <w:color w:val="231F20"/>
          <w:spacing w:val="-16"/>
        </w:rPr>
        <w:t xml:space="preserve"> </w:t>
      </w:r>
      <w:r>
        <w:rPr>
          <w:color w:val="231F20"/>
        </w:rPr>
        <w:t>for</w:t>
      </w:r>
      <w:r>
        <w:rPr>
          <w:color w:val="231F20"/>
          <w:spacing w:val="-16"/>
        </w:rPr>
        <w:t xml:space="preserve"> </w:t>
      </w:r>
      <w:r>
        <w:rPr>
          <w:color w:val="231F20"/>
        </w:rPr>
        <w:t>data</w:t>
      </w:r>
      <w:r>
        <w:rPr>
          <w:color w:val="231F20"/>
          <w:spacing w:val="-16"/>
        </w:rPr>
        <w:t xml:space="preserve"> </w:t>
      </w:r>
      <w:r>
        <w:rPr>
          <w:color w:val="231F20"/>
        </w:rPr>
        <w:t>collection</w:t>
      </w:r>
      <w:r>
        <w:rPr>
          <w:color w:val="231F20"/>
          <w:spacing w:val="-15"/>
        </w:rPr>
        <w:t xml:space="preserve"> </w:t>
      </w:r>
      <w:r>
        <w:rPr>
          <w:color w:val="231F20"/>
        </w:rPr>
        <w:t>and</w:t>
      </w:r>
      <w:r>
        <w:rPr>
          <w:color w:val="231F20"/>
          <w:spacing w:val="-16"/>
        </w:rPr>
        <w:t xml:space="preserve"> </w:t>
      </w:r>
      <w:r>
        <w:rPr>
          <w:color w:val="231F20"/>
        </w:rPr>
        <w:t>validation,</w:t>
      </w:r>
      <w:r>
        <w:rPr>
          <w:color w:val="231F20"/>
          <w:spacing w:val="-15"/>
        </w:rPr>
        <w:t xml:space="preserve"> </w:t>
      </w:r>
      <w:r>
        <w:rPr>
          <w:color w:val="231F20"/>
        </w:rPr>
        <w:t>to</w:t>
      </w:r>
      <w:r>
        <w:rPr>
          <w:color w:val="231F20"/>
          <w:spacing w:val="-16"/>
        </w:rPr>
        <w:t xml:space="preserve"> </w:t>
      </w:r>
      <w:r>
        <w:rPr>
          <w:color w:val="231F20"/>
        </w:rPr>
        <w:t>ensure</w:t>
      </w:r>
      <w:r>
        <w:rPr>
          <w:color w:val="231F20"/>
          <w:spacing w:val="-16"/>
        </w:rPr>
        <w:t xml:space="preserve"> </w:t>
      </w:r>
      <w:r>
        <w:rPr>
          <w:color w:val="231F20"/>
        </w:rPr>
        <w:t>quality</w:t>
      </w:r>
      <w:r>
        <w:rPr>
          <w:color w:val="231F20"/>
          <w:spacing w:val="-16"/>
        </w:rPr>
        <w:t xml:space="preserve"> </w:t>
      </w:r>
      <w:r>
        <w:rPr>
          <w:color w:val="231F20"/>
        </w:rPr>
        <w:t>data</w:t>
      </w:r>
      <w:r>
        <w:rPr>
          <w:color w:val="231F20"/>
          <w:spacing w:val="-17"/>
        </w:rPr>
        <w:t xml:space="preserve"> </w:t>
      </w:r>
      <w:r>
        <w:rPr>
          <w:color w:val="231F20"/>
        </w:rPr>
        <w:t>that</w:t>
      </w:r>
      <w:r>
        <w:rPr>
          <w:color w:val="231F20"/>
          <w:spacing w:val="-16"/>
        </w:rPr>
        <w:t xml:space="preserve"> </w:t>
      </w:r>
      <w:r>
        <w:rPr>
          <w:color w:val="231F20"/>
        </w:rPr>
        <w:t>will</w:t>
      </w:r>
      <w:r>
        <w:rPr>
          <w:color w:val="231F20"/>
          <w:spacing w:val="-16"/>
        </w:rPr>
        <w:t xml:space="preserve"> </w:t>
      </w:r>
      <w:r>
        <w:rPr>
          <w:color w:val="231F20"/>
        </w:rPr>
        <w:t>guide</w:t>
      </w:r>
      <w:r>
        <w:rPr>
          <w:color w:val="231F20"/>
          <w:spacing w:val="-16"/>
        </w:rPr>
        <w:t xml:space="preserve"> </w:t>
      </w:r>
      <w:r>
        <w:rPr>
          <w:color w:val="231F20"/>
        </w:rPr>
        <w:t>the</w:t>
      </w:r>
      <w:r>
        <w:rPr>
          <w:color w:val="231F20"/>
          <w:spacing w:val="-16"/>
        </w:rPr>
        <w:t xml:space="preserve"> </w:t>
      </w:r>
      <w:r>
        <w:rPr>
          <w:color w:val="231F20"/>
        </w:rPr>
        <w:t xml:space="preserve">state in supply planning for health commodities distribution &amp; redistribution; Periodic and random sampling of medicines using true scan machines in the three senatorial zone of the state </w:t>
      </w:r>
      <w:r>
        <w:rPr>
          <w:color w:val="231F20"/>
          <w:spacing w:val="-7"/>
        </w:rPr>
        <w:t xml:space="preserve">to </w:t>
      </w:r>
      <w:r>
        <w:rPr>
          <w:color w:val="231F20"/>
        </w:rPr>
        <w:t xml:space="preserve">ascertain for quality assurance; Conduct quarterly partners forum of all implementing </w:t>
      </w:r>
      <w:r>
        <w:rPr>
          <w:color w:val="231F20"/>
          <w:spacing w:val="-4"/>
        </w:rPr>
        <w:t xml:space="preserve">and </w:t>
      </w:r>
      <w:r>
        <w:rPr>
          <w:color w:val="231F20"/>
        </w:rPr>
        <w:t xml:space="preserve">developing partners in the State; Monitor the Last mile distribution to health facilities (HFs).in </w:t>
      </w:r>
      <w:r>
        <w:rPr>
          <w:color w:val="231F20"/>
          <w:spacing w:val="-5"/>
        </w:rPr>
        <w:t xml:space="preserve">the </w:t>
      </w:r>
      <w:r>
        <w:rPr>
          <w:color w:val="231F20"/>
        </w:rPr>
        <w:t>state</w:t>
      </w:r>
      <w:r>
        <w:rPr>
          <w:color w:val="231F20"/>
          <w:spacing w:val="-26"/>
        </w:rPr>
        <w:t xml:space="preserve"> </w:t>
      </w:r>
      <w:r>
        <w:rPr>
          <w:color w:val="231F20"/>
        </w:rPr>
        <w:t>and</w:t>
      </w:r>
      <w:r>
        <w:rPr>
          <w:color w:val="231F20"/>
          <w:spacing w:val="-25"/>
        </w:rPr>
        <w:t xml:space="preserve"> </w:t>
      </w:r>
      <w:r>
        <w:rPr>
          <w:color w:val="231F20"/>
        </w:rPr>
        <w:t>reconcile</w:t>
      </w:r>
      <w:r>
        <w:rPr>
          <w:color w:val="231F20"/>
          <w:spacing w:val="-25"/>
        </w:rPr>
        <w:t xml:space="preserve"> </w:t>
      </w:r>
      <w:r>
        <w:rPr>
          <w:color w:val="231F20"/>
        </w:rPr>
        <w:t>Proof</w:t>
      </w:r>
      <w:r>
        <w:rPr>
          <w:color w:val="231F20"/>
          <w:spacing w:val="-25"/>
        </w:rPr>
        <w:t xml:space="preserve"> </w:t>
      </w:r>
      <w:r>
        <w:rPr>
          <w:color w:val="231F20"/>
        </w:rPr>
        <w:t>of</w:t>
      </w:r>
      <w:r>
        <w:rPr>
          <w:color w:val="231F20"/>
          <w:spacing w:val="-25"/>
        </w:rPr>
        <w:t xml:space="preserve"> </w:t>
      </w:r>
      <w:r>
        <w:rPr>
          <w:color w:val="231F20"/>
        </w:rPr>
        <w:t>deliveries</w:t>
      </w:r>
      <w:r>
        <w:rPr>
          <w:color w:val="231F20"/>
          <w:spacing w:val="-25"/>
        </w:rPr>
        <w:t xml:space="preserve"> </w:t>
      </w:r>
      <w:r>
        <w:rPr>
          <w:color w:val="231F20"/>
        </w:rPr>
        <w:t>(</w:t>
      </w:r>
      <w:proofErr w:type="spellStart"/>
      <w:r>
        <w:rPr>
          <w:color w:val="231F20"/>
        </w:rPr>
        <w:t>PoDs</w:t>
      </w:r>
      <w:proofErr w:type="spellEnd"/>
      <w:r>
        <w:rPr>
          <w:color w:val="231F20"/>
        </w:rPr>
        <w:t>)</w:t>
      </w:r>
      <w:r>
        <w:rPr>
          <w:color w:val="231F20"/>
          <w:spacing w:val="-25"/>
        </w:rPr>
        <w:t xml:space="preserve"> </w:t>
      </w:r>
      <w:r>
        <w:rPr>
          <w:color w:val="231F20"/>
        </w:rPr>
        <w:t>with</w:t>
      </w:r>
      <w:r>
        <w:rPr>
          <w:color w:val="231F20"/>
          <w:spacing w:val="-25"/>
        </w:rPr>
        <w:t xml:space="preserve"> </w:t>
      </w:r>
      <w:r>
        <w:rPr>
          <w:color w:val="231F20"/>
        </w:rPr>
        <w:t>Last</w:t>
      </w:r>
      <w:r>
        <w:rPr>
          <w:color w:val="231F20"/>
          <w:spacing w:val="-25"/>
        </w:rPr>
        <w:t xml:space="preserve"> </w:t>
      </w:r>
      <w:r>
        <w:rPr>
          <w:color w:val="231F20"/>
        </w:rPr>
        <w:t>Mile</w:t>
      </w:r>
      <w:r>
        <w:rPr>
          <w:color w:val="231F20"/>
          <w:spacing w:val="-25"/>
        </w:rPr>
        <w:t xml:space="preserve"> </w:t>
      </w:r>
      <w:r>
        <w:rPr>
          <w:color w:val="231F20"/>
        </w:rPr>
        <w:t>Distribution</w:t>
      </w:r>
      <w:r>
        <w:rPr>
          <w:color w:val="231F20"/>
          <w:spacing w:val="-25"/>
        </w:rPr>
        <w:t xml:space="preserve"> </w:t>
      </w:r>
      <w:r>
        <w:rPr>
          <w:color w:val="231F20"/>
        </w:rPr>
        <w:t>Matrix</w:t>
      </w:r>
      <w:r>
        <w:rPr>
          <w:color w:val="231F20"/>
          <w:spacing w:val="-25"/>
        </w:rPr>
        <w:t xml:space="preserve"> </w:t>
      </w:r>
      <w:r>
        <w:rPr>
          <w:color w:val="231F20"/>
        </w:rPr>
        <w:t>(LMDs).</w:t>
      </w:r>
    </w:p>
    <w:p w14:paraId="29BEE856" w14:textId="77777777" w:rsidR="009948F1" w:rsidRDefault="009948F1">
      <w:pPr>
        <w:pStyle w:val="BodyText"/>
        <w:spacing w:before="10"/>
        <w:rPr>
          <w:sz w:val="23"/>
        </w:rPr>
      </w:pPr>
    </w:p>
    <w:p w14:paraId="1BE40635" w14:textId="77777777" w:rsidR="009948F1" w:rsidRDefault="00BC0563">
      <w:pPr>
        <w:pStyle w:val="ListParagraph"/>
        <w:numPr>
          <w:ilvl w:val="3"/>
          <w:numId w:val="266"/>
        </w:numPr>
        <w:tabs>
          <w:tab w:val="left" w:pos="921"/>
        </w:tabs>
        <w:spacing w:line="273" w:lineRule="auto"/>
        <w:ind w:right="163" w:firstLine="0"/>
      </w:pPr>
      <w:r>
        <w:rPr>
          <w:color w:val="231F20"/>
        </w:rPr>
        <w:t xml:space="preserve">: Enhance production and use of locally manufactured medicines and vaccines that </w:t>
      </w:r>
      <w:r>
        <w:rPr>
          <w:color w:val="231F20"/>
          <w:spacing w:val="-5"/>
        </w:rPr>
        <w:t xml:space="preserve">meet </w:t>
      </w:r>
      <w:r>
        <w:rPr>
          <w:color w:val="231F20"/>
        </w:rPr>
        <w:t xml:space="preserve">global standards. The key activities include; - Institutionalize the Systems for Public Private Partnership for Production and Sourcing of Medicines and others Health Commodities </w:t>
      </w:r>
      <w:r>
        <w:rPr>
          <w:color w:val="231F20"/>
          <w:spacing w:val="-5"/>
        </w:rPr>
        <w:t xml:space="preserve">and </w:t>
      </w:r>
      <w:r>
        <w:rPr>
          <w:color w:val="231F20"/>
        </w:rPr>
        <w:t>equipment</w:t>
      </w:r>
      <w:r>
        <w:rPr>
          <w:color w:val="231F20"/>
          <w:spacing w:val="-26"/>
        </w:rPr>
        <w:t xml:space="preserve"> </w:t>
      </w:r>
      <w:r>
        <w:rPr>
          <w:color w:val="231F20"/>
        </w:rPr>
        <w:t>for</w:t>
      </w:r>
      <w:r>
        <w:rPr>
          <w:color w:val="231F20"/>
          <w:spacing w:val="-25"/>
        </w:rPr>
        <w:t xml:space="preserve"> </w:t>
      </w:r>
      <w:r>
        <w:rPr>
          <w:color w:val="231F20"/>
        </w:rPr>
        <w:t>affordable</w:t>
      </w:r>
      <w:r>
        <w:rPr>
          <w:color w:val="231F20"/>
          <w:spacing w:val="-25"/>
        </w:rPr>
        <w:t xml:space="preserve"> </w:t>
      </w:r>
      <w:r>
        <w:rPr>
          <w:color w:val="231F20"/>
        </w:rPr>
        <w:t>service</w:t>
      </w:r>
      <w:r>
        <w:rPr>
          <w:color w:val="231F20"/>
          <w:spacing w:val="-25"/>
        </w:rPr>
        <w:t xml:space="preserve"> </w:t>
      </w:r>
      <w:r>
        <w:rPr>
          <w:color w:val="231F20"/>
        </w:rPr>
        <w:t>delivery</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citizens.</w:t>
      </w:r>
    </w:p>
    <w:p w14:paraId="15CEE65D" w14:textId="77777777" w:rsidR="009948F1" w:rsidRDefault="009948F1">
      <w:pPr>
        <w:pStyle w:val="BodyText"/>
        <w:spacing w:before="6"/>
        <w:rPr>
          <w:sz w:val="24"/>
        </w:rPr>
      </w:pPr>
    </w:p>
    <w:p w14:paraId="3D683FB9" w14:textId="77777777" w:rsidR="009948F1" w:rsidRDefault="00BC0563">
      <w:pPr>
        <w:pStyle w:val="ListParagraph"/>
        <w:numPr>
          <w:ilvl w:val="3"/>
          <w:numId w:val="266"/>
        </w:numPr>
        <w:tabs>
          <w:tab w:val="left" w:pos="976"/>
        </w:tabs>
        <w:spacing w:line="273" w:lineRule="auto"/>
        <w:ind w:left="139" w:right="163" w:firstLine="0"/>
      </w:pPr>
      <w:r>
        <w:rPr>
          <w:color w:val="231F20"/>
        </w:rPr>
        <w:t>:</w:t>
      </w:r>
      <w:r>
        <w:rPr>
          <w:color w:val="231F20"/>
          <w:spacing w:val="-6"/>
        </w:rPr>
        <w:t xml:space="preserve"> </w:t>
      </w:r>
      <w:r>
        <w:rPr>
          <w:color w:val="231F20"/>
        </w:rPr>
        <w:t>Strengthen</w:t>
      </w:r>
      <w:r>
        <w:rPr>
          <w:color w:val="231F20"/>
          <w:spacing w:val="-5"/>
        </w:rPr>
        <w:t xml:space="preserve"> </w:t>
      </w:r>
      <w:r>
        <w:rPr>
          <w:color w:val="231F20"/>
        </w:rPr>
        <w:t>effective</w:t>
      </w:r>
      <w:r>
        <w:rPr>
          <w:color w:val="231F20"/>
          <w:spacing w:val="-6"/>
        </w:rPr>
        <w:t xml:space="preserve"> </w:t>
      </w:r>
      <w:r>
        <w:rPr>
          <w:color w:val="231F20"/>
        </w:rPr>
        <w:t>procurement</w:t>
      </w:r>
      <w:r>
        <w:rPr>
          <w:color w:val="231F20"/>
          <w:spacing w:val="-5"/>
        </w:rPr>
        <w:t xml:space="preserve"> </w:t>
      </w:r>
      <w:r>
        <w:rPr>
          <w:color w:val="231F20"/>
        </w:rPr>
        <w:t>systems</w:t>
      </w:r>
      <w:r>
        <w:rPr>
          <w:color w:val="231F20"/>
          <w:spacing w:val="-6"/>
        </w:rPr>
        <w:t xml:space="preserve"> </w:t>
      </w:r>
      <w:r>
        <w:rPr>
          <w:color w:val="231F20"/>
        </w:rPr>
        <w:t>(forecasting,</w:t>
      </w:r>
      <w:r>
        <w:rPr>
          <w:color w:val="231F20"/>
          <w:spacing w:val="-5"/>
        </w:rPr>
        <w:t xml:space="preserve"> </w:t>
      </w:r>
      <w:r>
        <w:rPr>
          <w:color w:val="231F20"/>
        </w:rPr>
        <w:t>orders,</w:t>
      </w:r>
      <w:r>
        <w:rPr>
          <w:color w:val="231F20"/>
          <w:spacing w:val="-6"/>
        </w:rPr>
        <w:t xml:space="preserve"> </w:t>
      </w:r>
      <w:r>
        <w:rPr>
          <w:color w:val="231F20"/>
        </w:rPr>
        <w:t>procurement)</w:t>
      </w:r>
      <w:r>
        <w:rPr>
          <w:color w:val="231F20"/>
          <w:spacing w:val="-5"/>
        </w:rPr>
        <w:t xml:space="preserve"> </w:t>
      </w:r>
      <w:r>
        <w:rPr>
          <w:color w:val="231F20"/>
        </w:rPr>
        <w:t>to</w:t>
      </w:r>
      <w:r>
        <w:rPr>
          <w:color w:val="231F20"/>
          <w:spacing w:val="-6"/>
        </w:rPr>
        <w:t xml:space="preserve"> </w:t>
      </w:r>
      <w:r>
        <w:rPr>
          <w:color w:val="231F20"/>
        </w:rPr>
        <w:t>ensure (40% local content) and commodity security for on a sustainable basis at all levels, The activities include;</w:t>
      </w:r>
      <w:r>
        <w:rPr>
          <w:color w:val="231F20"/>
          <w:spacing w:val="-11"/>
        </w:rPr>
        <w:t xml:space="preserve"> </w:t>
      </w:r>
      <w:r>
        <w:rPr>
          <w:color w:val="231F20"/>
        </w:rPr>
        <w:t>-</w:t>
      </w:r>
      <w:r>
        <w:rPr>
          <w:color w:val="231F20"/>
          <w:spacing w:val="-11"/>
        </w:rPr>
        <w:t xml:space="preserve"> </w:t>
      </w:r>
      <w:r>
        <w:rPr>
          <w:color w:val="231F20"/>
        </w:rPr>
        <w:t>Review</w:t>
      </w:r>
      <w:r>
        <w:rPr>
          <w:color w:val="231F20"/>
          <w:spacing w:val="-11"/>
        </w:rPr>
        <w:t xml:space="preserve"> </w:t>
      </w:r>
      <w:r>
        <w:rPr>
          <w:color w:val="231F20"/>
        </w:rPr>
        <w:t>existing</w:t>
      </w:r>
      <w:r>
        <w:rPr>
          <w:color w:val="231F20"/>
          <w:spacing w:val="-11"/>
        </w:rPr>
        <w:t xml:space="preserve"> </w:t>
      </w:r>
      <w:r>
        <w:rPr>
          <w:color w:val="231F20"/>
        </w:rPr>
        <w:t>procurement</w:t>
      </w:r>
      <w:r>
        <w:rPr>
          <w:color w:val="231F20"/>
          <w:spacing w:val="-11"/>
        </w:rPr>
        <w:t xml:space="preserve"> </w:t>
      </w:r>
      <w:r>
        <w:rPr>
          <w:color w:val="231F20"/>
        </w:rPr>
        <w:t>system</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Rivers</w:t>
      </w:r>
      <w:r>
        <w:rPr>
          <w:color w:val="231F20"/>
          <w:spacing w:val="-10"/>
        </w:rPr>
        <w:t xml:space="preserve"> </w:t>
      </w:r>
      <w:r>
        <w:rPr>
          <w:color w:val="231F20"/>
        </w:rPr>
        <w:t>State</w:t>
      </w:r>
      <w:r>
        <w:rPr>
          <w:color w:val="231F20"/>
          <w:spacing w:val="-11"/>
        </w:rPr>
        <w:t xml:space="preserve"> </w:t>
      </w:r>
      <w:r>
        <w:rPr>
          <w:color w:val="231F20"/>
        </w:rPr>
        <w:t>Procurement</w:t>
      </w:r>
      <w:r>
        <w:rPr>
          <w:color w:val="231F20"/>
          <w:spacing w:val="-11"/>
        </w:rPr>
        <w:t xml:space="preserve"> </w:t>
      </w:r>
      <w:r>
        <w:rPr>
          <w:color w:val="231F20"/>
        </w:rPr>
        <w:t>Bureau</w:t>
      </w:r>
      <w:r>
        <w:rPr>
          <w:color w:val="231F20"/>
          <w:spacing w:val="-11"/>
        </w:rPr>
        <w:t xml:space="preserve"> </w:t>
      </w:r>
      <w:r>
        <w:rPr>
          <w:color w:val="231F20"/>
        </w:rPr>
        <w:t>to</w:t>
      </w:r>
      <w:r>
        <w:rPr>
          <w:color w:val="231F20"/>
          <w:spacing w:val="-11"/>
        </w:rPr>
        <w:t xml:space="preserve"> </w:t>
      </w:r>
      <w:r>
        <w:rPr>
          <w:color w:val="231F20"/>
        </w:rPr>
        <w:t>ensure accelerated procurement of goods, works and services following due process including product dissemination,</w:t>
      </w:r>
      <w:r>
        <w:rPr>
          <w:color w:val="231F20"/>
          <w:spacing w:val="-6"/>
        </w:rPr>
        <w:t xml:space="preserve"> </w:t>
      </w:r>
      <w:r>
        <w:rPr>
          <w:color w:val="231F20"/>
        </w:rPr>
        <w:t>review</w:t>
      </w:r>
      <w:r>
        <w:rPr>
          <w:color w:val="231F20"/>
          <w:spacing w:val="-6"/>
        </w:rPr>
        <w:t xml:space="preserve"> </w:t>
      </w:r>
      <w:r>
        <w:rPr>
          <w:color w:val="231F20"/>
        </w:rPr>
        <w:t>and</w:t>
      </w:r>
      <w:r>
        <w:rPr>
          <w:color w:val="231F20"/>
          <w:spacing w:val="-5"/>
        </w:rPr>
        <w:t xml:space="preserve"> </w:t>
      </w:r>
      <w:r>
        <w:rPr>
          <w:color w:val="231F20"/>
        </w:rPr>
        <w:t>feedback;</w:t>
      </w:r>
      <w:r>
        <w:rPr>
          <w:color w:val="231F20"/>
          <w:spacing w:val="-6"/>
        </w:rPr>
        <w:t xml:space="preserve"> </w:t>
      </w:r>
      <w:r>
        <w:rPr>
          <w:color w:val="231F20"/>
        </w:rPr>
        <w:t>Conduct</w:t>
      </w:r>
      <w:r>
        <w:rPr>
          <w:color w:val="231F20"/>
          <w:spacing w:val="-5"/>
        </w:rPr>
        <w:t xml:space="preserve"> </w:t>
      </w:r>
      <w:r>
        <w:rPr>
          <w:color w:val="231F20"/>
        </w:rPr>
        <w:t>workshops</w:t>
      </w:r>
      <w:r>
        <w:rPr>
          <w:color w:val="231F20"/>
          <w:spacing w:val="-6"/>
        </w:rPr>
        <w:t xml:space="preserve"> </w:t>
      </w:r>
      <w:r>
        <w:rPr>
          <w:color w:val="231F20"/>
        </w:rPr>
        <w:t>to</w:t>
      </w:r>
      <w:r>
        <w:rPr>
          <w:color w:val="231F20"/>
          <w:spacing w:val="-5"/>
        </w:rPr>
        <w:t xml:space="preserve"> </w:t>
      </w:r>
      <w:r>
        <w:rPr>
          <w:color w:val="231F20"/>
        </w:rPr>
        <w:t>develop</w:t>
      </w:r>
      <w:r>
        <w:rPr>
          <w:color w:val="231F20"/>
          <w:spacing w:val="-6"/>
        </w:rPr>
        <w:t xml:space="preserve"> </w:t>
      </w:r>
      <w:r>
        <w:rPr>
          <w:color w:val="231F20"/>
        </w:rPr>
        <w:t>Procurement</w:t>
      </w:r>
      <w:r>
        <w:rPr>
          <w:color w:val="231F20"/>
          <w:spacing w:val="-5"/>
        </w:rPr>
        <w:t xml:space="preserve"> </w:t>
      </w:r>
      <w:r>
        <w:rPr>
          <w:color w:val="231F20"/>
        </w:rPr>
        <w:t>Plan</w:t>
      </w:r>
      <w:r>
        <w:rPr>
          <w:color w:val="231F20"/>
          <w:spacing w:val="-6"/>
        </w:rPr>
        <w:t xml:space="preserve"> </w:t>
      </w:r>
      <w:r>
        <w:rPr>
          <w:color w:val="231F20"/>
        </w:rPr>
        <w:t>&amp;</w:t>
      </w:r>
      <w:r>
        <w:rPr>
          <w:color w:val="231F20"/>
          <w:spacing w:val="-6"/>
        </w:rPr>
        <w:t xml:space="preserve"> </w:t>
      </w:r>
      <w:r>
        <w:rPr>
          <w:color w:val="231F20"/>
          <w:spacing w:val="-3"/>
        </w:rPr>
        <w:t xml:space="preserve">Budget; </w:t>
      </w:r>
      <w:r>
        <w:rPr>
          <w:color w:val="231F20"/>
        </w:rPr>
        <w:t xml:space="preserve">Capacity building of all officers responsible for procurement decisions &amp; implementations in </w:t>
      </w:r>
      <w:r>
        <w:rPr>
          <w:color w:val="231F20"/>
          <w:spacing w:val="-4"/>
        </w:rPr>
        <w:t xml:space="preserve">the </w:t>
      </w:r>
      <w:r>
        <w:rPr>
          <w:color w:val="231F20"/>
        </w:rPr>
        <w:t>State including forecasting, quantification and usage; Establish/update monthly a database of consumers</w:t>
      </w:r>
      <w:r>
        <w:rPr>
          <w:color w:val="231F20"/>
          <w:spacing w:val="-9"/>
        </w:rPr>
        <w:t xml:space="preserve"> </w:t>
      </w:r>
      <w:r>
        <w:rPr>
          <w:color w:val="231F20"/>
        </w:rPr>
        <w:t>and</w:t>
      </w:r>
      <w:r>
        <w:rPr>
          <w:color w:val="231F20"/>
          <w:spacing w:val="-10"/>
        </w:rPr>
        <w:t xml:space="preserve"> </w:t>
      </w:r>
      <w:r>
        <w:rPr>
          <w:color w:val="231F20"/>
        </w:rPr>
        <w:t>clients,</w:t>
      </w:r>
      <w:r>
        <w:rPr>
          <w:color w:val="231F20"/>
          <w:spacing w:val="-10"/>
        </w:rPr>
        <w:t xml:space="preserve"> </w:t>
      </w:r>
      <w:r>
        <w:rPr>
          <w:color w:val="231F20"/>
        </w:rPr>
        <w:t>consumption</w:t>
      </w:r>
      <w:r>
        <w:rPr>
          <w:color w:val="231F20"/>
          <w:spacing w:val="-9"/>
        </w:rPr>
        <w:t xml:space="preserve"> </w:t>
      </w:r>
      <w:r>
        <w:rPr>
          <w:color w:val="231F20"/>
        </w:rPr>
        <w:t>patterns</w:t>
      </w:r>
      <w:r>
        <w:rPr>
          <w:color w:val="231F20"/>
          <w:spacing w:val="-10"/>
        </w:rPr>
        <w:t xml:space="preserve"> </w:t>
      </w:r>
      <w:r>
        <w:rPr>
          <w:color w:val="231F20"/>
        </w:rPr>
        <w:t>and</w:t>
      </w:r>
      <w:r>
        <w:rPr>
          <w:color w:val="231F20"/>
          <w:spacing w:val="-10"/>
        </w:rPr>
        <w:t xml:space="preserve"> </w:t>
      </w:r>
      <w:r>
        <w:rPr>
          <w:color w:val="231F20"/>
        </w:rPr>
        <w:t>cost</w:t>
      </w:r>
      <w:r>
        <w:rPr>
          <w:color w:val="231F20"/>
          <w:spacing w:val="-10"/>
        </w:rPr>
        <w:t xml:space="preserve"> </w:t>
      </w:r>
      <w:r>
        <w:rPr>
          <w:color w:val="231F20"/>
        </w:rPr>
        <w:t>implication;</w:t>
      </w:r>
      <w:r>
        <w:rPr>
          <w:color w:val="231F20"/>
          <w:spacing w:val="-9"/>
        </w:rPr>
        <w:t xml:space="preserve"> </w:t>
      </w:r>
      <w:r>
        <w:rPr>
          <w:color w:val="231F20"/>
        </w:rPr>
        <w:t>Strengthen</w:t>
      </w:r>
      <w:r>
        <w:rPr>
          <w:color w:val="231F20"/>
          <w:spacing w:val="-9"/>
        </w:rPr>
        <w:t xml:space="preserve"> </w:t>
      </w:r>
      <w:r>
        <w:rPr>
          <w:color w:val="231F20"/>
        </w:rPr>
        <w:t>stores</w:t>
      </w:r>
      <w:r>
        <w:rPr>
          <w:color w:val="231F20"/>
          <w:spacing w:val="-10"/>
        </w:rPr>
        <w:t xml:space="preserve"> </w:t>
      </w:r>
      <w:r>
        <w:rPr>
          <w:color w:val="231F20"/>
        </w:rPr>
        <w:t>and</w:t>
      </w:r>
      <w:r>
        <w:rPr>
          <w:color w:val="231F20"/>
          <w:spacing w:val="-10"/>
        </w:rPr>
        <w:t xml:space="preserve"> </w:t>
      </w:r>
      <w:r>
        <w:rPr>
          <w:color w:val="231F20"/>
        </w:rPr>
        <w:t>storage conditions</w:t>
      </w:r>
      <w:r>
        <w:rPr>
          <w:color w:val="231F20"/>
          <w:spacing w:val="-25"/>
        </w:rPr>
        <w:t xml:space="preserve"> </w:t>
      </w:r>
      <w:r>
        <w:rPr>
          <w:color w:val="231F20"/>
        </w:rPr>
        <w:t>(e.g.</w:t>
      </w:r>
      <w:r>
        <w:rPr>
          <w:color w:val="231F20"/>
          <w:spacing w:val="-25"/>
        </w:rPr>
        <w:t xml:space="preserve"> </w:t>
      </w:r>
      <w:r>
        <w:rPr>
          <w:color w:val="231F20"/>
        </w:rPr>
        <w:t>power</w:t>
      </w:r>
      <w:r>
        <w:rPr>
          <w:color w:val="231F20"/>
          <w:spacing w:val="-25"/>
        </w:rPr>
        <w:t xml:space="preserve"> </w:t>
      </w:r>
      <w:r>
        <w:rPr>
          <w:color w:val="231F20"/>
          <w:spacing w:val="-3"/>
        </w:rPr>
        <w:t>supply,</w:t>
      </w:r>
      <w:r>
        <w:rPr>
          <w:color w:val="231F20"/>
          <w:spacing w:val="-25"/>
        </w:rPr>
        <w:t xml:space="preserve"> </w:t>
      </w:r>
      <w:r>
        <w:rPr>
          <w:color w:val="231F20"/>
        </w:rPr>
        <w:t>cooling</w:t>
      </w:r>
      <w:r>
        <w:rPr>
          <w:color w:val="231F20"/>
          <w:spacing w:val="-25"/>
        </w:rPr>
        <w:t xml:space="preserve"> </w:t>
      </w:r>
      <w:r>
        <w:rPr>
          <w:color w:val="231F20"/>
        </w:rPr>
        <w:t>facilities,</w:t>
      </w:r>
      <w:r>
        <w:rPr>
          <w:color w:val="231F20"/>
          <w:spacing w:val="-25"/>
        </w:rPr>
        <w:t xml:space="preserve"> </w:t>
      </w:r>
      <w:r>
        <w:rPr>
          <w:color w:val="231F20"/>
        </w:rPr>
        <w:t>metal</w:t>
      </w:r>
      <w:r>
        <w:rPr>
          <w:color w:val="231F20"/>
          <w:spacing w:val="-25"/>
        </w:rPr>
        <w:t xml:space="preserve"> </w:t>
      </w:r>
      <w:r>
        <w:rPr>
          <w:color w:val="231F20"/>
        </w:rPr>
        <w:t>shelves,</w:t>
      </w:r>
      <w:r>
        <w:rPr>
          <w:color w:val="231F20"/>
          <w:spacing w:val="-25"/>
        </w:rPr>
        <w:t xml:space="preserve"> </w:t>
      </w:r>
      <w:r>
        <w:rPr>
          <w:color w:val="231F20"/>
        </w:rPr>
        <w:t>pallets</w:t>
      </w:r>
      <w:r>
        <w:rPr>
          <w:color w:val="231F20"/>
          <w:spacing w:val="-25"/>
        </w:rPr>
        <w:t xml:space="preserve"> </w:t>
      </w:r>
      <w:proofErr w:type="spellStart"/>
      <w:r>
        <w:rPr>
          <w:color w:val="231F20"/>
        </w:rPr>
        <w:t>etc</w:t>
      </w:r>
      <w:proofErr w:type="spellEnd"/>
      <w:r>
        <w:rPr>
          <w:color w:val="231F20"/>
        </w:rPr>
        <w:t>).</w:t>
      </w:r>
    </w:p>
    <w:p w14:paraId="6361700D" w14:textId="77777777" w:rsidR="009948F1" w:rsidRDefault="009948F1">
      <w:pPr>
        <w:pStyle w:val="BodyText"/>
        <w:rPr>
          <w:sz w:val="24"/>
        </w:rPr>
      </w:pPr>
    </w:p>
    <w:p w14:paraId="2C148661" w14:textId="77777777" w:rsidR="009948F1" w:rsidRDefault="00BC0563">
      <w:pPr>
        <w:pStyle w:val="ListParagraph"/>
        <w:numPr>
          <w:ilvl w:val="3"/>
          <w:numId w:val="266"/>
        </w:numPr>
        <w:tabs>
          <w:tab w:val="left" w:pos="977"/>
        </w:tabs>
        <w:spacing w:line="273" w:lineRule="auto"/>
        <w:ind w:left="139" w:right="163" w:firstLine="0"/>
      </w:pPr>
      <w:r>
        <w:rPr>
          <w:color w:val="231F20"/>
        </w:rPr>
        <w:t>: Strengthen integrated supply chain management system and quality assurance</w:t>
      </w:r>
      <w:r>
        <w:rPr>
          <w:color w:val="231F20"/>
          <w:spacing w:val="-42"/>
        </w:rPr>
        <w:t xml:space="preserve"> </w:t>
      </w:r>
      <w:r>
        <w:rPr>
          <w:color w:val="231F20"/>
        </w:rPr>
        <w:t xml:space="preserve">models for medicines, vaccines, commodities and other technologies with a functional logistics management information system (LMIS). The key actions include; - Establish Supply </w:t>
      </w:r>
      <w:r>
        <w:rPr>
          <w:color w:val="231F20"/>
          <w:spacing w:val="-3"/>
        </w:rPr>
        <w:t xml:space="preserve">Chain </w:t>
      </w:r>
      <w:r>
        <w:rPr>
          <w:color w:val="231F20"/>
        </w:rPr>
        <w:t xml:space="preserve">coordination structures in line with national </w:t>
      </w:r>
      <w:r>
        <w:rPr>
          <w:color w:val="231F20"/>
          <w:spacing w:val="-3"/>
        </w:rPr>
        <w:t xml:space="preserve">policy, </w:t>
      </w:r>
      <w:r>
        <w:rPr>
          <w:color w:val="231F20"/>
        </w:rPr>
        <w:t>guidelines and international best practices; Create</w:t>
      </w:r>
      <w:r>
        <w:rPr>
          <w:color w:val="231F20"/>
          <w:spacing w:val="-23"/>
        </w:rPr>
        <w:t xml:space="preserve"> </w:t>
      </w:r>
      <w:r>
        <w:rPr>
          <w:color w:val="231F20"/>
        </w:rPr>
        <w:t>and</w:t>
      </w:r>
      <w:r>
        <w:rPr>
          <w:color w:val="231F20"/>
          <w:spacing w:val="-23"/>
        </w:rPr>
        <w:t xml:space="preserve"> </w:t>
      </w:r>
      <w:r>
        <w:rPr>
          <w:color w:val="231F20"/>
        </w:rPr>
        <w:t>sustain</w:t>
      </w:r>
      <w:r>
        <w:rPr>
          <w:color w:val="231F20"/>
          <w:spacing w:val="-23"/>
        </w:rPr>
        <w:t xml:space="preserve"> </w:t>
      </w:r>
      <w:r>
        <w:rPr>
          <w:color w:val="231F20"/>
        </w:rPr>
        <w:t>a</w:t>
      </w:r>
      <w:r>
        <w:rPr>
          <w:color w:val="231F20"/>
          <w:spacing w:val="-22"/>
        </w:rPr>
        <w:t xml:space="preserve"> </w:t>
      </w:r>
      <w:r>
        <w:rPr>
          <w:color w:val="231F20"/>
        </w:rPr>
        <w:t>viable</w:t>
      </w:r>
      <w:r>
        <w:rPr>
          <w:color w:val="231F20"/>
          <w:spacing w:val="-23"/>
        </w:rPr>
        <w:t xml:space="preserve"> </w:t>
      </w:r>
      <w:r>
        <w:rPr>
          <w:color w:val="231F20"/>
        </w:rPr>
        <w:t>distribution</w:t>
      </w:r>
      <w:r>
        <w:rPr>
          <w:color w:val="231F20"/>
          <w:spacing w:val="-23"/>
        </w:rPr>
        <w:t xml:space="preserve"> </w:t>
      </w:r>
      <w:r>
        <w:rPr>
          <w:color w:val="231F20"/>
        </w:rPr>
        <w:t>networks</w:t>
      </w:r>
      <w:r>
        <w:rPr>
          <w:color w:val="231F20"/>
          <w:spacing w:val="-22"/>
        </w:rPr>
        <w:t xml:space="preserve"> </w:t>
      </w:r>
      <w:r>
        <w:rPr>
          <w:color w:val="231F20"/>
        </w:rPr>
        <w:t>which</w:t>
      </w:r>
      <w:r>
        <w:rPr>
          <w:color w:val="231F20"/>
          <w:spacing w:val="-23"/>
        </w:rPr>
        <w:t xml:space="preserve"> </w:t>
      </w:r>
      <w:r>
        <w:rPr>
          <w:color w:val="231F20"/>
        </w:rPr>
        <w:t>supports</w:t>
      </w:r>
      <w:r>
        <w:rPr>
          <w:color w:val="231F20"/>
          <w:spacing w:val="-23"/>
        </w:rPr>
        <w:t xml:space="preserve"> </w:t>
      </w:r>
      <w:r>
        <w:rPr>
          <w:color w:val="231F20"/>
        </w:rPr>
        <w:t>effective</w:t>
      </w:r>
      <w:r>
        <w:rPr>
          <w:color w:val="231F20"/>
          <w:spacing w:val="-22"/>
        </w:rPr>
        <w:t xml:space="preserve"> </w:t>
      </w:r>
      <w:r>
        <w:rPr>
          <w:color w:val="231F20"/>
        </w:rPr>
        <w:t>and</w:t>
      </w:r>
      <w:r>
        <w:rPr>
          <w:color w:val="231F20"/>
          <w:spacing w:val="-23"/>
        </w:rPr>
        <w:t xml:space="preserve"> </w:t>
      </w:r>
      <w:r>
        <w:rPr>
          <w:color w:val="231F20"/>
        </w:rPr>
        <w:t>efficient</w:t>
      </w:r>
      <w:r>
        <w:rPr>
          <w:color w:val="231F20"/>
          <w:spacing w:val="-23"/>
        </w:rPr>
        <w:t xml:space="preserve"> </w:t>
      </w:r>
      <w:r>
        <w:rPr>
          <w:color w:val="231F20"/>
        </w:rPr>
        <w:t>systems</w:t>
      </w:r>
      <w:r>
        <w:rPr>
          <w:color w:val="231F20"/>
          <w:spacing w:val="-22"/>
        </w:rPr>
        <w:t xml:space="preserve"> </w:t>
      </w:r>
      <w:r>
        <w:rPr>
          <w:color w:val="231F20"/>
        </w:rPr>
        <w:t xml:space="preserve">and ensures timely delivery of supplies; Integrated Supply Chain Management (ISCM) step </w:t>
      </w:r>
      <w:r>
        <w:rPr>
          <w:color w:val="231F20"/>
          <w:spacing w:val="-4"/>
        </w:rPr>
        <w:t xml:space="preserve">down </w:t>
      </w:r>
      <w:r>
        <w:rPr>
          <w:color w:val="231F20"/>
        </w:rPr>
        <w:t>training</w:t>
      </w:r>
      <w:r>
        <w:rPr>
          <w:color w:val="231F20"/>
          <w:spacing w:val="-11"/>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level</w:t>
      </w:r>
      <w:r>
        <w:rPr>
          <w:color w:val="231F20"/>
          <w:spacing w:val="-10"/>
        </w:rPr>
        <w:t xml:space="preserve"> </w:t>
      </w:r>
      <w:r>
        <w:rPr>
          <w:color w:val="231F20"/>
        </w:rPr>
        <w:t>for</w:t>
      </w:r>
      <w:r>
        <w:rPr>
          <w:color w:val="231F20"/>
          <w:spacing w:val="-10"/>
        </w:rPr>
        <w:t xml:space="preserve"> </w:t>
      </w:r>
      <w:r>
        <w:rPr>
          <w:color w:val="231F20"/>
        </w:rPr>
        <w:t>Logistics</w:t>
      </w:r>
      <w:r>
        <w:rPr>
          <w:color w:val="231F20"/>
          <w:spacing w:val="-10"/>
        </w:rPr>
        <w:t xml:space="preserve"> </w:t>
      </w:r>
      <w:r>
        <w:rPr>
          <w:color w:val="231F20"/>
        </w:rPr>
        <w:t>Management</w:t>
      </w:r>
      <w:r>
        <w:rPr>
          <w:color w:val="231F20"/>
          <w:spacing w:val="-10"/>
        </w:rPr>
        <w:t xml:space="preserve"> </w:t>
      </w:r>
      <w:r>
        <w:rPr>
          <w:color w:val="231F20"/>
        </w:rPr>
        <w:t>Coordinating</w:t>
      </w:r>
      <w:r>
        <w:rPr>
          <w:color w:val="231F20"/>
          <w:spacing w:val="-10"/>
        </w:rPr>
        <w:t xml:space="preserve"> </w:t>
      </w:r>
      <w:r>
        <w:rPr>
          <w:color w:val="231F20"/>
        </w:rPr>
        <w:t>Unit</w:t>
      </w:r>
      <w:r>
        <w:rPr>
          <w:color w:val="231F20"/>
          <w:spacing w:val="-11"/>
        </w:rPr>
        <w:t xml:space="preserve"> </w:t>
      </w:r>
      <w:r>
        <w:rPr>
          <w:color w:val="231F20"/>
        </w:rPr>
        <w:t>(LMCU)</w:t>
      </w:r>
      <w:r>
        <w:rPr>
          <w:color w:val="231F20"/>
          <w:spacing w:val="-10"/>
        </w:rPr>
        <w:t xml:space="preserve"> </w:t>
      </w:r>
      <w:r>
        <w:rPr>
          <w:color w:val="231F20"/>
        </w:rPr>
        <w:t>members;</w:t>
      </w:r>
      <w:r>
        <w:rPr>
          <w:color w:val="231F20"/>
          <w:spacing w:val="-10"/>
        </w:rPr>
        <w:t xml:space="preserve"> </w:t>
      </w:r>
      <w:r>
        <w:rPr>
          <w:color w:val="231F20"/>
        </w:rPr>
        <w:t>Conduct LMIS</w:t>
      </w:r>
      <w:r>
        <w:rPr>
          <w:color w:val="231F20"/>
          <w:spacing w:val="44"/>
        </w:rPr>
        <w:t xml:space="preserve"> </w:t>
      </w:r>
      <w:r>
        <w:rPr>
          <w:color w:val="231F20"/>
        </w:rPr>
        <w:t>Report</w:t>
      </w:r>
      <w:r>
        <w:rPr>
          <w:color w:val="231F20"/>
          <w:spacing w:val="45"/>
        </w:rPr>
        <w:t xml:space="preserve"> </w:t>
      </w:r>
      <w:r>
        <w:rPr>
          <w:color w:val="231F20"/>
        </w:rPr>
        <w:t>collection</w:t>
      </w:r>
      <w:r>
        <w:rPr>
          <w:color w:val="231F20"/>
          <w:spacing w:val="44"/>
        </w:rPr>
        <w:t xml:space="preserve"> </w:t>
      </w:r>
      <w:r>
        <w:rPr>
          <w:color w:val="231F20"/>
        </w:rPr>
        <w:t>of</w:t>
      </w:r>
      <w:r>
        <w:rPr>
          <w:color w:val="231F20"/>
          <w:spacing w:val="45"/>
        </w:rPr>
        <w:t xml:space="preserve"> </w:t>
      </w:r>
      <w:r>
        <w:rPr>
          <w:color w:val="231F20"/>
          <w:spacing w:val="-6"/>
        </w:rPr>
        <w:t>HIV,</w:t>
      </w:r>
      <w:r>
        <w:rPr>
          <w:color w:val="231F20"/>
          <w:spacing w:val="41"/>
        </w:rPr>
        <w:t xml:space="preserve"> </w:t>
      </w:r>
      <w:r>
        <w:rPr>
          <w:color w:val="231F20"/>
        </w:rPr>
        <w:t>TB,</w:t>
      </w:r>
      <w:r>
        <w:rPr>
          <w:color w:val="231F20"/>
          <w:spacing w:val="44"/>
        </w:rPr>
        <w:t xml:space="preserve"> </w:t>
      </w:r>
      <w:r>
        <w:rPr>
          <w:color w:val="231F20"/>
        </w:rPr>
        <w:t>Malaria,</w:t>
      </w:r>
      <w:r>
        <w:rPr>
          <w:color w:val="231F20"/>
          <w:spacing w:val="45"/>
        </w:rPr>
        <w:t xml:space="preserve"> </w:t>
      </w:r>
      <w:r>
        <w:rPr>
          <w:color w:val="231F20"/>
        </w:rPr>
        <w:t>Reproductive</w:t>
      </w:r>
      <w:r>
        <w:rPr>
          <w:color w:val="231F20"/>
          <w:spacing w:val="45"/>
        </w:rPr>
        <w:t xml:space="preserve"> </w:t>
      </w:r>
      <w:r>
        <w:rPr>
          <w:color w:val="231F20"/>
        </w:rPr>
        <w:t>health</w:t>
      </w:r>
      <w:r>
        <w:rPr>
          <w:color w:val="231F20"/>
          <w:spacing w:val="45"/>
        </w:rPr>
        <w:t xml:space="preserve"> </w:t>
      </w:r>
      <w:r>
        <w:rPr>
          <w:color w:val="231F20"/>
        </w:rPr>
        <w:t>and</w:t>
      </w:r>
      <w:r>
        <w:rPr>
          <w:color w:val="231F20"/>
          <w:spacing w:val="45"/>
        </w:rPr>
        <w:t xml:space="preserve"> </w:t>
      </w:r>
      <w:r>
        <w:rPr>
          <w:color w:val="231F20"/>
          <w:spacing w:val="-3"/>
        </w:rPr>
        <w:t>Vaccine</w:t>
      </w:r>
      <w:r>
        <w:rPr>
          <w:color w:val="231F20"/>
          <w:spacing w:val="44"/>
        </w:rPr>
        <w:t xml:space="preserve"> </w:t>
      </w:r>
      <w:r>
        <w:rPr>
          <w:color w:val="231F20"/>
        </w:rPr>
        <w:t>programs</w:t>
      </w:r>
      <w:r>
        <w:rPr>
          <w:color w:val="231F20"/>
          <w:spacing w:val="45"/>
        </w:rPr>
        <w:t xml:space="preserve"> </w:t>
      </w:r>
      <w:r>
        <w:rPr>
          <w:color w:val="231F20"/>
        </w:rPr>
        <w:t>and</w:t>
      </w:r>
    </w:p>
    <w:p w14:paraId="2A74010B" w14:textId="77777777" w:rsidR="009948F1" w:rsidRDefault="009948F1">
      <w:pPr>
        <w:spacing w:line="273" w:lineRule="auto"/>
        <w:jc w:val="both"/>
        <w:sectPr w:rsidR="009948F1">
          <w:pgSz w:w="11910" w:h="16840"/>
          <w:pgMar w:top="1360" w:right="1080" w:bottom="1420" w:left="1120" w:header="0" w:footer="1235" w:gutter="0"/>
          <w:cols w:space="720"/>
        </w:sectPr>
      </w:pPr>
    </w:p>
    <w:p w14:paraId="3F58D99D" w14:textId="77777777" w:rsidR="009948F1" w:rsidRDefault="00BC0563">
      <w:pPr>
        <w:pStyle w:val="ListParagraph"/>
        <w:numPr>
          <w:ilvl w:val="3"/>
          <w:numId w:val="266"/>
        </w:numPr>
        <w:tabs>
          <w:tab w:val="left" w:pos="1024"/>
        </w:tabs>
        <w:spacing w:before="36"/>
        <w:ind w:left="200" w:right="220" w:firstLine="0"/>
      </w:pPr>
      <w:bookmarkStart w:id="98" w:name="Page_84"/>
      <w:bookmarkEnd w:id="98"/>
      <w:r>
        <w:rPr>
          <w:color w:val="231F20"/>
        </w:rPr>
        <w:lastRenderedPageBreak/>
        <w:t>-</w:t>
      </w:r>
      <w:r>
        <w:rPr>
          <w:color w:val="231F20"/>
          <w:spacing w:val="-19"/>
        </w:rPr>
        <w:t xml:space="preserve"> </w:t>
      </w:r>
      <w:r>
        <w:rPr>
          <w:color w:val="231F20"/>
        </w:rPr>
        <w:t>Strengthen</w:t>
      </w:r>
      <w:r>
        <w:rPr>
          <w:color w:val="231F20"/>
          <w:spacing w:val="-18"/>
        </w:rPr>
        <w:t xml:space="preserve"> </w:t>
      </w:r>
      <w:r>
        <w:rPr>
          <w:color w:val="231F20"/>
        </w:rPr>
        <w:t>rational</w:t>
      </w:r>
      <w:r>
        <w:rPr>
          <w:color w:val="231F20"/>
          <w:spacing w:val="-18"/>
        </w:rPr>
        <w:t xml:space="preserve"> </w:t>
      </w:r>
      <w:r>
        <w:rPr>
          <w:color w:val="231F20"/>
        </w:rPr>
        <w:t>drug</w:t>
      </w:r>
      <w:r>
        <w:rPr>
          <w:color w:val="231F20"/>
          <w:spacing w:val="-18"/>
        </w:rPr>
        <w:t xml:space="preserve"> </w:t>
      </w:r>
      <w:r>
        <w:rPr>
          <w:color w:val="231F20"/>
        </w:rPr>
        <w:t>use</w:t>
      </w:r>
      <w:r>
        <w:rPr>
          <w:color w:val="231F20"/>
          <w:spacing w:val="-18"/>
        </w:rPr>
        <w:t xml:space="preserve"> </w:t>
      </w:r>
      <w:r>
        <w:rPr>
          <w:color w:val="231F20"/>
        </w:rPr>
        <w:t>and</w:t>
      </w:r>
      <w:r>
        <w:rPr>
          <w:color w:val="231F20"/>
          <w:spacing w:val="-18"/>
        </w:rPr>
        <w:t xml:space="preserve"> </w:t>
      </w:r>
      <w:r>
        <w:rPr>
          <w:color w:val="231F20"/>
        </w:rPr>
        <w:t>antimicrobial</w:t>
      </w:r>
      <w:r>
        <w:rPr>
          <w:color w:val="231F20"/>
          <w:spacing w:val="-18"/>
        </w:rPr>
        <w:t xml:space="preserve"> </w:t>
      </w:r>
      <w:r>
        <w:rPr>
          <w:color w:val="231F20"/>
        </w:rPr>
        <w:t>stewardship</w:t>
      </w:r>
      <w:r>
        <w:rPr>
          <w:color w:val="231F20"/>
          <w:spacing w:val="-18"/>
        </w:rPr>
        <w:t xml:space="preserve"> </w:t>
      </w:r>
      <w:r>
        <w:rPr>
          <w:color w:val="231F20"/>
        </w:rPr>
        <w:t>at</w:t>
      </w:r>
      <w:r>
        <w:rPr>
          <w:color w:val="231F20"/>
          <w:spacing w:val="-18"/>
        </w:rPr>
        <w:t xml:space="preserve"> </w:t>
      </w:r>
      <w:r>
        <w:rPr>
          <w:color w:val="231F20"/>
        </w:rPr>
        <w:t>all</w:t>
      </w:r>
      <w:r>
        <w:rPr>
          <w:color w:val="231F20"/>
          <w:spacing w:val="-18"/>
        </w:rPr>
        <w:t xml:space="preserve"> </w:t>
      </w:r>
      <w:r>
        <w:rPr>
          <w:color w:val="231F20"/>
        </w:rPr>
        <w:t>levels.</w:t>
      </w:r>
      <w:r>
        <w:rPr>
          <w:color w:val="231F20"/>
          <w:spacing w:val="-22"/>
        </w:rPr>
        <w:t xml:space="preserve"> </w:t>
      </w:r>
      <w:r>
        <w:rPr>
          <w:color w:val="231F20"/>
        </w:rPr>
        <w:t>The</w:t>
      </w:r>
      <w:r>
        <w:rPr>
          <w:color w:val="231F20"/>
          <w:spacing w:val="-18"/>
        </w:rPr>
        <w:t xml:space="preserve"> </w:t>
      </w:r>
      <w:r>
        <w:rPr>
          <w:color w:val="231F20"/>
        </w:rPr>
        <w:t>key</w:t>
      </w:r>
      <w:r>
        <w:rPr>
          <w:color w:val="231F20"/>
          <w:spacing w:val="-18"/>
        </w:rPr>
        <w:t xml:space="preserve"> </w:t>
      </w:r>
      <w:r>
        <w:rPr>
          <w:color w:val="231F20"/>
        </w:rPr>
        <w:t xml:space="preserve">actions include; - Produce and disseminate standard treatment guidelines (STGs); Provide continuing education to product users (e.g. clinicians, patients, general population, and technicians) </w:t>
      </w:r>
      <w:r>
        <w:rPr>
          <w:color w:val="231F20"/>
          <w:spacing w:val="-6"/>
        </w:rPr>
        <w:t xml:space="preserve">on </w:t>
      </w:r>
      <w:r>
        <w:rPr>
          <w:color w:val="231F20"/>
        </w:rPr>
        <w:t xml:space="preserve">appropriate product use and conduct community sensitization and education especially in </w:t>
      </w:r>
      <w:r>
        <w:rPr>
          <w:color w:val="231F20"/>
          <w:spacing w:val="-3"/>
        </w:rPr>
        <w:t xml:space="preserve">rural </w:t>
      </w:r>
      <w:r>
        <w:rPr>
          <w:color w:val="231F20"/>
        </w:rPr>
        <w:t xml:space="preserve">areas to increase understanding and capacity on product use; Make products available and affordable at the lowest tier of service delivery; </w:t>
      </w:r>
      <w:r>
        <w:rPr>
          <w:color w:val="231F20"/>
          <w:spacing w:val="-3"/>
        </w:rPr>
        <w:t xml:space="preserve">Employ, </w:t>
      </w:r>
      <w:r>
        <w:rPr>
          <w:color w:val="231F20"/>
        </w:rPr>
        <w:t xml:space="preserve">train and deploy staff knowledgeable in appropriate product use; Establish a quality system for pharmacovigilance, that will </w:t>
      </w:r>
      <w:r>
        <w:rPr>
          <w:color w:val="231F20"/>
          <w:spacing w:val="-3"/>
        </w:rPr>
        <w:t xml:space="preserve">cover </w:t>
      </w:r>
      <w:r>
        <w:rPr>
          <w:color w:val="231F20"/>
        </w:rPr>
        <w:t xml:space="preserve">organizational structure, responsibilities, procedures, processes and resources as well </w:t>
      </w:r>
      <w:r>
        <w:rPr>
          <w:color w:val="231F20"/>
          <w:spacing w:val="-7"/>
        </w:rPr>
        <w:t xml:space="preserve">as </w:t>
      </w:r>
      <w:r>
        <w:rPr>
          <w:color w:val="231F20"/>
        </w:rPr>
        <w:t>appropriate</w:t>
      </w:r>
      <w:r>
        <w:rPr>
          <w:color w:val="231F20"/>
          <w:spacing w:val="-25"/>
        </w:rPr>
        <w:t xml:space="preserve"> </w:t>
      </w:r>
      <w:r>
        <w:rPr>
          <w:color w:val="231F20"/>
        </w:rPr>
        <w:t>resource,</w:t>
      </w:r>
      <w:r>
        <w:rPr>
          <w:color w:val="231F20"/>
          <w:spacing w:val="-26"/>
        </w:rPr>
        <w:t xml:space="preserve"> </w:t>
      </w:r>
      <w:r>
        <w:rPr>
          <w:color w:val="231F20"/>
        </w:rPr>
        <w:t>compliance</w:t>
      </w:r>
      <w:r>
        <w:rPr>
          <w:color w:val="231F20"/>
          <w:spacing w:val="-25"/>
        </w:rPr>
        <w:t xml:space="preserve"> </w:t>
      </w:r>
      <w:r>
        <w:rPr>
          <w:color w:val="231F20"/>
        </w:rPr>
        <w:t>and</w:t>
      </w:r>
      <w:r>
        <w:rPr>
          <w:color w:val="231F20"/>
          <w:spacing w:val="-25"/>
        </w:rPr>
        <w:t xml:space="preserve"> </w:t>
      </w:r>
      <w:r>
        <w:rPr>
          <w:color w:val="231F20"/>
        </w:rPr>
        <w:t>record</w:t>
      </w:r>
      <w:r>
        <w:rPr>
          <w:color w:val="231F20"/>
          <w:spacing w:val="-25"/>
        </w:rPr>
        <w:t xml:space="preserve"> </w:t>
      </w:r>
      <w:r>
        <w:rPr>
          <w:color w:val="231F20"/>
        </w:rPr>
        <w:t>management.</w:t>
      </w:r>
    </w:p>
    <w:p w14:paraId="4EA134F9" w14:textId="77777777" w:rsidR="009948F1" w:rsidRDefault="009948F1">
      <w:pPr>
        <w:pStyle w:val="BodyText"/>
        <w:spacing w:before="7"/>
        <w:rPr>
          <w:sz w:val="24"/>
        </w:rPr>
      </w:pPr>
    </w:p>
    <w:p w14:paraId="197A259A" w14:textId="77777777" w:rsidR="009948F1" w:rsidRDefault="00BC0563">
      <w:pPr>
        <w:pStyle w:val="ListParagraph"/>
        <w:numPr>
          <w:ilvl w:val="3"/>
          <w:numId w:val="266"/>
        </w:numPr>
        <w:tabs>
          <w:tab w:val="left" w:pos="1017"/>
        </w:tabs>
        <w:spacing w:line="259" w:lineRule="auto"/>
        <w:ind w:left="199" w:right="220" w:firstLine="0"/>
      </w:pPr>
      <w:r>
        <w:rPr>
          <w:color w:val="231F20"/>
        </w:rPr>
        <w:t>-</w:t>
      </w:r>
      <w:r>
        <w:rPr>
          <w:color w:val="231F20"/>
          <w:spacing w:val="-27"/>
        </w:rPr>
        <w:t xml:space="preserve"> </w:t>
      </w:r>
      <w:r>
        <w:rPr>
          <w:color w:val="231F20"/>
        </w:rPr>
        <w:t>Strengthen</w:t>
      </w:r>
      <w:r>
        <w:rPr>
          <w:color w:val="231F20"/>
          <w:spacing w:val="-25"/>
        </w:rPr>
        <w:t xml:space="preserve"> </w:t>
      </w:r>
      <w:r>
        <w:rPr>
          <w:color w:val="231F20"/>
        </w:rPr>
        <w:t>existing</w:t>
      </w:r>
      <w:r>
        <w:rPr>
          <w:color w:val="231F20"/>
          <w:spacing w:val="-25"/>
        </w:rPr>
        <w:t xml:space="preserve"> </w:t>
      </w:r>
      <w:r>
        <w:rPr>
          <w:color w:val="231F20"/>
        </w:rPr>
        <w:t>systems</w:t>
      </w:r>
      <w:r>
        <w:rPr>
          <w:color w:val="231F20"/>
          <w:spacing w:val="-26"/>
        </w:rPr>
        <w:t xml:space="preserve"> </w:t>
      </w:r>
      <w:r>
        <w:rPr>
          <w:color w:val="231F20"/>
        </w:rPr>
        <w:t>for</w:t>
      </w:r>
      <w:r>
        <w:rPr>
          <w:color w:val="231F20"/>
          <w:spacing w:val="-26"/>
        </w:rPr>
        <w:t xml:space="preserve"> </w:t>
      </w:r>
      <w:r>
        <w:rPr>
          <w:color w:val="231F20"/>
        </w:rPr>
        <w:t>the</w:t>
      </w:r>
      <w:r>
        <w:rPr>
          <w:color w:val="231F20"/>
          <w:spacing w:val="-25"/>
        </w:rPr>
        <w:t xml:space="preserve"> </w:t>
      </w:r>
      <w:r>
        <w:rPr>
          <w:color w:val="231F20"/>
        </w:rPr>
        <w:t>management</w:t>
      </w:r>
      <w:r>
        <w:rPr>
          <w:color w:val="231F20"/>
          <w:spacing w:val="-25"/>
        </w:rPr>
        <w:t xml:space="preserve"> </w:t>
      </w:r>
      <w:r>
        <w:rPr>
          <w:color w:val="231F20"/>
        </w:rPr>
        <w:t>of</w:t>
      </w:r>
      <w:r>
        <w:rPr>
          <w:color w:val="231F20"/>
          <w:spacing w:val="-26"/>
        </w:rPr>
        <w:t xml:space="preserve"> </w:t>
      </w:r>
      <w:r>
        <w:rPr>
          <w:color w:val="231F20"/>
        </w:rPr>
        <w:t>biological</w:t>
      </w:r>
      <w:r>
        <w:rPr>
          <w:color w:val="231F20"/>
          <w:spacing w:val="-25"/>
        </w:rPr>
        <w:t xml:space="preserve"> </w:t>
      </w:r>
      <w:r>
        <w:rPr>
          <w:color w:val="231F20"/>
        </w:rPr>
        <w:t>and</w:t>
      </w:r>
      <w:r>
        <w:rPr>
          <w:color w:val="231F20"/>
          <w:spacing w:val="-25"/>
        </w:rPr>
        <w:t xml:space="preserve"> </w:t>
      </w:r>
      <w:r>
        <w:rPr>
          <w:color w:val="231F20"/>
        </w:rPr>
        <w:t>non-biological</w:t>
      </w:r>
      <w:r>
        <w:rPr>
          <w:color w:val="231F20"/>
          <w:spacing w:val="-25"/>
        </w:rPr>
        <w:t xml:space="preserve"> </w:t>
      </w:r>
      <w:r>
        <w:rPr>
          <w:color w:val="231F20"/>
        </w:rPr>
        <w:t>wastes including expiries of medicines, vaccines and other commodities at all levels. The key actions include</w:t>
      </w:r>
      <w:r>
        <w:rPr>
          <w:color w:val="231F20"/>
          <w:spacing w:val="-9"/>
        </w:rPr>
        <w:t xml:space="preserve"> </w:t>
      </w:r>
      <w:r>
        <w:rPr>
          <w:color w:val="231F20"/>
        </w:rPr>
        <w:t>-</w:t>
      </w:r>
      <w:r>
        <w:rPr>
          <w:color w:val="231F20"/>
          <w:spacing w:val="-8"/>
        </w:rPr>
        <w:t xml:space="preserve"> </w:t>
      </w:r>
      <w:r>
        <w:rPr>
          <w:color w:val="231F20"/>
        </w:rPr>
        <w:t>Conduct</w:t>
      </w:r>
      <w:r>
        <w:rPr>
          <w:color w:val="231F20"/>
          <w:spacing w:val="-8"/>
        </w:rPr>
        <w:t xml:space="preserve"> </w:t>
      </w:r>
      <w:r>
        <w:rPr>
          <w:color w:val="231F20"/>
        </w:rPr>
        <w:t>annual</w:t>
      </w:r>
      <w:r>
        <w:rPr>
          <w:color w:val="231F20"/>
          <w:spacing w:val="-8"/>
        </w:rPr>
        <w:t xml:space="preserve"> </w:t>
      </w:r>
      <w:r>
        <w:rPr>
          <w:color w:val="231F20"/>
        </w:rPr>
        <w:t>quantification</w:t>
      </w:r>
      <w:r>
        <w:rPr>
          <w:color w:val="231F20"/>
          <w:spacing w:val="-8"/>
        </w:rPr>
        <w:t xml:space="preserve"> </w:t>
      </w:r>
      <w:r>
        <w:rPr>
          <w:color w:val="231F20"/>
        </w:rPr>
        <w:t>of</w:t>
      </w:r>
      <w:r>
        <w:rPr>
          <w:color w:val="231F20"/>
          <w:spacing w:val="-8"/>
        </w:rPr>
        <w:t xml:space="preserve"> </w:t>
      </w:r>
      <w:r>
        <w:rPr>
          <w:color w:val="231F20"/>
        </w:rPr>
        <w:t>expiries</w:t>
      </w:r>
      <w:r>
        <w:rPr>
          <w:color w:val="231F20"/>
          <w:spacing w:val="-8"/>
        </w:rPr>
        <w:t xml:space="preserve"> </w:t>
      </w:r>
      <w:r>
        <w:rPr>
          <w:color w:val="231F20"/>
        </w:rPr>
        <w:t>of</w:t>
      </w:r>
      <w:r>
        <w:rPr>
          <w:color w:val="231F20"/>
          <w:spacing w:val="-8"/>
        </w:rPr>
        <w:t xml:space="preserve"> </w:t>
      </w:r>
      <w:r>
        <w:rPr>
          <w:color w:val="231F20"/>
        </w:rPr>
        <w:t>medicines</w:t>
      </w:r>
      <w:r>
        <w:rPr>
          <w:color w:val="231F20"/>
          <w:spacing w:val="-9"/>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commodities</w:t>
      </w:r>
      <w:r>
        <w:rPr>
          <w:color w:val="231F20"/>
          <w:spacing w:val="-8"/>
        </w:rPr>
        <w:t xml:space="preserve"> </w:t>
      </w:r>
      <w:r>
        <w:rPr>
          <w:color w:val="231F20"/>
        </w:rPr>
        <w:t>at</w:t>
      </w:r>
      <w:r>
        <w:rPr>
          <w:color w:val="231F20"/>
          <w:spacing w:val="-8"/>
        </w:rPr>
        <w:t xml:space="preserve"> </w:t>
      </w:r>
      <w:r>
        <w:rPr>
          <w:color w:val="231F20"/>
        </w:rPr>
        <w:t>Health facilities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Implement</w:t>
      </w:r>
      <w:r>
        <w:rPr>
          <w:color w:val="231F20"/>
          <w:spacing w:val="-15"/>
        </w:rPr>
        <w:t xml:space="preserve"> </w:t>
      </w:r>
      <w:r>
        <w:rPr>
          <w:color w:val="231F20"/>
        </w:rPr>
        <w:t>an</w:t>
      </w:r>
      <w:r>
        <w:rPr>
          <w:color w:val="231F20"/>
          <w:spacing w:val="-15"/>
        </w:rPr>
        <w:t xml:space="preserve"> </w:t>
      </w:r>
      <w:r>
        <w:rPr>
          <w:color w:val="231F20"/>
        </w:rPr>
        <w:t>effective</w:t>
      </w:r>
      <w:r>
        <w:rPr>
          <w:color w:val="231F20"/>
          <w:spacing w:val="-15"/>
        </w:rPr>
        <w:t xml:space="preserve"> </w:t>
      </w:r>
      <w:r>
        <w:rPr>
          <w:color w:val="231F20"/>
        </w:rPr>
        <w:t>safe</w:t>
      </w:r>
      <w:r>
        <w:rPr>
          <w:color w:val="231F20"/>
          <w:spacing w:val="-15"/>
        </w:rPr>
        <w:t xml:space="preserve"> </w:t>
      </w:r>
      <w:r>
        <w:rPr>
          <w:color w:val="231F20"/>
        </w:rPr>
        <w:t>health</w:t>
      </w:r>
      <w:r>
        <w:rPr>
          <w:color w:val="231F20"/>
          <w:spacing w:val="-15"/>
        </w:rPr>
        <w:t xml:space="preserve"> </w:t>
      </w:r>
      <w:r>
        <w:rPr>
          <w:color w:val="231F20"/>
        </w:rPr>
        <w:t>commodities</w:t>
      </w:r>
      <w:r>
        <w:rPr>
          <w:color w:val="231F20"/>
          <w:spacing w:val="-15"/>
        </w:rPr>
        <w:t xml:space="preserve"> </w:t>
      </w:r>
      <w:r>
        <w:rPr>
          <w:color w:val="231F20"/>
        </w:rPr>
        <w:t>waste</w:t>
      </w:r>
      <w:r>
        <w:rPr>
          <w:color w:val="231F20"/>
          <w:spacing w:val="-15"/>
        </w:rPr>
        <w:t xml:space="preserve"> </w:t>
      </w:r>
      <w:r>
        <w:rPr>
          <w:color w:val="231F20"/>
        </w:rPr>
        <w:t>management</w:t>
      </w:r>
      <w:r>
        <w:rPr>
          <w:color w:val="231F20"/>
          <w:spacing w:val="-15"/>
        </w:rPr>
        <w:t xml:space="preserve"> </w:t>
      </w:r>
      <w:r>
        <w:rPr>
          <w:color w:val="231F20"/>
          <w:spacing w:val="-3"/>
        </w:rPr>
        <w:t xml:space="preserve">system </w:t>
      </w:r>
      <w:r>
        <w:rPr>
          <w:color w:val="231F20"/>
        </w:rPr>
        <w:t>in</w:t>
      </w:r>
      <w:r>
        <w:rPr>
          <w:color w:val="231F20"/>
          <w:spacing w:val="-23"/>
        </w:rPr>
        <w:t xml:space="preserve"> </w:t>
      </w:r>
      <w:r>
        <w:rPr>
          <w:color w:val="231F20"/>
        </w:rPr>
        <w:t>the</w:t>
      </w:r>
      <w:r>
        <w:rPr>
          <w:color w:val="231F20"/>
          <w:spacing w:val="-23"/>
        </w:rPr>
        <w:t xml:space="preserve"> </w:t>
      </w:r>
      <w:r>
        <w:rPr>
          <w:color w:val="231F20"/>
        </w:rPr>
        <w:t>State;</w:t>
      </w:r>
      <w:r>
        <w:rPr>
          <w:color w:val="231F20"/>
          <w:spacing w:val="-23"/>
        </w:rPr>
        <w:t xml:space="preserve"> </w:t>
      </w:r>
      <w:r>
        <w:rPr>
          <w:color w:val="231F20"/>
        </w:rPr>
        <w:t>Provision</w:t>
      </w:r>
      <w:r>
        <w:rPr>
          <w:color w:val="231F20"/>
          <w:spacing w:val="-23"/>
        </w:rPr>
        <w:t xml:space="preserve"> </w:t>
      </w:r>
      <w:r>
        <w:rPr>
          <w:color w:val="231F20"/>
        </w:rPr>
        <w:t>and</w:t>
      </w:r>
      <w:r>
        <w:rPr>
          <w:color w:val="231F20"/>
          <w:spacing w:val="-23"/>
        </w:rPr>
        <w:t xml:space="preserve"> </w:t>
      </w:r>
      <w:r>
        <w:rPr>
          <w:color w:val="231F20"/>
        </w:rPr>
        <w:t>distribution</w:t>
      </w:r>
      <w:r>
        <w:rPr>
          <w:color w:val="231F20"/>
          <w:spacing w:val="-23"/>
        </w:rPr>
        <w:t xml:space="preserve"> </w:t>
      </w:r>
      <w:r>
        <w:rPr>
          <w:color w:val="231F20"/>
        </w:rPr>
        <w:t>of</w:t>
      </w:r>
      <w:r>
        <w:rPr>
          <w:color w:val="231F20"/>
          <w:spacing w:val="-23"/>
        </w:rPr>
        <w:t xml:space="preserve"> </w:t>
      </w:r>
      <w:r>
        <w:rPr>
          <w:color w:val="231F20"/>
        </w:rPr>
        <w:t>sharp</w:t>
      </w:r>
      <w:r>
        <w:rPr>
          <w:color w:val="231F20"/>
          <w:spacing w:val="-23"/>
        </w:rPr>
        <w:t xml:space="preserve"> </w:t>
      </w:r>
      <w:r>
        <w:rPr>
          <w:color w:val="231F20"/>
        </w:rPr>
        <w:t>boxes</w:t>
      </w:r>
      <w:r>
        <w:rPr>
          <w:color w:val="231F20"/>
          <w:spacing w:val="-23"/>
        </w:rPr>
        <w:t xml:space="preserve"> </w:t>
      </w:r>
      <w:r>
        <w:rPr>
          <w:color w:val="231F20"/>
        </w:rPr>
        <w:t>and</w:t>
      </w:r>
      <w:r>
        <w:rPr>
          <w:color w:val="231F20"/>
          <w:spacing w:val="-23"/>
        </w:rPr>
        <w:t xml:space="preserve"> </w:t>
      </w:r>
      <w:r>
        <w:rPr>
          <w:color w:val="231F20"/>
        </w:rPr>
        <w:t>consumables</w:t>
      </w:r>
      <w:r>
        <w:rPr>
          <w:color w:val="231F20"/>
          <w:spacing w:val="-23"/>
        </w:rPr>
        <w:t xml:space="preserve"> </w:t>
      </w:r>
      <w:r>
        <w:rPr>
          <w:color w:val="231F20"/>
        </w:rPr>
        <w:t>to</w:t>
      </w:r>
      <w:r>
        <w:rPr>
          <w:color w:val="231F20"/>
          <w:spacing w:val="-23"/>
        </w:rPr>
        <w:t xml:space="preserve"> </w:t>
      </w:r>
      <w:r>
        <w:rPr>
          <w:color w:val="231F20"/>
        </w:rPr>
        <w:t>all</w:t>
      </w:r>
      <w:r>
        <w:rPr>
          <w:color w:val="231F20"/>
          <w:spacing w:val="-23"/>
        </w:rPr>
        <w:t xml:space="preserve"> </w:t>
      </w:r>
      <w:r>
        <w:rPr>
          <w:color w:val="231F20"/>
        </w:rPr>
        <w:t>Health</w:t>
      </w:r>
      <w:r>
        <w:rPr>
          <w:color w:val="231F20"/>
          <w:spacing w:val="-23"/>
        </w:rPr>
        <w:t xml:space="preserve"> </w:t>
      </w:r>
      <w:r>
        <w:rPr>
          <w:color w:val="231F20"/>
        </w:rPr>
        <w:t>facilities</w:t>
      </w:r>
      <w:r>
        <w:rPr>
          <w:color w:val="231F20"/>
          <w:spacing w:val="-23"/>
        </w:rPr>
        <w:t xml:space="preserve"> </w:t>
      </w:r>
      <w:r>
        <w:rPr>
          <w:color w:val="231F20"/>
        </w:rPr>
        <w:t>in</w:t>
      </w:r>
      <w:r>
        <w:rPr>
          <w:color w:val="231F20"/>
          <w:spacing w:val="-23"/>
        </w:rPr>
        <w:t xml:space="preserve"> </w:t>
      </w:r>
      <w:r>
        <w:rPr>
          <w:color w:val="231F20"/>
          <w:spacing w:val="-5"/>
        </w:rPr>
        <w:t xml:space="preserve">the </w:t>
      </w:r>
      <w:r>
        <w:rPr>
          <w:color w:val="231F20"/>
        </w:rPr>
        <w:t>State.</w:t>
      </w:r>
    </w:p>
    <w:p w14:paraId="7E01430F" w14:textId="77777777" w:rsidR="009948F1" w:rsidRDefault="009948F1">
      <w:pPr>
        <w:pStyle w:val="BodyText"/>
        <w:spacing w:before="2"/>
        <w:rPr>
          <w:sz w:val="24"/>
        </w:rPr>
      </w:pPr>
    </w:p>
    <w:p w14:paraId="1176868C" w14:textId="2ED156FC" w:rsidR="009948F1" w:rsidRDefault="00BC0563">
      <w:pPr>
        <w:pStyle w:val="ListParagraph"/>
        <w:numPr>
          <w:ilvl w:val="3"/>
          <w:numId w:val="266"/>
        </w:numPr>
        <w:tabs>
          <w:tab w:val="left" w:pos="1055"/>
        </w:tabs>
        <w:spacing w:line="259" w:lineRule="auto"/>
        <w:ind w:left="199" w:right="220" w:firstLine="0"/>
      </w:pPr>
      <w:r>
        <w:rPr>
          <w:color w:val="231F20"/>
        </w:rPr>
        <w:t>- Strengthen the development of traditional medicine in Rivers State. The key actions include;</w:t>
      </w:r>
      <w:r>
        <w:rPr>
          <w:color w:val="231F20"/>
          <w:spacing w:val="-6"/>
        </w:rPr>
        <w:t xml:space="preserve"> </w:t>
      </w:r>
      <w:r>
        <w:rPr>
          <w:color w:val="231F20"/>
        </w:rPr>
        <w:t>-</w:t>
      </w:r>
      <w:r>
        <w:rPr>
          <w:color w:val="231F20"/>
          <w:spacing w:val="-6"/>
        </w:rPr>
        <w:t xml:space="preserve"> </w:t>
      </w:r>
      <w:r>
        <w:rPr>
          <w:color w:val="231F20"/>
        </w:rPr>
        <w:t>Establish</w:t>
      </w:r>
      <w:r w:rsidR="00E62884">
        <w:rPr>
          <w:color w:val="231F20"/>
        </w:rPr>
        <w:t xml:space="preserve"> </w:t>
      </w:r>
      <w:r>
        <w:rPr>
          <w:color w:val="231F20"/>
        </w:rPr>
        <w:t>a</w:t>
      </w:r>
      <w:r>
        <w:rPr>
          <w:color w:val="231F20"/>
          <w:spacing w:val="-10"/>
        </w:rPr>
        <w:t xml:space="preserve"> </w:t>
      </w:r>
      <w:r>
        <w:rPr>
          <w:color w:val="231F20"/>
        </w:rPr>
        <w:t>Traditional</w:t>
      </w:r>
      <w:r>
        <w:rPr>
          <w:color w:val="231F20"/>
          <w:spacing w:val="-6"/>
        </w:rPr>
        <w:t xml:space="preserve"> </w:t>
      </w:r>
      <w:r>
        <w:rPr>
          <w:color w:val="231F20"/>
        </w:rPr>
        <w:t>Medicine</w:t>
      </w:r>
      <w:r>
        <w:rPr>
          <w:color w:val="231F20"/>
          <w:spacing w:val="-5"/>
        </w:rPr>
        <w:t xml:space="preserve"> </w:t>
      </w:r>
      <w:r>
        <w:rPr>
          <w:color w:val="231F20"/>
        </w:rPr>
        <w:t>Board</w:t>
      </w:r>
      <w:r>
        <w:rPr>
          <w:color w:val="231F20"/>
          <w:spacing w:val="-6"/>
        </w:rPr>
        <w:t xml:space="preserve"> </w:t>
      </w:r>
      <w:r>
        <w:rPr>
          <w:color w:val="231F20"/>
        </w:rPr>
        <w:t>(TMB)</w:t>
      </w:r>
      <w:r>
        <w:rPr>
          <w:color w:val="231F20"/>
          <w:spacing w:val="-6"/>
        </w:rPr>
        <w:t xml:space="preserve"> </w:t>
      </w:r>
      <w:r>
        <w:rPr>
          <w:color w:val="231F20"/>
        </w:rPr>
        <w:t>and</w:t>
      </w:r>
      <w:r>
        <w:rPr>
          <w:color w:val="231F20"/>
          <w:spacing w:val="-6"/>
        </w:rPr>
        <w:t xml:space="preserve"> </w:t>
      </w:r>
      <w:r>
        <w:rPr>
          <w:color w:val="231F20"/>
        </w:rPr>
        <w:t>hold</w:t>
      </w:r>
      <w:r>
        <w:rPr>
          <w:color w:val="231F20"/>
          <w:spacing w:val="-6"/>
        </w:rPr>
        <w:t xml:space="preserve"> </w:t>
      </w:r>
      <w:r>
        <w:rPr>
          <w:color w:val="231F20"/>
        </w:rPr>
        <w:t>periodic</w:t>
      </w:r>
      <w:r>
        <w:rPr>
          <w:color w:val="231F20"/>
          <w:spacing w:val="-5"/>
        </w:rPr>
        <w:t xml:space="preserve"> </w:t>
      </w:r>
      <w:r>
        <w:rPr>
          <w:color w:val="231F20"/>
        </w:rPr>
        <w:t>meetings</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the implementation of the Traditional Medicine Policy guidelines in the State &amp; LGAs; Conduct advocacy to the government for allocation of adequate funds for the operation of traditional medicine</w:t>
      </w:r>
      <w:r>
        <w:rPr>
          <w:color w:val="231F20"/>
          <w:spacing w:val="-24"/>
        </w:rPr>
        <w:t xml:space="preserve"> </w:t>
      </w:r>
      <w:proofErr w:type="spellStart"/>
      <w:r>
        <w:rPr>
          <w:color w:val="231F20"/>
        </w:rPr>
        <w:t>programmes</w:t>
      </w:r>
      <w:proofErr w:type="spellEnd"/>
      <w:r>
        <w:rPr>
          <w:color w:val="231F20"/>
          <w:spacing w:val="-23"/>
        </w:rPr>
        <w:t xml:space="preserve"> </w:t>
      </w:r>
      <w:r>
        <w:rPr>
          <w:color w:val="231F20"/>
        </w:rPr>
        <w:t>and</w:t>
      </w:r>
      <w:r>
        <w:rPr>
          <w:color w:val="231F20"/>
          <w:spacing w:val="-23"/>
        </w:rPr>
        <w:t xml:space="preserve"> </w:t>
      </w:r>
      <w:r>
        <w:rPr>
          <w:color w:val="231F20"/>
        </w:rPr>
        <w:t>activities</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State</w:t>
      </w:r>
      <w:r>
        <w:rPr>
          <w:color w:val="231F20"/>
          <w:spacing w:val="-23"/>
        </w:rPr>
        <w:t xml:space="preserve"> </w:t>
      </w:r>
      <w:r>
        <w:rPr>
          <w:color w:val="231F20"/>
        </w:rPr>
        <w:t>&amp;</w:t>
      </w:r>
      <w:r>
        <w:rPr>
          <w:color w:val="231F20"/>
          <w:spacing w:val="-23"/>
        </w:rPr>
        <w:t xml:space="preserve"> </w:t>
      </w:r>
      <w:r>
        <w:rPr>
          <w:color w:val="231F20"/>
        </w:rPr>
        <w:t>LGAs;</w:t>
      </w:r>
      <w:r>
        <w:rPr>
          <w:color w:val="231F20"/>
          <w:spacing w:val="-23"/>
        </w:rPr>
        <w:t xml:space="preserve"> </w:t>
      </w:r>
      <w:r>
        <w:rPr>
          <w:color w:val="231F20"/>
        </w:rPr>
        <w:t>Capacity</w:t>
      </w:r>
      <w:r>
        <w:rPr>
          <w:color w:val="231F20"/>
          <w:spacing w:val="-24"/>
        </w:rPr>
        <w:t xml:space="preserve"> </w:t>
      </w:r>
      <w:r>
        <w:rPr>
          <w:color w:val="231F20"/>
        </w:rPr>
        <w:t>building</w:t>
      </w:r>
      <w:r>
        <w:rPr>
          <w:color w:val="231F20"/>
          <w:spacing w:val="-23"/>
        </w:rPr>
        <w:t xml:space="preserve"> </w:t>
      </w:r>
      <w:r>
        <w:rPr>
          <w:color w:val="231F20"/>
        </w:rPr>
        <w:t>for</w:t>
      </w:r>
      <w:r>
        <w:rPr>
          <w:color w:val="231F20"/>
          <w:spacing w:val="-23"/>
        </w:rPr>
        <w:t xml:space="preserve"> </w:t>
      </w:r>
      <w:r>
        <w:rPr>
          <w:color w:val="231F20"/>
        </w:rPr>
        <w:t>traditional</w:t>
      </w:r>
      <w:r>
        <w:rPr>
          <w:color w:val="231F20"/>
          <w:spacing w:val="-23"/>
        </w:rPr>
        <w:t xml:space="preserve"> </w:t>
      </w:r>
      <w:r>
        <w:rPr>
          <w:color w:val="231F20"/>
        </w:rPr>
        <w:t xml:space="preserve">medicine practitioners in the State; Establish a regulatory agency for the registration, regulation, </w:t>
      </w:r>
      <w:r w:rsidR="00B03233">
        <w:rPr>
          <w:color w:val="231F20"/>
        </w:rPr>
        <w:t>standardization</w:t>
      </w:r>
      <w:r>
        <w:rPr>
          <w:color w:val="231F20"/>
        </w:rPr>
        <w:t xml:space="preserve"> and training with respect to traditional practice; Promote research </w:t>
      </w:r>
      <w:r>
        <w:rPr>
          <w:color w:val="231F20"/>
          <w:spacing w:val="-5"/>
        </w:rPr>
        <w:t xml:space="preserve">and </w:t>
      </w:r>
      <w:r>
        <w:rPr>
          <w:color w:val="231F20"/>
        </w:rPr>
        <w:t>development</w:t>
      </w:r>
      <w:r>
        <w:rPr>
          <w:color w:val="231F20"/>
          <w:spacing w:val="-25"/>
        </w:rPr>
        <w:t xml:space="preserve"> </w:t>
      </w:r>
      <w:r>
        <w:rPr>
          <w:color w:val="231F20"/>
        </w:rPr>
        <w:t>(R&amp;D)</w:t>
      </w:r>
      <w:r>
        <w:rPr>
          <w:color w:val="231F20"/>
          <w:spacing w:val="-26"/>
        </w:rPr>
        <w:t xml:space="preserve"> </w:t>
      </w:r>
      <w:r>
        <w:rPr>
          <w:color w:val="231F20"/>
        </w:rPr>
        <w:t>of</w:t>
      </w:r>
      <w:r>
        <w:rPr>
          <w:color w:val="231F20"/>
          <w:spacing w:val="-25"/>
        </w:rPr>
        <w:t xml:space="preserve"> </w:t>
      </w:r>
      <w:r>
        <w:rPr>
          <w:color w:val="231F20"/>
        </w:rPr>
        <w:t>traditional</w:t>
      </w:r>
      <w:r>
        <w:rPr>
          <w:color w:val="231F20"/>
          <w:spacing w:val="-25"/>
        </w:rPr>
        <w:t xml:space="preserve"> </w:t>
      </w:r>
      <w:r>
        <w:rPr>
          <w:color w:val="231F20"/>
        </w:rPr>
        <w:t>medicine.</w:t>
      </w:r>
    </w:p>
    <w:p w14:paraId="0B145226" w14:textId="77777777" w:rsidR="009948F1" w:rsidRDefault="009948F1">
      <w:pPr>
        <w:pStyle w:val="BodyText"/>
        <w:spacing w:before="3"/>
        <w:rPr>
          <w:sz w:val="24"/>
        </w:rPr>
      </w:pPr>
    </w:p>
    <w:p w14:paraId="25A03281" w14:textId="77777777" w:rsidR="009948F1" w:rsidRDefault="00BC0563">
      <w:pPr>
        <w:pStyle w:val="Heading7"/>
        <w:spacing w:line="259" w:lineRule="auto"/>
        <w:ind w:left="199" w:right="4536"/>
        <w:jc w:val="both"/>
      </w:pPr>
      <w:r>
        <w:rPr>
          <w:color w:val="231F20"/>
        </w:rPr>
        <w:t>Priority</w:t>
      </w:r>
      <w:r>
        <w:rPr>
          <w:color w:val="231F20"/>
          <w:spacing w:val="-33"/>
        </w:rPr>
        <w:t xml:space="preserve"> </w:t>
      </w:r>
      <w:r>
        <w:rPr>
          <w:color w:val="231F20"/>
        </w:rPr>
        <w:t>Area</w:t>
      </w:r>
      <w:r>
        <w:rPr>
          <w:color w:val="231F20"/>
          <w:spacing w:val="-25"/>
        </w:rPr>
        <w:t xml:space="preserve"> </w:t>
      </w:r>
      <w:r>
        <w:rPr>
          <w:color w:val="231F20"/>
        </w:rPr>
        <w:t>12:</w:t>
      </w:r>
      <w:r>
        <w:rPr>
          <w:color w:val="231F20"/>
          <w:spacing w:val="-25"/>
        </w:rPr>
        <w:t xml:space="preserve"> </w:t>
      </w:r>
      <w:r>
        <w:rPr>
          <w:color w:val="231F20"/>
        </w:rPr>
        <w:t>Health</w:t>
      </w:r>
      <w:r>
        <w:rPr>
          <w:color w:val="231F20"/>
          <w:spacing w:val="-25"/>
        </w:rPr>
        <w:t xml:space="preserve"> </w:t>
      </w:r>
      <w:r>
        <w:rPr>
          <w:color w:val="231F20"/>
        </w:rPr>
        <w:t>Information</w:t>
      </w:r>
      <w:r>
        <w:rPr>
          <w:color w:val="231F20"/>
          <w:spacing w:val="-25"/>
        </w:rPr>
        <w:t xml:space="preserve"> </w:t>
      </w:r>
      <w:r>
        <w:rPr>
          <w:color w:val="231F20"/>
        </w:rPr>
        <w:t>System</w:t>
      </w:r>
      <w:r>
        <w:rPr>
          <w:color w:val="231F20"/>
          <w:spacing w:val="-24"/>
        </w:rPr>
        <w:t xml:space="preserve"> </w:t>
      </w:r>
      <w:r>
        <w:rPr>
          <w:color w:val="231F20"/>
          <w:spacing w:val="-3"/>
        </w:rPr>
        <w:t xml:space="preserve">(HIS) </w:t>
      </w:r>
      <w:r>
        <w:rPr>
          <w:color w:val="231F20"/>
        </w:rPr>
        <w:t>Context</w:t>
      </w:r>
    </w:p>
    <w:p w14:paraId="0DBE4945" w14:textId="77777777" w:rsidR="009948F1" w:rsidRDefault="00BC0563">
      <w:pPr>
        <w:pStyle w:val="BodyText"/>
        <w:spacing w:before="2" w:line="259" w:lineRule="auto"/>
        <w:ind w:left="199" w:right="220"/>
        <w:jc w:val="both"/>
      </w:pPr>
      <w:r>
        <w:rPr>
          <w:color w:val="231F20"/>
        </w:rPr>
        <w:t>The revised HIS policy provides the framework for inter-sectoral, comprehensive and integral structure for collection, collation, analysis, storage, dissemination and use of health and health- related</w:t>
      </w:r>
      <w:r>
        <w:rPr>
          <w:color w:val="231F20"/>
          <w:spacing w:val="-25"/>
        </w:rPr>
        <w:t xml:space="preserve"> </w:t>
      </w:r>
      <w:r>
        <w:rPr>
          <w:color w:val="231F20"/>
        </w:rPr>
        <w:t>data</w:t>
      </w:r>
      <w:r>
        <w:rPr>
          <w:color w:val="231F20"/>
          <w:spacing w:val="-24"/>
        </w:rPr>
        <w:t xml:space="preserve"> </w:t>
      </w:r>
      <w:r>
        <w:rPr>
          <w:color w:val="231F20"/>
        </w:rPr>
        <w:t>and</w:t>
      </w:r>
      <w:r>
        <w:rPr>
          <w:color w:val="231F20"/>
          <w:spacing w:val="-24"/>
        </w:rPr>
        <w:t xml:space="preserve"> </w:t>
      </w:r>
      <w:r>
        <w:rPr>
          <w:color w:val="231F20"/>
        </w:rPr>
        <w:t>information.</w:t>
      </w:r>
      <w:r>
        <w:rPr>
          <w:color w:val="231F20"/>
          <w:spacing w:val="-28"/>
        </w:rPr>
        <w:t xml:space="preserve"> </w:t>
      </w:r>
      <w:r>
        <w:rPr>
          <w:color w:val="231F20"/>
        </w:rPr>
        <w:t>The</w:t>
      </w:r>
      <w:r>
        <w:rPr>
          <w:color w:val="231F20"/>
          <w:spacing w:val="-24"/>
        </w:rPr>
        <w:t xml:space="preserve"> </w:t>
      </w:r>
      <w:r>
        <w:rPr>
          <w:color w:val="231F20"/>
        </w:rPr>
        <w:t>development</w:t>
      </w:r>
      <w:r>
        <w:rPr>
          <w:color w:val="231F20"/>
          <w:spacing w:val="-23"/>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HIS</w:t>
      </w:r>
      <w:r>
        <w:rPr>
          <w:color w:val="231F20"/>
          <w:spacing w:val="-24"/>
        </w:rPr>
        <w:t xml:space="preserve"> </w:t>
      </w:r>
      <w:r>
        <w:rPr>
          <w:color w:val="231F20"/>
        </w:rPr>
        <w:t>Strategic</w:t>
      </w:r>
      <w:r>
        <w:rPr>
          <w:color w:val="231F20"/>
          <w:spacing w:val="-24"/>
        </w:rPr>
        <w:t xml:space="preserve"> </w:t>
      </w:r>
      <w:r>
        <w:rPr>
          <w:color w:val="231F20"/>
        </w:rPr>
        <w:t>Plan</w:t>
      </w:r>
      <w:r>
        <w:rPr>
          <w:color w:val="231F20"/>
          <w:spacing w:val="-25"/>
        </w:rPr>
        <w:t xml:space="preserve"> </w:t>
      </w:r>
      <w:r>
        <w:rPr>
          <w:color w:val="231F20"/>
        </w:rPr>
        <w:t>2014-2018</w:t>
      </w:r>
      <w:r>
        <w:rPr>
          <w:color w:val="231F20"/>
          <w:spacing w:val="-23"/>
        </w:rPr>
        <w:t xml:space="preserve"> </w:t>
      </w:r>
      <w:r>
        <w:rPr>
          <w:color w:val="231F20"/>
        </w:rPr>
        <w:t>was</w:t>
      </w:r>
      <w:r>
        <w:rPr>
          <w:color w:val="231F20"/>
          <w:spacing w:val="-24"/>
        </w:rPr>
        <w:t xml:space="preserve"> </w:t>
      </w:r>
      <w:r>
        <w:rPr>
          <w:color w:val="231F20"/>
        </w:rPr>
        <w:t>guided</w:t>
      </w:r>
      <w:r>
        <w:rPr>
          <w:color w:val="231F20"/>
          <w:spacing w:val="-24"/>
        </w:rPr>
        <w:t xml:space="preserve"> </w:t>
      </w:r>
      <w:r>
        <w:rPr>
          <w:color w:val="231F20"/>
        </w:rPr>
        <w:t>by the HIS</w:t>
      </w:r>
      <w:r>
        <w:rPr>
          <w:color w:val="231F20"/>
          <w:spacing w:val="-50"/>
        </w:rPr>
        <w:t xml:space="preserve"> </w:t>
      </w:r>
      <w:r>
        <w:rPr>
          <w:color w:val="231F20"/>
          <w:spacing w:val="-3"/>
        </w:rPr>
        <w:t>Policy.</w:t>
      </w:r>
    </w:p>
    <w:p w14:paraId="580D9DB4" w14:textId="77777777" w:rsidR="009948F1" w:rsidRDefault="009948F1">
      <w:pPr>
        <w:pStyle w:val="BodyText"/>
        <w:rPr>
          <w:sz w:val="24"/>
        </w:rPr>
      </w:pPr>
    </w:p>
    <w:p w14:paraId="1D67E0BA" w14:textId="74884619" w:rsidR="009948F1" w:rsidRDefault="00BC0563">
      <w:pPr>
        <w:pStyle w:val="BodyText"/>
        <w:spacing w:line="259" w:lineRule="auto"/>
        <w:ind w:left="199" w:right="220"/>
        <w:jc w:val="both"/>
      </w:pPr>
      <w:r>
        <w:rPr>
          <w:color w:val="231F20"/>
        </w:rPr>
        <w:t>The country's Health Information System (HIS) remains weak and fragmented with numerous vertical</w:t>
      </w:r>
      <w:r>
        <w:rPr>
          <w:color w:val="231F20"/>
          <w:spacing w:val="-25"/>
        </w:rPr>
        <w:t xml:space="preserve"> </w:t>
      </w:r>
      <w:proofErr w:type="spellStart"/>
      <w:r>
        <w:rPr>
          <w:color w:val="231F20"/>
        </w:rPr>
        <w:t>programmes</w:t>
      </w:r>
      <w:proofErr w:type="spellEnd"/>
      <w:r>
        <w:rPr>
          <w:color w:val="231F20"/>
        </w:rPr>
        <w:t>,</w:t>
      </w:r>
      <w:r>
        <w:rPr>
          <w:color w:val="231F20"/>
          <w:spacing w:val="-24"/>
        </w:rPr>
        <w:t xml:space="preserve"> </w:t>
      </w:r>
      <w:r>
        <w:rPr>
          <w:color w:val="231F20"/>
        </w:rPr>
        <w:t>which</w:t>
      </w:r>
      <w:r>
        <w:rPr>
          <w:color w:val="231F20"/>
          <w:spacing w:val="-24"/>
        </w:rPr>
        <w:t xml:space="preserve"> </w:t>
      </w:r>
      <w:r>
        <w:rPr>
          <w:color w:val="231F20"/>
        </w:rPr>
        <w:t>are</w:t>
      </w:r>
      <w:r>
        <w:rPr>
          <w:color w:val="231F20"/>
          <w:spacing w:val="-24"/>
        </w:rPr>
        <w:t xml:space="preserve"> </w:t>
      </w:r>
      <w:r>
        <w:rPr>
          <w:color w:val="231F20"/>
        </w:rPr>
        <w:t>mostly</w:t>
      </w:r>
      <w:r>
        <w:rPr>
          <w:color w:val="231F20"/>
          <w:spacing w:val="-24"/>
        </w:rPr>
        <w:t xml:space="preserve"> </w:t>
      </w:r>
      <w:r>
        <w:rPr>
          <w:color w:val="231F20"/>
        </w:rPr>
        <w:t>donor</w:t>
      </w:r>
      <w:r>
        <w:rPr>
          <w:color w:val="231F20"/>
          <w:spacing w:val="-24"/>
        </w:rPr>
        <w:t xml:space="preserve"> </w:t>
      </w:r>
      <w:r>
        <w:rPr>
          <w:color w:val="231F20"/>
        </w:rPr>
        <w:t>driven.</w:t>
      </w:r>
      <w:r>
        <w:rPr>
          <w:color w:val="231F20"/>
          <w:spacing w:val="-24"/>
        </w:rPr>
        <w:t xml:space="preserve"> </w:t>
      </w:r>
      <w:r>
        <w:rPr>
          <w:color w:val="231F20"/>
        </w:rPr>
        <w:t>Despite</w:t>
      </w:r>
      <w:r>
        <w:rPr>
          <w:color w:val="231F20"/>
          <w:spacing w:val="-24"/>
        </w:rPr>
        <w:t xml:space="preserve"> </w:t>
      </w:r>
      <w:r>
        <w:rPr>
          <w:color w:val="231F20"/>
        </w:rPr>
        <w:t>significant</w:t>
      </w:r>
      <w:r>
        <w:rPr>
          <w:color w:val="231F20"/>
          <w:spacing w:val="-24"/>
        </w:rPr>
        <w:t xml:space="preserve"> </w:t>
      </w:r>
      <w:r>
        <w:rPr>
          <w:color w:val="231F20"/>
        </w:rPr>
        <w:t>past</w:t>
      </w:r>
      <w:r>
        <w:rPr>
          <w:color w:val="231F20"/>
          <w:spacing w:val="-24"/>
        </w:rPr>
        <w:t xml:space="preserve"> </w:t>
      </w:r>
      <w:r>
        <w:rPr>
          <w:color w:val="231F20"/>
        </w:rPr>
        <w:t>investments</w:t>
      </w:r>
      <w:r>
        <w:rPr>
          <w:color w:val="231F20"/>
          <w:spacing w:val="-24"/>
        </w:rPr>
        <w:t xml:space="preserve"> </w:t>
      </w:r>
      <w:r>
        <w:rPr>
          <w:color w:val="231F20"/>
        </w:rPr>
        <w:t>aimed</w:t>
      </w:r>
      <w:r>
        <w:rPr>
          <w:color w:val="231F20"/>
          <w:spacing w:val="-25"/>
        </w:rPr>
        <w:t xml:space="preserve"> </w:t>
      </w:r>
      <w:r>
        <w:rPr>
          <w:color w:val="231F20"/>
        </w:rPr>
        <w:t xml:space="preserve">at improving the nation's HIS, the sub-sector remains challenged due to duplications and lack of </w:t>
      </w:r>
      <w:r>
        <w:rPr>
          <w:color w:val="231F20"/>
          <w:spacing w:val="-11"/>
        </w:rPr>
        <w:t xml:space="preserve">a </w:t>
      </w:r>
      <w:r>
        <w:rPr>
          <w:color w:val="231F20"/>
        </w:rPr>
        <w:t>common</w:t>
      </w:r>
      <w:r>
        <w:rPr>
          <w:color w:val="231F20"/>
          <w:spacing w:val="-16"/>
        </w:rPr>
        <w:t xml:space="preserve"> </w:t>
      </w:r>
      <w:r>
        <w:rPr>
          <w:color w:val="231F20"/>
        </w:rPr>
        <w:t>investment</w:t>
      </w:r>
      <w:r>
        <w:rPr>
          <w:color w:val="231F20"/>
          <w:spacing w:val="-15"/>
        </w:rPr>
        <w:t xml:space="preserve"> </w:t>
      </w:r>
      <w:r>
        <w:rPr>
          <w:color w:val="231F20"/>
        </w:rPr>
        <w:t>framework.</w:t>
      </w:r>
      <w:r>
        <w:rPr>
          <w:color w:val="231F20"/>
          <w:spacing w:val="-19"/>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multiplicity</w:t>
      </w:r>
      <w:r>
        <w:rPr>
          <w:color w:val="231F20"/>
          <w:spacing w:val="-15"/>
        </w:rPr>
        <w:t xml:space="preserve"> </w:t>
      </w:r>
      <w:r>
        <w:rPr>
          <w:color w:val="231F20"/>
        </w:rPr>
        <w:t>of</w:t>
      </w:r>
      <w:r>
        <w:rPr>
          <w:color w:val="231F20"/>
          <w:spacing w:val="-15"/>
        </w:rPr>
        <w:t xml:space="preserve"> </w:t>
      </w:r>
      <w:r>
        <w:rPr>
          <w:color w:val="231F20"/>
        </w:rPr>
        <w:t>data</w:t>
      </w:r>
      <w:r>
        <w:rPr>
          <w:color w:val="231F20"/>
          <w:spacing w:val="-15"/>
        </w:rPr>
        <w:t xml:space="preserve"> </w:t>
      </w:r>
      <w:r>
        <w:rPr>
          <w:color w:val="231F20"/>
        </w:rPr>
        <w:t>collection</w:t>
      </w:r>
      <w:r>
        <w:rPr>
          <w:color w:val="231F20"/>
          <w:spacing w:val="-15"/>
        </w:rPr>
        <w:t xml:space="preserve"> </w:t>
      </w:r>
      <w:r>
        <w:rPr>
          <w:color w:val="231F20"/>
        </w:rPr>
        <w:t>tools</w:t>
      </w:r>
      <w:r>
        <w:rPr>
          <w:color w:val="231F20"/>
          <w:spacing w:val="-15"/>
        </w:rPr>
        <w:t xml:space="preserve"> </w:t>
      </w:r>
      <w:r>
        <w:rPr>
          <w:color w:val="231F20"/>
        </w:rPr>
        <w:t>and</w:t>
      </w:r>
      <w:r>
        <w:rPr>
          <w:color w:val="231F20"/>
          <w:spacing w:val="-15"/>
        </w:rPr>
        <w:t xml:space="preserve"> </w:t>
      </w:r>
      <w:r>
        <w:rPr>
          <w:color w:val="231F20"/>
        </w:rPr>
        <w:t>DHIS</w:t>
      </w:r>
      <w:r>
        <w:rPr>
          <w:color w:val="231F20"/>
          <w:spacing w:val="-15"/>
        </w:rPr>
        <w:t xml:space="preserve"> </w:t>
      </w:r>
      <w:r>
        <w:rPr>
          <w:color w:val="231F20"/>
        </w:rPr>
        <w:t xml:space="preserve">instances resulting from the use of poorly defined non-standardized indicators. Also, some of </w:t>
      </w:r>
      <w:r>
        <w:rPr>
          <w:color w:val="231F20"/>
          <w:spacing w:val="-4"/>
        </w:rPr>
        <w:t>the</w:t>
      </w:r>
      <w:r>
        <w:rPr>
          <w:color w:val="231F20"/>
          <w:spacing w:val="53"/>
        </w:rPr>
        <w:t xml:space="preserve"> </w:t>
      </w:r>
      <w:r>
        <w:rPr>
          <w:color w:val="231F20"/>
        </w:rPr>
        <w:t xml:space="preserve">Development Partners and the </w:t>
      </w:r>
      <w:proofErr w:type="spellStart"/>
      <w:r>
        <w:rPr>
          <w:color w:val="231F20"/>
        </w:rPr>
        <w:t>programmes</w:t>
      </w:r>
      <w:proofErr w:type="spellEnd"/>
      <w:r>
        <w:rPr>
          <w:color w:val="231F20"/>
        </w:rPr>
        <w:t xml:space="preserve"> they support (including </w:t>
      </w:r>
      <w:proofErr w:type="spellStart"/>
      <w:r>
        <w:rPr>
          <w:color w:val="231F20"/>
        </w:rPr>
        <w:t>programmes</w:t>
      </w:r>
      <w:proofErr w:type="spellEnd"/>
      <w:r>
        <w:rPr>
          <w:color w:val="231F20"/>
        </w:rPr>
        <w:t xml:space="preserve"> within </w:t>
      </w:r>
      <w:r>
        <w:rPr>
          <w:color w:val="231F20"/>
          <w:spacing w:val="-5"/>
        </w:rPr>
        <w:t xml:space="preserve">the </w:t>
      </w:r>
      <w:r>
        <w:rPr>
          <w:color w:val="231F20"/>
        </w:rPr>
        <w:t>FMOH)</w:t>
      </w:r>
      <w:r>
        <w:rPr>
          <w:color w:val="231F20"/>
          <w:spacing w:val="-23"/>
        </w:rPr>
        <w:t xml:space="preserve"> </w:t>
      </w:r>
      <w:r>
        <w:rPr>
          <w:color w:val="231F20"/>
        </w:rPr>
        <w:t>are</w:t>
      </w:r>
      <w:r>
        <w:rPr>
          <w:color w:val="231F20"/>
          <w:spacing w:val="-23"/>
        </w:rPr>
        <w:t xml:space="preserve"> </w:t>
      </w:r>
      <w:r>
        <w:rPr>
          <w:color w:val="231F20"/>
        </w:rPr>
        <w:t>reluctant</w:t>
      </w:r>
      <w:r>
        <w:rPr>
          <w:color w:val="231F20"/>
          <w:spacing w:val="-23"/>
        </w:rPr>
        <w:t xml:space="preserve"> </w:t>
      </w:r>
      <w:r>
        <w:rPr>
          <w:color w:val="231F20"/>
        </w:rPr>
        <w:t>to</w:t>
      </w:r>
      <w:r>
        <w:rPr>
          <w:color w:val="231F20"/>
          <w:spacing w:val="-23"/>
        </w:rPr>
        <w:t xml:space="preserve"> </w:t>
      </w:r>
      <w:r w:rsidR="00B03233">
        <w:rPr>
          <w:color w:val="231F20"/>
        </w:rPr>
        <w:t>utilize</w:t>
      </w:r>
      <w:r>
        <w:rPr>
          <w:color w:val="231F20"/>
          <w:spacing w:val="-23"/>
        </w:rPr>
        <w:t xml:space="preserve"> </w:t>
      </w:r>
      <w:r>
        <w:rPr>
          <w:color w:val="231F20"/>
        </w:rPr>
        <w:t>national</w:t>
      </w:r>
      <w:r>
        <w:rPr>
          <w:color w:val="231F20"/>
          <w:spacing w:val="-23"/>
        </w:rPr>
        <w:t xml:space="preserve"> </w:t>
      </w:r>
      <w:r>
        <w:rPr>
          <w:color w:val="231F20"/>
        </w:rPr>
        <w:t>tools.</w:t>
      </w:r>
      <w:r>
        <w:rPr>
          <w:color w:val="231F20"/>
          <w:spacing w:val="-23"/>
        </w:rPr>
        <w:t xml:space="preserve"> </w:t>
      </w:r>
      <w:r>
        <w:rPr>
          <w:color w:val="231F20"/>
        </w:rPr>
        <w:t>Routine</w:t>
      </w:r>
      <w:r>
        <w:rPr>
          <w:color w:val="231F20"/>
          <w:spacing w:val="-23"/>
        </w:rPr>
        <w:t xml:space="preserve"> </w:t>
      </w:r>
      <w:r>
        <w:rPr>
          <w:color w:val="231F20"/>
        </w:rPr>
        <w:t>data</w:t>
      </w:r>
      <w:r>
        <w:rPr>
          <w:color w:val="231F20"/>
          <w:spacing w:val="-23"/>
        </w:rPr>
        <w:t xml:space="preserve"> </w:t>
      </w:r>
      <w:r>
        <w:rPr>
          <w:color w:val="231F20"/>
        </w:rPr>
        <w:t>completion</w:t>
      </w:r>
      <w:r>
        <w:rPr>
          <w:color w:val="231F20"/>
          <w:spacing w:val="-23"/>
        </w:rPr>
        <w:t xml:space="preserve"> </w:t>
      </w:r>
      <w:r>
        <w:rPr>
          <w:color w:val="231F20"/>
        </w:rPr>
        <w:t>rate</w:t>
      </w:r>
      <w:r>
        <w:rPr>
          <w:color w:val="231F20"/>
          <w:spacing w:val="-23"/>
        </w:rPr>
        <w:t xml:space="preserve"> </w:t>
      </w:r>
      <w:r>
        <w:rPr>
          <w:color w:val="231F20"/>
        </w:rPr>
        <w:t>and</w:t>
      </w:r>
      <w:r>
        <w:rPr>
          <w:color w:val="231F20"/>
          <w:spacing w:val="-23"/>
        </w:rPr>
        <w:t xml:space="preserve"> </w:t>
      </w:r>
      <w:r>
        <w:rPr>
          <w:color w:val="231F20"/>
        </w:rPr>
        <w:t>timeliness</w:t>
      </w:r>
      <w:r>
        <w:rPr>
          <w:color w:val="231F20"/>
          <w:spacing w:val="-23"/>
        </w:rPr>
        <w:t xml:space="preserve"> </w:t>
      </w:r>
      <w:r>
        <w:rPr>
          <w:color w:val="231F20"/>
        </w:rPr>
        <w:t>is</w:t>
      </w:r>
      <w:r>
        <w:rPr>
          <w:color w:val="231F20"/>
          <w:spacing w:val="-23"/>
        </w:rPr>
        <w:t xml:space="preserve"> </w:t>
      </w:r>
      <w:r>
        <w:rPr>
          <w:color w:val="231F20"/>
        </w:rPr>
        <w:t>still</w:t>
      </w:r>
      <w:r>
        <w:rPr>
          <w:color w:val="231F20"/>
          <w:spacing w:val="-23"/>
        </w:rPr>
        <w:t xml:space="preserve"> </w:t>
      </w:r>
      <w:r>
        <w:rPr>
          <w:color w:val="231F20"/>
          <w:spacing w:val="-4"/>
        </w:rPr>
        <w:t xml:space="preserve">low </w:t>
      </w:r>
      <w:r>
        <w:rPr>
          <w:color w:val="231F20"/>
        </w:rPr>
        <w:t>at</w:t>
      </w:r>
      <w:r>
        <w:rPr>
          <w:color w:val="231F20"/>
          <w:spacing w:val="-25"/>
        </w:rPr>
        <w:t xml:space="preserve"> </w:t>
      </w:r>
      <w:r>
        <w:rPr>
          <w:color w:val="231F20"/>
        </w:rPr>
        <w:t>63</w:t>
      </w:r>
      <w:proofErr w:type="gramStart"/>
      <w:r>
        <w:rPr>
          <w:color w:val="231F20"/>
        </w:rPr>
        <w:t>%(</w:t>
      </w:r>
      <w:proofErr w:type="gramEnd"/>
      <w:r>
        <w:rPr>
          <w:color w:val="231F20"/>
        </w:rPr>
        <w:t>National</w:t>
      </w:r>
      <w:r>
        <w:rPr>
          <w:color w:val="231F20"/>
          <w:spacing w:val="-25"/>
        </w:rPr>
        <w:t xml:space="preserve"> </w:t>
      </w:r>
      <w:r>
        <w:rPr>
          <w:color w:val="231F20"/>
        </w:rPr>
        <w:t>DHIS</w:t>
      </w:r>
      <w:r>
        <w:rPr>
          <w:color w:val="231F20"/>
          <w:spacing w:val="-25"/>
        </w:rPr>
        <w:t xml:space="preserve"> </w:t>
      </w:r>
      <w:r>
        <w:rPr>
          <w:color w:val="231F20"/>
        </w:rPr>
        <w:t>2016).</w:t>
      </w:r>
    </w:p>
    <w:p w14:paraId="35250D59" w14:textId="77777777" w:rsidR="009948F1" w:rsidRDefault="009948F1">
      <w:pPr>
        <w:pStyle w:val="BodyText"/>
        <w:spacing w:before="3"/>
        <w:rPr>
          <w:sz w:val="24"/>
        </w:rPr>
      </w:pPr>
    </w:p>
    <w:p w14:paraId="697DD7A3" w14:textId="77777777" w:rsidR="009948F1" w:rsidRDefault="00BC0563">
      <w:pPr>
        <w:pStyle w:val="BodyText"/>
        <w:spacing w:line="259" w:lineRule="auto"/>
        <w:ind w:left="199" w:right="222"/>
        <w:jc w:val="both"/>
      </w:pPr>
      <w:r>
        <w:rPr>
          <w:color w:val="231F20"/>
        </w:rPr>
        <w:t>Although</w:t>
      </w:r>
      <w:r>
        <w:rPr>
          <w:color w:val="231F20"/>
          <w:spacing w:val="-22"/>
        </w:rPr>
        <w:t xml:space="preserve"> </w:t>
      </w:r>
      <w:r>
        <w:rPr>
          <w:color w:val="231F20"/>
        </w:rPr>
        <w:t>the</w:t>
      </w:r>
      <w:r>
        <w:rPr>
          <w:color w:val="231F20"/>
          <w:spacing w:val="-22"/>
        </w:rPr>
        <w:t xml:space="preserve"> </w:t>
      </w:r>
      <w:r>
        <w:rPr>
          <w:color w:val="231F20"/>
        </w:rPr>
        <w:t>private</w:t>
      </w:r>
      <w:r>
        <w:rPr>
          <w:color w:val="231F20"/>
          <w:spacing w:val="-21"/>
        </w:rPr>
        <w:t xml:space="preserve"> </w:t>
      </w:r>
      <w:r>
        <w:rPr>
          <w:color w:val="231F20"/>
        </w:rPr>
        <w:t>sector</w:t>
      </w:r>
      <w:r>
        <w:rPr>
          <w:color w:val="231F20"/>
          <w:spacing w:val="-22"/>
        </w:rPr>
        <w:t xml:space="preserve"> </w:t>
      </w:r>
      <w:r>
        <w:rPr>
          <w:color w:val="231F20"/>
        </w:rPr>
        <w:t>provides</w:t>
      </w:r>
      <w:r>
        <w:rPr>
          <w:color w:val="231F20"/>
          <w:spacing w:val="-21"/>
        </w:rPr>
        <w:t xml:space="preserve"> </w:t>
      </w:r>
      <w:r>
        <w:rPr>
          <w:color w:val="231F20"/>
        </w:rPr>
        <w:t>60%</w:t>
      </w:r>
      <w:r>
        <w:rPr>
          <w:color w:val="231F20"/>
          <w:spacing w:val="-22"/>
        </w:rPr>
        <w:t xml:space="preserve"> </w:t>
      </w:r>
      <w:r>
        <w:rPr>
          <w:color w:val="231F20"/>
        </w:rPr>
        <w:t>of</w:t>
      </w:r>
      <w:r>
        <w:rPr>
          <w:color w:val="231F20"/>
          <w:spacing w:val="-21"/>
        </w:rPr>
        <w:t xml:space="preserve"> </w:t>
      </w:r>
      <w:r>
        <w:rPr>
          <w:color w:val="231F20"/>
        </w:rPr>
        <w:t>healthcare</w:t>
      </w:r>
      <w:r>
        <w:rPr>
          <w:color w:val="231F20"/>
          <w:spacing w:val="-22"/>
        </w:rPr>
        <w:t xml:space="preserve"> </w:t>
      </w:r>
      <w:r>
        <w:rPr>
          <w:color w:val="231F20"/>
        </w:rPr>
        <w:t>services</w:t>
      </w:r>
      <w:r>
        <w:rPr>
          <w:color w:val="231F20"/>
          <w:spacing w:val="-21"/>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spacing w:val="-3"/>
        </w:rPr>
        <w:t>country,</w:t>
      </w:r>
      <w:r>
        <w:rPr>
          <w:color w:val="231F20"/>
          <w:spacing w:val="-22"/>
        </w:rPr>
        <w:t xml:space="preserve"> </w:t>
      </w:r>
      <w:r>
        <w:rPr>
          <w:color w:val="231F20"/>
        </w:rPr>
        <w:t>there</w:t>
      </w:r>
      <w:r>
        <w:rPr>
          <w:color w:val="231F20"/>
          <w:spacing w:val="-21"/>
        </w:rPr>
        <w:t xml:space="preserve"> </w:t>
      </w:r>
      <w:r>
        <w:rPr>
          <w:color w:val="231F20"/>
        </w:rPr>
        <w:t>is</w:t>
      </w:r>
      <w:r>
        <w:rPr>
          <w:color w:val="231F20"/>
          <w:spacing w:val="-22"/>
        </w:rPr>
        <w:t xml:space="preserve"> </w:t>
      </w:r>
      <w:r>
        <w:rPr>
          <w:color w:val="231F20"/>
        </w:rPr>
        <w:t>very</w:t>
      </w:r>
      <w:r>
        <w:rPr>
          <w:color w:val="231F20"/>
          <w:spacing w:val="-21"/>
        </w:rPr>
        <w:t xml:space="preserve"> </w:t>
      </w:r>
      <w:r>
        <w:rPr>
          <w:color w:val="231F20"/>
        </w:rPr>
        <w:t xml:space="preserve">limited capture of their data into the HMIS. Other data subsystems perform sub-optimally such as </w:t>
      </w:r>
      <w:r>
        <w:rPr>
          <w:color w:val="231F20"/>
          <w:spacing w:val="-4"/>
        </w:rPr>
        <w:t xml:space="preserve">vital </w:t>
      </w:r>
      <w:r>
        <w:rPr>
          <w:color w:val="231F20"/>
        </w:rPr>
        <w:t>statistics,</w:t>
      </w:r>
      <w:r>
        <w:rPr>
          <w:color w:val="231F20"/>
          <w:spacing w:val="-19"/>
        </w:rPr>
        <w:t xml:space="preserve"> </w:t>
      </w:r>
      <w:r>
        <w:rPr>
          <w:color w:val="231F20"/>
        </w:rPr>
        <w:t>survey</w:t>
      </w:r>
      <w:r>
        <w:rPr>
          <w:color w:val="231F20"/>
          <w:spacing w:val="-18"/>
        </w:rPr>
        <w:t xml:space="preserve"> </w:t>
      </w:r>
      <w:r>
        <w:rPr>
          <w:color w:val="231F20"/>
        </w:rPr>
        <w:t>and</w:t>
      </w:r>
      <w:r>
        <w:rPr>
          <w:color w:val="231F20"/>
          <w:spacing w:val="-18"/>
        </w:rPr>
        <w:t xml:space="preserve"> </w:t>
      </w:r>
      <w:r>
        <w:rPr>
          <w:color w:val="231F20"/>
        </w:rPr>
        <w:t>implementation</w:t>
      </w:r>
      <w:r>
        <w:rPr>
          <w:color w:val="231F20"/>
          <w:spacing w:val="-18"/>
        </w:rPr>
        <w:t xml:space="preserve"> </w:t>
      </w:r>
      <w:r>
        <w:rPr>
          <w:color w:val="231F20"/>
        </w:rPr>
        <w:t>of</w:t>
      </w:r>
      <w:r>
        <w:rPr>
          <w:color w:val="231F20"/>
          <w:spacing w:val="-18"/>
        </w:rPr>
        <w:t xml:space="preserve"> </w:t>
      </w:r>
      <w:r>
        <w:rPr>
          <w:color w:val="231F20"/>
        </w:rPr>
        <w:t>research</w:t>
      </w:r>
      <w:r>
        <w:rPr>
          <w:color w:val="231F20"/>
          <w:spacing w:val="-18"/>
        </w:rPr>
        <w:t xml:space="preserve"> </w:t>
      </w:r>
      <w:r>
        <w:rPr>
          <w:color w:val="231F20"/>
        </w:rPr>
        <w:t>for</w:t>
      </w:r>
      <w:r>
        <w:rPr>
          <w:color w:val="231F20"/>
          <w:spacing w:val="-18"/>
        </w:rPr>
        <w:t xml:space="preserve"> </w:t>
      </w:r>
      <w:r>
        <w:rPr>
          <w:color w:val="231F20"/>
        </w:rPr>
        <w:t>health.</w:t>
      </w:r>
      <w:r>
        <w:rPr>
          <w:color w:val="231F20"/>
          <w:spacing w:val="-19"/>
        </w:rPr>
        <w:t xml:space="preserve"> </w:t>
      </w:r>
      <w:r>
        <w:rPr>
          <w:color w:val="231F20"/>
        </w:rPr>
        <w:t>Overall,</w:t>
      </w:r>
      <w:r>
        <w:rPr>
          <w:color w:val="231F20"/>
          <w:spacing w:val="-18"/>
        </w:rPr>
        <w:t xml:space="preserve"> </w:t>
      </w:r>
      <w:r>
        <w:rPr>
          <w:color w:val="231F20"/>
        </w:rPr>
        <w:t>poor</w:t>
      </w:r>
      <w:r>
        <w:rPr>
          <w:color w:val="231F20"/>
          <w:spacing w:val="-18"/>
        </w:rPr>
        <w:t xml:space="preserve"> </w:t>
      </w:r>
      <w:r>
        <w:rPr>
          <w:color w:val="231F20"/>
        </w:rPr>
        <w:t>data</w:t>
      </w:r>
      <w:r>
        <w:rPr>
          <w:color w:val="231F20"/>
          <w:spacing w:val="-18"/>
        </w:rPr>
        <w:t xml:space="preserve"> </w:t>
      </w:r>
      <w:r>
        <w:rPr>
          <w:color w:val="231F20"/>
        </w:rPr>
        <w:t>quality</w:t>
      </w:r>
      <w:r>
        <w:rPr>
          <w:color w:val="231F20"/>
          <w:spacing w:val="-18"/>
        </w:rPr>
        <w:t xml:space="preserve"> </w:t>
      </w:r>
      <w:r>
        <w:rPr>
          <w:color w:val="231F20"/>
        </w:rPr>
        <w:t>still</w:t>
      </w:r>
      <w:r>
        <w:rPr>
          <w:color w:val="231F20"/>
          <w:spacing w:val="-18"/>
        </w:rPr>
        <w:t xml:space="preserve"> </w:t>
      </w:r>
      <w:r>
        <w:rPr>
          <w:color w:val="231F20"/>
        </w:rPr>
        <w:t>persists at all levels. In addition, there is an absence of a systematic process of routine analysis of submitted HMIS data and feedback to health institutions. This inadequacy has limited the use</w:t>
      </w:r>
      <w:r>
        <w:rPr>
          <w:color w:val="231F20"/>
          <w:spacing w:val="-26"/>
        </w:rPr>
        <w:t xml:space="preserve"> </w:t>
      </w:r>
      <w:r>
        <w:rPr>
          <w:color w:val="231F20"/>
          <w:spacing w:val="-8"/>
        </w:rPr>
        <w:t xml:space="preserve">of </w:t>
      </w:r>
      <w:r>
        <w:rPr>
          <w:color w:val="231F20"/>
        </w:rPr>
        <w:t>HMIS</w:t>
      </w:r>
      <w:r>
        <w:rPr>
          <w:color w:val="231F20"/>
          <w:spacing w:val="-22"/>
        </w:rPr>
        <w:t xml:space="preserve"> </w:t>
      </w:r>
      <w:r>
        <w:rPr>
          <w:color w:val="231F20"/>
        </w:rPr>
        <w:t>data</w:t>
      </w:r>
      <w:r>
        <w:rPr>
          <w:color w:val="231F20"/>
          <w:spacing w:val="-21"/>
        </w:rPr>
        <w:t xml:space="preserve"> </w:t>
      </w:r>
      <w:r>
        <w:rPr>
          <w:color w:val="231F20"/>
        </w:rPr>
        <w:t>as</w:t>
      </w:r>
      <w:r>
        <w:rPr>
          <w:color w:val="231F20"/>
          <w:spacing w:val="-21"/>
        </w:rPr>
        <w:t xml:space="preserve"> </w:t>
      </w:r>
      <w:r>
        <w:rPr>
          <w:color w:val="231F20"/>
        </w:rPr>
        <w:t>a</w:t>
      </w:r>
      <w:r>
        <w:rPr>
          <w:color w:val="231F20"/>
          <w:spacing w:val="-21"/>
        </w:rPr>
        <w:t xml:space="preserve"> </w:t>
      </w:r>
      <w:r>
        <w:rPr>
          <w:color w:val="231F20"/>
        </w:rPr>
        <w:t>management</w:t>
      </w:r>
      <w:r>
        <w:rPr>
          <w:color w:val="231F20"/>
          <w:spacing w:val="-21"/>
        </w:rPr>
        <w:t xml:space="preserve"> </w:t>
      </w:r>
      <w:r>
        <w:rPr>
          <w:color w:val="231F20"/>
        </w:rPr>
        <w:t>tool</w:t>
      </w:r>
      <w:r>
        <w:rPr>
          <w:color w:val="231F20"/>
          <w:spacing w:val="-21"/>
        </w:rPr>
        <w:t xml:space="preserve"> </w:t>
      </w:r>
      <w:r>
        <w:rPr>
          <w:color w:val="231F20"/>
        </w:rPr>
        <w:t>for</w:t>
      </w:r>
      <w:r>
        <w:rPr>
          <w:color w:val="231F20"/>
          <w:spacing w:val="-21"/>
        </w:rPr>
        <w:t xml:space="preserve"> </w:t>
      </w:r>
      <w:r>
        <w:rPr>
          <w:color w:val="231F20"/>
        </w:rPr>
        <w:t>health</w:t>
      </w:r>
      <w:r>
        <w:rPr>
          <w:color w:val="231F20"/>
          <w:spacing w:val="-21"/>
        </w:rPr>
        <w:t xml:space="preserve"> </w:t>
      </w:r>
      <w:r>
        <w:rPr>
          <w:color w:val="231F20"/>
        </w:rPr>
        <w:t>planning</w:t>
      </w:r>
      <w:r>
        <w:rPr>
          <w:color w:val="231F20"/>
          <w:spacing w:val="-20"/>
        </w:rPr>
        <w:t xml:space="preserve"> </w:t>
      </w:r>
      <w:r>
        <w:rPr>
          <w:color w:val="231F20"/>
        </w:rPr>
        <w:t>and</w:t>
      </w:r>
      <w:r>
        <w:rPr>
          <w:color w:val="231F20"/>
          <w:spacing w:val="-21"/>
        </w:rPr>
        <w:t xml:space="preserve"> </w:t>
      </w:r>
      <w:r>
        <w:rPr>
          <w:color w:val="231F20"/>
        </w:rPr>
        <w:t>improvement</w:t>
      </w:r>
      <w:r>
        <w:rPr>
          <w:color w:val="231F20"/>
          <w:spacing w:val="-21"/>
        </w:rPr>
        <w:t xml:space="preserve"> </w:t>
      </w:r>
      <w:r>
        <w:rPr>
          <w:color w:val="231F20"/>
        </w:rPr>
        <w:t>of</w:t>
      </w:r>
      <w:r>
        <w:rPr>
          <w:color w:val="231F20"/>
          <w:spacing w:val="-21"/>
        </w:rPr>
        <w:t xml:space="preserve"> </w:t>
      </w:r>
      <w:r>
        <w:rPr>
          <w:color w:val="231F20"/>
        </w:rPr>
        <w:t>health</w:t>
      </w:r>
      <w:r>
        <w:rPr>
          <w:color w:val="231F20"/>
          <w:spacing w:val="-21"/>
        </w:rPr>
        <w:t xml:space="preserve"> </w:t>
      </w:r>
      <w:r>
        <w:rPr>
          <w:color w:val="231F20"/>
        </w:rPr>
        <w:t>outcomes.</w:t>
      </w:r>
      <w:r>
        <w:rPr>
          <w:color w:val="231F20"/>
          <w:spacing w:val="43"/>
        </w:rPr>
        <w:t xml:space="preserve"> </w:t>
      </w:r>
      <w:r>
        <w:rPr>
          <w:color w:val="231F20"/>
        </w:rPr>
        <w:t>Other challenges</w:t>
      </w:r>
      <w:r>
        <w:rPr>
          <w:color w:val="231F20"/>
          <w:spacing w:val="-7"/>
        </w:rPr>
        <w:t xml:space="preserve"> </w:t>
      </w:r>
      <w:r>
        <w:rPr>
          <w:color w:val="231F20"/>
        </w:rPr>
        <w:t>include;</w:t>
      </w:r>
      <w:r>
        <w:rPr>
          <w:color w:val="231F20"/>
          <w:spacing w:val="-7"/>
        </w:rPr>
        <w:t xml:space="preserve"> </w:t>
      </w:r>
      <w:r>
        <w:rPr>
          <w:color w:val="231F20"/>
        </w:rPr>
        <w:t>weak</w:t>
      </w:r>
      <w:r>
        <w:rPr>
          <w:color w:val="231F20"/>
          <w:spacing w:val="-7"/>
        </w:rPr>
        <w:t xml:space="preserve"> </w:t>
      </w:r>
      <w:r>
        <w:rPr>
          <w:color w:val="231F20"/>
        </w:rPr>
        <w:t>mechanism</w:t>
      </w:r>
      <w:r>
        <w:rPr>
          <w:color w:val="231F20"/>
          <w:spacing w:val="-7"/>
        </w:rPr>
        <w:t xml:space="preserve"> </w:t>
      </w:r>
      <w:r>
        <w:rPr>
          <w:color w:val="231F20"/>
        </w:rPr>
        <w:t>for</w:t>
      </w:r>
      <w:r>
        <w:rPr>
          <w:color w:val="231F20"/>
          <w:spacing w:val="-7"/>
        </w:rPr>
        <w:t xml:space="preserve"> </w:t>
      </w:r>
      <w:r>
        <w:rPr>
          <w:color w:val="231F20"/>
        </w:rPr>
        <w:t>coordination</w:t>
      </w:r>
      <w:r>
        <w:rPr>
          <w:color w:val="231F20"/>
          <w:spacing w:val="-7"/>
        </w:rPr>
        <w:t xml:space="preserve"> </w:t>
      </w:r>
      <w:r>
        <w:rPr>
          <w:color w:val="231F20"/>
        </w:rPr>
        <w:t>of</w:t>
      </w:r>
      <w:r>
        <w:rPr>
          <w:color w:val="231F20"/>
          <w:spacing w:val="-7"/>
        </w:rPr>
        <w:t xml:space="preserve"> </w:t>
      </w:r>
      <w:r>
        <w:rPr>
          <w:color w:val="231F20"/>
        </w:rPr>
        <w:t>M&amp;E</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levels;</w:t>
      </w:r>
      <w:r>
        <w:rPr>
          <w:color w:val="231F20"/>
          <w:spacing w:val="-7"/>
        </w:rPr>
        <w:t xml:space="preserve"> </w:t>
      </w:r>
      <w:r>
        <w:rPr>
          <w:color w:val="231F20"/>
        </w:rPr>
        <w:t>poor</w:t>
      </w:r>
      <w:r>
        <w:rPr>
          <w:color w:val="231F20"/>
          <w:spacing w:val="-6"/>
        </w:rPr>
        <w:t xml:space="preserve"> </w:t>
      </w:r>
      <w:r>
        <w:rPr>
          <w:color w:val="231F20"/>
        </w:rPr>
        <w:t>human</w:t>
      </w:r>
      <w:r>
        <w:rPr>
          <w:color w:val="231F20"/>
          <w:spacing w:val="-7"/>
        </w:rPr>
        <w:t xml:space="preserve"> </w:t>
      </w:r>
      <w:r>
        <w:rPr>
          <w:color w:val="231F20"/>
        </w:rPr>
        <w:t>resource capacity</w:t>
      </w:r>
      <w:r>
        <w:rPr>
          <w:color w:val="231F20"/>
          <w:spacing w:val="-26"/>
        </w:rPr>
        <w:t xml:space="preserve"> </w:t>
      </w:r>
      <w:r>
        <w:rPr>
          <w:color w:val="231F20"/>
        </w:rPr>
        <w:t>and</w:t>
      </w:r>
      <w:r>
        <w:rPr>
          <w:color w:val="231F20"/>
          <w:spacing w:val="-25"/>
        </w:rPr>
        <w:t xml:space="preserve"> </w:t>
      </w:r>
      <w:r>
        <w:rPr>
          <w:color w:val="231F20"/>
        </w:rPr>
        <w:t>lack</w:t>
      </w:r>
      <w:r>
        <w:rPr>
          <w:color w:val="231F20"/>
          <w:spacing w:val="-25"/>
        </w:rPr>
        <w:t xml:space="preserve"> </w:t>
      </w:r>
      <w:r>
        <w:rPr>
          <w:color w:val="231F20"/>
        </w:rPr>
        <w:t>of</w:t>
      </w:r>
      <w:r>
        <w:rPr>
          <w:color w:val="231F20"/>
          <w:spacing w:val="-25"/>
        </w:rPr>
        <w:t xml:space="preserve"> </w:t>
      </w:r>
      <w:r>
        <w:rPr>
          <w:color w:val="231F20"/>
        </w:rPr>
        <w:t>material</w:t>
      </w:r>
      <w:r>
        <w:rPr>
          <w:color w:val="231F20"/>
          <w:spacing w:val="-25"/>
        </w:rPr>
        <w:t xml:space="preserve"> </w:t>
      </w:r>
      <w:r>
        <w:rPr>
          <w:color w:val="231F20"/>
        </w:rPr>
        <w:t>resources</w:t>
      </w:r>
      <w:r>
        <w:rPr>
          <w:color w:val="231F20"/>
          <w:spacing w:val="-25"/>
        </w:rPr>
        <w:t xml:space="preserve"> </w:t>
      </w:r>
      <w:r>
        <w:rPr>
          <w:color w:val="231F20"/>
        </w:rPr>
        <w:t>especially</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sub-national</w:t>
      </w:r>
      <w:r>
        <w:rPr>
          <w:color w:val="231F20"/>
          <w:spacing w:val="-25"/>
        </w:rPr>
        <w:t xml:space="preserve"> </w:t>
      </w:r>
      <w:r>
        <w:rPr>
          <w:color w:val="231F20"/>
        </w:rPr>
        <w:t>levels.</w:t>
      </w:r>
    </w:p>
    <w:p w14:paraId="1BC66CEC" w14:textId="77777777" w:rsidR="009948F1" w:rsidRDefault="009948F1">
      <w:pPr>
        <w:spacing w:line="259" w:lineRule="auto"/>
        <w:jc w:val="both"/>
        <w:sectPr w:rsidR="009948F1">
          <w:pgSz w:w="11910" w:h="16840"/>
          <w:pgMar w:top="1240" w:right="1080" w:bottom="1420" w:left="1120" w:header="0" w:footer="1235" w:gutter="0"/>
          <w:cols w:space="720"/>
        </w:sectPr>
      </w:pPr>
    </w:p>
    <w:p w14:paraId="264D5202" w14:textId="77777777" w:rsidR="009948F1" w:rsidRDefault="00BC0563">
      <w:pPr>
        <w:pStyle w:val="Heading7"/>
        <w:spacing w:before="48"/>
        <w:ind w:left="176"/>
      </w:pPr>
      <w:bookmarkStart w:id="99" w:name="Page_85"/>
      <w:bookmarkEnd w:id="99"/>
      <w:r>
        <w:rPr>
          <w:color w:val="231F20"/>
        </w:rPr>
        <w:lastRenderedPageBreak/>
        <w:t>Strategic Goal</w:t>
      </w:r>
    </w:p>
    <w:p w14:paraId="7F4FDA02" w14:textId="77777777" w:rsidR="009948F1" w:rsidRDefault="00BC0563">
      <w:pPr>
        <w:pStyle w:val="ListParagraph"/>
        <w:numPr>
          <w:ilvl w:val="2"/>
          <w:numId w:val="265"/>
        </w:numPr>
        <w:tabs>
          <w:tab w:val="left" w:pos="856"/>
        </w:tabs>
        <w:spacing w:before="23" w:line="261" w:lineRule="auto"/>
        <w:ind w:right="196" w:firstLine="0"/>
      </w:pPr>
      <w:r>
        <w:rPr>
          <w:color w:val="231F20"/>
        </w:rPr>
        <w:t xml:space="preserve">- </w:t>
      </w:r>
      <w:r>
        <w:rPr>
          <w:color w:val="231F20"/>
          <w:spacing w:val="-13"/>
        </w:rPr>
        <w:t xml:space="preserve">To </w:t>
      </w:r>
      <w:r>
        <w:rPr>
          <w:color w:val="231F20"/>
        </w:rPr>
        <w:t>institutionalize an integrated and sustainable health information system for decision- making</w:t>
      </w:r>
      <w:r>
        <w:rPr>
          <w:color w:val="231F20"/>
          <w:spacing w:val="-25"/>
        </w:rPr>
        <w:t xml:space="preserve"> </w:t>
      </w:r>
      <w:r>
        <w:rPr>
          <w:color w:val="231F20"/>
        </w:rPr>
        <w:t>at</w:t>
      </w:r>
      <w:r>
        <w:rPr>
          <w:color w:val="231F20"/>
          <w:spacing w:val="-25"/>
        </w:rPr>
        <w:t xml:space="preserve"> </w:t>
      </w:r>
      <w:r>
        <w:rPr>
          <w:color w:val="231F20"/>
        </w:rPr>
        <w:t>all</w:t>
      </w:r>
      <w:r>
        <w:rPr>
          <w:color w:val="231F20"/>
          <w:spacing w:val="-26"/>
        </w:rPr>
        <w:t xml:space="preserve"> </w:t>
      </w:r>
      <w:r>
        <w:rPr>
          <w:color w:val="231F20"/>
        </w:rPr>
        <w:t>levels</w:t>
      </w:r>
      <w:r>
        <w:rPr>
          <w:color w:val="231F20"/>
          <w:spacing w:val="-25"/>
        </w:rPr>
        <w:t xml:space="preserve"> </w:t>
      </w:r>
      <w:r>
        <w:rPr>
          <w:color w:val="231F20"/>
        </w:rPr>
        <w:t>in</w:t>
      </w:r>
      <w:r>
        <w:rPr>
          <w:color w:val="231F20"/>
          <w:spacing w:val="-25"/>
        </w:rPr>
        <w:t xml:space="preserve"> </w:t>
      </w:r>
      <w:r>
        <w:rPr>
          <w:color w:val="231F20"/>
        </w:rPr>
        <w:t>Rivers</w:t>
      </w:r>
      <w:r>
        <w:rPr>
          <w:color w:val="231F20"/>
          <w:spacing w:val="-25"/>
        </w:rPr>
        <w:t xml:space="preserve"> </w:t>
      </w:r>
      <w:r>
        <w:rPr>
          <w:color w:val="231F20"/>
        </w:rPr>
        <w:t>State.</w:t>
      </w:r>
    </w:p>
    <w:p w14:paraId="356B8347" w14:textId="77777777" w:rsidR="009948F1" w:rsidRDefault="009948F1">
      <w:pPr>
        <w:pStyle w:val="BodyText"/>
        <w:rPr>
          <w:sz w:val="24"/>
        </w:rPr>
      </w:pPr>
    </w:p>
    <w:p w14:paraId="7897FAB4" w14:textId="77777777" w:rsidR="009948F1" w:rsidRDefault="00BC0563">
      <w:pPr>
        <w:pStyle w:val="Heading7"/>
        <w:ind w:left="176"/>
      </w:pPr>
      <w:r>
        <w:rPr>
          <w:color w:val="231F20"/>
        </w:rPr>
        <w:t>Strategic Objective</w:t>
      </w:r>
    </w:p>
    <w:p w14:paraId="7979C944" w14:textId="77777777" w:rsidR="009948F1" w:rsidRDefault="00BC0563">
      <w:pPr>
        <w:pStyle w:val="ListParagraph"/>
        <w:numPr>
          <w:ilvl w:val="2"/>
          <w:numId w:val="265"/>
        </w:numPr>
        <w:tabs>
          <w:tab w:val="left" w:pos="843"/>
        </w:tabs>
        <w:spacing w:before="24" w:line="261" w:lineRule="auto"/>
        <w:ind w:right="196" w:firstLine="0"/>
      </w:pPr>
      <w:r>
        <w:rPr>
          <w:color w:val="231F20"/>
        </w:rPr>
        <w:t>-</w:t>
      </w:r>
      <w:r>
        <w:rPr>
          <w:color w:val="231F20"/>
          <w:spacing w:val="-11"/>
        </w:rPr>
        <w:t xml:space="preserve"> </w:t>
      </w:r>
      <w:r>
        <w:rPr>
          <w:color w:val="231F20"/>
          <w:spacing w:val="-13"/>
        </w:rPr>
        <w:t>To</w:t>
      </w:r>
      <w:r>
        <w:rPr>
          <w:color w:val="231F20"/>
          <w:spacing w:val="-7"/>
        </w:rPr>
        <w:t xml:space="preserve"> </w:t>
      </w:r>
      <w:r>
        <w:rPr>
          <w:color w:val="231F20"/>
        </w:rPr>
        <w:t>improve</w:t>
      </w:r>
      <w:r>
        <w:rPr>
          <w:color w:val="231F20"/>
          <w:spacing w:val="-7"/>
        </w:rPr>
        <w:t xml:space="preserve"> </w:t>
      </w:r>
      <w:r>
        <w:rPr>
          <w:color w:val="231F20"/>
        </w:rPr>
        <w:t>the</w:t>
      </w:r>
      <w:r>
        <w:rPr>
          <w:color w:val="231F20"/>
          <w:spacing w:val="-6"/>
        </w:rPr>
        <w:t xml:space="preserve"> </w:t>
      </w:r>
      <w:r>
        <w:rPr>
          <w:color w:val="231F20"/>
        </w:rPr>
        <w:t>health</w:t>
      </w:r>
      <w:r>
        <w:rPr>
          <w:color w:val="231F20"/>
          <w:spacing w:val="-7"/>
        </w:rPr>
        <w:t xml:space="preserve"> </w:t>
      </w:r>
      <w:r>
        <w:rPr>
          <w:color w:val="231F20"/>
        </w:rPr>
        <w:t>status</w:t>
      </w:r>
      <w:r>
        <w:rPr>
          <w:color w:val="231F20"/>
          <w:spacing w:val="-7"/>
        </w:rPr>
        <w:t xml:space="preserve"> </w:t>
      </w:r>
      <w:r>
        <w:rPr>
          <w:color w:val="231F20"/>
        </w:rPr>
        <w:t>of</w:t>
      </w:r>
      <w:r>
        <w:rPr>
          <w:color w:val="231F20"/>
          <w:spacing w:val="-7"/>
        </w:rPr>
        <w:t xml:space="preserve"> </w:t>
      </w:r>
      <w:r>
        <w:rPr>
          <w:color w:val="231F20"/>
        </w:rPr>
        <w:t>Rivers</w:t>
      </w:r>
      <w:r>
        <w:rPr>
          <w:color w:val="231F20"/>
          <w:spacing w:val="-6"/>
        </w:rPr>
        <w:t xml:space="preserve"> </w:t>
      </w:r>
      <w:r>
        <w:rPr>
          <w:color w:val="231F20"/>
        </w:rPr>
        <w:t>people</w:t>
      </w:r>
      <w:r>
        <w:rPr>
          <w:color w:val="231F20"/>
          <w:spacing w:val="-7"/>
        </w:rPr>
        <w:t xml:space="preserve"> </w:t>
      </w:r>
      <w:r>
        <w:rPr>
          <w:color w:val="231F20"/>
        </w:rPr>
        <w:t>through</w:t>
      </w:r>
      <w:r>
        <w:rPr>
          <w:color w:val="231F20"/>
          <w:spacing w:val="-7"/>
        </w:rPr>
        <w:t xml:space="preserve"> </w:t>
      </w:r>
      <w:r>
        <w:rPr>
          <w:color w:val="231F20"/>
        </w:rPr>
        <w:t>the</w:t>
      </w:r>
      <w:r>
        <w:rPr>
          <w:color w:val="231F20"/>
          <w:spacing w:val="-6"/>
        </w:rPr>
        <w:t xml:space="preserve"> </w:t>
      </w:r>
      <w:r>
        <w:rPr>
          <w:color w:val="231F20"/>
        </w:rPr>
        <w:t>provision</w:t>
      </w:r>
      <w:r>
        <w:rPr>
          <w:color w:val="231F20"/>
          <w:spacing w:val="-7"/>
        </w:rPr>
        <w:t xml:space="preserve"> </w:t>
      </w:r>
      <w:r>
        <w:rPr>
          <w:color w:val="231F20"/>
        </w:rPr>
        <w:t>of</w:t>
      </w:r>
      <w:r>
        <w:rPr>
          <w:color w:val="231F20"/>
          <w:spacing w:val="-7"/>
        </w:rPr>
        <w:t xml:space="preserve"> </w:t>
      </w:r>
      <w:r>
        <w:rPr>
          <w:color w:val="231F20"/>
          <w:spacing w:val="-3"/>
        </w:rPr>
        <w:t>timely,</w:t>
      </w:r>
      <w:r>
        <w:rPr>
          <w:color w:val="231F20"/>
          <w:spacing w:val="-7"/>
        </w:rPr>
        <w:t xml:space="preserve"> </w:t>
      </w:r>
      <w:r>
        <w:rPr>
          <w:color w:val="231F20"/>
        </w:rPr>
        <w:t>appropriate and</w:t>
      </w:r>
      <w:r>
        <w:rPr>
          <w:color w:val="231F20"/>
          <w:spacing w:val="-26"/>
        </w:rPr>
        <w:t xml:space="preserve"> </w:t>
      </w:r>
      <w:r>
        <w:rPr>
          <w:color w:val="231F20"/>
        </w:rPr>
        <w:t>reliable</w:t>
      </w:r>
      <w:r>
        <w:rPr>
          <w:color w:val="231F20"/>
          <w:spacing w:val="-25"/>
        </w:rPr>
        <w:t xml:space="preserve"> </w:t>
      </w:r>
      <w:r>
        <w:rPr>
          <w:color w:val="231F20"/>
        </w:rPr>
        <w:t>health</w:t>
      </w:r>
      <w:r>
        <w:rPr>
          <w:color w:val="231F20"/>
          <w:spacing w:val="-25"/>
        </w:rPr>
        <w:t xml:space="preserve"> </w:t>
      </w:r>
      <w:r>
        <w:rPr>
          <w:color w:val="231F20"/>
        </w:rPr>
        <w:t>information</w:t>
      </w:r>
      <w:r>
        <w:rPr>
          <w:color w:val="231F20"/>
          <w:spacing w:val="-25"/>
        </w:rPr>
        <w:t xml:space="preserve"> </w:t>
      </w:r>
      <w:r>
        <w:rPr>
          <w:color w:val="231F20"/>
        </w:rPr>
        <w:t>services</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r>
        <w:rPr>
          <w:color w:val="231F20"/>
          <w:spacing w:val="-25"/>
        </w:rPr>
        <w:t xml:space="preserve"> </w:t>
      </w:r>
      <w:r>
        <w:rPr>
          <w:color w:val="231F20"/>
        </w:rPr>
        <w:t>for</w:t>
      </w:r>
      <w:r>
        <w:rPr>
          <w:color w:val="231F20"/>
          <w:spacing w:val="-25"/>
        </w:rPr>
        <w:t xml:space="preserve"> </w:t>
      </w:r>
      <w:r>
        <w:rPr>
          <w:color w:val="231F20"/>
        </w:rPr>
        <w:t>evidenced</w:t>
      </w:r>
      <w:r>
        <w:rPr>
          <w:color w:val="231F20"/>
          <w:spacing w:val="-25"/>
        </w:rPr>
        <w:t xml:space="preserve"> </w:t>
      </w:r>
      <w:r>
        <w:rPr>
          <w:color w:val="231F20"/>
        </w:rPr>
        <w:t>based</w:t>
      </w:r>
      <w:r>
        <w:rPr>
          <w:color w:val="231F20"/>
          <w:spacing w:val="-25"/>
        </w:rPr>
        <w:t xml:space="preserve"> </w:t>
      </w:r>
      <w:r>
        <w:rPr>
          <w:color w:val="231F20"/>
        </w:rPr>
        <w:t>decision</w:t>
      </w:r>
      <w:r>
        <w:rPr>
          <w:color w:val="231F20"/>
          <w:spacing w:val="-25"/>
        </w:rPr>
        <w:t xml:space="preserve"> </w:t>
      </w:r>
      <w:r>
        <w:rPr>
          <w:color w:val="231F20"/>
        </w:rPr>
        <w:t>making.</w:t>
      </w:r>
    </w:p>
    <w:p w14:paraId="502B3BE6" w14:textId="77777777" w:rsidR="009948F1" w:rsidRDefault="009948F1">
      <w:pPr>
        <w:pStyle w:val="BodyText"/>
      </w:pPr>
    </w:p>
    <w:p w14:paraId="25A5CCAF" w14:textId="77777777" w:rsidR="009948F1" w:rsidRDefault="00BC0563">
      <w:pPr>
        <w:spacing w:before="140" w:after="50"/>
        <w:ind w:left="332"/>
        <w:rPr>
          <w:b/>
          <w:sz w:val="25"/>
        </w:rPr>
      </w:pPr>
      <w:r>
        <w:rPr>
          <w:b/>
          <w:color w:val="231F20"/>
          <w:sz w:val="25"/>
        </w:rPr>
        <w:t>Targets</w:t>
      </w:r>
    </w:p>
    <w:tbl>
      <w:tblPr>
        <w:tblW w:w="0" w:type="auto"/>
        <w:tblInd w:w="2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971"/>
        <w:gridCol w:w="1244"/>
        <w:gridCol w:w="767"/>
        <w:gridCol w:w="922"/>
        <w:gridCol w:w="765"/>
        <w:gridCol w:w="768"/>
        <w:gridCol w:w="763"/>
        <w:gridCol w:w="1048"/>
      </w:tblGrid>
      <w:tr w:rsidR="009948F1" w14:paraId="45410FD6" w14:textId="77777777">
        <w:trPr>
          <w:trHeight w:val="228"/>
        </w:trPr>
        <w:tc>
          <w:tcPr>
            <w:tcW w:w="2971" w:type="dxa"/>
            <w:shd w:val="clear" w:color="auto" w:fill="F4CEB2"/>
          </w:tcPr>
          <w:p w14:paraId="64AA1F27" w14:textId="77777777" w:rsidR="009948F1" w:rsidRDefault="00BC0563">
            <w:pPr>
              <w:pStyle w:val="TableParagraph"/>
              <w:spacing w:line="209" w:lineRule="exact"/>
              <w:ind w:left="119"/>
              <w:rPr>
                <w:sz w:val="20"/>
              </w:rPr>
            </w:pPr>
            <w:r>
              <w:rPr>
                <w:color w:val="231F20"/>
                <w:sz w:val="20"/>
              </w:rPr>
              <w:t>Targets</w:t>
            </w:r>
          </w:p>
        </w:tc>
        <w:tc>
          <w:tcPr>
            <w:tcW w:w="1244" w:type="dxa"/>
            <w:shd w:val="clear" w:color="auto" w:fill="F4CEB2"/>
          </w:tcPr>
          <w:p w14:paraId="6D7A033E" w14:textId="77777777" w:rsidR="009948F1" w:rsidRDefault="00BC0563">
            <w:pPr>
              <w:pStyle w:val="TableParagraph"/>
              <w:spacing w:line="209" w:lineRule="exact"/>
              <w:ind w:left="120"/>
              <w:rPr>
                <w:sz w:val="20"/>
              </w:rPr>
            </w:pPr>
            <w:r>
              <w:rPr>
                <w:color w:val="231F20"/>
                <w:sz w:val="20"/>
              </w:rPr>
              <w:t>Baseline</w:t>
            </w:r>
          </w:p>
        </w:tc>
        <w:tc>
          <w:tcPr>
            <w:tcW w:w="767" w:type="dxa"/>
            <w:shd w:val="clear" w:color="auto" w:fill="F4CEB2"/>
          </w:tcPr>
          <w:p w14:paraId="7CDB46D3" w14:textId="77777777" w:rsidR="009948F1" w:rsidRDefault="00BC0563">
            <w:pPr>
              <w:pStyle w:val="TableParagraph"/>
              <w:spacing w:line="209" w:lineRule="exact"/>
              <w:ind w:left="120"/>
              <w:rPr>
                <w:b/>
                <w:sz w:val="20"/>
              </w:rPr>
            </w:pPr>
            <w:r>
              <w:rPr>
                <w:b/>
                <w:color w:val="231F20"/>
                <w:sz w:val="20"/>
              </w:rPr>
              <w:t>2018</w:t>
            </w:r>
          </w:p>
        </w:tc>
        <w:tc>
          <w:tcPr>
            <w:tcW w:w="922" w:type="dxa"/>
            <w:shd w:val="clear" w:color="auto" w:fill="F4CEB2"/>
          </w:tcPr>
          <w:p w14:paraId="0338FCAD" w14:textId="77777777" w:rsidR="009948F1" w:rsidRDefault="00BC0563">
            <w:pPr>
              <w:pStyle w:val="TableParagraph"/>
              <w:spacing w:line="209" w:lineRule="exact"/>
              <w:ind w:left="120"/>
              <w:rPr>
                <w:b/>
                <w:sz w:val="20"/>
              </w:rPr>
            </w:pPr>
            <w:r>
              <w:rPr>
                <w:b/>
                <w:color w:val="231F20"/>
                <w:sz w:val="20"/>
              </w:rPr>
              <w:t>2019</w:t>
            </w:r>
          </w:p>
        </w:tc>
        <w:tc>
          <w:tcPr>
            <w:tcW w:w="765" w:type="dxa"/>
            <w:shd w:val="clear" w:color="auto" w:fill="F4CEB2"/>
          </w:tcPr>
          <w:p w14:paraId="3C421B3E" w14:textId="77777777" w:rsidR="009948F1" w:rsidRDefault="00BC0563">
            <w:pPr>
              <w:pStyle w:val="TableParagraph"/>
              <w:spacing w:line="209" w:lineRule="exact"/>
              <w:ind w:left="120"/>
              <w:rPr>
                <w:b/>
                <w:sz w:val="20"/>
              </w:rPr>
            </w:pPr>
            <w:r>
              <w:rPr>
                <w:b/>
                <w:color w:val="231F20"/>
                <w:sz w:val="20"/>
              </w:rPr>
              <w:t>2020</w:t>
            </w:r>
          </w:p>
        </w:tc>
        <w:tc>
          <w:tcPr>
            <w:tcW w:w="768" w:type="dxa"/>
            <w:shd w:val="clear" w:color="auto" w:fill="F4CEB2"/>
          </w:tcPr>
          <w:p w14:paraId="4F1BDB50" w14:textId="77777777" w:rsidR="009948F1" w:rsidRDefault="00BC0563">
            <w:pPr>
              <w:pStyle w:val="TableParagraph"/>
              <w:spacing w:line="209" w:lineRule="exact"/>
              <w:ind w:left="119"/>
              <w:rPr>
                <w:b/>
                <w:sz w:val="20"/>
              </w:rPr>
            </w:pPr>
            <w:r>
              <w:rPr>
                <w:b/>
                <w:color w:val="231F20"/>
                <w:sz w:val="20"/>
              </w:rPr>
              <w:t>2021</w:t>
            </w:r>
          </w:p>
        </w:tc>
        <w:tc>
          <w:tcPr>
            <w:tcW w:w="763" w:type="dxa"/>
            <w:shd w:val="clear" w:color="auto" w:fill="F4CEB2"/>
          </w:tcPr>
          <w:p w14:paraId="7AB968F8" w14:textId="77777777" w:rsidR="009948F1" w:rsidRDefault="00BC0563">
            <w:pPr>
              <w:pStyle w:val="TableParagraph"/>
              <w:spacing w:line="209" w:lineRule="exact"/>
              <w:ind w:left="118"/>
              <w:rPr>
                <w:b/>
                <w:sz w:val="20"/>
              </w:rPr>
            </w:pPr>
            <w:r>
              <w:rPr>
                <w:b/>
                <w:color w:val="231F20"/>
                <w:sz w:val="20"/>
              </w:rPr>
              <w:t>2022</w:t>
            </w:r>
          </w:p>
        </w:tc>
        <w:tc>
          <w:tcPr>
            <w:tcW w:w="1048" w:type="dxa"/>
            <w:shd w:val="clear" w:color="auto" w:fill="F4CEB2"/>
          </w:tcPr>
          <w:p w14:paraId="35FCFB4A" w14:textId="77777777" w:rsidR="009948F1" w:rsidRDefault="00BC0563">
            <w:pPr>
              <w:pStyle w:val="TableParagraph"/>
              <w:spacing w:line="209" w:lineRule="exact"/>
              <w:ind w:left="117"/>
              <w:rPr>
                <w:b/>
                <w:sz w:val="20"/>
              </w:rPr>
            </w:pPr>
            <w:r>
              <w:rPr>
                <w:b/>
                <w:color w:val="231F20"/>
                <w:sz w:val="20"/>
              </w:rPr>
              <w:t>National</w:t>
            </w:r>
          </w:p>
        </w:tc>
      </w:tr>
      <w:tr w:rsidR="009948F1" w14:paraId="7ED7E068" w14:textId="77777777">
        <w:trPr>
          <w:trHeight w:val="923"/>
        </w:trPr>
        <w:tc>
          <w:tcPr>
            <w:tcW w:w="2971" w:type="dxa"/>
            <w:tcBorders>
              <w:right w:val="single" w:sz="12" w:space="0" w:color="231F20"/>
            </w:tcBorders>
          </w:tcPr>
          <w:p w14:paraId="6C09694B" w14:textId="77777777" w:rsidR="009948F1" w:rsidRDefault="00BC0563">
            <w:pPr>
              <w:pStyle w:val="TableParagraph"/>
              <w:spacing w:line="242" w:lineRule="auto"/>
              <w:ind w:left="119" w:right="215"/>
              <w:rPr>
                <w:sz w:val="20"/>
              </w:rPr>
            </w:pPr>
            <w:r>
              <w:rPr>
                <w:color w:val="231F20"/>
                <w:sz w:val="20"/>
              </w:rPr>
              <w:t>% of health facilities (public and private) generating and</w:t>
            </w:r>
          </w:p>
          <w:p w14:paraId="4019594F" w14:textId="77777777" w:rsidR="009948F1" w:rsidRDefault="00BC0563">
            <w:pPr>
              <w:pStyle w:val="TableParagraph"/>
              <w:spacing w:before="4" w:line="230" w:lineRule="atLeast"/>
              <w:ind w:left="119" w:right="215"/>
              <w:rPr>
                <w:sz w:val="20"/>
              </w:rPr>
            </w:pPr>
            <w:r>
              <w:rPr>
                <w:color w:val="231F20"/>
                <w:sz w:val="20"/>
              </w:rPr>
              <w:t>transmitting routine HMIS data</w:t>
            </w:r>
          </w:p>
        </w:tc>
        <w:tc>
          <w:tcPr>
            <w:tcW w:w="1244" w:type="dxa"/>
            <w:tcBorders>
              <w:left w:val="single" w:sz="12" w:space="0" w:color="231F20"/>
              <w:bottom w:val="single" w:sz="12" w:space="0" w:color="231F20"/>
              <w:right w:val="single" w:sz="12" w:space="0" w:color="231F20"/>
            </w:tcBorders>
          </w:tcPr>
          <w:p w14:paraId="2783F74E" w14:textId="77777777" w:rsidR="009948F1" w:rsidRDefault="00BC0563">
            <w:pPr>
              <w:pStyle w:val="TableParagraph"/>
              <w:ind w:left="112"/>
              <w:rPr>
                <w:sz w:val="20"/>
              </w:rPr>
            </w:pPr>
            <w:r>
              <w:rPr>
                <w:color w:val="231F20"/>
                <w:sz w:val="20"/>
              </w:rPr>
              <w:t>60%</w:t>
            </w:r>
          </w:p>
        </w:tc>
        <w:tc>
          <w:tcPr>
            <w:tcW w:w="767" w:type="dxa"/>
            <w:tcBorders>
              <w:left w:val="single" w:sz="12" w:space="0" w:color="231F20"/>
              <w:bottom w:val="single" w:sz="12" w:space="0" w:color="231F20"/>
              <w:right w:val="single" w:sz="12" w:space="0" w:color="231F20"/>
            </w:tcBorders>
          </w:tcPr>
          <w:p w14:paraId="0CB32961" w14:textId="77777777" w:rsidR="009948F1" w:rsidRDefault="00BC0563">
            <w:pPr>
              <w:pStyle w:val="TableParagraph"/>
              <w:ind w:left="112"/>
              <w:rPr>
                <w:sz w:val="20"/>
              </w:rPr>
            </w:pPr>
            <w:r>
              <w:rPr>
                <w:color w:val="231F20"/>
                <w:sz w:val="20"/>
              </w:rPr>
              <w:t>60</w:t>
            </w:r>
          </w:p>
        </w:tc>
        <w:tc>
          <w:tcPr>
            <w:tcW w:w="922" w:type="dxa"/>
            <w:tcBorders>
              <w:left w:val="single" w:sz="12" w:space="0" w:color="231F20"/>
            </w:tcBorders>
          </w:tcPr>
          <w:p w14:paraId="50473100" w14:textId="77777777" w:rsidR="009948F1" w:rsidRDefault="00BC0563">
            <w:pPr>
              <w:pStyle w:val="TableParagraph"/>
              <w:ind w:left="113"/>
              <w:rPr>
                <w:sz w:val="20"/>
              </w:rPr>
            </w:pPr>
            <w:r>
              <w:rPr>
                <w:color w:val="231F20"/>
                <w:sz w:val="20"/>
              </w:rPr>
              <w:t>65</w:t>
            </w:r>
          </w:p>
        </w:tc>
        <w:tc>
          <w:tcPr>
            <w:tcW w:w="765" w:type="dxa"/>
          </w:tcPr>
          <w:p w14:paraId="562FA0C5" w14:textId="77777777" w:rsidR="009948F1" w:rsidRDefault="00BC0563">
            <w:pPr>
              <w:pStyle w:val="TableParagraph"/>
              <w:ind w:left="120"/>
              <w:rPr>
                <w:sz w:val="20"/>
              </w:rPr>
            </w:pPr>
            <w:r>
              <w:rPr>
                <w:color w:val="231F20"/>
                <w:sz w:val="20"/>
              </w:rPr>
              <w:t>70</w:t>
            </w:r>
          </w:p>
        </w:tc>
        <w:tc>
          <w:tcPr>
            <w:tcW w:w="768" w:type="dxa"/>
          </w:tcPr>
          <w:p w14:paraId="7C378240" w14:textId="77777777" w:rsidR="009948F1" w:rsidRDefault="00BC0563">
            <w:pPr>
              <w:pStyle w:val="TableParagraph"/>
              <w:ind w:left="119"/>
              <w:rPr>
                <w:sz w:val="20"/>
              </w:rPr>
            </w:pPr>
            <w:r>
              <w:rPr>
                <w:color w:val="231F20"/>
                <w:sz w:val="20"/>
              </w:rPr>
              <w:t>75</w:t>
            </w:r>
          </w:p>
        </w:tc>
        <w:tc>
          <w:tcPr>
            <w:tcW w:w="763" w:type="dxa"/>
          </w:tcPr>
          <w:p w14:paraId="788CC589" w14:textId="77777777" w:rsidR="009948F1" w:rsidRDefault="00BC0563">
            <w:pPr>
              <w:pStyle w:val="TableParagraph"/>
              <w:ind w:left="118"/>
              <w:rPr>
                <w:sz w:val="20"/>
              </w:rPr>
            </w:pPr>
            <w:r>
              <w:rPr>
                <w:color w:val="231F20"/>
                <w:sz w:val="20"/>
              </w:rPr>
              <w:t>80</w:t>
            </w:r>
          </w:p>
        </w:tc>
        <w:tc>
          <w:tcPr>
            <w:tcW w:w="1048" w:type="dxa"/>
          </w:tcPr>
          <w:p w14:paraId="4B831560" w14:textId="77777777" w:rsidR="009948F1" w:rsidRDefault="00BC0563">
            <w:pPr>
              <w:pStyle w:val="TableParagraph"/>
              <w:ind w:left="117"/>
              <w:rPr>
                <w:sz w:val="20"/>
              </w:rPr>
            </w:pPr>
            <w:r>
              <w:rPr>
                <w:color w:val="231F20"/>
                <w:sz w:val="20"/>
              </w:rPr>
              <w:t>50%</w:t>
            </w:r>
          </w:p>
        </w:tc>
      </w:tr>
      <w:tr w:rsidR="009948F1" w14:paraId="743C3FB6" w14:textId="77777777">
        <w:trPr>
          <w:trHeight w:val="1157"/>
        </w:trPr>
        <w:tc>
          <w:tcPr>
            <w:tcW w:w="2971" w:type="dxa"/>
            <w:tcBorders>
              <w:right w:val="single" w:sz="12" w:space="0" w:color="231F20"/>
            </w:tcBorders>
          </w:tcPr>
          <w:p w14:paraId="3AC9027F" w14:textId="77777777" w:rsidR="009948F1" w:rsidRDefault="00BC0563">
            <w:pPr>
              <w:pStyle w:val="TableParagraph"/>
              <w:spacing w:line="244" w:lineRule="auto"/>
              <w:ind w:left="119" w:right="215"/>
              <w:rPr>
                <w:sz w:val="20"/>
              </w:rPr>
            </w:pPr>
            <w:r>
              <w:rPr>
                <w:color w:val="231F20"/>
                <w:sz w:val="20"/>
              </w:rPr>
              <w:t>% of timeliness, completeness and accuracy of reporting from facilities (reporting rate) for each</w:t>
            </w:r>
          </w:p>
          <w:p w14:paraId="4C71A0C5" w14:textId="77777777" w:rsidR="009948F1" w:rsidRDefault="00BC0563">
            <w:pPr>
              <w:pStyle w:val="TableParagraph"/>
              <w:spacing w:line="201" w:lineRule="exact"/>
              <w:ind w:left="119"/>
              <w:rPr>
                <w:sz w:val="20"/>
              </w:rPr>
            </w:pPr>
            <w:r>
              <w:rPr>
                <w:color w:val="231F20"/>
                <w:sz w:val="20"/>
              </w:rPr>
              <w:t>LGA/State</w:t>
            </w:r>
          </w:p>
        </w:tc>
        <w:tc>
          <w:tcPr>
            <w:tcW w:w="1244" w:type="dxa"/>
            <w:tcBorders>
              <w:top w:val="single" w:sz="12" w:space="0" w:color="231F20"/>
              <w:left w:val="single" w:sz="12" w:space="0" w:color="231F20"/>
              <w:bottom w:val="single" w:sz="12" w:space="0" w:color="231F20"/>
              <w:right w:val="single" w:sz="12" w:space="0" w:color="231F20"/>
            </w:tcBorders>
          </w:tcPr>
          <w:p w14:paraId="3E318F37" w14:textId="77777777" w:rsidR="009948F1" w:rsidRDefault="00BC0563">
            <w:pPr>
              <w:pStyle w:val="TableParagraph"/>
              <w:spacing w:line="228" w:lineRule="exact"/>
              <w:ind w:left="112"/>
              <w:rPr>
                <w:sz w:val="20"/>
              </w:rPr>
            </w:pPr>
            <w:r>
              <w:rPr>
                <w:color w:val="231F20"/>
                <w:sz w:val="20"/>
              </w:rPr>
              <w:t>TBD</w:t>
            </w:r>
          </w:p>
        </w:tc>
        <w:tc>
          <w:tcPr>
            <w:tcW w:w="767" w:type="dxa"/>
            <w:tcBorders>
              <w:top w:val="single" w:sz="12" w:space="0" w:color="231F20"/>
              <w:left w:val="single" w:sz="12" w:space="0" w:color="231F20"/>
              <w:bottom w:val="single" w:sz="12" w:space="0" w:color="231F20"/>
              <w:right w:val="single" w:sz="12" w:space="0" w:color="231F20"/>
            </w:tcBorders>
          </w:tcPr>
          <w:p w14:paraId="0E500F2B" w14:textId="77777777" w:rsidR="009948F1" w:rsidRDefault="00BC0563">
            <w:pPr>
              <w:pStyle w:val="TableParagraph"/>
              <w:spacing w:line="228" w:lineRule="exact"/>
              <w:ind w:left="112"/>
              <w:rPr>
                <w:sz w:val="20"/>
              </w:rPr>
            </w:pPr>
            <w:r>
              <w:rPr>
                <w:color w:val="231F20"/>
                <w:sz w:val="20"/>
              </w:rPr>
              <w:t>50</w:t>
            </w:r>
          </w:p>
        </w:tc>
        <w:tc>
          <w:tcPr>
            <w:tcW w:w="922" w:type="dxa"/>
            <w:tcBorders>
              <w:left w:val="single" w:sz="12" w:space="0" w:color="231F20"/>
            </w:tcBorders>
          </w:tcPr>
          <w:p w14:paraId="3062A476" w14:textId="77777777" w:rsidR="009948F1" w:rsidRDefault="00BC0563">
            <w:pPr>
              <w:pStyle w:val="TableParagraph"/>
              <w:spacing w:line="228" w:lineRule="exact"/>
              <w:ind w:left="113"/>
              <w:rPr>
                <w:sz w:val="20"/>
              </w:rPr>
            </w:pPr>
            <w:r>
              <w:rPr>
                <w:color w:val="231F20"/>
                <w:sz w:val="20"/>
              </w:rPr>
              <w:t>55</w:t>
            </w:r>
          </w:p>
        </w:tc>
        <w:tc>
          <w:tcPr>
            <w:tcW w:w="765" w:type="dxa"/>
          </w:tcPr>
          <w:p w14:paraId="534C136A" w14:textId="77777777" w:rsidR="009948F1" w:rsidRDefault="00BC0563">
            <w:pPr>
              <w:pStyle w:val="TableParagraph"/>
              <w:spacing w:line="228" w:lineRule="exact"/>
              <w:ind w:left="120"/>
              <w:rPr>
                <w:sz w:val="20"/>
              </w:rPr>
            </w:pPr>
            <w:r>
              <w:rPr>
                <w:color w:val="231F20"/>
                <w:sz w:val="20"/>
              </w:rPr>
              <w:t>60</w:t>
            </w:r>
          </w:p>
        </w:tc>
        <w:tc>
          <w:tcPr>
            <w:tcW w:w="768" w:type="dxa"/>
          </w:tcPr>
          <w:p w14:paraId="2891AD77" w14:textId="77777777" w:rsidR="009948F1" w:rsidRDefault="00BC0563">
            <w:pPr>
              <w:pStyle w:val="TableParagraph"/>
              <w:spacing w:line="228" w:lineRule="exact"/>
              <w:ind w:left="119"/>
              <w:rPr>
                <w:sz w:val="20"/>
              </w:rPr>
            </w:pPr>
            <w:r>
              <w:rPr>
                <w:color w:val="231F20"/>
                <w:sz w:val="20"/>
              </w:rPr>
              <w:t>65</w:t>
            </w:r>
          </w:p>
        </w:tc>
        <w:tc>
          <w:tcPr>
            <w:tcW w:w="763" w:type="dxa"/>
          </w:tcPr>
          <w:p w14:paraId="77B86D8B" w14:textId="77777777" w:rsidR="009948F1" w:rsidRDefault="00BC0563">
            <w:pPr>
              <w:pStyle w:val="TableParagraph"/>
              <w:spacing w:line="228" w:lineRule="exact"/>
              <w:ind w:left="118"/>
              <w:rPr>
                <w:sz w:val="20"/>
              </w:rPr>
            </w:pPr>
            <w:r>
              <w:rPr>
                <w:color w:val="231F20"/>
                <w:sz w:val="20"/>
              </w:rPr>
              <w:t>70</w:t>
            </w:r>
          </w:p>
        </w:tc>
        <w:tc>
          <w:tcPr>
            <w:tcW w:w="1048" w:type="dxa"/>
          </w:tcPr>
          <w:p w14:paraId="794F59FD" w14:textId="77777777" w:rsidR="009948F1" w:rsidRDefault="00BC0563">
            <w:pPr>
              <w:pStyle w:val="TableParagraph"/>
              <w:spacing w:line="228" w:lineRule="exact"/>
              <w:ind w:left="117"/>
              <w:rPr>
                <w:sz w:val="20"/>
              </w:rPr>
            </w:pPr>
            <w:r>
              <w:rPr>
                <w:color w:val="231F20"/>
                <w:sz w:val="20"/>
              </w:rPr>
              <w:t>30%</w:t>
            </w:r>
          </w:p>
        </w:tc>
      </w:tr>
      <w:tr w:rsidR="009948F1" w14:paraId="634D2F0D" w14:textId="77777777">
        <w:trPr>
          <w:trHeight w:val="693"/>
        </w:trPr>
        <w:tc>
          <w:tcPr>
            <w:tcW w:w="2971" w:type="dxa"/>
            <w:tcBorders>
              <w:right w:val="single" w:sz="12" w:space="0" w:color="231F20"/>
            </w:tcBorders>
          </w:tcPr>
          <w:p w14:paraId="46650C3F" w14:textId="77777777" w:rsidR="009948F1" w:rsidRDefault="00BC0563">
            <w:pPr>
              <w:pStyle w:val="TableParagraph"/>
              <w:spacing w:before="3" w:line="242" w:lineRule="auto"/>
              <w:ind w:left="119" w:right="215"/>
              <w:rPr>
                <w:sz w:val="20"/>
              </w:rPr>
            </w:pPr>
            <w:r>
              <w:rPr>
                <w:color w:val="231F20"/>
                <w:sz w:val="20"/>
              </w:rPr>
              <w:t>% improvement in in data quality using standard DQA</w:t>
            </w:r>
          </w:p>
          <w:p w14:paraId="2D93B2B7" w14:textId="77777777" w:rsidR="009948F1" w:rsidRDefault="00BC0563">
            <w:pPr>
              <w:pStyle w:val="TableParagraph"/>
              <w:spacing w:before="5" w:line="201" w:lineRule="exact"/>
              <w:ind w:left="119"/>
              <w:rPr>
                <w:sz w:val="20"/>
              </w:rPr>
            </w:pPr>
            <w:r>
              <w:rPr>
                <w:color w:val="231F20"/>
                <w:sz w:val="20"/>
              </w:rPr>
              <w:t>tools</w:t>
            </w:r>
          </w:p>
        </w:tc>
        <w:tc>
          <w:tcPr>
            <w:tcW w:w="1244" w:type="dxa"/>
            <w:tcBorders>
              <w:top w:val="single" w:sz="12" w:space="0" w:color="231F20"/>
              <w:left w:val="single" w:sz="12" w:space="0" w:color="231F20"/>
              <w:bottom w:val="single" w:sz="12" w:space="0" w:color="231F20"/>
              <w:right w:val="single" w:sz="12" w:space="0" w:color="231F20"/>
            </w:tcBorders>
          </w:tcPr>
          <w:p w14:paraId="163BEA8E" w14:textId="77777777" w:rsidR="009948F1" w:rsidRDefault="00BC0563">
            <w:pPr>
              <w:pStyle w:val="TableParagraph"/>
              <w:spacing w:before="3"/>
              <w:ind w:left="112"/>
              <w:rPr>
                <w:sz w:val="20"/>
              </w:rPr>
            </w:pPr>
            <w:r>
              <w:rPr>
                <w:color w:val="231F20"/>
                <w:sz w:val="20"/>
              </w:rPr>
              <w:t>TBD</w:t>
            </w:r>
          </w:p>
        </w:tc>
        <w:tc>
          <w:tcPr>
            <w:tcW w:w="767" w:type="dxa"/>
            <w:tcBorders>
              <w:top w:val="single" w:sz="12" w:space="0" w:color="231F20"/>
              <w:left w:val="single" w:sz="12" w:space="0" w:color="231F20"/>
              <w:bottom w:val="single" w:sz="12" w:space="0" w:color="231F20"/>
              <w:right w:val="single" w:sz="12" w:space="0" w:color="231F20"/>
            </w:tcBorders>
          </w:tcPr>
          <w:p w14:paraId="13A1F56C" w14:textId="77777777" w:rsidR="009948F1" w:rsidRDefault="00BC0563">
            <w:pPr>
              <w:pStyle w:val="TableParagraph"/>
              <w:spacing w:before="3"/>
              <w:ind w:left="112"/>
              <w:rPr>
                <w:sz w:val="20"/>
              </w:rPr>
            </w:pPr>
            <w:r>
              <w:rPr>
                <w:color w:val="231F20"/>
                <w:sz w:val="20"/>
              </w:rPr>
              <w:t>25</w:t>
            </w:r>
          </w:p>
        </w:tc>
        <w:tc>
          <w:tcPr>
            <w:tcW w:w="922" w:type="dxa"/>
            <w:tcBorders>
              <w:left w:val="single" w:sz="12" w:space="0" w:color="231F20"/>
            </w:tcBorders>
          </w:tcPr>
          <w:p w14:paraId="4750EDAD" w14:textId="77777777" w:rsidR="009948F1" w:rsidRDefault="00BC0563">
            <w:pPr>
              <w:pStyle w:val="TableParagraph"/>
              <w:spacing w:before="3"/>
              <w:ind w:left="113"/>
              <w:rPr>
                <w:sz w:val="20"/>
              </w:rPr>
            </w:pPr>
            <w:r>
              <w:rPr>
                <w:color w:val="231F20"/>
                <w:sz w:val="20"/>
              </w:rPr>
              <w:t>30</w:t>
            </w:r>
          </w:p>
        </w:tc>
        <w:tc>
          <w:tcPr>
            <w:tcW w:w="765" w:type="dxa"/>
          </w:tcPr>
          <w:p w14:paraId="06BADD98" w14:textId="77777777" w:rsidR="009948F1" w:rsidRDefault="00BC0563">
            <w:pPr>
              <w:pStyle w:val="TableParagraph"/>
              <w:spacing w:before="3"/>
              <w:ind w:left="120"/>
              <w:rPr>
                <w:sz w:val="20"/>
              </w:rPr>
            </w:pPr>
            <w:r>
              <w:rPr>
                <w:color w:val="231F20"/>
                <w:sz w:val="20"/>
              </w:rPr>
              <w:t>35</w:t>
            </w:r>
          </w:p>
        </w:tc>
        <w:tc>
          <w:tcPr>
            <w:tcW w:w="768" w:type="dxa"/>
          </w:tcPr>
          <w:p w14:paraId="49D3B83B" w14:textId="77777777" w:rsidR="009948F1" w:rsidRDefault="00BC0563">
            <w:pPr>
              <w:pStyle w:val="TableParagraph"/>
              <w:spacing w:before="3"/>
              <w:ind w:left="119"/>
              <w:rPr>
                <w:sz w:val="20"/>
              </w:rPr>
            </w:pPr>
            <w:r>
              <w:rPr>
                <w:color w:val="231F20"/>
                <w:sz w:val="20"/>
              </w:rPr>
              <w:t>40</w:t>
            </w:r>
          </w:p>
        </w:tc>
        <w:tc>
          <w:tcPr>
            <w:tcW w:w="763" w:type="dxa"/>
          </w:tcPr>
          <w:p w14:paraId="5A4F891F" w14:textId="77777777" w:rsidR="009948F1" w:rsidRDefault="00BC0563">
            <w:pPr>
              <w:pStyle w:val="TableParagraph"/>
              <w:spacing w:before="3"/>
              <w:ind w:left="118"/>
              <w:rPr>
                <w:sz w:val="20"/>
              </w:rPr>
            </w:pPr>
            <w:r>
              <w:rPr>
                <w:color w:val="231F20"/>
                <w:sz w:val="20"/>
              </w:rPr>
              <w:t>45</w:t>
            </w:r>
          </w:p>
        </w:tc>
        <w:tc>
          <w:tcPr>
            <w:tcW w:w="1048" w:type="dxa"/>
          </w:tcPr>
          <w:p w14:paraId="384C545C" w14:textId="77777777" w:rsidR="009948F1" w:rsidRDefault="00BC0563">
            <w:pPr>
              <w:pStyle w:val="TableParagraph"/>
              <w:spacing w:before="3"/>
              <w:ind w:left="117"/>
              <w:rPr>
                <w:sz w:val="20"/>
              </w:rPr>
            </w:pPr>
            <w:r>
              <w:rPr>
                <w:color w:val="231F20"/>
                <w:sz w:val="20"/>
              </w:rPr>
              <w:t>50%</w:t>
            </w:r>
          </w:p>
        </w:tc>
      </w:tr>
    </w:tbl>
    <w:p w14:paraId="2312F990" w14:textId="77777777" w:rsidR="009948F1" w:rsidRDefault="009948F1">
      <w:pPr>
        <w:pStyle w:val="BodyText"/>
        <w:rPr>
          <w:b/>
          <w:sz w:val="24"/>
        </w:rPr>
      </w:pPr>
    </w:p>
    <w:p w14:paraId="29FCDC1C" w14:textId="77777777" w:rsidR="009948F1" w:rsidRDefault="00BC0563">
      <w:pPr>
        <w:pStyle w:val="Heading7"/>
        <w:spacing w:before="177"/>
        <w:ind w:left="138"/>
      </w:pPr>
      <w:r>
        <w:rPr>
          <w:color w:val="231F20"/>
        </w:rPr>
        <w:t>Interventions</w:t>
      </w:r>
    </w:p>
    <w:p w14:paraId="6494ECFF" w14:textId="1A0A6C3B" w:rsidR="009948F1" w:rsidRDefault="00BC0563">
      <w:pPr>
        <w:pStyle w:val="ListParagraph"/>
        <w:numPr>
          <w:ilvl w:val="3"/>
          <w:numId w:val="265"/>
        </w:numPr>
        <w:tabs>
          <w:tab w:val="left" w:pos="983"/>
        </w:tabs>
        <w:spacing w:before="23" w:line="261" w:lineRule="auto"/>
        <w:ind w:right="176" w:firstLine="0"/>
      </w:pPr>
      <w:r>
        <w:rPr>
          <w:color w:val="231F20"/>
        </w:rPr>
        <w:t>-</w:t>
      </w:r>
      <w:r>
        <w:rPr>
          <w:color w:val="231F20"/>
          <w:spacing w:val="-14"/>
        </w:rPr>
        <w:t xml:space="preserve"> </w:t>
      </w:r>
      <w:r>
        <w:rPr>
          <w:color w:val="231F20"/>
        </w:rPr>
        <w:t>Strengthen</w:t>
      </w:r>
      <w:r>
        <w:rPr>
          <w:color w:val="231F20"/>
          <w:spacing w:val="-12"/>
        </w:rPr>
        <w:t xml:space="preserve"> </w:t>
      </w:r>
      <w:r>
        <w:rPr>
          <w:color w:val="231F20"/>
        </w:rPr>
        <w:t>institutional</w:t>
      </w:r>
      <w:r>
        <w:rPr>
          <w:color w:val="231F20"/>
          <w:spacing w:val="-12"/>
        </w:rPr>
        <w:t xml:space="preserve"> </w:t>
      </w:r>
      <w:r>
        <w:rPr>
          <w:color w:val="231F20"/>
        </w:rPr>
        <w:t>framework</w:t>
      </w:r>
      <w:r>
        <w:rPr>
          <w:color w:val="231F20"/>
          <w:spacing w:val="-13"/>
        </w:rPr>
        <w:t xml:space="preserve"> </w:t>
      </w:r>
      <w:r>
        <w:rPr>
          <w:color w:val="231F20"/>
        </w:rPr>
        <w:t>and</w:t>
      </w:r>
      <w:r>
        <w:rPr>
          <w:color w:val="231F20"/>
          <w:spacing w:val="-13"/>
        </w:rPr>
        <w:t xml:space="preserve"> </w:t>
      </w:r>
      <w:r>
        <w:rPr>
          <w:color w:val="231F20"/>
        </w:rPr>
        <w:t>coordination</w:t>
      </w:r>
      <w:r>
        <w:rPr>
          <w:color w:val="231F20"/>
          <w:spacing w:val="-12"/>
        </w:rPr>
        <w:t xml:space="preserve"> </w:t>
      </w:r>
      <w:r>
        <w:rPr>
          <w:color w:val="231F20"/>
        </w:rPr>
        <w:t>for</w:t>
      </w:r>
      <w:r>
        <w:rPr>
          <w:color w:val="231F20"/>
          <w:spacing w:val="-13"/>
        </w:rPr>
        <w:t xml:space="preserve"> </w:t>
      </w:r>
      <w:r>
        <w:rPr>
          <w:color w:val="231F20"/>
        </w:rPr>
        <w:t>HIS</w:t>
      </w:r>
      <w:r>
        <w:rPr>
          <w:color w:val="231F20"/>
          <w:spacing w:val="-13"/>
        </w:rPr>
        <w:t xml:space="preserve"> </w:t>
      </w:r>
      <w:r>
        <w:rPr>
          <w:color w:val="231F20"/>
        </w:rPr>
        <w:t>at</w:t>
      </w:r>
      <w:r>
        <w:rPr>
          <w:color w:val="231F20"/>
          <w:spacing w:val="-13"/>
        </w:rPr>
        <w:t xml:space="preserve"> </w:t>
      </w:r>
      <w:r>
        <w:rPr>
          <w:color w:val="231F20"/>
        </w:rPr>
        <w:t>all</w:t>
      </w:r>
      <w:r>
        <w:rPr>
          <w:color w:val="231F20"/>
          <w:spacing w:val="-13"/>
        </w:rPr>
        <w:t xml:space="preserve"> </w:t>
      </w:r>
      <w:r>
        <w:rPr>
          <w:color w:val="231F20"/>
        </w:rPr>
        <w:t>levels.</w:t>
      </w:r>
      <w:r>
        <w:rPr>
          <w:color w:val="231F20"/>
          <w:spacing w:val="-16"/>
        </w:rPr>
        <w:t xml:space="preserve"> </w:t>
      </w:r>
      <w:r>
        <w:rPr>
          <w:color w:val="231F20"/>
        </w:rPr>
        <w:t>The</w:t>
      </w:r>
      <w:r>
        <w:rPr>
          <w:color w:val="231F20"/>
          <w:spacing w:val="-13"/>
        </w:rPr>
        <w:t xml:space="preserve"> </w:t>
      </w:r>
      <w:r>
        <w:rPr>
          <w:color w:val="231F20"/>
        </w:rPr>
        <w:t>key</w:t>
      </w:r>
      <w:r>
        <w:rPr>
          <w:color w:val="231F20"/>
          <w:spacing w:val="-14"/>
        </w:rPr>
        <w:t xml:space="preserve"> </w:t>
      </w:r>
      <w:r>
        <w:rPr>
          <w:color w:val="231F20"/>
        </w:rPr>
        <w:t>actions include;</w:t>
      </w:r>
      <w:r>
        <w:rPr>
          <w:color w:val="231F20"/>
          <w:spacing w:val="-23"/>
        </w:rPr>
        <w:t xml:space="preserve"> </w:t>
      </w:r>
      <w:r>
        <w:rPr>
          <w:color w:val="231F20"/>
        </w:rPr>
        <w:t>-</w:t>
      </w:r>
      <w:r>
        <w:rPr>
          <w:color w:val="231F20"/>
          <w:spacing w:val="-23"/>
        </w:rPr>
        <w:t xml:space="preserve"> </w:t>
      </w:r>
      <w:r>
        <w:rPr>
          <w:color w:val="231F20"/>
        </w:rPr>
        <w:t>Inaugurate</w:t>
      </w:r>
      <w:r>
        <w:rPr>
          <w:color w:val="231F20"/>
          <w:spacing w:val="-22"/>
        </w:rPr>
        <w:t xml:space="preserve"> </w:t>
      </w:r>
      <w:r>
        <w:rPr>
          <w:color w:val="231F20"/>
        </w:rPr>
        <w:t>a</w:t>
      </w:r>
      <w:r>
        <w:rPr>
          <w:color w:val="231F20"/>
          <w:spacing w:val="-22"/>
        </w:rPr>
        <w:t xml:space="preserve"> </w:t>
      </w:r>
      <w:r>
        <w:rPr>
          <w:color w:val="231F20"/>
        </w:rPr>
        <w:t>committee</w:t>
      </w:r>
      <w:r>
        <w:rPr>
          <w:color w:val="231F20"/>
          <w:spacing w:val="-22"/>
        </w:rPr>
        <w:t xml:space="preserve"> </w:t>
      </w:r>
      <w:r>
        <w:rPr>
          <w:color w:val="231F20"/>
        </w:rPr>
        <w:t>to</w:t>
      </w:r>
      <w:r>
        <w:rPr>
          <w:color w:val="231F20"/>
          <w:spacing w:val="-24"/>
        </w:rPr>
        <w:t xml:space="preserve"> </w:t>
      </w:r>
      <w:r>
        <w:rPr>
          <w:color w:val="231F20"/>
        </w:rPr>
        <w:t>develop</w:t>
      </w:r>
      <w:r>
        <w:rPr>
          <w:color w:val="231F20"/>
          <w:spacing w:val="-22"/>
        </w:rPr>
        <w:t xml:space="preserve"> </w:t>
      </w:r>
      <w:r>
        <w:rPr>
          <w:color w:val="231F20"/>
        </w:rPr>
        <w:t>the</w:t>
      </w:r>
      <w:r>
        <w:rPr>
          <w:color w:val="231F20"/>
          <w:spacing w:val="-22"/>
        </w:rPr>
        <w:t xml:space="preserve"> </w:t>
      </w:r>
      <w:r>
        <w:rPr>
          <w:color w:val="231F20"/>
        </w:rPr>
        <w:t>terms</w:t>
      </w:r>
      <w:r>
        <w:rPr>
          <w:color w:val="231F20"/>
          <w:spacing w:val="-23"/>
        </w:rPr>
        <w:t xml:space="preserve"> </w:t>
      </w:r>
      <w:r>
        <w:rPr>
          <w:color w:val="231F20"/>
        </w:rPr>
        <w:t>of</w:t>
      </w:r>
      <w:r>
        <w:rPr>
          <w:color w:val="231F20"/>
          <w:spacing w:val="-23"/>
        </w:rPr>
        <w:t xml:space="preserve"> </w:t>
      </w:r>
      <w:r>
        <w:rPr>
          <w:color w:val="231F20"/>
        </w:rPr>
        <w:t>reference</w:t>
      </w:r>
      <w:r>
        <w:rPr>
          <w:color w:val="231F20"/>
          <w:spacing w:val="-22"/>
        </w:rPr>
        <w:t xml:space="preserve"> </w:t>
      </w:r>
      <w:r>
        <w:rPr>
          <w:color w:val="231F20"/>
        </w:rPr>
        <w:t>(TOR)</w:t>
      </w:r>
      <w:r>
        <w:rPr>
          <w:color w:val="231F20"/>
          <w:spacing w:val="-24"/>
        </w:rPr>
        <w:t xml:space="preserve"> </w:t>
      </w:r>
      <w:r>
        <w:rPr>
          <w:color w:val="231F20"/>
        </w:rPr>
        <w:t>for</w:t>
      </w:r>
      <w:r>
        <w:rPr>
          <w:color w:val="231F20"/>
          <w:spacing w:val="-23"/>
        </w:rPr>
        <w:t xml:space="preserve"> </w:t>
      </w:r>
      <w:r>
        <w:rPr>
          <w:color w:val="231F20"/>
        </w:rPr>
        <w:t>the</w:t>
      </w:r>
      <w:r>
        <w:rPr>
          <w:color w:val="231F20"/>
          <w:spacing w:val="-22"/>
        </w:rPr>
        <w:t xml:space="preserve"> </w:t>
      </w:r>
      <w:r>
        <w:rPr>
          <w:color w:val="231F20"/>
        </w:rPr>
        <w:t>HDGC,</w:t>
      </w:r>
      <w:r>
        <w:rPr>
          <w:color w:val="231F20"/>
          <w:spacing w:val="-22"/>
        </w:rPr>
        <w:t xml:space="preserve"> </w:t>
      </w:r>
      <w:r>
        <w:rPr>
          <w:color w:val="231F20"/>
        </w:rPr>
        <w:t>review</w:t>
      </w:r>
      <w:r>
        <w:rPr>
          <w:color w:val="231F20"/>
          <w:spacing w:val="-22"/>
        </w:rPr>
        <w:t xml:space="preserve"> </w:t>
      </w:r>
      <w:r>
        <w:rPr>
          <w:color w:val="231F20"/>
          <w:spacing w:val="-4"/>
        </w:rPr>
        <w:t xml:space="preserve">the </w:t>
      </w:r>
      <w:r>
        <w:rPr>
          <w:color w:val="231F20"/>
        </w:rPr>
        <w:t>TOR</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HDCC</w:t>
      </w:r>
      <w:r>
        <w:rPr>
          <w:color w:val="231F20"/>
          <w:spacing w:val="-10"/>
        </w:rPr>
        <w:t xml:space="preserve"> </w:t>
      </w:r>
      <w:r>
        <w:rPr>
          <w:color w:val="231F20"/>
        </w:rPr>
        <w:t>and</w:t>
      </w:r>
      <w:r>
        <w:rPr>
          <w:color w:val="231F20"/>
          <w:spacing w:val="-11"/>
        </w:rPr>
        <w:t xml:space="preserve"> </w:t>
      </w:r>
      <w:r>
        <w:rPr>
          <w:color w:val="231F20"/>
        </w:rPr>
        <w:t>disseminate</w:t>
      </w:r>
      <w:r>
        <w:rPr>
          <w:color w:val="231F20"/>
          <w:spacing w:val="-10"/>
        </w:rPr>
        <w:t xml:space="preserve"> </w:t>
      </w:r>
      <w:r>
        <w:rPr>
          <w:color w:val="231F20"/>
        </w:rPr>
        <w:t>the</w:t>
      </w:r>
      <w:r>
        <w:rPr>
          <w:color w:val="231F20"/>
          <w:spacing w:val="-10"/>
        </w:rPr>
        <w:t xml:space="preserve"> </w:t>
      </w:r>
      <w:r>
        <w:rPr>
          <w:color w:val="231F20"/>
        </w:rPr>
        <w:t>roles</w:t>
      </w:r>
      <w:r>
        <w:rPr>
          <w:color w:val="231F20"/>
          <w:spacing w:val="-11"/>
        </w:rPr>
        <w:t xml:space="preserve"> </w:t>
      </w:r>
      <w:r>
        <w:rPr>
          <w:color w:val="231F20"/>
        </w:rPr>
        <w:t>and</w:t>
      </w:r>
      <w:r>
        <w:rPr>
          <w:color w:val="231F20"/>
          <w:spacing w:val="-10"/>
        </w:rPr>
        <w:t xml:space="preserve"> </w:t>
      </w:r>
      <w:r>
        <w:rPr>
          <w:color w:val="231F20"/>
        </w:rPr>
        <w:t>responsibilities</w:t>
      </w:r>
      <w:r>
        <w:rPr>
          <w:color w:val="231F20"/>
          <w:spacing w:val="-10"/>
        </w:rPr>
        <w:t xml:space="preserve"> </w:t>
      </w:r>
      <w:r>
        <w:rPr>
          <w:color w:val="231F20"/>
        </w:rPr>
        <w:t>to</w:t>
      </w:r>
      <w:r>
        <w:rPr>
          <w:color w:val="231F20"/>
          <w:spacing w:val="-10"/>
        </w:rPr>
        <w:t xml:space="preserve"> </w:t>
      </w:r>
      <w:r>
        <w:rPr>
          <w:color w:val="231F20"/>
        </w:rPr>
        <w:t>all</w:t>
      </w:r>
      <w:r>
        <w:rPr>
          <w:color w:val="231F20"/>
          <w:spacing w:val="-10"/>
        </w:rPr>
        <w:t xml:space="preserve"> </w:t>
      </w:r>
      <w:r>
        <w:rPr>
          <w:color w:val="231F20"/>
        </w:rPr>
        <w:t>stakeholders;</w:t>
      </w:r>
      <w:r>
        <w:rPr>
          <w:color w:val="231F20"/>
          <w:spacing w:val="-11"/>
        </w:rPr>
        <w:t xml:space="preserve"> </w:t>
      </w:r>
      <w:r>
        <w:rPr>
          <w:color w:val="231F20"/>
        </w:rPr>
        <w:t xml:space="preserve">Revise/adapt the national </w:t>
      </w:r>
      <w:r>
        <w:rPr>
          <w:color w:val="231F20"/>
          <w:spacing w:val="-3"/>
        </w:rPr>
        <w:t xml:space="preserve">policy, </w:t>
      </w:r>
      <w:r>
        <w:rPr>
          <w:color w:val="231F20"/>
        </w:rPr>
        <w:t xml:space="preserve">guidelines and tools on HMIS; Collaboration with State Bureau of Statistics </w:t>
      </w:r>
      <w:r>
        <w:rPr>
          <w:color w:val="231F20"/>
          <w:spacing w:val="-7"/>
        </w:rPr>
        <w:t xml:space="preserve">to </w:t>
      </w:r>
      <w:r w:rsidR="00F53DD2">
        <w:rPr>
          <w:color w:val="231F20"/>
        </w:rPr>
        <w:t>utilize</w:t>
      </w:r>
      <w:r>
        <w:rPr>
          <w:color w:val="231F20"/>
        </w:rPr>
        <w:t xml:space="preserve"> annual population figures disaggregated by State, LGA and Ward</w:t>
      </w:r>
      <w:r w:rsidR="00F53DD2">
        <w:rPr>
          <w:color w:val="231F20"/>
        </w:rPr>
        <w:t xml:space="preserve"> </w:t>
      </w:r>
      <w:r>
        <w:rPr>
          <w:color w:val="231F20"/>
        </w:rPr>
        <w:t>to encourage evidence- informed</w:t>
      </w:r>
      <w:r>
        <w:rPr>
          <w:color w:val="231F20"/>
          <w:spacing w:val="-24"/>
        </w:rPr>
        <w:t xml:space="preserve"> </w:t>
      </w:r>
      <w:r>
        <w:rPr>
          <w:color w:val="231F20"/>
        </w:rPr>
        <w:t>planning;</w:t>
      </w:r>
      <w:r>
        <w:rPr>
          <w:color w:val="231F20"/>
          <w:spacing w:val="-23"/>
        </w:rPr>
        <w:t xml:space="preserve"> </w:t>
      </w:r>
      <w:r>
        <w:rPr>
          <w:color w:val="231F20"/>
        </w:rPr>
        <w:t>Support</w:t>
      </w:r>
      <w:r>
        <w:rPr>
          <w:color w:val="231F20"/>
          <w:spacing w:val="-23"/>
        </w:rPr>
        <w:t xml:space="preserve"> </w:t>
      </w:r>
      <w:r>
        <w:rPr>
          <w:color w:val="231F20"/>
        </w:rPr>
        <w:t>the</w:t>
      </w:r>
      <w:r>
        <w:rPr>
          <w:color w:val="231F20"/>
          <w:spacing w:val="-23"/>
        </w:rPr>
        <w:t xml:space="preserve"> </w:t>
      </w:r>
      <w:r>
        <w:rPr>
          <w:color w:val="231F20"/>
        </w:rPr>
        <w:t>broad</w:t>
      </w:r>
      <w:r>
        <w:rPr>
          <w:color w:val="231F20"/>
          <w:spacing w:val="-23"/>
        </w:rPr>
        <w:t xml:space="preserve"> </w:t>
      </w:r>
      <w:r>
        <w:rPr>
          <w:color w:val="231F20"/>
        </w:rPr>
        <w:t>stakeholder</w:t>
      </w:r>
      <w:r>
        <w:rPr>
          <w:color w:val="231F20"/>
          <w:spacing w:val="-23"/>
        </w:rPr>
        <w:t xml:space="preserve"> </w:t>
      </w:r>
      <w:r>
        <w:rPr>
          <w:color w:val="231F20"/>
        </w:rPr>
        <w:t>consultative</w:t>
      </w:r>
      <w:r>
        <w:rPr>
          <w:color w:val="231F20"/>
          <w:spacing w:val="-23"/>
        </w:rPr>
        <w:t xml:space="preserve"> </w:t>
      </w:r>
      <w:r>
        <w:rPr>
          <w:color w:val="231F20"/>
        </w:rPr>
        <w:t>forum</w:t>
      </w:r>
      <w:r>
        <w:rPr>
          <w:color w:val="231F20"/>
          <w:spacing w:val="-23"/>
        </w:rPr>
        <w:t xml:space="preserve"> </w:t>
      </w:r>
      <w:r>
        <w:rPr>
          <w:color w:val="231F20"/>
        </w:rPr>
        <w:t>on</w:t>
      </w:r>
      <w:r>
        <w:rPr>
          <w:color w:val="231F20"/>
          <w:spacing w:val="-23"/>
        </w:rPr>
        <w:t xml:space="preserve"> </w:t>
      </w:r>
      <w:r>
        <w:rPr>
          <w:color w:val="231F20"/>
        </w:rPr>
        <w:t>data</w:t>
      </w:r>
      <w:r>
        <w:rPr>
          <w:color w:val="231F20"/>
          <w:spacing w:val="-23"/>
        </w:rPr>
        <w:t xml:space="preserve"> </w:t>
      </w:r>
      <w:r>
        <w:rPr>
          <w:color w:val="231F20"/>
        </w:rPr>
        <w:t>management</w:t>
      </w:r>
      <w:r>
        <w:rPr>
          <w:color w:val="231F20"/>
          <w:spacing w:val="-24"/>
        </w:rPr>
        <w:t xml:space="preserve"> </w:t>
      </w:r>
      <w:r>
        <w:rPr>
          <w:color w:val="231F20"/>
        </w:rPr>
        <w:t>and</w:t>
      </w:r>
      <w:r>
        <w:rPr>
          <w:color w:val="231F20"/>
          <w:spacing w:val="-23"/>
        </w:rPr>
        <w:t xml:space="preserve"> </w:t>
      </w:r>
      <w:r>
        <w:rPr>
          <w:color w:val="231F20"/>
          <w:spacing w:val="-4"/>
        </w:rPr>
        <w:t xml:space="preserve">use </w:t>
      </w:r>
      <w:r>
        <w:rPr>
          <w:color w:val="231F20"/>
        </w:rPr>
        <w:t xml:space="preserve">to ensure cross-institutional relationships that foster sharing of data and knowledge between </w:t>
      </w:r>
      <w:r>
        <w:rPr>
          <w:color w:val="231F20"/>
          <w:spacing w:val="-4"/>
        </w:rPr>
        <w:t xml:space="preserve">the </w:t>
      </w:r>
      <w:r>
        <w:rPr>
          <w:color w:val="231F20"/>
        </w:rPr>
        <w:t>different members of the HDGC and HDCC; Support monthly review/coordinating meetings of HMIS</w:t>
      </w:r>
      <w:r>
        <w:rPr>
          <w:color w:val="231F20"/>
          <w:spacing w:val="-26"/>
        </w:rPr>
        <w:t xml:space="preserve"> </w:t>
      </w:r>
      <w:r>
        <w:rPr>
          <w:color w:val="231F20"/>
        </w:rPr>
        <w:t>and</w:t>
      </w:r>
      <w:r>
        <w:rPr>
          <w:color w:val="231F20"/>
          <w:spacing w:val="-25"/>
        </w:rPr>
        <w:t xml:space="preserve"> </w:t>
      </w:r>
      <w:r>
        <w:rPr>
          <w:color w:val="231F20"/>
        </w:rPr>
        <w:t>M&amp;E</w:t>
      </w:r>
      <w:r>
        <w:rPr>
          <w:color w:val="231F20"/>
          <w:spacing w:val="-25"/>
        </w:rPr>
        <w:t xml:space="preserve"> </w:t>
      </w:r>
      <w:r>
        <w:rPr>
          <w:color w:val="231F20"/>
        </w:rPr>
        <w:t>officers.</w:t>
      </w:r>
    </w:p>
    <w:p w14:paraId="4054CFC6" w14:textId="77777777" w:rsidR="009948F1" w:rsidRDefault="009948F1">
      <w:pPr>
        <w:pStyle w:val="BodyText"/>
        <w:spacing w:before="2"/>
        <w:rPr>
          <w:sz w:val="24"/>
        </w:rPr>
      </w:pPr>
    </w:p>
    <w:p w14:paraId="10B3B04E" w14:textId="5E2FD5E2" w:rsidR="009948F1" w:rsidRDefault="00BC0563">
      <w:pPr>
        <w:pStyle w:val="ListParagraph"/>
        <w:numPr>
          <w:ilvl w:val="3"/>
          <w:numId w:val="265"/>
        </w:numPr>
        <w:tabs>
          <w:tab w:val="left" w:pos="973"/>
        </w:tabs>
        <w:spacing w:line="261" w:lineRule="auto"/>
        <w:ind w:right="175" w:firstLine="0"/>
      </w:pPr>
      <w:r>
        <w:rPr>
          <w:color w:val="231F20"/>
        </w:rPr>
        <w:t>-</w:t>
      </w:r>
      <w:r>
        <w:rPr>
          <w:color w:val="231F20"/>
          <w:spacing w:val="-24"/>
        </w:rPr>
        <w:t xml:space="preserve"> </w:t>
      </w:r>
      <w:r>
        <w:rPr>
          <w:color w:val="231F20"/>
        </w:rPr>
        <w:t>Strengthen</w:t>
      </w:r>
      <w:r>
        <w:rPr>
          <w:color w:val="231F20"/>
          <w:spacing w:val="-22"/>
        </w:rPr>
        <w:t xml:space="preserve"> </w:t>
      </w:r>
      <w:r>
        <w:rPr>
          <w:color w:val="231F20"/>
        </w:rPr>
        <w:t>the</w:t>
      </w:r>
      <w:r>
        <w:rPr>
          <w:color w:val="231F20"/>
          <w:spacing w:val="-23"/>
        </w:rPr>
        <w:t xml:space="preserve"> </w:t>
      </w:r>
      <w:r>
        <w:rPr>
          <w:color w:val="231F20"/>
        </w:rPr>
        <w:t>capacity</w:t>
      </w:r>
      <w:r>
        <w:rPr>
          <w:color w:val="231F20"/>
          <w:spacing w:val="-22"/>
        </w:rPr>
        <w:t xml:space="preserve"> </w:t>
      </w:r>
      <w:r>
        <w:rPr>
          <w:color w:val="231F20"/>
        </w:rPr>
        <w:t>to</w:t>
      </w:r>
      <w:r>
        <w:rPr>
          <w:color w:val="231F20"/>
          <w:spacing w:val="-23"/>
        </w:rPr>
        <w:t xml:space="preserve"> </w:t>
      </w:r>
      <w:r>
        <w:rPr>
          <w:color w:val="231F20"/>
        </w:rPr>
        <w:t>generate,</w:t>
      </w:r>
      <w:r>
        <w:rPr>
          <w:color w:val="231F20"/>
          <w:spacing w:val="-22"/>
        </w:rPr>
        <w:t xml:space="preserve"> </w:t>
      </w:r>
      <w:r>
        <w:rPr>
          <w:color w:val="231F20"/>
        </w:rPr>
        <w:t>transmit,</w:t>
      </w:r>
      <w:r>
        <w:rPr>
          <w:color w:val="231F20"/>
          <w:spacing w:val="-23"/>
        </w:rPr>
        <w:t xml:space="preserve"> </w:t>
      </w:r>
      <w:r w:rsidR="00F53DD2">
        <w:rPr>
          <w:color w:val="231F20"/>
        </w:rPr>
        <w:t>analyze</w:t>
      </w:r>
      <w:r>
        <w:rPr>
          <w:color w:val="231F20"/>
          <w:spacing w:val="-22"/>
        </w:rPr>
        <w:t xml:space="preserve"> </w:t>
      </w:r>
      <w:r>
        <w:rPr>
          <w:color w:val="231F20"/>
        </w:rPr>
        <w:t>and</w:t>
      </w:r>
      <w:r>
        <w:rPr>
          <w:color w:val="231F20"/>
          <w:spacing w:val="-22"/>
        </w:rPr>
        <w:t xml:space="preserve"> </w:t>
      </w:r>
      <w:r>
        <w:rPr>
          <w:color w:val="231F20"/>
        </w:rPr>
        <w:t>utilize</w:t>
      </w:r>
      <w:r>
        <w:rPr>
          <w:color w:val="231F20"/>
          <w:spacing w:val="-22"/>
        </w:rPr>
        <w:t xml:space="preserve"> </w:t>
      </w:r>
      <w:r>
        <w:rPr>
          <w:color w:val="231F20"/>
        </w:rPr>
        <w:t>routine</w:t>
      </w:r>
      <w:r>
        <w:rPr>
          <w:color w:val="231F20"/>
          <w:spacing w:val="-22"/>
        </w:rPr>
        <w:t xml:space="preserve"> </w:t>
      </w:r>
      <w:r>
        <w:rPr>
          <w:color w:val="231F20"/>
        </w:rPr>
        <w:t>health</w:t>
      </w:r>
      <w:r>
        <w:rPr>
          <w:color w:val="231F20"/>
          <w:spacing w:val="-22"/>
        </w:rPr>
        <w:t xml:space="preserve"> </w:t>
      </w:r>
      <w:r>
        <w:rPr>
          <w:color w:val="231F20"/>
        </w:rPr>
        <w:t>data</w:t>
      </w:r>
      <w:r>
        <w:rPr>
          <w:color w:val="231F20"/>
          <w:spacing w:val="-22"/>
        </w:rPr>
        <w:t xml:space="preserve"> </w:t>
      </w:r>
      <w:r>
        <w:rPr>
          <w:color w:val="231F20"/>
          <w:spacing w:val="-3"/>
        </w:rPr>
        <w:t xml:space="preserve">from </w:t>
      </w:r>
      <w:r>
        <w:rPr>
          <w:color w:val="231F20"/>
        </w:rPr>
        <w:t>all the health facilities, including private health facilities. The key activities include; - Review, harmonize,</w:t>
      </w:r>
      <w:r>
        <w:rPr>
          <w:color w:val="231F20"/>
          <w:spacing w:val="-12"/>
        </w:rPr>
        <w:t xml:space="preserve"> </w:t>
      </w:r>
      <w:r>
        <w:rPr>
          <w:color w:val="231F20"/>
        </w:rPr>
        <w:t>update,</w:t>
      </w:r>
      <w:r>
        <w:rPr>
          <w:color w:val="231F20"/>
          <w:spacing w:val="-11"/>
        </w:rPr>
        <w:t xml:space="preserve"> </w:t>
      </w:r>
      <w:r>
        <w:rPr>
          <w:color w:val="231F20"/>
        </w:rPr>
        <w:t>print</w:t>
      </w:r>
      <w:r>
        <w:rPr>
          <w:color w:val="231F20"/>
          <w:spacing w:val="-11"/>
        </w:rPr>
        <w:t xml:space="preserve"> </w:t>
      </w:r>
      <w:r>
        <w:rPr>
          <w:color w:val="231F20"/>
        </w:rPr>
        <w:t>and</w:t>
      </w:r>
      <w:r>
        <w:rPr>
          <w:color w:val="231F20"/>
          <w:spacing w:val="-11"/>
        </w:rPr>
        <w:t xml:space="preserve"> </w:t>
      </w:r>
      <w:r>
        <w:rPr>
          <w:color w:val="231F20"/>
        </w:rPr>
        <w:t>distribute</w:t>
      </w:r>
      <w:r>
        <w:rPr>
          <w:color w:val="231F20"/>
          <w:spacing w:val="-11"/>
        </w:rPr>
        <w:t xml:space="preserve"> </w:t>
      </w:r>
      <w:r>
        <w:rPr>
          <w:color w:val="231F20"/>
        </w:rPr>
        <w:t>DHIS</w:t>
      </w:r>
      <w:r>
        <w:rPr>
          <w:color w:val="231F20"/>
          <w:spacing w:val="-11"/>
        </w:rPr>
        <w:t xml:space="preserve"> </w:t>
      </w:r>
      <w:r>
        <w:rPr>
          <w:color w:val="231F20"/>
        </w:rPr>
        <w:t>indicators</w:t>
      </w:r>
      <w:r>
        <w:rPr>
          <w:color w:val="231F20"/>
          <w:spacing w:val="-11"/>
        </w:rPr>
        <w:t xml:space="preserve"> </w:t>
      </w:r>
      <w:r>
        <w:rPr>
          <w:color w:val="231F20"/>
        </w:rPr>
        <w:t>and</w:t>
      </w:r>
      <w:r>
        <w:rPr>
          <w:color w:val="231F20"/>
          <w:spacing w:val="-11"/>
        </w:rPr>
        <w:t xml:space="preserve"> </w:t>
      </w:r>
      <w:r>
        <w:rPr>
          <w:color w:val="231F20"/>
        </w:rPr>
        <w:t>tools,</w:t>
      </w:r>
      <w:r>
        <w:rPr>
          <w:color w:val="231F20"/>
          <w:spacing w:val="-11"/>
        </w:rPr>
        <w:t xml:space="preserve"> </w:t>
      </w:r>
      <w:r>
        <w:rPr>
          <w:color w:val="231F20"/>
        </w:rPr>
        <w:t>guidelines,</w:t>
      </w:r>
      <w:r>
        <w:rPr>
          <w:color w:val="231F20"/>
          <w:spacing w:val="-12"/>
        </w:rPr>
        <w:t xml:space="preserve"> </w:t>
      </w:r>
      <w:r>
        <w:rPr>
          <w:color w:val="231F20"/>
        </w:rPr>
        <w:t>SOPs,</w:t>
      </w:r>
      <w:r>
        <w:rPr>
          <w:color w:val="231F20"/>
          <w:spacing w:val="-11"/>
        </w:rPr>
        <w:t xml:space="preserve"> </w:t>
      </w:r>
      <w:r>
        <w:rPr>
          <w:color w:val="231F20"/>
        </w:rPr>
        <w:t>including</w:t>
      </w:r>
      <w:r>
        <w:rPr>
          <w:color w:val="231F20"/>
          <w:spacing w:val="-11"/>
        </w:rPr>
        <w:t xml:space="preserve"> </w:t>
      </w:r>
      <w:r>
        <w:rPr>
          <w:color w:val="231F20"/>
        </w:rPr>
        <w:t>ISS and</w:t>
      </w:r>
      <w:r>
        <w:rPr>
          <w:color w:val="231F20"/>
          <w:spacing w:val="-20"/>
        </w:rPr>
        <w:t xml:space="preserve"> </w:t>
      </w:r>
      <w:r>
        <w:rPr>
          <w:color w:val="231F20"/>
        </w:rPr>
        <w:t>DQA</w:t>
      </w:r>
      <w:r>
        <w:rPr>
          <w:color w:val="231F20"/>
          <w:spacing w:val="-32"/>
        </w:rPr>
        <w:t xml:space="preserve"> </w:t>
      </w:r>
      <w:r>
        <w:rPr>
          <w:color w:val="231F20"/>
        </w:rPr>
        <w:t>checklist;</w:t>
      </w:r>
      <w:r>
        <w:rPr>
          <w:color w:val="231F20"/>
          <w:spacing w:val="-19"/>
        </w:rPr>
        <w:t xml:space="preserve"> </w:t>
      </w:r>
      <w:r>
        <w:rPr>
          <w:color w:val="231F20"/>
        </w:rPr>
        <w:t>Develop</w:t>
      </w:r>
      <w:r>
        <w:rPr>
          <w:color w:val="231F20"/>
          <w:spacing w:val="-20"/>
        </w:rPr>
        <w:t xml:space="preserve"> </w:t>
      </w:r>
      <w:r>
        <w:rPr>
          <w:color w:val="231F20"/>
        </w:rPr>
        <w:t>electronic</w:t>
      </w:r>
      <w:r>
        <w:rPr>
          <w:color w:val="231F20"/>
          <w:spacing w:val="-19"/>
        </w:rPr>
        <w:t xml:space="preserve"> </w:t>
      </w:r>
      <w:r>
        <w:rPr>
          <w:color w:val="231F20"/>
        </w:rPr>
        <w:t>media</w:t>
      </w:r>
      <w:r>
        <w:rPr>
          <w:color w:val="231F20"/>
          <w:spacing w:val="-20"/>
        </w:rPr>
        <w:t xml:space="preserve"> </w:t>
      </w:r>
      <w:r>
        <w:rPr>
          <w:color w:val="231F20"/>
        </w:rPr>
        <w:t>for</w:t>
      </w:r>
      <w:r>
        <w:rPr>
          <w:color w:val="231F20"/>
          <w:spacing w:val="-20"/>
        </w:rPr>
        <w:t xml:space="preserve"> </w:t>
      </w:r>
      <w:r>
        <w:rPr>
          <w:color w:val="231F20"/>
        </w:rPr>
        <w:t>continuous</w:t>
      </w:r>
      <w:r>
        <w:rPr>
          <w:color w:val="231F20"/>
          <w:spacing w:val="-19"/>
        </w:rPr>
        <w:t xml:space="preserve"> </w:t>
      </w:r>
      <w:r>
        <w:rPr>
          <w:color w:val="231F20"/>
        </w:rPr>
        <w:t>training</w:t>
      </w:r>
      <w:r>
        <w:rPr>
          <w:color w:val="231F20"/>
          <w:spacing w:val="-20"/>
        </w:rPr>
        <w:t xml:space="preserve"> </w:t>
      </w:r>
      <w:r>
        <w:rPr>
          <w:color w:val="231F20"/>
        </w:rPr>
        <w:t>of</w:t>
      </w:r>
      <w:r>
        <w:rPr>
          <w:color w:val="231F20"/>
          <w:spacing w:val="-20"/>
        </w:rPr>
        <w:t xml:space="preserve"> </w:t>
      </w:r>
      <w:r>
        <w:rPr>
          <w:color w:val="231F20"/>
        </w:rPr>
        <w:t>HMIS</w:t>
      </w:r>
      <w:r>
        <w:rPr>
          <w:color w:val="231F20"/>
          <w:spacing w:val="-20"/>
        </w:rPr>
        <w:t xml:space="preserve"> </w:t>
      </w:r>
      <w:r>
        <w:rPr>
          <w:color w:val="231F20"/>
        </w:rPr>
        <w:t>officers</w:t>
      </w:r>
      <w:r>
        <w:rPr>
          <w:color w:val="231F20"/>
          <w:spacing w:val="-21"/>
        </w:rPr>
        <w:t xml:space="preserve"> </w:t>
      </w:r>
      <w:r>
        <w:rPr>
          <w:color w:val="231F20"/>
        </w:rPr>
        <w:t>and</w:t>
      </w:r>
      <w:r>
        <w:rPr>
          <w:color w:val="231F20"/>
          <w:spacing w:val="-19"/>
        </w:rPr>
        <w:t xml:space="preserve"> </w:t>
      </w:r>
      <w:r>
        <w:rPr>
          <w:color w:val="231F20"/>
        </w:rPr>
        <w:t>other</w:t>
      </w:r>
      <w:r>
        <w:rPr>
          <w:color w:val="231F20"/>
          <w:spacing w:val="-21"/>
        </w:rPr>
        <w:t xml:space="preserve"> </w:t>
      </w:r>
      <w:r>
        <w:rPr>
          <w:color w:val="231F20"/>
        </w:rPr>
        <w:t>HIS users</w:t>
      </w:r>
      <w:r>
        <w:rPr>
          <w:color w:val="231F20"/>
          <w:spacing w:val="-19"/>
        </w:rPr>
        <w:t xml:space="preserve"> </w:t>
      </w:r>
      <w:r>
        <w:rPr>
          <w:color w:val="231F20"/>
        </w:rPr>
        <w:t>and</w:t>
      </w:r>
      <w:r>
        <w:rPr>
          <w:color w:val="231F20"/>
          <w:spacing w:val="-18"/>
        </w:rPr>
        <w:t xml:space="preserve"> </w:t>
      </w:r>
      <w:r>
        <w:rPr>
          <w:color w:val="231F20"/>
        </w:rPr>
        <w:t>mainstream</w:t>
      </w:r>
      <w:r>
        <w:rPr>
          <w:color w:val="231F20"/>
          <w:spacing w:val="-18"/>
        </w:rPr>
        <w:t xml:space="preserve"> </w:t>
      </w:r>
      <w:r>
        <w:rPr>
          <w:color w:val="231F20"/>
        </w:rPr>
        <w:t>gender</w:t>
      </w:r>
      <w:r>
        <w:rPr>
          <w:color w:val="231F20"/>
          <w:spacing w:val="-17"/>
        </w:rPr>
        <w:t xml:space="preserve"> </w:t>
      </w:r>
      <w:r>
        <w:rPr>
          <w:color w:val="231F20"/>
        </w:rPr>
        <w:t>in</w:t>
      </w:r>
      <w:r>
        <w:rPr>
          <w:color w:val="231F20"/>
          <w:spacing w:val="-18"/>
        </w:rPr>
        <w:t xml:space="preserve"> </w:t>
      </w:r>
      <w:r>
        <w:rPr>
          <w:color w:val="231F20"/>
        </w:rPr>
        <w:t>data</w:t>
      </w:r>
      <w:r>
        <w:rPr>
          <w:color w:val="231F20"/>
          <w:spacing w:val="-18"/>
        </w:rPr>
        <w:t xml:space="preserve"> </w:t>
      </w:r>
      <w:r>
        <w:rPr>
          <w:color w:val="231F20"/>
        </w:rPr>
        <w:t>generation</w:t>
      </w:r>
      <w:r>
        <w:rPr>
          <w:color w:val="231F20"/>
          <w:spacing w:val="-17"/>
        </w:rPr>
        <w:t xml:space="preserve"> </w:t>
      </w:r>
      <w:r>
        <w:rPr>
          <w:color w:val="231F20"/>
        </w:rPr>
        <w:t>and</w:t>
      </w:r>
      <w:r>
        <w:rPr>
          <w:color w:val="231F20"/>
          <w:spacing w:val="-18"/>
        </w:rPr>
        <w:t xml:space="preserve"> </w:t>
      </w:r>
      <w:r>
        <w:rPr>
          <w:color w:val="231F20"/>
        </w:rPr>
        <w:t>analysis</w:t>
      </w:r>
      <w:r>
        <w:rPr>
          <w:color w:val="231F20"/>
          <w:spacing w:val="-19"/>
        </w:rPr>
        <w:t xml:space="preserve"> </w:t>
      </w:r>
      <w:r>
        <w:rPr>
          <w:color w:val="231F20"/>
        </w:rPr>
        <w:t>(disaggregate</w:t>
      </w:r>
      <w:r>
        <w:rPr>
          <w:color w:val="231F20"/>
          <w:spacing w:val="-17"/>
        </w:rPr>
        <w:t xml:space="preserve"> </w:t>
      </w:r>
      <w:r>
        <w:rPr>
          <w:color w:val="231F20"/>
        </w:rPr>
        <w:t>data</w:t>
      </w:r>
      <w:r>
        <w:rPr>
          <w:color w:val="231F20"/>
          <w:spacing w:val="-18"/>
        </w:rPr>
        <w:t xml:space="preserve"> </w:t>
      </w:r>
      <w:r>
        <w:rPr>
          <w:color w:val="231F20"/>
        </w:rPr>
        <w:t>by</w:t>
      </w:r>
      <w:r>
        <w:rPr>
          <w:color w:val="231F20"/>
          <w:spacing w:val="-18"/>
        </w:rPr>
        <w:t xml:space="preserve"> </w:t>
      </w:r>
      <w:r>
        <w:rPr>
          <w:color w:val="231F20"/>
        </w:rPr>
        <w:t>gender);</w:t>
      </w:r>
      <w:r>
        <w:rPr>
          <w:color w:val="231F20"/>
          <w:spacing w:val="-18"/>
        </w:rPr>
        <w:t xml:space="preserve"> </w:t>
      </w:r>
      <w:r>
        <w:rPr>
          <w:color w:val="231F20"/>
        </w:rPr>
        <w:t>Print and disseminate widely the 2013 version of the harmonized data collection tools and the</w:t>
      </w:r>
      <w:r>
        <w:rPr>
          <w:color w:val="231F20"/>
          <w:spacing w:val="-31"/>
        </w:rPr>
        <w:t xml:space="preserve"> </w:t>
      </w:r>
      <w:r>
        <w:rPr>
          <w:color w:val="231F20"/>
        </w:rPr>
        <w:t xml:space="preserve">national indicator definition/ reference sheets; Training and retraining of HIO's (SMOH &amp; RSPHCMB) across the 23 LGA's on data collection tools and train State HMIS and M&amp;E Officers on the administration of the DHIS; Support Recruitment and deployment of HMIS and M&amp;E officer </w:t>
      </w:r>
      <w:r>
        <w:rPr>
          <w:color w:val="231F20"/>
          <w:spacing w:val="-4"/>
        </w:rPr>
        <w:t>for</w:t>
      </w:r>
      <w:r>
        <w:rPr>
          <w:color w:val="231F20"/>
          <w:spacing w:val="53"/>
        </w:rPr>
        <w:t xml:space="preserve"> </w:t>
      </w:r>
      <w:r>
        <w:rPr>
          <w:color w:val="231F20"/>
        </w:rPr>
        <w:t>health</w:t>
      </w:r>
      <w:r>
        <w:rPr>
          <w:color w:val="231F20"/>
          <w:spacing w:val="-25"/>
        </w:rPr>
        <w:t xml:space="preserve"> </w:t>
      </w:r>
      <w:proofErr w:type="spellStart"/>
      <w:r>
        <w:rPr>
          <w:color w:val="231F20"/>
        </w:rPr>
        <w:t>programmes</w:t>
      </w:r>
      <w:proofErr w:type="spellEnd"/>
      <w:r>
        <w:rPr>
          <w:color w:val="231F20"/>
          <w:spacing w:val="-25"/>
        </w:rPr>
        <w:t xml:space="preserve"> </w:t>
      </w:r>
      <w:r>
        <w:rPr>
          <w:color w:val="231F20"/>
        </w:rPr>
        <w:t>at</w:t>
      </w:r>
      <w:r>
        <w:rPr>
          <w:color w:val="231F20"/>
          <w:spacing w:val="36"/>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and</w:t>
      </w:r>
      <w:r>
        <w:rPr>
          <w:color w:val="231F20"/>
          <w:spacing w:val="-25"/>
        </w:rPr>
        <w:t xml:space="preserve"> </w:t>
      </w:r>
      <w:r>
        <w:rPr>
          <w:color w:val="231F20"/>
        </w:rPr>
        <w:t>LGA</w:t>
      </w:r>
      <w:r>
        <w:rPr>
          <w:color w:val="231F20"/>
          <w:spacing w:val="-37"/>
        </w:rPr>
        <w:t xml:space="preserve"> </w:t>
      </w:r>
      <w:r>
        <w:rPr>
          <w:color w:val="231F20"/>
        </w:rPr>
        <w:t>levels.</w:t>
      </w:r>
    </w:p>
    <w:p w14:paraId="587F5DDA" w14:textId="77777777" w:rsidR="009948F1" w:rsidRDefault="009948F1">
      <w:pPr>
        <w:spacing w:line="261" w:lineRule="auto"/>
        <w:jc w:val="both"/>
        <w:sectPr w:rsidR="009948F1">
          <w:pgSz w:w="11910" w:h="16840"/>
          <w:pgMar w:top="1360" w:right="1080" w:bottom="1420" w:left="1120" w:header="0" w:footer="1235" w:gutter="0"/>
          <w:cols w:space="720"/>
        </w:sectPr>
      </w:pPr>
    </w:p>
    <w:p w14:paraId="294052E8" w14:textId="6C2D198A" w:rsidR="009948F1" w:rsidRDefault="00BC0563">
      <w:pPr>
        <w:pStyle w:val="ListParagraph"/>
        <w:numPr>
          <w:ilvl w:val="3"/>
          <w:numId w:val="265"/>
        </w:numPr>
        <w:tabs>
          <w:tab w:val="left" w:pos="1031"/>
        </w:tabs>
        <w:spacing w:before="53" w:line="261" w:lineRule="auto"/>
        <w:ind w:left="152" w:right="171" w:firstLine="0"/>
      </w:pPr>
      <w:bookmarkStart w:id="100" w:name="Page_86"/>
      <w:bookmarkEnd w:id="100"/>
      <w:r>
        <w:rPr>
          <w:color w:val="231F20"/>
        </w:rPr>
        <w:lastRenderedPageBreak/>
        <w:t xml:space="preserve">- Improve integration of existing surveillance systems and diseases registries into </w:t>
      </w:r>
      <w:r>
        <w:rPr>
          <w:color w:val="231F20"/>
          <w:spacing w:val="-4"/>
        </w:rPr>
        <w:t xml:space="preserve">the </w:t>
      </w:r>
      <w:r>
        <w:rPr>
          <w:color w:val="231F20"/>
        </w:rPr>
        <w:t>overall health information system. The key actions include; - Develop and continuously review compendium of all health indicators from all health</w:t>
      </w:r>
      <w:r w:rsidR="00F53DD2">
        <w:rPr>
          <w:color w:val="231F20"/>
        </w:rPr>
        <w:t xml:space="preserve"> </w:t>
      </w:r>
      <w:r>
        <w:rPr>
          <w:color w:val="231F20"/>
        </w:rPr>
        <w:t xml:space="preserve">related </w:t>
      </w:r>
      <w:proofErr w:type="spellStart"/>
      <w:r>
        <w:rPr>
          <w:color w:val="231F20"/>
        </w:rPr>
        <w:t>programmes</w:t>
      </w:r>
      <w:proofErr w:type="spellEnd"/>
      <w:r>
        <w:rPr>
          <w:color w:val="231F20"/>
        </w:rPr>
        <w:t xml:space="preserve"> in the State; Interoperation/Integration</w:t>
      </w:r>
      <w:r>
        <w:rPr>
          <w:color w:val="231F20"/>
          <w:spacing w:val="-15"/>
        </w:rPr>
        <w:t xml:space="preserve"> </w:t>
      </w:r>
      <w:r>
        <w:rPr>
          <w:color w:val="231F20"/>
        </w:rPr>
        <w:t>of</w:t>
      </w:r>
      <w:r>
        <w:rPr>
          <w:color w:val="231F20"/>
          <w:spacing w:val="-15"/>
        </w:rPr>
        <w:t xml:space="preserve"> </w:t>
      </w:r>
      <w:r>
        <w:rPr>
          <w:color w:val="231F20"/>
        </w:rPr>
        <w:t>DHIS2,</w:t>
      </w:r>
      <w:r>
        <w:rPr>
          <w:color w:val="231F20"/>
          <w:spacing w:val="-15"/>
        </w:rPr>
        <w:t xml:space="preserve"> </w:t>
      </w:r>
      <w:r>
        <w:rPr>
          <w:color w:val="231F20"/>
        </w:rPr>
        <w:t>EMRs</w:t>
      </w:r>
      <w:r>
        <w:rPr>
          <w:color w:val="231F20"/>
          <w:spacing w:val="-15"/>
        </w:rPr>
        <w:t xml:space="preserve"> </w:t>
      </w:r>
      <w:r>
        <w:rPr>
          <w:color w:val="231F20"/>
        </w:rPr>
        <w:t>and</w:t>
      </w:r>
      <w:r>
        <w:rPr>
          <w:color w:val="231F20"/>
          <w:spacing w:val="-15"/>
        </w:rPr>
        <w:t xml:space="preserve"> </w:t>
      </w:r>
      <w:r>
        <w:rPr>
          <w:color w:val="231F20"/>
        </w:rPr>
        <w:t>other</w:t>
      </w:r>
      <w:r>
        <w:rPr>
          <w:color w:val="231F20"/>
          <w:spacing w:val="-14"/>
        </w:rPr>
        <w:t xml:space="preserve"> </w:t>
      </w:r>
      <w:r>
        <w:rPr>
          <w:color w:val="231F20"/>
        </w:rPr>
        <w:t>health</w:t>
      </w:r>
      <w:r>
        <w:rPr>
          <w:color w:val="231F20"/>
          <w:spacing w:val="-15"/>
        </w:rPr>
        <w:t xml:space="preserve"> </w:t>
      </w:r>
      <w:r>
        <w:rPr>
          <w:color w:val="231F20"/>
        </w:rPr>
        <w:t>systems</w:t>
      </w:r>
      <w:r>
        <w:rPr>
          <w:color w:val="231F20"/>
          <w:spacing w:val="-15"/>
        </w:rPr>
        <w:t xml:space="preserve"> </w:t>
      </w:r>
      <w:r>
        <w:rPr>
          <w:color w:val="231F20"/>
        </w:rPr>
        <w:t>information</w:t>
      </w:r>
      <w:r>
        <w:rPr>
          <w:color w:val="231F20"/>
          <w:spacing w:val="-15"/>
        </w:rPr>
        <w:t xml:space="preserve"> </w:t>
      </w:r>
      <w:r>
        <w:rPr>
          <w:color w:val="231F20"/>
        </w:rPr>
        <w:t>sub-systems</w:t>
      </w:r>
      <w:r>
        <w:rPr>
          <w:color w:val="231F20"/>
          <w:spacing w:val="-15"/>
        </w:rPr>
        <w:t xml:space="preserve"> </w:t>
      </w:r>
      <w:r>
        <w:rPr>
          <w:color w:val="231F20"/>
          <w:spacing w:val="-5"/>
        </w:rPr>
        <w:t xml:space="preserve">and </w:t>
      </w:r>
      <w:r>
        <w:rPr>
          <w:color w:val="231F20"/>
        </w:rPr>
        <w:t>disease</w:t>
      </w:r>
      <w:r>
        <w:rPr>
          <w:color w:val="231F20"/>
          <w:spacing w:val="-25"/>
        </w:rPr>
        <w:t xml:space="preserve"> </w:t>
      </w:r>
      <w:r>
        <w:rPr>
          <w:color w:val="231F20"/>
        </w:rPr>
        <w:t>registers</w:t>
      </w:r>
      <w:r>
        <w:rPr>
          <w:color w:val="231F20"/>
          <w:spacing w:val="-26"/>
        </w:rPr>
        <w:t xml:space="preserve"> </w:t>
      </w:r>
      <w:r>
        <w:rPr>
          <w:color w:val="231F20"/>
        </w:rPr>
        <w:t>by</w:t>
      </w:r>
      <w:r>
        <w:rPr>
          <w:color w:val="231F20"/>
          <w:spacing w:val="-25"/>
        </w:rPr>
        <w:t xml:space="preserve"> </w:t>
      </w:r>
      <w:r>
        <w:rPr>
          <w:color w:val="231F20"/>
        </w:rPr>
        <w:t>the</w:t>
      </w:r>
      <w:r>
        <w:rPr>
          <w:color w:val="231F20"/>
          <w:spacing w:val="-25"/>
        </w:rPr>
        <w:t xml:space="preserve"> </w:t>
      </w:r>
      <w:r>
        <w:rPr>
          <w:color w:val="231F20"/>
        </w:rPr>
        <w:t>development</w:t>
      </w:r>
      <w:r>
        <w:rPr>
          <w:color w:val="231F20"/>
          <w:spacing w:val="-25"/>
        </w:rPr>
        <w:t xml:space="preserve"> </w:t>
      </w:r>
      <w:r>
        <w:rPr>
          <w:color w:val="231F20"/>
        </w:rPr>
        <w:t>of</w:t>
      </w:r>
      <w:r>
        <w:rPr>
          <w:color w:val="231F20"/>
          <w:spacing w:val="-25"/>
        </w:rPr>
        <w:t xml:space="preserve"> </w:t>
      </w:r>
      <w:r>
        <w:rPr>
          <w:color w:val="231F20"/>
        </w:rPr>
        <w:t>common</w:t>
      </w:r>
      <w:r>
        <w:rPr>
          <w:color w:val="231F20"/>
          <w:spacing w:val="-25"/>
        </w:rPr>
        <w:t xml:space="preserve"> </w:t>
      </w:r>
      <w:r>
        <w:rPr>
          <w:color w:val="231F20"/>
        </w:rPr>
        <w:t>data</w:t>
      </w:r>
      <w:r>
        <w:rPr>
          <w:color w:val="231F20"/>
          <w:spacing w:val="-25"/>
        </w:rPr>
        <w:t xml:space="preserve"> </w:t>
      </w:r>
      <w:r>
        <w:rPr>
          <w:color w:val="231F20"/>
        </w:rPr>
        <w:t>architectures.</w:t>
      </w:r>
    </w:p>
    <w:p w14:paraId="23B9588A" w14:textId="77777777" w:rsidR="009948F1" w:rsidRDefault="009948F1">
      <w:pPr>
        <w:pStyle w:val="BodyText"/>
        <w:spacing w:before="1"/>
        <w:rPr>
          <w:sz w:val="24"/>
        </w:rPr>
      </w:pPr>
    </w:p>
    <w:p w14:paraId="188659D6" w14:textId="77777777" w:rsidR="009948F1" w:rsidRDefault="00BC0563">
      <w:pPr>
        <w:pStyle w:val="ListParagraph"/>
        <w:numPr>
          <w:ilvl w:val="3"/>
          <w:numId w:val="265"/>
        </w:numPr>
        <w:tabs>
          <w:tab w:val="left" w:pos="1043"/>
        </w:tabs>
        <w:spacing w:line="261" w:lineRule="auto"/>
        <w:ind w:left="151" w:right="171" w:firstLine="0"/>
      </w:pPr>
      <w:r>
        <w:rPr>
          <w:color w:val="231F20"/>
        </w:rPr>
        <w:t>- Improve the mechanism of an integrated data repository for data sharing amongst stakeholders at all levels. The key activities include; - Establish and maintain comprehensive, accessible data bank for all health data in the State; Establish multi-sectoral data collaborative forum</w:t>
      </w:r>
      <w:r>
        <w:rPr>
          <w:color w:val="231F20"/>
          <w:spacing w:val="-25"/>
        </w:rPr>
        <w:t xml:space="preserve"> </w:t>
      </w:r>
      <w:r>
        <w:rPr>
          <w:color w:val="231F20"/>
        </w:rPr>
        <w:t>drawing</w:t>
      </w:r>
      <w:r>
        <w:rPr>
          <w:color w:val="231F20"/>
          <w:spacing w:val="-25"/>
        </w:rPr>
        <w:t xml:space="preserve"> </w:t>
      </w:r>
      <w:r>
        <w:rPr>
          <w:color w:val="231F20"/>
        </w:rPr>
        <w:t>from</w:t>
      </w:r>
      <w:r>
        <w:rPr>
          <w:color w:val="231F20"/>
          <w:spacing w:val="-26"/>
        </w:rPr>
        <w:t xml:space="preserve"> </w:t>
      </w:r>
      <w:r>
        <w:rPr>
          <w:color w:val="231F20"/>
        </w:rPr>
        <w:t>all</w:t>
      </w:r>
      <w:r>
        <w:rPr>
          <w:color w:val="231F20"/>
          <w:spacing w:val="-25"/>
        </w:rPr>
        <w:t xml:space="preserve"> </w:t>
      </w:r>
      <w:r>
        <w:rPr>
          <w:color w:val="231F20"/>
        </w:rPr>
        <w:t>relevant</w:t>
      </w:r>
      <w:r>
        <w:rPr>
          <w:color w:val="231F20"/>
          <w:spacing w:val="-25"/>
        </w:rPr>
        <w:t xml:space="preserve"> </w:t>
      </w:r>
      <w:r>
        <w:rPr>
          <w:color w:val="231F20"/>
        </w:rPr>
        <w:t>MDAs.</w:t>
      </w:r>
    </w:p>
    <w:p w14:paraId="753126F4" w14:textId="77777777" w:rsidR="009948F1" w:rsidRDefault="009948F1">
      <w:pPr>
        <w:pStyle w:val="BodyText"/>
        <w:spacing w:before="1"/>
        <w:rPr>
          <w:sz w:val="24"/>
        </w:rPr>
      </w:pPr>
    </w:p>
    <w:p w14:paraId="79B05207" w14:textId="53A95E39" w:rsidR="009948F1" w:rsidRDefault="00BC0563">
      <w:pPr>
        <w:pStyle w:val="ListParagraph"/>
        <w:numPr>
          <w:ilvl w:val="3"/>
          <w:numId w:val="265"/>
        </w:numPr>
        <w:tabs>
          <w:tab w:val="left" w:pos="1049"/>
        </w:tabs>
        <w:spacing w:line="261" w:lineRule="auto"/>
        <w:ind w:left="151" w:right="173" w:firstLine="0"/>
      </w:pPr>
      <w:r>
        <w:rPr>
          <w:color w:val="231F20"/>
        </w:rPr>
        <w:t xml:space="preserve">- Strengthen monitoring of the sub-sector performance. The key activities include </w:t>
      </w:r>
      <w:r>
        <w:rPr>
          <w:color w:val="231F20"/>
          <w:spacing w:val="-15"/>
        </w:rPr>
        <w:t xml:space="preserve">– </w:t>
      </w:r>
      <w:r>
        <w:rPr>
          <w:color w:val="231F20"/>
        </w:rPr>
        <w:t>Conduct</w:t>
      </w:r>
      <w:r>
        <w:rPr>
          <w:color w:val="231F20"/>
          <w:spacing w:val="-22"/>
        </w:rPr>
        <w:t xml:space="preserve"> </w:t>
      </w:r>
      <w:r>
        <w:rPr>
          <w:color w:val="231F20"/>
        </w:rPr>
        <w:t>Data</w:t>
      </w:r>
      <w:r>
        <w:rPr>
          <w:color w:val="231F20"/>
          <w:spacing w:val="-22"/>
        </w:rPr>
        <w:t xml:space="preserve"> </w:t>
      </w:r>
      <w:r>
        <w:rPr>
          <w:color w:val="231F20"/>
        </w:rPr>
        <w:t>Quality</w:t>
      </w:r>
      <w:r>
        <w:rPr>
          <w:color w:val="231F20"/>
          <w:spacing w:val="-34"/>
        </w:rPr>
        <w:t xml:space="preserve"> </w:t>
      </w:r>
      <w:r>
        <w:rPr>
          <w:color w:val="231F20"/>
        </w:rPr>
        <w:t>Assurance</w:t>
      </w:r>
      <w:r>
        <w:rPr>
          <w:color w:val="231F20"/>
          <w:spacing w:val="-21"/>
        </w:rPr>
        <w:t xml:space="preserve"> </w:t>
      </w:r>
      <w:r>
        <w:rPr>
          <w:color w:val="231F20"/>
        </w:rPr>
        <w:t>exercises;</w:t>
      </w:r>
      <w:r>
        <w:rPr>
          <w:color w:val="231F20"/>
          <w:spacing w:val="-22"/>
        </w:rPr>
        <w:t xml:space="preserve"> </w:t>
      </w:r>
      <w:r>
        <w:rPr>
          <w:color w:val="231F20"/>
        </w:rPr>
        <w:t>Conduct</w:t>
      </w:r>
      <w:r>
        <w:rPr>
          <w:color w:val="231F20"/>
          <w:spacing w:val="-22"/>
        </w:rPr>
        <w:t xml:space="preserve"> </w:t>
      </w:r>
      <w:r>
        <w:rPr>
          <w:color w:val="231F20"/>
        </w:rPr>
        <w:t>regular</w:t>
      </w:r>
      <w:r>
        <w:rPr>
          <w:color w:val="231F20"/>
          <w:spacing w:val="-21"/>
        </w:rPr>
        <w:t xml:space="preserve"> </w:t>
      </w:r>
      <w:r>
        <w:rPr>
          <w:color w:val="231F20"/>
        </w:rPr>
        <w:t>supportive</w:t>
      </w:r>
      <w:r>
        <w:rPr>
          <w:color w:val="231F20"/>
          <w:spacing w:val="-22"/>
        </w:rPr>
        <w:t xml:space="preserve"> </w:t>
      </w:r>
      <w:r>
        <w:rPr>
          <w:color w:val="231F20"/>
        </w:rPr>
        <w:t>supervisory</w:t>
      </w:r>
      <w:r>
        <w:rPr>
          <w:color w:val="231F20"/>
          <w:spacing w:val="-22"/>
        </w:rPr>
        <w:t xml:space="preserve"> </w:t>
      </w:r>
      <w:r>
        <w:rPr>
          <w:color w:val="231F20"/>
        </w:rPr>
        <w:t>visits;</w:t>
      </w:r>
      <w:r>
        <w:rPr>
          <w:color w:val="231F20"/>
          <w:spacing w:val="-21"/>
        </w:rPr>
        <w:t xml:space="preserve"> </w:t>
      </w:r>
      <w:r>
        <w:rPr>
          <w:color w:val="231F20"/>
          <w:spacing w:val="-3"/>
        </w:rPr>
        <w:t xml:space="preserve">Develop </w:t>
      </w:r>
      <w:r>
        <w:rPr>
          <w:color w:val="231F20"/>
        </w:rPr>
        <w:t xml:space="preserve">a dashboard to monitor data entry and quality of data entered; Institute a mechanism for </w:t>
      </w:r>
      <w:r>
        <w:rPr>
          <w:color w:val="231F20"/>
          <w:spacing w:val="-3"/>
        </w:rPr>
        <w:t xml:space="preserve">pooling </w:t>
      </w:r>
      <w:r>
        <w:rPr>
          <w:color w:val="231F20"/>
        </w:rPr>
        <w:t xml:space="preserve">resources from MDAs and Partners for HMIS activities; </w:t>
      </w:r>
      <w:r w:rsidR="00F53DD2">
        <w:rPr>
          <w:color w:val="231F20"/>
        </w:rPr>
        <w:t>Institutionalize</w:t>
      </w:r>
      <w:r>
        <w:rPr>
          <w:color w:val="231F20"/>
        </w:rPr>
        <w:t xml:space="preserve"> performance plan </w:t>
      </w:r>
      <w:r>
        <w:rPr>
          <w:color w:val="231F20"/>
          <w:spacing w:val="-5"/>
        </w:rPr>
        <w:t xml:space="preserve">for </w:t>
      </w:r>
      <w:r>
        <w:rPr>
          <w:color w:val="231F20"/>
        </w:rPr>
        <w:t>monitoring</w:t>
      </w:r>
      <w:r>
        <w:rPr>
          <w:color w:val="231F20"/>
          <w:spacing w:val="-26"/>
        </w:rPr>
        <w:t xml:space="preserve"> </w:t>
      </w:r>
      <w:r>
        <w:rPr>
          <w:color w:val="231F20"/>
        </w:rPr>
        <w:t>the</w:t>
      </w:r>
      <w:r>
        <w:rPr>
          <w:color w:val="231F20"/>
          <w:spacing w:val="-25"/>
        </w:rPr>
        <w:t xml:space="preserve"> </w:t>
      </w:r>
      <w:r>
        <w:rPr>
          <w:color w:val="231F20"/>
        </w:rPr>
        <w:t>budget</w:t>
      </w:r>
      <w:r>
        <w:rPr>
          <w:color w:val="231F20"/>
          <w:spacing w:val="-25"/>
        </w:rPr>
        <w:t xml:space="preserve"> </w:t>
      </w:r>
      <w:r>
        <w:rPr>
          <w:color w:val="231F20"/>
        </w:rPr>
        <w:t>allocated</w:t>
      </w:r>
      <w:r>
        <w:rPr>
          <w:color w:val="231F20"/>
          <w:spacing w:val="-25"/>
        </w:rPr>
        <w:t xml:space="preserve"> </w:t>
      </w:r>
      <w:r>
        <w:rPr>
          <w:color w:val="231F20"/>
        </w:rPr>
        <w:t>and</w:t>
      </w:r>
      <w:r>
        <w:rPr>
          <w:color w:val="231F20"/>
          <w:spacing w:val="-25"/>
        </w:rPr>
        <w:t xml:space="preserve"> </w:t>
      </w:r>
      <w:r>
        <w:rPr>
          <w:color w:val="231F20"/>
        </w:rPr>
        <w:t>released</w:t>
      </w:r>
      <w:r>
        <w:rPr>
          <w:color w:val="231F20"/>
          <w:spacing w:val="-25"/>
        </w:rPr>
        <w:t xml:space="preserve"> </w:t>
      </w:r>
      <w:r>
        <w:rPr>
          <w:color w:val="231F20"/>
        </w:rPr>
        <w:t>by</w:t>
      </w:r>
      <w:r>
        <w:rPr>
          <w:color w:val="231F20"/>
          <w:spacing w:val="-25"/>
        </w:rPr>
        <w:t xml:space="preserve"> </w:t>
      </w:r>
      <w:r>
        <w:rPr>
          <w:color w:val="231F20"/>
        </w:rPr>
        <w:t>MDAs</w:t>
      </w:r>
      <w:r>
        <w:rPr>
          <w:color w:val="231F20"/>
          <w:spacing w:val="-25"/>
        </w:rPr>
        <w:t xml:space="preserve"> </w:t>
      </w:r>
      <w:r>
        <w:rPr>
          <w:color w:val="231F20"/>
        </w:rPr>
        <w:t>for</w:t>
      </w:r>
      <w:r>
        <w:rPr>
          <w:color w:val="231F20"/>
          <w:spacing w:val="-25"/>
        </w:rPr>
        <w:t xml:space="preserve"> </w:t>
      </w:r>
      <w:r>
        <w:rPr>
          <w:color w:val="231F20"/>
        </w:rPr>
        <w:t>HMIS</w:t>
      </w:r>
      <w:r>
        <w:rPr>
          <w:color w:val="231F20"/>
          <w:spacing w:val="-25"/>
        </w:rPr>
        <w:t xml:space="preserve"> </w:t>
      </w:r>
      <w:r>
        <w:rPr>
          <w:color w:val="231F20"/>
        </w:rPr>
        <w:t>activities.</w:t>
      </w:r>
    </w:p>
    <w:p w14:paraId="7C47CC41" w14:textId="77777777" w:rsidR="009948F1" w:rsidRDefault="009948F1">
      <w:pPr>
        <w:pStyle w:val="BodyText"/>
        <w:spacing w:before="1"/>
        <w:rPr>
          <w:sz w:val="24"/>
        </w:rPr>
      </w:pPr>
    </w:p>
    <w:p w14:paraId="6973C13D" w14:textId="77777777" w:rsidR="009948F1" w:rsidRDefault="00BC0563">
      <w:pPr>
        <w:pStyle w:val="Heading7"/>
        <w:ind w:left="151"/>
      </w:pPr>
      <w:r>
        <w:rPr>
          <w:color w:val="231F20"/>
        </w:rPr>
        <w:t>Priority Area 13: Research for Health</w:t>
      </w:r>
    </w:p>
    <w:p w14:paraId="18C92318" w14:textId="77777777" w:rsidR="009948F1" w:rsidRDefault="00BC0563">
      <w:pPr>
        <w:pStyle w:val="Heading8"/>
        <w:spacing w:before="23"/>
        <w:ind w:left="151"/>
      </w:pPr>
      <w:r>
        <w:rPr>
          <w:color w:val="231F20"/>
        </w:rPr>
        <w:t>Context</w:t>
      </w:r>
    </w:p>
    <w:p w14:paraId="775412B4" w14:textId="77777777" w:rsidR="009948F1" w:rsidRDefault="00BC0563">
      <w:pPr>
        <w:pStyle w:val="BodyText"/>
        <w:spacing w:before="23" w:line="261" w:lineRule="auto"/>
        <w:ind w:left="151" w:right="172"/>
        <w:jc w:val="both"/>
      </w:pPr>
      <w:r>
        <w:rPr>
          <w:color w:val="231F20"/>
        </w:rPr>
        <w:t xml:space="preserve">Research and Development is the backbone of innovative and sustainable development of </w:t>
      </w:r>
      <w:r>
        <w:rPr>
          <w:color w:val="231F20"/>
          <w:spacing w:val="-5"/>
        </w:rPr>
        <w:t xml:space="preserve">the </w:t>
      </w:r>
      <w:r>
        <w:rPr>
          <w:color w:val="231F20"/>
        </w:rPr>
        <w:t>health</w:t>
      </w:r>
      <w:r>
        <w:rPr>
          <w:color w:val="231F20"/>
          <w:spacing w:val="-16"/>
        </w:rPr>
        <w:t xml:space="preserve"> </w:t>
      </w:r>
      <w:r>
        <w:rPr>
          <w:color w:val="231F20"/>
        </w:rPr>
        <w:t>sector.</w:t>
      </w:r>
      <w:r>
        <w:rPr>
          <w:color w:val="231F20"/>
          <w:spacing w:val="53"/>
        </w:rPr>
        <w:t xml:space="preserve"> </w:t>
      </w:r>
      <w:r>
        <w:rPr>
          <w:color w:val="231F20"/>
        </w:rPr>
        <w:t>Research</w:t>
      </w:r>
      <w:r>
        <w:rPr>
          <w:color w:val="231F20"/>
          <w:spacing w:val="-16"/>
        </w:rPr>
        <w:t xml:space="preserve"> </w:t>
      </w:r>
      <w:r>
        <w:rPr>
          <w:color w:val="231F20"/>
        </w:rPr>
        <w:t>findings</w:t>
      </w:r>
      <w:r>
        <w:rPr>
          <w:color w:val="231F20"/>
          <w:spacing w:val="-16"/>
        </w:rPr>
        <w:t xml:space="preserve"> </w:t>
      </w:r>
      <w:r>
        <w:rPr>
          <w:color w:val="231F20"/>
        </w:rPr>
        <w:t>enhance</w:t>
      </w:r>
      <w:r>
        <w:rPr>
          <w:color w:val="231F20"/>
          <w:spacing w:val="-15"/>
        </w:rPr>
        <w:t xml:space="preserve"> </w:t>
      </w:r>
      <w:r>
        <w:rPr>
          <w:color w:val="231F20"/>
        </w:rPr>
        <w:t>evidence-based</w:t>
      </w:r>
      <w:r>
        <w:rPr>
          <w:color w:val="231F20"/>
          <w:spacing w:val="-16"/>
        </w:rPr>
        <w:t xml:space="preserve"> </w:t>
      </w:r>
      <w:r>
        <w:rPr>
          <w:color w:val="231F20"/>
        </w:rPr>
        <w:t>policy</w:t>
      </w:r>
      <w:r>
        <w:rPr>
          <w:color w:val="231F20"/>
          <w:spacing w:val="-16"/>
        </w:rPr>
        <w:t xml:space="preserve"> </w:t>
      </w:r>
      <w:r>
        <w:rPr>
          <w:color w:val="231F20"/>
        </w:rPr>
        <w:t>and</w:t>
      </w:r>
      <w:r>
        <w:rPr>
          <w:color w:val="231F20"/>
          <w:spacing w:val="-16"/>
        </w:rPr>
        <w:t xml:space="preserve"> </w:t>
      </w:r>
      <w:r>
        <w:rPr>
          <w:color w:val="231F20"/>
        </w:rPr>
        <w:t>decision</w:t>
      </w:r>
      <w:r>
        <w:rPr>
          <w:color w:val="231F20"/>
          <w:spacing w:val="-16"/>
        </w:rPr>
        <w:t xml:space="preserve"> </w:t>
      </w:r>
      <w:r>
        <w:rPr>
          <w:color w:val="231F20"/>
        </w:rPr>
        <w:t>making</w:t>
      </w:r>
      <w:r>
        <w:rPr>
          <w:color w:val="231F20"/>
          <w:spacing w:val="-15"/>
        </w:rPr>
        <w:t xml:space="preserve"> </w:t>
      </w:r>
      <w:r>
        <w:rPr>
          <w:color w:val="231F20"/>
        </w:rPr>
        <w:t>at</w:t>
      </w:r>
      <w:r>
        <w:rPr>
          <w:color w:val="231F20"/>
          <w:spacing w:val="-17"/>
        </w:rPr>
        <w:t xml:space="preserve"> </w:t>
      </w:r>
      <w:r>
        <w:rPr>
          <w:color w:val="231F20"/>
        </w:rPr>
        <w:t>all</w:t>
      </w:r>
      <w:r>
        <w:rPr>
          <w:color w:val="231F20"/>
          <w:spacing w:val="-16"/>
        </w:rPr>
        <w:t xml:space="preserve"> </w:t>
      </w:r>
      <w:r>
        <w:rPr>
          <w:color w:val="231F20"/>
          <w:spacing w:val="-3"/>
        </w:rPr>
        <w:t xml:space="preserve">levels </w:t>
      </w:r>
      <w:r>
        <w:rPr>
          <w:color w:val="231F20"/>
        </w:rPr>
        <w:t xml:space="preserve">of government and ensure more targeted health interventions that have a higher impact </w:t>
      </w:r>
      <w:r>
        <w:rPr>
          <w:color w:val="231F20"/>
          <w:spacing w:val="-8"/>
        </w:rPr>
        <w:t xml:space="preserve">on </w:t>
      </w:r>
      <w:r>
        <w:rPr>
          <w:color w:val="231F20"/>
        </w:rPr>
        <w:t>reduction</w:t>
      </w:r>
      <w:r>
        <w:rPr>
          <w:color w:val="231F20"/>
          <w:spacing w:val="-25"/>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State's</w:t>
      </w:r>
      <w:r>
        <w:rPr>
          <w:color w:val="231F20"/>
          <w:spacing w:val="-25"/>
        </w:rPr>
        <w:t xml:space="preserve"> </w:t>
      </w:r>
      <w:r>
        <w:rPr>
          <w:color w:val="231F20"/>
        </w:rPr>
        <w:t>diseases</w:t>
      </w:r>
      <w:r>
        <w:rPr>
          <w:color w:val="231F20"/>
          <w:spacing w:val="-25"/>
        </w:rPr>
        <w:t xml:space="preserve"> </w:t>
      </w:r>
      <w:r>
        <w:rPr>
          <w:color w:val="231F20"/>
        </w:rPr>
        <w:t>burden.</w:t>
      </w:r>
    </w:p>
    <w:p w14:paraId="6F5E6C10" w14:textId="77777777" w:rsidR="009948F1" w:rsidRDefault="00BC0563">
      <w:pPr>
        <w:pStyle w:val="BodyText"/>
        <w:spacing w:before="1" w:line="261" w:lineRule="auto"/>
        <w:ind w:left="151" w:right="172"/>
        <w:jc w:val="both"/>
      </w:pPr>
      <w:r>
        <w:rPr>
          <w:color w:val="231F20"/>
        </w:rPr>
        <w:t>There</w:t>
      </w:r>
      <w:r>
        <w:rPr>
          <w:color w:val="231F20"/>
          <w:spacing w:val="-16"/>
        </w:rPr>
        <w:t xml:space="preserve"> </w:t>
      </w:r>
      <w:r>
        <w:rPr>
          <w:color w:val="231F20"/>
        </w:rPr>
        <w:t>is</w:t>
      </w:r>
      <w:r>
        <w:rPr>
          <w:color w:val="231F20"/>
          <w:spacing w:val="-15"/>
        </w:rPr>
        <w:t xml:space="preserve"> </w:t>
      </w:r>
      <w:r>
        <w:rPr>
          <w:color w:val="231F20"/>
        </w:rPr>
        <w:t>also</w:t>
      </w:r>
      <w:r>
        <w:rPr>
          <w:color w:val="231F20"/>
          <w:spacing w:val="-15"/>
        </w:rPr>
        <w:t xml:space="preserve"> </w:t>
      </w:r>
      <w:r>
        <w:rPr>
          <w:color w:val="231F20"/>
        </w:rPr>
        <w:t>an</w:t>
      </w:r>
      <w:r>
        <w:rPr>
          <w:color w:val="231F20"/>
          <w:spacing w:val="-15"/>
        </w:rPr>
        <w:t xml:space="preserve"> </w:t>
      </w:r>
      <w:r>
        <w:rPr>
          <w:color w:val="231F20"/>
        </w:rPr>
        <w:t>internationally</w:t>
      </w:r>
      <w:r>
        <w:rPr>
          <w:color w:val="231F20"/>
          <w:spacing w:val="-15"/>
        </w:rPr>
        <w:t xml:space="preserve"> </w:t>
      </w:r>
      <w:r>
        <w:rPr>
          <w:color w:val="231F20"/>
        </w:rPr>
        <w:t>accepted</w:t>
      </w:r>
      <w:r>
        <w:rPr>
          <w:color w:val="231F20"/>
          <w:spacing w:val="-15"/>
        </w:rPr>
        <w:t xml:space="preserve"> </w:t>
      </w:r>
      <w:r>
        <w:rPr>
          <w:color w:val="231F20"/>
        </w:rPr>
        <w:t>guideline</w:t>
      </w:r>
      <w:r>
        <w:rPr>
          <w:color w:val="231F20"/>
          <w:spacing w:val="-15"/>
        </w:rPr>
        <w:t xml:space="preserve"> </w:t>
      </w:r>
      <w:r>
        <w:rPr>
          <w:color w:val="231F20"/>
        </w:rPr>
        <w:t>that</w:t>
      </w:r>
      <w:r>
        <w:rPr>
          <w:color w:val="231F20"/>
          <w:spacing w:val="-15"/>
        </w:rPr>
        <w:t xml:space="preserve"> </w:t>
      </w:r>
      <w:r>
        <w:rPr>
          <w:color w:val="231F20"/>
        </w:rPr>
        <w:t>donor</w:t>
      </w:r>
      <w:r>
        <w:rPr>
          <w:color w:val="231F20"/>
          <w:spacing w:val="-15"/>
        </w:rPr>
        <w:t xml:space="preserve"> </w:t>
      </w:r>
      <w:r>
        <w:rPr>
          <w:color w:val="231F20"/>
        </w:rPr>
        <w:t>agencies</w:t>
      </w:r>
      <w:r>
        <w:rPr>
          <w:color w:val="231F20"/>
          <w:spacing w:val="-15"/>
        </w:rPr>
        <w:t xml:space="preserve"> </w:t>
      </w:r>
      <w:r>
        <w:rPr>
          <w:color w:val="231F20"/>
        </w:rPr>
        <w:t>should</w:t>
      </w:r>
      <w:r>
        <w:rPr>
          <w:color w:val="231F20"/>
          <w:spacing w:val="-15"/>
        </w:rPr>
        <w:t xml:space="preserve"> </w:t>
      </w:r>
      <w:r>
        <w:rPr>
          <w:color w:val="231F20"/>
        </w:rPr>
        <w:t>provide</w:t>
      </w:r>
      <w:r>
        <w:rPr>
          <w:color w:val="231F20"/>
          <w:spacing w:val="-16"/>
        </w:rPr>
        <w:t xml:space="preserve"> </w:t>
      </w:r>
      <w:r>
        <w:rPr>
          <w:color w:val="231F20"/>
        </w:rPr>
        <w:t>5%</w:t>
      </w:r>
      <w:r>
        <w:rPr>
          <w:color w:val="231F20"/>
          <w:spacing w:val="-15"/>
        </w:rPr>
        <w:t xml:space="preserve"> </w:t>
      </w:r>
      <w:r>
        <w:rPr>
          <w:color w:val="231F20"/>
        </w:rPr>
        <w:t>of</w:t>
      </w:r>
      <w:r>
        <w:rPr>
          <w:color w:val="231F20"/>
          <w:spacing w:val="-27"/>
        </w:rPr>
        <w:t xml:space="preserve"> </w:t>
      </w:r>
      <w:r>
        <w:rPr>
          <w:color w:val="231F20"/>
        </w:rPr>
        <w:t>Aid</w:t>
      </w:r>
      <w:r>
        <w:rPr>
          <w:color w:val="231F20"/>
          <w:spacing w:val="-15"/>
        </w:rPr>
        <w:t xml:space="preserve"> </w:t>
      </w:r>
      <w:r>
        <w:rPr>
          <w:color w:val="231F20"/>
          <w:spacing w:val="-6"/>
        </w:rPr>
        <w:t xml:space="preserve">to </w:t>
      </w:r>
      <w:r>
        <w:rPr>
          <w:color w:val="231F20"/>
        </w:rPr>
        <w:t>research</w:t>
      </w:r>
      <w:r>
        <w:rPr>
          <w:color w:val="231F20"/>
          <w:spacing w:val="-23"/>
        </w:rPr>
        <w:t xml:space="preserve"> </w:t>
      </w:r>
      <w:r>
        <w:rPr>
          <w:color w:val="231F20"/>
        </w:rPr>
        <w:t>which</w:t>
      </w:r>
      <w:r>
        <w:rPr>
          <w:color w:val="231F20"/>
          <w:spacing w:val="-22"/>
        </w:rPr>
        <w:t xml:space="preserve"> </w:t>
      </w:r>
      <w:r>
        <w:rPr>
          <w:color w:val="231F20"/>
        </w:rPr>
        <w:t>is</w:t>
      </w:r>
      <w:r>
        <w:rPr>
          <w:color w:val="231F20"/>
          <w:spacing w:val="-23"/>
        </w:rPr>
        <w:t xml:space="preserve"> </w:t>
      </w:r>
      <w:r>
        <w:rPr>
          <w:color w:val="231F20"/>
        </w:rPr>
        <w:t>not</w:t>
      </w:r>
      <w:r>
        <w:rPr>
          <w:color w:val="231F20"/>
          <w:spacing w:val="-24"/>
        </w:rPr>
        <w:t xml:space="preserve"> </w:t>
      </w:r>
      <w:r>
        <w:rPr>
          <w:color w:val="231F20"/>
        </w:rPr>
        <w:t>complied</w:t>
      </w:r>
      <w:r>
        <w:rPr>
          <w:color w:val="231F20"/>
          <w:spacing w:val="-22"/>
        </w:rPr>
        <w:t xml:space="preserve"> </w:t>
      </w:r>
      <w:r>
        <w:rPr>
          <w:color w:val="231F20"/>
        </w:rPr>
        <w:t>with.</w:t>
      </w:r>
      <w:r>
        <w:rPr>
          <w:color w:val="231F20"/>
          <w:spacing w:val="-27"/>
        </w:rPr>
        <w:t xml:space="preserve"> </w:t>
      </w:r>
      <w:r>
        <w:rPr>
          <w:color w:val="231F20"/>
        </w:rPr>
        <w:t>The</w:t>
      </w:r>
      <w:r>
        <w:rPr>
          <w:color w:val="231F20"/>
          <w:spacing w:val="-24"/>
        </w:rPr>
        <w:t xml:space="preserve"> </w:t>
      </w:r>
      <w:r>
        <w:rPr>
          <w:color w:val="231F20"/>
        </w:rPr>
        <w:t>overall</w:t>
      </w:r>
      <w:r>
        <w:rPr>
          <w:color w:val="231F20"/>
          <w:spacing w:val="-22"/>
        </w:rPr>
        <w:t xml:space="preserve"> </w:t>
      </w:r>
      <w:r>
        <w:rPr>
          <w:color w:val="231F20"/>
        </w:rPr>
        <w:t>goal</w:t>
      </w:r>
      <w:r>
        <w:rPr>
          <w:color w:val="231F20"/>
          <w:spacing w:val="-22"/>
        </w:rPr>
        <w:t xml:space="preserve"> </w:t>
      </w:r>
      <w:r>
        <w:rPr>
          <w:color w:val="231F20"/>
        </w:rPr>
        <w:t>is</w:t>
      </w:r>
      <w:r>
        <w:rPr>
          <w:color w:val="231F20"/>
          <w:spacing w:val="-24"/>
        </w:rPr>
        <w:t xml:space="preserve"> </w:t>
      </w:r>
      <w:r>
        <w:rPr>
          <w:color w:val="231F20"/>
        </w:rPr>
        <w:t>to</w:t>
      </w:r>
      <w:r>
        <w:rPr>
          <w:color w:val="231F20"/>
          <w:spacing w:val="-23"/>
        </w:rPr>
        <w:t xml:space="preserve"> </w:t>
      </w:r>
      <w:r>
        <w:rPr>
          <w:color w:val="231F20"/>
        </w:rPr>
        <w:t>ensure</w:t>
      </w:r>
      <w:r>
        <w:rPr>
          <w:color w:val="231F20"/>
          <w:spacing w:val="-22"/>
        </w:rPr>
        <w:t xml:space="preserve"> </w:t>
      </w:r>
      <w:r>
        <w:rPr>
          <w:color w:val="231F20"/>
        </w:rPr>
        <w:t>that</w:t>
      </w:r>
      <w:r>
        <w:rPr>
          <w:color w:val="231F20"/>
          <w:spacing w:val="-23"/>
        </w:rPr>
        <w:t xml:space="preserve"> </w:t>
      </w:r>
      <w:r>
        <w:rPr>
          <w:color w:val="231F20"/>
        </w:rPr>
        <w:t>research</w:t>
      </w:r>
      <w:r>
        <w:rPr>
          <w:color w:val="231F20"/>
          <w:spacing w:val="-23"/>
        </w:rPr>
        <w:t xml:space="preserve"> </w:t>
      </w:r>
      <w:r>
        <w:rPr>
          <w:color w:val="231F20"/>
        </w:rPr>
        <w:t>is</w:t>
      </w:r>
      <w:r>
        <w:rPr>
          <w:color w:val="231F20"/>
          <w:spacing w:val="-23"/>
        </w:rPr>
        <w:t xml:space="preserve"> </w:t>
      </w:r>
      <w:r>
        <w:rPr>
          <w:color w:val="231F20"/>
        </w:rPr>
        <w:t>informing</w:t>
      </w:r>
      <w:r>
        <w:rPr>
          <w:color w:val="231F20"/>
          <w:spacing w:val="-22"/>
        </w:rPr>
        <w:t xml:space="preserve"> </w:t>
      </w:r>
      <w:r>
        <w:rPr>
          <w:color w:val="231F20"/>
          <w:spacing w:val="-3"/>
        </w:rPr>
        <w:t xml:space="preserve">effective </w:t>
      </w:r>
      <w:r>
        <w:rPr>
          <w:color w:val="231F20"/>
        </w:rPr>
        <w:t>health</w:t>
      </w:r>
      <w:r>
        <w:rPr>
          <w:color w:val="231F20"/>
          <w:spacing w:val="-26"/>
        </w:rPr>
        <w:t xml:space="preserve"> </w:t>
      </w:r>
      <w:r>
        <w:rPr>
          <w:color w:val="231F20"/>
        </w:rPr>
        <w:t>policy</w:t>
      </w:r>
      <w:r>
        <w:rPr>
          <w:color w:val="231F20"/>
          <w:spacing w:val="-25"/>
        </w:rPr>
        <w:t xml:space="preserve"> </w:t>
      </w:r>
      <w:r>
        <w:rPr>
          <w:color w:val="231F20"/>
        </w:rPr>
        <w:t>and</w:t>
      </w:r>
      <w:r>
        <w:rPr>
          <w:color w:val="231F20"/>
          <w:spacing w:val="-25"/>
        </w:rPr>
        <w:t xml:space="preserve"> </w:t>
      </w:r>
      <w:r>
        <w:rPr>
          <w:color w:val="231F20"/>
        </w:rPr>
        <w:t>programming,</w:t>
      </w:r>
      <w:r>
        <w:rPr>
          <w:color w:val="231F20"/>
          <w:spacing w:val="-25"/>
        </w:rPr>
        <w:t xml:space="preserve"> </w:t>
      </w:r>
      <w:r>
        <w:rPr>
          <w:color w:val="231F20"/>
        </w:rPr>
        <w:t>and</w:t>
      </w:r>
      <w:r>
        <w:rPr>
          <w:color w:val="231F20"/>
          <w:spacing w:val="-25"/>
        </w:rPr>
        <w:t xml:space="preserve"> </w:t>
      </w:r>
      <w:r>
        <w:rPr>
          <w:color w:val="231F20"/>
        </w:rPr>
        <w:t>contributing</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advancement</w:t>
      </w:r>
      <w:r>
        <w:rPr>
          <w:color w:val="231F20"/>
          <w:spacing w:val="-25"/>
        </w:rPr>
        <w:t xml:space="preserve"> </w:t>
      </w:r>
      <w:r>
        <w:rPr>
          <w:color w:val="231F20"/>
        </w:rPr>
        <w:t>of</w:t>
      </w:r>
      <w:r>
        <w:rPr>
          <w:color w:val="231F20"/>
          <w:spacing w:val="-25"/>
        </w:rPr>
        <w:t xml:space="preserve"> </w:t>
      </w:r>
      <w:r>
        <w:rPr>
          <w:color w:val="231F20"/>
        </w:rPr>
        <w:t>global</w:t>
      </w:r>
      <w:r>
        <w:rPr>
          <w:color w:val="231F20"/>
          <w:spacing w:val="-25"/>
        </w:rPr>
        <w:t xml:space="preserve"> </w:t>
      </w:r>
      <w:r>
        <w:rPr>
          <w:color w:val="231F20"/>
        </w:rPr>
        <w:t>health</w:t>
      </w:r>
      <w:r>
        <w:rPr>
          <w:color w:val="231F20"/>
          <w:spacing w:val="-26"/>
        </w:rPr>
        <w:t xml:space="preserve"> </w:t>
      </w:r>
      <w:r>
        <w:rPr>
          <w:color w:val="231F20"/>
        </w:rPr>
        <w:t>knowledge.</w:t>
      </w:r>
    </w:p>
    <w:p w14:paraId="14649894" w14:textId="77777777" w:rsidR="009948F1" w:rsidRDefault="009948F1">
      <w:pPr>
        <w:pStyle w:val="BodyText"/>
        <w:spacing w:before="1"/>
        <w:rPr>
          <w:sz w:val="24"/>
        </w:rPr>
      </w:pPr>
    </w:p>
    <w:p w14:paraId="723E157E" w14:textId="77777777" w:rsidR="009948F1" w:rsidRDefault="00BC0563">
      <w:pPr>
        <w:pStyle w:val="Heading7"/>
        <w:ind w:left="151"/>
        <w:jc w:val="both"/>
      </w:pPr>
      <w:r>
        <w:rPr>
          <w:color w:val="231F20"/>
        </w:rPr>
        <w:t>Strategic Goal</w:t>
      </w:r>
    </w:p>
    <w:p w14:paraId="52CB77A9" w14:textId="77777777" w:rsidR="009948F1" w:rsidRDefault="00BC0563">
      <w:pPr>
        <w:pStyle w:val="BodyText"/>
        <w:spacing w:before="23" w:line="261" w:lineRule="auto"/>
        <w:ind w:left="857" w:right="172" w:hanging="706"/>
        <w:jc w:val="both"/>
      </w:pPr>
      <w:r>
        <w:rPr>
          <w:color w:val="231F20"/>
        </w:rPr>
        <w:t>I. To utilize research to inform policy and programming for improved performance of the health sector and better health outcomes; and also contribute to global health knowledge production.</w:t>
      </w:r>
    </w:p>
    <w:p w14:paraId="62BA7605" w14:textId="77777777" w:rsidR="009948F1" w:rsidRDefault="009948F1">
      <w:pPr>
        <w:pStyle w:val="BodyText"/>
      </w:pPr>
    </w:p>
    <w:p w14:paraId="264E7FAD" w14:textId="77777777" w:rsidR="009948F1" w:rsidRDefault="00BC0563">
      <w:pPr>
        <w:spacing w:before="150"/>
        <w:ind w:left="289"/>
        <w:rPr>
          <w:b/>
          <w:sz w:val="23"/>
        </w:rPr>
      </w:pPr>
      <w:r>
        <w:rPr>
          <w:b/>
          <w:color w:val="231F20"/>
          <w:sz w:val="23"/>
        </w:rPr>
        <w:t>Strategic Objectives</w:t>
      </w:r>
    </w:p>
    <w:p w14:paraId="2C84CBDE" w14:textId="77777777" w:rsidR="009948F1" w:rsidRDefault="00BC0563">
      <w:pPr>
        <w:spacing w:before="39" w:line="278" w:lineRule="auto"/>
        <w:ind w:left="289"/>
        <w:rPr>
          <w:b/>
          <w:sz w:val="23"/>
        </w:rPr>
      </w:pPr>
      <w:r>
        <w:rPr>
          <w:b/>
          <w:color w:val="231F20"/>
          <w:sz w:val="23"/>
        </w:rPr>
        <w:t>6.13.1</w:t>
      </w:r>
      <w:r>
        <w:rPr>
          <w:b/>
          <w:color w:val="231F20"/>
          <w:spacing w:val="-27"/>
          <w:sz w:val="23"/>
        </w:rPr>
        <w:t xml:space="preserve"> </w:t>
      </w:r>
      <w:r>
        <w:rPr>
          <w:b/>
          <w:color w:val="231F20"/>
          <w:spacing w:val="-9"/>
          <w:sz w:val="23"/>
        </w:rPr>
        <w:t>To</w:t>
      </w:r>
      <w:r>
        <w:rPr>
          <w:b/>
          <w:color w:val="231F20"/>
          <w:spacing w:val="-27"/>
          <w:sz w:val="23"/>
        </w:rPr>
        <w:t xml:space="preserve"> </w:t>
      </w:r>
      <w:r>
        <w:rPr>
          <w:b/>
          <w:color w:val="231F20"/>
          <w:sz w:val="23"/>
        </w:rPr>
        <w:t>significantly</w:t>
      </w:r>
      <w:r>
        <w:rPr>
          <w:b/>
          <w:color w:val="231F20"/>
          <w:spacing w:val="-28"/>
          <w:sz w:val="23"/>
        </w:rPr>
        <w:t xml:space="preserve"> </w:t>
      </w:r>
      <w:r>
        <w:rPr>
          <w:b/>
          <w:color w:val="231F20"/>
          <w:sz w:val="23"/>
        </w:rPr>
        <w:t>contribute</w:t>
      </w:r>
      <w:r>
        <w:rPr>
          <w:b/>
          <w:color w:val="231F20"/>
          <w:spacing w:val="-27"/>
          <w:sz w:val="23"/>
        </w:rPr>
        <w:t xml:space="preserve"> </w:t>
      </w:r>
      <w:r>
        <w:rPr>
          <w:b/>
          <w:color w:val="231F20"/>
          <w:sz w:val="23"/>
        </w:rPr>
        <w:t>to</w:t>
      </w:r>
      <w:r>
        <w:rPr>
          <w:b/>
          <w:color w:val="231F20"/>
          <w:spacing w:val="-28"/>
          <w:sz w:val="23"/>
        </w:rPr>
        <w:t xml:space="preserve"> </w:t>
      </w:r>
      <w:r>
        <w:rPr>
          <w:b/>
          <w:color w:val="231F20"/>
          <w:sz w:val="23"/>
        </w:rPr>
        <w:t>the</w:t>
      </w:r>
      <w:r>
        <w:rPr>
          <w:b/>
          <w:color w:val="231F20"/>
          <w:spacing w:val="-28"/>
          <w:sz w:val="23"/>
        </w:rPr>
        <w:t xml:space="preserve"> </w:t>
      </w:r>
      <w:r>
        <w:rPr>
          <w:b/>
          <w:color w:val="231F20"/>
          <w:sz w:val="23"/>
        </w:rPr>
        <w:t>overall</w:t>
      </w:r>
      <w:r>
        <w:rPr>
          <w:b/>
          <w:color w:val="231F20"/>
          <w:spacing w:val="-27"/>
          <w:sz w:val="23"/>
        </w:rPr>
        <w:t xml:space="preserve"> </w:t>
      </w:r>
      <w:r>
        <w:rPr>
          <w:b/>
          <w:color w:val="231F20"/>
          <w:sz w:val="23"/>
        </w:rPr>
        <w:t>improvement</w:t>
      </w:r>
      <w:r>
        <w:rPr>
          <w:b/>
          <w:color w:val="231F20"/>
          <w:spacing w:val="-28"/>
          <w:sz w:val="23"/>
        </w:rPr>
        <w:t xml:space="preserve"> </w:t>
      </w:r>
      <w:r>
        <w:rPr>
          <w:b/>
          <w:color w:val="231F20"/>
          <w:sz w:val="23"/>
        </w:rPr>
        <w:t>of</w:t>
      </w:r>
      <w:r>
        <w:rPr>
          <w:b/>
          <w:color w:val="231F20"/>
          <w:spacing w:val="-27"/>
          <w:sz w:val="23"/>
        </w:rPr>
        <w:t xml:space="preserve"> </w:t>
      </w:r>
      <w:r>
        <w:rPr>
          <w:b/>
          <w:color w:val="231F20"/>
          <w:sz w:val="23"/>
        </w:rPr>
        <w:t>the</w:t>
      </w:r>
      <w:r>
        <w:rPr>
          <w:b/>
          <w:color w:val="231F20"/>
          <w:spacing w:val="-28"/>
          <w:sz w:val="23"/>
        </w:rPr>
        <w:t xml:space="preserve"> </w:t>
      </w:r>
      <w:r>
        <w:rPr>
          <w:b/>
          <w:color w:val="231F20"/>
          <w:sz w:val="23"/>
        </w:rPr>
        <w:t>performance</w:t>
      </w:r>
      <w:r>
        <w:rPr>
          <w:b/>
          <w:color w:val="231F20"/>
          <w:spacing w:val="-27"/>
          <w:sz w:val="23"/>
        </w:rPr>
        <w:t xml:space="preserve"> </w:t>
      </w:r>
      <w:r>
        <w:rPr>
          <w:b/>
          <w:color w:val="231F20"/>
          <w:sz w:val="23"/>
        </w:rPr>
        <w:t>of</w:t>
      </w:r>
      <w:r>
        <w:rPr>
          <w:b/>
          <w:color w:val="231F20"/>
          <w:spacing w:val="-28"/>
          <w:sz w:val="23"/>
        </w:rPr>
        <w:t xml:space="preserve"> </w:t>
      </w:r>
      <w:r>
        <w:rPr>
          <w:b/>
          <w:color w:val="231F20"/>
          <w:sz w:val="23"/>
        </w:rPr>
        <w:t>the Rivers State health</w:t>
      </w:r>
      <w:r>
        <w:rPr>
          <w:b/>
          <w:color w:val="231F20"/>
          <w:spacing w:val="-15"/>
          <w:sz w:val="23"/>
        </w:rPr>
        <w:t xml:space="preserve"> </w:t>
      </w:r>
      <w:r>
        <w:rPr>
          <w:b/>
          <w:color w:val="231F20"/>
          <w:sz w:val="23"/>
        </w:rPr>
        <w:t>system.</w:t>
      </w:r>
    </w:p>
    <w:p w14:paraId="7D8DCA14" w14:textId="77777777" w:rsidR="009948F1" w:rsidRDefault="00BC0563">
      <w:pPr>
        <w:spacing w:before="127"/>
        <w:ind w:left="289"/>
        <w:rPr>
          <w:b/>
          <w:sz w:val="23"/>
        </w:rPr>
      </w:pPr>
      <w:r>
        <w:rPr>
          <w:b/>
          <w:color w:val="231F20"/>
          <w:sz w:val="23"/>
        </w:rPr>
        <w:t>Targets</w:t>
      </w:r>
    </w:p>
    <w:p w14:paraId="438E5794" w14:textId="77777777" w:rsidR="009948F1" w:rsidRDefault="009948F1">
      <w:pPr>
        <w:pStyle w:val="BodyText"/>
        <w:spacing w:before="5"/>
        <w:rPr>
          <w:b/>
        </w:rPr>
      </w:pPr>
    </w:p>
    <w:tbl>
      <w:tblPr>
        <w:tblW w:w="0" w:type="auto"/>
        <w:tblInd w:w="1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92"/>
        <w:gridCol w:w="1216"/>
        <w:gridCol w:w="750"/>
        <w:gridCol w:w="750"/>
        <w:gridCol w:w="750"/>
        <w:gridCol w:w="753"/>
        <w:gridCol w:w="658"/>
        <w:gridCol w:w="988"/>
      </w:tblGrid>
      <w:tr w:rsidR="009948F1" w14:paraId="51B2A350" w14:textId="77777777">
        <w:trPr>
          <w:trHeight w:val="193"/>
        </w:trPr>
        <w:tc>
          <w:tcPr>
            <w:tcW w:w="3392" w:type="dxa"/>
            <w:tcBorders>
              <w:left w:val="single" w:sz="6" w:space="0" w:color="231F20"/>
              <w:right w:val="single" w:sz="6" w:space="0" w:color="231F20"/>
            </w:tcBorders>
            <w:shd w:val="clear" w:color="auto" w:fill="F4CEB2"/>
          </w:tcPr>
          <w:p w14:paraId="46C29B69" w14:textId="77777777" w:rsidR="009948F1" w:rsidRDefault="00BC0563">
            <w:pPr>
              <w:pStyle w:val="TableParagraph"/>
              <w:spacing w:line="173" w:lineRule="exact"/>
              <w:ind w:left="112"/>
              <w:rPr>
                <w:sz w:val="17"/>
              </w:rPr>
            </w:pPr>
            <w:r>
              <w:rPr>
                <w:color w:val="231F20"/>
                <w:w w:val="115"/>
                <w:sz w:val="17"/>
              </w:rPr>
              <w:t>Targets</w:t>
            </w:r>
          </w:p>
        </w:tc>
        <w:tc>
          <w:tcPr>
            <w:tcW w:w="1216" w:type="dxa"/>
            <w:tcBorders>
              <w:left w:val="single" w:sz="6" w:space="0" w:color="231F20"/>
              <w:right w:val="single" w:sz="6" w:space="0" w:color="231F20"/>
            </w:tcBorders>
            <w:shd w:val="clear" w:color="auto" w:fill="F4CEB2"/>
          </w:tcPr>
          <w:p w14:paraId="32D0F266" w14:textId="77777777" w:rsidR="009948F1" w:rsidRDefault="00BC0563">
            <w:pPr>
              <w:pStyle w:val="TableParagraph"/>
              <w:spacing w:line="173" w:lineRule="exact"/>
              <w:ind w:left="112"/>
              <w:rPr>
                <w:sz w:val="17"/>
              </w:rPr>
            </w:pPr>
            <w:r>
              <w:rPr>
                <w:color w:val="231F20"/>
                <w:w w:val="115"/>
                <w:sz w:val="17"/>
              </w:rPr>
              <w:t>Baseline</w:t>
            </w:r>
          </w:p>
        </w:tc>
        <w:tc>
          <w:tcPr>
            <w:tcW w:w="750" w:type="dxa"/>
            <w:tcBorders>
              <w:left w:val="single" w:sz="6" w:space="0" w:color="231F20"/>
              <w:right w:val="single" w:sz="6" w:space="0" w:color="231F20"/>
            </w:tcBorders>
            <w:shd w:val="clear" w:color="auto" w:fill="F4CEB2"/>
          </w:tcPr>
          <w:p w14:paraId="14EFF213" w14:textId="77777777" w:rsidR="009948F1" w:rsidRDefault="00BC0563">
            <w:pPr>
              <w:pStyle w:val="TableParagraph"/>
              <w:spacing w:line="173" w:lineRule="exact"/>
              <w:ind w:left="112"/>
              <w:rPr>
                <w:b/>
                <w:sz w:val="17"/>
              </w:rPr>
            </w:pPr>
            <w:r>
              <w:rPr>
                <w:b/>
                <w:color w:val="231F20"/>
                <w:w w:val="115"/>
                <w:sz w:val="17"/>
              </w:rPr>
              <w:t>2018</w:t>
            </w:r>
          </w:p>
        </w:tc>
        <w:tc>
          <w:tcPr>
            <w:tcW w:w="750" w:type="dxa"/>
            <w:tcBorders>
              <w:left w:val="single" w:sz="6" w:space="0" w:color="231F20"/>
              <w:right w:val="single" w:sz="6" w:space="0" w:color="231F20"/>
            </w:tcBorders>
            <w:shd w:val="clear" w:color="auto" w:fill="F4CEB2"/>
          </w:tcPr>
          <w:p w14:paraId="54266D29" w14:textId="77777777" w:rsidR="009948F1" w:rsidRDefault="00BC0563">
            <w:pPr>
              <w:pStyle w:val="TableParagraph"/>
              <w:spacing w:line="173" w:lineRule="exact"/>
              <w:ind w:left="110"/>
              <w:rPr>
                <w:b/>
                <w:sz w:val="17"/>
              </w:rPr>
            </w:pPr>
            <w:r>
              <w:rPr>
                <w:b/>
                <w:color w:val="231F20"/>
                <w:w w:val="115"/>
                <w:sz w:val="17"/>
              </w:rPr>
              <w:t>2019</w:t>
            </w:r>
          </w:p>
        </w:tc>
        <w:tc>
          <w:tcPr>
            <w:tcW w:w="750" w:type="dxa"/>
            <w:tcBorders>
              <w:left w:val="single" w:sz="6" w:space="0" w:color="231F20"/>
              <w:right w:val="single" w:sz="6" w:space="0" w:color="231F20"/>
            </w:tcBorders>
            <w:shd w:val="clear" w:color="auto" w:fill="F4CEB2"/>
          </w:tcPr>
          <w:p w14:paraId="6136A8D1" w14:textId="77777777" w:rsidR="009948F1" w:rsidRDefault="00BC0563">
            <w:pPr>
              <w:pStyle w:val="TableParagraph"/>
              <w:spacing w:line="173" w:lineRule="exact"/>
              <w:ind w:left="113"/>
              <w:rPr>
                <w:b/>
                <w:sz w:val="17"/>
              </w:rPr>
            </w:pPr>
            <w:r>
              <w:rPr>
                <w:b/>
                <w:color w:val="231F20"/>
                <w:w w:val="115"/>
                <w:sz w:val="17"/>
              </w:rPr>
              <w:t>2020</w:t>
            </w:r>
          </w:p>
        </w:tc>
        <w:tc>
          <w:tcPr>
            <w:tcW w:w="753" w:type="dxa"/>
            <w:tcBorders>
              <w:left w:val="single" w:sz="6" w:space="0" w:color="231F20"/>
              <w:right w:val="single" w:sz="6" w:space="0" w:color="231F20"/>
            </w:tcBorders>
            <w:shd w:val="clear" w:color="auto" w:fill="F4CEB2"/>
          </w:tcPr>
          <w:p w14:paraId="08F73B7C" w14:textId="77777777" w:rsidR="009948F1" w:rsidRDefault="00BC0563">
            <w:pPr>
              <w:pStyle w:val="TableParagraph"/>
              <w:spacing w:line="173" w:lineRule="exact"/>
              <w:ind w:left="113"/>
              <w:rPr>
                <w:b/>
                <w:sz w:val="17"/>
              </w:rPr>
            </w:pPr>
            <w:r>
              <w:rPr>
                <w:b/>
                <w:color w:val="231F20"/>
                <w:w w:val="115"/>
                <w:sz w:val="17"/>
              </w:rPr>
              <w:t>2021</w:t>
            </w:r>
          </w:p>
        </w:tc>
        <w:tc>
          <w:tcPr>
            <w:tcW w:w="658" w:type="dxa"/>
            <w:tcBorders>
              <w:left w:val="single" w:sz="6" w:space="0" w:color="231F20"/>
              <w:right w:val="single" w:sz="6" w:space="0" w:color="231F20"/>
            </w:tcBorders>
            <w:shd w:val="clear" w:color="auto" w:fill="F4CEB2"/>
          </w:tcPr>
          <w:p w14:paraId="0FB1CA8F" w14:textId="77777777" w:rsidR="009948F1" w:rsidRDefault="00BC0563">
            <w:pPr>
              <w:pStyle w:val="TableParagraph"/>
              <w:spacing w:line="173" w:lineRule="exact"/>
              <w:ind w:left="110"/>
              <w:rPr>
                <w:b/>
                <w:sz w:val="17"/>
              </w:rPr>
            </w:pPr>
            <w:r>
              <w:rPr>
                <w:b/>
                <w:color w:val="231F20"/>
                <w:w w:val="115"/>
                <w:sz w:val="17"/>
              </w:rPr>
              <w:t>2022</w:t>
            </w:r>
          </w:p>
        </w:tc>
        <w:tc>
          <w:tcPr>
            <w:tcW w:w="988" w:type="dxa"/>
            <w:tcBorders>
              <w:left w:val="single" w:sz="6" w:space="0" w:color="231F20"/>
              <w:right w:val="single" w:sz="6" w:space="0" w:color="231F20"/>
            </w:tcBorders>
            <w:shd w:val="clear" w:color="auto" w:fill="F4CEB2"/>
          </w:tcPr>
          <w:p w14:paraId="32B48081" w14:textId="77777777" w:rsidR="009948F1" w:rsidRDefault="00BC0563">
            <w:pPr>
              <w:pStyle w:val="TableParagraph"/>
              <w:spacing w:line="173" w:lineRule="exact"/>
              <w:ind w:left="112"/>
              <w:rPr>
                <w:b/>
                <w:sz w:val="17"/>
              </w:rPr>
            </w:pPr>
            <w:r>
              <w:rPr>
                <w:b/>
                <w:color w:val="231F20"/>
                <w:w w:val="115"/>
                <w:sz w:val="17"/>
              </w:rPr>
              <w:t>National</w:t>
            </w:r>
          </w:p>
        </w:tc>
      </w:tr>
      <w:tr w:rsidR="009948F1" w14:paraId="758F413B" w14:textId="77777777">
        <w:trPr>
          <w:trHeight w:val="578"/>
        </w:trPr>
        <w:tc>
          <w:tcPr>
            <w:tcW w:w="3392" w:type="dxa"/>
            <w:tcBorders>
              <w:left w:val="single" w:sz="6" w:space="0" w:color="231F20"/>
              <w:right w:val="single" w:sz="12" w:space="0" w:color="231F20"/>
            </w:tcBorders>
          </w:tcPr>
          <w:p w14:paraId="4D3014B8" w14:textId="77777777" w:rsidR="009948F1" w:rsidRDefault="00BC0563">
            <w:pPr>
              <w:pStyle w:val="TableParagraph"/>
              <w:spacing w:before="4" w:line="194" w:lineRule="exact"/>
              <w:ind w:left="112" w:right="75"/>
              <w:rPr>
                <w:sz w:val="17"/>
              </w:rPr>
            </w:pPr>
            <w:r>
              <w:rPr>
                <w:color w:val="231F20"/>
                <w:w w:val="115"/>
                <w:sz w:val="17"/>
              </w:rPr>
              <w:t>State has health/ research institution with functional ethics review committees</w:t>
            </w:r>
          </w:p>
        </w:tc>
        <w:tc>
          <w:tcPr>
            <w:tcW w:w="1216" w:type="dxa"/>
            <w:tcBorders>
              <w:left w:val="single" w:sz="12" w:space="0" w:color="231F20"/>
              <w:bottom w:val="single" w:sz="8" w:space="0" w:color="231F20"/>
              <w:right w:val="single" w:sz="12" w:space="0" w:color="231F20"/>
            </w:tcBorders>
          </w:tcPr>
          <w:p w14:paraId="4897BCD2" w14:textId="77777777" w:rsidR="009948F1" w:rsidRDefault="00BC0563">
            <w:pPr>
              <w:pStyle w:val="TableParagraph"/>
              <w:ind w:left="105"/>
              <w:rPr>
                <w:sz w:val="17"/>
              </w:rPr>
            </w:pPr>
            <w:r>
              <w:rPr>
                <w:color w:val="231F20"/>
                <w:w w:val="115"/>
                <w:sz w:val="17"/>
              </w:rPr>
              <w:t>TBD</w:t>
            </w:r>
          </w:p>
        </w:tc>
        <w:tc>
          <w:tcPr>
            <w:tcW w:w="750" w:type="dxa"/>
            <w:tcBorders>
              <w:left w:val="single" w:sz="12" w:space="0" w:color="231F20"/>
              <w:bottom w:val="single" w:sz="8" w:space="0" w:color="231F20"/>
              <w:right w:val="single" w:sz="12" w:space="0" w:color="231F20"/>
            </w:tcBorders>
          </w:tcPr>
          <w:p w14:paraId="0033A64D" w14:textId="77777777" w:rsidR="009948F1" w:rsidRDefault="00BC0563">
            <w:pPr>
              <w:pStyle w:val="TableParagraph"/>
              <w:ind w:left="105"/>
              <w:rPr>
                <w:sz w:val="17"/>
              </w:rPr>
            </w:pPr>
            <w:r>
              <w:rPr>
                <w:color w:val="231F20"/>
                <w:w w:val="115"/>
                <w:sz w:val="17"/>
              </w:rPr>
              <w:t>25</w:t>
            </w:r>
          </w:p>
        </w:tc>
        <w:tc>
          <w:tcPr>
            <w:tcW w:w="750" w:type="dxa"/>
            <w:tcBorders>
              <w:left w:val="single" w:sz="12" w:space="0" w:color="231F20"/>
              <w:right w:val="single" w:sz="6" w:space="0" w:color="231F20"/>
            </w:tcBorders>
          </w:tcPr>
          <w:p w14:paraId="587F7B90" w14:textId="77777777" w:rsidR="009948F1" w:rsidRDefault="00BC0563">
            <w:pPr>
              <w:pStyle w:val="TableParagraph"/>
              <w:ind w:left="102"/>
              <w:rPr>
                <w:sz w:val="17"/>
              </w:rPr>
            </w:pPr>
            <w:r>
              <w:rPr>
                <w:color w:val="231F20"/>
                <w:w w:val="115"/>
                <w:sz w:val="17"/>
              </w:rPr>
              <w:t>30</w:t>
            </w:r>
          </w:p>
        </w:tc>
        <w:tc>
          <w:tcPr>
            <w:tcW w:w="750" w:type="dxa"/>
            <w:tcBorders>
              <w:left w:val="single" w:sz="6" w:space="0" w:color="231F20"/>
              <w:right w:val="single" w:sz="6" w:space="0" w:color="231F20"/>
            </w:tcBorders>
          </w:tcPr>
          <w:p w14:paraId="2DB427DF" w14:textId="77777777" w:rsidR="009948F1" w:rsidRDefault="00BC0563">
            <w:pPr>
              <w:pStyle w:val="TableParagraph"/>
              <w:ind w:left="113"/>
              <w:rPr>
                <w:sz w:val="17"/>
              </w:rPr>
            </w:pPr>
            <w:r>
              <w:rPr>
                <w:color w:val="231F20"/>
                <w:w w:val="115"/>
                <w:sz w:val="17"/>
              </w:rPr>
              <w:t>40</w:t>
            </w:r>
          </w:p>
        </w:tc>
        <w:tc>
          <w:tcPr>
            <w:tcW w:w="753" w:type="dxa"/>
            <w:tcBorders>
              <w:left w:val="single" w:sz="6" w:space="0" w:color="231F20"/>
              <w:right w:val="single" w:sz="6" w:space="0" w:color="231F20"/>
            </w:tcBorders>
          </w:tcPr>
          <w:p w14:paraId="736A4EBB" w14:textId="77777777" w:rsidR="009948F1" w:rsidRDefault="00BC0563">
            <w:pPr>
              <w:pStyle w:val="TableParagraph"/>
              <w:ind w:left="113"/>
              <w:rPr>
                <w:sz w:val="17"/>
              </w:rPr>
            </w:pPr>
            <w:r>
              <w:rPr>
                <w:color w:val="231F20"/>
                <w:w w:val="115"/>
                <w:sz w:val="17"/>
              </w:rPr>
              <w:t>45</w:t>
            </w:r>
          </w:p>
        </w:tc>
        <w:tc>
          <w:tcPr>
            <w:tcW w:w="658" w:type="dxa"/>
            <w:tcBorders>
              <w:left w:val="single" w:sz="6" w:space="0" w:color="231F20"/>
              <w:right w:val="single" w:sz="6" w:space="0" w:color="231F20"/>
            </w:tcBorders>
          </w:tcPr>
          <w:p w14:paraId="505B4907" w14:textId="77777777" w:rsidR="009948F1" w:rsidRDefault="00BC0563">
            <w:pPr>
              <w:pStyle w:val="TableParagraph"/>
              <w:ind w:left="110"/>
              <w:rPr>
                <w:sz w:val="17"/>
              </w:rPr>
            </w:pPr>
            <w:r>
              <w:rPr>
                <w:color w:val="231F20"/>
                <w:w w:val="115"/>
                <w:sz w:val="17"/>
              </w:rPr>
              <w:t>50</w:t>
            </w:r>
          </w:p>
        </w:tc>
        <w:tc>
          <w:tcPr>
            <w:tcW w:w="988" w:type="dxa"/>
            <w:tcBorders>
              <w:left w:val="single" w:sz="6" w:space="0" w:color="231F20"/>
              <w:right w:val="single" w:sz="6" w:space="0" w:color="231F20"/>
            </w:tcBorders>
          </w:tcPr>
          <w:p w14:paraId="590D7D5D" w14:textId="77777777" w:rsidR="009948F1" w:rsidRDefault="00BC0563">
            <w:pPr>
              <w:pStyle w:val="TableParagraph"/>
              <w:ind w:left="112"/>
              <w:rPr>
                <w:sz w:val="17"/>
              </w:rPr>
            </w:pPr>
            <w:r>
              <w:rPr>
                <w:color w:val="231F20"/>
                <w:w w:val="115"/>
                <w:sz w:val="17"/>
              </w:rPr>
              <w:t>100%</w:t>
            </w:r>
          </w:p>
        </w:tc>
      </w:tr>
      <w:tr w:rsidR="009948F1" w14:paraId="7B757A6D" w14:textId="77777777">
        <w:trPr>
          <w:trHeight w:val="1554"/>
        </w:trPr>
        <w:tc>
          <w:tcPr>
            <w:tcW w:w="3392" w:type="dxa"/>
            <w:tcBorders>
              <w:left w:val="single" w:sz="6" w:space="0" w:color="231F20"/>
              <w:right w:val="single" w:sz="12" w:space="0" w:color="231F20"/>
            </w:tcBorders>
          </w:tcPr>
          <w:p w14:paraId="13C67C95" w14:textId="77777777" w:rsidR="009948F1" w:rsidRDefault="00BC0563">
            <w:pPr>
              <w:pStyle w:val="TableParagraph"/>
              <w:spacing w:line="237" w:lineRule="auto"/>
              <w:ind w:left="112" w:right="118"/>
              <w:rPr>
                <w:sz w:val="17"/>
              </w:rPr>
            </w:pPr>
            <w:r>
              <w:rPr>
                <w:color w:val="231F20"/>
                <w:w w:val="115"/>
                <w:sz w:val="17"/>
              </w:rPr>
              <w:t>Percent of health institutions at various levels of government that spend at least 2% of their health budget for research/ State health MDAs and training institutions allocate 2% of their health budget to research</w:t>
            </w:r>
          </w:p>
        </w:tc>
        <w:tc>
          <w:tcPr>
            <w:tcW w:w="1216" w:type="dxa"/>
            <w:tcBorders>
              <w:top w:val="single" w:sz="8" w:space="0" w:color="231F20"/>
              <w:left w:val="single" w:sz="12" w:space="0" w:color="231F20"/>
              <w:bottom w:val="single" w:sz="8" w:space="0" w:color="231F20"/>
              <w:right w:val="single" w:sz="12" w:space="0" w:color="231F20"/>
            </w:tcBorders>
          </w:tcPr>
          <w:p w14:paraId="40A61541" w14:textId="77777777" w:rsidR="009948F1" w:rsidRDefault="00BC0563">
            <w:pPr>
              <w:pStyle w:val="TableParagraph"/>
              <w:spacing w:line="192" w:lineRule="exact"/>
              <w:ind w:left="105"/>
              <w:rPr>
                <w:sz w:val="17"/>
              </w:rPr>
            </w:pPr>
            <w:r>
              <w:rPr>
                <w:color w:val="231F20"/>
                <w:w w:val="115"/>
                <w:sz w:val="17"/>
              </w:rPr>
              <w:t>TBD</w:t>
            </w:r>
          </w:p>
        </w:tc>
        <w:tc>
          <w:tcPr>
            <w:tcW w:w="750" w:type="dxa"/>
            <w:tcBorders>
              <w:top w:val="single" w:sz="8" w:space="0" w:color="231F20"/>
              <w:left w:val="single" w:sz="12" w:space="0" w:color="231F20"/>
              <w:bottom w:val="single" w:sz="8" w:space="0" w:color="231F20"/>
              <w:right w:val="single" w:sz="12" w:space="0" w:color="231F20"/>
            </w:tcBorders>
          </w:tcPr>
          <w:p w14:paraId="3E8A3023" w14:textId="77777777" w:rsidR="009948F1" w:rsidRDefault="00BC0563">
            <w:pPr>
              <w:pStyle w:val="TableParagraph"/>
              <w:spacing w:line="192" w:lineRule="exact"/>
              <w:ind w:left="105"/>
              <w:rPr>
                <w:sz w:val="17"/>
              </w:rPr>
            </w:pPr>
            <w:r>
              <w:rPr>
                <w:color w:val="231F20"/>
                <w:w w:val="112"/>
                <w:sz w:val="17"/>
              </w:rPr>
              <w:t>1</w:t>
            </w:r>
          </w:p>
        </w:tc>
        <w:tc>
          <w:tcPr>
            <w:tcW w:w="750" w:type="dxa"/>
            <w:tcBorders>
              <w:left w:val="single" w:sz="12" w:space="0" w:color="231F20"/>
              <w:right w:val="single" w:sz="6" w:space="0" w:color="231F20"/>
            </w:tcBorders>
          </w:tcPr>
          <w:p w14:paraId="56657A2B" w14:textId="77777777" w:rsidR="009948F1" w:rsidRDefault="00BC0563">
            <w:pPr>
              <w:pStyle w:val="TableParagraph"/>
              <w:spacing w:line="192" w:lineRule="exact"/>
              <w:ind w:left="102"/>
              <w:rPr>
                <w:sz w:val="17"/>
              </w:rPr>
            </w:pPr>
            <w:r>
              <w:rPr>
                <w:color w:val="231F20"/>
                <w:w w:val="112"/>
                <w:sz w:val="17"/>
              </w:rPr>
              <w:t>2</w:t>
            </w:r>
          </w:p>
        </w:tc>
        <w:tc>
          <w:tcPr>
            <w:tcW w:w="750" w:type="dxa"/>
            <w:tcBorders>
              <w:left w:val="single" w:sz="6" w:space="0" w:color="231F20"/>
              <w:right w:val="single" w:sz="6" w:space="0" w:color="231F20"/>
            </w:tcBorders>
          </w:tcPr>
          <w:p w14:paraId="0E0C9A17" w14:textId="77777777" w:rsidR="009948F1" w:rsidRDefault="00BC0563">
            <w:pPr>
              <w:pStyle w:val="TableParagraph"/>
              <w:spacing w:line="192" w:lineRule="exact"/>
              <w:ind w:left="113"/>
              <w:rPr>
                <w:sz w:val="17"/>
              </w:rPr>
            </w:pPr>
            <w:r>
              <w:rPr>
                <w:color w:val="231F20"/>
                <w:w w:val="112"/>
                <w:sz w:val="17"/>
              </w:rPr>
              <w:t>3</w:t>
            </w:r>
          </w:p>
        </w:tc>
        <w:tc>
          <w:tcPr>
            <w:tcW w:w="753" w:type="dxa"/>
            <w:tcBorders>
              <w:left w:val="single" w:sz="6" w:space="0" w:color="231F20"/>
              <w:right w:val="single" w:sz="6" w:space="0" w:color="231F20"/>
            </w:tcBorders>
          </w:tcPr>
          <w:p w14:paraId="14802F5D" w14:textId="77777777" w:rsidR="009948F1" w:rsidRDefault="00BC0563">
            <w:pPr>
              <w:pStyle w:val="TableParagraph"/>
              <w:spacing w:line="192" w:lineRule="exact"/>
              <w:ind w:left="113"/>
              <w:rPr>
                <w:sz w:val="17"/>
              </w:rPr>
            </w:pPr>
            <w:r>
              <w:rPr>
                <w:color w:val="231F20"/>
                <w:w w:val="112"/>
                <w:sz w:val="17"/>
              </w:rPr>
              <w:t>4</w:t>
            </w:r>
          </w:p>
        </w:tc>
        <w:tc>
          <w:tcPr>
            <w:tcW w:w="658" w:type="dxa"/>
            <w:tcBorders>
              <w:left w:val="single" w:sz="6" w:space="0" w:color="231F20"/>
              <w:right w:val="single" w:sz="6" w:space="0" w:color="231F20"/>
            </w:tcBorders>
          </w:tcPr>
          <w:p w14:paraId="14A5AF72" w14:textId="77777777" w:rsidR="009948F1" w:rsidRDefault="00BC0563">
            <w:pPr>
              <w:pStyle w:val="TableParagraph"/>
              <w:spacing w:line="192" w:lineRule="exact"/>
              <w:ind w:left="110"/>
              <w:rPr>
                <w:sz w:val="17"/>
              </w:rPr>
            </w:pPr>
            <w:r>
              <w:rPr>
                <w:color w:val="231F20"/>
                <w:w w:val="112"/>
                <w:sz w:val="17"/>
              </w:rPr>
              <w:t>5</w:t>
            </w:r>
          </w:p>
        </w:tc>
        <w:tc>
          <w:tcPr>
            <w:tcW w:w="988" w:type="dxa"/>
            <w:tcBorders>
              <w:left w:val="single" w:sz="6" w:space="0" w:color="231F20"/>
              <w:right w:val="single" w:sz="6" w:space="0" w:color="231F20"/>
            </w:tcBorders>
          </w:tcPr>
          <w:p w14:paraId="334865C8" w14:textId="77777777" w:rsidR="009948F1" w:rsidRDefault="00BC0563">
            <w:pPr>
              <w:pStyle w:val="TableParagraph"/>
              <w:spacing w:line="192" w:lineRule="exact"/>
              <w:ind w:left="112"/>
              <w:rPr>
                <w:sz w:val="17"/>
              </w:rPr>
            </w:pPr>
            <w:r>
              <w:rPr>
                <w:color w:val="231F20"/>
                <w:w w:val="115"/>
                <w:sz w:val="17"/>
              </w:rPr>
              <w:t>40%</w:t>
            </w:r>
          </w:p>
        </w:tc>
      </w:tr>
      <w:tr w:rsidR="009948F1" w14:paraId="2173F917" w14:textId="77777777">
        <w:trPr>
          <w:trHeight w:val="584"/>
        </w:trPr>
        <w:tc>
          <w:tcPr>
            <w:tcW w:w="3392" w:type="dxa"/>
            <w:tcBorders>
              <w:left w:val="single" w:sz="6" w:space="0" w:color="231F20"/>
              <w:right w:val="single" w:sz="12" w:space="0" w:color="231F20"/>
            </w:tcBorders>
          </w:tcPr>
          <w:p w14:paraId="64E6A074" w14:textId="79D55D67" w:rsidR="009948F1" w:rsidRDefault="00F53DD2">
            <w:pPr>
              <w:pStyle w:val="TableParagraph"/>
              <w:spacing w:before="8" w:line="194" w:lineRule="exact"/>
              <w:ind w:left="112" w:right="75"/>
              <w:rPr>
                <w:sz w:val="17"/>
              </w:rPr>
            </w:pPr>
            <w:r>
              <w:rPr>
                <w:color w:val="231F20"/>
                <w:w w:val="115"/>
                <w:sz w:val="17"/>
              </w:rPr>
              <w:t>Percent of health resea</w:t>
            </w:r>
            <w:r w:rsidR="00BC0563">
              <w:rPr>
                <w:color w:val="231F20"/>
                <w:w w:val="115"/>
                <w:sz w:val="17"/>
              </w:rPr>
              <w:t>rch outputs that is responsive/aligned to jointly set national health priorities/agenda.</w:t>
            </w:r>
          </w:p>
        </w:tc>
        <w:tc>
          <w:tcPr>
            <w:tcW w:w="1216" w:type="dxa"/>
            <w:tcBorders>
              <w:top w:val="single" w:sz="8" w:space="0" w:color="231F20"/>
              <w:left w:val="single" w:sz="12" w:space="0" w:color="231F20"/>
              <w:bottom w:val="single" w:sz="8" w:space="0" w:color="231F20"/>
              <w:right w:val="single" w:sz="12" w:space="0" w:color="231F20"/>
            </w:tcBorders>
          </w:tcPr>
          <w:p w14:paraId="7EA681E4" w14:textId="77777777" w:rsidR="009948F1" w:rsidRDefault="00BC0563">
            <w:pPr>
              <w:pStyle w:val="TableParagraph"/>
              <w:spacing w:before="4"/>
              <w:ind w:left="105"/>
              <w:rPr>
                <w:sz w:val="17"/>
              </w:rPr>
            </w:pPr>
            <w:r>
              <w:rPr>
                <w:color w:val="231F20"/>
                <w:w w:val="115"/>
                <w:sz w:val="17"/>
              </w:rPr>
              <w:t>TBD</w:t>
            </w:r>
          </w:p>
        </w:tc>
        <w:tc>
          <w:tcPr>
            <w:tcW w:w="750" w:type="dxa"/>
            <w:tcBorders>
              <w:top w:val="single" w:sz="8" w:space="0" w:color="231F20"/>
              <w:left w:val="single" w:sz="12" w:space="0" w:color="231F20"/>
              <w:bottom w:val="single" w:sz="8" w:space="0" w:color="231F20"/>
              <w:right w:val="single" w:sz="12" w:space="0" w:color="231F20"/>
            </w:tcBorders>
          </w:tcPr>
          <w:p w14:paraId="54D1FC6A" w14:textId="77777777" w:rsidR="009948F1" w:rsidRDefault="00BC0563">
            <w:pPr>
              <w:pStyle w:val="TableParagraph"/>
              <w:spacing w:before="4"/>
              <w:ind w:left="105"/>
              <w:rPr>
                <w:sz w:val="17"/>
              </w:rPr>
            </w:pPr>
            <w:r>
              <w:rPr>
                <w:color w:val="231F20"/>
                <w:w w:val="112"/>
                <w:sz w:val="17"/>
              </w:rPr>
              <w:t>5</w:t>
            </w:r>
          </w:p>
        </w:tc>
        <w:tc>
          <w:tcPr>
            <w:tcW w:w="750" w:type="dxa"/>
            <w:tcBorders>
              <w:left w:val="single" w:sz="12" w:space="0" w:color="231F20"/>
              <w:right w:val="single" w:sz="6" w:space="0" w:color="231F20"/>
            </w:tcBorders>
          </w:tcPr>
          <w:p w14:paraId="16CD60A0" w14:textId="77777777" w:rsidR="009948F1" w:rsidRDefault="00BC0563">
            <w:pPr>
              <w:pStyle w:val="TableParagraph"/>
              <w:spacing w:before="4"/>
              <w:ind w:left="102"/>
              <w:rPr>
                <w:sz w:val="17"/>
              </w:rPr>
            </w:pPr>
            <w:r>
              <w:rPr>
                <w:color w:val="231F20"/>
                <w:w w:val="115"/>
                <w:sz w:val="17"/>
              </w:rPr>
              <w:t>10</w:t>
            </w:r>
          </w:p>
        </w:tc>
        <w:tc>
          <w:tcPr>
            <w:tcW w:w="750" w:type="dxa"/>
            <w:tcBorders>
              <w:left w:val="single" w:sz="6" w:space="0" w:color="231F20"/>
              <w:right w:val="single" w:sz="6" w:space="0" w:color="231F20"/>
            </w:tcBorders>
          </w:tcPr>
          <w:p w14:paraId="6000A61A" w14:textId="77777777" w:rsidR="009948F1" w:rsidRDefault="00BC0563">
            <w:pPr>
              <w:pStyle w:val="TableParagraph"/>
              <w:spacing w:before="4"/>
              <w:ind w:left="113"/>
              <w:rPr>
                <w:sz w:val="17"/>
              </w:rPr>
            </w:pPr>
            <w:r>
              <w:rPr>
                <w:color w:val="231F20"/>
                <w:w w:val="115"/>
                <w:sz w:val="17"/>
              </w:rPr>
              <w:t>15</w:t>
            </w:r>
          </w:p>
        </w:tc>
        <w:tc>
          <w:tcPr>
            <w:tcW w:w="753" w:type="dxa"/>
            <w:tcBorders>
              <w:left w:val="single" w:sz="6" w:space="0" w:color="231F20"/>
              <w:right w:val="single" w:sz="6" w:space="0" w:color="231F20"/>
            </w:tcBorders>
          </w:tcPr>
          <w:p w14:paraId="13F11455" w14:textId="77777777" w:rsidR="009948F1" w:rsidRDefault="00BC0563">
            <w:pPr>
              <w:pStyle w:val="TableParagraph"/>
              <w:spacing w:before="4"/>
              <w:ind w:left="113"/>
              <w:rPr>
                <w:sz w:val="17"/>
              </w:rPr>
            </w:pPr>
            <w:r>
              <w:rPr>
                <w:color w:val="231F20"/>
                <w:w w:val="115"/>
                <w:sz w:val="17"/>
              </w:rPr>
              <w:t>20</w:t>
            </w:r>
          </w:p>
        </w:tc>
        <w:tc>
          <w:tcPr>
            <w:tcW w:w="658" w:type="dxa"/>
            <w:tcBorders>
              <w:left w:val="single" w:sz="6" w:space="0" w:color="231F20"/>
              <w:right w:val="single" w:sz="6" w:space="0" w:color="231F20"/>
            </w:tcBorders>
          </w:tcPr>
          <w:p w14:paraId="22A5AF09" w14:textId="77777777" w:rsidR="009948F1" w:rsidRDefault="00BC0563">
            <w:pPr>
              <w:pStyle w:val="TableParagraph"/>
              <w:spacing w:before="4"/>
              <w:ind w:left="110"/>
              <w:rPr>
                <w:sz w:val="17"/>
              </w:rPr>
            </w:pPr>
            <w:r>
              <w:rPr>
                <w:color w:val="231F20"/>
                <w:w w:val="115"/>
                <w:sz w:val="17"/>
              </w:rPr>
              <w:t>25</w:t>
            </w:r>
          </w:p>
        </w:tc>
        <w:tc>
          <w:tcPr>
            <w:tcW w:w="988" w:type="dxa"/>
            <w:tcBorders>
              <w:left w:val="single" w:sz="6" w:space="0" w:color="231F20"/>
              <w:right w:val="single" w:sz="6" w:space="0" w:color="231F20"/>
            </w:tcBorders>
          </w:tcPr>
          <w:p w14:paraId="4938C1EA" w14:textId="77777777" w:rsidR="009948F1" w:rsidRDefault="00BC0563">
            <w:pPr>
              <w:pStyle w:val="TableParagraph"/>
              <w:spacing w:before="4"/>
              <w:ind w:left="112"/>
              <w:rPr>
                <w:sz w:val="17"/>
              </w:rPr>
            </w:pPr>
            <w:r>
              <w:rPr>
                <w:color w:val="231F20"/>
                <w:w w:val="115"/>
                <w:sz w:val="17"/>
              </w:rPr>
              <w:t>50%</w:t>
            </w:r>
          </w:p>
        </w:tc>
      </w:tr>
    </w:tbl>
    <w:p w14:paraId="79279AFA" w14:textId="77777777" w:rsidR="009948F1" w:rsidRDefault="009948F1">
      <w:pPr>
        <w:rPr>
          <w:sz w:val="17"/>
        </w:rPr>
        <w:sectPr w:rsidR="009948F1">
          <w:pgSz w:w="11910" w:h="16840"/>
          <w:pgMar w:top="1300" w:right="1080" w:bottom="1420" w:left="1120" w:header="0" w:footer="1235" w:gutter="0"/>
          <w:cols w:space="720"/>
        </w:sectPr>
      </w:pPr>
    </w:p>
    <w:p w14:paraId="7F716ECA" w14:textId="77777777" w:rsidR="009948F1" w:rsidRDefault="00BC0563">
      <w:pPr>
        <w:pStyle w:val="Heading7"/>
        <w:spacing w:before="46"/>
        <w:ind w:left="156"/>
      </w:pPr>
      <w:bookmarkStart w:id="101" w:name="Page_87"/>
      <w:bookmarkEnd w:id="101"/>
      <w:r>
        <w:rPr>
          <w:color w:val="231F20"/>
        </w:rPr>
        <w:lastRenderedPageBreak/>
        <w:t>Interventions</w:t>
      </w:r>
    </w:p>
    <w:p w14:paraId="3DB432E5" w14:textId="079D5A0C" w:rsidR="009948F1" w:rsidRDefault="00BC0563">
      <w:pPr>
        <w:pStyle w:val="ListParagraph"/>
        <w:numPr>
          <w:ilvl w:val="3"/>
          <w:numId w:val="264"/>
        </w:numPr>
        <w:tabs>
          <w:tab w:val="left" w:pos="1132"/>
        </w:tabs>
        <w:spacing w:before="36" w:line="273" w:lineRule="auto"/>
        <w:ind w:right="204" w:firstLine="0"/>
      </w:pPr>
      <w:r>
        <w:rPr>
          <w:color w:val="231F20"/>
        </w:rPr>
        <w:t xml:space="preserve">Strengthen coordination and regulatory mechanisms for health research </w:t>
      </w:r>
      <w:r>
        <w:rPr>
          <w:color w:val="231F20"/>
          <w:spacing w:val="-5"/>
        </w:rPr>
        <w:t xml:space="preserve">and </w:t>
      </w:r>
      <w:r>
        <w:rPr>
          <w:color w:val="231F20"/>
        </w:rPr>
        <w:t>development by all relevant stakeholders, in line with the National Health Act 2014. Key actions include - Strengthen the Research Unit of the Planning, Research, and Statistics Department (SMOH, RSPHCMB &amp; RSHMB) to provide stewardship on research, and harness research findings</w:t>
      </w:r>
      <w:r>
        <w:rPr>
          <w:color w:val="231F20"/>
          <w:spacing w:val="-10"/>
        </w:rPr>
        <w:t xml:space="preserve"> </w:t>
      </w:r>
      <w:r>
        <w:rPr>
          <w:color w:val="231F20"/>
        </w:rPr>
        <w:t>for</w:t>
      </w:r>
      <w:r>
        <w:rPr>
          <w:color w:val="231F20"/>
          <w:spacing w:val="-10"/>
        </w:rPr>
        <w:t xml:space="preserve"> </w:t>
      </w:r>
      <w:r>
        <w:rPr>
          <w:color w:val="231F20"/>
        </w:rPr>
        <w:t>decision-making;</w:t>
      </w:r>
      <w:r>
        <w:rPr>
          <w:color w:val="231F20"/>
          <w:spacing w:val="-10"/>
        </w:rPr>
        <w:t xml:space="preserve"> </w:t>
      </w:r>
      <w:r>
        <w:rPr>
          <w:color w:val="231F20"/>
        </w:rPr>
        <w:t>Strengthen</w:t>
      </w:r>
      <w:r>
        <w:rPr>
          <w:color w:val="231F20"/>
          <w:spacing w:val="-9"/>
        </w:rPr>
        <w:t xml:space="preserve"> </w:t>
      </w:r>
      <w:r>
        <w:rPr>
          <w:color w:val="231F20"/>
        </w:rPr>
        <w:t>State</w:t>
      </w:r>
      <w:r>
        <w:rPr>
          <w:color w:val="231F20"/>
          <w:spacing w:val="-10"/>
        </w:rPr>
        <w:t xml:space="preserve"> </w:t>
      </w:r>
      <w:r>
        <w:rPr>
          <w:color w:val="231F20"/>
        </w:rPr>
        <w:t>Health</w:t>
      </w:r>
      <w:r>
        <w:rPr>
          <w:color w:val="231F20"/>
          <w:spacing w:val="-10"/>
        </w:rPr>
        <w:t xml:space="preserve"> </w:t>
      </w:r>
      <w:r>
        <w:rPr>
          <w:color w:val="231F20"/>
        </w:rPr>
        <w:t>Research</w:t>
      </w:r>
      <w:r>
        <w:rPr>
          <w:color w:val="231F20"/>
          <w:spacing w:val="-9"/>
        </w:rPr>
        <w:t xml:space="preserve"> </w:t>
      </w:r>
      <w:r>
        <w:rPr>
          <w:color w:val="231F20"/>
        </w:rPr>
        <w:t>Ethics</w:t>
      </w:r>
      <w:r>
        <w:rPr>
          <w:color w:val="231F20"/>
          <w:spacing w:val="-10"/>
        </w:rPr>
        <w:t xml:space="preserve"> </w:t>
      </w:r>
      <w:r>
        <w:rPr>
          <w:color w:val="231F20"/>
        </w:rPr>
        <w:t>Committee</w:t>
      </w:r>
      <w:r>
        <w:rPr>
          <w:color w:val="231F20"/>
          <w:spacing w:val="-10"/>
        </w:rPr>
        <w:t xml:space="preserve"> </w:t>
      </w:r>
      <w:r>
        <w:rPr>
          <w:color w:val="231F20"/>
        </w:rPr>
        <w:t>at</w:t>
      </w:r>
      <w:r>
        <w:rPr>
          <w:color w:val="231F20"/>
          <w:spacing w:val="-10"/>
        </w:rPr>
        <w:t xml:space="preserve"> </w:t>
      </w:r>
      <w:r>
        <w:rPr>
          <w:color w:val="231F20"/>
        </w:rPr>
        <w:t>the</w:t>
      </w:r>
      <w:r>
        <w:rPr>
          <w:color w:val="231F20"/>
          <w:spacing w:val="-9"/>
        </w:rPr>
        <w:t xml:space="preserve"> </w:t>
      </w:r>
      <w:r>
        <w:rPr>
          <w:color w:val="231F20"/>
          <w:spacing w:val="-4"/>
        </w:rPr>
        <w:t xml:space="preserve">RSHMB </w:t>
      </w:r>
      <w:r>
        <w:rPr>
          <w:color w:val="231F20"/>
        </w:rPr>
        <w:t>to</w:t>
      </w:r>
      <w:r>
        <w:rPr>
          <w:color w:val="231F20"/>
          <w:spacing w:val="-6"/>
        </w:rPr>
        <w:t xml:space="preserve"> </w:t>
      </w:r>
      <w:r>
        <w:rPr>
          <w:color w:val="231F20"/>
        </w:rPr>
        <w:t>coordinate</w:t>
      </w:r>
      <w:r>
        <w:rPr>
          <w:color w:val="231F20"/>
          <w:spacing w:val="-4"/>
        </w:rPr>
        <w:t xml:space="preserve"> </w:t>
      </w:r>
      <w:r>
        <w:rPr>
          <w:color w:val="231F20"/>
        </w:rPr>
        <w:t>research</w:t>
      </w:r>
      <w:r>
        <w:rPr>
          <w:color w:val="231F20"/>
          <w:spacing w:val="-4"/>
        </w:rPr>
        <w:t xml:space="preserve"> </w:t>
      </w:r>
      <w:r>
        <w:rPr>
          <w:color w:val="231F20"/>
        </w:rPr>
        <w:t>activities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state;</w:t>
      </w:r>
      <w:r>
        <w:rPr>
          <w:color w:val="231F20"/>
          <w:spacing w:val="-17"/>
        </w:rPr>
        <w:t xml:space="preserve"> </w:t>
      </w:r>
      <w:r>
        <w:rPr>
          <w:color w:val="231F20"/>
        </w:rPr>
        <w:t>Adapt</w:t>
      </w:r>
      <w:r>
        <w:rPr>
          <w:color w:val="231F20"/>
          <w:spacing w:val="-5"/>
        </w:rPr>
        <w:t xml:space="preserve"> </w:t>
      </w:r>
      <w:r>
        <w:rPr>
          <w:color w:val="231F20"/>
        </w:rPr>
        <w:t>National</w:t>
      </w:r>
      <w:r>
        <w:rPr>
          <w:color w:val="231F20"/>
          <w:spacing w:val="-4"/>
        </w:rPr>
        <w:t xml:space="preserve"> </w:t>
      </w:r>
      <w:r>
        <w:rPr>
          <w:color w:val="231F20"/>
        </w:rPr>
        <w:t>Health</w:t>
      </w:r>
      <w:r>
        <w:rPr>
          <w:color w:val="231F20"/>
          <w:spacing w:val="-17"/>
        </w:rPr>
        <w:t xml:space="preserve"> </w:t>
      </w:r>
      <w:r>
        <w:rPr>
          <w:color w:val="231F20"/>
        </w:rPr>
        <w:t>Act</w:t>
      </w:r>
      <w:r>
        <w:rPr>
          <w:color w:val="231F20"/>
          <w:spacing w:val="-5"/>
        </w:rPr>
        <w:t xml:space="preserve"> </w:t>
      </w:r>
      <w:r>
        <w:rPr>
          <w:color w:val="231F20"/>
        </w:rPr>
        <w:t>2014;</w:t>
      </w:r>
      <w:r>
        <w:rPr>
          <w:color w:val="231F20"/>
          <w:spacing w:val="-5"/>
        </w:rPr>
        <w:t xml:space="preserve"> </w:t>
      </w:r>
      <w:r>
        <w:rPr>
          <w:color w:val="231F20"/>
        </w:rPr>
        <w:t>Build</w:t>
      </w:r>
      <w:r>
        <w:rPr>
          <w:color w:val="231F20"/>
          <w:spacing w:val="-4"/>
        </w:rPr>
        <w:t xml:space="preserve"> </w:t>
      </w:r>
      <w:r>
        <w:rPr>
          <w:color w:val="231F20"/>
        </w:rPr>
        <w:t>capacity</w:t>
      </w:r>
      <w:r>
        <w:rPr>
          <w:color w:val="231F20"/>
          <w:spacing w:val="-5"/>
        </w:rPr>
        <w:t xml:space="preserve"> </w:t>
      </w:r>
      <w:r>
        <w:rPr>
          <w:color w:val="231F20"/>
        </w:rPr>
        <w:t>of</w:t>
      </w:r>
      <w:r>
        <w:rPr>
          <w:color w:val="231F20"/>
          <w:spacing w:val="-5"/>
        </w:rPr>
        <w:t xml:space="preserve"> </w:t>
      </w:r>
      <w:r>
        <w:rPr>
          <w:color w:val="231F20"/>
        </w:rPr>
        <w:t>all relevant stakeholders on health research; Establish a platform for linking the academia with the health</w:t>
      </w:r>
      <w:r>
        <w:rPr>
          <w:color w:val="231F20"/>
          <w:spacing w:val="-26"/>
        </w:rPr>
        <w:t xml:space="preserve"> </w:t>
      </w:r>
      <w:r>
        <w:rPr>
          <w:color w:val="231F20"/>
        </w:rPr>
        <w:t>sector,</w:t>
      </w:r>
      <w:r w:rsidR="00131955">
        <w:rPr>
          <w:color w:val="231F20"/>
        </w:rPr>
        <w:t xml:space="preserve"> </w:t>
      </w:r>
      <w:r>
        <w:rPr>
          <w:color w:val="231F20"/>
        </w:rPr>
        <w:t>thus</w:t>
      </w:r>
      <w:r>
        <w:rPr>
          <w:color w:val="231F20"/>
          <w:spacing w:val="-26"/>
        </w:rPr>
        <w:t xml:space="preserve"> </w:t>
      </w:r>
      <w:r>
        <w:rPr>
          <w:color w:val="231F20"/>
        </w:rPr>
        <w:t>linking</w:t>
      </w:r>
      <w:r>
        <w:rPr>
          <w:color w:val="231F20"/>
          <w:spacing w:val="-25"/>
        </w:rPr>
        <w:t xml:space="preserve"> </w:t>
      </w:r>
      <w:r>
        <w:rPr>
          <w:color w:val="231F20"/>
        </w:rPr>
        <w:t>research</w:t>
      </w:r>
      <w:r>
        <w:rPr>
          <w:color w:val="231F20"/>
          <w:spacing w:val="-26"/>
        </w:rPr>
        <w:t xml:space="preserve"> </w:t>
      </w:r>
      <w:r>
        <w:rPr>
          <w:color w:val="231F20"/>
        </w:rPr>
        <w:t>to</w:t>
      </w:r>
      <w:r>
        <w:rPr>
          <w:color w:val="231F20"/>
          <w:spacing w:val="-26"/>
        </w:rPr>
        <w:t xml:space="preserve"> </w:t>
      </w:r>
      <w:r>
        <w:rPr>
          <w:color w:val="231F20"/>
        </w:rPr>
        <w:t>national/state</w:t>
      </w:r>
      <w:r>
        <w:rPr>
          <w:color w:val="231F20"/>
          <w:spacing w:val="-25"/>
        </w:rPr>
        <w:t xml:space="preserve"> </w:t>
      </w:r>
      <w:r>
        <w:rPr>
          <w:color w:val="231F20"/>
        </w:rPr>
        <w:t>priorities</w:t>
      </w:r>
      <w:r>
        <w:rPr>
          <w:color w:val="231F20"/>
          <w:spacing w:val="-26"/>
        </w:rPr>
        <w:t xml:space="preserve"> </w:t>
      </w:r>
      <w:r>
        <w:rPr>
          <w:color w:val="231F20"/>
        </w:rPr>
        <w:t>and</w:t>
      </w:r>
      <w:r>
        <w:rPr>
          <w:color w:val="231F20"/>
          <w:spacing w:val="-26"/>
        </w:rPr>
        <w:t xml:space="preserve"> </w:t>
      </w:r>
      <w:r>
        <w:rPr>
          <w:color w:val="231F20"/>
        </w:rPr>
        <w:t>translating</w:t>
      </w:r>
      <w:r>
        <w:rPr>
          <w:color w:val="231F20"/>
          <w:spacing w:val="-25"/>
        </w:rPr>
        <w:t xml:space="preserve"> </w:t>
      </w:r>
      <w:r>
        <w:rPr>
          <w:color w:val="231F20"/>
        </w:rPr>
        <w:t>research</w:t>
      </w:r>
      <w:r>
        <w:rPr>
          <w:color w:val="231F20"/>
          <w:spacing w:val="-26"/>
        </w:rPr>
        <w:t xml:space="preserve"> </w:t>
      </w:r>
      <w:r>
        <w:rPr>
          <w:color w:val="231F20"/>
        </w:rPr>
        <w:t>to</w:t>
      </w:r>
      <w:r>
        <w:rPr>
          <w:color w:val="231F20"/>
          <w:spacing w:val="-25"/>
        </w:rPr>
        <w:t xml:space="preserve"> </w:t>
      </w:r>
      <w:r>
        <w:rPr>
          <w:color w:val="231F20"/>
        </w:rPr>
        <w:t>action.</w:t>
      </w:r>
    </w:p>
    <w:p w14:paraId="45114A3E" w14:textId="77777777" w:rsidR="009948F1" w:rsidRDefault="009948F1">
      <w:pPr>
        <w:pStyle w:val="BodyText"/>
        <w:spacing w:before="1"/>
        <w:rPr>
          <w:sz w:val="25"/>
        </w:rPr>
      </w:pPr>
    </w:p>
    <w:p w14:paraId="4359F833" w14:textId="4E933403" w:rsidR="009948F1" w:rsidRDefault="00BC0563">
      <w:pPr>
        <w:pStyle w:val="ListParagraph"/>
        <w:numPr>
          <w:ilvl w:val="3"/>
          <w:numId w:val="264"/>
        </w:numPr>
        <w:tabs>
          <w:tab w:val="left" w:pos="1021"/>
        </w:tabs>
        <w:spacing w:before="1" w:line="273" w:lineRule="auto"/>
        <w:ind w:right="204" w:firstLine="0"/>
      </w:pPr>
      <w:r>
        <w:rPr>
          <w:color w:val="231F20"/>
        </w:rPr>
        <w:t xml:space="preserve">Strengthen the development and implementation of the national research agenda. Key actions include; - Develop a State research agenda (including criteria for identifying health research priorities, conduct and dissemination of research findings); Establish a platform </w:t>
      </w:r>
      <w:r>
        <w:rPr>
          <w:color w:val="231F20"/>
          <w:spacing w:val="-5"/>
        </w:rPr>
        <w:t xml:space="preserve">for </w:t>
      </w:r>
      <w:r>
        <w:rPr>
          <w:color w:val="231F20"/>
        </w:rPr>
        <w:t xml:space="preserve">collaborative research; Train researchers to strengthen their competencies on both </w:t>
      </w:r>
      <w:r>
        <w:rPr>
          <w:color w:val="231F20"/>
          <w:spacing w:val="-2"/>
        </w:rPr>
        <w:t xml:space="preserve">quantitative </w:t>
      </w:r>
      <w:r>
        <w:rPr>
          <w:color w:val="231F20"/>
        </w:rPr>
        <w:t xml:space="preserve">and qualitative research </w:t>
      </w:r>
      <w:r w:rsidR="00131955">
        <w:rPr>
          <w:color w:val="231F20"/>
        </w:rPr>
        <w:t>approaches; Promote</w:t>
      </w:r>
      <w:r>
        <w:rPr>
          <w:color w:val="231F20"/>
        </w:rPr>
        <w:t xml:space="preserve"> PPP in Research and Development (R&amp;D); </w:t>
      </w:r>
      <w:r>
        <w:rPr>
          <w:color w:val="231F20"/>
          <w:spacing w:val="-3"/>
        </w:rPr>
        <w:t xml:space="preserve">Carry </w:t>
      </w:r>
      <w:r>
        <w:rPr>
          <w:color w:val="231F20"/>
        </w:rPr>
        <w:t>out</w:t>
      </w:r>
      <w:r>
        <w:rPr>
          <w:color w:val="231F20"/>
          <w:spacing w:val="-20"/>
        </w:rPr>
        <w:t xml:space="preserve"> </w:t>
      </w:r>
      <w:r>
        <w:rPr>
          <w:color w:val="231F20"/>
        </w:rPr>
        <w:t>actual</w:t>
      </w:r>
      <w:r>
        <w:rPr>
          <w:color w:val="231F20"/>
          <w:spacing w:val="-19"/>
        </w:rPr>
        <w:t xml:space="preserve"> </w:t>
      </w:r>
      <w:r>
        <w:rPr>
          <w:color w:val="231F20"/>
        </w:rPr>
        <w:t>studies</w:t>
      </w:r>
      <w:r>
        <w:rPr>
          <w:color w:val="231F20"/>
          <w:spacing w:val="-19"/>
        </w:rPr>
        <w:t xml:space="preserve"> </w:t>
      </w:r>
      <w:r>
        <w:rPr>
          <w:color w:val="231F20"/>
        </w:rPr>
        <w:t>to</w:t>
      </w:r>
      <w:r>
        <w:rPr>
          <w:color w:val="231F20"/>
          <w:spacing w:val="-19"/>
        </w:rPr>
        <w:t xml:space="preserve"> </w:t>
      </w:r>
      <w:r>
        <w:rPr>
          <w:color w:val="231F20"/>
        </w:rPr>
        <w:t>determine</w:t>
      </w:r>
      <w:r>
        <w:rPr>
          <w:color w:val="231F20"/>
          <w:spacing w:val="-19"/>
        </w:rPr>
        <w:t xml:space="preserve"> </w:t>
      </w:r>
      <w:r>
        <w:rPr>
          <w:color w:val="231F20"/>
        </w:rPr>
        <w:t>the</w:t>
      </w:r>
      <w:r>
        <w:rPr>
          <w:color w:val="231F20"/>
          <w:spacing w:val="-19"/>
        </w:rPr>
        <w:t xml:space="preserve"> </w:t>
      </w:r>
      <w:r>
        <w:rPr>
          <w:color w:val="231F20"/>
        </w:rPr>
        <w:t>costs</w:t>
      </w:r>
      <w:r>
        <w:rPr>
          <w:color w:val="231F20"/>
          <w:spacing w:val="-19"/>
        </w:rPr>
        <w:t xml:space="preserve"> </w:t>
      </w:r>
      <w:r>
        <w:rPr>
          <w:color w:val="231F20"/>
        </w:rPr>
        <w:t>premiums&amp;</w:t>
      </w:r>
      <w:r>
        <w:rPr>
          <w:color w:val="231F20"/>
          <w:spacing w:val="-19"/>
        </w:rPr>
        <w:t xml:space="preserve"> </w:t>
      </w:r>
      <w:r>
        <w:rPr>
          <w:color w:val="231F20"/>
        </w:rPr>
        <w:t>capitation</w:t>
      </w:r>
      <w:r>
        <w:rPr>
          <w:color w:val="231F20"/>
          <w:spacing w:val="-19"/>
        </w:rPr>
        <w:t xml:space="preserve"> </w:t>
      </w:r>
      <w:r>
        <w:rPr>
          <w:color w:val="231F20"/>
        </w:rPr>
        <w:t>rates</w:t>
      </w:r>
      <w:r>
        <w:rPr>
          <w:color w:val="231F20"/>
          <w:spacing w:val="-19"/>
        </w:rPr>
        <w:t xml:space="preserve"> </w:t>
      </w:r>
      <w:r>
        <w:rPr>
          <w:color w:val="231F20"/>
        </w:rPr>
        <w:t>/</w:t>
      </w:r>
      <w:r>
        <w:rPr>
          <w:color w:val="231F20"/>
          <w:spacing w:val="-19"/>
        </w:rPr>
        <w:t xml:space="preserve"> </w:t>
      </w:r>
      <w:r>
        <w:rPr>
          <w:color w:val="231F20"/>
        </w:rPr>
        <w:t>willingness</w:t>
      </w:r>
      <w:r>
        <w:rPr>
          <w:color w:val="231F20"/>
          <w:spacing w:val="-19"/>
        </w:rPr>
        <w:t xml:space="preserve"> </w:t>
      </w:r>
      <w:r>
        <w:rPr>
          <w:color w:val="231F20"/>
        </w:rPr>
        <w:t>and</w:t>
      </w:r>
      <w:r>
        <w:rPr>
          <w:color w:val="231F20"/>
          <w:spacing w:val="-20"/>
        </w:rPr>
        <w:t xml:space="preserve"> </w:t>
      </w:r>
      <w:r>
        <w:rPr>
          <w:color w:val="231F20"/>
        </w:rPr>
        <w:t>ability</w:t>
      </w:r>
      <w:r>
        <w:rPr>
          <w:color w:val="231F20"/>
          <w:spacing w:val="-19"/>
        </w:rPr>
        <w:t xml:space="preserve"> </w:t>
      </w:r>
      <w:r>
        <w:rPr>
          <w:color w:val="231F20"/>
        </w:rPr>
        <w:t>to</w:t>
      </w:r>
      <w:r>
        <w:rPr>
          <w:color w:val="231F20"/>
          <w:spacing w:val="-19"/>
        </w:rPr>
        <w:t xml:space="preserve"> </w:t>
      </w:r>
      <w:r>
        <w:rPr>
          <w:color w:val="231F20"/>
          <w:spacing w:val="-4"/>
        </w:rPr>
        <w:t xml:space="preserve">pay </w:t>
      </w:r>
      <w:r>
        <w:rPr>
          <w:color w:val="231F20"/>
        </w:rPr>
        <w:t>etc.</w:t>
      </w:r>
    </w:p>
    <w:p w14:paraId="6D93A7E6" w14:textId="77777777" w:rsidR="009948F1" w:rsidRDefault="009948F1">
      <w:pPr>
        <w:pStyle w:val="BodyText"/>
        <w:spacing w:before="1"/>
        <w:rPr>
          <w:sz w:val="25"/>
        </w:rPr>
      </w:pPr>
    </w:p>
    <w:p w14:paraId="549D078F" w14:textId="77777777" w:rsidR="009948F1" w:rsidRDefault="00BC0563">
      <w:pPr>
        <w:pStyle w:val="ListParagraph"/>
        <w:numPr>
          <w:ilvl w:val="3"/>
          <w:numId w:val="264"/>
        </w:numPr>
        <w:tabs>
          <w:tab w:val="left" w:pos="992"/>
        </w:tabs>
        <w:spacing w:line="273" w:lineRule="auto"/>
        <w:ind w:right="204" w:firstLine="0"/>
      </w:pPr>
      <w:r>
        <w:rPr>
          <w:color w:val="231F20"/>
        </w:rPr>
        <w:t>Increase</w:t>
      </w:r>
      <w:r>
        <w:rPr>
          <w:color w:val="231F20"/>
          <w:spacing w:val="-22"/>
        </w:rPr>
        <w:t xml:space="preserve"> </w:t>
      </w:r>
      <w:r>
        <w:rPr>
          <w:color w:val="231F20"/>
        </w:rPr>
        <w:t>resource</w:t>
      </w:r>
      <w:r>
        <w:rPr>
          <w:color w:val="231F20"/>
          <w:spacing w:val="-21"/>
        </w:rPr>
        <w:t xml:space="preserve"> </w:t>
      </w:r>
      <w:r>
        <w:rPr>
          <w:color w:val="231F20"/>
        </w:rPr>
        <w:t>mobilization</w:t>
      </w:r>
      <w:r>
        <w:rPr>
          <w:color w:val="231F20"/>
          <w:spacing w:val="-21"/>
        </w:rPr>
        <w:t xml:space="preserve"> </w:t>
      </w:r>
      <w:r>
        <w:rPr>
          <w:color w:val="231F20"/>
        </w:rPr>
        <w:t>and</w:t>
      </w:r>
      <w:r>
        <w:rPr>
          <w:color w:val="231F20"/>
          <w:spacing w:val="-21"/>
        </w:rPr>
        <w:t xml:space="preserve"> </w:t>
      </w:r>
      <w:r>
        <w:rPr>
          <w:color w:val="231F20"/>
        </w:rPr>
        <w:t>allocation</w:t>
      </w:r>
      <w:r>
        <w:rPr>
          <w:color w:val="231F20"/>
          <w:spacing w:val="-21"/>
        </w:rPr>
        <w:t xml:space="preserve"> </w:t>
      </w:r>
      <w:r>
        <w:rPr>
          <w:color w:val="231F20"/>
        </w:rPr>
        <w:t>for</w:t>
      </w:r>
      <w:r>
        <w:rPr>
          <w:color w:val="231F20"/>
          <w:spacing w:val="-21"/>
        </w:rPr>
        <w:t xml:space="preserve"> </w:t>
      </w:r>
      <w:r>
        <w:rPr>
          <w:color w:val="231F20"/>
        </w:rPr>
        <w:t>research</w:t>
      </w:r>
      <w:r>
        <w:rPr>
          <w:color w:val="231F20"/>
          <w:spacing w:val="-21"/>
        </w:rPr>
        <w:t xml:space="preserve"> </w:t>
      </w:r>
      <w:r>
        <w:rPr>
          <w:color w:val="231F20"/>
        </w:rPr>
        <w:t>activities</w:t>
      </w:r>
      <w:r>
        <w:rPr>
          <w:color w:val="231F20"/>
          <w:spacing w:val="-21"/>
        </w:rPr>
        <w:t xml:space="preserve"> </w:t>
      </w:r>
      <w:r>
        <w:rPr>
          <w:color w:val="231F20"/>
        </w:rPr>
        <w:t>at</w:t>
      </w:r>
      <w:r>
        <w:rPr>
          <w:color w:val="231F20"/>
          <w:spacing w:val="-21"/>
        </w:rPr>
        <w:t xml:space="preserve"> </w:t>
      </w:r>
      <w:r>
        <w:rPr>
          <w:color w:val="231F20"/>
        </w:rPr>
        <w:t>all</w:t>
      </w:r>
      <w:r>
        <w:rPr>
          <w:color w:val="231F20"/>
          <w:spacing w:val="-21"/>
        </w:rPr>
        <w:t xml:space="preserve"> </w:t>
      </w:r>
      <w:r>
        <w:rPr>
          <w:color w:val="231F20"/>
        </w:rPr>
        <w:t>levels</w:t>
      </w:r>
      <w:r>
        <w:rPr>
          <w:color w:val="231F20"/>
          <w:spacing w:val="-21"/>
        </w:rPr>
        <w:t xml:space="preserve"> </w:t>
      </w:r>
      <w:r>
        <w:rPr>
          <w:color w:val="231F20"/>
        </w:rPr>
        <w:t>in</w:t>
      </w:r>
      <w:r>
        <w:rPr>
          <w:color w:val="231F20"/>
          <w:spacing w:val="-21"/>
        </w:rPr>
        <w:t xml:space="preserve"> </w:t>
      </w:r>
      <w:r>
        <w:rPr>
          <w:color w:val="231F20"/>
        </w:rPr>
        <w:t>line</w:t>
      </w:r>
      <w:r>
        <w:rPr>
          <w:color w:val="231F20"/>
          <w:spacing w:val="-21"/>
        </w:rPr>
        <w:t xml:space="preserve"> </w:t>
      </w:r>
      <w:r>
        <w:rPr>
          <w:color w:val="231F20"/>
          <w:spacing w:val="-4"/>
        </w:rPr>
        <w:t xml:space="preserve">with </w:t>
      </w:r>
      <w:r>
        <w:rPr>
          <w:color w:val="231F20"/>
        </w:rPr>
        <w:t xml:space="preserve">agreed international declarations, especially the Algiers Declaration on Health Research. </w:t>
      </w:r>
      <w:r>
        <w:rPr>
          <w:color w:val="231F20"/>
          <w:spacing w:val="-5"/>
        </w:rPr>
        <w:t xml:space="preserve">Key </w:t>
      </w:r>
      <w:r>
        <w:rPr>
          <w:color w:val="231F20"/>
        </w:rPr>
        <w:t>actions</w:t>
      </w:r>
      <w:r>
        <w:rPr>
          <w:color w:val="231F20"/>
          <w:spacing w:val="-21"/>
        </w:rPr>
        <w:t xml:space="preserve"> </w:t>
      </w:r>
      <w:r>
        <w:rPr>
          <w:color w:val="231F20"/>
        </w:rPr>
        <w:t>include;</w:t>
      </w:r>
      <w:r>
        <w:rPr>
          <w:color w:val="231F20"/>
          <w:spacing w:val="-20"/>
        </w:rPr>
        <w:t xml:space="preserve"> </w:t>
      </w:r>
      <w:r>
        <w:rPr>
          <w:color w:val="231F20"/>
        </w:rPr>
        <w:t>-</w:t>
      </w:r>
      <w:r>
        <w:rPr>
          <w:color w:val="231F20"/>
          <w:spacing w:val="-20"/>
        </w:rPr>
        <w:t xml:space="preserve"> </w:t>
      </w:r>
      <w:r>
        <w:rPr>
          <w:color w:val="231F20"/>
        </w:rPr>
        <w:t>Conduct</w:t>
      </w:r>
      <w:r>
        <w:rPr>
          <w:color w:val="231F20"/>
          <w:spacing w:val="-20"/>
        </w:rPr>
        <w:t xml:space="preserve"> </w:t>
      </w:r>
      <w:r>
        <w:rPr>
          <w:color w:val="231F20"/>
        </w:rPr>
        <w:t>advocacy</w:t>
      </w:r>
      <w:r>
        <w:rPr>
          <w:color w:val="231F20"/>
          <w:spacing w:val="-20"/>
        </w:rPr>
        <w:t xml:space="preserve"> </w:t>
      </w:r>
      <w:r>
        <w:rPr>
          <w:color w:val="231F20"/>
        </w:rPr>
        <w:t>meetings</w:t>
      </w:r>
      <w:r>
        <w:rPr>
          <w:color w:val="231F20"/>
          <w:spacing w:val="-20"/>
        </w:rPr>
        <w:t xml:space="preserve"> </w:t>
      </w:r>
      <w:r>
        <w:rPr>
          <w:color w:val="231F20"/>
        </w:rPr>
        <w:t>to</w:t>
      </w:r>
      <w:r>
        <w:rPr>
          <w:color w:val="231F20"/>
          <w:spacing w:val="-20"/>
        </w:rPr>
        <w:t xml:space="preserve"> </w:t>
      </w:r>
      <w:r>
        <w:rPr>
          <w:color w:val="231F20"/>
        </w:rPr>
        <w:t>policy</w:t>
      </w:r>
      <w:r>
        <w:rPr>
          <w:color w:val="231F20"/>
          <w:spacing w:val="-20"/>
        </w:rPr>
        <w:t xml:space="preserve"> </w:t>
      </w:r>
      <w:r>
        <w:rPr>
          <w:color w:val="231F20"/>
        </w:rPr>
        <w:t>makers</w:t>
      </w:r>
      <w:r>
        <w:rPr>
          <w:color w:val="231F20"/>
          <w:spacing w:val="-20"/>
        </w:rPr>
        <w:t xml:space="preserve"> </w:t>
      </w:r>
      <w:r>
        <w:rPr>
          <w:color w:val="231F20"/>
        </w:rPr>
        <w:t>to</w:t>
      </w:r>
      <w:r>
        <w:rPr>
          <w:color w:val="231F20"/>
          <w:spacing w:val="-20"/>
        </w:rPr>
        <w:t xml:space="preserve"> </w:t>
      </w:r>
      <w:r>
        <w:rPr>
          <w:color w:val="231F20"/>
        </w:rPr>
        <w:t>inform</w:t>
      </w:r>
      <w:r>
        <w:rPr>
          <w:color w:val="231F20"/>
          <w:spacing w:val="-21"/>
        </w:rPr>
        <w:t xml:space="preserve"> </w:t>
      </w:r>
      <w:r>
        <w:rPr>
          <w:color w:val="231F20"/>
        </w:rPr>
        <w:t>on</w:t>
      </w:r>
      <w:r>
        <w:rPr>
          <w:color w:val="231F20"/>
          <w:spacing w:val="-20"/>
        </w:rPr>
        <w:t xml:space="preserve"> </w:t>
      </w:r>
      <w:r>
        <w:rPr>
          <w:color w:val="231F20"/>
        </w:rPr>
        <w:t>the</w:t>
      </w:r>
      <w:r>
        <w:rPr>
          <w:color w:val="231F20"/>
          <w:spacing w:val="-32"/>
        </w:rPr>
        <w:t xml:space="preserve"> </w:t>
      </w:r>
      <w:r>
        <w:rPr>
          <w:color w:val="231F20"/>
        </w:rPr>
        <w:t>Algiers</w:t>
      </w:r>
      <w:r>
        <w:rPr>
          <w:color w:val="231F20"/>
          <w:spacing w:val="-20"/>
        </w:rPr>
        <w:t xml:space="preserve"> </w:t>
      </w:r>
      <w:r>
        <w:rPr>
          <w:color w:val="231F20"/>
        </w:rPr>
        <w:t xml:space="preserve">Declaration and solicit their commitment to increase budgetary allocations to research; Ensure Government support for the development of collaborative research proposals and their implementations between governments and public and private health research </w:t>
      </w:r>
      <w:proofErr w:type="spellStart"/>
      <w:r>
        <w:rPr>
          <w:color w:val="231F20"/>
        </w:rPr>
        <w:t>organisations</w:t>
      </w:r>
      <w:proofErr w:type="spellEnd"/>
      <w:r>
        <w:rPr>
          <w:color w:val="231F20"/>
        </w:rPr>
        <w:t xml:space="preserve">; Build capacity </w:t>
      </w:r>
      <w:r>
        <w:rPr>
          <w:color w:val="231F20"/>
          <w:spacing w:val="-6"/>
        </w:rPr>
        <w:t xml:space="preserve">for </w:t>
      </w:r>
      <w:r>
        <w:rPr>
          <w:color w:val="231F20"/>
        </w:rPr>
        <w:t xml:space="preserve">resource mobilization for health research (e.g. proposal writing, craftsmanship, fund-raising </w:t>
      </w:r>
      <w:proofErr w:type="spellStart"/>
      <w:r>
        <w:rPr>
          <w:color w:val="231F20"/>
          <w:spacing w:val="-3"/>
        </w:rPr>
        <w:t>etc</w:t>
      </w:r>
      <w:proofErr w:type="spellEnd"/>
      <w:r>
        <w:rPr>
          <w:color w:val="231F20"/>
          <w:spacing w:val="-3"/>
        </w:rPr>
        <w:t xml:space="preserve">); </w:t>
      </w:r>
      <w:r>
        <w:rPr>
          <w:color w:val="231F20"/>
        </w:rPr>
        <w:t>Build</w:t>
      </w:r>
      <w:r>
        <w:rPr>
          <w:color w:val="231F20"/>
          <w:spacing w:val="-25"/>
        </w:rPr>
        <w:t xml:space="preserve"> </w:t>
      </w:r>
      <w:r>
        <w:rPr>
          <w:color w:val="231F20"/>
        </w:rPr>
        <w:t>institutional</w:t>
      </w:r>
      <w:r>
        <w:rPr>
          <w:color w:val="231F20"/>
          <w:spacing w:val="-26"/>
        </w:rPr>
        <w:t xml:space="preserve"> </w:t>
      </w:r>
      <w:r>
        <w:rPr>
          <w:color w:val="231F20"/>
        </w:rPr>
        <w:t>capacities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research</w:t>
      </w:r>
      <w:r>
        <w:rPr>
          <w:color w:val="231F20"/>
          <w:spacing w:val="-25"/>
        </w:rPr>
        <w:t xml:space="preserve"> </w:t>
      </w:r>
      <w:r>
        <w:rPr>
          <w:color w:val="231F20"/>
        </w:rPr>
        <w:t>institutes</w:t>
      </w:r>
      <w:r>
        <w:rPr>
          <w:color w:val="231F20"/>
          <w:spacing w:val="-25"/>
        </w:rPr>
        <w:t xml:space="preserve"> </w:t>
      </w:r>
      <w:r>
        <w:rPr>
          <w:color w:val="231F20"/>
        </w:rPr>
        <w:t>for</w:t>
      </w:r>
      <w:r>
        <w:rPr>
          <w:color w:val="231F20"/>
          <w:spacing w:val="-25"/>
        </w:rPr>
        <w:t xml:space="preserve"> </w:t>
      </w:r>
      <w:r>
        <w:rPr>
          <w:color w:val="231F20"/>
        </w:rPr>
        <w:t>research.</w:t>
      </w:r>
    </w:p>
    <w:p w14:paraId="2737CD18" w14:textId="77777777" w:rsidR="009948F1" w:rsidRDefault="009948F1">
      <w:pPr>
        <w:pStyle w:val="BodyText"/>
        <w:spacing w:before="2"/>
        <w:rPr>
          <w:sz w:val="25"/>
        </w:rPr>
      </w:pPr>
    </w:p>
    <w:p w14:paraId="22C3EAE3" w14:textId="77777777" w:rsidR="009948F1" w:rsidRDefault="00BC0563">
      <w:pPr>
        <w:pStyle w:val="ListParagraph"/>
        <w:numPr>
          <w:ilvl w:val="3"/>
          <w:numId w:val="264"/>
        </w:numPr>
        <w:tabs>
          <w:tab w:val="left" w:pos="1043"/>
        </w:tabs>
        <w:spacing w:line="273" w:lineRule="auto"/>
        <w:ind w:left="155" w:right="205" w:firstLine="0"/>
      </w:pPr>
      <w:r>
        <w:rPr>
          <w:color w:val="231F20"/>
        </w:rPr>
        <w:t>Strengthen the national health research institutions (the National Institute of Medical Research</w:t>
      </w:r>
      <w:r>
        <w:rPr>
          <w:color w:val="231F20"/>
          <w:spacing w:val="-6"/>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National</w:t>
      </w:r>
      <w:r>
        <w:rPr>
          <w:color w:val="231F20"/>
          <w:spacing w:val="-5"/>
        </w:rPr>
        <w:t xml:space="preserve"> </w:t>
      </w:r>
      <w:r>
        <w:rPr>
          <w:color w:val="231F20"/>
        </w:rPr>
        <w:t>Institute</w:t>
      </w:r>
      <w:r>
        <w:rPr>
          <w:color w:val="231F20"/>
          <w:spacing w:val="-5"/>
        </w:rPr>
        <w:t xml:space="preserve"> </w:t>
      </w:r>
      <w:r>
        <w:rPr>
          <w:color w:val="231F20"/>
        </w:rPr>
        <w:t>of</w:t>
      </w:r>
      <w:r>
        <w:rPr>
          <w:color w:val="231F20"/>
          <w:spacing w:val="-5"/>
        </w:rPr>
        <w:t xml:space="preserve"> </w:t>
      </w:r>
      <w:r>
        <w:rPr>
          <w:color w:val="231F20"/>
        </w:rPr>
        <w:t>Pharmaceutical</w:t>
      </w:r>
      <w:r>
        <w:rPr>
          <w:color w:val="231F20"/>
          <w:spacing w:val="-5"/>
        </w:rPr>
        <w:t xml:space="preserve"> </w:t>
      </w:r>
      <w:r>
        <w:rPr>
          <w:color w:val="231F20"/>
        </w:rPr>
        <w:t>Research</w:t>
      </w:r>
      <w:r>
        <w:rPr>
          <w:color w:val="231F20"/>
          <w:spacing w:val="-5"/>
        </w:rPr>
        <w:t xml:space="preserve"> </w:t>
      </w:r>
      <w:r>
        <w:rPr>
          <w:color w:val="231F20"/>
        </w:rPr>
        <w:t>and</w:t>
      </w:r>
      <w:r>
        <w:rPr>
          <w:color w:val="231F20"/>
          <w:spacing w:val="-6"/>
        </w:rPr>
        <w:t xml:space="preserve"> </w:t>
      </w:r>
      <w:r>
        <w:rPr>
          <w:color w:val="231F20"/>
        </w:rPr>
        <w:t>Development)</w:t>
      </w:r>
      <w:r>
        <w:rPr>
          <w:color w:val="231F20"/>
          <w:spacing w:val="-5"/>
        </w:rPr>
        <w:t xml:space="preserve"> </w:t>
      </w:r>
      <w:r>
        <w:rPr>
          <w:color w:val="231F20"/>
        </w:rPr>
        <w:t>to</w:t>
      </w:r>
      <w:r>
        <w:rPr>
          <w:color w:val="231F20"/>
          <w:spacing w:val="-5"/>
        </w:rPr>
        <w:t xml:space="preserve"> </w:t>
      </w:r>
      <w:r>
        <w:rPr>
          <w:color w:val="231F20"/>
        </w:rPr>
        <w:t>contribute to evidence-based decision making and R&amp;D. Key activity include; - Advocate for increased funding</w:t>
      </w:r>
      <w:r>
        <w:rPr>
          <w:color w:val="231F20"/>
          <w:spacing w:val="-25"/>
        </w:rPr>
        <w:t xml:space="preserve"> </w:t>
      </w:r>
      <w:r>
        <w:rPr>
          <w:color w:val="231F20"/>
        </w:rPr>
        <w:t>for</w:t>
      </w:r>
      <w:r>
        <w:rPr>
          <w:color w:val="231F20"/>
          <w:spacing w:val="-25"/>
        </w:rPr>
        <w:t xml:space="preserve"> </w:t>
      </w:r>
      <w:r>
        <w:rPr>
          <w:color w:val="231F20"/>
        </w:rPr>
        <w:t>research</w:t>
      </w:r>
      <w:r>
        <w:rPr>
          <w:color w:val="231F20"/>
          <w:spacing w:val="-25"/>
        </w:rPr>
        <w:t xml:space="preserve"> </w:t>
      </w:r>
      <w:r>
        <w:rPr>
          <w:color w:val="231F20"/>
        </w:rPr>
        <w:t>institutions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spacing w:val="-3"/>
        </w:rPr>
        <w:t>country.</w:t>
      </w:r>
    </w:p>
    <w:p w14:paraId="5116BFC9" w14:textId="77777777" w:rsidR="009948F1" w:rsidRDefault="009948F1">
      <w:pPr>
        <w:pStyle w:val="BodyText"/>
        <w:spacing w:before="1"/>
        <w:rPr>
          <w:sz w:val="25"/>
        </w:rPr>
      </w:pPr>
    </w:p>
    <w:p w14:paraId="70C85A22" w14:textId="77777777" w:rsidR="009948F1" w:rsidRDefault="00BC0563">
      <w:pPr>
        <w:pStyle w:val="ListParagraph"/>
        <w:numPr>
          <w:ilvl w:val="3"/>
          <w:numId w:val="264"/>
        </w:numPr>
        <w:tabs>
          <w:tab w:val="left" w:pos="1007"/>
        </w:tabs>
        <w:spacing w:line="273" w:lineRule="auto"/>
        <w:ind w:left="155" w:right="205" w:firstLine="0"/>
      </w:pPr>
      <w:r>
        <w:rPr>
          <w:color w:val="231F20"/>
        </w:rPr>
        <w:t>Strengthen</w:t>
      </w:r>
      <w:r>
        <w:rPr>
          <w:color w:val="231F20"/>
          <w:spacing w:val="-8"/>
        </w:rPr>
        <w:t xml:space="preserve"> </w:t>
      </w:r>
      <w:r>
        <w:rPr>
          <w:color w:val="231F20"/>
        </w:rPr>
        <w:t>institutions</w:t>
      </w:r>
      <w:r>
        <w:rPr>
          <w:color w:val="231F20"/>
          <w:spacing w:val="-7"/>
        </w:rPr>
        <w:t xml:space="preserve"> </w:t>
      </w:r>
      <w:r>
        <w:rPr>
          <w:color w:val="231F20"/>
        </w:rPr>
        <w:t>and</w:t>
      </w:r>
      <w:r>
        <w:rPr>
          <w:color w:val="231F20"/>
          <w:spacing w:val="-7"/>
        </w:rPr>
        <w:t xml:space="preserve"> </w:t>
      </w:r>
      <w:r>
        <w:rPr>
          <w:color w:val="231F20"/>
        </w:rPr>
        <w:t>systems</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levels</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promotion,</w:t>
      </w:r>
      <w:r>
        <w:rPr>
          <w:color w:val="231F20"/>
          <w:spacing w:val="-7"/>
        </w:rPr>
        <w:t xml:space="preserve"> </w:t>
      </w:r>
      <w:r>
        <w:rPr>
          <w:color w:val="231F20"/>
        </w:rPr>
        <w:t>regulation</w:t>
      </w:r>
      <w:r>
        <w:rPr>
          <w:color w:val="231F20"/>
          <w:spacing w:val="-7"/>
        </w:rPr>
        <w:t xml:space="preserve"> </w:t>
      </w:r>
      <w:r>
        <w:rPr>
          <w:color w:val="231F20"/>
        </w:rPr>
        <w:t>and</w:t>
      </w:r>
      <w:r>
        <w:rPr>
          <w:color w:val="231F20"/>
          <w:spacing w:val="-7"/>
        </w:rPr>
        <w:t xml:space="preserve"> </w:t>
      </w:r>
      <w:r>
        <w:rPr>
          <w:color w:val="231F20"/>
        </w:rPr>
        <w:t>ethical oversight of essential national health research. Key actions include; - Empower RSHMB to oversee,</w:t>
      </w:r>
      <w:r>
        <w:rPr>
          <w:color w:val="231F20"/>
          <w:spacing w:val="-16"/>
        </w:rPr>
        <w:t xml:space="preserve"> </w:t>
      </w:r>
      <w:r>
        <w:rPr>
          <w:color w:val="231F20"/>
        </w:rPr>
        <w:t>monitor</w:t>
      </w:r>
      <w:r>
        <w:rPr>
          <w:color w:val="231F20"/>
          <w:spacing w:val="-15"/>
        </w:rPr>
        <w:t xml:space="preserve"> </w:t>
      </w:r>
      <w:r>
        <w:rPr>
          <w:color w:val="231F20"/>
        </w:rPr>
        <w:t>&amp;</w:t>
      </w:r>
      <w:r>
        <w:rPr>
          <w:color w:val="231F20"/>
          <w:spacing w:val="-15"/>
        </w:rPr>
        <w:t xml:space="preserve"> </w:t>
      </w:r>
      <w:r>
        <w:rPr>
          <w:color w:val="231F20"/>
        </w:rPr>
        <w:t>review</w:t>
      </w:r>
      <w:r>
        <w:rPr>
          <w:color w:val="231F20"/>
          <w:spacing w:val="-15"/>
        </w:rPr>
        <w:t xml:space="preserve"> </w:t>
      </w:r>
      <w:r>
        <w:rPr>
          <w:color w:val="231F20"/>
        </w:rPr>
        <w:t>implementation</w:t>
      </w:r>
      <w:r>
        <w:rPr>
          <w:color w:val="231F20"/>
          <w:spacing w:val="-14"/>
        </w:rPr>
        <w:t xml:space="preserve"> </w:t>
      </w:r>
      <w:r>
        <w:rPr>
          <w:color w:val="231F20"/>
        </w:rPr>
        <w:t>of</w:t>
      </w:r>
      <w:r>
        <w:rPr>
          <w:color w:val="231F20"/>
          <w:spacing w:val="-15"/>
        </w:rPr>
        <w:t xml:space="preserve"> </w:t>
      </w:r>
      <w:r>
        <w:rPr>
          <w:color w:val="231F20"/>
        </w:rPr>
        <w:t>approved</w:t>
      </w:r>
      <w:r>
        <w:rPr>
          <w:color w:val="231F20"/>
          <w:spacing w:val="-15"/>
        </w:rPr>
        <w:t xml:space="preserve"> </w:t>
      </w:r>
      <w:r>
        <w:rPr>
          <w:color w:val="231F20"/>
        </w:rPr>
        <w:t>health</w:t>
      </w:r>
      <w:r>
        <w:rPr>
          <w:color w:val="231F20"/>
          <w:spacing w:val="-15"/>
        </w:rPr>
        <w:t xml:space="preserve"> </w:t>
      </w:r>
      <w:r>
        <w:rPr>
          <w:color w:val="231F20"/>
        </w:rPr>
        <w:t>research</w:t>
      </w:r>
      <w:r>
        <w:rPr>
          <w:color w:val="231F20"/>
          <w:spacing w:val="-16"/>
        </w:rPr>
        <w:t xml:space="preserve"> </w:t>
      </w:r>
      <w:r>
        <w:rPr>
          <w:color w:val="231F20"/>
        </w:rPr>
        <w:t>on</w:t>
      </w:r>
      <w:r>
        <w:rPr>
          <w:color w:val="231F20"/>
          <w:spacing w:val="-15"/>
        </w:rPr>
        <w:t xml:space="preserve"> </w:t>
      </w:r>
      <w:r>
        <w:rPr>
          <w:color w:val="231F20"/>
        </w:rPr>
        <w:t>human</w:t>
      </w:r>
      <w:r>
        <w:rPr>
          <w:color w:val="231F20"/>
          <w:spacing w:val="-15"/>
        </w:rPr>
        <w:t xml:space="preserve"> </w:t>
      </w:r>
      <w:r>
        <w:rPr>
          <w:color w:val="231F20"/>
        </w:rPr>
        <w:t>subjects</w:t>
      </w:r>
      <w:r>
        <w:rPr>
          <w:color w:val="231F20"/>
          <w:spacing w:val="-15"/>
        </w:rPr>
        <w:t xml:space="preserve"> </w:t>
      </w:r>
      <w:r>
        <w:rPr>
          <w:color w:val="231F20"/>
        </w:rPr>
        <w:t>across all levels; Conduct training for SHREC members; Develop/strengthen infrastructure in health research</w:t>
      </w:r>
      <w:r>
        <w:rPr>
          <w:color w:val="231F20"/>
          <w:spacing w:val="-20"/>
        </w:rPr>
        <w:t xml:space="preserve"> </w:t>
      </w:r>
      <w:r>
        <w:rPr>
          <w:color w:val="231F20"/>
        </w:rPr>
        <w:t>institutions;</w:t>
      </w:r>
      <w:r>
        <w:rPr>
          <w:color w:val="231F20"/>
          <w:spacing w:val="-19"/>
        </w:rPr>
        <w:t xml:space="preserve"> </w:t>
      </w:r>
      <w:r>
        <w:rPr>
          <w:color w:val="231F20"/>
        </w:rPr>
        <w:t>Foster</w:t>
      </w:r>
      <w:r>
        <w:rPr>
          <w:color w:val="231F20"/>
          <w:spacing w:val="-19"/>
        </w:rPr>
        <w:t xml:space="preserve"> </w:t>
      </w:r>
      <w:r>
        <w:rPr>
          <w:color w:val="231F20"/>
        </w:rPr>
        <w:t>strategic</w:t>
      </w:r>
      <w:r>
        <w:rPr>
          <w:color w:val="231F20"/>
          <w:spacing w:val="-20"/>
        </w:rPr>
        <w:t xml:space="preserve"> </w:t>
      </w:r>
      <w:r>
        <w:rPr>
          <w:color w:val="231F20"/>
        </w:rPr>
        <w:t>partnerships</w:t>
      </w:r>
      <w:r>
        <w:rPr>
          <w:color w:val="231F20"/>
          <w:spacing w:val="-19"/>
        </w:rPr>
        <w:t xml:space="preserve"> </w:t>
      </w:r>
      <w:r>
        <w:rPr>
          <w:color w:val="231F20"/>
        </w:rPr>
        <w:t>at</w:t>
      </w:r>
      <w:r>
        <w:rPr>
          <w:color w:val="231F20"/>
          <w:spacing w:val="-19"/>
        </w:rPr>
        <w:t xml:space="preserve"> </w:t>
      </w:r>
      <w:r>
        <w:rPr>
          <w:color w:val="231F20"/>
        </w:rPr>
        <w:t>national</w:t>
      </w:r>
      <w:r>
        <w:rPr>
          <w:color w:val="231F20"/>
          <w:spacing w:val="-19"/>
        </w:rPr>
        <w:t xml:space="preserve"> </w:t>
      </w:r>
      <w:r>
        <w:rPr>
          <w:color w:val="231F20"/>
        </w:rPr>
        <w:t>and</w:t>
      </w:r>
      <w:r>
        <w:rPr>
          <w:color w:val="231F20"/>
          <w:spacing w:val="-20"/>
        </w:rPr>
        <w:t xml:space="preserve"> </w:t>
      </w:r>
      <w:r>
        <w:rPr>
          <w:color w:val="231F20"/>
        </w:rPr>
        <w:t>international</w:t>
      </w:r>
      <w:r>
        <w:rPr>
          <w:color w:val="231F20"/>
          <w:spacing w:val="-19"/>
        </w:rPr>
        <w:t xml:space="preserve"> </w:t>
      </w:r>
      <w:r>
        <w:rPr>
          <w:color w:val="231F20"/>
        </w:rPr>
        <w:t>levels</w:t>
      </w:r>
      <w:r>
        <w:rPr>
          <w:color w:val="231F20"/>
          <w:spacing w:val="-19"/>
        </w:rPr>
        <w:t xml:space="preserve"> </w:t>
      </w:r>
      <w:r>
        <w:rPr>
          <w:color w:val="231F20"/>
        </w:rPr>
        <w:t>for</w:t>
      </w:r>
      <w:r>
        <w:rPr>
          <w:color w:val="231F20"/>
          <w:spacing w:val="-19"/>
        </w:rPr>
        <w:t xml:space="preserve"> </w:t>
      </w:r>
      <w:r>
        <w:rPr>
          <w:color w:val="231F20"/>
        </w:rPr>
        <w:t>improved quality</w:t>
      </w:r>
      <w:r>
        <w:rPr>
          <w:color w:val="231F20"/>
          <w:spacing w:val="-25"/>
        </w:rPr>
        <w:t xml:space="preserve"> </w:t>
      </w:r>
      <w:r>
        <w:rPr>
          <w:color w:val="231F20"/>
        </w:rPr>
        <w:t>health</w:t>
      </w:r>
      <w:r>
        <w:rPr>
          <w:color w:val="231F20"/>
          <w:spacing w:val="-25"/>
        </w:rPr>
        <w:t xml:space="preserve"> </w:t>
      </w:r>
      <w:r>
        <w:rPr>
          <w:color w:val="231F20"/>
        </w:rPr>
        <w:t>research</w:t>
      </w:r>
      <w:r>
        <w:rPr>
          <w:color w:val="231F20"/>
          <w:spacing w:val="-25"/>
        </w:rPr>
        <w:t xml:space="preserve"> </w:t>
      </w:r>
      <w:r>
        <w:rPr>
          <w:color w:val="231F20"/>
        </w:rPr>
        <w:t>output.</w:t>
      </w:r>
    </w:p>
    <w:p w14:paraId="5136BB91" w14:textId="77777777" w:rsidR="009948F1" w:rsidRDefault="009948F1">
      <w:pPr>
        <w:pStyle w:val="BodyText"/>
        <w:spacing w:before="2"/>
        <w:rPr>
          <w:sz w:val="25"/>
        </w:rPr>
      </w:pPr>
    </w:p>
    <w:p w14:paraId="3BC69533" w14:textId="77777777" w:rsidR="009948F1" w:rsidRDefault="00BC0563">
      <w:pPr>
        <w:pStyle w:val="ListParagraph"/>
        <w:numPr>
          <w:ilvl w:val="3"/>
          <w:numId w:val="264"/>
        </w:numPr>
        <w:tabs>
          <w:tab w:val="left" w:pos="997"/>
        </w:tabs>
        <w:spacing w:line="273" w:lineRule="auto"/>
        <w:ind w:left="155" w:right="201" w:firstLine="0"/>
      </w:pPr>
      <w:r>
        <w:rPr>
          <w:color w:val="231F20"/>
        </w:rPr>
        <w:t>Enhance</w:t>
      </w:r>
      <w:r>
        <w:rPr>
          <w:color w:val="231F20"/>
          <w:spacing w:val="-16"/>
        </w:rPr>
        <w:t xml:space="preserve"> </w:t>
      </w:r>
      <w:r>
        <w:rPr>
          <w:color w:val="231F20"/>
        </w:rPr>
        <w:t>strategic</w:t>
      </w:r>
      <w:r>
        <w:rPr>
          <w:color w:val="231F20"/>
          <w:spacing w:val="-16"/>
        </w:rPr>
        <w:t xml:space="preserve"> </w:t>
      </w:r>
      <w:r>
        <w:rPr>
          <w:color w:val="231F20"/>
        </w:rPr>
        <w:t>partnerships</w:t>
      </w:r>
      <w:r>
        <w:rPr>
          <w:color w:val="231F20"/>
          <w:spacing w:val="-15"/>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State</w:t>
      </w:r>
      <w:r>
        <w:rPr>
          <w:color w:val="231F20"/>
          <w:spacing w:val="-16"/>
        </w:rPr>
        <w:t xml:space="preserve"> </w:t>
      </w:r>
      <w:r>
        <w:rPr>
          <w:color w:val="231F20"/>
        </w:rPr>
        <w:t>and</w:t>
      </w:r>
      <w:r>
        <w:rPr>
          <w:color w:val="231F20"/>
          <w:spacing w:val="-16"/>
        </w:rPr>
        <w:t xml:space="preserve"> </w:t>
      </w:r>
      <w:r>
        <w:rPr>
          <w:color w:val="231F20"/>
        </w:rPr>
        <w:t>international</w:t>
      </w:r>
      <w:r>
        <w:rPr>
          <w:color w:val="231F20"/>
          <w:spacing w:val="-15"/>
        </w:rPr>
        <w:t xml:space="preserve"> </w:t>
      </w:r>
      <w:r>
        <w:rPr>
          <w:color w:val="231F20"/>
        </w:rPr>
        <w:t>levels</w:t>
      </w:r>
      <w:r>
        <w:rPr>
          <w:color w:val="231F20"/>
          <w:spacing w:val="-16"/>
        </w:rPr>
        <w:t xml:space="preserve"> </w:t>
      </w:r>
      <w:r>
        <w:rPr>
          <w:color w:val="231F20"/>
        </w:rPr>
        <w:t>for</w:t>
      </w:r>
      <w:r>
        <w:rPr>
          <w:color w:val="231F20"/>
          <w:spacing w:val="-16"/>
        </w:rPr>
        <w:t xml:space="preserve"> </w:t>
      </w:r>
      <w:r>
        <w:rPr>
          <w:color w:val="231F20"/>
        </w:rPr>
        <w:t>the</w:t>
      </w:r>
      <w:r>
        <w:rPr>
          <w:color w:val="231F20"/>
          <w:spacing w:val="-17"/>
        </w:rPr>
        <w:t xml:space="preserve"> </w:t>
      </w:r>
      <w:r>
        <w:rPr>
          <w:color w:val="231F20"/>
        </w:rPr>
        <w:t>promotion</w:t>
      </w:r>
      <w:r>
        <w:rPr>
          <w:color w:val="231F20"/>
          <w:spacing w:val="-15"/>
        </w:rPr>
        <w:t xml:space="preserve"> </w:t>
      </w:r>
      <w:r>
        <w:rPr>
          <w:color w:val="231F20"/>
        </w:rPr>
        <w:t xml:space="preserve">and timely dissemination of research findings. Key actions include; - Conduct meetings for </w:t>
      </w:r>
      <w:r>
        <w:rPr>
          <w:color w:val="231F20"/>
          <w:spacing w:val="-6"/>
        </w:rPr>
        <w:t xml:space="preserve">PPP </w:t>
      </w:r>
      <w:r>
        <w:rPr>
          <w:color w:val="231F20"/>
        </w:rPr>
        <w:t>committee to develop Memorandum of Understanding with national and international partners to promote</w:t>
      </w:r>
      <w:r>
        <w:rPr>
          <w:color w:val="231F20"/>
          <w:spacing w:val="-6"/>
        </w:rPr>
        <w:t xml:space="preserve"> </w:t>
      </w:r>
      <w:r>
        <w:rPr>
          <w:color w:val="231F20"/>
        </w:rPr>
        <w:t>research</w:t>
      </w:r>
      <w:r>
        <w:rPr>
          <w:color w:val="231F20"/>
          <w:spacing w:val="-5"/>
        </w:rPr>
        <w:t xml:space="preserve"> </w:t>
      </w:r>
      <w:r>
        <w:rPr>
          <w:color w:val="231F20"/>
        </w:rPr>
        <w:t>activities;</w:t>
      </w:r>
      <w:r>
        <w:rPr>
          <w:color w:val="231F20"/>
          <w:spacing w:val="-5"/>
        </w:rPr>
        <w:t xml:space="preserve"> </w:t>
      </w:r>
      <w:r>
        <w:rPr>
          <w:color w:val="231F20"/>
        </w:rPr>
        <w:t>Map</w:t>
      </w:r>
      <w:r>
        <w:rPr>
          <w:color w:val="231F20"/>
          <w:spacing w:val="-5"/>
        </w:rPr>
        <w:t xml:space="preserve"> </w:t>
      </w:r>
      <w:r>
        <w:rPr>
          <w:color w:val="231F20"/>
        </w:rPr>
        <w:t>existing</w:t>
      </w:r>
      <w:r>
        <w:rPr>
          <w:color w:val="231F20"/>
          <w:spacing w:val="-5"/>
        </w:rPr>
        <w:t xml:space="preserve"> </w:t>
      </w:r>
      <w:r>
        <w:rPr>
          <w:color w:val="231F20"/>
        </w:rPr>
        <w:t>and</w:t>
      </w:r>
      <w:r>
        <w:rPr>
          <w:color w:val="231F20"/>
          <w:spacing w:val="-5"/>
        </w:rPr>
        <w:t xml:space="preserve"> </w:t>
      </w:r>
      <w:r>
        <w:rPr>
          <w:color w:val="231F20"/>
        </w:rPr>
        <w:t>potential</w:t>
      </w:r>
      <w:r>
        <w:rPr>
          <w:color w:val="231F20"/>
          <w:spacing w:val="-5"/>
        </w:rPr>
        <w:t xml:space="preserve"> </w:t>
      </w:r>
      <w:r>
        <w:rPr>
          <w:color w:val="231F20"/>
        </w:rPr>
        <w:t>health</w:t>
      </w:r>
      <w:r>
        <w:rPr>
          <w:color w:val="231F20"/>
          <w:spacing w:val="-5"/>
        </w:rPr>
        <w:t xml:space="preserve"> </w:t>
      </w:r>
      <w:r>
        <w:rPr>
          <w:color w:val="231F20"/>
        </w:rPr>
        <w:t>research</w:t>
      </w:r>
      <w:r>
        <w:rPr>
          <w:color w:val="231F20"/>
          <w:spacing w:val="-5"/>
        </w:rPr>
        <w:t xml:space="preserve"> </w:t>
      </w:r>
      <w:r>
        <w:rPr>
          <w:color w:val="231F20"/>
        </w:rPr>
        <w:t>entities</w:t>
      </w:r>
      <w:r>
        <w:rPr>
          <w:color w:val="231F20"/>
          <w:spacing w:val="-5"/>
        </w:rPr>
        <w:t xml:space="preserve"> </w:t>
      </w:r>
      <w:r>
        <w:rPr>
          <w:color w:val="231F20"/>
        </w:rPr>
        <w:t>at</w:t>
      </w:r>
      <w:r>
        <w:rPr>
          <w:color w:val="231F20"/>
          <w:spacing w:val="-6"/>
        </w:rPr>
        <w:t xml:space="preserve"> </w:t>
      </w:r>
      <w:r>
        <w:rPr>
          <w:color w:val="231F20"/>
        </w:rPr>
        <w:t>State</w:t>
      </w:r>
      <w:r>
        <w:rPr>
          <w:color w:val="231F20"/>
          <w:spacing w:val="-5"/>
        </w:rPr>
        <w:t xml:space="preserve"> </w:t>
      </w:r>
      <w:r>
        <w:rPr>
          <w:color w:val="231F20"/>
        </w:rPr>
        <w:t>level</w:t>
      </w:r>
      <w:r>
        <w:rPr>
          <w:color w:val="231F20"/>
          <w:spacing w:val="-5"/>
        </w:rPr>
        <w:t xml:space="preserve"> </w:t>
      </w:r>
      <w:r>
        <w:rPr>
          <w:color w:val="231F20"/>
        </w:rPr>
        <w:t>and maintain a database; Conduct sensitization workshops for policy makers, health care providers and other target audiences to share research findings and appraise them on policy and practice implications.</w:t>
      </w:r>
    </w:p>
    <w:p w14:paraId="4C56921B" w14:textId="77777777" w:rsidR="009948F1" w:rsidRDefault="009948F1">
      <w:pPr>
        <w:spacing w:line="273" w:lineRule="auto"/>
        <w:jc w:val="both"/>
        <w:sectPr w:rsidR="009948F1">
          <w:pgSz w:w="11910" w:h="16840"/>
          <w:pgMar w:top="1200" w:right="1080" w:bottom="1420" w:left="1120" w:header="0" w:footer="1235" w:gutter="0"/>
          <w:cols w:space="720"/>
        </w:sectPr>
      </w:pPr>
    </w:p>
    <w:p w14:paraId="302FE1B6" w14:textId="77777777" w:rsidR="009948F1" w:rsidRDefault="00BC0563">
      <w:pPr>
        <w:pStyle w:val="ListParagraph"/>
        <w:numPr>
          <w:ilvl w:val="3"/>
          <w:numId w:val="264"/>
        </w:numPr>
        <w:tabs>
          <w:tab w:val="left" w:pos="1005"/>
        </w:tabs>
        <w:spacing w:before="35" w:line="261" w:lineRule="auto"/>
        <w:ind w:left="161" w:right="182" w:firstLine="0"/>
      </w:pPr>
      <w:bookmarkStart w:id="102" w:name="Page_88"/>
      <w:bookmarkEnd w:id="102"/>
      <w:r>
        <w:rPr>
          <w:color w:val="231F20"/>
        </w:rPr>
        <w:lastRenderedPageBreak/>
        <w:t>Strengthen</w:t>
      </w:r>
      <w:r>
        <w:rPr>
          <w:color w:val="231F20"/>
          <w:spacing w:val="-14"/>
        </w:rPr>
        <w:t xml:space="preserve"> </w:t>
      </w:r>
      <w:r>
        <w:rPr>
          <w:color w:val="231F20"/>
        </w:rPr>
        <w:t>the</w:t>
      </w:r>
      <w:r>
        <w:rPr>
          <w:color w:val="231F20"/>
          <w:spacing w:val="-14"/>
        </w:rPr>
        <w:t xml:space="preserve"> </w:t>
      </w:r>
      <w:r>
        <w:rPr>
          <w:color w:val="231F20"/>
        </w:rPr>
        <w:t>utilization</w:t>
      </w:r>
      <w:r>
        <w:rPr>
          <w:color w:val="231F20"/>
          <w:spacing w:val="-14"/>
        </w:rPr>
        <w:t xml:space="preserve"> </w:t>
      </w:r>
      <w:r>
        <w:rPr>
          <w:color w:val="231F20"/>
        </w:rPr>
        <w:t>of</w:t>
      </w:r>
      <w:r>
        <w:rPr>
          <w:color w:val="231F20"/>
          <w:spacing w:val="-13"/>
        </w:rPr>
        <w:t xml:space="preserve"> </w:t>
      </w:r>
      <w:r>
        <w:rPr>
          <w:color w:val="231F20"/>
        </w:rPr>
        <w:t>research</w:t>
      </w:r>
      <w:r>
        <w:rPr>
          <w:color w:val="231F20"/>
          <w:spacing w:val="-14"/>
        </w:rPr>
        <w:t xml:space="preserve"> </w:t>
      </w:r>
      <w:r>
        <w:rPr>
          <w:color w:val="231F20"/>
        </w:rPr>
        <w:t>findings</w:t>
      </w:r>
      <w:r>
        <w:rPr>
          <w:color w:val="231F20"/>
          <w:spacing w:val="-14"/>
        </w:rPr>
        <w:t xml:space="preserve"> </w:t>
      </w:r>
      <w:r>
        <w:rPr>
          <w:color w:val="231F20"/>
        </w:rPr>
        <w:t>to</w:t>
      </w:r>
      <w:r>
        <w:rPr>
          <w:color w:val="231F20"/>
          <w:spacing w:val="-14"/>
        </w:rPr>
        <w:t xml:space="preserve"> </w:t>
      </w:r>
      <w:r>
        <w:rPr>
          <w:color w:val="231F20"/>
        </w:rPr>
        <w:t>inform</w:t>
      </w:r>
      <w:r>
        <w:rPr>
          <w:color w:val="231F20"/>
          <w:spacing w:val="-13"/>
        </w:rPr>
        <w:t xml:space="preserve"> </w:t>
      </w:r>
      <w:r>
        <w:rPr>
          <w:color w:val="231F20"/>
          <w:spacing w:val="-3"/>
        </w:rPr>
        <w:t>policy,</w:t>
      </w:r>
      <w:r>
        <w:rPr>
          <w:color w:val="231F20"/>
          <w:spacing w:val="-14"/>
        </w:rPr>
        <w:t xml:space="preserve"> </w:t>
      </w:r>
      <w:r>
        <w:rPr>
          <w:color w:val="231F20"/>
        </w:rPr>
        <w:t>programming</w:t>
      </w:r>
      <w:r>
        <w:rPr>
          <w:color w:val="231F20"/>
          <w:spacing w:val="-14"/>
        </w:rPr>
        <w:t xml:space="preserve"> </w:t>
      </w:r>
      <w:r>
        <w:rPr>
          <w:color w:val="231F20"/>
        </w:rPr>
        <w:t>and</w:t>
      </w:r>
      <w:r>
        <w:rPr>
          <w:color w:val="231F20"/>
          <w:spacing w:val="-14"/>
        </w:rPr>
        <w:t xml:space="preserve"> </w:t>
      </w:r>
      <w:r>
        <w:rPr>
          <w:color w:val="231F20"/>
        </w:rPr>
        <w:t>practice. Key actions include; - Develop communication strategy for dissemination of research findings to different target audiences in the State (e.g. policy makers, politicians, practitioners, consumers, development</w:t>
      </w:r>
      <w:r>
        <w:rPr>
          <w:color w:val="231F20"/>
          <w:spacing w:val="-7"/>
        </w:rPr>
        <w:t xml:space="preserve"> </w:t>
      </w:r>
      <w:r>
        <w:rPr>
          <w:color w:val="231F20"/>
        </w:rPr>
        <w:t>partners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public);</w:t>
      </w:r>
      <w:r>
        <w:rPr>
          <w:color w:val="231F20"/>
          <w:spacing w:val="-6"/>
        </w:rPr>
        <w:t xml:space="preserve"> </w:t>
      </w:r>
      <w:r>
        <w:rPr>
          <w:color w:val="231F20"/>
        </w:rPr>
        <w:t>Create</w:t>
      </w:r>
      <w:r>
        <w:rPr>
          <w:color w:val="231F20"/>
          <w:spacing w:val="-6"/>
        </w:rPr>
        <w:t xml:space="preserve"> </w:t>
      </w:r>
      <w:r>
        <w:rPr>
          <w:color w:val="231F20"/>
        </w:rPr>
        <w:t>and</w:t>
      </w:r>
      <w:r>
        <w:rPr>
          <w:color w:val="231F20"/>
          <w:spacing w:val="-6"/>
        </w:rPr>
        <w:t xml:space="preserve"> </w:t>
      </w:r>
      <w:r>
        <w:rPr>
          <w:color w:val="231F20"/>
        </w:rPr>
        <w:t>support</w:t>
      </w:r>
      <w:r>
        <w:rPr>
          <w:color w:val="231F20"/>
          <w:spacing w:val="-7"/>
        </w:rPr>
        <w:t xml:space="preserve"> </w:t>
      </w:r>
      <w:r>
        <w:rPr>
          <w:color w:val="231F20"/>
        </w:rPr>
        <w:t>a</w:t>
      </w:r>
      <w:r>
        <w:rPr>
          <w:color w:val="231F20"/>
          <w:spacing w:val="-6"/>
        </w:rPr>
        <w:t xml:space="preserve"> </w:t>
      </w:r>
      <w:r>
        <w:rPr>
          <w:color w:val="231F20"/>
        </w:rPr>
        <w:t>platform</w:t>
      </w:r>
      <w:r>
        <w:rPr>
          <w:color w:val="231F20"/>
          <w:spacing w:val="-6"/>
        </w:rPr>
        <w:t xml:space="preserve"> </w:t>
      </w:r>
      <w:r>
        <w:rPr>
          <w:color w:val="231F20"/>
        </w:rPr>
        <w:t>for</w:t>
      </w:r>
      <w:r>
        <w:rPr>
          <w:color w:val="231F20"/>
          <w:spacing w:val="-6"/>
        </w:rPr>
        <w:t xml:space="preserve"> </w:t>
      </w:r>
      <w:r>
        <w:rPr>
          <w:color w:val="231F20"/>
        </w:rPr>
        <w:t>regular</w:t>
      </w:r>
      <w:r>
        <w:rPr>
          <w:color w:val="231F20"/>
          <w:spacing w:val="-6"/>
        </w:rPr>
        <w:t xml:space="preserve"> </w:t>
      </w:r>
      <w:r>
        <w:rPr>
          <w:color w:val="231F20"/>
        </w:rPr>
        <w:t xml:space="preserve">dialogue between researchers and policy makers for evidence-based decisions; Develop a platform </w:t>
      </w:r>
      <w:r>
        <w:rPr>
          <w:color w:val="231F20"/>
          <w:spacing w:val="-6"/>
        </w:rPr>
        <w:t xml:space="preserve">to </w:t>
      </w:r>
      <w:r>
        <w:rPr>
          <w:color w:val="231F20"/>
        </w:rPr>
        <w:t>promote commercialization of research findings; Engage media on dissemination of research findings</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public.</w:t>
      </w:r>
    </w:p>
    <w:p w14:paraId="37F2DD08" w14:textId="77777777" w:rsidR="009948F1" w:rsidRDefault="009948F1">
      <w:pPr>
        <w:pStyle w:val="BodyText"/>
        <w:spacing w:before="2"/>
        <w:rPr>
          <w:sz w:val="24"/>
        </w:rPr>
      </w:pPr>
    </w:p>
    <w:p w14:paraId="7B16548B" w14:textId="77777777" w:rsidR="009948F1" w:rsidRDefault="00BC0563">
      <w:pPr>
        <w:pStyle w:val="ListParagraph"/>
        <w:numPr>
          <w:ilvl w:val="3"/>
          <w:numId w:val="264"/>
        </w:numPr>
        <w:tabs>
          <w:tab w:val="left" w:pos="1011"/>
        </w:tabs>
        <w:spacing w:line="261" w:lineRule="auto"/>
        <w:ind w:left="161" w:right="182" w:firstLine="0"/>
      </w:pPr>
      <w:r>
        <w:rPr>
          <w:color w:val="231F20"/>
        </w:rPr>
        <w:t>Facilitate</w:t>
      </w:r>
      <w:r>
        <w:rPr>
          <w:color w:val="231F20"/>
          <w:spacing w:val="-9"/>
        </w:rPr>
        <w:t xml:space="preserve"> </w:t>
      </w:r>
      <w:r>
        <w:rPr>
          <w:color w:val="231F20"/>
        </w:rPr>
        <w:t>the</w:t>
      </w:r>
      <w:r>
        <w:rPr>
          <w:color w:val="231F20"/>
          <w:spacing w:val="-8"/>
        </w:rPr>
        <w:t xml:space="preserve"> </w:t>
      </w:r>
      <w:r>
        <w:rPr>
          <w:color w:val="231F20"/>
        </w:rPr>
        <w:t>development</w:t>
      </w:r>
      <w:r>
        <w:rPr>
          <w:color w:val="231F20"/>
          <w:spacing w:val="-7"/>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repository</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collation</w:t>
      </w:r>
      <w:r>
        <w:rPr>
          <w:color w:val="231F20"/>
          <w:spacing w:val="-7"/>
        </w:rPr>
        <w:t xml:space="preserve"> </w:t>
      </w:r>
      <w:r>
        <w:rPr>
          <w:color w:val="231F20"/>
        </w:rPr>
        <w:t>and</w:t>
      </w:r>
      <w:r>
        <w:rPr>
          <w:color w:val="231F20"/>
          <w:spacing w:val="-9"/>
        </w:rPr>
        <w:t xml:space="preserve"> </w:t>
      </w:r>
      <w:r>
        <w:rPr>
          <w:color w:val="231F20"/>
        </w:rPr>
        <w:t>archiving</w:t>
      </w:r>
      <w:r>
        <w:rPr>
          <w:color w:val="231F20"/>
          <w:spacing w:val="-7"/>
        </w:rPr>
        <w:t xml:space="preserve"> </w:t>
      </w:r>
      <w:r>
        <w:rPr>
          <w:color w:val="231F20"/>
        </w:rPr>
        <w:t>of</w:t>
      </w:r>
      <w:r>
        <w:rPr>
          <w:color w:val="231F20"/>
          <w:spacing w:val="-8"/>
        </w:rPr>
        <w:t xml:space="preserve"> </w:t>
      </w:r>
      <w:r>
        <w:rPr>
          <w:color w:val="231F20"/>
        </w:rPr>
        <w:t>health-related research</w:t>
      </w:r>
      <w:r>
        <w:rPr>
          <w:color w:val="231F20"/>
          <w:spacing w:val="-7"/>
        </w:rPr>
        <w:t xml:space="preserve"> </w:t>
      </w:r>
      <w:r>
        <w:rPr>
          <w:color w:val="231F20"/>
        </w:rPr>
        <w:t>findings</w:t>
      </w:r>
      <w:r>
        <w:rPr>
          <w:color w:val="231F20"/>
          <w:spacing w:val="-7"/>
        </w:rPr>
        <w:t xml:space="preserve"> </w:t>
      </w:r>
      <w:r>
        <w:rPr>
          <w:color w:val="231F20"/>
        </w:rPr>
        <w:t>for</w:t>
      </w:r>
      <w:r>
        <w:rPr>
          <w:color w:val="231F20"/>
          <w:spacing w:val="-7"/>
        </w:rPr>
        <w:t xml:space="preserve"> </w:t>
      </w:r>
      <w:r>
        <w:rPr>
          <w:color w:val="231F20"/>
        </w:rPr>
        <w:t>improved</w:t>
      </w:r>
      <w:r>
        <w:rPr>
          <w:color w:val="231F20"/>
          <w:spacing w:val="-7"/>
        </w:rPr>
        <w:t xml:space="preserve"> </w:t>
      </w:r>
      <w:r>
        <w:rPr>
          <w:color w:val="231F20"/>
        </w:rPr>
        <w:t>knowledge</w:t>
      </w:r>
      <w:r>
        <w:rPr>
          <w:color w:val="231F20"/>
          <w:spacing w:val="-7"/>
        </w:rPr>
        <w:t xml:space="preserve"> </w:t>
      </w:r>
      <w:r>
        <w:rPr>
          <w:color w:val="231F20"/>
        </w:rPr>
        <w:t>management.</w:t>
      </w:r>
      <w:r>
        <w:rPr>
          <w:color w:val="231F20"/>
          <w:spacing w:val="-7"/>
        </w:rPr>
        <w:t xml:space="preserve"> </w:t>
      </w:r>
      <w:r>
        <w:rPr>
          <w:color w:val="231F20"/>
        </w:rPr>
        <w:t>Key</w:t>
      </w:r>
      <w:r>
        <w:rPr>
          <w:color w:val="231F20"/>
          <w:spacing w:val="-7"/>
        </w:rPr>
        <w:t xml:space="preserve"> </w:t>
      </w:r>
      <w:r>
        <w:rPr>
          <w:color w:val="231F20"/>
        </w:rPr>
        <w:t>actions</w:t>
      </w:r>
      <w:r>
        <w:rPr>
          <w:color w:val="231F20"/>
          <w:spacing w:val="-7"/>
        </w:rPr>
        <w:t xml:space="preserve"> </w:t>
      </w:r>
      <w:r>
        <w:rPr>
          <w:color w:val="231F20"/>
        </w:rPr>
        <w:t>include;</w:t>
      </w:r>
      <w:r>
        <w:rPr>
          <w:color w:val="231F20"/>
          <w:spacing w:val="-7"/>
        </w:rPr>
        <w:t xml:space="preserve"> </w:t>
      </w:r>
      <w:r>
        <w:rPr>
          <w:color w:val="231F20"/>
        </w:rPr>
        <w:t>-</w:t>
      </w:r>
      <w:r>
        <w:rPr>
          <w:color w:val="231F20"/>
          <w:spacing w:val="-7"/>
        </w:rPr>
        <w:t xml:space="preserve"> </w:t>
      </w:r>
      <w:r>
        <w:rPr>
          <w:color w:val="231F20"/>
        </w:rPr>
        <w:t>Operating</w:t>
      </w:r>
      <w:r>
        <w:rPr>
          <w:color w:val="231F20"/>
          <w:spacing w:val="-7"/>
        </w:rPr>
        <w:t xml:space="preserve"> </w:t>
      </w:r>
      <w:r>
        <w:rPr>
          <w:color w:val="231F20"/>
        </w:rPr>
        <w:t>cost</w:t>
      </w:r>
      <w:r>
        <w:rPr>
          <w:color w:val="231F20"/>
          <w:spacing w:val="-6"/>
        </w:rPr>
        <w:t xml:space="preserve"> </w:t>
      </w:r>
      <w:r>
        <w:rPr>
          <w:color w:val="231F20"/>
          <w:spacing w:val="-5"/>
        </w:rPr>
        <w:t xml:space="preserve">for </w:t>
      </w:r>
      <w:r>
        <w:rPr>
          <w:color w:val="231F20"/>
        </w:rPr>
        <w:t xml:space="preserve">engaging and supervising a contractor to establish health research library in the in the state </w:t>
      </w:r>
      <w:r>
        <w:rPr>
          <w:color w:val="231F20"/>
          <w:spacing w:val="-4"/>
        </w:rPr>
        <w:t xml:space="preserve">with </w:t>
      </w:r>
      <w:r>
        <w:rPr>
          <w:color w:val="231F20"/>
        </w:rPr>
        <w:t xml:space="preserve">assess to printed and electronic research materials; Subscribe to relevant national </w:t>
      </w:r>
      <w:r>
        <w:rPr>
          <w:color w:val="231F20"/>
          <w:spacing w:val="-4"/>
        </w:rPr>
        <w:t xml:space="preserve">and </w:t>
      </w:r>
      <w:r>
        <w:rPr>
          <w:color w:val="231F20"/>
        </w:rPr>
        <w:t>international</w:t>
      </w:r>
      <w:r>
        <w:rPr>
          <w:color w:val="231F20"/>
          <w:spacing w:val="-24"/>
        </w:rPr>
        <w:t xml:space="preserve"> </w:t>
      </w:r>
      <w:r>
        <w:rPr>
          <w:color w:val="231F20"/>
        </w:rPr>
        <w:t>health</w:t>
      </w:r>
      <w:r>
        <w:rPr>
          <w:color w:val="231F20"/>
          <w:spacing w:val="-23"/>
        </w:rPr>
        <w:t xml:space="preserve"> </w:t>
      </w:r>
      <w:r>
        <w:rPr>
          <w:color w:val="231F20"/>
        </w:rPr>
        <w:t>journals;</w:t>
      </w:r>
      <w:r>
        <w:rPr>
          <w:color w:val="231F20"/>
          <w:spacing w:val="-23"/>
        </w:rPr>
        <w:t xml:space="preserve"> </w:t>
      </w:r>
      <w:r>
        <w:rPr>
          <w:color w:val="231F20"/>
        </w:rPr>
        <w:t>Build</w:t>
      </w:r>
      <w:r>
        <w:rPr>
          <w:color w:val="231F20"/>
          <w:spacing w:val="-23"/>
        </w:rPr>
        <w:t xml:space="preserve"> </w:t>
      </w:r>
      <w:r>
        <w:rPr>
          <w:color w:val="231F20"/>
        </w:rPr>
        <w:t>capacity</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data</w:t>
      </w:r>
      <w:r>
        <w:rPr>
          <w:color w:val="231F20"/>
          <w:spacing w:val="-23"/>
        </w:rPr>
        <w:t xml:space="preserve"> </w:t>
      </w:r>
      <w:r>
        <w:rPr>
          <w:color w:val="231F20"/>
        </w:rPr>
        <w:t>managers</w:t>
      </w:r>
      <w:r>
        <w:rPr>
          <w:color w:val="231F20"/>
          <w:spacing w:val="-24"/>
        </w:rPr>
        <w:t xml:space="preserve"> </w:t>
      </w:r>
      <w:r>
        <w:rPr>
          <w:color w:val="231F20"/>
        </w:rPr>
        <w:t>and</w:t>
      </w:r>
      <w:r>
        <w:rPr>
          <w:color w:val="231F20"/>
          <w:spacing w:val="-23"/>
        </w:rPr>
        <w:t xml:space="preserve"> </w:t>
      </w:r>
      <w:r>
        <w:rPr>
          <w:color w:val="231F20"/>
        </w:rPr>
        <w:t>web</w:t>
      </w:r>
      <w:r>
        <w:rPr>
          <w:color w:val="231F20"/>
          <w:spacing w:val="-23"/>
        </w:rPr>
        <w:t xml:space="preserve"> </w:t>
      </w:r>
      <w:r>
        <w:rPr>
          <w:color w:val="231F20"/>
        </w:rPr>
        <w:t>masters</w:t>
      </w:r>
      <w:r>
        <w:rPr>
          <w:color w:val="231F20"/>
          <w:spacing w:val="-23"/>
        </w:rPr>
        <w:t xml:space="preserve"> </w:t>
      </w:r>
      <w:r>
        <w:rPr>
          <w:color w:val="231F20"/>
        </w:rPr>
        <w:t>on</w:t>
      </w:r>
      <w:r>
        <w:rPr>
          <w:color w:val="231F20"/>
          <w:spacing w:val="-23"/>
        </w:rPr>
        <w:t xml:space="preserve"> </w:t>
      </w:r>
      <w:r>
        <w:rPr>
          <w:color w:val="231F20"/>
        </w:rPr>
        <w:t>handling</w:t>
      </w:r>
      <w:r>
        <w:rPr>
          <w:color w:val="231F20"/>
          <w:spacing w:val="-23"/>
        </w:rPr>
        <w:t xml:space="preserve"> </w:t>
      </w:r>
      <w:r>
        <w:rPr>
          <w:color w:val="231F20"/>
        </w:rPr>
        <w:t>and processing of research documents; Create a mechanism for harvesting, collating, documenting and</w:t>
      </w:r>
      <w:r>
        <w:rPr>
          <w:color w:val="231F20"/>
          <w:spacing w:val="-26"/>
        </w:rPr>
        <w:t xml:space="preserve"> </w:t>
      </w:r>
      <w:r>
        <w:rPr>
          <w:color w:val="231F20"/>
        </w:rPr>
        <w:t>uploading</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researches</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website;</w:t>
      </w:r>
      <w:r>
        <w:rPr>
          <w:color w:val="231F20"/>
          <w:spacing w:val="-37"/>
        </w:rPr>
        <w:t xml:space="preserve"> </w:t>
      </w:r>
      <w:r>
        <w:rPr>
          <w:color w:val="231F20"/>
        </w:rPr>
        <w:t>Annual</w:t>
      </w:r>
      <w:r>
        <w:rPr>
          <w:color w:val="231F20"/>
          <w:spacing w:val="-25"/>
        </w:rPr>
        <w:t xml:space="preserve"> </w:t>
      </w:r>
      <w:r>
        <w:rPr>
          <w:color w:val="231F20"/>
        </w:rPr>
        <w:t>subscription</w:t>
      </w:r>
      <w:r>
        <w:rPr>
          <w:color w:val="231F20"/>
          <w:spacing w:val="-25"/>
        </w:rPr>
        <w:t xml:space="preserve"> </w:t>
      </w:r>
      <w:r>
        <w:rPr>
          <w:color w:val="231F20"/>
        </w:rPr>
        <w:t>for</w:t>
      </w:r>
      <w:r>
        <w:rPr>
          <w:color w:val="231F20"/>
          <w:spacing w:val="-25"/>
        </w:rPr>
        <w:t xml:space="preserve"> </w:t>
      </w:r>
      <w:r>
        <w:rPr>
          <w:color w:val="231F20"/>
        </w:rPr>
        <w:t>website.</w:t>
      </w:r>
    </w:p>
    <w:p w14:paraId="22B65421" w14:textId="77777777" w:rsidR="009948F1" w:rsidRDefault="009948F1">
      <w:pPr>
        <w:spacing w:line="261" w:lineRule="auto"/>
        <w:jc w:val="both"/>
        <w:sectPr w:rsidR="009948F1">
          <w:pgSz w:w="11910" w:h="16840"/>
          <w:pgMar w:top="1300" w:right="1080" w:bottom="1420" w:left="1120" w:header="0" w:footer="1235" w:gutter="0"/>
          <w:cols w:space="720"/>
        </w:sectPr>
      </w:pPr>
    </w:p>
    <w:p w14:paraId="47C644BD" w14:textId="77777777" w:rsidR="009948F1" w:rsidRDefault="00BC0563">
      <w:pPr>
        <w:pStyle w:val="Heading1"/>
        <w:spacing w:line="471" w:lineRule="exact"/>
        <w:ind w:left="694"/>
      </w:pPr>
      <w:bookmarkStart w:id="103" w:name="_TOC_250019"/>
      <w:bookmarkEnd w:id="103"/>
      <w:r>
        <w:rPr>
          <w:color w:val="231F20"/>
        </w:rPr>
        <w:lastRenderedPageBreak/>
        <w:t>CHAPTER 7</w:t>
      </w:r>
    </w:p>
    <w:p w14:paraId="1C47DCD5" w14:textId="77777777" w:rsidR="009948F1" w:rsidRDefault="00BC0563">
      <w:pPr>
        <w:pStyle w:val="Heading3"/>
        <w:spacing w:before="86" w:line="196" w:lineRule="auto"/>
        <w:ind w:left="697" w:right="1225"/>
      </w:pPr>
      <w:r>
        <w:rPr>
          <w:color w:val="231F20"/>
        </w:rPr>
        <w:t>STRATEGIC PILLAR FOUR: PROTECTION FROM PUBLIC HEALTH EMERGENCIES AND RISKS</w:t>
      </w:r>
    </w:p>
    <w:p w14:paraId="0BEF8683" w14:textId="77777777" w:rsidR="009948F1" w:rsidRDefault="009948F1">
      <w:pPr>
        <w:pStyle w:val="BodyText"/>
        <w:spacing w:before="8"/>
        <w:rPr>
          <w:rFonts w:ascii="Tahoma"/>
          <w:b/>
          <w:sz w:val="19"/>
        </w:rPr>
      </w:pPr>
    </w:p>
    <w:p w14:paraId="7F080CBA" w14:textId="77777777" w:rsidR="009948F1" w:rsidRDefault="00BC0563">
      <w:pPr>
        <w:pStyle w:val="Heading7"/>
        <w:spacing w:before="65" w:line="261" w:lineRule="auto"/>
        <w:ind w:left="188" w:right="1783"/>
        <w:jc w:val="both"/>
      </w:pPr>
      <w:r>
        <w:rPr>
          <w:color w:val="231F20"/>
        </w:rPr>
        <w:t>Priority Area 14: Public Health Emergencies: Preparedness and</w:t>
      </w:r>
      <w:r>
        <w:rPr>
          <w:color w:val="231F20"/>
          <w:spacing w:val="-25"/>
        </w:rPr>
        <w:t xml:space="preserve"> </w:t>
      </w:r>
      <w:r>
        <w:rPr>
          <w:color w:val="231F20"/>
        </w:rPr>
        <w:t>Response Context</w:t>
      </w:r>
    </w:p>
    <w:p w14:paraId="72DD4429" w14:textId="77777777" w:rsidR="009948F1" w:rsidRDefault="00BC0563">
      <w:pPr>
        <w:pStyle w:val="BodyText"/>
        <w:spacing w:line="261" w:lineRule="auto"/>
        <w:ind w:left="188" w:right="209"/>
        <w:jc w:val="both"/>
      </w:pPr>
      <w:r>
        <w:rPr>
          <w:color w:val="231F20"/>
        </w:rPr>
        <w:t>The</w:t>
      </w:r>
      <w:r>
        <w:rPr>
          <w:color w:val="231F20"/>
          <w:spacing w:val="-25"/>
        </w:rPr>
        <w:t xml:space="preserve"> </w:t>
      </w:r>
      <w:r>
        <w:rPr>
          <w:color w:val="231F20"/>
        </w:rPr>
        <w:t>Country</w:t>
      </w:r>
      <w:r>
        <w:rPr>
          <w:color w:val="231F20"/>
          <w:spacing w:val="-24"/>
        </w:rPr>
        <w:t xml:space="preserve"> </w:t>
      </w:r>
      <w:r>
        <w:rPr>
          <w:color w:val="231F20"/>
        </w:rPr>
        <w:t>has</w:t>
      </w:r>
      <w:r>
        <w:rPr>
          <w:color w:val="231F20"/>
          <w:spacing w:val="-24"/>
        </w:rPr>
        <w:t xml:space="preserve"> </w:t>
      </w:r>
      <w:r>
        <w:rPr>
          <w:color w:val="231F20"/>
        </w:rPr>
        <w:t>developing</w:t>
      </w:r>
      <w:r>
        <w:rPr>
          <w:color w:val="231F20"/>
          <w:spacing w:val="-24"/>
        </w:rPr>
        <w:t xml:space="preserve"> </w:t>
      </w:r>
      <w:r>
        <w:rPr>
          <w:color w:val="231F20"/>
        </w:rPr>
        <w:t>systems</w:t>
      </w:r>
      <w:r>
        <w:rPr>
          <w:color w:val="231F20"/>
          <w:spacing w:val="-24"/>
        </w:rPr>
        <w:t xml:space="preserve"> </w:t>
      </w:r>
      <w:r>
        <w:rPr>
          <w:color w:val="231F20"/>
        </w:rPr>
        <w:t>and</w:t>
      </w:r>
      <w:r>
        <w:rPr>
          <w:color w:val="231F20"/>
          <w:spacing w:val="-24"/>
        </w:rPr>
        <w:t xml:space="preserve"> </w:t>
      </w:r>
      <w:r>
        <w:rPr>
          <w:color w:val="231F20"/>
        </w:rPr>
        <w:t>institutions</w:t>
      </w:r>
      <w:r>
        <w:rPr>
          <w:color w:val="231F20"/>
          <w:spacing w:val="-24"/>
        </w:rPr>
        <w:t xml:space="preserve"> </w:t>
      </w:r>
      <w:r>
        <w:rPr>
          <w:color w:val="231F20"/>
        </w:rPr>
        <w:t>for</w:t>
      </w:r>
      <w:r>
        <w:rPr>
          <w:color w:val="231F20"/>
          <w:spacing w:val="-24"/>
        </w:rPr>
        <w:t xml:space="preserve"> </w:t>
      </w:r>
      <w:r>
        <w:rPr>
          <w:color w:val="231F20"/>
        </w:rPr>
        <w:t>containment</w:t>
      </w:r>
      <w:r>
        <w:rPr>
          <w:color w:val="231F20"/>
          <w:spacing w:val="-25"/>
        </w:rPr>
        <w:t xml:space="preserve"> </w:t>
      </w:r>
      <w:r>
        <w:rPr>
          <w:color w:val="231F20"/>
        </w:rPr>
        <w:t>of</w:t>
      </w:r>
      <w:r>
        <w:rPr>
          <w:color w:val="231F20"/>
          <w:spacing w:val="-24"/>
        </w:rPr>
        <w:t xml:space="preserve"> </w:t>
      </w:r>
      <w:r>
        <w:rPr>
          <w:color w:val="231F20"/>
        </w:rPr>
        <w:t>public</w:t>
      </w:r>
      <w:r>
        <w:rPr>
          <w:color w:val="231F20"/>
          <w:spacing w:val="-24"/>
        </w:rPr>
        <w:t xml:space="preserve"> </w:t>
      </w:r>
      <w:r>
        <w:rPr>
          <w:color w:val="231F20"/>
        </w:rPr>
        <w:t>health</w:t>
      </w:r>
      <w:r>
        <w:rPr>
          <w:color w:val="231F20"/>
          <w:spacing w:val="-24"/>
        </w:rPr>
        <w:t xml:space="preserve"> </w:t>
      </w:r>
      <w:r>
        <w:rPr>
          <w:color w:val="231F20"/>
        </w:rPr>
        <w:t>emergencies that</w:t>
      </w:r>
      <w:r>
        <w:rPr>
          <w:color w:val="231F20"/>
          <w:spacing w:val="-22"/>
        </w:rPr>
        <w:t xml:space="preserve"> </w:t>
      </w:r>
      <w:r>
        <w:rPr>
          <w:color w:val="231F20"/>
        </w:rPr>
        <w:t>require</w:t>
      </w:r>
      <w:r>
        <w:rPr>
          <w:color w:val="231F20"/>
          <w:spacing w:val="-21"/>
        </w:rPr>
        <w:t xml:space="preserve"> </w:t>
      </w:r>
      <w:r>
        <w:rPr>
          <w:color w:val="231F20"/>
        </w:rPr>
        <w:t>strengthening</w:t>
      </w:r>
      <w:r>
        <w:rPr>
          <w:color w:val="231F20"/>
          <w:spacing w:val="-21"/>
        </w:rPr>
        <w:t xml:space="preserve"> </w:t>
      </w:r>
      <w:r>
        <w:rPr>
          <w:color w:val="231F20"/>
        </w:rPr>
        <w:t>across</w:t>
      </w:r>
      <w:r>
        <w:rPr>
          <w:color w:val="231F20"/>
          <w:spacing w:val="-21"/>
        </w:rPr>
        <w:t xml:space="preserve"> </w:t>
      </w:r>
      <w:r>
        <w:rPr>
          <w:color w:val="231F20"/>
        </w:rPr>
        <w:t>all</w:t>
      </w:r>
      <w:r>
        <w:rPr>
          <w:color w:val="231F20"/>
          <w:spacing w:val="-21"/>
        </w:rPr>
        <w:t xml:space="preserve"> </w:t>
      </w:r>
      <w:r>
        <w:rPr>
          <w:color w:val="231F20"/>
        </w:rPr>
        <w:t>tiers</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health</w:t>
      </w:r>
      <w:r>
        <w:rPr>
          <w:color w:val="231F20"/>
          <w:spacing w:val="-21"/>
        </w:rPr>
        <w:t xml:space="preserve"> </w:t>
      </w:r>
      <w:r>
        <w:rPr>
          <w:color w:val="231F20"/>
        </w:rPr>
        <w:t>care</w:t>
      </w:r>
      <w:r>
        <w:rPr>
          <w:color w:val="231F20"/>
          <w:spacing w:val="-21"/>
        </w:rPr>
        <w:t xml:space="preserve"> </w:t>
      </w:r>
      <w:r>
        <w:rPr>
          <w:color w:val="231F20"/>
        </w:rPr>
        <w:t>system.</w:t>
      </w:r>
      <w:r>
        <w:rPr>
          <w:color w:val="231F20"/>
          <w:spacing w:val="-25"/>
        </w:rPr>
        <w:t xml:space="preserve"> </w:t>
      </w:r>
      <w:r>
        <w:rPr>
          <w:color w:val="231F20"/>
        </w:rPr>
        <w:t>The</w:t>
      </w:r>
      <w:r>
        <w:rPr>
          <w:color w:val="231F20"/>
          <w:spacing w:val="-21"/>
        </w:rPr>
        <w:t xml:space="preserve"> </w:t>
      </w:r>
      <w:r>
        <w:rPr>
          <w:color w:val="231F20"/>
        </w:rPr>
        <w:t>overall</w:t>
      </w:r>
      <w:r>
        <w:rPr>
          <w:color w:val="231F20"/>
          <w:spacing w:val="-22"/>
        </w:rPr>
        <w:t xml:space="preserve"> </w:t>
      </w:r>
      <w:r>
        <w:rPr>
          <w:color w:val="231F20"/>
        </w:rPr>
        <w:t>goal</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planned interventions is to significantly reduce the incidence and impact of public health emergencies in Rivers</w:t>
      </w:r>
      <w:r>
        <w:rPr>
          <w:color w:val="231F20"/>
          <w:spacing w:val="-25"/>
        </w:rPr>
        <w:t xml:space="preserve"> </w:t>
      </w:r>
      <w:r>
        <w:rPr>
          <w:color w:val="231F20"/>
        </w:rPr>
        <w:t>State.</w:t>
      </w:r>
    </w:p>
    <w:p w14:paraId="2D8CDE32" w14:textId="77777777" w:rsidR="009948F1" w:rsidRDefault="009948F1">
      <w:pPr>
        <w:pStyle w:val="BodyText"/>
        <w:spacing w:before="1"/>
        <w:rPr>
          <w:sz w:val="24"/>
        </w:rPr>
      </w:pPr>
    </w:p>
    <w:p w14:paraId="1034DD0A" w14:textId="77777777" w:rsidR="009948F1" w:rsidRDefault="00BC0563">
      <w:pPr>
        <w:pStyle w:val="Heading7"/>
        <w:ind w:left="188"/>
      </w:pPr>
      <w:r>
        <w:rPr>
          <w:color w:val="231F20"/>
        </w:rPr>
        <w:t>Strategic Goal</w:t>
      </w:r>
    </w:p>
    <w:p w14:paraId="571076F0" w14:textId="77777777" w:rsidR="009948F1" w:rsidRDefault="00BC0563">
      <w:pPr>
        <w:pStyle w:val="ListParagraph"/>
        <w:numPr>
          <w:ilvl w:val="1"/>
          <w:numId w:val="263"/>
        </w:numPr>
        <w:tabs>
          <w:tab w:val="left" w:pos="654"/>
        </w:tabs>
        <w:spacing w:before="23"/>
        <w:ind w:hanging="466"/>
      </w:pPr>
      <w:r>
        <w:rPr>
          <w:color w:val="231F20"/>
        </w:rPr>
        <w:t>Significantly</w:t>
      </w:r>
      <w:r>
        <w:rPr>
          <w:color w:val="231F20"/>
          <w:spacing w:val="-26"/>
        </w:rPr>
        <w:t xml:space="preserve"> </w:t>
      </w:r>
      <w:r>
        <w:rPr>
          <w:color w:val="231F20"/>
        </w:rPr>
        <w:t>reduce</w:t>
      </w:r>
      <w:r>
        <w:rPr>
          <w:color w:val="231F20"/>
          <w:spacing w:val="-25"/>
        </w:rPr>
        <w:t xml:space="preserve"> </w:t>
      </w:r>
      <w:r>
        <w:rPr>
          <w:color w:val="231F20"/>
        </w:rPr>
        <w:t>the</w:t>
      </w:r>
      <w:r>
        <w:rPr>
          <w:color w:val="231F20"/>
          <w:spacing w:val="-25"/>
        </w:rPr>
        <w:t xml:space="preserve"> </w:t>
      </w:r>
      <w:r>
        <w:rPr>
          <w:color w:val="231F20"/>
        </w:rPr>
        <w:t>incidence</w:t>
      </w:r>
      <w:r>
        <w:rPr>
          <w:color w:val="231F20"/>
          <w:spacing w:val="-25"/>
        </w:rPr>
        <w:t xml:space="preserve"> </w:t>
      </w:r>
      <w:r>
        <w:rPr>
          <w:color w:val="231F20"/>
        </w:rPr>
        <w:t>and</w:t>
      </w:r>
      <w:r>
        <w:rPr>
          <w:color w:val="231F20"/>
          <w:spacing w:val="-25"/>
        </w:rPr>
        <w:t xml:space="preserve"> </w:t>
      </w:r>
      <w:r>
        <w:rPr>
          <w:color w:val="231F20"/>
        </w:rPr>
        <w:t>impact</w:t>
      </w:r>
      <w:r>
        <w:rPr>
          <w:color w:val="231F20"/>
          <w:spacing w:val="-25"/>
        </w:rPr>
        <w:t xml:space="preserve"> </w:t>
      </w:r>
      <w:r>
        <w:rPr>
          <w:color w:val="231F20"/>
        </w:rPr>
        <w:t>of</w:t>
      </w:r>
      <w:r>
        <w:rPr>
          <w:color w:val="231F20"/>
          <w:spacing w:val="-25"/>
        </w:rPr>
        <w:t xml:space="preserve"> </w:t>
      </w:r>
      <w:r>
        <w:rPr>
          <w:color w:val="231F20"/>
        </w:rPr>
        <w:t>public</w:t>
      </w:r>
      <w:r>
        <w:rPr>
          <w:color w:val="231F20"/>
          <w:spacing w:val="-25"/>
        </w:rPr>
        <w:t xml:space="preserve"> </w:t>
      </w:r>
      <w:r>
        <w:rPr>
          <w:color w:val="231F20"/>
        </w:rPr>
        <w:t>health</w:t>
      </w:r>
      <w:r>
        <w:rPr>
          <w:color w:val="231F20"/>
          <w:spacing w:val="-25"/>
        </w:rPr>
        <w:t xml:space="preserve"> </w:t>
      </w:r>
      <w:r>
        <w:rPr>
          <w:color w:val="231F20"/>
        </w:rPr>
        <w:t>emergencies.</w:t>
      </w:r>
    </w:p>
    <w:p w14:paraId="2DAFB8C5" w14:textId="77777777" w:rsidR="009948F1" w:rsidRDefault="009948F1">
      <w:pPr>
        <w:pStyle w:val="BodyText"/>
        <w:rPr>
          <w:sz w:val="26"/>
        </w:rPr>
      </w:pPr>
    </w:p>
    <w:p w14:paraId="49502067" w14:textId="77777777" w:rsidR="009948F1" w:rsidRDefault="00BC0563">
      <w:pPr>
        <w:pStyle w:val="Heading7"/>
        <w:ind w:left="188"/>
      </w:pPr>
      <w:r>
        <w:rPr>
          <w:color w:val="231F20"/>
        </w:rPr>
        <w:t>Strategic Objectives</w:t>
      </w:r>
    </w:p>
    <w:p w14:paraId="21F7EA29" w14:textId="77777777" w:rsidR="009948F1" w:rsidRDefault="00244DD0">
      <w:pPr>
        <w:pStyle w:val="ListParagraph"/>
        <w:numPr>
          <w:ilvl w:val="2"/>
          <w:numId w:val="263"/>
        </w:numPr>
        <w:tabs>
          <w:tab w:val="left" w:pos="837"/>
        </w:tabs>
        <w:spacing w:before="23" w:line="523" w:lineRule="auto"/>
        <w:ind w:right="1335" w:firstLine="0"/>
        <w:rPr>
          <w:b/>
        </w:rPr>
      </w:pPr>
      <w:r>
        <w:pict w14:anchorId="29C39766">
          <v:shape id="_x0000_s2075" type="#_x0000_t202" style="position:absolute;left:0;text-align:left;margin-left:66.25pt;margin-top:50.7pt;width:463pt;height:200.65pt;z-index:15740928;mso-position-horizontal-relative:page" filled="f" stroked="f">
            <v:textbox inset="0,0,0,0">
              <w:txbxContent>
                <w:tbl>
                  <w:tblPr>
                    <w:tblW w:w="0" w:type="auto"/>
                    <w:tblInd w:w="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134"/>
                    <w:gridCol w:w="1234"/>
                    <w:gridCol w:w="734"/>
                    <w:gridCol w:w="734"/>
                    <w:gridCol w:w="736"/>
                    <w:gridCol w:w="734"/>
                    <w:gridCol w:w="712"/>
                    <w:gridCol w:w="1225"/>
                  </w:tblGrid>
                  <w:tr w:rsidR="00080B77" w14:paraId="37107F9D" w14:textId="77777777">
                    <w:trPr>
                      <w:trHeight w:val="260"/>
                    </w:trPr>
                    <w:tc>
                      <w:tcPr>
                        <w:tcW w:w="3134" w:type="dxa"/>
                        <w:tcBorders>
                          <w:left w:val="single" w:sz="4" w:space="0" w:color="231F20"/>
                          <w:right w:val="single" w:sz="4" w:space="0" w:color="231F20"/>
                        </w:tcBorders>
                        <w:shd w:val="clear" w:color="auto" w:fill="F4CEB2"/>
                      </w:tcPr>
                      <w:p w14:paraId="322D3B4C" w14:textId="77777777" w:rsidR="00080B77" w:rsidRDefault="00080B77">
                        <w:pPr>
                          <w:pStyle w:val="TableParagraph"/>
                          <w:spacing w:before="4" w:line="236" w:lineRule="exact"/>
                          <w:ind w:left="110"/>
                        </w:pPr>
                        <w:r>
                          <w:rPr>
                            <w:color w:val="231F20"/>
                            <w:w w:val="95"/>
                          </w:rPr>
                          <w:t>Targets</w:t>
                        </w:r>
                      </w:p>
                    </w:tc>
                    <w:tc>
                      <w:tcPr>
                        <w:tcW w:w="1234" w:type="dxa"/>
                        <w:tcBorders>
                          <w:left w:val="single" w:sz="4" w:space="0" w:color="231F20"/>
                          <w:right w:val="single" w:sz="4" w:space="0" w:color="231F20"/>
                        </w:tcBorders>
                        <w:shd w:val="clear" w:color="auto" w:fill="F4CEB2"/>
                      </w:tcPr>
                      <w:p w14:paraId="0C48929A" w14:textId="77777777" w:rsidR="00080B77" w:rsidRDefault="00080B77">
                        <w:pPr>
                          <w:pStyle w:val="TableParagraph"/>
                          <w:spacing w:before="4" w:line="236" w:lineRule="exact"/>
                          <w:ind w:left="110"/>
                        </w:pPr>
                        <w:r>
                          <w:rPr>
                            <w:color w:val="231F20"/>
                            <w:w w:val="95"/>
                          </w:rPr>
                          <w:t>Baseline</w:t>
                        </w:r>
                      </w:p>
                    </w:tc>
                    <w:tc>
                      <w:tcPr>
                        <w:tcW w:w="734" w:type="dxa"/>
                        <w:tcBorders>
                          <w:left w:val="single" w:sz="4" w:space="0" w:color="231F20"/>
                          <w:right w:val="single" w:sz="4" w:space="0" w:color="231F20"/>
                        </w:tcBorders>
                        <w:shd w:val="clear" w:color="auto" w:fill="F4CEB2"/>
                      </w:tcPr>
                      <w:p w14:paraId="572CD611" w14:textId="77777777" w:rsidR="00080B77" w:rsidRDefault="00080B77">
                        <w:pPr>
                          <w:pStyle w:val="TableParagraph"/>
                          <w:spacing w:line="241" w:lineRule="exact"/>
                          <w:ind w:left="111"/>
                          <w:rPr>
                            <w:b/>
                          </w:rPr>
                        </w:pPr>
                        <w:r>
                          <w:rPr>
                            <w:b/>
                            <w:color w:val="231F20"/>
                            <w:w w:val="95"/>
                          </w:rPr>
                          <w:t>2018</w:t>
                        </w:r>
                      </w:p>
                    </w:tc>
                    <w:tc>
                      <w:tcPr>
                        <w:tcW w:w="734" w:type="dxa"/>
                        <w:tcBorders>
                          <w:left w:val="single" w:sz="4" w:space="0" w:color="231F20"/>
                          <w:right w:val="single" w:sz="4" w:space="0" w:color="231F20"/>
                        </w:tcBorders>
                        <w:shd w:val="clear" w:color="auto" w:fill="F4CEB2"/>
                      </w:tcPr>
                      <w:p w14:paraId="6E1D25E3" w14:textId="77777777" w:rsidR="00080B77" w:rsidRDefault="00080B77">
                        <w:pPr>
                          <w:pStyle w:val="TableParagraph"/>
                          <w:spacing w:line="241" w:lineRule="exact"/>
                          <w:ind w:left="111"/>
                          <w:rPr>
                            <w:b/>
                          </w:rPr>
                        </w:pPr>
                        <w:r>
                          <w:rPr>
                            <w:b/>
                            <w:color w:val="231F20"/>
                            <w:w w:val="95"/>
                          </w:rPr>
                          <w:t>2019</w:t>
                        </w:r>
                      </w:p>
                    </w:tc>
                    <w:tc>
                      <w:tcPr>
                        <w:tcW w:w="736" w:type="dxa"/>
                        <w:tcBorders>
                          <w:left w:val="single" w:sz="4" w:space="0" w:color="231F20"/>
                          <w:right w:val="single" w:sz="4" w:space="0" w:color="231F20"/>
                        </w:tcBorders>
                        <w:shd w:val="clear" w:color="auto" w:fill="F4CEB2"/>
                      </w:tcPr>
                      <w:p w14:paraId="6F435BE4" w14:textId="77777777" w:rsidR="00080B77" w:rsidRDefault="00080B77">
                        <w:pPr>
                          <w:pStyle w:val="TableParagraph"/>
                          <w:spacing w:line="241" w:lineRule="exact"/>
                          <w:ind w:left="111"/>
                          <w:rPr>
                            <w:b/>
                          </w:rPr>
                        </w:pPr>
                        <w:r>
                          <w:rPr>
                            <w:b/>
                            <w:color w:val="231F20"/>
                            <w:w w:val="95"/>
                          </w:rPr>
                          <w:t>2020</w:t>
                        </w:r>
                      </w:p>
                    </w:tc>
                    <w:tc>
                      <w:tcPr>
                        <w:tcW w:w="734" w:type="dxa"/>
                        <w:tcBorders>
                          <w:left w:val="single" w:sz="4" w:space="0" w:color="231F20"/>
                          <w:right w:val="single" w:sz="4" w:space="0" w:color="231F20"/>
                        </w:tcBorders>
                        <w:shd w:val="clear" w:color="auto" w:fill="F4CEB2"/>
                      </w:tcPr>
                      <w:p w14:paraId="06291F5C" w14:textId="77777777" w:rsidR="00080B77" w:rsidRDefault="00080B77">
                        <w:pPr>
                          <w:pStyle w:val="TableParagraph"/>
                          <w:spacing w:line="241" w:lineRule="exact"/>
                          <w:ind w:left="110"/>
                          <w:rPr>
                            <w:b/>
                          </w:rPr>
                        </w:pPr>
                        <w:r>
                          <w:rPr>
                            <w:b/>
                            <w:color w:val="231F20"/>
                            <w:w w:val="95"/>
                          </w:rPr>
                          <w:t>2021</w:t>
                        </w:r>
                      </w:p>
                    </w:tc>
                    <w:tc>
                      <w:tcPr>
                        <w:tcW w:w="712" w:type="dxa"/>
                        <w:tcBorders>
                          <w:left w:val="single" w:sz="4" w:space="0" w:color="231F20"/>
                          <w:right w:val="single" w:sz="4" w:space="0" w:color="231F20"/>
                        </w:tcBorders>
                        <w:shd w:val="clear" w:color="auto" w:fill="F4CEB2"/>
                      </w:tcPr>
                      <w:p w14:paraId="72A4C4B1" w14:textId="77777777" w:rsidR="00080B77" w:rsidRDefault="00080B77">
                        <w:pPr>
                          <w:pStyle w:val="TableParagraph"/>
                          <w:spacing w:line="241" w:lineRule="exact"/>
                          <w:ind w:left="112"/>
                          <w:rPr>
                            <w:b/>
                          </w:rPr>
                        </w:pPr>
                        <w:r>
                          <w:rPr>
                            <w:b/>
                            <w:color w:val="231F20"/>
                            <w:w w:val="95"/>
                          </w:rPr>
                          <w:t>2022</w:t>
                        </w:r>
                      </w:p>
                    </w:tc>
                    <w:tc>
                      <w:tcPr>
                        <w:tcW w:w="1225" w:type="dxa"/>
                        <w:tcBorders>
                          <w:left w:val="single" w:sz="4" w:space="0" w:color="231F20"/>
                          <w:right w:val="single" w:sz="4" w:space="0" w:color="231F20"/>
                        </w:tcBorders>
                        <w:shd w:val="clear" w:color="auto" w:fill="F4CEB2"/>
                      </w:tcPr>
                      <w:p w14:paraId="361AA3F3" w14:textId="77777777" w:rsidR="00080B77" w:rsidRDefault="00080B77">
                        <w:pPr>
                          <w:pStyle w:val="TableParagraph"/>
                          <w:spacing w:line="241" w:lineRule="exact"/>
                          <w:ind w:left="113"/>
                          <w:rPr>
                            <w:b/>
                          </w:rPr>
                        </w:pPr>
                        <w:r>
                          <w:rPr>
                            <w:b/>
                            <w:color w:val="231F20"/>
                            <w:w w:val="95"/>
                          </w:rPr>
                          <w:t>National</w:t>
                        </w:r>
                      </w:p>
                    </w:tc>
                  </w:tr>
                  <w:tr w:rsidR="00080B77" w14:paraId="17330638" w14:textId="77777777">
                    <w:trPr>
                      <w:trHeight w:val="779"/>
                    </w:trPr>
                    <w:tc>
                      <w:tcPr>
                        <w:tcW w:w="3134" w:type="dxa"/>
                        <w:tcBorders>
                          <w:left w:val="single" w:sz="4" w:space="0" w:color="231F20"/>
                          <w:right w:val="single" w:sz="4" w:space="0" w:color="231F20"/>
                        </w:tcBorders>
                      </w:tcPr>
                      <w:p w14:paraId="0EFC77D0" w14:textId="77777777" w:rsidR="00080B77" w:rsidRDefault="00080B77">
                        <w:pPr>
                          <w:pStyle w:val="TableParagraph"/>
                          <w:spacing w:before="3" w:line="260" w:lineRule="exact"/>
                          <w:ind w:left="110"/>
                        </w:pPr>
                        <w:r>
                          <w:rPr>
                            <w:color w:val="231F20"/>
                            <w:w w:val="85"/>
                          </w:rPr>
                          <w:t xml:space="preserve">Morbidity and mortality from public </w:t>
                        </w:r>
                        <w:r>
                          <w:rPr>
                            <w:color w:val="231F20"/>
                            <w:w w:val="90"/>
                          </w:rPr>
                          <w:t xml:space="preserve">health emergencies reduced by </w:t>
                        </w:r>
                        <w:r>
                          <w:rPr>
                            <w:color w:val="231F20"/>
                            <w:w w:val="95"/>
                          </w:rPr>
                          <w:t>20%</w:t>
                        </w:r>
                      </w:p>
                    </w:tc>
                    <w:tc>
                      <w:tcPr>
                        <w:tcW w:w="1234" w:type="dxa"/>
                        <w:tcBorders>
                          <w:left w:val="single" w:sz="4" w:space="0" w:color="231F20"/>
                          <w:right w:val="single" w:sz="4" w:space="0" w:color="231F20"/>
                        </w:tcBorders>
                      </w:tcPr>
                      <w:p w14:paraId="068D2EDF" w14:textId="77777777" w:rsidR="00080B77" w:rsidRDefault="00080B77">
                        <w:pPr>
                          <w:pStyle w:val="TableParagraph"/>
                          <w:spacing w:before="4"/>
                          <w:ind w:left="110"/>
                        </w:pPr>
                        <w:r>
                          <w:rPr>
                            <w:color w:val="231F20"/>
                            <w:w w:val="95"/>
                          </w:rPr>
                          <w:t>TBD</w:t>
                        </w:r>
                      </w:p>
                    </w:tc>
                    <w:tc>
                      <w:tcPr>
                        <w:tcW w:w="734" w:type="dxa"/>
                        <w:tcBorders>
                          <w:left w:val="single" w:sz="4" w:space="0" w:color="231F20"/>
                          <w:right w:val="single" w:sz="4" w:space="0" w:color="231F20"/>
                        </w:tcBorders>
                      </w:tcPr>
                      <w:p w14:paraId="714BDF59" w14:textId="77777777" w:rsidR="00080B77" w:rsidRDefault="00080B77">
                        <w:pPr>
                          <w:pStyle w:val="TableParagraph"/>
                          <w:spacing w:before="4"/>
                          <w:ind w:left="111"/>
                        </w:pPr>
                        <w:r>
                          <w:rPr>
                            <w:color w:val="231F20"/>
                            <w:w w:val="95"/>
                          </w:rPr>
                          <w:t>10%</w:t>
                        </w:r>
                      </w:p>
                    </w:tc>
                    <w:tc>
                      <w:tcPr>
                        <w:tcW w:w="734" w:type="dxa"/>
                        <w:tcBorders>
                          <w:left w:val="single" w:sz="4" w:space="0" w:color="231F20"/>
                          <w:right w:val="single" w:sz="4" w:space="0" w:color="231F20"/>
                        </w:tcBorders>
                      </w:tcPr>
                      <w:p w14:paraId="06C45E55" w14:textId="77777777" w:rsidR="00080B77" w:rsidRDefault="00080B77">
                        <w:pPr>
                          <w:pStyle w:val="TableParagraph"/>
                          <w:spacing w:before="4"/>
                          <w:ind w:left="111"/>
                        </w:pPr>
                        <w:r>
                          <w:rPr>
                            <w:color w:val="231F20"/>
                            <w:w w:val="95"/>
                          </w:rPr>
                          <w:t>10%</w:t>
                        </w:r>
                      </w:p>
                    </w:tc>
                    <w:tc>
                      <w:tcPr>
                        <w:tcW w:w="736" w:type="dxa"/>
                        <w:tcBorders>
                          <w:left w:val="single" w:sz="4" w:space="0" w:color="231F20"/>
                          <w:right w:val="single" w:sz="4" w:space="0" w:color="231F20"/>
                        </w:tcBorders>
                      </w:tcPr>
                      <w:p w14:paraId="3663A63E" w14:textId="77777777" w:rsidR="00080B77" w:rsidRDefault="00080B77">
                        <w:pPr>
                          <w:pStyle w:val="TableParagraph"/>
                          <w:spacing w:before="4"/>
                          <w:ind w:left="111"/>
                        </w:pPr>
                        <w:r>
                          <w:rPr>
                            <w:color w:val="231F20"/>
                            <w:w w:val="95"/>
                          </w:rPr>
                          <w:t>15%</w:t>
                        </w:r>
                      </w:p>
                    </w:tc>
                    <w:tc>
                      <w:tcPr>
                        <w:tcW w:w="734" w:type="dxa"/>
                        <w:tcBorders>
                          <w:left w:val="single" w:sz="4" w:space="0" w:color="231F20"/>
                          <w:right w:val="single" w:sz="4" w:space="0" w:color="231F20"/>
                        </w:tcBorders>
                      </w:tcPr>
                      <w:p w14:paraId="27ED5751" w14:textId="77777777" w:rsidR="00080B77" w:rsidRDefault="00080B77">
                        <w:pPr>
                          <w:pStyle w:val="TableParagraph"/>
                          <w:spacing w:before="4"/>
                          <w:ind w:left="110"/>
                        </w:pPr>
                        <w:r>
                          <w:rPr>
                            <w:color w:val="231F20"/>
                            <w:w w:val="95"/>
                          </w:rPr>
                          <w:t>20%</w:t>
                        </w:r>
                      </w:p>
                    </w:tc>
                    <w:tc>
                      <w:tcPr>
                        <w:tcW w:w="712" w:type="dxa"/>
                        <w:tcBorders>
                          <w:left w:val="single" w:sz="4" w:space="0" w:color="231F20"/>
                          <w:right w:val="single" w:sz="4" w:space="0" w:color="231F20"/>
                        </w:tcBorders>
                      </w:tcPr>
                      <w:p w14:paraId="573B7A24" w14:textId="77777777" w:rsidR="00080B77" w:rsidRDefault="00080B77">
                        <w:pPr>
                          <w:pStyle w:val="TableParagraph"/>
                          <w:spacing w:before="4"/>
                          <w:ind w:left="112"/>
                        </w:pPr>
                        <w:r>
                          <w:rPr>
                            <w:color w:val="231F20"/>
                            <w:w w:val="95"/>
                          </w:rPr>
                          <w:t>20%</w:t>
                        </w:r>
                      </w:p>
                    </w:tc>
                    <w:tc>
                      <w:tcPr>
                        <w:tcW w:w="1225" w:type="dxa"/>
                        <w:tcBorders>
                          <w:left w:val="single" w:sz="4" w:space="0" w:color="231F20"/>
                          <w:right w:val="single" w:sz="4" w:space="0" w:color="231F20"/>
                        </w:tcBorders>
                      </w:tcPr>
                      <w:p w14:paraId="1FC9AE5E" w14:textId="77777777" w:rsidR="00080B77" w:rsidRDefault="00080B77">
                        <w:pPr>
                          <w:pStyle w:val="TableParagraph"/>
                          <w:spacing w:before="3" w:line="260" w:lineRule="exact"/>
                          <w:ind w:left="113"/>
                        </w:pPr>
                        <w:r>
                          <w:rPr>
                            <w:color w:val="231F20"/>
                            <w:w w:val="85"/>
                          </w:rPr>
                          <w:t xml:space="preserve">Reduced by </w:t>
                        </w:r>
                        <w:r>
                          <w:rPr>
                            <w:color w:val="231F20"/>
                            <w:w w:val="95"/>
                          </w:rPr>
                          <w:t>50% of baseline</w:t>
                        </w:r>
                      </w:p>
                    </w:tc>
                  </w:tr>
                  <w:tr w:rsidR="00080B77" w14:paraId="77DE26E0" w14:textId="77777777">
                    <w:trPr>
                      <w:trHeight w:val="779"/>
                    </w:trPr>
                    <w:tc>
                      <w:tcPr>
                        <w:tcW w:w="3134" w:type="dxa"/>
                        <w:tcBorders>
                          <w:left w:val="single" w:sz="4" w:space="0" w:color="231F20"/>
                          <w:right w:val="single" w:sz="4" w:space="0" w:color="231F20"/>
                        </w:tcBorders>
                      </w:tcPr>
                      <w:p w14:paraId="1B82636B" w14:textId="77777777" w:rsidR="00080B77" w:rsidRDefault="00080B77">
                        <w:pPr>
                          <w:pStyle w:val="TableParagraph"/>
                          <w:spacing w:before="2" w:line="260" w:lineRule="exact"/>
                          <w:ind w:left="110" w:right="141"/>
                        </w:pPr>
                        <w:r>
                          <w:rPr>
                            <w:color w:val="231F20"/>
                            <w:w w:val="90"/>
                          </w:rPr>
                          <w:t>%</w:t>
                        </w:r>
                        <w:r>
                          <w:rPr>
                            <w:color w:val="231F20"/>
                            <w:spacing w:val="-30"/>
                            <w:w w:val="90"/>
                          </w:rPr>
                          <w:t xml:space="preserve"> </w:t>
                        </w:r>
                        <w:r>
                          <w:rPr>
                            <w:color w:val="231F20"/>
                            <w:w w:val="90"/>
                          </w:rPr>
                          <w:t>of</w:t>
                        </w:r>
                        <w:r>
                          <w:rPr>
                            <w:color w:val="231F20"/>
                            <w:spacing w:val="-29"/>
                            <w:w w:val="90"/>
                          </w:rPr>
                          <w:t xml:space="preserve"> </w:t>
                        </w:r>
                        <w:r>
                          <w:rPr>
                            <w:color w:val="231F20"/>
                            <w:w w:val="90"/>
                          </w:rPr>
                          <w:t>all</w:t>
                        </w:r>
                        <w:r>
                          <w:rPr>
                            <w:color w:val="231F20"/>
                            <w:spacing w:val="-30"/>
                            <w:w w:val="90"/>
                          </w:rPr>
                          <w:t xml:space="preserve"> </w:t>
                        </w:r>
                        <w:r>
                          <w:rPr>
                            <w:color w:val="231F20"/>
                            <w:w w:val="90"/>
                          </w:rPr>
                          <w:t>health</w:t>
                        </w:r>
                        <w:r>
                          <w:rPr>
                            <w:color w:val="231F20"/>
                            <w:spacing w:val="-29"/>
                            <w:w w:val="90"/>
                          </w:rPr>
                          <w:t xml:space="preserve"> </w:t>
                        </w:r>
                        <w:r>
                          <w:rPr>
                            <w:color w:val="231F20"/>
                            <w:w w:val="90"/>
                          </w:rPr>
                          <w:t>facilities</w:t>
                        </w:r>
                        <w:r>
                          <w:rPr>
                            <w:color w:val="231F20"/>
                            <w:spacing w:val="-30"/>
                            <w:w w:val="90"/>
                          </w:rPr>
                          <w:t xml:space="preserve"> </w:t>
                        </w:r>
                        <w:r>
                          <w:rPr>
                            <w:color w:val="231F20"/>
                            <w:w w:val="90"/>
                          </w:rPr>
                          <w:t>in</w:t>
                        </w:r>
                        <w:r>
                          <w:rPr>
                            <w:color w:val="231F20"/>
                            <w:spacing w:val="-29"/>
                            <w:w w:val="90"/>
                          </w:rPr>
                          <w:t xml:space="preserve"> </w:t>
                        </w:r>
                        <w:r>
                          <w:rPr>
                            <w:color w:val="231F20"/>
                            <w:w w:val="90"/>
                          </w:rPr>
                          <w:t>the</w:t>
                        </w:r>
                        <w:r>
                          <w:rPr>
                            <w:color w:val="231F20"/>
                            <w:spacing w:val="-30"/>
                            <w:w w:val="90"/>
                          </w:rPr>
                          <w:t xml:space="preserve"> </w:t>
                        </w:r>
                        <w:r>
                          <w:rPr>
                            <w:color w:val="231F20"/>
                            <w:w w:val="90"/>
                          </w:rPr>
                          <w:t xml:space="preserve">State </w:t>
                        </w:r>
                        <w:r>
                          <w:rPr>
                            <w:color w:val="231F20"/>
                            <w:w w:val="85"/>
                          </w:rPr>
                          <w:t xml:space="preserve">participate in disease surveillance </w:t>
                        </w:r>
                        <w:r>
                          <w:rPr>
                            <w:color w:val="231F20"/>
                            <w:w w:val="95"/>
                          </w:rPr>
                          <w:t>and</w:t>
                        </w:r>
                        <w:r>
                          <w:rPr>
                            <w:color w:val="231F20"/>
                            <w:spacing w:val="-39"/>
                            <w:w w:val="95"/>
                          </w:rPr>
                          <w:t xml:space="preserve"> </w:t>
                        </w:r>
                        <w:r>
                          <w:rPr>
                            <w:color w:val="231F20"/>
                            <w:w w:val="95"/>
                          </w:rPr>
                          <w:t>reporting</w:t>
                        </w:r>
                        <w:r>
                          <w:rPr>
                            <w:color w:val="231F20"/>
                            <w:spacing w:val="-39"/>
                            <w:w w:val="95"/>
                          </w:rPr>
                          <w:t xml:space="preserve"> </w:t>
                        </w:r>
                        <w:r>
                          <w:rPr>
                            <w:color w:val="231F20"/>
                            <w:w w:val="95"/>
                          </w:rPr>
                          <w:t>using</w:t>
                        </w:r>
                        <w:r>
                          <w:rPr>
                            <w:color w:val="231F20"/>
                            <w:spacing w:val="-39"/>
                            <w:w w:val="95"/>
                          </w:rPr>
                          <w:t xml:space="preserve"> </w:t>
                        </w:r>
                        <w:r>
                          <w:rPr>
                            <w:color w:val="231F20"/>
                            <w:w w:val="95"/>
                          </w:rPr>
                          <w:t>IDSR</w:t>
                        </w:r>
                        <w:r>
                          <w:rPr>
                            <w:color w:val="231F20"/>
                            <w:spacing w:val="-39"/>
                            <w:w w:val="95"/>
                          </w:rPr>
                          <w:t xml:space="preserve"> </w:t>
                        </w:r>
                        <w:r>
                          <w:rPr>
                            <w:color w:val="231F20"/>
                            <w:w w:val="95"/>
                          </w:rPr>
                          <w:t>tools.</w:t>
                        </w:r>
                      </w:p>
                    </w:tc>
                    <w:tc>
                      <w:tcPr>
                        <w:tcW w:w="1234" w:type="dxa"/>
                        <w:tcBorders>
                          <w:left w:val="single" w:sz="4" w:space="0" w:color="231F20"/>
                          <w:right w:val="single" w:sz="4" w:space="0" w:color="231F20"/>
                        </w:tcBorders>
                      </w:tcPr>
                      <w:p w14:paraId="742CC7E0" w14:textId="77777777" w:rsidR="00080B77" w:rsidRDefault="00080B77">
                        <w:pPr>
                          <w:pStyle w:val="TableParagraph"/>
                          <w:spacing w:before="4"/>
                          <w:ind w:left="110"/>
                        </w:pPr>
                        <w:r>
                          <w:rPr>
                            <w:color w:val="231F20"/>
                            <w:w w:val="95"/>
                          </w:rPr>
                          <w:t>TBD</w:t>
                        </w:r>
                      </w:p>
                    </w:tc>
                    <w:tc>
                      <w:tcPr>
                        <w:tcW w:w="734" w:type="dxa"/>
                        <w:tcBorders>
                          <w:left w:val="single" w:sz="4" w:space="0" w:color="231F20"/>
                          <w:right w:val="single" w:sz="4" w:space="0" w:color="231F20"/>
                        </w:tcBorders>
                      </w:tcPr>
                      <w:p w14:paraId="74FCCB91" w14:textId="77777777" w:rsidR="00080B77" w:rsidRDefault="00080B77">
                        <w:pPr>
                          <w:pStyle w:val="TableParagraph"/>
                          <w:spacing w:before="4"/>
                          <w:ind w:left="111"/>
                        </w:pPr>
                        <w:r>
                          <w:rPr>
                            <w:color w:val="231F20"/>
                            <w:w w:val="95"/>
                          </w:rPr>
                          <w:t>85%</w:t>
                        </w:r>
                      </w:p>
                    </w:tc>
                    <w:tc>
                      <w:tcPr>
                        <w:tcW w:w="734" w:type="dxa"/>
                        <w:tcBorders>
                          <w:left w:val="single" w:sz="4" w:space="0" w:color="231F20"/>
                          <w:right w:val="single" w:sz="4" w:space="0" w:color="231F20"/>
                        </w:tcBorders>
                      </w:tcPr>
                      <w:p w14:paraId="211A68CC" w14:textId="77777777" w:rsidR="00080B77" w:rsidRDefault="00080B77">
                        <w:pPr>
                          <w:pStyle w:val="TableParagraph"/>
                          <w:spacing w:before="4"/>
                          <w:ind w:left="111"/>
                        </w:pPr>
                        <w:r>
                          <w:rPr>
                            <w:color w:val="231F20"/>
                            <w:w w:val="95"/>
                          </w:rPr>
                          <w:t>87%</w:t>
                        </w:r>
                      </w:p>
                    </w:tc>
                    <w:tc>
                      <w:tcPr>
                        <w:tcW w:w="736" w:type="dxa"/>
                        <w:tcBorders>
                          <w:left w:val="single" w:sz="4" w:space="0" w:color="231F20"/>
                          <w:right w:val="single" w:sz="4" w:space="0" w:color="231F20"/>
                        </w:tcBorders>
                      </w:tcPr>
                      <w:p w14:paraId="0D331BFA" w14:textId="77777777" w:rsidR="00080B77" w:rsidRDefault="00080B77">
                        <w:pPr>
                          <w:pStyle w:val="TableParagraph"/>
                          <w:spacing w:before="4"/>
                          <w:ind w:left="111"/>
                        </w:pPr>
                        <w:r>
                          <w:rPr>
                            <w:color w:val="231F20"/>
                            <w:w w:val="95"/>
                          </w:rPr>
                          <w:t>89%</w:t>
                        </w:r>
                      </w:p>
                    </w:tc>
                    <w:tc>
                      <w:tcPr>
                        <w:tcW w:w="734" w:type="dxa"/>
                        <w:tcBorders>
                          <w:left w:val="single" w:sz="4" w:space="0" w:color="231F20"/>
                          <w:right w:val="single" w:sz="4" w:space="0" w:color="231F20"/>
                        </w:tcBorders>
                      </w:tcPr>
                      <w:p w14:paraId="7CC4EC54" w14:textId="77777777" w:rsidR="00080B77" w:rsidRDefault="00080B77">
                        <w:pPr>
                          <w:pStyle w:val="TableParagraph"/>
                          <w:spacing w:before="4"/>
                          <w:ind w:left="110"/>
                        </w:pPr>
                        <w:r>
                          <w:rPr>
                            <w:color w:val="231F20"/>
                            <w:w w:val="95"/>
                          </w:rPr>
                          <w:t>90%</w:t>
                        </w:r>
                      </w:p>
                    </w:tc>
                    <w:tc>
                      <w:tcPr>
                        <w:tcW w:w="712" w:type="dxa"/>
                        <w:tcBorders>
                          <w:left w:val="single" w:sz="4" w:space="0" w:color="231F20"/>
                          <w:right w:val="single" w:sz="4" w:space="0" w:color="231F20"/>
                        </w:tcBorders>
                      </w:tcPr>
                      <w:p w14:paraId="29AB60A8" w14:textId="77777777" w:rsidR="00080B77" w:rsidRDefault="00080B77">
                        <w:pPr>
                          <w:pStyle w:val="TableParagraph"/>
                          <w:spacing w:before="4"/>
                          <w:ind w:left="112"/>
                        </w:pPr>
                        <w:r>
                          <w:rPr>
                            <w:color w:val="231F20"/>
                            <w:w w:val="95"/>
                          </w:rPr>
                          <w:t>93%</w:t>
                        </w:r>
                      </w:p>
                    </w:tc>
                    <w:tc>
                      <w:tcPr>
                        <w:tcW w:w="1225" w:type="dxa"/>
                        <w:tcBorders>
                          <w:left w:val="single" w:sz="4" w:space="0" w:color="231F20"/>
                          <w:right w:val="single" w:sz="4" w:space="0" w:color="231F20"/>
                        </w:tcBorders>
                      </w:tcPr>
                      <w:p w14:paraId="2EA7D68A" w14:textId="77777777" w:rsidR="00080B77" w:rsidRDefault="00080B77">
                        <w:pPr>
                          <w:pStyle w:val="TableParagraph"/>
                          <w:spacing w:before="4" w:line="247" w:lineRule="auto"/>
                          <w:ind w:left="113" w:right="421"/>
                        </w:pPr>
                        <w:r>
                          <w:rPr>
                            <w:color w:val="231F20"/>
                            <w:w w:val="90"/>
                          </w:rPr>
                          <w:t xml:space="preserve">At least </w:t>
                        </w:r>
                        <w:r>
                          <w:rPr>
                            <w:color w:val="231F20"/>
                            <w:w w:val="95"/>
                          </w:rPr>
                          <w:t>50%</w:t>
                        </w:r>
                      </w:p>
                    </w:tc>
                  </w:tr>
                  <w:tr w:rsidR="00080B77" w14:paraId="34AAF4C7" w14:textId="77777777">
                    <w:trPr>
                      <w:trHeight w:val="518"/>
                    </w:trPr>
                    <w:tc>
                      <w:tcPr>
                        <w:tcW w:w="3134" w:type="dxa"/>
                        <w:tcBorders>
                          <w:left w:val="single" w:sz="4" w:space="0" w:color="231F20"/>
                          <w:right w:val="single" w:sz="4" w:space="0" w:color="231F20"/>
                        </w:tcBorders>
                      </w:tcPr>
                      <w:p w14:paraId="208648CD" w14:textId="77777777" w:rsidR="00080B77" w:rsidRDefault="00080B77">
                        <w:pPr>
                          <w:pStyle w:val="TableParagraph"/>
                          <w:spacing w:before="3" w:line="260" w:lineRule="exact"/>
                          <w:ind w:left="110" w:right="328"/>
                        </w:pPr>
                        <w:r>
                          <w:rPr>
                            <w:color w:val="231F20"/>
                            <w:w w:val="90"/>
                          </w:rPr>
                          <w:t>%</w:t>
                        </w:r>
                        <w:r>
                          <w:rPr>
                            <w:color w:val="231F20"/>
                            <w:spacing w:val="-36"/>
                            <w:w w:val="90"/>
                          </w:rPr>
                          <w:t xml:space="preserve"> </w:t>
                        </w:r>
                        <w:r>
                          <w:rPr>
                            <w:color w:val="231F20"/>
                            <w:w w:val="90"/>
                          </w:rPr>
                          <w:t>of</w:t>
                        </w:r>
                        <w:r>
                          <w:rPr>
                            <w:color w:val="231F20"/>
                            <w:spacing w:val="-35"/>
                            <w:w w:val="90"/>
                          </w:rPr>
                          <w:t xml:space="preserve"> </w:t>
                        </w:r>
                        <w:r>
                          <w:rPr>
                            <w:color w:val="231F20"/>
                            <w:w w:val="90"/>
                          </w:rPr>
                          <w:t>the</w:t>
                        </w:r>
                        <w:r>
                          <w:rPr>
                            <w:color w:val="231F20"/>
                            <w:spacing w:val="-35"/>
                            <w:w w:val="90"/>
                          </w:rPr>
                          <w:t xml:space="preserve"> </w:t>
                        </w:r>
                        <w:r>
                          <w:rPr>
                            <w:color w:val="231F20"/>
                            <w:w w:val="90"/>
                          </w:rPr>
                          <w:t>population</w:t>
                        </w:r>
                        <w:r>
                          <w:rPr>
                            <w:color w:val="231F20"/>
                            <w:spacing w:val="-35"/>
                            <w:w w:val="90"/>
                          </w:rPr>
                          <w:t xml:space="preserve"> </w:t>
                        </w:r>
                        <w:r>
                          <w:rPr>
                            <w:color w:val="231F20"/>
                            <w:w w:val="90"/>
                          </w:rPr>
                          <w:t>covered</w:t>
                        </w:r>
                        <w:r>
                          <w:rPr>
                            <w:color w:val="231F20"/>
                            <w:spacing w:val="-35"/>
                            <w:w w:val="90"/>
                          </w:rPr>
                          <w:t xml:space="preserve"> </w:t>
                        </w:r>
                        <w:r>
                          <w:rPr>
                            <w:color w:val="231F20"/>
                            <w:spacing w:val="-5"/>
                            <w:w w:val="90"/>
                          </w:rPr>
                          <w:t xml:space="preserve">with </w:t>
                        </w:r>
                        <w:r>
                          <w:rPr>
                            <w:color w:val="231F20"/>
                            <w:w w:val="95"/>
                          </w:rPr>
                          <w:t>surveillance</w:t>
                        </w:r>
                        <w:r>
                          <w:rPr>
                            <w:color w:val="231F20"/>
                            <w:spacing w:val="-28"/>
                            <w:w w:val="95"/>
                          </w:rPr>
                          <w:t xml:space="preserve"> </w:t>
                        </w:r>
                        <w:r>
                          <w:rPr>
                            <w:color w:val="231F20"/>
                            <w:w w:val="95"/>
                          </w:rPr>
                          <w:t>alert</w:t>
                        </w:r>
                        <w:r>
                          <w:rPr>
                            <w:color w:val="231F20"/>
                            <w:spacing w:val="-27"/>
                            <w:w w:val="95"/>
                          </w:rPr>
                          <w:t xml:space="preserve"> </w:t>
                        </w:r>
                        <w:r>
                          <w:rPr>
                            <w:color w:val="231F20"/>
                            <w:w w:val="95"/>
                          </w:rPr>
                          <w:t>systems</w:t>
                        </w:r>
                      </w:p>
                    </w:tc>
                    <w:tc>
                      <w:tcPr>
                        <w:tcW w:w="1234" w:type="dxa"/>
                        <w:tcBorders>
                          <w:left w:val="single" w:sz="4" w:space="0" w:color="231F20"/>
                          <w:right w:val="single" w:sz="4" w:space="0" w:color="231F20"/>
                        </w:tcBorders>
                      </w:tcPr>
                      <w:p w14:paraId="5AA3A9D3" w14:textId="77777777" w:rsidR="00080B77" w:rsidRDefault="00080B77">
                        <w:pPr>
                          <w:pStyle w:val="TableParagraph"/>
                          <w:spacing w:before="5"/>
                          <w:ind w:left="110"/>
                        </w:pPr>
                        <w:r>
                          <w:rPr>
                            <w:color w:val="231F20"/>
                            <w:w w:val="95"/>
                          </w:rPr>
                          <w:t>TBD</w:t>
                        </w:r>
                      </w:p>
                    </w:tc>
                    <w:tc>
                      <w:tcPr>
                        <w:tcW w:w="734" w:type="dxa"/>
                        <w:tcBorders>
                          <w:left w:val="single" w:sz="4" w:space="0" w:color="231F20"/>
                          <w:right w:val="single" w:sz="4" w:space="0" w:color="231F20"/>
                        </w:tcBorders>
                      </w:tcPr>
                      <w:p w14:paraId="53B6FD2F" w14:textId="77777777" w:rsidR="00080B77" w:rsidRDefault="00080B77">
                        <w:pPr>
                          <w:pStyle w:val="TableParagraph"/>
                          <w:spacing w:before="5"/>
                          <w:ind w:left="111"/>
                        </w:pPr>
                        <w:r>
                          <w:rPr>
                            <w:color w:val="231F20"/>
                            <w:w w:val="95"/>
                          </w:rPr>
                          <w:t>30%</w:t>
                        </w:r>
                      </w:p>
                    </w:tc>
                    <w:tc>
                      <w:tcPr>
                        <w:tcW w:w="734" w:type="dxa"/>
                        <w:tcBorders>
                          <w:left w:val="single" w:sz="4" w:space="0" w:color="231F20"/>
                          <w:right w:val="single" w:sz="4" w:space="0" w:color="231F20"/>
                        </w:tcBorders>
                      </w:tcPr>
                      <w:p w14:paraId="2E1BE5BE" w14:textId="77777777" w:rsidR="00080B77" w:rsidRDefault="00080B77">
                        <w:pPr>
                          <w:pStyle w:val="TableParagraph"/>
                          <w:spacing w:before="5"/>
                          <w:ind w:left="111"/>
                        </w:pPr>
                        <w:r>
                          <w:rPr>
                            <w:color w:val="231F20"/>
                            <w:w w:val="95"/>
                          </w:rPr>
                          <w:t>40%</w:t>
                        </w:r>
                      </w:p>
                    </w:tc>
                    <w:tc>
                      <w:tcPr>
                        <w:tcW w:w="736" w:type="dxa"/>
                        <w:tcBorders>
                          <w:left w:val="single" w:sz="4" w:space="0" w:color="231F20"/>
                          <w:right w:val="single" w:sz="4" w:space="0" w:color="231F20"/>
                        </w:tcBorders>
                      </w:tcPr>
                      <w:p w14:paraId="7F49728D" w14:textId="77777777" w:rsidR="00080B77" w:rsidRDefault="00080B77">
                        <w:pPr>
                          <w:pStyle w:val="TableParagraph"/>
                          <w:spacing w:before="5"/>
                          <w:ind w:left="111"/>
                        </w:pPr>
                        <w:r>
                          <w:rPr>
                            <w:color w:val="231F20"/>
                            <w:w w:val="95"/>
                          </w:rPr>
                          <w:t>50%</w:t>
                        </w:r>
                      </w:p>
                    </w:tc>
                    <w:tc>
                      <w:tcPr>
                        <w:tcW w:w="734" w:type="dxa"/>
                        <w:tcBorders>
                          <w:left w:val="single" w:sz="4" w:space="0" w:color="231F20"/>
                          <w:right w:val="single" w:sz="4" w:space="0" w:color="231F20"/>
                        </w:tcBorders>
                      </w:tcPr>
                      <w:p w14:paraId="3FBC84D5" w14:textId="77777777" w:rsidR="00080B77" w:rsidRDefault="00080B77">
                        <w:pPr>
                          <w:pStyle w:val="TableParagraph"/>
                          <w:spacing w:before="5"/>
                          <w:ind w:left="110"/>
                        </w:pPr>
                        <w:r>
                          <w:rPr>
                            <w:color w:val="231F20"/>
                            <w:w w:val="95"/>
                          </w:rPr>
                          <w:t>60%</w:t>
                        </w:r>
                      </w:p>
                    </w:tc>
                    <w:tc>
                      <w:tcPr>
                        <w:tcW w:w="712" w:type="dxa"/>
                        <w:tcBorders>
                          <w:left w:val="single" w:sz="4" w:space="0" w:color="231F20"/>
                          <w:right w:val="single" w:sz="4" w:space="0" w:color="231F20"/>
                        </w:tcBorders>
                      </w:tcPr>
                      <w:p w14:paraId="3E40B1BA" w14:textId="77777777" w:rsidR="00080B77" w:rsidRDefault="00080B77">
                        <w:pPr>
                          <w:pStyle w:val="TableParagraph"/>
                          <w:spacing w:before="5"/>
                          <w:ind w:left="112"/>
                        </w:pPr>
                        <w:r>
                          <w:rPr>
                            <w:color w:val="231F20"/>
                            <w:w w:val="95"/>
                          </w:rPr>
                          <w:t>70%</w:t>
                        </w:r>
                      </w:p>
                    </w:tc>
                    <w:tc>
                      <w:tcPr>
                        <w:tcW w:w="1225" w:type="dxa"/>
                        <w:tcBorders>
                          <w:left w:val="single" w:sz="4" w:space="0" w:color="231F20"/>
                          <w:right w:val="single" w:sz="4" w:space="0" w:color="231F20"/>
                        </w:tcBorders>
                      </w:tcPr>
                      <w:p w14:paraId="52EEF7F3" w14:textId="77777777" w:rsidR="00080B77" w:rsidRDefault="00080B77">
                        <w:pPr>
                          <w:pStyle w:val="TableParagraph"/>
                          <w:spacing w:before="3" w:line="260" w:lineRule="exact"/>
                          <w:ind w:left="113" w:right="421"/>
                        </w:pPr>
                        <w:r>
                          <w:rPr>
                            <w:color w:val="231F20"/>
                            <w:w w:val="90"/>
                          </w:rPr>
                          <w:t xml:space="preserve">At least </w:t>
                        </w:r>
                        <w:r>
                          <w:rPr>
                            <w:color w:val="231F20"/>
                            <w:w w:val="95"/>
                          </w:rPr>
                          <w:t>75%</w:t>
                        </w:r>
                      </w:p>
                    </w:tc>
                  </w:tr>
                  <w:tr w:rsidR="00080B77" w14:paraId="11116D4C" w14:textId="77777777">
                    <w:trPr>
                      <w:trHeight w:val="778"/>
                    </w:trPr>
                    <w:tc>
                      <w:tcPr>
                        <w:tcW w:w="3134" w:type="dxa"/>
                        <w:tcBorders>
                          <w:left w:val="single" w:sz="4" w:space="0" w:color="231F20"/>
                          <w:right w:val="single" w:sz="4" w:space="0" w:color="231F20"/>
                        </w:tcBorders>
                      </w:tcPr>
                      <w:p w14:paraId="1D7D456B" w14:textId="77777777" w:rsidR="00080B77" w:rsidRDefault="00080B77">
                        <w:pPr>
                          <w:pStyle w:val="TableParagraph"/>
                          <w:spacing w:line="247" w:lineRule="auto"/>
                          <w:ind w:left="110"/>
                        </w:pPr>
                        <w:r>
                          <w:rPr>
                            <w:color w:val="231F20"/>
                            <w:w w:val="95"/>
                          </w:rPr>
                          <w:t xml:space="preserve">Proportion of responses to all </w:t>
                        </w:r>
                        <w:r>
                          <w:rPr>
                            <w:color w:val="231F20"/>
                            <w:w w:val="85"/>
                          </w:rPr>
                          <w:t>confirmed epidemics that fall within</w:t>
                        </w:r>
                      </w:p>
                      <w:p w14:paraId="69DCEC84" w14:textId="77777777" w:rsidR="00080B77" w:rsidRDefault="00080B77">
                        <w:pPr>
                          <w:pStyle w:val="TableParagraph"/>
                          <w:spacing w:before="4" w:line="233" w:lineRule="exact"/>
                          <w:ind w:left="110"/>
                        </w:pPr>
                        <w:r>
                          <w:rPr>
                            <w:color w:val="231F20"/>
                            <w:w w:val="95"/>
                          </w:rPr>
                          <w:t>the 24 – 48-hour window</w:t>
                        </w:r>
                      </w:p>
                    </w:tc>
                    <w:tc>
                      <w:tcPr>
                        <w:tcW w:w="1234" w:type="dxa"/>
                        <w:tcBorders>
                          <w:left w:val="single" w:sz="4" w:space="0" w:color="231F20"/>
                          <w:right w:val="single" w:sz="4" w:space="0" w:color="231F20"/>
                        </w:tcBorders>
                      </w:tcPr>
                      <w:p w14:paraId="5B6A6B34" w14:textId="77777777" w:rsidR="00080B77" w:rsidRDefault="00080B77">
                        <w:pPr>
                          <w:pStyle w:val="TableParagraph"/>
                          <w:ind w:left="110"/>
                        </w:pPr>
                        <w:r>
                          <w:rPr>
                            <w:color w:val="231F20"/>
                            <w:w w:val="95"/>
                          </w:rPr>
                          <w:t>TBD</w:t>
                        </w:r>
                      </w:p>
                    </w:tc>
                    <w:tc>
                      <w:tcPr>
                        <w:tcW w:w="734" w:type="dxa"/>
                        <w:tcBorders>
                          <w:left w:val="single" w:sz="4" w:space="0" w:color="231F20"/>
                          <w:right w:val="single" w:sz="4" w:space="0" w:color="231F20"/>
                        </w:tcBorders>
                      </w:tcPr>
                      <w:p w14:paraId="1C9F8F45" w14:textId="77777777" w:rsidR="00080B77" w:rsidRDefault="00080B77">
                        <w:pPr>
                          <w:pStyle w:val="TableParagraph"/>
                          <w:ind w:left="111"/>
                        </w:pPr>
                        <w:r>
                          <w:rPr>
                            <w:color w:val="231F20"/>
                            <w:w w:val="95"/>
                          </w:rPr>
                          <w:t>20%</w:t>
                        </w:r>
                      </w:p>
                    </w:tc>
                    <w:tc>
                      <w:tcPr>
                        <w:tcW w:w="734" w:type="dxa"/>
                        <w:tcBorders>
                          <w:left w:val="single" w:sz="4" w:space="0" w:color="231F20"/>
                          <w:right w:val="single" w:sz="4" w:space="0" w:color="231F20"/>
                        </w:tcBorders>
                      </w:tcPr>
                      <w:p w14:paraId="30481AB1" w14:textId="77777777" w:rsidR="00080B77" w:rsidRDefault="00080B77">
                        <w:pPr>
                          <w:pStyle w:val="TableParagraph"/>
                          <w:ind w:left="111"/>
                        </w:pPr>
                        <w:r>
                          <w:rPr>
                            <w:color w:val="231F20"/>
                            <w:w w:val="95"/>
                          </w:rPr>
                          <w:t>30%</w:t>
                        </w:r>
                      </w:p>
                    </w:tc>
                    <w:tc>
                      <w:tcPr>
                        <w:tcW w:w="736" w:type="dxa"/>
                        <w:tcBorders>
                          <w:left w:val="single" w:sz="4" w:space="0" w:color="231F20"/>
                          <w:right w:val="single" w:sz="4" w:space="0" w:color="231F20"/>
                        </w:tcBorders>
                      </w:tcPr>
                      <w:p w14:paraId="5934BCDC" w14:textId="77777777" w:rsidR="00080B77" w:rsidRDefault="00080B77">
                        <w:pPr>
                          <w:pStyle w:val="TableParagraph"/>
                          <w:ind w:left="111"/>
                        </w:pPr>
                        <w:r>
                          <w:rPr>
                            <w:color w:val="231F20"/>
                            <w:w w:val="95"/>
                          </w:rPr>
                          <w:t>40%</w:t>
                        </w:r>
                      </w:p>
                    </w:tc>
                    <w:tc>
                      <w:tcPr>
                        <w:tcW w:w="734" w:type="dxa"/>
                        <w:tcBorders>
                          <w:left w:val="single" w:sz="4" w:space="0" w:color="231F20"/>
                          <w:right w:val="single" w:sz="4" w:space="0" w:color="231F20"/>
                        </w:tcBorders>
                      </w:tcPr>
                      <w:p w14:paraId="573E257A" w14:textId="77777777" w:rsidR="00080B77" w:rsidRDefault="00080B77">
                        <w:pPr>
                          <w:pStyle w:val="TableParagraph"/>
                          <w:ind w:left="110"/>
                        </w:pPr>
                        <w:r>
                          <w:rPr>
                            <w:color w:val="231F20"/>
                            <w:w w:val="95"/>
                          </w:rPr>
                          <w:t>50%</w:t>
                        </w:r>
                      </w:p>
                    </w:tc>
                    <w:tc>
                      <w:tcPr>
                        <w:tcW w:w="712" w:type="dxa"/>
                        <w:tcBorders>
                          <w:left w:val="single" w:sz="4" w:space="0" w:color="231F20"/>
                          <w:right w:val="single" w:sz="4" w:space="0" w:color="231F20"/>
                        </w:tcBorders>
                      </w:tcPr>
                      <w:p w14:paraId="0630A632" w14:textId="77777777" w:rsidR="00080B77" w:rsidRDefault="00080B77">
                        <w:pPr>
                          <w:pStyle w:val="TableParagraph"/>
                          <w:ind w:left="112"/>
                        </w:pPr>
                        <w:r>
                          <w:rPr>
                            <w:color w:val="231F20"/>
                            <w:w w:val="95"/>
                          </w:rPr>
                          <w:t>60%</w:t>
                        </w:r>
                      </w:p>
                    </w:tc>
                    <w:tc>
                      <w:tcPr>
                        <w:tcW w:w="1225" w:type="dxa"/>
                        <w:tcBorders>
                          <w:left w:val="single" w:sz="4" w:space="0" w:color="231F20"/>
                          <w:right w:val="single" w:sz="4" w:space="0" w:color="231F20"/>
                        </w:tcBorders>
                      </w:tcPr>
                      <w:p w14:paraId="13647CB8" w14:textId="77777777" w:rsidR="00080B77" w:rsidRDefault="00080B77">
                        <w:pPr>
                          <w:pStyle w:val="TableParagraph"/>
                          <w:spacing w:line="247" w:lineRule="auto"/>
                          <w:ind w:left="113" w:right="174"/>
                        </w:pPr>
                        <w:r>
                          <w:rPr>
                            <w:color w:val="231F20"/>
                            <w:w w:val="80"/>
                          </w:rPr>
                          <w:t xml:space="preserve">Increased </w:t>
                        </w:r>
                        <w:r>
                          <w:rPr>
                            <w:color w:val="231F20"/>
                            <w:w w:val="95"/>
                          </w:rPr>
                          <w:t>to 80%</w:t>
                        </w:r>
                      </w:p>
                    </w:tc>
                  </w:tr>
                  <w:tr w:rsidR="00080B77" w14:paraId="7D5ACD6F" w14:textId="77777777">
                    <w:trPr>
                      <w:trHeight w:val="782"/>
                    </w:trPr>
                    <w:tc>
                      <w:tcPr>
                        <w:tcW w:w="3134" w:type="dxa"/>
                        <w:tcBorders>
                          <w:left w:val="single" w:sz="4" w:space="0" w:color="231F20"/>
                          <w:right w:val="single" w:sz="4" w:space="0" w:color="231F20"/>
                        </w:tcBorders>
                      </w:tcPr>
                      <w:p w14:paraId="649AB6E7" w14:textId="77777777" w:rsidR="00080B77" w:rsidRDefault="00080B77">
                        <w:pPr>
                          <w:pStyle w:val="TableParagraph"/>
                          <w:spacing w:before="4" w:line="247" w:lineRule="auto"/>
                          <w:ind w:left="110" w:right="121"/>
                        </w:pPr>
                        <w:r>
                          <w:rPr>
                            <w:color w:val="231F20"/>
                            <w:w w:val="85"/>
                          </w:rPr>
                          <w:t xml:space="preserve">Proportion of road traffic accidents </w:t>
                        </w:r>
                        <w:r>
                          <w:rPr>
                            <w:color w:val="231F20"/>
                            <w:w w:val="90"/>
                          </w:rPr>
                          <w:t>that fall within the 1-hour window</w:t>
                        </w:r>
                      </w:p>
                      <w:p w14:paraId="1E67A1E6" w14:textId="77777777" w:rsidR="00080B77" w:rsidRDefault="00080B77">
                        <w:pPr>
                          <w:pStyle w:val="TableParagraph"/>
                          <w:spacing w:before="4" w:line="233" w:lineRule="exact"/>
                          <w:ind w:left="110"/>
                        </w:pPr>
                        <w:r>
                          <w:rPr>
                            <w:color w:val="231F20"/>
                            <w:w w:val="95"/>
                          </w:rPr>
                          <w:t>(golden hour).</w:t>
                        </w:r>
                      </w:p>
                    </w:tc>
                    <w:tc>
                      <w:tcPr>
                        <w:tcW w:w="1234" w:type="dxa"/>
                        <w:tcBorders>
                          <w:left w:val="single" w:sz="4" w:space="0" w:color="231F20"/>
                          <w:right w:val="single" w:sz="4" w:space="0" w:color="231F20"/>
                        </w:tcBorders>
                      </w:tcPr>
                      <w:p w14:paraId="08BAB034" w14:textId="77777777" w:rsidR="00080B77" w:rsidRDefault="00080B77">
                        <w:pPr>
                          <w:pStyle w:val="TableParagraph"/>
                          <w:spacing w:before="4"/>
                          <w:ind w:left="110"/>
                        </w:pPr>
                        <w:r>
                          <w:rPr>
                            <w:color w:val="231F20"/>
                            <w:w w:val="95"/>
                          </w:rPr>
                          <w:t>TBD</w:t>
                        </w:r>
                      </w:p>
                    </w:tc>
                    <w:tc>
                      <w:tcPr>
                        <w:tcW w:w="734" w:type="dxa"/>
                        <w:tcBorders>
                          <w:left w:val="single" w:sz="4" w:space="0" w:color="231F20"/>
                          <w:right w:val="single" w:sz="4" w:space="0" w:color="231F20"/>
                        </w:tcBorders>
                      </w:tcPr>
                      <w:p w14:paraId="7D065E7A" w14:textId="77777777" w:rsidR="00080B77" w:rsidRDefault="00080B77">
                        <w:pPr>
                          <w:pStyle w:val="TableParagraph"/>
                          <w:spacing w:before="4"/>
                          <w:ind w:left="111"/>
                        </w:pPr>
                        <w:r>
                          <w:rPr>
                            <w:color w:val="231F20"/>
                            <w:w w:val="95"/>
                          </w:rPr>
                          <w:t>5%</w:t>
                        </w:r>
                      </w:p>
                    </w:tc>
                    <w:tc>
                      <w:tcPr>
                        <w:tcW w:w="734" w:type="dxa"/>
                        <w:tcBorders>
                          <w:left w:val="single" w:sz="4" w:space="0" w:color="231F20"/>
                          <w:right w:val="single" w:sz="4" w:space="0" w:color="231F20"/>
                        </w:tcBorders>
                      </w:tcPr>
                      <w:p w14:paraId="7863793C" w14:textId="77777777" w:rsidR="00080B77" w:rsidRDefault="00080B77">
                        <w:pPr>
                          <w:pStyle w:val="TableParagraph"/>
                          <w:spacing w:before="4"/>
                          <w:ind w:left="111"/>
                        </w:pPr>
                        <w:r>
                          <w:rPr>
                            <w:color w:val="231F20"/>
                            <w:w w:val="95"/>
                          </w:rPr>
                          <w:t>10%</w:t>
                        </w:r>
                      </w:p>
                    </w:tc>
                    <w:tc>
                      <w:tcPr>
                        <w:tcW w:w="736" w:type="dxa"/>
                        <w:tcBorders>
                          <w:left w:val="single" w:sz="4" w:space="0" w:color="231F20"/>
                          <w:right w:val="single" w:sz="4" w:space="0" w:color="231F20"/>
                        </w:tcBorders>
                      </w:tcPr>
                      <w:p w14:paraId="1B2EEA03" w14:textId="77777777" w:rsidR="00080B77" w:rsidRDefault="00080B77">
                        <w:pPr>
                          <w:pStyle w:val="TableParagraph"/>
                          <w:spacing w:before="4"/>
                          <w:ind w:left="111"/>
                        </w:pPr>
                        <w:r>
                          <w:rPr>
                            <w:color w:val="231F20"/>
                            <w:w w:val="95"/>
                          </w:rPr>
                          <w:t>15%</w:t>
                        </w:r>
                      </w:p>
                    </w:tc>
                    <w:tc>
                      <w:tcPr>
                        <w:tcW w:w="734" w:type="dxa"/>
                        <w:tcBorders>
                          <w:left w:val="single" w:sz="4" w:space="0" w:color="231F20"/>
                          <w:right w:val="single" w:sz="4" w:space="0" w:color="231F20"/>
                        </w:tcBorders>
                      </w:tcPr>
                      <w:p w14:paraId="71D42843" w14:textId="77777777" w:rsidR="00080B77" w:rsidRDefault="00080B77">
                        <w:pPr>
                          <w:pStyle w:val="TableParagraph"/>
                          <w:spacing w:before="4"/>
                          <w:ind w:left="110"/>
                        </w:pPr>
                        <w:r>
                          <w:rPr>
                            <w:color w:val="231F20"/>
                            <w:w w:val="95"/>
                          </w:rPr>
                          <w:t>20%</w:t>
                        </w:r>
                      </w:p>
                    </w:tc>
                    <w:tc>
                      <w:tcPr>
                        <w:tcW w:w="712" w:type="dxa"/>
                        <w:tcBorders>
                          <w:left w:val="single" w:sz="4" w:space="0" w:color="231F20"/>
                          <w:right w:val="single" w:sz="4" w:space="0" w:color="231F20"/>
                        </w:tcBorders>
                      </w:tcPr>
                      <w:p w14:paraId="731994DD" w14:textId="77777777" w:rsidR="00080B77" w:rsidRDefault="00080B77">
                        <w:pPr>
                          <w:pStyle w:val="TableParagraph"/>
                          <w:spacing w:before="4"/>
                          <w:ind w:left="112"/>
                        </w:pPr>
                        <w:r>
                          <w:rPr>
                            <w:color w:val="231F20"/>
                            <w:w w:val="95"/>
                          </w:rPr>
                          <w:t>25%</w:t>
                        </w:r>
                      </w:p>
                    </w:tc>
                    <w:tc>
                      <w:tcPr>
                        <w:tcW w:w="1225" w:type="dxa"/>
                        <w:tcBorders>
                          <w:left w:val="single" w:sz="4" w:space="0" w:color="231F20"/>
                          <w:right w:val="single" w:sz="4" w:space="0" w:color="231F20"/>
                        </w:tcBorders>
                      </w:tcPr>
                      <w:p w14:paraId="3770CC4F" w14:textId="77777777" w:rsidR="00080B77" w:rsidRDefault="00080B77">
                        <w:pPr>
                          <w:pStyle w:val="TableParagraph"/>
                          <w:spacing w:before="4" w:line="247" w:lineRule="auto"/>
                          <w:ind w:left="113"/>
                        </w:pPr>
                        <w:r>
                          <w:rPr>
                            <w:color w:val="231F20"/>
                            <w:w w:val="85"/>
                          </w:rPr>
                          <w:t xml:space="preserve">Increase to </w:t>
                        </w:r>
                        <w:r>
                          <w:rPr>
                            <w:color w:val="231F20"/>
                            <w:w w:val="95"/>
                          </w:rPr>
                          <w:t>50%</w:t>
                        </w:r>
                      </w:p>
                    </w:tc>
                  </w:tr>
                </w:tbl>
                <w:p w14:paraId="1F881A41" w14:textId="77777777" w:rsidR="00080B77" w:rsidRDefault="00080B77">
                  <w:pPr>
                    <w:pStyle w:val="BodyText"/>
                  </w:pPr>
                </w:p>
              </w:txbxContent>
            </v:textbox>
            <w10:wrap anchorx="page"/>
          </v:shape>
        </w:pict>
      </w:r>
      <w:r w:rsidR="00BC0563">
        <w:rPr>
          <w:b/>
          <w:color w:val="231F20"/>
        </w:rPr>
        <w:t>Reduce</w:t>
      </w:r>
      <w:r w:rsidR="00BC0563">
        <w:rPr>
          <w:b/>
          <w:color w:val="231F20"/>
          <w:spacing w:val="-25"/>
        </w:rPr>
        <w:t xml:space="preserve"> </w:t>
      </w:r>
      <w:r w:rsidR="00BC0563">
        <w:rPr>
          <w:b/>
          <w:color w:val="231F20"/>
        </w:rPr>
        <w:t>incidence</w:t>
      </w:r>
      <w:r w:rsidR="00BC0563">
        <w:rPr>
          <w:b/>
          <w:color w:val="231F20"/>
          <w:spacing w:val="-25"/>
        </w:rPr>
        <w:t xml:space="preserve"> </w:t>
      </w:r>
      <w:r w:rsidR="00BC0563">
        <w:rPr>
          <w:b/>
          <w:color w:val="231F20"/>
        </w:rPr>
        <w:t>and</w:t>
      </w:r>
      <w:r w:rsidR="00BC0563">
        <w:rPr>
          <w:b/>
          <w:color w:val="231F20"/>
          <w:spacing w:val="-24"/>
        </w:rPr>
        <w:t xml:space="preserve"> </w:t>
      </w:r>
      <w:r w:rsidR="00BC0563">
        <w:rPr>
          <w:b/>
          <w:color w:val="231F20"/>
        </w:rPr>
        <w:t>impact</w:t>
      </w:r>
      <w:r w:rsidR="00BC0563">
        <w:rPr>
          <w:b/>
          <w:color w:val="231F20"/>
          <w:spacing w:val="-25"/>
        </w:rPr>
        <w:t xml:space="preserve"> </w:t>
      </w:r>
      <w:r w:rsidR="00BC0563">
        <w:rPr>
          <w:b/>
          <w:color w:val="231F20"/>
        </w:rPr>
        <w:t>of</w:t>
      </w:r>
      <w:r w:rsidR="00BC0563">
        <w:rPr>
          <w:b/>
          <w:color w:val="231F20"/>
          <w:spacing w:val="-25"/>
        </w:rPr>
        <w:t xml:space="preserve"> </w:t>
      </w:r>
      <w:r w:rsidR="00BC0563">
        <w:rPr>
          <w:b/>
          <w:color w:val="231F20"/>
        </w:rPr>
        <w:t>public</w:t>
      </w:r>
      <w:r w:rsidR="00BC0563">
        <w:rPr>
          <w:b/>
          <w:color w:val="231F20"/>
          <w:spacing w:val="-24"/>
        </w:rPr>
        <w:t xml:space="preserve"> </w:t>
      </w:r>
      <w:r w:rsidR="00BC0563">
        <w:rPr>
          <w:b/>
          <w:color w:val="231F20"/>
        </w:rPr>
        <w:t>health</w:t>
      </w:r>
      <w:r w:rsidR="00BC0563">
        <w:rPr>
          <w:b/>
          <w:color w:val="231F20"/>
          <w:spacing w:val="-25"/>
        </w:rPr>
        <w:t xml:space="preserve"> </w:t>
      </w:r>
      <w:r w:rsidR="00BC0563">
        <w:rPr>
          <w:b/>
          <w:color w:val="231F20"/>
        </w:rPr>
        <w:t>emergencies</w:t>
      </w:r>
      <w:r w:rsidR="00BC0563">
        <w:rPr>
          <w:b/>
          <w:color w:val="231F20"/>
          <w:spacing w:val="-24"/>
        </w:rPr>
        <w:t xml:space="preserve"> </w:t>
      </w:r>
      <w:r w:rsidR="00BC0563">
        <w:rPr>
          <w:b/>
          <w:color w:val="231F20"/>
        </w:rPr>
        <w:t>in</w:t>
      </w:r>
      <w:r w:rsidR="00BC0563">
        <w:rPr>
          <w:b/>
          <w:color w:val="231F20"/>
          <w:spacing w:val="-25"/>
        </w:rPr>
        <w:t xml:space="preserve"> </w:t>
      </w:r>
      <w:r w:rsidR="00BC0563">
        <w:rPr>
          <w:b/>
          <w:color w:val="231F20"/>
        </w:rPr>
        <w:t>Rivers</w:t>
      </w:r>
      <w:r w:rsidR="00BC0563">
        <w:rPr>
          <w:b/>
          <w:color w:val="231F20"/>
          <w:spacing w:val="-25"/>
        </w:rPr>
        <w:t xml:space="preserve"> </w:t>
      </w:r>
      <w:r w:rsidR="00BC0563">
        <w:rPr>
          <w:b/>
          <w:color w:val="231F20"/>
          <w:spacing w:val="-3"/>
        </w:rPr>
        <w:t>State Targets</w:t>
      </w:r>
    </w:p>
    <w:p w14:paraId="3EDED919" w14:textId="77777777" w:rsidR="009948F1" w:rsidRDefault="009948F1">
      <w:pPr>
        <w:pStyle w:val="BodyText"/>
        <w:rPr>
          <w:b/>
        </w:rPr>
      </w:pPr>
    </w:p>
    <w:p w14:paraId="063B6263" w14:textId="77777777" w:rsidR="009948F1" w:rsidRDefault="009948F1">
      <w:pPr>
        <w:pStyle w:val="BodyText"/>
        <w:rPr>
          <w:b/>
        </w:rPr>
      </w:pPr>
    </w:p>
    <w:p w14:paraId="2F3A1C53" w14:textId="77777777" w:rsidR="009948F1" w:rsidRDefault="009948F1">
      <w:pPr>
        <w:pStyle w:val="BodyText"/>
        <w:rPr>
          <w:b/>
        </w:rPr>
      </w:pPr>
    </w:p>
    <w:p w14:paraId="635D6402" w14:textId="77777777" w:rsidR="009948F1" w:rsidRDefault="009948F1">
      <w:pPr>
        <w:pStyle w:val="BodyText"/>
        <w:rPr>
          <w:b/>
        </w:rPr>
      </w:pPr>
    </w:p>
    <w:p w14:paraId="10D281FD" w14:textId="77777777" w:rsidR="009948F1" w:rsidRDefault="009948F1">
      <w:pPr>
        <w:pStyle w:val="BodyText"/>
        <w:rPr>
          <w:b/>
        </w:rPr>
      </w:pPr>
    </w:p>
    <w:p w14:paraId="76D1718B" w14:textId="77777777" w:rsidR="009948F1" w:rsidRDefault="009948F1">
      <w:pPr>
        <w:pStyle w:val="BodyText"/>
        <w:rPr>
          <w:b/>
        </w:rPr>
      </w:pPr>
    </w:p>
    <w:p w14:paraId="5BFDC8E5" w14:textId="77777777" w:rsidR="009948F1" w:rsidRDefault="009948F1">
      <w:pPr>
        <w:pStyle w:val="BodyText"/>
        <w:rPr>
          <w:b/>
        </w:rPr>
      </w:pPr>
    </w:p>
    <w:p w14:paraId="3210EC82" w14:textId="77777777" w:rsidR="009948F1" w:rsidRDefault="009948F1">
      <w:pPr>
        <w:pStyle w:val="BodyText"/>
        <w:rPr>
          <w:b/>
        </w:rPr>
      </w:pPr>
    </w:p>
    <w:p w14:paraId="4E4DFF9B" w14:textId="77777777" w:rsidR="009948F1" w:rsidRDefault="009948F1">
      <w:pPr>
        <w:pStyle w:val="BodyText"/>
        <w:rPr>
          <w:b/>
        </w:rPr>
      </w:pPr>
    </w:p>
    <w:p w14:paraId="2153C8FC" w14:textId="77777777" w:rsidR="009948F1" w:rsidRDefault="009948F1">
      <w:pPr>
        <w:pStyle w:val="BodyText"/>
        <w:rPr>
          <w:b/>
        </w:rPr>
      </w:pPr>
    </w:p>
    <w:p w14:paraId="26521FB3" w14:textId="77777777" w:rsidR="009948F1" w:rsidRDefault="009948F1">
      <w:pPr>
        <w:pStyle w:val="BodyText"/>
        <w:rPr>
          <w:b/>
        </w:rPr>
      </w:pPr>
    </w:p>
    <w:p w14:paraId="3796D9B0" w14:textId="77777777" w:rsidR="009948F1" w:rsidRDefault="009948F1">
      <w:pPr>
        <w:pStyle w:val="BodyText"/>
        <w:rPr>
          <w:b/>
        </w:rPr>
      </w:pPr>
    </w:p>
    <w:p w14:paraId="312A0F9A" w14:textId="77777777" w:rsidR="009948F1" w:rsidRDefault="009948F1">
      <w:pPr>
        <w:pStyle w:val="BodyText"/>
        <w:rPr>
          <w:b/>
        </w:rPr>
      </w:pPr>
    </w:p>
    <w:p w14:paraId="35A5588B" w14:textId="77777777" w:rsidR="009948F1" w:rsidRDefault="009948F1">
      <w:pPr>
        <w:pStyle w:val="BodyText"/>
        <w:rPr>
          <w:b/>
        </w:rPr>
      </w:pPr>
    </w:p>
    <w:p w14:paraId="23429EEB" w14:textId="77777777" w:rsidR="009948F1" w:rsidRDefault="009948F1">
      <w:pPr>
        <w:pStyle w:val="BodyText"/>
        <w:rPr>
          <w:b/>
        </w:rPr>
      </w:pPr>
    </w:p>
    <w:p w14:paraId="4DD76FB7" w14:textId="77777777" w:rsidR="009948F1" w:rsidRDefault="009948F1">
      <w:pPr>
        <w:pStyle w:val="BodyText"/>
        <w:spacing w:before="4"/>
        <w:rPr>
          <w:b/>
          <w:sz w:val="32"/>
        </w:rPr>
      </w:pPr>
    </w:p>
    <w:p w14:paraId="5CE5B138" w14:textId="77777777" w:rsidR="009948F1" w:rsidRDefault="00BC0563">
      <w:pPr>
        <w:pStyle w:val="Heading8"/>
        <w:ind w:left="134"/>
      </w:pPr>
      <w:r>
        <w:rPr>
          <w:color w:val="231F20"/>
        </w:rPr>
        <w:t>Interventions</w:t>
      </w:r>
    </w:p>
    <w:p w14:paraId="72CCA734" w14:textId="77777777" w:rsidR="009948F1" w:rsidRDefault="00BC0563">
      <w:pPr>
        <w:pStyle w:val="ListParagraph"/>
        <w:numPr>
          <w:ilvl w:val="3"/>
          <w:numId w:val="263"/>
        </w:numPr>
        <w:tabs>
          <w:tab w:val="left" w:pos="972"/>
        </w:tabs>
        <w:spacing w:before="102" w:line="336" w:lineRule="auto"/>
        <w:ind w:right="182" w:firstLine="0"/>
      </w:pPr>
      <w:r>
        <w:rPr>
          <w:color w:val="231F20"/>
        </w:rPr>
        <w:t>Promote</w:t>
      </w:r>
      <w:r>
        <w:rPr>
          <w:color w:val="231F20"/>
          <w:spacing w:val="-21"/>
        </w:rPr>
        <w:t xml:space="preserve"> </w:t>
      </w:r>
      <w:r>
        <w:rPr>
          <w:color w:val="231F20"/>
        </w:rPr>
        <w:t>the</w:t>
      </w:r>
      <w:r>
        <w:rPr>
          <w:color w:val="231F20"/>
          <w:spacing w:val="-20"/>
        </w:rPr>
        <w:t xml:space="preserve"> </w:t>
      </w:r>
      <w:r>
        <w:rPr>
          <w:color w:val="231F20"/>
        </w:rPr>
        <w:t>development</w:t>
      </w:r>
      <w:r>
        <w:rPr>
          <w:color w:val="231F20"/>
          <w:spacing w:val="-20"/>
        </w:rPr>
        <w:t xml:space="preserve"> </w:t>
      </w:r>
      <w:r>
        <w:rPr>
          <w:color w:val="231F20"/>
        </w:rPr>
        <w:t>and</w:t>
      </w:r>
      <w:r>
        <w:rPr>
          <w:color w:val="231F20"/>
          <w:spacing w:val="-20"/>
        </w:rPr>
        <w:t xml:space="preserve"> </w:t>
      </w:r>
      <w:r>
        <w:rPr>
          <w:color w:val="231F20"/>
        </w:rPr>
        <w:t>implementation</w:t>
      </w:r>
      <w:r>
        <w:rPr>
          <w:color w:val="231F20"/>
          <w:spacing w:val="-20"/>
        </w:rPr>
        <w:t xml:space="preserve"> </w:t>
      </w:r>
      <w:r>
        <w:rPr>
          <w:color w:val="231F20"/>
        </w:rPr>
        <w:t>of</w:t>
      </w:r>
      <w:r>
        <w:rPr>
          <w:color w:val="231F20"/>
          <w:spacing w:val="-20"/>
        </w:rPr>
        <w:t xml:space="preserve"> </w:t>
      </w:r>
      <w:r>
        <w:rPr>
          <w:color w:val="231F20"/>
        </w:rPr>
        <w:t>legal,</w:t>
      </w:r>
      <w:r>
        <w:rPr>
          <w:color w:val="231F20"/>
          <w:spacing w:val="-20"/>
        </w:rPr>
        <w:t xml:space="preserve"> </w:t>
      </w:r>
      <w:r>
        <w:rPr>
          <w:color w:val="231F20"/>
        </w:rPr>
        <w:t>regulatory</w:t>
      </w:r>
      <w:r>
        <w:rPr>
          <w:color w:val="231F20"/>
          <w:spacing w:val="-21"/>
        </w:rPr>
        <w:t xml:space="preserve"> </w:t>
      </w:r>
      <w:r>
        <w:rPr>
          <w:color w:val="231F20"/>
        </w:rPr>
        <w:t>framework,</w:t>
      </w:r>
      <w:r>
        <w:rPr>
          <w:color w:val="231F20"/>
          <w:spacing w:val="-20"/>
        </w:rPr>
        <w:t xml:space="preserve"> </w:t>
      </w:r>
      <w:r>
        <w:rPr>
          <w:color w:val="231F20"/>
        </w:rPr>
        <w:t>policies</w:t>
      </w:r>
      <w:r>
        <w:rPr>
          <w:color w:val="231F20"/>
          <w:spacing w:val="-20"/>
        </w:rPr>
        <w:t xml:space="preserve"> </w:t>
      </w:r>
      <w:r>
        <w:rPr>
          <w:color w:val="231F20"/>
        </w:rPr>
        <w:t>and plans for emergency preparedness at all levels. Key actions include - Strengthen Epidemic Prepared and Response Committees at state and LGA levels to coordinate rapid response epidemiological</w:t>
      </w:r>
      <w:r>
        <w:rPr>
          <w:color w:val="231F20"/>
          <w:spacing w:val="-24"/>
        </w:rPr>
        <w:t xml:space="preserve"> </w:t>
      </w:r>
      <w:r>
        <w:rPr>
          <w:color w:val="231F20"/>
        </w:rPr>
        <w:t>services;</w:t>
      </w:r>
      <w:r>
        <w:rPr>
          <w:color w:val="231F20"/>
          <w:spacing w:val="-23"/>
        </w:rPr>
        <w:t xml:space="preserve"> </w:t>
      </w:r>
      <w:r>
        <w:rPr>
          <w:color w:val="231F20"/>
        </w:rPr>
        <w:t>Conduct</w:t>
      </w:r>
      <w:r>
        <w:rPr>
          <w:color w:val="231F20"/>
          <w:spacing w:val="-23"/>
        </w:rPr>
        <w:t xml:space="preserve"> </w:t>
      </w:r>
      <w:r>
        <w:rPr>
          <w:color w:val="231F20"/>
        </w:rPr>
        <w:t>continuous</w:t>
      </w:r>
      <w:r>
        <w:rPr>
          <w:color w:val="231F20"/>
          <w:spacing w:val="-23"/>
        </w:rPr>
        <w:t xml:space="preserve"> </w:t>
      </w:r>
      <w:r>
        <w:rPr>
          <w:color w:val="231F20"/>
        </w:rPr>
        <w:t>advocacy</w:t>
      </w:r>
      <w:r>
        <w:rPr>
          <w:color w:val="231F20"/>
          <w:spacing w:val="-23"/>
        </w:rPr>
        <w:t xml:space="preserve"> </w:t>
      </w:r>
      <w:r>
        <w:rPr>
          <w:color w:val="231F20"/>
        </w:rPr>
        <w:t>to</w:t>
      </w:r>
      <w:r>
        <w:rPr>
          <w:color w:val="231F20"/>
          <w:spacing w:val="-23"/>
        </w:rPr>
        <w:t xml:space="preserve"> </w:t>
      </w:r>
      <w:r>
        <w:rPr>
          <w:color w:val="231F20"/>
        </w:rPr>
        <w:t>policy</w:t>
      </w:r>
      <w:r>
        <w:rPr>
          <w:color w:val="231F20"/>
          <w:spacing w:val="-23"/>
        </w:rPr>
        <w:t xml:space="preserve"> </w:t>
      </w:r>
      <w:r>
        <w:rPr>
          <w:color w:val="231F20"/>
        </w:rPr>
        <w:t>and</w:t>
      </w:r>
      <w:r>
        <w:rPr>
          <w:color w:val="231F20"/>
          <w:spacing w:val="-23"/>
        </w:rPr>
        <w:t xml:space="preserve"> </w:t>
      </w:r>
      <w:r>
        <w:rPr>
          <w:color w:val="231F20"/>
        </w:rPr>
        <w:t>decision</w:t>
      </w:r>
      <w:r>
        <w:rPr>
          <w:color w:val="231F20"/>
          <w:spacing w:val="-23"/>
        </w:rPr>
        <w:t xml:space="preserve"> </w:t>
      </w:r>
      <w:r>
        <w:rPr>
          <w:color w:val="231F20"/>
        </w:rPr>
        <w:t>makers</w:t>
      </w:r>
      <w:r>
        <w:rPr>
          <w:color w:val="231F20"/>
          <w:spacing w:val="-23"/>
        </w:rPr>
        <w:t xml:space="preserve"> </w:t>
      </w:r>
      <w:r>
        <w:rPr>
          <w:color w:val="231F20"/>
        </w:rPr>
        <w:t>for</w:t>
      </w:r>
      <w:r>
        <w:rPr>
          <w:color w:val="231F20"/>
          <w:spacing w:val="-23"/>
        </w:rPr>
        <w:t xml:space="preserve"> </w:t>
      </w:r>
      <w:r>
        <w:rPr>
          <w:color w:val="231F20"/>
        </w:rPr>
        <w:t xml:space="preserve">resource mobilization and provision of adequate funding to support Integrated Disease Surveillance </w:t>
      </w:r>
      <w:r>
        <w:rPr>
          <w:color w:val="231F20"/>
          <w:spacing w:val="-4"/>
        </w:rPr>
        <w:t xml:space="preserve">and </w:t>
      </w:r>
      <w:r>
        <w:rPr>
          <w:color w:val="231F20"/>
        </w:rPr>
        <w:t>Response (IDSR) activities; Ensure that a legal framework is in place for the compliance with International</w:t>
      </w:r>
      <w:r>
        <w:rPr>
          <w:color w:val="231F20"/>
          <w:spacing w:val="-22"/>
        </w:rPr>
        <w:t xml:space="preserve"> </w:t>
      </w:r>
      <w:r>
        <w:rPr>
          <w:color w:val="231F20"/>
        </w:rPr>
        <w:t>Health</w:t>
      </w:r>
      <w:r>
        <w:rPr>
          <w:color w:val="231F20"/>
          <w:spacing w:val="-22"/>
        </w:rPr>
        <w:t xml:space="preserve"> </w:t>
      </w:r>
      <w:r>
        <w:rPr>
          <w:color w:val="231F20"/>
        </w:rPr>
        <w:t>Regulation</w:t>
      </w:r>
      <w:r>
        <w:rPr>
          <w:color w:val="231F20"/>
          <w:spacing w:val="-21"/>
        </w:rPr>
        <w:t xml:space="preserve"> </w:t>
      </w:r>
      <w:r>
        <w:rPr>
          <w:color w:val="231F20"/>
        </w:rPr>
        <w:t>(IHR);</w:t>
      </w:r>
      <w:r>
        <w:rPr>
          <w:color w:val="231F20"/>
          <w:spacing w:val="-22"/>
        </w:rPr>
        <w:t xml:space="preserve"> </w:t>
      </w:r>
      <w:r>
        <w:rPr>
          <w:color w:val="231F20"/>
        </w:rPr>
        <w:t>Update</w:t>
      </w:r>
      <w:r>
        <w:rPr>
          <w:color w:val="231F20"/>
          <w:spacing w:val="-22"/>
        </w:rPr>
        <w:t xml:space="preserve"> </w:t>
      </w:r>
      <w:r>
        <w:rPr>
          <w:color w:val="231F20"/>
        </w:rPr>
        <w:t>IDSR</w:t>
      </w:r>
      <w:r>
        <w:rPr>
          <w:color w:val="231F20"/>
          <w:spacing w:val="-22"/>
        </w:rPr>
        <w:t xml:space="preserve"> </w:t>
      </w:r>
      <w:r>
        <w:rPr>
          <w:color w:val="231F20"/>
        </w:rPr>
        <w:t>Epidemic</w:t>
      </w:r>
      <w:r>
        <w:rPr>
          <w:color w:val="231F20"/>
          <w:spacing w:val="-22"/>
        </w:rPr>
        <w:t xml:space="preserve"> </w:t>
      </w:r>
      <w:r>
        <w:rPr>
          <w:color w:val="231F20"/>
        </w:rPr>
        <w:t>Management</w:t>
      </w:r>
      <w:r>
        <w:rPr>
          <w:color w:val="231F20"/>
          <w:spacing w:val="-21"/>
        </w:rPr>
        <w:t xml:space="preserve"> </w:t>
      </w:r>
      <w:r>
        <w:rPr>
          <w:color w:val="231F20"/>
        </w:rPr>
        <w:t>Protocol</w:t>
      </w:r>
      <w:r>
        <w:rPr>
          <w:color w:val="231F20"/>
          <w:spacing w:val="-22"/>
        </w:rPr>
        <w:t xml:space="preserve"> </w:t>
      </w:r>
      <w:r>
        <w:rPr>
          <w:color w:val="231F20"/>
        </w:rPr>
        <w:t>and</w:t>
      </w:r>
      <w:r>
        <w:rPr>
          <w:color w:val="231F20"/>
          <w:spacing w:val="-21"/>
        </w:rPr>
        <w:t xml:space="preserve"> </w:t>
      </w:r>
      <w:r>
        <w:rPr>
          <w:color w:val="231F20"/>
        </w:rPr>
        <w:t xml:space="preserve">Standard Operating Procedures (SOPs) and make them available to health personnel at all levels; </w:t>
      </w:r>
      <w:r>
        <w:rPr>
          <w:color w:val="231F20"/>
          <w:spacing w:val="-3"/>
        </w:rPr>
        <w:t xml:space="preserve">Review </w:t>
      </w:r>
      <w:r>
        <w:rPr>
          <w:color w:val="231F20"/>
        </w:rPr>
        <w:t>laws</w:t>
      </w:r>
      <w:r>
        <w:rPr>
          <w:color w:val="231F20"/>
          <w:spacing w:val="-26"/>
        </w:rPr>
        <w:t xml:space="preserve"> </w:t>
      </w:r>
      <w:r>
        <w:rPr>
          <w:color w:val="231F20"/>
        </w:rPr>
        <w:t>and</w:t>
      </w:r>
      <w:r>
        <w:rPr>
          <w:color w:val="231F20"/>
          <w:spacing w:val="-25"/>
        </w:rPr>
        <w:t xml:space="preserve"> </w:t>
      </w:r>
      <w:r>
        <w:rPr>
          <w:color w:val="231F20"/>
        </w:rPr>
        <w:t>policies</w:t>
      </w:r>
      <w:r>
        <w:rPr>
          <w:color w:val="231F20"/>
          <w:spacing w:val="-25"/>
        </w:rPr>
        <w:t xml:space="preserve"> </w:t>
      </w:r>
      <w:r>
        <w:rPr>
          <w:color w:val="231F20"/>
        </w:rPr>
        <w:t>for</w:t>
      </w:r>
      <w:r>
        <w:rPr>
          <w:color w:val="231F20"/>
          <w:spacing w:val="-25"/>
        </w:rPr>
        <w:t xml:space="preserve"> </w:t>
      </w:r>
      <w:r>
        <w:rPr>
          <w:color w:val="231F20"/>
        </w:rPr>
        <w:t>outbreak</w:t>
      </w:r>
      <w:r>
        <w:rPr>
          <w:color w:val="231F20"/>
          <w:spacing w:val="-25"/>
        </w:rPr>
        <w:t xml:space="preserve"> </w:t>
      </w:r>
      <w:r>
        <w:rPr>
          <w:color w:val="231F20"/>
        </w:rPr>
        <w:t>and</w:t>
      </w:r>
      <w:r>
        <w:rPr>
          <w:color w:val="231F20"/>
          <w:spacing w:val="-25"/>
        </w:rPr>
        <w:t xml:space="preserve"> </w:t>
      </w:r>
      <w:r>
        <w:rPr>
          <w:color w:val="231F20"/>
        </w:rPr>
        <w:t>surveillance</w:t>
      </w:r>
      <w:r>
        <w:rPr>
          <w:color w:val="231F20"/>
          <w:spacing w:val="-25"/>
        </w:rPr>
        <w:t xml:space="preserve"> </w:t>
      </w:r>
      <w:r>
        <w:rPr>
          <w:color w:val="231F20"/>
        </w:rPr>
        <w:t>activities</w:t>
      </w:r>
      <w:r>
        <w:rPr>
          <w:color w:val="231F20"/>
          <w:spacing w:val="-25"/>
        </w:rPr>
        <w:t xml:space="preserve"> </w:t>
      </w:r>
      <w:r>
        <w:rPr>
          <w:color w:val="231F20"/>
        </w:rPr>
        <w:t>as</w:t>
      </w:r>
      <w:r>
        <w:rPr>
          <w:color w:val="231F20"/>
          <w:spacing w:val="-25"/>
        </w:rPr>
        <w:t xml:space="preserve"> </w:t>
      </w:r>
      <w:r>
        <w:rPr>
          <w:color w:val="231F20"/>
        </w:rPr>
        <w:t>it</w:t>
      </w:r>
      <w:r>
        <w:rPr>
          <w:color w:val="231F20"/>
          <w:spacing w:val="-25"/>
        </w:rPr>
        <w:t xml:space="preserve"> </w:t>
      </w:r>
      <w:r>
        <w:rPr>
          <w:color w:val="231F20"/>
        </w:rPr>
        <w:t>relates</w:t>
      </w:r>
      <w:r>
        <w:rPr>
          <w:color w:val="231F20"/>
          <w:spacing w:val="-25"/>
        </w:rPr>
        <w:t xml:space="preserve"> </w:t>
      </w:r>
      <w:r>
        <w:rPr>
          <w:color w:val="231F20"/>
        </w:rPr>
        <w:t>to</w:t>
      </w:r>
      <w:r>
        <w:rPr>
          <w:color w:val="231F20"/>
          <w:spacing w:val="-25"/>
        </w:rPr>
        <w:t xml:space="preserve"> </w:t>
      </w:r>
      <w:r>
        <w:rPr>
          <w:color w:val="231F20"/>
        </w:rPr>
        <w:t>isolation</w:t>
      </w:r>
      <w:r>
        <w:rPr>
          <w:color w:val="231F20"/>
          <w:spacing w:val="-25"/>
        </w:rPr>
        <w:t xml:space="preserve"> </w:t>
      </w:r>
      <w:r>
        <w:rPr>
          <w:color w:val="231F20"/>
        </w:rPr>
        <w:t>and</w:t>
      </w:r>
      <w:r>
        <w:rPr>
          <w:color w:val="231F20"/>
          <w:spacing w:val="-25"/>
        </w:rPr>
        <w:t xml:space="preserve"> </w:t>
      </w:r>
      <w:r>
        <w:rPr>
          <w:color w:val="231F20"/>
        </w:rPr>
        <w:t>quarantine.</w:t>
      </w:r>
    </w:p>
    <w:p w14:paraId="30376B61" w14:textId="77777777" w:rsidR="009948F1" w:rsidRDefault="009948F1">
      <w:pPr>
        <w:spacing w:line="336" w:lineRule="auto"/>
        <w:jc w:val="both"/>
        <w:sectPr w:rsidR="009948F1">
          <w:pgSz w:w="11910" w:h="16840"/>
          <w:pgMar w:top="1400" w:right="1080" w:bottom="1420" w:left="1120" w:header="0" w:footer="1235" w:gutter="0"/>
          <w:cols w:space="720"/>
        </w:sectPr>
      </w:pPr>
    </w:p>
    <w:p w14:paraId="591F3AE2" w14:textId="29FD7531" w:rsidR="009948F1" w:rsidRDefault="00BC0563">
      <w:pPr>
        <w:pStyle w:val="ListParagraph"/>
        <w:numPr>
          <w:ilvl w:val="3"/>
          <w:numId w:val="263"/>
        </w:numPr>
        <w:tabs>
          <w:tab w:val="left" w:pos="997"/>
        </w:tabs>
        <w:spacing w:before="48" w:line="256" w:lineRule="auto"/>
        <w:ind w:left="142" w:right="204" w:firstLine="0"/>
      </w:pPr>
      <w:bookmarkStart w:id="104" w:name="Page_90"/>
      <w:bookmarkEnd w:id="104"/>
      <w:r>
        <w:rPr>
          <w:color w:val="231F20"/>
        </w:rPr>
        <w:lastRenderedPageBreak/>
        <w:t>Promote an integrated national disease surveillance system in line with the</w:t>
      </w:r>
      <w:r>
        <w:rPr>
          <w:color w:val="231F20"/>
          <w:spacing w:val="-25"/>
        </w:rPr>
        <w:t xml:space="preserve"> </w:t>
      </w:r>
      <w:r>
        <w:rPr>
          <w:color w:val="231F20"/>
          <w:spacing w:val="-2"/>
        </w:rPr>
        <w:t xml:space="preserve">International </w:t>
      </w:r>
      <w:r>
        <w:rPr>
          <w:color w:val="231F20"/>
        </w:rPr>
        <w:t>Health</w:t>
      </w:r>
      <w:r>
        <w:rPr>
          <w:color w:val="231F20"/>
          <w:spacing w:val="-9"/>
        </w:rPr>
        <w:t xml:space="preserve"> </w:t>
      </w:r>
      <w:r>
        <w:rPr>
          <w:color w:val="231F20"/>
        </w:rPr>
        <w:t>Regulation</w:t>
      </w:r>
      <w:r>
        <w:rPr>
          <w:color w:val="231F20"/>
          <w:spacing w:val="-8"/>
        </w:rPr>
        <w:t xml:space="preserve"> </w:t>
      </w:r>
      <w:r>
        <w:rPr>
          <w:color w:val="231F20"/>
        </w:rPr>
        <w:t>(IHR)</w:t>
      </w:r>
      <w:r>
        <w:rPr>
          <w:color w:val="231F20"/>
          <w:spacing w:val="-8"/>
        </w:rPr>
        <w:t xml:space="preserve"> </w:t>
      </w:r>
      <w:r>
        <w:rPr>
          <w:color w:val="231F20"/>
        </w:rPr>
        <w:t>and</w:t>
      </w:r>
      <w:r>
        <w:rPr>
          <w:color w:val="231F20"/>
          <w:spacing w:val="-8"/>
        </w:rPr>
        <w:t xml:space="preserve"> </w:t>
      </w:r>
      <w:r>
        <w:rPr>
          <w:color w:val="231F20"/>
        </w:rPr>
        <w:t>IDSR.</w:t>
      </w:r>
      <w:r>
        <w:rPr>
          <w:color w:val="231F20"/>
          <w:spacing w:val="-8"/>
        </w:rPr>
        <w:t xml:space="preserve"> </w:t>
      </w:r>
      <w:r>
        <w:rPr>
          <w:color w:val="231F20"/>
        </w:rPr>
        <w:t>Key</w:t>
      </w:r>
      <w:r>
        <w:rPr>
          <w:color w:val="231F20"/>
          <w:spacing w:val="-8"/>
        </w:rPr>
        <w:t xml:space="preserve"> </w:t>
      </w:r>
      <w:r>
        <w:rPr>
          <w:color w:val="231F20"/>
        </w:rPr>
        <w:t>actions</w:t>
      </w:r>
      <w:r>
        <w:rPr>
          <w:color w:val="231F20"/>
          <w:spacing w:val="-8"/>
        </w:rPr>
        <w:t xml:space="preserve"> </w:t>
      </w:r>
      <w:r>
        <w:rPr>
          <w:color w:val="231F20"/>
        </w:rPr>
        <w:t>include;</w:t>
      </w:r>
      <w:r>
        <w:rPr>
          <w:color w:val="231F20"/>
          <w:spacing w:val="-8"/>
        </w:rPr>
        <w:t xml:space="preserve"> </w:t>
      </w:r>
      <w:r>
        <w:rPr>
          <w:color w:val="231F20"/>
        </w:rPr>
        <w:t>-Strengthen</w:t>
      </w:r>
      <w:r>
        <w:rPr>
          <w:color w:val="231F20"/>
          <w:spacing w:val="-8"/>
        </w:rPr>
        <w:t xml:space="preserve"> </w:t>
      </w:r>
      <w:r>
        <w:rPr>
          <w:color w:val="231F20"/>
        </w:rPr>
        <w:t>the</w:t>
      </w:r>
      <w:r>
        <w:rPr>
          <w:color w:val="231F20"/>
          <w:spacing w:val="-8"/>
        </w:rPr>
        <w:t xml:space="preserve"> </w:t>
      </w:r>
      <w:r>
        <w:rPr>
          <w:color w:val="231F20"/>
        </w:rPr>
        <w:t>Epidemiology</w:t>
      </w:r>
      <w:r>
        <w:rPr>
          <w:color w:val="231F20"/>
          <w:spacing w:val="-9"/>
        </w:rPr>
        <w:t xml:space="preserve"> </w:t>
      </w:r>
      <w:r>
        <w:rPr>
          <w:color w:val="231F20"/>
        </w:rPr>
        <w:t>Unit</w:t>
      </w:r>
      <w:r>
        <w:rPr>
          <w:color w:val="231F20"/>
          <w:spacing w:val="-8"/>
        </w:rPr>
        <w:t xml:space="preserve"> </w:t>
      </w:r>
      <w:r>
        <w:rPr>
          <w:color w:val="231F20"/>
        </w:rPr>
        <w:t>of</w:t>
      </w:r>
      <w:r>
        <w:rPr>
          <w:color w:val="231F20"/>
          <w:spacing w:val="-8"/>
        </w:rPr>
        <w:t xml:space="preserve"> </w:t>
      </w:r>
      <w:r>
        <w:rPr>
          <w:color w:val="231F20"/>
        </w:rPr>
        <w:t>the SMOH to review all existing IHRs and IDSR protocols and domesticate them to suite the circumstance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7"/>
        </w:rPr>
        <w:t xml:space="preserve"> </w:t>
      </w:r>
      <w:r>
        <w:rPr>
          <w:color w:val="231F20"/>
        </w:rPr>
        <w:t>integrate</w:t>
      </w:r>
      <w:r>
        <w:rPr>
          <w:color w:val="231F20"/>
          <w:spacing w:val="-7"/>
        </w:rPr>
        <w:t xml:space="preserve"> </w:t>
      </w:r>
      <w:r>
        <w:rPr>
          <w:color w:val="231F20"/>
        </w:rPr>
        <w:t>and</w:t>
      </w:r>
      <w:r>
        <w:rPr>
          <w:color w:val="231F20"/>
          <w:spacing w:val="-7"/>
        </w:rPr>
        <w:t xml:space="preserve"> </w:t>
      </w:r>
      <w:r>
        <w:rPr>
          <w:color w:val="231F20"/>
        </w:rPr>
        <w:t>harmonize</w:t>
      </w:r>
      <w:r>
        <w:rPr>
          <w:color w:val="231F20"/>
          <w:spacing w:val="-6"/>
        </w:rPr>
        <w:t xml:space="preserve"> </w:t>
      </w:r>
      <w:r>
        <w:rPr>
          <w:color w:val="231F20"/>
        </w:rPr>
        <w:t>all</w:t>
      </w:r>
      <w:r>
        <w:rPr>
          <w:color w:val="231F20"/>
          <w:spacing w:val="-7"/>
        </w:rPr>
        <w:t xml:space="preserve"> </w:t>
      </w:r>
      <w:r>
        <w:rPr>
          <w:color w:val="231F20"/>
        </w:rPr>
        <w:t>vertical</w:t>
      </w:r>
      <w:r>
        <w:rPr>
          <w:color w:val="231F20"/>
          <w:spacing w:val="-7"/>
        </w:rPr>
        <w:t xml:space="preserve"> </w:t>
      </w:r>
      <w:r>
        <w:rPr>
          <w:color w:val="231F20"/>
        </w:rPr>
        <w:t>surveillance</w:t>
      </w:r>
      <w:r>
        <w:rPr>
          <w:color w:val="231F20"/>
          <w:spacing w:val="-7"/>
        </w:rPr>
        <w:t xml:space="preserve"> </w:t>
      </w:r>
      <w:r>
        <w:rPr>
          <w:color w:val="231F20"/>
        </w:rPr>
        <w:t>systems</w:t>
      </w:r>
      <w:r>
        <w:rPr>
          <w:color w:val="231F20"/>
          <w:spacing w:val="-7"/>
        </w:rPr>
        <w:t xml:space="preserve"> </w:t>
      </w:r>
      <w:r>
        <w:rPr>
          <w:color w:val="231F20"/>
          <w:spacing w:val="-4"/>
        </w:rPr>
        <w:t xml:space="preserve">into </w:t>
      </w:r>
      <w:r>
        <w:rPr>
          <w:color w:val="231F20"/>
        </w:rPr>
        <w:t>IDSR including digitization of the surveillance system; Dissemination of health information at</w:t>
      </w:r>
      <w:r>
        <w:rPr>
          <w:color w:val="231F20"/>
          <w:spacing w:val="-28"/>
        </w:rPr>
        <w:t xml:space="preserve"> </w:t>
      </w:r>
      <w:r>
        <w:rPr>
          <w:color w:val="231F20"/>
          <w:spacing w:val="-4"/>
        </w:rPr>
        <w:t xml:space="preserve">the </w:t>
      </w:r>
      <w:r>
        <w:rPr>
          <w:color w:val="231F20"/>
        </w:rPr>
        <w:t>state</w:t>
      </w:r>
      <w:r>
        <w:rPr>
          <w:color w:val="231F20"/>
          <w:spacing w:val="-4"/>
        </w:rPr>
        <w:t xml:space="preserve"> </w:t>
      </w:r>
      <w:r>
        <w:rPr>
          <w:color w:val="231F20"/>
        </w:rPr>
        <w:t>level</w:t>
      </w:r>
      <w:r>
        <w:rPr>
          <w:color w:val="231F20"/>
          <w:spacing w:val="-3"/>
        </w:rPr>
        <w:t xml:space="preserve"> </w:t>
      </w:r>
      <w:r>
        <w:rPr>
          <w:color w:val="231F20"/>
        </w:rPr>
        <w:t>as</w:t>
      </w:r>
      <w:r>
        <w:rPr>
          <w:color w:val="231F20"/>
          <w:spacing w:val="-3"/>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provision</w:t>
      </w:r>
      <w:r>
        <w:rPr>
          <w:color w:val="231F20"/>
          <w:spacing w:val="-3"/>
        </w:rPr>
        <w:t xml:space="preserve"> </w:t>
      </w:r>
      <w:r>
        <w:rPr>
          <w:color w:val="231F20"/>
        </w:rPr>
        <w:t>of</w:t>
      </w:r>
      <w:r>
        <w:rPr>
          <w:color w:val="231F20"/>
          <w:spacing w:val="-3"/>
        </w:rPr>
        <w:t xml:space="preserve"> </w:t>
      </w:r>
      <w:r>
        <w:rPr>
          <w:color w:val="231F20"/>
        </w:rPr>
        <w:t>functional</w:t>
      </w:r>
      <w:r>
        <w:rPr>
          <w:color w:val="231F20"/>
          <w:spacing w:val="-3"/>
        </w:rPr>
        <w:t xml:space="preserve"> </w:t>
      </w:r>
      <w:r>
        <w:rPr>
          <w:color w:val="231F20"/>
        </w:rPr>
        <w:t>communication</w:t>
      </w:r>
      <w:r>
        <w:rPr>
          <w:color w:val="231F20"/>
          <w:spacing w:val="-3"/>
        </w:rPr>
        <w:t xml:space="preserve"> </w:t>
      </w:r>
      <w:r>
        <w:rPr>
          <w:color w:val="231F20"/>
        </w:rPr>
        <w:t>gadgets</w:t>
      </w:r>
      <w:r>
        <w:rPr>
          <w:color w:val="231F20"/>
          <w:spacing w:val="-3"/>
        </w:rPr>
        <w:t xml:space="preserve"> </w:t>
      </w:r>
      <w:r>
        <w:rPr>
          <w:color w:val="231F20"/>
        </w:rPr>
        <w:t>to</w:t>
      </w:r>
      <w:r>
        <w:rPr>
          <w:color w:val="231F20"/>
          <w:spacing w:val="-3"/>
        </w:rPr>
        <w:t xml:space="preserve"> </w:t>
      </w:r>
      <w:r>
        <w:rPr>
          <w:color w:val="231F20"/>
        </w:rPr>
        <w:t>all</w:t>
      </w:r>
      <w:r>
        <w:rPr>
          <w:color w:val="231F20"/>
          <w:spacing w:val="-4"/>
        </w:rPr>
        <w:t xml:space="preserve"> </w:t>
      </w:r>
      <w:r>
        <w:rPr>
          <w:color w:val="231F20"/>
        </w:rPr>
        <w:t>levels</w:t>
      </w:r>
      <w:r>
        <w:rPr>
          <w:color w:val="231F20"/>
          <w:spacing w:val="-3"/>
        </w:rPr>
        <w:t xml:space="preserve"> </w:t>
      </w:r>
      <w:r>
        <w:rPr>
          <w:color w:val="231F20"/>
        </w:rPr>
        <w:t>of</w:t>
      </w:r>
      <w:r>
        <w:rPr>
          <w:color w:val="231F20"/>
          <w:spacing w:val="-3"/>
        </w:rPr>
        <w:t xml:space="preserve"> </w:t>
      </w:r>
      <w:r>
        <w:rPr>
          <w:color w:val="231F20"/>
        </w:rPr>
        <w:t>IDSR</w:t>
      </w:r>
      <w:r>
        <w:rPr>
          <w:color w:val="231F20"/>
          <w:spacing w:val="-3"/>
        </w:rPr>
        <w:t xml:space="preserve"> </w:t>
      </w:r>
      <w:r>
        <w:rPr>
          <w:color w:val="231F20"/>
        </w:rPr>
        <w:t xml:space="preserve">system, from the community level for IDRS timely reporting and response; Establish sentinel </w:t>
      </w:r>
      <w:r>
        <w:rPr>
          <w:color w:val="231F20"/>
          <w:spacing w:val="-2"/>
        </w:rPr>
        <w:t xml:space="preserve">surveillance </w:t>
      </w:r>
      <w:r>
        <w:rPr>
          <w:color w:val="231F20"/>
        </w:rPr>
        <w:t xml:space="preserve">sites for active surveillance and more robust analysis for targeted diseases of public </w:t>
      </w:r>
      <w:r>
        <w:rPr>
          <w:color w:val="231F20"/>
          <w:spacing w:val="-3"/>
        </w:rPr>
        <w:t xml:space="preserve">health </w:t>
      </w:r>
      <w:r>
        <w:rPr>
          <w:color w:val="231F20"/>
        </w:rPr>
        <w:t xml:space="preserve">importance, </w:t>
      </w:r>
      <w:r w:rsidR="00AD5763">
        <w:rPr>
          <w:color w:val="231F20"/>
        </w:rPr>
        <w:t>e.g.</w:t>
      </w:r>
      <w:r>
        <w:rPr>
          <w:color w:val="231F20"/>
        </w:rPr>
        <w:t xml:space="preserve"> </w:t>
      </w:r>
      <w:r>
        <w:rPr>
          <w:color w:val="231F20"/>
          <w:spacing w:val="-7"/>
        </w:rPr>
        <w:t xml:space="preserve">VHF, </w:t>
      </w:r>
      <w:r>
        <w:rPr>
          <w:color w:val="231F20"/>
        </w:rPr>
        <w:t xml:space="preserve">cholera, measles, </w:t>
      </w:r>
      <w:r w:rsidR="00582DC8">
        <w:rPr>
          <w:color w:val="231F20"/>
        </w:rPr>
        <w:t>monkey pox</w:t>
      </w:r>
      <w:r>
        <w:rPr>
          <w:color w:val="231F20"/>
        </w:rPr>
        <w:t>; Supervisory visits and distribution of IDSR data tools to strengthen data collection using IDSR tools at all levels of health care and ensure availability of IDSR tools at all health service delivery points at all levels; Conduct sensitization workshops</w:t>
      </w:r>
      <w:r>
        <w:rPr>
          <w:color w:val="231F20"/>
          <w:spacing w:val="-8"/>
        </w:rPr>
        <w:t xml:space="preserve"> </w:t>
      </w:r>
      <w:r>
        <w:rPr>
          <w:color w:val="231F20"/>
        </w:rPr>
        <w:t>for</w:t>
      </w:r>
      <w:r>
        <w:rPr>
          <w:color w:val="231F20"/>
          <w:spacing w:val="-8"/>
        </w:rPr>
        <w:t xml:space="preserve"> </w:t>
      </w:r>
      <w:r>
        <w:rPr>
          <w:color w:val="231F20"/>
        </w:rPr>
        <w:t>clinicians</w:t>
      </w:r>
      <w:r>
        <w:rPr>
          <w:color w:val="231F20"/>
          <w:spacing w:val="-8"/>
        </w:rPr>
        <w:t xml:space="preserve"> </w:t>
      </w:r>
      <w:r>
        <w:rPr>
          <w:color w:val="231F20"/>
        </w:rPr>
        <w:t>and</w:t>
      </w:r>
      <w:r>
        <w:rPr>
          <w:color w:val="231F20"/>
          <w:spacing w:val="-8"/>
        </w:rPr>
        <w:t xml:space="preserve"> </w:t>
      </w:r>
      <w:r>
        <w:rPr>
          <w:color w:val="231F20"/>
        </w:rPr>
        <w:t>heads</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bodies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private</w:t>
      </w:r>
      <w:r>
        <w:rPr>
          <w:color w:val="231F20"/>
          <w:spacing w:val="-8"/>
        </w:rPr>
        <w:t xml:space="preserve"> </w:t>
      </w:r>
      <w:r>
        <w:rPr>
          <w:color w:val="231F20"/>
        </w:rPr>
        <w:t>sector</w:t>
      </w:r>
      <w:r>
        <w:rPr>
          <w:color w:val="231F20"/>
          <w:spacing w:val="-8"/>
        </w:rPr>
        <w:t xml:space="preserve"> </w:t>
      </w:r>
      <w:r>
        <w:rPr>
          <w:color w:val="231F20"/>
        </w:rPr>
        <w:t>on</w:t>
      </w:r>
      <w:r>
        <w:rPr>
          <w:color w:val="231F20"/>
          <w:spacing w:val="-8"/>
        </w:rPr>
        <w:t xml:space="preserve"> </w:t>
      </w:r>
      <w:r>
        <w:rPr>
          <w:color w:val="231F20"/>
        </w:rPr>
        <w:t>IDSR</w:t>
      </w:r>
      <w:r>
        <w:rPr>
          <w:color w:val="231F20"/>
          <w:spacing w:val="9"/>
        </w:rPr>
        <w:t xml:space="preserve"> </w:t>
      </w:r>
      <w:r>
        <w:rPr>
          <w:color w:val="231F20"/>
        </w:rPr>
        <w:t>to</w:t>
      </w:r>
      <w:r>
        <w:rPr>
          <w:color w:val="231F20"/>
          <w:spacing w:val="-8"/>
        </w:rPr>
        <w:t xml:space="preserve"> </w:t>
      </w:r>
      <w:r>
        <w:rPr>
          <w:color w:val="231F20"/>
        </w:rPr>
        <w:t>enlist</w:t>
      </w:r>
      <w:r>
        <w:rPr>
          <w:color w:val="231F20"/>
          <w:spacing w:val="-8"/>
        </w:rPr>
        <w:t xml:space="preserve"> </w:t>
      </w:r>
      <w:r>
        <w:rPr>
          <w:color w:val="231F20"/>
          <w:spacing w:val="-3"/>
        </w:rPr>
        <w:t xml:space="preserve">their </w:t>
      </w:r>
      <w:r>
        <w:rPr>
          <w:color w:val="231F20"/>
        </w:rPr>
        <w:t>participation in IDSR implementation (case detection, timely and complete case reporting and appropriate</w:t>
      </w:r>
      <w:r>
        <w:rPr>
          <w:color w:val="231F20"/>
          <w:spacing w:val="-25"/>
        </w:rPr>
        <w:t xml:space="preserve"> </w:t>
      </w:r>
      <w:r>
        <w:rPr>
          <w:color w:val="231F20"/>
        </w:rPr>
        <w:t>management</w:t>
      </w:r>
      <w:r>
        <w:rPr>
          <w:color w:val="231F20"/>
          <w:spacing w:val="-25"/>
        </w:rPr>
        <w:t xml:space="preserve"> </w:t>
      </w:r>
      <w:r>
        <w:rPr>
          <w:color w:val="231F20"/>
        </w:rPr>
        <w:t>of</w:t>
      </w:r>
      <w:r>
        <w:rPr>
          <w:color w:val="231F20"/>
          <w:spacing w:val="-25"/>
        </w:rPr>
        <w:t xml:space="preserve"> </w:t>
      </w:r>
      <w:r>
        <w:rPr>
          <w:color w:val="231F20"/>
        </w:rPr>
        <w:t>cases).</w:t>
      </w:r>
    </w:p>
    <w:p w14:paraId="1E22D75B" w14:textId="77777777" w:rsidR="009948F1" w:rsidRDefault="009948F1">
      <w:pPr>
        <w:pStyle w:val="BodyText"/>
        <w:rPr>
          <w:sz w:val="28"/>
        </w:rPr>
      </w:pPr>
    </w:p>
    <w:p w14:paraId="39AC7D13" w14:textId="77777777" w:rsidR="009948F1" w:rsidRDefault="00BC0563">
      <w:pPr>
        <w:pStyle w:val="ListParagraph"/>
        <w:numPr>
          <w:ilvl w:val="3"/>
          <w:numId w:val="263"/>
        </w:numPr>
        <w:tabs>
          <w:tab w:val="left" w:pos="1010"/>
        </w:tabs>
        <w:spacing w:line="278" w:lineRule="auto"/>
        <w:ind w:left="142" w:right="205" w:firstLine="0"/>
      </w:pPr>
      <w:r>
        <w:rPr>
          <w:color w:val="231F20"/>
        </w:rPr>
        <w:t>Expand/strengthen a network of public health laboratories in Rivers State. Key actions include; - Adopt standards and guidelines for the operation of the public health labs at all levels, including</w:t>
      </w:r>
      <w:r>
        <w:rPr>
          <w:color w:val="231F20"/>
          <w:spacing w:val="-21"/>
        </w:rPr>
        <w:t xml:space="preserve"> </w:t>
      </w:r>
      <w:r>
        <w:rPr>
          <w:color w:val="231F20"/>
        </w:rPr>
        <w:t>MoU</w:t>
      </w:r>
      <w:r>
        <w:rPr>
          <w:color w:val="231F20"/>
          <w:spacing w:val="-21"/>
        </w:rPr>
        <w:t xml:space="preserve"> </w:t>
      </w:r>
      <w:r>
        <w:rPr>
          <w:color w:val="231F20"/>
        </w:rPr>
        <w:t>with</w:t>
      </w:r>
      <w:r>
        <w:rPr>
          <w:color w:val="231F20"/>
          <w:spacing w:val="-21"/>
        </w:rPr>
        <w:t xml:space="preserve"> </w:t>
      </w:r>
      <w:r>
        <w:rPr>
          <w:color w:val="231F20"/>
        </w:rPr>
        <w:t>network</w:t>
      </w:r>
      <w:r>
        <w:rPr>
          <w:color w:val="231F20"/>
          <w:spacing w:val="-21"/>
        </w:rPr>
        <w:t xml:space="preserve"> </w:t>
      </w:r>
      <w:r>
        <w:rPr>
          <w:color w:val="231F20"/>
        </w:rPr>
        <w:t>of</w:t>
      </w:r>
      <w:r>
        <w:rPr>
          <w:color w:val="231F20"/>
          <w:spacing w:val="-21"/>
        </w:rPr>
        <w:t xml:space="preserve"> </w:t>
      </w:r>
      <w:r>
        <w:rPr>
          <w:color w:val="231F20"/>
        </w:rPr>
        <w:t>PHL</w:t>
      </w:r>
      <w:r>
        <w:rPr>
          <w:color w:val="231F20"/>
          <w:spacing w:val="-29"/>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country;</w:t>
      </w:r>
      <w:r>
        <w:rPr>
          <w:color w:val="231F20"/>
          <w:spacing w:val="-21"/>
        </w:rPr>
        <w:t xml:space="preserve"> </w:t>
      </w:r>
      <w:r>
        <w:rPr>
          <w:color w:val="231F20"/>
        </w:rPr>
        <w:t>Cost</w:t>
      </w:r>
      <w:r>
        <w:rPr>
          <w:color w:val="231F20"/>
          <w:spacing w:val="-20"/>
        </w:rPr>
        <w:t xml:space="preserve"> </w:t>
      </w:r>
      <w:r>
        <w:rPr>
          <w:color w:val="231F20"/>
        </w:rPr>
        <w:t>for</w:t>
      </w:r>
      <w:r>
        <w:rPr>
          <w:color w:val="231F20"/>
          <w:spacing w:val="-21"/>
        </w:rPr>
        <w:t xml:space="preserve"> </w:t>
      </w:r>
      <w:r>
        <w:rPr>
          <w:color w:val="231F20"/>
        </w:rPr>
        <w:t>engaging</w:t>
      </w:r>
      <w:r>
        <w:rPr>
          <w:color w:val="231F20"/>
          <w:spacing w:val="-21"/>
        </w:rPr>
        <w:t xml:space="preserve"> </w:t>
      </w:r>
      <w:r>
        <w:rPr>
          <w:color w:val="231F20"/>
        </w:rPr>
        <w:t>and</w:t>
      </w:r>
      <w:r>
        <w:rPr>
          <w:color w:val="231F20"/>
          <w:spacing w:val="-21"/>
        </w:rPr>
        <w:t xml:space="preserve"> </w:t>
      </w:r>
      <w:r>
        <w:rPr>
          <w:color w:val="231F20"/>
        </w:rPr>
        <w:t>supervising</w:t>
      </w:r>
      <w:r>
        <w:rPr>
          <w:color w:val="231F20"/>
          <w:spacing w:val="-21"/>
        </w:rPr>
        <w:t xml:space="preserve"> </w:t>
      </w:r>
      <w:r>
        <w:rPr>
          <w:color w:val="231F20"/>
        </w:rPr>
        <w:t>the</w:t>
      </w:r>
      <w:r>
        <w:rPr>
          <w:color w:val="231F20"/>
          <w:spacing w:val="-21"/>
        </w:rPr>
        <w:t xml:space="preserve"> </w:t>
      </w:r>
      <w:r>
        <w:rPr>
          <w:color w:val="231F20"/>
        </w:rPr>
        <w:t xml:space="preserve">contractor to build and equip a standard public health laboratory in the state. Strengthen for confirmation </w:t>
      </w:r>
      <w:r>
        <w:rPr>
          <w:color w:val="231F20"/>
          <w:spacing w:val="-7"/>
        </w:rPr>
        <w:t xml:space="preserve">of </w:t>
      </w:r>
      <w:r>
        <w:rPr>
          <w:color w:val="231F20"/>
        </w:rPr>
        <w:t xml:space="preserve">special pathogens and also act as quality control for State laboratories and Infection Control Practices; Strengthen BMSH Laboratory to handle public health investigations including </w:t>
      </w:r>
      <w:r>
        <w:rPr>
          <w:color w:val="231F20"/>
          <w:spacing w:val="-3"/>
        </w:rPr>
        <w:t xml:space="preserve">VHFs; </w:t>
      </w:r>
      <w:r>
        <w:rPr>
          <w:color w:val="231F20"/>
        </w:rPr>
        <w:t xml:space="preserve">Strengthen the system for sustainable laboratory reagents procurement and supplies including VHF reagent pack for the virology lab.; Establish a system for communication with the LGA </w:t>
      </w:r>
      <w:r>
        <w:rPr>
          <w:color w:val="231F20"/>
          <w:spacing w:val="-4"/>
        </w:rPr>
        <w:t xml:space="preserve">and </w:t>
      </w:r>
      <w:r>
        <w:rPr>
          <w:color w:val="231F20"/>
        </w:rPr>
        <w:t>adequate</w:t>
      </w:r>
      <w:r>
        <w:rPr>
          <w:color w:val="231F20"/>
          <w:spacing w:val="-26"/>
        </w:rPr>
        <w:t xml:space="preserve"> </w:t>
      </w:r>
      <w:r>
        <w:rPr>
          <w:color w:val="231F20"/>
        </w:rPr>
        <w:t>transportation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samples</w:t>
      </w:r>
      <w:r>
        <w:rPr>
          <w:color w:val="231F20"/>
          <w:spacing w:val="-25"/>
        </w:rPr>
        <w:t xml:space="preserve"> </w:t>
      </w:r>
      <w:r>
        <w:rPr>
          <w:color w:val="231F20"/>
        </w:rPr>
        <w:t>from</w:t>
      </w:r>
      <w:r>
        <w:rPr>
          <w:color w:val="231F20"/>
          <w:spacing w:val="-25"/>
        </w:rPr>
        <w:t xml:space="preserve"> </w:t>
      </w:r>
      <w:r>
        <w:rPr>
          <w:color w:val="231F20"/>
        </w:rPr>
        <w:t>health</w:t>
      </w:r>
      <w:r>
        <w:rPr>
          <w:color w:val="231F20"/>
          <w:spacing w:val="-25"/>
        </w:rPr>
        <w:t xml:space="preserve"> </w:t>
      </w:r>
      <w:r>
        <w:rPr>
          <w:color w:val="231F20"/>
        </w:rPr>
        <w:t>facilities/LGAs</w:t>
      </w:r>
      <w:r>
        <w:rPr>
          <w:color w:val="231F20"/>
          <w:spacing w:val="-25"/>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PHLs.</w:t>
      </w:r>
    </w:p>
    <w:p w14:paraId="29471287" w14:textId="77777777" w:rsidR="009948F1" w:rsidRDefault="009948F1">
      <w:pPr>
        <w:pStyle w:val="BodyText"/>
        <w:rPr>
          <w:sz w:val="26"/>
        </w:rPr>
      </w:pPr>
    </w:p>
    <w:p w14:paraId="269E899B" w14:textId="5C71F96E" w:rsidR="009948F1" w:rsidRDefault="00BC0563">
      <w:pPr>
        <w:pStyle w:val="ListParagraph"/>
        <w:numPr>
          <w:ilvl w:val="3"/>
          <w:numId w:val="263"/>
        </w:numPr>
        <w:tabs>
          <w:tab w:val="left" w:pos="1013"/>
        </w:tabs>
        <w:spacing w:line="278" w:lineRule="auto"/>
        <w:ind w:left="141" w:right="205" w:firstLine="0"/>
      </w:pPr>
      <w:r>
        <w:rPr>
          <w:color w:val="231F20"/>
        </w:rPr>
        <w:t>Scale-up public education and awareness creation on public health emergencies. Key actions include; - Advocacy/sensitization meetings with the Key Stakeholders- NMA, NANNAM, AGPMPN,</w:t>
      </w:r>
      <w:r>
        <w:rPr>
          <w:color w:val="231F20"/>
          <w:spacing w:val="-12"/>
        </w:rPr>
        <w:t xml:space="preserve"> </w:t>
      </w:r>
      <w:r>
        <w:rPr>
          <w:color w:val="231F20"/>
        </w:rPr>
        <w:t>NLC,</w:t>
      </w:r>
      <w:r>
        <w:rPr>
          <w:color w:val="231F20"/>
          <w:spacing w:val="-12"/>
        </w:rPr>
        <w:t xml:space="preserve"> </w:t>
      </w:r>
      <w:r>
        <w:rPr>
          <w:color w:val="231F20"/>
        </w:rPr>
        <w:t>MHWU,</w:t>
      </w:r>
      <w:r>
        <w:rPr>
          <w:color w:val="231F20"/>
          <w:spacing w:val="-12"/>
        </w:rPr>
        <w:t xml:space="preserve"> </w:t>
      </w:r>
      <w:r>
        <w:rPr>
          <w:color w:val="231F20"/>
        </w:rPr>
        <w:t>Pharmaceutical</w:t>
      </w:r>
      <w:r>
        <w:rPr>
          <w:color w:val="231F20"/>
          <w:spacing w:val="-12"/>
        </w:rPr>
        <w:t xml:space="preserve"> </w:t>
      </w:r>
      <w:r>
        <w:rPr>
          <w:color w:val="231F20"/>
        </w:rPr>
        <w:t>Society</w:t>
      </w:r>
      <w:r>
        <w:rPr>
          <w:color w:val="231F20"/>
          <w:spacing w:val="-12"/>
        </w:rPr>
        <w:t xml:space="preserve"> </w:t>
      </w:r>
      <w:r>
        <w:rPr>
          <w:color w:val="231F20"/>
        </w:rPr>
        <w:t>of</w:t>
      </w:r>
      <w:r>
        <w:rPr>
          <w:color w:val="231F20"/>
          <w:spacing w:val="-11"/>
        </w:rPr>
        <w:t xml:space="preserve"> </w:t>
      </w:r>
      <w:r>
        <w:rPr>
          <w:color w:val="231F20"/>
        </w:rPr>
        <w:t>Nigeria,</w:t>
      </w:r>
      <w:r>
        <w:rPr>
          <w:color w:val="231F20"/>
          <w:spacing w:val="-12"/>
        </w:rPr>
        <w:t xml:space="preserve"> </w:t>
      </w:r>
      <w:r>
        <w:rPr>
          <w:color w:val="231F20"/>
        </w:rPr>
        <w:t>MWAN,</w:t>
      </w:r>
      <w:r>
        <w:rPr>
          <w:color w:val="231F20"/>
          <w:spacing w:val="-16"/>
        </w:rPr>
        <w:t xml:space="preserve"> </w:t>
      </w:r>
      <w:r>
        <w:rPr>
          <w:color w:val="231F20"/>
        </w:rPr>
        <w:t>Traditional</w:t>
      </w:r>
      <w:r>
        <w:rPr>
          <w:color w:val="231F20"/>
          <w:spacing w:val="-12"/>
        </w:rPr>
        <w:t xml:space="preserve"> </w:t>
      </w:r>
      <w:r>
        <w:rPr>
          <w:color w:val="231F20"/>
        </w:rPr>
        <w:t>Rulers,</w:t>
      </w:r>
      <w:r>
        <w:rPr>
          <w:color w:val="231F20"/>
          <w:spacing w:val="-11"/>
        </w:rPr>
        <w:t xml:space="preserve"> </w:t>
      </w:r>
      <w:r>
        <w:rPr>
          <w:color w:val="231F20"/>
        </w:rPr>
        <w:t xml:space="preserve">Religious leaders, women leaders, Media Executives, (NUJ, NAWOJ, </w:t>
      </w:r>
      <w:r>
        <w:rPr>
          <w:color w:val="231F20"/>
          <w:spacing w:val="-6"/>
        </w:rPr>
        <w:t xml:space="preserve">RATTAWU, </w:t>
      </w:r>
      <w:r>
        <w:rPr>
          <w:color w:val="231F20"/>
        </w:rPr>
        <w:t xml:space="preserve">NOA, Rotary Club, Red Cross, Lions Club, Market Women leaders) on public health emergencies; Design, print </w:t>
      </w:r>
      <w:r>
        <w:rPr>
          <w:color w:val="231F20"/>
          <w:spacing w:val="-5"/>
        </w:rPr>
        <w:t xml:space="preserve">and </w:t>
      </w:r>
      <w:r>
        <w:rPr>
          <w:color w:val="231F20"/>
        </w:rPr>
        <w:t>distribute materials on public health emergencies for public education (IEC materials, posters, flyers,</w:t>
      </w:r>
      <w:r>
        <w:rPr>
          <w:color w:val="231F20"/>
          <w:spacing w:val="-20"/>
        </w:rPr>
        <w:t xml:space="preserve"> </w:t>
      </w:r>
      <w:r>
        <w:rPr>
          <w:color w:val="231F20"/>
        </w:rPr>
        <w:t>jingles</w:t>
      </w:r>
      <w:r>
        <w:rPr>
          <w:color w:val="231F20"/>
          <w:spacing w:val="-19"/>
        </w:rPr>
        <w:t xml:space="preserve"> </w:t>
      </w:r>
      <w:r w:rsidR="00AD5763">
        <w:rPr>
          <w:color w:val="231F20"/>
        </w:rPr>
        <w:t>etc.</w:t>
      </w:r>
      <w:r>
        <w:rPr>
          <w:color w:val="231F20"/>
        </w:rPr>
        <w:t>);</w:t>
      </w:r>
      <w:r>
        <w:rPr>
          <w:color w:val="231F20"/>
          <w:spacing w:val="-19"/>
        </w:rPr>
        <w:t xml:space="preserve"> </w:t>
      </w:r>
      <w:r>
        <w:rPr>
          <w:color w:val="231F20"/>
        </w:rPr>
        <w:t>Conduct</w:t>
      </w:r>
      <w:r>
        <w:rPr>
          <w:color w:val="231F20"/>
          <w:spacing w:val="-20"/>
        </w:rPr>
        <w:t xml:space="preserve"> </w:t>
      </w:r>
      <w:r>
        <w:rPr>
          <w:color w:val="231F20"/>
        </w:rPr>
        <w:t>mass</w:t>
      </w:r>
      <w:r>
        <w:rPr>
          <w:color w:val="231F20"/>
          <w:spacing w:val="-19"/>
        </w:rPr>
        <w:t xml:space="preserve"> </w:t>
      </w:r>
      <w:r>
        <w:rPr>
          <w:color w:val="231F20"/>
        </w:rPr>
        <w:t>edutainment</w:t>
      </w:r>
      <w:r>
        <w:rPr>
          <w:color w:val="231F20"/>
          <w:spacing w:val="-19"/>
        </w:rPr>
        <w:t xml:space="preserve"> </w:t>
      </w:r>
      <w:r>
        <w:rPr>
          <w:color w:val="231F20"/>
        </w:rPr>
        <w:t>on</w:t>
      </w:r>
      <w:r>
        <w:rPr>
          <w:color w:val="231F20"/>
          <w:spacing w:val="-20"/>
        </w:rPr>
        <w:t xml:space="preserve"> </w:t>
      </w:r>
      <w:r>
        <w:rPr>
          <w:color w:val="231F20"/>
        </w:rPr>
        <w:t>Lassa</w:t>
      </w:r>
      <w:r>
        <w:rPr>
          <w:color w:val="231F20"/>
          <w:spacing w:val="-19"/>
        </w:rPr>
        <w:t xml:space="preserve"> </w:t>
      </w:r>
      <w:r>
        <w:rPr>
          <w:color w:val="231F20"/>
          <w:spacing w:val="-3"/>
        </w:rPr>
        <w:t>Fever,</w:t>
      </w:r>
      <w:r>
        <w:rPr>
          <w:color w:val="231F20"/>
          <w:spacing w:val="-19"/>
        </w:rPr>
        <w:t xml:space="preserve"> </w:t>
      </w:r>
      <w:r>
        <w:rPr>
          <w:color w:val="231F20"/>
        </w:rPr>
        <w:t>Dengue</w:t>
      </w:r>
      <w:r>
        <w:rPr>
          <w:color w:val="231F20"/>
          <w:spacing w:val="-19"/>
        </w:rPr>
        <w:t xml:space="preserve"> </w:t>
      </w:r>
      <w:r>
        <w:rPr>
          <w:color w:val="231F20"/>
          <w:spacing w:val="-3"/>
        </w:rPr>
        <w:t>fever,</w:t>
      </w:r>
      <w:r>
        <w:rPr>
          <w:color w:val="231F20"/>
          <w:spacing w:val="-20"/>
        </w:rPr>
        <w:t xml:space="preserve"> </w:t>
      </w:r>
      <w:r>
        <w:rPr>
          <w:color w:val="231F20"/>
        </w:rPr>
        <w:t>cholera,</w:t>
      </w:r>
      <w:r>
        <w:rPr>
          <w:color w:val="231F20"/>
          <w:spacing w:val="-19"/>
        </w:rPr>
        <w:t xml:space="preserve"> </w:t>
      </w:r>
      <w:r w:rsidR="00AD5763">
        <w:rPr>
          <w:color w:val="231F20"/>
        </w:rPr>
        <w:t>monkey pox</w:t>
      </w:r>
      <w:r>
        <w:rPr>
          <w:color w:val="231F20"/>
        </w:rPr>
        <w:t xml:space="preserve"> and other infectious diseases; Social mobilization activities with OB </w:t>
      </w:r>
      <w:r>
        <w:rPr>
          <w:color w:val="231F20"/>
          <w:spacing w:val="-5"/>
        </w:rPr>
        <w:t xml:space="preserve">Vans </w:t>
      </w:r>
      <w:r>
        <w:rPr>
          <w:color w:val="231F20"/>
        </w:rPr>
        <w:t>(rallies, campaigns), Video</w:t>
      </w:r>
      <w:r>
        <w:rPr>
          <w:color w:val="231F20"/>
          <w:spacing w:val="-26"/>
        </w:rPr>
        <w:t xml:space="preserve"> </w:t>
      </w:r>
      <w:r>
        <w:rPr>
          <w:color w:val="231F20"/>
        </w:rPr>
        <w:t>Shows;</w:t>
      </w:r>
    </w:p>
    <w:p w14:paraId="2B11BA81" w14:textId="77777777" w:rsidR="009948F1" w:rsidRDefault="009948F1">
      <w:pPr>
        <w:pStyle w:val="BodyText"/>
        <w:spacing w:before="1"/>
        <w:rPr>
          <w:sz w:val="26"/>
        </w:rPr>
      </w:pPr>
    </w:p>
    <w:p w14:paraId="622CAD5E" w14:textId="77777777" w:rsidR="009948F1" w:rsidRDefault="00BC0563">
      <w:pPr>
        <w:pStyle w:val="ListParagraph"/>
        <w:numPr>
          <w:ilvl w:val="3"/>
          <w:numId w:val="263"/>
        </w:numPr>
        <w:tabs>
          <w:tab w:val="left" w:pos="1026"/>
        </w:tabs>
        <w:spacing w:line="278" w:lineRule="auto"/>
        <w:ind w:left="141" w:right="205" w:firstLine="0"/>
      </w:pPr>
      <w:r>
        <w:rPr>
          <w:color w:val="231F20"/>
        </w:rPr>
        <w:t>Promote access to comprehensive services for the prevention, treatment and impact mitigation</w:t>
      </w:r>
      <w:r>
        <w:rPr>
          <w:color w:val="231F20"/>
          <w:spacing w:val="-10"/>
        </w:rPr>
        <w:t xml:space="preserve"> </w:t>
      </w:r>
      <w:r>
        <w:rPr>
          <w:color w:val="231F20"/>
        </w:rPr>
        <w:t>of</w:t>
      </w:r>
      <w:r>
        <w:rPr>
          <w:color w:val="231F20"/>
          <w:spacing w:val="-9"/>
        </w:rPr>
        <w:t xml:space="preserve"> </w:t>
      </w:r>
      <w:r>
        <w:rPr>
          <w:color w:val="231F20"/>
        </w:rPr>
        <w:t>public</w:t>
      </w:r>
      <w:r>
        <w:rPr>
          <w:color w:val="231F20"/>
          <w:spacing w:val="-9"/>
        </w:rPr>
        <w:t xml:space="preserve"> </w:t>
      </w:r>
      <w:r>
        <w:rPr>
          <w:color w:val="231F20"/>
        </w:rPr>
        <w:t>health</w:t>
      </w:r>
      <w:r>
        <w:rPr>
          <w:color w:val="231F20"/>
          <w:spacing w:val="-9"/>
        </w:rPr>
        <w:t xml:space="preserve"> </w:t>
      </w:r>
      <w:r>
        <w:rPr>
          <w:color w:val="231F20"/>
        </w:rPr>
        <w:t>emergencies.</w:t>
      </w:r>
      <w:r>
        <w:rPr>
          <w:color w:val="231F20"/>
          <w:spacing w:val="-9"/>
        </w:rPr>
        <w:t xml:space="preserve"> </w:t>
      </w:r>
      <w:r>
        <w:rPr>
          <w:color w:val="231F20"/>
        </w:rPr>
        <w:t>Key</w:t>
      </w:r>
      <w:r>
        <w:rPr>
          <w:color w:val="231F20"/>
          <w:spacing w:val="-9"/>
        </w:rPr>
        <w:t xml:space="preserve"> </w:t>
      </w:r>
      <w:r>
        <w:rPr>
          <w:color w:val="231F20"/>
        </w:rPr>
        <w:t>actions</w:t>
      </w:r>
      <w:r>
        <w:rPr>
          <w:color w:val="231F20"/>
          <w:spacing w:val="-9"/>
        </w:rPr>
        <w:t xml:space="preserve"> </w:t>
      </w:r>
      <w:r>
        <w:rPr>
          <w:color w:val="231F20"/>
        </w:rPr>
        <w:t>include;</w:t>
      </w:r>
      <w:r>
        <w:rPr>
          <w:color w:val="231F20"/>
          <w:spacing w:val="-9"/>
        </w:rPr>
        <w:t xml:space="preserve"> </w:t>
      </w:r>
      <w:r>
        <w:rPr>
          <w:color w:val="231F20"/>
        </w:rPr>
        <w:t>–</w:t>
      </w:r>
      <w:r>
        <w:rPr>
          <w:color w:val="231F20"/>
          <w:spacing w:val="-10"/>
        </w:rPr>
        <w:t xml:space="preserve"> </w:t>
      </w:r>
      <w:r>
        <w:rPr>
          <w:color w:val="231F20"/>
        </w:rPr>
        <w:t>Cost</w:t>
      </w:r>
      <w:r>
        <w:rPr>
          <w:color w:val="231F20"/>
          <w:spacing w:val="-9"/>
        </w:rPr>
        <w:t xml:space="preserve"> </w:t>
      </w:r>
      <w:r>
        <w:rPr>
          <w:color w:val="231F20"/>
        </w:rPr>
        <w:t>for</w:t>
      </w:r>
      <w:r>
        <w:rPr>
          <w:color w:val="231F20"/>
          <w:spacing w:val="-9"/>
        </w:rPr>
        <w:t xml:space="preserve"> </w:t>
      </w:r>
      <w:r>
        <w:rPr>
          <w:color w:val="231F20"/>
        </w:rPr>
        <w:t>engaging</w:t>
      </w:r>
      <w:r>
        <w:rPr>
          <w:color w:val="231F20"/>
          <w:spacing w:val="-9"/>
        </w:rPr>
        <w:t xml:space="preserve"> </w:t>
      </w:r>
      <w:r>
        <w:rPr>
          <w:color w:val="231F20"/>
        </w:rPr>
        <w:t>and</w:t>
      </w:r>
      <w:r>
        <w:rPr>
          <w:color w:val="231F20"/>
          <w:spacing w:val="-9"/>
        </w:rPr>
        <w:t xml:space="preserve"> </w:t>
      </w:r>
      <w:r>
        <w:rPr>
          <w:color w:val="231F20"/>
        </w:rPr>
        <w:t>supervising the</w:t>
      </w:r>
      <w:r>
        <w:rPr>
          <w:color w:val="231F20"/>
          <w:spacing w:val="-10"/>
        </w:rPr>
        <w:t xml:space="preserve"> </w:t>
      </w:r>
      <w:r>
        <w:rPr>
          <w:color w:val="231F20"/>
        </w:rPr>
        <w:t>contractor</w:t>
      </w:r>
      <w:r>
        <w:rPr>
          <w:color w:val="231F20"/>
          <w:spacing w:val="-10"/>
        </w:rPr>
        <w:t xml:space="preserve"> </w:t>
      </w:r>
      <w:r>
        <w:rPr>
          <w:color w:val="231F20"/>
        </w:rPr>
        <w:t>to</w:t>
      </w:r>
      <w:r>
        <w:rPr>
          <w:color w:val="231F20"/>
          <w:spacing w:val="-10"/>
        </w:rPr>
        <w:t xml:space="preserve"> </w:t>
      </w:r>
      <w:r>
        <w:rPr>
          <w:color w:val="231F20"/>
        </w:rPr>
        <w:t>provide</w:t>
      </w:r>
      <w:r>
        <w:rPr>
          <w:color w:val="231F20"/>
          <w:spacing w:val="-9"/>
        </w:rPr>
        <w:t xml:space="preserve"> </w:t>
      </w:r>
      <w:r>
        <w:rPr>
          <w:color w:val="231F20"/>
        </w:rPr>
        <w:t>ambulances</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EOC</w:t>
      </w:r>
      <w:r>
        <w:rPr>
          <w:color w:val="231F20"/>
          <w:spacing w:val="-9"/>
        </w:rPr>
        <w:t xml:space="preserve"> </w:t>
      </w:r>
      <w:r>
        <w:rPr>
          <w:color w:val="231F20"/>
        </w:rPr>
        <w:t>and</w:t>
      </w:r>
      <w:r>
        <w:rPr>
          <w:color w:val="231F20"/>
          <w:spacing w:val="-10"/>
        </w:rPr>
        <w:t xml:space="preserve"> </w:t>
      </w:r>
      <w:r>
        <w:rPr>
          <w:color w:val="231F20"/>
        </w:rPr>
        <w:t>Infectious</w:t>
      </w:r>
      <w:r>
        <w:rPr>
          <w:color w:val="231F20"/>
          <w:spacing w:val="-10"/>
        </w:rPr>
        <w:t xml:space="preserve"> </w:t>
      </w:r>
      <w:r>
        <w:rPr>
          <w:color w:val="231F20"/>
        </w:rPr>
        <w:t>Disease</w:t>
      </w:r>
      <w:r>
        <w:rPr>
          <w:color w:val="231F20"/>
          <w:spacing w:val="-14"/>
        </w:rPr>
        <w:t xml:space="preserve"> </w:t>
      </w:r>
      <w:r>
        <w:rPr>
          <w:color w:val="231F20"/>
        </w:rPr>
        <w:t>Treatment</w:t>
      </w:r>
      <w:r>
        <w:rPr>
          <w:color w:val="231F20"/>
          <w:spacing w:val="-9"/>
        </w:rPr>
        <w:t xml:space="preserve"> </w:t>
      </w:r>
      <w:proofErr w:type="spellStart"/>
      <w:r>
        <w:rPr>
          <w:color w:val="231F20"/>
        </w:rPr>
        <w:t>centres</w:t>
      </w:r>
      <w:proofErr w:type="spellEnd"/>
      <w:r>
        <w:rPr>
          <w:color w:val="231F20"/>
        </w:rPr>
        <w:t>;</w:t>
      </w:r>
      <w:r>
        <w:rPr>
          <w:color w:val="231F20"/>
          <w:spacing w:val="-10"/>
        </w:rPr>
        <w:t xml:space="preserve"> </w:t>
      </w:r>
      <w:r>
        <w:rPr>
          <w:color w:val="231F20"/>
        </w:rPr>
        <w:t xml:space="preserve">Cost for engaging and supervising the contractor to provide isolation wards or holding areas </w:t>
      </w:r>
      <w:r>
        <w:rPr>
          <w:color w:val="231F20"/>
          <w:spacing w:val="-4"/>
        </w:rPr>
        <w:t xml:space="preserve">for </w:t>
      </w:r>
      <w:r>
        <w:rPr>
          <w:color w:val="231F20"/>
        </w:rPr>
        <w:t>infectious patients at all health care facilities; Cost for engaging and supervising the contractor</w:t>
      </w:r>
      <w:r>
        <w:rPr>
          <w:color w:val="231F20"/>
          <w:spacing w:val="-44"/>
        </w:rPr>
        <w:t xml:space="preserve"> </w:t>
      </w:r>
      <w:r>
        <w:rPr>
          <w:color w:val="231F20"/>
        </w:rPr>
        <w:t>to build</w:t>
      </w:r>
      <w:r>
        <w:rPr>
          <w:color w:val="231F20"/>
          <w:spacing w:val="-10"/>
        </w:rPr>
        <w:t xml:space="preserve"> </w:t>
      </w:r>
      <w:r>
        <w:rPr>
          <w:color w:val="231F20"/>
        </w:rPr>
        <w:t>quarantine</w:t>
      </w:r>
      <w:r>
        <w:rPr>
          <w:color w:val="231F20"/>
          <w:spacing w:val="-9"/>
        </w:rPr>
        <w:t xml:space="preserve"> </w:t>
      </w:r>
      <w:proofErr w:type="spellStart"/>
      <w:r>
        <w:rPr>
          <w:color w:val="231F20"/>
        </w:rPr>
        <w:t>centres</w:t>
      </w:r>
      <w:proofErr w:type="spellEnd"/>
      <w:r>
        <w:rPr>
          <w:color w:val="231F20"/>
          <w:spacing w:val="-10"/>
        </w:rPr>
        <w:t xml:space="preserve"> </w:t>
      </w:r>
      <w:r>
        <w:rPr>
          <w:color w:val="231F20"/>
        </w:rPr>
        <w:t>for</w:t>
      </w:r>
      <w:r>
        <w:rPr>
          <w:color w:val="231F20"/>
          <w:spacing w:val="-10"/>
        </w:rPr>
        <w:t xml:space="preserve"> </w:t>
      </w:r>
      <w:r>
        <w:rPr>
          <w:color w:val="231F20"/>
        </w:rPr>
        <w:t>infectious</w:t>
      </w:r>
      <w:r>
        <w:rPr>
          <w:color w:val="231F20"/>
          <w:spacing w:val="-9"/>
        </w:rPr>
        <w:t xml:space="preserve"> </w:t>
      </w:r>
      <w:r>
        <w:rPr>
          <w:color w:val="231F20"/>
        </w:rPr>
        <w:t>diseases;</w:t>
      </w:r>
      <w:r>
        <w:rPr>
          <w:color w:val="231F20"/>
          <w:spacing w:val="-9"/>
        </w:rPr>
        <w:t xml:space="preserve"> </w:t>
      </w:r>
      <w:r>
        <w:rPr>
          <w:color w:val="231F20"/>
        </w:rPr>
        <w:t>Cost</w:t>
      </w:r>
      <w:r>
        <w:rPr>
          <w:color w:val="231F20"/>
          <w:spacing w:val="-10"/>
        </w:rPr>
        <w:t xml:space="preserve"> </w:t>
      </w:r>
      <w:r>
        <w:rPr>
          <w:color w:val="231F20"/>
        </w:rPr>
        <w:t>for</w:t>
      </w:r>
      <w:r>
        <w:rPr>
          <w:color w:val="231F20"/>
          <w:spacing w:val="-10"/>
        </w:rPr>
        <w:t xml:space="preserve"> </w:t>
      </w:r>
      <w:r>
        <w:rPr>
          <w:color w:val="231F20"/>
        </w:rPr>
        <w:t>engaging</w:t>
      </w:r>
      <w:r>
        <w:rPr>
          <w:color w:val="231F20"/>
          <w:spacing w:val="-9"/>
        </w:rPr>
        <w:t xml:space="preserve"> </w:t>
      </w:r>
      <w:r>
        <w:rPr>
          <w:color w:val="231F20"/>
        </w:rPr>
        <w:t>and</w:t>
      </w:r>
      <w:r>
        <w:rPr>
          <w:color w:val="231F20"/>
          <w:spacing w:val="-9"/>
        </w:rPr>
        <w:t xml:space="preserve"> </w:t>
      </w:r>
      <w:r>
        <w:rPr>
          <w:color w:val="231F20"/>
        </w:rPr>
        <w:t>supervising</w:t>
      </w:r>
      <w:r>
        <w:rPr>
          <w:color w:val="231F20"/>
          <w:spacing w:val="-9"/>
        </w:rPr>
        <w:t xml:space="preserve"> </w:t>
      </w:r>
      <w:r>
        <w:rPr>
          <w:color w:val="231F20"/>
        </w:rPr>
        <w:t>the</w:t>
      </w:r>
      <w:r>
        <w:rPr>
          <w:color w:val="231F20"/>
          <w:spacing w:val="-10"/>
        </w:rPr>
        <w:t xml:space="preserve"> </w:t>
      </w:r>
      <w:r>
        <w:rPr>
          <w:color w:val="231F20"/>
        </w:rPr>
        <w:t xml:space="preserve">contractor for equipping of quarantine </w:t>
      </w:r>
      <w:proofErr w:type="spellStart"/>
      <w:r>
        <w:rPr>
          <w:color w:val="231F20"/>
        </w:rPr>
        <w:t>centres</w:t>
      </w:r>
      <w:proofErr w:type="spellEnd"/>
      <w:r>
        <w:rPr>
          <w:color w:val="231F20"/>
        </w:rPr>
        <w:t xml:space="preserve"> for infectious diseases in the state; Develop/Review a </w:t>
      </w:r>
      <w:r>
        <w:rPr>
          <w:color w:val="231F20"/>
          <w:spacing w:val="-3"/>
        </w:rPr>
        <w:t xml:space="preserve">state </w:t>
      </w:r>
      <w:r>
        <w:rPr>
          <w:color w:val="231F20"/>
        </w:rPr>
        <w:t>emergency</w:t>
      </w:r>
      <w:r>
        <w:rPr>
          <w:color w:val="231F20"/>
          <w:spacing w:val="-26"/>
        </w:rPr>
        <w:t xml:space="preserve"> </w:t>
      </w:r>
      <w:r>
        <w:rPr>
          <w:color w:val="231F20"/>
        </w:rPr>
        <w:t>resilience</w:t>
      </w:r>
      <w:r>
        <w:rPr>
          <w:color w:val="231F20"/>
          <w:spacing w:val="-25"/>
        </w:rPr>
        <w:t xml:space="preserve"> </w:t>
      </w:r>
      <w:r>
        <w:rPr>
          <w:color w:val="231F20"/>
        </w:rPr>
        <w:t>and</w:t>
      </w:r>
      <w:r>
        <w:rPr>
          <w:color w:val="231F20"/>
          <w:spacing w:val="37"/>
        </w:rPr>
        <w:t xml:space="preserve"> </w:t>
      </w:r>
      <w:r>
        <w:rPr>
          <w:color w:val="231F20"/>
        </w:rPr>
        <w:t>response</w:t>
      </w:r>
      <w:r>
        <w:rPr>
          <w:color w:val="231F20"/>
          <w:spacing w:val="-25"/>
        </w:rPr>
        <w:t xml:space="preserve"> </w:t>
      </w:r>
      <w:r>
        <w:rPr>
          <w:color w:val="231F20"/>
        </w:rPr>
        <w:t>plan</w:t>
      </w:r>
      <w:r>
        <w:rPr>
          <w:color w:val="231F20"/>
          <w:spacing w:val="-26"/>
        </w:rPr>
        <w:t xml:space="preserve"> </w:t>
      </w:r>
      <w:r>
        <w:rPr>
          <w:color w:val="231F20"/>
        </w:rPr>
        <w:t>for</w:t>
      </w:r>
      <w:r>
        <w:rPr>
          <w:color w:val="231F20"/>
          <w:spacing w:val="-25"/>
        </w:rPr>
        <w:t xml:space="preserve"> </w:t>
      </w:r>
      <w:r>
        <w:rPr>
          <w:color w:val="231F20"/>
        </w:rPr>
        <w:t>Public</w:t>
      </w:r>
      <w:r>
        <w:rPr>
          <w:color w:val="231F20"/>
          <w:spacing w:val="-25"/>
        </w:rPr>
        <w:t xml:space="preserve"> </w:t>
      </w:r>
      <w:r>
        <w:rPr>
          <w:color w:val="231F20"/>
        </w:rPr>
        <w:t>Health</w:t>
      </w:r>
      <w:r>
        <w:rPr>
          <w:color w:val="231F20"/>
          <w:spacing w:val="-25"/>
        </w:rPr>
        <w:t xml:space="preserve"> </w:t>
      </w:r>
      <w:r>
        <w:rPr>
          <w:color w:val="231F20"/>
        </w:rPr>
        <w:t>Emergencies</w:t>
      </w:r>
      <w:r>
        <w:rPr>
          <w:color w:val="231F20"/>
          <w:spacing w:val="-25"/>
        </w:rPr>
        <w:t xml:space="preserve"> </w:t>
      </w:r>
      <w:r>
        <w:rPr>
          <w:color w:val="231F20"/>
        </w:rPr>
        <w:t>(PHE).</w:t>
      </w:r>
    </w:p>
    <w:p w14:paraId="6703EC6D" w14:textId="77777777" w:rsidR="009948F1" w:rsidRDefault="009948F1">
      <w:pPr>
        <w:pStyle w:val="BodyText"/>
        <w:rPr>
          <w:sz w:val="26"/>
        </w:rPr>
      </w:pPr>
    </w:p>
    <w:p w14:paraId="1C92066A" w14:textId="77777777" w:rsidR="009948F1" w:rsidRDefault="00BC0563">
      <w:pPr>
        <w:pStyle w:val="ListParagraph"/>
        <w:numPr>
          <w:ilvl w:val="3"/>
          <w:numId w:val="263"/>
        </w:numPr>
        <w:tabs>
          <w:tab w:val="left" w:pos="1140"/>
        </w:tabs>
        <w:spacing w:line="278" w:lineRule="auto"/>
        <w:ind w:left="141" w:right="205" w:firstLine="0"/>
      </w:pPr>
      <w:r>
        <w:rPr>
          <w:color w:val="231F20"/>
        </w:rPr>
        <w:t xml:space="preserve">Promote integration of disease surveillance activities at all levels of the health </w:t>
      </w:r>
      <w:r>
        <w:rPr>
          <w:color w:val="231F20"/>
          <w:spacing w:val="-4"/>
        </w:rPr>
        <w:t>care</w:t>
      </w:r>
      <w:r>
        <w:rPr>
          <w:color w:val="231F20"/>
          <w:spacing w:val="53"/>
        </w:rPr>
        <w:t xml:space="preserve"> </w:t>
      </w:r>
      <w:r>
        <w:rPr>
          <w:color w:val="231F20"/>
        </w:rPr>
        <w:t>system. Key actions include; - Integrate all vertical surveillance systems (addressed in 14.1.2); Monitor</w:t>
      </w:r>
      <w:r>
        <w:rPr>
          <w:color w:val="231F20"/>
          <w:spacing w:val="-26"/>
        </w:rPr>
        <w:t xml:space="preserve"> </w:t>
      </w:r>
      <w:r>
        <w:rPr>
          <w:color w:val="231F20"/>
        </w:rPr>
        <w:t>and</w:t>
      </w:r>
      <w:r>
        <w:rPr>
          <w:color w:val="231F20"/>
          <w:spacing w:val="-25"/>
        </w:rPr>
        <w:t xml:space="preserve"> </w:t>
      </w:r>
      <w:r>
        <w:rPr>
          <w:color w:val="231F20"/>
        </w:rPr>
        <w:t>evaluate</w:t>
      </w:r>
      <w:r>
        <w:rPr>
          <w:color w:val="231F20"/>
          <w:spacing w:val="-25"/>
        </w:rPr>
        <w:t xml:space="preserve"> </w:t>
      </w:r>
      <w:r>
        <w:rPr>
          <w:color w:val="231F20"/>
        </w:rPr>
        <w:t>IDSR</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r>
        <w:rPr>
          <w:color w:val="231F20"/>
          <w:spacing w:val="-25"/>
        </w:rPr>
        <w:t xml:space="preserve"> </w:t>
      </w:r>
      <w:r>
        <w:rPr>
          <w:color w:val="231F20"/>
        </w:rPr>
        <w:t>and</w:t>
      </w:r>
      <w:r>
        <w:rPr>
          <w:color w:val="231F20"/>
          <w:spacing w:val="-25"/>
        </w:rPr>
        <w:t xml:space="preserve"> </w:t>
      </w:r>
      <w:r>
        <w:rPr>
          <w:color w:val="231F20"/>
        </w:rPr>
        <w:t>establishment</w:t>
      </w:r>
      <w:r>
        <w:rPr>
          <w:color w:val="231F20"/>
          <w:spacing w:val="-25"/>
        </w:rPr>
        <w:t xml:space="preserve"> </w:t>
      </w:r>
      <w:r>
        <w:rPr>
          <w:color w:val="231F20"/>
        </w:rPr>
        <w:t>of</w:t>
      </w:r>
      <w:r>
        <w:rPr>
          <w:color w:val="231F20"/>
          <w:spacing w:val="-25"/>
        </w:rPr>
        <w:t xml:space="preserve"> </w:t>
      </w:r>
      <w:r>
        <w:rPr>
          <w:color w:val="231F20"/>
        </w:rPr>
        <w:t>monitoring</w:t>
      </w:r>
      <w:r>
        <w:rPr>
          <w:color w:val="231F20"/>
          <w:spacing w:val="-25"/>
        </w:rPr>
        <w:t xml:space="preserve"> </w:t>
      </w:r>
      <w:r>
        <w:rPr>
          <w:color w:val="231F20"/>
        </w:rPr>
        <w:t>protocol.</w:t>
      </w:r>
    </w:p>
    <w:p w14:paraId="290CCACE" w14:textId="77777777" w:rsidR="009948F1" w:rsidRDefault="009948F1">
      <w:pPr>
        <w:spacing w:line="278" w:lineRule="auto"/>
        <w:jc w:val="both"/>
        <w:sectPr w:rsidR="009948F1">
          <w:pgSz w:w="11910" w:h="16840"/>
          <w:pgMar w:top="1240" w:right="1080" w:bottom="1420" w:left="1120" w:header="0" w:footer="1235" w:gutter="0"/>
          <w:cols w:space="720"/>
        </w:sectPr>
      </w:pPr>
    </w:p>
    <w:p w14:paraId="6ACD0073" w14:textId="77777777" w:rsidR="009948F1" w:rsidRDefault="00BC0563">
      <w:pPr>
        <w:pStyle w:val="ListParagraph"/>
        <w:numPr>
          <w:ilvl w:val="3"/>
          <w:numId w:val="263"/>
        </w:numPr>
        <w:tabs>
          <w:tab w:val="left" w:pos="986"/>
        </w:tabs>
        <w:spacing w:before="34" w:line="261" w:lineRule="auto"/>
        <w:ind w:left="129" w:right="160" w:firstLine="0"/>
      </w:pPr>
      <w:bookmarkStart w:id="105" w:name="Page_91"/>
      <w:bookmarkEnd w:id="105"/>
      <w:r>
        <w:rPr>
          <w:color w:val="231F20"/>
        </w:rPr>
        <w:lastRenderedPageBreak/>
        <w:t>Build human resource capacity and equitably distribute them for appropriate and</w:t>
      </w:r>
      <w:r>
        <w:rPr>
          <w:color w:val="231F20"/>
          <w:spacing w:val="-32"/>
        </w:rPr>
        <w:t xml:space="preserve"> </w:t>
      </w:r>
      <w:r>
        <w:rPr>
          <w:color w:val="231F20"/>
        </w:rPr>
        <w:t>optimal response</w:t>
      </w:r>
      <w:r>
        <w:rPr>
          <w:color w:val="231F20"/>
          <w:spacing w:val="-13"/>
        </w:rPr>
        <w:t xml:space="preserve"> </w:t>
      </w:r>
      <w:r>
        <w:rPr>
          <w:color w:val="231F20"/>
        </w:rPr>
        <w:t>to</w:t>
      </w:r>
      <w:r>
        <w:rPr>
          <w:color w:val="231F20"/>
          <w:spacing w:val="-12"/>
        </w:rPr>
        <w:t xml:space="preserve"> </w:t>
      </w:r>
      <w:r>
        <w:rPr>
          <w:color w:val="231F20"/>
        </w:rPr>
        <w:t>public</w:t>
      </w:r>
      <w:r>
        <w:rPr>
          <w:color w:val="231F20"/>
          <w:spacing w:val="-12"/>
        </w:rPr>
        <w:t xml:space="preserve"> </w:t>
      </w:r>
      <w:r>
        <w:rPr>
          <w:color w:val="231F20"/>
        </w:rPr>
        <w:t>health</w:t>
      </w:r>
      <w:r>
        <w:rPr>
          <w:color w:val="231F20"/>
          <w:spacing w:val="-12"/>
        </w:rPr>
        <w:t xml:space="preserve"> </w:t>
      </w:r>
      <w:r>
        <w:rPr>
          <w:color w:val="231F20"/>
        </w:rPr>
        <w:t>emergencies.</w:t>
      </w:r>
      <w:r>
        <w:rPr>
          <w:color w:val="231F20"/>
          <w:spacing w:val="-12"/>
        </w:rPr>
        <w:t xml:space="preserve"> </w:t>
      </w:r>
      <w:r>
        <w:rPr>
          <w:color w:val="231F20"/>
        </w:rPr>
        <w:t>Key</w:t>
      </w:r>
      <w:r>
        <w:rPr>
          <w:color w:val="231F20"/>
          <w:spacing w:val="-12"/>
        </w:rPr>
        <w:t xml:space="preserve"> </w:t>
      </w:r>
      <w:r>
        <w:rPr>
          <w:color w:val="231F20"/>
        </w:rPr>
        <w:t>actions</w:t>
      </w:r>
      <w:r>
        <w:rPr>
          <w:color w:val="231F20"/>
          <w:spacing w:val="-12"/>
        </w:rPr>
        <w:t xml:space="preserve"> </w:t>
      </w:r>
      <w:r>
        <w:rPr>
          <w:color w:val="231F20"/>
        </w:rPr>
        <w:t>include;</w:t>
      </w:r>
      <w:r>
        <w:rPr>
          <w:color w:val="231F20"/>
          <w:spacing w:val="-12"/>
        </w:rPr>
        <w:t xml:space="preserve"> </w:t>
      </w:r>
      <w:r>
        <w:rPr>
          <w:color w:val="231F20"/>
        </w:rPr>
        <w:t>-</w:t>
      </w:r>
      <w:r>
        <w:rPr>
          <w:color w:val="231F20"/>
          <w:spacing w:val="-24"/>
        </w:rPr>
        <w:t xml:space="preserve"> </w:t>
      </w:r>
      <w:r>
        <w:rPr>
          <w:color w:val="231F20"/>
        </w:rPr>
        <w:t>Adapt</w:t>
      </w:r>
      <w:r>
        <w:rPr>
          <w:color w:val="231F20"/>
          <w:spacing w:val="-13"/>
        </w:rPr>
        <w:t xml:space="preserve"> </w:t>
      </w:r>
      <w:r>
        <w:rPr>
          <w:color w:val="231F20"/>
        </w:rPr>
        <w:t>WHO</w:t>
      </w:r>
      <w:r>
        <w:rPr>
          <w:color w:val="231F20"/>
          <w:spacing w:val="-12"/>
        </w:rPr>
        <w:t xml:space="preserve"> </w:t>
      </w:r>
      <w:r>
        <w:rPr>
          <w:color w:val="231F20"/>
        </w:rPr>
        <w:t>generic</w:t>
      </w:r>
      <w:r>
        <w:rPr>
          <w:color w:val="231F20"/>
          <w:spacing w:val="-12"/>
        </w:rPr>
        <w:t xml:space="preserve"> </w:t>
      </w:r>
      <w:r>
        <w:rPr>
          <w:color w:val="231F20"/>
        </w:rPr>
        <w:t xml:space="preserve">materials/adopt national training materials for disease surveillance, laboratory diagnosis and public </w:t>
      </w:r>
      <w:r>
        <w:rPr>
          <w:color w:val="231F20"/>
          <w:spacing w:val="-3"/>
        </w:rPr>
        <w:t xml:space="preserve">health </w:t>
      </w:r>
      <w:r>
        <w:rPr>
          <w:color w:val="231F20"/>
        </w:rPr>
        <w:t>emergencies and response; Training and retraining/deployment of Public health laboratory personnel</w:t>
      </w:r>
      <w:r>
        <w:rPr>
          <w:color w:val="231F20"/>
          <w:spacing w:val="-16"/>
        </w:rPr>
        <w:t xml:space="preserve"> </w:t>
      </w:r>
      <w:r>
        <w:rPr>
          <w:color w:val="231F20"/>
        </w:rPr>
        <w:t>on</w:t>
      </w:r>
      <w:r>
        <w:rPr>
          <w:color w:val="231F20"/>
          <w:spacing w:val="-16"/>
        </w:rPr>
        <w:t xml:space="preserve"> </w:t>
      </w:r>
      <w:r>
        <w:rPr>
          <w:color w:val="231F20"/>
        </w:rPr>
        <w:t>response</w:t>
      </w:r>
      <w:r>
        <w:rPr>
          <w:color w:val="231F20"/>
          <w:spacing w:val="-16"/>
        </w:rPr>
        <w:t xml:space="preserve"> </w:t>
      </w:r>
      <w:r>
        <w:rPr>
          <w:color w:val="231F20"/>
        </w:rPr>
        <w:t>to</w:t>
      </w:r>
      <w:r>
        <w:rPr>
          <w:color w:val="231F20"/>
          <w:spacing w:val="-16"/>
        </w:rPr>
        <w:t xml:space="preserve"> </w:t>
      </w:r>
      <w:r>
        <w:rPr>
          <w:color w:val="231F20"/>
        </w:rPr>
        <w:t>public</w:t>
      </w:r>
      <w:r>
        <w:rPr>
          <w:color w:val="231F20"/>
          <w:spacing w:val="-16"/>
        </w:rPr>
        <w:t xml:space="preserve"> </w:t>
      </w:r>
      <w:r>
        <w:rPr>
          <w:color w:val="231F20"/>
        </w:rPr>
        <w:t>health</w:t>
      </w:r>
      <w:r>
        <w:rPr>
          <w:color w:val="231F20"/>
          <w:spacing w:val="-16"/>
        </w:rPr>
        <w:t xml:space="preserve"> </w:t>
      </w:r>
      <w:r>
        <w:rPr>
          <w:color w:val="231F20"/>
        </w:rPr>
        <w:t>emergencies;</w:t>
      </w:r>
      <w:r>
        <w:rPr>
          <w:color w:val="231F20"/>
          <w:spacing w:val="-19"/>
        </w:rPr>
        <w:t xml:space="preserve"> </w:t>
      </w:r>
      <w:r>
        <w:rPr>
          <w:color w:val="231F20"/>
        </w:rPr>
        <w:t>Training</w:t>
      </w:r>
      <w:r>
        <w:rPr>
          <w:color w:val="231F20"/>
          <w:spacing w:val="-16"/>
        </w:rPr>
        <w:t xml:space="preserve"> </w:t>
      </w:r>
      <w:r>
        <w:rPr>
          <w:color w:val="231F20"/>
        </w:rPr>
        <w:t>of</w:t>
      </w:r>
      <w:r>
        <w:rPr>
          <w:color w:val="231F20"/>
          <w:spacing w:val="-17"/>
        </w:rPr>
        <w:t xml:space="preserve"> </w:t>
      </w:r>
      <w:r>
        <w:rPr>
          <w:color w:val="231F20"/>
        </w:rPr>
        <w:t>clinicians,</w:t>
      </w:r>
      <w:r>
        <w:rPr>
          <w:color w:val="231F20"/>
          <w:spacing w:val="-15"/>
        </w:rPr>
        <w:t xml:space="preserve"> </w:t>
      </w:r>
      <w:r>
        <w:rPr>
          <w:color w:val="231F20"/>
        </w:rPr>
        <w:t>EHOs</w:t>
      </w:r>
      <w:r>
        <w:rPr>
          <w:color w:val="231F20"/>
          <w:spacing w:val="-17"/>
        </w:rPr>
        <w:t xml:space="preserve"> </w:t>
      </w:r>
      <w:r>
        <w:rPr>
          <w:color w:val="231F20"/>
        </w:rPr>
        <w:t>and</w:t>
      </w:r>
      <w:r>
        <w:rPr>
          <w:color w:val="231F20"/>
          <w:spacing w:val="-16"/>
        </w:rPr>
        <w:t xml:space="preserve"> </w:t>
      </w:r>
      <w:r>
        <w:rPr>
          <w:color w:val="231F20"/>
        </w:rPr>
        <w:t>Nurses</w:t>
      </w:r>
      <w:r>
        <w:rPr>
          <w:color w:val="231F20"/>
          <w:spacing w:val="-15"/>
        </w:rPr>
        <w:t xml:space="preserve"> </w:t>
      </w:r>
      <w:r>
        <w:rPr>
          <w:color w:val="231F20"/>
        </w:rPr>
        <w:t>at</w:t>
      </w:r>
      <w:r>
        <w:rPr>
          <w:color w:val="231F20"/>
          <w:spacing w:val="-17"/>
        </w:rPr>
        <w:t xml:space="preserve"> </w:t>
      </w:r>
      <w:r>
        <w:rPr>
          <w:color w:val="231F20"/>
          <w:spacing w:val="-4"/>
        </w:rPr>
        <w:t xml:space="preserve">all </w:t>
      </w:r>
      <w:r>
        <w:rPr>
          <w:color w:val="231F20"/>
        </w:rPr>
        <w:t xml:space="preserve">levels to handle infectious diseases; Training of DSNOs, EHOs, CHEWs, SMOs, Media, </w:t>
      </w:r>
      <w:r>
        <w:rPr>
          <w:color w:val="231F20"/>
          <w:spacing w:val="-3"/>
        </w:rPr>
        <w:t xml:space="preserve">CBOs </w:t>
      </w:r>
      <w:r>
        <w:rPr>
          <w:color w:val="231F20"/>
        </w:rPr>
        <w:t xml:space="preserve">NOA, Volunteer Health workers, informants, </w:t>
      </w:r>
      <w:r>
        <w:rPr>
          <w:color w:val="231F20"/>
          <w:spacing w:val="-3"/>
        </w:rPr>
        <w:t xml:space="preserve">Ward </w:t>
      </w:r>
      <w:r>
        <w:rPr>
          <w:color w:val="231F20"/>
        </w:rPr>
        <w:t xml:space="preserve">Health Committees, Traditional Rulers, </w:t>
      </w:r>
      <w:r>
        <w:rPr>
          <w:color w:val="231F20"/>
          <w:spacing w:val="-4"/>
        </w:rPr>
        <w:t>CDC</w:t>
      </w:r>
      <w:r>
        <w:rPr>
          <w:color w:val="231F20"/>
          <w:spacing w:val="53"/>
        </w:rPr>
        <w:t xml:space="preserve"> </w:t>
      </w:r>
      <w:r>
        <w:rPr>
          <w:color w:val="231F20"/>
        </w:rPr>
        <w:t>chairmen, CAN, and Muslim group on response to public health emergencies; Training and retraining</w:t>
      </w:r>
      <w:r>
        <w:rPr>
          <w:color w:val="231F20"/>
          <w:spacing w:val="-26"/>
        </w:rPr>
        <w:t xml:space="preserve"> </w:t>
      </w:r>
      <w:r>
        <w:rPr>
          <w:color w:val="231F20"/>
        </w:rPr>
        <w:t>of</w:t>
      </w:r>
      <w:r>
        <w:rPr>
          <w:color w:val="231F20"/>
          <w:spacing w:val="-25"/>
        </w:rPr>
        <w:t xml:space="preserve"> </w:t>
      </w:r>
      <w:r>
        <w:rPr>
          <w:color w:val="231F20"/>
        </w:rPr>
        <w:t>DSNOs</w:t>
      </w:r>
      <w:r>
        <w:rPr>
          <w:color w:val="231F20"/>
          <w:spacing w:val="-25"/>
        </w:rPr>
        <w:t xml:space="preserve"> </w:t>
      </w:r>
      <w:r>
        <w:rPr>
          <w:color w:val="231F20"/>
        </w:rPr>
        <w:t>and</w:t>
      </w:r>
      <w:r>
        <w:rPr>
          <w:color w:val="231F20"/>
          <w:spacing w:val="-25"/>
        </w:rPr>
        <w:t xml:space="preserve"> </w:t>
      </w:r>
      <w:r>
        <w:rPr>
          <w:color w:val="231F20"/>
        </w:rPr>
        <w:t>Data</w:t>
      </w:r>
      <w:r>
        <w:rPr>
          <w:color w:val="231F20"/>
          <w:spacing w:val="-25"/>
        </w:rPr>
        <w:t xml:space="preserve"> </w:t>
      </w:r>
      <w:r>
        <w:rPr>
          <w:color w:val="231F20"/>
        </w:rPr>
        <w:t>management</w:t>
      </w:r>
      <w:r>
        <w:rPr>
          <w:color w:val="231F20"/>
          <w:spacing w:val="-25"/>
        </w:rPr>
        <w:t xml:space="preserve"> </w:t>
      </w:r>
      <w:r>
        <w:rPr>
          <w:color w:val="231F20"/>
        </w:rPr>
        <w:t>team</w:t>
      </w:r>
      <w:r>
        <w:rPr>
          <w:color w:val="231F20"/>
          <w:spacing w:val="-25"/>
        </w:rPr>
        <w:t xml:space="preserve"> </w:t>
      </w:r>
      <w:r>
        <w:rPr>
          <w:color w:val="231F20"/>
        </w:rPr>
        <w:t>at</w:t>
      </w:r>
      <w:r>
        <w:rPr>
          <w:color w:val="231F20"/>
          <w:spacing w:val="-25"/>
        </w:rPr>
        <w:t xml:space="preserve"> </w:t>
      </w:r>
      <w:r>
        <w:rPr>
          <w:color w:val="231F20"/>
        </w:rPr>
        <w:t>state</w:t>
      </w:r>
      <w:r>
        <w:rPr>
          <w:color w:val="231F20"/>
          <w:spacing w:val="-25"/>
        </w:rPr>
        <w:t xml:space="preserve"> </w:t>
      </w:r>
      <w:r>
        <w:rPr>
          <w:color w:val="231F20"/>
        </w:rPr>
        <w:t>level</w:t>
      </w:r>
      <w:r>
        <w:rPr>
          <w:color w:val="231F20"/>
          <w:spacing w:val="-25"/>
        </w:rPr>
        <w:t xml:space="preserve"> </w:t>
      </w:r>
      <w:r>
        <w:rPr>
          <w:color w:val="231F20"/>
        </w:rPr>
        <w:t>on</w:t>
      </w:r>
      <w:r>
        <w:rPr>
          <w:color w:val="231F20"/>
          <w:spacing w:val="-25"/>
        </w:rPr>
        <w:t xml:space="preserve"> </w:t>
      </w:r>
      <w:r>
        <w:rPr>
          <w:color w:val="231F20"/>
        </w:rPr>
        <w:t>use</w:t>
      </w:r>
      <w:r>
        <w:rPr>
          <w:color w:val="231F20"/>
          <w:spacing w:val="-25"/>
        </w:rPr>
        <w:t xml:space="preserve"> </w:t>
      </w:r>
      <w:r>
        <w:rPr>
          <w:color w:val="231F20"/>
        </w:rPr>
        <w:t>of</w:t>
      </w:r>
      <w:r>
        <w:rPr>
          <w:color w:val="231F20"/>
          <w:spacing w:val="-25"/>
        </w:rPr>
        <w:t xml:space="preserve"> </w:t>
      </w:r>
      <w:r>
        <w:rPr>
          <w:color w:val="231F20"/>
        </w:rPr>
        <w:t>ICT</w:t>
      </w:r>
      <w:r>
        <w:rPr>
          <w:color w:val="231F20"/>
          <w:spacing w:val="-29"/>
        </w:rPr>
        <w:t xml:space="preserve"> </w:t>
      </w:r>
      <w:r>
        <w:rPr>
          <w:color w:val="231F20"/>
        </w:rPr>
        <w:t>in</w:t>
      </w:r>
      <w:r>
        <w:rPr>
          <w:color w:val="231F20"/>
          <w:spacing w:val="-25"/>
        </w:rPr>
        <w:t xml:space="preserve"> </w:t>
      </w:r>
      <w:r>
        <w:rPr>
          <w:color w:val="231F20"/>
        </w:rPr>
        <w:t>IDSR.</w:t>
      </w:r>
    </w:p>
    <w:p w14:paraId="55971DC8" w14:textId="77777777" w:rsidR="009948F1" w:rsidRDefault="009948F1">
      <w:pPr>
        <w:pStyle w:val="BodyText"/>
        <w:spacing w:before="2"/>
        <w:rPr>
          <w:sz w:val="24"/>
        </w:rPr>
      </w:pPr>
    </w:p>
    <w:p w14:paraId="215E71FA" w14:textId="075F2F95" w:rsidR="009948F1" w:rsidRDefault="00BC0563">
      <w:pPr>
        <w:pStyle w:val="ListParagraph"/>
        <w:numPr>
          <w:ilvl w:val="3"/>
          <w:numId w:val="263"/>
        </w:numPr>
        <w:tabs>
          <w:tab w:val="left" w:pos="1017"/>
        </w:tabs>
        <w:spacing w:line="261" w:lineRule="auto"/>
        <w:ind w:left="128" w:right="160" w:firstLine="0"/>
      </w:pPr>
      <w:r>
        <w:rPr>
          <w:color w:val="231F20"/>
        </w:rPr>
        <w:t>Strengthen coordination mechanisms for public health emergencies at all levels. Key actions include; - Develop a road map and commence implementation of Global Health Security Agenda;</w:t>
      </w:r>
      <w:r>
        <w:rPr>
          <w:color w:val="231F20"/>
          <w:spacing w:val="-4"/>
        </w:rPr>
        <w:t xml:space="preserve"> </w:t>
      </w:r>
      <w:r>
        <w:rPr>
          <w:color w:val="231F20"/>
        </w:rPr>
        <w:t>Cost</w:t>
      </w:r>
      <w:r>
        <w:rPr>
          <w:color w:val="231F20"/>
          <w:spacing w:val="-4"/>
        </w:rPr>
        <w:t xml:space="preserve"> </w:t>
      </w:r>
      <w:r>
        <w:rPr>
          <w:color w:val="231F20"/>
        </w:rPr>
        <w:t>for</w:t>
      </w:r>
      <w:r>
        <w:rPr>
          <w:color w:val="231F20"/>
          <w:spacing w:val="-4"/>
        </w:rPr>
        <w:t xml:space="preserve"> </w:t>
      </w:r>
      <w:r>
        <w:rPr>
          <w:color w:val="231F20"/>
        </w:rPr>
        <w:t>engaging</w:t>
      </w:r>
      <w:r>
        <w:rPr>
          <w:color w:val="231F20"/>
          <w:spacing w:val="-3"/>
        </w:rPr>
        <w:t xml:space="preserve"> </w:t>
      </w:r>
      <w:r>
        <w:rPr>
          <w:color w:val="231F20"/>
        </w:rPr>
        <w:t>and</w:t>
      </w:r>
      <w:r>
        <w:rPr>
          <w:color w:val="231F20"/>
          <w:spacing w:val="-4"/>
        </w:rPr>
        <w:t xml:space="preserve"> </w:t>
      </w:r>
      <w:r>
        <w:rPr>
          <w:color w:val="231F20"/>
        </w:rPr>
        <w:t>supervising</w:t>
      </w:r>
      <w:r>
        <w:rPr>
          <w:color w:val="231F20"/>
          <w:spacing w:val="-3"/>
        </w:rPr>
        <w:t xml:space="preserve"> </w:t>
      </w:r>
      <w:r>
        <w:rPr>
          <w:color w:val="231F20"/>
        </w:rPr>
        <w:t>the</w:t>
      </w:r>
      <w:r>
        <w:rPr>
          <w:color w:val="231F20"/>
          <w:spacing w:val="-4"/>
        </w:rPr>
        <w:t xml:space="preserve"> </w:t>
      </w:r>
      <w:r>
        <w:rPr>
          <w:color w:val="231F20"/>
        </w:rPr>
        <w:t>contractor</w:t>
      </w:r>
      <w:r>
        <w:rPr>
          <w:color w:val="231F20"/>
          <w:spacing w:val="-4"/>
        </w:rPr>
        <w:t xml:space="preserve"> </w:t>
      </w:r>
      <w:r>
        <w:rPr>
          <w:color w:val="231F20"/>
        </w:rPr>
        <w:t>to</w:t>
      </w:r>
      <w:r>
        <w:rPr>
          <w:color w:val="231F20"/>
          <w:spacing w:val="-4"/>
        </w:rPr>
        <w:t xml:space="preserve"> </w:t>
      </w:r>
      <w:r>
        <w:rPr>
          <w:color w:val="231F20"/>
        </w:rPr>
        <w:t>renovate</w:t>
      </w:r>
      <w:r>
        <w:rPr>
          <w:color w:val="231F20"/>
          <w:spacing w:val="-3"/>
        </w:rPr>
        <w:t xml:space="preserve"> </w:t>
      </w:r>
      <w:r>
        <w:rPr>
          <w:color w:val="231F20"/>
        </w:rPr>
        <w:t>and</w:t>
      </w:r>
      <w:r>
        <w:rPr>
          <w:color w:val="231F20"/>
          <w:spacing w:val="-4"/>
        </w:rPr>
        <w:t xml:space="preserve"> </w:t>
      </w:r>
      <w:r>
        <w:rPr>
          <w:color w:val="231F20"/>
        </w:rPr>
        <w:t>upgrade</w:t>
      </w:r>
      <w:r>
        <w:rPr>
          <w:color w:val="231F20"/>
          <w:spacing w:val="-4"/>
        </w:rPr>
        <w:t xml:space="preserve"> </w:t>
      </w:r>
      <w:r>
        <w:rPr>
          <w:color w:val="231F20"/>
        </w:rPr>
        <w:t>the</w:t>
      </w:r>
      <w:r>
        <w:rPr>
          <w:color w:val="231F20"/>
          <w:spacing w:val="-4"/>
        </w:rPr>
        <w:t xml:space="preserve"> </w:t>
      </w:r>
      <w:r>
        <w:rPr>
          <w:color w:val="231F20"/>
        </w:rPr>
        <w:t xml:space="preserve">Infectious Disease Treatment Centre at </w:t>
      </w:r>
      <w:proofErr w:type="spellStart"/>
      <w:r>
        <w:rPr>
          <w:color w:val="231F20"/>
        </w:rPr>
        <w:t>Emohua</w:t>
      </w:r>
      <w:proofErr w:type="spellEnd"/>
      <w:r>
        <w:rPr>
          <w:color w:val="231F20"/>
        </w:rPr>
        <w:t xml:space="preserve"> to serve as zonal </w:t>
      </w:r>
      <w:proofErr w:type="spellStart"/>
      <w:r>
        <w:rPr>
          <w:color w:val="231F20"/>
        </w:rPr>
        <w:t>centre</w:t>
      </w:r>
      <w:proofErr w:type="spellEnd"/>
      <w:r>
        <w:rPr>
          <w:color w:val="231F20"/>
        </w:rPr>
        <w:t xml:space="preserve"> for management of Viral </w:t>
      </w:r>
      <w:proofErr w:type="spellStart"/>
      <w:r>
        <w:rPr>
          <w:color w:val="231F20"/>
        </w:rPr>
        <w:t>Haemorrhagic</w:t>
      </w:r>
      <w:proofErr w:type="spellEnd"/>
      <w:r>
        <w:rPr>
          <w:color w:val="231F20"/>
        </w:rPr>
        <w:t xml:space="preserve"> Fevers (VHFs); Cost for engaging and supervising the contractor for provision of logistics</w:t>
      </w:r>
      <w:r>
        <w:rPr>
          <w:color w:val="231F20"/>
          <w:spacing w:val="-15"/>
        </w:rPr>
        <w:t xml:space="preserve"> </w:t>
      </w:r>
      <w:r>
        <w:rPr>
          <w:color w:val="231F20"/>
        </w:rPr>
        <w:t>for</w:t>
      </w:r>
      <w:r>
        <w:rPr>
          <w:color w:val="231F20"/>
          <w:spacing w:val="-14"/>
        </w:rPr>
        <w:t xml:space="preserve"> </w:t>
      </w:r>
      <w:r>
        <w:rPr>
          <w:color w:val="231F20"/>
        </w:rPr>
        <w:t>emergency</w:t>
      </w:r>
      <w:r>
        <w:rPr>
          <w:color w:val="231F20"/>
          <w:spacing w:val="-14"/>
        </w:rPr>
        <w:t xml:space="preserve"> </w:t>
      </w:r>
      <w:r>
        <w:rPr>
          <w:color w:val="231F20"/>
        </w:rPr>
        <w:t>response</w:t>
      </w:r>
      <w:r>
        <w:rPr>
          <w:color w:val="231F20"/>
          <w:spacing w:val="-14"/>
        </w:rPr>
        <w:t xml:space="preserve"> </w:t>
      </w:r>
      <w:r>
        <w:rPr>
          <w:color w:val="231F20"/>
        </w:rPr>
        <w:t>(vehicles,</w:t>
      </w:r>
      <w:r>
        <w:rPr>
          <w:color w:val="231F20"/>
          <w:spacing w:val="-14"/>
        </w:rPr>
        <w:t xml:space="preserve"> </w:t>
      </w:r>
      <w:r>
        <w:rPr>
          <w:color w:val="231F20"/>
        </w:rPr>
        <w:t>motorcycles,</w:t>
      </w:r>
      <w:r>
        <w:rPr>
          <w:color w:val="231F20"/>
          <w:spacing w:val="-14"/>
        </w:rPr>
        <w:t xml:space="preserve"> </w:t>
      </w:r>
      <w:r>
        <w:rPr>
          <w:color w:val="231F20"/>
        </w:rPr>
        <w:t>drugs</w:t>
      </w:r>
      <w:r>
        <w:rPr>
          <w:color w:val="231F20"/>
          <w:spacing w:val="-14"/>
        </w:rPr>
        <w:t xml:space="preserve"> </w:t>
      </w:r>
      <w:r>
        <w:rPr>
          <w:color w:val="231F20"/>
        </w:rPr>
        <w:t>and</w:t>
      </w:r>
      <w:r>
        <w:rPr>
          <w:color w:val="231F20"/>
          <w:spacing w:val="-14"/>
        </w:rPr>
        <w:t xml:space="preserve"> </w:t>
      </w:r>
      <w:r>
        <w:rPr>
          <w:color w:val="231F20"/>
        </w:rPr>
        <w:t>other</w:t>
      </w:r>
      <w:r>
        <w:rPr>
          <w:color w:val="231F20"/>
          <w:spacing w:val="-14"/>
        </w:rPr>
        <w:t xml:space="preserve"> </w:t>
      </w:r>
      <w:r>
        <w:rPr>
          <w:color w:val="231F20"/>
        </w:rPr>
        <w:t>materials/consumables</w:t>
      </w:r>
      <w:r>
        <w:rPr>
          <w:color w:val="231F20"/>
          <w:spacing w:val="-15"/>
        </w:rPr>
        <w:t xml:space="preserve"> </w:t>
      </w:r>
      <w:r>
        <w:rPr>
          <w:color w:val="231F20"/>
          <w:spacing w:val="-11"/>
        </w:rPr>
        <w:t xml:space="preserve">- </w:t>
      </w:r>
      <w:r>
        <w:rPr>
          <w:color w:val="231F20"/>
        </w:rPr>
        <w:t xml:space="preserve">PPEs, Hand gloves- latex and thick rubber, body bags, digital thermometers, </w:t>
      </w:r>
      <w:proofErr w:type="spellStart"/>
      <w:r>
        <w:rPr>
          <w:color w:val="231F20"/>
        </w:rPr>
        <w:t>Thermoscan</w:t>
      </w:r>
      <w:proofErr w:type="spellEnd"/>
      <w:r>
        <w:rPr>
          <w:color w:val="231F20"/>
        </w:rPr>
        <w:t xml:space="preserve">, </w:t>
      </w:r>
      <w:r>
        <w:rPr>
          <w:color w:val="231F20"/>
          <w:spacing w:val="-4"/>
        </w:rPr>
        <w:t xml:space="preserve">hand </w:t>
      </w:r>
      <w:r>
        <w:rPr>
          <w:color w:val="231F20"/>
        </w:rPr>
        <w:t>sanitizers,</w:t>
      </w:r>
      <w:r>
        <w:rPr>
          <w:color w:val="231F20"/>
          <w:spacing w:val="-9"/>
        </w:rPr>
        <w:t xml:space="preserve"> </w:t>
      </w:r>
      <w:r>
        <w:rPr>
          <w:color w:val="231F20"/>
        </w:rPr>
        <w:t>bleach,</w:t>
      </w:r>
      <w:r>
        <w:rPr>
          <w:color w:val="231F20"/>
          <w:spacing w:val="-8"/>
        </w:rPr>
        <w:t xml:space="preserve"> </w:t>
      </w:r>
      <w:r>
        <w:rPr>
          <w:color w:val="231F20"/>
        </w:rPr>
        <w:t>chlorine,</w:t>
      </w:r>
      <w:r>
        <w:rPr>
          <w:color w:val="231F20"/>
          <w:spacing w:val="-8"/>
        </w:rPr>
        <w:t xml:space="preserve"> </w:t>
      </w:r>
      <w:r>
        <w:rPr>
          <w:color w:val="231F20"/>
        </w:rPr>
        <w:t>coverall,</w:t>
      </w:r>
      <w:r>
        <w:rPr>
          <w:color w:val="231F20"/>
          <w:spacing w:val="-8"/>
        </w:rPr>
        <w:t xml:space="preserve"> </w:t>
      </w:r>
      <w:r>
        <w:rPr>
          <w:color w:val="231F20"/>
        </w:rPr>
        <w:t>face</w:t>
      </w:r>
      <w:r>
        <w:rPr>
          <w:color w:val="231F20"/>
          <w:spacing w:val="-8"/>
        </w:rPr>
        <w:t xml:space="preserve"> </w:t>
      </w:r>
      <w:r>
        <w:rPr>
          <w:color w:val="231F20"/>
        </w:rPr>
        <w:t>masks,</w:t>
      </w:r>
      <w:r>
        <w:rPr>
          <w:color w:val="231F20"/>
          <w:spacing w:val="-8"/>
        </w:rPr>
        <w:t xml:space="preserve"> </w:t>
      </w:r>
      <w:r>
        <w:rPr>
          <w:color w:val="231F20"/>
        </w:rPr>
        <w:t>N95</w:t>
      </w:r>
      <w:r>
        <w:rPr>
          <w:color w:val="231F20"/>
          <w:spacing w:val="-8"/>
        </w:rPr>
        <w:t xml:space="preserve"> </w:t>
      </w:r>
      <w:r>
        <w:rPr>
          <w:color w:val="231F20"/>
        </w:rPr>
        <w:t>Respirators,</w:t>
      </w:r>
      <w:r>
        <w:rPr>
          <w:color w:val="231F20"/>
          <w:spacing w:val="-8"/>
        </w:rPr>
        <w:t xml:space="preserve"> </w:t>
      </w:r>
      <w:r w:rsidR="00AD5763">
        <w:rPr>
          <w:color w:val="231F20"/>
        </w:rPr>
        <w:t>Ribavirin</w:t>
      </w:r>
      <w:r>
        <w:rPr>
          <w:color w:val="231F20"/>
        </w:rPr>
        <w:t>,</w:t>
      </w:r>
      <w:r>
        <w:rPr>
          <w:color w:val="231F20"/>
          <w:spacing w:val="-8"/>
        </w:rPr>
        <w:t xml:space="preserve"> </w:t>
      </w:r>
      <w:r>
        <w:rPr>
          <w:color w:val="231F20"/>
        </w:rPr>
        <w:t>stationaries</w:t>
      </w:r>
      <w:r>
        <w:rPr>
          <w:color w:val="231F20"/>
          <w:spacing w:val="-8"/>
        </w:rPr>
        <w:t xml:space="preserve"> </w:t>
      </w:r>
      <w:r>
        <w:rPr>
          <w:color w:val="231F20"/>
        </w:rPr>
        <w:t>etc.)</w:t>
      </w:r>
      <w:r>
        <w:rPr>
          <w:color w:val="231F20"/>
          <w:spacing w:val="-9"/>
        </w:rPr>
        <w:t xml:space="preserve"> </w:t>
      </w:r>
      <w:r>
        <w:rPr>
          <w:color w:val="231F20"/>
          <w:spacing w:val="-7"/>
        </w:rPr>
        <w:t xml:space="preserve">at </w:t>
      </w:r>
      <w:r>
        <w:rPr>
          <w:color w:val="231F20"/>
        </w:rPr>
        <w:t xml:space="preserve">all health care levels; Conduct periodic meetings for EOC and Emergency Preparedness </w:t>
      </w:r>
      <w:r>
        <w:rPr>
          <w:color w:val="231F20"/>
          <w:spacing w:val="-4"/>
        </w:rPr>
        <w:t xml:space="preserve">and </w:t>
      </w:r>
      <w:r>
        <w:rPr>
          <w:color w:val="231F20"/>
        </w:rPr>
        <w:t>Response</w:t>
      </w:r>
      <w:r>
        <w:rPr>
          <w:color w:val="231F20"/>
          <w:spacing w:val="-25"/>
        </w:rPr>
        <w:t xml:space="preserve"> </w:t>
      </w:r>
      <w:r>
        <w:rPr>
          <w:color w:val="231F20"/>
        </w:rPr>
        <w:t>Committee.</w:t>
      </w:r>
    </w:p>
    <w:p w14:paraId="3F474203" w14:textId="77777777" w:rsidR="009948F1" w:rsidRDefault="009948F1">
      <w:pPr>
        <w:pStyle w:val="BodyText"/>
        <w:spacing w:before="3"/>
        <w:rPr>
          <w:sz w:val="24"/>
        </w:rPr>
      </w:pPr>
    </w:p>
    <w:p w14:paraId="2BBC3DCA" w14:textId="5585B54F" w:rsidR="009948F1" w:rsidRDefault="00BC0563">
      <w:pPr>
        <w:pStyle w:val="ListParagraph"/>
        <w:numPr>
          <w:ilvl w:val="3"/>
          <w:numId w:val="263"/>
        </w:numPr>
        <w:tabs>
          <w:tab w:val="left" w:pos="982"/>
        </w:tabs>
        <w:spacing w:line="261" w:lineRule="auto"/>
        <w:ind w:left="128" w:right="160" w:firstLine="0"/>
      </w:pPr>
      <w:r>
        <w:rPr>
          <w:color w:val="231F20"/>
        </w:rPr>
        <w:t>Promote community participation in disease surveillance activities. Key actions include;</w:t>
      </w:r>
      <w:r>
        <w:rPr>
          <w:color w:val="231F20"/>
          <w:spacing w:val="-41"/>
        </w:rPr>
        <w:t xml:space="preserve"> </w:t>
      </w:r>
      <w:r>
        <w:rPr>
          <w:color w:val="231F20"/>
        </w:rPr>
        <w:t>- Advocacy</w:t>
      </w:r>
      <w:r>
        <w:rPr>
          <w:color w:val="231F20"/>
          <w:spacing w:val="-14"/>
        </w:rPr>
        <w:t xml:space="preserve"> </w:t>
      </w:r>
      <w:r>
        <w:rPr>
          <w:color w:val="231F20"/>
        </w:rPr>
        <w:t>visits</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gatekeepers</w:t>
      </w:r>
      <w:r>
        <w:rPr>
          <w:color w:val="231F20"/>
          <w:spacing w:val="-14"/>
        </w:rPr>
        <w:t xml:space="preserve"> </w:t>
      </w:r>
      <w:r>
        <w:rPr>
          <w:color w:val="231F20"/>
        </w:rPr>
        <w:t>(Council</w:t>
      </w:r>
      <w:r>
        <w:rPr>
          <w:color w:val="231F20"/>
          <w:spacing w:val="-14"/>
        </w:rPr>
        <w:t xml:space="preserve"> </w:t>
      </w:r>
      <w:r>
        <w:rPr>
          <w:color w:val="231F20"/>
        </w:rPr>
        <w:t>Chairmen</w:t>
      </w:r>
      <w:r>
        <w:rPr>
          <w:color w:val="231F20"/>
          <w:spacing w:val="-13"/>
        </w:rPr>
        <w:t xml:space="preserve"> </w:t>
      </w:r>
      <w:r>
        <w:rPr>
          <w:color w:val="231F20"/>
        </w:rPr>
        <w:t>and</w:t>
      </w:r>
      <w:r>
        <w:rPr>
          <w:color w:val="231F20"/>
          <w:spacing w:val="-14"/>
        </w:rPr>
        <w:t xml:space="preserve"> </w:t>
      </w:r>
      <w:r w:rsidR="00AD5763">
        <w:rPr>
          <w:color w:val="231F20"/>
        </w:rPr>
        <w:t>Councilors</w:t>
      </w:r>
      <w:r>
        <w:rPr>
          <w:color w:val="231F20"/>
          <w:spacing w:val="-14"/>
        </w:rPr>
        <w:t xml:space="preserve"> </w:t>
      </w:r>
      <w:r>
        <w:rPr>
          <w:color w:val="231F20"/>
        </w:rPr>
        <w:t>of</w:t>
      </w:r>
      <w:r>
        <w:rPr>
          <w:color w:val="231F20"/>
          <w:spacing w:val="-14"/>
        </w:rPr>
        <w:t xml:space="preserve"> </w:t>
      </w:r>
      <w:r>
        <w:rPr>
          <w:color w:val="231F20"/>
        </w:rPr>
        <w:t>health,</w:t>
      </w:r>
      <w:r>
        <w:rPr>
          <w:color w:val="231F20"/>
          <w:spacing w:val="-18"/>
        </w:rPr>
        <w:t xml:space="preserve"> </w:t>
      </w:r>
      <w:r>
        <w:rPr>
          <w:color w:val="231F20"/>
        </w:rPr>
        <w:t>Traditional</w:t>
      </w:r>
      <w:r>
        <w:rPr>
          <w:color w:val="231F20"/>
          <w:spacing w:val="-14"/>
        </w:rPr>
        <w:t xml:space="preserve"> </w:t>
      </w:r>
      <w:r>
        <w:rPr>
          <w:color w:val="231F20"/>
        </w:rPr>
        <w:t>rulers, CDC chairmen) on community participation in disease surveillance; Sensitization and training meetings with the Community health workers, volunteer health workers, ward health committee, focal</w:t>
      </w:r>
      <w:r>
        <w:rPr>
          <w:color w:val="231F20"/>
          <w:spacing w:val="-24"/>
        </w:rPr>
        <w:t xml:space="preserve"> </w:t>
      </w:r>
      <w:r>
        <w:rPr>
          <w:color w:val="231F20"/>
        </w:rPr>
        <w:t>persons</w:t>
      </w:r>
      <w:r>
        <w:rPr>
          <w:color w:val="231F20"/>
          <w:spacing w:val="-23"/>
        </w:rPr>
        <w:t xml:space="preserve"> </w:t>
      </w:r>
      <w:r>
        <w:rPr>
          <w:color w:val="231F20"/>
        </w:rPr>
        <w:t>and</w:t>
      </w:r>
      <w:r>
        <w:rPr>
          <w:color w:val="231F20"/>
          <w:spacing w:val="-23"/>
        </w:rPr>
        <w:t xml:space="preserve"> </w:t>
      </w:r>
      <w:r>
        <w:rPr>
          <w:color w:val="231F20"/>
        </w:rPr>
        <w:t>informants.;</w:t>
      </w:r>
      <w:r>
        <w:rPr>
          <w:color w:val="231F20"/>
          <w:spacing w:val="-23"/>
        </w:rPr>
        <w:t xml:space="preserve"> </w:t>
      </w:r>
      <w:r>
        <w:rPr>
          <w:color w:val="231F20"/>
        </w:rPr>
        <w:t>Conduct</w:t>
      </w:r>
      <w:r>
        <w:rPr>
          <w:color w:val="231F20"/>
          <w:spacing w:val="-23"/>
        </w:rPr>
        <w:t xml:space="preserve"> </w:t>
      </w:r>
      <w:r>
        <w:rPr>
          <w:color w:val="231F20"/>
        </w:rPr>
        <w:t>periodic</w:t>
      </w:r>
      <w:r>
        <w:rPr>
          <w:color w:val="231F20"/>
          <w:spacing w:val="-23"/>
        </w:rPr>
        <w:t xml:space="preserve"> </w:t>
      </w:r>
      <w:r>
        <w:rPr>
          <w:color w:val="231F20"/>
        </w:rPr>
        <w:t>feedback</w:t>
      </w:r>
      <w:r>
        <w:rPr>
          <w:color w:val="231F20"/>
          <w:spacing w:val="-23"/>
        </w:rPr>
        <w:t xml:space="preserve"> </w:t>
      </w:r>
      <w:r>
        <w:rPr>
          <w:color w:val="231F20"/>
        </w:rPr>
        <w:t>and</w:t>
      </w:r>
      <w:r>
        <w:rPr>
          <w:color w:val="231F20"/>
          <w:spacing w:val="-23"/>
        </w:rPr>
        <w:t xml:space="preserve"> </w:t>
      </w:r>
      <w:r>
        <w:rPr>
          <w:color w:val="231F20"/>
        </w:rPr>
        <w:t>review</w:t>
      </w:r>
      <w:r>
        <w:rPr>
          <w:color w:val="231F20"/>
          <w:spacing w:val="-23"/>
        </w:rPr>
        <w:t xml:space="preserve"> </w:t>
      </w:r>
      <w:r>
        <w:rPr>
          <w:color w:val="231F20"/>
        </w:rPr>
        <w:t>meetings</w:t>
      </w:r>
      <w:r>
        <w:rPr>
          <w:color w:val="231F20"/>
          <w:spacing w:val="-23"/>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DSNOs;</w:t>
      </w:r>
      <w:r>
        <w:rPr>
          <w:color w:val="231F20"/>
          <w:spacing w:val="-23"/>
        </w:rPr>
        <w:t xml:space="preserve"> </w:t>
      </w:r>
      <w:r>
        <w:rPr>
          <w:color w:val="231F20"/>
          <w:spacing w:val="-3"/>
        </w:rPr>
        <w:t xml:space="preserve">also </w:t>
      </w:r>
      <w:r>
        <w:rPr>
          <w:color w:val="231F20"/>
        </w:rPr>
        <w:t>hold</w:t>
      </w:r>
      <w:r>
        <w:rPr>
          <w:color w:val="231F20"/>
          <w:spacing w:val="-26"/>
        </w:rPr>
        <w:t xml:space="preserve"> </w:t>
      </w:r>
      <w:r>
        <w:rPr>
          <w:color w:val="231F20"/>
        </w:rPr>
        <w:t>integrated</w:t>
      </w:r>
      <w:r>
        <w:rPr>
          <w:color w:val="231F20"/>
          <w:spacing w:val="-25"/>
        </w:rPr>
        <w:t xml:space="preserve"> </w:t>
      </w:r>
      <w:r>
        <w:rPr>
          <w:color w:val="231F20"/>
        </w:rPr>
        <w:t>review</w:t>
      </w:r>
      <w:r>
        <w:rPr>
          <w:color w:val="231F20"/>
          <w:spacing w:val="-25"/>
        </w:rPr>
        <w:t xml:space="preserve"> </w:t>
      </w:r>
      <w:r>
        <w:rPr>
          <w:color w:val="231F20"/>
        </w:rPr>
        <w:t>meetings</w:t>
      </w:r>
      <w:r>
        <w:rPr>
          <w:color w:val="231F20"/>
          <w:spacing w:val="-25"/>
        </w:rPr>
        <w:t xml:space="preserve"> </w:t>
      </w:r>
      <w:r>
        <w:rPr>
          <w:color w:val="231F20"/>
        </w:rPr>
        <w:t>with</w:t>
      </w:r>
      <w:r>
        <w:rPr>
          <w:color w:val="231F20"/>
          <w:spacing w:val="-25"/>
        </w:rPr>
        <w:t xml:space="preserve"> </w:t>
      </w:r>
      <w:r>
        <w:rPr>
          <w:color w:val="231F20"/>
        </w:rPr>
        <w:t>stakeholders</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levels.</w:t>
      </w:r>
    </w:p>
    <w:p w14:paraId="6F9B39E8" w14:textId="77777777" w:rsidR="009948F1" w:rsidRDefault="009948F1">
      <w:pPr>
        <w:spacing w:line="261" w:lineRule="auto"/>
        <w:jc w:val="both"/>
        <w:sectPr w:rsidR="009948F1">
          <w:pgSz w:w="11910" w:h="16840"/>
          <w:pgMar w:top="1500" w:right="1080" w:bottom="1420" w:left="1120" w:header="0" w:footer="1235" w:gutter="0"/>
          <w:cols w:space="720"/>
        </w:sectPr>
      </w:pPr>
    </w:p>
    <w:p w14:paraId="31097D15" w14:textId="77777777" w:rsidR="009948F1" w:rsidRDefault="00BC0563">
      <w:pPr>
        <w:pStyle w:val="Heading1"/>
        <w:spacing w:before="3" w:line="475" w:lineRule="exact"/>
        <w:ind w:right="1100"/>
      </w:pPr>
      <w:bookmarkStart w:id="106" w:name="_TOC_250018"/>
      <w:bookmarkEnd w:id="106"/>
      <w:r>
        <w:rPr>
          <w:color w:val="231F20"/>
        </w:rPr>
        <w:lastRenderedPageBreak/>
        <w:t>CHAPTER 8</w:t>
      </w:r>
    </w:p>
    <w:p w14:paraId="54105596" w14:textId="77777777" w:rsidR="009948F1" w:rsidRDefault="00BC0563">
      <w:pPr>
        <w:pStyle w:val="Heading3"/>
        <w:spacing w:line="355" w:lineRule="exact"/>
        <w:ind w:right="1094"/>
      </w:pPr>
      <w:r>
        <w:rPr>
          <w:color w:val="231F20"/>
        </w:rPr>
        <w:t>STRATEGIC PILLAR FIVE: HEALTH FINANCING</w:t>
      </w:r>
    </w:p>
    <w:p w14:paraId="11B035DC" w14:textId="77777777" w:rsidR="009948F1" w:rsidRDefault="009948F1">
      <w:pPr>
        <w:pStyle w:val="BodyText"/>
        <w:spacing w:before="6"/>
        <w:rPr>
          <w:rFonts w:ascii="Tahoma"/>
          <w:b/>
          <w:sz w:val="12"/>
        </w:rPr>
      </w:pPr>
    </w:p>
    <w:p w14:paraId="300EEEA6" w14:textId="77777777" w:rsidR="009948F1" w:rsidRDefault="00BC0563">
      <w:pPr>
        <w:pStyle w:val="Heading7"/>
        <w:spacing w:before="65" w:line="276" w:lineRule="auto"/>
        <w:ind w:left="157" w:right="6020"/>
        <w:jc w:val="both"/>
      </w:pPr>
      <w:r>
        <w:rPr>
          <w:color w:val="231F20"/>
        </w:rPr>
        <w:t>Priority Area 15: Health</w:t>
      </w:r>
      <w:r>
        <w:rPr>
          <w:color w:val="231F20"/>
          <w:spacing w:val="-24"/>
        </w:rPr>
        <w:t xml:space="preserve"> </w:t>
      </w:r>
      <w:r>
        <w:rPr>
          <w:color w:val="231F20"/>
        </w:rPr>
        <w:t>Financing Context</w:t>
      </w:r>
    </w:p>
    <w:p w14:paraId="47E612D9" w14:textId="77777777" w:rsidR="009948F1" w:rsidRDefault="00BC0563">
      <w:pPr>
        <w:pStyle w:val="BodyText"/>
        <w:spacing w:line="276" w:lineRule="auto"/>
        <w:ind w:left="157" w:right="205"/>
        <w:jc w:val="both"/>
      </w:pPr>
      <w:r>
        <w:rPr>
          <w:color w:val="231F20"/>
        </w:rPr>
        <w:t>Health</w:t>
      </w:r>
      <w:r>
        <w:rPr>
          <w:color w:val="231F20"/>
          <w:spacing w:val="-4"/>
        </w:rPr>
        <w:t xml:space="preserve"> </w:t>
      </w:r>
      <w:r>
        <w:rPr>
          <w:color w:val="231F20"/>
        </w:rPr>
        <w:t>financing</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foundation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care</w:t>
      </w:r>
      <w:r>
        <w:rPr>
          <w:color w:val="231F20"/>
          <w:spacing w:val="-3"/>
        </w:rPr>
        <w:t xml:space="preserve"> </w:t>
      </w:r>
      <w:r>
        <w:rPr>
          <w:color w:val="231F20"/>
        </w:rPr>
        <w:t>system.</w:t>
      </w:r>
      <w:r>
        <w:rPr>
          <w:color w:val="231F20"/>
          <w:spacing w:val="-7"/>
        </w:rPr>
        <w:t xml:space="preserve"> </w:t>
      </w:r>
      <w:r>
        <w:rPr>
          <w:color w:val="231F20"/>
        </w:rPr>
        <w:t>The</w:t>
      </w:r>
      <w:r>
        <w:rPr>
          <w:color w:val="231F20"/>
          <w:spacing w:val="-4"/>
        </w:rPr>
        <w:t xml:space="preserve"> </w:t>
      </w:r>
      <w:r>
        <w:rPr>
          <w:color w:val="231F20"/>
        </w:rPr>
        <w:t>availability</w:t>
      </w:r>
      <w:r>
        <w:rPr>
          <w:color w:val="231F20"/>
          <w:spacing w:val="-3"/>
        </w:rPr>
        <w:t xml:space="preserve"> </w:t>
      </w:r>
      <w:r>
        <w:rPr>
          <w:color w:val="231F20"/>
        </w:rPr>
        <w:t>and</w:t>
      </w:r>
      <w:r>
        <w:rPr>
          <w:color w:val="231F20"/>
          <w:spacing w:val="-3"/>
        </w:rPr>
        <w:t xml:space="preserve"> </w:t>
      </w:r>
      <w:r>
        <w:rPr>
          <w:color w:val="231F20"/>
        </w:rPr>
        <w:t>quality</w:t>
      </w:r>
      <w:r>
        <w:rPr>
          <w:color w:val="231F20"/>
          <w:spacing w:val="-3"/>
        </w:rPr>
        <w:t xml:space="preserve"> </w:t>
      </w:r>
      <w:r>
        <w:rPr>
          <w:color w:val="231F20"/>
        </w:rPr>
        <w:t>of</w:t>
      </w:r>
      <w:r>
        <w:rPr>
          <w:color w:val="231F20"/>
          <w:spacing w:val="-3"/>
        </w:rPr>
        <w:t xml:space="preserve"> </w:t>
      </w:r>
      <w:r>
        <w:rPr>
          <w:color w:val="231F20"/>
        </w:rPr>
        <w:t>health care</w:t>
      </w:r>
      <w:r>
        <w:rPr>
          <w:color w:val="231F20"/>
          <w:spacing w:val="-15"/>
        </w:rPr>
        <w:t xml:space="preserve"> </w:t>
      </w:r>
      <w:r>
        <w:rPr>
          <w:color w:val="231F20"/>
        </w:rPr>
        <w:t>services</w:t>
      </w:r>
      <w:r>
        <w:rPr>
          <w:color w:val="231F20"/>
          <w:spacing w:val="-14"/>
        </w:rPr>
        <w:t xml:space="preserve"> </w:t>
      </w:r>
      <w:r>
        <w:rPr>
          <w:color w:val="231F20"/>
        </w:rPr>
        <w:t>are</w:t>
      </w:r>
      <w:r>
        <w:rPr>
          <w:color w:val="231F20"/>
          <w:spacing w:val="-14"/>
        </w:rPr>
        <w:t xml:space="preserve"> </w:t>
      </w:r>
      <w:r>
        <w:rPr>
          <w:color w:val="231F20"/>
        </w:rPr>
        <w:t>contingent</w:t>
      </w:r>
      <w:r>
        <w:rPr>
          <w:color w:val="231F20"/>
          <w:spacing w:val="-14"/>
        </w:rPr>
        <w:t xml:space="preserve"> </w:t>
      </w:r>
      <w:r>
        <w:rPr>
          <w:color w:val="231F20"/>
        </w:rPr>
        <w:t>on</w:t>
      </w:r>
      <w:r>
        <w:rPr>
          <w:color w:val="231F20"/>
          <w:spacing w:val="-14"/>
        </w:rPr>
        <w:t xml:space="preserve"> </w:t>
      </w:r>
      <w:r>
        <w:rPr>
          <w:color w:val="231F20"/>
        </w:rPr>
        <w:t>adequate</w:t>
      </w:r>
      <w:r>
        <w:rPr>
          <w:color w:val="231F20"/>
          <w:spacing w:val="-14"/>
        </w:rPr>
        <w:t xml:space="preserve"> </w:t>
      </w:r>
      <w:r>
        <w:rPr>
          <w:color w:val="231F20"/>
        </w:rPr>
        <w:t>funding.</w:t>
      </w:r>
      <w:r>
        <w:rPr>
          <w:color w:val="231F20"/>
          <w:spacing w:val="-14"/>
        </w:rPr>
        <w:t xml:space="preserve"> </w:t>
      </w:r>
      <w:r>
        <w:rPr>
          <w:color w:val="231F20"/>
        </w:rPr>
        <w:t>Optimal</w:t>
      </w:r>
      <w:r>
        <w:rPr>
          <w:color w:val="231F20"/>
          <w:spacing w:val="-14"/>
        </w:rPr>
        <w:t xml:space="preserve"> </w:t>
      </w:r>
      <w:r>
        <w:rPr>
          <w:color w:val="231F20"/>
        </w:rPr>
        <w:t>utilization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health</w:t>
      </w:r>
      <w:r>
        <w:rPr>
          <w:color w:val="231F20"/>
          <w:spacing w:val="-14"/>
        </w:rPr>
        <w:t xml:space="preserve"> </w:t>
      </w:r>
      <w:r>
        <w:rPr>
          <w:color w:val="231F20"/>
        </w:rPr>
        <w:t>care</w:t>
      </w:r>
      <w:r>
        <w:rPr>
          <w:color w:val="231F20"/>
          <w:spacing w:val="-14"/>
        </w:rPr>
        <w:t xml:space="preserve"> </w:t>
      </w:r>
      <w:r>
        <w:rPr>
          <w:color w:val="231F20"/>
        </w:rPr>
        <w:t>services</w:t>
      </w:r>
      <w:r>
        <w:rPr>
          <w:color w:val="231F20"/>
          <w:spacing w:val="-14"/>
        </w:rPr>
        <w:t xml:space="preserve"> </w:t>
      </w:r>
      <w:r>
        <w:rPr>
          <w:color w:val="231F20"/>
        </w:rPr>
        <w:t>is influenced</w:t>
      </w:r>
      <w:r>
        <w:rPr>
          <w:color w:val="231F20"/>
          <w:spacing w:val="-11"/>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financing</w:t>
      </w:r>
      <w:r>
        <w:rPr>
          <w:color w:val="231F20"/>
          <w:spacing w:val="-10"/>
        </w:rPr>
        <w:t xml:space="preserve"> </w:t>
      </w:r>
      <w:r>
        <w:rPr>
          <w:color w:val="231F20"/>
        </w:rPr>
        <w:t>mechanism</w:t>
      </w:r>
      <w:r>
        <w:rPr>
          <w:color w:val="231F20"/>
          <w:spacing w:val="-10"/>
        </w:rPr>
        <w:t xml:space="preserve"> </w:t>
      </w:r>
      <w:r>
        <w:rPr>
          <w:color w:val="231F20"/>
        </w:rPr>
        <w:t>put</w:t>
      </w:r>
      <w:r>
        <w:rPr>
          <w:color w:val="231F20"/>
          <w:spacing w:val="-10"/>
        </w:rPr>
        <w:t xml:space="preserve"> </w:t>
      </w:r>
      <w:r>
        <w:rPr>
          <w:color w:val="231F20"/>
        </w:rPr>
        <w:t>in</w:t>
      </w:r>
      <w:r>
        <w:rPr>
          <w:color w:val="231F20"/>
          <w:spacing w:val="-10"/>
        </w:rPr>
        <w:t xml:space="preserve"> </w:t>
      </w:r>
      <w:r>
        <w:rPr>
          <w:color w:val="231F20"/>
        </w:rPr>
        <w:t>place</w:t>
      </w:r>
      <w:r>
        <w:rPr>
          <w:color w:val="231F20"/>
          <w:spacing w:val="-10"/>
        </w:rPr>
        <w:t xml:space="preserve"> </w:t>
      </w:r>
      <w:r>
        <w:rPr>
          <w:color w:val="231F20"/>
        </w:rPr>
        <w:t>that</w:t>
      </w:r>
      <w:r>
        <w:rPr>
          <w:color w:val="231F20"/>
          <w:spacing w:val="-10"/>
        </w:rPr>
        <w:t xml:space="preserve"> </w:t>
      </w:r>
      <w:r>
        <w:rPr>
          <w:color w:val="231F20"/>
        </w:rPr>
        <w:t>removes</w:t>
      </w:r>
      <w:r>
        <w:rPr>
          <w:color w:val="231F20"/>
          <w:spacing w:val="-10"/>
        </w:rPr>
        <w:t xml:space="preserve"> </w:t>
      </w:r>
      <w:r>
        <w:rPr>
          <w:color w:val="231F20"/>
        </w:rPr>
        <w:t>financial</w:t>
      </w:r>
      <w:r>
        <w:rPr>
          <w:color w:val="231F20"/>
          <w:spacing w:val="-10"/>
        </w:rPr>
        <w:t xml:space="preserve"> </w:t>
      </w:r>
      <w:r>
        <w:rPr>
          <w:color w:val="231F20"/>
        </w:rPr>
        <w:t>barriers</w:t>
      </w:r>
      <w:r>
        <w:rPr>
          <w:color w:val="231F20"/>
          <w:spacing w:val="-11"/>
        </w:rPr>
        <w:t xml:space="preserve"> </w:t>
      </w:r>
      <w:r>
        <w:rPr>
          <w:color w:val="231F20"/>
        </w:rPr>
        <w:t>to</w:t>
      </w:r>
      <w:r>
        <w:rPr>
          <w:color w:val="231F20"/>
          <w:spacing w:val="-10"/>
        </w:rPr>
        <w:t xml:space="preserve"> </w:t>
      </w:r>
      <w:r>
        <w:rPr>
          <w:color w:val="231F20"/>
        </w:rPr>
        <w:t>access.</w:t>
      </w:r>
      <w:r>
        <w:rPr>
          <w:color w:val="231F20"/>
          <w:spacing w:val="-14"/>
        </w:rPr>
        <w:t xml:space="preserve"> </w:t>
      </w:r>
      <w:r>
        <w:rPr>
          <w:color w:val="231F20"/>
        </w:rPr>
        <w:t>The low</w:t>
      </w:r>
      <w:r>
        <w:rPr>
          <w:color w:val="231F20"/>
          <w:spacing w:val="-22"/>
        </w:rPr>
        <w:t xml:space="preserve"> </w:t>
      </w:r>
      <w:r>
        <w:rPr>
          <w:color w:val="231F20"/>
        </w:rPr>
        <w:t>demand</w:t>
      </w:r>
      <w:r>
        <w:rPr>
          <w:color w:val="231F20"/>
          <w:spacing w:val="-21"/>
        </w:rPr>
        <w:t xml:space="preserve"> </w:t>
      </w:r>
      <w:r>
        <w:rPr>
          <w:color w:val="231F20"/>
        </w:rPr>
        <w:t>for</w:t>
      </w:r>
      <w:r>
        <w:rPr>
          <w:color w:val="231F20"/>
          <w:spacing w:val="-21"/>
        </w:rPr>
        <w:t xml:space="preserve"> </w:t>
      </w:r>
      <w:r>
        <w:rPr>
          <w:color w:val="231F20"/>
        </w:rPr>
        <w:t>health</w:t>
      </w:r>
      <w:r>
        <w:rPr>
          <w:color w:val="231F20"/>
          <w:spacing w:val="-21"/>
        </w:rPr>
        <w:t xml:space="preserve"> </w:t>
      </w:r>
      <w:r>
        <w:rPr>
          <w:color w:val="231F20"/>
        </w:rPr>
        <w:t>care</w:t>
      </w:r>
      <w:r>
        <w:rPr>
          <w:color w:val="231F20"/>
          <w:spacing w:val="-21"/>
        </w:rPr>
        <w:t xml:space="preserve"> </w:t>
      </w:r>
      <w:r>
        <w:rPr>
          <w:color w:val="231F20"/>
        </w:rPr>
        <w:t>services</w:t>
      </w:r>
      <w:r>
        <w:rPr>
          <w:color w:val="231F20"/>
          <w:spacing w:val="-21"/>
        </w:rPr>
        <w:t xml:space="preserve"> </w:t>
      </w:r>
      <w:r>
        <w:rPr>
          <w:color w:val="231F20"/>
        </w:rPr>
        <w:t>in</w:t>
      </w:r>
      <w:r>
        <w:rPr>
          <w:color w:val="231F20"/>
          <w:spacing w:val="-21"/>
        </w:rPr>
        <w:t xml:space="preserve"> </w:t>
      </w:r>
      <w:r>
        <w:rPr>
          <w:color w:val="231F20"/>
        </w:rPr>
        <w:t>Rivers</w:t>
      </w:r>
      <w:r>
        <w:rPr>
          <w:color w:val="231F20"/>
          <w:spacing w:val="-21"/>
        </w:rPr>
        <w:t xml:space="preserve"> </w:t>
      </w:r>
      <w:r>
        <w:rPr>
          <w:color w:val="231F20"/>
        </w:rPr>
        <w:t>State</w:t>
      </w:r>
      <w:r>
        <w:rPr>
          <w:color w:val="231F20"/>
          <w:spacing w:val="-21"/>
        </w:rPr>
        <w:t xml:space="preserve"> </w:t>
      </w:r>
      <w:r>
        <w:rPr>
          <w:color w:val="231F20"/>
        </w:rPr>
        <w:t>leading</w:t>
      </w:r>
      <w:r>
        <w:rPr>
          <w:color w:val="231F20"/>
          <w:spacing w:val="-21"/>
        </w:rPr>
        <w:t xml:space="preserve"> </w:t>
      </w:r>
      <w:r>
        <w:rPr>
          <w:color w:val="231F20"/>
        </w:rPr>
        <w:t>to</w:t>
      </w:r>
      <w:r>
        <w:rPr>
          <w:color w:val="231F20"/>
          <w:spacing w:val="-21"/>
        </w:rPr>
        <w:t xml:space="preserve"> </w:t>
      </w:r>
      <w:r>
        <w:rPr>
          <w:color w:val="231F20"/>
        </w:rPr>
        <w:t>poor</w:t>
      </w:r>
      <w:r>
        <w:rPr>
          <w:color w:val="231F20"/>
          <w:spacing w:val="-22"/>
        </w:rPr>
        <w:t xml:space="preserve"> </w:t>
      </w:r>
      <w:r>
        <w:rPr>
          <w:color w:val="231F20"/>
        </w:rPr>
        <w:t>health</w:t>
      </w:r>
      <w:r>
        <w:rPr>
          <w:color w:val="231F20"/>
          <w:spacing w:val="-21"/>
        </w:rPr>
        <w:t xml:space="preserve"> </w:t>
      </w:r>
      <w:r>
        <w:rPr>
          <w:color w:val="231F20"/>
        </w:rPr>
        <w:t>outcomes</w:t>
      </w:r>
      <w:r>
        <w:rPr>
          <w:color w:val="231F20"/>
          <w:spacing w:val="-21"/>
        </w:rPr>
        <w:t xml:space="preserve"> </w:t>
      </w:r>
      <w:r>
        <w:rPr>
          <w:color w:val="231F20"/>
        </w:rPr>
        <w:t>is</w:t>
      </w:r>
      <w:r>
        <w:rPr>
          <w:color w:val="231F20"/>
          <w:spacing w:val="-21"/>
        </w:rPr>
        <w:t xml:space="preserve"> </w:t>
      </w:r>
      <w:r>
        <w:rPr>
          <w:color w:val="231F20"/>
        </w:rPr>
        <w:t>not</w:t>
      </w:r>
      <w:r>
        <w:rPr>
          <w:color w:val="231F20"/>
          <w:spacing w:val="-21"/>
        </w:rPr>
        <w:t xml:space="preserve"> </w:t>
      </w:r>
      <w:r>
        <w:rPr>
          <w:color w:val="231F20"/>
        </w:rPr>
        <w:t>only</w:t>
      </w:r>
      <w:r>
        <w:rPr>
          <w:color w:val="231F20"/>
          <w:spacing w:val="-21"/>
        </w:rPr>
        <w:t xml:space="preserve"> </w:t>
      </w:r>
      <w:r>
        <w:rPr>
          <w:color w:val="231F20"/>
        </w:rPr>
        <w:t>due to</w:t>
      </w:r>
      <w:r>
        <w:rPr>
          <w:color w:val="231F20"/>
          <w:spacing w:val="-26"/>
        </w:rPr>
        <w:t xml:space="preserve"> </w:t>
      </w:r>
      <w:r>
        <w:rPr>
          <w:color w:val="231F20"/>
        </w:rPr>
        <w:t>poor</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seeking</w:t>
      </w:r>
      <w:r>
        <w:rPr>
          <w:color w:val="231F20"/>
          <w:spacing w:val="-25"/>
        </w:rPr>
        <w:t xml:space="preserve"> </w:t>
      </w:r>
      <w:r>
        <w:rPr>
          <w:color w:val="231F20"/>
        </w:rPr>
        <w:t>behavior</w:t>
      </w:r>
      <w:r>
        <w:rPr>
          <w:color w:val="231F20"/>
          <w:spacing w:val="-25"/>
        </w:rPr>
        <w:t xml:space="preserve"> </w:t>
      </w:r>
      <w:r>
        <w:rPr>
          <w:color w:val="231F20"/>
        </w:rPr>
        <w:t>but</w:t>
      </w:r>
      <w:r>
        <w:rPr>
          <w:color w:val="231F20"/>
          <w:spacing w:val="-25"/>
        </w:rPr>
        <w:t xml:space="preserve"> </w:t>
      </w:r>
      <w:r>
        <w:rPr>
          <w:color w:val="231F20"/>
        </w:rPr>
        <w:t>also,</w:t>
      </w:r>
      <w:r>
        <w:rPr>
          <w:color w:val="231F20"/>
          <w:spacing w:val="-25"/>
        </w:rPr>
        <w:t xml:space="preserve"> </w:t>
      </w:r>
      <w:r>
        <w:rPr>
          <w:color w:val="231F20"/>
        </w:rPr>
        <w:t>unaffordability</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services.</w:t>
      </w:r>
    </w:p>
    <w:p w14:paraId="606DDFAE" w14:textId="77777777" w:rsidR="009948F1" w:rsidRDefault="009948F1">
      <w:pPr>
        <w:pStyle w:val="BodyText"/>
        <w:spacing w:before="5"/>
        <w:rPr>
          <w:sz w:val="24"/>
        </w:rPr>
      </w:pPr>
    </w:p>
    <w:p w14:paraId="722AEFAC" w14:textId="77777777" w:rsidR="009948F1" w:rsidRDefault="00BC0563">
      <w:pPr>
        <w:pStyle w:val="BodyText"/>
        <w:spacing w:before="1" w:line="276" w:lineRule="auto"/>
        <w:ind w:left="157" w:right="205"/>
        <w:jc w:val="both"/>
      </w:pPr>
      <w:r>
        <w:rPr>
          <w:color w:val="231F20"/>
        </w:rPr>
        <w:t>Government's</w:t>
      </w:r>
      <w:r>
        <w:rPr>
          <w:color w:val="231F20"/>
          <w:spacing w:val="-18"/>
        </w:rPr>
        <w:t xml:space="preserve"> </w:t>
      </w:r>
      <w:r>
        <w:rPr>
          <w:color w:val="231F20"/>
        </w:rPr>
        <w:t>prioritization</w:t>
      </w:r>
      <w:r>
        <w:rPr>
          <w:color w:val="231F20"/>
          <w:spacing w:val="-18"/>
        </w:rPr>
        <w:t xml:space="preserve"> </w:t>
      </w:r>
      <w:r>
        <w:rPr>
          <w:color w:val="231F20"/>
        </w:rPr>
        <w:t>of</w:t>
      </w:r>
      <w:r>
        <w:rPr>
          <w:color w:val="231F20"/>
          <w:spacing w:val="-19"/>
        </w:rPr>
        <w:t xml:space="preserve"> </w:t>
      </w:r>
      <w:r>
        <w:rPr>
          <w:color w:val="231F20"/>
        </w:rPr>
        <w:t>health</w:t>
      </w:r>
      <w:r>
        <w:rPr>
          <w:color w:val="231F20"/>
          <w:spacing w:val="-18"/>
        </w:rPr>
        <w:t xml:space="preserve"> </w:t>
      </w:r>
      <w:r>
        <w:rPr>
          <w:color w:val="231F20"/>
        </w:rPr>
        <w:t>care</w:t>
      </w:r>
      <w:r>
        <w:rPr>
          <w:color w:val="231F20"/>
          <w:spacing w:val="-18"/>
        </w:rPr>
        <w:t xml:space="preserve"> </w:t>
      </w:r>
      <w:r>
        <w:rPr>
          <w:color w:val="231F20"/>
        </w:rPr>
        <w:t>is</w:t>
      </w:r>
      <w:r>
        <w:rPr>
          <w:color w:val="231F20"/>
          <w:spacing w:val="-19"/>
        </w:rPr>
        <w:t xml:space="preserve"> </w:t>
      </w:r>
      <w:r>
        <w:rPr>
          <w:color w:val="231F20"/>
        </w:rPr>
        <w:t>seen</w:t>
      </w:r>
      <w:r>
        <w:rPr>
          <w:color w:val="231F20"/>
          <w:spacing w:val="-18"/>
        </w:rPr>
        <w:t xml:space="preserve"> </w:t>
      </w:r>
      <w:r>
        <w:rPr>
          <w:color w:val="231F20"/>
        </w:rPr>
        <w:t>from</w:t>
      </w:r>
      <w:r>
        <w:rPr>
          <w:color w:val="231F20"/>
          <w:spacing w:val="-19"/>
        </w:rPr>
        <w:t xml:space="preserve"> </w:t>
      </w:r>
      <w:r>
        <w:rPr>
          <w:color w:val="231F20"/>
        </w:rPr>
        <w:t>the</w:t>
      </w:r>
      <w:r>
        <w:rPr>
          <w:color w:val="231F20"/>
          <w:spacing w:val="-19"/>
        </w:rPr>
        <w:t xml:space="preserve"> </w:t>
      </w:r>
      <w:r>
        <w:rPr>
          <w:color w:val="231F20"/>
        </w:rPr>
        <w:t>amount</w:t>
      </w:r>
      <w:r>
        <w:rPr>
          <w:color w:val="231F20"/>
          <w:spacing w:val="-18"/>
        </w:rPr>
        <w:t xml:space="preserve"> </w:t>
      </w:r>
      <w:r>
        <w:rPr>
          <w:color w:val="231F20"/>
        </w:rPr>
        <w:t>it</w:t>
      </w:r>
      <w:r>
        <w:rPr>
          <w:color w:val="231F20"/>
          <w:spacing w:val="-19"/>
        </w:rPr>
        <w:t xml:space="preserve"> </w:t>
      </w:r>
      <w:r>
        <w:rPr>
          <w:color w:val="231F20"/>
        </w:rPr>
        <w:t>spends</w:t>
      </w:r>
      <w:r>
        <w:rPr>
          <w:color w:val="231F20"/>
          <w:spacing w:val="-18"/>
        </w:rPr>
        <w:t xml:space="preserve"> </w:t>
      </w:r>
      <w:r>
        <w:rPr>
          <w:color w:val="231F20"/>
        </w:rPr>
        <w:t>on</w:t>
      </w:r>
      <w:r>
        <w:rPr>
          <w:color w:val="231F20"/>
          <w:spacing w:val="-18"/>
        </w:rPr>
        <w:t xml:space="preserve"> </w:t>
      </w:r>
      <w:r>
        <w:rPr>
          <w:color w:val="231F20"/>
        </w:rPr>
        <w:t>health</w:t>
      </w:r>
      <w:r>
        <w:rPr>
          <w:color w:val="231F20"/>
          <w:spacing w:val="-18"/>
        </w:rPr>
        <w:t xml:space="preserve"> </w:t>
      </w:r>
      <w:r>
        <w:rPr>
          <w:color w:val="231F20"/>
        </w:rPr>
        <w:t>relative</w:t>
      </w:r>
      <w:r>
        <w:rPr>
          <w:color w:val="231F20"/>
          <w:spacing w:val="-18"/>
        </w:rPr>
        <w:t xml:space="preserve"> </w:t>
      </w:r>
      <w:r>
        <w:rPr>
          <w:color w:val="231F20"/>
        </w:rPr>
        <w:t>to</w:t>
      </w:r>
      <w:r>
        <w:rPr>
          <w:color w:val="231F20"/>
          <w:spacing w:val="-19"/>
        </w:rPr>
        <w:t xml:space="preserve"> </w:t>
      </w:r>
      <w:r>
        <w:rPr>
          <w:color w:val="231F20"/>
          <w:spacing w:val="-4"/>
        </w:rPr>
        <w:t xml:space="preserve">its </w:t>
      </w:r>
      <w:r>
        <w:rPr>
          <w:color w:val="231F20"/>
        </w:rPr>
        <w:t>overall</w:t>
      </w:r>
      <w:r>
        <w:rPr>
          <w:color w:val="231F20"/>
          <w:spacing w:val="-20"/>
        </w:rPr>
        <w:t xml:space="preserve"> </w:t>
      </w:r>
      <w:r>
        <w:rPr>
          <w:color w:val="231F20"/>
        </w:rPr>
        <w:t>expenditure</w:t>
      </w:r>
      <w:r>
        <w:rPr>
          <w:color w:val="231F20"/>
          <w:spacing w:val="-19"/>
        </w:rPr>
        <w:t xml:space="preserve"> </w:t>
      </w:r>
      <w:r>
        <w:rPr>
          <w:color w:val="231F20"/>
          <w:spacing w:val="-3"/>
        </w:rPr>
        <w:t>outlay.</w:t>
      </w:r>
      <w:r>
        <w:rPr>
          <w:color w:val="231F20"/>
          <w:spacing w:val="-32"/>
        </w:rPr>
        <w:t xml:space="preserve"> </w:t>
      </w:r>
      <w:r>
        <w:rPr>
          <w:color w:val="231F20"/>
        </w:rPr>
        <w:t>According</w:t>
      </w:r>
      <w:r>
        <w:rPr>
          <w:color w:val="231F20"/>
          <w:spacing w:val="-20"/>
        </w:rPr>
        <w:t xml:space="preserve"> </w:t>
      </w:r>
      <w:r>
        <w:rPr>
          <w:color w:val="231F20"/>
        </w:rPr>
        <w:t>to</w:t>
      </w:r>
      <w:r>
        <w:rPr>
          <w:color w:val="231F20"/>
          <w:spacing w:val="-19"/>
        </w:rPr>
        <w:t xml:space="preserve"> </w:t>
      </w:r>
      <w:r>
        <w:rPr>
          <w:color w:val="231F20"/>
        </w:rPr>
        <w:t>the</w:t>
      </w:r>
      <w:r>
        <w:rPr>
          <w:color w:val="231F20"/>
          <w:spacing w:val="-20"/>
        </w:rPr>
        <w:t xml:space="preserve"> </w:t>
      </w:r>
      <w:r>
        <w:rPr>
          <w:color w:val="231F20"/>
        </w:rPr>
        <w:t>USAID</w:t>
      </w:r>
      <w:r>
        <w:rPr>
          <w:color w:val="231F20"/>
          <w:spacing w:val="-20"/>
        </w:rPr>
        <w:t xml:space="preserve"> </w:t>
      </w:r>
      <w:r>
        <w:rPr>
          <w:color w:val="231F20"/>
        </w:rPr>
        <w:t>Health</w:t>
      </w:r>
      <w:r>
        <w:rPr>
          <w:color w:val="231F20"/>
          <w:spacing w:val="-20"/>
        </w:rPr>
        <w:t xml:space="preserve"> </w:t>
      </w:r>
      <w:r>
        <w:rPr>
          <w:color w:val="231F20"/>
        </w:rPr>
        <w:t>Finance</w:t>
      </w:r>
      <w:r>
        <w:rPr>
          <w:color w:val="231F20"/>
          <w:spacing w:val="-19"/>
        </w:rPr>
        <w:t xml:space="preserve"> </w:t>
      </w:r>
      <w:r>
        <w:rPr>
          <w:color w:val="231F20"/>
        </w:rPr>
        <w:t>and</w:t>
      </w:r>
      <w:r>
        <w:rPr>
          <w:color w:val="231F20"/>
          <w:spacing w:val="-20"/>
        </w:rPr>
        <w:t xml:space="preserve"> </w:t>
      </w:r>
      <w:r>
        <w:rPr>
          <w:color w:val="231F20"/>
        </w:rPr>
        <w:t>Governance</w:t>
      </w:r>
      <w:r>
        <w:rPr>
          <w:color w:val="231F20"/>
          <w:spacing w:val="-20"/>
        </w:rPr>
        <w:t xml:space="preserve"> </w:t>
      </w:r>
      <w:r>
        <w:rPr>
          <w:color w:val="231F20"/>
        </w:rPr>
        <w:t>(HFG)</w:t>
      </w:r>
      <w:r>
        <w:rPr>
          <w:color w:val="231F20"/>
          <w:spacing w:val="-20"/>
        </w:rPr>
        <w:t xml:space="preserve"> </w:t>
      </w:r>
      <w:r>
        <w:rPr>
          <w:color w:val="231F20"/>
        </w:rPr>
        <w:t>Project survey the general government expenditure on health in Rivers State as a proportion of total government expenditure was estimated at 6.5% in 2015. This represents only a 0.5% increment from</w:t>
      </w:r>
      <w:r>
        <w:rPr>
          <w:color w:val="231F20"/>
          <w:spacing w:val="-10"/>
        </w:rPr>
        <w:t xml:space="preserve"> </w:t>
      </w:r>
      <w:r>
        <w:rPr>
          <w:color w:val="231F20"/>
        </w:rPr>
        <w:t>its</w:t>
      </w:r>
      <w:r>
        <w:rPr>
          <w:color w:val="231F20"/>
          <w:spacing w:val="-10"/>
        </w:rPr>
        <w:t xml:space="preserve"> </w:t>
      </w:r>
      <w:r>
        <w:rPr>
          <w:color w:val="231F20"/>
        </w:rPr>
        <w:t>value</w:t>
      </w:r>
      <w:r>
        <w:rPr>
          <w:color w:val="231F20"/>
          <w:spacing w:val="-10"/>
        </w:rPr>
        <w:t xml:space="preserve"> </w:t>
      </w:r>
      <w:r>
        <w:rPr>
          <w:color w:val="231F20"/>
        </w:rPr>
        <w:t>in</w:t>
      </w:r>
      <w:r>
        <w:rPr>
          <w:color w:val="231F20"/>
          <w:spacing w:val="-10"/>
        </w:rPr>
        <w:t xml:space="preserve"> </w:t>
      </w:r>
      <w:r>
        <w:rPr>
          <w:color w:val="231F20"/>
        </w:rPr>
        <w:t>2014.</w:t>
      </w:r>
      <w:r>
        <w:rPr>
          <w:color w:val="231F20"/>
          <w:spacing w:val="54"/>
        </w:rPr>
        <w:t xml:space="preserve"> </w:t>
      </w:r>
      <w:r>
        <w:rPr>
          <w:color w:val="231F20"/>
        </w:rPr>
        <w:t>Although</w:t>
      </w:r>
      <w:r>
        <w:rPr>
          <w:color w:val="231F20"/>
          <w:spacing w:val="-10"/>
        </w:rPr>
        <w:t xml:space="preserve"> </w:t>
      </w:r>
      <w:r>
        <w:rPr>
          <w:color w:val="231F20"/>
        </w:rPr>
        <w:t>there</w:t>
      </w:r>
      <w:r>
        <w:rPr>
          <w:color w:val="231F20"/>
          <w:spacing w:val="-10"/>
        </w:rPr>
        <w:t xml:space="preserve"> </w:t>
      </w:r>
      <w:r>
        <w:rPr>
          <w:color w:val="231F20"/>
        </w:rPr>
        <w:t>has</w:t>
      </w:r>
      <w:r>
        <w:rPr>
          <w:color w:val="231F20"/>
          <w:spacing w:val="-9"/>
        </w:rPr>
        <w:t xml:space="preserve"> </w:t>
      </w:r>
      <w:r>
        <w:rPr>
          <w:color w:val="231F20"/>
        </w:rPr>
        <w:t>been</w:t>
      </w:r>
      <w:r>
        <w:rPr>
          <w:color w:val="231F20"/>
          <w:spacing w:val="-10"/>
        </w:rPr>
        <w:t xml:space="preserve"> </w:t>
      </w:r>
      <w:r>
        <w:rPr>
          <w:color w:val="231F20"/>
        </w:rPr>
        <w:t>an</w:t>
      </w:r>
      <w:r>
        <w:rPr>
          <w:color w:val="231F20"/>
          <w:spacing w:val="-10"/>
        </w:rPr>
        <w:t xml:space="preserve"> </w:t>
      </w:r>
      <w:r>
        <w:rPr>
          <w:color w:val="231F20"/>
        </w:rPr>
        <w:t>increment</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share</w:t>
      </w:r>
      <w:r>
        <w:rPr>
          <w:color w:val="231F20"/>
          <w:spacing w:val="-10"/>
        </w:rPr>
        <w:t xml:space="preserve"> </w:t>
      </w:r>
      <w:r>
        <w:rPr>
          <w:color w:val="231F20"/>
        </w:rPr>
        <w:t>of</w:t>
      </w:r>
      <w:r>
        <w:rPr>
          <w:color w:val="231F20"/>
          <w:spacing w:val="-10"/>
        </w:rPr>
        <w:t xml:space="preserve"> </w:t>
      </w:r>
      <w:r>
        <w:rPr>
          <w:color w:val="231F20"/>
        </w:rPr>
        <w:t>general</w:t>
      </w:r>
      <w:r>
        <w:rPr>
          <w:color w:val="231F20"/>
          <w:spacing w:val="-9"/>
        </w:rPr>
        <w:t xml:space="preserve"> </w:t>
      </w:r>
      <w:r>
        <w:rPr>
          <w:color w:val="231F20"/>
        </w:rPr>
        <w:t>government expenditure</w:t>
      </w:r>
      <w:r>
        <w:rPr>
          <w:color w:val="231F20"/>
          <w:spacing w:val="-17"/>
        </w:rPr>
        <w:t xml:space="preserve"> </w:t>
      </w:r>
      <w:r>
        <w:rPr>
          <w:color w:val="231F20"/>
        </w:rPr>
        <w:t>to</w:t>
      </w:r>
      <w:r>
        <w:rPr>
          <w:color w:val="231F20"/>
          <w:spacing w:val="-17"/>
        </w:rPr>
        <w:t xml:space="preserve"> </w:t>
      </w:r>
      <w:r>
        <w:rPr>
          <w:color w:val="231F20"/>
        </w:rPr>
        <w:t>health,</w:t>
      </w:r>
      <w:r>
        <w:rPr>
          <w:color w:val="231F20"/>
          <w:spacing w:val="-17"/>
        </w:rPr>
        <w:t xml:space="preserve"> </w:t>
      </w:r>
      <w:r>
        <w:rPr>
          <w:color w:val="231F20"/>
        </w:rPr>
        <w:t>this</w:t>
      </w:r>
      <w:r>
        <w:rPr>
          <w:color w:val="231F20"/>
          <w:spacing w:val="-17"/>
        </w:rPr>
        <w:t xml:space="preserve"> </w:t>
      </w:r>
      <w:r>
        <w:rPr>
          <w:color w:val="231F20"/>
        </w:rPr>
        <w:t>is</w:t>
      </w:r>
      <w:r>
        <w:rPr>
          <w:color w:val="231F20"/>
          <w:spacing w:val="-17"/>
        </w:rPr>
        <w:t xml:space="preserve"> </w:t>
      </w:r>
      <w:r>
        <w:rPr>
          <w:color w:val="231F20"/>
        </w:rPr>
        <w:t>far</w:t>
      </w:r>
      <w:r>
        <w:rPr>
          <w:color w:val="231F20"/>
          <w:spacing w:val="-16"/>
        </w:rPr>
        <w:t xml:space="preserve"> </w:t>
      </w:r>
      <w:r>
        <w:rPr>
          <w:color w:val="231F20"/>
        </w:rPr>
        <w:t>below</w:t>
      </w:r>
      <w:r>
        <w:rPr>
          <w:color w:val="231F20"/>
          <w:spacing w:val="-17"/>
        </w:rPr>
        <w:t xml:space="preserve"> </w:t>
      </w:r>
      <w:r>
        <w:rPr>
          <w:color w:val="231F20"/>
        </w:rPr>
        <w:t>the</w:t>
      </w:r>
      <w:r>
        <w:rPr>
          <w:color w:val="231F20"/>
          <w:spacing w:val="-29"/>
        </w:rPr>
        <w:t xml:space="preserve"> </w:t>
      </w:r>
      <w:r>
        <w:rPr>
          <w:color w:val="231F20"/>
        </w:rPr>
        <w:t>Abuja</w:t>
      </w:r>
      <w:r>
        <w:rPr>
          <w:color w:val="231F20"/>
          <w:spacing w:val="-17"/>
        </w:rPr>
        <w:t xml:space="preserve"> </w:t>
      </w:r>
      <w:r>
        <w:rPr>
          <w:color w:val="231F20"/>
        </w:rPr>
        <w:t>Declaration</w:t>
      </w:r>
      <w:r>
        <w:rPr>
          <w:color w:val="231F20"/>
          <w:spacing w:val="-16"/>
        </w:rPr>
        <w:t xml:space="preserve"> </w:t>
      </w:r>
      <w:r>
        <w:rPr>
          <w:color w:val="231F20"/>
        </w:rPr>
        <w:t>target</w:t>
      </w:r>
      <w:r>
        <w:rPr>
          <w:color w:val="231F20"/>
          <w:spacing w:val="-17"/>
        </w:rPr>
        <w:t xml:space="preserve"> </w:t>
      </w:r>
      <w:r>
        <w:rPr>
          <w:color w:val="231F20"/>
        </w:rPr>
        <w:t>of</w:t>
      </w:r>
      <w:r>
        <w:rPr>
          <w:color w:val="231F20"/>
          <w:spacing w:val="-17"/>
        </w:rPr>
        <w:t xml:space="preserve"> </w:t>
      </w:r>
      <w:r>
        <w:rPr>
          <w:color w:val="231F20"/>
        </w:rPr>
        <w:t>15%</w:t>
      </w:r>
      <w:r>
        <w:rPr>
          <w:color w:val="231F20"/>
          <w:spacing w:val="-17"/>
        </w:rPr>
        <w:t xml:space="preserve"> </w:t>
      </w:r>
      <w:r>
        <w:rPr>
          <w:color w:val="231F20"/>
        </w:rPr>
        <w:t>(Organization</w:t>
      </w:r>
      <w:r>
        <w:rPr>
          <w:color w:val="231F20"/>
          <w:spacing w:val="-17"/>
        </w:rPr>
        <w:t xml:space="preserve"> </w:t>
      </w:r>
      <w:r>
        <w:rPr>
          <w:color w:val="231F20"/>
        </w:rPr>
        <w:t>of</w:t>
      </w:r>
      <w:r>
        <w:rPr>
          <w:color w:val="231F20"/>
          <w:spacing w:val="-28"/>
        </w:rPr>
        <w:t xml:space="preserve"> </w:t>
      </w:r>
      <w:r>
        <w:rPr>
          <w:color w:val="231F20"/>
        </w:rPr>
        <w:t xml:space="preserve">African </w:t>
      </w:r>
      <w:r>
        <w:rPr>
          <w:color w:val="231F20"/>
          <w:spacing w:val="-3"/>
        </w:rPr>
        <w:t xml:space="preserve">Unity, </w:t>
      </w:r>
      <w:r>
        <w:rPr>
          <w:color w:val="231F20"/>
        </w:rPr>
        <w:t>2001).The country’s out-of-pocket expenditure on health remains high. Overall, out-of- pocket</w:t>
      </w:r>
      <w:r>
        <w:rPr>
          <w:color w:val="231F20"/>
          <w:spacing w:val="-24"/>
        </w:rPr>
        <w:t xml:space="preserve"> </w:t>
      </w:r>
      <w:r>
        <w:rPr>
          <w:color w:val="231F20"/>
        </w:rPr>
        <w:t>expenditure</w:t>
      </w:r>
      <w:r>
        <w:rPr>
          <w:color w:val="231F20"/>
          <w:spacing w:val="-22"/>
        </w:rPr>
        <w:t xml:space="preserve"> </w:t>
      </w:r>
      <w:r>
        <w:rPr>
          <w:color w:val="231F20"/>
        </w:rPr>
        <w:t>(OOPE),</w:t>
      </w:r>
      <w:r>
        <w:rPr>
          <w:color w:val="231F20"/>
          <w:spacing w:val="-23"/>
        </w:rPr>
        <w:t xml:space="preserve"> </w:t>
      </w:r>
      <w:r>
        <w:rPr>
          <w:color w:val="231F20"/>
        </w:rPr>
        <w:t>as</w:t>
      </w:r>
      <w:r>
        <w:rPr>
          <w:color w:val="231F20"/>
          <w:spacing w:val="-23"/>
        </w:rPr>
        <w:t xml:space="preserve"> </w:t>
      </w:r>
      <w:r>
        <w:rPr>
          <w:color w:val="231F20"/>
        </w:rPr>
        <w:t>a</w:t>
      </w:r>
      <w:r>
        <w:rPr>
          <w:color w:val="231F20"/>
          <w:spacing w:val="-23"/>
        </w:rPr>
        <w:t xml:space="preserve"> </w:t>
      </w:r>
      <w:r>
        <w:rPr>
          <w:color w:val="231F20"/>
        </w:rPr>
        <w:t>proportion</w:t>
      </w:r>
      <w:r>
        <w:rPr>
          <w:color w:val="231F20"/>
          <w:spacing w:val="-22"/>
        </w:rPr>
        <w:t xml:space="preserve"> </w:t>
      </w:r>
      <w:r>
        <w:rPr>
          <w:color w:val="231F20"/>
        </w:rPr>
        <w:t>of</w:t>
      </w:r>
      <w:r>
        <w:rPr>
          <w:color w:val="231F20"/>
          <w:spacing w:val="-23"/>
        </w:rPr>
        <w:t xml:space="preserve"> </w:t>
      </w:r>
      <w:r>
        <w:rPr>
          <w:color w:val="231F20"/>
        </w:rPr>
        <w:t>total</w:t>
      </w:r>
      <w:r>
        <w:rPr>
          <w:color w:val="231F20"/>
          <w:spacing w:val="-23"/>
        </w:rPr>
        <w:t xml:space="preserve"> </w:t>
      </w:r>
      <w:r>
        <w:rPr>
          <w:color w:val="231F20"/>
        </w:rPr>
        <w:t>health</w:t>
      </w:r>
      <w:r>
        <w:rPr>
          <w:color w:val="231F20"/>
          <w:spacing w:val="-23"/>
        </w:rPr>
        <w:t xml:space="preserve"> </w:t>
      </w:r>
      <w:r>
        <w:rPr>
          <w:color w:val="231F20"/>
        </w:rPr>
        <w:t>expenditure</w:t>
      </w:r>
      <w:r>
        <w:rPr>
          <w:color w:val="231F20"/>
          <w:spacing w:val="-22"/>
        </w:rPr>
        <w:t xml:space="preserve"> </w:t>
      </w:r>
      <w:r>
        <w:rPr>
          <w:color w:val="231F20"/>
        </w:rPr>
        <w:t>is</w:t>
      </w:r>
      <w:r>
        <w:rPr>
          <w:color w:val="231F20"/>
          <w:spacing w:val="-23"/>
        </w:rPr>
        <w:t xml:space="preserve"> </w:t>
      </w:r>
      <w:r>
        <w:rPr>
          <w:color w:val="231F20"/>
        </w:rPr>
        <w:t>high,</w:t>
      </w:r>
      <w:r>
        <w:rPr>
          <w:color w:val="231F20"/>
          <w:spacing w:val="-23"/>
        </w:rPr>
        <w:t xml:space="preserve"> </w:t>
      </w:r>
      <w:r>
        <w:rPr>
          <w:color w:val="231F20"/>
        </w:rPr>
        <w:t>ranging</w:t>
      </w:r>
      <w:r>
        <w:rPr>
          <w:color w:val="231F20"/>
          <w:spacing w:val="-23"/>
        </w:rPr>
        <w:t xml:space="preserve"> </w:t>
      </w:r>
      <w:r>
        <w:rPr>
          <w:color w:val="231F20"/>
        </w:rPr>
        <w:t>from</w:t>
      </w:r>
      <w:r>
        <w:rPr>
          <w:color w:val="231F20"/>
          <w:spacing w:val="-23"/>
        </w:rPr>
        <w:t xml:space="preserve"> </w:t>
      </w:r>
      <w:r>
        <w:rPr>
          <w:color w:val="231F20"/>
        </w:rPr>
        <w:t>78%</w:t>
      </w:r>
      <w:r>
        <w:rPr>
          <w:color w:val="231F20"/>
          <w:spacing w:val="-23"/>
        </w:rPr>
        <w:t xml:space="preserve"> </w:t>
      </w:r>
      <w:r>
        <w:rPr>
          <w:color w:val="231F20"/>
        </w:rPr>
        <w:t>in 2010</w:t>
      </w:r>
      <w:r>
        <w:rPr>
          <w:color w:val="231F20"/>
          <w:spacing w:val="-23"/>
        </w:rPr>
        <w:t xml:space="preserve"> </w:t>
      </w:r>
      <w:r>
        <w:rPr>
          <w:color w:val="231F20"/>
        </w:rPr>
        <w:t>to</w:t>
      </w:r>
      <w:r>
        <w:rPr>
          <w:color w:val="231F20"/>
          <w:spacing w:val="-22"/>
        </w:rPr>
        <w:t xml:space="preserve"> </w:t>
      </w:r>
      <w:r>
        <w:rPr>
          <w:color w:val="231F20"/>
        </w:rPr>
        <w:t>73%</w:t>
      </w:r>
      <w:r>
        <w:rPr>
          <w:color w:val="231F20"/>
          <w:spacing w:val="-22"/>
        </w:rPr>
        <w:t xml:space="preserve"> </w:t>
      </w:r>
      <w:r>
        <w:rPr>
          <w:color w:val="231F20"/>
        </w:rPr>
        <w:t>in</w:t>
      </w:r>
      <w:r>
        <w:rPr>
          <w:color w:val="231F20"/>
          <w:spacing w:val="-22"/>
        </w:rPr>
        <w:t xml:space="preserve"> </w:t>
      </w:r>
      <w:r>
        <w:rPr>
          <w:color w:val="231F20"/>
        </w:rPr>
        <w:t>2014</w:t>
      </w:r>
      <w:r>
        <w:rPr>
          <w:color w:val="231F20"/>
          <w:spacing w:val="-22"/>
        </w:rPr>
        <w:t xml:space="preserve"> </w:t>
      </w:r>
      <w:r>
        <w:rPr>
          <w:color w:val="231F20"/>
        </w:rPr>
        <w:t>(Federal</w:t>
      </w:r>
      <w:r>
        <w:rPr>
          <w:color w:val="231F20"/>
          <w:spacing w:val="-22"/>
        </w:rPr>
        <w:t xml:space="preserve"> </w:t>
      </w:r>
      <w:r>
        <w:rPr>
          <w:color w:val="231F20"/>
        </w:rPr>
        <w:t>Ministry</w:t>
      </w:r>
      <w:r>
        <w:rPr>
          <w:color w:val="231F20"/>
          <w:spacing w:val="-22"/>
        </w:rPr>
        <w:t xml:space="preserve"> </w:t>
      </w:r>
      <w:r>
        <w:rPr>
          <w:color w:val="231F20"/>
        </w:rPr>
        <w:t>of</w:t>
      </w:r>
      <w:r>
        <w:rPr>
          <w:color w:val="231F20"/>
          <w:spacing w:val="-22"/>
        </w:rPr>
        <w:t xml:space="preserve"> </w:t>
      </w:r>
      <w:r>
        <w:rPr>
          <w:color w:val="231F20"/>
        </w:rPr>
        <w:t>Health,</w:t>
      </w:r>
      <w:r>
        <w:rPr>
          <w:color w:val="231F20"/>
          <w:spacing w:val="-22"/>
        </w:rPr>
        <w:t xml:space="preserve"> </w:t>
      </w:r>
      <w:r>
        <w:rPr>
          <w:color w:val="231F20"/>
        </w:rPr>
        <w:t>2017)</w:t>
      </w:r>
      <w:r>
        <w:rPr>
          <w:color w:val="231F20"/>
          <w:spacing w:val="-22"/>
        </w:rPr>
        <w:t xml:space="preserve"> </w:t>
      </w:r>
      <w:r>
        <w:rPr>
          <w:color w:val="231F20"/>
        </w:rPr>
        <w:t>while</w:t>
      </w:r>
      <w:r>
        <w:rPr>
          <w:color w:val="231F20"/>
          <w:spacing w:val="-22"/>
        </w:rPr>
        <w:t xml:space="preserve"> </w:t>
      </w:r>
      <w:r>
        <w:rPr>
          <w:color w:val="231F20"/>
        </w:rPr>
        <w:t>for</w:t>
      </w:r>
      <w:r>
        <w:rPr>
          <w:color w:val="231F20"/>
          <w:spacing w:val="-22"/>
        </w:rPr>
        <w:t xml:space="preserve"> </w:t>
      </w:r>
      <w:r>
        <w:rPr>
          <w:color w:val="231F20"/>
        </w:rPr>
        <w:t>Rivers</w:t>
      </w:r>
      <w:r>
        <w:rPr>
          <w:color w:val="231F20"/>
          <w:spacing w:val="-22"/>
        </w:rPr>
        <w:t xml:space="preserve"> </w:t>
      </w:r>
      <w:r>
        <w:rPr>
          <w:color w:val="231F20"/>
        </w:rPr>
        <w:t>State</w:t>
      </w:r>
      <w:r>
        <w:rPr>
          <w:color w:val="231F20"/>
          <w:spacing w:val="-23"/>
        </w:rPr>
        <w:t xml:space="preserve"> </w:t>
      </w:r>
      <w:r>
        <w:rPr>
          <w:color w:val="231F20"/>
        </w:rPr>
        <w:t>its</w:t>
      </w:r>
      <w:r>
        <w:rPr>
          <w:color w:val="231F20"/>
          <w:spacing w:val="-22"/>
        </w:rPr>
        <w:t xml:space="preserve"> </w:t>
      </w:r>
      <w:r>
        <w:rPr>
          <w:color w:val="231F20"/>
        </w:rPr>
        <w:t>94.6%</w:t>
      </w:r>
      <w:r>
        <w:rPr>
          <w:color w:val="231F20"/>
          <w:spacing w:val="-22"/>
        </w:rPr>
        <w:t xml:space="preserve"> </w:t>
      </w:r>
      <w:r>
        <w:rPr>
          <w:color w:val="231F20"/>
        </w:rPr>
        <w:t>in</w:t>
      </w:r>
      <w:r>
        <w:rPr>
          <w:color w:val="231F20"/>
          <w:spacing w:val="-22"/>
        </w:rPr>
        <w:t xml:space="preserve"> </w:t>
      </w:r>
      <w:r>
        <w:rPr>
          <w:color w:val="231F20"/>
        </w:rPr>
        <w:t>2016.</w:t>
      </w:r>
      <w:r>
        <w:rPr>
          <w:color w:val="231F20"/>
          <w:spacing w:val="-26"/>
        </w:rPr>
        <w:t xml:space="preserve"> </w:t>
      </w:r>
      <w:r>
        <w:rPr>
          <w:color w:val="231F20"/>
        </w:rPr>
        <w:t>The high</w:t>
      </w:r>
      <w:r>
        <w:rPr>
          <w:color w:val="231F20"/>
          <w:spacing w:val="-11"/>
        </w:rPr>
        <w:t xml:space="preserve"> </w:t>
      </w:r>
      <w:r>
        <w:rPr>
          <w:color w:val="231F20"/>
        </w:rPr>
        <w:t>level</w:t>
      </w:r>
      <w:r>
        <w:rPr>
          <w:color w:val="231F20"/>
          <w:spacing w:val="-10"/>
        </w:rPr>
        <w:t xml:space="preserve"> </w:t>
      </w:r>
      <w:r>
        <w:rPr>
          <w:color w:val="231F20"/>
        </w:rPr>
        <w:t>in</w:t>
      </w:r>
      <w:r>
        <w:rPr>
          <w:color w:val="231F20"/>
          <w:spacing w:val="-10"/>
        </w:rPr>
        <w:t xml:space="preserve"> </w:t>
      </w:r>
      <w:r>
        <w:rPr>
          <w:color w:val="231F20"/>
        </w:rPr>
        <w:t>OOPE</w:t>
      </w:r>
      <w:r>
        <w:rPr>
          <w:color w:val="231F20"/>
          <w:spacing w:val="-10"/>
        </w:rPr>
        <w:t xml:space="preserve"> </w:t>
      </w:r>
      <w:r>
        <w:rPr>
          <w:color w:val="231F20"/>
        </w:rPr>
        <w:t>poses</w:t>
      </w:r>
      <w:r>
        <w:rPr>
          <w:color w:val="231F20"/>
          <w:spacing w:val="-10"/>
        </w:rPr>
        <w:t xml:space="preserve"> </w:t>
      </w:r>
      <w:r>
        <w:rPr>
          <w:color w:val="231F20"/>
        </w:rPr>
        <w:t>a</w:t>
      </w:r>
      <w:r>
        <w:rPr>
          <w:color w:val="231F20"/>
          <w:spacing w:val="-10"/>
        </w:rPr>
        <w:t xml:space="preserve"> </w:t>
      </w:r>
      <w:r>
        <w:rPr>
          <w:color w:val="231F20"/>
        </w:rPr>
        <w:t>barrier</w:t>
      </w:r>
      <w:r>
        <w:rPr>
          <w:color w:val="231F20"/>
          <w:spacing w:val="-10"/>
        </w:rPr>
        <w:t xml:space="preserve"> </w:t>
      </w:r>
      <w:r>
        <w:rPr>
          <w:color w:val="231F20"/>
        </w:rPr>
        <w:t>to</w:t>
      </w:r>
      <w:r>
        <w:rPr>
          <w:color w:val="231F20"/>
          <w:spacing w:val="-10"/>
        </w:rPr>
        <w:t xml:space="preserve"> </w:t>
      </w:r>
      <w:r>
        <w:rPr>
          <w:color w:val="231F20"/>
        </w:rPr>
        <w:t>accessing</w:t>
      </w:r>
      <w:r>
        <w:rPr>
          <w:color w:val="231F20"/>
          <w:spacing w:val="-9"/>
        </w:rPr>
        <w:t xml:space="preserve"> </w:t>
      </w:r>
      <w:r>
        <w:rPr>
          <w:color w:val="231F20"/>
        </w:rPr>
        <w:t>health</w:t>
      </w:r>
      <w:r>
        <w:rPr>
          <w:color w:val="231F20"/>
          <w:spacing w:val="-10"/>
        </w:rPr>
        <w:t xml:space="preserve"> </w:t>
      </w:r>
      <w:r>
        <w:rPr>
          <w:color w:val="231F20"/>
        </w:rPr>
        <w:t>services,</w:t>
      </w:r>
      <w:r>
        <w:rPr>
          <w:color w:val="231F20"/>
          <w:spacing w:val="-11"/>
        </w:rPr>
        <w:t xml:space="preserve"> </w:t>
      </w:r>
      <w:r>
        <w:rPr>
          <w:color w:val="231F20"/>
        </w:rPr>
        <w:t>thereby</w:t>
      </w:r>
      <w:r>
        <w:rPr>
          <w:color w:val="231F20"/>
          <w:spacing w:val="-10"/>
        </w:rPr>
        <w:t xml:space="preserve"> </w:t>
      </w:r>
      <w:r>
        <w:rPr>
          <w:color w:val="231F20"/>
        </w:rPr>
        <w:t>fueling</w:t>
      </w:r>
      <w:r>
        <w:rPr>
          <w:color w:val="231F20"/>
          <w:spacing w:val="-9"/>
        </w:rPr>
        <w:t xml:space="preserve"> </w:t>
      </w:r>
      <w:r>
        <w:rPr>
          <w:color w:val="231F20"/>
        </w:rPr>
        <w:t>inequity</w:t>
      </w:r>
      <w:r>
        <w:rPr>
          <w:color w:val="231F20"/>
          <w:spacing w:val="-9"/>
        </w:rPr>
        <w:t xml:space="preserve"> </w:t>
      </w:r>
      <w:r>
        <w:rPr>
          <w:color w:val="231F20"/>
        </w:rPr>
        <w:t>in</w:t>
      </w:r>
      <w:r>
        <w:rPr>
          <w:color w:val="231F20"/>
          <w:spacing w:val="-10"/>
        </w:rPr>
        <w:t xml:space="preserve"> </w:t>
      </w:r>
      <w:r>
        <w:rPr>
          <w:color w:val="231F20"/>
        </w:rPr>
        <w:t>health outcomes</w:t>
      </w:r>
      <w:r>
        <w:rPr>
          <w:color w:val="231F20"/>
          <w:spacing w:val="-12"/>
        </w:rPr>
        <w:t xml:space="preserve"> </w:t>
      </w:r>
      <w:r>
        <w:rPr>
          <w:color w:val="231F20"/>
        </w:rPr>
        <w:t>and</w:t>
      </w:r>
      <w:r>
        <w:rPr>
          <w:color w:val="231F20"/>
          <w:spacing w:val="-11"/>
        </w:rPr>
        <w:t xml:space="preserve"> </w:t>
      </w:r>
      <w:r>
        <w:rPr>
          <w:color w:val="231F20"/>
        </w:rPr>
        <w:t>further</w:t>
      </w:r>
      <w:r>
        <w:rPr>
          <w:color w:val="231F20"/>
          <w:spacing w:val="-11"/>
        </w:rPr>
        <w:t xml:space="preserve"> </w:t>
      </w:r>
      <w:r>
        <w:rPr>
          <w:color w:val="231F20"/>
        </w:rPr>
        <w:t>exposing</w:t>
      </w:r>
      <w:r>
        <w:rPr>
          <w:color w:val="231F20"/>
          <w:spacing w:val="-11"/>
        </w:rPr>
        <w:t xml:space="preserve"> </w:t>
      </w:r>
      <w:r>
        <w:rPr>
          <w:color w:val="231F20"/>
        </w:rPr>
        <w:t>the</w:t>
      </w:r>
      <w:r>
        <w:rPr>
          <w:color w:val="231F20"/>
          <w:spacing w:val="-11"/>
        </w:rPr>
        <w:t xml:space="preserve"> </w:t>
      </w:r>
      <w:r>
        <w:rPr>
          <w:color w:val="231F20"/>
        </w:rPr>
        <w:t>already</w:t>
      </w:r>
      <w:r>
        <w:rPr>
          <w:color w:val="231F20"/>
          <w:spacing w:val="-11"/>
        </w:rPr>
        <w:t xml:space="preserve"> </w:t>
      </w:r>
      <w:r>
        <w:rPr>
          <w:color w:val="231F20"/>
        </w:rPr>
        <w:t>poor</w:t>
      </w:r>
      <w:r>
        <w:rPr>
          <w:color w:val="231F20"/>
          <w:spacing w:val="-11"/>
        </w:rPr>
        <w:t xml:space="preserve"> </w:t>
      </w:r>
      <w:r>
        <w:rPr>
          <w:color w:val="231F20"/>
        </w:rPr>
        <w:t>to</w:t>
      </w:r>
      <w:r>
        <w:rPr>
          <w:color w:val="231F20"/>
          <w:spacing w:val="-11"/>
        </w:rPr>
        <w:t xml:space="preserve"> </w:t>
      </w:r>
      <w:r>
        <w:rPr>
          <w:color w:val="231F20"/>
        </w:rPr>
        <w:t>impoverishment</w:t>
      </w:r>
      <w:r>
        <w:rPr>
          <w:color w:val="231F20"/>
          <w:spacing w:val="-12"/>
        </w:rPr>
        <w:t xml:space="preserve"> </w:t>
      </w:r>
      <w:r>
        <w:rPr>
          <w:color w:val="231F20"/>
        </w:rPr>
        <w:t>and</w:t>
      </w:r>
      <w:r>
        <w:rPr>
          <w:color w:val="231F20"/>
          <w:spacing w:val="-11"/>
        </w:rPr>
        <w:t xml:space="preserve"> </w:t>
      </w:r>
      <w:r>
        <w:rPr>
          <w:color w:val="231F20"/>
        </w:rPr>
        <w:t>financial</w:t>
      </w:r>
      <w:r>
        <w:rPr>
          <w:color w:val="231F20"/>
          <w:spacing w:val="-11"/>
        </w:rPr>
        <w:t xml:space="preserve"> </w:t>
      </w:r>
      <w:r>
        <w:rPr>
          <w:color w:val="231F20"/>
        </w:rPr>
        <w:t>catastrophe</w:t>
      </w:r>
      <w:r>
        <w:rPr>
          <w:color w:val="231F20"/>
          <w:spacing w:val="-11"/>
        </w:rPr>
        <w:t xml:space="preserve"> </w:t>
      </w:r>
      <w:r>
        <w:rPr>
          <w:color w:val="231F20"/>
        </w:rPr>
        <w:t>and only</w:t>
      </w:r>
      <w:r>
        <w:rPr>
          <w:color w:val="231F20"/>
          <w:spacing w:val="-26"/>
        </w:rPr>
        <w:t xml:space="preserve"> </w:t>
      </w:r>
      <w:r>
        <w:rPr>
          <w:color w:val="231F20"/>
        </w:rPr>
        <w:t>1.7%</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Rivers</w:t>
      </w:r>
      <w:r>
        <w:rPr>
          <w:color w:val="231F20"/>
          <w:spacing w:val="-25"/>
        </w:rPr>
        <w:t xml:space="preserve"> </w:t>
      </w:r>
      <w:r>
        <w:rPr>
          <w:color w:val="231F20"/>
        </w:rPr>
        <w:t>State</w:t>
      </w:r>
      <w:r>
        <w:rPr>
          <w:color w:val="231F20"/>
          <w:spacing w:val="-25"/>
        </w:rPr>
        <w:t xml:space="preserve"> </w:t>
      </w:r>
      <w:r>
        <w:rPr>
          <w:color w:val="231F20"/>
        </w:rPr>
        <w:t>population</w:t>
      </w:r>
      <w:r>
        <w:rPr>
          <w:color w:val="231F20"/>
          <w:spacing w:val="-25"/>
        </w:rPr>
        <w:t xml:space="preserve"> </w:t>
      </w:r>
      <w:r>
        <w:rPr>
          <w:color w:val="231F20"/>
        </w:rPr>
        <w:t>is</w:t>
      </w:r>
      <w:r>
        <w:rPr>
          <w:color w:val="231F20"/>
          <w:spacing w:val="-25"/>
        </w:rPr>
        <w:t xml:space="preserve"> </w:t>
      </w:r>
      <w:r>
        <w:rPr>
          <w:color w:val="231F20"/>
        </w:rPr>
        <w:t>covered</w:t>
      </w:r>
      <w:r>
        <w:rPr>
          <w:color w:val="231F20"/>
          <w:spacing w:val="-25"/>
        </w:rPr>
        <w:t xml:space="preserve"> </w:t>
      </w:r>
      <w:r>
        <w:rPr>
          <w:color w:val="231F20"/>
        </w:rPr>
        <w:t>by</w:t>
      </w:r>
      <w:r>
        <w:rPr>
          <w:color w:val="231F20"/>
          <w:spacing w:val="-25"/>
        </w:rPr>
        <w:t xml:space="preserve"> </w:t>
      </w:r>
      <w:r>
        <w:rPr>
          <w:color w:val="231F20"/>
        </w:rPr>
        <w:t>any</w:t>
      </w:r>
      <w:r>
        <w:rPr>
          <w:color w:val="231F20"/>
          <w:spacing w:val="-25"/>
        </w:rPr>
        <w:t xml:space="preserve"> </w:t>
      </w:r>
      <w:r>
        <w:rPr>
          <w:color w:val="231F20"/>
        </w:rPr>
        <w:t>form</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insurance.</w:t>
      </w:r>
    </w:p>
    <w:p w14:paraId="7439950A" w14:textId="77777777" w:rsidR="009948F1" w:rsidRDefault="009948F1">
      <w:pPr>
        <w:pStyle w:val="BodyText"/>
        <w:spacing w:before="11"/>
        <w:rPr>
          <w:sz w:val="23"/>
        </w:rPr>
      </w:pPr>
    </w:p>
    <w:p w14:paraId="60178EB3" w14:textId="77777777" w:rsidR="009948F1" w:rsidRDefault="00BC0563">
      <w:pPr>
        <w:pStyle w:val="Heading7"/>
        <w:ind w:left="157"/>
        <w:jc w:val="both"/>
      </w:pPr>
      <w:r>
        <w:rPr>
          <w:color w:val="231F20"/>
        </w:rPr>
        <w:t>Strategic Goal</w:t>
      </w:r>
    </w:p>
    <w:p w14:paraId="02CA62CA" w14:textId="77777777" w:rsidR="009948F1" w:rsidRDefault="00BC0563">
      <w:pPr>
        <w:pStyle w:val="ListParagraph"/>
        <w:numPr>
          <w:ilvl w:val="2"/>
          <w:numId w:val="262"/>
        </w:numPr>
        <w:tabs>
          <w:tab w:val="left" w:pos="840"/>
        </w:tabs>
        <w:spacing w:before="37" w:line="276" w:lineRule="auto"/>
        <w:ind w:right="206" w:firstLine="0"/>
        <w:jc w:val="both"/>
      </w:pPr>
      <w:r>
        <w:rPr>
          <w:color w:val="231F20"/>
        </w:rPr>
        <w:t>Ensure all residents of Rivers State have access to health services without any financial barriers</w:t>
      </w:r>
      <w:r>
        <w:rPr>
          <w:color w:val="231F20"/>
          <w:spacing w:val="-25"/>
        </w:rPr>
        <w:t xml:space="preserve"> </w:t>
      </w:r>
      <w:r>
        <w:rPr>
          <w:color w:val="231F20"/>
        </w:rPr>
        <w:t>or</w:t>
      </w:r>
      <w:r>
        <w:rPr>
          <w:color w:val="231F20"/>
          <w:spacing w:val="-26"/>
        </w:rPr>
        <w:t xml:space="preserve"> </w:t>
      </w:r>
      <w:r>
        <w:rPr>
          <w:color w:val="231F20"/>
        </w:rPr>
        <w:t>impediments</w:t>
      </w:r>
      <w:r>
        <w:rPr>
          <w:color w:val="231F20"/>
          <w:spacing w:val="-25"/>
        </w:rPr>
        <w:t xml:space="preserve"> </w:t>
      </w:r>
      <w:r>
        <w:rPr>
          <w:color w:val="231F20"/>
        </w:rPr>
        <w:t>at</w:t>
      </w:r>
      <w:r>
        <w:rPr>
          <w:color w:val="231F20"/>
          <w:spacing w:val="-25"/>
        </w:rPr>
        <w:t xml:space="preserve"> </w:t>
      </w:r>
      <w:r>
        <w:rPr>
          <w:color w:val="231F20"/>
        </w:rPr>
        <w:t>the</w:t>
      </w:r>
      <w:r>
        <w:rPr>
          <w:color w:val="231F20"/>
          <w:spacing w:val="-25"/>
        </w:rPr>
        <w:t xml:space="preserve"> </w:t>
      </w:r>
      <w:r>
        <w:rPr>
          <w:color w:val="231F20"/>
        </w:rPr>
        <w:t>point</w:t>
      </w:r>
      <w:r>
        <w:rPr>
          <w:color w:val="231F20"/>
          <w:spacing w:val="-25"/>
        </w:rPr>
        <w:t xml:space="preserve"> </w:t>
      </w:r>
      <w:r>
        <w:rPr>
          <w:color w:val="231F20"/>
        </w:rPr>
        <w:t>of</w:t>
      </w:r>
      <w:r>
        <w:rPr>
          <w:color w:val="231F20"/>
          <w:spacing w:val="-25"/>
        </w:rPr>
        <w:t xml:space="preserve"> </w:t>
      </w:r>
      <w:r>
        <w:rPr>
          <w:color w:val="231F20"/>
        </w:rPr>
        <w:t>accessing</w:t>
      </w:r>
      <w:r>
        <w:rPr>
          <w:color w:val="231F20"/>
          <w:spacing w:val="-25"/>
        </w:rPr>
        <w:t xml:space="preserve"> </w:t>
      </w:r>
      <w:r>
        <w:rPr>
          <w:color w:val="231F20"/>
        </w:rPr>
        <w:t>care.</w:t>
      </w:r>
    </w:p>
    <w:p w14:paraId="293C993B" w14:textId="77777777" w:rsidR="009948F1" w:rsidRDefault="009948F1">
      <w:pPr>
        <w:pStyle w:val="BodyText"/>
        <w:spacing w:before="9"/>
        <w:rPr>
          <w:sz w:val="31"/>
        </w:rPr>
      </w:pPr>
    </w:p>
    <w:p w14:paraId="14CF289B" w14:textId="77777777" w:rsidR="009948F1" w:rsidRDefault="00BC0563">
      <w:pPr>
        <w:pStyle w:val="Heading7"/>
        <w:ind w:left="272"/>
      </w:pPr>
      <w:r>
        <w:rPr>
          <w:color w:val="231F20"/>
        </w:rPr>
        <w:t>Strategic Objectives</w:t>
      </w:r>
    </w:p>
    <w:p w14:paraId="6A558751" w14:textId="77777777" w:rsidR="009948F1" w:rsidRDefault="00BC0563">
      <w:pPr>
        <w:pStyle w:val="ListParagraph"/>
        <w:numPr>
          <w:ilvl w:val="2"/>
          <w:numId w:val="262"/>
        </w:numPr>
        <w:tabs>
          <w:tab w:val="left" w:pos="1064"/>
        </w:tabs>
        <w:spacing w:before="42" w:line="280" w:lineRule="auto"/>
        <w:ind w:left="272" w:right="508" w:firstLine="0"/>
        <w:jc w:val="left"/>
        <w:rPr>
          <w:b/>
        </w:rPr>
      </w:pPr>
      <w:r>
        <w:rPr>
          <w:b/>
          <w:color w:val="231F20"/>
        </w:rPr>
        <w:t xml:space="preserve">Strengthened Governance and Coordination for actualizing stewardship </w:t>
      </w:r>
      <w:r>
        <w:rPr>
          <w:b/>
          <w:color w:val="231F20"/>
          <w:spacing w:val="-6"/>
        </w:rPr>
        <w:t xml:space="preserve">and </w:t>
      </w:r>
      <w:r>
        <w:rPr>
          <w:b/>
          <w:color w:val="231F20"/>
        </w:rPr>
        <w:t>ownership of Health Financing</w:t>
      </w:r>
      <w:r>
        <w:rPr>
          <w:b/>
          <w:color w:val="231F20"/>
          <w:spacing w:val="4"/>
        </w:rPr>
        <w:t xml:space="preserve"> </w:t>
      </w:r>
      <w:r>
        <w:rPr>
          <w:b/>
          <w:color w:val="231F20"/>
        </w:rPr>
        <w:t>reforms</w:t>
      </w:r>
    </w:p>
    <w:p w14:paraId="6E35136D" w14:textId="77777777" w:rsidR="009948F1" w:rsidRDefault="00BC0563">
      <w:pPr>
        <w:spacing w:before="151" w:after="41"/>
        <w:ind w:left="272"/>
        <w:rPr>
          <w:b/>
        </w:rPr>
      </w:pPr>
      <w:r>
        <w:rPr>
          <w:b/>
          <w:color w:val="231F20"/>
        </w:rPr>
        <w:t>Targets</w:t>
      </w:r>
    </w:p>
    <w:tbl>
      <w:tblPr>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54"/>
        <w:gridCol w:w="1179"/>
        <w:gridCol w:w="738"/>
        <w:gridCol w:w="740"/>
        <w:gridCol w:w="740"/>
        <w:gridCol w:w="740"/>
        <w:gridCol w:w="767"/>
        <w:gridCol w:w="940"/>
      </w:tblGrid>
      <w:tr w:rsidR="009948F1" w14:paraId="56D56DA3" w14:textId="77777777">
        <w:trPr>
          <w:trHeight w:val="211"/>
        </w:trPr>
        <w:tc>
          <w:tcPr>
            <w:tcW w:w="3254" w:type="dxa"/>
            <w:shd w:val="clear" w:color="auto" w:fill="F4CEB2"/>
          </w:tcPr>
          <w:p w14:paraId="0537371C" w14:textId="77777777" w:rsidR="009948F1" w:rsidRDefault="00BC0563">
            <w:pPr>
              <w:pStyle w:val="TableParagraph"/>
              <w:spacing w:before="1" w:line="190" w:lineRule="exact"/>
              <w:ind w:left="109"/>
              <w:rPr>
                <w:sz w:val="18"/>
              </w:rPr>
            </w:pPr>
            <w:r>
              <w:rPr>
                <w:color w:val="231F20"/>
                <w:sz w:val="18"/>
              </w:rPr>
              <w:t>Targets</w:t>
            </w:r>
          </w:p>
        </w:tc>
        <w:tc>
          <w:tcPr>
            <w:tcW w:w="1179" w:type="dxa"/>
            <w:shd w:val="clear" w:color="auto" w:fill="F4CEB2"/>
          </w:tcPr>
          <w:p w14:paraId="3249E00D" w14:textId="77777777" w:rsidR="009948F1" w:rsidRDefault="00BC0563">
            <w:pPr>
              <w:pStyle w:val="TableParagraph"/>
              <w:spacing w:before="1" w:line="190" w:lineRule="exact"/>
              <w:ind w:left="109"/>
              <w:rPr>
                <w:sz w:val="18"/>
              </w:rPr>
            </w:pPr>
            <w:r>
              <w:rPr>
                <w:color w:val="231F20"/>
                <w:sz w:val="18"/>
              </w:rPr>
              <w:t>Baseline</w:t>
            </w:r>
          </w:p>
        </w:tc>
        <w:tc>
          <w:tcPr>
            <w:tcW w:w="738" w:type="dxa"/>
            <w:shd w:val="clear" w:color="auto" w:fill="F4CEB2"/>
          </w:tcPr>
          <w:p w14:paraId="57251303" w14:textId="77777777" w:rsidR="009948F1" w:rsidRDefault="00BC0563">
            <w:pPr>
              <w:pStyle w:val="TableParagraph"/>
              <w:spacing w:line="192" w:lineRule="exact"/>
              <w:ind w:left="109"/>
              <w:rPr>
                <w:b/>
                <w:sz w:val="18"/>
              </w:rPr>
            </w:pPr>
            <w:r>
              <w:rPr>
                <w:b/>
                <w:color w:val="231F20"/>
                <w:sz w:val="18"/>
              </w:rPr>
              <w:t>2018</w:t>
            </w:r>
          </w:p>
        </w:tc>
        <w:tc>
          <w:tcPr>
            <w:tcW w:w="740" w:type="dxa"/>
            <w:shd w:val="clear" w:color="auto" w:fill="F4CEB2"/>
          </w:tcPr>
          <w:p w14:paraId="44572E16" w14:textId="77777777" w:rsidR="009948F1" w:rsidRDefault="00BC0563">
            <w:pPr>
              <w:pStyle w:val="TableParagraph"/>
              <w:spacing w:line="192" w:lineRule="exact"/>
              <w:ind w:left="110"/>
              <w:rPr>
                <w:b/>
                <w:sz w:val="18"/>
              </w:rPr>
            </w:pPr>
            <w:r>
              <w:rPr>
                <w:b/>
                <w:color w:val="231F20"/>
                <w:sz w:val="18"/>
              </w:rPr>
              <w:t>2019</w:t>
            </w:r>
          </w:p>
        </w:tc>
        <w:tc>
          <w:tcPr>
            <w:tcW w:w="740" w:type="dxa"/>
            <w:shd w:val="clear" w:color="auto" w:fill="F4CEB2"/>
          </w:tcPr>
          <w:p w14:paraId="5F8FCD38" w14:textId="77777777" w:rsidR="009948F1" w:rsidRDefault="00BC0563">
            <w:pPr>
              <w:pStyle w:val="TableParagraph"/>
              <w:spacing w:line="192" w:lineRule="exact"/>
              <w:ind w:left="110"/>
              <w:rPr>
                <w:b/>
                <w:sz w:val="18"/>
              </w:rPr>
            </w:pPr>
            <w:r>
              <w:rPr>
                <w:b/>
                <w:color w:val="231F20"/>
                <w:sz w:val="18"/>
              </w:rPr>
              <w:t>2020</w:t>
            </w:r>
          </w:p>
        </w:tc>
        <w:tc>
          <w:tcPr>
            <w:tcW w:w="740" w:type="dxa"/>
            <w:shd w:val="clear" w:color="auto" w:fill="F4CEB2"/>
          </w:tcPr>
          <w:p w14:paraId="2AC0C545" w14:textId="77777777" w:rsidR="009948F1" w:rsidRDefault="00BC0563">
            <w:pPr>
              <w:pStyle w:val="TableParagraph"/>
              <w:spacing w:line="192" w:lineRule="exact"/>
              <w:ind w:left="111"/>
              <w:rPr>
                <w:b/>
                <w:sz w:val="18"/>
              </w:rPr>
            </w:pPr>
            <w:r>
              <w:rPr>
                <w:b/>
                <w:color w:val="231F20"/>
                <w:sz w:val="18"/>
              </w:rPr>
              <w:t>2021</w:t>
            </w:r>
          </w:p>
        </w:tc>
        <w:tc>
          <w:tcPr>
            <w:tcW w:w="767" w:type="dxa"/>
            <w:shd w:val="clear" w:color="auto" w:fill="F4CEB2"/>
          </w:tcPr>
          <w:p w14:paraId="405CBF6F" w14:textId="77777777" w:rsidR="009948F1" w:rsidRDefault="00BC0563">
            <w:pPr>
              <w:pStyle w:val="TableParagraph"/>
              <w:spacing w:line="192" w:lineRule="exact"/>
              <w:ind w:left="111"/>
              <w:rPr>
                <w:b/>
                <w:sz w:val="18"/>
              </w:rPr>
            </w:pPr>
            <w:r>
              <w:rPr>
                <w:b/>
                <w:color w:val="231F20"/>
                <w:sz w:val="18"/>
              </w:rPr>
              <w:t>2022</w:t>
            </w:r>
          </w:p>
        </w:tc>
        <w:tc>
          <w:tcPr>
            <w:tcW w:w="940" w:type="dxa"/>
            <w:shd w:val="clear" w:color="auto" w:fill="F4CEB2"/>
          </w:tcPr>
          <w:p w14:paraId="4128D739" w14:textId="77777777" w:rsidR="009948F1" w:rsidRDefault="00BC0563">
            <w:pPr>
              <w:pStyle w:val="TableParagraph"/>
              <w:spacing w:line="192" w:lineRule="exact"/>
              <w:ind w:left="111"/>
              <w:rPr>
                <w:b/>
                <w:sz w:val="18"/>
              </w:rPr>
            </w:pPr>
            <w:r>
              <w:rPr>
                <w:b/>
                <w:color w:val="231F20"/>
                <w:sz w:val="18"/>
              </w:rPr>
              <w:t>National</w:t>
            </w:r>
          </w:p>
        </w:tc>
      </w:tr>
      <w:tr w:rsidR="009948F1" w14:paraId="2DE8D66A" w14:textId="77777777">
        <w:trPr>
          <w:trHeight w:val="413"/>
        </w:trPr>
        <w:tc>
          <w:tcPr>
            <w:tcW w:w="3254" w:type="dxa"/>
            <w:tcBorders>
              <w:right w:val="single" w:sz="8" w:space="0" w:color="231F20"/>
            </w:tcBorders>
          </w:tcPr>
          <w:p w14:paraId="54DBEE70" w14:textId="77777777" w:rsidR="009948F1" w:rsidRDefault="00BC0563">
            <w:pPr>
              <w:pStyle w:val="TableParagraph"/>
              <w:spacing w:before="2" w:line="210" w:lineRule="exact"/>
              <w:ind w:left="109"/>
              <w:rPr>
                <w:sz w:val="18"/>
              </w:rPr>
            </w:pPr>
            <w:r>
              <w:rPr>
                <w:color w:val="231F20"/>
                <w:sz w:val="18"/>
              </w:rPr>
              <w:t>State with approved health financing policy and strategy</w:t>
            </w:r>
          </w:p>
        </w:tc>
        <w:tc>
          <w:tcPr>
            <w:tcW w:w="1179" w:type="dxa"/>
            <w:tcBorders>
              <w:left w:val="single" w:sz="8" w:space="0" w:color="231F20"/>
              <w:bottom w:val="single" w:sz="8" w:space="0" w:color="231F20"/>
              <w:right w:val="single" w:sz="8" w:space="0" w:color="231F20"/>
            </w:tcBorders>
          </w:tcPr>
          <w:p w14:paraId="145731EE" w14:textId="77777777" w:rsidR="009948F1" w:rsidRDefault="00BC0563">
            <w:pPr>
              <w:pStyle w:val="TableParagraph"/>
              <w:spacing w:before="1"/>
              <w:ind w:left="104"/>
              <w:rPr>
                <w:sz w:val="18"/>
              </w:rPr>
            </w:pPr>
            <w:r>
              <w:rPr>
                <w:color w:val="231F20"/>
                <w:w w:val="101"/>
                <w:sz w:val="18"/>
              </w:rPr>
              <w:t>0</w:t>
            </w:r>
          </w:p>
        </w:tc>
        <w:tc>
          <w:tcPr>
            <w:tcW w:w="738" w:type="dxa"/>
            <w:tcBorders>
              <w:left w:val="single" w:sz="8" w:space="0" w:color="231F20"/>
              <w:bottom w:val="single" w:sz="8" w:space="0" w:color="231F20"/>
              <w:right w:val="single" w:sz="8" w:space="0" w:color="231F20"/>
            </w:tcBorders>
          </w:tcPr>
          <w:p w14:paraId="702338DF" w14:textId="77777777" w:rsidR="009948F1" w:rsidRDefault="00BC0563">
            <w:pPr>
              <w:pStyle w:val="TableParagraph"/>
              <w:spacing w:before="1"/>
              <w:ind w:left="104"/>
              <w:rPr>
                <w:sz w:val="18"/>
              </w:rPr>
            </w:pPr>
            <w:r>
              <w:rPr>
                <w:color w:val="231F20"/>
                <w:sz w:val="18"/>
              </w:rPr>
              <w:t>5%</w:t>
            </w:r>
          </w:p>
        </w:tc>
        <w:tc>
          <w:tcPr>
            <w:tcW w:w="740" w:type="dxa"/>
            <w:tcBorders>
              <w:left w:val="single" w:sz="8" w:space="0" w:color="231F20"/>
            </w:tcBorders>
          </w:tcPr>
          <w:p w14:paraId="1249B2CF" w14:textId="77777777" w:rsidR="009948F1" w:rsidRDefault="00BC0563">
            <w:pPr>
              <w:pStyle w:val="TableParagraph"/>
              <w:spacing w:before="1"/>
              <w:ind w:left="105"/>
              <w:rPr>
                <w:sz w:val="18"/>
              </w:rPr>
            </w:pPr>
            <w:r>
              <w:rPr>
                <w:color w:val="231F20"/>
                <w:sz w:val="18"/>
              </w:rPr>
              <w:t>10%</w:t>
            </w:r>
          </w:p>
        </w:tc>
        <w:tc>
          <w:tcPr>
            <w:tcW w:w="740" w:type="dxa"/>
          </w:tcPr>
          <w:p w14:paraId="305D62FA" w14:textId="77777777" w:rsidR="009948F1" w:rsidRDefault="00BC0563">
            <w:pPr>
              <w:pStyle w:val="TableParagraph"/>
              <w:spacing w:before="1"/>
              <w:ind w:left="110"/>
              <w:rPr>
                <w:sz w:val="18"/>
              </w:rPr>
            </w:pPr>
            <w:r>
              <w:rPr>
                <w:color w:val="231F20"/>
                <w:sz w:val="18"/>
              </w:rPr>
              <w:t>20%</w:t>
            </w:r>
          </w:p>
        </w:tc>
        <w:tc>
          <w:tcPr>
            <w:tcW w:w="740" w:type="dxa"/>
          </w:tcPr>
          <w:p w14:paraId="09AAD801" w14:textId="77777777" w:rsidR="009948F1" w:rsidRDefault="00BC0563">
            <w:pPr>
              <w:pStyle w:val="TableParagraph"/>
              <w:spacing w:before="1"/>
              <w:ind w:left="111"/>
              <w:rPr>
                <w:sz w:val="18"/>
              </w:rPr>
            </w:pPr>
            <w:r>
              <w:rPr>
                <w:color w:val="231F20"/>
                <w:sz w:val="18"/>
              </w:rPr>
              <w:t>30%</w:t>
            </w:r>
          </w:p>
        </w:tc>
        <w:tc>
          <w:tcPr>
            <w:tcW w:w="767" w:type="dxa"/>
          </w:tcPr>
          <w:p w14:paraId="7A2D6744" w14:textId="77777777" w:rsidR="009948F1" w:rsidRDefault="00BC0563">
            <w:pPr>
              <w:pStyle w:val="TableParagraph"/>
              <w:spacing w:before="1"/>
              <w:ind w:left="111"/>
              <w:rPr>
                <w:sz w:val="18"/>
              </w:rPr>
            </w:pPr>
            <w:r>
              <w:rPr>
                <w:color w:val="231F20"/>
                <w:sz w:val="18"/>
              </w:rPr>
              <w:t>40%</w:t>
            </w:r>
          </w:p>
        </w:tc>
        <w:tc>
          <w:tcPr>
            <w:tcW w:w="940" w:type="dxa"/>
          </w:tcPr>
          <w:p w14:paraId="3ADF91CA" w14:textId="77777777" w:rsidR="009948F1" w:rsidRDefault="00BC0563">
            <w:pPr>
              <w:pStyle w:val="TableParagraph"/>
              <w:spacing w:before="1"/>
              <w:ind w:left="111"/>
              <w:rPr>
                <w:sz w:val="18"/>
              </w:rPr>
            </w:pPr>
            <w:r>
              <w:rPr>
                <w:color w:val="231F20"/>
                <w:sz w:val="18"/>
              </w:rPr>
              <w:t>70%</w:t>
            </w:r>
          </w:p>
        </w:tc>
      </w:tr>
      <w:tr w:rsidR="009948F1" w14:paraId="0103852B" w14:textId="77777777">
        <w:trPr>
          <w:trHeight w:val="412"/>
        </w:trPr>
        <w:tc>
          <w:tcPr>
            <w:tcW w:w="3254" w:type="dxa"/>
            <w:tcBorders>
              <w:right w:val="single" w:sz="8" w:space="0" w:color="231F20"/>
            </w:tcBorders>
          </w:tcPr>
          <w:p w14:paraId="587666CA" w14:textId="77777777" w:rsidR="009948F1" w:rsidRDefault="00BC0563">
            <w:pPr>
              <w:pStyle w:val="TableParagraph"/>
              <w:spacing w:before="1" w:line="210" w:lineRule="exact"/>
              <w:ind w:left="109"/>
              <w:rPr>
                <w:sz w:val="18"/>
              </w:rPr>
            </w:pPr>
            <w:r>
              <w:rPr>
                <w:color w:val="231F20"/>
                <w:sz w:val="18"/>
              </w:rPr>
              <w:t>SMOH with institutionalized routine SHA</w:t>
            </w:r>
          </w:p>
        </w:tc>
        <w:tc>
          <w:tcPr>
            <w:tcW w:w="1179" w:type="dxa"/>
            <w:tcBorders>
              <w:top w:val="single" w:sz="8" w:space="0" w:color="231F20"/>
              <w:left w:val="single" w:sz="8" w:space="0" w:color="231F20"/>
              <w:bottom w:val="single" w:sz="8" w:space="0" w:color="231F20"/>
              <w:right w:val="single" w:sz="8" w:space="0" w:color="231F20"/>
            </w:tcBorders>
          </w:tcPr>
          <w:p w14:paraId="51523BC2" w14:textId="77777777" w:rsidR="009948F1" w:rsidRDefault="00BC0563">
            <w:pPr>
              <w:pStyle w:val="TableParagraph"/>
              <w:ind w:left="104"/>
              <w:rPr>
                <w:sz w:val="18"/>
              </w:rPr>
            </w:pPr>
            <w:r>
              <w:rPr>
                <w:color w:val="231F20"/>
                <w:w w:val="101"/>
                <w:sz w:val="18"/>
              </w:rPr>
              <w:t>0</w:t>
            </w:r>
          </w:p>
        </w:tc>
        <w:tc>
          <w:tcPr>
            <w:tcW w:w="738" w:type="dxa"/>
            <w:tcBorders>
              <w:top w:val="single" w:sz="8" w:space="0" w:color="231F20"/>
              <w:left w:val="single" w:sz="8" w:space="0" w:color="231F20"/>
              <w:bottom w:val="single" w:sz="8" w:space="0" w:color="231F20"/>
              <w:right w:val="single" w:sz="8" w:space="0" w:color="231F20"/>
            </w:tcBorders>
          </w:tcPr>
          <w:p w14:paraId="5ACB5C4A" w14:textId="77777777" w:rsidR="009948F1" w:rsidRDefault="00BC0563">
            <w:pPr>
              <w:pStyle w:val="TableParagraph"/>
              <w:ind w:left="104"/>
              <w:rPr>
                <w:sz w:val="18"/>
              </w:rPr>
            </w:pPr>
            <w:r>
              <w:rPr>
                <w:color w:val="231F20"/>
                <w:sz w:val="18"/>
              </w:rPr>
              <w:t>5%</w:t>
            </w:r>
          </w:p>
        </w:tc>
        <w:tc>
          <w:tcPr>
            <w:tcW w:w="740" w:type="dxa"/>
            <w:tcBorders>
              <w:left w:val="single" w:sz="8" w:space="0" w:color="231F20"/>
            </w:tcBorders>
          </w:tcPr>
          <w:p w14:paraId="46A0626B" w14:textId="77777777" w:rsidR="009948F1" w:rsidRDefault="00BC0563">
            <w:pPr>
              <w:pStyle w:val="TableParagraph"/>
              <w:ind w:left="105"/>
              <w:rPr>
                <w:sz w:val="18"/>
              </w:rPr>
            </w:pPr>
            <w:r>
              <w:rPr>
                <w:color w:val="231F20"/>
                <w:sz w:val="18"/>
              </w:rPr>
              <w:t>10%</w:t>
            </w:r>
          </w:p>
        </w:tc>
        <w:tc>
          <w:tcPr>
            <w:tcW w:w="740" w:type="dxa"/>
          </w:tcPr>
          <w:p w14:paraId="11EC6D0E" w14:textId="77777777" w:rsidR="009948F1" w:rsidRDefault="00BC0563">
            <w:pPr>
              <w:pStyle w:val="TableParagraph"/>
              <w:ind w:left="110"/>
              <w:rPr>
                <w:sz w:val="18"/>
              </w:rPr>
            </w:pPr>
            <w:r>
              <w:rPr>
                <w:color w:val="231F20"/>
                <w:sz w:val="18"/>
              </w:rPr>
              <w:t>20%</w:t>
            </w:r>
          </w:p>
        </w:tc>
        <w:tc>
          <w:tcPr>
            <w:tcW w:w="740" w:type="dxa"/>
          </w:tcPr>
          <w:p w14:paraId="36205ED2" w14:textId="77777777" w:rsidR="009948F1" w:rsidRDefault="00BC0563">
            <w:pPr>
              <w:pStyle w:val="TableParagraph"/>
              <w:ind w:left="111"/>
              <w:rPr>
                <w:sz w:val="18"/>
              </w:rPr>
            </w:pPr>
            <w:r>
              <w:rPr>
                <w:color w:val="231F20"/>
                <w:sz w:val="18"/>
              </w:rPr>
              <w:t>25%</w:t>
            </w:r>
          </w:p>
        </w:tc>
        <w:tc>
          <w:tcPr>
            <w:tcW w:w="767" w:type="dxa"/>
          </w:tcPr>
          <w:p w14:paraId="12E262A0" w14:textId="77777777" w:rsidR="009948F1" w:rsidRDefault="00BC0563">
            <w:pPr>
              <w:pStyle w:val="TableParagraph"/>
              <w:ind w:left="111"/>
              <w:rPr>
                <w:sz w:val="18"/>
              </w:rPr>
            </w:pPr>
            <w:r>
              <w:rPr>
                <w:color w:val="231F20"/>
                <w:sz w:val="18"/>
              </w:rPr>
              <w:t>30%</w:t>
            </w:r>
          </w:p>
        </w:tc>
        <w:tc>
          <w:tcPr>
            <w:tcW w:w="940" w:type="dxa"/>
          </w:tcPr>
          <w:p w14:paraId="11EE60C8" w14:textId="77777777" w:rsidR="009948F1" w:rsidRDefault="00BC0563">
            <w:pPr>
              <w:pStyle w:val="TableParagraph"/>
              <w:ind w:left="111"/>
              <w:rPr>
                <w:sz w:val="18"/>
              </w:rPr>
            </w:pPr>
            <w:r>
              <w:rPr>
                <w:color w:val="231F20"/>
                <w:sz w:val="18"/>
              </w:rPr>
              <w:t>70%</w:t>
            </w:r>
          </w:p>
        </w:tc>
      </w:tr>
    </w:tbl>
    <w:p w14:paraId="7F18720C" w14:textId="77777777" w:rsidR="009948F1" w:rsidRDefault="00BC0563">
      <w:pPr>
        <w:pStyle w:val="Heading8"/>
        <w:spacing w:before="122"/>
      </w:pPr>
      <w:r>
        <w:rPr>
          <w:color w:val="231F20"/>
        </w:rPr>
        <w:t>Interventions</w:t>
      </w:r>
    </w:p>
    <w:p w14:paraId="67DC35BD" w14:textId="77777777" w:rsidR="009948F1" w:rsidRDefault="00BC0563">
      <w:pPr>
        <w:pStyle w:val="ListParagraph"/>
        <w:numPr>
          <w:ilvl w:val="3"/>
          <w:numId w:val="261"/>
        </w:numPr>
        <w:tabs>
          <w:tab w:val="left" w:pos="1061"/>
        </w:tabs>
        <w:spacing w:before="23" w:line="261" w:lineRule="auto"/>
        <w:ind w:right="193" w:firstLine="0"/>
      </w:pPr>
      <w:r>
        <w:rPr>
          <w:color w:val="231F20"/>
        </w:rPr>
        <w:t xml:space="preserve">Strengthen Health Financing Equity and Investment Units in the State. Key actions include; - Inaugurate &amp; train </w:t>
      </w:r>
      <w:r>
        <w:rPr>
          <w:color w:val="231F20"/>
          <w:spacing w:val="-3"/>
        </w:rPr>
        <w:t xml:space="preserve">Technical </w:t>
      </w:r>
      <w:r>
        <w:rPr>
          <w:color w:val="231F20"/>
        </w:rPr>
        <w:t xml:space="preserve">Working Group (TWG) members on the Health </w:t>
      </w:r>
      <w:r>
        <w:rPr>
          <w:color w:val="231F20"/>
          <w:spacing w:val="-4"/>
        </w:rPr>
        <w:t xml:space="preserve">Care </w:t>
      </w:r>
      <w:r>
        <w:rPr>
          <w:color w:val="231F20"/>
        </w:rPr>
        <w:t>Financing Reforms; Conduct advocacy to the Commissioner &amp; Permanent Secretary MOH on State</w:t>
      </w:r>
      <w:r>
        <w:rPr>
          <w:color w:val="231F20"/>
          <w:spacing w:val="-19"/>
        </w:rPr>
        <w:t xml:space="preserve"> </w:t>
      </w:r>
      <w:r>
        <w:rPr>
          <w:color w:val="231F20"/>
        </w:rPr>
        <w:t>Health</w:t>
      </w:r>
      <w:r>
        <w:rPr>
          <w:color w:val="231F20"/>
          <w:spacing w:val="-18"/>
        </w:rPr>
        <w:t xml:space="preserve"> </w:t>
      </w:r>
      <w:r>
        <w:rPr>
          <w:color w:val="231F20"/>
        </w:rPr>
        <w:t>Insurance</w:t>
      </w:r>
      <w:r>
        <w:rPr>
          <w:color w:val="231F20"/>
          <w:spacing w:val="-18"/>
        </w:rPr>
        <w:t xml:space="preserve"> </w:t>
      </w:r>
      <w:r>
        <w:rPr>
          <w:color w:val="231F20"/>
        </w:rPr>
        <w:t>and</w:t>
      </w:r>
      <w:r>
        <w:rPr>
          <w:color w:val="231F20"/>
          <w:spacing w:val="-18"/>
        </w:rPr>
        <w:t xml:space="preserve"> </w:t>
      </w:r>
      <w:r>
        <w:rPr>
          <w:color w:val="231F20"/>
        </w:rPr>
        <w:t>the</w:t>
      </w:r>
      <w:r>
        <w:rPr>
          <w:color w:val="231F20"/>
          <w:spacing w:val="-18"/>
        </w:rPr>
        <w:t xml:space="preserve"> </w:t>
      </w:r>
      <w:r>
        <w:rPr>
          <w:color w:val="231F20"/>
        </w:rPr>
        <w:t>need</w:t>
      </w:r>
      <w:r>
        <w:rPr>
          <w:color w:val="231F20"/>
          <w:spacing w:val="-18"/>
        </w:rPr>
        <w:t xml:space="preserve"> </w:t>
      </w:r>
      <w:r>
        <w:rPr>
          <w:color w:val="231F20"/>
        </w:rPr>
        <w:t>for</w:t>
      </w:r>
      <w:r>
        <w:rPr>
          <w:color w:val="231F20"/>
          <w:spacing w:val="-18"/>
        </w:rPr>
        <w:t xml:space="preserve"> </w:t>
      </w:r>
      <w:r>
        <w:rPr>
          <w:color w:val="231F20"/>
        </w:rPr>
        <w:t>creating</w:t>
      </w:r>
      <w:r>
        <w:rPr>
          <w:color w:val="231F20"/>
          <w:spacing w:val="-18"/>
        </w:rPr>
        <w:t xml:space="preserve"> </w:t>
      </w:r>
      <w:r>
        <w:rPr>
          <w:color w:val="231F20"/>
        </w:rPr>
        <w:t>Health</w:t>
      </w:r>
      <w:r>
        <w:rPr>
          <w:color w:val="231F20"/>
          <w:spacing w:val="-18"/>
        </w:rPr>
        <w:t xml:space="preserve"> </w:t>
      </w:r>
      <w:r>
        <w:rPr>
          <w:color w:val="231F20"/>
        </w:rPr>
        <w:t>Financing</w:t>
      </w:r>
      <w:r>
        <w:rPr>
          <w:color w:val="231F20"/>
          <w:spacing w:val="-18"/>
        </w:rPr>
        <w:t xml:space="preserve"> </w:t>
      </w:r>
      <w:r>
        <w:rPr>
          <w:color w:val="231F20"/>
        </w:rPr>
        <w:t>Equity</w:t>
      </w:r>
      <w:r>
        <w:rPr>
          <w:color w:val="231F20"/>
          <w:spacing w:val="-18"/>
        </w:rPr>
        <w:t xml:space="preserve"> </w:t>
      </w:r>
      <w:r>
        <w:rPr>
          <w:color w:val="231F20"/>
        </w:rPr>
        <w:t>&amp;</w:t>
      </w:r>
      <w:r>
        <w:rPr>
          <w:color w:val="231F20"/>
          <w:spacing w:val="-18"/>
        </w:rPr>
        <w:t xml:space="preserve"> </w:t>
      </w:r>
      <w:r>
        <w:rPr>
          <w:color w:val="231F20"/>
        </w:rPr>
        <w:t>Investment</w:t>
      </w:r>
      <w:r>
        <w:rPr>
          <w:color w:val="231F20"/>
          <w:spacing w:val="-18"/>
        </w:rPr>
        <w:t xml:space="preserve"> </w:t>
      </w:r>
      <w:r>
        <w:rPr>
          <w:color w:val="231F20"/>
        </w:rPr>
        <w:t>Unit</w:t>
      </w:r>
      <w:r>
        <w:rPr>
          <w:color w:val="231F20"/>
          <w:spacing w:val="-19"/>
        </w:rPr>
        <w:t xml:space="preserve"> </w:t>
      </w:r>
      <w:r>
        <w:rPr>
          <w:color w:val="231F20"/>
        </w:rPr>
        <w:t>(HFU) as</w:t>
      </w:r>
      <w:r>
        <w:rPr>
          <w:color w:val="231F20"/>
          <w:spacing w:val="-11"/>
        </w:rPr>
        <w:t xml:space="preserve"> </w:t>
      </w:r>
      <w:r>
        <w:rPr>
          <w:color w:val="231F20"/>
        </w:rPr>
        <w:t>recommended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FMOH;</w:t>
      </w:r>
      <w:r>
        <w:rPr>
          <w:color w:val="231F20"/>
          <w:spacing w:val="-10"/>
        </w:rPr>
        <w:t xml:space="preserve"> </w:t>
      </w:r>
      <w:r>
        <w:rPr>
          <w:color w:val="231F20"/>
        </w:rPr>
        <w:t>Cost</w:t>
      </w:r>
      <w:r>
        <w:rPr>
          <w:color w:val="231F20"/>
          <w:spacing w:val="-10"/>
        </w:rPr>
        <w:t xml:space="preserve"> </w:t>
      </w:r>
      <w:r>
        <w:rPr>
          <w:color w:val="231F20"/>
        </w:rPr>
        <w:t>for</w:t>
      </w:r>
      <w:r>
        <w:rPr>
          <w:color w:val="231F20"/>
          <w:spacing w:val="-10"/>
        </w:rPr>
        <w:t xml:space="preserve"> </w:t>
      </w:r>
      <w:r>
        <w:rPr>
          <w:color w:val="231F20"/>
        </w:rPr>
        <w:t>engaging</w:t>
      </w:r>
      <w:r>
        <w:rPr>
          <w:color w:val="231F20"/>
          <w:spacing w:val="-10"/>
        </w:rPr>
        <w:t xml:space="preserve"> </w:t>
      </w:r>
      <w:r>
        <w:rPr>
          <w:color w:val="231F20"/>
        </w:rPr>
        <w:t>and</w:t>
      </w:r>
      <w:r>
        <w:rPr>
          <w:color w:val="231F20"/>
          <w:spacing w:val="-10"/>
        </w:rPr>
        <w:t xml:space="preserve"> </w:t>
      </w:r>
      <w:r>
        <w:rPr>
          <w:color w:val="231F20"/>
        </w:rPr>
        <w:t>supervising</w:t>
      </w:r>
      <w:r>
        <w:rPr>
          <w:color w:val="231F20"/>
          <w:spacing w:val="-10"/>
        </w:rPr>
        <w:t xml:space="preserve"> </w:t>
      </w:r>
      <w:r>
        <w:rPr>
          <w:color w:val="231F20"/>
        </w:rPr>
        <w:t>the</w:t>
      </w:r>
      <w:r>
        <w:rPr>
          <w:color w:val="231F20"/>
          <w:spacing w:val="-10"/>
        </w:rPr>
        <w:t xml:space="preserve"> </w:t>
      </w:r>
      <w:r>
        <w:rPr>
          <w:color w:val="231F20"/>
        </w:rPr>
        <w:t>contractor</w:t>
      </w:r>
      <w:r>
        <w:rPr>
          <w:color w:val="231F20"/>
          <w:spacing w:val="-11"/>
        </w:rPr>
        <w:t xml:space="preserve"> </w:t>
      </w:r>
      <w:r>
        <w:rPr>
          <w:color w:val="231F20"/>
        </w:rPr>
        <w:t>to</w:t>
      </w:r>
      <w:r>
        <w:rPr>
          <w:color w:val="231F20"/>
          <w:spacing w:val="-10"/>
        </w:rPr>
        <w:t xml:space="preserve"> </w:t>
      </w:r>
      <w:r>
        <w:rPr>
          <w:color w:val="231F20"/>
        </w:rPr>
        <w:t>equip</w:t>
      </w:r>
      <w:r>
        <w:rPr>
          <w:color w:val="231F20"/>
          <w:spacing w:val="-10"/>
        </w:rPr>
        <w:t xml:space="preserve"> </w:t>
      </w:r>
      <w:r>
        <w:rPr>
          <w:color w:val="231F20"/>
        </w:rPr>
        <w:t xml:space="preserve">Health Financing Equity &amp; Investment Unit to </w:t>
      </w:r>
      <w:proofErr w:type="spellStart"/>
      <w:r>
        <w:rPr>
          <w:color w:val="231F20"/>
        </w:rPr>
        <w:t>analyse</w:t>
      </w:r>
      <w:proofErr w:type="spellEnd"/>
      <w:r>
        <w:rPr>
          <w:color w:val="231F20"/>
        </w:rPr>
        <w:t xml:space="preserve"> equity and efficiency of different healthcare financing mechanisms; Train &amp; re-train of personnel on current Health Care Financing </w:t>
      </w:r>
      <w:r>
        <w:rPr>
          <w:color w:val="231F20"/>
          <w:spacing w:val="-3"/>
        </w:rPr>
        <w:t xml:space="preserve">(HCF) </w:t>
      </w:r>
      <w:r>
        <w:rPr>
          <w:color w:val="231F20"/>
        </w:rPr>
        <w:t xml:space="preserve">reforms; Operational cost for engaging and supervising the contractor to provide vehicles for </w:t>
      </w:r>
      <w:r>
        <w:rPr>
          <w:color w:val="231F20"/>
          <w:spacing w:val="-5"/>
        </w:rPr>
        <w:t xml:space="preserve">the </w:t>
      </w:r>
      <w:r>
        <w:rPr>
          <w:color w:val="231F20"/>
        </w:rPr>
        <w:t>operations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unit.</w:t>
      </w:r>
    </w:p>
    <w:p w14:paraId="060670F3" w14:textId="77777777" w:rsidR="009948F1" w:rsidRDefault="009948F1">
      <w:pPr>
        <w:spacing w:line="261" w:lineRule="auto"/>
        <w:jc w:val="both"/>
        <w:sectPr w:rsidR="009948F1">
          <w:pgSz w:w="11910" w:h="16840"/>
          <w:pgMar w:top="1260" w:right="1080" w:bottom="1420" w:left="1120" w:header="0" w:footer="1235" w:gutter="0"/>
          <w:cols w:space="720"/>
        </w:sectPr>
      </w:pPr>
    </w:p>
    <w:p w14:paraId="4027D339" w14:textId="77777777" w:rsidR="009948F1" w:rsidRDefault="00BC0563">
      <w:pPr>
        <w:pStyle w:val="ListParagraph"/>
        <w:numPr>
          <w:ilvl w:val="3"/>
          <w:numId w:val="261"/>
        </w:numPr>
        <w:tabs>
          <w:tab w:val="left" w:pos="995"/>
        </w:tabs>
        <w:spacing w:before="54" w:line="264" w:lineRule="auto"/>
        <w:ind w:left="126" w:right="218" w:firstLine="0"/>
      </w:pPr>
      <w:bookmarkStart w:id="107" w:name="Page_93"/>
      <w:bookmarkEnd w:id="107"/>
      <w:r>
        <w:rPr>
          <w:color w:val="231F20"/>
        </w:rPr>
        <w:lastRenderedPageBreak/>
        <w:t>Strengthen Coordination Frameworks and TWGs for health financing in the State. Key actions</w:t>
      </w:r>
      <w:r>
        <w:rPr>
          <w:color w:val="231F20"/>
          <w:spacing w:val="-6"/>
        </w:rPr>
        <w:t xml:space="preserve"> </w:t>
      </w:r>
      <w:r>
        <w:rPr>
          <w:color w:val="231F20"/>
        </w:rPr>
        <w:t>include;</w:t>
      </w:r>
      <w:r>
        <w:rPr>
          <w:color w:val="231F20"/>
          <w:spacing w:val="-5"/>
        </w:rPr>
        <w:t xml:space="preserve"> </w:t>
      </w:r>
      <w:r>
        <w:rPr>
          <w:color w:val="231F20"/>
        </w:rPr>
        <w:t>-</w:t>
      </w:r>
      <w:r>
        <w:rPr>
          <w:color w:val="231F20"/>
          <w:spacing w:val="-6"/>
        </w:rPr>
        <w:t xml:space="preserve"> </w:t>
      </w:r>
      <w:r>
        <w:rPr>
          <w:color w:val="231F20"/>
        </w:rPr>
        <w:t>Empower</w:t>
      </w:r>
      <w:r>
        <w:rPr>
          <w:color w:val="231F20"/>
          <w:spacing w:val="-9"/>
        </w:rPr>
        <w:t xml:space="preserve"> </w:t>
      </w:r>
      <w:r>
        <w:rPr>
          <w:color w:val="231F20"/>
          <w:spacing w:val="-3"/>
        </w:rPr>
        <w:t>Technical</w:t>
      </w:r>
      <w:r>
        <w:rPr>
          <w:color w:val="231F20"/>
          <w:spacing w:val="-6"/>
        </w:rPr>
        <w:t xml:space="preserve"> </w:t>
      </w:r>
      <w:r>
        <w:rPr>
          <w:color w:val="231F20"/>
        </w:rPr>
        <w:t>Working</w:t>
      </w:r>
      <w:r>
        <w:rPr>
          <w:color w:val="231F20"/>
          <w:spacing w:val="-5"/>
        </w:rPr>
        <w:t xml:space="preserve"> </w:t>
      </w:r>
      <w:r>
        <w:rPr>
          <w:color w:val="231F20"/>
        </w:rPr>
        <w:t>Group</w:t>
      </w:r>
      <w:r>
        <w:rPr>
          <w:color w:val="231F20"/>
          <w:spacing w:val="-5"/>
        </w:rPr>
        <w:t xml:space="preserve"> </w:t>
      </w:r>
      <w:r>
        <w:rPr>
          <w:color w:val="231F20"/>
        </w:rPr>
        <w:t>(TWG)</w:t>
      </w:r>
      <w:r>
        <w:rPr>
          <w:color w:val="231F20"/>
          <w:spacing w:val="-6"/>
        </w:rPr>
        <w:t xml:space="preserve"> </w:t>
      </w:r>
      <w:r>
        <w:rPr>
          <w:color w:val="231F20"/>
        </w:rPr>
        <w:t>to</w:t>
      </w:r>
      <w:r>
        <w:rPr>
          <w:color w:val="231F20"/>
          <w:spacing w:val="-7"/>
        </w:rPr>
        <w:t xml:space="preserve"> </w:t>
      </w:r>
      <w:r>
        <w:rPr>
          <w:color w:val="231F20"/>
        </w:rPr>
        <w:t>hold</w:t>
      </w:r>
      <w:r>
        <w:rPr>
          <w:color w:val="231F20"/>
          <w:spacing w:val="-5"/>
        </w:rPr>
        <w:t xml:space="preserve"> </w:t>
      </w:r>
      <w:r>
        <w:rPr>
          <w:color w:val="231F20"/>
        </w:rPr>
        <w:t>periodic</w:t>
      </w:r>
      <w:r>
        <w:rPr>
          <w:color w:val="231F20"/>
          <w:spacing w:val="-5"/>
        </w:rPr>
        <w:t xml:space="preserve"> </w:t>
      </w:r>
      <w:r>
        <w:rPr>
          <w:color w:val="231F20"/>
        </w:rPr>
        <w:t>meetings;</w:t>
      </w:r>
      <w:r>
        <w:rPr>
          <w:color w:val="231F20"/>
          <w:spacing w:val="-18"/>
        </w:rPr>
        <w:t xml:space="preserve"> </w:t>
      </w:r>
      <w:r>
        <w:rPr>
          <w:color w:val="231F20"/>
        </w:rPr>
        <w:t>Advocate for the implementation of Health Financing Equity framework/guidelines at all levels and MDAs; Support</w:t>
      </w:r>
      <w:r>
        <w:rPr>
          <w:color w:val="231F20"/>
          <w:spacing w:val="-19"/>
        </w:rPr>
        <w:t xml:space="preserve"> </w:t>
      </w:r>
      <w:r>
        <w:rPr>
          <w:color w:val="231F20"/>
        </w:rPr>
        <w:t>the</w:t>
      </w:r>
      <w:r>
        <w:rPr>
          <w:color w:val="231F20"/>
          <w:spacing w:val="-19"/>
        </w:rPr>
        <w:t xml:space="preserve"> </w:t>
      </w:r>
      <w:r>
        <w:rPr>
          <w:color w:val="231F20"/>
        </w:rPr>
        <w:t>design</w:t>
      </w:r>
      <w:r>
        <w:rPr>
          <w:color w:val="231F20"/>
          <w:spacing w:val="-20"/>
        </w:rPr>
        <w:t xml:space="preserve"> </w:t>
      </w:r>
      <w:r>
        <w:rPr>
          <w:color w:val="231F20"/>
        </w:rPr>
        <w:t>and</w:t>
      </w:r>
      <w:r>
        <w:rPr>
          <w:color w:val="231F20"/>
          <w:spacing w:val="-19"/>
        </w:rPr>
        <w:t xml:space="preserve"> </w:t>
      </w:r>
      <w:r>
        <w:rPr>
          <w:color w:val="231F20"/>
        </w:rPr>
        <w:t>development</w:t>
      </w:r>
      <w:r>
        <w:rPr>
          <w:color w:val="231F20"/>
          <w:spacing w:val="-19"/>
        </w:rPr>
        <w:t xml:space="preserve"> </w:t>
      </w:r>
      <w:r>
        <w:rPr>
          <w:color w:val="231F20"/>
        </w:rPr>
        <w:t>of</w:t>
      </w:r>
      <w:r>
        <w:rPr>
          <w:color w:val="231F20"/>
          <w:spacing w:val="-19"/>
        </w:rPr>
        <w:t xml:space="preserve"> </w:t>
      </w:r>
      <w:r>
        <w:rPr>
          <w:color w:val="231F20"/>
        </w:rPr>
        <w:t>HCF</w:t>
      </w:r>
      <w:r>
        <w:rPr>
          <w:color w:val="231F20"/>
          <w:spacing w:val="-19"/>
        </w:rPr>
        <w:t xml:space="preserve"> </w:t>
      </w:r>
      <w:r>
        <w:rPr>
          <w:color w:val="231F20"/>
        </w:rPr>
        <w:t>implementation</w:t>
      </w:r>
      <w:r>
        <w:rPr>
          <w:color w:val="231F20"/>
          <w:spacing w:val="-19"/>
        </w:rPr>
        <w:t xml:space="preserve"> </w:t>
      </w:r>
      <w:r>
        <w:rPr>
          <w:color w:val="231F20"/>
        </w:rPr>
        <w:t>strategies;</w:t>
      </w:r>
      <w:r>
        <w:rPr>
          <w:color w:val="231F20"/>
          <w:spacing w:val="-19"/>
        </w:rPr>
        <w:t xml:space="preserve"> </w:t>
      </w:r>
      <w:r>
        <w:rPr>
          <w:color w:val="231F20"/>
        </w:rPr>
        <w:t>Conduct</w:t>
      </w:r>
      <w:r>
        <w:rPr>
          <w:color w:val="231F20"/>
          <w:spacing w:val="-19"/>
        </w:rPr>
        <w:t xml:space="preserve"> </w:t>
      </w:r>
      <w:r>
        <w:rPr>
          <w:color w:val="231F20"/>
        </w:rPr>
        <w:t>capacity</w:t>
      </w:r>
      <w:r>
        <w:rPr>
          <w:color w:val="231F20"/>
          <w:spacing w:val="-19"/>
        </w:rPr>
        <w:t xml:space="preserve"> </w:t>
      </w:r>
      <w:r>
        <w:rPr>
          <w:color w:val="231F20"/>
        </w:rPr>
        <w:t>building workshops</w:t>
      </w:r>
      <w:r>
        <w:rPr>
          <w:color w:val="231F20"/>
          <w:spacing w:val="-25"/>
        </w:rPr>
        <w:t xml:space="preserve"> </w:t>
      </w:r>
      <w:r>
        <w:rPr>
          <w:color w:val="231F20"/>
        </w:rPr>
        <w:t>for</w:t>
      </w:r>
      <w:r>
        <w:rPr>
          <w:color w:val="231F20"/>
          <w:spacing w:val="-29"/>
        </w:rPr>
        <w:t xml:space="preserve"> </w:t>
      </w:r>
      <w:r>
        <w:rPr>
          <w:color w:val="231F20"/>
        </w:rPr>
        <w:t>TWG</w:t>
      </w:r>
      <w:r>
        <w:rPr>
          <w:color w:val="231F20"/>
          <w:spacing w:val="-25"/>
        </w:rPr>
        <w:t xml:space="preserve"> </w:t>
      </w:r>
      <w:r>
        <w:rPr>
          <w:color w:val="231F20"/>
        </w:rPr>
        <w:t>members.</w:t>
      </w:r>
    </w:p>
    <w:p w14:paraId="52DF0D58" w14:textId="77777777" w:rsidR="009948F1" w:rsidRDefault="009948F1">
      <w:pPr>
        <w:pStyle w:val="BodyText"/>
        <w:spacing w:before="10"/>
        <w:rPr>
          <w:sz w:val="27"/>
        </w:rPr>
      </w:pPr>
    </w:p>
    <w:p w14:paraId="520FC86D" w14:textId="3276A7C2" w:rsidR="009948F1" w:rsidRDefault="00BC0563">
      <w:pPr>
        <w:pStyle w:val="ListParagraph"/>
        <w:numPr>
          <w:ilvl w:val="3"/>
          <w:numId w:val="261"/>
        </w:numPr>
        <w:tabs>
          <w:tab w:val="left" w:pos="963"/>
        </w:tabs>
        <w:spacing w:before="1" w:line="285" w:lineRule="auto"/>
        <w:ind w:left="126" w:right="218" w:firstLine="0"/>
      </w:pPr>
      <w:r>
        <w:rPr>
          <w:color w:val="231F20"/>
        </w:rPr>
        <w:t>Develop</w:t>
      </w:r>
      <w:r>
        <w:rPr>
          <w:color w:val="231F20"/>
          <w:spacing w:val="-22"/>
        </w:rPr>
        <w:t xml:space="preserve"> </w:t>
      </w:r>
      <w:r>
        <w:rPr>
          <w:color w:val="231F20"/>
        </w:rPr>
        <w:t>Health</w:t>
      </w:r>
      <w:r>
        <w:rPr>
          <w:color w:val="231F20"/>
          <w:spacing w:val="-21"/>
        </w:rPr>
        <w:t xml:space="preserve"> </w:t>
      </w:r>
      <w:r>
        <w:rPr>
          <w:color w:val="231F20"/>
        </w:rPr>
        <w:t>Financing</w:t>
      </w:r>
      <w:r>
        <w:rPr>
          <w:color w:val="231F20"/>
          <w:spacing w:val="-21"/>
        </w:rPr>
        <w:t xml:space="preserve"> </w:t>
      </w:r>
      <w:r>
        <w:rPr>
          <w:color w:val="231F20"/>
        </w:rPr>
        <w:t>Policy</w:t>
      </w:r>
      <w:r>
        <w:rPr>
          <w:color w:val="231F20"/>
          <w:spacing w:val="-21"/>
        </w:rPr>
        <w:t xml:space="preserve"> </w:t>
      </w:r>
      <w:r>
        <w:rPr>
          <w:color w:val="231F20"/>
        </w:rPr>
        <w:t>&amp;</w:t>
      </w:r>
      <w:r>
        <w:rPr>
          <w:color w:val="231F20"/>
          <w:spacing w:val="-21"/>
        </w:rPr>
        <w:t xml:space="preserve"> </w:t>
      </w:r>
      <w:r>
        <w:rPr>
          <w:color w:val="231F20"/>
        </w:rPr>
        <w:t>Strategy</w:t>
      </w:r>
      <w:r>
        <w:rPr>
          <w:color w:val="231F20"/>
          <w:spacing w:val="-21"/>
        </w:rPr>
        <w:t xml:space="preserve"> </w:t>
      </w:r>
      <w:r>
        <w:rPr>
          <w:color w:val="231F20"/>
        </w:rPr>
        <w:t>and</w:t>
      </w:r>
      <w:r>
        <w:rPr>
          <w:color w:val="231F20"/>
          <w:spacing w:val="-21"/>
        </w:rPr>
        <w:t xml:space="preserve"> </w:t>
      </w:r>
      <w:r>
        <w:rPr>
          <w:color w:val="231F20"/>
        </w:rPr>
        <w:t>Investment</w:t>
      </w:r>
      <w:r>
        <w:rPr>
          <w:color w:val="231F20"/>
          <w:spacing w:val="-21"/>
        </w:rPr>
        <w:t xml:space="preserve"> </w:t>
      </w:r>
      <w:r>
        <w:rPr>
          <w:color w:val="231F20"/>
        </w:rPr>
        <w:t>case</w:t>
      </w:r>
      <w:r>
        <w:rPr>
          <w:color w:val="231F20"/>
          <w:spacing w:val="-21"/>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rPr>
        <w:t>State.</w:t>
      </w:r>
      <w:r>
        <w:rPr>
          <w:color w:val="231F20"/>
          <w:spacing w:val="-21"/>
        </w:rPr>
        <w:t xml:space="preserve"> </w:t>
      </w:r>
      <w:r>
        <w:rPr>
          <w:color w:val="231F20"/>
        </w:rPr>
        <w:t>Key</w:t>
      </w:r>
      <w:r>
        <w:rPr>
          <w:color w:val="231F20"/>
          <w:spacing w:val="-21"/>
        </w:rPr>
        <w:t xml:space="preserve"> </w:t>
      </w:r>
      <w:r>
        <w:rPr>
          <w:color w:val="231F20"/>
        </w:rPr>
        <w:t xml:space="preserve">actions include; -Adopt Health Financing (HF) Policy document in the state; </w:t>
      </w:r>
      <w:proofErr w:type="spellStart"/>
      <w:r>
        <w:rPr>
          <w:color w:val="231F20"/>
        </w:rPr>
        <w:t>Organise</w:t>
      </w:r>
      <w:proofErr w:type="spellEnd"/>
      <w:r>
        <w:rPr>
          <w:color w:val="231F20"/>
        </w:rPr>
        <w:t xml:space="preserve"> workshops </w:t>
      </w:r>
      <w:r>
        <w:rPr>
          <w:color w:val="231F20"/>
          <w:spacing w:val="-7"/>
        </w:rPr>
        <w:t xml:space="preserve">to </w:t>
      </w:r>
      <w:r>
        <w:rPr>
          <w:color w:val="231F20"/>
        </w:rPr>
        <w:t>develop</w:t>
      </w:r>
      <w:r>
        <w:rPr>
          <w:color w:val="231F20"/>
          <w:spacing w:val="-25"/>
        </w:rPr>
        <w:t xml:space="preserve"> </w:t>
      </w:r>
      <w:r>
        <w:rPr>
          <w:color w:val="231F20"/>
        </w:rPr>
        <w:t>Health</w:t>
      </w:r>
      <w:r>
        <w:rPr>
          <w:color w:val="231F20"/>
          <w:spacing w:val="-24"/>
        </w:rPr>
        <w:t xml:space="preserve"> </w:t>
      </w:r>
      <w:r>
        <w:rPr>
          <w:color w:val="231F20"/>
        </w:rPr>
        <w:t>Financing</w:t>
      </w:r>
      <w:r>
        <w:rPr>
          <w:color w:val="231F20"/>
          <w:spacing w:val="-24"/>
        </w:rPr>
        <w:t xml:space="preserve"> </w:t>
      </w:r>
      <w:r>
        <w:rPr>
          <w:color w:val="231F20"/>
        </w:rPr>
        <w:t>&amp;</w:t>
      </w:r>
      <w:r>
        <w:rPr>
          <w:color w:val="231F20"/>
          <w:spacing w:val="-24"/>
        </w:rPr>
        <w:t xml:space="preserve"> </w:t>
      </w:r>
      <w:r>
        <w:rPr>
          <w:color w:val="231F20"/>
        </w:rPr>
        <w:t>Strategy</w:t>
      </w:r>
      <w:r>
        <w:rPr>
          <w:color w:val="231F20"/>
          <w:spacing w:val="-24"/>
        </w:rPr>
        <w:t xml:space="preserve"> </w:t>
      </w:r>
      <w:r>
        <w:rPr>
          <w:color w:val="231F20"/>
        </w:rPr>
        <w:t>and</w:t>
      </w:r>
      <w:r>
        <w:rPr>
          <w:color w:val="231F20"/>
          <w:spacing w:val="-24"/>
        </w:rPr>
        <w:t xml:space="preserve"> </w:t>
      </w:r>
      <w:r>
        <w:rPr>
          <w:color w:val="231F20"/>
        </w:rPr>
        <w:t>Investment</w:t>
      </w:r>
      <w:r>
        <w:rPr>
          <w:color w:val="231F20"/>
          <w:spacing w:val="-24"/>
        </w:rPr>
        <w:t xml:space="preserve"> </w:t>
      </w:r>
      <w:r>
        <w:rPr>
          <w:color w:val="231F20"/>
        </w:rPr>
        <w:t>case;</w:t>
      </w:r>
      <w:r>
        <w:rPr>
          <w:color w:val="231F20"/>
          <w:spacing w:val="-24"/>
        </w:rPr>
        <w:t xml:space="preserve"> </w:t>
      </w:r>
      <w:r>
        <w:rPr>
          <w:color w:val="231F20"/>
        </w:rPr>
        <w:t>Print</w:t>
      </w:r>
      <w:r>
        <w:rPr>
          <w:color w:val="231F20"/>
          <w:spacing w:val="-24"/>
        </w:rPr>
        <w:t xml:space="preserve"> </w:t>
      </w:r>
      <w:r>
        <w:rPr>
          <w:color w:val="231F20"/>
        </w:rPr>
        <w:t>&amp;</w:t>
      </w:r>
      <w:r>
        <w:rPr>
          <w:color w:val="231F20"/>
          <w:spacing w:val="-24"/>
        </w:rPr>
        <w:t xml:space="preserve"> </w:t>
      </w:r>
      <w:r>
        <w:rPr>
          <w:color w:val="231F20"/>
        </w:rPr>
        <w:t>disseminate</w:t>
      </w:r>
      <w:r>
        <w:rPr>
          <w:color w:val="231F20"/>
          <w:spacing w:val="-24"/>
        </w:rPr>
        <w:t xml:space="preserve"> </w:t>
      </w:r>
      <w:r>
        <w:rPr>
          <w:color w:val="231F20"/>
        </w:rPr>
        <w:t>copies</w:t>
      </w:r>
      <w:r>
        <w:rPr>
          <w:color w:val="231F20"/>
          <w:spacing w:val="-24"/>
        </w:rPr>
        <w:t xml:space="preserve"> </w:t>
      </w:r>
      <w:r>
        <w:rPr>
          <w:color w:val="231F20"/>
        </w:rPr>
        <w:t>of</w:t>
      </w:r>
      <w:r>
        <w:rPr>
          <w:color w:val="231F20"/>
          <w:spacing w:val="-25"/>
        </w:rPr>
        <w:t xml:space="preserve"> </w:t>
      </w:r>
      <w:r>
        <w:rPr>
          <w:color w:val="231F20"/>
        </w:rPr>
        <w:t>the</w:t>
      </w:r>
      <w:r>
        <w:rPr>
          <w:color w:val="231F20"/>
          <w:spacing w:val="-24"/>
        </w:rPr>
        <w:t xml:space="preserve"> </w:t>
      </w:r>
      <w:r>
        <w:rPr>
          <w:color w:val="231F20"/>
        </w:rPr>
        <w:t xml:space="preserve">Health Financing &amp; Strategy and Investment case in the State &amp; LGAs; Advocate for </w:t>
      </w:r>
      <w:proofErr w:type="spellStart"/>
      <w:r>
        <w:rPr>
          <w:color w:val="231F20"/>
        </w:rPr>
        <w:t>favourable</w:t>
      </w:r>
      <w:proofErr w:type="spellEnd"/>
      <w:r>
        <w:rPr>
          <w:color w:val="231F20"/>
        </w:rPr>
        <w:t xml:space="preserve"> fiscal policies (e.g. tariffs for importation of drugs, free health services, customs clearance</w:t>
      </w:r>
      <w:r>
        <w:rPr>
          <w:color w:val="231F20"/>
          <w:spacing w:val="44"/>
        </w:rPr>
        <w:t xml:space="preserve"> </w:t>
      </w:r>
      <w:r w:rsidR="00AD5763">
        <w:rPr>
          <w:color w:val="231F20"/>
        </w:rPr>
        <w:t>etc.</w:t>
      </w:r>
      <w:r>
        <w:rPr>
          <w:color w:val="231F20"/>
        </w:rPr>
        <w:t>); Strengthening</w:t>
      </w:r>
      <w:r>
        <w:rPr>
          <w:color w:val="231F20"/>
          <w:spacing w:val="-25"/>
        </w:rPr>
        <w:t xml:space="preserve"> </w:t>
      </w:r>
      <w:r>
        <w:rPr>
          <w:color w:val="231F20"/>
        </w:rPr>
        <w:t>drug</w:t>
      </w:r>
      <w:r>
        <w:rPr>
          <w:color w:val="231F20"/>
          <w:spacing w:val="-26"/>
        </w:rPr>
        <w:t xml:space="preserve"> </w:t>
      </w:r>
      <w:r>
        <w:rPr>
          <w:color w:val="231F20"/>
        </w:rPr>
        <w:t>revolving</w:t>
      </w:r>
      <w:r>
        <w:rPr>
          <w:color w:val="231F20"/>
          <w:spacing w:val="-25"/>
        </w:rPr>
        <w:t xml:space="preserve"> </w:t>
      </w:r>
      <w:r>
        <w:rPr>
          <w:color w:val="231F20"/>
        </w:rPr>
        <w:t>funds</w:t>
      </w:r>
      <w:r>
        <w:rPr>
          <w:color w:val="231F20"/>
          <w:spacing w:val="-25"/>
        </w:rPr>
        <w:t xml:space="preserve"> </w:t>
      </w:r>
      <w:r>
        <w:rPr>
          <w:color w:val="231F20"/>
        </w:rPr>
        <w:t>(DRF)</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p>
    <w:p w14:paraId="4288E72C" w14:textId="77777777" w:rsidR="009948F1" w:rsidRDefault="009948F1">
      <w:pPr>
        <w:pStyle w:val="BodyText"/>
        <w:spacing w:before="10"/>
        <w:rPr>
          <w:sz w:val="26"/>
        </w:rPr>
      </w:pPr>
    </w:p>
    <w:p w14:paraId="19195A34" w14:textId="77777777" w:rsidR="009948F1" w:rsidRDefault="00BC0563">
      <w:pPr>
        <w:pStyle w:val="ListParagraph"/>
        <w:numPr>
          <w:ilvl w:val="3"/>
          <w:numId w:val="261"/>
        </w:numPr>
        <w:tabs>
          <w:tab w:val="left" w:pos="964"/>
        </w:tabs>
        <w:spacing w:line="285" w:lineRule="auto"/>
        <w:ind w:left="126" w:right="218" w:firstLine="0"/>
      </w:pPr>
      <w:r>
        <w:rPr>
          <w:color w:val="231F20"/>
        </w:rPr>
        <w:t>Establish</w:t>
      </w:r>
      <w:r>
        <w:rPr>
          <w:color w:val="231F20"/>
          <w:spacing w:val="-21"/>
        </w:rPr>
        <w:t xml:space="preserve"> </w:t>
      </w:r>
      <w:r>
        <w:rPr>
          <w:color w:val="231F20"/>
        </w:rPr>
        <w:t>systems</w:t>
      </w:r>
      <w:r>
        <w:rPr>
          <w:color w:val="231F20"/>
          <w:spacing w:val="-20"/>
        </w:rPr>
        <w:t xml:space="preserve"> </w:t>
      </w:r>
      <w:r>
        <w:rPr>
          <w:color w:val="231F20"/>
        </w:rPr>
        <w:t>for</w:t>
      </w:r>
      <w:r>
        <w:rPr>
          <w:color w:val="231F20"/>
          <w:spacing w:val="-20"/>
        </w:rPr>
        <w:t xml:space="preserve"> </w:t>
      </w:r>
      <w:r>
        <w:rPr>
          <w:color w:val="231F20"/>
        </w:rPr>
        <w:t>health</w:t>
      </w:r>
      <w:r>
        <w:rPr>
          <w:color w:val="231F20"/>
          <w:spacing w:val="-20"/>
        </w:rPr>
        <w:t xml:space="preserve"> </w:t>
      </w:r>
      <w:r>
        <w:rPr>
          <w:color w:val="231F20"/>
        </w:rPr>
        <w:t>financing</w:t>
      </w:r>
      <w:r>
        <w:rPr>
          <w:color w:val="231F20"/>
          <w:spacing w:val="-19"/>
        </w:rPr>
        <w:t xml:space="preserve"> </w:t>
      </w:r>
      <w:r>
        <w:rPr>
          <w:color w:val="231F20"/>
        </w:rPr>
        <w:t>evidence</w:t>
      </w:r>
      <w:r>
        <w:rPr>
          <w:color w:val="231F20"/>
          <w:spacing w:val="-19"/>
        </w:rPr>
        <w:t xml:space="preserve"> </w:t>
      </w:r>
      <w:r>
        <w:rPr>
          <w:color w:val="231F20"/>
        </w:rPr>
        <w:t>generation</w:t>
      </w:r>
      <w:r>
        <w:rPr>
          <w:color w:val="231F20"/>
          <w:spacing w:val="-19"/>
        </w:rPr>
        <w:t xml:space="preserve"> </w:t>
      </w:r>
      <w:r>
        <w:rPr>
          <w:color w:val="231F20"/>
        </w:rPr>
        <w:t>and</w:t>
      </w:r>
      <w:r>
        <w:rPr>
          <w:color w:val="231F20"/>
          <w:spacing w:val="-20"/>
        </w:rPr>
        <w:t xml:space="preserve"> </w:t>
      </w:r>
      <w:r>
        <w:rPr>
          <w:color w:val="231F20"/>
        </w:rPr>
        <w:t>management</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State. Key actions include; - Establish/strengthen institutional capacity for integrated financial management</w:t>
      </w:r>
      <w:r>
        <w:rPr>
          <w:color w:val="231F20"/>
          <w:spacing w:val="-21"/>
        </w:rPr>
        <w:t xml:space="preserve"> </w:t>
      </w:r>
      <w:r>
        <w:rPr>
          <w:color w:val="231F20"/>
        </w:rPr>
        <w:t>system</w:t>
      </w:r>
      <w:r>
        <w:rPr>
          <w:color w:val="231F20"/>
          <w:spacing w:val="-20"/>
        </w:rPr>
        <w:t xml:space="preserve"> </w:t>
      </w:r>
      <w:r>
        <w:rPr>
          <w:color w:val="231F20"/>
        </w:rPr>
        <w:t>development</w:t>
      </w:r>
      <w:r>
        <w:rPr>
          <w:color w:val="231F20"/>
          <w:spacing w:val="-19"/>
        </w:rPr>
        <w:t xml:space="preserve"> </w:t>
      </w:r>
      <w:r>
        <w:rPr>
          <w:color w:val="231F20"/>
        </w:rPr>
        <w:t>for</w:t>
      </w:r>
      <w:r>
        <w:rPr>
          <w:color w:val="231F20"/>
          <w:spacing w:val="-20"/>
        </w:rPr>
        <w:t xml:space="preserve"> </w:t>
      </w:r>
      <w:r>
        <w:rPr>
          <w:color w:val="231F20"/>
        </w:rPr>
        <w:t>all</w:t>
      </w:r>
      <w:r>
        <w:rPr>
          <w:color w:val="231F20"/>
          <w:spacing w:val="-20"/>
        </w:rPr>
        <w:t xml:space="preserve"> </w:t>
      </w:r>
      <w:r>
        <w:rPr>
          <w:color w:val="231F20"/>
        </w:rPr>
        <w:t>health</w:t>
      </w:r>
      <w:r>
        <w:rPr>
          <w:color w:val="231F20"/>
          <w:spacing w:val="-20"/>
        </w:rPr>
        <w:t xml:space="preserve"> </w:t>
      </w:r>
      <w:r>
        <w:rPr>
          <w:color w:val="231F20"/>
        </w:rPr>
        <w:t>financing</w:t>
      </w:r>
      <w:r>
        <w:rPr>
          <w:color w:val="231F20"/>
          <w:spacing w:val="-21"/>
        </w:rPr>
        <w:t xml:space="preserve"> </w:t>
      </w:r>
      <w:r>
        <w:rPr>
          <w:color w:val="231F20"/>
        </w:rPr>
        <w:t>functions</w:t>
      </w:r>
      <w:r>
        <w:rPr>
          <w:color w:val="231F20"/>
          <w:spacing w:val="-20"/>
        </w:rPr>
        <w:t xml:space="preserve"> </w:t>
      </w:r>
      <w:r>
        <w:rPr>
          <w:color w:val="231F20"/>
        </w:rPr>
        <w:t>(resource</w:t>
      </w:r>
      <w:r>
        <w:rPr>
          <w:color w:val="231F20"/>
          <w:spacing w:val="-20"/>
        </w:rPr>
        <w:t xml:space="preserve"> </w:t>
      </w:r>
      <w:r>
        <w:rPr>
          <w:color w:val="231F20"/>
        </w:rPr>
        <w:t>mobilization,</w:t>
      </w:r>
      <w:r>
        <w:rPr>
          <w:color w:val="231F20"/>
          <w:spacing w:val="-19"/>
        </w:rPr>
        <w:t xml:space="preserve"> </w:t>
      </w:r>
      <w:r>
        <w:rPr>
          <w:color w:val="231F20"/>
        </w:rPr>
        <w:t>pooling and purchase of services); Establish mechanisms for fostering inter-sectorial collaborations, public-private</w:t>
      </w:r>
      <w:r>
        <w:rPr>
          <w:color w:val="231F20"/>
          <w:spacing w:val="-17"/>
        </w:rPr>
        <w:t xml:space="preserve"> </w:t>
      </w:r>
      <w:r>
        <w:rPr>
          <w:color w:val="231F20"/>
        </w:rPr>
        <w:t>partnerships,</w:t>
      </w:r>
      <w:r>
        <w:rPr>
          <w:color w:val="231F20"/>
          <w:spacing w:val="-16"/>
        </w:rPr>
        <w:t xml:space="preserve"> </w:t>
      </w:r>
      <w:r>
        <w:rPr>
          <w:color w:val="231F20"/>
        </w:rPr>
        <w:t>and</w:t>
      </w:r>
      <w:r>
        <w:rPr>
          <w:color w:val="231F20"/>
          <w:spacing w:val="-16"/>
        </w:rPr>
        <w:t xml:space="preserve"> </w:t>
      </w:r>
      <w:r>
        <w:rPr>
          <w:color w:val="231F20"/>
        </w:rPr>
        <w:t>collaboration</w:t>
      </w:r>
      <w:r>
        <w:rPr>
          <w:color w:val="231F20"/>
          <w:spacing w:val="-17"/>
        </w:rPr>
        <w:t xml:space="preserve"> </w:t>
      </w:r>
      <w:r>
        <w:rPr>
          <w:color w:val="231F20"/>
        </w:rPr>
        <w:t>with</w:t>
      </w:r>
      <w:r>
        <w:rPr>
          <w:color w:val="231F20"/>
          <w:spacing w:val="-16"/>
        </w:rPr>
        <w:t xml:space="preserve"> </w:t>
      </w:r>
      <w:r>
        <w:rPr>
          <w:color w:val="231F20"/>
        </w:rPr>
        <w:t>community</w:t>
      </w:r>
      <w:r>
        <w:rPr>
          <w:color w:val="231F20"/>
          <w:spacing w:val="-16"/>
        </w:rPr>
        <w:t xml:space="preserve"> </w:t>
      </w:r>
      <w:r>
        <w:rPr>
          <w:color w:val="231F20"/>
        </w:rPr>
        <w:t>members,</w:t>
      </w:r>
      <w:r>
        <w:rPr>
          <w:color w:val="231F20"/>
          <w:spacing w:val="-16"/>
        </w:rPr>
        <w:t xml:space="preserve"> </w:t>
      </w:r>
      <w:r>
        <w:rPr>
          <w:color w:val="231F20"/>
        </w:rPr>
        <w:t>CSOs,</w:t>
      </w:r>
      <w:r>
        <w:rPr>
          <w:color w:val="231F20"/>
          <w:spacing w:val="-17"/>
        </w:rPr>
        <w:t xml:space="preserve"> </w:t>
      </w:r>
      <w:r>
        <w:rPr>
          <w:color w:val="231F20"/>
        </w:rPr>
        <w:t>and</w:t>
      </w:r>
      <w:r>
        <w:rPr>
          <w:color w:val="231F20"/>
          <w:spacing w:val="-16"/>
        </w:rPr>
        <w:t xml:space="preserve"> </w:t>
      </w:r>
      <w:r>
        <w:rPr>
          <w:color w:val="231F20"/>
        </w:rPr>
        <w:t>Development Partners</w:t>
      </w:r>
      <w:r>
        <w:rPr>
          <w:color w:val="231F20"/>
          <w:spacing w:val="-24"/>
        </w:rPr>
        <w:t xml:space="preserve"> </w:t>
      </w:r>
      <w:r>
        <w:rPr>
          <w:color w:val="231F20"/>
        </w:rPr>
        <w:t>to</w:t>
      </w:r>
      <w:r>
        <w:rPr>
          <w:color w:val="231F20"/>
          <w:spacing w:val="-23"/>
        </w:rPr>
        <w:t xml:space="preserve"> </w:t>
      </w:r>
      <w:r>
        <w:rPr>
          <w:color w:val="231F20"/>
        </w:rPr>
        <w:t>ensure</w:t>
      </w:r>
      <w:r>
        <w:rPr>
          <w:color w:val="231F20"/>
          <w:spacing w:val="-24"/>
        </w:rPr>
        <w:t xml:space="preserve"> </w:t>
      </w:r>
      <w:r>
        <w:rPr>
          <w:color w:val="231F20"/>
        </w:rPr>
        <w:t>improvement</w:t>
      </w:r>
      <w:r>
        <w:rPr>
          <w:color w:val="231F20"/>
          <w:spacing w:val="-23"/>
        </w:rPr>
        <w:t xml:space="preserve"> </w:t>
      </w:r>
      <w:r>
        <w:rPr>
          <w:color w:val="231F20"/>
        </w:rPr>
        <w:t>and</w:t>
      </w:r>
      <w:r>
        <w:rPr>
          <w:color w:val="231F20"/>
          <w:spacing w:val="-24"/>
        </w:rPr>
        <w:t xml:space="preserve"> </w:t>
      </w:r>
      <w:r>
        <w:rPr>
          <w:color w:val="231F20"/>
        </w:rPr>
        <w:t>coordination</w:t>
      </w:r>
      <w:r>
        <w:rPr>
          <w:color w:val="231F20"/>
          <w:spacing w:val="-23"/>
        </w:rPr>
        <w:t xml:space="preserve"> </w:t>
      </w:r>
      <w:r>
        <w:rPr>
          <w:color w:val="231F20"/>
        </w:rPr>
        <w:t>of</w:t>
      </w:r>
      <w:r>
        <w:rPr>
          <w:color w:val="231F20"/>
          <w:spacing w:val="-23"/>
        </w:rPr>
        <w:t xml:space="preserve"> </w:t>
      </w:r>
      <w:r>
        <w:rPr>
          <w:color w:val="231F20"/>
        </w:rPr>
        <w:t>health</w:t>
      </w:r>
      <w:r>
        <w:rPr>
          <w:color w:val="231F20"/>
          <w:spacing w:val="-24"/>
        </w:rPr>
        <w:t xml:space="preserve"> </w:t>
      </w:r>
      <w:r>
        <w:rPr>
          <w:color w:val="231F20"/>
        </w:rPr>
        <w:t>financing</w:t>
      </w:r>
      <w:r>
        <w:rPr>
          <w:color w:val="231F20"/>
          <w:spacing w:val="-23"/>
        </w:rPr>
        <w:t xml:space="preserve"> </w:t>
      </w:r>
      <w:r>
        <w:rPr>
          <w:color w:val="231F20"/>
        </w:rPr>
        <w:t>functions;</w:t>
      </w:r>
      <w:r>
        <w:rPr>
          <w:color w:val="231F20"/>
          <w:spacing w:val="-24"/>
        </w:rPr>
        <w:t xml:space="preserve"> </w:t>
      </w:r>
      <w:r>
        <w:rPr>
          <w:color w:val="231F20"/>
        </w:rPr>
        <w:t>Update</w:t>
      </w:r>
      <w:r>
        <w:rPr>
          <w:color w:val="231F20"/>
          <w:spacing w:val="-23"/>
        </w:rPr>
        <w:t xml:space="preserve"> </w:t>
      </w:r>
      <w:r>
        <w:rPr>
          <w:color w:val="231F20"/>
        </w:rPr>
        <w:t xml:space="preserve">information system for resource mapping for revenue generation; Develop tools for collecting, </w:t>
      </w:r>
      <w:proofErr w:type="spellStart"/>
      <w:r>
        <w:rPr>
          <w:color w:val="231F20"/>
        </w:rPr>
        <w:t>analysing</w:t>
      </w:r>
      <w:proofErr w:type="spellEnd"/>
      <w:r>
        <w:rPr>
          <w:color w:val="231F20"/>
        </w:rPr>
        <w:t xml:space="preserve"> &amp; dissemination</w:t>
      </w:r>
      <w:r>
        <w:rPr>
          <w:color w:val="231F20"/>
          <w:spacing w:val="-25"/>
        </w:rPr>
        <w:t xml:space="preserve"> </w:t>
      </w:r>
      <w:r>
        <w:rPr>
          <w:color w:val="231F20"/>
        </w:rPr>
        <w:t>of</w:t>
      </w:r>
      <w:r>
        <w:rPr>
          <w:color w:val="231F20"/>
          <w:spacing w:val="-26"/>
        </w:rPr>
        <w:t xml:space="preserve"> </w:t>
      </w:r>
      <w:r>
        <w:rPr>
          <w:color w:val="231F20"/>
        </w:rPr>
        <w:t>HF</w:t>
      </w:r>
      <w:r>
        <w:rPr>
          <w:color w:val="231F20"/>
          <w:spacing w:val="-25"/>
        </w:rPr>
        <w:t xml:space="preserve"> </w:t>
      </w:r>
      <w:r>
        <w:rPr>
          <w:color w:val="231F20"/>
        </w:rPr>
        <w:t>data;</w:t>
      </w:r>
      <w:r>
        <w:rPr>
          <w:color w:val="231F20"/>
          <w:spacing w:val="-25"/>
        </w:rPr>
        <w:t xml:space="preserve"> </w:t>
      </w:r>
      <w:r>
        <w:rPr>
          <w:color w:val="231F20"/>
        </w:rPr>
        <w:t>Establish</w:t>
      </w:r>
      <w:r>
        <w:rPr>
          <w:color w:val="231F20"/>
          <w:spacing w:val="-25"/>
        </w:rPr>
        <w:t xml:space="preserve"> </w:t>
      </w:r>
      <w:r>
        <w:rPr>
          <w:color w:val="231F20"/>
        </w:rPr>
        <w:t>a</w:t>
      </w:r>
      <w:r>
        <w:rPr>
          <w:color w:val="231F20"/>
          <w:spacing w:val="-25"/>
        </w:rPr>
        <w:t xml:space="preserve"> </w:t>
      </w:r>
      <w:r>
        <w:rPr>
          <w:color w:val="231F20"/>
        </w:rPr>
        <w:t>platform</w:t>
      </w:r>
      <w:r>
        <w:rPr>
          <w:color w:val="231F20"/>
          <w:spacing w:val="-25"/>
        </w:rPr>
        <w:t xml:space="preserve"> </w:t>
      </w:r>
      <w:r>
        <w:rPr>
          <w:color w:val="231F20"/>
        </w:rPr>
        <w:t>RIVCHPP</w:t>
      </w:r>
      <w:r>
        <w:rPr>
          <w:color w:val="231F20"/>
          <w:spacing w:val="-29"/>
        </w:rPr>
        <w:t xml:space="preserve"> </w:t>
      </w:r>
      <w:r>
        <w:rPr>
          <w:color w:val="231F20"/>
        </w:rPr>
        <w:t>and</w:t>
      </w:r>
      <w:r>
        <w:rPr>
          <w:color w:val="231F20"/>
          <w:spacing w:val="-25"/>
        </w:rPr>
        <w:t xml:space="preserve"> </w:t>
      </w:r>
      <w:r>
        <w:rPr>
          <w:color w:val="231F20"/>
        </w:rPr>
        <w:t>PHCMB.</w:t>
      </w:r>
    </w:p>
    <w:p w14:paraId="7CA640D9" w14:textId="77777777" w:rsidR="009948F1" w:rsidRDefault="009948F1">
      <w:pPr>
        <w:pStyle w:val="BodyText"/>
        <w:rPr>
          <w:sz w:val="23"/>
        </w:rPr>
      </w:pPr>
    </w:p>
    <w:p w14:paraId="1112BB5F" w14:textId="77777777" w:rsidR="009948F1" w:rsidRDefault="00BC0563">
      <w:pPr>
        <w:pStyle w:val="Heading7"/>
        <w:numPr>
          <w:ilvl w:val="2"/>
          <w:numId w:val="262"/>
        </w:numPr>
        <w:tabs>
          <w:tab w:val="left" w:pos="1127"/>
        </w:tabs>
        <w:spacing w:before="1" w:line="283" w:lineRule="auto"/>
        <w:ind w:left="321" w:right="2569" w:firstLine="0"/>
        <w:jc w:val="left"/>
      </w:pPr>
      <w:r>
        <w:rPr>
          <w:color w:val="231F20"/>
          <w:w w:val="105"/>
        </w:rPr>
        <w:t>Increase</w:t>
      </w:r>
      <w:r>
        <w:rPr>
          <w:color w:val="231F20"/>
          <w:spacing w:val="-17"/>
          <w:w w:val="105"/>
        </w:rPr>
        <w:t xml:space="preserve"> </w:t>
      </w:r>
      <w:r>
        <w:rPr>
          <w:color w:val="231F20"/>
          <w:w w:val="105"/>
        </w:rPr>
        <w:t>sustainable</w:t>
      </w:r>
      <w:r>
        <w:rPr>
          <w:color w:val="231F20"/>
          <w:spacing w:val="-16"/>
          <w:w w:val="105"/>
        </w:rPr>
        <w:t xml:space="preserve"> </w:t>
      </w:r>
      <w:r>
        <w:rPr>
          <w:color w:val="231F20"/>
          <w:w w:val="105"/>
        </w:rPr>
        <w:t>and</w:t>
      </w:r>
      <w:r>
        <w:rPr>
          <w:color w:val="231F20"/>
          <w:spacing w:val="-16"/>
          <w:w w:val="105"/>
        </w:rPr>
        <w:t xml:space="preserve"> </w:t>
      </w:r>
      <w:r>
        <w:rPr>
          <w:color w:val="231F20"/>
          <w:w w:val="105"/>
        </w:rPr>
        <w:t>predictable</w:t>
      </w:r>
      <w:r>
        <w:rPr>
          <w:color w:val="231F20"/>
          <w:spacing w:val="-16"/>
          <w:w w:val="105"/>
        </w:rPr>
        <w:t xml:space="preserve"> </w:t>
      </w:r>
      <w:r>
        <w:rPr>
          <w:color w:val="231F20"/>
          <w:w w:val="105"/>
        </w:rPr>
        <w:t>revenue</w:t>
      </w:r>
      <w:r>
        <w:rPr>
          <w:color w:val="231F20"/>
          <w:spacing w:val="-16"/>
          <w:w w:val="105"/>
        </w:rPr>
        <w:t xml:space="preserve"> </w:t>
      </w:r>
      <w:r>
        <w:rPr>
          <w:color w:val="231F20"/>
          <w:w w:val="105"/>
        </w:rPr>
        <w:t>for</w:t>
      </w:r>
      <w:r>
        <w:rPr>
          <w:color w:val="231F20"/>
          <w:spacing w:val="-16"/>
          <w:w w:val="105"/>
        </w:rPr>
        <w:t xml:space="preserve"> </w:t>
      </w:r>
      <w:r>
        <w:rPr>
          <w:color w:val="231F20"/>
          <w:spacing w:val="-3"/>
          <w:w w:val="105"/>
        </w:rPr>
        <w:t>health Targets</w:t>
      </w:r>
    </w:p>
    <w:p w14:paraId="16AAECC7" w14:textId="77777777" w:rsidR="009948F1" w:rsidRDefault="009948F1">
      <w:pPr>
        <w:pStyle w:val="BodyText"/>
        <w:spacing w:before="1" w:after="1"/>
        <w:rPr>
          <w:b/>
          <w:sz w:val="26"/>
        </w:rPr>
      </w:pPr>
    </w:p>
    <w:tbl>
      <w:tblPr>
        <w:tblW w:w="0" w:type="auto"/>
        <w:tblInd w:w="2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883"/>
        <w:gridCol w:w="1340"/>
        <w:gridCol w:w="772"/>
        <w:gridCol w:w="770"/>
        <w:gridCol w:w="772"/>
        <w:gridCol w:w="770"/>
        <w:gridCol w:w="967"/>
        <w:gridCol w:w="967"/>
      </w:tblGrid>
      <w:tr w:rsidR="009948F1" w14:paraId="218D65B0" w14:textId="77777777">
        <w:trPr>
          <w:trHeight w:val="276"/>
        </w:trPr>
        <w:tc>
          <w:tcPr>
            <w:tcW w:w="2883" w:type="dxa"/>
            <w:tcBorders>
              <w:left w:val="single" w:sz="4" w:space="0" w:color="231F20"/>
              <w:right w:val="single" w:sz="4" w:space="0" w:color="231F20"/>
            </w:tcBorders>
            <w:shd w:val="clear" w:color="auto" w:fill="F4CEB2"/>
          </w:tcPr>
          <w:p w14:paraId="364A49C9" w14:textId="77777777" w:rsidR="009948F1" w:rsidRDefault="00BC0563">
            <w:pPr>
              <w:pStyle w:val="TableParagraph"/>
              <w:spacing w:line="256" w:lineRule="exact"/>
              <w:ind w:left="111"/>
              <w:rPr>
                <w:sz w:val="24"/>
              </w:rPr>
            </w:pPr>
            <w:r>
              <w:rPr>
                <w:color w:val="231F20"/>
                <w:w w:val="85"/>
                <w:sz w:val="24"/>
              </w:rPr>
              <w:t>Targets</w:t>
            </w:r>
          </w:p>
        </w:tc>
        <w:tc>
          <w:tcPr>
            <w:tcW w:w="1340" w:type="dxa"/>
            <w:tcBorders>
              <w:left w:val="single" w:sz="4" w:space="0" w:color="231F20"/>
              <w:right w:val="single" w:sz="4" w:space="0" w:color="231F20"/>
            </w:tcBorders>
            <w:shd w:val="clear" w:color="auto" w:fill="F4CEB2"/>
          </w:tcPr>
          <w:p w14:paraId="5AFD8666" w14:textId="77777777" w:rsidR="009948F1" w:rsidRDefault="00BC0563">
            <w:pPr>
              <w:pStyle w:val="TableParagraph"/>
              <w:spacing w:line="256" w:lineRule="exact"/>
              <w:ind w:left="111"/>
              <w:rPr>
                <w:sz w:val="24"/>
              </w:rPr>
            </w:pPr>
            <w:r>
              <w:rPr>
                <w:color w:val="231F20"/>
                <w:w w:val="85"/>
                <w:sz w:val="24"/>
              </w:rPr>
              <w:t>Baseline</w:t>
            </w:r>
          </w:p>
        </w:tc>
        <w:tc>
          <w:tcPr>
            <w:tcW w:w="772" w:type="dxa"/>
            <w:tcBorders>
              <w:left w:val="single" w:sz="4" w:space="0" w:color="231F20"/>
              <w:right w:val="single" w:sz="4" w:space="0" w:color="231F20"/>
            </w:tcBorders>
            <w:shd w:val="clear" w:color="auto" w:fill="F4CEB2"/>
          </w:tcPr>
          <w:p w14:paraId="4B19E3DA" w14:textId="77777777" w:rsidR="009948F1" w:rsidRDefault="00BC0563">
            <w:pPr>
              <w:pStyle w:val="TableParagraph"/>
              <w:spacing w:line="256" w:lineRule="exact"/>
              <w:ind w:left="111"/>
              <w:rPr>
                <w:b/>
                <w:sz w:val="24"/>
              </w:rPr>
            </w:pPr>
            <w:r>
              <w:rPr>
                <w:b/>
                <w:color w:val="231F20"/>
                <w:w w:val="85"/>
                <w:sz w:val="24"/>
              </w:rPr>
              <w:t>2018</w:t>
            </w:r>
          </w:p>
        </w:tc>
        <w:tc>
          <w:tcPr>
            <w:tcW w:w="770" w:type="dxa"/>
            <w:tcBorders>
              <w:left w:val="single" w:sz="4" w:space="0" w:color="231F20"/>
              <w:right w:val="single" w:sz="4" w:space="0" w:color="231F20"/>
            </w:tcBorders>
            <w:shd w:val="clear" w:color="auto" w:fill="F4CEB2"/>
          </w:tcPr>
          <w:p w14:paraId="3B46F225" w14:textId="77777777" w:rsidR="009948F1" w:rsidRDefault="00BC0563">
            <w:pPr>
              <w:pStyle w:val="TableParagraph"/>
              <w:spacing w:line="256" w:lineRule="exact"/>
              <w:ind w:left="112"/>
              <w:rPr>
                <w:b/>
                <w:sz w:val="24"/>
              </w:rPr>
            </w:pPr>
            <w:r>
              <w:rPr>
                <w:b/>
                <w:color w:val="231F20"/>
                <w:w w:val="85"/>
                <w:sz w:val="24"/>
              </w:rPr>
              <w:t>2019</w:t>
            </w:r>
          </w:p>
        </w:tc>
        <w:tc>
          <w:tcPr>
            <w:tcW w:w="772" w:type="dxa"/>
            <w:tcBorders>
              <w:left w:val="single" w:sz="4" w:space="0" w:color="231F20"/>
              <w:right w:val="single" w:sz="4" w:space="0" w:color="231F20"/>
            </w:tcBorders>
            <w:shd w:val="clear" w:color="auto" w:fill="F4CEB2"/>
          </w:tcPr>
          <w:p w14:paraId="2BC44804" w14:textId="77777777" w:rsidR="009948F1" w:rsidRDefault="00BC0563">
            <w:pPr>
              <w:pStyle w:val="TableParagraph"/>
              <w:spacing w:line="256" w:lineRule="exact"/>
              <w:ind w:left="112"/>
              <w:rPr>
                <w:b/>
                <w:sz w:val="24"/>
              </w:rPr>
            </w:pPr>
            <w:r>
              <w:rPr>
                <w:b/>
                <w:color w:val="231F20"/>
                <w:w w:val="85"/>
                <w:sz w:val="24"/>
              </w:rPr>
              <w:t>2020</w:t>
            </w:r>
          </w:p>
        </w:tc>
        <w:tc>
          <w:tcPr>
            <w:tcW w:w="770" w:type="dxa"/>
            <w:tcBorders>
              <w:left w:val="single" w:sz="4" w:space="0" w:color="231F20"/>
              <w:right w:val="single" w:sz="4" w:space="0" w:color="231F20"/>
            </w:tcBorders>
            <w:shd w:val="clear" w:color="auto" w:fill="F4CEB2"/>
          </w:tcPr>
          <w:p w14:paraId="240B7B60" w14:textId="77777777" w:rsidR="009948F1" w:rsidRDefault="00BC0563">
            <w:pPr>
              <w:pStyle w:val="TableParagraph"/>
              <w:spacing w:line="256" w:lineRule="exact"/>
              <w:ind w:left="112"/>
              <w:rPr>
                <w:b/>
                <w:sz w:val="24"/>
              </w:rPr>
            </w:pPr>
            <w:r>
              <w:rPr>
                <w:b/>
                <w:color w:val="231F20"/>
                <w:w w:val="85"/>
                <w:sz w:val="24"/>
              </w:rPr>
              <w:t>2021</w:t>
            </w:r>
          </w:p>
        </w:tc>
        <w:tc>
          <w:tcPr>
            <w:tcW w:w="967" w:type="dxa"/>
            <w:tcBorders>
              <w:left w:val="single" w:sz="4" w:space="0" w:color="231F20"/>
              <w:right w:val="single" w:sz="4" w:space="0" w:color="231F20"/>
            </w:tcBorders>
            <w:shd w:val="clear" w:color="auto" w:fill="F4CEB2"/>
          </w:tcPr>
          <w:p w14:paraId="6788D502" w14:textId="77777777" w:rsidR="009948F1" w:rsidRDefault="00BC0563">
            <w:pPr>
              <w:pStyle w:val="TableParagraph"/>
              <w:spacing w:line="256" w:lineRule="exact"/>
              <w:ind w:left="113"/>
              <w:rPr>
                <w:b/>
                <w:sz w:val="24"/>
              </w:rPr>
            </w:pPr>
            <w:r>
              <w:rPr>
                <w:b/>
                <w:color w:val="231F20"/>
                <w:w w:val="85"/>
                <w:sz w:val="24"/>
              </w:rPr>
              <w:t>2022</w:t>
            </w:r>
          </w:p>
        </w:tc>
        <w:tc>
          <w:tcPr>
            <w:tcW w:w="967" w:type="dxa"/>
            <w:tcBorders>
              <w:left w:val="single" w:sz="4" w:space="0" w:color="231F20"/>
              <w:right w:val="single" w:sz="4" w:space="0" w:color="231F20"/>
            </w:tcBorders>
            <w:shd w:val="clear" w:color="auto" w:fill="F4CEB2"/>
          </w:tcPr>
          <w:p w14:paraId="0760A458" w14:textId="77777777" w:rsidR="009948F1" w:rsidRDefault="00BC0563">
            <w:pPr>
              <w:pStyle w:val="TableParagraph"/>
              <w:spacing w:line="256" w:lineRule="exact"/>
              <w:ind w:left="113"/>
              <w:rPr>
                <w:b/>
                <w:sz w:val="24"/>
              </w:rPr>
            </w:pPr>
            <w:r>
              <w:rPr>
                <w:b/>
                <w:color w:val="231F20"/>
                <w:w w:val="85"/>
                <w:sz w:val="24"/>
              </w:rPr>
              <w:t>National</w:t>
            </w:r>
          </w:p>
        </w:tc>
      </w:tr>
      <w:tr w:rsidR="009948F1" w14:paraId="07311824" w14:textId="77777777">
        <w:trPr>
          <w:trHeight w:val="829"/>
        </w:trPr>
        <w:tc>
          <w:tcPr>
            <w:tcW w:w="2883" w:type="dxa"/>
            <w:tcBorders>
              <w:left w:val="single" w:sz="4" w:space="0" w:color="231F20"/>
              <w:right w:val="single" w:sz="8" w:space="0" w:color="231F20"/>
            </w:tcBorders>
          </w:tcPr>
          <w:p w14:paraId="4882E0BC" w14:textId="0DEAB96F" w:rsidR="009948F1" w:rsidRDefault="00760CC0">
            <w:pPr>
              <w:pStyle w:val="TableParagraph"/>
              <w:spacing w:line="242" w:lineRule="auto"/>
              <w:ind w:left="111" w:right="212"/>
              <w:rPr>
                <w:sz w:val="24"/>
              </w:rPr>
            </w:pPr>
            <w:r>
              <w:rPr>
                <w:color w:val="231F20"/>
                <w:w w:val="85"/>
                <w:sz w:val="24"/>
              </w:rPr>
              <w:t>% Budg</w:t>
            </w:r>
            <w:r w:rsidR="00BC0563">
              <w:rPr>
                <w:color w:val="231F20"/>
                <w:w w:val="85"/>
                <w:sz w:val="24"/>
              </w:rPr>
              <w:t xml:space="preserve">etary allocation to </w:t>
            </w:r>
            <w:r w:rsidR="00BC0563">
              <w:rPr>
                <w:color w:val="231F20"/>
                <w:w w:val="80"/>
                <w:sz w:val="24"/>
              </w:rPr>
              <w:t>Primary</w:t>
            </w:r>
            <w:r w:rsidR="00BC0563">
              <w:rPr>
                <w:color w:val="231F20"/>
                <w:spacing w:val="-34"/>
                <w:w w:val="80"/>
                <w:sz w:val="24"/>
              </w:rPr>
              <w:t xml:space="preserve"> </w:t>
            </w:r>
            <w:r w:rsidR="00BC0563">
              <w:rPr>
                <w:color w:val="231F20"/>
                <w:w w:val="80"/>
                <w:sz w:val="24"/>
              </w:rPr>
              <w:t>Health</w:t>
            </w:r>
            <w:r w:rsidR="00BC0563">
              <w:rPr>
                <w:color w:val="231F20"/>
                <w:spacing w:val="-33"/>
                <w:w w:val="80"/>
                <w:sz w:val="24"/>
              </w:rPr>
              <w:t xml:space="preserve"> </w:t>
            </w:r>
            <w:r w:rsidR="00BC0563">
              <w:rPr>
                <w:color w:val="231F20"/>
                <w:w w:val="80"/>
                <w:sz w:val="24"/>
              </w:rPr>
              <w:t>Care</w:t>
            </w:r>
            <w:r w:rsidR="00BC0563">
              <w:rPr>
                <w:color w:val="231F20"/>
                <w:spacing w:val="-33"/>
                <w:w w:val="80"/>
                <w:sz w:val="24"/>
              </w:rPr>
              <w:t xml:space="preserve"> </w:t>
            </w:r>
            <w:r w:rsidR="00BC0563">
              <w:rPr>
                <w:color w:val="231F20"/>
                <w:w w:val="80"/>
                <w:sz w:val="24"/>
              </w:rPr>
              <w:t>increased</w:t>
            </w:r>
          </w:p>
          <w:p w14:paraId="5FF4774B" w14:textId="77777777" w:rsidR="009948F1" w:rsidRDefault="00BC0563">
            <w:pPr>
              <w:pStyle w:val="TableParagraph"/>
              <w:spacing w:before="3" w:line="248" w:lineRule="exact"/>
              <w:ind w:left="111"/>
              <w:rPr>
                <w:sz w:val="24"/>
              </w:rPr>
            </w:pPr>
            <w:r>
              <w:rPr>
                <w:color w:val="231F20"/>
                <w:w w:val="85"/>
                <w:sz w:val="24"/>
              </w:rPr>
              <w:t>from 3% to 20%</w:t>
            </w:r>
          </w:p>
        </w:tc>
        <w:tc>
          <w:tcPr>
            <w:tcW w:w="1340" w:type="dxa"/>
            <w:tcBorders>
              <w:left w:val="single" w:sz="8" w:space="0" w:color="231F20"/>
              <w:bottom w:val="single" w:sz="12" w:space="0" w:color="231F20"/>
              <w:right w:val="single" w:sz="8" w:space="0" w:color="231F20"/>
            </w:tcBorders>
          </w:tcPr>
          <w:p w14:paraId="409160C5" w14:textId="77777777" w:rsidR="009948F1" w:rsidRDefault="00BC0563">
            <w:pPr>
              <w:pStyle w:val="TableParagraph"/>
              <w:ind w:left="106"/>
              <w:rPr>
                <w:sz w:val="24"/>
              </w:rPr>
            </w:pPr>
            <w:r>
              <w:rPr>
                <w:color w:val="231F20"/>
                <w:w w:val="85"/>
                <w:sz w:val="24"/>
              </w:rPr>
              <w:t>TBD</w:t>
            </w:r>
          </w:p>
        </w:tc>
        <w:tc>
          <w:tcPr>
            <w:tcW w:w="772" w:type="dxa"/>
            <w:tcBorders>
              <w:left w:val="single" w:sz="8" w:space="0" w:color="231F20"/>
              <w:bottom w:val="single" w:sz="12" w:space="0" w:color="231F20"/>
              <w:right w:val="single" w:sz="8" w:space="0" w:color="231F20"/>
            </w:tcBorders>
          </w:tcPr>
          <w:p w14:paraId="243A4E51" w14:textId="77777777" w:rsidR="009948F1" w:rsidRDefault="00BC0563">
            <w:pPr>
              <w:pStyle w:val="TableParagraph"/>
              <w:ind w:left="106"/>
              <w:rPr>
                <w:sz w:val="24"/>
              </w:rPr>
            </w:pPr>
            <w:r>
              <w:rPr>
                <w:color w:val="231F20"/>
                <w:w w:val="85"/>
                <w:sz w:val="24"/>
              </w:rPr>
              <w:t>3%</w:t>
            </w:r>
          </w:p>
        </w:tc>
        <w:tc>
          <w:tcPr>
            <w:tcW w:w="770" w:type="dxa"/>
            <w:tcBorders>
              <w:left w:val="single" w:sz="8" w:space="0" w:color="231F20"/>
              <w:right w:val="single" w:sz="4" w:space="0" w:color="231F20"/>
            </w:tcBorders>
          </w:tcPr>
          <w:p w14:paraId="6BDB50B7" w14:textId="77777777" w:rsidR="009948F1" w:rsidRDefault="00BC0563">
            <w:pPr>
              <w:pStyle w:val="TableParagraph"/>
              <w:ind w:left="107"/>
              <w:rPr>
                <w:sz w:val="24"/>
              </w:rPr>
            </w:pPr>
            <w:r>
              <w:rPr>
                <w:color w:val="231F20"/>
                <w:w w:val="85"/>
                <w:sz w:val="24"/>
              </w:rPr>
              <w:t>5%</w:t>
            </w:r>
          </w:p>
        </w:tc>
        <w:tc>
          <w:tcPr>
            <w:tcW w:w="772" w:type="dxa"/>
            <w:tcBorders>
              <w:left w:val="single" w:sz="4" w:space="0" w:color="231F20"/>
              <w:right w:val="single" w:sz="4" w:space="0" w:color="231F20"/>
            </w:tcBorders>
          </w:tcPr>
          <w:p w14:paraId="57B46DC5" w14:textId="77777777" w:rsidR="009948F1" w:rsidRDefault="00BC0563">
            <w:pPr>
              <w:pStyle w:val="TableParagraph"/>
              <w:ind w:left="112"/>
              <w:rPr>
                <w:sz w:val="24"/>
              </w:rPr>
            </w:pPr>
            <w:r>
              <w:rPr>
                <w:color w:val="231F20"/>
                <w:w w:val="85"/>
                <w:sz w:val="24"/>
              </w:rPr>
              <w:t>10%</w:t>
            </w:r>
          </w:p>
        </w:tc>
        <w:tc>
          <w:tcPr>
            <w:tcW w:w="770" w:type="dxa"/>
            <w:tcBorders>
              <w:left w:val="single" w:sz="4" w:space="0" w:color="231F20"/>
              <w:right w:val="single" w:sz="4" w:space="0" w:color="231F20"/>
            </w:tcBorders>
          </w:tcPr>
          <w:p w14:paraId="3FE410FB" w14:textId="77777777" w:rsidR="009948F1" w:rsidRDefault="00BC0563">
            <w:pPr>
              <w:pStyle w:val="TableParagraph"/>
              <w:ind w:left="112"/>
              <w:rPr>
                <w:sz w:val="24"/>
              </w:rPr>
            </w:pPr>
            <w:r>
              <w:rPr>
                <w:color w:val="231F20"/>
                <w:w w:val="85"/>
                <w:sz w:val="24"/>
              </w:rPr>
              <w:t>15%</w:t>
            </w:r>
          </w:p>
        </w:tc>
        <w:tc>
          <w:tcPr>
            <w:tcW w:w="967" w:type="dxa"/>
            <w:tcBorders>
              <w:left w:val="single" w:sz="4" w:space="0" w:color="231F20"/>
              <w:right w:val="single" w:sz="4" w:space="0" w:color="231F20"/>
            </w:tcBorders>
          </w:tcPr>
          <w:p w14:paraId="2B6C5509" w14:textId="77777777" w:rsidR="009948F1" w:rsidRDefault="00BC0563">
            <w:pPr>
              <w:pStyle w:val="TableParagraph"/>
              <w:ind w:left="113"/>
              <w:rPr>
                <w:sz w:val="24"/>
              </w:rPr>
            </w:pPr>
            <w:r>
              <w:rPr>
                <w:color w:val="231F20"/>
                <w:w w:val="85"/>
                <w:sz w:val="24"/>
              </w:rPr>
              <w:t>20%</w:t>
            </w:r>
          </w:p>
        </w:tc>
        <w:tc>
          <w:tcPr>
            <w:tcW w:w="967" w:type="dxa"/>
            <w:tcBorders>
              <w:left w:val="single" w:sz="4" w:space="0" w:color="231F20"/>
              <w:right w:val="single" w:sz="4" w:space="0" w:color="231F20"/>
            </w:tcBorders>
          </w:tcPr>
          <w:p w14:paraId="76070AAA" w14:textId="77777777" w:rsidR="009948F1" w:rsidRDefault="00BC0563">
            <w:pPr>
              <w:pStyle w:val="TableParagraph"/>
              <w:ind w:left="113"/>
              <w:rPr>
                <w:sz w:val="24"/>
              </w:rPr>
            </w:pPr>
            <w:r>
              <w:rPr>
                <w:color w:val="231F20"/>
                <w:w w:val="85"/>
                <w:sz w:val="24"/>
              </w:rPr>
              <w:t>35%</w:t>
            </w:r>
          </w:p>
        </w:tc>
      </w:tr>
    </w:tbl>
    <w:p w14:paraId="0177E4A4" w14:textId="77777777" w:rsidR="009948F1" w:rsidRDefault="009948F1">
      <w:pPr>
        <w:pStyle w:val="BodyText"/>
        <w:spacing w:before="2"/>
        <w:rPr>
          <w:b/>
          <w:sz w:val="26"/>
        </w:rPr>
      </w:pPr>
    </w:p>
    <w:p w14:paraId="6F8B0699" w14:textId="77777777" w:rsidR="009948F1" w:rsidRDefault="00BC0563">
      <w:pPr>
        <w:spacing w:before="1"/>
        <w:ind w:left="149"/>
        <w:rPr>
          <w:b/>
        </w:rPr>
      </w:pPr>
      <w:r>
        <w:rPr>
          <w:b/>
          <w:i/>
          <w:color w:val="231F20"/>
        </w:rPr>
        <w:t>I</w:t>
      </w:r>
      <w:r>
        <w:rPr>
          <w:b/>
          <w:color w:val="231F20"/>
        </w:rPr>
        <w:t>nterventions</w:t>
      </w:r>
    </w:p>
    <w:p w14:paraId="4388FD11" w14:textId="77777777" w:rsidR="009948F1" w:rsidRDefault="009948F1">
      <w:pPr>
        <w:pStyle w:val="BodyText"/>
        <w:spacing w:before="9"/>
        <w:rPr>
          <w:b/>
          <w:sz w:val="28"/>
        </w:rPr>
      </w:pPr>
    </w:p>
    <w:p w14:paraId="79614053" w14:textId="77777777" w:rsidR="009948F1" w:rsidRDefault="00BC0563">
      <w:pPr>
        <w:pStyle w:val="BodyText"/>
        <w:spacing w:line="264" w:lineRule="auto"/>
        <w:ind w:left="149" w:right="195"/>
        <w:jc w:val="both"/>
      </w:pPr>
      <w:r>
        <w:rPr>
          <w:b/>
          <w:color w:val="231F20"/>
        </w:rPr>
        <w:t xml:space="preserve">8.15.2.1 </w:t>
      </w:r>
      <w:r>
        <w:rPr>
          <w:color w:val="231F20"/>
        </w:rPr>
        <w:t>Alignment of health allocations to national priorities. Key activities include;-</w:t>
      </w:r>
      <w:r>
        <w:rPr>
          <w:color w:val="231F20"/>
          <w:spacing w:val="-19"/>
        </w:rPr>
        <w:t xml:space="preserve"> </w:t>
      </w:r>
      <w:r>
        <w:rPr>
          <w:color w:val="231F20"/>
        </w:rPr>
        <w:t>Advocacy to the</w:t>
      </w:r>
      <w:r>
        <w:rPr>
          <w:color w:val="231F20"/>
          <w:spacing w:val="-14"/>
        </w:rPr>
        <w:t xml:space="preserve"> </w:t>
      </w:r>
      <w:r>
        <w:rPr>
          <w:color w:val="231F20"/>
        </w:rPr>
        <w:t>Governor</w:t>
      </w:r>
      <w:r>
        <w:rPr>
          <w:color w:val="231F20"/>
          <w:spacing w:val="-13"/>
        </w:rPr>
        <w:t xml:space="preserve"> </w:t>
      </w:r>
      <w:r>
        <w:rPr>
          <w:color w:val="231F20"/>
        </w:rPr>
        <w:t>for</w:t>
      </w:r>
      <w:r>
        <w:rPr>
          <w:color w:val="231F20"/>
          <w:spacing w:val="-13"/>
        </w:rPr>
        <w:t xml:space="preserve"> </w:t>
      </w:r>
      <w:r>
        <w:rPr>
          <w:color w:val="231F20"/>
        </w:rPr>
        <w:t>allocation</w:t>
      </w:r>
      <w:r>
        <w:rPr>
          <w:color w:val="231F20"/>
          <w:spacing w:val="-13"/>
        </w:rPr>
        <w:t xml:space="preserve"> </w:t>
      </w:r>
      <w:r>
        <w:rPr>
          <w:color w:val="231F20"/>
        </w:rPr>
        <w:t>of</w:t>
      </w:r>
      <w:r>
        <w:rPr>
          <w:color w:val="231F20"/>
          <w:spacing w:val="-13"/>
        </w:rPr>
        <w:t xml:space="preserve"> </w:t>
      </w:r>
      <w:r>
        <w:rPr>
          <w:color w:val="231F20"/>
        </w:rPr>
        <w:t>at</w:t>
      </w:r>
      <w:r>
        <w:rPr>
          <w:color w:val="231F20"/>
          <w:spacing w:val="-13"/>
        </w:rPr>
        <w:t xml:space="preserve"> </w:t>
      </w:r>
      <w:r>
        <w:rPr>
          <w:color w:val="231F20"/>
        </w:rPr>
        <w:t>least</w:t>
      </w:r>
      <w:r>
        <w:rPr>
          <w:color w:val="231F20"/>
          <w:spacing w:val="-13"/>
        </w:rPr>
        <w:t xml:space="preserve"> </w:t>
      </w:r>
      <w:r>
        <w:rPr>
          <w:color w:val="231F20"/>
        </w:rPr>
        <w:t>15%</w:t>
      </w:r>
      <w:r>
        <w:rPr>
          <w:color w:val="231F20"/>
          <w:spacing w:val="-13"/>
        </w:rPr>
        <w:t xml:space="preserve"> </w:t>
      </w:r>
      <w:r>
        <w:rPr>
          <w:color w:val="231F20"/>
        </w:rPr>
        <w:t>of</w:t>
      </w:r>
      <w:r>
        <w:rPr>
          <w:color w:val="231F20"/>
          <w:spacing w:val="-13"/>
        </w:rPr>
        <w:t xml:space="preserve"> </w:t>
      </w:r>
      <w:r>
        <w:rPr>
          <w:color w:val="231F20"/>
        </w:rPr>
        <w:t>State</w:t>
      </w:r>
      <w:r>
        <w:rPr>
          <w:color w:val="231F20"/>
          <w:spacing w:val="-13"/>
        </w:rPr>
        <w:t xml:space="preserve"> </w:t>
      </w:r>
      <w:r>
        <w:rPr>
          <w:color w:val="231F20"/>
        </w:rPr>
        <w:t>and</w:t>
      </w:r>
      <w:r>
        <w:rPr>
          <w:color w:val="231F20"/>
          <w:spacing w:val="-13"/>
        </w:rPr>
        <w:t xml:space="preserve"> </w:t>
      </w:r>
      <w:r>
        <w:rPr>
          <w:color w:val="231F20"/>
        </w:rPr>
        <w:t>LGAs</w:t>
      </w:r>
      <w:r>
        <w:rPr>
          <w:color w:val="231F20"/>
          <w:spacing w:val="-13"/>
        </w:rPr>
        <w:t xml:space="preserve"> </w:t>
      </w:r>
      <w:r>
        <w:rPr>
          <w:color w:val="231F20"/>
        </w:rPr>
        <w:t>budgets</w:t>
      </w:r>
      <w:r>
        <w:rPr>
          <w:color w:val="231F20"/>
          <w:spacing w:val="-13"/>
        </w:rPr>
        <w:t xml:space="preserve"> </w:t>
      </w:r>
      <w:r>
        <w:rPr>
          <w:color w:val="231F20"/>
        </w:rPr>
        <w:t>to</w:t>
      </w:r>
      <w:r>
        <w:rPr>
          <w:color w:val="231F20"/>
          <w:spacing w:val="-13"/>
        </w:rPr>
        <w:t xml:space="preserve"> </w:t>
      </w:r>
      <w:r>
        <w:rPr>
          <w:color w:val="231F20"/>
        </w:rPr>
        <w:t>health</w:t>
      </w:r>
      <w:r>
        <w:rPr>
          <w:color w:val="231F20"/>
          <w:spacing w:val="-13"/>
        </w:rPr>
        <w:t xml:space="preserve"> </w:t>
      </w:r>
      <w:r>
        <w:rPr>
          <w:color w:val="231F20"/>
        </w:rPr>
        <w:t>in</w:t>
      </w:r>
      <w:r>
        <w:rPr>
          <w:color w:val="231F20"/>
          <w:spacing w:val="-14"/>
        </w:rPr>
        <w:t xml:space="preserve"> </w:t>
      </w:r>
      <w:r>
        <w:rPr>
          <w:color w:val="231F20"/>
        </w:rPr>
        <w:t>compliance</w:t>
      </w:r>
      <w:r>
        <w:rPr>
          <w:color w:val="231F20"/>
          <w:spacing w:val="-13"/>
        </w:rPr>
        <w:t xml:space="preserve"> </w:t>
      </w:r>
      <w:r>
        <w:rPr>
          <w:color w:val="231F20"/>
          <w:spacing w:val="-3"/>
        </w:rPr>
        <w:t xml:space="preserve">with </w:t>
      </w:r>
      <w:r>
        <w:rPr>
          <w:color w:val="231F20"/>
        </w:rPr>
        <w:t>Abuja</w:t>
      </w:r>
      <w:r>
        <w:rPr>
          <w:color w:val="231F20"/>
          <w:spacing w:val="-12"/>
        </w:rPr>
        <w:t xml:space="preserve"> </w:t>
      </w:r>
      <w:r>
        <w:rPr>
          <w:color w:val="231F20"/>
        </w:rPr>
        <w:t>declaration;</w:t>
      </w:r>
      <w:r>
        <w:rPr>
          <w:color w:val="231F20"/>
          <w:spacing w:val="-11"/>
        </w:rPr>
        <w:t xml:space="preserve"> </w:t>
      </w:r>
      <w:r>
        <w:rPr>
          <w:color w:val="231F20"/>
        </w:rPr>
        <w:t>Include</w:t>
      </w:r>
      <w:r>
        <w:rPr>
          <w:color w:val="231F20"/>
          <w:spacing w:val="-11"/>
        </w:rPr>
        <w:t xml:space="preserve"> </w:t>
      </w:r>
      <w:r>
        <w:rPr>
          <w:color w:val="231F20"/>
        </w:rPr>
        <w:t>state</w:t>
      </w:r>
      <w:r>
        <w:rPr>
          <w:color w:val="231F20"/>
          <w:spacing w:val="-11"/>
        </w:rPr>
        <w:t xml:space="preserve"> </w:t>
      </w:r>
      <w:r>
        <w:rPr>
          <w:color w:val="231F20"/>
        </w:rPr>
        <w:t>health</w:t>
      </w:r>
      <w:r>
        <w:rPr>
          <w:color w:val="231F20"/>
          <w:spacing w:val="-11"/>
        </w:rPr>
        <w:t xml:space="preserve"> </w:t>
      </w:r>
      <w:r>
        <w:rPr>
          <w:color w:val="231F20"/>
        </w:rPr>
        <w:t>priorities</w:t>
      </w:r>
      <w:r>
        <w:rPr>
          <w:color w:val="231F20"/>
          <w:spacing w:val="-11"/>
        </w:rPr>
        <w:t xml:space="preserve"> </w:t>
      </w:r>
      <w:r>
        <w:rPr>
          <w:color w:val="231F20"/>
        </w:rPr>
        <w:t>into</w:t>
      </w:r>
      <w:r>
        <w:rPr>
          <w:color w:val="231F20"/>
          <w:spacing w:val="-11"/>
        </w:rPr>
        <w:t xml:space="preserve"> </w:t>
      </w:r>
      <w:r>
        <w:rPr>
          <w:color w:val="231F20"/>
        </w:rPr>
        <w:t>MTEF</w:t>
      </w:r>
      <w:r>
        <w:rPr>
          <w:color w:val="231F20"/>
          <w:spacing w:val="-11"/>
        </w:rPr>
        <w:t xml:space="preserve"> </w:t>
      </w:r>
      <w:r>
        <w:rPr>
          <w:color w:val="231F20"/>
        </w:rPr>
        <w:t>and</w:t>
      </w:r>
      <w:r>
        <w:rPr>
          <w:color w:val="231F20"/>
          <w:spacing w:val="-11"/>
        </w:rPr>
        <w:t xml:space="preserve"> </w:t>
      </w:r>
      <w:r>
        <w:rPr>
          <w:color w:val="231F20"/>
        </w:rPr>
        <w:t>align</w:t>
      </w:r>
      <w:r>
        <w:rPr>
          <w:color w:val="231F20"/>
          <w:spacing w:val="-11"/>
        </w:rPr>
        <w:t xml:space="preserve"> </w:t>
      </w:r>
      <w:r>
        <w:rPr>
          <w:color w:val="231F20"/>
        </w:rPr>
        <w:t>all</w:t>
      </w:r>
      <w:r>
        <w:rPr>
          <w:color w:val="231F20"/>
          <w:spacing w:val="-11"/>
        </w:rPr>
        <w:t xml:space="preserve"> </w:t>
      </w:r>
      <w:r>
        <w:rPr>
          <w:color w:val="231F20"/>
        </w:rPr>
        <w:t>LGAs,</w:t>
      </w:r>
      <w:r>
        <w:rPr>
          <w:color w:val="231F20"/>
          <w:spacing w:val="-12"/>
        </w:rPr>
        <w:t xml:space="preserve"> </w:t>
      </w:r>
      <w:r>
        <w:rPr>
          <w:color w:val="231F20"/>
        </w:rPr>
        <w:t>MDAs</w:t>
      </w:r>
      <w:r>
        <w:rPr>
          <w:color w:val="231F20"/>
          <w:spacing w:val="3"/>
        </w:rPr>
        <w:t xml:space="preserve"> </w:t>
      </w:r>
      <w:r>
        <w:rPr>
          <w:color w:val="231F20"/>
        </w:rPr>
        <w:t>and</w:t>
      </w:r>
      <w:r>
        <w:rPr>
          <w:color w:val="231F20"/>
          <w:spacing w:val="-11"/>
        </w:rPr>
        <w:t xml:space="preserve"> </w:t>
      </w:r>
      <w:r>
        <w:rPr>
          <w:color w:val="231F20"/>
        </w:rPr>
        <w:t>donors to</w:t>
      </w:r>
      <w:r>
        <w:rPr>
          <w:color w:val="231F20"/>
          <w:spacing w:val="-10"/>
        </w:rPr>
        <w:t xml:space="preserve"> </w:t>
      </w:r>
      <w:r>
        <w:rPr>
          <w:color w:val="231F20"/>
        </w:rPr>
        <w:t>it;</w:t>
      </w:r>
      <w:r>
        <w:rPr>
          <w:color w:val="231F20"/>
          <w:spacing w:val="-9"/>
        </w:rPr>
        <w:t xml:space="preserve"> </w:t>
      </w:r>
      <w:r>
        <w:rPr>
          <w:color w:val="231F20"/>
        </w:rPr>
        <w:t>Conduct</w:t>
      </w:r>
      <w:r>
        <w:rPr>
          <w:color w:val="231F20"/>
          <w:spacing w:val="-9"/>
        </w:rPr>
        <w:t xml:space="preserve"> </w:t>
      </w:r>
      <w:r>
        <w:rPr>
          <w:color w:val="231F20"/>
        </w:rPr>
        <w:t>evidence-based</w:t>
      </w:r>
      <w:r>
        <w:rPr>
          <w:color w:val="231F20"/>
          <w:spacing w:val="-10"/>
        </w:rPr>
        <w:t xml:space="preserve"> </w:t>
      </w:r>
      <w:r>
        <w:rPr>
          <w:color w:val="231F20"/>
        </w:rPr>
        <w:t>advocacy</w:t>
      </w:r>
      <w:r>
        <w:rPr>
          <w:color w:val="231F20"/>
          <w:spacing w:val="-9"/>
        </w:rPr>
        <w:t xml:space="preserve"> </w:t>
      </w:r>
      <w:r>
        <w:rPr>
          <w:color w:val="231F20"/>
        </w:rPr>
        <w:t>to</w:t>
      </w:r>
      <w:r>
        <w:rPr>
          <w:color w:val="231F20"/>
          <w:spacing w:val="-9"/>
        </w:rPr>
        <w:t xml:space="preserve"> </w:t>
      </w:r>
      <w:r>
        <w:rPr>
          <w:color w:val="231F20"/>
        </w:rPr>
        <w:t>increase</w:t>
      </w:r>
      <w:r>
        <w:rPr>
          <w:color w:val="231F20"/>
          <w:spacing w:val="-9"/>
        </w:rPr>
        <w:t xml:space="preserve"> </w:t>
      </w:r>
      <w:r>
        <w:rPr>
          <w:color w:val="231F20"/>
        </w:rPr>
        <w:t>domestic</w:t>
      </w:r>
      <w:r>
        <w:rPr>
          <w:color w:val="231F20"/>
          <w:spacing w:val="-10"/>
        </w:rPr>
        <w:t xml:space="preserve"> </w:t>
      </w:r>
      <w:r>
        <w:rPr>
          <w:color w:val="231F20"/>
        </w:rPr>
        <w:t>revenue</w:t>
      </w:r>
      <w:r>
        <w:rPr>
          <w:color w:val="231F20"/>
          <w:spacing w:val="-9"/>
        </w:rPr>
        <w:t xml:space="preserve"> </w:t>
      </w:r>
      <w:r>
        <w:rPr>
          <w:color w:val="231F20"/>
        </w:rPr>
        <w:t>for</w:t>
      </w:r>
      <w:r>
        <w:rPr>
          <w:color w:val="231F20"/>
          <w:spacing w:val="-9"/>
        </w:rPr>
        <w:t xml:space="preserve"> </w:t>
      </w:r>
      <w:r>
        <w:rPr>
          <w:color w:val="231F20"/>
        </w:rPr>
        <w:t>health</w:t>
      </w:r>
      <w:r>
        <w:rPr>
          <w:color w:val="231F20"/>
          <w:spacing w:val="-10"/>
        </w:rPr>
        <w:t xml:space="preserve"> </w:t>
      </w:r>
      <w:r>
        <w:rPr>
          <w:color w:val="231F20"/>
        </w:rPr>
        <w:t>using</w:t>
      </w:r>
      <w:r>
        <w:rPr>
          <w:color w:val="231F20"/>
          <w:spacing w:val="-9"/>
        </w:rPr>
        <w:t xml:space="preserve"> </w:t>
      </w:r>
      <w:r>
        <w:rPr>
          <w:color w:val="231F20"/>
        </w:rPr>
        <w:t>innovative financing</w:t>
      </w:r>
      <w:r>
        <w:rPr>
          <w:color w:val="231F20"/>
          <w:spacing w:val="-25"/>
        </w:rPr>
        <w:t xml:space="preserve"> </w:t>
      </w:r>
      <w:r>
        <w:rPr>
          <w:color w:val="231F20"/>
        </w:rPr>
        <w:t>strategies.</w:t>
      </w:r>
    </w:p>
    <w:p w14:paraId="22EDB77A" w14:textId="77777777" w:rsidR="009948F1" w:rsidRDefault="009948F1">
      <w:pPr>
        <w:pStyle w:val="BodyText"/>
        <w:spacing w:before="7"/>
        <w:rPr>
          <w:sz w:val="23"/>
        </w:rPr>
      </w:pPr>
    </w:p>
    <w:p w14:paraId="14A47899" w14:textId="6822F83E" w:rsidR="009948F1" w:rsidRDefault="00BC0563">
      <w:pPr>
        <w:pStyle w:val="ListParagraph"/>
        <w:numPr>
          <w:ilvl w:val="3"/>
          <w:numId w:val="260"/>
        </w:numPr>
        <w:tabs>
          <w:tab w:val="left" w:pos="995"/>
        </w:tabs>
        <w:spacing w:line="264" w:lineRule="auto"/>
        <w:ind w:right="195" w:firstLine="0"/>
      </w:pPr>
      <w:r>
        <w:rPr>
          <w:color w:val="231F20"/>
        </w:rPr>
        <w:t>Advocate</w:t>
      </w:r>
      <w:r>
        <w:rPr>
          <w:color w:val="231F20"/>
          <w:spacing w:val="-13"/>
        </w:rPr>
        <w:t xml:space="preserve"> </w:t>
      </w:r>
      <w:r>
        <w:rPr>
          <w:color w:val="231F20"/>
        </w:rPr>
        <w:t>for</w:t>
      </w:r>
      <w:r>
        <w:rPr>
          <w:color w:val="231F20"/>
          <w:spacing w:val="-12"/>
        </w:rPr>
        <w:t xml:space="preserve"> </w:t>
      </w:r>
      <w:r>
        <w:rPr>
          <w:color w:val="231F20"/>
        </w:rPr>
        <w:t>increase</w:t>
      </w:r>
      <w:r>
        <w:rPr>
          <w:color w:val="231F20"/>
          <w:spacing w:val="-11"/>
        </w:rPr>
        <w:t xml:space="preserve"> </w:t>
      </w:r>
      <w:r>
        <w:rPr>
          <w:color w:val="231F20"/>
        </w:rPr>
        <w:t>in</w:t>
      </w:r>
      <w:r>
        <w:rPr>
          <w:color w:val="231F20"/>
          <w:spacing w:val="-12"/>
        </w:rPr>
        <w:t xml:space="preserve"> </w:t>
      </w:r>
      <w:r>
        <w:rPr>
          <w:color w:val="231F20"/>
        </w:rPr>
        <w:t>government</w:t>
      </w:r>
      <w:r>
        <w:rPr>
          <w:color w:val="231F20"/>
          <w:spacing w:val="-11"/>
        </w:rPr>
        <w:t xml:space="preserve"> </w:t>
      </w:r>
      <w:r>
        <w:rPr>
          <w:color w:val="231F20"/>
        </w:rPr>
        <w:t>annual</w:t>
      </w:r>
      <w:r>
        <w:rPr>
          <w:color w:val="231F20"/>
          <w:spacing w:val="-11"/>
        </w:rPr>
        <w:t xml:space="preserve"> </w:t>
      </w:r>
      <w:r>
        <w:rPr>
          <w:color w:val="231F20"/>
        </w:rPr>
        <w:t>budget</w:t>
      </w:r>
      <w:r>
        <w:rPr>
          <w:color w:val="231F20"/>
          <w:spacing w:val="-11"/>
        </w:rPr>
        <w:t xml:space="preserve"> </w:t>
      </w:r>
      <w:r>
        <w:rPr>
          <w:color w:val="231F20"/>
        </w:rPr>
        <w:t>and</w:t>
      </w:r>
      <w:r>
        <w:rPr>
          <w:color w:val="231F20"/>
          <w:spacing w:val="-12"/>
        </w:rPr>
        <w:t xml:space="preserve"> </w:t>
      </w:r>
      <w:r>
        <w:rPr>
          <w:color w:val="231F20"/>
        </w:rPr>
        <w:t>spending</w:t>
      </w:r>
      <w:r>
        <w:rPr>
          <w:color w:val="231F20"/>
          <w:spacing w:val="-12"/>
        </w:rPr>
        <w:t xml:space="preserve"> </w:t>
      </w:r>
      <w:r>
        <w:rPr>
          <w:color w:val="231F20"/>
        </w:rPr>
        <w:t>on</w:t>
      </w:r>
      <w:r>
        <w:rPr>
          <w:color w:val="231F20"/>
          <w:spacing w:val="-12"/>
        </w:rPr>
        <w:t xml:space="preserve"> </w:t>
      </w:r>
      <w:r>
        <w:rPr>
          <w:color w:val="231F20"/>
        </w:rPr>
        <w:t>health.</w:t>
      </w:r>
      <w:r>
        <w:rPr>
          <w:color w:val="231F20"/>
          <w:spacing w:val="-12"/>
        </w:rPr>
        <w:t xml:space="preserve"> </w:t>
      </w:r>
      <w:r>
        <w:rPr>
          <w:color w:val="231F20"/>
        </w:rPr>
        <w:t>Key</w:t>
      </w:r>
      <w:r>
        <w:rPr>
          <w:color w:val="231F20"/>
          <w:spacing w:val="-12"/>
        </w:rPr>
        <w:t xml:space="preserve"> </w:t>
      </w:r>
      <w:r>
        <w:rPr>
          <w:color w:val="231F20"/>
        </w:rPr>
        <w:t>actions include;</w:t>
      </w:r>
      <w:r>
        <w:rPr>
          <w:color w:val="231F20"/>
          <w:spacing w:val="-21"/>
        </w:rPr>
        <w:t xml:space="preserve"> </w:t>
      </w:r>
      <w:r>
        <w:rPr>
          <w:color w:val="231F20"/>
        </w:rPr>
        <w:t>-</w:t>
      </w:r>
      <w:r>
        <w:rPr>
          <w:color w:val="231F20"/>
          <w:spacing w:val="-20"/>
        </w:rPr>
        <w:t xml:space="preserve"> </w:t>
      </w:r>
      <w:r>
        <w:rPr>
          <w:color w:val="231F20"/>
        </w:rPr>
        <w:t>Conduct</w:t>
      </w:r>
      <w:r>
        <w:rPr>
          <w:color w:val="231F20"/>
          <w:spacing w:val="-20"/>
        </w:rPr>
        <w:t xml:space="preserve"> </w:t>
      </w:r>
      <w:r>
        <w:rPr>
          <w:color w:val="231F20"/>
        </w:rPr>
        <w:t>advocacy</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Government</w:t>
      </w:r>
      <w:r>
        <w:rPr>
          <w:color w:val="231F20"/>
          <w:spacing w:val="-20"/>
        </w:rPr>
        <w:t xml:space="preserve"> </w:t>
      </w:r>
      <w:r>
        <w:rPr>
          <w:color w:val="231F20"/>
        </w:rPr>
        <w:t>at</w:t>
      </w:r>
      <w:r>
        <w:rPr>
          <w:color w:val="231F20"/>
          <w:spacing w:val="-20"/>
        </w:rPr>
        <w:t xml:space="preserve"> </w:t>
      </w:r>
      <w:r>
        <w:rPr>
          <w:color w:val="231F20"/>
        </w:rPr>
        <w:t>all</w:t>
      </w:r>
      <w:r>
        <w:rPr>
          <w:color w:val="231F20"/>
          <w:spacing w:val="-20"/>
        </w:rPr>
        <w:t xml:space="preserve"> </w:t>
      </w:r>
      <w:r>
        <w:rPr>
          <w:color w:val="231F20"/>
        </w:rPr>
        <w:t>levels</w:t>
      </w:r>
      <w:r>
        <w:rPr>
          <w:color w:val="231F20"/>
          <w:spacing w:val="-20"/>
        </w:rPr>
        <w:t xml:space="preserve"> </w:t>
      </w:r>
      <w:r>
        <w:rPr>
          <w:color w:val="231F20"/>
        </w:rPr>
        <w:t>(State</w:t>
      </w:r>
      <w:r>
        <w:rPr>
          <w:color w:val="231F20"/>
          <w:spacing w:val="-20"/>
        </w:rPr>
        <w:t xml:space="preserve"> </w:t>
      </w:r>
      <w:r>
        <w:rPr>
          <w:color w:val="231F20"/>
        </w:rPr>
        <w:t>and</w:t>
      </w:r>
      <w:r>
        <w:rPr>
          <w:color w:val="231F20"/>
          <w:spacing w:val="-20"/>
        </w:rPr>
        <w:t xml:space="preserve"> </w:t>
      </w:r>
      <w:r>
        <w:rPr>
          <w:color w:val="231F20"/>
        </w:rPr>
        <w:t>Local</w:t>
      </w:r>
      <w:r>
        <w:rPr>
          <w:color w:val="231F20"/>
          <w:spacing w:val="-20"/>
        </w:rPr>
        <w:t xml:space="preserve"> </w:t>
      </w:r>
      <w:r>
        <w:rPr>
          <w:color w:val="231F20"/>
        </w:rPr>
        <w:t>Government)</w:t>
      </w:r>
      <w:r>
        <w:rPr>
          <w:color w:val="231F20"/>
          <w:spacing w:val="-20"/>
        </w:rPr>
        <w:t xml:space="preserve"> </w:t>
      </w:r>
      <w:r>
        <w:rPr>
          <w:color w:val="231F20"/>
        </w:rPr>
        <w:t>to</w:t>
      </w:r>
      <w:r>
        <w:rPr>
          <w:color w:val="231F20"/>
          <w:spacing w:val="-20"/>
        </w:rPr>
        <w:t xml:space="preserve"> </w:t>
      </w:r>
      <w:r>
        <w:rPr>
          <w:color w:val="231F20"/>
        </w:rPr>
        <w:t>make financial</w:t>
      </w:r>
      <w:r>
        <w:rPr>
          <w:color w:val="231F20"/>
          <w:spacing w:val="-25"/>
        </w:rPr>
        <w:t xml:space="preserve"> </w:t>
      </w:r>
      <w:r>
        <w:rPr>
          <w:color w:val="231F20"/>
        </w:rPr>
        <w:t>provisions</w:t>
      </w:r>
      <w:r>
        <w:rPr>
          <w:color w:val="231F20"/>
          <w:spacing w:val="-24"/>
        </w:rPr>
        <w:t xml:space="preserve"> </w:t>
      </w:r>
      <w:r>
        <w:rPr>
          <w:color w:val="231F20"/>
        </w:rPr>
        <w:t>for</w:t>
      </w:r>
      <w:r>
        <w:rPr>
          <w:color w:val="231F20"/>
          <w:spacing w:val="-24"/>
        </w:rPr>
        <w:t xml:space="preserve"> </w:t>
      </w:r>
      <w:r>
        <w:rPr>
          <w:color w:val="231F20"/>
        </w:rPr>
        <w:t>poor</w:t>
      </w:r>
      <w:r>
        <w:rPr>
          <w:color w:val="231F20"/>
          <w:spacing w:val="-24"/>
        </w:rPr>
        <w:t xml:space="preserve"> </w:t>
      </w:r>
      <w:r>
        <w:rPr>
          <w:color w:val="231F20"/>
        </w:rPr>
        <w:t>and</w:t>
      </w:r>
      <w:r>
        <w:rPr>
          <w:color w:val="231F20"/>
          <w:spacing w:val="-24"/>
        </w:rPr>
        <w:t xml:space="preserve"> </w:t>
      </w:r>
      <w:r>
        <w:rPr>
          <w:color w:val="231F20"/>
        </w:rPr>
        <w:t>vulnerable</w:t>
      </w:r>
      <w:r>
        <w:rPr>
          <w:color w:val="231F20"/>
          <w:spacing w:val="-24"/>
        </w:rPr>
        <w:t xml:space="preserve"> </w:t>
      </w:r>
      <w:r>
        <w:rPr>
          <w:color w:val="231F20"/>
        </w:rPr>
        <w:t>groups</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form</w:t>
      </w:r>
      <w:r>
        <w:rPr>
          <w:color w:val="231F20"/>
          <w:spacing w:val="-25"/>
        </w:rPr>
        <w:t xml:space="preserve"> </w:t>
      </w:r>
      <w:r>
        <w:rPr>
          <w:color w:val="231F20"/>
        </w:rPr>
        <w:t>of</w:t>
      </w:r>
      <w:r>
        <w:rPr>
          <w:color w:val="231F20"/>
          <w:spacing w:val="-24"/>
        </w:rPr>
        <w:t xml:space="preserve"> </w:t>
      </w:r>
      <w:r>
        <w:rPr>
          <w:color w:val="231F20"/>
        </w:rPr>
        <w:t>direct</w:t>
      </w:r>
      <w:r>
        <w:rPr>
          <w:color w:val="231F20"/>
          <w:spacing w:val="-24"/>
        </w:rPr>
        <w:t xml:space="preserve"> </w:t>
      </w:r>
      <w:r>
        <w:rPr>
          <w:color w:val="231F20"/>
        </w:rPr>
        <w:t>payments,</w:t>
      </w:r>
      <w:r>
        <w:rPr>
          <w:color w:val="231F20"/>
          <w:spacing w:val="-24"/>
        </w:rPr>
        <w:t xml:space="preserve"> </w:t>
      </w:r>
      <w:r>
        <w:rPr>
          <w:color w:val="231F20"/>
        </w:rPr>
        <w:t>subsidies,</w:t>
      </w:r>
      <w:r>
        <w:rPr>
          <w:color w:val="231F20"/>
          <w:spacing w:val="-24"/>
        </w:rPr>
        <w:t xml:space="preserve"> </w:t>
      </w:r>
      <w:r>
        <w:rPr>
          <w:color w:val="231F20"/>
        </w:rPr>
        <w:t xml:space="preserve">paying for insurance contributions or any other methods. Make special provision for diseases of public health significance such as Malaria, HIV/AIDS, TB, </w:t>
      </w:r>
      <w:r>
        <w:rPr>
          <w:color w:val="231F20"/>
          <w:spacing w:val="-3"/>
        </w:rPr>
        <w:t xml:space="preserve">Leprosy, </w:t>
      </w:r>
      <w:r w:rsidR="00AD5763">
        <w:rPr>
          <w:color w:val="231F20"/>
        </w:rPr>
        <w:t>Monkey pox</w:t>
      </w:r>
      <w:r>
        <w:rPr>
          <w:color w:val="231F20"/>
        </w:rPr>
        <w:t>, vaccine preventable diseases</w:t>
      </w:r>
      <w:r>
        <w:rPr>
          <w:color w:val="231F20"/>
          <w:spacing w:val="-25"/>
        </w:rPr>
        <w:t xml:space="preserve"> </w:t>
      </w:r>
      <w:r>
        <w:rPr>
          <w:color w:val="231F20"/>
        </w:rPr>
        <w:t>and</w:t>
      </w:r>
      <w:r>
        <w:rPr>
          <w:color w:val="231F20"/>
          <w:spacing w:val="-24"/>
        </w:rPr>
        <w:t xml:space="preserve"> </w:t>
      </w:r>
      <w:r>
        <w:rPr>
          <w:color w:val="231F20"/>
        </w:rPr>
        <w:t>others;</w:t>
      </w:r>
      <w:r>
        <w:rPr>
          <w:color w:val="231F20"/>
          <w:spacing w:val="-24"/>
        </w:rPr>
        <w:t xml:space="preserve"> </w:t>
      </w:r>
      <w:r>
        <w:rPr>
          <w:color w:val="231F20"/>
        </w:rPr>
        <w:t>Develop</w:t>
      </w:r>
      <w:r>
        <w:rPr>
          <w:color w:val="231F20"/>
          <w:spacing w:val="-24"/>
        </w:rPr>
        <w:t xml:space="preserve"> </w:t>
      </w:r>
      <w:r>
        <w:rPr>
          <w:color w:val="231F20"/>
        </w:rPr>
        <w:t>and</w:t>
      </w:r>
      <w:r>
        <w:rPr>
          <w:color w:val="231F20"/>
          <w:spacing w:val="-24"/>
        </w:rPr>
        <w:t xml:space="preserve"> </w:t>
      </w:r>
      <w:r>
        <w:rPr>
          <w:color w:val="231F20"/>
        </w:rPr>
        <w:t>implement</w:t>
      </w:r>
      <w:r>
        <w:rPr>
          <w:color w:val="231F20"/>
          <w:spacing w:val="-24"/>
        </w:rPr>
        <w:t xml:space="preserve"> </w:t>
      </w:r>
      <w:r>
        <w:rPr>
          <w:color w:val="231F20"/>
        </w:rPr>
        <w:t>advocacy</w:t>
      </w:r>
      <w:r>
        <w:rPr>
          <w:color w:val="231F20"/>
          <w:spacing w:val="-24"/>
        </w:rPr>
        <w:t xml:space="preserve"> </w:t>
      </w:r>
      <w:r>
        <w:rPr>
          <w:color w:val="231F20"/>
        </w:rPr>
        <w:t>strategy</w:t>
      </w:r>
      <w:r>
        <w:rPr>
          <w:color w:val="231F20"/>
          <w:spacing w:val="-24"/>
        </w:rPr>
        <w:t xml:space="preserve"> </w:t>
      </w:r>
      <w:r>
        <w:rPr>
          <w:color w:val="231F20"/>
        </w:rPr>
        <w:t>for</w:t>
      </w:r>
      <w:r>
        <w:rPr>
          <w:color w:val="231F20"/>
          <w:spacing w:val="-24"/>
        </w:rPr>
        <w:t xml:space="preserve"> </w:t>
      </w:r>
      <w:r>
        <w:rPr>
          <w:color w:val="231F20"/>
        </w:rPr>
        <w:t>increased</w:t>
      </w:r>
      <w:r>
        <w:rPr>
          <w:color w:val="231F20"/>
          <w:spacing w:val="-25"/>
        </w:rPr>
        <w:t xml:space="preserve"> </w:t>
      </w:r>
      <w:r>
        <w:rPr>
          <w:color w:val="231F20"/>
        </w:rPr>
        <w:t>and</w:t>
      </w:r>
      <w:r>
        <w:rPr>
          <w:color w:val="231F20"/>
          <w:spacing w:val="-24"/>
        </w:rPr>
        <w:t xml:space="preserve"> </w:t>
      </w:r>
      <w:r>
        <w:rPr>
          <w:color w:val="231F20"/>
        </w:rPr>
        <w:t>timely</w:t>
      </w:r>
      <w:r>
        <w:rPr>
          <w:color w:val="231F20"/>
          <w:spacing w:val="-24"/>
        </w:rPr>
        <w:t xml:space="preserve"> </w:t>
      </w:r>
      <w:r>
        <w:rPr>
          <w:color w:val="231F20"/>
        </w:rPr>
        <w:t>release</w:t>
      </w:r>
      <w:r>
        <w:rPr>
          <w:color w:val="231F20"/>
          <w:spacing w:val="-24"/>
        </w:rPr>
        <w:t xml:space="preserve"> </w:t>
      </w:r>
      <w:r>
        <w:rPr>
          <w:color w:val="231F20"/>
        </w:rPr>
        <w:t>of health budgets; Support health advocacy committee to advocate for increase in health budget, timely</w:t>
      </w:r>
      <w:r>
        <w:rPr>
          <w:color w:val="231F20"/>
          <w:spacing w:val="-25"/>
        </w:rPr>
        <w:t xml:space="preserve"> </w:t>
      </w:r>
      <w:r>
        <w:rPr>
          <w:color w:val="231F20"/>
        </w:rPr>
        <w:t>budgetary</w:t>
      </w:r>
      <w:r>
        <w:rPr>
          <w:color w:val="231F20"/>
          <w:spacing w:val="-26"/>
        </w:rPr>
        <w:t xml:space="preserve"> </w:t>
      </w:r>
      <w:r>
        <w:rPr>
          <w:color w:val="231F20"/>
        </w:rPr>
        <w:t>releases</w:t>
      </w:r>
      <w:r>
        <w:rPr>
          <w:color w:val="231F20"/>
          <w:spacing w:val="-25"/>
        </w:rPr>
        <w:t xml:space="preserve"> </w:t>
      </w:r>
      <w:r>
        <w:rPr>
          <w:color w:val="231F20"/>
        </w:rPr>
        <w:t>and</w:t>
      </w:r>
      <w:r>
        <w:rPr>
          <w:color w:val="231F20"/>
          <w:spacing w:val="-25"/>
        </w:rPr>
        <w:t xml:space="preserve"> </w:t>
      </w:r>
      <w:r>
        <w:rPr>
          <w:color w:val="231F20"/>
        </w:rPr>
        <w:t>adequate</w:t>
      </w:r>
      <w:r>
        <w:rPr>
          <w:color w:val="231F20"/>
          <w:spacing w:val="-25"/>
        </w:rPr>
        <w:t xml:space="preserve"> </w:t>
      </w:r>
      <w:r>
        <w:rPr>
          <w:color w:val="231F20"/>
        </w:rPr>
        <w:t>expenditure</w:t>
      </w:r>
      <w:r>
        <w:rPr>
          <w:color w:val="231F20"/>
          <w:spacing w:val="-25"/>
        </w:rPr>
        <w:t xml:space="preserve"> </w:t>
      </w:r>
      <w:r>
        <w:rPr>
          <w:color w:val="231F20"/>
        </w:rPr>
        <w:t>tracking.</w:t>
      </w:r>
    </w:p>
    <w:p w14:paraId="04B33EAE" w14:textId="77777777" w:rsidR="009948F1" w:rsidRDefault="009948F1">
      <w:pPr>
        <w:spacing w:line="264" w:lineRule="auto"/>
        <w:jc w:val="both"/>
        <w:sectPr w:rsidR="009948F1">
          <w:pgSz w:w="11910" w:h="16840"/>
          <w:pgMar w:top="1380" w:right="1080" w:bottom="1420" w:left="1120" w:header="0" w:footer="1235" w:gutter="0"/>
          <w:cols w:space="720"/>
        </w:sectPr>
      </w:pPr>
    </w:p>
    <w:p w14:paraId="6B785C6B" w14:textId="77777777" w:rsidR="009948F1" w:rsidRDefault="00BC0563">
      <w:pPr>
        <w:pStyle w:val="ListParagraph"/>
        <w:numPr>
          <w:ilvl w:val="3"/>
          <w:numId w:val="260"/>
        </w:numPr>
        <w:tabs>
          <w:tab w:val="left" w:pos="1030"/>
        </w:tabs>
        <w:spacing w:before="39" w:line="264" w:lineRule="auto"/>
        <w:ind w:left="155" w:right="199" w:firstLine="0"/>
      </w:pPr>
      <w:bookmarkStart w:id="108" w:name="Page_94"/>
      <w:bookmarkEnd w:id="108"/>
      <w:r>
        <w:rPr>
          <w:color w:val="231F20"/>
        </w:rPr>
        <w:lastRenderedPageBreak/>
        <w:t>Strengthen legal and coordinating framework for PPP at the State levels. Key actions include;</w:t>
      </w:r>
      <w:r>
        <w:rPr>
          <w:color w:val="231F20"/>
          <w:spacing w:val="-16"/>
        </w:rPr>
        <w:t xml:space="preserve"> </w:t>
      </w:r>
      <w:r>
        <w:rPr>
          <w:color w:val="231F20"/>
        </w:rPr>
        <w:t>-</w:t>
      </w:r>
      <w:r>
        <w:rPr>
          <w:color w:val="231F20"/>
          <w:spacing w:val="-16"/>
        </w:rPr>
        <w:t xml:space="preserve"> </w:t>
      </w:r>
      <w:r>
        <w:rPr>
          <w:color w:val="231F20"/>
        </w:rPr>
        <w:t>Review</w:t>
      </w:r>
      <w:r>
        <w:rPr>
          <w:color w:val="231F20"/>
          <w:spacing w:val="-15"/>
        </w:rPr>
        <w:t xml:space="preserve"> </w:t>
      </w:r>
      <w:r>
        <w:rPr>
          <w:color w:val="231F20"/>
        </w:rPr>
        <w:t>and</w:t>
      </w:r>
      <w:r>
        <w:rPr>
          <w:color w:val="231F20"/>
          <w:spacing w:val="-16"/>
        </w:rPr>
        <w:t xml:space="preserve"> </w:t>
      </w:r>
      <w:r>
        <w:rPr>
          <w:color w:val="231F20"/>
        </w:rPr>
        <w:t>domesticate</w:t>
      </w:r>
      <w:r>
        <w:rPr>
          <w:color w:val="231F20"/>
          <w:spacing w:val="-16"/>
        </w:rPr>
        <w:t xml:space="preserve"> </w:t>
      </w:r>
      <w:r>
        <w:rPr>
          <w:color w:val="231F20"/>
        </w:rPr>
        <w:t>Legal</w:t>
      </w:r>
      <w:r>
        <w:rPr>
          <w:color w:val="231F20"/>
          <w:spacing w:val="-15"/>
        </w:rPr>
        <w:t xml:space="preserve"> </w:t>
      </w:r>
      <w:r>
        <w:rPr>
          <w:color w:val="231F20"/>
        </w:rPr>
        <w:t>&amp;</w:t>
      </w:r>
      <w:r>
        <w:rPr>
          <w:color w:val="231F20"/>
          <w:spacing w:val="-16"/>
        </w:rPr>
        <w:t xml:space="preserve"> </w:t>
      </w:r>
      <w:r>
        <w:rPr>
          <w:color w:val="231F20"/>
        </w:rPr>
        <w:t>Coordinating</w:t>
      </w:r>
      <w:r>
        <w:rPr>
          <w:color w:val="231F20"/>
          <w:spacing w:val="-15"/>
        </w:rPr>
        <w:t xml:space="preserve"> </w:t>
      </w:r>
      <w:r>
        <w:rPr>
          <w:color w:val="231F20"/>
        </w:rPr>
        <w:t>framework</w:t>
      </w:r>
      <w:r>
        <w:rPr>
          <w:color w:val="231F20"/>
          <w:spacing w:val="-16"/>
        </w:rPr>
        <w:t xml:space="preserve"> </w:t>
      </w:r>
      <w:r>
        <w:rPr>
          <w:color w:val="231F20"/>
        </w:rPr>
        <w:t>for</w:t>
      </w:r>
      <w:r>
        <w:rPr>
          <w:color w:val="231F20"/>
          <w:spacing w:val="-16"/>
        </w:rPr>
        <w:t xml:space="preserve"> </w:t>
      </w:r>
      <w:r>
        <w:rPr>
          <w:color w:val="231F20"/>
        </w:rPr>
        <w:t>PPP</w:t>
      </w:r>
      <w:r>
        <w:rPr>
          <w:color w:val="231F20"/>
          <w:spacing w:val="-19"/>
        </w:rPr>
        <w:t xml:space="preserve"> </w:t>
      </w:r>
      <w:r>
        <w:rPr>
          <w:color w:val="231F20"/>
        </w:rPr>
        <w:t>for</w:t>
      </w:r>
      <w:r>
        <w:rPr>
          <w:color w:val="231F20"/>
          <w:spacing w:val="-16"/>
        </w:rPr>
        <w:t xml:space="preserve"> </w:t>
      </w:r>
      <w:r>
        <w:rPr>
          <w:color w:val="231F20"/>
        </w:rPr>
        <w:t>the</w:t>
      </w:r>
      <w:r>
        <w:rPr>
          <w:color w:val="231F20"/>
          <w:spacing w:val="-15"/>
        </w:rPr>
        <w:t xml:space="preserve"> </w:t>
      </w:r>
      <w:r>
        <w:rPr>
          <w:color w:val="231F20"/>
        </w:rPr>
        <w:t>State;</w:t>
      </w:r>
      <w:r>
        <w:rPr>
          <w:color w:val="231F20"/>
          <w:spacing w:val="-16"/>
        </w:rPr>
        <w:t xml:space="preserve"> </w:t>
      </w:r>
      <w:r>
        <w:rPr>
          <w:color w:val="231F20"/>
          <w:spacing w:val="-3"/>
        </w:rPr>
        <w:t xml:space="preserve">Conduct </w:t>
      </w:r>
      <w:r>
        <w:rPr>
          <w:color w:val="231F20"/>
        </w:rPr>
        <w:t>periodic</w:t>
      </w:r>
      <w:r>
        <w:rPr>
          <w:color w:val="231F20"/>
          <w:spacing w:val="-6"/>
        </w:rPr>
        <w:t xml:space="preserve"> </w:t>
      </w:r>
      <w:r>
        <w:rPr>
          <w:color w:val="231F20"/>
        </w:rPr>
        <w:t>trainings</w:t>
      </w:r>
      <w:r>
        <w:rPr>
          <w:color w:val="231F20"/>
          <w:spacing w:val="-5"/>
        </w:rPr>
        <w:t xml:space="preserve"> </w:t>
      </w:r>
      <w:r>
        <w:rPr>
          <w:color w:val="231F20"/>
        </w:rPr>
        <w:t>for</w:t>
      </w:r>
      <w:r>
        <w:rPr>
          <w:color w:val="231F20"/>
          <w:spacing w:val="-6"/>
        </w:rPr>
        <w:t xml:space="preserve"> </w:t>
      </w:r>
      <w:r>
        <w:rPr>
          <w:color w:val="231F20"/>
        </w:rPr>
        <w:t>PPP</w:t>
      </w:r>
      <w:r>
        <w:rPr>
          <w:color w:val="231F20"/>
          <w:spacing w:val="-10"/>
        </w:rPr>
        <w:t xml:space="preserve"> </w:t>
      </w:r>
      <w:r>
        <w:rPr>
          <w:color w:val="231F20"/>
        </w:rPr>
        <w:t>committee</w:t>
      </w:r>
      <w:r>
        <w:rPr>
          <w:color w:val="231F20"/>
          <w:spacing w:val="-6"/>
        </w:rPr>
        <w:t xml:space="preserve"> </w:t>
      </w:r>
      <w:r>
        <w:rPr>
          <w:color w:val="231F20"/>
        </w:rPr>
        <w:t>for</w:t>
      </w:r>
      <w:r>
        <w:rPr>
          <w:color w:val="231F20"/>
          <w:spacing w:val="-6"/>
        </w:rPr>
        <w:t xml:space="preserve"> </w:t>
      </w:r>
      <w:r>
        <w:rPr>
          <w:color w:val="231F20"/>
        </w:rPr>
        <w:t>update</w:t>
      </w:r>
      <w:r>
        <w:rPr>
          <w:color w:val="231F20"/>
          <w:spacing w:val="-5"/>
        </w:rPr>
        <w:t xml:space="preserve"> </w:t>
      </w:r>
      <w:r>
        <w:rPr>
          <w:color w:val="231F20"/>
        </w:rPr>
        <w:t>in</w:t>
      </w:r>
      <w:r>
        <w:rPr>
          <w:color w:val="231F20"/>
          <w:spacing w:val="-6"/>
        </w:rPr>
        <w:t xml:space="preserve"> </w:t>
      </w:r>
      <w:r>
        <w:rPr>
          <w:color w:val="231F20"/>
        </w:rPr>
        <w:t>PPP</w:t>
      </w:r>
      <w:r>
        <w:rPr>
          <w:color w:val="231F20"/>
          <w:spacing w:val="-10"/>
        </w:rPr>
        <w:t xml:space="preserve"> </w:t>
      </w:r>
      <w:r>
        <w:rPr>
          <w:color w:val="231F20"/>
        </w:rPr>
        <w:t>policy</w:t>
      </w:r>
      <w:r>
        <w:rPr>
          <w:color w:val="231F20"/>
          <w:spacing w:val="-6"/>
        </w:rPr>
        <w:t xml:space="preserve"> </w:t>
      </w:r>
      <w:r>
        <w:rPr>
          <w:color w:val="231F20"/>
        </w:rPr>
        <w:t>changes;</w:t>
      </w:r>
      <w:r>
        <w:rPr>
          <w:color w:val="231F20"/>
          <w:spacing w:val="-5"/>
        </w:rPr>
        <w:t xml:space="preserve"> </w:t>
      </w:r>
      <w:r>
        <w:rPr>
          <w:color w:val="231F20"/>
        </w:rPr>
        <w:t>Produce</w:t>
      </w:r>
      <w:r>
        <w:rPr>
          <w:color w:val="231F20"/>
          <w:spacing w:val="-6"/>
        </w:rPr>
        <w:t xml:space="preserve"> </w:t>
      </w:r>
      <w:r>
        <w:rPr>
          <w:color w:val="231F20"/>
        </w:rPr>
        <w:t>copies</w:t>
      </w:r>
      <w:r>
        <w:rPr>
          <w:color w:val="231F20"/>
          <w:spacing w:val="-5"/>
        </w:rPr>
        <w:t xml:space="preserve"> </w:t>
      </w:r>
      <w:r>
        <w:rPr>
          <w:color w:val="231F20"/>
        </w:rPr>
        <w:t>of</w:t>
      </w:r>
      <w:r>
        <w:rPr>
          <w:color w:val="231F20"/>
          <w:spacing w:val="-6"/>
        </w:rPr>
        <w:t xml:space="preserve"> </w:t>
      </w:r>
      <w:r>
        <w:rPr>
          <w:color w:val="231F20"/>
        </w:rPr>
        <w:t>Rivers State</w:t>
      </w:r>
      <w:r>
        <w:rPr>
          <w:color w:val="231F20"/>
          <w:spacing w:val="-7"/>
        </w:rPr>
        <w:t xml:space="preserve"> </w:t>
      </w:r>
      <w:r>
        <w:rPr>
          <w:color w:val="231F20"/>
        </w:rPr>
        <w:t>Legal</w:t>
      </w:r>
      <w:r>
        <w:rPr>
          <w:color w:val="231F20"/>
          <w:spacing w:val="-6"/>
        </w:rPr>
        <w:t xml:space="preserve"> </w:t>
      </w:r>
      <w:r>
        <w:rPr>
          <w:color w:val="231F20"/>
        </w:rPr>
        <w:t>Framework</w:t>
      </w:r>
      <w:r>
        <w:rPr>
          <w:color w:val="231F20"/>
          <w:spacing w:val="-6"/>
        </w:rPr>
        <w:t xml:space="preserve"> </w:t>
      </w:r>
      <w:r>
        <w:rPr>
          <w:color w:val="231F20"/>
        </w:rPr>
        <w:t>&amp;</w:t>
      </w:r>
      <w:r>
        <w:rPr>
          <w:color w:val="231F20"/>
          <w:spacing w:val="-6"/>
        </w:rPr>
        <w:t xml:space="preserve"> </w:t>
      </w:r>
      <w:r>
        <w:rPr>
          <w:color w:val="231F20"/>
        </w:rPr>
        <w:t>disseminate</w:t>
      </w:r>
      <w:r>
        <w:rPr>
          <w:color w:val="231F20"/>
          <w:spacing w:val="-5"/>
        </w:rPr>
        <w:t xml:space="preserve"> </w:t>
      </w:r>
      <w:r>
        <w:rPr>
          <w:color w:val="231F20"/>
        </w:rPr>
        <w:t>to</w:t>
      </w:r>
      <w:r>
        <w:rPr>
          <w:color w:val="231F20"/>
          <w:spacing w:val="-6"/>
        </w:rPr>
        <w:t xml:space="preserve"> </w:t>
      </w:r>
      <w:r>
        <w:rPr>
          <w:color w:val="231F20"/>
        </w:rPr>
        <w:t>all</w:t>
      </w:r>
      <w:r>
        <w:rPr>
          <w:color w:val="231F20"/>
          <w:spacing w:val="-6"/>
        </w:rPr>
        <w:t xml:space="preserve"> </w:t>
      </w:r>
      <w:r>
        <w:rPr>
          <w:color w:val="231F20"/>
        </w:rPr>
        <w:t>stakeholders</w:t>
      </w:r>
      <w:r>
        <w:rPr>
          <w:color w:val="231F20"/>
          <w:spacing w:val="-5"/>
        </w:rPr>
        <w:t xml:space="preserve"> </w:t>
      </w:r>
      <w:r>
        <w:rPr>
          <w:color w:val="231F20"/>
        </w:rPr>
        <w:t>in</w:t>
      </w:r>
      <w:r>
        <w:rPr>
          <w:color w:val="231F20"/>
          <w:spacing w:val="-6"/>
        </w:rPr>
        <w:t xml:space="preserve"> </w:t>
      </w:r>
      <w:r>
        <w:rPr>
          <w:color w:val="231F20"/>
        </w:rPr>
        <w:t>Public</w:t>
      </w:r>
      <w:r>
        <w:rPr>
          <w:color w:val="231F20"/>
          <w:spacing w:val="-6"/>
        </w:rPr>
        <w:t xml:space="preserve"> </w:t>
      </w:r>
      <w:r>
        <w:rPr>
          <w:color w:val="231F20"/>
        </w:rPr>
        <w:t>and</w:t>
      </w:r>
      <w:r>
        <w:rPr>
          <w:color w:val="231F20"/>
          <w:spacing w:val="-6"/>
        </w:rPr>
        <w:t xml:space="preserve"> </w:t>
      </w:r>
      <w:r>
        <w:rPr>
          <w:color w:val="231F20"/>
        </w:rPr>
        <w:t>Private</w:t>
      </w:r>
      <w:r>
        <w:rPr>
          <w:color w:val="231F20"/>
          <w:spacing w:val="-6"/>
        </w:rPr>
        <w:t xml:space="preserve"> </w:t>
      </w:r>
      <w:r>
        <w:rPr>
          <w:color w:val="231F20"/>
        </w:rPr>
        <w:t>sectors;</w:t>
      </w:r>
      <w:r>
        <w:rPr>
          <w:color w:val="231F20"/>
          <w:spacing w:val="-19"/>
        </w:rPr>
        <w:t xml:space="preserve"> </w:t>
      </w:r>
      <w:r>
        <w:rPr>
          <w:color w:val="231F20"/>
        </w:rPr>
        <w:t>Advocate for</w:t>
      </w:r>
      <w:r>
        <w:rPr>
          <w:color w:val="231F20"/>
          <w:spacing w:val="-26"/>
        </w:rPr>
        <w:t xml:space="preserve"> </w:t>
      </w:r>
      <w:r>
        <w:rPr>
          <w:color w:val="231F20"/>
        </w:rPr>
        <w:t>PPP</w:t>
      </w:r>
      <w:r>
        <w:rPr>
          <w:color w:val="231F20"/>
          <w:spacing w:val="-29"/>
        </w:rPr>
        <w:t xml:space="preserve"> </w:t>
      </w:r>
      <w:r>
        <w:rPr>
          <w:color w:val="231F20"/>
        </w:rPr>
        <w:t>legal</w:t>
      </w:r>
      <w:r>
        <w:rPr>
          <w:color w:val="231F20"/>
          <w:spacing w:val="-25"/>
        </w:rPr>
        <w:t xml:space="preserve"> </w:t>
      </w:r>
      <w:r>
        <w:rPr>
          <w:color w:val="231F20"/>
        </w:rPr>
        <w:t>backing</w:t>
      </w:r>
      <w:r>
        <w:rPr>
          <w:color w:val="231F20"/>
          <w:spacing w:val="-25"/>
        </w:rPr>
        <w:t xml:space="preserve"> </w:t>
      </w:r>
      <w:r>
        <w:rPr>
          <w:color w:val="231F20"/>
        </w:rPr>
        <w:t>in</w:t>
      </w:r>
      <w:r>
        <w:rPr>
          <w:color w:val="231F20"/>
          <w:spacing w:val="-25"/>
        </w:rPr>
        <w:t xml:space="preserve"> </w:t>
      </w:r>
      <w:r>
        <w:rPr>
          <w:color w:val="231F20"/>
        </w:rPr>
        <w:t>health</w:t>
      </w:r>
      <w:r>
        <w:rPr>
          <w:color w:val="231F20"/>
          <w:spacing w:val="-37"/>
        </w:rPr>
        <w:t xml:space="preserve"> </w:t>
      </w:r>
      <w:r>
        <w:rPr>
          <w:color w:val="231F20"/>
        </w:rPr>
        <w:t>Agencies</w:t>
      </w:r>
      <w:r>
        <w:rPr>
          <w:color w:val="231F20"/>
          <w:spacing w:val="-25"/>
        </w:rPr>
        <w:t xml:space="preserve"> </w:t>
      </w:r>
      <w:r>
        <w:rPr>
          <w:color w:val="231F20"/>
        </w:rPr>
        <w:t>laws</w:t>
      </w:r>
      <w:r>
        <w:rPr>
          <w:color w:val="231F20"/>
          <w:spacing w:val="-25"/>
        </w:rPr>
        <w:t xml:space="preserve"> </w:t>
      </w:r>
      <w:r>
        <w:rPr>
          <w:color w:val="231F20"/>
        </w:rPr>
        <w:t>and</w:t>
      </w:r>
      <w:r>
        <w:rPr>
          <w:color w:val="231F20"/>
          <w:spacing w:val="-25"/>
        </w:rPr>
        <w:t xml:space="preserve"> </w:t>
      </w:r>
      <w:r>
        <w:rPr>
          <w:color w:val="231F20"/>
        </w:rPr>
        <w:t>implementation</w:t>
      </w:r>
      <w:r>
        <w:rPr>
          <w:color w:val="231F20"/>
          <w:spacing w:val="-25"/>
        </w:rPr>
        <w:t xml:space="preserve"> </w:t>
      </w:r>
      <w:r>
        <w:rPr>
          <w:color w:val="231F20"/>
        </w:rPr>
        <w:t>of</w:t>
      </w:r>
      <w:r>
        <w:rPr>
          <w:color w:val="231F20"/>
          <w:spacing w:val="-25"/>
        </w:rPr>
        <w:t xml:space="preserve"> </w:t>
      </w:r>
      <w:r>
        <w:rPr>
          <w:color w:val="231F20"/>
        </w:rPr>
        <w:t>PPP</w:t>
      </w:r>
      <w:r>
        <w:rPr>
          <w:color w:val="231F20"/>
          <w:spacing w:val="-29"/>
        </w:rPr>
        <w:t xml:space="preserve"> </w:t>
      </w:r>
      <w:r>
        <w:rPr>
          <w:color w:val="231F20"/>
        </w:rPr>
        <w:t>policy</w:t>
      </w:r>
      <w:r>
        <w:rPr>
          <w:color w:val="231F20"/>
          <w:spacing w:val="-25"/>
        </w:rPr>
        <w:t xml:space="preserve"> </w:t>
      </w:r>
      <w:r>
        <w:rPr>
          <w:color w:val="231F20"/>
        </w:rPr>
        <w:t>at</w:t>
      </w:r>
      <w:r>
        <w:rPr>
          <w:color w:val="231F20"/>
          <w:spacing w:val="-25"/>
        </w:rPr>
        <w:t xml:space="preserve"> </w:t>
      </w:r>
      <w:r>
        <w:rPr>
          <w:color w:val="231F20"/>
        </w:rPr>
        <w:t>all</w:t>
      </w:r>
      <w:r>
        <w:rPr>
          <w:color w:val="231F20"/>
          <w:spacing w:val="-25"/>
        </w:rPr>
        <w:t xml:space="preserve"> </w:t>
      </w:r>
      <w:r>
        <w:rPr>
          <w:color w:val="231F20"/>
        </w:rPr>
        <w:t>levels.</w:t>
      </w:r>
    </w:p>
    <w:p w14:paraId="037E7274" w14:textId="77777777" w:rsidR="009948F1" w:rsidRDefault="009948F1">
      <w:pPr>
        <w:pStyle w:val="BodyText"/>
        <w:spacing w:before="4"/>
        <w:rPr>
          <w:sz w:val="29"/>
        </w:rPr>
      </w:pPr>
    </w:p>
    <w:p w14:paraId="24F9901A" w14:textId="77777777" w:rsidR="009948F1" w:rsidRDefault="00BC0563">
      <w:pPr>
        <w:pStyle w:val="ListParagraph"/>
        <w:numPr>
          <w:ilvl w:val="3"/>
          <w:numId w:val="260"/>
        </w:numPr>
        <w:tabs>
          <w:tab w:val="left" w:pos="997"/>
        </w:tabs>
        <w:spacing w:before="1" w:line="290" w:lineRule="auto"/>
        <w:ind w:left="155" w:right="199" w:firstLine="0"/>
      </w:pPr>
      <w:r>
        <w:rPr>
          <w:color w:val="231F20"/>
        </w:rPr>
        <w:t>Develop</w:t>
      </w:r>
      <w:r>
        <w:rPr>
          <w:color w:val="231F20"/>
          <w:spacing w:val="-16"/>
        </w:rPr>
        <w:t xml:space="preserve"> </w:t>
      </w:r>
      <w:r>
        <w:rPr>
          <w:color w:val="231F20"/>
        </w:rPr>
        <w:t>and</w:t>
      </w:r>
      <w:r>
        <w:rPr>
          <w:color w:val="231F20"/>
          <w:spacing w:val="-15"/>
        </w:rPr>
        <w:t xml:space="preserve"> </w:t>
      </w:r>
      <w:r>
        <w:rPr>
          <w:color w:val="231F20"/>
        </w:rPr>
        <w:t>implement</w:t>
      </w:r>
      <w:r>
        <w:rPr>
          <w:color w:val="231F20"/>
          <w:spacing w:val="-15"/>
        </w:rPr>
        <w:t xml:space="preserve"> </w:t>
      </w:r>
      <w:r>
        <w:rPr>
          <w:color w:val="231F20"/>
        </w:rPr>
        <w:t>resource</w:t>
      </w:r>
      <w:r>
        <w:rPr>
          <w:color w:val="231F20"/>
          <w:spacing w:val="-15"/>
        </w:rPr>
        <w:t xml:space="preserve"> </w:t>
      </w:r>
      <w:r>
        <w:rPr>
          <w:color w:val="231F20"/>
        </w:rPr>
        <w:t>mobilization</w:t>
      </w:r>
      <w:r>
        <w:rPr>
          <w:color w:val="231F20"/>
          <w:spacing w:val="-15"/>
        </w:rPr>
        <w:t xml:space="preserve"> </w:t>
      </w:r>
      <w:r>
        <w:rPr>
          <w:color w:val="231F20"/>
        </w:rPr>
        <w:t>strategy</w:t>
      </w:r>
      <w:r>
        <w:rPr>
          <w:color w:val="231F20"/>
          <w:spacing w:val="-16"/>
        </w:rPr>
        <w:t xml:space="preserve"> </w:t>
      </w:r>
      <w:r>
        <w:rPr>
          <w:color w:val="231F20"/>
        </w:rPr>
        <w:t>and</w:t>
      </w:r>
      <w:r>
        <w:rPr>
          <w:color w:val="231F20"/>
          <w:spacing w:val="-15"/>
        </w:rPr>
        <w:t xml:space="preserve"> </w:t>
      </w:r>
      <w:r>
        <w:rPr>
          <w:color w:val="231F20"/>
        </w:rPr>
        <w:t>guideline</w:t>
      </w:r>
      <w:r>
        <w:rPr>
          <w:color w:val="231F20"/>
          <w:spacing w:val="-15"/>
        </w:rPr>
        <w:t xml:space="preserve"> </w:t>
      </w:r>
      <w:r>
        <w:rPr>
          <w:color w:val="231F20"/>
        </w:rPr>
        <w:t>including</w:t>
      </w:r>
      <w:r>
        <w:rPr>
          <w:color w:val="231F20"/>
          <w:spacing w:val="-15"/>
        </w:rPr>
        <w:t xml:space="preserve"> </w:t>
      </w:r>
      <w:r>
        <w:rPr>
          <w:color w:val="231F20"/>
        </w:rPr>
        <w:t>Sin</w:t>
      </w:r>
      <w:r>
        <w:rPr>
          <w:color w:val="231F20"/>
          <w:spacing w:val="-19"/>
        </w:rPr>
        <w:t xml:space="preserve"> </w:t>
      </w:r>
      <w:r>
        <w:rPr>
          <w:color w:val="231F20"/>
          <w:spacing w:val="-8"/>
        </w:rPr>
        <w:t xml:space="preserve">Taxes, </w:t>
      </w:r>
      <w:r>
        <w:rPr>
          <w:color w:val="231F20"/>
          <w:spacing w:val="-4"/>
        </w:rPr>
        <w:t xml:space="preserve">Telecom </w:t>
      </w:r>
      <w:r>
        <w:rPr>
          <w:color w:val="231F20"/>
          <w:spacing w:val="-5"/>
        </w:rPr>
        <w:t xml:space="preserve">Taxes, </w:t>
      </w:r>
      <w:r>
        <w:rPr>
          <w:color w:val="231F20"/>
          <w:spacing w:val="-15"/>
        </w:rPr>
        <w:t xml:space="preserve">VAT, </w:t>
      </w:r>
      <w:r>
        <w:rPr>
          <w:color w:val="231F20"/>
        </w:rPr>
        <w:t xml:space="preserve">Aviation </w:t>
      </w:r>
      <w:r>
        <w:rPr>
          <w:color w:val="231F20"/>
          <w:spacing w:val="-5"/>
        </w:rPr>
        <w:t xml:space="preserve">Taxes, </w:t>
      </w:r>
      <w:r>
        <w:rPr>
          <w:color w:val="231F20"/>
        </w:rPr>
        <w:t xml:space="preserve">etc. Key actions include; - Develop resource mobilization strategies and guidelines; Engage telecommunication companies for telecom tax; Advocacy </w:t>
      </w:r>
      <w:r>
        <w:rPr>
          <w:color w:val="231F20"/>
          <w:spacing w:val="-7"/>
        </w:rPr>
        <w:t xml:space="preserve">to </w:t>
      </w:r>
      <w:r>
        <w:rPr>
          <w:color w:val="231F20"/>
        </w:rPr>
        <w:t xml:space="preserve">Board of Internal Revenue service (BIR) for establishment of SIN, </w:t>
      </w:r>
      <w:r>
        <w:rPr>
          <w:color w:val="231F20"/>
          <w:spacing w:val="-4"/>
        </w:rPr>
        <w:t xml:space="preserve">Telecom, </w:t>
      </w:r>
      <w:r>
        <w:rPr>
          <w:color w:val="231F20"/>
          <w:spacing w:val="-15"/>
        </w:rPr>
        <w:t xml:space="preserve">VAT, </w:t>
      </w:r>
      <w:r>
        <w:rPr>
          <w:color w:val="231F20"/>
        </w:rPr>
        <w:t xml:space="preserve">Aviation </w:t>
      </w:r>
      <w:r>
        <w:rPr>
          <w:color w:val="231F20"/>
          <w:spacing w:val="-7"/>
        </w:rPr>
        <w:t xml:space="preserve">Taxes; </w:t>
      </w:r>
      <w:r>
        <w:rPr>
          <w:color w:val="231F20"/>
        </w:rPr>
        <w:t>Engage</w:t>
      </w:r>
      <w:r>
        <w:rPr>
          <w:color w:val="231F20"/>
          <w:spacing w:val="-25"/>
        </w:rPr>
        <w:t xml:space="preserve"> </w:t>
      </w:r>
      <w:r>
        <w:rPr>
          <w:color w:val="231F20"/>
        </w:rPr>
        <w:t>BIR</w:t>
      </w:r>
      <w:r>
        <w:rPr>
          <w:color w:val="231F20"/>
          <w:spacing w:val="-25"/>
        </w:rPr>
        <w:t xml:space="preserve"> </w:t>
      </w:r>
      <w:r>
        <w:rPr>
          <w:color w:val="231F20"/>
        </w:rPr>
        <w:t>for</w:t>
      </w:r>
      <w:r>
        <w:rPr>
          <w:color w:val="231F20"/>
          <w:spacing w:val="-25"/>
        </w:rPr>
        <w:t xml:space="preserve"> </w:t>
      </w:r>
      <w:r>
        <w:rPr>
          <w:color w:val="231F20"/>
        </w:rPr>
        <w:t>tax</w:t>
      </w:r>
      <w:r>
        <w:rPr>
          <w:color w:val="231F20"/>
          <w:spacing w:val="-26"/>
        </w:rPr>
        <w:t xml:space="preserve"> </w:t>
      </w:r>
      <w:r>
        <w:rPr>
          <w:color w:val="231F20"/>
        </w:rPr>
        <w:t>reform</w:t>
      </w:r>
      <w:r>
        <w:rPr>
          <w:color w:val="231F20"/>
          <w:spacing w:val="-25"/>
        </w:rPr>
        <w:t xml:space="preserve"> </w:t>
      </w:r>
      <w:r>
        <w:rPr>
          <w:color w:val="231F20"/>
        </w:rPr>
        <w:t>review</w:t>
      </w:r>
      <w:r>
        <w:rPr>
          <w:color w:val="231F20"/>
          <w:spacing w:val="-25"/>
        </w:rPr>
        <w:t xml:space="preserve"> </w:t>
      </w:r>
      <w:r>
        <w:rPr>
          <w:color w:val="231F20"/>
        </w:rPr>
        <w:t>and</w:t>
      </w:r>
      <w:r>
        <w:rPr>
          <w:color w:val="231F20"/>
          <w:spacing w:val="-25"/>
        </w:rPr>
        <w:t xml:space="preserve"> </w:t>
      </w:r>
      <w:r>
        <w:rPr>
          <w:color w:val="231F20"/>
        </w:rPr>
        <w:t>audits.</w:t>
      </w:r>
    </w:p>
    <w:p w14:paraId="151A059F" w14:textId="77777777" w:rsidR="009948F1" w:rsidRDefault="009948F1">
      <w:pPr>
        <w:pStyle w:val="BodyText"/>
      </w:pPr>
    </w:p>
    <w:p w14:paraId="225665E0" w14:textId="77777777" w:rsidR="009948F1" w:rsidRDefault="00BC0563">
      <w:pPr>
        <w:pStyle w:val="Heading7"/>
        <w:numPr>
          <w:ilvl w:val="2"/>
          <w:numId w:val="262"/>
        </w:numPr>
        <w:tabs>
          <w:tab w:val="left" w:pos="994"/>
        </w:tabs>
        <w:spacing w:before="138" w:line="276" w:lineRule="auto"/>
        <w:ind w:left="269" w:right="773" w:firstLine="0"/>
        <w:jc w:val="left"/>
      </w:pPr>
      <w:r>
        <w:rPr>
          <w:color w:val="231F20"/>
        </w:rPr>
        <w:t xml:space="preserve">Enhance financial risk protection through pooled funds at federal and </w:t>
      </w:r>
      <w:r>
        <w:rPr>
          <w:color w:val="231F20"/>
          <w:spacing w:val="-3"/>
        </w:rPr>
        <w:t xml:space="preserve">state </w:t>
      </w:r>
      <w:r>
        <w:rPr>
          <w:color w:val="231F20"/>
        </w:rPr>
        <w:t>levels</w:t>
      </w:r>
    </w:p>
    <w:p w14:paraId="678F164B" w14:textId="77777777" w:rsidR="009948F1" w:rsidRDefault="00BC0563">
      <w:pPr>
        <w:spacing w:before="5"/>
        <w:ind w:left="269"/>
        <w:rPr>
          <w:b/>
        </w:rPr>
      </w:pPr>
      <w:r>
        <w:rPr>
          <w:b/>
          <w:color w:val="231F20"/>
        </w:rPr>
        <w:t>Targets</w:t>
      </w:r>
    </w:p>
    <w:p w14:paraId="775725DE" w14:textId="77777777" w:rsidR="009948F1" w:rsidRDefault="009948F1">
      <w:pPr>
        <w:pStyle w:val="BodyText"/>
        <w:spacing w:before="2"/>
        <w:rPr>
          <w:b/>
          <w:sz w:val="15"/>
        </w:rPr>
      </w:pPr>
    </w:p>
    <w:tbl>
      <w:tblPr>
        <w:tblW w:w="0" w:type="auto"/>
        <w:tblInd w:w="1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96"/>
        <w:gridCol w:w="1323"/>
        <w:gridCol w:w="731"/>
        <w:gridCol w:w="729"/>
        <w:gridCol w:w="731"/>
        <w:gridCol w:w="731"/>
        <w:gridCol w:w="743"/>
        <w:gridCol w:w="931"/>
      </w:tblGrid>
      <w:tr w:rsidR="009948F1" w14:paraId="57C6A224" w14:textId="77777777">
        <w:trPr>
          <w:trHeight w:val="207"/>
        </w:trPr>
        <w:tc>
          <w:tcPr>
            <w:tcW w:w="2796" w:type="dxa"/>
            <w:shd w:val="clear" w:color="auto" w:fill="F4CEB2"/>
          </w:tcPr>
          <w:p w14:paraId="6554A1B1" w14:textId="77777777" w:rsidR="009948F1" w:rsidRDefault="00BC0563">
            <w:pPr>
              <w:pStyle w:val="TableParagraph"/>
              <w:spacing w:line="187" w:lineRule="exact"/>
              <w:ind w:left="108"/>
              <w:rPr>
                <w:sz w:val="18"/>
              </w:rPr>
            </w:pPr>
            <w:r>
              <w:rPr>
                <w:color w:val="231F20"/>
                <w:sz w:val="18"/>
              </w:rPr>
              <w:t>Targets</w:t>
            </w:r>
          </w:p>
        </w:tc>
        <w:tc>
          <w:tcPr>
            <w:tcW w:w="1323" w:type="dxa"/>
            <w:shd w:val="clear" w:color="auto" w:fill="F4CEB2"/>
          </w:tcPr>
          <w:p w14:paraId="7ACC00CD" w14:textId="77777777" w:rsidR="009948F1" w:rsidRDefault="00BC0563">
            <w:pPr>
              <w:pStyle w:val="TableParagraph"/>
              <w:spacing w:line="187" w:lineRule="exact"/>
              <w:ind w:left="105"/>
              <w:rPr>
                <w:sz w:val="18"/>
              </w:rPr>
            </w:pPr>
            <w:r>
              <w:rPr>
                <w:color w:val="231F20"/>
                <w:sz w:val="18"/>
              </w:rPr>
              <w:t>Baseline</w:t>
            </w:r>
          </w:p>
        </w:tc>
        <w:tc>
          <w:tcPr>
            <w:tcW w:w="731" w:type="dxa"/>
            <w:shd w:val="clear" w:color="auto" w:fill="F4CEB2"/>
          </w:tcPr>
          <w:p w14:paraId="7F47C230" w14:textId="77777777" w:rsidR="009948F1" w:rsidRDefault="00BC0563">
            <w:pPr>
              <w:pStyle w:val="TableParagraph"/>
              <w:spacing w:line="187" w:lineRule="exact"/>
              <w:ind w:left="108"/>
              <w:rPr>
                <w:b/>
                <w:sz w:val="18"/>
              </w:rPr>
            </w:pPr>
            <w:r>
              <w:rPr>
                <w:b/>
                <w:color w:val="231F20"/>
                <w:sz w:val="18"/>
              </w:rPr>
              <w:t>2018</w:t>
            </w:r>
          </w:p>
        </w:tc>
        <w:tc>
          <w:tcPr>
            <w:tcW w:w="729" w:type="dxa"/>
            <w:shd w:val="clear" w:color="auto" w:fill="F4CEB2"/>
          </w:tcPr>
          <w:p w14:paraId="7EF1A63E" w14:textId="77777777" w:rsidR="009948F1" w:rsidRDefault="00BC0563">
            <w:pPr>
              <w:pStyle w:val="TableParagraph"/>
              <w:spacing w:line="187" w:lineRule="exact"/>
              <w:ind w:left="108"/>
              <w:rPr>
                <w:b/>
                <w:sz w:val="18"/>
              </w:rPr>
            </w:pPr>
            <w:r>
              <w:rPr>
                <w:b/>
                <w:color w:val="231F20"/>
                <w:sz w:val="18"/>
              </w:rPr>
              <w:t>2019</w:t>
            </w:r>
          </w:p>
        </w:tc>
        <w:tc>
          <w:tcPr>
            <w:tcW w:w="731" w:type="dxa"/>
            <w:shd w:val="clear" w:color="auto" w:fill="F4CEB2"/>
          </w:tcPr>
          <w:p w14:paraId="17838DA4" w14:textId="77777777" w:rsidR="009948F1" w:rsidRDefault="00BC0563">
            <w:pPr>
              <w:pStyle w:val="TableParagraph"/>
              <w:spacing w:line="187" w:lineRule="exact"/>
              <w:ind w:left="108"/>
              <w:rPr>
                <w:b/>
                <w:sz w:val="18"/>
              </w:rPr>
            </w:pPr>
            <w:r>
              <w:rPr>
                <w:b/>
                <w:color w:val="231F20"/>
                <w:sz w:val="18"/>
              </w:rPr>
              <w:t>2020</w:t>
            </w:r>
          </w:p>
        </w:tc>
        <w:tc>
          <w:tcPr>
            <w:tcW w:w="731" w:type="dxa"/>
            <w:shd w:val="clear" w:color="auto" w:fill="F4CEB2"/>
          </w:tcPr>
          <w:p w14:paraId="2CDD7C75" w14:textId="77777777" w:rsidR="009948F1" w:rsidRDefault="00BC0563">
            <w:pPr>
              <w:pStyle w:val="TableParagraph"/>
              <w:spacing w:line="187" w:lineRule="exact"/>
              <w:ind w:left="109"/>
              <w:rPr>
                <w:b/>
                <w:sz w:val="18"/>
              </w:rPr>
            </w:pPr>
            <w:r>
              <w:rPr>
                <w:b/>
                <w:color w:val="231F20"/>
                <w:sz w:val="18"/>
              </w:rPr>
              <w:t>2021</w:t>
            </w:r>
          </w:p>
        </w:tc>
        <w:tc>
          <w:tcPr>
            <w:tcW w:w="743" w:type="dxa"/>
            <w:shd w:val="clear" w:color="auto" w:fill="F4CEB2"/>
          </w:tcPr>
          <w:p w14:paraId="47FC70F7" w14:textId="77777777" w:rsidR="009948F1" w:rsidRDefault="00BC0563">
            <w:pPr>
              <w:pStyle w:val="TableParagraph"/>
              <w:spacing w:line="187" w:lineRule="exact"/>
              <w:ind w:left="110"/>
              <w:rPr>
                <w:b/>
                <w:sz w:val="18"/>
              </w:rPr>
            </w:pPr>
            <w:r>
              <w:rPr>
                <w:b/>
                <w:color w:val="231F20"/>
                <w:sz w:val="18"/>
              </w:rPr>
              <w:t>2022</w:t>
            </w:r>
          </w:p>
        </w:tc>
        <w:tc>
          <w:tcPr>
            <w:tcW w:w="931" w:type="dxa"/>
            <w:shd w:val="clear" w:color="auto" w:fill="F4CEB2"/>
          </w:tcPr>
          <w:p w14:paraId="3A86931D" w14:textId="77777777" w:rsidR="009948F1" w:rsidRDefault="00BC0563">
            <w:pPr>
              <w:pStyle w:val="TableParagraph"/>
              <w:spacing w:line="187" w:lineRule="exact"/>
              <w:ind w:left="110"/>
              <w:rPr>
                <w:b/>
                <w:sz w:val="18"/>
              </w:rPr>
            </w:pPr>
            <w:r>
              <w:rPr>
                <w:b/>
                <w:color w:val="231F20"/>
                <w:sz w:val="18"/>
              </w:rPr>
              <w:t>National</w:t>
            </w:r>
          </w:p>
        </w:tc>
      </w:tr>
      <w:tr w:rsidR="009948F1" w14:paraId="12455AC8" w14:textId="77777777">
        <w:trPr>
          <w:trHeight w:val="830"/>
        </w:trPr>
        <w:tc>
          <w:tcPr>
            <w:tcW w:w="2796" w:type="dxa"/>
            <w:tcBorders>
              <w:right w:val="single" w:sz="8" w:space="0" w:color="231F20"/>
            </w:tcBorders>
          </w:tcPr>
          <w:p w14:paraId="7A471A6A" w14:textId="77777777" w:rsidR="009948F1" w:rsidRDefault="00BC0563">
            <w:pPr>
              <w:pStyle w:val="TableParagraph"/>
              <w:spacing w:line="242" w:lineRule="auto"/>
              <w:ind w:left="108" w:right="221"/>
              <w:rPr>
                <w:sz w:val="18"/>
              </w:rPr>
            </w:pPr>
            <w:r>
              <w:rPr>
                <w:color w:val="231F20"/>
                <w:sz w:val="18"/>
              </w:rPr>
              <w:t>Increased % of Rivers State population covered by any risk</w:t>
            </w:r>
          </w:p>
          <w:p w14:paraId="14CD3E76" w14:textId="77777777" w:rsidR="009948F1" w:rsidRDefault="00BC0563">
            <w:pPr>
              <w:pStyle w:val="TableParagraph"/>
              <w:spacing w:before="2" w:line="208" w:lineRule="exact"/>
              <w:ind w:left="108" w:right="892"/>
              <w:rPr>
                <w:sz w:val="18"/>
              </w:rPr>
            </w:pPr>
            <w:r>
              <w:rPr>
                <w:color w:val="231F20"/>
                <w:sz w:val="18"/>
              </w:rPr>
              <w:t>protection mechanism increased to 20%</w:t>
            </w:r>
          </w:p>
        </w:tc>
        <w:tc>
          <w:tcPr>
            <w:tcW w:w="1323" w:type="dxa"/>
            <w:tcBorders>
              <w:left w:val="single" w:sz="8" w:space="0" w:color="231F20"/>
              <w:bottom w:val="single" w:sz="8" w:space="0" w:color="231F20"/>
              <w:right w:val="single" w:sz="8" w:space="0" w:color="231F20"/>
            </w:tcBorders>
          </w:tcPr>
          <w:p w14:paraId="20E1E25A" w14:textId="77777777" w:rsidR="009948F1" w:rsidRDefault="00BC0563">
            <w:pPr>
              <w:pStyle w:val="TableParagraph"/>
              <w:ind w:left="100"/>
              <w:rPr>
                <w:sz w:val="18"/>
              </w:rPr>
            </w:pPr>
            <w:r>
              <w:rPr>
                <w:color w:val="231F20"/>
                <w:sz w:val="18"/>
              </w:rPr>
              <w:t>TBD</w:t>
            </w:r>
          </w:p>
        </w:tc>
        <w:tc>
          <w:tcPr>
            <w:tcW w:w="731" w:type="dxa"/>
            <w:tcBorders>
              <w:left w:val="single" w:sz="8" w:space="0" w:color="231F20"/>
              <w:bottom w:val="single" w:sz="8" w:space="0" w:color="231F20"/>
              <w:right w:val="single" w:sz="8" w:space="0" w:color="231F20"/>
            </w:tcBorders>
          </w:tcPr>
          <w:p w14:paraId="14B553FD" w14:textId="77777777" w:rsidR="009948F1" w:rsidRDefault="00BC0563">
            <w:pPr>
              <w:pStyle w:val="TableParagraph"/>
              <w:ind w:left="103"/>
              <w:rPr>
                <w:sz w:val="18"/>
              </w:rPr>
            </w:pPr>
            <w:r>
              <w:rPr>
                <w:color w:val="231F20"/>
                <w:sz w:val="18"/>
              </w:rPr>
              <w:t>2%</w:t>
            </w:r>
          </w:p>
        </w:tc>
        <w:tc>
          <w:tcPr>
            <w:tcW w:w="729" w:type="dxa"/>
            <w:tcBorders>
              <w:left w:val="single" w:sz="8" w:space="0" w:color="231F20"/>
            </w:tcBorders>
          </w:tcPr>
          <w:p w14:paraId="0B63DAB8" w14:textId="77777777" w:rsidR="009948F1" w:rsidRDefault="00BC0563">
            <w:pPr>
              <w:pStyle w:val="TableParagraph"/>
              <w:ind w:left="103"/>
              <w:rPr>
                <w:sz w:val="18"/>
              </w:rPr>
            </w:pPr>
            <w:r>
              <w:rPr>
                <w:color w:val="231F20"/>
                <w:sz w:val="18"/>
              </w:rPr>
              <w:t>5%</w:t>
            </w:r>
          </w:p>
        </w:tc>
        <w:tc>
          <w:tcPr>
            <w:tcW w:w="731" w:type="dxa"/>
          </w:tcPr>
          <w:p w14:paraId="10CA751A" w14:textId="77777777" w:rsidR="009948F1" w:rsidRDefault="00BC0563">
            <w:pPr>
              <w:pStyle w:val="TableParagraph"/>
              <w:ind w:left="108"/>
              <w:rPr>
                <w:sz w:val="18"/>
              </w:rPr>
            </w:pPr>
            <w:r>
              <w:rPr>
                <w:color w:val="231F20"/>
                <w:sz w:val="18"/>
              </w:rPr>
              <w:t>10%</w:t>
            </w:r>
          </w:p>
        </w:tc>
        <w:tc>
          <w:tcPr>
            <w:tcW w:w="731" w:type="dxa"/>
          </w:tcPr>
          <w:p w14:paraId="41FB1906" w14:textId="77777777" w:rsidR="009948F1" w:rsidRDefault="00BC0563">
            <w:pPr>
              <w:pStyle w:val="TableParagraph"/>
              <w:ind w:left="109"/>
              <w:rPr>
                <w:sz w:val="18"/>
              </w:rPr>
            </w:pPr>
            <w:r>
              <w:rPr>
                <w:color w:val="231F20"/>
                <w:sz w:val="18"/>
              </w:rPr>
              <w:t>15%</w:t>
            </w:r>
          </w:p>
        </w:tc>
        <w:tc>
          <w:tcPr>
            <w:tcW w:w="743" w:type="dxa"/>
          </w:tcPr>
          <w:p w14:paraId="58FBC5F5" w14:textId="77777777" w:rsidR="009948F1" w:rsidRDefault="00BC0563">
            <w:pPr>
              <w:pStyle w:val="TableParagraph"/>
              <w:ind w:left="110"/>
              <w:rPr>
                <w:sz w:val="18"/>
              </w:rPr>
            </w:pPr>
            <w:r>
              <w:rPr>
                <w:color w:val="231F20"/>
                <w:sz w:val="18"/>
              </w:rPr>
              <w:t>20%</w:t>
            </w:r>
          </w:p>
        </w:tc>
        <w:tc>
          <w:tcPr>
            <w:tcW w:w="931" w:type="dxa"/>
          </w:tcPr>
          <w:p w14:paraId="4DE62C7B" w14:textId="77777777" w:rsidR="009948F1" w:rsidRDefault="00BC0563">
            <w:pPr>
              <w:pStyle w:val="TableParagraph"/>
              <w:ind w:left="110"/>
              <w:rPr>
                <w:sz w:val="18"/>
              </w:rPr>
            </w:pPr>
            <w:r>
              <w:rPr>
                <w:color w:val="231F20"/>
                <w:sz w:val="18"/>
              </w:rPr>
              <w:t>30%</w:t>
            </w:r>
          </w:p>
        </w:tc>
      </w:tr>
    </w:tbl>
    <w:p w14:paraId="09B853F2" w14:textId="77777777" w:rsidR="009948F1" w:rsidRDefault="009948F1">
      <w:pPr>
        <w:pStyle w:val="BodyText"/>
        <w:spacing w:before="1"/>
        <w:rPr>
          <w:b/>
          <w:sz w:val="25"/>
        </w:rPr>
      </w:pPr>
    </w:p>
    <w:p w14:paraId="7F79219C" w14:textId="77777777" w:rsidR="009948F1" w:rsidRDefault="00BC0563">
      <w:pPr>
        <w:ind w:left="155"/>
        <w:rPr>
          <w:b/>
        </w:rPr>
      </w:pPr>
      <w:r>
        <w:rPr>
          <w:b/>
          <w:color w:val="231F20"/>
        </w:rPr>
        <w:t>Interventions</w:t>
      </w:r>
    </w:p>
    <w:p w14:paraId="650B4E70" w14:textId="3275354D" w:rsidR="009948F1" w:rsidRDefault="00BC0563">
      <w:pPr>
        <w:pStyle w:val="ListParagraph"/>
        <w:numPr>
          <w:ilvl w:val="3"/>
          <w:numId w:val="259"/>
        </w:numPr>
        <w:tabs>
          <w:tab w:val="left" w:pos="1021"/>
        </w:tabs>
        <w:spacing w:before="23" w:line="261" w:lineRule="auto"/>
        <w:ind w:right="220" w:firstLine="0"/>
      </w:pPr>
      <w:r>
        <w:rPr>
          <w:color w:val="231F20"/>
        </w:rPr>
        <w:t>Engage Stakeholders to increase enrolment and contribution to Health Insurance. Key actions</w:t>
      </w:r>
      <w:r>
        <w:rPr>
          <w:color w:val="231F20"/>
          <w:spacing w:val="-9"/>
        </w:rPr>
        <w:t xml:space="preserve"> </w:t>
      </w:r>
      <w:r>
        <w:rPr>
          <w:color w:val="231F20"/>
        </w:rPr>
        <w:t>include;</w:t>
      </w:r>
      <w:r>
        <w:rPr>
          <w:color w:val="231F20"/>
          <w:spacing w:val="-9"/>
        </w:rPr>
        <w:t xml:space="preserve"> </w:t>
      </w:r>
      <w:r>
        <w:rPr>
          <w:color w:val="231F20"/>
        </w:rPr>
        <w:t>-</w:t>
      </w:r>
      <w:r>
        <w:rPr>
          <w:color w:val="231F20"/>
          <w:spacing w:val="-10"/>
        </w:rPr>
        <w:t xml:space="preserve"> </w:t>
      </w:r>
      <w:r>
        <w:rPr>
          <w:color w:val="231F20"/>
        </w:rPr>
        <w:t>Commission</w:t>
      </w:r>
      <w:r>
        <w:rPr>
          <w:color w:val="231F20"/>
          <w:spacing w:val="-13"/>
        </w:rPr>
        <w:t xml:space="preserve"> </w:t>
      </w:r>
      <w:r>
        <w:rPr>
          <w:color w:val="231F20"/>
        </w:rPr>
        <w:t>Third</w:t>
      </w:r>
      <w:r>
        <w:rPr>
          <w:color w:val="231F20"/>
          <w:spacing w:val="-8"/>
        </w:rPr>
        <w:t xml:space="preserve"> </w:t>
      </w:r>
      <w:r>
        <w:rPr>
          <w:color w:val="231F20"/>
        </w:rPr>
        <w:t>Party</w:t>
      </w:r>
      <w:r>
        <w:rPr>
          <w:color w:val="231F20"/>
          <w:spacing w:val="-22"/>
        </w:rPr>
        <w:t xml:space="preserve"> </w:t>
      </w:r>
      <w:r>
        <w:rPr>
          <w:color w:val="231F20"/>
        </w:rPr>
        <w:t>Associators</w:t>
      </w:r>
      <w:r>
        <w:rPr>
          <w:color w:val="231F20"/>
          <w:spacing w:val="-9"/>
        </w:rPr>
        <w:t xml:space="preserve"> </w:t>
      </w:r>
      <w:r>
        <w:rPr>
          <w:color w:val="231F20"/>
          <w:spacing w:val="-3"/>
        </w:rPr>
        <w:t>(TPAs)</w:t>
      </w:r>
      <w:r>
        <w:rPr>
          <w:color w:val="231F20"/>
          <w:spacing w:val="-10"/>
        </w:rPr>
        <w:t xml:space="preserve"> </w:t>
      </w:r>
      <w:r>
        <w:rPr>
          <w:color w:val="231F20"/>
        </w:rPr>
        <w:t>to</w:t>
      </w:r>
      <w:r>
        <w:rPr>
          <w:color w:val="231F20"/>
          <w:spacing w:val="-9"/>
        </w:rPr>
        <w:t xml:space="preserve"> </w:t>
      </w:r>
      <w:r>
        <w:rPr>
          <w:color w:val="231F20"/>
        </w:rPr>
        <w:t>register</w:t>
      </w:r>
      <w:r>
        <w:rPr>
          <w:color w:val="231F20"/>
          <w:spacing w:val="-9"/>
        </w:rPr>
        <w:t xml:space="preserve"> </w:t>
      </w:r>
      <w:r>
        <w:rPr>
          <w:color w:val="231F20"/>
        </w:rPr>
        <w:t>and</w:t>
      </w:r>
      <w:r>
        <w:rPr>
          <w:color w:val="231F20"/>
          <w:spacing w:val="6"/>
        </w:rPr>
        <w:t xml:space="preserve"> </w:t>
      </w:r>
      <w:r w:rsidR="00E47D1B">
        <w:rPr>
          <w:color w:val="231F20"/>
        </w:rPr>
        <w:t>enroll</w:t>
      </w:r>
      <w:r>
        <w:rPr>
          <w:color w:val="231F20"/>
          <w:spacing w:val="-9"/>
        </w:rPr>
        <w:t xml:space="preserve"> </w:t>
      </w:r>
      <w:r>
        <w:rPr>
          <w:color w:val="231F20"/>
        </w:rPr>
        <w:t>beneficiaries; Conduct</w:t>
      </w:r>
      <w:r>
        <w:rPr>
          <w:color w:val="231F20"/>
          <w:spacing w:val="-18"/>
        </w:rPr>
        <w:t xml:space="preserve"> </w:t>
      </w:r>
      <w:r>
        <w:rPr>
          <w:color w:val="231F20"/>
        </w:rPr>
        <w:t>sensitization</w:t>
      </w:r>
      <w:r>
        <w:rPr>
          <w:color w:val="231F20"/>
          <w:spacing w:val="-17"/>
        </w:rPr>
        <w:t xml:space="preserve"> </w:t>
      </w:r>
      <w:r>
        <w:rPr>
          <w:color w:val="231F20"/>
        </w:rPr>
        <w:t>workshops</w:t>
      </w:r>
      <w:r>
        <w:rPr>
          <w:color w:val="231F20"/>
          <w:spacing w:val="-17"/>
        </w:rPr>
        <w:t xml:space="preserve"> </w:t>
      </w:r>
      <w:r>
        <w:rPr>
          <w:color w:val="231F20"/>
        </w:rPr>
        <w:t>for</w:t>
      </w:r>
      <w:r>
        <w:rPr>
          <w:color w:val="231F20"/>
          <w:spacing w:val="-17"/>
        </w:rPr>
        <w:t xml:space="preserve"> </w:t>
      </w:r>
      <w:r>
        <w:rPr>
          <w:color w:val="231F20"/>
        </w:rPr>
        <w:t>engaging</w:t>
      </w:r>
      <w:r>
        <w:rPr>
          <w:color w:val="231F20"/>
          <w:spacing w:val="-17"/>
        </w:rPr>
        <w:t xml:space="preserve"> </w:t>
      </w:r>
      <w:r>
        <w:rPr>
          <w:color w:val="231F20"/>
        </w:rPr>
        <w:t>employers</w:t>
      </w:r>
      <w:r>
        <w:rPr>
          <w:color w:val="231F20"/>
          <w:spacing w:val="-17"/>
        </w:rPr>
        <w:t xml:space="preserve"> </w:t>
      </w:r>
      <w:r>
        <w:rPr>
          <w:color w:val="231F20"/>
        </w:rPr>
        <w:t>of</w:t>
      </w:r>
      <w:r>
        <w:rPr>
          <w:color w:val="231F20"/>
          <w:spacing w:val="-17"/>
        </w:rPr>
        <w:t xml:space="preserve"> </w:t>
      </w:r>
      <w:proofErr w:type="spellStart"/>
      <w:r>
        <w:rPr>
          <w:color w:val="231F20"/>
        </w:rPr>
        <w:t>labour</w:t>
      </w:r>
      <w:proofErr w:type="spellEnd"/>
      <w:r>
        <w:rPr>
          <w:color w:val="231F20"/>
          <w:spacing w:val="-17"/>
        </w:rPr>
        <w:t xml:space="preserve"> </w:t>
      </w:r>
      <w:r>
        <w:rPr>
          <w:color w:val="231F20"/>
        </w:rPr>
        <w:t>to</w:t>
      </w:r>
      <w:r>
        <w:rPr>
          <w:color w:val="231F20"/>
          <w:spacing w:val="-18"/>
        </w:rPr>
        <w:t xml:space="preserve"> </w:t>
      </w:r>
      <w:r>
        <w:rPr>
          <w:color w:val="231F20"/>
        </w:rPr>
        <w:t>key</w:t>
      </w:r>
      <w:r>
        <w:rPr>
          <w:color w:val="231F20"/>
          <w:spacing w:val="-17"/>
        </w:rPr>
        <w:t xml:space="preserve"> </w:t>
      </w:r>
      <w:r>
        <w:rPr>
          <w:color w:val="231F20"/>
        </w:rPr>
        <w:t>into</w:t>
      </w:r>
      <w:r>
        <w:rPr>
          <w:color w:val="231F20"/>
          <w:spacing w:val="-17"/>
        </w:rPr>
        <w:t xml:space="preserve"> </w:t>
      </w:r>
      <w:r>
        <w:rPr>
          <w:color w:val="231F20"/>
        </w:rPr>
        <w:t>health</w:t>
      </w:r>
      <w:r>
        <w:rPr>
          <w:color w:val="231F20"/>
          <w:spacing w:val="-17"/>
        </w:rPr>
        <w:t xml:space="preserve"> </w:t>
      </w:r>
      <w:r>
        <w:rPr>
          <w:color w:val="231F20"/>
        </w:rPr>
        <w:t>insurance</w:t>
      </w:r>
      <w:r>
        <w:rPr>
          <w:color w:val="231F20"/>
          <w:spacing w:val="-17"/>
        </w:rPr>
        <w:t xml:space="preserve"> </w:t>
      </w:r>
      <w:r>
        <w:rPr>
          <w:color w:val="231F20"/>
        </w:rPr>
        <w:t>for their</w:t>
      </w:r>
      <w:r>
        <w:rPr>
          <w:color w:val="231F20"/>
          <w:spacing w:val="-18"/>
        </w:rPr>
        <w:t xml:space="preserve"> </w:t>
      </w:r>
      <w:r>
        <w:rPr>
          <w:color w:val="231F20"/>
        </w:rPr>
        <w:t>employees;</w:t>
      </w:r>
      <w:r>
        <w:rPr>
          <w:color w:val="231F20"/>
          <w:spacing w:val="-17"/>
        </w:rPr>
        <w:t xml:space="preserve"> </w:t>
      </w:r>
      <w:r>
        <w:rPr>
          <w:color w:val="231F20"/>
        </w:rPr>
        <w:t>Engage</w:t>
      </w:r>
      <w:r>
        <w:rPr>
          <w:color w:val="231F20"/>
          <w:spacing w:val="-17"/>
        </w:rPr>
        <w:t xml:space="preserve"> </w:t>
      </w:r>
      <w:r>
        <w:rPr>
          <w:color w:val="231F20"/>
        </w:rPr>
        <w:t>philanthropists</w:t>
      </w:r>
      <w:r>
        <w:rPr>
          <w:color w:val="231F20"/>
          <w:spacing w:val="-16"/>
        </w:rPr>
        <w:t xml:space="preserve"> </w:t>
      </w:r>
      <w:r>
        <w:rPr>
          <w:color w:val="231F20"/>
        </w:rPr>
        <w:t>and</w:t>
      </w:r>
      <w:r>
        <w:rPr>
          <w:color w:val="231F20"/>
          <w:spacing w:val="-17"/>
        </w:rPr>
        <w:t xml:space="preserve"> </w:t>
      </w:r>
      <w:r>
        <w:rPr>
          <w:color w:val="231F20"/>
        </w:rPr>
        <w:t>community</w:t>
      </w:r>
      <w:r>
        <w:rPr>
          <w:color w:val="231F20"/>
          <w:spacing w:val="-17"/>
        </w:rPr>
        <w:t xml:space="preserve"> </w:t>
      </w:r>
      <w:r>
        <w:rPr>
          <w:color w:val="231F20"/>
        </w:rPr>
        <w:t>influencers</w:t>
      </w:r>
      <w:r>
        <w:rPr>
          <w:color w:val="231F20"/>
          <w:spacing w:val="-16"/>
        </w:rPr>
        <w:t xml:space="preserve"> </w:t>
      </w:r>
      <w:r>
        <w:rPr>
          <w:color w:val="231F20"/>
        </w:rPr>
        <w:t>to</w:t>
      </w:r>
      <w:r>
        <w:rPr>
          <w:color w:val="231F20"/>
          <w:spacing w:val="-17"/>
        </w:rPr>
        <w:t xml:space="preserve"> </w:t>
      </w:r>
      <w:r w:rsidR="00E47D1B">
        <w:rPr>
          <w:color w:val="231F20"/>
        </w:rPr>
        <w:t>enroll</w:t>
      </w:r>
      <w:r>
        <w:rPr>
          <w:color w:val="231F20"/>
          <w:spacing w:val="-18"/>
        </w:rPr>
        <w:t xml:space="preserve"> </w:t>
      </w:r>
      <w:r>
        <w:rPr>
          <w:color w:val="231F20"/>
        </w:rPr>
        <w:t>community</w:t>
      </w:r>
      <w:r>
        <w:rPr>
          <w:color w:val="231F20"/>
          <w:spacing w:val="-17"/>
        </w:rPr>
        <w:t xml:space="preserve"> </w:t>
      </w:r>
      <w:r>
        <w:rPr>
          <w:color w:val="231F20"/>
        </w:rPr>
        <w:t xml:space="preserve">members and support vulnerable groups; Engage the media in promoting health insurance as well </w:t>
      </w:r>
      <w:r>
        <w:rPr>
          <w:color w:val="231F20"/>
          <w:spacing w:val="-6"/>
        </w:rPr>
        <w:t xml:space="preserve">as </w:t>
      </w:r>
      <w:r>
        <w:rPr>
          <w:color w:val="231F20"/>
        </w:rPr>
        <w:t>produce</w:t>
      </w:r>
      <w:r>
        <w:rPr>
          <w:color w:val="231F20"/>
          <w:spacing w:val="-9"/>
        </w:rPr>
        <w:t xml:space="preserve"> </w:t>
      </w:r>
      <w:r>
        <w:rPr>
          <w:color w:val="231F20"/>
        </w:rPr>
        <w:t>and</w:t>
      </w:r>
      <w:r>
        <w:rPr>
          <w:color w:val="231F20"/>
          <w:spacing w:val="-8"/>
        </w:rPr>
        <w:t xml:space="preserve"> </w:t>
      </w:r>
      <w:r>
        <w:rPr>
          <w:color w:val="231F20"/>
        </w:rPr>
        <w:t>disseminate</w:t>
      </w:r>
      <w:r>
        <w:rPr>
          <w:color w:val="231F20"/>
          <w:spacing w:val="-8"/>
        </w:rPr>
        <w:t xml:space="preserve"> </w:t>
      </w:r>
      <w:r>
        <w:rPr>
          <w:color w:val="231F20"/>
        </w:rPr>
        <w:t>IEC</w:t>
      </w:r>
      <w:r>
        <w:rPr>
          <w:color w:val="231F20"/>
          <w:spacing w:val="-8"/>
        </w:rPr>
        <w:t xml:space="preserve"> </w:t>
      </w:r>
      <w:r>
        <w:rPr>
          <w:color w:val="231F20"/>
        </w:rPr>
        <w:t>materials</w:t>
      </w:r>
      <w:r>
        <w:rPr>
          <w:color w:val="231F20"/>
          <w:spacing w:val="-8"/>
        </w:rPr>
        <w:t xml:space="preserve"> </w:t>
      </w:r>
      <w:r>
        <w:rPr>
          <w:color w:val="231F20"/>
        </w:rPr>
        <w:t>on</w:t>
      </w:r>
      <w:r>
        <w:rPr>
          <w:color w:val="231F20"/>
          <w:spacing w:val="-8"/>
        </w:rPr>
        <w:t xml:space="preserve"> </w:t>
      </w:r>
      <w:r>
        <w:rPr>
          <w:color w:val="231F20"/>
        </w:rPr>
        <w:t>health</w:t>
      </w:r>
      <w:r>
        <w:rPr>
          <w:color w:val="231F20"/>
          <w:spacing w:val="-8"/>
        </w:rPr>
        <w:t xml:space="preserve"> </w:t>
      </w:r>
      <w:r>
        <w:rPr>
          <w:color w:val="231F20"/>
        </w:rPr>
        <w:t>Insurance;</w:t>
      </w:r>
      <w:r>
        <w:rPr>
          <w:color w:val="231F20"/>
          <w:spacing w:val="-8"/>
        </w:rPr>
        <w:t xml:space="preserve"> </w:t>
      </w:r>
      <w:r>
        <w:rPr>
          <w:color w:val="231F20"/>
        </w:rPr>
        <w:t>Engage</w:t>
      </w:r>
      <w:r>
        <w:rPr>
          <w:color w:val="231F20"/>
          <w:spacing w:val="-8"/>
        </w:rPr>
        <w:t xml:space="preserve"> </w:t>
      </w:r>
      <w:r>
        <w:rPr>
          <w:color w:val="231F20"/>
        </w:rPr>
        <w:t>communities</w:t>
      </w:r>
      <w:r>
        <w:rPr>
          <w:color w:val="231F20"/>
          <w:spacing w:val="-9"/>
        </w:rPr>
        <w:t xml:space="preserve"> </w:t>
      </w:r>
      <w:r>
        <w:rPr>
          <w:color w:val="231F20"/>
        </w:rPr>
        <w:t>and</w:t>
      </w:r>
      <w:r>
        <w:rPr>
          <w:color w:val="231F20"/>
          <w:spacing w:val="-8"/>
        </w:rPr>
        <w:t xml:space="preserve"> </w:t>
      </w:r>
      <w:r>
        <w:rPr>
          <w:color w:val="231F20"/>
        </w:rPr>
        <w:t>NGOs</w:t>
      </w:r>
      <w:r>
        <w:rPr>
          <w:color w:val="231F20"/>
          <w:spacing w:val="-8"/>
        </w:rPr>
        <w:t xml:space="preserve"> </w:t>
      </w:r>
      <w:r>
        <w:rPr>
          <w:color w:val="231F20"/>
        </w:rPr>
        <w:t>on financial</w:t>
      </w:r>
      <w:r>
        <w:rPr>
          <w:color w:val="231F20"/>
          <w:spacing w:val="-25"/>
        </w:rPr>
        <w:t xml:space="preserve"> </w:t>
      </w:r>
      <w:r>
        <w:rPr>
          <w:color w:val="231F20"/>
        </w:rPr>
        <w:t>risk</w:t>
      </w:r>
      <w:r>
        <w:rPr>
          <w:color w:val="231F20"/>
          <w:spacing w:val="-26"/>
        </w:rPr>
        <w:t xml:space="preserve"> </w:t>
      </w:r>
      <w:r>
        <w:rPr>
          <w:color w:val="231F20"/>
        </w:rPr>
        <w:t>protection</w:t>
      </w:r>
      <w:r>
        <w:rPr>
          <w:color w:val="231F20"/>
          <w:spacing w:val="-25"/>
        </w:rPr>
        <w:t xml:space="preserve"> </w:t>
      </w:r>
      <w:r>
        <w:rPr>
          <w:color w:val="231F20"/>
        </w:rPr>
        <w:t>benefit</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insurance.</w:t>
      </w:r>
    </w:p>
    <w:p w14:paraId="7DCD06C2" w14:textId="77777777" w:rsidR="009948F1" w:rsidRDefault="009948F1">
      <w:pPr>
        <w:pStyle w:val="BodyText"/>
        <w:spacing w:before="2"/>
        <w:rPr>
          <w:sz w:val="24"/>
        </w:rPr>
      </w:pPr>
    </w:p>
    <w:p w14:paraId="3D894C25" w14:textId="77777777" w:rsidR="009948F1" w:rsidRDefault="00BC0563">
      <w:pPr>
        <w:pStyle w:val="ListParagraph"/>
        <w:numPr>
          <w:ilvl w:val="3"/>
          <w:numId w:val="259"/>
        </w:numPr>
        <w:tabs>
          <w:tab w:val="left" w:pos="1024"/>
        </w:tabs>
        <w:spacing w:line="261" w:lineRule="auto"/>
        <w:ind w:right="221" w:firstLine="0"/>
      </w:pPr>
      <w:r>
        <w:rPr>
          <w:color w:val="231F20"/>
        </w:rPr>
        <w:t xml:space="preserve">Strengthen Laws and regulations for the implementation of the State health Insurance Scheme. Key actions include; - Advocacy to the Executive Governor/ House of Assembly </w:t>
      </w:r>
      <w:r>
        <w:rPr>
          <w:color w:val="231F20"/>
          <w:spacing w:val="-6"/>
        </w:rPr>
        <w:t xml:space="preserve">to </w:t>
      </w:r>
      <w:r>
        <w:rPr>
          <w:color w:val="231F20"/>
        </w:rPr>
        <w:t xml:space="preserve">facilitate passage of Rivers State Contributory Health Protection </w:t>
      </w:r>
      <w:proofErr w:type="spellStart"/>
      <w:r>
        <w:rPr>
          <w:color w:val="231F20"/>
        </w:rPr>
        <w:t>Programme</w:t>
      </w:r>
      <w:proofErr w:type="spellEnd"/>
      <w:r>
        <w:rPr>
          <w:color w:val="231F20"/>
        </w:rPr>
        <w:t xml:space="preserve"> (RIVCHPP) bill; Develop memos for public hearing of the RIVCHPP bill; Development of Basic Minimum Benefit Package</w:t>
      </w:r>
      <w:r>
        <w:rPr>
          <w:color w:val="231F20"/>
          <w:spacing w:val="-18"/>
        </w:rPr>
        <w:t xml:space="preserve"> </w:t>
      </w:r>
      <w:r>
        <w:rPr>
          <w:color w:val="231F20"/>
        </w:rPr>
        <w:t>(BMHP),</w:t>
      </w:r>
      <w:r>
        <w:rPr>
          <w:color w:val="231F20"/>
          <w:spacing w:val="-18"/>
        </w:rPr>
        <w:t xml:space="preserve"> </w:t>
      </w:r>
      <w:r>
        <w:rPr>
          <w:color w:val="231F20"/>
        </w:rPr>
        <w:t>operational</w:t>
      </w:r>
      <w:r>
        <w:rPr>
          <w:color w:val="231F20"/>
          <w:spacing w:val="-17"/>
        </w:rPr>
        <w:t xml:space="preserve"> </w:t>
      </w:r>
      <w:r>
        <w:rPr>
          <w:color w:val="231F20"/>
        </w:rPr>
        <w:t>guidelines</w:t>
      </w:r>
      <w:r>
        <w:rPr>
          <w:color w:val="231F20"/>
          <w:spacing w:val="-17"/>
        </w:rPr>
        <w:t xml:space="preserve"> </w:t>
      </w:r>
      <w:r>
        <w:rPr>
          <w:color w:val="231F20"/>
        </w:rPr>
        <w:t>and</w:t>
      </w:r>
      <w:r>
        <w:rPr>
          <w:color w:val="231F20"/>
          <w:spacing w:val="-17"/>
        </w:rPr>
        <w:t xml:space="preserve"> </w:t>
      </w:r>
      <w:r>
        <w:rPr>
          <w:color w:val="231F20"/>
        </w:rPr>
        <w:t>SOPs;</w:t>
      </w:r>
      <w:r>
        <w:rPr>
          <w:color w:val="231F20"/>
          <w:spacing w:val="-18"/>
        </w:rPr>
        <w:t xml:space="preserve"> </w:t>
      </w:r>
      <w:r>
        <w:rPr>
          <w:color w:val="231F20"/>
        </w:rPr>
        <w:t>Develop</w:t>
      </w:r>
      <w:r>
        <w:rPr>
          <w:color w:val="231F20"/>
          <w:spacing w:val="-17"/>
        </w:rPr>
        <w:t xml:space="preserve"> </w:t>
      </w:r>
      <w:r>
        <w:rPr>
          <w:color w:val="231F20"/>
        </w:rPr>
        <w:t>Framework</w:t>
      </w:r>
      <w:r>
        <w:rPr>
          <w:color w:val="231F20"/>
          <w:spacing w:val="-17"/>
        </w:rPr>
        <w:t xml:space="preserve"> </w:t>
      </w:r>
      <w:r>
        <w:rPr>
          <w:color w:val="231F20"/>
        </w:rPr>
        <w:t>for</w:t>
      </w:r>
      <w:r>
        <w:rPr>
          <w:color w:val="231F20"/>
          <w:spacing w:val="-19"/>
        </w:rPr>
        <w:t xml:space="preserve"> </w:t>
      </w:r>
      <w:r>
        <w:rPr>
          <w:color w:val="231F20"/>
        </w:rPr>
        <w:t>consolidation</w:t>
      </w:r>
      <w:r>
        <w:rPr>
          <w:color w:val="231F20"/>
          <w:spacing w:val="-17"/>
        </w:rPr>
        <w:t xml:space="preserve"> </w:t>
      </w:r>
      <w:r>
        <w:rPr>
          <w:color w:val="231F20"/>
        </w:rPr>
        <w:t>of</w:t>
      </w:r>
      <w:r>
        <w:rPr>
          <w:color w:val="231F20"/>
          <w:spacing w:val="-18"/>
        </w:rPr>
        <w:t xml:space="preserve"> </w:t>
      </w:r>
      <w:r>
        <w:rPr>
          <w:color w:val="231F20"/>
          <w:spacing w:val="-3"/>
        </w:rPr>
        <w:t xml:space="preserve">fund </w:t>
      </w:r>
      <w:r>
        <w:rPr>
          <w:color w:val="231F20"/>
        </w:rPr>
        <w:t>pools at state levels; Conduct advocacy for laws to establish/enforce SHIS and scale up Community</w:t>
      </w:r>
      <w:r>
        <w:rPr>
          <w:color w:val="231F20"/>
          <w:spacing w:val="-26"/>
        </w:rPr>
        <w:t xml:space="preserve"> </w:t>
      </w:r>
      <w:r>
        <w:rPr>
          <w:color w:val="231F20"/>
        </w:rPr>
        <w:t>Health</w:t>
      </w:r>
      <w:r>
        <w:rPr>
          <w:color w:val="231F20"/>
          <w:spacing w:val="-25"/>
        </w:rPr>
        <w:t xml:space="preserve"> </w:t>
      </w:r>
      <w:r>
        <w:rPr>
          <w:color w:val="231F20"/>
        </w:rPr>
        <w:t>Insurance</w:t>
      </w:r>
      <w:r>
        <w:rPr>
          <w:color w:val="231F20"/>
          <w:spacing w:val="-25"/>
        </w:rPr>
        <w:t xml:space="preserve"> </w:t>
      </w:r>
      <w:r>
        <w:rPr>
          <w:color w:val="231F20"/>
        </w:rPr>
        <w:t>Scheme</w:t>
      </w:r>
      <w:r>
        <w:rPr>
          <w:color w:val="231F20"/>
          <w:spacing w:val="-25"/>
        </w:rPr>
        <w:t xml:space="preserve"> </w:t>
      </w:r>
      <w:r>
        <w:rPr>
          <w:color w:val="231F20"/>
        </w:rPr>
        <w:t>in</w:t>
      </w:r>
      <w:r>
        <w:rPr>
          <w:color w:val="231F20"/>
          <w:spacing w:val="-25"/>
        </w:rPr>
        <w:t xml:space="preserve"> </w:t>
      </w:r>
      <w:r>
        <w:rPr>
          <w:color w:val="231F20"/>
        </w:rPr>
        <w:t>Primary/Secondary</w:t>
      </w:r>
      <w:r>
        <w:rPr>
          <w:color w:val="231F20"/>
          <w:spacing w:val="-25"/>
        </w:rPr>
        <w:t xml:space="preserve"> </w:t>
      </w:r>
      <w:r>
        <w:rPr>
          <w:color w:val="231F20"/>
        </w:rPr>
        <w:t>Health</w:t>
      </w:r>
      <w:r>
        <w:rPr>
          <w:color w:val="231F20"/>
          <w:spacing w:val="-25"/>
        </w:rPr>
        <w:t xml:space="preserve"> </w:t>
      </w:r>
      <w:r>
        <w:rPr>
          <w:color w:val="231F20"/>
        </w:rPr>
        <w:t>Facilities</w:t>
      </w:r>
      <w:r>
        <w:rPr>
          <w:color w:val="231F20"/>
          <w:spacing w:val="-25"/>
        </w:rPr>
        <w:t xml:space="preserve"> </w:t>
      </w:r>
      <w:r>
        <w:rPr>
          <w:color w:val="231F20"/>
        </w:rPr>
        <w:t>across</w:t>
      </w:r>
      <w:r>
        <w:rPr>
          <w:color w:val="231F20"/>
          <w:spacing w:val="-25"/>
        </w:rPr>
        <w:t xml:space="preserve"> </w:t>
      </w:r>
      <w:r>
        <w:rPr>
          <w:color w:val="231F20"/>
        </w:rPr>
        <w:t>the</w:t>
      </w:r>
      <w:r>
        <w:rPr>
          <w:color w:val="231F20"/>
          <w:spacing w:val="-25"/>
        </w:rPr>
        <w:t xml:space="preserve"> </w:t>
      </w:r>
      <w:r>
        <w:rPr>
          <w:color w:val="231F20"/>
        </w:rPr>
        <w:t>State.</w:t>
      </w:r>
    </w:p>
    <w:p w14:paraId="573AF118" w14:textId="77777777" w:rsidR="009948F1" w:rsidRDefault="009948F1">
      <w:pPr>
        <w:pStyle w:val="BodyText"/>
        <w:spacing w:before="2"/>
        <w:rPr>
          <w:sz w:val="24"/>
        </w:rPr>
      </w:pPr>
    </w:p>
    <w:p w14:paraId="0B4014C4" w14:textId="77777777" w:rsidR="009948F1" w:rsidRDefault="00BC0563">
      <w:pPr>
        <w:pStyle w:val="ListParagraph"/>
        <w:numPr>
          <w:ilvl w:val="3"/>
          <w:numId w:val="259"/>
        </w:numPr>
        <w:tabs>
          <w:tab w:val="left" w:pos="1016"/>
        </w:tabs>
        <w:spacing w:line="261" w:lineRule="auto"/>
        <w:ind w:right="221" w:firstLine="0"/>
      </w:pPr>
      <w:r>
        <w:rPr>
          <w:color w:val="231F20"/>
        </w:rPr>
        <w:t xml:space="preserve">Strengthen technical capacity of health personnel on health insurance and </w:t>
      </w:r>
      <w:r>
        <w:rPr>
          <w:color w:val="231F20"/>
          <w:spacing w:val="-2"/>
        </w:rPr>
        <w:t xml:space="preserve">contributory </w:t>
      </w:r>
      <w:r>
        <w:rPr>
          <w:color w:val="231F20"/>
        </w:rPr>
        <w:t>schemes.</w:t>
      </w:r>
      <w:r>
        <w:rPr>
          <w:color w:val="231F20"/>
          <w:spacing w:val="-25"/>
        </w:rPr>
        <w:t xml:space="preserve"> </w:t>
      </w:r>
      <w:r>
        <w:rPr>
          <w:color w:val="231F20"/>
        </w:rPr>
        <w:t>Key</w:t>
      </w:r>
      <w:r>
        <w:rPr>
          <w:color w:val="231F20"/>
          <w:spacing w:val="-25"/>
        </w:rPr>
        <w:t xml:space="preserve"> </w:t>
      </w:r>
      <w:r>
        <w:rPr>
          <w:color w:val="231F20"/>
        </w:rPr>
        <w:t>actions</w:t>
      </w:r>
      <w:r>
        <w:rPr>
          <w:color w:val="231F20"/>
          <w:spacing w:val="-25"/>
        </w:rPr>
        <w:t xml:space="preserve"> </w:t>
      </w:r>
      <w:r>
        <w:rPr>
          <w:color w:val="231F20"/>
        </w:rPr>
        <w:t>include;</w:t>
      </w:r>
      <w:r>
        <w:rPr>
          <w:color w:val="231F20"/>
          <w:spacing w:val="-24"/>
        </w:rPr>
        <w:t xml:space="preserve"> </w:t>
      </w:r>
      <w:r>
        <w:rPr>
          <w:color w:val="231F20"/>
        </w:rPr>
        <w:t>-</w:t>
      </w:r>
      <w:r>
        <w:rPr>
          <w:color w:val="231F20"/>
          <w:spacing w:val="-29"/>
        </w:rPr>
        <w:t xml:space="preserve"> </w:t>
      </w:r>
      <w:r>
        <w:rPr>
          <w:color w:val="231F20"/>
        </w:rPr>
        <w:t>Training</w:t>
      </w:r>
      <w:r>
        <w:rPr>
          <w:color w:val="231F20"/>
          <w:spacing w:val="-25"/>
        </w:rPr>
        <w:t xml:space="preserve"> </w:t>
      </w:r>
      <w:r>
        <w:rPr>
          <w:color w:val="231F20"/>
        </w:rPr>
        <w:t>of</w:t>
      </w:r>
      <w:r>
        <w:rPr>
          <w:color w:val="231F20"/>
          <w:spacing w:val="-24"/>
        </w:rPr>
        <w:t xml:space="preserve"> </w:t>
      </w:r>
      <w:r>
        <w:rPr>
          <w:color w:val="231F20"/>
        </w:rPr>
        <w:t>staff</w:t>
      </w:r>
      <w:r>
        <w:rPr>
          <w:color w:val="231F20"/>
          <w:spacing w:val="-25"/>
        </w:rPr>
        <w:t xml:space="preserve"> </w:t>
      </w:r>
      <w:r>
        <w:rPr>
          <w:color w:val="231F20"/>
        </w:rPr>
        <w:t>on</w:t>
      </w:r>
      <w:r>
        <w:rPr>
          <w:color w:val="231F20"/>
          <w:spacing w:val="-25"/>
        </w:rPr>
        <w:t xml:space="preserve"> </w:t>
      </w:r>
      <w:r>
        <w:rPr>
          <w:color w:val="231F20"/>
        </w:rPr>
        <w:t>basic</w:t>
      </w:r>
      <w:r>
        <w:rPr>
          <w:color w:val="231F20"/>
          <w:spacing w:val="-25"/>
        </w:rPr>
        <w:t xml:space="preserve"> </w:t>
      </w:r>
      <w:r>
        <w:rPr>
          <w:color w:val="231F20"/>
        </w:rPr>
        <w:t>Health</w:t>
      </w:r>
      <w:r>
        <w:rPr>
          <w:color w:val="231F20"/>
          <w:spacing w:val="-24"/>
        </w:rPr>
        <w:t xml:space="preserve"> </w:t>
      </w:r>
      <w:r>
        <w:rPr>
          <w:color w:val="231F20"/>
        </w:rPr>
        <w:t>Insurance</w:t>
      </w:r>
      <w:r>
        <w:rPr>
          <w:color w:val="231F20"/>
          <w:spacing w:val="-25"/>
        </w:rPr>
        <w:t xml:space="preserve"> </w:t>
      </w:r>
      <w:r>
        <w:rPr>
          <w:color w:val="231F20"/>
        </w:rPr>
        <w:t>strategies</w:t>
      </w:r>
      <w:r>
        <w:rPr>
          <w:color w:val="231F20"/>
          <w:spacing w:val="-25"/>
        </w:rPr>
        <w:t xml:space="preserve"> </w:t>
      </w:r>
      <w:r>
        <w:rPr>
          <w:color w:val="231F20"/>
        </w:rPr>
        <w:t>and</w:t>
      </w:r>
      <w:r>
        <w:rPr>
          <w:color w:val="231F20"/>
          <w:spacing w:val="-25"/>
        </w:rPr>
        <w:t xml:space="preserve"> </w:t>
      </w:r>
      <w:r>
        <w:rPr>
          <w:color w:val="231F20"/>
        </w:rPr>
        <w:t>principle; Routine</w:t>
      </w:r>
      <w:r>
        <w:rPr>
          <w:color w:val="231F20"/>
          <w:spacing w:val="-26"/>
        </w:rPr>
        <w:t xml:space="preserve"> </w:t>
      </w:r>
      <w:r>
        <w:rPr>
          <w:color w:val="231F20"/>
        </w:rPr>
        <w:t>training</w:t>
      </w:r>
      <w:r>
        <w:rPr>
          <w:color w:val="231F20"/>
          <w:spacing w:val="-25"/>
        </w:rPr>
        <w:t xml:space="preserve"> </w:t>
      </w:r>
      <w:r>
        <w:rPr>
          <w:color w:val="231F20"/>
        </w:rPr>
        <w:t>&amp;</w:t>
      </w:r>
      <w:r>
        <w:rPr>
          <w:color w:val="231F20"/>
          <w:spacing w:val="-25"/>
        </w:rPr>
        <w:t xml:space="preserve"> </w:t>
      </w:r>
      <w:r>
        <w:rPr>
          <w:color w:val="231F20"/>
        </w:rPr>
        <w:t>re-training</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human</w:t>
      </w:r>
      <w:r>
        <w:rPr>
          <w:color w:val="231F20"/>
          <w:spacing w:val="-25"/>
        </w:rPr>
        <w:t xml:space="preserve"> </w:t>
      </w:r>
      <w:r>
        <w:rPr>
          <w:color w:val="231F20"/>
        </w:rPr>
        <w:t>resources</w:t>
      </w:r>
      <w:r>
        <w:rPr>
          <w:color w:val="231F20"/>
          <w:spacing w:val="-25"/>
        </w:rPr>
        <w:t xml:space="preserve"> </w:t>
      </w:r>
      <w:r>
        <w:rPr>
          <w:color w:val="231F20"/>
        </w:rPr>
        <w:t>in</w:t>
      </w:r>
      <w:r>
        <w:rPr>
          <w:color w:val="231F20"/>
          <w:spacing w:val="-25"/>
        </w:rPr>
        <w:t xml:space="preserve"> </w:t>
      </w:r>
      <w:r>
        <w:rPr>
          <w:color w:val="231F20"/>
        </w:rPr>
        <w:t>private</w:t>
      </w:r>
      <w:r>
        <w:rPr>
          <w:color w:val="231F20"/>
          <w:spacing w:val="-25"/>
        </w:rPr>
        <w:t xml:space="preserve"> </w:t>
      </w:r>
      <w:r>
        <w:rPr>
          <w:color w:val="231F20"/>
        </w:rPr>
        <w:t>and</w:t>
      </w:r>
      <w:r>
        <w:rPr>
          <w:color w:val="231F20"/>
          <w:spacing w:val="-25"/>
        </w:rPr>
        <w:t xml:space="preserve"> </w:t>
      </w:r>
      <w:r>
        <w:rPr>
          <w:color w:val="231F20"/>
        </w:rPr>
        <w:t>public</w:t>
      </w:r>
      <w:r>
        <w:rPr>
          <w:color w:val="231F20"/>
          <w:spacing w:val="-25"/>
        </w:rPr>
        <w:t xml:space="preserve"> </w:t>
      </w:r>
      <w:r>
        <w:rPr>
          <w:color w:val="231F20"/>
        </w:rPr>
        <w:t>health</w:t>
      </w:r>
      <w:r>
        <w:rPr>
          <w:color w:val="231F20"/>
          <w:spacing w:val="-25"/>
        </w:rPr>
        <w:t xml:space="preserve"> </w:t>
      </w:r>
      <w:r>
        <w:rPr>
          <w:color w:val="231F20"/>
        </w:rPr>
        <w:t>facilities.</w:t>
      </w:r>
    </w:p>
    <w:p w14:paraId="34695E06" w14:textId="77777777" w:rsidR="009948F1" w:rsidRDefault="009948F1">
      <w:pPr>
        <w:pStyle w:val="BodyText"/>
        <w:rPr>
          <w:sz w:val="24"/>
        </w:rPr>
      </w:pPr>
    </w:p>
    <w:p w14:paraId="4948D635" w14:textId="77777777" w:rsidR="009948F1" w:rsidRDefault="00BC0563">
      <w:pPr>
        <w:pStyle w:val="ListParagraph"/>
        <w:numPr>
          <w:ilvl w:val="3"/>
          <w:numId w:val="259"/>
        </w:numPr>
        <w:tabs>
          <w:tab w:val="left" w:pos="991"/>
        </w:tabs>
        <w:spacing w:before="1" w:line="261" w:lineRule="auto"/>
        <w:ind w:right="221" w:firstLine="0"/>
      </w:pPr>
      <w:r>
        <w:rPr>
          <w:color w:val="231F20"/>
        </w:rPr>
        <w:t>Establish</w:t>
      </w:r>
      <w:r>
        <w:rPr>
          <w:color w:val="231F20"/>
          <w:spacing w:val="-21"/>
        </w:rPr>
        <w:t xml:space="preserve"> </w:t>
      </w:r>
      <w:r>
        <w:rPr>
          <w:color w:val="231F20"/>
        </w:rPr>
        <w:t>and</w:t>
      </w:r>
      <w:r>
        <w:rPr>
          <w:color w:val="231F20"/>
          <w:spacing w:val="-21"/>
        </w:rPr>
        <w:t xml:space="preserve"> </w:t>
      </w:r>
      <w:r>
        <w:rPr>
          <w:color w:val="231F20"/>
        </w:rPr>
        <w:t>expand</w:t>
      </w:r>
      <w:r>
        <w:rPr>
          <w:color w:val="231F20"/>
          <w:spacing w:val="-21"/>
        </w:rPr>
        <w:t xml:space="preserve"> </w:t>
      </w:r>
      <w:r>
        <w:rPr>
          <w:color w:val="231F20"/>
        </w:rPr>
        <w:t>Mandatory</w:t>
      </w:r>
      <w:r>
        <w:rPr>
          <w:color w:val="231F20"/>
          <w:spacing w:val="-21"/>
        </w:rPr>
        <w:t xml:space="preserve"> </w:t>
      </w:r>
      <w:r>
        <w:rPr>
          <w:color w:val="231F20"/>
        </w:rPr>
        <w:t>State</w:t>
      </w:r>
      <w:r>
        <w:rPr>
          <w:color w:val="231F20"/>
          <w:spacing w:val="-21"/>
        </w:rPr>
        <w:t xml:space="preserve"> </w:t>
      </w:r>
      <w:r>
        <w:rPr>
          <w:color w:val="231F20"/>
        </w:rPr>
        <w:t>Health</w:t>
      </w:r>
      <w:r>
        <w:rPr>
          <w:color w:val="231F20"/>
          <w:spacing w:val="-21"/>
        </w:rPr>
        <w:t xml:space="preserve"> </w:t>
      </w:r>
      <w:r>
        <w:rPr>
          <w:color w:val="231F20"/>
        </w:rPr>
        <w:t>Insurance</w:t>
      </w:r>
      <w:r>
        <w:rPr>
          <w:color w:val="231F20"/>
          <w:spacing w:val="-21"/>
        </w:rPr>
        <w:t xml:space="preserve"> </w:t>
      </w:r>
      <w:r>
        <w:rPr>
          <w:color w:val="231F20"/>
        </w:rPr>
        <w:t>and</w:t>
      </w:r>
      <w:r>
        <w:rPr>
          <w:color w:val="231F20"/>
          <w:spacing w:val="-21"/>
        </w:rPr>
        <w:t xml:space="preserve"> </w:t>
      </w:r>
      <w:r>
        <w:rPr>
          <w:color w:val="231F20"/>
        </w:rPr>
        <w:t>contributory</w:t>
      </w:r>
      <w:r>
        <w:rPr>
          <w:color w:val="231F20"/>
          <w:spacing w:val="-21"/>
        </w:rPr>
        <w:t xml:space="preserve"> </w:t>
      </w:r>
      <w:r>
        <w:rPr>
          <w:color w:val="231F20"/>
        </w:rPr>
        <w:t>Schemes</w:t>
      </w:r>
      <w:r>
        <w:rPr>
          <w:color w:val="231F20"/>
          <w:spacing w:val="-21"/>
        </w:rPr>
        <w:t xml:space="preserve"> </w:t>
      </w:r>
      <w:r>
        <w:rPr>
          <w:color w:val="231F20"/>
        </w:rPr>
        <w:t>in</w:t>
      </w:r>
      <w:r>
        <w:rPr>
          <w:color w:val="231F20"/>
          <w:spacing w:val="-21"/>
        </w:rPr>
        <w:t xml:space="preserve"> </w:t>
      </w:r>
      <w:r>
        <w:rPr>
          <w:color w:val="231F20"/>
          <w:spacing w:val="-5"/>
        </w:rPr>
        <w:t xml:space="preserve">the </w:t>
      </w:r>
      <w:r>
        <w:rPr>
          <w:color w:val="231F20"/>
        </w:rPr>
        <w:t xml:space="preserve">State. Key actions include; - Establish an Agency for RIVCHPP/Deploy relevant qualified staff </w:t>
      </w:r>
      <w:r>
        <w:rPr>
          <w:color w:val="231F20"/>
          <w:spacing w:val="-7"/>
        </w:rPr>
        <w:t xml:space="preserve">to </w:t>
      </w:r>
      <w:r>
        <w:rPr>
          <w:color w:val="231F20"/>
        </w:rPr>
        <w:t>occupy the offices in the established agency; Establish 23 LGA desk offices and appoint desk officers;</w:t>
      </w:r>
      <w:r>
        <w:rPr>
          <w:color w:val="231F20"/>
          <w:spacing w:val="-17"/>
        </w:rPr>
        <w:t xml:space="preserve"> </w:t>
      </w:r>
      <w:r>
        <w:rPr>
          <w:color w:val="231F20"/>
        </w:rPr>
        <w:t>Training</w:t>
      </w:r>
      <w:r>
        <w:rPr>
          <w:color w:val="231F20"/>
          <w:spacing w:val="-12"/>
        </w:rPr>
        <w:t xml:space="preserve"> </w:t>
      </w:r>
      <w:r>
        <w:rPr>
          <w:color w:val="231F20"/>
        </w:rPr>
        <w:t>and</w:t>
      </w:r>
      <w:r>
        <w:rPr>
          <w:color w:val="231F20"/>
          <w:spacing w:val="-12"/>
        </w:rPr>
        <w:t xml:space="preserve"> </w:t>
      </w:r>
      <w:r>
        <w:rPr>
          <w:color w:val="231F20"/>
        </w:rPr>
        <w:t>retraining</w:t>
      </w:r>
      <w:r>
        <w:rPr>
          <w:color w:val="231F20"/>
          <w:spacing w:val="-12"/>
        </w:rPr>
        <w:t xml:space="preserve"> </w:t>
      </w:r>
      <w:r>
        <w:rPr>
          <w:color w:val="231F20"/>
        </w:rPr>
        <w:t>of</w:t>
      </w:r>
      <w:r>
        <w:rPr>
          <w:color w:val="231F20"/>
          <w:spacing w:val="-12"/>
        </w:rPr>
        <w:t xml:space="preserve"> </w:t>
      </w:r>
      <w:r>
        <w:rPr>
          <w:color w:val="231F20"/>
        </w:rPr>
        <w:t>desk</w:t>
      </w:r>
      <w:r>
        <w:rPr>
          <w:color w:val="231F20"/>
          <w:spacing w:val="-13"/>
        </w:rPr>
        <w:t xml:space="preserve"> </w:t>
      </w:r>
      <w:r>
        <w:rPr>
          <w:color w:val="231F20"/>
        </w:rPr>
        <w:t>officers;</w:t>
      </w:r>
      <w:r>
        <w:rPr>
          <w:color w:val="231F20"/>
          <w:spacing w:val="-12"/>
        </w:rPr>
        <w:t xml:space="preserve"> </w:t>
      </w:r>
      <w:r>
        <w:rPr>
          <w:color w:val="231F20"/>
        </w:rPr>
        <w:t>Review</w:t>
      </w:r>
      <w:r>
        <w:rPr>
          <w:color w:val="231F20"/>
          <w:spacing w:val="-12"/>
        </w:rPr>
        <w:t xml:space="preserve"> </w:t>
      </w:r>
      <w:r>
        <w:rPr>
          <w:color w:val="231F20"/>
        </w:rPr>
        <w:t>all</w:t>
      </w:r>
      <w:r>
        <w:rPr>
          <w:color w:val="231F20"/>
          <w:spacing w:val="-12"/>
        </w:rPr>
        <w:t xml:space="preserve"> </w:t>
      </w:r>
      <w:r>
        <w:rPr>
          <w:color w:val="231F20"/>
        </w:rPr>
        <w:t>existing</w:t>
      </w:r>
      <w:r>
        <w:rPr>
          <w:color w:val="231F20"/>
          <w:spacing w:val="-12"/>
        </w:rPr>
        <w:t xml:space="preserve"> </w:t>
      </w:r>
      <w:proofErr w:type="spellStart"/>
      <w:r>
        <w:rPr>
          <w:color w:val="231F20"/>
        </w:rPr>
        <w:t>programmes</w:t>
      </w:r>
      <w:proofErr w:type="spellEnd"/>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states</w:t>
      </w:r>
      <w:r>
        <w:rPr>
          <w:color w:val="231F20"/>
          <w:spacing w:val="-12"/>
        </w:rPr>
        <w:t xml:space="preserve"> </w:t>
      </w:r>
      <w:r>
        <w:rPr>
          <w:color w:val="231F20"/>
          <w:spacing w:val="-4"/>
        </w:rPr>
        <w:t xml:space="preserve">with </w:t>
      </w:r>
      <w:r>
        <w:rPr>
          <w:color w:val="231F20"/>
        </w:rPr>
        <w:t>the</w:t>
      </w:r>
      <w:r>
        <w:rPr>
          <w:color w:val="231F20"/>
          <w:spacing w:val="-19"/>
        </w:rPr>
        <w:t xml:space="preserve"> </w:t>
      </w:r>
      <w:r>
        <w:rPr>
          <w:color w:val="231F20"/>
        </w:rPr>
        <w:t>aim</w:t>
      </w:r>
      <w:r>
        <w:rPr>
          <w:color w:val="231F20"/>
          <w:spacing w:val="-18"/>
        </w:rPr>
        <w:t xml:space="preserve"> </w:t>
      </w:r>
      <w:r>
        <w:rPr>
          <w:color w:val="231F20"/>
        </w:rPr>
        <w:t>of</w:t>
      </w:r>
      <w:r>
        <w:rPr>
          <w:color w:val="231F20"/>
          <w:spacing w:val="-18"/>
        </w:rPr>
        <w:t xml:space="preserve"> </w:t>
      </w:r>
      <w:r>
        <w:rPr>
          <w:color w:val="231F20"/>
        </w:rPr>
        <w:t>integrating</w:t>
      </w:r>
      <w:r>
        <w:rPr>
          <w:color w:val="231F20"/>
          <w:spacing w:val="-18"/>
        </w:rPr>
        <w:t xml:space="preserve"> </w:t>
      </w:r>
      <w:r>
        <w:rPr>
          <w:color w:val="231F20"/>
        </w:rPr>
        <w:t>them</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single</w:t>
      </w:r>
      <w:r>
        <w:rPr>
          <w:color w:val="231F20"/>
          <w:spacing w:val="-18"/>
        </w:rPr>
        <w:t xml:space="preserve"> </w:t>
      </w:r>
      <w:r>
        <w:rPr>
          <w:color w:val="231F20"/>
        </w:rPr>
        <w:t>pool;</w:t>
      </w:r>
      <w:r>
        <w:rPr>
          <w:color w:val="231F20"/>
          <w:spacing w:val="-18"/>
        </w:rPr>
        <w:t xml:space="preserve"> </w:t>
      </w:r>
      <w:r>
        <w:rPr>
          <w:color w:val="231F20"/>
        </w:rPr>
        <w:t>Engage</w:t>
      </w:r>
      <w:r>
        <w:rPr>
          <w:color w:val="231F20"/>
          <w:spacing w:val="-18"/>
        </w:rPr>
        <w:t xml:space="preserve"> </w:t>
      </w:r>
      <w:r>
        <w:rPr>
          <w:color w:val="231F20"/>
        </w:rPr>
        <w:t>NHIS,</w:t>
      </w:r>
      <w:r>
        <w:rPr>
          <w:color w:val="231F20"/>
          <w:spacing w:val="-18"/>
        </w:rPr>
        <w:t xml:space="preserve"> </w:t>
      </w:r>
      <w:r>
        <w:rPr>
          <w:color w:val="231F20"/>
        </w:rPr>
        <w:t>to</w:t>
      </w:r>
      <w:r>
        <w:rPr>
          <w:color w:val="231F20"/>
          <w:spacing w:val="-19"/>
        </w:rPr>
        <w:t xml:space="preserve"> </w:t>
      </w:r>
      <w:r>
        <w:rPr>
          <w:color w:val="231F20"/>
        </w:rPr>
        <w:t>decide</w:t>
      </w:r>
      <w:r>
        <w:rPr>
          <w:color w:val="231F20"/>
          <w:spacing w:val="-18"/>
        </w:rPr>
        <w:t xml:space="preserve"> </w:t>
      </w:r>
      <w:r>
        <w:rPr>
          <w:color w:val="231F20"/>
        </w:rPr>
        <w:t>on</w:t>
      </w:r>
      <w:r>
        <w:rPr>
          <w:color w:val="231F20"/>
          <w:spacing w:val="-18"/>
        </w:rPr>
        <w:t xml:space="preserve"> </w:t>
      </w:r>
      <w:r>
        <w:rPr>
          <w:color w:val="231F20"/>
        </w:rPr>
        <w:t>how</w:t>
      </w:r>
      <w:r>
        <w:rPr>
          <w:color w:val="231F20"/>
          <w:spacing w:val="-18"/>
        </w:rPr>
        <w:t xml:space="preserve"> </w:t>
      </w:r>
      <w:r>
        <w:rPr>
          <w:color w:val="231F20"/>
        </w:rPr>
        <w:t>to</w:t>
      </w:r>
      <w:r>
        <w:rPr>
          <w:color w:val="231F20"/>
          <w:spacing w:val="-18"/>
        </w:rPr>
        <w:t xml:space="preserve"> </w:t>
      </w:r>
      <w:r>
        <w:rPr>
          <w:color w:val="231F20"/>
        </w:rPr>
        <w:t>collapse</w:t>
      </w:r>
      <w:r>
        <w:rPr>
          <w:color w:val="231F20"/>
          <w:spacing w:val="-18"/>
        </w:rPr>
        <w:t xml:space="preserve"> </w:t>
      </w:r>
      <w:r>
        <w:rPr>
          <w:color w:val="231F20"/>
        </w:rPr>
        <w:t>schemes into</w:t>
      </w:r>
      <w:r>
        <w:rPr>
          <w:color w:val="231F20"/>
          <w:spacing w:val="-25"/>
        </w:rPr>
        <w:t xml:space="preserve"> </w:t>
      </w:r>
      <w:r>
        <w:rPr>
          <w:color w:val="231F20"/>
        </w:rPr>
        <w:t>one</w:t>
      </w:r>
      <w:r>
        <w:rPr>
          <w:color w:val="231F20"/>
          <w:spacing w:val="-25"/>
        </w:rPr>
        <w:t xml:space="preserve"> </w:t>
      </w:r>
      <w:r>
        <w:rPr>
          <w:color w:val="231F20"/>
        </w:rPr>
        <w:t>single</w:t>
      </w:r>
      <w:r>
        <w:rPr>
          <w:color w:val="231F20"/>
          <w:spacing w:val="-25"/>
        </w:rPr>
        <w:t xml:space="preserve"> </w:t>
      </w:r>
      <w:r>
        <w:rPr>
          <w:color w:val="231F20"/>
        </w:rPr>
        <w:t>pool.</w:t>
      </w:r>
    </w:p>
    <w:p w14:paraId="0A4E9AC8" w14:textId="77777777" w:rsidR="009948F1" w:rsidRDefault="009948F1">
      <w:pPr>
        <w:spacing w:line="261" w:lineRule="auto"/>
        <w:jc w:val="both"/>
        <w:sectPr w:rsidR="009948F1">
          <w:pgSz w:w="11910" w:h="16840"/>
          <w:pgMar w:top="1340" w:right="1080" w:bottom="1420" w:left="1120" w:header="0" w:footer="1235" w:gutter="0"/>
          <w:cols w:space="720"/>
        </w:sectPr>
      </w:pPr>
    </w:p>
    <w:p w14:paraId="049490E0" w14:textId="77777777" w:rsidR="009948F1" w:rsidRDefault="00BC0563">
      <w:pPr>
        <w:pStyle w:val="Heading7"/>
        <w:numPr>
          <w:ilvl w:val="2"/>
          <w:numId w:val="262"/>
        </w:numPr>
        <w:tabs>
          <w:tab w:val="left" w:pos="949"/>
        </w:tabs>
        <w:spacing w:before="54" w:line="276" w:lineRule="auto"/>
        <w:ind w:left="268" w:right="843" w:firstLine="0"/>
        <w:jc w:val="left"/>
      </w:pPr>
      <w:bookmarkStart w:id="109" w:name="Page_95"/>
      <w:bookmarkEnd w:id="109"/>
      <w:r>
        <w:rPr>
          <w:color w:val="231F20"/>
        </w:rPr>
        <w:lastRenderedPageBreak/>
        <w:t>Enhance transparency and accountability in strategic purchasing of Health Services</w:t>
      </w:r>
    </w:p>
    <w:p w14:paraId="528686EA" w14:textId="77777777" w:rsidR="009948F1" w:rsidRDefault="00BC0563">
      <w:pPr>
        <w:spacing w:before="7"/>
        <w:ind w:left="268"/>
        <w:rPr>
          <w:b/>
        </w:rPr>
      </w:pPr>
      <w:r>
        <w:rPr>
          <w:b/>
          <w:color w:val="231F20"/>
        </w:rPr>
        <w:t>Targets</w:t>
      </w:r>
    </w:p>
    <w:p w14:paraId="0DF298ED" w14:textId="77777777" w:rsidR="009948F1" w:rsidRDefault="009948F1">
      <w:pPr>
        <w:pStyle w:val="BodyText"/>
        <w:spacing w:before="7" w:after="1"/>
        <w:rPr>
          <w:b/>
          <w:sz w:val="27"/>
        </w:rPr>
      </w:pPr>
    </w:p>
    <w:tbl>
      <w:tblPr>
        <w:tblW w:w="0" w:type="auto"/>
        <w:tblInd w:w="1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35"/>
        <w:gridCol w:w="1137"/>
        <w:gridCol w:w="748"/>
        <w:gridCol w:w="748"/>
        <w:gridCol w:w="748"/>
        <w:gridCol w:w="750"/>
        <w:gridCol w:w="883"/>
        <w:gridCol w:w="931"/>
      </w:tblGrid>
      <w:tr w:rsidR="009948F1" w14:paraId="31457AFB" w14:textId="77777777">
        <w:trPr>
          <w:trHeight w:val="207"/>
        </w:trPr>
        <w:tc>
          <w:tcPr>
            <w:tcW w:w="3035" w:type="dxa"/>
            <w:shd w:val="clear" w:color="auto" w:fill="F4CEB2"/>
          </w:tcPr>
          <w:p w14:paraId="2EE16E60" w14:textId="77777777" w:rsidR="009948F1" w:rsidRDefault="00BC0563">
            <w:pPr>
              <w:pStyle w:val="TableParagraph"/>
              <w:spacing w:line="187" w:lineRule="exact"/>
              <w:ind w:left="108"/>
              <w:rPr>
                <w:sz w:val="18"/>
              </w:rPr>
            </w:pPr>
            <w:r>
              <w:rPr>
                <w:color w:val="231F20"/>
                <w:sz w:val="18"/>
              </w:rPr>
              <w:t>Targets</w:t>
            </w:r>
          </w:p>
        </w:tc>
        <w:tc>
          <w:tcPr>
            <w:tcW w:w="1137" w:type="dxa"/>
            <w:shd w:val="clear" w:color="auto" w:fill="F4CEB2"/>
          </w:tcPr>
          <w:p w14:paraId="19542E25" w14:textId="77777777" w:rsidR="009948F1" w:rsidRDefault="00BC0563">
            <w:pPr>
              <w:pStyle w:val="TableParagraph"/>
              <w:spacing w:line="187" w:lineRule="exact"/>
              <w:ind w:left="108"/>
              <w:rPr>
                <w:sz w:val="18"/>
              </w:rPr>
            </w:pPr>
            <w:r>
              <w:rPr>
                <w:color w:val="231F20"/>
                <w:sz w:val="18"/>
              </w:rPr>
              <w:t>Baseline</w:t>
            </w:r>
          </w:p>
        </w:tc>
        <w:tc>
          <w:tcPr>
            <w:tcW w:w="748" w:type="dxa"/>
            <w:shd w:val="clear" w:color="auto" w:fill="F4CEB2"/>
          </w:tcPr>
          <w:p w14:paraId="4D7B100A" w14:textId="77777777" w:rsidR="009948F1" w:rsidRDefault="00BC0563">
            <w:pPr>
              <w:pStyle w:val="TableParagraph"/>
              <w:spacing w:line="187" w:lineRule="exact"/>
              <w:ind w:left="108"/>
              <w:rPr>
                <w:b/>
                <w:sz w:val="18"/>
              </w:rPr>
            </w:pPr>
            <w:r>
              <w:rPr>
                <w:b/>
                <w:color w:val="231F20"/>
                <w:sz w:val="18"/>
              </w:rPr>
              <w:t>2018</w:t>
            </w:r>
          </w:p>
        </w:tc>
        <w:tc>
          <w:tcPr>
            <w:tcW w:w="748" w:type="dxa"/>
            <w:shd w:val="clear" w:color="auto" w:fill="F4CEB2"/>
          </w:tcPr>
          <w:p w14:paraId="05233E3B" w14:textId="77777777" w:rsidR="009948F1" w:rsidRDefault="00BC0563">
            <w:pPr>
              <w:pStyle w:val="TableParagraph"/>
              <w:spacing w:line="187" w:lineRule="exact"/>
              <w:ind w:left="108"/>
              <w:rPr>
                <w:b/>
                <w:sz w:val="18"/>
              </w:rPr>
            </w:pPr>
            <w:r>
              <w:rPr>
                <w:b/>
                <w:color w:val="231F20"/>
                <w:sz w:val="18"/>
              </w:rPr>
              <w:t>2019</w:t>
            </w:r>
          </w:p>
        </w:tc>
        <w:tc>
          <w:tcPr>
            <w:tcW w:w="748" w:type="dxa"/>
            <w:shd w:val="clear" w:color="auto" w:fill="F4CEB2"/>
          </w:tcPr>
          <w:p w14:paraId="341714CF" w14:textId="77777777" w:rsidR="009948F1" w:rsidRDefault="00BC0563">
            <w:pPr>
              <w:pStyle w:val="TableParagraph"/>
              <w:spacing w:line="187" w:lineRule="exact"/>
              <w:ind w:left="109"/>
              <w:rPr>
                <w:b/>
                <w:sz w:val="18"/>
              </w:rPr>
            </w:pPr>
            <w:r>
              <w:rPr>
                <w:b/>
                <w:color w:val="231F20"/>
                <w:sz w:val="18"/>
              </w:rPr>
              <w:t>2020</w:t>
            </w:r>
          </w:p>
        </w:tc>
        <w:tc>
          <w:tcPr>
            <w:tcW w:w="750" w:type="dxa"/>
            <w:shd w:val="clear" w:color="auto" w:fill="F4CEB2"/>
          </w:tcPr>
          <w:p w14:paraId="74860597" w14:textId="77777777" w:rsidR="009948F1" w:rsidRDefault="00BC0563">
            <w:pPr>
              <w:pStyle w:val="TableParagraph"/>
              <w:spacing w:line="187" w:lineRule="exact"/>
              <w:ind w:left="109"/>
              <w:rPr>
                <w:b/>
                <w:sz w:val="18"/>
              </w:rPr>
            </w:pPr>
            <w:r>
              <w:rPr>
                <w:b/>
                <w:color w:val="231F20"/>
                <w:sz w:val="18"/>
              </w:rPr>
              <w:t>2021</w:t>
            </w:r>
          </w:p>
        </w:tc>
        <w:tc>
          <w:tcPr>
            <w:tcW w:w="883" w:type="dxa"/>
            <w:shd w:val="clear" w:color="auto" w:fill="F4CEB2"/>
          </w:tcPr>
          <w:p w14:paraId="54915B21" w14:textId="77777777" w:rsidR="009948F1" w:rsidRDefault="00BC0563">
            <w:pPr>
              <w:pStyle w:val="TableParagraph"/>
              <w:spacing w:line="187" w:lineRule="exact"/>
              <w:ind w:left="110"/>
              <w:rPr>
                <w:b/>
                <w:sz w:val="18"/>
              </w:rPr>
            </w:pPr>
            <w:r>
              <w:rPr>
                <w:b/>
                <w:color w:val="231F20"/>
                <w:sz w:val="18"/>
              </w:rPr>
              <w:t>2022</w:t>
            </w:r>
          </w:p>
        </w:tc>
        <w:tc>
          <w:tcPr>
            <w:tcW w:w="931" w:type="dxa"/>
            <w:shd w:val="clear" w:color="auto" w:fill="F4CEB2"/>
          </w:tcPr>
          <w:p w14:paraId="6761E2C5" w14:textId="77777777" w:rsidR="009948F1" w:rsidRDefault="00BC0563">
            <w:pPr>
              <w:pStyle w:val="TableParagraph"/>
              <w:spacing w:line="187" w:lineRule="exact"/>
              <w:ind w:left="111"/>
              <w:rPr>
                <w:b/>
                <w:sz w:val="18"/>
              </w:rPr>
            </w:pPr>
            <w:r>
              <w:rPr>
                <w:b/>
                <w:color w:val="231F20"/>
                <w:sz w:val="18"/>
              </w:rPr>
              <w:t>National</w:t>
            </w:r>
          </w:p>
        </w:tc>
      </w:tr>
      <w:tr w:rsidR="009948F1" w14:paraId="24066559" w14:textId="77777777">
        <w:trPr>
          <w:trHeight w:val="412"/>
        </w:trPr>
        <w:tc>
          <w:tcPr>
            <w:tcW w:w="3035" w:type="dxa"/>
            <w:tcBorders>
              <w:right w:val="single" w:sz="8" w:space="0" w:color="231F20"/>
            </w:tcBorders>
          </w:tcPr>
          <w:p w14:paraId="518BB9BD" w14:textId="77777777" w:rsidR="009948F1" w:rsidRDefault="00BC0563">
            <w:pPr>
              <w:pStyle w:val="TableParagraph"/>
              <w:spacing w:before="1" w:line="210" w:lineRule="exact"/>
              <w:ind w:left="108" w:right="230"/>
              <w:rPr>
                <w:sz w:val="18"/>
              </w:rPr>
            </w:pPr>
            <w:r>
              <w:rPr>
                <w:color w:val="231F20"/>
                <w:sz w:val="18"/>
              </w:rPr>
              <w:t>No of LGAs with functional health insurance/ contributory schemes</w:t>
            </w:r>
          </w:p>
        </w:tc>
        <w:tc>
          <w:tcPr>
            <w:tcW w:w="1137" w:type="dxa"/>
            <w:tcBorders>
              <w:left w:val="single" w:sz="8" w:space="0" w:color="231F20"/>
              <w:bottom w:val="single" w:sz="8" w:space="0" w:color="231F20"/>
              <w:right w:val="single" w:sz="8" w:space="0" w:color="231F20"/>
            </w:tcBorders>
          </w:tcPr>
          <w:p w14:paraId="7861573B" w14:textId="77777777" w:rsidR="009948F1" w:rsidRDefault="00BC0563">
            <w:pPr>
              <w:pStyle w:val="TableParagraph"/>
              <w:ind w:left="103"/>
              <w:rPr>
                <w:sz w:val="18"/>
              </w:rPr>
            </w:pPr>
            <w:r>
              <w:rPr>
                <w:color w:val="231F20"/>
                <w:sz w:val="18"/>
              </w:rPr>
              <w:t>TBD</w:t>
            </w:r>
          </w:p>
        </w:tc>
        <w:tc>
          <w:tcPr>
            <w:tcW w:w="748" w:type="dxa"/>
            <w:tcBorders>
              <w:left w:val="single" w:sz="8" w:space="0" w:color="231F20"/>
              <w:bottom w:val="single" w:sz="8" w:space="0" w:color="231F20"/>
              <w:right w:val="single" w:sz="8" w:space="0" w:color="231F20"/>
            </w:tcBorders>
          </w:tcPr>
          <w:p w14:paraId="495C6EE4" w14:textId="77777777" w:rsidR="009948F1" w:rsidRDefault="00BC0563">
            <w:pPr>
              <w:pStyle w:val="TableParagraph"/>
              <w:ind w:left="103"/>
              <w:rPr>
                <w:sz w:val="18"/>
              </w:rPr>
            </w:pPr>
            <w:r>
              <w:rPr>
                <w:color w:val="231F20"/>
                <w:sz w:val="18"/>
              </w:rPr>
              <w:t>5%</w:t>
            </w:r>
          </w:p>
        </w:tc>
        <w:tc>
          <w:tcPr>
            <w:tcW w:w="748" w:type="dxa"/>
            <w:tcBorders>
              <w:left w:val="single" w:sz="8" w:space="0" w:color="231F20"/>
            </w:tcBorders>
          </w:tcPr>
          <w:p w14:paraId="7A16EF6D" w14:textId="77777777" w:rsidR="009948F1" w:rsidRDefault="00BC0563">
            <w:pPr>
              <w:pStyle w:val="TableParagraph"/>
              <w:ind w:left="103"/>
              <w:rPr>
                <w:sz w:val="18"/>
              </w:rPr>
            </w:pPr>
            <w:r>
              <w:rPr>
                <w:color w:val="231F20"/>
                <w:sz w:val="18"/>
              </w:rPr>
              <w:t>10%</w:t>
            </w:r>
          </w:p>
        </w:tc>
        <w:tc>
          <w:tcPr>
            <w:tcW w:w="748" w:type="dxa"/>
          </w:tcPr>
          <w:p w14:paraId="5CEC1731" w14:textId="77777777" w:rsidR="009948F1" w:rsidRDefault="00BC0563">
            <w:pPr>
              <w:pStyle w:val="TableParagraph"/>
              <w:ind w:left="109"/>
              <w:rPr>
                <w:sz w:val="18"/>
              </w:rPr>
            </w:pPr>
            <w:r>
              <w:rPr>
                <w:color w:val="231F20"/>
                <w:sz w:val="18"/>
              </w:rPr>
              <w:t>15%</w:t>
            </w:r>
          </w:p>
        </w:tc>
        <w:tc>
          <w:tcPr>
            <w:tcW w:w="750" w:type="dxa"/>
          </w:tcPr>
          <w:p w14:paraId="68429089" w14:textId="77777777" w:rsidR="009948F1" w:rsidRDefault="00BC0563">
            <w:pPr>
              <w:pStyle w:val="TableParagraph"/>
              <w:ind w:left="109"/>
              <w:rPr>
                <w:sz w:val="18"/>
              </w:rPr>
            </w:pPr>
            <w:r>
              <w:rPr>
                <w:color w:val="231F20"/>
                <w:sz w:val="18"/>
              </w:rPr>
              <w:t>20%</w:t>
            </w:r>
          </w:p>
        </w:tc>
        <w:tc>
          <w:tcPr>
            <w:tcW w:w="883" w:type="dxa"/>
          </w:tcPr>
          <w:p w14:paraId="5CAFBA86" w14:textId="77777777" w:rsidR="009948F1" w:rsidRDefault="00BC0563">
            <w:pPr>
              <w:pStyle w:val="TableParagraph"/>
              <w:ind w:left="110"/>
              <w:rPr>
                <w:sz w:val="18"/>
              </w:rPr>
            </w:pPr>
            <w:r>
              <w:rPr>
                <w:color w:val="231F20"/>
                <w:sz w:val="18"/>
              </w:rPr>
              <w:t>25%</w:t>
            </w:r>
          </w:p>
        </w:tc>
        <w:tc>
          <w:tcPr>
            <w:tcW w:w="931" w:type="dxa"/>
          </w:tcPr>
          <w:p w14:paraId="5C938FF4" w14:textId="77777777" w:rsidR="009948F1" w:rsidRDefault="009948F1">
            <w:pPr>
              <w:pStyle w:val="TableParagraph"/>
              <w:rPr>
                <w:rFonts w:ascii="Times New Roman"/>
                <w:sz w:val="20"/>
              </w:rPr>
            </w:pPr>
          </w:p>
        </w:tc>
      </w:tr>
      <w:tr w:rsidR="009948F1" w14:paraId="1E5C2EB2" w14:textId="77777777">
        <w:trPr>
          <w:trHeight w:val="615"/>
        </w:trPr>
        <w:tc>
          <w:tcPr>
            <w:tcW w:w="3035" w:type="dxa"/>
            <w:tcBorders>
              <w:right w:val="single" w:sz="8" w:space="0" w:color="231F20"/>
            </w:tcBorders>
          </w:tcPr>
          <w:p w14:paraId="246ADBC7" w14:textId="77777777" w:rsidR="009948F1" w:rsidRDefault="00BC0563">
            <w:pPr>
              <w:pStyle w:val="TableParagraph"/>
              <w:ind w:left="108" w:right="160"/>
              <w:rPr>
                <w:sz w:val="18"/>
              </w:rPr>
            </w:pPr>
            <w:r>
              <w:rPr>
                <w:color w:val="231F20"/>
                <w:sz w:val="18"/>
              </w:rPr>
              <w:t>% of health facilities operating any form of Results Based Financing</w:t>
            </w:r>
          </w:p>
          <w:p w14:paraId="327E2FF8" w14:textId="77777777" w:rsidR="009948F1" w:rsidRDefault="00BC0563">
            <w:pPr>
              <w:pStyle w:val="TableParagraph"/>
              <w:spacing w:line="182" w:lineRule="exact"/>
              <w:ind w:left="108"/>
              <w:rPr>
                <w:sz w:val="18"/>
              </w:rPr>
            </w:pPr>
            <w:r>
              <w:rPr>
                <w:color w:val="231F20"/>
                <w:sz w:val="18"/>
              </w:rPr>
              <w:t>(RBF)</w:t>
            </w:r>
          </w:p>
        </w:tc>
        <w:tc>
          <w:tcPr>
            <w:tcW w:w="1137" w:type="dxa"/>
            <w:tcBorders>
              <w:top w:val="single" w:sz="8" w:space="0" w:color="231F20"/>
              <w:left w:val="single" w:sz="8" w:space="0" w:color="231F20"/>
              <w:bottom w:val="single" w:sz="8" w:space="0" w:color="231F20"/>
              <w:right w:val="single" w:sz="8" w:space="0" w:color="231F20"/>
            </w:tcBorders>
          </w:tcPr>
          <w:p w14:paraId="2E030C4B" w14:textId="77777777" w:rsidR="009948F1" w:rsidRDefault="00BC0563">
            <w:pPr>
              <w:pStyle w:val="TableParagraph"/>
              <w:spacing w:line="203" w:lineRule="exact"/>
              <w:ind w:left="103"/>
              <w:rPr>
                <w:sz w:val="18"/>
              </w:rPr>
            </w:pPr>
            <w:r>
              <w:rPr>
                <w:color w:val="231F20"/>
                <w:sz w:val="18"/>
              </w:rPr>
              <w:t>TBD</w:t>
            </w:r>
          </w:p>
        </w:tc>
        <w:tc>
          <w:tcPr>
            <w:tcW w:w="748" w:type="dxa"/>
            <w:tcBorders>
              <w:top w:val="single" w:sz="8" w:space="0" w:color="231F20"/>
              <w:left w:val="single" w:sz="8" w:space="0" w:color="231F20"/>
              <w:bottom w:val="single" w:sz="8" w:space="0" w:color="231F20"/>
              <w:right w:val="single" w:sz="8" w:space="0" w:color="231F20"/>
            </w:tcBorders>
          </w:tcPr>
          <w:p w14:paraId="45FB72DC" w14:textId="77777777" w:rsidR="009948F1" w:rsidRDefault="00BC0563">
            <w:pPr>
              <w:pStyle w:val="TableParagraph"/>
              <w:spacing w:line="203" w:lineRule="exact"/>
              <w:ind w:left="103"/>
              <w:rPr>
                <w:sz w:val="18"/>
              </w:rPr>
            </w:pPr>
            <w:r>
              <w:rPr>
                <w:color w:val="231F20"/>
                <w:sz w:val="18"/>
              </w:rPr>
              <w:t>5%</w:t>
            </w:r>
          </w:p>
        </w:tc>
        <w:tc>
          <w:tcPr>
            <w:tcW w:w="748" w:type="dxa"/>
            <w:tcBorders>
              <w:left w:val="single" w:sz="8" w:space="0" w:color="231F20"/>
            </w:tcBorders>
          </w:tcPr>
          <w:p w14:paraId="5A72450D" w14:textId="77777777" w:rsidR="009948F1" w:rsidRDefault="00BC0563">
            <w:pPr>
              <w:pStyle w:val="TableParagraph"/>
              <w:spacing w:line="203" w:lineRule="exact"/>
              <w:ind w:left="103"/>
              <w:rPr>
                <w:sz w:val="18"/>
              </w:rPr>
            </w:pPr>
            <w:r>
              <w:rPr>
                <w:color w:val="231F20"/>
                <w:sz w:val="18"/>
              </w:rPr>
              <w:t>10%</w:t>
            </w:r>
          </w:p>
        </w:tc>
        <w:tc>
          <w:tcPr>
            <w:tcW w:w="748" w:type="dxa"/>
          </w:tcPr>
          <w:p w14:paraId="6CCFE979" w14:textId="77777777" w:rsidR="009948F1" w:rsidRDefault="00BC0563">
            <w:pPr>
              <w:pStyle w:val="TableParagraph"/>
              <w:spacing w:line="203" w:lineRule="exact"/>
              <w:ind w:left="109"/>
              <w:rPr>
                <w:sz w:val="18"/>
              </w:rPr>
            </w:pPr>
            <w:r>
              <w:rPr>
                <w:color w:val="231F20"/>
                <w:sz w:val="18"/>
              </w:rPr>
              <w:t>15%</w:t>
            </w:r>
          </w:p>
        </w:tc>
        <w:tc>
          <w:tcPr>
            <w:tcW w:w="750" w:type="dxa"/>
          </w:tcPr>
          <w:p w14:paraId="7F3CBA6B" w14:textId="77777777" w:rsidR="009948F1" w:rsidRDefault="00BC0563">
            <w:pPr>
              <w:pStyle w:val="TableParagraph"/>
              <w:spacing w:line="203" w:lineRule="exact"/>
              <w:ind w:left="109"/>
              <w:rPr>
                <w:sz w:val="18"/>
              </w:rPr>
            </w:pPr>
            <w:r>
              <w:rPr>
                <w:color w:val="231F20"/>
                <w:sz w:val="18"/>
              </w:rPr>
              <w:t>20%</w:t>
            </w:r>
          </w:p>
        </w:tc>
        <w:tc>
          <w:tcPr>
            <w:tcW w:w="883" w:type="dxa"/>
          </w:tcPr>
          <w:p w14:paraId="57C897A0" w14:textId="77777777" w:rsidR="009948F1" w:rsidRDefault="00BC0563">
            <w:pPr>
              <w:pStyle w:val="TableParagraph"/>
              <w:spacing w:line="203" w:lineRule="exact"/>
              <w:ind w:left="110"/>
              <w:rPr>
                <w:sz w:val="18"/>
              </w:rPr>
            </w:pPr>
            <w:r>
              <w:rPr>
                <w:color w:val="231F20"/>
                <w:sz w:val="18"/>
              </w:rPr>
              <w:t>25%</w:t>
            </w:r>
          </w:p>
        </w:tc>
        <w:tc>
          <w:tcPr>
            <w:tcW w:w="931" w:type="dxa"/>
          </w:tcPr>
          <w:p w14:paraId="456DBF99" w14:textId="77777777" w:rsidR="009948F1" w:rsidRDefault="00BC0563">
            <w:pPr>
              <w:pStyle w:val="TableParagraph"/>
              <w:spacing w:line="203" w:lineRule="exact"/>
              <w:ind w:left="111"/>
              <w:rPr>
                <w:sz w:val="18"/>
              </w:rPr>
            </w:pPr>
            <w:r>
              <w:rPr>
                <w:color w:val="231F20"/>
                <w:sz w:val="18"/>
              </w:rPr>
              <w:t>30%</w:t>
            </w:r>
          </w:p>
        </w:tc>
      </w:tr>
    </w:tbl>
    <w:p w14:paraId="51781B89" w14:textId="77777777" w:rsidR="009948F1" w:rsidRDefault="009948F1">
      <w:pPr>
        <w:pStyle w:val="BodyText"/>
        <w:spacing w:before="7"/>
        <w:rPr>
          <w:b/>
          <w:sz w:val="31"/>
        </w:rPr>
      </w:pPr>
    </w:p>
    <w:p w14:paraId="07C52B71" w14:textId="77777777" w:rsidR="009948F1" w:rsidRDefault="00BC0563">
      <w:pPr>
        <w:ind w:left="191"/>
        <w:rPr>
          <w:b/>
        </w:rPr>
      </w:pPr>
      <w:r>
        <w:rPr>
          <w:b/>
          <w:color w:val="231F20"/>
        </w:rPr>
        <w:t>Interventions</w:t>
      </w:r>
    </w:p>
    <w:p w14:paraId="32204B45" w14:textId="77777777" w:rsidR="009948F1" w:rsidRDefault="009948F1">
      <w:pPr>
        <w:pStyle w:val="BodyText"/>
        <w:rPr>
          <w:b/>
          <w:sz w:val="26"/>
        </w:rPr>
      </w:pPr>
    </w:p>
    <w:p w14:paraId="1BF458E8" w14:textId="77777777" w:rsidR="009948F1" w:rsidRDefault="00BC0563">
      <w:pPr>
        <w:pStyle w:val="ListParagraph"/>
        <w:numPr>
          <w:ilvl w:val="3"/>
          <w:numId w:val="262"/>
        </w:numPr>
        <w:tabs>
          <w:tab w:val="left" w:pos="1029"/>
        </w:tabs>
        <w:spacing w:line="261" w:lineRule="auto"/>
        <w:ind w:right="180" w:firstLine="0"/>
      </w:pPr>
      <w:r>
        <w:rPr>
          <w:color w:val="231F20"/>
        </w:rPr>
        <w:t>Review</w:t>
      </w:r>
      <w:r>
        <w:rPr>
          <w:color w:val="231F20"/>
          <w:spacing w:val="-20"/>
        </w:rPr>
        <w:t xml:space="preserve"> </w:t>
      </w:r>
      <w:r>
        <w:rPr>
          <w:color w:val="231F20"/>
        </w:rPr>
        <w:t>Provider</w:t>
      </w:r>
      <w:r>
        <w:rPr>
          <w:color w:val="231F20"/>
          <w:spacing w:val="-19"/>
        </w:rPr>
        <w:t xml:space="preserve"> </w:t>
      </w:r>
      <w:r>
        <w:rPr>
          <w:color w:val="231F20"/>
        </w:rPr>
        <w:t>Payment</w:t>
      </w:r>
      <w:r>
        <w:rPr>
          <w:color w:val="231F20"/>
          <w:spacing w:val="-20"/>
        </w:rPr>
        <w:t xml:space="preserve"> </w:t>
      </w:r>
      <w:r>
        <w:rPr>
          <w:color w:val="231F20"/>
        </w:rPr>
        <w:t>Mechanisms</w:t>
      </w:r>
      <w:r>
        <w:rPr>
          <w:color w:val="231F20"/>
          <w:spacing w:val="-19"/>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Rivers</w:t>
      </w:r>
      <w:r>
        <w:rPr>
          <w:color w:val="231F20"/>
          <w:spacing w:val="-20"/>
        </w:rPr>
        <w:t xml:space="preserve"> </w:t>
      </w:r>
      <w:r>
        <w:rPr>
          <w:color w:val="231F20"/>
        </w:rPr>
        <w:t>State</w:t>
      </w:r>
      <w:r>
        <w:rPr>
          <w:color w:val="231F20"/>
          <w:spacing w:val="-20"/>
        </w:rPr>
        <w:t xml:space="preserve"> </w:t>
      </w:r>
      <w:r>
        <w:rPr>
          <w:color w:val="231F20"/>
        </w:rPr>
        <w:t>health</w:t>
      </w:r>
      <w:r>
        <w:rPr>
          <w:color w:val="231F20"/>
          <w:spacing w:val="-19"/>
        </w:rPr>
        <w:t xml:space="preserve"> </w:t>
      </w:r>
      <w:r>
        <w:rPr>
          <w:color w:val="231F20"/>
        </w:rPr>
        <w:t>sector</w:t>
      </w:r>
      <w:r>
        <w:rPr>
          <w:color w:val="231F20"/>
          <w:spacing w:val="-20"/>
        </w:rPr>
        <w:t xml:space="preserve"> </w:t>
      </w:r>
      <w:r>
        <w:rPr>
          <w:color w:val="231F20"/>
        </w:rPr>
        <w:t>to</w:t>
      </w:r>
      <w:r>
        <w:rPr>
          <w:color w:val="231F20"/>
          <w:spacing w:val="-20"/>
        </w:rPr>
        <w:t xml:space="preserve"> </w:t>
      </w:r>
      <w:r>
        <w:rPr>
          <w:color w:val="231F20"/>
        </w:rPr>
        <w:t>focus</w:t>
      </w:r>
      <w:r>
        <w:rPr>
          <w:color w:val="231F20"/>
          <w:spacing w:val="-20"/>
        </w:rPr>
        <w:t xml:space="preserve"> </w:t>
      </w:r>
      <w:r>
        <w:rPr>
          <w:color w:val="231F20"/>
        </w:rPr>
        <w:t>on</w:t>
      </w:r>
      <w:r>
        <w:rPr>
          <w:color w:val="231F20"/>
          <w:spacing w:val="-20"/>
        </w:rPr>
        <w:t xml:space="preserve"> </w:t>
      </w:r>
      <w:r>
        <w:rPr>
          <w:color w:val="231F20"/>
        </w:rPr>
        <w:t xml:space="preserve">PPM. Key actions include; - Conduct workshops to develop Provider Payment Mechanism </w:t>
      </w:r>
      <w:r>
        <w:rPr>
          <w:color w:val="231F20"/>
          <w:spacing w:val="-3"/>
        </w:rPr>
        <w:t xml:space="preserve">(PPM); </w:t>
      </w:r>
      <w:r>
        <w:rPr>
          <w:color w:val="231F20"/>
        </w:rPr>
        <w:t>Conduct</w:t>
      </w:r>
      <w:r>
        <w:rPr>
          <w:color w:val="231F20"/>
          <w:spacing w:val="-26"/>
        </w:rPr>
        <w:t xml:space="preserve"> </w:t>
      </w:r>
      <w:r>
        <w:rPr>
          <w:color w:val="231F20"/>
        </w:rPr>
        <w:t>workshop</w:t>
      </w:r>
      <w:r>
        <w:rPr>
          <w:color w:val="231F20"/>
          <w:spacing w:val="-25"/>
        </w:rPr>
        <w:t xml:space="preserve"> </w:t>
      </w:r>
      <w:r>
        <w:rPr>
          <w:color w:val="231F20"/>
        </w:rPr>
        <w:t>to</w:t>
      </w:r>
      <w:r>
        <w:rPr>
          <w:color w:val="231F20"/>
          <w:spacing w:val="-25"/>
        </w:rPr>
        <w:t xml:space="preserve"> </w:t>
      </w:r>
      <w:r>
        <w:rPr>
          <w:color w:val="231F20"/>
        </w:rPr>
        <w:t>validate</w:t>
      </w:r>
      <w:r>
        <w:rPr>
          <w:color w:val="231F20"/>
          <w:spacing w:val="-25"/>
        </w:rPr>
        <w:t xml:space="preserve"> </w:t>
      </w:r>
      <w:r>
        <w:rPr>
          <w:color w:val="231F20"/>
        </w:rPr>
        <w:t>the</w:t>
      </w:r>
      <w:r>
        <w:rPr>
          <w:color w:val="231F20"/>
          <w:spacing w:val="-25"/>
        </w:rPr>
        <w:t xml:space="preserve"> </w:t>
      </w:r>
      <w:r>
        <w:rPr>
          <w:color w:val="231F20"/>
        </w:rPr>
        <w:t>PPM;</w:t>
      </w:r>
      <w:r>
        <w:rPr>
          <w:color w:val="231F20"/>
          <w:spacing w:val="-25"/>
        </w:rPr>
        <w:t xml:space="preserve"> </w:t>
      </w:r>
      <w:r>
        <w:rPr>
          <w:color w:val="231F20"/>
        </w:rPr>
        <w:t>Print</w:t>
      </w:r>
      <w:r>
        <w:rPr>
          <w:color w:val="231F20"/>
          <w:spacing w:val="-25"/>
        </w:rPr>
        <w:t xml:space="preserve"> </w:t>
      </w:r>
      <w:r>
        <w:rPr>
          <w:color w:val="231F20"/>
        </w:rPr>
        <w:t>and</w:t>
      </w:r>
      <w:r>
        <w:rPr>
          <w:color w:val="231F20"/>
          <w:spacing w:val="-25"/>
        </w:rPr>
        <w:t xml:space="preserve"> </w:t>
      </w:r>
      <w:r>
        <w:rPr>
          <w:color w:val="231F20"/>
        </w:rPr>
        <w:t>disseminate</w:t>
      </w:r>
      <w:r>
        <w:rPr>
          <w:color w:val="231F20"/>
          <w:spacing w:val="-25"/>
        </w:rPr>
        <w:t xml:space="preserve"> </w:t>
      </w:r>
      <w:r>
        <w:rPr>
          <w:color w:val="231F20"/>
        </w:rPr>
        <w:t>to</w:t>
      </w:r>
      <w:r>
        <w:rPr>
          <w:color w:val="231F20"/>
          <w:spacing w:val="-25"/>
        </w:rPr>
        <w:t xml:space="preserve"> </w:t>
      </w:r>
      <w:r>
        <w:rPr>
          <w:color w:val="231F20"/>
        </w:rPr>
        <w:t>stakeholders</w:t>
      </w:r>
      <w:r>
        <w:rPr>
          <w:color w:val="231F20"/>
          <w:spacing w:val="-25"/>
        </w:rPr>
        <w:t xml:space="preserve"> </w:t>
      </w:r>
      <w:r>
        <w:rPr>
          <w:color w:val="231F20"/>
        </w:rPr>
        <w:t>the</w:t>
      </w:r>
      <w:r>
        <w:rPr>
          <w:color w:val="231F20"/>
          <w:spacing w:val="-26"/>
        </w:rPr>
        <w:t xml:space="preserve"> </w:t>
      </w:r>
      <w:r>
        <w:rPr>
          <w:color w:val="231F20"/>
        </w:rPr>
        <w:t>developed</w:t>
      </w:r>
      <w:r>
        <w:rPr>
          <w:color w:val="231F20"/>
          <w:spacing w:val="-25"/>
        </w:rPr>
        <w:t xml:space="preserve"> </w:t>
      </w:r>
      <w:r>
        <w:rPr>
          <w:color w:val="231F20"/>
        </w:rPr>
        <w:t>PPM.</w:t>
      </w:r>
    </w:p>
    <w:p w14:paraId="080370A9" w14:textId="77777777" w:rsidR="009948F1" w:rsidRDefault="009948F1">
      <w:pPr>
        <w:pStyle w:val="BodyText"/>
        <w:rPr>
          <w:sz w:val="24"/>
        </w:rPr>
      </w:pPr>
    </w:p>
    <w:p w14:paraId="0705B59A" w14:textId="77777777" w:rsidR="009948F1" w:rsidRDefault="00BC0563">
      <w:pPr>
        <w:pStyle w:val="ListParagraph"/>
        <w:numPr>
          <w:ilvl w:val="3"/>
          <w:numId w:val="262"/>
        </w:numPr>
        <w:tabs>
          <w:tab w:val="left" w:pos="1056"/>
        </w:tabs>
        <w:spacing w:before="1" w:line="261" w:lineRule="auto"/>
        <w:ind w:right="180" w:firstLine="0"/>
      </w:pPr>
      <w:r>
        <w:rPr>
          <w:color w:val="231F20"/>
        </w:rPr>
        <w:t xml:space="preserve">Develop Framework for competition between public and private sector providers in </w:t>
      </w:r>
      <w:r>
        <w:rPr>
          <w:color w:val="231F20"/>
          <w:spacing w:val="-5"/>
        </w:rPr>
        <w:t xml:space="preserve">the </w:t>
      </w:r>
      <w:r>
        <w:rPr>
          <w:color w:val="231F20"/>
        </w:rPr>
        <w:t xml:space="preserve">allocation of new resources for healthcare. Key actions </w:t>
      </w:r>
      <w:proofErr w:type="gramStart"/>
      <w:r>
        <w:rPr>
          <w:color w:val="231F20"/>
        </w:rPr>
        <w:t>include;</w:t>
      </w:r>
      <w:proofErr w:type="gramEnd"/>
      <w:r>
        <w:rPr>
          <w:color w:val="231F20"/>
        </w:rPr>
        <w:t xml:space="preserve"> - Develop a framework </w:t>
      </w:r>
      <w:r>
        <w:rPr>
          <w:color w:val="231F20"/>
          <w:spacing w:val="-5"/>
        </w:rPr>
        <w:t xml:space="preserve">for </w:t>
      </w:r>
      <w:r>
        <w:rPr>
          <w:color w:val="231F20"/>
        </w:rPr>
        <w:t>competition</w:t>
      </w:r>
      <w:r>
        <w:rPr>
          <w:color w:val="231F20"/>
          <w:spacing w:val="-25"/>
        </w:rPr>
        <w:t xml:space="preserve"> </w:t>
      </w:r>
      <w:r>
        <w:rPr>
          <w:color w:val="231F20"/>
        </w:rPr>
        <w:t>between</w:t>
      </w:r>
      <w:r>
        <w:rPr>
          <w:color w:val="231F20"/>
          <w:spacing w:val="-24"/>
        </w:rPr>
        <w:t xml:space="preserve"> </w:t>
      </w:r>
      <w:r>
        <w:rPr>
          <w:color w:val="231F20"/>
        </w:rPr>
        <w:t>public</w:t>
      </w:r>
      <w:r>
        <w:rPr>
          <w:color w:val="231F20"/>
          <w:spacing w:val="-24"/>
        </w:rPr>
        <w:t xml:space="preserve"> </w:t>
      </w:r>
      <w:r>
        <w:rPr>
          <w:color w:val="231F20"/>
        </w:rPr>
        <w:t>and</w:t>
      </w:r>
      <w:r>
        <w:rPr>
          <w:color w:val="231F20"/>
          <w:spacing w:val="-24"/>
        </w:rPr>
        <w:t xml:space="preserve"> </w:t>
      </w:r>
      <w:r>
        <w:rPr>
          <w:color w:val="231F20"/>
        </w:rPr>
        <w:t>private</w:t>
      </w:r>
      <w:r>
        <w:rPr>
          <w:color w:val="231F20"/>
          <w:spacing w:val="-24"/>
        </w:rPr>
        <w:t xml:space="preserve"> </w:t>
      </w:r>
      <w:r>
        <w:rPr>
          <w:color w:val="231F20"/>
        </w:rPr>
        <w:t>sector</w:t>
      </w:r>
      <w:r>
        <w:rPr>
          <w:color w:val="231F20"/>
          <w:spacing w:val="-24"/>
        </w:rPr>
        <w:t xml:space="preserve"> </w:t>
      </w:r>
      <w:r>
        <w:rPr>
          <w:color w:val="231F20"/>
        </w:rPr>
        <w:t>providers;</w:t>
      </w:r>
      <w:r>
        <w:rPr>
          <w:color w:val="231F20"/>
          <w:spacing w:val="-25"/>
        </w:rPr>
        <w:t xml:space="preserve"> </w:t>
      </w:r>
      <w:r>
        <w:rPr>
          <w:color w:val="231F20"/>
        </w:rPr>
        <w:t>Develop/publish</w:t>
      </w:r>
      <w:r>
        <w:rPr>
          <w:color w:val="231F20"/>
          <w:spacing w:val="-23"/>
        </w:rPr>
        <w:t xml:space="preserve"> </w:t>
      </w:r>
      <w:r>
        <w:rPr>
          <w:color w:val="231F20"/>
        </w:rPr>
        <w:t>a</w:t>
      </w:r>
      <w:r>
        <w:rPr>
          <w:color w:val="231F20"/>
          <w:spacing w:val="-24"/>
        </w:rPr>
        <w:t xml:space="preserve"> </w:t>
      </w:r>
      <w:r>
        <w:rPr>
          <w:color w:val="231F20"/>
        </w:rPr>
        <w:t>financial</w:t>
      </w:r>
      <w:r>
        <w:rPr>
          <w:color w:val="231F20"/>
          <w:spacing w:val="-24"/>
        </w:rPr>
        <w:t xml:space="preserve"> </w:t>
      </w:r>
      <w:r>
        <w:rPr>
          <w:color w:val="231F20"/>
        </w:rPr>
        <w:t>health</w:t>
      </w:r>
      <w:r>
        <w:rPr>
          <w:color w:val="231F20"/>
          <w:spacing w:val="-24"/>
        </w:rPr>
        <w:t xml:space="preserve"> </w:t>
      </w:r>
      <w:r>
        <w:rPr>
          <w:color w:val="231F20"/>
        </w:rPr>
        <w:t>bulletin for</w:t>
      </w:r>
      <w:r>
        <w:rPr>
          <w:color w:val="231F20"/>
          <w:spacing w:val="-19"/>
        </w:rPr>
        <w:t xml:space="preserve"> </w:t>
      </w:r>
      <w:r>
        <w:rPr>
          <w:color w:val="231F20"/>
        </w:rPr>
        <w:t>feedback/disseminate</w:t>
      </w:r>
      <w:r>
        <w:rPr>
          <w:color w:val="231F20"/>
          <w:spacing w:val="-18"/>
        </w:rPr>
        <w:t xml:space="preserve"> </w:t>
      </w:r>
      <w:r>
        <w:rPr>
          <w:color w:val="231F20"/>
        </w:rPr>
        <w:t>to</w:t>
      </w:r>
      <w:r>
        <w:rPr>
          <w:color w:val="231F20"/>
          <w:spacing w:val="-18"/>
        </w:rPr>
        <w:t xml:space="preserve"> </w:t>
      </w:r>
      <w:r>
        <w:rPr>
          <w:color w:val="231F20"/>
        </w:rPr>
        <w:t>eligible</w:t>
      </w:r>
      <w:r>
        <w:rPr>
          <w:color w:val="231F20"/>
          <w:spacing w:val="-18"/>
        </w:rPr>
        <w:t xml:space="preserve"> </w:t>
      </w:r>
      <w:r>
        <w:rPr>
          <w:color w:val="231F20"/>
        </w:rPr>
        <w:t>public</w:t>
      </w:r>
      <w:r>
        <w:rPr>
          <w:color w:val="231F20"/>
          <w:spacing w:val="-18"/>
        </w:rPr>
        <w:t xml:space="preserve"> </w:t>
      </w:r>
      <w:r>
        <w:rPr>
          <w:color w:val="231F20"/>
        </w:rPr>
        <w:t>and</w:t>
      </w:r>
      <w:r>
        <w:rPr>
          <w:color w:val="231F20"/>
          <w:spacing w:val="-18"/>
        </w:rPr>
        <w:t xml:space="preserve"> </w:t>
      </w:r>
      <w:r>
        <w:rPr>
          <w:color w:val="231F20"/>
        </w:rPr>
        <w:t>private</w:t>
      </w:r>
      <w:r>
        <w:rPr>
          <w:color w:val="231F20"/>
          <w:spacing w:val="-18"/>
        </w:rPr>
        <w:t xml:space="preserve"> </w:t>
      </w:r>
      <w:r>
        <w:rPr>
          <w:color w:val="231F20"/>
        </w:rPr>
        <w:t>providers;</w:t>
      </w:r>
      <w:r>
        <w:rPr>
          <w:color w:val="231F20"/>
          <w:spacing w:val="-18"/>
        </w:rPr>
        <w:t xml:space="preserve"> </w:t>
      </w:r>
      <w:r>
        <w:rPr>
          <w:color w:val="231F20"/>
        </w:rPr>
        <w:t>Regular</w:t>
      </w:r>
      <w:r>
        <w:rPr>
          <w:color w:val="231F20"/>
          <w:spacing w:val="-19"/>
        </w:rPr>
        <w:t xml:space="preserve"> </w:t>
      </w:r>
      <w:r>
        <w:rPr>
          <w:color w:val="231F20"/>
        </w:rPr>
        <w:t>monitoring</w:t>
      </w:r>
      <w:r>
        <w:rPr>
          <w:color w:val="231F20"/>
          <w:spacing w:val="-18"/>
        </w:rPr>
        <w:t xml:space="preserve"> </w:t>
      </w:r>
      <w:r>
        <w:rPr>
          <w:color w:val="231F20"/>
        </w:rPr>
        <w:t>of</w:t>
      </w:r>
      <w:r>
        <w:rPr>
          <w:color w:val="231F20"/>
          <w:spacing w:val="-18"/>
        </w:rPr>
        <w:t xml:space="preserve"> </w:t>
      </w:r>
      <w:r>
        <w:rPr>
          <w:color w:val="231F20"/>
        </w:rPr>
        <w:t>adherence to</w:t>
      </w:r>
      <w:r>
        <w:rPr>
          <w:color w:val="231F20"/>
          <w:spacing w:val="-26"/>
        </w:rPr>
        <w:t xml:space="preserve"> </w:t>
      </w:r>
      <w:r>
        <w:rPr>
          <w:color w:val="231F20"/>
        </w:rPr>
        <w:t>SOPs</w:t>
      </w:r>
      <w:r>
        <w:rPr>
          <w:color w:val="231F20"/>
          <w:spacing w:val="-25"/>
        </w:rPr>
        <w:t xml:space="preserve"> </w:t>
      </w:r>
      <w:r>
        <w:rPr>
          <w:color w:val="231F20"/>
        </w:rPr>
        <w:t>for</w:t>
      </w:r>
      <w:r>
        <w:rPr>
          <w:color w:val="231F20"/>
          <w:spacing w:val="-25"/>
        </w:rPr>
        <w:t xml:space="preserve"> </w:t>
      </w:r>
      <w:r>
        <w:rPr>
          <w:color w:val="231F20"/>
        </w:rPr>
        <w:t>Service</w:t>
      </w:r>
      <w:r>
        <w:rPr>
          <w:color w:val="231F20"/>
          <w:spacing w:val="-25"/>
        </w:rPr>
        <w:t xml:space="preserve"> </w:t>
      </w:r>
      <w:r>
        <w:rPr>
          <w:color w:val="231F20"/>
        </w:rPr>
        <w:t>delivery;</w:t>
      </w:r>
      <w:r>
        <w:rPr>
          <w:color w:val="231F20"/>
          <w:spacing w:val="-25"/>
        </w:rPr>
        <w:t xml:space="preserve"> </w:t>
      </w:r>
      <w:r>
        <w:rPr>
          <w:color w:val="231F20"/>
        </w:rPr>
        <w:t>Empowerment/provision</w:t>
      </w:r>
      <w:r>
        <w:rPr>
          <w:color w:val="231F20"/>
          <w:spacing w:val="-25"/>
        </w:rPr>
        <w:t xml:space="preserve"> </w:t>
      </w:r>
      <w:r>
        <w:rPr>
          <w:color w:val="231F20"/>
        </w:rPr>
        <w:t>of</w:t>
      </w:r>
      <w:r>
        <w:rPr>
          <w:color w:val="231F20"/>
          <w:spacing w:val="-25"/>
        </w:rPr>
        <w:t xml:space="preserve"> </w:t>
      </w:r>
      <w:r>
        <w:rPr>
          <w:color w:val="231F20"/>
        </w:rPr>
        <w:t>incentives</w:t>
      </w:r>
      <w:r>
        <w:rPr>
          <w:color w:val="231F20"/>
          <w:spacing w:val="-25"/>
        </w:rPr>
        <w:t xml:space="preserve"> </w:t>
      </w:r>
      <w:r>
        <w:rPr>
          <w:color w:val="231F20"/>
        </w:rPr>
        <w:t>to</w:t>
      </w:r>
      <w:r>
        <w:rPr>
          <w:color w:val="231F20"/>
          <w:spacing w:val="-25"/>
        </w:rPr>
        <w:t xml:space="preserve"> </w:t>
      </w:r>
      <w:r>
        <w:rPr>
          <w:color w:val="231F20"/>
        </w:rPr>
        <w:t>enhance</w:t>
      </w:r>
      <w:r>
        <w:rPr>
          <w:color w:val="231F20"/>
          <w:spacing w:val="-25"/>
        </w:rPr>
        <w:t xml:space="preserve"> </w:t>
      </w:r>
      <w:r>
        <w:rPr>
          <w:color w:val="231F20"/>
        </w:rPr>
        <w:t>performance.</w:t>
      </w:r>
    </w:p>
    <w:p w14:paraId="01147CE3" w14:textId="77777777" w:rsidR="009948F1" w:rsidRDefault="009948F1">
      <w:pPr>
        <w:pStyle w:val="BodyText"/>
        <w:spacing w:before="1"/>
        <w:rPr>
          <w:sz w:val="24"/>
        </w:rPr>
      </w:pPr>
    </w:p>
    <w:p w14:paraId="0A07BCD3" w14:textId="77777777" w:rsidR="009948F1" w:rsidRDefault="00BC0563">
      <w:pPr>
        <w:pStyle w:val="ListParagraph"/>
        <w:numPr>
          <w:ilvl w:val="3"/>
          <w:numId w:val="258"/>
        </w:numPr>
        <w:tabs>
          <w:tab w:val="left" w:pos="1045"/>
        </w:tabs>
        <w:spacing w:line="261" w:lineRule="auto"/>
        <w:ind w:right="168" w:firstLine="0"/>
      </w:pPr>
      <w:r>
        <w:rPr>
          <w:color w:val="231F20"/>
        </w:rPr>
        <w:t>Institutionalize</w:t>
      </w:r>
      <w:r>
        <w:rPr>
          <w:color w:val="231F20"/>
          <w:spacing w:val="-3"/>
        </w:rPr>
        <w:t xml:space="preserve"> </w:t>
      </w:r>
      <w:r>
        <w:rPr>
          <w:color w:val="231F20"/>
        </w:rPr>
        <w:t>routine</w:t>
      </w:r>
      <w:r>
        <w:rPr>
          <w:color w:val="231F20"/>
          <w:spacing w:val="-3"/>
        </w:rPr>
        <w:t xml:space="preserve"> </w:t>
      </w:r>
      <w:r>
        <w:rPr>
          <w:color w:val="231F20"/>
        </w:rPr>
        <w:t>NHA</w:t>
      </w:r>
      <w:r>
        <w:rPr>
          <w:color w:val="231F20"/>
          <w:spacing w:val="-16"/>
        </w:rPr>
        <w:t xml:space="preserve"> </w:t>
      </w:r>
      <w:r>
        <w:rPr>
          <w:color w:val="231F20"/>
        </w:rPr>
        <w:t>and</w:t>
      </w:r>
      <w:r>
        <w:rPr>
          <w:color w:val="231F20"/>
          <w:spacing w:val="-3"/>
        </w:rPr>
        <w:t xml:space="preserve"> </w:t>
      </w:r>
      <w:r>
        <w:rPr>
          <w:color w:val="231F20"/>
        </w:rPr>
        <w:t>expenditure</w:t>
      </w:r>
      <w:r>
        <w:rPr>
          <w:color w:val="231F20"/>
          <w:spacing w:val="-3"/>
        </w:rPr>
        <w:t xml:space="preserve"> </w:t>
      </w:r>
      <w:r>
        <w:rPr>
          <w:color w:val="231F20"/>
        </w:rPr>
        <w:t>tracking</w:t>
      </w:r>
      <w:r>
        <w:rPr>
          <w:color w:val="231F20"/>
          <w:spacing w:val="-3"/>
        </w:rPr>
        <w:t xml:space="preserve"> </w:t>
      </w:r>
      <w:r>
        <w:rPr>
          <w:color w:val="231F20"/>
        </w:rPr>
        <w:t>mechanisms</w:t>
      </w:r>
      <w:r>
        <w:rPr>
          <w:color w:val="231F20"/>
          <w:spacing w:val="-3"/>
        </w:rPr>
        <w:t xml:space="preserve"> </w:t>
      </w:r>
      <w:r>
        <w:rPr>
          <w:color w:val="231F20"/>
        </w:rPr>
        <w:t>at</w:t>
      </w:r>
      <w:r>
        <w:rPr>
          <w:color w:val="231F20"/>
          <w:spacing w:val="-3"/>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and</w:t>
      </w:r>
      <w:r>
        <w:rPr>
          <w:color w:val="231F20"/>
          <w:spacing w:val="-3"/>
        </w:rPr>
        <w:t xml:space="preserve"> </w:t>
      </w:r>
      <w:r>
        <w:rPr>
          <w:color w:val="231F20"/>
          <w:spacing w:val="-5"/>
        </w:rPr>
        <w:t xml:space="preserve">LGA </w:t>
      </w:r>
      <w:r>
        <w:rPr>
          <w:color w:val="231F20"/>
        </w:rPr>
        <w:t>levels. Key action includes; - Conduct periodic health expenditure resource tracking; Conduct Household Surveys; Institutionalize annual SHA; Conduct Annual State Health Account data collection</w:t>
      </w:r>
      <w:r>
        <w:rPr>
          <w:color w:val="231F20"/>
          <w:spacing w:val="-24"/>
        </w:rPr>
        <w:t xml:space="preserve"> </w:t>
      </w:r>
      <w:r>
        <w:rPr>
          <w:color w:val="231F20"/>
        </w:rPr>
        <w:t>in</w:t>
      </w:r>
      <w:r>
        <w:rPr>
          <w:color w:val="231F20"/>
          <w:spacing w:val="-23"/>
        </w:rPr>
        <w:t xml:space="preserve"> </w:t>
      </w:r>
      <w:r>
        <w:rPr>
          <w:color w:val="231F20"/>
        </w:rPr>
        <w:t>accordance</w:t>
      </w:r>
      <w:r>
        <w:rPr>
          <w:color w:val="231F20"/>
          <w:spacing w:val="-23"/>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establish</w:t>
      </w:r>
      <w:r>
        <w:rPr>
          <w:color w:val="231F20"/>
          <w:spacing w:val="-23"/>
        </w:rPr>
        <w:t xml:space="preserve"> </w:t>
      </w:r>
      <w:r>
        <w:rPr>
          <w:color w:val="231F20"/>
        </w:rPr>
        <w:t>sub</w:t>
      </w:r>
      <w:r>
        <w:rPr>
          <w:color w:val="231F20"/>
          <w:spacing w:val="-23"/>
        </w:rPr>
        <w:t xml:space="preserve"> </w:t>
      </w:r>
      <w:r>
        <w:rPr>
          <w:color w:val="231F20"/>
        </w:rPr>
        <w:t>National</w:t>
      </w:r>
      <w:r>
        <w:rPr>
          <w:color w:val="231F20"/>
          <w:spacing w:val="-24"/>
        </w:rPr>
        <w:t xml:space="preserve"> </w:t>
      </w:r>
      <w:r>
        <w:rPr>
          <w:color w:val="231F20"/>
        </w:rPr>
        <w:t>health</w:t>
      </w:r>
      <w:r>
        <w:rPr>
          <w:color w:val="231F20"/>
          <w:spacing w:val="-35"/>
        </w:rPr>
        <w:t xml:space="preserve"> </w:t>
      </w:r>
      <w:r>
        <w:rPr>
          <w:color w:val="231F20"/>
        </w:rPr>
        <w:t>Account</w:t>
      </w:r>
      <w:r>
        <w:rPr>
          <w:color w:val="231F20"/>
          <w:spacing w:val="-23"/>
        </w:rPr>
        <w:t xml:space="preserve"> </w:t>
      </w:r>
      <w:r>
        <w:rPr>
          <w:color w:val="231F20"/>
        </w:rPr>
        <w:t>guidelines</w:t>
      </w:r>
      <w:r>
        <w:rPr>
          <w:color w:val="231F20"/>
          <w:spacing w:val="-23"/>
        </w:rPr>
        <w:t xml:space="preserve"> </w:t>
      </w:r>
      <w:r>
        <w:rPr>
          <w:color w:val="231F20"/>
        </w:rPr>
        <w:t>and</w:t>
      </w:r>
      <w:r>
        <w:rPr>
          <w:color w:val="231F20"/>
          <w:spacing w:val="-23"/>
        </w:rPr>
        <w:t xml:space="preserve"> </w:t>
      </w:r>
      <w:r>
        <w:rPr>
          <w:color w:val="231F20"/>
        </w:rPr>
        <w:t>disseminate to</w:t>
      </w:r>
      <w:r>
        <w:rPr>
          <w:color w:val="231F20"/>
          <w:spacing w:val="-25"/>
        </w:rPr>
        <w:t xml:space="preserve"> </w:t>
      </w:r>
      <w:r>
        <w:rPr>
          <w:color w:val="231F20"/>
        </w:rPr>
        <w:t>stakeholders;</w:t>
      </w:r>
      <w:r>
        <w:rPr>
          <w:color w:val="231F20"/>
          <w:spacing w:val="-25"/>
        </w:rPr>
        <w:t xml:space="preserve"> </w:t>
      </w:r>
      <w:r>
        <w:rPr>
          <w:color w:val="231F20"/>
        </w:rPr>
        <w:t>Monitor</w:t>
      </w:r>
      <w:r>
        <w:rPr>
          <w:color w:val="231F20"/>
          <w:spacing w:val="-25"/>
        </w:rPr>
        <w:t xml:space="preserve"> </w:t>
      </w:r>
      <w:r>
        <w:rPr>
          <w:color w:val="231F20"/>
        </w:rPr>
        <w:t>budget</w:t>
      </w:r>
      <w:r>
        <w:rPr>
          <w:color w:val="231F20"/>
          <w:spacing w:val="-26"/>
        </w:rPr>
        <w:t xml:space="preserve"> </w:t>
      </w:r>
      <w:r>
        <w:rPr>
          <w:color w:val="231F20"/>
        </w:rPr>
        <w:t>execution.</w:t>
      </w:r>
    </w:p>
    <w:p w14:paraId="65E3B282" w14:textId="77777777" w:rsidR="009948F1" w:rsidRDefault="009948F1">
      <w:pPr>
        <w:pStyle w:val="BodyText"/>
        <w:spacing w:before="1"/>
        <w:rPr>
          <w:sz w:val="24"/>
        </w:rPr>
      </w:pPr>
    </w:p>
    <w:p w14:paraId="6B4411FC" w14:textId="77777777" w:rsidR="009948F1" w:rsidRDefault="00BC0563">
      <w:pPr>
        <w:pStyle w:val="ListParagraph"/>
        <w:numPr>
          <w:ilvl w:val="3"/>
          <w:numId w:val="258"/>
        </w:numPr>
        <w:tabs>
          <w:tab w:val="left" w:pos="1059"/>
        </w:tabs>
        <w:spacing w:line="261" w:lineRule="auto"/>
        <w:ind w:right="181" w:firstLine="0"/>
      </w:pPr>
      <w:r>
        <w:rPr>
          <w:color w:val="231F20"/>
        </w:rPr>
        <w:t xml:space="preserve">Institute Public Finance Management (PFM) reforms at the State and LGA levels. </w:t>
      </w:r>
      <w:r>
        <w:rPr>
          <w:color w:val="231F20"/>
          <w:spacing w:val="-5"/>
        </w:rPr>
        <w:t xml:space="preserve">Key </w:t>
      </w:r>
      <w:r>
        <w:rPr>
          <w:color w:val="231F20"/>
        </w:rPr>
        <w:t>action</w:t>
      </w:r>
      <w:r>
        <w:rPr>
          <w:color w:val="231F20"/>
          <w:spacing w:val="-15"/>
        </w:rPr>
        <w:t xml:space="preserve"> </w:t>
      </w:r>
      <w:r>
        <w:rPr>
          <w:color w:val="231F20"/>
        </w:rPr>
        <w:t>include;</w:t>
      </w:r>
      <w:r>
        <w:rPr>
          <w:color w:val="231F20"/>
          <w:spacing w:val="-14"/>
        </w:rPr>
        <w:t xml:space="preserve"> </w:t>
      </w:r>
      <w:r>
        <w:rPr>
          <w:color w:val="231F20"/>
        </w:rPr>
        <w:t>-</w:t>
      </w:r>
      <w:r>
        <w:rPr>
          <w:color w:val="231F20"/>
          <w:spacing w:val="-14"/>
        </w:rPr>
        <w:t xml:space="preserve"> </w:t>
      </w:r>
      <w:r>
        <w:rPr>
          <w:color w:val="231F20"/>
        </w:rPr>
        <w:t>Establish</w:t>
      </w:r>
      <w:r>
        <w:rPr>
          <w:color w:val="231F20"/>
          <w:spacing w:val="-14"/>
        </w:rPr>
        <w:t xml:space="preserve"> </w:t>
      </w:r>
      <w:r>
        <w:rPr>
          <w:color w:val="231F20"/>
        </w:rPr>
        <w:t>financial</w:t>
      </w:r>
      <w:r>
        <w:rPr>
          <w:color w:val="231F20"/>
          <w:spacing w:val="-14"/>
        </w:rPr>
        <w:t xml:space="preserve"> </w:t>
      </w:r>
      <w:r>
        <w:rPr>
          <w:color w:val="231F20"/>
        </w:rPr>
        <w:t>management</w:t>
      </w:r>
      <w:r>
        <w:rPr>
          <w:color w:val="231F20"/>
          <w:spacing w:val="-14"/>
        </w:rPr>
        <w:t xml:space="preserve"> </w:t>
      </w:r>
      <w:r>
        <w:rPr>
          <w:color w:val="231F20"/>
        </w:rPr>
        <w:t>systems;</w:t>
      </w:r>
      <w:r>
        <w:rPr>
          <w:color w:val="231F20"/>
          <w:spacing w:val="-14"/>
        </w:rPr>
        <w:t xml:space="preserve"> </w:t>
      </w:r>
      <w:r>
        <w:rPr>
          <w:color w:val="231F20"/>
        </w:rPr>
        <w:t>Engage</w:t>
      </w:r>
      <w:r>
        <w:rPr>
          <w:color w:val="231F20"/>
          <w:spacing w:val="-15"/>
        </w:rPr>
        <w:t xml:space="preserve"> </w:t>
      </w:r>
      <w:r>
        <w:rPr>
          <w:color w:val="231F20"/>
        </w:rPr>
        <w:t>stakeholders</w:t>
      </w:r>
      <w:r>
        <w:rPr>
          <w:color w:val="231F20"/>
          <w:spacing w:val="-14"/>
        </w:rPr>
        <w:t xml:space="preserve"> </w:t>
      </w:r>
      <w:r>
        <w:rPr>
          <w:color w:val="231F20"/>
        </w:rPr>
        <w:t>on</w:t>
      </w:r>
      <w:r>
        <w:rPr>
          <w:color w:val="231F20"/>
          <w:spacing w:val="-14"/>
        </w:rPr>
        <w:t xml:space="preserve"> </w:t>
      </w:r>
      <w:r>
        <w:rPr>
          <w:color w:val="231F20"/>
        </w:rPr>
        <w:t>public</w:t>
      </w:r>
      <w:r>
        <w:rPr>
          <w:color w:val="231F20"/>
          <w:spacing w:val="-14"/>
        </w:rPr>
        <w:t xml:space="preserve"> </w:t>
      </w:r>
      <w:r>
        <w:rPr>
          <w:color w:val="231F20"/>
        </w:rPr>
        <w:t xml:space="preserve">finance management reforms; Train accounting staff on financial management and International </w:t>
      </w:r>
      <w:r>
        <w:rPr>
          <w:color w:val="231F20"/>
          <w:spacing w:val="-3"/>
        </w:rPr>
        <w:t xml:space="preserve">Public </w:t>
      </w:r>
      <w:r>
        <w:rPr>
          <w:color w:val="231F20"/>
        </w:rPr>
        <w:t xml:space="preserve">Sector Accounting Standard (IPSAS) system of accounting; Conduct financial Audit of all </w:t>
      </w:r>
      <w:r>
        <w:rPr>
          <w:color w:val="231F20"/>
          <w:spacing w:val="-3"/>
        </w:rPr>
        <w:t xml:space="preserve">health </w:t>
      </w:r>
      <w:r>
        <w:rPr>
          <w:color w:val="231F20"/>
        </w:rPr>
        <w:t>facilities.</w:t>
      </w:r>
    </w:p>
    <w:p w14:paraId="2D72D028" w14:textId="77777777" w:rsidR="009948F1" w:rsidRDefault="009948F1">
      <w:pPr>
        <w:spacing w:line="261" w:lineRule="auto"/>
        <w:jc w:val="both"/>
        <w:sectPr w:rsidR="009948F1">
          <w:pgSz w:w="11910" w:h="16840"/>
          <w:pgMar w:top="1320" w:right="1080" w:bottom="1420" w:left="1120" w:header="0" w:footer="1235" w:gutter="0"/>
          <w:cols w:space="720"/>
        </w:sectPr>
      </w:pPr>
    </w:p>
    <w:p w14:paraId="28A85FAE" w14:textId="77777777" w:rsidR="009948F1" w:rsidRDefault="00BC0563">
      <w:pPr>
        <w:pStyle w:val="Heading1"/>
        <w:spacing w:before="4" w:line="240" w:lineRule="auto"/>
        <w:ind w:right="1107"/>
      </w:pPr>
      <w:bookmarkStart w:id="110" w:name="_TOC_250017"/>
      <w:bookmarkEnd w:id="110"/>
      <w:r>
        <w:rPr>
          <w:color w:val="231F20"/>
        </w:rPr>
        <w:lastRenderedPageBreak/>
        <w:t>CHAPTER 9</w:t>
      </w:r>
    </w:p>
    <w:p w14:paraId="5E6B652F" w14:textId="77777777" w:rsidR="009948F1" w:rsidRDefault="00BC0563">
      <w:pPr>
        <w:pStyle w:val="Heading3"/>
        <w:spacing w:before="72"/>
        <w:ind w:right="1121"/>
      </w:pPr>
      <w:bookmarkStart w:id="111" w:name="_TOC_250016"/>
      <w:bookmarkEnd w:id="111"/>
      <w:r>
        <w:rPr>
          <w:color w:val="231F20"/>
        </w:rPr>
        <w:t>RESOURCE REQUIREMENTS</w:t>
      </w:r>
    </w:p>
    <w:p w14:paraId="5915A725" w14:textId="77777777" w:rsidR="009948F1" w:rsidRDefault="00BC0563">
      <w:pPr>
        <w:pStyle w:val="Heading7"/>
        <w:numPr>
          <w:ilvl w:val="1"/>
          <w:numId w:val="257"/>
        </w:numPr>
        <w:tabs>
          <w:tab w:val="left" w:pos="893"/>
          <w:tab w:val="left" w:pos="894"/>
        </w:tabs>
        <w:spacing w:before="104"/>
        <w:ind w:hanging="721"/>
      </w:pPr>
      <w:bookmarkStart w:id="112" w:name="_TOC_250015"/>
      <w:bookmarkEnd w:id="112"/>
      <w:r>
        <w:rPr>
          <w:color w:val="231F20"/>
        </w:rPr>
        <w:t>Human</w:t>
      </w:r>
    </w:p>
    <w:p w14:paraId="2EBA25F0" w14:textId="77777777" w:rsidR="009948F1" w:rsidRDefault="00BC0563">
      <w:pPr>
        <w:pStyle w:val="BodyText"/>
        <w:spacing w:before="48" w:line="285" w:lineRule="auto"/>
        <w:ind w:left="173" w:right="234"/>
        <w:jc w:val="both"/>
      </w:pPr>
      <w:r>
        <w:rPr>
          <w:color w:val="231F20"/>
        </w:rPr>
        <w:t>Currently, the State has the following manpower in the tertiary, secondary and primary levels of health care service delivery who are trained with skills needed to function in their various capacities; Doctors, Nurses, Pharmacists etc. (Table 3).</w:t>
      </w:r>
    </w:p>
    <w:p w14:paraId="364E2674" w14:textId="77777777" w:rsidR="009948F1" w:rsidRDefault="00BC0563">
      <w:pPr>
        <w:pStyle w:val="BodyText"/>
        <w:spacing w:line="251" w:lineRule="exact"/>
        <w:ind w:left="173"/>
        <w:jc w:val="both"/>
      </w:pPr>
      <w:r>
        <w:rPr>
          <w:color w:val="231F20"/>
        </w:rPr>
        <w:t>The categories of workers are as follows:</w:t>
      </w:r>
    </w:p>
    <w:p w14:paraId="6F2607CE" w14:textId="77777777" w:rsidR="009948F1" w:rsidRDefault="00BC0563">
      <w:pPr>
        <w:pStyle w:val="ListParagraph"/>
        <w:numPr>
          <w:ilvl w:val="2"/>
          <w:numId w:val="257"/>
        </w:numPr>
        <w:tabs>
          <w:tab w:val="left" w:pos="894"/>
        </w:tabs>
        <w:spacing w:before="47" w:line="285" w:lineRule="auto"/>
        <w:ind w:right="235"/>
      </w:pPr>
      <w:r>
        <w:rPr>
          <w:color w:val="231F20"/>
        </w:rPr>
        <w:t>The professionals such as doctors, nurses, pharmacists / technicians / assistants, radiologists /radiographers /X-ray technicians, dentists / technicians / assistants, nutritionists</w:t>
      </w:r>
      <w:r>
        <w:rPr>
          <w:color w:val="231F20"/>
          <w:spacing w:val="-25"/>
        </w:rPr>
        <w:t xml:space="preserve"> </w:t>
      </w:r>
      <w:r>
        <w:rPr>
          <w:color w:val="231F20"/>
        </w:rPr>
        <w:t>(dieticians)</w:t>
      </w:r>
    </w:p>
    <w:p w14:paraId="2106579C" w14:textId="77777777" w:rsidR="009948F1" w:rsidRDefault="00BC0563">
      <w:pPr>
        <w:pStyle w:val="ListParagraph"/>
        <w:numPr>
          <w:ilvl w:val="2"/>
          <w:numId w:val="257"/>
        </w:numPr>
        <w:tabs>
          <w:tab w:val="left" w:pos="894"/>
        </w:tabs>
        <w:spacing w:line="251" w:lineRule="exact"/>
        <w:ind w:hanging="361"/>
      </w:pPr>
      <w:r>
        <w:rPr>
          <w:color w:val="231F20"/>
        </w:rPr>
        <w:t>Management</w:t>
      </w:r>
      <w:r>
        <w:rPr>
          <w:color w:val="231F20"/>
          <w:spacing w:val="-26"/>
        </w:rPr>
        <w:t xml:space="preserve"> </w:t>
      </w:r>
      <w:r>
        <w:rPr>
          <w:color w:val="231F20"/>
        </w:rPr>
        <w:t>personnel</w:t>
      </w:r>
      <w:r>
        <w:rPr>
          <w:color w:val="231F20"/>
          <w:spacing w:val="-25"/>
        </w:rPr>
        <w:t xml:space="preserve"> </w:t>
      </w:r>
      <w:r>
        <w:rPr>
          <w:color w:val="231F20"/>
        </w:rPr>
        <w:t>such</w:t>
      </w:r>
      <w:r>
        <w:rPr>
          <w:color w:val="231F20"/>
          <w:spacing w:val="-25"/>
        </w:rPr>
        <w:t xml:space="preserve"> </w:t>
      </w:r>
      <w:r>
        <w:rPr>
          <w:color w:val="231F20"/>
        </w:rPr>
        <w:t>as</w:t>
      </w:r>
      <w:r>
        <w:rPr>
          <w:color w:val="231F20"/>
          <w:spacing w:val="-25"/>
        </w:rPr>
        <w:t xml:space="preserve"> </w:t>
      </w:r>
      <w:r>
        <w:rPr>
          <w:color w:val="231F20"/>
        </w:rPr>
        <w:t>administrators,</w:t>
      </w:r>
      <w:r>
        <w:rPr>
          <w:color w:val="231F20"/>
          <w:spacing w:val="-25"/>
        </w:rPr>
        <w:t xml:space="preserve"> </w:t>
      </w:r>
      <w:r>
        <w:rPr>
          <w:color w:val="231F20"/>
        </w:rPr>
        <w:t>planning</w:t>
      </w:r>
      <w:r>
        <w:rPr>
          <w:color w:val="231F20"/>
          <w:spacing w:val="-25"/>
        </w:rPr>
        <w:t xml:space="preserve"> </w:t>
      </w:r>
      <w:r>
        <w:rPr>
          <w:color w:val="231F20"/>
        </w:rPr>
        <w:t>officers</w:t>
      </w:r>
    </w:p>
    <w:p w14:paraId="0B5BB333" w14:textId="77777777" w:rsidR="009948F1" w:rsidRDefault="00BC0563">
      <w:pPr>
        <w:pStyle w:val="ListParagraph"/>
        <w:numPr>
          <w:ilvl w:val="2"/>
          <w:numId w:val="257"/>
        </w:numPr>
        <w:tabs>
          <w:tab w:val="left" w:pos="894"/>
        </w:tabs>
        <w:spacing w:before="47"/>
        <w:ind w:hanging="361"/>
      </w:pPr>
      <w:r>
        <w:rPr>
          <w:color w:val="231F20"/>
        </w:rPr>
        <w:t>Community health</w:t>
      </w:r>
      <w:r>
        <w:rPr>
          <w:color w:val="231F20"/>
          <w:spacing w:val="-50"/>
        </w:rPr>
        <w:t xml:space="preserve"> </w:t>
      </w:r>
      <w:r>
        <w:rPr>
          <w:color w:val="231F20"/>
        </w:rPr>
        <w:t>workers</w:t>
      </w:r>
    </w:p>
    <w:p w14:paraId="57F64F7E" w14:textId="77777777" w:rsidR="009948F1" w:rsidRDefault="00BC0563">
      <w:pPr>
        <w:pStyle w:val="ListParagraph"/>
        <w:numPr>
          <w:ilvl w:val="2"/>
          <w:numId w:val="257"/>
        </w:numPr>
        <w:tabs>
          <w:tab w:val="left" w:pos="894"/>
        </w:tabs>
        <w:spacing w:before="48"/>
        <w:ind w:hanging="361"/>
      </w:pPr>
      <w:r>
        <w:rPr>
          <w:color w:val="231F20"/>
        </w:rPr>
        <w:t>Clerical</w:t>
      </w:r>
      <w:r>
        <w:rPr>
          <w:color w:val="231F20"/>
          <w:spacing w:val="-26"/>
        </w:rPr>
        <w:t xml:space="preserve"> </w:t>
      </w:r>
      <w:r>
        <w:rPr>
          <w:color w:val="231F20"/>
        </w:rPr>
        <w:t>officers</w:t>
      </w:r>
    </w:p>
    <w:p w14:paraId="1F5475CF" w14:textId="77777777" w:rsidR="009948F1" w:rsidRDefault="00BC0563">
      <w:pPr>
        <w:pStyle w:val="ListParagraph"/>
        <w:numPr>
          <w:ilvl w:val="2"/>
          <w:numId w:val="257"/>
        </w:numPr>
        <w:tabs>
          <w:tab w:val="left" w:pos="894"/>
        </w:tabs>
        <w:spacing w:before="47"/>
        <w:ind w:hanging="361"/>
      </w:pPr>
      <w:r>
        <w:rPr>
          <w:color w:val="231F20"/>
        </w:rPr>
        <w:t>Ancillary</w:t>
      </w:r>
      <w:r>
        <w:rPr>
          <w:color w:val="231F20"/>
          <w:spacing w:val="-25"/>
        </w:rPr>
        <w:t xml:space="preserve"> </w:t>
      </w:r>
      <w:r>
        <w:rPr>
          <w:color w:val="231F20"/>
        </w:rPr>
        <w:t>personnel</w:t>
      </w:r>
    </w:p>
    <w:p w14:paraId="0638424C" w14:textId="77777777" w:rsidR="009948F1" w:rsidRDefault="00BC0563">
      <w:pPr>
        <w:pStyle w:val="ListParagraph"/>
        <w:numPr>
          <w:ilvl w:val="2"/>
          <w:numId w:val="257"/>
        </w:numPr>
        <w:tabs>
          <w:tab w:val="left" w:pos="893"/>
          <w:tab w:val="left" w:pos="894"/>
        </w:tabs>
        <w:spacing w:before="48"/>
        <w:ind w:hanging="361"/>
      </w:pPr>
      <w:r>
        <w:rPr>
          <w:color w:val="231F20"/>
        </w:rPr>
        <w:t>Traditional</w:t>
      </w:r>
      <w:r>
        <w:rPr>
          <w:color w:val="231F20"/>
          <w:spacing w:val="-26"/>
        </w:rPr>
        <w:t xml:space="preserve"> </w:t>
      </w:r>
      <w:r>
        <w:rPr>
          <w:color w:val="231F20"/>
        </w:rPr>
        <w:t>practitioners</w:t>
      </w:r>
    </w:p>
    <w:p w14:paraId="375404A6" w14:textId="77777777" w:rsidR="009948F1" w:rsidRDefault="00BC0563">
      <w:pPr>
        <w:pStyle w:val="BodyText"/>
        <w:spacing w:before="47" w:line="285" w:lineRule="auto"/>
        <w:ind w:left="172" w:right="235"/>
        <w:jc w:val="both"/>
      </w:pPr>
      <w:r>
        <w:rPr>
          <w:color w:val="231F20"/>
        </w:rPr>
        <w:t>The</w:t>
      </w:r>
      <w:r>
        <w:rPr>
          <w:color w:val="231F20"/>
          <w:spacing w:val="-12"/>
        </w:rPr>
        <w:t xml:space="preserve"> </w:t>
      </w:r>
      <w:r>
        <w:rPr>
          <w:color w:val="231F20"/>
        </w:rPr>
        <w:t>professional</w:t>
      </w:r>
      <w:r>
        <w:rPr>
          <w:color w:val="231F20"/>
          <w:spacing w:val="-12"/>
        </w:rPr>
        <w:t xml:space="preserve"> </w:t>
      </w:r>
      <w:r>
        <w:rPr>
          <w:color w:val="231F20"/>
        </w:rPr>
        <w:t>are</w:t>
      </w:r>
      <w:r>
        <w:rPr>
          <w:color w:val="231F20"/>
          <w:spacing w:val="-11"/>
        </w:rPr>
        <w:t xml:space="preserve"> </w:t>
      </w:r>
      <w:r>
        <w:rPr>
          <w:color w:val="231F20"/>
        </w:rPr>
        <w:t>usually</w:t>
      </w:r>
      <w:r>
        <w:rPr>
          <w:color w:val="231F20"/>
          <w:spacing w:val="-12"/>
        </w:rPr>
        <w:t xml:space="preserve"> </w:t>
      </w:r>
      <w:r>
        <w:rPr>
          <w:color w:val="231F20"/>
        </w:rPr>
        <w:t>officers</w:t>
      </w:r>
      <w:r>
        <w:rPr>
          <w:color w:val="231F20"/>
          <w:spacing w:val="-11"/>
        </w:rPr>
        <w:t xml:space="preserve"> </w:t>
      </w:r>
      <w:r>
        <w:rPr>
          <w:color w:val="231F20"/>
        </w:rPr>
        <w:t>with</w:t>
      </w:r>
      <w:r>
        <w:rPr>
          <w:color w:val="231F20"/>
          <w:spacing w:val="-12"/>
        </w:rPr>
        <w:t xml:space="preserve"> </w:t>
      </w:r>
      <w:r>
        <w:rPr>
          <w:color w:val="231F20"/>
        </w:rPr>
        <w:t>urban</w:t>
      </w:r>
      <w:r>
        <w:rPr>
          <w:color w:val="231F20"/>
          <w:spacing w:val="-11"/>
        </w:rPr>
        <w:t xml:space="preserve"> </w:t>
      </w:r>
      <w:r>
        <w:rPr>
          <w:color w:val="231F20"/>
        </w:rPr>
        <w:t>background</w:t>
      </w:r>
      <w:r>
        <w:rPr>
          <w:color w:val="231F20"/>
          <w:spacing w:val="-12"/>
        </w:rPr>
        <w:t xml:space="preserve"> </w:t>
      </w:r>
      <w:r>
        <w:rPr>
          <w:color w:val="231F20"/>
        </w:rPr>
        <w:t>and</w:t>
      </w:r>
      <w:r>
        <w:rPr>
          <w:color w:val="231F20"/>
          <w:spacing w:val="-11"/>
        </w:rPr>
        <w:t xml:space="preserve"> </w:t>
      </w:r>
      <w:r>
        <w:rPr>
          <w:color w:val="231F20"/>
        </w:rPr>
        <w:t>have</w:t>
      </w:r>
      <w:r>
        <w:rPr>
          <w:color w:val="231F20"/>
          <w:spacing w:val="-12"/>
        </w:rPr>
        <w:t xml:space="preserve"> </w:t>
      </w:r>
      <w:r>
        <w:rPr>
          <w:color w:val="231F20"/>
        </w:rPr>
        <w:t>had</w:t>
      </w:r>
      <w:r>
        <w:rPr>
          <w:color w:val="231F20"/>
          <w:spacing w:val="-11"/>
        </w:rPr>
        <w:t xml:space="preserve"> </w:t>
      </w:r>
      <w:r>
        <w:rPr>
          <w:color w:val="231F20"/>
        </w:rPr>
        <w:t>high</w:t>
      </w:r>
      <w:r>
        <w:rPr>
          <w:color w:val="231F20"/>
          <w:spacing w:val="-12"/>
        </w:rPr>
        <w:t xml:space="preserve"> </w:t>
      </w:r>
      <w:r>
        <w:rPr>
          <w:color w:val="231F20"/>
        </w:rPr>
        <w:t>formal</w:t>
      </w:r>
      <w:r>
        <w:rPr>
          <w:color w:val="231F20"/>
          <w:spacing w:val="-11"/>
        </w:rPr>
        <w:t xml:space="preserve"> </w:t>
      </w:r>
      <w:r>
        <w:rPr>
          <w:color w:val="231F20"/>
        </w:rPr>
        <w:t xml:space="preserve">education, while the community health workers are usually officers with rural background with </w:t>
      </w:r>
      <w:r>
        <w:rPr>
          <w:color w:val="231F20"/>
          <w:spacing w:val="-3"/>
        </w:rPr>
        <w:t>minimum</w:t>
      </w:r>
      <w:r>
        <w:rPr>
          <w:color w:val="231F20"/>
          <w:spacing w:val="55"/>
        </w:rPr>
        <w:t xml:space="preserve"> </w:t>
      </w:r>
      <w:r>
        <w:rPr>
          <w:color w:val="231F20"/>
        </w:rPr>
        <w:t>education. These workers enumerated above have had basic education in their respective professions</w:t>
      </w:r>
      <w:r>
        <w:rPr>
          <w:color w:val="231F20"/>
          <w:spacing w:val="-22"/>
        </w:rPr>
        <w:t xml:space="preserve"> </w:t>
      </w:r>
      <w:r>
        <w:rPr>
          <w:color w:val="231F20"/>
        </w:rPr>
        <w:t>and</w:t>
      </w:r>
      <w:r>
        <w:rPr>
          <w:color w:val="231F20"/>
          <w:spacing w:val="-22"/>
        </w:rPr>
        <w:t xml:space="preserve"> </w:t>
      </w:r>
      <w:r>
        <w:rPr>
          <w:color w:val="231F20"/>
        </w:rPr>
        <w:t>therefore</w:t>
      </w:r>
      <w:r>
        <w:rPr>
          <w:color w:val="231F20"/>
          <w:spacing w:val="-22"/>
        </w:rPr>
        <w:t xml:space="preserve"> </w:t>
      </w:r>
      <w:r>
        <w:rPr>
          <w:color w:val="231F20"/>
        </w:rPr>
        <w:t>are</w:t>
      </w:r>
      <w:r>
        <w:rPr>
          <w:color w:val="231F20"/>
          <w:spacing w:val="-22"/>
        </w:rPr>
        <w:t xml:space="preserve"> </w:t>
      </w:r>
      <w:r>
        <w:rPr>
          <w:color w:val="231F20"/>
        </w:rPr>
        <w:t>equipped</w:t>
      </w:r>
      <w:r>
        <w:rPr>
          <w:color w:val="231F20"/>
          <w:spacing w:val="-22"/>
        </w:rPr>
        <w:t xml:space="preserve"> </w:t>
      </w:r>
      <w:r>
        <w:rPr>
          <w:color w:val="231F20"/>
        </w:rPr>
        <w:t>with</w:t>
      </w:r>
      <w:r>
        <w:rPr>
          <w:color w:val="231F20"/>
          <w:spacing w:val="-22"/>
        </w:rPr>
        <w:t xml:space="preserve"> </w:t>
      </w:r>
      <w:r>
        <w:rPr>
          <w:color w:val="231F20"/>
        </w:rPr>
        <w:t>the</w:t>
      </w:r>
      <w:r>
        <w:rPr>
          <w:color w:val="231F20"/>
          <w:spacing w:val="-22"/>
        </w:rPr>
        <w:t xml:space="preserve"> </w:t>
      </w:r>
      <w:r>
        <w:rPr>
          <w:color w:val="231F20"/>
        </w:rPr>
        <w:t>basic</w:t>
      </w:r>
      <w:r>
        <w:rPr>
          <w:color w:val="231F20"/>
          <w:spacing w:val="-22"/>
        </w:rPr>
        <w:t xml:space="preserve"> </w:t>
      </w:r>
      <w:r>
        <w:rPr>
          <w:color w:val="231F20"/>
        </w:rPr>
        <w:t>skills</w:t>
      </w:r>
      <w:r>
        <w:rPr>
          <w:color w:val="231F20"/>
          <w:spacing w:val="-22"/>
        </w:rPr>
        <w:t xml:space="preserve"> </w:t>
      </w:r>
      <w:r>
        <w:rPr>
          <w:color w:val="231F20"/>
        </w:rPr>
        <w:t>required</w:t>
      </w:r>
      <w:r>
        <w:rPr>
          <w:color w:val="231F20"/>
          <w:spacing w:val="-21"/>
        </w:rPr>
        <w:t xml:space="preserve"> </w:t>
      </w:r>
      <w:r>
        <w:rPr>
          <w:color w:val="231F20"/>
        </w:rPr>
        <w:t>to</w:t>
      </w:r>
      <w:r>
        <w:rPr>
          <w:color w:val="231F20"/>
          <w:spacing w:val="-22"/>
        </w:rPr>
        <w:t xml:space="preserve"> </w:t>
      </w:r>
      <w:r>
        <w:rPr>
          <w:color w:val="231F20"/>
        </w:rPr>
        <w:t>execute</w:t>
      </w:r>
      <w:r>
        <w:rPr>
          <w:color w:val="231F20"/>
          <w:spacing w:val="-22"/>
        </w:rPr>
        <w:t xml:space="preserve"> </w:t>
      </w:r>
      <w:r>
        <w:rPr>
          <w:color w:val="231F20"/>
        </w:rPr>
        <w:t>their</w:t>
      </w:r>
      <w:r>
        <w:rPr>
          <w:color w:val="231F20"/>
          <w:spacing w:val="-22"/>
        </w:rPr>
        <w:t xml:space="preserve"> </w:t>
      </w:r>
      <w:r>
        <w:rPr>
          <w:color w:val="231F20"/>
        </w:rPr>
        <w:t>functions.</w:t>
      </w:r>
      <w:r>
        <w:rPr>
          <w:color w:val="231F20"/>
          <w:spacing w:val="-22"/>
        </w:rPr>
        <w:t xml:space="preserve"> </w:t>
      </w:r>
      <w:r>
        <w:rPr>
          <w:color w:val="231F20"/>
          <w:spacing w:val="-5"/>
        </w:rPr>
        <w:t xml:space="preserve">But </w:t>
      </w:r>
      <w:r>
        <w:rPr>
          <w:color w:val="231F20"/>
        </w:rPr>
        <w:t>with</w:t>
      </w:r>
      <w:r>
        <w:rPr>
          <w:color w:val="231F20"/>
          <w:spacing w:val="-18"/>
        </w:rPr>
        <w:t xml:space="preserve"> </w:t>
      </w:r>
      <w:r>
        <w:rPr>
          <w:color w:val="231F20"/>
        </w:rPr>
        <w:t>the</w:t>
      </w:r>
      <w:r>
        <w:rPr>
          <w:color w:val="231F20"/>
          <w:spacing w:val="-17"/>
        </w:rPr>
        <w:t xml:space="preserve"> </w:t>
      </w:r>
      <w:r>
        <w:rPr>
          <w:color w:val="231F20"/>
        </w:rPr>
        <w:t>ever-increasing</w:t>
      </w:r>
      <w:r>
        <w:rPr>
          <w:color w:val="231F20"/>
          <w:spacing w:val="-17"/>
        </w:rPr>
        <w:t xml:space="preserve"> </w:t>
      </w:r>
      <w:r>
        <w:rPr>
          <w:color w:val="231F20"/>
        </w:rPr>
        <w:t>demand</w:t>
      </w:r>
      <w:r>
        <w:rPr>
          <w:color w:val="231F20"/>
          <w:spacing w:val="-17"/>
        </w:rPr>
        <w:t xml:space="preserve"> </w:t>
      </w:r>
      <w:r>
        <w:rPr>
          <w:color w:val="231F20"/>
        </w:rPr>
        <w:t>for</w:t>
      </w:r>
      <w:r>
        <w:rPr>
          <w:color w:val="231F20"/>
          <w:spacing w:val="-17"/>
        </w:rPr>
        <w:t xml:space="preserve"> </w:t>
      </w:r>
      <w:r>
        <w:rPr>
          <w:color w:val="231F20"/>
        </w:rPr>
        <w:t>health</w:t>
      </w:r>
      <w:r>
        <w:rPr>
          <w:color w:val="231F20"/>
          <w:spacing w:val="-17"/>
        </w:rPr>
        <w:t xml:space="preserve"> </w:t>
      </w:r>
      <w:r>
        <w:rPr>
          <w:color w:val="231F20"/>
        </w:rPr>
        <w:t>care</w:t>
      </w:r>
      <w:r>
        <w:rPr>
          <w:color w:val="231F20"/>
          <w:spacing w:val="-17"/>
        </w:rPr>
        <w:t xml:space="preserve"> </w:t>
      </w:r>
      <w:r>
        <w:rPr>
          <w:color w:val="231F20"/>
        </w:rPr>
        <w:t>and</w:t>
      </w:r>
      <w:r>
        <w:rPr>
          <w:color w:val="231F20"/>
          <w:spacing w:val="-17"/>
        </w:rPr>
        <w:t xml:space="preserve"> </w:t>
      </w:r>
      <w:r>
        <w:rPr>
          <w:color w:val="231F20"/>
        </w:rPr>
        <w:t>introduction</w:t>
      </w:r>
      <w:r>
        <w:rPr>
          <w:color w:val="231F20"/>
          <w:spacing w:val="-17"/>
        </w:rPr>
        <w:t xml:space="preserve"> </w:t>
      </w:r>
      <w:r>
        <w:rPr>
          <w:color w:val="231F20"/>
        </w:rPr>
        <w:t>of</w:t>
      </w:r>
      <w:r>
        <w:rPr>
          <w:color w:val="231F20"/>
          <w:spacing w:val="-17"/>
        </w:rPr>
        <w:t xml:space="preserve"> </w:t>
      </w:r>
      <w:r>
        <w:rPr>
          <w:color w:val="231F20"/>
        </w:rPr>
        <w:t>new</w:t>
      </w:r>
      <w:r>
        <w:rPr>
          <w:color w:val="231F20"/>
          <w:spacing w:val="-18"/>
        </w:rPr>
        <w:t xml:space="preserve"> </w:t>
      </w:r>
      <w:r>
        <w:rPr>
          <w:color w:val="231F20"/>
        </w:rPr>
        <w:t>technology</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 xml:space="preserve">system, the skills acquired become inadequate or obsolete rendering them ineffective and </w:t>
      </w:r>
      <w:r>
        <w:rPr>
          <w:color w:val="231F20"/>
          <w:spacing w:val="-2"/>
        </w:rPr>
        <w:t xml:space="preserve">unproductive. </w:t>
      </w:r>
      <w:r>
        <w:rPr>
          <w:color w:val="231F20"/>
        </w:rPr>
        <w:t>The</w:t>
      </w:r>
      <w:r>
        <w:rPr>
          <w:color w:val="231F20"/>
          <w:spacing w:val="-23"/>
        </w:rPr>
        <w:t xml:space="preserve"> </w:t>
      </w:r>
      <w:r>
        <w:rPr>
          <w:color w:val="231F20"/>
        </w:rPr>
        <w:t>adverse</w:t>
      </w:r>
      <w:r>
        <w:rPr>
          <w:color w:val="231F20"/>
          <w:spacing w:val="-22"/>
        </w:rPr>
        <w:t xml:space="preserve"> </w:t>
      </w:r>
      <w:r>
        <w:rPr>
          <w:color w:val="231F20"/>
        </w:rPr>
        <w:t>effect</w:t>
      </w:r>
      <w:r>
        <w:rPr>
          <w:color w:val="231F20"/>
          <w:spacing w:val="-22"/>
        </w:rPr>
        <w:t xml:space="preserve"> </w:t>
      </w:r>
      <w:r>
        <w:rPr>
          <w:color w:val="231F20"/>
        </w:rPr>
        <w:t>of</w:t>
      </w:r>
      <w:r>
        <w:rPr>
          <w:color w:val="231F20"/>
          <w:spacing w:val="-23"/>
        </w:rPr>
        <w:t xml:space="preserve"> </w:t>
      </w:r>
      <w:r>
        <w:rPr>
          <w:color w:val="231F20"/>
        </w:rPr>
        <w:t>this</w:t>
      </w:r>
      <w:r>
        <w:rPr>
          <w:color w:val="231F20"/>
          <w:spacing w:val="-22"/>
        </w:rPr>
        <w:t xml:space="preserve"> </w:t>
      </w:r>
      <w:r>
        <w:rPr>
          <w:color w:val="231F20"/>
        </w:rPr>
        <w:t>is</w:t>
      </w:r>
      <w:r>
        <w:rPr>
          <w:color w:val="231F20"/>
          <w:spacing w:val="-22"/>
        </w:rPr>
        <w:t xml:space="preserve"> </w:t>
      </w:r>
      <w:r>
        <w:rPr>
          <w:color w:val="231F20"/>
        </w:rPr>
        <w:t>deterioration</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provision</w:t>
      </w:r>
      <w:r>
        <w:rPr>
          <w:color w:val="231F20"/>
          <w:spacing w:val="-22"/>
        </w:rPr>
        <w:t xml:space="preserve"> </w:t>
      </w:r>
      <w:r>
        <w:rPr>
          <w:color w:val="231F20"/>
        </w:rPr>
        <w:t>of</w:t>
      </w:r>
      <w:r>
        <w:rPr>
          <w:color w:val="231F20"/>
          <w:spacing w:val="-22"/>
        </w:rPr>
        <w:t xml:space="preserve"> </w:t>
      </w:r>
      <w:r>
        <w:rPr>
          <w:color w:val="231F20"/>
        </w:rPr>
        <w:t>health</w:t>
      </w:r>
      <w:r>
        <w:rPr>
          <w:color w:val="231F20"/>
          <w:spacing w:val="-23"/>
        </w:rPr>
        <w:t xml:space="preserve"> </w:t>
      </w:r>
      <w:r>
        <w:rPr>
          <w:color w:val="231F20"/>
        </w:rPr>
        <w:t>care</w:t>
      </w:r>
      <w:r>
        <w:rPr>
          <w:color w:val="231F20"/>
          <w:spacing w:val="-22"/>
        </w:rPr>
        <w:t xml:space="preserve"> </w:t>
      </w:r>
      <w:r>
        <w:rPr>
          <w:color w:val="231F20"/>
        </w:rPr>
        <w:t>to</w:t>
      </w:r>
      <w:r>
        <w:rPr>
          <w:color w:val="231F20"/>
          <w:spacing w:val="-22"/>
        </w:rPr>
        <w:t xml:space="preserve"> </w:t>
      </w:r>
      <w:r>
        <w:rPr>
          <w:color w:val="231F20"/>
        </w:rPr>
        <w:t>the</w:t>
      </w:r>
      <w:r>
        <w:rPr>
          <w:color w:val="231F20"/>
          <w:spacing w:val="-23"/>
        </w:rPr>
        <w:t xml:space="preserve"> </w:t>
      </w:r>
      <w:r>
        <w:rPr>
          <w:color w:val="231F20"/>
        </w:rPr>
        <w:t>citizenry,</w:t>
      </w:r>
      <w:r>
        <w:rPr>
          <w:color w:val="231F20"/>
          <w:spacing w:val="-22"/>
        </w:rPr>
        <w:t xml:space="preserve"> </w:t>
      </w:r>
      <w:r>
        <w:rPr>
          <w:color w:val="231F20"/>
        </w:rPr>
        <w:t>which</w:t>
      </w:r>
      <w:r>
        <w:rPr>
          <w:color w:val="231F20"/>
          <w:spacing w:val="-22"/>
        </w:rPr>
        <w:t xml:space="preserve"> </w:t>
      </w:r>
      <w:r>
        <w:rPr>
          <w:color w:val="231F20"/>
        </w:rPr>
        <w:t>leads to</w:t>
      </w:r>
      <w:r>
        <w:rPr>
          <w:color w:val="231F20"/>
          <w:spacing w:val="-25"/>
        </w:rPr>
        <w:t xml:space="preserve"> </w:t>
      </w:r>
      <w:r>
        <w:rPr>
          <w:color w:val="231F20"/>
        </w:rPr>
        <w:t>increase</w:t>
      </w:r>
      <w:r>
        <w:rPr>
          <w:color w:val="231F20"/>
          <w:spacing w:val="-25"/>
        </w:rPr>
        <w:t xml:space="preserve"> </w:t>
      </w:r>
      <w:r>
        <w:rPr>
          <w:color w:val="231F20"/>
        </w:rPr>
        <w:t>in</w:t>
      </w:r>
      <w:r>
        <w:rPr>
          <w:color w:val="231F20"/>
          <w:spacing w:val="-26"/>
        </w:rPr>
        <w:t xml:space="preserve"> </w:t>
      </w:r>
      <w:r>
        <w:rPr>
          <w:color w:val="231F20"/>
        </w:rPr>
        <w:t>mortality</w:t>
      </w:r>
      <w:r>
        <w:rPr>
          <w:color w:val="231F20"/>
          <w:spacing w:val="-25"/>
        </w:rPr>
        <w:t xml:space="preserve"> </w:t>
      </w:r>
      <w:r>
        <w:rPr>
          <w:color w:val="231F20"/>
        </w:rPr>
        <w:t>and</w:t>
      </w:r>
      <w:r>
        <w:rPr>
          <w:color w:val="231F20"/>
          <w:spacing w:val="-25"/>
        </w:rPr>
        <w:t xml:space="preserve"> </w:t>
      </w:r>
      <w:r>
        <w:rPr>
          <w:color w:val="231F20"/>
        </w:rPr>
        <w:t>morbidity</w:t>
      </w:r>
      <w:r>
        <w:rPr>
          <w:color w:val="231F20"/>
          <w:spacing w:val="-25"/>
        </w:rPr>
        <w:t xml:space="preserve"> </w:t>
      </w:r>
      <w:r>
        <w:rPr>
          <w:color w:val="231F20"/>
        </w:rPr>
        <w:t>rates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2D432022" w14:textId="77777777" w:rsidR="009948F1" w:rsidRDefault="009948F1">
      <w:pPr>
        <w:pStyle w:val="BodyText"/>
        <w:spacing w:before="8"/>
        <w:rPr>
          <w:sz w:val="25"/>
        </w:rPr>
      </w:pPr>
    </w:p>
    <w:p w14:paraId="03348B4D" w14:textId="77777777" w:rsidR="009948F1" w:rsidRDefault="00BC0563">
      <w:pPr>
        <w:pStyle w:val="Heading7"/>
        <w:numPr>
          <w:ilvl w:val="1"/>
          <w:numId w:val="257"/>
        </w:numPr>
        <w:tabs>
          <w:tab w:val="left" w:pos="893"/>
        </w:tabs>
        <w:ind w:left="892" w:hanging="721"/>
        <w:jc w:val="both"/>
      </w:pPr>
      <w:bookmarkStart w:id="113" w:name="_TOC_250014"/>
      <w:bookmarkEnd w:id="113"/>
      <w:r>
        <w:rPr>
          <w:color w:val="231F20"/>
        </w:rPr>
        <w:t>Physical/Materials</w:t>
      </w:r>
    </w:p>
    <w:p w14:paraId="11D0BF60" w14:textId="77777777" w:rsidR="009948F1" w:rsidRDefault="00BC0563">
      <w:pPr>
        <w:pStyle w:val="BodyText"/>
        <w:spacing w:before="47" w:line="285" w:lineRule="auto"/>
        <w:ind w:left="172" w:right="235"/>
        <w:jc w:val="both"/>
      </w:pPr>
      <w:r>
        <w:rPr>
          <w:color w:val="231F20"/>
        </w:rPr>
        <w:t>There are currently 408 public health facilities in Rivers State that are distributed in the 23</w:t>
      </w:r>
      <w:r>
        <w:rPr>
          <w:color w:val="231F20"/>
          <w:spacing w:val="-24"/>
        </w:rPr>
        <w:t xml:space="preserve"> </w:t>
      </w:r>
      <w:r>
        <w:rPr>
          <w:color w:val="231F20"/>
          <w:spacing w:val="-4"/>
        </w:rPr>
        <w:t xml:space="preserve">LGAs </w:t>
      </w:r>
      <w:r>
        <w:rPr>
          <w:color w:val="231F20"/>
        </w:rPr>
        <w:t xml:space="preserve">made up as follows; 5 </w:t>
      </w:r>
      <w:r>
        <w:rPr>
          <w:color w:val="231F20"/>
          <w:spacing w:val="-5"/>
        </w:rPr>
        <w:t xml:space="preserve">Tertiary, </w:t>
      </w:r>
      <w:r>
        <w:rPr>
          <w:color w:val="231F20"/>
        </w:rPr>
        <w:t xml:space="preserve">18 functional Secondary health facilities and 385 Public Primary health facilities. There are also numerous private health facilities with majority located in </w:t>
      </w:r>
      <w:r>
        <w:rPr>
          <w:color w:val="231F20"/>
          <w:spacing w:val="-4"/>
        </w:rPr>
        <w:t>Port</w:t>
      </w:r>
      <w:r>
        <w:rPr>
          <w:color w:val="231F20"/>
          <w:spacing w:val="53"/>
        </w:rPr>
        <w:t xml:space="preserve"> </w:t>
      </w:r>
      <w:r>
        <w:rPr>
          <w:color w:val="231F20"/>
        </w:rPr>
        <w:t>Harcourt.</w:t>
      </w:r>
      <w:r>
        <w:rPr>
          <w:color w:val="231F20"/>
          <w:spacing w:val="-23"/>
        </w:rPr>
        <w:t xml:space="preserve"> </w:t>
      </w:r>
      <w:r>
        <w:rPr>
          <w:color w:val="231F20"/>
        </w:rPr>
        <w:t>There</w:t>
      </w:r>
      <w:r>
        <w:rPr>
          <w:color w:val="231F20"/>
          <w:spacing w:val="-18"/>
        </w:rPr>
        <w:t xml:space="preserve"> </w:t>
      </w:r>
      <w:r>
        <w:rPr>
          <w:color w:val="231F20"/>
        </w:rPr>
        <w:t>are</w:t>
      </w:r>
      <w:r>
        <w:rPr>
          <w:color w:val="231F20"/>
          <w:spacing w:val="-18"/>
        </w:rPr>
        <w:t xml:space="preserve"> </w:t>
      </w:r>
      <w:r>
        <w:rPr>
          <w:color w:val="231F20"/>
        </w:rPr>
        <w:t>over</w:t>
      </w:r>
      <w:r>
        <w:rPr>
          <w:color w:val="231F20"/>
          <w:spacing w:val="-18"/>
        </w:rPr>
        <w:t xml:space="preserve"> </w:t>
      </w:r>
      <w:r>
        <w:rPr>
          <w:color w:val="231F20"/>
        </w:rPr>
        <w:t>1000</w:t>
      </w:r>
      <w:r>
        <w:rPr>
          <w:color w:val="231F20"/>
          <w:spacing w:val="-18"/>
        </w:rPr>
        <w:t xml:space="preserve"> </w:t>
      </w:r>
      <w:r>
        <w:rPr>
          <w:color w:val="231F20"/>
        </w:rPr>
        <w:t>private</w:t>
      </w:r>
      <w:r>
        <w:rPr>
          <w:color w:val="231F20"/>
          <w:spacing w:val="-18"/>
        </w:rPr>
        <w:t xml:space="preserve"> </w:t>
      </w:r>
      <w:r>
        <w:rPr>
          <w:color w:val="231F20"/>
        </w:rPr>
        <w:t>health</w:t>
      </w:r>
      <w:r>
        <w:rPr>
          <w:color w:val="231F20"/>
          <w:spacing w:val="-18"/>
        </w:rPr>
        <w:t xml:space="preserve"> </w:t>
      </w:r>
      <w:r>
        <w:rPr>
          <w:color w:val="231F20"/>
        </w:rPr>
        <w:t>care</w:t>
      </w:r>
      <w:r>
        <w:rPr>
          <w:color w:val="231F20"/>
          <w:spacing w:val="-18"/>
        </w:rPr>
        <w:t xml:space="preserve"> </w:t>
      </w:r>
      <w:r>
        <w:rPr>
          <w:color w:val="231F20"/>
        </w:rPr>
        <w:t>facilities</w:t>
      </w:r>
      <w:r>
        <w:rPr>
          <w:color w:val="231F20"/>
          <w:spacing w:val="-18"/>
        </w:rPr>
        <w:t xml:space="preserve"> </w:t>
      </w:r>
      <w:r>
        <w:rPr>
          <w:color w:val="231F20"/>
        </w:rPr>
        <w:t>in</w:t>
      </w:r>
      <w:r>
        <w:rPr>
          <w:color w:val="231F20"/>
          <w:spacing w:val="-18"/>
        </w:rPr>
        <w:t xml:space="preserve"> </w:t>
      </w:r>
      <w:r>
        <w:rPr>
          <w:color w:val="231F20"/>
        </w:rPr>
        <w:t>Rivers</w:t>
      </w:r>
      <w:r>
        <w:rPr>
          <w:color w:val="231F20"/>
          <w:spacing w:val="-18"/>
        </w:rPr>
        <w:t xml:space="preserve"> </w:t>
      </w:r>
      <w:r>
        <w:rPr>
          <w:color w:val="231F20"/>
        </w:rPr>
        <w:t>State</w:t>
      </w:r>
      <w:r>
        <w:rPr>
          <w:color w:val="231F20"/>
          <w:spacing w:val="-18"/>
        </w:rPr>
        <w:t xml:space="preserve"> </w:t>
      </w:r>
      <w:r>
        <w:rPr>
          <w:color w:val="231F20"/>
        </w:rPr>
        <w:t>but</w:t>
      </w:r>
      <w:r>
        <w:rPr>
          <w:color w:val="231F20"/>
          <w:spacing w:val="-18"/>
        </w:rPr>
        <w:t xml:space="preserve"> </w:t>
      </w:r>
      <w:r>
        <w:rPr>
          <w:color w:val="231F20"/>
        </w:rPr>
        <w:t>only</w:t>
      </w:r>
      <w:r>
        <w:rPr>
          <w:color w:val="231F20"/>
          <w:spacing w:val="-18"/>
        </w:rPr>
        <w:t xml:space="preserve"> </w:t>
      </w:r>
      <w:r>
        <w:rPr>
          <w:color w:val="231F20"/>
        </w:rPr>
        <w:t>147</w:t>
      </w:r>
      <w:r>
        <w:rPr>
          <w:color w:val="231F20"/>
          <w:spacing w:val="-19"/>
        </w:rPr>
        <w:t xml:space="preserve"> </w:t>
      </w:r>
      <w:r>
        <w:rPr>
          <w:color w:val="231F20"/>
        </w:rPr>
        <w:t>of</w:t>
      </w:r>
      <w:r>
        <w:rPr>
          <w:color w:val="231F20"/>
          <w:spacing w:val="-18"/>
        </w:rPr>
        <w:t xml:space="preserve"> </w:t>
      </w:r>
      <w:r>
        <w:rPr>
          <w:color w:val="231F20"/>
        </w:rPr>
        <w:t>them</w:t>
      </w:r>
      <w:r>
        <w:rPr>
          <w:color w:val="231F20"/>
          <w:spacing w:val="-18"/>
        </w:rPr>
        <w:t xml:space="preserve"> </w:t>
      </w:r>
      <w:r>
        <w:rPr>
          <w:color w:val="231F20"/>
        </w:rPr>
        <w:t>are registered</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SMOH</w:t>
      </w:r>
      <w:r>
        <w:rPr>
          <w:color w:val="231F20"/>
          <w:spacing w:val="-25"/>
        </w:rPr>
        <w:t xml:space="preserve"> </w:t>
      </w:r>
      <w:r>
        <w:rPr>
          <w:color w:val="231F20"/>
        </w:rPr>
        <w:t>(DHIS</w:t>
      </w:r>
      <w:r>
        <w:rPr>
          <w:color w:val="231F20"/>
          <w:spacing w:val="-25"/>
        </w:rPr>
        <w:t xml:space="preserve"> </w:t>
      </w:r>
      <w:r>
        <w:rPr>
          <w:color w:val="231F20"/>
        </w:rPr>
        <w:t>2).</w:t>
      </w:r>
    </w:p>
    <w:p w14:paraId="104A7469" w14:textId="77777777" w:rsidR="009948F1" w:rsidRDefault="00BC0563">
      <w:pPr>
        <w:pStyle w:val="BodyText"/>
        <w:spacing w:line="285" w:lineRule="auto"/>
        <w:ind w:left="172" w:right="235"/>
        <w:jc w:val="both"/>
      </w:pPr>
      <w:r>
        <w:rPr>
          <w:color w:val="231F20"/>
        </w:rPr>
        <w:t>The</w:t>
      </w:r>
      <w:r>
        <w:rPr>
          <w:color w:val="231F20"/>
          <w:spacing w:val="-22"/>
        </w:rPr>
        <w:t xml:space="preserve"> </w:t>
      </w:r>
      <w:r>
        <w:rPr>
          <w:color w:val="231F20"/>
        </w:rPr>
        <w:t>material</w:t>
      </w:r>
      <w:r>
        <w:rPr>
          <w:color w:val="231F20"/>
          <w:spacing w:val="-22"/>
        </w:rPr>
        <w:t xml:space="preserve"> </w:t>
      </w:r>
      <w:r>
        <w:rPr>
          <w:color w:val="231F20"/>
        </w:rPr>
        <w:t>resource</w:t>
      </w:r>
      <w:r>
        <w:rPr>
          <w:color w:val="231F20"/>
          <w:spacing w:val="-22"/>
        </w:rPr>
        <w:t xml:space="preserve"> </w:t>
      </w:r>
      <w:r>
        <w:rPr>
          <w:color w:val="231F20"/>
        </w:rPr>
        <w:t>needs</w:t>
      </w:r>
      <w:r>
        <w:rPr>
          <w:color w:val="231F20"/>
          <w:spacing w:val="-22"/>
        </w:rPr>
        <w:t xml:space="preserve"> </w:t>
      </w:r>
      <w:r>
        <w:rPr>
          <w:color w:val="231F20"/>
        </w:rPr>
        <w:t>include</w:t>
      </w:r>
      <w:r>
        <w:rPr>
          <w:color w:val="231F20"/>
          <w:spacing w:val="-22"/>
        </w:rPr>
        <w:t xml:space="preserve"> </w:t>
      </w:r>
      <w:r>
        <w:rPr>
          <w:color w:val="231F20"/>
        </w:rPr>
        <w:t>upgrades</w:t>
      </w:r>
      <w:r>
        <w:rPr>
          <w:color w:val="231F20"/>
          <w:spacing w:val="-22"/>
        </w:rPr>
        <w:t xml:space="preserve"> </w:t>
      </w:r>
      <w:r>
        <w:rPr>
          <w:color w:val="231F20"/>
        </w:rPr>
        <w:t>and</w:t>
      </w:r>
      <w:r>
        <w:rPr>
          <w:color w:val="231F20"/>
          <w:spacing w:val="-21"/>
        </w:rPr>
        <w:t xml:space="preserve"> </w:t>
      </w:r>
      <w:r>
        <w:rPr>
          <w:color w:val="231F20"/>
        </w:rPr>
        <w:t>refurbished</w:t>
      </w:r>
      <w:r>
        <w:rPr>
          <w:color w:val="231F20"/>
          <w:spacing w:val="-22"/>
        </w:rPr>
        <w:t xml:space="preserve"> </w:t>
      </w:r>
      <w:r>
        <w:rPr>
          <w:color w:val="231F20"/>
        </w:rPr>
        <w:t>health</w:t>
      </w:r>
      <w:r>
        <w:rPr>
          <w:color w:val="231F20"/>
          <w:spacing w:val="-22"/>
        </w:rPr>
        <w:t xml:space="preserve"> </w:t>
      </w:r>
      <w:r>
        <w:rPr>
          <w:color w:val="231F20"/>
        </w:rPr>
        <w:t>facilities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State</w:t>
      </w:r>
      <w:r>
        <w:rPr>
          <w:color w:val="231F20"/>
          <w:spacing w:val="-21"/>
        </w:rPr>
        <w:t xml:space="preserve"> </w:t>
      </w:r>
      <w:r>
        <w:rPr>
          <w:color w:val="231F20"/>
        </w:rPr>
        <w:t>to</w:t>
      </w:r>
      <w:r>
        <w:rPr>
          <w:color w:val="231F20"/>
          <w:spacing w:val="-22"/>
        </w:rPr>
        <w:t xml:space="preserve"> </w:t>
      </w:r>
      <w:r>
        <w:rPr>
          <w:color w:val="231F20"/>
          <w:spacing w:val="-4"/>
        </w:rPr>
        <w:t xml:space="preserve">meet </w:t>
      </w:r>
      <w:r>
        <w:rPr>
          <w:color w:val="231F20"/>
        </w:rPr>
        <w:t xml:space="preserve">the expectations of the populace. However, infrastructural developments that have attracted </w:t>
      </w:r>
      <w:r>
        <w:rPr>
          <w:color w:val="231F20"/>
          <w:spacing w:val="-5"/>
        </w:rPr>
        <w:t xml:space="preserve">the </w:t>
      </w:r>
      <w:r>
        <w:rPr>
          <w:color w:val="231F20"/>
        </w:rPr>
        <w:t>attention</w:t>
      </w:r>
      <w:r>
        <w:rPr>
          <w:color w:val="231F20"/>
          <w:spacing w:val="-19"/>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government</w:t>
      </w:r>
      <w:r>
        <w:rPr>
          <w:color w:val="231F20"/>
          <w:spacing w:val="-18"/>
        </w:rPr>
        <w:t xml:space="preserve"> </w:t>
      </w:r>
      <w:r>
        <w:rPr>
          <w:color w:val="231F20"/>
        </w:rPr>
        <w:t>include;</w:t>
      </w:r>
      <w:r>
        <w:rPr>
          <w:color w:val="231F20"/>
          <w:spacing w:val="-18"/>
        </w:rPr>
        <w:t xml:space="preserve"> </w:t>
      </w:r>
      <w:r>
        <w:rPr>
          <w:color w:val="231F20"/>
        </w:rPr>
        <w:t>the</w:t>
      </w:r>
      <w:r>
        <w:rPr>
          <w:color w:val="231F20"/>
          <w:spacing w:val="-18"/>
        </w:rPr>
        <w:t xml:space="preserve"> </w:t>
      </w:r>
      <w:r>
        <w:rPr>
          <w:color w:val="231F20"/>
        </w:rPr>
        <w:t>Construction</w:t>
      </w:r>
      <w:r>
        <w:rPr>
          <w:color w:val="231F20"/>
          <w:spacing w:val="-18"/>
        </w:rPr>
        <w:t xml:space="preserve"> </w:t>
      </w:r>
      <w:r>
        <w:rPr>
          <w:color w:val="231F20"/>
        </w:rPr>
        <w:t>of</w:t>
      </w:r>
      <w:r>
        <w:rPr>
          <w:color w:val="231F20"/>
          <w:spacing w:val="-18"/>
        </w:rPr>
        <w:t xml:space="preserve"> </w:t>
      </w:r>
      <w:r>
        <w:rPr>
          <w:color w:val="231F20"/>
        </w:rPr>
        <w:t>four</w:t>
      </w:r>
      <w:r>
        <w:rPr>
          <w:color w:val="231F20"/>
          <w:spacing w:val="-18"/>
        </w:rPr>
        <w:t xml:space="preserve"> </w:t>
      </w:r>
      <w:r>
        <w:rPr>
          <w:color w:val="231F20"/>
        </w:rPr>
        <w:t>(4)</w:t>
      </w:r>
      <w:r>
        <w:rPr>
          <w:color w:val="231F20"/>
          <w:spacing w:val="-18"/>
        </w:rPr>
        <w:t xml:space="preserve"> </w:t>
      </w:r>
      <w:r>
        <w:rPr>
          <w:color w:val="231F20"/>
        </w:rPr>
        <w:t>Zonal</w:t>
      </w:r>
      <w:r>
        <w:rPr>
          <w:color w:val="231F20"/>
          <w:spacing w:val="-18"/>
        </w:rPr>
        <w:t xml:space="preserve"> </w:t>
      </w:r>
      <w:r>
        <w:rPr>
          <w:color w:val="231F20"/>
        </w:rPr>
        <w:t>Hospitals,</w:t>
      </w:r>
      <w:r>
        <w:rPr>
          <w:color w:val="231F20"/>
          <w:spacing w:val="-18"/>
        </w:rPr>
        <w:t xml:space="preserve"> </w:t>
      </w:r>
      <w:r>
        <w:rPr>
          <w:color w:val="231F20"/>
        </w:rPr>
        <w:t>Renovation</w:t>
      </w:r>
      <w:r>
        <w:rPr>
          <w:color w:val="231F20"/>
          <w:spacing w:val="-19"/>
        </w:rPr>
        <w:t xml:space="preserve"> </w:t>
      </w:r>
      <w:r>
        <w:rPr>
          <w:color w:val="231F20"/>
        </w:rPr>
        <w:t>of</w:t>
      </w:r>
      <w:r>
        <w:rPr>
          <w:color w:val="231F20"/>
          <w:spacing w:val="-18"/>
        </w:rPr>
        <w:t xml:space="preserve"> </w:t>
      </w:r>
      <w:r>
        <w:rPr>
          <w:color w:val="231F20"/>
        </w:rPr>
        <w:t>13 General</w:t>
      </w:r>
      <w:r>
        <w:rPr>
          <w:color w:val="231F20"/>
          <w:spacing w:val="-17"/>
        </w:rPr>
        <w:t xml:space="preserve"> </w:t>
      </w:r>
      <w:r>
        <w:rPr>
          <w:color w:val="231F20"/>
        </w:rPr>
        <w:t>Hospitals,</w:t>
      </w:r>
      <w:r>
        <w:rPr>
          <w:color w:val="231F20"/>
          <w:spacing w:val="-16"/>
        </w:rPr>
        <w:t xml:space="preserve"> </w:t>
      </w:r>
      <w:r>
        <w:rPr>
          <w:color w:val="231F20"/>
        </w:rPr>
        <w:t>Construction</w:t>
      </w:r>
      <w:r>
        <w:rPr>
          <w:color w:val="231F20"/>
          <w:spacing w:val="-16"/>
        </w:rPr>
        <w:t xml:space="preserve"> </w:t>
      </w:r>
      <w:r>
        <w:rPr>
          <w:color w:val="231F20"/>
        </w:rPr>
        <w:t>of</w:t>
      </w:r>
      <w:r>
        <w:rPr>
          <w:color w:val="231F20"/>
          <w:spacing w:val="-17"/>
        </w:rPr>
        <w:t xml:space="preserve"> </w:t>
      </w:r>
      <w:r>
        <w:rPr>
          <w:color w:val="231F20"/>
        </w:rPr>
        <w:t>Doctors</w:t>
      </w:r>
      <w:r>
        <w:rPr>
          <w:color w:val="231F20"/>
          <w:spacing w:val="-17"/>
        </w:rPr>
        <w:t xml:space="preserve"> </w:t>
      </w:r>
      <w:r>
        <w:rPr>
          <w:color w:val="231F20"/>
        </w:rPr>
        <w:t>Quarters</w:t>
      </w:r>
      <w:r>
        <w:rPr>
          <w:color w:val="231F20"/>
          <w:spacing w:val="-17"/>
        </w:rPr>
        <w:t xml:space="preserve"> </w:t>
      </w:r>
      <w:r>
        <w:rPr>
          <w:color w:val="231F20"/>
        </w:rPr>
        <w:t>at</w:t>
      </w:r>
      <w:r>
        <w:rPr>
          <w:color w:val="231F20"/>
          <w:spacing w:val="-17"/>
        </w:rPr>
        <w:t xml:space="preserve"> </w:t>
      </w:r>
      <w:r>
        <w:rPr>
          <w:color w:val="231F20"/>
        </w:rPr>
        <w:t>RSUTH,</w:t>
      </w:r>
      <w:r>
        <w:rPr>
          <w:color w:val="231F20"/>
          <w:spacing w:val="-17"/>
        </w:rPr>
        <w:t xml:space="preserve"> </w:t>
      </w:r>
      <w:r>
        <w:rPr>
          <w:color w:val="231F20"/>
        </w:rPr>
        <w:t>Construction</w:t>
      </w:r>
      <w:r>
        <w:rPr>
          <w:color w:val="231F20"/>
          <w:spacing w:val="-16"/>
        </w:rPr>
        <w:t xml:space="preserve"> </w:t>
      </w:r>
      <w:r>
        <w:rPr>
          <w:color w:val="231F20"/>
        </w:rPr>
        <w:t>of</w:t>
      </w:r>
      <w:r>
        <w:rPr>
          <w:color w:val="231F20"/>
          <w:spacing w:val="-17"/>
        </w:rPr>
        <w:t xml:space="preserve"> </w:t>
      </w:r>
      <w:r>
        <w:rPr>
          <w:color w:val="231F20"/>
        </w:rPr>
        <w:t>Mother</w:t>
      </w:r>
      <w:r>
        <w:rPr>
          <w:color w:val="231F20"/>
          <w:spacing w:val="-17"/>
        </w:rPr>
        <w:t xml:space="preserve"> </w:t>
      </w:r>
      <w:r>
        <w:rPr>
          <w:color w:val="231F20"/>
        </w:rPr>
        <w:t>and</w:t>
      </w:r>
      <w:r>
        <w:rPr>
          <w:color w:val="231F20"/>
          <w:spacing w:val="-16"/>
        </w:rPr>
        <w:t xml:space="preserve"> </w:t>
      </w:r>
      <w:r>
        <w:rPr>
          <w:color w:val="231F20"/>
        </w:rPr>
        <w:t>Child Hospital,</w:t>
      </w:r>
      <w:r>
        <w:rPr>
          <w:color w:val="231F20"/>
          <w:spacing w:val="-7"/>
        </w:rPr>
        <w:t xml:space="preserve"> </w:t>
      </w:r>
      <w:r>
        <w:rPr>
          <w:color w:val="231F20"/>
        </w:rPr>
        <w:t>the</w:t>
      </w:r>
      <w:r>
        <w:rPr>
          <w:color w:val="231F20"/>
          <w:spacing w:val="-7"/>
        </w:rPr>
        <w:t xml:space="preserve"> </w:t>
      </w:r>
      <w:r>
        <w:rPr>
          <w:color w:val="231F20"/>
        </w:rPr>
        <w:t>purchase</w:t>
      </w:r>
      <w:r>
        <w:rPr>
          <w:color w:val="231F20"/>
          <w:spacing w:val="-6"/>
        </w:rPr>
        <w:t xml:space="preserve"> </w:t>
      </w:r>
      <w:r>
        <w:rPr>
          <w:color w:val="231F20"/>
        </w:rPr>
        <w:t>of</w:t>
      </w:r>
      <w:r>
        <w:rPr>
          <w:color w:val="231F20"/>
          <w:spacing w:val="-7"/>
        </w:rPr>
        <w:t xml:space="preserve"> </w:t>
      </w:r>
      <w:r>
        <w:rPr>
          <w:color w:val="231F20"/>
        </w:rPr>
        <w:t>Gene</w:t>
      </w:r>
      <w:r>
        <w:rPr>
          <w:color w:val="231F20"/>
          <w:spacing w:val="-7"/>
        </w:rPr>
        <w:t xml:space="preserve"> </w:t>
      </w:r>
      <w:proofErr w:type="spellStart"/>
      <w:r>
        <w:rPr>
          <w:color w:val="231F20"/>
        </w:rPr>
        <w:t>Xpert</w:t>
      </w:r>
      <w:proofErr w:type="spellEnd"/>
      <w:r>
        <w:rPr>
          <w:color w:val="231F20"/>
          <w:spacing w:val="-19"/>
        </w:rPr>
        <w:t xml:space="preserve"> </w:t>
      </w:r>
      <w:r>
        <w:rPr>
          <w:color w:val="231F20"/>
        </w:rPr>
        <w:t>Assay</w:t>
      </w:r>
      <w:r>
        <w:rPr>
          <w:color w:val="231F20"/>
          <w:spacing w:val="-7"/>
        </w:rPr>
        <w:t xml:space="preserve"> </w:t>
      </w:r>
      <w:r>
        <w:rPr>
          <w:color w:val="231F20"/>
        </w:rPr>
        <w:t>for</w:t>
      </w:r>
      <w:r>
        <w:rPr>
          <w:color w:val="231F20"/>
          <w:spacing w:val="-6"/>
        </w:rPr>
        <w:t xml:space="preserve"> </w:t>
      </w:r>
      <w:r>
        <w:rPr>
          <w:color w:val="231F20"/>
        </w:rPr>
        <w:t>diagnosis</w:t>
      </w:r>
      <w:r>
        <w:rPr>
          <w:color w:val="231F20"/>
          <w:spacing w:val="-7"/>
        </w:rPr>
        <w:t xml:space="preserve"> </w:t>
      </w:r>
      <w:r>
        <w:rPr>
          <w:color w:val="231F20"/>
        </w:rPr>
        <w:t>of</w:t>
      </w:r>
      <w:r>
        <w:rPr>
          <w:color w:val="231F20"/>
          <w:spacing w:val="-10"/>
        </w:rPr>
        <w:t xml:space="preserve"> </w:t>
      </w:r>
      <w:r>
        <w:rPr>
          <w:color w:val="231F20"/>
        </w:rPr>
        <w:t>Tuberculosis,</w:t>
      </w:r>
      <w:r>
        <w:rPr>
          <w:color w:val="231F20"/>
          <w:spacing w:val="-7"/>
        </w:rPr>
        <w:t xml:space="preserve"> </w:t>
      </w:r>
      <w:r>
        <w:rPr>
          <w:color w:val="231F20"/>
        </w:rPr>
        <w:t>PCR</w:t>
      </w:r>
      <w:r>
        <w:rPr>
          <w:color w:val="231F20"/>
          <w:spacing w:val="-7"/>
        </w:rPr>
        <w:t xml:space="preserve"> </w:t>
      </w:r>
      <w:r>
        <w:rPr>
          <w:color w:val="231F20"/>
        </w:rPr>
        <w:t>Machine</w:t>
      </w:r>
      <w:r>
        <w:rPr>
          <w:color w:val="231F20"/>
          <w:spacing w:val="-6"/>
        </w:rPr>
        <w:t xml:space="preserve"> </w:t>
      </w:r>
      <w:r>
        <w:rPr>
          <w:color w:val="231F20"/>
        </w:rPr>
        <w:t>for</w:t>
      </w:r>
      <w:r>
        <w:rPr>
          <w:color w:val="231F20"/>
          <w:spacing w:val="-7"/>
        </w:rPr>
        <w:t xml:space="preserve"> </w:t>
      </w:r>
      <w:r>
        <w:rPr>
          <w:color w:val="231F20"/>
          <w:spacing w:val="-3"/>
        </w:rPr>
        <w:t xml:space="preserve">viral </w:t>
      </w:r>
      <w:r>
        <w:rPr>
          <w:color w:val="231F20"/>
        </w:rPr>
        <w:t>Load</w:t>
      </w:r>
      <w:r>
        <w:rPr>
          <w:color w:val="231F20"/>
          <w:spacing w:val="-25"/>
        </w:rPr>
        <w:t xml:space="preserve"> </w:t>
      </w:r>
      <w:r>
        <w:rPr>
          <w:color w:val="231F20"/>
        </w:rPr>
        <w:t>Count</w:t>
      </w:r>
      <w:r>
        <w:rPr>
          <w:color w:val="231F20"/>
          <w:spacing w:val="-26"/>
        </w:rPr>
        <w:t xml:space="preserve"> </w:t>
      </w:r>
      <w:r>
        <w:rPr>
          <w:color w:val="231F20"/>
        </w:rPr>
        <w:t>for</w:t>
      </w:r>
      <w:r>
        <w:rPr>
          <w:color w:val="231F20"/>
          <w:spacing w:val="-25"/>
        </w:rPr>
        <w:t xml:space="preserve"> </w:t>
      </w:r>
      <w:r>
        <w:rPr>
          <w:color w:val="231F20"/>
        </w:rPr>
        <w:t>HIV</w:t>
      </w:r>
      <w:r>
        <w:rPr>
          <w:color w:val="231F20"/>
          <w:spacing w:val="-25"/>
        </w:rPr>
        <w:t xml:space="preserve"> </w:t>
      </w:r>
      <w:r>
        <w:rPr>
          <w:color w:val="231F20"/>
        </w:rPr>
        <w:t>for</w:t>
      </w:r>
      <w:r>
        <w:rPr>
          <w:color w:val="231F20"/>
          <w:spacing w:val="-25"/>
        </w:rPr>
        <w:t xml:space="preserve"> </w:t>
      </w:r>
      <w:r>
        <w:rPr>
          <w:color w:val="231F20"/>
        </w:rPr>
        <w:t>RSUTH</w:t>
      </w:r>
      <w:r>
        <w:rPr>
          <w:color w:val="231F20"/>
          <w:spacing w:val="-25"/>
        </w:rPr>
        <w:t xml:space="preserve"> </w:t>
      </w:r>
      <w:r>
        <w:rPr>
          <w:color w:val="231F20"/>
        </w:rPr>
        <w:t>and</w:t>
      </w:r>
      <w:r>
        <w:rPr>
          <w:color w:val="231F20"/>
          <w:spacing w:val="-25"/>
        </w:rPr>
        <w:t xml:space="preserve"> </w:t>
      </w:r>
      <w:r>
        <w:rPr>
          <w:color w:val="231F20"/>
        </w:rPr>
        <w:t>presently</w:t>
      </w:r>
      <w:r>
        <w:rPr>
          <w:color w:val="231F20"/>
          <w:spacing w:val="-25"/>
        </w:rPr>
        <w:t xml:space="preserve"> </w:t>
      </w:r>
      <w:r>
        <w:rPr>
          <w:color w:val="231F20"/>
        </w:rPr>
        <w:t>operational.</w:t>
      </w:r>
    </w:p>
    <w:p w14:paraId="1360A2E9" w14:textId="77777777" w:rsidR="009948F1" w:rsidRDefault="009948F1">
      <w:pPr>
        <w:pStyle w:val="BodyText"/>
        <w:spacing w:before="6"/>
        <w:rPr>
          <w:sz w:val="25"/>
        </w:rPr>
      </w:pPr>
    </w:p>
    <w:p w14:paraId="7D56720C" w14:textId="77777777" w:rsidR="009948F1" w:rsidRDefault="00BC0563">
      <w:pPr>
        <w:pStyle w:val="Heading7"/>
        <w:numPr>
          <w:ilvl w:val="1"/>
          <w:numId w:val="257"/>
        </w:numPr>
        <w:tabs>
          <w:tab w:val="left" w:pos="892"/>
          <w:tab w:val="left" w:pos="893"/>
        </w:tabs>
        <w:ind w:left="892" w:hanging="721"/>
      </w:pPr>
      <w:bookmarkStart w:id="114" w:name="_TOC_250013"/>
      <w:bookmarkEnd w:id="114"/>
      <w:r>
        <w:rPr>
          <w:color w:val="231F20"/>
        </w:rPr>
        <w:t>Financial</w:t>
      </w:r>
    </w:p>
    <w:p w14:paraId="78623968" w14:textId="77777777" w:rsidR="009948F1" w:rsidRDefault="00BC0563">
      <w:pPr>
        <w:pStyle w:val="BodyText"/>
        <w:spacing w:before="48"/>
        <w:ind w:left="172"/>
      </w:pPr>
      <w:r>
        <w:rPr>
          <w:color w:val="231F20"/>
        </w:rPr>
        <w:t>The sources of funding for the healthcare delivery include;</w:t>
      </w:r>
    </w:p>
    <w:p w14:paraId="6B413F24" w14:textId="77777777" w:rsidR="009948F1" w:rsidRDefault="00BC0563">
      <w:pPr>
        <w:pStyle w:val="BodyText"/>
        <w:spacing w:before="32"/>
        <w:ind w:left="532"/>
      </w:pPr>
      <w:r>
        <w:rPr>
          <w:rFonts w:ascii="Symbol" w:hAnsi="Symbol"/>
          <w:color w:val="231F20"/>
          <w:spacing w:val="-248"/>
          <w:w w:val="600"/>
        </w:rPr>
        <w:t></w:t>
      </w:r>
      <w:r>
        <w:rPr>
          <w:color w:val="231F20"/>
          <w:w w:val="99"/>
        </w:rPr>
        <w:t>Federal</w:t>
      </w:r>
      <w:r>
        <w:rPr>
          <w:color w:val="231F20"/>
          <w:spacing w:val="-25"/>
        </w:rPr>
        <w:t xml:space="preserve"> </w:t>
      </w:r>
      <w:r>
        <w:rPr>
          <w:color w:val="231F20"/>
        </w:rPr>
        <w:t>Government</w:t>
      </w:r>
      <w:r>
        <w:rPr>
          <w:color w:val="231F20"/>
          <w:spacing w:val="-25"/>
        </w:rPr>
        <w:t xml:space="preserve"> </w:t>
      </w:r>
      <w:r>
        <w:rPr>
          <w:color w:val="231F20"/>
        </w:rPr>
        <w:t>of</w:t>
      </w:r>
      <w:r>
        <w:rPr>
          <w:color w:val="231F20"/>
          <w:spacing w:val="-25"/>
        </w:rPr>
        <w:t xml:space="preserve"> </w:t>
      </w:r>
      <w:r>
        <w:rPr>
          <w:color w:val="231F20"/>
          <w:w w:val="99"/>
        </w:rPr>
        <w:t>Nigeria</w:t>
      </w:r>
    </w:p>
    <w:p w14:paraId="41204BBA" w14:textId="77777777" w:rsidR="009948F1" w:rsidRDefault="00BC0563">
      <w:pPr>
        <w:pStyle w:val="BodyText"/>
        <w:spacing w:before="31"/>
        <w:ind w:left="532"/>
      </w:pPr>
      <w:r>
        <w:rPr>
          <w:rFonts w:ascii="Symbol" w:hAnsi="Symbol"/>
          <w:color w:val="231F20"/>
          <w:spacing w:val="-248"/>
          <w:w w:val="600"/>
        </w:rPr>
        <w:t></w:t>
      </w:r>
      <w:r>
        <w:rPr>
          <w:color w:val="231F20"/>
          <w:w w:val="99"/>
        </w:rPr>
        <w:t>Rivers</w:t>
      </w:r>
      <w:r>
        <w:rPr>
          <w:color w:val="231F20"/>
          <w:spacing w:val="-25"/>
        </w:rPr>
        <w:t xml:space="preserve"> </w:t>
      </w:r>
      <w:r>
        <w:rPr>
          <w:color w:val="231F20"/>
        </w:rPr>
        <w:t>State</w:t>
      </w:r>
      <w:r>
        <w:rPr>
          <w:color w:val="231F20"/>
          <w:spacing w:val="-25"/>
        </w:rPr>
        <w:t xml:space="preserve"> </w:t>
      </w:r>
      <w:r>
        <w:rPr>
          <w:color w:val="231F20"/>
        </w:rPr>
        <w:t>Government</w:t>
      </w:r>
    </w:p>
    <w:p w14:paraId="0F05FDF5" w14:textId="77777777" w:rsidR="009948F1" w:rsidRDefault="00BC0563">
      <w:pPr>
        <w:pStyle w:val="BodyText"/>
        <w:spacing w:before="31"/>
        <w:ind w:left="532"/>
      </w:pPr>
      <w:r>
        <w:rPr>
          <w:rFonts w:ascii="Symbol" w:hAnsi="Symbol"/>
          <w:color w:val="231F20"/>
          <w:spacing w:val="-248"/>
          <w:w w:val="600"/>
        </w:rPr>
        <w:t></w:t>
      </w:r>
      <w:r>
        <w:rPr>
          <w:color w:val="231F20"/>
        </w:rPr>
        <w:t>LGA</w:t>
      </w:r>
    </w:p>
    <w:p w14:paraId="73EC5C3E" w14:textId="77777777" w:rsidR="009948F1" w:rsidRDefault="009948F1">
      <w:pPr>
        <w:sectPr w:rsidR="009948F1">
          <w:pgSz w:w="11910" w:h="16840"/>
          <w:pgMar w:top="1360" w:right="1080" w:bottom="1420" w:left="1120" w:header="0" w:footer="1235" w:gutter="0"/>
          <w:cols w:space="720"/>
        </w:sectPr>
      </w:pPr>
    </w:p>
    <w:p w14:paraId="4D9BB839" w14:textId="77777777" w:rsidR="009948F1" w:rsidRDefault="00BC0563">
      <w:pPr>
        <w:pStyle w:val="BodyText"/>
        <w:spacing w:before="49"/>
        <w:ind w:left="520"/>
        <w:jc w:val="both"/>
      </w:pPr>
      <w:bookmarkStart w:id="115" w:name="Page_97"/>
      <w:bookmarkEnd w:id="115"/>
      <w:r>
        <w:rPr>
          <w:rFonts w:ascii="Symbol" w:hAnsi="Symbol"/>
          <w:color w:val="231F20"/>
          <w:spacing w:val="-248"/>
          <w:w w:val="600"/>
        </w:rPr>
        <w:lastRenderedPageBreak/>
        <w:t></w:t>
      </w:r>
      <w:r>
        <w:rPr>
          <w:color w:val="231F20"/>
          <w:w w:val="99"/>
        </w:rPr>
        <w:t>Social</w:t>
      </w:r>
      <w:r>
        <w:rPr>
          <w:color w:val="231F20"/>
          <w:spacing w:val="-25"/>
        </w:rPr>
        <w:t xml:space="preserve"> </w:t>
      </w:r>
      <w:r>
        <w:rPr>
          <w:color w:val="231F20"/>
          <w:w w:val="99"/>
        </w:rPr>
        <w:t>contribution</w:t>
      </w:r>
      <w:r>
        <w:rPr>
          <w:color w:val="231F20"/>
          <w:spacing w:val="-25"/>
        </w:rPr>
        <w:t xml:space="preserve"> </w:t>
      </w:r>
      <w:r>
        <w:rPr>
          <w:color w:val="231F20"/>
        </w:rPr>
        <w:t>for</w:t>
      </w:r>
      <w:r>
        <w:rPr>
          <w:color w:val="231F20"/>
          <w:spacing w:val="-25"/>
        </w:rPr>
        <w:t xml:space="preserve"> </w:t>
      </w:r>
      <w:r>
        <w:rPr>
          <w:color w:val="231F20"/>
          <w:w w:val="99"/>
        </w:rPr>
        <w:t>Health</w:t>
      </w:r>
      <w:r>
        <w:rPr>
          <w:color w:val="231F20"/>
          <w:spacing w:val="-25"/>
        </w:rPr>
        <w:t xml:space="preserve"> </w:t>
      </w:r>
      <w:r>
        <w:rPr>
          <w:color w:val="231F20"/>
          <w:w w:val="99"/>
        </w:rPr>
        <w:t>insurance</w:t>
      </w:r>
    </w:p>
    <w:p w14:paraId="69F74CBA" w14:textId="77777777" w:rsidR="009948F1" w:rsidRDefault="00BC0563">
      <w:pPr>
        <w:pStyle w:val="BodyText"/>
        <w:spacing w:before="77"/>
        <w:ind w:left="520"/>
        <w:jc w:val="both"/>
      </w:pPr>
      <w:r>
        <w:rPr>
          <w:rFonts w:ascii="Symbol" w:hAnsi="Symbol"/>
          <w:color w:val="231F20"/>
          <w:spacing w:val="-248"/>
          <w:w w:val="600"/>
        </w:rPr>
        <w:t></w:t>
      </w:r>
      <w:r>
        <w:rPr>
          <w:color w:val="231F20"/>
          <w:w w:val="99"/>
        </w:rPr>
        <w:t>Development</w:t>
      </w:r>
      <w:r>
        <w:rPr>
          <w:color w:val="231F20"/>
          <w:spacing w:val="-25"/>
        </w:rPr>
        <w:t xml:space="preserve"> </w:t>
      </w:r>
      <w:r>
        <w:rPr>
          <w:color w:val="231F20"/>
        </w:rPr>
        <w:t>partners,</w:t>
      </w:r>
      <w:r>
        <w:rPr>
          <w:color w:val="231F20"/>
          <w:spacing w:val="-25"/>
        </w:rPr>
        <w:t xml:space="preserve"> </w:t>
      </w:r>
      <w:r>
        <w:rPr>
          <w:color w:val="231F20"/>
          <w:w w:val="99"/>
        </w:rPr>
        <w:t>include:</w:t>
      </w:r>
    </w:p>
    <w:p w14:paraId="4F477C99" w14:textId="77777777" w:rsidR="009948F1" w:rsidRDefault="00BC0563">
      <w:pPr>
        <w:pStyle w:val="ListParagraph"/>
        <w:numPr>
          <w:ilvl w:val="0"/>
          <w:numId w:val="256"/>
        </w:numPr>
        <w:tabs>
          <w:tab w:val="left" w:pos="1601"/>
        </w:tabs>
        <w:spacing w:before="91"/>
        <w:ind w:hanging="378"/>
      </w:pPr>
      <w:r>
        <w:rPr>
          <w:color w:val="231F20"/>
        </w:rPr>
        <w:t>The World</w:t>
      </w:r>
      <w:r>
        <w:rPr>
          <w:color w:val="231F20"/>
          <w:spacing w:val="-51"/>
        </w:rPr>
        <w:t xml:space="preserve"> </w:t>
      </w:r>
      <w:r>
        <w:rPr>
          <w:color w:val="231F20"/>
        </w:rPr>
        <w:t>Bank</w:t>
      </w:r>
    </w:p>
    <w:p w14:paraId="0483CB2F" w14:textId="77777777" w:rsidR="009948F1" w:rsidRDefault="00BC0563">
      <w:pPr>
        <w:pStyle w:val="ListParagraph"/>
        <w:numPr>
          <w:ilvl w:val="0"/>
          <w:numId w:val="256"/>
        </w:numPr>
        <w:tabs>
          <w:tab w:val="left" w:pos="1601"/>
        </w:tabs>
        <w:spacing w:before="106"/>
        <w:ind w:hanging="361"/>
      </w:pPr>
      <w:r>
        <w:rPr>
          <w:color w:val="231F20"/>
        </w:rPr>
        <w:t>World</w:t>
      </w:r>
      <w:r>
        <w:rPr>
          <w:color w:val="231F20"/>
          <w:spacing w:val="-26"/>
        </w:rPr>
        <w:t xml:space="preserve"> </w:t>
      </w:r>
      <w:r>
        <w:rPr>
          <w:color w:val="231F20"/>
        </w:rPr>
        <w:t>Health</w:t>
      </w:r>
      <w:r>
        <w:rPr>
          <w:color w:val="231F20"/>
          <w:spacing w:val="-25"/>
        </w:rPr>
        <w:t xml:space="preserve"> </w:t>
      </w:r>
      <w:r>
        <w:rPr>
          <w:color w:val="231F20"/>
        </w:rPr>
        <w:t>Organization</w:t>
      </w:r>
      <w:r>
        <w:rPr>
          <w:color w:val="231F20"/>
          <w:spacing w:val="-25"/>
        </w:rPr>
        <w:t xml:space="preserve"> </w:t>
      </w:r>
      <w:r>
        <w:rPr>
          <w:color w:val="231F20"/>
        </w:rPr>
        <w:t>(WHO)</w:t>
      </w:r>
    </w:p>
    <w:p w14:paraId="4F167622" w14:textId="77777777" w:rsidR="009948F1" w:rsidRDefault="00BC0563">
      <w:pPr>
        <w:pStyle w:val="ListParagraph"/>
        <w:numPr>
          <w:ilvl w:val="0"/>
          <w:numId w:val="256"/>
        </w:numPr>
        <w:tabs>
          <w:tab w:val="left" w:pos="1601"/>
        </w:tabs>
        <w:spacing w:before="106" w:line="350" w:lineRule="auto"/>
        <w:ind w:right="176" w:hanging="360"/>
      </w:pPr>
      <w:r>
        <w:rPr>
          <w:color w:val="231F20"/>
        </w:rPr>
        <w:t xml:space="preserve">Family Health International (FHI360) a National and International USAIDs funded project in collaboration with SIDHAS and Deloitte Consortium work in the area </w:t>
      </w:r>
      <w:r>
        <w:rPr>
          <w:color w:val="231F20"/>
          <w:spacing w:val="-6"/>
        </w:rPr>
        <w:t xml:space="preserve">of </w:t>
      </w:r>
      <w:r>
        <w:rPr>
          <w:color w:val="231F20"/>
        </w:rPr>
        <w:t>Health</w:t>
      </w:r>
      <w:r>
        <w:rPr>
          <w:color w:val="231F20"/>
          <w:spacing w:val="-25"/>
        </w:rPr>
        <w:t xml:space="preserve"> </w:t>
      </w:r>
      <w:r>
        <w:rPr>
          <w:color w:val="231F20"/>
        </w:rPr>
        <w:t>Systems</w:t>
      </w:r>
      <w:r>
        <w:rPr>
          <w:color w:val="231F20"/>
          <w:spacing w:val="-25"/>
        </w:rPr>
        <w:t xml:space="preserve"> </w:t>
      </w:r>
      <w:r>
        <w:rPr>
          <w:color w:val="231F20"/>
        </w:rPr>
        <w:t>Strengthening</w:t>
      </w:r>
      <w:r>
        <w:rPr>
          <w:color w:val="231F20"/>
          <w:spacing w:val="-25"/>
        </w:rPr>
        <w:t xml:space="preserve"> </w:t>
      </w:r>
      <w:r>
        <w:rPr>
          <w:color w:val="231F20"/>
        </w:rPr>
        <w:t>and</w:t>
      </w:r>
      <w:r>
        <w:rPr>
          <w:color w:val="231F20"/>
          <w:spacing w:val="-24"/>
        </w:rPr>
        <w:t xml:space="preserve"> </w:t>
      </w:r>
      <w:r>
        <w:rPr>
          <w:color w:val="231F20"/>
        </w:rPr>
        <w:t>Organizational</w:t>
      </w:r>
      <w:r>
        <w:rPr>
          <w:color w:val="231F20"/>
          <w:spacing w:val="-25"/>
        </w:rPr>
        <w:t xml:space="preserve"> </w:t>
      </w:r>
      <w:r>
        <w:rPr>
          <w:color w:val="231F20"/>
        </w:rPr>
        <w:t>Capacity</w:t>
      </w:r>
      <w:r>
        <w:rPr>
          <w:color w:val="231F20"/>
          <w:spacing w:val="-25"/>
        </w:rPr>
        <w:t xml:space="preserve"> </w:t>
      </w:r>
      <w:r>
        <w:rPr>
          <w:color w:val="231F20"/>
        </w:rPr>
        <w:t>Development</w:t>
      </w:r>
      <w:r>
        <w:rPr>
          <w:color w:val="231F20"/>
          <w:spacing w:val="-24"/>
        </w:rPr>
        <w:t xml:space="preserve"> </w:t>
      </w:r>
      <w:r>
        <w:rPr>
          <w:color w:val="231F20"/>
        </w:rPr>
        <w:t>including HIV/AIDS,</w:t>
      </w:r>
      <w:r>
        <w:rPr>
          <w:color w:val="231F20"/>
          <w:spacing w:val="-25"/>
        </w:rPr>
        <w:t xml:space="preserve"> </w:t>
      </w:r>
      <w:r>
        <w:rPr>
          <w:color w:val="231F20"/>
        </w:rPr>
        <w:t>and</w:t>
      </w:r>
      <w:r>
        <w:rPr>
          <w:color w:val="231F20"/>
          <w:spacing w:val="-25"/>
        </w:rPr>
        <w:t xml:space="preserve"> </w:t>
      </w:r>
      <w:r>
        <w:rPr>
          <w:color w:val="231F20"/>
        </w:rPr>
        <w:t>PMTCT</w:t>
      </w:r>
      <w:r>
        <w:rPr>
          <w:color w:val="231F20"/>
          <w:spacing w:val="-29"/>
        </w:rPr>
        <w:t xml:space="preserve"> </w:t>
      </w:r>
      <w:r>
        <w:rPr>
          <w:color w:val="231F20"/>
        </w:rPr>
        <w:t>services.</w:t>
      </w:r>
    </w:p>
    <w:p w14:paraId="2BBEC8B3" w14:textId="77777777" w:rsidR="009948F1" w:rsidRDefault="00BC0563">
      <w:pPr>
        <w:pStyle w:val="ListParagraph"/>
        <w:numPr>
          <w:ilvl w:val="0"/>
          <w:numId w:val="256"/>
        </w:numPr>
        <w:tabs>
          <w:tab w:val="left" w:pos="1601"/>
        </w:tabs>
        <w:spacing w:before="16" w:line="345" w:lineRule="auto"/>
        <w:ind w:right="176" w:hanging="360"/>
      </w:pPr>
      <w:r>
        <w:rPr>
          <w:color w:val="231F20"/>
        </w:rPr>
        <w:t>Society</w:t>
      </w:r>
      <w:r>
        <w:rPr>
          <w:color w:val="231F20"/>
          <w:spacing w:val="-13"/>
        </w:rPr>
        <w:t xml:space="preserve"> </w:t>
      </w:r>
      <w:r>
        <w:rPr>
          <w:color w:val="231F20"/>
        </w:rPr>
        <w:t>for</w:t>
      </w:r>
      <w:r>
        <w:rPr>
          <w:color w:val="231F20"/>
          <w:spacing w:val="-12"/>
        </w:rPr>
        <w:t xml:space="preserve"> </w:t>
      </w:r>
      <w:r>
        <w:rPr>
          <w:color w:val="231F20"/>
        </w:rPr>
        <w:t>Family</w:t>
      </w:r>
      <w:r>
        <w:rPr>
          <w:color w:val="231F20"/>
          <w:spacing w:val="-12"/>
        </w:rPr>
        <w:t xml:space="preserve"> </w:t>
      </w:r>
      <w:r>
        <w:rPr>
          <w:color w:val="231F20"/>
        </w:rPr>
        <w:t>Health</w:t>
      </w:r>
      <w:r>
        <w:rPr>
          <w:color w:val="231F20"/>
          <w:spacing w:val="-12"/>
        </w:rPr>
        <w:t xml:space="preserve"> </w:t>
      </w:r>
      <w:r>
        <w:rPr>
          <w:color w:val="231F20"/>
        </w:rPr>
        <w:t>(SFH)</w:t>
      </w:r>
      <w:r>
        <w:rPr>
          <w:color w:val="231F20"/>
          <w:spacing w:val="-12"/>
        </w:rPr>
        <w:t xml:space="preserve"> </w:t>
      </w:r>
      <w:r>
        <w:rPr>
          <w:color w:val="231F20"/>
        </w:rPr>
        <w:t>a</w:t>
      </w:r>
      <w:r>
        <w:rPr>
          <w:color w:val="231F20"/>
          <w:spacing w:val="-13"/>
        </w:rPr>
        <w:t xml:space="preserve"> </w:t>
      </w:r>
      <w:r>
        <w:rPr>
          <w:color w:val="231F20"/>
        </w:rPr>
        <w:t>National</w:t>
      </w:r>
      <w:r>
        <w:rPr>
          <w:color w:val="231F20"/>
          <w:spacing w:val="-12"/>
        </w:rPr>
        <w:t xml:space="preserve"> </w:t>
      </w:r>
      <w:r>
        <w:rPr>
          <w:color w:val="231F20"/>
        </w:rPr>
        <w:t>NGO</w:t>
      </w:r>
      <w:r>
        <w:rPr>
          <w:color w:val="231F20"/>
          <w:spacing w:val="-12"/>
        </w:rPr>
        <w:t xml:space="preserve"> </w:t>
      </w:r>
      <w:r>
        <w:rPr>
          <w:color w:val="231F20"/>
        </w:rPr>
        <w:t>with</w:t>
      </w:r>
      <w:r>
        <w:rPr>
          <w:color w:val="231F20"/>
          <w:spacing w:val="-12"/>
        </w:rPr>
        <w:t xml:space="preserve"> </w:t>
      </w:r>
      <w:r>
        <w:rPr>
          <w:color w:val="231F20"/>
        </w:rPr>
        <w:t>funding</w:t>
      </w:r>
      <w:r>
        <w:rPr>
          <w:color w:val="231F20"/>
          <w:spacing w:val="-12"/>
        </w:rPr>
        <w:t xml:space="preserve"> </w:t>
      </w:r>
      <w:r>
        <w:rPr>
          <w:color w:val="231F20"/>
        </w:rPr>
        <w:t>from</w:t>
      </w:r>
      <w:r>
        <w:rPr>
          <w:color w:val="231F20"/>
          <w:spacing w:val="-12"/>
        </w:rPr>
        <w:t xml:space="preserve"> </w:t>
      </w:r>
      <w:r>
        <w:rPr>
          <w:color w:val="231F20"/>
        </w:rPr>
        <w:t>USAID,</w:t>
      </w:r>
      <w:r>
        <w:rPr>
          <w:color w:val="231F20"/>
          <w:spacing w:val="-13"/>
        </w:rPr>
        <w:t xml:space="preserve"> </w:t>
      </w:r>
      <w:r>
        <w:rPr>
          <w:color w:val="231F20"/>
        </w:rPr>
        <w:t>focuses on Female Sex Workers (FSWs) Brothel based and Non-Brothel based, Intravenous</w:t>
      </w:r>
      <w:r>
        <w:rPr>
          <w:color w:val="231F20"/>
          <w:spacing w:val="-25"/>
        </w:rPr>
        <w:t xml:space="preserve"> </w:t>
      </w:r>
      <w:r>
        <w:rPr>
          <w:color w:val="231F20"/>
        </w:rPr>
        <w:t>Drug</w:t>
      </w:r>
      <w:r>
        <w:rPr>
          <w:color w:val="231F20"/>
          <w:spacing w:val="-25"/>
        </w:rPr>
        <w:t xml:space="preserve"> </w:t>
      </w:r>
      <w:r>
        <w:rPr>
          <w:color w:val="231F20"/>
        </w:rPr>
        <w:t>Users</w:t>
      </w:r>
      <w:r>
        <w:rPr>
          <w:color w:val="231F20"/>
          <w:spacing w:val="-25"/>
        </w:rPr>
        <w:t xml:space="preserve"> </w:t>
      </w:r>
      <w:r>
        <w:rPr>
          <w:color w:val="231F20"/>
        </w:rPr>
        <w:t>(IDUs).</w:t>
      </w:r>
    </w:p>
    <w:p w14:paraId="51264668" w14:textId="77777777" w:rsidR="009948F1" w:rsidRDefault="00BC0563">
      <w:pPr>
        <w:pStyle w:val="ListParagraph"/>
        <w:numPr>
          <w:ilvl w:val="0"/>
          <w:numId w:val="256"/>
        </w:numPr>
        <w:tabs>
          <w:tab w:val="left" w:pos="1601"/>
        </w:tabs>
        <w:spacing w:before="22" w:line="333" w:lineRule="auto"/>
        <w:ind w:right="176" w:hanging="360"/>
      </w:pPr>
      <w:r>
        <w:rPr>
          <w:color w:val="231F20"/>
        </w:rPr>
        <w:t>Heathland Alliance International (HAI) focuses on Men Who Have Sex with Men (MSM) and</w:t>
      </w:r>
      <w:r>
        <w:rPr>
          <w:color w:val="231F20"/>
          <w:spacing w:val="-50"/>
        </w:rPr>
        <w:t xml:space="preserve"> </w:t>
      </w:r>
      <w:r>
        <w:rPr>
          <w:color w:val="231F20"/>
        </w:rPr>
        <w:t>FSWs.</w:t>
      </w:r>
    </w:p>
    <w:p w14:paraId="4467D348" w14:textId="77777777" w:rsidR="009948F1" w:rsidRDefault="00BC0563">
      <w:pPr>
        <w:pStyle w:val="ListParagraph"/>
        <w:numPr>
          <w:ilvl w:val="0"/>
          <w:numId w:val="256"/>
        </w:numPr>
        <w:tabs>
          <w:tab w:val="left" w:pos="1601"/>
        </w:tabs>
        <w:spacing w:before="34" w:line="345" w:lineRule="auto"/>
        <w:ind w:right="176" w:hanging="360"/>
      </w:pPr>
      <w:r>
        <w:rPr>
          <w:color w:val="231F20"/>
        </w:rPr>
        <w:t>Association for Reproductive and Family Health (ARFH) also a USAID funded project</w:t>
      </w:r>
      <w:r>
        <w:rPr>
          <w:color w:val="231F20"/>
          <w:spacing w:val="-9"/>
        </w:rPr>
        <w:t xml:space="preserve"> </w:t>
      </w:r>
      <w:r>
        <w:rPr>
          <w:color w:val="231F20"/>
        </w:rPr>
        <w:t>concentrates</w:t>
      </w:r>
      <w:r>
        <w:rPr>
          <w:color w:val="231F20"/>
          <w:spacing w:val="-7"/>
        </w:rPr>
        <w:t xml:space="preserve"> </w:t>
      </w:r>
      <w:r>
        <w:rPr>
          <w:color w:val="231F20"/>
        </w:rPr>
        <w:t>on</w:t>
      </w:r>
      <w:r>
        <w:rPr>
          <w:color w:val="231F20"/>
          <w:spacing w:val="-8"/>
        </w:rPr>
        <w:t xml:space="preserve"> </w:t>
      </w:r>
      <w:r>
        <w:rPr>
          <w:color w:val="231F20"/>
        </w:rPr>
        <w:t>Orphan</w:t>
      </w:r>
      <w:r>
        <w:rPr>
          <w:color w:val="231F20"/>
          <w:spacing w:val="-8"/>
        </w:rPr>
        <w:t xml:space="preserve"> </w:t>
      </w:r>
      <w:r>
        <w:rPr>
          <w:color w:val="231F20"/>
        </w:rPr>
        <w:t>and</w:t>
      </w:r>
      <w:r>
        <w:rPr>
          <w:color w:val="231F20"/>
          <w:spacing w:val="-9"/>
        </w:rPr>
        <w:t xml:space="preserve"> </w:t>
      </w:r>
      <w:r>
        <w:rPr>
          <w:color w:val="231F20"/>
        </w:rPr>
        <w:t>Vulnerable</w:t>
      </w:r>
      <w:r>
        <w:rPr>
          <w:color w:val="231F20"/>
          <w:spacing w:val="-7"/>
        </w:rPr>
        <w:t xml:space="preserve"> </w:t>
      </w:r>
      <w:r>
        <w:rPr>
          <w:color w:val="231F20"/>
        </w:rPr>
        <w:t>Children</w:t>
      </w:r>
      <w:r>
        <w:rPr>
          <w:color w:val="231F20"/>
          <w:spacing w:val="-7"/>
        </w:rPr>
        <w:t xml:space="preserve"> </w:t>
      </w:r>
      <w:r>
        <w:rPr>
          <w:color w:val="231F20"/>
        </w:rPr>
        <w:t>(OVC).</w:t>
      </w:r>
      <w:r>
        <w:rPr>
          <w:color w:val="231F20"/>
          <w:spacing w:val="-12"/>
        </w:rPr>
        <w:t xml:space="preserve"> </w:t>
      </w:r>
      <w:r>
        <w:rPr>
          <w:color w:val="231F20"/>
        </w:rPr>
        <w:t>This</w:t>
      </w:r>
      <w:r>
        <w:rPr>
          <w:color w:val="231F20"/>
          <w:spacing w:val="-8"/>
        </w:rPr>
        <w:t xml:space="preserve"> </w:t>
      </w:r>
      <w:r>
        <w:rPr>
          <w:color w:val="231F20"/>
        </w:rPr>
        <w:t>organization works</w:t>
      </w:r>
      <w:r>
        <w:rPr>
          <w:color w:val="231F20"/>
          <w:spacing w:val="-26"/>
        </w:rPr>
        <w:t xml:space="preserve"> </w:t>
      </w:r>
      <w:r>
        <w:rPr>
          <w:color w:val="231F20"/>
        </w:rPr>
        <w:t>with</w:t>
      </w:r>
      <w:r>
        <w:rPr>
          <w:color w:val="231F20"/>
          <w:spacing w:val="-25"/>
        </w:rPr>
        <w:t xml:space="preserve"> </w:t>
      </w:r>
      <w:r>
        <w:rPr>
          <w:color w:val="231F20"/>
        </w:rPr>
        <w:t>identified</w:t>
      </w:r>
      <w:r>
        <w:rPr>
          <w:color w:val="231F20"/>
          <w:spacing w:val="-25"/>
        </w:rPr>
        <w:t xml:space="preserve"> </w:t>
      </w:r>
      <w:r>
        <w:rPr>
          <w:color w:val="231F20"/>
        </w:rPr>
        <w:t>Community</w:t>
      </w:r>
      <w:r>
        <w:rPr>
          <w:color w:val="231F20"/>
          <w:spacing w:val="-25"/>
        </w:rPr>
        <w:t xml:space="preserve"> </w:t>
      </w:r>
      <w:r>
        <w:rPr>
          <w:color w:val="231F20"/>
        </w:rPr>
        <w:t>Based</w:t>
      </w:r>
      <w:r>
        <w:rPr>
          <w:color w:val="231F20"/>
          <w:spacing w:val="-25"/>
        </w:rPr>
        <w:t xml:space="preserve"> </w:t>
      </w:r>
      <w:r>
        <w:rPr>
          <w:color w:val="231F20"/>
        </w:rPr>
        <w:t>Organization</w:t>
      </w:r>
      <w:r>
        <w:rPr>
          <w:color w:val="231F20"/>
          <w:spacing w:val="-25"/>
        </w:rPr>
        <w:t xml:space="preserve"> </w:t>
      </w:r>
      <w:r>
        <w:rPr>
          <w:color w:val="231F20"/>
        </w:rPr>
        <w:t>(CBOs)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5E214047" w14:textId="77777777" w:rsidR="009948F1" w:rsidRDefault="00BC0563">
      <w:pPr>
        <w:pStyle w:val="ListParagraph"/>
        <w:numPr>
          <w:ilvl w:val="0"/>
          <w:numId w:val="256"/>
        </w:numPr>
        <w:tabs>
          <w:tab w:val="left" w:pos="1601"/>
        </w:tabs>
        <w:spacing w:before="22" w:line="333" w:lineRule="auto"/>
        <w:ind w:right="176" w:hanging="360"/>
      </w:pPr>
      <w:r>
        <w:rPr>
          <w:color w:val="231F20"/>
        </w:rPr>
        <w:t>Health Strategy and Delivery Foundation (HSDF) supports Early Infant Diagnosis (EID)</w:t>
      </w:r>
      <w:r>
        <w:rPr>
          <w:color w:val="231F20"/>
          <w:spacing w:val="-25"/>
        </w:rPr>
        <w:t xml:space="preserve"> </w:t>
      </w:r>
      <w:r>
        <w:rPr>
          <w:color w:val="231F20"/>
        </w:rPr>
        <w:t>services</w:t>
      </w:r>
      <w:r>
        <w:rPr>
          <w:color w:val="231F20"/>
          <w:spacing w:val="-25"/>
        </w:rPr>
        <w:t xml:space="preserve"> </w:t>
      </w:r>
      <w:r>
        <w:rPr>
          <w:color w:val="231F20"/>
        </w:rPr>
        <w:t>a</w:t>
      </w:r>
      <w:r>
        <w:rPr>
          <w:color w:val="231F20"/>
          <w:spacing w:val="-25"/>
        </w:rPr>
        <w:t xml:space="preserve"> </w:t>
      </w:r>
      <w:r>
        <w:rPr>
          <w:color w:val="231F20"/>
        </w:rPr>
        <w:t>subset</w:t>
      </w:r>
      <w:r>
        <w:rPr>
          <w:color w:val="231F20"/>
          <w:spacing w:val="-25"/>
        </w:rPr>
        <w:t xml:space="preserve"> </w:t>
      </w:r>
      <w:r>
        <w:rPr>
          <w:color w:val="231F20"/>
        </w:rPr>
        <w:t>of</w:t>
      </w:r>
      <w:r>
        <w:rPr>
          <w:color w:val="231F20"/>
          <w:spacing w:val="-25"/>
        </w:rPr>
        <w:t xml:space="preserve"> </w:t>
      </w:r>
      <w:r>
        <w:rPr>
          <w:color w:val="231F20"/>
          <w:spacing w:val="-5"/>
        </w:rPr>
        <w:t>PMTCT.</w:t>
      </w:r>
    </w:p>
    <w:p w14:paraId="3CABDCCD" w14:textId="77777777" w:rsidR="009948F1" w:rsidRDefault="00BC0563">
      <w:pPr>
        <w:pStyle w:val="ListParagraph"/>
        <w:numPr>
          <w:ilvl w:val="0"/>
          <w:numId w:val="256"/>
        </w:numPr>
        <w:tabs>
          <w:tab w:val="left" w:pos="1601"/>
        </w:tabs>
        <w:spacing w:before="34" w:line="345" w:lineRule="auto"/>
        <w:ind w:right="176" w:hanging="360"/>
      </w:pPr>
      <w:r>
        <w:rPr>
          <w:color w:val="231F20"/>
        </w:rPr>
        <w:t>USAID/Health Finance and Governance (HFG), funded by DFID focuses on strengthening systems and providing technical assistance in Domestic Resource Mobilization</w:t>
      </w:r>
      <w:r>
        <w:rPr>
          <w:color w:val="231F20"/>
          <w:spacing w:val="-25"/>
        </w:rPr>
        <w:t xml:space="preserve"> </w:t>
      </w:r>
      <w:r>
        <w:rPr>
          <w:color w:val="231F20"/>
        </w:rPr>
        <w:t>for</w:t>
      </w:r>
      <w:r>
        <w:rPr>
          <w:color w:val="231F20"/>
          <w:spacing w:val="-26"/>
        </w:rPr>
        <w:t xml:space="preserve"> </w:t>
      </w:r>
      <w:r>
        <w:rPr>
          <w:color w:val="231F20"/>
        </w:rPr>
        <w:t>Sustainability</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sector</w:t>
      </w:r>
      <w:r>
        <w:rPr>
          <w:color w:val="231F20"/>
          <w:spacing w:val="-25"/>
        </w:rPr>
        <w:t xml:space="preserve"> </w:t>
      </w:r>
      <w:r>
        <w:rPr>
          <w:color w:val="231F20"/>
        </w:rPr>
        <w:t>response.</w:t>
      </w:r>
    </w:p>
    <w:p w14:paraId="28428BBA" w14:textId="77777777" w:rsidR="009948F1" w:rsidRDefault="00BC0563">
      <w:pPr>
        <w:pStyle w:val="ListParagraph"/>
        <w:numPr>
          <w:ilvl w:val="0"/>
          <w:numId w:val="256"/>
        </w:numPr>
        <w:tabs>
          <w:tab w:val="left" w:pos="1601"/>
        </w:tabs>
        <w:spacing w:before="23" w:line="350" w:lineRule="auto"/>
        <w:ind w:left="1599" w:right="176" w:hanging="360"/>
      </w:pPr>
      <w:r>
        <w:rPr>
          <w:color w:val="231F20"/>
        </w:rPr>
        <w:t>Civil Society Coordination in the form of Constituent Coordinating Entities (CCEs) which includes Civil Society Network for HIV and AIDS in Nigeria (</w:t>
      </w:r>
      <w:proofErr w:type="spellStart"/>
      <w:r>
        <w:rPr>
          <w:color w:val="231F20"/>
        </w:rPr>
        <w:t>CiSHAN</w:t>
      </w:r>
      <w:proofErr w:type="spellEnd"/>
      <w:r>
        <w:rPr>
          <w:color w:val="231F20"/>
        </w:rPr>
        <w:t xml:space="preserve">) and Network of People Living with HIV/AIDS (NEPWHAN), Association of Positive </w:t>
      </w:r>
      <w:r>
        <w:rPr>
          <w:color w:val="231F20"/>
          <w:spacing w:val="-4"/>
        </w:rPr>
        <w:t>Youths</w:t>
      </w:r>
      <w:r>
        <w:rPr>
          <w:color w:val="231F20"/>
          <w:spacing w:val="-26"/>
        </w:rPr>
        <w:t xml:space="preserve"> </w:t>
      </w:r>
      <w:r>
        <w:rPr>
          <w:color w:val="231F20"/>
        </w:rPr>
        <w:t>in</w:t>
      </w:r>
      <w:r>
        <w:rPr>
          <w:color w:val="231F20"/>
          <w:spacing w:val="-25"/>
        </w:rPr>
        <w:t xml:space="preserve"> </w:t>
      </w:r>
      <w:r>
        <w:rPr>
          <w:color w:val="231F20"/>
        </w:rPr>
        <w:t>Nigeria</w:t>
      </w:r>
      <w:r>
        <w:rPr>
          <w:color w:val="231F20"/>
          <w:spacing w:val="-26"/>
        </w:rPr>
        <w:t xml:space="preserve"> </w:t>
      </w:r>
      <w:r>
        <w:rPr>
          <w:color w:val="231F20"/>
        </w:rPr>
        <w:t>(APYIN),</w:t>
      </w:r>
      <w:r>
        <w:rPr>
          <w:color w:val="231F20"/>
          <w:spacing w:val="-37"/>
        </w:rPr>
        <w:t xml:space="preserve"> </w:t>
      </w:r>
      <w:r>
        <w:rPr>
          <w:color w:val="231F20"/>
        </w:rPr>
        <w:t>Association</w:t>
      </w:r>
      <w:r>
        <w:rPr>
          <w:color w:val="231F20"/>
          <w:spacing w:val="-26"/>
        </w:rPr>
        <w:t xml:space="preserve"> </w:t>
      </w:r>
      <w:r>
        <w:rPr>
          <w:color w:val="231F20"/>
        </w:rPr>
        <w:t>of</w:t>
      </w:r>
      <w:r>
        <w:rPr>
          <w:color w:val="231F20"/>
          <w:spacing w:val="-25"/>
        </w:rPr>
        <w:t xml:space="preserve"> </w:t>
      </w:r>
      <w:r>
        <w:rPr>
          <w:color w:val="231F20"/>
        </w:rPr>
        <w:t>Positive</w:t>
      </w:r>
      <w:r>
        <w:rPr>
          <w:color w:val="231F20"/>
          <w:spacing w:val="-26"/>
        </w:rPr>
        <w:t xml:space="preserve"> </w:t>
      </w:r>
      <w:r>
        <w:rPr>
          <w:color w:val="231F20"/>
        </w:rPr>
        <w:t>Women</w:t>
      </w:r>
      <w:r>
        <w:rPr>
          <w:color w:val="231F20"/>
          <w:spacing w:val="-25"/>
        </w:rPr>
        <w:t xml:space="preserve"> </w:t>
      </w:r>
      <w:r>
        <w:rPr>
          <w:color w:val="231F20"/>
        </w:rPr>
        <w:t>in</w:t>
      </w:r>
      <w:r>
        <w:rPr>
          <w:color w:val="231F20"/>
          <w:spacing w:val="-26"/>
        </w:rPr>
        <w:t xml:space="preserve"> </w:t>
      </w:r>
      <w:r>
        <w:rPr>
          <w:color w:val="231F20"/>
        </w:rPr>
        <w:t>Nigeria</w:t>
      </w:r>
      <w:r>
        <w:rPr>
          <w:color w:val="231F20"/>
          <w:spacing w:val="-25"/>
        </w:rPr>
        <w:t xml:space="preserve"> </w:t>
      </w:r>
      <w:r>
        <w:rPr>
          <w:color w:val="231F20"/>
        </w:rPr>
        <w:t>(ASWAN).</w:t>
      </w:r>
    </w:p>
    <w:p w14:paraId="1BF71D96" w14:textId="77777777" w:rsidR="009948F1" w:rsidRDefault="00BC0563">
      <w:pPr>
        <w:pStyle w:val="ListParagraph"/>
        <w:numPr>
          <w:ilvl w:val="0"/>
          <w:numId w:val="256"/>
        </w:numPr>
        <w:tabs>
          <w:tab w:val="left" w:pos="1600"/>
        </w:tabs>
        <w:spacing w:before="16" w:line="333" w:lineRule="auto"/>
        <w:ind w:left="1599" w:right="176" w:hanging="360"/>
      </w:pPr>
      <w:r>
        <w:rPr>
          <w:color w:val="231F20"/>
        </w:rPr>
        <w:t>United Nations International Children Education Fund (UNICEF) also a USAID driven</w:t>
      </w:r>
      <w:r>
        <w:rPr>
          <w:color w:val="231F20"/>
          <w:spacing w:val="-26"/>
        </w:rPr>
        <w:t xml:space="preserve"> </w:t>
      </w:r>
      <w:r>
        <w:rPr>
          <w:color w:val="231F20"/>
        </w:rPr>
        <w:t>organization</w:t>
      </w:r>
      <w:r>
        <w:rPr>
          <w:color w:val="231F20"/>
          <w:spacing w:val="-25"/>
        </w:rPr>
        <w:t xml:space="preserve"> </w:t>
      </w:r>
      <w:r>
        <w:rPr>
          <w:color w:val="231F20"/>
        </w:rPr>
        <w:t>responsible</w:t>
      </w:r>
      <w:r>
        <w:rPr>
          <w:color w:val="231F20"/>
          <w:spacing w:val="-25"/>
        </w:rPr>
        <w:t xml:space="preserve"> </w:t>
      </w:r>
      <w:r>
        <w:rPr>
          <w:color w:val="231F20"/>
        </w:rPr>
        <w:t>for</w:t>
      </w:r>
      <w:r>
        <w:rPr>
          <w:color w:val="231F20"/>
          <w:spacing w:val="-25"/>
        </w:rPr>
        <w:t xml:space="preserve"> </w:t>
      </w:r>
      <w:r>
        <w:rPr>
          <w:color w:val="231F20"/>
        </w:rPr>
        <w:t>neonatal,</w:t>
      </w:r>
      <w:r>
        <w:rPr>
          <w:color w:val="231F20"/>
          <w:spacing w:val="-25"/>
        </w:rPr>
        <w:t xml:space="preserve"> </w:t>
      </w:r>
      <w:r>
        <w:rPr>
          <w:color w:val="231F20"/>
        </w:rPr>
        <w:t>children</w:t>
      </w:r>
      <w:r>
        <w:rPr>
          <w:color w:val="231F20"/>
          <w:spacing w:val="-25"/>
        </w:rPr>
        <w:t xml:space="preserve"> </w:t>
      </w:r>
      <w:r>
        <w:rPr>
          <w:color w:val="231F20"/>
        </w:rPr>
        <w:t>and</w:t>
      </w:r>
      <w:r>
        <w:rPr>
          <w:color w:val="231F20"/>
          <w:spacing w:val="-25"/>
        </w:rPr>
        <w:t xml:space="preserve"> </w:t>
      </w:r>
      <w:r>
        <w:rPr>
          <w:color w:val="231F20"/>
        </w:rPr>
        <w:t>maternal</w:t>
      </w:r>
      <w:r>
        <w:rPr>
          <w:color w:val="231F20"/>
          <w:spacing w:val="-25"/>
        </w:rPr>
        <w:t xml:space="preserve"> </w:t>
      </w:r>
      <w:r>
        <w:rPr>
          <w:color w:val="231F20"/>
        </w:rPr>
        <w:t>health.</w:t>
      </w:r>
    </w:p>
    <w:p w14:paraId="7236D41D" w14:textId="77777777" w:rsidR="009948F1" w:rsidRDefault="00BC0563">
      <w:pPr>
        <w:pStyle w:val="ListParagraph"/>
        <w:numPr>
          <w:ilvl w:val="0"/>
          <w:numId w:val="256"/>
        </w:numPr>
        <w:tabs>
          <w:tab w:val="left" w:pos="1599"/>
          <w:tab w:val="left" w:pos="1600"/>
        </w:tabs>
        <w:spacing w:before="33"/>
        <w:ind w:left="1599" w:hanging="361"/>
        <w:jc w:val="left"/>
      </w:pPr>
      <w:r>
        <w:rPr>
          <w:color w:val="231F20"/>
        </w:rPr>
        <w:t>European</w:t>
      </w:r>
      <w:r>
        <w:rPr>
          <w:color w:val="231F20"/>
          <w:spacing w:val="-26"/>
        </w:rPr>
        <w:t xml:space="preserve"> </w:t>
      </w:r>
      <w:r>
        <w:rPr>
          <w:color w:val="231F20"/>
        </w:rPr>
        <w:t>Union-Sign</w:t>
      </w:r>
      <w:r>
        <w:rPr>
          <w:color w:val="231F20"/>
          <w:spacing w:val="-25"/>
        </w:rPr>
        <w:t xml:space="preserve"> </w:t>
      </w:r>
      <w:r>
        <w:rPr>
          <w:color w:val="231F20"/>
        </w:rPr>
        <w:t>supporting</w:t>
      </w:r>
      <w:r>
        <w:rPr>
          <w:color w:val="231F20"/>
          <w:spacing w:val="-25"/>
        </w:rPr>
        <w:t xml:space="preserve"> </w:t>
      </w:r>
      <w:r>
        <w:rPr>
          <w:color w:val="231F20"/>
        </w:rPr>
        <w:t>immunization</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LGAs</w:t>
      </w:r>
    </w:p>
    <w:p w14:paraId="3C744775" w14:textId="77777777" w:rsidR="009948F1" w:rsidRDefault="00BC0563">
      <w:pPr>
        <w:pStyle w:val="ListParagraph"/>
        <w:numPr>
          <w:ilvl w:val="0"/>
          <w:numId w:val="256"/>
        </w:numPr>
        <w:tabs>
          <w:tab w:val="left" w:pos="1599"/>
          <w:tab w:val="left" w:pos="1600"/>
        </w:tabs>
        <w:spacing w:before="106"/>
        <w:ind w:left="1599" w:hanging="361"/>
        <w:jc w:val="left"/>
      </w:pPr>
      <w:proofErr w:type="spellStart"/>
      <w:r>
        <w:rPr>
          <w:color w:val="231F20"/>
        </w:rPr>
        <w:t>Africare</w:t>
      </w:r>
      <w:proofErr w:type="spellEnd"/>
      <w:r>
        <w:rPr>
          <w:color w:val="231F20"/>
        </w:rPr>
        <w:t>,</w:t>
      </w:r>
      <w:r>
        <w:rPr>
          <w:color w:val="231F20"/>
          <w:spacing w:val="-26"/>
        </w:rPr>
        <w:t xml:space="preserve"> </w:t>
      </w:r>
      <w:r>
        <w:rPr>
          <w:color w:val="231F20"/>
        </w:rPr>
        <w:t>supporting</w:t>
      </w:r>
      <w:r>
        <w:rPr>
          <w:color w:val="231F20"/>
          <w:spacing w:val="-25"/>
        </w:rPr>
        <w:t xml:space="preserve"> </w:t>
      </w:r>
      <w:r>
        <w:rPr>
          <w:color w:val="231F20"/>
        </w:rPr>
        <w:t>malaria</w:t>
      </w:r>
      <w:r>
        <w:rPr>
          <w:color w:val="231F20"/>
          <w:spacing w:val="-25"/>
        </w:rPr>
        <w:t xml:space="preserve"> </w:t>
      </w:r>
      <w:r>
        <w:rPr>
          <w:color w:val="231F20"/>
        </w:rPr>
        <w:t>elimination</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funded</w:t>
      </w:r>
      <w:r>
        <w:rPr>
          <w:color w:val="231F20"/>
          <w:spacing w:val="-25"/>
        </w:rPr>
        <w:t xml:space="preserve"> </w:t>
      </w:r>
      <w:r>
        <w:rPr>
          <w:color w:val="231F20"/>
        </w:rPr>
        <w:t>by</w:t>
      </w:r>
      <w:r>
        <w:rPr>
          <w:color w:val="231F20"/>
          <w:spacing w:val="-25"/>
        </w:rPr>
        <w:t xml:space="preserve"> </w:t>
      </w:r>
      <w:r>
        <w:rPr>
          <w:color w:val="231F20"/>
        </w:rPr>
        <w:t>world</w:t>
      </w:r>
      <w:r>
        <w:rPr>
          <w:color w:val="231F20"/>
          <w:spacing w:val="-25"/>
        </w:rPr>
        <w:t xml:space="preserve"> </w:t>
      </w:r>
      <w:r>
        <w:rPr>
          <w:color w:val="231F20"/>
        </w:rPr>
        <w:t>bank</w:t>
      </w:r>
    </w:p>
    <w:p w14:paraId="53E63522" w14:textId="77777777" w:rsidR="009948F1" w:rsidRDefault="00BC0563">
      <w:pPr>
        <w:pStyle w:val="ListParagraph"/>
        <w:numPr>
          <w:ilvl w:val="0"/>
          <w:numId w:val="256"/>
        </w:numPr>
        <w:tabs>
          <w:tab w:val="left" w:pos="1599"/>
          <w:tab w:val="left" w:pos="1600"/>
        </w:tabs>
        <w:spacing w:before="106"/>
        <w:ind w:left="1599" w:hanging="361"/>
        <w:jc w:val="left"/>
      </w:pPr>
      <w:r>
        <w:rPr>
          <w:color w:val="231F20"/>
        </w:rPr>
        <w:t>National</w:t>
      </w:r>
      <w:r>
        <w:rPr>
          <w:color w:val="231F20"/>
          <w:spacing w:val="-25"/>
        </w:rPr>
        <w:t xml:space="preserve"> </w:t>
      </w:r>
      <w:r>
        <w:rPr>
          <w:color w:val="231F20"/>
        </w:rPr>
        <w:t>Primary</w:t>
      </w:r>
      <w:r>
        <w:rPr>
          <w:color w:val="231F20"/>
          <w:spacing w:val="-26"/>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Development</w:t>
      </w:r>
      <w:r>
        <w:rPr>
          <w:color w:val="231F20"/>
          <w:spacing w:val="-37"/>
        </w:rPr>
        <w:t xml:space="preserve"> </w:t>
      </w:r>
      <w:r>
        <w:rPr>
          <w:color w:val="231F20"/>
        </w:rPr>
        <w:t>Agency</w:t>
      </w:r>
    </w:p>
    <w:p w14:paraId="41914D31" w14:textId="77777777" w:rsidR="009948F1" w:rsidRDefault="00BC0563">
      <w:pPr>
        <w:pStyle w:val="ListParagraph"/>
        <w:numPr>
          <w:ilvl w:val="0"/>
          <w:numId w:val="256"/>
        </w:numPr>
        <w:tabs>
          <w:tab w:val="left" w:pos="1599"/>
          <w:tab w:val="left" w:pos="1600"/>
        </w:tabs>
        <w:spacing w:before="106"/>
        <w:ind w:left="1599" w:hanging="361"/>
        <w:jc w:val="left"/>
      </w:pPr>
      <w:r>
        <w:rPr>
          <w:color w:val="231F20"/>
        </w:rPr>
        <w:t>Intra</w:t>
      </w:r>
      <w:r>
        <w:rPr>
          <w:color w:val="231F20"/>
          <w:spacing w:val="-26"/>
        </w:rPr>
        <w:t xml:space="preserve"> </w:t>
      </w:r>
      <w:r>
        <w:rPr>
          <w:color w:val="231F20"/>
        </w:rPr>
        <w:t>Health</w:t>
      </w:r>
      <w:r>
        <w:rPr>
          <w:color w:val="231F20"/>
          <w:spacing w:val="-25"/>
        </w:rPr>
        <w:t xml:space="preserve"> </w:t>
      </w:r>
      <w:r>
        <w:rPr>
          <w:color w:val="231F20"/>
        </w:rPr>
        <w:t>funded</w:t>
      </w:r>
      <w:r>
        <w:rPr>
          <w:color w:val="231F20"/>
          <w:spacing w:val="-25"/>
        </w:rPr>
        <w:t xml:space="preserve"> </w:t>
      </w:r>
      <w:r>
        <w:rPr>
          <w:color w:val="231F20"/>
        </w:rPr>
        <w:t>USAID</w:t>
      </w:r>
      <w:r>
        <w:rPr>
          <w:color w:val="231F20"/>
          <w:spacing w:val="-25"/>
        </w:rPr>
        <w:t xml:space="preserve"> </w:t>
      </w:r>
      <w:r>
        <w:rPr>
          <w:color w:val="231F20"/>
        </w:rPr>
        <w:t>to</w:t>
      </w:r>
      <w:r>
        <w:rPr>
          <w:color w:val="231F20"/>
          <w:spacing w:val="-25"/>
        </w:rPr>
        <w:t xml:space="preserve"> </w:t>
      </w:r>
      <w:r>
        <w:rPr>
          <w:color w:val="231F20"/>
        </w:rPr>
        <w:t>register</w:t>
      </w:r>
      <w:r>
        <w:rPr>
          <w:color w:val="231F20"/>
          <w:spacing w:val="-25"/>
        </w:rPr>
        <w:t xml:space="preserve"> </w:t>
      </w:r>
      <w:r>
        <w:rPr>
          <w:color w:val="231F20"/>
        </w:rPr>
        <w:t>health</w:t>
      </w:r>
      <w:r>
        <w:rPr>
          <w:color w:val="231F20"/>
          <w:spacing w:val="-25"/>
        </w:rPr>
        <w:t xml:space="preserve"> </w:t>
      </w:r>
      <w:r>
        <w:rPr>
          <w:color w:val="231F20"/>
        </w:rPr>
        <w:t>work</w:t>
      </w:r>
      <w:r>
        <w:rPr>
          <w:color w:val="231F20"/>
          <w:spacing w:val="-25"/>
        </w:rPr>
        <w:t xml:space="preserve"> </w:t>
      </w:r>
      <w:r>
        <w:rPr>
          <w:color w:val="231F20"/>
        </w:rPr>
        <w:t>force</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state</w:t>
      </w:r>
    </w:p>
    <w:p w14:paraId="7E4B2398" w14:textId="77777777" w:rsidR="009948F1" w:rsidRDefault="00BC0563">
      <w:pPr>
        <w:pStyle w:val="ListParagraph"/>
        <w:numPr>
          <w:ilvl w:val="0"/>
          <w:numId w:val="256"/>
        </w:numPr>
        <w:tabs>
          <w:tab w:val="left" w:pos="1599"/>
          <w:tab w:val="left" w:pos="1600"/>
        </w:tabs>
        <w:spacing w:before="106"/>
        <w:ind w:left="1599" w:hanging="361"/>
        <w:jc w:val="left"/>
      </w:pPr>
      <w:r>
        <w:rPr>
          <w:color w:val="231F20"/>
        </w:rPr>
        <w:t>Clinton</w:t>
      </w:r>
      <w:r>
        <w:rPr>
          <w:color w:val="231F20"/>
          <w:spacing w:val="-25"/>
        </w:rPr>
        <w:t xml:space="preserve"> </w:t>
      </w:r>
      <w:r>
        <w:rPr>
          <w:color w:val="231F20"/>
        </w:rPr>
        <w:t>Health</w:t>
      </w:r>
      <w:r>
        <w:rPr>
          <w:color w:val="231F20"/>
          <w:spacing w:val="-37"/>
        </w:rPr>
        <w:t xml:space="preserve"> </w:t>
      </w:r>
      <w:r>
        <w:rPr>
          <w:color w:val="231F20"/>
        </w:rPr>
        <w:t>Access</w:t>
      </w:r>
      <w:r>
        <w:rPr>
          <w:color w:val="231F20"/>
          <w:spacing w:val="-25"/>
        </w:rPr>
        <w:t xml:space="preserve"> </w:t>
      </w:r>
      <w:r>
        <w:rPr>
          <w:color w:val="231F20"/>
        </w:rPr>
        <w:t>Initiative</w:t>
      </w:r>
      <w:r>
        <w:rPr>
          <w:color w:val="231F20"/>
          <w:spacing w:val="-25"/>
        </w:rPr>
        <w:t xml:space="preserve"> </w:t>
      </w:r>
      <w:r>
        <w:rPr>
          <w:color w:val="231F20"/>
        </w:rPr>
        <w:t>(CHAI)</w:t>
      </w:r>
      <w:r>
        <w:rPr>
          <w:color w:val="231F20"/>
          <w:spacing w:val="-25"/>
        </w:rPr>
        <w:t xml:space="preserve"> </w:t>
      </w:r>
      <w:r>
        <w:rPr>
          <w:color w:val="231F20"/>
        </w:rPr>
        <w:t>are</w:t>
      </w:r>
      <w:r>
        <w:rPr>
          <w:color w:val="231F20"/>
          <w:spacing w:val="-25"/>
        </w:rPr>
        <w:t xml:space="preserve"> </w:t>
      </w:r>
      <w:r>
        <w:rPr>
          <w:color w:val="231F20"/>
        </w:rPr>
        <w:t>into</w:t>
      </w:r>
      <w:r>
        <w:rPr>
          <w:color w:val="231F20"/>
          <w:spacing w:val="-25"/>
        </w:rPr>
        <w:t xml:space="preserve"> </w:t>
      </w:r>
      <w:r>
        <w:rPr>
          <w:color w:val="231F20"/>
          <w:spacing w:val="-3"/>
        </w:rPr>
        <w:t>HIVAIDS</w:t>
      </w:r>
      <w:r>
        <w:rPr>
          <w:color w:val="231F20"/>
          <w:spacing w:val="-25"/>
        </w:rPr>
        <w:t xml:space="preserve"> </w:t>
      </w:r>
      <w:r>
        <w:rPr>
          <w:color w:val="231F20"/>
        </w:rPr>
        <w:t>and</w:t>
      </w:r>
      <w:r>
        <w:rPr>
          <w:color w:val="231F20"/>
          <w:spacing w:val="-25"/>
        </w:rPr>
        <w:t xml:space="preserve"> </w:t>
      </w:r>
      <w:r>
        <w:rPr>
          <w:color w:val="231F20"/>
        </w:rPr>
        <w:t>Health</w:t>
      </w:r>
      <w:r>
        <w:rPr>
          <w:color w:val="231F20"/>
          <w:spacing w:val="-24"/>
        </w:rPr>
        <w:t xml:space="preserve"> </w:t>
      </w:r>
      <w:r>
        <w:rPr>
          <w:color w:val="231F20"/>
        </w:rPr>
        <w:t>Financing,</w:t>
      </w:r>
    </w:p>
    <w:p w14:paraId="23A17369" w14:textId="77777777" w:rsidR="009948F1" w:rsidRDefault="00BC0563">
      <w:pPr>
        <w:pStyle w:val="ListParagraph"/>
        <w:numPr>
          <w:ilvl w:val="0"/>
          <w:numId w:val="256"/>
        </w:numPr>
        <w:tabs>
          <w:tab w:val="left" w:pos="1599"/>
          <w:tab w:val="left" w:pos="1600"/>
        </w:tabs>
        <w:spacing w:before="106"/>
        <w:ind w:left="1599" w:hanging="361"/>
        <w:jc w:val="left"/>
      </w:pPr>
      <w:r>
        <w:rPr>
          <w:color w:val="231F20"/>
        </w:rPr>
        <w:t>Global</w:t>
      </w:r>
      <w:r>
        <w:rPr>
          <w:color w:val="231F20"/>
          <w:spacing w:val="-25"/>
        </w:rPr>
        <w:t xml:space="preserve"> </w:t>
      </w:r>
      <w:r>
        <w:rPr>
          <w:color w:val="231F20"/>
        </w:rPr>
        <w:t>Fund</w:t>
      </w:r>
      <w:r>
        <w:rPr>
          <w:color w:val="231F20"/>
          <w:spacing w:val="-25"/>
        </w:rPr>
        <w:t xml:space="preserve"> </w:t>
      </w:r>
      <w:r>
        <w:rPr>
          <w:color w:val="231F20"/>
        </w:rPr>
        <w:t>Round</w:t>
      </w:r>
      <w:r>
        <w:rPr>
          <w:color w:val="231F20"/>
          <w:spacing w:val="-25"/>
        </w:rPr>
        <w:t xml:space="preserve"> </w:t>
      </w:r>
      <w:r>
        <w:rPr>
          <w:color w:val="231F20"/>
        </w:rPr>
        <w:t>9,</w:t>
      </w:r>
      <w:r>
        <w:rPr>
          <w:color w:val="231F20"/>
          <w:spacing w:val="-25"/>
        </w:rPr>
        <w:t xml:space="preserve"> </w:t>
      </w:r>
      <w:r>
        <w:rPr>
          <w:color w:val="231F20"/>
        </w:rPr>
        <w:t>funded</w:t>
      </w:r>
      <w:r>
        <w:rPr>
          <w:color w:val="231F20"/>
          <w:spacing w:val="-25"/>
        </w:rPr>
        <w:t xml:space="preserve"> </w:t>
      </w:r>
      <w:r>
        <w:rPr>
          <w:color w:val="231F20"/>
        </w:rPr>
        <w:t>by</w:t>
      </w:r>
      <w:r>
        <w:rPr>
          <w:color w:val="231F20"/>
          <w:spacing w:val="-25"/>
        </w:rPr>
        <w:t xml:space="preserve"> </w:t>
      </w:r>
      <w:r>
        <w:rPr>
          <w:color w:val="231F20"/>
        </w:rPr>
        <w:t>USAIDs</w:t>
      </w:r>
      <w:r>
        <w:rPr>
          <w:color w:val="231F20"/>
          <w:spacing w:val="-25"/>
        </w:rPr>
        <w:t xml:space="preserve"> </w:t>
      </w:r>
      <w:r>
        <w:rPr>
          <w:color w:val="231F20"/>
        </w:rPr>
        <w:t>to</w:t>
      </w:r>
      <w:r>
        <w:rPr>
          <w:color w:val="231F20"/>
          <w:spacing w:val="-25"/>
        </w:rPr>
        <w:t xml:space="preserve"> </w:t>
      </w:r>
      <w:r>
        <w:rPr>
          <w:color w:val="231F20"/>
        </w:rPr>
        <w:t>combat</w:t>
      </w:r>
      <w:r>
        <w:rPr>
          <w:color w:val="231F20"/>
          <w:spacing w:val="-25"/>
        </w:rPr>
        <w:t xml:space="preserve"> </w:t>
      </w:r>
      <w:r>
        <w:rPr>
          <w:color w:val="231F20"/>
          <w:spacing w:val="-3"/>
        </w:rPr>
        <w:t>HIVAIDS</w:t>
      </w:r>
    </w:p>
    <w:p w14:paraId="03D539EC" w14:textId="081A36D1" w:rsidR="009948F1" w:rsidRDefault="00BC0563">
      <w:pPr>
        <w:pStyle w:val="BodyText"/>
        <w:tabs>
          <w:tab w:val="left" w:pos="2589"/>
          <w:tab w:val="left" w:pos="3163"/>
          <w:tab w:val="left" w:pos="5017"/>
          <w:tab w:val="left" w:pos="5811"/>
          <w:tab w:val="left" w:pos="7302"/>
        </w:tabs>
        <w:spacing w:before="105" w:line="360" w:lineRule="auto"/>
        <w:ind w:left="1599" w:right="176"/>
      </w:pPr>
      <w:r>
        <w:rPr>
          <w:color w:val="231F20"/>
          <w:spacing w:val="20"/>
        </w:rPr>
        <w:t>Others</w:t>
      </w:r>
      <w:r>
        <w:rPr>
          <w:color w:val="231F20"/>
          <w:spacing w:val="20"/>
        </w:rPr>
        <w:tab/>
      </w:r>
      <w:r>
        <w:rPr>
          <w:color w:val="231F20"/>
          <w:spacing w:val="16"/>
        </w:rPr>
        <w:t>are</w:t>
      </w:r>
      <w:r>
        <w:rPr>
          <w:color w:val="231F20"/>
          <w:spacing w:val="16"/>
        </w:rPr>
        <w:tab/>
      </w:r>
      <w:r>
        <w:rPr>
          <w:color w:val="231F20"/>
          <w:spacing w:val="19"/>
        </w:rPr>
        <w:t>NDDC</w:t>
      </w:r>
      <w:r w:rsidR="00E47D1B">
        <w:rPr>
          <w:color w:val="231F20"/>
          <w:spacing w:val="19"/>
        </w:rPr>
        <w:t xml:space="preserve">, </w:t>
      </w:r>
      <w:r w:rsidR="00E47D1B">
        <w:rPr>
          <w:color w:val="231F20"/>
          <w:spacing w:val="56"/>
        </w:rPr>
        <w:t>AGIP</w:t>
      </w:r>
      <w:r>
        <w:rPr>
          <w:color w:val="231F20"/>
          <w:spacing w:val="13"/>
        </w:rPr>
        <w:t>,</w:t>
      </w:r>
      <w:r>
        <w:rPr>
          <w:color w:val="231F20"/>
          <w:spacing w:val="13"/>
        </w:rPr>
        <w:tab/>
      </w:r>
      <w:r>
        <w:rPr>
          <w:color w:val="231F20"/>
          <w:spacing w:val="19"/>
        </w:rPr>
        <w:t>Shell</w:t>
      </w:r>
      <w:r>
        <w:rPr>
          <w:color w:val="231F20"/>
          <w:spacing w:val="19"/>
        </w:rPr>
        <w:tab/>
      </w:r>
      <w:r>
        <w:rPr>
          <w:color w:val="231F20"/>
          <w:spacing w:val="21"/>
        </w:rPr>
        <w:t>Petroleum,</w:t>
      </w:r>
      <w:r>
        <w:rPr>
          <w:color w:val="231F20"/>
          <w:spacing w:val="21"/>
        </w:rPr>
        <w:tab/>
      </w:r>
      <w:r>
        <w:rPr>
          <w:color w:val="231F20"/>
          <w:spacing w:val="18"/>
        </w:rPr>
        <w:t>Non-</w:t>
      </w:r>
      <w:r>
        <w:rPr>
          <w:color w:val="231F20"/>
          <w:spacing w:val="-37"/>
        </w:rPr>
        <w:t xml:space="preserve"> </w:t>
      </w:r>
      <w:r>
        <w:rPr>
          <w:color w:val="231F20"/>
          <w:spacing w:val="21"/>
        </w:rPr>
        <w:t xml:space="preserve">Governmental </w:t>
      </w:r>
      <w:r>
        <w:rPr>
          <w:color w:val="231F20"/>
        </w:rPr>
        <w:t>Organizations.</w:t>
      </w:r>
    </w:p>
    <w:p w14:paraId="261BBDBF" w14:textId="77777777" w:rsidR="009948F1" w:rsidRDefault="009948F1">
      <w:pPr>
        <w:spacing w:line="360" w:lineRule="auto"/>
        <w:sectPr w:rsidR="009948F1">
          <w:pgSz w:w="11910" w:h="16840"/>
          <w:pgMar w:top="1580" w:right="1080" w:bottom="1420" w:left="1120" w:header="0" w:footer="1235" w:gutter="0"/>
          <w:cols w:space="720"/>
        </w:sectPr>
      </w:pPr>
    </w:p>
    <w:p w14:paraId="114B05E8" w14:textId="77777777" w:rsidR="009948F1" w:rsidRDefault="00BC0563">
      <w:pPr>
        <w:pStyle w:val="Heading1"/>
        <w:spacing w:before="4" w:line="474" w:lineRule="exact"/>
        <w:ind w:right="1052"/>
      </w:pPr>
      <w:bookmarkStart w:id="116" w:name="_TOC_250012"/>
      <w:bookmarkEnd w:id="116"/>
      <w:r>
        <w:rPr>
          <w:color w:val="231F20"/>
        </w:rPr>
        <w:lastRenderedPageBreak/>
        <w:t>CHAPTER 10</w:t>
      </w:r>
    </w:p>
    <w:p w14:paraId="062E4DA2" w14:textId="77777777" w:rsidR="009948F1" w:rsidRDefault="00BC0563">
      <w:pPr>
        <w:pStyle w:val="Heading3"/>
        <w:spacing w:line="353" w:lineRule="exact"/>
        <w:ind w:right="1045"/>
      </w:pPr>
      <w:bookmarkStart w:id="117" w:name="_TOC_250011"/>
      <w:bookmarkEnd w:id="117"/>
      <w:r>
        <w:rPr>
          <w:color w:val="231F20"/>
        </w:rPr>
        <w:t>FINANCING PLAN</w:t>
      </w:r>
    </w:p>
    <w:p w14:paraId="3964E3BE" w14:textId="77777777" w:rsidR="009948F1" w:rsidRDefault="00BC0563">
      <w:pPr>
        <w:pStyle w:val="Heading7"/>
        <w:numPr>
          <w:ilvl w:val="1"/>
          <w:numId w:val="255"/>
        </w:numPr>
        <w:tabs>
          <w:tab w:val="left" w:pos="859"/>
        </w:tabs>
        <w:spacing w:before="155"/>
        <w:ind w:hanging="721"/>
        <w:jc w:val="both"/>
      </w:pPr>
      <w:r>
        <w:rPr>
          <w:color w:val="231F20"/>
        </w:rPr>
        <w:t>Introduction to the SSHDP</w:t>
      </w:r>
      <w:r>
        <w:rPr>
          <w:color w:val="231F20"/>
          <w:spacing w:val="-5"/>
        </w:rPr>
        <w:t xml:space="preserve"> </w:t>
      </w:r>
      <w:r>
        <w:rPr>
          <w:color w:val="231F20"/>
        </w:rPr>
        <w:t>Costing</w:t>
      </w:r>
    </w:p>
    <w:p w14:paraId="6E81CA16" w14:textId="77777777" w:rsidR="009948F1" w:rsidRDefault="00BC0563">
      <w:pPr>
        <w:pStyle w:val="BodyText"/>
        <w:spacing w:before="23" w:line="261" w:lineRule="auto"/>
        <w:ind w:left="138" w:right="138"/>
        <w:jc w:val="both"/>
      </w:pPr>
      <w:r>
        <w:rPr>
          <w:color w:val="231F20"/>
        </w:rPr>
        <w:t>Rivers State SHDP II cost estimates and resources available for its implementation are both vital preconditions to ensure realistic levels of ambition for the strategy. This will leverage the prioritization of planned investments and the design of appropriate measures to finance the emerging resource gaps. This section outlines the methodology used in costing the Rivers State SHDP II (2018-2022), and the estimates of available resource commitments within the State over the strategy period. With both the Total Cost of the Plan and resource commitments estimated; recommendations have also been presented to bridge the emerging financing gap in the strategy</w:t>
      </w:r>
    </w:p>
    <w:p w14:paraId="04329493" w14:textId="77777777" w:rsidR="009948F1" w:rsidRDefault="009948F1">
      <w:pPr>
        <w:pStyle w:val="BodyText"/>
        <w:spacing w:before="4"/>
        <w:rPr>
          <w:sz w:val="24"/>
        </w:rPr>
      </w:pPr>
    </w:p>
    <w:p w14:paraId="237A7224" w14:textId="77777777" w:rsidR="009948F1" w:rsidRDefault="00BC0563">
      <w:pPr>
        <w:pStyle w:val="Heading7"/>
        <w:numPr>
          <w:ilvl w:val="1"/>
          <w:numId w:val="255"/>
        </w:numPr>
        <w:tabs>
          <w:tab w:val="left" w:pos="859"/>
        </w:tabs>
        <w:ind w:hanging="721"/>
        <w:jc w:val="both"/>
      </w:pPr>
      <w:r>
        <w:rPr>
          <w:color w:val="231F20"/>
        </w:rPr>
        <w:t>SSHDP</w:t>
      </w:r>
      <w:r>
        <w:rPr>
          <w:color w:val="231F20"/>
          <w:spacing w:val="-29"/>
        </w:rPr>
        <w:t xml:space="preserve"> </w:t>
      </w:r>
      <w:r>
        <w:rPr>
          <w:color w:val="231F20"/>
        </w:rPr>
        <w:t>Costing</w:t>
      </w:r>
      <w:r>
        <w:rPr>
          <w:color w:val="231F20"/>
          <w:spacing w:val="-25"/>
        </w:rPr>
        <w:t xml:space="preserve"> </w:t>
      </w:r>
      <w:r>
        <w:rPr>
          <w:color w:val="231F20"/>
        </w:rPr>
        <w:t>Methodology</w:t>
      </w:r>
    </w:p>
    <w:p w14:paraId="2B79A566" w14:textId="77777777" w:rsidR="009948F1" w:rsidRDefault="00BC0563">
      <w:pPr>
        <w:pStyle w:val="BodyText"/>
        <w:spacing w:before="23" w:line="261" w:lineRule="auto"/>
        <w:ind w:left="138" w:right="138"/>
        <w:jc w:val="both"/>
      </w:pPr>
      <w:r>
        <w:rPr>
          <w:color w:val="231F20"/>
        </w:rPr>
        <w:t xml:space="preserve">Cost estimates of the Rivers SSHDP II (2018-2022), has been determined using the One </w:t>
      </w:r>
      <w:r>
        <w:rPr>
          <w:color w:val="231F20"/>
          <w:spacing w:val="-3"/>
        </w:rPr>
        <w:t xml:space="preserve">Health </w:t>
      </w:r>
      <w:r>
        <w:rPr>
          <w:color w:val="231F20"/>
        </w:rPr>
        <w:t>tool, a unified costing template that estimates the overall cost of delivering the package of health services</w:t>
      </w:r>
      <w:r>
        <w:rPr>
          <w:color w:val="231F20"/>
          <w:spacing w:val="-7"/>
        </w:rPr>
        <w:t xml:space="preserve"> </w:t>
      </w:r>
      <w:r>
        <w:rPr>
          <w:color w:val="231F20"/>
        </w:rPr>
        <w:t>identified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strategy.</w:t>
      </w:r>
      <w:r>
        <w:rPr>
          <w:color w:val="231F20"/>
          <w:spacing w:val="-9"/>
        </w:rPr>
        <w:t xml:space="preserve"> </w:t>
      </w:r>
      <w:r>
        <w:rPr>
          <w:color w:val="231F20"/>
        </w:rPr>
        <w:t>The</w:t>
      </w:r>
      <w:r>
        <w:rPr>
          <w:color w:val="231F20"/>
          <w:spacing w:val="-7"/>
        </w:rPr>
        <w:t xml:space="preserve"> </w:t>
      </w:r>
      <w:r>
        <w:rPr>
          <w:color w:val="231F20"/>
        </w:rPr>
        <w:t>total</w:t>
      </w:r>
      <w:r>
        <w:rPr>
          <w:color w:val="231F20"/>
          <w:spacing w:val="-6"/>
        </w:rPr>
        <w:t xml:space="preserve"> </w:t>
      </w:r>
      <w:r>
        <w:rPr>
          <w:color w:val="231F20"/>
        </w:rPr>
        <w:t>cost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strategy</w:t>
      </w:r>
      <w:r>
        <w:rPr>
          <w:color w:val="231F20"/>
          <w:spacing w:val="-6"/>
        </w:rPr>
        <w:t xml:space="preserve"> </w:t>
      </w:r>
      <w:r>
        <w:rPr>
          <w:color w:val="231F20"/>
        </w:rPr>
        <w:t>presented</w:t>
      </w:r>
      <w:r>
        <w:rPr>
          <w:color w:val="231F20"/>
          <w:spacing w:val="-6"/>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section</w:t>
      </w:r>
      <w:r>
        <w:rPr>
          <w:color w:val="231F20"/>
          <w:spacing w:val="-6"/>
        </w:rPr>
        <w:t xml:space="preserve"> </w:t>
      </w:r>
      <w:r>
        <w:rPr>
          <w:color w:val="231F20"/>
        </w:rPr>
        <w:t>takes</w:t>
      </w:r>
      <w:r>
        <w:rPr>
          <w:color w:val="231F20"/>
          <w:spacing w:val="-6"/>
        </w:rPr>
        <w:t xml:space="preserve"> </w:t>
      </w:r>
      <w:r>
        <w:rPr>
          <w:color w:val="231F20"/>
          <w:spacing w:val="-4"/>
        </w:rPr>
        <w:t xml:space="preserve">into </w:t>
      </w:r>
      <w:r>
        <w:rPr>
          <w:color w:val="231F20"/>
        </w:rPr>
        <w:t>consideration</w:t>
      </w:r>
      <w:r>
        <w:rPr>
          <w:color w:val="231F20"/>
          <w:spacing w:val="-20"/>
        </w:rPr>
        <w:t xml:space="preserve"> </w:t>
      </w:r>
      <w:r>
        <w:rPr>
          <w:color w:val="231F20"/>
        </w:rPr>
        <w:t>the</w:t>
      </w:r>
      <w:r>
        <w:rPr>
          <w:color w:val="231F20"/>
          <w:spacing w:val="-19"/>
        </w:rPr>
        <w:t xml:space="preserve"> </w:t>
      </w:r>
      <w:r>
        <w:rPr>
          <w:color w:val="231F20"/>
        </w:rPr>
        <w:t>cost</w:t>
      </w:r>
      <w:r>
        <w:rPr>
          <w:color w:val="231F20"/>
          <w:spacing w:val="-19"/>
        </w:rPr>
        <w:t xml:space="preserve"> </w:t>
      </w:r>
      <w:r>
        <w:rPr>
          <w:color w:val="231F20"/>
        </w:rPr>
        <w:t>of</w:t>
      </w:r>
      <w:r>
        <w:rPr>
          <w:color w:val="231F20"/>
          <w:spacing w:val="-19"/>
        </w:rPr>
        <w:t xml:space="preserve"> </w:t>
      </w:r>
      <w:proofErr w:type="spellStart"/>
      <w:r>
        <w:rPr>
          <w:color w:val="231F20"/>
        </w:rPr>
        <w:t>programme</w:t>
      </w:r>
      <w:proofErr w:type="spellEnd"/>
      <w:r>
        <w:rPr>
          <w:color w:val="231F20"/>
          <w:spacing w:val="-19"/>
        </w:rPr>
        <w:t xml:space="preserve"> </w:t>
      </w:r>
      <w:r>
        <w:rPr>
          <w:color w:val="231F20"/>
        </w:rPr>
        <w:t>management</w:t>
      </w:r>
      <w:r>
        <w:rPr>
          <w:color w:val="231F20"/>
          <w:spacing w:val="-19"/>
        </w:rPr>
        <w:t xml:space="preserve"> </w:t>
      </w:r>
      <w:r>
        <w:rPr>
          <w:color w:val="231F20"/>
        </w:rPr>
        <w:t>activities</w:t>
      </w:r>
      <w:r>
        <w:rPr>
          <w:color w:val="231F20"/>
          <w:spacing w:val="-19"/>
        </w:rPr>
        <w:t xml:space="preserve"> </w:t>
      </w:r>
      <w:r>
        <w:rPr>
          <w:color w:val="231F20"/>
        </w:rPr>
        <w:t>to</w:t>
      </w:r>
      <w:r>
        <w:rPr>
          <w:color w:val="231F20"/>
          <w:spacing w:val="-19"/>
        </w:rPr>
        <w:t xml:space="preserve"> </w:t>
      </w:r>
      <w:r>
        <w:rPr>
          <w:color w:val="231F20"/>
        </w:rPr>
        <w:t>be</w:t>
      </w:r>
      <w:r>
        <w:rPr>
          <w:color w:val="231F20"/>
          <w:spacing w:val="-19"/>
        </w:rPr>
        <w:t xml:space="preserve"> </w:t>
      </w:r>
      <w:r>
        <w:rPr>
          <w:color w:val="231F20"/>
        </w:rPr>
        <w:t>carried</w:t>
      </w:r>
      <w:r>
        <w:rPr>
          <w:color w:val="231F20"/>
          <w:spacing w:val="-19"/>
        </w:rPr>
        <w:t xml:space="preserve"> </w:t>
      </w:r>
      <w:r>
        <w:rPr>
          <w:color w:val="231F20"/>
        </w:rPr>
        <w:t>out</w:t>
      </w:r>
      <w:r>
        <w:rPr>
          <w:color w:val="231F20"/>
          <w:spacing w:val="-19"/>
        </w:rPr>
        <w:t xml:space="preserve"> </w:t>
      </w:r>
      <w:r>
        <w:rPr>
          <w:color w:val="231F20"/>
        </w:rPr>
        <w:t>and</w:t>
      </w:r>
      <w:r>
        <w:rPr>
          <w:color w:val="231F20"/>
          <w:spacing w:val="-19"/>
        </w:rPr>
        <w:t xml:space="preserve"> </w:t>
      </w:r>
      <w:r>
        <w:rPr>
          <w:color w:val="231F20"/>
        </w:rPr>
        <w:t>the</w:t>
      </w:r>
      <w:r>
        <w:rPr>
          <w:color w:val="231F20"/>
          <w:spacing w:val="-20"/>
        </w:rPr>
        <w:t xml:space="preserve"> </w:t>
      </w:r>
      <w:r>
        <w:rPr>
          <w:color w:val="231F20"/>
        </w:rPr>
        <w:t>health</w:t>
      </w:r>
      <w:r>
        <w:rPr>
          <w:color w:val="231F20"/>
          <w:spacing w:val="-19"/>
        </w:rPr>
        <w:t xml:space="preserve"> </w:t>
      </w:r>
      <w:r>
        <w:rPr>
          <w:color w:val="231F20"/>
        </w:rPr>
        <w:t>system inputs</w:t>
      </w:r>
      <w:r>
        <w:rPr>
          <w:color w:val="231F20"/>
          <w:spacing w:val="-26"/>
        </w:rPr>
        <w:t xml:space="preserve"> </w:t>
      </w:r>
      <w:r>
        <w:rPr>
          <w:color w:val="231F20"/>
        </w:rPr>
        <w:t>required</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in</w:t>
      </w:r>
      <w:r>
        <w:rPr>
          <w:color w:val="231F20"/>
          <w:spacing w:val="-25"/>
        </w:rPr>
        <w:t xml:space="preserve"> </w:t>
      </w:r>
      <w:r>
        <w:rPr>
          <w:color w:val="231F20"/>
        </w:rPr>
        <w:t>place</w:t>
      </w:r>
      <w:r>
        <w:rPr>
          <w:color w:val="231F20"/>
          <w:spacing w:val="-25"/>
        </w:rPr>
        <w:t xml:space="preserve"> </w:t>
      </w:r>
      <w:r>
        <w:rPr>
          <w:color w:val="231F20"/>
        </w:rPr>
        <w:t>to</w:t>
      </w:r>
      <w:r>
        <w:rPr>
          <w:color w:val="231F20"/>
          <w:spacing w:val="-25"/>
        </w:rPr>
        <w:t xml:space="preserve"> </w:t>
      </w:r>
      <w:r>
        <w:rPr>
          <w:color w:val="231F20"/>
        </w:rPr>
        <w:t>achieve</w:t>
      </w:r>
      <w:r>
        <w:rPr>
          <w:color w:val="231F20"/>
          <w:spacing w:val="-25"/>
        </w:rPr>
        <w:t xml:space="preserve"> </w:t>
      </w:r>
      <w:r>
        <w:rPr>
          <w:color w:val="231F20"/>
        </w:rPr>
        <w:t>the</w:t>
      </w:r>
      <w:r>
        <w:rPr>
          <w:color w:val="231F20"/>
          <w:spacing w:val="-25"/>
        </w:rPr>
        <w:t xml:space="preserve"> </w:t>
      </w:r>
      <w:r>
        <w:rPr>
          <w:color w:val="231F20"/>
        </w:rPr>
        <w:t>desired</w:t>
      </w:r>
      <w:r>
        <w:rPr>
          <w:color w:val="231F20"/>
          <w:spacing w:val="-25"/>
        </w:rPr>
        <w:t xml:space="preserve"> </w:t>
      </w:r>
      <w:r>
        <w:rPr>
          <w:color w:val="231F20"/>
        </w:rPr>
        <w:t>coverage</w:t>
      </w:r>
      <w:r>
        <w:rPr>
          <w:color w:val="231F20"/>
          <w:spacing w:val="-25"/>
        </w:rPr>
        <w:t xml:space="preserve"> </w:t>
      </w:r>
      <w:r>
        <w:rPr>
          <w:color w:val="231F20"/>
        </w:rPr>
        <w:t>targets</w:t>
      </w:r>
      <w:r>
        <w:rPr>
          <w:color w:val="231F20"/>
          <w:spacing w:val="-25"/>
        </w:rPr>
        <w:t xml:space="preserve"> </w:t>
      </w:r>
      <w:r>
        <w:rPr>
          <w:color w:val="231F20"/>
        </w:rPr>
        <w:t>and</w:t>
      </w:r>
      <w:r>
        <w:rPr>
          <w:color w:val="231F20"/>
          <w:spacing w:val="-25"/>
        </w:rPr>
        <w:t xml:space="preserve"> </w:t>
      </w:r>
      <w:r>
        <w:rPr>
          <w:color w:val="231F20"/>
        </w:rPr>
        <w:t>impact</w:t>
      </w:r>
      <w:r>
        <w:rPr>
          <w:color w:val="231F20"/>
          <w:spacing w:val="-25"/>
        </w:rPr>
        <w:t xml:space="preserve"> </w:t>
      </w:r>
      <w:r>
        <w:rPr>
          <w:color w:val="231F20"/>
        </w:rPr>
        <w:t>goals.</w:t>
      </w:r>
    </w:p>
    <w:p w14:paraId="74CAF71E" w14:textId="77777777" w:rsidR="009948F1" w:rsidRDefault="00BC0563">
      <w:pPr>
        <w:pStyle w:val="BodyText"/>
        <w:spacing w:before="31" w:line="288" w:lineRule="auto"/>
        <w:ind w:left="138" w:right="138"/>
        <w:jc w:val="both"/>
      </w:pPr>
      <w:r>
        <w:rPr>
          <w:color w:val="231F20"/>
        </w:rPr>
        <w:t>The Rivers SSHDP II (2018-2022) costing exercise is the result of a consultative and iterative process of data collection, targets setting and quality assurance to ensure alignment with Government's health policy thrust and accuracy of estimates. The costing process entailed the following steps:</w:t>
      </w:r>
    </w:p>
    <w:p w14:paraId="29773B87" w14:textId="77777777" w:rsidR="009948F1" w:rsidRDefault="00BC0563">
      <w:pPr>
        <w:pStyle w:val="ListParagraph"/>
        <w:numPr>
          <w:ilvl w:val="2"/>
          <w:numId w:val="255"/>
        </w:numPr>
        <w:tabs>
          <w:tab w:val="left" w:pos="1577"/>
          <w:tab w:val="left" w:pos="1579"/>
        </w:tabs>
        <w:spacing w:before="3"/>
        <w:ind w:hanging="901"/>
      </w:pPr>
      <w:r>
        <w:rPr>
          <w:color w:val="231F20"/>
        </w:rPr>
        <w:t>Inauguration</w:t>
      </w:r>
      <w:r>
        <w:rPr>
          <w:color w:val="231F20"/>
          <w:spacing w:val="-26"/>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core</w:t>
      </w:r>
      <w:r>
        <w:rPr>
          <w:color w:val="231F20"/>
          <w:spacing w:val="-25"/>
        </w:rPr>
        <w:t xml:space="preserve"> </w:t>
      </w:r>
      <w:r>
        <w:rPr>
          <w:color w:val="231F20"/>
        </w:rPr>
        <w:t>group/Technical</w:t>
      </w:r>
      <w:r>
        <w:rPr>
          <w:color w:val="231F20"/>
          <w:spacing w:val="-26"/>
        </w:rPr>
        <w:t xml:space="preserve"> </w:t>
      </w:r>
      <w:r>
        <w:rPr>
          <w:color w:val="231F20"/>
        </w:rPr>
        <w:t>Working</w:t>
      </w:r>
      <w:r>
        <w:rPr>
          <w:color w:val="231F20"/>
          <w:spacing w:val="-25"/>
        </w:rPr>
        <w:t xml:space="preserve"> </w:t>
      </w:r>
      <w:r>
        <w:rPr>
          <w:color w:val="231F20"/>
        </w:rPr>
        <w:t>Group</w:t>
      </w:r>
      <w:r>
        <w:rPr>
          <w:color w:val="231F20"/>
          <w:spacing w:val="-26"/>
        </w:rPr>
        <w:t xml:space="preserve"> </w:t>
      </w:r>
      <w:r>
        <w:rPr>
          <w:color w:val="231F20"/>
        </w:rPr>
        <w:t>(TWG);</w:t>
      </w:r>
    </w:p>
    <w:p w14:paraId="5E3366CF" w14:textId="77777777" w:rsidR="009948F1" w:rsidRDefault="00BC0563">
      <w:pPr>
        <w:pStyle w:val="ListParagraph"/>
        <w:numPr>
          <w:ilvl w:val="2"/>
          <w:numId w:val="255"/>
        </w:numPr>
        <w:tabs>
          <w:tab w:val="left" w:pos="1579"/>
        </w:tabs>
        <w:spacing w:before="51"/>
        <w:ind w:hanging="901"/>
      </w:pPr>
      <w:r>
        <w:rPr>
          <w:color w:val="231F20"/>
        </w:rPr>
        <w:t>Orientation/capacity</w:t>
      </w:r>
      <w:r>
        <w:rPr>
          <w:color w:val="231F20"/>
          <w:spacing w:val="-26"/>
        </w:rPr>
        <w:t xml:space="preserve"> </w:t>
      </w:r>
      <w:r>
        <w:rPr>
          <w:color w:val="231F20"/>
        </w:rPr>
        <w:t>building</w:t>
      </w:r>
      <w:r>
        <w:rPr>
          <w:color w:val="231F20"/>
          <w:spacing w:val="-25"/>
        </w:rPr>
        <w:t xml:space="preserve"> </w:t>
      </w:r>
      <w:r>
        <w:rPr>
          <w:color w:val="231F20"/>
        </w:rPr>
        <w:t>of</w:t>
      </w:r>
      <w:r>
        <w:rPr>
          <w:color w:val="231F20"/>
          <w:spacing w:val="-25"/>
        </w:rPr>
        <w:t xml:space="preserve"> </w:t>
      </w:r>
      <w:r>
        <w:rPr>
          <w:color w:val="231F20"/>
        </w:rPr>
        <w:t>State</w:t>
      </w:r>
      <w:r>
        <w:rPr>
          <w:color w:val="231F20"/>
          <w:spacing w:val="-25"/>
        </w:rPr>
        <w:t xml:space="preserve"> </w:t>
      </w:r>
      <w:r>
        <w:rPr>
          <w:color w:val="231F20"/>
        </w:rPr>
        <w:t>planning</w:t>
      </w:r>
      <w:r>
        <w:rPr>
          <w:color w:val="231F20"/>
          <w:spacing w:val="-25"/>
        </w:rPr>
        <w:t xml:space="preserve"> </w:t>
      </w:r>
      <w:r>
        <w:rPr>
          <w:color w:val="231F20"/>
        </w:rPr>
        <w:t>team</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costing</w:t>
      </w:r>
      <w:r>
        <w:rPr>
          <w:color w:val="231F20"/>
          <w:spacing w:val="-25"/>
        </w:rPr>
        <w:t xml:space="preserve"> </w:t>
      </w:r>
      <w:r>
        <w:rPr>
          <w:color w:val="231F20"/>
        </w:rPr>
        <w:t>methodology;</w:t>
      </w:r>
    </w:p>
    <w:p w14:paraId="74FBF8F3" w14:textId="77777777" w:rsidR="009948F1" w:rsidRDefault="00BC0563">
      <w:pPr>
        <w:pStyle w:val="ListParagraph"/>
        <w:numPr>
          <w:ilvl w:val="2"/>
          <w:numId w:val="255"/>
        </w:numPr>
        <w:tabs>
          <w:tab w:val="left" w:pos="1578"/>
        </w:tabs>
        <w:spacing w:before="51" w:line="288" w:lineRule="auto"/>
        <w:ind w:left="1577" w:right="138"/>
      </w:pPr>
      <w:r>
        <w:rPr>
          <w:color w:val="231F20"/>
        </w:rPr>
        <w:t>Collection of high Impact interventions coverage baselines and System inputs required</w:t>
      </w:r>
      <w:r>
        <w:rPr>
          <w:color w:val="231F20"/>
          <w:spacing w:val="-25"/>
        </w:rPr>
        <w:t xml:space="preserve"> </w:t>
      </w:r>
      <w:r>
        <w:rPr>
          <w:color w:val="231F20"/>
        </w:rPr>
        <w:t>for</w:t>
      </w:r>
      <w:r>
        <w:rPr>
          <w:color w:val="231F20"/>
          <w:spacing w:val="-25"/>
        </w:rPr>
        <w:t xml:space="preserve"> </w:t>
      </w:r>
      <w:r>
        <w:rPr>
          <w:color w:val="231F20"/>
        </w:rPr>
        <w:t>calibrating</w:t>
      </w:r>
      <w:r>
        <w:rPr>
          <w:color w:val="231F20"/>
          <w:spacing w:val="-26"/>
        </w:rPr>
        <w:t xml:space="preserve"> </w:t>
      </w:r>
      <w:r>
        <w:rPr>
          <w:color w:val="231F20"/>
        </w:rPr>
        <w:t>the</w:t>
      </w:r>
      <w:r>
        <w:rPr>
          <w:color w:val="231F20"/>
          <w:spacing w:val="-25"/>
        </w:rPr>
        <w:t xml:space="preserve"> </w:t>
      </w:r>
      <w:r>
        <w:rPr>
          <w:color w:val="231F20"/>
        </w:rPr>
        <w:t>One</w:t>
      </w:r>
      <w:r>
        <w:rPr>
          <w:color w:val="231F20"/>
          <w:spacing w:val="-25"/>
        </w:rPr>
        <w:t xml:space="preserve"> </w:t>
      </w:r>
      <w:r>
        <w:rPr>
          <w:color w:val="231F20"/>
        </w:rPr>
        <w:t>Health</w:t>
      </w:r>
      <w:r>
        <w:rPr>
          <w:color w:val="231F20"/>
          <w:spacing w:val="-25"/>
        </w:rPr>
        <w:t xml:space="preserve"> </w:t>
      </w:r>
      <w:r>
        <w:rPr>
          <w:color w:val="231F20"/>
        </w:rPr>
        <w:t>tool;</w:t>
      </w:r>
    </w:p>
    <w:p w14:paraId="018A75BF" w14:textId="77777777" w:rsidR="009948F1" w:rsidRDefault="00BC0563">
      <w:pPr>
        <w:pStyle w:val="ListParagraph"/>
        <w:numPr>
          <w:ilvl w:val="2"/>
          <w:numId w:val="255"/>
        </w:numPr>
        <w:tabs>
          <w:tab w:val="left" w:pos="1578"/>
        </w:tabs>
        <w:spacing w:before="2"/>
        <w:ind w:left="1577" w:hanging="901"/>
      </w:pPr>
      <w:r>
        <w:rPr>
          <w:color w:val="231F20"/>
        </w:rPr>
        <w:t>Development</w:t>
      </w:r>
      <w:r>
        <w:rPr>
          <w:color w:val="231F20"/>
          <w:spacing w:val="-25"/>
        </w:rPr>
        <w:t xml:space="preserve"> </w:t>
      </w:r>
      <w:r>
        <w:rPr>
          <w:color w:val="231F20"/>
        </w:rPr>
        <w:t>of</w:t>
      </w:r>
      <w:r>
        <w:rPr>
          <w:color w:val="231F20"/>
          <w:spacing w:val="-26"/>
        </w:rPr>
        <w:t xml:space="preserve"> </w:t>
      </w:r>
      <w:r>
        <w:rPr>
          <w:color w:val="231F20"/>
        </w:rPr>
        <w:t>strategies</w:t>
      </w:r>
      <w:r>
        <w:rPr>
          <w:color w:val="231F20"/>
          <w:spacing w:val="-25"/>
        </w:rPr>
        <w:t xml:space="preserve"> </w:t>
      </w:r>
      <w:r>
        <w:rPr>
          <w:color w:val="231F20"/>
        </w:rPr>
        <w:t>and</w:t>
      </w:r>
      <w:r>
        <w:rPr>
          <w:color w:val="231F20"/>
          <w:spacing w:val="-25"/>
        </w:rPr>
        <w:t xml:space="preserve"> </w:t>
      </w:r>
      <w:r>
        <w:rPr>
          <w:color w:val="231F20"/>
        </w:rPr>
        <w:t>costing</w:t>
      </w:r>
      <w:r>
        <w:rPr>
          <w:color w:val="231F20"/>
          <w:spacing w:val="-25"/>
        </w:rPr>
        <w:t xml:space="preserve"> </w:t>
      </w:r>
      <w:r>
        <w:rPr>
          <w:color w:val="231F20"/>
        </w:rPr>
        <w:t>of</w:t>
      </w:r>
      <w:r>
        <w:rPr>
          <w:color w:val="231F20"/>
          <w:spacing w:val="-25"/>
        </w:rPr>
        <w:t xml:space="preserve"> </w:t>
      </w:r>
      <w:r>
        <w:rPr>
          <w:color w:val="231F20"/>
        </w:rPr>
        <w:t>key</w:t>
      </w:r>
      <w:r>
        <w:rPr>
          <w:color w:val="231F20"/>
          <w:spacing w:val="-25"/>
        </w:rPr>
        <w:t xml:space="preserve"> </w:t>
      </w:r>
      <w:r>
        <w:rPr>
          <w:color w:val="231F20"/>
        </w:rPr>
        <w:t>actions</w:t>
      </w:r>
      <w:r>
        <w:rPr>
          <w:color w:val="231F20"/>
          <w:spacing w:val="-25"/>
        </w:rPr>
        <w:t xml:space="preserve"> </w:t>
      </w:r>
      <w:r>
        <w:rPr>
          <w:color w:val="231F20"/>
        </w:rPr>
        <w:t>and;</w:t>
      </w:r>
    </w:p>
    <w:p w14:paraId="37D3D06B" w14:textId="77777777" w:rsidR="009948F1" w:rsidRDefault="00BC0563">
      <w:pPr>
        <w:pStyle w:val="ListParagraph"/>
        <w:numPr>
          <w:ilvl w:val="2"/>
          <w:numId w:val="255"/>
        </w:numPr>
        <w:tabs>
          <w:tab w:val="left" w:pos="1578"/>
        </w:tabs>
        <w:spacing w:before="51" w:line="288" w:lineRule="auto"/>
        <w:ind w:left="1577" w:right="138"/>
      </w:pPr>
      <w:r>
        <w:rPr>
          <w:color w:val="231F20"/>
        </w:rPr>
        <w:t>The</w:t>
      </w:r>
      <w:r>
        <w:rPr>
          <w:color w:val="231F20"/>
          <w:spacing w:val="-5"/>
        </w:rPr>
        <w:t xml:space="preserve"> </w:t>
      </w:r>
      <w:r>
        <w:rPr>
          <w:color w:val="231F20"/>
        </w:rPr>
        <w:t>modeling</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costing</w:t>
      </w:r>
      <w:r>
        <w:rPr>
          <w:color w:val="231F20"/>
          <w:spacing w:val="-5"/>
        </w:rPr>
        <w:t xml:space="preserve"> </w:t>
      </w:r>
      <w:r>
        <w:rPr>
          <w:color w:val="231F20"/>
        </w:rPr>
        <w:t>and</w:t>
      </w:r>
      <w:r>
        <w:rPr>
          <w:color w:val="231F20"/>
          <w:spacing w:val="-4"/>
        </w:rPr>
        <w:t xml:space="preserve"> </w:t>
      </w:r>
      <w:r>
        <w:rPr>
          <w:color w:val="231F20"/>
        </w:rPr>
        <w:t>impact</w:t>
      </w:r>
      <w:r>
        <w:rPr>
          <w:color w:val="231F20"/>
          <w:spacing w:val="-4"/>
        </w:rPr>
        <w:t xml:space="preserve"> </w:t>
      </w:r>
      <w:r>
        <w:rPr>
          <w:color w:val="231F20"/>
        </w:rPr>
        <w:t>facilitated</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Zonal</w:t>
      </w:r>
      <w:r>
        <w:rPr>
          <w:color w:val="231F20"/>
          <w:spacing w:val="-4"/>
        </w:rPr>
        <w:t xml:space="preserve"> </w:t>
      </w:r>
      <w:r>
        <w:rPr>
          <w:color w:val="231F20"/>
        </w:rPr>
        <w:t>Costing</w:t>
      </w:r>
      <w:r>
        <w:rPr>
          <w:color w:val="231F20"/>
          <w:spacing w:val="-4"/>
        </w:rPr>
        <w:t xml:space="preserve"> </w:t>
      </w:r>
      <w:r>
        <w:rPr>
          <w:color w:val="231F20"/>
        </w:rPr>
        <w:t>Consultant with the</w:t>
      </w:r>
      <w:r>
        <w:rPr>
          <w:color w:val="231F20"/>
          <w:spacing w:val="-50"/>
        </w:rPr>
        <w:t xml:space="preserve"> </w:t>
      </w:r>
      <w:r>
        <w:rPr>
          <w:color w:val="231F20"/>
          <w:spacing w:val="-7"/>
        </w:rPr>
        <w:t>OHT.</w:t>
      </w:r>
    </w:p>
    <w:p w14:paraId="53EF5CE8" w14:textId="77777777" w:rsidR="009948F1" w:rsidRDefault="00BC0563">
      <w:pPr>
        <w:pStyle w:val="BodyText"/>
        <w:spacing w:before="2" w:line="288" w:lineRule="auto"/>
        <w:ind w:left="137" w:right="138"/>
        <w:jc w:val="both"/>
      </w:pPr>
      <w:r>
        <w:rPr>
          <w:color w:val="231F20"/>
        </w:rPr>
        <w:t xml:space="preserve">In addition to the </w:t>
      </w:r>
      <w:r>
        <w:rPr>
          <w:color w:val="231F20"/>
          <w:spacing w:val="-5"/>
        </w:rPr>
        <w:t xml:space="preserve">Total </w:t>
      </w:r>
      <w:r>
        <w:rPr>
          <w:color w:val="231F20"/>
        </w:rPr>
        <w:t xml:space="preserve">Cost of the strategy, impact estimates are presented for different </w:t>
      </w:r>
      <w:r>
        <w:rPr>
          <w:color w:val="231F20"/>
          <w:spacing w:val="-4"/>
        </w:rPr>
        <w:t xml:space="preserve">cost </w:t>
      </w:r>
      <w:r>
        <w:rPr>
          <w:color w:val="231F20"/>
        </w:rPr>
        <w:t>scenarios</w:t>
      </w:r>
      <w:r>
        <w:rPr>
          <w:color w:val="231F20"/>
          <w:spacing w:val="-13"/>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rPr>
        <w:t>chapter.</w:t>
      </w:r>
      <w:r>
        <w:rPr>
          <w:color w:val="231F20"/>
          <w:spacing w:val="-17"/>
        </w:rPr>
        <w:t xml:space="preserve"> </w:t>
      </w:r>
      <w:r>
        <w:rPr>
          <w:color w:val="231F20"/>
        </w:rPr>
        <w:t>Three</w:t>
      </w:r>
      <w:r>
        <w:rPr>
          <w:color w:val="231F20"/>
          <w:spacing w:val="-13"/>
        </w:rPr>
        <w:t xml:space="preserve"> </w:t>
      </w:r>
      <w:r>
        <w:rPr>
          <w:color w:val="231F20"/>
        </w:rPr>
        <w:t>policy</w:t>
      </w:r>
      <w:r>
        <w:rPr>
          <w:color w:val="231F20"/>
          <w:spacing w:val="-13"/>
        </w:rPr>
        <w:t xml:space="preserve"> </w:t>
      </w:r>
      <w:r>
        <w:rPr>
          <w:color w:val="231F20"/>
        </w:rPr>
        <w:t>scenarios</w:t>
      </w:r>
      <w:r>
        <w:rPr>
          <w:color w:val="231F20"/>
          <w:spacing w:val="-13"/>
        </w:rPr>
        <w:t xml:space="preserve"> </w:t>
      </w:r>
      <w:r>
        <w:rPr>
          <w:color w:val="231F20"/>
        </w:rPr>
        <w:t>have</w:t>
      </w:r>
      <w:r>
        <w:rPr>
          <w:color w:val="231F20"/>
          <w:spacing w:val="-13"/>
        </w:rPr>
        <w:t xml:space="preserve"> </w:t>
      </w:r>
      <w:r>
        <w:rPr>
          <w:color w:val="231F20"/>
        </w:rPr>
        <w:t>been</w:t>
      </w:r>
      <w:r>
        <w:rPr>
          <w:color w:val="231F20"/>
          <w:spacing w:val="-13"/>
        </w:rPr>
        <w:t xml:space="preserve"> </w:t>
      </w:r>
      <w:r>
        <w:rPr>
          <w:color w:val="231F20"/>
        </w:rPr>
        <w:t>modelled</w:t>
      </w:r>
      <w:r>
        <w:rPr>
          <w:color w:val="231F20"/>
          <w:spacing w:val="-13"/>
        </w:rPr>
        <w:t xml:space="preserve"> </w:t>
      </w:r>
      <w:r>
        <w:rPr>
          <w:color w:val="231F20"/>
        </w:rPr>
        <w:t>for</w:t>
      </w:r>
      <w:r>
        <w:rPr>
          <w:color w:val="231F20"/>
          <w:spacing w:val="-13"/>
        </w:rPr>
        <w:t xml:space="preserve"> </w:t>
      </w:r>
      <w:r>
        <w:rPr>
          <w:color w:val="231F20"/>
        </w:rPr>
        <w:t>costs</w:t>
      </w:r>
      <w:r>
        <w:rPr>
          <w:color w:val="231F20"/>
          <w:spacing w:val="-13"/>
        </w:rPr>
        <w:t xml:space="preserve"> </w:t>
      </w:r>
      <w:r>
        <w:rPr>
          <w:color w:val="231F20"/>
        </w:rPr>
        <w:t>and</w:t>
      </w:r>
      <w:r>
        <w:rPr>
          <w:color w:val="231F20"/>
          <w:spacing w:val="-13"/>
        </w:rPr>
        <w:t xml:space="preserve"> </w:t>
      </w:r>
      <w:r>
        <w:rPr>
          <w:color w:val="231F20"/>
        </w:rPr>
        <w:t>impact</w:t>
      </w:r>
      <w:r>
        <w:rPr>
          <w:color w:val="231F20"/>
          <w:spacing w:val="-13"/>
        </w:rPr>
        <w:t xml:space="preserve"> </w:t>
      </w:r>
      <w:r>
        <w:rPr>
          <w:color w:val="231F20"/>
        </w:rPr>
        <w:t>to</w:t>
      </w:r>
      <w:r>
        <w:rPr>
          <w:color w:val="231F20"/>
          <w:spacing w:val="-13"/>
        </w:rPr>
        <w:t xml:space="preserve"> </w:t>
      </w:r>
      <w:r>
        <w:rPr>
          <w:color w:val="231F20"/>
        </w:rPr>
        <w:t>guide stakeholders in arriving at the more cost-effective investment pathway for improving the health status</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within</w:t>
      </w:r>
      <w:r>
        <w:rPr>
          <w:color w:val="231F20"/>
          <w:spacing w:val="-13"/>
        </w:rPr>
        <w:t xml:space="preserve"> </w:t>
      </w:r>
      <w:r>
        <w:rPr>
          <w:color w:val="231F20"/>
        </w:rPr>
        <w:t>limits</w:t>
      </w:r>
      <w:r>
        <w:rPr>
          <w:color w:val="231F20"/>
          <w:spacing w:val="-13"/>
        </w:rPr>
        <w:t xml:space="preserve"> </w:t>
      </w:r>
      <w:r>
        <w:rPr>
          <w:color w:val="231F20"/>
        </w:rPr>
        <w:t>of</w:t>
      </w:r>
      <w:r>
        <w:rPr>
          <w:color w:val="231F20"/>
          <w:spacing w:val="-13"/>
        </w:rPr>
        <w:t xml:space="preserve"> </w:t>
      </w:r>
      <w:r>
        <w:rPr>
          <w:color w:val="231F20"/>
        </w:rPr>
        <w:t>available</w:t>
      </w:r>
      <w:r>
        <w:rPr>
          <w:color w:val="231F20"/>
          <w:spacing w:val="-13"/>
        </w:rPr>
        <w:t xml:space="preserve"> </w:t>
      </w:r>
      <w:r>
        <w:rPr>
          <w:color w:val="231F20"/>
        </w:rPr>
        <w:t>resources.</w:t>
      </w:r>
      <w:r>
        <w:rPr>
          <w:color w:val="231F20"/>
          <w:spacing w:val="-13"/>
        </w:rPr>
        <w:t xml:space="preserve"> </w:t>
      </w:r>
      <w:r>
        <w:rPr>
          <w:color w:val="231F20"/>
        </w:rPr>
        <w:t>While</w:t>
      </w:r>
      <w:r>
        <w:rPr>
          <w:color w:val="231F20"/>
          <w:spacing w:val="-13"/>
        </w:rPr>
        <w:t xml:space="preserve"> </w:t>
      </w:r>
      <w:r>
        <w:rPr>
          <w:color w:val="231F20"/>
        </w:rPr>
        <w:t>a</w:t>
      </w:r>
      <w:r>
        <w:rPr>
          <w:color w:val="231F20"/>
          <w:spacing w:val="-13"/>
        </w:rPr>
        <w:t xml:space="preserve"> </w:t>
      </w:r>
      <w:r>
        <w:rPr>
          <w:color w:val="231F20"/>
        </w:rPr>
        <w:t>more</w:t>
      </w:r>
      <w:r>
        <w:rPr>
          <w:color w:val="231F20"/>
          <w:spacing w:val="-13"/>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of the</w:t>
      </w:r>
      <w:r>
        <w:rPr>
          <w:color w:val="231F20"/>
          <w:spacing w:val="-16"/>
        </w:rPr>
        <w:t xml:space="preserve"> </w:t>
      </w:r>
      <w:r>
        <w:rPr>
          <w:color w:val="231F20"/>
        </w:rPr>
        <w:t>three</w:t>
      </w:r>
      <w:r>
        <w:rPr>
          <w:color w:val="231F20"/>
          <w:spacing w:val="-15"/>
        </w:rPr>
        <w:t xml:space="preserve"> </w:t>
      </w:r>
      <w:r>
        <w:rPr>
          <w:color w:val="231F20"/>
        </w:rPr>
        <w:t>scenarios</w:t>
      </w:r>
      <w:r>
        <w:rPr>
          <w:color w:val="231F20"/>
          <w:spacing w:val="-15"/>
        </w:rPr>
        <w:t xml:space="preserve"> </w:t>
      </w:r>
      <w:r>
        <w:rPr>
          <w:color w:val="231F20"/>
        </w:rPr>
        <w:t>is</w:t>
      </w:r>
      <w:r>
        <w:rPr>
          <w:color w:val="231F20"/>
          <w:spacing w:val="-15"/>
        </w:rPr>
        <w:t xml:space="preserve"> </w:t>
      </w:r>
      <w:r>
        <w:rPr>
          <w:color w:val="231F20"/>
        </w:rPr>
        <w:t>discussed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next</w:t>
      </w:r>
      <w:r>
        <w:rPr>
          <w:color w:val="231F20"/>
          <w:spacing w:val="-15"/>
        </w:rPr>
        <w:t xml:space="preserve"> </w:t>
      </w:r>
      <w:r>
        <w:rPr>
          <w:color w:val="231F20"/>
        </w:rPr>
        <w:t>section,</w:t>
      </w:r>
      <w:r>
        <w:rPr>
          <w:color w:val="231F20"/>
          <w:spacing w:val="-15"/>
        </w:rPr>
        <w:t xml:space="preserve"> </w:t>
      </w:r>
      <w:r>
        <w:rPr>
          <w:color w:val="231F20"/>
        </w:rPr>
        <w:t>other</w:t>
      </w:r>
      <w:r>
        <w:rPr>
          <w:color w:val="231F20"/>
          <w:spacing w:val="-15"/>
        </w:rPr>
        <w:t xml:space="preserve"> </w:t>
      </w:r>
      <w:r>
        <w:rPr>
          <w:color w:val="231F20"/>
        </w:rPr>
        <w:t>assumptions</w:t>
      </w:r>
      <w:r>
        <w:rPr>
          <w:color w:val="231F20"/>
          <w:spacing w:val="-15"/>
        </w:rPr>
        <w:t xml:space="preserve"> </w:t>
      </w:r>
      <w:r>
        <w:rPr>
          <w:color w:val="231F20"/>
        </w:rPr>
        <w:t>considered</w:t>
      </w:r>
      <w:r>
        <w:rPr>
          <w:color w:val="231F20"/>
          <w:spacing w:val="-15"/>
        </w:rPr>
        <w:t xml:space="preserve"> </w:t>
      </w:r>
      <w:r>
        <w:rPr>
          <w:color w:val="231F20"/>
        </w:rPr>
        <w:t>in</w:t>
      </w:r>
      <w:r>
        <w:rPr>
          <w:color w:val="231F20"/>
          <w:spacing w:val="-15"/>
        </w:rPr>
        <w:t xml:space="preserve"> </w:t>
      </w:r>
      <w:r>
        <w:rPr>
          <w:color w:val="231F20"/>
        </w:rPr>
        <w:t>arriving</w:t>
      </w:r>
      <w:r>
        <w:rPr>
          <w:color w:val="231F20"/>
          <w:spacing w:val="-15"/>
        </w:rPr>
        <w:t xml:space="preserve"> </w:t>
      </w:r>
      <w:r>
        <w:rPr>
          <w:color w:val="231F20"/>
        </w:rPr>
        <w:t>at</w:t>
      </w:r>
      <w:r>
        <w:rPr>
          <w:color w:val="231F20"/>
          <w:spacing w:val="-15"/>
        </w:rPr>
        <w:t xml:space="preserve"> </w:t>
      </w:r>
      <w:r>
        <w:rPr>
          <w:color w:val="231F20"/>
          <w:spacing w:val="-4"/>
        </w:rPr>
        <w:t xml:space="preserve">the </w:t>
      </w:r>
      <w:r>
        <w:rPr>
          <w:color w:val="231F20"/>
        </w:rPr>
        <w:t>total</w:t>
      </w:r>
      <w:r>
        <w:rPr>
          <w:color w:val="231F20"/>
          <w:spacing w:val="-25"/>
        </w:rPr>
        <w:t xml:space="preserve"> </w:t>
      </w:r>
      <w:r>
        <w:rPr>
          <w:color w:val="231F20"/>
        </w:rPr>
        <w:t>Cost</w:t>
      </w:r>
      <w:r>
        <w:rPr>
          <w:color w:val="231F20"/>
          <w:spacing w:val="-26"/>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National</w:t>
      </w:r>
      <w:r>
        <w:rPr>
          <w:color w:val="231F20"/>
          <w:spacing w:val="-25"/>
        </w:rPr>
        <w:t xml:space="preserve"> </w:t>
      </w:r>
      <w:r>
        <w:rPr>
          <w:color w:val="231F20"/>
        </w:rPr>
        <w:t>Strategy</w:t>
      </w:r>
      <w:r>
        <w:rPr>
          <w:color w:val="231F20"/>
          <w:spacing w:val="-25"/>
        </w:rPr>
        <w:t xml:space="preserve"> </w:t>
      </w:r>
      <w:r>
        <w:rPr>
          <w:color w:val="231F20"/>
        </w:rPr>
        <w:t>include</w:t>
      </w:r>
      <w:r>
        <w:rPr>
          <w:color w:val="231F20"/>
          <w:spacing w:val="-25"/>
        </w:rPr>
        <w:t xml:space="preserve"> </w:t>
      </w:r>
      <w:r>
        <w:rPr>
          <w:color w:val="231F20"/>
        </w:rPr>
        <w:t>the</w:t>
      </w:r>
      <w:r>
        <w:rPr>
          <w:color w:val="231F20"/>
          <w:spacing w:val="-25"/>
        </w:rPr>
        <w:t xml:space="preserve"> </w:t>
      </w:r>
      <w:r>
        <w:rPr>
          <w:color w:val="231F20"/>
        </w:rPr>
        <w:t>following:</w:t>
      </w:r>
    </w:p>
    <w:p w14:paraId="20CC12E4" w14:textId="77777777" w:rsidR="009948F1" w:rsidRDefault="00BC0563">
      <w:pPr>
        <w:pStyle w:val="BodyText"/>
        <w:spacing w:line="239" w:lineRule="exact"/>
        <w:ind w:left="497"/>
        <w:jc w:val="both"/>
      </w:pPr>
      <w:r>
        <w:rPr>
          <w:rFonts w:ascii="Symbol" w:hAnsi="Symbol"/>
          <w:color w:val="231F20"/>
          <w:spacing w:val="-248"/>
          <w:w w:val="600"/>
        </w:rPr>
        <w:t></w:t>
      </w:r>
      <w:r>
        <w:rPr>
          <w:color w:val="231F20"/>
          <w:w w:val="99"/>
        </w:rPr>
        <w:t>The</w:t>
      </w:r>
      <w:r>
        <w:rPr>
          <w:color w:val="231F20"/>
          <w:spacing w:val="27"/>
          <w:w w:val="99"/>
        </w:rPr>
        <w:t xml:space="preserve"> </w:t>
      </w:r>
      <w:r>
        <w:rPr>
          <w:color w:val="231F20"/>
          <w:w w:val="99"/>
        </w:rPr>
        <w:t>population</w:t>
      </w:r>
      <w:r>
        <w:rPr>
          <w:color w:val="231F20"/>
          <w:spacing w:val="27"/>
        </w:rPr>
        <w:t xml:space="preserve"> </w:t>
      </w:r>
      <w:r>
        <w:rPr>
          <w:color w:val="231F20"/>
        </w:rPr>
        <w:t>estimate</w:t>
      </w:r>
      <w:r>
        <w:rPr>
          <w:color w:val="231F20"/>
          <w:spacing w:val="27"/>
        </w:rPr>
        <w:t xml:space="preserve"> </w:t>
      </w:r>
      <w:r>
        <w:rPr>
          <w:color w:val="231F20"/>
        </w:rPr>
        <w:t>for</w:t>
      </w:r>
      <w:r>
        <w:rPr>
          <w:color w:val="231F20"/>
          <w:spacing w:val="27"/>
        </w:rPr>
        <w:t xml:space="preserve"> </w:t>
      </w:r>
      <w:r>
        <w:rPr>
          <w:color w:val="231F20"/>
        </w:rPr>
        <w:t>the</w:t>
      </w:r>
      <w:r>
        <w:rPr>
          <w:color w:val="231F20"/>
          <w:spacing w:val="27"/>
        </w:rPr>
        <w:t xml:space="preserve"> </w:t>
      </w:r>
      <w:r>
        <w:rPr>
          <w:color w:val="231F20"/>
          <w:w w:val="99"/>
        </w:rPr>
        <w:t>three</w:t>
      </w:r>
      <w:r>
        <w:rPr>
          <w:color w:val="231F20"/>
          <w:spacing w:val="27"/>
        </w:rPr>
        <w:t xml:space="preserve"> </w:t>
      </w:r>
      <w:r>
        <w:rPr>
          <w:color w:val="231F20"/>
          <w:w w:val="99"/>
        </w:rPr>
        <w:t>scenarios</w:t>
      </w:r>
      <w:r>
        <w:rPr>
          <w:color w:val="231F20"/>
          <w:spacing w:val="27"/>
        </w:rPr>
        <w:t xml:space="preserve"> </w:t>
      </w:r>
      <w:r>
        <w:rPr>
          <w:color w:val="231F20"/>
          <w:w w:val="99"/>
        </w:rPr>
        <w:t>was</w:t>
      </w:r>
      <w:r>
        <w:rPr>
          <w:color w:val="231F20"/>
          <w:spacing w:val="27"/>
        </w:rPr>
        <w:t xml:space="preserve"> </w:t>
      </w:r>
      <w:r>
        <w:rPr>
          <w:color w:val="231F20"/>
          <w:w w:val="99"/>
        </w:rPr>
        <w:t>based</w:t>
      </w:r>
      <w:r>
        <w:rPr>
          <w:color w:val="231F20"/>
          <w:spacing w:val="27"/>
        </w:rPr>
        <w:t xml:space="preserve"> </w:t>
      </w:r>
      <w:r>
        <w:rPr>
          <w:color w:val="231F20"/>
          <w:w w:val="99"/>
        </w:rPr>
        <w:t>on</w:t>
      </w:r>
      <w:r>
        <w:rPr>
          <w:color w:val="231F20"/>
          <w:spacing w:val="27"/>
        </w:rPr>
        <w:t xml:space="preserve"> </w:t>
      </w:r>
      <w:proofErr w:type="spellStart"/>
      <w:r>
        <w:rPr>
          <w:color w:val="231F20"/>
          <w:w w:val="99"/>
        </w:rPr>
        <w:t>NpopC</w:t>
      </w:r>
      <w:proofErr w:type="spellEnd"/>
      <w:r>
        <w:rPr>
          <w:color w:val="231F20"/>
          <w:spacing w:val="27"/>
        </w:rPr>
        <w:t xml:space="preserve"> </w:t>
      </w:r>
      <w:r>
        <w:rPr>
          <w:color w:val="231F20"/>
          <w:w w:val="99"/>
        </w:rPr>
        <w:t>projections,</w:t>
      </w:r>
      <w:r>
        <w:rPr>
          <w:color w:val="231F20"/>
          <w:spacing w:val="27"/>
        </w:rPr>
        <w:t xml:space="preserve"> </w:t>
      </w:r>
      <w:r>
        <w:rPr>
          <w:color w:val="231F20"/>
          <w:w w:val="99"/>
        </w:rPr>
        <w:t>and</w:t>
      </w:r>
    </w:p>
    <w:p w14:paraId="4FFD69CD" w14:textId="77777777" w:rsidR="009948F1" w:rsidRDefault="00BC0563">
      <w:pPr>
        <w:pStyle w:val="BodyText"/>
        <w:spacing w:before="29" w:line="268" w:lineRule="auto"/>
        <w:ind w:left="857" w:right="139"/>
        <w:jc w:val="both"/>
      </w:pPr>
      <w:r>
        <w:rPr>
          <w:color w:val="231F20"/>
        </w:rPr>
        <w:t>currency</w:t>
      </w:r>
      <w:r>
        <w:rPr>
          <w:color w:val="231F20"/>
          <w:spacing w:val="-24"/>
        </w:rPr>
        <w:t xml:space="preserve"> </w:t>
      </w:r>
      <w:r>
        <w:rPr>
          <w:color w:val="231F20"/>
        </w:rPr>
        <w:t>rate</w:t>
      </w:r>
      <w:r>
        <w:rPr>
          <w:color w:val="231F20"/>
          <w:spacing w:val="-24"/>
        </w:rPr>
        <w:t xml:space="preserve"> </w:t>
      </w:r>
      <w:r>
        <w:rPr>
          <w:color w:val="231F20"/>
        </w:rPr>
        <w:t>is</w:t>
      </w:r>
      <w:r>
        <w:rPr>
          <w:color w:val="231F20"/>
          <w:spacing w:val="-24"/>
        </w:rPr>
        <w:t xml:space="preserve"> </w:t>
      </w:r>
      <w:r>
        <w:rPr>
          <w:color w:val="231F20"/>
        </w:rPr>
        <w:t>set</w:t>
      </w:r>
      <w:r>
        <w:rPr>
          <w:color w:val="231F20"/>
          <w:spacing w:val="-24"/>
        </w:rPr>
        <w:t xml:space="preserve"> </w:t>
      </w:r>
      <w:r>
        <w:rPr>
          <w:color w:val="231F20"/>
        </w:rPr>
        <w:t>at</w:t>
      </w:r>
      <w:r>
        <w:rPr>
          <w:color w:val="231F20"/>
          <w:spacing w:val="-24"/>
        </w:rPr>
        <w:t xml:space="preserve"> </w:t>
      </w:r>
      <w:r>
        <w:rPr>
          <w:color w:val="231F20"/>
        </w:rPr>
        <w:t>N305/US$.</w:t>
      </w:r>
      <w:r>
        <w:rPr>
          <w:color w:val="231F20"/>
          <w:spacing w:val="-24"/>
        </w:rPr>
        <w:t xml:space="preserve"> </w:t>
      </w:r>
      <w:r>
        <w:rPr>
          <w:color w:val="231F20"/>
        </w:rPr>
        <w:t>2016</w:t>
      </w:r>
      <w:r>
        <w:rPr>
          <w:color w:val="231F20"/>
          <w:spacing w:val="-24"/>
        </w:rPr>
        <w:t xml:space="preserve"> </w:t>
      </w:r>
      <w:r>
        <w:rPr>
          <w:color w:val="231F20"/>
        </w:rPr>
        <w:t>was</w:t>
      </w:r>
      <w:r>
        <w:rPr>
          <w:color w:val="231F20"/>
          <w:spacing w:val="-24"/>
        </w:rPr>
        <w:t xml:space="preserve"> </w:t>
      </w:r>
      <w:r>
        <w:rPr>
          <w:color w:val="231F20"/>
        </w:rPr>
        <w:t>adopted</w:t>
      </w:r>
      <w:r>
        <w:rPr>
          <w:color w:val="231F20"/>
          <w:spacing w:val="-23"/>
        </w:rPr>
        <w:t xml:space="preserve"> </w:t>
      </w:r>
      <w:r>
        <w:rPr>
          <w:color w:val="231F20"/>
        </w:rPr>
        <w:t>as</w:t>
      </w:r>
      <w:r>
        <w:rPr>
          <w:color w:val="231F20"/>
          <w:spacing w:val="-24"/>
        </w:rPr>
        <w:t xml:space="preserve"> </w:t>
      </w:r>
      <w:r>
        <w:rPr>
          <w:color w:val="231F20"/>
        </w:rPr>
        <w:t>the</w:t>
      </w:r>
      <w:r>
        <w:rPr>
          <w:color w:val="231F20"/>
          <w:spacing w:val="-24"/>
        </w:rPr>
        <w:t xml:space="preserve"> </w:t>
      </w:r>
      <w:r>
        <w:rPr>
          <w:color w:val="231F20"/>
        </w:rPr>
        <w:t>base</w:t>
      </w:r>
      <w:r>
        <w:rPr>
          <w:color w:val="231F20"/>
          <w:spacing w:val="-24"/>
        </w:rPr>
        <w:t xml:space="preserve"> </w:t>
      </w:r>
      <w:r>
        <w:rPr>
          <w:color w:val="231F20"/>
          <w:spacing w:val="-3"/>
        </w:rPr>
        <w:t>year,</w:t>
      </w:r>
      <w:r>
        <w:rPr>
          <w:color w:val="231F20"/>
          <w:spacing w:val="-24"/>
        </w:rPr>
        <w:t xml:space="preserve"> </w:t>
      </w:r>
      <w:r>
        <w:rPr>
          <w:color w:val="231F20"/>
        </w:rPr>
        <w:t>in</w:t>
      </w:r>
      <w:r>
        <w:rPr>
          <w:color w:val="231F20"/>
          <w:spacing w:val="-24"/>
        </w:rPr>
        <w:t xml:space="preserve"> </w:t>
      </w:r>
      <w:r>
        <w:rPr>
          <w:color w:val="231F20"/>
        </w:rPr>
        <w:t>accordance</w:t>
      </w:r>
      <w:r>
        <w:rPr>
          <w:color w:val="231F20"/>
          <w:spacing w:val="-24"/>
        </w:rPr>
        <w:t xml:space="preserve"> </w:t>
      </w:r>
      <w:r>
        <w:rPr>
          <w:color w:val="231F20"/>
        </w:rPr>
        <w:t>with</w:t>
      </w:r>
      <w:r>
        <w:rPr>
          <w:color w:val="231F20"/>
          <w:spacing w:val="-24"/>
        </w:rPr>
        <w:t xml:space="preserve"> </w:t>
      </w:r>
      <w:r>
        <w:rPr>
          <w:color w:val="231F20"/>
          <w:spacing w:val="-4"/>
        </w:rPr>
        <w:t xml:space="preserve">the </w:t>
      </w:r>
      <w:r>
        <w:rPr>
          <w:color w:val="231F20"/>
        </w:rPr>
        <w:t>national</w:t>
      </w:r>
      <w:r>
        <w:rPr>
          <w:color w:val="231F20"/>
          <w:spacing w:val="-26"/>
        </w:rPr>
        <w:t xml:space="preserve"> </w:t>
      </w:r>
      <w:r>
        <w:rPr>
          <w:color w:val="231F20"/>
        </w:rPr>
        <w:t>council</w:t>
      </w:r>
      <w:r>
        <w:rPr>
          <w:color w:val="231F20"/>
          <w:spacing w:val="-25"/>
        </w:rPr>
        <w:t xml:space="preserve"> </w:t>
      </w:r>
      <w:r>
        <w:rPr>
          <w:color w:val="231F20"/>
        </w:rPr>
        <w:t>of</w:t>
      </w:r>
      <w:r>
        <w:rPr>
          <w:color w:val="231F20"/>
          <w:spacing w:val="-25"/>
        </w:rPr>
        <w:t xml:space="preserve"> </w:t>
      </w:r>
      <w:r>
        <w:rPr>
          <w:color w:val="231F20"/>
        </w:rPr>
        <w:t>health</w:t>
      </w:r>
      <w:r>
        <w:rPr>
          <w:color w:val="231F20"/>
          <w:spacing w:val="-25"/>
        </w:rPr>
        <w:t xml:space="preserve"> </w:t>
      </w:r>
      <w:r>
        <w:rPr>
          <w:color w:val="231F20"/>
        </w:rPr>
        <w:t>(NCH)</w:t>
      </w:r>
      <w:r>
        <w:rPr>
          <w:color w:val="231F20"/>
          <w:spacing w:val="-25"/>
        </w:rPr>
        <w:t xml:space="preserve"> </w:t>
      </w:r>
      <w:r>
        <w:rPr>
          <w:color w:val="231F20"/>
        </w:rPr>
        <w:t>resolution</w:t>
      </w:r>
      <w:r>
        <w:rPr>
          <w:color w:val="231F20"/>
          <w:spacing w:val="-25"/>
        </w:rPr>
        <w:t xml:space="preserve"> </w:t>
      </w:r>
      <w:r>
        <w:rPr>
          <w:color w:val="231F20"/>
        </w:rPr>
        <w:t>stipulating</w:t>
      </w:r>
      <w:r>
        <w:rPr>
          <w:color w:val="231F20"/>
          <w:spacing w:val="-25"/>
        </w:rPr>
        <w:t xml:space="preserve"> </w:t>
      </w:r>
      <w:r>
        <w:rPr>
          <w:color w:val="231F20"/>
        </w:rPr>
        <w:t>2018-2022</w:t>
      </w:r>
      <w:r>
        <w:rPr>
          <w:color w:val="231F20"/>
          <w:spacing w:val="-25"/>
        </w:rPr>
        <w:t xml:space="preserve"> </w:t>
      </w:r>
      <w:r>
        <w:rPr>
          <w:color w:val="231F20"/>
        </w:rPr>
        <w:t>as</w:t>
      </w:r>
      <w:r>
        <w:rPr>
          <w:color w:val="231F20"/>
          <w:spacing w:val="-25"/>
        </w:rPr>
        <w:t xml:space="preserve"> </w:t>
      </w:r>
      <w:r>
        <w:rPr>
          <w:color w:val="231F20"/>
        </w:rPr>
        <w:t>the</w:t>
      </w:r>
      <w:r>
        <w:rPr>
          <w:color w:val="231F20"/>
          <w:spacing w:val="-26"/>
        </w:rPr>
        <w:t xml:space="preserve"> </w:t>
      </w:r>
      <w:r>
        <w:rPr>
          <w:color w:val="231F20"/>
        </w:rPr>
        <w:t>duration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plan.</w:t>
      </w:r>
    </w:p>
    <w:p w14:paraId="47D0C76C" w14:textId="77777777" w:rsidR="009948F1" w:rsidRDefault="00BC0563">
      <w:pPr>
        <w:pStyle w:val="BodyText"/>
        <w:spacing w:line="266" w:lineRule="auto"/>
        <w:ind w:left="857" w:right="139" w:hanging="360"/>
        <w:jc w:val="both"/>
      </w:pPr>
      <w:r>
        <w:rPr>
          <w:rFonts w:ascii="Symbol" w:hAnsi="Symbol"/>
          <w:color w:val="231F20"/>
          <w:spacing w:val="-248"/>
          <w:w w:val="600"/>
        </w:rPr>
        <w:t></w:t>
      </w:r>
      <w:r>
        <w:rPr>
          <w:color w:val="231F20"/>
          <w:w w:val="99"/>
        </w:rPr>
        <w:t>Baseline</w:t>
      </w:r>
      <w:r>
        <w:rPr>
          <w:color w:val="231F20"/>
        </w:rPr>
        <w:t xml:space="preserve">  mortality  </w:t>
      </w:r>
      <w:r>
        <w:rPr>
          <w:color w:val="231F20"/>
          <w:w w:val="99"/>
        </w:rPr>
        <w:t>ratios</w:t>
      </w:r>
      <w:r>
        <w:rPr>
          <w:color w:val="231F20"/>
        </w:rPr>
        <w:t xml:space="preserve">  for  </w:t>
      </w:r>
      <w:r>
        <w:rPr>
          <w:color w:val="231F20"/>
          <w:w w:val="99"/>
        </w:rPr>
        <w:t>maternal,</w:t>
      </w:r>
      <w:r>
        <w:rPr>
          <w:color w:val="231F20"/>
        </w:rPr>
        <w:t xml:space="preserve">  </w:t>
      </w:r>
      <w:r>
        <w:rPr>
          <w:color w:val="231F20"/>
          <w:w w:val="99"/>
        </w:rPr>
        <w:t>neo-natal</w:t>
      </w:r>
      <w:r>
        <w:rPr>
          <w:color w:val="231F20"/>
        </w:rPr>
        <w:t xml:space="preserve">  </w:t>
      </w:r>
      <w:r>
        <w:rPr>
          <w:color w:val="231F20"/>
          <w:w w:val="99"/>
        </w:rPr>
        <w:t>and</w:t>
      </w:r>
      <w:r>
        <w:rPr>
          <w:color w:val="231F20"/>
        </w:rPr>
        <w:t xml:space="preserve">  </w:t>
      </w:r>
      <w:r>
        <w:rPr>
          <w:color w:val="231F20"/>
          <w:w w:val="99"/>
        </w:rPr>
        <w:t>under-five</w:t>
      </w:r>
      <w:r>
        <w:rPr>
          <w:color w:val="231F20"/>
        </w:rPr>
        <w:t xml:space="preserve">  </w:t>
      </w:r>
      <w:r>
        <w:rPr>
          <w:color w:val="231F20"/>
          <w:w w:val="99"/>
        </w:rPr>
        <w:t>were</w:t>
      </w:r>
      <w:r>
        <w:rPr>
          <w:color w:val="231F20"/>
        </w:rPr>
        <w:t xml:space="preserve">  </w:t>
      </w:r>
      <w:r>
        <w:rPr>
          <w:color w:val="231F20"/>
          <w:w w:val="99"/>
        </w:rPr>
        <w:t>obtained</w:t>
      </w:r>
      <w:r>
        <w:rPr>
          <w:color w:val="231F20"/>
        </w:rPr>
        <w:t xml:space="preserve">  </w:t>
      </w:r>
      <w:r>
        <w:rPr>
          <w:color w:val="231F20"/>
          <w:spacing w:val="-3"/>
        </w:rPr>
        <w:t>from</w:t>
      </w:r>
      <w:r>
        <w:rPr>
          <w:color w:val="231F20"/>
        </w:rPr>
        <w:t xml:space="preserve"> </w:t>
      </w:r>
      <w:r>
        <w:rPr>
          <w:color w:val="231F20"/>
          <w:w w:val="105"/>
        </w:rPr>
        <w:t>DHS2013, MCIS 2015 and UNDP/NBS published 2014 HDI reports.</w:t>
      </w:r>
    </w:p>
    <w:p w14:paraId="2F7F4DEE" w14:textId="77777777" w:rsidR="009948F1" w:rsidRDefault="00BC0563">
      <w:pPr>
        <w:pStyle w:val="BodyText"/>
        <w:spacing w:line="268" w:lineRule="auto"/>
        <w:ind w:left="857" w:right="139" w:hanging="360"/>
        <w:jc w:val="both"/>
      </w:pPr>
      <w:r>
        <w:rPr>
          <w:rFonts w:ascii="Symbol" w:hAnsi="Symbol"/>
          <w:color w:val="231F20"/>
          <w:spacing w:val="-248"/>
          <w:w w:val="600"/>
        </w:rPr>
        <w:t></w:t>
      </w:r>
      <w:r>
        <w:rPr>
          <w:color w:val="231F20"/>
          <w:w w:val="99"/>
        </w:rPr>
        <w:t>Apparentl</w:t>
      </w:r>
      <w:r>
        <w:rPr>
          <w:color w:val="231F20"/>
          <w:spacing w:val="-17"/>
          <w:w w:val="99"/>
        </w:rPr>
        <w:t>y</w:t>
      </w:r>
      <w:r>
        <w:rPr>
          <w:color w:val="231F20"/>
        </w:rPr>
        <w:t xml:space="preserve">, </w:t>
      </w:r>
      <w:r>
        <w:rPr>
          <w:color w:val="231F20"/>
          <w:w w:val="99"/>
        </w:rPr>
        <w:t>many</w:t>
      </w:r>
      <w:r>
        <w:rPr>
          <w:color w:val="231F20"/>
        </w:rPr>
        <w:t xml:space="preserve"> of the </w:t>
      </w:r>
      <w:r>
        <w:rPr>
          <w:color w:val="231F20"/>
          <w:w w:val="99"/>
        </w:rPr>
        <w:t>health</w:t>
      </w:r>
      <w:r>
        <w:rPr>
          <w:color w:val="231F20"/>
        </w:rPr>
        <w:t xml:space="preserve"> </w:t>
      </w:r>
      <w:r>
        <w:rPr>
          <w:color w:val="231F20"/>
          <w:w w:val="99"/>
        </w:rPr>
        <w:t>service</w:t>
      </w:r>
      <w:r>
        <w:rPr>
          <w:color w:val="231F20"/>
          <w:spacing w:val="-2"/>
        </w:rPr>
        <w:t xml:space="preserve"> </w:t>
      </w:r>
      <w:r>
        <w:rPr>
          <w:color w:val="231F20"/>
          <w:w w:val="99"/>
        </w:rPr>
        <w:t>coverage</w:t>
      </w:r>
      <w:r>
        <w:rPr>
          <w:color w:val="231F20"/>
        </w:rPr>
        <w:t xml:space="preserve"> </w:t>
      </w:r>
      <w:r>
        <w:rPr>
          <w:color w:val="231F20"/>
          <w:w w:val="99"/>
        </w:rPr>
        <w:t>baselines</w:t>
      </w:r>
      <w:r>
        <w:rPr>
          <w:color w:val="231F20"/>
        </w:rPr>
        <w:t xml:space="preserve"> </w:t>
      </w:r>
      <w:r>
        <w:rPr>
          <w:color w:val="231F20"/>
          <w:w w:val="99"/>
        </w:rPr>
        <w:t>were</w:t>
      </w:r>
      <w:r>
        <w:rPr>
          <w:color w:val="231F20"/>
        </w:rPr>
        <w:t xml:space="preserve"> not </w:t>
      </w:r>
      <w:r>
        <w:rPr>
          <w:color w:val="231F20"/>
          <w:w w:val="99"/>
        </w:rPr>
        <w:t>provided</w:t>
      </w:r>
      <w:r>
        <w:rPr>
          <w:color w:val="231F20"/>
        </w:rPr>
        <w:t xml:space="preserve"> for </w:t>
      </w:r>
      <w:r>
        <w:rPr>
          <w:color w:val="231F20"/>
          <w:w w:val="99"/>
        </w:rPr>
        <w:t>2016.</w:t>
      </w:r>
      <w:r>
        <w:rPr>
          <w:color w:val="231F20"/>
          <w:spacing w:val="-6"/>
        </w:rPr>
        <w:t xml:space="preserve"> </w:t>
      </w:r>
      <w:r>
        <w:rPr>
          <w:color w:val="231F20"/>
          <w:spacing w:val="-33"/>
        </w:rPr>
        <w:t>T</w:t>
      </w:r>
      <w:r>
        <w:rPr>
          <w:color w:val="231F20"/>
          <w:spacing w:val="-8"/>
          <w:w w:val="99"/>
        </w:rPr>
        <w:t>o</w:t>
      </w:r>
      <w:r>
        <w:rPr>
          <w:color w:val="231F20"/>
          <w:w w:val="99"/>
        </w:rPr>
        <w:t xml:space="preserve"> </w:t>
      </w:r>
      <w:r>
        <w:rPr>
          <w:color w:val="231F20"/>
        </w:rPr>
        <w:t>address</w:t>
      </w:r>
      <w:r>
        <w:rPr>
          <w:color w:val="231F20"/>
          <w:spacing w:val="-24"/>
        </w:rPr>
        <w:t xml:space="preserve"> </w:t>
      </w:r>
      <w:r>
        <w:rPr>
          <w:color w:val="231F20"/>
        </w:rPr>
        <w:t>this</w:t>
      </w:r>
      <w:r>
        <w:rPr>
          <w:color w:val="231F20"/>
          <w:spacing w:val="-24"/>
        </w:rPr>
        <w:t xml:space="preserve"> </w:t>
      </w:r>
      <w:r>
        <w:rPr>
          <w:color w:val="231F20"/>
        </w:rPr>
        <w:t>gaps</w:t>
      </w:r>
      <w:r>
        <w:rPr>
          <w:color w:val="231F20"/>
          <w:spacing w:val="-24"/>
        </w:rPr>
        <w:t xml:space="preserve"> </w:t>
      </w:r>
      <w:r>
        <w:rPr>
          <w:color w:val="231F20"/>
        </w:rPr>
        <w:t>survey</w:t>
      </w:r>
      <w:r>
        <w:rPr>
          <w:color w:val="231F20"/>
          <w:spacing w:val="-24"/>
        </w:rPr>
        <w:t xml:space="preserve"> </w:t>
      </w:r>
      <w:r>
        <w:rPr>
          <w:color w:val="231F20"/>
        </w:rPr>
        <w:t>data</w:t>
      </w:r>
      <w:r>
        <w:rPr>
          <w:color w:val="231F20"/>
          <w:spacing w:val="-24"/>
        </w:rPr>
        <w:t xml:space="preserve"> </w:t>
      </w:r>
      <w:r>
        <w:rPr>
          <w:color w:val="231F20"/>
        </w:rPr>
        <w:t>from</w:t>
      </w:r>
      <w:r>
        <w:rPr>
          <w:color w:val="231F20"/>
          <w:spacing w:val="-24"/>
        </w:rPr>
        <w:t xml:space="preserve"> </w:t>
      </w:r>
      <w:r>
        <w:rPr>
          <w:color w:val="231F20"/>
        </w:rPr>
        <w:t>MICS</w:t>
      </w:r>
      <w:r>
        <w:rPr>
          <w:color w:val="231F20"/>
          <w:spacing w:val="-24"/>
        </w:rPr>
        <w:t xml:space="preserve"> </w:t>
      </w:r>
      <w:r>
        <w:rPr>
          <w:color w:val="231F20"/>
        </w:rPr>
        <w:t>2015</w:t>
      </w:r>
      <w:r>
        <w:rPr>
          <w:color w:val="231F20"/>
          <w:spacing w:val="-24"/>
        </w:rPr>
        <w:t xml:space="preserve"> </w:t>
      </w:r>
      <w:r>
        <w:rPr>
          <w:color w:val="231F20"/>
        </w:rPr>
        <w:t>and</w:t>
      </w:r>
      <w:r>
        <w:rPr>
          <w:color w:val="231F20"/>
          <w:spacing w:val="-24"/>
        </w:rPr>
        <w:t xml:space="preserve"> </w:t>
      </w:r>
      <w:r>
        <w:rPr>
          <w:color w:val="231F20"/>
        </w:rPr>
        <w:t>DHS</w:t>
      </w:r>
      <w:r>
        <w:rPr>
          <w:color w:val="231F20"/>
          <w:spacing w:val="-24"/>
        </w:rPr>
        <w:t xml:space="preserve"> </w:t>
      </w:r>
      <w:r>
        <w:rPr>
          <w:color w:val="231F20"/>
        </w:rPr>
        <w:t>2013</w:t>
      </w:r>
      <w:r>
        <w:rPr>
          <w:color w:val="231F20"/>
          <w:spacing w:val="-24"/>
        </w:rPr>
        <w:t xml:space="preserve"> </w:t>
      </w:r>
      <w:r>
        <w:rPr>
          <w:color w:val="231F20"/>
        </w:rPr>
        <w:t>were</w:t>
      </w:r>
      <w:r>
        <w:rPr>
          <w:color w:val="231F20"/>
          <w:spacing w:val="-24"/>
        </w:rPr>
        <w:t xml:space="preserve"> </w:t>
      </w:r>
      <w:r>
        <w:rPr>
          <w:color w:val="231F20"/>
        </w:rPr>
        <w:t>applied.</w:t>
      </w:r>
      <w:r>
        <w:rPr>
          <w:color w:val="231F20"/>
          <w:spacing w:val="-24"/>
        </w:rPr>
        <w:t xml:space="preserve"> </w:t>
      </w:r>
      <w:r>
        <w:rPr>
          <w:color w:val="231F20"/>
        </w:rPr>
        <w:t>For</w:t>
      </w:r>
      <w:r>
        <w:rPr>
          <w:color w:val="231F20"/>
          <w:spacing w:val="-24"/>
        </w:rPr>
        <w:t xml:space="preserve"> </w:t>
      </w:r>
      <w:r>
        <w:rPr>
          <w:color w:val="231F20"/>
        </w:rPr>
        <w:t>MNCH</w:t>
      </w:r>
      <w:r>
        <w:rPr>
          <w:color w:val="231F20"/>
          <w:spacing w:val="-24"/>
        </w:rPr>
        <w:t xml:space="preserve"> </w:t>
      </w:r>
      <w:r>
        <w:rPr>
          <w:color w:val="231F20"/>
          <w:spacing w:val="-3"/>
        </w:rPr>
        <w:t xml:space="preserve">data </w:t>
      </w:r>
      <w:r>
        <w:rPr>
          <w:color w:val="231F20"/>
        </w:rPr>
        <w:t>gap</w:t>
      </w:r>
      <w:r>
        <w:rPr>
          <w:color w:val="231F20"/>
          <w:spacing w:val="-10"/>
        </w:rPr>
        <w:t xml:space="preserve"> </w:t>
      </w:r>
      <w:r>
        <w:rPr>
          <w:color w:val="231F20"/>
        </w:rPr>
        <w:t>not</w:t>
      </w:r>
      <w:r>
        <w:rPr>
          <w:color w:val="231F20"/>
          <w:spacing w:val="-10"/>
        </w:rPr>
        <w:t xml:space="preserve"> </w:t>
      </w:r>
      <w:r>
        <w:rPr>
          <w:color w:val="231F20"/>
        </w:rPr>
        <w:t>found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references</w:t>
      </w:r>
      <w:r>
        <w:rPr>
          <w:color w:val="231F20"/>
          <w:spacing w:val="-10"/>
        </w:rPr>
        <w:t xml:space="preserve"> </w:t>
      </w:r>
      <w:r>
        <w:rPr>
          <w:color w:val="231F20"/>
        </w:rPr>
        <w:t>listed</w:t>
      </w:r>
      <w:r>
        <w:rPr>
          <w:color w:val="231F20"/>
          <w:spacing w:val="-10"/>
        </w:rPr>
        <w:t xml:space="preserve"> </w:t>
      </w:r>
      <w:r>
        <w:rPr>
          <w:color w:val="231F20"/>
        </w:rPr>
        <w:t>above,</w:t>
      </w:r>
      <w:r>
        <w:rPr>
          <w:color w:val="231F20"/>
          <w:spacing w:val="-9"/>
        </w:rPr>
        <w:t xml:space="preserve"> </w:t>
      </w:r>
      <w:r>
        <w:rPr>
          <w:color w:val="231F20"/>
        </w:rPr>
        <w:t>studies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relationship</w:t>
      </w:r>
      <w:r>
        <w:rPr>
          <w:color w:val="231F20"/>
          <w:spacing w:val="-10"/>
        </w:rPr>
        <w:t xml:space="preserve"> </w:t>
      </w:r>
      <w:r>
        <w:rPr>
          <w:color w:val="231F20"/>
        </w:rPr>
        <w:t>between</w:t>
      </w:r>
      <w:r>
        <w:rPr>
          <w:color w:val="231F20"/>
          <w:spacing w:val="-10"/>
        </w:rPr>
        <w:t xml:space="preserve"> </w:t>
      </w:r>
      <w:r>
        <w:rPr>
          <w:color w:val="231F20"/>
        </w:rPr>
        <w:t>coverage of</w:t>
      </w:r>
      <w:r>
        <w:rPr>
          <w:color w:val="231F20"/>
          <w:spacing w:val="-17"/>
        </w:rPr>
        <w:t xml:space="preserve"> </w:t>
      </w:r>
      <w:r>
        <w:rPr>
          <w:color w:val="231F20"/>
        </w:rPr>
        <w:t>skilled</w:t>
      </w:r>
      <w:r>
        <w:rPr>
          <w:color w:val="231F20"/>
          <w:spacing w:val="-16"/>
        </w:rPr>
        <w:t xml:space="preserve"> </w:t>
      </w:r>
      <w:r>
        <w:rPr>
          <w:color w:val="231F20"/>
        </w:rPr>
        <w:t>birth</w:t>
      </w:r>
      <w:r>
        <w:rPr>
          <w:color w:val="231F20"/>
          <w:spacing w:val="-16"/>
        </w:rPr>
        <w:t xml:space="preserve"> </w:t>
      </w:r>
      <w:r>
        <w:rPr>
          <w:color w:val="231F20"/>
        </w:rPr>
        <w:t>attended</w:t>
      </w:r>
      <w:r>
        <w:rPr>
          <w:color w:val="231F20"/>
          <w:spacing w:val="-16"/>
        </w:rPr>
        <w:t xml:space="preserve"> </w:t>
      </w:r>
      <w:r>
        <w:rPr>
          <w:color w:val="231F20"/>
        </w:rPr>
        <w:t>deliveries</w:t>
      </w:r>
      <w:r>
        <w:rPr>
          <w:color w:val="231F20"/>
          <w:spacing w:val="-16"/>
        </w:rPr>
        <w:t xml:space="preserve"> </w:t>
      </w:r>
      <w:r>
        <w:rPr>
          <w:color w:val="231F20"/>
        </w:rPr>
        <w:t>and</w:t>
      </w:r>
      <w:r>
        <w:rPr>
          <w:color w:val="231F20"/>
          <w:spacing w:val="-16"/>
        </w:rPr>
        <w:t xml:space="preserve"> </w:t>
      </w:r>
      <w:r>
        <w:rPr>
          <w:color w:val="231F20"/>
        </w:rPr>
        <w:t>other</w:t>
      </w:r>
      <w:r>
        <w:rPr>
          <w:color w:val="231F20"/>
          <w:spacing w:val="-16"/>
        </w:rPr>
        <w:t xml:space="preserve"> </w:t>
      </w:r>
      <w:r>
        <w:rPr>
          <w:color w:val="231F20"/>
        </w:rPr>
        <w:t>childbirth</w:t>
      </w:r>
      <w:r>
        <w:rPr>
          <w:color w:val="231F20"/>
          <w:spacing w:val="-16"/>
        </w:rPr>
        <w:t xml:space="preserve"> </w:t>
      </w:r>
      <w:r>
        <w:rPr>
          <w:color w:val="231F20"/>
        </w:rPr>
        <w:t>interventions</w:t>
      </w:r>
      <w:r>
        <w:rPr>
          <w:color w:val="231F20"/>
          <w:spacing w:val="-17"/>
        </w:rPr>
        <w:t xml:space="preserve"> </w:t>
      </w:r>
      <w:r>
        <w:rPr>
          <w:color w:val="231F20"/>
        </w:rPr>
        <w:t>guided</w:t>
      </w:r>
      <w:r>
        <w:rPr>
          <w:color w:val="231F20"/>
          <w:spacing w:val="-16"/>
        </w:rPr>
        <w:t xml:space="preserve"> </w:t>
      </w:r>
      <w:r>
        <w:rPr>
          <w:color w:val="231F20"/>
        </w:rPr>
        <w:t>the</w:t>
      </w:r>
      <w:r>
        <w:rPr>
          <w:color w:val="231F20"/>
          <w:spacing w:val="-16"/>
        </w:rPr>
        <w:t xml:space="preserve"> </w:t>
      </w:r>
      <w:r>
        <w:rPr>
          <w:color w:val="231F20"/>
        </w:rPr>
        <w:t>estimation</w:t>
      </w:r>
      <w:r>
        <w:rPr>
          <w:color w:val="231F20"/>
          <w:spacing w:val="-16"/>
        </w:rPr>
        <w:t xml:space="preserve"> </w:t>
      </w:r>
      <w:r>
        <w:rPr>
          <w:color w:val="231F20"/>
        </w:rPr>
        <w:t>of some</w:t>
      </w:r>
      <w:r>
        <w:rPr>
          <w:color w:val="231F20"/>
          <w:spacing w:val="-25"/>
        </w:rPr>
        <w:t xml:space="preserve"> </w:t>
      </w:r>
      <w:r>
        <w:rPr>
          <w:color w:val="231F20"/>
        </w:rPr>
        <w:t>of</w:t>
      </w:r>
      <w:r>
        <w:rPr>
          <w:color w:val="231F20"/>
          <w:spacing w:val="-25"/>
        </w:rPr>
        <w:t xml:space="preserve"> </w:t>
      </w:r>
      <w:r>
        <w:rPr>
          <w:color w:val="231F20"/>
        </w:rPr>
        <w:t>the</w:t>
      </w:r>
      <w:r>
        <w:rPr>
          <w:color w:val="231F20"/>
          <w:spacing w:val="-26"/>
        </w:rPr>
        <w:t xml:space="preserve"> </w:t>
      </w:r>
      <w:r>
        <w:rPr>
          <w:color w:val="231F20"/>
        </w:rPr>
        <w:t>missing</w:t>
      </w:r>
      <w:r>
        <w:rPr>
          <w:color w:val="231F20"/>
          <w:spacing w:val="-25"/>
        </w:rPr>
        <w:t xml:space="preserve"> </w:t>
      </w:r>
      <w:r>
        <w:rPr>
          <w:color w:val="231F20"/>
        </w:rPr>
        <w:t>MNCH</w:t>
      </w:r>
      <w:r>
        <w:rPr>
          <w:color w:val="231F20"/>
          <w:spacing w:val="-25"/>
        </w:rPr>
        <w:t xml:space="preserve"> </w:t>
      </w:r>
      <w:r>
        <w:rPr>
          <w:color w:val="231F20"/>
        </w:rPr>
        <w:t>baselines.</w:t>
      </w:r>
    </w:p>
    <w:p w14:paraId="41DD792E" w14:textId="77777777" w:rsidR="009948F1" w:rsidRDefault="009948F1">
      <w:pPr>
        <w:spacing w:line="268" w:lineRule="auto"/>
        <w:jc w:val="both"/>
        <w:sectPr w:rsidR="009948F1">
          <w:pgSz w:w="11910" w:h="16840"/>
          <w:pgMar w:top="1320" w:right="1080" w:bottom="1420" w:left="1120" w:header="0" w:footer="1235" w:gutter="0"/>
          <w:cols w:space="720"/>
        </w:sectPr>
      </w:pPr>
    </w:p>
    <w:p w14:paraId="687EABC1" w14:textId="77777777" w:rsidR="009948F1" w:rsidRDefault="00BC0563">
      <w:pPr>
        <w:pStyle w:val="BodyText"/>
        <w:spacing w:before="28" w:line="254" w:lineRule="auto"/>
        <w:ind w:left="895" w:right="185" w:hanging="360"/>
        <w:jc w:val="both"/>
      </w:pPr>
      <w:bookmarkStart w:id="118" w:name="Page_99"/>
      <w:bookmarkEnd w:id="118"/>
      <w:r>
        <w:rPr>
          <w:rFonts w:ascii="Symbol" w:hAnsi="Symbol"/>
          <w:color w:val="231F20"/>
          <w:spacing w:val="-248"/>
          <w:w w:val="600"/>
        </w:rPr>
        <w:lastRenderedPageBreak/>
        <w:t></w:t>
      </w:r>
      <w:r>
        <w:rPr>
          <w:color w:val="231F20"/>
          <w:w w:val="99"/>
        </w:rPr>
        <w:t>Similarl</w:t>
      </w:r>
      <w:r>
        <w:rPr>
          <w:color w:val="231F20"/>
          <w:spacing w:val="-17"/>
          <w:w w:val="99"/>
        </w:rPr>
        <w:t>y</w:t>
      </w:r>
      <w:r>
        <w:rPr>
          <w:color w:val="231F20"/>
        </w:rPr>
        <w:t xml:space="preserve">, </w:t>
      </w:r>
      <w:r>
        <w:rPr>
          <w:color w:val="231F20"/>
          <w:spacing w:val="-30"/>
        </w:rPr>
        <w:t xml:space="preserve"> </w:t>
      </w:r>
      <w:r>
        <w:rPr>
          <w:color w:val="231F20"/>
          <w:w w:val="99"/>
        </w:rPr>
        <w:t>with</w:t>
      </w:r>
      <w:r>
        <w:rPr>
          <w:color w:val="231F20"/>
        </w:rPr>
        <w:t xml:space="preserve"> </w:t>
      </w:r>
      <w:r>
        <w:rPr>
          <w:color w:val="231F20"/>
          <w:spacing w:val="-30"/>
        </w:rPr>
        <w:t xml:space="preserve"> </w:t>
      </w:r>
      <w:r>
        <w:rPr>
          <w:color w:val="231F20"/>
        </w:rPr>
        <w:t xml:space="preserve">the </w:t>
      </w:r>
      <w:r>
        <w:rPr>
          <w:color w:val="231F20"/>
          <w:spacing w:val="-30"/>
        </w:rPr>
        <w:t xml:space="preserve"> </w:t>
      </w:r>
      <w:r>
        <w:rPr>
          <w:color w:val="231F20"/>
          <w:w w:val="99"/>
        </w:rPr>
        <w:t>coverage</w:t>
      </w:r>
      <w:r>
        <w:rPr>
          <w:color w:val="231F20"/>
        </w:rPr>
        <w:t xml:space="preserve"> </w:t>
      </w:r>
      <w:r>
        <w:rPr>
          <w:color w:val="231F20"/>
          <w:spacing w:val="-30"/>
        </w:rPr>
        <w:t xml:space="preserve"> </w:t>
      </w:r>
      <w:r>
        <w:rPr>
          <w:color w:val="231F20"/>
          <w:w w:val="99"/>
        </w:rPr>
        <w:t>baselines</w:t>
      </w:r>
      <w:r>
        <w:rPr>
          <w:color w:val="231F20"/>
        </w:rPr>
        <w:t xml:space="preserve"> </w:t>
      </w:r>
      <w:r>
        <w:rPr>
          <w:color w:val="231F20"/>
          <w:spacing w:val="-30"/>
        </w:rPr>
        <w:t xml:space="preserve"> </w:t>
      </w:r>
      <w:r>
        <w:rPr>
          <w:color w:val="231F20"/>
        </w:rPr>
        <w:t xml:space="preserve">of </w:t>
      </w:r>
      <w:r>
        <w:rPr>
          <w:color w:val="231F20"/>
          <w:spacing w:val="-30"/>
        </w:rPr>
        <w:t xml:space="preserve"> </w:t>
      </w:r>
      <w:r>
        <w:rPr>
          <w:color w:val="231F20"/>
        </w:rPr>
        <w:t xml:space="preserve">the </w:t>
      </w:r>
      <w:r>
        <w:rPr>
          <w:color w:val="231F20"/>
          <w:spacing w:val="-30"/>
        </w:rPr>
        <w:t xml:space="preserve"> </w:t>
      </w:r>
      <w:r>
        <w:rPr>
          <w:color w:val="231F20"/>
        </w:rPr>
        <w:t>SSHDP</w:t>
      </w:r>
      <w:r>
        <w:rPr>
          <w:color w:val="231F20"/>
          <w:spacing w:val="27"/>
        </w:rPr>
        <w:t xml:space="preserve"> </w:t>
      </w:r>
      <w:r>
        <w:rPr>
          <w:color w:val="231F20"/>
        </w:rPr>
        <w:t xml:space="preserve">II </w:t>
      </w:r>
      <w:r>
        <w:rPr>
          <w:color w:val="231F20"/>
          <w:spacing w:val="-30"/>
        </w:rPr>
        <w:t xml:space="preserve"> </w:t>
      </w:r>
      <w:r>
        <w:rPr>
          <w:color w:val="231F20"/>
          <w:w w:val="99"/>
        </w:rPr>
        <w:t>scenarios</w:t>
      </w:r>
      <w:r>
        <w:rPr>
          <w:color w:val="231F20"/>
        </w:rPr>
        <w:t xml:space="preserve"> </w:t>
      </w:r>
      <w:r>
        <w:rPr>
          <w:color w:val="231F20"/>
          <w:spacing w:val="-30"/>
        </w:rPr>
        <w:t xml:space="preserve"> </w:t>
      </w:r>
      <w:r>
        <w:rPr>
          <w:color w:val="231F20"/>
          <w:w w:val="99"/>
        </w:rPr>
        <w:t>derived</w:t>
      </w:r>
      <w:r>
        <w:rPr>
          <w:color w:val="231F20"/>
        </w:rPr>
        <w:t xml:space="preserve"> </w:t>
      </w:r>
      <w:r>
        <w:rPr>
          <w:color w:val="231F20"/>
          <w:spacing w:val="-30"/>
        </w:rPr>
        <w:t xml:space="preserve"> </w:t>
      </w:r>
      <w:r>
        <w:rPr>
          <w:color w:val="231F20"/>
          <w:w w:val="99"/>
        </w:rPr>
        <w:t>mainly</w:t>
      </w:r>
      <w:r>
        <w:rPr>
          <w:color w:val="231F20"/>
        </w:rPr>
        <w:t xml:space="preserve"> </w:t>
      </w:r>
      <w:r>
        <w:rPr>
          <w:color w:val="231F20"/>
          <w:spacing w:val="-30"/>
        </w:rPr>
        <w:t xml:space="preserve"> </w:t>
      </w:r>
      <w:r>
        <w:rPr>
          <w:color w:val="231F20"/>
          <w:spacing w:val="-3"/>
        </w:rPr>
        <w:t>from</w:t>
      </w:r>
      <w:r>
        <w:rPr>
          <w:color w:val="231F20"/>
        </w:rPr>
        <w:t xml:space="preserve"> population-based</w:t>
      </w:r>
      <w:r>
        <w:rPr>
          <w:color w:val="231F20"/>
          <w:spacing w:val="-20"/>
        </w:rPr>
        <w:t xml:space="preserve"> </w:t>
      </w:r>
      <w:r>
        <w:rPr>
          <w:color w:val="231F20"/>
        </w:rPr>
        <w:t>surveys</w:t>
      </w:r>
      <w:r>
        <w:rPr>
          <w:color w:val="231F20"/>
          <w:spacing w:val="-20"/>
        </w:rPr>
        <w:t xml:space="preserve"> </w:t>
      </w:r>
      <w:r>
        <w:rPr>
          <w:color w:val="231F20"/>
        </w:rPr>
        <w:t>such</w:t>
      </w:r>
      <w:r>
        <w:rPr>
          <w:color w:val="231F20"/>
          <w:spacing w:val="-20"/>
        </w:rPr>
        <w:t xml:space="preserve"> </w:t>
      </w:r>
      <w:r>
        <w:rPr>
          <w:color w:val="231F20"/>
        </w:rPr>
        <w:t>as</w:t>
      </w:r>
      <w:r>
        <w:rPr>
          <w:color w:val="231F20"/>
          <w:spacing w:val="-20"/>
        </w:rPr>
        <w:t xml:space="preserve"> </w:t>
      </w:r>
      <w:r>
        <w:rPr>
          <w:color w:val="231F20"/>
        </w:rPr>
        <w:t>DHS</w:t>
      </w:r>
      <w:r>
        <w:rPr>
          <w:color w:val="231F20"/>
          <w:spacing w:val="-20"/>
        </w:rPr>
        <w:t xml:space="preserve"> </w:t>
      </w:r>
      <w:r>
        <w:rPr>
          <w:color w:val="231F20"/>
        </w:rPr>
        <w:t>2013</w:t>
      </w:r>
      <w:r>
        <w:rPr>
          <w:color w:val="231F20"/>
          <w:spacing w:val="-20"/>
        </w:rPr>
        <w:t xml:space="preserve"> </w:t>
      </w:r>
      <w:r>
        <w:rPr>
          <w:color w:val="231F20"/>
        </w:rPr>
        <w:t>and</w:t>
      </w:r>
      <w:r>
        <w:rPr>
          <w:color w:val="231F20"/>
          <w:spacing w:val="47"/>
        </w:rPr>
        <w:t xml:space="preserve"> </w:t>
      </w:r>
      <w:r>
        <w:rPr>
          <w:color w:val="231F20"/>
        </w:rPr>
        <w:t>MICS</w:t>
      </w:r>
      <w:r>
        <w:rPr>
          <w:color w:val="231F20"/>
          <w:spacing w:val="-20"/>
        </w:rPr>
        <w:t xml:space="preserve"> </w:t>
      </w:r>
      <w:r>
        <w:rPr>
          <w:color w:val="231F20"/>
        </w:rPr>
        <w:t>2015,</w:t>
      </w:r>
      <w:r>
        <w:rPr>
          <w:color w:val="231F20"/>
          <w:spacing w:val="-20"/>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assumed</w:t>
      </w:r>
      <w:r>
        <w:rPr>
          <w:color w:val="231F20"/>
          <w:spacing w:val="-20"/>
        </w:rPr>
        <w:t xml:space="preserve"> </w:t>
      </w:r>
      <w:r>
        <w:rPr>
          <w:color w:val="231F20"/>
        </w:rPr>
        <w:t>that</w:t>
      </w:r>
      <w:r>
        <w:rPr>
          <w:color w:val="231F20"/>
          <w:spacing w:val="-20"/>
        </w:rPr>
        <w:t xml:space="preserve"> </w:t>
      </w:r>
      <w:r>
        <w:rPr>
          <w:color w:val="231F20"/>
        </w:rPr>
        <w:t>SSHDP</w:t>
      </w:r>
      <w:r>
        <w:rPr>
          <w:color w:val="231F20"/>
          <w:spacing w:val="-24"/>
        </w:rPr>
        <w:t xml:space="preserve"> </w:t>
      </w:r>
      <w:r>
        <w:rPr>
          <w:color w:val="231F20"/>
        </w:rPr>
        <w:t>II services</w:t>
      </w:r>
      <w:r>
        <w:rPr>
          <w:color w:val="231F20"/>
          <w:spacing w:val="-23"/>
        </w:rPr>
        <w:t xml:space="preserve"> </w:t>
      </w:r>
      <w:r>
        <w:rPr>
          <w:color w:val="231F20"/>
        </w:rPr>
        <w:t>modeled</w:t>
      </w:r>
      <w:r>
        <w:rPr>
          <w:color w:val="231F20"/>
          <w:spacing w:val="-22"/>
        </w:rPr>
        <w:t xml:space="preserve"> </w:t>
      </w:r>
      <w:r>
        <w:rPr>
          <w:color w:val="231F20"/>
        </w:rPr>
        <w:t>with</w:t>
      </w:r>
      <w:r>
        <w:rPr>
          <w:color w:val="231F20"/>
          <w:spacing w:val="-22"/>
        </w:rPr>
        <w:t xml:space="preserve"> </w:t>
      </w:r>
      <w:r>
        <w:rPr>
          <w:color w:val="231F20"/>
        </w:rPr>
        <w:t>these</w:t>
      </w:r>
      <w:r>
        <w:rPr>
          <w:color w:val="231F20"/>
          <w:spacing w:val="-22"/>
        </w:rPr>
        <w:t xml:space="preserve"> </w:t>
      </w:r>
      <w:r>
        <w:rPr>
          <w:color w:val="231F20"/>
        </w:rPr>
        <w:t>baselines</w:t>
      </w:r>
      <w:r>
        <w:rPr>
          <w:color w:val="231F20"/>
          <w:spacing w:val="-22"/>
        </w:rPr>
        <w:t xml:space="preserve"> </w:t>
      </w:r>
      <w:r>
        <w:rPr>
          <w:color w:val="231F20"/>
        </w:rPr>
        <w:t>address</w:t>
      </w:r>
      <w:r>
        <w:rPr>
          <w:color w:val="231F20"/>
          <w:spacing w:val="-22"/>
        </w:rPr>
        <w:t xml:space="preserve"> </w:t>
      </w:r>
      <w:r>
        <w:rPr>
          <w:color w:val="231F20"/>
        </w:rPr>
        <w:t>health</w:t>
      </w:r>
      <w:r>
        <w:rPr>
          <w:color w:val="231F20"/>
          <w:spacing w:val="-22"/>
        </w:rPr>
        <w:t xml:space="preserve"> </w:t>
      </w:r>
      <w:r>
        <w:rPr>
          <w:color w:val="231F20"/>
        </w:rPr>
        <w:t>services</w:t>
      </w:r>
      <w:r>
        <w:rPr>
          <w:color w:val="231F20"/>
          <w:spacing w:val="-23"/>
        </w:rPr>
        <w:t xml:space="preserve"> </w:t>
      </w:r>
      <w:r>
        <w:rPr>
          <w:color w:val="231F20"/>
        </w:rPr>
        <w:t>delivered</w:t>
      </w:r>
      <w:r>
        <w:rPr>
          <w:color w:val="231F20"/>
          <w:spacing w:val="-22"/>
        </w:rPr>
        <w:t xml:space="preserve"> </w:t>
      </w:r>
      <w:r>
        <w:rPr>
          <w:color w:val="231F20"/>
        </w:rPr>
        <w:t>at</w:t>
      </w:r>
      <w:r>
        <w:rPr>
          <w:color w:val="231F20"/>
          <w:spacing w:val="-22"/>
        </w:rPr>
        <w:t xml:space="preserve"> </w:t>
      </w:r>
      <w:r>
        <w:rPr>
          <w:color w:val="231F20"/>
        </w:rPr>
        <w:t>both</w:t>
      </w:r>
      <w:r>
        <w:rPr>
          <w:color w:val="231F20"/>
          <w:spacing w:val="-22"/>
        </w:rPr>
        <w:t xml:space="preserve"> </w:t>
      </w:r>
      <w:r>
        <w:rPr>
          <w:color w:val="231F20"/>
        </w:rPr>
        <w:t>public</w:t>
      </w:r>
      <w:r>
        <w:rPr>
          <w:color w:val="231F20"/>
          <w:spacing w:val="-22"/>
        </w:rPr>
        <w:t xml:space="preserve"> </w:t>
      </w:r>
      <w:r>
        <w:rPr>
          <w:color w:val="231F20"/>
        </w:rPr>
        <w:t>and private</w:t>
      </w:r>
      <w:r>
        <w:rPr>
          <w:color w:val="231F20"/>
          <w:spacing w:val="-25"/>
        </w:rPr>
        <w:t xml:space="preserve"> </w:t>
      </w:r>
      <w:r>
        <w:rPr>
          <w:color w:val="231F20"/>
        </w:rPr>
        <w:t>facilities.</w:t>
      </w:r>
    </w:p>
    <w:p w14:paraId="5E900758" w14:textId="77777777" w:rsidR="009948F1" w:rsidRDefault="00BC0563">
      <w:pPr>
        <w:pStyle w:val="BodyText"/>
        <w:spacing w:line="254" w:lineRule="auto"/>
        <w:ind w:left="895" w:right="185" w:hanging="360"/>
        <w:jc w:val="both"/>
      </w:pPr>
      <w:r>
        <w:rPr>
          <w:rFonts w:ascii="Symbol" w:hAnsi="Symbol"/>
          <w:color w:val="231F20"/>
          <w:spacing w:val="-248"/>
          <w:w w:val="600"/>
        </w:rPr>
        <w:t></w:t>
      </w:r>
      <w:r>
        <w:rPr>
          <w:color w:val="231F20"/>
          <w:w w:val="99"/>
        </w:rPr>
        <w:t>Baseline</w:t>
      </w:r>
      <w:r>
        <w:rPr>
          <w:color w:val="231F20"/>
          <w:spacing w:val="-9"/>
        </w:rPr>
        <w:t xml:space="preserve"> </w:t>
      </w:r>
      <w:r>
        <w:rPr>
          <w:color w:val="231F20"/>
        </w:rPr>
        <w:t>estimates</w:t>
      </w:r>
      <w:r>
        <w:rPr>
          <w:color w:val="231F20"/>
          <w:spacing w:val="-9"/>
        </w:rPr>
        <w:t xml:space="preserve"> </w:t>
      </w:r>
      <w:r>
        <w:rPr>
          <w:color w:val="231F20"/>
        </w:rPr>
        <w:t>for</w:t>
      </w:r>
      <w:r>
        <w:rPr>
          <w:color w:val="231F20"/>
          <w:spacing w:val="-9"/>
        </w:rPr>
        <w:t xml:space="preserve"> </w:t>
      </w:r>
      <w:r>
        <w:rPr>
          <w:color w:val="231F20"/>
          <w:w w:val="99"/>
        </w:rPr>
        <w:t>Health</w:t>
      </w:r>
      <w:r>
        <w:rPr>
          <w:color w:val="231F20"/>
          <w:spacing w:val="-9"/>
        </w:rPr>
        <w:t xml:space="preserve"> </w:t>
      </w:r>
      <w:r>
        <w:rPr>
          <w:color w:val="231F20"/>
        </w:rPr>
        <w:t>Infrastructure</w:t>
      </w:r>
      <w:r>
        <w:rPr>
          <w:color w:val="231F20"/>
          <w:spacing w:val="-9"/>
        </w:rPr>
        <w:t xml:space="preserve"> </w:t>
      </w:r>
      <w:r>
        <w:rPr>
          <w:color w:val="231F20"/>
          <w:w w:val="99"/>
        </w:rPr>
        <w:t>were</w:t>
      </w:r>
      <w:r>
        <w:rPr>
          <w:color w:val="231F20"/>
          <w:spacing w:val="-9"/>
        </w:rPr>
        <w:t xml:space="preserve"> </w:t>
      </w:r>
      <w:r>
        <w:rPr>
          <w:color w:val="231F20"/>
          <w:w w:val="99"/>
        </w:rPr>
        <w:t>calculated</w:t>
      </w:r>
      <w:r>
        <w:rPr>
          <w:color w:val="231F20"/>
          <w:spacing w:val="-9"/>
        </w:rPr>
        <w:t xml:space="preserve"> </w:t>
      </w:r>
      <w:r>
        <w:rPr>
          <w:color w:val="231F20"/>
          <w:w w:val="99"/>
        </w:rPr>
        <w:t>using</w:t>
      </w:r>
      <w:r>
        <w:rPr>
          <w:color w:val="231F20"/>
          <w:spacing w:val="-9"/>
        </w:rPr>
        <w:t xml:space="preserve"> </w:t>
      </w:r>
      <w:r>
        <w:rPr>
          <w:color w:val="231F20"/>
        </w:rPr>
        <w:t>the</w:t>
      </w:r>
      <w:r>
        <w:rPr>
          <w:color w:val="231F20"/>
          <w:spacing w:val="-9"/>
        </w:rPr>
        <w:t xml:space="preserve"> </w:t>
      </w:r>
      <w:r>
        <w:rPr>
          <w:color w:val="231F20"/>
          <w:w w:val="99"/>
        </w:rPr>
        <w:t>inputs</w:t>
      </w:r>
      <w:r>
        <w:rPr>
          <w:color w:val="231F20"/>
          <w:spacing w:val="-9"/>
        </w:rPr>
        <w:t xml:space="preserve"> </w:t>
      </w:r>
      <w:r>
        <w:rPr>
          <w:color w:val="231F20"/>
          <w:w w:val="99"/>
        </w:rPr>
        <w:t>submitted</w:t>
      </w:r>
      <w:r>
        <w:rPr>
          <w:color w:val="231F20"/>
          <w:spacing w:val="-9"/>
        </w:rPr>
        <w:t xml:space="preserve"> </w:t>
      </w:r>
      <w:r>
        <w:rPr>
          <w:color w:val="231F20"/>
          <w:spacing w:val="-7"/>
          <w:w w:val="99"/>
        </w:rPr>
        <w:t>by</w:t>
      </w:r>
      <w:r>
        <w:rPr>
          <w:color w:val="231F20"/>
          <w:w w:val="99"/>
        </w:rPr>
        <w:t xml:space="preserve"> </w:t>
      </w:r>
      <w:r>
        <w:rPr>
          <w:color w:val="231F20"/>
        </w:rPr>
        <w:t>the</w:t>
      </w:r>
      <w:r>
        <w:rPr>
          <w:color w:val="231F20"/>
          <w:spacing w:val="-26"/>
        </w:rPr>
        <w:t xml:space="preserve"> </w:t>
      </w:r>
      <w:r>
        <w:rPr>
          <w:color w:val="231F20"/>
        </w:rPr>
        <w:t>Department</w:t>
      </w:r>
      <w:r>
        <w:rPr>
          <w:color w:val="231F20"/>
          <w:spacing w:val="-25"/>
        </w:rPr>
        <w:t xml:space="preserve"> </w:t>
      </w:r>
      <w:r>
        <w:rPr>
          <w:color w:val="231F20"/>
        </w:rPr>
        <w:t>of</w:t>
      </w:r>
      <w:r>
        <w:rPr>
          <w:color w:val="231F20"/>
          <w:spacing w:val="-25"/>
        </w:rPr>
        <w:t xml:space="preserve"> </w:t>
      </w:r>
      <w:r>
        <w:rPr>
          <w:color w:val="231F20"/>
        </w:rPr>
        <w:t>Planning,</w:t>
      </w:r>
      <w:r>
        <w:rPr>
          <w:color w:val="231F20"/>
          <w:spacing w:val="-25"/>
        </w:rPr>
        <w:t xml:space="preserve"> </w:t>
      </w:r>
      <w:r>
        <w:rPr>
          <w:color w:val="231F20"/>
        </w:rPr>
        <w:t>Research</w:t>
      </w:r>
      <w:r>
        <w:rPr>
          <w:color w:val="231F20"/>
          <w:spacing w:val="-25"/>
        </w:rPr>
        <w:t xml:space="preserve"> </w:t>
      </w:r>
      <w:r>
        <w:rPr>
          <w:color w:val="231F20"/>
        </w:rPr>
        <w:t>and</w:t>
      </w:r>
      <w:r>
        <w:rPr>
          <w:color w:val="231F20"/>
          <w:spacing w:val="-25"/>
        </w:rPr>
        <w:t xml:space="preserve"> </w:t>
      </w:r>
      <w:r>
        <w:rPr>
          <w:color w:val="231F20"/>
        </w:rPr>
        <w:t>Statistics</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Ministry</w:t>
      </w:r>
      <w:r>
        <w:rPr>
          <w:color w:val="231F20"/>
          <w:spacing w:val="-25"/>
        </w:rPr>
        <w:t xml:space="preserve"> </w:t>
      </w:r>
      <w:r>
        <w:rPr>
          <w:color w:val="231F20"/>
        </w:rPr>
        <w:t>of</w:t>
      </w:r>
      <w:r>
        <w:rPr>
          <w:color w:val="231F20"/>
          <w:spacing w:val="-25"/>
        </w:rPr>
        <w:t xml:space="preserve"> </w:t>
      </w:r>
      <w:r>
        <w:rPr>
          <w:color w:val="231F20"/>
        </w:rPr>
        <w:t>Health.</w:t>
      </w:r>
    </w:p>
    <w:p w14:paraId="56769AF3" w14:textId="77777777" w:rsidR="009948F1" w:rsidRDefault="00BC0563">
      <w:pPr>
        <w:pStyle w:val="BodyText"/>
        <w:spacing w:line="256" w:lineRule="exact"/>
        <w:ind w:left="535"/>
        <w:jc w:val="both"/>
      </w:pPr>
      <w:r>
        <w:rPr>
          <w:rFonts w:ascii="Symbol" w:hAnsi="Symbol"/>
          <w:color w:val="231F20"/>
          <w:spacing w:val="-248"/>
          <w:w w:val="600"/>
        </w:rPr>
        <w:t></w:t>
      </w:r>
      <w:r>
        <w:rPr>
          <w:color w:val="231F20"/>
          <w:w w:val="99"/>
        </w:rPr>
        <w:t>Costs</w:t>
      </w:r>
      <w:r>
        <w:rPr>
          <w:color w:val="231F20"/>
          <w:spacing w:val="25"/>
          <w:w w:val="99"/>
        </w:rPr>
        <w:t xml:space="preserve"> </w:t>
      </w:r>
      <w:r>
        <w:rPr>
          <w:color w:val="231F20"/>
          <w:w w:val="99"/>
        </w:rPr>
        <w:t>for</w:t>
      </w:r>
      <w:r>
        <w:rPr>
          <w:color w:val="231F20"/>
          <w:spacing w:val="25"/>
          <w:w w:val="99"/>
        </w:rPr>
        <w:t xml:space="preserve"> </w:t>
      </w:r>
      <w:r>
        <w:rPr>
          <w:color w:val="231F20"/>
          <w:w w:val="99"/>
        </w:rPr>
        <w:t>medicine</w:t>
      </w:r>
      <w:r>
        <w:rPr>
          <w:color w:val="231F20"/>
          <w:spacing w:val="26"/>
        </w:rPr>
        <w:t xml:space="preserve"> </w:t>
      </w:r>
      <w:r>
        <w:rPr>
          <w:color w:val="231F20"/>
          <w:w w:val="99"/>
        </w:rPr>
        <w:t>and</w:t>
      </w:r>
      <w:r>
        <w:rPr>
          <w:color w:val="231F20"/>
          <w:spacing w:val="25"/>
        </w:rPr>
        <w:t xml:space="preserve"> </w:t>
      </w:r>
      <w:r>
        <w:rPr>
          <w:color w:val="231F20"/>
          <w:w w:val="99"/>
        </w:rPr>
        <w:t>supply</w:t>
      </w:r>
      <w:r>
        <w:rPr>
          <w:color w:val="231F20"/>
          <w:spacing w:val="26"/>
        </w:rPr>
        <w:t xml:space="preserve"> </w:t>
      </w:r>
      <w:r>
        <w:rPr>
          <w:color w:val="231F20"/>
          <w:w w:val="99"/>
        </w:rPr>
        <w:t>management</w:t>
      </w:r>
      <w:r>
        <w:rPr>
          <w:color w:val="231F20"/>
          <w:spacing w:val="26"/>
        </w:rPr>
        <w:t xml:space="preserve"> </w:t>
      </w:r>
      <w:r>
        <w:rPr>
          <w:color w:val="231F20"/>
          <w:w w:val="99"/>
        </w:rPr>
        <w:t>was</w:t>
      </w:r>
      <w:r>
        <w:rPr>
          <w:color w:val="231F20"/>
          <w:spacing w:val="25"/>
        </w:rPr>
        <w:t xml:space="preserve"> </w:t>
      </w:r>
      <w:r>
        <w:rPr>
          <w:color w:val="231F20"/>
        </w:rPr>
        <w:t>yet</w:t>
      </w:r>
      <w:r>
        <w:rPr>
          <w:color w:val="231F20"/>
          <w:spacing w:val="25"/>
        </w:rPr>
        <w:t xml:space="preserve"> </w:t>
      </w:r>
      <w:r>
        <w:rPr>
          <w:color w:val="231F20"/>
          <w:w w:val="99"/>
        </w:rPr>
        <w:t>another</w:t>
      </w:r>
      <w:r>
        <w:rPr>
          <w:color w:val="231F20"/>
          <w:spacing w:val="26"/>
        </w:rPr>
        <w:t xml:space="preserve"> </w:t>
      </w:r>
      <w:r>
        <w:rPr>
          <w:color w:val="231F20"/>
          <w:w w:val="99"/>
        </w:rPr>
        <w:t>category</w:t>
      </w:r>
      <w:r>
        <w:rPr>
          <w:color w:val="231F20"/>
          <w:spacing w:val="25"/>
        </w:rPr>
        <w:t xml:space="preserve"> </w:t>
      </w:r>
      <w:r>
        <w:rPr>
          <w:color w:val="231F20"/>
        </w:rPr>
        <w:t>a</w:t>
      </w:r>
      <w:r>
        <w:rPr>
          <w:color w:val="231F20"/>
          <w:spacing w:val="-4"/>
        </w:rPr>
        <w:t>f</w:t>
      </w:r>
      <w:r>
        <w:rPr>
          <w:color w:val="231F20"/>
        </w:rPr>
        <w:t>fected</w:t>
      </w:r>
      <w:r>
        <w:rPr>
          <w:color w:val="231F20"/>
          <w:spacing w:val="25"/>
        </w:rPr>
        <w:t xml:space="preserve"> </w:t>
      </w:r>
      <w:r>
        <w:rPr>
          <w:color w:val="231F20"/>
          <w:w w:val="99"/>
        </w:rPr>
        <w:t>by</w:t>
      </w:r>
      <w:r>
        <w:rPr>
          <w:color w:val="231F20"/>
          <w:spacing w:val="25"/>
        </w:rPr>
        <w:t xml:space="preserve"> </w:t>
      </w:r>
      <w:r>
        <w:rPr>
          <w:color w:val="231F20"/>
        </w:rPr>
        <w:t>the</w:t>
      </w:r>
    </w:p>
    <w:p w14:paraId="1F235045" w14:textId="77777777" w:rsidR="009948F1" w:rsidRDefault="00BC0563">
      <w:pPr>
        <w:pStyle w:val="BodyText"/>
        <w:spacing w:before="5" w:line="256" w:lineRule="auto"/>
        <w:ind w:left="895" w:right="185"/>
        <w:jc w:val="both"/>
      </w:pPr>
      <w:r>
        <w:rPr>
          <w:color w:val="231F20"/>
        </w:rPr>
        <w:t>paucity</w:t>
      </w:r>
      <w:r>
        <w:rPr>
          <w:color w:val="231F20"/>
          <w:spacing w:val="-14"/>
        </w:rPr>
        <w:t xml:space="preserve"> </w:t>
      </w:r>
      <w:r>
        <w:rPr>
          <w:color w:val="231F20"/>
        </w:rPr>
        <w:t>of</w:t>
      </w:r>
      <w:r>
        <w:rPr>
          <w:color w:val="231F20"/>
          <w:spacing w:val="-13"/>
        </w:rPr>
        <w:t xml:space="preserve"> </w:t>
      </w:r>
      <w:r>
        <w:rPr>
          <w:color w:val="231F20"/>
        </w:rPr>
        <w:t>data</w:t>
      </w:r>
      <w:r>
        <w:rPr>
          <w:color w:val="231F20"/>
          <w:spacing w:val="-13"/>
        </w:rPr>
        <w:t xml:space="preserve"> </w:t>
      </w:r>
      <w:r>
        <w:rPr>
          <w:color w:val="231F20"/>
        </w:rPr>
        <w:t>at</w:t>
      </w:r>
      <w:r>
        <w:rPr>
          <w:color w:val="231F20"/>
          <w:spacing w:val="-13"/>
        </w:rPr>
        <w:t xml:space="preserve"> </w:t>
      </w:r>
      <w:r>
        <w:rPr>
          <w:color w:val="231F20"/>
        </w:rPr>
        <w:t>all</w:t>
      </w:r>
      <w:r>
        <w:rPr>
          <w:color w:val="231F20"/>
          <w:spacing w:val="-13"/>
        </w:rPr>
        <w:t xml:space="preserve"> </w:t>
      </w:r>
      <w:r>
        <w:rPr>
          <w:color w:val="231F20"/>
        </w:rPr>
        <w:t>levels.</w:t>
      </w:r>
      <w:r>
        <w:rPr>
          <w:color w:val="231F20"/>
          <w:spacing w:val="-13"/>
        </w:rPr>
        <w:t xml:space="preserve"> </w:t>
      </w:r>
      <w:r>
        <w:rPr>
          <w:color w:val="231F20"/>
        </w:rPr>
        <w:t>While</w:t>
      </w:r>
      <w:r>
        <w:rPr>
          <w:color w:val="231F20"/>
          <w:spacing w:val="-13"/>
        </w:rPr>
        <w:t xml:space="preserve"> </w:t>
      </w:r>
      <w:r>
        <w:rPr>
          <w:color w:val="231F20"/>
        </w:rPr>
        <w:t>the</w:t>
      </w:r>
      <w:r>
        <w:rPr>
          <w:color w:val="231F20"/>
          <w:spacing w:val="-13"/>
        </w:rPr>
        <w:t xml:space="preserve"> </w:t>
      </w:r>
      <w:r>
        <w:rPr>
          <w:color w:val="231F20"/>
        </w:rPr>
        <w:t>unit</w:t>
      </w:r>
      <w:r>
        <w:rPr>
          <w:color w:val="231F20"/>
          <w:spacing w:val="-13"/>
        </w:rPr>
        <w:t xml:space="preserve"> </w:t>
      </w:r>
      <w:r>
        <w:rPr>
          <w:color w:val="231F20"/>
        </w:rPr>
        <w:t>costs</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medicine</w:t>
      </w:r>
      <w:r>
        <w:rPr>
          <w:color w:val="231F20"/>
          <w:spacing w:val="-13"/>
        </w:rPr>
        <w:t xml:space="preserve"> </w:t>
      </w:r>
      <w:r>
        <w:rPr>
          <w:color w:val="231F20"/>
        </w:rPr>
        <w:t>and</w:t>
      </w:r>
      <w:r>
        <w:rPr>
          <w:color w:val="231F20"/>
          <w:spacing w:val="-13"/>
        </w:rPr>
        <w:t xml:space="preserve"> </w:t>
      </w:r>
      <w:r>
        <w:rPr>
          <w:color w:val="231F20"/>
        </w:rPr>
        <w:t>supply</w:t>
      </w:r>
      <w:r>
        <w:rPr>
          <w:color w:val="231F20"/>
          <w:spacing w:val="-13"/>
        </w:rPr>
        <w:t xml:space="preserve"> </w:t>
      </w:r>
      <w:r>
        <w:rPr>
          <w:color w:val="231F20"/>
        </w:rPr>
        <w:t>was</w:t>
      </w:r>
      <w:r>
        <w:rPr>
          <w:color w:val="231F20"/>
          <w:spacing w:val="-13"/>
        </w:rPr>
        <w:t xml:space="preserve"> </w:t>
      </w:r>
      <w:r>
        <w:rPr>
          <w:color w:val="231F20"/>
        </w:rPr>
        <w:t>obtained from</w:t>
      </w:r>
      <w:r>
        <w:rPr>
          <w:color w:val="231F20"/>
          <w:spacing w:val="-10"/>
        </w:rPr>
        <w:t xml:space="preserve"> </w:t>
      </w:r>
      <w:r>
        <w:rPr>
          <w:color w:val="231F20"/>
        </w:rPr>
        <w:t>global</w:t>
      </w:r>
      <w:r>
        <w:rPr>
          <w:color w:val="231F20"/>
          <w:spacing w:val="-10"/>
        </w:rPr>
        <w:t xml:space="preserve"> </w:t>
      </w:r>
      <w:r>
        <w:rPr>
          <w:color w:val="231F20"/>
        </w:rPr>
        <w:t>price</w:t>
      </w:r>
      <w:r>
        <w:rPr>
          <w:color w:val="231F20"/>
          <w:spacing w:val="-10"/>
        </w:rPr>
        <w:t xml:space="preserve"> </w:t>
      </w:r>
      <w:r>
        <w:rPr>
          <w:color w:val="231F20"/>
        </w:rPr>
        <w:t>lists,</w:t>
      </w:r>
      <w:r>
        <w:rPr>
          <w:color w:val="231F20"/>
          <w:spacing w:val="-10"/>
        </w:rPr>
        <w:t xml:space="preserve"> </w:t>
      </w:r>
      <w:r>
        <w:rPr>
          <w:color w:val="231F20"/>
        </w:rPr>
        <w:t>in-country</w:t>
      </w:r>
      <w:r>
        <w:rPr>
          <w:color w:val="231F20"/>
          <w:spacing w:val="-10"/>
        </w:rPr>
        <w:t xml:space="preserve"> </w:t>
      </w:r>
      <w:r>
        <w:rPr>
          <w:color w:val="231F20"/>
        </w:rPr>
        <w:t>investments</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warehousing,</w:t>
      </w:r>
      <w:r>
        <w:rPr>
          <w:color w:val="231F20"/>
          <w:spacing w:val="-10"/>
        </w:rPr>
        <w:t xml:space="preserve"> </w:t>
      </w:r>
      <w:r>
        <w:rPr>
          <w:color w:val="231F20"/>
        </w:rPr>
        <w:t>handling,</w:t>
      </w:r>
      <w:r>
        <w:rPr>
          <w:color w:val="231F20"/>
          <w:spacing w:val="-10"/>
        </w:rPr>
        <w:t xml:space="preserve"> </w:t>
      </w:r>
      <w:r>
        <w:rPr>
          <w:color w:val="231F20"/>
        </w:rPr>
        <w:t>and</w:t>
      </w:r>
      <w:r>
        <w:rPr>
          <w:color w:val="231F20"/>
          <w:spacing w:val="-10"/>
        </w:rPr>
        <w:t xml:space="preserve"> </w:t>
      </w:r>
      <w:r>
        <w:rPr>
          <w:color w:val="231F20"/>
          <w:spacing w:val="-4"/>
        </w:rPr>
        <w:t xml:space="preserve">last </w:t>
      </w:r>
      <w:r>
        <w:rPr>
          <w:color w:val="231F20"/>
        </w:rPr>
        <w:t>mile distribution to the points of care, was determined through historical estimates and expert</w:t>
      </w:r>
      <w:r>
        <w:rPr>
          <w:color w:val="231F20"/>
          <w:spacing w:val="-16"/>
        </w:rPr>
        <w:t xml:space="preserve"> </w:t>
      </w:r>
      <w:r>
        <w:rPr>
          <w:color w:val="231F20"/>
        </w:rPr>
        <w:t>opinion.</w:t>
      </w:r>
      <w:r>
        <w:rPr>
          <w:color w:val="231F20"/>
          <w:spacing w:val="-27"/>
        </w:rPr>
        <w:t xml:space="preserve"> </w:t>
      </w:r>
      <w:r>
        <w:rPr>
          <w:color w:val="231F20"/>
        </w:rPr>
        <w:t>As</w:t>
      </w:r>
      <w:r>
        <w:rPr>
          <w:color w:val="231F20"/>
          <w:spacing w:val="-15"/>
        </w:rPr>
        <w:t xml:space="preserve"> </w:t>
      </w:r>
      <w:r>
        <w:rPr>
          <w:color w:val="231F20"/>
        </w:rPr>
        <w:t>recommended</w:t>
      </w:r>
      <w:r>
        <w:rPr>
          <w:color w:val="231F20"/>
          <w:spacing w:val="-15"/>
        </w:rPr>
        <w:t xml:space="preserve"> </w:t>
      </w:r>
      <w:r>
        <w:rPr>
          <w:color w:val="231F20"/>
        </w:rPr>
        <w:t>by</w:t>
      </w:r>
      <w:r>
        <w:rPr>
          <w:color w:val="231F20"/>
          <w:spacing w:val="-15"/>
        </w:rPr>
        <w:t xml:space="preserve"> </w:t>
      </w:r>
      <w:r>
        <w:rPr>
          <w:color w:val="231F20"/>
        </w:rPr>
        <w:t>in-country</w:t>
      </w:r>
      <w:r>
        <w:rPr>
          <w:color w:val="231F20"/>
          <w:spacing w:val="-15"/>
        </w:rPr>
        <w:t xml:space="preserve"> </w:t>
      </w:r>
      <w:r>
        <w:rPr>
          <w:color w:val="231F20"/>
        </w:rPr>
        <w:t>experts,</w:t>
      </w:r>
      <w:r>
        <w:rPr>
          <w:color w:val="231F20"/>
          <w:spacing w:val="-15"/>
        </w:rPr>
        <w:t xml:space="preserve"> </w:t>
      </w:r>
      <w:r>
        <w:rPr>
          <w:color w:val="231F20"/>
        </w:rPr>
        <w:t>the</w:t>
      </w:r>
      <w:r>
        <w:rPr>
          <w:color w:val="231F20"/>
          <w:spacing w:val="-15"/>
        </w:rPr>
        <w:t xml:space="preserve"> </w:t>
      </w:r>
      <w:r>
        <w:rPr>
          <w:color w:val="231F20"/>
        </w:rPr>
        <w:t>cost</w:t>
      </w:r>
      <w:r>
        <w:rPr>
          <w:color w:val="231F20"/>
          <w:spacing w:val="-15"/>
        </w:rPr>
        <w:t xml:space="preserve"> </w:t>
      </w:r>
      <w:r>
        <w:rPr>
          <w:color w:val="231F20"/>
        </w:rPr>
        <w:t>of</w:t>
      </w:r>
      <w:r>
        <w:rPr>
          <w:color w:val="231F20"/>
          <w:spacing w:val="-16"/>
        </w:rPr>
        <w:t xml:space="preserve"> </w:t>
      </w:r>
      <w:r>
        <w:rPr>
          <w:color w:val="231F20"/>
        </w:rPr>
        <w:t>warehousing,</w:t>
      </w:r>
      <w:r>
        <w:rPr>
          <w:color w:val="231F20"/>
          <w:spacing w:val="-15"/>
        </w:rPr>
        <w:t xml:space="preserve"> </w:t>
      </w:r>
      <w:r>
        <w:rPr>
          <w:color w:val="231F20"/>
        </w:rPr>
        <w:t xml:space="preserve">handling, and distribution was set at 30% of the total amount allocated to Procurement and </w:t>
      </w:r>
      <w:r>
        <w:rPr>
          <w:color w:val="231F20"/>
          <w:spacing w:val="-3"/>
        </w:rPr>
        <w:t xml:space="preserve">Supply </w:t>
      </w:r>
      <w:r>
        <w:rPr>
          <w:color w:val="231F20"/>
        </w:rPr>
        <w:t>Management.</w:t>
      </w:r>
    </w:p>
    <w:p w14:paraId="28CB2170" w14:textId="77777777" w:rsidR="009948F1" w:rsidRDefault="00BC0563">
      <w:pPr>
        <w:pStyle w:val="BodyText"/>
        <w:spacing w:line="251" w:lineRule="exact"/>
        <w:ind w:left="535"/>
        <w:jc w:val="both"/>
      </w:pPr>
      <w:r>
        <w:rPr>
          <w:rFonts w:ascii="Symbol" w:hAnsi="Symbol"/>
          <w:color w:val="231F20"/>
          <w:spacing w:val="-248"/>
          <w:w w:val="600"/>
        </w:rPr>
        <w:t></w:t>
      </w:r>
      <w:r>
        <w:rPr>
          <w:color w:val="231F20"/>
          <w:w w:val="99"/>
        </w:rPr>
        <w:t>HR</w:t>
      </w:r>
      <w:r>
        <w:rPr>
          <w:color w:val="231F20"/>
          <w:spacing w:val="26"/>
        </w:rPr>
        <w:t xml:space="preserve"> </w:t>
      </w:r>
      <w:r>
        <w:rPr>
          <w:color w:val="231F20"/>
        </w:rPr>
        <w:t>costs</w:t>
      </w:r>
      <w:r>
        <w:rPr>
          <w:color w:val="231F20"/>
          <w:spacing w:val="26"/>
        </w:rPr>
        <w:t xml:space="preserve"> </w:t>
      </w:r>
      <w:r>
        <w:rPr>
          <w:color w:val="231F20"/>
          <w:w w:val="99"/>
        </w:rPr>
        <w:t>were</w:t>
      </w:r>
      <w:r>
        <w:rPr>
          <w:color w:val="231F20"/>
          <w:spacing w:val="26"/>
        </w:rPr>
        <w:t xml:space="preserve"> </w:t>
      </w:r>
      <w:r>
        <w:rPr>
          <w:color w:val="231F20"/>
          <w:w w:val="99"/>
        </w:rPr>
        <w:t>based</w:t>
      </w:r>
      <w:r>
        <w:rPr>
          <w:color w:val="231F20"/>
          <w:spacing w:val="26"/>
        </w:rPr>
        <w:t xml:space="preserve"> </w:t>
      </w:r>
      <w:r>
        <w:rPr>
          <w:color w:val="231F20"/>
          <w:w w:val="99"/>
        </w:rPr>
        <w:t>on</w:t>
      </w:r>
      <w:r>
        <w:rPr>
          <w:color w:val="231F20"/>
          <w:spacing w:val="26"/>
        </w:rPr>
        <w:t xml:space="preserve"> </w:t>
      </w:r>
      <w:r>
        <w:rPr>
          <w:color w:val="231F20"/>
        </w:rPr>
        <w:t>State</w:t>
      </w:r>
      <w:r>
        <w:rPr>
          <w:color w:val="231F20"/>
          <w:spacing w:val="26"/>
        </w:rPr>
        <w:t xml:space="preserve"> </w:t>
      </w:r>
      <w:r>
        <w:rPr>
          <w:color w:val="231F20"/>
          <w:w w:val="99"/>
        </w:rPr>
        <w:t>Specific</w:t>
      </w:r>
      <w:r>
        <w:rPr>
          <w:color w:val="231F20"/>
          <w:spacing w:val="26"/>
        </w:rPr>
        <w:t xml:space="preserve"> </w:t>
      </w:r>
      <w:r>
        <w:rPr>
          <w:color w:val="231F20"/>
          <w:w w:val="99"/>
        </w:rPr>
        <w:t>HR</w:t>
      </w:r>
      <w:r>
        <w:rPr>
          <w:color w:val="231F20"/>
          <w:spacing w:val="26"/>
        </w:rPr>
        <w:t xml:space="preserve"> </w:t>
      </w:r>
      <w:r>
        <w:rPr>
          <w:color w:val="231F20"/>
        </w:rPr>
        <w:t>data,</w:t>
      </w:r>
      <w:r>
        <w:rPr>
          <w:color w:val="231F20"/>
          <w:spacing w:val="26"/>
        </w:rPr>
        <w:t xml:space="preserve"> </w:t>
      </w:r>
      <w:r>
        <w:rPr>
          <w:color w:val="231F20"/>
          <w:w w:val="99"/>
        </w:rPr>
        <w:t>especially</w:t>
      </w:r>
      <w:r>
        <w:rPr>
          <w:color w:val="231F20"/>
          <w:spacing w:val="26"/>
        </w:rPr>
        <w:t xml:space="preserve"> </w:t>
      </w:r>
      <w:r>
        <w:rPr>
          <w:color w:val="231F20"/>
        </w:rPr>
        <w:t>for</w:t>
      </w:r>
      <w:r>
        <w:rPr>
          <w:color w:val="231F20"/>
          <w:spacing w:val="26"/>
        </w:rPr>
        <w:t xml:space="preserve"> </w:t>
      </w:r>
      <w:r>
        <w:rPr>
          <w:color w:val="231F20"/>
        </w:rPr>
        <w:t>the</w:t>
      </w:r>
      <w:r>
        <w:rPr>
          <w:color w:val="231F20"/>
          <w:spacing w:val="26"/>
        </w:rPr>
        <w:t xml:space="preserve"> </w:t>
      </w:r>
      <w:r>
        <w:rPr>
          <w:color w:val="231F20"/>
          <w:w w:val="99"/>
        </w:rPr>
        <w:t>baseline</w:t>
      </w:r>
      <w:r>
        <w:rPr>
          <w:color w:val="231F20"/>
          <w:spacing w:val="26"/>
        </w:rPr>
        <w:t xml:space="preserve"> </w:t>
      </w:r>
      <w:r>
        <w:rPr>
          <w:color w:val="231F20"/>
          <w:w w:val="99"/>
        </w:rPr>
        <w:t>scenario.</w:t>
      </w:r>
    </w:p>
    <w:p w14:paraId="13CE8C46" w14:textId="77777777" w:rsidR="009948F1" w:rsidRDefault="00BC0563">
      <w:pPr>
        <w:pStyle w:val="BodyText"/>
        <w:spacing w:before="16" w:line="256" w:lineRule="auto"/>
        <w:ind w:left="895" w:right="186"/>
        <w:jc w:val="both"/>
      </w:pPr>
      <w:r>
        <w:rPr>
          <w:color w:val="231F20"/>
        </w:rPr>
        <w:t>However,</w:t>
      </w:r>
      <w:r>
        <w:rPr>
          <w:color w:val="231F20"/>
          <w:spacing w:val="-24"/>
        </w:rPr>
        <w:t xml:space="preserve"> </w:t>
      </w:r>
      <w:r>
        <w:rPr>
          <w:color w:val="231F20"/>
        </w:rPr>
        <w:t>existing</w:t>
      </w:r>
      <w:r>
        <w:rPr>
          <w:color w:val="231F20"/>
          <w:spacing w:val="-24"/>
        </w:rPr>
        <w:t xml:space="preserve"> </w:t>
      </w:r>
      <w:r>
        <w:rPr>
          <w:color w:val="231F20"/>
        </w:rPr>
        <w:t>capacities</w:t>
      </w:r>
      <w:r>
        <w:rPr>
          <w:color w:val="231F20"/>
          <w:spacing w:val="-24"/>
        </w:rPr>
        <w:t xml:space="preserve"> </w:t>
      </w:r>
      <w:r>
        <w:rPr>
          <w:color w:val="231F20"/>
        </w:rPr>
        <w:t>skilled</w:t>
      </w:r>
      <w:r>
        <w:rPr>
          <w:color w:val="231F20"/>
          <w:spacing w:val="-24"/>
        </w:rPr>
        <w:t xml:space="preserve"> </w:t>
      </w:r>
      <w:r>
        <w:rPr>
          <w:color w:val="231F20"/>
        </w:rPr>
        <w:t>staff</w:t>
      </w:r>
      <w:r>
        <w:rPr>
          <w:color w:val="231F20"/>
          <w:spacing w:val="-24"/>
        </w:rPr>
        <w:t xml:space="preserve"> </w:t>
      </w:r>
      <w:r>
        <w:rPr>
          <w:color w:val="231F20"/>
        </w:rPr>
        <w:t>(i.e.,</w:t>
      </w:r>
      <w:r>
        <w:rPr>
          <w:color w:val="231F20"/>
          <w:spacing w:val="-24"/>
        </w:rPr>
        <w:t xml:space="preserve"> </w:t>
      </w:r>
      <w:r>
        <w:rPr>
          <w:color w:val="231F20"/>
        </w:rPr>
        <w:t>Doctors,</w:t>
      </w:r>
      <w:r>
        <w:rPr>
          <w:color w:val="231F20"/>
          <w:spacing w:val="-24"/>
        </w:rPr>
        <w:t xml:space="preserve"> </w:t>
      </w:r>
      <w:r>
        <w:rPr>
          <w:color w:val="231F20"/>
        </w:rPr>
        <w:t>Nurses,</w:t>
      </w:r>
      <w:r>
        <w:rPr>
          <w:color w:val="231F20"/>
          <w:spacing w:val="-24"/>
        </w:rPr>
        <w:t xml:space="preserve"> </w:t>
      </w:r>
      <w:r>
        <w:rPr>
          <w:color w:val="231F20"/>
        </w:rPr>
        <w:t>and</w:t>
      </w:r>
      <w:r>
        <w:rPr>
          <w:color w:val="231F20"/>
          <w:spacing w:val="-23"/>
        </w:rPr>
        <w:t xml:space="preserve"> </w:t>
      </w:r>
      <w:r>
        <w:rPr>
          <w:color w:val="231F20"/>
        </w:rPr>
        <w:t>Midwives)</w:t>
      </w:r>
      <w:r>
        <w:rPr>
          <w:color w:val="231F20"/>
          <w:spacing w:val="-24"/>
        </w:rPr>
        <w:t xml:space="preserve"> </w:t>
      </w:r>
      <w:r>
        <w:rPr>
          <w:color w:val="231F20"/>
        </w:rPr>
        <w:t>were</w:t>
      </w:r>
      <w:r>
        <w:rPr>
          <w:color w:val="231F20"/>
          <w:spacing w:val="-24"/>
        </w:rPr>
        <w:t xml:space="preserve"> </w:t>
      </w:r>
      <w:r>
        <w:rPr>
          <w:color w:val="231F20"/>
          <w:spacing w:val="-3"/>
        </w:rPr>
        <w:t xml:space="preserve">scaled- </w:t>
      </w:r>
      <w:r>
        <w:rPr>
          <w:color w:val="231F20"/>
        </w:rPr>
        <w:t>up</w:t>
      </w:r>
      <w:r>
        <w:rPr>
          <w:color w:val="231F20"/>
          <w:spacing w:val="-6"/>
        </w:rPr>
        <w:t xml:space="preserve"> </w:t>
      </w:r>
      <w:r>
        <w:rPr>
          <w:color w:val="231F20"/>
        </w:rPr>
        <w:t>to</w:t>
      </w:r>
      <w:r>
        <w:rPr>
          <w:color w:val="231F20"/>
          <w:spacing w:val="-6"/>
        </w:rPr>
        <w:t xml:space="preserve"> </w:t>
      </w:r>
      <w:r>
        <w:rPr>
          <w:color w:val="231F20"/>
        </w:rPr>
        <w:t>meet</w:t>
      </w:r>
      <w:r>
        <w:rPr>
          <w:color w:val="231F20"/>
          <w:spacing w:val="-6"/>
        </w:rPr>
        <w:t xml:space="preserve"> </w:t>
      </w:r>
      <w:r>
        <w:rPr>
          <w:color w:val="231F20"/>
        </w:rPr>
        <w:t>the</w:t>
      </w:r>
      <w:r>
        <w:rPr>
          <w:color w:val="231F20"/>
          <w:spacing w:val="-6"/>
        </w:rPr>
        <w:t xml:space="preserve"> </w:t>
      </w:r>
      <w:r>
        <w:rPr>
          <w:color w:val="231F20"/>
        </w:rPr>
        <w:t>demand</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Scaled</w:t>
      </w:r>
      <w:r>
        <w:rPr>
          <w:color w:val="231F20"/>
          <w:spacing w:val="-5"/>
        </w:rPr>
        <w:t xml:space="preserve"> </w:t>
      </w:r>
      <w:r>
        <w:rPr>
          <w:color w:val="231F20"/>
        </w:rPr>
        <w:t>SSHDP</w:t>
      </w:r>
      <w:r>
        <w:rPr>
          <w:color w:val="231F20"/>
          <w:spacing w:val="-9"/>
        </w:rPr>
        <w:t xml:space="preserve"> </w:t>
      </w:r>
      <w:r>
        <w:rPr>
          <w:color w:val="231F20"/>
        </w:rPr>
        <w:t>II</w:t>
      </w:r>
      <w:r>
        <w:rPr>
          <w:color w:val="231F20"/>
          <w:spacing w:val="-6"/>
        </w:rPr>
        <w:t xml:space="preserve"> </w:t>
      </w:r>
      <w:r>
        <w:rPr>
          <w:color w:val="231F20"/>
        </w:rPr>
        <w:t>scenarios.</w:t>
      </w:r>
      <w:r>
        <w:rPr>
          <w:color w:val="231F20"/>
          <w:spacing w:val="-9"/>
        </w:rPr>
        <w:t xml:space="preserve"> </w:t>
      </w:r>
      <w:r>
        <w:rPr>
          <w:color w:val="231F20"/>
        </w:rPr>
        <w:t>This</w:t>
      </w:r>
      <w:r>
        <w:rPr>
          <w:color w:val="231F20"/>
          <w:spacing w:val="-6"/>
        </w:rPr>
        <w:t xml:space="preserve"> </w:t>
      </w:r>
      <w:r>
        <w:rPr>
          <w:color w:val="231F20"/>
        </w:rPr>
        <w:t>HSS</w:t>
      </w:r>
      <w:r>
        <w:rPr>
          <w:color w:val="231F20"/>
          <w:spacing w:val="-6"/>
        </w:rPr>
        <w:t xml:space="preserve"> </w:t>
      </w:r>
      <w:r>
        <w:rPr>
          <w:color w:val="231F20"/>
        </w:rPr>
        <w:t>investment</w:t>
      </w:r>
      <w:r>
        <w:rPr>
          <w:color w:val="231F20"/>
          <w:spacing w:val="-5"/>
        </w:rPr>
        <w:t xml:space="preserve"> </w:t>
      </w:r>
      <w:r>
        <w:rPr>
          <w:color w:val="231F20"/>
        </w:rPr>
        <w:t>is</w:t>
      </w:r>
      <w:r>
        <w:rPr>
          <w:color w:val="231F20"/>
          <w:spacing w:val="-6"/>
        </w:rPr>
        <w:t xml:space="preserve"> </w:t>
      </w:r>
      <w:r>
        <w:rPr>
          <w:color w:val="231F20"/>
        </w:rPr>
        <w:t>crucial for delivering the health service targets of the strategy, particularly as the projections for staffing</w:t>
      </w:r>
      <w:r>
        <w:rPr>
          <w:color w:val="231F20"/>
          <w:spacing w:val="-26"/>
        </w:rPr>
        <w:t xml:space="preserve"> </w:t>
      </w:r>
      <w:r>
        <w:rPr>
          <w:color w:val="231F20"/>
        </w:rPr>
        <w:t>was</w:t>
      </w:r>
      <w:r>
        <w:rPr>
          <w:color w:val="231F20"/>
          <w:spacing w:val="-25"/>
        </w:rPr>
        <w:t xml:space="preserve"> </w:t>
      </w:r>
      <w:r>
        <w:rPr>
          <w:color w:val="231F20"/>
        </w:rPr>
        <w:t>not</w:t>
      </w:r>
      <w:r>
        <w:rPr>
          <w:color w:val="231F20"/>
          <w:spacing w:val="-25"/>
        </w:rPr>
        <w:t xml:space="preserve"> </w:t>
      </w:r>
      <w:r>
        <w:rPr>
          <w:color w:val="231F20"/>
        </w:rPr>
        <w:t>provided.</w:t>
      </w:r>
    </w:p>
    <w:p w14:paraId="75E810F3" w14:textId="77777777" w:rsidR="009948F1" w:rsidRDefault="00BC0563">
      <w:pPr>
        <w:pStyle w:val="BodyText"/>
        <w:spacing w:line="252" w:lineRule="exact"/>
        <w:ind w:left="535"/>
        <w:jc w:val="both"/>
      </w:pPr>
      <w:r>
        <w:rPr>
          <w:rFonts w:ascii="Symbol" w:hAnsi="Symbol"/>
          <w:color w:val="231F20"/>
          <w:spacing w:val="-248"/>
          <w:w w:val="600"/>
        </w:rPr>
        <w:t></w:t>
      </w:r>
      <w:r>
        <w:rPr>
          <w:color w:val="231F20"/>
        </w:rPr>
        <w:t>As</w:t>
      </w:r>
      <w:r>
        <w:rPr>
          <w:color w:val="231F20"/>
          <w:spacing w:val="20"/>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w w:val="99"/>
        </w:rPr>
        <w:t>the</w:t>
      </w:r>
      <w:r>
        <w:rPr>
          <w:color w:val="231F20"/>
          <w:spacing w:val="20"/>
        </w:rPr>
        <w:t xml:space="preserve"> </w:t>
      </w:r>
      <w:r>
        <w:rPr>
          <w:color w:val="231F20"/>
        </w:rPr>
        <w:t>SSHDP</w:t>
      </w:r>
      <w:r>
        <w:rPr>
          <w:color w:val="231F20"/>
          <w:spacing w:val="16"/>
        </w:rPr>
        <w:t xml:space="preserve"> </w:t>
      </w:r>
      <w:r>
        <w:rPr>
          <w:color w:val="231F20"/>
        </w:rPr>
        <w:t>II</w:t>
      </w:r>
      <w:r>
        <w:rPr>
          <w:color w:val="231F20"/>
          <w:spacing w:val="20"/>
        </w:rPr>
        <w:t xml:space="preserve"> </w:t>
      </w:r>
      <w:r>
        <w:rPr>
          <w:color w:val="231F20"/>
          <w:w w:val="99"/>
        </w:rPr>
        <w:t>governance</w:t>
      </w:r>
      <w:r>
        <w:rPr>
          <w:color w:val="231F20"/>
          <w:spacing w:val="21"/>
        </w:rPr>
        <w:t xml:space="preserve"> </w:t>
      </w:r>
      <w:r>
        <w:rPr>
          <w:color w:val="231F20"/>
        </w:rPr>
        <w:t>activities,</w:t>
      </w:r>
      <w:r>
        <w:rPr>
          <w:color w:val="231F20"/>
          <w:spacing w:val="20"/>
        </w:rPr>
        <w:t xml:space="preserve"> </w:t>
      </w:r>
      <w:r>
        <w:rPr>
          <w:color w:val="231F20"/>
          <w:w w:val="99"/>
        </w:rPr>
        <w:t>allocations</w:t>
      </w:r>
      <w:r>
        <w:rPr>
          <w:color w:val="231F20"/>
          <w:spacing w:val="21"/>
        </w:rPr>
        <w:t xml:space="preserve"> </w:t>
      </w:r>
      <w:r>
        <w:rPr>
          <w:color w:val="231F20"/>
          <w:w w:val="99"/>
        </w:rPr>
        <w:t>were</w:t>
      </w:r>
      <w:r>
        <w:rPr>
          <w:color w:val="231F20"/>
          <w:spacing w:val="20"/>
        </w:rPr>
        <w:t xml:space="preserve"> </w:t>
      </w:r>
      <w:r>
        <w:rPr>
          <w:color w:val="231F20"/>
          <w:w w:val="99"/>
        </w:rPr>
        <w:t>provided</w:t>
      </w:r>
      <w:r>
        <w:rPr>
          <w:color w:val="231F20"/>
          <w:spacing w:val="21"/>
        </w:rPr>
        <w:t xml:space="preserve"> </w:t>
      </w:r>
      <w:r>
        <w:rPr>
          <w:color w:val="231F20"/>
        </w:rPr>
        <w:t>to</w:t>
      </w:r>
      <w:r>
        <w:rPr>
          <w:color w:val="231F20"/>
          <w:spacing w:val="20"/>
        </w:rPr>
        <w:t xml:space="preserve"> </w:t>
      </w:r>
      <w:r>
        <w:rPr>
          <w:color w:val="231F20"/>
          <w:w w:val="99"/>
        </w:rPr>
        <w:t>strengthen</w:t>
      </w:r>
    </w:p>
    <w:p w14:paraId="62DF2AF8" w14:textId="77777777" w:rsidR="009948F1" w:rsidRDefault="00BC0563">
      <w:pPr>
        <w:pStyle w:val="BodyText"/>
        <w:spacing w:before="15" w:line="256" w:lineRule="auto"/>
        <w:ind w:left="894" w:right="186"/>
        <w:jc w:val="both"/>
      </w:pPr>
      <w:r>
        <w:rPr>
          <w:color w:val="231F20"/>
        </w:rPr>
        <w:t xml:space="preserve">private sector </w:t>
      </w:r>
      <w:proofErr w:type="gramStart"/>
      <w:r>
        <w:rPr>
          <w:color w:val="231F20"/>
        </w:rPr>
        <w:t>involvement;</w:t>
      </w:r>
      <w:proofErr w:type="gramEnd"/>
      <w:r>
        <w:rPr>
          <w:color w:val="231F20"/>
        </w:rPr>
        <w:t xml:space="preserve"> these funds were to cater for effective regulations and capacitation of care providers, for improved quality and collection of service data.</w:t>
      </w:r>
    </w:p>
    <w:p w14:paraId="26804D21" w14:textId="77777777" w:rsidR="009948F1" w:rsidRDefault="00BC0563">
      <w:pPr>
        <w:pStyle w:val="BodyText"/>
        <w:spacing w:line="253" w:lineRule="exact"/>
        <w:ind w:left="534"/>
      </w:pPr>
      <w:r>
        <w:rPr>
          <w:rFonts w:ascii="Symbol" w:hAnsi="Symbol"/>
          <w:color w:val="231F20"/>
          <w:spacing w:val="-248"/>
          <w:w w:val="600"/>
        </w:rPr>
        <w:t></w:t>
      </w:r>
      <w:r>
        <w:rPr>
          <w:color w:val="231F20"/>
          <w:w w:val="99"/>
        </w:rPr>
        <w:t>Government</w:t>
      </w:r>
      <w:r>
        <w:rPr>
          <w:color w:val="231F20"/>
          <w:spacing w:val="4"/>
          <w:w w:val="99"/>
        </w:rPr>
        <w:t xml:space="preserve"> </w:t>
      </w:r>
      <w:r>
        <w:rPr>
          <w:color w:val="231F20"/>
          <w:w w:val="99"/>
        </w:rPr>
        <w:t>estimates</w:t>
      </w:r>
      <w:r>
        <w:rPr>
          <w:color w:val="231F20"/>
          <w:spacing w:val="4"/>
          <w:w w:val="99"/>
        </w:rPr>
        <w:t xml:space="preserve"> </w:t>
      </w:r>
      <w:r>
        <w:rPr>
          <w:color w:val="231F20"/>
          <w:w w:val="99"/>
        </w:rPr>
        <w:t>for</w:t>
      </w:r>
      <w:r>
        <w:rPr>
          <w:color w:val="231F20"/>
          <w:spacing w:val="4"/>
          <w:w w:val="99"/>
        </w:rPr>
        <w:t xml:space="preserve"> </w:t>
      </w:r>
      <w:r>
        <w:rPr>
          <w:color w:val="231F20"/>
          <w:w w:val="99"/>
        </w:rPr>
        <w:t>the</w:t>
      </w:r>
      <w:r>
        <w:rPr>
          <w:color w:val="231F20"/>
          <w:spacing w:val="4"/>
          <w:w w:val="99"/>
        </w:rPr>
        <w:t xml:space="preserve"> </w:t>
      </w:r>
      <w:r>
        <w:rPr>
          <w:color w:val="231F20"/>
          <w:w w:val="99"/>
        </w:rPr>
        <w:t>resource</w:t>
      </w:r>
      <w:r>
        <w:rPr>
          <w:color w:val="231F20"/>
          <w:spacing w:val="4"/>
          <w:w w:val="99"/>
        </w:rPr>
        <w:t xml:space="preserve"> </w:t>
      </w:r>
      <w:r>
        <w:rPr>
          <w:color w:val="231F20"/>
          <w:w w:val="99"/>
        </w:rPr>
        <w:t>analysis</w:t>
      </w:r>
      <w:r>
        <w:rPr>
          <w:color w:val="231F20"/>
          <w:spacing w:val="4"/>
        </w:rPr>
        <w:t xml:space="preserve"> </w:t>
      </w:r>
      <w:r>
        <w:rPr>
          <w:color w:val="231F20"/>
          <w:w w:val="99"/>
        </w:rPr>
        <w:t>were</w:t>
      </w:r>
      <w:r>
        <w:rPr>
          <w:color w:val="231F20"/>
          <w:spacing w:val="4"/>
        </w:rPr>
        <w:t xml:space="preserve"> </w:t>
      </w:r>
      <w:r>
        <w:rPr>
          <w:color w:val="231F20"/>
          <w:w w:val="99"/>
        </w:rPr>
        <w:t>derived</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w w:val="99"/>
        </w:rPr>
        <w:t>2017</w:t>
      </w:r>
      <w:r>
        <w:rPr>
          <w:color w:val="231F20"/>
          <w:spacing w:val="4"/>
        </w:rPr>
        <w:t xml:space="preserve"> </w:t>
      </w:r>
      <w:r>
        <w:rPr>
          <w:color w:val="231F20"/>
          <w:w w:val="99"/>
        </w:rPr>
        <w:t>budget</w:t>
      </w:r>
      <w:r>
        <w:rPr>
          <w:color w:val="231F20"/>
          <w:spacing w:val="4"/>
        </w:rPr>
        <w:t xml:space="preserve"> </w:t>
      </w:r>
      <w:r>
        <w:rPr>
          <w:color w:val="231F20"/>
          <w:w w:val="99"/>
        </w:rPr>
        <w:t>and</w:t>
      </w:r>
    </w:p>
    <w:p w14:paraId="231BA715" w14:textId="77777777" w:rsidR="009948F1" w:rsidRDefault="00BC0563">
      <w:pPr>
        <w:pStyle w:val="BodyText"/>
        <w:spacing w:before="15" w:line="256" w:lineRule="auto"/>
        <w:ind w:left="894"/>
      </w:pPr>
      <w:r>
        <w:rPr>
          <w:color w:val="231F20"/>
        </w:rPr>
        <w:t>projected using population growth while partners funds were collected using the resource mapping tool.</w:t>
      </w:r>
    </w:p>
    <w:p w14:paraId="76E59E07" w14:textId="77777777" w:rsidR="009948F1" w:rsidRDefault="00BC0563">
      <w:pPr>
        <w:pStyle w:val="BodyText"/>
        <w:spacing w:line="253" w:lineRule="exact"/>
        <w:ind w:left="534"/>
      </w:pPr>
      <w:r>
        <w:rPr>
          <w:rFonts w:ascii="Symbol" w:hAnsi="Symbol"/>
          <w:color w:val="231F20"/>
          <w:spacing w:val="-248"/>
          <w:w w:val="600"/>
        </w:rPr>
        <w:t></w:t>
      </w:r>
      <w:r>
        <w:rPr>
          <w:color w:val="231F20"/>
        </w:rPr>
        <w:t>For</w:t>
      </w:r>
      <w:r>
        <w:rPr>
          <w:color w:val="231F20"/>
          <w:spacing w:val="-24"/>
        </w:rPr>
        <w:t xml:space="preserve"> </w:t>
      </w:r>
      <w:r>
        <w:rPr>
          <w:color w:val="231F20"/>
          <w:w w:val="99"/>
        </w:rPr>
        <w:t>many</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Programs,</w:t>
      </w:r>
      <w:r>
        <w:rPr>
          <w:color w:val="231F20"/>
          <w:spacing w:val="-24"/>
        </w:rPr>
        <w:t xml:space="preserve"> </w:t>
      </w:r>
      <w:r>
        <w:rPr>
          <w:color w:val="231F20"/>
        </w:rPr>
        <w:t>SSHDP</w:t>
      </w:r>
      <w:r>
        <w:rPr>
          <w:color w:val="231F20"/>
          <w:spacing w:val="-28"/>
        </w:rPr>
        <w:t xml:space="preserve"> </w:t>
      </w:r>
      <w:r>
        <w:rPr>
          <w:color w:val="231F20"/>
        </w:rPr>
        <w:t>II</w:t>
      </w:r>
      <w:r>
        <w:rPr>
          <w:color w:val="231F20"/>
          <w:spacing w:val="-24"/>
        </w:rPr>
        <w:t xml:space="preserve"> </w:t>
      </w:r>
      <w:r>
        <w:rPr>
          <w:color w:val="231F20"/>
          <w:w w:val="99"/>
        </w:rPr>
        <w:t>is</w:t>
      </w:r>
      <w:r>
        <w:rPr>
          <w:color w:val="231F20"/>
          <w:spacing w:val="-24"/>
        </w:rPr>
        <w:t xml:space="preserve"> </w:t>
      </w:r>
      <w:r>
        <w:rPr>
          <w:color w:val="231F20"/>
          <w:w w:val="99"/>
        </w:rPr>
        <w:t>expected</w:t>
      </w:r>
      <w:r>
        <w:rPr>
          <w:color w:val="231F20"/>
          <w:spacing w:val="-24"/>
        </w:rPr>
        <w:t xml:space="preserve"> </w:t>
      </w:r>
      <w:r>
        <w:rPr>
          <w:color w:val="231F20"/>
        </w:rPr>
        <w:t>to</w:t>
      </w:r>
      <w:r>
        <w:rPr>
          <w:color w:val="231F20"/>
          <w:spacing w:val="-24"/>
        </w:rPr>
        <w:t xml:space="preserve"> </w:t>
      </w:r>
      <w:r>
        <w:rPr>
          <w:color w:val="231F20"/>
          <w:w w:val="99"/>
        </w:rPr>
        <w:t>guide</w:t>
      </w:r>
      <w:r>
        <w:rPr>
          <w:color w:val="231F20"/>
          <w:spacing w:val="-24"/>
        </w:rPr>
        <w:t xml:space="preserve"> </w:t>
      </w:r>
      <w:r>
        <w:rPr>
          <w:color w:val="231F20"/>
        </w:rPr>
        <w:t>the</w:t>
      </w:r>
      <w:r>
        <w:rPr>
          <w:color w:val="231F20"/>
          <w:spacing w:val="-24"/>
        </w:rPr>
        <w:t xml:space="preserve"> </w:t>
      </w:r>
      <w:r>
        <w:rPr>
          <w:color w:val="231F20"/>
          <w:w w:val="99"/>
        </w:rPr>
        <w:t>development</w:t>
      </w:r>
      <w:r>
        <w:rPr>
          <w:color w:val="231F20"/>
          <w:spacing w:val="-24"/>
        </w:rPr>
        <w:t xml:space="preserve"> </w:t>
      </w:r>
      <w:r>
        <w:rPr>
          <w:color w:val="231F20"/>
        </w:rPr>
        <w:t>of</w:t>
      </w:r>
      <w:r>
        <w:rPr>
          <w:color w:val="231F20"/>
          <w:spacing w:val="-24"/>
        </w:rPr>
        <w:t xml:space="preserve"> </w:t>
      </w:r>
      <w:r>
        <w:rPr>
          <w:color w:val="231F20"/>
          <w:w w:val="99"/>
        </w:rPr>
        <w:t>their</w:t>
      </w:r>
      <w:r>
        <w:rPr>
          <w:color w:val="231F20"/>
          <w:spacing w:val="-24"/>
        </w:rPr>
        <w:t xml:space="preserve"> </w:t>
      </w:r>
      <w:r>
        <w:rPr>
          <w:color w:val="231F20"/>
        </w:rPr>
        <w:t>Strateg</w:t>
      </w:r>
      <w:r>
        <w:rPr>
          <w:color w:val="231F20"/>
          <w:spacing w:val="-17"/>
        </w:rPr>
        <w:t>y</w:t>
      </w:r>
      <w:r>
        <w:rPr>
          <w:color w:val="231F20"/>
        </w:rPr>
        <w:t>,</w:t>
      </w:r>
    </w:p>
    <w:p w14:paraId="61EC64BB" w14:textId="77777777" w:rsidR="009948F1" w:rsidRDefault="00BC0563">
      <w:pPr>
        <w:pStyle w:val="BodyText"/>
        <w:spacing w:before="16" w:line="256" w:lineRule="auto"/>
        <w:ind w:left="894" w:right="186"/>
        <w:jc w:val="both"/>
      </w:pPr>
      <w:r>
        <w:rPr>
          <w:color w:val="231F20"/>
        </w:rPr>
        <w:t>i.e., Immunization. However, for the Programs with existing country strategies such as RMNCAH,</w:t>
      </w:r>
      <w:r>
        <w:rPr>
          <w:color w:val="231F20"/>
          <w:spacing w:val="-6"/>
        </w:rPr>
        <w:t xml:space="preserve"> </w:t>
      </w:r>
      <w:r>
        <w:rPr>
          <w:color w:val="231F20"/>
        </w:rPr>
        <w:t>Family</w:t>
      </w:r>
      <w:r>
        <w:rPr>
          <w:color w:val="231F20"/>
          <w:spacing w:val="-5"/>
        </w:rPr>
        <w:t xml:space="preserve"> </w:t>
      </w:r>
      <w:r>
        <w:rPr>
          <w:color w:val="231F20"/>
        </w:rPr>
        <w:t>Planning</w:t>
      </w:r>
      <w:r>
        <w:rPr>
          <w:color w:val="231F20"/>
          <w:spacing w:val="-5"/>
        </w:rPr>
        <w:t xml:space="preserve"> </w:t>
      </w:r>
      <w:r>
        <w:rPr>
          <w:color w:val="231F20"/>
        </w:rPr>
        <w:t>and</w:t>
      </w:r>
      <w:r>
        <w:rPr>
          <w:color w:val="231F20"/>
          <w:spacing w:val="-5"/>
        </w:rPr>
        <w:t xml:space="preserve"> </w:t>
      </w:r>
      <w:r>
        <w:rPr>
          <w:color w:val="231F20"/>
          <w:spacing w:val="-6"/>
        </w:rPr>
        <w:t>HIV,</w:t>
      </w:r>
      <w:r>
        <w:rPr>
          <w:color w:val="231F20"/>
          <w:spacing w:val="-5"/>
        </w:rPr>
        <w:t xml:space="preserve"> </w:t>
      </w:r>
      <w:r>
        <w:rPr>
          <w:color w:val="231F20"/>
        </w:rPr>
        <w:t>efforts</w:t>
      </w:r>
      <w:r>
        <w:rPr>
          <w:color w:val="231F20"/>
          <w:spacing w:val="-5"/>
        </w:rPr>
        <w:t xml:space="preserve"> </w:t>
      </w:r>
      <w:r>
        <w:rPr>
          <w:color w:val="231F20"/>
        </w:rPr>
        <w:t>were</w:t>
      </w:r>
      <w:r>
        <w:rPr>
          <w:color w:val="231F20"/>
          <w:spacing w:val="-6"/>
        </w:rPr>
        <w:t xml:space="preserve"> </w:t>
      </w:r>
      <w:r>
        <w:rPr>
          <w:color w:val="231F20"/>
        </w:rPr>
        <w:t>made</w:t>
      </w:r>
      <w:r>
        <w:rPr>
          <w:color w:val="231F20"/>
          <w:spacing w:val="-5"/>
        </w:rPr>
        <w:t xml:space="preserve"> </w:t>
      </w:r>
      <w:r>
        <w:rPr>
          <w:color w:val="231F20"/>
        </w:rPr>
        <w:t>to</w:t>
      </w:r>
      <w:r>
        <w:rPr>
          <w:color w:val="231F20"/>
          <w:spacing w:val="-5"/>
        </w:rPr>
        <w:t xml:space="preserve"> </w:t>
      </w:r>
      <w:r>
        <w:rPr>
          <w:color w:val="231F20"/>
        </w:rPr>
        <w:t>align</w:t>
      </w:r>
      <w:r>
        <w:rPr>
          <w:color w:val="231F20"/>
          <w:spacing w:val="-5"/>
        </w:rPr>
        <w:t xml:space="preserve"> </w:t>
      </w:r>
      <w:r>
        <w:rPr>
          <w:color w:val="231F20"/>
        </w:rPr>
        <w:t>the</w:t>
      </w:r>
      <w:r>
        <w:rPr>
          <w:color w:val="231F20"/>
          <w:spacing w:val="-5"/>
        </w:rPr>
        <w:t xml:space="preserve"> </w:t>
      </w:r>
      <w:r>
        <w:rPr>
          <w:color w:val="231F20"/>
        </w:rPr>
        <w:t>intervention</w:t>
      </w:r>
      <w:r>
        <w:rPr>
          <w:color w:val="231F20"/>
          <w:spacing w:val="-5"/>
        </w:rPr>
        <w:t xml:space="preserve"> </w:t>
      </w:r>
      <w:r>
        <w:rPr>
          <w:color w:val="231F20"/>
        </w:rPr>
        <w:t>targets</w:t>
      </w:r>
      <w:r>
        <w:rPr>
          <w:color w:val="231F20"/>
          <w:spacing w:val="-6"/>
        </w:rPr>
        <w:t xml:space="preserve"> </w:t>
      </w:r>
      <w:r>
        <w:rPr>
          <w:color w:val="231F20"/>
        </w:rPr>
        <w:t>of SSHDP</w:t>
      </w:r>
      <w:r>
        <w:rPr>
          <w:color w:val="231F20"/>
          <w:spacing w:val="-30"/>
        </w:rPr>
        <w:t xml:space="preserve"> </w:t>
      </w:r>
      <w:r>
        <w:rPr>
          <w:color w:val="231F20"/>
        </w:rPr>
        <w:t>II</w:t>
      </w:r>
      <w:r>
        <w:rPr>
          <w:color w:val="231F20"/>
          <w:spacing w:val="-25"/>
        </w:rPr>
        <w:t xml:space="preserve"> </w:t>
      </w:r>
      <w:r>
        <w:rPr>
          <w:color w:val="231F20"/>
        </w:rPr>
        <w:t>with</w:t>
      </w:r>
      <w:r>
        <w:rPr>
          <w:color w:val="231F20"/>
          <w:spacing w:val="-25"/>
        </w:rPr>
        <w:t xml:space="preserve"> </w:t>
      </w:r>
      <w:r>
        <w:rPr>
          <w:color w:val="231F20"/>
        </w:rPr>
        <w:t>those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country</w:t>
      </w:r>
      <w:r>
        <w:rPr>
          <w:color w:val="231F20"/>
          <w:spacing w:val="-25"/>
        </w:rPr>
        <w:t xml:space="preserve"> </w:t>
      </w:r>
      <w:r>
        <w:rPr>
          <w:color w:val="231F20"/>
        </w:rPr>
        <w:t>strategy.</w:t>
      </w:r>
    </w:p>
    <w:p w14:paraId="44E1533E" w14:textId="77777777" w:rsidR="009948F1" w:rsidRDefault="00BC0563">
      <w:pPr>
        <w:pStyle w:val="BodyText"/>
        <w:spacing w:line="238" w:lineRule="exact"/>
        <w:ind w:left="174"/>
        <w:jc w:val="both"/>
      </w:pPr>
      <w:r>
        <w:rPr>
          <w:color w:val="231F20"/>
        </w:rPr>
        <w:t>Although measures were put in place to mitigate the effects of the challenges encountered during</w:t>
      </w:r>
    </w:p>
    <w:p w14:paraId="13434E4A" w14:textId="77777777" w:rsidR="009948F1" w:rsidRDefault="00BC0563">
      <w:pPr>
        <w:pStyle w:val="BodyText"/>
        <w:spacing w:before="4" w:line="244" w:lineRule="auto"/>
        <w:ind w:left="174" w:right="186"/>
        <w:jc w:val="both"/>
      </w:pPr>
      <w:r>
        <w:rPr>
          <w:color w:val="231F20"/>
        </w:rPr>
        <w:t xml:space="preserve">the costing process, it is noteworthy to highlight some of these setbacks as the Rivers SSHDP </w:t>
      </w:r>
      <w:r>
        <w:rPr>
          <w:color w:val="231F20"/>
          <w:spacing w:val="-8"/>
        </w:rPr>
        <w:t xml:space="preserve">II </w:t>
      </w:r>
      <w:r>
        <w:rPr>
          <w:color w:val="231F20"/>
        </w:rPr>
        <w:t>cost</w:t>
      </w:r>
      <w:r>
        <w:rPr>
          <w:color w:val="231F20"/>
          <w:spacing w:val="-14"/>
        </w:rPr>
        <w:t xml:space="preserve"> </w:t>
      </w:r>
      <w:r>
        <w:rPr>
          <w:color w:val="231F20"/>
        </w:rPr>
        <w:t>outputs</w:t>
      </w:r>
      <w:r>
        <w:rPr>
          <w:color w:val="231F20"/>
          <w:spacing w:val="-13"/>
        </w:rPr>
        <w:t xml:space="preserve"> </w:t>
      </w:r>
      <w:r>
        <w:rPr>
          <w:color w:val="231F20"/>
        </w:rPr>
        <w:t>are</w:t>
      </w:r>
      <w:r>
        <w:rPr>
          <w:color w:val="231F20"/>
          <w:spacing w:val="-13"/>
        </w:rPr>
        <w:t xml:space="preserve"> </w:t>
      </w:r>
      <w:r>
        <w:rPr>
          <w:color w:val="231F20"/>
        </w:rPr>
        <w:t>interpreted.</w:t>
      </w:r>
      <w:r>
        <w:rPr>
          <w:color w:val="231F20"/>
          <w:spacing w:val="-25"/>
        </w:rPr>
        <w:t xml:space="preserve"> </w:t>
      </w:r>
      <w:r>
        <w:rPr>
          <w:color w:val="231F20"/>
        </w:rPr>
        <w:t>Across</w:t>
      </w:r>
      <w:r>
        <w:rPr>
          <w:color w:val="231F20"/>
          <w:spacing w:val="-13"/>
        </w:rPr>
        <w:t xml:space="preserve"> </w:t>
      </w:r>
      <w:r>
        <w:rPr>
          <w:color w:val="231F20"/>
        </w:rPr>
        <w:t>the</w:t>
      </w:r>
      <w:r>
        <w:rPr>
          <w:color w:val="231F20"/>
          <w:spacing w:val="-13"/>
        </w:rPr>
        <w:t xml:space="preserve"> </w:t>
      </w:r>
      <w:r>
        <w:rPr>
          <w:color w:val="231F20"/>
        </w:rPr>
        <w:t>required</w:t>
      </w:r>
      <w:r>
        <w:rPr>
          <w:color w:val="231F20"/>
          <w:spacing w:val="-13"/>
        </w:rPr>
        <w:t xml:space="preserve"> </w:t>
      </w:r>
      <w:r>
        <w:rPr>
          <w:color w:val="231F20"/>
        </w:rPr>
        <w:t>inputs</w:t>
      </w:r>
      <w:r>
        <w:rPr>
          <w:color w:val="231F20"/>
          <w:spacing w:val="-13"/>
        </w:rPr>
        <w:t xml:space="preserve"> </w:t>
      </w:r>
      <w:r>
        <w:rPr>
          <w:color w:val="231F20"/>
        </w:rPr>
        <w:t>data</w:t>
      </w:r>
      <w:r>
        <w:rPr>
          <w:color w:val="231F20"/>
          <w:spacing w:val="-13"/>
        </w:rPr>
        <w:t xml:space="preserve"> </w:t>
      </w:r>
      <w:r>
        <w:rPr>
          <w:color w:val="231F20"/>
        </w:rPr>
        <w:t>for</w:t>
      </w:r>
      <w:r>
        <w:rPr>
          <w:color w:val="231F20"/>
          <w:spacing w:val="-13"/>
        </w:rPr>
        <w:t xml:space="preserve"> </w:t>
      </w:r>
      <w:r>
        <w:rPr>
          <w:color w:val="231F20"/>
        </w:rPr>
        <w:t>costing,</w:t>
      </w:r>
      <w:r>
        <w:rPr>
          <w:color w:val="231F20"/>
          <w:spacing w:val="-13"/>
        </w:rPr>
        <w:t xml:space="preserve"> </w:t>
      </w:r>
      <w:r>
        <w:rPr>
          <w:color w:val="231F20"/>
        </w:rPr>
        <w:t>access</w:t>
      </w:r>
      <w:r>
        <w:rPr>
          <w:color w:val="231F20"/>
          <w:spacing w:val="-13"/>
        </w:rPr>
        <w:t xml:space="preserve"> </w:t>
      </w:r>
      <w:r>
        <w:rPr>
          <w:color w:val="231F20"/>
        </w:rPr>
        <w:t>to</w:t>
      </w:r>
      <w:r>
        <w:rPr>
          <w:color w:val="231F20"/>
          <w:spacing w:val="-13"/>
        </w:rPr>
        <w:t xml:space="preserve"> </w:t>
      </w:r>
      <w:r>
        <w:rPr>
          <w:color w:val="231F20"/>
        </w:rPr>
        <w:t>community</w:t>
      </w:r>
      <w:r>
        <w:rPr>
          <w:color w:val="231F20"/>
          <w:spacing w:val="-13"/>
        </w:rPr>
        <w:t xml:space="preserve"> </w:t>
      </w:r>
      <w:r>
        <w:rPr>
          <w:color w:val="231F20"/>
        </w:rPr>
        <w:t>and health facility information top the list of challenges, as-well-as the paucity of HSS information to guide</w:t>
      </w:r>
      <w:r>
        <w:rPr>
          <w:color w:val="231F20"/>
          <w:spacing w:val="-26"/>
        </w:rPr>
        <w:t xml:space="preserve"> </w:t>
      </w:r>
      <w:r>
        <w:rPr>
          <w:color w:val="231F20"/>
        </w:rPr>
        <w:t>the</w:t>
      </w:r>
      <w:r>
        <w:rPr>
          <w:color w:val="231F20"/>
          <w:spacing w:val="-25"/>
        </w:rPr>
        <w:t xml:space="preserve"> </w:t>
      </w:r>
      <w:r>
        <w:rPr>
          <w:color w:val="231F20"/>
        </w:rPr>
        <w:t>scenario</w:t>
      </w:r>
      <w:r>
        <w:rPr>
          <w:color w:val="231F20"/>
          <w:spacing w:val="-25"/>
        </w:rPr>
        <w:t xml:space="preserve"> </w:t>
      </w:r>
      <w:r>
        <w:rPr>
          <w:color w:val="231F20"/>
        </w:rPr>
        <w:t>modeling</w:t>
      </w:r>
      <w:r>
        <w:rPr>
          <w:color w:val="231F20"/>
          <w:spacing w:val="-25"/>
        </w:rPr>
        <w:t xml:space="preserve"> </w:t>
      </w:r>
      <w:r>
        <w:rPr>
          <w:color w:val="231F20"/>
        </w:rPr>
        <w:t>process.</w:t>
      </w:r>
      <w:r>
        <w:rPr>
          <w:color w:val="231F20"/>
          <w:spacing w:val="-25"/>
        </w:rPr>
        <w:t xml:space="preserve"> </w:t>
      </w:r>
      <w:r>
        <w:rPr>
          <w:color w:val="231F20"/>
        </w:rPr>
        <w:t>Others</w:t>
      </w:r>
      <w:r>
        <w:rPr>
          <w:color w:val="231F20"/>
          <w:spacing w:val="-25"/>
        </w:rPr>
        <w:t xml:space="preserve"> </w:t>
      </w:r>
      <w:r>
        <w:rPr>
          <w:color w:val="231F20"/>
        </w:rPr>
        <w:t>have</w:t>
      </w:r>
      <w:r>
        <w:rPr>
          <w:color w:val="231F20"/>
          <w:spacing w:val="-25"/>
        </w:rPr>
        <w:t xml:space="preserve"> </w:t>
      </w:r>
      <w:r>
        <w:rPr>
          <w:color w:val="231F20"/>
        </w:rPr>
        <w:t>been</w:t>
      </w:r>
      <w:r>
        <w:rPr>
          <w:color w:val="231F20"/>
          <w:spacing w:val="-25"/>
        </w:rPr>
        <w:t xml:space="preserve"> </w:t>
      </w:r>
      <w:r>
        <w:rPr>
          <w:color w:val="231F20"/>
        </w:rPr>
        <w:t>listed</w:t>
      </w:r>
      <w:r>
        <w:rPr>
          <w:color w:val="231F20"/>
          <w:spacing w:val="-25"/>
        </w:rPr>
        <w:t xml:space="preserve"> </w:t>
      </w:r>
      <w:r>
        <w:rPr>
          <w:color w:val="231F20"/>
        </w:rPr>
        <w:t>below:</w:t>
      </w:r>
    </w:p>
    <w:p w14:paraId="181F1B6B" w14:textId="77777777" w:rsidR="009948F1" w:rsidRDefault="00BC0563">
      <w:pPr>
        <w:pStyle w:val="ListParagraph"/>
        <w:numPr>
          <w:ilvl w:val="0"/>
          <w:numId w:val="254"/>
        </w:numPr>
        <w:tabs>
          <w:tab w:val="left" w:pos="895"/>
        </w:tabs>
        <w:spacing w:before="13" w:line="259" w:lineRule="auto"/>
        <w:ind w:right="186"/>
      </w:pPr>
      <w:r>
        <w:rPr>
          <w:color w:val="231F20"/>
        </w:rPr>
        <w:t>The dearth of service coverage baselines across many of the health program areas, particularly NCD, NTD, and TB. Using expert opinion, service coverage for these interventions</w:t>
      </w:r>
      <w:r>
        <w:rPr>
          <w:color w:val="231F20"/>
          <w:spacing w:val="-25"/>
        </w:rPr>
        <w:t xml:space="preserve"> </w:t>
      </w:r>
      <w:r>
        <w:rPr>
          <w:color w:val="231F20"/>
        </w:rPr>
        <w:t>were</w:t>
      </w:r>
      <w:r>
        <w:rPr>
          <w:color w:val="231F20"/>
          <w:spacing w:val="-25"/>
        </w:rPr>
        <w:t xml:space="preserve"> </w:t>
      </w:r>
      <w:r>
        <w:rPr>
          <w:color w:val="231F20"/>
        </w:rPr>
        <w:t>set</w:t>
      </w:r>
      <w:r>
        <w:rPr>
          <w:color w:val="231F20"/>
          <w:spacing w:val="-25"/>
        </w:rPr>
        <w:t xml:space="preserve"> </w:t>
      </w:r>
      <w:r>
        <w:rPr>
          <w:color w:val="231F20"/>
        </w:rPr>
        <w:t>at</w:t>
      </w:r>
      <w:r>
        <w:rPr>
          <w:color w:val="231F20"/>
          <w:spacing w:val="-25"/>
        </w:rPr>
        <w:t xml:space="preserve"> </w:t>
      </w:r>
      <w:r>
        <w:rPr>
          <w:color w:val="231F20"/>
        </w:rPr>
        <w:t>10%</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base</w:t>
      </w:r>
      <w:r>
        <w:rPr>
          <w:color w:val="231F20"/>
          <w:spacing w:val="-25"/>
        </w:rPr>
        <w:t xml:space="preserve"> </w:t>
      </w:r>
      <w:r>
        <w:rPr>
          <w:color w:val="231F20"/>
          <w:spacing w:val="-3"/>
        </w:rPr>
        <w:t>year.</w:t>
      </w:r>
    </w:p>
    <w:p w14:paraId="7C6B83A0" w14:textId="77777777" w:rsidR="009948F1" w:rsidRDefault="00BC0563">
      <w:pPr>
        <w:pStyle w:val="BodyText"/>
        <w:spacing w:line="237" w:lineRule="exact"/>
        <w:ind w:left="174"/>
      </w:pPr>
      <w:r>
        <w:rPr>
          <w:color w:val="231F20"/>
        </w:rPr>
        <w:t>Treatment inputs required for estimating intervention cost for the plan was not provided for 22%</w:t>
      </w:r>
    </w:p>
    <w:p w14:paraId="43A59453" w14:textId="77777777" w:rsidR="009948F1" w:rsidRDefault="00BC0563">
      <w:pPr>
        <w:pStyle w:val="BodyText"/>
        <w:spacing w:before="5" w:line="244" w:lineRule="auto"/>
        <w:ind w:left="174" w:right="908" w:hanging="1"/>
      </w:pPr>
      <w:r>
        <w:rPr>
          <w:color w:val="231F20"/>
        </w:rPr>
        <w:t>of the SSHDP II interventions modelled. All attempts by the costing team to assess this information was unsuccessful within the planning period.</w:t>
      </w:r>
    </w:p>
    <w:p w14:paraId="42381017" w14:textId="77777777" w:rsidR="009948F1" w:rsidRPr="00760CC0" w:rsidRDefault="00BC0563">
      <w:pPr>
        <w:pStyle w:val="ListParagraph"/>
        <w:numPr>
          <w:ilvl w:val="0"/>
          <w:numId w:val="253"/>
        </w:numPr>
        <w:tabs>
          <w:tab w:val="left" w:pos="895"/>
        </w:tabs>
        <w:spacing w:line="244" w:lineRule="auto"/>
        <w:ind w:right="186"/>
      </w:pPr>
      <w:r>
        <w:rPr>
          <w:color w:val="231F20"/>
        </w:rPr>
        <w:t>As for Health System cost inputs, information provided for HR, Logistic and</w:t>
      </w:r>
      <w:r>
        <w:rPr>
          <w:color w:val="231F20"/>
          <w:spacing w:val="-39"/>
        </w:rPr>
        <w:t xml:space="preserve"> </w:t>
      </w:r>
      <w:r>
        <w:rPr>
          <w:color w:val="231F20"/>
        </w:rPr>
        <w:t xml:space="preserve">Infrastructure </w:t>
      </w:r>
      <w:r w:rsidRPr="00760CC0">
        <w:rPr>
          <w:color w:val="231F20"/>
        </w:rPr>
        <w:t xml:space="preserve">were insufficient. While some inputs were provided for Infrastructure and HR, </w:t>
      </w:r>
      <w:r w:rsidRPr="00760CC0">
        <w:rPr>
          <w:color w:val="231F20"/>
          <w:spacing w:val="-8"/>
        </w:rPr>
        <w:t xml:space="preserve">no </w:t>
      </w:r>
      <w:r w:rsidRPr="00760CC0">
        <w:rPr>
          <w:color w:val="231F20"/>
        </w:rPr>
        <w:t>information was provided for the management and distribution of medicine and supplies. Logistics</w:t>
      </w:r>
      <w:r w:rsidRPr="00760CC0">
        <w:rPr>
          <w:color w:val="231F20"/>
          <w:spacing w:val="-20"/>
        </w:rPr>
        <w:t xml:space="preserve"> </w:t>
      </w:r>
      <w:r w:rsidRPr="00760CC0">
        <w:rPr>
          <w:color w:val="231F20"/>
        </w:rPr>
        <w:t>was</w:t>
      </w:r>
      <w:r w:rsidRPr="00760CC0">
        <w:rPr>
          <w:color w:val="231F20"/>
          <w:spacing w:val="-19"/>
        </w:rPr>
        <w:t xml:space="preserve"> </w:t>
      </w:r>
      <w:r w:rsidRPr="00760CC0">
        <w:rPr>
          <w:color w:val="231F20"/>
        </w:rPr>
        <w:t>estimated</w:t>
      </w:r>
      <w:r w:rsidRPr="00760CC0">
        <w:rPr>
          <w:color w:val="231F20"/>
          <w:spacing w:val="-19"/>
        </w:rPr>
        <w:t xml:space="preserve"> </w:t>
      </w:r>
      <w:r w:rsidRPr="00760CC0">
        <w:rPr>
          <w:color w:val="231F20"/>
        </w:rPr>
        <w:t>as</w:t>
      </w:r>
      <w:r w:rsidRPr="00760CC0">
        <w:rPr>
          <w:color w:val="231F20"/>
          <w:spacing w:val="-19"/>
        </w:rPr>
        <w:t xml:space="preserve"> </w:t>
      </w:r>
      <w:r w:rsidRPr="00760CC0">
        <w:rPr>
          <w:color w:val="231F20"/>
        </w:rPr>
        <w:t>a</w:t>
      </w:r>
      <w:r w:rsidRPr="00760CC0">
        <w:rPr>
          <w:color w:val="231F20"/>
          <w:spacing w:val="-19"/>
        </w:rPr>
        <w:t xml:space="preserve"> </w:t>
      </w:r>
      <w:r w:rsidRPr="00760CC0">
        <w:rPr>
          <w:color w:val="231F20"/>
        </w:rPr>
        <w:t>share</w:t>
      </w:r>
      <w:r w:rsidRPr="00760CC0">
        <w:rPr>
          <w:color w:val="231F20"/>
          <w:spacing w:val="-19"/>
        </w:rPr>
        <w:t xml:space="preserve"> </w:t>
      </w:r>
      <w:r w:rsidRPr="00760CC0">
        <w:rPr>
          <w:color w:val="231F20"/>
        </w:rPr>
        <w:t>of</w:t>
      </w:r>
      <w:r w:rsidRPr="00760CC0">
        <w:rPr>
          <w:color w:val="231F20"/>
          <w:spacing w:val="-19"/>
        </w:rPr>
        <w:t xml:space="preserve"> </w:t>
      </w:r>
      <w:r w:rsidRPr="00760CC0">
        <w:rPr>
          <w:color w:val="231F20"/>
        </w:rPr>
        <w:t>the</w:t>
      </w:r>
      <w:r w:rsidRPr="00760CC0">
        <w:rPr>
          <w:color w:val="231F20"/>
          <w:spacing w:val="-19"/>
        </w:rPr>
        <w:t xml:space="preserve"> </w:t>
      </w:r>
      <w:r w:rsidRPr="00760CC0">
        <w:rPr>
          <w:color w:val="231F20"/>
        </w:rPr>
        <w:t>total</w:t>
      </w:r>
      <w:r w:rsidRPr="00760CC0">
        <w:rPr>
          <w:color w:val="231F20"/>
          <w:spacing w:val="-19"/>
        </w:rPr>
        <w:t xml:space="preserve"> </w:t>
      </w:r>
      <w:r w:rsidRPr="00760CC0">
        <w:rPr>
          <w:color w:val="231F20"/>
        </w:rPr>
        <w:t>cost</w:t>
      </w:r>
      <w:r w:rsidRPr="00760CC0">
        <w:rPr>
          <w:color w:val="231F20"/>
          <w:spacing w:val="-19"/>
        </w:rPr>
        <w:t xml:space="preserve"> </w:t>
      </w:r>
      <w:r w:rsidRPr="00760CC0">
        <w:rPr>
          <w:color w:val="231F20"/>
        </w:rPr>
        <w:t>of</w:t>
      </w:r>
      <w:r w:rsidRPr="00760CC0">
        <w:rPr>
          <w:color w:val="231F20"/>
          <w:spacing w:val="-19"/>
        </w:rPr>
        <w:t xml:space="preserve"> </w:t>
      </w:r>
      <w:r w:rsidRPr="00760CC0">
        <w:rPr>
          <w:color w:val="231F20"/>
        </w:rPr>
        <w:t>Medical</w:t>
      </w:r>
      <w:r w:rsidRPr="00760CC0">
        <w:rPr>
          <w:color w:val="231F20"/>
          <w:spacing w:val="-19"/>
        </w:rPr>
        <w:t xml:space="preserve"> </w:t>
      </w:r>
      <w:r w:rsidRPr="00760CC0">
        <w:rPr>
          <w:color w:val="231F20"/>
        </w:rPr>
        <w:t>commodity</w:t>
      </w:r>
      <w:r w:rsidRPr="00760CC0">
        <w:rPr>
          <w:color w:val="231F20"/>
          <w:spacing w:val="-19"/>
        </w:rPr>
        <w:t xml:space="preserve"> </w:t>
      </w:r>
      <w:r w:rsidRPr="00760CC0">
        <w:rPr>
          <w:color w:val="231F20"/>
        </w:rPr>
        <w:t>procurement</w:t>
      </w:r>
      <w:r w:rsidRPr="00760CC0">
        <w:rPr>
          <w:color w:val="231F20"/>
          <w:spacing w:val="-19"/>
        </w:rPr>
        <w:t xml:space="preserve"> </w:t>
      </w:r>
      <w:r w:rsidRPr="00760CC0">
        <w:rPr>
          <w:color w:val="231F20"/>
        </w:rPr>
        <w:t>and Distribution.</w:t>
      </w:r>
    </w:p>
    <w:p w14:paraId="7BCE1752" w14:textId="77777777" w:rsidR="009948F1" w:rsidRDefault="00BC0563">
      <w:pPr>
        <w:pStyle w:val="ListParagraph"/>
        <w:numPr>
          <w:ilvl w:val="0"/>
          <w:numId w:val="253"/>
        </w:numPr>
        <w:tabs>
          <w:tab w:val="left" w:pos="895"/>
        </w:tabs>
        <w:spacing w:line="244" w:lineRule="auto"/>
        <w:ind w:right="186"/>
      </w:pPr>
      <w:r w:rsidRPr="00760CC0">
        <w:rPr>
          <w:color w:val="231F20"/>
        </w:rPr>
        <w:t>Similarly, access to State-specific unit cost for building and equipping of health facilities (primary, secondary</w:t>
      </w:r>
      <w:r>
        <w:rPr>
          <w:color w:val="231F20"/>
        </w:rPr>
        <w:t xml:space="preserve"> and tertiary) was challenging. This gap was addressed </w:t>
      </w:r>
      <w:r>
        <w:rPr>
          <w:color w:val="231F20"/>
          <w:spacing w:val="-3"/>
        </w:rPr>
        <w:t xml:space="preserve">using </w:t>
      </w:r>
      <w:r>
        <w:rPr>
          <w:color w:val="231F20"/>
        </w:rPr>
        <w:t>harmonized</w:t>
      </w:r>
      <w:r>
        <w:rPr>
          <w:color w:val="231F20"/>
          <w:spacing w:val="-25"/>
        </w:rPr>
        <w:t xml:space="preserve"> </w:t>
      </w:r>
      <w:r>
        <w:rPr>
          <w:color w:val="231F20"/>
        </w:rPr>
        <w:t>estimates</w:t>
      </w:r>
      <w:r>
        <w:rPr>
          <w:color w:val="231F20"/>
          <w:spacing w:val="-25"/>
        </w:rPr>
        <w:t xml:space="preserve"> </w:t>
      </w:r>
      <w:r>
        <w:rPr>
          <w:color w:val="231F20"/>
        </w:rPr>
        <w:t>across</w:t>
      </w:r>
      <w:r>
        <w:rPr>
          <w:color w:val="231F20"/>
          <w:spacing w:val="-25"/>
        </w:rPr>
        <w:t xml:space="preserve"> </w:t>
      </w:r>
      <w:r>
        <w:rPr>
          <w:color w:val="231F20"/>
        </w:rPr>
        <w:t>states.</w:t>
      </w:r>
    </w:p>
    <w:p w14:paraId="2C61A43E" w14:textId="77777777" w:rsidR="009948F1" w:rsidRDefault="00BC0563">
      <w:pPr>
        <w:pStyle w:val="ListParagraph"/>
        <w:numPr>
          <w:ilvl w:val="0"/>
          <w:numId w:val="253"/>
        </w:numPr>
        <w:tabs>
          <w:tab w:val="left" w:pos="895"/>
        </w:tabs>
        <w:spacing w:line="244" w:lineRule="auto"/>
        <w:ind w:right="186"/>
      </w:pPr>
      <w:r>
        <w:rPr>
          <w:color w:val="231F20"/>
        </w:rPr>
        <w:t>Accessing</w:t>
      </w:r>
      <w:r>
        <w:rPr>
          <w:color w:val="231F20"/>
          <w:spacing w:val="-12"/>
        </w:rPr>
        <w:t xml:space="preserve"> </w:t>
      </w:r>
      <w:r>
        <w:rPr>
          <w:color w:val="231F20"/>
        </w:rPr>
        <w:t>data</w:t>
      </w:r>
      <w:r>
        <w:rPr>
          <w:color w:val="231F20"/>
          <w:spacing w:val="-11"/>
        </w:rPr>
        <w:t xml:space="preserve"> </w:t>
      </w:r>
      <w:r>
        <w:rPr>
          <w:color w:val="231F20"/>
        </w:rPr>
        <w:t>on</w:t>
      </w:r>
      <w:r>
        <w:rPr>
          <w:color w:val="231F20"/>
          <w:spacing w:val="-11"/>
        </w:rPr>
        <w:t xml:space="preserve"> </w:t>
      </w:r>
      <w:r>
        <w:rPr>
          <w:color w:val="231F20"/>
        </w:rPr>
        <w:t>resource</w:t>
      </w:r>
      <w:r>
        <w:rPr>
          <w:color w:val="231F20"/>
          <w:spacing w:val="-11"/>
        </w:rPr>
        <w:t xml:space="preserve"> </w:t>
      </w:r>
      <w:r>
        <w:rPr>
          <w:color w:val="231F20"/>
        </w:rPr>
        <w:t>commitments</w:t>
      </w:r>
      <w:r>
        <w:rPr>
          <w:color w:val="231F20"/>
          <w:spacing w:val="-12"/>
        </w:rPr>
        <w:t xml:space="preserve"> </w:t>
      </w:r>
      <w:r>
        <w:rPr>
          <w:color w:val="231F20"/>
        </w:rPr>
        <w:t>from</w:t>
      </w:r>
      <w:r>
        <w:rPr>
          <w:color w:val="231F20"/>
          <w:spacing w:val="-11"/>
        </w:rPr>
        <w:t xml:space="preserve"> </w:t>
      </w:r>
      <w:r>
        <w:rPr>
          <w:color w:val="231F20"/>
        </w:rPr>
        <w:t>development</w:t>
      </w:r>
      <w:r>
        <w:rPr>
          <w:color w:val="231F20"/>
          <w:spacing w:val="-11"/>
        </w:rPr>
        <w:t xml:space="preserve"> </w:t>
      </w:r>
      <w:r>
        <w:rPr>
          <w:color w:val="231F20"/>
        </w:rPr>
        <w:t>partners</w:t>
      </w:r>
      <w:r>
        <w:rPr>
          <w:color w:val="231F20"/>
          <w:spacing w:val="-11"/>
        </w:rPr>
        <w:t xml:space="preserve"> </w:t>
      </w:r>
      <w:r>
        <w:rPr>
          <w:color w:val="231F20"/>
        </w:rPr>
        <w:t>for</w:t>
      </w:r>
      <w:r>
        <w:rPr>
          <w:color w:val="231F20"/>
          <w:spacing w:val="-11"/>
        </w:rPr>
        <w:t xml:space="preserve"> </w:t>
      </w:r>
      <w:r>
        <w:rPr>
          <w:color w:val="231F20"/>
        </w:rPr>
        <w:t>financial</w:t>
      </w:r>
      <w:r>
        <w:rPr>
          <w:color w:val="231F20"/>
          <w:spacing w:val="-12"/>
        </w:rPr>
        <w:t xml:space="preserve"> </w:t>
      </w:r>
      <w:r>
        <w:rPr>
          <w:color w:val="231F20"/>
        </w:rPr>
        <w:t>sustain ability</w:t>
      </w:r>
      <w:r>
        <w:rPr>
          <w:color w:val="231F20"/>
          <w:spacing w:val="-11"/>
        </w:rPr>
        <w:t xml:space="preserve"> </w:t>
      </w:r>
      <w:r>
        <w:rPr>
          <w:color w:val="231F20"/>
        </w:rPr>
        <w:t>analysis</w:t>
      </w:r>
      <w:r>
        <w:rPr>
          <w:color w:val="231F20"/>
          <w:spacing w:val="-10"/>
        </w:rPr>
        <w:t xml:space="preserve"> </w:t>
      </w:r>
      <w:r>
        <w:rPr>
          <w:color w:val="231F20"/>
        </w:rPr>
        <w:t>was</w:t>
      </w:r>
      <w:r>
        <w:rPr>
          <w:color w:val="231F20"/>
          <w:spacing w:val="-11"/>
        </w:rPr>
        <w:t xml:space="preserve"> </w:t>
      </w:r>
      <w:r>
        <w:rPr>
          <w:color w:val="231F20"/>
        </w:rPr>
        <w:t>very</w:t>
      </w:r>
      <w:r>
        <w:rPr>
          <w:color w:val="231F20"/>
          <w:spacing w:val="-11"/>
        </w:rPr>
        <w:t xml:space="preserve"> </w:t>
      </w:r>
      <w:r>
        <w:rPr>
          <w:color w:val="231F20"/>
        </w:rPr>
        <w:t>challenging;</w:t>
      </w:r>
      <w:r>
        <w:rPr>
          <w:color w:val="231F20"/>
          <w:spacing w:val="-10"/>
        </w:rPr>
        <w:t xml:space="preserve"> </w:t>
      </w:r>
      <w:r>
        <w:rPr>
          <w:color w:val="231F20"/>
        </w:rPr>
        <w:t>no</w:t>
      </w:r>
      <w:r>
        <w:rPr>
          <w:color w:val="231F20"/>
          <w:spacing w:val="-11"/>
        </w:rPr>
        <w:t xml:space="preserve"> </w:t>
      </w:r>
      <w:r>
        <w:rPr>
          <w:color w:val="231F20"/>
        </w:rPr>
        <w:t>data</w:t>
      </w:r>
      <w:r>
        <w:rPr>
          <w:color w:val="231F20"/>
          <w:spacing w:val="-10"/>
        </w:rPr>
        <w:t xml:space="preserve"> </w:t>
      </w:r>
      <w:r>
        <w:rPr>
          <w:color w:val="231F20"/>
        </w:rPr>
        <w:t>on</w:t>
      </w:r>
      <w:r>
        <w:rPr>
          <w:color w:val="231F20"/>
          <w:spacing w:val="-11"/>
        </w:rPr>
        <w:t xml:space="preserve"> </w:t>
      </w:r>
      <w:r>
        <w:rPr>
          <w:color w:val="231F20"/>
          <w:spacing w:val="-5"/>
        </w:rPr>
        <w:t>dev.</w:t>
      </w:r>
      <w:r>
        <w:rPr>
          <w:color w:val="231F20"/>
          <w:spacing w:val="-11"/>
        </w:rPr>
        <w:t xml:space="preserve"> </w:t>
      </w:r>
      <w:r>
        <w:rPr>
          <w:color w:val="231F20"/>
        </w:rPr>
        <w:t>partners'</w:t>
      </w:r>
      <w:r>
        <w:rPr>
          <w:color w:val="231F20"/>
          <w:spacing w:val="-11"/>
        </w:rPr>
        <w:t xml:space="preserve"> </w:t>
      </w:r>
      <w:r>
        <w:rPr>
          <w:color w:val="231F20"/>
        </w:rPr>
        <w:t>financial</w:t>
      </w:r>
      <w:r>
        <w:rPr>
          <w:color w:val="231F20"/>
          <w:spacing w:val="-10"/>
        </w:rPr>
        <w:t xml:space="preserve"> </w:t>
      </w:r>
      <w:r>
        <w:rPr>
          <w:color w:val="231F20"/>
        </w:rPr>
        <w:t>commitments</w:t>
      </w:r>
      <w:r>
        <w:rPr>
          <w:color w:val="231F20"/>
          <w:spacing w:val="-11"/>
        </w:rPr>
        <w:t xml:space="preserve"> </w:t>
      </w:r>
      <w:r>
        <w:rPr>
          <w:color w:val="231F20"/>
        </w:rPr>
        <w:t>was provided.</w:t>
      </w:r>
    </w:p>
    <w:p w14:paraId="38E6B750" w14:textId="77777777" w:rsidR="009948F1" w:rsidRDefault="009948F1">
      <w:pPr>
        <w:spacing w:line="244" w:lineRule="auto"/>
        <w:jc w:val="both"/>
        <w:sectPr w:rsidR="009948F1">
          <w:pgSz w:w="11910" w:h="16840"/>
          <w:pgMar w:top="1560" w:right="1080" w:bottom="1420" w:left="1120" w:header="0" w:footer="1235" w:gutter="0"/>
          <w:cols w:space="720"/>
        </w:sectPr>
      </w:pPr>
    </w:p>
    <w:p w14:paraId="06135B45" w14:textId="77777777" w:rsidR="009948F1" w:rsidRDefault="00BC0563">
      <w:pPr>
        <w:pStyle w:val="Heading7"/>
        <w:numPr>
          <w:ilvl w:val="1"/>
          <w:numId w:val="255"/>
        </w:numPr>
        <w:tabs>
          <w:tab w:val="left" w:pos="873"/>
        </w:tabs>
        <w:spacing w:before="45"/>
        <w:ind w:left="872" w:hanging="721"/>
        <w:jc w:val="both"/>
      </w:pPr>
      <w:bookmarkStart w:id="119" w:name="Page_100"/>
      <w:bookmarkStart w:id="120" w:name="_TOC_250010"/>
      <w:bookmarkEnd w:id="119"/>
      <w:r>
        <w:rPr>
          <w:color w:val="231F20"/>
        </w:rPr>
        <w:lastRenderedPageBreak/>
        <w:t>Costing</w:t>
      </w:r>
      <w:r>
        <w:rPr>
          <w:color w:val="231F20"/>
          <w:spacing w:val="-25"/>
        </w:rPr>
        <w:t xml:space="preserve"> </w:t>
      </w:r>
      <w:r>
        <w:rPr>
          <w:color w:val="231F20"/>
        </w:rPr>
        <w:t>Scenarios</w:t>
      </w:r>
      <w:r>
        <w:rPr>
          <w:color w:val="231F20"/>
          <w:spacing w:val="-25"/>
        </w:rPr>
        <w:t xml:space="preserve"> </w:t>
      </w:r>
      <w:r>
        <w:rPr>
          <w:color w:val="231F20"/>
        </w:rPr>
        <w:t>and</w:t>
      </w:r>
      <w:r>
        <w:rPr>
          <w:color w:val="231F20"/>
          <w:spacing w:val="-33"/>
        </w:rPr>
        <w:t xml:space="preserve"> </w:t>
      </w:r>
      <w:r>
        <w:rPr>
          <w:color w:val="231F20"/>
        </w:rPr>
        <w:t>Assumptions</w:t>
      </w:r>
      <w:r>
        <w:rPr>
          <w:color w:val="231F20"/>
          <w:spacing w:val="-25"/>
        </w:rPr>
        <w:t xml:space="preserve"> </w:t>
      </w:r>
      <w:r>
        <w:rPr>
          <w:color w:val="231F20"/>
        </w:rPr>
        <w:t>for</w:t>
      </w:r>
      <w:r>
        <w:rPr>
          <w:color w:val="231F20"/>
          <w:spacing w:val="-25"/>
        </w:rPr>
        <w:t xml:space="preserve"> </w:t>
      </w:r>
      <w:r>
        <w:rPr>
          <w:color w:val="231F20"/>
        </w:rPr>
        <w:t>SSHDP</w:t>
      </w:r>
      <w:r>
        <w:rPr>
          <w:color w:val="231F20"/>
          <w:spacing w:val="-29"/>
        </w:rPr>
        <w:t xml:space="preserve"> </w:t>
      </w:r>
      <w:bookmarkEnd w:id="120"/>
      <w:r>
        <w:rPr>
          <w:color w:val="231F20"/>
        </w:rPr>
        <w:t>II</w:t>
      </w:r>
    </w:p>
    <w:p w14:paraId="2FA12C6D" w14:textId="70B5B3A9" w:rsidR="009948F1" w:rsidRDefault="00BC0563">
      <w:pPr>
        <w:pStyle w:val="BodyText"/>
        <w:spacing w:before="18" w:line="256" w:lineRule="auto"/>
        <w:ind w:left="152" w:right="221"/>
        <w:jc w:val="both"/>
      </w:pPr>
      <w:r>
        <w:rPr>
          <w:color w:val="231F20"/>
        </w:rPr>
        <w:t>Impact</w:t>
      </w:r>
      <w:r>
        <w:rPr>
          <w:color w:val="231F20"/>
          <w:spacing w:val="-23"/>
        </w:rPr>
        <w:t xml:space="preserve"> </w:t>
      </w:r>
      <w:r>
        <w:rPr>
          <w:color w:val="231F20"/>
        </w:rPr>
        <w:t>and</w:t>
      </w:r>
      <w:r>
        <w:rPr>
          <w:color w:val="231F20"/>
          <w:spacing w:val="-22"/>
        </w:rPr>
        <w:t xml:space="preserve"> </w:t>
      </w:r>
      <w:r>
        <w:rPr>
          <w:color w:val="231F20"/>
        </w:rPr>
        <w:t>cost</w:t>
      </w:r>
      <w:r>
        <w:rPr>
          <w:color w:val="231F20"/>
          <w:spacing w:val="-22"/>
        </w:rPr>
        <w:t xml:space="preserve"> </w:t>
      </w:r>
      <w:r>
        <w:rPr>
          <w:color w:val="231F20"/>
        </w:rPr>
        <w:t>estimates</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Rivers</w:t>
      </w:r>
      <w:r>
        <w:rPr>
          <w:color w:val="231F20"/>
          <w:spacing w:val="-22"/>
        </w:rPr>
        <w:t xml:space="preserve"> </w:t>
      </w:r>
      <w:r>
        <w:rPr>
          <w:color w:val="231F20"/>
        </w:rPr>
        <w:t>State</w:t>
      </w:r>
      <w:r>
        <w:rPr>
          <w:color w:val="231F20"/>
          <w:spacing w:val="-22"/>
        </w:rPr>
        <w:t xml:space="preserve"> </w:t>
      </w:r>
      <w:r>
        <w:rPr>
          <w:color w:val="231F20"/>
        </w:rPr>
        <w:t>SHDP</w:t>
      </w:r>
      <w:r>
        <w:rPr>
          <w:color w:val="231F20"/>
          <w:spacing w:val="-26"/>
        </w:rPr>
        <w:t xml:space="preserve"> </w:t>
      </w:r>
      <w:r>
        <w:rPr>
          <w:color w:val="231F20"/>
        </w:rPr>
        <w:t>II</w:t>
      </w:r>
      <w:r w:rsidR="00E47D1B">
        <w:rPr>
          <w:color w:val="231F20"/>
        </w:rPr>
        <w:t xml:space="preserve"> </w:t>
      </w:r>
      <w:r>
        <w:rPr>
          <w:color w:val="231F20"/>
        </w:rPr>
        <w:t>was</w:t>
      </w:r>
      <w:r>
        <w:rPr>
          <w:color w:val="231F20"/>
          <w:spacing w:val="-22"/>
        </w:rPr>
        <w:t xml:space="preserve"> </w:t>
      </w:r>
      <w:r>
        <w:rPr>
          <w:color w:val="231F20"/>
        </w:rPr>
        <w:t>modeled</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period</w:t>
      </w:r>
      <w:r>
        <w:rPr>
          <w:color w:val="231F20"/>
          <w:spacing w:val="-22"/>
        </w:rPr>
        <w:t xml:space="preserve"> </w:t>
      </w:r>
      <w:r>
        <w:rPr>
          <w:color w:val="231F20"/>
        </w:rPr>
        <w:t>2018-2022.</w:t>
      </w:r>
      <w:r>
        <w:rPr>
          <w:color w:val="231F20"/>
          <w:spacing w:val="-26"/>
        </w:rPr>
        <w:t xml:space="preserve"> </w:t>
      </w:r>
      <w:r>
        <w:rPr>
          <w:color w:val="231F20"/>
        </w:rPr>
        <w:t>This target</w:t>
      </w:r>
      <w:r>
        <w:rPr>
          <w:color w:val="231F20"/>
          <w:spacing w:val="-16"/>
        </w:rPr>
        <w:t xml:space="preserve"> </w:t>
      </w:r>
      <w:r>
        <w:rPr>
          <w:color w:val="231F20"/>
        </w:rPr>
        <w:t>was</w:t>
      </w:r>
      <w:r>
        <w:rPr>
          <w:color w:val="231F20"/>
          <w:spacing w:val="-15"/>
        </w:rPr>
        <w:t xml:space="preserve"> </w:t>
      </w:r>
      <w:r>
        <w:rPr>
          <w:color w:val="231F20"/>
        </w:rPr>
        <w:t>derived</w:t>
      </w:r>
      <w:r>
        <w:rPr>
          <w:color w:val="231F20"/>
          <w:spacing w:val="-15"/>
        </w:rPr>
        <w:t xml:space="preserve"> </w:t>
      </w:r>
      <w:r>
        <w:rPr>
          <w:color w:val="231F20"/>
        </w:rPr>
        <w:t>from</w:t>
      </w:r>
      <w:r>
        <w:rPr>
          <w:color w:val="231F20"/>
          <w:spacing w:val="-15"/>
        </w:rPr>
        <w:t xml:space="preserve"> </w:t>
      </w:r>
      <w:r>
        <w:rPr>
          <w:color w:val="231F20"/>
        </w:rPr>
        <w:t>the</w:t>
      </w:r>
      <w:r>
        <w:rPr>
          <w:color w:val="231F20"/>
          <w:spacing w:val="-15"/>
        </w:rPr>
        <w:t xml:space="preserve"> </w:t>
      </w:r>
      <w:r>
        <w:rPr>
          <w:color w:val="231F20"/>
        </w:rPr>
        <w:t>State's</w:t>
      </w:r>
      <w:r>
        <w:rPr>
          <w:color w:val="231F20"/>
          <w:spacing w:val="-15"/>
        </w:rPr>
        <w:t xml:space="preserve"> </w:t>
      </w:r>
      <w:r>
        <w:rPr>
          <w:color w:val="231F20"/>
        </w:rPr>
        <w:t>model</w:t>
      </w:r>
      <w:r>
        <w:rPr>
          <w:color w:val="231F20"/>
          <w:spacing w:val="-15"/>
        </w:rPr>
        <w:t xml:space="preserve"> </w:t>
      </w:r>
      <w:r>
        <w:rPr>
          <w:color w:val="231F20"/>
        </w:rPr>
        <w:t>towards</w:t>
      </w:r>
      <w:r>
        <w:rPr>
          <w:color w:val="231F20"/>
          <w:spacing w:val="-15"/>
        </w:rPr>
        <w:t xml:space="preserve"> </w:t>
      </w:r>
      <w:r>
        <w:rPr>
          <w:color w:val="231F20"/>
        </w:rPr>
        <w:t>the</w:t>
      </w:r>
      <w:r>
        <w:rPr>
          <w:color w:val="231F20"/>
          <w:spacing w:val="-15"/>
        </w:rPr>
        <w:t xml:space="preserve"> </w:t>
      </w:r>
      <w:r>
        <w:rPr>
          <w:color w:val="231F20"/>
        </w:rPr>
        <w:t>attainment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global</w:t>
      </w:r>
      <w:r>
        <w:rPr>
          <w:color w:val="231F20"/>
          <w:spacing w:val="-15"/>
        </w:rPr>
        <w:t xml:space="preserve"> </w:t>
      </w:r>
      <w:r>
        <w:rPr>
          <w:color w:val="231F20"/>
        </w:rPr>
        <w:t>mortality</w:t>
      </w:r>
      <w:r>
        <w:rPr>
          <w:color w:val="231F20"/>
          <w:spacing w:val="-15"/>
        </w:rPr>
        <w:t xml:space="preserve"> </w:t>
      </w:r>
      <w:r>
        <w:rPr>
          <w:color w:val="231F20"/>
        </w:rPr>
        <w:t>targets</w:t>
      </w:r>
      <w:r>
        <w:rPr>
          <w:color w:val="231F20"/>
          <w:spacing w:val="-15"/>
        </w:rPr>
        <w:t xml:space="preserve"> </w:t>
      </w:r>
      <w:r>
        <w:rPr>
          <w:color w:val="231F20"/>
        </w:rPr>
        <w:t>for Maternal,</w:t>
      </w:r>
      <w:r>
        <w:rPr>
          <w:color w:val="231F20"/>
          <w:spacing w:val="-17"/>
        </w:rPr>
        <w:t xml:space="preserve"> </w:t>
      </w:r>
      <w:r>
        <w:rPr>
          <w:color w:val="231F20"/>
        </w:rPr>
        <w:t>New-born,</w:t>
      </w:r>
      <w:r>
        <w:rPr>
          <w:color w:val="231F20"/>
          <w:spacing w:val="-15"/>
        </w:rPr>
        <w:t xml:space="preserve"> </w:t>
      </w:r>
      <w:r>
        <w:rPr>
          <w:color w:val="231F20"/>
        </w:rPr>
        <w:t>and</w:t>
      </w:r>
      <w:r>
        <w:rPr>
          <w:color w:val="231F20"/>
          <w:spacing w:val="-16"/>
        </w:rPr>
        <w:t xml:space="preserve"> </w:t>
      </w:r>
      <w:r>
        <w:rPr>
          <w:color w:val="231F20"/>
        </w:rPr>
        <w:t>Under-five</w:t>
      </w:r>
      <w:r>
        <w:rPr>
          <w:color w:val="231F20"/>
          <w:spacing w:val="-15"/>
        </w:rPr>
        <w:t xml:space="preserve"> </w:t>
      </w:r>
      <w:r>
        <w:rPr>
          <w:color w:val="231F20"/>
        </w:rPr>
        <w:t>by</w:t>
      </w:r>
      <w:r>
        <w:rPr>
          <w:color w:val="231F20"/>
          <w:spacing w:val="-16"/>
        </w:rPr>
        <w:t xml:space="preserve"> </w:t>
      </w:r>
      <w:r>
        <w:rPr>
          <w:color w:val="231F20"/>
        </w:rPr>
        <w:t>2030.</w:t>
      </w:r>
      <w:r>
        <w:rPr>
          <w:color w:val="231F20"/>
          <w:spacing w:val="-16"/>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rPr>
        <w:t>2022</w:t>
      </w:r>
      <w:r>
        <w:rPr>
          <w:color w:val="231F20"/>
          <w:spacing w:val="-16"/>
        </w:rPr>
        <w:t xml:space="preserve"> </w:t>
      </w:r>
      <w:r>
        <w:rPr>
          <w:color w:val="231F20"/>
        </w:rPr>
        <w:t>mortality</w:t>
      </w:r>
      <w:r>
        <w:rPr>
          <w:color w:val="231F20"/>
          <w:spacing w:val="-16"/>
        </w:rPr>
        <w:t xml:space="preserve"> </w:t>
      </w:r>
      <w:r>
        <w:rPr>
          <w:color w:val="231F20"/>
        </w:rPr>
        <w:t>ratio</w:t>
      </w:r>
      <w:r>
        <w:rPr>
          <w:color w:val="231F20"/>
          <w:spacing w:val="-17"/>
        </w:rPr>
        <w:t xml:space="preserve"> </w:t>
      </w:r>
      <w:r>
        <w:rPr>
          <w:color w:val="231F20"/>
        </w:rPr>
        <w:t>agreed</w:t>
      </w:r>
      <w:r>
        <w:rPr>
          <w:color w:val="231F20"/>
          <w:spacing w:val="-15"/>
        </w:rPr>
        <w:t xml:space="preserve"> </w:t>
      </w:r>
      <w:r>
        <w:rPr>
          <w:color w:val="231F20"/>
        </w:rPr>
        <w:t>upon,</w:t>
      </w:r>
      <w:r>
        <w:rPr>
          <w:color w:val="231F20"/>
          <w:spacing w:val="-16"/>
        </w:rPr>
        <w:t xml:space="preserve"> </w:t>
      </w:r>
      <w:r>
        <w:rPr>
          <w:color w:val="231F20"/>
        </w:rPr>
        <w:t>coverage parameters</w:t>
      </w:r>
      <w:r>
        <w:rPr>
          <w:color w:val="231F20"/>
          <w:spacing w:val="-12"/>
        </w:rPr>
        <w:t xml:space="preserve"> </w:t>
      </w:r>
      <w:r>
        <w:rPr>
          <w:color w:val="231F20"/>
        </w:rPr>
        <w:t>for</w:t>
      </w:r>
      <w:r>
        <w:rPr>
          <w:color w:val="231F20"/>
          <w:spacing w:val="-11"/>
        </w:rPr>
        <w:t xml:space="preserve"> </w:t>
      </w:r>
      <w:r>
        <w:rPr>
          <w:color w:val="231F20"/>
        </w:rPr>
        <w:t>high</w:t>
      </w:r>
      <w:r>
        <w:rPr>
          <w:color w:val="231F20"/>
          <w:spacing w:val="-11"/>
        </w:rPr>
        <w:t xml:space="preserve"> </w:t>
      </w:r>
      <w:r>
        <w:rPr>
          <w:color w:val="231F20"/>
        </w:rPr>
        <w:t>impact</w:t>
      </w:r>
      <w:r>
        <w:rPr>
          <w:color w:val="231F20"/>
          <w:spacing w:val="-11"/>
        </w:rPr>
        <w:t xml:space="preserve"> </w:t>
      </w:r>
      <w:r>
        <w:rPr>
          <w:color w:val="231F20"/>
        </w:rPr>
        <w:t>health</w:t>
      </w:r>
      <w:r>
        <w:rPr>
          <w:color w:val="231F20"/>
          <w:spacing w:val="-11"/>
        </w:rPr>
        <w:t xml:space="preserve"> </w:t>
      </w:r>
      <w:r>
        <w:rPr>
          <w:color w:val="231F20"/>
        </w:rPr>
        <w:t>services</w:t>
      </w:r>
      <w:r>
        <w:rPr>
          <w:color w:val="231F20"/>
          <w:spacing w:val="-11"/>
        </w:rPr>
        <w:t xml:space="preserve"> </w:t>
      </w:r>
      <w:r>
        <w:rPr>
          <w:color w:val="231F20"/>
        </w:rPr>
        <w:t>were</w:t>
      </w:r>
      <w:r>
        <w:rPr>
          <w:color w:val="231F20"/>
          <w:spacing w:val="-11"/>
        </w:rPr>
        <w:t xml:space="preserve"> </w:t>
      </w:r>
      <w:r>
        <w:rPr>
          <w:color w:val="231F20"/>
        </w:rPr>
        <w:t>iteratively</w:t>
      </w:r>
      <w:r>
        <w:rPr>
          <w:color w:val="231F20"/>
          <w:spacing w:val="-11"/>
        </w:rPr>
        <w:t xml:space="preserve"> </w:t>
      </w:r>
      <w:r>
        <w:rPr>
          <w:color w:val="231F20"/>
        </w:rPr>
        <w:t>scaled</w:t>
      </w:r>
      <w:r>
        <w:rPr>
          <w:color w:val="231F20"/>
          <w:spacing w:val="-11"/>
        </w:rPr>
        <w:t xml:space="preserve"> </w:t>
      </w:r>
      <w:r>
        <w:rPr>
          <w:color w:val="231F20"/>
        </w:rPr>
        <w:t>until</w:t>
      </w:r>
      <w:r>
        <w:rPr>
          <w:color w:val="231F20"/>
          <w:spacing w:val="-12"/>
        </w:rPr>
        <w:t xml:space="preserve"> </w:t>
      </w:r>
      <w:r>
        <w:rPr>
          <w:color w:val="231F20"/>
        </w:rPr>
        <w:t>the</w:t>
      </w:r>
      <w:r>
        <w:rPr>
          <w:color w:val="231F20"/>
          <w:spacing w:val="-11"/>
        </w:rPr>
        <w:t xml:space="preserve"> </w:t>
      </w:r>
      <w:r>
        <w:rPr>
          <w:color w:val="231F20"/>
        </w:rPr>
        <w:t>desired</w:t>
      </w:r>
      <w:r>
        <w:rPr>
          <w:color w:val="231F20"/>
          <w:spacing w:val="-11"/>
        </w:rPr>
        <w:t xml:space="preserve"> </w:t>
      </w:r>
      <w:r>
        <w:rPr>
          <w:color w:val="231F20"/>
        </w:rPr>
        <w:t>targets</w:t>
      </w:r>
      <w:r>
        <w:rPr>
          <w:color w:val="231F20"/>
          <w:spacing w:val="-11"/>
        </w:rPr>
        <w:t xml:space="preserve"> </w:t>
      </w:r>
      <w:r>
        <w:rPr>
          <w:color w:val="231F20"/>
        </w:rPr>
        <w:t>to</w:t>
      </w:r>
      <w:r>
        <w:rPr>
          <w:color w:val="231F20"/>
          <w:spacing w:val="-11"/>
        </w:rPr>
        <w:t xml:space="preserve"> </w:t>
      </w:r>
      <w:r>
        <w:rPr>
          <w:color w:val="231F20"/>
        </w:rPr>
        <w:t>yield the</w:t>
      </w:r>
      <w:r>
        <w:rPr>
          <w:color w:val="231F20"/>
          <w:spacing w:val="-13"/>
        </w:rPr>
        <w:t xml:space="preserve"> </w:t>
      </w:r>
      <w:r>
        <w:rPr>
          <w:color w:val="231F20"/>
        </w:rPr>
        <w:t>mortality</w:t>
      </w:r>
      <w:r>
        <w:rPr>
          <w:color w:val="231F20"/>
          <w:spacing w:val="-12"/>
        </w:rPr>
        <w:t xml:space="preserve"> </w:t>
      </w:r>
      <w:r>
        <w:rPr>
          <w:color w:val="231F20"/>
        </w:rPr>
        <w:t>ratios</w:t>
      </w:r>
      <w:r>
        <w:rPr>
          <w:color w:val="231F20"/>
          <w:spacing w:val="-12"/>
        </w:rPr>
        <w:t xml:space="preserve"> </w:t>
      </w:r>
      <w:r>
        <w:rPr>
          <w:color w:val="231F20"/>
        </w:rPr>
        <w:t>were</w:t>
      </w:r>
      <w:r>
        <w:rPr>
          <w:color w:val="231F20"/>
          <w:spacing w:val="-12"/>
        </w:rPr>
        <w:t xml:space="preserve"> </w:t>
      </w:r>
      <w:r>
        <w:rPr>
          <w:color w:val="231F20"/>
        </w:rPr>
        <w:t>achieved.</w:t>
      </w:r>
      <w:r>
        <w:rPr>
          <w:color w:val="231F20"/>
          <w:spacing w:val="-11"/>
        </w:rPr>
        <w:t xml:space="preserve"> </w:t>
      </w:r>
      <w:r>
        <w:rPr>
          <w:color w:val="231F20"/>
        </w:rPr>
        <w:t>Guided</w:t>
      </w:r>
      <w:r>
        <w:rPr>
          <w:color w:val="231F20"/>
          <w:spacing w:val="-11"/>
        </w:rPr>
        <w:t xml:space="preserve"> </w:t>
      </w:r>
      <w:r>
        <w:rPr>
          <w:color w:val="231F20"/>
        </w:rPr>
        <w:t>by</w:t>
      </w:r>
      <w:r>
        <w:rPr>
          <w:color w:val="231F20"/>
          <w:spacing w:val="-12"/>
        </w:rPr>
        <w:t xml:space="preserve"> </w:t>
      </w:r>
      <w:r>
        <w:rPr>
          <w:color w:val="231F20"/>
        </w:rPr>
        <w:t>this</w:t>
      </w:r>
      <w:r>
        <w:rPr>
          <w:color w:val="231F20"/>
          <w:spacing w:val="-12"/>
        </w:rPr>
        <w:t xml:space="preserve"> </w:t>
      </w:r>
      <w:r>
        <w:rPr>
          <w:color w:val="231F20"/>
        </w:rPr>
        <w:t>approach,</w:t>
      </w:r>
      <w:r>
        <w:rPr>
          <w:color w:val="231F20"/>
          <w:spacing w:val="-11"/>
        </w:rPr>
        <w:t xml:space="preserve"> </w:t>
      </w:r>
      <w:r>
        <w:rPr>
          <w:color w:val="231F20"/>
        </w:rPr>
        <w:t>three</w:t>
      </w:r>
      <w:r>
        <w:rPr>
          <w:color w:val="231F20"/>
          <w:spacing w:val="-12"/>
        </w:rPr>
        <w:t xml:space="preserve"> </w:t>
      </w:r>
      <w:r>
        <w:rPr>
          <w:color w:val="231F20"/>
        </w:rPr>
        <w:t>SHDP</w:t>
      </w:r>
      <w:r>
        <w:rPr>
          <w:color w:val="231F20"/>
          <w:spacing w:val="-16"/>
        </w:rPr>
        <w:t xml:space="preserve"> </w:t>
      </w:r>
      <w:r>
        <w:rPr>
          <w:color w:val="231F20"/>
        </w:rPr>
        <w:t>II</w:t>
      </w:r>
      <w:r>
        <w:rPr>
          <w:color w:val="231F20"/>
          <w:spacing w:val="-12"/>
        </w:rPr>
        <w:t xml:space="preserve"> </w:t>
      </w:r>
      <w:r>
        <w:rPr>
          <w:color w:val="231F20"/>
        </w:rPr>
        <w:t>Policy</w:t>
      </w:r>
      <w:r>
        <w:rPr>
          <w:color w:val="231F20"/>
          <w:spacing w:val="-13"/>
        </w:rPr>
        <w:t xml:space="preserve"> </w:t>
      </w:r>
      <w:r>
        <w:rPr>
          <w:color w:val="231F20"/>
        </w:rPr>
        <w:t>Scenarios</w:t>
      </w:r>
      <w:r>
        <w:rPr>
          <w:color w:val="231F20"/>
          <w:spacing w:val="-11"/>
        </w:rPr>
        <w:t xml:space="preserve"> </w:t>
      </w:r>
      <w:r>
        <w:rPr>
          <w:color w:val="231F20"/>
        </w:rPr>
        <w:t>have been modeled in response to the high causes of mortality for the State. The three scenarios proposed</w:t>
      </w:r>
      <w:r>
        <w:rPr>
          <w:color w:val="231F20"/>
          <w:spacing w:val="-25"/>
        </w:rPr>
        <w:t xml:space="preserve"> </w:t>
      </w:r>
      <w:r>
        <w:rPr>
          <w:color w:val="231F20"/>
        </w:rPr>
        <w:t>to</w:t>
      </w:r>
      <w:r>
        <w:rPr>
          <w:color w:val="231F20"/>
          <w:spacing w:val="-25"/>
        </w:rPr>
        <w:t xml:space="preserve"> </w:t>
      </w:r>
      <w:r>
        <w:rPr>
          <w:color w:val="231F20"/>
        </w:rPr>
        <w:t>estimate</w:t>
      </w:r>
      <w:r>
        <w:rPr>
          <w:color w:val="231F20"/>
          <w:spacing w:val="-26"/>
        </w:rPr>
        <w:t xml:space="preserve"> </w:t>
      </w:r>
      <w:r>
        <w:rPr>
          <w:color w:val="231F20"/>
        </w:rPr>
        <w:t>the</w:t>
      </w:r>
      <w:r>
        <w:rPr>
          <w:color w:val="231F20"/>
          <w:spacing w:val="-25"/>
        </w:rPr>
        <w:t xml:space="preserve"> </w:t>
      </w:r>
      <w:r>
        <w:rPr>
          <w:color w:val="231F20"/>
        </w:rPr>
        <w:t>cost</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strategic</w:t>
      </w:r>
      <w:r>
        <w:rPr>
          <w:color w:val="231F20"/>
          <w:spacing w:val="-25"/>
        </w:rPr>
        <w:t xml:space="preserve"> </w:t>
      </w:r>
      <w:r>
        <w:rPr>
          <w:color w:val="231F20"/>
        </w:rPr>
        <w:t>plan</w:t>
      </w:r>
      <w:r>
        <w:rPr>
          <w:color w:val="231F20"/>
          <w:spacing w:val="-25"/>
        </w:rPr>
        <w:t xml:space="preserve"> </w:t>
      </w:r>
      <w:r>
        <w:rPr>
          <w:color w:val="231F20"/>
        </w:rPr>
        <w:t>are</w:t>
      </w:r>
      <w:r>
        <w:rPr>
          <w:color w:val="231F20"/>
          <w:spacing w:val="-25"/>
        </w:rPr>
        <w:t xml:space="preserve"> </w:t>
      </w:r>
      <w:r>
        <w:rPr>
          <w:color w:val="231F20"/>
        </w:rPr>
        <w:t>as</w:t>
      </w:r>
      <w:r>
        <w:rPr>
          <w:color w:val="231F20"/>
          <w:spacing w:val="-25"/>
        </w:rPr>
        <w:t xml:space="preserve"> </w:t>
      </w:r>
      <w:r>
        <w:rPr>
          <w:color w:val="231F20"/>
        </w:rPr>
        <w:t>follows:</w:t>
      </w:r>
    </w:p>
    <w:p w14:paraId="55321A94" w14:textId="77777777" w:rsidR="009948F1" w:rsidRDefault="00BC0563">
      <w:pPr>
        <w:pStyle w:val="BodyText"/>
        <w:spacing w:line="264" w:lineRule="auto"/>
        <w:ind w:left="872" w:right="221" w:hanging="360"/>
        <w:jc w:val="both"/>
      </w:pPr>
      <w:r>
        <w:rPr>
          <w:rFonts w:ascii="Symbol" w:hAnsi="Symbol"/>
          <w:color w:val="231F20"/>
          <w:spacing w:val="-248"/>
          <w:w w:val="600"/>
        </w:rPr>
        <w:t></w:t>
      </w:r>
      <w:r>
        <w:rPr>
          <w:color w:val="231F20"/>
          <w:w w:val="99"/>
        </w:rPr>
        <w:t>Baseline</w:t>
      </w:r>
      <w:r>
        <w:rPr>
          <w:color w:val="231F20"/>
          <w:spacing w:val="-12"/>
        </w:rPr>
        <w:t xml:space="preserve"> </w:t>
      </w:r>
      <w:r>
        <w:rPr>
          <w:color w:val="231F20"/>
          <w:w w:val="99"/>
        </w:rPr>
        <w:t>–</w:t>
      </w:r>
      <w:r>
        <w:rPr>
          <w:color w:val="231F20"/>
          <w:spacing w:val="-12"/>
        </w:rPr>
        <w:t xml:space="preserve"> </w:t>
      </w:r>
      <w:r>
        <w:rPr>
          <w:color w:val="231F20"/>
          <w:w w:val="99"/>
        </w:rPr>
        <w:t>with</w:t>
      </w:r>
      <w:r>
        <w:rPr>
          <w:color w:val="231F20"/>
          <w:spacing w:val="-12"/>
        </w:rPr>
        <w:t xml:space="preserve"> </w:t>
      </w:r>
      <w:r>
        <w:rPr>
          <w:color w:val="231F20"/>
          <w:w w:val="99"/>
        </w:rPr>
        <w:t>no</w:t>
      </w:r>
      <w:r>
        <w:rPr>
          <w:color w:val="231F20"/>
          <w:spacing w:val="-12"/>
        </w:rPr>
        <w:t xml:space="preserve"> </w:t>
      </w:r>
      <w:r>
        <w:rPr>
          <w:color w:val="231F20"/>
          <w:w w:val="99"/>
        </w:rPr>
        <w:t>coverage</w:t>
      </w:r>
      <w:r>
        <w:rPr>
          <w:color w:val="231F20"/>
          <w:spacing w:val="-12"/>
        </w:rPr>
        <w:t xml:space="preserve"> </w:t>
      </w:r>
      <w:r>
        <w:rPr>
          <w:color w:val="231F20"/>
          <w:w w:val="99"/>
        </w:rPr>
        <w:t>scale</w:t>
      </w:r>
      <w:r>
        <w:rPr>
          <w:color w:val="231F20"/>
          <w:spacing w:val="-12"/>
        </w:rPr>
        <w:t xml:space="preserve"> </w:t>
      </w:r>
      <w:r>
        <w:rPr>
          <w:color w:val="231F20"/>
          <w:w w:val="99"/>
        </w:rPr>
        <w:t>up</w:t>
      </w:r>
      <w:r>
        <w:rPr>
          <w:color w:val="231F20"/>
          <w:spacing w:val="-12"/>
        </w:rPr>
        <w:t xml:space="preserve"> </w:t>
      </w:r>
      <w:r>
        <w:rPr>
          <w:color w:val="231F20"/>
          <w:w w:val="99"/>
        </w:rPr>
        <w:t>and</w:t>
      </w:r>
      <w:r>
        <w:rPr>
          <w:color w:val="231F20"/>
          <w:spacing w:val="-12"/>
        </w:rPr>
        <w:t xml:space="preserve"> </w:t>
      </w:r>
      <w:r>
        <w:rPr>
          <w:color w:val="231F20"/>
          <w:w w:val="99"/>
        </w:rPr>
        <w:t>no</w:t>
      </w:r>
      <w:r>
        <w:rPr>
          <w:color w:val="231F20"/>
          <w:spacing w:val="-12"/>
        </w:rPr>
        <w:t xml:space="preserve"> </w:t>
      </w:r>
      <w:r>
        <w:rPr>
          <w:color w:val="231F20"/>
          <w:w w:val="99"/>
        </w:rPr>
        <w:t>significant</w:t>
      </w:r>
      <w:r>
        <w:rPr>
          <w:color w:val="231F20"/>
          <w:spacing w:val="-12"/>
        </w:rPr>
        <w:t xml:space="preserve"> </w:t>
      </w:r>
      <w:r>
        <w:rPr>
          <w:color w:val="231F20"/>
          <w:w w:val="99"/>
        </w:rPr>
        <w:t>change</w:t>
      </w:r>
      <w:r>
        <w:rPr>
          <w:color w:val="231F20"/>
          <w:spacing w:val="-12"/>
        </w:rPr>
        <w:t xml:space="preserve"> </w:t>
      </w:r>
      <w:r>
        <w:rPr>
          <w:color w:val="231F20"/>
          <w:w w:val="99"/>
        </w:rPr>
        <w:t>in</w:t>
      </w:r>
      <w:r>
        <w:rPr>
          <w:color w:val="231F20"/>
          <w:spacing w:val="-12"/>
        </w:rPr>
        <w:t xml:space="preserve"> </w:t>
      </w:r>
      <w:r>
        <w:rPr>
          <w:color w:val="231F20"/>
        </w:rPr>
        <w:t>HSS</w:t>
      </w:r>
      <w:r>
        <w:rPr>
          <w:color w:val="231F20"/>
          <w:spacing w:val="-12"/>
        </w:rPr>
        <w:t xml:space="preserve"> </w:t>
      </w:r>
      <w:r>
        <w:rPr>
          <w:color w:val="231F20"/>
        </w:rPr>
        <w:t>investment</w:t>
      </w:r>
      <w:r>
        <w:rPr>
          <w:color w:val="231F20"/>
          <w:spacing w:val="-12"/>
        </w:rPr>
        <w:t xml:space="preserve"> </w:t>
      </w:r>
      <w:r>
        <w:rPr>
          <w:color w:val="231F20"/>
          <w:w w:val="99"/>
        </w:rPr>
        <w:t xml:space="preserve">across </w:t>
      </w:r>
      <w:r>
        <w:rPr>
          <w:color w:val="231F20"/>
          <w:w w:val="105"/>
        </w:rPr>
        <w:t>the</w:t>
      </w:r>
      <w:r>
        <w:rPr>
          <w:color w:val="231F20"/>
          <w:spacing w:val="-29"/>
          <w:w w:val="105"/>
        </w:rPr>
        <w:t xml:space="preserve"> </w:t>
      </w:r>
      <w:r>
        <w:rPr>
          <w:color w:val="231F20"/>
          <w:w w:val="105"/>
        </w:rPr>
        <w:t>horizon</w:t>
      </w:r>
      <w:r>
        <w:rPr>
          <w:color w:val="231F20"/>
          <w:spacing w:val="-29"/>
          <w:w w:val="105"/>
        </w:rPr>
        <w:t xml:space="preserve"> </w:t>
      </w:r>
      <w:r>
        <w:rPr>
          <w:color w:val="231F20"/>
          <w:w w:val="105"/>
        </w:rPr>
        <w:t>of</w:t>
      </w:r>
      <w:r>
        <w:rPr>
          <w:color w:val="231F20"/>
          <w:spacing w:val="-28"/>
          <w:w w:val="105"/>
        </w:rPr>
        <w:t xml:space="preserve"> </w:t>
      </w:r>
      <w:r>
        <w:rPr>
          <w:color w:val="231F20"/>
          <w:w w:val="105"/>
        </w:rPr>
        <w:t>the</w:t>
      </w:r>
      <w:r>
        <w:rPr>
          <w:color w:val="231F20"/>
          <w:spacing w:val="-29"/>
          <w:w w:val="105"/>
        </w:rPr>
        <w:t xml:space="preserve"> </w:t>
      </w:r>
      <w:r>
        <w:rPr>
          <w:color w:val="231F20"/>
          <w:w w:val="105"/>
        </w:rPr>
        <w:t>plan.</w:t>
      </w:r>
    </w:p>
    <w:p w14:paraId="7E327674" w14:textId="77777777" w:rsidR="009948F1" w:rsidRDefault="00BC0563">
      <w:pPr>
        <w:pStyle w:val="BodyText"/>
        <w:spacing w:line="264" w:lineRule="auto"/>
        <w:ind w:left="872" w:right="221" w:hanging="360"/>
        <w:jc w:val="both"/>
      </w:pPr>
      <w:r>
        <w:rPr>
          <w:rFonts w:ascii="Symbol" w:hAnsi="Symbol"/>
          <w:color w:val="231F20"/>
          <w:spacing w:val="-248"/>
          <w:w w:val="600"/>
        </w:rPr>
        <w:t></w:t>
      </w:r>
      <w:r>
        <w:rPr>
          <w:color w:val="231F20"/>
          <w:w w:val="99"/>
        </w:rPr>
        <w:t>Essential</w:t>
      </w:r>
      <w:r>
        <w:rPr>
          <w:color w:val="231F20"/>
        </w:rPr>
        <w:t xml:space="preserve">  </w:t>
      </w:r>
      <w:r>
        <w:rPr>
          <w:color w:val="231F20"/>
          <w:spacing w:val="-28"/>
        </w:rPr>
        <w:t xml:space="preserve"> </w:t>
      </w:r>
      <w:r>
        <w:rPr>
          <w:color w:val="231F20"/>
          <w:w w:val="99"/>
        </w:rPr>
        <w:t>Service</w:t>
      </w:r>
      <w:r>
        <w:rPr>
          <w:color w:val="231F20"/>
        </w:rPr>
        <w:t xml:space="preserve">  </w:t>
      </w:r>
      <w:r>
        <w:rPr>
          <w:color w:val="231F20"/>
          <w:spacing w:val="-28"/>
        </w:rPr>
        <w:t xml:space="preserve"> </w:t>
      </w:r>
      <w:r>
        <w:rPr>
          <w:color w:val="231F20"/>
          <w:w w:val="99"/>
        </w:rPr>
        <w:t>Moderate</w:t>
      </w:r>
      <w:r>
        <w:rPr>
          <w:color w:val="231F20"/>
        </w:rPr>
        <w:t xml:space="preserve">  </w:t>
      </w:r>
      <w:r>
        <w:rPr>
          <w:color w:val="231F20"/>
          <w:spacing w:val="-28"/>
        </w:rPr>
        <w:t xml:space="preserve"> </w:t>
      </w:r>
      <w:r>
        <w:rPr>
          <w:color w:val="231F20"/>
          <w:w w:val="99"/>
        </w:rPr>
        <w:t>Scenario</w:t>
      </w:r>
      <w:r>
        <w:rPr>
          <w:color w:val="231F20"/>
        </w:rPr>
        <w:t xml:space="preserve">  </w:t>
      </w:r>
      <w:r>
        <w:rPr>
          <w:color w:val="231F20"/>
          <w:spacing w:val="-28"/>
        </w:rPr>
        <w:t xml:space="preserve"> </w:t>
      </w:r>
      <w:r>
        <w:rPr>
          <w:color w:val="231F20"/>
          <w:w w:val="99"/>
        </w:rPr>
        <w:t>–</w:t>
      </w:r>
      <w:r>
        <w:rPr>
          <w:color w:val="231F20"/>
        </w:rPr>
        <w:t xml:space="preserve">  </w:t>
      </w:r>
      <w:r>
        <w:rPr>
          <w:color w:val="231F20"/>
          <w:spacing w:val="-28"/>
        </w:rPr>
        <w:t xml:space="preserve"> </w:t>
      </w:r>
      <w:r>
        <w:rPr>
          <w:color w:val="231F20"/>
          <w:w w:val="99"/>
        </w:rPr>
        <w:t>scale-up</w:t>
      </w:r>
      <w:r>
        <w:rPr>
          <w:color w:val="231F20"/>
        </w:rPr>
        <w:t xml:space="preserve">  </w:t>
      </w:r>
      <w:r>
        <w:rPr>
          <w:color w:val="231F20"/>
          <w:spacing w:val="-28"/>
        </w:rPr>
        <w:t xml:space="preserve"> </w:t>
      </w:r>
      <w:r>
        <w:rPr>
          <w:color w:val="231F20"/>
        </w:rPr>
        <w:t xml:space="preserve">of  </w:t>
      </w:r>
      <w:r>
        <w:rPr>
          <w:color w:val="231F20"/>
          <w:spacing w:val="-29"/>
        </w:rPr>
        <w:t xml:space="preserve"> </w:t>
      </w:r>
      <w:r>
        <w:rPr>
          <w:color w:val="231F20"/>
          <w:w w:val="99"/>
        </w:rPr>
        <w:t>essential</w:t>
      </w:r>
      <w:r>
        <w:rPr>
          <w:color w:val="231F20"/>
        </w:rPr>
        <w:t xml:space="preserve">  </w:t>
      </w:r>
      <w:r>
        <w:rPr>
          <w:color w:val="231F20"/>
          <w:spacing w:val="-28"/>
        </w:rPr>
        <w:t xml:space="preserve"> </w:t>
      </w:r>
      <w:r>
        <w:rPr>
          <w:color w:val="231F20"/>
          <w:w w:val="99"/>
        </w:rPr>
        <w:t>services</w:t>
      </w:r>
      <w:r>
        <w:rPr>
          <w:color w:val="231F20"/>
        </w:rPr>
        <w:t xml:space="preserve">  </w:t>
      </w:r>
      <w:r>
        <w:rPr>
          <w:color w:val="231F20"/>
          <w:spacing w:val="-28"/>
        </w:rPr>
        <w:t xml:space="preserve"> </w:t>
      </w:r>
      <w:r>
        <w:rPr>
          <w:color w:val="231F20"/>
          <w:w w:val="99"/>
        </w:rPr>
        <w:t>and</w:t>
      </w:r>
      <w:r>
        <w:rPr>
          <w:color w:val="231F20"/>
        </w:rPr>
        <w:t xml:space="preserve">  </w:t>
      </w:r>
      <w:r>
        <w:rPr>
          <w:color w:val="231F20"/>
          <w:spacing w:val="-28"/>
        </w:rPr>
        <w:t xml:space="preserve"> </w:t>
      </w:r>
      <w:r>
        <w:rPr>
          <w:color w:val="231F20"/>
          <w:spacing w:val="-5"/>
        </w:rPr>
        <w:t>HSS</w:t>
      </w:r>
      <w:r>
        <w:rPr>
          <w:color w:val="231F20"/>
        </w:rPr>
        <w:t xml:space="preserve"> investments</w:t>
      </w:r>
      <w:r>
        <w:rPr>
          <w:color w:val="231F20"/>
          <w:spacing w:val="-26"/>
        </w:rPr>
        <w:t xml:space="preserve"> </w:t>
      </w:r>
      <w:r>
        <w:rPr>
          <w:color w:val="231F20"/>
        </w:rPr>
        <w:t>required</w:t>
      </w:r>
      <w:r>
        <w:rPr>
          <w:color w:val="231F20"/>
          <w:spacing w:val="-25"/>
        </w:rPr>
        <w:t xml:space="preserve"> </w:t>
      </w:r>
      <w:r>
        <w:rPr>
          <w:color w:val="231F20"/>
        </w:rPr>
        <w:t>for</w:t>
      </w:r>
      <w:r>
        <w:rPr>
          <w:color w:val="231F20"/>
          <w:spacing w:val="-25"/>
        </w:rPr>
        <w:t xml:space="preserve"> </w:t>
      </w:r>
      <w:r>
        <w:rPr>
          <w:color w:val="231F20"/>
        </w:rPr>
        <w:t>implementation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Primary</w:t>
      </w:r>
      <w:r>
        <w:rPr>
          <w:color w:val="231F20"/>
          <w:spacing w:val="-25"/>
        </w:rPr>
        <w:t xml:space="preserve"> </w:t>
      </w:r>
      <w:r>
        <w:rPr>
          <w:color w:val="231F20"/>
        </w:rPr>
        <w:t>Health</w:t>
      </w:r>
      <w:r>
        <w:rPr>
          <w:color w:val="231F20"/>
          <w:spacing w:val="-25"/>
        </w:rPr>
        <w:t xml:space="preserve"> </w:t>
      </w:r>
      <w:r>
        <w:rPr>
          <w:color w:val="231F20"/>
        </w:rPr>
        <w:t>Revitalization</w:t>
      </w:r>
      <w:r>
        <w:rPr>
          <w:color w:val="231F20"/>
          <w:spacing w:val="-37"/>
        </w:rPr>
        <w:t xml:space="preserve"> </w:t>
      </w:r>
      <w:r>
        <w:rPr>
          <w:color w:val="231F20"/>
        </w:rPr>
        <w:t>Agenda.</w:t>
      </w:r>
    </w:p>
    <w:p w14:paraId="70F74669" w14:textId="77777777" w:rsidR="009948F1" w:rsidRDefault="00BC0563">
      <w:pPr>
        <w:pStyle w:val="BodyText"/>
        <w:spacing w:line="266" w:lineRule="auto"/>
        <w:ind w:left="872" w:right="222" w:hanging="360"/>
        <w:jc w:val="both"/>
      </w:pPr>
      <w:r>
        <w:rPr>
          <w:rFonts w:ascii="Symbol" w:hAnsi="Symbol"/>
          <w:color w:val="231F20"/>
          <w:spacing w:val="-248"/>
          <w:w w:val="600"/>
        </w:rPr>
        <w:t></w:t>
      </w:r>
      <w:r>
        <w:rPr>
          <w:color w:val="231F20"/>
          <w:w w:val="99"/>
        </w:rPr>
        <w:t>Essential</w:t>
      </w:r>
      <w:r>
        <w:rPr>
          <w:color w:val="231F20"/>
          <w:spacing w:val="-13"/>
        </w:rPr>
        <w:t xml:space="preserve"> </w:t>
      </w:r>
      <w:r>
        <w:rPr>
          <w:color w:val="231F20"/>
          <w:w w:val="99"/>
        </w:rPr>
        <w:t>Service</w:t>
      </w:r>
      <w:r>
        <w:rPr>
          <w:color w:val="231F20"/>
          <w:spacing w:val="-25"/>
        </w:rPr>
        <w:t xml:space="preserve"> </w:t>
      </w:r>
      <w:r>
        <w:rPr>
          <w:color w:val="231F20"/>
          <w:w w:val="99"/>
        </w:rPr>
        <w:t>Aggressive</w:t>
      </w:r>
      <w:r>
        <w:rPr>
          <w:color w:val="231F20"/>
          <w:spacing w:val="-12"/>
        </w:rPr>
        <w:t xml:space="preserve"> </w:t>
      </w:r>
      <w:r>
        <w:rPr>
          <w:color w:val="231F20"/>
          <w:w w:val="99"/>
        </w:rPr>
        <w:t>Scenario</w:t>
      </w:r>
      <w:r>
        <w:rPr>
          <w:color w:val="231F20"/>
          <w:spacing w:val="-12"/>
        </w:rPr>
        <w:t xml:space="preserve"> </w:t>
      </w:r>
      <w:r>
        <w:rPr>
          <w:color w:val="231F20"/>
          <w:w w:val="99"/>
        </w:rPr>
        <w:t>–</w:t>
      </w:r>
      <w:r>
        <w:rPr>
          <w:color w:val="231F20"/>
          <w:spacing w:val="-13"/>
        </w:rPr>
        <w:t xml:space="preserve"> </w:t>
      </w:r>
      <w:r>
        <w:rPr>
          <w:color w:val="231F20"/>
          <w:w w:val="99"/>
        </w:rPr>
        <w:t>scale-up</w:t>
      </w:r>
      <w:r>
        <w:rPr>
          <w:color w:val="231F20"/>
          <w:spacing w:val="-12"/>
        </w:rPr>
        <w:t xml:space="preserve"> </w:t>
      </w:r>
      <w:r>
        <w:rPr>
          <w:color w:val="231F20"/>
        </w:rPr>
        <w:t>of</w:t>
      </w:r>
      <w:r>
        <w:rPr>
          <w:color w:val="231F20"/>
          <w:spacing w:val="-13"/>
        </w:rPr>
        <w:t xml:space="preserve"> </w:t>
      </w:r>
      <w:r>
        <w:rPr>
          <w:color w:val="231F20"/>
          <w:w w:val="99"/>
        </w:rPr>
        <w:t>Health</w:t>
      </w:r>
      <w:r>
        <w:rPr>
          <w:color w:val="231F20"/>
          <w:spacing w:val="-13"/>
        </w:rPr>
        <w:t xml:space="preserve"> </w:t>
      </w:r>
      <w:r>
        <w:rPr>
          <w:color w:val="231F20"/>
          <w:w w:val="99"/>
        </w:rPr>
        <w:t>Service</w:t>
      </w:r>
      <w:r>
        <w:rPr>
          <w:color w:val="231F20"/>
          <w:spacing w:val="-13"/>
        </w:rPr>
        <w:t xml:space="preserve"> </w:t>
      </w:r>
      <w:r>
        <w:rPr>
          <w:color w:val="231F20"/>
          <w:w w:val="99"/>
        </w:rPr>
        <w:t>and</w:t>
      </w:r>
      <w:r>
        <w:rPr>
          <w:color w:val="231F20"/>
          <w:spacing w:val="-13"/>
        </w:rPr>
        <w:t xml:space="preserve"> </w:t>
      </w:r>
      <w:r>
        <w:rPr>
          <w:color w:val="231F20"/>
        </w:rPr>
        <w:t>HSS</w:t>
      </w:r>
      <w:r>
        <w:rPr>
          <w:color w:val="231F20"/>
          <w:spacing w:val="-13"/>
        </w:rPr>
        <w:t xml:space="preserve"> </w:t>
      </w:r>
      <w:r>
        <w:rPr>
          <w:color w:val="231F20"/>
        </w:rPr>
        <w:t xml:space="preserve">investments aimed at achieving universal health coverage while implementing components of </w:t>
      </w:r>
      <w:r>
        <w:rPr>
          <w:color w:val="231F20"/>
          <w:spacing w:val="-5"/>
        </w:rPr>
        <w:t xml:space="preserve">the </w:t>
      </w:r>
      <w:r>
        <w:rPr>
          <w:color w:val="231F20"/>
        </w:rPr>
        <w:t>primary</w:t>
      </w:r>
      <w:r>
        <w:rPr>
          <w:color w:val="231F20"/>
          <w:spacing w:val="-26"/>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revitalization</w:t>
      </w:r>
      <w:r>
        <w:rPr>
          <w:color w:val="231F20"/>
          <w:spacing w:val="-25"/>
        </w:rPr>
        <w:t xml:space="preserve"> </w:t>
      </w:r>
      <w:r>
        <w:rPr>
          <w:color w:val="231F20"/>
        </w:rPr>
        <w:t>agenda</w:t>
      </w:r>
      <w:r>
        <w:rPr>
          <w:color w:val="231F20"/>
          <w:spacing w:val="-25"/>
        </w:rPr>
        <w:t xml:space="preserve"> </w:t>
      </w:r>
      <w:r>
        <w:rPr>
          <w:color w:val="231F20"/>
        </w:rPr>
        <w:t>contained</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Moderate</w:t>
      </w:r>
      <w:r>
        <w:rPr>
          <w:color w:val="231F20"/>
          <w:spacing w:val="-25"/>
        </w:rPr>
        <w:t xml:space="preserve"> </w:t>
      </w:r>
      <w:r>
        <w:rPr>
          <w:color w:val="231F20"/>
        </w:rPr>
        <w:t>Scenario.</w:t>
      </w:r>
    </w:p>
    <w:p w14:paraId="5955172A" w14:textId="77777777" w:rsidR="009948F1" w:rsidRDefault="009948F1">
      <w:pPr>
        <w:pStyle w:val="BodyText"/>
        <w:spacing w:before="3"/>
      </w:pPr>
    </w:p>
    <w:p w14:paraId="30668B30" w14:textId="77777777" w:rsidR="009948F1" w:rsidRDefault="00BC0563">
      <w:pPr>
        <w:pStyle w:val="Heading7"/>
        <w:ind w:left="872"/>
        <w:jc w:val="both"/>
      </w:pPr>
      <w:r>
        <w:rPr>
          <w:color w:val="231F20"/>
        </w:rPr>
        <w:t>Overview of Baseline Scenario</w:t>
      </w:r>
    </w:p>
    <w:p w14:paraId="68F67D9D" w14:textId="77777777" w:rsidR="009948F1" w:rsidRDefault="00BC0563">
      <w:pPr>
        <w:pStyle w:val="BodyText"/>
        <w:spacing w:before="32" w:line="271" w:lineRule="auto"/>
        <w:ind w:left="151" w:right="222" w:firstLine="360"/>
        <w:jc w:val="both"/>
      </w:pPr>
      <w:r>
        <w:rPr>
          <w:color w:val="231F20"/>
        </w:rPr>
        <w:t xml:space="preserve">Rivers State SHDP II baseline scenario is one of the three policy scenarios modelled for </w:t>
      </w:r>
      <w:r>
        <w:rPr>
          <w:color w:val="231F20"/>
          <w:spacing w:val="-4"/>
        </w:rPr>
        <w:t xml:space="preserve">the </w:t>
      </w:r>
      <w:r>
        <w:rPr>
          <w:color w:val="231F20"/>
        </w:rPr>
        <w:t>state</w:t>
      </w:r>
      <w:r>
        <w:rPr>
          <w:color w:val="231F20"/>
          <w:spacing w:val="-17"/>
        </w:rPr>
        <w:t xml:space="preserve"> </w:t>
      </w:r>
      <w:r>
        <w:rPr>
          <w:color w:val="231F20"/>
        </w:rPr>
        <w:t>health</w:t>
      </w:r>
      <w:r>
        <w:rPr>
          <w:color w:val="231F20"/>
          <w:spacing w:val="-16"/>
        </w:rPr>
        <w:t xml:space="preserve"> </w:t>
      </w:r>
      <w:r>
        <w:rPr>
          <w:color w:val="231F20"/>
        </w:rPr>
        <w:t>sector</w:t>
      </w:r>
      <w:r>
        <w:rPr>
          <w:color w:val="231F20"/>
          <w:spacing w:val="-16"/>
        </w:rPr>
        <w:t xml:space="preserve"> </w:t>
      </w:r>
      <w:r>
        <w:rPr>
          <w:color w:val="231F20"/>
        </w:rPr>
        <w:t>strategy.</w:t>
      </w:r>
      <w:r>
        <w:rPr>
          <w:color w:val="231F20"/>
          <w:spacing w:val="-16"/>
        </w:rPr>
        <w:t xml:space="preserve"> </w:t>
      </w:r>
      <w:r>
        <w:rPr>
          <w:color w:val="231F20"/>
        </w:rPr>
        <w:t>For</w:t>
      </w:r>
      <w:r>
        <w:rPr>
          <w:color w:val="231F20"/>
          <w:spacing w:val="-16"/>
        </w:rPr>
        <w:t xml:space="preserve"> </w:t>
      </w:r>
      <w:r>
        <w:rPr>
          <w:color w:val="231F20"/>
        </w:rPr>
        <w:t>this</w:t>
      </w:r>
      <w:r>
        <w:rPr>
          <w:color w:val="231F20"/>
          <w:spacing w:val="-16"/>
        </w:rPr>
        <w:t xml:space="preserve"> </w:t>
      </w:r>
      <w:r>
        <w:rPr>
          <w:color w:val="231F20"/>
        </w:rPr>
        <w:t>scenario,</w:t>
      </w:r>
      <w:r>
        <w:rPr>
          <w:color w:val="231F20"/>
          <w:spacing w:val="-16"/>
        </w:rPr>
        <w:t xml:space="preserve"> </w:t>
      </w:r>
      <w:r>
        <w:rPr>
          <w:color w:val="231F20"/>
        </w:rPr>
        <w:t>Service</w:t>
      </w:r>
      <w:r>
        <w:rPr>
          <w:color w:val="231F20"/>
          <w:spacing w:val="-16"/>
        </w:rPr>
        <w:t xml:space="preserve"> </w:t>
      </w:r>
      <w:r>
        <w:rPr>
          <w:color w:val="231F20"/>
        </w:rPr>
        <w:t>coverage</w:t>
      </w:r>
      <w:r>
        <w:rPr>
          <w:color w:val="231F20"/>
          <w:spacing w:val="-17"/>
        </w:rPr>
        <w:t xml:space="preserve"> </w:t>
      </w:r>
      <w:r>
        <w:rPr>
          <w:color w:val="231F20"/>
        </w:rPr>
        <w:t>between</w:t>
      </w:r>
      <w:r>
        <w:rPr>
          <w:color w:val="231F20"/>
          <w:spacing w:val="-16"/>
        </w:rPr>
        <w:t xml:space="preserve"> </w:t>
      </w:r>
      <w:r>
        <w:rPr>
          <w:color w:val="231F20"/>
        </w:rPr>
        <w:t>the</w:t>
      </w:r>
      <w:r>
        <w:rPr>
          <w:color w:val="231F20"/>
          <w:spacing w:val="-16"/>
        </w:rPr>
        <w:t xml:space="preserve"> </w:t>
      </w:r>
      <w:r>
        <w:rPr>
          <w:color w:val="231F20"/>
        </w:rPr>
        <w:t>base</w:t>
      </w:r>
      <w:r>
        <w:rPr>
          <w:color w:val="231F20"/>
          <w:spacing w:val="-16"/>
        </w:rPr>
        <w:t xml:space="preserve"> </w:t>
      </w:r>
      <w:r>
        <w:rPr>
          <w:color w:val="231F20"/>
        </w:rPr>
        <w:t>and</w:t>
      </w:r>
      <w:r>
        <w:rPr>
          <w:color w:val="231F20"/>
          <w:spacing w:val="-16"/>
        </w:rPr>
        <w:t xml:space="preserve"> </w:t>
      </w:r>
      <w:r>
        <w:rPr>
          <w:color w:val="231F20"/>
        </w:rPr>
        <w:t>target</w:t>
      </w:r>
      <w:r>
        <w:rPr>
          <w:color w:val="231F20"/>
          <w:spacing w:val="-16"/>
        </w:rPr>
        <w:t xml:space="preserve"> </w:t>
      </w:r>
      <w:r>
        <w:rPr>
          <w:color w:val="231F20"/>
          <w:spacing w:val="-3"/>
        </w:rPr>
        <w:t xml:space="preserve">year </w:t>
      </w:r>
      <w:r>
        <w:rPr>
          <w:color w:val="231F20"/>
        </w:rPr>
        <w:t>remained</w:t>
      </w:r>
      <w:r>
        <w:rPr>
          <w:color w:val="231F20"/>
          <w:spacing w:val="-26"/>
        </w:rPr>
        <w:t xml:space="preserve"> </w:t>
      </w:r>
      <w:r>
        <w:rPr>
          <w:color w:val="231F20"/>
        </w:rPr>
        <w:t>unchanged</w:t>
      </w:r>
      <w:r>
        <w:rPr>
          <w:color w:val="231F20"/>
          <w:spacing w:val="-25"/>
        </w:rPr>
        <w:t xml:space="preserve"> </w:t>
      </w:r>
      <w:r>
        <w:rPr>
          <w:color w:val="231F20"/>
        </w:rPr>
        <w:t>across</w:t>
      </w:r>
      <w:r>
        <w:rPr>
          <w:color w:val="231F20"/>
          <w:spacing w:val="-26"/>
        </w:rPr>
        <w:t xml:space="preserve"> </w:t>
      </w:r>
      <w:r>
        <w:rPr>
          <w:color w:val="231F20"/>
        </w:rPr>
        <w:t>all</w:t>
      </w:r>
      <w:r>
        <w:rPr>
          <w:color w:val="231F20"/>
          <w:spacing w:val="-27"/>
        </w:rPr>
        <w:t xml:space="preserve"> </w:t>
      </w:r>
      <w:r>
        <w:rPr>
          <w:color w:val="231F20"/>
        </w:rPr>
        <w:t>health</w:t>
      </w:r>
      <w:r>
        <w:rPr>
          <w:color w:val="231F20"/>
          <w:spacing w:val="-26"/>
        </w:rPr>
        <w:t xml:space="preserve"> </w:t>
      </w:r>
      <w:r>
        <w:rPr>
          <w:color w:val="231F20"/>
        </w:rPr>
        <w:t>service</w:t>
      </w:r>
      <w:r>
        <w:rPr>
          <w:color w:val="231F20"/>
          <w:spacing w:val="-26"/>
        </w:rPr>
        <w:t xml:space="preserve"> </w:t>
      </w:r>
      <w:r>
        <w:rPr>
          <w:color w:val="231F20"/>
        </w:rPr>
        <w:t>areas.</w:t>
      </w:r>
      <w:r>
        <w:rPr>
          <w:color w:val="231F20"/>
          <w:spacing w:val="-26"/>
        </w:rPr>
        <w:t xml:space="preserve"> </w:t>
      </w:r>
      <w:r>
        <w:rPr>
          <w:color w:val="231F20"/>
        </w:rPr>
        <w:t>Consequently,</w:t>
      </w:r>
      <w:r>
        <w:rPr>
          <w:color w:val="231F20"/>
          <w:spacing w:val="-27"/>
        </w:rPr>
        <w:t xml:space="preserve"> </w:t>
      </w:r>
      <w:r>
        <w:rPr>
          <w:color w:val="231F20"/>
        </w:rPr>
        <w:t>targets</w:t>
      </w:r>
      <w:r>
        <w:rPr>
          <w:color w:val="231F20"/>
          <w:spacing w:val="-26"/>
        </w:rPr>
        <w:t xml:space="preserve"> </w:t>
      </w:r>
      <w:r>
        <w:rPr>
          <w:color w:val="231F20"/>
        </w:rPr>
        <w:t>for</w:t>
      </w:r>
      <w:r>
        <w:rPr>
          <w:color w:val="231F20"/>
          <w:spacing w:val="-26"/>
        </w:rPr>
        <w:t xml:space="preserve"> </w:t>
      </w:r>
      <w:r>
        <w:rPr>
          <w:color w:val="231F20"/>
        </w:rPr>
        <w:t>MMR,</w:t>
      </w:r>
      <w:r>
        <w:rPr>
          <w:color w:val="231F20"/>
          <w:spacing w:val="-27"/>
        </w:rPr>
        <w:t xml:space="preserve"> </w:t>
      </w:r>
      <w:r>
        <w:rPr>
          <w:color w:val="231F20"/>
        </w:rPr>
        <w:t>NMR,</w:t>
      </w:r>
      <w:r>
        <w:rPr>
          <w:color w:val="231F20"/>
          <w:spacing w:val="-26"/>
        </w:rPr>
        <w:t xml:space="preserve"> </w:t>
      </w:r>
      <w:r>
        <w:rPr>
          <w:color w:val="231F20"/>
        </w:rPr>
        <w:t>and</w:t>
      </w:r>
      <w:r>
        <w:rPr>
          <w:color w:val="231F20"/>
          <w:spacing w:val="-26"/>
        </w:rPr>
        <w:t xml:space="preserve"> </w:t>
      </w:r>
      <w:r>
        <w:rPr>
          <w:color w:val="231F20"/>
        </w:rPr>
        <w:t>U- 5MR</w:t>
      </w:r>
      <w:r>
        <w:rPr>
          <w:color w:val="231F20"/>
          <w:spacing w:val="-5"/>
        </w:rPr>
        <w:t xml:space="preserve"> </w:t>
      </w:r>
      <w:r>
        <w:rPr>
          <w:color w:val="231F20"/>
        </w:rPr>
        <w:t>remained</w:t>
      </w:r>
      <w:r>
        <w:rPr>
          <w:color w:val="231F20"/>
          <w:spacing w:val="-4"/>
        </w:rPr>
        <w:t xml:space="preserve"> </w:t>
      </w:r>
      <w:r>
        <w:rPr>
          <w:color w:val="231F20"/>
        </w:rPr>
        <w:t>unchanged</w:t>
      </w:r>
      <w:r>
        <w:rPr>
          <w:color w:val="231F20"/>
          <w:spacing w:val="-4"/>
        </w:rPr>
        <w:t xml:space="preserve"> </w:t>
      </w:r>
      <w:r>
        <w:rPr>
          <w:color w:val="231F20"/>
        </w:rPr>
        <w:t>over</w:t>
      </w:r>
      <w:r>
        <w:rPr>
          <w:color w:val="231F20"/>
          <w:spacing w:val="-5"/>
        </w:rPr>
        <w:t xml:space="preserve"> </w:t>
      </w:r>
      <w:r>
        <w:rPr>
          <w:color w:val="231F20"/>
        </w:rPr>
        <w:t>the</w:t>
      </w:r>
      <w:r>
        <w:rPr>
          <w:color w:val="231F20"/>
          <w:spacing w:val="-4"/>
        </w:rPr>
        <w:t xml:space="preserve"> </w:t>
      </w:r>
      <w:r>
        <w:rPr>
          <w:color w:val="231F20"/>
        </w:rPr>
        <w:t>horizon</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strategy.</w:t>
      </w:r>
      <w:r>
        <w:rPr>
          <w:color w:val="231F20"/>
          <w:spacing w:val="-16"/>
        </w:rPr>
        <w:t xml:space="preserve"> </w:t>
      </w:r>
      <w:r>
        <w:rPr>
          <w:color w:val="231F20"/>
        </w:rPr>
        <w:t>Although</w:t>
      </w:r>
      <w:r>
        <w:rPr>
          <w:color w:val="231F20"/>
          <w:spacing w:val="-4"/>
        </w:rPr>
        <w:t xml:space="preserve"> </w:t>
      </w:r>
      <w:r>
        <w:rPr>
          <w:color w:val="231F20"/>
        </w:rPr>
        <w:t>the</w:t>
      </w:r>
      <w:r>
        <w:rPr>
          <w:color w:val="231F20"/>
          <w:spacing w:val="-4"/>
        </w:rPr>
        <w:t xml:space="preserve"> </w:t>
      </w:r>
      <w:r>
        <w:rPr>
          <w:color w:val="231F20"/>
        </w:rPr>
        <w:t>coverage</w:t>
      </w:r>
      <w:r>
        <w:rPr>
          <w:color w:val="231F20"/>
          <w:spacing w:val="-5"/>
        </w:rPr>
        <w:t xml:space="preserve"> </w:t>
      </w:r>
      <w:r>
        <w:rPr>
          <w:color w:val="231F20"/>
        </w:rPr>
        <w:t>profile</w:t>
      </w:r>
      <w:r>
        <w:rPr>
          <w:color w:val="231F20"/>
          <w:spacing w:val="-4"/>
        </w:rPr>
        <w:t xml:space="preserve"> </w:t>
      </w:r>
      <w:r>
        <w:rPr>
          <w:color w:val="231F20"/>
        </w:rPr>
        <w:t>for</w:t>
      </w:r>
      <w:r>
        <w:rPr>
          <w:color w:val="231F20"/>
          <w:spacing w:val="-4"/>
        </w:rPr>
        <w:t xml:space="preserve"> </w:t>
      </w:r>
      <w:r>
        <w:rPr>
          <w:color w:val="231F20"/>
        </w:rPr>
        <w:t>this scenario</w:t>
      </w:r>
      <w:r>
        <w:rPr>
          <w:color w:val="231F20"/>
          <w:spacing w:val="-9"/>
        </w:rPr>
        <w:t xml:space="preserve"> </w:t>
      </w:r>
      <w:r>
        <w:rPr>
          <w:color w:val="231F20"/>
        </w:rPr>
        <w:t>was</w:t>
      </w:r>
      <w:r>
        <w:rPr>
          <w:color w:val="231F20"/>
          <w:spacing w:val="-8"/>
        </w:rPr>
        <w:t xml:space="preserve"> </w:t>
      </w:r>
      <w:r>
        <w:rPr>
          <w:color w:val="231F20"/>
        </w:rPr>
        <w:t>modeled</w:t>
      </w:r>
      <w:r>
        <w:rPr>
          <w:color w:val="231F20"/>
          <w:spacing w:val="-8"/>
        </w:rPr>
        <w:t xml:space="preserve"> </w:t>
      </w:r>
      <w:r>
        <w:rPr>
          <w:color w:val="231F20"/>
        </w:rPr>
        <w:t>as</w:t>
      </w:r>
      <w:r>
        <w:rPr>
          <w:color w:val="231F20"/>
          <w:spacing w:val="-8"/>
        </w:rPr>
        <w:t xml:space="preserve"> </w:t>
      </w:r>
      <w:r>
        <w:rPr>
          <w:color w:val="231F20"/>
        </w:rPr>
        <w:t>“baseline,”</w:t>
      </w:r>
      <w:r>
        <w:rPr>
          <w:color w:val="231F20"/>
          <w:spacing w:val="-8"/>
        </w:rPr>
        <w:t xml:space="preserve"> </w:t>
      </w:r>
      <w:r>
        <w:rPr>
          <w:color w:val="231F20"/>
        </w:rPr>
        <w:t>measures</w:t>
      </w:r>
      <w:r>
        <w:rPr>
          <w:color w:val="231F20"/>
          <w:spacing w:val="-8"/>
        </w:rPr>
        <w:t xml:space="preserve"> </w:t>
      </w:r>
      <w:r>
        <w:rPr>
          <w:color w:val="231F20"/>
        </w:rPr>
        <w:t>were</w:t>
      </w:r>
      <w:r>
        <w:rPr>
          <w:color w:val="231F20"/>
          <w:spacing w:val="-8"/>
        </w:rPr>
        <w:t xml:space="preserve"> </w:t>
      </w:r>
      <w:r>
        <w:rPr>
          <w:color w:val="231F20"/>
        </w:rPr>
        <w:t>put</w:t>
      </w:r>
      <w:r>
        <w:rPr>
          <w:color w:val="231F20"/>
          <w:spacing w:val="-8"/>
        </w:rPr>
        <w:t xml:space="preserve"> </w:t>
      </w:r>
      <w:r>
        <w:rPr>
          <w:color w:val="231F20"/>
        </w:rPr>
        <w:t>in</w:t>
      </w:r>
      <w:r>
        <w:rPr>
          <w:color w:val="231F20"/>
          <w:spacing w:val="-8"/>
        </w:rPr>
        <w:t xml:space="preserve"> </w:t>
      </w:r>
      <w:r>
        <w:rPr>
          <w:color w:val="231F20"/>
        </w:rPr>
        <w:t>place</w:t>
      </w:r>
      <w:r>
        <w:rPr>
          <w:color w:val="231F20"/>
          <w:spacing w:val="-8"/>
        </w:rPr>
        <w:t xml:space="preserve"> </w:t>
      </w:r>
      <w:r>
        <w:rPr>
          <w:color w:val="231F20"/>
        </w:rPr>
        <w:t>to</w:t>
      </w:r>
      <w:r>
        <w:rPr>
          <w:color w:val="231F20"/>
          <w:spacing w:val="-9"/>
        </w:rPr>
        <w:t xml:space="preserve"> </w:t>
      </w:r>
      <w:r>
        <w:rPr>
          <w:color w:val="231F20"/>
        </w:rPr>
        <w:t>sustain</w:t>
      </w:r>
      <w:r>
        <w:rPr>
          <w:color w:val="231F20"/>
          <w:spacing w:val="-8"/>
        </w:rPr>
        <w:t xml:space="preserve"> </w:t>
      </w:r>
      <w:r>
        <w:rPr>
          <w:color w:val="231F20"/>
        </w:rPr>
        <w:t>the</w:t>
      </w:r>
      <w:r>
        <w:rPr>
          <w:color w:val="231F20"/>
          <w:spacing w:val="-8"/>
        </w:rPr>
        <w:t xml:space="preserve"> </w:t>
      </w:r>
      <w:r>
        <w:rPr>
          <w:color w:val="231F20"/>
        </w:rPr>
        <w:t>quality</w:t>
      </w:r>
      <w:r>
        <w:rPr>
          <w:color w:val="231F20"/>
          <w:spacing w:val="-8"/>
        </w:rPr>
        <w:t xml:space="preserve"> </w:t>
      </w:r>
      <w:r>
        <w:rPr>
          <w:color w:val="231F20"/>
        </w:rPr>
        <w:t>of</w:t>
      </w:r>
      <w:r>
        <w:rPr>
          <w:color w:val="231F20"/>
          <w:spacing w:val="-8"/>
        </w:rPr>
        <w:t xml:space="preserve"> </w:t>
      </w:r>
      <w:r>
        <w:rPr>
          <w:color w:val="231F20"/>
        </w:rPr>
        <w:t xml:space="preserve">existing health services. Some of which include allocation of fund for </w:t>
      </w:r>
      <w:proofErr w:type="spellStart"/>
      <w:r>
        <w:rPr>
          <w:color w:val="231F20"/>
        </w:rPr>
        <w:t>programme</w:t>
      </w:r>
      <w:proofErr w:type="spellEnd"/>
      <w:r>
        <w:rPr>
          <w:color w:val="231F20"/>
        </w:rPr>
        <w:t xml:space="preserve"> management activities aimed at sustaining the quality of services provided. Investment in HSS was limited to </w:t>
      </w:r>
      <w:r>
        <w:rPr>
          <w:color w:val="231F20"/>
          <w:spacing w:val="-3"/>
        </w:rPr>
        <w:t xml:space="preserve">routine </w:t>
      </w:r>
      <w:r>
        <w:rPr>
          <w:color w:val="231F20"/>
        </w:rPr>
        <w:t>current</w:t>
      </w:r>
      <w:r>
        <w:rPr>
          <w:color w:val="231F20"/>
          <w:spacing w:val="-6"/>
        </w:rPr>
        <w:t xml:space="preserve"> </w:t>
      </w:r>
      <w:r>
        <w:rPr>
          <w:color w:val="231F20"/>
        </w:rPr>
        <w:t>expenditure.</w:t>
      </w:r>
      <w:r>
        <w:rPr>
          <w:color w:val="231F20"/>
          <w:spacing w:val="-4"/>
        </w:rPr>
        <w:t xml:space="preserve"> </w:t>
      </w:r>
      <w:r>
        <w:rPr>
          <w:color w:val="231F20"/>
        </w:rPr>
        <w:t>For</w:t>
      </w:r>
      <w:r>
        <w:rPr>
          <w:color w:val="231F20"/>
          <w:spacing w:val="-6"/>
        </w:rPr>
        <w:t xml:space="preserve"> </w:t>
      </w:r>
      <w:r>
        <w:rPr>
          <w:color w:val="231F20"/>
        </w:rPr>
        <w:t>infrastructure,</w:t>
      </w:r>
      <w:r>
        <w:rPr>
          <w:color w:val="231F20"/>
          <w:spacing w:val="-5"/>
        </w:rPr>
        <w:t xml:space="preserve"> </w:t>
      </w:r>
      <w:r>
        <w:rPr>
          <w:color w:val="231F20"/>
        </w:rPr>
        <w:t>allocations</w:t>
      </w:r>
      <w:r>
        <w:rPr>
          <w:color w:val="231F20"/>
          <w:spacing w:val="-4"/>
        </w:rPr>
        <w:t xml:space="preserve"> </w:t>
      </w:r>
      <w:r>
        <w:rPr>
          <w:color w:val="231F20"/>
        </w:rPr>
        <w:t>were</w:t>
      </w:r>
      <w:r>
        <w:rPr>
          <w:color w:val="231F20"/>
          <w:spacing w:val="-6"/>
        </w:rPr>
        <w:t xml:space="preserve"> </w:t>
      </w:r>
      <w:r>
        <w:rPr>
          <w:color w:val="231F20"/>
        </w:rPr>
        <w:t>provided</w:t>
      </w:r>
      <w:r>
        <w:rPr>
          <w:color w:val="231F20"/>
          <w:spacing w:val="-4"/>
        </w:rPr>
        <w:t xml:space="preserve"> </w:t>
      </w:r>
      <w:r>
        <w:rPr>
          <w:color w:val="231F20"/>
        </w:rPr>
        <w:t>to</w:t>
      </w:r>
      <w:r>
        <w:rPr>
          <w:color w:val="231F20"/>
          <w:spacing w:val="-5"/>
        </w:rPr>
        <w:t xml:space="preserve"> </w:t>
      </w:r>
      <w:r>
        <w:rPr>
          <w:color w:val="231F20"/>
        </w:rPr>
        <w:t>maintain</w:t>
      </w:r>
      <w:r>
        <w:rPr>
          <w:color w:val="231F20"/>
          <w:spacing w:val="-6"/>
        </w:rPr>
        <w:t xml:space="preserve"> </w:t>
      </w:r>
      <w:r>
        <w:rPr>
          <w:color w:val="231F20"/>
        </w:rPr>
        <w:t>office</w:t>
      </w:r>
      <w:r>
        <w:rPr>
          <w:color w:val="231F20"/>
          <w:spacing w:val="-5"/>
        </w:rPr>
        <w:t xml:space="preserve"> </w:t>
      </w:r>
      <w:r>
        <w:rPr>
          <w:color w:val="231F20"/>
        </w:rPr>
        <w:t>buildings</w:t>
      </w:r>
      <w:r>
        <w:rPr>
          <w:color w:val="231F20"/>
          <w:spacing w:val="-4"/>
        </w:rPr>
        <w:t xml:space="preserve"> and </w:t>
      </w:r>
      <w:r>
        <w:rPr>
          <w:color w:val="231F20"/>
        </w:rPr>
        <w:t>health</w:t>
      </w:r>
      <w:r>
        <w:rPr>
          <w:color w:val="231F20"/>
          <w:spacing w:val="-11"/>
        </w:rPr>
        <w:t xml:space="preserve"> </w:t>
      </w:r>
      <w:r>
        <w:rPr>
          <w:color w:val="231F20"/>
        </w:rPr>
        <w:t>facilities.</w:t>
      </w:r>
      <w:r>
        <w:rPr>
          <w:color w:val="231F20"/>
          <w:spacing w:val="-11"/>
        </w:rPr>
        <w:t xml:space="preserve"> </w:t>
      </w:r>
      <w:r>
        <w:rPr>
          <w:color w:val="231F20"/>
        </w:rPr>
        <w:t>While</w:t>
      </w:r>
      <w:r>
        <w:rPr>
          <w:color w:val="231F20"/>
          <w:spacing w:val="-11"/>
        </w:rPr>
        <w:t xml:space="preserve"> </w:t>
      </w:r>
      <w:r>
        <w:rPr>
          <w:color w:val="231F20"/>
        </w:rPr>
        <w:t>for</w:t>
      </w:r>
      <w:r>
        <w:rPr>
          <w:color w:val="231F20"/>
          <w:spacing w:val="-11"/>
        </w:rPr>
        <w:t xml:space="preserve"> </w:t>
      </w:r>
      <w:r>
        <w:rPr>
          <w:color w:val="231F20"/>
        </w:rPr>
        <w:t>HR,</w:t>
      </w:r>
      <w:r>
        <w:rPr>
          <w:color w:val="231F20"/>
          <w:spacing w:val="-11"/>
        </w:rPr>
        <w:t xml:space="preserve"> </w:t>
      </w:r>
      <w:r>
        <w:rPr>
          <w:color w:val="231F20"/>
        </w:rPr>
        <w:t>key</w:t>
      </w:r>
      <w:r>
        <w:rPr>
          <w:color w:val="231F20"/>
          <w:spacing w:val="-11"/>
        </w:rPr>
        <w:t xml:space="preserve"> </w:t>
      </w:r>
      <w:r>
        <w:rPr>
          <w:color w:val="231F20"/>
        </w:rPr>
        <w:t>staff</w:t>
      </w:r>
      <w:r>
        <w:rPr>
          <w:color w:val="231F20"/>
          <w:spacing w:val="-11"/>
        </w:rPr>
        <w:t xml:space="preserve"> </w:t>
      </w:r>
      <w:r>
        <w:rPr>
          <w:color w:val="231F20"/>
        </w:rPr>
        <w:t>added</w:t>
      </w:r>
      <w:r>
        <w:rPr>
          <w:color w:val="231F20"/>
          <w:spacing w:val="-11"/>
        </w:rPr>
        <w:t xml:space="preserve"> </w:t>
      </w:r>
      <w:r>
        <w:rPr>
          <w:color w:val="231F20"/>
        </w:rPr>
        <w:t>to</w:t>
      </w:r>
      <w:r>
        <w:rPr>
          <w:color w:val="231F20"/>
          <w:spacing w:val="-11"/>
        </w:rPr>
        <w:t xml:space="preserve"> </w:t>
      </w:r>
      <w:r>
        <w:rPr>
          <w:color w:val="231F20"/>
        </w:rPr>
        <w:t>maintain</w:t>
      </w:r>
      <w:r>
        <w:rPr>
          <w:color w:val="231F20"/>
          <w:spacing w:val="-11"/>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quality</w:t>
      </w:r>
      <w:r>
        <w:rPr>
          <w:color w:val="231F20"/>
          <w:spacing w:val="-11"/>
        </w:rPr>
        <w:t xml:space="preserve"> </w:t>
      </w:r>
      <w:r>
        <w:rPr>
          <w:color w:val="231F20"/>
        </w:rPr>
        <w:t>of</w:t>
      </w:r>
      <w:r>
        <w:rPr>
          <w:color w:val="231F20"/>
          <w:spacing w:val="-11"/>
        </w:rPr>
        <w:t xml:space="preserve"> </w:t>
      </w:r>
      <w:r>
        <w:rPr>
          <w:color w:val="231F20"/>
        </w:rPr>
        <w:t>service</w:t>
      </w:r>
      <w:r>
        <w:rPr>
          <w:color w:val="231F20"/>
          <w:spacing w:val="-11"/>
        </w:rPr>
        <w:t xml:space="preserve"> </w:t>
      </w:r>
      <w:r>
        <w:rPr>
          <w:color w:val="231F20"/>
        </w:rPr>
        <w:t>are;</w:t>
      </w:r>
      <w:r>
        <w:rPr>
          <w:color w:val="231F20"/>
          <w:spacing w:val="-11"/>
        </w:rPr>
        <w:t xml:space="preserve"> </w:t>
      </w:r>
      <w:r>
        <w:rPr>
          <w:color w:val="231F20"/>
        </w:rPr>
        <w:t>Medical Doctors-138%,</w:t>
      </w:r>
      <w:r>
        <w:rPr>
          <w:color w:val="231F20"/>
          <w:spacing w:val="-25"/>
        </w:rPr>
        <w:t xml:space="preserve"> </w:t>
      </w:r>
      <w:r>
        <w:rPr>
          <w:color w:val="231F20"/>
        </w:rPr>
        <w:t>Nurses-921%,</w:t>
      </w:r>
      <w:r>
        <w:rPr>
          <w:color w:val="231F20"/>
          <w:spacing w:val="-26"/>
        </w:rPr>
        <w:t xml:space="preserve"> </w:t>
      </w:r>
      <w:r>
        <w:rPr>
          <w:color w:val="231F20"/>
        </w:rPr>
        <w:t>and</w:t>
      </w:r>
      <w:r>
        <w:rPr>
          <w:color w:val="231F20"/>
          <w:spacing w:val="-25"/>
        </w:rPr>
        <w:t xml:space="preserve"> </w:t>
      </w:r>
      <w:r>
        <w:rPr>
          <w:color w:val="231F20"/>
        </w:rPr>
        <w:t>Midwives-100%.</w:t>
      </w:r>
    </w:p>
    <w:p w14:paraId="533DCD52" w14:textId="77777777" w:rsidR="009948F1" w:rsidRDefault="009948F1">
      <w:pPr>
        <w:pStyle w:val="BodyText"/>
        <w:spacing w:before="8"/>
        <w:rPr>
          <w:sz w:val="21"/>
        </w:rPr>
      </w:pPr>
    </w:p>
    <w:p w14:paraId="04FAA21A" w14:textId="77777777" w:rsidR="009948F1" w:rsidRDefault="00BC0563">
      <w:pPr>
        <w:pStyle w:val="Heading7"/>
        <w:ind w:left="151"/>
        <w:jc w:val="both"/>
      </w:pPr>
      <w:r>
        <w:rPr>
          <w:color w:val="231F20"/>
        </w:rPr>
        <w:t>Overview of Essential Service Moderate Scenario</w:t>
      </w:r>
    </w:p>
    <w:p w14:paraId="1E2974B9" w14:textId="77777777" w:rsidR="009948F1" w:rsidRDefault="00BC0563">
      <w:pPr>
        <w:pStyle w:val="BodyText"/>
        <w:spacing w:before="32" w:line="271" w:lineRule="auto"/>
        <w:ind w:left="151" w:right="222" w:firstLine="360"/>
        <w:jc w:val="both"/>
      </w:pPr>
      <w:r>
        <w:rPr>
          <w:color w:val="231F20"/>
        </w:rPr>
        <w:t>Rivers</w:t>
      </w:r>
      <w:r>
        <w:rPr>
          <w:color w:val="231F20"/>
          <w:spacing w:val="-11"/>
        </w:rPr>
        <w:t xml:space="preserve"> </w:t>
      </w:r>
      <w:r>
        <w:rPr>
          <w:color w:val="231F20"/>
        </w:rPr>
        <w:t>State</w:t>
      </w:r>
      <w:r>
        <w:rPr>
          <w:color w:val="231F20"/>
          <w:spacing w:val="-10"/>
        </w:rPr>
        <w:t xml:space="preserve"> </w:t>
      </w:r>
      <w:r>
        <w:rPr>
          <w:color w:val="231F20"/>
        </w:rPr>
        <w:t>Essential</w:t>
      </w:r>
      <w:r>
        <w:rPr>
          <w:color w:val="231F20"/>
          <w:spacing w:val="-10"/>
        </w:rPr>
        <w:t xml:space="preserve"> </w:t>
      </w:r>
      <w:r>
        <w:rPr>
          <w:color w:val="231F20"/>
        </w:rPr>
        <w:t>Service</w:t>
      </w:r>
      <w:r>
        <w:rPr>
          <w:color w:val="231F20"/>
          <w:spacing w:val="-10"/>
        </w:rPr>
        <w:t xml:space="preserve"> </w:t>
      </w:r>
      <w:r>
        <w:rPr>
          <w:color w:val="231F20"/>
        </w:rPr>
        <w:t>moderate</w:t>
      </w:r>
      <w:r>
        <w:rPr>
          <w:color w:val="231F20"/>
          <w:spacing w:val="-10"/>
        </w:rPr>
        <w:t xml:space="preserve"> </w:t>
      </w:r>
      <w:r>
        <w:rPr>
          <w:color w:val="231F20"/>
        </w:rPr>
        <w:t>scenario</w:t>
      </w:r>
      <w:r>
        <w:rPr>
          <w:color w:val="231F20"/>
          <w:spacing w:val="-9"/>
        </w:rPr>
        <w:t xml:space="preserve"> </w:t>
      </w:r>
      <w:r>
        <w:rPr>
          <w:color w:val="231F20"/>
        </w:rPr>
        <w:t>is</w:t>
      </w:r>
      <w:r>
        <w:rPr>
          <w:color w:val="231F20"/>
          <w:spacing w:val="-10"/>
        </w:rPr>
        <w:t xml:space="preserve"> </w:t>
      </w:r>
      <w:r>
        <w:rPr>
          <w:color w:val="231F20"/>
        </w:rPr>
        <w:t>one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two</w:t>
      </w:r>
      <w:r>
        <w:rPr>
          <w:color w:val="231F20"/>
          <w:spacing w:val="-10"/>
        </w:rPr>
        <w:t xml:space="preserve"> </w:t>
      </w:r>
      <w:r>
        <w:rPr>
          <w:color w:val="231F20"/>
        </w:rPr>
        <w:t>scaled</w:t>
      </w:r>
      <w:r>
        <w:rPr>
          <w:color w:val="231F20"/>
          <w:spacing w:val="-11"/>
        </w:rPr>
        <w:t xml:space="preserve"> </w:t>
      </w:r>
      <w:r>
        <w:rPr>
          <w:color w:val="231F20"/>
        </w:rPr>
        <w:t>scenarios</w:t>
      </w:r>
      <w:r>
        <w:rPr>
          <w:color w:val="231F20"/>
          <w:spacing w:val="-9"/>
        </w:rPr>
        <w:t xml:space="preserve"> </w:t>
      </w:r>
      <w:r>
        <w:rPr>
          <w:color w:val="231F20"/>
        </w:rPr>
        <w:t>aimed</w:t>
      </w:r>
      <w:r>
        <w:rPr>
          <w:color w:val="231F20"/>
          <w:spacing w:val="-10"/>
        </w:rPr>
        <w:t xml:space="preserve"> </w:t>
      </w:r>
      <w:r>
        <w:rPr>
          <w:color w:val="231F20"/>
        </w:rPr>
        <w:t xml:space="preserve">at implementing Government's primary health revitalization agenda. By increasing access to </w:t>
      </w:r>
      <w:r>
        <w:rPr>
          <w:color w:val="231F20"/>
          <w:spacing w:val="-5"/>
        </w:rPr>
        <w:t xml:space="preserve">the </w:t>
      </w:r>
      <w:r>
        <w:rPr>
          <w:color w:val="231F20"/>
        </w:rPr>
        <w:t>package of essential services at this level of care, this policy scenario targets the reduction of mortality</w:t>
      </w:r>
      <w:r>
        <w:rPr>
          <w:color w:val="231F20"/>
          <w:spacing w:val="-26"/>
        </w:rPr>
        <w:t xml:space="preserve"> </w:t>
      </w:r>
      <w:r>
        <w:rPr>
          <w:color w:val="231F20"/>
        </w:rPr>
        <w:t>outcome.</w:t>
      </w:r>
      <w:r>
        <w:rPr>
          <w:color w:val="231F20"/>
          <w:spacing w:val="-25"/>
        </w:rPr>
        <w:t xml:space="preserve"> </w:t>
      </w:r>
      <w:r>
        <w:rPr>
          <w:color w:val="231F20"/>
        </w:rPr>
        <w:t>For</w:t>
      </w:r>
      <w:r>
        <w:rPr>
          <w:color w:val="231F20"/>
          <w:spacing w:val="-25"/>
        </w:rPr>
        <w:t xml:space="preserve"> </w:t>
      </w:r>
      <w:r>
        <w:rPr>
          <w:color w:val="231F20"/>
        </w:rPr>
        <w:t>this</w:t>
      </w:r>
      <w:r>
        <w:rPr>
          <w:color w:val="231F20"/>
          <w:spacing w:val="-25"/>
        </w:rPr>
        <w:t xml:space="preserve"> </w:t>
      </w:r>
      <w:r>
        <w:rPr>
          <w:color w:val="231F20"/>
        </w:rPr>
        <w:t>policy</w:t>
      </w:r>
      <w:r>
        <w:rPr>
          <w:color w:val="231F20"/>
          <w:spacing w:val="-25"/>
        </w:rPr>
        <w:t xml:space="preserve"> </w:t>
      </w:r>
      <w:r>
        <w:rPr>
          <w:color w:val="231F20"/>
        </w:rPr>
        <w:t>scenario,</w:t>
      </w:r>
      <w:r>
        <w:rPr>
          <w:color w:val="231F20"/>
          <w:spacing w:val="-25"/>
        </w:rPr>
        <w:t xml:space="preserve"> </w:t>
      </w:r>
      <w:r>
        <w:rPr>
          <w:color w:val="231F20"/>
        </w:rPr>
        <w:t>a</w:t>
      </w:r>
      <w:r>
        <w:rPr>
          <w:color w:val="231F20"/>
          <w:spacing w:val="-25"/>
        </w:rPr>
        <w:t xml:space="preserve"> </w:t>
      </w:r>
      <w:r>
        <w:rPr>
          <w:color w:val="231F20"/>
        </w:rPr>
        <w:t>year-on-year</w:t>
      </w:r>
      <w:r>
        <w:rPr>
          <w:color w:val="231F20"/>
          <w:spacing w:val="-25"/>
        </w:rPr>
        <w:t xml:space="preserve"> </w:t>
      </w:r>
      <w:r>
        <w:rPr>
          <w:color w:val="231F20"/>
        </w:rPr>
        <w:t>exponential</w:t>
      </w:r>
      <w:r>
        <w:rPr>
          <w:color w:val="231F20"/>
          <w:spacing w:val="-25"/>
        </w:rPr>
        <w:t xml:space="preserve"> </w:t>
      </w:r>
      <w:r>
        <w:rPr>
          <w:color w:val="231F20"/>
        </w:rPr>
        <w:t>interpolate</w:t>
      </w:r>
      <w:r>
        <w:rPr>
          <w:color w:val="231F20"/>
          <w:spacing w:val="-25"/>
        </w:rPr>
        <w:t xml:space="preserve"> </w:t>
      </w:r>
      <w:r>
        <w:rPr>
          <w:color w:val="231F20"/>
        </w:rPr>
        <w:t>profile</w:t>
      </w:r>
      <w:r>
        <w:rPr>
          <w:color w:val="231F20"/>
          <w:spacing w:val="-26"/>
        </w:rPr>
        <w:t xml:space="preserve"> </w:t>
      </w:r>
      <w:r>
        <w:rPr>
          <w:color w:val="231F20"/>
        </w:rPr>
        <w:t>has</w:t>
      </w:r>
      <w:r>
        <w:rPr>
          <w:color w:val="231F20"/>
          <w:spacing w:val="-25"/>
        </w:rPr>
        <w:t xml:space="preserve"> </w:t>
      </w:r>
      <w:r>
        <w:rPr>
          <w:color w:val="231F20"/>
        </w:rPr>
        <w:t xml:space="preserve">been proposed, while the baseline coverage for health services were increased by a mean value </w:t>
      </w:r>
      <w:r>
        <w:rPr>
          <w:color w:val="231F20"/>
          <w:spacing w:val="-6"/>
        </w:rPr>
        <w:t xml:space="preserve">of </w:t>
      </w:r>
      <w:r>
        <w:rPr>
          <w:color w:val="231F20"/>
        </w:rPr>
        <w:t xml:space="preserve">17.5%. Some of the </w:t>
      </w:r>
      <w:proofErr w:type="spellStart"/>
      <w:r>
        <w:rPr>
          <w:color w:val="231F20"/>
        </w:rPr>
        <w:t>Programme</w:t>
      </w:r>
      <w:proofErr w:type="spellEnd"/>
      <w:r>
        <w:rPr>
          <w:color w:val="231F20"/>
        </w:rPr>
        <w:t xml:space="preserve"> and interventions scaled as part of this scenario include but </w:t>
      </w:r>
      <w:r>
        <w:rPr>
          <w:color w:val="231F20"/>
          <w:spacing w:val="-5"/>
        </w:rPr>
        <w:t xml:space="preserve">not </w:t>
      </w:r>
      <w:r>
        <w:rPr>
          <w:color w:val="231F20"/>
        </w:rPr>
        <w:t>limited</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following;</w:t>
      </w:r>
      <w:r>
        <w:rPr>
          <w:color w:val="231F20"/>
          <w:spacing w:val="-23"/>
        </w:rPr>
        <w:t xml:space="preserve"> </w:t>
      </w:r>
      <w:r>
        <w:rPr>
          <w:color w:val="231F20"/>
        </w:rPr>
        <w:t>Maternal</w:t>
      </w:r>
      <w:r>
        <w:rPr>
          <w:color w:val="231F20"/>
          <w:spacing w:val="-23"/>
        </w:rPr>
        <w:t xml:space="preserve"> </w:t>
      </w:r>
      <w:r>
        <w:rPr>
          <w:color w:val="231F20"/>
        </w:rPr>
        <w:t>&amp;</w:t>
      </w:r>
      <w:r>
        <w:rPr>
          <w:color w:val="231F20"/>
          <w:spacing w:val="-23"/>
        </w:rPr>
        <w:t xml:space="preserve"> </w:t>
      </w:r>
      <w:r>
        <w:rPr>
          <w:color w:val="231F20"/>
        </w:rPr>
        <w:t>child</w:t>
      </w:r>
      <w:r>
        <w:rPr>
          <w:color w:val="231F20"/>
          <w:spacing w:val="-23"/>
        </w:rPr>
        <w:t xml:space="preserve"> </w:t>
      </w:r>
      <w:r>
        <w:rPr>
          <w:color w:val="231F20"/>
        </w:rPr>
        <w:t>health-</w:t>
      </w:r>
      <w:r>
        <w:rPr>
          <w:color w:val="231F20"/>
          <w:spacing w:val="-35"/>
        </w:rPr>
        <w:t xml:space="preserve"> </w:t>
      </w:r>
      <w:r>
        <w:rPr>
          <w:color w:val="231F20"/>
        </w:rPr>
        <w:t>Anti-Natal</w:t>
      </w:r>
      <w:r>
        <w:rPr>
          <w:color w:val="231F20"/>
          <w:spacing w:val="-23"/>
        </w:rPr>
        <w:t xml:space="preserve"> </w:t>
      </w:r>
      <w:r>
        <w:rPr>
          <w:color w:val="231F20"/>
        </w:rPr>
        <w:t>Care</w:t>
      </w:r>
      <w:r>
        <w:rPr>
          <w:color w:val="231F20"/>
          <w:spacing w:val="-23"/>
        </w:rPr>
        <w:t xml:space="preserve"> </w:t>
      </w:r>
      <w:r>
        <w:rPr>
          <w:color w:val="231F20"/>
        </w:rPr>
        <w:t>Services,</w:t>
      </w:r>
      <w:r>
        <w:rPr>
          <w:color w:val="231F20"/>
          <w:spacing w:val="-23"/>
        </w:rPr>
        <w:t xml:space="preserve"> </w:t>
      </w:r>
      <w:r>
        <w:rPr>
          <w:color w:val="231F20"/>
        </w:rPr>
        <w:t>Skilled</w:t>
      </w:r>
      <w:r>
        <w:rPr>
          <w:color w:val="231F20"/>
          <w:spacing w:val="-23"/>
        </w:rPr>
        <w:t xml:space="preserve"> </w:t>
      </w:r>
      <w:r>
        <w:rPr>
          <w:color w:val="231F20"/>
        </w:rPr>
        <w:t>Delivery</w:t>
      </w:r>
      <w:r>
        <w:rPr>
          <w:color w:val="231F20"/>
          <w:spacing w:val="-23"/>
        </w:rPr>
        <w:t xml:space="preserve"> </w:t>
      </w:r>
      <w:r>
        <w:rPr>
          <w:color w:val="231F20"/>
        </w:rPr>
        <w:t xml:space="preserve">including </w:t>
      </w:r>
      <w:proofErr w:type="spellStart"/>
      <w:r>
        <w:rPr>
          <w:color w:val="231F20"/>
        </w:rPr>
        <w:t>EmOC</w:t>
      </w:r>
      <w:proofErr w:type="spellEnd"/>
      <w:r>
        <w:rPr>
          <w:color w:val="231F20"/>
        </w:rPr>
        <w:t xml:space="preserve"> Services, Immunization, Malaria- Prevention and Case Management, Nutrition-MAM </w:t>
      </w:r>
      <w:r>
        <w:rPr>
          <w:color w:val="231F20"/>
          <w:spacing w:val="-6"/>
        </w:rPr>
        <w:t xml:space="preserve">and </w:t>
      </w:r>
      <w:r>
        <w:rPr>
          <w:color w:val="231F20"/>
        </w:rPr>
        <w:t>SAM,</w:t>
      </w:r>
      <w:r>
        <w:rPr>
          <w:color w:val="231F20"/>
          <w:spacing w:val="-25"/>
        </w:rPr>
        <w:t xml:space="preserve"> </w:t>
      </w:r>
      <w:r>
        <w:rPr>
          <w:color w:val="231F20"/>
        </w:rPr>
        <w:t>NCDs,</w:t>
      </w:r>
      <w:r>
        <w:rPr>
          <w:color w:val="231F20"/>
          <w:spacing w:val="-25"/>
        </w:rPr>
        <w:t xml:space="preserve"> </w:t>
      </w:r>
      <w:r>
        <w:rPr>
          <w:color w:val="231F20"/>
        </w:rPr>
        <w:t>Mental</w:t>
      </w:r>
      <w:r>
        <w:rPr>
          <w:color w:val="231F20"/>
          <w:spacing w:val="-25"/>
        </w:rPr>
        <w:t xml:space="preserve"> </w:t>
      </w:r>
      <w:r>
        <w:rPr>
          <w:color w:val="231F20"/>
        </w:rPr>
        <w:t>health,</w:t>
      </w:r>
      <w:r>
        <w:rPr>
          <w:color w:val="231F20"/>
          <w:spacing w:val="-25"/>
        </w:rPr>
        <w:t xml:space="preserve"> </w:t>
      </w:r>
      <w:r>
        <w:rPr>
          <w:color w:val="231F20"/>
        </w:rPr>
        <w:t>and</w:t>
      </w:r>
      <w:r>
        <w:rPr>
          <w:color w:val="231F20"/>
          <w:spacing w:val="-25"/>
        </w:rPr>
        <w:t xml:space="preserve"> </w:t>
      </w:r>
      <w:r>
        <w:rPr>
          <w:color w:val="231F20"/>
        </w:rPr>
        <w:t>NTDs.</w:t>
      </w:r>
    </w:p>
    <w:p w14:paraId="376F964E" w14:textId="77777777" w:rsidR="009948F1" w:rsidRDefault="00BC0563">
      <w:pPr>
        <w:pStyle w:val="BodyText"/>
        <w:spacing w:line="232" w:lineRule="exact"/>
        <w:ind w:left="151"/>
        <w:jc w:val="both"/>
      </w:pPr>
      <w:r>
        <w:rPr>
          <w:color w:val="231F20"/>
        </w:rPr>
        <w:t>Of the 289 interventions modeled for this scenario, a different policy assumption was adopted</w:t>
      </w:r>
    </w:p>
    <w:p w14:paraId="66705F13" w14:textId="52AA1B85" w:rsidR="009948F1" w:rsidRPr="000624A4" w:rsidRDefault="00BC0563" w:rsidP="000624A4">
      <w:pPr>
        <w:pStyle w:val="BodyText"/>
        <w:spacing w:before="18" w:line="256" w:lineRule="auto"/>
        <w:ind w:left="151" w:right="354"/>
        <w:jc w:val="both"/>
        <w:rPr>
          <w:color w:val="231F20"/>
          <w:spacing w:val="-24"/>
        </w:rPr>
      </w:pPr>
      <w:r>
        <w:rPr>
          <w:color w:val="231F20"/>
        </w:rPr>
        <w:t xml:space="preserve">for two – Family Planning-CPR and </w:t>
      </w:r>
      <w:r>
        <w:rPr>
          <w:color w:val="231F20"/>
          <w:spacing w:val="-3"/>
        </w:rPr>
        <w:t xml:space="preserve">HIV-ART </w:t>
      </w:r>
      <w:r w:rsidR="00E47D1B">
        <w:rPr>
          <w:color w:val="231F20"/>
        </w:rPr>
        <w:t>treatment</w:t>
      </w:r>
      <w:r>
        <w:rPr>
          <w:color w:val="231F20"/>
        </w:rPr>
        <w:t xml:space="preserve">. For CPR, target was scaled by </w:t>
      </w:r>
      <w:r>
        <w:rPr>
          <w:color w:val="231F20"/>
          <w:spacing w:val="-4"/>
        </w:rPr>
        <w:t xml:space="preserve">7.5%, </w:t>
      </w:r>
      <w:r>
        <w:rPr>
          <w:color w:val="231F20"/>
        </w:rPr>
        <w:t xml:space="preserve">while </w:t>
      </w:r>
      <w:r>
        <w:rPr>
          <w:color w:val="231F20"/>
          <w:spacing w:val="-3"/>
        </w:rPr>
        <w:t xml:space="preserve">HIV- </w:t>
      </w:r>
      <w:r>
        <w:rPr>
          <w:color w:val="231F20"/>
        </w:rPr>
        <w:t>ART coverage treatment for both Male and Female was scaled</w:t>
      </w:r>
      <w:r w:rsidR="00760CC0">
        <w:t xml:space="preserve"> </w:t>
      </w:r>
      <w:r>
        <w:rPr>
          <w:color w:val="231F20"/>
        </w:rPr>
        <w:t>to</w:t>
      </w:r>
      <w:r>
        <w:rPr>
          <w:color w:val="231F20"/>
          <w:spacing w:val="-26"/>
        </w:rPr>
        <w:t xml:space="preserve"> </w:t>
      </w:r>
      <w:r>
        <w:rPr>
          <w:color w:val="231F20"/>
        </w:rPr>
        <w:t>90%.</w:t>
      </w:r>
      <w:r>
        <w:rPr>
          <w:color w:val="231F20"/>
          <w:spacing w:val="-24"/>
        </w:rPr>
        <w:t xml:space="preserve"> </w:t>
      </w:r>
      <w:r>
        <w:rPr>
          <w:color w:val="231F20"/>
        </w:rPr>
        <w:t>CPR</w:t>
      </w:r>
      <w:r>
        <w:rPr>
          <w:color w:val="231F20"/>
          <w:spacing w:val="-24"/>
        </w:rPr>
        <w:t xml:space="preserve"> </w:t>
      </w:r>
      <w:r>
        <w:rPr>
          <w:color w:val="231F20"/>
        </w:rPr>
        <w:t>was</w:t>
      </w:r>
      <w:r>
        <w:rPr>
          <w:color w:val="231F20"/>
          <w:spacing w:val="-24"/>
        </w:rPr>
        <w:t xml:space="preserve"> </w:t>
      </w:r>
      <w:r>
        <w:rPr>
          <w:color w:val="231F20"/>
        </w:rPr>
        <w:t>scaled</w:t>
      </w:r>
      <w:r>
        <w:rPr>
          <w:color w:val="231F20"/>
          <w:spacing w:val="-24"/>
        </w:rPr>
        <w:t xml:space="preserve"> </w:t>
      </w:r>
      <w:r>
        <w:rPr>
          <w:color w:val="231F20"/>
        </w:rPr>
        <w:t>based</w:t>
      </w:r>
      <w:r>
        <w:rPr>
          <w:color w:val="231F20"/>
          <w:spacing w:val="-24"/>
        </w:rPr>
        <w:t xml:space="preserve"> </w:t>
      </w:r>
      <w:r>
        <w:rPr>
          <w:color w:val="231F20"/>
        </w:rPr>
        <w:t>on</w:t>
      </w:r>
      <w:r>
        <w:rPr>
          <w:color w:val="231F20"/>
          <w:spacing w:val="-24"/>
        </w:rPr>
        <w:t xml:space="preserve"> </w:t>
      </w:r>
      <w:r>
        <w:rPr>
          <w:color w:val="231F20"/>
        </w:rPr>
        <w:t>historical</w:t>
      </w:r>
      <w:r>
        <w:rPr>
          <w:color w:val="231F20"/>
          <w:spacing w:val="-24"/>
        </w:rPr>
        <w:t xml:space="preserve"> </w:t>
      </w:r>
      <w:r>
        <w:rPr>
          <w:color w:val="231F20"/>
        </w:rPr>
        <w:t>trends</w:t>
      </w:r>
      <w:r>
        <w:rPr>
          <w:color w:val="231F20"/>
          <w:spacing w:val="-24"/>
        </w:rPr>
        <w:t xml:space="preserve"> </w:t>
      </w:r>
      <w:r>
        <w:rPr>
          <w:color w:val="231F20"/>
        </w:rPr>
        <w:t>while</w:t>
      </w:r>
      <w:r>
        <w:rPr>
          <w:color w:val="231F20"/>
          <w:spacing w:val="-24"/>
        </w:rPr>
        <w:t xml:space="preserve"> </w:t>
      </w:r>
      <w:r>
        <w:rPr>
          <w:color w:val="231F20"/>
        </w:rPr>
        <w:t>HIV</w:t>
      </w:r>
      <w:r>
        <w:rPr>
          <w:color w:val="231F20"/>
          <w:spacing w:val="-25"/>
        </w:rPr>
        <w:t xml:space="preserve"> </w:t>
      </w:r>
      <w:r>
        <w:rPr>
          <w:color w:val="231F20"/>
        </w:rPr>
        <w:t>treatment</w:t>
      </w:r>
      <w:r>
        <w:rPr>
          <w:color w:val="231F20"/>
          <w:spacing w:val="-25"/>
        </w:rPr>
        <w:t xml:space="preserve"> </w:t>
      </w:r>
      <w:r>
        <w:rPr>
          <w:color w:val="231F20"/>
        </w:rPr>
        <w:t>scale-up</w:t>
      </w:r>
      <w:r>
        <w:rPr>
          <w:color w:val="231F20"/>
          <w:spacing w:val="-24"/>
        </w:rPr>
        <w:t xml:space="preserve"> </w:t>
      </w:r>
      <w:r>
        <w:rPr>
          <w:color w:val="231F20"/>
        </w:rPr>
        <w:t>was</w:t>
      </w:r>
      <w:r>
        <w:rPr>
          <w:color w:val="231F20"/>
          <w:spacing w:val="-24"/>
        </w:rPr>
        <w:t xml:space="preserve"> </w:t>
      </w:r>
      <w:r>
        <w:rPr>
          <w:color w:val="231F20"/>
        </w:rPr>
        <w:t>guided</w:t>
      </w:r>
      <w:r>
        <w:rPr>
          <w:color w:val="231F20"/>
          <w:spacing w:val="-24"/>
        </w:rPr>
        <w:t xml:space="preserve"> </w:t>
      </w:r>
      <w:r>
        <w:rPr>
          <w:color w:val="231F20"/>
          <w:spacing w:val="-7"/>
        </w:rPr>
        <w:t xml:space="preserve">by </w:t>
      </w:r>
      <w:r>
        <w:rPr>
          <w:color w:val="231F20"/>
        </w:rPr>
        <w:t>the</w:t>
      </w:r>
      <w:r>
        <w:rPr>
          <w:color w:val="231F20"/>
          <w:spacing w:val="-23"/>
        </w:rPr>
        <w:t xml:space="preserve"> </w:t>
      </w:r>
      <w:r>
        <w:rPr>
          <w:color w:val="231F20"/>
        </w:rPr>
        <w:t>recently</w:t>
      </w:r>
      <w:r>
        <w:rPr>
          <w:color w:val="231F20"/>
          <w:spacing w:val="-23"/>
        </w:rPr>
        <w:t xml:space="preserve"> </w:t>
      </w:r>
      <w:r>
        <w:rPr>
          <w:color w:val="231F20"/>
        </w:rPr>
        <w:t>adopted</w:t>
      </w:r>
      <w:r>
        <w:rPr>
          <w:color w:val="231F20"/>
          <w:spacing w:val="-23"/>
        </w:rPr>
        <w:t xml:space="preserve"> </w:t>
      </w:r>
      <w:r>
        <w:rPr>
          <w:color w:val="231F20"/>
        </w:rPr>
        <w:t>90-90-90</w:t>
      </w:r>
      <w:r>
        <w:rPr>
          <w:color w:val="231F20"/>
          <w:spacing w:val="-23"/>
        </w:rPr>
        <w:t xml:space="preserve"> </w:t>
      </w:r>
      <w:r>
        <w:rPr>
          <w:color w:val="231F20"/>
          <w:spacing w:val="-3"/>
        </w:rPr>
        <w:t>policy.</w:t>
      </w:r>
      <w:r>
        <w:rPr>
          <w:color w:val="231F20"/>
          <w:spacing w:val="-22"/>
        </w:rPr>
        <w:t xml:space="preserve"> </w:t>
      </w:r>
      <w:r>
        <w:rPr>
          <w:color w:val="231F20"/>
        </w:rPr>
        <w:t>For</w:t>
      </w:r>
      <w:r>
        <w:rPr>
          <w:color w:val="231F20"/>
          <w:spacing w:val="-23"/>
        </w:rPr>
        <w:t xml:space="preserve"> </w:t>
      </w:r>
      <w:r>
        <w:rPr>
          <w:color w:val="231F20"/>
        </w:rPr>
        <w:t>HSS,</w:t>
      </w:r>
      <w:r>
        <w:rPr>
          <w:color w:val="231F20"/>
          <w:spacing w:val="-23"/>
        </w:rPr>
        <w:t xml:space="preserve"> </w:t>
      </w:r>
      <w:r>
        <w:rPr>
          <w:color w:val="231F20"/>
        </w:rPr>
        <w:t>investments</w:t>
      </w:r>
      <w:r>
        <w:rPr>
          <w:color w:val="231F20"/>
          <w:spacing w:val="-23"/>
        </w:rPr>
        <w:t xml:space="preserve"> </w:t>
      </w:r>
      <w:r>
        <w:rPr>
          <w:color w:val="231F20"/>
        </w:rPr>
        <w:t>have</w:t>
      </w:r>
      <w:r>
        <w:rPr>
          <w:color w:val="231F20"/>
          <w:spacing w:val="-23"/>
        </w:rPr>
        <w:t xml:space="preserve"> </w:t>
      </w:r>
      <w:r>
        <w:rPr>
          <w:color w:val="231F20"/>
        </w:rPr>
        <w:t>been</w:t>
      </w:r>
      <w:r>
        <w:rPr>
          <w:color w:val="231F20"/>
          <w:spacing w:val="-22"/>
        </w:rPr>
        <w:t xml:space="preserve"> </w:t>
      </w:r>
      <w:r>
        <w:rPr>
          <w:color w:val="231F20"/>
        </w:rPr>
        <w:t>planned</w:t>
      </w:r>
      <w:r>
        <w:rPr>
          <w:color w:val="231F20"/>
          <w:spacing w:val="-23"/>
        </w:rPr>
        <w:t xml:space="preserve"> </w:t>
      </w:r>
      <w:r>
        <w:rPr>
          <w:color w:val="231F20"/>
        </w:rPr>
        <w:t>to</w:t>
      </w:r>
      <w:r>
        <w:rPr>
          <w:color w:val="231F20"/>
          <w:spacing w:val="-23"/>
        </w:rPr>
        <w:t xml:space="preserve"> </w:t>
      </w:r>
      <w:r>
        <w:rPr>
          <w:color w:val="231F20"/>
        </w:rPr>
        <w:t>increase</w:t>
      </w:r>
      <w:r>
        <w:rPr>
          <w:color w:val="231F20"/>
          <w:spacing w:val="-23"/>
        </w:rPr>
        <w:t xml:space="preserve"> </w:t>
      </w:r>
      <w:r>
        <w:rPr>
          <w:color w:val="231F20"/>
        </w:rPr>
        <w:t>acces</w:t>
      </w:r>
      <w:r w:rsidR="00760CC0">
        <w:rPr>
          <w:color w:val="231F20"/>
        </w:rPr>
        <w:t>s to primary health care and to</w:t>
      </w:r>
      <w:r>
        <w:rPr>
          <w:color w:val="231F20"/>
        </w:rPr>
        <w:t xml:space="preserve"> improve the existing PHC facilities. </w:t>
      </w:r>
      <w:r w:rsidR="004F3C40">
        <w:rPr>
          <w:color w:val="231F20"/>
        </w:rPr>
        <w:t>Referral</w:t>
      </w:r>
      <w:r>
        <w:rPr>
          <w:color w:val="231F20"/>
        </w:rPr>
        <w:t xml:space="preserve"> systems have equally been targeted for strengthening. With a 17.5% average increase in service coverage, </w:t>
      </w:r>
      <w:r>
        <w:rPr>
          <w:color w:val="231F20"/>
          <w:spacing w:val="-3"/>
        </w:rPr>
        <w:t xml:space="preserve">sufficient </w:t>
      </w:r>
      <w:r>
        <w:rPr>
          <w:color w:val="231F20"/>
        </w:rPr>
        <w:t xml:space="preserve">allocation was provided to address the associated health system's demands. Skilled provider density has been scaled-up to meet the demands for frontline health workers. The number </w:t>
      </w:r>
      <w:r>
        <w:rPr>
          <w:color w:val="231F20"/>
          <w:spacing w:val="-6"/>
        </w:rPr>
        <w:t xml:space="preserve">of </w:t>
      </w:r>
      <w:r>
        <w:rPr>
          <w:color w:val="231F20"/>
        </w:rPr>
        <w:t>additional</w:t>
      </w:r>
      <w:r>
        <w:rPr>
          <w:color w:val="231F20"/>
          <w:spacing w:val="-6"/>
        </w:rPr>
        <w:t xml:space="preserve"> </w:t>
      </w:r>
      <w:r>
        <w:rPr>
          <w:color w:val="231F20"/>
        </w:rPr>
        <w:t>key</w:t>
      </w:r>
      <w:r>
        <w:rPr>
          <w:color w:val="231F20"/>
          <w:spacing w:val="-5"/>
        </w:rPr>
        <w:t xml:space="preserve"> </w:t>
      </w:r>
      <w:r>
        <w:rPr>
          <w:color w:val="231F20"/>
        </w:rPr>
        <w:t>health</w:t>
      </w:r>
      <w:r>
        <w:rPr>
          <w:color w:val="231F20"/>
          <w:spacing w:val="-5"/>
        </w:rPr>
        <w:t xml:space="preserve"> </w:t>
      </w:r>
      <w:r>
        <w:rPr>
          <w:color w:val="231F20"/>
        </w:rPr>
        <w:t>providers</w:t>
      </w:r>
      <w:r>
        <w:rPr>
          <w:color w:val="231F20"/>
          <w:spacing w:val="-5"/>
        </w:rPr>
        <w:t xml:space="preserve"> </w:t>
      </w:r>
      <w:r>
        <w:rPr>
          <w:color w:val="231F20"/>
        </w:rPr>
        <w:t>required</w:t>
      </w:r>
      <w:r>
        <w:rPr>
          <w:color w:val="231F20"/>
          <w:spacing w:val="-5"/>
        </w:rPr>
        <w:t xml:space="preserve"> </w:t>
      </w:r>
      <w:r>
        <w:rPr>
          <w:color w:val="231F20"/>
        </w:rPr>
        <w:t>for</w:t>
      </w:r>
      <w:r>
        <w:rPr>
          <w:color w:val="231F20"/>
          <w:spacing w:val="-5"/>
        </w:rPr>
        <w:t xml:space="preserve"> </w:t>
      </w:r>
      <w:r>
        <w:rPr>
          <w:color w:val="231F20"/>
        </w:rPr>
        <w:t>this</w:t>
      </w:r>
      <w:r>
        <w:rPr>
          <w:color w:val="231F20"/>
          <w:spacing w:val="-6"/>
        </w:rPr>
        <w:t xml:space="preserve"> </w:t>
      </w:r>
      <w:r>
        <w:rPr>
          <w:color w:val="231F20"/>
        </w:rPr>
        <w:t>scenario</w:t>
      </w:r>
      <w:r>
        <w:rPr>
          <w:color w:val="231F20"/>
          <w:spacing w:val="-5"/>
        </w:rPr>
        <w:t xml:space="preserve"> </w:t>
      </w:r>
      <w:r>
        <w:rPr>
          <w:color w:val="231F20"/>
        </w:rPr>
        <w:t>include</w:t>
      </w:r>
      <w:r>
        <w:rPr>
          <w:color w:val="231F20"/>
          <w:spacing w:val="-5"/>
        </w:rPr>
        <w:t xml:space="preserve"> </w:t>
      </w:r>
      <w:r>
        <w:rPr>
          <w:color w:val="231F20"/>
        </w:rPr>
        <w:t>Medical</w:t>
      </w:r>
      <w:r>
        <w:rPr>
          <w:color w:val="231F20"/>
          <w:spacing w:val="-5"/>
        </w:rPr>
        <w:t xml:space="preserve"> </w:t>
      </w:r>
      <w:r>
        <w:rPr>
          <w:color w:val="231F20"/>
        </w:rPr>
        <w:t>Doctors-138%,</w:t>
      </w:r>
      <w:r>
        <w:rPr>
          <w:color w:val="231F20"/>
          <w:spacing w:val="-5"/>
        </w:rPr>
        <w:t xml:space="preserve"> </w:t>
      </w:r>
      <w:r>
        <w:rPr>
          <w:color w:val="231F20"/>
        </w:rPr>
        <w:t>Nurses- 921%,</w:t>
      </w:r>
      <w:r>
        <w:rPr>
          <w:color w:val="231F20"/>
          <w:spacing w:val="-26"/>
        </w:rPr>
        <w:t xml:space="preserve"> </w:t>
      </w:r>
      <w:r>
        <w:rPr>
          <w:color w:val="231F20"/>
        </w:rPr>
        <w:t>and</w:t>
      </w:r>
      <w:r>
        <w:rPr>
          <w:color w:val="231F20"/>
          <w:spacing w:val="-25"/>
        </w:rPr>
        <w:t xml:space="preserve"> </w:t>
      </w:r>
      <w:r>
        <w:rPr>
          <w:color w:val="231F20"/>
        </w:rPr>
        <w:t>Midwives-100%.</w:t>
      </w:r>
      <w:r>
        <w:rPr>
          <w:color w:val="231F20"/>
          <w:spacing w:val="-25"/>
        </w:rPr>
        <w:t xml:space="preserve"> </w:t>
      </w:r>
      <w:r>
        <w:rPr>
          <w:color w:val="231F20"/>
        </w:rPr>
        <w:t>Other</w:t>
      </w:r>
      <w:r>
        <w:rPr>
          <w:color w:val="231F20"/>
          <w:spacing w:val="-25"/>
        </w:rPr>
        <w:t xml:space="preserve"> </w:t>
      </w:r>
      <w:r>
        <w:rPr>
          <w:color w:val="231F20"/>
        </w:rPr>
        <w:t>assumptions</w:t>
      </w:r>
      <w:r>
        <w:rPr>
          <w:color w:val="231F20"/>
          <w:spacing w:val="-25"/>
        </w:rPr>
        <w:t xml:space="preserve"> </w:t>
      </w:r>
      <w:r>
        <w:rPr>
          <w:color w:val="231F20"/>
        </w:rPr>
        <w:t>upon</w:t>
      </w:r>
      <w:r>
        <w:rPr>
          <w:color w:val="231F20"/>
          <w:spacing w:val="-25"/>
        </w:rPr>
        <w:t xml:space="preserve"> </w:t>
      </w:r>
      <w:r>
        <w:rPr>
          <w:color w:val="231F20"/>
        </w:rPr>
        <w:t>which</w:t>
      </w:r>
      <w:r>
        <w:rPr>
          <w:color w:val="231F20"/>
          <w:spacing w:val="-25"/>
        </w:rPr>
        <w:t xml:space="preserve"> </w:t>
      </w:r>
      <w:r>
        <w:rPr>
          <w:color w:val="231F20"/>
        </w:rPr>
        <w:t>the</w:t>
      </w:r>
      <w:r>
        <w:rPr>
          <w:color w:val="231F20"/>
          <w:spacing w:val="-25"/>
        </w:rPr>
        <w:t xml:space="preserve"> </w:t>
      </w:r>
      <w:r>
        <w:rPr>
          <w:color w:val="231F20"/>
        </w:rPr>
        <w:t>moderate</w:t>
      </w:r>
      <w:r>
        <w:rPr>
          <w:color w:val="231F20"/>
          <w:spacing w:val="-25"/>
        </w:rPr>
        <w:t xml:space="preserve"> </w:t>
      </w:r>
      <w:r>
        <w:rPr>
          <w:color w:val="231F20"/>
        </w:rPr>
        <w:t>scenario</w:t>
      </w:r>
      <w:r>
        <w:rPr>
          <w:color w:val="231F20"/>
          <w:spacing w:val="-25"/>
        </w:rPr>
        <w:t xml:space="preserve"> </w:t>
      </w:r>
      <w:r>
        <w:rPr>
          <w:color w:val="231F20"/>
        </w:rPr>
        <w:t>was</w:t>
      </w:r>
      <w:r>
        <w:rPr>
          <w:color w:val="231F20"/>
          <w:spacing w:val="-25"/>
        </w:rPr>
        <w:t xml:space="preserve"> </w:t>
      </w:r>
      <w:r>
        <w:rPr>
          <w:color w:val="231F20"/>
        </w:rPr>
        <w:t>modeled</w:t>
      </w:r>
    </w:p>
    <w:p w14:paraId="7FFC4639" w14:textId="77777777" w:rsidR="009948F1" w:rsidRDefault="009948F1">
      <w:pPr>
        <w:spacing w:line="244" w:lineRule="auto"/>
        <w:jc w:val="both"/>
        <w:sectPr w:rsidR="009948F1">
          <w:pgSz w:w="11910" w:h="16840"/>
          <w:pgMar w:top="1240" w:right="1080" w:bottom="1420" w:left="1120" w:header="0" w:footer="1235" w:gutter="0"/>
          <w:cols w:space="720"/>
        </w:sectPr>
      </w:pPr>
    </w:p>
    <w:p w14:paraId="0C1EEF3F" w14:textId="77777777" w:rsidR="009948F1" w:rsidRDefault="00BC0563">
      <w:pPr>
        <w:pStyle w:val="BodyText"/>
        <w:spacing w:before="37"/>
        <w:ind w:left="157"/>
      </w:pPr>
      <w:bookmarkStart w:id="121" w:name="Page_101"/>
      <w:bookmarkEnd w:id="121"/>
      <w:r>
        <w:rPr>
          <w:color w:val="231F20"/>
        </w:rPr>
        <w:lastRenderedPageBreak/>
        <w:t>include the attainment of the Family Planning Modern method mix of 79% from a baseline 61.1%.</w:t>
      </w:r>
    </w:p>
    <w:p w14:paraId="19CD0527" w14:textId="77777777" w:rsidR="009948F1" w:rsidRDefault="00BC0563">
      <w:pPr>
        <w:pStyle w:val="BodyText"/>
        <w:spacing w:before="6" w:line="244" w:lineRule="auto"/>
        <w:ind w:left="516"/>
      </w:pPr>
      <w:r>
        <w:rPr>
          <w:color w:val="231F20"/>
        </w:rPr>
        <w:t>With the investment proposed for this scenario, the following mortality outcomes are anticipated.</w:t>
      </w:r>
    </w:p>
    <w:p w14:paraId="694B64A9" w14:textId="77777777" w:rsidR="009948F1" w:rsidRDefault="00BC0563">
      <w:pPr>
        <w:pStyle w:val="BodyText"/>
        <w:spacing w:before="1" w:line="256" w:lineRule="exact"/>
        <w:ind w:left="876" w:right="109" w:hanging="360"/>
      </w:pPr>
      <w:r>
        <w:rPr>
          <w:rFonts w:ascii="Symbol" w:hAnsi="Symbol"/>
          <w:color w:val="231F20"/>
          <w:spacing w:val="-248"/>
          <w:w w:val="600"/>
        </w:rPr>
        <w:t></w:t>
      </w:r>
      <w:r>
        <w:rPr>
          <w:color w:val="231F20"/>
          <w:w w:val="99"/>
        </w:rPr>
        <w:t>MMR reduction</w:t>
      </w:r>
      <w:r>
        <w:rPr>
          <w:color w:val="231F20"/>
        </w:rPr>
        <w:t xml:space="preserve"> from </w:t>
      </w:r>
      <w:r>
        <w:rPr>
          <w:color w:val="231F20"/>
          <w:w w:val="99"/>
        </w:rPr>
        <w:t>576/100,000</w:t>
      </w:r>
      <w:r>
        <w:rPr>
          <w:color w:val="231F20"/>
        </w:rPr>
        <w:t xml:space="preserve"> to </w:t>
      </w:r>
      <w:r>
        <w:rPr>
          <w:color w:val="231F20"/>
          <w:w w:val="99"/>
        </w:rPr>
        <w:t>498/100,000</w:t>
      </w:r>
      <w:r>
        <w:rPr>
          <w:color w:val="231F20"/>
        </w:rPr>
        <w:t xml:space="preserve"> </w:t>
      </w:r>
      <w:r>
        <w:rPr>
          <w:color w:val="231F20"/>
          <w:w w:val="99"/>
        </w:rPr>
        <w:t>Live</w:t>
      </w:r>
      <w:r>
        <w:rPr>
          <w:color w:val="231F20"/>
        </w:rPr>
        <w:t xml:space="preserve"> Birth </w:t>
      </w:r>
      <w:r>
        <w:rPr>
          <w:color w:val="231F20"/>
          <w:w w:val="99"/>
        </w:rPr>
        <w:t>representing</w:t>
      </w:r>
      <w:r>
        <w:rPr>
          <w:color w:val="231F20"/>
        </w:rPr>
        <w:t xml:space="preserve"> </w:t>
      </w:r>
      <w:r>
        <w:rPr>
          <w:color w:val="231F20"/>
          <w:w w:val="99"/>
        </w:rPr>
        <w:t>a</w:t>
      </w:r>
      <w:r>
        <w:rPr>
          <w:color w:val="231F20"/>
        </w:rPr>
        <w:t xml:space="preserve"> </w:t>
      </w:r>
      <w:r>
        <w:rPr>
          <w:color w:val="231F20"/>
          <w:w w:val="99"/>
        </w:rPr>
        <w:t>14%</w:t>
      </w:r>
      <w:r>
        <w:rPr>
          <w:color w:val="231F20"/>
        </w:rPr>
        <w:t xml:space="preserve"> </w:t>
      </w:r>
      <w:r>
        <w:rPr>
          <w:color w:val="231F20"/>
          <w:spacing w:val="-2"/>
          <w:w w:val="99"/>
        </w:rPr>
        <w:t>reduction</w:t>
      </w:r>
      <w:r>
        <w:rPr>
          <w:color w:val="231F20"/>
          <w:w w:val="99"/>
        </w:rPr>
        <w:t xml:space="preserve"> </w:t>
      </w:r>
      <w:r>
        <w:rPr>
          <w:color w:val="231F20"/>
          <w:w w:val="105"/>
        </w:rPr>
        <w:t>towards the attainment of global target,</w:t>
      </w:r>
    </w:p>
    <w:p w14:paraId="0C6189C7" w14:textId="77777777" w:rsidR="009948F1" w:rsidRDefault="00BC0563">
      <w:pPr>
        <w:pStyle w:val="BodyText"/>
        <w:spacing w:line="256" w:lineRule="exact"/>
        <w:ind w:left="876" w:hanging="360"/>
      </w:pPr>
      <w:r>
        <w:rPr>
          <w:rFonts w:ascii="Symbol" w:hAnsi="Symbol"/>
          <w:color w:val="231F20"/>
          <w:spacing w:val="-248"/>
          <w:w w:val="600"/>
        </w:rPr>
        <w:t></w:t>
      </w:r>
      <w:r>
        <w:rPr>
          <w:color w:val="231F20"/>
          <w:w w:val="99"/>
        </w:rPr>
        <w:t>NMR</w:t>
      </w:r>
      <w:r>
        <w:rPr>
          <w:color w:val="231F20"/>
        </w:rPr>
        <w:t xml:space="preserve"> </w:t>
      </w:r>
      <w:r>
        <w:rPr>
          <w:color w:val="231F20"/>
          <w:w w:val="99"/>
        </w:rPr>
        <w:t>reduction</w:t>
      </w:r>
      <w:r>
        <w:rPr>
          <w:color w:val="231F20"/>
        </w:rPr>
        <w:t xml:space="preserve"> from </w:t>
      </w:r>
      <w:r>
        <w:rPr>
          <w:color w:val="231F20"/>
          <w:w w:val="99"/>
        </w:rPr>
        <w:t>27/1,000</w:t>
      </w:r>
      <w:r>
        <w:rPr>
          <w:color w:val="231F20"/>
        </w:rPr>
        <w:t xml:space="preserve"> to </w:t>
      </w:r>
      <w:r>
        <w:rPr>
          <w:color w:val="231F20"/>
          <w:w w:val="99"/>
        </w:rPr>
        <w:t>25/1,000</w:t>
      </w:r>
      <w:r>
        <w:rPr>
          <w:color w:val="231F20"/>
        </w:rPr>
        <w:t xml:space="preserve"> </w:t>
      </w:r>
      <w:r>
        <w:rPr>
          <w:color w:val="231F20"/>
          <w:w w:val="99"/>
        </w:rPr>
        <w:t>Live</w:t>
      </w:r>
      <w:r>
        <w:rPr>
          <w:color w:val="231F20"/>
        </w:rPr>
        <w:t xml:space="preserve"> Birth </w:t>
      </w:r>
      <w:r>
        <w:rPr>
          <w:color w:val="231F20"/>
          <w:w w:val="99"/>
        </w:rPr>
        <w:t>representing</w:t>
      </w:r>
      <w:r>
        <w:rPr>
          <w:color w:val="231F20"/>
        </w:rPr>
        <w:t xml:space="preserve"> </w:t>
      </w:r>
      <w:r>
        <w:rPr>
          <w:color w:val="231F20"/>
          <w:w w:val="99"/>
        </w:rPr>
        <w:t>a</w:t>
      </w:r>
      <w:r>
        <w:rPr>
          <w:color w:val="231F20"/>
        </w:rPr>
        <w:t xml:space="preserve"> </w:t>
      </w:r>
      <w:r>
        <w:rPr>
          <w:color w:val="231F20"/>
          <w:w w:val="99"/>
        </w:rPr>
        <w:t>7%</w:t>
      </w:r>
      <w:r>
        <w:rPr>
          <w:color w:val="231F20"/>
        </w:rPr>
        <w:t xml:space="preserve"> </w:t>
      </w:r>
      <w:r>
        <w:rPr>
          <w:color w:val="231F20"/>
          <w:w w:val="99"/>
        </w:rPr>
        <w:t>reduction</w:t>
      </w:r>
      <w:r>
        <w:rPr>
          <w:color w:val="231F20"/>
        </w:rPr>
        <w:t xml:space="preserve"> </w:t>
      </w:r>
      <w:r>
        <w:rPr>
          <w:color w:val="231F20"/>
          <w:w w:val="99"/>
        </w:rPr>
        <w:t xml:space="preserve">towards </w:t>
      </w:r>
      <w:r>
        <w:rPr>
          <w:color w:val="231F20"/>
          <w:w w:val="105"/>
        </w:rPr>
        <w:t>the attainment of global target,</w:t>
      </w:r>
    </w:p>
    <w:p w14:paraId="14EF5DBB" w14:textId="77777777" w:rsidR="009948F1" w:rsidRDefault="00BC0563">
      <w:pPr>
        <w:pStyle w:val="BodyText"/>
        <w:spacing w:line="256" w:lineRule="exact"/>
        <w:ind w:left="876" w:hanging="360"/>
      </w:pPr>
      <w:r>
        <w:rPr>
          <w:rFonts w:ascii="Symbol" w:hAnsi="Symbol"/>
          <w:color w:val="231F20"/>
          <w:spacing w:val="-248"/>
          <w:w w:val="600"/>
        </w:rPr>
        <w:t></w:t>
      </w:r>
      <w:r>
        <w:rPr>
          <w:color w:val="231F20"/>
          <w:w w:val="99"/>
        </w:rPr>
        <w:t>U-5MR</w:t>
      </w:r>
      <w:r>
        <w:rPr>
          <w:color w:val="231F20"/>
        </w:rPr>
        <w:t xml:space="preserve"> </w:t>
      </w:r>
      <w:r>
        <w:rPr>
          <w:color w:val="231F20"/>
          <w:spacing w:val="-17"/>
        </w:rPr>
        <w:t xml:space="preserve"> </w:t>
      </w:r>
      <w:r>
        <w:rPr>
          <w:color w:val="231F20"/>
          <w:w w:val="99"/>
        </w:rPr>
        <w:t>reduction</w:t>
      </w:r>
      <w:r>
        <w:rPr>
          <w:color w:val="231F20"/>
        </w:rPr>
        <w:t xml:space="preserve"> </w:t>
      </w:r>
      <w:r>
        <w:rPr>
          <w:color w:val="231F20"/>
          <w:spacing w:val="-17"/>
        </w:rPr>
        <w:t xml:space="preserve"> </w:t>
      </w:r>
      <w:r>
        <w:rPr>
          <w:color w:val="231F20"/>
        </w:rPr>
        <w:t xml:space="preserve">from </w:t>
      </w:r>
      <w:r>
        <w:rPr>
          <w:color w:val="231F20"/>
          <w:spacing w:val="-17"/>
        </w:rPr>
        <w:t xml:space="preserve"> </w:t>
      </w:r>
      <w:r>
        <w:rPr>
          <w:color w:val="231F20"/>
          <w:w w:val="99"/>
        </w:rPr>
        <w:t>58/1,000</w:t>
      </w:r>
      <w:r>
        <w:rPr>
          <w:color w:val="231F20"/>
        </w:rPr>
        <w:t xml:space="preserve"> </w:t>
      </w:r>
      <w:r>
        <w:rPr>
          <w:color w:val="231F20"/>
          <w:spacing w:val="-17"/>
        </w:rPr>
        <w:t xml:space="preserve"> </w:t>
      </w:r>
      <w:r>
        <w:rPr>
          <w:color w:val="231F20"/>
        </w:rPr>
        <w:t xml:space="preserve">to </w:t>
      </w:r>
      <w:r>
        <w:rPr>
          <w:color w:val="231F20"/>
          <w:spacing w:val="-17"/>
        </w:rPr>
        <w:t xml:space="preserve"> </w:t>
      </w:r>
      <w:r>
        <w:rPr>
          <w:color w:val="231F20"/>
          <w:w w:val="99"/>
        </w:rPr>
        <w:t>47/1,000</w:t>
      </w:r>
      <w:r>
        <w:rPr>
          <w:color w:val="231F20"/>
        </w:rPr>
        <w:t xml:space="preserve"> </w:t>
      </w:r>
      <w:r>
        <w:rPr>
          <w:color w:val="231F20"/>
          <w:spacing w:val="-17"/>
        </w:rPr>
        <w:t xml:space="preserve"> </w:t>
      </w:r>
      <w:r>
        <w:rPr>
          <w:color w:val="231F20"/>
          <w:w w:val="99"/>
        </w:rPr>
        <w:t>Live</w:t>
      </w:r>
      <w:r>
        <w:rPr>
          <w:color w:val="231F20"/>
        </w:rPr>
        <w:t xml:space="preserve"> </w:t>
      </w:r>
      <w:r>
        <w:rPr>
          <w:color w:val="231F20"/>
          <w:spacing w:val="-17"/>
        </w:rPr>
        <w:t xml:space="preserve"> </w:t>
      </w:r>
      <w:r>
        <w:rPr>
          <w:color w:val="231F20"/>
        </w:rPr>
        <w:t xml:space="preserve">Birth </w:t>
      </w:r>
      <w:r>
        <w:rPr>
          <w:color w:val="231F20"/>
          <w:spacing w:val="-17"/>
        </w:rPr>
        <w:t xml:space="preserve"> </w:t>
      </w:r>
      <w:r>
        <w:rPr>
          <w:color w:val="231F20"/>
          <w:w w:val="99"/>
        </w:rPr>
        <w:t>representing</w:t>
      </w:r>
      <w:r>
        <w:rPr>
          <w:color w:val="231F20"/>
        </w:rPr>
        <w:t xml:space="preserve"> </w:t>
      </w:r>
      <w:r>
        <w:rPr>
          <w:color w:val="231F20"/>
          <w:spacing w:val="-17"/>
        </w:rPr>
        <w:t xml:space="preserve"> </w:t>
      </w:r>
      <w:r>
        <w:rPr>
          <w:color w:val="231F20"/>
          <w:w w:val="99"/>
        </w:rPr>
        <w:t>a</w:t>
      </w:r>
      <w:r>
        <w:rPr>
          <w:color w:val="231F20"/>
        </w:rPr>
        <w:t xml:space="preserve"> </w:t>
      </w:r>
      <w:r>
        <w:rPr>
          <w:color w:val="231F20"/>
          <w:spacing w:val="-17"/>
        </w:rPr>
        <w:t xml:space="preserve"> </w:t>
      </w:r>
      <w:r>
        <w:rPr>
          <w:color w:val="231F20"/>
          <w:w w:val="99"/>
        </w:rPr>
        <w:t>19%</w:t>
      </w:r>
      <w:r>
        <w:rPr>
          <w:color w:val="231F20"/>
        </w:rPr>
        <w:t xml:space="preserve"> </w:t>
      </w:r>
      <w:r>
        <w:rPr>
          <w:color w:val="231F20"/>
          <w:spacing w:val="-17"/>
        </w:rPr>
        <w:t xml:space="preserve"> </w:t>
      </w:r>
      <w:r>
        <w:rPr>
          <w:color w:val="231F20"/>
          <w:spacing w:val="-2"/>
          <w:w w:val="99"/>
        </w:rPr>
        <w:t>reduction</w:t>
      </w:r>
      <w:r>
        <w:rPr>
          <w:color w:val="231F20"/>
          <w:w w:val="99"/>
        </w:rPr>
        <w:t xml:space="preserve"> </w:t>
      </w:r>
      <w:r>
        <w:rPr>
          <w:color w:val="231F20"/>
          <w:w w:val="105"/>
        </w:rPr>
        <w:t>towards</w:t>
      </w:r>
      <w:r>
        <w:rPr>
          <w:color w:val="231F20"/>
          <w:spacing w:val="-30"/>
          <w:w w:val="105"/>
        </w:rPr>
        <w:t xml:space="preserve"> </w:t>
      </w:r>
      <w:r>
        <w:rPr>
          <w:color w:val="231F20"/>
          <w:w w:val="105"/>
        </w:rPr>
        <w:t>the</w:t>
      </w:r>
      <w:r>
        <w:rPr>
          <w:color w:val="231F20"/>
          <w:spacing w:val="-29"/>
          <w:w w:val="105"/>
        </w:rPr>
        <w:t xml:space="preserve"> </w:t>
      </w:r>
      <w:r>
        <w:rPr>
          <w:color w:val="231F20"/>
          <w:w w:val="105"/>
        </w:rPr>
        <w:t>attainment</w:t>
      </w:r>
      <w:r>
        <w:rPr>
          <w:color w:val="231F20"/>
          <w:spacing w:val="-29"/>
          <w:w w:val="105"/>
        </w:rPr>
        <w:t xml:space="preserve"> </w:t>
      </w:r>
      <w:r>
        <w:rPr>
          <w:color w:val="231F20"/>
          <w:w w:val="105"/>
        </w:rPr>
        <w:t>of</w:t>
      </w:r>
      <w:r>
        <w:rPr>
          <w:color w:val="231F20"/>
          <w:spacing w:val="-30"/>
          <w:w w:val="105"/>
        </w:rPr>
        <w:t xml:space="preserve"> </w:t>
      </w:r>
      <w:r>
        <w:rPr>
          <w:color w:val="231F20"/>
          <w:w w:val="105"/>
        </w:rPr>
        <w:t>global</w:t>
      </w:r>
      <w:r>
        <w:rPr>
          <w:color w:val="231F20"/>
          <w:spacing w:val="-29"/>
          <w:w w:val="105"/>
        </w:rPr>
        <w:t xml:space="preserve"> </w:t>
      </w:r>
      <w:r>
        <w:rPr>
          <w:color w:val="231F20"/>
          <w:w w:val="105"/>
        </w:rPr>
        <w:t>target.</w:t>
      </w:r>
    </w:p>
    <w:p w14:paraId="3DEB7885" w14:textId="77777777" w:rsidR="009948F1" w:rsidRDefault="009948F1">
      <w:pPr>
        <w:pStyle w:val="BodyText"/>
        <w:spacing w:before="1"/>
      </w:pPr>
    </w:p>
    <w:p w14:paraId="0D7B58E4" w14:textId="77777777" w:rsidR="009948F1" w:rsidRDefault="00BC0563">
      <w:pPr>
        <w:pStyle w:val="Heading7"/>
        <w:ind w:left="192"/>
        <w:jc w:val="both"/>
      </w:pPr>
      <w:r>
        <w:rPr>
          <w:color w:val="231F20"/>
        </w:rPr>
        <w:t>Overview of Essential Service Aggressive Scenario</w:t>
      </w:r>
    </w:p>
    <w:p w14:paraId="500DDCBF" w14:textId="77777777" w:rsidR="009948F1" w:rsidRDefault="00BC0563">
      <w:pPr>
        <w:pStyle w:val="BodyText"/>
        <w:spacing w:before="6" w:line="244" w:lineRule="auto"/>
        <w:ind w:left="156" w:right="182"/>
        <w:jc w:val="both"/>
      </w:pPr>
      <w:r>
        <w:rPr>
          <w:color w:val="231F20"/>
        </w:rPr>
        <w:t xml:space="preserve">Rivers State Essential Service Aggressive Scenario is the third policy scenario modelled </w:t>
      </w:r>
      <w:r>
        <w:rPr>
          <w:color w:val="231F20"/>
          <w:spacing w:val="-4"/>
        </w:rPr>
        <w:t xml:space="preserve">for </w:t>
      </w:r>
      <w:r>
        <w:rPr>
          <w:color w:val="231F20"/>
        </w:rPr>
        <w:t>SSHDP II. In this instance, the coverage of essential services has been scaled optimally</w:t>
      </w:r>
      <w:r>
        <w:rPr>
          <w:color w:val="231F20"/>
          <w:spacing w:val="-44"/>
        </w:rPr>
        <w:t xml:space="preserve"> </w:t>
      </w:r>
      <w:r>
        <w:rPr>
          <w:color w:val="231F20"/>
        </w:rPr>
        <w:t>towards the</w:t>
      </w:r>
      <w:r>
        <w:rPr>
          <w:color w:val="231F20"/>
          <w:spacing w:val="-20"/>
        </w:rPr>
        <w:t xml:space="preserve"> </w:t>
      </w:r>
      <w:r>
        <w:rPr>
          <w:color w:val="231F20"/>
        </w:rPr>
        <w:t>attainment</w:t>
      </w:r>
      <w:r>
        <w:rPr>
          <w:color w:val="231F20"/>
          <w:spacing w:val="-20"/>
        </w:rPr>
        <w:t xml:space="preserve"> </w:t>
      </w:r>
      <w:r>
        <w:rPr>
          <w:color w:val="231F20"/>
        </w:rPr>
        <w:t>of</w:t>
      </w:r>
      <w:r>
        <w:rPr>
          <w:color w:val="231F20"/>
          <w:spacing w:val="-20"/>
        </w:rPr>
        <w:t xml:space="preserve"> </w:t>
      </w:r>
      <w:r>
        <w:rPr>
          <w:color w:val="231F20"/>
        </w:rPr>
        <w:t>Universal</w:t>
      </w:r>
      <w:r>
        <w:rPr>
          <w:color w:val="231F20"/>
          <w:spacing w:val="-20"/>
        </w:rPr>
        <w:t xml:space="preserve"> </w:t>
      </w:r>
      <w:r>
        <w:rPr>
          <w:color w:val="231F20"/>
        </w:rPr>
        <w:t>Health</w:t>
      </w:r>
      <w:r>
        <w:rPr>
          <w:color w:val="231F20"/>
          <w:spacing w:val="-20"/>
        </w:rPr>
        <w:t xml:space="preserve"> </w:t>
      </w:r>
      <w:r>
        <w:rPr>
          <w:color w:val="231F20"/>
        </w:rPr>
        <w:t>Coverage</w:t>
      </w:r>
      <w:r>
        <w:rPr>
          <w:color w:val="231F20"/>
          <w:spacing w:val="-20"/>
        </w:rPr>
        <w:t xml:space="preserve"> </w:t>
      </w:r>
      <w:r>
        <w:rPr>
          <w:color w:val="231F20"/>
        </w:rPr>
        <w:t>while</w:t>
      </w:r>
      <w:r>
        <w:rPr>
          <w:color w:val="231F20"/>
          <w:spacing w:val="-20"/>
        </w:rPr>
        <w:t xml:space="preserve"> </w:t>
      </w:r>
      <w:r>
        <w:rPr>
          <w:color w:val="231F20"/>
        </w:rPr>
        <w:t>implementing</w:t>
      </w:r>
      <w:r>
        <w:rPr>
          <w:color w:val="231F20"/>
          <w:spacing w:val="-20"/>
        </w:rPr>
        <w:t xml:space="preserve"> </w:t>
      </w:r>
      <w:r>
        <w:rPr>
          <w:color w:val="231F20"/>
        </w:rPr>
        <w:t>components</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primary</w:t>
      </w:r>
      <w:r>
        <w:rPr>
          <w:color w:val="231F20"/>
          <w:spacing w:val="-20"/>
        </w:rPr>
        <w:t xml:space="preserve"> </w:t>
      </w:r>
      <w:r>
        <w:rPr>
          <w:color w:val="231F20"/>
        </w:rPr>
        <w:t>health revitalization agenda modelled in the moderate scenario. A year-on-year front loaded interpolate profile</w:t>
      </w:r>
      <w:r>
        <w:rPr>
          <w:color w:val="231F20"/>
          <w:spacing w:val="-14"/>
        </w:rPr>
        <w:t xml:space="preserve"> </w:t>
      </w:r>
      <w:r>
        <w:rPr>
          <w:color w:val="231F20"/>
        </w:rPr>
        <w:t>was</w:t>
      </w:r>
      <w:r>
        <w:rPr>
          <w:color w:val="231F20"/>
          <w:spacing w:val="-13"/>
        </w:rPr>
        <w:t xml:space="preserve"> </w:t>
      </w:r>
      <w:r>
        <w:rPr>
          <w:color w:val="231F20"/>
        </w:rPr>
        <w:t>implemented</w:t>
      </w:r>
      <w:r>
        <w:rPr>
          <w:color w:val="231F20"/>
          <w:spacing w:val="-13"/>
        </w:rPr>
        <w:t xml:space="preserve"> </w:t>
      </w:r>
      <w:r>
        <w:rPr>
          <w:color w:val="231F20"/>
        </w:rPr>
        <w:t>to</w:t>
      </w:r>
      <w:r>
        <w:rPr>
          <w:color w:val="231F20"/>
          <w:spacing w:val="-13"/>
        </w:rPr>
        <w:t xml:space="preserve"> </w:t>
      </w:r>
      <w:r>
        <w:rPr>
          <w:color w:val="231F20"/>
        </w:rPr>
        <w:t>arrive</w:t>
      </w:r>
      <w:r>
        <w:rPr>
          <w:color w:val="231F20"/>
          <w:spacing w:val="-13"/>
        </w:rPr>
        <w:t xml:space="preserve"> </w:t>
      </w:r>
      <w:r>
        <w:rPr>
          <w:color w:val="231F20"/>
        </w:rPr>
        <w:t>at</w:t>
      </w:r>
      <w:r>
        <w:rPr>
          <w:color w:val="231F20"/>
          <w:spacing w:val="-13"/>
        </w:rPr>
        <w:t xml:space="preserve"> </w:t>
      </w:r>
      <w:r>
        <w:rPr>
          <w:color w:val="231F20"/>
        </w:rPr>
        <w:t>30%</w:t>
      </w:r>
      <w:r>
        <w:rPr>
          <w:color w:val="231F20"/>
          <w:spacing w:val="-13"/>
        </w:rPr>
        <w:t xml:space="preserve"> </w:t>
      </w:r>
      <w:r>
        <w:rPr>
          <w:color w:val="231F20"/>
        </w:rPr>
        <w:t>coverage</w:t>
      </w:r>
      <w:r>
        <w:rPr>
          <w:color w:val="231F20"/>
          <w:spacing w:val="-13"/>
        </w:rPr>
        <w:t xml:space="preserve"> </w:t>
      </w:r>
      <w:r>
        <w:rPr>
          <w:color w:val="231F20"/>
        </w:rPr>
        <w:t>increase</w:t>
      </w:r>
      <w:r>
        <w:rPr>
          <w:color w:val="231F20"/>
          <w:spacing w:val="-13"/>
        </w:rPr>
        <w:t xml:space="preserve"> </w:t>
      </w:r>
      <w:r>
        <w:rPr>
          <w:color w:val="231F20"/>
        </w:rPr>
        <w:t>across</w:t>
      </w:r>
      <w:r>
        <w:rPr>
          <w:color w:val="231F20"/>
          <w:spacing w:val="-14"/>
        </w:rPr>
        <w:t xml:space="preserve"> </w:t>
      </w:r>
      <w:r>
        <w:rPr>
          <w:color w:val="231F20"/>
        </w:rPr>
        <w:t>interventions</w:t>
      </w:r>
      <w:r>
        <w:rPr>
          <w:color w:val="231F20"/>
          <w:spacing w:val="-13"/>
        </w:rPr>
        <w:t xml:space="preserve"> </w:t>
      </w:r>
      <w:r>
        <w:rPr>
          <w:color w:val="231F20"/>
        </w:rPr>
        <w:t>for</w:t>
      </w:r>
      <w:r>
        <w:rPr>
          <w:color w:val="231F20"/>
          <w:spacing w:val="-13"/>
        </w:rPr>
        <w:t xml:space="preserve"> </w:t>
      </w:r>
      <w:r>
        <w:rPr>
          <w:color w:val="231F20"/>
        </w:rPr>
        <w:t>this</w:t>
      </w:r>
      <w:r>
        <w:rPr>
          <w:color w:val="231F20"/>
          <w:spacing w:val="-13"/>
        </w:rPr>
        <w:t xml:space="preserve"> </w:t>
      </w:r>
      <w:r>
        <w:rPr>
          <w:color w:val="231F20"/>
        </w:rPr>
        <w:t>scenario. Examples</w:t>
      </w:r>
      <w:r>
        <w:rPr>
          <w:color w:val="231F20"/>
          <w:spacing w:val="-20"/>
        </w:rPr>
        <w:t xml:space="preserve"> </w:t>
      </w:r>
      <w:r>
        <w:rPr>
          <w:color w:val="231F20"/>
        </w:rPr>
        <w:t>of</w:t>
      </w:r>
      <w:r>
        <w:rPr>
          <w:color w:val="231F20"/>
          <w:spacing w:val="-20"/>
        </w:rPr>
        <w:t xml:space="preserve"> </w:t>
      </w:r>
      <w:proofErr w:type="spellStart"/>
      <w:r>
        <w:rPr>
          <w:color w:val="231F20"/>
        </w:rPr>
        <w:t>Programme</w:t>
      </w:r>
      <w:proofErr w:type="spellEnd"/>
      <w:r>
        <w:rPr>
          <w:color w:val="231F20"/>
          <w:spacing w:val="-19"/>
        </w:rPr>
        <w:t xml:space="preserve"> </w:t>
      </w:r>
      <w:r>
        <w:rPr>
          <w:color w:val="231F20"/>
        </w:rPr>
        <w:t>and</w:t>
      </w:r>
      <w:r>
        <w:rPr>
          <w:color w:val="231F20"/>
          <w:spacing w:val="-19"/>
        </w:rPr>
        <w:t xml:space="preserve"> </w:t>
      </w:r>
      <w:r>
        <w:rPr>
          <w:color w:val="231F20"/>
        </w:rPr>
        <w:t>Interventions</w:t>
      </w:r>
      <w:r>
        <w:rPr>
          <w:color w:val="231F20"/>
          <w:spacing w:val="-20"/>
        </w:rPr>
        <w:t xml:space="preserve"> </w:t>
      </w:r>
      <w:r>
        <w:rPr>
          <w:color w:val="231F20"/>
        </w:rPr>
        <w:t>modelled</w:t>
      </w:r>
      <w:r>
        <w:rPr>
          <w:color w:val="231F20"/>
          <w:spacing w:val="-19"/>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rPr>
        <w:t>aggressive</w:t>
      </w:r>
      <w:r>
        <w:rPr>
          <w:color w:val="231F20"/>
          <w:spacing w:val="-20"/>
        </w:rPr>
        <w:t xml:space="preserve"> </w:t>
      </w:r>
      <w:r>
        <w:rPr>
          <w:color w:val="231F20"/>
        </w:rPr>
        <w:t>scenario</w:t>
      </w:r>
      <w:r>
        <w:rPr>
          <w:color w:val="231F20"/>
          <w:spacing w:val="-19"/>
        </w:rPr>
        <w:t xml:space="preserve"> </w:t>
      </w:r>
      <w:r>
        <w:rPr>
          <w:color w:val="231F20"/>
        </w:rPr>
        <w:t>include;</w:t>
      </w:r>
      <w:r>
        <w:rPr>
          <w:color w:val="231F20"/>
          <w:spacing w:val="-19"/>
        </w:rPr>
        <w:t xml:space="preserve"> </w:t>
      </w:r>
      <w:r>
        <w:rPr>
          <w:color w:val="231F20"/>
        </w:rPr>
        <w:t>Maternal &amp;</w:t>
      </w:r>
      <w:r>
        <w:rPr>
          <w:color w:val="231F20"/>
          <w:spacing w:val="-17"/>
        </w:rPr>
        <w:t xml:space="preserve"> </w:t>
      </w:r>
      <w:r>
        <w:rPr>
          <w:color w:val="231F20"/>
        </w:rPr>
        <w:t>child</w:t>
      </w:r>
      <w:r>
        <w:rPr>
          <w:color w:val="231F20"/>
          <w:spacing w:val="-16"/>
        </w:rPr>
        <w:t xml:space="preserve"> </w:t>
      </w:r>
      <w:r>
        <w:rPr>
          <w:color w:val="231F20"/>
        </w:rPr>
        <w:t>health-</w:t>
      </w:r>
      <w:r>
        <w:rPr>
          <w:color w:val="231F20"/>
          <w:spacing w:val="-27"/>
        </w:rPr>
        <w:t xml:space="preserve"> </w:t>
      </w:r>
      <w:r>
        <w:rPr>
          <w:color w:val="231F20"/>
        </w:rPr>
        <w:t>Anti-Natal</w:t>
      </w:r>
      <w:r>
        <w:rPr>
          <w:color w:val="231F20"/>
          <w:spacing w:val="-17"/>
        </w:rPr>
        <w:t xml:space="preserve"> </w:t>
      </w:r>
      <w:r>
        <w:rPr>
          <w:color w:val="231F20"/>
        </w:rPr>
        <w:t>Care</w:t>
      </w:r>
      <w:r>
        <w:rPr>
          <w:color w:val="231F20"/>
          <w:spacing w:val="-16"/>
        </w:rPr>
        <w:t xml:space="preserve"> </w:t>
      </w:r>
      <w:r>
        <w:rPr>
          <w:color w:val="231F20"/>
        </w:rPr>
        <w:t>Services,</w:t>
      </w:r>
      <w:r>
        <w:rPr>
          <w:color w:val="231F20"/>
          <w:spacing w:val="-16"/>
        </w:rPr>
        <w:t xml:space="preserve"> </w:t>
      </w:r>
      <w:r>
        <w:rPr>
          <w:color w:val="231F20"/>
        </w:rPr>
        <w:t>Skilled</w:t>
      </w:r>
      <w:r>
        <w:rPr>
          <w:color w:val="231F20"/>
          <w:spacing w:val="-16"/>
        </w:rPr>
        <w:t xml:space="preserve"> </w:t>
      </w:r>
      <w:r>
        <w:rPr>
          <w:color w:val="231F20"/>
        </w:rPr>
        <w:t>Delivery</w:t>
      </w:r>
      <w:r>
        <w:rPr>
          <w:color w:val="231F20"/>
          <w:spacing w:val="-16"/>
        </w:rPr>
        <w:t xml:space="preserve"> </w:t>
      </w:r>
      <w:r>
        <w:rPr>
          <w:color w:val="231F20"/>
        </w:rPr>
        <w:t>including</w:t>
      </w:r>
      <w:r>
        <w:rPr>
          <w:color w:val="231F20"/>
          <w:spacing w:val="-16"/>
        </w:rPr>
        <w:t xml:space="preserve"> </w:t>
      </w:r>
      <w:proofErr w:type="spellStart"/>
      <w:r>
        <w:rPr>
          <w:color w:val="231F20"/>
        </w:rPr>
        <w:t>EmOC</w:t>
      </w:r>
      <w:proofErr w:type="spellEnd"/>
      <w:r>
        <w:rPr>
          <w:color w:val="231F20"/>
          <w:spacing w:val="-16"/>
        </w:rPr>
        <w:t xml:space="preserve"> </w:t>
      </w:r>
      <w:r>
        <w:rPr>
          <w:color w:val="231F20"/>
        </w:rPr>
        <w:t>Services,</w:t>
      </w:r>
      <w:r>
        <w:rPr>
          <w:color w:val="231F20"/>
          <w:spacing w:val="-16"/>
        </w:rPr>
        <w:t xml:space="preserve"> </w:t>
      </w:r>
      <w:r>
        <w:rPr>
          <w:color w:val="231F20"/>
        </w:rPr>
        <w:t>Immunization, Malaria- Prevention and Case Management, Nutrition-MAM and SAM, NCDs, Mental health,</w:t>
      </w:r>
      <w:r>
        <w:rPr>
          <w:color w:val="231F20"/>
          <w:spacing w:val="-35"/>
        </w:rPr>
        <w:t xml:space="preserve"> </w:t>
      </w:r>
      <w:r>
        <w:rPr>
          <w:color w:val="231F20"/>
        </w:rPr>
        <w:t>and NTDs. Unlike the moderate scenario, Family Planning-CPR coverage was increased by 10%, which is 2.5% more than the estimates of moderate scenario. More so, the HSS investment proposed</w:t>
      </w:r>
      <w:r>
        <w:rPr>
          <w:color w:val="231F20"/>
          <w:spacing w:val="-8"/>
        </w:rPr>
        <w:t xml:space="preserve"> </w:t>
      </w:r>
      <w:r>
        <w:rPr>
          <w:color w:val="231F20"/>
        </w:rPr>
        <w:t>for</w:t>
      </w:r>
      <w:r>
        <w:rPr>
          <w:color w:val="231F20"/>
          <w:spacing w:val="-20"/>
        </w:rPr>
        <w:t xml:space="preserve"> </w:t>
      </w:r>
      <w:r>
        <w:rPr>
          <w:color w:val="231F20"/>
        </w:rPr>
        <w:t>Aggressive</w:t>
      </w:r>
      <w:r>
        <w:rPr>
          <w:color w:val="231F20"/>
          <w:spacing w:val="-7"/>
        </w:rPr>
        <w:t xml:space="preserve"> </w:t>
      </w:r>
      <w:r>
        <w:rPr>
          <w:color w:val="231F20"/>
        </w:rPr>
        <w:t>scenario</w:t>
      </w:r>
      <w:r>
        <w:rPr>
          <w:color w:val="231F20"/>
          <w:spacing w:val="-8"/>
        </w:rPr>
        <w:t xml:space="preserve"> </w:t>
      </w:r>
      <w:r>
        <w:rPr>
          <w:color w:val="231F20"/>
        </w:rPr>
        <w:t>cuts</w:t>
      </w:r>
      <w:r>
        <w:rPr>
          <w:color w:val="231F20"/>
          <w:spacing w:val="-7"/>
        </w:rPr>
        <w:t xml:space="preserve"> </w:t>
      </w:r>
      <w:r>
        <w:rPr>
          <w:color w:val="231F20"/>
        </w:rPr>
        <w:t>across</w:t>
      </w:r>
      <w:r>
        <w:rPr>
          <w:color w:val="231F20"/>
          <w:spacing w:val="-8"/>
        </w:rPr>
        <w:t xml:space="preserve"> </w:t>
      </w:r>
      <w:r>
        <w:rPr>
          <w:color w:val="231F20"/>
        </w:rPr>
        <w:t>all</w:t>
      </w:r>
      <w:r>
        <w:rPr>
          <w:color w:val="231F20"/>
          <w:spacing w:val="-8"/>
        </w:rPr>
        <w:t xml:space="preserve"> </w:t>
      </w:r>
      <w:r>
        <w:rPr>
          <w:color w:val="231F20"/>
        </w:rPr>
        <w:t>the</w:t>
      </w:r>
      <w:r>
        <w:rPr>
          <w:color w:val="231F20"/>
          <w:spacing w:val="-7"/>
        </w:rPr>
        <w:t xml:space="preserve"> </w:t>
      </w:r>
      <w:r>
        <w:rPr>
          <w:color w:val="231F20"/>
        </w:rPr>
        <w:t>three</w:t>
      </w:r>
      <w:r>
        <w:rPr>
          <w:color w:val="231F20"/>
          <w:spacing w:val="-8"/>
        </w:rPr>
        <w:t xml:space="preserve"> </w:t>
      </w:r>
      <w:r>
        <w:rPr>
          <w:color w:val="231F20"/>
        </w:rPr>
        <w:t>levels</w:t>
      </w:r>
      <w:r>
        <w:rPr>
          <w:color w:val="231F20"/>
          <w:spacing w:val="-7"/>
        </w:rPr>
        <w:t xml:space="preserve"> </w:t>
      </w:r>
      <w:r>
        <w:rPr>
          <w:color w:val="231F20"/>
        </w:rPr>
        <w:t>of</w:t>
      </w:r>
      <w:r>
        <w:rPr>
          <w:color w:val="231F20"/>
          <w:spacing w:val="-8"/>
        </w:rPr>
        <w:t xml:space="preserve"> </w:t>
      </w:r>
      <w:r>
        <w:rPr>
          <w:color w:val="231F20"/>
        </w:rPr>
        <w:t>care:</w:t>
      </w:r>
      <w:r>
        <w:rPr>
          <w:color w:val="231F20"/>
          <w:spacing w:val="-7"/>
        </w:rPr>
        <w:t xml:space="preserve"> </w:t>
      </w:r>
      <w:r>
        <w:rPr>
          <w:color w:val="231F20"/>
          <w:spacing w:val="-3"/>
        </w:rPr>
        <w:t>Primary,</w:t>
      </w:r>
      <w:r>
        <w:rPr>
          <w:color w:val="231F20"/>
          <w:spacing w:val="-8"/>
        </w:rPr>
        <w:t xml:space="preserve"> </w:t>
      </w:r>
      <w:r>
        <w:rPr>
          <w:color w:val="231F20"/>
        </w:rPr>
        <w:t>Secondary</w:t>
      </w:r>
      <w:r>
        <w:rPr>
          <w:color w:val="231F20"/>
          <w:spacing w:val="-7"/>
        </w:rPr>
        <w:t xml:space="preserve"> </w:t>
      </w:r>
      <w:r>
        <w:rPr>
          <w:color w:val="231F20"/>
          <w:spacing w:val="-4"/>
        </w:rPr>
        <w:t xml:space="preserve">and Tertiary </w:t>
      </w:r>
      <w:r>
        <w:rPr>
          <w:color w:val="231F20"/>
        </w:rPr>
        <w:t xml:space="preserve">levels of Care. </w:t>
      </w:r>
      <w:r>
        <w:rPr>
          <w:color w:val="231F20"/>
          <w:spacing w:val="-13"/>
        </w:rPr>
        <w:t xml:space="preserve">To </w:t>
      </w:r>
      <w:r>
        <w:rPr>
          <w:color w:val="231F20"/>
        </w:rPr>
        <w:t>this end, human resource and infrastructure capacities were scaled to accommodate</w:t>
      </w:r>
      <w:r>
        <w:rPr>
          <w:color w:val="231F20"/>
          <w:spacing w:val="-26"/>
        </w:rPr>
        <w:t xml:space="preserve"> </w:t>
      </w:r>
      <w:r>
        <w:rPr>
          <w:color w:val="231F20"/>
        </w:rPr>
        <w:t>the</w:t>
      </w:r>
      <w:r>
        <w:rPr>
          <w:color w:val="231F20"/>
          <w:spacing w:val="-25"/>
        </w:rPr>
        <w:t xml:space="preserve"> </w:t>
      </w:r>
      <w:r>
        <w:rPr>
          <w:color w:val="231F20"/>
        </w:rPr>
        <w:t>HSS</w:t>
      </w:r>
      <w:r>
        <w:rPr>
          <w:color w:val="231F20"/>
          <w:spacing w:val="-25"/>
        </w:rPr>
        <w:t xml:space="preserve"> </w:t>
      </w:r>
      <w:r>
        <w:rPr>
          <w:color w:val="231F20"/>
        </w:rPr>
        <w:t>requirements</w:t>
      </w:r>
      <w:r>
        <w:rPr>
          <w:color w:val="231F20"/>
          <w:spacing w:val="-25"/>
        </w:rPr>
        <w:t xml:space="preserve"> </w:t>
      </w:r>
      <w:r>
        <w:rPr>
          <w:color w:val="231F20"/>
        </w:rPr>
        <w:t>for</w:t>
      </w:r>
      <w:r>
        <w:rPr>
          <w:color w:val="231F20"/>
          <w:spacing w:val="-25"/>
        </w:rPr>
        <w:t xml:space="preserve"> </w:t>
      </w:r>
      <w:r>
        <w:rPr>
          <w:color w:val="231F20"/>
        </w:rPr>
        <w:t>service</w:t>
      </w:r>
      <w:r>
        <w:rPr>
          <w:color w:val="231F20"/>
          <w:spacing w:val="-25"/>
        </w:rPr>
        <w:t xml:space="preserve"> </w:t>
      </w:r>
      <w:r>
        <w:rPr>
          <w:color w:val="231F20"/>
        </w:rPr>
        <w:t>delivery.</w:t>
      </w:r>
    </w:p>
    <w:p w14:paraId="3EDA74E3" w14:textId="77777777" w:rsidR="009948F1" w:rsidRDefault="009948F1">
      <w:pPr>
        <w:pStyle w:val="BodyText"/>
        <w:spacing w:before="7"/>
        <w:rPr>
          <w:sz w:val="23"/>
        </w:rPr>
      </w:pPr>
    </w:p>
    <w:p w14:paraId="5DC2F8B6" w14:textId="77777777" w:rsidR="009948F1" w:rsidRDefault="00BC0563">
      <w:pPr>
        <w:pStyle w:val="BodyText"/>
        <w:spacing w:line="244" w:lineRule="auto"/>
        <w:ind w:left="156" w:right="183"/>
        <w:jc w:val="both"/>
      </w:pPr>
      <w:r>
        <w:rPr>
          <w:color w:val="231F20"/>
        </w:rPr>
        <w:t xml:space="preserve">Specifically, for HR, frontline health workers were scaled as followed Medical Doctor- 168%, Nurses-1219%, and Midwives-100% to guarantee skilled staff adequacy, while additional </w:t>
      </w:r>
      <w:r>
        <w:rPr>
          <w:color w:val="231F20"/>
          <w:spacing w:val="-4"/>
        </w:rPr>
        <w:t xml:space="preserve">7%- </w:t>
      </w:r>
      <w:r>
        <w:rPr>
          <w:color w:val="231F20"/>
        </w:rPr>
        <w:t>health</w:t>
      </w:r>
      <w:r>
        <w:rPr>
          <w:color w:val="231F20"/>
          <w:spacing w:val="-5"/>
        </w:rPr>
        <w:t xml:space="preserve"> </w:t>
      </w:r>
      <w:r>
        <w:rPr>
          <w:color w:val="231F20"/>
        </w:rPr>
        <w:t>facilities</w:t>
      </w:r>
      <w:r>
        <w:rPr>
          <w:color w:val="231F20"/>
          <w:spacing w:val="-4"/>
        </w:rPr>
        <w:t xml:space="preserve"> </w:t>
      </w:r>
      <w:r>
        <w:rPr>
          <w:color w:val="231F20"/>
        </w:rPr>
        <w:t>were</w:t>
      </w:r>
      <w:r>
        <w:rPr>
          <w:color w:val="231F20"/>
          <w:spacing w:val="-4"/>
        </w:rPr>
        <w:t xml:space="preserve"> </w:t>
      </w:r>
      <w:r>
        <w:rPr>
          <w:color w:val="231F20"/>
        </w:rPr>
        <w:t>planned</w:t>
      </w:r>
      <w:r>
        <w:rPr>
          <w:color w:val="231F20"/>
          <w:spacing w:val="-4"/>
        </w:rPr>
        <w:t xml:space="preserve"> </w:t>
      </w:r>
      <w:r>
        <w:rPr>
          <w:color w:val="231F20"/>
        </w:rPr>
        <w:t>to</w:t>
      </w:r>
      <w:r>
        <w:rPr>
          <w:color w:val="231F20"/>
          <w:spacing w:val="-4"/>
        </w:rPr>
        <w:t xml:space="preserve"> </w:t>
      </w:r>
      <w:r>
        <w:rPr>
          <w:color w:val="231F20"/>
        </w:rPr>
        <w:t>cater</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increased</w:t>
      </w:r>
      <w:r>
        <w:rPr>
          <w:color w:val="231F20"/>
          <w:spacing w:val="-4"/>
        </w:rPr>
        <w:t xml:space="preserve"> </w:t>
      </w:r>
      <w:r>
        <w:rPr>
          <w:color w:val="231F20"/>
        </w:rPr>
        <w:t>volume</w:t>
      </w:r>
      <w:r>
        <w:rPr>
          <w:color w:val="231F20"/>
          <w:spacing w:val="-4"/>
        </w:rPr>
        <w:t xml:space="preserve"> </w:t>
      </w:r>
      <w:r>
        <w:rPr>
          <w:color w:val="231F20"/>
        </w:rPr>
        <w:t>of</w:t>
      </w:r>
      <w:r>
        <w:rPr>
          <w:color w:val="231F20"/>
          <w:spacing w:val="-5"/>
        </w:rPr>
        <w:t xml:space="preserve"> </w:t>
      </w:r>
      <w:r>
        <w:rPr>
          <w:color w:val="231F20"/>
        </w:rPr>
        <w:t>in-patient</w:t>
      </w:r>
      <w:r>
        <w:rPr>
          <w:color w:val="231F20"/>
          <w:spacing w:val="-4"/>
        </w:rPr>
        <w:t xml:space="preserve"> </w:t>
      </w:r>
      <w:r>
        <w:rPr>
          <w:color w:val="231F20"/>
        </w:rPr>
        <w:t>days</w:t>
      </w:r>
      <w:r>
        <w:rPr>
          <w:color w:val="231F20"/>
          <w:spacing w:val="-4"/>
        </w:rPr>
        <w:t xml:space="preserve"> </w:t>
      </w:r>
      <w:r>
        <w:rPr>
          <w:color w:val="231F20"/>
        </w:rPr>
        <w:t>and</w:t>
      </w:r>
      <w:r>
        <w:rPr>
          <w:color w:val="231F20"/>
          <w:spacing w:val="-4"/>
        </w:rPr>
        <w:t xml:space="preserve"> </w:t>
      </w:r>
      <w:r>
        <w:rPr>
          <w:color w:val="231F20"/>
        </w:rPr>
        <w:t xml:space="preserve">Out-patient visits associated with this policy profile. As </w:t>
      </w:r>
      <w:proofErr w:type="spellStart"/>
      <w:r>
        <w:rPr>
          <w:color w:val="231F20"/>
        </w:rPr>
        <w:t>programme</w:t>
      </w:r>
      <w:proofErr w:type="spellEnd"/>
      <w:r>
        <w:rPr>
          <w:color w:val="231F20"/>
        </w:rPr>
        <w:t xml:space="preserve"> management investments the following activities</w:t>
      </w:r>
      <w:r>
        <w:rPr>
          <w:color w:val="231F20"/>
          <w:spacing w:val="-8"/>
        </w:rPr>
        <w:t xml:space="preserve"> </w:t>
      </w:r>
      <w:r>
        <w:rPr>
          <w:color w:val="231F20"/>
        </w:rPr>
        <w:t>were</w:t>
      </w:r>
      <w:r>
        <w:rPr>
          <w:color w:val="231F20"/>
          <w:spacing w:val="-7"/>
        </w:rPr>
        <w:t xml:space="preserve"> </w:t>
      </w:r>
      <w:r>
        <w:rPr>
          <w:color w:val="231F20"/>
        </w:rPr>
        <w:t>planned;</w:t>
      </w:r>
      <w:r>
        <w:rPr>
          <w:color w:val="231F20"/>
          <w:spacing w:val="-6"/>
        </w:rPr>
        <w:t xml:space="preserve"> </w:t>
      </w:r>
      <w:r>
        <w:rPr>
          <w:color w:val="231F20"/>
        </w:rPr>
        <w:t>in-service</w:t>
      </w:r>
      <w:r>
        <w:rPr>
          <w:color w:val="231F20"/>
          <w:spacing w:val="-7"/>
        </w:rPr>
        <w:t xml:space="preserve"> </w:t>
      </w:r>
      <w:r>
        <w:rPr>
          <w:color w:val="231F20"/>
        </w:rPr>
        <w:t>refresher</w:t>
      </w:r>
      <w:r>
        <w:rPr>
          <w:color w:val="231F20"/>
          <w:spacing w:val="-7"/>
        </w:rPr>
        <w:t xml:space="preserve"> </w:t>
      </w:r>
      <w:r>
        <w:rPr>
          <w:color w:val="231F20"/>
        </w:rPr>
        <w:t>training,</w:t>
      </w:r>
      <w:r>
        <w:rPr>
          <w:color w:val="231F20"/>
          <w:spacing w:val="-6"/>
        </w:rPr>
        <w:t xml:space="preserve"> </w:t>
      </w:r>
      <w:r>
        <w:rPr>
          <w:color w:val="231F20"/>
        </w:rPr>
        <w:t>supportive</w:t>
      </w:r>
      <w:r>
        <w:rPr>
          <w:color w:val="231F20"/>
          <w:spacing w:val="-7"/>
        </w:rPr>
        <w:t xml:space="preserve"> </w:t>
      </w:r>
      <w:r>
        <w:rPr>
          <w:color w:val="231F20"/>
        </w:rPr>
        <w:t>supervisory</w:t>
      </w:r>
      <w:r>
        <w:rPr>
          <w:color w:val="231F20"/>
          <w:spacing w:val="-6"/>
        </w:rPr>
        <w:t xml:space="preserve"> </w:t>
      </w:r>
      <w:r>
        <w:rPr>
          <w:color w:val="231F20"/>
        </w:rPr>
        <w:t>visits,</w:t>
      </w:r>
      <w:r>
        <w:rPr>
          <w:color w:val="231F20"/>
          <w:spacing w:val="-7"/>
        </w:rPr>
        <w:t xml:space="preserve"> </w:t>
      </w:r>
      <w:r>
        <w:rPr>
          <w:color w:val="231F20"/>
        </w:rPr>
        <w:t>data</w:t>
      </w:r>
      <w:r>
        <w:rPr>
          <w:color w:val="231F20"/>
          <w:spacing w:val="-8"/>
        </w:rPr>
        <w:t xml:space="preserve"> </w:t>
      </w:r>
      <w:r>
        <w:rPr>
          <w:color w:val="231F20"/>
        </w:rPr>
        <w:t>collection and</w:t>
      </w:r>
      <w:r>
        <w:rPr>
          <w:color w:val="231F20"/>
          <w:spacing w:val="-20"/>
        </w:rPr>
        <w:t xml:space="preserve"> </w:t>
      </w:r>
      <w:r>
        <w:rPr>
          <w:color w:val="231F20"/>
        </w:rPr>
        <w:t>coordination</w:t>
      </w:r>
      <w:r>
        <w:rPr>
          <w:color w:val="231F20"/>
          <w:spacing w:val="-18"/>
        </w:rPr>
        <w:t xml:space="preserve"> </w:t>
      </w:r>
      <w:r>
        <w:rPr>
          <w:color w:val="231F20"/>
        </w:rPr>
        <w:t>meeting,</w:t>
      </w:r>
      <w:r>
        <w:rPr>
          <w:color w:val="231F20"/>
          <w:spacing w:val="-19"/>
        </w:rPr>
        <w:t xml:space="preserve"> </w:t>
      </w:r>
      <w:r>
        <w:rPr>
          <w:color w:val="231F20"/>
        </w:rPr>
        <w:t>etc.,</w:t>
      </w:r>
      <w:r>
        <w:rPr>
          <w:color w:val="231F20"/>
          <w:spacing w:val="-19"/>
        </w:rPr>
        <w:t xml:space="preserve"> </w:t>
      </w:r>
      <w:r>
        <w:rPr>
          <w:color w:val="231F20"/>
        </w:rPr>
        <w:t>to</w:t>
      </w:r>
      <w:r>
        <w:rPr>
          <w:color w:val="231F20"/>
          <w:spacing w:val="-19"/>
        </w:rPr>
        <w:t xml:space="preserve"> </w:t>
      </w:r>
      <w:r>
        <w:rPr>
          <w:color w:val="231F20"/>
        </w:rPr>
        <w:t>ensure</w:t>
      </w:r>
      <w:r>
        <w:rPr>
          <w:color w:val="231F20"/>
          <w:spacing w:val="-18"/>
        </w:rPr>
        <w:t xml:space="preserve"> </w:t>
      </w:r>
      <w:r>
        <w:rPr>
          <w:color w:val="231F20"/>
        </w:rPr>
        <w:t>optimal</w:t>
      </w:r>
      <w:r>
        <w:rPr>
          <w:color w:val="231F20"/>
          <w:spacing w:val="-18"/>
        </w:rPr>
        <w:t xml:space="preserve"> </w:t>
      </w:r>
      <w:r>
        <w:rPr>
          <w:color w:val="231F20"/>
        </w:rPr>
        <w:t>quality</w:t>
      </w:r>
      <w:r>
        <w:rPr>
          <w:color w:val="231F20"/>
          <w:spacing w:val="-18"/>
        </w:rPr>
        <w:t xml:space="preserve"> </w:t>
      </w:r>
      <w:r>
        <w:rPr>
          <w:color w:val="231F20"/>
        </w:rPr>
        <w:t>in</w:t>
      </w:r>
      <w:r>
        <w:rPr>
          <w:color w:val="231F20"/>
          <w:spacing w:val="-20"/>
        </w:rPr>
        <w:t xml:space="preserve"> </w:t>
      </w:r>
      <w:r>
        <w:rPr>
          <w:color w:val="231F20"/>
        </w:rPr>
        <w:t>service</w:t>
      </w:r>
      <w:r>
        <w:rPr>
          <w:color w:val="231F20"/>
          <w:spacing w:val="-19"/>
        </w:rPr>
        <w:t xml:space="preserve"> </w:t>
      </w:r>
      <w:r>
        <w:rPr>
          <w:color w:val="231F20"/>
        </w:rPr>
        <w:t>provision.</w:t>
      </w:r>
      <w:r>
        <w:rPr>
          <w:color w:val="231F20"/>
          <w:spacing w:val="-18"/>
        </w:rPr>
        <w:t xml:space="preserve"> </w:t>
      </w:r>
      <w:r>
        <w:rPr>
          <w:color w:val="231F20"/>
        </w:rPr>
        <w:t>Funds</w:t>
      </w:r>
      <w:r>
        <w:rPr>
          <w:color w:val="231F20"/>
          <w:spacing w:val="-19"/>
        </w:rPr>
        <w:t xml:space="preserve"> </w:t>
      </w:r>
      <w:r>
        <w:rPr>
          <w:color w:val="231F20"/>
        </w:rPr>
        <w:t>were</w:t>
      </w:r>
      <w:r>
        <w:rPr>
          <w:color w:val="231F20"/>
          <w:spacing w:val="-19"/>
        </w:rPr>
        <w:t xml:space="preserve"> </w:t>
      </w:r>
      <w:r>
        <w:rPr>
          <w:color w:val="231F20"/>
        </w:rPr>
        <w:t xml:space="preserve">allocated to strengthen the referral systems including the capacity of the secondary and tertiary health </w:t>
      </w:r>
      <w:r>
        <w:rPr>
          <w:color w:val="231F20"/>
          <w:spacing w:val="-7"/>
        </w:rPr>
        <w:t xml:space="preserve">to </w:t>
      </w:r>
      <w:r>
        <w:rPr>
          <w:color w:val="231F20"/>
        </w:rPr>
        <w:t xml:space="preserve">support referral process. It is premised on these assumptions, that the Aggressive scenario </w:t>
      </w:r>
      <w:r>
        <w:rPr>
          <w:color w:val="231F20"/>
          <w:spacing w:val="-5"/>
        </w:rPr>
        <w:t xml:space="preserve">has </w:t>
      </w:r>
      <w:r>
        <w:rPr>
          <w:color w:val="231F20"/>
        </w:rPr>
        <w:t>been</w:t>
      </w:r>
      <w:r>
        <w:rPr>
          <w:color w:val="231F20"/>
          <w:spacing w:val="-25"/>
        </w:rPr>
        <w:t xml:space="preserve"> </w:t>
      </w:r>
      <w:r>
        <w:rPr>
          <w:color w:val="231F20"/>
        </w:rPr>
        <w:t>modelled</w:t>
      </w:r>
      <w:r>
        <w:rPr>
          <w:color w:val="231F20"/>
          <w:spacing w:val="-26"/>
        </w:rPr>
        <w:t xml:space="preserve"> </w:t>
      </w:r>
      <w:r>
        <w:rPr>
          <w:color w:val="231F20"/>
        </w:rPr>
        <w:t>to</w:t>
      </w:r>
      <w:r>
        <w:rPr>
          <w:color w:val="231F20"/>
          <w:spacing w:val="-25"/>
        </w:rPr>
        <w:t xml:space="preserve"> </w:t>
      </w:r>
      <w:r>
        <w:rPr>
          <w:color w:val="231F20"/>
        </w:rPr>
        <w:t>achieve</w:t>
      </w:r>
      <w:r>
        <w:rPr>
          <w:color w:val="231F20"/>
          <w:spacing w:val="-25"/>
        </w:rPr>
        <w:t xml:space="preserve"> </w:t>
      </w:r>
      <w:r>
        <w:rPr>
          <w:color w:val="231F20"/>
        </w:rPr>
        <w:t>the</w:t>
      </w:r>
      <w:r>
        <w:rPr>
          <w:color w:val="231F20"/>
          <w:spacing w:val="-25"/>
        </w:rPr>
        <w:t xml:space="preserve"> </w:t>
      </w:r>
      <w:r>
        <w:rPr>
          <w:color w:val="231F20"/>
        </w:rPr>
        <w:t>following</w:t>
      </w:r>
      <w:r>
        <w:rPr>
          <w:color w:val="231F20"/>
          <w:spacing w:val="-25"/>
        </w:rPr>
        <w:t xml:space="preserve"> </w:t>
      </w:r>
      <w:r>
        <w:rPr>
          <w:color w:val="231F20"/>
        </w:rPr>
        <w:t>mortality</w:t>
      </w:r>
      <w:r>
        <w:rPr>
          <w:color w:val="231F20"/>
          <w:spacing w:val="-25"/>
        </w:rPr>
        <w:t xml:space="preserve"> </w:t>
      </w:r>
      <w:r>
        <w:rPr>
          <w:color w:val="231F20"/>
        </w:rPr>
        <w:t>outcomes.</w:t>
      </w:r>
    </w:p>
    <w:p w14:paraId="1BCC4C90" w14:textId="77777777" w:rsidR="009948F1" w:rsidRDefault="009948F1">
      <w:pPr>
        <w:pStyle w:val="BodyText"/>
        <w:spacing w:before="3"/>
        <w:rPr>
          <w:sz w:val="23"/>
        </w:rPr>
      </w:pPr>
    </w:p>
    <w:p w14:paraId="07A2001D" w14:textId="77777777" w:rsidR="009948F1" w:rsidRDefault="00BC0563">
      <w:pPr>
        <w:pStyle w:val="ListParagraph"/>
        <w:numPr>
          <w:ilvl w:val="0"/>
          <w:numId w:val="252"/>
        </w:numPr>
        <w:tabs>
          <w:tab w:val="left" w:pos="1235"/>
          <w:tab w:val="left" w:pos="1237"/>
        </w:tabs>
        <w:spacing w:line="244" w:lineRule="auto"/>
        <w:ind w:right="183" w:firstLine="0"/>
        <w:jc w:val="left"/>
      </w:pPr>
      <w:r>
        <w:rPr>
          <w:color w:val="231F20"/>
        </w:rPr>
        <w:t xml:space="preserve">MMR reduction from 576/100,000 to 462/100,000 Live Birth representing a </w:t>
      </w:r>
      <w:r>
        <w:rPr>
          <w:color w:val="231F20"/>
          <w:spacing w:val="-4"/>
        </w:rPr>
        <w:t xml:space="preserve">20% </w:t>
      </w:r>
      <w:r>
        <w:rPr>
          <w:color w:val="231F20"/>
        </w:rPr>
        <w:t>reduction</w:t>
      </w:r>
      <w:r>
        <w:rPr>
          <w:color w:val="231F20"/>
          <w:spacing w:val="-25"/>
        </w:rPr>
        <w:t xml:space="preserve"> </w:t>
      </w:r>
      <w:r>
        <w:rPr>
          <w:color w:val="231F20"/>
        </w:rPr>
        <w:t>towards</w:t>
      </w:r>
      <w:r>
        <w:rPr>
          <w:color w:val="231F20"/>
          <w:spacing w:val="36"/>
        </w:rPr>
        <w:t xml:space="preserve"> </w:t>
      </w:r>
      <w:r>
        <w:rPr>
          <w:color w:val="231F20"/>
        </w:rPr>
        <w:t>the</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rPr>
        <w:t>global</w:t>
      </w:r>
      <w:r>
        <w:rPr>
          <w:color w:val="231F20"/>
          <w:spacing w:val="-25"/>
        </w:rPr>
        <w:t xml:space="preserve"> </w:t>
      </w:r>
      <w:r>
        <w:rPr>
          <w:color w:val="231F20"/>
        </w:rPr>
        <w:t>target</w:t>
      </w:r>
    </w:p>
    <w:p w14:paraId="6CEB1D2B" w14:textId="77777777" w:rsidR="009948F1" w:rsidRDefault="00BC0563">
      <w:pPr>
        <w:pStyle w:val="ListParagraph"/>
        <w:numPr>
          <w:ilvl w:val="0"/>
          <w:numId w:val="252"/>
        </w:numPr>
        <w:tabs>
          <w:tab w:val="left" w:pos="875"/>
          <w:tab w:val="left" w:pos="876"/>
        </w:tabs>
        <w:spacing w:line="242" w:lineRule="auto"/>
        <w:ind w:left="875" w:right="183" w:hanging="360"/>
        <w:jc w:val="left"/>
      </w:pPr>
      <w:r>
        <w:rPr>
          <w:color w:val="231F20"/>
        </w:rPr>
        <w:t>NMR</w:t>
      </w:r>
      <w:r>
        <w:rPr>
          <w:color w:val="231F20"/>
          <w:spacing w:val="-13"/>
        </w:rPr>
        <w:t xml:space="preserve"> </w:t>
      </w:r>
      <w:r>
        <w:rPr>
          <w:color w:val="231F20"/>
        </w:rPr>
        <w:t>reduction</w:t>
      </w:r>
      <w:r>
        <w:rPr>
          <w:color w:val="231F20"/>
          <w:spacing w:val="-12"/>
        </w:rPr>
        <w:t xml:space="preserve"> </w:t>
      </w:r>
      <w:r>
        <w:rPr>
          <w:color w:val="231F20"/>
        </w:rPr>
        <w:t>from</w:t>
      </w:r>
      <w:r>
        <w:rPr>
          <w:color w:val="231F20"/>
          <w:spacing w:val="-13"/>
        </w:rPr>
        <w:t xml:space="preserve"> </w:t>
      </w:r>
      <w:r>
        <w:rPr>
          <w:color w:val="231F20"/>
        </w:rPr>
        <w:t>27/1,000</w:t>
      </w:r>
      <w:r>
        <w:rPr>
          <w:color w:val="231F20"/>
          <w:spacing w:val="-12"/>
        </w:rPr>
        <w:t xml:space="preserve"> </w:t>
      </w:r>
      <w:r>
        <w:rPr>
          <w:color w:val="231F20"/>
        </w:rPr>
        <w:t>to</w:t>
      </w:r>
      <w:r>
        <w:rPr>
          <w:color w:val="231F20"/>
          <w:spacing w:val="-13"/>
        </w:rPr>
        <w:t xml:space="preserve"> </w:t>
      </w:r>
      <w:r>
        <w:rPr>
          <w:color w:val="231F20"/>
        </w:rPr>
        <w:t>24/1,000</w:t>
      </w:r>
      <w:r>
        <w:rPr>
          <w:color w:val="231F20"/>
          <w:spacing w:val="-12"/>
        </w:rPr>
        <w:t xml:space="preserve"> </w:t>
      </w:r>
      <w:r>
        <w:rPr>
          <w:color w:val="231F20"/>
        </w:rPr>
        <w:t>Live</w:t>
      </w:r>
      <w:r>
        <w:rPr>
          <w:color w:val="231F20"/>
          <w:spacing w:val="-12"/>
        </w:rPr>
        <w:t xml:space="preserve"> </w:t>
      </w:r>
      <w:r>
        <w:rPr>
          <w:color w:val="231F20"/>
        </w:rPr>
        <w:t>Birth</w:t>
      </w:r>
      <w:r>
        <w:rPr>
          <w:color w:val="231F20"/>
          <w:spacing w:val="-12"/>
        </w:rPr>
        <w:t xml:space="preserve"> </w:t>
      </w:r>
      <w:r>
        <w:rPr>
          <w:color w:val="231F20"/>
        </w:rPr>
        <w:t>representing</w:t>
      </w:r>
      <w:r>
        <w:rPr>
          <w:color w:val="231F20"/>
          <w:spacing w:val="-12"/>
        </w:rPr>
        <w:t xml:space="preserve"> </w:t>
      </w:r>
      <w:r>
        <w:rPr>
          <w:color w:val="231F20"/>
        </w:rPr>
        <w:t>a</w:t>
      </w:r>
      <w:r>
        <w:rPr>
          <w:color w:val="231F20"/>
          <w:spacing w:val="-12"/>
        </w:rPr>
        <w:t xml:space="preserve"> </w:t>
      </w:r>
      <w:r>
        <w:rPr>
          <w:color w:val="231F20"/>
          <w:spacing w:val="-6"/>
        </w:rPr>
        <w:t>11%</w:t>
      </w:r>
      <w:r>
        <w:rPr>
          <w:color w:val="231F20"/>
          <w:spacing w:val="-12"/>
        </w:rPr>
        <w:t xml:space="preserve"> </w:t>
      </w:r>
      <w:r>
        <w:rPr>
          <w:color w:val="231F20"/>
        </w:rPr>
        <w:t>reduction</w:t>
      </w:r>
      <w:r>
        <w:rPr>
          <w:color w:val="231F20"/>
          <w:spacing w:val="-12"/>
        </w:rPr>
        <w:t xml:space="preserve"> </w:t>
      </w:r>
      <w:r>
        <w:rPr>
          <w:color w:val="231F20"/>
        </w:rPr>
        <w:t>towards the</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rPr>
        <w:t>global</w:t>
      </w:r>
      <w:r>
        <w:rPr>
          <w:color w:val="231F20"/>
          <w:spacing w:val="-25"/>
        </w:rPr>
        <w:t xml:space="preserve"> </w:t>
      </w:r>
      <w:r>
        <w:rPr>
          <w:color w:val="231F20"/>
        </w:rPr>
        <w:t>target</w:t>
      </w:r>
    </w:p>
    <w:p w14:paraId="12CAE326" w14:textId="77777777" w:rsidR="009948F1" w:rsidRDefault="00BC0563">
      <w:pPr>
        <w:pStyle w:val="ListParagraph"/>
        <w:numPr>
          <w:ilvl w:val="0"/>
          <w:numId w:val="252"/>
        </w:numPr>
        <w:tabs>
          <w:tab w:val="left" w:pos="875"/>
          <w:tab w:val="left" w:pos="876"/>
        </w:tabs>
        <w:spacing w:line="242" w:lineRule="auto"/>
        <w:ind w:left="875" w:right="183" w:hanging="360"/>
        <w:jc w:val="left"/>
      </w:pPr>
      <w:r>
        <w:rPr>
          <w:color w:val="231F20"/>
        </w:rPr>
        <w:t>U-5MR reduction from 58/1,000 to 42/1,000 Live Birth representing a 26% reduction towards</w:t>
      </w:r>
      <w:r>
        <w:rPr>
          <w:color w:val="231F20"/>
          <w:spacing w:val="-25"/>
        </w:rPr>
        <w:t xml:space="preserve"> </w:t>
      </w:r>
      <w:r>
        <w:rPr>
          <w:color w:val="231F20"/>
        </w:rPr>
        <w:t>the</w:t>
      </w:r>
      <w:r>
        <w:rPr>
          <w:color w:val="231F20"/>
          <w:spacing w:val="-25"/>
        </w:rPr>
        <w:t xml:space="preserve"> </w:t>
      </w:r>
      <w:r>
        <w:rPr>
          <w:color w:val="231F20"/>
        </w:rPr>
        <w:t>attainment</w:t>
      </w:r>
      <w:r>
        <w:rPr>
          <w:color w:val="231F20"/>
          <w:spacing w:val="-25"/>
        </w:rPr>
        <w:t xml:space="preserve"> </w:t>
      </w:r>
      <w:r>
        <w:rPr>
          <w:color w:val="231F20"/>
        </w:rPr>
        <w:t>of</w:t>
      </w:r>
      <w:r>
        <w:rPr>
          <w:color w:val="231F20"/>
          <w:spacing w:val="-25"/>
        </w:rPr>
        <w:t xml:space="preserve"> </w:t>
      </w:r>
      <w:r>
        <w:rPr>
          <w:color w:val="231F20"/>
        </w:rPr>
        <w:t>global</w:t>
      </w:r>
      <w:r>
        <w:rPr>
          <w:color w:val="231F20"/>
          <w:spacing w:val="-26"/>
        </w:rPr>
        <w:t xml:space="preserve"> </w:t>
      </w:r>
      <w:r>
        <w:rPr>
          <w:color w:val="231F20"/>
        </w:rPr>
        <w:t>target.</w:t>
      </w:r>
    </w:p>
    <w:p w14:paraId="0C78EB45" w14:textId="77777777" w:rsidR="009948F1" w:rsidRDefault="009948F1">
      <w:pPr>
        <w:pStyle w:val="BodyText"/>
        <w:spacing w:before="6"/>
        <w:rPr>
          <w:sz w:val="20"/>
        </w:rPr>
      </w:pPr>
    </w:p>
    <w:p w14:paraId="15E66DF7" w14:textId="77777777" w:rsidR="009948F1" w:rsidRDefault="00BC0563">
      <w:pPr>
        <w:pStyle w:val="Heading7"/>
        <w:numPr>
          <w:ilvl w:val="1"/>
          <w:numId w:val="255"/>
        </w:numPr>
        <w:tabs>
          <w:tab w:val="left" w:pos="875"/>
          <w:tab w:val="left" w:pos="876"/>
        </w:tabs>
        <w:spacing w:before="1"/>
        <w:ind w:left="875" w:hanging="721"/>
      </w:pPr>
      <w:bookmarkStart w:id="122" w:name="_TOC_250009"/>
      <w:r>
        <w:rPr>
          <w:color w:val="231F20"/>
        </w:rPr>
        <w:t>Costs</w:t>
      </w:r>
      <w:r>
        <w:rPr>
          <w:color w:val="231F20"/>
          <w:spacing w:val="-25"/>
        </w:rPr>
        <w:t xml:space="preserve"> </w:t>
      </w:r>
      <w:r>
        <w:rPr>
          <w:color w:val="231F20"/>
        </w:rPr>
        <w:t>and</w:t>
      </w:r>
      <w:r>
        <w:rPr>
          <w:color w:val="231F20"/>
          <w:spacing w:val="-25"/>
        </w:rPr>
        <w:t xml:space="preserve"> </w:t>
      </w:r>
      <w:r>
        <w:rPr>
          <w:color w:val="231F20"/>
        </w:rPr>
        <w:t>Impact</w:t>
      </w:r>
      <w:r>
        <w:rPr>
          <w:color w:val="231F20"/>
          <w:spacing w:val="-25"/>
        </w:rPr>
        <w:t xml:space="preserve"> </w:t>
      </w:r>
      <w:r>
        <w:rPr>
          <w:color w:val="231F20"/>
        </w:rPr>
        <w:t>of</w:t>
      </w:r>
      <w:r>
        <w:rPr>
          <w:color w:val="231F20"/>
          <w:spacing w:val="-25"/>
        </w:rPr>
        <w:t xml:space="preserve"> </w:t>
      </w:r>
      <w:bookmarkEnd w:id="122"/>
      <w:r>
        <w:rPr>
          <w:color w:val="231F20"/>
        </w:rPr>
        <w:t>Scaling-up</w:t>
      </w:r>
    </w:p>
    <w:p w14:paraId="4415638A" w14:textId="77777777" w:rsidR="009948F1" w:rsidRDefault="009948F1">
      <w:pPr>
        <w:pStyle w:val="BodyText"/>
        <w:spacing w:before="6"/>
        <w:rPr>
          <w:b/>
          <w:sz w:val="24"/>
        </w:rPr>
      </w:pPr>
    </w:p>
    <w:p w14:paraId="03987190" w14:textId="77777777" w:rsidR="009948F1" w:rsidRDefault="00BC0563">
      <w:pPr>
        <w:pStyle w:val="BodyText"/>
        <w:spacing w:before="1" w:line="235" w:lineRule="auto"/>
        <w:ind w:left="155" w:right="183"/>
        <w:jc w:val="both"/>
      </w:pPr>
      <w:r>
        <w:rPr>
          <w:color w:val="231F20"/>
        </w:rPr>
        <w:t xml:space="preserve">The Rivers SHDP II 2018-2022 was estimated at a total cost </w:t>
      </w:r>
      <w:proofErr w:type="gramStart"/>
      <w:r>
        <w:rPr>
          <w:color w:val="231F20"/>
        </w:rPr>
        <w:t>of ?</w:t>
      </w:r>
      <w:proofErr w:type="gramEnd"/>
      <w:r>
        <w:rPr>
          <w:color w:val="231F20"/>
        </w:rPr>
        <w:t xml:space="preserve"> 282.686b</w:t>
      </w:r>
      <w:proofErr w:type="gramStart"/>
      <w:r>
        <w:rPr>
          <w:color w:val="231F20"/>
        </w:rPr>
        <w:t>, ?</w:t>
      </w:r>
      <w:proofErr w:type="gramEnd"/>
      <w:r>
        <w:rPr>
          <w:color w:val="231F20"/>
        </w:rPr>
        <w:t xml:space="preserve"> 220.189b </w:t>
      </w:r>
      <w:proofErr w:type="gramStart"/>
      <w:r>
        <w:rPr>
          <w:color w:val="231F20"/>
        </w:rPr>
        <w:t>and ?</w:t>
      </w:r>
      <w:proofErr w:type="gramEnd"/>
      <w:r>
        <w:rPr>
          <w:color w:val="231F20"/>
        </w:rPr>
        <w:t xml:space="preserve"> 150.655b</w:t>
      </w:r>
      <w:r>
        <w:rPr>
          <w:color w:val="231F20"/>
          <w:spacing w:val="-15"/>
        </w:rPr>
        <w:t xml:space="preserve"> </w:t>
      </w:r>
      <w:r>
        <w:rPr>
          <w:color w:val="231F20"/>
        </w:rPr>
        <w:t>across</w:t>
      </w:r>
      <w:r>
        <w:rPr>
          <w:color w:val="231F20"/>
          <w:spacing w:val="-14"/>
        </w:rPr>
        <w:t xml:space="preserve"> </w:t>
      </w:r>
      <w:r>
        <w:rPr>
          <w:color w:val="231F20"/>
        </w:rPr>
        <w:t>the</w:t>
      </w:r>
      <w:r>
        <w:rPr>
          <w:color w:val="231F20"/>
          <w:spacing w:val="-14"/>
        </w:rPr>
        <w:t xml:space="preserve"> </w:t>
      </w:r>
      <w:r>
        <w:rPr>
          <w:color w:val="231F20"/>
        </w:rPr>
        <w:t>three</w:t>
      </w:r>
      <w:r>
        <w:rPr>
          <w:color w:val="231F20"/>
          <w:spacing w:val="-14"/>
        </w:rPr>
        <w:t xml:space="preserve"> </w:t>
      </w:r>
      <w:r>
        <w:rPr>
          <w:color w:val="231F20"/>
        </w:rPr>
        <w:t>scenarios;</w:t>
      </w:r>
      <w:r>
        <w:rPr>
          <w:color w:val="231F20"/>
          <w:spacing w:val="-15"/>
        </w:rPr>
        <w:t xml:space="preserve"> </w:t>
      </w:r>
      <w:r>
        <w:rPr>
          <w:color w:val="231F20"/>
        </w:rPr>
        <w:t>Essential</w:t>
      </w:r>
      <w:r>
        <w:rPr>
          <w:color w:val="231F20"/>
          <w:spacing w:val="-14"/>
        </w:rPr>
        <w:t xml:space="preserve"> </w:t>
      </w:r>
      <w:r>
        <w:rPr>
          <w:color w:val="231F20"/>
        </w:rPr>
        <w:t>Package</w:t>
      </w:r>
      <w:r>
        <w:rPr>
          <w:color w:val="231F20"/>
          <w:spacing w:val="-26"/>
        </w:rPr>
        <w:t xml:space="preserve"> </w:t>
      </w:r>
      <w:r>
        <w:rPr>
          <w:color w:val="231F20"/>
        </w:rPr>
        <w:t>Aggressive</w:t>
      </w:r>
      <w:r>
        <w:rPr>
          <w:color w:val="231F20"/>
          <w:spacing w:val="-14"/>
        </w:rPr>
        <w:t xml:space="preserve"> </w:t>
      </w:r>
      <w:r>
        <w:rPr>
          <w:color w:val="231F20"/>
        </w:rPr>
        <w:t>Scale-up,</w:t>
      </w:r>
      <w:r>
        <w:rPr>
          <w:color w:val="231F20"/>
          <w:spacing w:val="-14"/>
        </w:rPr>
        <w:t xml:space="preserve"> </w:t>
      </w:r>
      <w:r>
        <w:rPr>
          <w:color w:val="231F20"/>
        </w:rPr>
        <w:t>Essential</w:t>
      </w:r>
      <w:r>
        <w:rPr>
          <w:color w:val="231F20"/>
          <w:spacing w:val="-15"/>
        </w:rPr>
        <w:t xml:space="preserve"> </w:t>
      </w:r>
      <w:r>
        <w:rPr>
          <w:color w:val="231F20"/>
        </w:rPr>
        <w:t>Package Moderate</w:t>
      </w:r>
      <w:r>
        <w:rPr>
          <w:color w:val="231F20"/>
          <w:spacing w:val="-5"/>
        </w:rPr>
        <w:t xml:space="preserve"> </w:t>
      </w:r>
      <w:r>
        <w:rPr>
          <w:color w:val="231F20"/>
        </w:rPr>
        <w:t>Scale-up</w:t>
      </w:r>
      <w:r>
        <w:rPr>
          <w:color w:val="231F20"/>
          <w:spacing w:val="-5"/>
        </w:rPr>
        <w:t xml:space="preserve"> </w:t>
      </w:r>
      <w:r>
        <w:rPr>
          <w:color w:val="231F20"/>
        </w:rPr>
        <w:t>Scenario</w:t>
      </w:r>
      <w:r>
        <w:rPr>
          <w:color w:val="231F20"/>
          <w:spacing w:val="-5"/>
        </w:rPr>
        <w:t xml:space="preserve"> </w:t>
      </w:r>
      <w:r>
        <w:rPr>
          <w:color w:val="231F20"/>
        </w:rPr>
        <w:t>and</w:t>
      </w:r>
      <w:r>
        <w:rPr>
          <w:color w:val="231F20"/>
          <w:spacing w:val="-5"/>
        </w:rPr>
        <w:t xml:space="preserve"> </w:t>
      </w:r>
      <w:r>
        <w:rPr>
          <w:color w:val="231F20"/>
        </w:rPr>
        <w:t>Baseline</w:t>
      </w:r>
      <w:r>
        <w:rPr>
          <w:color w:val="231F20"/>
          <w:spacing w:val="-5"/>
        </w:rPr>
        <w:t xml:space="preserve"> </w:t>
      </w:r>
      <w:r>
        <w:rPr>
          <w:color w:val="231F20"/>
        </w:rPr>
        <w:t>respectively</w:t>
      </w:r>
      <w:r>
        <w:rPr>
          <w:color w:val="231F20"/>
          <w:spacing w:val="-5"/>
        </w:rPr>
        <w:t xml:space="preserve"> </w:t>
      </w:r>
      <w:r>
        <w:rPr>
          <w:color w:val="231F20"/>
        </w:rPr>
        <w:t>over</w:t>
      </w:r>
      <w:r>
        <w:rPr>
          <w:color w:val="231F20"/>
          <w:spacing w:val="-5"/>
        </w:rPr>
        <w:t xml:space="preserve"> </w:t>
      </w:r>
      <w:r>
        <w:rPr>
          <w:color w:val="231F20"/>
        </w:rPr>
        <w:t>the</w:t>
      </w:r>
      <w:r>
        <w:rPr>
          <w:color w:val="231F20"/>
          <w:spacing w:val="-5"/>
        </w:rPr>
        <w:t xml:space="preserve"> </w:t>
      </w:r>
      <w:r>
        <w:rPr>
          <w:color w:val="231F20"/>
        </w:rPr>
        <w:t>five-year</w:t>
      </w:r>
      <w:r>
        <w:rPr>
          <w:color w:val="231F20"/>
          <w:spacing w:val="-5"/>
        </w:rPr>
        <w:t xml:space="preserve"> </w:t>
      </w:r>
      <w:r>
        <w:rPr>
          <w:color w:val="231F20"/>
        </w:rPr>
        <w:t>period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plan.</w:t>
      </w:r>
      <w:r>
        <w:rPr>
          <w:color w:val="231F20"/>
          <w:spacing w:val="-5"/>
        </w:rPr>
        <w:t xml:space="preserve"> </w:t>
      </w:r>
      <w:r>
        <w:rPr>
          <w:color w:val="231F20"/>
          <w:spacing w:val="-4"/>
        </w:rPr>
        <w:t xml:space="preserve">With </w:t>
      </w:r>
      <w:r>
        <w:rPr>
          <w:color w:val="231F20"/>
        </w:rPr>
        <w:t>the</w:t>
      </w:r>
      <w:r>
        <w:rPr>
          <w:color w:val="231F20"/>
          <w:spacing w:val="-12"/>
        </w:rPr>
        <w:t xml:space="preserve"> </w:t>
      </w:r>
      <w:r>
        <w:rPr>
          <w:color w:val="231F20"/>
        </w:rPr>
        <w:t>mean</w:t>
      </w:r>
      <w:r>
        <w:rPr>
          <w:color w:val="231F20"/>
          <w:spacing w:val="-11"/>
        </w:rPr>
        <w:t xml:space="preserve"> </w:t>
      </w:r>
      <w:r>
        <w:rPr>
          <w:color w:val="231F20"/>
        </w:rPr>
        <w:t>cost</w:t>
      </w:r>
      <w:r>
        <w:rPr>
          <w:color w:val="231F20"/>
          <w:spacing w:val="-11"/>
        </w:rPr>
        <w:t xml:space="preserve"> </w:t>
      </w:r>
      <w:r>
        <w:rPr>
          <w:color w:val="231F20"/>
        </w:rPr>
        <w:t>per</w:t>
      </w:r>
      <w:r>
        <w:rPr>
          <w:color w:val="231F20"/>
          <w:spacing w:val="-11"/>
        </w:rPr>
        <w:t xml:space="preserve"> </w:t>
      </w:r>
      <w:r>
        <w:rPr>
          <w:color w:val="231F20"/>
        </w:rPr>
        <w:t>capita</w:t>
      </w:r>
      <w:r>
        <w:rPr>
          <w:color w:val="231F20"/>
          <w:spacing w:val="-11"/>
        </w:rPr>
        <w:t xml:space="preserve"> </w:t>
      </w:r>
      <w:r>
        <w:rPr>
          <w:color w:val="231F20"/>
        </w:rPr>
        <w:t>for</w:t>
      </w:r>
      <w:r>
        <w:rPr>
          <w:color w:val="231F20"/>
          <w:spacing w:val="-11"/>
        </w:rPr>
        <w:t xml:space="preserve"> </w:t>
      </w:r>
      <w:r>
        <w:rPr>
          <w:color w:val="231F20"/>
        </w:rPr>
        <w:t>each</w:t>
      </w:r>
      <w:r>
        <w:rPr>
          <w:color w:val="231F20"/>
          <w:spacing w:val="-11"/>
        </w:rPr>
        <w:t xml:space="preserve"> </w:t>
      </w:r>
      <w:r>
        <w:rPr>
          <w:color w:val="231F20"/>
        </w:rPr>
        <w:t>scenario</w:t>
      </w:r>
      <w:r>
        <w:rPr>
          <w:color w:val="231F20"/>
          <w:spacing w:val="-11"/>
        </w:rPr>
        <w:t xml:space="preserve"> </w:t>
      </w:r>
      <w:r>
        <w:rPr>
          <w:color w:val="231F20"/>
        </w:rPr>
        <w:t>estimated</w:t>
      </w:r>
      <w:r>
        <w:rPr>
          <w:color w:val="231F20"/>
          <w:spacing w:val="-11"/>
        </w:rPr>
        <w:t xml:space="preserve"> </w:t>
      </w:r>
      <w:r>
        <w:rPr>
          <w:color w:val="231F20"/>
        </w:rPr>
        <w:t>at</w:t>
      </w:r>
      <w:r>
        <w:rPr>
          <w:color w:val="231F20"/>
          <w:spacing w:val="-11"/>
        </w:rPr>
        <w:t xml:space="preserve"> </w:t>
      </w:r>
      <w:r>
        <w:rPr>
          <w:color w:val="231F20"/>
        </w:rPr>
        <w:t>$</w:t>
      </w:r>
      <w:r>
        <w:rPr>
          <w:color w:val="231F20"/>
          <w:spacing w:val="-11"/>
        </w:rPr>
        <w:t xml:space="preserve"> </w:t>
      </w:r>
      <w:r>
        <w:rPr>
          <w:color w:val="231F20"/>
        </w:rPr>
        <w:t>40,</w:t>
      </w:r>
      <w:r>
        <w:rPr>
          <w:color w:val="231F20"/>
          <w:spacing w:val="-11"/>
        </w:rPr>
        <w:t xml:space="preserve"> </w:t>
      </w:r>
      <w:r>
        <w:rPr>
          <w:color w:val="231F20"/>
        </w:rPr>
        <w:t>$</w:t>
      </w:r>
      <w:r>
        <w:rPr>
          <w:color w:val="231F20"/>
          <w:spacing w:val="-11"/>
        </w:rPr>
        <w:t xml:space="preserve"> </w:t>
      </w:r>
      <w:r>
        <w:rPr>
          <w:color w:val="231F20"/>
        </w:rPr>
        <w:t>31</w:t>
      </w:r>
      <w:r>
        <w:rPr>
          <w:color w:val="231F20"/>
          <w:spacing w:val="-11"/>
        </w:rPr>
        <w:t xml:space="preserve"> </w:t>
      </w:r>
      <w:r>
        <w:rPr>
          <w:color w:val="231F20"/>
        </w:rPr>
        <w:t>and</w:t>
      </w:r>
      <w:r>
        <w:rPr>
          <w:color w:val="231F20"/>
          <w:spacing w:val="-11"/>
        </w:rPr>
        <w:t xml:space="preserve"> </w:t>
      </w:r>
      <w:r>
        <w:rPr>
          <w:color w:val="231F20"/>
        </w:rPr>
        <w:t>$</w:t>
      </w:r>
      <w:r>
        <w:rPr>
          <w:color w:val="231F20"/>
          <w:spacing w:val="-12"/>
        </w:rPr>
        <w:t xml:space="preserve"> </w:t>
      </w:r>
      <w:r>
        <w:rPr>
          <w:color w:val="231F20"/>
        </w:rPr>
        <w:t>22</w:t>
      </w:r>
      <w:r>
        <w:rPr>
          <w:color w:val="231F20"/>
          <w:spacing w:val="-11"/>
        </w:rPr>
        <w:t xml:space="preserve"> </w:t>
      </w:r>
      <w:r>
        <w:rPr>
          <w:color w:val="231F20"/>
        </w:rPr>
        <w:t>for</w:t>
      </w:r>
      <w:r>
        <w:rPr>
          <w:color w:val="231F20"/>
          <w:spacing w:val="-11"/>
        </w:rPr>
        <w:t xml:space="preserve"> </w:t>
      </w:r>
      <w:r>
        <w:rPr>
          <w:color w:val="231F20"/>
        </w:rPr>
        <w:t>Essential</w:t>
      </w:r>
      <w:r>
        <w:rPr>
          <w:color w:val="231F20"/>
          <w:spacing w:val="-11"/>
        </w:rPr>
        <w:t xml:space="preserve"> </w:t>
      </w:r>
      <w:r>
        <w:rPr>
          <w:color w:val="231F20"/>
        </w:rPr>
        <w:t xml:space="preserve">Package Aggressive Scale-up, Essential Package Moderate Scale-up Scenario and Baseline </w:t>
      </w:r>
      <w:r>
        <w:rPr>
          <w:color w:val="231F20"/>
          <w:spacing w:val="-4"/>
        </w:rPr>
        <w:t xml:space="preserve">respectively. </w:t>
      </w:r>
      <w:r>
        <w:rPr>
          <w:color w:val="231F20"/>
        </w:rPr>
        <w:t>See</w:t>
      </w:r>
      <w:r>
        <w:rPr>
          <w:color w:val="231F20"/>
          <w:spacing w:val="-26"/>
        </w:rPr>
        <w:t xml:space="preserve"> </w:t>
      </w:r>
      <w:r>
        <w:rPr>
          <w:color w:val="231F20"/>
        </w:rPr>
        <w:t>table</w:t>
      </w:r>
      <w:r>
        <w:rPr>
          <w:color w:val="231F20"/>
          <w:spacing w:val="-25"/>
        </w:rPr>
        <w:t xml:space="preserve"> </w:t>
      </w:r>
      <w:r>
        <w:rPr>
          <w:color w:val="231F20"/>
        </w:rPr>
        <w:t>7</w:t>
      </w:r>
      <w:r>
        <w:rPr>
          <w:color w:val="231F20"/>
          <w:spacing w:val="-25"/>
        </w:rPr>
        <w:t xml:space="preserve"> </w:t>
      </w:r>
      <w:r>
        <w:rPr>
          <w:color w:val="231F20"/>
        </w:rPr>
        <w:t>below.</w:t>
      </w:r>
    </w:p>
    <w:p w14:paraId="0A495F48" w14:textId="77777777" w:rsidR="009948F1" w:rsidRDefault="009948F1">
      <w:pPr>
        <w:spacing w:line="235" w:lineRule="auto"/>
        <w:jc w:val="both"/>
        <w:sectPr w:rsidR="009948F1">
          <w:pgSz w:w="11910" w:h="16840"/>
          <w:pgMar w:top="1300" w:right="1080" w:bottom="1420" w:left="1120" w:header="0" w:footer="1235" w:gutter="0"/>
          <w:cols w:space="720"/>
        </w:sectPr>
      </w:pPr>
    </w:p>
    <w:p w14:paraId="3BD908F3" w14:textId="77777777" w:rsidR="009948F1" w:rsidRDefault="00BC0563">
      <w:pPr>
        <w:spacing w:before="24"/>
        <w:ind w:left="253"/>
        <w:rPr>
          <w:b/>
          <w:i/>
          <w:sz w:val="20"/>
        </w:rPr>
      </w:pPr>
      <w:bookmarkStart w:id="123" w:name="Page_102"/>
      <w:bookmarkEnd w:id="123"/>
      <w:r>
        <w:rPr>
          <w:b/>
          <w:i/>
          <w:color w:val="231F20"/>
          <w:sz w:val="20"/>
        </w:rPr>
        <w:lastRenderedPageBreak/>
        <w:t>Table 7: Total Cost of Rivers SSHDP II 2018-2022by Scenarios, in Million (</w:t>
      </w:r>
      <w:proofErr w:type="gramStart"/>
      <w:r>
        <w:rPr>
          <w:rFonts w:ascii="BABEL Unicode"/>
          <w:b/>
          <w:color w:val="231F20"/>
          <w:sz w:val="20"/>
        </w:rPr>
        <w:t xml:space="preserve">? </w:t>
      </w:r>
      <w:r>
        <w:rPr>
          <w:b/>
          <w:i/>
          <w:color w:val="231F20"/>
          <w:sz w:val="20"/>
        </w:rPr>
        <w:t>)</w:t>
      </w:r>
      <w:proofErr w:type="gramEnd"/>
    </w:p>
    <w:p w14:paraId="10392A2C" w14:textId="77777777" w:rsidR="009948F1" w:rsidRDefault="009948F1">
      <w:pPr>
        <w:pStyle w:val="BodyText"/>
        <w:spacing w:before="10"/>
        <w:rPr>
          <w:b/>
          <w:i/>
          <w:sz w:val="20"/>
        </w:rPr>
      </w:pPr>
    </w:p>
    <w:tbl>
      <w:tblPr>
        <w:tblW w:w="0" w:type="auto"/>
        <w:tblInd w:w="23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341"/>
        <w:gridCol w:w="1064"/>
        <w:gridCol w:w="1067"/>
        <w:gridCol w:w="1064"/>
        <w:gridCol w:w="1067"/>
        <w:gridCol w:w="1067"/>
        <w:gridCol w:w="1213"/>
        <w:gridCol w:w="1367"/>
      </w:tblGrid>
      <w:tr w:rsidR="009948F1" w14:paraId="162E6578" w14:textId="77777777">
        <w:trPr>
          <w:trHeight w:val="250"/>
        </w:trPr>
        <w:tc>
          <w:tcPr>
            <w:tcW w:w="7883" w:type="dxa"/>
            <w:gridSpan w:val="7"/>
          </w:tcPr>
          <w:p w14:paraId="7C138FEE" w14:textId="77777777" w:rsidR="009948F1" w:rsidRDefault="00BC0563">
            <w:pPr>
              <w:pStyle w:val="TableParagraph"/>
              <w:spacing w:line="230" w:lineRule="exact"/>
              <w:ind w:left="110"/>
              <w:rPr>
                <w:sz w:val="21"/>
              </w:rPr>
            </w:pPr>
            <w:r>
              <w:rPr>
                <w:color w:val="231F20"/>
                <w:sz w:val="21"/>
              </w:rPr>
              <w:t>Total Cost of Rivers SSHDP II 2017 -2021 by Scenarios, in Million (</w:t>
            </w:r>
            <w:r>
              <w:rPr>
                <w:rFonts w:ascii="BABEL Unicode"/>
                <w:b/>
                <w:color w:val="231F20"/>
                <w:sz w:val="21"/>
              </w:rPr>
              <w:t xml:space="preserve">? </w:t>
            </w:r>
            <w:r>
              <w:rPr>
                <w:color w:val="231F20"/>
                <w:sz w:val="21"/>
              </w:rPr>
              <w:t>)</w:t>
            </w:r>
          </w:p>
        </w:tc>
        <w:tc>
          <w:tcPr>
            <w:tcW w:w="1367" w:type="dxa"/>
            <w:vMerge w:val="restart"/>
            <w:shd w:val="clear" w:color="auto" w:fill="F4CEB3"/>
          </w:tcPr>
          <w:p w14:paraId="15859546" w14:textId="77777777" w:rsidR="009948F1" w:rsidRDefault="009948F1">
            <w:pPr>
              <w:pStyle w:val="TableParagraph"/>
              <w:spacing w:before="1"/>
              <w:rPr>
                <w:b/>
                <w:i/>
              </w:rPr>
            </w:pPr>
          </w:p>
          <w:p w14:paraId="40BC62FD" w14:textId="77777777" w:rsidR="009948F1" w:rsidRDefault="00BC0563">
            <w:pPr>
              <w:pStyle w:val="TableParagraph"/>
              <w:ind w:left="105"/>
              <w:rPr>
                <w:b/>
                <w:sz w:val="21"/>
              </w:rPr>
            </w:pPr>
            <w:r>
              <w:rPr>
                <w:b/>
                <w:color w:val="231F20"/>
                <w:w w:val="95"/>
                <w:sz w:val="21"/>
              </w:rPr>
              <w:t>Mean Cost Per Capita</w:t>
            </w:r>
          </w:p>
        </w:tc>
      </w:tr>
      <w:tr w:rsidR="009948F1" w14:paraId="7CC8B419" w14:textId="77777777">
        <w:trPr>
          <w:trHeight w:val="725"/>
        </w:trPr>
        <w:tc>
          <w:tcPr>
            <w:tcW w:w="1341" w:type="dxa"/>
            <w:shd w:val="clear" w:color="auto" w:fill="FAE62A"/>
          </w:tcPr>
          <w:p w14:paraId="0CF7731B" w14:textId="77777777" w:rsidR="009948F1" w:rsidRDefault="00BC0563">
            <w:pPr>
              <w:pStyle w:val="TableParagraph"/>
              <w:spacing w:line="236" w:lineRule="exact"/>
              <w:ind w:left="110"/>
              <w:rPr>
                <w:b/>
                <w:sz w:val="21"/>
              </w:rPr>
            </w:pPr>
            <w:r>
              <w:rPr>
                <w:b/>
                <w:color w:val="231F20"/>
                <w:sz w:val="21"/>
              </w:rPr>
              <w:t>SSHDP II</w:t>
            </w:r>
          </w:p>
          <w:p w14:paraId="0C07835E" w14:textId="77777777" w:rsidR="009948F1" w:rsidRDefault="00BC0563">
            <w:pPr>
              <w:pStyle w:val="TableParagraph"/>
              <w:spacing w:before="1" w:line="240" w:lineRule="atLeast"/>
              <w:ind w:left="110"/>
              <w:rPr>
                <w:b/>
                <w:sz w:val="21"/>
              </w:rPr>
            </w:pPr>
            <w:r>
              <w:rPr>
                <w:b/>
                <w:color w:val="231F20"/>
                <w:sz w:val="21"/>
              </w:rPr>
              <w:t xml:space="preserve">Policy </w:t>
            </w:r>
            <w:r>
              <w:rPr>
                <w:b/>
                <w:color w:val="231F20"/>
                <w:w w:val="90"/>
                <w:sz w:val="21"/>
              </w:rPr>
              <w:t>Scenarios</w:t>
            </w:r>
          </w:p>
        </w:tc>
        <w:tc>
          <w:tcPr>
            <w:tcW w:w="1064" w:type="dxa"/>
            <w:tcBorders>
              <w:right w:val="single" w:sz="6" w:space="0" w:color="231F20"/>
            </w:tcBorders>
            <w:shd w:val="clear" w:color="auto" w:fill="FAE62A"/>
          </w:tcPr>
          <w:p w14:paraId="1747553D" w14:textId="77777777" w:rsidR="009948F1" w:rsidRDefault="009948F1">
            <w:pPr>
              <w:pStyle w:val="TableParagraph"/>
              <w:spacing w:before="7"/>
              <w:rPr>
                <w:b/>
                <w:i/>
                <w:sz w:val="20"/>
              </w:rPr>
            </w:pPr>
          </w:p>
          <w:p w14:paraId="269DBF75" w14:textId="77777777" w:rsidR="009948F1" w:rsidRDefault="00BC0563">
            <w:pPr>
              <w:pStyle w:val="TableParagraph"/>
              <w:ind w:left="110"/>
              <w:rPr>
                <w:b/>
                <w:sz w:val="21"/>
              </w:rPr>
            </w:pPr>
            <w:r>
              <w:rPr>
                <w:b/>
                <w:color w:val="231F20"/>
                <w:sz w:val="21"/>
              </w:rPr>
              <w:t>2018</w:t>
            </w:r>
          </w:p>
        </w:tc>
        <w:tc>
          <w:tcPr>
            <w:tcW w:w="1067" w:type="dxa"/>
            <w:tcBorders>
              <w:left w:val="single" w:sz="6" w:space="0" w:color="231F20"/>
              <w:right w:val="single" w:sz="6" w:space="0" w:color="231F20"/>
            </w:tcBorders>
            <w:shd w:val="clear" w:color="auto" w:fill="FAE62A"/>
          </w:tcPr>
          <w:p w14:paraId="0CC6AB1F" w14:textId="77777777" w:rsidR="009948F1" w:rsidRDefault="009948F1">
            <w:pPr>
              <w:pStyle w:val="TableParagraph"/>
              <w:spacing w:before="7"/>
              <w:rPr>
                <w:b/>
                <w:i/>
                <w:sz w:val="20"/>
              </w:rPr>
            </w:pPr>
          </w:p>
          <w:p w14:paraId="3C9F7FE8" w14:textId="77777777" w:rsidR="009948F1" w:rsidRDefault="00BC0563">
            <w:pPr>
              <w:pStyle w:val="TableParagraph"/>
              <w:ind w:left="117"/>
              <w:rPr>
                <w:b/>
                <w:sz w:val="21"/>
              </w:rPr>
            </w:pPr>
            <w:r>
              <w:rPr>
                <w:b/>
                <w:color w:val="231F20"/>
                <w:sz w:val="21"/>
              </w:rPr>
              <w:t>2019</w:t>
            </w:r>
          </w:p>
        </w:tc>
        <w:tc>
          <w:tcPr>
            <w:tcW w:w="1064" w:type="dxa"/>
            <w:tcBorders>
              <w:left w:val="single" w:sz="6" w:space="0" w:color="231F20"/>
              <w:right w:val="single" w:sz="6" w:space="0" w:color="231F20"/>
            </w:tcBorders>
            <w:shd w:val="clear" w:color="auto" w:fill="FAE62A"/>
          </w:tcPr>
          <w:p w14:paraId="4DFAB13C" w14:textId="77777777" w:rsidR="009948F1" w:rsidRDefault="009948F1">
            <w:pPr>
              <w:pStyle w:val="TableParagraph"/>
              <w:spacing w:before="7"/>
              <w:rPr>
                <w:b/>
                <w:i/>
                <w:sz w:val="20"/>
              </w:rPr>
            </w:pPr>
          </w:p>
          <w:p w14:paraId="256E2F5A" w14:textId="77777777" w:rsidR="009948F1" w:rsidRDefault="00BC0563">
            <w:pPr>
              <w:pStyle w:val="TableParagraph"/>
              <w:ind w:left="116"/>
              <w:rPr>
                <w:b/>
                <w:sz w:val="21"/>
              </w:rPr>
            </w:pPr>
            <w:r>
              <w:rPr>
                <w:b/>
                <w:color w:val="231F20"/>
                <w:sz w:val="21"/>
              </w:rPr>
              <w:t>2020</w:t>
            </w:r>
          </w:p>
        </w:tc>
        <w:tc>
          <w:tcPr>
            <w:tcW w:w="1067" w:type="dxa"/>
            <w:tcBorders>
              <w:left w:val="single" w:sz="6" w:space="0" w:color="231F20"/>
              <w:right w:val="single" w:sz="6" w:space="0" w:color="231F20"/>
            </w:tcBorders>
            <w:shd w:val="clear" w:color="auto" w:fill="FAE62A"/>
          </w:tcPr>
          <w:p w14:paraId="0F1B6065" w14:textId="77777777" w:rsidR="009948F1" w:rsidRDefault="009948F1">
            <w:pPr>
              <w:pStyle w:val="TableParagraph"/>
              <w:spacing w:before="7"/>
              <w:rPr>
                <w:b/>
                <w:i/>
                <w:sz w:val="20"/>
              </w:rPr>
            </w:pPr>
          </w:p>
          <w:p w14:paraId="284DCE39" w14:textId="77777777" w:rsidR="009948F1" w:rsidRDefault="00BC0563">
            <w:pPr>
              <w:pStyle w:val="TableParagraph"/>
              <w:ind w:left="115"/>
              <w:rPr>
                <w:b/>
                <w:sz w:val="21"/>
              </w:rPr>
            </w:pPr>
            <w:r>
              <w:rPr>
                <w:b/>
                <w:color w:val="231F20"/>
                <w:sz w:val="21"/>
              </w:rPr>
              <w:t>2021</w:t>
            </w:r>
          </w:p>
        </w:tc>
        <w:tc>
          <w:tcPr>
            <w:tcW w:w="1067" w:type="dxa"/>
            <w:tcBorders>
              <w:left w:val="single" w:sz="6" w:space="0" w:color="231F20"/>
              <w:right w:val="single" w:sz="6" w:space="0" w:color="231F20"/>
            </w:tcBorders>
            <w:shd w:val="clear" w:color="auto" w:fill="FAE62A"/>
          </w:tcPr>
          <w:p w14:paraId="4BED17C7" w14:textId="77777777" w:rsidR="009948F1" w:rsidRDefault="009948F1">
            <w:pPr>
              <w:pStyle w:val="TableParagraph"/>
              <w:spacing w:before="7"/>
              <w:rPr>
                <w:b/>
                <w:i/>
                <w:sz w:val="20"/>
              </w:rPr>
            </w:pPr>
          </w:p>
          <w:p w14:paraId="61B61A89" w14:textId="77777777" w:rsidR="009948F1" w:rsidRDefault="00BC0563">
            <w:pPr>
              <w:pStyle w:val="TableParagraph"/>
              <w:ind w:left="114"/>
              <w:rPr>
                <w:b/>
                <w:sz w:val="21"/>
              </w:rPr>
            </w:pPr>
            <w:r>
              <w:rPr>
                <w:b/>
                <w:color w:val="231F20"/>
                <w:sz w:val="21"/>
              </w:rPr>
              <w:t>2022</w:t>
            </w:r>
          </w:p>
        </w:tc>
        <w:tc>
          <w:tcPr>
            <w:tcW w:w="1213" w:type="dxa"/>
            <w:tcBorders>
              <w:left w:val="single" w:sz="6" w:space="0" w:color="231F20"/>
            </w:tcBorders>
            <w:shd w:val="clear" w:color="auto" w:fill="FAE62A"/>
          </w:tcPr>
          <w:p w14:paraId="2224F388" w14:textId="77777777" w:rsidR="009948F1" w:rsidRDefault="009948F1">
            <w:pPr>
              <w:pStyle w:val="TableParagraph"/>
              <w:spacing w:before="7"/>
              <w:rPr>
                <w:b/>
                <w:i/>
                <w:sz w:val="20"/>
              </w:rPr>
            </w:pPr>
          </w:p>
          <w:p w14:paraId="7E9F623F" w14:textId="77777777" w:rsidR="009948F1" w:rsidRDefault="00BC0563">
            <w:pPr>
              <w:pStyle w:val="TableParagraph"/>
              <w:ind w:left="113"/>
              <w:rPr>
                <w:b/>
                <w:sz w:val="21"/>
              </w:rPr>
            </w:pPr>
            <w:r>
              <w:rPr>
                <w:b/>
                <w:color w:val="231F20"/>
                <w:sz w:val="21"/>
              </w:rPr>
              <w:t>TOTAL</w:t>
            </w:r>
          </w:p>
        </w:tc>
        <w:tc>
          <w:tcPr>
            <w:tcW w:w="1367" w:type="dxa"/>
            <w:vMerge/>
            <w:tcBorders>
              <w:top w:val="nil"/>
            </w:tcBorders>
            <w:shd w:val="clear" w:color="auto" w:fill="F4CEB3"/>
          </w:tcPr>
          <w:p w14:paraId="438913C8" w14:textId="77777777" w:rsidR="009948F1" w:rsidRDefault="009948F1">
            <w:pPr>
              <w:rPr>
                <w:sz w:val="2"/>
                <w:szCs w:val="2"/>
              </w:rPr>
            </w:pPr>
          </w:p>
        </w:tc>
      </w:tr>
      <w:tr w:rsidR="009948F1" w14:paraId="0DEDD937" w14:textId="77777777">
        <w:trPr>
          <w:trHeight w:val="1457"/>
        </w:trPr>
        <w:tc>
          <w:tcPr>
            <w:tcW w:w="1341" w:type="dxa"/>
            <w:shd w:val="clear" w:color="auto" w:fill="ECEBEA"/>
          </w:tcPr>
          <w:p w14:paraId="3AB2181F" w14:textId="77777777" w:rsidR="009948F1" w:rsidRDefault="00BC0563">
            <w:pPr>
              <w:pStyle w:val="TableParagraph"/>
              <w:ind w:left="110"/>
              <w:rPr>
                <w:sz w:val="21"/>
              </w:rPr>
            </w:pPr>
            <w:r>
              <w:rPr>
                <w:color w:val="231F20"/>
                <w:sz w:val="21"/>
              </w:rPr>
              <w:t>SSHDP II</w:t>
            </w:r>
          </w:p>
          <w:p w14:paraId="5D542C9C" w14:textId="77777777" w:rsidR="009948F1" w:rsidRDefault="00BC0563">
            <w:pPr>
              <w:pStyle w:val="TableParagraph"/>
              <w:spacing w:before="2" w:line="242" w:lineRule="auto"/>
              <w:ind w:left="110" w:right="245"/>
              <w:rPr>
                <w:sz w:val="21"/>
              </w:rPr>
            </w:pPr>
            <w:r>
              <w:rPr>
                <w:color w:val="231F20"/>
                <w:sz w:val="21"/>
              </w:rPr>
              <w:t xml:space="preserve">Essential Package </w:t>
            </w:r>
            <w:r>
              <w:rPr>
                <w:color w:val="231F20"/>
                <w:w w:val="90"/>
                <w:sz w:val="21"/>
              </w:rPr>
              <w:t xml:space="preserve">Aggressive </w:t>
            </w:r>
            <w:r>
              <w:rPr>
                <w:color w:val="231F20"/>
                <w:sz w:val="21"/>
              </w:rPr>
              <w:t>Scale-up</w:t>
            </w:r>
          </w:p>
          <w:p w14:paraId="0140443A" w14:textId="77777777" w:rsidR="009948F1" w:rsidRDefault="00BC0563">
            <w:pPr>
              <w:pStyle w:val="TableParagraph"/>
              <w:spacing w:line="219" w:lineRule="exact"/>
              <w:ind w:left="110"/>
              <w:rPr>
                <w:sz w:val="21"/>
              </w:rPr>
            </w:pPr>
            <w:r>
              <w:rPr>
                <w:color w:val="231F20"/>
                <w:sz w:val="21"/>
              </w:rPr>
              <w:t>Scenario</w:t>
            </w:r>
          </w:p>
        </w:tc>
        <w:tc>
          <w:tcPr>
            <w:tcW w:w="1064" w:type="dxa"/>
            <w:tcBorders>
              <w:right w:val="single" w:sz="6" w:space="0" w:color="231F20"/>
            </w:tcBorders>
          </w:tcPr>
          <w:p w14:paraId="19861999" w14:textId="77777777" w:rsidR="009948F1" w:rsidRDefault="009948F1">
            <w:pPr>
              <w:pStyle w:val="TableParagraph"/>
              <w:rPr>
                <w:b/>
                <w:i/>
                <w:sz w:val="20"/>
              </w:rPr>
            </w:pPr>
          </w:p>
          <w:p w14:paraId="4890C2B9" w14:textId="77777777" w:rsidR="009948F1" w:rsidRDefault="009948F1">
            <w:pPr>
              <w:pStyle w:val="TableParagraph"/>
              <w:spacing w:before="7"/>
              <w:rPr>
                <w:b/>
                <w:i/>
                <w:sz w:val="20"/>
              </w:rPr>
            </w:pPr>
          </w:p>
          <w:p w14:paraId="748B04C3" w14:textId="77777777" w:rsidR="009948F1" w:rsidRDefault="00BC0563">
            <w:pPr>
              <w:pStyle w:val="TableParagraph"/>
              <w:spacing w:line="271" w:lineRule="exact"/>
              <w:ind w:left="110"/>
              <w:rPr>
                <w:rFonts w:ascii="BABEL Unicode"/>
                <w:b/>
                <w:sz w:val="21"/>
              </w:rPr>
            </w:pPr>
            <w:r>
              <w:rPr>
                <w:rFonts w:ascii="BABEL Unicode"/>
                <w:b/>
                <w:color w:val="231F20"/>
                <w:w w:val="91"/>
                <w:sz w:val="21"/>
              </w:rPr>
              <w:t>?</w:t>
            </w:r>
          </w:p>
          <w:p w14:paraId="1442B55D" w14:textId="77777777" w:rsidR="009948F1" w:rsidRDefault="00BC0563">
            <w:pPr>
              <w:pStyle w:val="TableParagraph"/>
              <w:spacing w:line="232" w:lineRule="exact"/>
              <w:ind w:left="110"/>
              <w:rPr>
                <w:b/>
                <w:sz w:val="21"/>
              </w:rPr>
            </w:pPr>
            <w:r>
              <w:rPr>
                <w:b/>
                <w:color w:val="231F20"/>
                <w:sz w:val="21"/>
              </w:rPr>
              <w:t>42,343M</w:t>
            </w:r>
          </w:p>
        </w:tc>
        <w:tc>
          <w:tcPr>
            <w:tcW w:w="1067" w:type="dxa"/>
            <w:tcBorders>
              <w:left w:val="single" w:sz="6" w:space="0" w:color="231F20"/>
              <w:right w:val="single" w:sz="6" w:space="0" w:color="231F20"/>
            </w:tcBorders>
          </w:tcPr>
          <w:p w14:paraId="5E346276" w14:textId="77777777" w:rsidR="009948F1" w:rsidRDefault="009948F1">
            <w:pPr>
              <w:pStyle w:val="TableParagraph"/>
              <w:rPr>
                <w:b/>
                <w:i/>
                <w:sz w:val="20"/>
              </w:rPr>
            </w:pPr>
          </w:p>
          <w:p w14:paraId="1AB2331E" w14:textId="77777777" w:rsidR="009948F1" w:rsidRDefault="009948F1">
            <w:pPr>
              <w:pStyle w:val="TableParagraph"/>
              <w:spacing w:before="3"/>
              <w:rPr>
                <w:b/>
                <w:i/>
              </w:rPr>
            </w:pPr>
          </w:p>
          <w:p w14:paraId="415FCF1B" w14:textId="77777777" w:rsidR="009948F1" w:rsidRDefault="00BC0563">
            <w:pPr>
              <w:pStyle w:val="TableParagraph"/>
              <w:ind w:left="117"/>
              <w:rPr>
                <w:b/>
                <w:sz w:val="21"/>
              </w:rPr>
            </w:pPr>
            <w:r>
              <w:rPr>
                <w:b/>
                <w:color w:val="231F20"/>
                <w:w w:val="69"/>
                <w:sz w:val="21"/>
              </w:rPr>
              <w:t>?</w:t>
            </w:r>
          </w:p>
          <w:p w14:paraId="1399040C" w14:textId="77777777" w:rsidR="009948F1" w:rsidRDefault="00BC0563">
            <w:pPr>
              <w:pStyle w:val="TableParagraph"/>
              <w:spacing w:before="2"/>
              <w:ind w:left="117"/>
              <w:rPr>
                <w:b/>
                <w:sz w:val="21"/>
              </w:rPr>
            </w:pPr>
            <w:r>
              <w:rPr>
                <w:b/>
                <w:color w:val="231F20"/>
                <w:sz w:val="21"/>
              </w:rPr>
              <w:t>52,780M</w:t>
            </w:r>
          </w:p>
        </w:tc>
        <w:tc>
          <w:tcPr>
            <w:tcW w:w="1064" w:type="dxa"/>
            <w:tcBorders>
              <w:left w:val="single" w:sz="6" w:space="0" w:color="231F20"/>
              <w:right w:val="single" w:sz="6" w:space="0" w:color="231F20"/>
            </w:tcBorders>
          </w:tcPr>
          <w:p w14:paraId="703CED8A" w14:textId="77777777" w:rsidR="009948F1" w:rsidRDefault="009948F1">
            <w:pPr>
              <w:pStyle w:val="TableParagraph"/>
              <w:rPr>
                <w:b/>
                <w:i/>
                <w:sz w:val="20"/>
              </w:rPr>
            </w:pPr>
          </w:p>
          <w:p w14:paraId="6C71B546" w14:textId="77777777" w:rsidR="009948F1" w:rsidRDefault="009948F1">
            <w:pPr>
              <w:pStyle w:val="TableParagraph"/>
              <w:spacing w:before="3"/>
              <w:rPr>
                <w:b/>
                <w:i/>
              </w:rPr>
            </w:pPr>
          </w:p>
          <w:p w14:paraId="61443F3B" w14:textId="77777777" w:rsidR="009948F1" w:rsidRDefault="00BC0563">
            <w:pPr>
              <w:pStyle w:val="TableParagraph"/>
              <w:ind w:left="116"/>
              <w:rPr>
                <w:b/>
                <w:sz w:val="21"/>
              </w:rPr>
            </w:pPr>
            <w:r>
              <w:rPr>
                <w:b/>
                <w:color w:val="231F20"/>
                <w:w w:val="69"/>
                <w:sz w:val="21"/>
              </w:rPr>
              <w:t>?</w:t>
            </w:r>
          </w:p>
          <w:p w14:paraId="123A9D91" w14:textId="77777777" w:rsidR="009948F1" w:rsidRDefault="00BC0563">
            <w:pPr>
              <w:pStyle w:val="TableParagraph"/>
              <w:spacing w:before="2"/>
              <w:ind w:left="116"/>
              <w:rPr>
                <w:b/>
                <w:sz w:val="21"/>
              </w:rPr>
            </w:pPr>
            <w:r>
              <w:rPr>
                <w:b/>
                <w:color w:val="231F20"/>
                <w:sz w:val="21"/>
              </w:rPr>
              <w:t>57,402M</w:t>
            </w:r>
          </w:p>
        </w:tc>
        <w:tc>
          <w:tcPr>
            <w:tcW w:w="1067" w:type="dxa"/>
            <w:tcBorders>
              <w:left w:val="single" w:sz="6" w:space="0" w:color="231F20"/>
              <w:right w:val="single" w:sz="6" w:space="0" w:color="231F20"/>
            </w:tcBorders>
          </w:tcPr>
          <w:p w14:paraId="6DBB8310" w14:textId="77777777" w:rsidR="009948F1" w:rsidRDefault="009948F1">
            <w:pPr>
              <w:pStyle w:val="TableParagraph"/>
              <w:rPr>
                <w:b/>
                <w:i/>
                <w:sz w:val="20"/>
              </w:rPr>
            </w:pPr>
          </w:p>
          <w:p w14:paraId="4D9FF047" w14:textId="77777777" w:rsidR="009948F1" w:rsidRDefault="009948F1">
            <w:pPr>
              <w:pStyle w:val="TableParagraph"/>
              <w:spacing w:before="3"/>
              <w:rPr>
                <w:b/>
                <w:i/>
              </w:rPr>
            </w:pPr>
          </w:p>
          <w:p w14:paraId="0BD1AA30" w14:textId="77777777" w:rsidR="009948F1" w:rsidRDefault="00BC0563">
            <w:pPr>
              <w:pStyle w:val="TableParagraph"/>
              <w:ind w:left="115"/>
              <w:rPr>
                <w:b/>
                <w:sz w:val="21"/>
              </w:rPr>
            </w:pPr>
            <w:r>
              <w:rPr>
                <w:b/>
                <w:color w:val="231F20"/>
                <w:w w:val="69"/>
                <w:sz w:val="21"/>
              </w:rPr>
              <w:t>?</w:t>
            </w:r>
          </w:p>
          <w:p w14:paraId="057AB77A" w14:textId="77777777" w:rsidR="009948F1" w:rsidRDefault="00BC0563">
            <w:pPr>
              <w:pStyle w:val="TableParagraph"/>
              <w:spacing w:before="2"/>
              <w:ind w:left="115"/>
              <w:rPr>
                <w:b/>
                <w:sz w:val="21"/>
              </w:rPr>
            </w:pPr>
            <w:r>
              <w:rPr>
                <w:b/>
                <w:color w:val="231F20"/>
                <w:sz w:val="21"/>
              </w:rPr>
              <w:t>62,868M</w:t>
            </w:r>
          </w:p>
        </w:tc>
        <w:tc>
          <w:tcPr>
            <w:tcW w:w="1067" w:type="dxa"/>
            <w:tcBorders>
              <w:left w:val="single" w:sz="6" w:space="0" w:color="231F20"/>
              <w:right w:val="single" w:sz="6" w:space="0" w:color="231F20"/>
            </w:tcBorders>
          </w:tcPr>
          <w:p w14:paraId="4FDD7419" w14:textId="77777777" w:rsidR="009948F1" w:rsidRDefault="009948F1">
            <w:pPr>
              <w:pStyle w:val="TableParagraph"/>
              <w:rPr>
                <w:b/>
                <w:i/>
                <w:sz w:val="20"/>
              </w:rPr>
            </w:pPr>
          </w:p>
          <w:p w14:paraId="7DBBC66F" w14:textId="77777777" w:rsidR="009948F1" w:rsidRDefault="009948F1">
            <w:pPr>
              <w:pStyle w:val="TableParagraph"/>
              <w:spacing w:before="3"/>
              <w:rPr>
                <w:b/>
                <w:i/>
              </w:rPr>
            </w:pPr>
          </w:p>
          <w:p w14:paraId="27B88AFC" w14:textId="77777777" w:rsidR="009948F1" w:rsidRDefault="00BC0563">
            <w:pPr>
              <w:pStyle w:val="TableParagraph"/>
              <w:ind w:left="114"/>
              <w:rPr>
                <w:b/>
                <w:sz w:val="21"/>
              </w:rPr>
            </w:pPr>
            <w:r>
              <w:rPr>
                <w:b/>
                <w:color w:val="231F20"/>
                <w:w w:val="69"/>
                <w:sz w:val="21"/>
              </w:rPr>
              <w:t>?</w:t>
            </w:r>
          </w:p>
          <w:p w14:paraId="6DB8A65B" w14:textId="77777777" w:rsidR="009948F1" w:rsidRDefault="00BC0563">
            <w:pPr>
              <w:pStyle w:val="TableParagraph"/>
              <w:spacing w:before="2"/>
              <w:ind w:left="114"/>
              <w:rPr>
                <w:b/>
                <w:sz w:val="21"/>
              </w:rPr>
            </w:pPr>
            <w:r>
              <w:rPr>
                <w:b/>
                <w:color w:val="231F20"/>
                <w:sz w:val="21"/>
              </w:rPr>
              <w:t>67,291M</w:t>
            </w:r>
          </w:p>
        </w:tc>
        <w:tc>
          <w:tcPr>
            <w:tcW w:w="1213" w:type="dxa"/>
            <w:tcBorders>
              <w:left w:val="single" w:sz="6" w:space="0" w:color="231F20"/>
            </w:tcBorders>
          </w:tcPr>
          <w:p w14:paraId="5FD2F5D4" w14:textId="77777777" w:rsidR="009948F1" w:rsidRDefault="009948F1">
            <w:pPr>
              <w:pStyle w:val="TableParagraph"/>
              <w:rPr>
                <w:b/>
                <w:i/>
                <w:sz w:val="20"/>
              </w:rPr>
            </w:pPr>
          </w:p>
          <w:p w14:paraId="3B2DC120" w14:textId="77777777" w:rsidR="009948F1" w:rsidRDefault="009948F1">
            <w:pPr>
              <w:pStyle w:val="TableParagraph"/>
              <w:spacing w:before="3"/>
              <w:rPr>
                <w:b/>
                <w:i/>
              </w:rPr>
            </w:pPr>
          </w:p>
          <w:p w14:paraId="6556ACCF" w14:textId="77777777" w:rsidR="009948F1" w:rsidRDefault="00BC0563">
            <w:pPr>
              <w:pStyle w:val="TableParagraph"/>
              <w:ind w:left="113"/>
              <w:rPr>
                <w:b/>
                <w:sz w:val="21"/>
              </w:rPr>
            </w:pPr>
            <w:r>
              <w:rPr>
                <w:b/>
                <w:color w:val="231F20"/>
                <w:w w:val="69"/>
                <w:sz w:val="21"/>
              </w:rPr>
              <w:t>?</w:t>
            </w:r>
          </w:p>
          <w:p w14:paraId="49306647" w14:textId="77777777" w:rsidR="009948F1" w:rsidRDefault="00BC0563">
            <w:pPr>
              <w:pStyle w:val="TableParagraph"/>
              <w:spacing w:before="2"/>
              <w:ind w:left="113"/>
              <w:rPr>
                <w:b/>
                <w:sz w:val="21"/>
              </w:rPr>
            </w:pPr>
            <w:r>
              <w:rPr>
                <w:b/>
                <w:color w:val="231F20"/>
                <w:sz w:val="21"/>
              </w:rPr>
              <w:t>282,686M</w:t>
            </w:r>
          </w:p>
        </w:tc>
        <w:tc>
          <w:tcPr>
            <w:tcW w:w="1367" w:type="dxa"/>
          </w:tcPr>
          <w:p w14:paraId="60D08CE7" w14:textId="77777777" w:rsidR="009948F1" w:rsidRDefault="009948F1">
            <w:pPr>
              <w:pStyle w:val="TableParagraph"/>
              <w:rPr>
                <w:b/>
                <w:i/>
                <w:sz w:val="20"/>
              </w:rPr>
            </w:pPr>
          </w:p>
          <w:p w14:paraId="3BBA7553" w14:textId="77777777" w:rsidR="009948F1" w:rsidRDefault="009948F1">
            <w:pPr>
              <w:pStyle w:val="TableParagraph"/>
              <w:rPr>
                <w:b/>
                <w:i/>
                <w:sz w:val="20"/>
              </w:rPr>
            </w:pPr>
          </w:p>
          <w:p w14:paraId="7B33D135" w14:textId="77777777" w:rsidR="009948F1" w:rsidRDefault="00BC0563">
            <w:pPr>
              <w:pStyle w:val="TableParagraph"/>
              <w:spacing w:before="142"/>
              <w:ind w:left="105"/>
              <w:rPr>
                <w:b/>
                <w:sz w:val="21"/>
              </w:rPr>
            </w:pPr>
            <w:r>
              <w:rPr>
                <w:b/>
                <w:color w:val="231F20"/>
                <w:sz w:val="21"/>
              </w:rPr>
              <w:t>$ 41</w:t>
            </w:r>
          </w:p>
        </w:tc>
      </w:tr>
      <w:tr w:rsidR="009948F1" w14:paraId="50F86DA9" w14:textId="77777777">
        <w:trPr>
          <w:trHeight w:val="1457"/>
        </w:trPr>
        <w:tc>
          <w:tcPr>
            <w:tcW w:w="1341" w:type="dxa"/>
            <w:shd w:val="clear" w:color="auto" w:fill="ECEBEA"/>
          </w:tcPr>
          <w:p w14:paraId="78B2C94D" w14:textId="77777777" w:rsidR="009948F1" w:rsidRDefault="00BC0563">
            <w:pPr>
              <w:pStyle w:val="TableParagraph"/>
              <w:spacing w:line="239" w:lineRule="exact"/>
              <w:ind w:left="110"/>
              <w:jc w:val="both"/>
              <w:rPr>
                <w:sz w:val="21"/>
              </w:rPr>
            </w:pPr>
            <w:r>
              <w:rPr>
                <w:color w:val="231F20"/>
                <w:sz w:val="21"/>
              </w:rPr>
              <w:t>SSHDP II</w:t>
            </w:r>
          </w:p>
          <w:p w14:paraId="7DE18342" w14:textId="77777777" w:rsidR="009948F1" w:rsidRDefault="00BC0563">
            <w:pPr>
              <w:pStyle w:val="TableParagraph"/>
              <w:spacing w:before="4"/>
              <w:ind w:left="110" w:right="384"/>
              <w:jc w:val="both"/>
              <w:rPr>
                <w:sz w:val="21"/>
              </w:rPr>
            </w:pPr>
            <w:r>
              <w:rPr>
                <w:color w:val="231F20"/>
                <w:w w:val="90"/>
                <w:sz w:val="21"/>
              </w:rPr>
              <w:t xml:space="preserve">Essential </w:t>
            </w:r>
            <w:r>
              <w:rPr>
                <w:color w:val="231F20"/>
                <w:w w:val="95"/>
                <w:sz w:val="21"/>
              </w:rPr>
              <w:t xml:space="preserve">Package </w:t>
            </w:r>
            <w:r>
              <w:rPr>
                <w:color w:val="231F20"/>
                <w:w w:val="90"/>
                <w:sz w:val="21"/>
              </w:rPr>
              <w:t xml:space="preserve">Moderate </w:t>
            </w:r>
            <w:r>
              <w:rPr>
                <w:color w:val="231F20"/>
                <w:w w:val="95"/>
                <w:sz w:val="21"/>
              </w:rPr>
              <w:t>Scale-up</w:t>
            </w:r>
          </w:p>
          <w:p w14:paraId="4F757795" w14:textId="77777777" w:rsidR="009948F1" w:rsidRDefault="00BC0563">
            <w:pPr>
              <w:pStyle w:val="TableParagraph"/>
              <w:spacing w:before="10" w:line="219" w:lineRule="exact"/>
              <w:ind w:left="110"/>
              <w:rPr>
                <w:sz w:val="21"/>
              </w:rPr>
            </w:pPr>
            <w:r>
              <w:rPr>
                <w:color w:val="231F20"/>
                <w:sz w:val="21"/>
              </w:rPr>
              <w:t>Scenario</w:t>
            </w:r>
          </w:p>
        </w:tc>
        <w:tc>
          <w:tcPr>
            <w:tcW w:w="1064" w:type="dxa"/>
            <w:tcBorders>
              <w:right w:val="single" w:sz="6" w:space="0" w:color="231F20"/>
            </w:tcBorders>
          </w:tcPr>
          <w:p w14:paraId="68796BAA" w14:textId="77777777" w:rsidR="009948F1" w:rsidRDefault="009948F1">
            <w:pPr>
              <w:pStyle w:val="TableParagraph"/>
              <w:rPr>
                <w:b/>
                <w:i/>
                <w:sz w:val="20"/>
              </w:rPr>
            </w:pPr>
          </w:p>
          <w:p w14:paraId="15243F1D" w14:textId="77777777" w:rsidR="009948F1" w:rsidRDefault="009948F1">
            <w:pPr>
              <w:pStyle w:val="TableParagraph"/>
              <w:spacing w:before="3"/>
              <w:rPr>
                <w:b/>
                <w:i/>
              </w:rPr>
            </w:pPr>
          </w:p>
          <w:p w14:paraId="2A95F3A8" w14:textId="77777777" w:rsidR="009948F1" w:rsidRDefault="00BC0563">
            <w:pPr>
              <w:pStyle w:val="TableParagraph"/>
              <w:ind w:left="110"/>
              <w:rPr>
                <w:b/>
                <w:sz w:val="21"/>
              </w:rPr>
            </w:pPr>
            <w:r>
              <w:rPr>
                <w:b/>
                <w:color w:val="231F20"/>
                <w:w w:val="69"/>
                <w:sz w:val="21"/>
              </w:rPr>
              <w:t>?</w:t>
            </w:r>
          </w:p>
          <w:p w14:paraId="55B14FBE" w14:textId="77777777" w:rsidR="009948F1" w:rsidRDefault="00BC0563">
            <w:pPr>
              <w:pStyle w:val="TableParagraph"/>
              <w:spacing w:before="2"/>
              <w:ind w:left="110"/>
              <w:rPr>
                <w:b/>
                <w:sz w:val="21"/>
              </w:rPr>
            </w:pPr>
            <w:r>
              <w:rPr>
                <w:b/>
                <w:color w:val="231F20"/>
                <w:sz w:val="21"/>
              </w:rPr>
              <w:t>33,573M</w:t>
            </w:r>
          </w:p>
        </w:tc>
        <w:tc>
          <w:tcPr>
            <w:tcW w:w="1067" w:type="dxa"/>
            <w:tcBorders>
              <w:left w:val="single" w:sz="6" w:space="0" w:color="231F20"/>
              <w:right w:val="single" w:sz="6" w:space="0" w:color="231F20"/>
            </w:tcBorders>
          </w:tcPr>
          <w:p w14:paraId="0E4D1274" w14:textId="77777777" w:rsidR="009948F1" w:rsidRDefault="009948F1">
            <w:pPr>
              <w:pStyle w:val="TableParagraph"/>
              <w:rPr>
                <w:b/>
                <w:i/>
                <w:sz w:val="20"/>
              </w:rPr>
            </w:pPr>
          </w:p>
          <w:p w14:paraId="3DC9AB3B" w14:textId="77777777" w:rsidR="009948F1" w:rsidRDefault="009948F1">
            <w:pPr>
              <w:pStyle w:val="TableParagraph"/>
              <w:spacing w:before="3"/>
              <w:rPr>
                <w:b/>
                <w:i/>
              </w:rPr>
            </w:pPr>
          </w:p>
          <w:p w14:paraId="7CBACE05" w14:textId="77777777" w:rsidR="009948F1" w:rsidRDefault="00BC0563">
            <w:pPr>
              <w:pStyle w:val="TableParagraph"/>
              <w:ind w:left="117"/>
              <w:rPr>
                <w:b/>
                <w:sz w:val="21"/>
              </w:rPr>
            </w:pPr>
            <w:r>
              <w:rPr>
                <w:b/>
                <w:color w:val="231F20"/>
                <w:w w:val="69"/>
                <w:sz w:val="21"/>
              </w:rPr>
              <w:t>?</w:t>
            </w:r>
          </w:p>
          <w:p w14:paraId="257EA2FC" w14:textId="77777777" w:rsidR="009948F1" w:rsidRDefault="00BC0563">
            <w:pPr>
              <w:pStyle w:val="TableParagraph"/>
              <w:spacing w:before="2"/>
              <w:ind w:left="117"/>
              <w:rPr>
                <w:b/>
                <w:sz w:val="21"/>
              </w:rPr>
            </w:pPr>
            <w:r>
              <w:rPr>
                <w:b/>
                <w:color w:val="231F20"/>
                <w:sz w:val="21"/>
              </w:rPr>
              <w:t>38,628M</w:t>
            </w:r>
          </w:p>
        </w:tc>
        <w:tc>
          <w:tcPr>
            <w:tcW w:w="1064" w:type="dxa"/>
            <w:tcBorders>
              <w:left w:val="single" w:sz="6" w:space="0" w:color="231F20"/>
              <w:right w:val="single" w:sz="6" w:space="0" w:color="231F20"/>
            </w:tcBorders>
          </w:tcPr>
          <w:p w14:paraId="063F591E" w14:textId="77777777" w:rsidR="009948F1" w:rsidRDefault="009948F1">
            <w:pPr>
              <w:pStyle w:val="TableParagraph"/>
              <w:rPr>
                <w:b/>
                <w:i/>
                <w:sz w:val="20"/>
              </w:rPr>
            </w:pPr>
          </w:p>
          <w:p w14:paraId="474A96E2" w14:textId="77777777" w:rsidR="009948F1" w:rsidRDefault="009948F1">
            <w:pPr>
              <w:pStyle w:val="TableParagraph"/>
              <w:spacing w:before="3"/>
              <w:rPr>
                <w:b/>
                <w:i/>
              </w:rPr>
            </w:pPr>
          </w:p>
          <w:p w14:paraId="138B44C8" w14:textId="77777777" w:rsidR="009948F1" w:rsidRDefault="00BC0563">
            <w:pPr>
              <w:pStyle w:val="TableParagraph"/>
              <w:ind w:left="116"/>
              <w:rPr>
                <w:b/>
                <w:sz w:val="21"/>
              </w:rPr>
            </w:pPr>
            <w:r>
              <w:rPr>
                <w:b/>
                <w:color w:val="231F20"/>
                <w:w w:val="69"/>
                <w:sz w:val="21"/>
              </w:rPr>
              <w:t>?</w:t>
            </w:r>
          </w:p>
          <w:p w14:paraId="60DA569D" w14:textId="77777777" w:rsidR="009948F1" w:rsidRDefault="00BC0563">
            <w:pPr>
              <w:pStyle w:val="TableParagraph"/>
              <w:spacing w:before="2"/>
              <w:ind w:left="116"/>
              <w:rPr>
                <w:b/>
                <w:sz w:val="21"/>
              </w:rPr>
            </w:pPr>
            <w:r>
              <w:rPr>
                <w:b/>
                <w:color w:val="231F20"/>
                <w:sz w:val="21"/>
              </w:rPr>
              <w:t>44,542M</w:t>
            </w:r>
          </w:p>
        </w:tc>
        <w:tc>
          <w:tcPr>
            <w:tcW w:w="1067" w:type="dxa"/>
            <w:tcBorders>
              <w:left w:val="single" w:sz="6" w:space="0" w:color="231F20"/>
              <w:right w:val="single" w:sz="6" w:space="0" w:color="231F20"/>
            </w:tcBorders>
          </w:tcPr>
          <w:p w14:paraId="3339BA73" w14:textId="77777777" w:rsidR="009948F1" w:rsidRDefault="009948F1">
            <w:pPr>
              <w:pStyle w:val="TableParagraph"/>
              <w:rPr>
                <w:b/>
                <w:i/>
                <w:sz w:val="20"/>
              </w:rPr>
            </w:pPr>
          </w:p>
          <w:p w14:paraId="48B29974" w14:textId="77777777" w:rsidR="009948F1" w:rsidRDefault="009948F1">
            <w:pPr>
              <w:pStyle w:val="TableParagraph"/>
              <w:spacing w:before="3"/>
              <w:rPr>
                <w:b/>
                <w:i/>
              </w:rPr>
            </w:pPr>
          </w:p>
          <w:p w14:paraId="06B5E284" w14:textId="77777777" w:rsidR="009948F1" w:rsidRDefault="00BC0563">
            <w:pPr>
              <w:pStyle w:val="TableParagraph"/>
              <w:ind w:left="115"/>
              <w:rPr>
                <w:b/>
                <w:sz w:val="21"/>
              </w:rPr>
            </w:pPr>
            <w:r>
              <w:rPr>
                <w:b/>
                <w:color w:val="231F20"/>
                <w:w w:val="69"/>
                <w:sz w:val="21"/>
              </w:rPr>
              <w:t>?</w:t>
            </w:r>
          </w:p>
          <w:p w14:paraId="0ABFA099" w14:textId="77777777" w:rsidR="009948F1" w:rsidRDefault="00BC0563">
            <w:pPr>
              <w:pStyle w:val="TableParagraph"/>
              <w:spacing w:before="2"/>
              <w:ind w:left="115"/>
              <w:rPr>
                <w:b/>
                <w:sz w:val="21"/>
              </w:rPr>
            </w:pPr>
            <w:r>
              <w:rPr>
                <w:b/>
                <w:color w:val="231F20"/>
                <w:sz w:val="21"/>
              </w:rPr>
              <w:t>49,328M</w:t>
            </w:r>
          </w:p>
        </w:tc>
        <w:tc>
          <w:tcPr>
            <w:tcW w:w="1067" w:type="dxa"/>
            <w:tcBorders>
              <w:left w:val="single" w:sz="6" w:space="0" w:color="231F20"/>
              <w:right w:val="single" w:sz="6" w:space="0" w:color="231F20"/>
            </w:tcBorders>
          </w:tcPr>
          <w:p w14:paraId="7480BB5C" w14:textId="77777777" w:rsidR="009948F1" w:rsidRDefault="009948F1">
            <w:pPr>
              <w:pStyle w:val="TableParagraph"/>
              <w:rPr>
                <w:b/>
                <w:i/>
                <w:sz w:val="20"/>
              </w:rPr>
            </w:pPr>
          </w:p>
          <w:p w14:paraId="09A0B7F4" w14:textId="77777777" w:rsidR="009948F1" w:rsidRDefault="009948F1">
            <w:pPr>
              <w:pStyle w:val="TableParagraph"/>
              <w:spacing w:before="3"/>
              <w:rPr>
                <w:b/>
                <w:i/>
              </w:rPr>
            </w:pPr>
          </w:p>
          <w:p w14:paraId="75BDC51C" w14:textId="77777777" w:rsidR="009948F1" w:rsidRDefault="00BC0563">
            <w:pPr>
              <w:pStyle w:val="TableParagraph"/>
              <w:ind w:left="114"/>
              <w:rPr>
                <w:b/>
                <w:sz w:val="21"/>
              </w:rPr>
            </w:pPr>
            <w:r>
              <w:rPr>
                <w:b/>
                <w:color w:val="231F20"/>
                <w:w w:val="69"/>
                <w:sz w:val="21"/>
              </w:rPr>
              <w:t>?</w:t>
            </w:r>
          </w:p>
          <w:p w14:paraId="0C3FA93A" w14:textId="77777777" w:rsidR="009948F1" w:rsidRDefault="00BC0563">
            <w:pPr>
              <w:pStyle w:val="TableParagraph"/>
              <w:spacing w:before="2"/>
              <w:ind w:left="114"/>
              <w:rPr>
                <w:b/>
                <w:sz w:val="21"/>
              </w:rPr>
            </w:pPr>
            <w:r>
              <w:rPr>
                <w:b/>
                <w:color w:val="231F20"/>
                <w:sz w:val="21"/>
              </w:rPr>
              <w:t>54,118M</w:t>
            </w:r>
          </w:p>
        </w:tc>
        <w:tc>
          <w:tcPr>
            <w:tcW w:w="1213" w:type="dxa"/>
            <w:tcBorders>
              <w:left w:val="single" w:sz="6" w:space="0" w:color="231F20"/>
            </w:tcBorders>
          </w:tcPr>
          <w:p w14:paraId="014BD8D6" w14:textId="77777777" w:rsidR="009948F1" w:rsidRDefault="009948F1">
            <w:pPr>
              <w:pStyle w:val="TableParagraph"/>
              <w:rPr>
                <w:b/>
                <w:i/>
                <w:sz w:val="20"/>
              </w:rPr>
            </w:pPr>
          </w:p>
          <w:p w14:paraId="55CA3726" w14:textId="77777777" w:rsidR="009948F1" w:rsidRDefault="009948F1">
            <w:pPr>
              <w:pStyle w:val="TableParagraph"/>
              <w:spacing w:before="3"/>
              <w:rPr>
                <w:b/>
                <w:i/>
              </w:rPr>
            </w:pPr>
          </w:p>
          <w:p w14:paraId="49B2897E" w14:textId="77777777" w:rsidR="009948F1" w:rsidRDefault="00BC0563">
            <w:pPr>
              <w:pStyle w:val="TableParagraph"/>
              <w:ind w:left="113"/>
              <w:rPr>
                <w:b/>
                <w:sz w:val="21"/>
              </w:rPr>
            </w:pPr>
            <w:r>
              <w:rPr>
                <w:b/>
                <w:color w:val="231F20"/>
                <w:w w:val="69"/>
                <w:sz w:val="21"/>
              </w:rPr>
              <w:t>?</w:t>
            </w:r>
          </w:p>
          <w:p w14:paraId="61518029" w14:textId="77777777" w:rsidR="009948F1" w:rsidRDefault="00BC0563">
            <w:pPr>
              <w:pStyle w:val="TableParagraph"/>
              <w:spacing w:before="2"/>
              <w:ind w:left="113"/>
              <w:rPr>
                <w:b/>
                <w:sz w:val="21"/>
              </w:rPr>
            </w:pPr>
            <w:r>
              <w:rPr>
                <w:b/>
                <w:color w:val="231F20"/>
                <w:sz w:val="21"/>
              </w:rPr>
              <w:t>220,189M</w:t>
            </w:r>
          </w:p>
        </w:tc>
        <w:tc>
          <w:tcPr>
            <w:tcW w:w="1367" w:type="dxa"/>
          </w:tcPr>
          <w:p w14:paraId="0EAE997C" w14:textId="77777777" w:rsidR="009948F1" w:rsidRDefault="009948F1">
            <w:pPr>
              <w:pStyle w:val="TableParagraph"/>
              <w:rPr>
                <w:b/>
                <w:i/>
                <w:sz w:val="20"/>
              </w:rPr>
            </w:pPr>
          </w:p>
          <w:p w14:paraId="5B42F5CC" w14:textId="77777777" w:rsidR="009948F1" w:rsidRDefault="009948F1">
            <w:pPr>
              <w:pStyle w:val="TableParagraph"/>
              <w:rPr>
                <w:b/>
                <w:i/>
                <w:sz w:val="20"/>
              </w:rPr>
            </w:pPr>
          </w:p>
          <w:p w14:paraId="32DC8573" w14:textId="77777777" w:rsidR="009948F1" w:rsidRDefault="00BC0563">
            <w:pPr>
              <w:pStyle w:val="TableParagraph"/>
              <w:spacing w:before="142"/>
              <w:ind w:left="105"/>
              <w:rPr>
                <w:b/>
                <w:sz w:val="21"/>
              </w:rPr>
            </w:pPr>
            <w:r>
              <w:rPr>
                <w:b/>
                <w:color w:val="231F20"/>
                <w:sz w:val="21"/>
              </w:rPr>
              <w:t>$ 32</w:t>
            </w:r>
          </w:p>
        </w:tc>
      </w:tr>
      <w:tr w:rsidR="009948F1" w14:paraId="53955A42" w14:textId="77777777">
        <w:trPr>
          <w:trHeight w:val="662"/>
        </w:trPr>
        <w:tc>
          <w:tcPr>
            <w:tcW w:w="1341" w:type="dxa"/>
            <w:shd w:val="clear" w:color="auto" w:fill="ECEBEA"/>
          </w:tcPr>
          <w:p w14:paraId="6593C0E9" w14:textId="77777777" w:rsidR="009948F1" w:rsidRDefault="00BC0563">
            <w:pPr>
              <w:pStyle w:val="TableParagraph"/>
              <w:spacing w:line="199" w:lineRule="exact"/>
              <w:ind w:left="110"/>
              <w:rPr>
                <w:sz w:val="21"/>
              </w:rPr>
            </w:pPr>
            <w:r>
              <w:rPr>
                <w:color w:val="231F20"/>
                <w:sz w:val="21"/>
              </w:rPr>
              <w:t>SSHDP II</w:t>
            </w:r>
          </w:p>
          <w:p w14:paraId="705CA6A6" w14:textId="77777777" w:rsidR="009948F1" w:rsidRDefault="00BC0563">
            <w:pPr>
              <w:pStyle w:val="TableParagraph"/>
              <w:spacing w:before="8" w:line="224" w:lineRule="exact"/>
              <w:ind w:left="110" w:right="435"/>
              <w:rPr>
                <w:sz w:val="21"/>
              </w:rPr>
            </w:pPr>
            <w:r>
              <w:rPr>
                <w:color w:val="231F20"/>
                <w:w w:val="90"/>
                <w:sz w:val="21"/>
              </w:rPr>
              <w:t>Baseline Scenario</w:t>
            </w:r>
          </w:p>
        </w:tc>
        <w:tc>
          <w:tcPr>
            <w:tcW w:w="1064" w:type="dxa"/>
            <w:tcBorders>
              <w:right w:val="single" w:sz="6" w:space="0" w:color="231F20"/>
            </w:tcBorders>
          </w:tcPr>
          <w:p w14:paraId="2D721FBF" w14:textId="77777777" w:rsidR="009948F1" w:rsidRDefault="00BC0563">
            <w:pPr>
              <w:pStyle w:val="TableParagraph"/>
              <w:spacing w:before="76"/>
              <w:ind w:left="110"/>
              <w:rPr>
                <w:b/>
                <w:sz w:val="21"/>
              </w:rPr>
            </w:pPr>
            <w:r>
              <w:rPr>
                <w:b/>
                <w:color w:val="231F20"/>
                <w:w w:val="69"/>
                <w:sz w:val="21"/>
              </w:rPr>
              <w:t>?</w:t>
            </w:r>
          </w:p>
          <w:p w14:paraId="0E38BC87" w14:textId="77777777" w:rsidR="009948F1" w:rsidRDefault="00BC0563">
            <w:pPr>
              <w:pStyle w:val="TableParagraph"/>
              <w:spacing w:before="19"/>
              <w:ind w:left="110"/>
              <w:rPr>
                <w:b/>
                <w:sz w:val="21"/>
              </w:rPr>
            </w:pPr>
            <w:r>
              <w:rPr>
                <w:b/>
                <w:color w:val="231F20"/>
                <w:w w:val="95"/>
                <w:sz w:val="21"/>
              </w:rPr>
              <w:t>29,541M</w:t>
            </w:r>
          </w:p>
        </w:tc>
        <w:tc>
          <w:tcPr>
            <w:tcW w:w="1067" w:type="dxa"/>
            <w:tcBorders>
              <w:left w:val="single" w:sz="6" w:space="0" w:color="231F20"/>
              <w:right w:val="single" w:sz="6" w:space="0" w:color="231F20"/>
            </w:tcBorders>
          </w:tcPr>
          <w:p w14:paraId="31A54E3A" w14:textId="77777777" w:rsidR="009948F1" w:rsidRDefault="00BC0563">
            <w:pPr>
              <w:pStyle w:val="TableParagraph"/>
              <w:spacing w:before="76"/>
              <w:ind w:left="117"/>
              <w:rPr>
                <w:b/>
                <w:sz w:val="21"/>
              </w:rPr>
            </w:pPr>
            <w:r>
              <w:rPr>
                <w:b/>
                <w:color w:val="231F20"/>
                <w:w w:val="69"/>
                <w:sz w:val="21"/>
              </w:rPr>
              <w:t>?</w:t>
            </w:r>
          </w:p>
          <w:p w14:paraId="2DB6CFFA" w14:textId="77777777" w:rsidR="009948F1" w:rsidRDefault="00BC0563">
            <w:pPr>
              <w:pStyle w:val="TableParagraph"/>
              <w:spacing w:before="19"/>
              <w:ind w:left="117"/>
              <w:rPr>
                <w:b/>
                <w:sz w:val="21"/>
              </w:rPr>
            </w:pPr>
            <w:r>
              <w:rPr>
                <w:b/>
                <w:color w:val="231F20"/>
                <w:w w:val="95"/>
                <w:sz w:val="21"/>
              </w:rPr>
              <w:t>29,541M</w:t>
            </w:r>
          </w:p>
        </w:tc>
        <w:tc>
          <w:tcPr>
            <w:tcW w:w="1064" w:type="dxa"/>
            <w:tcBorders>
              <w:left w:val="single" w:sz="6" w:space="0" w:color="231F20"/>
              <w:right w:val="single" w:sz="6" w:space="0" w:color="231F20"/>
            </w:tcBorders>
          </w:tcPr>
          <w:p w14:paraId="5955798B" w14:textId="77777777" w:rsidR="009948F1" w:rsidRDefault="00BC0563">
            <w:pPr>
              <w:pStyle w:val="TableParagraph"/>
              <w:spacing w:before="76"/>
              <w:ind w:left="116"/>
              <w:rPr>
                <w:b/>
                <w:sz w:val="21"/>
              </w:rPr>
            </w:pPr>
            <w:r>
              <w:rPr>
                <w:b/>
                <w:color w:val="231F20"/>
                <w:w w:val="69"/>
                <w:sz w:val="21"/>
              </w:rPr>
              <w:t>?</w:t>
            </w:r>
          </w:p>
          <w:p w14:paraId="3F24AD87" w14:textId="77777777" w:rsidR="009948F1" w:rsidRDefault="00BC0563">
            <w:pPr>
              <w:pStyle w:val="TableParagraph"/>
              <w:spacing w:before="19"/>
              <w:ind w:left="116"/>
              <w:rPr>
                <w:b/>
                <w:sz w:val="21"/>
              </w:rPr>
            </w:pPr>
            <w:r>
              <w:rPr>
                <w:b/>
                <w:color w:val="231F20"/>
                <w:w w:val="95"/>
                <w:sz w:val="21"/>
              </w:rPr>
              <w:t>30,741M</w:t>
            </w:r>
          </w:p>
        </w:tc>
        <w:tc>
          <w:tcPr>
            <w:tcW w:w="1067" w:type="dxa"/>
            <w:tcBorders>
              <w:left w:val="single" w:sz="6" w:space="0" w:color="231F20"/>
              <w:right w:val="single" w:sz="6" w:space="0" w:color="231F20"/>
            </w:tcBorders>
          </w:tcPr>
          <w:p w14:paraId="7D21DA53" w14:textId="77777777" w:rsidR="009948F1" w:rsidRDefault="00BC0563">
            <w:pPr>
              <w:pStyle w:val="TableParagraph"/>
              <w:spacing w:before="76"/>
              <w:ind w:left="115"/>
              <w:rPr>
                <w:b/>
                <w:sz w:val="21"/>
              </w:rPr>
            </w:pPr>
            <w:r>
              <w:rPr>
                <w:b/>
                <w:color w:val="231F20"/>
                <w:w w:val="69"/>
                <w:sz w:val="21"/>
              </w:rPr>
              <w:t>?</w:t>
            </w:r>
          </w:p>
          <w:p w14:paraId="16C18A88" w14:textId="77777777" w:rsidR="009948F1" w:rsidRDefault="00BC0563">
            <w:pPr>
              <w:pStyle w:val="TableParagraph"/>
              <w:spacing w:before="19"/>
              <w:ind w:left="115"/>
              <w:rPr>
                <w:b/>
                <w:sz w:val="21"/>
              </w:rPr>
            </w:pPr>
            <w:r>
              <w:rPr>
                <w:b/>
                <w:color w:val="231F20"/>
                <w:w w:val="95"/>
                <w:sz w:val="21"/>
              </w:rPr>
              <w:t>30,496M</w:t>
            </w:r>
          </w:p>
        </w:tc>
        <w:tc>
          <w:tcPr>
            <w:tcW w:w="1067" w:type="dxa"/>
            <w:tcBorders>
              <w:left w:val="single" w:sz="6" w:space="0" w:color="231F20"/>
              <w:right w:val="single" w:sz="6" w:space="0" w:color="231F20"/>
            </w:tcBorders>
          </w:tcPr>
          <w:p w14:paraId="19EC37EF" w14:textId="77777777" w:rsidR="009948F1" w:rsidRDefault="00BC0563">
            <w:pPr>
              <w:pStyle w:val="TableParagraph"/>
              <w:spacing w:before="76"/>
              <w:ind w:left="114"/>
              <w:rPr>
                <w:b/>
                <w:sz w:val="21"/>
              </w:rPr>
            </w:pPr>
            <w:r>
              <w:rPr>
                <w:b/>
                <w:color w:val="231F20"/>
                <w:w w:val="69"/>
                <w:sz w:val="21"/>
              </w:rPr>
              <w:t>?</w:t>
            </w:r>
          </w:p>
          <w:p w14:paraId="162A8BF7" w14:textId="77777777" w:rsidR="009948F1" w:rsidRDefault="00BC0563">
            <w:pPr>
              <w:pStyle w:val="TableParagraph"/>
              <w:spacing w:before="19"/>
              <w:ind w:left="114"/>
              <w:rPr>
                <w:b/>
                <w:sz w:val="21"/>
              </w:rPr>
            </w:pPr>
            <w:r>
              <w:rPr>
                <w:b/>
                <w:color w:val="231F20"/>
                <w:w w:val="95"/>
                <w:sz w:val="21"/>
              </w:rPr>
              <w:t>30,372M</w:t>
            </w:r>
          </w:p>
        </w:tc>
        <w:tc>
          <w:tcPr>
            <w:tcW w:w="1213" w:type="dxa"/>
            <w:tcBorders>
              <w:left w:val="single" w:sz="6" w:space="0" w:color="231F20"/>
            </w:tcBorders>
          </w:tcPr>
          <w:p w14:paraId="794848C9" w14:textId="77777777" w:rsidR="009948F1" w:rsidRDefault="009948F1">
            <w:pPr>
              <w:pStyle w:val="TableParagraph"/>
              <w:spacing w:before="11"/>
              <w:rPr>
                <w:b/>
                <w:i/>
                <w:sz w:val="17"/>
              </w:rPr>
            </w:pPr>
          </w:p>
          <w:p w14:paraId="651D40DA" w14:textId="77777777" w:rsidR="009948F1" w:rsidRDefault="00BC0563">
            <w:pPr>
              <w:pStyle w:val="TableParagraph"/>
              <w:ind w:left="113"/>
              <w:rPr>
                <w:b/>
                <w:sz w:val="21"/>
              </w:rPr>
            </w:pPr>
            <w:r>
              <w:rPr>
                <w:b/>
                <w:color w:val="231F20"/>
                <w:w w:val="90"/>
                <w:sz w:val="21"/>
              </w:rPr>
              <w:t>? 150,655M</w:t>
            </w:r>
          </w:p>
        </w:tc>
        <w:tc>
          <w:tcPr>
            <w:tcW w:w="1367" w:type="dxa"/>
          </w:tcPr>
          <w:p w14:paraId="2E4DD286" w14:textId="77777777" w:rsidR="009948F1" w:rsidRDefault="009948F1">
            <w:pPr>
              <w:pStyle w:val="TableParagraph"/>
              <w:spacing w:before="8"/>
              <w:rPr>
                <w:b/>
                <w:i/>
                <w:sz w:val="17"/>
              </w:rPr>
            </w:pPr>
          </w:p>
          <w:p w14:paraId="7A9224A9" w14:textId="77777777" w:rsidR="009948F1" w:rsidRDefault="00BC0563">
            <w:pPr>
              <w:pStyle w:val="TableParagraph"/>
              <w:ind w:left="105"/>
              <w:rPr>
                <w:rFonts w:ascii="Carlito"/>
                <w:b/>
                <w:sz w:val="21"/>
              </w:rPr>
            </w:pPr>
            <w:r>
              <w:rPr>
                <w:rFonts w:ascii="Carlito"/>
                <w:b/>
                <w:color w:val="231F20"/>
                <w:sz w:val="21"/>
              </w:rPr>
              <w:t>$ 22</w:t>
            </w:r>
          </w:p>
        </w:tc>
      </w:tr>
    </w:tbl>
    <w:p w14:paraId="23B4815A" w14:textId="77777777" w:rsidR="009948F1" w:rsidRDefault="009948F1">
      <w:pPr>
        <w:rPr>
          <w:rFonts w:ascii="Carlito"/>
          <w:sz w:val="21"/>
        </w:rPr>
        <w:sectPr w:rsidR="009948F1">
          <w:pgSz w:w="11910" w:h="16840"/>
          <w:pgMar w:top="1500" w:right="1080" w:bottom="1420" w:left="1120" w:header="0" w:footer="1235" w:gutter="0"/>
          <w:cols w:space="720"/>
        </w:sectPr>
      </w:pPr>
    </w:p>
    <w:p w14:paraId="5ED31855" w14:textId="77777777" w:rsidR="009948F1" w:rsidRDefault="00BC0563">
      <w:pPr>
        <w:pStyle w:val="ListParagraph"/>
        <w:numPr>
          <w:ilvl w:val="2"/>
          <w:numId w:val="251"/>
        </w:numPr>
        <w:tabs>
          <w:tab w:val="left" w:pos="890"/>
        </w:tabs>
        <w:spacing w:before="52"/>
        <w:ind w:hanging="709"/>
        <w:jc w:val="left"/>
        <w:rPr>
          <w:b/>
          <w:color w:val="231F20"/>
          <w:sz w:val="24"/>
        </w:rPr>
      </w:pPr>
      <w:bookmarkStart w:id="124" w:name="Page_103"/>
      <w:bookmarkEnd w:id="124"/>
      <w:r>
        <w:rPr>
          <w:b/>
          <w:color w:val="231F20"/>
          <w:sz w:val="24"/>
        </w:rPr>
        <w:lastRenderedPageBreak/>
        <w:t>SSHDP</w:t>
      </w:r>
      <w:r>
        <w:rPr>
          <w:b/>
          <w:color w:val="231F20"/>
          <w:spacing w:val="-18"/>
          <w:sz w:val="24"/>
        </w:rPr>
        <w:t xml:space="preserve"> </w:t>
      </w:r>
      <w:r>
        <w:rPr>
          <w:b/>
          <w:color w:val="231F20"/>
          <w:sz w:val="24"/>
        </w:rPr>
        <w:t>II</w:t>
      </w:r>
      <w:r>
        <w:rPr>
          <w:b/>
          <w:color w:val="231F20"/>
          <w:spacing w:val="-6"/>
          <w:sz w:val="24"/>
        </w:rPr>
        <w:t xml:space="preserve"> </w:t>
      </w:r>
      <w:r>
        <w:rPr>
          <w:b/>
          <w:color w:val="231F20"/>
          <w:sz w:val="24"/>
        </w:rPr>
        <w:t>Essential</w:t>
      </w:r>
      <w:r>
        <w:rPr>
          <w:b/>
          <w:color w:val="231F20"/>
          <w:spacing w:val="-14"/>
          <w:sz w:val="24"/>
        </w:rPr>
        <w:t xml:space="preserve"> </w:t>
      </w:r>
      <w:r>
        <w:rPr>
          <w:b/>
          <w:color w:val="231F20"/>
          <w:sz w:val="24"/>
        </w:rPr>
        <w:t>Package</w:t>
      </w:r>
      <w:r>
        <w:rPr>
          <w:b/>
          <w:color w:val="231F20"/>
          <w:spacing w:val="-14"/>
          <w:sz w:val="24"/>
        </w:rPr>
        <w:t xml:space="preserve"> </w:t>
      </w:r>
      <w:r>
        <w:rPr>
          <w:b/>
          <w:color w:val="231F20"/>
          <w:sz w:val="24"/>
        </w:rPr>
        <w:t>Moderate</w:t>
      </w:r>
      <w:r>
        <w:rPr>
          <w:b/>
          <w:color w:val="231F20"/>
          <w:spacing w:val="-14"/>
          <w:sz w:val="24"/>
        </w:rPr>
        <w:t xml:space="preserve"> </w:t>
      </w:r>
      <w:r>
        <w:rPr>
          <w:b/>
          <w:color w:val="231F20"/>
          <w:spacing w:val="2"/>
          <w:sz w:val="24"/>
        </w:rPr>
        <w:t>Scale-up</w:t>
      </w:r>
      <w:r>
        <w:rPr>
          <w:b/>
          <w:color w:val="231F20"/>
          <w:spacing w:val="-14"/>
          <w:sz w:val="24"/>
        </w:rPr>
        <w:t xml:space="preserve"> </w:t>
      </w:r>
      <w:r>
        <w:rPr>
          <w:b/>
          <w:color w:val="231F20"/>
          <w:sz w:val="24"/>
        </w:rPr>
        <w:t>Scenario</w:t>
      </w:r>
      <w:r>
        <w:rPr>
          <w:b/>
          <w:color w:val="231F20"/>
          <w:spacing w:val="-14"/>
          <w:sz w:val="24"/>
        </w:rPr>
        <w:t xml:space="preserve"> </w:t>
      </w:r>
      <w:r>
        <w:rPr>
          <w:b/>
          <w:color w:val="231F20"/>
          <w:sz w:val="24"/>
        </w:rPr>
        <w:t>cost</w:t>
      </w:r>
      <w:r>
        <w:rPr>
          <w:b/>
          <w:color w:val="231F20"/>
          <w:spacing w:val="-14"/>
          <w:sz w:val="24"/>
        </w:rPr>
        <w:t xml:space="preserve"> </w:t>
      </w:r>
      <w:r>
        <w:rPr>
          <w:b/>
          <w:color w:val="231F20"/>
          <w:sz w:val="24"/>
        </w:rPr>
        <w:t>outputs</w:t>
      </w:r>
    </w:p>
    <w:p w14:paraId="63596F63" w14:textId="77777777" w:rsidR="009948F1" w:rsidRDefault="00BC0563">
      <w:pPr>
        <w:spacing w:before="202" w:line="252" w:lineRule="auto"/>
        <w:ind w:left="978" w:right="908" w:hanging="797"/>
        <w:rPr>
          <w:b/>
          <w:i/>
          <w:sz w:val="20"/>
        </w:rPr>
      </w:pPr>
      <w:r>
        <w:rPr>
          <w:b/>
          <w:i/>
          <w:color w:val="231F20"/>
          <w:sz w:val="20"/>
        </w:rPr>
        <w:t xml:space="preserve">Table 8: Summary costs by </w:t>
      </w:r>
      <w:proofErr w:type="spellStart"/>
      <w:r>
        <w:rPr>
          <w:b/>
          <w:i/>
          <w:color w:val="231F20"/>
          <w:sz w:val="20"/>
        </w:rPr>
        <w:t>Programme</w:t>
      </w:r>
      <w:proofErr w:type="spellEnd"/>
      <w:r>
        <w:rPr>
          <w:b/>
          <w:i/>
          <w:color w:val="231F20"/>
          <w:sz w:val="20"/>
        </w:rPr>
        <w:t xml:space="preserve"> area of Rivers SSHDP II 2018-2022 Essential Package Moderate Scale-up Scenario, in Million (</w:t>
      </w:r>
      <w:r>
        <w:rPr>
          <w:rFonts w:ascii="BABEL Unicode"/>
          <w:b/>
          <w:color w:val="231F20"/>
          <w:sz w:val="20"/>
        </w:rPr>
        <w:t xml:space="preserve">? </w:t>
      </w:r>
      <w:r>
        <w:rPr>
          <w:b/>
          <w:i/>
          <w:color w:val="231F20"/>
          <w:sz w:val="20"/>
        </w:rPr>
        <w:t>)</w:t>
      </w:r>
    </w:p>
    <w:p w14:paraId="79130220" w14:textId="77777777" w:rsidR="009948F1" w:rsidRDefault="009948F1">
      <w:pPr>
        <w:pStyle w:val="BodyText"/>
        <w:rPr>
          <w:b/>
          <w:i/>
        </w:rPr>
      </w:pPr>
    </w:p>
    <w:tbl>
      <w:tblPr>
        <w:tblW w:w="0" w:type="auto"/>
        <w:tblInd w:w="32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50"/>
        <w:gridCol w:w="184"/>
        <w:gridCol w:w="1037"/>
        <w:gridCol w:w="994"/>
        <w:gridCol w:w="994"/>
        <w:gridCol w:w="994"/>
        <w:gridCol w:w="1170"/>
        <w:gridCol w:w="1188"/>
        <w:gridCol w:w="792"/>
      </w:tblGrid>
      <w:tr w:rsidR="009948F1" w14:paraId="303628E7" w14:textId="77777777">
        <w:trPr>
          <w:trHeight w:val="509"/>
        </w:trPr>
        <w:tc>
          <w:tcPr>
            <w:tcW w:w="8411" w:type="dxa"/>
            <w:gridSpan w:val="8"/>
          </w:tcPr>
          <w:p w14:paraId="69458BAB" w14:textId="77777777" w:rsidR="009948F1" w:rsidRDefault="00BC0563">
            <w:pPr>
              <w:pStyle w:val="TableParagraph"/>
              <w:tabs>
                <w:tab w:val="left" w:pos="5157"/>
                <w:tab w:val="left" w:pos="6567"/>
              </w:tabs>
              <w:spacing w:line="223" w:lineRule="exact"/>
              <w:ind w:left="107"/>
              <w:rPr>
                <w:b/>
                <w:sz w:val="24"/>
              </w:rPr>
            </w:pPr>
            <w:r>
              <w:rPr>
                <w:b/>
                <w:color w:val="231F20"/>
                <w:w w:val="80"/>
                <w:sz w:val="24"/>
              </w:rPr>
              <w:t>Summary</w:t>
            </w:r>
            <w:r>
              <w:rPr>
                <w:b/>
                <w:color w:val="231F20"/>
                <w:spacing w:val="-11"/>
                <w:w w:val="80"/>
                <w:sz w:val="24"/>
              </w:rPr>
              <w:t xml:space="preserve"> </w:t>
            </w:r>
            <w:r>
              <w:rPr>
                <w:b/>
                <w:color w:val="231F20"/>
                <w:w w:val="80"/>
                <w:sz w:val="24"/>
              </w:rPr>
              <w:t>costs</w:t>
            </w:r>
            <w:r>
              <w:rPr>
                <w:b/>
                <w:color w:val="231F20"/>
                <w:spacing w:val="-11"/>
                <w:w w:val="80"/>
                <w:sz w:val="24"/>
              </w:rPr>
              <w:t xml:space="preserve"> </w:t>
            </w:r>
            <w:r>
              <w:rPr>
                <w:b/>
                <w:color w:val="231F20"/>
                <w:w w:val="80"/>
                <w:sz w:val="24"/>
              </w:rPr>
              <w:t>by</w:t>
            </w:r>
            <w:r>
              <w:rPr>
                <w:b/>
                <w:color w:val="231F20"/>
                <w:spacing w:val="-10"/>
                <w:w w:val="80"/>
                <w:sz w:val="24"/>
              </w:rPr>
              <w:t xml:space="preserve"> </w:t>
            </w:r>
            <w:proofErr w:type="spellStart"/>
            <w:r>
              <w:rPr>
                <w:b/>
                <w:color w:val="231F20"/>
                <w:w w:val="80"/>
                <w:sz w:val="24"/>
              </w:rPr>
              <w:t>Programme</w:t>
            </w:r>
            <w:proofErr w:type="spellEnd"/>
            <w:r>
              <w:rPr>
                <w:b/>
                <w:color w:val="231F20"/>
                <w:spacing w:val="-11"/>
                <w:w w:val="80"/>
                <w:sz w:val="24"/>
              </w:rPr>
              <w:t xml:space="preserve"> </w:t>
            </w:r>
            <w:r>
              <w:rPr>
                <w:b/>
                <w:color w:val="231F20"/>
                <w:w w:val="80"/>
                <w:sz w:val="24"/>
              </w:rPr>
              <w:t>area</w:t>
            </w:r>
            <w:r>
              <w:rPr>
                <w:b/>
                <w:color w:val="231F20"/>
                <w:spacing w:val="-10"/>
                <w:w w:val="80"/>
                <w:sz w:val="24"/>
              </w:rPr>
              <w:t xml:space="preserve"> </w:t>
            </w:r>
            <w:r>
              <w:rPr>
                <w:b/>
                <w:color w:val="231F20"/>
                <w:w w:val="80"/>
                <w:sz w:val="24"/>
              </w:rPr>
              <w:t>of</w:t>
            </w:r>
            <w:r>
              <w:rPr>
                <w:b/>
                <w:color w:val="231F20"/>
                <w:spacing w:val="-11"/>
                <w:w w:val="80"/>
                <w:sz w:val="24"/>
              </w:rPr>
              <w:t xml:space="preserve"> </w:t>
            </w:r>
            <w:r>
              <w:rPr>
                <w:b/>
                <w:color w:val="231F20"/>
                <w:w w:val="80"/>
                <w:sz w:val="24"/>
              </w:rPr>
              <w:t>Rivers</w:t>
            </w:r>
            <w:r>
              <w:rPr>
                <w:b/>
                <w:color w:val="231F20"/>
                <w:spacing w:val="-11"/>
                <w:w w:val="80"/>
                <w:sz w:val="24"/>
              </w:rPr>
              <w:t xml:space="preserve"> </w:t>
            </w:r>
            <w:r>
              <w:rPr>
                <w:b/>
                <w:color w:val="231F20"/>
                <w:w w:val="80"/>
                <w:sz w:val="24"/>
              </w:rPr>
              <w:t>S</w:t>
            </w:r>
            <w:r>
              <w:rPr>
                <w:b/>
                <w:color w:val="231F20"/>
                <w:w w:val="80"/>
                <w:sz w:val="24"/>
              </w:rPr>
              <w:tab/>
            </w:r>
            <w:r>
              <w:rPr>
                <w:b/>
                <w:color w:val="231F20"/>
                <w:w w:val="90"/>
                <w:sz w:val="24"/>
              </w:rPr>
              <w:t>SHDP</w:t>
            </w:r>
            <w:r>
              <w:rPr>
                <w:b/>
                <w:color w:val="231F20"/>
                <w:spacing w:val="-43"/>
                <w:w w:val="90"/>
                <w:sz w:val="24"/>
              </w:rPr>
              <w:t xml:space="preserve"> </w:t>
            </w:r>
            <w:r>
              <w:rPr>
                <w:b/>
                <w:color w:val="231F20"/>
                <w:w w:val="90"/>
                <w:sz w:val="24"/>
              </w:rPr>
              <w:t>II</w:t>
            </w:r>
            <w:r>
              <w:rPr>
                <w:b/>
                <w:color w:val="231F20"/>
                <w:spacing w:val="-42"/>
                <w:w w:val="90"/>
                <w:sz w:val="24"/>
              </w:rPr>
              <w:t xml:space="preserve"> </w:t>
            </w:r>
            <w:r>
              <w:rPr>
                <w:b/>
                <w:color w:val="231F20"/>
                <w:w w:val="90"/>
                <w:sz w:val="24"/>
              </w:rPr>
              <w:t>2018</w:t>
            </w:r>
            <w:r>
              <w:rPr>
                <w:b/>
                <w:color w:val="231F20"/>
                <w:w w:val="90"/>
                <w:sz w:val="24"/>
              </w:rPr>
              <w:tab/>
              <w:t>-</w:t>
            </w:r>
            <w:r>
              <w:rPr>
                <w:b/>
                <w:color w:val="231F20"/>
                <w:spacing w:val="-29"/>
                <w:w w:val="90"/>
                <w:sz w:val="24"/>
              </w:rPr>
              <w:t xml:space="preserve"> </w:t>
            </w:r>
            <w:r>
              <w:rPr>
                <w:b/>
                <w:color w:val="231F20"/>
                <w:w w:val="90"/>
                <w:sz w:val="24"/>
              </w:rPr>
              <w:t>2022</w:t>
            </w:r>
            <w:r>
              <w:rPr>
                <w:b/>
                <w:color w:val="231F20"/>
                <w:spacing w:val="-28"/>
                <w:w w:val="90"/>
                <w:sz w:val="24"/>
              </w:rPr>
              <w:t xml:space="preserve"> </w:t>
            </w:r>
            <w:r>
              <w:rPr>
                <w:b/>
                <w:color w:val="231F20"/>
                <w:w w:val="90"/>
                <w:sz w:val="24"/>
              </w:rPr>
              <w:t>Essential</w:t>
            </w:r>
          </w:p>
          <w:p w14:paraId="2C0C1DAD" w14:textId="752658A6" w:rsidR="009948F1" w:rsidRDefault="00BC0563">
            <w:pPr>
              <w:pStyle w:val="TableParagraph"/>
              <w:tabs>
                <w:tab w:val="left" w:pos="2592"/>
              </w:tabs>
              <w:spacing w:line="267" w:lineRule="exact"/>
              <w:ind w:left="107"/>
              <w:rPr>
                <w:b/>
                <w:sz w:val="24"/>
              </w:rPr>
            </w:pPr>
            <w:r>
              <w:rPr>
                <w:b/>
                <w:color w:val="231F20"/>
                <w:w w:val="80"/>
                <w:sz w:val="24"/>
              </w:rPr>
              <w:t>Package</w:t>
            </w:r>
            <w:r>
              <w:rPr>
                <w:b/>
                <w:color w:val="231F20"/>
                <w:spacing w:val="-11"/>
                <w:w w:val="80"/>
                <w:sz w:val="24"/>
              </w:rPr>
              <w:t xml:space="preserve"> </w:t>
            </w:r>
            <w:r>
              <w:rPr>
                <w:b/>
                <w:color w:val="231F20"/>
                <w:w w:val="80"/>
                <w:sz w:val="24"/>
              </w:rPr>
              <w:t>Moderate</w:t>
            </w:r>
            <w:r>
              <w:rPr>
                <w:b/>
                <w:color w:val="231F20"/>
                <w:spacing w:val="-11"/>
                <w:w w:val="80"/>
                <w:sz w:val="24"/>
              </w:rPr>
              <w:t xml:space="preserve"> </w:t>
            </w:r>
            <w:r>
              <w:rPr>
                <w:b/>
                <w:color w:val="231F20"/>
                <w:w w:val="80"/>
                <w:sz w:val="24"/>
              </w:rPr>
              <w:t>Scale</w:t>
            </w:r>
            <w:r>
              <w:rPr>
                <w:b/>
                <w:color w:val="231F20"/>
                <w:w w:val="80"/>
                <w:sz w:val="24"/>
              </w:rPr>
              <w:tab/>
            </w:r>
            <w:r>
              <w:rPr>
                <w:b/>
                <w:color w:val="231F20"/>
                <w:w w:val="90"/>
                <w:sz w:val="24"/>
              </w:rPr>
              <w:t>-</w:t>
            </w:r>
            <w:r>
              <w:rPr>
                <w:b/>
                <w:color w:val="231F20"/>
                <w:spacing w:val="-15"/>
                <w:w w:val="90"/>
                <w:sz w:val="24"/>
              </w:rPr>
              <w:t xml:space="preserve"> </w:t>
            </w:r>
            <w:r>
              <w:rPr>
                <w:b/>
                <w:color w:val="231F20"/>
                <w:w w:val="90"/>
                <w:sz w:val="24"/>
              </w:rPr>
              <w:t>up</w:t>
            </w:r>
            <w:r>
              <w:rPr>
                <w:b/>
                <w:color w:val="231F20"/>
                <w:spacing w:val="-12"/>
                <w:w w:val="90"/>
                <w:sz w:val="24"/>
              </w:rPr>
              <w:t xml:space="preserve"> </w:t>
            </w:r>
            <w:r>
              <w:rPr>
                <w:b/>
                <w:color w:val="231F20"/>
                <w:w w:val="90"/>
                <w:sz w:val="24"/>
              </w:rPr>
              <w:t>Scenario,</w:t>
            </w:r>
            <w:r>
              <w:rPr>
                <w:b/>
                <w:color w:val="231F20"/>
                <w:spacing w:val="-13"/>
                <w:w w:val="90"/>
                <w:sz w:val="24"/>
              </w:rPr>
              <w:t xml:space="preserve"> </w:t>
            </w:r>
            <w:r>
              <w:rPr>
                <w:b/>
                <w:color w:val="231F20"/>
                <w:w w:val="90"/>
                <w:sz w:val="24"/>
              </w:rPr>
              <w:t>in</w:t>
            </w:r>
            <w:r>
              <w:rPr>
                <w:b/>
                <w:color w:val="231F20"/>
                <w:spacing w:val="-13"/>
                <w:w w:val="90"/>
                <w:sz w:val="24"/>
              </w:rPr>
              <w:t xml:space="preserve"> </w:t>
            </w:r>
            <w:r>
              <w:rPr>
                <w:b/>
                <w:color w:val="231F20"/>
                <w:w w:val="90"/>
                <w:sz w:val="24"/>
              </w:rPr>
              <w:t>Million</w:t>
            </w:r>
            <w:r w:rsidR="00365548">
              <w:rPr>
                <w:b/>
                <w:color w:val="231F20"/>
                <w:w w:val="90"/>
                <w:sz w:val="24"/>
              </w:rPr>
              <w:t xml:space="preserve"> </w:t>
            </w:r>
            <w:r>
              <w:rPr>
                <w:b/>
                <w:color w:val="231F20"/>
                <w:w w:val="90"/>
                <w:sz w:val="24"/>
              </w:rPr>
              <w:t>(</w:t>
            </w:r>
            <w:r>
              <w:rPr>
                <w:rFonts w:ascii="BABEL Unicode"/>
                <w:b/>
                <w:color w:val="231F20"/>
                <w:w w:val="90"/>
                <w:sz w:val="24"/>
              </w:rPr>
              <w:t>?</w:t>
            </w:r>
            <w:r>
              <w:rPr>
                <w:rFonts w:ascii="BABEL Unicode"/>
                <w:b/>
                <w:color w:val="231F20"/>
                <w:spacing w:val="-17"/>
                <w:w w:val="90"/>
                <w:sz w:val="24"/>
              </w:rPr>
              <w:t xml:space="preserve"> </w:t>
            </w:r>
            <w:r>
              <w:rPr>
                <w:b/>
                <w:color w:val="231F20"/>
                <w:w w:val="90"/>
                <w:sz w:val="24"/>
              </w:rPr>
              <w:t>)</w:t>
            </w:r>
          </w:p>
        </w:tc>
        <w:tc>
          <w:tcPr>
            <w:tcW w:w="792" w:type="dxa"/>
            <w:vMerge w:val="restart"/>
          </w:tcPr>
          <w:p w14:paraId="67DB47AB" w14:textId="77777777" w:rsidR="009948F1" w:rsidRDefault="009948F1">
            <w:pPr>
              <w:pStyle w:val="TableParagraph"/>
              <w:rPr>
                <w:b/>
                <w:i/>
                <w:sz w:val="24"/>
              </w:rPr>
            </w:pPr>
          </w:p>
          <w:p w14:paraId="62595272" w14:textId="77777777" w:rsidR="009948F1" w:rsidRDefault="009948F1">
            <w:pPr>
              <w:pStyle w:val="TableParagraph"/>
              <w:rPr>
                <w:b/>
                <w:i/>
                <w:sz w:val="24"/>
              </w:rPr>
            </w:pPr>
          </w:p>
          <w:p w14:paraId="17BCCBC3" w14:textId="77777777" w:rsidR="009948F1" w:rsidRDefault="00BC0563">
            <w:pPr>
              <w:pStyle w:val="TableParagraph"/>
              <w:spacing w:before="207" w:line="266" w:lineRule="exact"/>
              <w:ind w:left="104"/>
              <w:rPr>
                <w:b/>
                <w:sz w:val="24"/>
              </w:rPr>
            </w:pPr>
            <w:r>
              <w:rPr>
                <w:b/>
                <w:color w:val="231F20"/>
                <w:w w:val="85"/>
                <w:sz w:val="24"/>
              </w:rPr>
              <w:t>%</w:t>
            </w:r>
            <w:r>
              <w:rPr>
                <w:b/>
                <w:color w:val="231F20"/>
                <w:spacing w:val="-35"/>
                <w:w w:val="85"/>
                <w:sz w:val="24"/>
              </w:rPr>
              <w:t xml:space="preserve"> </w:t>
            </w:r>
            <w:r>
              <w:rPr>
                <w:b/>
                <w:color w:val="231F20"/>
                <w:w w:val="85"/>
                <w:sz w:val="24"/>
              </w:rPr>
              <w:t>of</w:t>
            </w:r>
          </w:p>
          <w:p w14:paraId="40E1C458" w14:textId="77777777" w:rsidR="009948F1" w:rsidRDefault="00BC0563">
            <w:pPr>
              <w:pStyle w:val="TableParagraph"/>
              <w:spacing w:before="12" w:line="254" w:lineRule="exact"/>
              <w:ind w:left="104" w:right="211"/>
              <w:rPr>
                <w:b/>
                <w:sz w:val="24"/>
              </w:rPr>
            </w:pPr>
            <w:r>
              <w:rPr>
                <w:b/>
                <w:color w:val="231F20"/>
                <w:spacing w:val="-3"/>
                <w:w w:val="75"/>
                <w:sz w:val="24"/>
              </w:rPr>
              <w:t xml:space="preserve">Total </w:t>
            </w:r>
            <w:r>
              <w:rPr>
                <w:b/>
                <w:color w:val="231F20"/>
                <w:w w:val="80"/>
                <w:sz w:val="24"/>
              </w:rPr>
              <w:t>Cost</w:t>
            </w:r>
          </w:p>
        </w:tc>
      </w:tr>
      <w:tr w:rsidR="009948F1" w14:paraId="4A23E65C" w14:textId="77777777">
        <w:trPr>
          <w:trHeight w:val="1017"/>
        </w:trPr>
        <w:tc>
          <w:tcPr>
            <w:tcW w:w="1850" w:type="dxa"/>
            <w:tcBorders>
              <w:right w:val="single" w:sz="6" w:space="0" w:color="231F20"/>
            </w:tcBorders>
            <w:shd w:val="clear" w:color="auto" w:fill="FAE29B"/>
          </w:tcPr>
          <w:p w14:paraId="28CC03F4" w14:textId="77777777" w:rsidR="009948F1" w:rsidRDefault="00BC0563">
            <w:pPr>
              <w:pStyle w:val="TableParagraph"/>
              <w:tabs>
                <w:tab w:val="left" w:pos="1618"/>
              </w:tabs>
              <w:spacing w:line="230" w:lineRule="exact"/>
              <w:ind w:left="107"/>
              <w:rPr>
                <w:b/>
                <w:sz w:val="24"/>
              </w:rPr>
            </w:pPr>
            <w:r>
              <w:rPr>
                <w:b/>
                <w:color w:val="231F20"/>
                <w:w w:val="90"/>
                <w:sz w:val="24"/>
              </w:rPr>
              <w:t>SHDP</w:t>
            </w:r>
            <w:r>
              <w:rPr>
                <w:b/>
                <w:color w:val="231F20"/>
                <w:spacing w:val="-44"/>
                <w:w w:val="90"/>
                <w:sz w:val="24"/>
              </w:rPr>
              <w:t xml:space="preserve"> </w:t>
            </w:r>
            <w:r>
              <w:rPr>
                <w:b/>
                <w:color w:val="231F20"/>
                <w:w w:val="90"/>
                <w:sz w:val="24"/>
              </w:rPr>
              <w:t>II</w:t>
            </w:r>
            <w:r>
              <w:rPr>
                <w:b/>
                <w:color w:val="231F20"/>
                <w:spacing w:val="-42"/>
                <w:w w:val="90"/>
                <w:sz w:val="24"/>
              </w:rPr>
              <w:t xml:space="preserve"> </w:t>
            </w:r>
            <w:r>
              <w:rPr>
                <w:b/>
                <w:color w:val="231F20"/>
                <w:w w:val="90"/>
                <w:sz w:val="24"/>
              </w:rPr>
              <w:t>2017</w:t>
            </w:r>
            <w:r>
              <w:rPr>
                <w:b/>
                <w:color w:val="231F20"/>
                <w:w w:val="90"/>
                <w:sz w:val="24"/>
              </w:rPr>
              <w:tab/>
              <w:t>-</w:t>
            </w:r>
          </w:p>
          <w:p w14:paraId="35C07FE8" w14:textId="77777777" w:rsidR="009948F1" w:rsidRDefault="00BC0563">
            <w:pPr>
              <w:pStyle w:val="TableParagraph"/>
              <w:spacing w:line="255" w:lineRule="exact"/>
              <w:ind w:left="107"/>
              <w:rPr>
                <w:b/>
                <w:sz w:val="24"/>
              </w:rPr>
            </w:pPr>
            <w:r>
              <w:rPr>
                <w:b/>
                <w:color w:val="231F20"/>
                <w:w w:val="90"/>
                <w:sz w:val="24"/>
              </w:rPr>
              <w:t>2021</w:t>
            </w:r>
          </w:p>
          <w:p w14:paraId="34F7C013" w14:textId="77777777" w:rsidR="009948F1" w:rsidRDefault="00BC0563">
            <w:pPr>
              <w:pStyle w:val="TableParagraph"/>
              <w:spacing w:before="12" w:line="254" w:lineRule="exact"/>
              <w:ind w:left="107" w:right="27" w:firstLine="112"/>
              <w:rPr>
                <w:b/>
                <w:sz w:val="24"/>
              </w:rPr>
            </w:pPr>
            <w:proofErr w:type="spellStart"/>
            <w:r>
              <w:rPr>
                <w:b/>
                <w:color w:val="231F20"/>
                <w:w w:val="75"/>
                <w:sz w:val="24"/>
              </w:rPr>
              <w:t>Programme</w:t>
            </w:r>
            <w:proofErr w:type="spellEnd"/>
            <w:r>
              <w:rPr>
                <w:b/>
                <w:color w:val="231F20"/>
                <w:w w:val="75"/>
                <w:sz w:val="24"/>
              </w:rPr>
              <w:t xml:space="preserve"> </w:t>
            </w:r>
            <w:r>
              <w:rPr>
                <w:b/>
                <w:color w:val="231F20"/>
                <w:w w:val="90"/>
                <w:sz w:val="24"/>
              </w:rPr>
              <w:t>Areas</w:t>
            </w:r>
          </w:p>
        </w:tc>
        <w:tc>
          <w:tcPr>
            <w:tcW w:w="1221" w:type="dxa"/>
            <w:gridSpan w:val="2"/>
            <w:tcBorders>
              <w:left w:val="single" w:sz="6" w:space="0" w:color="231F20"/>
              <w:right w:val="single" w:sz="6" w:space="0" w:color="231F20"/>
            </w:tcBorders>
            <w:shd w:val="clear" w:color="auto" w:fill="FAE29B"/>
          </w:tcPr>
          <w:p w14:paraId="1F9055BF" w14:textId="77777777" w:rsidR="009948F1" w:rsidRDefault="009948F1">
            <w:pPr>
              <w:pStyle w:val="TableParagraph"/>
              <w:spacing w:before="5"/>
              <w:rPr>
                <w:b/>
                <w:i/>
                <w:sz w:val="29"/>
              </w:rPr>
            </w:pPr>
          </w:p>
          <w:p w14:paraId="7F3646BE" w14:textId="77777777" w:rsidR="009948F1" w:rsidRDefault="00BC0563">
            <w:pPr>
              <w:pStyle w:val="TableParagraph"/>
              <w:ind w:left="115"/>
              <w:rPr>
                <w:b/>
                <w:sz w:val="26"/>
              </w:rPr>
            </w:pPr>
            <w:r>
              <w:rPr>
                <w:b/>
                <w:color w:val="231F20"/>
                <w:w w:val="90"/>
                <w:sz w:val="26"/>
              </w:rPr>
              <w:t>201 8</w:t>
            </w:r>
          </w:p>
        </w:tc>
        <w:tc>
          <w:tcPr>
            <w:tcW w:w="994" w:type="dxa"/>
            <w:tcBorders>
              <w:left w:val="single" w:sz="6" w:space="0" w:color="231F20"/>
              <w:right w:val="single" w:sz="6" w:space="0" w:color="231F20"/>
            </w:tcBorders>
            <w:shd w:val="clear" w:color="auto" w:fill="FAE29B"/>
          </w:tcPr>
          <w:p w14:paraId="6044D65E" w14:textId="77777777" w:rsidR="009948F1" w:rsidRDefault="009948F1">
            <w:pPr>
              <w:pStyle w:val="TableParagraph"/>
              <w:spacing w:before="5"/>
              <w:rPr>
                <w:b/>
                <w:i/>
                <w:sz w:val="29"/>
              </w:rPr>
            </w:pPr>
          </w:p>
          <w:p w14:paraId="4BE0AAFD" w14:textId="77777777" w:rsidR="009948F1" w:rsidRDefault="00BC0563">
            <w:pPr>
              <w:pStyle w:val="TableParagraph"/>
              <w:ind w:left="113"/>
              <w:rPr>
                <w:b/>
                <w:sz w:val="26"/>
              </w:rPr>
            </w:pPr>
            <w:r>
              <w:rPr>
                <w:b/>
                <w:color w:val="231F20"/>
                <w:w w:val="90"/>
                <w:sz w:val="26"/>
              </w:rPr>
              <w:t>201 9</w:t>
            </w:r>
          </w:p>
        </w:tc>
        <w:tc>
          <w:tcPr>
            <w:tcW w:w="994" w:type="dxa"/>
            <w:tcBorders>
              <w:left w:val="single" w:sz="6" w:space="0" w:color="231F20"/>
              <w:right w:val="single" w:sz="6" w:space="0" w:color="231F20"/>
            </w:tcBorders>
            <w:shd w:val="clear" w:color="auto" w:fill="FAE29B"/>
          </w:tcPr>
          <w:p w14:paraId="050C99C2" w14:textId="77777777" w:rsidR="009948F1" w:rsidRDefault="009948F1">
            <w:pPr>
              <w:pStyle w:val="TableParagraph"/>
              <w:spacing w:before="5"/>
              <w:rPr>
                <w:b/>
                <w:i/>
                <w:sz w:val="29"/>
              </w:rPr>
            </w:pPr>
          </w:p>
          <w:p w14:paraId="4F7365E4" w14:textId="77777777" w:rsidR="009948F1" w:rsidRDefault="00BC0563">
            <w:pPr>
              <w:pStyle w:val="TableParagraph"/>
              <w:ind w:left="113"/>
              <w:rPr>
                <w:b/>
                <w:sz w:val="26"/>
              </w:rPr>
            </w:pPr>
            <w:r>
              <w:rPr>
                <w:b/>
                <w:color w:val="231F20"/>
                <w:w w:val="90"/>
                <w:sz w:val="26"/>
              </w:rPr>
              <w:t>2020</w:t>
            </w:r>
          </w:p>
        </w:tc>
        <w:tc>
          <w:tcPr>
            <w:tcW w:w="994" w:type="dxa"/>
            <w:tcBorders>
              <w:left w:val="single" w:sz="6" w:space="0" w:color="231F20"/>
              <w:right w:val="single" w:sz="6" w:space="0" w:color="231F20"/>
            </w:tcBorders>
            <w:shd w:val="clear" w:color="auto" w:fill="FAE29B"/>
          </w:tcPr>
          <w:p w14:paraId="1918C16F" w14:textId="77777777" w:rsidR="009948F1" w:rsidRDefault="009948F1">
            <w:pPr>
              <w:pStyle w:val="TableParagraph"/>
              <w:spacing w:before="5"/>
              <w:rPr>
                <w:b/>
                <w:i/>
                <w:sz w:val="29"/>
              </w:rPr>
            </w:pPr>
          </w:p>
          <w:p w14:paraId="65C17E7D" w14:textId="77777777" w:rsidR="009948F1" w:rsidRDefault="00BC0563">
            <w:pPr>
              <w:pStyle w:val="TableParagraph"/>
              <w:ind w:left="113"/>
              <w:rPr>
                <w:b/>
                <w:sz w:val="26"/>
              </w:rPr>
            </w:pPr>
            <w:r>
              <w:rPr>
                <w:b/>
                <w:color w:val="231F20"/>
                <w:w w:val="90"/>
                <w:sz w:val="26"/>
              </w:rPr>
              <w:t>202 1</w:t>
            </w:r>
          </w:p>
        </w:tc>
        <w:tc>
          <w:tcPr>
            <w:tcW w:w="1170" w:type="dxa"/>
            <w:tcBorders>
              <w:left w:val="single" w:sz="6" w:space="0" w:color="231F20"/>
              <w:right w:val="single" w:sz="6" w:space="0" w:color="231F20"/>
            </w:tcBorders>
            <w:shd w:val="clear" w:color="auto" w:fill="FAE29B"/>
          </w:tcPr>
          <w:p w14:paraId="4B1E5FF8" w14:textId="77777777" w:rsidR="009948F1" w:rsidRDefault="009948F1">
            <w:pPr>
              <w:pStyle w:val="TableParagraph"/>
              <w:spacing w:before="5"/>
              <w:rPr>
                <w:b/>
                <w:i/>
                <w:sz w:val="29"/>
              </w:rPr>
            </w:pPr>
          </w:p>
          <w:p w14:paraId="67548FC6" w14:textId="77777777" w:rsidR="009948F1" w:rsidRDefault="00BC0563">
            <w:pPr>
              <w:pStyle w:val="TableParagraph"/>
              <w:ind w:left="113"/>
              <w:rPr>
                <w:b/>
                <w:sz w:val="26"/>
              </w:rPr>
            </w:pPr>
            <w:r>
              <w:rPr>
                <w:b/>
                <w:color w:val="231F20"/>
                <w:w w:val="90"/>
                <w:sz w:val="26"/>
              </w:rPr>
              <w:t>202 2</w:t>
            </w:r>
          </w:p>
        </w:tc>
        <w:tc>
          <w:tcPr>
            <w:tcW w:w="1188" w:type="dxa"/>
            <w:tcBorders>
              <w:left w:val="single" w:sz="6" w:space="0" w:color="231F20"/>
            </w:tcBorders>
            <w:shd w:val="clear" w:color="auto" w:fill="FAE29B"/>
          </w:tcPr>
          <w:p w14:paraId="321C813D" w14:textId="77777777" w:rsidR="009948F1" w:rsidRDefault="009948F1">
            <w:pPr>
              <w:pStyle w:val="TableParagraph"/>
              <w:spacing w:before="5"/>
              <w:rPr>
                <w:b/>
                <w:i/>
                <w:sz w:val="29"/>
              </w:rPr>
            </w:pPr>
          </w:p>
          <w:p w14:paraId="0A96C0A1" w14:textId="77777777" w:rsidR="009948F1" w:rsidRDefault="00BC0563">
            <w:pPr>
              <w:pStyle w:val="TableParagraph"/>
              <w:ind w:left="112"/>
              <w:rPr>
                <w:b/>
                <w:sz w:val="26"/>
              </w:rPr>
            </w:pPr>
            <w:r>
              <w:rPr>
                <w:b/>
                <w:color w:val="231F20"/>
                <w:w w:val="90"/>
                <w:sz w:val="26"/>
              </w:rPr>
              <w:t>Total</w:t>
            </w:r>
          </w:p>
        </w:tc>
        <w:tc>
          <w:tcPr>
            <w:tcW w:w="792" w:type="dxa"/>
            <w:vMerge/>
            <w:tcBorders>
              <w:top w:val="nil"/>
            </w:tcBorders>
          </w:tcPr>
          <w:p w14:paraId="54688E32" w14:textId="77777777" w:rsidR="009948F1" w:rsidRDefault="009948F1">
            <w:pPr>
              <w:rPr>
                <w:sz w:val="2"/>
                <w:szCs w:val="2"/>
              </w:rPr>
            </w:pPr>
          </w:p>
        </w:tc>
      </w:tr>
      <w:tr w:rsidR="009948F1" w14:paraId="533457AE" w14:textId="77777777">
        <w:trPr>
          <w:trHeight w:val="1018"/>
        </w:trPr>
        <w:tc>
          <w:tcPr>
            <w:tcW w:w="2034" w:type="dxa"/>
            <w:gridSpan w:val="2"/>
            <w:tcBorders>
              <w:bottom w:val="single" w:sz="6" w:space="0" w:color="231F20"/>
              <w:right w:val="single" w:sz="6" w:space="0" w:color="231F20"/>
            </w:tcBorders>
          </w:tcPr>
          <w:p w14:paraId="5E493B3A" w14:textId="77777777" w:rsidR="009948F1" w:rsidRDefault="009948F1">
            <w:pPr>
              <w:pStyle w:val="TableParagraph"/>
              <w:spacing w:before="10"/>
              <w:rPr>
                <w:b/>
                <w:i/>
                <w:sz w:val="20"/>
              </w:rPr>
            </w:pPr>
          </w:p>
          <w:p w14:paraId="3A71F7D0" w14:textId="77777777" w:rsidR="009948F1" w:rsidRDefault="00BC0563">
            <w:pPr>
              <w:pStyle w:val="TableParagraph"/>
              <w:spacing w:line="204" w:lineRule="auto"/>
              <w:ind w:left="107"/>
              <w:rPr>
                <w:b/>
                <w:sz w:val="26"/>
              </w:rPr>
            </w:pPr>
            <w:r>
              <w:rPr>
                <w:b/>
                <w:color w:val="231F20"/>
                <w:w w:val="80"/>
                <w:sz w:val="26"/>
              </w:rPr>
              <w:t xml:space="preserve">Maternal/newborn </w:t>
            </w:r>
            <w:r>
              <w:rPr>
                <w:b/>
                <w:color w:val="231F20"/>
                <w:w w:val="85"/>
                <w:sz w:val="26"/>
              </w:rPr>
              <w:t>and reproductive</w:t>
            </w:r>
          </w:p>
          <w:p w14:paraId="413CB4F0" w14:textId="77777777" w:rsidR="009948F1" w:rsidRDefault="00BC0563">
            <w:pPr>
              <w:pStyle w:val="TableParagraph"/>
              <w:spacing w:line="250" w:lineRule="exact"/>
              <w:ind w:left="107"/>
              <w:rPr>
                <w:b/>
                <w:sz w:val="26"/>
              </w:rPr>
            </w:pPr>
            <w:r>
              <w:rPr>
                <w:b/>
                <w:color w:val="231F20"/>
                <w:w w:val="90"/>
                <w:sz w:val="26"/>
              </w:rPr>
              <w:t>health</w:t>
            </w:r>
          </w:p>
        </w:tc>
        <w:tc>
          <w:tcPr>
            <w:tcW w:w="1037" w:type="dxa"/>
            <w:tcBorders>
              <w:left w:val="single" w:sz="6" w:space="0" w:color="231F20"/>
              <w:bottom w:val="single" w:sz="6" w:space="0" w:color="231F20"/>
              <w:right w:val="single" w:sz="6" w:space="0" w:color="231F20"/>
            </w:tcBorders>
          </w:tcPr>
          <w:p w14:paraId="50F634E0" w14:textId="77777777" w:rsidR="009948F1" w:rsidRDefault="009948F1">
            <w:pPr>
              <w:pStyle w:val="TableParagraph"/>
              <w:spacing w:before="6"/>
              <w:rPr>
                <w:b/>
                <w:i/>
                <w:sz w:val="30"/>
              </w:rPr>
            </w:pPr>
          </w:p>
          <w:p w14:paraId="10575F7A"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903M</w:t>
            </w:r>
          </w:p>
        </w:tc>
        <w:tc>
          <w:tcPr>
            <w:tcW w:w="994" w:type="dxa"/>
            <w:tcBorders>
              <w:left w:val="single" w:sz="6" w:space="0" w:color="231F20"/>
              <w:bottom w:val="single" w:sz="6" w:space="0" w:color="231F20"/>
              <w:right w:val="single" w:sz="6" w:space="0" w:color="231F20"/>
            </w:tcBorders>
          </w:tcPr>
          <w:p w14:paraId="02F68698" w14:textId="77777777" w:rsidR="009948F1" w:rsidRDefault="009948F1">
            <w:pPr>
              <w:pStyle w:val="TableParagraph"/>
              <w:spacing w:before="6"/>
              <w:rPr>
                <w:b/>
                <w:i/>
                <w:sz w:val="30"/>
              </w:rPr>
            </w:pPr>
          </w:p>
          <w:p w14:paraId="46961C55"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918M</w:t>
            </w:r>
          </w:p>
        </w:tc>
        <w:tc>
          <w:tcPr>
            <w:tcW w:w="994" w:type="dxa"/>
            <w:tcBorders>
              <w:left w:val="single" w:sz="6" w:space="0" w:color="231F20"/>
              <w:bottom w:val="single" w:sz="6" w:space="0" w:color="231F20"/>
              <w:right w:val="single" w:sz="6" w:space="0" w:color="231F20"/>
            </w:tcBorders>
          </w:tcPr>
          <w:p w14:paraId="07C9BBAE" w14:textId="77777777" w:rsidR="009948F1" w:rsidRDefault="009948F1">
            <w:pPr>
              <w:pStyle w:val="TableParagraph"/>
              <w:spacing w:before="6"/>
              <w:rPr>
                <w:b/>
                <w:i/>
                <w:sz w:val="30"/>
              </w:rPr>
            </w:pPr>
          </w:p>
          <w:p w14:paraId="6131C1AC"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926M</w:t>
            </w:r>
          </w:p>
        </w:tc>
        <w:tc>
          <w:tcPr>
            <w:tcW w:w="994" w:type="dxa"/>
            <w:tcBorders>
              <w:left w:val="single" w:sz="6" w:space="0" w:color="231F20"/>
              <w:bottom w:val="single" w:sz="6" w:space="0" w:color="231F20"/>
              <w:right w:val="single" w:sz="6" w:space="0" w:color="231F20"/>
            </w:tcBorders>
          </w:tcPr>
          <w:p w14:paraId="4CDFDDEB" w14:textId="77777777" w:rsidR="009948F1" w:rsidRDefault="009948F1">
            <w:pPr>
              <w:pStyle w:val="TableParagraph"/>
              <w:spacing w:before="6"/>
              <w:rPr>
                <w:b/>
                <w:i/>
                <w:sz w:val="30"/>
              </w:rPr>
            </w:pPr>
          </w:p>
          <w:p w14:paraId="43515291"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938M</w:t>
            </w:r>
          </w:p>
        </w:tc>
        <w:tc>
          <w:tcPr>
            <w:tcW w:w="1170" w:type="dxa"/>
            <w:tcBorders>
              <w:left w:val="single" w:sz="6" w:space="0" w:color="231F20"/>
              <w:bottom w:val="single" w:sz="6" w:space="0" w:color="231F20"/>
              <w:right w:val="single" w:sz="6" w:space="0" w:color="231F20"/>
            </w:tcBorders>
          </w:tcPr>
          <w:p w14:paraId="21D9687C" w14:textId="77777777" w:rsidR="009948F1" w:rsidRDefault="009948F1">
            <w:pPr>
              <w:pStyle w:val="TableParagraph"/>
              <w:spacing w:before="6"/>
              <w:rPr>
                <w:b/>
                <w:i/>
                <w:sz w:val="30"/>
              </w:rPr>
            </w:pPr>
          </w:p>
          <w:p w14:paraId="2C8A0E6D" w14:textId="77777777" w:rsidR="009948F1" w:rsidRDefault="00BC0563">
            <w:pPr>
              <w:pStyle w:val="TableParagraph"/>
              <w:ind w:left="160"/>
              <w:rPr>
                <w:rFonts w:ascii="Carlito"/>
                <w:sz w:val="26"/>
              </w:rPr>
            </w:pPr>
            <w:r>
              <w:rPr>
                <w:color w:val="231F20"/>
                <w:w w:val="85"/>
                <w:sz w:val="26"/>
              </w:rPr>
              <w:t xml:space="preserve">? </w:t>
            </w:r>
            <w:r>
              <w:rPr>
                <w:rFonts w:ascii="Carlito"/>
                <w:color w:val="231F20"/>
                <w:w w:val="85"/>
                <w:sz w:val="26"/>
              </w:rPr>
              <w:t>948M</w:t>
            </w:r>
          </w:p>
        </w:tc>
        <w:tc>
          <w:tcPr>
            <w:tcW w:w="1188" w:type="dxa"/>
            <w:tcBorders>
              <w:left w:val="single" w:sz="6" w:space="0" w:color="231F20"/>
              <w:bottom w:val="single" w:sz="6" w:space="0" w:color="231F20"/>
            </w:tcBorders>
          </w:tcPr>
          <w:p w14:paraId="475839F9" w14:textId="77777777" w:rsidR="009948F1" w:rsidRDefault="009948F1">
            <w:pPr>
              <w:pStyle w:val="TableParagraph"/>
              <w:spacing w:before="6"/>
              <w:rPr>
                <w:b/>
                <w:i/>
                <w:sz w:val="30"/>
              </w:rPr>
            </w:pPr>
          </w:p>
          <w:p w14:paraId="1EB4DF26" w14:textId="77777777" w:rsidR="009948F1" w:rsidRDefault="00BC0563">
            <w:pPr>
              <w:pStyle w:val="TableParagraph"/>
              <w:ind w:left="160"/>
              <w:rPr>
                <w:rFonts w:ascii="Carlito"/>
                <w:sz w:val="26"/>
              </w:rPr>
            </w:pPr>
            <w:r>
              <w:rPr>
                <w:color w:val="231F20"/>
                <w:w w:val="85"/>
                <w:sz w:val="26"/>
              </w:rPr>
              <w:t xml:space="preserve">? </w:t>
            </w:r>
            <w:r>
              <w:rPr>
                <w:rFonts w:ascii="Carlito"/>
                <w:color w:val="231F20"/>
                <w:w w:val="85"/>
                <w:sz w:val="26"/>
              </w:rPr>
              <w:t>4,632M</w:t>
            </w:r>
          </w:p>
        </w:tc>
        <w:tc>
          <w:tcPr>
            <w:tcW w:w="792" w:type="dxa"/>
            <w:tcBorders>
              <w:bottom w:val="single" w:sz="6" w:space="0" w:color="231F20"/>
            </w:tcBorders>
          </w:tcPr>
          <w:p w14:paraId="1BE1788B" w14:textId="77777777" w:rsidR="009948F1" w:rsidRDefault="009948F1">
            <w:pPr>
              <w:pStyle w:val="TableParagraph"/>
              <w:spacing w:before="6"/>
              <w:rPr>
                <w:b/>
                <w:i/>
                <w:sz w:val="30"/>
              </w:rPr>
            </w:pPr>
          </w:p>
          <w:p w14:paraId="33DA27C4" w14:textId="77777777" w:rsidR="009948F1" w:rsidRDefault="00BC0563">
            <w:pPr>
              <w:pStyle w:val="TableParagraph"/>
              <w:ind w:left="104"/>
              <w:rPr>
                <w:rFonts w:ascii="Carlito"/>
                <w:b/>
                <w:sz w:val="26"/>
              </w:rPr>
            </w:pPr>
            <w:r>
              <w:rPr>
                <w:rFonts w:ascii="Carlito"/>
                <w:b/>
                <w:color w:val="231F20"/>
                <w:w w:val="90"/>
                <w:sz w:val="26"/>
              </w:rPr>
              <w:t>21.0%</w:t>
            </w:r>
          </w:p>
        </w:tc>
      </w:tr>
      <w:tr w:rsidR="009948F1" w14:paraId="06BAA5B4" w14:textId="77777777">
        <w:trPr>
          <w:trHeight w:val="331"/>
        </w:trPr>
        <w:tc>
          <w:tcPr>
            <w:tcW w:w="2034" w:type="dxa"/>
            <w:gridSpan w:val="2"/>
            <w:tcBorders>
              <w:top w:val="single" w:sz="6" w:space="0" w:color="231F20"/>
              <w:bottom w:val="single" w:sz="6" w:space="0" w:color="231F20"/>
              <w:right w:val="single" w:sz="6" w:space="0" w:color="231F20"/>
            </w:tcBorders>
            <w:shd w:val="clear" w:color="auto" w:fill="F1F2F2"/>
          </w:tcPr>
          <w:p w14:paraId="1A148102" w14:textId="77777777" w:rsidR="009948F1" w:rsidRDefault="00BC0563">
            <w:pPr>
              <w:pStyle w:val="TableParagraph"/>
              <w:spacing w:before="27"/>
              <w:ind w:left="308"/>
              <w:rPr>
                <w:b/>
                <w:sz w:val="21"/>
              </w:rPr>
            </w:pPr>
            <w:r>
              <w:rPr>
                <w:b/>
                <w:color w:val="231F20"/>
                <w:w w:val="90"/>
                <w:sz w:val="21"/>
              </w:rPr>
              <w:t>Child health</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1FA5F88E" w14:textId="77777777" w:rsidR="009948F1" w:rsidRDefault="00BC0563">
            <w:pPr>
              <w:pStyle w:val="TableParagraph"/>
              <w:spacing w:before="40"/>
              <w:ind w:left="114"/>
              <w:rPr>
                <w:rFonts w:ascii="Carlito"/>
                <w:sz w:val="21"/>
              </w:rPr>
            </w:pPr>
            <w:r>
              <w:rPr>
                <w:color w:val="231F20"/>
                <w:w w:val="85"/>
                <w:sz w:val="21"/>
              </w:rPr>
              <w:t xml:space="preserve">? </w:t>
            </w:r>
            <w:r>
              <w:rPr>
                <w:rFonts w:ascii="Carlito"/>
                <w:color w:val="231F20"/>
                <w:w w:val="85"/>
                <w:sz w:val="21"/>
              </w:rPr>
              <w:t>593M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3D3D165C" w14:textId="77777777" w:rsidR="009948F1" w:rsidRDefault="00BC0563">
            <w:pPr>
              <w:pStyle w:val="TableParagraph"/>
              <w:spacing w:before="40"/>
              <w:ind w:left="113"/>
              <w:rPr>
                <w:rFonts w:ascii="Carlito"/>
                <w:sz w:val="21"/>
              </w:rPr>
            </w:pPr>
            <w:r>
              <w:rPr>
                <w:color w:val="231F20"/>
                <w:w w:val="85"/>
                <w:sz w:val="21"/>
              </w:rPr>
              <w:t xml:space="preserve">? </w:t>
            </w:r>
            <w:r>
              <w:rPr>
                <w:rFonts w:ascii="Carlito"/>
                <w:color w:val="231F20"/>
                <w:w w:val="85"/>
                <w:sz w:val="21"/>
              </w:rPr>
              <w:t>613M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6B8F98CB" w14:textId="77777777" w:rsidR="009948F1" w:rsidRDefault="00BC0563">
            <w:pPr>
              <w:pStyle w:val="TableParagraph"/>
              <w:spacing w:before="40"/>
              <w:ind w:left="113"/>
              <w:rPr>
                <w:rFonts w:ascii="Carlito"/>
                <w:sz w:val="21"/>
              </w:rPr>
            </w:pPr>
            <w:r>
              <w:rPr>
                <w:color w:val="231F20"/>
                <w:w w:val="85"/>
                <w:sz w:val="21"/>
              </w:rPr>
              <w:t xml:space="preserve">? </w:t>
            </w:r>
            <w:r>
              <w:rPr>
                <w:rFonts w:ascii="Carlito"/>
                <w:color w:val="231F20"/>
                <w:w w:val="85"/>
                <w:sz w:val="21"/>
              </w:rPr>
              <w:t>629M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EE5879F" w14:textId="77777777" w:rsidR="009948F1" w:rsidRDefault="00BC0563">
            <w:pPr>
              <w:pStyle w:val="TableParagraph"/>
              <w:spacing w:before="40"/>
              <w:ind w:left="113"/>
              <w:rPr>
                <w:rFonts w:ascii="Carlito"/>
                <w:sz w:val="21"/>
              </w:rPr>
            </w:pPr>
            <w:r>
              <w:rPr>
                <w:color w:val="231F20"/>
                <w:w w:val="85"/>
                <w:sz w:val="21"/>
              </w:rPr>
              <w:t xml:space="preserve">? </w:t>
            </w:r>
            <w:r>
              <w:rPr>
                <w:rFonts w:ascii="Carlito"/>
                <w:color w:val="231F20"/>
                <w:w w:val="85"/>
                <w:sz w:val="21"/>
              </w:rPr>
              <w:t>642M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4690E3E9" w14:textId="77777777" w:rsidR="009948F1" w:rsidRDefault="00BC0563">
            <w:pPr>
              <w:pStyle w:val="TableParagraph"/>
              <w:spacing w:before="40"/>
              <w:ind w:left="113"/>
              <w:rPr>
                <w:rFonts w:ascii="Carlito"/>
                <w:sz w:val="21"/>
              </w:rPr>
            </w:pPr>
            <w:r>
              <w:rPr>
                <w:color w:val="231F20"/>
                <w:w w:val="85"/>
                <w:sz w:val="21"/>
              </w:rPr>
              <w:t xml:space="preserve">? </w:t>
            </w:r>
            <w:r>
              <w:rPr>
                <w:rFonts w:ascii="Carlito"/>
                <w:color w:val="231F20"/>
                <w:w w:val="85"/>
                <w:sz w:val="21"/>
              </w:rPr>
              <w:t>649M</w:t>
            </w:r>
          </w:p>
        </w:tc>
        <w:tc>
          <w:tcPr>
            <w:tcW w:w="1188" w:type="dxa"/>
            <w:tcBorders>
              <w:top w:val="single" w:sz="6" w:space="0" w:color="231F20"/>
              <w:left w:val="single" w:sz="6" w:space="0" w:color="231F20"/>
              <w:bottom w:val="single" w:sz="6" w:space="0" w:color="231F20"/>
            </w:tcBorders>
            <w:shd w:val="clear" w:color="auto" w:fill="F1F2F2"/>
          </w:tcPr>
          <w:p w14:paraId="3F8432F1" w14:textId="77777777" w:rsidR="009948F1" w:rsidRDefault="00BC0563">
            <w:pPr>
              <w:pStyle w:val="TableParagraph"/>
              <w:spacing w:before="40"/>
              <w:ind w:left="112"/>
              <w:rPr>
                <w:rFonts w:ascii="Carlito"/>
                <w:sz w:val="21"/>
              </w:rPr>
            </w:pPr>
            <w:r>
              <w:rPr>
                <w:color w:val="231F20"/>
                <w:w w:val="85"/>
                <w:sz w:val="21"/>
              </w:rPr>
              <w:t xml:space="preserve">? </w:t>
            </w:r>
            <w:r>
              <w:rPr>
                <w:rFonts w:ascii="Carlito"/>
                <w:color w:val="231F20"/>
                <w:w w:val="85"/>
                <w:sz w:val="21"/>
              </w:rPr>
              <w:t>3,127M</w:t>
            </w:r>
          </w:p>
        </w:tc>
        <w:tc>
          <w:tcPr>
            <w:tcW w:w="792" w:type="dxa"/>
            <w:tcBorders>
              <w:top w:val="single" w:sz="6" w:space="0" w:color="231F20"/>
              <w:bottom w:val="single" w:sz="6" w:space="0" w:color="231F20"/>
            </w:tcBorders>
            <w:shd w:val="clear" w:color="auto" w:fill="F1F2F2"/>
          </w:tcPr>
          <w:p w14:paraId="4DA32476" w14:textId="77777777" w:rsidR="009948F1" w:rsidRDefault="00BC0563">
            <w:pPr>
              <w:pStyle w:val="TableParagraph"/>
              <w:spacing w:before="40"/>
              <w:ind w:left="104"/>
              <w:rPr>
                <w:rFonts w:ascii="Carlito"/>
                <w:b/>
                <w:sz w:val="21"/>
              </w:rPr>
            </w:pPr>
            <w:r>
              <w:rPr>
                <w:rFonts w:ascii="Carlito"/>
                <w:b/>
                <w:color w:val="231F20"/>
                <w:w w:val="90"/>
                <w:sz w:val="21"/>
              </w:rPr>
              <w:t>14.2%</w:t>
            </w:r>
          </w:p>
        </w:tc>
      </w:tr>
      <w:tr w:rsidR="009948F1" w14:paraId="2A78017A" w14:textId="77777777">
        <w:trPr>
          <w:trHeight w:val="331"/>
        </w:trPr>
        <w:tc>
          <w:tcPr>
            <w:tcW w:w="2034" w:type="dxa"/>
            <w:gridSpan w:val="2"/>
            <w:tcBorders>
              <w:top w:val="single" w:sz="6" w:space="0" w:color="231F20"/>
              <w:bottom w:val="single" w:sz="6" w:space="0" w:color="231F20"/>
              <w:right w:val="single" w:sz="6" w:space="0" w:color="231F20"/>
            </w:tcBorders>
          </w:tcPr>
          <w:p w14:paraId="41738DE8" w14:textId="77777777" w:rsidR="009948F1" w:rsidRDefault="00BC0563">
            <w:pPr>
              <w:pStyle w:val="TableParagraph"/>
              <w:spacing w:before="27"/>
              <w:ind w:left="308"/>
              <w:rPr>
                <w:b/>
                <w:sz w:val="21"/>
              </w:rPr>
            </w:pPr>
            <w:r>
              <w:rPr>
                <w:b/>
                <w:color w:val="231F20"/>
                <w:w w:val="90"/>
                <w:sz w:val="21"/>
              </w:rPr>
              <w:t>Immunization</w:t>
            </w:r>
          </w:p>
        </w:tc>
        <w:tc>
          <w:tcPr>
            <w:tcW w:w="1037" w:type="dxa"/>
            <w:tcBorders>
              <w:top w:val="single" w:sz="6" w:space="0" w:color="231F20"/>
              <w:left w:val="single" w:sz="6" w:space="0" w:color="231F20"/>
              <w:bottom w:val="single" w:sz="6" w:space="0" w:color="231F20"/>
              <w:right w:val="single" w:sz="6" w:space="0" w:color="231F20"/>
            </w:tcBorders>
          </w:tcPr>
          <w:p w14:paraId="0917DADF"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123M</w:t>
            </w:r>
          </w:p>
        </w:tc>
        <w:tc>
          <w:tcPr>
            <w:tcW w:w="994" w:type="dxa"/>
            <w:tcBorders>
              <w:top w:val="single" w:sz="6" w:space="0" w:color="231F20"/>
              <w:left w:val="single" w:sz="6" w:space="0" w:color="231F20"/>
              <w:bottom w:val="single" w:sz="6" w:space="0" w:color="231F20"/>
              <w:right w:val="single" w:sz="6" w:space="0" w:color="231F20"/>
            </w:tcBorders>
          </w:tcPr>
          <w:p w14:paraId="73344B77"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139M</w:t>
            </w:r>
          </w:p>
        </w:tc>
        <w:tc>
          <w:tcPr>
            <w:tcW w:w="994" w:type="dxa"/>
            <w:tcBorders>
              <w:top w:val="single" w:sz="6" w:space="0" w:color="231F20"/>
              <w:left w:val="single" w:sz="6" w:space="0" w:color="231F20"/>
              <w:bottom w:val="single" w:sz="6" w:space="0" w:color="231F20"/>
              <w:right w:val="single" w:sz="6" w:space="0" w:color="231F20"/>
            </w:tcBorders>
          </w:tcPr>
          <w:p w14:paraId="384005BF"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155M</w:t>
            </w:r>
          </w:p>
        </w:tc>
        <w:tc>
          <w:tcPr>
            <w:tcW w:w="994" w:type="dxa"/>
            <w:tcBorders>
              <w:top w:val="single" w:sz="6" w:space="0" w:color="231F20"/>
              <w:left w:val="single" w:sz="6" w:space="0" w:color="231F20"/>
              <w:bottom w:val="single" w:sz="6" w:space="0" w:color="231F20"/>
              <w:right w:val="single" w:sz="6" w:space="0" w:color="231F20"/>
            </w:tcBorders>
          </w:tcPr>
          <w:p w14:paraId="0B29516C"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170M</w:t>
            </w:r>
          </w:p>
        </w:tc>
        <w:tc>
          <w:tcPr>
            <w:tcW w:w="1170" w:type="dxa"/>
            <w:tcBorders>
              <w:top w:val="single" w:sz="6" w:space="0" w:color="231F20"/>
              <w:left w:val="single" w:sz="6" w:space="0" w:color="231F20"/>
              <w:bottom w:val="single" w:sz="6" w:space="0" w:color="231F20"/>
              <w:right w:val="single" w:sz="6" w:space="0" w:color="231F20"/>
            </w:tcBorders>
          </w:tcPr>
          <w:p w14:paraId="4B255854"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184M</w:t>
            </w:r>
          </w:p>
        </w:tc>
        <w:tc>
          <w:tcPr>
            <w:tcW w:w="1188" w:type="dxa"/>
            <w:tcBorders>
              <w:top w:val="single" w:sz="6" w:space="0" w:color="231F20"/>
              <w:left w:val="single" w:sz="6" w:space="0" w:color="231F20"/>
              <w:bottom w:val="single" w:sz="6" w:space="0" w:color="231F20"/>
            </w:tcBorders>
          </w:tcPr>
          <w:p w14:paraId="72BA5BEA"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769M</w:t>
            </w:r>
          </w:p>
        </w:tc>
        <w:tc>
          <w:tcPr>
            <w:tcW w:w="792" w:type="dxa"/>
            <w:tcBorders>
              <w:top w:val="single" w:sz="6" w:space="0" w:color="231F20"/>
              <w:bottom w:val="single" w:sz="6" w:space="0" w:color="231F20"/>
            </w:tcBorders>
          </w:tcPr>
          <w:p w14:paraId="72651232" w14:textId="77777777" w:rsidR="009948F1" w:rsidRDefault="00BC0563">
            <w:pPr>
              <w:pStyle w:val="TableParagraph"/>
              <w:spacing w:before="36"/>
              <w:ind w:left="104"/>
              <w:rPr>
                <w:rFonts w:ascii="Carlito"/>
                <w:b/>
                <w:sz w:val="21"/>
              </w:rPr>
            </w:pPr>
            <w:r>
              <w:rPr>
                <w:rFonts w:ascii="Carlito"/>
                <w:b/>
                <w:color w:val="231F20"/>
                <w:w w:val="90"/>
                <w:sz w:val="21"/>
              </w:rPr>
              <w:t>3.5%</w:t>
            </w:r>
          </w:p>
        </w:tc>
      </w:tr>
      <w:tr w:rsidR="009948F1" w14:paraId="759BA4A2" w14:textId="77777777">
        <w:trPr>
          <w:trHeight w:val="331"/>
        </w:trPr>
        <w:tc>
          <w:tcPr>
            <w:tcW w:w="2034" w:type="dxa"/>
            <w:gridSpan w:val="2"/>
            <w:tcBorders>
              <w:top w:val="single" w:sz="6" w:space="0" w:color="231F20"/>
              <w:bottom w:val="single" w:sz="6" w:space="0" w:color="231F20"/>
              <w:right w:val="single" w:sz="6" w:space="0" w:color="231F20"/>
            </w:tcBorders>
            <w:shd w:val="clear" w:color="auto" w:fill="F1F2F2"/>
          </w:tcPr>
          <w:p w14:paraId="58DD5BCB" w14:textId="77777777" w:rsidR="009948F1" w:rsidRDefault="00BC0563">
            <w:pPr>
              <w:pStyle w:val="TableParagraph"/>
              <w:spacing w:before="27"/>
              <w:ind w:left="308"/>
              <w:rPr>
                <w:b/>
                <w:sz w:val="21"/>
              </w:rPr>
            </w:pPr>
            <w:r>
              <w:rPr>
                <w:b/>
                <w:color w:val="231F20"/>
                <w:w w:val="90"/>
                <w:sz w:val="21"/>
              </w:rPr>
              <w:t>Malaria</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3F17569C" w14:textId="77777777" w:rsidR="009948F1" w:rsidRDefault="00BC0563">
            <w:pPr>
              <w:pStyle w:val="TableParagraph"/>
              <w:spacing w:before="36"/>
              <w:ind w:left="114"/>
              <w:rPr>
                <w:rFonts w:ascii="Carlito"/>
                <w:sz w:val="21"/>
              </w:rPr>
            </w:pPr>
            <w:r>
              <w:rPr>
                <w:color w:val="231F20"/>
                <w:w w:val="85"/>
                <w:sz w:val="21"/>
              </w:rPr>
              <w:t xml:space="preserve">? </w:t>
            </w:r>
            <w:r>
              <w:rPr>
                <w:rFonts w:ascii="Carlito"/>
                <w:color w:val="231F20"/>
                <w:w w:val="85"/>
                <w:sz w:val="21"/>
              </w:rPr>
              <w:t>162M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D626CAB"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140M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43EFDFB2"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241M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64658801"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215M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261F6E20"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195M</w:t>
            </w:r>
          </w:p>
        </w:tc>
        <w:tc>
          <w:tcPr>
            <w:tcW w:w="1188" w:type="dxa"/>
            <w:tcBorders>
              <w:top w:val="single" w:sz="6" w:space="0" w:color="231F20"/>
              <w:left w:val="single" w:sz="6" w:space="0" w:color="231F20"/>
              <w:bottom w:val="single" w:sz="6" w:space="0" w:color="231F20"/>
            </w:tcBorders>
            <w:shd w:val="clear" w:color="auto" w:fill="F1F2F2"/>
          </w:tcPr>
          <w:p w14:paraId="1ED07A59" w14:textId="77777777" w:rsidR="009948F1" w:rsidRDefault="00BC0563">
            <w:pPr>
              <w:pStyle w:val="TableParagraph"/>
              <w:spacing w:before="36"/>
              <w:ind w:left="112"/>
              <w:rPr>
                <w:rFonts w:ascii="Carlito"/>
                <w:sz w:val="21"/>
              </w:rPr>
            </w:pPr>
            <w:r>
              <w:rPr>
                <w:color w:val="231F20"/>
                <w:w w:val="85"/>
                <w:sz w:val="21"/>
              </w:rPr>
              <w:t xml:space="preserve">? </w:t>
            </w:r>
            <w:r>
              <w:rPr>
                <w:rFonts w:ascii="Carlito"/>
                <w:color w:val="231F20"/>
                <w:w w:val="85"/>
                <w:sz w:val="21"/>
              </w:rPr>
              <w:t>951M</w:t>
            </w:r>
          </w:p>
        </w:tc>
        <w:tc>
          <w:tcPr>
            <w:tcW w:w="792" w:type="dxa"/>
            <w:tcBorders>
              <w:top w:val="single" w:sz="6" w:space="0" w:color="231F20"/>
              <w:bottom w:val="single" w:sz="6" w:space="0" w:color="231F20"/>
            </w:tcBorders>
            <w:shd w:val="clear" w:color="auto" w:fill="F1F2F2"/>
          </w:tcPr>
          <w:p w14:paraId="3EF26F11" w14:textId="77777777" w:rsidR="009948F1" w:rsidRDefault="00BC0563">
            <w:pPr>
              <w:pStyle w:val="TableParagraph"/>
              <w:spacing w:before="36"/>
              <w:ind w:left="104"/>
              <w:rPr>
                <w:rFonts w:ascii="Carlito"/>
                <w:b/>
                <w:sz w:val="21"/>
              </w:rPr>
            </w:pPr>
            <w:r>
              <w:rPr>
                <w:rFonts w:ascii="Carlito"/>
                <w:b/>
                <w:color w:val="231F20"/>
                <w:w w:val="90"/>
                <w:sz w:val="21"/>
              </w:rPr>
              <w:t>4.3%</w:t>
            </w:r>
          </w:p>
        </w:tc>
      </w:tr>
      <w:tr w:rsidR="009948F1" w14:paraId="301A930F" w14:textId="77777777">
        <w:trPr>
          <w:trHeight w:val="331"/>
        </w:trPr>
        <w:tc>
          <w:tcPr>
            <w:tcW w:w="2034" w:type="dxa"/>
            <w:gridSpan w:val="2"/>
            <w:tcBorders>
              <w:top w:val="single" w:sz="6" w:space="0" w:color="231F20"/>
              <w:bottom w:val="single" w:sz="6" w:space="0" w:color="231F20"/>
              <w:right w:val="single" w:sz="6" w:space="0" w:color="231F20"/>
            </w:tcBorders>
          </w:tcPr>
          <w:p w14:paraId="6F07C34D" w14:textId="77777777" w:rsidR="009948F1" w:rsidRDefault="00BC0563">
            <w:pPr>
              <w:pStyle w:val="TableParagraph"/>
              <w:spacing w:before="27"/>
              <w:ind w:left="308"/>
              <w:rPr>
                <w:b/>
                <w:sz w:val="21"/>
              </w:rPr>
            </w:pPr>
            <w:r>
              <w:rPr>
                <w:b/>
                <w:color w:val="231F20"/>
                <w:w w:val="90"/>
                <w:sz w:val="21"/>
              </w:rPr>
              <w:t>TB</w:t>
            </w:r>
          </w:p>
        </w:tc>
        <w:tc>
          <w:tcPr>
            <w:tcW w:w="1037" w:type="dxa"/>
            <w:tcBorders>
              <w:top w:val="single" w:sz="6" w:space="0" w:color="231F20"/>
              <w:left w:val="single" w:sz="6" w:space="0" w:color="231F20"/>
              <w:bottom w:val="single" w:sz="6" w:space="0" w:color="231F20"/>
              <w:right w:val="single" w:sz="6" w:space="0" w:color="231F20"/>
            </w:tcBorders>
          </w:tcPr>
          <w:p w14:paraId="17DC42E8"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476M</w:t>
            </w:r>
          </w:p>
        </w:tc>
        <w:tc>
          <w:tcPr>
            <w:tcW w:w="994" w:type="dxa"/>
            <w:tcBorders>
              <w:top w:val="single" w:sz="6" w:space="0" w:color="231F20"/>
              <w:left w:val="single" w:sz="6" w:space="0" w:color="231F20"/>
              <w:bottom w:val="single" w:sz="6" w:space="0" w:color="231F20"/>
              <w:right w:val="single" w:sz="6" w:space="0" w:color="231F20"/>
            </w:tcBorders>
          </w:tcPr>
          <w:p w14:paraId="77FF8157"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616M</w:t>
            </w:r>
          </w:p>
        </w:tc>
        <w:tc>
          <w:tcPr>
            <w:tcW w:w="994" w:type="dxa"/>
            <w:tcBorders>
              <w:top w:val="single" w:sz="6" w:space="0" w:color="231F20"/>
              <w:left w:val="single" w:sz="6" w:space="0" w:color="231F20"/>
              <w:bottom w:val="single" w:sz="6" w:space="0" w:color="231F20"/>
              <w:right w:val="single" w:sz="6" w:space="0" w:color="231F20"/>
            </w:tcBorders>
          </w:tcPr>
          <w:p w14:paraId="2011D640"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752M</w:t>
            </w:r>
          </w:p>
        </w:tc>
        <w:tc>
          <w:tcPr>
            <w:tcW w:w="994" w:type="dxa"/>
            <w:tcBorders>
              <w:top w:val="single" w:sz="6" w:space="0" w:color="231F20"/>
              <w:left w:val="single" w:sz="6" w:space="0" w:color="231F20"/>
              <w:bottom w:val="single" w:sz="6" w:space="0" w:color="231F20"/>
              <w:right w:val="single" w:sz="6" w:space="0" w:color="231F20"/>
            </w:tcBorders>
          </w:tcPr>
          <w:p w14:paraId="6755219A"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891M</w:t>
            </w:r>
          </w:p>
        </w:tc>
        <w:tc>
          <w:tcPr>
            <w:tcW w:w="1170" w:type="dxa"/>
            <w:tcBorders>
              <w:top w:val="single" w:sz="6" w:space="0" w:color="231F20"/>
              <w:left w:val="single" w:sz="6" w:space="0" w:color="231F20"/>
              <w:bottom w:val="single" w:sz="6" w:space="0" w:color="231F20"/>
              <w:right w:val="single" w:sz="6" w:space="0" w:color="231F20"/>
            </w:tcBorders>
          </w:tcPr>
          <w:p w14:paraId="47F6EE4E"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1,028M</w:t>
            </w:r>
          </w:p>
        </w:tc>
        <w:tc>
          <w:tcPr>
            <w:tcW w:w="1188" w:type="dxa"/>
            <w:tcBorders>
              <w:top w:val="single" w:sz="6" w:space="0" w:color="231F20"/>
              <w:left w:val="single" w:sz="6" w:space="0" w:color="231F20"/>
              <w:bottom w:val="single" w:sz="6" w:space="0" w:color="231F20"/>
            </w:tcBorders>
          </w:tcPr>
          <w:p w14:paraId="67210C9C"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3,762M</w:t>
            </w:r>
          </w:p>
        </w:tc>
        <w:tc>
          <w:tcPr>
            <w:tcW w:w="792" w:type="dxa"/>
            <w:tcBorders>
              <w:top w:val="single" w:sz="6" w:space="0" w:color="231F20"/>
              <w:bottom w:val="single" w:sz="6" w:space="0" w:color="231F20"/>
            </w:tcBorders>
          </w:tcPr>
          <w:p w14:paraId="79EDBA8C" w14:textId="77777777" w:rsidR="009948F1" w:rsidRDefault="00BC0563">
            <w:pPr>
              <w:pStyle w:val="TableParagraph"/>
              <w:spacing w:before="36"/>
              <w:ind w:left="104"/>
              <w:rPr>
                <w:rFonts w:ascii="Carlito"/>
                <w:b/>
                <w:sz w:val="21"/>
              </w:rPr>
            </w:pPr>
            <w:r>
              <w:rPr>
                <w:rFonts w:ascii="Carlito"/>
                <w:b/>
                <w:color w:val="231F20"/>
                <w:w w:val="90"/>
                <w:sz w:val="21"/>
              </w:rPr>
              <w:t>17.1%</w:t>
            </w:r>
          </w:p>
        </w:tc>
      </w:tr>
      <w:tr w:rsidR="009948F1" w14:paraId="0420551B" w14:textId="77777777">
        <w:trPr>
          <w:trHeight w:val="331"/>
        </w:trPr>
        <w:tc>
          <w:tcPr>
            <w:tcW w:w="2034" w:type="dxa"/>
            <w:gridSpan w:val="2"/>
            <w:tcBorders>
              <w:top w:val="single" w:sz="6" w:space="0" w:color="231F20"/>
              <w:bottom w:val="single" w:sz="6" w:space="0" w:color="231F20"/>
              <w:right w:val="single" w:sz="6" w:space="0" w:color="231F20"/>
            </w:tcBorders>
            <w:shd w:val="clear" w:color="auto" w:fill="F1F2F2"/>
          </w:tcPr>
          <w:p w14:paraId="06886638" w14:textId="77777777" w:rsidR="009948F1" w:rsidRDefault="00BC0563">
            <w:pPr>
              <w:pStyle w:val="TableParagraph"/>
              <w:spacing w:before="27"/>
              <w:ind w:left="308"/>
              <w:rPr>
                <w:b/>
                <w:sz w:val="21"/>
              </w:rPr>
            </w:pPr>
            <w:r>
              <w:rPr>
                <w:b/>
                <w:color w:val="231F20"/>
                <w:w w:val="90"/>
                <w:sz w:val="21"/>
              </w:rPr>
              <w:t>HIV/AIDS</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39C61590" w14:textId="77777777" w:rsidR="009948F1" w:rsidRDefault="00BC0563">
            <w:pPr>
              <w:pStyle w:val="TableParagraph"/>
              <w:spacing w:before="36"/>
              <w:ind w:left="114"/>
              <w:rPr>
                <w:rFonts w:ascii="Carlito"/>
                <w:sz w:val="21"/>
              </w:rPr>
            </w:pPr>
            <w:r>
              <w:rPr>
                <w:color w:val="231F20"/>
                <w:w w:val="85"/>
                <w:sz w:val="21"/>
              </w:rPr>
              <w:t xml:space="preserve">? </w:t>
            </w:r>
            <w:r>
              <w:rPr>
                <w:rFonts w:ascii="Carlito"/>
                <w:color w:val="231F20"/>
                <w:w w:val="85"/>
                <w:sz w:val="21"/>
              </w:rPr>
              <w:t>355M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F35F705"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402M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5452867B"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446M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CFE0CB3"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489M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393A1E12"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529M</w:t>
            </w:r>
          </w:p>
        </w:tc>
        <w:tc>
          <w:tcPr>
            <w:tcW w:w="1188" w:type="dxa"/>
            <w:tcBorders>
              <w:top w:val="single" w:sz="6" w:space="0" w:color="231F20"/>
              <w:left w:val="single" w:sz="6" w:space="0" w:color="231F20"/>
              <w:bottom w:val="single" w:sz="6" w:space="0" w:color="231F20"/>
            </w:tcBorders>
            <w:shd w:val="clear" w:color="auto" w:fill="F1F2F2"/>
          </w:tcPr>
          <w:p w14:paraId="05A079E0" w14:textId="77777777" w:rsidR="009948F1" w:rsidRDefault="00BC0563">
            <w:pPr>
              <w:pStyle w:val="TableParagraph"/>
              <w:spacing w:before="36"/>
              <w:ind w:left="112"/>
              <w:rPr>
                <w:rFonts w:ascii="Carlito"/>
                <w:sz w:val="21"/>
              </w:rPr>
            </w:pPr>
            <w:r>
              <w:rPr>
                <w:color w:val="231F20"/>
                <w:w w:val="85"/>
                <w:sz w:val="21"/>
              </w:rPr>
              <w:t xml:space="preserve">? </w:t>
            </w:r>
            <w:r>
              <w:rPr>
                <w:rFonts w:ascii="Carlito"/>
                <w:color w:val="231F20"/>
                <w:w w:val="85"/>
                <w:sz w:val="21"/>
              </w:rPr>
              <w:t>2,221M</w:t>
            </w:r>
          </w:p>
        </w:tc>
        <w:tc>
          <w:tcPr>
            <w:tcW w:w="792" w:type="dxa"/>
            <w:tcBorders>
              <w:top w:val="single" w:sz="6" w:space="0" w:color="231F20"/>
              <w:bottom w:val="single" w:sz="6" w:space="0" w:color="231F20"/>
            </w:tcBorders>
            <w:shd w:val="clear" w:color="auto" w:fill="F1F2F2"/>
          </w:tcPr>
          <w:p w14:paraId="787037F9" w14:textId="77777777" w:rsidR="009948F1" w:rsidRDefault="00BC0563">
            <w:pPr>
              <w:pStyle w:val="TableParagraph"/>
              <w:spacing w:before="36"/>
              <w:ind w:left="104"/>
              <w:rPr>
                <w:rFonts w:ascii="Carlito"/>
                <w:b/>
                <w:sz w:val="21"/>
              </w:rPr>
            </w:pPr>
            <w:r>
              <w:rPr>
                <w:rFonts w:ascii="Carlito"/>
                <w:b/>
                <w:color w:val="231F20"/>
                <w:w w:val="90"/>
                <w:sz w:val="21"/>
              </w:rPr>
              <w:t>10.1%</w:t>
            </w:r>
          </w:p>
        </w:tc>
      </w:tr>
      <w:tr w:rsidR="009948F1" w14:paraId="0C65422C" w14:textId="77777777">
        <w:trPr>
          <w:trHeight w:val="331"/>
        </w:trPr>
        <w:tc>
          <w:tcPr>
            <w:tcW w:w="2034" w:type="dxa"/>
            <w:gridSpan w:val="2"/>
            <w:tcBorders>
              <w:top w:val="single" w:sz="6" w:space="0" w:color="231F20"/>
              <w:bottom w:val="single" w:sz="6" w:space="0" w:color="231F20"/>
              <w:right w:val="single" w:sz="6" w:space="0" w:color="231F20"/>
            </w:tcBorders>
          </w:tcPr>
          <w:p w14:paraId="676D93D8" w14:textId="77777777" w:rsidR="009948F1" w:rsidRDefault="00BC0563">
            <w:pPr>
              <w:pStyle w:val="TableParagraph"/>
              <w:spacing w:before="23"/>
              <w:ind w:left="308"/>
              <w:rPr>
                <w:b/>
                <w:sz w:val="21"/>
              </w:rPr>
            </w:pPr>
            <w:r>
              <w:rPr>
                <w:b/>
                <w:color w:val="231F20"/>
                <w:w w:val="90"/>
                <w:sz w:val="21"/>
              </w:rPr>
              <w:t>Nutrition</w:t>
            </w:r>
          </w:p>
        </w:tc>
        <w:tc>
          <w:tcPr>
            <w:tcW w:w="1037" w:type="dxa"/>
            <w:tcBorders>
              <w:top w:val="single" w:sz="6" w:space="0" w:color="231F20"/>
              <w:left w:val="single" w:sz="6" w:space="0" w:color="231F20"/>
              <w:bottom w:val="single" w:sz="6" w:space="0" w:color="231F20"/>
              <w:right w:val="single" w:sz="6" w:space="0" w:color="231F20"/>
            </w:tcBorders>
          </w:tcPr>
          <w:p w14:paraId="71CDB7A8"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179M</w:t>
            </w:r>
          </w:p>
        </w:tc>
        <w:tc>
          <w:tcPr>
            <w:tcW w:w="994" w:type="dxa"/>
            <w:tcBorders>
              <w:top w:val="single" w:sz="6" w:space="0" w:color="231F20"/>
              <w:left w:val="single" w:sz="6" w:space="0" w:color="231F20"/>
              <w:bottom w:val="single" w:sz="6" w:space="0" w:color="231F20"/>
              <w:right w:val="single" w:sz="6" w:space="0" w:color="231F20"/>
            </w:tcBorders>
          </w:tcPr>
          <w:p w14:paraId="7C0BA156"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230M</w:t>
            </w:r>
          </w:p>
        </w:tc>
        <w:tc>
          <w:tcPr>
            <w:tcW w:w="994" w:type="dxa"/>
            <w:tcBorders>
              <w:top w:val="single" w:sz="6" w:space="0" w:color="231F20"/>
              <w:left w:val="single" w:sz="6" w:space="0" w:color="231F20"/>
              <w:bottom w:val="single" w:sz="6" w:space="0" w:color="231F20"/>
              <w:right w:val="single" w:sz="6" w:space="0" w:color="231F20"/>
            </w:tcBorders>
          </w:tcPr>
          <w:p w14:paraId="65396371"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279M</w:t>
            </w:r>
          </w:p>
        </w:tc>
        <w:tc>
          <w:tcPr>
            <w:tcW w:w="994" w:type="dxa"/>
            <w:tcBorders>
              <w:top w:val="single" w:sz="6" w:space="0" w:color="231F20"/>
              <w:left w:val="single" w:sz="6" w:space="0" w:color="231F20"/>
              <w:bottom w:val="single" w:sz="6" w:space="0" w:color="231F20"/>
              <w:right w:val="single" w:sz="6" w:space="0" w:color="231F20"/>
            </w:tcBorders>
          </w:tcPr>
          <w:p w14:paraId="65A8C1FC" w14:textId="77777777" w:rsidR="009948F1" w:rsidRDefault="00BC0563">
            <w:pPr>
              <w:pStyle w:val="TableParagraph"/>
              <w:spacing w:before="36"/>
              <w:ind w:left="151"/>
              <w:rPr>
                <w:rFonts w:ascii="Carlito"/>
                <w:sz w:val="21"/>
              </w:rPr>
            </w:pPr>
            <w:r>
              <w:rPr>
                <w:color w:val="231F20"/>
                <w:w w:val="85"/>
                <w:sz w:val="21"/>
              </w:rPr>
              <w:t xml:space="preserve">? </w:t>
            </w:r>
            <w:r>
              <w:rPr>
                <w:rFonts w:ascii="Carlito"/>
                <w:color w:val="231F20"/>
                <w:w w:val="85"/>
                <w:sz w:val="21"/>
              </w:rPr>
              <w:t>328M</w:t>
            </w:r>
          </w:p>
        </w:tc>
        <w:tc>
          <w:tcPr>
            <w:tcW w:w="1170" w:type="dxa"/>
            <w:tcBorders>
              <w:top w:val="single" w:sz="6" w:space="0" w:color="231F20"/>
              <w:left w:val="single" w:sz="6" w:space="0" w:color="231F20"/>
              <w:bottom w:val="single" w:sz="6" w:space="0" w:color="231F20"/>
              <w:right w:val="single" w:sz="6" w:space="0" w:color="231F20"/>
            </w:tcBorders>
          </w:tcPr>
          <w:p w14:paraId="1626DBE2"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375M</w:t>
            </w:r>
          </w:p>
        </w:tc>
        <w:tc>
          <w:tcPr>
            <w:tcW w:w="1188" w:type="dxa"/>
            <w:tcBorders>
              <w:top w:val="single" w:sz="6" w:space="0" w:color="231F20"/>
              <w:left w:val="single" w:sz="6" w:space="0" w:color="231F20"/>
              <w:bottom w:val="single" w:sz="6" w:space="0" w:color="231F20"/>
            </w:tcBorders>
          </w:tcPr>
          <w:p w14:paraId="6BCE1FD3" w14:textId="77777777" w:rsidR="009948F1" w:rsidRDefault="00BC0563">
            <w:pPr>
              <w:pStyle w:val="TableParagraph"/>
              <w:spacing w:before="36"/>
              <w:ind w:left="150"/>
              <w:rPr>
                <w:rFonts w:ascii="Carlito"/>
                <w:sz w:val="21"/>
              </w:rPr>
            </w:pPr>
            <w:r>
              <w:rPr>
                <w:color w:val="231F20"/>
                <w:w w:val="85"/>
                <w:sz w:val="21"/>
              </w:rPr>
              <w:t xml:space="preserve">? </w:t>
            </w:r>
            <w:r>
              <w:rPr>
                <w:rFonts w:ascii="Carlito"/>
                <w:color w:val="231F20"/>
                <w:w w:val="85"/>
                <w:sz w:val="21"/>
              </w:rPr>
              <w:t>1,391M</w:t>
            </w:r>
          </w:p>
        </w:tc>
        <w:tc>
          <w:tcPr>
            <w:tcW w:w="792" w:type="dxa"/>
            <w:tcBorders>
              <w:top w:val="single" w:sz="6" w:space="0" w:color="231F20"/>
              <w:bottom w:val="single" w:sz="6" w:space="0" w:color="231F20"/>
            </w:tcBorders>
          </w:tcPr>
          <w:p w14:paraId="5DA7E0BB" w14:textId="77777777" w:rsidR="009948F1" w:rsidRDefault="00BC0563">
            <w:pPr>
              <w:pStyle w:val="TableParagraph"/>
              <w:spacing w:before="36"/>
              <w:ind w:left="104"/>
              <w:rPr>
                <w:rFonts w:ascii="Carlito"/>
                <w:b/>
                <w:sz w:val="21"/>
              </w:rPr>
            </w:pPr>
            <w:r>
              <w:rPr>
                <w:rFonts w:ascii="Carlito"/>
                <w:b/>
                <w:color w:val="231F20"/>
                <w:w w:val="90"/>
                <w:sz w:val="21"/>
              </w:rPr>
              <w:t>6.3%</w:t>
            </w:r>
          </w:p>
        </w:tc>
      </w:tr>
      <w:tr w:rsidR="009948F1" w14:paraId="038B4ED0" w14:textId="77777777">
        <w:trPr>
          <w:trHeight w:val="331"/>
        </w:trPr>
        <w:tc>
          <w:tcPr>
            <w:tcW w:w="2034" w:type="dxa"/>
            <w:gridSpan w:val="2"/>
            <w:tcBorders>
              <w:top w:val="single" w:sz="6" w:space="0" w:color="231F20"/>
              <w:bottom w:val="single" w:sz="6" w:space="0" w:color="231F20"/>
              <w:right w:val="single" w:sz="6" w:space="0" w:color="231F20"/>
            </w:tcBorders>
            <w:shd w:val="clear" w:color="auto" w:fill="F1F2F2"/>
          </w:tcPr>
          <w:p w14:paraId="23A85C77" w14:textId="77777777" w:rsidR="009948F1" w:rsidRDefault="00BC0563">
            <w:pPr>
              <w:pStyle w:val="TableParagraph"/>
              <w:spacing w:before="23"/>
              <w:ind w:left="308"/>
              <w:rPr>
                <w:b/>
                <w:sz w:val="21"/>
              </w:rPr>
            </w:pPr>
            <w:r>
              <w:rPr>
                <w:b/>
                <w:color w:val="231F20"/>
                <w:w w:val="90"/>
                <w:sz w:val="21"/>
              </w:rPr>
              <w:t>WASH</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0CF009D7" w14:textId="77777777" w:rsidR="009948F1" w:rsidRDefault="00BC0563">
            <w:pPr>
              <w:pStyle w:val="TableParagraph"/>
              <w:spacing w:before="36"/>
              <w:ind w:left="114"/>
              <w:rPr>
                <w:rFonts w:ascii="Carlito"/>
                <w:sz w:val="21"/>
              </w:rPr>
            </w:pPr>
            <w:r>
              <w:rPr>
                <w:color w:val="231F20"/>
                <w:w w:val="85"/>
                <w:sz w:val="21"/>
              </w:rPr>
              <w:t xml:space="preserve">? </w:t>
            </w:r>
            <w:r>
              <w:rPr>
                <w:rFonts w:ascii="Carlito"/>
                <w:color w:val="231F20"/>
                <w:w w:val="85"/>
                <w:sz w:val="21"/>
              </w:rPr>
              <w:t>52M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6FB630F4"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64M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3B80F528"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70M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5D49C464"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78M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72000764" w14:textId="77777777" w:rsidR="009948F1" w:rsidRDefault="00BC0563">
            <w:pPr>
              <w:pStyle w:val="TableParagraph"/>
              <w:spacing w:before="36"/>
              <w:ind w:left="113"/>
              <w:rPr>
                <w:rFonts w:ascii="Carlito"/>
                <w:sz w:val="21"/>
              </w:rPr>
            </w:pPr>
            <w:r>
              <w:rPr>
                <w:color w:val="231F20"/>
                <w:w w:val="85"/>
                <w:sz w:val="21"/>
              </w:rPr>
              <w:t xml:space="preserve">? </w:t>
            </w:r>
            <w:r>
              <w:rPr>
                <w:rFonts w:ascii="Carlito"/>
                <w:color w:val="231F20"/>
                <w:w w:val="85"/>
                <w:sz w:val="21"/>
              </w:rPr>
              <w:t>85M</w:t>
            </w:r>
          </w:p>
        </w:tc>
        <w:tc>
          <w:tcPr>
            <w:tcW w:w="1188" w:type="dxa"/>
            <w:tcBorders>
              <w:top w:val="single" w:sz="6" w:space="0" w:color="231F20"/>
              <w:left w:val="single" w:sz="6" w:space="0" w:color="231F20"/>
              <w:bottom w:val="single" w:sz="6" w:space="0" w:color="231F20"/>
            </w:tcBorders>
            <w:shd w:val="clear" w:color="auto" w:fill="F1F2F2"/>
          </w:tcPr>
          <w:p w14:paraId="06288A15" w14:textId="77777777" w:rsidR="009948F1" w:rsidRDefault="00BC0563">
            <w:pPr>
              <w:pStyle w:val="TableParagraph"/>
              <w:spacing w:before="36"/>
              <w:ind w:left="112"/>
              <w:rPr>
                <w:rFonts w:ascii="Carlito"/>
                <w:sz w:val="21"/>
              </w:rPr>
            </w:pPr>
            <w:r>
              <w:rPr>
                <w:color w:val="231F20"/>
                <w:w w:val="85"/>
                <w:sz w:val="21"/>
              </w:rPr>
              <w:t xml:space="preserve">? </w:t>
            </w:r>
            <w:r>
              <w:rPr>
                <w:rFonts w:ascii="Carlito"/>
                <w:color w:val="231F20"/>
                <w:w w:val="85"/>
                <w:sz w:val="21"/>
              </w:rPr>
              <w:t>349M</w:t>
            </w:r>
          </w:p>
        </w:tc>
        <w:tc>
          <w:tcPr>
            <w:tcW w:w="792" w:type="dxa"/>
            <w:tcBorders>
              <w:top w:val="single" w:sz="6" w:space="0" w:color="231F20"/>
              <w:bottom w:val="single" w:sz="6" w:space="0" w:color="231F20"/>
            </w:tcBorders>
            <w:shd w:val="clear" w:color="auto" w:fill="F1F2F2"/>
          </w:tcPr>
          <w:p w14:paraId="5C45F9C1" w14:textId="77777777" w:rsidR="009948F1" w:rsidRDefault="00BC0563">
            <w:pPr>
              <w:pStyle w:val="TableParagraph"/>
              <w:spacing w:before="36"/>
              <w:ind w:left="104"/>
              <w:rPr>
                <w:rFonts w:ascii="Carlito"/>
                <w:b/>
                <w:sz w:val="21"/>
              </w:rPr>
            </w:pPr>
            <w:r>
              <w:rPr>
                <w:rFonts w:ascii="Carlito"/>
                <w:b/>
                <w:color w:val="231F20"/>
                <w:w w:val="90"/>
                <w:sz w:val="21"/>
              </w:rPr>
              <w:t>1.6%</w:t>
            </w:r>
          </w:p>
        </w:tc>
      </w:tr>
      <w:tr w:rsidR="009948F1" w14:paraId="668ADC09" w14:textId="77777777">
        <w:trPr>
          <w:trHeight w:val="678"/>
        </w:trPr>
        <w:tc>
          <w:tcPr>
            <w:tcW w:w="2034" w:type="dxa"/>
            <w:gridSpan w:val="2"/>
            <w:tcBorders>
              <w:top w:val="single" w:sz="6" w:space="0" w:color="231F20"/>
              <w:bottom w:val="single" w:sz="6" w:space="0" w:color="231F20"/>
              <w:right w:val="single" w:sz="6" w:space="0" w:color="231F20"/>
            </w:tcBorders>
          </w:tcPr>
          <w:p w14:paraId="125B320B" w14:textId="77777777" w:rsidR="009948F1" w:rsidRDefault="00BC0563">
            <w:pPr>
              <w:pStyle w:val="TableParagraph"/>
              <w:spacing w:line="205" w:lineRule="exact"/>
              <w:ind w:left="308"/>
              <w:rPr>
                <w:b/>
                <w:sz w:val="21"/>
              </w:rPr>
            </w:pPr>
            <w:r>
              <w:rPr>
                <w:b/>
                <w:color w:val="231F20"/>
                <w:w w:val="90"/>
                <w:sz w:val="21"/>
              </w:rPr>
              <w:t>Non-</w:t>
            </w:r>
          </w:p>
          <w:p w14:paraId="4F9B977A" w14:textId="77777777" w:rsidR="009948F1" w:rsidRDefault="00BC0563">
            <w:pPr>
              <w:pStyle w:val="TableParagraph"/>
              <w:spacing w:before="6" w:line="228" w:lineRule="exact"/>
              <w:ind w:left="107" w:right="708"/>
              <w:rPr>
                <w:b/>
                <w:sz w:val="21"/>
              </w:rPr>
            </w:pPr>
            <w:r>
              <w:rPr>
                <w:b/>
                <w:color w:val="231F20"/>
                <w:w w:val="80"/>
                <w:sz w:val="21"/>
              </w:rPr>
              <w:t xml:space="preserve">communicable </w:t>
            </w:r>
            <w:r>
              <w:rPr>
                <w:b/>
                <w:color w:val="231F20"/>
                <w:w w:val="90"/>
                <w:sz w:val="21"/>
              </w:rPr>
              <w:t>diseases</w:t>
            </w:r>
          </w:p>
        </w:tc>
        <w:tc>
          <w:tcPr>
            <w:tcW w:w="1037" w:type="dxa"/>
            <w:tcBorders>
              <w:top w:val="single" w:sz="6" w:space="0" w:color="231F20"/>
              <w:left w:val="single" w:sz="6" w:space="0" w:color="231F20"/>
              <w:bottom w:val="single" w:sz="6" w:space="0" w:color="231F20"/>
              <w:right w:val="single" w:sz="6" w:space="0" w:color="231F20"/>
            </w:tcBorders>
          </w:tcPr>
          <w:p w14:paraId="1F0F081A" w14:textId="77777777" w:rsidR="009948F1" w:rsidRDefault="009948F1">
            <w:pPr>
              <w:pStyle w:val="TableParagraph"/>
              <w:spacing w:before="3"/>
              <w:rPr>
                <w:b/>
                <w:i/>
                <w:sz w:val="18"/>
              </w:rPr>
            </w:pPr>
          </w:p>
          <w:p w14:paraId="1EB68CB0"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385M</w:t>
            </w:r>
          </w:p>
        </w:tc>
        <w:tc>
          <w:tcPr>
            <w:tcW w:w="994" w:type="dxa"/>
            <w:tcBorders>
              <w:top w:val="single" w:sz="6" w:space="0" w:color="231F20"/>
              <w:left w:val="single" w:sz="6" w:space="0" w:color="231F20"/>
              <w:bottom w:val="single" w:sz="6" w:space="0" w:color="231F20"/>
              <w:right w:val="single" w:sz="6" w:space="0" w:color="231F20"/>
            </w:tcBorders>
          </w:tcPr>
          <w:p w14:paraId="5C3FFB1A" w14:textId="77777777" w:rsidR="009948F1" w:rsidRDefault="009948F1">
            <w:pPr>
              <w:pStyle w:val="TableParagraph"/>
              <w:spacing w:before="3"/>
              <w:rPr>
                <w:b/>
                <w:i/>
                <w:sz w:val="18"/>
              </w:rPr>
            </w:pPr>
          </w:p>
          <w:p w14:paraId="1D90F302"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552M</w:t>
            </w:r>
          </w:p>
        </w:tc>
        <w:tc>
          <w:tcPr>
            <w:tcW w:w="994" w:type="dxa"/>
            <w:tcBorders>
              <w:top w:val="single" w:sz="6" w:space="0" w:color="231F20"/>
              <w:left w:val="single" w:sz="6" w:space="0" w:color="231F20"/>
              <w:bottom w:val="single" w:sz="6" w:space="0" w:color="231F20"/>
              <w:right w:val="single" w:sz="6" w:space="0" w:color="231F20"/>
            </w:tcBorders>
          </w:tcPr>
          <w:p w14:paraId="5CC7500B" w14:textId="77777777" w:rsidR="009948F1" w:rsidRDefault="009948F1">
            <w:pPr>
              <w:pStyle w:val="TableParagraph"/>
              <w:spacing w:before="3"/>
              <w:rPr>
                <w:b/>
                <w:i/>
                <w:sz w:val="18"/>
              </w:rPr>
            </w:pPr>
          </w:p>
          <w:p w14:paraId="6556984D"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724M</w:t>
            </w:r>
          </w:p>
        </w:tc>
        <w:tc>
          <w:tcPr>
            <w:tcW w:w="994" w:type="dxa"/>
            <w:tcBorders>
              <w:top w:val="single" w:sz="6" w:space="0" w:color="231F20"/>
              <w:left w:val="single" w:sz="6" w:space="0" w:color="231F20"/>
              <w:bottom w:val="single" w:sz="6" w:space="0" w:color="231F20"/>
              <w:right w:val="single" w:sz="6" w:space="0" w:color="231F20"/>
            </w:tcBorders>
          </w:tcPr>
          <w:p w14:paraId="461DA7CD" w14:textId="77777777" w:rsidR="009948F1" w:rsidRDefault="009948F1">
            <w:pPr>
              <w:pStyle w:val="TableParagraph"/>
              <w:spacing w:before="3"/>
              <w:rPr>
                <w:b/>
                <w:i/>
                <w:sz w:val="18"/>
              </w:rPr>
            </w:pPr>
          </w:p>
          <w:p w14:paraId="7ABB378A"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907M</w:t>
            </w:r>
          </w:p>
        </w:tc>
        <w:tc>
          <w:tcPr>
            <w:tcW w:w="1170" w:type="dxa"/>
            <w:tcBorders>
              <w:top w:val="single" w:sz="6" w:space="0" w:color="231F20"/>
              <w:left w:val="single" w:sz="6" w:space="0" w:color="231F20"/>
              <w:bottom w:val="single" w:sz="6" w:space="0" w:color="231F20"/>
              <w:right w:val="single" w:sz="6" w:space="0" w:color="231F20"/>
            </w:tcBorders>
          </w:tcPr>
          <w:p w14:paraId="7B4EA1B0" w14:textId="77777777" w:rsidR="009948F1" w:rsidRDefault="009948F1">
            <w:pPr>
              <w:pStyle w:val="TableParagraph"/>
              <w:spacing w:before="3"/>
              <w:rPr>
                <w:b/>
                <w:i/>
                <w:sz w:val="18"/>
              </w:rPr>
            </w:pPr>
          </w:p>
          <w:p w14:paraId="129DE72F" w14:textId="77777777" w:rsidR="009948F1" w:rsidRDefault="00BC0563">
            <w:pPr>
              <w:pStyle w:val="TableParagraph"/>
              <w:ind w:left="150"/>
              <w:rPr>
                <w:rFonts w:ascii="Carlito"/>
                <w:sz w:val="21"/>
              </w:rPr>
            </w:pPr>
            <w:r>
              <w:rPr>
                <w:color w:val="231F20"/>
                <w:w w:val="85"/>
                <w:sz w:val="21"/>
              </w:rPr>
              <w:t xml:space="preserve">? </w:t>
            </w:r>
            <w:r>
              <w:rPr>
                <w:rFonts w:ascii="Carlito"/>
                <w:color w:val="231F20"/>
                <w:w w:val="85"/>
                <w:sz w:val="21"/>
              </w:rPr>
              <w:t>1,100M</w:t>
            </w:r>
          </w:p>
        </w:tc>
        <w:tc>
          <w:tcPr>
            <w:tcW w:w="1188" w:type="dxa"/>
            <w:tcBorders>
              <w:top w:val="single" w:sz="6" w:space="0" w:color="231F20"/>
              <w:left w:val="single" w:sz="6" w:space="0" w:color="231F20"/>
              <w:bottom w:val="single" w:sz="6" w:space="0" w:color="231F20"/>
            </w:tcBorders>
          </w:tcPr>
          <w:p w14:paraId="4EBAAE7F" w14:textId="77777777" w:rsidR="009948F1" w:rsidRDefault="009948F1">
            <w:pPr>
              <w:pStyle w:val="TableParagraph"/>
              <w:spacing w:before="3"/>
              <w:rPr>
                <w:b/>
                <w:i/>
                <w:sz w:val="18"/>
              </w:rPr>
            </w:pPr>
          </w:p>
          <w:p w14:paraId="6AC50F5B" w14:textId="77777777" w:rsidR="009948F1" w:rsidRDefault="00BC0563">
            <w:pPr>
              <w:pStyle w:val="TableParagraph"/>
              <w:ind w:left="150"/>
              <w:rPr>
                <w:rFonts w:ascii="Carlito"/>
                <w:sz w:val="21"/>
              </w:rPr>
            </w:pPr>
            <w:r>
              <w:rPr>
                <w:color w:val="231F20"/>
                <w:w w:val="85"/>
                <w:sz w:val="21"/>
              </w:rPr>
              <w:t xml:space="preserve">? </w:t>
            </w:r>
            <w:r>
              <w:rPr>
                <w:rFonts w:ascii="Carlito"/>
                <w:color w:val="231F20"/>
                <w:w w:val="85"/>
                <w:sz w:val="21"/>
              </w:rPr>
              <w:t>3,668M</w:t>
            </w:r>
          </w:p>
        </w:tc>
        <w:tc>
          <w:tcPr>
            <w:tcW w:w="792" w:type="dxa"/>
            <w:tcBorders>
              <w:top w:val="single" w:sz="6" w:space="0" w:color="231F20"/>
              <w:bottom w:val="single" w:sz="6" w:space="0" w:color="231F20"/>
            </w:tcBorders>
          </w:tcPr>
          <w:p w14:paraId="24EB125E" w14:textId="77777777" w:rsidR="009948F1" w:rsidRDefault="009948F1">
            <w:pPr>
              <w:pStyle w:val="TableParagraph"/>
              <w:spacing w:before="3"/>
              <w:rPr>
                <w:b/>
                <w:i/>
                <w:sz w:val="18"/>
              </w:rPr>
            </w:pPr>
          </w:p>
          <w:p w14:paraId="692C60CF" w14:textId="77777777" w:rsidR="009948F1" w:rsidRDefault="00BC0563">
            <w:pPr>
              <w:pStyle w:val="TableParagraph"/>
              <w:ind w:left="104"/>
              <w:rPr>
                <w:rFonts w:ascii="Carlito"/>
                <w:b/>
                <w:sz w:val="21"/>
              </w:rPr>
            </w:pPr>
            <w:r>
              <w:rPr>
                <w:rFonts w:ascii="Carlito"/>
                <w:b/>
                <w:color w:val="231F20"/>
                <w:w w:val="90"/>
                <w:sz w:val="21"/>
              </w:rPr>
              <w:t>16.7%</w:t>
            </w:r>
          </w:p>
        </w:tc>
      </w:tr>
      <w:tr w:rsidR="009948F1" w14:paraId="45A6120E" w14:textId="77777777">
        <w:trPr>
          <w:trHeight w:val="906"/>
        </w:trPr>
        <w:tc>
          <w:tcPr>
            <w:tcW w:w="2034" w:type="dxa"/>
            <w:gridSpan w:val="2"/>
            <w:tcBorders>
              <w:top w:val="single" w:sz="6" w:space="0" w:color="231F20"/>
              <w:bottom w:val="single" w:sz="6" w:space="0" w:color="231F20"/>
              <w:right w:val="single" w:sz="6" w:space="0" w:color="231F20"/>
            </w:tcBorders>
            <w:shd w:val="clear" w:color="auto" w:fill="F1F2F2"/>
          </w:tcPr>
          <w:p w14:paraId="78282241" w14:textId="77777777" w:rsidR="009948F1" w:rsidRDefault="00BC0563">
            <w:pPr>
              <w:pStyle w:val="TableParagraph"/>
              <w:spacing w:line="207" w:lineRule="exact"/>
              <w:ind w:left="308"/>
              <w:rPr>
                <w:b/>
                <w:sz w:val="21"/>
              </w:rPr>
            </w:pPr>
            <w:r>
              <w:rPr>
                <w:b/>
                <w:color w:val="231F20"/>
                <w:w w:val="90"/>
                <w:sz w:val="21"/>
              </w:rPr>
              <w:t>Mental,</w:t>
            </w:r>
          </w:p>
          <w:p w14:paraId="36B7016A" w14:textId="77777777" w:rsidR="009948F1" w:rsidRDefault="00BC0563">
            <w:pPr>
              <w:pStyle w:val="TableParagraph"/>
              <w:spacing w:before="7" w:line="223" w:lineRule="auto"/>
              <w:ind w:left="107" w:right="493"/>
              <w:rPr>
                <w:b/>
                <w:sz w:val="21"/>
              </w:rPr>
            </w:pPr>
            <w:r>
              <w:rPr>
                <w:b/>
                <w:color w:val="231F20"/>
                <w:w w:val="80"/>
                <w:sz w:val="21"/>
              </w:rPr>
              <w:t xml:space="preserve">neurological, and </w:t>
            </w:r>
            <w:r>
              <w:rPr>
                <w:b/>
                <w:color w:val="231F20"/>
                <w:w w:val="90"/>
                <w:sz w:val="21"/>
              </w:rPr>
              <w:t>substance use</w:t>
            </w:r>
          </w:p>
          <w:p w14:paraId="25BE0545" w14:textId="77777777" w:rsidR="009948F1" w:rsidRDefault="00BC0563">
            <w:pPr>
              <w:pStyle w:val="TableParagraph"/>
              <w:spacing w:line="224" w:lineRule="exact"/>
              <w:ind w:left="107"/>
              <w:rPr>
                <w:b/>
                <w:sz w:val="21"/>
              </w:rPr>
            </w:pPr>
            <w:r>
              <w:rPr>
                <w:b/>
                <w:color w:val="231F20"/>
                <w:w w:val="90"/>
                <w:sz w:val="21"/>
              </w:rPr>
              <w:t>disorders</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05DCDFAB" w14:textId="77777777" w:rsidR="009948F1" w:rsidRDefault="009948F1">
            <w:pPr>
              <w:pStyle w:val="TableParagraph"/>
              <w:spacing w:before="3"/>
              <w:rPr>
                <w:b/>
                <w:i/>
                <w:sz w:val="28"/>
              </w:rPr>
            </w:pPr>
          </w:p>
          <w:p w14:paraId="057D4E0F" w14:textId="77777777" w:rsidR="009948F1" w:rsidRDefault="00BC0563">
            <w:pPr>
              <w:pStyle w:val="TableParagraph"/>
              <w:ind w:left="114"/>
              <w:rPr>
                <w:rFonts w:ascii="Carlito"/>
                <w:sz w:val="21"/>
              </w:rPr>
            </w:pPr>
            <w:r>
              <w:rPr>
                <w:color w:val="231F20"/>
                <w:w w:val="85"/>
                <w:sz w:val="21"/>
              </w:rPr>
              <w:t xml:space="preserve">? </w:t>
            </w:r>
            <w:r>
              <w:rPr>
                <w:rFonts w:ascii="Carlito"/>
                <w:color w:val="231F20"/>
                <w:w w:val="85"/>
                <w:sz w:val="21"/>
              </w:rPr>
              <w:t>49M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33284C00" w14:textId="77777777" w:rsidR="009948F1" w:rsidRDefault="009948F1">
            <w:pPr>
              <w:pStyle w:val="TableParagraph"/>
              <w:spacing w:before="3"/>
              <w:rPr>
                <w:b/>
                <w:i/>
                <w:sz w:val="28"/>
              </w:rPr>
            </w:pPr>
          </w:p>
          <w:p w14:paraId="2BF85878"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61M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166BD78" w14:textId="77777777" w:rsidR="009948F1" w:rsidRDefault="009948F1">
            <w:pPr>
              <w:pStyle w:val="TableParagraph"/>
              <w:spacing w:before="3"/>
              <w:rPr>
                <w:b/>
                <w:i/>
                <w:sz w:val="28"/>
              </w:rPr>
            </w:pPr>
          </w:p>
          <w:p w14:paraId="0D7FA88C"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73M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7571B163" w14:textId="77777777" w:rsidR="009948F1" w:rsidRDefault="009948F1">
            <w:pPr>
              <w:pStyle w:val="TableParagraph"/>
              <w:spacing w:before="3"/>
              <w:rPr>
                <w:b/>
                <w:i/>
                <w:sz w:val="28"/>
              </w:rPr>
            </w:pPr>
          </w:p>
          <w:p w14:paraId="25AF1B74"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85M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49BCE79D" w14:textId="77777777" w:rsidR="009948F1" w:rsidRDefault="009948F1">
            <w:pPr>
              <w:pStyle w:val="TableParagraph"/>
              <w:spacing w:before="3"/>
              <w:rPr>
                <w:b/>
                <w:i/>
                <w:sz w:val="28"/>
              </w:rPr>
            </w:pPr>
          </w:p>
          <w:p w14:paraId="6F0E4DE5"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98M</w:t>
            </w:r>
          </w:p>
        </w:tc>
        <w:tc>
          <w:tcPr>
            <w:tcW w:w="1188" w:type="dxa"/>
            <w:tcBorders>
              <w:top w:val="single" w:sz="6" w:space="0" w:color="231F20"/>
              <w:left w:val="single" w:sz="6" w:space="0" w:color="231F20"/>
              <w:bottom w:val="single" w:sz="6" w:space="0" w:color="231F20"/>
            </w:tcBorders>
            <w:shd w:val="clear" w:color="auto" w:fill="F1F2F2"/>
          </w:tcPr>
          <w:p w14:paraId="12CF3E8F" w14:textId="77777777" w:rsidR="009948F1" w:rsidRDefault="009948F1">
            <w:pPr>
              <w:pStyle w:val="TableParagraph"/>
              <w:spacing w:before="3"/>
              <w:rPr>
                <w:b/>
                <w:i/>
                <w:sz w:val="28"/>
              </w:rPr>
            </w:pPr>
          </w:p>
          <w:p w14:paraId="339FAADF" w14:textId="77777777" w:rsidR="009948F1" w:rsidRDefault="00BC0563">
            <w:pPr>
              <w:pStyle w:val="TableParagraph"/>
              <w:ind w:left="112"/>
              <w:rPr>
                <w:rFonts w:ascii="Carlito"/>
                <w:sz w:val="21"/>
              </w:rPr>
            </w:pPr>
            <w:r>
              <w:rPr>
                <w:color w:val="231F20"/>
                <w:w w:val="85"/>
                <w:sz w:val="21"/>
              </w:rPr>
              <w:t xml:space="preserve">? </w:t>
            </w:r>
            <w:r>
              <w:rPr>
                <w:rFonts w:ascii="Carlito"/>
                <w:color w:val="231F20"/>
                <w:w w:val="85"/>
                <w:sz w:val="21"/>
              </w:rPr>
              <w:t>367M</w:t>
            </w:r>
          </w:p>
        </w:tc>
        <w:tc>
          <w:tcPr>
            <w:tcW w:w="792" w:type="dxa"/>
            <w:tcBorders>
              <w:top w:val="single" w:sz="6" w:space="0" w:color="231F20"/>
              <w:bottom w:val="single" w:sz="6" w:space="0" w:color="231F20"/>
            </w:tcBorders>
            <w:shd w:val="clear" w:color="auto" w:fill="F1F2F2"/>
          </w:tcPr>
          <w:p w14:paraId="0F6B0C53" w14:textId="77777777" w:rsidR="009948F1" w:rsidRDefault="009948F1">
            <w:pPr>
              <w:pStyle w:val="TableParagraph"/>
              <w:spacing w:before="3"/>
              <w:rPr>
                <w:b/>
                <w:i/>
                <w:sz w:val="28"/>
              </w:rPr>
            </w:pPr>
          </w:p>
          <w:p w14:paraId="18C4816E" w14:textId="77777777" w:rsidR="009948F1" w:rsidRDefault="00BC0563">
            <w:pPr>
              <w:pStyle w:val="TableParagraph"/>
              <w:ind w:left="104"/>
              <w:rPr>
                <w:rFonts w:ascii="Carlito"/>
                <w:b/>
                <w:sz w:val="21"/>
              </w:rPr>
            </w:pPr>
            <w:r>
              <w:rPr>
                <w:rFonts w:ascii="Carlito"/>
                <w:b/>
                <w:color w:val="231F20"/>
                <w:w w:val="90"/>
                <w:sz w:val="21"/>
              </w:rPr>
              <w:t>1.7%</w:t>
            </w:r>
          </w:p>
        </w:tc>
      </w:tr>
      <w:tr w:rsidR="009948F1" w14:paraId="6E9ED65A" w14:textId="77777777">
        <w:trPr>
          <w:trHeight w:val="450"/>
        </w:trPr>
        <w:tc>
          <w:tcPr>
            <w:tcW w:w="2034" w:type="dxa"/>
            <w:gridSpan w:val="2"/>
            <w:tcBorders>
              <w:top w:val="single" w:sz="6" w:space="0" w:color="231F20"/>
              <w:bottom w:val="single" w:sz="6" w:space="0" w:color="231F20"/>
              <w:right w:val="single" w:sz="6" w:space="0" w:color="231F20"/>
            </w:tcBorders>
          </w:tcPr>
          <w:p w14:paraId="0F0F8CAA" w14:textId="77777777" w:rsidR="009948F1" w:rsidRDefault="00BC0563">
            <w:pPr>
              <w:pStyle w:val="TableParagraph"/>
              <w:spacing w:line="205" w:lineRule="exact"/>
              <w:ind w:left="308"/>
              <w:rPr>
                <w:b/>
                <w:sz w:val="21"/>
              </w:rPr>
            </w:pPr>
            <w:r>
              <w:rPr>
                <w:b/>
                <w:color w:val="231F20"/>
                <w:w w:val="90"/>
                <w:sz w:val="21"/>
              </w:rPr>
              <w:t>Adolescent</w:t>
            </w:r>
          </w:p>
          <w:p w14:paraId="6294069C" w14:textId="77777777" w:rsidR="009948F1" w:rsidRDefault="00BC0563">
            <w:pPr>
              <w:pStyle w:val="TableParagraph"/>
              <w:spacing w:line="225" w:lineRule="exact"/>
              <w:ind w:left="107"/>
              <w:rPr>
                <w:b/>
                <w:sz w:val="21"/>
              </w:rPr>
            </w:pPr>
            <w:r>
              <w:rPr>
                <w:b/>
                <w:color w:val="231F20"/>
                <w:w w:val="90"/>
                <w:sz w:val="21"/>
              </w:rPr>
              <w:t>health</w:t>
            </w:r>
          </w:p>
        </w:tc>
        <w:tc>
          <w:tcPr>
            <w:tcW w:w="1037" w:type="dxa"/>
            <w:tcBorders>
              <w:top w:val="single" w:sz="6" w:space="0" w:color="231F20"/>
              <w:left w:val="single" w:sz="6" w:space="0" w:color="231F20"/>
              <w:bottom w:val="single" w:sz="6" w:space="0" w:color="231F20"/>
              <w:right w:val="single" w:sz="6" w:space="0" w:color="231F20"/>
            </w:tcBorders>
          </w:tcPr>
          <w:p w14:paraId="63CE78FE" w14:textId="77777777" w:rsidR="009948F1" w:rsidRDefault="00BC0563">
            <w:pPr>
              <w:pStyle w:val="TableParagraph"/>
              <w:spacing w:before="97"/>
              <w:ind w:left="151"/>
              <w:rPr>
                <w:rFonts w:ascii="Carlito"/>
                <w:sz w:val="21"/>
              </w:rPr>
            </w:pPr>
            <w:r>
              <w:rPr>
                <w:color w:val="231F20"/>
                <w:w w:val="85"/>
                <w:sz w:val="21"/>
              </w:rPr>
              <w:t xml:space="preserve">? </w:t>
            </w:r>
            <w:r>
              <w:rPr>
                <w:rFonts w:ascii="Carlito"/>
                <w:color w:val="231F20"/>
                <w:w w:val="85"/>
                <w:sz w:val="21"/>
              </w:rPr>
              <w:t>78M</w:t>
            </w:r>
          </w:p>
        </w:tc>
        <w:tc>
          <w:tcPr>
            <w:tcW w:w="994" w:type="dxa"/>
            <w:tcBorders>
              <w:top w:val="single" w:sz="6" w:space="0" w:color="231F20"/>
              <w:left w:val="single" w:sz="6" w:space="0" w:color="231F20"/>
              <w:bottom w:val="single" w:sz="6" w:space="0" w:color="231F20"/>
              <w:right w:val="single" w:sz="6" w:space="0" w:color="231F20"/>
            </w:tcBorders>
          </w:tcPr>
          <w:p w14:paraId="03049ED0" w14:textId="77777777" w:rsidR="009948F1" w:rsidRDefault="00BC0563">
            <w:pPr>
              <w:pStyle w:val="TableParagraph"/>
              <w:spacing w:before="97"/>
              <w:ind w:left="151"/>
              <w:rPr>
                <w:rFonts w:ascii="Carlito"/>
                <w:sz w:val="21"/>
              </w:rPr>
            </w:pPr>
            <w:r>
              <w:rPr>
                <w:color w:val="231F20"/>
                <w:w w:val="85"/>
                <w:sz w:val="21"/>
              </w:rPr>
              <w:t xml:space="preserve">? </w:t>
            </w:r>
            <w:r>
              <w:rPr>
                <w:rFonts w:ascii="Carlito"/>
                <w:color w:val="231F20"/>
                <w:w w:val="85"/>
                <w:sz w:val="21"/>
              </w:rPr>
              <w:t>114M</w:t>
            </w:r>
          </w:p>
        </w:tc>
        <w:tc>
          <w:tcPr>
            <w:tcW w:w="994" w:type="dxa"/>
            <w:tcBorders>
              <w:top w:val="single" w:sz="6" w:space="0" w:color="231F20"/>
              <w:left w:val="single" w:sz="6" w:space="0" w:color="231F20"/>
              <w:bottom w:val="single" w:sz="6" w:space="0" w:color="231F20"/>
              <w:right w:val="single" w:sz="6" w:space="0" w:color="231F20"/>
            </w:tcBorders>
          </w:tcPr>
          <w:p w14:paraId="634D52AC" w14:textId="77777777" w:rsidR="009948F1" w:rsidRDefault="00BC0563">
            <w:pPr>
              <w:pStyle w:val="TableParagraph"/>
              <w:spacing w:before="97"/>
              <w:ind w:left="151"/>
              <w:rPr>
                <w:rFonts w:ascii="Carlito"/>
                <w:sz w:val="21"/>
              </w:rPr>
            </w:pPr>
            <w:r>
              <w:rPr>
                <w:color w:val="231F20"/>
                <w:w w:val="85"/>
                <w:sz w:val="21"/>
              </w:rPr>
              <w:t xml:space="preserve">? </w:t>
            </w:r>
            <w:r>
              <w:rPr>
                <w:rFonts w:ascii="Carlito"/>
                <w:color w:val="231F20"/>
                <w:w w:val="85"/>
                <w:sz w:val="21"/>
              </w:rPr>
              <w:t>146M</w:t>
            </w:r>
          </w:p>
        </w:tc>
        <w:tc>
          <w:tcPr>
            <w:tcW w:w="994" w:type="dxa"/>
            <w:tcBorders>
              <w:top w:val="single" w:sz="6" w:space="0" w:color="231F20"/>
              <w:left w:val="single" w:sz="6" w:space="0" w:color="231F20"/>
              <w:bottom w:val="single" w:sz="6" w:space="0" w:color="231F20"/>
              <w:right w:val="single" w:sz="6" w:space="0" w:color="231F20"/>
            </w:tcBorders>
          </w:tcPr>
          <w:p w14:paraId="28698AC5" w14:textId="77777777" w:rsidR="009948F1" w:rsidRDefault="00BC0563">
            <w:pPr>
              <w:pStyle w:val="TableParagraph"/>
              <w:spacing w:before="97"/>
              <w:ind w:left="151"/>
              <w:rPr>
                <w:rFonts w:ascii="Carlito"/>
                <w:sz w:val="21"/>
              </w:rPr>
            </w:pPr>
            <w:r>
              <w:rPr>
                <w:color w:val="231F20"/>
                <w:w w:val="85"/>
                <w:sz w:val="21"/>
              </w:rPr>
              <w:t xml:space="preserve">? </w:t>
            </w:r>
            <w:r>
              <w:rPr>
                <w:rFonts w:ascii="Carlito"/>
                <w:color w:val="231F20"/>
                <w:w w:val="85"/>
                <w:sz w:val="21"/>
              </w:rPr>
              <w:t>178M</w:t>
            </w:r>
          </w:p>
        </w:tc>
        <w:tc>
          <w:tcPr>
            <w:tcW w:w="1170" w:type="dxa"/>
            <w:tcBorders>
              <w:top w:val="single" w:sz="6" w:space="0" w:color="231F20"/>
              <w:left w:val="single" w:sz="6" w:space="0" w:color="231F20"/>
              <w:bottom w:val="single" w:sz="6" w:space="0" w:color="231F20"/>
              <w:right w:val="single" w:sz="6" w:space="0" w:color="231F20"/>
            </w:tcBorders>
          </w:tcPr>
          <w:p w14:paraId="73FD82D4" w14:textId="77777777" w:rsidR="009948F1" w:rsidRDefault="00BC0563">
            <w:pPr>
              <w:pStyle w:val="TableParagraph"/>
              <w:spacing w:before="97"/>
              <w:ind w:left="150"/>
              <w:rPr>
                <w:rFonts w:ascii="Carlito"/>
                <w:sz w:val="21"/>
              </w:rPr>
            </w:pPr>
            <w:r>
              <w:rPr>
                <w:color w:val="231F20"/>
                <w:w w:val="85"/>
                <w:sz w:val="21"/>
              </w:rPr>
              <w:t xml:space="preserve">? </w:t>
            </w:r>
            <w:r>
              <w:rPr>
                <w:rFonts w:ascii="Carlito"/>
                <w:color w:val="231F20"/>
                <w:w w:val="85"/>
                <w:sz w:val="21"/>
              </w:rPr>
              <w:t>209M</w:t>
            </w:r>
          </w:p>
        </w:tc>
        <w:tc>
          <w:tcPr>
            <w:tcW w:w="1188" w:type="dxa"/>
            <w:tcBorders>
              <w:top w:val="single" w:sz="6" w:space="0" w:color="231F20"/>
              <w:left w:val="single" w:sz="6" w:space="0" w:color="231F20"/>
              <w:bottom w:val="single" w:sz="6" w:space="0" w:color="231F20"/>
            </w:tcBorders>
          </w:tcPr>
          <w:p w14:paraId="5F90E1FF" w14:textId="77777777" w:rsidR="009948F1" w:rsidRDefault="00BC0563">
            <w:pPr>
              <w:pStyle w:val="TableParagraph"/>
              <w:spacing w:before="97"/>
              <w:ind w:left="150"/>
              <w:rPr>
                <w:rFonts w:ascii="Carlito"/>
                <w:sz w:val="21"/>
              </w:rPr>
            </w:pPr>
            <w:r>
              <w:rPr>
                <w:color w:val="231F20"/>
                <w:w w:val="85"/>
                <w:sz w:val="21"/>
              </w:rPr>
              <w:t xml:space="preserve">? </w:t>
            </w:r>
            <w:r>
              <w:rPr>
                <w:rFonts w:ascii="Carlito"/>
                <w:color w:val="231F20"/>
                <w:w w:val="85"/>
                <w:sz w:val="21"/>
              </w:rPr>
              <w:t>724M</w:t>
            </w:r>
          </w:p>
        </w:tc>
        <w:tc>
          <w:tcPr>
            <w:tcW w:w="792" w:type="dxa"/>
            <w:tcBorders>
              <w:top w:val="single" w:sz="6" w:space="0" w:color="231F20"/>
              <w:bottom w:val="single" w:sz="6" w:space="0" w:color="231F20"/>
            </w:tcBorders>
          </w:tcPr>
          <w:p w14:paraId="543ACB87" w14:textId="77777777" w:rsidR="009948F1" w:rsidRDefault="00BC0563">
            <w:pPr>
              <w:pStyle w:val="TableParagraph"/>
              <w:spacing w:before="97"/>
              <w:ind w:left="104"/>
              <w:rPr>
                <w:rFonts w:ascii="Carlito"/>
                <w:b/>
                <w:sz w:val="21"/>
              </w:rPr>
            </w:pPr>
            <w:r>
              <w:rPr>
                <w:rFonts w:ascii="Carlito"/>
                <w:b/>
                <w:color w:val="231F20"/>
                <w:w w:val="90"/>
                <w:sz w:val="21"/>
              </w:rPr>
              <w:t>3.3%</w:t>
            </w:r>
          </w:p>
        </w:tc>
      </w:tr>
      <w:tr w:rsidR="009948F1" w14:paraId="01131789" w14:textId="77777777">
        <w:trPr>
          <w:trHeight w:val="453"/>
        </w:trPr>
        <w:tc>
          <w:tcPr>
            <w:tcW w:w="2034" w:type="dxa"/>
            <w:gridSpan w:val="2"/>
            <w:tcBorders>
              <w:top w:val="single" w:sz="6" w:space="0" w:color="231F20"/>
              <w:bottom w:val="single" w:sz="6" w:space="0" w:color="231F20"/>
              <w:right w:val="single" w:sz="6" w:space="0" w:color="231F20"/>
            </w:tcBorders>
            <w:shd w:val="clear" w:color="auto" w:fill="F1F2F2"/>
          </w:tcPr>
          <w:p w14:paraId="5E923281" w14:textId="77777777" w:rsidR="009948F1" w:rsidRDefault="00BC0563">
            <w:pPr>
              <w:pStyle w:val="TableParagraph"/>
              <w:spacing w:line="207" w:lineRule="exact"/>
              <w:ind w:left="308"/>
              <w:rPr>
                <w:b/>
                <w:sz w:val="21"/>
              </w:rPr>
            </w:pPr>
            <w:r>
              <w:rPr>
                <w:b/>
                <w:color w:val="231F20"/>
                <w:w w:val="90"/>
                <w:sz w:val="21"/>
              </w:rPr>
              <w:t>Neglected</w:t>
            </w:r>
          </w:p>
          <w:p w14:paraId="29A869CA" w14:textId="77777777" w:rsidR="009948F1" w:rsidRDefault="00BC0563">
            <w:pPr>
              <w:pStyle w:val="TableParagraph"/>
              <w:spacing w:line="227" w:lineRule="exact"/>
              <w:ind w:left="107"/>
              <w:rPr>
                <w:b/>
                <w:sz w:val="21"/>
              </w:rPr>
            </w:pPr>
            <w:r>
              <w:rPr>
                <w:b/>
                <w:color w:val="231F20"/>
                <w:w w:val="90"/>
                <w:sz w:val="21"/>
              </w:rPr>
              <w:t>tropical diseases</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3CEF2594" w14:textId="77777777" w:rsidR="009948F1" w:rsidRDefault="00BC0563">
            <w:pPr>
              <w:pStyle w:val="TableParagraph"/>
              <w:spacing w:before="97"/>
              <w:ind w:left="114"/>
              <w:rPr>
                <w:rFonts w:ascii="Carlito"/>
                <w:sz w:val="21"/>
              </w:rPr>
            </w:pPr>
            <w:r>
              <w:rPr>
                <w:color w:val="231F20"/>
                <w:w w:val="85"/>
                <w:sz w:val="21"/>
              </w:rPr>
              <w:t xml:space="preserve">? </w:t>
            </w:r>
            <w:r>
              <w:rPr>
                <w:rFonts w:ascii="Carlito"/>
                <w:color w:val="231F20"/>
                <w:w w:val="85"/>
                <w:sz w:val="21"/>
              </w:rPr>
              <w:t>1M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3D816546" w14:textId="77777777" w:rsidR="009948F1" w:rsidRDefault="00BC0563">
            <w:pPr>
              <w:pStyle w:val="TableParagraph"/>
              <w:spacing w:before="97"/>
              <w:ind w:left="113"/>
              <w:rPr>
                <w:rFonts w:ascii="Carlito"/>
                <w:sz w:val="21"/>
              </w:rPr>
            </w:pPr>
            <w:r>
              <w:rPr>
                <w:color w:val="231F20"/>
                <w:w w:val="85"/>
                <w:sz w:val="21"/>
              </w:rPr>
              <w:t xml:space="preserve">? </w:t>
            </w:r>
            <w:r>
              <w:rPr>
                <w:rFonts w:ascii="Carlito"/>
                <w:color w:val="231F20"/>
                <w:w w:val="85"/>
                <w:sz w:val="21"/>
              </w:rPr>
              <w:t>2M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28170559" w14:textId="77777777" w:rsidR="009948F1" w:rsidRDefault="00BC0563">
            <w:pPr>
              <w:pStyle w:val="TableParagraph"/>
              <w:spacing w:before="97"/>
              <w:ind w:left="113"/>
              <w:rPr>
                <w:rFonts w:ascii="Carlito"/>
                <w:sz w:val="21"/>
              </w:rPr>
            </w:pPr>
            <w:r>
              <w:rPr>
                <w:color w:val="231F20"/>
                <w:w w:val="85"/>
                <w:sz w:val="21"/>
              </w:rPr>
              <w:t xml:space="preserve">? </w:t>
            </w:r>
            <w:r>
              <w:rPr>
                <w:rFonts w:ascii="Carlito"/>
                <w:color w:val="231F20"/>
                <w:w w:val="85"/>
                <w:sz w:val="21"/>
              </w:rPr>
              <w:t>2M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1634F5C9" w14:textId="77777777" w:rsidR="009948F1" w:rsidRDefault="00BC0563">
            <w:pPr>
              <w:pStyle w:val="TableParagraph"/>
              <w:spacing w:before="97"/>
              <w:ind w:left="113"/>
              <w:rPr>
                <w:rFonts w:ascii="Carlito"/>
                <w:sz w:val="21"/>
              </w:rPr>
            </w:pPr>
            <w:r>
              <w:rPr>
                <w:color w:val="231F20"/>
                <w:w w:val="85"/>
                <w:sz w:val="21"/>
              </w:rPr>
              <w:t xml:space="preserve">? </w:t>
            </w:r>
            <w:r>
              <w:rPr>
                <w:rFonts w:ascii="Carlito"/>
                <w:color w:val="231F20"/>
                <w:w w:val="85"/>
                <w:sz w:val="21"/>
              </w:rPr>
              <w:t>2M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08C5DA51" w14:textId="77777777" w:rsidR="009948F1" w:rsidRDefault="00BC0563">
            <w:pPr>
              <w:pStyle w:val="TableParagraph"/>
              <w:spacing w:before="97"/>
              <w:ind w:left="113"/>
              <w:rPr>
                <w:rFonts w:ascii="Carlito"/>
                <w:sz w:val="21"/>
              </w:rPr>
            </w:pPr>
            <w:r>
              <w:rPr>
                <w:color w:val="231F20"/>
                <w:w w:val="85"/>
                <w:sz w:val="21"/>
              </w:rPr>
              <w:t xml:space="preserve">? </w:t>
            </w:r>
            <w:r>
              <w:rPr>
                <w:rFonts w:ascii="Carlito"/>
                <w:color w:val="231F20"/>
                <w:w w:val="85"/>
                <w:sz w:val="21"/>
              </w:rPr>
              <w:t>2M</w:t>
            </w:r>
          </w:p>
        </w:tc>
        <w:tc>
          <w:tcPr>
            <w:tcW w:w="1188" w:type="dxa"/>
            <w:tcBorders>
              <w:top w:val="single" w:sz="6" w:space="0" w:color="231F20"/>
              <w:left w:val="single" w:sz="6" w:space="0" w:color="231F20"/>
              <w:bottom w:val="single" w:sz="6" w:space="0" w:color="231F20"/>
            </w:tcBorders>
            <w:shd w:val="clear" w:color="auto" w:fill="F1F2F2"/>
          </w:tcPr>
          <w:p w14:paraId="2955150B" w14:textId="77777777" w:rsidR="009948F1" w:rsidRDefault="00BC0563">
            <w:pPr>
              <w:pStyle w:val="TableParagraph"/>
              <w:spacing w:before="97"/>
              <w:ind w:left="112"/>
              <w:rPr>
                <w:rFonts w:ascii="Carlito"/>
                <w:sz w:val="21"/>
              </w:rPr>
            </w:pPr>
            <w:r>
              <w:rPr>
                <w:color w:val="231F20"/>
                <w:w w:val="85"/>
                <w:sz w:val="21"/>
              </w:rPr>
              <w:t xml:space="preserve">? </w:t>
            </w:r>
            <w:r>
              <w:rPr>
                <w:rFonts w:ascii="Carlito"/>
                <w:color w:val="231F20"/>
                <w:w w:val="85"/>
                <w:sz w:val="21"/>
              </w:rPr>
              <w:t>9M</w:t>
            </w:r>
          </w:p>
        </w:tc>
        <w:tc>
          <w:tcPr>
            <w:tcW w:w="792" w:type="dxa"/>
            <w:tcBorders>
              <w:top w:val="single" w:sz="6" w:space="0" w:color="231F20"/>
              <w:bottom w:val="single" w:sz="6" w:space="0" w:color="231F20"/>
            </w:tcBorders>
            <w:shd w:val="clear" w:color="auto" w:fill="F1F2F2"/>
          </w:tcPr>
          <w:p w14:paraId="401502A4" w14:textId="77777777" w:rsidR="009948F1" w:rsidRDefault="00BC0563">
            <w:pPr>
              <w:pStyle w:val="TableParagraph"/>
              <w:spacing w:before="97"/>
              <w:ind w:left="104"/>
              <w:rPr>
                <w:rFonts w:ascii="Carlito"/>
                <w:b/>
                <w:sz w:val="21"/>
              </w:rPr>
            </w:pPr>
            <w:r>
              <w:rPr>
                <w:rFonts w:ascii="Carlito"/>
                <w:b/>
                <w:color w:val="231F20"/>
                <w:w w:val="90"/>
                <w:sz w:val="21"/>
              </w:rPr>
              <w:t>0.0%</w:t>
            </w:r>
          </w:p>
        </w:tc>
      </w:tr>
      <w:tr w:rsidR="009948F1" w14:paraId="09CF7DE1" w14:textId="77777777">
        <w:trPr>
          <w:trHeight w:val="903"/>
        </w:trPr>
        <w:tc>
          <w:tcPr>
            <w:tcW w:w="2034" w:type="dxa"/>
            <w:gridSpan w:val="2"/>
            <w:tcBorders>
              <w:top w:val="single" w:sz="6" w:space="0" w:color="231F20"/>
              <w:bottom w:val="single" w:sz="6" w:space="0" w:color="231F20"/>
              <w:right w:val="single" w:sz="6" w:space="0" w:color="231F20"/>
            </w:tcBorders>
          </w:tcPr>
          <w:p w14:paraId="547AA0F6" w14:textId="77777777" w:rsidR="009948F1" w:rsidRDefault="00BC0563">
            <w:pPr>
              <w:pStyle w:val="TableParagraph"/>
              <w:spacing w:line="205" w:lineRule="exact"/>
              <w:ind w:left="308"/>
              <w:rPr>
                <w:b/>
                <w:sz w:val="21"/>
              </w:rPr>
            </w:pPr>
            <w:r>
              <w:rPr>
                <w:b/>
                <w:color w:val="231F20"/>
                <w:w w:val="90"/>
                <w:sz w:val="21"/>
              </w:rPr>
              <w:t>Health</w:t>
            </w:r>
          </w:p>
          <w:p w14:paraId="7F7DCE10" w14:textId="77777777" w:rsidR="009948F1" w:rsidRDefault="00BC0563">
            <w:pPr>
              <w:pStyle w:val="TableParagraph"/>
              <w:spacing w:before="6" w:line="228" w:lineRule="exact"/>
              <w:ind w:left="107" w:right="605"/>
              <w:rPr>
                <w:b/>
                <w:sz w:val="21"/>
              </w:rPr>
            </w:pPr>
            <w:r>
              <w:rPr>
                <w:b/>
                <w:color w:val="231F20"/>
                <w:w w:val="80"/>
                <w:sz w:val="21"/>
              </w:rPr>
              <w:t xml:space="preserve">Promotions and </w:t>
            </w:r>
            <w:r>
              <w:rPr>
                <w:b/>
                <w:color w:val="231F20"/>
                <w:w w:val="90"/>
                <w:sz w:val="21"/>
              </w:rPr>
              <w:t>Social Determinant</w:t>
            </w:r>
          </w:p>
        </w:tc>
        <w:tc>
          <w:tcPr>
            <w:tcW w:w="1037" w:type="dxa"/>
            <w:tcBorders>
              <w:top w:val="single" w:sz="6" w:space="0" w:color="231F20"/>
              <w:left w:val="single" w:sz="6" w:space="0" w:color="231F20"/>
              <w:bottom w:val="single" w:sz="6" w:space="0" w:color="231F20"/>
              <w:right w:val="single" w:sz="6" w:space="0" w:color="231F20"/>
            </w:tcBorders>
          </w:tcPr>
          <w:p w14:paraId="1857392C" w14:textId="77777777" w:rsidR="009948F1" w:rsidRDefault="009948F1">
            <w:pPr>
              <w:pStyle w:val="TableParagraph"/>
              <w:rPr>
                <w:b/>
                <w:i/>
                <w:sz w:val="28"/>
              </w:rPr>
            </w:pPr>
          </w:p>
          <w:p w14:paraId="6538FC1D"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0.20M</w:t>
            </w:r>
          </w:p>
        </w:tc>
        <w:tc>
          <w:tcPr>
            <w:tcW w:w="994" w:type="dxa"/>
            <w:tcBorders>
              <w:top w:val="single" w:sz="6" w:space="0" w:color="231F20"/>
              <w:left w:val="single" w:sz="6" w:space="0" w:color="231F20"/>
              <w:bottom w:val="single" w:sz="6" w:space="0" w:color="231F20"/>
              <w:right w:val="single" w:sz="6" w:space="0" w:color="231F20"/>
            </w:tcBorders>
          </w:tcPr>
          <w:p w14:paraId="562CC80A" w14:textId="77777777" w:rsidR="009948F1" w:rsidRDefault="009948F1">
            <w:pPr>
              <w:pStyle w:val="TableParagraph"/>
              <w:rPr>
                <w:b/>
                <w:i/>
                <w:sz w:val="28"/>
              </w:rPr>
            </w:pPr>
          </w:p>
          <w:p w14:paraId="0F0309DE"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7M</w:t>
            </w:r>
          </w:p>
        </w:tc>
        <w:tc>
          <w:tcPr>
            <w:tcW w:w="994" w:type="dxa"/>
            <w:tcBorders>
              <w:top w:val="single" w:sz="6" w:space="0" w:color="231F20"/>
              <w:left w:val="single" w:sz="6" w:space="0" w:color="231F20"/>
              <w:bottom w:val="single" w:sz="6" w:space="0" w:color="231F20"/>
              <w:right w:val="single" w:sz="6" w:space="0" w:color="231F20"/>
            </w:tcBorders>
          </w:tcPr>
          <w:p w14:paraId="029E4226" w14:textId="77777777" w:rsidR="009948F1" w:rsidRDefault="009948F1">
            <w:pPr>
              <w:pStyle w:val="TableParagraph"/>
              <w:rPr>
                <w:b/>
                <w:i/>
                <w:sz w:val="28"/>
              </w:rPr>
            </w:pPr>
          </w:p>
          <w:p w14:paraId="0C5C5DA3"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7M</w:t>
            </w:r>
          </w:p>
        </w:tc>
        <w:tc>
          <w:tcPr>
            <w:tcW w:w="994" w:type="dxa"/>
            <w:tcBorders>
              <w:top w:val="single" w:sz="6" w:space="0" w:color="231F20"/>
              <w:left w:val="single" w:sz="6" w:space="0" w:color="231F20"/>
              <w:bottom w:val="single" w:sz="6" w:space="0" w:color="231F20"/>
              <w:right w:val="single" w:sz="6" w:space="0" w:color="231F20"/>
            </w:tcBorders>
          </w:tcPr>
          <w:p w14:paraId="4E80E1AD" w14:textId="77777777" w:rsidR="009948F1" w:rsidRDefault="009948F1">
            <w:pPr>
              <w:pStyle w:val="TableParagraph"/>
              <w:rPr>
                <w:b/>
                <w:i/>
                <w:sz w:val="28"/>
              </w:rPr>
            </w:pPr>
          </w:p>
          <w:p w14:paraId="415E81CE" w14:textId="77777777" w:rsidR="009948F1" w:rsidRDefault="00BC0563">
            <w:pPr>
              <w:pStyle w:val="TableParagraph"/>
              <w:ind w:left="151"/>
              <w:rPr>
                <w:rFonts w:ascii="Carlito"/>
                <w:sz w:val="21"/>
              </w:rPr>
            </w:pPr>
            <w:r>
              <w:rPr>
                <w:color w:val="231F20"/>
                <w:w w:val="85"/>
                <w:sz w:val="21"/>
              </w:rPr>
              <w:t xml:space="preserve">? </w:t>
            </w:r>
            <w:r>
              <w:rPr>
                <w:rFonts w:ascii="Carlito"/>
                <w:color w:val="231F20"/>
                <w:w w:val="85"/>
                <w:sz w:val="21"/>
              </w:rPr>
              <w:t>7M</w:t>
            </w:r>
          </w:p>
        </w:tc>
        <w:tc>
          <w:tcPr>
            <w:tcW w:w="1170" w:type="dxa"/>
            <w:tcBorders>
              <w:top w:val="single" w:sz="6" w:space="0" w:color="231F20"/>
              <w:left w:val="single" w:sz="6" w:space="0" w:color="231F20"/>
              <w:bottom w:val="single" w:sz="6" w:space="0" w:color="231F20"/>
              <w:right w:val="single" w:sz="6" w:space="0" w:color="231F20"/>
            </w:tcBorders>
          </w:tcPr>
          <w:p w14:paraId="61A68FD4" w14:textId="77777777" w:rsidR="009948F1" w:rsidRDefault="009948F1">
            <w:pPr>
              <w:pStyle w:val="TableParagraph"/>
              <w:rPr>
                <w:b/>
                <w:i/>
                <w:sz w:val="28"/>
              </w:rPr>
            </w:pPr>
          </w:p>
          <w:p w14:paraId="4DE8A99B" w14:textId="77777777" w:rsidR="009948F1" w:rsidRDefault="00BC0563">
            <w:pPr>
              <w:pStyle w:val="TableParagraph"/>
              <w:ind w:left="150"/>
              <w:rPr>
                <w:rFonts w:ascii="Carlito"/>
                <w:sz w:val="21"/>
              </w:rPr>
            </w:pPr>
            <w:r>
              <w:rPr>
                <w:color w:val="231F20"/>
                <w:w w:val="85"/>
                <w:sz w:val="21"/>
              </w:rPr>
              <w:t xml:space="preserve">? </w:t>
            </w:r>
            <w:r>
              <w:rPr>
                <w:rFonts w:ascii="Carlito"/>
                <w:color w:val="231F20"/>
                <w:w w:val="85"/>
                <w:sz w:val="21"/>
              </w:rPr>
              <w:t>7M</w:t>
            </w:r>
          </w:p>
        </w:tc>
        <w:tc>
          <w:tcPr>
            <w:tcW w:w="1188" w:type="dxa"/>
            <w:tcBorders>
              <w:top w:val="single" w:sz="6" w:space="0" w:color="231F20"/>
              <w:left w:val="single" w:sz="6" w:space="0" w:color="231F20"/>
              <w:bottom w:val="single" w:sz="6" w:space="0" w:color="231F20"/>
            </w:tcBorders>
          </w:tcPr>
          <w:p w14:paraId="71BF873B" w14:textId="77777777" w:rsidR="009948F1" w:rsidRDefault="009948F1">
            <w:pPr>
              <w:pStyle w:val="TableParagraph"/>
              <w:rPr>
                <w:b/>
                <w:i/>
                <w:sz w:val="28"/>
              </w:rPr>
            </w:pPr>
          </w:p>
          <w:p w14:paraId="5BB3E029" w14:textId="77777777" w:rsidR="009948F1" w:rsidRDefault="00BC0563">
            <w:pPr>
              <w:pStyle w:val="TableParagraph"/>
              <w:ind w:left="150"/>
              <w:rPr>
                <w:rFonts w:ascii="Carlito"/>
                <w:sz w:val="21"/>
              </w:rPr>
            </w:pPr>
            <w:r>
              <w:rPr>
                <w:color w:val="231F20"/>
                <w:w w:val="85"/>
                <w:sz w:val="21"/>
              </w:rPr>
              <w:t xml:space="preserve">? </w:t>
            </w:r>
            <w:r>
              <w:rPr>
                <w:rFonts w:ascii="Carlito"/>
                <w:color w:val="231F20"/>
                <w:w w:val="85"/>
                <w:sz w:val="21"/>
              </w:rPr>
              <w:t>27M</w:t>
            </w:r>
          </w:p>
        </w:tc>
        <w:tc>
          <w:tcPr>
            <w:tcW w:w="792" w:type="dxa"/>
            <w:tcBorders>
              <w:top w:val="single" w:sz="6" w:space="0" w:color="231F20"/>
              <w:bottom w:val="single" w:sz="6" w:space="0" w:color="231F20"/>
            </w:tcBorders>
          </w:tcPr>
          <w:p w14:paraId="1EAB7D4F" w14:textId="77777777" w:rsidR="009948F1" w:rsidRDefault="009948F1">
            <w:pPr>
              <w:pStyle w:val="TableParagraph"/>
              <w:rPr>
                <w:b/>
                <w:i/>
                <w:sz w:val="28"/>
              </w:rPr>
            </w:pPr>
          </w:p>
          <w:p w14:paraId="33F2EF34" w14:textId="77777777" w:rsidR="009948F1" w:rsidRDefault="00BC0563">
            <w:pPr>
              <w:pStyle w:val="TableParagraph"/>
              <w:ind w:left="104"/>
              <w:rPr>
                <w:rFonts w:ascii="Carlito"/>
                <w:b/>
                <w:sz w:val="21"/>
              </w:rPr>
            </w:pPr>
            <w:r>
              <w:rPr>
                <w:rFonts w:ascii="Carlito"/>
                <w:b/>
                <w:color w:val="231F20"/>
                <w:w w:val="90"/>
                <w:sz w:val="21"/>
              </w:rPr>
              <w:t>0.1%</w:t>
            </w:r>
          </w:p>
        </w:tc>
      </w:tr>
      <w:tr w:rsidR="009948F1" w14:paraId="3271035E" w14:textId="77777777">
        <w:trPr>
          <w:trHeight w:val="682"/>
        </w:trPr>
        <w:tc>
          <w:tcPr>
            <w:tcW w:w="2034" w:type="dxa"/>
            <w:gridSpan w:val="2"/>
            <w:tcBorders>
              <w:top w:val="single" w:sz="6" w:space="0" w:color="231F20"/>
              <w:bottom w:val="single" w:sz="6" w:space="0" w:color="231F20"/>
              <w:right w:val="single" w:sz="6" w:space="0" w:color="231F20"/>
            </w:tcBorders>
            <w:shd w:val="clear" w:color="auto" w:fill="F1F2F2"/>
          </w:tcPr>
          <w:p w14:paraId="781CC7FF" w14:textId="77777777" w:rsidR="009948F1" w:rsidRDefault="00BC0563">
            <w:pPr>
              <w:pStyle w:val="TableParagraph"/>
              <w:spacing w:line="223" w:lineRule="auto"/>
              <w:ind w:left="107" w:right="713" w:firstLine="200"/>
              <w:rPr>
                <w:b/>
                <w:sz w:val="21"/>
              </w:rPr>
            </w:pPr>
            <w:r>
              <w:rPr>
                <w:b/>
                <w:color w:val="231F20"/>
                <w:w w:val="80"/>
                <w:sz w:val="21"/>
              </w:rPr>
              <w:t xml:space="preserve">General and </w:t>
            </w:r>
            <w:r>
              <w:rPr>
                <w:b/>
                <w:color w:val="231F20"/>
                <w:w w:val="90"/>
                <w:sz w:val="21"/>
              </w:rPr>
              <w:t>Emergency</w:t>
            </w:r>
          </w:p>
          <w:p w14:paraId="033188BD" w14:textId="77777777" w:rsidR="009948F1" w:rsidRDefault="00BC0563">
            <w:pPr>
              <w:pStyle w:val="TableParagraph"/>
              <w:spacing w:line="224" w:lineRule="exact"/>
              <w:ind w:left="107"/>
              <w:rPr>
                <w:b/>
                <w:sz w:val="21"/>
              </w:rPr>
            </w:pPr>
            <w:r>
              <w:rPr>
                <w:b/>
                <w:color w:val="231F20"/>
                <w:w w:val="90"/>
                <w:sz w:val="21"/>
              </w:rPr>
              <w:t>Hospital Services</w:t>
            </w:r>
          </w:p>
        </w:tc>
        <w:tc>
          <w:tcPr>
            <w:tcW w:w="1037" w:type="dxa"/>
            <w:tcBorders>
              <w:top w:val="single" w:sz="6" w:space="0" w:color="231F20"/>
              <w:left w:val="single" w:sz="6" w:space="0" w:color="231F20"/>
              <w:bottom w:val="single" w:sz="6" w:space="0" w:color="231F20"/>
              <w:right w:val="single" w:sz="6" w:space="0" w:color="231F20"/>
            </w:tcBorders>
            <w:shd w:val="clear" w:color="auto" w:fill="F1F2F2"/>
          </w:tcPr>
          <w:p w14:paraId="1E575AF5" w14:textId="77777777" w:rsidR="009948F1" w:rsidRDefault="009948F1">
            <w:pPr>
              <w:pStyle w:val="TableParagraph"/>
              <w:spacing w:before="6"/>
              <w:rPr>
                <w:b/>
                <w:i/>
                <w:sz w:val="18"/>
              </w:rPr>
            </w:pPr>
          </w:p>
          <w:p w14:paraId="18492780" w14:textId="77777777" w:rsidR="009948F1" w:rsidRDefault="00BC0563">
            <w:pPr>
              <w:pStyle w:val="TableParagraph"/>
              <w:ind w:left="114"/>
              <w:rPr>
                <w:rFonts w:ascii="Carlito"/>
                <w:sz w:val="21"/>
              </w:rPr>
            </w:pPr>
            <w:r>
              <w:rPr>
                <w:color w:val="231F20"/>
                <w:w w:val="85"/>
                <w:sz w:val="21"/>
              </w:rPr>
              <w:t xml:space="preserve">? </w:t>
            </w:r>
            <w:r>
              <w:rPr>
                <w:rFonts w:ascii="Carlito"/>
                <w:color w:val="231F20"/>
                <w:w w:val="85"/>
                <w:sz w:val="21"/>
              </w:rPr>
              <w:t>0.70M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497D1059" w14:textId="77777777" w:rsidR="009948F1" w:rsidRDefault="009948F1">
            <w:pPr>
              <w:pStyle w:val="TableParagraph"/>
              <w:spacing w:before="6"/>
              <w:rPr>
                <w:b/>
                <w:i/>
                <w:sz w:val="18"/>
              </w:rPr>
            </w:pPr>
          </w:p>
          <w:p w14:paraId="5DE8FEAC"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5M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4E7EEC3E" w14:textId="77777777" w:rsidR="009948F1" w:rsidRDefault="009948F1">
            <w:pPr>
              <w:pStyle w:val="TableParagraph"/>
              <w:spacing w:before="6"/>
              <w:rPr>
                <w:b/>
                <w:i/>
                <w:sz w:val="18"/>
              </w:rPr>
            </w:pPr>
          </w:p>
          <w:p w14:paraId="7639E59B"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5M</w:t>
            </w:r>
          </w:p>
        </w:tc>
        <w:tc>
          <w:tcPr>
            <w:tcW w:w="994" w:type="dxa"/>
            <w:tcBorders>
              <w:top w:val="single" w:sz="6" w:space="0" w:color="231F20"/>
              <w:left w:val="single" w:sz="6" w:space="0" w:color="231F20"/>
              <w:bottom w:val="single" w:sz="6" w:space="0" w:color="231F20"/>
              <w:right w:val="single" w:sz="6" w:space="0" w:color="231F20"/>
            </w:tcBorders>
            <w:shd w:val="clear" w:color="auto" w:fill="F1F2F2"/>
          </w:tcPr>
          <w:p w14:paraId="262A5868" w14:textId="77777777" w:rsidR="009948F1" w:rsidRDefault="009948F1">
            <w:pPr>
              <w:pStyle w:val="TableParagraph"/>
              <w:spacing w:before="6"/>
              <w:rPr>
                <w:b/>
                <w:i/>
                <w:sz w:val="18"/>
              </w:rPr>
            </w:pPr>
          </w:p>
          <w:p w14:paraId="418E533D"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4M</w:t>
            </w:r>
          </w:p>
        </w:tc>
        <w:tc>
          <w:tcPr>
            <w:tcW w:w="1170" w:type="dxa"/>
            <w:tcBorders>
              <w:top w:val="single" w:sz="6" w:space="0" w:color="231F20"/>
              <w:left w:val="single" w:sz="6" w:space="0" w:color="231F20"/>
              <w:bottom w:val="single" w:sz="6" w:space="0" w:color="231F20"/>
              <w:right w:val="single" w:sz="6" w:space="0" w:color="231F20"/>
            </w:tcBorders>
            <w:shd w:val="clear" w:color="auto" w:fill="F1F2F2"/>
          </w:tcPr>
          <w:p w14:paraId="0C1C339D" w14:textId="77777777" w:rsidR="009948F1" w:rsidRDefault="009948F1">
            <w:pPr>
              <w:pStyle w:val="TableParagraph"/>
              <w:spacing w:before="6"/>
              <w:rPr>
                <w:b/>
                <w:i/>
                <w:sz w:val="18"/>
              </w:rPr>
            </w:pPr>
          </w:p>
          <w:p w14:paraId="30F4C974" w14:textId="77777777" w:rsidR="009948F1" w:rsidRDefault="00BC0563">
            <w:pPr>
              <w:pStyle w:val="TableParagraph"/>
              <w:ind w:left="113"/>
              <w:rPr>
                <w:rFonts w:ascii="Carlito"/>
                <w:sz w:val="21"/>
              </w:rPr>
            </w:pPr>
            <w:r>
              <w:rPr>
                <w:color w:val="231F20"/>
                <w:w w:val="85"/>
                <w:sz w:val="21"/>
              </w:rPr>
              <w:t xml:space="preserve">? </w:t>
            </w:r>
            <w:r>
              <w:rPr>
                <w:rFonts w:ascii="Carlito"/>
                <w:color w:val="231F20"/>
                <w:w w:val="85"/>
                <w:sz w:val="21"/>
              </w:rPr>
              <w:t>4M</w:t>
            </w:r>
          </w:p>
        </w:tc>
        <w:tc>
          <w:tcPr>
            <w:tcW w:w="1188" w:type="dxa"/>
            <w:tcBorders>
              <w:top w:val="single" w:sz="6" w:space="0" w:color="231F20"/>
              <w:left w:val="single" w:sz="6" w:space="0" w:color="231F20"/>
              <w:bottom w:val="single" w:sz="6" w:space="0" w:color="231F20"/>
            </w:tcBorders>
            <w:shd w:val="clear" w:color="auto" w:fill="F1F2F2"/>
          </w:tcPr>
          <w:p w14:paraId="39E1428E" w14:textId="77777777" w:rsidR="009948F1" w:rsidRDefault="009948F1">
            <w:pPr>
              <w:pStyle w:val="TableParagraph"/>
              <w:spacing w:before="6"/>
              <w:rPr>
                <w:b/>
                <w:i/>
                <w:sz w:val="18"/>
              </w:rPr>
            </w:pPr>
          </w:p>
          <w:p w14:paraId="11C30C25" w14:textId="77777777" w:rsidR="009948F1" w:rsidRDefault="00BC0563">
            <w:pPr>
              <w:pStyle w:val="TableParagraph"/>
              <w:ind w:left="112"/>
              <w:rPr>
                <w:rFonts w:ascii="Carlito"/>
                <w:sz w:val="21"/>
              </w:rPr>
            </w:pPr>
            <w:r>
              <w:rPr>
                <w:color w:val="231F20"/>
                <w:w w:val="85"/>
                <w:sz w:val="21"/>
              </w:rPr>
              <w:t xml:space="preserve">? </w:t>
            </w:r>
            <w:r>
              <w:rPr>
                <w:rFonts w:ascii="Carlito"/>
                <w:color w:val="231F20"/>
                <w:w w:val="85"/>
                <w:sz w:val="21"/>
              </w:rPr>
              <w:t>19M</w:t>
            </w:r>
          </w:p>
        </w:tc>
        <w:tc>
          <w:tcPr>
            <w:tcW w:w="792" w:type="dxa"/>
            <w:tcBorders>
              <w:top w:val="single" w:sz="6" w:space="0" w:color="231F20"/>
              <w:bottom w:val="single" w:sz="6" w:space="0" w:color="231F20"/>
            </w:tcBorders>
            <w:shd w:val="clear" w:color="auto" w:fill="F1F2F2"/>
          </w:tcPr>
          <w:p w14:paraId="02B590A8" w14:textId="77777777" w:rsidR="009948F1" w:rsidRDefault="009948F1">
            <w:pPr>
              <w:pStyle w:val="TableParagraph"/>
              <w:spacing w:before="6"/>
              <w:rPr>
                <w:b/>
                <w:i/>
                <w:sz w:val="18"/>
              </w:rPr>
            </w:pPr>
          </w:p>
          <w:p w14:paraId="0A7B2CC4" w14:textId="77777777" w:rsidR="009948F1" w:rsidRDefault="00BC0563">
            <w:pPr>
              <w:pStyle w:val="TableParagraph"/>
              <w:ind w:left="104"/>
              <w:rPr>
                <w:rFonts w:ascii="Carlito"/>
                <w:b/>
                <w:sz w:val="21"/>
              </w:rPr>
            </w:pPr>
            <w:r>
              <w:rPr>
                <w:rFonts w:ascii="Carlito"/>
                <w:b/>
                <w:color w:val="231F20"/>
                <w:w w:val="90"/>
                <w:sz w:val="21"/>
              </w:rPr>
              <w:t>0.1%</w:t>
            </w:r>
          </w:p>
        </w:tc>
      </w:tr>
      <w:tr w:rsidR="009948F1" w14:paraId="5EA144EB" w14:textId="77777777">
        <w:trPr>
          <w:trHeight w:val="1018"/>
        </w:trPr>
        <w:tc>
          <w:tcPr>
            <w:tcW w:w="2034" w:type="dxa"/>
            <w:gridSpan w:val="2"/>
            <w:tcBorders>
              <w:top w:val="single" w:sz="6" w:space="0" w:color="231F20"/>
              <w:right w:val="single" w:sz="6" w:space="0" w:color="231F20"/>
            </w:tcBorders>
          </w:tcPr>
          <w:p w14:paraId="349B0568" w14:textId="77777777" w:rsidR="009948F1" w:rsidRDefault="00BC0563">
            <w:pPr>
              <w:pStyle w:val="TableParagraph"/>
              <w:spacing w:line="224" w:lineRule="exact"/>
              <w:ind w:left="333"/>
              <w:rPr>
                <w:b/>
                <w:sz w:val="26"/>
              </w:rPr>
            </w:pPr>
            <w:r>
              <w:rPr>
                <w:b/>
                <w:color w:val="231F20"/>
                <w:w w:val="90"/>
                <w:sz w:val="26"/>
              </w:rPr>
              <w:t>Public Health</w:t>
            </w:r>
          </w:p>
          <w:p w14:paraId="3A2B3053" w14:textId="77777777" w:rsidR="009948F1" w:rsidRDefault="00BC0563">
            <w:pPr>
              <w:pStyle w:val="TableParagraph"/>
              <w:spacing w:line="255" w:lineRule="exact"/>
              <w:ind w:left="107"/>
              <w:rPr>
                <w:b/>
                <w:sz w:val="26"/>
              </w:rPr>
            </w:pPr>
            <w:r>
              <w:rPr>
                <w:b/>
                <w:color w:val="231F20"/>
                <w:w w:val="90"/>
                <w:sz w:val="26"/>
              </w:rPr>
              <w:t>Emergencies,</w:t>
            </w:r>
          </w:p>
          <w:p w14:paraId="25E9B190" w14:textId="77777777" w:rsidR="009948F1" w:rsidRDefault="00BC0563">
            <w:pPr>
              <w:pStyle w:val="TableParagraph"/>
              <w:spacing w:before="19" w:line="254" w:lineRule="exact"/>
              <w:ind w:left="107" w:right="81"/>
              <w:rPr>
                <w:b/>
                <w:sz w:val="26"/>
              </w:rPr>
            </w:pPr>
            <w:r>
              <w:rPr>
                <w:b/>
                <w:color w:val="231F20"/>
                <w:w w:val="80"/>
                <w:sz w:val="26"/>
              </w:rPr>
              <w:t xml:space="preserve">Preparedness and </w:t>
            </w:r>
            <w:r>
              <w:rPr>
                <w:b/>
                <w:color w:val="231F20"/>
                <w:w w:val="90"/>
                <w:sz w:val="26"/>
              </w:rPr>
              <w:t>Response</w:t>
            </w:r>
          </w:p>
        </w:tc>
        <w:tc>
          <w:tcPr>
            <w:tcW w:w="1037" w:type="dxa"/>
            <w:tcBorders>
              <w:top w:val="single" w:sz="6" w:space="0" w:color="231F20"/>
              <w:left w:val="single" w:sz="6" w:space="0" w:color="231F20"/>
              <w:right w:val="single" w:sz="6" w:space="0" w:color="231F20"/>
            </w:tcBorders>
          </w:tcPr>
          <w:p w14:paraId="114DB589" w14:textId="77777777" w:rsidR="009948F1" w:rsidRDefault="009948F1">
            <w:pPr>
              <w:pStyle w:val="TableParagraph"/>
              <w:spacing w:before="7"/>
              <w:rPr>
                <w:b/>
                <w:i/>
                <w:sz w:val="30"/>
              </w:rPr>
            </w:pPr>
          </w:p>
          <w:p w14:paraId="6D3A0289"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0.1M</w:t>
            </w:r>
          </w:p>
        </w:tc>
        <w:tc>
          <w:tcPr>
            <w:tcW w:w="994" w:type="dxa"/>
            <w:tcBorders>
              <w:top w:val="single" w:sz="6" w:space="0" w:color="231F20"/>
              <w:left w:val="single" w:sz="6" w:space="0" w:color="231F20"/>
              <w:right w:val="single" w:sz="6" w:space="0" w:color="231F20"/>
            </w:tcBorders>
          </w:tcPr>
          <w:p w14:paraId="658043B1" w14:textId="77777777" w:rsidR="009948F1" w:rsidRDefault="009948F1">
            <w:pPr>
              <w:pStyle w:val="TableParagraph"/>
              <w:spacing w:before="7"/>
              <w:rPr>
                <w:b/>
                <w:i/>
                <w:sz w:val="30"/>
              </w:rPr>
            </w:pPr>
          </w:p>
          <w:p w14:paraId="04B1DC4F"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0.4M</w:t>
            </w:r>
          </w:p>
        </w:tc>
        <w:tc>
          <w:tcPr>
            <w:tcW w:w="994" w:type="dxa"/>
            <w:tcBorders>
              <w:top w:val="single" w:sz="6" w:space="0" w:color="231F20"/>
              <w:left w:val="single" w:sz="6" w:space="0" w:color="231F20"/>
              <w:right w:val="single" w:sz="6" w:space="0" w:color="231F20"/>
            </w:tcBorders>
          </w:tcPr>
          <w:p w14:paraId="365D719B" w14:textId="77777777" w:rsidR="009948F1" w:rsidRDefault="009948F1">
            <w:pPr>
              <w:pStyle w:val="TableParagraph"/>
              <w:spacing w:before="7"/>
              <w:rPr>
                <w:b/>
                <w:i/>
                <w:sz w:val="30"/>
              </w:rPr>
            </w:pPr>
          </w:p>
          <w:p w14:paraId="39DC15E9"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0.3M</w:t>
            </w:r>
          </w:p>
        </w:tc>
        <w:tc>
          <w:tcPr>
            <w:tcW w:w="994" w:type="dxa"/>
            <w:tcBorders>
              <w:top w:val="single" w:sz="6" w:space="0" w:color="231F20"/>
              <w:left w:val="single" w:sz="6" w:space="0" w:color="231F20"/>
              <w:right w:val="single" w:sz="6" w:space="0" w:color="231F20"/>
            </w:tcBorders>
          </w:tcPr>
          <w:p w14:paraId="4B4153E0" w14:textId="77777777" w:rsidR="009948F1" w:rsidRDefault="009948F1">
            <w:pPr>
              <w:pStyle w:val="TableParagraph"/>
              <w:spacing w:before="7"/>
              <w:rPr>
                <w:b/>
                <w:i/>
                <w:sz w:val="30"/>
              </w:rPr>
            </w:pPr>
          </w:p>
          <w:p w14:paraId="243B961D" w14:textId="77777777" w:rsidR="009948F1" w:rsidRDefault="00BC0563">
            <w:pPr>
              <w:pStyle w:val="TableParagraph"/>
              <w:ind w:left="161"/>
              <w:rPr>
                <w:rFonts w:ascii="Carlito"/>
                <w:sz w:val="26"/>
              </w:rPr>
            </w:pPr>
            <w:r>
              <w:rPr>
                <w:color w:val="231F20"/>
                <w:w w:val="85"/>
                <w:sz w:val="26"/>
              </w:rPr>
              <w:t xml:space="preserve">? </w:t>
            </w:r>
            <w:r>
              <w:rPr>
                <w:rFonts w:ascii="Carlito"/>
                <w:color w:val="231F20"/>
                <w:w w:val="85"/>
                <w:sz w:val="26"/>
              </w:rPr>
              <w:t>0.4M</w:t>
            </w:r>
          </w:p>
        </w:tc>
        <w:tc>
          <w:tcPr>
            <w:tcW w:w="1170" w:type="dxa"/>
            <w:tcBorders>
              <w:top w:val="single" w:sz="6" w:space="0" w:color="231F20"/>
              <w:left w:val="single" w:sz="6" w:space="0" w:color="231F20"/>
              <w:right w:val="single" w:sz="6" w:space="0" w:color="231F20"/>
            </w:tcBorders>
          </w:tcPr>
          <w:p w14:paraId="1CFA92EE" w14:textId="77777777" w:rsidR="009948F1" w:rsidRDefault="009948F1">
            <w:pPr>
              <w:pStyle w:val="TableParagraph"/>
              <w:spacing w:before="7"/>
              <w:rPr>
                <w:b/>
                <w:i/>
                <w:sz w:val="30"/>
              </w:rPr>
            </w:pPr>
          </w:p>
          <w:p w14:paraId="53E3775F" w14:textId="77777777" w:rsidR="009948F1" w:rsidRDefault="00BC0563">
            <w:pPr>
              <w:pStyle w:val="TableParagraph"/>
              <w:ind w:left="160"/>
              <w:rPr>
                <w:rFonts w:ascii="Carlito"/>
                <w:sz w:val="26"/>
              </w:rPr>
            </w:pPr>
            <w:r>
              <w:rPr>
                <w:color w:val="231F20"/>
                <w:w w:val="85"/>
                <w:sz w:val="26"/>
              </w:rPr>
              <w:t xml:space="preserve">? </w:t>
            </w:r>
            <w:r>
              <w:rPr>
                <w:rFonts w:ascii="Carlito"/>
                <w:color w:val="231F20"/>
                <w:w w:val="85"/>
                <w:sz w:val="26"/>
              </w:rPr>
              <w:t>0.3M</w:t>
            </w:r>
          </w:p>
        </w:tc>
        <w:tc>
          <w:tcPr>
            <w:tcW w:w="1188" w:type="dxa"/>
            <w:tcBorders>
              <w:top w:val="single" w:sz="6" w:space="0" w:color="231F20"/>
              <w:left w:val="single" w:sz="6" w:space="0" w:color="231F20"/>
            </w:tcBorders>
          </w:tcPr>
          <w:p w14:paraId="58675938" w14:textId="77777777" w:rsidR="009948F1" w:rsidRDefault="009948F1">
            <w:pPr>
              <w:pStyle w:val="TableParagraph"/>
              <w:spacing w:before="7"/>
              <w:rPr>
                <w:b/>
                <w:i/>
                <w:sz w:val="30"/>
              </w:rPr>
            </w:pPr>
          </w:p>
          <w:p w14:paraId="0FD68DCB" w14:textId="77777777" w:rsidR="009948F1" w:rsidRDefault="00BC0563">
            <w:pPr>
              <w:pStyle w:val="TableParagraph"/>
              <w:ind w:left="160"/>
              <w:rPr>
                <w:rFonts w:ascii="Carlito"/>
                <w:sz w:val="26"/>
              </w:rPr>
            </w:pPr>
            <w:r>
              <w:rPr>
                <w:color w:val="231F20"/>
                <w:w w:val="85"/>
                <w:sz w:val="26"/>
              </w:rPr>
              <w:t xml:space="preserve">? </w:t>
            </w:r>
            <w:r>
              <w:rPr>
                <w:rFonts w:ascii="Carlito"/>
                <w:color w:val="231F20"/>
                <w:w w:val="85"/>
                <w:sz w:val="26"/>
              </w:rPr>
              <w:t>1.5M</w:t>
            </w:r>
          </w:p>
        </w:tc>
        <w:tc>
          <w:tcPr>
            <w:tcW w:w="792" w:type="dxa"/>
            <w:tcBorders>
              <w:top w:val="single" w:sz="6" w:space="0" w:color="231F20"/>
            </w:tcBorders>
          </w:tcPr>
          <w:p w14:paraId="350A4D0F" w14:textId="77777777" w:rsidR="009948F1" w:rsidRDefault="009948F1">
            <w:pPr>
              <w:pStyle w:val="TableParagraph"/>
              <w:spacing w:before="7"/>
              <w:rPr>
                <w:b/>
                <w:i/>
                <w:sz w:val="30"/>
              </w:rPr>
            </w:pPr>
          </w:p>
          <w:p w14:paraId="673B07A5" w14:textId="77777777" w:rsidR="009948F1" w:rsidRDefault="00BC0563">
            <w:pPr>
              <w:pStyle w:val="TableParagraph"/>
              <w:ind w:left="104"/>
              <w:rPr>
                <w:rFonts w:ascii="Carlito"/>
                <w:b/>
                <w:sz w:val="26"/>
              </w:rPr>
            </w:pPr>
            <w:r>
              <w:rPr>
                <w:rFonts w:ascii="Carlito"/>
                <w:b/>
                <w:color w:val="231F20"/>
                <w:w w:val="90"/>
                <w:sz w:val="26"/>
              </w:rPr>
              <w:t>0.0%</w:t>
            </w:r>
          </w:p>
        </w:tc>
      </w:tr>
      <w:tr w:rsidR="009948F1" w14:paraId="3AAF9FD7" w14:textId="77777777">
        <w:trPr>
          <w:trHeight w:val="650"/>
        </w:trPr>
        <w:tc>
          <w:tcPr>
            <w:tcW w:w="2034" w:type="dxa"/>
            <w:gridSpan w:val="2"/>
            <w:tcBorders>
              <w:right w:val="single" w:sz="6" w:space="0" w:color="231F20"/>
            </w:tcBorders>
            <w:shd w:val="clear" w:color="auto" w:fill="DCDDDE"/>
          </w:tcPr>
          <w:p w14:paraId="6BDDCE80" w14:textId="77777777" w:rsidR="009948F1" w:rsidRDefault="00BC0563">
            <w:pPr>
              <w:pStyle w:val="TableParagraph"/>
              <w:spacing w:before="51" w:line="206" w:lineRule="auto"/>
              <w:ind w:left="107" w:right="532"/>
              <w:rPr>
                <w:b/>
                <w:sz w:val="26"/>
              </w:rPr>
            </w:pPr>
            <w:r>
              <w:rPr>
                <w:b/>
                <w:color w:val="231F20"/>
                <w:w w:val="85"/>
                <w:sz w:val="26"/>
              </w:rPr>
              <w:t xml:space="preserve">SHDP II </w:t>
            </w:r>
            <w:r>
              <w:rPr>
                <w:b/>
                <w:color w:val="231F20"/>
                <w:spacing w:val="-7"/>
                <w:w w:val="85"/>
                <w:sz w:val="26"/>
              </w:rPr>
              <w:t xml:space="preserve">Total </w:t>
            </w:r>
            <w:r>
              <w:rPr>
                <w:b/>
                <w:color w:val="231F20"/>
                <w:w w:val="90"/>
                <w:sz w:val="26"/>
              </w:rPr>
              <w:t>Cost</w:t>
            </w:r>
          </w:p>
        </w:tc>
        <w:tc>
          <w:tcPr>
            <w:tcW w:w="1037" w:type="dxa"/>
            <w:tcBorders>
              <w:left w:val="single" w:sz="6" w:space="0" w:color="231F20"/>
              <w:right w:val="single" w:sz="6" w:space="0" w:color="231F20"/>
            </w:tcBorders>
            <w:shd w:val="clear" w:color="auto" w:fill="DCDDDE"/>
          </w:tcPr>
          <w:p w14:paraId="3747EA41" w14:textId="77777777" w:rsidR="009948F1" w:rsidRDefault="00BC0563">
            <w:pPr>
              <w:pStyle w:val="TableParagraph"/>
              <w:spacing w:line="332" w:lineRule="exact"/>
              <w:ind w:left="114"/>
              <w:rPr>
                <w:rFonts w:ascii="BABEL Unicode"/>
                <w:b/>
                <w:sz w:val="26"/>
              </w:rPr>
            </w:pPr>
            <w:r>
              <w:rPr>
                <w:rFonts w:ascii="BABEL Unicode"/>
                <w:b/>
                <w:color w:val="231F20"/>
                <w:w w:val="80"/>
                <w:sz w:val="26"/>
              </w:rPr>
              <w:t>?</w:t>
            </w:r>
          </w:p>
          <w:p w14:paraId="5CF28CDD" w14:textId="77777777" w:rsidR="009948F1" w:rsidRDefault="00BC0563">
            <w:pPr>
              <w:pStyle w:val="TableParagraph"/>
              <w:spacing w:line="299" w:lineRule="exact"/>
              <w:ind w:left="114"/>
              <w:rPr>
                <w:rFonts w:ascii="Carlito"/>
                <w:b/>
                <w:sz w:val="26"/>
              </w:rPr>
            </w:pPr>
            <w:r>
              <w:rPr>
                <w:rFonts w:ascii="Carlito"/>
                <w:b/>
                <w:color w:val="231F20"/>
                <w:w w:val="90"/>
                <w:sz w:val="26"/>
              </w:rPr>
              <w:t>33,573M</w:t>
            </w:r>
          </w:p>
        </w:tc>
        <w:tc>
          <w:tcPr>
            <w:tcW w:w="994" w:type="dxa"/>
            <w:tcBorders>
              <w:left w:val="single" w:sz="6" w:space="0" w:color="231F20"/>
              <w:right w:val="single" w:sz="6" w:space="0" w:color="231F20"/>
            </w:tcBorders>
            <w:shd w:val="clear" w:color="auto" w:fill="DCDDDE"/>
          </w:tcPr>
          <w:p w14:paraId="6012DE8A" w14:textId="77777777" w:rsidR="009948F1" w:rsidRDefault="00BC0563">
            <w:pPr>
              <w:pStyle w:val="TableParagraph"/>
              <w:spacing w:line="332" w:lineRule="exact"/>
              <w:ind w:left="113"/>
              <w:rPr>
                <w:rFonts w:ascii="BABEL Unicode"/>
                <w:b/>
                <w:sz w:val="26"/>
              </w:rPr>
            </w:pPr>
            <w:r>
              <w:rPr>
                <w:rFonts w:ascii="BABEL Unicode"/>
                <w:b/>
                <w:color w:val="231F20"/>
                <w:w w:val="80"/>
                <w:sz w:val="26"/>
              </w:rPr>
              <w:t>?</w:t>
            </w:r>
          </w:p>
          <w:p w14:paraId="4EF02F52" w14:textId="77777777" w:rsidR="009948F1" w:rsidRDefault="00BC0563">
            <w:pPr>
              <w:pStyle w:val="TableParagraph"/>
              <w:spacing w:line="299" w:lineRule="exact"/>
              <w:ind w:left="113"/>
              <w:rPr>
                <w:rFonts w:ascii="Carlito"/>
                <w:b/>
                <w:sz w:val="26"/>
              </w:rPr>
            </w:pPr>
            <w:r>
              <w:rPr>
                <w:rFonts w:ascii="Carlito"/>
                <w:b/>
                <w:color w:val="231F20"/>
                <w:w w:val="85"/>
                <w:sz w:val="26"/>
              </w:rPr>
              <w:t>38,628M</w:t>
            </w:r>
          </w:p>
        </w:tc>
        <w:tc>
          <w:tcPr>
            <w:tcW w:w="994" w:type="dxa"/>
            <w:tcBorders>
              <w:left w:val="single" w:sz="6" w:space="0" w:color="231F20"/>
              <w:right w:val="single" w:sz="6" w:space="0" w:color="231F20"/>
            </w:tcBorders>
            <w:shd w:val="clear" w:color="auto" w:fill="DCDDDE"/>
          </w:tcPr>
          <w:p w14:paraId="6F5438CC" w14:textId="77777777" w:rsidR="009948F1" w:rsidRDefault="00BC0563">
            <w:pPr>
              <w:pStyle w:val="TableParagraph"/>
              <w:spacing w:line="332" w:lineRule="exact"/>
              <w:ind w:left="113"/>
              <w:rPr>
                <w:rFonts w:ascii="BABEL Unicode"/>
                <w:b/>
                <w:sz w:val="26"/>
              </w:rPr>
            </w:pPr>
            <w:r>
              <w:rPr>
                <w:rFonts w:ascii="BABEL Unicode"/>
                <w:b/>
                <w:color w:val="231F20"/>
                <w:w w:val="80"/>
                <w:sz w:val="26"/>
              </w:rPr>
              <w:t>?</w:t>
            </w:r>
          </w:p>
          <w:p w14:paraId="0D13EC6A" w14:textId="77777777" w:rsidR="009948F1" w:rsidRDefault="00BC0563">
            <w:pPr>
              <w:pStyle w:val="TableParagraph"/>
              <w:spacing w:line="299" w:lineRule="exact"/>
              <w:ind w:left="113"/>
              <w:rPr>
                <w:rFonts w:ascii="Carlito"/>
                <w:b/>
                <w:sz w:val="26"/>
              </w:rPr>
            </w:pPr>
            <w:r>
              <w:rPr>
                <w:rFonts w:ascii="Carlito"/>
                <w:b/>
                <w:color w:val="231F20"/>
                <w:w w:val="85"/>
                <w:sz w:val="26"/>
              </w:rPr>
              <w:t>44,542M</w:t>
            </w:r>
          </w:p>
        </w:tc>
        <w:tc>
          <w:tcPr>
            <w:tcW w:w="994" w:type="dxa"/>
            <w:tcBorders>
              <w:left w:val="single" w:sz="6" w:space="0" w:color="231F20"/>
              <w:right w:val="single" w:sz="6" w:space="0" w:color="231F20"/>
            </w:tcBorders>
            <w:shd w:val="clear" w:color="auto" w:fill="DCDDDE"/>
          </w:tcPr>
          <w:p w14:paraId="50614D30" w14:textId="77777777" w:rsidR="009948F1" w:rsidRDefault="00BC0563">
            <w:pPr>
              <w:pStyle w:val="TableParagraph"/>
              <w:spacing w:line="332" w:lineRule="exact"/>
              <w:ind w:left="113"/>
              <w:rPr>
                <w:rFonts w:ascii="BABEL Unicode"/>
                <w:b/>
                <w:sz w:val="26"/>
              </w:rPr>
            </w:pPr>
            <w:r>
              <w:rPr>
                <w:rFonts w:ascii="BABEL Unicode"/>
                <w:b/>
                <w:color w:val="231F20"/>
                <w:w w:val="80"/>
                <w:sz w:val="26"/>
              </w:rPr>
              <w:t>?</w:t>
            </w:r>
          </w:p>
          <w:p w14:paraId="3FDB0A7F" w14:textId="77777777" w:rsidR="009948F1" w:rsidRDefault="00BC0563">
            <w:pPr>
              <w:pStyle w:val="TableParagraph"/>
              <w:spacing w:line="299" w:lineRule="exact"/>
              <w:ind w:left="113"/>
              <w:rPr>
                <w:rFonts w:ascii="Carlito"/>
                <w:b/>
                <w:sz w:val="26"/>
              </w:rPr>
            </w:pPr>
            <w:r>
              <w:rPr>
                <w:rFonts w:ascii="Carlito"/>
                <w:b/>
                <w:color w:val="231F20"/>
                <w:w w:val="85"/>
                <w:sz w:val="26"/>
              </w:rPr>
              <w:t>49,328M</w:t>
            </w:r>
          </w:p>
        </w:tc>
        <w:tc>
          <w:tcPr>
            <w:tcW w:w="1170" w:type="dxa"/>
            <w:tcBorders>
              <w:left w:val="single" w:sz="6" w:space="0" w:color="231F20"/>
              <w:right w:val="single" w:sz="6" w:space="0" w:color="231F20"/>
            </w:tcBorders>
            <w:shd w:val="clear" w:color="auto" w:fill="DCDDDE"/>
          </w:tcPr>
          <w:p w14:paraId="512E7EBB" w14:textId="77777777" w:rsidR="009948F1" w:rsidRDefault="00BC0563">
            <w:pPr>
              <w:pStyle w:val="TableParagraph"/>
              <w:spacing w:before="148"/>
              <w:ind w:left="113"/>
              <w:rPr>
                <w:rFonts w:ascii="Carlito"/>
                <w:b/>
                <w:sz w:val="26"/>
              </w:rPr>
            </w:pPr>
            <w:r>
              <w:rPr>
                <w:rFonts w:ascii="BABEL Unicode"/>
                <w:b/>
                <w:color w:val="231F20"/>
                <w:w w:val="90"/>
                <w:sz w:val="26"/>
              </w:rPr>
              <w:t xml:space="preserve">? </w:t>
            </w:r>
            <w:r>
              <w:rPr>
                <w:rFonts w:ascii="Carlito"/>
                <w:b/>
                <w:color w:val="231F20"/>
                <w:w w:val="90"/>
                <w:sz w:val="26"/>
              </w:rPr>
              <w:t>54,118M</w:t>
            </w:r>
          </w:p>
        </w:tc>
        <w:tc>
          <w:tcPr>
            <w:tcW w:w="1188" w:type="dxa"/>
            <w:tcBorders>
              <w:left w:val="single" w:sz="6" w:space="0" w:color="231F20"/>
            </w:tcBorders>
            <w:shd w:val="clear" w:color="auto" w:fill="DCDDDE"/>
          </w:tcPr>
          <w:p w14:paraId="7FC0A88B" w14:textId="77777777" w:rsidR="009948F1" w:rsidRDefault="00BC0563">
            <w:pPr>
              <w:pStyle w:val="TableParagraph"/>
              <w:spacing w:line="332" w:lineRule="exact"/>
              <w:ind w:left="112"/>
              <w:rPr>
                <w:rFonts w:ascii="BABEL Unicode"/>
                <w:b/>
                <w:sz w:val="26"/>
              </w:rPr>
            </w:pPr>
            <w:r>
              <w:rPr>
                <w:rFonts w:ascii="BABEL Unicode"/>
                <w:b/>
                <w:color w:val="231F20"/>
                <w:w w:val="80"/>
                <w:sz w:val="26"/>
              </w:rPr>
              <w:t>?</w:t>
            </w:r>
          </w:p>
          <w:p w14:paraId="1D0EC9D2" w14:textId="77777777" w:rsidR="009948F1" w:rsidRDefault="00BC0563">
            <w:pPr>
              <w:pStyle w:val="TableParagraph"/>
              <w:spacing w:line="299" w:lineRule="exact"/>
              <w:ind w:left="112"/>
              <w:rPr>
                <w:rFonts w:ascii="Carlito"/>
                <w:b/>
                <w:sz w:val="26"/>
              </w:rPr>
            </w:pPr>
            <w:r>
              <w:rPr>
                <w:rFonts w:ascii="Carlito"/>
                <w:b/>
                <w:color w:val="231F20"/>
                <w:w w:val="90"/>
                <w:sz w:val="26"/>
              </w:rPr>
              <w:t>220,189M</w:t>
            </w:r>
          </w:p>
        </w:tc>
        <w:tc>
          <w:tcPr>
            <w:tcW w:w="792" w:type="dxa"/>
            <w:tcBorders>
              <w:bottom w:val="nil"/>
              <w:right w:val="nil"/>
            </w:tcBorders>
          </w:tcPr>
          <w:p w14:paraId="5B61315D" w14:textId="77777777" w:rsidR="009948F1" w:rsidRDefault="009948F1">
            <w:pPr>
              <w:pStyle w:val="TableParagraph"/>
              <w:rPr>
                <w:rFonts w:ascii="Times New Roman"/>
                <w:sz w:val="18"/>
              </w:rPr>
            </w:pPr>
          </w:p>
        </w:tc>
      </w:tr>
    </w:tbl>
    <w:p w14:paraId="7E93D9E3" w14:textId="77777777" w:rsidR="009948F1" w:rsidRDefault="009948F1">
      <w:pPr>
        <w:rPr>
          <w:rFonts w:ascii="Times New Roman"/>
          <w:sz w:val="18"/>
        </w:rPr>
        <w:sectPr w:rsidR="009948F1">
          <w:pgSz w:w="11910" w:h="16840"/>
          <w:pgMar w:top="1460" w:right="1080" w:bottom="1420" w:left="1120" w:header="0" w:footer="1235" w:gutter="0"/>
          <w:cols w:space="720"/>
        </w:sectPr>
      </w:pPr>
    </w:p>
    <w:p w14:paraId="091AD10E" w14:textId="77777777" w:rsidR="009948F1" w:rsidRDefault="00244DD0">
      <w:pPr>
        <w:spacing w:before="42"/>
        <w:ind w:left="205"/>
        <w:rPr>
          <w:b/>
          <w:i/>
          <w:sz w:val="20"/>
        </w:rPr>
      </w:pPr>
      <w:r>
        <w:lastRenderedPageBreak/>
        <w:pict w14:anchorId="4F94004A">
          <v:shape id="_x0000_s2074" style="position:absolute;left:0;text-align:left;margin-left:521.3pt;margin-top:7.7pt;width:6.15pt;height:1.4pt;z-index:-35214336;mso-position-horizontal-relative:page" coordorigin="10426,154" coordsize="123,28" o:spt="100" adj="0,,0" path="m10548,154r-122,l10426,163r122,l10548,154xm10548,172r-122,l10426,181r122,l10548,172xe" fillcolor="#231f20" stroked="f">
            <v:stroke joinstyle="round"/>
            <v:formulas/>
            <v:path arrowok="t" o:connecttype="segments"/>
            <w10:wrap anchorx="page"/>
          </v:shape>
        </w:pict>
      </w:r>
      <w:bookmarkStart w:id="125" w:name="Page_104"/>
      <w:bookmarkEnd w:id="125"/>
      <w:r w:rsidR="00BC0563">
        <w:rPr>
          <w:b/>
          <w:i/>
          <w:color w:val="231F20"/>
          <w:w w:val="90"/>
          <w:sz w:val="20"/>
        </w:rPr>
        <w:t>Table</w:t>
      </w:r>
      <w:r w:rsidR="00BC0563">
        <w:rPr>
          <w:b/>
          <w:i/>
          <w:color w:val="231F20"/>
          <w:spacing w:val="-31"/>
          <w:w w:val="90"/>
          <w:sz w:val="20"/>
        </w:rPr>
        <w:t xml:space="preserve"> </w:t>
      </w:r>
      <w:r w:rsidR="00BC0563">
        <w:rPr>
          <w:b/>
          <w:i/>
          <w:color w:val="231F20"/>
          <w:w w:val="90"/>
          <w:sz w:val="20"/>
        </w:rPr>
        <w:t>9:</w:t>
      </w:r>
      <w:r w:rsidR="00BC0563">
        <w:rPr>
          <w:b/>
          <w:i/>
          <w:color w:val="231F20"/>
          <w:spacing w:val="-30"/>
          <w:w w:val="90"/>
          <w:sz w:val="20"/>
        </w:rPr>
        <w:t xml:space="preserve"> </w:t>
      </w:r>
      <w:r w:rsidR="00BC0563">
        <w:rPr>
          <w:b/>
          <w:i/>
          <w:color w:val="231F20"/>
          <w:w w:val="90"/>
          <w:sz w:val="20"/>
        </w:rPr>
        <w:t>Summary</w:t>
      </w:r>
      <w:r w:rsidR="00BC0563">
        <w:rPr>
          <w:b/>
          <w:i/>
          <w:color w:val="231F20"/>
          <w:spacing w:val="-30"/>
          <w:w w:val="90"/>
          <w:sz w:val="20"/>
        </w:rPr>
        <w:t xml:space="preserve"> </w:t>
      </w:r>
      <w:r w:rsidR="00BC0563">
        <w:rPr>
          <w:b/>
          <w:i/>
          <w:color w:val="231F20"/>
          <w:w w:val="90"/>
          <w:sz w:val="20"/>
        </w:rPr>
        <w:t>costs</w:t>
      </w:r>
      <w:r w:rsidR="00BC0563">
        <w:rPr>
          <w:b/>
          <w:i/>
          <w:color w:val="231F20"/>
          <w:spacing w:val="-31"/>
          <w:w w:val="90"/>
          <w:sz w:val="20"/>
        </w:rPr>
        <w:t xml:space="preserve"> </w:t>
      </w:r>
      <w:r w:rsidR="00BC0563">
        <w:rPr>
          <w:b/>
          <w:i/>
          <w:color w:val="231F20"/>
          <w:w w:val="90"/>
          <w:sz w:val="20"/>
        </w:rPr>
        <w:t>of</w:t>
      </w:r>
      <w:r w:rsidR="00BC0563">
        <w:rPr>
          <w:b/>
          <w:i/>
          <w:color w:val="231F20"/>
          <w:spacing w:val="-30"/>
          <w:w w:val="90"/>
          <w:sz w:val="20"/>
        </w:rPr>
        <w:t xml:space="preserve"> </w:t>
      </w:r>
      <w:r w:rsidR="00BC0563">
        <w:rPr>
          <w:b/>
          <w:i/>
          <w:color w:val="231F20"/>
          <w:w w:val="90"/>
          <w:sz w:val="20"/>
        </w:rPr>
        <w:t>Rivers</w:t>
      </w:r>
      <w:r w:rsidR="00BC0563">
        <w:rPr>
          <w:b/>
          <w:i/>
          <w:color w:val="231F20"/>
          <w:spacing w:val="-30"/>
          <w:w w:val="90"/>
          <w:sz w:val="20"/>
        </w:rPr>
        <w:t xml:space="preserve"> </w:t>
      </w:r>
      <w:r w:rsidR="00BC0563">
        <w:rPr>
          <w:b/>
          <w:i/>
          <w:color w:val="231F20"/>
          <w:w w:val="90"/>
          <w:sz w:val="20"/>
        </w:rPr>
        <w:t>SSHDP</w:t>
      </w:r>
      <w:r w:rsidR="00BC0563">
        <w:rPr>
          <w:b/>
          <w:i/>
          <w:color w:val="231F20"/>
          <w:spacing w:val="-33"/>
          <w:w w:val="90"/>
          <w:sz w:val="20"/>
        </w:rPr>
        <w:t xml:space="preserve"> </w:t>
      </w:r>
      <w:r w:rsidR="00BC0563">
        <w:rPr>
          <w:b/>
          <w:i/>
          <w:color w:val="231F20"/>
          <w:w w:val="90"/>
          <w:sz w:val="20"/>
        </w:rPr>
        <w:t>II</w:t>
      </w:r>
      <w:r w:rsidR="00BC0563">
        <w:rPr>
          <w:b/>
          <w:i/>
          <w:color w:val="231F20"/>
          <w:spacing w:val="-30"/>
          <w:w w:val="90"/>
          <w:sz w:val="20"/>
        </w:rPr>
        <w:t xml:space="preserve"> </w:t>
      </w:r>
      <w:r w:rsidR="00BC0563">
        <w:rPr>
          <w:b/>
          <w:i/>
          <w:color w:val="231F20"/>
          <w:w w:val="90"/>
          <w:sz w:val="20"/>
        </w:rPr>
        <w:t>2018-2022</w:t>
      </w:r>
      <w:r w:rsidR="00BC0563">
        <w:rPr>
          <w:b/>
          <w:i/>
          <w:color w:val="231F20"/>
          <w:spacing w:val="-31"/>
          <w:w w:val="90"/>
          <w:sz w:val="20"/>
        </w:rPr>
        <w:t xml:space="preserve"> </w:t>
      </w:r>
      <w:r w:rsidR="00BC0563">
        <w:rPr>
          <w:b/>
          <w:i/>
          <w:color w:val="231F20"/>
          <w:w w:val="90"/>
          <w:sz w:val="20"/>
        </w:rPr>
        <w:t>Essential</w:t>
      </w:r>
      <w:r w:rsidR="00BC0563">
        <w:rPr>
          <w:b/>
          <w:i/>
          <w:color w:val="231F20"/>
          <w:spacing w:val="-30"/>
          <w:w w:val="90"/>
          <w:sz w:val="20"/>
        </w:rPr>
        <w:t xml:space="preserve"> </w:t>
      </w:r>
      <w:r w:rsidR="00BC0563">
        <w:rPr>
          <w:b/>
          <w:i/>
          <w:color w:val="231F20"/>
          <w:w w:val="90"/>
          <w:sz w:val="20"/>
        </w:rPr>
        <w:t>Package</w:t>
      </w:r>
      <w:r w:rsidR="00BC0563">
        <w:rPr>
          <w:b/>
          <w:i/>
          <w:color w:val="231F20"/>
          <w:spacing w:val="-30"/>
          <w:w w:val="90"/>
          <w:sz w:val="20"/>
        </w:rPr>
        <w:t xml:space="preserve"> </w:t>
      </w:r>
      <w:r w:rsidR="00BC0563">
        <w:rPr>
          <w:b/>
          <w:i/>
          <w:color w:val="231F20"/>
          <w:w w:val="90"/>
          <w:sz w:val="20"/>
        </w:rPr>
        <w:t>Moderate</w:t>
      </w:r>
      <w:r w:rsidR="00BC0563">
        <w:rPr>
          <w:b/>
          <w:i/>
          <w:color w:val="231F20"/>
          <w:spacing w:val="-31"/>
          <w:w w:val="90"/>
          <w:sz w:val="20"/>
        </w:rPr>
        <w:t xml:space="preserve"> </w:t>
      </w:r>
      <w:r w:rsidR="00BC0563">
        <w:rPr>
          <w:b/>
          <w:i/>
          <w:color w:val="231F20"/>
          <w:w w:val="90"/>
          <w:sz w:val="20"/>
        </w:rPr>
        <w:t>Scale-up</w:t>
      </w:r>
      <w:r w:rsidR="00BC0563">
        <w:rPr>
          <w:b/>
          <w:i/>
          <w:color w:val="231F20"/>
          <w:spacing w:val="-30"/>
          <w:w w:val="90"/>
          <w:sz w:val="20"/>
        </w:rPr>
        <w:t xml:space="preserve"> </w:t>
      </w:r>
      <w:r w:rsidR="00BC0563">
        <w:rPr>
          <w:b/>
          <w:i/>
          <w:color w:val="231F20"/>
          <w:w w:val="90"/>
          <w:sz w:val="20"/>
        </w:rPr>
        <w:t>Scenario,</w:t>
      </w:r>
      <w:r w:rsidR="00BC0563">
        <w:rPr>
          <w:b/>
          <w:i/>
          <w:color w:val="231F20"/>
          <w:spacing w:val="-30"/>
          <w:w w:val="90"/>
          <w:sz w:val="20"/>
        </w:rPr>
        <w:t xml:space="preserve"> </w:t>
      </w:r>
      <w:r w:rsidR="00BC0563">
        <w:rPr>
          <w:b/>
          <w:i/>
          <w:color w:val="231F20"/>
          <w:w w:val="90"/>
          <w:sz w:val="20"/>
        </w:rPr>
        <w:t>in</w:t>
      </w:r>
      <w:r w:rsidR="00BC0563">
        <w:rPr>
          <w:b/>
          <w:i/>
          <w:color w:val="231F20"/>
          <w:spacing w:val="-31"/>
          <w:w w:val="90"/>
          <w:sz w:val="20"/>
        </w:rPr>
        <w:t xml:space="preserve"> </w:t>
      </w:r>
      <w:r w:rsidR="00BC0563">
        <w:rPr>
          <w:b/>
          <w:i/>
          <w:color w:val="231F20"/>
          <w:w w:val="90"/>
          <w:sz w:val="20"/>
        </w:rPr>
        <w:t>Million</w:t>
      </w:r>
      <w:r w:rsidR="00BC0563">
        <w:rPr>
          <w:b/>
          <w:i/>
          <w:color w:val="231F20"/>
          <w:spacing w:val="-30"/>
          <w:w w:val="90"/>
          <w:sz w:val="20"/>
        </w:rPr>
        <w:t xml:space="preserve"> </w:t>
      </w:r>
      <w:r w:rsidR="00BC0563">
        <w:rPr>
          <w:b/>
          <w:i/>
          <w:color w:val="231F20"/>
          <w:w w:val="90"/>
          <w:sz w:val="20"/>
        </w:rPr>
        <w:t>(N)</w:t>
      </w:r>
    </w:p>
    <w:p w14:paraId="64D2B5AA" w14:textId="77777777" w:rsidR="009948F1" w:rsidRDefault="009948F1">
      <w:pPr>
        <w:pStyle w:val="BodyText"/>
        <w:rPr>
          <w:b/>
          <w:i/>
          <w:sz w:val="20"/>
        </w:rPr>
      </w:pPr>
    </w:p>
    <w:p w14:paraId="029021B7" w14:textId="77777777" w:rsidR="009948F1" w:rsidRDefault="009948F1">
      <w:pPr>
        <w:pStyle w:val="BodyText"/>
        <w:spacing w:before="3"/>
        <w:rPr>
          <w:b/>
          <w:i/>
          <w:sz w:val="21"/>
        </w:rPr>
      </w:pPr>
    </w:p>
    <w:tbl>
      <w:tblPr>
        <w:tblW w:w="0" w:type="auto"/>
        <w:tblInd w:w="20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732"/>
        <w:gridCol w:w="271"/>
        <w:gridCol w:w="932"/>
        <w:gridCol w:w="311"/>
        <w:gridCol w:w="896"/>
        <w:gridCol w:w="272"/>
        <w:gridCol w:w="969"/>
        <w:gridCol w:w="1009"/>
        <w:gridCol w:w="1009"/>
        <w:gridCol w:w="272"/>
        <w:gridCol w:w="846"/>
        <w:gridCol w:w="812"/>
      </w:tblGrid>
      <w:tr w:rsidR="009948F1" w14:paraId="0F7F6579" w14:textId="77777777">
        <w:trPr>
          <w:trHeight w:val="649"/>
        </w:trPr>
        <w:tc>
          <w:tcPr>
            <w:tcW w:w="3246" w:type="dxa"/>
            <w:gridSpan w:val="4"/>
            <w:tcBorders>
              <w:left w:val="single" w:sz="8" w:space="0" w:color="231F20"/>
              <w:right w:val="nil"/>
            </w:tcBorders>
          </w:tcPr>
          <w:p w14:paraId="6E6A0C9F" w14:textId="71F59371" w:rsidR="009948F1" w:rsidRDefault="00BC0563">
            <w:pPr>
              <w:pStyle w:val="TableParagraph"/>
              <w:spacing w:before="119" w:line="208" w:lineRule="auto"/>
              <w:ind w:left="101" w:right="-29"/>
              <w:rPr>
                <w:b/>
                <w:sz w:val="19"/>
              </w:rPr>
            </w:pPr>
            <w:r>
              <w:rPr>
                <w:b/>
                <w:color w:val="231F20"/>
                <w:w w:val="95"/>
                <w:sz w:val="19"/>
              </w:rPr>
              <w:t>Summary</w:t>
            </w:r>
            <w:r>
              <w:rPr>
                <w:b/>
                <w:color w:val="231F20"/>
                <w:spacing w:val="-33"/>
                <w:w w:val="95"/>
                <w:sz w:val="19"/>
              </w:rPr>
              <w:t xml:space="preserve"> </w:t>
            </w:r>
            <w:r>
              <w:rPr>
                <w:b/>
                <w:color w:val="231F20"/>
                <w:w w:val="95"/>
                <w:sz w:val="19"/>
              </w:rPr>
              <w:t>costs</w:t>
            </w:r>
            <w:r>
              <w:rPr>
                <w:b/>
                <w:color w:val="231F20"/>
                <w:spacing w:val="-33"/>
                <w:w w:val="95"/>
                <w:sz w:val="19"/>
              </w:rPr>
              <w:t xml:space="preserve"> </w:t>
            </w:r>
            <w:r>
              <w:rPr>
                <w:b/>
                <w:color w:val="231F20"/>
                <w:w w:val="95"/>
                <w:sz w:val="19"/>
              </w:rPr>
              <w:t>of</w:t>
            </w:r>
            <w:r>
              <w:rPr>
                <w:b/>
                <w:color w:val="231F20"/>
                <w:spacing w:val="-32"/>
                <w:w w:val="95"/>
                <w:sz w:val="19"/>
              </w:rPr>
              <w:t xml:space="preserve"> </w:t>
            </w:r>
            <w:r>
              <w:rPr>
                <w:b/>
                <w:color w:val="231F20"/>
                <w:w w:val="95"/>
                <w:sz w:val="19"/>
              </w:rPr>
              <w:t>Rivers</w:t>
            </w:r>
            <w:r>
              <w:rPr>
                <w:b/>
                <w:color w:val="231F20"/>
                <w:spacing w:val="-33"/>
                <w:w w:val="95"/>
                <w:sz w:val="19"/>
              </w:rPr>
              <w:t xml:space="preserve"> </w:t>
            </w:r>
            <w:r>
              <w:rPr>
                <w:b/>
                <w:color w:val="231F20"/>
                <w:w w:val="95"/>
                <w:sz w:val="19"/>
              </w:rPr>
              <w:t>SSHDP</w:t>
            </w:r>
            <w:r>
              <w:rPr>
                <w:b/>
                <w:color w:val="231F20"/>
                <w:spacing w:val="-33"/>
                <w:w w:val="95"/>
                <w:sz w:val="19"/>
              </w:rPr>
              <w:t xml:space="preserve"> </w:t>
            </w:r>
            <w:r>
              <w:rPr>
                <w:b/>
                <w:color w:val="231F20"/>
                <w:w w:val="95"/>
                <w:sz w:val="19"/>
              </w:rPr>
              <w:t>II</w:t>
            </w:r>
            <w:r>
              <w:rPr>
                <w:b/>
                <w:color w:val="231F20"/>
                <w:spacing w:val="-33"/>
                <w:w w:val="95"/>
                <w:sz w:val="19"/>
              </w:rPr>
              <w:t xml:space="preserve"> </w:t>
            </w:r>
            <w:r>
              <w:rPr>
                <w:b/>
                <w:color w:val="231F20"/>
                <w:w w:val="95"/>
                <w:sz w:val="19"/>
              </w:rPr>
              <w:t xml:space="preserve">201 </w:t>
            </w:r>
            <w:r>
              <w:rPr>
                <w:b/>
                <w:color w:val="231F20"/>
                <w:sz w:val="19"/>
              </w:rPr>
              <w:t>Scenario, in Million</w:t>
            </w:r>
            <w:r w:rsidR="00365548">
              <w:rPr>
                <w:b/>
                <w:color w:val="231F20"/>
                <w:sz w:val="19"/>
              </w:rPr>
              <w:t xml:space="preserve"> </w:t>
            </w:r>
            <w:r>
              <w:rPr>
                <w:b/>
                <w:color w:val="231F20"/>
                <w:sz w:val="19"/>
              </w:rPr>
              <w:t>(</w:t>
            </w:r>
            <w:r>
              <w:rPr>
                <w:rFonts w:ascii="BABEL Unicode"/>
                <w:b/>
                <w:color w:val="231F20"/>
                <w:sz w:val="19"/>
              </w:rPr>
              <w:t>?</w:t>
            </w:r>
            <w:r>
              <w:rPr>
                <w:rFonts w:ascii="BABEL Unicode"/>
                <w:b/>
                <w:color w:val="231F20"/>
                <w:spacing w:val="-41"/>
                <w:sz w:val="19"/>
              </w:rPr>
              <w:t xml:space="preserve"> </w:t>
            </w:r>
            <w:r>
              <w:rPr>
                <w:b/>
                <w:color w:val="231F20"/>
                <w:sz w:val="19"/>
              </w:rPr>
              <w:t>)</w:t>
            </w:r>
          </w:p>
        </w:tc>
        <w:tc>
          <w:tcPr>
            <w:tcW w:w="5273" w:type="dxa"/>
            <w:gridSpan w:val="7"/>
            <w:tcBorders>
              <w:left w:val="nil"/>
              <w:right w:val="single" w:sz="8" w:space="0" w:color="231F20"/>
            </w:tcBorders>
          </w:tcPr>
          <w:p w14:paraId="757310DE" w14:textId="77777777" w:rsidR="009948F1" w:rsidRDefault="00BC0563">
            <w:pPr>
              <w:pStyle w:val="TableParagraph"/>
              <w:tabs>
                <w:tab w:val="left" w:pos="4873"/>
              </w:tabs>
              <w:spacing w:before="95"/>
              <w:ind w:left="753"/>
              <w:rPr>
                <w:b/>
                <w:sz w:val="19"/>
              </w:rPr>
            </w:pPr>
            <w:r>
              <w:rPr>
                <w:b/>
                <w:color w:val="231F20"/>
                <w:spacing w:val="3"/>
                <w:w w:val="95"/>
                <w:sz w:val="19"/>
              </w:rPr>
              <w:t>8-</w:t>
            </w:r>
            <w:r>
              <w:rPr>
                <w:b/>
                <w:color w:val="231F20"/>
                <w:spacing w:val="-26"/>
                <w:w w:val="95"/>
                <w:sz w:val="19"/>
              </w:rPr>
              <w:t xml:space="preserve"> </w:t>
            </w:r>
            <w:r>
              <w:rPr>
                <w:b/>
                <w:color w:val="231F20"/>
                <w:w w:val="95"/>
                <w:sz w:val="19"/>
              </w:rPr>
              <w:t>202</w:t>
            </w:r>
            <w:r>
              <w:rPr>
                <w:b/>
                <w:color w:val="231F20"/>
                <w:spacing w:val="-37"/>
                <w:w w:val="95"/>
                <w:sz w:val="19"/>
              </w:rPr>
              <w:t xml:space="preserve"> </w:t>
            </w:r>
            <w:r>
              <w:rPr>
                <w:b/>
                <w:color w:val="231F20"/>
                <w:w w:val="95"/>
                <w:sz w:val="19"/>
              </w:rPr>
              <w:t>2</w:t>
            </w:r>
            <w:r>
              <w:rPr>
                <w:b/>
                <w:color w:val="231F20"/>
                <w:spacing w:val="30"/>
                <w:w w:val="95"/>
                <w:sz w:val="19"/>
              </w:rPr>
              <w:t xml:space="preserve"> </w:t>
            </w:r>
            <w:r>
              <w:rPr>
                <w:b/>
                <w:color w:val="231F20"/>
                <w:w w:val="95"/>
                <w:sz w:val="19"/>
              </w:rPr>
              <w:t>Essential</w:t>
            </w:r>
            <w:r>
              <w:rPr>
                <w:b/>
                <w:color w:val="231F20"/>
                <w:spacing w:val="-24"/>
                <w:w w:val="95"/>
                <w:sz w:val="19"/>
              </w:rPr>
              <w:t xml:space="preserve"> </w:t>
            </w:r>
            <w:r>
              <w:rPr>
                <w:b/>
                <w:color w:val="231F20"/>
                <w:w w:val="95"/>
                <w:sz w:val="19"/>
              </w:rPr>
              <w:t>Package</w:t>
            </w:r>
            <w:r>
              <w:rPr>
                <w:b/>
                <w:color w:val="231F20"/>
                <w:spacing w:val="-24"/>
                <w:w w:val="95"/>
                <w:sz w:val="19"/>
              </w:rPr>
              <w:t xml:space="preserve"> </w:t>
            </w:r>
            <w:r>
              <w:rPr>
                <w:b/>
                <w:color w:val="231F20"/>
                <w:w w:val="95"/>
                <w:sz w:val="19"/>
              </w:rPr>
              <w:t>Moderate</w:t>
            </w:r>
            <w:r>
              <w:rPr>
                <w:b/>
                <w:color w:val="231F20"/>
                <w:spacing w:val="-24"/>
                <w:w w:val="95"/>
                <w:sz w:val="19"/>
              </w:rPr>
              <w:t xml:space="preserve"> </w:t>
            </w:r>
            <w:r>
              <w:rPr>
                <w:b/>
                <w:color w:val="231F20"/>
                <w:w w:val="95"/>
                <w:sz w:val="19"/>
              </w:rPr>
              <w:t>Scale</w:t>
            </w:r>
            <w:r>
              <w:rPr>
                <w:b/>
                <w:color w:val="231F20"/>
                <w:w w:val="95"/>
                <w:sz w:val="19"/>
              </w:rPr>
              <w:tab/>
            </w:r>
            <w:r>
              <w:rPr>
                <w:b/>
                <w:color w:val="231F20"/>
                <w:sz w:val="19"/>
              </w:rPr>
              <w:t>-</w:t>
            </w:r>
            <w:r>
              <w:rPr>
                <w:b/>
                <w:color w:val="231F20"/>
                <w:spacing w:val="-19"/>
                <w:sz w:val="19"/>
              </w:rPr>
              <w:t xml:space="preserve"> </w:t>
            </w:r>
            <w:r>
              <w:rPr>
                <w:b/>
                <w:color w:val="231F20"/>
                <w:sz w:val="19"/>
              </w:rPr>
              <w:t>up</w:t>
            </w:r>
          </w:p>
        </w:tc>
        <w:tc>
          <w:tcPr>
            <w:tcW w:w="812" w:type="dxa"/>
            <w:vMerge w:val="restart"/>
            <w:tcBorders>
              <w:left w:val="single" w:sz="8" w:space="0" w:color="231F20"/>
              <w:right w:val="single" w:sz="8" w:space="0" w:color="231F20"/>
            </w:tcBorders>
          </w:tcPr>
          <w:p w14:paraId="5A5B1526" w14:textId="77777777" w:rsidR="009948F1" w:rsidRDefault="009948F1">
            <w:pPr>
              <w:pStyle w:val="TableParagraph"/>
              <w:rPr>
                <w:b/>
                <w:i/>
                <w:sz w:val="19"/>
              </w:rPr>
            </w:pPr>
          </w:p>
          <w:p w14:paraId="7347406C" w14:textId="77777777" w:rsidR="009948F1" w:rsidRDefault="00BC0563">
            <w:pPr>
              <w:pStyle w:val="TableParagraph"/>
              <w:spacing w:line="228" w:lineRule="auto"/>
              <w:ind w:left="100" w:right="296"/>
              <w:jc w:val="both"/>
              <w:rPr>
                <w:b/>
                <w:sz w:val="19"/>
              </w:rPr>
            </w:pPr>
            <w:r>
              <w:rPr>
                <w:b/>
                <w:color w:val="231F20"/>
                <w:sz w:val="19"/>
              </w:rPr>
              <w:t>%</w:t>
            </w:r>
            <w:r>
              <w:rPr>
                <w:b/>
                <w:color w:val="231F20"/>
                <w:spacing w:val="-27"/>
                <w:sz w:val="19"/>
              </w:rPr>
              <w:t xml:space="preserve"> </w:t>
            </w:r>
            <w:r>
              <w:rPr>
                <w:b/>
                <w:color w:val="231F20"/>
                <w:sz w:val="19"/>
              </w:rPr>
              <w:t xml:space="preserve">of </w:t>
            </w:r>
            <w:r>
              <w:rPr>
                <w:b/>
                <w:color w:val="231F20"/>
                <w:spacing w:val="-3"/>
                <w:w w:val="90"/>
                <w:sz w:val="19"/>
              </w:rPr>
              <w:t xml:space="preserve">Total </w:t>
            </w:r>
            <w:r>
              <w:rPr>
                <w:b/>
                <w:color w:val="231F20"/>
                <w:w w:val="90"/>
                <w:sz w:val="19"/>
              </w:rPr>
              <w:t>Cost</w:t>
            </w:r>
          </w:p>
        </w:tc>
      </w:tr>
      <w:tr w:rsidR="009948F1" w14:paraId="418014CD" w14:textId="77777777">
        <w:trPr>
          <w:trHeight w:val="404"/>
        </w:trPr>
        <w:tc>
          <w:tcPr>
            <w:tcW w:w="1732" w:type="dxa"/>
            <w:tcBorders>
              <w:left w:val="single" w:sz="8" w:space="0" w:color="231F20"/>
              <w:right w:val="single" w:sz="4" w:space="0" w:color="231F20"/>
            </w:tcBorders>
            <w:shd w:val="clear" w:color="auto" w:fill="FAE29B"/>
          </w:tcPr>
          <w:p w14:paraId="25649EB6" w14:textId="77777777" w:rsidR="009948F1" w:rsidRDefault="00BC0563">
            <w:pPr>
              <w:pStyle w:val="TableParagraph"/>
              <w:spacing w:line="185" w:lineRule="exact"/>
              <w:ind w:left="101"/>
              <w:rPr>
                <w:b/>
                <w:sz w:val="19"/>
              </w:rPr>
            </w:pPr>
            <w:r>
              <w:rPr>
                <w:b/>
                <w:color w:val="231F20"/>
                <w:sz w:val="19"/>
              </w:rPr>
              <w:t>HSS Cost</w:t>
            </w:r>
          </w:p>
          <w:p w14:paraId="20297819" w14:textId="77777777" w:rsidR="009948F1" w:rsidRDefault="00BC0563">
            <w:pPr>
              <w:pStyle w:val="TableParagraph"/>
              <w:spacing w:line="199" w:lineRule="exact"/>
              <w:ind w:left="101"/>
              <w:rPr>
                <w:b/>
                <w:sz w:val="19"/>
              </w:rPr>
            </w:pPr>
            <w:r>
              <w:rPr>
                <w:b/>
                <w:color w:val="231F20"/>
                <w:sz w:val="19"/>
              </w:rPr>
              <w:t>Categories</w:t>
            </w:r>
          </w:p>
        </w:tc>
        <w:tc>
          <w:tcPr>
            <w:tcW w:w="1203" w:type="dxa"/>
            <w:gridSpan w:val="2"/>
            <w:tcBorders>
              <w:left w:val="single" w:sz="4" w:space="0" w:color="231F20"/>
              <w:right w:val="single" w:sz="4" w:space="0" w:color="231F20"/>
            </w:tcBorders>
            <w:shd w:val="clear" w:color="auto" w:fill="FAE29B"/>
          </w:tcPr>
          <w:p w14:paraId="71F11199" w14:textId="77777777" w:rsidR="009948F1" w:rsidRDefault="00BC0563">
            <w:pPr>
              <w:pStyle w:val="TableParagraph"/>
              <w:spacing w:before="157" w:line="227" w:lineRule="exact"/>
              <w:ind w:left="106"/>
              <w:rPr>
                <w:b/>
                <w:sz w:val="21"/>
              </w:rPr>
            </w:pPr>
            <w:r>
              <w:rPr>
                <w:b/>
                <w:color w:val="231F20"/>
                <w:sz w:val="21"/>
              </w:rPr>
              <w:t>201 8</w:t>
            </w:r>
          </w:p>
        </w:tc>
        <w:tc>
          <w:tcPr>
            <w:tcW w:w="1207" w:type="dxa"/>
            <w:gridSpan w:val="2"/>
            <w:tcBorders>
              <w:left w:val="single" w:sz="4" w:space="0" w:color="231F20"/>
              <w:right w:val="single" w:sz="4" w:space="0" w:color="231F20"/>
            </w:tcBorders>
            <w:shd w:val="clear" w:color="auto" w:fill="FAE29B"/>
          </w:tcPr>
          <w:p w14:paraId="483D1577" w14:textId="77777777" w:rsidR="009948F1" w:rsidRDefault="00BC0563">
            <w:pPr>
              <w:pStyle w:val="TableParagraph"/>
              <w:spacing w:before="157" w:line="227" w:lineRule="exact"/>
              <w:ind w:left="107"/>
              <w:rPr>
                <w:b/>
                <w:sz w:val="21"/>
              </w:rPr>
            </w:pPr>
            <w:r>
              <w:rPr>
                <w:b/>
                <w:color w:val="231F20"/>
                <w:sz w:val="21"/>
              </w:rPr>
              <w:t>201 9</w:t>
            </w:r>
          </w:p>
        </w:tc>
        <w:tc>
          <w:tcPr>
            <w:tcW w:w="1241" w:type="dxa"/>
            <w:gridSpan w:val="2"/>
            <w:tcBorders>
              <w:left w:val="single" w:sz="4" w:space="0" w:color="231F20"/>
              <w:right w:val="single" w:sz="4" w:space="0" w:color="231F20"/>
            </w:tcBorders>
            <w:shd w:val="clear" w:color="auto" w:fill="FAE29B"/>
          </w:tcPr>
          <w:p w14:paraId="6A6D4BDF" w14:textId="77777777" w:rsidR="009948F1" w:rsidRDefault="00BC0563">
            <w:pPr>
              <w:pStyle w:val="TableParagraph"/>
              <w:spacing w:before="157" w:line="227" w:lineRule="exact"/>
              <w:ind w:left="106"/>
              <w:rPr>
                <w:b/>
                <w:sz w:val="21"/>
              </w:rPr>
            </w:pPr>
            <w:r>
              <w:rPr>
                <w:b/>
                <w:color w:val="231F20"/>
                <w:sz w:val="21"/>
              </w:rPr>
              <w:t>2020</w:t>
            </w:r>
          </w:p>
        </w:tc>
        <w:tc>
          <w:tcPr>
            <w:tcW w:w="1009" w:type="dxa"/>
            <w:tcBorders>
              <w:left w:val="single" w:sz="4" w:space="0" w:color="231F20"/>
              <w:right w:val="single" w:sz="4" w:space="0" w:color="231F20"/>
            </w:tcBorders>
            <w:shd w:val="clear" w:color="auto" w:fill="FAE29B"/>
          </w:tcPr>
          <w:p w14:paraId="7E049B73" w14:textId="77777777" w:rsidR="009948F1" w:rsidRDefault="00BC0563">
            <w:pPr>
              <w:pStyle w:val="TableParagraph"/>
              <w:spacing w:before="157" w:line="227" w:lineRule="exact"/>
              <w:ind w:left="105"/>
              <w:rPr>
                <w:b/>
                <w:sz w:val="21"/>
              </w:rPr>
            </w:pPr>
            <w:r>
              <w:rPr>
                <w:b/>
                <w:color w:val="231F20"/>
                <w:sz w:val="21"/>
              </w:rPr>
              <w:t>202 1</w:t>
            </w:r>
          </w:p>
        </w:tc>
        <w:tc>
          <w:tcPr>
            <w:tcW w:w="1009" w:type="dxa"/>
            <w:tcBorders>
              <w:left w:val="single" w:sz="4" w:space="0" w:color="231F20"/>
              <w:right w:val="single" w:sz="4" w:space="0" w:color="231F20"/>
            </w:tcBorders>
            <w:shd w:val="clear" w:color="auto" w:fill="FAE29B"/>
          </w:tcPr>
          <w:p w14:paraId="11CC8B22" w14:textId="77777777" w:rsidR="009948F1" w:rsidRDefault="00BC0563">
            <w:pPr>
              <w:pStyle w:val="TableParagraph"/>
              <w:spacing w:before="157" w:line="227" w:lineRule="exact"/>
              <w:ind w:left="105"/>
              <w:rPr>
                <w:b/>
                <w:sz w:val="21"/>
              </w:rPr>
            </w:pPr>
            <w:r>
              <w:rPr>
                <w:b/>
                <w:color w:val="231F20"/>
                <w:sz w:val="21"/>
              </w:rPr>
              <w:t>202 2</w:t>
            </w:r>
          </w:p>
        </w:tc>
        <w:tc>
          <w:tcPr>
            <w:tcW w:w="1118" w:type="dxa"/>
            <w:gridSpan w:val="2"/>
            <w:tcBorders>
              <w:left w:val="single" w:sz="4" w:space="0" w:color="231F20"/>
              <w:right w:val="single" w:sz="8" w:space="0" w:color="231F20"/>
            </w:tcBorders>
            <w:shd w:val="clear" w:color="auto" w:fill="FAE29B"/>
          </w:tcPr>
          <w:p w14:paraId="6F0250AB" w14:textId="77777777" w:rsidR="009948F1" w:rsidRDefault="00BC0563">
            <w:pPr>
              <w:pStyle w:val="TableParagraph"/>
              <w:spacing w:before="157" w:line="227" w:lineRule="exact"/>
              <w:ind w:left="105"/>
              <w:rPr>
                <w:b/>
                <w:sz w:val="21"/>
              </w:rPr>
            </w:pPr>
            <w:r>
              <w:rPr>
                <w:b/>
                <w:color w:val="231F20"/>
                <w:sz w:val="21"/>
              </w:rPr>
              <w:t>Total</w:t>
            </w:r>
          </w:p>
        </w:tc>
        <w:tc>
          <w:tcPr>
            <w:tcW w:w="812" w:type="dxa"/>
            <w:vMerge/>
            <w:tcBorders>
              <w:top w:val="nil"/>
              <w:left w:val="single" w:sz="8" w:space="0" w:color="231F20"/>
              <w:right w:val="single" w:sz="8" w:space="0" w:color="231F20"/>
            </w:tcBorders>
          </w:tcPr>
          <w:p w14:paraId="46DDAE9A" w14:textId="77777777" w:rsidR="009948F1" w:rsidRDefault="009948F1">
            <w:pPr>
              <w:rPr>
                <w:sz w:val="2"/>
                <w:szCs w:val="2"/>
              </w:rPr>
            </w:pPr>
          </w:p>
        </w:tc>
      </w:tr>
      <w:tr w:rsidR="009948F1" w14:paraId="052E33BA" w14:textId="77777777">
        <w:trPr>
          <w:trHeight w:val="406"/>
        </w:trPr>
        <w:tc>
          <w:tcPr>
            <w:tcW w:w="1732" w:type="dxa"/>
            <w:tcBorders>
              <w:left w:val="single" w:sz="8" w:space="0" w:color="231F20"/>
              <w:bottom w:val="single" w:sz="6" w:space="0" w:color="231F20"/>
              <w:right w:val="single" w:sz="4" w:space="0" w:color="231F20"/>
            </w:tcBorders>
          </w:tcPr>
          <w:p w14:paraId="69AAC18E" w14:textId="77777777" w:rsidR="009948F1" w:rsidRDefault="00BC0563">
            <w:pPr>
              <w:pStyle w:val="TableParagraph"/>
              <w:spacing w:line="187" w:lineRule="exact"/>
              <w:ind w:right="566"/>
              <w:jc w:val="right"/>
              <w:rPr>
                <w:b/>
                <w:sz w:val="19"/>
              </w:rPr>
            </w:pPr>
            <w:proofErr w:type="spellStart"/>
            <w:r>
              <w:rPr>
                <w:b/>
                <w:color w:val="231F20"/>
                <w:w w:val="90"/>
                <w:sz w:val="19"/>
              </w:rPr>
              <w:t>Programme</w:t>
            </w:r>
            <w:proofErr w:type="spellEnd"/>
          </w:p>
          <w:p w14:paraId="56D0508E" w14:textId="77777777" w:rsidR="009948F1" w:rsidRDefault="00BC0563">
            <w:pPr>
              <w:pStyle w:val="TableParagraph"/>
              <w:spacing w:line="200" w:lineRule="exact"/>
              <w:ind w:right="479"/>
              <w:jc w:val="right"/>
              <w:rPr>
                <w:b/>
                <w:sz w:val="19"/>
              </w:rPr>
            </w:pPr>
            <w:r>
              <w:rPr>
                <w:b/>
                <w:color w:val="231F20"/>
                <w:w w:val="90"/>
                <w:sz w:val="19"/>
              </w:rPr>
              <w:t>Activity Costs</w:t>
            </w:r>
          </w:p>
        </w:tc>
        <w:tc>
          <w:tcPr>
            <w:tcW w:w="271" w:type="dxa"/>
            <w:tcBorders>
              <w:left w:val="single" w:sz="4" w:space="0" w:color="231F20"/>
              <w:bottom w:val="single" w:sz="6" w:space="0" w:color="231F20"/>
              <w:right w:val="nil"/>
            </w:tcBorders>
          </w:tcPr>
          <w:p w14:paraId="10AF4DFA" w14:textId="77777777" w:rsidR="009948F1" w:rsidRDefault="00BC0563">
            <w:pPr>
              <w:pStyle w:val="TableParagraph"/>
              <w:spacing w:before="79"/>
              <w:ind w:right="28"/>
              <w:jc w:val="right"/>
              <w:rPr>
                <w:sz w:val="21"/>
              </w:rPr>
            </w:pPr>
            <w:r>
              <w:rPr>
                <w:color w:val="231F20"/>
                <w:w w:val="74"/>
                <w:sz w:val="21"/>
              </w:rPr>
              <w:t>?</w:t>
            </w:r>
          </w:p>
        </w:tc>
        <w:tc>
          <w:tcPr>
            <w:tcW w:w="932" w:type="dxa"/>
            <w:tcBorders>
              <w:left w:val="nil"/>
              <w:bottom w:val="single" w:sz="6" w:space="0" w:color="231F20"/>
              <w:right w:val="single" w:sz="4" w:space="0" w:color="231F20"/>
            </w:tcBorders>
          </w:tcPr>
          <w:p w14:paraId="304F22FF" w14:textId="77777777" w:rsidR="009948F1" w:rsidRDefault="00BC0563">
            <w:pPr>
              <w:pStyle w:val="TableParagraph"/>
              <w:spacing w:before="76"/>
              <w:ind w:left="49"/>
              <w:rPr>
                <w:rFonts w:ascii="Carlito"/>
                <w:sz w:val="21"/>
              </w:rPr>
            </w:pPr>
            <w:r>
              <w:rPr>
                <w:rFonts w:ascii="Carlito"/>
                <w:color w:val="231F20"/>
                <w:sz w:val="21"/>
              </w:rPr>
              <w:t>359M</w:t>
            </w:r>
          </w:p>
        </w:tc>
        <w:tc>
          <w:tcPr>
            <w:tcW w:w="311" w:type="dxa"/>
            <w:tcBorders>
              <w:left w:val="single" w:sz="4" w:space="0" w:color="231F20"/>
              <w:bottom w:val="single" w:sz="6" w:space="0" w:color="231F20"/>
              <w:right w:val="nil"/>
            </w:tcBorders>
          </w:tcPr>
          <w:p w14:paraId="66FE6CCC" w14:textId="77777777" w:rsidR="009948F1" w:rsidRDefault="00BC0563">
            <w:pPr>
              <w:pStyle w:val="TableParagraph"/>
              <w:spacing w:before="79"/>
              <w:ind w:right="67"/>
              <w:jc w:val="right"/>
              <w:rPr>
                <w:sz w:val="21"/>
              </w:rPr>
            </w:pPr>
            <w:r>
              <w:rPr>
                <w:color w:val="231F20"/>
                <w:w w:val="74"/>
                <w:sz w:val="21"/>
              </w:rPr>
              <w:t>?</w:t>
            </w:r>
          </w:p>
        </w:tc>
        <w:tc>
          <w:tcPr>
            <w:tcW w:w="896" w:type="dxa"/>
            <w:tcBorders>
              <w:left w:val="nil"/>
              <w:bottom w:val="single" w:sz="6" w:space="0" w:color="231F20"/>
              <w:right w:val="single" w:sz="4" w:space="0" w:color="231F20"/>
            </w:tcBorders>
          </w:tcPr>
          <w:p w14:paraId="49A0B7FC" w14:textId="77777777" w:rsidR="009948F1" w:rsidRDefault="00BC0563">
            <w:pPr>
              <w:pStyle w:val="TableParagraph"/>
              <w:spacing w:before="76"/>
              <w:ind w:left="10"/>
              <w:rPr>
                <w:rFonts w:ascii="Carlito"/>
                <w:sz w:val="21"/>
              </w:rPr>
            </w:pPr>
            <w:r>
              <w:rPr>
                <w:rFonts w:ascii="Carlito"/>
                <w:color w:val="231F20"/>
                <w:sz w:val="21"/>
              </w:rPr>
              <w:t>679M</w:t>
            </w:r>
          </w:p>
        </w:tc>
        <w:tc>
          <w:tcPr>
            <w:tcW w:w="272" w:type="dxa"/>
            <w:tcBorders>
              <w:left w:val="single" w:sz="4" w:space="0" w:color="231F20"/>
              <w:bottom w:val="single" w:sz="6" w:space="0" w:color="231F20"/>
              <w:right w:val="nil"/>
            </w:tcBorders>
          </w:tcPr>
          <w:p w14:paraId="35BF0B46" w14:textId="77777777" w:rsidR="009948F1" w:rsidRDefault="00BC0563">
            <w:pPr>
              <w:pStyle w:val="TableParagraph"/>
              <w:spacing w:before="79"/>
              <w:ind w:right="28"/>
              <w:jc w:val="right"/>
              <w:rPr>
                <w:sz w:val="21"/>
              </w:rPr>
            </w:pPr>
            <w:r>
              <w:rPr>
                <w:color w:val="231F20"/>
                <w:w w:val="74"/>
                <w:sz w:val="21"/>
              </w:rPr>
              <w:t>?</w:t>
            </w:r>
          </w:p>
        </w:tc>
        <w:tc>
          <w:tcPr>
            <w:tcW w:w="969" w:type="dxa"/>
            <w:tcBorders>
              <w:left w:val="nil"/>
              <w:bottom w:val="single" w:sz="6" w:space="0" w:color="231F20"/>
              <w:right w:val="single" w:sz="4" w:space="0" w:color="231F20"/>
            </w:tcBorders>
          </w:tcPr>
          <w:p w14:paraId="7D205644" w14:textId="77777777" w:rsidR="009948F1" w:rsidRDefault="00BC0563">
            <w:pPr>
              <w:pStyle w:val="TableParagraph"/>
              <w:spacing w:before="76"/>
              <w:ind w:left="49"/>
              <w:rPr>
                <w:rFonts w:ascii="Carlito"/>
                <w:sz w:val="21"/>
              </w:rPr>
            </w:pPr>
            <w:r>
              <w:rPr>
                <w:rFonts w:ascii="Carlito"/>
                <w:color w:val="231F20"/>
                <w:sz w:val="21"/>
              </w:rPr>
              <w:t>626M</w:t>
            </w:r>
          </w:p>
        </w:tc>
        <w:tc>
          <w:tcPr>
            <w:tcW w:w="1009" w:type="dxa"/>
            <w:tcBorders>
              <w:left w:val="single" w:sz="4" w:space="0" w:color="231F20"/>
              <w:bottom w:val="single" w:sz="6" w:space="0" w:color="231F20"/>
              <w:right w:val="single" w:sz="4" w:space="0" w:color="231F20"/>
            </w:tcBorders>
          </w:tcPr>
          <w:p w14:paraId="5C9A66BD" w14:textId="77777777" w:rsidR="009948F1" w:rsidRDefault="00BC0563">
            <w:pPr>
              <w:pStyle w:val="TableParagraph"/>
              <w:spacing w:before="76"/>
              <w:ind w:left="148"/>
              <w:rPr>
                <w:rFonts w:ascii="Carlito"/>
                <w:sz w:val="21"/>
              </w:rPr>
            </w:pPr>
            <w:r>
              <w:rPr>
                <w:color w:val="231F20"/>
                <w:w w:val="95"/>
                <w:sz w:val="21"/>
              </w:rPr>
              <w:t xml:space="preserve">? </w:t>
            </w:r>
            <w:r>
              <w:rPr>
                <w:rFonts w:ascii="Carlito"/>
                <w:color w:val="231F20"/>
                <w:w w:val="95"/>
                <w:sz w:val="21"/>
              </w:rPr>
              <w:t>632M</w:t>
            </w:r>
          </w:p>
        </w:tc>
        <w:tc>
          <w:tcPr>
            <w:tcW w:w="1009" w:type="dxa"/>
            <w:tcBorders>
              <w:left w:val="single" w:sz="4" w:space="0" w:color="231F20"/>
              <w:bottom w:val="single" w:sz="6" w:space="0" w:color="231F20"/>
              <w:right w:val="single" w:sz="4" w:space="0" w:color="231F20"/>
            </w:tcBorders>
          </w:tcPr>
          <w:p w14:paraId="2A643A33" w14:textId="77777777" w:rsidR="009948F1" w:rsidRDefault="00BC0563">
            <w:pPr>
              <w:pStyle w:val="TableParagraph"/>
              <w:spacing w:before="76"/>
              <w:ind w:left="148"/>
              <w:rPr>
                <w:rFonts w:ascii="Carlito"/>
                <w:sz w:val="21"/>
              </w:rPr>
            </w:pPr>
            <w:r>
              <w:rPr>
                <w:color w:val="231F20"/>
                <w:w w:val="95"/>
                <w:sz w:val="21"/>
              </w:rPr>
              <w:t xml:space="preserve">? </w:t>
            </w:r>
            <w:r>
              <w:rPr>
                <w:rFonts w:ascii="Carlito"/>
                <w:color w:val="231F20"/>
                <w:w w:val="95"/>
                <w:sz w:val="21"/>
              </w:rPr>
              <w:t>627M</w:t>
            </w:r>
          </w:p>
        </w:tc>
        <w:tc>
          <w:tcPr>
            <w:tcW w:w="272" w:type="dxa"/>
            <w:tcBorders>
              <w:left w:val="single" w:sz="4" w:space="0" w:color="231F20"/>
              <w:bottom w:val="single" w:sz="6" w:space="0" w:color="231F20"/>
              <w:right w:val="nil"/>
            </w:tcBorders>
          </w:tcPr>
          <w:p w14:paraId="621992B0" w14:textId="77777777" w:rsidR="009948F1" w:rsidRDefault="00BC0563">
            <w:pPr>
              <w:pStyle w:val="TableParagraph"/>
              <w:spacing w:before="79"/>
              <w:ind w:right="29"/>
              <w:jc w:val="right"/>
              <w:rPr>
                <w:sz w:val="21"/>
              </w:rPr>
            </w:pPr>
            <w:r>
              <w:rPr>
                <w:color w:val="231F20"/>
                <w:w w:val="74"/>
                <w:sz w:val="21"/>
              </w:rPr>
              <w:t>?</w:t>
            </w:r>
          </w:p>
        </w:tc>
        <w:tc>
          <w:tcPr>
            <w:tcW w:w="846" w:type="dxa"/>
            <w:tcBorders>
              <w:left w:val="nil"/>
              <w:bottom w:val="single" w:sz="6" w:space="0" w:color="231F20"/>
              <w:right w:val="single" w:sz="8" w:space="0" w:color="231F20"/>
            </w:tcBorders>
          </w:tcPr>
          <w:p w14:paraId="0A1D53D1" w14:textId="77777777" w:rsidR="009948F1" w:rsidRDefault="00BC0563">
            <w:pPr>
              <w:pStyle w:val="TableParagraph"/>
              <w:spacing w:before="76"/>
              <w:ind w:left="48"/>
              <w:rPr>
                <w:rFonts w:ascii="Carlito"/>
                <w:sz w:val="21"/>
              </w:rPr>
            </w:pPr>
            <w:r>
              <w:rPr>
                <w:rFonts w:ascii="Carlito"/>
                <w:color w:val="231F20"/>
                <w:sz w:val="21"/>
              </w:rPr>
              <w:t>2,923M</w:t>
            </w:r>
          </w:p>
        </w:tc>
        <w:tc>
          <w:tcPr>
            <w:tcW w:w="812" w:type="dxa"/>
            <w:tcBorders>
              <w:left w:val="single" w:sz="8" w:space="0" w:color="231F20"/>
              <w:bottom w:val="single" w:sz="6" w:space="0" w:color="231F20"/>
              <w:right w:val="single" w:sz="8" w:space="0" w:color="231F20"/>
            </w:tcBorders>
          </w:tcPr>
          <w:p w14:paraId="22251F4B" w14:textId="77777777" w:rsidR="009948F1" w:rsidRDefault="00BC0563">
            <w:pPr>
              <w:pStyle w:val="TableParagraph"/>
              <w:spacing w:before="152" w:line="235" w:lineRule="exact"/>
              <w:ind w:left="100"/>
              <w:rPr>
                <w:rFonts w:ascii="Carlito"/>
                <w:b/>
                <w:sz w:val="21"/>
              </w:rPr>
            </w:pPr>
            <w:r>
              <w:rPr>
                <w:rFonts w:ascii="Carlito"/>
                <w:b/>
                <w:color w:val="231F20"/>
                <w:sz w:val="21"/>
              </w:rPr>
              <w:t>1.3%</w:t>
            </w:r>
          </w:p>
        </w:tc>
      </w:tr>
      <w:tr w:rsidR="009948F1" w14:paraId="6E40AD51" w14:textId="77777777">
        <w:trPr>
          <w:trHeight w:val="526"/>
        </w:trPr>
        <w:tc>
          <w:tcPr>
            <w:tcW w:w="1732" w:type="dxa"/>
            <w:tcBorders>
              <w:top w:val="single" w:sz="6" w:space="0" w:color="231F20"/>
              <w:left w:val="single" w:sz="8" w:space="0" w:color="231F20"/>
              <w:bottom w:val="single" w:sz="6" w:space="0" w:color="231F20"/>
              <w:right w:val="single" w:sz="4" w:space="0" w:color="231F20"/>
            </w:tcBorders>
            <w:shd w:val="clear" w:color="auto" w:fill="F1F2F2"/>
          </w:tcPr>
          <w:p w14:paraId="588311E1" w14:textId="77777777" w:rsidR="009948F1" w:rsidRDefault="00BC0563">
            <w:pPr>
              <w:pStyle w:val="TableParagraph"/>
              <w:spacing w:before="106" w:line="206" w:lineRule="exact"/>
              <w:ind w:left="101" w:right="64" w:firstLine="102"/>
              <w:rPr>
                <w:b/>
                <w:sz w:val="19"/>
              </w:rPr>
            </w:pPr>
            <w:r>
              <w:rPr>
                <w:b/>
                <w:color w:val="231F20"/>
                <w:sz w:val="19"/>
              </w:rPr>
              <w:t xml:space="preserve">Human </w:t>
            </w:r>
            <w:r>
              <w:rPr>
                <w:b/>
                <w:color w:val="231F20"/>
                <w:w w:val="85"/>
                <w:sz w:val="19"/>
              </w:rPr>
              <w:t>Resources</w:t>
            </w:r>
          </w:p>
        </w:tc>
        <w:tc>
          <w:tcPr>
            <w:tcW w:w="271" w:type="dxa"/>
            <w:tcBorders>
              <w:top w:val="single" w:sz="6" w:space="0" w:color="231F20"/>
              <w:left w:val="single" w:sz="4" w:space="0" w:color="231F20"/>
              <w:bottom w:val="single" w:sz="6" w:space="0" w:color="231F20"/>
              <w:right w:val="nil"/>
            </w:tcBorders>
            <w:shd w:val="clear" w:color="auto" w:fill="F1F2F2"/>
          </w:tcPr>
          <w:p w14:paraId="3751BE21" w14:textId="77777777" w:rsidR="009948F1" w:rsidRDefault="009948F1">
            <w:pPr>
              <w:pStyle w:val="TableParagraph"/>
              <w:spacing w:before="7"/>
              <w:rPr>
                <w:b/>
                <w:i/>
                <w:sz w:val="23"/>
              </w:rPr>
            </w:pPr>
          </w:p>
          <w:p w14:paraId="55F7C636" w14:textId="77777777" w:rsidR="009948F1" w:rsidRDefault="00BC0563">
            <w:pPr>
              <w:pStyle w:val="TableParagraph"/>
              <w:spacing w:line="235" w:lineRule="exact"/>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shd w:val="clear" w:color="auto" w:fill="F1F2F2"/>
          </w:tcPr>
          <w:p w14:paraId="1D7BF7BC" w14:textId="77777777" w:rsidR="009948F1" w:rsidRDefault="009948F1">
            <w:pPr>
              <w:pStyle w:val="TableParagraph"/>
              <w:spacing w:before="4"/>
              <w:rPr>
                <w:b/>
                <w:i/>
                <w:sz w:val="23"/>
              </w:rPr>
            </w:pPr>
          </w:p>
          <w:p w14:paraId="37DBB346" w14:textId="77777777" w:rsidR="009948F1" w:rsidRDefault="00BC0563">
            <w:pPr>
              <w:pStyle w:val="TableParagraph"/>
              <w:spacing w:line="238" w:lineRule="exact"/>
              <w:ind w:left="49"/>
              <w:rPr>
                <w:rFonts w:ascii="Carlito"/>
                <w:sz w:val="21"/>
              </w:rPr>
            </w:pPr>
            <w:r>
              <w:rPr>
                <w:rFonts w:ascii="Carlito"/>
                <w:color w:val="231F20"/>
                <w:sz w:val="21"/>
              </w:rPr>
              <w:t>13,525M</w:t>
            </w:r>
          </w:p>
        </w:tc>
        <w:tc>
          <w:tcPr>
            <w:tcW w:w="311" w:type="dxa"/>
            <w:tcBorders>
              <w:top w:val="single" w:sz="6" w:space="0" w:color="231F20"/>
              <w:left w:val="single" w:sz="4" w:space="0" w:color="231F20"/>
              <w:bottom w:val="single" w:sz="6" w:space="0" w:color="231F20"/>
              <w:right w:val="nil"/>
            </w:tcBorders>
            <w:shd w:val="clear" w:color="auto" w:fill="F1F2F2"/>
          </w:tcPr>
          <w:p w14:paraId="02796551" w14:textId="77777777" w:rsidR="009948F1" w:rsidRDefault="009948F1">
            <w:pPr>
              <w:pStyle w:val="TableParagraph"/>
              <w:spacing w:before="7"/>
              <w:rPr>
                <w:b/>
                <w:i/>
                <w:sz w:val="23"/>
              </w:rPr>
            </w:pPr>
          </w:p>
          <w:p w14:paraId="06308296" w14:textId="77777777" w:rsidR="009948F1" w:rsidRDefault="00BC0563">
            <w:pPr>
              <w:pStyle w:val="TableParagraph"/>
              <w:spacing w:line="235" w:lineRule="exact"/>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shd w:val="clear" w:color="auto" w:fill="F1F2F2"/>
          </w:tcPr>
          <w:p w14:paraId="0E0E63C7" w14:textId="77777777" w:rsidR="009948F1" w:rsidRDefault="009948F1">
            <w:pPr>
              <w:pStyle w:val="TableParagraph"/>
              <w:spacing w:before="4"/>
              <w:rPr>
                <w:b/>
                <w:i/>
                <w:sz w:val="23"/>
              </w:rPr>
            </w:pPr>
          </w:p>
          <w:p w14:paraId="59168500" w14:textId="77777777" w:rsidR="009948F1" w:rsidRDefault="00BC0563">
            <w:pPr>
              <w:pStyle w:val="TableParagraph"/>
              <w:spacing w:line="238" w:lineRule="exact"/>
              <w:ind w:left="10"/>
              <w:rPr>
                <w:rFonts w:ascii="Carlito"/>
                <w:sz w:val="21"/>
              </w:rPr>
            </w:pPr>
            <w:r>
              <w:rPr>
                <w:rFonts w:ascii="Carlito"/>
                <w:color w:val="231F20"/>
                <w:sz w:val="21"/>
              </w:rPr>
              <w:t>14,856M</w:t>
            </w:r>
          </w:p>
        </w:tc>
        <w:tc>
          <w:tcPr>
            <w:tcW w:w="272" w:type="dxa"/>
            <w:tcBorders>
              <w:top w:val="single" w:sz="6" w:space="0" w:color="231F20"/>
              <w:left w:val="single" w:sz="4" w:space="0" w:color="231F20"/>
              <w:bottom w:val="single" w:sz="6" w:space="0" w:color="231F20"/>
              <w:right w:val="nil"/>
            </w:tcBorders>
            <w:shd w:val="clear" w:color="auto" w:fill="F1F2F2"/>
          </w:tcPr>
          <w:p w14:paraId="4FF9390A" w14:textId="77777777" w:rsidR="009948F1" w:rsidRDefault="009948F1">
            <w:pPr>
              <w:pStyle w:val="TableParagraph"/>
              <w:spacing w:before="7"/>
              <w:rPr>
                <w:b/>
                <w:i/>
                <w:sz w:val="23"/>
              </w:rPr>
            </w:pPr>
          </w:p>
          <w:p w14:paraId="270E034F" w14:textId="77777777" w:rsidR="009948F1" w:rsidRDefault="00BC0563">
            <w:pPr>
              <w:pStyle w:val="TableParagraph"/>
              <w:spacing w:line="235" w:lineRule="exact"/>
              <w:ind w:right="28"/>
              <w:jc w:val="right"/>
              <w:rPr>
                <w:sz w:val="21"/>
              </w:rPr>
            </w:pPr>
            <w:r>
              <w:rPr>
                <w:color w:val="231F20"/>
                <w:w w:val="74"/>
                <w:sz w:val="21"/>
              </w:rPr>
              <w:t>?</w:t>
            </w:r>
          </w:p>
        </w:tc>
        <w:tc>
          <w:tcPr>
            <w:tcW w:w="969" w:type="dxa"/>
            <w:tcBorders>
              <w:top w:val="single" w:sz="6" w:space="0" w:color="231F20"/>
              <w:left w:val="nil"/>
              <w:bottom w:val="single" w:sz="6" w:space="0" w:color="231F20"/>
              <w:right w:val="single" w:sz="4" w:space="0" w:color="231F20"/>
            </w:tcBorders>
            <w:shd w:val="clear" w:color="auto" w:fill="F1F2F2"/>
          </w:tcPr>
          <w:p w14:paraId="5FA1BCE6" w14:textId="77777777" w:rsidR="009948F1" w:rsidRDefault="009948F1">
            <w:pPr>
              <w:pStyle w:val="TableParagraph"/>
              <w:spacing w:before="4"/>
              <w:rPr>
                <w:b/>
                <w:i/>
                <w:sz w:val="23"/>
              </w:rPr>
            </w:pPr>
          </w:p>
          <w:p w14:paraId="5AD89D2B" w14:textId="77777777" w:rsidR="009948F1" w:rsidRDefault="00BC0563">
            <w:pPr>
              <w:pStyle w:val="TableParagraph"/>
              <w:spacing w:line="238" w:lineRule="exact"/>
              <w:ind w:left="49"/>
              <w:rPr>
                <w:rFonts w:ascii="Carlito"/>
                <w:sz w:val="21"/>
              </w:rPr>
            </w:pPr>
            <w:r>
              <w:rPr>
                <w:rFonts w:ascii="Carlito"/>
                <w:color w:val="231F20"/>
                <w:sz w:val="21"/>
              </w:rPr>
              <w:t>16,174M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43125DC0" w14:textId="77777777" w:rsidR="009948F1" w:rsidRDefault="00BC0563">
            <w:pPr>
              <w:pStyle w:val="TableParagraph"/>
              <w:spacing w:before="6"/>
              <w:ind w:left="148"/>
              <w:rPr>
                <w:sz w:val="21"/>
              </w:rPr>
            </w:pPr>
            <w:r>
              <w:rPr>
                <w:color w:val="231F20"/>
                <w:w w:val="74"/>
                <w:sz w:val="21"/>
              </w:rPr>
              <w:t>?</w:t>
            </w:r>
          </w:p>
          <w:p w14:paraId="32A37481" w14:textId="77777777" w:rsidR="009948F1" w:rsidRDefault="00BC0563">
            <w:pPr>
              <w:pStyle w:val="TableParagraph"/>
              <w:spacing w:before="21" w:line="238" w:lineRule="exact"/>
              <w:ind w:left="105"/>
              <w:rPr>
                <w:rFonts w:ascii="Carlito"/>
                <w:sz w:val="21"/>
              </w:rPr>
            </w:pPr>
            <w:r>
              <w:rPr>
                <w:rFonts w:ascii="Carlito"/>
                <w:color w:val="231F20"/>
                <w:sz w:val="21"/>
              </w:rPr>
              <w:t>17,651M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43B945F7" w14:textId="77777777" w:rsidR="009948F1" w:rsidRDefault="00BC0563">
            <w:pPr>
              <w:pStyle w:val="TableParagraph"/>
              <w:spacing w:before="6"/>
              <w:ind w:left="148"/>
              <w:rPr>
                <w:sz w:val="21"/>
              </w:rPr>
            </w:pPr>
            <w:r>
              <w:rPr>
                <w:color w:val="231F20"/>
                <w:w w:val="74"/>
                <w:sz w:val="21"/>
              </w:rPr>
              <w:t>?</w:t>
            </w:r>
          </w:p>
          <w:p w14:paraId="35BDEB0C" w14:textId="77777777" w:rsidR="009948F1" w:rsidRDefault="00BC0563">
            <w:pPr>
              <w:pStyle w:val="TableParagraph"/>
              <w:spacing w:before="21" w:line="238" w:lineRule="exact"/>
              <w:ind w:left="105"/>
              <w:rPr>
                <w:rFonts w:ascii="Carlito"/>
                <w:sz w:val="21"/>
              </w:rPr>
            </w:pPr>
            <w:r>
              <w:rPr>
                <w:rFonts w:ascii="Carlito"/>
                <w:color w:val="231F20"/>
                <w:sz w:val="21"/>
              </w:rPr>
              <w:t>19,088M</w:t>
            </w:r>
          </w:p>
        </w:tc>
        <w:tc>
          <w:tcPr>
            <w:tcW w:w="272" w:type="dxa"/>
            <w:tcBorders>
              <w:top w:val="single" w:sz="6" w:space="0" w:color="231F20"/>
              <w:left w:val="single" w:sz="4" w:space="0" w:color="231F20"/>
              <w:bottom w:val="single" w:sz="6" w:space="0" w:color="231F20"/>
              <w:right w:val="nil"/>
            </w:tcBorders>
            <w:shd w:val="clear" w:color="auto" w:fill="F1F2F2"/>
          </w:tcPr>
          <w:p w14:paraId="51EF0ECA" w14:textId="77777777" w:rsidR="009948F1" w:rsidRDefault="009948F1">
            <w:pPr>
              <w:pStyle w:val="TableParagraph"/>
              <w:spacing w:before="7"/>
              <w:rPr>
                <w:b/>
                <w:i/>
                <w:sz w:val="23"/>
              </w:rPr>
            </w:pPr>
          </w:p>
          <w:p w14:paraId="5B1736A5" w14:textId="77777777" w:rsidR="009948F1" w:rsidRDefault="00BC0563">
            <w:pPr>
              <w:pStyle w:val="TableParagraph"/>
              <w:spacing w:line="235" w:lineRule="exact"/>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shd w:val="clear" w:color="auto" w:fill="F1F2F2"/>
          </w:tcPr>
          <w:p w14:paraId="24983AEC" w14:textId="77777777" w:rsidR="009948F1" w:rsidRDefault="009948F1">
            <w:pPr>
              <w:pStyle w:val="TableParagraph"/>
              <w:spacing w:before="4"/>
              <w:rPr>
                <w:b/>
                <w:i/>
                <w:sz w:val="23"/>
              </w:rPr>
            </w:pPr>
          </w:p>
          <w:p w14:paraId="7F19478C" w14:textId="77777777" w:rsidR="009948F1" w:rsidRDefault="00BC0563">
            <w:pPr>
              <w:pStyle w:val="TableParagraph"/>
              <w:spacing w:line="238" w:lineRule="exact"/>
              <w:ind w:left="48"/>
              <w:rPr>
                <w:rFonts w:ascii="Carlito"/>
                <w:sz w:val="21"/>
              </w:rPr>
            </w:pPr>
            <w:r>
              <w:rPr>
                <w:rFonts w:ascii="Carlito"/>
                <w:color w:val="231F20"/>
                <w:w w:val="95"/>
                <w:sz w:val="21"/>
              </w:rPr>
              <w:t>81,294M</w:t>
            </w:r>
          </w:p>
        </w:tc>
        <w:tc>
          <w:tcPr>
            <w:tcW w:w="812" w:type="dxa"/>
            <w:tcBorders>
              <w:top w:val="single" w:sz="6" w:space="0" w:color="231F20"/>
              <w:left w:val="single" w:sz="8" w:space="0" w:color="231F20"/>
              <w:bottom w:val="single" w:sz="6" w:space="0" w:color="231F20"/>
              <w:right w:val="single" w:sz="8" w:space="0" w:color="231F20"/>
            </w:tcBorders>
            <w:shd w:val="clear" w:color="auto" w:fill="F1F2F2"/>
          </w:tcPr>
          <w:p w14:paraId="07DAC192" w14:textId="77777777" w:rsidR="009948F1" w:rsidRDefault="00BC0563">
            <w:pPr>
              <w:pStyle w:val="TableParagraph"/>
              <w:spacing w:before="136"/>
              <w:ind w:left="100"/>
              <w:rPr>
                <w:rFonts w:ascii="Carlito"/>
                <w:b/>
                <w:sz w:val="21"/>
              </w:rPr>
            </w:pPr>
            <w:r>
              <w:rPr>
                <w:rFonts w:ascii="Carlito"/>
                <w:b/>
                <w:color w:val="231F20"/>
                <w:sz w:val="21"/>
              </w:rPr>
              <w:t>36.9%</w:t>
            </w:r>
          </w:p>
        </w:tc>
      </w:tr>
      <w:tr w:rsidR="009948F1" w14:paraId="522CF097" w14:textId="77777777">
        <w:trPr>
          <w:trHeight w:val="409"/>
        </w:trPr>
        <w:tc>
          <w:tcPr>
            <w:tcW w:w="1732" w:type="dxa"/>
            <w:tcBorders>
              <w:top w:val="single" w:sz="6" w:space="0" w:color="231F20"/>
              <w:left w:val="single" w:sz="8" w:space="0" w:color="231F20"/>
              <w:bottom w:val="single" w:sz="6" w:space="0" w:color="231F20"/>
              <w:right w:val="single" w:sz="4" w:space="0" w:color="231F20"/>
            </w:tcBorders>
          </w:tcPr>
          <w:p w14:paraId="4245EDDE" w14:textId="77777777" w:rsidR="009948F1" w:rsidRDefault="009948F1">
            <w:pPr>
              <w:pStyle w:val="TableParagraph"/>
              <w:spacing w:before="11"/>
              <w:rPr>
                <w:b/>
                <w:i/>
                <w:sz w:val="15"/>
              </w:rPr>
            </w:pPr>
          </w:p>
          <w:p w14:paraId="0FC337CA" w14:textId="77777777" w:rsidR="009948F1" w:rsidRDefault="00BC0563">
            <w:pPr>
              <w:pStyle w:val="TableParagraph"/>
              <w:spacing w:line="205" w:lineRule="exact"/>
              <w:ind w:left="101"/>
              <w:rPr>
                <w:b/>
                <w:sz w:val="19"/>
              </w:rPr>
            </w:pPr>
            <w:r>
              <w:rPr>
                <w:b/>
                <w:color w:val="231F20"/>
                <w:sz w:val="19"/>
              </w:rPr>
              <w:t>Infrastructure</w:t>
            </w:r>
          </w:p>
        </w:tc>
        <w:tc>
          <w:tcPr>
            <w:tcW w:w="271" w:type="dxa"/>
            <w:tcBorders>
              <w:top w:val="single" w:sz="6" w:space="0" w:color="231F20"/>
              <w:left w:val="single" w:sz="4" w:space="0" w:color="231F20"/>
              <w:bottom w:val="single" w:sz="6" w:space="0" w:color="231F20"/>
              <w:right w:val="nil"/>
            </w:tcBorders>
          </w:tcPr>
          <w:p w14:paraId="4F400790" w14:textId="77777777" w:rsidR="009948F1" w:rsidRDefault="00BC0563">
            <w:pPr>
              <w:pStyle w:val="TableParagraph"/>
              <w:spacing w:before="82"/>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tcPr>
          <w:p w14:paraId="666F0E94" w14:textId="77777777" w:rsidR="009948F1" w:rsidRDefault="00BC0563">
            <w:pPr>
              <w:pStyle w:val="TableParagraph"/>
              <w:spacing w:before="79"/>
              <w:ind w:left="49"/>
              <w:rPr>
                <w:rFonts w:ascii="Carlito"/>
                <w:sz w:val="21"/>
              </w:rPr>
            </w:pPr>
            <w:r>
              <w:rPr>
                <w:rFonts w:ascii="Carlito"/>
                <w:color w:val="231F20"/>
                <w:sz w:val="21"/>
              </w:rPr>
              <w:t>753M</w:t>
            </w:r>
          </w:p>
        </w:tc>
        <w:tc>
          <w:tcPr>
            <w:tcW w:w="311" w:type="dxa"/>
            <w:tcBorders>
              <w:top w:val="single" w:sz="6" w:space="0" w:color="231F20"/>
              <w:left w:val="single" w:sz="4" w:space="0" w:color="231F20"/>
              <w:bottom w:val="single" w:sz="6" w:space="0" w:color="231F20"/>
              <w:right w:val="nil"/>
            </w:tcBorders>
          </w:tcPr>
          <w:p w14:paraId="4D8F39DA" w14:textId="77777777" w:rsidR="009948F1" w:rsidRDefault="00BC0563">
            <w:pPr>
              <w:pStyle w:val="TableParagraph"/>
              <w:spacing w:before="82"/>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tcPr>
          <w:p w14:paraId="0AAB443A" w14:textId="77777777" w:rsidR="009948F1" w:rsidRDefault="00BC0563">
            <w:pPr>
              <w:pStyle w:val="TableParagraph"/>
              <w:spacing w:before="79"/>
              <w:ind w:left="10"/>
              <w:rPr>
                <w:rFonts w:ascii="Carlito"/>
                <w:sz w:val="21"/>
              </w:rPr>
            </w:pPr>
            <w:r>
              <w:rPr>
                <w:rFonts w:ascii="Carlito"/>
                <w:color w:val="231F20"/>
                <w:sz w:val="21"/>
              </w:rPr>
              <w:t>753M</w:t>
            </w:r>
          </w:p>
        </w:tc>
        <w:tc>
          <w:tcPr>
            <w:tcW w:w="272" w:type="dxa"/>
            <w:tcBorders>
              <w:top w:val="single" w:sz="6" w:space="0" w:color="231F20"/>
              <w:left w:val="single" w:sz="4" w:space="0" w:color="231F20"/>
              <w:bottom w:val="single" w:sz="6" w:space="0" w:color="231F20"/>
              <w:right w:val="nil"/>
            </w:tcBorders>
          </w:tcPr>
          <w:p w14:paraId="67652B5A" w14:textId="77777777" w:rsidR="009948F1" w:rsidRDefault="00BC0563">
            <w:pPr>
              <w:pStyle w:val="TableParagraph"/>
              <w:spacing w:before="82"/>
              <w:ind w:right="28"/>
              <w:jc w:val="right"/>
              <w:rPr>
                <w:sz w:val="21"/>
              </w:rPr>
            </w:pPr>
            <w:r>
              <w:rPr>
                <w:color w:val="231F20"/>
                <w:w w:val="74"/>
                <w:sz w:val="21"/>
              </w:rPr>
              <w:t>?</w:t>
            </w:r>
          </w:p>
        </w:tc>
        <w:tc>
          <w:tcPr>
            <w:tcW w:w="969" w:type="dxa"/>
            <w:tcBorders>
              <w:top w:val="single" w:sz="6" w:space="0" w:color="231F20"/>
              <w:left w:val="nil"/>
              <w:bottom w:val="single" w:sz="6" w:space="0" w:color="231F20"/>
              <w:right w:val="single" w:sz="4" w:space="0" w:color="231F20"/>
            </w:tcBorders>
          </w:tcPr>
          <w:p w14:paraId="2F3D0412" w14:textId="77777777" w:rsidR="009948F1" w:rsidRDefault="00BC0563">
            <w:pPr>
              <w:pStyle w:val="TableParagraph"/>
              <w:spacing w:before="79"/>
              <w:ind w:left="49"/>
              <w:rPr>
                <w:rFonts w:ascii="Carlito"/>
                <w:sz w:val="21"/>
              </w:rPr>
            </w:pPr>
            <w:r>
              <w:rPr>
                <w:rFonts w:ascii="Carlito"/>
                <w:color w:val="231F20"/>
                <w:sz w:val="21"/>
              </w:rPr>
              <w:t>752M</w:t>
            </w:r>
          </w:p>
        </w:tc>
        <w:tc>
          <w:tcPr>
            <w:tcW w:w="1009" w:type="dxa"/>
            <w:tcBorders>
              <w:top w:val="single" w:sz="6" w:space="0" w:color="231F20"/>
              <w:left w:val="single" w:sz="4" w:space="0" w:color="231F20"/>
              <w:bottom w:val="single" w:sz="6" w:space="0" w:color="231F20"/>
              <w:right w:val="single" w:sz="4" w:space="0" w:color="231F20"/>
            </w:tcBorders>
          </w:tcPr>
          <w:p w14:paraId="52D2015A" w14:textId="77777777" w:rsidR="009948F1" w:rsidRDefault="00BC0563">
            <w:pPr>
              <w:pStyle w:val="TableParagraph"/>
              <w:spacing w:before="79"/>
              <w:ind w:left="148"/>
              <w:rPr>
                <w:rFonts w:ascii="Carlito"/>
                <w:sz w:val="21"/>
              </w:rPr>
            </w:pPr>
            <w:r>
              <w:rPr>
                <w:color w:val="231F20"/>
                <w:w w:val="95"/>
                <w:sz w:val="21"/>
              </w:rPr>
              <w:t xml:space="preserve">? </w:t>
            </w:r>
            <w:r>
              <w:rPr>
                <w:rFonts w:ascii="Carlito"/>
                <w:color w:val="231F20"/>
                <w:w w:val="95"/>
                <w:sz w:val="21"/>
              </w:rPr>
              <w:t>752M</w:t>
            </w:r>
          </w:p>
        </w:tc>
        <w:tc>
          <w:tcPr>
            <w:tcW w:w="1009" w:type="dxa"/>
            <w:tcBorders>
              <w:top w:val="single" w:sz="6" w:space="0" w:color="231F20"/>
              <w:left w:val="single" w:sz="4" w:space="0" w:color="231F20"/>
              <w:bottom w:val="single" w:sz="6" w:space="0" w:color="231F20"/>
              <w:right w:val="single" w:sz="4" w:space="0" w:color="231F20"/>
            </w:tcBorders>
          </w:tcPr>
          <w:p w14:paraId="5D8AB93A" w14:textId="77777777" w:rsidR="009948F1" w:rsidRDefault="00BC0563">
            <w:pPr>
              <w:pStyle w:val="TableParagraph"/>
              <w:spacing w:before="79"/>
              <w:ind w:left="148"/>
              <w:rPr>
                <w:rFonts w:ascii="Carlito"/>
                <w:sz w:val="21"/>
              </w:rPr>
            </w:pPr>
            <w:r>
              <w:rPr>
                <w:color w:val="231F20"/>
                <w:w w:val="95"/>
                <w:sz w:val="21"/>
              </w:rPr>
              <w:t xml:space="preserve">? </w:t>
            </w:r>
            <w:r>
              <w:rPr>
                <w:rFonts w:ascii="Carlito"/>
                <w:color w:val="231F20"/>
                <w:w w:val="95"/>
                <w:sz w:val="21"/>
              </w:rPr>
              <w:t>753M</w:t>
            </w:r>
          </w:p>
        </w:tc>
        <w:tc>
          <w:tcPr>
            <w:tcW w:w="272" w:type="dxa"/>
            <w:tcBorders>
              <w:top w:val="single" w:sz="6" w:space="0" w:color="231F20"/>
              <w:left w:val="single" w:sz="4" w:space="0" w:color="231F20"/>
              <w:bottom w:val="single" w:sz="6" w:space="0" w:color="231F20"/>
              <w:right w:val="nil"/>
            </w:tcBorders>
          </w:tcPr>
          <w:p w14:paraId="2DF0D69D" w14:textId="77777777" w:rsidR="009948F1" w:rsidRDefault="00BC0563">
            <w:pPr>
              <w:pStyle w:val="TableParagraph"/>
              <w:spacing w:before="82"/>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tcPr>
          <w:p w14:paraId="0B661822" w14:textId="77777777" w:rsidR="009948F1" w:rsidRDefault="00BC0563">
            <w:pPr>
              <w:pStyle w:val="TableParagraph"/>
              <w:spacing w:before="79"/>
              <w:ind w:left="48"/>
              <w:rPr>
                <w:rFonts w:ascii="Carlito"/>
                <w:sz w:val="21"/>
              </w:rPr>
            </w:pPr>
            <w:r>
              <w:rPr>
                <w:rFonts w:ascii="Carlito"/>
                <w:color w:val="231F20"/>
                <w:sz w:val="21"/>
              </w:rPr>
              <w:t>3,764M</w:t>
            </w:r>
          </w:p>
        </w:tc>
        <w:tc>
          <w:tcPr>
            <w:tcW w:w="812" w:type="dxa"/>
            <w:tcBorders>
              <w:top w:val="single" w:sz="6" w:space="0" w:color="231F20"/>
              <w:left w:val="single" w:sz="8" w:space="0" w:color="231F20"/>
              <w:bottom w:val="single" w:sz="6" w:space="0" w:color="231F20"/>
              <w:right w:val="single" w:sz="8" w:space="0" w:color="231F20"/>
            </w:tcBorders>
          </w:tcPr>
          <w:p w14:paraId="66B894AF" w14:textId="77777777" w:rsidR="009948F1" w:rsidRDefault="00BC0563">
            <w:pPr>
              <w:pStyle w:val="TableParagraph"/>
              <w:spacing w:before="79"/>
              <w:ind w:left="100"/>
              <w:rPr>
                <w:rFonts w:ascii="Carlito"/>
                <w:b/>
                <w:sz w:val="21"/>
              </w:rPr>
            </w:pPr>
            <w:r>
              <w:rPr>
                <w:rFonts w:ascii="Carlito"/>
                <w:b/>
                <w:color w:val="231F20"/>
                <w:sz w:val="21"/>
              </w:rPr>
              <w:t>1.7%</w:t>
            </w:r>
          </w:p>
        </w:tc>
      </w:tr>
      <w:tr w:rsidR="009948F1" w14:paraId="15C8191A" w14:textId="77777777">
        <w:trPr>
          <w:trHeight w:val="526"/>
        </w:trPr>
        <w:tc>
          <w:tcPr>
            <w:tcW w:w="1732" w:type="dxa"/>
            <w:tcBorders>
              <w:top w:val="single" w:sz="6" w:space="0" w:color="231F20"/>
              <w:left w:val="single" w:sz="8" w:space="0" w:color="231F20"/>
              <w:bottom w:val="single" w:sz="6" w:space="0" w:color="231F20"/>
              <w:right w:val="single" w:sz="4" w:space="0" w:color="231F20"/>
            </w:tcBorders>
            <w:shd w:val="clear" w:color="auto" w:fill="F1F2F2"/>
          </w:tcPr>
          <w:p w14:paraId="2116A3BA" w14:textId="77777777" w:rsidR="009948F1" w:rsidRDefault="009948F1">
            <w:pPr>
              <w:pStyle w:val="TableParagraph"/>
              <w:spacing w:before="11"/>
              <w:rPr>
                <w:b/>
                <w:i/>
                <w:sz w:val="25"/>
              </w:rPr>
            </w:pPr>
          </w:p>
          <w:p w14:paraId="7C93EC5C" w14:textId="77777777" w:rsidR="009948F1" w:rsidRDefault="00BC0563">
            <w:pPr>
              <w:pStyle w:val="TableParagraph"/>
              <w:spacing w:line="208" w:lineRule="exact"/>
              <w:ind w:left="203"/>
              <w:rPr>
                <w:b/>
                <w:sz w:val="19"/>
              </w:rPr>
            </w:pPr>
            <w:r>
              <w:rPr>
                <w:b/>
                <w:color w:val="231F20"/>
                <w:sz w:val="19"/>
              </w:rPr>
              <w:t>Logistics</w:t>
            </w:r>
          </w:p>
        </w:tc>
        <w:tc>
          <w:tcPr>
            <w:tcW w:w="271" w:type="dxa"/>
            <w:tcBorders>
              <w:top w:val="single" w:sz="6" w:space="0" w:color="231F20"/>
              <w:left w:val="single" w:sz="4" w:space="0" w:color="231F20"/>
              <w:bottom w:val="single" w:sz="6" w:space="0" w:color="231F20"/>
              <w:right w:val="nil"/>
            </w:tcBorders>
            <w:shd w:val="clear" w:color="auto" w:fill="F1F2F2"/>
          </w:tcPr>
          <w:p w14:paraId="51DF84CD" w14:textId="77777777" w:rsidR="009948F1" w:rsidRDefault="009948F1">
            <w:pPr>
              <w:pStyle w:val="TableParagraph"/>
              <w:spacing w:before="7"/>
              <w:rPr>
                <w:b/>
                <w:i/>
                <w:sz w:val="23"/>
              </w:rPr>
            </w:pPr>
          </w:p>
          <w:p w14:paraId="06F67E39" w14:textId="77777777" w:rsidR="009948F1" w:rsidRDefault="00BC0563">
            <w:pPr>
              <w:pStyle w:val="TableParagraph"/>
              <w:spacing w:line="235" w:lineRule="exact"/>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shd w:val="clear" w:color="auto" w:fill="F1F2F2"/>
          </w:tcPr>
          <w:p w14:paraId="39550AB4" w14:textId="77777777" w:rsidR="009948F1" w:rsidRDefault="009948F1">
            <w:pPr>
              <w:pStyle w:val="TableParagraph"/>
              <w:spacing w:before="4"/>
              <w:rPr>
                <w:b/>
                <w:i/>
                <w:sz w:val="23"/>
              </w:rPr>
            </w:pPr>
          </w:p>
          <w:p w14:paraId="0E886580" w14:textId="77777777" w:rsidR="009948F1" w:rsidRDefault="00BC0563">
            <w:pPr>
              <w:pStyle w:val="TableParagraph"/>
              <w:spacing w:line="238" w:lineRule="exact"/>
              <w:ind w:left="49"/>
              <w:rPr>
                <w:rFonts w:ascii="Carlito"/>
                <w:sz w:val="21"/>
              </w:rPr>
            </w:pPr>
            <w:r>
              <w:rPr>
                <w:rFonts w:ascii="Carlito"/>
                <w:color w:val="231F20"/>
                <w:sz w:val="21"/>
              </w:rPr>
              <w:t>5,658M</w:t>
            </w:r>
          </w:p>
        </w:tc>
        <w:tc>
          <w:tcPr>
            <w:tcW w:w="311" w:type="dxa"/>
            <w:tcBorders>
              <w:top w:val="single" w:sz="6" w:space="0" w:color="231F20"/>
              <w:left w:val="single" w:sz="4" w:space="0" w:color="231F20"/>
              <w:bottom w:val="single" w:sz="6" w:space="0" w:color="231F20"/>
              <w:right w:val="nil"/>
            </w:tcBorders>
            <w:shd w:val="clear" w:color="auto" w:fill="F1F2F2"/>
          </w:tcPr>
          <w:p w14:paraId="21AA8544" w14:textId="77777777" w:rsidR="009948F1" w:rsidRDefault="009948F1">
            <w:pPr>
              <w:pStyle w:val="TableParagraph"/>
              <w:spacing w:before="7"/>
              <w:rPr>
                <w:b/>
                <w:i/>
                <w:sz w:val="23"/>
              </w:rPr>
            </w:pPr>
          </w:p>
          <w:p w14:paraId="25C74A29" w14:textId="77777777" w:rsidR="009948F1" w:rsidRDefault="00BC0563">
            <w:pPr>
              <w:pStyle w:val="TableParagraph"/>
              <w:spacing w:line="235" w:lineRule="exact"/>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shd w:val="clear" w:color="auto" w:fill="F1F2F2"/>
          </w:tcPr>
          <w:p w14:paraId="6974D32B" w14:textId="77777777" w:rsidR="009948F1" w:rsidRDefault="009948F1">
            <w:pPr>
              <w:pStyle w:val="TableParagraph"/>
              <w:spacing w:before="4"/>
              <w:rPr>
                <w:b/>
                <w:i/>
                <w:sz w:val="23"/>
              </w:rPr>
            </w:pPr>
          </w:p>
          <w:p w14:paraId="41D61560" w14:textId="77777777" w:rsidR="009948F1" w:rsidRDefault="00BC0563">
            <w:pPr>
              <w:pStyle w:val="TableParagraph"/>
              <w:spacing w:line="238" w:lineRule="exact"/>
              <w:ind w:left="10"/>
              <w:rPr>
                <w:rFonts w:ascii="Carlito"/>
                <w:sz w:val="21"/>
              </w:rPr>
            </w:pPr>
            <w:r>
              <w:rPr>
                <w:rFonts w:ascii="Carlito"/>
                <w:color w:val="231F20"/>
                <w:sz w:val="21"/>
              </w:rPr>
              <w:t>6,675M</w:t>
            </w:r>
          </w:p>
        </w:tc>
        <w:tc>
          <w:tcPr>
            <w:tcW w:w="272" w:type="dxa"/>
            <w:tcBorders>
              <w:top w:val="single" w:sz="6" w:space="0" w:color="231F20"/>
              <w:left w:val="single" w:sz="4" w:space="0" w:color="231F20"/>
              <w:bottom w:val="single" w:sz="6" w:space="0" w:color="231F20"/>
              <w:right w:val="nil"/>
            </w:tcBorders>
            <w:shd w:val="clear" w:color="auto" w:fill="F1F2F2"/>
          </w:tcPr>
          <w:p w14:paraId="4CFEEE46" w14:textId="77777777" w:rsidR="009948F1" w:rsidRDefault="009948F1">
            <w:pPr>
              <w:pStyle w:val="TableParagraph"/>
              <w:spacing w:before="7"/>
              <w:rPr>
                <w:b/>
                <w:i/>
                <w:sz w:val="23"/>
              </w:rPr>
            </w:pPr>
          </w:p>
          <w:p w14:paraId="6B07CA92" w14:textId="77777777" w:rsidR="009948F1" w:rsidRDefault="00BC0563">
            <w:pPr>
              <w:pStyle w:val="TableParagraph"/>
              <w:spacing w:line="235" w:lineRule="exact"/>
              <w:ind w:right="28"/>
              <w:jc w:val="right"/>
              <w:rPr>
                <w:sz w:val="21"/>
              </w:rPr>
            </w:pPr>
            <w:r>
              <w:rPr>
                <w:color w:val="231F20"/>
                <w:w w:val="74"/>
                <w:sz w:val="21"/>
              </w:rPr>
              <w:t>?</w:t>
            </w:r>
          </w:p>
        </w:tc>
        <w:tc>
          <w:tcPr>
            <w:tcW w:w="969" w:type="dxa"/>
            <w:tcBorders>
              <w:top w:val="single" w:sz="6" w:space="0" w:color="231F20"/>
              <w:left w:val="nil"/>
              <w:bottom w:val="single" w:sz="6" w:space="0" w:color="231F20"/>
              <w:right w:val="single" w:sz="4" w:space="0" w:color="231F20"/>
            </w:tcBorders>
            <w:shd w:val="clear" w:color="auto" w:fill="F1F2F2"/>
          </w:tcPr>
          <w:p w14:paraId="24F32665" w14:textId="77777777" w:rsidR="009948F1" w:rsidRDefault="009948F1">
            <w:pPr>
              <w:pStyle w:val="TableParagraph"/>
              <w:spacing w:before="4"/>
              <w:rPr>
                <w:b/>
                <w:i/>
                <w:sz w:val="23"/>
              </w:rPr>
            </w:pPr>
          </w:p>
          <w:p w14:paraId="1F14C523" w14:textId="77777777" w:rsidR="009948F1" w:rsidRDefault="00BC0563">
            <w:pPr>
              <w:pStyle w:val="TableParagraph"/>
              <w:spacing w:line="238" w:lineRule="exact"/>
              <w:ind w:left="49"/>
              <w:rPr>
                <w:rFonts w:ascii="Carlito"/>
                <w:sz w:val="21"/>
              </w:rPr>
            </w:pPr>
            <w:r>
              <w:rPr>
                <w:rFonts w:ascii="Carlito"/>
                <w:color w:val="231F20"/>
                <w:sz w:val="21"/>
              </w:rPr>
              <w:t>8,080M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7ADB9E63" w14:textId="77777777" w:rsidR="009948F1" w:rsidRDefault="009948F1">
            <w:pPr>
              <w:pStyle w:val="TableParagraph"/>
              <w:spacing w:before="4"/>
              <w:rPr>
                <w:b/>
                <w:i/>
                <w:sz w:val="23"/>
              </w:rPr>
            </w:pPr>
          </w:p>
          <w:p w14:paraId="56583187" w14:textId="77777777" w:rsidR="009948F1" w:rsidRDefault="00BC0563">
            <w:pPr>
              <w:pStyle w:val="TableParagraph"/>
              <w:spacing w:line="238" w:lineRule="exact"/>
              <w:ind w:left="148"/>
              <w:rPr>
                <w:rFonts w:ascii="Carlito"/>
                <w:sz w:val="21"/>
              </w:rPr>
            </w:pPr>
            <w:r>
              <w:rPr>
                <w:color w:val="231F20"/>
                <w:w w:val="95"/>
                <w:sz w:val="21"/>
              </w:rPr>
              <w:t xml:space="preserve">? </w:t>
            </w:r>
            <w:r>
              <w:rPr>
                <w:rFonts w:ascii="Carlito"/>
                <w:color w:val="231F20"/>
                <w:w w:val="95"/>
                <w:sz w:val="21"/>
              </w:rPr>
              <w:t>9,069M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1070E1BC" w14:textId="77777777" w:rsidR="009948F1" w:rsidRDefault="00BC0563">
            <w:pPr>
              <w:pStyle w:val="TableParagraph"/>
              <w:spacing w:before="6"/>
              <w:ind w:left="148"/>
              <w:rPr>
                <w:sz w:val="21"/>
              </w:rPr>
            </w:pPr>
            <w:r>
              <w:rPr>
                <w:color w:val="231F20"/>
                <w:w w:val="74"/>
                <w:sz w:val="21"/>
              </w:rPr>
              <w:t>?</w:t>
            </w:r>
          </w:p>
          <w:p w14:paraId="5590AD08" w14:textId="77777777" w:rsidR="009948F1" w:rsidRDefault="00BC0563">
            <w:pPr>
              <w:pStyle w:val="TableParagraph"/>
              <w:spacing w:before="21" w:line="238" w:lineRule="exact"/>
              <w:ind w:left="105"/>
              <w:rPr>
                <w:rFonts w:ascii="Carlito"/>
                <w:sz w:val="21"/>
              </w:rPr>
            </w:pPr>
            <w:r>
              <w:rPr>
                <w:rFonts w:ascii="Carlito"/>
                <w:color w:val="231F20"/>
                <w:sz w:val="21"/>
              </w:rPr>
              <w:t>10,078M</w:t>
            </w:r>
          </w:p>
        </w:tc>
        <w:tc>
          <w:tcPr>
            <w:tcW w:w="272" w:type="dxa"/>
            <w:tcBorders>
              <w:top w:val="single" w:sz="6" w:space="0" w:color="231F20"/>
              <w:left w:val="single" w:sz="4" w:space="0" w:color="231F20"/>
              <w:bottom w:val="single" w:sz="6" w:space="0" w:color="231F20"/>
              <w:right w:val="nil"/>
            </w:tcBorders>
            <w:shd w:val="clear" w:color="auto" w:fill="F1F2F2"/>
          </w:tcPr>
          <w:p w14:paraId="2A4AED8A" w14:textId="77777777" w:rsidR="009948F1" w:rsidRDefault="009948F1">
            <w:pPr>
              <w:pStyle w:val="TableParagraph"/>
              <w:spacing w:before="7"/>
              <w:rPr>
                <w:b/>
                <w:i/>
                <w:sz w:val="23"/>
              </w:rPr>
            </w:pPr>
          </w:p>
          <w:p w14:paraId="1787949D" w14:textId="77777777" w:rsidR="009948F1" w:rsidRDefault="00BC0563">
            <w:pPr>
              <w:pStyle w:val="TableParagraph"/>
              <w:spacing w:line="235" w:lineRule="exact"/>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shd w:val="clear" w:color="auto" w:fill="F1F2F2"/>
          </w:tcPr>
          <w:p w14:paraId="475CF778" w14:textId="77777777" w:rsidR="009948F1" w:rsidRDefault="009948F1">
            <w:pPr>
              <w:pStyle w:val="TableParagraph"/>
              <w:spacing w:before="4"/>
              <w:rPr>
                <w:b/>
                <w:i/>
                <w:sz w:val="23"/>
              </w:rPr>
            </w:pPr>
          </w:p>
          <w:p w14:paraId="548E856B" w14:textId="77777777" w:rsidR="009948F1" w:rsidRDefault="00BC0563">
            <w:pPr>
              <w:pStyle w:val="TableParagraph"/>
              <w:spacing w:line="238" w:lineRule="exact"/>
              <w:ind w:left="48"/>
              <w:rPr>
                <w:rFonts w:ascii="Carlito"/>
                <w:sz w:val="21"/>
              </w:rPr>
            </w:pPr>
            <w:r>
              <w:rPr>
                <w:rFonts w:ascii="Carlito"/>
                <w:color w:val="231F20"/>
                <w:w w:val="95"/>
                <w:sz w:val="21"/>
              </w:rPr>
              <w:t>39,560M</w:t>
            </w:r>
          </w:p>
        </w:tc>
        <w:tc>
          <w:tcPr>
            <w:tcW w:w="812" w:type="dxa"/>
            <w:tcBorders>
              <w:top w:val="single" w:sz="6" w:space="0" w:color="231F20"/>
              <w:left w:val="single" w:sz="8" w:space="0" w:color="231F20"/>
              <w:bottom w:val="single" w:sz="6" w:space="0" w:color="231F20"/>
              <w:right w:val="single" w:sz="8" w:space="0" w:color="231F20"/>
            </w:tcBorders>
            <w:shd w:val="clear" w:color="auto" w:fill="F1F2F2"/>
          </w:tcPr>
          <w:p w14:paraId="7AA13701" w14:textId="77777777" w:rsidR="009948F1" w:rsidRDefault="00BC0563">
            <w:pPr>
              <w:pStyle w:val="TableParagraph"/>
              <w:spacing w:before="136"/>
              <w:ind w:left="100"/>
              <w:rPr>
                <w:rFonts w:ascii="Carlito"/>
                <w:b/>
                <w:sz w:val="21"/>
              </w:rPr>
            </w:pPr>
            <w:r>
              <w:rPr>
                <w:rFonts w:ascii="Carlito"/>
                <w:b/>
                <w:color w:val="231F20"/>
                <w:sz w:val="21"/>
              </w:rPr>
              <w:t>18.0%</w:t>
            </w:r>
          </w:p>
        </w:tc>
      </w:tr>
      <w:tr w:rsidR="009948F1" w14:paraId="1BA95F43" w14:textId="77777777">
        <w:trPr>
          <w:trHeight w:val="614"/>
        </w:trPr>
        <w:tc>
          <w:tcPr>
            <w:tcW w:w="1732" w:type="dxa"/>
            <w:tcBorders>
              <w:top w:val="single" w:sz="6" w:space="0" w:color="231F20"/>
              <w:left w:val="single" w:sz="8" w:space="0" w:color="231F20"/>
              <w:bottom w:val="single" w:sz="6" w:space="0" w:color="231F20"/>
              <w:right w:val="single" w:sz="4" w:space="0" w:color="231F20"/>
            </w:tcBorders>
          </w:tcPr>
          <w:p w14:paraId="3877B81D" w14:textId="77777777" w:rsidR="009948F1" w:rsidRDefault="00BC0563">
            <w:pPr>
              <w:pStyle w:val="TableParagraph"/>
              <w:spacing w:line="188" w:lineRule="exact"/>
              <w:ind w:left="57" w:right="496"/>
              <w:jc w:val="center"/>
              <w:rPr>
                <w:b/>
                <w:sz w:val="19"/>
              </w:rPr>
            </w:pPr>
            <w:r>
              <w:rPr>
                <w:b/>
                <w:color w:val="231F20"/>
                <w:sz w:val="19"/>
              </w:rPr>
              <w:t>Medicines,</w:t>
            </w:r>
          </w:p>
          <w:p w14:paraId="63DEF6D1" w14:textId="77777777" w:rsidR="009948F1" w:rsidRDefault="00BC0563">
            <w:pPr>
              <w:pStyle w:val="TableParagraph"/>
              <w:spacing w:before="5" w:line="208" w:lineRule="exact"/>
              <w:ind w:left="57" w:right="473"/>
              <w:jc w:val="center"/>
              <w:rPr>
                <w:b/>
                <w:sz w:val="19"/>
              </w:rPr>
            </w:pPr>
            <w:r>
              <w:rPr>
                <w:b/>
                <w:color w:val="231F20"/>
                <w:w w:val="90"/>
                <w:sz w:val="19"/>
              </w:rPr>
              <w:t>commodities, and supplies</w:t>
            </w:r>
          </w:p>
        </w:tc>
        <w:tc>
          <w:tcPr>
            <w:tcW w:w="271" w:type="dxa"/>
            <w:tcBorders>
              <w:top w:val="single" w:sz="6" w:space="0" w:color="231F20"/>
              <w:left w:val="single" w:sz="4" w:space="0" w:color="231F20"/>
              <w:bottom w:val="single" w:sz="6" w:space="0" w:color="231F20"/>
              <w:right w:val="nil"/>
            </w:tcBorders>
          </w:tcPr>
          <w:p w14:paraId="7BAF984C" w14:textId="77777777" w:rsidR="009948F1" w:rsidRDefault="00BC0563">
            <w:pPr>
              <w:pStyle w:val="TableParagraph"/>
              <w:spacing w:before="183"/>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tcPr>
          <w:p w14:paraId="1A729CCA" w14:textId="77777777" w:rsidR="009948F1" w:rsidRDefault="00BC0563">
            <w:pPr>
              <w:pStyle w:val="TableParagraph"/>
              <w:spacing w:before="180"/>
              <w:ind w:left="49"/>
              <w:rPr>
                <w:rFonts w:ascii="Carlito"/>
                <w:sz w:val="21"/>
              </w:rPr>
            </w:pPr>
            <w:r>
              <w:rPr>
                <w:rFonts w:ascii="Carlito"/>
                <w:color w:val="231F20"/>
                <w:sz w:val="21"/>
              </w:rPr>
              <w:t>13,180M</w:t>
            </w:r>
          </w:p>
        </w:tc>
        <w:tc>
          <w:tcPr>
            <w:tcW w:w="311" w:type="dxa"/>
            <w:tcBorders>
              <w:top w:val="single" w:sz="6" w:space="0" w:color="231F20"/>
              <w:left w:val="single" w:sz="4" w:space="0" w:color="231F20"/>
              <w:bottom w:val="single" w:sz="6" w:space="0" w:color="231F20"/>
              <w:right w:val="nil"/>
            </w:tcBorders>
          </w:tcPr>
          <w:p w14:paraId="39F5AA8E" w14:textId="77777777" w:rsidR="009948F1" w:rsidRDefault="00BC0563">
            <w:pPr>
              <w:pStyle w:val="TableParagraph"/>
              <w:spacing w:before="183"/>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tcPr>
          <w:p w14:paraId="209CD3C4" w14:textId="77777777" w:rsidR="009948F1" w:rsidRDefault="00BC0563">
            <w:pPr>
              <w:pStyle w:val="TableParagraph"/>
              <w:spacing w:before="180"/>
              <w:ind w:left="10"/>
              <w:rPr>
                <w:rFonts w:ascii="Carlito"/>
                <w:sz w:val="21"/>
              </w:rPr>
            </w:pPr>
            <w:r>
              <w:rPr>
                <w:rFonts w:ascii="Carlito"/>
                <w:color w:val="231F20"/>
                <w:sz w:val="21"/>
              </w:rPr>
              <w:t>15,507M</w:t>
            </w:r>
          </w:p>
        </w:tc>
        <w:tc>
          <w:tcPr>
            <w:tcW w:w="272" w:type="dxa"/>
            <w:tcBorders>
              <w:top w:val="single" w:sz="6" w:space="0" w:color="231F20"/>
              <w:left w:val="single" w:sz="4" w:space="0" w:color="231F20"/>
              <w:bottom w:val="single" w:sz="6" w:space="0" w:color="231F20"/>
              <w:right w:val="nil"/>
            </w:tcBorders>
          </w:tcPr>
          <w:p w14:paraId="3B74D94D" w14:textId="77777777" w:rsidR="009948F1" w:rsidRDefault="00BC0563">
            <w:pPr>
              <w:pStyle w:val="TableParagraph"/>
              <w:spacing w:before="183"/>
              <w:ind w:right="28"/>
              <w:jc w:val="right"/>
              <w:rPr>
                <w:sz w:val="21"/>
              </w:rPr>
            </w:pPr>
            <w:r>
              <w:rPr>
                <w:color w:val="231F20"/>
                <w:w w:val="74"/>
                <w:sz w:val="21"/>
              </w:rPr>
              <w:t>?</w:t>
            </w:r>
          </w:p>
        </w:tc>
        <w:tc>
          <w:tcPr>
            <w:tcW w:w="969" w:type="dxa"/>
            <w:tcBorders>
              <w:top w:val="single" w:sz="6" w:space="0" w:color="231F20"/>
              <w:left w:val="nil"/>
              <w:bottom w:val="single" w:sz="6" w:space="0" w:color="231F20"/>
              <w:right w:val="single" w:sz="4" w:space="0" w:color="231F20"/>
            </w:tcBorders>
          </w:tcPr>
          <w:p w14:paraId="0CC12350" w14:textId="77777777" w:rsidR="009948F1" w:rsidRDefault="00BC0563">
            <w:pPr>
              <w:pStyle w:val="TableParagraph"/>
              <w:spacing w:before="180"/>
              <w:ind w:left="49"/>
              <w:rPr>
                <w:rFonts w:ascii="Carlito"/>
                <w:sz w:val="21"/>
              </w:rPr>
            </w:pPr>
            <w:r>
              <w:rPr>
                <w:rFonts w:ascii="Carlito"/>
                <w:color w:val="231F20"/>
                <w:sz w:val="21"/>
              </w:rPr>
              <w:t>18,798M</w:t>
            </w:r>
          </w:p>
        </w:tc>
        <w:tc>
          <w:tcPr>
            <w:tcW w:w="1009" w:type="dxa"/>
            <w:tcBorders>
              <w:top w:val="single" w:sz="6" w:space="0" w:color="231F20"/>
              <w:left w:val="single" w:sz="4" w:space="0" w:color="231F20"/>
              <w:bottom w:val="single" w:sz="6" w:space="0" w:color="231F20"/>
              <w:right w:val="single" w:sz="4" w:space="0" w:color="231F20"/>
            </w:tcBorders>
          </w:tcPr>
          <w:p w14:paraId="68745A59" w14:textId="77777777" w:rsidR="009948F1" w:rsidRDefault="00BC0563">
            <w:pPr>
              <w:pStyle w:val="TableParagraph"/>
              <w:spacing w:before="50"/>
              <w:ind w:left="148"/>
              <w:rPr>
                <w:sz w:val="21"/>
              </w:rPr>
            </w:pPr>
            <w:r>
              <w:rPr>
                <w:color w:val="231F20"/>
                <w:w w:val="74"/>
                <w:sz w:val="21"/>
              </w:rPr>
              <w:t>?</w:t>
            </w:r>
          </w:p>
          <w:p w14:paraId="52BB0191" w14:textId="77777777" w:rsidR="009948F1" w:rsidRDefault="00BC0563">
            <w:pPr>
              <w:pStyle w:val="TableParagraph"/>
              <w:spacing w:before="21"/>
              <w:ind w:left="105"/>
              <w:rPr>
                <w:rFonts w:ascii="Carlito"/>
                <w:sz w:val="21"/>
              </w:rPr>
            </w:pPr>
            <w:r>
              <w:rPr>
                <w:rFonts w:ascii="Carlito"/>
                <w:color w:val="231F20"/>
                <w:sz w:val="21"/>
              </w:rPr>
              <w:t>21,108M</w:t>
            </w:r>
          </w:p>
        </w:tc>
        <w:tc>
          <w:tcPr>
            <w:tcW w:w="1009" w:type="dxa"/>
            <w:tcBorders>
              <w:top w:val="single" w:sz="6" w:space="0" w:color="231F20"/>
              <w:left w:val="single" w:sz="4" w:space="0" w:color="231F20"/>
              <w:bottom w:val="single" w:sz="6" w:space="0" w:color="231F20"/>
              <w:right w:val="single" w:sz="4" w:space="0" w:color="231F20"/>
            </w:tcBorders>
          </w:tcPr>
          <w:p w14:paraId="6B37ED77" w14:textId="77777777" w:rsidR="009948F1" w:rsidRDefault="00BC0563">
            <w:pPr>
              <w:pStyle w:val="TableParagraph"/>
              <w:spacing w:before="50"/>
              <w:ind w:left="148"/>
              <w:rPr>
                <w:sz w:val="21"/>
              </w:rPr>
            </w:pPr>
            <w:r>
              <w:rPr>
                <w:color w:val="231F20"/>
                <w:w w:val="74"/>
                <w:sz w:val="21"/>
              </w:rPr>
              <w:t>?</w:t>
            </w:r>
          </w:p>
          <w:p w14:paraId="5B9DED9B" w14:textId="77777777" w:rsidR="009948F1" w:rsidRDefault="00BC0563">
            <w:pPr>
              <w:pStyle w:val="TableParagraph"/>
              <w:spacing w:before="21"/>
              <w:ind w:left="105"/>
              <w:rPr>
                <w:rFonts w:ascii="Carlito"/>
                <w:sz w:val="21"/>
              </w:rPr>
            </w:pPr>
            <w:r>
              <w:rPr>
                <w:rFonts w:ascii="Carlito"/>
                <w:color w:val="231F20"/>
                <w:sz w:val="21"/>
              </w:rPr>
              <w:t>23,464M</w:t>
            </w:r>
          </w:p>
        </w:tc>
        <w:tc>
          <w:tcPr>
            <w:tcW w:w="272" w:type="dxa"/>
            <w:tcBorders>
              <w:top w:val="single" w:sz="6" w:space="0" w:color="231F20"/>
              <w:left w:val="single" w:sz="4" w:space="0" w:color="231F20"/>
              <w:bottom w:val="single" w:sz="6" w:space="0" w:color="231F20"/>
              <w:right w:val="nil"/>
            </w:tcBorders>
          </w:tcPr>
          <w:p w14:paraId="54B14B6B" w14:textId="77777777" w:rsidR="009948F1" w:rsidRDefault="00BC0563">
            <w:pPr>
              <w:pStyle w:val="TableParagraph"/>
              <w:spacing w:before="183"/>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tcPr>
          <w:p w14:paraId="30A7283B" w14:textId="77777777" w:rsidR="009948F1" w:rsidRDefault="00BC0563">
            <w:pPr>
              <w:pStyle w:val="TableParagraph"/>
              <w:spacing w:before="180"/>
              <w:ind w:left="48"/>
              <w:rPr>
                <w:rFonts w:ascii="Carlito"/>
                <w:sz w:val="21"/>
              </w:rPr>
            </w:pPr>
            <w:r>
              <w:rPr>
                <w:rFonts w:ascii="Carlito"/>
                <w:color w:val="231F20"/>
                <w:w w:val="95"/>
                <w:sz w:val="21"/>
              </w:rPr>
              <w:t>92,057M</w:t>
            </w:r>
          </w:p>
        </w:tc>
        <w:tc>
          <w:tcPr>
            <w:tcW w:w="812" w:type="dxa"/>
            <w:tcBorders>
              <w:top w:val="single" w:sz="6" w:space="0" w:color="231F20"/>
              <w:left w:val="single" w:sz="8" w:space="0" w:color="231F20"/>
              <w:bottom w:val="single" w:sz="6" w:space="0" w:color="231F20"/>
              <w:right w:val="single" w:sz="8" w:space="0" w:color="231F20"/>
            </w:tcBorders>
          </w:tcPr>
          <w:p w14:paraId="17BF298A" w14:textId="77777777" w:rsidR="009948F1" w:rsidRDefault="00BC0563">
            <w:pPr>
              <w:pStyle w:val="TableParagraph"/>
              <w:spacing w:before="180"/>
              <w:ind w:left="100"/>
              <w:rPr>
                <w:rFonts w:ascii="Carlito"/>
                <w:b/>
                <w:sz w:val="21"/>
              </w:rPr>
            </w:pPr>
            <w:r>
              <w:rPr>
                <w:rFonts w:ascii="Carlito"/>
                <w:b/>
                <w:color w:val="231F20"/>
                <w:sz w:val="21"/>
              </w:rPr>
              <w:t>41.8%</w:t>
            </w:r>
          </w:p>
        </w:tc>
      </w:tr>
      <w:tr w:rsidR="009948F1" w14:paraId="1B9435D5" w14:textId="77777777">
        <w:trPr>
          <w:trHeight w:val="411"/>
        </w:trPr>
        <w:tc>
          <w:tcPr>
            <w:tcW w:w="1732" w:type="dxa"/>
            <w:tcBorders>
              <w:top w:val="single" w:sz="6" w:space="0" w:color="231F20"/>
              <w:left w:val="single" w:sz="8" w:space="0" w:color="231F20"/>
              <w:bottom w:val="single" w:sz="6" w:space="0" w:color="231F20"/>
              <w:right w:val="single" w:sz="4" w:space="0" w:color="231F20"/>
            </w:tcBorders>
            <w:shd w:val="clear" w:color="auto" w:fill="F1F2F2"/>
          </w:tcPr>
          <w:p w14:paraId="4BB855CC" w14:textId="77777777" w:rsidR="009948F1" w:rsidRDefault="00BC0563">
            <w:pPr>
              <w:pStyle w:val="TableParagraph"/>
              <w:spacing w:line="190" w:lineRule="exact"/>
              <w:ind w:left="57" w:right="846"/>
              <w:jc w:val="center"/>
              <w:rPr>
                <w:b/>
                <w:sz w:val="19"/>
              </w:rPr>
            </w:pPr>
            <w:r>
              <w:rPr>
                <w:b/>
                <w:color w:val="231F20"/>
                <w:sz w:val="19"/>
              </w:rPr>
              <w:t>Health</w:t>
            </w:r>
          </w:p>
          <w:p w14:paraId="79C03F62" w14:textId="77777777" w:rsidR="009948F1" w:rsidRDefault="00BC0563">
            <w:pPr>
              <w:pStyle w:val="TableParagraph"/>
              <w:spacing w:line="202" w:lineRule="exact"/>
              <w:ind w:left="57" w:right="766"/>
              <w:jc w:val="center"/>
              <w:rPr>
                <w:b/>
                <w:sz w:val="19"/>
              </w:rPr>
            </w:pPr>
            <w:r>
              <w:rPr>
                <w:b/>
                <w:color w:val="231F20"/>
                <w:w w:val="95"/>
                <w:sz w:val="19"/>
              </w:rPr>
              <w:t>Financing</w:t>
            </w:r>
          </w:p>
        </w:tc>
        <w:tc>
          <w:tcPr>
            <w:tcW w:w="271" w:type="dxa"/>
            <w:tcBorders>
              <w:top w:val="single" w:sz="6" w:space="0" w:color="231F20"/>
              <w:left w:val="single" w:sz="4" w:space="0" w:color="231F20"/>
              <w:bottom w:val="single" w:sz="6" w:space="0" w:color="231F20"/>
              <w:right w:val="nil"/>
            </w:tcBorders>
            <w:shd w:val="clear" w:color="auto" w:fill="F1F2F2"/>
          </w:tcPr>
          <w:p w14:paraId="5F4C8F5B" w14:textId="77777777" w:rsidR="009948F1" w:rsidRDefault="00BC0563">
            <w:pPr>
              <w:pStyle w:val="TableParagraph"/>
              <w:spacing w:before="157" w:line="235" w:lineRule="exact"/>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shd w:val="clear" w:color="auto" w:fill="F1F2F2"/>
          </w:tcPr>
          <w:p w14:paraId="17248089" w14:textId="77777777" w:rsidR="009948F1" w:rsidRDefault="00BC0563">
            <w:pPr>
              <w:pStyle w:val="TableParagraph"/>
              <w:spacing w:before="154" w:line="238" w:lineRule="exact"/>
              <w:ind w:left="49"/>
              <w:rPr>
                <w:rFonts w:ascii="Carlito"/>
                <w:sz w:val="21"/>
              </w:rPr>
            </w:pPr>
            <w:r>
              <w:rPr>
                <w:rFonts w:ascii="Carlito"/>
                <w:color w:val="231F20"/>
                <w:sz w:val="21"/>
              </w:rPr>
              <w:t>1M</w:t>
            </w:r>
          </w:p>
        </w:tc>
        <w:tc>
          <w:tcPr>
            <w:tcW w:w="311" w:type="dxa"/>
            <w:tcBorders>
              <w:top w:val="single" w:sz="6" w:space="0" w:color="231F20"/>
              <w:left w:val="single" w:sz="4" w:space="0" w:color="231F20"/>
              <w:bottom w:val="single" w:sz="6" w:space="0" w:color="231F20"/>
              <w:right w:val="nil"/>
            </w:tcBorders>
            <w:shd w:val="clear" w:color="auto" w:fill="F1F2F2"/>
          </w:tcPr>
          <w:p w14:paraId="6E63BF84" w14:textId="77777777" w:rsidR="009948F1" w:rsidRDefault="00BC0563">
            <w:pPr>
              <w:pStyle w:val="TableParagraph"/>
              <w:spacing w:before="157" w:line="235" w:lineRule="exact"/>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shd w:val="clear" w:color="auto" w:fill="F1F2F2"/>
          </w:tcPr>
          <w:p w14:paraId="03B70A31" w14:textId="77777777" w:rsidR="009948F1" w:rsidRDefault="00BC0563">
            <w:pPr>
              <w:pStyle w:val="TableParagraph"/>
              <w:spacing w:before="154" w:line="238" w:lineRule="exact"/>
              <w:ind w:left="10"/>
              <w:rPr>
                <w:rFonts w:ascii="Carlito"/>
                <w:sz w:val="21"/>
              </w:rPr>
            </w:pPr>
            <w:r>
              <w:rPr>
                <w:rFonts w:ascii="Carlito"/>
                <w:color w:val="231F20"/>
                <w:sz w:val="21"/>
              </w:rPr>
              <w:t>26M</w:t>
            </w:r>
          </w:p>
        </w:tc>
        <w:tc>
          <w:tcPr>
            <w:tcW w:w="272" w:type="dxa"/>
            <w:tcBorders>
              <w:top w:val="single" w:sz="6" w:space="0" w:color="231F20"/>
              <w:left w:val="single" w:sz="4" w:space="0" w:color="231F20"/>
              <w:bottom w:val="single" w:sz="6" w:space="0" w:color="231F20"/>
              <w:right w:val="nil"/>
            </w:tcBorders>
            <w:shd w:val="clear" w:color="auto" w:fill="F1F2F2"/>
          </w:tcPr>
          <w:p w14:paraId="200EA82F" w14:textId="77777777" w:rsidR="009948F1" w:rsidRDefault="00BC0563">
            <w:pPr>
              <w:pStyle w:val="TableParagraph"/>
              <w:spacing w:before="157" w:line="235" w:lineRule="exact"/>
              <w:ind w:right="28"/>
              <w:jc w:val="right"/>
              <w:rPr>
                <w:sz w:val="21"/>
              </w:rPr>
            </w:pPr>
            <w:r>
              <w:rPr>
                <w:color w:val="231F20"/>
                <w:w w:val="74"/>
                <w:sz w:val="21"/>
              </w:rPr>
              <w:t>?</w:t>
            </w:r>
          </w:p>
        </w:tc>
        <w:tc>
          <w:tcPr>
            <w:tcW w:w="969" w:type="dxa"/>
            <w:tcBorders>
              <w:top w:val="single" w:sz="6" w:space="0" w:color="231F20"/>
              <w:left w:val="nil"/>
              <w:bottom w:val="single" w:sz="6" w:space="0" w:color="231F20"/>
              <w:right w:val="single" w:sz="4" w:space="0" w:color="231F20"/>
            </w:tcBorders>
            <w:shd w:val="clear" w:color="auto" w:fill="F1F2F2"/>
          </w:tcPr>
          <w:p w14:paraId="6D56D742" w14:textId="77777777" w:rsidR="009948F1" w:rsidRDefault="00BC0563">
            <w:pPr>
              <w:pStyle w:val="TableParagraph"/>
              <w:spacing w:before="154" w:line="238" w:lineRule="exact"/>
              <w:ind w:left="49"/>
              <w:rPr>
                <w:rFonts w:ascii="Carlito"/>
                <w:sz w:val="21"/>
              </w:rPr>
            </w:pPr>
            <w:r>
              <w:rPr>
                <w:rFonts w:ascii="Carlito"/>
                <w:color w:val="231F20"/>
                <w:sz w:val="21"/>
              </w:rPr>
              <w:t>18M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378CE40E" w14:textId="77777777" w:rsidR="009948F1" w:rsidRDefault="00BC0563">
            <w:pPr>
              <w:pStyle w:val="TableParagraph"/>
              <w:spacing w:before="154" w:line="238" w:lineRule="exact"/>
              <w:ind w:left="148"/>
              <w:rPr>
                <w:rFonts w:ascii="Carlito"/>
                <w:sz w:val="21"/>
              </w:rPr>
            </w:pPr>
            <w:r>
              <w:rPr>
                <w:color w:val="231F20"/>
                <w:w w:val="95"/>
                <w:sz w:val="21"/>
              </w:rPr>
              <w:t xml:space="preserve">? </w:t>
            </w:r>
            <w:r>
              <w:rPr>
                <w:rFonts w:ascii="Carlito"/>
                <w:color w:val="231F20"/>
                <w:w w:val="95"/>
                <w:sz w:val="21"/>
              </w:rPr>
              <w:t>18M</w:t>
            </w:r>
          </w:p>
        </w:tc>
        <w:tc>
          <w:tcPr>
            <w:tcW w:w="1009" w:type="dxa"/>
            <w:tcBorders>
              <w:top w:val="single" w:sz="6" w:space="0" w:color="231F20"/>
              <w:left w:val="single" w:sz="4" w:space="0" w:color="231F20"/>
              <w:bottom w:val="single" w:sz="6" w:space="0" w:color="231F20"/>
              <w:right w:val="single" w:sz="4" w:space="0" w:color="231F20"/>
            </w:tcBorders>
            <w:shd w:val="clear" w:color="auto" w:fill="F1F2F2"/>
          </w:tcPr>
          <w:p w14:paraId="3315C846" w14:textId="77777777" w:rsidR="009948F1" w:rsidRDefault="00BC0563">
            <w:pPr>
              <w:pStyle w:val="TableParagraph"/>
              <w:spacing w:before="154" w:line="238" w:lineRule="exact"/>
              <w:ind w:left="148"/>
              <w:rPr>
                <w:rFonts w:ascii="Carlito"/>
                <w:sz w:val="21"/>
              </w:rPr>
            </w:pPr>
            <w:r>
              <w:rPr>
                <w:color w:val="231F20"/>
                <w:w w:val="95"/>
                <w:sz w:val="21"/>
              </w:rPr>
              <w:t xml:space="preserve">? </w:t>
            </w:r>
            <w:r>
              <w:rPr>
                <w:rFonts w:ascii="Carlito"/>
                <w:color w:val="231F20"/>
                <w:w w:val="95"/>
                <w:sz w:val="21"/>
              </w:rPr>
              <w:t>16M</w:t>
            </w:r>
          </w:p>
        </w:tc>
        <w:tc>
          <w:tcPr>
            <w:tcW w:w="272" w:type="dxa"/>
            <w:tcBorders>
              <w:top w:val="single" w:sz="6" w:space="0" w:color="231F20"/>
              <w:left w:val="single" w:sz="4" w:space="0" w:color="231F20"/>
              <w:bottom w:val="single" w:sz="6" w:space="0" w:color="231F20"/>
              <w:right w:val="nil"/>
            </w:tcBorders>
            <w:shd w:val="clear" w:color="auto" w:fill="F1F2F2"/>
          </w:tcPr>
          <w:p w14:paraId="65B10171" w14:textId="77777777" w:rsidR="009948F1" w:rsidRDefault="00BC0563">
            <w:pPr>
              <w:pStyle w:val="TableParagraph"/>
              <w:spacing w:before="157" w:line="235" w:lineRule="exact"/>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shd w:val="clear" w:color="auto" w:fill="F1F2F2"/>
          </w:tcPr>
          <w:p w14:paraId="529127FD" w14:textId="77777777" w:rsidR="009948F1" w:rsidRDefault="00BC0563">
            <w:pPr>
              <w:pStyle w:val="TableParagraph"/>
              <w:spacing w:before="154" w:line="238" w:lineRule="exact"/>
              <w:ind w:left="48"/>
              <w:rPr>
                <w:rFonts w:ascii="Carlito"/>
                <w:sz w:val="21"/>
              </w:rPr>
            </w:pPr>
            <w:r>
              <w:rPr>
                <w:rFonts w:ascii="Carlito"/>
                <w:color w:val="231F20"/>
                <w:sz w:val="21"/>
              </w:rPr>
              <w:t>79M</w:t>
            </w:r>
          </w:p>
        </w:tc>
        <w:tc>
          <w:tcPr>
            <w:tcW w:w="812" w:type="dxa"/>
            <w:tcBorders>
              <w:top w:val="single" w:sz="6" w:space="0" w:color="231F20"/>
              <w:left w:val="single" w:sz="8" w:space="0" w:color="231F20"/>
              <w:bottom w:val="single" w:sz="6" w:space="0" w:color="231F20"/>
              <w:right w:val="single" w:sz="8" w:space="0" w:color="231F20"/>
            </w:tcBorders>
            <w:shd w:val="clear" w:color="auto" w:fill="F1F2F2"/>
          </w:tcPr>
          <w:p w14:paraId="25B7E9E1" w14:textId="77777777" w:rsidR="009948F1" w:rsidRDefault="00BC0563">
            <w:pPr>
              <w:pStyle w:val="TableParagraph"/>
              <w:spacing w:before="79"/>
              <w:ind w:left="100"/>
              <w:rPr>
                <w:rFonts w:ascii="Carlito"/>
                <w:b/>
                <w:sz w:val="21"/>
              </w:rPr>
            </w:pPr>
            <w:r>
              <w:rPr>
                <w:rFonts w:ascii="Carlito"/>
                <w:b/>
                <w:color w:val="231F20"/>
                <w:sz w:val="21"/>
              </w:rPr>
              <w:t>0.0%</w:t>
            </w:r>
          </w:p>
        </w:tc>
      </w:tr>
      <w:tr w:rsidR="009948F1" w14:paraId="0510E416" w14:textId="77777777">
        <w:trPr>
          <w:trHeight w:val="614"/>
        </w:trPr>
        <w:tc>
          <w:tcPr>
            <w:tcW w:w="1732" w:type="dxa"/>
            <w:tcBorders>
              <w:top w:val="single" w:sz="6" w:space="0" w:color="231F20"/>
              <w:left w:val="single" w:sz="8" w:space="0" w:color="231F20"/>
              <w:bottom w:val="single" w:sz="6" w:space="0" w:color="231F20"/>
              <w:right w:val="single" w:sz="4" w:space="0" w:color="231F20"/>
            </w:tcBorders>
          </w:tcPr>
          <w:p w14:paraId="1FE1DEBC" w14:textId="77777777" w:rsidR="009948F1" w:rsidRDefault="00BC0563">
            <w:pPr>
              <w:pStyle w:val="TableParagraph"/>
              <w:spacing w:line="188" w:lineRule="exact"/>
              <w:ind w:left="203"/>
              <w:rPr>
                <w:b/>
                <w:sz w:val="19"/>
              </w:rPr>
            </w:pPr>
            <w:r>
              <w:rPr>
                <w:b/>
                <w:color w:val="231F20"/>
                <w:sz w:val="19"/>
              </w:rPr>
              <w:t>Health</w:t>
            </w:r>
          </w:p>
          <w:p w14:paraId="372A882C" w14:textId="77777777" w:rsidR="009948F1" w:rsidRDefault="00BC0563">
            <w:pPr>
              <w:pStyle w:val="TableParagraph"/>
              <w:spacing w:before="5" w:line="208" w:lineRule="exact"/>
              <w:ind w:left="101"/>
              <w:rPr>
                <w:b/>
                <w:sz w:val="19"/>
              </w:rPr>
            </w:pPr>
            <w:r>
              <w:rPr>
                <w:b/>
                <w:color w:val="231F20"/>
                <w:w w:val="85"/>
                <w:sz w:val="19"/>
              </w:rPr>
              <w:t xml:space="preserve">Information </w:t>
            </w:r>
            <w:r>
              <w:rPr>
                <w:b/>
                <w:color w:val="231F20"/>
                <w:sz w:val="19"/>
              </w:rPr>
              <w:t>Systems</w:t>
            </w:r>
          </w:p>
        </w:tc>
        <w:tc>
          <w:tcPr>
            <w:tcW w:w="271" w:type="dxa"/>
            <w:tcBorders>
              <w:top w:val="single" w:sz="6" w:space="0" w:color="231F20"/>
              <w:left w:val="single" w:sz="4" w:space="0" w:color="231F20"/>
              <w:bottom w:val="single" w:sz="6" w:space="0" w:color="231F20"/>
              <w:right w:val="nil"/>
            </w:tcBorders>
          </w:tcPr>
          <w:p w14:paraId="75B6CA76" w14:textId="77777777" w:rsidR="009948F1" w:rsidRDefault="00BC0563">
            <w:pPr>
              <w:pStyle w:val="TableParagraph"/>
              <w:spacing w:before="183"/>
              <w:ind w:right="28"/>
              <w:jc w:val="right"/>
              <w:rPr>
                <w:sz w:val="21"/>
              </w:rPr>
            </w:pPr>
            <w:r>
              <w:rPr>
                <w:color w:val="231F20"/>
                <w:w w:val="74"/>
                <w:sz w:val="21"/>
              </w:rPr>
              <w:t>?</w:t>
            </w:r>
          </w:p>
        </w:tc>
        <w:tc>
          <w:tcPr>
            <w:tcW w:w="932" w:type="dxa"/>
            <w:tcBorders>
              <w:top w:val="single" w:sz="6" w:space="0" w:color="231F20"/>
              <w:left w:val="nil"/>
              <w:bottom w:val="single" w:sz="6" w:space="0" w:color="231F20"/>
              <w:right w:val="single" w:sz="4" w:space="0" w:color="231F20"/>
            </w:tcBorders>
          </w:tcPr>
          <w:p w14:paraId="0081FFD7" w14:textId="77777777" w:rsidR="009948F1" w:rsidRDefault="00BC0563">
            <w:pPr>
              <w:pStyle w:val="TableParagraph"/>
              <w:spacing w:before="180"/>
              <w:ind w:left="49"/>
              <w:rPr>
                <w:rFonts w:ascii="Carlito"/>
                <w:sz w:val="21"/>
              </w:rPr>
            </w:pPr>
            <w:r>
              <w:rPr>
                <w:rFonts w:ascii="Carlito"/>
                <w:color w:val="231F20"/>
                <w:sz w:val="21"/>
              </w:rPr>
              <w:t>43M</w:t>
            </w:r>
          </w:p>
        </w:tc>
        <w:tc>
          <w:tcPr>
            <w:tcW w:w="311" w:type="dxa"/>
            <w:tcBorders>
              <w:top w:val="single" w:sz="6" w:space="0" w:color="231F20"/>
              <w:left w:val="single" w:sz="4" w:space="0" w:color="231F20"/>
              <w:bottom w:val="single" w:sz="6" w:space="0" w:color="231F20"/>
              <w:right w:val="nil"/>
            </w:tcBorders>
          </w:tcPr>
          <w:p w14:paraId="16408F09" w14:textId="77777777" w:rsidR="009948F1" w:rsidRDefault="00BC0563">
            <w:pPr>
              <w:pStyle w:val="TableParagraph"/>
              <w:spacing w:before="183"/>
              <w:ind w:right="67"/>
              <w:jc w:val="right"/>
              <w:rPr>
                <w:sz w:val="21"/>
              </w:rPr>
            </w:pPr>
            <w:r>
              <w:rPr>
                <w:color w:val="231F20"/>
                <w:w w:val="74"/>
                <w:sz w:val="21"/>
              </w:rPr>
              <w:t>?</w:t>
            </w:r>
          </w:p>
        </w:tc>
        <w:tc>
          <w:tcPr>
            <w:tcW w:w="896" w:type="dxa"/>
            <w:tcBorders>
              <w:top w:val="single" w:sz="6" w:space="0" w:color="231F20"/>
              <w:left w:val="nil"/>
              <w:bottom w:val="single" w:sz="6" w:space="0" w:color="231F20"/>
              <w:right w:val="single" w:sz="4" w:space="0" w:color="231F20"/>
            </w:tcBorders>
          </w:tcPr>
          <w:p w14:paraId="45BBFB07" w14:textId="77777777" w:rsidR="009948F1" w:rsidRDefault="00BC0563">
            <w:pPr>
              <w:pStyle w:val="TableParagraph"/>
              <w:spacing w:before="180"/>
              <w:ind w:left="10"/>
              <w:rPr>
                <w:rFonts w:ascii="Carlito"/>
                <w:sz w:val="21"/>
              </w:rPr>
            </w:pPr>
            <w:r>
              <w:rPr>
                <w:rFonts w:ascii="Carlito"/>
                <w:color w:val="231F20"/>
                <w:sz w:val="21"/>
              </w:rPr>
              <w:t>43M</w:t>
            </w:r>
          </w:p>
        </w:tc>
        <w:tc>
          <w:tcPr>
            <w:tcW w:w="1241" w:type="dxa"/>
            <w:gridSpan w:val="2"/>
            <w:tcBorders>
              <w:top w:val="single" w:sz="6" w:space="0" w:color="231F20"/>
              <w:left w:val="single" w:sz="4" w:space="0" w:color="231F20"/>
              <w:bottom w:val="single" w:sz="6" w:space="0" w:color="231F20"/>
              <w:right w:val="single" w:sz="4" w:space="0" w:color="231F20"/>
            </w:tcBorders>
          </w:tcPr>
          <w:p w14:paraId="579A07B5" w14:textId="77777777" w:rsidR="009948F1" w:rsidRDefault="00BC0563">
            <w:pPr>
              <w:pStyle w:val="TableParagraph"/>
              <w:spacing w:before="180"/>
              <w:ind w:left="149"/>
              <w:rPr>
                <w:rFonts w:ascii="Carlito"/>
                <w:sz w:val="21"/>
              </w:rPr>
            </w:pPr>
            <w:r>
              <w:rPr>
                <w:color w:val="231F20"/>
                <w:w w:val="95"/>
                <w:sz w:val="21"/>
              </w:rPr>
              <w:t xml:space="preserve">? </w:t>
            </w:r>
            <w:r>
              <w:rPr>
                <w:rFonts w:ascii="Carlito"/>
                <w:color w:val="231F20"/>
                <w:w w:val="95"/>
                <w:sz w:val="21"/>
              </w:rPr>
              <w:t>36M</w:t>
            </w:r>
          </w:p>
        </w:tc>
        <w:tc>
          <w:tcPr>
            <w:tcW w:w="1009" w:type="dxa"/>
            <w:tcBorders>
              <w:top w:val="single" w:sz="6" w:space="0" w:color="231F20"/>
              <w:left w:val="single" w:sz="4" w:space="0" w:color="231F20"/>
              <w:bottom w:val="single" w:sz="6" w:space="0" w:color="231F20"/>
              <w:right w:val="single" w:sz="4" w:space="0" w:color="231F20"/>
            </w:tcBorders>
          </w:tcPr>
          <w:p w14:paraId="4B2689EA" w14:textId="77777777" w:rsidR="009948F1" w:rsidRDefault="00BC0563">
            <w:pPr>
              <w:pStyle w:val="TableParagraph"/>
              <w:spacing w:before="180"/>
              <w:ind w:left="148"/>
              <w:rPr>
                <w:rFonts w:ascii="Carlito"/>
                <w:sz w:val="21"/>
              </w:rPr>
            </w:pPr>
            <w:r>
              <w:rPr>
                <w:color w:val="231F20"/>
                <w:w w:val="95"/>
                <w:sz w:val="21"/>
              </w:rPr>
              <w:t xml:space="preserve">? </w:t>
            </w:r>
            <w:r>
              <w:rPr>
                <w:rFonts w:ascii="Carlito"/>
                <w:color w:val="231F20"/>
                <w:w w:val="95"/>
                <w:sz w:val="21"/>
              </w:rPr>
              <w:t>36M</w:t>
            </w:r>
          </w:p>
        </w:tc>
        <w:tc>
          <w:tcPr>
            <w:tcW w:w="1009" w:type="dxa"/>
            <w:tcBorders>
              <w:top w:val="single" w:sz="6" w:space="0" w:color="231F20"/>
              <w:left w:val="single" w:sz="4" w:space="0" w:color="231F20"/>
              <w:bottom w:val="single" w:sz="6" w:space="0" w:color="231F20"/>
              <w:right w:val="single" w:sz="4" w:space="0" w:color="231F20"/>
            </w:tcBorders>
          </w:tcPr>
          <w:p w14:paraId="2085A3B6" w14:textId="77777777" w:rsidR="009948F1" w:rsidRDefault="00BC0563">
            <w:pPr>
              <w:pStyle w:val="TableParagraph"/>
              <w:spacing w:before="180"/>
              <w:ind w:left="148"/>
              <w:rPr>
                <w:rFonts w:ascii="Carlito"/>
                <w:sz w:val="21"/>
              </w:rPr>
            </w:pPr>
            <w:r>
              <w:rPr>
                <w:color w:val="231F20"/>
                <w:w w:val="95"/>
                <w:sz w:val="21"/>
              </w:rPr>
              <w:t xml:space="preserve">? </w:t>
            </w:r>
            <w:r>
              <w:rPr>
                <w:rFonts w:ascii="Carlito"/>
                <w:color w:val="231F20"/>
                <w:w w:val="95"/>
                <w:sz w:val="21"/>
              </w:rPr>
              <w:t>36M</w:t>
            </w:r>
          </w:p>
        </w:tc>
        <w:tc>
          <w:tcPr>
            <w:tcW w:w="272" w:type="dxa"/>
            <w:tcBorders>
              <w:top w:val="single" w:sz="6" w:space="0" w:color="231F20"/>
              <w:left w:val="single" w:sz="4" w:space="0" w:color="231F20"/>
              <w:bottom w:val="single" w:sz="6" w:space="0" w:color="231F20"/>
              <w:right w:val="nil"/>
            </w:tcBorders>
          </w:tcPr>
          <w:p w14:paraId="41E63E74" w14:textId="77777777" w:rsidR="009948F1" w:rsidRDefault="00BC0563">
            <w:pPr>
              <w:pStyle w:val="TableParagraph"/>
              <w:spacing w:before="183"/>
              <w:ind w:right="29"/>
              <w:jc w:val="right"/>
              <w:rPr>
                <w:sz w:val="21"/>
              </w:rPr>
            </w:pPr>
            <w:r>
              <w:rPr>
                <w:color w:val="231F20"/>
                <w:w w:val="74"/>
                <w:sz w:val="21"/>
              </w:rPr>
              <w:t>?</w:t>
            </w:r>
          </w:p>
        </w:tc>
        <w:tc>
          <w:tcPr>
            <w:tcW w:w="846" w:type="dxa"/>
            <w:tcBorders>
              <w:top w:val="single" w:sz="6" w:space="0" w:color="231F20"/>
              <w:left w:val="nil"/>
              <w:bottom w:val="single" w:sz="6" w:space="0" w:color="231F20"/>
              <w:right w:val="single" w:sz="8" w:space="0" w:color="231F20"/>
            </w:tcBorders>
          </w:tcPr>
          <w:p w14:paraId="38F6D0F7" w14:textId="77777777" w:rsidR="009948F1" w:rsidRDefault="00BC0563">
            <w:pPr>
              <w:pStyle w:val="TableParagraph"/>
              <w:spacing w:before="180"/>
              <w:ind w:left="48"/>
              <w:rPr>
                <w:rFonts w:ascii="Carlito"/>
                <w:sz w:val="21"/>
              </w:rPr>
            </w:pPr>
            <w:r>
              <w:rPr>
                <w:rFonts w:ascii="Carlito"/>
                <w:color w:val="231F20"/>
                <w:sz w:val="21"/>
              </w:rPr>
              <w:t>194M</w:t>
            </w:r>
          </w:p>
        </w:tc>
        <w:tc>
          <w:tcPr>
            <w:tcW w:w="812" w:type="dxa"/>
            <w:tcBorders>
              <w:top w:val="single" w:sz="6" w:space="0" w:color="231F20"/>
              <w:left w:val="single" w:sz="8" w:space="0" w:color="231F20"/>
              <w:bottom w:val="single" w:sz="6" w:space="0" w:color="231F20"/>
              <w:right w:val="single" w:sz="8" w:space="0" w:color="231F20"/>
            </w:tcBorders>
          </w:tcPr>
          <w:p w14:paraId="6FBB71FD" w14:textId="77777777" w:rsidR="009948F1" w:rsidRDefault="00BC0563">
            <w:pPr>
              <w:pStyle w:val="TableParagraph"/>
              <w:spacing w:before="180"/>
              <w:ind w:left="100"/>
              <w:rPr>
                <w:rFonts w:ascii="Carlito"/>
                <w:b/>
                <w:sz w:val="21"/>
              </w:rPr>
            </w:pPr>
            <w:r>
              <w:rPr>
                <w:rFonts w:ascii="Carlito"/>
                <w:b/>
                <w:color w:val="231F20"/>
                <w:sz w:val="21"/>
              </w:rPr>
              <w:t>0.1%</w:t>
            </w:r>
          </w:p>
        </w:tc>
      </w:tr>
      <w:tr w:rsidR="009948F1" w14:paraId="2EDBBE1E" w14:textId="77777777">
        <w:trPr>
          <w:trHeight w:val="258"/>
        </w:trPr>
        <w:tc>
          <w:tcPr>
            <w:tcW w:w="1732" w:type="dxa"/>
            <w:tcBorders>
              <w:top w:val="single" w:sz="6" w:space="0" w:color="231F20"/>
              <w:left w:val="single" w:sz="8" w:space="0" w:color="231F20"/>
              <w:right w:val="single" w:sz="4" w:space="0" w:color="231F20"/>
            </w:tcBorders>
            <w:shd w:val="clear" w:color="auto" w:fill="F1F2F2"/>
          </w:tcPr>
          <w:p w14:paraId="740AC621" w14:textId="77777777" w:rsidR="009948F1" w:rsidRDefault="00BC0563">
            <w:pPr>
              <w:pStyle w:val="TableParagraph"/>
              <w:spacing w:before="35" w:line="203" w:lineRule="exact"/>
              <w:ind w:left="203"/>
              <w:rPr>
                <w:b/>
                <w:sz w:val="19"/>
              </w:rPr>
            </w:pPr>
            <w:r>
              <w:rPr>
                <w:b/>
                <w:color w:val="231F20"/>
                <w:sz w:val="19"/>
              </w:rPr>
              <w:t>Governance</w:t>
            </w:r>
          </w:p>
        </w:tc>
        <w:tc>
          <w:tcPr>
            <w:tcW w:w="271" w:type="dxa"/>
            <w:tcBorders>
              <w:top w:val="single" w:sz="6" w:space="0" w:color="231F20"/>
              <w:left w:val="single" w:sz="4" w:space="0" w:color="231F20"/>
              <w:right w:val="nil"/>
            </w:tcBorders>
            <w:shd w:val="clear" w:color="auto" w:fill="F1F2F2"/>
          </w:tcPr>
          <w:p w14:paraId="5C5FCB49" w14:textId="77777777" w:rsidR="009948F1" w:rsidRDefault="00BC0563">
            <w:pPr>
              <w:pStyle w:val="TableParagraph"/>
              <w:spacing w:before="6" w:line="232" w:lineRule="exact"/>
              <w:ind w:right="28"/>
              <w:jc w:val="right"/>
              <w:rPr>
                <w:sz w:val="21"/>
              </w:rPr>
            </w:pPr>
            <w:r>
              <w:rPr>
                <w:color w:val="231F20"/>
                <w:w w:val="74"/>
                <w:sz w:val="21"/>
              </w:rPr>
              <w:t>?</w:t>
            </w:r>
          </w:p>
        </w:tc>
        <w:tc>
          <w:tcPr>
            <w:tcW w:w="932" w:type="dxa"/>
            <w:tcBorders>
              <w:top w:val="single" w:sz="6" w:space="0" w:color="231F20"/>
              <w:left w:val="nil"/>
              <w:right w:val="single" w:sz="4" w:space="0" w:color="231F20"/>
            </w:tcBorders>
            <w:shd w:val="clear" w:color="auto" w:fill="F1F2F2"/>
          </w:tcPr>
          <w:p w14:paraId="62068D8E" w14:textId="77777777" w:rsidR="009948F1" w:rsidRDefault="00BC0563">
            <w:pPr>
              <w:pStyle w:val="TableParagraph"/>
              <w:spacing w:before="3" w:line="235" w:lineRule="exact"/>
              <w:ind w:left="49"/>
              <w:rPr>
                <w:rFonts w:ascii="Carlito"/>
                <w:sz w:val="21"/>
              </w:rPr>
            </w:pPr>
            <w:r>
              <w:rPr>
                <w:rFonts w:ascii="Carlito"/>
                <w:color w:val="231F20"/>
                <w:sz w:val="21"/>
              </w:rPr>
              <w:t>54M</w:t>
            </w:r>
          </w:p>
        </w:tc>
        <w:tc>
          <w:tcPr>
            <w:tcW w:w="311" w:type="dxa"/>
            <w:tcBorders>
              <w:top w:val="single" w:sz="6" w:space="0" w:color="231F20"/>
              <w:left w:val="single" w:sz="4" w:space="0" w:color="231F20"/>
              <w:right w:val="nil"/>
            </w:tcBorders>
            <w:shd w:val="clear" w:color="auto" w:fill="F1F2F2"/>
          </w:tcPr>
          <w:p w14:paraId="307158DA" w14:textId="77777777" w:rsidR="009948F1" w:rsidRDefault="00BC0563">
            <w:pPr>
              <w:pStyle w:val="TableParagraph"/>
              <w:spacing w:before="6" w:line="232" w:lineRule="exact"/>
              <w:ind w:right="67"/>
              <w:jc w:val="right"/>
              <w:rPr>
                <w:sz w:val="21"/>
              </w:rPr>
            </w:pPr>
            <w:r>
              <w:rPr>
                <w:color w:val="231F20"/>
                <w:w w:val="74"/>
                <w:sz w:val="21"/>
              </w:rPr>
              <w:t>?</w:t>
            </w:r>
          </w:p>
        </w:tc>
        <w:tc>
          <w:tcPr>
            <w:tcW w:w="896" w:type="dxa"/>
            <w:tcBorders>
              <w:top w:val="single" w:sz="6" w:space="0" w:color="231F20"/>
              <w:left w:val="nil"/>
              <w:right w:val="single" w:sz="4" w:space="0" w:color="231F20"/>
            </w:tcBorders>
            <w:shd w:val="clear" w:color="auto" w:fill="F1F2F2"/>
          </w:tcPr>
          <w:p w14:paraId="076A7BFD" w14:textId="77777777" w:rsidR="009948F1" w:rsidRDefault="00BC0563">
            <w:pPr>
              <w:pStyle w:val="TableParagraph"/>
              <w:spacing w:before="3" w:line="235" w:lineRule="exact"/>
              <w:ind w:left="10"/>
              <w:rPr>
                <w:rFonts w:ascii="Carlito"/>
                <w:sz w:val="21"/>
              </w:rPr>
            </w:pPr>
            <w:r>
              <w:rPr>
                <w:rFonts w:ascii="Carlito"/>
                <w:color w:val="231F20"/>
                <w:sz w:val="21"/>
              </w:rPr>
              <w:t>88M</w:t>
            </w:r>
          </w:p>
        </w:tc>
        <w:tc>
          <w:tcPr>
            <w:tcW w:w="272" w:type="dxa"/>
            <w:tcBorders>
              <w:top w:val="single" w:sz="6" w:space="0" w:color="231F20"/>
              <w:left w:val="single" w:sz="4" w:space="0" w:color="231F20"/>
              <w:right w:val="nil"/>
            </w:tcBorders>
            <w:shd w:val="clear" w:color="auto" w:fill="F1F2F2"/>
          </w:tcPr>
          <w:p w14:paraId="1B2355C1" w14:textId="77777777" w:rsidR="009948F1" w:rsidRDefault="00BC0563">
            <w:pPr>
              <w:pStyle w:val="TableParagraph"/>
              <w:spacing w:before="6" w:line="232" w:lineRule="exact"/>
              <w:ind w:right="28"/>
              <w:jc w:val="right"/>
              <w:rPr>
                <w:sz w:val="21"/>
              </w:rPr>
            </w:pPr>
            <w:r>
              <w:rPr>
                <w:color w:val="231F20"/>
                <w:w w:val="74"/>
                <w:sz w:val="21"/>
              </w:rPr>
              <w:t>?</w:t>
            </w:r>
          </w:p>
        </w:tc>
        <w:tc>
          <w:tcPr>
            <w:tcW w:w="969" w:type="dxa"/>
            <w:tcBorders>
              <w:top w:val="single" w:sz="6" w:space="0" w:color="231F20"/>
              <w:left w:val="nil"/>
              <w:right w:val="single" w:sz="4" w:space="0" w:color="231F20"/>
            </w:tcBorders>
            <w:shd w:val="clear" w:color="auto" w:fill="F1F2F2"/>
          </w:tcPr>
          <w:p w14:paraId="359D9379" w14:textId="77777777" w:rsidR="009948F1" w:rsidRDefault="00BC0563">
            <w:pPr>
              <w:pStyle w:val="TableParagraph"/>
              <w:spacing w:before="3" w:line="235" w:lineRule="exact"/>
              <w:ind w:left="49"/>
              <w:rPr>
                <w:rFonts w:ascii="Carlito"/>
                <w:sz w:val="21"/>
              </w:rPr>
            </w:pPr>
            <w:r>
              <w:rPr>
                <w:rFonts w:ascii="Carlito"/>
                <w:color w:val="231F20"/>
                <w:sz w:val="21"/>
              </w:rPr>
              <w:t>58M</w:t>
            </w:r>
          </w:p>
        </w:tc>
        <w:tc>
          <w:tcPr>
            <w:tcW w:w="1009" w:type="dxa"/>
            <w:tcBorders>
              <w:top w:val="single" w:sz="6" w:space="0" w:color="231F20"/>
              <w:left w:val="single" w:sz="4" w:space="0" w:color="231F20"/>
              <w:right w:val="single" w:sz="4" w:space="0" w:color="231F20"/>
            </w:tcBorders>
            <w:shd w:val="clear" w:color="auto" w:fill="F1F2F2"/>
          </w:tcPr>
          <w:p w14:paraId="792F51EF" w14:textId="77777777" w:rsidR="009948F1" w:rsidRDefault="00BC0563">
            <w:pPr>
              <w:pStyle w:val="TableParagraph"/>
              <w:spacing w:before="3" w:line="235" w:lineRule="exact"/>
              <w:ind w:left="148"/>
              <w:rPr>
                <w:rFonts w:ascii="Carlito"/>
                <w:sz w:val="21"/>
              </w:rPr>
            </w:pPr>
            <w:r>
              <w:rPr>
                <w:color w:val="231F20"/>
                <w:w w:val="95"/>
                <w:sz w:val="21"/>
              </w:rPr>
              <w:t xml:space="preserve">? </w:t>
            </w:r>
            <w:r>
              <w:rPr>
                <w:rFonts w:ascii="Carlito"/>
                <w:color w:val="231F20"/>
                <w:w w:val="95"/>
                <w:sz w:val="21"/>
              </w:rPr>
              <w:t>61M</w:t>
            </w:r>
          </w:p>
        </w:tc>
        <w:tc>
          <w:tcPr>
            <w:tcW w:w="1009" w:type="dxa"/>
            <w:tcBorders>
              <w:top w:val="single" w:sz="6" w:space="0" w:color="231F20"/>
              <w:left w:val="single" w:sz="4" w:space="0" w:color="231F20"/>
              <w:right w:val="single" w:sz="4" w:space="0" w:color="231F20"/>
            </w:tcBorders>
            <w:shd w:val="clear" w:color="auto" w:fill="F1F2F2"/>
          </w:tcPr>
          <w:p w14:paraId="27673AE2" w14:textId="77777777" w:rsidR="009948F1" w:rsidRDefault="00BC0563">
            <w:pPr>
              <w:pStyle w:val="TableParagraph"/>
              <w:spacing w:before="3" w:line="235" w:lineRule="exact"/>
              <w:ind w:left="148"/>
              <w:rPr>
                <w:rFonts w:ascii="Carlito"/>
                <w:sz w:val="21"/>
              </w:rPr>
            </w:pPr>
            <w:r>
              <w:rPr>
                <w:color w:val="231F20"/>
                <w:w w:val="95"/>
                <w:sz w:val="21"/>
              </w:rPr>
              <w:t xml:space="preserve">? </w:t>
            </w:r>
            <w:r>
              <w:rPr>
                <w:rFonts w:ascii="Carlito"/>
                <w:color w:val="231F20"/>
                <w:w w:val="95"/>
                <w:sz w:val="21"/>
              </w:rPr>
              <w:t>56M</w:t>
            </w:r>
          </w:p>
        </w:tc>
        <w:tc>
          <w:tcPr>
            <w:tcW w:w="272" w:type="dxa"/>
            <w:tcBorders>
              <w:top w:val="single" w:sz="6" w:space="0" w:color="231F20"/>
              <w:left w:val="single" w:sz="4" w:space="0" w:color="231F20"/>
              <w:right w:val="nil"/>
            </w:tcBorders>
            <w:shd w:val="clear" w:color="auto" w:fill="F1F2F2"/>
          </w:tcPr>
          <w:p w14:paraId="3E4AA9B9" w14:textId="77777777" w:rsidR="009948F1" w:rsidRDefault="00BC0563">
            <w:pPr>
              <w:pStyle w:val="TableParagraph"/>
              <w:spacing w:before="6" w:line="232" w:lineRule="exact"/>
              <w:ind w:right="29"/>
              <w:jc w:val="right"/>
              <w:rPr>
                <w:sz w:val="21"/>
              </w:rPr>
            </w:pPr>
            <w:r>
              <w:rPr>
                <w:color w:val="231F20"/>
                <w:w w:val="74"/>
                <w:sz w:val="21"/>
              </w:rPr>
              <w:t>?</w:t>
            </w:r>
          </w:p>
        </w:tc>
        <w:tc>
          <w:tcPr>
            <w:tcW w:w="846" w:type="dxa"/>
            <w:tcBorders>
              <w:top w:val="single" w:sz="6" w:space="0" w:color="231F20"/>
              <w:left w:val="nil"/>
              <w:right w:val="single" w:sz="8" w:space="0" w:color="231F20"/>
            </w:tcBorders>
            <w:shd w:val="clear" w:color="auto" w:fill="F1F2F2"/>
          </w:tcPr>
          <w:p w14:paraId="515DEBD5" w14:textId="77777777" w:rsidR="009948F1" w:rsidRDefault="00BC0563">
            <w:pPr>
              <w:pStyle w:val="TableParagraph"/>
              <w:spacing w:before="3" w:line="235" w:lineRule="exact"/>
              <w:ind w:left="48"/>
              <w:rPr>
                <w:rFonts w:ascii="Carlito"/>
                <w:sz w:val="21"/>
              </w:rPr>
            </w:pPr>
            <w:r>
              <w:rPr>
                <w:rFonts w:ascii="Carlito"/>
                <w:color w:val="231F20"/>
                <w:sz w:val="21"/>
              </w:rPr>
              <w:t>318M</w:t>
            </w:r>
          </w:p>
        </w:tc>
        <w:tc>
          <w:tcPr>
            <w:tcW w:w="812" w:type="dxa"/>
            <w:tcBorders>
              <w:top w:val="single" w:sz="6" w:space="0" w:color="231F20"/>
              <w:left w:val="single" w:sz="8" w:space="0" w:color="231F20"/>
              <w:right w:val="single" w:sz="8" w:space="0" w:color="231F20"/>
            </w:tcBorders>
            <w:shd w:val="clear" w:color="auto" w:fill="F1F2F2"/>
          </w:tcPr>
          <w:p w14:paraId="1B2D2B1D" w14:textId="77777777" w:rsidR="009948F1" w:rsidRDefault="00BC0563">
            <w:pPr>
              <w:pStyle w:val="TableParagraph"/>
              <w:spacing w:before="3" w:line="235" w:lineRule="exact"/>
              <w:ind w:left="100"/>
              <w:rPr>
                <w:rFonts w:ascii="Carlito"/>
                <w:b/>
                <w:sz w:val="21"/>
              </w:rPr>
            </w:pPr>
            <w:r>
              <w:rPr>
                <w:rFonts w:ascii="Carlito"/>
                <w:b/>
                <w:color w:val="231F20"/>
                <w:sz w:val="21"/>
              </w:rPr>
              <w:t>0.1%</w:t>
            </w:r>
          </w:p>
        </w:tc>
      </w:tr>
      <w:tr w:rsidR="009948F1" w14:paraId="1770E0E5" w14:textId="77777777">
        <w:trPr>
          <w:trHeight w:val="521"/>
        </w:trPr>
        <w:tc>
          <w:tcPr>
            <w:tcW w:w="1732" w:type="dxa"/>
            <w:tcBorders>
              <w:left w:val="single" w:sz="4" w:space="0" w:color="231F20"/>
              <w:right w:val="single" w:sz="4" w:space="0" w:color="231F20"/>
            </w:tcBorders>
            <w:shd w:val="clear" w:color="auto" w:fill="DCDDDE"/>
          </w:tcPr>
          <w:p w14:paraId="3F1962C9" w14:textId="77777777" w:rsidR="009948F1" w:rsidRDefault="00BC0563">
            <w:pPr>
              <w:pStyle w:val="TableParagraph"/>
              <w:spacing w:before="44" w:line="225" w:lineRule="auto"/>
              <w:ind w:left="106" w:right="462"/>
              <w:rPr>
                <w:b/>
                <w:sz w:val="19"/>
              </w:rPr>
            </w:pPr>
            <w:r>
              <w:rPr>
                <w:b/>
                <w:color w:val="231F20"/>
                <w:w w:val="95"/>
                <w:sz w:val="19"/>
              </w:rPr>
              <w:t xml:space="preserve">SHDP II Total </w:t>
            </w:r>
            <w:r>
              <w:rPr>
                <w:b/>
                <w:color w:val="231F20"/>
                <w:sz w:val="19"/>
              </w:rPr>
              <w:t>Cost</w:t>
            </w:r>
          </w:p>
        </w:tc>
        <w:tc>
          <w:tcPr>
            <w:tcW w:w="271" w:type="dxa"/>
            <w:tcBorders>
              <w:left w:val="single" w:sz="4" w:space="0" w:color="231F20"/>
              <w:right w:val="nil"/>
            </w:tcBorders>
            <w:shd w:val="clear" w:color="auto" w:fill="DCDDDE"/>
          </w:tcPr>
          <w:p w14:paraId="4BEF8359" w14:textId="77777777" w:rsidR="009948F1" w:rsidRDefault="00BC0563">
            <w:pPr>
              <w:pStyle w:val="TableParagraph"/>
              <w:spacing w:before="118"/>
              <w:ind w:right="29"/>
              <w:jc w:val="right"/>
              <w:rPr>
                <w:rFonts w:ascii="BABEL Unicode"/>
                <w:b/>
                <w:sz w:val="21"/>
              </w:rPr>
            </w:pPr>
            <w:r>
              <w:rPr>
                <w:rFonts w:ascii="BABEL Unicode"/>
                <w:b/>
                <w:color w:val="231F20"/>
                <w:w w:val="89"/>
                <w:sz w:val="21"/>
              </w:rPr>
              <w:t>?</w:t>
            </w:r>
          </w:p>
        </w:tc>
        <w:tc>
          <w:tcPr>
            <w:tcW w:w="932" w:type="dxa"/>
            <w:tcBorders>
              <w:left w:val="nil"/>
              <w:right w:val="single" w:sz="4" w:space="0" w:color="231F20"/>
            </w:tcBorders>
            <w:shd w:val="clear" w:color="auto" w:fill="DCDDDE"/>
          </w:tcPr>
          <w:p w14:paraId="3E8ECE5D" w14:textId="77777777" w:rsidR="009948F1" w:rsidRDefault="00BC0563">
            <w:pPr>
              <w:pStyle w:val="TableParagraph"/>
              <w:spacing w:before="134"/>
              <w:ind w:left="57"/>
              <w:rPr>
                <w:rFonts w:ascii="Carlito"/>
                <w:b/>
                <w:sz w:val="21"/>
              </w:rPr>
            </w:pPr>
            <w:r>
              <w:rPr>
                <w:rFonts w:ascii="Carlito"/>
                <w:b/>
                <w:color w:val="231F20"/>
                <w:sz w:val="21"/>
              </w:rPr>
              <w:t>33,573M</w:t>
            </w:r>
          </w:p>
        </w:tc>
        <w:tc>
          <w:tcPr>
            <w:tcW w:w="311" w:type="dxa"/>
            <w:tcBorders>
              <w:left w:val="single" w:sz="4" w:space="0" w:color="231F20"/>
              <w:right w:val="nil"/>
            </w:tcBorders>
            <w:shd w:val="clear" w:color="auto" w:fill="DCDDDE"/>
          </w:tcPr>
          <w:p w14:paraId="078FA83F" w14:textId="77777777" w:rsidR="009948F1" w:rsidRDefault="00BC0563">
            <w:pPr>
              <w:pStyle w:val="TableParagraph"/>
              <w:spacing w:before="118"/>
              <w:ind w:right="68"/>
              <w:jc w:val="right"/>
              <w:rPr>
                <w:rFonts w:ascii="BABEL Unicode"/>
                <w:b/>
                <w:sz w:val="21"/>
              </w:rPr>
            </w:pPr>
            <w:r>
              <w:rPr>
                <w:rFonts w:ascii="BABEL Unicode"/>
                <w:b/>
                <w:color w:val="231F20"/>
                <w:w w:val="89"/>
                <w:sz w:val="21"/>
              </w:rPr>
              <w:t>?</w:t>
            </w:r>
          </w:p>
        </w:tc>
        <w:tc>
          <w:tcPr>
            <w:tcW w:w="896" w:type="dxa"/>
            <w:tcBorders>
              <w:left w:val="nil"/>
              <w:right w:val="single" w:sz="4" w:space="0" w:color="231F20"/>
            </w:tcBorders>
            <w:shd w:val="clear" w:color="auto" w:fill="DCDDDE"/>
          </w:tcPr>
          <w:p w14:paraId="2D361FED" w14:textId="77777777" w:rsidR="009948F1" w:rsidRDefault="00BC0563">
            <w:pPr>
              <w:pStyle w:val="TableParagraph"/>
              <w:spacing w:before="134"/>
              <w:ind w:left="18"/>
              <w:rPr>
                <w:rFonts w:ascii="Carlito"/>
                <w:b/>
                <w:sz w:val="21"/>
              </w:rPr>
            </w:pPr>
            <w:r>
              <w:rPr>
                <w:rFonts w:ascii="Carlito"/>
                <w:b/>
                <w:color w:val="231F20"/>
                <w:sz w:val="21"/>
              </w:rPr>
              <w:t>38,628M</w:t>
            </w:r>
          </w:p>
        </w:tc>
        <w:tc>
          <w:tcPr>
            <w:tcW w:w="272" w:type="dxa"/>
            <w:tcBorders>
              <w:left w:val="single" w:sz="4" w:space="0" w:color="231F20"/>
              <w:right w:val="nil"/>
            </w:tcBorders>
            <w:shd w:val="clear" w:color="auto" w:fill="DCDDDE"/>
          </w:tcPr>
          <w:p w14:paraId="107392EE" w14:textId="77777777" w:rsidR="009948F1" w:rsidRDefault="00BC0563">
            <w:pPr>
              <w:pStyle w:val="TableParagraph"/>
              <w:spacing w:before="118"/>
              <w:ind w:right="30"/>
              <w:jc w:val="right"/>
              <w:rPr>
                <w:rFonts w:ascii="BABEL Unicode"/>
                <w:b/>
                <w:sz w:val="21"/>
              </w:rPr>
            </w:pPr>
            <w:r>
              <w:rPr>
                <w:rFonts w:ascii="BABEL Unicode"/>
                <w:b/>
                <w:color w:val="231F20"/>
                <w:w w:val="89"/>
                <w:sz w:val="21"/>
              </w:rPr>
              <w:t>?</w:t>
            </w:r>
          </w:p>
        </w:tc>
        <w:tc>
          <w:tcPr>
            <w:tcW w:w="969" w:type="dxa"/>
            <w:tcBorders>
              <w:left w:val="nil"/>
              <w:right w:val="single" w:sz="4" w:space="0" w:color="231F20"/>
            </w:tcBorders>
            <w:shd w:val="clear" w:color="auto" w:fill="DCDDDE"/>
          </w:tcPr>
          <w:p w14:paraId="3CD8610B" w14:textId="77777777" w:rsidR="009948F1" w:rsidRDefault="00BC0563">
            <w:pPr>
              <w:pStyle w:val="TableParagraph"/>
              <w:spacing w:before="134"/>
              <w:ind w:left="56"/>
              <w:rPr>
                <w:rFonts w:ascii="Carlito"/>
                <w:b/>
                <w:sz w:val="21"/>
              </w:rPr>
            </w:pPr>
            <w:r>
              <w:rPr>
                <w:rFonts w:ascii="Carlito"/>
                <w:b/>
                <w:color w:val="231F20"/>
                <w:sz w:val="21"/>
              </w:rPr>
              <w:t>44,542M</w:t>
            </w:r>
          </w:p>
        </w:tc>
        <w:tc>
          <w:tcPr>
            <w:tcW w:w="1009" w:type="dxa"/>
            <w:tcBorders>
              <w:left w:val="single" w:sz="4" w:space="0" w:color="231F20"/>
              <w:right w:val="single" w:sz="4" w:space="0" w:color="231F20"/>
            </w:tcBorders>
            <w:shd w:val="clear" w:color="auto" w:fill="DCDDDE"/>
          </w:tcPr>
          <w:p w14:paraId="540FBFC2" w14:textId="77777777" w:rsidR="009948F1" w:rsidRDefault="00BC0563">
            <w:pPr>
              <w:pStyle w:val="TableParagraph"/>
              <w:spacing w:line="266" w:lineRule="exact"/>
              <w:ind w:left="148"/>
              <w:rPr>
                <w:rFonts w:ascii="BABEL Unicode"/>
                <w:b/>
                <w:sz w:val="21"/>
              </w:rPr>
            </w:pPr>
            <w:r>
              <w:rPr>
                <w:rFonts w:ascii="BABEL Unicode"/>
                <w:b/>
                <w:color w:val="231F20"/>
                <w:w w:val="89"/>
                <w:sz w:val="21"/>
              </w:rPr>
              <w:t>?</w:t>
            </w:r>
          </w:p>
          <w:p w14:paraId="7B3C4A5E" w14:textId="77777777" w:rsidR="009948F1" w:rsidRDefault="00BC0563">
            <w:pPr>
              <w:pStyle w:val="TableParagraph"/>
              <w:spacing w:before="1" w:line="235" w:lineRule="exact"/>
              <w:ind w:left="105"/>
              <w:rPr>
                <w:rFonts w:ascii="Carlito"/>
                <w:b/>
                <w:sz w:val="21"/>
              </w:rPr>
            </w:pPr>
            <w:r>
              <w:rPr>
                <w:rFonts w:ascii="Carlito"/>
                <w:b/>
                <w:color w:val="231F20"/>
                <w:sz w:val="21"/>
              </w:rPr>
              <w:t>49,328M</w:t>
            </w:r>
          </w:p>
        </w:tc>
        <w:tc>
          <w:tcPr>
            <w:tcW w:w="1009" w:type="dxa"/>
            <w:tcBorders>
              <w:left w:val="single" w:sz="4" w:space="0" w:color="231F20"/>
              <w:right w:val="single" w:sz="4" w:space="0" w:color="231F20"/>
            </w:tcBorders>
            <w:shd w:val="clear" w:color="auto" w:fill="DCDDDE"/>
          </w:tcPr>
          <w:p w14:paraId="52FDF0A2" w14:textId="77777777" w:rsidR="009948F1" w:rsidRDefault="00BC0563">
            <w:pPr>
              <w:pStyle w:val="TableParagraph"/>
              <w:spacing w:line="266" w:lineRule="exact"/>
              <w:ind w:left="148"/>
              <w:rPr>
                <w:rFonts w:ascii="BABEL Unicode"/>
                <w:b/>
                <w:sz w:val="21"/>
              </w:rPr>
            </w:pPr>
            <w:r>
              <w:rPr>
                <w:rFonts w:ascii="BABEL Unicode"/>
                <w:b/>
                <w:color w:val="231F20"/>
                <w:w w:val="89"/>
                <w:sz w:val="21"/>
              </w:rPr>
              <w:t>?</w:t>
            </w:r>
          </w:p>
          <w:p w14:paraId="730553AF" w14:textId="77777777" w:rsidR="009948F1" w:rsidRDefault="00BC0563">
            <w:pPr>
              <w:pStyle w:val="TableParagraph"/>
              <w:spacing w:before="1" w:line="235" w:lineRule="exact"/>
              <w:ind w:left="105"/>
              <w:rPr>
                <w:rFonts w:ascii="Carlito"/>
                <w:b/>
                <w:sz w:val="21"/>
              </w:rPr>
            </w:pPr>
            <w:r>
              <w:rPr>
                <w:rFonts w:ascii="Carlito"/>
                <w:b/>
                <w:color w:val="231F20"/>
                <w:sz w:val="21"/>
              </w:rPr>
              <w:t>54,118M</w:t>
            </w:r>
          </w:p>
        </w:tc>
        <w:tc>
          <w:tcPr>
            <w:tcW w:w="1118" w:type="dxa"/>
            <w:gridSpan w:val="2"/>
            <w:tcBorders>
              <w:left w:val="single" w:sz="4" w:space="0" w:color="231F20"/>
              <w:right w:val="single" w:sz="8" w:space="0" w:color="231F20"/>
            </w:tcBorders>
            <w:shd w:val="clear" w:color="auto" w:fill="DCDDDE"/>
          </w:tcPr>
          <w:p w14:paraId="2E6862CD" w14:textId="77777777" w:rsidR="009948F1" w:rsidRDefault="00BC0563">
            <w:pPr>
              <w:pStyle w:val="TableParagraph"/>
              <w:spacing w:line="266" w:lineRule="exact"/>
              <w:ind w:left="148"/>
              <w:rPr>
                <w:rFonts w:ascii="BABEL Unicode"/>
                <w:b/>
                <w:sz w:val="21"/>
              </w:rPr>
            </w:pPr>
            <w:r>
              <w:rPr>
                <w:rFonts w:ascii="BABEL Unicode"/>
                <w:b/>
                <w:color w:val="231F20"/>
                <w:w w:val="89"/>
                <w:sz w:val="21"/>
              </w:rPr>
              <w:t>?</w:t>
            </w:r>
          </w:p>
          <w:p w14:paraId="75A3209F" w14:textId="77777777" w:rsidR="009948F1" w:rsidRDefault="00BC0563">
            <w:pPr>
              <w:pStyle w:val="TableParagraph"/>
              <w:spacing w:before="1" w:line="235" w:lineRule="exact"/>
              <w:ind w:left="105"/>
              <w:rPr>
                <w:rFonts w:ascii="Carlito"/>
                <w:b/>
                <w:sz w:val="21"/>
              </w:rPr>
            </w:pPr>
            <w:r>
              <w:rPr>
                <w:rFonts w:ascii="Carlito"/>
                <w:b/>
                <w:color w:val="231F20"/>
                <w:sz w:val="21"/>
              </w:rPr>
              <w:t>220,189M</w:t>
            </w:r>
          </w:p>
        </w:tc>
        <w:tc>
          <w:tcPr>
            <w:tcW w:w="812" w:type="dxa"/>
            <w:tcBorders>
              <w:left w:val="single" w:sz="8" w:space="0" w:color="231F20"/>
              <w:bottom w:val="nil"/>
              <w:right w:val="nil"/>
            </w:tcBorders>
          </w:tcPr>
          <w:p w14:paraId="0E275EEA" w14:textId="77777777" w:rsidR="009948F1" w:rsidRDefault="009948F1">
            <w:pPr>
              <w:pStyle w:val="TableParagraph"/>
              <w:rPr>
                <w:rFonts w:ascii="Times New Roman"/>
                <w:sz w:val="18"/>
              </w:rPr>
            </w:pPr>
          </w:p>
        </w:tc>
      </w:tr>
    </w:tbl>
    <w:p w14:paraId="60707945" w14:textId="77777777" w:rsidR="009948F1" w:rsidRDefault="009948F1">
      <w:pPr>
        <w:pStyle w:val="BodyText"/>
        <w:rPr>
          <w:b/>
          <w:i/>
          <w:sz w:val="20"/>
        </w:rPr>
      </w:pPr>
    </w:p>
    <w:p w14:paraId="55E9423A" w14:textId="77777777" w:rsidR="009948F1" w:rsidRDefault="009948F1">
      <w:pPr>
        <w:pStyle w:val="BodyText"/>
        <w:spacing w:before="2"/>
        <w:rPr>
          <w:b/>
          <w:i/>
          <w:sz w:val="27"/>
        </w:rPr>
      </w:pPr>
    </w:p>
    <w:p w14:paraId="709E9611" w14:textId="77777777" w:rsidR="009948F1" w:rsidRDefault="00BC0563">
      <w:pPr>
        <w:spacing w:before="68" w:line="259" w:lineRule="auto"/>
        <w:ind w:left="1040" w:hanging="890"/>
        <w:rPr>
          <w:b/>
          <w:i/>
          <w:sz w:val="20"/>
        </w:rPr>
      </w:pPr>
      <w:r>
        <w:rPr>
          <w:b/>
          <w:i/>
          <w:color w:val="231F20"/>
          <w:sz w:val="20"/>
        </w:rPr>
        <w:t>Figure 2: Distribution of Program Activity Cost for Rivers S SHDP II 2018 -2022 Essential Service Moderate Scenario</w:t>
      </w:r>
    </w:p>
    <w:p w14:paraId="0EEFF2B4" w14:textId="77777777" w:rsidR="009948F1" w:rsidRDefault="00BC0563">
      <w:pPr>
        <w:pStyle w:val="Heading6"/>
        <w:spacing w:before="168" w:line="263" w:lineRule="exact"/>
        <w:ind w:left="1065" w:right="1198"/>
        <w:jc w:val="center"/>
      </w:pPr>
      <w:r>
        <w:rPr>
          <w:color w:val="231F20"/>
        </w:rPr>
        <w:t>Distribution of program Activity Cost for Rivers SHDP II 2017.</w:t>
      </w:r>
    </w:p>
    <w:p w14:paraId="263EA5DB" w14:textId="77777777" w:rsidR="009948F1" w:rsidRDefault="00BC0563">
      <w:pPr>
        <w:spacing w:line="263" w:lineRule="exact"/>
        <w:ind w:left="1065" w:right="1198"/>
        <w:jc w:val="center"/>
        <w:rPr>
          <w:b/>
          <w:sz w:val="23"/>
        </w:rPr>
      </w:pPr>
      <w:r>
        <w:rPr>
          <w:b/>
          <w:color w:val="231F20"/>
          <w:sz w:val="23"/>
        </w:rPr>
        <w:t>2021 Essential Moderate Scenario</w:t>
      </w:r>
    </w:p>
    <w:p w14:paraId="4C6D7A74" w14:textId="77777777" w:rsidR="009948F1" w:rsidRDefault="009948F1">
      <w:pPr>
        <w:pStyle w:val="BodyText"/>
        <w:spacing w:before="4"/>
        <w:rPr>
          <w:b/>
        </w:rPr>
      </w:pPr>
    </w:p>
    <w:p w14:paraId="1EFFA150" w14:textId="77777777" w:rsidR="009948F1" w:rsidRDefault="009948F1">
      <w:pPr>
        <w:sectPr w:rsidR="009948F1">
          <w:pgSz w:w="11910" w:h="16840"/>
          <w:pgMar w:top="1340" w:right="1080" w:bottom="1420" w:left="1120" w:header="0" w:footer="1235" w:gutter="0"/>
          <w:cols w:space="720"/>
        </w:sectPr>
      </w:pPr>
    </w:p>
    <w:p w14:paraId="4FDC467D" w14:textId="77777777" w:rsidR="009948F1" w:rsidRDefault="00244DD0">
      <w:pPr>
        <w:spacing w:before="68" w:line="237" w:lineRule="auto"/>
        <w:ind w:left="1815" w:right="253"/>
        <w:jc w:val="center"/>
        <w:rPr>
          <w:b/>
          <w:sz w:val="23"/>
        </w:rPr>
      </w:pPr>
      <w:r>
        <w:pict w14:anchorId="7BDC07B9">
          <v:group id="_x0000_s2071" style="position:absolute;left:0;text-align:left;margin-left:212.6pt;margin-top:39.7pt;width:238.05pt;height:186.35pt;z-index:-35214848;mso-position-horizontal-relative:page" coordorigin="4252,794" coordsize="4761,3727">
            <v:shape id="_x0000_s2073" type="#_x0000_t75" style="position:absolute;left:4252;top:1339;width:4653;height:2639">
              <v:imagedata r:id="rId27" o:title=""/>
            </v:shape>
            <v:shape id="_x0000_s2072" style="position:absolute;left:4468;top:804;width:4535;height:3707" coordorigin="4468,804" coordsize="4535,3707" o:spt="100" adj="0,,0" path="m5844,1383l4468,804t709,789l4659,1787m6487,1317r,-455m6720,1328r1335,m8577,1879r358,500l9003,2349m8622,3475r261,-65m8352,3722r474,789e" filled="f" strokecolor="#231f20" strokeweight=".35269mm">
              <v:stroke joinstyle="round"/>
              <v:formulas/>
              <v:path arrowok="t" o:connecttype="segments"/>
            </v:shape>
            <w10:wrap anchorx="page"/>
          </v:group>
        </w:pict>
      </w:r>
      <w:r>
        <w:pict w14:anchorId="4321332D">
          <v:group id="_x0000_s2067" style="position:absolute;left:0;text-align:left;margin-left:67.9pt;margin-top:21.95pt;width:78.5pt;height:59.6pt;z-index:15742976;mso-position-horizontal-relative:page" coordorigin="1358,439" coordsize="1570,1192">
            <v:shape id="_x0000_s2070" style="position:absolute;left:1360;top:440;width:1565;height:1188" coordorigin="1361,441" coordsize="1565,1188" path="m2634,441r-1273,l1361,1628r1289,l2925,1039,2634,441xe" fillcolor="#00aeef" stroked="f">
              <v:path arrowok="t"/>
            </v:shape>
            <v:shape id="_x0000_s2069" style="position:absolute;left:1360;top:440;width:1565;height:1188" coordorigin="1361,441" coordsize="1565,1188" path="m1361,441r,1187l2650,1628r275,-589l2634,441r-1273,xe" filled="f" strokecolor="#00aeef" strokeweight=".07619mm">
              <v:path arrowok="t"/>
            </v:shape>
            <v:shape id="_x0000_s2068" type="#_x0000_t202" style="position:absolute;left:1358;top:438;width:1570;height:1192" filled="f" stroked="f">
              <v:textbox inset="0,0,0,0">
                <w:txbxContent>
                  <w:p w14:paraId="6E168C78" w14:textId="77777777" w:rsidR="00080B77" w:rsidRDefault="00080B77">
                    <w:pPr>
                      <w:spacing w:before="195" w:line="232" w:lineRule="auto"/>
                      <w:ind w:left="274" w:right="269" w:hanging="1"/>
                      <w:jc w:val="center"/>
                      <w:rPr>
                        <w:b/>
                        <w:sz w:val="24"/>
                      </w:rPr>
                    </w:pPr>
                    <w:r>
                      <w:rPr>
                        <w:b/>
                        <w:color w:val="FFFFFF"/>
                        <w:sz w:val="24"/>
                      </w:rPr>
                      <w:t>1.3% of SSHDP II</w:t>
                    </w:r>
                  </w:p>
                  <w:p w14:paraId="7217BD92" w14:textId="77777777" w:rsidR="00080B77" w:rsidRDefault="00080B77">
                    <w:pPr>
                      <w:spacing w:line="270" w:lineRule="exact"/>
                      <w:ind w:left="179" w:right="177"/>
                      <w:jc w:val="center"/>
                      <w:rPr>
                        <w:b/>
                        <w:sz w:val="24"/>
                      </w:rPr>
                    </w:pPr>
                    <w:r>
                      <w:rPr>
                        <w:b/>
                        <w:color w:val="FFFFFF"/>
                        <w:sz w:val="24"/>
                      </w:rPr>
                      <w:t>Total Cost</w:t>
                    </w:r>
                  </w:p>
                </w:txbxContent>
              </v:textbox>
            </v:shape>
            <w10:wrap anchorx="page"/>
          </v:group>
        </w:pict>
      </w:r>
      <w:r w:rsidR="00BC0563">
        <w:rPr>
          <w:b/>
          <w:color w:val="231F20"/>
          <w:sz w:val="23"/>
        </w:rPr>
        <w:t xml:space="preserve">General </w:t>
      </w:r>
      <w:proofErr w:type="spellStart"/>
      <w:r w:rsidR="00BC0563">
        <w:rPr>
          <w:b/>
          <w:color w:val="231F20"/>
          <w:sz w:val="23"/>
        </w:rPr>
        <w:t>Programme</w:t>
      </w:r>
      <w:proofErr w:type="spellEnd"/>
      <w:r w:rsidR="00BC0563">
        <w:rPr>
          <w:b/>
          <w:color w:val="231F20"/>
          <w:sz w:val="23"/>
        </w:rPr>
        <w:t xml:space="preserve"> Management 9.1%</w:t>
      </w:r>
    </w:p>
    <w:p w14:paraId="50890DBD" w14:textId="77777777" w:rsidR="009948F1" w:rsidRDefault="009948F1">
      <w:pPr>
        <w:pStyle w:val="BodyText"/>
        <w:rPr>
          <w:b/>
        </w:rPr>
      </w:pPr>
    </w:p>
    <w:p w14:paraId="34E0EDD1" w14:textId="77777777" w:rsidR="009948F1" w:rsidRDefault="009948F1">
      <w:pPr>
        <w:pStyle w:val="BodyText"/>
        <w:spacing w:before="7"/>
        <w:rPr>
          <w:b/>
          <w:sz w:val="17"/>
        </w:rPr>
      </w:pPr>
    </w:p>
    <w:p w14:paraId="341042D1" w14:textId="77777777" w:rsidR="009948F1" w:rsidRDefault="00BC0563">
      <w:pPr>
        <w:ind w:left="1955"/>
        <w:rPr>
          <w:b/>
          <w:sz w:val="23"/>
        </w:rPr>
      </w:pPr>
      <w:r>
        <w:rPr>
          <w:b/>
          <w:color w:val="231F20"/>
          <w:sz w:val="23"/>
        </w:rPr>
        <w:t>Advocacy, 2.1%</w:t>
      </w:r>
    </w:p>
    <w:p w14:paraId="6EE0283C" w14:textId="77777777" w:rsidR="009948F1" w:rsidRDefault="009948F1">
      <w:pPr>
        <w:pStyle w:val="BodyText"/>
        <w:rPr>
          <w:b/>
        </w:rPr>
      </w:pPr>
    </w:p>
    <w:p w14:paraId="28747D9C" w14:textId="77777777" w:rsidR="009948F1" w:rsidRDefault="009948F1">
      <w:pPr>
        <w:pStyle w:val="BodyText"/>
        <w:rPr>
          <w:b/>
        </w:rPr>
      </w:pPr>
    </w:p>
    <w:p w14:paraId="18038E3C" w14:textId="77777777" w:rsidR="009948F1" w:rsidRDefault="009948F1">
      <w:pPr>
        <w:pStyle w:val="BodyText"/>
        <w:rPr>
          <w:b/>
        </w:rPr>
      </w:pPr>
    </w:p>
    <w:p w14:paraId="5B744EFD" w14:textId="77777777" w:rsidR="009948F1" w:rsidRDefault="009948F1">
      <w:pPr>
        <w:pStyle w:val="BodyText"/>
        <w:rPr>
          <w:b/>
        </w:rPr>
      </w:pPr>
    </w:p>
    <w:p w14:paraId="18072CC9" w14:textId="77777777" w:rsidR="009948F1" w:rsidRDefault="009948F1">
      <w:pPr>
        <w:pStyle w:val="BodyText"/>
        <w:rPr>
          <w:b/>
        </w:rPr>
      </w:pPr>
    </w:p>
    <w:p w14:paraId="664DCB92" w14:textId="77777777" w:rsidR="009948F1" w:rsidRDefault="009948F1">
      <w:pPr>
        <w:pStyle w:val="BodyText"/>
        <w:rPr>
          <w:b/>
        </w:rPr>
      </w:pPr>
    </w:p>
    <w:p w14:paraId="518794DA" w14:textId="77777777" w:rsidR="009948F1" w:rsidRDefault="009948F1">
      <w:pPr>
        <w:pStyle w:val="BodyText"/>
        <w:spacing w:before="1"/>
        <w:rPr>
          <w:b/>
          <w:sz w:val="24"/>
        </w:rPr>
      </w:pPr>
    </w:p>
    <w:p w14:paraId="59664FDA" w14:textId="77777777" w:rsidR="009948F1" w:rsidRDefault="00BC0563">
      <w:pPr>
        <w:spacing w:line="283" w:lineRule="auto"/>
        <w:ind w:left="1815" w:right="322"/>
        <w:jc w:val="center"/>
        <w:rPr>
          <w:b/>
          <w:sz w:val="20"/>
        </w:rPr>
      </w:pPr>
      <w:r>
        <w:rPr>
          <w:b/>
          <w:color w:val="231F20"/>
          <w:sz w:val="20"/>
        </w:rPr>
        <w:t>Communication, Media &amp; Outreach, 47.4%</w:t>
      </w:r>
    </w:p>
    <w:p w14:paraId="4512442C" w14:textId="77777777" w:rsidR="009948F1" w:rsidRDefault="00BC0563">
      <w:pPr>
        <w:pStyle w:val="BodyText"/>
        <w:spacing w:before="8"/>
        <w:rPr>
          <w:b/>
          <w:sz w:val="17"/>
        </w:rPr>
      </w:pPr>
      <w:r>
        <w:br w:type="column"/>
      </w:r>
    </w:p>
    <w:p w14:paraId="68CE2DFD" w14:textId="77777777" w:rsidR="009948F1" w:rsidRDefault="00BC0563">
      <w:pPr>
        <w:spacing w:line="230" w:lineRule="auto"/>
        <w:ind w:left="1503" w:right="-12" w:hanging="932"/>
        <w:rPr>
          <w:b/>
          <w:sz w:val="21"/>
        </w:rPr>
      </w:pPr>
      <w:r>
        <w:rPr>
          <w:b/>
          <w:color w:val="231F20"/>
          <w:sz w:val="21"/>
        </w:rPr>
        <w:t xml:space="preserve">Items&lt;1% of </w:t>
      </w:r>
      <w:r>
        <w:rPr>
          <w:b/>
          <w:color w:val="231F20"/>
          <w:spacing w:val="-4"/>
          <w:sz w:val="21"/>
        </w:rPr>
        <w:t xml:space="preserve">Total Cost, </w:t>
      </w:r>
      <w:r>
        <w:rPr>
          <w:b/>
          <w:color w:val="231F20"/>
          <w:sz w:val="21"/>
        </w:rPr>
        <w:t>1.4%</w:t>
      </w:r>
    </w:p>
    <w:p w14:paraId="48C7333A" w14:textId="77777777" w:rsidR="009948F1" w:rsidRDefault="00BC0563">
      <w:pPr>
        <w:pStyle w:val="BodyText"/>
        <w:rPr>
          <w:b/>
          <w:sz w:val="20"/>
        </w:rPr>
      </w:pPr>
      <w:r>
        <w:br w:type="column"/>
      </w:r>
    </w:p>
    <w:p w14:paraId="1D051CA0" w14:textId="77777777" w:rsidR="009948F1" w:rsidRDefault="009948F1">
      <w:pPr>
        <w:pStyle w:val="BodyText"/>
        <w:rPr>
          <w:b/>
          <w:sz w:val="20"/>
        </w:rPr>
      </w:pPr>
    </w:p>
    <w:p w14:paraId="6827F6D2" w14:textId="77777777" w:rsidR="009948F1" w:rsidRDefault="009948F1">
      <w:pPr>
        <w:pStyle w:val="BodyText"/>
        <w:rPr>
          <w:b/>
          <w:sz w:val="20"/>
        </w:rPr>
      </w:pPr>
    </w:p>
    <w:p w14:paraId="6034C82E" w14:textId="77777777" w:rsidR="009948F1" w:rsidRDefault="009948F1">
      <w:pPr>
        <w:pStyle w:val="BodyText"/>
        <w:spacing w:before="6"/>
        <w:rPr>
          <w:b/>
          <w:sz w:val="19"/>
        </w:rPr>
      </w:pPr>
    </w:p>
    <w:p w14:paraId="63F06A25" w14:textId="77777777" w:rsidR="009948F1" w:rsidRDefault="00BC0563">
      <w:pPr>
        <w:spacing w:line="283" w:lineRule="auto"/>
        <w:ind w:left="299" w:firstLine="189"/>
        <w:rPr>
          <w:b/>
          <w:sz w:val="20"/>
        </w:rPr>
      </w:pPr>
      <w:proofErr w:type="spellStart"/>
      <w:r>
        <w:rPr>
          <w:b/>
          <w:color w:val="231F20"/>
          <w:sz w:val="20"/>
        </w:rPr>
        <w:t>Programme</w:t>
      </w:r>
      <w:proofErr w:type="spellEnd"/>
      <w:r>
        <w:rPr>
          <w:b/>
          <w:color w:val="231F20"/>
          <w:sz w:val="20"/>
        </w:rPr>
        <w:t>-Specific Human Resources,</w:t>
      </w:r>
      <w:r>
        <w:rPr>
          <w:b/>
          <w:color w:val="231F20"/>
          <w:spacing w:val="2"/>
          <w:sz w:val="20"/>
        </w:rPr>
        <w:t xml:space="preserve"> </w:t>
      </w:r>
      <w:r>
        <w:rPr>
          <w:b/>
          <w:color w:val="231F20"/>
          <w:spacing w:val="-5"/>
          <w:sz w:val="20"/>
        </w:rPr>
        <w:t>1.6%</w:t>
      </w:r>
    </w:p>
    <w:p w14:paraId="1924FAB1" w14:textId="77777777" w:rsidR="009948F1" w:rsidRDefault="009948F1">
      <w:pPr>
        <w:pStyle w:val="BodyText"/>
        <w:rPr>
          <w:b/>
          <w:sz w:val="20"/>
        </w:rPr>
      </w:pPr>
    </w:p>
    <w:p w14:paraId="3AB20555" w14:textId="77777777" w:rsidR="009948F1" w:rsidRDefault="009948F1">
      <w:pPr>
        <w:pStyle w:val="BodyText"/>
        <w:rPr>
          <w:b/>
          <w:sz w:val="20"/>
        </w:rPr>
      </w:pPr>
    </w:p>
    <w:p w14:paraId="5A836E16" w14:textId="77777777" w:rsidR="009948F1" w:rsidRDefault="009948F1">
      <w:pPr>
        <w:pStyle w:val="BodyText"/>
        <w:spacing w:before="3"/>
        <w:rPr>
          <w:b/>
          <w:sz w:val="21"/>
        </w:rPr>
      </w:pPr>
    </w:p>
    <w:p w14:paraId="7F232485" w14:textId="77777777" w:rsidR="009948F1" w:rsidRDefault="00BC0563">
      <w:pPr>
        <w:ind w:left="1186"/>
        <w:rPr>
          <w:b/>
          <w:sz w:val="20"/>
        </w:rPr>
      </w:pPr>
      <w:r>
        <w:rPr>
          <w:b/>
          <w:color w:val="231F20"/>
          <w:sz w:val="20"/>
        </w:rPr>
        <w:t>Training,</w:t>
      </w:r>
      <w:r>
        <w:rPr>
          <w:b/>
          <w:color w:val="231F20"/>
          <w:spacing w:val="-12"/>
          <w:sz w:val="20"/>
        </w:rPr>
        <w:t xml:space="preserve"> </w:t>
      </w:r>
      <w:r>
        <w:rPr>
          <w:b/>
          <w:color w:val="231F20"/>
          <w:sz w:val="20"/>
        </w:rPr>
        <w:t>33.6%</w:t>
      </w:r>
    </w:p>
    <w:p w14:paraId="023CFD0E" w14:textId="77777777" w:rsidR="009948F1" w:rsidRDefault="009948F1">
      <w:pPr>
        <w:pStyle w:val="BodyText"/>
        <w:rPr>
          <w:b/>
          <w:sz w:val="20"/>
        </w:rPr>
      </w:pPr>
    </w:p>
    <w:p w14:paraId="78C4A393" w14:textId="77777777" w:rsidR="009948F1" w:rsidRDefault="009948F1">
      <w:pPr>
        <w:pStyle w:val="BodyText"/>
        <w:rPr>
          <w:b/>
          <w:sz w:val="20"/>
        </w:rPr>
      </w:pPr>
    </w:p>
    <w:p w14:paraId="2AC44607" w14:textId="77777777" w:rsidR="009948F1" w:rsidRDefault="009948F1">
      <w:pPr>
        <w:pStyle w:val="BodyText"/>
        <w:rPr>
          <w:b/>
          <w:sz w:val="20"/>
        </w:rPr>
      </w:pPr>
    </w:p>
    <w:p w14:paraId="46BF3C41" w14:textId="77777777" w:rsidR="009948F1" w:rsidRDefault="00BC0563">
      <w:pPr>
        <w:spacing w:before="141" w:line="283" w:lineRule="auto"/>
        <w:ind w:left="999" w:firstLine="67"/>
        <w:rPr>
          <w:b/>
          <w:sz w:val="20"/>
        </w:rPr>
      </w:pPr>
      <w:r>
        <w:rPr>
          <w:b/>
          <w:color w:val="231F20"/>
          <w:sz w:val="20"/>
        </w:rPr>
        <w:t>Monitoring and Evaluation,</w:t>
      </w:r>
      <w:r>
        <w:rPr>
          <w:b/>
          <w:color w:val="231F20"/>
          <w:spacing w:val="2"/>
          <w:sz w:val="20"/>
        </w:rPr>
        <w:t xml:space="preserve"> </w:t>
      </w:r>
      <w:r>
        <w:rPr>
          <w:b/>
          <w:color w:val="231F20"/>
          <w:spacing w:val="-5"/>
          <w:sz w:val="20"/>
        </w:rPr>
        <w:t>2.0%</w:t>
      </w:r>
    </w:p>
    <w:p w14:paraId="31776EEB" w14:textId="77777777" w:rsidR="009948F1" w:rsidRDefault="009948F1">
      <w:pPr>
        <w:pStyle w:val="BodyText"/>
        <w:rPr>
          <w:b/>
          <w:sz w:val="20"/>
        </w:rPr>
      </w:pPr>
    </w:p>
    <w:p w14:paraId="4DE6F706" w14:textId="77777777" w:rsidR="009948F1" w:rsidRDefault="009948F1">
      <w:pPr>
        <w:pStyle w:val="BodyText"/>
        <w:spacing w:before="3"/>
        <w:rPr>
          <w:b/>
          <w:sz w:val="26"/>
        </w:rPr>
      </w:pPr>
    </w:p>
    <w:p w14:paraId="309F903A" w14:textId="77777777" w:rsidR="009948F1" w:rsidRDefault="00BC0563">
      <w:pPr>
        <w:ind w:left="1036"/>
        <w:rPr>
          <w:b/>
          <w:sz w:val="20"/>
        </w:rPr>
      </w:pPr>
      <w:r>
        <w:rPr>
          <w:b/>
          <w:color w:val="231F20"/>
          <w:sz w:val="20"/>
        </w:rPr>
        <w:t>Transport,</w:t>
      </w:r>
      <w:r>
        <w:rPr>
          <w:b/>
          <w:color w:val="231F20"/>
          <w:spacing w:val="-13"/>
          <w:sz w:val="20"/>
        </w:rPr>
        <w:t xml:space="preserve"> </w:t>
      </w:r>
      <w:r>
        <w:rPr>
          <w:b/>
          <w:color w:val="231F20"/>
          <w:sz w:val="20"/>
        </w:rPr>
        <w:t>2.7%</w:t>
      </w:r>
    </w:p>
    <w:p w14:paraId="746CBBE3" w14:textId="77777777" w:rsidR="009948F1" w:rsidRDefault="009948F1">
      <w:pPr>
        <w:rPr>
          <w:sz w:val="20"/>
        </w:rPr>
        <w:sectPr w:rsidR="009948F1">
          <w:type w:val="continuous"/>
          <w:pgSz w:w="11910" w:h="16840"/>
          <w:pgMar w:top="1580" w:right="1080" w:bottom="280" w:left="1120" w:header="720" w:footer="720" w:gutter="0"/>
          <w:cols w:num="3" w:space="720" w:equalWidth="0">
            <w:col w:w="3707" w:space="40"/>
            <w:col w:w="2910" w:space="39"/>
            <w:col w:w="3014"/>
          </w:cols>
        </w:sectPr>
      </w:pPr>
    </w:p>
    <w:p w14:paraId="0A70E3DC" w14:textId="77777777" w:rsidR="009948F1" w:rsidRDefault="00BC0563">
      <w:pPr>
        <w:pStyle w:val="ListParagraph"/>
        <w:numPr>
          <w:ilvl w:val="2"/>
          <w:numId w:val="251"/>
        </w:numPr>
        <w:tabs>
          <w:tab w:val="left" w:pos="1008"/>
        </w:tabs>
        <w:spacing w:before="76" w:line="211" w:lineRule="auto"/>
        <w:ind w:left="992" w:right="2536" w:hanging="710"/>
        <w:jc w:val="left"/>
        <w:rPr>
          <w:b/>
          <w:color w:val="231F20"/>
        </w:rPr>
      </w:pPr>
      <w:bookmarkStart w:id="126" w:name="Page_105"/>
      <w:bookmarkEnd w:id="126"/>
      <w:r>
        <w:rPr>
          <w:b/>
          <w:color w:val="231F20"/>
          <w:sz w:val="20"/>
        </w:rPr>
        <w:lastRenderedPageBreak/>
        <w:t xml:space="preserve">N/SHDP II Essential Package Aggressive Scale-up Scenario </w:t>
      </w:r>
      <w:r>
        <w:rPr>
          <w:b/>
          <w:color w:val="231F20"/>
          <w:spacing w:val="-4"/>
          <w:sz w:val="20"/>
        </w:rPr>
        <w:t xml:space="preserve">cost </w:t>
      </w:r>
      <w:r>
        <w:rPr>
          <w:b/>
          <w:color w:val="231F20"/>
          <w:sz w:val="20"/>
        </w:rPr>
        <w:t>outputs</w:t>
      </w:r>
    </w:p>
    <w:p w14:paraId="27E23415" w14:textId="77777777" w:rsidR="009948F1" w:rsidRDefault="009948F1">
      <w:pPr>
        <w:pStyle w:val="BodyText"/>
        <w:rPr>
          <w:b/>
          <w:sz w:val="20"/>
        </w:rPr>
      </w:pPr>
    </w:p>
    <w:p w14:paraId="2BF4D635" w14:textId="77777777" w:rsidR="009948F1" w:rsidRDefault="00BC0563">
      <w:pPr>
        <w:spacing w:before="134" w:line="252" w:lineRule="auto"/>
        <w:ind w:left="1051" w:right="908" w:hanging="769"/>
        <w:rPr>
          <w:rFonts w:ascii="Carlito"/>
          <w:b/>
          <w:i/>
          <w:sz w:val="20"/>
        </w:rPr>
      </w:pPr>
      <w:r>
        <w:rPr>
          <w:rFonts w:ascii="Carlito"/>
          <w:b/>
          <w:i/>
          <w:color w:val="231F20"/>
          <w:sz w:val="20"/>
        </w:rPr>
        <w:t xml:space="preserve">Table 10 : Summary costs by </w:t>
      </w:r>
      <w:proofErr w:type="spellStart"/>
      <w:r>
        <w:rPr>
          <w:rFonts w:ascii="Carlito"/>
          <w:b/>
          <w:i/>
          <w:color w:val="231F20"/>
          <w:sz w:val="20"/>
        </w:rPr>
        <w:t>Programme</w:t>
      </w:r>
      <w:proofErr w:type="spellEnd"/>
      <w:r>
        <w:rPr>
          <w:rFonts w:ascii="Carlito"/>
          <w:b/>
          <w:i/>
          <w:color w:val="231F20"/>
          <w:sz w:val="20"/>
        </w:rPr>
        <w:t xml:space="preserve"> area of Rivers SHDP II 2018-2022 Essential Package Aggressive Scale-up Scenario, in Million(</w:t>
      </w:r>
      <w:r>
        <w:rPr>
          <w:rFonts w:ascii="BABEL Unicode"/>
          <w:b/>
          <w:color w:val="231F20"/>
          <w:sz w:val="20"/>
        </w:rPr>
        <w:t xml:space="preserve">? </w:t>
      </w:r>
      <w:r>
        <w:rPr>
          <w:rFonts w:ascii="Carlito"/>
          <w:b/>
          <w:i/>
          <w:color w:val="231F20"/>
          <w:sz w:val="20"/>
        </w:rPr>
        <w:t>)</w:t>
      </w:r>
    </w:p>
    <w:p w14:paraId="6ACA7B27" w14:textId="77777777" w:rsidR="009948F1" w:rsidRDefault="009948F1">
      <w:pPr>
        <w:pStyle w:val="BodyText"/>
        <w:rPr>
          <w:rFonts w:ascii="Carlito"/>
          <w:b/>
          <w:i/>
          <w:sz w:val="20"/>
        </w:rPr>
      </w:pPr>
    </w:p>
    <w:p w14:paraId="74E38771" w14:textId="77777777" w:rsidR="009948F1" w:rsidRDefault="009948F1">
      <w:pPr>
        <w:pStyle w:val="BodyText"/>
        <w:spacing w:before="4" w:after="1"/>
        <w:rPr>
          <w:rFonts w:ascii="Carlito"/>
          <w:b/>
          <w:i/>
          <w:sz w:val="20"/>
        </w:rPr>
      </w:pPr>
    </w:p>
    <w:tbl>
      <w:tblPr>
        <w:tblW w:w="0" w:type="auto"/>
        <w:tblInd w:w="4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65"/>
        <w:gridCol w:w="963"/>
        <w:gridCol w:w="961"/>
        <w:gridCol w:w="963"/>
        <w:gridCol w:w="963"/>
        <w:gridCol w:w="963"/>
        <w:gridCol w:w="1065"/>
        <w:gridCol w:w="827"/>
      </w:tblGrid>
      <w:tr w:rsidR="009948F1" w14:paraId="0F9CF2EC" w14:textId="77777777">
        <w:trPr>
          <w:trHeight w:val="429"/>
        </w:trPr>
        <w:tc>
          <w:tcPr>
            <w:tcW w:w="8043" w:type="dxa"/>
            <w:gridSpan w:val="7"/>
          </w:tcPr>
          <w:p w14:paraId="57CFF90E" w14:textId="77777777" w:rsidR="009948F1" w:rsidRDefault="00BC0563">
            <w:pPr>
              <w:pStyle w:val="TableParagraph"/>
              <w:spacing w:line="189" w:lineRule="exact"/>
              <w:ind w:left="109"/>
              <w:rPr>
                <w:b/>
                <w:sz w:val="20"/>
              </w:rPr>
            </w:pPr>
            <w:r>
              <w:rPr>
                <w:b/>
                <w:color w:val="231F20"/>
                <w:sz w:val="20"/>
              </w:rPr>
              <w:t xml:space="preserve">Summary costs by </w:t>
            </w:r>
            <w:proofErr w:type="spellStart"/>
            <w:r>
              <w:rPr>
                <w:b/>
                <w:color w:val="231F20"/>
                <w:sz w:val="20"/>
              </w:rPr>
              <w:t>Programme</w:t>
            </w:r>
            <w:proofErr w:type="spellEnd"/>
            <w:r>
              <w:rPr>
                <w:b/>
                <w:color w:val="231F20"/>
                <w:sz w:val="20"/>
              </w:rPr>
              <w:t xml:space="preserve"> area of RIVERS SSHDP II 2018-2022</w:t>
            </w:r>
          </w:p>
          <w:p w14:paraId="6092636D" w14:textId="5B23C938" w:rsidR="009948F1" w:rsidRDefault="00BC0563">
            <w:pPr>
              <w:pStyle w:val="TableParagraph"/>
              <w:spacing w:line="221" w:lineRule="exact"/>
              <w:ind w:left="109"/>
              <w:rPr>
                <w:b/>
                <w:sz w:val="20"/>
              </w:rPr>
            </w:pPr>
            <w:r>
              <w:rPr>
                <w:b/>
                <w:color w:val="231F20"/>
                <w:sz w:val="20"/>
              </w:rPr>
              <w:t>Essential Package Aggressive Scale-up Scenario, in Million</w:t>
            </w:r>
            <w:r w:rsidR="00365548">
              <w:rPr>
                <w:b/>
                <w:color w:val="231F20"/>
                <w:sz w:val="20"/>
              </w:rPr>
              <w:t xml:space="preserve"> </w:t>
            </w:r>
            <w:r>
              <w:rPr>
                <w:b/>
                <w:color w:val="231F20"/>
                <w:sz w:val="20"/>
              </w:rPr>
              <w:t>(</w:t>
            </w:r>
            <w:r>
              <w:rPr>
                <w:rFonts w:ascii="BABEL Unicode"/>
                <w:b/>
                <w:color w:val="231F20"/>
                <w:sz w:val="20"/>
              </w:rPr>
              <w:t xml:space="preserve">? </w:t>
            </w:r>
            <w:r>
              <w:rPr>
                <w:b/>
                <w:color w:val="231F20"/>
                <w:sz w:val="20"/>
              </w:rPr>
              <w:t>)</w:t>
            </w:r>
          </w:p>
        </w:tc>
        <w:tc>
          <w:tcPr>
            <w:tcW w:w="827" w:type="dxa"/>
            <w:vMerge w:val="restart"/>
          </w:tcPr>
          <w:p w14:paraId="6AFD4887" w14:textId="77777777" w:rsidR="009948F1" w:rsidRDefault="009948F1">
            <w:pPr>
              <w:pStyle w:val="TableParagraph"/>
              <w:rPr>
                <w:rFonts w:ascii="Carlito"/>
                <w:b/>
                <w:i/>
                <w:sz w:val="20"/>
              </w:rPr>
            </w:pPr>
          </w:p>
          <w:p w14:paraId="11D44D85" w14:textId="77777777" w:rsidR="009948F1" w:rsidRDefault="009948F1">
            <w:pPr>
              <w:pStyle w:val="TableParagraph"/>
              <w:spacing w:before="10"/>
              <w:rPr>
                <w:rFonts w:ascii="Carlito"/>
                <w:b/>
                <w:i/>
                <w:sz w:val="14"/>
              </w:rPr>
            </w:pPr>
          </w:p>
          <w:p w14:paraId="18AE9F24" w14:textId="77777777" w:rsidR="009948F1" w:rsidRDefault="00BC0563">
            <w:pPr>
              <w:pStyle w:val="TableParagraph"/>
              <w:spacing w:line="223" w:lineRule="exact"/>
              <w:ind w:left="109"/>
              <w:rPr>
                <w:b/>
                <w:sz w:val="20"/>
              </w:rPr>
            </w:pPr>
            <w:r>
              <w:rPr>
                <w:b/>
                <w:color w:val="231F20"/>
                <w:sz w:val="20"/>
              </w:rPr>
              <w:t>%</w:t>
            </w:r>
            <w:r>
              <w:rPr>
                <w:b/>
                <w:color w:val="231F20"/>
                <w:spacing w:val="3"/>
                <w:sz w:val="20"/>
              </w:rPr>
              <w:t xml:space="preserve"> </w:t>
            </w:r>
            <w:r>
              <w:rPr>
                <w:b/>
                <w:color w:val="231F20"/>
                <w:sz w:val="20"/>
              </w:rPr>
              <w:t>of</w:t>
            </w:r>
          </w:p>
          <w:p w14:paraId="7E1BE7EA" w14:textId="77777777" w:rsidR="009948F1" w:rsidRDefault="00BC0563">
            <w:pPr>
              <w:pStyle w:val="TableParagraph"/>
              <w:spacing w:before="9" w:line="214" w:lineRule="exact"/>
              <w:ind w:left="109" w:right="220"/>
              <w:rPr>
                <w:b/>
                <w:sz w:val="20"/>
              </w:rPr>
            </w:pPr>
            <w:r>
              <w:rPr>
                <w:b/>
                <w:color w:val="231F20"/>
                <w:spacing w:val="-4"/>
                <w:sz w:val="20"/>
              </w:rPr>
              <w:t xml:space="preserve">Total </w:t>
            </w:r>
            <w:r>
              <w:rPr>
                <w:b/>
                <w:color w:val="231F20"/>
                <w:sz w:val="20"/>
              </w:rPr>
              <w:t>Cost</w:t>
            </w:r>
          </w:p>
        </w:tc>
      </w:tr>
      <w:tr w:rsidR="009948F1" w14:paraId="136DD0AD" w14:textId="77777777">
        <w:trPr>
          <w:trHeight w:val="639"/>
        </w:trPr>
        <w:tc>
          <w:tcPr>
            <w:tcW w:w="2165" w:type="dxa"/>
            <w:tcBorders>
              <w:bottom w:val="single" w:sz="4" w:space="0" w:color="231F20"/>
              <w:right w:val="single" w:sz="4" w:space="0" w:color="A4CDE5"/>
            </w:tcBorders>
            <w:shd w:val="clear" w:color="auto" w:fill="8ED8F8"/>
          </w:tcPr>
          <w:p w14:paraId="13200567" w14:textId="77777777" w:rsidR="009948F1" w:rsidRDefault="00BC0563">
            <w:pPr>
              <w:pStyle w:val="TableParagraph"/>
              <w:tabs>
                <w:tab w:val="left" w:pos="1933"/>
              </w:tabs>
              <w:spacing w:line="198" w:lineRule="exact"/>
              <w:ind w:left="109"/>
              <w:rPr>
                <w:b/>
                <w:sz w:val="20"/>
              </w:rPr>
            </w:pPr>
            <w:r>
              <w:rPr>
                <w:b/>
                <w:color w:val="231F20"/>
                <w:sz w:val="20"/>
              </w:rPr>
              <w:t>SHDP</w:t>
            </w:r>
            <w:r>
              <w:rPr>
                <w:b/>
                <w:color w:val="231F20"/>
                <w:spacing w:val="-2"/>
                <w:sz w:val="20"/>
              </w:rPr>
              <w:t xml:space="preserve"> </w:t>
            </w:r>
            <w:r>
              <w:rPr>
                <w:b/>
                <w:color w:val="231F20"/>
                <w:sz w:val="20"/>
              </w:rPr>
              <w:t>II</w:t>
            </w:r>
            <w:r>
              <w:rPr>
                <w:b/>
                <w:color w:val="231F20"/>
                <w:spacing w:val="2"/>
                <w:sz w:val="20"/>
              </w:rPr>
              <w:t xml:space="preserve"> </w:t>
            </w:r>
            <w:r>
              <w:rPr>
                <w:b/>
                <w:color w:val="231F20"/>
                <w:sz w:val="20"/>
              </w:rPr>
              <w:t>2017</w:t>
            </w:r>
            <w:r>
              <w:rPr>
                <w:b/>
                <w:color w:val="231F20"/>
                <w:sz w:val="20"/>
              </w:rPr>
              <w:tab/>
              <w:t>-</w:t>
            </w:r>
          </w:p>
          <w:p w14:paraId="4E7C06B3" w14:textId="77777777" w:rsidR="009948F1" w:rsidRDefault="00BC0563">
            <w:pPr>
              <w:pStyle w:val="TableParagraph"/>
              <w:spacing w:line="215" w:lineRule="exact"/>
              <w:ind w:left="109"/>
              <w:rPr>
                <w:b/>
                <w:sz w:val="20"/>
              </w:rPr>
            </w:pPr>
            <w:r>
              <w:rPr>
                <w:b/>
                <w:color w:val="231F20"/>
                <w:sz w:val="20"/>
              </w:rPr>
              <w:t>2021</w:t>
            </w:r>
          </w:p>
          <w:p w14:paraId="0719E968" w14:textId="77777777" w:rsidR="009948F1" w:rsidRDefault="00BC0563">
            <w:pPr>
              <w:pStyle w:val="TableParagraph"/>
              <w:spacing w:line="206" w:lineRule="exact"/>
              <w:ind w:left="109"/>
              <w:rPr>
                <w:b/>
                <w:sz w:val="20"/>
              </w:rPr>
            </w:pPr>
            <w:proofErr w:type="spellStart"/>
            <w:r>
              <w:rPr>
                <w:b/>
                <w:color w:val="231F20"/>
                <w:sz w:val="20"/>
              </w:rPr>
              <w:t>Programme</w:t>
            </w:r>
            <w:proofErr w:type="spellEnd"/>
            <w:r>
              <w:rPr>
                <w:b/>
                <w:color w:val="231F20"/>
                <w:sz w:val="20"/>
              </w:rPr>
              <w:t xml:space="preserve"> Areas</w:t>
            </w:r>
          </w:p>
        </w:tc>
        <w:tc>
          <w:tcPr>
            <w:tcW w:w="963" w:type="dxa"/>
            <w:tcBorders>
              <w:left w:val="single" w:sz="4" w:space="0" w:color="A4CDE5"/>
              <w:bottom w:val="single" w:sz="4" w:space="0" w:color="231F20"/>
              <w:right w:val="single" w:sz="4" w:space="0" w:color="231F20"/>
            </w:tcBorders>
            <w:shd w:val="clear" w:color="auto" w:fill="8ED8F8"/>
          </w:tcPr>
          <w:p w14:paraId="081BEF3C" w14:textId="77777777" w:rsidR="009948F1" w:rsidRDefault="009948F1">
            <w:pPr>
              <w:pStyle w:val="TableParagraph"/>
              <w:spacing w:before="8"/>
              <w:rPr>
                <w:rFonts w:ascii="Carlito"/>
                <w:b/>
                <w:i/>
                <w:sz w:val="15"/>
              </w:rPr>
            </w:pPr>
          </w:p>
          <w:p w14:paraId="32B589F8" w14:textId="77777777" w:rsidR="009948F1" w:rsidRDefault="00BC0563">
            <w:pPr>
              <w:pStyle w:val="TableParagraph"/>
              <w:ind w:left="51" w:right="325"/>
              <w:jc w:val="center"/>
              <w:rPr>
                <w:b/>
                <w:sz w:val="20"/>
              </w:rPr>
            </w:pPr>
            <w:r>
              <w:rPr>
                <w:b/>
                <w:color w:val="231F20"/>
                <w:sz w:val="20"/>
              </w:rPr>
              <w:t>2018</w:t>
            </w:r>
          </w:p>
        </w:tc>
        <w:tc>
          <w:tcPr>
            <w:tcW w:w="961" w:type="dxa"/>
            <w:tcBorders>
              <w:left w:val="single" w:sz="4" w:space="0" w:color="231F20"/>
              <w:bottom w:val="single" w:sz="4" w:space="0" w:color="231F20"/>
              <w:right w:val="single" w:sz="4" w:space="0" w:color="231F20"/>
            </w:tcBorders>
            <w:shd w:val="clear" w:color="auto" w:fill="8ED8F8"/>
          </w:tcPr>
          <w:p w14:paraId="797AB945" w14:textId="77777777" w:rsidR="009948F1" w:rsidRDefault="009948F1">
            <w:pPr>
              <w:pStyle w:val="TableParagraph"/>
              <w:spacing w:before="8"/>
              <w:rPr>
                <w:rFonts w:ascii="Carlito"/>
                <w:b/>
                <w:i/>
                <w:sz w:val="15"/>
              </w:rPr>
            </w:pPr>
          </w:p>
          <w:p w14:paraId="74228586" w14:textId="77777777" w:rsidR="009948F1" w:rsidRDefault="00BC0563">
            <w:pPr>
              <w:pStyle w:val="TableParagraph"/>
              <w:ind w:left="114"/>
              <w:rPr>
                <w:b/>
                <w:sz w:val="20"/>
              </w:rPr>
            </w:pPr>
            <w:r>
              <w:rPr>
                <w:b/>
                <w:color w:val="231F20"/>
                <w:sz w:val="20"/>
              </w:rPr>
              <w:t>2019</w:t>
            </w:r>
          </w:p>
        </w:tc>
        <w:tc>
          <w:tcPr>
            <w:tcW w:w="963" w:type="dxa"/>
            <w:tcBorders>
              <w:left w:val="single" w:sz="4" w:space="0" w:color="231F20"/>
              <w:bottom w:val="single" w:sz="4" w:space="0" w:color="231F20"/>
              <w:right w:val="single" w:sz="4" w:space="0" w:color="231F20"/>
            </w:tcBorders>
            <w:shd w:val="clear" w:color="auto" w:fill="8ED8F8"/>
          </w:tcPr>
          <w:p w14:paraId="6B695073" w14:textId="77777777" w:rsidR="009948F1" w:rsidRDefault="009948F1">
            <w:pPr>
              <w:pStyle w:val="TableParagraph"/>
              <w:spacing w:before="8"/>
              <w:rPr>
                <w:rFonts w:ascii="Carlito"/>
                <w:b/>
                <w:i/>
                <w:sz w:val="15"/>
              </w:rPr>
            </w:pPr>
          </w:p>
          <w:p w14:paraId="424045D6" w14:textId="77777777" w:rsidR="009948F1" w:rsidRDefault="00BC0563">
            <w:pPr>
              <w:pStyle w:val="TableParagraph"/>
              <w:ind w:left="113"/>
              <w:rPr>
                <w:b/>
                <w:sz w:val="20"/>
              </w:rPr>
            </w:pPr>
            <w:r>
              <w:rPr>
                <w:b/>
                <w:color w:val="231F20"/>
                <w:sz w:val="20"/>
              </w:rPr>
              <w:t>2020</w:t>
            </w:r>
          </w:p>
        </w:tc>
        <w:tc>
          <w:tcPr>
            <w:tcW w:w="963" w:type="dxa"/>
            <w:tcBorders>
              <w:left w:val="single" w:sz="4" w:space="0" w:color="231F20"/>
              <w:bottom w:val="single" w:sz="4" w:space="0" w:color="231F20"/>
              <w:right w:val="single" w:sz="4" w:space="0" w:color="231F20"/>
            </w:tcBorders>
            <w:shd w:val="clear" w:color="auto" w:fill="8ED8F8"/>
          </w:tcPr>
          <w:p w14:paraId="36C3F889" w14:textId="77777777" w:rsidR="009948F1" w:rsidRDefault="009948F1">
            <w:pPr>
              <w:pStyle w:val="TableParagraph"/>
              <w:spacing w:before="8"/>
              <w:rPr>
                <w:rFonts w:ascii="Carlito"/>
                <w:b/>
                <w:i/>
                <w:sz w:val="15"/>
              </w:rPr>
            </w:pPr>
          </w:p>
          <w:p w14:paraId="172278CA" w14:textId="77777777" w:rsidR="009948F1" w:rsidRDefault="00BC0563">
            <w:pPr>
              <w:pStyle w:val="TableParagraph"/>
              <w:ind w:left="114"/>
              <w:rPr>
                <w:b/>
                <w:sz w:val="20"/>
              </w:rPr>
            </w:pPr>
            <w:r>
              <w:rPr>
                <w:b/>
                <w:color w:val="231F20"/>
                <w:sz w:val="20"/>
              </w:rPr>
              <w:t>2021</w:t>
            </w:r>
          </w:p>
        </w:tc>
        <w:tc>
          <w:tcPr>
            <w:tcW w:w="963" w:type="dxa"/>
            <w:tcBorders>
              <w:left w:val="single" w:sz="4" w:space="0" w:color="231F20"/>
              <w:bottom w:val="single" w:sz="4" w:space="0" w:color="231F20"/>
              <w:right w:val="single" w:sz="4" w:space="0" w:color="231F20"/>
            </w:tcBorders>
            <w:shd w:val="clear" w:color="auto" w:fill="8ED8F8"/>
          </w:tcPr>
          <w:p w14:paraId="208088C5" w14:textId="77777777" w:rsidR="009948F1" w:rsidRDefault="009948F1">
            <w:pPr>
              <w:pStyle w:val="TableParagraph"/>
              <w:spacing w:before="8"/>
              <w:rPr>
                <w:rFonts w:ascii="Carlito"/>
                <w:b/>
                <w:i/>
                <w:sz w:val="15"/>
              </w:rPr>
            </w:pPr>
          </w:p>
          <w:p w14:paraId="7E0BA78F" w14:textId="77777777" w:rsidR="009948F1" w:rsidRDefault="00BC0563">
            <w:pPr>
              <w:pStyle w:val="TableParagraph"/>
              <w:ind w:left="114"/>
              <w:rPr>
                <w:b/>
                <w:sz w:val="20"/>
              </w:rPr>
            </w:pPr>
            <w:r>
              <w:rPr>
                <w:b/>
                <w:color w:val="231F20"/>
                <w:sz w:val="20"/>
              </w:rPr>
              <w:t>2022</w:t>
            </w:r>
          </w:p>
        </w:tc>
        <w:tc>
          <w:tcPr>
            <w:tcW w:w="1065" w:type="dxa"/>
            <w:tcBorders>
              <w:left w:val="single" w:sz="4" w:space="0" w:color="231F20"/>
              <w:bottom w:val="single" w:sz="4" w:space="0" w:color="231F20"/>
            </w:tcBorders>
            <w:shd w:val="clear" w:color="auto" w:fill="8ED8F8"/>
          </w:tcPr>
          <w:p w14:paraId="2028096B" w14:textId="77777777" w:rsidR="009948F1" w:rsidRDefault="009948F1">
            <w:pPr>
              <w:pStyle w:val="TableParagraph"/>
              <w:spacing w:before="8"/>
              <w:rPr>
                <w:rFonts w:ascii="Carlito"/>
                <w:b/>
                <w:i/>
                <w:sz w:val="15"/>
              </w:rPr>
            </w:pPr>
          </w:p>
          <w:p w14:paraId="3AFE1A13" w14:textId="77777777" w:rsidR="009948F1" w:rsidRDefault="00BC0563">
            <w:pPr>
              <w:pStyle w:val="TableParagraph"/>
              <w:ind w:left="114"/>
              <w:rPr>
                <w:b/>
                <w:sz w:val="20"/>
              </w:rPr>
            </w:pPr>
            <w:r>
              <w:rPr>
                <w:b/>
                <w:color w:val="231F20"/>
                <w:sz w:val="20"/>
              </w:rPr>
              <w:t>Total</w:t>
            </w:r>
          </w:p>
        </w:tc>
        <w:tc>
          <w:tcPr>
            <w:tcW w:w="827" w:type="dxa"/>
            <w:vMerge/>
            <w:tcBorders>
              <w:top w:val="nil"/>
            </w:tcBorders>
          </w:tcPr>
          <w:p w14:paraId="413B1A54" w14:textId="77777777" w:rsidR="009948F1" w:rsidRDefault="009948F1">
            <w:pPr>
              <w:rPr>
                <w:sz w:val="2"/>
                <w:szCs w:val="2"/>
              </w:rPr>
            </w:pPr>
          </w:p>
        </w:tc>
      </w:tr>
      <w:tr w:rsidR="009948F1" w14:paraId="2633B7AA" w14:textId="77777777">
        <w:trPr>
          <w:trHeight w:val="865"/>
        </w:trPr>
        <w:tc>
          <w:tcPr>
            <w:tcW w:w="2165" w:type="dxa"/>
            <w:tcBorders>
              <w:top w:val="single" w:sz="4" w:space="0" w:color="231F20"/>
              <w:bottom w:val="single" w:sz="4" w:space="0" w:color="231F20"/>
              <w:right w:val="single" w:sz="4" w:space="0" w:color="231F20"/>
            </w:tcBorders>
          </w:tcPr>
          <w:p w14:paraId="76EB2D40" w14:textId="77777777" w:rsidR="009948F1" w:rsidRDefault="009948F1">
            <w:pPr>
              <w:pStyle w:val="TableParagraph"/>
              <w:spacing w:before="2"/>
              <w:rPr>
                <w:rFonts w:ascii="Carlito"/>
                <w:b/>
                <w:i/>
                <w:sz w:val="17"/>
              </w:rPr>
            </w:pPr>
          </w:p>
          <w:p w14:paraId="3733D721" w14:textId="77777777" w:rsidR="009948F1" w:rsidRDefault="00BC0563">
            <w:pPr>
              <w:pStyle w:val="TableParagraph"/>
              <w:spacing w:line="223" w:lineRule="auto"/>
              <w:ind w:left="109" w:right="309"/>
              <w:rPr>
                <w:b/>
                <w:sz w:val="20"/>
              </w:rPr>
            </w:pPr>
            <w:r>
              <w:rPr>
                <w:b/>
                <w:color w:val="231F20"/>
                <w:sz w:val="20"/>
              </w:rPr>
              <w:t>Maternal/newborn and reproductive</w:t>
            </w:r>
          </w:p>
          <w:p w14:paraId="5AD0CF99" w14:textId="77777777" w:rsidR="009948F1" w:rsidRDefault="00BC0563">
            <w:pPr>
              <w:pStyle w:val="TableParagraph"/>
              <w:spacing w:line="208" w:lineRule="exact"/>
              <w:ind w:left="109"/>
              <w:rPr>
                <w:b/>
                <w:sz w:val="20"/>
              </w:rPr>
            </w:pPr>
            <w:r>
              <w:rPr>
                <w:b/>
                <w:color w:val="231F20"/>
                <w:sz w:val="20"/>
              </w:rPr>
              <w:t>health</w:t>
            </w:r>
          </w:p>
        </w:tc>
        <w:tc>
          <w:tcPr>
            <w:tcW w:w="963" w:type="dxa"/>
            <w:tcBorders>
              <w:top w:val="single" w:sz="4" w:space="0" w:color="231F20"/>
              <w:left w:val="single" w:sz="4" w:space="0" w:color="231F20"/>
              <w:bottom w:val="single" w:sz="4" w:space="0" w:color="231F20"/>
              <w:right w:val="single" w:sz="4" w:space="0" w:color="231F20"/>
            </w:tcBorders>
          </w:tcPr>
          <w:p w14:paraId="17B90CC8" w14:textId="77777777" w:rsidR="009948F1" w:rsidRDefault="009948F1">
            <w:pPr>
              <w:pStyle w:val="TableParagraph"/>
              <w:spacing w:before="10"/>
              <w:rPr>
                <w:rFonts w:ascii="Carlito"/>
                <w:b/>
                <w:i/>
                <w:sz w:val="15"/>
              </w:rPr>
            </w:pPr>
          </w:p>
          <w:p w14:paraId="312C1339" w14:textId="77777777" w:rsidR="009948F1" w:rsidRDefault="00BC0563">
            <w:pPr>
              <w:pStyle w:val="TableParagraph"/>
              <w:spacing w:before="1"/>
              <w:ind w:left="160"/>
              <w:rPr>
                <w:b/>
                <w:sz w:val="20"/>
              </w:rPr>
            </w:pPr>
            <w:r>
              <w:rPr>
                <w:b/>
                <w:color w:val="231F20"/>
                <w:w w:val="76"/>
                <w:sz w:val="20"/>
              </w:rPr>
              <w:t>?</w:t>
            </w:r>
          </w:p>
          <w:p w14:paraId="02EA3EE3" w14:textId="77777777" w:rsidR="009948F1" w:rsidRDefault="00BC0563">
            <w:pPr>
              <w:pStyle w:val="TableParagraph"/>
              <w:spacing w:before="12"/>
              <w:ind w:left="113"/>
              <w:rPr>
                <w:rFonts w:ascii="Carlito"/>
                <w:sz w:val="20"/>
              </w:rPr>
            </w:pPr>
            <w:r>
              <w:rPr>
                <w:rFonts w:ascii="Carlito"/>
                <w:color w:val="231F20"/>
                <w:sz w:val="20"/>
              </w:rPr>
              <w:t>8,980M</w:t>
            </w:r>
          </w:p>
        </w:tc>
        <w:tc>
          <w:tcPr>
            <w:tcW w:w="961" w:type="dxa"/>
            <w:tcBorders>
              <w:top w:val="single" w:sz="4" w:space="0" w:color="231F20"/>
              <w:left w:val="single" w:sz="4" w:space="0" w:color="231F20"/>
              <w:bottom w:val="single" w:sz="4" w:space="0" w:color="231F20"/>
              <w:right w:val="single" w:sz="4" w:space="0" w:color="231F20"/>
            </w:tcBorders>
          </w:tcPr>
          <w:p w14:paraId="6F7B4162" w14:textId="77777777" w:rsidR="009948F1" w:rsidRDefault="009948F1">
            <w:pPr>
              <w:pStyle w:val="TableParagraph"/>
              <w:spacing w:before="10"/>
              <w:rPr>
                <w:rFonts w:ascii="Carlito"/>
                <w:b/>
                <w:i/>
                <w:sz w:val="15"/>
              </w:rPr>
            </w:pPr>
          </w:p>
          <w:p w14:paraId="66885246" w14:textId="77777777" w:rsidR="009948F1" w:rsidRDefault="00BC0563">
            <w:pPr>
              <w:pStyle w:val="TableParagraph"/>
              <w:spacing w:before="1"/>
              <w:ind w:left="160"/>
              <w:rPr>
                <w:b/>
                <w:sz w:val="20"/>
              </w:rPr>
            </w:pPr>
            <w:r>
              <w:rPr>
                <w:b/>
                <w:color w:val="231F20"/>
                <w:w w:val="76"/>
                <w:sz w:val="20"/>
              </w:rPr>
              <w:t>?</w:t>
            </w:r>
          </w:p>
          <w:p w14:paraId="16C93A26" w14:textId="77777777" w:rsidR="009948F1" w:rsidRDefault="00BC0563">
            <w:pPr>
              <w:pStyle w:val="TableParagraph"/>
              <w:spacing w:before="12"/>
              <w:ind w:left="114"/>
              <w:rPr>
                <w:rFonts w:ascii="Carlito"/>
                <w:sz w:val="20"/>
              </w:rPr>
            </w:pPr>
            <w:r>
              <w:rPr>
                <w:rFonts w:ascii="Carlito"/>
                <w:color w:val="231F20"/>
                <w:sz w:val="20"/>
              </w:rPr>
              <w:t>9,776M</w:t>
            </w:r>
          </w:p>
        </w:tc>
        <w:tc>
          <w:tcPr>
            <w:tcW w:w="963" w:type="dxa"/>
            <w:tcBorders>
              <w:top w:val="single" w:sz="4" w:space="0" w:color="231F20"/>
              <w:left w:val="single" w:sz="4" w:space="0" w:color="231F20"/>
              <w:bottom w:val="single" w:sz="4" w:space="0" w:color="231F20"/>
              <w:right w:val="single" w:sz="4" w:space="0" w:color="231F20"/>
            </w:tcBorders>
          </w:tcPr>
          <w:p w14:paraId="40C87ACD" w14:textId="77777777" w:rsidR="009948F1" w:rsidRDefault="009948F1">
            <w:pPr>
              <w:pStyle w:val="TableParagraph"/>
              <w:spacing w:before="10"/>
              <w:rPr>
                <w:rFonts w:ascii="Carlito"/>
                <w:b/>
                <w:i/>
                <w:sz w:val="15"/>
              </w:rPr>
            </w:pPr>
          </w:p>
          <w:p w14:paraId="661BF0BF" w14:textId="77777777" w:rsidR="009948F1" w:rsidRDefault="00BC0563">
            <w:pPr>
              <w:pStyle w:val="TableParagraph"/>
              <w:spacing w:before="1"/>
              <w:ind w:left="160"/>
              <w:rPr>
                <w:b/>
                <w:sz w:val="20"/>
              </w:rPr>
            </w:pPr>
            <w:r>
              <w:rPr>
                <w:b/>
                <w:color w:val="231F20"/>
                <w:w w:val="76"/>
                <w:sz w:val="20"/>
              </w:rPr>
              <w:t>?</w:t>
            </w:r>
          </w:p>
          <w:p w14:paraId="58EFCD44" w14:textId="77777777" w:rsidR="009948F1" w:rsidRDefault="00BC0563">
            <w:pPr>
              <w:pStyle w:val="TableParagraph"/>
              <w:spacing w:before="12"/>
              <w:ind w:left="113"/>
              <w:rPr>
                <w:rFonts w:ascii="Carlito"/>
                <w:sz w:val="20"/>
              </w:rPr>
            </w:pPr>
            <w:r>
              <w:rPr>
                <w:rFonts w:ascii="Carlito"/>
                <w:color w:val="231F20"/>
                <w:sz w:val="20"/>
              </w:rPr>
              <w:t>9,268M</w:t>
            </w:r>
          </w:p>
        </w:tc>
        <w:tc>
          <w:tcPr>
            <w:tcW w:w="963" w:type="dxa"/>
            <w:tcBorders>
              <w:top w:val="single" w:sz="4" w:space="0" w:color="231F20"/>
              <w:left w:val="single" w:sz="4" w:space="0" w:color="231F20"/>
              <w:bottom w:val="single" w:sz="4" w:space="0" w:color="231F20"/>
              <w:right w:val="single" w:sz="4" w:space="0" w:color="231F20"/>
            </w:tcBorders>
          </w:tcPr>
          <w:p w14:paraId="02A2898A" w14:textId="77777777" w:rsidR="009948F1" w:rsidRDefault="009948F1">
            <w:pPr>
              <w:pStyle w:val="TableParagraph"/>
              <w:spacing w:before="10"/>
              <w:rPr>
                <w:rFonts w:ascii="Carlito"/>
                <w:b/>
                <w:i/>
                <w:sz w:val="15"/>
              </w:rPr>
            </w:pPr>
          </w:p>
          <w:p w14:paraId="308332D3" w14:textId="77777777" w:rsidR="009948F1" w:rsidRDefault="00BC0563">
            <w:pPr>
              <w:pStyle w:val="TableParagraph"/>
              <w:spacing w:before="1"/>
              <w:ind w:left="160"/>
              <w:rPr>
                <w:b/>
                <w:sz w:val="20"/>
              </w:rPr>
            </w:pPr>
            <w:r>
              <w:rPr>
                <w:b/>
                <w:color w:val="231F20"/>
                <w:w w:val="76"/>
                <w:sz w:val="20"/>
              </w:rPr>
              <w:t>?</w:t>
            </w:r>
          </w:p>
          <w:p w14:paraId="34418B44" w14:textId="77777777" w:rsidR="009948F1" w:rsidRDefault="00BC0563">
            <w:pPr>
              <w:pStyle w:val="TableParagraph"/>
              <w:spacing w:before="12"/>
              <w:ind w:left="114"/>
              <w:rPr>
                <w:rFonts w:ascii="Carlito"/>
                <w:sz w:val="20"/>
              </w:rPr>
            </w:pPr>
            <w:r>
              <w:rPr>
                <w:rFonts w:ascii="Carlito"/>
                <w:color w:val="231F20"/>
                <w:sz w:val="20"/>
              </w:rPr>
              <w:t>9,547M</w:t>
            </w:r>
          </w:p>
        </w:tc>
        <w:tc>
          <w:tcPr>
            <w:tcW w:w="963" w:type="dxa"/>
            <w:tcBorders>
              <w:top w:val="single" w:sz="4" w:space="0" w:color="231F20"/>
              <w:left w:val="single" w:sz="4" w:space="0" w:color="231F20"/>
              <w:bottom w:val="single" w:sz="4" w:space="0" w:color="231F20"/>
              <w:right w:val="single" w:sz="4" w:space="0" w:color="231F20"/>
            </w:tcBorders>
          </w:tcPr>
          <w:p w14:paraId="51888C8A" w14:textId="77777777" w:rsidR="009948F1" w:rsidRDefault="009948F1">
            <w:pPr>
              <w:pStyle w:val="TableParagraph"/>
              <w:spacing w:before="10"/>
              <w:rPr>
                <w:rFonts w:ascii="Carlito"/>
                <w:b/>
                <w:i/>
                <w:sz w:val="15"/>
              </w:rPr>
            </w:pPr>
          </w:p>
          <w:p w14:paraId="7E8465FE" w14:textId="77777777" w:rsidR="009948F1" w:rsidRDefault="00BC0563">
            <w:pPr>
              <w:pStyle w:val="TableParagraph"/>
              <w:spacing w:before="1"/>
              <w:ind w:left="160"/>
              <w:rPr>
                <w:b/>
                <w:sz w:val="20"/>
              </w:rPr>
            </w:pPr>
            <w:r>
              <w:rPr>
                <w:b/>
                <w:color w:val="231F20"/>
                <w:w w:val="76"/>
                <w:sz w:val="20"/>
              </w:rPr>
              <w:t>?</w:t>
            </w:r>
          </w:p>
          <w:p w14:paraId="3849B5A3" w14:textId="77777777" w:rsidR="009948F1" w:rsidRDefault="00BC0563">
            <w:pPr>
              <w:pStyle w:val="TableParagraph"/>
              <w:spacing w:before="12"/>
              <w:ind w:left="114"/>
              <w:rPr>
                <w:rFonts w:ascii="Carlito"/>
                <w:sz w:val="20"/>
              </w:rPr>
            </w:pPr>
            <w:r>
              <w:rPr>
                <w:rFonts w:ascii="Carlito"/>
                <w:color w:val="231F20"/>
                <w:sz w:val="20"/>
              </w:rPr>
              <w:t>9,732M</w:t>
            </w:r>
          </w:p>
        </w:tc>
        <w:tc>
          <w:tcPr>
            <w:tcW w:w="1065" w:type="dxa"/>
            <w:tcBorders>
              <w:top w:val="single" w:sz="4" w:space="0" w:color="231F20"/>
              <w:left w:val="single" w:sz="4" w:space="0" w:color="231F20"/>
              <w:bottom w:val="single" w:sz="4" w:space="0" w:color="231F20"/>
            </w:tcBorders>
          </w:tcPr>
          <w:p w14:paraId="7ECA0B7F" w14:textId="77777777" w:rsidR="009948F1" w:rsidRDefault="009948F1">
            <w:pPr>
              <w:pStyle w:val="TableParagraph"/>
              <w:spacing w:before="10"/>
              <w:rPr>
                <w:rFonts w:ascii="Carlito"/>
                <w:b/>
                <w:i/>
                <w:sz w:val="15"/>
              </w:rPr>
            </w:pPr>
          </w:p>
          <w:p w14:paraId="28280CD0" w14:textId="77777777" w:rsidR="009948F1" w:rsidRDefault="00BC0563">
            <w:pPr>
              <w:pStyle w:val="TableParagraph"/>
              <w:spacing w:before="1"/>
              <w:ind w:left="160"/>
              <w:rPr>
                <w:b/>
                <w:sz w:val="20"/>
              </w:rPr>
            </w:pPr>
            <w:r>
              <w:rPr>
                <w:b/>
                <w:color w:val="231F20"/>
                <w:w w:val="76"/>
                <w:sz w:val="20"/>
              </w:rPr>
              <w:t>?</w:t>
            </w:r>
          </w:p>
          <w:p w14:paraId="23803CD7" w14:textId="77777777" w:rsidR="009948F1" w:rsidRDefault="00BC0563">
            <w:pPr>
              <w:pStyle w:val="TableParagraph"/>
              <w:spacing w:before="12"/>
              <w:ind w:left="114"/>
              <w:rPr>
                <w:rFonts w:ascii="Carlito"/>
                <w:sz w:val="20"/>
              </w:rPr>
            </w:pPr>
            <w:r>
              <w:rPr>
                <w:rFonts w:ascii="Carlito"/>
                <w:color w:val="231F20"/>
                <w:sz w:val="20"/>
              </w:rPr>
              <w:t>47,303M</w:t>
            </w:r>
          </w:p>
        </w:tc>
        <w:tc>
          <w:tcPr>
            <w:tcW w:w="827" w:type="dxa"/>
            <w:tcBorders>
              <w:bottom w:val="single" w:sz="4" w:space="0" w:color="231F20"/>
            </w:tcBorders>
          </w:tcPr>
          <w:p w14:paraId="09AABD34" w14:textId="77777777" w:rsidR="009948F1" w:rsidRDefault="009948F1">
            <w:pPr>
              <w:pStyle w:val="TableParagraph"/>
              <w:spacing w:before="7"/>
              <w:rPr>
                <w:rFonts w:ascii="Carlito"/>
                <w:b/>
                <w:i/>
                <w:sz w:val="25"/>
              </w:rPr>
            </w:pPr>
          </w:p>
          <w:p w14:paraId="76293719" w14:textId="77777777" w:rsidR="009948F1" w:rsidRDefault="00BC0563">
            <w:pPr>
              <w:pStyle w:val="TableParagraph"/>
              <w:ind w:left="109"/>
              <w:rPr>
                <w:rFonts w:ascii="Carlito"/>
                <w:b/>
                <w:sz w:val="20"/>
              </w:rPr>
            </w:pPr>
            <w:r>
              <w:rPr>
                <w:rFonts w:ascii="Carlito"/>
                <w:b/>
                <w:color w:val="231F20"/>
                <w:sz w:val="20"/>
              </w:rPr>
              <w:t>16.7%</w:t>
            </w:r>
          </w:p>
        </w:tc>
      </w:tr>
      <w:tr w:rsidR="009948F1" w14:paraId="328233E7" w14:textId="77777777">
        <w:trPr>
          <w:trHeight w:val="495"/>
        </w:trPr>
        <w:tc>
          <w:tcPr>
            <w:tcW w:w="2165" w:type="dxa"/>
            <w:tcBorders>
              <w:top w:val="single" w:sz="4" w:space="0" w:color="231F20"/>
              <w:bottom w:val="single" w:sz="4" w:space="0" w:color="231F20"/>
              <w:right w:val="single" w:sz="4" w:space="0" w:color="231F20"/>
            </w:tcBorders>
            <w:shd w:val="clear" w:color="auto" w:fill="F1F2F2"/>
          </w:tcPr>
          <w:p w14:paraId="2919B8B8" w14:textId="77777777" w:rsidR="009948F1" w:rsidRDefault="00BC0563">
            <w:pPr>
              <w:pStyle w:val="TableParagraph"/>
              <w:spacing w:before="116"/>
              <w:ind w:left="352"/>
              <w:rPr>
                <w:b/>
                <w:sz w:val="20"/>
              </w:rPr>
            </w:pPr>
            <w:r>
              <w:rPr>
                <w:b/>
                <w:color w:val="231F20"/>
                <w:sz w:val="20"/>
              </w:rPr>
              <w:t>Child health</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AD03B04" w14:textId="77777777" w:rsidR="009948F1" w:rsidRDefault="00BC0563">
            <w:pPr>
              <w:pStyle w:val="TableParagraph"/>
              <w:spacing w:before="4"/>
              <w:ind w:left="113"/>
              <w:rPr>
                <w:b/>
                <w:sz w:val="20"/>
              </w:rPr>
            </w:pPr>
            <w:r>
              <w:rPr>
                <w:b/>
                <w:color w:val="231F20"/>
                <w:w w:val="76"/>
                <w:sz w:val="20"/>
              </w:rPr>
              <w:t>?</w:t>
            </w:r>
          </w:p>
          <w:p w14:paraId="0174EFEF" w14:textId="77777777" w:rsidR="009948F1" w:rsidRDefault="00BC0563">
            <w:pPr>
              <w:pStyle w:val="TableParagraph"/>
              <w:spacing w:before="15" w:line="226" w:lineRule="exact"/>
              <w:ind w:left="113"/>
              <w:rPr>
                <w:rFonts w:ascii="Carlito"/>
                <w:sz w:val="20"/>
              </w:rPr>
            </w:pPr>
            <w:r>
              <w:rPr>
                <w:rFonts w:ascii="Carlito"/>
                <w:color w:val="231F20"/>
                <w:sz w:val="20"/>
              </w:rPr>
              <w:t>7,023M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7E255161" w14:textId="77777777" w:rsidR="009948F1" w:rsidRDefault="00BC0563">
            <w:pPr>
              <w:pStyle w:val="TableParagraph"/>
              <w:spacing w:before="4"/>
              <w:ind w:left="114"/>
              <w:rPr>
                <w:b/>
                <w:sz w:val="20"/>
              </w:rPr>
            </w:pPr>
            <w:r>
              <w:rPr>
                <w:b/>
                <w:color w:val="231F20"/>
                <w:w w:val="76"/>
                <w:sz w:val="20"/>
              </w:rPr>
              <w:t>?</w:t>
            </w:r>
          </w:p>
          <w:p w14:paraId="78AFE0DC" w14:textId="77777777" w:rsidR="009948F1" w:rsidRDefault="00BC0563">
            <w:pPr>
              <w:pStyle w:val="TableParagraph"/>
              <w:spacing w:before="15" w:line="226" w:lineRule="exact"/>
              <w:ind w:left="114"/>
              <w:rPr>
                <w:rFonts w:ascii="Carlito"/>
                <w:sz w:val="20"/>
              </w:rPr>
            </w:pPr>
            <w:r>
              <w:rPr>
                <w:rFonts w:ascii="Carlito"/>
                <w:color w:val="231F20"/>
                <w:sz w:val="20"/>
              </w:rPr>
              <w:t>7,687M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0E524F96" w14:textId="77777777" w:rsidR="009948F1" w:rsidRDefault="00BC0563">
            <w:pPr>
              <w:pStyle w:val="TableParagraph"/>
              <w:spacing w:before="4"/>
              <w:ind w:left="113"/>
              <w:rPr>
                <w:b/>
                <w:sz w:val="20"/>
              </w:rPr>
            </w:pPr>
            <w:r>
              <w:rPr>
                <w:b/>
                <w:color w:val="231F20"/>
                <w:w w:val="76"/>
                <w:sz w:val="20"/>
              </w:rPr>
              <w:t>?</w:t>
            </w:r>
          </w:p>
          <w:p w14:paraId="06C3E41E" w14:textId="77777777" w:rsidR="009948F1" w:rsidRDefault="00BC0563">
            <w:pPr>
              <w:pStyle w:val="TableParagraph"/>
              <w:spacing w:before="15" w:line="226" w:lineRule="exact"/>
              <w:ind w:left="113"/>
              <w:rPr>
                <w:rFonts w:ascii="Carlito"/>
                <w:sz w:val="20"/>
              </w:rPr>
            </w:pPr>
            <w:r>
              <w:rPr>
                <w:rFonts w:ascii="Carlito"/>
                <w:color w:val="231F20"/>
                <w:sz w:val="20"/>
              </w:rPr>
              <w:t>7,591M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24131656" w14:textId="77777777" w:rsidR="009948F1" w:rsidRDefault="00BC0563">
            <w:pPr>
              <w:pStyle w:val="TableParagraph"/>
              <w:spacing w:before="4"/>
              <w:ind w:left="114"/>
              <w:rPr>
                <w:b/>
                <w:sz w:val="20"/>
              </w:rPr>
            </w:pPr>
            <w:r>
              <w:rPr>
                <w:b/>
                <w:color w:val="231F20"/>
                <w:w w:val="76"/>
                <w:sz w:val="20"/>
              </w:rPr>
              <w:t>?</w:t>
            </w:r>
          </w:p>
          <w:p w14:paraId="0B4CA701" w14:textId="77777777" w:rsidR="009948F1" w:rsidRDefault="00BC0563">
            <w:pPr>
              <w:pStyle w:val="TableParagraph"/>
              <w:spacing w:before="15" w:line="226" w:lineRule="exact"/>
              <w:ind w:left="114"/>
              <w:rPr>
                <w:rFonts w:ascii="Carlito"/>
                <w:sz w:val="20"/>
              </w:rPr>
            </w:pPr>
            <w:r>
              <w:rPr>
                <w:rFonts w:ascii="Carlito"/>
                <w:color w:val="231F20"/>
                <w:sz w:val="20"/>
              </w:rPr>
              <w:t>7,901M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6AF88F7" w14:textId="77777777" w:rsidR="009948F1" w:rsidRDefault="00BC0563">
            <w:pPr>
              <w:pStyle w:val="TableParagraph"/>
              <w:spacing w:before="4"/>
              <w:ind w:left="114"/>
              <w:rPr>
                <w:b/>
                <w:sz w:val="20"/>
              </w:rPr>
            </w:pPr>
            <w:r>
              <w:rPr>
                <w:b/>
                <w:color w:val="231F20"/>
                <w:w w:val="76"/>
                <w:sz w:val="20"/>
              </w:rPr>
              <w:t>?</w:t>
            </w:r>
          </w:p>
          <w:p w14:paraId="672616AA" w14:textId="77777777" w:rsidR="009948F1" w:rsidRDefault="00BC0563">
            <w:pPr>
              <w:pStyle w:val="TableParagraph"/>
              <w:spacing w:before="15" w:line="226" w:lineRule="exact"/>
              <w:ind w:left="114"/>
              <w:rPr>
                <w:rFonts w:ascii="Carlito"/>
                <w:sz w:val="20"/>
              </w:rPr>
            </w:pPr>
            <w:r>
              <w:rPr>
                <w:rFonts w:ascii="Carlito"/>
                <w:color w:val="231F20"/>
                <w:sz w:val="20"/>
              </w:rPr>
              <w:t>8,094M</w:t>
            </w:r>
          </w:p>
        </w:tc>
        <w:tc>
          <w:tcPr>
            <w:tcW w:w="1065" w:type="dxa"/>
            <w:tcBorders>
              <w:top w:val="single" w:sz="4" w:space="0" w:color="231F20"/>
              <w:left w:val="single" w:sz="4" w:space="0" w:color="231F20"/>
              <w:bottom w:val="single" w:sz="4" w:space="0" w:color="231F20"/>
            </w:tcBorders>
            <w:shd w:val="clear" w:color="auto" w:fill="F1F2F2"/>
          </w:tcPr>
          <w:p w14:paraId="3B4054AB" w14:textId="77777777" w:rsidR="009948F1" w:rsidRDefault="00BC0563">
            <w:pPr>
              <w:pStyle w:val="TableParagraph"/>
              <w:spacing w:before="4"/>
              <w:ind w:left="114"/>
              <w:rPr>
                <w:b/>
                <w:sz w:val="20"/>
              </w:rPr>
            </w:pPr>
            <w:r>
              <w:rPr>
                <w:b/>
                <w:color w:val="231F20"/>
                <w:w w:val="76"/>
                <w:sz w:val="20"/>
              </w:rPr>
              <w:t>?</w:t>
            </w:r>
          </w:p>
          <w:p w14:paraId="2DFD06F4" w14:textId="77777777" w:rsidR="009948F1" w:rsidRDefault="00BC0563">
            <w:pPr>
              <w:pStyle w:val="TableParagraph"/>
              <w:spacing w:before="15" w:line="226" w:lineRule="exact"/>
              <w:ind w:left="114"/>
              <w:rPr>
                <w:rFonts w:ascii="Carlito"/>
                <w:sz w:val="20"/>
              </w:rPr>
            </w:pPr>
            <w:r>
              <w:rPr>
                <w:rFonts w:ascii="Carlito"/>
                <w:color w:val="231F20"/>
                <w:sz w:val="20"/>
              </w:rPr>
              <w:t>38,296M</w:t>
            </w:r>
          </w:p>
        </w:tc>
        <w:tc>
          <w:tcPr>
            <w:tcW w:w="827" w:type="dxa"/>
            <w:tcBorders>
              <w:top w:val="single" w:sz="4" w:space="0" w:color="231F20"/>
              <w:bottom w:val="single" w:sz="4" w:space="0" w:color="231F20"/>
            </w:tcBorders>
            <w:shd w:val="clear" w:color="auto" w:fill="F1F2F2"/>
          </w:tcPr>
          <w:p w14:paraId="5F008885" w14:textId="77777777" w:rsidR="009948F1" w:rsidRDefault="00BC0563">
            <w:pPr>
              <w:pStyle w:val="TableParagraph"/>
              <w:spacing w:before="125"/>
              <w:ind w:left="109"/>
              <w:rPr>
                <w:rFonts w:ascii="Carlito"/>
                <w:b/>
                <w:sz w:val="20"/>
              </w:rPr>
            </w:pPr>
            <w:r>
              <w:rPr>
                <w:rFonts w:ascii="Carlito"/>
                <w:b/>
                <w:color w:val="231F20"/>
                <w:sz w:val="20"/>
              </w:rPr>
              <w:t>13.5%</w:t>
            </w:r>
          </w:p>
        </w:tc>
      </w:tr>
      <w:tr w:rsidR="009948F1" w14:paraId="35020329" w14:textId="77777777">
        <w:trPr>
          <w:trHeight w:val="493"/>
        </w:trPr>
        <w:tc>
          <w:tcPr>
            <w:tcW w:w="2165" w:type="dxa"/>
            <w:tcBorders>
              <w:top w:val="single" w:sz="4" w:space="0" w:color="231F20"/>
              <w:bottom w:val="single" w:sz="4" w:space="0" w:color="231F20"/>
              <w:right w:val="single" w:sz="4" w:space="0" w:color="231F20"/>
            </w:tcBorders>
          </w:tcPr>
          <w:p w14:paraId="480DF9BD" w14:textId="77777777" w:rsidR="009948F1" w:rsidRDefault="00BC0563">
            <w:pPr>
              <w:pStyle w:val="TableParagraph"/>
              <w:spacing w:before="114"/>
              <w:ind w:left="352"/>
              <w:rPr>
                <w:b/>
                <w:sz w:val="20"/>
              </w:rPr>
            </w:pPr>
            <w:r>
              <w:rPr>
                <w:b/>
                <w:color w:val="231F20"/>
                <w:sz w:val="20"/>
              </w:rPr>
              <w:t>Immunization</w:t>
            </w:r>
          </w:p>
        </w:tc>
        <w:tc>
          <w:tcPr>
            <w:tcW w:w="963" w:type="dxa"/>
            <w:tcBorders>
              <w:top w:val="single" w:sz="4" w:space="0" w:color="231F20"/>
              <w:left w:val="single" w:sz="4" w:space="0" w:color="231F20"/>
              <w:bottom w:val="single" w:sz="4" w:space="0" w:color="231F20"/>
              <w:right w:val="single" w:sz="4" w:space="0" w:color="231F20"/>
            </w:tcBorders>
          </w:tcPr>
          <w:p w14:paraId="5B3292D0" w14:textId="77777777" w:rsidR="009948F1" w:rsidRDefault="00BC0563">
            <w:pPr>
              <w:pStyle w:val="TableParagraph"/>
              <w:spacing w:before="4"/>
              <w:ind w:left="160"/>
              <w:rPr>
                <w:b/>
                <w:sz w:val="20"/>
              </w:rPr>
            </w:pPr>
            <w:r>
              <w:rPr>
                <w:b/>
                <w:color w:val="231F20"/>
                <w:w w:val="76"/>
                <w:sz w:val="20"/>
              </w:rPr>
              <w:t>?</w:t>
            </w:r>
          </w:p>
          <w:p w14:paraId="3E371685" w14:textId="77777777" w:rsidR="009948F1" w:rsidRDefault="00BC0563">
            <w:pPr>
              <w:pStyle w:val="TableParagraph"/>
              <w:spacing w:before="13" w:line="226" w:lineRule="exact"/>
              <w:ind w:left="113"/>
              <w:rPr>
                <w:rFonts w:ascii="Carlito"/>
                <w:sz w:val="20"/>
              </w:rPr>
            </w:pPr>
            <w:r>
              <w:rPr>
                <w:rFonts w:ascii="Carlito"/>
                <w:color w:val="231F20"/>
                <w:sz w:val="20"/>
              </w:rPr>
              <w:t>1,449M</w:t>
            </w:r>
          </w:p>
        </w:tc>
        <w:tc>
          <w:tcPr>
            <w:tcW w:w="961" w:type="dxa"/>
            <w:tcBorders>
              <w:top w:val="single" w:sz="4" w:space="0" w:color="231F20"/>
              <w:left w:val="single" w:sz="4" w:space="0" w:color="231F20"/>
              <w:bottom w:val="single" w:sz="4" w:space="0" w:color="231F20"/>
              <w:right w:val="single" w:sz="4" w:space="0" w:color="231F20"/>
            </w:tcBorders>
          </w:tcPr>
          <w:p w14:paraId="6267C7CD" w14:textId="77777777" w:rsidR="009948F1" w:rsidRDefault="00BC0563">
            <w:pPr>
              <w:pStyle w:val="TableParagraph"/>
              <w:spacing w:before="4"/>
              <w:ind w:left="160"/>
              <w:rPr>
                <w:b/>
                <w:sz w:val="20"/>
              </w:rPr>
            </w:pPr>
            <w:r>
              <w:rPr>
                <w:b/>
                <w:color w:val="231F20"/>
                <w:w w:val="76"/>
                <w:sz w:val="20"/>
              </w:rPr>
              <w:t>?</w:t>
            </w:r>
          </w:p>
          <w:p w14:paraId="4268FB5C" w14:textId="77777777" w:rsidR="009948F1" w:rsidRDefault="00BC0563">
            <w:pPr>
              <w:pStyle w:val="TableParagraph"/>
              <w:spacing w:before="13" w:line="226" w:lineRule="exact"/>
              <w:ind w:left="114"/>
              <w:rPr>
                <w:rFonts w:ascii="Carlito"/>
                <w:sz w:val="20"/>
              </w:rPr>
            </w:pPr>
            <w:r>
              <w:rPr>
                <w:rFonts w:ascii="Carlito"/>
                <w:color w:val="231F20"/>
                <w:sz w:val="20"/>
              </w:rPr>
              <w:t>1,700M</w:t>
            </w:r>
          </w:p>
        </w:tc>
        <w:tc>
          <w:tcPr>
            <w:tcW w:w="963" w:type="dxa"/>
            <w:tcBorders>
              <w:top w:val="single" w:sz="4" w:space="0" w:color="231F20"/>
              <w:left w:val="single" w:sz="4" w:space="0" w:color="231F20"/>
              <w:bottom w:val="single" w:sz="4" w:space="0" w:color="231F20"/>
              <w:right w:val="single" w:sz="4" w:space="0" w:color="231F20"/>
            </w:tcBorders>
          </w:tcPr>
          <w:p w14:paraId="507FC3E0" w14:textId="77777777" w:rsidR="009948F1" w:rsidRDefault="00BC0563">
            <w:pPr>
              <w:pStyle w:val="TableParagraph"/>
              <w:spacing w:before="4"/>
              <w:ind w:left="160"/>
              <w:rPr>
                <w:b/>
                <w:sz w:val="20"/>
              </w:rPr>
            </w:pPr>
            <w:r>
              <w:rPr>
                <w:b/>
                <w:color w:val="231F20"/>
                <w:w w:val="76"/>
                <w:sz w:val="20"/>
              </w:rPr>
              <w:t>?</w:t>
            </w:r>
          </w:p>
          <w:p w14:paraId="508A3ED7" w14:textId="77777777" w:rsidR="009948F1" w:rsidRDefault="00BC0563">
            <w:pPr>
              <w:pStyle w:val="TableParagraph"/>
              <w:spacing w:before="13" w:line="226" w:lineRule="exact"/>
              <w:ind w:left="113"/>
              <w:rPr>
                <w:rFonts w:ascii="Carlito"/>
                <w:sz w:val="20"/>
              </w:rPr>
            </w:pPr>
            <w:r>
              <w:rPr>
                <w:rFonts w:ascii="Carlito"/>
                <w:color w:val="231F20"/>
                <w:sz w:val="20"/>
              </w:rPr>
              <w:t>1,873M</w:t>
            </w:r>
          </w:p>
        </w:tc>
        <w:tc>
          <w:tcPr>
            <w:tcW w:w="963" w:type="dxa"/>
            <w:tcBorders>
              <w:top w:val="single" w:sz="4" w:space="0" w:color="231F20"/>
              <w:left w:val="single" w:sz="4" w:space="0" w:color="231F20"/>
              <w:bottom w:val="single" w:sz="4" w:space="0" w:color="231F20"/>
              <w:right w:val="single" w:sz="4" w:space="0" w:color="231F20"/>
            </w:tcBorders>
          </w:tcPr>
          <w:p w14:paraId="6299AF78" w14:textId="77777777" w:rsidR="009948F1" w:rsidRDefault="00BC0563">
            <w:pPr>
              <w:pStyle w:val="TableParagraph"/>
              <w:spacing w:before="4"/>
              <w:ind w:left="160"/>
              <w:rPr>
                <w:b/>
                <w:sz w:val="20"/>
              </w:rPr>
            </w:pPr>
            <w:r>
              <w:rPr>
                <w:b/>
                <w:color w:val="231F20"/>
                <w:w w:val="76"/>
                <w:sz w:val="20"/>
              </w:rPr>
              <w:t>?</w:t>
            </w:r>
          </w:p>
          <w:p w14:paraId="3CED87FA" w14:textId="77777777" w:rsidR="009948F1" w:rsidRDefault="00BC0563">
            <w:pPr>
              <w:pStyle w:val="TableParagraph"/>
              <w:spacing w:before="13" w:line="226" w:lineRule="exact"/>
              <w:ind w:left="114"/>
              <w:rPr>
                <w:rFonts w:ascii="Carlito"/>
                <w:sz w:val="20"/>
              </w:rPr>
            </w:pPr>
            <w:r>
              <w:rPr>
                <w:rFonts w:ascii="Carlito"/>
                <w:color w:val="231F20"/>
                <w:sz w:val="20"/>
              </w:rPr>
              <w:t>2,020M</w:t>
            </w:r>
          </w:p>
        </w:tc>
        <w:tc>
          <w:tcPr>
            <w:tcW w:w="963" w:type="dxa"/>
            <w:tcBorders>
              <w:top w:val="single" w:sz="4" w:space="0" w:color="231F20"/>
              <w:left w:val="single" w:sz="4" w:space="0" w:color="231F20"/>
              <w:bottom w:val="single" w:sz="4" w:space="0" w:color="231F20"/>
              <w:right w:val="single" w:sz="4" w:space="0" w:color="231F20"/>
            </w:tcBorders>
          </w:tcPr>
          <w:p w14:paraId="7F86658C" w14:textId="77777777" w:rsidR="009948F1" w:rsidRDefault="00BC0563">
            <w:pPr>
              <w:pStyle w:val="TableParagraph"/>
              <w:spacing w:before="4"/>
              <w:ind w:left="160"/>
              <w:rPr>
                <w:b/>
                <w:sz w:val="20"/>
              </w:rPr>
            </w:pPr>
            <w:r>
              <w:rPr>
                <w:b/>
                <w:color w:val="231F20"/>
                <w:w w:val="76"/>
                <w:sz w:val="20"/>
              </w:rPr>
              <w:t>?</w:t>
            </w:r>
          </w:p>
          <w:p w14:paraId="61F2A2FE" w14:textId="77777777" w:rsidR="009948F1" w:rsidRDefault="00BC0563">
            <w:pPr>
              <w:pStyle w:val="TableParagraph"/>
              <w:spacing w:before="13" w:line="226" w:lineRule="exact"/>
              <w:ind w:left="114"/>
              <w:rPr>
                <w:rFonts w:ascii="Carlito"/>
                <w:sz w:val="20"/>
              </w:rPr>
            </w:pPr>
            <w:r>
              <w:rPr>
                <w:rFonts w:ascii="Carlito"/>
                <w:color w:val="231F20"/>
                <w:sz w:val="20"/>
              </w:rPr>
              <w:t>2,138M</w:t>
            </w:r>
          </w:p>
        </w:tc>
        <w:tc>
          <w:tcPr>
            <w:tcW w:w="1065" w:type="dxa"/>
            <w:tcBorders>
              <w:top w:val="single" w:sz="4" w:space="0" w:color="231F20"/>
              <w:left w:val="single" w:sz="4" w:space="0" w:color="231F20"/>
              <w:bottom w:val="single" w:sz="4" w:space="0" w:color="231F20"/>
            </w:tcBorders>
          </w:tcPr>
          <w:p w14:paraId="3463E349" w14:textId="77777777" w:rsidR="009948F1" w:rsidRDefault="00BC0563">
            <w:pPr>
              <w:pStyle w:val="TableParagraph"/>
              <w:spacing w:before="125"/>
              <w:ind w:left="160"/>
              <w:rPr>
                <w:rFonts w:ascii="Carlito"/>
                <w:sz w:val="20"/>
              </w:rPr>
            </w:pPr>
            <w:r>
              <w:rPr>
                <w:color w:val="231F20"/>
                <w:sz w:val="20"/>
              </w:rPr>
              <w:t xml:space="preserve">? </w:t>
            </w:r>
            <w:r>
              <w:rPr>
                <w:rFonts w:ascii="Carlito"/>
                <w:color w:val="231F20"/>
                <w:sz w:val="20"/>
              </w:rPr>
              <w:t>9,179M</w:t>
            </w:r>
          </w:p>
        </w:tc>
        <w:tc>
          <w:tcPr>
            <w:tcW w:w="827" w:type="dxa"/>
            <w:tcBorders>
              <w:top w:val="single" w:sz="4" w:space="0" w:color="231F20"/>
              <w:bottom w:val="single" w:sz="4" w:space="0" w:color="231F20"/>
            </w:tcBorders>
          </w:tcPr>
          <w:p w14:paraId="77132868" w14:textId="77777777" w:rsidR="009948F1" w:rsidRDefault="00BC0563">
            <w:pPr>
              <w:pStyle w:val="TableParagraph"/>
              <w:spacing w:before="125"/>
              <w:ind w:left="109"/>
              <w:rPr>
                <w:rFonts w:ascii="Carlito"/>
                <w:b/>
                <w:sz w:val="20"/>
              </w:rPr>
            </w:pPr>
            <w:r>
              <w:rPr>
                <w:rFonts w:ascii="Carlito"/>
                <w:b/>
                <w:color w:val="231F20"/>
                <w:sz w:val="20"/>
              </w:rPr>
              <w:t>3.2%</w:t>
            </w:r>
          </w:p>
        </w:tc>
      </w:tr>
      <w:tr w:rsidR="009948F1" w14:paraId="540CCC2A" w14:textId="77777777">
        <w:trPr>
          <w:trHeight w:val="495"/>
        </w:trPr>
        <w:tc>
          <w:tcPr>
            <w:tcW w:w="2165" w:type="dxa"/>
            <w:tcBorders>
              <w:top w:val="single" w:sz="4" w:space="0" w:color="231F20"/>
              <w:bottom w:val="single" w:sz="4" w:space="0" w:color="231F20"/>
              <w:right w:val="single" w:sz="4" w:space="0" w:color="231F20"/>
            </w:tcBorders>
            <w:shd w:val="clear" w:color="auto" w:fill="F1F2F2"/>
          </w:tcPr>
          <w:p w14:paraId="29400C98" w14:textId="77777777" w:rsidR="009948F1" w:rsidRDefault="00BC0563">
            <w:pPr>
              <w:pStyle w:val="TableParagraph"/>
              <w:spacing w:before="116"/>
              <w:ind w:left="352"/>
              <w:rPr>
                <w:b/>
                <w:sz w:val="20"/>
              </w:rPr>
            </w:pPr>
            <w:r>
              <w:rPr>
                <w:b/>
                <w:color w:val="231F20"/>
                <w:sz w:val="20"/>
              </w:rPr>
              <w:t>Malaria</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92FEEC0" w14:textId="77777777" w:rsidR="009948F1" w:rsidRDefault="00BC0563">
            <w:pPr>
              <w:pStyle w:val="TableParagraph"/>
              <w:spacing w:before="4"/>
              <w:ind w:left="113"/>
              <w:rPr>
                <w:b/>
                <w:sz w:val="20"/>
              </w:rPr>
            </w:pPr>
            <w:r>
              <w:rPr>
                <w:b/>
                <w:color w:val="231F20"/>
                <w:w w:val="76"/>
                <w:sz w:val="20"/>
              </w:rPr>
              <w:t>?</w:t>
            </w:r>
          </w:p>
          <w:p w14:paraId="5EE6F2D2" w14:textId="77777777" w:rsidR="009948F1" w:rsidRDefault="00BC0563">
            <w:pPr>
              <w:pStyle w:val="TableParagraph"/>
              <w:spacing w:before="15" w:line="226" w:lineRule="exact"/>
              <w:ind w:left="113"/>
              <w:rPr>
                <w:rFonts w:ascii="Carlito"/>
                <w:sz w:val="20"/>
              </w:rPr>
            </w:pPr>
            <w:r>
              <w:rPr>
                <w:rFonts w:ascii="Carlito"/>
                <w:color w:val="231F20"/>
                <w:sz w:val="20"/>
              </w:rPr>
              <w:t>1,847M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5CFE4F88" w14:textId="77777777" w:rsidR="009948F1" w:rsidRDefault="00BC0563">
            <w:pPr>
              <w:pStyle w:val="TableParagraph"/>
              <w:spacing w:before="4"/>
              <w:ind w:left="114"/>
              <w:rPr>
                <w:b/>
                <w:sz w:val="20"/>
              </w:rPr>
            </w:pPr>
            <w:r>
              <w:rPr>
                <w:b/>
                <w:color w:val="231F20"/>
                <w:w w:val="76"/>
                <w:sz w:val="20"/>
              </w:rPr>
              <w:t>?</w:t>
            </w:r>
          </w:p>
          <w:p w14:paraId="233E0E2B" w14:textId="77777777" w:rsidR="009948F1" w:rsidRDefault="00BC0563">
            <w:pPr>
              <w:pStyle w:val="TableParagraph"/>
              <w:spacing w:before="15" w:line="226" w:lineRule="exact"/>
              <w:ind w:left="114"/>
              <w:rPr>
                <w:rFonts w:ascii="Carlito"/>
                <w:sz w:val="20"/>
              </w:rPr>
            </w:pPr>
            <w:r>
              <w:rPr>
                <w:rFonts w:ascii="Carlito"/>
                <w:color w:val="231F20"/>
                <w:sz w:val="20"/>
              </w:rPr>
              <w:t>1,719M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EB24178" w14:textId="77777777" w:rsidR="009948F1" w:rsidRDefault="00BC0563">
            <w:pPr>
              <w:pStyle w:val="TableParagraph"/>
              <w:spacing w:before="4"/>
              <w:ind w:left="113"/>
              <w:rPr>
                <w:b/>
                <w:sz w:val="20"/>
              </w:rPr>
            </w:pPr>
            <w:r>
              <w:rPr>
                <w:b/>
                <w:color w:val="231F20"/>
                <w:w w:val="76"/>
                <w:sz w:val="20"/>
              </w:rPr>
              <w:t>?</w:t>
            </w:r>
          </w:p>
          <w:p w14:paraId="378654C3" w14:textId="77777777" w:rsidR="009948F1" w:rsidRDefault="00BC0563">
            <w:pPr>
              <w:pStyle w:val="TableParagraph"/>
              <w:spacing w:before="15" w:line="226" w:lineRule="exact"/>
              <w:ind w:left="113"/>
              <w:rPr>
                <w:rFonts w:ascii="Carlito"/>
                <w:sz w:val="20"/>
              </w:rPr>
            </w:pPr>
            <w:r>
              <w:rPr>
                <w:rFonts w:ascii="Carlito"/>
                <w:color w:val="231F20"/>
                <w:sz w:val="20"/>
              </w:rPr>
              <w:t>2,745M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376E9136" w14:textId="77777777" w:rsidR="009948F1" w:rsidRDefault="00BC0563">
            <w:pPr>
              <w:pStyle w:val="TableParagraph"/>
              <w:spacing w:before="4"/>
              <w:ind w:left="114"/>
              <w:rPr>
                <w:b/>
                <w:sz w:val="20"/>
              </w:rPr>
            </w:pPr>
            <w:r>
              <w:rPr>
                <w:b/>
                <w:color w:val="231F20"/>
                <w:w w:val="76"/>
                <w:sz w:val="20"/>
              </w:rPr>
              <w:t>?</w:t>
            </w:r>
          </w:p>
          <w:p w14:paraId="27C58C53" w14:textId="77777777" w:rsidR="009948F1" w:rsidRDefault="00BC0563">
            <w:pPr>
              <w:pStyle w:val="TableParagraph"/>
              <w:spacing w:before="15" w:line="226" w:lineRule="exact"/>
              <w:ind w:left="114"/>
              <w:rPr>
                <w:rFonts w:ascii="Carlito"/>
                <w:sz w:val="20"/>
              </w:rPr>
            </w:pPr>
            <w:r>
              <w:rPr>
                <w:rFonts w:ascii="Carlito"/>
                <w:color w:val="231F20"/>
                <w:sz w:val="20"/>
              </w:rPr>
              <w:t>2,600M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60A51F79" w14:textId="77777777" w:rsidR="009948F1" w:rsidRDefault="00BC0563">
            <w:pPr>
              <w:pStyle w:val="TableParagraph"/>
              <w:spacing w:before="4"/>
              <w:ind w:left="114"/>
              <w:rPr>
                <w:b/>
                <w:sz w:val="20"/>
              </w:rPr>
            </w:pPr>
            <w:r>
              <w:rPr>
                <w:b/>
                <w:color w:val="231F20"/>
                <w:w w:val="76"/>
                <w:sz w:val="20"/>
              </w:rPr>
              <w:t>?</w:t>
            </w:r>
          </w:p>
          <w:p w14:paraId="39B53E33" w14:textId="77777777" w:rsidR="009948F1" w:rsidRDefault="00BC0563">
            <w:pPr>
              <w:pStyle w:val="TableParagraph"/>
              <w:spacing w:before="15" w:line="226" w:lineRule="exact"/>
              <w:ind w:left="114"/>
              <w:rPr>
                <w:rFonts w:ascii="Carlito"/>
                <w:sz w:val="20"/>
              </w:rPr>
            </w:pPr>
            <w:r>
              <w:rPr>
                <w:rFonts w:ascii="Carlito"/>
                <w:color w:val="231F20"/>
                <w:sz w:val="20"/>
              </w:rPr>
              <w:t>2,395M</w:t>
            </w:r>
          </w:p>
        </w:tc>
        <w:tc>
          <w:tcPr>
            <w:tcW w:w="1065" w:type="dxa"/>
            <w:tcBorders>
              <w:top w:val="single" w:sz="4" w:space="0" w:color="231F20"/>
              <w:left w:val="single" w:sz="4" w:space="0" w:color="231F20"/>
              <w:bottom w:val="single" w:sz="4" w:space="0" w:color="231F20"/>
            </w:tcBorders>
            <w:shd w:val="clear" w:color="auto" w:fill="F1F2F2"/>
          </w:tcPr>
          <w:p w14:paraId="791FEAD0" w14:textId="77777777" w:rsidR="009948F1" w:rsidRDefault="00BC0563">
            <w:pPr>
              <w:pStyle w:val="TableParagraph"/>
              <w:spacing w:before="4"/>
              <w:ind w:left="114"/>
              <w:rPr>
                <w:b/>
                <w:sz w:val="20"/>
              </w:rPr>
            </w:pPr>
            <w:r>
              <w:rPr>
                <w:b/>
                <w:color w:val="231F20"/>
                <w:w w:val="76"/>
                <w:sz w:val="20"/>
              </w:rPr>
              <w:t>?</w:t>
            </w:r>
          </w:p>
          <w:p w14:paraId="588027EB" w14:textId="77777777" w:rsidR="009948F1" w:rsidRDefault="00BC0563">
            <w:pPr>
              <w:pStyle w:val="TableParagraph"/>
              <w:spacing w:before="15" w:line="226" w:lineRule="exact"/>
              <w:ind w:left="114"/>
              <w:rPr>
                <w:rFonts w:ascii="Carlito"/>
                <w:sz w:val="20"/>
              </w:rPr>
            </w:pPr>
            <w:r>
              <w:rPr>
                <w:rFonts w:ascii="Carlito"/>
                <w:color w:val="231F20"/>
                <w:sz w:val="20"/>
              </w:rPr>
              <w:t>11,306M</w:t>
            </w:r>
          </w:p>
        </w:tc>
        <w:tc>
          <w:tcPr>
            <w:tcW w:w="827" w:type="dxa"/>
            <w:tcBorders>
              <w:top w:val="single" w:sz="4" w:space="0" w:color="231F20"/>
              <w:bottom w:val="single" w:sz="4" w:space="0" w:color="231F20"/>
            </w:tcBorders>
            <w:shd w:val="clear" w:color="auto" w:fill="F1F2F2"/>
          </w:tcPr>
          <w:p w14:paraId="4788540A" w14:textId="77777777" w:rsidR="009948F1" w:rsidRDefault="00BC0563">
            <w:pPr>
              <w:pStyle w:val="TableParagraph"/>
              <w:spacing w:before="125"/>
              <w:ind w:left="109"/>
              <w:rPr>
                <w:rFonts w:ascii="Carlito"/>
                <w:b/>
                <w:sz w:val="20"/>
              </w:rPr>
            </w:pPr>
            <w:r>
              <w:rPr>
                <w:rFonts w:ascii="Carlito"/>
                <w:b/>
                <w:color w:val="231F20"/>
                <w:sz w:val="20"/>
              </w:rPr>
              <w:t>4.0%</w:t>
            </w:r>
          </w:p>
        </w:tc>
      </w:tr>
      <w:tr w:rsidR="009948F1" w14:paraId="34F7386D" w14:textId="77777777">
        <w:trPr>
          <w:trHeight w:val="493"/>
        </w:trPr>
        <w:tc>
          <w:tcPr>
            <w:tcW w:w="2165" w:type="dxa"/>
            <w:tcBorders>
              <w:top w:val="single" w:sz="4" w:space="0" w:color="231F20"/>
              <w:bottom w:val="single" w:sz="4" w:space="0" w:color="231F20"/>
              <w:right w:val="single" w:sz="4" w:space="0" w:color="231F20"/>
            </w:tcBorders>
          </w:tcPr>
          <w:p w14:paraId="0A013A82" w14:textId="77777777" w:rsidR="009948F1" w:rsidRDefault="00BC0563">
            <w:pPr>
              <w:pStyle w:val="TableParagraph"/>
              <w:spacing w:before="114"/>
              <w:ind w:left="352"/>
              <w:rPr>
                <w:b/>
                <w:sz w:val="20"/>
              </w:rPr>
            </w:pPr>
            <w:r>
              <w:rPr>
                <w:b/>
                <w:color w:val="231F20"/>
                <w:sz w:val="20"/>
              </w:rPr>
              <w:t>TB</w:t>
            </w:r>
          </w:p>
        </w:tc>
        <w:tc>
          <w:tcPr>
            <w:tcW w:w="963" w:type="dxa"/>
            <w:tcBorders>
              <w:top w:val="single" w:sz="4" w:space="0" w:color="231F20"/>
              <w:left w:val="single" w:sz="4" w:space="0" w:color="231F20"/>
              <w:bottom w:val="single" w:sz="4" w:space="0" w:color="231F20"/>
              <w:right w:val="single" w:sz="4" w:space="0" w:color="231F20"/>
            </w:tcBorders>
          </w:tcPr>
          <w:p w14:paraId="6C2E3922" w14:textId="77777777" w:rsidR="009948F1" w:rsidRDefault="00BC0563">
            <w:pPr>
              <w:pStyle w:val="TableParagraph"/>
              <w:spacing w:before="4"/>
              <w:ind w:left="160"/>
              <w:rPr>
                <w:b/>
                <w:sz w:val="20"/>
              </w:rPr>
            </w:pPr>
            <w:r>
              <w:rPr>
                <w:b/>
                <w:color w:val="231F20"/>
                <w:w w:val="76"/>
                <w:sz w:val="20"/>
              </w:rPr>
              <w:t>?</w:t>
            </w:r>
          </w:p>
          <w:p w14:paraId="4452B820" w14:textId="77777777" w:rsidR="009948F1" w:rsidRDefault="00BC0563">
            <w:pPr>
              <w:pStyle w:val="TableParagraph"/>
              <w:spacing w:before="15" w:line="224" w:lineRule="exact"/>
              <w:ind w:left="113"/>
              <w:rPr>
                <w:rFonts w:ascii="Carlito"/>
                <w:sz w:val="20"/>
              </w:rPr>
            </w:pPr>
            <w:r>
              <w:rPr>
                <w:rFonts w:ascii="Carlito"/>
                <w:color w:val="231F20"/>
                <w:sz w:val="20"/>
              </w:rPr>
              <w:t>7,244M</w:t>
            </w:r>
          </w:p>
        </w:tc>
        <w:tc>
          <w:tcPr>
            <w:tcW w:w="961" w:type="dxa"/>
            <w:tcBorders>
              <w:top w:val="single" w:sz="4" w:space="0" w:color="231F20"/>
              <w:left w:val="single" w:sz="4" w:space="0" w:color="231F20"/>
              <w:bottom w:val="single" w:sz="4" w:space="0" w:color="231F20"/>
              <w:right w:val="single" w:sz="4" w:space="0" w:color="231F20"/>
            </w:tcBorders>
          </w:tcPr>
          <w:p w14:paraId="346E7752" w14:textId="77777777" w:rsidR="009948F1" w:rsidRDefault="00BC0563">
            <w:pPr>
              <w:pStyle w:val="TableParagraph"/>
              <w:spacing w:before="4"/>
              <w:ind w:left="160"/>
              <w:rPr>
                <w:b/>
                <w:sz w:val="20"/>
              </w:rPr>
            </w:pPr>
            <w:r>
              <w:rPr>
                <w:b/>
                <w:color w:val="231F20"/>
                <w:w w:val="76"/>
                <w:sz w:val="20"/>
              </w:rPr>
              <w:t>?</w:t>
            </w:r>
          </w:p>
          <w:p w14:paraId="0CE45A83" w14:textId="77777777" w:rsidR="009948F1" w:rsidRDefault="00BC0563">
            <w:pPr>
              <w:pStyle w:val="TableParagraph"/>
              <w:spacing w:before="15" w:line="224" w:lineRule="exact"/>
              <w:ind w:left="114"/>
              <w:rPr>
                <w:rFonts w:ascii="Carlito"/>
                <w:sz w:val="20"/>
              </w:rPr>
            </w:pPr>
            <w:r>
              <w:rPr>
                <w:rFonts w:ascii="Carlito"/>
                <w:color w:val="231F20"/>
                <w:sz w:val="20"/>
              </w:rPr>
              <w:t>9,838M</w:t>
            </w:r>
          </w:p>
        </w:tc>
        <w:tc>
          <w:tcPr>
            <w:tcW w:w="963" w:type="dxa"/>
            <w:tcBorders>
              <w:top w:val="single" w:sz="4" w:space="0" w:color="231F20"/>
              <w:left w:val="single" w:sz="4" w:space="0" w:color="231F20"/>
              <w:bottom w:val="single" w:sz="4" w:space="0" w:color="231F20"/>
              <w:right w:val="single" w:sz="4" w:space="0" w:color="231F20"/>
            </w:tcBorders>
          </w:tcPr>
          <w:p w14:paraId="2F70FF46" w14:textId="77777777" w:rsidR="009948F1" w:rsidRDefault="00BC0563">
            <w:pPr>
              <w:pStyle w:val="TableParagraph"/>
              <w:spacing w:before="4"/>
              <w:ind w:left="160"/>
              <w:rPr>
                <w:b/>
                <w:sz w:val="20"/>
              </w:rPr>
            </w:pPr>
            <w:r>
              <w:rPr>
                <w:b/>
                <w:color w:val="231F20"/>
                <w:w w:val="76"/>
                <w:sz w:val="20"/>
              </w:rPr>
              <w:t>?</w:t>
            </w:r>
          </w:p>
          <w:p w14:paraId="1CFDF64D" w14:textId="77777777" w:rsidR="009948F1" w:rsidRDefault="00BC0563">
            <w:pPr>
              <w:pStyle w:val="TableParagraph"/>
              <w:spacing w:before="15" w:line="224" w:lineRule="exact"/>
              <w:ind w:left="113"/>
              <w:rPr>
                <w:rFonts w:ascii="Carlito"/>
                <w:sz w:val="20"/>
              </w:rPr>
            </w:pPr>
            <w:r>
              <w:rPr>
                <w:rFonts w:ascii="Carlito"/>
                <w:color w:val="231F20"/>
                <w:sz w:val="20"/>
              </w:rPr>
              <w:t>10,988M</w:t>
            </w:r>
          </w:p>
        </w:tc>
        <w:tc>
          <w:tcPr>
            <w:tcW w:w="963" w:type="dxa"/>
            <w:tcBorders>
              <w:top w:val="single" w:sz="4" w:space="0" w:color="231F20"/>
              <w:left w:val="single" w:sz="4" w:space="0" w:color="231F20"/>
              <w:bottom w:val="single" w:sz="4" w:space="0" w:color="231F20"/>
              <w:right w:val="single" w:sz="4" w:space="0" w:color="231F20"/>
            </w:tcBorders>
          </w:tcPr>
          <w:p w14:paraId="55DEA197" w14:textId="77777777" w:rsidR="009948F1" w:rsidRDefault="00BC0563">
            <w:pPr>
              <w:pStyle w:val="TableParagraph"/>
              <w:spacing w:before="4"/>
              <w:ind w:left="160"/>
              <w:rPr>
                <w:b/>
                <w:sz w:val="20"/>
              </w:rPr>
            </w:pPr>
            <w:r>
              <w:rPr>
                <w:b/>
                <w:color w:val="231F20"/>
                <w:w w:val="76"/>
                <w:sz w:val="20"/>
              </w:rPr>
              <w:t>?</w:t>
            </w:r>
          </w:p>
          <w:p w14:paraId="58EA11D8" w14:textId="77777777" w:rsidR="009948F1" w:rsidRDefault="00BC0563">
            <w:pPr>
              <w:pStyle w:val="TableParagraph"/>
              <w:spacing w:before="15" w:line="224" w:lineRule="exact"/>
              <w:ind w:left="114"/>
              <w:rPr>
                <w:rFonts w:ascii="Carlito"/>
                <w:sz w:val="20"/>
              </w:rPr>
            </w:pPr>
            <w:r>
              <w:rPr>
                <w:rFonts w:ascii="Carlito"/>
                <w:color w:val="231F20"/>
                <w:sz w:val="20"/>
              </w:rPr>
              <w:t>12,358M</w:t>
            </w:r>
          </w:p>
        </w:tc>
        <w:tc>
          <w:tcPr>
            <w:tcW w:w="963" w:type="dxa"/>
            <w:tcBorders>
              <w:top w:val="single" w:sz="4" w:space="0" w:color="231F20"/>
              <w:left w:val="single" w:sz="4" w:space="0" w:color="231F20"/>
              <w:bottom w:val="single" w:sz="4" w:space="0" w:color="231F20"/>
              <w:right w:val="single" w:sz="4" w:space="0" w:color="231F20"/>
            </w:tcBorders>
          </w:tcPr>
          <w:p w14:paraId="26BB6C34" w14:textId="77777777" w:rsidR="009948F1" w:rsidRDefault="00BC0563">
            <w:pPr>
              <w:pStyle w:val="TableParagraph"/>
              <w:spacing w:before="4"/>
              <w:ind w:left="160"/>
              <w:rPr>
                <w:b/>
                <w:sz w:val="20"/>
              </w:rPr>
            </w:pPr>
            <w:r>
              <w:rPr>
                <w:b/>
                <w:color w:val="231F20"/>
                <w:w w:val="76"/>
                <w:sz w:val="20"/>
              </w:rPr>
              <w:t>?</w:t>
            </w:r>
          </w:p>
          <w:p w14:paraId="7F32CD78" w14:textId="77777777" w:rsidR="009948F1" w:rsidRDefault="00BC0563">
            <w:pPr>
              <w:pStyle w:val="TableParagraph"/>
              <w:spacing w:before="15" w:line="224" w:lineRule="exact"/>
              <w:ind w:left="114"/>
              <w:rPr>
                <w:rFonts w:ascii="Carlito"/>
                <w:sz w:val="20"/>
              </w:rPr>
            </w:pPr>
            <w:r>
              <w:rPr>
                <w:rFonts w:ascii="Carlito"/>
                <w:color w:val="231F20"/>
                <w:sz w:val="20"/>
              </w:rPr>
              <w:t>13,459M</w:t>
            </w:r>
          </w:p>
        </w:tc>
        <w:tc>
          <w:tcPr>
            <w:tcW w:w="1065" w:type="dxa"/>
            <w:tcBorders>
              <w:top w:val="single" w:sz="4" w:space="0" w:color="231F20"/>
              <w:left w:val="single" w:sz="4" w:space="0" w:color="231F20"/>
              <w:bottom w:val="single" w:sz="4" w:space="0" w:color="231F20"/>
            </w:tcBorders>
          </w:tcPr>
          <w:p w14:paraId="5B0178D7" w14:textId="77777777" w:rsidR="009948F1" w:rsidRDefault="00BC0563">
            <w:pPr>
              <w:pStyle w:val="TableParagraph"/>
              <w:spacing w:before="4"/>
              <w:ind w:left="160"/>
              <w:rPr>
                <w:b/>
                <w:sz w:val="20"/>
              </w:rPr>
            </w:pPr>
            <w:r>
              <w:rPr>
                <w:b/>
                <w:color w:val="231F20"/>
                <w:w w:val="76"/>
                <w:sz w:val="20"/>
              </w:rPr>
              <w:t>?</w:t>
            </w:r>
          </w:p>
          <w:p w14:paraId="6285C0DF" w14:textId="77777777" w:rsidR="009948F1" w:rsidRDefault="00BC0563">
            <w:pPr>
              <w:pStyle w:val="TableParagraph"/>
              <w:spacing w:before="15" w:line="224" w:lineRule="exact"/>
              <w:ind w:left="114"/>
              <w:rPr>
                <w:rFonts w:ascii="Carlito"/>
                <w:sz w:val="20"/>
              </w:rPr>
            </w:pPr>
            <w:r>
              <w:rPr>
                <w:rFonts w:ascii="Carlito"/>
                <w:color w:val="231F20"/>
                <w:sz w:val="20"/>
              </w:rPr>
              <w:t>53,887M</w:t>
            </w:r>
          </w:p>
        </w:tc>
        <w:tc>
          <w:tcPr>
            <w:tcW w:w="827" w:type="dxa"/>
            <w:tcBorders>
              <w:top w:val="single" w:sz="4" w:space="0" w:color="231F20"/>
              <w:bottom w:val="single" w:sz="4" w:space="0" w:color="231F20"/>
            </w:tcBorders>
          </w:tcPr>
          <w:p w14:paraId="40451303" w14:textId="77777777" w:rsidR="009948F1" w:rsidRDefault="00BC0563">
            <w:pPr>
              <w:pStyle w:val="TableParagraph"/>
              <w:spacing w:before="125"/>
              <w:ind w:left="109"/>
              <w:rPr>
                <w:rFonts w:ascii="Carlito"/>
                <w:b/>
                <w:sz w:val="20"/>
              </w:rPr>
            </w:pPr>
            <w:r>
              <w:rPr>
                <w:rFonts w:ascii="Carlito"/>
                <w:b/>
                <w:color w:val="231F20"/>
                <w:sz w:val="20"/>
              </w:rPr>
              <w:t>19.1%</w:t>
            </w:r>
          </w:p>
        </w:tc>
      </w:tr>
      <w:tr w:rsidR="009948F1" w14:paraId="57913685" w14:textId="77777777">
        <w:trPr>
          <w:trHeight w:val="495"/>
        </w:trPr>
        <w:tc>
          <w:tcPr>
            <w:tcW w:w="2165" w:type="dxa"/>
            <w:tcBorders>
              <w:top w:val="single" w:sz="4" w:space="0" w:color="231F20"/>
              <w:bottom w:val="single" w:sz="4" w:space="0" w:color="231F20"/>
              <w:right w:val="single" w:sz="4" w:space="0" w:color="231F20"/>
            </w:tcBorders>
            <w:shd w:val="clear" w:color="auto" w:fill="F1F2F2"/>
          </w:tcPr>
          <w:p w14:paraId="0B3C7B60" w14:textId="77777777" w:rsidR="009948F1" w:rsidRDefault="00BC0563">
            <w:pPr>
              <w:pStyle w:val="TableParagraph"/>
              <w:spacing w:before="116"/>
              <w:ind w:left="352"/>
              <w:rPr>
                <w:b/>
                <w:sz w:val="20"/>
              </w:rPr>
            </w:pPr>
            <w:r>
              <w:rPr>
                <w:b/>
                <w:color w:val="231F20"/>
                <w:sz w:val="20"/>
              </w:rPr>
              <w:t>HIV/AIDS</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2A55DA2F" w14:textId="77777777" w:rsidR="009948F1" w:rsidRDefault="00BC0563">
            <w:pPr>
              <w:pStyle w:val="TableParagraph"/>
              <w:spacing w:before="7"/>
              <w:ind w:left="113"/>
              <w:rPr>
                <w:b/>
                <w:sz w:val="20"/>
              </w:rPr>
            </w:pPr>
            <w:r>
              <w:rPr>
                <w:b/>
                <w:color w:val="231F20"/>
                <w:w w:val="76"/>
                <w:sz w:val="20"/>
              </w:rPr>
              <w:t>?</w:t>
            </w:r>
          </w:p>
          <w:p w14:paraId="3A9FFB6A" w14:textId="77777777" w:rsidR="009948F1" w:rsidRDefault="00BC0563">
            <w:pPr>
              <w:pStyle w:val="TableParagraph"/>
              <w:spacing w:before="12" w:line="226" w:lineRule="exact"/>
              <w:ind w:left="113"/>
              <w:rPr>
                <w:rFonts w:ascii="Carlito"/>
                <w:sz w:val="20"/>
              </w:rPr>
            </w:pPr>
            <w:r>
              <w:rPr>
                <w:rFonts w:ascii="Carlito"/>
                <w:color w:val="231F20"/>
                <w:sz w:val="20"/>
              </w:rPr>
              <w:t>3,893M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267CF025" w14:textId="77777777" w:rsidR="009948F1" w:rsidRDefault="00BC0563">
            <w:pPr>
              <w:pStyle w:val="TableParagraph"/>
              <w:spacing w:before="7"/>
              <w:ind w:left="114"/>
              <w:rPr>
                <w:b/>
                <w:sz w:val="20"/>
              </w:rPr>
            </w:pPr>
            <w:r>
              <w:rPr>
                <w:b/>
                <w:color w:val="231F20"/>
                <w:w w:val="76"/>
                <w:sz w:val="20"/>
              </w:rPr>
              <w:t>?</w:t>
            </w:r>
          </w:p>
          <w:p w14:paraId="22157EBB" w14:textId="77777777" w:rsidR="009948F1" w:rsidRDefault="00BC0563">
            <w:pPr>
              <w:pStyle w:val="TableParagraph"/>
              <w:spacing w:before="12" w:line="226" w:lineRule="exact"/>
              <w:ind w:left="114"/>
              <w:rPr>
                <w:rFonts w:ascii="Carlito"/>
                <w:sz w:val="20"/>
              </w:rPr>
            </w:pPr>
            <w:r>
              <w:rPr>
                <w:rFonts w:ascii="Carlito"/>
                <w:color w:val="231F20"/>
                <w:sz w:val="20"/>
              </w:rPr>
              <w:t>4,646M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2DAB83C2" w14:textId="77777777" w:rsidR="009948F1" w:rsidRDefault="00BC0563">
            <w:pPr>
              <w:pStyle w:val="TableParagraph"/>
              <w:spacing w:before="7"/>
              <w:ind w:left="113"/>
              <w:rPr>
                <w:b/>
                <w:sz w:val="20"/>
              </w:rPr>
            </w:pPr>
            <w:r>
              <w:rPr>
                <w:b/>
                <w:color w:val="231F20"/>
                <w:w w:val="76"/>
                <w:sz w:val="20"/>
              </w:rPr>
              <w:t>?</w:t>
            </w:r>
          </w:p>
          <w:p w14:paraId="27EA6951" w14:textId="77777777" w:rsidR="009948F1" w:rsidRDefault="00BC0563">
            <w:pPr>
              <w:pStyle w:val="TableParagraph"/>
              <w:spacing w:before="12" w:line="226" w:lineRule="exact"/>
              <w:ind w:left="113"/>
              <w:rPr>
                <w:rFonts w:ascii="Carlito"/>
                <w:sz w:val="20"/>
              </w:rPr>
            </w:pPr>
            <w:r>
              <w:rPr>
                <w:rFonts w:ascii="Carlito"/>
                <w:color w:val="231F20"/>
                <w:sz w:val="20"/>
              </w:rPr>
              <w:t>5,050M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66D718F9" w14:textId="77777777" w:rsidR="009948F1" w:rsidRDefault="00BC0563">
            <w:pPr>
              <w:pStyle w:val="TableParagraph"/>
              <w:spacing w:before="7"/>
              <w:ind w:left="114"/>
              <w:rPr>
                <w:b/>
                <w:sz w:val="20"/>
              </w:rPr>
            </w:pPr>
            <w:r>
              <w:rPr>
                <w:b/>
                <w:color w:val="231F20"/>
                <w:w w:val="76"/>
                <w:sz w:val="20"/>
              </w:rPr>
              <w:t>?</w:t>
            </w:r>
          </w:p>
          <w:p w14:paraId="64E5EC69" w14:textId="77777777" w:rsidR="009948F1" w:rsidRDefault="00BC0563">
            <w:pPr>
              <w:pStyle w:val="TableParagraph"/>
              <w:spacing w:before="12" w:line="226" w:lineRule="exact"/>
              <w:ind w:left="114"/>
              <w:rPr>
                <w:rFonts w:ascii="Carlito"/>
                <w:sz w:val="20"/>
              </w:rPr>
            </w:pPr>
            <w:r>
              <w:rPr>
                <w:rFonts w:ascii="Carlito"/>
                <w:color w:val="231F20"/>
                <w:sz w:val="20"/>
              </w:rPr>
              <w:t>5,504M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63AB5DD2" w14:textId="77777777" w:rsidR="009948F1" w:rsidRDefault="00BC0563">
            <w:pPr>
              <w:pStyle w:val="TableParagraph"/>
              <w:spacing w:before="7"/>
              <w:ind w:left="114"/>
              <w:rPr>
                <w:b/>
                <w:sz w:val="20"/>
              </w:rPr>
            </w:pPr>
            <w:r>
              <w:rPr>
                <w:b/>
                <w:color w:val="231F20"/>
                <w:w w:val="76"/>
                <w:sz w:val="20"/>
              </w:rPr>
              <w:t>?</w:t>
            </w:r>
          </w:p>
          <w:p w14:paraId="403B2DC9" w14:textId="77777777" w:rsidR="009948F1" w:rsidRDefault="00BC0563">
            <w:pPr>
              <w:pStyle w:val="TableParagraph"/>
              <w:spacing w:before="12" w:line="226" w:lineRule="exact"/>
              <w:ind w:left="114"/>
              <w:rPr>
                <w:rFonts w:ascii="Carlito"/>
                <w:sz w:val="20"/>
              </w:rPr>
            </w:pPr>
            <w:r>
              <w:rPr>
                <w:rFonts w:ascii="Carlito"/>
                <w:color w:val="231F20"/>
                <w:sz w:val="20"/>
              </w:rPr>
              <w:t>5,856M</w:t>
            </w:r>
          </w:p>
        </w:tc>
        <w:tc>
          <w:tcPr>
            <w:tcW w:w="1065" w:type="dxa"/>
            <w:tcBorders>
              <w:top w:val="single" w:sz="4" w:space="0" w:color="231F20"/>
              <w:left w:val="single" w:sz="4" w:space="0" w:color="231F20"/>
              <w:bottom w:val="single" w:sz="4" w:space="0" w:color="231F20"/>
            </w:tcBorders>
            <w:shd w:val="clear" w:color="auto" w:fill="F1F2F2"/>
          </w:tcPr>
          <w:p w14:paraId="39585275" w14:textId="77777777" w:rsidR="009948F1" w:rsidRDefault="00BC0563">
            <w:pPr>
              <w:pStyle w:val="TableParagraph"/>
              <w:spacing w:before="7"/>
              <w:ind w:left="114"/>
              <w:rPr>
                <w:b/>
                <w:sz w:val="20"/>
              </w:rPr>
            </w:pPr>
            <w:r>
              <w:rPr>
                <w:b/>
                <w:color w:val="231F20"/>
                <w:w w:val="76"/>
                <w:sz w:val="20"/>
              </w:rPr>
              <w:t>?</w:t>
            </w:r>
          </w:p>
          <w:p w14:paraId="0C603590" w14:textId="77777777" w:rsidR="009948F1" w:rsidRDefault="00BC0563">
            <w:pPr>
              <w:pStyle w:val="TableParagraph"/>
              <w:spacing w:before="12" w:line="226" w:lineRule="exact"/>
              <w:ind w:left="114"/>
              <w:rPr>
                <w:rFonts w:ascii="Carlito"/>
                <w:sz w:val="20"/>
              </w:rPr>
            </w:pPr>
            <w:r>
              <w:rPr>
                <w:rFonts w:ascii="Carlito"/>
                <w:color w:val="231F20"/>
                <w:sz w:val="20"/>
              </w:rPr>
              <w:t>24,949M</w:t>
            </w:r>
          </w:p>
        </w:tc>
        <w:tc>
          <w:tcPr>
            <w:tcW w:w="827" w:type="dxa"/>
            <w:tcBorders>
              <w:top w:val="single" w:sz="4" w:space="0" w:color="231F20"/>
              <w:bottom w:val="single" w:sz="4" w:space="0" w:color="231F20"/>
            </w:tcBorders>
            <w:shd w:val="clear" w:color="auto" w:fill="F1F2F2"/>
          </w:tcPr>
          <w:p w14:paraId="61F38DBB" w14:textId="77777777" w:rsidR="009948F1" w:rsidRDefault="00BC0563">
            <w:pPr>
              <w:pStyle w:val="TableParagraph"/>
              <w:spacing w:before="125"/>
              <w:ind w:left="109"/>
              <w:rPr>
                <w:rFonts w:ascii="Carlito"/>
                <w:b/>
                <w:sz w:val="20"/>
              </w:rPr>
            </w:pPr>
            <w:r>
              <w:rPr>
                <w:rFonts w:ascii="Carlito"/>
                <w:b/>
                <w:color w:val="231F20"/>
                <w:sz w:val="20"/>
              </w:rPr>
              <w:t>8.8%</w:t>
            </w:r>
          </w:p>
        </w:tc>
      </w:tr>
      <w:tr w:rsidR="009948F1" w14:paraId="761D2802" w14:textId="77777777">
        <w:trPr>
          <w:trHeight w:val="495"/>
        </w:trPr>
        <w:tc>
          <w:tcPr>
            <w:tcW w:w="2165" w:type="dxa"/>
            <w:tcBorders>
              <w:top w:val="single" w:sz="4" w:space="0" w:color="231F20"/>
              <w:bottom w:val="single" w:sz="4" w:space="0" w:color="231F20"/>
              <w:right w:val="single" w:sz="4" w:space="0" w:color="231F20"/>
            </w:tcBorders>
          </w:tcPr>
          <w:p w14:paraId="78E56242" w14:textId="77777777" w:rsidR="009948F1" w:rsidRDefault="00BC0563">
            <w:pPr>
              <w:pStyle w:val="TableParagraph"/>
              <w:spacing w:before="116"/>
              <w:ind w:left="352"/>
              <w:rPr>
                <w:b/>
                <w:sz w:val="20"/>
              </w:rPr>
            </w:pPr>
            <w:r>
              <w:rPr>
                <w:b/>
                <w:color w:val="231F20"/>
                <w:sz w:val="20"/>
              </w:rPr>
              <w:t>Nutrition</w:t>
            </w:r>
          </w:p>
        </w:tc>
        <w:tc>
          <w:tcPr>
            <w:tcW w:w="963" w:type="dxa"/>
            <w:tcBorders>
              <w:top w:val="single" w:sz="4" w:space="0" w:color="231F20"/>
              <w:left w:val="single" w:sz="4" w:space="0" w:color="231F20"/>
              <w:bottom w:val="single" w:sz="4" w:space="0" w:color="231F20"/>
              <w:right w:val="single" w:sz="4" w:space="0" w:color="231F20"/>
            </w:tcBorders>
          </w:tcPr>
          <w:p w14:paraId="12F764EE" w14:textId="77777777" w:rsidR="009948F1" w:rsidRDefault="00BC0563">
            <w:pPr>
              <w:pStyle w:val="TableParagraph"/>
              <w:spacing w:before="4"/>
              <w:ind w:left="160"/>
              <w:rPr>
                <w:b/>
                <w:sz w:val="20"/>
              </w:rPr>
            </w:pPr>
            <w:r>
              <w:rPr>
                <w:b/>
                <w:color w:val="231F20"/>
                <w:w w:val="76"/>
                <w:sz w:val="20"/>
              </w:rPr>
              <w:t>?</w:t>
            </w:r>
          </w:p>
          <w:p w14:paraId="37E7C81E" w14:textId="77777777" w:rsidR="009948F1" w:rsidRDefault="00BC0563">
            <w:pPr>
              <w:pStyle w:val="TableParagraph"/>
              <w:spacing w:before="15" w:line="226" w:lineRule="exact"/>
              <w:ind w:left="113"/>
              <w:rPr>
                <w:rFonts w:ascii="Carlito"/>
                <w:sz w:val="20"/>
              </w:rPr>
            </w:pPr>
            <w:r>
              <w:rPr>
                <w:rFonts w:ascii="Carlito"/>
                <w:color w:val="231F20"/>
                <w:sz w:val="20"/>
              </w:rPr>
              <w:t>2,604M</w:t>
            </w:r>
          </w:p>
        </w:tc>
        <w:tc>
          <w:tcPr>
            <w:tcW w:w="961" w:type="dxa"/>
            <w:tcBorders>
              <w:top w:val="single" w:sz="4" w:space="0" w:color="231F20"/>
              <w:left w:val="single" w:sz="4" w:space="0" w:color="231F20"/>
              <w:bottom w:val="single" w:sz="4" w:space="0" w:color="231F20"/>
              <w:right w:val="single" w:sz="4" w:space="0" w:color="231F20"/>
            </w:tcBorders>
          </w:tcPr>
          <w:p w14:paraId="51F4EF94" w14:textId="77777777" w:rsidR="009948F1" w:rsidRDefault="00BC0563">
            <w:pPr>
              <w:pStyle w:val="TableParagraph"/>
              <w:spacing w:before="4"/>
              <w:ind w:left="160"/>
              <w:rPr>
                <w:b/>
                <w:sz w:val="20"/>
              </w:rPr>
            </w:pPr>
            <w:r>
              <w:rPr>
                <w:b/>
                <w:color w:val="231F20"/>
                <w:w w:val="76"/>
                <w:sz w:val="20"/>
              </w:rPr>
              <w:t>?</w:t>
            </w:r>
          </w:p>
          <w:p w14:paraId="3C97E1F3" w14:textId="77777777" w:rsidR="009948F1" w:rsidRDefault="00BC0563">
            <w:pPr>
              <w:pStyle w:val="TableParagraph"/>
              <w:spacing w:before="15" w:line="226" w:lineRule="exact"/>
              <w:ind w:left="114"/>
              <w:rPr>
                <w:rFonts w:ascii="Carlito"/>
                <w:sz w:val="20"/>
              </w:rPr>
            </w:pPr>
            <w:r>
              <w:rPr>
                <w:rFonts w:ascii="Carlito"/>
                <w:color w:val="231F20"/>
                <w:sz w:val="20"/>
              </w:rPr>
              <w:t>3,591M</w:t>
            </w:r>
          </w:p>
        </w:tc>
        <w:tc>
          <w:tcPr>
            <w:tcW w:w="963" w:type="dxa"/>
            <w:tcBorders>
              <w:top w:val="single" w:sz="4" w:space="0" w:color="231F20"/>
              <w:left w:val="single" w:sz="4" w:space="0" w:color="231F20"/>
              <w:bottom w:val="single" w:sz="4" w:space="0" w:color="231F20"/>
              <w:right w:val="single" w:sz="4" w:space="0" w:color="231F20"/>
            </w:tcBorders>
          </w:tcPr>
          <w:p w14:paraId="29C3F14F" w14:textId="77777777" w:rsidR="009948F1" w:rsidRDefault="00BC0563">
            <w:pPr>
              <w:pStyle w:val="TableParagraph"/>
              <w:spacing w:before="4"/>
              <w:ind w:left="160"/>
              <w:rPr>
                <w:b/>
                <w:sz w:val="20"/>
              </w:rPr>
            </w:pPr>
            <w:r>
              <w:rPr>
                <w:b/>
                <w:color w:val="231F20"/>
                <w:w w:val="76"/>
                <w:sz w:val="20"/>
              </w:rPr>
              <w:t>?</w:t>
            </w:r>
          </w:p>
          <w:p w14:paraId="5D0D28DB" w14:textId="77777777" w:rsidR="009948F1" w:rsidRDefault="00BC0563">
            <w:pPr>
              <w:pStyle w:val="TableParagraph"/>
              <w:spacing w:before="15" w:line="226" w:lineRule="exact"/>
              <w:ind w:left="113"/>
              <w:rPr>
                <w:rFonts w:ascii="Carlito"/>
                <w:sz w:val="20"/>
              </w:rPr>
            </w:pPr>
            <w:r>
              <w:rPr>
                <w:rFonts w:ascii="Carlito"/>
                <w:color w:val="231F20"/>
                <w:sz w:val="20"/>
              </w:rPr>
              <w:t>3,962M</w:t>
            </w:r>
          </w:p>
        </w:tc>
        <w:tc>
          <w:tcPr>
            <w:tcW w:w="963" w:type="dxa"/>
            <w:tcBorders>
              <w:top w:val="single" w:sz="4" w:space="0" w:color="231F20"/>
              <w:left w:val="single" w:sz="4" w:space="0" w:color="231F20"/>
              <w:bottom w:val="single" w:sz="4" w:space="0" w:color="231F20"/>
              <w:right w:val="single" w:sz="4" w:space="0" w:color="231F20"/>
            </w:tcBorders>
          </w:tcPr>
          <w:p w14:paraId="5CE54C7F" w14:textId="77777777" w:rsidR="009948F1" w:rsidRDefault="00BC0563">
            <w:pPr>
              <w:pStyle w:val="TableParagraph"/>
              <w:spacing w:before="4"/>
              <w:ind w:left="160"/>
              <w:rPr>
                <w:b/>
                <w:sz w:val="20"/>
              </w:rPr>
            </w:pPr>
            <w:r>
              <w:rPr>
                <w:b/>
                <w:color w:val="231F20"/>
                <w:w w:val="76"/>
                <w:sz w:val="20"/>
              </w:rPr>
              <w:t>?</w:t>
            </w:r>
          </w:p>
          <w:p w14:paraId="63B49667" w14:textId="77777777" w:rsidR="009948F1" w:rsidRDefault="00BC0563">
            <w:pPr>
              <w:pStyle w:val="TableParagraph"/>
              <w:spacing w:before="15" w:line="226" w:lineRule="exact"/>
              <w:ind w:left="114"/>
              <w:rPr>
                <w:rFonts w:ascii="Carlito"/>
                <w:sz w:val="20"/>
              </w:rPr>
            </w:pPr>
            <w:r>
              <w:rPr>
                <w:rFonts w:ascii="Carlito"/>
                <w:color w:val="231F20"/>
                <w:sz w:val="20"/>
              </w:rPr>
              <w:t>4,471M</w:t>
            </w:r>
          </w:p>
        </w:tc>
        <w:tc>
          <w:tcPr>
            <w:tcW w:w="963" w:type="dxa"/>
            <w:tcBorders>
              <w:top w:val="single" w:sz="4" w:space="0" w:color="231F20"/>
              <w:left w:val="single" w:sz="4" w:space="0" w:color="231F20"/>
              <w:bottom w:val="single" w:sz="4" w:space="0" w:color="231F20"/>
              <w:right w:val="single" w:sz="4" w:space="0" w:color="231F20"/>
            </w:tcBorders>
          </w:tcPr>
          <w:p w14:paraId="21FAC756" w14:textId="77777777" w:rsidR="009948F1" w:rsidRDefault="00BC0563">
            <w:pPr>
              <w:pStyle w:val="TableParagraph"/>
              <w:spacing w:before="4"/>
              <w:ind w:left="160"/>
              <w:rPr>
                <w:b/>
                <w:sz w:val="20"/>
              </w:rPr>
            </w:pPr>
            <w:r>
              <w:rPr>
                <w:b/>
                <w:color w:val="231F20"/>
                <w:w w:val="76"/>
                <w:sz w:val="20"/>
              </w:rPr>
              <w:t>?</w:t>
            </w:r>
          </w:p>
          <w:p w14:paraId="2CBDE085" w14:textId="77777777" w:rsidR="009948F1" w:rsidRDefault="00BC0563">
            <w:pPr>
              <w:pStyle w:val="TableParagraph"/>
              <w:spacing w:before="15" w:line="226" w:lineRule="exact"/>
              <w:ind w:left="114"/>
              <w:rPr>
                <w:rFonts w:ascii="Carlito"/>
                <w:sz w:val="20"/>
              </w:rPr>
            </w:pPr>
            <w:r>
              <w:rPr>
                <w:rFonts w:ascii="Carlito"/>
                <w:color w:val="231F20"/>
                <w:sz w:val="20"/>
              </w:rPr>
              <w:t>4,861M</w:t>
            </w:r>
          </w:p>
        </w:tc>
        <w:tc>
          <w:tcPr>
            <w:tcW w:w="1065" w:type="dxa"/>
            <w:tcBorders>
              <w:top w:val="single" w:sz="4" w:space="0" w:color="231F20"/>
              <w:left w:val="single" w:sz="4" w:space="0" w:color="231F20"/>
              <w:bottom w:val="single" w:sz="4" w:space="0" w:color="231F20"/>
            </w:tcBorders>
          </w:tcPr>
          <w:p w14:paraId="0B5B2397" w14:textId="77777777" w:rsidR="009948F1" w:rsidRDefault="00BC0563">
            <w:pPr>
              <w:pStyle w:val="TableParagraph"/>
              <w:spacing w:before="4"/>
              <w:ind w:left="160"/>
              <w:rPr>
                <w:b/>
                <w:sz w:val="20"/>
              </w:rPr>
            </w:pPr>
            <w:r>
              <w:rPr>
                <w:b/>
                <w:color w:val="231F20"/>
                <w:w w:val="76"/>
                <w:sz w:val="20"/>
              </w:rPr>
              <w:t>?</w:t>
            </w:r>
          </w:p>
          <w:p w14:paraId="42710018" w14:textId="77777777" w:rsidR="009948F1" w:rsidRDefault="00BC0563">
            <w:pPr>
              <w:pStyle w:val="TableParagraph"/>
              <w:spacing w:before="15" w:line="226" w:lineRule="exact"/>
              <w:ind w:left="114"/>
              <w:rPr>
                <w:rFonts w:ascii="Carlito"/>
                <w:sz w:val="20"/>
              </w:rPr>
            </w:pPr>
            <w:r>
              <w:rPr>
                <w:rFonts w:ascii="Carlito"/>
                <w:color w:val="231F20"/>
                <w:sz w:val="20"/>
              </w:rPr>
              <w:t>19,489M</w:t>
            </w:r>
          </w:p>
        </w:tc>
        <w:tc>
          <w:tcPr>
            <w:tcW w:w="827" w:type="dxa"/>
            <w:tcBorders>
              <w:top w:val="single" w:sz="4" w:space="0" w:color="231F20"/>
              <w:bottom w:val="single" w:sz="4" w:space="0" w:color="231F20"/>
            </w:tcBorders>
          </w:tcPr>
          <w:p w14:paraId="041D60F4" w14:textId="77777777" w:rsidR="009948F1" w:rsidRDefault="00BC0563">
            <w:pPr>
              <w:pStyle w:val="TableParagraph"/>
              <w:spacing w:before="125"/>
              <w:ind w:left="109"/>
              <w:rPr>
                <w:rFonts w:ascii="Carlito"/>
                <w:b/>
                <w:sz w:val="20"/>
              </w:rPr>
            </w:pPr>
            <w:r>
              <w:rPr>
                <w:rFonts w:ascii="Carlito"/>
                <w:b/>
                <w:color w:val="231F20"/>
                <w:sz w:val="20"/>
              </w:rPr>
              <w:t>6.9%</w:t>
            </w:r>
          </w:p>
        </w:tc>
      </w:tr>
      <w:tr w:rsidR="009948F1" w14:paraId="4148717D" w14:textId="77777777">
        <w:trPr>
          <w:trHeight w:val="493"/>
        </w:trPr>
        <w:tc>
          <w:tcPr>
            <w:tcW w:w="2165" w:type="dxa"/>
            <w:tcBorders>
              <w:top w:val="single" w:sz="4" w:space="0" w:color="231F20"/>
              <w:bottom w:val="single" w:sz="4" w:space="0" w:color="231F20"/>
              <w:right w:val="single" w:sz="4" w:space="0" w:color="231F20"/>
            </w:tcBorders>
            <w:shd w:val="clear" w:color="auto" w:fill="F1F2F2"/>
          </w:tcPr>
          <w:p w14:paraId="5794DDD8" w14:textId="77777777" w:rsidR="009948F1" w:rsidRDefault="00BC0563">
            <w:pPr>
              <w:pStyle w:val="TableParagraph"/>
              <w:spacing w:before="114"/>
              <w:ind w:left="352"/>
              <w:rPr>
                <w:b/>
                <w:sz w:val="20"/>
              </w:rPr>
            </w:pPr>
            <w:r>
              <w:rPr>
                <w:b/>
                <w:color w:val="231F20"/>
                <w:sz w:val="20"/>
              </w:rPr>
              <w:t>WASH</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050F90E6" w14:textId="77777777" w:rsidR="009948F1" w:rsidRDefault="00BC0563">
            <w:pPr>
              <w:pStyle w:val="TableParagraph"/>
              <w:spacing w:before="125"/>
              <w:ind w:left="97" w:right="161"/>
              <w:jc w:val="center"/>
              <w:rPr>
                <w:rFonts w:ascii="Carlito"/>
                <w:sz w:val="20"/>
              </w:rPr>
            </w:pPr>
            <w:r>
              <w:rPr>
                <w:color w:val="231F20"/>
                <w:sz w:val="20"/>
              </w:rPr>
              <w:t xml:space="preserve">? </w:t>
            </w:r>
            <w:r>
              <w:rPr>
                <w:rFonts w:ascii="Carlito"/>
                <w:color w:val="231F20"/>
                <w:sz w:val="20"/>
              </w:rPr>
              <w:t>583M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41366A79" w14:textId="77777777" w:rsidR="009948F1" w:rsidRDefault="00BC0563">
            <w:pPr>
              <w:pStyle w:val="TableParagraph"/>
              <w:spacing w:before="125"/>
              <w:ind w:left="114"/>
              <w:rPr>
                <w:rFonts w:ascii="Carlito"/>
                <w:sz w:val="20"/>
              </w:rPr>
            </w:pPr>
            <w:r>
              <w:rPr>
                <w:color w:val="231F20"/>
                <w:sz w:val="20"/>
              </w:rPr>
              <w:t xml:space="preserve">? </w:t>
            </w:r>
            <w:r>
              <w:rPr>
                <w:rFonts w:ascii="Carlito"/>
                <w:color w:val="231F20"/>
                <w:sz w:val="20"/>
              </w:rPr>
              <w:t>818M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F9F7028" w14:textId="77777777" w:rsidR="009948F1" w:rsidRDefault="00BC0563">
            <w:pPr>
              <w:pStyle w:val="TableParagraph"/>
              <w:spacing w:before="125"/>
              <w:ind w:left="113"/>
              <w:rPr>
                <w:rFonts w:ascii="Carlito"/>
                <w:sz w:val="20"/>
              </w:rPr>
            </w:pPr>
            <w:r>
              <w:rPr>
                <w:color w:val="231F20"/>
                <w:sz w:val="20"/>
              </w:rPr>
              <w:t xml:space="preserve">? </w:t>
            </w:r>
            <w:r>
              <w:rPr>
                <w:rFonts w:ascii="Carlito"/>
                <w:color w:val="231F20"/>
                <w:sz w:val="20"/>
              </w:rPr>
              <w:t>857M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029EA453" w14:textId="77777777" w:rsidR="009948F1" w:rsidRDefault="00BC0563">
            <w:pPr>
              <w:pStyle w:val="TableParagraph"/>
              <w:spacing w:before="125"/>
              <w:ind w:left="114"/>
              <w:rPr>
                <w:rFonts w:ascii="Carlito"/>
                <w:sz w:val="20"/>
              </w:rPr>
            </w:pPr>
            <w:r>
              <w:rPr>
                <w:color w:val="231F20"/>
                <w:sz w:val="20"/>
              </w:rPr>
              <w:t xml:space="preserve">? </w:t>
            </w:r>
            <w:r>
              <w:rPr>
                <w:rFonts w:ascii="Carlito"/>
                <w:color w:val="231F20"/>
                <w:sz w:val="20"/>
              </w:rPr>
              <w:t>968M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B12A5F3" w14:textId="77777777" w:rsidR="009948F1" w:rsidRDefault="00BC0563">
            <w:pPr>
              <w:pStyle w:val="TableParagraph"/>
              <w:spacing w:before="4"/>
              <w:ind w:left="114"/>
              <w:rPr>
                <w:sz w:val="20"/>
              </w:rPr>
            </w:pPr>
            <w:r>
              <w:rPr>
                <w:color w:val="231F20"/>
                <w:w w:val="83"/>
                <w:sz w:val="20"/>
              </w:rPr>
              <w:t>?</w:t>
            </w:r>
          </w:p>
          <w:p w14:paraId="35750BAF" w14:textId="77777777" w:rsidR="009948F1" w:rsidRDefault="00BC0563">
            <w:pPr>
              <w:pStyle w:val="TableParagraph"/>
              <w:spacing w:before="15" w:line="224" w:lineRule="exact"/>
              <w:ind w:left="114"/>
              <w:rPr>
                <w:rFonts w:ascii="Carlito"/>
                <w:sz w:val="20"/>
              </w:rPr>
            </w:pPr>
            <w:r>
              <w:rPr>
                <w:rFonts w:ascii="Carlito"/>
                <w:color w:val="231F20"/>
                <w:sz w:val="20"/>
              </w:rPr>
              <w:t>1,062M</w:t>
            </w:r>
          </w:p>
        </w:tc>
        <w:tc>
          <w:tcPr>
            <w:tcW w:w="1065" w:type="dxa"/>
            <w:tcBorders>
              <w:top w:val="single" w:sz="4" w:space="0" w:color="231F20"/>
              <w:left w:val="single" w:sz="4" w:space="0" w:color="231F20"/>
              <w:bottom w:val="single" w:sz="4" w:space="0" w:color="231F20"/>
            </w:tcBorders>
            <w:shd w:val="clear" w:color="auto" w:fill="F1F2F2"/>
          </w:tcPr>
          <w:p w14:paraId="664E1017" w14:textId="77777777" w:rsidR="009948F1" w:rsidRDefault="00BC0563">
            <w:pPr>
              <w:pStyle w:val="TableParagraph"/>
              <w:spacing w:before="125"/>
              <w:ind w:left="114"/>
              <w:rPr>
                <w:rFonts w:ascii="Carlito"/>
                <w:sz w:val="20"/>
              </w:rPr>
            </w:pPr>
            <w:r>
              <w:rPr>
                <w:color w:val="231F20"/>
                <w:sz w:val="20"/>
              </w:rPr>
              <w:t xml:space="preserve">? </w:t>
            </w:r>
            <w:r>
              <w:rPr>
                <w:rFonts w:ascii="Carlito"/>
                <w:color w:val="231F20"/>
                <w:sz w:val="20"/>
              </w:rPr>
              <w:t>4,288M</w:t>
            </w:r>
          </w:p>
        </w:tc>
        <w:tc>
          <w:tcPr>
            <w:tcW w:w="827" w:type="dxa"/>
            <w:tcBorders>
              <w:top w:val="single" w:sz="4" w:space="0" w:color="231F20"/>
              <w:bottom w:val="single" w:sz="4" w:space="0" w:color="231F20"/>
            </w:tcBorders>
            <w:shd w:val="clear" w:color="auto" w:fill="F1F2F2"/>
          </w:tcPr>
          <w:p w14:paraId="5BCC2230" w14:textId="77777777" w:rsidR="009948F1" w:rsidRDefault="00BC0563">
            <w:pPr>
              <w:pStyle w:val="TableParagraph"/>
              <w:spacing w:before="125"/>
              <w:ind w:left="109"/>
              <w:rPr>
                <w:rFonts w:ascii="Carlito"/>
                <w:b/>
                <w:sz w:val="20"/>
              </w:rPr>
            </w:pPr>
            <w:r>
              <w:rPr>
                <w:rFonts w:ascii="Carlito"/>
                <w:b/>
                <w:color w:val="231F20"/>
                <w:sz w:val="20"/>
              </w:rPr>
              <w:t>1.5%</w:t>
            </w:r>
          </w:p>
        </w:tc>
      </w:tr>
      <w:tr w:rsidR="009948F1" w14:paraId="1FA524F4" w14:textId="77777777">
        <w:trPr>
          <w:trHeight w:val="644"/>
        </w:trPr>
        <w:tc>
          <w:tcPr>
            <w:tcW w:w="2165" w:type="dxa"/>
            <w:tcBorders>
              <w:top w:val="single" w:sz="4" w:space="0" w:color="231F20"/>
              <w:bottom w:val="single" w:sz="4" w:space="0" w:color="231F20"/>
              <w:right w:val="single" w:sz="4" w:space="0" w:color="231F20"/>
            </w:tcBorders>
          </w:tcPr>
          <w:p w14:paraId="1336B163" w14:textId="77777777" w:rsidR="009948F1" w:rsidRDefault="00BC0563">
            <w:pPr>
              <w:pStyle w:val="TableParagraph"/>
              <w:spacing w:line="198" w:lineRule="exact"/>
              <w:ind w:left="352"/>
              <w:rPr>
                <w:b/>
                <w:sz w:val="20"/>
              </w:rPr>
            </w:pPr>
            <w:r>
              <w:rPr>
                <w:b/>
                <w:color w:val="231F20"/>
                <w:sz w:val="20"/>
              </w:rPr>
              <w:t>Non-</w:t>
            </w:r>
          </w:p>
          <w:p w14:paraId="343FE8CD" w14:textId="77777777" w:rsidR="009948F1" w:rsidRDefault="00BC0563">
            <w:pPr>
              <w:pStyle w:val="TableParagraph"/>
              <w:spacing w:before="9" w:line="214" w:lineRule="exact"/>
              <w:ind w:left="109" w:right="620"/>
              <w:rPr>
                <w:b/>
                <w:sz w:val="20"/>
              </w:rPr>
            </w:pPr>
            <w:r>
              <w:rPr>
                <w:b/>
                <w:color w:val="231F20"/>
                <w:sz w:val="20"/>
              </w:rPr>
              <w:t>communicable diseases</w:t>
            </w:r>
          </w:p>
        </w:tc>
        <w:tc>
          <w:tcPr>
            <w:tcW w:w="963" w:type="dxa"/>
            <w:tcBorders>
              <w:top w:val="single" w:sz="4" w:space="0" w:color="231F20"/>
              <w:left w:val="single" w:sz="4" w:space="0" w:color="231F20"/>
              <w:bottom w:val="single" w:sz="4" w:space="0" w:color="231F20"/>
              <w:right w:val="single" w:sz="4" w:space="0" w:color="231F20"/>
            </w:tcBorders>
          </w:tcPr>
          <w:p w14:paraId="12D2BF0A" w14:textId="77777777" w:rsidR="009948F1" w:rsidRDefault="00BC0563">
            <w:pPr>
              <w:pStyle w:val="TableParagraph"/>
              <w:spacing w:before="80"/>
              <w:ind w:left="160"/>
              <w:rPr>
                <w:b/>
                <w:sz w:val="20"/>
              </w:rPr>
            </w:pPr>
            <w:r>
              <w:rPr>
                <w:b/>
                <w:color w:val="231F20"/>
                <w:w w:val="76"/>
                <w:sz w:val="20"/>
              </w:rPr>
              <w:t>?</w:t>
            </w:r>
          </w:p>
          <w:p w14:paraId="39F7AFCF" w14:textId="77777777" w:rsidR="009948F1" w:rsidRDefault="00BC0563">
            <w:pPr>
              <w:pStyle w:val="TableParagraph"/>
              <w:spacing w:before="15"/>
              <w:ind w:left="113"/>
              <w:rPr>
                <w:rFonts w:ascii="Carlito"/>
                <w:sz w:val="20"/>
              </w:rPr>
            </w:pPr>
            <w:r>
              <w:rPr>
                <w:rFonts w:ascii="Carlito"/>
                <w:color w:val="231F20"/>
                <w:sz w:val="20"/>
              </w:rPr>
              <w:t>6,451M</w:t>
            </w:r>
          </w:p>
        </w:tc>
        <w:tc>
          <w:tcPr>
            <w:tcW w:w="961" w:type="dxa"/>
            <w:tcBorders>
              <w:top w:val="single" w:sz="4" w:space="0" w:color="231F20"/>
              <w:left w:val="single" w:sz="4" w:space="0" w:color="231F20"/>
              <w:bottom w:val="single" w:sz="4" w:space="0" w:color="231F20"/>
              <w:right w:val="single" w:sz="4" w:space="0" w:color="231F20"/>
            </w:tcBorders>
          </w:tcPr>
          <w:p w14:paraId="6E20757C" w14:textId="77777777" w:rsidR="009948F1" w:rsidRDefault="00BC0563">
            <w:pPr>
              <w:pStyle w:val="TableParagraph"/>
              <w:spacing w:before="80"/>
              <w:ind w:left="160"/>
              <w:rPr>
                <w:b/>
                <w:sz w:val="20"/>
              </w:rPr>
            </w:pPr>
            <w:r>
              <w:rPr>
                <w:b/>
                <w:color w:val="231F20"/>
                <w:w w:val="76"/>
                <w:sz w:val="20"/>
              </w:rPr>
              <w:t>?</w:t>
            </w:r>
          </w:p>
          <w:p w14:paraId="6E47F55A" w14:textId="77777777" w:rsidR="009948F1" w:rsidRDefault="00BC0563">
            <w:pPr>
              <w:pStyle w:val="TableParagraph"/>
              <w:spacing w:before="15"/>
              <w:ind w:left="114"/>
              <w:rPr>
                <w:rFonts w:ascii="Carlito"/>
                <w:sz w:val="20"/>
              </w:rPr>
            </w:pPr>
            <w:r>
              <w:rPr>
                <w:rFonts w:ascii="Carlito"/>
                <w:color w:val="231F20"/>
                <w:sz w:val="20"/>
              </w:rPr>
              <w:t>9,572M</w:t>
            </w:r>
          </w:p>
        </w:tc>
        <w:tc>
          <w:tcPr>
            <w:tcW w:w="963" w:type="dxa"/>
            <w:tcBorders>
              <w:top w:val="single" w:sz="4" w:space="0" w:color="231F20"/>
              <w:left w:val="single" w:sz="4" w:space="0" w:color="231F20"/>
              <w:bottom w:val="single" w:sz="4" w:space="0" w:color="231F20"/>
              <w:right w:val="single" w:sz="4" w:space="0" w:color="231F20"/>
            </w:tcBorders>
          </w:tcPr>
          <w:p w14:paraId="599C7FB2" w14:textId="77777777" w:rsidR="009948F1" w:rsidRDefault="00BC0563">
            <w:pPr>
              <w:pStyle w:val="TableParagraph"/>
              <w:spacing w:before="80"/>
              <w:ind w:left="160"/>
              <w:rPr>
                <w:b/>
                <w:sz w:val="20"/>
              </w:rPr>
            </w:pPr>
            <w:r>
              <w:rPr>
                <w:b/>
                <w:color w:val="231F20"/>
                <w:w w:val="76"/>
                <w:sz w:val="20"/>
              </w:rPr>
              <w:t>?</w:t>
            </w:r>
          </w:p>
          <w:p w14:paraId="63DBAF32" w14:textId="77777777" w:rsidR="009948F1" w:rsidRDefault="00BC0563">
            <w:pPr>
              <w:pStyle w:val="TableParagraph"/>
              <w:spacing w:before="15"/>
              <w:ind w:left="113"/>
              <w:rPr>
                <w:rFonts w:ascii="Carlito"/>
                <w:sz w:val="20"/>
              </w:rPr>
            </w:pPr>
            <w:r>
              <w:rPr>
                <w:rFonts w:ascii="Carlito"/>
                <w:color w:val="231F20"/>
                <w:sz w:val="20"/>
              </w:rPr>
              <w:t>11,107M</w:t>
            </w:r>
          </w:p>
        </w:tc>
        <w:tc>
          <w:tcPr>
            <w:tcW w:w="963" w:type="dxa"/>
            <w:tcBorders>
              <w:top w:val="single" w:sz="4" w:space="0" w:color="231F20"/>
              <w:left w:val="single" w:sz="4" w:space="0" w:color="231F20"/>
              <w:bottom w:val="single" w:sz="4" w:space="0" w:color="231F20"/>
              <w:right w:val="single" w:sz="4" w:space="0" w:color="231F20"/>
            </w:tcBorders>
          </w:tcPr>
          <w:p w14:paraId="7DDD01B4" w14:textId="77777777" w:rsidR="009948F1" w:rsidRDefault="00BC0563">
            <w:pPr>
              <w:pStyle w:val="TableParagraph"/>
              <w:spacing w:before="80"/>
              <w:ind w:left="160"/>
              <w:rPr>
                <w:b/>
                <w:sz w:val="20"/>
              </w:rPr>
            </w:pPr>
            <w:r>
              <w:rPr>
                <w:b/>
                <w:color w:val="231F20"/>
                <w:w w:val="76"/>
                <w:sz w:val="20"/>
              </w:rPr>
              <w:t>?</w:t>
            </w:r>
          </w:p>
          <w:p w14:paraId="22974FDA" w14:textId="77777777" w:rsidR="009948F1" w:rsidRDefault="00BC0563">
            <w:pPr>
              <w:pStyle w:val="TableParagraph"/>
              <w:spacing w:before="15"/>
              <w:ind w:left="114"/>
              <w:rPr>
                <w:rFonts w:ascii="Carlito"/>
                <w:sz w:val="20"/>
              </w:rPr>
            </w:pPr>
            <w:r>
              <w:rPr>
                <w:rFonts w:ascii="Carlito"/>
                <w:color w:val="231F20"/>
                <w:sz w:val="20"/>
              </w:rPr>
              <w:t>13,067M</w:t>
            </w:r>
          </w:p>
        </w:tc>
        <w:tc>
          <w:tcPr>
            <w:tcW w:w="963" w:type="dxa"/>
            <w:tcBorders>
              <w:top w:val="single" w:sz="4" w:space="0" w:color="231F20"/>
              <w:left w:val="single" w:sz="4" w:space="0" w:color="231F20"/>
              <w:bottom w:val="single" w:sz="4" w:space="0" w:color="231F20"/>
              <w:right w:val="single" w:sz="4" w:space="0" w:color="231F20"/>
            </w:tcBorders>
          </w:tcPr>
          <w:p w14:paraId="21DF229B" w14:textId="77777777" w:rsidR="009948F1" w:rsidRDefault="00BC0563">
            <w:pPr>
              <w:pStyle w:val="TableParagraph"/>
              <w:spacing w:before="80"/>
              <w:ind w:left="160"/>
              <w:rPr>
                <w:b/>
                <w:sz w:val="20"/>
              </w:rPr>
            </w:pPr>
            <w:r>
              <w:rPr>
                <w:b/>
                <w:color w:val="231F20"/>
                <w:w w:val="76"/>
                <w:sz w:val="20"/>
              </w:rPr>
              <w:t>?</w:t>
            </w:r>
          </w:p>
          <w:p w14:paraId="083F67EF" w14:textId="77777777" w:rsidR="009948F1" w:rsidRDefault="00BC0563">
            <w:pPr>
              <w:pStyle w:val="TableParagraph"/>
              <w:spacing w:before="15"/>
              <w:ind w:left="114"/>
              <w:rPr>
                <w:rFonts w:ascii="Carlito"/>
                <w:sz w:val="20"/>
              </w:rPr>
            </w:pPr>
            <w:r>
              <w:rPr>
                <w:rFonts w:ascii="Carlito"/>
                <w:color w:val="231F20"/>
                <w:sz w:val="20"/>
              </w:rPr>
              <w:t>14,832M</w:t>
            </w:r>
          </w:p>
        </w:tc>
        <w:tc>
          <w:tcPr>
            <w:tcW w:w="1065" w:type="dxa"/>
            <w:tcBorders>
              <w:top w:val="single" w:sz="4" w:space="0" w:color="231F20"/>
              <w:left w:val="single" w:sz="4" w:space="0" w:color="231F20"/>
              <w:bottom w:val="single" w:sz="4" w:space="0" w:color="231F20"/>
            </w:tcBorders>
          </w:tcPr>
          <w:p w14:paraId="0382E437" w14:textId="77777777" w:rsidR="009948F1" w:rsidRDefault="00BC0563">
            <w:pPr>
              <w:pStyle w:val="TableParagraph"/>
              <w:spacing w:before="80"/>
              <w:ind w:left="160"/>
              <w:rPr>
                <w:b/>
                <w:sz w:val="20"/>
              </w:rPr>
            </w:pPr>
            <w:r>
              <w:rPr>
                <w:b/>
                <w:color w:val="231F20"/>
                <w:w w:val="76"/>
                <w:sz w:val="20"/>
              </w:rPr>
              <w:t>?</w:t>
            </w:r>
          </w:p>
          <w:p w14:paraId="4F79C1C9" w14:textId="77777777" w:rsidR="009948F1" w:rsidRDefault="00BC0563">
            <w:pPr>
              <w:pStyle w:val="TableParagraph"/>
              <w:spacing w:before="15"/>
              <w:ind w:left="114"/>
              <w:rPr>
                <w:rFonts w:ascii="Carlito"/>
                <w:sz w:val="20"/>
              </w:rPr>
            </w:pPr>
            <w:r>
              <w:rPr>
                <w:rFonts w:ascii="Carlito"/>
                <w:color w:val="231F20"/>
                <w:sz w:val="20"/>
              </w:rPr>
              <w:t>55,028M</w:t>
            </w:r>
          </w:p>
        </w:tc>
        <w:tc>
          <w:tcPr>
            <w:tcW w:w="827" w:type="dxa"/>
            <w:tcBorders>
              <w:top w:val="single" w:sz="4" w:space="0" w:color="231F20"/>
              <w:bottom w:val="single" w:sz="4" w:space="0" w:color="231F20"/>
            </w:tcBorders>
          </w:tcPr>
          <w:p w14:paraId="0D0C1184" w14:textId="77777777" w:rsidR="009948F1" w:rsidRDefault="009948F1">
            <w:pPr>
              <w:pStyle w:val="TableParagraph"/>
              <w:spacing w:before="5"/>
              <w:rPr>
                <w:rFonts w:ascii="Carlito"/>
                <w:b/>
                <w:i/>
                <w:sz w:val="16"/>
              </w:rPr>
            </w:pPr>
          </w:p>
          <w:p w14:paraId="2308B219" w14:textId="77777777" w:rsidR="009948F1" w:rsidRDefault="00BC0563">
            <w:pPr>
              <w:pStyle w:val="TableParagraph"/>
              <w:ind w:left="109"/>
              <w:rPr>
                <w:rFonts w:ascii="Carlito"/>
                <w:b/>
                <w:sz w:val="20"/>
              </w:rPr>
            </w:pPr>
            <w:r>
              <w:rPr>
                <w:rFonts w:ascii="Carlito"/>
                <w:b/>
                <w:color w:val="231F20"/>
                <w:sz w:val="20"/>
              </w:rPr>
              <w:t>19.5%</w:t>
            </w:r>
          </w:p>
        </w:tc>
      </w:tr>
      <w:tr w:rsidR="009948F1" w14:paraId="3B7753DC" w14:textId="77777777">
        <w:trPr>
          <w:trHeight w:val="860"/>
        </w:trPr>
        <w:tc>
          <w:tcPr>
            <w:tcW w:w="2165" w:type="dxa"/>
            <w:tcBorders>
              <w:top w:val="single" w:sz="4" w:space="0" w:color="231F20"/>
              <w:bottom w:val="single" w:sz="4" w:space="0" w:color="231F20"/>
              <w:right w:val="single" w:sz="4" w:space="0" w:color="231F20"/>
            </w:tcBorders>
            <w:shd w:val="clear" w:color="auto" w:fill="F1F2F2"/>
          </w:tcPr>
          <w:p w14:paraId="1D875D24" w14:textId="77777777" w:rsidR="009948F1" w:rsidRDefault="00BC0563">
            <w:pPr>
              <w:pStyle w:val="TableParagraph"/>
              <w:spacing w:line="223" w:lineRule="auto"/>
              <w:ind w:left="109" w:right="620" w:firstLine="243"/>
              <w:rPr>
                <w:b/>
                <w:sz w:val="20"/>
              </w:rPr>
            </w:pPr>
            <w:r>
              <w:rPr>
                <w:b/>
                <w:color w:val="231F20"/>
                <w:sz w:val="20"/>
              </w:rPr>
              <w:t>Mental, neurological, and</w:t>
            </w:r>
            <w:r>
              <w:rPr>
                <w:b/>
                <w:color w:val="231F20"/>
                <w:spacing w:val="-5"/>
                <w:sz w:val="20"/>
              </w:rPr>
              <w:t xml:space="preserve"> </w:t>
            </w:r>
            <w:r>
              <w:rPr>
                <w:b/>
                <w:color w:val="231F20"/>
                <w:sz w:val="20"/>
              </w:rPr>
              <w:t>substance</w:t>
            </w:r>
          </w:p>
          <w:p w14:paraId="6D0CDFE7" w14:textId="77777777" w:rsidR="009948F1" w:rsidRDefault="00BC0563">
            <w:pPr>
              <w:pStyle w:val="TableParagraph"/>
              <w:spacing w:line="208" w:lineRule="exact"/>
              <w:ind w:left="109"/>
              <w:rPr>
                <w:b/>
                <w:sz w:val="20"/>
              </w:rPr>
            </w:pPr>
            <w:r>
              <w:rPr>
                <w:b/>
                <w:color w:val="231F20"/>
                <w:sz w:val="20"/>
              </w:rPr>
              <w:t>use</w:t>
            </w:r>
            <w:r>
              <w:rPr>
                <w:b/>
                <w:color w:val="231F20"/>
                <w:spacing w:val="11"/>
                <w:sz w:val="20"/>
              </w:rPr>
              <w:t xml:space="preserve"> </w:t>
            </w:r>
            <w:r>
              <w:rPr>
                <w:b/>
                <w:color w:val="231F20"/>
                <w:sz w:val="20"/>
              </w:rPr>
              <w:t>disorders</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21F6991B" w14:textId="77777777" w:rsidR="009948F1" w:rsidRDefault="009948F1">
            <w:pPr>
              <w:pStyle w:val="TableParagraph"/>
              <w:spacing w:before="2"/>
              <w:rPr>
                <w:rFonts w:ascii="Carlito"/>
                <w:b/>
                <w:i/>
                <w:sz w:val="25"/>
              </w:rPr>
            </w:pPr>
          </w:p>
          <w:p w14:paraId="0C5C61C6" w14:textId="77777777" w:rsidR="009948F1" w:rsidRDefault="00BC0563">
            <w:pPr>
              <w:pStyle w:val="TableParagraph"/>
              <w:spacing w:before="1"/>
              <w:ind w:left="97" w:right="161"/>
              <w:jc w:val="center"/>
              <w:rPr>
                <w:rFonts w:ascii="Carlito"/>
                <w:sz w:val="20"/>
              </w:rPr>
            </w:pPr>
            <w:r>
              <w:rPr>
                <w:color w:val="231F20"/>
                <w:sz w:val="20"/>
              </w:rPr>
              <w:t xml:space="preserve">? </w:t>
            </w:r>
            <w:r>
              <w:rPr>
                <w:rFonts w:ascii="Carlito"/>
                <w:color w:val="231F20"/>
                <w:sz w:val="20"/>
              </w:rPr>
              <w:t>675M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4F1FAEEA" w14:textId="77777777" w:rsidR="009948F1" w:rsidRDefault="009948F1">
            <w:pPr>
              <w:pStyle w:val="TableParagraph"/>
              <w:spacing w:before="2"/>
              <w:rPr>
                <w:rFonts w:ascii="Carlito"/>
                <w:b/>
                <w:i/>
                <w:sz w:val="25"/>
              </w:rPr>
            </w:pPr>
          </w:p>
          <w:p w14:paraId="0D861383"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932M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6BA74D86" w14:textId="77777777" w:rsidR="009948F1" w:rsidRDefault="009948F1">
            <w:pPr>
              <w:pStyle w:val="TableParagraph"/>
              <w:spacing w:before="6"/>
              <w:rPr>
                <w:rFonts w:ascii="Carlito"/>
                <w:b/>
                <w:i/>
                <w:sz w:val="15"/>
              </w:rPr>
            </w:pPr>
          </w:p>
          <w:p w14:paraId="0C55EBB8" w14:textId="77777777" w:rsidR="009948F1" w:rsidRDefault="00BC0563">
            <w:pPr>
              <w:pStyle w:val="TableParagraph"/>
              <w:ind w:left="113"/>
              <w:rPr>
                <w:b/>
                <w:sz w:val="20"/>
              </w:rPr>
            </w:pPr>
            <w:r>
              <w:rPr>
                <w:b/>
                <w:color w:val="231F20"/>
                <w:w w:val="76"/>
                <w:sz w:val="20"/>
              </w:rPr>
              <w:t>?</w:t>
            </w:r>
          </w:p>
          <w:p w14:paraId="5740A3D2" w14:textId="77777777" w:rsidR="009948F1" w:rsidRDefault="00BC0563">
            <w:pPr>
              <w:pStyle w:val="TableParagraph"/>
              <w:spacing w:before="13"/>
              <w:ind w:left="113"/>
              <w:rPr>
                <w:rFonts w:ascii="Carlito"/>
                <w:sz w:val="20"/>
              </w:rPr>
            </w:pPr>
            <w:r>
              <w:rPr>
                <w:rFonts w:ascii="Carlito"/>
                <w:color w:val="231F20"/>
                <w:sz w:val="20"/>
              </w:rPr>
              <w:t>1,070M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65D98F0C" w14:textId="77777777" w:rsidR="009948F1" w:rsidRDefault="009948F1">
            <w:pPr>
              <w:pStyle w:val="TableParagraph"/>
              <w:spacing w:before="6"/>
              <w:rPr>
                <w:rFonts w:ascii="Carlito"/>
                <w:b/>
                <w:i/>
                <w:sz w:val="15"/>
              </w:rPr>
            </w:pPr>
          </w:p>
          <w:p w14:paraId="66519E71" w14:textId="77777777" w:rsidR="009948F1" w:rsidRDefault="00BC0563">
            <w:pPr>
              <w:pStyle w:val="TableParagraph"/>
              <w:ind w:left="114"/>
              <w:rPr>
                <w:b/>
                <w:sz w:val="20"/>
              </w:rPr>
            </w:pPr>
            <w:r>
              <w:rPr>
                <w:b/>
                <w:color w:val="231F20"/>
                <w:w w:val="76"/>
                <w:sz w:val="20"/>
              </w:rPr>
              <w:t>?</w:t>
            </w:r>
          </w:p>
          <w:p w14:paraId="64384225" w14:textId="77777777" w:rsidR="009948F1" w:rsidRDefault="00BC0563">
            <w:pPr>
              <w:pStyle w:val="TableParagraph"/>
              <w:spacing w:before="13"/>
              <w:ind w:left="114"/>
              <w:rPr>
                <w:rFonts w:ascii="Carlito"/>
                <w:sz w:val="20"/>
              </w:rPr>
            </w:pPr>
            <w:r>
              <w:rPr>
                <w:rFonts w:ascii="Carlito"/>
                <w:color w:val="231F20"/>
                <w:sz w:val="20"/>
              </w:rPr>
              <w:t>1,218M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D4E7143" w14:textId="77777777" w:rsidR="009948F1" w:rsidRDefault="009948F1">
            <w:pPr>
              <w:pStyle w:val="TableParagraph"/>
              <w:spacing w:before="6"/>
              <w:rPr>
                <w:rFonts w:ascii="Carlito"/>
                <w:b/>
                <w:i/>
                <w:sz w:val="15"/>
              </w:rPr>
            </w:pPr>
          </w:p>
          <w:p w14:paraId="255BFFCB" w14:textId="77777777" w:rsidR="009948F1" w:rsidRDefault="00BC0563">
            <w:pPr>
              <w:pStyle w:val="TableParagraph"/>
              <w:ind w:left="114"/>
              <w:rPr>
                <w:b/>
                <w:sz w:val="20"/>
              </w:rPr>
            </w:pPr>
            <w:r>
              <w:rPr>
                <w:b/>
                <w:color w:val="231F20"/>
                <w:w w:val="76"/>
                <w:sz w:val="20"/>
              </w:rPr>
              <w:t>?</w:t>
            </w:r>
          </w:p>
          <w:p w14:paraId="5570CA2A" w14:textId="77777777" w:rsidR="009948F1" w:rsidRDefault="00BC0563">
            <w:pPr>
              <w:pStyle w:val="TableParagraph"/>
              <w:spacing w:before="13"/>
              <w:ind w:left="114"/>
              <w:rPr>
                <w:rFonts w:ascii="Carlito"/>
                <w:sz w:val="20"/>
              </w:rPr>
            </w:pPr>
            <w:r>
              <w:rPr>
                <w:rFonts w:ascii="Carlito"/>
                <w:color w:val="231F20"/>
                <w:sz w:val="20"/>
              </w:rPr>
              <w:t>1,377M</w:t>
            </w:r>
          </w:p>
        </w:tc>
        <w:tc>
          <w:tcPr>
            <w:tcW w:w="1065" w:type="dxa"/>
            <w:tcBorders>
              <w:top w:val="single" w:sz="4" w:space="0" w:color="231F20"/>
              <w:left w:val="single" w:sz="4" w:space="0" w:color="231F20"/>
              <w:bottom w:val="single" w:sz="4" w:space="0" w:color="231F20"/>
            </w:tcBorders>
            <w:shd w:val="clear" w:color="auto" w:fill="F1F2F2"/>
          </w:tcPr>
          <w:p w14:paraId="630888AB" w14:textId="77777777" w:rsidR="009948F1" w:rsidRDefault="009948F1">
            <w:pPr>
              <w:pStyle w:val="TableParagraph"/>
              <w:spacing w:before="2"/>
              <w:rPr>
                <w:rFonts w:ascii="Carlito"/>
                <w:b/>
                <w:i/>
                <w:sz w:val="25"/>
              </w:rPr>
            </w:pPr>
          </w:p>
          <w:p w14:paraId="596FF909"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5,271M</w:t>
            </w:r>
          </w:p>
        </w:tc>
        <w:tc>
          <w:tcPr>
            <w:tcW w:w="827" w:type="dxa"/>
            <w:tcBorders>
              <w:top w:val="single" w:sz="4" w:space="0" w:color="231F20"/>
              <w:bottom w:val="single" w:sz="4" w:space="0" w:color="231F20"/>
            </w:tcBorders>
            <w:shd w:val="clear" w:color="auto" w:fill="F1F2F2"/>
          </w:tcPr>
          <w:p w14:paraId="37B1C435" w14:textId="77777777" w:rsidR="009948F1" w:rsidRDefault="009948F1">
            <w:pPr>
              <w:pStyle w:val="TableParagraph"/>
              <w:spacing w:before="2"/>
              <w:rPr>
                <w:rFonts w:ascii="Carlito"/>
                <w:b/>
                <w:i/>
                <w:sz w:val="25"/>
              </w:rPr>
            </w:pPr>
          </w:p>
          <w:p w14:paraId="39C0FB59" w14:textId="77777777" w:rsidR="009948F1" w:rsidRDefault="00BC0563">
            <w:pPr>
              <w:pStyle w:val="TableParagraph"/>
              <w:spacing w:before="1"/>
              <w:ind w:left="109"/>
              <w:rPr>
                <w:rFonts w:ascii="Carlito"/>
                <w:b/>
                <w:sz w:val="20"/>
              </w:rPr>
            </w:pPr>
            <w:r>
              <w:rPr>
                <w:rFonts w:ascii="Carlito"/>
                <w:b/>
                <w:color w:val="231F20"/>
                <w:sz w:val="20"/>
              </w:rPr>
              <w:t>1.9%</w:t>
            </w:r>
          </w:p>
        </w:tc>
      </w:tr>
      <w:tr w:rsidR="009948F1" w14:paraId="5B3F88CB" w14:textId="77777777">
        <w:trPr>
          <w:trHeight w:val="495"/>
        </w:trPr>
        <w:tc>
          <w:tcPr>
            <w:tcW w:w="2165" w:type="dxa"/>
            <w:tcBorders>
              <w:top w:val="single" w:sz="4" w:space="0" w:color="231F20"/>
              <w:bottom w:val="single" w:sz="4" w:space="0" w:color="231F20"/>
              <w:right w:val="single" w:sz="4" w:space="0" w:color="231F20"/>
            </w:tcBorders>
          </w:tcPr>
          <w:p w14:paraId="6BD8E02F" w14:textId="77777777" w:rsidR="009948F1" w:rsidRDefault="00BC0563">
            <w:pPr>
              <w:pStyle w:val="TableParagraph"/>
              <w:spacing w:before="18" w:line="225" w:lineRule="auto"/>
              <w:ind w:left="109" w:right="699" w:firstLine="243"/>
              <w:rPr>
                <w:b/>
                <w:sz w:val="20"/>
              </w:rPr>
            </w:pPr>
            <w:r>
              <w:rPr>
                <w:b/>
                <w:color w:val="231F20"/>
                <w:sz w:val="20"/>
              </w:rPr>
              <w:t>Adolescent health</w:t>
            </w:r>
          </w:p>
        </w:tc>
        <w:tc>
          <w:tcPr>
            <w:tcW w:w="963" w:type="dxa"/>
            <w:tcBorders>
              <w:top w:val="single" w:sz="4" w:space="0" w:color="231F20"/>
              <w:left w:val="single" w:sz="4" w:space="0" w:color="231F20"/>
              <w:bottom w:val="single" w:sz="4" w:space="0" w:color="231F20"/>
              <w:right w:val="single" w:sz="4" w:space="0" w:color="231F20"/>
            </w:tcBorders>
          </w:tcPr>
          <w:p w14:paraId="7A1D4CED" w14:textId="77777777" w:rsidR="009948F1" w:rsidRDefault="00BC0563">
            <w:pPr>
              <w:pStyle w:val="TableParagraph"/>
              <w:spacing w:before="4"/>
              <w:ind w:left="160"/>
              <w:rPr>
                <w:b/>
                <w:sz w:val="20"/>
              </w:rPr>
            </w:pPr>
            <w:r>
              <w:rPr>
                <w:b/>
                <w:color w:val="231F20"/>
                <w:w w:val="76"/>
                <w:sz w:val="20"/>
              </w:rPr>
              <w:t>?</w:t>
            </w:r>
          </w:p>
          <w:p w14:paraId="511D28FE" w14:textId="77777777" w:rsidR="009948F1" w:rsidRDefault="00BC0563">
            <w:pPr>
              <w:pStyle w:val="TableParagraph"/>
              <w:spacing w:before="15" w:line="226" w:lineRule="exact"/>
              <w:ind w:left="113"/>
              <w:rPr>
                <w:rFonts w:ascii="Carlito"/>
                <w:sz w:val="20"/>
              </w:rPr>
            </w:pPr>
            <w:r>
              <w:rPr>
                <w:rFonts w:ascii="Carlito"/>
                <w:color w:val="231F20"/>
                <w:sz w:val="20"/>
              </w:rPr>
              <w:t>1,555M</w:t>
            </w:r>
          </w:p>
        </w:tc>
        <w:tc>
          <w:tcPr>
            <w:tcW w:w="961" w:type="dxa"/>
            <w:tcBorders>
              <w:top w:val="single" w:sz="4" w:space="0" w:color="231F20"/>
              <w:left w:val="single" w:sz="4" w:space="0" w:color="231F20"/>
              <w:bottom w:val="single" w:sz="4" w:space="0" w:color="231F20"/>
              <w:right w:val="single" w:sz="4" w:space="0" w:color="231F20"/>
            </w:tcBorders>
          </w:tcPr>
          <w:p w14:paraId="66BA6CB7" w14:textId="77777777" w:rsidR="009948F1" w:rsidRDefault="00BC0563">
            <w:pPr>
              <w:pStyle w:val="TableParagraph"/>
              <w:spacing w:before="4"/>
              <w:ind w:left="160"/>
              <w:rPr>
                <w:b/>
                <w:sz w:val="20"/>
              </w:rPr>
            </w:pPr>
            <w:r>
              <w:rPr>
                <w:b/>
                <w:color w:val="231F20"/>
                <w:w w:val="76"/>
                <w:sz w:val="20"/>
              </w:rPr>
              <w:t>?</w:t>
            </w:r>
          </w:p>
          <w:p w14:paraId="18E99D85" w14:textId="77777777" w:rsidR="009948F1" w:rsidRDefault="00BC0563">
            <w:pPr>
              <w:pStyle w:val="TableParagraph"/>
              <w:spacing w:before="15" w:line="226" w:lineRule="exact"/>
              <w:ind w:left="114"/>
              <w:rPr>
                <w:rFonts w:ascii="Carlito"/>
                <w:sz w:val="20"/>
              </w:rPr>
            </w:pPr>
            <w:r>
              <w:rPr>
                <w:rFonts w:ascii="Carlito"/>
                <w:color w:val="231F20"/>
                <w:sz w:val="20"/>
              </w:rPr>
              <w:t>2,266M</w:t>
            </w:r>
          </w:p>
        </w:tc>
        <w:tc>
          <w:tcPr>
            <w:tcW w:w="963" w:type="dxa"/>
            <w:tcBorders>
              <w:top w:val="single" w:sz="4" w:space="0" w:color="231F20"/>
              <w:left w:val="single" w:sz="4" w:space="0" w:color="231F20"/>
              <w:bottom w:val="single" w:sz="4" w:space="0" w:color="231F20"/>
              <w:right w:val="single" w:sz="4" w:space="0" w:color="231F20"/>
            </w:tcBorders>
          </w:tcPr>
          <w:p w14:paraId="554CC684" w14:textId="77777777" w:rsidR="009948F1" w:rsidRDefault="00BC0563">
            <w:pPr>
              <w:pStyle w:val="TableParagraph"/>
              <w:spacing w:before="4"/>
              <w:ind w:left="160"/>
              <w:rPr>
                <w:b/>
                <w:sz w:val="20"/>
              </w:rPr>
            </w:pPr>
            <w:r>
              <w:rPr>
                <w:b/>
                <w:color w:val="231F20"/>
                <w:w w:val="76"/>
                <w:sz w:val="20"/>
              </w:rPr>
              <w:t>?</w:t>
            </w:r>
          </w:p>
          <w:p w14:paraId="7D688F90" w14:textId="77777777" w:rsidR="009948F1" w:rsidRDefault="00BC0563">
            <w:pPr>
              <w:pStyle w:val="TableParagraph"/>
              <w:spacing w:before="15" w:line="226" w:lineRule="exact"/>
              <w:ind w:left="113"/>
              <w:rPr>
                <w:rFonts w:ascii="Carlito"/>
                <w:sz w:val="20"/>
              </w:rPr>
            </w:pPr>
            <w:r>
              <w:rPr>
                <w:rFonts w:ascii="Carlito"/>
                <w:color w:val="231F20"/>
                <w:sz w:val="20"/>
              </w:rPr>
              <w:t>2,660M</w:t>
            </w:r>
          </w:p>
        </w:tc>
        <w:tc>
          <w:tcPr>
            <w:tcW w:w="963" w:type="dxa"/>
            <w:tcBorders>
              <w:top w:val="single" w:sz="4" w:space="0" w:color="231F20"/>
              <w:left w:val="single" w:sz="4" w:space="0" w:color="231F20"/>
              <w:bottom w:val="single" w:sz="4" w:space="0" w:color="231F20"/>
              <w:right w:val="single" w:sz="4" w:space="0" w:color="231F20"/>
            </w:tcBorders>
          </w:tcPr>
          <w:p w14:paraId="2F5890CF" w14:textId="77777777" w:rsidR="009948F1" w:rsidRDefault="00BC0563">
            <w:pPr>
              <w:pStyle w:val="TableParagraph"/>
              <w:spacing w:before="4"/>
              <w:ind w:left="160"/>
              <w:rPr>
                <w:b/>
                <w:sz w:val="20"/>
              </w:rPr>
            </w:pPr>
            <w:r>
              <w:rPr>
                <w:b/>
                <w:color w:val="231F20"/>
                <w:w w:val="76"/>
                <w:sz w:val="20"/>
              </w:rPr>
              <w:t>?</w:t>
            </w:r>
          </w:p>
          <w:p w14:paraId="73B814A9" w14:textId="77777777" w:rsidR="009948F1" w:rsidRDefault="00BC0563">
            <w:pPr>
              <w:pStyle w:val="TableParagraph"/>
              <w:spacing w:before="15" w:line="226" w:lineRule="exact"/>
              <w:ind w:left="114"/>
              <w:rPr>
                <w:rFonts w:ascii="Carlito"/>
                <w:sz w:val="20"/>
              </w:rPr>
            </w:pPr>
            <w:r>
              <w:rPr>
                <w:rFonts w:ascii="Carlito"/>
                <w:color w:val="231F20"/>
                <w:sz w:val="20"/>
              </w:rPr>
              <w:t>2,989M</w:t>
            </w:r>
          </w:p>
        </w:tc>
        <w:tc>
          <w:tcPr>
            <w:tcW w:w="963" w:type="dxa"/>
            <w:tcBorders>
              <w:top w:val="single" w:sz="4" w:space="0" w:color="231F20"/>
              <w:left w:val="single" w:sz="4" w:space="0" w:color="231F20"/>
              <w:bottom w:val="single" w:sz="4" w:space="0" w:color="231F20"/>
              <w:right w:val="single" w:sz="4" w:space="0" w:color="231F20"/>
            </w:tcBorders>
          </w:tcPr>
          <w:p w14:paraId="77FD91D3" w14:textId="77777777" w:rsidR="009948F1" w:rsidRDefault="00BC0563">
            <w:pPr>
              <w:pStyle w:val="TableParagraph"/>
              <w:spacing w:before="4"/>
              <w:ind w:left="160"/>
              <w:rPr>
                <w:b/>
                <w:sz w:val="20"/>
              </w:rPr>
            </w:pPr>
            <w:r>
              <w:rPr>
                <w:b/>
                <w:color w:val="231F20"/>
                <w:w w:val="76"/>
                <w:sz w:val="20"/>
              </w:rPr>
              <w:t>?</w:t>
            </w:r>
          </w:p>
          <w:p w14:paraId="55D0445C" w14:textId="77777777" w:rsidR="009948F1" w:rsidRDefault="00BC0563">
            <w:pPr>
              <w:pStyle w:val="TableParagraph"/>
              <w:spacing w:before="15" w:line="226" w:lineRule="exact"/>
              <w:ind w:left="114"/>
              <w:rPr>
                <w:rFonts w:ascii="Carlito"/>
                <w:sz w:val="20"/>
              </w:rPr>
            </w:pPr>
            <w:r>
              <w:rPr>
                <w:rFonts w:ascii="Carlito"/>
                <w:color w:val="231F20"/>
                <w:sz w:val="20"/>
              </w:rPr>
              <w:t>3,258M</w:t>
            </w:r>
          </w:p>
        </w:tc>
        <w:tc>
          <w:tcPr>
            <w:tcW w:w="1065" w:type="dxa"/>
            <w:tcBorders>
              <w:top w:val="single" w:sz="4" w:space="0" w:color="231F20"/>
              <w:left w:val="single" w:sz="4" w:space="0" w:color="231F20"/>
              <w:bottom w:val="single" w:sz="4" w:space="0" w:color="231F20"/>
            </w:tcBorders>
          </w:tcPr>
          <w:p w14:paraId="31DB6F3D" w14:textId="77777777" w:rsidR="009948F1" w:rsidRDefault="00BC0563">
            <w:pPr>
              <w:pStyle w:val="TableParagraph"/>
              <w:spacing w:before="4"/>
              <w:ind w:left="160"/>
              <w:rPr>
                <w:b/>
                <w:sz w:val="20"/>
              </w:rPr>
            </w:pPr>
            <w:r>
              <w:rPr>
                <w:b/>
                <w:color w:val="231F20"/>
                <w:w w:val="76"/>
                <w:sz w:val="20"/>
              </w:rPr>
              <w:t>?</w:t>
            </w:r>
          </w:p>
          <w:p w14:paraId="4A474DA1" w14:textId="77777777" w:rsidR="009948F1" w:rsidRDefault="00BC0563">
            <w:pPr>
              <w:pStyle w:val="TableParagraph"/>
              <w:spacing w:before="15" w:line="226" w:lineRule="exact"/>
              <w:ind w:left="114"/>
              <w:rPr>
                <w:rFonts w:ascii="Carlito"/>
                <w:sz w:val="20"/>
              </w:rPr>
            </w:pPr>
            <w:r>
              <w:rPr>
                <w:rFonts w:ascii="Carlito"/>
                <w:color w:val="231F20"/>
                <w:sz w:val="20"/>
              </w:rPr>
              <w:t>12,728M</w:t>
            </w:r>
          </w:p>
        </w:tc>
        <w:tc>
          <w:tcPr>
            <w:tcW w:w="827" w:type="dxa"/>
            <w:tcBorders>
              <w:top w:val="single" w:sz="4" w:space="0" w:color="231F20"/>
              <w:bottom w:val="single" w:sz="4" w:space="0" w:color="231F20"/>
            </w:tcBorders>
          </w:tcPr>
          <w:p w14:paraId="2C79E47E" w14:textId="77777777" w:rsidR="009948F1" w:rsidRDefault="00BC0563">
            <w:pPr>
              <w:pStyle w:val="TableParagraph"/>
              <w:spacing w:before="125"/>
              <w:ind w:left="109"/>
              <w:rPr>
                <w:rFonts w:ascii="Carlito"/>
                <w:b/>
                <w:sz w:val="20"/>
              </w:rPr>
            </w:pPr>
            <w:r>
              <w:rPr>
                <w:rFonts w:ascii="Carlito"/>
                <w:b/>
                <w:color w:val="231F20"/>
                <w:sz w:val="20"/>
              </w:rPr>
              <w:t>4.5%</w:t>
            </w:r>
          </w:p>
        </w:tc>
      </w:tr>
      <w:tr w:rsidR="009948F1" w14:paraId="68E655F2" w14:textId="77777777">
        <w:trPr>
          <w:trHeight w:val="644"/>
        </w:trPr>
        <w:tc>
          <w:tcPr>
            <w:tcW w:w="2165" w:type="dxa"/>
            <w:tcBorders>
              <w:top w:val="single" w:sz="4" w:space="0" w:color="231F20"/>
              <w:bottom w:val="single" w:sz="4" w:space="0" w:color="231F20"/>
              <w:right w:val="single" w:sz="4" w:space="0" w:color="231F20"/>
            </w:tcBorders>
            <w:shd w:val="clear" w:color="auto" w:fill="F1F2F2"/>
          </w:tcPr>
          <w:p w14:paraId="2F6FB77A" w14:textId="77777777" w:rsidR="009948F1" w:rsidRDefault="00BC0563">
            <w:pPr>
              <w:pStyle w:val="TableParagraph"/>
              <w:spacing w:line="197" w:lineRule="exact"/>
              <w:ind w:left="352"/>
              <w:rPr>
                <w:b/>
                <w:sz w:val="20"/>
              </w:rPr>
            </w:pPr>
            <w:r>
              <w:rPr>
                <w:b/>
                <w:color w:val="231F20"/>
                <w:sz w:val="20"/>
              </w:rPr>
              <w:t>Neglected</w:t>
            </w:r>
          </w:p>
          <w:p w14:paraId="6BDE9417" w14:textId="77777777" w:rsidR="009948F1" w:rsidRDefault="00BC0563">
            <w:pPr>
              <w:pStyle w:val="TableParagraph"/>
              <w:spacing w:before="8" w:line="214" w:lineRule="exact"/>
              <w:ind w:left="109" w:right="1175"/>
              <w:rPr>
                <w:b/>
                <w:sz w:val="20"/>
              </w:rPr>
            </w:pPr>
            <w:r>
              <w:rPr>
                <w:b/>
                <w:color w:val="231F20"/>
                <w:sz w:val="20"/>
              </w:rPr>
              <w:t>tropical diseases</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4E42F37" w14:textId="77777777" w:rsidR="009948F1" w:rsidRDefault="009948F1">
            <w:pPr>
              <w:pStyle w:val="TableParagraph"/>
              <w:spacing w:before="3"/>
              <w:rPr>
                <w:rFonts w:ascii="Carlito"/>
                <w:b/>
                <w:i/>
                <w:sz w:val="16"/>
              </w:rPr>
            </w:pPr>
          </w:p>
          <w:p w14:paraId="50F42A5F" w14:textId="77777777" w:rsidR="009948F1" w:rsidRDefault="00BC0563">
            <w:pPr>
              <w:pStyle w:val="TableParagraph"/>
              <w:ind w:right="167"/>
              <w:jc w:val="center"/>
              <w:rPr>
                <w:rFonts w:ascii="Carlito"/>
                <w:sz w:val="20"/>
              </w:rPr>
            </w:pPr>
            <w:r>
              <w:rPr>
                <w:color w:val="231F20"/>
                <w:sz w:val="20"/>
              </w:rPr>
              <w:t xml:space="preserve">? </w:t>
            </w:r>
            <w:r>
              <w:rPr>
                <w:rFonts w:ascii="Carlito"/>
                <w:color w:val="231F20"/>
                <w:sz w:val="20"/>
              </w:rPr>
              <w:t>26M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420A4CBD" w14:textId="77777777" w:rsidR="009948F1" w:rsidRDefault="009948F1">
            <w:pPr>
              <w:pStyle w:val="TableParagraph"/>
              <w:spacing w:before="3"/>
              <w:rPr>
                <w:rFonts w:ascii="Carlito"/>
                <w:b/>
                <w:i/>
                <w:sz w:val="16"/>
              </w:rPr>
            </w:pPr>
          </w:p>
          <w:p w14:paraId="202EBA6A" w14:textId="77777777" w:rsidR="009948F1" w:rsidRDefault="00BC0563">
            <w:pPr>
              <w:pStyle w:val="TableParagraph"/>
              <w:ind w:left="114"/>
              <w:rPr>
                <w:rFonts w:ascii="Carlito"/>
                <w:sz w:val="20"/>
              </w:rPr>
            </w:pPr>
            <w:r>
              <w:rPr>
                <w:color w:val="231F20"/>
                <w:sz w:val="20"/>
              </w:rPr>
              <w:t xml:space="preserve">? </w:t>
            </w:r>
            <w:r>
              <w:rPr>
                <w:rFonts w:ascii="Carlito"/>
                <w:color w:val="231F20"/>
                <w:sz w:val="20"/>
              </w:rPr>
              <w:t>34M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3BB2407C" w14:textId="77777777" w:rsidR="009948F1" w:rsidRDefault="009948F1">
            <w:pPr>
              <w:pStyle w:val="TableParagraph"/>
              <w:spacing w:before="3"/>
              <w:rPr>
                <w:rFonts w:ascii="Carlito"/>
                <w:b/>
                <w:i/>
                <w:sz w:val="16"/>
              </w:rPr>
            </w:pPr>
          </w:p>
          <w:p w14:paraId="4060B5EE" w14:textId="77777777" w:rsidR="009948F1" w:rsidRDefault="00BC0563">
            <w:pPr>
              <w:pStyle w:val="TableParagraph"/>
              <w:ind w:left="113"/>
              <w:rPr>
                <w:rFonts w:ascii="Carlito"/>
                <w:sz w:val="20"/>
              </w:rPr>
            </w:pPr>
            <w:r>
              <w:rPr>
                <w:color w:val="231F20"/>
                <w:sz w:val="20"/>
              </w:rPr>
              <w:t xml:space="preserve">? </w:t>
            </w:r>
            <w:r>
              <w:rPr>
                <w:rFonts w:ascii="Carlito"/>
                <w:color w:val="231F20"/>
                <w:sz w:val="20"/>
              </w:rPr>
              <w:t>34M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9303FFB" w14:textId="77777777" w:rsidR="009948F1" w:rsidRDefault="009948F1">
            <w:pPr>
              <w:pStyle w:val="TableParagraph"/>
              <w:spacing w:before="3"/>
              <w:rPr>
                <w:rFonts w:ascii="Carlito"/>
                <w:b/>
                <w:i/>
                <w:sz w:val="16"/>
              </w:rPr>
            </w:pPr>
          </w:p>
          <w:p w14:paraId="2B1355D4" w14:textId="77777777" w:rsidR="009948F1" w:rsidRDefault="00BC0563">
            <w:pPr>
              <w:pStyle w:val="TableParagraph"/>
              <w:ind w:left="114"/>
              <w:rPr>
                <w:rFonts w:ascii="Carlito"/>
                <w:sz w:val="20"/>
              </w:rPr>
            </w:pPr>
            <w:r>
              <w:rPr>
                <w:color w:val="231F20"/>
                <w:sz w:val="20"/>
              </w:rPr>
              <w:t xml:space="preserve">? </w:t>
            </w:r>
            <w:r>
              <w:rPr>
                <w:rFonts w:ascii="Carlito"/>
                <w:color w:val="231F20"/>
                <w:sz w:val="20"/>
              </w:rPr>
              <w:t>34M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FD07119" w14:textId="77777777" w:rsidR="009948F1" w:rsidRDefault="009948F1">
            <w:pPr>
              <w:pStyle w:val="TableParagraph"/>
              <w:spacing w:before="3"/>
              <w:rPr>
                <w:rFonts w:ascii="Carlito"/>
                <w:b/>
                <w:i/>
                <w:sz w:val="16"/>
              </w:rPr>
            </w:pPr>
          </w:p>
          <w:p w14:paraId="1A8F7FB6" w14:textId="77777777" w:rsidR="009948F1" w:rsidRDefault="00BC0563">
            <w:pPr>
              <w:pStyle w:val="TableParagraph"/>
              <w:ind w:left="114"/>
              <w:rPr>
                <w:rFonts w:ascii="Carlito"/>
                <w:sz w:val="20"/>
              </w:rPr>
            </w:pPr>
            <w:r>
              <w:rPr>
                <w:color w:val="231F20"/>
                <w:sz w:val="20"/>
              </w:rPr>
              <w:t xml:space="preserve">? </w:t>
            </w:r>
            <w:r>
              <w:rPr>
                <w:rFonts w:ascii="Carlito"/>
                <w:color w:val="231F20"/>
                <w:sz w:val="20"/>
              </w:rPr>
              <w:t>34M</w:t>
            </w:r>
          </w:p>
        </w:tc>
        <w:tc>
          <w:tcPr>
            <w:tcW w:w="1065" w:type="dxa"/>
            <w:tcBorders>
              <w:top w:val="single" w:sz="4" w:space="0" w:color="231F20"/>
              <w:left w:val="single" w:sz="4" w:space="0" w:color="231F20"/>
              <w:bottom w:val="single" w:sz="4" w:space="0" w:color="231F20"/>
            </w:tcBorders>
            <w:shd w:val="clear" w:color="auto" w:fill="F1F2F2"/>
          </w:tcPr>
          <w:p w14:paraId="0E23225E" w14:textId="77777777" w:rsidR="009948F1" w:rsidRDefault="009948F1">
            <w:pPr>
              <w:pStyle w:val="TableParagraph"/>
              <w:spacing w:before="3"/>
              <w:rPr>
                <w:rFonts w:ascii="Carlito"/>
                <w:b/>
                <w:i/>
                <w:sz w:val="16"/>
              </w:rPr>
            </w:pPr>
          </w:p>
          <w:p w14:paraId="74EA1AEE" w14:textId="77777777" w:rsidR="009948F1" w:rsidRDefault="00BC0563">
            <w:pPr>
              <w:pStyle w:val="TableParagraph"/>
              <w:ind w:left="114"/>
              <w:rPr>
                <w:rFonts w:ascii="Carlito"/>
                <w:sz w:val="20"/>
              </w:rPr>
            </w:pPr>
            <w:r>
              <w:rPr>
                <w:color w:val="231F20"/>
                <w:sz w:val="20"/>
              </w:rPr>
              <w:t xml:space="preserve">? </w:t>
            </w:r>
            <w:r>
              <w:rPr>
                <w:rFonts w:ascii="Carlito"/>
                <w:color w:val="231F20"/>
                <w:sz w:val="20"/>
              </w:rPr>
              <w:t>160M</w:t>
            </w:r>
          </w:p>
        </w:tc>
        <w:tc>
          <w:tcPr>
            <w:tcW w:w="827" w:type="dxa"/>
            <w:tcBorders>
              <w:top w:val="single" w:sz="4" w:space="0" w:color="231F20"/>
              <w:bottom w:val="single" w:sz="4" w:space="0" w:color="231F20"/>
            </w:tcBorders>
            <w:shd w:val="clear" w:color="auto" w:fill="F1F2F2"/>
          </w:tcPr>
          <w:p w14:paraId="541811CC" w14:textId="77777777" w:rsidR="009948F1" w:rsidRDefault="009948F1">
            <w:pPr>
              <w:pStyle w:val="TableParagraph"/>
              <w:spacing w:before="3"/>
              <w:rPr>
                <w:rFonts w:ascii="Carlito"/>
                <w:b/>
                <w:i/>
                <w:sz w:val="16"/>
              </w:rPr>
            </w:pPr>
          </w:p>
          <w:p w14:paraId="3A6FAA55" w14:textId="77777777" w:rsidR="009948F1" w:rsidRDefault="00BC0563">
            <w:pPr>
              <w:pStyle w:val="TableParagraph"/>
              <w:ind w:left="109"/>
              <w:rPr>
                <w:rFonts w:ascii="Carlito"/>
                <w:b/>
                <w:sz w:val="20"/>
              </w:rPr>
            </w:pPr>
            <w:r>
              <w:rPr>
                <w:rFonts w:ascii="Carlito"/>
                <w:b/>
                <w:color w:val="231F20"/>
                <w:sz w:val="20"/>
              </w:rPr>
              <w:t>0.1%</w:t>
            </w:r>
          </w:p>
        </w:tc>
      </w:tr>
      <w:tr w:rsidR="009948F1" w14:paraId="763A29C8" w14:textId="77777777">
        <w:trPr>
          <w:trHeight w:val="858"/>
        </w:trPr>
        <w:tc>
          <w:tcPr>
            <w:tcW w:w="2165" w:type="dxa"/>
            <w:tcBorders>
              <w:top w:val="single" w:sz="4" w:space="0" w:color="231F20"/>
              <w:bottom w:val="single" w:sz="4" w:space="0" w:color="231F20"/>
              <w:right w:val="single" w:sz="4" w:space="0" w:color="231F20"/>
            </w:tcBorders>
          </w:tcPr>
          <w:p w14:paraId="677C014C" w14:textId="77777777" w:rsidR="009948F1" w:rsidRDefault="00BC0563">
            <w:pPr>
              <w:pStyle w:val="TableParagraph"/>
              <w:spacing w:line="223" w:lineRule="auto"/>
              <w:ind w:left="109" w:right="498" w:firstLine="243"/>
              <w:rPr>
                <w:b/>
                <w:sz w:val="20"/>
              </w:rPr>
            </w:pPr>
            <w:r>
              <w:rPr>
                <w:b/>
                <w:color w:val="231F20"/>
                <w:sz w:val="20"/>
              </w:rPr>
              <w:t>Health Promotions and</w:t>
            </w:r>
          </w:p>
          <w:p w14:paraId="1B4ABF64" w14:textId="77777777" w:rsidR="009948F1" w:rsidRDefault="00BC0563">
            <w:pPr>
              <w:pStyle w:val="TableParagraph"/>
              <w:spacing w:line="214" w:lineRule="exact"/>
              <w:ind w:left="109" w:right="854"/>
              <w:rPr>
                <w:b/>
                <w:sz w:val="20"/>
              </w:rPr>
            </w:pPr>
            <w:r>
              <w:rPr>
                <w:b/>
                <w:color w:val="231F20"/>
                <w:sz w:val="20"/>
              </w:rPr>
              <w:t>Social Determinant</w:t>
            </w:r>
          </w:p>
        </w:tc>
        <w:tc>
          <w:tcPr>
            <w:tcW w:w="963" w:type="dxa"/>
            <w:tcBorders>
              <w:top w:val="single" w:sz="4" w:space="0" w:color="231F20"/>
              <w:left w:val="single" w:sz="4" w:space="0" w:color="231F20"/>
              <w:bottom w:val="single" w:sz="4" w:space="0" w:color="231F20"/>
              <w:right w:val="single" w:sz="4" w:space="0" w:color="231F20"/>
            </w:tcBorders>
          </w:tcPr>
          <w:p w14:paraId="1D9D1FB2" w14:textId="77777777" w:rsidR="009948F1" w:rsidRDefault="009948F1">
            <w:pPr>
              <w:pStyle w:val="TableParagraph"/>
              <w:spacing w:before="2"/>
              <w:rPr>
                <w:rFonts w:ascii="Carlito"/>
                <w:b/>
                <w:i/>
                <w:sz w:val="25"/>
              </w:rPr>
            </w:pPr>
          </w:p>
          <w:p w14:paraId="2FD5A444" w14:textId="77777777" w:rsidR="009948F1" w:rsidRDefault="00BC0563">
            <w:pPr>
              <w:pStyle w:val="TableParagraph"/>
              <w:spacing w:before="1"/>
              <w:ind w:left="97" w:right="274"/>
              <w:jc w:val="center"/>
              <w:rPr>
                <w:rFonts w:ascii="Carlito"/>
                <w:sz w:val="20"/>
              </w:rPr>
            </w:pPr>
            <w:r>
              <w:rPr>
                <w:color w:val="231F20"/>
                <w:sz w:val="20"/>
              </w:rPr>
              <w:t xml:space="preserve">? </w:t>
            </w:r>
            <w:r>
              <w:rPr>
                <w:rFonts w:ascii="Carlito"/>
                <w:color w:val="231F20"/>
                <w:sz w:val="20"/>
              </w:rPr>
              <w:t>3M</w:t>
            </w:r>
          </w:p>
        </w:tc>
        <w:tc>
          <w:tcPr>
            <w:tcW w:w="961" w:type="dxa"/>
            <w:tcBorders>
              <w:top w:val="single" w:sz="4" w:space="0" w:color="231F20"/>
              <w:left w:val="single" w:sz="4" w:space="0" w:color="231F20"/>
              <w:bottom w:val="single" w:sz="4" w:space="0" w:color="231F20"/>
              <w:right w:val="single" w:sz="4" w:space="0" w:color="231F20"/>
            </w:tcBorders>
          </w:tcPr>
          <w:p w14:paraId="320B8BD0" w14:textId="77777777" w:rsidR="009948F1" w:rsidRDefault="009948F1">
            <w:pPr>
              <w:pStyle w:val="TableParagraph"/>
              <w:spacing w:before="2"/>
              <w:rPr>
                <w:rFonts w:ascii="Carlito"/>
                <w:b/>
                <w:i/>
                <w:sz w:val="25"/>
              </w:rPr>
            </w:pPr>
          </w:p>
          <w:p w14:paraId="7FFF6C7F"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104M</w:t>
            </w:r>
          </w:p>
        </w:tc>
        <w:tc>
          <w:tcPr>
            <w:tcW w:w="963" w:type="dxa"/>
            <w:tcBorders>
              <w:top w:val="single" w:sz="4" w:space="0" w:color="231F20"/>
              <w:left w:val="single" w:sz="4" w:space="0" w:color="231F20"/>
              <w:bottom w:val="single" w:sz="4" w:space="0" w:color="231F20"/>
              <w:right w:val="single" w:sz="4" w:space="0" w:color="231F20"/>
            </w:tcBorders>
          </w:tcPr>
          <w:p w14:paraId="04F23E59" w14:textId="77777777" w:rsidR="009948F1" w:rsidRDefault="009948F1">
            <w:pPr>
              <w:pStyle w:val="TableParagraph"/>
              <w:spacing w:before="2"/>
              <w:rPr>
                <w:rFonts w:ascii="Carlito"/>
                <w:b/>
                <w:i/>
                <w:sz w:val="25"/>
              </w:rPr>
            </w:pPr>
          </w:p>
          <w:p w14:paraId="5C4E99B2"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107M</w:t>
            </w:r>
          </w:p>
        </w:tc>
        <w:tc>
          <w:tcPr>
            <w:tcW w:w="963" w:type="dxa"/>
            <w:tcBorders>
              <w:top w:val="single" w:sz="4" w:space="0" w:color="231F20"/>
              <w:left w:val="single" w:sz="4" w:space="0" w:color="231F20"/>
              <w:bottom w:val="single" w:sz="4" w:space="0" w:color="231F20"/>
              <w:right w:val="single" w:sz="4" w:space="0" w:color="231F20"/>
            </w:tcBorders>
          </w:tcPr>
          <w:p w14:paraId="4E6B38CD" w14:textId="77777777" w:rsidR="009948F1" w:rsidRDefault="009948F1">
            <w:pPr>
              <w:pStyle w:val="TableParagraph"/>
              <w:spacing w:before="2"/>
              <w:rPr>
                <w:rFonts w:ascii="Carlito"/>
                <w:b/>
                <w:i/>
                <w:sz w:val="25"/>
              </w:rPr>
            </w:pPr>
          </w:p>
          <w:p w14:paraId="026EE2F9"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107M</w:t>
            </w:r>
          </w:p>
        </w:tc>
        <w:tc>
          <w:tcPr>
            <w:tcW w:w="963" w:type="dxa"/>
            <w:tcBorders>
              <w:top w:val="single" w:sz="4" w:space="0" w:color="231F20"/>
              <w:left w:val="single" w:sz="4" w:space="0" w:color="231F20"/>
              <w:bottom w:val="single" w:sz="4" w:space="0" w:color="231F20"/>
              <w:right w:val="single" w:sz="4" w:space="0" w:color="231F20"/>
            </w:tcBorders>
          </w:tcPr>
          <w:p w14:paraId="73061D68" w14:textId="77777777" w:rsidR="009948F1" w:rsidRDefault="009948F1">
            <w:pPr>
              <w:pStyle w:val="TableParagraph"/>
              <w:spacing w:before="2"/>
              <w:rPr>
                <w:rFonts w:ascii="Carlito"/>
                <w:b/>
                <w:i/>
                <w:sz w:val="25"/>
              </w:rPr>
            </w:pPr>
          </w:p>
          <w:p w14:paraId="4CA30C67"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107M</w:t>
            </w:r>
          </w:p>
        </w:tc>
        <w:tc>
          <w:tcPr>
            <w:tcW w:w="1065" w:type="dxa"/>
            <w:tcBorders>
              <w:top w:val="single" w:sz="4" w:space="0" w:color="231F20"/>
              <w:left w:val="single" w:sz="4" w:space="0" w:color="231F20"/>
              <w:bottom w:val="single" w:sz="4" w:space="0" w:color="231F20"/>
            </w:tcBorders>
          </w:tcPr>
          <w:p w14:paraId="261FB24C" w14:textId="77777777" w:rsidR="009948F1" w:rsidRDefault="009948F1">
            <w:pPr>
              <w:pStyle w:val="TableParagraph"/>
              <w:spacing w:before="2"/>
              <w:rPr>
                <w:rFonts w:ascii="Carlito"/>
                <w:b/>
                <w:i/>
                <w:sz w:val="25"/>
              </w:rPr>
            </w:pPr>
          </w:p>
          <w:p w14:paraId="2907D026"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428M</w:t>
            </w:r>
          </w:p>
        </w:tc>
        <w:tc>
          <w:tcPr>
            <w:tcW w:w="827" w:type="dxa"/>
            <w:tcBorders>
              <w:top w:val="single" w:sz="4" w:space="0" w:color="231F20"/>
              <w:bottom w:val="single" w:sz="4" w:space="0" w:color="231F20"/>
            </w:tcBorders>
          </w:tcPr>
          <w:p w14:paraId="2BC900AC" w14:textId="77777777" w:rsidR="009948F1" w:rsidRDefault="009948F1">
            <w:pPr>
              <w:pStyle w:val="TableParagraph"/>
              <w:spacing w:before="2"/>
              <w:rPr>
                <w:rFonts w:ascii="Carlito"/>
                <w:b/>
                <w:i/>
                <w:sz w:val="25"/>
              </w:rPr>
            </w:pPr>
          </w:p>
          <w:p w14:paraId="592B892B" w14:textId="77777777" w:rsidR="009948F1" w:rsidRDefault="00BC0563">
            <w:pPr>
              <w:pStyle w:val="TableParagraph"/>
              <w:spacing w:before="1"/>
              <w:ind w:left="109"/>
              <w:rPr>
                <w:rFonts w:ascii="Carlito"/>
                <w:b/>
                <w:sz w:val="20"/>
              </w:rPr>
            </w:pPr>
            <w:r>
              <w:rPr>
                <w:rFonts w:ascii="Carlito"/>
                <w:b/>
                <w:color w:val="231F20"/>
                <w:sz w:val="20"/>
              </w:rPr>
              <w:t>0.2%</w:t>
            </w:r>
          </w:p>
        </w:tc>
      </w:tr>
      <w:tr w:rsidR="009948F1" w14:paraId="0DB8B781" w14:textId="77777777">
        <w:trPr>
          <w:trHeight w:val="860"/>
        </w:trPr>
        <w:tc>
          <w:tcPr>
            <w:tcW w:w="2165" w:type="dxa"/>
            <w:tcBorders>
              <w:top w:val="single" w:sz="4" w:space="0" w:color="231F20"/>
              <w:bottom w:val="single" w:sz="4" w:space="0" w:color="231F20"/>
              <w:right w:val="single" w:sz="4" w:space="0" w:color="231F20"/>
            </w:tcBorders>
            <w:shd w:val="clear" w:color="auto" w:fill="F1F2F2"/>
          </w:tcPr>
          <w:p w14:paraId="3061E4D4" w14:textId="77777777" w:rsidR="009948F1" w:rsidRDefault="00BC0563">
            <w:pPr>
              <w:pStyle w:val="TableParagraph"/>
              <w:spacing w:line="198" w:lineRule="exact"/>
              <w:ind w:left="352"/>
              <w:rPr>
                <w:b/>
                <w:sz w:val="20"/>
              </w:rPr>
            </w:pPr>
            <w:r>
              <w:rPr>
                <w:b/>
                <w:color w:val="231F20"/>
                <w:sz w:val="20"/>
              </w:rPr>
              <w:t>General And</w:t>
            </w:r>
          </w:p>
          <w:p w14:paraId="36946691" w14:textId="77777777" w:rsidR="009948F1" w:rsidRDefault="00BC0563">
            <w:pPr>
              <w:pStyle w:val="TableParagraph"/>
              <w:spacing w:before="9" w:line="214" w:lineRule="exact"/>
              <w:ind w:left="109" w:right="942"/>
              <w:rPr>
                <w:b/>
                <w:sz w:val="20"/>
              </w:rPr>
            </w:pPr>
            <w:r>
              <w:rPr>
                <w:b/>
                <w:color w:val="231F20"/>
                <w:sz w:val="20"/>
              </w:rPr>
              <w:t>Emergency Hospital Services</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762FA270" w14:textId="77777777" w:rsidR="009948F1" w:rsidRDefault="009948F1">
            <w:pPr>
              <w:pStyle w:val="TableParagraph"/>
              <w:spacing w:before="2"/>
              <w:rPr>
                <w:rFonts w:ascii="Carlito"/>
                <w:b/>
                <w:i/>
                <w:sz w:val="25"/>
              </w:rPr>
            </w:pPr>
          </w:p>
          <w:p w14:paraId="1C7793C2" w14:textId="77777777" w:rsidR="009948F1" w:rsidRDefault="00BC0563">
            <w:pPr>
              <w:pStyle w:val="TableParagraph"/>
              <w:spacing w:before="1"/>
              <w:ind w:right="167"/>
              <w:jc w:val="center"/>
              <w:rPr>
                <w:rFonts w:ascii="Carlito"/>
                <w:sz w:val="20"/>
              </w:rPr>
            </w:pPr>
            <w:r>
              <w:rPr>
                <w:color w:val="231F20"/>
                <w:sz w:val="20"/>
              </w:rPr>
              <w:t xml:space="preserve">? </w:t>
            </w:r>
            <w:r>
              <w:rPr>
                <w:rFonts w:ascii="Carlito"/>
                <w:color w:val="231F20"/>
                <w:sz w:val="20"/>
              </w:rPr>
              <w:t>10M</w:t>
            </w:r>
          </w:p>
        </w:tc>
        <w:tc>
          <w:tcPr>
            <w:tcW w:w="961" w:type="dxa"/>
            <w:tcBorders>
              <w:top w:val="single" w:sz="4" w:space="0" w:color="231F20"/>
              <w:left w:val="single" w:sz="4" w:space="0" w:color="231F20"/>
              <w:bottom w:val="single" w:sz="4" w:space="0" w:color="231F20"/>
              <w:right w:val="single" w:sz="4" w:space="0" w:color="231F20"/>
            </w:tcBorders>
            <w:shd w:val="clear" w:color="auto" w:fill="F1F2F2"/>
          </w:tcPr>
          <w:p w14:paraId="326C30B3" w14:textId="77777777" w:rsidR="009948F1" w:rsidRDefault="009948F1">
            <w:pPr>
              <w:pStyle w:val="TableParagraph"/>
              <w:spacing w:before="2"/>
              <w:rPr>
                <w:rFonts w:ascii="Carlito"/>
                <w:b/>
                <w:i/>
                <w:sz w:val="25"/>
              </w:rPr>
            </w:pPr>
          </w:p>
          <w:p w14:paraId="7B9517D8"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91M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21C0AAFD" w14:textId="77777777" w:rsidR="009948F1" w:rsidRDefault="009948F1">
            <w:pPr>
              <w:pStyle w:val="TableParagraph"/>
              <w:spacing w:before="2"/>
              <w:rPr>
                <w:rFonts w:ascii="Carlito"/>
                <w:b/>
                <w:i/>
                <w:sz w:val="25"/>
              </w:rPr>
            </w:pPr>
          </w:p>
          <w:p w14:paraId="776C6693" w14:textId="77777777" w:rsidR="009948F1" w:rsidRDefault="00BC0563">
            <w:pPr>
              <w:pStyle w:val="TableParagraph"/>
              <w:spacing w:before="1"/>
              <w:ind w:left="113"/>
              <w:rPr>
                <w:rFonts w:ascii="Carlito"/>
                <w:sz w:val="20"/>
              </w:rPr>
            </w:pPr>
            <w:r>
              <w:rPr>
                <w:color w:val="231F20"/>
                <w:sz w:val="20"/>
              </w:rPr>
              <w:t xml:space="preserve">? </w:t>
            </w:r>
            <w:r>
              <w:rPr>
                <w:rFonts w:ascii="Carlito"/>
                <w:color w:val="231F20"/>
                <w:sz w:val="20"/>
              </w:rPr>
              <w:t>86M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14A81E39" w14:textId="77777777" w:rsidR="009948F1" w:rsidRDefault="009948F1">
            <w:pPr>
              <w:pStyle w:val="TableParagraph"/>
              <w:spacing w:before="2"/>
              <w:rPr>
                <w:rFonts w:ascii="Carlito"/>
                <w:b/>
                <w:i/>
                <w:sz w:val="25"/>
              </w:rPr>
            </w:pPr>
          </w:p>
          <w:p w14:paraId="109C3E43"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78M</w:t>
            </w:r>
          </w:p>
        </w:tc>
        <w:tc>
          <w:tcPr>
            <w:tcW w:w="963" w:type="dxa"/>
            <w:tcBorders>
              <w:top w:val="single" w:sz="4" w:space="0" w:color="231F20"/>
              <w:left w:val="single" w:sz="4" w:space="0" w:color="231F20"/>
              <w:bottom w:val="single" w:sz="4" w:space="0" w:color="231F20"/>
              <w:right w:val="single" w:sz="4" w:space="0" w:color="231F20"/>
            </w:tcBorders>
            <w:shd w:val="clear" w:color="auto" w:fill="F1F2F2"/>
          </w:tcPr>
          <w:p w14:paraId="550D43BD" w14:textId="77777777" w:rsidR="009948F1" w:rsidRDefault="009948F1">
            <w:pPr>
              <w:pStyle w:val="TableParagraph"/>
              <w:spacing w:before="2"/>
              <w:rPr>
                <w:rFonts w:ascii="Carlito"/>
                <w:b/>
                <w:i/>
                <w:sz w:val="25"/>
              </w:rPr>
            </w:pPr>
          </w:p>
          <w:p w14:paraId="78EC9AB9"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81M</w:t>
            </w:r>
          </w:p>
        </w:tc>
        <w:tc>
          <w:tcPr>
            <w:tcW w:w="1065" w:type="dxa"/>
            <w:tcBorders>
              <w:top w:val="single" w:sz="4" w:space="0" w:color="231F20"/>
              <w:left w:val="single" w:sz="4" w:space="0" w:color="231F20"/>
              <w:bottom w:val="single" w:sz="4" w:space="0" w:color="231F20"/>
            </w:tcBorders>
            <w:shd w:val="clear" w:color="auto" w:fill="F1F2F2"/>
          </w:tcPr>
          <w:p w14:paraId="27F8AF15" w14:textId="77777777" w:rsidR="009948F1" w:rsidRDefault="009948F1">
            <w:pPr>
              <w:pStyle w:val="TableParagraph"/>
              <w:spacing w:before="2"/>
              <w:rPr>
                <w:rFonts w:ascii="Carlito"/>
                <w:b/>
                <w:i/>
                <w:sz w:val="25"/>
              </w:rPr>
            </w:pPr>
          </w:p>
          <w:p w14:paraId="0A61867C" w14:textId="77777777" w:rsidR="009948F1" w:rsidRDefault="00BC0563">
            <w:pPr>
              <w:pStyle w:val="TableParagraph"/>
              <w:spacing w:before="1"/>
              <w:ind w:left="114"/>
              <w:rPr>
                <w:rFonts w:ascii="Carlito"/>
                <w:sz w:val="20"/>
              </w:rPr>
            </w:pPr>
            <w:r>
              <w:rPr>
                <w:color w:val="231F20"/>
                <w:sz w:val="20"/>
              </w:rPr>
              <w:t xml:space="preserve">? </w:t>
            </w:r>
            <w:r>
              <w:rPr>
                <w:rFonts w:ascii="Carlito"/>
                <w:color w:val="231F20"/>
                <w:sz w:val="20"/>
              </w:rPr>
              <w:t>346M</w:t>
            </w:r>
          </w:p>
        </w:tc>
        <w:tc>
          <w:tcPr>
            <w:tcW w:w="827" w:type="dxa"/>
            <w:tcBorders>
              <w:top w:val="single" w:sz="4" w:space="0" w:color="231F20"/>
              <w:bottom w:val="single" w:sz="4" w:space="0" w:color="231F20"/>
            </w:tcBorders>
            <w:shd w:val="clear" w:color="auto" w:fill="F1F2F2"/>
          </w:tcPr>
          <w:p w14:paraId="5A70EBF5" w14:textId="77777777" w:rsidR="009948F1" w:rsidRDefault="009948F1">
            <w:pPr>
              <w:pStyle w:val="TableParagraph"/>
              <w:spacing w:before="2"/>
              <w:rPr>
                <w:rFonts w:ascii="Carlito"/>
                <w:b/>
                <w:i/>
                <w:sz w:val="25"/>
              </w:rPr>
            </w:pPr>
          </w:p>
          <w:p w14:paraId="3918F696" w14:textId="77777777" w:rsidR="009948F1" w:rsidRDefault="00BC0563">
            <w:pPr>
              <w:pStyle w:val="TableParagraph"/>
              <w:spacing w:before="1"/>
              <w:ind w:left="109"/>
              <w:rPr>
                <w:rFonts w:ascii="Carlito"/>
                <w:b/>
                <w:sz w:val="20"/>
              </w:rPr>
            </w:pPr>
            <w:r>
              <w:rPr>
                <w:rFonts w:ascii="Carlito"/>
                <w:b/>
                <w:color w:val="231F20"/>
                <w:sz w:val="20"/>
              </w:rPr>
              <w:t>0.1%</w:t>
            </w:r>
          </w:p>
        </w:tc>
      </w:tr>
      <w:tr w:rsidR="009948F1" w14:paraId="2585E5F9" w14:textId="77777777">
        <w:trPr>
          <w:trHeight w:val="858"/>
        </w:trPr>
        <w:tc>
          <w:tcPr>
            <w:tcW w:w="2165" w:type="dxa"/>
            <w:tcBorders>
              <w:top w:val="single" w:sz="4" w:space="0" w:color="231F20"/>
              <w:right w:val="single" w:sz="4" w:space="0" w:color="231F20"/>
            </w:tcBorders>
          </w:tcPr>
          <w:p w14:paraId="02648FA2" w14:textId="77777777" w:rsidR="009948F1" w:rsidRDefault="00BC0563">
            <w:pPr>
              <w:pStyle w:val="TableParagraph"/>
              <w:spacing w:line="223" w:lineRule="auto"/>
              <w:ind w:left="109" w:right="511" w:firstLine="243"/>
              <w:rPr>
                <w:b/>
                <w:sz w:val="20"/>
              </w:rPr>
            </w:pPr>
            <w:r>
              <w:rPr>
                <w:b/>
                <w:color w:val="231F20"/>
                <w:sz w:val="20"/>
              </w:rPr>
              <w:t>Public Health Emergencies,</w:t>
            </w:r>
          </w:p>
          <w:p w14:paraId="66E6DD11" w14:textId="77777777" w:rsidR="009948F1" w:rsidRDefault="00BC0563">
            <w:pPr>
              <w:pStyle w:val="TableParagraph"/>
              <w:spacing w:line="214" w:lineRule="exact"/>
              <w:ind w:left="109" w:right="286"/>
              <w:rPr>
                <w:b/>
                <w:sz w:val="20"/>
              </w:rPr>
            </w:pPr>
            <w:r>
              <w:rPr>
                <w:b/>
                <w:color w:val="231F20"/>
                <w:sz w:val="20"/>
              </w:rPr>
              <w:t>Preparedness and Response</w:t>
            </w:r>
          </w:p>
        </w:tc>
        <w:tc>
          <w:tcPr>
            <w:tcW w:w="963" w:type="dxa"/>
            <w:tcBorders>
              <w:top w:val="single" w:sz="4" w:space="0" w:color="231F20"/>
              <w:left w:val="single" w:sz="4" w:space="0" w:color="231F20"/>
              <w:right w:val="single" w:sz="4" w:space="0" w:color="231F20"/>
            </w:tcBorders>
          </w:tcPr>
          <w:p w14:paraId="41BBBD41" w14:textId="77777777" w:rsidR="009948F1" w:rsidRDefault="009948F1">
            <w:pPr>
              <w:pStyle w:val="TableParagraph"/>
              <w:spacing w:before="2"/>
              <w:rPr>
                <w:rFonts w:ascii="Carlito"/>
                <w:b/>
                <w:i/>
                <w:sz w:val="25"/>
              </w:rPr>
            </w:pPr>
          </w:p>
          <w:p w14:paraId="5A583C8E" w14:textId="77777777" w:rsidR="009948F1" w:rsidRDefault="00BC0563">
            <w:pPr>
              <w:pStyle w:val="TableParagraph"/>
              <w:spacing w:before="1"/>
              <w:ind w:left="97" w:right="274"/>
              <w:jc w:val="center"/>
              <w:rPr>
                <w:rFonts w:ascii="Carlito"/>
                <w:sz w:val="20"/>
              </w:rPr>
            </w:pPr>
            <w:r>
              <w:rPr>
                <w:color w:val="231F20"/>
                <w:sz w:val="20"/>
              </w:rPr>
              <w:t xml:space="preserve">? </w:t>
            </w:r>
            <w:r>
              <w:rPr>
                <w:rFonts w:ascii="Carlito"/>
                <w:color w:val="231F20"/>
                <w:sz w:val="20"/>
              </w:rPr>
              <w:t>1M</w:t>
            </w:r>
          </w:p>
        </w:tc>
        <w:tc>
          <w:tcPr>
            <w:tcW w:w="961" w:type="dxa"/>
            <w:tcBorders>
              <w:top w:val="single" w:sz="4" w:space="0" w:color="231F20"/>
              <w:left w:val="single" w:sz="4" w:space="0" w:color="231F20"/>
              <w:right w:val="single" w:sz="4" w:space="0" w:color="231F20"/>
            </w:tcBorders>
          </w:tcPr>
          <w:p w14:paraId="0617FA8B" w14:textId="77777777" w:rsidR="009948F1" w:rsidRDefault="009948F1">
            <w:pPr>
              <w:pStyle w:val="TableParagraph"/>
              <w:spacing w:before="2"/>
              <w:rPr>
                <w:rFonts w:ascii="Carlito"/>
                <w:b/>
                <w:i/>
                <w:sz w:val="25"/>
              </w:rPr>
            </w:pPr>
          </w:p>
          <w:p w14:paraId="60F349A3"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7M</w:t>
            </w:r>
          </w:p>
        </w:tc>
        <w:tc>
          <w:tcPr>
            <w:tcW w:w="963" w:type="dxa"/>
            <w:tcBorders>
              <w:top w:val="single" w:sz="4" w:space="0" w:color="231F20"/>
              <w:left w:val="single" w:sz="4" w:space="0" w:color="231F20"/>
              <w:right w:val="single" w:sz="4" w:space="0" w:color="231F20"/>
            </w:tcBorders>
          </w:tcPr>
          <w:p w14:paraId="705CD352" w14:textId="77777777" w:rsidR="009948F1" w:rsidRDefault="009948F1">
            <w:pPr>
              <w:pStyle w:val="TableParagraph"/>
              <w:spacing w:before="2"/>
              <w:rPr>
                <w:rFonts w:ascii="Carlito"/>
                <w:b/>
                <w:i/>
                <w:sz w:val="25"/>
              </w:rPr>
            </w:pPr>
          </w:p>
          <w:p w14:paraId="3423DA37"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5M</w:t>
            </w:r>
          </w:p>
        </w:tc>
        <w:tc>
          <w:tcPr>
            <w:tcW w:w="963" w:type="dxa"/>
            <w:tcBorders>
              <w:top w:val="single" w:sz="4" w:space="0" w:color="231F20"/>
              <w:left w:val="single" w:sz="4" w:space="0" w:color="231F20"/>
              <w:right w:val="single" w:sz="4" w:space="0" w:color="231F20"/>
            </w:tcBorders>
          </w:tcPr>
          <w:p w14:paraId="5E773955" w14:textId="77777777" w:rsidR="009948F1" w:rsidRDefault="009948F1">
            <w:pPr>
              <w:pStyle w:val="TableParagraph"/>
              <w:spacing w:before="2"/>
              <w:rPr>
                <w:rFonts w:ascii="Carlito"/>
                <w:b/>
                <w:i/>
                <w:sz w:val="25"/>
              </w:rPr>
            </w:pPr>
          </w:p>
          <w:p w14:paraId="1EDF6B6A"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7M</w:t>
            </w:r>
          </w:p>
        </w:tc>
        <w:tc>
          <w:tcPr>
            <w:tcW w:w="963" w:type="dxa"/>
            <w:tcBorders>
              <w:top w:val="single" w:sz="4" w:space="0" w:color="231F20"/>
              <w:left w:val="single" w:sz="4" w:space="0" w:color="231F20"/>
              <w:right w:val="single" w:sz="4" w:space="0" w:color="231F20"/>
            </w:tcBorders>
          </w:tcPr>
          <w:p w14:paraId="7C288CCF" w14:textId="77777777" w:rsidR="009948F1" w:rsidRDefault="009948F1">
            <w:pPr>
              <w:pStyle w:val="TableParagraph"/>
              <w:spacing w:before="2"/>
              <w:rPr>
                <w:rFonts w:ascii="Carlito"/>
                <w:b/>
                <w:i/>
                <w:sz w:val="25"/>
              </w:rPr>
            </w:pPr>
          </w:p>
          <w:p w14:paraId="3AAED018"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6M</w:t>
            </w:r>
          </w:p>
        </w:tc>
        <w:tc>
          <w:tcPr>
            <w:tcW w:w="1065" w:type="dxa"/>
            <w:tcBorders>
              <w:top w:val="single" w:sz="4" w:space="0" w:color="231F20"/>
              <w:left w:val="single" w:sz="4" w:space="0" w:color="231F20"/>
            </w:tcBorders>
          </w:tcPr>
          <w:p w14:paraId="5F71FBF6" w14:textId="77777777" w:rsidR="009948F1" w:rsidRDefault="009948F1">
            <w:pPr>
              <w:pStyle w:val="TableParagraph"/>
              <w:spacing w:before="2"/>
              <w:rPr>
                <w:rFonts w:ascii="Carlito"/>
                <w:b/>
                <w:i/>
                <w:sz w:val="25"/>
              </w:rPr>
            </w:pPr>
          </w:p>
          <w:p w14:paraId="32DC0501" w14:textId="77777777" w:rsidR="009948F1" w:rsidRDefault="00BC0563">
            <w:pPr>
              <w:pStyle w:val="TableParagraph"/>
              <w:spacing w:before="1"/>
              <w:ind w:left="160"/>
              <w:rPr>
                <w:rFonts w:ascii="Carlito"/>
                <w:sz w:val="20"/>
              </w:rPr>
            </w:pPr>
            <w:r>
              <w:rPr>
                <w:color w:val="231F20"/>
                <w:sz w:val="20"/>
              </w:rPr>
              <w:t xml:space="preserve">? </w:t>
            </w:r>
            <w:r>
              <w:rPr>
                <w:rFonts w:ascii="Carlito"/>
                <w:color w:val="231F20"/>
                <w:sz w:val="20"/>
              </w:rPr>
              <w:t>27M</w:t>
            </w:r>
          </w:p>
        </w:tc>
        <w:tc>
          <w:tcPr>
            <w:tcW w:w="827" w:type="dxa"/>
            <w:tcBorders>
              <w:top w:val="single" w:sz="4" w:space="0" w:color="231F20"/>
            </w:tcBorders>
          </w:tcPr>
          <w:p w14:paraId="3DB8BBC6" w14:textId="77777777" w:rsidR="009948F1" w:rsidRDefault="009948F1">
            <w:pPr>
              <w:pStyle w:val="TableParagraph"/>
              <w:spacing w:before="2"/>
              <w:rPr>
                <w:rFonts w:ascii="Carlito"/>
                <w:b/>
                <w:i/>
                <w:sz w:val="25"/>
              </w:rPr>
            </w:pPr>
          </w:p>
          <w:p w14:paraId="73086E8C" w14:textId="77777777" w:rsidR="009948F1" w:rsidRDefault="00BC0563">
            <w:pPr>
              <w:pStyle w:val="TableParagraph"/>
              <w:spacing w:before="1"/>
              <w:ind w:left="109"/>
              <w:rPr>
                <w:rFonts w:ascii="Carlito"/>
                <w:b/>
                <w:sz w:val="20"/>
              </w:rPr>
            </w:pPr>
            <w:r>
              <w:rPr>
                <w:rFonts w:ascii="Carlito"/>
                <w:b/>
                <w:color w:val="231F20"/>
                <w:sz w:val="20"/>
              </w:rPr>
              <w:t>0.0%</w:t>
            </w:r>
          </w:p>
        </w:tc>
      </w:tr>
      <w:tr w:rsidR="009948F1" w14:paraId="22AE596E" w14:textId="77777777">
        <w:trPr>
          <w:trHeight w:val="495"/>
        </w:trPr>
        <w:tc>
          <w:tcPr>
            <w:tcW w:w="2165" w:type="dxa"/>
            <w:tcBorders>
              <w:right w:val="single" w:sz="4" w:space="0" w:color="231F20"/>
            </w:tcBorders>
            <w:shd w:val="clear" w:color="auto" w:fill="DCDDDE"/>
          </w:tcPr>
          <w:p w14:paraId="1CD457B4" w14:textId="77777777" w:rsidR="009948F1" w:rsidRDefault="00BC0563">
            <w:pPr>
              <w:pStyle w:val="TableParagraph"/>
              <w:spacing w:before="22" w:line="223" w:lineRule="auto"/>
              <w:ind w:left="109" w:right="620"/>
              <w:rPr>
                <w:b/>
                <w:sz w:val="20"/>
              </w:rPr>
            </w:pPr>
            <w:r>
              <w:rPr>
                <w:b/>
                <w:color w:val="231F20"/>
                <w:sz w:val="20"/>
              </w:rPr>
              <w:t>SHDP II Total Cost</w:t>
            </w:r>
          </w:p>
        </w:tc>
        <w:tc>
          <w:tcPr>
            <w:tcW w:w="963" w:type="dxa"/>
            <w:tcBorders>
              <w:left w:val="single" w:sz="4" w:space="0" w:color="231F20"/>
              <w:right w:val="single" w:sz="4" w:space="0" w:color="231F20"/>
            </w:tcBorders>
            <w:shd w:val="clear" w:color="auto" w:fill="DCDDDE"/>
          </w:tcPr>
          <w:p w14:paraId="19354A7E" w14:textId="77777777" w:rsidR="009948F1" w:rsidRDefault="00BC0563">
            <w:pPr>
              <w:pStyle w:val="TableParagraph"/>
              <w:spacing w:line="253" w:lineRule="exact"/>
              <w:ind w:left="113"/>
              <w:rPr>
                <w:rFonts w:ascii="BABEL Unicode"/>
                <w:b/>
                <w:sz w:val="20"/>
              </w:rPr>
            </w:pPr>
            <w:r>
              <w:rPr>
                <w:rFonts w:ascii="BABEL Unicode"/>
                <w:b/>
                <w:color w:val="231F20"/>
                <w:sz w:val="20"/>
              </w:rPr>
              <w:t>?</w:t>
            </w:r>
          </w:p>
          <w:p w14:paraId="2C777CCC" w14:textId="77777777" w:rsidR="009948F1" w:rsidRDefault="00BC0563">
            <w:pPr>
              <w:pStyle w:val="TableParagraph"/>
              <w:spacing w:line="223" w:lineRule="exact"/>
              <w:ind w:left="113"/>
              <w:rPr>
                <w:rFonts w:ascii="Carlito"/>
                <w:b/>
                <w:sz w:val="20"/>
              </w:rPr>
            </w:pPr>
            <w:r>
              <w:rPr>
                <w:rFonts w:ascii="Carlito"/>
                <w:b/>
                <w:color w:val="231F20"/>
                <w:sz w:val="20"/>
              </w:rPr>
              <w:t>42,343M</w:t>
            </w:r>
          </w:p>
        </w:tc>
        <w:tc>
          <w:tcPr>
            <w:tcW w:w="961" w:type="dxa"/>
            <w:tcBorders>
              <w:left w:val="single" w:sz="4" w:space="0" w:color="231F20"/>
              <w:right w:val="single" w:sz="4" w:space="0" w:color="231F20"/>
            </w:tcBorders>
            <w:shd w:val="clear" w:color="auto" w:fill="DCDDDE"/>
          </w:tcPr>
          <w:p w14:paraId="7EFB5A59" w14:textId="77777777" w:rsidR="009948F1" w:rsidRDefault="00BC0563">
            <w:pPr>
              <w:pStyle w:val="TableParagraph"/>
              <w:spacing w:line="253" w:lineRule="exact"/>
              <w:ind w:left="114"/>
              <w:rPr>
                <w:rFonts w:ascii="BABEL Unicode"/>
                <w:b/>
                <w:sz w:val="20"/>
              </w:rPr>
            </w:pPr>
            <w:r>
              <w:rPr>
                <w:rFonts w:ascii="BABEL Unicode"/>
                <w:b/>
                <w:color w:val="231F20"/>
                <w:sz w:val="20"/>
              </w:rPr>
              <w:t>?</w:t>
            </w:r>
          </w:p>
          <w:p w14:paraId="0BC60A09" w14:textId="77777777" w:rsidR="009948F1" w:rsidRDefault="00BC0563">
            <w:pPr>
              <w:pStyle w:val="TableParagraph"/>
              <w:spacing w:line="223" w:lineRule="exact"/>
              <w:ind w:left="114"/>
              <w:rPr>
                <w:rFonts w:ascii="Carlito"/>
                <w:b/>
                <w:sz w:val="20"/>
              </w:rPr>
            </w:pPr>
            <w:r>
              <w:rPr>
                <w:rFonts w:ascii="Carlito"/>
                <w:b/>
                <w:color w:val="231F20"/>
                <w:sz w:val="20"/>
              </w:rPr>
              <w:t>52,780M</w:t>
            </w:r>
          </w:p>
        </w:tc>
        <w:tc>
          <w:tcPr>
            <w:tcW w:w="963" w:type="dxa"/>
            <w:tcBorders>
              <w:left w:val="single" w:sz="4" w:space="0" w:color="231F20"/>
              <w:right w:val="single" w:sz="4" w:space="0" w:color="231F20"/>
            </w:tcBorders>
            <w:shd w:val="clear" w:color="auto" w:fill="DCDDDE"/>
          </w:tcPr>
          <w:p w14:paraId="477BBEEE" w14:textId="77777777" w:rsidR="009948F1" w:rsidRDefault="00BC0563">
            <w:pPr>
              <w:pStyle w:val="TableParagraph"/>
              <w:spacing w:line="253" w:lineRule="exact"/>
              <w:ind w:left="113"/>
              <w:rPr>
                <w:rFonts w:ascii="BABEL Unicode"/>
                <w:b/>
                <w:sz w:val="20"/>
              </w:rPr>
            </w:pPr>
            <w:r>
              <w:rPr>
                <w:rFonts w:ascii="BABEL Unicode"/>
                <w:b/>
                <w:color w:val="231F20"/>
                <w:sz w:val="20"/>
              </w:rPr>
              <w:t>?</w:t>
            </w:r>
          </w:p>
          <w:p w14:paraId="71588B1F" w14:textId="77777777" w:rsidR="009948F1" w:rsidRDefault="00BC0563">
            <w:pPr>
              <w:pStyle w:val="TableParagraph"/>
              <w:spacing w:line="223" w:lineRule="exact"/>
              <w:ind w:left="113"/>
              <w:rPr>
                <w:rFonts w:ascii="Carlito"/>
                <w:b/>
                <w:sz w:val="20"/>
              </w:rPr>
            </w:pPr>
            <w:r>
              <w:rPr>
                <w:rFonts w:ascii="Carlito"/>
                <w:b/>
                <w:color w:val="231F20"/>
                <w:sz w:val="20"/>
              </w:rPr>
              <w:t>57,402M</w:t>
            </w:r>
          </w:p>
        </w:tc>
        <w:tc>
          <w:tcPr>
            <w:tcW w:w="963" w:type="dxa"/>
            <w:tcBorders>
              <w:left w:val="single" w:sz="4" w:space="0" w:color="231F20"/>
              <w:right w:val="single" w:sz="4" w:space="0" w:color="231F20"/>
            </w:tcBorders>
            <w:shd w:val="clear" w:color="auto" w:fill="DCDDDE"/>
          </w:tcPr>
          <w:p w14:paraId="6CDE1C38" w14:textId="77777777" w:rsidR="009948F1" w:rsidRDefault="00BC0563">
            <w:pPr>
              <w:pStyle w:val="TableParagraph"/>
              <w:spacing w:line="253" w:lineRule="exact"/>
              <w:ind w:left="114"/>
              <w:rPr>
                <w:rFonts w:ascii="BABEL Unicode"/>
                <w:b/>
                <w:sz w:val="20"/>
              </w:rPr>
            </w:pPr>
            <w:r>
              <w:rPr>
                <w:rFonts w:ascii="BABEL Unicode"/>
                <w:b/>
                <w:color w:val="231F20"/>
                <w:sz w:val="20"/>
              </w:rPr>
              <w:t>?</w:t>
            </w:r>
          </w:p>
          <w:p w14:paraId="1FED8935" w14:textId="77777777" w:rsidR="009948F1" w:rsidRDefault="00BC0563">
            <w:pPr>
              <w:pStyle w:val="TableParagraph"/>
              <w:spacing w:line="223" w:lineRule="exact"/>
              <w:ind w:left="114"/>
              <w:rPr>
                <w:rFonts w:ascii="Carlito"/>
                <w:b/>
                <w:sz w:val="20"/>
              </w:rPr>
            </w:pPr>
            <w:r>
              <w:rPr>
                <w:rFonts w:ascii="Carlito"/>
                <w:b/>
                <w:color w:val="231F20"/>
                <w:sz w:val="20"/>
              </w:rPr>
              <w:t>62,868M</w:t>
            </w:r>
          </w:p>
        </w:tc>
        <w:tc>
          <w:tcPr>
            <w:tcW w:w="963" w:type="dxa"/>
            <w:tcBorders>
              <w:left w:val="single" w:sz="4" w:space="0" w:color="231F20"/>
              <w:right w:val="single" w:sz="4" w:space="0" w:color="231F20"/>
            </w:tcBorders>
            <w:shd w:val="clear" w:color="auto" w:fill="DCDDDE"/>
          </w:tcPr>
          <w:p w14:paraId="76B56947" w14:textId="77777777" w:rsidR="009948F1" w:rsidRDefault="00BC0563">
            <w:pPr>
              <w:pStyle w:val="TableParagraph"/>
              <w:spacing w:line="253" w:lineRule="exact"/>
              <w:ind w:left="114"/>
              <w:rPr>
                <w:rFonts w:ascii="BABEL Unicode"/>
                <w:b/>
                <w:sz w:val="20"/>
              </w:rPr>
            </w:pPr>
            <w:r>
              <w:rPr>
                <w:rFonts w:ascii="BABEL Unicode"/>
                <w:b/>
                <w:color w:val="231F20"/>
                <w:sz w:val="20"/>
              </w:rPr>
              <w:t>?</w:t>
            </w:r>
          </w:p>
          <w:p w14:paraId="2894BD62" w14:textId="77777777" w:rsidR="009948F1" w:rsidRDefault="00BC0563">
            <w:pPr>
              <w:pStyle w:val="TableParagraph"/>
              <w:spacing w:line="223" w:lineRule="exact"/>
              <w:ind w:left="114"/>
              <w:rPr>
                <w:rFonts w:ascii="Carlito"/>
                <w:b/>
                <w:sz w:val="20"/>
              </w:rPr>
            </w:pPr>
            <w:r>
              <w:rPr>
                <w:rFonts w:ascii="Carlito"/>
                <w:b/>
                <w:color w:val="231F20"/>
                <w:sz w:val="20"/>
              </w:rPr>
              <w:t>67,291M</w:t>
            </w:r>
          </w:p>
        </w:tc>
        <w:tc>
          <w:tcPr>
            <w:tcW w:w="1065" w:type="dxa"/>
            <w:tcBorders>
              <w:left w:val="single" w:sz="4" w:space="0" w:color="231F20"/>
            </w:tcBorders>
            <w:shd w:val="clear" w:color="auto" w:fill="DCDDDE"/>
          </w:tcPr>
          <w:p w14:paraId="6D32245A" w14:textId="77777777" w:rsidR="009948F1" w:rsidRDefault="00BC0563">
            <w:pPr>
              <w:pStyle w:val="TableParagraph"/>
              <w:spacing w:line="253" w:lineRule="exact"/>
              <w:ind w:left="114"/>
              <w:rPr>
                <w:rFonts w:ascii="BABEL Unicode"/>
                <w:b/>
                <w:sz w:val="20"/>
              </w:rPr>
            </w:pPr>
            <w:r>
              <w:rPr>
                <w:rFonts w:ascii="BABEL Unicode"/>
                <w:b/>
                <w:color w:val="231F20"/>
                <w:sz w:val="20"/>
              </w:rPr>
              <w:t>?</w:t>
            </w:r>
          </w:p>
          <w:p w14:paraId="37A98309" w14:textId="77777777" w:rsidR="009948F1" w:rsidRDefault="00BC0563">
            <w:pPr>
              <w:pStyle w:val="TableParagraph"/>
              <w:spacing w:line="223" w:lineRule="exact"/>
              <w:ind w:left="114"/>
              <w:rPr>
                <w:rFonts w:ascii="Carlito"/>
                <w:b/>
                <w:sz w:val="20"/>
              </w:rPr>
            </w:pPr>
            <w:r>
              <w:rPr>
                <w:rFonts w:ascii="Carlito"/>
                <w:b/>
                <w:color w:val="231F20"/>
                <w:sz w:val="20"/>
              </w:rPr>
              <w:t>282,686M</w:t>
            </w:r>
          </w:p>
        </w:tc>
        <w:tc>
          <w:tcPr>
            <w:tcW w:w="827" w:type="dxa"/>
            <w:tcBorders>
              <w:bottom w:val="nil"/>
              <w:right w:val="nil"/>
            </w:tcBorders>
          </w:tcPr>
          <w:p w14:paraId="7D14D14C" w14:textId="77777777" w:rsidR="009948F1" w:rsidRDefault="009948F1">
            <w:pPr>
              <w:pStyle w:val="TableParagraph"/>
              <w:rPr>
                <w:rFonts w:ascii="Times New Roman"/>
                <w:sz w:val="20"/>
              </w:rPr>
            </w:pPr>
          </w:p>
        </w:tc>
      </w:tr>
    </w:tbl>
    <w:p w14:paraId="15A99E84" w14:textId="77777777" w:rsidR="009948F1" w:rsidRDefault="009948F1">
      <w:pPr>
        <w:rPr>
          <w:rFonts w:ascii="Times New Roman"/>
          <w:sz w:val="20"/>
        </w:rPr>
        <w:sectPr w:rsidR="009948F1">
          <w:pgSz w:w="11910" w:h="16840"/>
          <w:pgMar w:top="1400" w:right="1080" w:bottom="1420" w:left="1120" w:header="0" w:footer="1235" w:gutter="0"/>
          <w:cols w:space="720"/>
        </w:sectPr>
      </w:pPr>
    </w:p>
    <w:p w14:paraId="2732E15B" w14:textId="77777777" w:rsidR="009948F1" w:rsidRDefault="00BC0563">
      <w:pPr>
        <w:spacing w:before="37"/>
        <w:ind w:left="379"/>
        <w:rPr>
          <w:b/>
          <w:i/>
          <w:sz w:val="19"/>
        </w:rPr>
      </w:pPr>
      <w:bookmarkStart w:id="127" w:name="Page_106"/>
      <w:bookmarkEnd w:id="127"/>
      <w:r>
        <w:rPr>
          <w:b/>
          <w:i/>
          <w:color w:val="474C4B"/>
          <w:w w:val="85"/>
          <w:sz w:val="21"/>
        </w:rPr>
        <w:lastRenderedPageBreak/>
        <w:t>Table</w:t>
      </w:r>
      <w:r>
        <w:rPr>
          <w:b/>
          <w:i/>
          <w:color w:val="474C4B"/>
          <w:spacing w:val="-19"/>
          <w:w w:val="85"/>
          <w:sz w:val="21"/>
        </w:rPr>
        <w:t xml:space="preserve"> </w:t>
      </w:r>
      <w:r>
        <w:rPr>
          <w:b/>
          <w:i/>
          <w:color w:val="474C4B"/>
          <w:spacing w:val="-5"/>
          <w:w w:val="85"/>
          <w:sz w:val="21"/>
        </w:rPr>
        <w:t>11:</w:t>
      </w:r>
      <w:r>
        <w:rPr>
          <w:b/>
          <w:i/>
          <w:color w:val="474C4B"/>
          <w:spacing w:val="-18"/>
          <w:w w:val="85"/>
          <w:sz w:val="21"/>
        </w:rPr>
        <w:t xml:space="preserve"> </w:t>
      </w:r>
      <w:r>
        <w:rPr>
          <w:b/>
          <w:i/>
          <w:color w:val="474C4B"/>
          <w:w w:val="85"/>
          <w:sz w:val="21"/>
        </w:rPr>
        <w:t>Summary</w:t>
      </w:r>
      <w:r>
        <w:rPr>
          <w:b/>
          <w:i/>
          <w:color w:val="474C4B"/>
          <w:spacing w:val="-19"/>
          <w:w w:val="85"/>
          <w:sz w:val="21"/>
        </w:rPr>
        <w:t xml:space="preserve"> </w:t>
      </w:r>
      <w:r>
        <w:rPr>
          <w:b/>
          <w:i/>
          <w:color w:val="474C4B"/>
          <w:w w:val="85"/>
          <w:sz w:val="21"/>
        </w:rPr>
        <w:t>costs</w:t>
      </w:r>
      <w:r>
        <w:rPr>
          <w:b/>
          <w:i/>
          <w:color w:val="474C4B"/>
          <w:spacing w:val="-18"/>
          <w:w w:val="85"/>
          <w:sz w:val="21"/>
        </w:rPr>
        <w:t xml:space="preserve"> </w:t>
      </w:r>
      <w:r>
        <w:rPr>
          <w:b/>
          <w:i/>
          <w:color w:val="474C4B"/>
          <w:w w:val="85"/>
          <w:sz w:val="21"/>
        </w:rPr>
        <w:t>of</w:t>
      </w:r>
      <w:r>
        <w:rPr>
          <w:b/>
          <w:i/>
          <w:color w:val="474C4B"/>
          <w:spacing w:val="-19"/>
          <w:w w:val="85"/>
          <w:sz w:val="21"/>
        </w:rPr>
        <w:t xml:space="preserve"> </w:t>
      </w:r>
      <w:r>
        <w:rPr>
          <w:b/>
          <w:i/>
          <w:color w:val="474C4B"/>
          <w:w w:val="85"/>
          <w:sz w:val="21"/>
        </w:rPr>
        <w:t>Rivers</w:t>
      </w:r>
      <w:r>
        <w:rPr>
          <w:b/>
          <w:i/>
          <w:color w:val="474C4B"/>
          <w:spacing w:val="-18"/>
          <w:w w:val="85"/>
          <w:sz w:val="21"/>
        </w:rPr>
        <w:t xml:space="preserve"> </w:t>
      </w:r>
      <w:r>
        <w:rPr>
          <w:b/>
          <w:i/>
          <w:color w:val="474C4B"/>
          <w:w w:val="85"/>
          <w:sz w:val="21"/>
        </w:rPr>
        <w:t>SHDP</w:t>
      </w:r>
      <w:r>
        <w:rPr>
          <w:b/>
          <w:i/>
          <w:color w:val="474C4B"/>
          <w:spacing w:val="-23"/>
          <w:w w:val="85"/>
          <w:sz w:val="21"/>
        </w:rPr>
        <w:t xml:space="preserve"> </w:t>
      </w:r>
      <w:r>
        <w:rPr>
          <w:b/>
          <w:i/>
          <w:color w:val="474C4B"/>
          <w:w w:val="85"/>
          <w:sz w:val="21"/>
        </w:rPr>
        <w:t>II</w:t>
      </w:r>
      <w:r>
        <w:rPr>
          <w:b/>
          <w:i/>
          <w:color w:val="474C4B"/>
          <w:spacing w:val="-19"/>
          <w:w w:val="85"/>
          <w:sz w:val="21"/>
        </w:rPr>
        <w:t xml:space="preserve"> </w:t>
      </w:r>
      <w:r>
        <w:rPr>
          <w:b/>
          <w:i/>
          <w:color w:val="474C4B"/>
          <w:w w:val="85"/>
          <w:sz w:val="21"/>
        </w:rPr>
        <w:t>201</w:t>
      </w:r>
      <w:r>
        <w:rPr>
          <w:b/>
          <w:i/>
          <w:color w:val="231F20"/>
          <w:w w:val="85"/>
          <w:sz w:val="19"/>
        </w:rPr>
        <w:t>8-2022</w:t>
      </w:r>
      <w:r>
        <w:rPr>
          <w:b/>
          <w:i/>
          <w:color w:val="231F20"/>
          <w:spacing w:val="-16"/>
          <w:w w:val="85"/>
          <w:sz w:val="19"/>
        </w:rPr>
        <w:t xml:space="preserve"> </w:t>
      </w:r>
      <w:r>
        <w:rPr>
          <w:b/>
          <w:i/>
          <w:color w:val="231F20"/>
          <w:w w:val="85"/>
          <w:sz w:val="19"/>
        </w:rPr>
        <w:t>Essential</w:t>
      </w:r>
      <w:r>
        <w:rPr>
          <w:b/>
          <w:i/>
          <w:color w:val="231F20"/>
          <w:spacing w:val="-17"/>
          <w:w w:val="85"/>
          <w:sz w:val="19"/>
        </w:rPr>
        <w:t xml:space="preserve"> </w:t>
      </w:r>
      <w:r>
        <w:rPr>
          <w:b/>
          <w:i/>
          <w:color w:val="231F20"/>
          <w:w w:val="85"/>
          <w:sz w:val="19"/>
        </w:rPr>
        <w:t>Package</w:t>
      </w:r>
      <w:r>
        <w:rPr>
          <w:b/>
          <w:i/>
          <w:color w:val="231F20"/>
          <w:spacing w:val="-21"/>
          <w:w w:val="85"/>
          <w:sz w:val="19"/>
        </w:rPr>
        <w:t xml:space="preserve"> </w:t>
      </w:r>
      <w:r>
        <w:rPr>
          <w:b/>
          <w:i/>
          <w:color w:val="231F20"/>
          <w:w w:val="85"/>
          <w:sz w:val="19"/>
        </w:rPr>
        <w:t>Aggressive</w:t>
      </w:r>
      <w:r>
        <w:rPr>
          <w:b/>
          <w:i/>
          <w:color w:val="231F20"/>
          <w:spacing w:val="-16"/>
          <w:w w:val="85"/>
          <w:sz w:val="19"/>
        </w:rPr>
        <w:t xml:space="preserve"> </w:t>
      </w:r>
      <w:r>
        <w:rPr>
          <w:b/>
          <w:i/>
          <w:color w:val="231F20"/>
          <w:w w:val="85"/>
          <w:sz w:val="19"/>
        </w:rPr>
        <w:t>Scale-</w:t>
      </w:r>
      <w:r>
        <w:rPr>
          <w:b/>
          <w:i/>
          <w:color w:val="231F20"/>
          <w:spacing w:val="-17"/>
          <w:w w:val="85"/>
          <w:sz w:val="19"/>
        </w:rPr>
        <w:t xml:space="preserve"> </w:t>
      </w:r>
      <w:r>
        <w:rPr>
          <w:b/>
          <w:i/>
          <w:color w:val="231F20"/>
          <w:w w:val="85"/>
          <w:sz w:val="19"/>
        </w:rPr>
        <w:t>up</w:t>
      </w:r>
      <w:r>
        <w:rPr>
          <w:b/>
          <w:i/>
          <w:color w:val="231F20"/>
          <w:spacing w:val="-17"/>
          <w:w w:val="85"/>
          <w:sz w:val="19"/>
        </w:rPr>
        <w:t xml:space="preserve"> </w:t>
      </w:r>
      <w:r>
        <w:rPr>
          <w:b/>
          <w:i/>
          <w:color w:val="231F20"/>
          <w:w w:val="85"/>
          <w:sz w:val="19"/>
        </w:rPr>
        <w:t>Scenario,</w:t>
      </w:r>
      <w:r>
        <w:rPr>
          <w:b/>
          <w:i/>
          <w:color w:val="231F20"/>
          <w:spacing w:val="-17"/>
          <w:w w:val="85"/>
          <w:sz w:val="19"/>
        </w:rPr>
        <w:t xml:space="preserve"> </w:t>
      </w:r>
      <w:r>
        <w:rPr>
          <w:b/>
          <w:i/>
          <w:color w:val="231F20"/>
          <w:w w:val="85"/>
          <w:sz w:val="19"/>
        </w:rPr>
        <w:t>in</w:t>
      </w:r>
      <w:r>
        <w:rPr>
          <w:b/>
          <w:i/>
          <w:color w:val="231F20"/>
          <w:spacing w:val="-16"/>
          <w:w w:val="85"/>
          <w:sz w:val="19"/>
        </w:rPr>
        <w:t xml:space="preserve"> </w:t>
      </w:r>
      <w:r>
        <w:rPr>
          <w:b/>
          <w:i/>
          <w:color w:val="231F20"/>
          <w:w w:val="85"/>
          <w:sz w:val="19"/>
        </w:rPr>
        <w:t>Million</w:t>
      </w:r>
      <w:r>
        <w:rPr>
          <w:b/>
          <w:i/>
          <w:color w:val="231F20"/>
          <w:spacing w:val="-17"/>
          <w:w w:val="85"/>
          <w:sz w:val="19"/>
        </w:rPr>
        <w:t xml:space="preserve"> </w:t>
      </w:r>
      <w:r>
        <w:rPr>
          <w:b/>
          <w:i/>
          <w:color w:val="231F20"/>
          <w:w w:val="85"/>
          <w:sz w:val="19"/>
        </w:rPr>
        <w:t>(</w:t>
      </w:r>
      <w:r>
        <w:rPr>
          <w:rFonts w:ascii="Carlito"/>
          <w:b/>
          <w:i/>
          <w:color w:val="231F20"/>
          <w:w w:val="85"/>
          <w:sz w:val="19"/>
        </w:rPr>
        <w:t>?</w:t>
      </w:r>
      <w:r>
        <w:rPr>
          <w:b/>
          <w:i/>
          <w:color w:val="231F20"/>
          <w:w w:val="85"/>
          <w:sz w:val="19"/>
        </w:rPr>
        <w:t>)</w:t>
      </w:r>
    </w:p>
    <w:p w14:paraId="65FC2AC3" w14:textId="77777777" w:rsidR="009948F1" w:rsidRDefault="009948F1">
      <w:pPr>
        <w:pStyle w:val="BodyText"/>
        <w:rPr>
          <w:b/>
          <w:i/>
          <w:sz w:val="20"/>
        </w:rPr>
      </w:pPr>
    </w:p>
    <w:p w14:paraId="1601585A" w14:textId="77777777" w:rsidR="009948F1" w:rsidRDefault="009948F1">
      <w:pPr>
        <w:pStyle w:val="BodyText"/>
        <w:spacing w:before="4"/>
        <w:rPr>
          <w:b/>
          <w:i/>
          <w:sz w:val="21"/>
        </w:rPr>
      </w:pPr>
    </w:p>
    <w:tbl>
      <w:tblPr>
        <w:tblW w:w="0" w:type="auto"/>
        <w:tblInd w:w="28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97"/>
        <w:gridCol w:w="1005"/>
        <w:gridCol w:w="1005"/>
        <w:gridCol w:w="1002"/>
        <w:gridCol w:w="1005"/>
        <w:gridCol w:w="1005"/>
        <w:gridCol w:w="1112"/>
        <w:gridCol w:w="800"/>
      </w:tblGrid>
      <w:tr w:rsidR="009948F1" w14:paraId="63612CEF" w14:textId="77777777">
        <w:trPr>
          <w:trHeight w:val="418"/>
        </w:trPr>
        <w:tc>
          <w:tcPr>
            <w:tcW w:w="8331" w:type="dxa"/>
            <w:gridSpan w:val="7"/>
            <w:tcBorders>
              <w:left w:val="single" w:sz="12" w:space="0" w:color="231F20"/>
              <w:right w:val="single" w:sz="12" w:space="0" w:color="231F20"/>
            </w:tcBorders>
          </w:tcPr>
          <w:p w14:paraId="4CA7428C" w14:textId="77A286AA" w:rsidR="009948F1" w:rsidRDefault="00365548">
            <w:pPr>
              <w:pStyle w:val="TableParagraph"/>
              <w:tabs>
                <w:tab w:val="left" w:pos="1935"/>
                <w:tab w:val="left" w:pos="5157"/>
                <w:tab w:val="left" w:pos="6113"/>
              </w:tabs>
              <w:spacing w:before="35" w:line="211" w:lineRule="auto"/>
              <w:ind w:left="109" w:right="524"/>
              <w:rPr>
                <w:b/>
                <w:sz w:val="16"/>
              </w:rPr>
            </w:pPr>
            <w:r>
              <w:rPr>
                <w:b/>
                <w:color w:val="231F20"/>
                <w:w w:val="120"/>
                <w:sz w:val="16"/>
              </w:rPr>
              <w:t>Summary co</w:t>
            </w:r>
            <w:r w:rsidR="00BC0563">
              <w:rPr>
                <w:b/>
                <w:color w:val="231F20"/>
                <w:w w:val="120"/>
                <w:sz w:val="16"/>
              </w:rPr>
              <w:t>sts of Rivers SSHDP</w:t>
            </w:r>
            <w:r w:rsidR="00BC0563">
              <w:rPr>
                <w:b/>
                <w:color w:val="231F20"/>
                <w:spacing w:val="-39"/>
                <w:w w:val="120"/>
                <w:sz w:val="16"/>
              </w:rPr>
              <w:t xml:space="preserve"> </w:t>
            </w:r>
            <w:r w:rsidR="00BC0563">
              <w:rPr>
                <w:b/>
                <w:color w:val="231F20"/>
                <w:w w:val="120"/>
                <w:sz w:val="16"/>
              </w:rPr>
              <w:t>II</w:t>
            </w:r>
            <w:r w:rsidR="00BC0563">
              <w:rPr>
                <w:b/>
                <w:color w:val="231F20"/>
                <w:spacing w:val="-4"/>
                <w:w w:val="120"/>
                <w:sz w:val="16"/>
              </w:rPr>
              <w:t xml:space="preserve"> </w:t>
            </w:r>
            <w:r w:rsidR="00BC0563">
              <w:rPr>
                <w:b/>
                <w:color w:val="231F20"/>
                <w:w w:val="120"/>
                <w:sz w:val="16"/>
              </w:rPr>
              <w:t>201</w:t>
            </w:r>
            <w:r w:rsidR="00BC0563">
              <w:rPr>
                <w:b/>
                <w:color w:val="231F20"/>
                <w:w w:val="120"/>
                <w:sz w:val="16"/>
              </w:rPr>
              <w:tab/>
            </w:r>
            <w:r w:rsidR="00BC0563">
              <w:rPr>
                <w:b/>
                <w:color w:val="231F20"/>
                <w:spacing w:val="4"/>
                <w:w w:val="120"/>
                <w:sz w:val="16"/>
              </w:rPr>
              <w:t>8-</w:t>
            </w:r>
            <w:r w:rsidR="00BC0563">
              <w:rPr>
                <w:b/>
                <w:color w:val="231F20"/>
                <w:spacing w:val="-5"/>
                <w:w w:val="120"/>
                <w:sz w:val="16"/>
              </w:rPr>
              <w:t xml:space="preserve"> </w:t>
            </w:r>
            <w:r w:rsidR="00BC0563">
              <w:rPr>
                <w:b/>
                <w:color w:val="231F20"/>
                <w:w w:val="120"/>
                <w:sz w:val="16"/>
              </w:rPr>
              <w:t>202</w:t>
            </w:r>
            <w:r w:rsidR="00BC0563">
              <w:rPr>
                <w:b/>
                <w:color w:val="231F20"/>
                <w:spacing w:val="-30"/>
                <w:w w:val="120"/>
                <w:sz w:val="16"/>
              </w:rPr>
              <w:t xml:space="preserve"> </w:t>
            </w:r>
            <w:r w:rsidR="00BC0563">
              <w:rPr>
                <w:b/>
                <w:color w:val="231F20"/>
                <w:w w:val="120"/>
                <w:sz w:val="16"/>
              </w:rPr>
              <w:t>2</w:t>
            </w:r>
            <w:r w:rsidR="00BC0563">
              <w:rPr>
                <w:b/>
                <w:color w:val="231F20"/>
                <w:w w:val="120"/>
                <w:sz w:val="16"/>
              </w:rPr>
              <w:tab/>
              <w:t xml:space="preserve">Essential </w:t>
            </w:r>
            <w:r w:rsidR="00BC0563">
              <w:rPr>
                <w:b/>
                <w:color w:val="231F20"/>
                <w:spacing w:val="-3"/>
                <w:w w:val="120"/>
                <w:sz w:val="16"/>
              </w:rPr>
              <w:t xml:space="preserve">Package </w:t>
            </w:r>
            <w:r w:rsidR="00BC0563">
              <w:rPr>
                <w:b/>
                <w:color w:val="231F20"/>
                <w:w w:val="120"/>
                <w:sz w:val="16"/>
              </w:rPr>
              <w:t>Aggressive</w:t>
            </w:r>
            <w:r w:rsidR="00BC0563">
              <w:rPr>
                <w:b/>
                <w:color w:val="231F20"/>
                <w:spacing w:val="-7"/>
                <w:w w:val="120"/>
                <w:sz w:val="16"/>
              </w:rPr>
              <w:t xml:space="preserve"> </w:t>
            </w:r>
            <w:r w:rsidR="00BC0563">
              <w:rPr>
                <w:b/>
                <w:color w:val="231F20"/>
                <w:w w:val="120"/>
                <w:sz w:val="16"/>
              </w:rPr>
              <w:t>Scale</w:t>
            </w:r>
            <w:r w:rsidR="00BC0563">
              <w:rPr>
                <w:b/>
                <w:color w:val="231F20"/>
                <w:w w:val="120"/>
                <w:sz w:val="16"/>
              </w:rPr>
              <w:tab/>
              <w:t xml:space="preserve">- up Scenario, in </w:t>
            </w:r>
            <w:proofErr w:type="gramStart"/>
            <w:r w:rsidR="00BC0563">
              <w:rPr>
                <w:b/>
                <w:color w:val="231F20"/>
                <w:w w:val="120"/>
                <w:sz w:val="16"/>
              </w:rPr>
              <w:t>Million(</w:t>
            </w:r>
            <w:proofErr w:type="gramEnd"/>
            <w:r w:rsidR="00BC0563">
              <w:rPr>
                <w:rFonts w:ascii="BABEL Unicode"/>
                <w:b/>
                <w:color w:val="231F20"/>
                <w:w w:val="120"/>
                <w:sz w:val="16"/>
              </w:rPr>
              <w:t>?</w:t>
            </w:r>
            <w:r w:rsidR="00BC0563">
              <w:rPr>
                <w:rFonts w:ascii="BABEL Unicode"/>
                <w:b/>
                <w:color w:val="231F20"/>
                <w:spacing w:val="-14"/>
                <w:w w:val="120"/>
                <w:sz w:val="16"/>
              </w:rPr>
              <w:t xml:space="preserve"> </w:t>
            </w:r>
            <w:r w:rsidR="00BC0563">
              <w:rPr>
                <w:b/>
                <w:color w:val="231F20"/>
                <w:w w:val="120"/>
                <w:sz w:val="16"/>
              </w:rPr>
              <w:t>)</w:t>
            </w:r>
          </w:p>
        </w:tc>
        <w:tc>
          <w:tcPr>
            <w:tcW w:w="800" w:type="dxa"/>
            <w:vMerge w:val="restart"/>
            <w:tcBorders>
              <w:left w:val="single" w:sz="12" w:space="0" w:color="231F20"/>
              <w:right w:val="single" w:sz="12" w:space="0" w:color="231F20"/>
            </w:tcBorders>
          </w:tcPr>
          <w:p w14:paraId="47B0C422" w14:textId="77777777" w:rsidR="009948F1" w:rsidRDefault="00BC0563">
            <w:pPr>
              <w:pStyle w:val="TableParagraph"/>
              <w:spacing w:before="120" w:line="230" w:lineRule="auto"/>
              <w:ind w:left="106" w:right="220"/>
              <w:jc w:val="both"/>
              <w:rPr>
                <w:b/>
                <w:sz w:val="16"/>
              </w:rPr>
            </w:pPr>
            <w:r>
              <w:rPr>
                <w:b/>
                <w:color w:val="231F20"/>
                <w:w w:val="120"/>
                <w:sz w:val="16"/>
              </w:rPr>
              <w:t xml:space="preserve">% of </w:t>
            </w:r>
            <w:r>
              <w:rPr>
                <w:b/>
                <w:color w:val="231F20"/>
                <w:w w:val="115"/>
                <w:sz w:val="16"/>
              </w:rPr>
              <w:t xml:space="preserve">Total </w:t>
            </w:r>
            <w:r>
              <w:rPr>
                <w:b/>
                <w:color w:val="231F20"/>
                <w:w w:val="120"/>
                <w:sz w:val="16"/>
              </w:rPr>
              <w:t>Cost</w:t>
            </w:r>
          </w:p>
        </w:tc>
      </w:tr>
      <w:tr w:rsidR="009948F1" w14:paraId="4E659C69" w14:textId="77777777">
        <w:trPr>
          <w:trHeight w:val="349"/>
        </w:trPr>
        <w:tc>
          <w:tcPr>
            <w:tcW w:w="2197" w:type="dxa"/>
            <w:tcBorders>
              <w:left w:val="single" w:sz="12" w:space="0" w:color="231F20"/>
              <w:right w:val="single" w:sz="6" w:space="0" w:color="231F20"/>
            </w:tcBorders>
            <w:shd w:val="clear" w:color="auto" w:fill="00C0F3"/>
          </w:tcPr>
          <w:p w14:paraId="2205ABD6" w14:textId="77777777" w:rsidR="009948F1" w:rsidRDefault="00BC0563">
            <w:pPr>
              <w:pStyle w:val="TableParagraph"/>
              <w:spacing w:line="161" w:lineRule="exact"/>
              <w:ind w:left="109"/>
              <w:rPr>
                <w:b/>
                <w:sz w:val="16"/>
              </w:rPr>
            </w:pPr>
            <w:r>
              <w:rPr>
                <w:b/>
                <w:color w:val="231F20"/>
                <w:w w:val="120"/>
                <w:sz w:val="16"/>
              </w:rPr>
              <w:t>HSS Cost</w:t>
            </w:r>
          </w:p>
          <w:p w14:paraId="4E9DF081" w14:textId="77777777" w:rsidR="009948F1" w:rsidRDefault="00BC0563">
            <w:pPr>
              <w:pStyle w:val="TableParagraph"/>
              <w:spacing w:line="169" w:lineRule="exact"/>
              <w:ind w:left="109"/>
              <w:rPr>
                <w:b/>
                <w:sz w:val="16"/>
              </w:rPr>
            </w:pPr>
            <w:r>
              <w:rPr>
                <w:b/>
                <w:color w:val="231F20"/>
                <w:w w:val="120"/>
                <w:sz w:val="16"/>
              </w:rPr>
              <w:t>Categories</w:t>
            </w:r>
          </w:p>
        </w:tc>
        <w:tc>
          <w:tcPr>
            <w:tcW w:w="1005" w:type="dxa"/>
            <w:tcBorders>
              <w:left w:val="single" w:sz="6" w:space="0" w:color="231F20"/>
              <w:right w:val="single" w:sz="6" w:space="0" w:color="231F20"/>
            </w:tcBorders>
            <w:shd w:val="clear" w:color="auto" w:fill="00C0F3"/>
          </w:tcPr>
          <w:p w14:paraId="1C2074CF" w14:textId="77777777" w:rsidR="009948F1" w:rsidRDefault="009948F1">
            <w:pPr>
              <w:pStyle w:val="TableParagraph"/>
              <w:spacing w:before="7"/>
              <w:rPr>
                <w:b/>
                <w:i/>
                <w:sz w:val="13"/>
              </w:rPr>
            </w:pPr>
          </w:p>
          <w:p w14:paraId="242DEAEA" w14:textId="77777777" w:rsidR="009948F1" w:rsidRDefault="00BC0563">
            <w:pPr>
              <w:pStyle w:val="TableParagraph"/>
              <w:spacing w:line="173" w:lineRule="exact"/>
              <w:ind w:left="116"/>
              <w:rPr>
                <w:b/>
                <w:sz w:val="16"/>
              </w:rPr>
            </w:pPr>
            <w:r>
              <w:rPr>
                <w:b/>
                <w:color w:val="231F20"/>
                <w:w w:val="120"/>
                <w:sz w:val="16"/>
              </w:rPr>
              <w:t>201 8</w:t>
            </w:r>
          </w:p>
        </w:tc>
        <w:tc>
          <w:tcPr>
            <w:tcW w:w="1005" w:type="dxa"/>
            <w:tcBorders>
              <w:left w:val="single" w:sz="6" w:space="0" w:color="231F20"/>
              <w:right w:val="single" w:sz="6" w:space="0" w:color="231F20"/>
            </w:tcBorders>
            <w:shd w:val="clear" w:color="auto" w:fill="00C0F3"/>
          </w:tcPr>
          <w:p w14:paraId="1099D1F3" w14:textId="77777777" w:rsidR="009948F1" w:rsidRDefault="009948F1">
            <w:pPr>
              <w:pStyle w:val="TableParagraph"/>
              <w:spacing w:before="7"/>
              <w:rPr>
                <w:b/>
                <w:i/>
                <w:sz w:val="13"/>
              </w:rPr>
            </w:pPr>
          </w:p>
          <w:p w14:paraId="781820EE" w14:textId="77777777" w:rsidR="009948F1" w:rsidRDefault="00BC0563">
            <w:pPr>
              <w:pStyle w:val="TableParagraph"/>
              <w:spacing w:line="173" w:lineRule="exact"/>
              <w:ind w:left="116"/>
              <w:rPr>
                <w:b/>
                <w:sz w:val="16"/>
              </w:rPr>
            </w:pPr>
            <w:r>
              <w:rPr>
                <w:b/>
                <w:color w:val="231F20"/>
                <w:w w:val="120"/>
                <w:sz w:val="16"/>
              </w:rPr>
              <w:t>201 9</w:t>
            </w:r>
          </w:p>
        </w:tc>
        <w:tc>
          <w:tcPr>
            <w:tcW w:w="1002" w:type="dxa"/>
            <w:tcBorders>
              <w:left w:val="single" w:sz="6" w:space="0" w:color="231F20"/>
              <w:right w:val="single" w:sz="6" w:space="0" w:color="231F20"/>
            </w:tcBorders>
            <w:shd w:val="clear" w:color="auto" w:fill="00C0F3"/>
          </w:tcPr>
          <w:p w14:paraId="50B43981" w14:textId="77777777" w:rsidR="009948F1" w:rsidRDefault="009948F1">
            <w:pPr>
              <w:pStyle w:val="TableParagraph"/>
              <w:spacing w:before="7"/>
              <w:rPr>
                <w:b/>
                <w:i/>
                <w:sz w:val="13"/>
              </w:rPr>
            </w:pPr>
          </w:p>
          <w:p w14:paraId="2D0EEB32" w14:textId="77777777" w:rsidR="009948F1" w:rsidRDefault="00BC0563">
            <w:pPr>
              <w:pStyle w:val="TableParagraph"/>
              <w:spacing w:line="173" w:lineRule="exact"/>
              <w:ind w:left="113"/>
              <w:rPr>
                <w:b/>
                <w:sz w:val="16"/>
              </w:rPr>
            </w:pPr>
            <w:r>
              <w:rPr>
                <w:b/>
                <w:color w:val="231F20"/>
                <w:w w:val="120"/>
                <w:sz w:val="16"/>
              </w:rPr>
              <w:t>2020</w:t>
            </w:r>
          </w:p>
        </w:tc>
        <w:tc>
          <w:tcPr>
            <w:tcW w:w="1005" w:type="dxa"/>
            <w:tcBorders>
              <w:left w:val="single" w:sz="6" w:space="0" w:color="231F20"/>
              <w:right w:val="single" w:sz="6" w:space="0" w:color="231F20"/>
            </w:tcBorders>
            <w:shd w:val="clear" w:color="auto" w:fill="00C0F3"/>
          </w:tcPr>
          <w:p w14:paraId="3061B522" w14:textId="77777777" w:rsidR="009948F1" w:rsidRDefault="009948F1">
            <w:pPr>
              <w:pStyle w:val="TableParagraph"/>
              <w:spacing w:before="7"/>
              <w:rPr>
                <w:b/>
                <w:i/>
                <w:sz w:val="13"/>
              </w:rPr>
            </w:pPr>
          </w:p>
          <w:p w14:paraId="2F6E9645" w14:textId="77777777" w:rsidR="009948F1" w:rsidRDefault="00BC0563">
            <w:pPr>
              <w:pStyle w:val="TableParagraph"/>
              <w:spacing w:line="173" w:lineRule="exact"/>
              <w:ind w:left="115"/>
              <w:rPr>
                <w:b/>
                <w:sz w:val="16"/>
              </w:rPr>
            </w:pPr>
            <w:r>
              <w:rPr>
                <w:b/>
                <w:color w:val="231F20"/>
                <w:w w:val="120"/>
                <w:sz w:val="16"/>
              </w:rPr>
              <w:t>202 1</w:t>
            </w:r>
          </w:p>
        </w:tc>
        <w:tc>
          <w:tcPr>
            <w:tcW w:w="1005" w:type="dxa"/>
            <w:tcBorders>
              <w:left w:val="single" w:sz="6" w:space="0" w:color="231F20"/>
              <w:right w:val="single" w:sz="6" w:space="0" w:color="231F20"/>
            </w:tcBorders>
            <w:shd w:val="clear" w:color="auto" w:fill="00C0F3"/>
          </w:tcPr>
          <w:p w14:paraId="4087A265" w14:textId="77777777" w:rsidR="009948F1" w:rsidRDefault="009948F1">
            <w:pPr>
              <w:pStyle w:val="TableParagraph"/>
              <w:spacing w:before="7"/>
              <w:rPr>
                <w:b/>
                <w:i/>
                <w:sz w:val="13"/>
              </w:rPr>
            </w:pPr>
          </w:p>
          <w:p w14:paraId="2E6DC18D" w14:textId="77777777" w:rsidR="009948F1" w:rsidRDefault="00BC0563">
            <w:pPr>
              <w:pStyle w:val="TableParagraph"/>
              <w:spacing w:line="173" w:lineRule="exact"/>
              <w:ind w:left="115"/>
              <w:rPr>
                <w:b/>
                <w:sz w:val="16"/>
              </w:rPr>
            </w:pPr>
            <w:r>
              <w:rPr>
                <w:b/>
                <w:color w:val="231F20"/>
                <w:w w:val="120"/>
                <w:sz w:val="16"/>
              </w:rPr>
              <w:t>202 2</w:t>
            </w:r>
          </w:p>
        </w:tc>
        <w:tc>
          <w:tcPr>
            <w:tcW w:w="1112" w:type="dxa"/>
            <w:tcBorders>
              <w:left w:val="single" w:sz="6" w:space="0" w:color="231F20"/>
              <w:right w:val="single" w:sz="12" w:space="0" w:color="231F20"/>
            </w:tcBorders>
            <w:shd w:val="clear" w:color="auto" w:fill="00C0F3"/>
          </w:tcPr>
          <w:p w14:paraId="43A7154A" w14:textId="77777777" w:rsidR="009948F1" w:rsidRDefault="009948F1">
            <w:pPr>
              <w:pStyle w:val="TableParagraph"/>
              <w:spacing w:before="7"/>
              <w:rPr>
                <w:b/>
                <w:i/>
                <w:sz w:val="13"/>
              </w:rPr>
            </w:pPr>
          </w:p>
          <w:p w14:paraId="7BE89444" w14:textId="77777777" w:rsidR="009948F1" w:rsidRDefault="00BC0563">
            <w:pPr>
              <w:pStyle w:val="TableParagraph"/>
              <w:spacing w:line="173" w:lineRule="exact"/>
              <w:ind w:left="115"/>
              <w:rPr>
                <w:b/>
                <w:sz w:val="16"/>
              </w:rPr>
            </w:pPr>
            <w:r>
              <w:rPr>
                <w:b/>
                <w:color w:val="231F20"/>
                <w:w w:val="120"/>
                <w:sz w:val="16"/>
              </w:rPr>
              <w:t>Total</w:t>
            </w:r>
          </w:p>
        </w:tc>
        <w:tc>
          <w:tcPr>
            <w:tcW w:w="800" w:type="dxa"/>
            <w:vMerge/>
            <w:tcBorders>
              <w:top w:val="nil"/>
              <w:left w:val="single" w:sz="12" w:space="0" w:color="231F20"/>
              <w:right w:val="single" w:sz="12" w:space="0" w:color="231F20"/>
            </w:tcBorders>
          </w:tcPr>
          <w:p w14:paraId="248CF37C" w14:textId="77777777" w:rsidR="009948F1" w:rsidRDefault="009948F1">
            <w:pPr>
              <w:rPr>
                <w:sz w:val="2"/>
                <w:szCs w:val="2"/>
              </w:rPr>
            </w:pPr>
          </w:p>
        </w:tc>
      </w:tr>
      <w:tr w:rsidR="009948F1" w14:paraId="4929B778" w14:textId="77777777">
        <w:trPr>
          <w:trHeight w:val="449"/>
        </w:trPr>
        <w:tc>
          <w:tcPr>
            <w:tcW w:w="2197" w:type="dxa"/>
            <w:tcBorders>
              <w:left w:val="single" w:sz="12" w:space="0" w:color="231F20"/>
              <w:bottom w:val="single" w:sz="4" w:space="0" w:color="231F20"/>
              <w:right w:val="single" w:sz="6" w:space="0" w:color="231F20"/>
            </w:tcBorders>
          </w:tcPr>
          <w:p w14:paraId="2B2E431C" w14:textId="77777777" w:rsidR="009948F1" w:rsidRDefault="00BC0563">
            <w:pPr>
              <w:pStyle w:val="TableParagraph"/>
              <w:spacing w:before="92" w:line="174" w:lineRule="exact"/>
              <w:ind w:left="109" w:right="239" w:firstLine="114"/>
              <w:rPr>
                <w:b/>
                <w:sz w:val="16"/>
              </w:rPr>
            </w:pPr>
            <w:proofErr w:type="spellStart"/>
            <w:r>
              <w:rPr>
                <w:b/>
                <w:color w:val="231F20"/>
                <w:w w:val="120"/>
                <w:sz w:val="16"/>
              </w:rPr>
              <w:t>Programme</w:t>
            </w:r>
            <w:proofErr w:type="spellEnd"/>
            <w:r>
              <w:rPr>
                <w:b/>
                <w:color w:val="231F20"/>
                <w:w w:val="120"/>
                <w:sz w:val="16"/>
              </w:rPr>
              <w:t xml:space="preserve"> Activity Costs</w:t>
            </w:r>
          </w:p>
        </w:tc>
        <w:tc>
          <w:tcPr>
            <w:tcW w:w="1005" w:type="dxa"/>
            <w:tcBorders>
              <w:left w:val="single" w:sz="6" w:space="0" w:color="231F20"/>
              <w:bottom w:val="single" w:sz="4" w:space="0" w:color="231F20"/>
              <w:right w:val="single" w:sz="6" w:space="0" w:color="231F20"/>
            </w:tcBorders>
          </w:tcPr>
          <w:p w14:paraId="28D15048" w14:textId="77777777" w:rsidR="009948F1" w:rsidRDefault="00BC0563">
            <w:pPr>
              <w:pStyle w:val="TableParagraph"/>
              <w:spacing w:before="115"/>
              <w:ind w:left="164"/>
              <w:rPr>
                <w:rFonts w:ascii="Carlito"/>
                <w:sz w:val="18"/>
              </w:rPr>
            </w:pPr>
            <w:r>
              <w:rPr>
                <w:color w:val="231F20"/>
                <w:w w:val="110"/>
                <w:sz w:val="18"/>
              </w:rPr>
              <w:t xml:space="preserve">? </w:t>
            </w:r>
            <w:r>
              <w:rPr>
                <w:rFonts w:ascii="Carlito"/>
                <w:color w:val="231F20"/>
                <w:w w:val="110"/>
                <w:sz w:val="18"/>
              </w:rPr>
              <w:t>652M</w:t>
            </w:r>
          </w:p>
        </w:tc>
        <w:tc>
          <w:tcPr>
            <w:tcW w:w="1005" w:type="dxa"/>
            <w:tcBorders>
              <w:left w:val="single" w:sz="6" w:space="0" w:color="231F20"/>
              <w:bottom w:val="single" w:sz="4" w:space="0" w:color="231F20"/>
              <w:right w:val="single" w:sz="6" w:space="0" w:color="231F20"/>
            </w:tcBorders>
          </w:tcPr>
          <w:p w14:paraId="01019C19" w14:textId="77777777" w:rsidR="009948F1" w:rsidRDefault="00BC0563">
            <w:pPr>
              <w:pStyle w:val="TableParagraph"/>
              <w:spacing w:before="5"/>
              <w:ind w:left="164"/>
              <w:rPr>
                <w:sz w:val="18"/>
              </w:rPr>
            </w:pPr>
            <w:r>
              <w:rPr>
                <w:color w:val="474C4B"/>
                <w:w w:val="96"/>
                <w:sz w:val="18"/>
              </w:rPr>
              <w:t>?</w:t>
            </w:r>
          </w:p>
          <w:p w14:paraId="35CE1891" w14:textId="77777777" w:rsidR="009948F1" w:rsidRDefault="00BC0563">
            <w:pPr>
              <w:pStyle w:val="TableParagraph"/>
              <w:spacing w:before="16" w:line="202" w:lineRule="exact"/>
              <w:ind w:left="116"/>
              <w:rPr>
                <w:rFonts w:ascii="Carlito"/>
                <w:sz w:val="18"/>
              </w:rPr>
            </w:pPr>
            <w:r>
              <w:rPr>
                <w:rFonts w:ascii="Carlito"/>
                <w:color w:val="231F20"/>
                <w:w w:val="115"/>
                <w:sz w:val="18"/>
              </w:rPr>
              <w:t>1,196M</w:t>
            </w:r>
          </w:p>
        </w:tc>
        <w:tc>
          <w:tcPr>
            <w:tcW w:w="1002" w:type="dxa"/>
            <w:tcBorders>
              <w:left w:val="single" w:sz="6" w:space="0" w:color="231F20"/>
              <w:bottom w:val="single" w:sz="4" w:space="0" w:color="231F20"/>
              <w:right w:val="single" w:sz="6" w:space="0" w:color="231F20"/>
            </w:tcBorders>
          </w:tcPr>
          <w:p w14:paraId="3E912FF8" w14:textId="77777777" w:rsidR="009948F1" w:rsidRDefault="00BC0563">
            <w:pPr>
              <w:pStyle w:val="TableParagraph"/>
              <w:spacing w:before="5"/>
              <w:ind w:left="161"/>
              <w:rPr>
                <w:sz w:val="18"/>
              </w:rPr>
            </w:pPr>
            <w:r>
              <w:rPr>
                <w:color w:val="474C4B"/>
                <w:w w:val="96"/>
                <w:sz w:val="18"/>
              </w:rPr>
              <w:t>?</w:t>
            </w:r>
          </w:p>
          <w:p w14:paraId="62EA125C" w14:textId="77777777" w:rsidR="009948F1" w:rsidRDefault="00BC0563">
            <w:pPr>
              <w:pStyle w:val="TableParagraph"/>
              <w:spacing w:before="16" w:line="202" w:lineRule="exact"/>
              <w:ind w:left="113"/>
              <w:rPr>
                <w:rFonts w:ascii="Carlito"/>
                <w:sz w:val="18"/>
              </w:rPr>
            </w:pPr>
            <w:r>
              <w:rPr>
                <w:rFonts w:ascii="Carlito"/>
                <w:color w:val="231F20"/>
                <w:w w:val="115"/>
                <w:sz w:val="18"/>
              </w:rPr>
              <w:t>1,088M</w:t>
            </w:r>
          </w:p>
        </w:tc>
        <w:tc>
          <w:tcPr>
            <w:tcW w:w="1005" w:type="dxa"/>
            <w:tcBorders>
              <w:left w:val="single" w:sz="6" w:space="0" w:color="231F20"/>
              <w:bottom w:val="single" w:sz="4" w:space="0" w:color="231F20"/>
              <w:right w:val="single" w:sz="6" w:space="0" w:color="231F20"/>
            </w:tcBorders>
          </w:tcPr>
          <w:p w14:paraId="48CF4862" w14:textId="77777777" w:rsidR="009948F1" w:rsidRDefault="00BC0563">
            <w:pPr>
              <w:pStyle w:val="TableParagraph"/>
              <w:spacing w:before="5"/>
              <w:ind w:left="164"/>
              <w:rPr>
                <w:sz w:val="18"/>
              </w:rPr>
            </w:pPr>
            <w:r>
              <w:rPr>
                <w:color w:val="474C4B"/>
                <w:w w:val="96"/>
                <w:sz w:val="18"/>
              </w:rPr>
              <w:t>?</w:t>
            </w:r>
          </w:p>
          <w:p w14:paraId="5318C632" w14:textId="77777777" w:rsidR="009948F1" w:rsidRDefault="00BC0563">
            <w:pPr>
              <w:pStyle w:val="TableParagraph"/>
              <w:spacing w:before="16" w:line="202" w:lineRule="exact"/>
              <w:ind w:left="115"/>
              <w:rPr>
                <w:rFonts w:ascii="Carlito"/>
                <w:sz w:val="18"/>
              </w:rPr>
            </w:pPr>
            <w:r>
              <w:rPr>
                <w:rFonts w:ascii="Carlito"/>
                <w:color w:val="231F20"/>
                <w:w w:val="115"/>
                <w:sz w:val="18"/>
              </w:rPr>
              <w:t>1,079M</w:t>
            </w:r>
          </w:p>
        </w:tc>
        <w:tc>
          <w:tcPr>
            <w:tcW w:w="1005" w:type="dxa"/>
            <w:tcBorders>
              <w:left w:val="single" w:sz="6" w:space="0" w:color="231F20"/>
              <w:bottom w:val="single" w:sz="4" w:space="0" w:color="231F20"/>
              <w:right w:val="single" w:sz="6" w:space="0" w:color="231F20"/>
            </w:tcBorders>
          </w:tcPr>
          <w:p w14:paraId="787849E5" w14:textId="77777777" w:rsidR="009948F1" w:rsidRDefault="00BC0563">
            <w:pPr>
              <w:pStyle w:val="TableParagraph"/>
              <w:spacing w:before="5"/>
              <w:ind w:left="163"/>
              <w:rPr>
                <w:sz w:val="18"/>
              </w:rPr>
            </w:pPr>
            <w:r>
              <w:rPr>
                <w:color w:val="474C4B"/>
                <w:w w:val="96"/>
                <w:sz w:val="18"/>
              </w:rPr>
              <w:t>?</w:t>
            </w:r>
          </w:p>
          <w:p w14:paraId="39B7DF50" w14:textId="77777777" w:rsidR="009948F1" w:rsidRDefault="00BC0563">
            <w:pPr>
              <w:pStyle w:val="TableParagraph"/>
              <w:spacing w:before="16" w:line="202" w:lineRule="exact"/>
              <w:ind w:left="115"/>
              <w:rPr>
                <w:rFonts w:ascii="Carlito"/>
                <w:sz w:val="18"/>
              </w:rPr>
            </w:pPr>
            <w:r>
              <w:rPr>
                <w:rFonts w:ascii="Carlito"/>
                <w:color w:val="231F20"/>
                <w:w w:val="115"/>
                <w:sz w:val="18"/>
              </w:rPr>
              <w:t>1,084M</w:t>
            </w:r>
          </w:p>
        </w:tc>
        <w:tc>
          <w:tcPr>
            <w:tcW w:w="1112" w:type="dxa"/>
            <w:tcBorders>
              <w:left w:val="single" w:sz="6" w:space="0" w:color="231F20"/>
              <w:bottom w:val="single" w:sz="4" w:space="0" w:color="231F20"/>
              <w:right w:val="single" w:sz="12" w:space="0" w:color="231F20"/>
            </w:tcBorders>
          </w:tcPr>
          <w:p w14:paraId="5DFEC31F" w14:textId="77777777" w:rsidR="009948F1" w:rsidRDefault="00BC0563">
            <w:pPr>
              <w:pStyle w:val="TableParagraph"/>
              <w:spacing w:before="115"/>
              <w:ind w:right="78"/>
              <w:jc w:val="right"/>
              <w:rPr>
                <w:rFonts w:ascii="Carlito"/>
                <w:sz w:val="18"/>
              </w:rPr>
            </w:pPr>
            <w:r>
              <w:rPr>
                <w:color w:val="231F20"/>
                <w:w w:val="110"/>
                <w:sz w:val="18"/>
              </w:rPr>
              <w:t xml:space="preserve">? </w:t>
            </w:r>
            <w:r>
              <w:rPr>
                <w:rFonts w:ascii="Carlito"/>
                <w:color w:val="231F20"/>
                <w:w w:val="110"/>
                <w:sz w:val="18"/>
              </w:rPr>
              <w:t>5,099M</w:t>
            </w:r>
          </w:p>
        </w:tc>
        <w:tc>
          <w:tcPr>
            <w:tcW w:w="800" w:type="dxa"/>
            <w:tcBorders>
              <w:left w:val="single" w:sz="12" w:space="0" w:color="231F20"/>
              <w:bottom w:val="single" w:sz="4" w:space="0" w:color="231F20"/>
              <w:right w:val="single" w:sz="12" w:space="0" w:color="231F20"/>
            </w:tcBorders>
          </w:tcPr>
          <w:p w14:paraId="11906BE8" w14:textId="77777777" w:rsidR="009948F1" w:rsidRDefault="009948F1">
            <w:pPr>
              <w:pStyle w:val="TableParagraph"/>
              <w:spacing w:before="9"/>
              <w:rPr>
                <w:b/>
                <w:i/>
                <w:sz w:val="19"/>
              </w:rPr>
            </w:pPr>
          </w:p>
          <w:p w14:paraId="6C886F7B" w14:textId="77777777" w:rsidR="009948F1" w:rsidRDefault="00BC0563">
            <w:pPr>
              <w:pStyle w:val="TableParagraph"/>
              <w:spacing w:line="202" w:lineRule="exact"/>
              <w:ind w:left="106"/>
              <w:rPr>
                <w:rFonts w:ascii="Carlito"/>
                <w:b/>
                <w:sz w:val="18"/>
              </w:rPr>
            </w:pPr>
            <w:r>
              <w:rPr>
                <w:rFonts w:ascii="Carlito"/>
                <w:b/>
                <w:color w:val="231F20"/>
                <w:w w:val="115"/>
                <w:sz w:val="18"/>
              </w:rPr>
              <w:t>1.8%</w:t>
            </w:r>
          </w:p>
        </w:tc>
      </w:tr>
      <w:tr w:rsidR="009948F1" w14:paraId="623E7231" w14:textId="77777777">
        <w:trPr>
          <w:trHeight w:val="448"/>
        </w:trPr>
        <w:tc>
          <w:tcPr>
            <w:tcW w:w="2197" w:type="dxa"/>
            <w:tcBorders>
              <w:top w:val="single" w:sz="4" w:space="0" w:color="231F20"/>
              <w:left w:val="single" w:sz="12" w:space="0" w:color="231F20"/>
              <w:bottom w:val="single" w:sz="4" w:space="0" w:color="231F20"/>
              <w:right w:val="single" w:sz="6" w:space="0" w:color="231F20"/>
            </w:tcBorders>
            <w:shd w:val="clear" w:color="auto" w:fill="F1F2F2"/>
          </w:tcPr>
          <w:p w14:paraId="6070651C" w14:textId="77777777" w:rsidR="009948F1" w:rsidRDefault="009948F1">
            <w:pPr>
              <w:pStyle w:val="TableParagraph"/>
              <w:spacing w:before="3"/>
              <w:rPr>
                <w:b/>
                <w:i/>
              </w:rPr>
            </w:pPr>
          </w:p>
          <w:p w14:paraId="52E3E04D" w14:textId="77777777" w:rsidR="009948F1" w:rsidRDefault="00BC0563">
            <w:pPr>
              <w:pStyle w:val="TableParagraph"/>
              <w:spacing w:line="172" w:lineRule="exact"/>
              <w:ind w:left="223"/>
              <w:rPr>
                <w:b/>
                <w:sz w:val="16"/>
              </w:rPr>
            </w:pPr>
            <w:r>
              <w:rPr>
                <w:b/>
                <w:color w:val="231F20"/>
                <w:w w:val="120"/>
                <w:sz w:val="16"/>
              </w:rPr>
              <w:t>Human Resources</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0B20D0DA" w14:textId="77777777" w:rsidR="009948F1" w:rsidRDefault="00BC0563">
            <w:pPr>
              <w:pStyle w:val="TableParagraph"/>
              <w:spacing w:before="5"/>
              <w:ind w:left="164"/>
              <w:rPr>
                <w:sz w:val="18"/>
              </w:rPr>
            </w:pPr>
            <w:r>
              <w:rPr>
                <w:color w:val="474C4B"/>
                <w:w w:val="96"/>
                <w:sz w:val="18"/>
              </w:rPr>
              <w:t>?</w:t>
            </w:r>
          </w:p>
          <w:p w14:paraId="04F8FDBC" w14:textId="77777777" w:rsidR="009948F1" w:rsidRDefault="00BC0563">
            <w:pPr>
              <w:pStyle w:val="TableParagraph"/>
              <w:spacing w:before="16" w:line="200" w:lineRule="exact"/>
              <w:ind w:left="116"/>
              <w:rPr>
                <w:rFonts w:ascii="Carlito"/>
                <w:sz w:val="18"/>
              </w:rPr>
            </w:pPr>
            <w:r>
              <w:rPr>
                <w:rFonts w:ascii="Carlito"/>
                <w:color w:val="231F20"/>
                <w:w w:val="115"/>
                <w:sz w:val="18"/>
              </w:rPr>
              <w:t>15,687M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5F2AD429" w14:textId="77777777" w:rsidR="009948F1" w:rsidRDefault="00BC0563">
            <w:pPr>
              <w:pStyle w:val="TableParagraph"/>
              <w:spacing w:before="5"/>
              <w:ind w:left="164"/>
              <w:rPr>
                <w:sz w:val="18"/>
              </w:rPr>
            </w:pPr>
            <w:r>
              <w:rPr>
                <w:color w:val="474C4B"/>
                <w:w w:val="96"/>
                <w:sz w:val="18"/>
              </w:rPr>
              <w:t>?</w:t>
            </w:r>
          </w:p>
          <w:p w14:paraId="091A11F3" w14:textId="77777777" w:rsidR="009948F1" w:rsidRDefault="00BC0563">
            <w:pPr>
              <w:pStyle w:val="TableParagraph"/>
              <w:spacing w:before="16" w:line="200" w:lineRule="exact"/>
              <w:ind w:left="116"/>
              <w:rPr>
                <w:rFonts w:ascii="Carlito"/>
                <w:sz w:val="18"/>
              </w:rPr>
            </w:pPr>
            <w:r>
              <w:rPr>
                <w:rFonts w:ascii="Carlito"/>
                <w:color w:val="231F20"/>
                <w:w w:val="115"/>
                <w:sz w:val="18"/>
              </w:rPr>
              <w:t>17,521M</w:t>
            </w:r>
          </w:p>
        </w:tc>
        <w:tc>
          <w:tcPr>
            <w:tcW w:w="1002" w:type="dxa"/>
            <w:tcBorders>
              <w:top w:val="single" w:sz="4" w:space="0" w:color="231F20"/>
              <w:left w:val="single" w:sz="6" w:space="0" w:color="231F20"/>
              <w:bottom w:val="single" w:sz="4" w:space="0" w:color="231F20"/>
              <w:right w:val="single" w:sz="6" w:space="0" w:color="231F20"/>
            </w:tcBorders>
            <w:shd w:val="clear" w:color="auto" w:fill="F1F2F2"/>
          </w:tcPr>
          <w:p w14:paraId="482F3DB7" w14:textId="77777777" w:rsidR="009948F1" w:rsidRDefault="00BC0563">
            <w:pPr>
              <w:pStyle w:val="TableParagraph"/>
              <w:spacing w:before="5"/>
              <w:ind w:left="161"/>
              <w:rPr>
                <w:sz w:val="18"/>
              </w:rPr>
            </w:pPr>
            <w:r>
              <w:rPr>
                <w:color w:val="474C4B"/>
                <w:w w:val="96"/>
                <w:sz w:val="18"/>
              </w:rPr>
              <w:t>?</w:t>
            </w:r>
          </w:p>
          <w:p w14:paraId="575F7649" w14:textId="77777777" w:rsidR="009948F1" w:rsidRDefault="00BC0563">
            <w:pPr>
              <w:pStyle w:val="TableParagraph"/>
              <w:spacing w:before="16" w:line="200" w:lineRule="exact"/>
              <w:ind w:left="113"/>
              <w:rPr>
                <w:rFonts w:ascii="Carlito"/>
                <w:sz w:val="18"/>
              </w:rPr>
            </w:pPr>
            <w:r>
              <w:rPr>
                <w:rFonts w:ascii="Carlito"/>
                <w:color w:val="231F20"/>
                <w:w w:val="115"/>
                <w:sz w:val="18"/>
              </w:rPr>
              <w:t>19,242M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0449C270" w14:textId="77777777" w:rsidR="009948F1" w:rsidRDefault="00BC0563">
            <w:pPr>
              <w:pStyle w:val="TableParagraph"/>
              <w:spacing w:before="5"/>
              <w:ind w:left="164"/>
              <w:rPr>
                <w:sz w:val="18"/>
              </w:rPr>
            </w:pPr>
            <w:r>
              <w:rPr>
                <w:color w:val="474C4B"/>
                <w:w w:val="96"/>
                <w:sz w:val="18"/>
              </w:rPr>
              <w:t>?</w:t>
            </w:r>
          </w:p>
          <w:p w14:paraId="1CB4F617" w14:textId="77777777" w:rsidR="009948F1" w:rsidRDefault="00BC0563">
            <w:pPr>
              <w:pStyle w:val="TableParagraph"/>
              <w:spacing w:before="16" w:line="200" w:lineRule="exact"/>
              <w:ind w:left="115"/>
              <w:rPr>
                <w:rFonts w:ascii="Carlito"/>
                <w:sz w:val="18"/>
              </w:rPr>
            </w:pPr>
            <w:r>
              <w:rPr>
                <w:rFonts w:ascii="Carlito"/>
                <w:color w:val="231F20"/>
                <w:w w:val="115"/>
                <w:sz w:val="18"/>
              </w:rPr>
              <w:t>20,625M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65519B0F" w14:textId="77777777" w:rsidR="009948F1" w:rsidRDefault="00BC0563">
            <w:pPr>
              <w:pStyle w:val="TableParagraph"/>
              <w:spacing w:before="5"/>
              <w:ind w:left="163"/>
              <w:rPr>
                <w:sz w:val="18"/>
              </w:rPr>
            </w:pPr>
            <w:r>
              <w:rPr>
                <w:color w:val="474C4B"/>
                <w:w w:val="96"/>
                <w:sz w:val="18"/>
              </w:rPr>
              <w:t>?</w:t>
            </w:r>
          </w:p>
          <w:p w14:paraId="06B66BF7" w14:textId="77777777" w:rsidR="009948F1" w:rsidRDefault="00BC0563">
            <w:pPr>
              <w:pStyle w:val="TableParagraph"/>
              <w:spacing w:before="16" w:line="200" w:lineRule="exact"/>
              <w:ind w:left="115"/>
              <w:rPr>
                <w:rFonts w:ascii="Carlito"/>
                <w:sz w:val="18"/>
              </w:rPr>
            </w:pPr>
            <w:r>
              <w:rPr>
                <w:rFonts w:ascii="Carlito"/>
                <w:color w:val="231F20"/>
                <w:w w:val="115"/>
                <w:sz w:val="18"/>
              </w:rPr>
              <w:t>21,920M</w:t>
            </w:r>
          </w:p>
        </w:tc>
        <w:tc>
          <w:tcPr>
            <w:tcW w:w="1112" w:type="dxa"/>
            <w:tcBorders>
              <w:top w:val="single" w:sz="4" w:space="0" w:color="231F20"/>
              <w:left w:val="single" w:sz="6" w:space="0" w:color="231F20"/>
              <w:bottom w:val="single" w:sz="4" w:space="0" w:color="231F20"/>
              <w:right w:val="single" w:sz="12" w:space="0" w:color="231F20"/>
            </w:tcBorders>
            <w:shd w:val="clear" w:color="auto" w:fill="F1F2F2"/>
          </w:tcPr>
          <w:p w14:paraId="1F588A38" w14:textId="77777777" w:rsidR="009948F1" w:rsidRDefault="00BC0563">
            <w:pPr>
              <w:pStyle w:val="TableParagraph"/>
              <w:spacing w:before="5"/>
              <w:ind w:left="163"/>
              <w:rPr>
                <w:sz w:val="18"/>
              </w:rPr>
            </w:pPr>
            <w:r>
              <w:rPr>
                <w:color w:val="474C4B"/>
                <w:w w:val="96"/>
                <w:sz w:val="18"/>
              </w:rPr>
              <w:t>?</w:t>
            </w:r>
          </w:p>
          <w:p w14:paraId="22BB559F" w14:textId="77777777" w:rsidR="009948F1" w:rsidRDefault="00BC0563">
            <w:pPr>
              <w:pStyle w:val="TableParagraph"/>
              <w:spacing w:before="16" w:line="200" w:lineRule="exact"/>
              <w:ind w:left="115"/>
              <w:rPr>
                <w:rFonts w:ascii="Carlito"/>
                <w:sz w:val="18"/>
              </w:rPr>
            </w:pPr>
            <w:r>
              <w:rPr>
                <w:rFonts w:ascii="Carlito"/>
                <w:color w:val="231F20"/>
                <w:w w:val="115"/>
                <w:sz w:val="18"/>
              </w:rPr>
              <w:t>94,996M</w:t>
            </w:r>
          </w:p>
        </w:tc>
        <w:tc>
          <w:tcPr>
            <w:tcW w:w="800" w:type="dxa"/>
            <w:tcBorders>
              <w:top w:val="single" w:sz="4" w:space="0" w:color="231F20"/>
              <w:left w:val="single" w:sz="12" w:space="0" w:color="231F20"/>
              <w:bottom w:val="single" w:sz="4" w:space="0" w:color="231F20"/>
              <w:right w:val="single" w:sz="12" w:space="0" w:color="231F20"/>
            </w:tcBorders>
            <w:shd w:val="clear" w:color="auto" w:fill="F1F2F2"/>
          </w:tcPr>
          <w:p w14:paraId="07D06EFC" w14:textId="77777777" w:rsidR="009948F1" w:rsidRDefault="00BC0563">
            <w:pPr>
              <w:pStyle w:val="TableParagraph"/>
              <w:spacing w:before="116"/>
              <w:ind w:left="106"/>
              <w:rPr>
                <w:rFonts w:ascii="Carlito"/>
                <w:b/>
                <w:sz w:val="18"/>
              </w:rPr>
            </w:pPr>
            <w:r>
              <w:rPr>
                <w:rFonts w:ascii="Carlito"/>
                <w:b/>
                <w:color w:val="231F20"/>
                <w:w w:val="115"/>
                <w:sz w:val="18"/>
              </w:rPr>
              <w:t>33.6%</w:t>
            </w:r>
          </w:p>
        </w:tc>
      </w:tr>
      <w:tr w:rsidR="009948F1" w14:paraId="710B0FA1" w14:textId="77777777">
        <w:trPr>
          <w:trHeight w:val="450"/>
        </w:trPr>
        <w:tc>
          <w:tcPr>
            <w:tcW w:w="2197" w:type="dxa"/>
            <w:tcBorders>
              <w:top w:val="single" w:sz="4" w:space="0" w:color="231F20"/>
              <w:left w:val="single" w:sz="12" w:space="0" w:color="231F20"/>
              <w:bottom w:val="single" w:sz="4" w:space="0" w:color="231F20"/>
              <w:right w:val="single" w:sz="6" w:space="0" w:color="231F20"/>
            </w:tcBorders>
          </w:tcPr>
          <w:p w14:paraId="10AFA7EE" w14:textId="77777777" w:rsidR="009948F1" w:rsidRDefault="009948F1">
            <w:pPr>
              <w:pStyle w:val="TableParagraph"/>
              <w:spacing w:before="3"/>
              <w:rPr>
                <w:b/>
                <w:i/>
              </w:rPr>
            </w:pPr>
          </w:p>
          <w:p w14:paraId="3DCA1F0A" w14:textId="77777777" w:rsidR="009948F1" w:rsidRDefault="00BC0563">
            <w:pPr>
              <w:pStyle w:val="TableParagraph"/>
              <w:spacing w:line="174" w:lineRule="exact"/>
              <w:ind w:left="223"/>
              <w:rPr>
                <w:b/>
                <w:sz w:val="16"/>
              </w:rPr>
            </w:pPr>
            <w:r>
              <w:rPr>
                <w:b/>
                <w:color w:val="231F20"/>
                <w:w w:val="120"/>
                <w:sz w:val="16"/>
              </w:rPr>
              <w:t>Infrastructure</w:t>
            </w:r>
          </w:p>
        </w:tc>
        <w:tc>
          <w:tcPr>
            <w:tcW w:w="1005" w:type="dxa"/>
            <w:tcBorders>
              <w:top w:val="single" w:sz="4" w:space="0" w:color="231F20"/>
              <w:left w:val="single" w:sz="6" w:space="0" w:color="231F20"/>
              <w:bottom w:val="single" w:sz="4" w:space="0" w:color="231F20"/>
              <w:right w:val="single" w:sz="6" w:space="0" w:color="231F20"/>
            </w:tcBorders>
          </w:tcPr>
          <w:p w14:paraId="0E15AAB6" w14:textId="77777777" w:rsidR="009948F1" w:rsidRDefault="00BC0563">
            <w:pPr>
              <w:pStyle w:val="TableParagraph"/>
              <w:spacing w:before="116"/>
              <w:ind w:left="164"/>
              <w:rPr>
                <w:rFonts w:ascii="Carlito"/>
                <w:sz w:val="18"/>
              </w:rPr>
            </w:pPr>
            <w:r>
              <w:rPr>
                <w:color w:val="231F20"/>
                <w:w w:val="110"/>
                <w:sz w:val="18"/>
              </w:rPr>
              <w:t xml:space="preserve">? </w:t>
            </w:r>
            <w:r>
              <w:rPr>
                <w:rFonts w:ascii="Carlito"/>
                <w:color w:val="231F20"/>
                <w:w w:val="110"/>
                <w:sz w:val="18"/>
              </w:rPr>
              <w:t>769M</w:t>
            </w:r>
          </w:p>
        </w:tc>
        <w:tc>
          <w:tcPr>
            <w:tcW w:w="1005" w:type="dxa"/>
            <w:tcBorders>
              <w:top w:val="single" w:sz="4" w:space="0" w:color="231F20"/>
              <w:left w:val="single" w:sz="6" w:space="0" w:color="231F20"/>
              <w:bottom w:val="single" w:sz="4" w:space="0" w:color="231F20"/>
              <w:right w:val="single" w:sz="6" w:space="0" w:color="231F20"/>
            </w:tcBorders>
          </w:tcPr>
          <w:p w14:paraId="7042C70E" w14:textId="77777777" w:rsidR="009948F1" w:rsidRDefault="00BC0563">
            <w:pPr>
              <w:pStyle w:val="TableParagraph"/>
              <w:spacing w:before="5"/>
              <w:ind w:left="164"/>
              <w:rPr>
                <w:sz w:val="18"/>
              </w:rPr>
            </w:pPr>
            <w:r>
              <w:rPr>
                <w:color w:val="474C4B"/>
                <w:w w:val="96"/>
                <w:sz w:val="18"/>
              </w:rPr>
              <w:t>?</w:t>
            </w:r>
          </w:p>
          <w:p w14:paraId="4CDB541A" w14:textId="77777777" w:rsidR="009948F1" w:rsidRDefault="00BC0563">
            <w:pPr>
              <w:pStyle w:val="TableParagraph"/>
              <w:spacing w:before="16" w:line="202" w:lineRule="exact"/>
              <w:ind w:left="116"/>
              <w:rPr>
                <w:rFonts w:ascii="Carlito"/>
                <w:sz w:val="18"/>
              </w:rPr>
            </w:pPr>
            <w:r>
              <w:rPr>
                <w:rFonts w:ascii="Carlito"/>
                <w:color w:val="231F20"/>
                <w:w w:val="115"/>
                <w:sz w:val="18"/>
              </w:rPr>
              <w:t>3,169M</w:t>
            </w:r>
          </w:p>
        </w:tc>
        <w:tc>
          <w:tcPr>
            <w:tcW w:w="1002" w:type="dxa"/>
            <w:tcBorders>
              <w:top w:val="single" w:sz="4" w:space="0" w:color="231F20"/>
              <w:left w:val="single" w:sz="6" w:space="0" w:color="231F20"/>
              <w:bottom w:val="single" w:sz="4" w:space="0" w:color="231F20"/>
              <w:right w:val="single" w:sz="6" w:space="0" w:color="231F20"/>
            </w:tcBorders>
          </w:tcPr>
          <w:p w14:paraId="15365891" w14:textId="77777777" w:rsidR="009948F1" w:rsidRDefault="00BC0563">
            <w:pPr>
              <w:pStyle w:val="TableParagraph"/>
              <w:spacing w:before="116"/>
              <w:ind w:left="161"/>
              <w:rPr>
                <w:rFonts w:ascii="Carlito"/>
                <w:sz w:val="18"/>
              </w:rPr>
            </w:pPr>
            <w:r>
              <w:rPr>
                <w:color w:val="231F20"/>
                <w:w w:val="110"/>
                <w:sz w:val="18"/>
              </w:rPr>
              <w:t xml:space="preserve">? </w:t>
            </w:r>
            <w:r>
              <w:rPr>
                <w:rFonts w:ascii="Carlito"/>
                <w:color w:val="231F20"/>
                <w:w w:val="110"/>
                <w:sz w:val="18"/>
              </w:rPr>
              <w:t>767M</w:t>
            </w:r>
          </w:p>
        </w:tc>
        <w:tc>
          <w:tcPr>
            <w:tcW w:w="1005" w:type="dxa"/>
            <w:tcBorders>
              <w:top w:val="single" w:sz="4" w:space="0" w:color="231F20"/>
              <w:left w:val="single" w:sz="6" w:space="0" w:color="231F20"/>
              <w:bottom w:val="single" w:sz="4" w:space="0" w:color="231F20"/>
              <w:right w:val="single" w:sz="6" w:space="0" w:color="231F20"/>
            </w:tcBorders>
          </w:tcPr>
          <w:p w14:paraId="60F07476" w14:textId="77777777" w:rsidR="009948F1" w:rsidRDefault="00BC0563">
            <w:pPr>
              <w:pStyle w:val="TableParagraph"/>
              <w:spacing w:before="5"/>
              <w:ind w:left="164"/>
              <w:rPr>
                <w:sz w:val="18"/>
              </w:rPr>
            </w:pPr>
            <w:r>
              <w:rPr>
                <w:color w:val="474C4B"/>
                <w:w w:val="96"/>
                <w:sz w:val="18"/>
              </w:rPr>
              <w:t>?</w:t>
            </w:r>
          </w:p>
          <w:p w14:paraId="03B0BF24" w14:textId="77777777" w:rsidR="009948F1" w:rsidRDefault="00BC0563">
            <w:pPr>
              <w:pStyle w:val="TableParagraph"/>
              <w:spacing w:before="16" w:line="202" w:lineRule="exact"/>
              <w:ind w:left="115"/>
              <w:rPr>
                <w:rFonts w:ascii="Carlito"/>
                <w:sz w:val="18"/>
              </w:rPr>
            </w:pPr>
            <w:r>
              <w:rPr>
                <w:rFonts w:ascii="Carlito"/>
                <w:color w:val="231F20"/>
                <w:w w:val="115"/>
                <w:sz w:val="18"/>
              </w:rPr>
              <w:t>1,503M</w:t>
            </w:r>
          </w:p>
        </w:tc>
        <w:tc>
          <w:tcPr>
            <w:tcW w:w="1005" w:type="dxa"/>
            <w:tcBorders>
              <w:top w:val="single" w:sz="4" w:space="0" w:color="231F20"/>
              <w:left w:val="single" w:sz="6" w:space="0" w:color="231F20"/>
              <w:bottom w:val="single" w:sz="4" w:space="0" w:color="231F20"/>
              <w:right w:val="single" w:sz="6" w:space="0" w:color="231F20"/>
            </w:tcBorders>
          </w:tcPr>
          <w:p w14:paraId="2EA18D9D" w14:textId="77777777" w:rsidR="009948F1" w:rsidRDefault="00BC0563">
            <w:pPr>
              <w:pStyle w:val="TableParagraph"/>
              <w:spacing w:before="5"/>
              <w:ind w:left="163"/>
              <w:rPr>
                <w:sz w:val="18"/>
              </w:rPr>
            </w:pPr>
            <w:r>
              <w:rPr>
                <w:color w:val="474C4B"/>
                <w:w w:val="96"/>
                <w:sz w:val="18"/>
              </w:rPr>
              <w:t>?</w:t>
            </w:r>
          </w:p>
          <w:p w14:paraId="06C28918" w14:textId="77777777" w:rsidR="009948F1" w:rsidRDefault="00BC0563">
            <w:pPr>
              <w:pStyle w:val="TableParagraph"/>
              <w:spacing w:before="16" w:line="202" w:lineRule="exact"/>
              <w:ind w:left="115"/>
              <w:rPr>
                <w:rFonts w:ascii="Carlito"/>
                <w:sz w:val="18"/>
              </w:rPr>
            </w:pPr>
            <w:r>
              <w:rPr>
                <w:rFonts w:ascii="Carlito"/>
                <w:color w:val="231F20"/>
                <w:w w:val="115"/>
                <w:sz w:val="18"/>
              </w:rPr>
              <w:t>1,868M</w:t>
            </w:r>
          </w:p>
        </w:tc>
        <w:tc>
          <w:tcPr>
            <w:tcW w:w="1112" w:type="dxa"/>
            <w:tcBorders>
              <w:top w:val="single" w:sz="4" w:space="0" w:color="231F20"/>
              <w:left w:val="single" w:sz="6" w:space="0" w:color="231F20"/>
              <w:bottom w:val="single" w:sz="4" w:space="0" w:color="231F20"/>
              <w:right w:val="single" w:sz="12" w:space="0" w:color="231F20"/>
            </w:tcBorders>
          </w:tcPr>
          <w:p w14:paraId="70121503" w14:textId="77777777" w:rsidR="009948F1" w:rsidRDefault="00BC0563">
            <w:pPr>
              <w:pStyle w:val="TableParagraph"/>
              <w:spacing w:before="116"/>
              <w:ind w:right="78"/>
              <w:jc w:val="right"/>
              <w:rPr>
                <w:rFonts w:ascii="Carlito"/>
                <w:sz w:val="18"/>
              </w:rPr>
            </w:pPr>
            <w:r>
              <w:rPr>
                <w:color w:val="231F20"/>
                <w:w w:val="110"/>
                <w:sz w:val="18"/>
              </w:rPr>
              <w:t xml:space="preserve">? </w:t>
            </w:r>
            <w:r>
              <w:rPr>
                <w:rFonts w:ascii="Carlito"/>
                <w:color w:val="231F20"/>
                <w:w w:val="110"/>
                <w:sz w:val="18"/>
              </w:rPr>
              <w:t>8,077M</w:t>
            </w:r>
          </w:p>
        </w:tc>
        <w:tc>
          <w:tcPr>
            <w:tcW w:w="800" w:type="dxa"/>
            <w:tcBorders>
              <w:top w:val="single" w:sz="4" w:space="0" w:color="231F20"/>
              <w:left w:val="single" w:sz="12" w:space="0" w:color="231F20"/>
              <w:bottom w:val="single" w:sz="4" w:space="0" w:color="231F20"/>
              <w:right w:val="single" w:sz="12" w:space="0" w:color="231F20"/>
            </w:tcBorders>
          </w:tcPr>
          <w:p w14:paraId="00BD163F" w14:textId="77777777" w:rsidR="009948F1" w:rsidRDefault="00BC0563">
            <w:pPr>
              <w:pStyle w:val="TableParagraph"/>
              <w:spacing w:before="116"/>
              <w:ind w:left="106"/>
              <w:rPr>
                <w:rFonts w:ascii="Carlito"/>
                <w:b/>
                <w:sz w:val="18"/>
              </w:rPr>
            </w:pPr>
            <w:r>
              <w:rPr>
                <w:rFonts w:ascii="Carlito"/>
                <w:b/>
                <w:color w:val="231F20"/>
                <w:w w:val="115"/>
                <w:sz w:val="18"/>
              </w:rPr>
              <w:t>2.9%</w:t>
            </w:r>
          </w:p>
        </w:tc>
      </w:tr>
      <w:tr w:rsidR="009948F1" w14:paraId="019B33DE" w14:textId="77777777">
        <w:trPr>
          <w:trHeight w:val="450"/>
        </w:trPr>
        <w:tc>
          <w:tcPr>
            <w:tcW w:w="2197" w:type="dxa"/>
            <w:tcBorders>
              <w:top w:val="single" w:sz="4" w:space="0" w:color="231F20"/>
              <w:left w:val="single" w:sz="12" w:space="0" w:color="231F20"/>
              <w:bottom w:val="single" w:sz="4" w:space="0" w:color="231F20"/>
              <w:right w:val="single" w:sz="6" w:space="0" w:color="231F20"/>
            </w:tcBorders>
            <w:shd w:val="clear" w:color="auto" w:fill="F1F2F2"/>
          </w:tcPr>
          <w:p w14:paraId="50637BCA" w14:textId="77777777" w:rsidR="009948F1" w:rsidRDefault="009948F1">
            <w:pPr>
              <w:pStyle w:val="TableParagraph"/>
              <w:spacing w:before="3"/>
              <w:rPr>
                <w:b/>
                <w:i/>
              </w:rPr>
            </w:pPr>
          </w:p>
          <w:p w14:paraId="1390D3C5" w14:textId="77777777" w:rsidR="009948F1" w:rsidRDefault="00BC0563">
            <w:pPr>
              <w:pStyle w:val="TableParagraph"/>
              <w:spacing w:line="174" w:lineRule="exact"/>
              <w:ind w:left="223"/>
              <w:rPr>
                <w:b/>
                <w:sz w:val="16"/>
              </w:rPr>
            </w:pPr>
            <w:r>
              <w:rPr>
                <w:b/>
                <w:color w:val="231F20"/>
                <w:w w:val="120"/>
                <w:sz w:val="16"/>
              </w:rPr>
              <w:t>Logistics</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3618E8CF" w14:textId="77777777" w:rsidR="009948F1" w:rsidRDefault="00BC0563">
            <w:pPr>
              <w:pStyle w:val="TableParagraph"/>
              <w:spacing w:before="5"/>
              <w:ind w:left="164"/>
              <w:rPr>
                <w:sz w:val="18"/>
              </w:rPr>
            </w:pPr>
            <w:r>
              <w:rPr>
                <w:color w:val="474C4B"/>
                <w:w w:val="96"/>
                <w:sz w:val="18"/>
              </w:rPr>
              <w:t>?</w:t>
            </w:r>
          </w:p>
          <w:p w14:paraId="74A82889" w14:textId="77777777" w:rsidR="009948F1" w:rsidRDefault="00BC0563">
            <w:pPr>
              <w:pStyle w:val="TableParagraph"/>
              <w:spacing w:before="16" w:line="202" w:lineRule="exact"/>
              <w:ind w:left="116"/>
              <w:rPr>
                <w:rFonts w:ascii="Carlito"/>
                <w:sz w:val="18"/>
              </w:rPr>
            </w:pPr>
            <w:r>
              <w:rPr>
                <w:rFonts w:ascii="Carlito"/>
                <w:color w:val="231F20"/>
                <w:w w:val="115"/>
                <w:sz w:val="18"/>
              </w:rPr>
              <w:t>7,533M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7227F9B7" w14:textId="77777777" w:rsidR="009948F1" w:rsidRDefault="00BC0563">
            <w:pPr>
              <w:pStyle w:val="TableParagraph"/>
              <w:spacing w:before="5"/>
              <w:ind w:left="164"/>
              <w:rPr>
                <w:sz w:val="18"/>
              </w:rPr>
            </w:pPr>
            <w:r>
              <w:rPr>
                <w:color w:val="474C4B"/>
                <w:w w:val="96"/>
                <w:sz w:val="18"/>
              </w:rPr>
              <w:t>?</w:t>
            </w:r>
          </w:p>
          <w:p w14:paraId="02A3DBB1" w14:textId="77777777" w:rsidR="009948F1" w:rsidRDefault="00BC0563">
            <w:pPr>
              <w:pStyle w:val="TableParagraph"/>
              <w:spacing w:before="16" w:line="202" w:lineRule="exact"/>
              <w:ind w:left="116"/>
              <w:rPr>
                <w:rFonts w:ascii="Carlito"/>
                <w:sz w:val="18"/>
              </w:rPr>
            </w:pPr>
            <w:r>
              <w:rPr>
                <w:rFonts w:ascii="Carlito"/>
                <w:color w:val="231F20"/>
                <w:w w:val="115"/>
                <w:sz w:val="18"/>
              </w:rPr>
              <w:t>9,228M</w:t>
            </w:r>
          </w:p>
        </w:tc>
        <w:tc>
          <w:tcPr>
            <w:tcW w:w="1002" w:type="dxa"/>
            <w:tcBorders>
              <w:top w:val="single" w:sz="4" w:space="0" w:color="231F20"/>
              <w:left w:val="single" w:sz="6" w:space="0" w:color="231F20"/>
              <w:bottom w:val="single" w:sz="4" w:space="0" w:color="231F20"/>
              <w:right w:val="single" w:sz="6" w:space="0" w:color="231F20"/>
            </w:tcBorders>
            <w:shd w:val="clear" w:color="auto" w:fill="F1F2F2"/>
          </w:tcPr>
          <w:p w14:paraId="632FD2AA" w14:textId="77777777" w:rsidR="009948F1" w:rsidRDefault="00BC0563">
            <w:pPr>
              <w:pStyle w:val="TableParagraph"/>
              <w:spacing w:before="5"/>
              <w:ind w:left="161"/>
              <w:rPr>
                <w:sz w:val="18"/>
              </w:rPr>
            </w:pPr>
            <w:r>
              <w:rPr>
                <w:color w:val="474C4B"/>
                <w:w w:val="96"/>
                <w:sz w:val="18"/>
              </w:rPr>
              <w:t>?</w:t>
            </w:r>
          </w:p>
          <w:p w14:paraId="3CB1BAE6" w14:textId="77777777" w:rsidR="009948F1" w:rsidRDefault="00BC0563">
            <w:pPr>
              <w:pStyle w:val="TableParagraph"/>
              <w:spacing w:before="16" w:line="202" w:lineRule="exact"/>
              <w:ind w:left="113"/>
              <w:rPr>
                <w:rFonts w:ascii="Carlito"/>
                <w:sz w:val="18"/>
              </w:rPr>
            </w:pPr>
            <w:r>
              <w:rPr>
                <w:rFonts w:ascii="Carlito"/>
                <w:color w:val="231F20"/>
                <w:w w:val="115"/>
                <w:sz w:val="18"/>
              </w:rPr>
              <w:t>10,869M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095BCCB2" w14:textId="77777777" w:rsidR="009948F1" w:rsidRDefault="00BC0563">
            <w:pPr>
              <w:pStyle w:val="TableParagraph"/>
              <w:spacing w:before="5"/>
              <w:ind w:left="164"/>
              <w:rPr>
                <w:sz w:val="18"/>
              </w:rPr>
            </w:pPr>
            <w:r>
              <w:rPr>
                <w:color w:val="474C4B"/>
                <w:w w:val="96"/>
                <w:sz w:val="18"/>
              </w:rPr>
              <w:t>?</w:t>
            </w:r>
          </w:p>
          <w:p w14:paraId="21C8728D" w14:textId="77777777" w:rsidR="009948F1" w:rsidRDefault="00BC0563">
            <w:pPr>
              <w:pStyle w:val="TableParagraph"/>
              <w:spacing w:before="16" w:line="202" w:lineRule="exact"/>
              <w:ind w:left="115"/>
              <w:rPr>
                <w:rFonts w:ascii="Carlito"/>
                <w:sz w:val="18"/>
              </w:rPr>
            </w:pPr>
            <w:r>
              <w:rPr>
                <w:rFonts w:ascii="Carlito"/>
                <w:color w:val="231F20"/>
                <w:w w:val="115"/>
                <w:sz w:val="18"/>
              </w:rPr>
              <w:t>11,874M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21DF534E" w14:textId="77777777" w:rsidR="009948F1" w:rsidRDefault="00BC0563">
            <w:pPr>
              <w:pStyle w:val="TableParagraph"/>
              <w:spacing w:before="5"/>
              <w:ind w:left="163"/>
              <w:rPr>
                <w:sz w:val="18"/>
              </w:rPr>
            </w:pPr>
            <w:r>
              <w:rPr>
                <w:color w:val="474C4B"/>
                <w:w w:val="96"/>
                <w:sz w:val="18"/>
              </w:rPr>
              <w:t>?</w:t>
            </w:r>
          </w:p>
          <w:p w14:paraId="0F8BA723" w14:textId="77777777" w:rsidR="009948F1" w:rsidRDefault="00BC0563">
            <w:pPr>
              <w:pStyle w:val="TableParagraph"/>
              <w:spacing w:before="16" w:line="202" w:lineRule="exact"/>
              <w:ind w:left="115"/>
              <w:rPr>
                <w:rFonts w:ascii="Carlito"/>
                <w:sz w:val="18"/>
              </w:rPr>
            </w:pPr>
            <w:r>
              <w:rPr>
                <w:rFonts w:ascii="Carlito"/>
                <w:color w:val="231F20"/>
                <w:w w:val="115"/>
                <w:sz w:val="18"/>
              </w:rPr>
              <w:t>12,705M</w:t>
            </w:r>
          </w:p>
        </w:tc>
        <w:tc>
          <w:tcPr>
            <w:tcW w:w="1112" w:type="dxa"/>
            <w:tcBorders>
              <w:top w:val="single" w:sz="4" w:space="0" w:color="231F20"/>
              <w:left w:val="single" w:sz="6" w:space="0" w:color="231F20"/>
              <w:bottom w:val="single" w:sz="4" w:space="0" w:color="231F20"/>
              <w:right w:val="single" w:sz="12" w:space="0" w:color="231F20"/>
            </w:tcBorders>
            <w:shd w:val="clear" w:color="auto" w:fill="F1F2F2"/>
          </w:tcPr>
          <w:p w14:paraId="7B97AE59" w14:textId="77777777" w:rsidR="009948F1" w:rsidRDefault="00BC0563">
            <w:pPr>
              <w:pStyle w:val="TableParagraph"/>
              <w:spacing w:before="5"/>
              <w:ind w:left="163"/>
              <w:rPr>
                <w:sz w:val="18"/>
              </w:rPr>
            </w:pPr>
            <w:r>
              <w:rPr>
                <w:color w:val="474C4B"/>
                <w:w w:val="96"/>
                <w:sz w:val="18"/>
              </w:rPr>
              <w:t>?</w:t>
            </w:r>
          </w:p>
          <w:p w14:paraId="050874DC" w14:textId="77777777" w:rsidR="009948F1" w:rsidRDefault="00BC0563">
            <w:pPr>
              <w:pStyle w:val="TableParagraph"/>
              <w:spacing w:before="16" w:line="202" w:lineRule="exact"/>
              <w:ind w:left="115"/>
              <w:rPr>
                <w:rFonts w:ascii="Carlito"/>
                <w:sz w:val="18"/>
              </w:rPr>
            </w:pPr>
            <w:r>
              <w:rPr>
                <w:rFonts w:ascii="Carlito"/>
                <w:color w:val="231F20"/>
                <w:w w:val="115"/>
                <w:sz w:val="18"/>
              </w:rPr>
              <w:t>52,210M</w:t>
            </w:r>
          </w:p>
        </w:tc>
        <w:tc>
          <w:tcPr>
            <w:tcW w:w="800" w:type="dxa"/>
            <w:tcBorders>
              <w:top w:val="single" w:sz="4" w:space="0" w:color="231F20"/>
              <w:left w:val="single" w:sz="12" w:space="0" w:color="231F20"/>
              <w:bottom w:val="single" w:sz="4" w:space="0" w:color="231F20"/>
              <w:right w:val="single" w:sz="12" w:space="0" w:color="231F20"/>
            </w:tcBorders>
            <w:shd w:val="clear" w:color="auto" w:fill="F1F2F2"/>
          </w:tcPr>
          <w:p w14:paraId="3077DE62" w14:textId="77777777" w:rsidR="009948F1" w:rsidRDefault="00BC0563">
            <w:pPr>
              <w:pStyle w:val="TableParagraph"/>
              <w:spacing w:before="116"/>
              <w:ind w:left="106"/>
              <w:rPr>
                <w:rFonts w:ascii="Carlito"/>
                <w:b/>
                <w:sz w:val="18"/>
              </w:rPr>
            </w:pPr>
            <w:r>
              <w:rPr>
                <w:rFonts w:ascii="Carlito"/>
                <w:b/>
                <w:color w:val="231F20"/>
                <w:w w:val="115"/>
                <w:sz w:val="18"/>
              </w:rPr>
              <w:t>18.5%</w:t>
            </w:r>
          </w:p>
        </w:tc>
      </w:tr>
      <w:tr w:rsidR="009948F1" w14:paraId="082502B9" w14:textId="77777777">
        <w:trPr>
          <w:trHeight w:val="525"/>
        </w:trPr>
        <w:tc>
          <w:tcPr>
            <w:tcW w:w="2197" w:type="dxa"/>
            <w:tcBorders>
              <w:top w:val="single" w:sz="4" w:space="0" w:color="231F20"/>
              <w:left w:val="single" w:sz="12" w:space="0" w:color="231F20"/>
              <w:bottom w:val="single" w:sz="4" w:space="0" w:color="231F20"/>
              <w:right w:val="single" w:sz="6" w:space="0" w:color="231F20"/>
            </w:tcBorders>
          </w:tcPr>
          <w:p w14:paraId="3A216C18" w14:textId="77777777" w:rsidR="009948F1" w:rsidRDefault="00BC0563">
            <w:pPr>
              <w:pStyle w:val="TableParagraph"/>
              <w:spacing w:line="162" w:lineRule="exact"/>
              <w:ind w:left="223"/>
              <w:rPr>
                <w:b/>
                <w:sz w:val="16"/>
              </w:rPr>
            </w:pPr>
            <w:r>
              <w:rPr>
                <w:b/>
                <w:color w:val="231F20"/>
                <w:w w:val="120"/>
                <w:sz w:val="16"/>
              </w:rPr>
              <w:t>Medicines,</w:t>
            </w:r>
          </w:p>
          <w:p w14:paraId="2F3CA126" w14:textId="77777777" w:rsidR="009948F1" w:rsidRDefault="00BC0563">
            <w:pPr>
              <w:pStyle w:val="TableParagraph"/>
              <w:spacing w:before="3" w:line="178" w:lineRule="exact"/>
              <w:ind w:left="109"/>
              <w:rPr>
                <w:b/>
                <w:sz w:val="16"/>
              </w:rPr>
            </w:pPr>
            <w:r>
              <w:rPr>
                <w:b/>
                <w:color w:val="231F20"/>
                <w:w w:val="120"/>
                <w:sz w:val="16"/>
              </w:rPr>
              <w:t>commodities, and supplies</w:t>
            </w:r>
          </w:p>
        </w:tc>
        <w:tc>
          <w:tcPr>
            <w:tcW w:w="1005" w:type="dxa"/>
            <w:tcBorders>
              <w:top w:val="single" w:sz="4" w:space="0" w:color="231F20"/>
              <w:left w:val="single" w:sz="6" w:space="0" w:color="231F20"/>
              <w:bottom w:val="single" w:sz="4" w:space="0" w:color="231F20"/>
              <w:right w:val="single" w:sz="6" w:space="0" w:color="231F20"/>
            </w:tcBorders>
          </w:tcPr>
          <w:p w14:paraId="43FEF83C" w14:textId="77777777" w:rsidR="009948F1" w:rsidRDefault="00BC0563">
            <w:pPr>
              <w:pStyle w:val="TableParagraph"/>
              <w:spacing w:before="43"/>
              <w:ind w:left="164"/>
              <w:rPr>
                <w:sz w:val="18"/>
              </w:rPr>
            </w:pPr>
            <w:r>
              <w:rPr>
                <w:color w:val="474C4B"/>
                <w:w w:val="96"/>
                <w:sz w:val="18"/>
              </w:rPr>
              <w:t>?</w:t>
            </w:r>
          </w:p>
          <w:p w14:paraId="2785EFF0" w14:textId="77777777" w:rsidR="009948F1" w:rsidRDefault="00BC0563">
            <w:pPr>
              <w:pStyle w:val="TableParagraph"/>
              <w:spacing w:before="16"/>
              <w:ind w:left="116"/>
              <w:rPr>
                <w:rFonts w:ascii="Carlito"/>
                <w:sz w:val="18"/>
              </w:rPr>
            </w:pPr>
            <w:r>
              <w:rPr>
                <w:rFonts w:ascii="Carlito"/>
                <w:color w:val="231F20"/>
                <w:w w:val="115"/>
                <w:sz w:val="18"/>
              </w:rPr>
              <w:t>17,557M</w:t>
            </w:r>
          </w:p>
        </w:tc>
        <w:tc>
          <w:tcPr>
            <w:tcW w:w="1005" w:type="dxa"/>
            <w:tcBorders>
              <w:top w:val="single" w:sz="4" w:space="0" w:color="231F20"/>
              <w:left w:val="single" w:sz="6" w:space="0" w:color="231F20"/>
              <w:bottom w:val="single" w:sz="4" w:space="0" w:color="231F20"/>
              <w:right w:val="single" w:sz="6" w:space="0" w:color="231F20"/>
            </w:tcBorders>
          </w:tcPr>
          <w:p w14:paraId="5852915E" w14:textId="77777777" w:rsidR="009948F1" w:rsidRDefault="00BC0563">
            <w:pPr>
              <w:pStyle w:val="TableParagraph"/>
              <w:spacing w:before="43"/>
              <w:ind w:left="164"/>
              <w:rPr>
                <w:sz w:val="18"/>
              </w:rPr>
            </w:pPr>
            <w:r>
              <w:rPr>
                <w:color w:val="474C4B"/>
                <w:w w:val="96"/>
                <w:sz w:val="18"/>
              </w:rPr>
              <w:t>?</w:t>
            </w:r>
          </w:p>
          <w:p w14:paraId="729FB26A" w14:textId="77777777" w:rsidR="009948F1" w:rsidRDefault="00BC0563">
            <w:pPr>
              <w:pStyle w:val="TableParagraph"/>
              <w:spacing w:before="16"/>
              <w:ind w:left="116"/>
              <w:rPr>
                <w:rFonts w:ascii="Carlito"/>
                <w:sz w:val="18"/>
              </w:rPr>
            </w:pPr>
            <w:r>
              <w:rPr>
                <w:rFonts w:ascii="Carlito"/>
                <w:color w:val="231F20"/>
                <w:w w:val="115"/>
                <w:sz w:val="18"/>
              </w:rPr>
              <w:t>21,424M</w:t>
            </w:r>
          </w:p>
        </w:tc>
        <w:tc>
          <w:tcPr>
            <w:tcW w:w="1002" w:type="dxa"/>
            <w:tcBorders>
              <w:top w:val="single" w:sz="4" w:space="0" w:color="231F20"/>
              <w:left w:val="single" w:sz="6" w:space="0" w:color="231F20"/>
              <w:bottom w:val="single" w:sz="4" w:space="0" w:color="231F20"/>
              <w:right w:val="single" w:sz="6" w:space="0" w:color="231F20"/>
            </w:tcBorders>
          </w:tcPr>
          <w:p w14:paraId="738C8298" w14:textId="77777777" w:rsidR="009948F1" w:rsidRDefault="00BC0563">
            <w:pPr>
              <w:pStyle w:val="TableParagraph"/>
              <w:spacing w:before="43"/>
              <w:ind w:left="161"/>
              <w:rPr>
                <w:sz w:val="18"/>
              </w:rPr>
            </w:pPr>
            <w:r>
              <w:rPr>
                <w:color w:val="474C4B"/>
                <w:w w:val="96"/>
                <w:sz w:val="18"/>
              </w:rPr>
              <w:t>?</w:t>
            </w:r>
          </w:p>
          <w:p w14:paraId="707AE53F" w14:textId="77777777" w:rsidR="009948F1" w:rsidRDefault="00BC0563">
            <w:pPr>
              <w:pStyle w:val="TableParagraph"/>
              <w:spacing w:before="16"/>
              <w:ind w:left="113"/>
              <w:rPr>
                <w:rFonts w:ascii="Carlito"/>
                <w:sz w:val="18"/>
              </w:rPr>
            </w:pPr>
            <w:r>
              <w:rPr>
                <w:rFonts w:ascii="Carlito"/>
                <w:color w:val="231F20"/>
                <w:w w:val="115"/>
                <w:sz w:val="18"/>
              </w:rPr>
              <w:t>25,264M</w:t>
            </w:r>
          </w:p>
        </w:tc>
        <w:tc>
          <w:tcPr>
            <w:tcW w:w="1005" w:type="dxa"/>
            <w:tcBorders>
              <w:top w:val="single" w:sz="4" w:space="0" w:color="231F20"/>
              <w:left w:val="single" w:sz="6" w:space="0" w:color="231F20"/>
              <w:bottom w:val="single" w:sz="4" w:space="0" w:color="231F20"/>
              <w:right w:val="single" w:sz="6" w:space="0" w:color="231F20"/>
            </w:tcBorders>
          </w:tcPr>
          <w:p w14:paraId="35B98E9C" w14:textId="77777777" w:rsidR="009948F1" w:rsidRDefault="00BC0563">
            <w:pPr>
              <w:pStyle w:val="TableParagraph"/>
              <w:spacing w:before="43"/>
              <w:ind w:left="164"/>
              <w:rPr>
                <w:sz w:val="18"/>
              </w:rPr>
            </w:pPr>
            <w:r>
              <w:rPr>
                <w:color w:val="474C4B"/>
                <w:w w:val="96"/>
                <w:sz w:val="18"/>
              </w:rPr>
              <w:t>?</w:t>
            </w:r>
          </w:p>
          <w:p w14:paraId="2AA0BFBB" w14:textId="77777777" w:rsidR="009948F1" w:rsidRDefault="00BC0563">
            <w:pPr>
              <w:pStyle w:val="TableParagraph"/>
              <w:spacing w:before="16"/>
              <w:ind w:left="115"/>
              <w:rPr>
                <w:rFonts w:ascii="Carlito"/>
                <w:sz w:val="18"/>
              </w:rPr>
            </w:pPr>
            <w:r>
              <w:rPr>
                <w:rFonts w:ascii="Carlito"/>
                <w:color w:val="231F20"/>
                <w:w w:val="115"/>
                <w:sz w:val="18"/>
              </w:rPr>
              <w:t>27,610M</w:t>
            </w:r>
          </w:p>
        </w:tc>
        <w:tc>
          <w:tcPr>
            <w:tcW w:w="1005" w:type="dxa"/>
            <w:tcBorders>
              <w:top w:val="single" w:sz="4" w:space="0" w:color="231F20"/>
              <w:left w:val="single" w:sz="6" w:space="0" w:color="231F20"/>
              <w:bottom w:val="single" w:sz="4" w:space="0" w:color="231F20"/>
              <w:right w:val="single" w:sz="6" w:space="0" w:color="231F20"/>
            </w:tcBorders>
          </w:tcPr>
          <w:p w14:paraId="73E8203A" w14:textId="77777777" w:rsidR="009948F1" w:rsidRDefault="00BC0563">
            <w:pPr>
              <w:pStyle w:val="TableParagraph"/>
              <w:spacing w:before="43"/>
              <w:ind w:left="163"/>
              <w:rPr>
                <w:sz w:val="18"/>
              </w:rPr>
            </w:pPr>
            <w:r>
              <w:rPr>
                <w:color w:val="474C4B"/>
                <w:w w:val="96"/>
                <w:sz w:val="18"/>
              </w:rPr>
              <w:t>?</w:t>
            </w:r>
          </w:p>
          <w:p w14:paraId="2B295339" w14:textId="77777777" w:rsidR="009948F1" w:rsidRDefault="00BC0563">
            <w:pPr>
              <w:pStyle w:val="TableParagraph"/>
              <w:spacing w:before="16"/>
              <w:ind w:left="115"/>
              <w:rPr>
                <w:rFonts w:ascii="Carlito"/>
                <w:sz w:val="18"/>
              </w:rPr>
            </w:pPr>
            <w:r>
              <w:rPr>
                <w:rFonts w:ascii="Carlito"/>
                <w:color w:val="231F20"/>
                <w:w w:val="115"/>
                <w:sz w:val="18"/>
              </w:rPr>
              <w:t>29,547M</w:t>
            </w:r>
          </w:p>
        </w:tc>
        <w:tc>
          <w:tcPr>
            <w:tcW w:w="1112" w:type="dxa"/>
            <w:tcBorders>
              <w:top w:val="single" w:sz="4" w:space="0" w:color="231F20"/>
              <w:left w:val="single" w:sz="6" w:space="0" w:color="231F20"/>
              <w:bottom w:val="single" w:sz="4" w:space="0" w:color="231F20"/>
              <w:right w:val="single" w:sz="12" w:space="0" w:color="231F20"/>
            </w:tcBorders>
          </w:tcPr>
          <w:p w14:paraId="6B6A78D0" w14:textId="77777777" w:rsidR="009948F1" w:rsidRDefault="00BC0563">
            <w:pPr>
              <w:pStyle w:val="TableParagraph"/>
              <w:spacing w:before="43"/>
              <w:ind w:left="163"/>
              <w:rPr>
                <w:sz w:val="18"/>
              </w:rPr>
            </w:pPr>
            <w:r>
              <w:rPr>
                <w:color w:val="474C4B"/>
                <w:w w:val="96"/>
                <w:sz w:val="18"/>
              </w:rPr>
              <w:t>?</w:t>
            </w:r>
          </w:p>
          <w:p w14:paraId="6EA9ABDC" w14:textId="77777777" w:rsidR="009948F1" w:rsidRDefault="00BC0563">
            <w:pPr>
              <w:pStyle w:val="TableParagraph"/>
              <w:spacing w:before="16"/>
              <w:ind w:left="115"/>
              <w:rPr>
                <w:rFonts w:ascii="Carlito"/>
                <w:sz w:val="18"/>
              </w:rPr>
            </w:pPr>
            <w:r>
              <w:rPr>
                <w:rFonts w:ascii="Carlito"/>
                <w:color w:val="231F20"/>
                <w:w w:val="115"/>
                <w:sz w:val="18"/>
              </w:rPr>
              <w:t>121,401M</w:t>
            </w:r>
          </w:p>
        </w:tc>
        <w:tc>
          <w:tcPr>
            <w:tcW w:w="800" w:type="dxa"/>
            <w:tcBorders>
              <w:top w:val="single" w:sz="4" w:space="0" w:color="231F20"/>
              <w:left w:val="single" w:sz="12" w:space="0" w:color="231F20"/>
              <w:bottom w:val="single" w:sz="4" w:space="0" w:color="231F20"/>
              <w:right w:val="single" w:sz="12" w:space="0" w:color="231F20"/>
            </w:tcBorders>
          </w:tcPr>
          <w:p w14:paraId="7E331120" w14:textId="77777777" w:rsidR="009948F1" w:rsidRDefault="00BC0563">
            <w:pPr>
              <w:pStyle w:val="TableParagraph"/>
              <w:spacing w:before="153"/>
              <w:ind w:left="106"/>
              <w:rPr>
                <w:rFonts w:ascii="Carlito"/>
                <w:b/>
                <w:sz w:val="18"/>
              </w:rPr>
            </w:pPr>
            <w:r>
              <w:rPr>
                <w:rFonts w:ascii="Carlito"/>
                <w:b/>
                <w:color w:val="231F20"/>
                <w:w w:val="115"/>
                <w:sz w:val="18"/>
              </w:rPr>
              <w:t>42.9%</w:t>
            </w:r>
          </w:p>
        </w:tc>
      </w:tr>
      <w:tr w:rsidR="009948F1" w14:paraId="390A18C3" w14:textId="77777777">
        <w:trPr>
          <w:trHeight w:val="224"/>
        </w:trPr>
        <w:tc>
          <w:tcPr>
            <w:tcW w:w="2197" w:type="dxa"/>
            <w:tcBorders>
              <w:top w:val="single" w:sz="4" w:space="0" w:color="231F20"/>
              <w:left w:val="single" w:sz="12" w:space="0" w:color="231F20"/>
              <w:bottom w:val="single" w:sz="4" w:space="0" w:color="231F20"/>
              <w:right w:val="single" w:sz="6" w:space="0" w:color="231F20"/>
            </w:tcBorders>
            <w:shd w:val="clear" w:color="auto" w:fill="F1F2F2"/>
          </w:tcPr>
          <w:p w14:paraId="0EE61DB2" w14:textId="77777777" w:rsidR="009948F1" w:rsidRDefault="00BC0563">
            <w:pPr>
              <w:pStyle w:val="TableParagraph"/>
              <w:spacing w:before="33" w:line="172" w:lineRule="exact"/>
              <w:ind w:left="223"/>
              <w:rPr>
                <w:b/>
                <w:sz w:val="16"/>
              </w:rPr>
            </w:pPr>
            <w:r>
              <w:rPr>
                <w:b/>
                <w:color w:val="231F20"/>
                <w:w w:val="120"/>
                <w:sz w:val="16"/>
              </w:rPr>
              <w:t>Health Financing</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2D0DE8C4" w14:textId="77777777" w:rsidR="009948F1" w:rsidRDefault="00BC0563">
            <w:pPr>
              <w:pStyle w:val="TableParagraph"/>
              <w:spacing w:before="3" w:line="202" w:lineRule="exact"/>
              <w:ind w:left="164"/>
              <w:rPr>
                <w:rFonts w:ascii="Carlito"/>
                <w:sz w:val="18"/>
              </w:rPr>
            </w:pPr>
            <w:r>
              <w:rPr>
                <w:color w:val="231F20"/>
                <w:w w:val="110"/>
                <w:sz w:val="18"/>
              </w:rPr>
              <w:t xml:space="preserve">? </w:t>
            </w:r>
            <w:r>
              <w:rPr>
                <w:rFonts w:ascii="Carlito"/>
                <w:color w:val="231F20"/>
                <w:w w:val="110"/>
                <w:sz w:val="18"/>
              </w:rPr>
              <w:t>2M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09A77C66" w14:textId="77777777" w:rsidR="009948F1" w:rsidRDefault="00BC0563">
            <w:pPr>
              <w:pStyle w:val="TableParagraph"/>
              <w:spacing w:before="3" w:line="202" w:lineRule="exact"/>
              <w:ind w:left="164"/>
              <w:rPr>
                <w:rFonts w:ascii="Carlito"/>
                <w:sz w:val="18"/>
              </w:rPr>
            </w:pPr>
            <w:r>
              <w:rPr>
                <w:color w:val="231F20"/>
                <w:w w:val="110"/>
                <w:sz w:val="18"/>
              </w:rPr>
              <w:t xml:space="preserve">? </w:t>
            </w:r>
            <w:r>
              <w:rPr>
                <w:rFonts w:ascii="Carlito"/>
                <w:color w:val="231F20"/>
                <w:w w:val="110"/>
                <w:sz w:val="18"/>
              </w:rPr>
              <w:t>46M</w:t>
            </w:r>
          </w:p>
        </w:tc>
        <w:tc>
          <w:tcPr>
            <w:tcW w:w="1002" w:type="dxa"/>
            <w:tcBorders>
              <w:top w:val="single" w:sz="4" w:space="0" w:color="231F20"/>
              <w:left w:val="single" w:sz="6" w:space="0" w:color="231F20"/>
              <w:bottom w:val="single" w:sz="4" w:space="0" w:color="231F20"/>
              <w:right w:val="single" w:sz="6" w:space="0" w:color="231F20"/>
            </w:tcBorders>
            <w:shd w:val="clear" w:color="auto" w:fill="F1F2F2"/>
          </w:tcPr>
          <w:p w14:paraId="795C1CAF" w14:textId="77777777" w:rsidR="009948F1" w:rsidRDefault="00BC0563">
            <w:pPr>
              <w:pStyle w:val="TableParagraph"/>
              <w:spacing w:before="3" w:line="202" w:lineRule="exact"/>
              <w:ind w:left="161"/>
              <w:rPr>
                <w:rFonts w:ascii="Carlito"/>
                <w:sz w:val="18"/>
              </w:rPr>
            </w:pPr>
            <w:r>
              <w:rPr>
                <w:color w:val="231F20"/>
                <w:w w:val="110"/>
                <w:sz w:val="18"/>
              </w:rPr>
              <w:t xml:space="preserve">? </w:t>
            </w:r>
            <w:r>
              <w:rPr>
                <w:rFonts w:ascii="Carlito"/>
                <w:color w:val="231F20"/>
                <w:w w:val="110"/>
                <w:sz w:val="18"/>
              </w:rPr>
              <w:t>33M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5DC5584A" w14:textId="77777777" w:rsidR="009948F1" w:rsidRDefault="00BC0563">
            <w:pPr>
              <w:pStyle w:val="TableParagraph"/>
              <w:spacing w:before="3" w:line="202" w:lineRule="exact"/>
              <w:ind w:left="164"/>
              <w:rPr>
                <w:rFonts w:ascii="Carlito"/>
                <w:sz w:val="18"/>
              </w:rPr>
            </w:pPr>
            <w:r>
              <w:rPr>
                <w:color w:val="231F20"/>
                <w:w w:val="110"/>
                <w:sz w:val="18"/>
              </w:rPr>
              <w:t xml:space="preserve">? </w:t>
            </w:r>
            <w:r>
              <w:rPr>
                <w:rFonts w:ascii="Carlito"/>
                <w:color w:val="231F20"/>
                <w:w w:val="110"/>
                <w:sz w:val="18"/>
              </w:rPr>
              <w:t>33M</w:t>
            </w:r>
          </w:p>
        </w:tc>
        <w:tc>
          <w:tcPr>
            <w:tcW w:w="1005" w:type="dxa"/>
            <w:tcBorders>
              <w:top w:val="single" w:sz="4" w:space="0" w:color="231F20"/>
              <w:left w:val="single" w:sz="6" w:space="0" w:color="231F20"/>
              <w:bottom w:val="single" w:sz="4" w:space="0" w:color="231F20"/>
              <w:right w:val="single" w:sz="6" w:space="0" w:color="231F20"/>
            </w:tcBorders>
            <w:shd w:val="clear" w:color="auto" w:fill="F1F2F2"/>
          </w:tcPr>
          <w:p w14:paraId="76D8EC51" w14:textId="77777777" w:rsidR="009948F1" w:rsidRDefault="00BC0563">
            <w:pPr>
              <w:pStyle w:val="TableParagraph"/>
              <w:spacing w:before="3" w:line="202" w:lineRule="exact"/>
              <w:ind w:right="244"/>
              <w:jc w:val="right"/>
              <w:rPr>
                <w:rFonts w:ascii="Carlito"/>
                <w:sz w:val="18"/>
              </w:rPr>
            </w:pPr>
            <w:r>
              <w:rPr>
                <w:color w:val="231F20"/>
                <w:w w:val="110"/>
                <w:sz w:val="18"/>
              </w:rPr>
              <w:t xml:space="preserve">? </w:t>
            </w:r>
            <w:r>
              <w:rPr>
                <w:rFonts w:ascii="Carlito"/>
                <w:color w:val="231F20"/>
                <w:w w:val="110"/>
                <w:sz w:val="18"/>
              </w:rPr>
              <w:t>30M</w:t>
            </w:r>
          </w:p>
        </w:tc>
        <w:tc>
          <w:tcPr>
            <w:tcW w:w="1112" w:type="dxa"/>
            <w:tcBorders>
              <w:top w:val="single" w:sz="4" w:space="0" w:color="231F20"/>
              <w:left w:val="single" w:sz="6" w:space="0" w:color="231F20"/>
              <w:bottom w:val="single" w:sz="4" w:space="0" w:color="231F20"/>
              <w:right w:val="single" w:sz="12" w:space="0" w:color="231F20"/>
            </w:tcBorders>
            <w:shd w:val="clear" w:color="auto" w:fill="F1F2F2"/>
          </w:tcPr>
          <w:p w14:paraId="7AEECCAB" w14:textId="77777777" w:rsidR="009948F1" w:rsidRDefault="00BC0563">
            <w:pPr>
              <w:pStyle w:val="TableParagraph"/>
              <w:spacing w:before="3" w:line="202" w:lineRule="exact"/>
              <w:ind w:left="163"/>
              <w:rPr>
                <w:rFonts w:ascii="Carlito"/>
                <w:sz w:val="18"/>
              </w:rPr>
            </w:pPr>
            <w:r>
              <w:rPr>
                <w:color w:val="231F20"/>
                <w:w w:val="110"/>
                <w:sz w:val="18"/>
              </w:rPr>
              <w:t xml:space="preserve">? </w:t>
            </w:r>
            <w:r>
              <w:rPr>
                <w:rFonts w:ascii="Carlito"/>
                <w:color w:val="231F20"/>
                <w:w w:val="110"/>
                <w:sz w:val="18"/>
              </w:rPr>
              <w:t>144M</w:t>
            </w:r>
          </w:p>
        </w:tc>
        <w:tc>
          <w:tcPr>
            <w:tcW w:w="800" w:type="dxa"/>
            <w:tcBorders>
              <w:top w:val="single" w:sz="4" w:space="0" w:color="231F20"/>
              <w:left w:val="single" w:sz="12" w:space="0" w:color="231F20"/>
              <w:bottom w:val="single" w:sz="4" w:space="0" w:color="231F20"/>
              <w:right w:val="single" w:sz="12" w:space="0" w:color="231F20"/>
            </w:tcBorders>
            <w:shd w:val="clear" w:color="auto" w:fill="F1F2F2"/>
          </w:tcPr>
          <w:p w14:paraId="362EB608" w14:textId="77777777" w:rsidR="009948F1" w:rsidRDefault="00BC0563">
            <w:pPr>
              <w:pStyle w:val="TableParagraph"/>
              <w:spacing w:before="3" w:line="202" w:lineRule="exact"/>
              <w:ind w:left="106"/>
              <w:rPr>
                <w:rFonts w:ascii="Carlito"/>
                <w:b/>
                <w:sz w:val="18"/>
              </w:rPr>
            </w:pPr>
            <w:r>
              <w:rPr>
                <w:rFonts w:ascii="Carlito"/>
                <w:b/>
                <w:color w:val="231F20"/>
                <w:w w:val="115"/>
                <w:sz w:val="18"/>
              </w:rPr>
              <w:t>0.1%</w:t>
            </w:r>
          </w:p>
        </w:tc>
      </w:tr>
      <w:tr w:rsidR="009948F1" w14:paraId="5B0CF19C" w14:textId="77777777">
        <w:trPr>
          <w:trHeight w:val="527"/>
        </w:trPr>
        <w:tc>
          <w:tcPr>
            <w:tcW w:w="2197" w:type="dxa"/>
            <w:tcBorders>
              <w:top w:val="single" w:sz="4" w:space="0" w:color="231F20"/>
              <w:left w:val="single" w:sz="12" w:space="0" w:color="231F20"/>
              <w:bottom w:val="single" w:sz="4" w:space="0" w:color="231F20"/>
              <w:right w:val="single" w:sz="6" w:space="0" w:color="231F20"/>
            </w:tcBorders>
          </w:tcPr>
          <w:p w14:paraId="5364D219" w14:textId="77777777" w:rsidR="009948F1" w:rsidRDefault="00BC0563">
            <w:pPr>
              <w:pStyle w:val="TableParagraph"/>
              <w:spacing w:line="163" w:lineRule="exact"/>
              <w:ind w:left="223"/>
              <w:rPr>
                <w:b/>
                <w:sz w:val="16"/>
              </w:rPr>
            </w:pPr>
            <w:r>
              <w:rPr>
                <w:b/>
                <w:color w:val="231F20"/>
                <w:w w:val="120"/>
                <w:sz w:val="16"/>
              </w:rPr>
              <w:t>Health</w:t>
            </w:r>
          </w:p>
          <w:p w14:paraId="5DDCDA14" w14:textId="77777777" w:rsidR="009948F1" w:rsidRDefault="00BC0563">
            <w:pPr>
              <w:pStyle w:val="TableParagraph"/>
              <w:spacing w:before="7" w:line="174" w:lineRule="exact"/>
              <w:ind w:left="109" w:right="239"/>
              <w:rPr>
                <w:b/>
                <w:sz w:val="16"/>
              </w:rPr>
            </w:pPr>
            <w:r>
              <w:rPr>
                <w:b/>
                <w:color w:val="231F20"/>
                <w:w w:val="120"/>
                <w:sz w:val="16"/>
              </w:rPr>
              <w:t>Information Systems</w:t>
            </w:r>
          </w:p>
        </w:tc>
        <w:tc>
          <w:tcPr>
            <w:tcW w:w="1005" w:type="dxa"/>
            <w:tcBorders>
              <w:top w:val="single" w:sz="4" w:space="0" w:color="231F20"/>
              <w:left w:val="single" w:sz="6" w:space="0" w:color="231F20"/>
              <w:bottom w:val="single" w:sz="4" w:space="0" w:color="231F20"/>
              <w:right w:val="single" w:sz="6" w:space="0" w:color="231F20"/>
            </w:tcBorders>
          </w:tcPr>
          <w:p w14:paraId="7CA718AA" w14:textId="77777777" w:rsidR="009948F1" w:rsidRDefault="00BC0563">
            <w:pPr>
              <w:pStyle w:val="TableParagraph"/>
              <w:spacing w:before="155"/>
              <w:ind w:left="164"/>
              <w:rPr>
                <w:rFonts w:ascii="Carlito"/>
                <w:sz w:val="18"/>
              </w:rPr>
            </w:pPr>
            <w:r>
              <w:rPr>
                <w:color w:val="231F20"/>
                <w:w w:val="110"/>
                <w:sz w:val="18"/>
              </w:rPr>
              <w:t xml:space="preserve">? </w:t>
            </w:r>
            <w:r>
              <w:rPr>
                <w:rFonts w:ascii="Carlito"/>
                <w:color w:val="231F20"/>
                <w:w w:val="110"/>
                <w:sz w:val="18"/>
              </w:rPr>
              <w:t>48M</w:t>
            </w:r>
          </w:p>
        </w:tc>
        <w:tc>
          <w:tcPr>
            <w:tcW w:w="1005" w:type="dxa"/>
            <w:tcBorders>
              <w:top w:val="single" w:sz="4" w:space="0" w:color="231F20"/>
              <w:left w:val="single" w:sz="6" w:space="0" w:color="231F20"/>
              <w:bottom w:val="single" w:sz="4" w:space="0" w:color="231F20"/>
              <w:right w:val="single" w:sz="6" w:space="0" w:color="231F20"/>
            </w:tcBorders>
          </w:tcPr>
          <w:p w14:paraId="316A2513" w14:textId="77777777" w:rsidR="009948F1" w:rsidRDefault="00BC0563">
            <w:pPr>
              <w:pStyle w:val="TableParagraph"/>
              <w:spacing w:before="155"/>
              <w:ind w:left="164"/>
              <w:rPr>
                <w:rFonts w:ascii="Carlito"/>
                <w:sz w:val="18"/>
              </w:rPr>
            </w:pPr>
            <w:r>
              <w:rPr>
                <w:color w:val="231F20"/>
                <w:w w:val="110"/>
                <w:sz w:val="18"/>
              </w:rPr>
              <w:t xml:space="preserve">? </w:t>
            </w:r>
            <w:r>
              <w:rPr>
                <w:rFonts w:ascii="Carlito"/>
                <w:color w:val="231F20"/>
                <w:w w:val="110"/>
                <w:sz w:val="18"/>
              </w:rPr>
              <w:t>48M</w:t>
            </w:r>
          </w:p>
        </w:tc>
        <w:tc>
          <w:tcPr>
            <w:tcW w:w="1002" w:type="dxa"/>
            <w:tcBorders>
              <w:top w:val="single" w:sz="4" w:space="0" w:color="231F20"/>
              <w:left w:val="single" w:sz="6" w:space="0" w:color="231F20"/>
              <w:bottom w:val="single" w:sz="4" w:space="0" w:color="231F20"/>
              <w:right w:val="single" w:sz="6" w:space="0" w:color="231F20"/>
            </w:tcBorders>
          </w:tcPr>
          <w:p w14:paraId="501D125B" w14:textId="77777777" w:rsidR="009948F1" w:rsidRDefault="00BC0563">
            <w:pPr>
              <w:pStyle w:val="TableParagraph"/>
              <w:spacing w:before="155"/>
              <w:ind w:left="161"/>
              <w:rPr>
                <w:rFonts w:ascii="Carlito"/>
                <w:sz w:val="18"/>
              </w:rPr>
            </w:pPr>
            <w:r>
              <w:rPr>
                <w:color w:val="231F20"/>
                <w:w w:val="110"/>
                <w:sz w:val="18"/>
              </w:rPr>
              <w:t xml:space="preserve">? </w:t>
            </w:r>
            <w:r>
              <w:rPr>
                <w:rFonts w:ascii="Carlito"/>
                <w:color w:val="231F20"/>
                <w:w w:val="110"/>
                <w:sz w:val="18"/>
              </w:rPr>
              <w:t>40M</w:t>
            </w:r>
          </w:p>
        </w:tc>
        <w:tc>
          <w:tcPr>
            <w:tcW w:w="1005" w:type="dxa"/>
            <w:tcBorders>
              <w:top w:val="single" w:sz="4" w:space="0" w:color="231F20"/>
              <w:left w:val="single" w:sz="6" w:space="0" w:color="231F20"/>
              <w:bottom w:val="single" w:sz="4" w:space="0" w:color="231F20"/>
              <w:right w:val="single" w:sz="6" w:space="0" w:color="231F20"/>
            </w:tcBorders>
          </w:tcPr>
          <w:p w14:paraId="06561FB4" w14:textId="77777777" w:rsidR="009948F1" w:rsidRDefault="00BC0563">
            <w:pPr>
              <w:pStyle w:val="TableParagraph"/>
              <w:spacing w:before="155"/>
              <w:ind w:left="164"/>
              <w:rPr>
                <w:rFonts w:ascii="Carlito"/>
                <w:sz w:val="18"/>
              </w:rPr>
            </w:pPr>
            <w:r>
              <w:rPr>
                <w:color w:val="231F20"/>
                <w:w w:val="110"/>
                <w:sz w:val="18"/>
              </w:rPr>
              <w:t xml:space="preserve">? </w:t>
            </w:r>
            <w:r>
              <w:rPr>
                <w:rFonts w:ascii="Carlito"/>
                <w:color w:val="231F20"/>
                <w:w w:val="110"/>
                <w:sz w:val="18"/>
              </w:rPr>
              <w:t>40M</w:t>
            </w:r>
          </w:p>
        </w:tc>
        <w:tc>
          <w:tcPr>
            <w:tcW w:w="1005" w:type="dxa"/>
            <w:tcBorders>
              <w:top w:val="single" w:sz="4" w:space="0" w:color="231F20"/>
              <w:left w:val="single" w:sz="6" w:space="0" w:color="231F20"/>
              <w:bottom w:val="single" w:sz="4" w:space="0" w:color="231F20"/>
              <w:right w:val="single" w:sz="6" w:space="0" w:color="231F20"/>
            </w:tcBorders>
          </w:tcPr>
          <w:p w14:paraId="310AEC6C" w14:textId="77777777" w:rsidR="009948F1" w:rsidRDefault="00BC0563">
            <w:pPr>
              <w:pStyle w:val="TableParagraph"/>
              <w:spacing w:before="155"/>
              <w:ind w:right="244"/>
              <w:jc w:val="right"/>
              <w:rPr>
                <w:rFonts w:ascii="Carlito"/>
                <w:sz w:val="18"/>
              </w:rPr>
            </w:pPr>
            <w:r>
              <w:rPr>
                <w:color w:val="231F20"/>
                <w:w w:val="110"/>
                <w:sz w:val="18"/>
              </w:rPr>
              <w:t xml:space="preserve">? </w:t>
            </w:r>
            <w:r>
              <w:rPr>
                <w:rFonts w:ascii="Carlito"/>
                <w:color w:val="231F20"/>
                <w:w w:val="110"/>
                <w:sz w:val="18"/>
              </w:rPr>
              <w:t>40M</w:t>
            </w:r>
          </w:p>
        </w:tc>
        <w:tc>
          <w:tcPr>
            <w:tcW w:w="1112" w:type="dxa"/>
            <w:tcBorders>
              <w:top w:val="single" w:sz="4" w:space="0" w:color="231F20"/>
              <w:left w:val="single" w:sz="6" w:space="0" w:color="231F20"/>
              <w:bottom w:val="single" w:sz="4" w:space="0" w:color="231F20"/>
              <w:right w:val="single" w:sz="12" w:space="0" w:color="231F20"/>
            </w:tcBorders>
          </w:tcPr>
          <w:p w14:paraId="0B1CAF46" w14:textId="77777777" w:rsidR="009948F1" w:rsidRDefault="00BC0563">
            <w:pPr>
              <w:pStyle w:val="TableParagraph"/>
              <w:spacing w:before="155"/>
              <w:ind w:left="163"/>
              <w:rPr>
                <w:rFonts w:ascii="Carlito"/>
                <w:sz w:val="18"/>
              </w:rPr>
            </w:pPr>
            <w:r>
              <w:rPr>
                <w:color w:val="231F20"/>
                <w:w w:val="110"/>
                <w:sz w:val="18"/>
              </w:rPr>
              <w:t xml:space="preserve">? </w:t>
            </w:r>
            <w:r>
              <w:rPr>
                <w:rFonts w:ascii="Carlito"/>
                <w:color w:val="231F20"/>
                <w:w w:val="110"/>
                <w:sz w:val="18"/>
              </w:rPr>
              <w:t>215M</w:t>
            </w:r>
          </w:p>
        </w:tc>
        <w:tc>
          <w:tcPr>
            <w:tcW w:w="800" w:type="dxa"/>
            <w:tcBorders>
              <w:top w:val="single" w:sz="4" w:space="0" w:color="231F20"/>
              <w:left w:val="single" w:sz="12" w:space="0" w:color="231F20"/>
              <w:bottom w:val="single" w:sz="4" w:space="0" w:color="231F20"/>
              <w:right w:val="single" w:sz="12" w:space="0" w:color="231F20"/>
            </w:tcBorders>
          </w:tcPr>
          <w:p w14:paraId="667CC135" w14:textId="77777777" w:rsidR="009948F1" w:rsidRDefault="00BC0563">
            <w:pPr>
              <w:pStyle w:val="TableParagraph"/>
              <w:spacing w:before="155"/>
              <w:ind w:left="106"/>
              <w:rPr>
                <w:rFonts w:ascii="Carlito"/>
                <w:b/>
                <w:sz w:val="18"/>
              </w:rPr>
            </w:pPr>
            <w:r>
              <w:rPr>
                <w:rFonts w:ascii="Carlito"/>
                <w:b/>
                <w:color w:val="231F20"/>
                <w:w w:val="115"/>
                <w:sz w:val="18"/>
              </w:rPr>
              <w:t>0.1%</w:t>
            </w:r>
          </w:p>
        </w:tc>
      </w:tr>
      <w:tr w:rsidR="009948F1" w14:paraId="7A4C58EB" w14:textId="77777777">
        <w:trPr>
          <w:trHeight w:val="224"/>
        </w:trPr>
        <w:tc>
          <w:tcPr>
            <w:tcW w:w="2197" w:type="dxa"/>
            <w:tcBorders>
              <w:top w:val="single" w:sz="4" w:space="0" w:color="231F20"/>
              <w:left w:val="single" w:sz="12" w:space="0" w:color="231F20"/>
              <w:right w:val="single" w:sz="6" w:space="0" w:color="231F20"/>
            </w:tcBorders>
            <w:shd w:val="clear" w:color="auto" w:fill="F1F2F2"/>
          </w:tcPr>
          <w:p w14:paraId="1A9DC1F8" w14:textId="77777777" w:rsidR="009948F1" w:rsidRDefault="00BC0563">
            <w:pPr>
              <w:pStyle w:val="TableParagraph"/>
              <w:spacing w:before="31" w:line="173" w:lineRule="exact"/>
              <w:ind w:left="223"/>
              <w:rPr>
                <w:b/>
                <w:sz w:val="16"/>
              </w:rPr>
            </w:pPr>
            <w:r>
              <w:rPr>
                <w:b/>
                <w:color w:val="231F20"/>
                <w:w w:val="120"/>
                <w:sz w:val="16"/>
              </w:rPr>
              <w:t>Governance</w:t>
            </w:r>
          </w:p>
        </w:tc>
        <w:tc>
          <w:tcPr>
            <w:tcW w:w="1005" w:type="dxa"/>
            <w:tcBorders>
              <w:top w:val="single" w:sz="4" w:space="0" w:color="231F20"/>
              <w:left w:val="single" w:sz="6" w:space="0" w:color="231F20"/>
              <w:right w:val="single" w:sz="6" w:space="0" w:color="231F20"/>
            </w:tcBorders>
            <w:shd w:val="clear" w:color="auto" w:fill="F1F2F2"/>
          </w:tcPr>
          <w:p w14:paraId="312707D5" w14:textId="77777777" w:rsidR="009948F1" w:rsidRDefault="00BC0563">
            <w:pPr>
              <w:pStyle w:val="TableParagraph"/>
              <w:spacing w:before="3" w:line="201" w:lineRule="exact"/>
              <w:ind w:left="164"/>
              <w:rPr>
                <w:rFonts w:ascii="Carlito"/>
                <w:sz w:val="18"/>
              </w:rPr>
            </w:pPr>
            <w:r>
              <w:rPr>
                <w:color w:val="231F20"/>
                <w:w w:val="110"/>
                <w:sz w:val="18"/>
              </w:rPr>
              <w:t xml:space="preserve">? </w:t>
            </w:r>
            <w:r>
              <w:rPr>
                <w:rFonts w:ascii="Carlito"/>
                <w:color w:val="231F20"/>
                <w:w w:val="110"/>
                <w:sz w:val="18"/>
              </w:rPr>
              <w:t>95M</w:t>
            </w:r>
          </w:p>
        </w:tc>
        <w:tc>
          <w:tcPr>
            <w:tcW w:w="1005" w:type="dxa"/>
            <w:tcBorders>
              <w:top w:val="single" w:sz="4" w:space="0" w:color="231F20"/>
              <w:left w:val="single" w:sz="6" w:space="0" w:color="231F20"/>
              <w:right w:val="single" w:sz="6" w:space="0" w:color="231F20"/>
            </w:tcBorders>
            <w:shd w:val="clear" w:color="auto" w:fill="F1F2F2"/>
          </w:tcPr>
          <w:p w14:paraId="41644DD2" w14:textId="77777777" w:rsidR="009948F1" w:rsidRDefault="00BC0563">
            <w:pPr>
              <w:pStyle w:val="TableParagraph"/>
              <w:spacing w:before="3" w:line="201" w:lineRule="exact"/>
              <w:ind w:left="164"/>
              <w:rPr>
                <w:rFonts w:ascii="Carlito"/>
                <w:sz w:val="18"/>
              </w:rPr>
            </w:pPr>
            <w:r>
              <w:rPr>
                <w:color w:val="231F20"/>
                <w:w w:val="110"/>
                <w:sz w:val="18"/>
              </w:rPr>
              <w:t xml:space="preserve">? </w:t>
            </w:r>
            <w:r>
              <w:rPr>
                <w:rFonts w:ascii="Carlito"/>
                <w:color w:val="231F20"/>
                <w:w w:val="110"/>
                <w:sz w:val="18"/>
              </w:rPr>
              <w:t>148M</w:t>
            </w:r>
          </w:p>
        </w:tc>
        <w:tc>
          <w:tcPr>
            <w:tcW w:w="1002" w:type="dxa"/>
            <w:tcBorders>
              <w:top w:val="single" w:sz="4" w:space="0" w:color="231F20"/>
              <w:left w:val="single" w:sz="6" w:space="0" w:color="231F20"/>
              <w:right w:val="single" w:sz="6" w:space="0" w:color="231F20"/>
            </w:tcBorders>
            <w:shd w:val="clear" w:color="auto" w:fill="F1F2F2"/>
          </w:tcPr>
          <w:p w14:paraId="400A4A28" w14:textId="77777777" w:rsidR="009948F1" w:rsidRDefault="00BC0563">
            <w:pPr>
              <w:pStyle w:val="TableParagraph"/>
              <w:spacing w:before="3" w:line="201" w:lineRule="exact"/>
              <w:ind w:left="161"/>
              <w:rPr>
                <w:rFonts w:ascii="Carlito"/>
                <w:sz w:val="18"/>
              </w:rPr>
            </w:pPr>
            <w:r>
              <w:rPr>
                <w:color w:val="231F20"/>
                <w:w w:val="110"/>
                <w:sz w:val="18"/>
              </w:rPr>
              <w:t xml:space="preserve">? </w:t>
            </w:r>
            <w:r>
              <w:rPr>
                <w:rFonts w:ascii="Carlito"/>
                <w:color w:val="231F20"/>
                <w:w w:val="110"/>
                <w:sz w:val="18"/>
              </w:rPr>
              <w:t>99M</w:t>
            </w:r>
          </w:p>
        </w:tc>
        <w:tc>
          <w:tcPr>
            <w:tcW w:w="1005" w:type="dxa"/>
            <w:tcBorders>
              <w:top w:val="single" w:sz="4" w:space="0" w:color="231F20"/>
              <w:left w:val="single" w:sz="6" w:space="0" w:color="231F20"/>
              <w:right w:val="single" w:sz="6" w:space="0" w:color="231F20"/>
            </w:tcBorders>
            <w:shd w:val="clear" w:color="auto" w:fill="F1F2F2"/>
          </w:tcPr>
          <w:p w14:paraId="65CBA457" w14:textId="77777777" w:rsidR="009948F1" w:rsidRDefault="00BC0563">
            <w:pPr>
              <w:pStyle w:val="TableParagraph"/>
              <w:spacing w:before="3" w:line="201" w:lineRule="exact"/>
              <w:ind w:left="164"/>
              <w:rPr>
                <w:rFonts w:ascii="Carlito"/>
                <w:sz w:val="18"/>
              </w:rPr>
            </w:pPr>
            <w:r>
              <w:rPr>
                <w:color w:val="231F20"/>
                <w:w w:val="110"/>
                <w:sz w:val="18"/>
              </w:rPr>
              <w:t xml:space="preserve">? </w:t>
            </w:r>
            <w:r>
              <w:rPr>
                <w:rFonts w:ascii="Carlito"/>
                <w:color w:val="231F20"/>
                <w:w w:val="110"/>
                <w:sz w:val="18"/>
              </w:rPr>
              <w:t>104M</w:t>
            </w:r>
          </w:p>
        </w:tc>
        <w:tc>
          <w:tcPr>
            <w:tcW w:w="1005" w:type="dxa"/>
            <w:tcBorders>
              <w:top w:val="single" w:sz="4" w:space="0" w:color="231F20"/>
              <w:left w:val="single" w:sz="6" w:space="0" w:color="231F20"/>
              <w:right w:val="single" w:sz="6" w:space="0" w:color="231F20"/>
            </w:tcBorders>
            <w:shd w:val="clear" w:color="auto" w:fill="F1F2F2"/>
          </w:tcPr>
          <w:p w14:paraId="506C8634" w14:textId="77777777" w:rsidR="009948F1" w:rsidRDefault="00BC0563">
            <w:pPr>
              <w:pStyle w:val="TableParagraph"/>
              <w:spacing w:before="3" w:line="201" w:lineRule="exact"/>
              <w:ind w:right="244"/>
              <w:jc w:val="right"/>
              <w:rPr>
                <w:rFonts w:ascii="Carlito"/>
                <w:sz w:val="18"/>
              </w:rPr>
            </w:pPr>
            <w:r>
              <w:rPr>
                <w:color w:val="231F20"/>
                <w:w w:val="110"/>
                <w:sz w:val="18"/>
              </w:rPr>
              <w:t xml:space="preserve">? </w:t>
            </w:r>
            <w:r>
              <w:rPr>
                <w:rFonts w:ascii="Carlito"/>
                <w:color w:val="231F20"/>
                <w:w w:val="110"/>
                <w:sz w:val="18"/>
              </w:rPr>
              <w:t>97M</w:t>
            </w:r>
          </w:p>
        </w:tc>
        <w:tc>
          <w:tcPr>
            <w:tcW w:w="1112" w:type="dxa"/>
            <w:tcBorders>
              <w:top w:val="single" w:sz="4" w:space="0" w:color="231F20"/>
              <w:left w:val="single" w:sz="6" w:space="0" w:color="231F20"/>
              <w:right w:val="single" w:sz="12" w:space="0" w:color="231F20"/>
            </w:tcBorders>
            <w:shd w:val="clear" w:color="auto" w:fill="F1F2F2"/>
          </w:tcPr>
          <w:p w14:paraId="6E65689B" w14:textId="77777777" w:rsidR="009948F1" w:rsidRDefault="00BC0563">
            <w:pPr>
              <w:pStyle w:val="TableParagraph"/>
              <w:spacing w:before="3" w:line="201" w:lineRule="exact"/>
              <w:ind w:left="163"/>
              <w:rPr>
                <w:rFonts w:ascii="Carlito"/>
                <w:sz w:val="18"/>
              </w:rPr>
            </w:pPr>
            <w:r>
              <w:rPr>
                <w:color w:val="231F20"/>
                <w:w w:val="110"/>
                <w:sz w:val="18"/>
              </w:rPr>
              <w:t xml:space="preserve">? </w:t>
            </w:r>
            <w:r>
              <w:rPr>
                <w:rFonts w:ascii="Carlito"/>
                <w:color w:val="231F20"/>
                <w:w w:val="110"/>
                <w:sz w:val="18"/>
              </w:rPr>
              <w:t>543M</w:t>
            </w:r>
          </w:p>
        </w:tc>
        <w:tc>
          <w:tcPr>
            <w:tcW w:w="800" w:type="dxa"/>
            <w:tcBorders>
              <w:top w:val="single" w:sz="4" w:space="0" w:color="231F20"/>
              <w:left w:val="single" w:sz="12" w:space="0" w:color="231F20"/>
              <w:right w:val="single" w:sz="12" w:space="0" w:color="231F20"/>
            </w:tcBorders>
            <w:shd w:val="clear" w:color="auto" w:fill="F1F2F2"/>
          </w:tcPr>
          <w:p w14:paraId="436AFBD8" w14:textId="77777777" w:rsidR="009948F1" w:rsidRDefault="00BC0563">
            <w:pPr>
              <w:pStyle w:val="TableParagraph"/>
              <w:spacing w:before="3" w:line="201" w:lineRule="exact"/>
              <w:ind w:left="106"/>
              <w:rPr>
                <w:rFonts w:ascii="Carlito"/>
                <w:b/>
                <w:sz w:val="18"/>
              </w:rPr>
            </w:pPr>
            <w:r>
              <w:rPr>
                <w:rFonts w:ascii="Carlito"/>
                <w:b/>
                <w:color w:val="231F20"/>
                <w:w w:val="115"/>
                <w:sz w:val="18"/>
              </w:rPr>
              <w:t>0.2%</w:t>
            </w:r>
          </w:p>
        </w:tc>
      </w:tr>
      <w:tr w:rsidR="009948F1" w14:paraId="363904DA" w14:textId="77777777">
        <w:trPr>
          <w:trHeight w:val="449"/>
        </w:trPr>
        <w:tc>
          <w:tcPr>
            <w:tcW w:w="2197" w:type="dxa"/>
            <w:tcBorders>
              <w:left w:val="single" w:sz="6" w:space="0" w:color="231F20"/>
              <w:right w:val="single" w:sz="6" w:space="0" w:color="231F20"/>
            </w:tcBorders>
            <w:shd w:val="clear" w:color="auto" w:fill="DCDDDE"/>
          </w:tcPr>
          <w:p w14:paraId="5DFC2C33" w14:textId="77777777" w:rsidR="009948F1" w:rsidRDefault="00BC0563">
            <w:pPr>
              <w:pStyle w:val="TableParagraph"/>
              <w:spacing w:before="36" w:line="230" w:lineRule="auto"/>
              <w:ind w:left="116" w:right="453"/>
              <w:rPr>
                <w:b/>
                <w:sz w:val="16"/>
              </w:rPr>
            </w:pPr>
            <w:r>
              <w:rPr>
                <w:b/>
                <w:color w:val="231F20"/>
                <w:w w:val="120"/>
                <w:sz w:val="16"/>
              </w:rPr>
              <w:t>SHDP II Total Cost</w:t>
            </w:r>
          </w:p>
        </w:tc>
        <w:tc>
          <w:tcPr>
            <w:tcW w:w="1005" w:type="dxa"/>
            <w:tcBorders>
              <w:left w:val="single" w:sz="6" w:space="0" w:color="231F20"/>
              <w:right w:val="single" w:sz="6" w:space="0" w:color="231F20"/>
            </w:tcBorders>
            <w:shd w:val="clear" w:color="auto" w:fill="DCDDDE"/>
          </w:tcPr>
          <w:p w14:paraId="2E38920C" w14:textId="77777777" w:rsidR="009948F1" w:rsidRDefault="00BC0563">
            <w:pPr>
              <w:pStyle w:val="TableParagraph"/>
              <w:spacing w:line="229" w:lineRule="exact"/>
              <w:ind w:left="164"/>
              <w:rPr>
                <w:rFonts w:ascii="BABEL Unicode"/>
                <w:b/>
                <w:sz w:val="18"/>
              </w:rPr>
            </w:pPr>
            <w:r>
              <w:rPr>
                <w:rFonts w:ascii="BABEL Unicode"/>
                <w:b/>
                <w:color w:val="231F20"/>
                <w:w w:val="116"/>
                <w:sz w:val="18"/>
              </w:rPr>
              <w:t>?</w:t>
            </w:r>
          </w:p>
          <w:p w14:paraId="4B4790F4" w14:textId="77777777" w:rsidR="009948F1" w:rsidRDefault="00BC0563">
            <w:pPr>
              <w:pStyle w:val="TableParagraph"/>
              <w:spacing w:line="201" w:lineRule="exact"/>
              <w:ind w:left="116"/>
              <w:rPr>
                <w:rFonts w:ascii="Carlito"/>
                <w:b/>
                <w:sz w:val="18"/>
              </w:rPr>
            </w:pPr>
            <w:r>
              <w:rPr>
                <w:rFonts w:ascii="Carlito"/>
                <w:b/>
                <w:color w:val="231F20"/>
                <w:w w:val="115"/>
                <w:sz w:val="18"/>
              </w:rPr>
              <w:t>42,340M</w:t>
            </w:r>
          </w:p>
        </w:tc>
        <w:tc>
          <w:tcPr>
            <w:tcW w:w="1005" w:type="dxa"/>
            <w:tcBorders>
              <w:left w:val="single" w:sz="6" w:space="0" w:color="231F20"/>
              <w:right w:val="single" w:sz="6" w:space="0" w:color="231F20"/>
            </w:tcBorders>
            <w:shd w:val="clear" w:color="auto" w:fill="DCDDDE"/>
          </w:tcPr>
          <w:p w14:paraId="1390BC22" w14:textId="77777777" w:rsidR="009948F1" w:rsidRDefault="00BC0563">
            <w:pPr>
              <w:pStyle w:val="TableParagraph"/>
              <w:spacing w:line="229" w:lineRule="exact"/>
              <w:ind w:left="164"/>
              <w:rPr>
                <w:rFonts w:ascii="BABEL Unicode"/>
                <w:b/>
                <w:sz w:val="18"/>
              </w:rPr>
            </w:pPr>
            <w:r>
              <w:rPr>
                <w:rFonts w:ascii="BABEL Unicode"/>
                <w:b/>
                <w:color w:val="231F20"/>
                <w:w w:val="116"/>
                <w:sz w:val="18"/>
              </w:rPr>
              <w:t>?</w:t>
            </w:r>
          </w:p>
          <w:p w14:paraId="328E0F83" w14:textId="77777777" w:rsidR="009948F1" w:rsidRDefault="00BC0563">
            <w:pPr>
              <w:pStyle w:val="TableParagraph"/>
              <w:spacing w:line="201" w:lineRule="exact"/>
              <w:ind w:left="116"/>
              <w:rPr>
                <w:rFonts w:ascii="Carlito"/>
                <w:b/>
                <w:sz w:val="18"/>
              </w:rPr>
            </w:pPr>
            <w:r>
              <w:rPr>
                <w:rFonts w:ascii="Carlito"/>
                <w:b/>
                <w:color w:val="231F20"/>
                <w:w w:val="115"/>
                <w:sz w:val="18"/>
              </w:rPr>
              <w:t>52,780M</w:t>
            </w:r>
          </w:p>
        </w:tc>
        <w:tc>
          <w:tcPr>
            <w:tcW w:w="1002" w:type="dxa"/>
            <w:tcBorders>
              <w:left w:val="single" w:sz="6" w:space="0" w:color="231F20"/>
              <w:right w:val="single" w:sz="6" w:space="0" w:color="231F20"/>
            </w:tcBorders>
            <w:shd w:val="clear" w:color="auto" w:fill="DCDDDE"/>
          </w:tcPr>
          <w:p w14:paraId="0EF5E00C" w14:textId="77777777" w:rsidR="009948F1" w:rsidRDefault="00BC0563">
            <w:pPr>
              <w:pStyle w:val="TableParagraph"/>
              <w:spacing w:line="229" w:lineRule="exact"/>
              <w:ind w:left="161"/>
              <w:rPr>
                <w:rFonts w:ascii="BABEL Unicode"/>
                <w:b/>
                <w:sz w:val="18"/>
              </w:rPr>
            </w:pPr>
            <w:r>
              <w:rPr>
                <w:rFonts w:ascii="BABEL Unicode"/>
                <w:b/>
                <w:color w:val="231F20"/>
                <w:w w:val="116"/>
                <w:sz w:val="18"/>
              </w:rPr>
              <w:t>?</w:t>
            </w:r>
          </w:p>
          <w:p w14:paraId="09A0DC78" w14:textId="77777777" w:rsidR="009948F1" w:rsidRDefault="00BC0563">
            <w:pPr>
              <w:pStyle w:val="TableParagraph"/>
              <w:spacing w:line="201" w:lineRule="exact"/>
              <w:ind w:left="113"/>
              <w:rPr>
                <w:rFonts w:ascii="Carlito"/>
                <w:b/>
                <w:sz w:val="18"/>
              </w:rPr>
            </w:pPr>
            <w:r>
              <w:rPr>
                <w:rFonts w:ascii="Carlito"/>
                <w:b/>
                <w:color w:val="231F20"/>
                <w:w w:val="115"/>
                <w:sz w:val="18"/>
              </w:rPr>
              <w:t>57,400M</w:t>
            </w:r>
          </w:p>
        </w:tc>
        <w:tc>
          <w:tcPr>
            <w:tcW w:w="1005" w:type="dxa"/>
            <w:tcBorders>
              <w:left w:val="single" w:sz="6" w:space="0" w:color="231F20"/>
              <w:right w:val="single" w:sz="6" w:space="0" w:color="231F20"/>
            </w:tcBorders>
            <w:shd w:val="clear" w:color="auto" w:fill="DCDDDE"/>
          </w:tcPr>
          <w:p w14:paraId="7B368C3B" w14:textId="77777777" w:rsidR="009948F1" w:rsidRDefault="00BC0563">
            <w:pPr>
              <w:pStyle w:val="TableParagraph"/>
              <w:spacing w:line="229" w:lineRule="exact"/>
              <w:ind w:left="164"/>
              <w:rPr>
                <w:rFonts w:ascii="BABEL Unicode"/>
                <w:b/>
                <w:sz w:val="18"/>
              </w:rPr>
            </w:pPr>
            <w:r>
              <w:rPr>
                <w:rFonts w:ascii="BABEL Unicode"/>
                <w:b/>
                <w:color w:val="231F20"/>
                <w:w w:val="116"/>
                <w:sz w:val="18"/>
              </w:rPr>
              <w:t>?</w:t>
            </w:r>
          </w:p>
          <w:p w14:paraId="76AEACD0" w14:textId="77777777" w:rsidR="009948F1" w:rsidRDefault="00BC0563">
            <w:pPr>
              <w:pStyle w:val="TableParagraph"/>
              <w:spacing w:line="201" w:lineRule="exact"/>
              <w:ind w:left="115"/>
              <w:rPr>
                <w:rFonts w:ascii="Carlito"/>
                <w:b/>
                <w:sz w:val="18"/>
              </w:rPr>
            </w:pPr>
            <w:r>
              <w:rPr>
                <w:rFonts w:ascii="Carlito"/>
                <w:b/>
                <w:color w:val="231F20"/>
                <w:w w:val="115"/>
                <w:sz w:val="18"/>
              </w:rPr>
              <w:t>62,870M</w:t>
            </w:r>
          </w:p>
        </w:tc>
        <w:tc>
          <w:tcPr>
            <w:tcW w:w="1005" w:type="dxa"/>
            <w:tcBorders>
              <w:left w:val="single" w:sz="6" w:space="0" w:color="231F20"/>
              <w:right w:val="single" w:sz="6" w:space="0" w:color="231F20"/>
            </w:tcBorders>
            <w:shd w:val="clear" w:color="auto" w:fill="DCDDDE"/>
          </w:tcPr>
          <w:p w14:paraId="2628B1A8" w14:textId="77777777" w:rsidR="009948F1" w:rsidRDefault="00BC0563">
            <w:pPr>
              <w:pStyle w:val="TableParagraph"/>
              <w:spacing w:line="229" w:lineRule="exact"/>
              <w:ind w:left="163"/>
              <w:rPr>
                <w:rFonts w:ascii="BABEL Unicode"/>
                <w:b/>
                <w:sz w:val="18"/>
              </w:rPr>
            </w:pPr>
            <w:r>
              <w:rPr>
                <w:rFonts w:ascii="BABEL Unicode"/>
                <w:b/>
                <w:color w:val="231F20"/>
                <w:w w:val="116"/>
                <w:sz w:val="18"/>
              </w:rPr>
              <w:t>?</w:t>
            </w:r>
          </w:p>
          <w:p w14:paraId="02344AE2" w14:textId="77777777" w:rsidR="009948F1" w:rsidRDefault="00BC0563">
            <w:pPr>
              <w:pStyle w:val="TableParagraph"/>
              <w:spacing w:line="201" w:lineRule="exact"/>
              <w:ind w:left="115"/>
              <w:rPr>
                <w:rFonts w:ascii="Carlito"/>
                <w:b/>
                <w:sz w:val="18"/>
              </w:rPr>
            </w:pPr>
            <w:r>
              <w:rPr>
                <w:rFonts w:ascii="Carlito"/>
                <w:b/>
                <w:color w:val="231F20"/>
                <w:w w:val="115"/>
                <w:sz w:val="18"/>
              </w:rPr>
              <w:t>67,290M</w:t>
            </w:r>
          </w:p>
        </w:tc>
        <w:tc>
          <w:tcPr>
            <w:tcW w:w="1112" w:type="dxa"/>
            <w:tcBorders>
              <w:left w:val="single" w:sz="6" w:space="0" w:color="231F20"/>
              <w:right w:val="single" w:sz="12" w:space="0" w:color="231F20"/>
            </w:tcBorders>
            <w:shd w:val="clear" w:color="auto" w:fill="DCDDDE"/>
          </w:tcPr>
          <w:p w14:paraId="2B297334" w14:textId="77777777" w:rsidR="009948F1" w:rsidRDefault="00BC0563">
            <w:pPr>
              <w:pStyle w:val="TableParagraph"/>
              <w:spacing w:line="229" w:lineRule="exact"/>
              <w:ind w:left="163"/>
              <w:rPr>
                <w:rFonts w:ascii="BABEL Unicode"/>
                <w:b/>
                <w:sz w:val="18"/>
              </w:rPr>
            </w:pPr>
            <w:r>
              <w:rPr>
                <w:rFonts w:ascii="BABEL Unicode"/>
                <w:b/>
                <w:color w:val="231F20"/>
                <w:w w:val="116"/>
                <w:sz w:val="18"/>
              </w:rPr>
              <w:t>?</w:t>
            </w:r>
          </w:p>
          <w:p w14:paraId="70356715" w14:textId="77777777" w:rsidR="009948F1" w:rsidRDefault="00BC0563">
            <w:pPr>
              <w:pStyle w:val="TableParagraph"/>
              <w:spacing w:line="201" w:lineRule="exact"/>
              <w:ind w:left="115"/>
              <w:rPr>
                <w:rFonts w:ascii="Carlito"/>
                <w:b/>
                <w:sz w:val="18"/>
              </w:rPr>
            </w:pPr>
            <w:r>
              <w:rPr>
                <w:rFonts w:ascii="Carlito"/>
                <w:b/>
                <w:color w:val="231F20"/>
                <w:w w:val="115"/>
                <w:sz w:val="18"/>
              </w:rPr>
              <w:t>282,690M</w:t>
            </w:r>
          </w:p>
        </w:tc>
        <w:tc>
          <w:tcPr>
            <w:tcW w:w="800" w:type="dxa"/>
            <w:tcBorders>
              <w:left w:val="single" w:sz="12" w:space="0" w:color="231F20"/>
              <w:bottom w:val="nil"/>
              <w:right w:val="nil"/>
            </w:tcBorders>
          </w:tcPr>
          <w:p w14:paraId="4BC095A0" w14:textId="77777777" w:rsidR="009948F1" w:rsidRDefault="009948F1">
            <w:pPr>
              <w:pStyle w:val="TableParagraph"/>
              <w:rPr>
                <w:rFonts w:ascii="Times New Roman"/>
                <w:sz w:val="20"/>
              </w:rPr>
            </w:pPr>
          </w:p>
        </w:tc>
      </w:tr>
    </w:tbl>
    <w:p w14:paraId="447BDDFC" w14:textId="77777777" w:rsidR="009948F1" w:rsidRDefault="009948F1">
      <w:pPr>
        <w:pStyle w:val="BodyText"/>
        <w:rPr>
          <w:b/>
          <w:i/>
          <w:sz w:val="20"/>
        </w:rPr>
      </w:pPr>
    </w:p>
    <w:p w14:paraId="5EFFEEA0" w14:textId="77777777" w:rsidR="009948F1" w:rsidRDefault="009948F1">
      <w:pPr>
        <w:pStyle w:val="BodyText"/>
        <w:spacing w:before="2"/>
        <w:rPr>
          <w:b/>
          <w:i/>
          <w:sz w:val="27"/>
        </w:rPr>
      </w:pPr>
    </w:p>
    <w:p w14:paraId="1B72676A" w14:textId="77777777" w:rsidR="009948F1" w:rsidRDefault="00BC0563">
      <w:pPr>
        <w:spacing w:before="60" w:line="244" w:lineRule="auto"/>
        <w:ind w:left="921" w:right="1782" w:hanging="769"/>
        <w:rPr>
          <w:rFonts w:ascii="Carlito"/>
          <w:b/>
          <w:i/>
          <w:sz w:val="20"/>
        </w:rPr>
      </w:pPr>
      <w:r>
        <w:rPr>
          <w:rFonts w:ascii="Carlito"/>
          <w:b/>
          <w:i/>
          <w:color w:val="231F20"/>
          <w:sz w:val="20"/>
        </w:rPr>
        <w:t>Figure 3: Distribution of Program Activity Cost for Rivers SSHDP II 2018 -2022 Essential Service Aggressive Scenario</w:t>
      </w:r>
    </w:p>
    <w:p w14:paraId="0EF60795" w14:textId="77777777" w:rsidR="009948F1" w:rsidRDefault="009948F1">
      <w:pPr>
        <w:pStyle w:val="BodyText"/>
        <w:rPr>
          <w:rFonts w:ascii="Carlito"/>
          <w:b/>
          <w:i/>
          <w:sz w:val="21"/>
        </w:rPr>
      </w:pPr>
    </w:p>
    <w:p w14:paraId="0F8D89D7" w14:textId="77777777" w:rsidR="009948F1" w:rsidRDefault="00BC0563">
      <w:pPr>
        <w:pStyle w:val="Heading7"/>
        <w:spacing w:before="70"/>
        <w:ind w:left="2705" w:right="1287" w:hanging="1546"/>
      </w:pPr>
      <w:r>
        <w:rPr>
          <w:color w:val="231F20"/>
          <w:w w:val="105"/>
        </w:rPr>
        <w:t>Distribution</w:t>
      </w:r>
      <w:r>
        <w:rPr>
          <w:color w:val="231F20"/>
          <w:spacing w:val="-14"/>
          <w:w w:val="105"/>
        </w:rPr>
        <w:t xml:space="preserve"> </w:t>
      </w:r>
      <w:r>
        <w:rPr>
          <w:color w:val="231F20"/>
          <w:w w:val="105"/>
        </w:rPr>
        <w:t>of</w:t>
      </w:r>
      <w:r>
        <w:rPr>
          <w:color w:val="231F20"/>
          <w:spacing w:val="-14"/>
          <w:w w:val="105"/>
        </w:rPr>
        <w:t xml:space="preserve"> </w:t>
      </w:r>
      <w:r>
        <w:rPr>
          <w:color w:val="231F20"/>
          <w:w w:val="105"/>
        </w:rPr>
        <w:t>Program</w:t>
      </w:r>
      <w:r>
        <w:rPr>
          <w:color w:val="231F20"/>
          <w:spacing w:val="-21"/>
          <w:w w:val="105"/>
        </w:rPr>
        <w:t xml:space="preserve"> </w:t>
      </w:r>
      <w:r>
        <w:rPr>
          <w:color w:val="231F20"/>
          <w:w w:val="105"/>
        </w:rPr>
        <w:t>Activity</w:t>
      </w:r>
      <w:r>
        <w:rPr>
          <w:color w:val="231F20"/>
          <w:spacing w:val="-14"/>
          <w:w w:val="105"/>
        </w:rPr>
        <w:t xml:space="preserve"> </w:t>
      </w:r>
      <w:r>
        <w:rPr>
          <w:color w:val="231F20"/>
          <w:w w:val="105"/>
        </w:rPr>
        <w:t>Cost</w:t>
      </w:r>
      <w:r>
        <w:rPr>
          <w:color w:val="231F20"/>
          <w:spacing w:val="-14"/>
          <w:w w:val="105"/>
        </w:rPr>
        <w:t xml:space="preserve"> </w:t>
      </w:r>
      <w:r>
        <w:rPr>
          <w:color w:val="231F20"/>
          <w:w w:val="105"/>
        </w:rPr>
        <w:t>for</w:t>
      </w:r>
      <w:r>
        <w:rPr>
          <w:color w:val="231F20"/>
          <w:spacing w:val="-13"/>
          <w:w w:val="105"/>
        </w:rPr>
        <w:t xml:space="preserve"> </w:t>
      </w:r>
      <w:r>
        <w:rPr>
          <w:color w:val="231F20"/>
          <w:w w:val="105"/>
        </w:rPr>
        <w:t>Rivers</w:t>
      </w:r>
      <w:r>
        <w:rPr>
          <w:color w:val="231F20"/>
          <w:spacing w:val="-14"/>
          <w:w w:val="105"/>
        </w:rPr>
        <w:t xml:space="preserve"> </w:t>
      </w:r>
      <w:r>
        <w:rPr>
          <w:color w:val="231F20"/>
          <w:w w:val="105"/>
        </w:rPr>
        <w:t>SHDP</w:t>
      </w:r>
      <w:r>
        <w:rPr>
          <w:color w:val="231F20"/>
          <w:spacing w:val="-18"/>
          <w:w w:val="105"/>
        </w:rPr>
        <w:t xml:space="preserve"> </w:t>
      </w:r>
      <w:r>
        <w:rPr>
          <w:color w:val="231F20"/>
          <w:w w:val="105"/>
        </w:rPr>
        <w:t>II</w:t>
      </w:r>
      <w:r>
        <w:rPr>
          <w:color w:val="231F20"/>
          <w:spacing w:val="-13"/>
          <w:w w:val="105"/>
        </w:rPr>
        <w:t xml:space="preserve"> </w:t>
      </w:r>
      <w:r>
        <w:rPr>
          <w:color w:val="231F20"/>
          <w:w w:val="105"/>
        </w:rPr>
        <w:t>2017</w:t>
      </w:r>
      <w:r>
        <w:rPr>
          <w:color w:val="231F20"/>
          <w:spacing w:val="-14"/>
          <w:w w:val="105"/>
        </w:rPr>
        <w:t xml:space="preserve"> </w:t>
      </w:r>
      <w:r>
        <w:rPr>
          <w:color w:val="231F20"/>
          <w:w w:val="105"/>
        </w:rPr>
        <w:t>-</w:t>
      </w:r>
      <w:r>
        <w:rPr>
          <w:color w:val="231F20"/>
          <w:spacing w:val="-14"/>
          <w:w w:val="105"/>
        </w:rPr>
        <w:t xml:space="preserve"> </w:t>
      </w:r>
      <w:r>
        <w:rPr>
          <w:color w:val="231F20"/>
          <w:w w:val="105"/>
        </w:rPr>
        <w:t>2021 Essential Service Aggressive</w:t>
      </w:r>
      <w:r>
        <w:rPr>
          <w:color w:val="231F20"/>
          <w:spacing w:val="-23"/>
          <w:w w:val="105"/>
        </w:rPr>
        <w:t xml:space="preserve"> </w:t>
      </w:r>
      <w:r>
        <w:rPr>
          <w:color w:val="231F20"/>
          <w:w w:val="105"/>
        </w:rPr>
        <w:t>Scenario</w:t>
      </w:r>
    </w:p>
    <w:p w14:paraId="43EDC51D" w14:textId="77777777" w:rsidR="009948F1" w:rsidRDefault="009948F1">
      <w:pPr>
        <w:pStyle w:val="BodyText"/>
        <w:rPr>
          <w:b/>
          <w:sz w:val="20"/>
        </w:rPr>
      </w:pPr>
    </w:p>
    <w:p w14:paraId="13AFB25E" w14:textId="77777777" w:rsidR="009948F1" w:rsidRDefault="009948F1">
      <w:pPr>
        <w:pStyle w:val="BodyText"/>
        <w:spacing w:before="10"/>
        <w:rPr>
          <w:b/>
          <w:sz w:val="28"/>
        </w:rPr>
      </w:pPr>
    </w:p>
    <w:p w14:paraId="565A88E7" w14:textId="77777777" w:rsidR="009948F1" w:rsidRDefault="009948F1">
      <w:pPr>
        <w:rPr>
          <w:sz w:val="28"/>
        </w:rPr>
        <w:sectPr w:rsidR="009948F1">
          <w:pgSz w:w="11910" w:h="16840"/>
          <w:pgMar w:top="1500" w:right="1080" w:bottom="1420" w:left="1120" w:header="0" w:footer="1235" w:gutter="0"/>
          <w:cols w:space="720"/>
        </w:sectPr>
      </w:pPr>
    </w:p>
    <w:p w14:paraId="6A42EE11" w14:textId="77777777" w:rsidR="009948F1" w:rsidRDefault="00244DD0">
      <w:pPr>
        <w:spacing w:before="142" w:line="235" w:lineRule="auto"/>
        <w:ind w:left="2249" w:right="-2" w:hanging="62"/>
        <w:rPr>
          <w:b/>
          <w:sz w:val="20"/>
        </w:rPr>
      </w:pPr>
      <w:r>
        <w:pict w14:anchorId="6BB51FA2">
          <v:group id="_x0000_s2063" style="position:absolute;left:0;text-align:left;margin-left:66pt;margin-top:.3pt;width:81.75pt;height:53.35pt;z-index:15744512;mso-position-horizontal-relative:page" coordorigin="1320,6" coordsize="1635,1067">
            <v:shape id="_x0000_s2066" style="position:absolute;left:1322;top:7;width:1631;height:1062" coordorigin="1323,8" coordsize="1631,1062" path="m2650,8l1323,8r,1062l2666,1070,2953,542,2650,8xe" fillcolor="#00aeef" stroked="f">
              <v:path arrowok="t"/>
            </v:shape>
            <v:shape id="_x0000_s2065" style="position:absolute;left:1322;top:7;width:1631;height:1062" coordorigin="1323,8" coordsize="1631,1062" path="m1323,8r,1062l2666,1070,2953,542,2650,8,1323,8xe" filled="f" strokecolor="#00aeef" strokeweight=".07619mm">
              <v:path arrowok="t"/>
            </v:shape>
            <v:shape id="_x0000_s2064" type="#_x0000_t202" style="position:absolute;left:1320;top:5;width:1635;height:1067" filled="f" stroked="f">
              <v:textbox inset="0,0,0,0">
                <w:txbxContent>
                  <w:p w14:paraId="3DD0B242" w14:textId="77777777" w:rsidR="00080B77" w:rsidRDefault="00080B77">
                    <w:pPr>
                      <w:spacing w:before="173"/>
                      <w:ind w:left="286" w:right="281" w:hanging="1"/>
                      <w:jc w:val="center"/>
                      <w:rPr>
                        <w:b/>
                        <w:sz w:val="21"/>
                      </w:rPr>
                    </w:pPr>
                    <w:r>
                      <w:rPr>
                        <w:b/>
                        <w:color w:val="FFFFFF"/>
                        <w:w w:val="120"/>
                        <w:sz w:val="21"/>
                      </w:rPr>
                      <w:t xml:space="preserve">1.8% of SSHDP </w:t>
                    </w:r>
                    <w:r>
                      <w:rPr>
                        <w:b/>
                        <w:color w:val="FFFFFF"/>
                        <w:spacing w:val="-9"/>
                        <w:w w:val="120"/>
                        <w:sz w:val="21"/>
                      </w:rPr>
                      <w:t>II</w:t>
                    </w:r>
                  </w:p>
                  <w:p w14:paraId="0A537562" w14:textId="77777777" w:rsidR="00080B77" w:rsidRDefault="00080B77">
                    <w:pPr>
                      <w:spacing w:line="238" w:lineRule="exact"/>
                      <w:ind w:left="182" w:right="180"/>
                      <w:jc w:val="center"/>
                      <w:rPr>
                        <w:b/>
                        <w:sz w:val="21"/>
                      </w:rPr>
                    </w:pPr>
                    <w:r>
                      <w:rPr>
                        <w:b/>
                        <w:color w:val="FFFFFF"/>
                        <w:w w:val="120"/>
                        <w:sz w:val="21"/>
                      </w:rPr>
                      <w:t>Total Cost</w:t>
                    </w:r>
                  </w:p>
                </w:txbxContent>
              </v:textbox>
            </v:shape>
            <w10:wrap anchorx="page"/>
          </v:group>
        </w:pict>
      </w:r>
      <w:r w:rsidR="00BC0563">
        <w:rPr>
          <w:b/>
          <w:color w:val="231F20"/>
          <w:sz w:val="20"/>
        </w:rPr>
        <w:t xml:space="preserve">General </w:t>
      </w:r>
      <w:proofErr w:type="spellStart"/>
      <w:r w:rsidR="00BC0563">
        <w:rPr>
          <w:b/>
          <w:color w:val="231F20"/>
          <w:sz w:val="20"/>
        </w:rPr>
        <w:t>Programme</w:t>
      </w:r>
      <w:proofErr w:type="spellEnd"/>
      <w:r w:rsidR="00BC0563">
        <w:rPr>
          <w:b/>
          <w:color w:val="231F20"/>
          <w:sz w:val="20"/>
        </w:rPr>
        <w:t xml:space="preserve"> Management, 7.9%</w:t>
      </w:r>
    </w:p>
    <w:p w14:paraId="24B3EE73" w14:textId="77777777" w:rsidR="009948F1" w:rsidRDefault="009948F1">
      <w:pPr>
        <w:pStyle w:val="BodyText"/>
        <w:rPr>
          <w:b/>
          <w:sz w:val="20"/>
        </w:rPr>
      </w:pPr>
    </w:p>
    <w:p w14:paraId="25CF7750" w14:textId="77777777" w:rsidR="009948F1" w:rsidRDefault="009948F1">
      <w:pPr>
        <w:pStyle w:val="BodyText"/>
        <w:rPr>
          <w:b/>
          <w:sz w:val="20"/>
        </w:rPr>
      </w:pPr>
    </w:p>
    <w:p w14:paraId="2321011F" w14:textId="77777777" w:rsidR="009948F1" w:rsidRDefault="00BC0563">
      <w:pPr>
        <w:spacing w:before="123"/>
        <w:ind w:left="2109"/>
        <w:rPr>
          <w:b/>
          <w:sz w:val="19"/>
        </w:rPr>
      </w:pPr>
      <w:r>
        <w:rPr>
          <w:b/>
          <w:color w:val="231F20"/>
          <w:sz w:val="19"/>
        </w:rPr>
        <w:t>Advocacy, 1.8%</w:t>
      </w:r>
    </w:p>
    <w:p w14:paraId="4434B98F" w14:textId="77777777" w:rsidR="009948F1" w:rsidRDefault="00BC0563">
      <w:pPr>
        <w:pStyle w:val="BodyText"/>
        <w:spacing w:before="11"/>
        <w:rPr>
          <w:b/>
          <w:sz w:val="18"/>
        </w:rPr>
      </w:pPr>
      <w:r>
        <w:br w:type="column"/>
      </w:r>
    </w:p>
    <w:p w14:paraId="35BF7EBD" w14:textId="6B3536DE" w:rsidR="009948F1" w:rsidRDefault="00AE4069">
      <w:pPr>
        <w:spacing w:line="235" w:lineRule="auto"/>
        <w:ind w:left="582" w:right="-14" w:firstLine="160"/>
        <w:rPr>
          <w:b/>
          <w:sz w:val="21"/>
        </w:rPr>
      </w:pPr>
      <w:r>
        <w:rPr>
          <w:b/>
          <w:color w:val="231F20"/>
          <w:sz w:val="21"/>
        </w:rPr>
        <w:t>Items&lt;1% of Total Cost,</w:t>
      </w:r>
      <w:r w:rsidR="00BC0563">
        <w:rPr>
          <w:b/>
          <w:color w:val="231F20"/>
          <w:sz w:val="21"/>
        </w:rPr>
        <w:t>1.0%</w:t>
      </w:r>
    </w:p>
    <w:p w14:paraId="0E6DDFB2" w14:textId="77777777" w:rsidR="009948F1" w:rsidRDefault="00BC0563">
      <w:pPr>
        <w:spacing w:before="68" w:line="283" w:lineRule="auto"/>
        <w:ind w:left="264" w:right="754" w:firstLine="189"/>
        <w:rPr>
          <w:b/>
          <w:sz w:val="20"/>
        </w:rPr>
      </w:pPr>
      <w:r>
        <w:br w:type="column"/>
      </w:r>
      <w:proofErr w:type="spellStart"/>
      <w:r>
        <w:rPr>
          <w:b/>
          <w:color w:val="231F20"/>
          <w:sz w:val="20"/>
        </w:rPr>
        <w:t>Programme</w:t>
      </w:r>
      <w:proofErr w:type="spellEnd"/>
      <w:r>
        <w:rPr>
          <w:b/>
          <w:color w:val="231F20"/>
          <w:sz w:val="20"/>
        </w:rPr>
        <w:t>-Specific Human Resources, 1.5%</w:t>
      </w:r>
    </w:p>
    <w:p w14:paraId="282B6AA2" w14:textId="77777777" w:rsidR="009948F1" w:rsidRDefault="009948F1">
      <w:pPr>
        <w:pStyle w:val="BodyText"/>
        <w:rPr>
          <w:b/>
          <w:sz w:val="20"/>
        </w:rPr>
      </w:pPr>
    </w:p>
    <w:p w14:paraId="24A6A0D2" w14:textId="77777777" w:rsidR="009948F1" w:rsidRDefault="009948F1">
      <w:pPr>
        <w:pStyle w:val="BodyText"/>
        <w:rPr>
          <w:b/>
          <w:sz w:val="20"/>
        </w:rPr>
      </w:pPr>
    </w:p>
    <w:p w14:paraId="27745535" w14:textId="77777777" w:rsidR="009948F1" w:rsidRDefault="00244DD0">
      <w:pPr>
        <w:spacing w:before="169"/>
        <w:ind w:left="1434"/>
        <w:rPr>
          <w:b/>
          <w:sz w:val="20"/>
        </w:rPr>
      </w:pPr>
      <w:r>
        <w:pict w14:anchorId="1E8B8556">
          <v:group id="_x0000_s2060" style="position:absolute;left:0;text-align:left;margin-left:217.65pt;margin-top:-17.4pt;width:239.6pt;height:179.9pt;z-index:-35212800;mso-position-horizontal-relative:page" coordorigin="4353,-348" coordsize="4792,3598">
            <v:shape id="_x0000_s2062" type="#_x0000_t75" style="position:absolute;left:4353;top:312;width:4792;height:2693">
              <v:imagedata r:id="rId28" o:title=""/>
            </v:shape>
            <v:shape id="_x0000_s2061" style="position:absolute;left:4773;top:-348;width:4224;height:3598" coordorigin="4773,-348" coordsize="4224,3598" o:spt="100" adj="0,,0" path="m7780,2887r873,-90m7376,2969r,281m4773,278r782,196m5247,-169r62,l6123,363t553,-711l6676,314t916,-599l7494,-254,6842,323t2150,92l8997,1062e" filled="f" strokecolor="#231f20" strokeweight=".35269mm">
              <v:stroke joinstyle="round"/>
              <v:formulas/>
              <v:path arrowok="t" o:connecttype="segments"/>
            </v:shape>
            <w10:wrap anchorx="page"/>
          </v:group>
        </w:pict>
      </w:r>
      <w:r w:rsidR="00BC0563">
        <w:rPr>
          <w:b/>
          <w:color w:val="231F20"/>
          <w:sz w:val="20"/>
        </w:rPr>
        <w:t>Training, 42.0%</w:t>
      </w:r>
    </w:p>
    <w:p w14:paraId="34F59F95" w14:textId="77777777" w:rsidR="009948F1" w:rsidRDefault="009948F1">
      <w:pPr>
        <w:rPr>
          <w:sz w:val="20"/>
        </w:rPr>
        <w:sectPr w:rsidR="009948F1">
          <w:type w:val="continuous"/>
          <w:pgSz w:w="11910" w:h="16840"/>
          <w:pgMar w:top="1580" w:right="1080" w:bottom="280" w:left="1120" w:header="720" w:footer="720" w:gutter="0"/>
          <w:cols w:num="3" w:space="720" w:equalWidth="0">
            <w:col w:w="4117" w:space="40"/>
            <w:col w:w="2152" w:space="39"/>
            <w:col w:w="3362"/>
          </w:cols>
        </w:sectPr>
      </w:pPr>
    </w:p>
    <w:p w14:paraId="4DF7DBFD" w14:textId="77777777" w:rsidR="009948F1" w:rsidRDefault="009948F1">
      <w:pPr>
        <w:pStyle w:val="BodyText"/>
        <w:rPr>
          <w:b/>
          <w:sz w:val="20"/>
        </w:rPr>
      </w:pPr>
    </w:p>
    <w:p w14:paraId="38BF4FFA" w14:textId="77777777" w:rsidR="009948F1" w:rsidRDefault="009948F1">
      <w:pPr>
        <w:pStyle w:val="BodyText"/>
        <w:rPr>
          <w:b/>
          <w:sz w:val="20"/>
        </w:rPr>
      </w:pPr>
    </w:p>
    <w:p w14:paraId="1E6C0636" w14:textId="77777777" w:rsidR="009948F1" w:rsidRDefault="009948F1">
      <w:pPr>
        <w:pStyle w:val="BodyText"/>
        <w:rPr>
          <w:b/>
          <w:sz w:val="20"/>
        </w:rPr>
      </w:pPr>
    </w:p>
    <w:p w14:paraId="3136F7AC" w14:textId="77777777" w:rsidR="009948F1" w:rsidRDefault="009948F1">
      <w:pPr>
        <w:pStyle w:val="BodyText"/>
        <w:rPr>
          <w:b/>
          <w:sz w:val="20"/>
        </w:rPr>
      </w:pPr>
    </w:p>
    <w:p w14:paraId="24C841DA" w14:textId="77777777" w:rsidR="009948F1" w:rsidRDefault="009948F1">
      <w:pPr>
        <w:pStyle w:val="BodyText"/>
        <w:rPr>
          <w:b/>
          <w:sz w:val="20"/>
        </w:rPr>
      </w:pPr>
    </w:p>
    <w:p w14:paraId="3192FCCC" w14:textId="77777777" w:rsidR="009948F1" w:rsidRDefault="009948F1">
      <w:pPr>
        <w:pStyle w:val="BodyText"/>
        <w:rPr>
          <w:b/>
          <w:sz w:val="27"/>
        </w:rPr>
      </w:pPr>
    </w:p>
    <w:p w14:paraId="6EF8E537" w14:textId="77777777" w:rsidR="009948F1" w:rsidRDefault="009948F1">
      <w:pPr>
        <w:rPr>
          <w:sz w:val="27"/>
        </w:rPr>
        <w:sectPr w:rsidR="009948F1">
          <w:type w:val="continuous"/>
          <w:pgSz w:w="11910" w:h="16840"/>
          <w:pgMar w:top="1580" w:right="1080" w:bottom="280" w:left="1120" w:header="720" w:footer="720" w:gutter="0"/>
          <w:cols w:space="720"/>
        </w:sectPr>
      </w:pPr>
    </w:p>
    <w:p w14:paraId="5D7E5747" w14:textId="77777777" w:rsidR="009948F1" w:rsidRDefault="00BC0563">
      <w:pPr>
        <w:spacing w:before="67" w:line="283" w:lineRule="auto"/>
        <w:ind w:left="1454" w:right="38"/>
        <w:jc w:val="center"/>
        <w:rPr>
          <w:b/>
          <w:sz w:val="20"/>
        </w:rPr>
      </w:pPr>
      <w:r>
        <w:rPr>
          <w:b/>
          <w:color w:val="231F20"/>
          <w:sz w:val="20"/>
        </w:rPr>
        <w:t>Communication, Media &amp; Outreach, 41.7%</w:t>
      </w:r>
    </w:p>
    <w:p w14:paraId="52E73900" w14:textId="77777777" w:rsidR="009948F1" w:rsidRDefault="00BC0563">
      <w:pPr>
        <w:pStyle w:val="BodyText"/>
        <w:rPr>
          <w:b/>
          <w:sz w:val="20"/>
        </w:rPr>
      </w:pPr>
      <w:r>
        <w:br w:type="column"/>
      </w:r>
    </w:p>
    <w:p w14:paraId="0B8298A8" w14:textId="77777777" w:rsidR="009948F1" w:rsidRDefault="009948F1">
      <w:pPr>
        <w:pStyle w:val="BodyText"/>
        <w:rPr>
          <w:b/>
          <w:sz w:val="20"/>
        </w:rPr>
      </w:pPr>
    </w:p>
    <w:p w14:paraId="2C272ED6" w14:textId="77777777" w:rsidR="009948F1" w:rsidRDefault="009948F1">
      <w:pPr>
        <w:pStyle w:val="BodyText"/>
        <w:rPr>
          <w:b/>
          <w:sz w:val="20"/>
        </w:rPr>
      </w:pPr>
    </w:p>
    <w:p w14:paraId="763C9E5B" w14:textId="77777777" w:rsidR="009948F1" w:rsidRDefault="009948F1">
      <w:pPr>
        <w:pStyle w:val="BodyText"/>
        <w:rPr>
          <w:b/>
          <w:sz w:val="20"/>
        </w:rPr>
      </w:pPr>
    </w:p>
    <w:p w14:paraId="0E94085D" w14:textId="77777777" w:rsidR="009948F1" w:rsidRDefault="009948F1">
      <w:pPr>
        <w:pStyle w:val="BodyText"/>
        <w:rPr>
          <w:b/>
          <w:sz w:val="20"/>
        </w:rPr>
      </w:pPr>
    </w:p>
    <w:p w14:paraId="6011A2A3" w14:textId="77777777" w:rsidR="009948F1" w:rsidRDefault="009948F1">
      <w:pPr>
        <w:pStyle w:val="BodyText"/>
        <w:spacing w:before="1"/>
        <w:rPr>
          <w:b/>
        </w:rPr>
      </w:pPr>
    </w:p>
    <w:p w14:paraId="1F9932AA" w14:textId="77777777" w:rsidR="009948F1" w:rsidRDefault="00BC0563">
      <w:pPr>
        <w:ind w:left="1454"/>
        <w:rPr>
          <w:b/>
          <w:sz w:val="20"/>
        </w:rPr>
      </w:pPr>
      <w:r>
        <w:rPr>
          <w:b/>
          <w:color w:val="231F20"/>
          <w:sz w:val="20"/>
        </w:rPr>
        <w:t xml:space="preserve">Transport, </w:t>
      </w:r>
      <w:r>
        <w:rPr>
          <w:b/>
          <w:color w:val="231F20"/>
          <w:spacing w:val="-5"/>
          <w:sz w:val="20"/>
        </w:rPr>
        <w:t>2.4%</w:t>
      </w:r>
    </w:p>
    <w:p w14:paraId="5339695E" w14:textId="77777777" w:rsidR="009948F1" w:rsidRDefault="00BC0563">
      <w:pPr>
        <w:pStyle w:val="BodyText"/>
        <w:rPr>
          <w:b/>
          <w:sz w:val="20"/>
        </w:rPr>
      </w:pPr>
      <w:r>
        <w:br w:type="column"/>
      </w:r>
    </w:p>
    <w:p w14:paraId="5C8C0B2C" w14:textId="77777777" w:rsidR="009948F1" w:rsidRDefault="009948F1">
      <w:pPr>
        <w:pStyle w:val="BodyText"/>
        <w:rPr>
          <w:b/>
          <w:sz w:val="20"/>
        </w:rPr>
      </w:pPr>
    </w:p>
    <w:p w14:paraId="03957087" w14:textId="77777777" w:rsidR="009948F1" w:rsidRDefault="009948F1">
      <w:pPr>
        <w:pStyle w:val="BodyText"/>
        <w:spacing w:before="3"/>
        <w:rPr>
          <w:b/>
          <w:sz w:val="25"/>
        </w:rPr>
      </w:pPr>
    </w:p>
    <w:p w14:paraId="170AA0D8" w14:textId="77777777" w:rsidR="009948F1" w:rsidRDefault="00BC0563">
      <w:pPr>
        <w:spacing w:line="283" w:lineRule="auto"/>
        <w:ind w:left="428" w:right="644" w:firstLine="67"/>
        <w:rPr>
          <w:b/>
          <w:sz w:val="20"/>
        </w:rPr>
      </w:pPr>
      <w:r>
        <w:rPr>
          <w:b/>
          <w:color w:val="231F20"/>
          <w:sz w:val="20"/>
        </w:rPr>
        <w:t>Monitoring and Evaluation, 1.8%</w:t>
      </w:r>
    </w:p>
    <w:p w14:paraId="0DC941FC" w14:textId="77777777" w:rsidR="009948F1" w:rsidRDefault="009948F1">
      <w:pPr>
        <w:spacing w:line="283" w:lineRule="auto"/>
        <w:rPr>
          <w:sz w:val="20"/>
        </w:rPr>
        <w:sectPr w:rsidR="009948F1">
          <w:type w:val="continuous"/>
          <w:pgSz w:w="11910" w:h="16840"/>
          <w:pgMar w:top="1580" w:right="1080" w:bottom="280" w:left="1120" w:header="720" w:footer="720" w:gutter="0"/>
          <w:cols w:num="3" w:space="720" w:equalWidth="0">
            <w:col w:w="3062" w:space="992"/>
            <w:col w:w="2945" w:space="40"/>
            <w:col w:w="2671"/>
          </w:cols>
        </w:sectPr>
      </w:pPr>
    </w:p>
    <w:p w14:paraId="7CF506E8" w14:textId="77777777" w:rsidR="009948F1" w:rsidRDefault="00BC0563">
      <w:pPr>
        <w:pStyle w:val="ListParagraph"/>
        <w:numPr>
          <w:ilvl w:val="2"/>
          <w:numId w:val="251"/>
        </w:numPr>
        <w:tabs>
          <w:tab w:val="left" w:pos="1479"/>
        </w:tabs>
        <w:spacing w:before="69"/>
        <w:ind w:left="1478" w:hanging="1045"/>
        <w:jc w:val="left"/>
        <w:rPr>
          <w:rFonts w:ascii="Courier New"/>
          <w:b/>
          <w:color w:val="231F20"/>
          <w:sz w:val="25"/>
        </w:rPr>
      </w:pPr>
      <w:bookmarkStart w:id="128" w:name="Page_107"/>
      <w:bookmarkEnd w:id="128"/>
      <w:r>
        <w:rPr>
          <w:rFonts w:ascii="Courier New"/>
          <w:b/>
          <w:color w:val="231F20"/>
          <w:sz w:val="25"/>
        </w:rPr>
        <w:lastRenderedPageBreak/>
        <w:t>SSHDP II Impact outputs across the three</w:t>
      </w:r>
      <w:r>
        <w:rPr>
          <w:rFonts w:ascii="Courier New"/>
          <w:b/>
          <w:color w:val="231F20"/>
          <w:spacing w:val="-32"/>
          <w:sz w:val="25"/>
        </w:rPr>
        <w:t xml:space="preserve"> </w:t>
      </w:r>
      <w:r>
        <w:rPr>
          <w:rFonts w:ascii="Courier New"/>
          <w:b/>
          <w:color w:val="231F20"/>
          <w:sz w:val="25"/>
        </w:rPr>
        <w:t>scenarios</w:t>
      </w:r>
    </w:p>
    <w:p w14:paraId="5F16F27B" w14:textId="77777777" w:rsidR="009948F1" w:rsidRDefault="009948F1">
      <w:pPr>
        <w:pStyle w:val="BodyText"/>
        <w:rPr>
          <w:rFonts w:ascii="Courier New"/>
          <w:b/>
          <w:sz w:val="20"/>
        </w:rPr>
      </w:pPr>
    </w:p>
    <w:p w14:paraId="46655C1B" w14:textId="6A43B978" w:rsidR="009948F1" w:rsidRPr="00523414" w:rsidRDefault="00BC0563" w:rsidP="00523414">
      <w:pPr>
        <w:pStyle w:val="BodyText"/>
        <w:spacing w:before="5"/>
        <w:rPr>
          <w:rFonts w:ascii="Courier New"/>
          <w:b/>
          <w:sz w:val="16"/>
        </w:rPr>
        <w:sectPr w:rsidR="009948F1" w:rsidRPr="00523414">
          <w:pgSz w:w="11910" w:h="16840"/>
          <w:pgMar w:top="1580" w:right="1080" w:bottom="1420" w:left="1120" w:header="0" w:footer="1235" w:gutter="0"/>
          <w:cols w:space="720"/>
        </w:sectPr>
      </w:pPr>
      <w:r>
        <w:rPr>
          <w:noProof/>
          <w:lang w:val="en-GB" w:eastAsia="en-GB"/>
        </w:rPr>
        <w:drawing>
          <wp:anchor distT="0" distB="0" distL="0" distR="0" simplePos="0" relativeHeight="32" behindDoc="0" locked="0" layoutInCell="1" allowOverlap="1" wp14:anchorId="6986F4E7" wp14:editId="796E38C0">
            <wp:simplePos x="0" y="0"/>
            <wp:positionH relativeFrom="page">
              <wp:posOffset>802411</wp:posOffset>
            </wp:positionH>
            <wp:positionV relativeFrom="paragraph">
              <wp:posOffset>143538</wp:posOffset>
            </wp:positionV>
            <wp:extent cx="5843400" cy="7829835"/>
            <wp:effectExtent l="0" t="0" r="0" b="0"/>
            <wp:wrapTopAndBottom/>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pic:nvPicPr>
                  <pic:blipFill>
                    <a:blip r:embed="rId29" cstate="print"/>
                    <a:stretch>
                      <a:fillRect/>
                    </a:stretch>
                  </pic:blipFill>
                  <pic:spPr>
                    <a:xfrm>
                      <a:off x="0" y="0"/>
                      <a:ext cx="5843400" cy="7829835"/>
                    </a:xfrm>
                    <a:prstGeom prst="rect">
                      <a:avLst/>
                    </a:prstGeom>
                  </pic:spPr>
                </pic:pic>
              </a:graphicData>
            </a:graphic>
          </wp:anchor>
        </w:drawing>
      </w:r>
    </w:p>
    <w:p w14:paraId="2CE7B943" w14:textId="6C97809A" w:rsidR="009948F1" w:rsidRPr="00523414" w:rsidRDefault="00523414" w:rsidP="00523414">
      <w:pPr>
        <w:pStyle w:val="BodyText"/>
        <w:rPr>
          <w:rFonts w:ascii="Courier New"/>
          <w:sz w:val="20"/>
        </w:rPr>
      </w:pPr>
      <w:r>
        <w:rPr>
          <w:noProof/>
          <w:lang w:val="en-GB" w:eastAsia="en-GB"/>
        </w:rPr>
        <w:lastRenderedPageBreak/>
        <w:drawing>
          <wp:inline distT="0" distB="0" distL="0" distR="0" wp14:anchorId="06BB5C3B" wp14:editId="16FEF1B3">
            <wp:extent cx="5386873" cy="3502090"/>
            <wp:effectExtent l="0" t="0" r="0" b="0"/>
            <wp:docPr id="2" name="Picture 2" descr="C:\Users\RV FMC 02\Document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 FMC 02\Documents\GRAP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7340" cy="3502394"/>
                    </a:xfrm>
                    <a:prstGeom prst="rect">
                      <a:avLst/>
                    </a:prstGeom>
                    <a:noFill/>
                    <a:ln>
                      <a:noFill/>
                    </a:ln>
                  </pic:spPr>
                </pic:pic>
              </a:graphicData>
            </a:graphic>
          </wp:inline>
        </w:drawing>
      </w:r>
    </w:p>
    <w:p w14:paraId="50BB15BB" w14:textId="77777777" w:rsidR="009948F1" w:rsidRDefault="00BC0563">
      <w:pPr>
        <w:pStyle w:val="Heading7"/>
        <w:numPr>
          <w:ilvl w:val="1"/>
          <w:numId w:val="255"/>
        </w:numPr>
        <w:tabs>
          <w:tab w:val="left" w:pos="880"/>
          <w:tab w:val="left" w:pos="881"/>
        </w:tabs>
        <w:spacing w:before="65"/>
        <w:ind w:left="880" w:hanging="721"/>
      </w:pPr>
      <w:bookmarkStart w:id="129" w:name="Page_108"/>
      <w:bookmarkStart w:id="130" w:name="_TOC_250008"/>
      <w:bookmarkEnd w:id="129"/>
      <w:r>
        <w:rPr>
          <w:color w:val="231F20"/>
        </w:rPr>
        <w:t>Health</w:t>
      </w:r>
      <w:r>
        <w:rPr>
          <w:color w:val="231F20"/>
          <w:spacing w:val="-25"/>
        </w:rPr>
        <w:t xml:space="preserve"> </w:t>
      </w:r>
      <w:r>
        <w:rPr>
          <w:color w:val="231F20"/>
        </w:rPr>
        <w:t>System</w:t>
      </w:r>
      <w:r>
        <w:rPr>
          <w:color w:val="231F20"/>
          <w:spacing w:val="-25"/>
        </w:rPr>
        <w:t xml:space="preserve"> </w:t>
      </w:r>
      <w:r>
        <w:rPr>
          <w:color w:val="231F20"/>
        </w:rPr>
        <w:t>Capacity/Utilization</w:t>
      </w:r>
      <w:r>
        <w:rPr>
          <w:color w:val="231F20"/>
          <w:spacing w:val="-33"/>
        </w:rPr>
        <w:t xml:space="preserve"> </w:t>
      </w:r>
      <w:bookmarkEnd w:id="130"/>
      <w:r>
        <w:rPr>
          <w:color w:val="231F20"/>
        </w:rPr>
        <w:t>Analysis</w:t>
      </w:r>
    </w:p>
    <w:p w14:paraId="343D9155" w14:textId="77777777" w:rsidR="009948F1" w:rsidRDefault="009948F1">
      <w:pPr>
        <w:pStyle w:val="BodyText"/>
        <w:spacing w:before="3"/>
        <w:rPr>
          <w:b/>
          <w:sz w:val="21"/>
        </w:rPr>
      </w:pPr>
    </w:p>
    <w:p w14:paraId="38FD4105" w14:textId="77777777" w:rsidR="009948F1" w:rsidRDefault="00BC0563">
      <w:pPr>
        <w:pStyle w:val="BodyText"/>
        <w:spacing w:line="232" w:lineRule="auto"/>
        <w:ind w:left="159" w:right="189"/>
        <w:jc w:val="both"/>
      </w:pPr>
      <w:r>
        <w:rPr>
          <w:color w:val="231F20"/>
        </w:rPr>
        <w:t>Even</w:t>
      </w:r>
      <w:r>
        <w:rPr>
          <w:color w:val="231F20"/>
          <w:spacing w:val="-7"/>
        </w:rPr>
        <w:t xml:space="preserve"> </w:t>
      </w:r>
      <w:r>
        <w:rPr>
          <w:color w:val="231F20"/>
        </w:rPr>
        <w:t>though</w:t>
      </w:r>
      <w:r>
        <w:rPr>
          <w:color w:val="231F20"/>
          <w:spacing w:val="-7"/>
        </w:rPr>
        <w:t xml:space="preserve"> </w:t>
      </w:r>
      <w:r>
        <w:rPr>
          <w:color w:val="231F20"/>
        </w:rPr>
        <w:t>the</w:t>
      </w:r>
      <w:r>
        <w:rPr>
          <w:color w:val="231F20"/>
          <w:spacing w:val="-8"/>
        </w:rPr>
        <w:t xml:space="preserve"> </w:t>
      </w:r>
      <w:r>
        <w:rPr>
          <w:color w:val="231F20"/>
        </w:rPr>
        <w:t>Rivers</w:t>
      </w:r>
      <w:r>
        <w:rPr>
          <w:color w:val="231F20"/>
          <w:spacing w:val="-7"/>
        </w:rPr>
        <w:t xml:space="preserve"> </w:t>
      </w:r>
      <w:r>
        <w:rPr>
          <w:color w:val="231F20"/>
        </w:rPr>
        <w:t>SSHDP</w:t>
      </w:r>
      <w:r>
        <w:rPr>
          <w:color w:val="231F20"/>
          <w:spacing w:val="-11"/>
        </w:rPr>
        <w:t xml:space="preserve"> </w:t>
      </w:r>
      <w:r>
        <w:rPr>
          <w:color w:val="231F20"/>
        </w:rPr>
        <w:t>II</w:t>
      </w:r>
      <w:r>
        <w:rPr>
          <w:color w:val="231F20"/>
          <w:spacing w:val="-11"/>
        </w:rPr>
        <w:t xml:space="preserve"> </w:t>
      </w:r>
      <w:r>
        <w:rPr>
          <w:color w:val="231F20"/>
          <w:spacing w:val="-5"/>
        </w:rPr>
        <w:t>Total</w:t>
      </w:r>
      <w:r>
        <w:rPr>
          <w:color w:val="231F20"/>
          <w:spacing w:val="-7"/>
        </w:rPr>
        <w:t xml:space="preserve"> </w:t>
      </w:r>
      <w:r>
        <w:rPr>
          <w:color w:val="231F20"/>
        </w:rPr>
        <w:t>Cost</w:t>
      </w:r>
      <w:r>
        <w:rPr>
          <w:color w:val="231F20"/>
          <w:spacing w:val="-8"/>
        </w:rPr>
        <w:t xml:space="preserve"> </w:t>
      </w:r>
      <w:r>
        <w:rPr>
          <w:color w:val="231F20"/>
        </w:rPr>
        <w:t>was</w:t>
      </w:r>
      <w:r>
        <w:rPr>
          <w:color w:val="231F20"/>
          <w:spacing w:val="-7"/>
        </w:rPr>
        <w:t xml:space="preserve"> </w:t>
      </w:r>
      <w:r>
        <w:rPr>
          <w:color w:val="231F20"/>
        </w:rPr>
        <w:t>calculated</w:t>
      </w:r>
      <w:r>
        <w:rPr>
          <w:color w:val="231F20"/>
          <w:spacing w:val="-7"/>
        </w:rPr>
        <w:t xml:space="preserve"> </w:t>
      </w:r>
      <w:r>
        <w:rPr>
          <w:color w:val="231F20"/>
        </w:rPr>
        <w:t>based</w:t>
      </w:r>
      <w:r>
        <w:rPr>
          <w:color w:val="231F20"/>
          <w:spacing w:val="-7"/>
        </w:rPr>
        <w:t xml:space="preserve"> </w:t>
      </w:r>
      <w:r>
        <w:rPr>
          <w:color w:val="231F20"/>
        </w:rPr>
        <w:t>on</w:t>
      </w:r>
      <w:r>
        <w:rPr>
          <w:color w:val="231F20"/>
          <w:spacing w:val="-6"/>
        </w:rPr>
        <w:t xml:space="preserve"> </w:t>
      </w:r>
      <w:r>
        <w:rPr>
          <w:color w:val="231F20"/>
        </w:rPr>
        <w:t>the</w:t>
      </w:r>
      <w:r>
        <w:rPr>
          <w:color w:val="231F20"/>
          <w:spacing w:val="-8"/>
        </w:rPr>
        <w:t xml:space="preserve"> </w:t>
      </w:r>
      <w:r>
        <w:rPr>
          <w:color w:val="231F20"/>
        </w:rPr>
        <w:t>required</w:t>
      </w:r>
      <w:r>
        <w:rPr>
          <w:color w:val="231F20"/>
          <w:spacing w:val="-7"/>
        </w:rPr>
        <w:t xml:space="preserve"> </w:t>
      </w:r>
      <w:r>
        <w:rPr>
          <w:color w:val="231F20"/>
        </w:rPr>
        <w:t>health</w:t>
      </w:r>
      <w:r>
        <w:rPr>
          <w:color w:val="231F20"/>
          <w:spacing w:val="-7"/>
        </w:rPr>
        <w:t xml:space="preserve"> </w:t>
      </w:r>
      <w:r>
        <w:rPr>
          <w:color w:val="231F20"/>
        </w:rPr>
        <w:t>system capacity, it is crucial to highlight the limitations of implementing the strategy with existing HSS capacity.</w:t>
      </w:r>
      <w:r>
        <w:rPr>
          <w:color w:val="231F20"/>
          <w:spacing w:val="-10"/>
        </w:rPr>
        <w:t xml:space="preserve"> </w:t>
      </w:r>
      <w:r>
        <w:rPr>
          <w:color w:val="231F20"/>
        </w:rPr>
        <w:t>While</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desirable</w:t>
      </w:r>
      <w:r>
        <w:rPr>
          <w:color w:val="231F20"/>
          <w:spacing w:val="-9"/>
        </w:rPr>
        <w:t xml:space="preserve"> </w:t>
      </w:r>
      <w:r>
        <w:rPr>
          <w:color w:val="231F20"/>
        </w:rPr>
        <w:t>for</w:t>
      </w:r>
      <w:r>
        <w:rPr>
          <w:color w:val="231F20"/>
          <w:spacing w:val="-10"/>
        </w:rPr>
        <w:t xml:space="preserve"> </w:t>
      </w:r>
      <w:r>
        <w:rPr>
          <w:color w:val="231F20"/>
        </w:rPr>
        <w:t>the</w:t>
      </w:r>
      <w:r>
        <w:rPr>
          <w:color w:val="231F20"/>
          <w:spacing w:val="-9"/>
        </w:rPr>
        <w:t xml:space="preserve"> </w:t>
      </w:r>
      <w:r>
        <w:rPr>
          <w:color w:val="231F20"/>
        </w:rPr>
        <w:t>SSHDP</w:t>
      </w:r>
      <w:r>
        <w:rPr>
          <w:color w:val="231F20"/>
          <w:spacing w:val="-13"/>
        </w:rPr>
        <w:t xml:space="preserve"> </w:t>
      </w:r>
      <w:r>
        <w:rPr>
          <w:color w:val="231F20"/>
        </w:rPr>
        <w:t>II</w:t>
      </w:r>
      <w:r>
        <w:rPr>
          <w:color w:val="231F20"/>
          <w:spacing w:val="-9"/>
        </w:rPr>
        <w:t xml:space="preserve"> </w:t>
      </w:r>
      <w:r>
        <w:rPr>
          <w:color w:val="231F20"/>
        </w:rPr>
        <w:t>policy</w:t>
      </w:r>
      <w:r>
        <w:rPr>
          <w:color w:val="231F20"/>
          <w:spacing w:val="-9"/>
        </w:rPr>
        <w:t xml:space="preserve"> </w:t>
      </w:r>
      <w:r>
        <w:rPr>
          <w:color w:val="231F20"/>
        </w:rPr>
        <w:t>goals</w:t>
      </w:r>
      <w:r>
        <w:rPr>
          <w:color w:val="231F20"/>
          <w:spacing w:val="-9"/>
        </w:rPr>
        <w:t xml:space="preserve"> </w:t>
      </w:r>
      <w:r>
        <w:rPr>
          <w:color w:val="231F20"/>
        </w:rPr>
        <w:t>to</w:t>
      </w:r>
      <w:r>
        <w:rPr>
          <w:color w:val="231F20"/>
          <w:spacing w:val="-10"/>
        </w:rPr>
        <w:t xml:space="preserve"> </w:t>
      </w:r>
      <w:r>
        <w:rPr>
          <w:color w:val="231F20"/>
        </w:rPr>
        <w:t>target</w:t>
      </w:r>
      <w:r>
        <w:rPr>
          <w:color w:val="231F20"/>
          <w:spacing w:val="-9"/>
        </w:rPr>
        <w:t xml:space="preserve"> </w:t>
      </w:r>
      <w:r>
        <w:rPr>
          <w:color w:val="231F20"/>
        </w:rPr>
        <w:t>ambitious</w:t>
      </w:r>
      <w:r>
        <w:rPr>
          <w:color w:val="231F20"/>
          <w:spacing w:val="-9"/>
        </w:rPr>
        <w:t xml:space="preserve"> </w:t>
      </w:r>
      <w:r>
        <w:rPr>
          <w:color w:val="231F20"/>
        </w:rPr>
        <w:t>service</w:t>
      </w:r>
      <w:r>
        <w:rPr>
          <w:color w:val="231F20"/>
          <w:spacing w:val="-9"/>
        </w:rPr>
        <w:t xml:space="preserve"> </w:t>
      </w:r>
      <w:r>
        <w:rPr>
          <w:color w:val="231F20"/>
        </w:rPr>
        <w:t>coverages, ensuring HSS capacities are sufficient to deliver on these targets remains pertinent, particularly skilled</w:t>
      </w:r>
      <w:r>
        <w:rPr>
          <w:color w:val="231F20"/>
          <w:spacing w:val="-7"/>
        </w:rPr>
        <w:t xml:space="preserve"> </w:t>
      </w:r>
      <w:r>
        <w:rPr>
          <w:color w:val="231F20"/>
        </w:rPr>
        <w:t>care</w:t>
      </w:r>
      <w:r>
        <w:rPr>
          <w:color w:val="231F20"/>
          <w:spacing w:val="-7"/>
        </w:rPr>
        <w:t xml:space="preserve"> </w:t>
      </w:r>
      <w:r>
        <w:rPr>
          <w:color w:val="231F20"/>
        </w:rPr>
        <w:t>providers</w:t>
      </w:r>
      <w:r>
        <w:rPr>
          <w:color w:val="231F20"/>
          <w:spacing w:val="-6"/>
        </w:rPr>
        <w:t xml:space="preserve"> </w:t>
      </w:r>
      <w:r>
        <w:rPr>
          <w:color w:val="231F20"/>
        </w:rPr>
        <w:t>and</w:t>
      </w:r>
      <w:r>
        <w:rPr>
          <w:color w:val="231F20"/>
          <w:spacing w:val="-6"/>
        </w:rPr>
        <w:t xml:space="preserve"> </w:t>
      </w:r>
      <w:r>
        <w:rPr>
          <w:color w:val="231F20"/>
        </w:rPr>
        <w:t>infrastructure</w:t>
      </w:r>
      <w:r>
        <w:rPr>
          <w:color w:val="231F20"/>
          <w:spacing w:val="-6"/>
        </w:rPr>
        <w:t xml:space="preserve"> </w:t>
      </w:r>
      <w:r>
        <w:rPr>
          <w:color w:val="231F20"/>
        </w:rPr>
        <w:t>capacities</w:t>
      </w:r>
      <w:r>
        <w:rPr>
          <w:color w:val="231F20"/>
          <w:spacing w:val="-6"/>
        </w:rPr>
        <w:t xml:space="preserve"> </w:t>
      </w:r>
      <w:r>
        <w:rPr>
          <w:color w:val="231F20"/>
        </w:rPr>
        <w:t>required</w:t>
      </w:r>
      <w:r>
        <w:rPr>
          <w:color w:val="231F20"/>
          <w:spacing w:val="-6"/>
        </w:rPr>
        <w:t xml:space="preserve"> </w:t>
      </w:r>
      <w:r>
        <w:rPr>
          <w:color w:val="231F20"/>
        </w:rPr>
        <w:t>to</w:t>
      </w:r>
      <w:r>
        <w:rPr>
          <w:color w:val="231F20"/>
          <w:spacing w:val="-7"/>
        </w:rPr>
        <w:t xml:space="preserve"> </w:t>
      </w:r>
      <w:r>
        <w:rPr>
          <w:color w:val="231F20"/>
        </w:rPr>
        <w:t>cater</w:t>
      </w:r>
      <w:r>
        <w:rPr>
          <w:color w:val="231F20"/>
          <w:spacing w:val="-7"/>
        </w:rPr>
        <w:t xml:space="preserve"> </w:t>
      </w:r>
      <w:r>
        <w:rPr>
          <w:color w:val="231F20"/>
        </w:rPr>
        <w:t>for</w:t>
      </w:r>
      <w:r>
        <w:rPr>
          <w:color w:val="231F20"/>
          <w:spacing w:val="-7"/>
        </w:rPr>
        <w:t xml:space="preserve"> </w:t>
      </w:r>
      <w:r>
        <w:rPr>
          <w:color w:val="231F20"/>
        </w:rPr>
        <w:t>clients'</w:t>
      </w:r>
      <w:r>
        <w:rPr>
          <w:color w:val="231F20"/>
          <w:spacing w:val="-6"/>
        </w:rPr>
        <w:t xml:space="preserve"> </w:t>
      </w:r>
      <w:r>
        <w:rPr>
          <w:color w:val="231F20"/>
        </w:rPr>
        <w:t>need.</w:t>
      </w:r>
      <w:r>
        <w:rPr>
          <w:color w:val="231F20"/>
          <w:spacing w:val="-6"/>
        </w:rPr>
        <w:t xml:space="preserve"> </w:t>
      </w:r>
      <w:r>
        <w:rPr>
          <w:color w:val="231F20"/>
        </w:rPr>
        <w:t>Without</w:t>
      </w:r>
      <w:r>
        <w:rPr>
          <w:color w:val="231F20"/>
          <w:spacing w:val="-7"/>
        </w:rPr>
        <w:t xml:space="preserve"> </w:t>
      </w:r>
      <w:r>
        <w:rPr>
          <w:color w:val="231F20"/>
          <w:spacing w:val="-4"/>
        </w:rPr>
        <w:t xml:space="preserve">due </w:t>
      </w:r>
      <w:r>
        <w:rPr>
          <w:color w:val="231F20"/>
        </w:rPr>
        <w:t>consideration</w:t>
      </w:r>
      <w:r>
        <w:rPr>
          <w:color w:val="231F20"/>
          <w:spacing w:val="-24"/>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rPr>
        <w:t>required</w:t>
      </w:r>
      <w:r>
        <w:rPr>
          <w:color w:val="231F20"/>
          <w:spacing w:val="-23"/>
        </w:rPr>
        <w:t xml:space="preserve"> </w:t>
      </w:r>
      <w:r>
        <w:rPr>
          <w:color w:val="231F20"/>
        </w:rPr>
        <w:t>HSS</w:t>
      </w:r>
      <w:r>
        <w:rPr>
          <w:color w:val="231F20"/>
          <w:spacing w:val="-24"/>
        </w:rPr>
        <w:t xml:space="preserve"> </w:t>
      </w:r>
      <w:r>
        <w:rPr>
          <w:color w:val="231F20"/>
        </w:rPr>
        <w:t>demands,</w:t>
      </w:r>
      <w:r>
        <w:rPr>
          <w:color w:val="231F20"/>
          <w:spacing w:val="-24"/>
        </w:rPr>
        <w:t xml:space="preserve"> </w:t>
      </w:r>
      <w:r>
        <w:rPr>
          <w:color w:val="231F20"/>
        </w:rPr>
        <w:t>effective</w:t>
      </w:r>
      <w:r>
        <w:rPr>
          <w:color w:val="231F20"/>
          <w:spacing w:val="-24"/>
        </w:rPr>
        <w:t xml:space="preserve"> </w:t>
      </w:r>
      <w:r>
        <w:rPr>
          <w:color w:val="231F20"/>
        </w:rPr>
        <w:t>and/or</w:t>
      </w:r>
      <w:r>
        <w:rPr>
          <w:color w:val="231F20"/>
          <w:spacing w:val="-24"/>
        </w:rPr>
        <w:t xml:space="preserve"> </w:t>
      </w:r>
      <w:r>
        <w:rPr>
          <w:color w:val="231F20"/>
        </w:rPr>
        <w:t>comprehensive</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5"/>
        </w:rPr>
        <w:t xml:space="preserve"> </w:t>
      </w:r>
      <w:r>
        <w:rPr>
          <w:color w:val="231F20"/>
          <w:spacing w:val="-4"/>
        </w:rPr>
        <w:t xml:space="preserve">the </w:t>
      </w:r>
      <w:r>
        <w:rPr>
          <w:color w:val="231F20"/>
        </w:rPr>
        <w:t xml:space="preserve">strategy will not be possible. Consequently, the anticipated SSHDP II outcomes would not </w:t>
      </w:r>
      <w:r>
        <w:rPr>
          <w:color w:val="231F20"/>
          <w:spacing w:val="-6"/>
        </w:rPr>
        <w:t xml:space="preserve">be </w:t>
      </w:r>
      <w:r>
        <w:rPr>
          <w:color w:val="231F20"/>
        </w:rPr>
        <w:t>realized. In support of advocacy effort for HSS policy reform in the State, existing HR and Infrastructure</w:t>
      </w:r>
      <w:r>
        <w:rPr>
          <w:color w:val="231F20"/>
          <w:spacing w:val="-17"/>
        </w:rPr>
        <w:t xml:space="preserve"> </w:t>
      </w:r>
      <w:r>
        <w:rPr>
          <w:color w:val="231F20"/>
        </w:rPr>
        <w:t>have</w:t>
      </w:r>
      <w:r>
        <w:rPr>
          <w:color w:val="231F20"/>
          <w:spacing w:val="-16"/>
        </w:rPr>
        <w:t xml:space="preserve"> </w:t>
      </w:r>
      <w:r>
        <w:rPr>
          <w:color w:val="231F20"/>
        </w:rPr>
        <w:t>been</w:t>
      </w:r>
      <w:r>
        <w:rPr>
          <w:color w:val="231F20"/>
          <w:spacing w:val="-16"/>
        </w:rPr>
        <w:t xml:space="preserve"> </w:t>
      </w:r>
      <w:r>
        <w:rPr>
          <w:color w:val="231F20"/>
        </w:rPr>
        <w:t>assessed</w:t>
      </w:r>
      <w:r>
        <w:rPr>
          <w:color w:val="231F20"/>
          <w:spacing w:val="-16"/>
        </w:rPr>
        <w:t xml:space="preserve"> </w:t>
      </w:r>
      <w:r>
        <w:rPr>
          <w:color w:val="231F20"/>
        </w:rPr>
        <w:t>against</w:t>
      </w:r>
      <w:r>
        <w:rPr>
          <w:color w:val="231F20"/>
          <w:spacing w:val="-16"/>
        </w:rPr>
        <w:t xml:space="preserve"> </w:t>
      </w:r>
      <w:r>
        <w:rPr>
          <w:color w:val="231F20"/>
        </w:rPr>
        <w:t>the</w:t>
      </w:r>
      <w:r>
        <w:rPr>
          <w:color w:val="231F20"/>
          <w:spacing w:val="-16"/>
        </w:rPr>
        <w:t xml:space="preserve"> </w:t>
      </w:r>
      <w:r>
        <w:rPr>
          <w:color w:val="231F20"/>
        </w:rPr>
        <w:t>HSS</w:t>
      </w:r>
      <w:r>
        <w:rPr>
          <w:color w:val="231F20"/>
          <w:spacing w:val="-16"/>
        </w:rPr>
        <w:t xml:space="preserve"> </w:t>
      </w:r>
      <w:r>
        <w:rPr>
          <w:color w:val="231F20"/>
        </w:rPr>
        <w:t>capacity</w:t>
      </w:r>
      <w:r>
        <w:rPr>
          <w:color w:val="231F20"/>
          <w:spacing w:val="-16"/>
        </w:rPr>
        <w:t xml:space="preserve"> </w:t>
      </w:r>
      <w:r>
        <w:rPr>
          <w:color w:val="231F20"/>
        </w:rPr>
        <w:t>utilization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SSHDP</w:t>
      </w:r>
      <w:r>
        <w:rPr>
          <w:color w:val="231F20"/>
          <w:spacing w:val="-20"/>
        </w:rPr>
        <w:t xml:space="preserve"> </w:t>
      </w:r>
      <w:r>
        <w:rPr>
          <w:color w:val="231F20"/>
        </w:rPr>
        <w:t>II</w:t>
      </w:r>
      <w:r>
        <w:rPr>
          <w:color w:val="231F20"/>
          <w:spacing w:val="-16"/>
        </w:rPr>
        <w:t xml:space="preserve"> </w:t>
      </w:r>
      <w:r>
        <w:rPr>
          <w:color w:val="231F20"/>
        </w:rPr>
        <w:t xml:space="preserve">scenarios. For HR, the key assumption considered in the analysis is the average daily work-time of skilled frontline providers (Doctors, Nurse, and Midwives); this has been set at 8hours per </w:t>
      </w:r>
      <w:r>
        <w:rPr>
          <w:color w:val="231F20"/>
          <w:spacing w:val="-5"/>
        </w:rPr>
        <w:t xml:space="preserve">day, </w:t>
      </w:r>
      <w:r>
        <w:rPr>
          <w:color w:val="231F20"/>
        </w:rPr>
        <w:t xml:space="preserve">over </w:t>
      </w:r>
      <w:r>
        <w:rPr>
          <w:color w:val="231F20"/>
          <w:spacing w:val="-11"/>
        </w:rPr>
        <w:t xml:space="preserve">a </w:t>
      </w:r>
      <w:r>
        <w:rPr>
          <w:color w:val="231F20"/>
        </w:rPr>
        <w:t>period</w:t>
      </w:r>
      <w:r>
        <w:rPr>
          <w:color w:val="231F20"/>
          <w:spacing w:val="-14"/>
        </w:rPr>
        <w:t xml:space="preserve"> </w:t>
      </w:r>
      <w:r>
        <w:rPr>
          <w:color w:val="231F20"/>
        </w:rPr>
        <w:t>of</w:t>
      </w:r>
      <w:r>
        <w:rPr>
          <w:color w:val="231F20"/>
          <w:spacing w:val="-13"/>
        </w:rPr>
        <w:t xml:space="preserve"> </w:t>
      </w:r>
      <w:r>
        <w:rPr>
          <w:color w:val="231F20"/>
        </w:rPr>
        <w:t>260days</w:t>
      </w:r>
      <w:r>
        <w:rPr>
          <w:color w:val="231F20"/>
          <w:spacing w:val="-13"/>
        </w:rPr>
        <w:t xml:space="preserve"> </w:t>
      </w:r>
      <w:r>
        <w:rPr>
          <w:color w:val="231F20"/>
        </w:rPr>
        <w:t>annually.</w:t>
      </w:r>
      <w:r>
        <w:rPr>
          <w:color w:val="231F20"/>
          <w:spacing w:val="-25"/>
        </w:rPr>
        <w:t xml:space="preserve"> </w:t>
      </w:r>
      <w:r>
        <w:rPr>
          <w:color w:val="231F20"/>
        </w:rPr>
        <w:t>Available</w:t>
      </w:r>
      <w:r>
        <w:rPr>
          <w:color w:val="231F20"/>
          <w:spacing w:val="-13"/>
        </w:rPr>
        <w:t xml:space="preserve"> </w:t>
      </w:r>
      <w:r>
        <w:rPr>
          <w:color w:val="231F20"/>
        </w:rPr>
        <w:t>staff</w:t>
      </w:r>
      <w:r>
        <w:rPr>
          <w:color w:val="231F20"/>
          <w:spacing w:val="-13"/>
        </w:rPr>
        <w:t xml:space="preserve"> </w:t>
      </w:r>
      <w:r>
        <w:rPr>
          <w:color w:val="231F20"/>
        </w:rPr>
        <w:t>time</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specified</w:t>
      </w:r>
      <w:r>
        <w:rPr>
          <w:color w:val="231F20"/>
          <w:spacing w:val="-13"/>
        </w:rPr>
        <w:t xml:space="preserve"> </w:t>
      </w:r>
      <w:r>
        <w:rPr>
          <w:color w:val="231F20"/>
        </w:rPr>
        <w:t>staff</w:t>
      </w:r>
      <w:r>
        <w:rPr>
          <w:color w:val="231F20"/>
          <w:spacing w:val="-13"/>
        </w:rPr>
        <w:t xml:space="preserve"> </w:t>
      </w:r>
      <w:r>
        <w:rPr>
          <w:color w:val="231F20"/>
        </w:rPr>
        <w:t>types</w:t>
      </w:r>
      <w:r>
        <w:rPr>
          <w:color w:val="231F20"/>
          <w:spacing w:val="-14"/>
        </w:rPr>
        <w:t xml:space="preserve"> </w:t>
      </w:r>
      <w:r>
        <w:rPr>
          <w:color w:val="231F20"/>
        </w:rPr>
        <w:t>was</w:t>
      </w:r>
      <w:r>
        <w:rPr>
          <w:color w:val="231F20"/>
          <w:spacing w:val="-13"/>
        </w:rPr>
        <w:t xml:space="preserve"> </w:t>
      </w:r>
      <w:r>
        <w:rPr>
          <w:color w:val="231F20"/>
        </w:rPr>
        <w:t>compared</w:t>
      </w:r>
      <w:r>
        <w:rPr>
          <w:color w:val="231F20"/>
          <w:spacing w:val="-13"/>
        </w:rPr>
        <w:t xml:space="preserve"> </w:t>
      </w:r>
      <w:r>
        <w:rPr>
          <w:color w:val="231F20"/>
        </w:rPr>
        <w:t>against the</w:t>
      </w:r>
      <w:r>
        <w:rPr>
          <w:color w:val="231F20"/>
          <w:spacing w:val="-26"/>
        </w:rPr>
        <w:t xml:space="preserve"> </w:t>
      </w:r>
      <w:r>
        <w:rPr>
          <w:color w:val="231F20"/>
        </w:rPr>
        <w:t>proposed</w:t>
      </w:r>
      <w:r>
        <w:rPr>
          <w:color w:val="231F20"/>
          <w:spacing w:val="-25"/>
        </w:rPr>
        <w:t xml:space="preserve"> </w:t>
      </w:r>
      <w:r>
        <w:rPr>
          <w:color w:val="231F20"/>
        </w:rPr>
        <w:t>staff</w:t>
      </w:r>
      <w:r>
        <w:rPr>
          <w:color w:val="231F20"/>
          <w:spacing w:val="-25"/>
        </w:rPr>
        <w:t xml:space="preserve"> </w:t>
      </w:r>
      <w:r>
        <w:rPr>
          <w:color w:val="231F20"/>
        </w:rPr>
        <w:t>time</w:t>
      </w:r>
      <w:r>
        <w:rPr>
          <w:color w:val="231F20"/>
          <w:spacing w:val="-25"/>
        </w:rPr>
        <w:t xml:space="preserve"> </w:t>
      </w:r>
      <w:r>
        <w:rPr>
          <w:color w:val="231F20"/>
        </w:rPr>
        <w:t>required</w:t>
      </w:r>
      <w:r>
        <w:rPr>
          <w:color w:val="231F20"/>
          <w:spacing w:val="-25"/>
        </w:rPr>
        <w:t xml:space="preserve"> </w:t>
      </w:r>
      <w:r>
        <w:rPr>
          <w:color w:val="231F20"/>
        </w:rPr>
        <w:t>for</w:t>
      </w:r>
      <w:r>
        <w:rPr>
          <w:color w:val="231F20"/>
          <w:spacing w:val="-25"/>
        </w:rPr>
        <w:t xml:space="preserve"> </w:t>
      </w:r>
      <w:r>
        <w:rPr>
          <w:color w:val="231F20"/>
        </w:rPr>
        <w:t>service</w:t>
      </w:r>
      <w:r>
        <w:rPr>
          <w:color w:val="231F20"/>
          <w:spacing w:val="-25"/>
        </w:rPr>
        <w:t xml:space="preserve"> </w:t>
      </w:r>
      <w:r>
        <w:rPr>
          <w:color w:val="231F20"/>
        </w:rPr>
        <w:t>delivery</w:t>
      </w:r>
      <w:r>
        <w:rPr>
          <w:color w:val="231F20"/>
          <w:spacing w:val="-25"/>
        </w:rPr>
        <w:t xml:space="preserve"> </w:t>
      </w:r>
      <w:r>
        <w:rPr>
          <w:color w:val="231F20"/>
        </w:rPr>
        <w:t>for</w:t>
      </w:r>
      <w:r>
        <w:rPr>
          <w:color w:val="231F20"/>
          <w:spacing w:val="-25"/>
        </w:rPr>
        <w:t xml:space="preserve"> </w:t>
      </w:r>
      <w:r>
        <w:rPr>
          <w:color w:val="231F20"/>
        </w:rPr>
        <w:t>each</w:t>
      </w:r>
      <w:r>
        <w:rPr>
          <w:color w:val="231F20"/>
          <w:spacing w:val="-25"/>
        </w:rPr>
        <w:t xml:space="preserve"> </w:t>
      </w:r>
      <w:r>
        <w:rPr>
          <w:color w:val="231F20"/>
        </w:rPr>
        <w:t>of</w:t>
      </w:r>
      <w:r>
        <w:rPr>
          <w:color w:val="231F20"/>
          <w:spacing w:val="-26"/>
        </w:rPr>
        <w:t xml:space="preserve"> </w:t>
      </w:r>
      <w:r>
        <w:rPr>
          <w:color w:val="231F20"/>
        </w:rPr>
        <w:t>the</w:t>
      </w:r>
      <w:r>
        <w:rPr>
          <w:color w:val="231F20"/>
          <w:spacing w:val="-25"/>
        </w:rPr>
        <w:t xml:space="preserve"> </w:t>
      </w:r>
      <w:r>
        <w:rPr>
          <w:color w:val="231F20"/>
        </w:rPr>
        <w:t>SSHDP</w:t>
      </w:r>
      <w:r>
        <w:rPr>
          <w:color w:val="231F20"/>
          <w:spacing w:val="-29"/>
        </w:rPr>
        <w:t xml:space="preserve"> </w:t>
      </w:r>
      <w:r>
        <w:rPr>
          <w:color w:val="231F20"/>
        </w:rPr>
        <w:t>scenario.</w:t>
      </w:r>
    </w:p>
    <w:p w14:paraId="66B4402B" w14:textId="061869BB" w:rsidR="009948F1" w:rsidRDefault="00BC0563">
      <w:pPr>
        <w:pStyle w:val="BodyText"/>
        <w:spacing w:before="5" w:line="232" w:lineRule="auto"/>
        <w:ind w:left="159" w:right="188"/>
        <w:jc w:val="both"/>
      </w:pPr>
      <w:r>
        <w:rPr>
          <w:color w:val="231F20"/>
        </w:rPr>
        <w:t>Results</w:t>
      </w:r>
      <w:r>
        <w:rPr>
          <w:color w:val="231F20"/>
          <w:spacing w:val="-15"/>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analysis</w:t>
      </w:r>
      <w:r>
        <w:rPr>
          <w:color w:val="231F20"/>
          <w:spacing w:val="-14"/>
        </w:rPr>
        <w:t xml:space="preserve"> </w:t>
      </w:r>
      <w:r>
        <w:rPr>
          <w:color w:val="231F20"/>
        </w:rPr>
        <w:t>presented</w:t>
      </w:r>
      <w:r>
        <w:rPr>
          <w:color w:val="231F20"/>
          <w:spacing w:val="-14"/>
        </w:rPr>
        <w:t xml:space="preserve"> </w:t>
      </w:r>
      <w:r>
        <w:rPr>
          <w:color w:val="231F20"/>
        </w:rPr>
        <w:t>in</w:t>
      </w:r>
      <w:r>
        <w:rPr>
          <w:color w:val="231F20"/>
          <w:spacing w:val="-14"/>
        </w:rPr>
        <w:t xml:space="preserve"> </w:t>
      </w:r>
      <w:r>
        <w:rPr>
          <w:color w:val="231F20"/>
        </w:rPr>
        <w:t>table12,</w:t>
      </w:r>
      <w:r>
        <w:rPr>
          <w:color w:val="231F20"/>
          <w:spacing w:val="-14"/>
        </w:rPr>
        <w:t xml:space="preserve"> </w:t>
      </w:r>
      <w:r>
        <w:rPr>
          <w:color w:val="231F20"/>
        </w:rPr>
        <w:t>below</w:t>
      </w:r>
      <w:r>
        <w:rPr>
          <w:color w:val="231F20"/>
          <w:spacing w:val="-14"/>
        </w:rPr>
        <w:t xml:space="preserve"> </w:t>
      </w:r>
      <w:r>
        <w:rPr>
          <w:color w:val="231F20"/>
        </w:rPr>
        <w:t>illustrate</w:t>
      </w:r>
      <w:r>
        <w:rPr>
          <w:color w:val="231F20"/>
          <w:spacing w:val="-14"/>
        </w:rPr>
        <w:t xml:space="preserve"> </w:t>
      </w:r>
      <w:r>
        <w:rPr>
          <w:color w:val="231F20"/>
        </w:rPr>
        <w:t>the</w:t>
      </w:r>
      <w:r>
        <w:rPr>
          <w:color w:val="231F20"/>
          <w:spacing w:val="-15"/>
        </w:rPr>
        <w:t xml:space="preserve"> </w:t>
      </w:r>
      <w:r>
        <w:rPr>
          <w:color w:val="231F20"/>
        </w:rPr>
        <w:t>percentage</w:t>
      </w:r>
      <w:r>
        <w:rPr>
          <w:color w:val="231F20"/>
          <w:spacing w:val="-14"/>
        </w:rPr>
        <w:t xml:space="preserve"> </w:t>
      </w:r>
      <w:r>
        <w:rPr>
          <w:color w:val="231F20"/>
        </w:rPr>
        <w:t>capacity</w:t>
      </w:r>
      <w:r>
        <w:rPr>
          <w:color w:val="231F20"/>
          <w:spacing w:val="-14"/>
        </w:rPr>
        <w:t xml:space="preserve"> </w:t>
      </w:r>
      <w:r>
        <w:rPr>
          <w:color w:val="231F20"/>
        </w:rPr>
        <w:t>utilization</w:t>
      </w:r>
      <w:r>
        <w:rPr>
          <w:color w:val="231F20"/>
          <w:spacing w:val="-14"/>
        </w:rPr>
        <w:t xml:space="preserve"> </w:t>
      </w:r>
      <w:r>
        <w:rPr>
          <w:color w:val="231F20"/>
        </w:rPr>
        <w:t xml:space="preserve">for each of the specified staff type currently in service. And where gaps were identified, estimates including costs for the additional Staff required to achieve the desired service and impact </w:t>
      </w:r>
      <w:r>
        <w:rPr>
          <w:color w:val="231F20"/>
          <w:spacing w:val="-3"/>
        </w:rPr>
        <w:t xml:space="preserve">targets </w:t>
      </w:r>
      <w:r>
        <w:rPr>
          <w:color w:val="231F20"/>
        </w:rPr>
        <w:t>has been provided. Similar capacity assessment has been conducted for health infrastructure; measuring the current bed day capacity against the need for each scenario. As we review the outputs in the table below, it should be noted that not all health services provided by the Health System were modelled in the One</w:t>
      </w:r>
      <w:r w:rsidR="00407C6C">
        <w:rPr>
          <w:color w:val="231F20"/>
        </w:rPr>
        <w:t xml:space="preserve"> </w:t>
      </w:r>
      <w:r>
        <w:rPr>
          <w:color w:val="231F20"/>
        </w:rPr>
        <w:t>Health tool. For example, a large share of health workers</w:t>
      </w:r>
      <w:r>
        <w:rPr>
          <w:color w:val="231F20"/>
          <w:spacing w:val="-26"/>
        </w:rPr>
        <w:t xml:space="preserve"> </w:t>
      </w:r>
      <w:r>
        <w:rPr>
          <w:color w:val="231F20"/>
          <w:spacing w:val="-3"/>
        </w:rPr>
        <w:t xml:space="preserve">time, </w:t>
      </w:r>
      <w:r>
        <w:rPr>
          <w:color w:val="231F20"/>
        </w:rPr>
        <w:t>may</w:t>
      </w:r>
      <w:r>
        <w:rPr>
          <w:color w:val="231F20"/>
          <w:spacing w:val="-15"/>
        </w:rPr>
        <w:t xml:space="preserve"> </w:t>
      </w:r>
      <w:r>
        <w:rPr>
          <w:color w:val="231F20"/>
        </w:rPr>
        <w:t>be</w:t>
      </w:r>
      <w:r>
        <w:rPr>
          <w:color w:val="231F20"/>
          <w:spacing w:val="-15"/>
        </w:rPr>
        <w:t xml:space="preserve"> </w:t>
      </w:r>
      <w:r>
        <w:rPr>
          <w:color w:val="231F20"/>
        </w:rPr>
        <w:t>spent</w:t>
      </w:r>
      <w:r>
        <w:rPr>
          <w:color w:val="231F20"/>
          <w:spacing w:val="-15"/>
        </w:rPr>
        <w:t xml:space="preserve"> </w:t>
      </w:r>
      <w:r>
        <w:rPr>
          <w:color w:val="231F20"/>
        </w:rPr>
        <w:t>on</w:t>
      </w:r>
      <w:r>
        <w:rPr>
          <w:color w:val="231F20"/>
          <w:spacing w:val="-15"/>
        </w:rPr>
        <w:t xml:space="preserve"> </w:t>
      </w:r>
      <w:r>
        <w:rPr>
          <w:color w:val="231F20"/>
        </w:rPr>
        <w:t>addressing</w:t>
      </w:r>
      <w:r>
        <w:rPr>
          <w:color w:val="231F20"/>
          <w:spacing w:val="-15"/>
        </w:rPr>
        <w:t xml:space="preserve"> </w:t>
      </w:r>
      <w:r>
        <w:rPr>
          <w:color w:val="231F20"/>
        </w:rPr>
        <w:t>care</w:t>
      </w:r>
      <w:r>
        <w:rPr>
          <w:color w:val="231F20"/>
          <w:spacing w:val="-15"/>
        </w:rPr>
        <w:t xml:space="preserve"> </w:t>
      </w:r>
      <w:r>
        <w:rPr>
          <w:color w:val="231F20"/>
        </w:rPr>
        <w:t>seeking</w:t>
      </w:r>
      <w:r>
        <w:rPr>
          <w:color w:val="231F20"/>
          <w:spacing w:val="-15"/>
        </w:rPr>
        <w:t xml:space="preserve"> </w:t>
      </w:r>
      <w:r>
        <w:rPr>
          <w:color w:val="231F20"/>
        </w:rPr>
        <w:t>for</w:t>
      </w:r>
      <w:r>
        <w:rPr>
          <w:color w:val="231F20"/>
          <w:spacing w:val="-15"/>
        </w:rPr>
        <w:t xml:space="preserve"> </w:t>
      </w:r>
      <w:r>
        <w:rPr>
          <w:color w:val="231F20"/>
        </w:rPr>
        <w:t>conditions</w:t>
      </w:r>
      <w:r>
        <w:rPr>
          <w:color w:val="231F20"/>
          <w:spacing w:val="-15"/>
        </w:rPr>
        <w:t xml:space="preserve"> </w:t>
      </w:r>
      <w:r>
        <w:rPr>
          <w:color w:val="231F20"/>
        </w:rPr>
        <w:t>not</w:t>
      </w:r>
      <w:r>
        <w:rPr>
          <w:color w:val="231F20"/>
          <w:spacing w:val="-15"/>
        </w:rPr>
        <w:t xml:space="preserve"> </w:t>
      </w:r>
      <w:r>
        <w:rPr>
          <w:color w:val="231F20"/>
        </w:rPr>
        <w:t>addressed</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projections,</w:t>
      </w:r>
      <w:r>
        <w:rPr>
          <w:color w:val="231F20"/>
          <w:spacing w:val="-15"/>
        </w:rPr>
        <w:t xml:space="preserve"> </w:t>
      </w:r>
      <w:r>
        <w:rPr>
          <w:color w:val="231F20"/>
          <w:spacing w:val="-3"/>
        </w:rPr>
        <w:t xml:space="preserve">e.g., </w:t>
      </w:r>
      <w:r>
        <w:rPr>
          <w:color w:val="231F20"/>
        </w:rPr>
        <w:t>ear</w:t>
      </w:r>
      <w:r>
        <w:rPr>
          <w:color w:val="231F20"/>
          <w:spacing w:val="-5"/>
        </w:rPr>
        <w:t xml:space="preserve"> </w:t>
      </w:r>
      <w:r>
        <w:rPr>
          <w:color w:val="231F20"/>
        </w:rPr>
        <w:t>infection</w:t>
      </w:r>
      <w:r>
        <w:rPr>
          <w:color w:val="231F20"/>
          <w:spacing w:val="-4"/>
        </w:rPr>
        <w:t xml:space="preserve"> </w:t>
      </w:r>
      <w:r>
        <w:rPr>
          <w:color w:val="231F20"/>
        </w:rPr>
        <w:t>and</w:t>
      </w:r>
      <w:r>
        <w:rPr>
          <w:color w:val="231F20"/>
          <w:spacing w:val="-4"/>
        </w:rPr>
        <w:t xml:space="preserve"> </w:t>
      </w:r>
      <w:r>
        <w:rPr>
          <w:color w:val="231F20"/>
        </w:rPr>
        <w:t>general</w:t>
      </w:r>
      <w:r>
        <w:rPr>
          <w:color w:val="231F20"/>
          <w:spacing w:val="-5"/>
        </w:rPr>
        <w:t xml:space="preserve"> </w:t>
      </w:r>
      <w:r>
        <w:rPr>
          <w:color w:val="231F20"/>
        </w:rPr>
        <w:t>injuries</w:t>
      </w:r>
      <w:r>
        <w:rPr>
          <w:color w:val="231F20"/>
          <w:spacing w:val="-4"/>
        </w:rPr>
        <w:t xml:space="preserve"> </w:t>
      </w:r>
      <w:r>
        <w:rPr>
          <w:color w:val="231F20"/>
        </w:rPr>
        <w:t>were</w:t>
      </w:r>
      <w:r>
        <w:rPr>
          <w:color w:val="231F20"/>
          <w:spacing w:val="-4"/>
        </w:rPr>
        <w:t xml:space="preserve"> </w:t>
      </w:r>
      <w:r>
        <w:rPr>
          <w:color w:val="231F20"/>
        </w:rPr>
        <w:t>not</w:t>
      </w:r>
      <w:r>
        <w:rPr>
          <w:color w:val="231F20"/>
          <w:spacing w:val="-5"/>
        </w:rPr>
        <w:t xml:space="preserve"> </w:t>
      </w:r>
      <w:r>
        <w:rPr>
          <w:color w:val="231F20"/>
        </w:rPr>
        <w:t>modelled.</w:t>
      </w:r>
      <w:r>
        <w:rPr>
          <w:color w:val="231F20"/>
          <w:spacing w:val="-16"/>
        </w:rPr>
        <w:t xml:space="preserve"> </w:t>
      </w:r>
      <w:r>
        <w:rPr>
          <w:color w:val="231F20"/>
        </w:rPr>
        <w:t>As</w:t>
      </w:r>
      <w:r>
        <w:rPr>
          <w:color w:val="231F20"/>
          <w:spacing w:val="-4"/>
        </w:rPr>
        <w:t xml:space="preserve"> </w:t>
      </w:r>
      <w:r>
        <w:rPr>
          <w:color w:val="231F20"/>
        </w:rPr>
        <w:t>a</w:t>
      </w:r>
      <w:r>
        <w:rPr>
          <w:color w:val="231F20"/>
          <w:spacing w:val="-5"/>
        </w:rPr>
        <w:t xml:space="preserve"> </w:t>
      </w:r>
      <w:r>
        <w:rPr>
          <w:color w:val="231F20"/>
        </w:rPr>
        <w:t>result,</w:t>
      </w:r>
      <w:r>
        <w:rPr>
          <w:color w:val="231F20"/>
          <w:spacing w:val="-4"/>
        </w:rPr>
        <w:t xml:space="preserve"> </w:t>
      </w:r>
      <w:r>
        <w:rPr>
          <w:color w:val="231F20"/>
        </w:rPr>
        <w:t>the</w:t>
      </w:r>
      <w:r>
        <w:rPr>
          <w:color w:val="231F20"/>
          <w:spacing w:val="-4"/>
        </w:rPr>
        <w:t xml:space="preserve"> </w:t>
      </w:r>
      <w:r>
        <w:rPr>
          <w:color w:val="231F20"/>
        </w:rPr>
        <w:t>Staff</w:t>
      </w:r>
      <w:r>
        <w:rPr>
          <w:color w:val="231F20"/>
          <w:spacing w:val="-5"/>
        </w:rPr>
        <w:t xml:space="preserve"> </w:t>
      </w:r>
      <w:r>
        <w:rPr>
          <w:color w:val="231F20"/>
        </w:rPr>
        <w:t>time</w:t>
      </w:r>
      <w:r>
        <w:rPr>
          <w:color w:val="231F20"/>
          <w:spacing w:val="-4"/>
        </w:rPr>
        <w:t xml:space="preserve"> </w:t>
      </w:r>
      <w:r>
        <w:rPr>
          <w:color w:val="231F20"/>
        </w:rPr>
        <w:t>needs</w:t>
      </w:r>
      <w:r>
        <w:rPr>
          <w:color w:val="231F20"/>
          <w:spacing w:val="-4"/>
        </w:rPr>
        <w:t xml:space="preserve"> </w:t>
      </w:r>
      <w:r>
        <w:rPr>
          <w:color w:val="231F20"/>
        </w:rPr>
        <w:t>captured</w:t>
      </w:r>
      <w:r>
        <w:rPr>
          <w:color w:val="231F20"/>
          <w:spacing w:val="-5"/>
        </w:rPr>
        <w:t xml:space="preserve"> </w:t>
      </w:r>
      <w:r>
        <w:rPr>
          <w:color w:val="231F20"/>
        </w:rPr>
        <w:t>in the table below underestimates the gap and should be considered as the minimum requirement. Another</w:t>
      </w:r>
      <w:r>
        <w:rPr>
          <w:color w:val="231F20"/>
          <w:spacing w:val="-8"/>
        </w:rPr>
        <w:t xml:space="preserve"> </w:t>
      </w:r>
      <w:r>
        <w:rPr>
          <w:color w:val="231F20"/>
        </w:rPr>
        <w:t>vital</w:t>
      </w:r>
      <w:r>
        <w:rPr>
          <w:color w:val="231F20"/>
          <w:spacing w:val="-7"/>
        </w:rPr>
        <w:t xml:space="preserve"> </w:t>
      </w:r>
      <w:r>
        <w:rPr>
          <w:color w:val="231F20"/>
        </w:rPr>
        <w:t>component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health</w:t>
      </w:r>
      <w:r>
        <w:rPr>
          <w:color w:val="231F20"/>
          <w:spacing w:val="-7"/>
        </w:rPr>
        <w:t xml:space="preserve"> </w:t>
      </w:r>
      <w:r>
        <w:rPr>
          <w:color w:val="231F20"/>
        </w:rPr>
        <w:t>System,</w:t>
      </w:r>
      <w:r>
        <w:rPr>
          <w:color w:val="231F20"/>
          <w:spacing w:val="-7"/>
        </w:rPr>
        <w:t xml:space="preserve"> </w:t>
      </w:r>
      <w:r>
        <w:rPr>
          <w:color w:val="231F20"/>
        </w:rPr>
        <w:t>though</w:t>
      </w:r>
      <w:r>
        <w:rPr>
          <w:color w:val="231F20"/>
          <w:spacing w:val="-7"/>
        </w:rPr>
        <w:t xml:space="preserve"> </w:t>
      </w:r>
      <w:r>
        <w:rPr>
          <w:color w:val="231F20"/>
        </w:rPr>
        <w:t>not</w:t>
      </w:r>
      <w:r>
        <w:rPr>
          <w:color w:val="231F20"/>
          <w:spacing w:val="-7"/>
        </w:rPr>
        <w:t xml:space="preserve"> </w:t>
      </w:r>
      <w:r>
        <w:rPr>
          <w:color w:val="231F20"/>
        </w:rPr>
        <w:t>captured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capacity</w:t>
      </w:r>
      <w:r>
        <w:rPr>
          <w:color w:val="231F20"/>
          <w:spacing w:val="-7"/>
        </w:rPr>
        <w:t xml:space="preserve"> </w:t>
      </w:r>
      <w:r>
        <w:rPr>
          <w:color w:val="231F20"/>
        </w:rPr>
        <w:t>assessment</w:t>
      </w:r>
      <w:r>
        <w:rPr>
          <w:color w:val="231F20"/>
          <w:spacing w:val="-7"/>
        </w:rPr>
        <w:t xml:space="preserve"> </w:t>
      </w:r>
      <w:r>
        <w:rPr>
          <w:color w:val="231F20"/>
        </w:rPr>
        <w:t>is the staff time of the private care provider. While this analysis is focused on public sector, it is important</w:t>
      </w:r>
      <w:r>
        <w:rPr>
          <w:color w:val="231F20"/>
          <w:spacing w:val="-19"/>
        </w:rPr>
        <w:t xml:space="preserve"> </w:t>
      </w:r>
      <w:r>
        <w:rPr>
          <w:color w:val="231F20"/>
        </w:rPr>
        <w:t>to</w:t>
      </w:r>
      <w:r>
        <w:rPr>
          <w:color w:val="231F20"/>
          <w:spacing w:val="-18"/>
        </w:rPr>
        <w:t xml:space="preserve"> </w:t>
      </w:r>
      <w:r>
        <w:rPr>
          <w:color w:val="231F20"/>
        </w:rPr>
        <w:t>highlight</w:t>
      </w:r>
      <w:r>
        <w:rPr>
          <w:color w:val="231F20"/>
          <w:spacing w:val="-18"/>
        </w:rPr>
        <w:t xml:space="preserve"> </w:t>
      </w:r>
      <w:r>
        <w:rPr>
          <w:color w:val="231F20"/>
        </w:rPr>
        <w:t>the</w:t>
      </w:r>
      <w:r>
        <w:rPr>
          <w:color w:val="231F20"/>
          <w:spacing w:val="-18"/>
        </w:rPr>
        <w:t xml:space="preserve"> </w:t>
      </w:r>
      <w:r>
        <w:rPr>
          <w:color w:val="231F20"/>
        </w:rPr>
        <w:t>contributions</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private</w:t>
      </w:r>
      <w:r>
        <w:rPr>
          <w:color w:val="231F20"/>
          <w:spacing w:val="-18"/>
        </w:rPr>
        <w:t xml:space="preserve"> </w:t>
      </w:r>
      <w:r>
        <w:rPr>
          <w:color w:val="231F20"/>
        </w:rPr>
        <w:t>sector</w:t>
      </w:r>
      <w:r>
        <w:rPr>
          <w:color w:val="231F20"/>
          <w:spacing w:val="-18"/>
        </w:rPr>
        <w:t xml:space="preserve"> </w:t>
      </w:r>
      <w:r>
        <w:rPr>
          <w:color w:val="231F20"/>
        </w:rPr>
        <w:t>to</w:t>
      </w:r>
      <w:r>
        <w:rPr>
          <w:color w:val="231F20"/>
          <w:spacing w:val="-18"/>
        </w:rPr>
        <w:t xml:space="preserve"> </w:t>
      </w:r>
      <w:r>
        <w:rPr>
          <w:color w:val="231F20"/>
        </w:rPr>
        <w:t>service</w:t>
      </w:r>
      <w:r>
        <w:rPr>
          <w:color w:val="231F20"/>
          <w:spacing w:val="-18"/>
        </w:rPr>
        <w:t xml:space="preserve"> </w:t>
      </w:r>
      <w:r>
        <w:rPr>
          <w:color w:val="231F20"/>
        </w:rPr>
        <w:t>delivery</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State.</w:t>
      </w:r>
      <w:r>
        <w:rPr>
          <w:color w:val="231F20"/>
          <w:spacing w:val="-18"/>
        </w:rPr>
        <w:t xml:space="preserve"> </w:t>
      </w:r>
      <w:r>
        <w:rPr>
          <w:color w:val="231F20"/>
        </w:rPr>
        <w:t>With</w:t>
      </w:r>
      <w:r>
        <w:rPr>
          <w:color w:val="231F20"/>
          <w:spacing w:val="-18"/>
        </w:rPr>
        <w:t xml:space="preserve"> </w:t>
      </w:r>
      <w:r>
        <w:rPr>
          <w:color w:val="231F20"/>
        </w:rPr>
        <w:t>the client</w:t>
      </w:r>
      <w:r>
        <w:rPr>
          <w:color w:val="231F20"/>
          <w:spacing w:val="-24"/>
        </w:rPr>
        <w:t xml:space="preserve"> </w:t>
      </w:r>
      <w:r>
        <w:rPr>
          <w:color w:val="231F20"/>
        </w:rPr>
        <w:t>uptake</w:t>
      </w:r>
      <w:r>
        <w:rPr>
          <w:color w:val="231F20"/>
          <w:spacing w:val="-24"/>
        </w:rPr>
        <w:t xml:space="preserve"> </w:t>
      </w:r>
      <w:r>
        <w:rPr>
          <w:color w:val="231F20"/>
        </w:rPr>
        <w:t>ratio</w:t>
      </w:r>
      <w:r>
        <w:rPr>
          <w:color w:val="231F20"/>
          <w:spacing w:val="-24"/>
        </w:rPr>
        <w:t xml:space="preserve"> </w:t>
      </w:r>
      <w:r>
        <w:rPr>
          <w:color w:val="231F20"/>
        </w:rPr>
        <w:t>across</w:t>
      </w:r>
      <w:r>
        <w:rPr>
          <w:color w:val="231F20"/>
          <w:spacing w:val="-24"/>
        </w:rPr>
        <w:t xml:space="preserve"> </w:t>
      </w:r>
      <w:r>
        <w:rPr>
          <w:color w:val="231F20"/>
        </w:rPr>
        <w:t>both</w:t>
      </w:r>
      <w:r>
        <w:rPr>
          <w:color w:val="231F20"/>
          <w:spacing w:val="-24"/>
        </w:rPr>
        <w:t xml:space="preserve"> </w:t>
      </w:r>
      <w:r>
        <w:rPr>
          <w:color w:val="231F20"/>
        </w:rPr>
        <w:t>Public</w:t>
      </w:r>
      <w:r>
        <w:rPr>
          <w:color w:val="231F20"/>
          <w:spacing w:val="-24"/>
        </w:rPr>
        <w:t xml:space="preserve"> </w:t>
      </w:r>
      <w:r>
        <w:rPr>
          <w:color w:val="231F20"/>
        </w:rPr>
        <w:t>and</w:t>
      </w:r>
      <w:r>
        <w:rPr>
          <w:color w:val="231F20"/>
          <w:spacing w:val="-24"/>
        </w:rPr>
        <w:t xml:space="preserve"> </w:t>
      </w:r>
      <w:r>
        <w:rPr>
          <w:color w:val="231F20"/>
        </w:rPr>
        <w:t>Private</w:t>
      </w:r>
      <w:r>
        <w:rPr>
          <w:color w:val="231F20"/>
          <w:spacing w:val="-24"/>
        </w:rPr>
        <w:t xml:space="preserve"> </w:t>
      </w:r>
      <w:r>
        <w:rPr>
          <w:color w:val="231F20"/>
        </w:rPr>
        <w:t>reported</w:t>
      </w:r>
      <w:r>
        <w:rPr>
          <w:color w:val="231F20"/>
          <w:spacing w:val="-24"/>
        </w:rPr>
        <w:t xml:space="preserve"> </w:t>
      </w:r>
      <w:r>
        <w:rPr>
          <w:color w:val="231F20"/>
        </w:rPr>
        <w:t>as</w:t>
      </w:r>
      <w:r>
        <w:rPr>
          <w:color w:val="231F20"/>
          <w:spacing w:val="-24"/>
        </w:rPr>
        <w:t xml:space="preserve"> </w:t>
      </w:r>
      <w:r>
        <w:rPr>
          <w:color w:val="231F20"/>
        </w:rPr>
        <w:t>in</w:t>
      </w:r>
      <w:r>
        <w:rPr>
          <w:color w:val="231F20"/>
          <w:spacing w:val="-24"/>
        </w:rPr>
        <w:t xml:space="preserve"> </w:t>
      </w:r>
      <w:r>
        <w:rPr>
          <w:color w:val="231F20"/>
        </w:rPr>
        <w:t>DHS</w:t>
      </w:r>
      <w:r>
        <w:rPr>
          <w:color w:val="231F20"/>
          <w:spacing w:val="-24"/>
        </w:rPr>
        <w:t xml:space="preserve"> </w:t>
      </w:r>
      <w:r>
        <w:rPr>
          <w:color w:val="231F20"/>
        </w:rPr>
        <w:t>2013,</w:t>
      </w:r>
      <w:r>
        <w:rPr>
          <w:color w:val="231F20"/>
          <w:spacing w:val="-24"/>
        </w:rPr>
        <w:t xml:space="preserve"> </w:t>
      </w:r>
      <w:r>
        <w:rPr>
          <w:color w:val="231F20"/>
        </w:rPr>
        <w:t>engaging</w:t>
      </w:r>
      <w:r>
        <w:rPr>
          <w:color w:val="231F20"/>
          <w:spacing w:val="-24"/>
        </w:rPr>
        <w:t xml:space="preserve"> </w:t>
      </w:r>
      <w:r>
        <w:rPr>
          <w:color w:val="231F20"/>
        </w:rPr>
        <w:t>contribution</w:t>
      </w:r>
      <w:r>
        <w:rPr>
          <w:color w:val="231F20"/>
          <w:spacing w:val="-24"/>
        </w:rPr>
        <w:t xml:space="preserve"> </w:t>
      </w:r>
      <w:r>
        <w:rPr>
          <w:color w:val="231F20"/>
          <w:spacing w:val="-6"/>
        </w:rPr>
        <w:t xml:space="preserve">of </w:t>
      </w:r>
      <w:r>
        <w:rPr>
          <w:color w:val="231F20"/>
        </w:rPr>
        <w:t>private</w:t>
      </w:r>
      <w:r>
        <w:rPr>
          <w:color w:val="231F20"/>
          <w:spacing w:val="-25"/>
        </w:rPr>
        <w:t xml:space="preserve"> </w:t>
      </w:r>
      <w:r>
        <w:rPr>
          <w:color w:val="231F20"/>
        </w:rPr>
        <w:t>sector</w:t>
      </w:r>
      <w:r>
        <w:rPr>
          <w:color w:val="231F20"/>
          <w:spacing w:val="-25"/>
        </w:rPr>
        <w:t xml:space="preserve"> </w:t>
      </w:r>
      <w:r>
        <w:rPr>
          <w:color w:val="231F20"/>
        </w:rPr>
        <w:t>remains</w:t>
      </w:r>
      <w:r>
        <w:rPr>
          <w:color w:val="231F20"/>
          <w:spacing w:val="-25"/>
        </w:rPr>
        <w:t xml:space="preserve"> </w:t>
      </w:r>
      <w:r>
        <w:rPr>
          <w:color w:val="231F20"/>
        </w:rPr>
        <w:t>imperative.</w:t>
      </w:r>
    </w:p>
    <w:p w14:paraId="2C0EAC48" w14:textId="77777777" w:rsidR="009948F1" w:rsidRDefault="009948F1">
      <w:pPr>
        <w:spacing w:line="232" w:lineRule="auto"/>
        <w:jc w:val="both"/>
        <w:sectPr w:rsidR="009948F1">
          <w:pgSz w:w="11910" w:h="16840"/>
          <w:pgMar w:top="1580" w:right="1080" w:bottom="1420" w:left="1120" w:header="0" w:footer="1235" w:gutter="0"/>
          <w:cols w:space="720"/>
        </w:sectPr>
      </w:pPr>
    </w:p>
    <w:p w14:paraId="49F406E5" w14:textId="77777777" w:rsidR="009948F1" w:rsidRDefault="00BC0563">
      <w:pPr>
        <w:spacing w:before="36"/>
        <w:ind w:left="274"/>
        <w:rPr>
          <w:rFonts w:ascii="Carlito"/>
          <w:b/>
          <w:i/>
          <w:sz w:val="20"/>
        </w:rPr>
      </w:pPr>
      <w:bookmarkStart w:id="131" w:name="Page_109"/>
      <w:bookmarkEnd w:id="131"/>
      <w:r>
        <w:rPr>
          <w:rFonts w:ascii="Carlito"/>
          <w:b/>
          <w:i/>
          <w:color w:val="231F20"/>
          <w:sz w:val="20"/>
        </w:rPr>
        <w:lastRenderedPageBreak/>
        <w:t>Table 12: Analysis of HSS Capacity Utilization across the three Scenarios</w:t>
      </w:r>
    </w:p>
    <w:p w14:paraId="31B956A2" w14:textId="77777777" w:rsidR="009948F1" w:rsidRDefault="009948F1">
      <w:pPr>
        <w:pStyle w:val="BodyText"/>
        <w:rPr>
          <w:rFonts w:ascii="Carlito"/>
          <w:b/>
          <w:i/>
          <w:sz w:val="20"/>
        </w:rPr>
      </w:pPr>
    </w:p>
    <w:p w14:paraId="2E3D5DB8" w14:textId="77777777" w:rsidR="009948F1" w:rsidRDefault="009948F1">
      <w:pPr>
        <w:pStyle w:val="BodyText"/>
        <w:spacing w:before="8" w:after="1"/>
        <w:rPr>
          <w:rFonts w:ascii="Carlito"/>
          <w:b/>
          <w:i/>
          <w:sz w:val="15"/>
        </w:rPr>
      </w:pPr>
    </w:p>
    <w:tbl>
      <w:tblPr>
        <w:tblW w:w="0" w:type="auto"/>
        <w:tblInd w:w="18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32"/>
        <w:gridCol w:w="1163"/>
        <w:gridCol w:w="1670"/>
        <w:gridCol w:w="1427"/>
        <w:gridCol w:w="1678"/>
        <w:gridCol w:w="1162"/>
        <w:gridCol w:w="1206"/>
      </w:tblGrid>
      <w:tr w:rsidR="009948F1" w14:paraId="74683244" w14:textId="77777777">
        <w:trPr>
          <w:trHeight w:val="217"/>
        </w:trPr>
        <w:tc>
          <w:tcPr>
            <w:tcW w:w="9338" w:type="dxa"/>
            <w:gridSpan w:val="7"/>
          </w:tcPr>
          <w:p w14:paraId="03411FA8" w14:textId="77777777" w:rsidR="009948F1" w:rsidRDefault="00BC0563">
            <w:pPr>
              <w:pStyle w:val="TableParagraph"/>
              <w:spacing w:line="197" w:lineRule="exact"/>
              <w:ind w:left="97"/>
              <w:rPr>
                <w:b/>
                <w:sz w:val="20"/>
              </w:rPr>
            </w:pPr>
            <w:r>
              <w:rPr>
                <w:b/>
                <w:color w:val="231F20"/>
                <w:sz w:val="20"/>
              </w:rPr>
              <w:t>HSS Capacity Utilization for Key Staffs and Bed days</w:t>
            </w:r>
          </w:p>
        </w:tc>
      </w:tr>
      <w:tr w:rsidR="009948F1" w14:paraId="0608DB34" w14:textId="77777777">
        <w:trPr>
          <w:trHeight w:val="1296"/>
        </w:trPr>
        <w:tc>
          <w:tcPr>
            <w:tcW w:w="1032" w:type="dxa"/>
            <w:tcBorders>
              <w:bottom w:val="single" w:sz="4" w:space="0" w:color="231F20"/>
              <w:right w:val="single" w:sz="4" w:space="0" w:color="231F20"/>
            </w:tcBorders>
          </w:tcPr>
          <w:p w14:paraId="5C5D4A6C" w14:textId="77777777" w:rsidR="009948F1" w:rsidRDefault="009948F1">
            <w:pPr>
              <w:pStyle w:val="TableParagraph"/>
              <w:spacing w:before="5"/>
              <w:rPr>
                <w:rFonts w:ascii="Carlito"/>
                <w:b/>
                <w:i/>
                <w:sz w:val="16"/>
              </w:rPr>
            </w:pPr>
          </w:p>
          <w:p w14:paraId="01FCFB69" w14:textId="77777777" w:rsidR="009948F1" w:rsidRDefault="00BC0563">
            <w:pPr>
              <w:pStyle w:val="TableParagraph"/>
              <w:spacing w:line="228" w:lineRule="auto"/>
              <w:ind w:left="97" w:right="269"/>
              <w:rPr>
                <w:b/>
                <w:sz w:val="20"/>
              </w:rPr>
            </w:pPr>
            <w:r>
              <w:rPr>
                <w:b/>
                <w:color w:val="231F20"/>
                <w:w w:val="90"/>
                <w:sz w:val="20"/>
              </w:rPr>
              <w:t xml:space="preserve">NSHDP </w:t>
            </w:r>
            <w:r>
              <w:rPr>
                <w:b/>
                <w:color w:val="231F20"/>
                <w:sz w:val="20"/>
              </w:rPr>
              <w:t>II</w:t>
            </w:r>
          </w:p>
          <w:p w14:paraId="6145AD61" w14:textId="77777777" w:rsidR="009948F1" w:rsidRDefault="00BC0563">
            <w:pPr>
              <w:pStyle w:val="TableParagraph"/>
              <w:spacing w:line="225" w:lineRule="auto"/>
              <w:ind w:left="97" w:right="249"/>
              <w:rPr>
                <w:b/>
                <w:sz w:val="20"/>
              </w:rPr>
            </w:pPr>
            <w:proofErr w:type="spellStart"/>
            <w:r>
              <w:rPr>
                <w:b/>
                <w:color w:val="231F20"/>
                <w:w w:val="90"/>
                <w:sz w:val="20"/>
              </w:rPr>
              <w:t>Scenari</w:t>
            </w:r>
            <w:proofErr w:type="spellEnd"/>
            <w:r>
              <w:rPr>
                <w:b/>
                <w:color w:val="231F20"/>
                <w:w w:val="90"/>
                <w:sz w:val="20"/>
              </w:rPr>
              <w:t xml:space="preserve"> </w:t>
            </w:r>
            <w:r>
              <w:rPr>
                <w:b/>
                <w:color w:val="231F20"/>
                <w:sz w:val="20"/>
              </w:rPr>
              <w:t>o</w:t>
            </w:r>
          </w:p>
        </w:tc>
        <w:tc>
          <w:tcPr>
            <w:tcW w:w="1163" w:type="dxa"/>
            <w:tcBorders>
              <w:left w:val="single" w:sz="4" w:space="0" w:color="231F20"/>
              <w:bottom w:val="single" w:sz="4" w:space="0" w:color="231F20"/>
              <w:right w:val="single" w:sz="4" w:space="0" w:color="231F20"/>
            </w:tcBorders>
          </w:tcPr>
          <w:p w14:paraId="491951F5" w14:textId="77777777" w:rsidR="009948F1" w:rsidRDefault="00BC0563">
            <w:pPr>
              <w:pStyle w:val="TableParagraph"/>
              <w:spacing w:before="95" w:line="225" w:lineRule="auto"/>
              <w:ind w:left="101" w:right="21"/>
              <w:rPr>
                <w:b/>
                <w:sz w:val="20"/>
              </w:rPr>
            </w:pPr>
            <w:r>
              <w:rPr>
                <w:b/>
                <w:color w:val="231F20"/>
                <w:w w:val="95"/>
                <w:sz w:val="20"/>
              </w:rPr>
              <w:t xml:space="preserve">Cost of </w:t>
            </w:r>
            <w:r>
              <w:rPr>
                <w:b/>
                <w:color w:val="231F20"/>
                <w:sz w:val="20"/>
              </w:rPr>
              <w:t xml:space="preserve">Plan </w:t>
            </w:r>
            <w:r>
              <w:rPr>
                <w:b/>
                <w:color w:val="231F20"/>
                <w:w w:val="90"/>
                <w:sz w:val="20"/>
              </w:rPr>
              <w:t xml:space="preserve">without </w:t>
            </w:r>
            <w:r>
              <w:rPr>
                <w:b/>
                <w:color w:val="231F20"/>
                <w:sz w:val="20"/>
              </w:rPr>
              <w:t>HSS</w:t>
            </w:r>
          </w:p>
          <w:p w14:paraId="6B6A0E2D" w14:textId="77777777" w:rsidR="009948F1" w:rsidRDefault="00BC0563">
            <w:pPr>
              <w:pStyle w:val="TableParagraph"/>
              <w:spacing w:line="217" w:lineRule="exact"/>
              <w:ind w:left="101"/>
              <w:rPr>
                <w:b/>
                <w:sz w:val="20"/>
              </w:rPr>
            </w:pPr>
            <w:r>
              <w:rPr>
                <w:b/>
                <w:color w:val="231F20"/>
                <w:sz w:val="20"/>
              </w:rPr>
              <w:t>Scale - up</w:t>
            </w:r>
          </w:p>
        </w:tc>
        <w:tc>
          <w:tcPr>
            <w:tcW w:w="1670" w:type="dxa"/>
            <w:tcBorders>
              <w:left w:val="single" w:sz="4" w:space="0" w:color="231F20"/>
              <w:bottom w:val="single" w:sz="4" w:space="0" w:color="231F20"/>
              <w:right w:val="single" w:sz="4" w:space="0" w:color="231F20"/>
            </w:tcBorders>
          </w:tcPr>
          <w:p w14:paraId="5EAEBCF2" w14:textId="77777777" w:rsidR="009948F1" w:rsidRDefault="009948F1">
            <w:pPr>
              <w:pStyle w:val="TableParagraph"/>
              <w:spacing w:before="5"/>
              <w:rPr>
                <w:rFonts w:ascii="Carlito"/>
                <w:b/>
                <w:i/>
                <w:sz w:val="16"/>
              </w:rPr>
            </w:pPr>
          </w:p>
          <w:p w14:paraId="70937FA1" w14:textId="77777777" w:rsidR="009948F1" w:rsidRDefault="00BC0563">
            <w:pPr>
              <w:pStyle w:val="TableParagraph"/>
              <w:spacing w:line="228" w:lineRule="auto"/>
              <w:ind w:left="101" w:right="194" w:firstLine="109"/>
              <w:rPr>
                <w:b/>
                <w:sz w:val="20"/>
              </w:rPr>
            </w:pPr>
            <w:r>
              <w:rPr>
                <w:b/>
                <w:color w:val="231F20"/>
                <w:w w:val="95"/>
                <w:sz w:val="20"/>
              </w:rPr>
              <w:t xml:space="preserve">HSS Capacity </w:t>
            </w:r>
            <w:r>
              <w:rPr>
                <w:b/>
                <w:color w:val="231F20"/>
                <w:sz w:val="20"/>
              </w:rPr>
              <w:t>utilization</w:t>
            </w:r>
          </w:p>
          <w:p w14:paraId="65943D05" w14:textId="77777777" w:rsidR="009948F1" w:rsidRDefault="00BC0563">
            <w:pPr>
              <w:pStyle w:val="TableParagraph"/>
              <w:spacing w:line="225" w:lineRule="auto"/>
              <w:ind w:left="101" w:right="312"/>
              <w:rPr>
                <w:b/>
                <w:sz w:val="20"/>
              </w:rPr>
            </w:pPr>
            <w:r>
              <w:rPr>
                <w:b/>
                <w:color w:val="231F20"/>
                <w:sz w:val="20"/>
              </w:rPr>
              <w:t>(end year) (%)</w:t>
            </w:r>
          </w:p>
        </w:tc>
        <w:tc>
          <w:tcPr>
            <w:tcW w:w="1427" w:type="dxa"/>
            <w:tcBorders>
              <w:left w:val="single" w:sz="4" w:space="0" w:color="231F20"/>
              <w:bottom w:val="single" w:sz="4" w:space="0" w:color="231F20"/>
              <w:right w:val="single" w:sz="4" w:space="0" w:color="231F20"/>
            </w:tcBorders>
          </w:tcPr>
          <w:p w14:paraId="02F5DAA3" w14:textId="77777777" w:rsidR="009948F1" w:rsidRDefault="009948F1">
            <w:pPr>
              <w:pStyle w:val="TableParagraph"/>
              <w:spacing w:before="3"/>
              <w:rPr>
                <w:rFonts w:ascii="Carlito"/>
                <w:b/>
                <w:i/>
                <w:sz w:val="25"/>
              </w:rPr>
            </w:pPr>
          </w:p>
          <w:p w14:paraId="2CD14F52" w14:textId="77777777" w:rsidR="009948F1" w:rsidRDefault="00BC0563">
            <w:pPr>
              <w:pStyle w:val="TableParagraph"/>
              <w:spacing w:line="228" w:lineRule="auto"/>
              <w:ind w:left="102" w:right="534"/>
              <w:rPr>
                <w:b/>
                <w:sz w:val="20"/>
              </w:rPr>
            </w:pPr>
            <w:r>
              <w:rPr>
                <w:b/>
                <w:color w:val="231F20"/>
                <w:w w:val="90"/>
                <w:sz w:val="20"/>
              </w:rPr>
              <w:t xml:space="preserve">mortality </w:t>
            </w:r>
            <w:r>
              <w:rPr>
                <w:b/>
                <w:color w:val="231F20"/>
                <w:sz w:val="20"/>
              </w:rPr>
              <w:t>rate</w:t>
            </w:r>
          </w:p>
          <w:p w14:paraId="74DCC7CB" w14:textId="77777777" w:rsidR="009948F1" w:rsidRDefault="00BC0563">
            <w:pPr>
              <w:pStyle w:val="TableParagraph"/>
              <w:spacing w:line="217" w:lineRule="exact"/>
              <w:ind w:left="102"/>
              <w:rPr>
                <w:b/>
                <w:sz w:val="20"/>
              </w:rPr>
            </w:pPr>
            <w:r>
              <w:rPr>
                <w:b/>
                <w:color w:val="231F20"/>
                <w:sz w:val="20"/>
              </w:rPr>
              <w:t>(end year)</w:t>
            </w:r>
          </w:p>
        </w:tc>
        <w:tc>
          <w:tcPr>
            <w:tcW w:w="1678" w:type="dxa"/>
            <w:tcBorders>
              <w:left w:val="single" w:sz="4" w:space="0" w:color="231F20"/>
              <w:bottom w:val="single" w:sz="4" w:space="0" w:color="231F20"/>
              <w:right w:val="single" w:sz="4" w:space="0" w:color="231F20"/>
            </w:tcBorders>
          </w:tcPr>
          <w:p w14:paraId="54E9A0C5" w14:textId="77777777" w:rsidR="009948F1" w:rsidRDefault="00BC0563">
            <w:pPr>
              <w:pStyle w:val="TableParagraph"/>
              <w:spacing w:before="95" w:line="225" w:lineRule="auto"/>
              <w:ind w:left="102" w:right="310"/>
              <w:rPr>
                <w:b/>
                <w:sz w:val="20"/>
              </w:rPr>
            </w:pPr>
            <w:r>
              <w:rPr>
                <w:b/>
                <w:color w:val="231F20"/>
                <w:sz w:val="20"/>
              </w:rPr>
              <w:t xml:space="preserve">Additional </w:t>
            </w:r>
            <w:r>
              <w:rPr>
                <w:b/>
                <w:color w:val="231F20"/>
                <w:w w:val="95"/>
                <w:sz w:val="20"/>
              </w:rPr>
              <w:t xml:space="preserve">HSS Capacity Required for </w:t>
            </w:r>
            <w:r>
              <w:rPr>
                <w:b/>
                <w:color w:val="231F20"/>
                <w:sz w:val="20"/>
              </w:rPr>
              <w:t>Service delivery (%)</w:t>
            </w:r>
          </w:p>
        </w:tc>
        <w:tc>
          <w:tcPr>
            <w:tcW w:w="1162" w:type="dxa"/>
            <w:tcBorders>
              <w:left w:val="single" w:sz="4" w:space="0" w:color="231F20"/>
              <w:bottom w:val="single" w:sz="4" w:space="0" w:color="231F20"/>
            </w:tcBorders>
          </w:tcPr>
          <w:p w14:paraId="21C9804F" w14:textId="77777777" w:rsidR="009948F1" w:rsidRDefault="00BC0563">
            <w:pPr>
              <w:pStyle w:val="TableParagraph"/>
              <w:spacing w:line="199" w:lineRule="exact"/>
              <w:ind w:left="103"/>
              <w:rPr>
                <w:b/>
                <w:sz w:val="20"/>
              </w:rPr>
            </w:pPr>
            <w:r>
              <w:rPr>
                <w:b/>
                <w:color w:val="231F20"/>
                <w:sz w:val="20"/>
              </w:rPr>
              <w:t>Cost of</w:t>
            </w:r>
          </w:p>
          <w:p w14:paraId="4A4C08E7" w14:textId="77777777" w:rsidR="009948F1" w:rsidRDefault="00BC0563">
            <w:pPr>
              <w:pStyle w:val="TableParagraph"/>
              <w:spacing w:before="2" w:line="228" w:lineRule="auto"/>
              <w:ind w:left="103" w:right="244"/>
              <w:rPr>
                <w:b/>
                <w:sz w:val="20"/>
              </w:rPr>
            </w:pPr>
            <w:r>
              <w:rPr>
                <w:b/>
                <w:color w:val="231F20"/>
                <w:sz w:val="20"/>
              </w:rPr>
              <w:t xml:space="preserve">Plan </w:t>
            </w:r>
            <w:r>
              <w:rPr>
                <w:b/>
                <w:color w:val="231F20"/>
                <w:w w:val="95"/>
                <w:sz w:val="20"/>
              </w:rPr>
              <w:t>with</w:t>
            </w:r>
            <w:r>
              <w:rPr>
                <w:b/>
                <w:color w:val="231F20"/>
                <w:spacing w:val="-29"/>
                <w:w w:val="95"/>
                <w:sz w:val="20"/>
              </w:rPr>
              <w:t xml:space="preserve"> </w:t>
            </w:r>
            <w:r>
              <w:rPr>
                <w:b/>
                <w:color w:val="231F20"/>
                <w:spacing w:val="-5"/>
                <w:w w:val="95"/>
                <w:sz w:val="20"/>
              </w:rPr>
              <w:t>HSS</w:t>
            </w:r>
          </w:p>
          <w:p w14:paraId="61FE5437" w14:textId="77777777" w:rsidR="009948F1" w:rsidRDefault="00BC0563">
            <w:pPr>
              <w:pStyle w:val="TableParagraph"/>
              <w:spacing w:line="225" w:lineRule="auto"/>
              <w:ind w:left="103" w:right="79"/>
              <w:rPr>
                <w:b/>
                <w:sz w:val="20"/>
              </w:rPr>
            </w:pPr>
            <w:r>
              <w:rPr>
                <w:b/>
                <w:color w:val="231F20"/>
                <w:sz w:val="20"/>
              </w:rPr>
              <w:t>Scale - up (end</w:t>
            </w:r>
          </w:p>
          <w:p w14:paraId="74F1BB10" w14:textId="77777777" w:rsidR="009948F1" w:rsidRDefault="00BC0563">
            <w:pPr>
              <w:pStyle w:val="TableParagraph"/>
              <w:spacing w:line="208" w:lineRule="exact"/>
              <w:ind w:left="103"/>
              <w:rPr>
                <w:b/>
                <w:sz w:val="20"/>
              </w:rPr>
            </w:pPr>
            <w:r>
              <w:rPr>
                <w:b/>
                <w:color w:val="231F20"/>
                <w:sz w:val="20"/>
              </w:rPr>
              <w:t>year)</w:t>
            </w:r>
          </w:p>
        </w:tc>
        <w:tc>
          <w:tcPr>
            <w:tcW w:w="1206" w:type="dxa"/>
            <w:tcBorders>
              <w:bottom w:val="single" w:sz="4" w:space="0" w:color="231F20"/>
            </w:tcBorders>
          </w:tcPr>
          <w:p w14:paraId="78A24307" w14:textId="77777777" w:rsidR="009948F1" w:rsidRDefault="00BC0563">
            <w:pPr>
              <w:pStyle w:val="TableParagraph"/>
              <w:spacing w:before="95" w:line="225" w:lineRule="auto"/>
              <w:ind w:left="99" w:right="237"/>
              <w:rPr>
                <w:b/>
                <w:sz w:val="20"/>
              </w:rPr>
            </w:pPr>
            <w:proofErr w:type="spellStart"/>
            <w:r>
              <w:rPr>
                <w:b/>
                <w:color w:val="231F20"/>
                <w:w w:val="90"/>
                <w:sz w:val="20"/>
              </w:rPr>
              <w:t>Additiona</w:t>
            </w:r>
            <w:proofErr w:type="spellEnd"/>
            <w:r>
              <w:rPr>
                <w:b/>
                <w:color w:val="231F20"/>
                <w:w w:val="90"/>
                <w:sz w:val="20"/>
              </w:rPr>
              <w:t xml:space="preserve"> </w:t>
            </w:r>
            <w:r>
              <w:rPr>
                <w:b/>
                <w:color w:val="231F20"/>
                <w:sz w:val="20"/>
              </w:rPr>
              <w:t>l Cost required</w:t>
            </w:r>
          </w:p>
          <w:p w14:paraId="03F26B3E" w14:textId="77777777" w:rsidR="009948F1" w:rsidRDefault="00BC0563">
            <w:pPr>
              <w:pStyle w:val="TableParagraph"/>
              <w:tabs>
                <w:tab w:val="left" w:pos="783"/>
              </w:tabs>
              <w:spacing w:line="225" w:lineRule="auto"/>
              <w:ind w:left="99" w:right="27"/>
              <w:rPr>
                <w:b/>
                <w:sz w:val="20"/>
              </w:rPr>
            </w:pPr>
            <w:r>
              <w:rPr>
                <w:b/>
                <w:color w:val="231F20"/>
                <w:sz w:val="20"/>
              </w:rPr>
              <w:t>with</w:t>
            </w:r>
            <w:r>
              <w:rPr>
                <w:b/>
                <w:color w:val="231F20"/>
                <w:sz w:val="20"/>
              </w:rPr>
              <w:tab/>
            </w:r>
            <w:r>
              <w:rPr>
                <w:b/>
                <w:color w:val="231F20"/>
                <w:spacing w:val="-6"/>
                <w:w w:val="90"/>
                <w:sz w:val="20"/>
              </w:rPr>
              <w:t xml:space="preserve">HSS </w:t>
            </w:r>
            <w:r>
              <w:rPr>
                <w:b/>
                <w:color w:val="231F20"/>
                <w:sz w:val="20"/>
              </w:rPr>
              <w:t>Scale -</w:t>
            </w:r>
            <w:r>
              <w:rPr>
                <w:b/>
                <w:color w:val="231F20"/>
                <w:spacing w:val="-23"/>
                <w:sz w:val="20"/>
              </w:rPr>
              <w:t xml:space="preserve"> </w:t>
            </w:r>
            <w:r>
              <w:rPr>
                <w:b/>
                <w:color w:val="231F20"/>
                <w:sz w:val="20"/>
              </w:rPr>
              <w:t>up</w:t>
            </w:r>
          </w:p>
        </w:tc>
      </w:tr>
      <w:tr w:rsidR="009948F1" w14:paraId="177277F3" w14:textId="77777777">
        <w:trPr>
          <w:trHeight w:val="997"/>
        </w:trPr>
        <w:tc>
          <w:tcPr>
            <w:tcW w:w="1032" w:type="dxa"/>
            <w:tcBorders>
              <w:top w:val="single" w:sz="4" w:space="0" w:color="231F20"/>
              <w:bottom w:val="single" w:sz="4" w:space="0" w:color="231F20"/>
              <w:right w:val="single" w:sz="4" w:space="0" w:color="231F20"/>
            </w:tcBorders>
            <w:shd w:val="clear" w:color="auto" w:fill="E3EFE7"/>
          </w:tcPr>
          <w:p w14:paraId="1CCE1DC7" w14:textId="77777777" w:rsidR="009948F1" w:rsidRDefault="009948F1">
            <w:pPr>
              <w:pStyle w:val="TableParagraph"/>
              <w:spacing w:before="4"/>
              <w:rPr>
                <w:rFonts w:ascii="Carlito"/>
                <w:b/>
                <w:i/>
              </w:rPr>
            </w:pPr>
          </w:p>
          <w:p w14:paraId="2A592480" w14:textId="77777777" w:rsidR="009948F1" w:rsidRDefault="00BC0563">
            <w:pPr>
              <w:pStyle w:val="TableParagraph"/>
              <w:spacing w:line="223" w:lineRule="auto"/>
              <w:ind w:left="97" w:right="239"/>
              <w:rPr>
                <w:sz w:val="20"/>
              </w:rPr>
            </w:pPr>
            <w:proofErr w:type="spellStart"/>
            <w:r>
              <w:rPr>
                <w:color w:val="231F20"/>
                <w:w w:val="90"/>
                <w:sz w:val="20"/>
              </w:rPr>
              <w:t>Moderat</w:t>
            </w:r>
            <w:proofErr w:type="spellEnd"/>
            <w:r>
              <w:rPr>
                <w:color w:val="231F20"/>
                <w:w w:val="90"/>
                <w:sz w:val="20"/>
              </w:rPr>
              <w:t xml:space="preserve"> </w:t>
            </w:r>
            <w:r>
              <w:rPr>
                <w:color w:val="231F20"/>
                <w:sz w:val="20"/>
              </w:rPr>
              <w:t>e</w:t>
            </w:r>
          </w:p>
        </w:tc>
        <w:tc>
          <w:tcPr>
            <w:tcW w:w="1163" w:type="dxa"/>
            <w:tcBorders>
              <w:top w:val="single" w:sz="4" w:space="0" w:color="231F20"/>
              <w:left w:val="single" w:sz="4" w:space="0" w:color="231F20"/>
              <w:bottom w:val="single" w:sz="4" w:space="0" w:color="231F20"/>
              <w:right w:val="single" w:sz="4" w:space="0" w:color="231F20"/>
            </w:tcBorders>
            <w:shd w:val="clear" w:color="auto" w:fill="E3EFE7"/>
          </w:tcPr>
          <w:p w14:paraId="38DA07BC" w14:textId="77777777" w:rsidR="009948F1" w:rsidRDefault="009948F1">
            <w:pPr>
              <w:pStyle w:val="TableParagraph"/>
              <w:rPr>
                <w:rFonts w:ascii="Carlito"/>
                <w:b/>
                <w:i/>
                <w:sz w:val="18"/>
              </w:rPr>
            </w:pPr>
          </w:p>
          <w:p w14:paraId="1F678AD8" w14:textId="77777777" w:rsidR="009948F1" w:rsidRDefault="009948F1">
            <w:pPr>
              <w:pStyle w:val="TableParagraph"/>
              <w:spacing w:before="1"/>
              <w:rPr>
                <w:rFonts w:ascii="Carlito"/>
                <w:b/>
                <w:i/>
                <w:sz w:val="15"/>
              </w:rPr>
            </w:pPr>
          </w:p>
          <w:p w14:paraId="62464840" w14:textId="77777777" w:rsidR="009948F1" w:rsidRDefault="00BC0563">
            <w:pPr>
              <w:pStyle w:val="TableParagraph"/>
              <w:spacing w:before="1"/>
              <w:ind w:left="101"/>
              <w:rPr>
                <w:rFonts w:ascii="Georgia"/>
                <w:sz w:val="18"/>
              </w:rPr>
            </w:pPr>
            <w:r>
              <w:rPr>
                <w:rFonts w:ascii="Georgia"/>
                <w:color w:val="231F20"/>
                <w:sz w:val="18"/>
              </w:rPr>
              <w:t>? 176,213M</w:t>
            </w:r>
          </w:p>
        </w:tc>
        <w:tc>
          <w:tcPr>
            <w:tcW w:w="1670" w:type="dxa"/>
            <w:tcBorders>
              <w:top w:val="single" w:sz="4" w:space="0" w:color="231F20"/>
              <w:left w:val="single" w:sz="4" w:space="0" w:color="231F20"/>
              <w:bottom w:val="single" w:sz="4" w:space="0" w:color="231F20"/>
              <w:right w:val="single" w:sz="4" w:space="0" w:color="231F20"/>
            </w:tcBorders>
            <w:shd w:val="clear" w:color="auto" w:fill="E3EFE7"/>
          </w:tcPr>
          <w:p w14:paraId="3D4E998A" w14:textId="77777777" w:rsidR="009948F1" w:rsidRDefault="00BC0563">
            <w:pPr>
              <w:pStyle w:val="TableParagraph"/>
              <w:spacing w:before="64" w:line="266" w:lineRule="auto"/>
              <w:ind w:left="101" w:right="81"/>
              <w:jc w:val="both"/>
              <w:rPr>
                <w:rFonts w:ascii="Georgia" w:hAnsi="Georgia"/>
                <w:sz w:val="18"/>
              </w:rPr>
            </w:pPr>
            <w:r>
              <w:rPr>
                <w:rFonts w:ascii="Georgia" w:hAnsi="Georgia"/>
                <w:color w:val="231F20"/>
                <w:sz w:val="18"/>
              </w:rPr>
              <w:t xml:space="preserve">A.) Doctor - 225% </w:t>
            </w:r>
            <w:r>
              <w:rPr>
                <w:rFonts w:ascii="Georgia" w:hAnsi="Georgia"/>
                <w:color w:val="231F20"/>
                <w:w w:val="95"/>
                <w:sz w:val="18"/>
              </w:rPr>
              <w:t>B.) Nurses – 1021% C.) Midwives -</w:t>
            </w:r>
            <w:r>
              <w:rPr>
                <w:rFonts w:ascii="Georgia" w:hAnsi="Georgia"/>
                <w:color w:val="231F20"/>
                <w:spacing w:val="-21"/>
                <w:w w:val="95"/>
                <w:sz w:val="18"/>
              </w:rPr>
              <w:t xml:space="preserve"> </w:t>
            </w:r>
            <w:r>
              <w:rPr>
                <w:rFonts w:ascii="Georgia" w:hAnsi="Georgia"/>
                <w:color w:val="231F20"/>
                <w:w w:val="95"/>
                <w:sz w:val="18"/>
              </w:rPr>
              <w:t xml:space="preserve">**nil </w:t>
            </w:r>
            <w:r>
              <w:rPr>
                <w:rFonts w:ascii="Georgia" w:hAnsi="Georgia"/>
                <w:color w:val="231F20"/>
                <w:sz w:val="18"/>
              </w:rPr>
              <w:t>D.)</w:t>
            </w:r>
            <w:r>
              <w:rPr>
                <w:rFonts w:ascii="Georgia" w:hAnsi="Georgia"/>
                <w:color w:val="231F20"/>
                <w:spacing w:val="-29"/>
                <w:sz w:val="18"/>
              </w:rPr>
              <w:t xml:space="preserve"> </w:t>
            </w:r>
            <w:r>
              <w:rPr>
                <w:rFonts w:ascii="Georgia" w:hAnsi="Georgia"/>
                <w:color w:val="231F20"/>
                <w:sz w:val="18"/>
              </w:rPr>
              <w:t>Bed</w:t>
            </w:r>
            <w:r>
              <w:rPr>
                <w:rFonts w:ascii="Georgia" w:hAnsi="Georgia"/>
                <w:color w:val="231F20"/>
                <w:spacing w:val="-28"/>
                <w:sz w:val="18"/>
              </w:rPr>
              <w:t xml:space="preserve"> </w:t>
            </w:r>
            <w:r>
              <w:rPr>
                <w:rFonts w:ascii="Georgia" w:hAnsi="Georgia"/>
                <w:color w:val="231F20"/>
                <w:sz w:val="18"/>
              </w:rPr>
              <w:t>days</w:t>
            </w:r>
            <w:r>
              <w:rPr>
                <w:rFonts w:ascii="Georgia" w:hAnsi="Georgia"/>
                <w:color w:val="231F20"/>
                <w:spacing w:val="-23"/>
                <w:sz w:val="18"/>
              </w:rPr>
              <w:t xml:space="preserve"> </w:t>
            </w:r>
            <w:r>
              <w:rPr>
                <w:rFonts w:ascii="Georgia" w:hAnsi="Georgia"/>
                <w:color w:val="231F20"/>
                <w:sz w:val="18"/>
              </w:rPr>
              <w:t>-86%</w:t>
            </w:r>
          </w:p>
        </w:tc>
        <w:tc>
          <w:tcPr>
            <w:tcW w:w="1427" w:type="dxa"/>
            <w:tcBorders>
              <w:top w:val="single" w:sz="4" w:space="0" w:color="231F20"/>
              <w:left w:val="single" w:sz="4" w:space="0" w:color="231F20"/>
              <w:bottom w:val="single" w:sz="4" w:space="0" w:color="231F20"/>
              <w:right w:val="single" w:sz="4" w:space="0" w:color="231F20"/>
            </w:tcBorders>
            <w:shd w:val="clear" w:color="auto" w:fill="E3EFE7"/>
          </w:tcPr>
          <w:p w14:paraId="0B651841" w14:textId="77777777" w:rsidR="009948F1" w:rsidRDefault="00BC0563">
            <w:pPr>
              <w:pStyle w:val="TableParagraph"/>
              <w:spacing w:before="64" w:line="266" w:lineRule="auto"/>
              <w:ind w:left="102"/>
              <w:rPr>
                <w:rFonts w:ascii="Georgia"/>
                <w:sz w:val="18"/>
              </w:rPr>
            </w:pPr>
            <w:r>
              <w:rPr>
                <w:rFonts w:ascii="Georgia"/>
                <w:color w:val="231F20"/>
                <w:w w:val="95"/>
                <w:sz w:val="18"/>
              </w:rPr>
              <w:t xml:space="preserve">MMR: </w:t>
            </w:r>
            <w:r>
              <w:rPr>
                <w:rFonts w:ascii="Georgia"/>
                <w:color w:val="231F20"/>
                <w:w w:val="85"/>
                <w:sz w:val="18"/>
              </w:rPr>
              <w:t>498/100,000</w:t>
            </w:r>
          </w:p>
          <w:p w14:paraId="40603647" w14:textId="77777777" w:rsidR="009948F1" w:rsidRDefault="009948F1">
            <w:pPr>
              <w:pStyle w:val="TableParagraph"/>
              <w:spacing w:before="6"/>
              <w:rPr>
                <w:rFonts w:ascii="Carlito"/>
                <w:b/>
                <w:i/>
                <w:sz w:val="18"/>
              </w:rPr>
            </w:pPr>
          </w:p>
          <w:p w14:paraId="460F1244" w14:textId="77777777" w:rsidR="009948F1" w:rsidRDefault="00BC0563">
            <w:pPr>
              <w:pStyle w:val="TableParagraph"/>
              <w:spacing w:before="1"/>
              <w:ind w:left="102"/>
              <w:rPr>
                <w:rFonts w:ascii="Georgia"/>
                <w:sz w:val="18"/>
              </w:rPr>
            </w:pPr>
            <w:r>
              <w:rPr>
                <w:rFonts w:ascii="Georgia"/>
                <w:color w:val="231F20"/>
                <w:w w:val="90"/>
                <w:sz w:val="18"/>
              </w:rPr>
              <w:t>U-5MR: 47/1,000</w:t>
            </w:r>
          </w:p>
        </w:tc>
        <w:tc>
          <w:tcPr>
            <w:tcW w:w="1678" w:type="dxa"/>
            <w:tcBorders>
              <w:top w:val="single" w:sz="4" w:space="0" w:color="231F20"/>
              <w:left w:val="single" w:sz="4" w:space="0" w:color="231F20"/>
              <w:bottom w:val="single" w:sz="4" w:space="0" w:color="231F20"/>
              <w:right w:val="single" w:sz="4" w:space="0" w:color="231F20"/>
            </w:tcBorders>
            <w:shd w:val="clear" w:color="auto" w:fill="E3EFE7"/>
          </w:tcPr>
          <w:p w14:paraId="4B3C97B0" w14:textId="77777777" w:rsidR="009948F1" w:rsidRDefault="00BC0563">
            <w:pPr>
              <w:pStyle w:val="TableParagraph"/>
              <w:spacing w:before="64" w:line="266" w:lineRule="auto"/>
              <w:ind w:left="102" w:right="80"/>
              <w:jc w:val="both"/>
              <w:rPr>
                <w:rFonts w:ascii="Georgia" w:hAnsi="Georgia"/>
                <w:sz w:val="18"/>
              </w:rPr>
            </w:pPr>
            <w:r>
              <w:rPr>
                <w:rFonts w:ascii="Georgia" w:hAnsi="Georgia"/>
                <w:color w:val="231F20"/>
                <w:w w:val="95"/>
                <w:sz w:val="18"/>
              </w:rPr>
              <w:t xml:space="preserve">A.) Doctor -125% B.) Nurses – 921% </w:t>
            </w:r>
            <w:r>
              <w:rPr>
                <w:rFonts w:ascii="Georgia" w:hAnsi="Georgia"/>
                <w:color w:val="231F20"/>
                <w:w w:val="90"/>
                <w:sz w:val="18"/>
              </w:rPr>
              <w:t xml:space="preserve">C.) Midwives -100% </w:t>
            </w:r>
            <w:r>
              <w:rPr>
                <w:rFonts w:ascii="Georgia" w:hAnsi="Georgia"/>
                <w:color w:val="231F20"/>
                <w:w w:val="95"/>
                <w:sz w:val="18"/>
              </w:rPr>
              <w:t>D.) Bed days - NA</w:t>
            </w:r>
          </w:p>
        </w:tc>
        <w:tc>
          <w:tcPr>
            <w:tcW w:w="1162" w:type="dxa"/>
            <w:tcBorders>
              <w:top w:val="single" w:sz="4" w:space="0" w:color="231F20"/>
              <w:left w:val="single" w:sz="4" w:space="0" w:color="231F20"/>
              <w:bottom w:val="single" w:sz="4" w:space="0" w:color="231F20"/>
            </w:tcBorders>
            <w:shd w:val="clear" w:color="auto" w:fill="E3EFE7"/>
          </w:tcPr>
          <w:p w14:paraId="6E9424BC" w14:textId="77777777" w:rsidR="009948F1" w:rsidRDefault="009948F1">
            <w:pPr>
              <w:pStyle w:val="TableParagraph"/>
              <w:rPr>
                <w:rFonts w:ascii="Carlito"/>
                <w:b/>
                <w:i/>
                <w:sz w:val="18"/>
              </w:rPr>
            </w:pPr>
          </w:p>
          <w:p w14:paraId="44522C6B" w14:textId="77777777" w:rsidR="009948F1" w:rsidRDefault="009948F1">
            <w:pPr>
              <w:pStyle w:val="TableParagraph"/>
              <w:spacing w:before="1"/>
              <w:rPr>
                <w:rFonts w:ascii="Carlito"/>
                <w:b/>
                <w:i/>
                <w:sz w:val="15"/>
              </w:rPr>
            </w:pPr>
          </w:p>
          <w:p w14:paraId="1F7EE2E9" w14:textId="77777777" w:rsidR="009948F1" w:rsidRDefault="00BC0563">
            <w:pPr>
              <w:pStyle w:val="TableParagraph"/>
              <w:spacing w:before="1"/>
              <w:ind w:left="103"/>
              <w:rPr>
                <w:rFonts w:ascii="Georgia"/>
                <w:sz w:val="18"/>
              </w:rPr>
            </w:pPr>
            <w:r>
              <w:rPr>
                <w:rFonts w:ascii="Georgia"/>
                <w:color w:val="231F20"/>
                <w:w w:val="95"/>
                <w:sz w:val="18"/>
              </w:rPr>
              <w:t>? 220,189M</w:t>
            </w:r>
          </w:p>
        </w:tc>
        <w:tc>
          <w:tcPr>
            <w:tcW w:w="1206" w:type="dxa"/>
            <w:tcBorders>
              <w:top w:val="single" w:sz="4" w:space="0" w:color="231F20"/>
              <w:bottom w:val="single" w:sz="4" w:space="0" w:color="231F20"/>
            </w:tcBorders>
            <w:shd w:val="clear" w:color="auto" w:fill="E3EFE7"/>
          </w:tcPr>
          <w:p w14:paraId="61D3B68C" w14:textId="77777777" w:rsidR="009948F1" w:rsidRDefault="009948F1">
            <w:pPr>
              <w:pStyle w:val="TableParagraph"/>
              <w:rPr>
                <w:rFonts w:ascii="Carlito"/>
                <w:b/>
                <w:i/>
                <w:sz w:val="18"/>
              </w:rPr>
            </w:pPr>
          </w:p>
          <w:p w14:paraId="120EF1A7" w14:textId="77777777" w:rsidR="009948F1" w:rsidRDefault="009948F1">
            <w:pPr>
              <w:pStyle w:val="TableParagraph"/>
              <w:spacing w:before="1"/>
              <w:rPr>
                <w:rFonts w:ascii="Carlito"/>
                <w:b/>
                <w:i/>
                <w:sz w:val="15"/>
              </w:rPr>
            </w:pPr>
          </w:p>
          <w:p w14:paraId="62595082" w14:textId="77777777" w:rsidR="009948F1" w:rsidRDefault="00BC0563">
            <w:pPr>
              <w:pStyle w:val="TableParagraph"/>
              <w:spacing w:before="1"/>
              <w:ind w:left="99"/>
              <w:rPr>
                <w:rFonts w:ascii="Georgia"/>
                <w:sz w:val="18"/>
              </w:rPr>
            </w:pPr>
            <w:r>
              <w:rPr>
                <w:rFonts w:ascii="Georgia"/>
                <w:color w:val="231F20"/>
                <w:w w:val="95"/>
                <w:sz w:val="18"/>
              </w:rPr>
              <w:t>? 43,976M</w:t>
            </w:r>
          </w:p>
        </w:tc>
      </w:tr>
      <w:tr w:rsidR="009948F1" w14:paraId="1DD13EFA" w14:textId="77777777">
        <w:trPr>
          <w:trHeight w:val="1066"/>
        </w:trPr>
        <w:tc>
          <w:tcPr>
            <w:tcW w:w="1032" w:type="dxa"/>
            <w:tcBorders>
              <w:top w:val="single" w:sz="4" w:space="0" w:color="231F20"/>
              <w:right w:val="single" w:sz="4" w:space="0" w:color="231F20"/>
            </w:tcBorders>
            <w:shd w:val="clear" w:color="auto" w:fill="C9E3D2"/>
          </w:tcPr>
          <w:p w14:paraId="1D706E43" w14:textId="77777777" w:rsidR="009948F1" w:rsidRDefault="009948F1">
            <w:pPr>
              <w:pStyle w:val="TableParagraph"/>
              <w:spacing w:before="9"/>
              <w:rPr>
                <w:rFonts w:ascii="Carlito"/>
                <w:b/>
                <w:i/>
                <w:sz w:val="24"/>
              </w:rPr>
            </w:pPr>
          </w:p>
          <w:p w14:paraId="7D42B0AA" w14:textId="77777777" w:rsidR="009948F1" w:rsidRDefault="00BC0563">
            <w:pPr>
              <w:pStyle w:val="TableParagraph"/>
              <w:spacing w:before="1" w:line="225" w:lineRule="auto"/>
              <w:ind w:left="97" w:right="239"/>
              <w:rPr>
                <w:sz w:val="20"/>
              </w:rPr>
            </w:pPr>
            <w:r>
              <w:rPr>
                <w:color w:val="231F20"/>
                <w:w w:val="90"/>
                <w:sz w:val="20"/>
              </w:rPr>
              <w:t xml:space="preserve">Aggress </w:t>
            </w:r>
            <w:proofErr w:type="spellStart"/>
            <w:r>
              <w:rPr>
                <w:color w:val="231F20"/>
                <w:sz w:val="20"/>
              </w:rPr>
              <w:t>ive</w:t>
            </w:r>
            <w:proofErr w:type="spellEnd"/>
          </w:p>
        </w:tc>
        <w:tc>
          <w:tcPr>
            <w:tcW w:w="1163" w:type="dxa"/>
            <w:tcBorders>
              <w:top w:val="single" w:sz="4" w:space="0" w:color="231F20"/>
              <w:left w:val="single" w:sz="4" w:space="0" w:color="231F20"/>
              <w:right w:val="single" w:sz="4" w:space="0" w:color="231F20"/>
            </w:tcBorders>
            <w:shd w:val="clear" w:color="auto" w:fill="C9E3D2"/>
          </w:tcPr>
          <w:p w14:paraId="02807009" w14:textId="77777777" w:rsidR="009948F1" w:rsidRDefault="009948F1">
            <w:pPr>
              <w:pStyle w:val="TableParagraph"/>
              <w:rPr>
                <w:rFonts w:ascii="Carlito"/>
                <w:b/>
                <w:i/>
                <w:sz w:val="18"/>
              </w:rPr>
            </w:pPr>
          </w:p>
          <w:p w14:paraId="1456A991" w14:textId="77777777" w:rsidR="009948F1" w:rsidRDefault="009948F1">
            <w:pPr>
              <w:pStyle w:val="TableParagraph"/>
              <w:spacing w:before="11"/>
              <w:rPr>
                <w:rFonts w:ascii="Carlito"/>
                <w:b/>
                <w:i/>
                <w:sz w:val="17"/>
              </w:rPr>
            </w:pPr>
          </w:p>
          <w:p w14:paraId="5BB3DE2B" w14:textId="77777777" w:rsidR="009948F1" w:rsidRDefault="00BC0563">
            <w:pPr>
              <w:pStyle w:val="TableParagraph"/>
              <w:ind w:left="101"/>
              <w:rPr>
                <w:rFonts w:ascii="Georgia"/>
                <w:sz w:val="18"/>
              </w:rPr>
            </w:pPr>
            <w:r>
              <w:rPr>
                <w:rFonts w:ascii="Georgia"/>
                <w:color w:val="231F20"/>
                <w:w w:val="90"/>
                <w:sz w:val="18"/>
              </w:rPr>
              <w:t>? 220,864M</w:t>
            </w:r>
          </w:p>
        </w:tc>
        <w:tc>
          <w:tcPr>
            <w:tcW w:w="1670" w:type="dxa"/>
            <w:tcBorders>
              <w:top w:val="single" w:sz="4" w:space="0" w:color="231F20"/>
              <w:left w:val="single" w:sz="4" w:space="0" w:color="231F20"/>
              <w:right w:val="single" w:sz="4" w:space="0" w:color="231F20"/>
            </w:tcBorders>
            <w:shd w:val="clear" w:color="auto" w:fill="C9E3D2"/>
          </w:tcPr>
          <w:p w14:paraId="1E5EF4D6" w14:textId="77777777" w:rsidR="009948F1" w:rsidRDefault="00BC0563">
            <w:pPr>
              <w:pStyle w:val="TableParagraph"/>
              <w:spacing w:before="99" w:line="266" w:lineRule="auto"/>
              <w:ind w:left="101" w:right="82"/>
              <w:jc w:val="both"/>
              <w:rPr>
                <w:rFonts w:ascii="Georgia" w:hAnsi="Georgia"/>
                <w:sz w:val="18"/>
              </w:rPr>
            </w:pPr>
            <w:r>
              <w:rPr>
                <w:rFonts w:ascii="Georgia" w:hAnsi="Georgia"/>
                <w:color w:val="231F20"/>
                <w:sz w:val="18"/>
              </w:rPr>
              <w:t xml:space="preserve">A.) Doctor - 268% </w:t>
            </w:r>
            <w:r>
              <w:rPr>
                <w:rFonts w:ascii="Georgia" w:hAnsi="Georgia"/>
                <w:color w:val="231F20"/>
                <w:w w:val="95"/>
                <w:sz w:val="18"/>
              </w:rPr>
              <w:t>B.) Nurses – 1319% C.) Midwives -**nil D.) Bed days -107%</w:t>
            </w:r>
          </w:p>
        </w:tc>
        <w:tc>
          <w:tcPr>
            <w:tcW w:w="1427" w:type="dxa"/>
            <w:tcBorders>
              <w:top w:val="single" w:sz="4" w:space="0" w:color="231F20"/>
              <w:left w:val="single" w:sz="4" w:space="0" w:color="231F20"/>
              <w:right w:val="single" w:sz="4" w:space="0" w:color="231F20"/>
            </w:tcBorders>
            <w:shd w:val="clear" w:color="auto" w:fill="C9E3D2"/>
          </w:tcPr>
          <w:p w14:paraId="3BE367B8" w14:textId="77777777" w:rsidR="009948F1" w:rsidRDefault="00BC0563">
            <w:pPr>
              <w:pStyle w:val="TableParagraph"/>
              <w:spacing w:before="99" w:line="264" w:lineRule="auto"/>
              <w:ind w:left="102"/>
              <w:rPr>
                <w:rFonts w:ascii="Georgia"/>
                <w:sz w:val="18"/>
              </w:rPr>
            </w:pPr>
            <w:r>
              <w:rPr>
                <w:rFonts w:ascii="Georgia"/>
                <w:color w:val="231F20"/>
                <w:w w:val="95"/>
                <w:sz w:val="18"/>
              </w:rPr>
              <w:t xml:space="preserve">MMR: </w:t>
            </w:r>
            <w:r>
              <w:rPr>
                <w:rFonts w:ascii="Georgia"/>
                <w:color w:val="231F20"/>
                <w:w w:val="85"/>
                <w:sz w:val="18"/>
              </w:rPr>
              <w:t>462/100,000</w:t>
            </w:r>
          </w:p>
          <w:p w14:paraId="1E0EDD9B" w14:textId="77777777" w:rsidR="009948F1" w:rsidRDefault="009948F1">
            <w:pPr>
              <w:pStyle w:val="TableParagraph"/>
              <w:spacing w:before="10"/>
              <w:rPr>
                <w:rFonts w:ascii="Carlito"/>
                <w:b/>
                <w:i/>
                <w:sz w:val="18"/>
              </w:rPr>
            </w:pPr>
          </w:p>
          <w:p w14:paraId="3B583C08" w14:textId="77777777" w:rsidR="009948F1" w:rsidRDefault="00BC0563">
            <w:pPr>
              <w:pStyle w:val="TableParagraph"/>
              <w:ind w:left="102"/>
              <w:rPr>
                <w:rFonts w:ascii="Georgia"/>
                <w:sz w:val="18"/>
              </w:rPr>
            </w:pPr>
            <w:r>
              <w:rPr>
                <w:rFonts w:ascii="Georgia"/>
                <w:color w:val="231F20"/>
                <w:w w:val="90"/>
                <w:sz w:val="18"/>
              </w:rPr>
              <w:t>U-5MR: 42/1,000</w:t>
            </w:r>
          </w:p>
        </w:tc>
        <w:tc>
          <w:tcPr>
            <w:tcW w:w="1678" w:type="dxa"/>
            <w:tcBorders>
              <w:top w:val="single" w:sz="4" w:space="0" w:color="231F20"/>
              <w:left w:val="single" w:sz="4" w:space="0" w:color="231F20"/>
              <w:right w:val="single" w:sz="4" w:space="0" w:color="231F20"/>
            </w:tcBorders>
            <w:shd w:val="clear" w:color="auto" w:fill="C9E3D2"/>
          </w:tcPr>
          <w:p w14:paraId="4303C5A4" w14:textId="77777777" w:rsidR="009948F1" w:rsidRDefault="00BC0563">
            <w:pPr>
              <w:pStyle w:val="TableParagraph"/>
              <w:spacing w:before="99" w:line="266" w:lineRule="auto"/>
              <w:ind w:left="102" w:right="80"/>
              <w:jc w:val="both"/>
              <w:rPr>
                <w:rFonts w:ascii="Georgia" w:hAnsi="Georgia"/>
                <w:sz w:val="18"/>
              </w:rPr>
            </w:pPr>
            <w:r>
              <w:rPr>
                <w:rFonts w:ascii="Georgia" w:hAnsi="Georgia"/>
                <w:color w:val="231F20"/>
                <w:w w:val="95"/>
                <w:sz w:val="18"/>
              </w:rPr>
              <w:t xml:space="preserve">A.) Doctor - 168% B.) Nurses – 1219% </w:t>
            </w:r>
            <w:r>
              <w:rPr>
                <w:rFonts w:ascii="Georgia" w:hAnsi="Georgia"/>
                <w:color w:val="231F20"/>
                <w:w w:val="90"/>
                <w:sz w:val="18"/>
              </w:rPr>
              <w:t xml:space="preserve">C.) Midwives -100% </w:t>
            </w:r>
            <w:r>
              <w:rPr>
                <w:rFonts w:ascii="Georgia" w:hAnsi="Georgia"/>
                <w:color w:val="231F20"/>
                <w:w w:val="95"/>
                <w:sz w:val="18"/>
              </w:rPr>
              <w:t>D.) Bed days -7%</w:t>
            </w:r>
          </w:p>
        </w:tc>
        <w:tc>
          <w:tcPr>
            <w:tcW w:w="1162" w:type="dxa"/>
            <w:tcBorders>
              <w:top w:val="single" w:sz="4" w:space="0" w:color="231F20"/>
              <w:left w:val="single" w:sz="4" w:space="0" w:color="231F20"/>
            </w:tcBorders>
            <w:shd w:val="clear" w:color="auto" w:fill="C9E3D2"/>
          </w:tcPr>
          <w:p w14:paraId="02C1EA0A" w14:textId="77777777" w:rsidR="009948F1" w:rsidRDefault="009948F1">
            <w:pPr>
              <w:pStyle w:val="TableParagraph"/>
              <w:rPr>
                <w:rFonts w:ascii="Carlito"/>
                <w:b/>
                <w:i/>
                <w:sz w:val="18"/>
              </w:rPr>
            </w:pPr>
          </w:p>
          <w:p w14:paraId="643C43B8" w14:textId="77777777" w:rsidR="009948F1" w:rsidRDefault="009948F1">
            <w:pPr>
              <w:pStyle w:val="TableParagraph"/>
              <w:spacing w:before="11"/>
              <w:rPr>
                <w:rFonts w:ascii="Carlito"/>
                <w:b/>
                <w:i/>
                <w:sz w:val="17"/>
              </w:rPr>
            </w:pPr>
          </w:p>
          <w:p w14:paraId="76FECBA0" w14:textId="77777777" w:rsidR="009948F1" w:rsidRDefault="00BC0563">
            <w:pPr>
              <w:pStyle w:val="TableParagraph"/>
              <w:ind w:left="103"/>
              <w:rPr>
                <w:rFonts w:ascii="Georgia"/>
                <w:sz w:val="18"/>
              </w:rPr>
            </w:pPr>
            <w:r>
              <w:rPr>
                <w:rFonts w:ascii="Georgia"/>
                <w:color w:val="231F20"/>
                <w:w w:val="95"/>
                <w:sz w:val="18"/>
              </w:rPr>
              <w:t>? 282,686M</w:t>
            </w:r>
          </w:p>
        </w:tc>
        <w:tc>
          <w:tcPr>
            <w:tcW w:w="1206" w:type="dxa"/>
            <w:tcBorders>
              <w:top w:val="single" w:sz="4" w:space="0" w:color="231F20"/>
            </w:tcBorders>
            <w:shd w:val="clear" w:color="auto" w:fill="C9E3D2"/>
          </w:tcPr>
          <w:p w14:paraId="27D6AB8B" w14:textId="77777777" w:rsidR="009948F1" w:rsidRDefault="009948F1">
            <w:pPr>
              <w:pStyle w:val="TableParagraph"/>
              <w:rPr>
                <w:rFonts w:ascii="Carlito"/>
                <w:b/>
                <w:i/>
                <w:sz w:val="18"/>
              </w:rPr>
            </w:pPr>
          </w:p>
          <w:p w14:paraId="717FB50E" w14:textId="77777777" w:rsidR="009948F1" w:rsidRDefault="009948F1">
            <w:pPr>
              <w:pStyle w:val="TableParagraph"/>
              <w:spacing w:before="11"/>
              <w:rPr>
                <w:rFonts w:ascii="Carlito"/>
                <w:b/>
                <w:i/>
                <w:sz w:val="17"/>
              </w:rPr>
            </w:pPr>
          </w:p>
          <w:p w14:paraId="4B51D7D1" w14:textId="77777777" w:rsidR="009948F1" w:rsidRDefault="00BC0563">
            <w:pPr>
              <w:pStyle w:val="TableParagraph"/>
              <w:ind w:left="99"/>
              <w:rPr>
                <w:rFonts w:ascii="Georgia"/>
                <w:sz w:val="18"/>
              </w:rPr>
            </w:pPr>
            <w:r>
              <w:rPr>
                <w:rFonts w:ascii="Georgia"/>
                <w:color w:val="231F20"/>
                <w:sz w:val="18"/>
              </w:rPr>
              <w:t>? 61,821M</w:t>
            </w:r>
          </w:p>
        </w:tc>
      </w:tr>
    </w:tbl>
    <w:p w14:paraId="7F69AC52" w14:textId="77777777" w:rsidR="009948F1" w:rsidRDefault="009948F1">
      <w:pPr>
        <w:pStyle w:val="BodyText"/>
        <w:rPr>
          <w:rFonts w:ascii="Carlito"/>
          <w:b/>
          <w:i/>
          <w:sz w:val="20"/>
        </w:rPr>
      </w:pPr>
    </w:p>
    <w:p w14:paraId="1404CC23" w14:textId="77777777" w:rsidR="009948F1" w:rsidRDefault="009948F1">
      <w:pPr>
        <w:pStyle w:val="BodyText"/>
        <w:spacing w:before="7"/>
        <w:rPr>
          <w:rFonts w:ascii="Carlito"/>
          <w:b/>
          <w:i/>
          <w:sz w:val="16"/>
        </w:rPr>
      </w:pPr>
    </w:p>
    <w:p w14:paraId="1718286B" w14:textId="77777777" w:rsidR="009948F1" w:rsidRDefault="00BC0563">
      <w:pPr>
        <w:pStyle w:val="Heading7"/>
        <w:ind w:left="155"/>
        <w:jc w:val="both"/>
      </w:pPr>
      <w:r>
        <w:rPr>
          <w:color w:val="231F20"/>
        </w:rPr>
        <w:t>*NA: No scale-up required; **nil: no baseline information was provided</w:t>
      </w:r>
    </w:p>
    <w:p w14:paraId="14D35236" w14:textId="277C077B" w:rsidR="009948F1" w:rsidRDefault="00BC0563">
      <w:pPr>
        <w:pStyle w:val="BodyText"/>
        <w:spacing w:before="12" w:line="249" w:lineRule="auto"/>
        <w:ind w:left="154" w:right="177"/>
        <w:jc w:val="both"/>
      </w:pPr>
      <w:r>
        <w:rPr>
          <w:color w:val="231F20"/>
        </w:rPr>
        <w:t>From</w:t>
      </w:r>
      <w:r>
        <w:rPr>
          <w:color w:val="231F20"/>
          <w:spacing w:val="-18"/>
        </w:rPr>
        <w:t xml:space="preserve"> </w:t>
      </w:r>
      <w:r>
        <w:rPr>
          <w:color w:val="231F20"/>
        </w:rPr>
        <w:t>the</w:t>
      </w:r>
      <w:r>
        <w:rPr>
          <w:color w:val="231F20"/>
          <w:spacing w:val="-18"/>
        </w:rPr>
        <w:t xml:space="preserve"> </w:t>
      </w:r>
      <w:r>
        <w:rPr>
          <w:color w:val="231F20"/>
        </w:rPr>
        <w:t>information</w:t>
      </w:r>
      <w:r>
        <w:rPr>
          <w:color w:val="231F20"/>
          <w:spacing w:val="-16"/>
        </w:rPr>
        <w:t xml:space="preserve"> </w:t>
      </w:r>
      <w:r>
        <w:rPr>
          <w:color w:val="231F20"/>
        </w:rPr>
        <w:t>provided</w:t>
      </w:r>
      <w:r>
        <w:rPr>
          <w:color w:val="231F20"/>
          <w:spacing w:val="-17"/>
        </w:rPr>
        <w:t xml:space="preserve"> </w:t>
      </w:r>
      <w:r>
        <w:rPr>
          <w:color w:val="231F20"/>
        </w:rPr>
        <w:t>in</w:t>
      </w:r>
      <w:r>
        <w:rPr>
          <w:color w:val="231F20"/>
          <w:spacing w:val="-17"/>
        </w:rPr>
        <w:t xml:space="preserve"> </w:t>
      </w:r>
      <w:r>
        <w:rPr>
          <w:color w:val="231F20"/>
        </w:rPr>
        <w:t>table</w:t>
      </w:r>
      <w:r>
        <w:rPr>
          <w:color w:val="231F20"/>
          <w:spacing w:val="-17"/>
        </w:rPr>
        <w:t xml:space="preserve"> </w:t>
      </w:r>
      <w:r>
        <w:rPr>
          <w:color w:val="231F20"/>
        </w:rPr>
        <w:t>6</w:t>
      </w:r>
      <w:r>
        <w:rPr>
          <w:color w:val="231F20"/>
          <w:spacing w:val="-17"/>
        </w:rPr>
        <w:t xml:space="preserve"> </w:t>
      </w:r>
      <w:r>
        <w:rPr>
          <w:color w:val="231F20"/>
        </w:rPr>
        <w:t>above,</w:t>
      </w:r>
      <w:r>
        <w:rPr>
          <w:color w:val="231F20"/>
          <w:spacing w:val="-17"/>
        </w:rPr>
        <w:t xml:space="preserve"> </w:t>
      </w:r>
      <w:r>
        <w:rPr>
          <w:color w:val="231F20"/>
        </w:rPr>
        <w:t>the</w:t>
      </w:r>
      <w:r>
        <w:rPr>
          <w:color w:val="231F20"/>
          <w:spacing w:val="-17"/>
        </w:rPr>
        <w:t xml:space="preserve"> </w:t>
      </w:r>
      <w:r>
        <w:rPr>
          <w:color w:val="231F20"/>
        </w:rPr>
        <w:t>staff</w:t>
      </w:r>
      <w:r>
        <w:rPr>
          <w:color w:val="231F20"/>
          <w:spacing w:val="-18"/>
        </w:rPr>
        <w:t xml:space="preserve"> </w:t>
      </w:r>
      <w:r>
        <w:rPr>
          <w:color w:val="231F20"/>
        </w:rPr>
        <w:t>capacity</w:t>
      </w:r>
      <w:r>
        <w:rPr>
          <w:color w:val="231F20"/>
          <w:spacing w:val="-17"/>
        </w:rPr>
        <w:t xml:space="preserve"> </w:t>
      </w:r>
      <w:r>
        <w:rPr>
          <w:color w:val="231F20"/>
        </w:rPr>
        <w:t>utilization</w:t>
      </w:r>
      <w:r>
        <w:rPr>
          <w:color w:val="231F20"/>
          <w:spacing w:val="-16"/>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key</w:t>
      </w:r>
      <w:r>
        <w:rPr>
          <w:color w:val="231F20"/>
          <w:spacing w:val="-18"/>
        </w:rPr>
        <w:t xml:space="preserve"> </w:t>
      </w:r>
      <w:r>
        <w:rPr>
          <w:color w:val="231F20"/>
        </w:rPr>
        <w:t>frontline</w:t>
      </w:r>
      <w:r>
        <w:rPr>
          <w:color w:val="231F20"/>
          <w:spacing w:val="-16"/>
        </w:rPr>
        <w:t xml:space="preserve"> </w:t>
      </w:r>
      <w:r>
        <w:rPr>
          <w:color w:val="231F20"/>
        </w:rPr>
        <w:t>staff at</w:t>
      </w:r>
      <w:r>
        <w:rPr>
          <w:color w:val="231F20"/>
          <w:spacing w:val="-16"/>
        </w:rPr>
        <w:t xml:space="preserve"> </w:t>
      </w:r>
      <w:r>
        <w:rPr>
          <w:color w:val="231F20"/>
        </w:rPr>
        <w:t>end</w:t>
      </w:r>
      <w:r>
        <w:rPr>
          <w:color w:val="231F20"/>
          <w:spacing w:val="-17"/>
        </w:rPr>
        <w:t xml:space="preserve"> </w:t>
      </w:r>
      <w:r>
        <w:rPr>
          <w:color w:val="231F20"/>
        </w:rPr>
        <w:t>year</w:t>
      </w:r>
      <w:r>
        <w:rPr>
          <w:color w:val="231F20"/>
          <w:spacing w:val="-16"/>
        </w:rPr>
        <w:t xml:space="preserve"> </w:t>
      </w:r>
      <w:r>
        <w:rPr>
          <w:color w:val="231F20"/>
        </w:rPr>
        <w:t>shows</w:t>
      </w:r>
      <w:r>
        <w:rPr>
          <w:color w:val="231F20"/>
          <w:spacing w:val="-16"/>
        </w:rPr>
        <w:t xml:space="preserve"> </w:t>
      </w:r>
      <w:r>
        <w:rPr>
          <w:color w:val="231F20"/>
        </w:rPr>
        <w:t>that</w:t>
      </w:r>
      <w:r>
        <w:rPr>
          <w:color w:val="231F20"/>
          <w:spacing w:val="-16"/>
        </w:rPr>
        <w:t xml:space="preserve"> </w:t>
      </w:r>
      <w:r>
        <w:rPr>
          <w:color w:val="231F20"/>
        </w:rPr>
        <w:t>the</w:t>
      </w:r>
      <w:r>
        <w:rPr>
          <w:color w:val="231F20"/>
          <w:spacing w:val="-16"/>
        </w:rPr>
        <w:t xml:space="preserve"> </w:t>
      </w:r>
      <w:r>
        <w:rPr>
          <w:color w:val="231F20"/>
        </w:rPr>
        <w:t>number</w:t>
      </w:r>
      <w:r>
        <w:rPr>
          <w:color w:val="231F20"/>
          <w:spacing w:val="-16"/>
        </w:rPr>
        <w:t xml:space="preserve"> </w:t>
      </w:r>
      <w:r>
        <w:rPr>
          <w:color w:val="231F20"/>
        </w:rPr>
        <w:t>of</w:t>
      </w:r>
      <w:r>
        <w:rPr>
          <w:color w:val="231F20"/>
          <w:spacing w:val="-16"/>
        </w:rPr>
        <w:t xml:space="preserve"> </w:t>
      </w:r>
      <w:r>
        <w:rPr>
          <w:color w:val="231F20"/>
        </w:rPr>
        <w:t>doctors</w:t>
      </w:r>
      <w:r>
        <w:rPr>
          <w:color w:val="231F20"/>
          <w:spacing w:val="-16"/>
        </w:rPr>
        <w:t xml:space="preserve"> </w:t>
      </w:r>
      <w:r>
        <w:rPr>
          <w:color w:val="231F20"/>
        </w:rPr>
        <w:t>and</w:t>
      </w:r>
      <w:r>
        <w:rPr>
          <w:color w:val="231F20"/>
          <w:spacing w:val="-16"/>
        </w:rPr>
        <w:t xml:space="preserve"> </w:t>
      </w:r>
      <w:r>
        <w:rPr>
          <w:color w:val="231F20"/>
        </w:rPr>
        <w:t>nurses</w:t>
      </w:r>
      <w:r>
        <w:rPr>
          <w:color w:val="231F20"/>
          <w:spacing w:val="-16"/>
        </w:rPr>
        <w:t xml:space="preserve"> </w:t>
      </w:r>
      <w:r>
        <w:rPr>
          <w:color w:val="231F20"/>
        </w:rPr>
        <w:t>provided</w:t>
      </w:r>
      <w:r>
        <w:rPr>
          <w:color w:val="231F20"/>
          <w:spacing w:val="-16"/>
        </w:rPr>
        <w:t xml:space="preserve"> </w:t>
      </w:r>
      <w:r>
        <w:rPr>
          <w:color w:val="231F20"/>
        </w:rPr>
        <w:t>have</w:t>
      </w:r>
      <w:r>
        <w:rPr>
          <w:color w:val="231F20"/>
          <w:spacing w:val="-16"/>
        </w:rPr>
        <w:t xml:space="preserve"> </w:t>
      </w:r>
      <w:r>
        <w:rPr>
          <w:color w:val="231F20"/>
        </w:rPr>
        <w:t>exceeded</w:t>
      </w:r>
      <w:r>
        <w:rPr>
          <w:color w:val="231F20"/>
          <w:spacing w:val="-16"/>
        </w:rPr>
        <w:t xml:space="preserve"> </w:t>
      </w:r>
      <w:r>
        <w:rPr>
          <w:color w:val="231F20"/>
        </w:rPr>
        <w:t>their</w:t>
      </w:r>
      <w:r>
        <w:rPr>
          <w:color w:val="231F20"/>
          <w:spacing w:val="-16"/>
        </w:rPr>
        <w:t xml:space="preserve"> </w:t>
      </w:r>
      <w:r>
        <w:rPr>
          <w:color w:val="231F20"/>
        </w:rPr>
        <w:t>capacity</w:t>
      </w:r>
      <w:r>
        <w:rPr>
          <w:color w:val="231F20"/>
          <w:spacing w:val="-16"/>
        </w:rPr>
        <w:t xml:space="preserve"> </w:t>
      </w:r>
      <w:r>
        <w:rPr>
          <w:color w:val="231F20"/>
          <w:spacing w:val="-7"/>
        </w:rPr>
        <w:t xml:space="preserve">to </w:t>
      </w:r>
      <w:r>
        <w:rPr>
          <w:color w:val="231F20"/>
        </w:rPr>
        <w:t xml:space="preserve">deliver the required service needs of the base, moderate and aggressive </w:t>
      </w:r>
      <w:r>
        <w:rPr>
          <w:color w:val="231F20"/>
          <w:spacing w:val="-3"/>
        </w:rPr>
        <w:t>scenarios.</w:t>
      </w:r>
      <w:r w:rsidR="00C84576">
        <w:rPr>
          <w:color w:val="231F20"/>
          <w:spacing w:val="-3"/>
        </w:rPr>
        <w:t xml:space="preserve"> </w:t>
      </w:r>
      <w:r>
        <w:rPr>
          <w:color w:val="231F20"/>
          <w:spacing w:val="-3"/>
        </w:rPr>
        <w:t xml:space="preserve">To </w:t>
      </w:r>
      <w:r>
        <w:rPr>
          <w:color w:val="231F20"/>
        </w:rPr>
        <w:t xml:space="preserve">attain </w:t>
      </w:r>
      <w:r>
        <w:rPr>
          <w:color w:val="231F20"/>
          <w:spacing w:val="-5"/>
        </w:rPr>
        <w:t xml:space="preserve">the </w:t>
      </w:r>
      <w:r>
        <w:rPr>
          <w:color w:val="231F20"/>
        </w:rPr>
        <w:t>17.5% average increase in service coverage across all interventions, and the attended 14% reduction in maternal mortality modelled in the moderate scenario, an addition of 125% doctors, 921%</w:t>
      </w:r>
      <w:r>
        <w:rPr>
          <w:color w:val="231F20"/>
          <w:spacing w:val="-19"/>
        </w:rPr>
        <w:t xml:space="preserve"> </w:t>
      </w:r>
      <w:r>
        <w:rPr>
          <w:color w:val="231F20"/>
        </w:rPr>
        <w:t>nurses</w:t>
      </w:r>
      <w:r>
        <w:rPr>
          <w:color w:val="231F20"/>
          <w:spacing w:val="-19"/>
        </w:rPr>
        <w:t xml:space="preserve"> </w:t>
      </w:r>
      <w:r>
        <w:rPr>
          <w:color w:val="231F20"/>
        </w:rPr>
        <w:t>and</w:t>
      </w:r>
      <w:r>
        <w:rPr>
          <w:color w:val="231F20"/>
          <w:spacing w:val="-19"/>
        </w:rPr>
        <w:t xml:space="preserve"> </w:t>
      </w:r>
      <w:r>
        <w:rPr>
          <w:color w:val="231F20"/>
        </w:rPr>
        <w:t>100%</w:t>
      </w:r>
      <w:r>
        <w:rPr>
          <w:color w:val="231F20"/>
          <w:spacing w:val="-19"/>
        </w:rPr>
        <w:t xml:space="preserve"> </w:t>
      </w:r>
      <w:r>
        <w:rPr>
          <w:color w:val="231F20"/>
        </w:rPr>
        <w:t>midwives</w:t>
      </w:r>
      <w:r>
        <w:rPr>
          <w:color w:val="231F20"/>
          <w:spacing w:val="-18"/>
        </w:rPr>
        <w:t xml:space="preserve"> </w:t>
      </w:r>
      <w:r>
        <w:rPr>
          <w:color w:val="231F20"/>
        </w:rPr>
        <w:t>would</w:t>
      </w:r>
      <w:r>
        <w:rPr>
          <w:color w:val="231F20"/>
          <w:spacing w:val="-19"/>
        </w:rPr>
        <w:t xml:space="preserve"> </w:t>
      </w:r>
      <w:r>
        <w:rPr>
          <w:color w:val="231F20"/>
        </w:rPr>
        <w:t>be</w:t>
      </w:r>
      <w:r>
        <w:rPr>
          <w:color w:val="231F20"/>
          <w:spacing w:val="-19"/>
        </w:rPr>
        <w:t xml:space="preserve"> </w:t>
      </w:r>
      <w:r>
        <w:rPr>
          <w:color w:val="231F20"/>
        </w:rPr>
        <w:t>required.</w:t>
      </w:r>
      <w:r>
        <w:rPr>
          <w:color w:val="231F20"/>
          <w:spacing w:val="-19"/>
        </w:rPr>
        <w:t xml:space="preserve"> </w:t>
      </w:r>
      <w:r>
        <w:rPr>
          <w:color w:val="231F20"/>
        </w:rPr>
        <w:t>Based</w:t>
      </w:r>
      <w:r>
        <w:rPr>
          <w:color w:val="231F20"/>
          <w:spacing w:val="-19"/>
        </w:rPr>
        <w:t xml:space="preserve"> </w:t>
      </w:r>
      <w:r>
        <w:rPr>
          <w:color w:val="231F20"/>
        </w:rPr>
        <w:t>on</w:t>
      </w:r>
      <w:r>
        <w:rPr>
          <w:color w:val="231F20"/>
          <w:spacing w:val="-18"/>
        </w:rPr>
        <w:t xml:space="preserve"> </w:t>
      </w:r>
      <w:r>
        <w:rPr>
          <w:color w:val="231F20"/>
        </w:rPr>
        <w:t>the</w:t>
      </w:r>
      <w:r>
        <w:rPr>
          <w:color w:val="231F20"/>
          <w:spacing w:val="-19"/>
        </w:rPr>
        <w:t xml:space="preserve"> </w:t>
      </w:r>
      <w:r>
        <w:rPr>
          <w:color w:val="231F20"/>
        </w:rPr>
        <w:t>existing</w:t>
      </w:r>
      <w:r>
        <w:rPr>
          <w:color w:val="231F20"/>
          <w:spacing w:val="-19"/>
        </w:rPr>
        <w:t xml:space="preserve"> </w:t>
      </w:r>
      <w:r>
        <w:rPr>
          <w:color w:val="231F20"/>
        </w:rPr>
        <w:t>capacity</w:t>
      </w:r>
      <w:r>
        <w:rPr>
          <w:color w:val="231F20"/>
          <w:spacing w:val="-19"/>
        </w:rPr>
        <w:t xml:space="preserve"> </w:t>
      </w:r>
      <w:r>
        <w:rPr>
          <w:color w:val="231F20"/>
        </w:rPr>
        <w:t>of</w:t>
      </w:r>
      <w:r>
        <w:rPr>
          <w:color w:val="231F20"/>
          <w:spacing w:val="-19"/>
        </w:rPr>
        <w:t xml:space="preserve"> </w:t>
      </w:r>
      <w:r>
        <w:rPr>
          <w:color w:val="231F20"/>
        </w:rPr>
        <w:t>bed</w:t>
      </w:r>
      <w:r>
        <w:rPr>
          <w:color w:val="231F20"/>
          <w:spacing w:val="-18"/>
        </w:rPr>
        <w:t xml:space="preserve"> </w:t>
      </w:r>
      <w:r>
        <w:rPr>
          <w:color w:val="231F20"/>
        </w:rPr>
        <w:t xml:space="preserve">spaces spread across the </w:t>
      </w:r>
      <w:r>
        <w:rPr>
          <w:color w:val="231F20"/>
          <w:spacing w:val="-3"/>
        </w:rPr>
        <w:t xml:space="preserve">primary, </w:t>
      </w:r>
      <w:r>
        <w:rPr>
          <w:color w:val="231F20"/>
        </w:rPr>
        <w:t>secondary, and tertiary health facilities, only 86% bed days utilization would</w:t>
      </w:r>
      <w:r>
        <w:rPr>
          <w:color w:val="231F20"/>
          <w:spacing w:val="-22"/>
        </w:rPr>
        <w:t xml:space="preserve"> </w:t>
      </w:r>
      <w:r>
        <w:rPr>
          <w:color w:val="231F20"/>
        </w:rPr>
        <w:t>be</w:t>
      </w:r>
      <w:r>
        <w:rPr>
          <w:color w:val="231F20"/>
          <w:spacing w:val="-22"/>
        </w:rPr>
        <w:t xml:space="preserve"> </w:t>
      </w:r>
      <w:r>
        <w:rPr>
          <w:color w:val="231F20"/>
        </w:rPr>
        <w:t>achieved</w:t>
      </w:r>
      <w:r>
        <w:rPr>
          <w:color w:val="231F20"/>
          <w:spacing w:val="-22"/>
        </w:rPr>
        <w:t xml:space="preserve"> </w:t>
      </w:r>
      <w:r>
        <w:rPr>
          <w:color w:val="231F20"/>
        </w:rPr>
        <w:t>at</w:t>
      </w:r>
      <w:r>
        <w:rPr>
          <w:color w:val="231F20"/>
          <w:spacing w:val="-22"/>
        </w:rPr>
        <w:t xml:space="preserve"> </w:t>
      </w:r>
      <w:r>
        <w:rPr>
          <w:color w:val="231F20"/>
        </w:rPr>
        <w:t>the</w:t>
      </w:r>
      <w:r>
        <w:rPr>
          <w:color w:val="231F20"/>
          <w:spacing w:val="-22"/>
        </w:rPr>
        <w:t xml:space="preserve"> </w:t>
      </w:r>
      <w:r>
        <w:rPr>
          <w:color w:val="231F20"/>
        </w:rPr>
        <w:t>end</w:t>
      </w:r>
      <w:r>
        <w:rPr>
          <w:color w:val="231F20"/>
          <w:spacing w:val="-22"/>
        </w:rPr>
        <w:t xml:space="preserve"> </w:t>
      </w:r>
      <w:r>
        <w:rPr>
          <w:color w:val="231F20"/>
          <w:spacing w:val="-3"/>
        </w:rPr>
        <w:t>year.</w:t>
      </w:r>
      <w:r>
        <w:rPr>
          <w:color w:val="231F20"/>
          <w:spacing w:val="-22"/>
        </w:rPr>
        <w:t xml:space="preserve"> </w:t>
      </w:r>
      <w:r>
        <w:rPr>
          <w:color w:val="231F20"/>
        </w:rPr>
        <w:t>Hence,</w:t>
      </w:r>
      <w:r>
        <w:rPr>
          <w:color w:val="231F20"/>
          <w:spacing w:val="-22"/>
        </w:rPr>
        <w:t xml:space="preserve"> </w:t>
      </w:r>
      <w:r>
        <w:rPr>
          <w:color w:val="231F20"/>
        </w:rPr>
        <w:t>no</w:t>
      </w:r>
      <w:r>
        <w:rPr>
          <w:color w:val="231F20"/>
          <w:spacing w:val="-22"/>
        </w:rPr>
        <w:t xml:space="preserve"> </w:t>
      </w:r>
      <w:r>
        <w:rPr>
          <w:color w:val="231F20"/>
        </w:rPr>
        <w:t>additional</w:t>
      </w:r>
      <w:r>
        <w:rPr>
          <w:color w:val="231F20"/>
          <w:spacing w:val="-21"/>
        </w:rPr>
        <w:t xml:space="preserve"> </w:t>
      </w:r>
      <w:r>
        <w:rPr>
          <w:color w:val="231F20"/>
        </w:rPr>
        <w:t>infrastructure</w:t>
      </w:r>
      <w:r>
        <w:rPr>
          <w:color w:val="231F20"/>
          <w:spacing w:val="-22"/>
        </w:rPr>
        <w:t xml:space="preserve"> </w:t>
      </w:r>
      <w:r>
        <w:rPr>
          <w:color w:val="231F20"/>
        </w:rPr>
        <w:t>would</w:t>
      </w:r>
      <w:r>
        <w:rPr>
          <w:color w:val="231F20"/>
          <w:spacing w:val="-22"/>
        </w:rPr>
        <w:t xml:space="preserve"> </w:t>
      </w:r>
      <w:r>
        <w:rPr>
          <w:color w:val="231F20"/>
        </w:rPr>
        <w:t>be</w:t>
      </w:r>
      <w:r>
        <w:rPr>
          <w:color w:val="231F20"/>
          <w:spacing w:val="-21"/>
        </w:rPr>
        <w:t xml:space="preserve"> </w:t>
      </w:r>
      <w:r>
        <w:rPr>
          <w:color w:val="231F20"/>
        </w:rPr>
        <w:t>required</w:t>
      </w:r>
      <w:r>
        <w:rPr>
          <w:color w:val="231F20"/>
          <w:spacing w:val="-22"/>
        </w:rPr>
        <w:t xml:space="preserve"> </w:t>
      </w:r>
      <w:r>
        <w:rPr>
          <w:color w:val="231F20"/>
        </w:rPr>
        <w:t>to</w:t>
      </w:r>
      <w:r>
        <w:rPr>
          <w:color w:val="231F20"/>
          <w:spacing w:val="-23"/>
        </w:rPr>
        <w:t xml:space="preserve"> </w:t>
      </w:r>
      <w:r>
        <w:rPr>
          <w:color w:val="231F20"/>
        </w:rPr>
        <w:t>achieve the</w:t>
      </w:r>
      <w:r>
        <w:rPr>
          <w:color w:val="231F20"/>
          <w:spacing w:val="-4"/>
        </w:rPr>
        <w:t xml:space="preserve"> </w:t>
      </w:r>
      <w:r>
        <w:rPr>
          <w:color w:val="231F20"/>
        </w:rPr>
        <w:t>service</w:t>
      </w:r>
      <w:r>
        <w:rPr>
          <w:color w:val="231F20"/>
          <w:spacing w:val="-3"/>
        </w:rPr>
        <w:t xml:space="preserve"> </w:t>
      </w:r>
      <w:r>
        <w:rPr>
          <w:color w:val="231F20"/>
        </w:rPr>
        <w:t>needs</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plan.</w:t>
      </w:r>
      <w:r>
        <w:rPr>
          <w:color w:val="231F20"/>
          <w:spacing w:val="-8"/>
        </w:rPr>
        <w:t xml:space="preserve"> </w:t>
      </w:r>
      <w:r>
        <w:rPr>
          <w:color w:val="231F20"/>
        </w:rPr>
        <w:t>The</w:t>
      </w:r>
      <w:r>
        <w:rPr>
          <w:color w:val="231F20"/>
          <w:spacing w:val="-3"/>
        </w:rPr>
        <w:t xml:space="preserve"> </w:t>
      </w:r>
      <w:r>
        <w:rPr>
          <w:color w:val="231F20"/>
        </w:rPr>
        <w:t>addition</w:t>
      </w:r>
      <w:r>
        <w:rPr>
          <w:color w:val="231F20"/>
          <w:spacing w:val="-3"/>
        </w:rPr>
        <w:t xml:space="preserve"> </w:t>
      </w:r>
      <w:r>
        <w:rPr>
          <w:color w:val="231F20"/>
        </w:rPr>
        <w:t>to</w:t>
      </w:r>
      <w:r>
        <w:rPr>
          <w:color w:val="231F20"/>
          <w:spacing w:val="-4"/>
        </w:rPr>
        <w:t xml:space="preserve"> </w:t>
      </w:r>
      <w:r>
        <w:rPr>
          <w:color w:val="231F20"/>
        </w:rPr>
        <w:t>Human</w:t>
      </w:r>
      <w:r>
        <w:rPr>
          <w:color w:val="231F20"/>
          <w:spacing w:val="-3"/>
        </w:rPr>
        <w:t xml:space="preserve"> </w:t>
      </w:r>
      <w:r>
        <w:rPr>
          <w:color w:val="231F20"/>
        </w:rPr>
        <w:t>Resources</w:t>
      </w:r>
      <w:r>
        <w:rPr>
          <w:color w:val="231F20"/>
          <w:spacing w:val="-3"/>
        </w:rPr>
        <w:t xml:space="preserve"> </w:t>
      </w:r>
      <w:r>
        <w:rPr>
          <w:color w:val="231F20"/>
        </w:rPr>
        <w:t>needed</w:t>
      </w:r>
      <w:r>
        <w:rPr>
          <w:color w:val="231F20"/>
          <w:spacing w:val="-4"/>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spacing w:val="-2"/>
        </w:rPr>
        <w:t>service</w:t>
      </w:r>
      <w:r w:rsidR="00407C6C">
        <w:rPr>
          <w:color w:val="231F20"/>
          <w:spacing w:val="-2"/>
        </w:rPr>
        <w:t xml:space="preserve"> </w:t>
      </w:r>
      <w:r>
        <w:rPr>
          <w:color w:val="231F20"/>
          <w:spacing w:val="-2"/>
        </w:rPr>
        <w:t>would</w:t>
      </w:r>
    </w:p>
    <w:p w14:paraId="0A05A415" w14:textId="77777777" w:rsidR="009948F1" w:rsidRDefault="00BC0563">
      <w:pPr>
        <w:pStyle w:val="BodyText"/>
        <w:spacing w:before="52" w:line="297" w:lineRule="auto"/>
        <w:ind w:left="154" w:right="177"/>
        <w:jc w:val="both"/>
      </w:pPr>
      <w:r>
        <w:rPr>
          <w:color w:val="231F20"/>
        </w:rPr>
        <w:t xml:space="preserve">require an additional investment </w:t>
      </w:r>
      <w:proofErr w:type="gramStart"/>
      <w:r>
        <w:rPr>
          <w:color w:val="231F20"/>
        </w:rPr>
        <w:t>of ?</w:t>
      </w:r>
      <w:proofErr w:type="gramEnd"/>
      <w:r>
        <w:rPr>
          <w:color w:val="231F20"/>
        </w:rPr>
        <w:t xml:space="preserve"> 43.976b, bringing the total cost of the Rivers State SHDP II Essential Service Moderate Scenario </w:t>
      </w:r>
      <w:proofErr w:type="gramStart"/>
      <w:r>
        <w:rPr>
          <w:color w:val="231F20"/>
        </w:rPr>
        <w:t>to ?</w:t>
      </w:r>
      <w:proofErr w:type="gramEnd"/>
      <w:r>
        <w:rPr>
          <w:color w:val="231F20"/>
        </w:rPr>
        <w:t xml:space="preserve"> 220.189b.</w:t>
      </w:r>
    </w:p>
    <w:p w14:paraId="15747187" w14:textId="50C562F0" w:rsidR="009948F1" w:rsidRDefault="008A4D7A">
      <w:pPr>
        <w:pStyle w:val="BodyText"/>
        <w:spacing w:line="211" w:lineRule="exact"/>
        <w:ind w:left="154"/>
        <w:jc w:val="both"/>
      </w:pPr>
      <w:r>
        <w:rPr>
          <w:color w:val="231F20"/>
          <w:spacing w:val="-13"/>
        </w:rPr>
        <w:t xml:space="preserve">To </w:t>
      </w:r>
      <w:r>
        <w:rPr>
          <w:color w:val="231F20"/>
          <w:spacing w:val="2"/>
        </w:rPr>
        <w:t>realize</w:t>
      </w:r>
      <w:r w:rsidR="00BC0563">
        <w:rPr>
          <w:color w:val="231F20"/>
          <w:spacing w:val="53"/>
        </w:rPr>
        <w:t xml:space="preserve"> </w:t>
      </w:r>
      <w:r w:rsidR="00BC0563">
        <w:rPr>
          <w:color w:val="231F20"/>
        </w:rPr>
        <w:t>the</w:t>
      </w:r>
      <w:r w:rsidR="00BC0563">
        <w:rPr>
          <w:color w:val="231F20"/>
          <w:spacing w:val="51"/>
        </w:rPr>
        <w:t xml:space="preserve"> </w:t>
      </w:r>
      <w:r w:rsidR="00BC0563">
        <w:rPr>
          <w:color w:val="231F20"/>
        </w:rPr>
        <w:t>30%</w:t>
      </w:r>
      <w:r w:rsidR="00BC0563">
        <w:rPr>
          <w:color w:val="231F20"/>
          <w:spacing w:val="52"/>
        </w:rPr>
        <w:t xml:space="preserve"> </w:t>
      </w:r>
      <w:r w:rsidR="00BC0563">
        <w:rPr>
          <w:color w:val="231F20"/>
        </w:rPr>
        <w:t>average</w:t>
      </w:r>
      <w:r w:rsidR="00BC0563">
        <w:rPr>
          <w:color w:val="231F20"/>
          <w:spacing w:val="52"/>
        </w:rPr>
        <w:t xml:space="preserve"> </w:t>
      </w:r>
      <w:r w:rsidR="00BC0563">
        <w:rPr>
          <w:color w:val="231F20"/>
        </w:rPr>
        <w:t>increase</w:t>
      </w:r>
      <w:r w:rsidR="00BC0563">
        <w:rPr>
          <w:color w:val="231F20"/>
          <w:spacing w:val="52"/>
        </w:rPr>
        <w:t xml:space="preserve"> </w:t>
      </w:r>
      <w:r w:rsidR="00BC0563">
        <w:rPr>
          <w:color w:val="231F20"/>
        </w:rPr>
        <w:t>in</w:t>
      </w:r>
      <w:r w:rsidR="00BC0563">
        <w:rPr>
          <w:color w:val="231F20"/>
          <w:spacing w:val="51"/>
        </w:rPr>
        <w:t xml:space="preserve"> </w:t>
      </w:r>
      <w:r w:rsidR="00BC0563">
        <w:rPr>
          <w:color w:val="231F20"/>
        </w:rPr>
        <w:t>coverage</w:t>
      </w:r>
      <w:r w:rsidR="00BC0563">
        <w:rPr>
          <w:color w:val="231F20"/>
          <w:spacing w:val="52"/>
        </w:rPr>
        <w:t xml:space="preserve"> </w:t>
      </w:r>
      <w:r w:rsidR="00BC0563">
        <w:rPr>
          <w:color w:val="231F20"/>
        </w:rPr>
        <w:t>across</w:t>
      </w:r>
      <w:r w:rsidR="00BC0563">
        <w:rPr>
          <w:color w:val="231F20"/>
          <w:spacing w:val="51"/>
        </w:rPr>
        <w:t xml:space="preserve"> </w:t>
      </w:r>
      <w:r w:rsidR="00BC0563">
        <w:rPr>
          <w:color w:val="231F20"/>
        </w:rPr>
        <w:t>all</w:t>
      </w:r>
      <w:r w:rsidR="00BC0563">
        <w:rPr>
          <w:color w:val="231F20"/>
          <w:spacing w:val="51"/>
        </w:rPr>
        <w:t xml:space="preserve"> </w:t>
      </w:r>
      <w:r w:rsidR="00BC0563">
        <w:rPr>
          <w:color w:val="231F20"/>
        </w:rPr>
        <w:t>interventions</w:t>
      </w:r>
      <w:r w:rsidR="00BC0563">
        <w:rPr>
          <w:color w:val="231F20"/>
          <w:spacing w:val="52"/>
        </w:rPr>
        <w:t xml:space="preserve"> </w:t>
      </w:r>
      <w:r w:rsidR="00BC0563">
        <w:rPr>
          <w:color w:val="231F20"/>
        </w:rPr>
        <w:t>proposed</w:t>
      </w:r>
      <w:r w:rsidR="00BC0563">
        <w:rPr>
          <w:color w:val="231F20"/>
          <w:spacing w:val="52"/>
        </w:rPr>
        <w:t xml:space="preserve"> </w:t>
      </w:r>
      <w:r w:rsidR="00BC0563">
        <w:rPr>
          <w:color w:val="231F20"/>
        </w:rPr>
        <w:t>by</w:t>
      </w:r>
      <w:r w:rsidR="00BC0563">
        <w:rPr>
          <w:color w:val="231F20"/>
          <w:spacing w:val="52"/>
        </w:rPr>
        <w:t xml:space="preserve"> </w:t>
      </w:r>
      <w:r w:rsidR="00BC0563">
        <w:rPr>
          <w:color w:val="231F20"/>
        </w:rPr>
        <w:t>the</w:t>
      </w:r>
    </w:p>
    <w:p w14:paraId="2F340EDA" w14:textId="77777777" w:rsidR="009948F1" w:rsidRDefault="00BC0563">
      <w:pPr>
        <w:pStyle w:val="BodyText"/>
        <w:spacing w:before="11" w:line="249" w:lineRule="auto"/>
        <w:ind w:left="154" w:right="177"/>
        <w:jc w:val="both"/>
      </w:pPr>
      <w:r>
        <w:rPr>
          <w:color w:val="231F20"/>
        </w:rPr>
        <w:t xml:space="preserve">aggressive scenario, a significant increase in HSS would be required without which the </w:t>
      </w:r>
      <w:r>
        <w:rPr>
          <w:color w:val="231F20"/>
          <w:spacing w:val="-5"/>
        </w:rPr>
        <w:t xml:space="preserve">20% </w:t>
      </w:r>
      <w:r>
        <w:rPr>
          <w:color w:val="231F20"/>
        </w:rPr>
        <w:t xml:space="preserve">reduction in maternal mortality cannot be achieved. An addition of 168% doctors, 1219% </w:t>
      </w:r>
      <w:r>
        <w:rPr>
          <w:color w:val="231F20"/>
          <w:spacing w:val="-3"/>
        </w:rPr>
        <w:t xml:space="preserve">nurses, </w:t>
      </w:r>
      <w:r>
        <w:rPr>
          <w:color w:val="231F20"/>
        </w:rPr>
        <w:t>and</w:t>
      </w:r>
      <w:r>
        <w:rPr>
          <w:color w:val="231F20"/>
          <w:spacing w:val="-9"/>
        </w:rPr>
        <w:t xml:space="preserve"> </w:t>
      </w:r>
      <w:r>
        <w:rPr>
          <w:color w:val="231F20"/>
        </w:rPr>
        <w:t>100%</w:t>
      </w:r>
      <w:r>
        <w:rPr>
          <w:color w:val="231F20"/>
          <w:spacing w:val="-8"/>
        </w:rPr>
        <w:t xml:space="preserve"> </w:t>
      </w:r>
      <w:r>
        <w:rPr>
          <w:color w:val="231F20"/>
        </w:rPr>
        <w:t>midwives.</w:t>
      </w:r>
      <w:r>
        <w:rPr>
          <w:color w:val="231F20"/>
          <w:spacing w:val="-12"/>
        </w:rPr>
        <w:t xml:space="preserve"> </w:t>
      </w:r>
      <w:r>
        <w:rPr>
          <w:color w:val="231F20"/>
        </w:rPr>
        <w:t>There</w:t>
      </w:r>
      <w:r>
        <w:rPr>
          <w:color w:val="231F20"/>
          <w:spacing w:val="-8"/>
        </w:rPr>
        <w:t xml:space="preserve"> </w:t>
      </w:r>
      <w:r>
        <w:rPr>
          <w:color w:val="231F20"/>
        </w:rPr>
        <w:t>would</w:t>
      </w:r>
      <w:r>
        <w:rPr>
          <w:color w:val="231F20"/>
          <w:spacing w:val="-8"/>
        </w:rPr>
        <w:t xml:space="preserve"> </w:t>
      </w:r>
      <w:r>
        <w:rPr>
          <w:color w:val="231F20"/>
        </w:rPr>
        <w:t>also</w:t>
      </w:r>
      <w:r>
        <w:rPr>
          <w:color w:val="231F20"/>
          <w:spacing w:val="-8"/>
        </w:rPr>
        <w:t xml:space="preserve"> </w:t>
      </w:r>
      <w:r>
        <w:rPr>
          <w:color w:val="231F20"/>
        </w:rPr>
        <w:t>be</w:t>
      </w:r>
      <w:r>
        <w:rPr>
          <w:color w:val="231F20"/>
          <w:spacing w:val="-8"/>
        </w:rPr>
        <w:t xml:space="preserve"> </w:t>
      </w:r>
      <w:r>
        <w:rPr>
          <w:color w:val="231F20"/>
        </w:rPr>
        <w:t>a</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add</w:t>
      </w:r>
      <w:r>
        <w:rPr>
          <w:color w:val="231F20"/>
          <w:spacing w:val="-9"/>
        </w:rPr>
        <w:t xml:space="preserve"> </w:t>
      </w:r>
      <w:r>
        <w:rPr>
          <w:color w:val="231F20"/>
        </w:rPr>
        <w:t>7%</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number</w:t>
      </w:r>
      <w:r>
        <w:rPr>
          <w:color w:val="231F20"/>
          <w:spacing w:val="-8"/>
        </w:rPr>
        <w:t xml:space="preserve"> </w:t>
      </w:r>
      <w:r>
        <w:rPr>
          <w:color w:val="231F20"/>
        </w:rPr>
        <w:t>of</w:t>
      </w:r>
      <w:r>
        <w:rPr>
          <w:color w:val="231F20"/>
          <w:spacing w:val="-8"/>
        </w:rPr>
        <w:t xml:space="preserve"> </w:t>
      </w:r>
      <w:r>
        <w:rPr>
          <w:color w:val="231F20"/>
        </w:rPr>
        <w:t>healthcare</w:t>
      </w:r>
      <w:r>
        <w:rPr>
          <w:color w:val="231F20"/>
          <w:spacing w:val="-8"/>
        </w:rPr>
        <w:t xml:space="preserve"> </w:t>
      </w:r>
      <w:r>
        <w:rPr>
          <w:color w:val="231F20"/>
        </w:rPr>
        <w:t>facilities.</w:t>
      </w:r>
    </w:p>
    <w:p w14:paraId="7B2A8D9E" w14:textId="77777777" w:rsidR="009948F1" w:rsidRDefault="00BC0563">
      <w:pPr>
        <w:pStyle w:val="BodyText"/>
        <w:spacing w:before="47" w:line="297" w:lineRule="auto"/>
        <w:ind w:left="154" w:right="176"/>
        <w:jc w:val="both"/>
      </w:pPr>
      <w:r>
        <w:rPr>
          <w:color w:val="231F20"/>
        </w:rPr>
        <w:t xml:space="preserve">This increase in HSS requires an addition </w:t>
      </w:r>
      <w:proofErr w:type="gramStart"/>
      <w:r>
        <w:rPr>
          <w:color w:val="231F20"/>
        </w:rPr>
        <w:t>of ?</w:t>
      </w:r>
      <w:proofErr w:type="gramEnd"/>
      <w:r>
        <w:rPr>
          <w:color w:val="231F20"/>
        </w:rPr>
        <w:t xml:space="preserve"> 61.821b bringing the total cost of the Rivers State SHDP II Essential Service Aggressive Scenario </w:t>
      </w:r>
      <w:proofErr w:type="gramStart"/>
      <w:r>
        <w:rPr>
          <w:color w:val="231F20"/>
        </w:rPr>
        <w:t>to ?</w:t>
      </w:r>
      <w:proofErr w:type="gramEnd"/>
      <w:r>
        <w:rPr>
          <w:color w:val="231F20"/>
        </w:rPr>
        <w:t xml:space="preserve"> 282.686b.</w:t>
      </w:r>
    </w:p>
    <w:p w14:paraId="2A87F118" w14:textId="77777777" w:rsidR="009948F1" w:rsidRDefault="009948F1">
      <w:pPr>
        <w:pStyle w:val="BodyText"/>
        <w:spacing w:before="4"/>
        <w:rPr>
          <w:sz w:val="19"/>
        </w:rPr>
      </w:pPr>
    </w:p>
    <w:p w14:paraId="3C38E196" w14:textId="77777777" w:rsidR="009948F1" w:rsidRDefault="00BC0563">
      <w:pPr>
        <w:pStyle w:val="Heading7"/>
        <w:numPr>
          <w:ilvl w:val="1"/>
          <w:numId w:val="255"/>
        </w:numPr>
        <w:tabs>
          <w:tab w:val="left" w:pos="875"/>
        </w:tabs>
        <w:ind w:left="874" w:hanging="721"/>
        <w:jc w:val="both"/>
      </w:pPr>
      <w:r>
        <w:rPr>
          <w:color w:val="231F20"/>
        </w:rPr>
        <w:t>Sustain</w:t>
      </w:r>
      <w:r>
        <w:rPr>
          <w:color w:val="231F20"/>
          <w:spacing w:val="-25"/>
        </w:rPr>
        <w:t xml:space="preserve"> </w:t>
      </w:r>
      <w:r>
        <w:rPr>
          <w:color w:val="231F20"/>
        </w:rPr>
        <w:t>ability</w:t>
      </w:r>
      <w:r>
        <w:rPr>
          <w:color w:val="231F20"/>
          <w:spacing w:val="-25"/>
        </w:rPr>
        <w:t xml:space="preserve"> </w:t>
      </w:r>
      <w:r>
        <w:rPr>
          <w:color w:val="231F20"/>
        </w:rPr>
        <w:t>/</w:t>
      </w:r>
      <w:r>
        <w:rPr>
          <w:color w:val="231F20"/>
          <w:spacing w:val="-25"/>
        </w:rPr>
        <w:t xml:space="preserve"> </w:t>
      </w:r>
      <w:r>
        <w:rPr>
          <w:color w:val="231F20"/>
        </w:rPr>
        <w:t>Financing</w:t>
      </w:r>
      <w:r>
        <w:rPr>
          <w:color w:val="231F20"/>
          <w:spacing w:val="-25"/>
        </w:rPr>
        <w:t xml:space="preserve"> </w:t>
      </w:r>
      <w:r>
        <w:rPr>
          <w:color w:val="231F20"/>
        </w:rPr>
        <w:t>Gap</w:t>
      </w:r>
      <w:r>
        <w:rPr>
          <w:color w:val="231F20"/>
          <w:spacing w:val="-33"/>
        </w:rPr>
        <w:t xml:space="preserve"> </w:t>
      </w:r>
      <w:r>
        <w:rPr>
          <w:color w:val="231F20"/>
        </w:rPr>
        <w:t>Analysis</w:t>
      </w:r>
    </w:p>
    <w:p w14:paraId="6D331659" w14:textId="77777777" w:rsidR="009948F1" w:rsidRDefault="00BC0563">
      <w:pPr>
        <w:pStyle w:val="BodyText"/>
        <w:spacing w:before="11" w:line="249" w:lineRule="auto"/>
        <w:ind w:left="154" w:right="179"/>
        <w:jc w:val="both"/>
      </w:pPr>
      <w:r>
        <w:rPr>
          <w:color w:val="231F20"/>
        </w:rPr>
        <w:t>In</w:t>
      </w:r>
      <w:r>
        <w:rPr>
          <w:color w:val="231F20"/>
          <w:spacing w:val="-13"/>
        </w:rPr>
        <w:t xml:space="preserve"> </w:t>
      </w:r>
      <w:r>
        <w:rPr>
          <w:color w:val="231F20"/>
        </w:rPr>
        <w:t>this</w:t>
      </w:r>
      <w:r>
        <w:rPr>
          <w:color w:val="231F20"/>
          <w:spacing w:val="-13"/>
        </w:rPr>
        <w:t xml:space="preserve"> </w:t>
      </w:r>
      <w:r>
        <w:rPr>
          <w:color w:val="231F20"/>
        </w:rPr>
        <w:t>section,</w:t>
      </w:r>
      <w:r>
        <w:rPr>
          <w:color w:val="231F20"/>
          <w:spacing w:val="-13"/>
        </w:rPr>
        <w:t xml:space="preserve"> </w:t>
      </w:r>
      <w:r>
        <w:rPr>
          <w:color w:val="231F20"/>
        </w:rPr>
        <w:t>the</w:t>
      </w:r>
      <w:r>
        <w:rPr>
          <w:color w:val="231F20"/>
          <w:spacing w:val="-13"/>
        </w:rPr>
        <w:t xml:space="preserve"> </w:t>
      </w:r>
      <w:r>
        <w:rPr>
          <w:color w:val="231F20"/>
        </w:rPr>
        <w:t>two</w:t>
      </w:r>
      <w:r>
        <w:rPr>
          <w:color w:val="231F20"/>
          <w:spacing w:val="-13"/>
        </w:rPr>
        <w:t xml:space="preserve"> </w:t>
      </w:r>
      <w:r>
        <w:rPr>
          <w:color w:val="231F20"/>
        </w:rPr>
        <w:t>scaled</w:t>
      </w:r>
      <w:r>
        <w:rPr>
          <w:color w:val="231F20"/>
          <w:spacing w:val="-12"/>
        </w:rPr>
        <w:t xml:space="preserve"> </w:t>
      </w:r>
      <w:r>
        <w:rPr>
          <w:color w:val="231F20"/>
        </w:rPr>
        <w:t>scenarios</w:t>
      </w:r>
      <w:r>
        <w:rPr>
          <w:color w:val="231F20"/>
          <w:spacing w:val="-13"/>
        </w:rPr>
        <w:t xml:space="preserve"> </w:t>
      </w:r>
      <w:r>
        <w:rPr>
          <w:color w:val="231F20"/>
        </w:rPr>
        <w:t>of</w:t>
      </w:r>
      <w:r>
        <w:rPr>
          <w:color w:val="231F20"/>
          <w:spacing w:val="-13"/>
        </w:rPr>
        <w:t xml:space="preserve"> </w:t>
      </w:r>
      <w:r>
        <w:rPr>
          <w:color w:val="231F20"/>
        </w:rPr>
        <w:t>Rivers</w:t>
      </w:r>
      <w:r>
        <w:rPr>
          <w:color w:val="231F20"/>
          <w:spacing w:val="-13"/>
        </w:rPr>
        <w:t xml:space="preserve"> </w:t>
      </w:r>
      <w:r>
        <w:rPr>
          <w:color w:val="231F20"/>
        </w:rPr>
        <w:t>SHDP</w:t>
      </w:r>
      <w:r>
        <w:rPr>
          <w:color w:val="231F20"/>
          <w:spacing w:val="-17"/>
        </w:rPr>
        <w:t xml:space="preserve"> </w:t>
      </w:r>
      <w:r>
        <w:rPr>
          <w:color w:val="231F20"/>
        </w:rPr>
        <w:t>II</w:t>
      </w:r>
      <w:r>
        <w:rPr>
          <w:color w:val="231F20"/>
          <w:spacing w:val="-12"/>
        </w:rPr>
        <w:t xml:space="preserve"> </w:t>
      </w:r>
      <w:r>
        <w:rPr>
          <w:color w:val="231F20"/>
        </w:rPr>
        <w:t>plan</w:t>
      </w:r>
      <w:r>
        <w:rPr>
          <w:color w:val="231F20"/>
          <w:spacing w:val="-13"/>
        </w:rPr>
        <w:t xml:space="preserve"> </w:t>
      </w:r>
      <w:r>
        <w:rPr>
          <w:color w:val="231F20"/>
        </w:rPr>
        <w:t>are</w:t>
      </w:r>
      <w:r>
        <w:rPr>
          <w:color w:val="231F20"/>
          <w:spacing w:val="-13"/>
        </w:rPr>
        <w:t xml:space="preserve"> </w:t>
      </w:r>
      <w:r>
        <w:rPr>
          <w:color w:val="231F20"/>
        </w:rPr>
        <w:t>subjected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financial</w:t>
      </w:r>
      <w:r>
        <w:rPr>
          <w:color w:val="231F20"/>
          <w:spacing w:val="-12"/>
        </w:rPr>
        <w:t xml:space="preserve"> </w:t>
      </w:r>
      <w:r>
        <w:rPr>
          <w:color w:val="231F20"/>
        </w:rPr>
        <w:t>sustain ability</w:t>
      </w:r>
      <w:r>
        <w:rPr>
          <w:color w:val="231F20"/>
          <w:spacing w:val="-19"/>
        </w:rPr>
        <w:t xml:space="preserve"> </w:t>
      </w:r>
      <w:r>
        <w:rPr>
          <w:color w:val="231F20"/>
        </w:rPr>
        <w:t>analysis</w:t>
      </w:r>
      <w:r>
        <w:rPr>
          <w:color w:val="231F20"/>
          <w:spacing w:val="-18"/>
        </w:rPr>
        <w:t xml:space="preserve"> </w:t>
      </w:r>
      <w:r>
        <w:rPr>
          <w:color w:val="231F20"/>
        </w:rPr>
        <w:t>to</w:t>
      </w:r>
      <w:r>
        <w:rPr>
          <w:color w:val="231F20"/>
          <w:spacing w:val="-18"/>
        </w:rPr>
        <w:t xml:space="preserve"> </w:t>
      </w:r>
      <w:r>
        <w:rPr>
          <w:color w:val="231F20"/>
        </w:rPr>
        <w:t>compare</w:t>
      </w:r>
      <w:r>
        <w:rPr>
          <w:color w:val="231F20"/>
          <w:spacing w:val="-19"/>
        </w:rPr>
        <w:t xml:space="preserve"> </w:t>
      </w:r>
      <w:r>
        <w:rPr>
          <w:color w:val="231F20"/>
        </w:rPr>
        <w:t>the</w:t>
      </w:r>
      <w:r>
        <w:rPr>
          <w:color w:val="231F20"/>
          <w:spacing w:val="-18"/>
        </w:rPr>
        <w:t xml:space="preserve"> </w:t>
      </w:r>
      <w:r>
        <w:rPr>
          <w:color w:val="231F20"/>
        </w:rPr>
        <w:t>costs</w:t>
      </w:r>
      <w:r>
        <w:rPr>
          <w:color w:val="231F20"/>
          <w:spacing w:val="-18"/>
        </w:rPr>
        <w:t xml:space="preserve"> </w:t>
      </w:r>
      <w:r>
        <w:rPr>
          <w:color w:val="231F20"/>
        </w:rPr>
        <w:t>and</w:t>
      </w:r>
      <w:r>
        <w:rPr>
          <w:color w:val="231F20"/>
          <w:spacing w:val="-19"/>
        </w:rPr>
        <w:t xml:space="preserve"> </w:t>
      </w:r>
      <w:r>
        <w:rPr>
          <w:color w:val="231F20"/>
        </w:rPr>
        <w:t>the</w:t>
      </w:r>
      <w:r>
        <w:rPr>
          <w:color w:val="231F20"/>
          <w:spacing w:val="-18"/>
        </w:rPr>
        <w:t xml:space="preserve"> </w:t>
      </w:r>
      <w:r>
        <w:rPr>
          <w:color w:val="231F20"/>
        </w:rPr>
        <w:t>available</w:t>
      </w:r>
      <w:r>
        <w:rPr>
          <w:color w:val="231F20"/>
          <w:spacing w:val="-18"/>
        </w:rPr>
        <w:t xml:space="preserve"> </w:t>
      </w:r>
      <w:r>
        <w:rPr>
          <w:color w:val="231F20"/>
        </w:rPr>
        <w:t>of</w:t>
      </w:r>
      <w:r>
        <w:rPr>
          <w:color w:val="231F20"/>
          <w:spacing w:val="-18"/>
        </w:rPr>
        <w:t xml:space="preserve"> </w:t>
      </w:r>
      <w:r>
        <w:rPr>
          <w:color w:val="231F20"/>
        </w:rPr>
        <w:t>funding;</w:t>
      </w:r>
      <w:r>
        <w:rPr>
          <w:color w:val="231F20"/>
          <w:spacing w:val="-19"/>
        </w:rPr>
        <w:t xml:space="preserve"> </w:t>
      </w:r>
      <w:r>
        <w:rPr>
          <w:color w:val="231F20"/>
        </w:rPr>
        <w:t>and,</w:t>
      </w:r>
      <w:r>
        <w:rPr>
          <w:color w:val="231F20"/>
          <w:spacing w:val="-18"/>
        </w:rPr>
        <w:t xml:space="preserve"> </w:t>
      </w:r>
      <w:r>
        <w:rPr>
          <w:color w:val="231F20"/>
        </w:rPr>
        <w:t>to</w:t>
      </w:r>
      <w:r>
        <w:rPr>
          <w:color w:val="231F20"/>
          <w:spacing w:val="-18"/>
        </w:rPr>
        <w:t xml:space="preserve"> </w:t>
      </w:r>
      <w:r>
        <w:rPr>
          <w:color w:val="231F20"/>
        </w:rPr>
        <w:t>assess</w:t>
      </w:r>
      <w:r>
        <w:rPr>
          <w:color w:val="231F20"/>
          <w:spacing w:val="-19"/>
        </w:rPr>
        <w:t xml:space="preserve"> </w:t>
      </w:r>
      <w:r>
        <w:rPr>
          <w:color w:val="231F20"/>
        </w:rPr>
        <w:t>the</w:t>
      </w:r>
      <w:r>
        <w:rPr>
          <w:color w:val="231F20"/>
          <w:spacing w:val="-18"/>
        </w:rPr>
        <w:t xml:space="preserve"> </w:t>
      </w:r>
      <w:r>
        <w:rPr>
          <w:color w:val="231F20"/>
        </w:rPr>
        <w:t>afford</w:t>
      </w:r>
      <w:r>
        <w:rPr>
          <w:color w:val="231F20"/>
          <w:spacing w:val="-18"/>
        </w:rPr>
        <w:t xml:space="preserve"> </w:t>
      </w:r>
      <w:r>
        <w:rPr>
          <w:color w:val="231F20"/>
        </w:rPr>
        <w:t>ability</w:t>
      </w:r>
      <w:r>
        <w:rPr>
          <w:color w:val="231F20"/>
          <w:spacing w:val="-19"/>
        </w:rPr>
        <w:t xml:space="preserve"> </w:t>
      </w:r>
      <w:r>
        <w:rPr>
          <w:color w:val="231F20"/>
        </w:rPr>
        <w:t>of the</w:t>
      </w:r>
      <w:r>
        <w:rPr>
          <w:color w:val="231F20"/>
          <w:spacing w:val="-24"/>
        </w:rPr>
        <w:t xml:space="preserve"> </w:t>
      </w:r>
      <w:r>
        <w:rPr>
          <w:color w:val="231F20"/>
        </w:rPr>
        <w:t>plan</w:t>
      </w:r>
      <w:r>
        <w:rPr>
          <w:color w:val="231F20"/>
          <w:spacing w:val="-23"/>
        </w:rPr>
        <w:t xml:space="preserve"> </w:t>
      </w:r>
      <w:r>
        <w:rPr>
          <w:color w:val="231F20"/>
        </w:rPr>
        <w:t>given</w:t>
      </w:r>
      <w:r>
        <w:rPr>
          <w:color w:val="231F20"/>
          <w:spacing w:val="-23"/>
        </w:rPr>
        <w:t xml:space="preserve"> </w:t>
      </w:r>
      <w:r>
        <w:rPr>
          <w:color w:val="231F20"/>
        </w:rPr>
        <w:t>available</w:t>
      </w:r>
      <w:r>
        <w:rPr>
          <w:color w:val="231F20"/>
          <w:spacing w:val="-23"/>
        </w:rPr>
        <w:t xml:space="preserve"> </w:t>
      </w:r>
      <w:r>
        <w:rPr>
          <w:color w:val="231F20"/>
        </w:rPr>
        <w:t>sources.</w:t>
      </w:r>
      <w:r>
        <w:rPr>
          <w:color w:val="231F20"/>
          <w:spacing w:val="-27"/>
        </w:rPr>
        <w:t xml:space="preserve"> </w:t>
      </w:r>
      <w:r>
        <w:rPr>
          <w:color w:val="231F20"/>
        </w:rPr>
        <w:t>This</w:t>
      </w:r>
      <w:r>
        <w:rPr>
          <w:color w:val="231F20"/>
          <w:spacing w:val="-23"/>
        </w:rPr>
        <w:t xml:space="preserve"> </w:t>
      </w:r>
      <w:r>
        <w:rPr>
          <w:color w:val="231F20"/>
        </w:rPr>
        <w:t>assessment</w:t>
      </w:r>
      <w:r>
        <w:rPr>
          <w:color w:val="231F20"/>
          <w:spacing w:val="-23"/>
        </w:rPr>
        <w:t xml:space="preserve"> </w:t>
      </w:r>
      <w:r>
        <w:rPr>
          <w:color w:val="231F20"/>
        </w:rPr>
        <w:t>will</w:t>
      </w:r>
      <w:r>
        <w:rPr>
          <w:color w:val="231F20"/>
          <w:spacing w:val="-23"/>
        </w:rPr>
        <w:t xml:space="preserve"> </w:t>
      </w:r>
      <w:r>
        <w:rPr>
          <w:color w:val="231F20"/>
        </w:rPr>
        <w:t>enable</w:t>
      </w:r>
      <w:r>
        <w:rPr>
          <w:color w:val="231F20"/>
          <w:spacing w:val="-23"/>
        </w:rPr>
        <w:t xml:space="preserve"> </w:t>
      </w:r>
      <w:r>
        <w:rPr>
          <w:color w:val="231F20"/>
        </w:rPr>
        <w:t>Rivers</w:t>
      </w:r>
      <w:r>
        <w:rPr>
          <w:color w:val="231F20"/>
          <w:spacing w:val="-23"/>
        </w:rPr>
        <w:t xml:space="preserve"> </w:t>
      </w:r>
      <w:r>
        <w:rPr>
          <w:color w:val="231F20"/>
        </w:rPr>
        <w:t>state</w:t>
      </w:r>
      <w:r>
        <w:rPr>
          <w:color w:val="231F20"/>
          <w:spacing w:val="-24"/>
        </w:rPr>
        <w:t xml:space="preserve"> </w:t>
      </w:r>
      <w:r>
        <w:rPr>
          <w:color w:val="231F20"/>
        </w:rPr>
        <w:t>government</w:t>
      </w:r>
      <w:r>
        <w:rPr>
          <w:color w:val="231F20"/>
          <w:spacing w:val="-23"/>
        </w:rPr>
        <w:t xml:space="preserve"> </w:t>
      </w:r>
      <w:r>
        <w:rPr>
          <w:color w:val="231F20"/>
        </w:rPr>
        <w:t>to</w:t>
      </w:r>
      <w:r>
        <w:rPr>
          <w:color w:val="231F20"/>
          <w:spacing w:val="-24"/>
        </w:rPr>
        <w:t xml:space="preserve"> </w:t>
      </w:r>
      <w:r>
        <w:rPr>
          <w:color w:val="231F20"/>
        </w:rPr>
        <w:t>decide</w:t>
      </w:r>
      <w:r>
        <w:rPr>
          <w:color w:val="231F20"/>
          <w:spacing w:val="-23"/>
        </w:rPr>
        <w:t xml:space="preserve"> </w:t>
      </w:r>
      <w:r>
        <w:rPr>
          <w:color w:val="231F20"/>
          <w:spacing w:val="-8"/>
        </w:rPr>
        <w:t xml:space="preserve">on </w:t>
      </w:r>
      <w:r>
        <w:rPr>
          <w:color w:val="231F20"/>
        </w:rPr>
        <w:t>which</w:t>
      </w:r>
      <w:r>
        <w:rPr>
          <w:color w:val="231F20"/>
          <w:spacing w:val="-13"/>
        </w:rPr>
        <w:t xml:space="preserve"> </w:t>
      </w:r>
      <w:r>
        <w:rPr>
          <w:color w:val="231F20"/>
        </w:rPr>
        <w:t>scenario</w:t>
      </w:r>
      <w:r>
        <w:rPr>
          <w:color w:val="231F20"/>
          <w:spacing w:val="-12"/>
        </w:rPr>
        <w:t xml:space="preserve"> </w:t>
      </w:r>
      <w:r>
        <w:rPr>
          <w:color w:val="231F20"/>
        </w:rPr>
        <w:t>to</w:t>
      </w:r>
      <w:r>
        <w:rPr>
          <w:color w:val="231F20"/>
          <w:spacing w:val="-12"/>
        </w:rPr>
        <w:t xml:space="preserve"> </w:t>
      </w:r>
      <w:r>
        <w:rPr>
          <w:color w:val="231F20"/>
        </w:rPr>
        <w:t>adopt</w:t>
      </w:r>
      <w:r>
        <w:rPr>
          <w:color w:val="231F20"/>
          <w:spacing w:val="-12"/>
        </w:rPr>
        <w:t xml:space="preserve"> </w:t>
      </w:r>
      <w:r>
        <w:rPr>
          <w:color w:val="231F20"/>
        </w:rPr>
        <w:t>and</w:t>
      </w:r>
      <w:r>
        <w:rPr>
          <w:color w:val="231F20"/>
          <w:spacing w:val="-12"/>
        </w:rPr>
        <w:t xml:space="preserve"> </w:t>
      </w:r>
      <w:r>
        <w:rPr>
          <w:color w:val="231F20"/>
        </w:rPr>
        <w:t>determine</w:t>
      </w:r>
      <w:r>
        <w:rPr>
          <w:color w:val="231F20"/>
          <w:spacing w:val="-12"/>
        </w:rPr>
        <w:t xml:space="preserve"> </w:t>
      </w:r>
      <w:r>
        <w:rPr>
          <w:color w:val="231F20"/>
        </w:rPr>
        <w:t>whether</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need</w:t>
      </w:r>
      <w:r>
        <w:rPr>
          <w:color w:val="231F20"/>
          <w:spacing w:val="-13"/>
        </w:rPr>
        <w:t xml:space="preserve"> </w:t>
      </w:r>
      <w:r>
        <w:rPr>
          <w:color w:val="231F20"/>
        </w:rPr>
        <w:t>to</w:t>
      </w:r>
      <w:r>
        <w:rPr>
          <w:color w:val="231F20"/>
          <w:spacing w:val="-12"/>
        </w:rPr>
        <w:t xml:space="preserve"> </w:t>
      </w:r>
      <w:r>
        <w:rPr>
          <w:color w:val="231F20"/>
        </w:rPr>
        <w:t>scale</w:t>
      </w:r>
      <w:r>
        <w:rPr>
          <w:color w:val="231F20"/>
          <w:spacing w:val="-12"/>
        </w:rPr>
        <w:t xml:space="preserve"> </w:t>
      </w:r>
      <w:r>
        <w:rPr>
          <w:color w:val="231F20"/>
        </w:rPr>
        <w:t>down</w:t>
      </w:r>
      <w:r>
        <w:rPr>
          <w:color w:val="231F20"/>
          <w:spacing w:val="-12"/>
        </w:rPr>
        <w:t xml:space="preserve"> </w:t>
      </w:r>
      <w:r>
        <w:rPr>
          <w:color w:val="231F20"/>
        </w:rPr>
        <w:t>the</w:t>
      </w:r>
      <w:r>
        <w:rPr>
          <w:color w:val="231F20"/>
          <w:spacing w:val="-12"/>
        </w:rPr>
        <w:t xml:space="preserve"> </w:t>
      </w:r>
      <w:r>
        <w:rPr>
          <w:color w:val="231F20"/>
        </w:rPr>
        <w:t>adopted</w:t>
      </w:r>
      <w:r>
        <w:rPr>
          <w:color w:val="231F20"/>
          <w:spacing w:val="-12"/>
        </w:rPr>
        <w:t xml:space="preserve"> </w:t>
      </w:r>
      <w:r>
        <w:rPr>
          <w:color w:val="231F20"/>
        </w:rPr>
        <w:t>scenario. More</w:t>
      </w:r>
      <w:r>
        <w:rPr>
          <w:color w:val="231F20"/>
          <w:spacing w:val="-26"/>
        </w:rPr>
        <w:t xml:space="preserve"> </w:t>
      </w:r>
      <w:r>
        <w:rPr>
          <w:color w:val="231F20"/>
        </w:rPr>
        <w:t>so,</w:t>
      </w:r>
      <w:r>
        <w:rPr>
          <w:color w:val="231F20"/>
          <w:spacing w:val="-25"/>
        </w:rPr>
        <w:t xml:space="preserve"> </w:t>
      </w:r>
      <w:r>
        <w:rPr>
          <w:color w:val="231F20"/>
        </w:rPr>
        <w:t>at</w:t>
      </w:r>
      <w:r>
        <w:rPr>
          <w:color w:val="231F20"/>
          <w:spacing w:val="-25"/>
        </w:rPr>
        <w:t xml:space="preserve"> </w:t>
      </w:r>
      <w:r>
        <w:rPr>
          <w:color w:val="231F20"/>
        </w:rPr>
        <w:t>what</w:t>
      </w:r>
      <w:r>
        <w:rPr>
          <w:color w:val="231F20"/>
          <w:spacing w:val="-25"/>
        </w:rPr>
        <w:t xml:space="preserve"> </w:t>
      </w:r>
      <w:r>
        <w:rPr>
          <w:color w:val="231F20"/>
        </w:rPr>
        <w:t>point</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planning</w:t>
      </w:r>
      <w:r>
        <w:rPr>
          <w:color w:val="231F20"/>
          <w:spacing w:val="-25"/>
        </w:rPr>
        <w:t xml:space="preserve"> </w:t>
      </w:r>
      <w:r>
        <w:rPr>
          <w:color w:val="231F20"/>
        </w:rPr>
        <w:t>horizon</w:t>
      </w:r>
      <w:r>
        <w:rPr>
          <w:color w:val="231F20"/>
          <w:spacing w:val="-25"/>
        </w:rPr>
        <w:t xml:space="preserve"> </w:t>
      </w:r>
      <w:r>
        <w:rPr>
          <w:color w:val="231F20"/>
        </w:rPr>
        <w:t>this</w:t>
      </w:r>
      <w:r>
        <w:rPr>
          <w:color w:val="231F20"/>
          <w:spacing w:val="-25"/>
        </w:rPr>
        <w:t xml:space="preserve"> </w:t>
      </w:r>
      <w:r>
        <w:rPr>
          <w:color w:val="231F20"/>
        </w:rPr>
        <w:t>should</w:t>
      </w:r>
      <w:r>
        <w:rPr>
          <w:color w:val="231F20"/>
          <w:spacing w:val="-25"/>
        </w:rPr>
        <w:t xml:space="preserve"> </w:t>
      </w:r>
      <w:r>
        <w:rPr>
          <w:color w:val="231F20"/>
        </w:rPr>
        <w:t>be</w:t>
      </w:r>
      <w:r>
        <w:rPr>
          <w:color w:val="231F20"/>
          <w:spacing w:val="-25"/>
        </w:rPr>
        <w:t xml:space="preserve"> </w:t>
      </w:r>
      <w:r>
        <w:rPr>
          <w:color w:val="231F20"/>
        </w:rPr>
        <w:t>done.</w:t>
      </w:r>
    </w:p>
    <w:p w14:paraId="5BED52E2" w14:textId="77777777" w:rsidR="009948F1" w:rsidRDefault="00BC0563">
      <w:pPr>
        <w:pStyle w:val="BodyText"/>
        <w:spacing w:before="5" w:line="249" w:lineRule="auto"/>
        <w:ind w:left="154" w:right="178"/>
        <w:jc w:val="both"/>
      </w:pPr>
      <w:r>
        <w:rPr>
          <w:color w:val="231F20"/>
        </w:rPr>
        <w:t xml:space="preserve">In Rivers state, health care is resourced by the following actors, government, </w:t>
      </w:r>
      <w:r>
        <w:rPr>
          <w:color w:val="231F20"/>
          <w:spacing w:val="-5"/>
        </w:rPr>
        <w:t xml:space="preserve">Dev. </w:t>
      </w:r>
      <w:r>
        <w:rPr>
          <w:color w:val="231F20"/>
        </w:rPr>
        <w:t>Partners contributions,</w:t>
      </w:r>
      <w:r>
        <w:rPr>
          <w:color w:val="231F20"/>
          <w:spacing w:val="-6"/>
        </w:rPr>
        <w:t xml:space="preserve"> </w:t>
      </w:r>
      <w:r>
        <w:rPr>
          <w:color w:val="231F20"/>
        </w:rPr>
        <w:t>private</w:t>
      </w:r>
      <w:r>
        <w:rPr>
          <w:color w:val="231F20"/>
          <w:spacing w:val="-5"/>
        </w:rPr>
        <w:t xml:space="preserve"> </w:t>
      </w:r>
      <w:r>
        <w:rPr>
          <w:color w:val="231F20"/>
        </w:rPr>
        <w:t>sector</w:t>
      </w:r>
      <w:r>
        <w:rPr>
          <w:color w:val="231F20"/>
          <w:spacing w:val="-5"/>
        </w:rPr>
        <w:t xml:space="preserve"> </w:t>
      </w:r>
      <w:r>
        <w:rPr>
          <w:color w:val="231F20"/>
        </w:rPr>
        <w:t>and</w:t>
      </w:r>
      <w:r>
        <w:rPr>
          <w:color w:val="231F20"/>
          <w:spacing w:val="-5"/>
        </w:rPr>
        <w:t xml:space="preserve"> </w:t>
      </w:r>
      <w:r>
        <w:rPr>
          <w:color w:val="231F20"/>
        </w:rPr>
        <w:t>out-of-pocket.</w:t>
      </w:r>
      <w:r>
        <w:rPr>
          <w:color w:val="231F20"/>
          <w:spacing w:val="-5"/>
        </w:rPr>
        <w:t xml:space="preserve"> </w:t>
      </w:r>
      <w:r>
        <w:rPr>
          <w:color w:val="231F20"/>
        </w:rPr>
        <w:t>With</w:t>
      </w:r>
      <w:r>
        <w:rPr>
          <w:color w:val="231F20"/>
          <w:spacing w:val="-5"/>
        </w:rPr>
        <w:t xml:space="preserve"> </w:t>
      </w:r>
      <w:r>
        <w:rPr>
          <w:color w:val="231F20"/>
        </w:rPr>
        <w:t>Government's</w:t>
      </w:r>
      <w:r>
        <w:rPr>
          <w:color w:val="231F20"/>
          <w:spacing w:val="-5"/>
        </w:rPr>
        <w:t xml:space="preserve"> </w:t>
      </w:r>
      <w:r>
        <w:rPr>
          <w:color w:val="231F20"/>
        </w:rPr>
        <w:t>commitments</w:t>
      </w:r>
      <w:r>
        <w:rPr>
          <w:color w:val="231F20"/>
          <w:spacing w:val="-5"/>
        </w:rPr>
        <w:t xml:space="preserve"> </w:t>
      </w:r>
      <w:r>
        <w:rPr>
          <w:color w:val="231F20"/>
        </w:rPr>
        <w:t>established,</w:t>
      </w:r>
      <w:r>
        <w:rPr>
          <w:color w:val="231F20"/>
          <w:spacing w:val="-5"/>
        </w:rPr>
        <w:t xml:space="preserve"> </w:t>
      </w:r>
      <w:r>
        <w:rPr>
          <w:color w:val="231F20"/>
        </w:rPr>
        <w:t>a</w:t>
      </w:r>
      <w:r>
        <w:rPr>
          <w:color w:val="231F20"/>
          <w:spacing w:val="-5"/>
        </w:rPr>
        <w:t xml:space="preserve"> </w:t>
      </w:r>
      <w:r>
        <w:rPr>
          <w:color w:val="231F20"/>
          <w:spacing w:val="-17"/>
        </w:rPr>
        <w:t xml:space="preserve">5 </w:t>
      </w:r>
      <w:r>
        <w:rPr>
          <w:color w:val="231F20"/>
        </w:rPr>
        <w:t>year</w:t>
      </w:r>
      <w:r>
        <w:rPr>
          <w:color w:val="231F20"/>
          <w:spacing w:val="-5"/>
        </w:rPr>
        <w:t xml:space="preserve"> </w:t>
      </w:r>
      <w:r>
        <w:rPr>
          <w:color w:val="231F20"/>
        </w:rPr>
        <w:t>forward</w:t>
      </w:r>
      <w:r>
        <w:rPr>
          <w:color w:val="231F20"/>
          <w:spacing w:val="-4"/>
        </w:rPr>
        <w:t xml:space="preserve"> </w:t>
      </w:r>
      <w:r>
        <w:rPr>
          <w:color w:val="231F20"/>
        </w:rPr>
        <w:t>looking</w:t>
      </w:r>
      <w:r>
        <w:rPr>
          <w:color w:val="231F20"/>
          <w:spacing w:val="-4"/>
        </w:rPr>
        <w:t xml:space="preserve"> </w:t>
      </w:r>
      <w:r>
        <w:rPr>
          <w:color w:val="231F20"/>
        </w:rPr>
        <w:t>resource</w:t>
      </w:r>
      <w:r>
        <w:rPr>
          <w:color w:val="231F20"/>
          <w:spacing w:val="-4"/>
        </w:rPr>
        <w:t xml:space="preserve"> </w:t>
      </w:r>
      <w:r>
        <w:rPr>
          <w:color w:val="231F20"/>
        </w:rPr>
        <w:t>mapping</w:t>
      </w:r>
      <w:r>
        <w:rPr>
          <w:color w:val="231F20"/>
          <w:spacing w:val="-4"/>
        </w:rPr>
        <w:t xml:space="preserve"> </w:t>
      </w:r>
      <w:r>
        <w:rPr>
          <w:color w:val="231F20"/>
        </w:rPr>
        <w:t>was</w:t>
      </w:r>
      <w:r>
        <w:rPr>
          <w:color w:val="231F20"/>
          <w:spacing w:val="-4"/>
        </w:rPr>
        <w:t xml:space="preserve"> </w:t>
      </w:r>
      <w:r>
        <w:rPr>
          <w:color w:val="231F20"/>
        </w:rPr>
        <w:t>undertaken.</w:t>
      </w:r>
      <w:r>
        <w:rPr>
          <w:color w:val="231F20"/>
          <w:spacing w:val="-8"/>
        </w:rPr>
        <w:t xml:space="preserve"> </w:t>
      </w:r>
      <w:r>
        <w:rPr>
          <w:color w:val="231F20"/>
        </w:rPr>
        <w:t>This</w:t>
      </w:r>
      <w:r>
        <w:rPr>
          <w:color w:val="231F20"/>
          <w:spacing w:val="-4"/>
        </w:rPr>
        <w:t xml:space="preserve"> </w:t>
      </w:r>
      <w:r>
        <w:rPr>
          <w:color w:val="231F20"/>
        </w:rPr>
        <w:t>exercise</w:t>
      </w:r>
      <w:r>
        <w:rPr>
          <w:color w:val="231F20"/>
          <w:spacing w:val="-4"/>
        </w:rPr>
        <w:t xml:space="preserve"> </w:t>
      </w:r>
      <w:r>
        <w:rPr>
          <w:color w:val="231F20"/>
        </w:rPr>
        <w:t>covered</w:t>
      </w:r>
      <w:r>
        <w:rPr>
          <w:color w:val="231F20"/>
          <w:spacing w:val="-5"/>
        </w:rPr>
        <w:t xml:space="preserve"> </w:t>
      </w:r>
      <w:r>
        <w:rPr>
          <w:color w:val="231F20"/>
        </w:rPr>
        <w:t>actors</w:t>
      </w:r>
      <w:r>
        <w:rPr>
          <w:color w:val="231F20"/>
          <w:spacing w:val="-4"/>
        </w:rPr>
        <w:t xml:space="preserve"> </w:t>
      </w:r>
      <w:r>
        <w:rPr>
          <w:color w:val="231F20"/>
        </w:rPr>
        <w:t>across</w:t>
      </w:r>
      <w:r>
        <w:rPr>
          <w:color w:val="231F20"/>
          <w:spacing w:val="-4"/>
        </w:rPr>
        <w:t xml:space="preserve"> </w:t>
      </w:r>
      <w:r>
        <w:rPr>
          <w:color w:val="231F20"/>
        </w:rPr>
        <w:t>the entire health sector with particular emphasis on funding commitment from the following sources; Bilateral, Multilateral and Development Partners. Data was collected on resources available for</w:t>
      </w:r>
      <w:r>
        <w:rPr>
          <w:color w:val="231F20"/>
          <w:spacing w:val="-25"/>
        </w:rPr>
        <w:t xml:space="preserve"> </w:t>
      </w:r>
      <w:r>
        <w:rPr>
          <w:color w:val="231F20"/>
          <w:spacing w:val="-13"/>
        </w:rPr>
        <w:t xml:space="preserve">a </w:t>
      </w:r>
      <w:r>
        <w:rPr>
          <w:color w:val="231F20"/>
        </w:rPr>
        <w:t>minimum</w:t>
      </w:r>
      <w:r>
        <w:rPr>
          <w:color w:val="231F20"/>
          <w:spacing w:val="-25"/>
        </w:rPr>
        <w:t xml:space="preserve"> </w:t>
      </w:r>
      <w:r>
        <w:rPr>
          <w:color w:val="231F20"/>
        </w:rPr>
        <w:t>of</w:t>
      </w:r>
      <w:r>
        <w:rPr>
          <w:color w:val="231F20"/>
          <w:spacing w:val="-25"/>
        </w:rPr>
        <w:t xml:space="preserve"> </w:t>
      </w:r>
      <w:r>
        <w:rPr>
          <w:color w:val="231F20"/>
        </w:rPr>
        <w:t>3years;</w:t>
      </w:r>
      <w:r>
        <w:rPr>
          <w:color w:val="231F20"/>
          <w:spacing w:val="-25"/>
        </w:rPr>
        <w:t xml:space="preserve"> </w:t>
      </w:r>
      <w:r>
        <w:rPr>
          <w:color w:val="231F20"/>
        </w:rPr>
        <w:t>2018</w:t>
      </w:r>
      <w:r>
        <w:rPr>
          <w:color w:val="231F20"/>
          <w:spacing w:val="-25"/>
        </w:rPr>
        <w:t xml:space="preserve"> </w:t>
      </w:r>
      <w:r>
        <w:rPr>
          <w:color w:val="231F20"/>
        </w:rPr>
        <w:t>to</w:t>
      </w:r>
      <w:r>
        <w:rPr>
          <w:color w:val="231F20"/>
          <w:spacing w:val="-26"/>
        </w:rPr>
        <w:t xml:space="preserve"> </w:t>
      </w:r>
      <w:r>
        <w:rPr>
          <w:color w:val="231F20"/>
        </w:rPr>
        <w:t>2020.</w:t>
      </w:r>
    </w:p>
    <w:p w14:paraId="3A91A05D" w14:textId="77777777" w:rsidR="009948F1" w:rsidRDefault="009948F1">
      <w:pPr>
        <w:spacing w:line="249" w:lineRule="auto"/>
        <w:jc w:val="both"/>
        <w:sectPr w:rsidR="009948F1">
          <w:pgSz w:w="11910" w:h="16840"/>
          <w:pgMar w:top="1400" w:right="1080" w:bottom="1420" w:left="1120" w:header="0" w:footer="1235" w:gutter="0"/>
          <w:cols w:space="720"/>
        </w:sectPr>
      </w:pPr>
    </w:p>
    <w:p w14:paraId="7FC1D7B6" w14:textId="77777777" w:rsidR="009948F1" w:rsidRDefault="00244DD0">
      <w:pPr>
        <w:pStyle w:val="BodyText"/>
        <w:spacing w:before="35"/>
        <w:ind w:left="174"/>
      </w:pPr>
      <w:r>
        <w:lastRenderedPageBreak/>
        <w:pict w14:anchorId="304974BB">
          <v:rect id="_x0000_s2059" style="position:absolute;left:0;text-align:left;margin-left:64.7pt;margin-top:773.75pt;width:190.65pt;height:1.8pt;z-index:15745536;mso-position-horizontal-relative:page;mso-position-vertical-relative:page" fillcolor="#231f20" stroked="f">
            <w10:wrap anchorx="page" anchory="page"/>
          </v:rect>
        </w:pict>
      </w:r>
      <w:r>
        <w:pict w14:anchorId="0D1003C7">
          <v:rect id="_x0000_s2058" style="position:absolute;left:0;text-align:left;margin-left:341.8pt;margin-top:773.75pt;width:190.65pt;height:1.8pt;z-index:-35210240;mso-position-horizontal-relative:page;mso-position-vertical-relative:page" fillcolor="#231f20" stroked="f">
            <w10:wrap anchorx="page" anchory="page"/>
          </v:rect>
        </w:pict>
      </w:r>
      <w:bookmarkStart w:id="132" w:name="Page_110"/>
      <w:bookmarkEnd w:id="132"/>
      <w:r w:rsidR="00BC0563">
        <w:rPr>
          <w:color w:val="231F20"/>
        </w:rPr>
        <w:t>Limitations of the resource mapping including the following:</w:t>
      </w:r>
    </w:p>
    <w:p w14:paraId="4A7D6FB5" w14:textId="77777777" w:rsidR="009948F1" w:rsidRDefault="00BC0563">
      <w:pPr>
        <w:pStyle w:val="ListParagraph"/>
        <w:numPr>
          <w:ilvl w:val="0"/>
          <w:numId w:val="250"/>
        </w:numPr>
        <w:tabs>
          <w:tab w:val="left" w:pos="895"/>
        </w:tabs>
        <w:spacing w:before="3" w:line="242" w:lineRule="auto"/>
        <w:ind w:right="173"/>
      </w:pPr>
      <w:r>
        <w:rPr>
          <w:color w:val="231F20"/>
        </w:rPr>
        <w:t>No</w:t>
      </w:r>
      <w:r>
        <w:rPr>
          <w:color w:val="231F20"/>
          <w:spacing w:val="-22"/>
        </w:rPr>
        <w:t xml:space="preserve"> </w:t>
      </w:r>
      <w:r>
        <w:rPr>
          <w:color w:val="231F20"/>
        </w:rPr>
        <w:t>data</w:t>
      </w:r>
      <w:r>
        <w:rPr>
          <w:color w:val="231F20"/>
          <w:spacing w:val="-22"/>
        </w:rPr>
        <w:t xml:space="preserve"> </w:t>
      </w:r>
      <w:r>
        <w:rPr>
          <w:color w:val="231F20"/>
        </w:rPr>
        <w:t>on</w:t>
      </w:r>
      <w:r>
        <w:rPr>
          <w:color w:val="231F20"/>
          <w:spacing w:val="-22"/>
        </w:rPr>
        <w:t xml:space="preserve"> </w:t>
      </w:r>
      <w:r>
        <w:rPr>
          <w:color w:val="231F20"/>
        </w:rPr>
        <w:t>the</w:t>
      </w:r>
      <w:r>
        <w:rPr>
          <w:color w:val="231F20"/>
          <w:spacing w:val="-22"/>
        </w:rPr>
        <w:t xml:space="preserve"> </w:t>
      </w:r>
      <w:r>
        <w:rPr>
          <w:color w:val="231F20"/>
        </w:rPr>
        <w:t>financial</w:t>
      </w:r>
      <w:r>
        <w:rPr>
          <w:color w:val="231F20"/>
          <w:spacing w:val="-22"/>
        </w:rPr>
        <w:t xml:space="preserve"> </w:t>
      </w:r>
      <w:r>
        <w:rPr>
          <w:color w:val="231F20"/>
        </w:rPr>
        <w:t>commitments</w:t>
      </w:r>
      <w:r>
        <w:rPr>
          <w:color w:val="231F20"/>
          <w:spacing w:val="-22"/>
        </w:rPr>
        <w:t xml:space="preserve"> </w:t>
      </w:r>
      <w:r>
        <w:rPr>
          <w:color w:val="231F20"/>
        </w:rPr>
        <w:t>of</w:t>
      </w:r>
      <w:r>
        <w:rPr>
          <w:color w:val="231F20"/>
          <w:spacing w:val="-22"/>
        </w:rPr>
        <w:t xml:space="preserve"> </w:t>
      </w:r>
      <w:r>
        <w:rPr>
          <w:color w:val="231F20"/>
        </w:rPr>
        <w:t>the</w:t>
      </w:r>
      <w:r>
        <w:rPr>
          <w:color w:val="231F20"/>
          <w:spacing w:val="-21"/>
        </w:rPr>
        <w:t xml:space="preserve"> </w:t>
      </w:r>
      <w:r>
        <w:rPr>
          <w:color w:val="231F20"/>
          <w:spacing w:val="-5"/>
        </w:rPr>
        <w:t>dev.</w:t>
      </w:r>
      <w:r>
        <w:rPr>
          <w:color w:val="231F20"/>
          <w:spacing w:val="-22"/>
        </w:rPr>
        <w:t xml:space="preserve"> </w:t>
      </w:r>
      <w:r>
        <w:rPr>
          <w:color w:val="231F20"/>
        </w:rPr>
        <w:t>partners</w:t>
      </w:r>
      <w:r>
        <w:rPr>
          <w:color w:val="231F20"/>
          <w:spacing w:val="-22"/>
        </w:rPr>
        <w:t xml:space="preserve"> </w:t>
      </w:r>
      <w:r>
        <w:rPr>
          <w:color w:val="231F20"/>
        </w:rPr>
        <w:t>operating</w:t>
      </w:r>
      <w:r>
        <w:rPr>
          <w:color w:val="231F20"/>
          <w:spacing w:val="-22"/>
        </w:rPr>
        <w:t xml:space="preserve"> </w:t>
      </w:r>
      <w:r>
        <w:rPr>
          <w:color w:val="231F20"/>
        </w:rPr>
        <w:t>within</w:t>
      </w:r>
      <w:r>
        <w:rPr>
          <w:color w:val="231F20"/>
          <w:spacing w:val="-22"/>
        </w:rPr>
        <w:t xml:space="preserve"> </w:t>
      </w:r>
      <w:r>
        <w:rPr>
          <w:color w:val="231F20"/>
        </w:rPr>
        <w:t>Rivers</w:t>
      </w:r>
      <w:r>
        <w:rPr>
          <w:color w:val="231F20"/>
          <w:spacing w:val="-22"/>
        </w:rPr>
        <w:t xml:space="preserve"> </w:t>
      </w:r>
      <w:r>
        <w:rPr>
          <w:color w:val="231F20"/>
        </w:rPr>
        <w:t>State</w:t>
      </w:r>
      <w:r>
        <w:rPr>
          <w:color w:val="231F20"/>
          <w:spacing w:val="-22"/>
        </w:rPr>
        <w:t xml:space="preserve"> </w:t>
      </w:r>
      <w:r>
        <w:rPr>
          <w:color w:val="231F20"/>
        </w:rPr>
        <w:t>was provided.</w:t>
      </w:r>
    </w:p>
    <w:p w14:paraId="49333FB4" w14:textId="77777777" w:rsidR="009948F1" w:rsidRDefault="00BC0563">
      <w:pPr>
        <w:pStyle w:val="ListParagraph"/>
        <w:numPr>
          <w:ilvl w:val="0"/>
          <w:numId w:val="250"/>
        </w:numPr>
        <w:tabs>
          <w:tab w:val="left" w:pos="895"/>
        </w:tabs>
        <w:spacing w:before="1" w:line="242" w:lineRule="auto"/>
        <w:ind w:right="173"/>
      </w:pPr>
      <w:r>
        <w:rPr>
          <w:color w:val="231F20"/>
        </w:rPr>
        <w:t xml:space="preserve">Data on the resource contributions of faith-based </w:t>
      </w:r>
      <w:proofErr w:type="spellStart"/>
      <w:r>
        <w:rPr>
          <w:color w:val="231F20"/>
        </w:rPr>
        <w:t>organisations</w:t>
      </w:r>
      <w:proofErr w:type="spellEnd"/>
      <w:r>
        <w:rPr>
          <w:color w:val="231F20"/>
        </w:rPr>
        <w:t xml:space="preserve"> and other Non- Governmental</w:t>
      </w:r>
      <w:r>
        <w:rPr>
          <w:color w:val="231F20"/>
          <w:spacing w:val="-25"/>
        </w:rPr>
        <w:t xml:space="preserve"> </w:t>
      </w:r>
      <w:r>
        <w:rPr>
          <w:color w:val="231F20"/>
        </w:rPr>
        <w:t>Organisation</w:t>
      </w:r>
      <w:r>
        <w:rPr>
          <w:color w:val="231F20"/>
          <w:spacing w:val="-26"/>
        </w:rPr>
        <w:t xml:space="preserve"> </w:t>
      </w:r>
      <w:r>
        <w:rPr>
          <w:color w:val="231F20"/>
        </w:rPr>
        <w:t>actors</w:t>
      </w:r>
      <w:r>
        <w:rPr>
          <w:color w:val="231F20"/>
          <w:spacing w:val="-25"/>
        </w:rPr>
        <w:t xml:space="preserve"> </w:t>
      </w:r>
      <w:r>
        <w:rPr>
          <w:color w:val="231F20"/>
        </w:rPr>
        <w:t>were</w:t>
      </w:r>
      <w:r>
        <w:rPr>
          <w:color w:val="231F20"/>
          <w:spacing w:val="-25"/>
        </w:rPr>
        <w:t xml:space="preserve"> </w:t>
      </w:r>
      <w:r>
        <w:rPr>
          <w:color w:val="231F20"/>
        </w:rPr>
        <w:t>not</w:t>
      </w:r>
      <w:r>
        <w:rPr>
          <w:color w:val="231F20"/>
          <w:spacing w:val="-25"/>
        </w:rPr>
        <w:t xml:space="preserve"> </w:t>
      </w:r>
      <w:r>
        <w:rPr>
          <w:color w:val="231F20"/>
        </w:rPr>
        <w:t>collated.</w:t>
      </w:r>
    </w:p>
    <w:p w14:paraId="4E1FCB22" w14:textId="77777777" w:rsidR="009948F1" w:rsidRDefault="009948F1">
      <w:pPr>
        <w:pStyle w:val="BodyText"/>
      </w:pPr>
    </w:p>
    <w:p w14:paraId="34C0C306" w14:textId="77777777" w:rsidR="009948F1" w:rsidRDefault="009948F1">
      <w:pPr>
        <w:pStyle w:val="BodyText"/>
        <w:spacing w:before="9"/>
        <w:rPr>
          <w:sz w:val="27"/>
        </w:rPr>
      </w:pPr>
    </w:p>
    <w:p w14:paraId="620697B1" w14:textId="77777777" w:rsidR="009948F1" w:rsidRDefault="00BC0563">
      <w:pPr>
        <w:spacing w:before="1"/>
        <w:ind w:left="959" w:hanging="769"/>
        <w:rPr>
          <w:rFonts w:ascii="Carlito"/>
          <w:b/>
          <w:i/>
          <w:sz w:val="20"/>
        </w:rPr>
      </w:pPr>
      <w:r>
        <w:rPr>
          <w:rFonts w:ascii="Carlito"/>
          <w:b/>
          <w:i/>
          <w:color w:val="231F20"/>
          <w:sz w:val="20"/>
        </w:rPr>
        <w:t>Table 13: Financial Sustainability Analysis of Rivers SSHDP II 2017-2021 Essential Package Moderate Scale-up Scenario, in Million ($)</w:t>
      </w:r>
    </w:p>
    <w:p w14:paraId="31F64B53" w14:textId="77777777" w:rsidR="009948F1" w:rsidRDefault="009948F1">
      <w:pPr>
        <w:pStyle w:val="BodyText"/>
        <w:spacing w:before="2"/>
        <w:rPr>
          <w:rFonts w:ascii="Carlito"/>
          <w:b/>
          <w:i/>
          <w:sz w:val="6"/>
        </w:rPr>
      </w:pPr>
    </w:p>
    <w:tbl>
      <w:tblPr>
        <w:tblW w:w="0" w:type="auto"/>
        <w:tblInd w:w="259"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429"/>
        <w:gridCol w:w="1115"/>
        <w:gridCol w:w="1114"/>
        <w:gridCol w:w="1114"/>
        <w:gridCol w:w="1114"/>
        <w:gridCol w:w="1111"/>
        <w:gridCol w:w="1277"/>
      </w:tblGrid>
      <w:tr w:rsidR="009948F1" w14:paraId="65402F19" w14:textId="77777777">
        <w:trPr>
          <w:trHeight w:val="1187"/>
        </w:trPr>
        <w:tc>
          <w:tcPr>
            <w:tcW w:w="9274" w:type="dxa"/>
            <w:gridSpan w:val="7"/>
          </w:tcPr>
          <w:p w14:paraId="50B489D1" w14:textId="77777777" w:rsidR="009948F1" w:rsidRDefault="00BC0563">
            <w:pPr>
              <w:pStyle w:val="TableParagraph"/>
              <w:spacing w:before="3" w:line="302" w:lineRule="exact"/>
              <w:ind w:left="114"/>
              <w:rPr>
                <w:b/>
                <w:sz w:val="27"/>
              </w:rPr>
            </w:pPr>
            <w:r>
              <w:rPr>
                <w:b/>
                <w:color w:val="231F20"/>
                <w:w w:val="115"/>
                <w:sz w:val="27"/>
              </w:rPr>
              <w:t>Financial Sustainability Analysis of Rivers SHDP</w:t>
            </w:r>
          </w:p>
          <w:p w14:paraId="3917E886" w14:textId="77777777" w:rsidR="009948F1" w:rsidRDefault="00BC0563">
            <w:pPr>
              <w:pStyle w:val="TableParagraph"/>
              <w:tabs>
                <w:tab w:val="left" w:pos="1261"/>
                <w:tab w:val="left" w:pos="2591"/>
              </w:tabs>
              <w:spacing w:before="6" w:line="225" w:lineRule="auto"/>
              <w:ind w:left="114" w:right="1145"/>
              <w:rPr>
                <w:b/>
                <w:sz w:val="27"/>
              </w:rPr>
            </w:pPr>
            <w:r>
              <w:rPr>
                <w:b/>
                <w:color w:val="231F20"/>
                <w:w w:val="115"/>
                <w:sz w:val="27"/>
              </w:rPr>
              <w:t>II</w:t>
            </w:r>
            <w:r>
              <w:rPr>
                <w:b/>
                <w:color w:val="231F20"/>
                <w:spacing w:val="-4"/>
                <w:w w:val="115"/>
                <w:sz w:val="27"/>
              </w:rPr>
              <w:t xml:space="preserve"> </w:t>
            </w:r>
            <w:r>
              <w:rPr>
                <w:b/>
                <w:color w:val="231F20"/>
                <w:w w:val="115"/>
                <w:sz w:val="27"/>
              </w:rPr>
              <w:t>201</w:t>
            </w:r>
            <w:r>
              <w:rPr>
                <w:b/>
                <w:color w:val="231F20"/>
                <w:w w:val="115"/>
                <w:sz w:val="27"/>
              </w:rPr>
              <w:tab/>
            </w:r>
            <w:r>
              <w:rPr>
                <w:b/>
                <w:color w:val="231F20"/>
                <w:spacing w:val="6"/>
                <w:w w:val="115"/>
                <w:sz w:val="27"/>
              </w:rPr>
              <w:t>8-</w:t>
            </w:r>
            <w:r>
              <w:rPr>
                <w:b/>
                <w:color w:val="231F20"/>
                <w:spacing w:val="-8"/>
                <w:w w:val="115"/>
                <w:sz w:val="27"/>
              </w:rPr>
              <w:t xml:space="preserve"> </w:t>
            </w:r>
            <w:r>
              <w:rPr>
                <w:b/>
                <w:color w:val="231F20"/>
                <w:w w:val="115"/>
                <w:sz w:val="27"/>
              </w:rPr>
              <w:t>202</w:t>
            </w:r>
            <w:r>
              <w:rPr>
                <w:b/>
                <w:color w:val="231F20"/>
                <w:spacing w:val="-49"/>
                <w:w w:val="115"/>
                <w:sz w:val="27"/>
              </w:rPr>
              <w:t xml:space="preserve"> </w:t>
            </w:r>
            <w:r>
              <w:rPr>
                <w:b/>
                <w:color w:val="231F20"/>
                <w:w w:val="115"/>
                <w:sz w:val="27"/>
              </w:rPr>
              <w:t>2</w:t>
            </w:r>
            <w:r>
              <w:rPr>
                <w:b/>
                <w:color w:val="231F20"/>
                <w:w w:val="115"/>
                <w:sz w:val="27"/>
              </w:rPr>
              <w:tab/>
              <w:t>Essential Package Moderate</w:t>
            </w:r>
            <w:r>
              <w:rPr>
                <w:b/>
                <w:color w:val="231F20"/>
                <w:spacing w:val="-61"/>
                <w:w w:val="115"/>
                <w:sz w:val="27"/>
              </w:rPr>
              <w:t xml:space="preserve"> </w:t>
            </w:r>
            <w:r>
              <w:rPr>
                <w:b/>
                <w:color w:val="231F20"/>
                <w:w w:val="115"/>
                <w:sz w:val="27"/>
              </w:rPr>
              <w:t>Scale-up Scenario, in Million</w:t>
            </w:r>
            <w:r>
              <w:rPr>
                <w:b/>
                <w:color w:val="231F20"/>
                <w:spacing w:val="-6"/>
                <w:w w:val="115"/>
                <w:sz w:val="27"/>
              </w:rPr>
              <w:t xml:space="preserve"> </w:t>
            </w:r>
            <w:r>
              <w:rPr>
                <w:b/>
                <w:color w:val="231F20"/>
                <w:w w:val="115"/>
                <w:sz w:val="27"/>
              </w:rPr>
              <w:t>($)</w:t>
            </w:r>
          </w:p>
        </w:tc>
      </w:tr>
      <w:tr w:rsidR="009948F1" w14:paraId="6CBD6828" w14:textId="77777777">
        <w:trPr>
          <w:trHeight w:val="406"/>
        </w:trPr>
        <w:tc>
          <w:tcPr>
            <w:tcW w:w="2429" w:type="dxa"/>
            <w:tcBorders>
              <w:right w:val="single" w:sz="6" w:space="0" w:color="231F20"/>
            </w:tcBorders>
            <w:shd w:val="clear" w:color="auto" w:fill="FFF685"/>
          </w:tcPr>
          <w:p w14:paraId="6A5BCACA" w14:textId="77777777" w:rsidR="009948F1" w:rsidRDefault="00BC0563">
            <w:pPr>
              <w:pStyle w:val="TableParagraph"/>
              <w:spacing w:before="50"/>
              <w:ind w:left="114"/>
              <w:rPr>
                <w:b/>
                <w:sz w:val="23"/>
              </w:rPr>
            </w:pPr>
            <w:r>
              <w:rPr>
                <w:b/>
                <w:color w:val="231F20"/>
                <w:sz w:val="23"/>
              </w:rPr>
              <w:t>Sources of Funds</w:t>
            </w:r>
          </w:p>
        </w:tc>
        <w:tc>
          <w:tcPr>
            <w:tcW w:w="1115" w:type="dxa"/>
            <w:tcBorders>
              <w:left w:val="single" w:sz="6" w:space="0" w:color="231F20"/>
              <w:right w:val="single" w:sz="6" w:space="0" w:color="231F20"/>
            </w:tcBorders>
            <w:shd w:val="clear" w:color="auto" w:fill="FFF685"/>
          </w:tcPr>
          <w:p w14:paraId="5E7F991F" w14:textId="77777777" w:rsidR="009948F1" w:rsidRDefault="00BC0563">
            <w:pPr>
              <w:pStyle w:val="TableParagraph"/>
              <w:spacing w:before="50"/>
              <w:ind w:left="122"/>
              <w:rPr>
                <w:b/>
                <w:sz w:val="23"/>
              </w:rPr>
            </w:pPr>
            <w:r>
              <w:rPr>
                <w:b/>
                <w:color w:val="231F20"/>
                <w:sz w:val="23"/>
              </w:rPr>
              <w:t>201 8</w:t>
            </w:r>
          </w:p>
        </w:tc>
        <w:tc>
          <w:tcPr>
            <w:tcW w:w="1114" w:type="dxa"/>
            <w:tcBorders>
              <w:left w:val="single" w:sz="6" w:space="0" w:color="231F20"/>
              <w:right w:val="single" w:sz="6" w:space="0" w:color="231F20"/>
            </w:tcBorders>
            <w:shd w:val="clear" w:color="auto" w:fill="FFF685"/>
          </w:tcPr>
          <w:p w14:paraId="6022301F" w14:textId="77777777" w:rsidR="009948F1" w:rsidRDefault="00BC0563">
            <w:pPr>
              <w:pStyle w:val="TableParagraph"/>
              <w:spacing w:before="50"/>
              <w:ind w:left="122"/>
              <w:rPr>
                <w:b/>
                <w:sz w:val="23"/>
              </w:rPr>
            </w:pPr>
            <w:r>
              <w:rPr>
                <w:b/>
                <w:color w:val="231F20"/>
                <w:sz w:val="23"/>
              </w:rPr>
              <w:t>201 9</w:t>
            </w:r>
          </w:p>
        </w:tc>
        <w:tc>
          <w:tcPr>
            <w:tcW w:w="1114" w:type="dxa"/>
            <w:tcBorders>
              <w:left w:val="single" w:sz="6" w:space="0" w:color="231F20"/>
              <w:right w:val="single" w:sz="6" w:space="0" w:color="231F20"/>
            </w:tcBorders>
            <w:shd w:val="clear" w:color="auto" w:fill="FFF685"/>
          </w:tcPr>
          <w:p w14:paraId="1A9D0AC0" w14:textId="77777777" w:rsidR="009948F1" w:rsidRDefault="00BC0563">
            <w:pPr>
              <w:pStyle w:val="TableParagraph"/>
              <w:spacing w:before="50"/>
              <w:ind w:left="123"/>
              <w:rPr>
                <w:b/>
                <w:sz w:val="23"/>
              </w:rPr>
            </w:pPr>
            <w:r>
              <w:rPr>
                <w:b/>
                <w:color w:val="231F20"/>
                <w:sz w:val="23"/>
              </w:rPr>
              <w:t>2020</w:t>
            </w:r>
          </w:p>
        </w:tc>
        <w:tc>
          <w:tcPr>
            <w:tcW w:w="1114" w:type="dxa"/>
            <w:tcBorders>
              <w:left w:val="single" w:sz="6" w:space="0" w:color="231F20"/>
              <w:right w:val="single" w:sz="6" w:space="0" w:color="231F20"/>
            </w:tcBorders>
            <w:shd w:val="clear" w:color="auto" w:fill="FFF685"/>
          </w:tcPr>
          <w:p w14:paraId="15B23A66" w14:textId="77777777" w:rsidR="009948F1" w:rsidRDefault="00BC0563">
            <w:pPr>
              <w:pStyle w:val="TableParagraph"/>
              <w:spacing w:before="50"/>
              <w:ind w:left="124"/>
              <w:rPr>
                <w:b/>
                <w:sz w:val="23"/>
              </w:rPr>
            </w:pPr>
            <w:r>
              <w:rPr>
                <w:b/>
                <w:color w:val="231F20"/>
                <w:sz w:val="23"/>
              </w:rPr>
              <w:t>202 1</w:t>
            </w:r>
          </w:p>
        </w:tc>
        <w:tc>
          <w:tcPr>
            <w:tcW w:w="1111" w:type="dxa"/>
            <w:tcBorders>
              <w:left w:val="single" w:sz="6" w:space="0" w:color="231F20"/>
              <w:right w:val="single" w:sz="6" w:space="0" w:color="231F20"/>
            </w:tcBorders>
            <w:shd w:val="clear" w:color="auto" w:fill="FFF685"/>
          </w:tcPr>
          <w:p w14:paraId="71771BF1" w14:textId="77777777" w:rsidR="009948F1" w:rsidRDefault="00BC0563">
            <w:pPr>
              <w:pStyle w:val="TableParagraph"/>
              <w:spacing w:before="50"/>
              <w:ind w:left="125"/>
              <w:rPr>
                <w:b/>
                <w:sz w:val="23"/>
              </w:rPr>
            </w:pPr>
            <w:r>
              <w:rPr>
                <w:b/>
                <w:color w:val="231F20"/>
                <w:sz w:val="23"/>
              </w:rPr>
              <w:t>202 2</w:t>
            </w:r>
          </w:p>
        </w:tc>
        <w:tc>
          <w:tcPr>
            <w:tcW w:w="1277" w:type="dxa"/>
            <w:tcBorders>
              <w:left w:val="single" w:sz="6" w:space="0" w:color="231F20"/>
            </w:tcBorders>
            <w:shd w:val="clear" w:color="auto" w:fill="FFF685"/>
          </w:tcPr>
          <w:p w14:paraId="0177D1EF" w14:textId="77777777" w:rsidR="009948F1" w:rsidRDefault="00BC0563">
            <w:pPr>
              <w:pStyle w:val="TableParagraph"/>
              <w:spacing w:before="50"/>
              <w:ind w:left="126"/>
              <w:rPr>
                <w:b/>
                <w:sz w:val="23"/>
              </w:rPr>
            </w:pPr>
            <w:r>
              <w:rPr>
                <w:b/>
                <w:color w:val="231F20"/>
                <w:sz w:val="23"/>
              </w:rPr>
              <w:t>TOTAL</w:t>
            </w:r>
          </w:p>
        </w:tc>
      </w:tr>
      <w:tr w:rsidR="009948F1" w14:paraId="4FA1F381" w14:textId="77777777">
        <w:trPr>
          <w:trHeight w:val="581"/>
        </w:trPr>
        <w:tc>
          <w:tcPr>
            <w:tcW w:w="2429" w:type="dxa"/>
            <w:tcBorders>
              <w:bottom w:val="single" w:sz="6" w:space="0" w:color="231F20"/>
              <w:right w:val="single" w:sz="6" w:space="0" w:color="231F20"/>
            </w:tcBorders>
          </w:tcPr>
          <w:p w14:paraId="3951B86D" w14:textId="77777777" w:rsidR="009948F1" w:rsidRDefault="00BC0563">
            <w:pPr>
              <w:pStyle w:val="TableParagraph"/>
              <w:spacing w:line="268" w:lineRule="exact"/>
              <w:ind w:left="114"/>
              <w:rPr>
                <w:b/>
                <w:sz w:val="27"/>
              </w:rPr>
            </w:pPr>
            <w:r>
              <w:rPr>
                <w:b/>
                <w:color w:val="231F20"/>
                <w:sz w:val="27"/>
              </w:rPr>
              <w:t>Govt.</w:t>
            </w:r>
          </w:p>
          <w:p w14:paraId="0F1CF036" w14:textId="77777777" w:rsidR="009948F1" w:rsidRDefault="00BC0563">
            <w:pPr>
              <w:pStyle w:val="TableParagraph"/>
              <w:spacing w:line="294" w:lineRule="exact"/>
              <w:ind w:left="114"/>
              <w:rPr>
                <w:b/>
                <w:sz w:val="27"/>
              </w:rPr>
            </w:pPr>
            <w:r>
              <w:rPr>
                <w:b/>
                <w:color w:val="231F20"/>
                <w:sz w:val="27"/>
              </w:rPr>
              <w:t>Allocations</w:t>
            </w:r>
          </w:p>
        </w:tc>
        <w:tc>
          <w:tcPr>
            <w:tcW w:w="1115" w:type="dxa"/>
            <w:tcBorders>
              <w:left w:val="single" w:sz="6" w:space="0" w:color="231F20"/>
              <w:bottom w:val="single" w:sz="6" w:space="0" w:color="231F20"/>
              <w:right w:val="single" w:sz="6" w:space="0" w:color="231F20"/>
            </w:tcBorders>
          </w:tcPr>
          <w:p w14:paraId="64380D73" w14:textId="77777777" w:rsidR="009948F1" w:rsidRDefault="00BC0563">
            <w:pPr>
              <w:pStyle w:val="TableParagraph"/>
              <w:spacing w:before="149"/>
              <w:ind w:left="172"/>
              <w:rPr>
                <w:rFonts w:ascii="Carlito"/>
                <w:sz w:val="23"/>
              </w:rPr>
            </w:pPr>
            <w:r>
              <w:rPr>
                <w:rFonts w:ascii="Carlito"/>
                <w:color w:val="231F20"/>
                <w:sz w:val="23"/>
              </w:rPr>
              <w:t>$ 45.7M</w:t>
            </w:r>
          </w:p>
        </w:tc>
        <w:tc>
          <w:tcPr>
            <w:tcW w:w="1114" w:type="dxa"/>
            <w:tcBorders>
              <w:left w:val="single" w:sz="6" w:space="0" w:color="231F20"/>
              <w:bottom w:val="single" w:sz="6" w:space="0" w:color="231F20"/>
              <w:right w:val="single" w:sz="6" w:space="0" w:color="231F20"/>
            </w:tcBorders>
          </w:tcPr>
          <w:p w14:paraId="5568D9B4" w14:textId="77777777" w:rsidR="009948F1" w:rsidRDefault="00BC0563">
            <w:pPr>
              <w:pStyle w:val="TableParagraph"/>
              <w:spacing w:before="149"/>
              <w:ind w:left="172"/>
              <w:rPr>
                <w:rFonts w:ascii="Carlito"/>
                <w:sz w:val="23"/>
              </w:rPr>
            </w:pPr>
            <w:r>
              <w:rPr>
                <w:rFonts w:ascii="Carlito"/>
                <w:color w:val="231F20"/>
                <w:sz w:val="23"/>
              </w:rPr>
              <w:t>$ 46.4M</w:t>
            </w:r>
          </w:p>
        </w:tc>
        <w:tc>
          <w:tcPr>
            <w:tcW w:w="1114" w:type="dxa"/>
            <w:tcBorders>
              <w:left w:val="single" w:sz="6" w:space="0" w:color="231F20"/>
              <w:bottom w:val="single" w:sz="6" w:space="0" w:color="231F20"/>
              <w:right w:val="single" w:sz="6" w:space="0" w:color="231F20"/>
            </w:tcBorders>
          </w:tcPr>
          <w:p w14:paraId="3274C1EE" w14:textId="77777777" w:rsidR="009948F1" w:rsidRDefault="00BC0563">
            <w:pPr>
              <w:pStyle w:val="TableParagraph"/>
              <w:spacing w:before="149"/>
              <w:ind w:left="173"/>
              <w:rPr>
                <w:rFonts w:ascii="Carlito"/>
                <w:sz w:val="23"/>
              </w:rPr>
            </w:pPr>
            <w:r>
              <w:rPr>
                <w:rFonts w:ascii="Carlito"/>
                <w:color w:val="231F20"/>
                <w:sz w:val="23"/>
              </w:rPr>
              <w:t>$ 47.1M</w:t>
            </w:r>
          </w:p>
        </w:tc>
        <w:tc>
          <w:tcPr>
            <w:tcW w:w="1114" w:type="dxa"/>
            <w:tcBorders>
              <w:left w:val="single" w:sz="6" w:space="0" w:color="231F20"/>
              <w:bottom w:val="single" w:sz="6" w:space="0" w:color="231F20"/>
              <w:right w:val="single" w:sz="6" w:space="0" w:color="231F20"/>
            </w:tcBorders>
          </w:tcPr>
          <w:p w14:paraId="4440A4BF" w14:textId="77777777" w:rsidR="009948F1" w:rsidRDefault="00BC0563">
            <w:pPr>
              <w:pStyle w:val="TableParagraph"/>
              <w:spacing w:before="149"/>
              <w:ind w:left="174"/>
              <w:rPr>
                <w:rFonts w:ascii="Carlito"/>
                <w:sz w:val="23"/>
              </w:rPr>
            </w:pPr>
            <w:r>
              <w:rPr>
                <w:rFonts w:ascii="Carlito"/>
                <w:color w:val="231F20"/>
                <w:sz w:val="23"/>
              </w:rPr>
              <w:t>$ 47.8M</w:t>
            </w:r>
          </w:p>
        </w:tc>
        <w:tc>
          <w:tcPr>
            <w:tcW w:w="1111" w:type="dxa"/>
            <w:tcBorders>
              <w:left w:val="single" w:sz="6" w:space="0" w:color="231F20"/>
              <w:bottom w:val="single" w:sz="6" w:space="0" w:color="231F20"/>
              <w:right w:val="single" w:sz="6" w:space="0" w:color="231F20"/>
            </w:tcBorders>
          </w:tcPr>
          <w:p w14:paraId="7EFD12B1" w14:textId="77777777" w:rsidR="009948F1" w:rsidRDefault="00BC0563">
            <w:pPr>
              <w:pStyle w:val="TableParagraph"/>
              <w:spacing w:before="149"/>
              <w:ind w:left="175"/>
              <w:rPr>
                <w:rFonts w:ascii="Carlito"/>
                <w:sz w:val="23"/>
              </w:rPr>
            </w:pPr>
            <w:r>
              <w:rPr>
                <w:rFonts w:ascii="Carlito"/>
                <w:color w:val="231F20"/>
                <w:sz w:val="23"/>
              </w:rPr>
              <w:t>$ 48.4M</w:t>
            </w:r>
          </w:p>
        </w:tc>
        <w:tc>
          <w:tcPr>
            <w:tcW w:w="1277" w:type="dxa"/>
            <w:tcBorders>
              <w:left w:val="single" w:sz="6" w:space="0" w:color="231F20"/>
              <w:bottom w:val="single" w:sz="6" w:space="0" w:color="231F20"/>
            </w:tcBorders>
          </w:tcPr>
          <w:p w14:paraId="4DC3124D" w14:textId="77777777" w:rsidR="009948F1" w:rsidRDefault="00BC0563">
            <w:pPr>
              <w:pStyle w:val="TableParagraph"/>
              <w:spacing w:before="149"/>
              <w:ind w:left="176"/>
              <w:rPr>
                <w:rFonts w:ascii="Carlito"/>
                <w:sz w:val="23"/>
              </w:rPr>
            </w:pPr>
            <w:r>
              <w:rPr>
                <w:rFonts w:ascii="Carlito"/>
                <w:color w:val="231F20"/>
                <w:sz w:val="23"/>
              </w:rPr>
              <w:t>$ 235.4M</w:t>
            </w:r>
          </w:p>
        </w:tc>
      </w:tr>
      <w:tr w:rsidR="009948F1" w14:paraId="3C6FECBE" w14:textId="77777777">
        <w:trPr>
          <w:trHeight w:val="396"/>
        </w:trPr>
        <w:tc>
          <w:tcPr>
            <w:tcW w:w="2429" w:type="dxa"/>
            <w:tcBorders>
              <w:top w:val="single" w:sz="6" w:space="0" w:color="231F20"/>
              <w:bottom w:val="single" w:sz="6" w:space="0" w:color="231F20"/>
              <w:right w:val="single" w:sz="6" w:space="0" w:color="231F20"/>
            </w:tcBorders>
            <w:shd w:val="clear" w:color="auto" w:fill="F1F2F2"/>
          </w:tcPr>
          <w:p w14:paraId="13078C69" w14:textId="77777777" w:rsidR="009948F1" w:rsidRDefault="00BC0563">
            <w:pPr>
              <w:pStyle w:val="TableParagraph"/>
              <w:spacing w:before="44"/>
              <w:ind w:left="114"/>
              <w:rPr>
                <w:b/>
                <w:sz w:val="23"/>
              </w:rPr>
            </w:pPr>
            <w:r>
              <w:rPr>
                <w:b/>
                <w:color w:val="231F20"/>
                <w:sz w:val="23"/>
              </w:rPr>
              <w:t>Dev Partner</w:t>
            </w:r>
          </w:p>
        </w:tc>
        <w:tc>
          <w:tcPr>
            <w:tcW w:w="1115" w:type="dxa"/>
            <w:tcBorders>
              <w:top w:val="single" w:sz="6" w:space="0" w:color="231F20"/>
              <w:left w:val="single" w:sz="6" w:space="0" w:color="231F20"/>
              <w:bottom w:val="single" w:sz="6" w:space="0" w:color="231F20"/>
              <w:right w:val="single" w:sz="6" w:space="0" w:color="231F20"/>
            </w:tcBorders>
            <w:shd w:val="clear" w:color="auto" w:fill="F1F2F2"/>
          </w:tcPr>
          <w:p w14:paraId="23A244E1" w14:textId="77777777" w:rsidR="009948F1" w:rsidRDefault="00BC0563">
            <w:pPr>
              <w:pStyle w:val="TableParagraph"/>
              <w:spacing w:before="57"/>
              <w:ind w:left="172"/>
              <w:rPr>
                <w:rFonts w:ascii="Carlito"/>
                <w:sz w:val="23"/>
              </w:rPr>
            </w:pPr>
            <w:r>
              <w:rPr>
                <w:rFonts w:ascii="Carlito"/>
                <w:color w:val="231F20"/>
                <w:w w:val="94"/>
                <w:sz w:val="23"/>
              </w:rPr>
              <w:t>-</w:t>
            </w:r>
          </w:p>
        </w:tc>
        <w:tc>
          <w:tcPr>
            <w:tcW w:w="1114" w:type="dxa"/>
            <w:tcBorders>
              <w:top w:val="single" w:sz="6" w:space="0" w:color="231F20"/>
              <w:left w:val="single" w:sz="6" w:space="0" w:color="231F20"/>
              <w:bottom w:val="single" w:sz="6" w:space="0" w:color="231F20"/>
              <w:right w:val="single" w:sz="6" w:space="0" w:color="231F20"/>
            </w:tcBorders>
            <w:shd w:val="clear" w:color="auto" w:fill="F1F2F2"/>
          </w:tcPr>
          <w:p w14:paraId="23393013" w14:textId="77777777" w:rsidR="009948F1" w:rsidRDefault="00BC0563">
            <w:pPr>
              <w:pStyle w:val="TableParagraph"/>
              <w:spacing w:before="57"/>
              <w:ind w:left="172"/>
              <w:rPr>
                <w:rFonts w:ascii="Carlito"/>
                <w:sz w:val="23"/>
              </w:rPr>
            </w:pPr>
            <w:r>
              <w:rPr>
                <w:rFonts w:ascii="Carlito"/>
                <w:color w:val="231F20"/>
                <w:w w:val="94"/>
                <w:sz w:val="23"/>
              </w:rPr>
              <w:t>-</w:t>
            </w:r>
          </w:p>
        </w:tc>
        <w:tc>
          <w:tcPr>
            <w:tcW w:w="1114" w:type="dxa"/>
            <w:tcBorders>
              <w:top w:val="single" w:sz="6" w:space="0" w:color="231F20"/>
              <w:left w:val="single" w:sz="6" w:space="0" w:color="231F20"/>
              <w:bottom w:val="single" w:sz="6" w:space="0" w:color="231F20"/>
              <w:right w:val="single" w:sz="6" w:space="0" w:color="231F20"/>
            </w:tcBorders>
            <w:shd w:val="clear" w:color="auto" w:fill="F1F2F2"/>
          </w:tcPr>
          <w:p w14:paraId="63F6158D" w14:textId="77777777" w:rsidR="009948F1" w:rsidRDefault="00BC0563">
            <w:pPr>
              <w:pStyle w:val="TableParagraph"/>
              <w:spacing w:before="57"/>
              <w:ind w:left="173"/>
              <w:rPr>
                <w:rFonts w:ascii="Carlito"/>
                <w:sz w:val="23"/>
              </w:rPr>
            </w:pPr>
            <w:r>
              <w:rPr>
                <w:rFonts w:ascii="Carlito"/>
                <w:color w:val="231F20"/>
                <w:w w:val="94"/>
                <w:sz w:val="23"/>
              </w:rPr>
              <w:t>-</w:t>
            </w:r>
          </w:p>
        </w:tc>
        <w:tc>
          <w:tcPr>
            <w:tcW w:w="1114" w:type="dxa"/>
            <w:tcBorders>
              <w:top w:val="single" w:sz="6" w:space="0" w:color="231F20"/>
              <w:left w:val="single" w:sz="6" w:space="0" w:color="231F20"/>
              <w:bottom w:val="single" w:sz="6" w:space="0" w:color="231F20"/>
              <w:right w:val="single" w:sz="6" w:space="0" w:color="231F20"/>
            </w:tcBorders>
            <w:shd w:val="clear" w:color="auto" w:fill="F1F2F2"/>
          </w:tcPr>
          <w:p w14:paraId="72A5BB74" w14:textId="77777777" w:rsidR="009948F1" w:rsidRDefault="00BC0563">
            <w:pPr>
              <w:pStyle w:val="TableParagraph"/>
              <w:spacing w:before="57"/>
              <w:ind w:left="174"/>
              <w:rPr>
                <w:rFonts w:ascii="Carlito"/>
                <w:sz w:val="23"/>
              </w:rPr>
            </w:pPr>
            <w:r>
              <w:rPr>
                <w:rFonts w:ascii="Carlito"/>
                <w:color w:val="231F20"/>
                <w:w w:val="94"/>
                <w:sz w:val="23"/>
              </w:rPr>
              <w:t>-</w:t>
            </w:r>
          </w:p>
        </w:tc>
        <w:tc>
          <w:tcPr>
            <w:tcW w:w="1111" w:type="dxa"/>
            <w:tcBorders>
              <w:top w:val="single" w:sz="6" w:space="0" w:color="231F20"/>
              <w:left w:val="single" w:sz="6" w:space="0" w:color="231F20"/>
              <w:bottom w:val="single" w:sz="6" w:space="0" w:color="231F20"/>
              <w:right w:val="single" w:sz="6" w:space="0" w:color="231F20"/>
            </w:tcBorders>
            <w:shd w:val="clear" w:color="auto" w:fill="F1F2F2"/>
          </w:tcPr>
          <w:p w14:paraId="5B154D4C" w14:textId="77777777" w:rsidR="009948F1" w:rsidRDefault="00BC0563">
            <w:pPr>
              <w:pStyle w:val="TableParagraph"/>
              <w:spacing w:before="57"/>
              <w:ind w:left="175"/>
              <w:rPr>
                <w:rFonts w:ascii="Carlito"/>
                <w:sz w:val="23"/>
              </w:rPr>
            </w:pPr>
            <w:r>
              <w:rPr>
                <w:rFonts w:ascii="Carlito"/>
                <w:color w:val="231F20"/>
                <w:w w:val="94"/>
                <w:sz w:val="23"/>
              </w:rPr>
              <w:t>-</w:t>
            </w:r>
          </w:p>
        </w:tc>
        <w:tc>
          <w:tcPr>
            <w:tcW w:w="1277" w:type="dxa"/>
            <w:tcBorders>
              <w:top w:val="single" w:sz="6" w:space="0" w:color="231F20"/>
              <w:left w:val="single" w:sz="6" w:space="0" w:color="231F20"/>
              <w:bottom w:val="single" w:sz="6" w:space="0" w:color="231F20"/>
            </w:tcBorders>
            <w:shd w:val="clear" w:color="auto" w:fill="F1F2F2"/>
          </w:tcPr>
          <w:p w14:paraId="5B4335B3" w14:textId="77777777" w:rsidR="009948F1" w:rsidRDefault="00BC0563">
            <w:pPr>
              <w:pStyle w:val="TableParagraph"/>
              <w:spacing w:before="57"/>
              <w:ind w:left="176"/>
              <w:rPr>
                <w:rFonts w:ascii="Carlito"/>
                <w:sz w:val="23"/>
              </w:rPr>
            </w:pPr>
            <w:r>
              <w:rPr>
                <w:rFonts w:ascii="Carlito"/>
                <w:color w:val="231F20"/>
                <w:w w:val="94"/>
                <w:sz w:val="23"/>
              </w:rPr>
              <w:t>-</w:t>
            </w:r>
          </w:p>
        </w:tc>
      </w:tr>
      <w:tr w:rsidR="009948F1" w14:paraId="07DF3614" w14:textId="77777777">
        <w:trPr>
          <w:trHeight w:val="438"/>
        </w:trPr>
        <w:tc>
          <w:tcPr>
            <w:tcW w:w="2429" w:type="dxa"/>
            <w:tcBorders>
              <w:top w:val="single" w:sz="6" w:space="0" w:color="231F20"/>
              <w:right w:val="single" w:sz="6" w:space="0" w:color="231F20"/>
            </w:tcBorders>
          </w:tcPr>
          <w:p w14:paraId="2CDA1143" w14:textId="77777777" w:rsidR="009948F1" w:rsidRDefault="009948F1">
            <w:pPr>
              <w:pStyle w:val="TableParagraph"/>
              <w:rPr>
                <w:rFonts w:ascii="Times New Roman"/>
                <w:sz w:val="20"/>
              </w:rPr>
            </w:pPr>
          </w:p>
        </w:tc>
        <w:tc>
          <w:tcPr>
            <w:tcW w:w="1115" w:type="dxa"/>
            <w:tcBorders>
              <w:top w:val="single" w:sz="6" w:space="0" w:color="231F20"/>
              <w:left w:val="single" w:sz="6" w:space="0" w:color="231F20"/>
              <w:right w:val="single" w:sz="6" w:space="0" w:color="231F20"/>
            </w:tcBorders>
          </w:tcPr>
          <w:p w14:paraId="44D501D2" w14:textId="77777777" w:rsidR="009948F1" w:rsidRDefault="00BC0563">
            <w:pPr>
              <w:pStyle w:val="TableParagraph"/>
              <w:spacing w:before="80"/>
              <w:ind w:left="172"/>
              <w:rPr>
                <w:rFonts w:ascii="Carlito"/>
                <w:sz w:val="23"/>
              </w:rPr>
            </w:pPr>
            <w:r>
              <w:rPr>
                <w:rFonts w:ascii="Carlito"/>
                <w:color w:val="231F20"/>
                <w:w w:val="94"/>
                <w:sz w:val="23"/>
              </w:rPr>
              <w:t>-</w:t>
            </w:r>
          </w:p>
        </w:tc>
        <w:tc>
          <w:tcPr>
            <w:tcW w:w="1114" w:type="dxa"/>
            <w:tcBorders>
              <w:top w:val="single" w:sz="6" w:space="0" w:color="231F20"/>
              <w:left w:val="single" w:sz="6" w:space="0" w:color="231F20"/>
              <w:right w:val="single" w:sz="6" w:space="0" w:color="231F20"/>
            </w:tcBorders>
          </w:tcPr>
          <w:p w14:paraId="3AB39DE5" w14:textId="77777777" w:rsidR="009948F1" w:rsidRDefault="00BC0563">
            <w:pPr>
              <w:pStyle w:val="TableParagraph"/>
              <w:spacing w:before="80"/>
              <w:ind w:left="172"/>
              <w:rPr>
                <w:rFonts w:ascii="Carlito"/>
                <w:sz w:val="23"/>
              </w:rPr>
            </w:pPr>
            <w:r>
              <w:rPr>
                <w:rFonts w:ascii="Carlito"/>
                <w:color w:val="231F20"/>
                <w:w w:val="94"/>
                <w:sz w:val="23"/>
              </w:rPr>
              <w:t>-</w:t>
            </w:r>
          </w:p>
        </w:tc>
        <w:tc>
          <w:tcPr>
            <w:tcW w:w="1114" w:type="dxa"/>
            <w:tcBorders>
              <w:top w:val="single" w:sz="6" w:space="0" w:color="231F20"/>
              <w:left w:val="single" w:sz="6" w:space="0" w:color="231F20"/>
              <w:right w:val="single" w:sz="6" w:space="0" w:color="231F20"/>
            </w:tcBorders>
          </w:tcPr>
          <w:p w14:paraId="17BD3468" w14:textId="77777777" w:rsidR="009948F1" w:rsidRDefault="00BC0563">
            <w:pPr>
              <w:pStyle w:val="TableParagraph"/>
              <w:spacing w:before="80"/>
              <w:ind w:left="173"/>
              <w:rPr>
                <w:rFonts w:ascii="Carlito"/>
                <w:sz w:val="23"/>
              </w:rPr>
            </w:pPr>
            <w:r>
              <w:rPr>
                <w:rFonts w:ascii="Carlito"/>
                <w:color w:val="231F20"/>
                <w:w w:val="94"/>
                <w:sz w:val="23"/>
              </w:rPr>
              <w:t>-</w:t>
            </w:r>
          </w:p>
        </w:tc>
        <w:tc>
          <w:tcPr>
            <w:tcW w:w="1114" w:type="dxa"/>
            <w:tcBorders>
              <w:top w:val="single" w:sz="6" w:space="0" w:color="231F20"/>
              <w:left w:val="single" w:sz="6" w:space="0" w:color="231F20"/>
              <w:right w:val="single" w:sz="6" w:space="0" w:color="231F20"/>
            </w:tcBorders>
          </w:tcPr>
          <w:p w14:paraId="509047EE" w14:textId="77777777" w:rsidR="009948F1" w:rsidRDefault="00BC0563">
            <w:pPr>
              <w:pStyle w:val="TableParagraph"/>
              <w:spacing w:before="80"/>
              <w:ind w:left="174"/>
              <w:rPr>
                <w:rFonts w:ascii="Carlito"/>
                <w:sz w:val="23"/>
              </w:rPr>
            </w:pPr>
            <w:r>
              <w:rPr>
                <w:rFonts w:ascii="Carlito"/>
                <w:color w:val="231F20"/>
                <w:w w:val="94"/>
                <w:sz w:val="23"/>
              </w:rPr>
              <w:t>-</w:t>
            </w:r>
          </w:p>
        </w:tc>
        <w:tc>
          <w:tcPr>
            <w:tcW w:w="1111" w:type="dxa"/>
            <w:tcBorders>
              <w:top w:val="single" w:sz="6" w:space="0" w:color="231F20"/>
              <w:left w:val="single" w:sz="6" w:space="0" w:color="231F20"/>
              <w:right w:val="single" w:sz="6" w:space="0" w:color="231F20"/>
            </w:tcBorders>
          </w:tcPr>
          <w:p w14:paraId="4A24609C" w14:textId="77777777" w:rsidR="009948F1" w:rsidRDefault="00BC0563">
            <w:pPr>
              <w:pStyle w:val="TableParagraph"/>
              <w:spacing w:before="80"/>
              <w:ind w:left="175"/>
              <w:rPr>
                <w:rFonts w:ascii="Carlito"/>
                <w:sz w:val="23"/>
              </w:rPr>
            </w:pPr>
            <w:r>
              <w:rPr>
                <w:rFonts w:ascii="Carlito"/>
                <w:color w:val="231F20"/>
                <w:w w:val="94"/>
                <w:sz w:val="23"/>
              </w:rPr>
              <w:t>-</w:t>
            </w:r>
          </w:p>
        </w:tc>
        <w:tc>
          <w:tcPr>
            <w:tcW w:w="1277" w:type="dxa"/>
            <w:tcBorders>
              <w:top w:val="single" w:sz="6" w:space="0" w:color="231F20"/>
              <w:left w:val="single" w:sz="6" w:space="0" w:color="231F20"/>
            </w:tcBorders>
          </w:tcPr>
          <w:p w14:paraId="709B10C5" w14:textId="77777777" w:rsidR="009948F1" w:rsidRDefault="00BC0563">
            <w:pPr>
              <w:pStyle w:val="TableParagraph"/>
              <w:spacing w:before="80"/>
              <w:ind w:left="176"/>
              <w:rPr>
                <w:rFonts w:ascii="Carlito"/>
                <w:sz w:val="23"/>
              </w:rPr>
            </w:pPr>
            <w:r>
              <w:rPr>
                <w:rFonts w:ascii="Carlito"/>
                <w:color w:val="231F20"/>
                <w:w w:val="94"/>
                <w:sz w:val="23"/>
              </w:rPr>
              <w:t>-</w:t>
            </w:r>
          </w:p>
        </w:tc>
      </w:tr>
      <w:tr w:rsidR="009948F1" w14:paraId="646FF17A" w14:textId="77777777">
        <w:trPr>
          <w:trHeight w:val="809"/>
        </w:trPr>
        <w:tc>
          <w:tcPr>
            <w:tcW w:w="2429" w:type="dxa"/>
            <w:tcBorders>
              <w:left w:val="nil"/>
              <w:right w:val="nil"/>
            </w:tcBorders>
            <w:shd w:val="clear" w:color="auto" w:fill="D1D3D4"/>
          </w:tcPr>
          <w:p w14:paraId="192A4EF2" w14:textId="77777777" w:rsidR="009948F1" w:rsidRDefault="00BC0563">
            <w:pPr>
              <w:pStyle w:val="TableParagraph"/>
              <w:spacing w:before="148" w:line="220" w:lineRule="auto"/>
              <w:ind w:left="129" w:right="88"/>
              <w:rPr>
                <w:b/>
                <w:sz w:val="23"/>
              </w:rPr>
            </w:pPr>
            <w:r>
              <w:rPr>
                <w:b/>
                <w:color w:val="231F20"/>
                <w:w w:val="95"/>
                <w:sz w:val="23"/>
              </w:rPr>
              <w:t xml:space="preserve">Total Available </w:t>
            </w:r>
            <w:r>
              <w:rPr>
                <w:b/>
                <w:color w:val="231F20"/>
                <w:sz w:val="23"/>
              </w:rPr>
              <w:t>Funds</w:t>
            </w:r>
          </w:p>
        </w:tc>
        <w:tc>
          <w:tcPr>
            <w:tcW w:w="1115" w:type="dxa"/>
            <w:tcBorders>
              <w:left w:val="nil"/>
              <w:right w:val="nil"/>
            </w:tcBorders>
            <w:shd w:val="clear" w:color="auto" w:fill="D1D3D4"/>
          </w:tcPr>
          <w:p w14:paraId="07235DCE" w14:textId="77777777" w:rsidR="009948F1" w:rsidRDefault="009948F1">
            <w:pPr>
              <w:pStyle w:val="TableParagraph"/>
              <w:spacing w:before="6"/>
              <w:rPr>
                <w:rFonts w:ascii="Carlito"/>
                <w:b/>
                <w:i/>
                <w:sz w:val="21"/>
              </w:rPr>
            </w:pPr>
          </w:p>
          <w:p w14:paraId="72D24AAD" w14:textId="77777777" w:rsidR="009948F1" w:rsidRDefault="00BC0563">
            <w:pPr>
              <w:pStyle w:val="TableParagraph"/>
              <w:ind w:left="180"/>
              <w:rPr>
                <w:rFonts w:ascii="Carlito"/>
                <w:b/>
                <w:sz w:val="23"/>
              </w:rPr>
            </w:pPr>
            <w:r>
              <w:rPr>
                <w:rFonts w:ascii="Carlito"/>
                <w:b/>
                <w:color w:val="231F20"/>
                <w:sz w:val="23"/>
              </w:rPr>
              <w:t>$ 45.7M</w:t>
            </w:r>
          </w:p>
        </w:tc>
        <w:tc>
          <w:tcPr>
            <w:tcW w:w="1114" w:type="dxa"/>
            <w:tcBorders>
              <w:left w:val="nil"/>
              <w:right w:val="nil"/>
            </w:tcBorders>
            <w:shd w:val="clear" w:color="auto" w:fill="D1D3D4"/>
          </w:tcPr>
          <w:p w14:paraId="0887BA73" w14:textId="77777777" w:rsidR="009948F1" w:rsidRDefault="009948F1">
            <w:pPr>
              <w:pStyle w:val="TableParagraph"/>
              <w:spacing w:before="6"/>
              <w:rPr>
                <w:rFonts w:ascii="Carlito"/>
                <w:b/>
                <w:i/>
                <w:sz w:val="21"/>
              </w:rPr>
            </w:pPr>
          </w:p>
          <w:p w14:paraId="5A087AF5" w14:textId="77777777" w:rsidR="009948F1" w:rsidRDefault="00BC0563">
            <w:pPr>
              <w:pStyle w:val="TableParagraph"/>
              <w:ind w:left="180"/>
              <w:rPr>
                <w:rFonts w:ascii="Carlito"/>
                <w:b/>
                <w:sz w:val="23"/>
              </w:rPr>
            </w:pPr>
            <w:r>
              <w:rPr>
                <w:rFonts w:ascii="Carlito"/>
                <w:b/>
                <w:color w:val="231F20"/>
                <w:sz w:val="23"/>
              </w:rPr>
              <w:t>$ 46.4M</w:t>
            </w:r>
          </w:p>
        </w:tc>
        <w:tc>
          <w:tcPr>
            <w:tcW w:w="1114" w:type="dxa"/>
            <w:tcBorders>
              <w:left w:val="nil"/>
              <w:right w:val="nil"/>
            </w:tcBorders>
            <w:shd w:val="clear" w:color="auto" w:fill="D1D3D4"/>
          </w:tcPr>
          <w:p w14:paraId="1261F727" w14:textId="77777777" w:rsidR="009948F1" w:rsidRDefault="009948F1">
            <w:pPr>
              <w:pStyle w:val="TableParagraph"/>
              <w:spacing w:before="6"/>
              <w:rPr>
                <w:rFonts w:ascii="Carlito"/>
                <w:b/>
                <w:i/>
                <w:sz w:val="21"/>
              </w:rPr>
            </w:pPr>
          </w:p>
          <w:p w14:paraId="53534718" w14:textId="77777777" w:rsidR="009948F1" w:rsidRDefault="00BC0563">
            <w:pPr>
              <w:pStyle w:val="TableParagraph"/>
              <w:ind w:left="181"/>
              <w:rPr>
                <w:rFonts w:ascii="Carlito"/>
                <w:b/>
                <w:sz w:val="23"/>
              </w:rPr>
            </w:pPr>
            <w:r>
              <w:rPr>
                <w:rFonts w:ascii="Carlito"/>
                <w:b/>
                <w:color w:val="231F20"/>
                <w:sz w:val="23"/>
              </w:rPr>
              <w:t>$ 47.1M</w:t>
            </w:r>
          </w:p>
        </w:tc>
        <w:tc>
          <w:tcPr>
            <w:tcW w:w="1114" w:type="dxa"/>
            <w:tcBorders>
              <w:left w:val="nil"/>
              <w:right w:val="nil"/>
            </w:tcBorders>
            <w:shd w:val="clear" w:color="auto" w:fill="D1D3D4"/>
          </w:tcPr>
          <w:p w14:paraId="3CDB38D6" w14:textId="77777777" w:rsidR="009948F1" w:rsidRDefault="009948F1">
            <w:pPr>
              <w:pStyle w:val="TableParagraph"/>
              <w:spacing w:before="6"/>
              <w:rPr>
                <w:rFonts w:ascii="Carlito"/>
                <w:b/>
                <w:i/>
                <w:sz w:val="21"/>
              </w:rPr>
            </w:pPr>
          </w:p>
          <w:p w14:paraId="412050C5" w14:textId="77777777" w:rsidR="009948F1" w:rsidRDefault="00BC0563">
            <w:pPr>
              <w:pStyle w:val="TableParagraph"/>
              <w:ind w:left="181"/>
              <w:rPr>
                <w:rFonts w:ascii="Carlito"/>
                <w:b/>
                <w:sz w:val="23"/>
              </w:rPr>
            </w:pPr>
            <w:r>
              <w:rPr>
                <w:rFonts w:ascii="Carlito"/>
                <w:b/>
                <w:color w:val="231F20"/>
                <w:sz w:val="23"/>
              </w:rPr>
              <w:t>$ 47.8M</w:t>
            </w:r>
          </w:p>
        </w:tc>
        <w:tc>
          <w:tcPr>
            <w:tcW w:w="1111" w:type="dxa"/>
            <w:tcBorders>
              <w:left w:val="nil"/>
              <w:right w:val="nil"/>
            </w:tcBorders>
            <w:shd w:val="clear" w:color="auto" w:fill="D1D3D4"/>
          </w:tcPr>
          <w:p w14:paraId="0FC7660B" w14:textId="77777777" w:rsidR="009948F1" w:rsidRDefault="009948F1">
            <w:pPr>
              <w:pStyle w:val="TableParagraph"/>
              <w:spacing w:before="6"/>
              <w:rPr>
                <w:rFonts w:ascii="Carlito"/>
                <w:b/>
                <w:i/>
                <w:sz w:val="21"/>
              </w:rPr>
            </w:pPr>
          </w:p>
          <w:p w14:paraId="6FA26A9E" w14:textId="77777777" w:rsidR="009948F1" w:rsidRDefault="00BC0563">
            <w:pPr>
              <w:pStyle w:val="TableParagraph"/>
              <w:ind w:left="182"/>
              <w:rPr>
                <w:rFonts w:ascii="Carlito"/>
                <w:b/>
                <w:sz w:val="23"/>
              </w:rPr>
            </w:pPr>
            <w:r>
              <w:rPr>
                <w:rFonts w:ascii="Carlito"/>
                <w:b/>
                <w:color w:val="231F20"/>
                <w:sz w:val="23"/>
              </w:rPr>
              <w:t>$ 48.4M</w:t>
            </w:r>
          </w:p>
        </w:tc>
        <w:tc>
          <w:tcPr>
            <w:tcW w:w="1277" w:type="dxa"/>
            <w:tcBorders>
              <w:left w:val="nil"/>
              <w:right w:val="nil"/>
            </w:tcBorders>
            <w:shd w:val="clear" w:color="auto" w:fill="D1D3D4"/>
          </w:tcPr>
          <w:p w14:paraId="44E11932" w14:textId="77777777" w:rsidR="009948F1" w:rsidRDefault="009948F1">
            <w:pPr>
              <w:pStyle w:val="TableParagraph"/>
              <w:spacing w:before="6"/>
              <w:rPr>
                <w:rFonts w:ascii="Carlito"/>
                <w:b/>
                <w:i/>
                <w:sz w:val="21"/>
              </w:rPr>
            </w:pPr>
          </w:p>
          <w:p w14:paraId="0A907F4A" w14:textId="77777777" w:rsidR="009948F1" w:rsidRDefault="00BC0563">
            <w:pPr>
              <w:pStyle w:val="TableParagraph"/>
              <w:ind w:left="183"/>
              <w:rPr>
                <w:rFonts w:ascii="Carlito"/>
                <w:b/>
                <w:sz w:val="23"/>
              </w:rPr>
            </w:pPr>
            <w:r>
              <w:rPr>
                <w:rFonts w:ascii="Carlito"/>
                <w:b/>
                <w:color w:val="231F20"/>
                <w:sz w:val="23"/>
              </w:rPr>
              <w:t>$ 235.4M</w:t>
            </w:r>
          </w:p>
        </w:tc>
      </w:tr>
      <w:tr w:rsidR="009948F1" w14:paraId="59C882F3" w14:textId="77777777">
        <w:trPr>
          <w:trHeight w:val="724"/>
        </w:trPr>
        <w:tc>
          <w:tcPr>
            <w:tcW w:w="2429" w:type="dxa"/>
            <w:tcBorders>
              <w:bottom w:val="single" w:sz="6" w:space="0" w:color="231F20"/>
              <w:right w:val="single" w:sz="6" w:space="0" w:color="231F20"/>
            </w:tcBorders>
          </w:tcPr>
          <w:p w14:paraId="358FCCFB" w14:textId="77777777" w:rsidR="009948F1" w:rsidRDefault="00BC0563">
            <w:pPr>
              <w:pStyle w:val="TableParagraph"/>
              <w:spacing w:line="219" w:lineRule="exact"/>
              <w:ind w:left="114"/>
              <w:rPr>
                <w:b/>
                <w:sz w:val="23"/>
              </w:rPr>
            </w:pPr>
            <w:r>
              <w:rPr>
                <w:b/>
                <w:color w:val="231F20"/>
                <w:sz w:val="23"/>
              </w:rPr>
              <w:t>Cost of N/SHDP</w:t>
            </w:r>
          </w:p>
          <w:p w14:paraId="68B79618" w14:textId="77777777" w:rsidR="009948F1" w:rsidRDefault="00BC0563">
            <w:pPr>
              <w:pStyle w:val="TableParagraph"/>
              <w:spacing w:before="8" w:line="246" w:lineRule="exact"/>
              <w:ind w:left="114" w:right="532"/>
              <w:rPr>
                <w:b/>
                <w:sz w:val="23"/>
              </w:rPr>
            </w:pPr>
            <w:r>
              <w:rPr>
                <w:b/>
                <w:color w:val="231F20"/>
                <w:sz w:val="23"/>
              </w:rPr>
              <w:t xml:space="preserve">II Plan </w:t>
            </w:r>
            <w:r>
              <w:rPr>
                <w:b/>
                <w:color w:val="231F20"/>
                <w:spacing w:val="-3"/>
                <w:sz w:val="23"/>
              </w:rPr>
              <w:t xml:space="preserve">Moderate </w:t>
            </w:r>
            <w:r>
              <w:rPr>
                <w:b/>
                <w:color w:val="231F20"/>
                <w:sz w:val="23"/>
              </w:rPr>
              <w:t>Scenario</w:t>
            </w:r>
          </w:p>
        </w:tc>
        <w:tc>
          <w:tcPr>
            <w:tcW w:w="1115" w:type="dxa"/>
            <w:tcBorders>
              <w:left w:val="single" w:sz="6" w:space="0" w:color="231F20"/>
              <w:bottom w:val="single" w:sz="6" w:space="0" w:color="231F20"/>
              <w:right w:val="single" w:sz="6" w:space="0" w:color="231F20"/>
            </w:tcBorders>
          </w:tcPr>
          <w:p w14:paraId="6605F98C" w14:textId="77777777" w:rsidR="009948F1" w:rsidRDefault="00BC0563">
            <w:pPr>
              <w:pStyle w:val="TableParagraph"/>
              <w:spacing w:before="83" w:line="237" w:lineRule="auto"/>
              <w:ind w:left="122" w:right="265" w:firstLine="49"/>
              <w:rPr>
                <w:rFonts w:ascii="Carlito"/>
                <w:b/>
                <w:sz w:val="23"/>
              </w:rPr>
            </w:pPr>
            <w:r>
              <w:rPr>
                <w:rFonts w:ascii="Carlito"/>
                <w:b/>
                <w:color w:val="231F20"/>
                <w:sz w:val="23"/>
              </w:rPr>
              <w:t xml:space="preserve">$ </w:t>
            </w:r>
            <w:r>
              <w:rPr>
                <w:rFonts w:ascii="Carlito"/>
                <w:b/>
                <w:color w:val="231F20"/>
                <w:w w:val="95"/>
                <w:sz w:val="23"/>
              </w:rPr>
              <w:t>110.1M</w:t>
            </w:r>
          </w:p>
        </w:tc>
        <w:tc>
          <w:tcPr>
            <w:tcW w:w="1114" w:type="dxa"/>
            <w:tcBorders>
              <w:left w:val="single" w:sz="6" w:space="0" w:color="231F20"/>
              <w:bottom w:val="single" w:sz="6" w:space="0" w:color="231F20"/>
              <w:right w:val="single" w:sz="6" w:space="0" w:color="231F20"/>
            </w:tcBorders>
          </w:tcPr>
          <w:p w14:paraId="0E43601B" w14:textId="77777777" w:rsidR="009948F1" w:rsidRDefault="00BC0563">
            <w:pPr>
              <w:pStyle w:val="TableParagraph"/>
              <w:spacing w:before="83" w:line="237" w:lineRule="auto"/>
              <w:ind w:left="122" w:right="264" w:firstLine="49"/>
              <w:rPr>
                <w:rFonts w:ascii="Carlito"/>
                <w:b/>
                <w:sz w:val="23"/>
              </w:rPr>
            </w:pPr>
            <w:r>
              <w:rPr>
                <w:rFonts w:ascii="Carlito"/>
                <w:b/>
                <w:color w:val="231F20"/>
                <w:sz w:val="23"/>
              </w:rPr>
              <w:t xml:space="preserve">$ </w:t>
            </w:r>
            <w:r>
              <w:rPr>
                <w:rFonts w:ascii="Carlito"/>
                <w:b/>
                <w:color w:val="231F20"/>
                <w:w w:val="95"/>
                <w:sz w:val="23"/>
              </w:rPr>
              <w:t>126.6M</w:t>
            </w:r>
          </w:p>
        </w:tc>
        <w:tc>
          <w:tcPr>
            <w:tcW w:w="1114" w:type="dxa"/>
            <w:tcBorders>
              <w:left w:val="single" w:sz="6" w:space="0" w:color="231F20"/>
              <w:bottom w:val="single" w:sz="6" w:space="0" w:color="231F20"/>
              <w:right w:val="single" w:sz="6" w:space="0" w:color="231F20"/>
            </w:tcBorders>
          </w:tcPr>
          <w:p w14:paraId="49CAA308" w14:textId="77777777" w:rsidR="009948F1" w:rsidRDefault="00BC0563">
            <w:pPr>
              <w:pStyle w:val="TableParagraph"/>
              <w:spacing w:before="83" w:line="237" w:lineRule="auto"/>
              <w:ind w:left="123" w:right="264" w:firstLine="49"/>
              <w:rPr>
                <w:rFonts w:ascii="Carlito"/>
                <w:b/>
                <w:sz w:val="23"/>
              </w:rPr>
            </w:pPr>
            <w:r>
              <w:rPr>
                <w:rFonts w:ascii="Carlito"/>
                <w:b/>
                <w:color w:val="231F20"/>
                <w:sz w:val="23"/>
              </w:rPr>
              <w:t xml:space="preserve">$ </w:t>
            </w:r>
            <w:r>
              <w:rPr>
                <w:rFonts w:ascii="Carlito"/>
                <w:b/>
                <w:color w:val="231F20"/>
                <w:w w:val="90"/>
                <w:sz w:val="23"/>
              </w:rPr>
              <w:t>146.0M</w:t>
            </w:r>
          </w:p>
        </w:tc>
        <w:tc>
          <w:tcPr>
            <w:tcW w:w="1114" w:type="dxa"/>
            <w:tcBorders>
              <w:left w:val="single" w:sz="6" w:space="0" w:color="231F20"/>
              <w:bottom w:val="single" w:sz="6" w:space="0" w:color="231F20"/>
              <w:right w:val="single" w:sz="6" w:space="0" w:color="231F20"/>
            </w:tcBorders>
          </w:tcPr>
          <w:p w14:paraId="7DDD3EB9" w14:textId="77777777" w:rsidR="009948F1" w:rsidRDefault="00BC0563">
            <w:pPr>
              <w:pStyle w:val="TableParagraph"/>
              <w:spacing w:before="83" w:line="237" w:lineRule="auto"/>
              <w:ind w:left="124" w:right="264" w:firstLine="49"/>
              <w:rPr>
                <w:rFonts w:ascii="Carlito"/>
                <w:b/>
                <w:sz w:val="23"/>
              </w:rPr>
            </w:pPr>
            <w:r>
              <w:rPr>
                <w:rFonts w:ascii="Carlito"/>
                <w:b/>
                <w:color w:val="231F20"/>
                <w:sz w:val="23"/>
              </w:rPr>
              <w:t xml:space="preserve">$ </w:t>
            </w:r>
            <w:r>
              <w:rPr>
                <w:rFonts w:ascii="Carlito"/>
                <w:b/>
                <w:color w:val="231F20"/>
                <w:w w:val="90"/>
                <w:sz w:val="23"/>
              </w:rPr>
              <w:t>161.7M</w:t>
            </w:r>
          </w:p>
        </w:tc>
        <w:tc>
          <w:tcPr>
            <w:tcW w:w="1111" w:type="dxa"/>
            <w:tcBorders>
              <w:left w:val="single" w:sz="6" w:space="0" w:color="231F20"/>
              <w:bottom w:val="single" w:sz="6" w:space="0" w:color="231F20"/>
              <w:right w:val="single" w:sz="6" w:space="0" w:color="231F20"/>
            </w:tcBorders>
          </w:tcPr>
          <w:p w14:paraId="2BBC30BA" w14:textId="77777777" w:rsidR="009948F1" w:rsidRDefault="00BC0563">
            <w:pPr>
              <w:pStyle w:val="TableParagraph"/>
              <w:spacing w:before="83" w:line="237" w:lineRule="auto"/>
              <w:ind w:left="125" w:right="169" w:firstLine="49"/>
              <w:rPr>
                <w:rFonts w:ascii="Carlito"/>
                <w:b/>
                <w:sz w:val="23"/>
              </w:rPr>
            </w:pPr>
            <w:r>
              <w:rPr>
                <w:rFonts w:ascii="Carlito"/>
                <w:b/>
                <w:color w:val="231F20"/>
                <w:sz w:val="23"/>
              </w:rPr>
              <w:t xml:space="preserve">$ </w:t>
            </w:r>
            <w:r>
              <w:rPr>
                <w:rFonts w:ascii="Carlito"/>
                <w:b/>
                <w:color w:val="231F20"/>
                <w:w w:val="90"/>
                <w:sz w:val="23"/>
              </w:rPr>
              <w:t>177.4M</w:t>
            </w:r>
          </w:p>
        </w:tc>
        <w:tc>
          <w:tcPr>
            <w:tcW w:w="1277" w:type="dxa"/>
            <w:tcBorders>
              <w:left w:val="single" w:sz="6" w:space="0" w:color="231F20"/>
              <w:bottom w:val="single" w:sz="6" w:space="0" w:color="231F20"/>
            </w:tcBorders>
          </w:tcPr>
          <w:p w14:paraId="6DA60A3D" w14:textId="77777777" w:rsidR="009948F1" w:rsidRDefault="009948F1">
            <w:pPr>
              <w:pStyle w:val="TableParagraph"/>
              <w:spacing w:before="1"/>
              <w:rPr>
                <w:rFonts w:ascii="Carlito"/>
                <w:b/>
                <w:i/>
                <w:sz w:val="18"/>
              </w:rPr>
            </w:pPr>
          </w:p>
          <w:p w14:paraId="15E3A89E" w14:textId="77777777" w:rsidR="009948F1" w:rsidRDefault="00BC0563">
            <w:pPr>
              <w:pStyle w:val="TableParagraph"/>
              <w:ind w:left="126"/>
              <w:rPr>
                <w:rFonts w:ascii="Carlito"/>
                <w:b/>
                <w:sz w:val="23"/>
              </w:rPr>
            </w:pPr>
            <w:r>
              <w:rPr>
                <w:rFonts w:ascii="Carlito"/>
                <w:b/>
                <w:color w:val="231F20"/>
                <w:sz w:val="23"/>
              </w:rPr>
              <w:t>$ 721.9M</w:t>
            </w:r>
          </w:p>
        </w:tc>
      </w:tr>
      <w:tr w:rsidR="009948F1" w14:paraId="7A205DD9" w14:textId="77777777">
        <w:trPr>
          <w:trHeight w:val="409"/>
        </w:trPr>
        <w:tc>
          <w:tcPr>
            <w:tcW w:w="2429" w:type="dxa"/>
            <w:tcBorders>
              <w:top w:val="single" w:sz="6" w:space="0" w:color="231F20"/>
              <w:right w:val="single" w:sz="6" w:space="0" w:color="231F20"/>
            </w:tcBorders>
            <w:shd w:val="clear" w:color="auto" w:fill="ED1C24"/>
          </w:tcPr>
          <w:p w14:paraId="7C547E0A" w14:textId="77777777" w:rsidR="009948F1" w:rsidRDefault="00BC0563">
            <w:pPr>
              <w:pStyle w:val="TableParagraph"/>
              <w:spacing w:before="54"/>
              <w:ind w:left="114"/>
              <w:rPr>
                <w:b/>
                <w:sz w:val="23"/>
              </w:rPr>
            </w:pPr>
            <w:r>
              <w:rPr>
                <w:b/>
                <w:color w:val="231F20"/>
                <w:sz w:val="23"/>
              </w:rPr>
              <w:t>Resource Gap</w:t>
            </w:r>
          </w:p>
        </w:tc>
        <w:tc>
          <w:tcPr>
            <w:tcW w:w="1115" w:type="dxa"/>
            <w:tcBorders>
              <w:top w:val="single" w:sz="6" w:space="0" w:color="231F20"/>
              <w:left w:val="single" w:sz="6" w:space="0" w:color="231F20"/>
              <w:right w:val="single" w:sz="6" w:space="0" w:color="231F20"/>
            </w:tcBorders>
          </w:tcPr>
          <w:p w14:paraId="507436B3" w14:textId="77777777" w:rsidR="009948F1" w:rsidRDefault="00BC0563">
            <w:pPr>
              <w:pStyle w:val="TableParagraph"/>
              <w:spacing w:before="64"/>
              <w:ind w:left="172"/>
              <w:rPr>
                <w:rFonts w:ascii="Carlito"/>
                <w:b/>
                <w:sz w:val="23"/>
              </w:rPr>
            </w:pPr>
            <w:r>
              <w:rPr>
                <w:rFonts w:ascii="Carlito"/>
                <w:b/>
                <w:color w:val="231F20"/>
                <w:sz w:val="23"/>
              </w:rPr>
              <w:t>$ 64M</w:t>
            </w:r>
          </w:p>
        </w:tc>
        <w:tc>
          <w:tcPr>
            <w:tcW w:w="1114" w:type="dxa"/>
            <w:tcBorders>
              <w:top w:val="single" w:sz="6" w:space="0" w:color="231F20"/>
              <w:left w:val="single" w:sz="6" w:space="0" w:color="231F20"/>
              <w:right w:val="single" w:sz="6" w:space="0" w:color="231F20"/>
            </w:tcBorders>
          </w:tcPr>
          <w:p w14:paraId="15634E9E" w14:textId="77777777" w:rsidR="009948F1" w:rsidRDefault="00BC0563">
            <w:pPr>
              <w:pStyle w:val="TableParagraph"/>
              <w:spacing w:before="64"/>
              <w:ind w:left="172"/>
              <w:rPr>
                <w:rFonts w:ascii="Carlito"/>
                <w:b/>
                <w:sz w:val="23"/>
              </w:rPr>
            </w:pPr>
            <w:r>
              <w:rPr>
                <w:rFonts w:ascii="Carlito"/>
                <w:b/>
                <w:color w:val="231F20"/>
                <w:sz w:val="23"/>
              </w:rPr>
              <w:t>$ 80M</w:t>
            </w:r>
          </w:p>
        </w:tc>
        <w:tc>
          <w:tcPr>
            <w:tcW w:w="1114" w:type="dxa"/>
            <w:tcBorders>
              <w:top w:val="single" w:sz="6" w:space="0" w:color="231F20"/>
              <w:left w:val="single" w:sz="6" w:space="0" w:color="231F20"/>
              <w:right w:val="single" w:sz="6" w:space="0" w:color="231F20"/>
            </w:tcBorders>
          </w:tcPr>
          <w:p w14:paraId="1DCBB1DB" w14:textId="77777777" w:rsidR="009948F1" w:rsidRDefault="00BC0563">
            <w:pPr>
              <w:pStyle w:val="TableParagraph"/>
              <w:spacing w:before="64"/>
              <w:ind w:left="173"/>
              <w:rPr>
                <w:rFonts w:ascii="Carlito"/>
                <w:b/>
                <w:sz w:val="23"/>
              </w:rPr>
            </w:pPr>
            <w:r>
              <w:rPr>
                <w:rFonts w:ascii="Carlito"/>
                <w:b/>
                <w:color w:val="231F20"/>
                <w:sz w:val="23"/>
              </w:rPr>
              <w:t>$ 99M</w:t>
            </w:r>
          </w:p>
        </w:tc>
        <w:tc>
          <w:tcPr>
            <w:tcW w:w="1114" w:type="dxa"/>
            <w:tcBorders>
              <w:top w:val="single" w:sz="6" w:space="0" w:color="231F20"/>
              <w:left w:val="single" w:sz="6" w:space="0" w:color="231F20"/>
              <w:right w:val="single" w:sz="6" w:space="0" w:color="231F20"/>
            </w:tcBorders>
          </w:tcPr>
          <w:p w14:paraId="2A72E9B7" w14:textId="77777777" w:rsidR="009948F1" w:rsidRDefault="00BC0563">
            <w:pPr>
              <w:pStyle w:val="TableParagraph"/>
              <w:spacing w:before="64"/>
              <w:ind w:left="174"/>
              <w:rPr>
                <w:rFonts w:ascii="Carlito"/>
                <w:b/>
                <w:sz w:val="23"/>
              </w:rPr>
            </w:pPr>
            <w:r>
              <w:rPr>
                <w:rFonts w:ascii="Carlito"/>
                <w:b/>
                <w:color w:val="231F20"/>
                <w:sz w:val="23"/>
              </w:rPr>
              <w:t>$ 114M</w:t>
            </w:r>
          </w:p>
        </w:tc>
        <w:tc>
          <w:tcPr>
            <w:tcW w:w="1111" w:type="dxa"/>
            <w:tcBorders>
              <w:top w:val="single" w:sz="6" w:space="0" w:color="231F20"/>
              <w:left w:val="single" w:sz="6" w:space="0" w:color="231F20"/>
              <w:right w:val="single" w:sz="6" w:space="0" w:color="231F20"/>
            </w:tcBorders>
          </w:tcPr>
          <w:p w14:paraId="157CCC14" w14:textId="77777777" w:rsidR="009948F1" w:rsidRDefault="00BC0563">
            <w:pPr>
              <w:pStyle w:val="TableParagraph"/>
              <w:spacing w:before="64"/>
              <w:ind w:left="175"/>
              <w:rPr>
                <w:rFonts w:ascii="Carlito"/>
                <w:b/>
                <w:sz w:val="23"/>
              </w:rPr>
            </w:pPr>
            <w:r>
              <w:rPr>
                <w:rFonts w:ascii="Carlito"/>
                <w:b/>
                <w:color w:val="231F20"/>
                <w:sz w:val="23"/>
              </w:rPr>
              <w:t>$ 129M</w:t>
            </w:r>
          </w:p>
        </w:tc>
        <w:tc>
          <w:tcPr>
            <w:tcW w:w="1277" w:type="dxa"/>
            <w:tcBorders>
              <w:top w:val="single" w:sz="6" w:space="0" w:color="231F20"/>
              <w:left w:val="single" w:sz="6" w:space="0" w:color="231F20"/>
            </w:tcBorders>
          </w:tcPr>
          <w:p w14:paraId="6FADD063" w14:textId="77777777" w:rsidR="009948F1" w:rsidRDefault="00BC0563">
            <w:pPr>
              <w:pStyle w:val="TableParagraph"/>
              <w:spacing w:before="64"/>
              <w:ind w:left="126"/>
              <w:rPr>
                <w:rFonts w:ascii="Carlito"/>
                <w:b/>
                <w:sz w:val="23"/>
              </w:rPr>
            </w:pPr>
            <w:r>
              <w:rPr>
                <w:rFonts w:ascii="Carlito"/>
                <w:b/>
                <w:color w:val="231F20"/>
                <w:sz w:val="23"/>
              </w:rPr>
              <w:t>$ 487M</w:t>
            </w:r>
          </w:p>
        </w:tc>
      </w:tr>
      <w:tr w:rsidR="009948F1" w14:paraId="375F6A37" w14:textId="77777777">
        <w:trPr>
          <w:trHeight w:val="405"/>
        </w:trPr>
        <w:tc>
          <w:tcPr>
            <w:tcW w:w="2429" w:type="dxa"/>
            <w:tcBorders>
              <w:right w:val="single" w:sz="6" w:space="0" w:color="231F20"/>
            </w:tcBorders>
            <w:shd w:val="clear" w:color="auto" w:fill="ED1C24"/>
          </w:tcPr>
          <w:p w14:paraId="46BD3FA6" w14:textId="77777777" w:rsidR="009948F1" w:rsidRDefault="00BC0563">
            <w:pPr>
              <w:pStyle w:val="TableParagraph"/>
              <w:spacing w:before="61"/>
              <w:ind w:left="164"/>
              <w:rPr>
                <w:rFonts w:ascii="Carlito"/>
                <w:i/>
                <w:sz w:val="23"/>
              </w:rPr>
            </w:pPr>
            <w:r>
              <w:rPr>
                <w:rFonts w:ascii="Carlito"/>
                <w:i/>
                <w:color w:val="231F20"/>
                <w:sz w:val="23"/>
              </w:rPr>
              <w:t>% of Resource Gap</w:t>
            </w:r>
          </w:p>
        </w:tc>
        <w:tc>
          <w:tcPr>
            <w:tcW w:w="1115" w:type="dxa"/>
            <w:tcBorders>
              <w:left w:val="single" w:sz="6" w:space="0" w:color="231F20"/>
              <w:right w:val="single" w:sz="6" w:space="0" w:color="231F20"/>
            </w:tcBorders>
          </w:tcPr>
          <w:p w14:paraId="653F99D8" w14:textId="77777777" w:rsidR="009948F1" w:rsidRDefault="00BC0563">
            <w:pPr>
              <w:pStyle w:val="TableParagraph"/>
              <w:spacing w:before="61"/>
              <w:ind w:left="122"/>
              <w:rPr>
                <w:rFonts w:ascii="Carlito"/>
                <w:sz w:val="23"/>
              </w:rPr>
            </w:pPr>
            <w:r>
              <w:rPr>
                <w:rFonts w:ascii="Carlito"/>
                <w:color w:val="231F20"/>
                <w:sz w:val="23"/>
              </w:rPr>
              <w:t>58.5%</w:t>
            </w:r>
          </w:p>
        </w:tc>
        <w:tc>
          <w:tcPr>
            <w:tcW w:w="1114" w:type="dxa"/>
            <w:tcBorders>
              <w:left w:val="single" w:sz="6" w:space="0" w:color="231F20"/>
              <w:right w:val="single" w:sz="6" w:space="0" w:color="231F20"/>
            </w:tcBorders>
          </w:tcPr>
          <w:p w14:paraId="53FDEBCD" w14:textId="77777777" w:rsidR="009948F1" w:rsidRDefault="00BC0563">
            <w:pPr>
              <w:pStyle w:val="TableParagraph"/>
              <w:spacing w:before="61"/>
              <w:ind w:left="122"/>
              <w:rPr>
                <w:rFonts w:ascii="Carlito"/>
                <w:sz w:val="23"/>
              </w:rPr>
            </w:pPr>
            <w:r>
              <w:rPr>
                <w:rFonts w:ascii="Carlito"/>
                <w:color w:val="231F20"/>
                <w:sz w:val="23"/>
              </w:rPr>
              <w:t>63.4%</w:t>
            </w:r>
          </w:p>
        </w:tc>
        <w:tc>
          <w:tcPr>
            <w:tcW w:w="1114" w:type="dxa"/>
            <w:tcBorders>
              <w:left w:val="single" w:sz="6" w:space="0" w:color="231F20"/>
              <w:right w:val="single" w:sz="6" w:space="0" w:color="231F20"/>
            </w:tcBorders>
          </w:tcPr>
          <w:p w14:paraId="4F4C0CBC" w14:textId="77777777" w:rsidR="009948F1" w:rsidRDefault="00BC0563">
            <w:pPr>
              <w:pStyle w:val="TableParagraph"/>
              <w:spacing w:before="61"/>
              <w:ind w:left="123"/>
              <w:rPr>
                <w:rFonts w:ascii="Carlito"/>
                <w:sz w:val="23"/>
              </w:rPr>
            </w:pPr>
            <w:r>
              <w:rPr>
                <w:rFonts w:ascii="Carlito"/>
                <w:color w:val="231F20"/>
                <w:sz w:val="23"/>
              </w:rPr>
              <w:t>67.8%</w:t>
            </w:r>
          </w:p>
        </w:tc>
        <w:tc>
          <w:tcPr>
            <w:tcW w:w="1114" w:type="dxa"/>
            <w:tcBorders>
              <w:left w:val="single" w:sz="6" w:space="0" w:color="231F20"/>
              <w:right w:val="single" w:sz="6" w:space="0" w:color="231F20"/>
            </w:tcBorders>
          </w:tcPr>
          <w:p w14:paraId="33916C67" w14:textId="77777777" w:rsidR="009948F1" w:rsidRDefault="00BC0563">
            <w:pPr>
              <w:pStyle w:val="TableParagraph"/>
              <w:spacing w:before="61"/>
              <w:ind w:left="124"/>
              <w:rPr>
                <w:rFonts w:ascii="Carlito"/>
                <w:sz w:val="23"/>
              </w:rPr>
            </w:pPr>
            <w:r>
              <w:rPr>
                <w:rFonts w:ascii="Carlito"/>
                <w:color w:val="231F20"/>
                <w:sz w:val="23"/>
              </w:rPr>
              <w:t>70.5%</w:t>
            </w:r>
          </w:p>
        </w:tc>
        <w:tc>
          <w:tcPr>
            <w:tcW w:w="1111" w:type="dxa"/>
            <w:tcBorders>
              <w:left w:val="single" w:sz="6" w:space="0" w:color="231F20"/>
              <w:right w:val="single" w:sz="6" w:space="0" w:color="231F20"/>
            </w:tcBorders>
          </w:tcPr>
          <w:p w14:paraId="6CF878AB" w14:textId="77777777" w:rsidR="009948F1" w:rsidRDefault="00BC0563">
            <w:pPr>
              <w:pStyle w:val="TableParagraph"/>
              <w:spacing w:before="61"/>
              <w:ind w:left="125"/>
              <w:rPr>
                <w:rFonts w:ascii="Carlito"/>
                <w:sz w:val="23"/>
              </w:rPr>
            </w:pPr>
            <w:r>
              <w:rPr>
                <w:rFonts w:ascii="Carlito"/>
                <w:color w:val="231F20"/>
                <w:sz w:val="23"/>
              </w:rPr>
              <w:t>72.7%</w:t>
            </w:r>
          </w:p>
        </w:tc>
        <w:tc>
          <w:tcPr>
            <w:tcW w:w="1277" w:type="dxa"/>
            <w:tcBorders>
              <w:left w:val="single" w:sz="6" w:space="0" w:color="231F20"/>
            </w:tcBorders>
          </w:tcPr>
          <w:p w14:paraId="133A1C61" w14:textId="77777777" w:rsidR="009948F1" w:rsidRDefault="00BC0563">
            <w:pPr>
              <w:pStyle w:val="TableParagraph"/>
              <w:spacing w:before="61"/>
              <w:ind w:left="126"/>
              <w:rPr>
                <w:rFonts w:ascii="Carlito"/>
                <w:b/>
                <w:sz w:val="23"/>
              </w:rPr>
            </w:pPr>
            <w:r>
              <w:rPr>
                <w:rFonts w:ascii="Carlito"/>
                <w:b/>
                <w:color w:val="231F20"/>
                <w:sz w:val="23"/>
              </w:rPr>
              <w:t>67.4%</w:t>
            </w:r>
          </w:p>
        </w:tc>
      </w:tr>
    </w:tbl>
    <w:p w14:paraId="627A8390" w14:textId="77777777" w:rsidR="009948F1" w:rsidRDefault="009948F1">
      <w:pPr>
        <w:pStyle w:val="BodyText"/>
        <w:spacing w:before="8"/>
        <w:rPr>
          <w:rFonts w:ascii="Carlito"/>
          <w:b/>
          <w:i/>
          <w:sz w:val="27"/>
        </w:rPr>
      </w:pPr>
    </w:p>
    <w:p w14:paraId="11162560" w14:textId="77777777" w:rsidR="009948F1" w:rsidRDefault="00BC0563">
      <w:pPr>
        <w:spacing w:after="25"/>
        <w:ind w:left="1030" w:right="908" w:hanging="684"/>
        <w:rPr>
          <w:rFonts w:ascii="Carlito"/>
          <w:b/>
          <w:i/>
          <w:sz w:val="20"/>
        </w:rPr>
      </w:pPr>
      <w:r>
        <w:rPr>
          <w:rFonts w:ascii="Carlito"/>
          <w:b/>
          <w:i/>
          <w:color w:val="231F20"/>
          <w:spacing w:val="-4"/>
          <w:w w:val="90"/>
          <w:sz w:val="20"/>
        </w:rPr>
        <w:t>Table</w:t>
      </w:r>
      <w:r>
        <w:rPr>
          <w:rFonts w:ascii="Carlito"/>
          <w:b/>
          <w:i/>
          <w:color w:val="231F20"/>
          <w:spacing w:val="-11"/>
          <w:w w:val="90"/>
          <w:sz w:val="20"/>
        </w:rPr>
        <w:t xml:space="preserve"> </w:t>
      </w:r>
      <w:r>
        <w:rPr>
          <w:rFonts w:ascii="Carlito"/>
          <w:b/>
          <w:i/>
          <w:color w:val="231F20"/>
          <w:w w:val="90"/>
          <w:sz w:val="20"/>
        </w:rPr>
        <w:t>14:</w:t>
      </w:r>
      <w:r>
        <w:rPr>
          <w:rFonts w:ascii="Carlito"/>
          <w:b/>
          <w:i/>
          <w:color w:val="231F20"/>
          <w:spacing w:val="-11"/>
          <w:w w:val="90"/>
          <w:sz w:val="20"/>
        </w:rPr>
        <w:t xml:space="preserve"> </w:t>
      </w:r>
      <w:r>
        <w:rPr>
          <w:rFonts w:ascii="Carlito"/>
          <w:b/>
          <w:i/>
          <w:color w:val="231F20"/>
          <w:w w:val="90"/>
          <w:sz w:val="20"/>
        </w:rPr>
        <w:t>Financial</w:t>
      </w:r>
      <w:r>
        <w:rPr>
          <w:rFonts w:ascii="Carlito"/>
          <w:b/>
          <w:i/>
          <w:color w:val="231F20"/>
          <w:spacing w:val="-11"/>
          <w:w w:val="90"/>
          <w:sz w:val="20"/>
        </w:rPr>
        <w:t xml:space="preserve"> </w:t>
      </w:r>
      <w:r>
        <w:rPr>
          <w:rFonts w:ascii="Carlito"/>
          <w:b/>
          <w:i/>
          <w:color w:val="231F20"/>
          <w:w w:val="90"/>
          <w:sz w:val="20"/>
        </w:rPr>
        <w:t>Sustainability</w:t>
      </w:r>
      <w:r>
        <w:rPr>
          <w:rFonts w:ascii="Carlito"/>
          <w:b/>
          <w:i/>
          <w:color w:val="231F20"/>
          <w:spacing w:val="-10"/>
          <w:w w:val="90"/>
          <w:sz w:val="20"/>
        </w:rPr>
        <w:t xml:space="preserve"> </w:t>
      </w:r>
      <w:r>
        <w:rPr>
          <w:rFonts w:ascii="Carlito"/>
          <w:b/>
          <w:i/>
          <w:color w:val="231F20"/>
          <w:w w:val="90"/>
          <w:sz w:val="20"/>
        </w:rPr>
        <w:t>Analysis</w:t>
      </w:r>
      <w:r>
        <w:rPr>
          <w:rFonts w:ascii="Carlito"/>
          <w:b/>
          <w:i/>
          <w:color w:val="231F20"/>
          <w:spacing w:val="-10"/>
          <w:w w:val="90"/>
          <w:sz w:val="20"/>
        </w:rPr>
        <w:t xml:space="preserve"> </w:t>
      </w:r>
      <w:r>
        <w:rPr>
          <w:rFonts w:ascii="Carlito"/>
          <w:b/>
          <w:i/>
          <w:color w:val="231F20"/>
          <w:w w:val="90"/>
          <w:sz w:val="20"/>
        </w:rPr>
        <w:t>of</w:t>
      </w:r>
      <w:r>
        <w:rPr>
          <w:rFonts w:ascii="Carlito"/>
          <w:b/>
          <w:i/>
          <w:color w:val="231F20"/>
          <w:spacing w:val="-11"/>
          <w:w w:val="90"/>
          <w:sz w:val="20"/>
        </w:rPr>
        <w:t xml:space="preserve"> </w:t>
      </w:r>
      <w:r>
        <w:rPr>
          <w:rFonts w:ascii="Carlito"/>
          <w:b/>
          <w:i/>
          <w:color w:val="231F20"/>
          <w:w w:val="90"/>
          <w:sz w:val="20"/>
        </w:rPr>
        <w:t>Rivers</w:t>
      </w:r>
      <w:r>
        <w:rPr>
          <w:rFonts w:ascii="Carlito"/>
          <w:b/>
          <w:i/>
          <w:color w:val="231F20"/>
          <w:spacing w:val="-10"/>
          <w:w w:val="90"/>
          <w:sz w:val="20"/>
        </w:rPr>
        <w:t xml:space="preserve"> </w:t>
      </w:r>
      <w:r>
        <w:rPr>
          <w:rFonts w:ascii="Carlito"/>
          <w:b/>
          <w:i/>
          <w:color w:val="231F20"/>
          <w:w w:val="90"/>
          <w:sz w:val="20"/>
        </w:rPr>
        <w:t>SSHDP</w:t>
      </w:r>
      <w:r>
        <w:rPr>
          <w:rFonts w:ascii="Carlito"/>
          <w:b/>
          <w:i/>
          <w:color w:val="231F20"/>
          <w:spacing w:val="-10"/>
          <w:w w:val="90"/>
          <w:sz w:val="20"/>
        </w:rPr>
        <w:t xml:space="preserve"> </w:t>
      </w:r>
      <w:r>
        <w:rPr>
          <w:rFonts w:ascii="Carlito"/>
          <w:b/>
          <w:i/>
          <w:color w:val="231F20"/>
          <w:w w:val="90"/>
          <w:sz w:val="20"/>
        </w:rPr>
        <w:t>II</w:t>
      </w:r>
      <w:r>
        <w:rPr>
          <w:rFonts w:ascii="Carlito"/>
          <w:b/>
          <w:i/>
          <w:color w:val="231F20"/>
          <w:spacing w:val="-11"/>
          <w:w w:val="90"/>
          <w:sz w:val="20"/>
        </w:rPr>
        <w:t xml:space="preserve"> </w:t>
      </w:r>
      <w:r>
        <w:rPr>
          <w:rFonts w:ascii="Carlito"/>
          <w:b/>
          <w:i/>
          <w:color w:val="231F20"/>
          <w:w w:val="90"/>
          <w:sz w:val="20"/>
        </w:rPr>
        <w:t>2018-2022</w:t>
      </w:r>
      <w:r>
        <w:rPr>
          <w:rFonts w:ascii="Carlito"/>
          <w:b/>
          <w:i/>
          <w:color w:val="231F20"/>
          <w:spacing w:val="-11"/>
          <w:w w:val="90"/>
          <w:sz w:val="20"/>
        </w:rPr>
        <w:t xml:space="preserve"> </w:t>
      </w:r>
      <w:r>
        <w:rPr>
          <w:rFonts w:ascii="Carlito"/>
          <w:b/>
          <w:i/>
          <w:color w:val="231F20"/>
          <w:w w:val="90"/>
          <w:sz w:val="20"/>
        </w:rPr>
        <w:t>Essential</w:t>
      </w:r>
      <w:r>
        <w:rPr>
          <w:rFonts w:ascii="Carlito"/>
          <w:b/>
          <w:i/>
          <w:color w:val="231F20"/>
          <w:spacing w:val="-11"/>
          <w:w w:val="90"/>
          <w:sz w:val="20"/>
        </w:rPr>
        <w:t xml:space="preserve"> </w:t>
      </w:r>
      <w:r>
        <w:rPr>
          <w:rFonts w:ascii="Carlito"/>
          <w:b/>
          <w:i/>
          <w:color w:val="231F20"/>
          <w:w w:val="90"/>
          <w:sz w:val="20"/>
        </w:rPr>
        <w:t>Package</w:t>
      </w:r>
      <w:r>
        <w:rPr>
          <w:rFonts w:ascii="Carlito"/>
          <w:b/>
          <w:i/>
          <w:color w:val="231F20"/>
          <w:spacing w:val="-11"/>
          <w:w w:val="90"/>
          <w:sz w:val="20"/>
        </w:rPr>
        <w:t xml:space="preserve"> </w:t>
      </w:r>
      <w:r>
        <w:rPr>
          <w:rFonts w:ascii="Carlito"/>
          <w:b/>
          <w:i/>
          <w:color w:val="231F20"/>
          <w:w w:val="90"/>
          <w:sz w:val="20"/>
        </w:rPr>
        <w:t>Aggressive</w:t>
      </w:r>
      <w:r>
        <w:rPr>
          <w:rFonts w:ascii="Carlito"/>
          <w:b/>
          <w:i/>
          <w:color w:val="231F20"/>
          <w:spacing w:val="-10"/>
          <w:w w:val="90"/>
          <w:sz w:val="20"/>
        </w:rPr>
        <w:t xml:space="preserve"> </w:t>
      </w:r>
      <w:r>
        <w:rPr>
          <w:rFonts w:ascii="Carlito"/>
          <w:b/>
          <w:i/>
          <w:color w:val="231F20"/>
          <w:w w:val="90"/>
          <w:sz w:val="20"/>
        </w:rPr>
        <w:t xml:space="preserve">Scale-up </w:t>
      </w:r>
      <w:r>
        <w:rPr>
          <w:rFonts w:ascii="Carlito"/>
          <w:b/>
          <w:i/>
          <w:color w:val="231F20"/>
          <w:sz w:val="20"/>
        </w:rPr>
        <w:t>Scenario, in Million</w:t>
      </w:r>
      <w:r>
        <w:rPr>
          <w:rFonts w:ascii="Carlito"/>
          <w:b/>
          <w:i/>
          <w:color w:val="231F20"/>
          <w:spacing w:val="-21"/>
          <w:sz w:val="20"/>
        </w:rPr>
        <w:t xml:space="preserve"> </w:t>
      </w:r>
      <w:r>
        <w:rPr>
          <w:rFonts w:ascii="Carlito"/>
          <w:b/>
          <w:i/>
          <w:color w:val="231F20"/>
          <w:sz w:val="20"/>
        </w:rPr>
        <w:t>($)</w:t>
      </w:r>
    </w:p>
    <w:tbl>
      <w:tblPr>
        <w:tblW w:w="0" w:type="auto"/>
        <w:tblInd w:w="2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3"/>
        <w:gridCol w:w="1086"/>
        <w:gridCol w:w="1084"/>
        <w:gridCol w:w="1084"/>
        <w:gridCol w:w="1086"/>
        <w:gridCol w:w="1233"/>
        <w:gridCol w:w="1233"/>
      </w:tblGrid>
      <w:tr w:rsidR="009948F1" w14:paraId="574B407B" w14:textId="77777777">
        <w:trPr>
          <w:trHeight w:val="679"/>
        </w:trPr>
        <w:tc>
          <w:tcPr>
            <w:tcW w:w="9169" w:type="dxa"/>
            <w:gridSpan w:val="7"/>
          </w:tcPr>
          <w:p w14:paraId="19A4833B" w14:textId="63DD374F" w:rsidR="009948F1" w:rsidRDefault="00C84576">
            <w:pPr>
              <w:pStyle w:val="TableParagraph"/>
              <w:tabs>
                <w:tab w:val="left" w:pos="4020"/>
                <w:tab w:val="left" w:pos="6397"/>
                <w:tab w:val="left" w:pos="7597"/>
              </w:tabs>
              <w:spacing w:before="52" w:line="206" w:lineRule="auto"/>
              <w:ind w:left="105" w:right="351"/>
              <w:rPr>
                <w:b/>
                <w:sz w:val="27"/>
              </w:rPr>
            </w:pPr>
            <w:r>
              <w:rPr>
                <w:b/>
                <w:color w:val="231F20"/>
                <w:sz w:val="27"/>
              </w:rPr>
              <w:t xml:space="preserve">Summary costs of Rivers </w:t>
            </w:r>
            <w:r w:rsidR="00BC0563">
              <w:rPr>
                <w:b/>
                <w:color w:val="231F20"/>
                <w:sz w:val="27"/>
              </w:rPr>
              <w:t>SHDP</w:t>
            </w:r>
            <w:r w:rsidR="00BC0563">
              <w:rPr>
                <w:b/>
                <w:color w:val="231F20"/>
                <w:spacing w:val="33"/>
                <w:sz w:val="27"/>
              </w:rPr>
              <w:t xml:space="preserve"> </w:t>
            </w:r>
            <w:r w:rsidR="00BC0563">
              <w:rPr>
                <w:b/>
                <w:color w:val="231F20"/>
                <w:sz w:val="27"/>
              </w:rPr>
              <w:t>II</w:t>
            </w:r>
            <w:r w:rsidR="00BC0563">
              <w:rPr>
                <w:b/>
                <w:color w:val="231F20"/>
                <w:spacing w:val="6"/>
                <w:sz w:val="27"/>
              </w:rPr>
              <w:t xml:space="preserve"> </w:t>
            </w:r>
            <w:r w:rsidR="00BC0563">
              <w:rPr>
                <w:b/>
                <w:color w:val="231F20"/>
                <w:sz w:val="27"/>
              </w:rPr>
              <w:t>201</w:t>
            </w:r>
            <w:r w:rsidR="00BC0563">
              <w:rPr>
                <w:b/>
                <w:color w:val="231F20"/>
                <w:sz w:val="27"/>
              </w:rPr>
              <w:tab/>
            </w:r>
            <w:r w:rsidR="00BC0563">
              <w:rPr>
                <w:b/>
                <w:color w:val="231F20"/>
                <w:spacing w:val="5"/>
                <w:sz w:val="27"/>
              </w:rPr>
              <w:t>8-</w:t>
            </w:r>
            <w:r w:rsidR="00BC0563">
              <w:rPr>
                <w:b/>
                <w:color w:val="231F20"/>
                <w:sz w:val="27"/>
              </w:rPr>
              <w:t xml:space="preserve"> </w:t>
            </w:r>
            <w:r w:rsidR="00BC0563">
              <w:rPr>
                <w:b/>
                <w:color w:val="231F20"/>
                <w:spacing w:val="8"/>
                <w:sz w:val="27"/>
              </w:rPr>
              <w:t>2022</w:t>
            </w:r>
            <w:r w:rsidR="00BC0563">
              <w:rPr>
                <w:b/>
                <w:color w:val="231F20"/>
                <w:spacing w:val="8"/>
                <w:sz w:val="27"/>
              </w:rPr>
              <w:tab/>
            </w:r>
            <w:r w:rsidR="00BC0563">
              <w:rPr>
                <w:b/>
                <w:color w:val="231F20"/>
                <w:spacing w:val="-1"/>
                <w:sz w:val="27"/>
              </w:rPr>
              <w:t xml:space="preserve">Essential </w:t>
            </w:r>
            <w:r w:rsidR="00BC0563">
              <w:rPr>
                <w:b/>
                <w:color w:val="231F20"/>
                <w:sz w:val="27"/>
              </w:rPr>
              <w:t>Package</w:t>
            </w:r>
            <w:r w:rsidR="00BC0563">
              <w:rPr>
                <w:b/>
                <w:color w:val="231F20"/>
                <w:spacing w:val="-4"/>
                <w:sz w:val="27"/>
              </w:rPr>
              <w:t xml:space="preserve"> </w:t>
            </w:r>
            <w:r w:rsidR="00BC0563">
              <w:rPr>
                <w:b/>
                <w:color w:val="231F20"/>
                <w:sz w:val="27"/>
              </w:rPr>
              <w:t>Aggressive</w:t>
            </w:r>
            <w:r w:rsidR="00BC0563">
              <w:rPr>
                <w:b/>
                <w:color w:val="231F20"/>
                <w:spacing w:val="7"/>
                <w:sz w:val="27"/>
              </w:rPr>
              <w:t xml:space="preserve"> </w:t>
            </w:r>
            <w:r w:rsidR="00BC0563">
              <w:rPr>
                <w:b/>
                <w:color w:val="231F20"/>
                <w:sz w:val="27"/>
              </w:rPr>
              <w:t>Scale</w:t>
            </w:r>
            <w:r w:rsidR="00BC0563">
              <w:rPr>
                <w:b/>
                <w:color w:val="231F20"/>
                <w:sz w:val="27"/>
              </w:rPr>
              <w:tab/>
              <w:t>- up scenario, in Million (</w:t>
            </w:r>
            <w:r w:rsidR="00BC0563">
              <w:rPr>
                <w:rFonts w:ascii="BABEL Unicode"/>
                <w:b/>
                <w:color w:val="231F20"/>
                <w:sz w:val="27"/>
              </w:rPr>
              <w:t>?</w:t>
            </w:r>
            <w:r w:rsidR="00BC0563">
              <w:rPr>
                <w:rFonts w:ascii="BABEL Unicode"/>
                <w:b/>
                <w:color w:val="231F20"/>
                <w:spacing w:val="-1"/>
                <w:sz w:val="27"/>
              </w:rPr>
              <w:t xml:space="preserve"> </w:t>
            </w:r>
            <w:r w:rsidR="00BC0563">
              <w:rPr>
                <w:b/>
                <w:color w:val="231F20"/>
                <w:sz w:val="27"/>
              </w:rPr>
              <w:t>)</w:t>
            </w:r>
          </w:p>
        </w:tc>
      </w:tr>
      <w:tr w:rsidR="009948F1" w14:paraId="187C207A" w14:textId="77777777">
        <w:trPr>
          <w:trHeight w:val="492"/>
        </w:trPr>
        <w:tc>
          <w:tcPr>
            <w:tcW w:w="2363" w:type="dxa"/>
            <w:tcBorders>
              <w:right w:val="single" w:sz="4" w:space="0" w:color="231F20"/>
            </w:tcBorders>
            <w:shd w:val="clear" w:color="auto" w:fill="00C0F3"/>
          </w:tcPr>
          <w:p w14:paraId="7CF5848C" w14:textId="77777777" w:rsidR="009948F1" w:rsidRDefault="00BC0563">
            <w:pPr>
              <w:pStyle w:val="TableParagraph"/>
              <w:spacing w:line="226" w:lineRule="exact"/>
              <w:ind w:left="105"/>
              <w:rPr>
                <w:b/>
                <w:sz w:val="23"/>
              </w:rPr>
            </w:pPr>
            <w:r>
              <w:rPr>
                <w:b/>
                <w:color w:val="231F20"/>
                <w:sz w:val="23"/>
              </w:rPr>
              <w:t>Sources of</w:t>
            </w:r>
          </w:p>
          <w:p w14:paraId="71EAF534" w14:textId="77777777" w:rsidR="009948F1" w:rsidRDefault="00BC0563">
            <w:pPr>
              <w:pStyle w:val="TableParagraph"/>
              <w:spacing w:line="247" w:lineRule="exact"/>
              <w:ind w:left="105"/>
              <w:rPr>
                <w:b/>
                <w:sz w:val="23"/>
              </w:rPr>
            </w:pPr>
            <w:r>
              <w:rPr>
                <w:b/>
                <w:color w:val="231F20"/>
                <w:sz w:val="23"/>
              </w:rPr>
              <w:t>Funds</w:t>
            </w:r>
          </w:p>
        </w:tc>
        <w:tc>
          <w:tcPr>
            <w:tcW w:w="1086" w:type="dxa"/>
            <w:tcBorders>
              <w:left w:val="single" w:sz="4" w:space="0" w:color="231F20"/>
              <w:right w:val="single" w:sz="4" w:space="0" w:color="231F20"/>
            </w:tcBorders>
            <w:shd w:val="clear" w:color="auto" w:fill="00C0F3"/>
          </w:tcPr>
          <w:p w14:paraId="5DCDBFF4" w14:textId="77777777" w:rsidR="009948F1" w:rsidRDefault="00BC0563">
            <w:pPr>
              <w:pStyle w:val="TableParagraph"/>
              <w:spacing w:before="121"/>
              <w:ind w:left="110"/>
              <w:rPr>
                <w:b/>
                <w:sz w:val="19"/>
              </w:rPr>
            </w:pPr>
            <w:r>
              <w:rPr>
                <w:b/>
                <w:color w:val="231F20"/>
                <w:sz w:val="19"/>
              </w:rPr>
              <w:t>201 8</w:t>
            </w:r>
          </w:p>
        </w:tc>
        <w:tc>
          <w:tcPr>
            <w:tcW w:w="1084" w:type="dxa"/>
            <w:tcBorders>
              <w:left w:val="single" w:sz="4" w:space="0" w:color="231F20"/>
              <w:right w:val="single" w:sz="4" w:space="0" w:color="231F20"/>
            </w:tcBorders>
            <w:shd w:val="clear" w:color="auto" w:fill="00C0F3"/>
          </w:tcPr>
          <w:p w14:paraId="3949DB6B" w14:textId="77777777" w:rsidR="009948F1" w:rsidRDefault="00BC0563">
            <w:pPr>
              <w:pStyle w:val="TableParagraph"/>
              <w:spacing w:before="121"/>
              <w:ind w:left="110"/>
              <w:rPr>
                <w:b/>
                <w:sz w:val="19"/>
              </w:rPr>
            </w:pPr>
            <w:r>
              <w:rPr>
                <w:b/>
                <w:color w:val="231F20"/>
                <w:sz w:val="19"/>
              </w:rPr>
              <w:t>201 9</w:t>
            </w:r>
          </w:p>
        </w:tc>
        <w:tc>
          <w:tcPr>
            <w:tcW w:w="1084" w:type="dxa"/>
            <w:tcBorders>
              <w:left w:val="single" w:sz="4" w:space="0" w:color="231F20"/>
              <w:right w:val="single" w:sz="4" w:space="0" w:color="231F20"/>
            </w:tcBorders>
            <w:shd w:val="clear" w:color="auto" w:fill="00C0F3"/>
          </w:tcPr>
          <w:p w14:paraId="6173614D" w14:textId="77777777" w:rsidR="009948F1" w:rsidRDefault="00BC0563">
            <w:pPr>
              <w:pStyle w:val="TableParagraph"/>
              <w:spacing w:before="121"/>
              <w:ind w:left="110"/>
              <w:rPr>
                <w:b/>
                <w:sz w:val="19"/>
              </w:rPr>
            </w:pPr>
            <w:r>
              <w:rPr>
                <w:b/>
                <w:color w:val="231F20"/>
                <w:sz w:val="19"/>
              </w:rPr>
              <w:t>2020</w:t>
            </w:r>
          </w:p>
        </w:tc>
        <w:tc>
          <w:tcPr>
            <w:tcW w:w="1086" w:type="dxa"/>
            <w:tcBorders>
              <w:left w:val="single" w:sz="4" w:space="0" w:color="231F20"/>
              <w:right w:val="single" w:sz="4" w:space="0" w:color="231F20"/>
            </w:tcBorders>
            <w:shd w:val="clear" w:color="auto" w:fill="00C0F3"/>
          </w:tcPr>
          <w:p w14:paraId="2268A11D" w14:textId="77777777" w:rsidR="009948F1" w:rsidRDefault="00BC0563">
            <w:pPr>
              <w:pStyle w:val="TableParagraph"/>
              <w:spacing w:before="121"/>
              <w:ind w:left="109"/>
              <w:rPr>
                <w:b/>
                <w:sz w:val="19"/>
              </w:rPr>
            </w:pPr>
            <w:r>
              <w:rPr>
                <w:b/>
                <w:color w:val="231F20"/>
                <w:sz w:val="19"/>
              </w:rPr>
              <w:t>202 1</w:t>
            </w:r>
          </w:p>
        </w:tc>
        <w:tc>
          <w:tcPr>
            <w:tcW w:w="1233" w:type="dxa"/>
            <w:tcBorders>
              <w:left w:val="single" w:sz="4" w:space="0" w:color="231F20"/>
              <w:right w:val="single" w:sz="4" w:space="0" w:color="231F20"/>
            </w:tcBorders>
            <w:shd w:val="clear" w:color="auto" w:fill="00C0F3"/>
          </w:tcPr>
          <w:p w14:paraId="22F99CB8" w14:textId="77777777" w:rsidR="009948F1" w:rsidRDefault="00BC0563">
            <w:pPr>
              <w:pStyle w:val="TableParagraph"/>
              <w:spacing w:before="121"/>
              <w:ind w:left="109"/>
              <w:rPr>
                <w:b/>
                <w:sz w:val="19"/>
              </w:rPr>
            </w:pPr>
            <w:r>
              <w:rPr>
                <w:b/>
                <w:color w:val="231F20"/>
                <w:sz w:val="19"/>
              </w:rPr>
              <w:t>202 2</w:t>
            </w:r>
          </w:p>
        </w:tc>
        <w:tc>
          <w:tcPr>
            <w:tcW w:w="1233" w:type="dxa"/>
            <w:tcBorders>
              <w:left w:val="single" w:sz="4" w:space="0" w:color="231F20"/>
            </w:tcBorders>
            <w:shd w:val="clear" w:color="auto" w:fill="00C0F3"/>
          </w:tcPr>
          <w:p w14:paraId="5CFE07BF" w14:textId="77777777" w:rsidR="009948F1" w:rsidRDefault="00BC0563">
            <w:pPr>
              <w:pStyle w:val="TableParagraph"/>
              <w:spacing w:before="121"/>
              <w:ind w:left="109"/>
              <w:rPr>
                <w:b/>
                <w:sz w:val="19"/>
              </w:rPr>
            </w:pPr>
            <w:r>
              <w:rPr>
                <w:b/>
                <w:color w:val="231F20"/>
                <w:sz w:val="19"/>
              </w:rPr>
              <w:t>TOTAL</w:t>
            </w:r>
          </w:p>
        </w:tc>
      </w:tr>
      <w:tr w:rsidR="009948F1" w14:paraId="4E067489" w14:textId="77777777">
        <w:trPr>
          <w:trHeight w:val="493"/>
        </w:trPr>
        <w:tc>
          <w:tcPr>
            <w:tcW w:w="2363" w:type="dxa"/>
            <w:tcBorders>
              <w:bottom w:val="single" w:sz="4" w:space="0" w:color="231F20"/>
              <w:right w:val="single" w:sz="4" w:space="0" w:color="231F20"/>
            </w:tcBorders>
          </w:tcPr>
          <w:p w14:paraId="6CF6A5FC" w14:textId="77777777" w:rsidR="009948F1" w:rsidRDefault="00BC0563">
            <w:pPr>
              <w:pStyle w:val="TableParagraph"/>
              <w:spacing w:line="226" w:lineRule="exact"/>
              <w:ind w:left="105"/>
              <w:rPr>
                <w:b/>
                <w:sz w:val="23"/>
              </w:rPr>
            </w:pPr>
            <w:r>
              <w:rPr>
                <w:b/>
                <w:color w:val="231F20"/>
                <w:sz w:val="23"/>
              </w:rPr>
              <w:t>Govt.</w:t>
            </w:r>
          </w:p>
          <w:p w14:paraId="4D4AA131" w14:textId="77777777" w:rsidR="009948F1" w:rsidRDefault="00BC0563">
            <w:pPr>
              <w:pStyle w:val="TableParagraph"/>
              <w:spacing w:line="247" w:lineRule="exact"/>
              <w:ind w:left="105"/>
              <w:rPr>
                <w:b/>
                <w:sz w:val="23"/>
              </w:rPr>
            </w:pPr>
            <w:r>
              <w:rPr>
                <w:b/>
                <w:color w:val="231F20"/>
                <w:sz w:val="23"/>
              </w:rPr>
              <w:t>Allocations</w:t>
            </w:r>
          </w:p>
        </w:tc>
        <w:tc>
          <w:tcPr>
            <w:tcW w:w="1086" w:type="dxa"/>
            <w:tcBorders>
              <w:left w:val="single" w:sz="4" w:space="0" w:color="231F20"/>
              <w:bottom w:val="single" w:sz="4" w:space="0" w:color="231F20"/>
              <w:right w:val="single" w:sz="4" w:space="0" w:color="231F20"/>
            </w:tcBorders>
          </w:tcPr>
          <w:p w14:paraId="4316BD53" w14:textId="77777777" w:rsidR="009948F1" w:rsidRDefault="00BC0563">
            <w:pPr>
              <w:pStyle w:val="TableParagraph"/>
              <w:spacing w:before="133"/>
              <w:ind w:left="154"/>
              <w:rPr>
                <w:rFonts w:ascii="Carlito"/>
                <w:sz w:val="19"/>
              </w:rPr>
            </w:pPr>
            <w:r>
              <w:rPr>
                <w:rFonts w:ascii="Carlito"/>
                <w:color w:val="231F20"/>
                <w:sz w:val="19"/>
              </w:rPr>
              <w:t>$ 45.7M</w:t>
            </w:r>
          </w:p>
        </w:tc>
        <w:tc>
          <w:tcPr>
            <w:tcW w:w="1084" w:type="dxa"/>
            <w:tcBorders>
              <w:left w:val="single" w:sz="4" w:space="0" w:color="231F20"/>
              <w:bottom w:val="single" w:sz="4" w:space="0" w:color="231F20"/>
              <w:right w:val="single" w:sz="4" w:space="0" w:color="231F20"/>
            </w:tcBorders>
          </w:tcPr>
          <w:p w14:paraId="5A6A01E7" w14:textId="77777777" w:rsidR="009948F1" w:rsidRDefault="00BC0563">
            <w:pPr>
              <w:pStyle w:val="TableParagraph"/>
              <w:spacing w:before="133"/>
              <w:ind w:left="154"/>
              <w:rPr>
                <w:rFonts w:ascii="Carlito"/>
                <w:sz w:val="19"/>
              </w:rPr>
            </w:pPr>
            <w:r>
              <w:rPr>
                <w:rFonts w:ascii="Carlito"/>
                <w:color w:val="231F20"/>
                <w:sz w:val="19"/>
              </w:rPr>
              <w:t>$ 46.4M</w:t>
            </w:r>
          </w:p>
        </w:tc>
        <w:tc>
          <w:tcPr>
            <w:tcW w:w="1084" w:type="dxa"/>
            <w:tcBorders>
              <w:left w:val="single" w:sz="4" w:space="0" w:color="231F20"/>
              <w:bottom w:val="single" w:sz="4" w:space="0" w:color="231F20"/>
              <w:right w:val="single" w:sz="4" w:space="0" w:color="231F20"/>
            </w:tcBorders>
          </w:tcPr>
          <w:p w14:paraId="2FD7D236" w14:textId="77777777" w:rsidR="009948F1" w:rsidRDefault="00BC0563">
            <w:pPr>
              <w:pStyle w:val="TableParagraph"/>
              <w:spacing w:before="133"/>
              <w:ind w:left="154"/>
              <w:rPr>
                <w:rFonts w:ascii="Carlito"/>
                <w:sz w:val="19"/>
              </w:rPr>
            </w:pPr>
            <w:r>
              <w:rPr>
                <w:rFonts w:ascii="Carlito"/>
                <w:color w:val="231F20"/>
                <w:sz w:val="19"/>
              </w:rPr>
              <w:t>$ 47.1M</w:t>
            </w:r>
          </w:p>
        </w:tc>
        <w:tc>
          <w:tcPr>
            <w:tcW w:w="1086" w:type="dxa"/>
            <w:tcBorders>
              <w:left w:val="single" w:sz="4" w:space="0" w:color="231F20"/>
              <w:bottom w:val="single" w:sz="4" w:space="0" w:color="231F20"/>
              <w:right w:val="single" w:sz="4" w:space="0" w:color="231F20"/>
            </w:tcBorders>
          </w:tcPr>
          <w:p w14:paraId="05A82C8D" w14:textId="77777777" w:rsidR="009948F1" w:rsidRDefault="00BC0563">
            <w:pPr>
              <w:pStyle w:val="TableParagraph"/>
              <w:spacing w:before="133"/>
              <w:ind w:left="154"/>
              <w:rPr>
                <w:rFonts w:ascii="Carlito"/>
                <w:sz w:val="19"/>
              </w:rPr>
            </w:pPr>
            <w:r>
              <w:rPr>
                <w:rFonts w:ascii="Carlito"/>
                <w:color w:val="231F20"/>
                <w:sz w:val="19"/>
              </w:rPr>
              <w:t>$ 47.9M</w:t>
            </w:r>
          </w:p>
        </w:tc>
        <w:tc>
          <w:tcPr>
            <w:tcW w:w="1233" w:type="dxa"/>
            <w:tcBorders>
              <w:left w:val="single" w:sz="4" w:space="0" w:color="231F20"/>
              <w:bottom w:val="single" w:sz="4" w:space="0" w:color="231F20"/>
              <w:right w:val="single" w:sz="4" w:space="0" w:color="231F20"/>
            </w:tcBorders>
          </w:tcPr>
          <w:p w14:paraId="1FC1C2EA" w14:textId="77777777" w:rsidR="009948F1" w:rsidRDefault="00BC0563">
            <w:pPr>
              <w:pStyle w:val="TableParagraph"/>
              <w:spacing w:before="133"/>
              <w:ind w:left="154"/>
              <w:rPr>
                <w:rFonts w:ascii="Carlito"/>
                <w:sz w:val="19"/>
              </w:rPr>
            </w:pPr>
            <w:r>
              <w:rPr>
                <w:rFonts w:ascii="Carlito"/>
                <w:color w:val="231F20"/>
                <w:sz w:val="19"/>
              </w:rPr>
              <w:t>$ 48.6M</w:t>
            </w:r>
          </w:p>
        </w:tc>
        <w:tc>
          <w:tcPr>
            <w:tcW w:w="1233" w:type="dxa"/>
            <w:tcBorders>
              <w:left w:val="single" w:sz="4" w:space="0" w:color="231F20"/>
              <w:bottom w:val="single" w:sz="4" w:space="0" w:color="231F20"/>
            </w:tcBorders>
          </w:tcPr>
          <w:p w14:paraId="675F4C7E" w14:textId="77777777" w:rsidR="009948F1" w:rsidRDefault="00BC0563">
            <w:pPr>
              <w:pStyle w:val="TableParagraph"/>
              <w:spacing w:before="133"/>
              <w:ind w:left="154"/>
              <w:rPr>
                <w:rFonts w:ascii="Carlito"/>
                <w:sz w:val="19"/>
              </w:rPr>
            </w:pPr>
            <w:r>
              <w:rPr>
                <w:rFonts w:ascii="Carlito"/>
                <w:color w:val="231F20"/>
                <w:sz w:val="19"/>
              </w:rPr>
              <w:t>$ 235.7M</w:t>
            </w:r>
          </w:p>
        </w:tc>
      </w:tr>
      <w:tr w:rsidR="009948F1" w14:paraId="1BDD82DD" w14:textId="77777777">
        <w:trPr>
          <w:trHeight w:val="241"/>
        </w:trPr>
        <w:tc>
          <w:tcPr>
            <w:tcW w:w="2363" w:type="dxa"/>
            <w:tcBorders>
              <w:top w:val="single" w:sz="4" w:space="0" w:color="231F20"/>
              <w:bottom w:val="single" w:sz="4" w:space="0" w:color="231F20"/>
              <w:right w:val="single" w:sz="4" w:space="0" w:color="231F20"/>
            </w:tcBorders>
            <w:shd w:val="clear" w:color="auto" w:fill="F1F2F2"/>
          </w:tcPr>
          <w:p w14:paraId="68B181C9" w14:textId="77777777" w:rsidR="009948F1" w:rsidRDefault="00BC0563">
            <w:pPr>
              <w:pStyle w:val="TableParagraph"/>
              <w:spacing w:line="215" w:lineRule="exact"/>
              <w:ind w:left="105"/>
              <w:rPr>
                <w:b/>
                <w:sz w:val="19"/>
              </w:rPr>
            </w:pPr>
            <w:r>
              <w:rPr>
                <w:b/>
                <w:color w:val="231F20"/>
                <w:sz w:val="19"/>
              </w:rPr>
              <w:t>Dev Partner</w:t>
            </w:r>
          </w:p>
        </w:tc>
        <w:tc>
          <w:tcPr>
            <w:tcW w:w="1086" w:type="dxa"/>
            <w:tcBorders>
              <w:top w:val="single" w:sz="4" w:space="0" w:color="231F20"/>
              <w:left w:val="single" w:sz="4" w:space="0" w:color="231F20"/>
              <w:bottom w:val="single" w:sz="4" w:space="0" w:color="231F20"/>
              <w:right w:val="single" w:sz="4" w:space="0" w:color="231F20"/>
            </w:tcBorders>
            <w:shd w:val="clear" w:color="auto" w:fill="F1F2F2"/>
          </w:tcPr>
          <w:p w14:paraId="7CCCE9F0"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c>
          <w:tcPr>
            <w:tcW w:w="1084" w:type="dxa"/>
            <w:tcBorders>
              <w:top w:val="single" w:sz="4" w:space="0" w:color="231F20"/>
              <w:left w:val="single" w:sz="4" w:space="0" w:color="231F20"/>
              <w:bottom w:val="single" w:sz="4" w:space="0" w:color="231F20"/>
              <w:right w:val="single" w:sz="4" w:space="0" w:color="231F20"/>
            </w:tcBorders>
            <w:shd w:val="clear" w:color="auto" w:fill="F1F2F2"/>
          </w:tcPr>
          <w:p w14:paraId="5C3787EF"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c>
          <w:tcPr>
            <w:tcW w:w="1084" w:type="dxa"/>
            <w:tcBorders>
              <w:top w:val="single" w:sz="4" w:space="0" w:color="231F20"/>
              <w:left w:val="single" w:sz="4" w:space="0" w:color="231F20"/>
              <w:bottom w:val="single" w:sz="4" w:space="0" w:color="231F20"/>
              <w:right w:val="single" w:sz="4" w:space="0" w:color="231F20"/>
            </w:tcBorders>
            <w:shd w:val="clear" w:color="auto" w:fill="F1F2F2"/>
          </w:tcPr>
          <w:p w14:paraId="5966BD74"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c>
          <w:tcPr>
            <w:tcW w:w="1086" w:type="dxa"/>
            <w:tcBorders>
              <w:top w:val="single" w:sz="4" w:space="0" w:color="231F20"/>
              <w:left w:val="single" w:sz="4" w:space="0" w:color="231F20"/>
              <w:bottom w:val="single" w:sz="4" w:space="0" w:color="231F20"/>
              <w:right w:val="single" w:sz="4" w:space="0" w:color="231F20"/>
            </w:tcBorders>
            <w:shd w:val="clear" w:color="auto" w:fill="F1F2F2"/>
          </w:tcPr>
          <w:p w14:paraId="557EFEFB"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c>
          <w:tcPr>
            <w:tcW w:w="1233" w:type="dxa"/>
            <w:tcBorders>
              <w:top w:val="single" w:sz="4" w:space="0" w:color="231F20"/>
              <w:left w:val="single" w:sz="4" w:space="0" w:color="231F20"/>
              <w:bottom w:val="single" w:sz="4" w:space="0" w:color="231F20"/>
              <w:right w:val="single" w:sz="4" w:space="0" w:color="231F20"/>
            </w:tcBorders>
            <w:shd w:val="clear" w:color="auto" w:fill="F1F2F2"/>
          </w:tcPr>
          <w:p w14:paraId="0408B5FC"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c>
          <w:tcPr>
            <w:tcW w:w="1233" w:type="dxa"/>
            <w:tcBorders>
              <w:top w:val="single" w:sz="4" w:space="0" w:color="231F20"/>
              <w:left w:val="single" w:sz="4" w:space="0" w:color="231F20"/>
              <w:bottom w:val="single" w:sz="4" w:space="0" w:color="231F20"/>
            </w:tcBorders>
            <w:shd w:val="clear" w:color="auto" w:fill="F1F2F2"/>
          </w:tcPr>
          <w:p w14:paraId="5D3A2D02" w14:textId="77777777" w:rsidR="009948F1" w:rsidRDefault="00BC0563">
            <w:pPr>
              <w:pStyle w:val="TableParagraph"/>
              <w:spacing w:before="5" w:line="217" w:lineRule="exact"/>
              <w:ind w:left="154"/>
              <w:rPr>
                <w:rFonts w:ascii="Carlito"/>
                <w:sz w:val="19"/>
              </w:rPr>
            </w:pPr>
            <w:r>
              <w:rPr>
                <w:rFonts w:ascii="Carlito"/>
                <w:color w:val="231F20"/>
                <w:w w:val="101"/>
                <w:sz w:val="19"/>
              </w:rPr>
              <w:t>-</w:t>
            </w:r>
          </w:p>
        </w:tc>
      </w:tr>
      <w:tr w:rsidR="009948F1" w14:paraId="61ED8FD0" w14:textId="77777777">
        <w:trPr>
          <w:trHeight w:val="265"/>
        </w:trPr>
        <w:tc>
          <w:tcPr>
            <w:tcW w:w="2363" w:type="dxa"/>
            <w:tcBorders>
              <w:top w:val="single" w:sz="4" w:space="0" w:color="231F20"/>
              <w:bottom w:val="single" w:sz="4" w:space="0" w:color="231F20"/>
              <w:right w:val="single" w:sz="4" w:space="0" w:color="231F20"/>
            </w:tcBorders>
          </w:tcPr>
          <w:p w14:paraId="1BF229A9" w14:textId="77777777" w:rsidR="009948F1" w:rsidRDefault="009948F1">
            <w:pPr>
              <w:pStyle w:val="TableParagraph"/>
              <w:rPr>
                <w:rFonts w:ascii="Times New Roman"/>
                <w:sz w:val="18"/>
              </w:rPr>
            </w:pPr>
          </w:p>
        </w:tc>
        <w:tc>
          <w:tcPr>
            <w:tcW w:w="1086" w:type="dxa"/>
            <w:tcBorders>
              <w:top w:val="single" w:sz="4" w:space="0" w:color="231F20"/>
              <w:left w:val="single" w:sz="4" w:space="0" w:color="231F20"/>
              <w:bottom w:val="single" w:sz="4" w:space="0" w:color="231F20"/>
              <w:right w:val="single" w:sz="4" w:space="0" w:color="231F20"/>
            </w:tcBorders>
          </w:tcPr>
          <w:p w14:paraId="3434F5E9" w14:textId="77777777" w:rsidR="009948F1" w:rsidRDefault="00BC0563">
            <w:pPr>
              <w:pStyle w:val="TableParagraph"/>
              <w:spacing w:before="5"/>
              <w:ind w:left="226"/>
              <w:rPr>
                <w:sz w:val="19"/>
              </w:rPr>
            </w:pPr>
            <w:r>
              <w:rPr>
                <w:color w:val="231F20"/>
                <w:w w:val="101"/>
                <w:sz w:val="19"/>
              </w:rPr>
              <w:t>-</w:t>
            </w:r>
          </w:p>
        </w:tc>
        <w:tc>
          <w:tcPr>
            <w:tcW w:w="1084" w:type="dxa"/>
            <w:tcBorders>
              <w:top w:val="single" w:sz="4" w:space="0" w:color="231F20"/>
              <w:left w:val="single" w:sz="4" w:space="0" w:color="231F20"/>
              <w:bottom w:val="single" w:sz="4" w:space="0" w:color="231F20"/>
              <w:right w:val="single" w:sz="4" w:space="0" w:color="231F20"/>
            </w:tcBorders>
          </w:tcPr>
          <w:p w14:paraId="6ECACA5A" w14:textId="77777777" w:rsidR="009948F1" w:rsidRDefault="00BC0563">
            <w:pPr>
              <w:pStyle w:val="TableParagraph"/>
              <w:spacing w:before="5"/>
              <w:ind w:left="226"/>
              <w:rPr>
                <w:sz w:val="19"/>
              </w:rPr>
            </w:pPr>
            <w:r>
              <w:rPr>
                <w:color w:val="231F20"/>
                <w:w w:val="101"/>
                <w:sz w:val="19"/>
              </w:rPr>
              <w:t>-</w:t>
            </w:r>
          </w:p>
        </w:tc>
        <w:tc>
          <w:tcPr>
            <w:tcW w:w="1084" w:type="dxa"/>
            <w:tcBorders>
              <w:top w:val="single" w:sz="4" w:space="0" w:color="231F20"/>
              <w:left w:val="single" w:sz="4" w:space="0" w:color="231F20"/>
              <w:bottom w:val="single" w:sz="4" w:space="0" w:color="231F20"/>
              <w:right w:val="single" w:sz="4" w:space="0" w:color="231F20"/>
            </w:tcBorders>
          </w:tcPr>
          <w:p w14:paraId="74C1CF4F" w14:textId="77777777" w:rsidR="009948F1" w:rsidRDefault="00BC0563">
            <w:pPr>
              <w:pStyle w:val="TableParagraph"/>
              <w:spacing w:before="5"/>
              <w:ind w:left="226"/>
              <w:rPr>
                <w:sz w:val="19"/>
              </w:rPr>
            </w:pPr>
            <w:r>
              <w:rPr>
                <w:color w:val="231F20"/>
                <w:w w:val="101"/>
                <w:sz w:val="19"/>
              </w:rPr>
              <w:t>-</w:t>
            </w:r>
          </w:p>
        </w:tc>
        <w:tc>
          <w:tcPr>
            <w:tcW w:w="1086" w:type="dxa"/>
            <w:tcBorders>
              <w:top w:val="single" w:sz="4" w:space="0" w:color="231F20"/>
              <w:left w:val="single" w:sz="4" w:space="0" w:color="231F20"/>
              <w:bottom w:val="single" w:sz="4" w:space="0" w:color="231F20"/>
              <w:right w:val="single" w:sz="4" w:space="0" w:color="231F20"/>
            </w:tcBorders>
          </w:tcPr>
          <w:p w14:paraId="4A3B0A33" w14:textId="77777777" w:rsidR="009948F1" w:rsidRDefault="00BC0563">
            <w:pPr>
              <w:pStyle w:val="TableParagraph"/>
              <w:spacing w:before="5"/>
              <w:ind w:left="226"/>
              <w:rPr>
                <w:sz w:val="19"/>
              </w:rPr>
            </w:pPr>
            <w:r>
              <w:rPr>
                <w:color w:val="231F20"/>
                <w:w w:val="101"/>
                <w:sz w:val="19"/>
              </w:rPr>
              <w:t>-</w:t>
            </w:r>
          </w:p>
        </w:tc>
        <w:tc>
          <w:tcPr>
            <w:tcW w:w="1233" w:type="dxa"/>
            <w:tcBorders>
              <w:top w:val="single" w:sz="4" w:space="0" w:color="231F20"/>
              <w:left w:val="single" w:sz="4" w:space="0" w:color="231F20"/>
              <w:bottom w:val="single" w:sz="4" w:space="0" w:color="231F20"/>
              <w:right w:val="single" w:sz="4" w:space="0" w:color="231F20"/>
            </w:tcBorders>
          </w:tcPr>
          <w:p w14:paraId="56033425" w14:textId="77777777" w:rsidR="009948F1" w:rsidRDefault="00BC0563">
            <w:pPr>
              <w:pStyle w:val="TableParagraph"/>
              <w:spacing w:before="5"/>
              <w:ind w:left="226"/>
              <w:rPr>
                <w:sz w:val="19"/>
              </w:rPr>
            </w:pPr>
            <w:r>
              <w:rPr>
                <w:color w:val="231F20"/>
                <w:w w:val="101"/>
                <w:sz w:val="19"/>
              </w:rPr>
              <w:t>-</w:t>
            </w:r>
          </w:p>
        </w:tc>
        <w:tc>
          <w:tcPr>
            <w:tcW w:w="1233" w:type="dxa"/>
            <w:tcBorders>
              <w:top w:val="single" w:sz="4" w:space="0" w:color="231F20"/>
              <w:left w:val="single" w:sz="4" w:space="0" w:color="231F20"/>
              <w:bottom w:val="single" w:sz="4" w:space="0" w:color="231F20"/>
            </w:tcBorders>
          </w:tcPr>
          <w:p w14:paraId="53F465AD" w14:textId="77777777" w:rsidR="009948F1" w:rsidRDefault="00BC0563">
            <w:pPr>
              <w:pStyle w:val="TableParagraph"/>
              <w:spacing w:before="5"/>
              <w:ind w:left="226"/>
              <w:rPr>
                <w:sz w:val="19"/>
              </w:rPr>
            </w:pPr>
            <w:r>
              <w:rPr>
                <w:color w:val="231F20"/>
                <w:w w:val="101"/>
                <w:sz w:val="19"/>
              </w:rPr>
              <w:t>-</w:t>
            </w:r>
          </w:p>
        </w:tc>
      </w:tr>
      <w:tr w:rsidR="009948F1" w14:paraId="41728F29" w14:textId="77777777">
        <w:trPr>
          <w:trHeight w:val="488"/>
        </w:trPr>
        <w:tc>
          <w:tcPr>
            <w:tcW w:w="2363" w:type="dxa"/>
            <w:tcBorders>
              <w:top w:val="single" w:sz="4" w:space="0" w:color="231F20"/>
              <w:right w:val="single" w:sz="4" w:space="0" w:color="231F20"/>
            </w:tcBorders>
            <w:shd w:val="clear" w:color="auto" w:fill="DCDDDE"/>
          </w:tcPr>
          <w:p w14:paraId="71B302F7" w14:textId="77777777" w:rsidR="009948F1" w:rsidRDefault="00BC0563">
            <w:pPr>
              <w:pStyle w:val="TableParagraph"/>
              <w:spacing w:before="28" w:line="225" w:lineRule="auto"/>
              <w:ind w:left="105" w:right="352"/>
              <w:rPr>
                <w:b/>
                <w:sz w:val="19"/>
              </w:rPr>
            </w:pPr>
            <w:r>
              <w:rPr>
                <w:b/>
                <w:color w:val="231F20"/>
                <w:sz w:val="19"/>
              </w:rPr>
              <w:t>Total Available Funds</w:t>
            </w:r>
          </w:p>
        </w:tc>
        <w:tc>
          <w:tcPr>
            <w:tcW w:w="1086" w:type="dxa"/>
            <w:tcBorders>
              <w:top w:val="single" w:sz="4" w:space="0" w:color="231F20"/>
              <w:left w:val="single" w:sz="4" w:space="0" w:color="231F20"/>
              <w:right w:val="single" w:sz="4" w:space="0" w:color="231F20"/>
            </w:tcBorders>
            <w:shd w:val="clear" w:color="auto" w:fill="DCDDDE"/>
          </w:tcPr>
          <w:p w14:paraId="7B85A6DA" w14:textId="77777777" w:rsidR="009948F1" w:rsidRDefault="00BC0563">
            <w:pPr>
              <w:pStyle w:val="TableParagraph"/>
              <w:spacing w:before="131"/>
              <w:ind w:left="154"/>
              <w:rPr>
                <w:rFonts w:ascii="Carlito"/>
                <w:b/>
                <w:sz w:val="19"/>
              </w:rPr>
            </w:pPr>
            <w:r>
              <w:rPr>
                <w:rFonts w:ascii="Carlito"/>
                <w:b/>
                <w:color w:val="231F20"/>
                <w:sz w:val="19"/>
              </w:rPr>
              <w:t>$ 45.7M</w:t>
            </w:r>
          </w:p>
        </w:tc>
        <w:tc>
          <w:tcPr>
            <w:tcW w:w="1084" w:type="dxa"/>
            <w:tcBorders>
              <w:top w:val="single" w:sz="4" w:space="0" w:color="231F20"/>
              <w:left w:val="single" w:sz="4" w:space="0" w:color="231F20"/>
              <w:right w:val="single" w:sz="4" w:space="0" w:color="231F20"/>
            </w:tcBorders>
            <w:shd w:val="clear" w:color="auto" w:fill="DCDDDE"/>
          </w:tcPr>
          <w:p w14:paraId="515EF367" w14:textId="77777777" w:rsidR="009948F1" w:rsidRDefault="00BC0563">
            <w:pPr>
              <w:pStyle w:val="TableParagraph"/>
              <w:spacing w:before="131"/>
              <w:ind w:left="154"/>
              <w:rPr>
                <w:rFonts w:ascii="Carlito"/>
                <w:b/>
                <w:sz w:val="19"/>
              </w:rPr>
            </w:pPr>
            <w:r>
              <w:rPr>
                <w:rFonts w:ascii="Carlito"/>
                <w:b/>
                <w:color w:val="231F20"/>
                <w:sz w:val="19"/>
              </w:rPr>
              <w:t>$ 46.4M</w:t>
            </w:r>
          </w:p>
        </w:tc>
        <w:tc>
          <w:tcPr>
            <w:tcW w:w="1084" w:type="dxa"/>
            <w:tcBorders>
              <w:top w:val="single" w:sz="4" w:space="0" w:color="231F20"/>
              <w:left w:val="single" w:sz="4" w:space="0" w:color="231F20"/>
              <w:right w:val="single" w:sz="4" w:space="0" w:color="231F20"/>
            </w:tcBorders>
            <w:shd w:val="clear" w:color="auto" w:fill="DCDDDE"/>
          </w:tcPr>
          <w:p w14:paraId="42AC9A26" w14:textId="77777777" w:rsidR="009948F1" w:rsidRDefault="00BC0563">
            <w:pPr>
              <w:pStyle w:val="TableParagraph"/>
              <w:spacing w:before="131"/>
              <w:ind w:left="154"/>
              <w:rPr>
                <w:rFonts w:ascii="Carlito"/>
                <w:b/>
                <w:sz w:val="19"/>
              </w:rPr>
            </w:pPr>
            <w:r>
              <w:rPr>
                <w:rFonts w:ascii="Carlito"/>
                <w:b/>
                <w:color w:val="231F20"/>
                <w:sz w:val="19"/>
              </w:rPr>
              <w:t>$ 47.1M</w:t>
            </w:r>
          </w:p>
        </w:tc>
        <w:tc>
          <w:tcPr>
            <w:tcW w:w="1086" w:type="dxa"/>
            <w:tcBorders>
              <w:top w:val="single" w:sz="4" w:space="0" w:color="231F20"/>
              <w:left w:val="single" w:sz="4" w:space="0" w:color="231F20"/>
              <w:right w:val="single" w:sz="4" w:space="0" w:color="231F20"/>
            </w:tcBorders>
            <w:shd w:val="clear" w:color="auto" w:fill="DCDDDE"/>
          </w:tcPr>
          <w:p w14:paraId="72A27493" w14:textId="77777777" w:rsidR="009948F1" w:rsidRDefault="00BC0563">
            <w:pPr>
              <w:pStyle w:val="TableParagraph"/>
              <w:spacing w:before="131"/>
              <w:ind w:left="154"/>
              <w:rPr>
                <w:rFonts w:ascii="Carlito"/>
                <w:b/>
                <w:sz w:val="19"/>
              </w:rPr>
            </w:pPr>
            <w:r>
              <w:rPr>
                <w:rFonts w:ascii="Carlito"/>
                <w:b/>
                <w:color w:val="231F20"/>
                <w:sz w:val="19"/>
              </w:rPr>
              <w:t>$ 47.9M</w:t>
            </w:r>
          </w:p>
        </w:tc>
        <w:tc>
          <w:tcPr>
            <w:tcW w:w="1233" w:type="dxa"/>
            <w:tcBorders>
              <w:top w:val="single" w:sz="4" w:space="0" w:color="231F20"/>
              <w:left w:val="single" w:sz="4" w:space="0" w:color="231F20"/>
              <w:right w:val="single" w:sz="4" w:space="0" w:color="231F20"/>
            </w:tcBorders>
            <w:shd w:val="clear" w:color="auto" w:fill="DCDDDE"/>
          </w:tcPr>
          <w:p w14:paraId="5D5F2443" w14:textId="77777777" w:rsidR="009948F1" w:rsidRDefault="00BC0563">
            <w:pPr>
              <w:pStyle w:val="TableParagraph"/>
              <w:spacing w:before="131"/>
              <w:ind w:left="154"/>
              <w:rPr>
                <w:rFonts w:ascii="Carlito"/>
                <w:b/>
                <w:sz w:val="19"/>
              </w:rPr>
            </w:pPr>
            <w:r>
              <w:rPr>
                <w:rFonts w:ascii="Carlito"/>
                <w:b/>
                <w:color w:val="231F20"/>
                <w:sz w:val="19"/>
              </w:rPr>
              <w:t>$ 48.6M</w:t>
            </w:r>
          </w:p>
        </w:tc>
        <w:tc>
          <w:tcPr>
            <w:tcW w:w="1233" w:type="dxa"/>
            <w:tcBorders>
              <w:top w:val="single" w:sz="4" w:space="0" w:color="231F20"/>
              <w:left w:val="single" w:sz="4" w:space="0" w:color="231F20"/>
            </w:tcBorders>
            <w:shd w:val="clear" w:color="auto" w:fill="DCDDDE"/>
          </w:tcPr>
          <w:p w14:paraId="25FEF7BB" w14:textId="77777777" w:rsidR="009948F1" w:rsidRDefault="00BC0563">
            <w:pPr>
              <w:pStyle w:val="TableParagraph"/>
              <w:spacing w:before="131"/>
              <w:ind w:left="154"/>
              <w:rPr>
                <w:rFonts w:ascii="Carlito"/>
                <w:b/>
                <w:sz w:val="19"/>
              </w:rPr>
            </w:pPr>
            <w:r>
              <w:rPr>
                <w:rFonts w:ascii="Carlito"/>
                <w:b/>
                <w:color w:val="231F20"/>
                <w:sz w:val="19"/>
              </w:rPr>
              <w:t>$ 235.7M</w:t>
            </w:r>
          </w:p>
        </w:tc>
      </w:tr>
      <w:tr w:rsidR="009948F1" w14:paraId="115F4925" w14:textId="77777777">
        <w:trPr>
          <w:trHeight w:val="612"/>
        </w:trPr>
        <w:tc>
          <w:tcPr>
            <w:tcW w:w="2363" w:type="dxa"/>
            <w:tcBorders>
              <w:bottom w:val="single" w:sz="12" w:space="0" w:color="231F20"/>
              <w:right w:val="single" w:sz="4" w:space="0" w:color="231F20"/>
            </w:tcBorders>
          </w:tcPr>
          <w:p w14:paraId="62EAE3A5" w14:textId="77777777" w:rsidR="009948F1" w:rsidRDefault="00BC0563">
            <w:pPr>
              <w:pStyle w:val="TableParagraph"/>
              <w:spacing w:line="225" w:lineRule="auto"/>
              <w:ind w:left="105" w:right="352"/>
              <w:rPr>
                <w:b/>
                <w:sz w:val="19"/>
              </w:rPr>
            </w:pPr>
            <w:r>
              <w:rPr>
                <w:b/>
                <w:color w:val="231F20"/>
                <w:sz w:val="19"/>
              </w:rPr>
              <w:t>Cost of N/SHDP II Plan Aggressive</w:t>
            </w:r>
          </w:p>
          <w:p w14:paraId="682C2348" w14:textId="77777777" w:rsidR="009948F1" w:rsidRDefault="00BC0563">
            <w:pPr>
              <w:pStyle w:val="TableParagraph"/>
              <w:spacing w:line="191" w:lineRule="exact"/>
              <w:ind w:left="105"/>
              <w:rPr>
                <w:b/>
                <w:sz w:val="19"/>
              </w:rPr>
            </w:pPr>
            <w:r>
              <w:rPr>
                <w:b/>
                <w:color w:val="231F20"/>
                <w:sz w:val="19"/>
              </w:rPr>
              <w:t>Scenario</w:t>
            </w:r>
          </w:p>
        </w:tc>
        <w:tc>
          <w:tcPr>
            <w:tcW w:w="1086" w:type="dxa"/>
            <w:tcBorders>
              <w:left w:val="single" w:sz="4" w:space="0" w:color="231F20"/>
              <w:right w:val="single" w:sz="4" w:space="0" w:color="231F20"/>
            </w:tcBorders>
          </w:tcPr>
          <w:p w14:paraId="0052620B" w14:textId="77777777" w:rsidR="009948F1" w:rsidRDefault="009948F1">
            <w:pPr>
              <w:pStyle w:val="TableParagraph"/>
              <w:spacing w:before="10"/>
              <w:rPr>
                <w:rFonts w:ascii="Carlito"/>
                <w:b/>
                <w:i/>
                <w:sz w:val="15"/>
              </w:rPr>
            </w:pPr>
          </w:p>
          <w:p w14:paraId="7387EE26" w14:textId="77777777" w:rsidR="009948F1" w:rsidRDefault="00BC0563">
            <w:pPr>
              <w:pStyle w:val="TableParagraph"/>
              <w:ind w:left="154"/>
              <w:rPr>
                <w:rFonts w:ascii="Carlito"/>
                <w:b/>
                <w:sz w:val="19"/>
              </w:rPr>
            </w:pPr>
            <w:r>
              <w:rPr>
                <w:rFonts w:ascii="Carlito"/>
                <w:b/>
                <w:color w:val="231F20"/>
                <w:sz w:val="19"/>
              </w:rPr>
              <w:t>$ 138.8M</w:t>
            </w:r>
          </w:p>
        </w:tc>
        <w:tc>
          <w:tcPr>
            <w:tcW w:w="1084" w:type="dxa"/>
            <w:tcBorders>
              <w:left w:val="single" w:sz="4" w:space="0" w:color="231F20"/>
              <w:right w:val="single" w:sz="4" w:space="0" w:color="231F20"/>
            </w:tcBorders>
          </w:tcPr>
          <w:p w14:paraId="40C823D0" w14:textId="77777777" w:rsidR="009948F1" w:rsidRDefault="009948F1">
            <w:pPr>
              <w:pStyle w:val="TableParagraph"/>
              <w:spacing w:before="10"/>
              <w:rPr>
                <w:rFonts w:ascii="Carlito"/>
                <w:b/>
                <w:i/>
                <w:sz w:val="15"/>
              </w:rPr>
            </w:pPr>
          </w:p>
          <w:p w14:paraId="5912BC1A" w14:textId="77777777" w:rsidR="009948F1" w:rsidRDefault="00BC0563">
            <w:pPr>
              <w:pStyle w:val="TableParagraph"/>
              <w:ind w:left="154"/>
              <w:rPr>
                <w:rFonts w:ascii="Carlito"/>
                <w:b/>
                <w:sz w:val="19"/>
              </w:rPr>
            </w:pPr>
            <w:r>
              <w:rPr>
                <w:rFonts w:ascii="Carlito"/>
                <w:b/>
                <w:color w:val="231F20"/>
                <w:sz w:val="19"/>
              </w:rPr>
              <w:t>$ 173.1M</w:t>
            </w:r>
          </w:p>
        </w:tc>
        <w:tc>
          <w:tcPr>
            <w:tcW w:w="1084" w:type="dxa"/>
            <w:tcBorders>
              <w:left w:val="single" w:sz="4" w:space="0" w:color="231F20"/>
              <w:right w:val="single" w:sz="4" w:space="0" w:color="231F20"/>
            </w:tcBorders>
          </w:tcPr>
          <w:p w14:paraId="3EC70D9C" w14:textId="77777777" w:rsidR="009948F1" w:rsidRDefault="009948F1">
            <w:pPr>
              <w:pStyle w:val="TableParagraph"/>
              <w:spacing w:before="10"/>
              <w:rPr>
                <w:rFonts w:ascii="Carlito"/>
                <w:b/>
                <w:i/>
                <w:sz w:val="15"/>
              </w:rPr>
            </w:pPr>
          </w:p>
          <w:p w14:paraId="7561DD2E" w14:textId="77777777" w:rsidR="009948F1" w:rsidRDefault="00BC0563">
            <w:pPr>
              <w:pStyle w:val="TableParagraph"/>
              <w:ind w:left="154"/>
              <w:rPr>
                <w:rFonts w:ascii="Carlito"/>
                <w:b/>
                <w:sz w:val="19"/>
              </w:rPr>
            </w:pPr>
            <w:r>
              <w:rPr>
                <w:rFonts w:ascii="Carlito"/>
                <w:b/>
                <w:color w:val="231F20"/>
                <w:sz w:val="19"/>
              </w:rPr>
              <w:t>$ 188.2M</w:t>
            </w:r>
          </w:p>
        </w:tc>
        <w:tc>
          <w:tcPr>
            <w:tcW w:w="1086" w:type="dxa"/>
            <w:tcBorders>
              <w:left w:val="single" w:sz="4" w:space="0" w:color="231F20"/>
              <w:right w:val="single" w:sz="4" w:space="0" w:color="231F20"/>
            </w:tcBorders>
          </w:tcPr>
          <w:p w14:paraId="466F20CD" w14:textId="77777777" w:rsidR="009948F1" w:rsidRDefault="009948F1">
            <w:pPr>
              <w:pStyle w:val="TableParagraph"/>
              <w:spacing w:before="10"/>
              <w:rPr>
                <w:rFonts w:ascii="Carlito"/>
                <w:b/>
                <w:i/>
                <w:sz w:val="15"/>
              </w:rPr>
            </w:pPr>
          </w:p>
          <w:p w14:paraId="304A3250" w14:textId="77777777" w:rsidR="009948F1" w:rsidRDefault="00BC0563">
            <w:pPr>
              <w:pStyle w:val="TableParagraph"/>
              <w:ind w:left="154"/>
              <w:rPr>
                <w:rFonts w:ascii="Carlito"/>
                <w:b/>
                <w:sz w:val="19"/>
              </w:rPr>
            </w:pPr>
            <w:r>
              <w:rPr>
                <w:rFonts w:ascii="Carlito"/>
                <w:b/>
                <w:color w:val="231F20"/>
                <w:sz w:val="19"/>
              </w:rPr>
              <w:t>$ 206.1M</w:t>
            </w:r>
          </w:p>
        </w:tc>
        <w:tc>
          <w:tcPr>
            <w:tcW w:w="1233" w:type="dxa"/>
            <w:tcBorders>
              <w:left w:val="single" w:sz="4" w:space="0" w:color="231F20"/>
              <w:right w:val="single" w:sz="4" w:space="0" w:color="231F20"/>
            </w:tcBorders>
          </w:tcPr>
          <w:p w14:paraId="2978F8BC" w14:textId="77777777" w:rsidR="009948F1" w:rsidRDefault="009948F1">
            <w:pPr>
              <w:pStyle w:val="TableParagraph"/>
              <w:spacing w:before="10"/>
              <w:rPr>
                <w:rFonts w:ascii="Carlito"/>
                <w:b/>
                <w:i/>
                <w:sz w:val="15"/>
              </w:rPr>
            </w:pPr>
          </w:p>
          <w:p w14:paraId="20EB1DB0" w14:textId="77777777" w:rsidR="009948F1" w:rsidRDefault="00BC0563">
            <w:pPr>
              <w:pStyle w:val="TableParagraph"/>
              <w:ind w:left="154"/>
              <w:rPr>
                <w:rFonts w:ascii="Carlito"/>
                <w:b/>
                <w:sz w:val="19"/>
              </w:rPr>
            </w:pPr>
            <w:r>
              <w:rPr>
                <w:rFonts w:ascii="Carlito"/>
                <w:b/>
                <w:color w:val="231F20"/>
                <w:sz w:val="19"/>
              </w:rPr>
              <w:t>$ 220.6M</w:t>
            </w:r>
          </w:p>
        </w:tc>
        <w:tc>
          <w:tcPr>
            <w:tcW w:w="1233" w:type="dxa"/>
            <w:tcBorders>
              <w:left w:val="single" w:sz="4" w:space="0" w:color="231F20"/>
            </w:tcBorders>
          </w:tcPr>
          <w:p w14:paraId="76DEB729" w14:textId="77777777" w:rsidR="009948F1" w:rsidRDefault="009948F1">
            <w:pPr>
              <w:pStyle w:val="TableParagraph"/>
              <w:spacing w:before="10"/>
              <w:rPr>
                <w:rFonts w:ascii="Carlito"/>
                <w:b/>
                <w:i/>
                <w:sz w:val="15"/>
              </w:rPr>
            </w:pPr>
          </w:p>
          <w:p w14:paraId="59259202" w14:textId="77777777" w:rsidR="009948F1" w:rsidRDefault="00BC0563">
            <w:pPr>
              <w:pStyle w:val="TableParagraph"/>
              <w:ind w:left="109"/>
              <w:rPr>
                <w:rFonts w:ascii="Carlito"/>
                <w:b/>
                <w:sz w:val="19"/>
              </w:rPr>
            </w:pPr>
            <w:r>
              <w:rPr>
                <w:rFonts w:ascii="Carlito"/>
                <w:b/>
                <w:color w:val="231F20"/>
                <w:sz w:val="19"/>
              </w:rPr>
              <w:t>$ 926.8M</w:t>
            </w:r>
          </w:p>
        </w:tc>
      </w:tr>
      <w:tr w:rsidR="009948F1" w14:paraId="5454F52C" w14:textId="77777777">
        <w:trPr>
          <w:trHeight w:val="300"/>
        </w:trPr>
        <w:tc>
          <w:tcPr>
            <w:tcW w:w="2363" w:type="dxa"/>
            <w:tcBorders>
              <w:top w:val="single" w:sz="12" w:space="0" w:color="231F20"/>
              <w:left w:val="single" w:sz="12" w:space="0" w:color="231F20"/>
              <w:right w:val="single" w:sz="12" w:space="0" w:color="231F20"/>
            </w:tcBorders>
            <w:shd w:val="clear" w:color="auto" w:fill="ED1C24"/>
          </w:tcPr>
          <w:p w14:paraId="0F85D1EF" w14:textId="77777777" w:rsidR="009948F1" w:rsidRDefault="00BC0563">
            <w:pPr>
              <w:pStyle w:val="TableParagraph"/>
              <w:spacing w:before="22"/>
              <w:ind w:left="100"/>
              <w:rPr>
                <w:b/>
                <w:sz w:val="19"/>
              </w:rPr>
            </w:pPr>
            <w:r>
              <w:rPr>
                <w:b/>
                <w:color w:val="231F20"/>
                <w:sz w:val="19"/>
              </w:rPr>
              <w:t>Resource Gap</w:t>
            </w:r>
          </w:p>
        </w:tc>
        <w:tc>
          <w:tcPr>
            <w:tcW w:w="1086" w:type="dxa"/>
            <w:tcBorders>
              <w:left w:val="single" w:sz="12" w:space="0" w:color="231F20"/>
              <w:right w:val="single" w:sz="4" w:space="0" w:color="231F20"/>
            </w:tcBorders>
          </w:tcPr>
          <w:p w14:paraId="1BD367DD" w14:textId="77777777" w:rsidR="009948F1" w:rsidRDefault="00BC0563">
            <w:pPr>
              <w:pStyle w:val="TableParagraph"/>
              <w:spacing w:before="31"/>
              <w:ind w:left="144"/>
              <w:rPr>
                <w:rFonts w:ascii="Carlito"/>
                <w:b/>
                <w:sz w:val="19"/>
              </w:rPr>
            </w:pPr>
            <w:r>
              <w:rPr>
                <w:rFonts w:ascii="Carlito"/>
                <w:b/>
                <w:color w:val="231F20"/>
                <w:sz w:val="19"/>
              </w:rPr>
              <w:t>$ 93M</w:t>
            </w:r>
          </w:p>
        </w:tc>
        <w:tc>
          <w:tcPr>
            <w:tcW w:w="1084" w:type="dxa"/>
            <w:tcBorders>
              <w:left w:val="single" w:sz="4" w:space="0" w:color="231F20"/>
              <w:right w:val="single" w:sz="4" w:space="0" w:color="231F20"/>
            </w:tcBorders>
          </w:tcPr>
          <w:p w14:paraId="184438F1" w14:textId="77777777" w:rsidR="009948F1" w:rsidRDefault="00BC0563">
            <w:pPr>
              <w:pStyle w:val="TableParagraph"/>
              <w:spacing w:before="31"/>
              <w:ind w:left="154"/>
              <w:rPr>
                <w:rFonts w:ascii="Carlito"/>
                <w:b/>
                <w:sz w:val="19"/>
              </w:rPr>
            </w:pPr>
            <w:r>
              <w:rPr>
                <w:rFonts w:ascii="Carlito"/>
                <w:b/>
                <w:color w:val="231F20"/>
                <w:sz w:val="19"/>
              </w:rPr>
              <w:t>$ 127M</w:t>
            </w:r>
          </w:p>
        </w:tc>
        <w:tc>
          <w:tcPr>
            <w:tcW w:w="1084" w:type="dxa"/>
            <w:tcBorders>
              <w:left w:val="single" w:sz="4" w:space="0" w:color="231F20"/>
              <w:right w:val="single" w:sz="4" w:space="0" w:color="231F20"/>
            </w:tcBorders>
          </w:tcPr>
          <w:p w14:paraId="0C493D1C" w14:textId="77777777" w:rsidR="009948F1" w:rsidRDefault="00BC0563">
            <w:pPr>
              <w:pStyle w:val="TableParagraph"/>
              <w:spacing w:before="31"/>
              <w:ind w:left="154"/>
              <w:rPr>
                <w:rFonts w:ascii="Carlito"/>
                <w:b/>
                <w:sz w:val="19"/>
              </w:rPr>
            </w:pPr>
            <w:r>
              <w:rPr>
                <w:rFonts w:ascii="Carlito"/>
                <w:b/>
                <w:color w:val="231F20"/>
                <w:sz w:val="19"/>
              </w:rPr>
              <w:t>$ 141M</w:t>
            </w:r>
          </w:p>
        </w:tc>
        <w:tc>
          <w:tcPr>
            <w:tcW w:w="1086" w:type="dxa"/>
            <w:tcBorders>
              <w:left w:val="single" w:sz="4" w:space="0" w:color="231F20"/>
              <w:right w:val="single" w:sz="4" w:space="0" w:color="231F20"/>
            </w:tcBorders>
          </w:tcPr>
          <w:p w14:paraId="70BA208E" w14:textId="77777777" w:rsidR="009948F1" w:rsidRDefault="00BC0563">
            <w:pPr>
              <w:pStyle w:val="TableParagraph"/>
              <w:spacing w:before="31"/>
              <w:ind w:left="154"/>
              <w:rPr>
                <w:rFonts w:ascii="Carlito"/>
                <w:b/>
                <w:sz w:val="19"/>
              </w:rPr>
            </w:pPr>
            <w:r>
              <w:rPr>
                <w:rFonts w:ascii="Carlito"/>
                <w:b/>
                <w:color w:val="231F20"/>
                <w:sz w:val="19"/>
              </w:rPr>
              <w:t>$ 158M</w:t>
            </w:r>
          </w:p>
        </w:tc>
        <w:tc>
          <w:tcPr>
            <w:tcW w:w="1233" w:type="dxa"/>
            <w:tcBorders>
              <w:left w:val="single" w:sz="4" w:space="0" w:color="231F20"/>
              <w:right w:val="single" w:sz="4" w:space="0" w:color="231F20"/>
            </w:tcBorders>
          </w:tcPr>
          <w:p w14:paraId="2F7FC912" w14:textId="77777777" w:rsidR="009948F1" w:rsidRDefault="00BC0563">
            <w:pPr>
              <w:pStyle w:val="TableParagraph"/>
              <w:spacing w:before="31"/>
              <w:ind w:left="154"/>
              <w:rPr>
                <w:rFonts w:ascii="Carlito"/>
                <w:b/>
                <w:sz w:val="19"/>
              </w:rPr>
            </w:pPr>
            <w:r>
              <w:rPr>
                <w:rFonts w:ascii="Carlito"/>
                <w:b/>
                <w:color w:val="231F20"/>
                <w:sz w:val="19"/>
              </w:rPr>
              <w:t>$ 172M</w:t>
            </w:r>
          </w:p>
        </w:tc>
        <w:tc>
          <w:tcPr>
            <w:tcW w:w="1233" w:type="dxa"/>
            <w:tcBorders>
              <w:left w:val="single" w:sz="4" w:space="0" w:color="231F20"/>
            </w:tcBorders>
          </w:tcPr>
          <w:p w14:paraId="54517727" w14:textId="77777777" w:rsidR="009948F1" w:rsidRDefault="00BC0563">
            <w:pPr>
              <w:pStyle w:val="TableParagraph"/>
              <w:spacing w:before="31"/>
              <w:ind w:left="109"/>
              <w:rPr>
                <w:rFonts w:ascii="Carlito"/>
                <w:b/>
                <w:sz w:val="19"/>
              </w:rPr>
            </w:pPr>
            <w:r>
              <w:rPr>
                <w:rFonts w:ascii="Carlito"/>
                <w:b/>
                <w:color w:val="231F20"/>
                <w:sz w:val="19"/>
              </w:rPr>
              <w:t>$ 691M</w:t>
            </w:r>
          </w:p>
        </w:tc>
      </w:tr>
      <w:tr w:rsidR="009948F1" w14:paraId="22AD5AA6" w14:textId="77777777">
        <w:trPr>
          <w:trHeight w:val="300"/>
        </w:trPr>
        <w:tc>
          <w:tcPr>
            <w:tcW w:w="2363" w:type="dxa"/>
            <w:tcBorders>
              <w:left w:val="single" w:sz="12" w:space="0" w:color="231F20"/>
              <w:bottom w:val="single" w:sz="12" w:space="0" w:color="231F20"/>
              <w:right w:val="single" w:sz="12" w:space="0" w:color="231F20"/>
            </w:tcBorders>
            <w:shd w:val="clear" w:color="auto" w:fill="ED1C24"/>
          </w:tcPr>
          <w:p w14:paraId="5A4E894D" w14:textId="77777777" w:rsidR="009948F1" w:rsidRDefault="00BC0563">
            <w:pPr>
              <w:pStyle w:val="TableParagraph"/>
              <w:spacing w:before="35"/>
              <w:ind w:left="144"/>
              <w:rPr>
                <w:rFonts w:ascii="Carlito"/>
                <w:i/>
                <w:sz w:val="19"/>
              </w:rPr>
            </w:pPr>
            <w:r>
              <w:rPr>
                <w:rFonts w:ascii="Carlito"/>
                <w:i/>
                <w:color w:val="231F20"/>
                <w:sz w:val="19"/>
              </w:rPr>
              <w:t>% of Resource Gap</w:t>
            </w:r>
          </w:p>
        </w:tc>
        <w:tc>
          <w:tcPr>
            <w:tcW w:w="1086" w:type="dxa"/>
            <w:tcBorders>
              <w:left w:val="single" w:sz="12" w:space="0" w:color="231F20"/>
              <w:right w:val="single" w:sz="4" w:space="0" w:color="231F20"/>
            </w:tcBorders>
          </w:tcPr>
          <w:p w14:paraId="11F63388" w14:textId="77777777" w:rsidR="009948F1" w:rsidRDefault="00BC0563">
            <w:pPr>
              <w:pStyle w:val="TableParagraph"/>
              <w:spacing w:before="35"/>
              <w:ind w:left="100"/>
              <w:rPr>
                <w:rFonts w:ascii="Carlito"/>
                <w:sz w:val="19"/>
              </w:rPr>
            </w:pPr>
            <w:r>
              <w:rPr>
                <w:rFonts w:ascii="Carlito"/>
                <w:color w:val="231F20"/>
                <w:sz w:val="19"/>
              </w:rPr>
              <w:t>67.1%</w:t>
            </w:r>
          </w:p>
        </w:tc>
        <w:tc>
          <w:tcPr>
            <w:tcW w:w="1084" w:type="dxa"/>
            <w:tcBorders>
              <w:left w:val="single" w:sz="4" w:space="0" w:color="231F20"/>
              <w:right w:val="single" w:sz="4" w:space="0" w:color="231F20"/>
            </w:tcBorders>
          </w:tcPr>
          <w:p w14:paraId="2D2392BE" w14:textId="77777777" w:rsidR="009948F1" w:rsidRDefault="00BC0563">
            <w:pPr>
              <w:pStyle w:val="TableParagraph"/>
              <w:spacing w:before="35"/>
              <w:ind w:left="110"/>
              <w:rPr>
                <w:rFonts w:ascii="Carlito"/>
                <w:sz w:val="19"/>
              </w:rPr>
            </w:pPr>
            <w:r>
              <w:rPr>
                <w:rFonts w:ascii="Carlito"/>
                <w:color w:val="231F20"/>
                <w:sz w:val="19"/>
              </w:rPr>
              <w:t>73.2%</w:t>
            </w:r>
          </w:p>
        </w:tc>
        <w:tc>
          <w:tcPr>
            <w:tcW w:w="1084" w:type="dxa"/>
            <w:tcBorders>
              <w:left w:val="single" w:sz="4" w:space="0" w:color="231F20"/>
              <w:right w:val="single" w:sz="4" w:space="0" w:color="231F20"/>
            </w:tcBorders>
          </w:tcPr>
          <w:p w14:paraId="48C14E8D" w14:textId="77777777" w:rsidR="009948F1" w:rsidRDefault="00BC0563">
            <w:pPr>
              <w:pStyle w:val="TableParagraph"/>
              <w:spacing w:before="35"/>
              <w:ind w:left="110"/>
              <w:rPr>
                <w:rFonts w:ascii="Carlito"/>
                <w:sz w:val="19"/>
              </w:rPr>
            </w:pPr>
            <w:r>
              <w:rPr>
                <w:rFonts w:ascii="Carlito"/>
                <w:color w:val="231F20"/>
                <w:sz w:val="19"/>
              </w:rPr>
              <w:t>75.0%</w:t>
            </w:r>
          </w:p>
        </w:tc>
        <w:tc>
          <w:tcPr>
            <w:tcW w:w="1086" w:type="dxa"/>
            <w:tcBorders>
              <w:left w:val="single" w:sz="4" w:space="0" w:color="231F20"/>
              <w:right w:val="single" w:sz="4" w:space="0" w:color="231F20"/>
            </w:tcBorders>
          </w:tcPr>
          <w:p w14:paraId="3AEF54A9" w14:textId="77777777" w:rsidR="009948F1" w:rsidRDefault="00BC0563">
            <w:pPr>
              <w:pStyle w:val="TableParagraph"/>
              <w:spacing w:before="35"/>
              <w:ind w:left="109"/>
              <w:rPr>
                <w:rFonts w:ascii="Carlito"/>
                <w:sz w:val="19"/>
              </w:rPr>
            </w:pPr>
            <w:r>
              <w:rPr>
                <w:rFonts w:ascii="Carlito"/>
                <w:color w:val="231F20"/>
                <w:sz w:val="19"/>
              </w:rPr>
              <w:t>76.8%</w:t>
            </w:r>
          </w:p>
        </w:tc>
        <w:tc>
          <w:tcPr>
            <w:tcW w:w="1233" w:type="dxa"/>
            <w:tcBorders>
              <w:left w:val="single" w:sz="4" w:space="0" w:color="231F20"/>
              <w:right w:val="single" w:sz="4" w:space="0" w:color="231F20"/>
            </w:tcBorders>
          </w:tcPr>
          <w:p w14:paraId="0A8F9E48" w14:textId="77777777" w:rsidR="009948F1" w:rsidRDefault="00BC0563">
            <w:pPr>
              <w:pStyle w:val="TableParagraph"/>
              <w:spacing w:before="35"/>
              <w:ind w:left="109"/>
              <w:rPr>
                <w:rFonts w:ascii="Carlito"/>
                <w:sz w:val="19"/>
              </w:rPr>
            </w:pPr>
            <w:r>
              <w:rPr>
                <w:rFonts w:ascii="Carlito"/>
                <w:color w:val="231F20"/>
                <w:sz w:val="19"/>
              </w:rPr>
              <w:t>78.0%</w:t>
            </w:r>
          </w:p>
        </w:tc>
        <w:tc>
          <w:tcPr>
            <w:tcW w:w="1233" w:type="dxa"/>
            <w:tcBorders>
              <w:left w:val="single" w:sz="4" w:space="0" w:color="231F20"/>
            </w:tcBorders>
          </w:tcPr>
          <w:p w14:paraId="42B7DD30" w14:textId="77777777" w:rsidR="009948F1" w:rsidRDefault="00BC0563">
            <w:pPr>
              <w:pStyle w:val="TableParagraph"/>
              <w:spacing w:before="35"/>
              <w:ind w:left="109"/>
              <w:rPr>
                <w:rFonts w:ascii="Carlito"/>
                <w:b/>
                <w:sz w:val="19"/>
              </w:rPr>
            </w:pPr>
            <w:r>
              <w:rPr>
                <w:rFonts w:ascii="Carlito"/>
                <w:b/>
                <w:color w:val="231F20"/>
                <w:sz w:val="19"/>
              </w:rPr>
              <w:t>74.6%</w:t>
            </w:r>
          </w:p>
        </w:tc>
      </w:tr>
    </w:tbl>
    <w:p w14:paraId="6F7B4E78" w14:textId="77777777" w:rsidR="009948F1" w:rsidRDefault="009948F1">
      <w:pPr>
        <w:rPr>
          <w:rFonts w:ascii="Carlito"/>
          <w:sz w:val="19"/>
        </w:rPr>
        <w:sectPr w:rsidR="009948F1">
          <w:footerReference w:type="default" r:id="rId31"/>
          <w:pgSz w:w="11910" w:h="16840"/>
          <w:pgMar w:top="1560" w:right="1080" w:bottom="1420" w:left="1120" w:header="0" w:footer="1235" w:gutter="0"/>
          <w:pgNumType w:start="109"/>
          <w:cols w:space="720"/>
        </w:sectPr>
      </w:pPr>
    </w:p>
    <w:p w14:paraId="687E4C53" w14:textId="77777777" w:rsidR="009948F1" w:rsidRDefault="00BC0563">
      <w:pPr>
        <w:pStyle w:val="BodyText"/>
        <w:spacing w:before="47" w:line="232" w:lineRule="auto"/>
        <w:ind w:left="142" w:right="174"/>
        <w:jc w:val="both"/>
      </w:pPr>
      <w:bookmarkStart w:id="133" w:name="Page_111"/>
      <w:bookmarkEnd w:id="133"/>
      <w:r>
        <w:rPr>
          <w:color w:val="231F20"/>
        </w:rPr>
        <w:lastRenderedPageBreak/>
        <w:t>From</w:t>
      </w:r>
      <w:r>
        <w:rPr>
          <w:color w:val="231F20"/>
          <w:spacing w:val="-20"/>
        </w:rPr>
        <w:t xml:space="preserve"> </w:t>
      </w:r>
      <w:r>
        <w:rPr>
          <w:color w:val="231F20"/>
        </w:rPr>
        <w:t>the</w:t>
      </w:r>
      <w:r>
        <w:rPr>
          <w:color w:val="231F20"/>
          <w:spacing w:val="-19"/>
        </w:rPr>
        <w:t xml:space="preserve"> </w:t>
      </w:r>
      <w:r>
        <w:rPr>
          <w:color w:val="231F20"/>
        </w:rPr>
        <w:t>tables</w:t>
      </w:r>
      <w:r>
        <w:rPr>
          <w:color w:val="231F20"/>
          <w:spacing w:val="-19"/>
        </w:rPr>
        <w:t xml:space="preserve"> </w:t>
      </w:r>
      <w:r>
        <w:rPr>
          <w:color w:val="231F20"/>
        </w:rPr>
        <w:t>above,</w:t>
      </w:r>
      <w:r>
        <w:rPr>
          <w:color w:val="231F20"/>
          <w:spacing w:val="-19"/>
        </w:rPr>
        <w:t xml:space="preserve"> </w:t>
      </w:r>
      <w:r>
        <w:rPr>
          <w:color w:val="231F20"/>
        </w:rPr>
        <w:t>the</w:t>
      </w:r>
      <w:r>
        <w:rPr>
          <w:color w:val="231F20"/>
          <w:spacing w:val="-19"/>
        </w:rPr>
        <w:t xml:space="preserve"> </w:t>
      </w:r>
      <w:r>
        <w:rPr>
          <w:color w:val="231F20"/>
        </w:rPr>
        <w:t>available</w:t>
      </w:r>
      <w:r>
        <w:rPr>
          <w:color w:val="231F20"/>
          <w:spacing w:val="-19"/>
        </w:rPr>
        <w:t xml:space="preserve"> </w:t>
      </w:r>
      <w:r>
        <w:rPr>
          <w:color w:val="231F20"/>
        </w:rPr>
        <w:t>funds</w:t>
      </w:r>
      <w:r>
        <w:rPr>
          <w:color w:val="231F20"/>
          <w:spacing w:val="-19"/>
        </w:rPr>
        <w:t xml:space="preserve"> </w:t>
      </w:r>
      <w:r>
        <w:rPr>
          <w:color w:val="231F20"/>
        </w:rPr>
        <w:t>indicate</w:t>
      </w:r>
      <w:r>
        <w:rPr>
          <w:color w:val="231F20"/>
          <w:spacing w:val="-19"/>
        </w:rPr>
        <w:t xml:space="preserve"> </w:t>
      </w:r>
      <w:r>
        <w:rPr>
          <w:color w:val="231F20"/>
        </w:rPr>
        <w:t>a</w:t>
      </w:r>
      <w:r>
        <w:rPr>
          <w:color w:val="231F20"/>
          <w:spacing w:val="-19"/>
        </w:rPr>
        <w:t xml:space="preserve"> </w:t>
      </w:r>
      <w:r>
        <w:rPr>
          <w:color w:val="231F20"/>
        </w:rPr>
        <w:t>resource</w:t>
      </w:r>
      <w:r>
        <w:rPr>
          <w:color w:val="231F20"/>
          <w:spacing w:val="-19"/>
        </w:rPr>
        <w:t xml:space="preserve"> </w:t>
      </w:r>
      <w:r>
        <w:rPr>
          <w:color w:val="231F20"/>
        </w:rPr>
        <w:t>gap</w:t>
      </w:r>
      <w:r>
        <w:rPr>
          <w:color w:val="231F20"/>
          <w:spacing w:val="-19"/>
        </w:rPr>
        <w:t xml:space="preserve"> </w:t>
      </w:r>
      <w:r>
        <w:rPr>
          <w:color w:val="231F20"/>
        </w:rPr>
        <w:t>of</w:t>
      </w:r>
      <w:r>
        <w:rPr>
          <w:color w:val="231F20"/>
          <w:spacing w:val="-20"/>
        </w:rPr>
        <w:t xml:space="preserve"> </w:t>
      </w:r>
      <w:r>
        <w:rPr>
          <w:color w:val="231F20"/>
        </w:rPr>
        <w:t>67.4%</w:t>
      </w:r>
      <w:r>
        <w:rPr>
          <w:color w:val="231F20"/>
          <w:spacing w:val="-19"/>
        </w:rPr>
        <w:t xml:space="preserve"> </w:t>
      </w:r>
      <w:r>
        <w:rPr>
          <w:color w:val="231F20"/>
        </w:rPr>
        <w:t>for</w:t>
      </w:r>
      <w:r>
        <w:rPr>
          <w:color w:val="231F20"/>
          <w:spacing w:val="-19"/>
        </w:rPr>
        <w:t xml:space="preserve"> </w:t>
      </w:r>
      <w:r>
        <w:rPr>
          <w:color w:val="231F20"/>
        </w:rPr>
        <w:t>Moderate</w:t>
      </w:r>
      <w:r>
        <w:rPr>
          <w:color w:val="231F20"/>
          <w:spacing w:val="-19"/>
        </w:rPr>
        <w:t xml:space="preserve"> </w:t>
      </w:r>
      <w:r>
        <w:rPr>
          <w:color w:val="231F20"/>
        </w:rPr>
        <w:t>Scenario and 74.6% for Aggressive Scenario with all the funds being provided coming from government alone.</w:t>
      </w:r>
      <w:r>
        <w:rPr>
          <w:color w:val="231F20"/>
          <w:spacing w:val="-20"/>
        </w:rPr>
        <w:t xml:space="preserve"> </w:t>
      </w:r>
      <w:r>
        <w:rPr>
          <w:color w:val="231F20"/>
        </w:rPr>
        <w:t>This</w:t>
      </w:r>
      <w:r>
        <w:rPr>
          <w:color w:val="231F20"/>
          <w:spacing w:val="-15"/>
        </w:rPr>
        <w:t xml:space="preserve"> </w:t>
      </w:r>
      <w:r>
        <w:rPr>
          <w:color w:val="231F20"/>
        </w:rPr>
        <w:t>indicates</w:t>
      </w:r>
      <w:r>
        <w:rPr>
          <w:color w:val="231F20"/>
          <w:spacing w:val="-15"/>
        </w:rPr>
        <w:t xml:space="preserve"> </w:t>
      </w:r>
      <w:r>
        <w:rPr>
          <w:color w:val="231F20"/>
        </w:rPr>
        <w:t>that</w:t>
      </w:r>
      <w:r>
        <w:rPr>
          <w:color w:val="231F20"/>
          <w:spacing w:val="-15"/>
        </w:rPr>
        <w:t xml:space="preserve"> </w:t>
      </w:r>
      <w:r>
        <w:rPr>
          <w:color w:val="231F20"/>
        </w:rPr>
        <w:t>financial</w:t>
      </w:r>
      <w:r>
        <w:rPr>
          <w:color w:val="231F20"/>
          <w:spacing w:val="-15"/>
        </w:rPr>
        <w:t xml:space="preserve"> </w:t>
      </w:r>
      <w:r>
        <w:rPr>
          <w:color w:val="231F20"/>
        </w:rPr>
        <w:t>appropriations</w:t>
      </w:r>
      <w:r>
        <w:rPr>
          <w:color w:val="231F20"/>
          <w:spacing w:val="-15"/>
        </w:rPr>
        <w:t xml:space="preserve"> </w:t>
      </w:r>
      <w:r>
        <w:rPr>
          <w:color w:val="231F20"/>
        </w:rPr>
        <w:t>sourced</w:t>
      </w:r>
      <w:r>
        <w:rPr>
          <w:color w:val="231F20"/>
          <w:spacing w:val="-15"/>
        </w:rPr>
        <w:t xml:space="preserve"> </w:t>
      </w:r>
      <w:r>
        <w:rPr>
          <w:color w:val="231F20"/>
        </w:rPr>
        <w:t>from</w:t>
      </w:r>
      <w:r>
        <w:rPr>
          <w:color w:val="231F20"/>
          <w:spacing w:val="-15"/>
        </w:rPr>
        <w:t xml:space="preserve"> </w:t>
      </w:r>
      <w:r>
        <w:rPr>
          <w:color w:val="231F20"/>
        </w:rPr>
        <w:t>government</w:t>
      </w:r>
      <w:r>
        <w:rPr>
          <w:color w:val="231F20"/>
          <w:spacing w:val="-15"/>
        </w:rPr>
        <w:t xml:space="preserve"> </w:t>
      </w:r>
      <w:r>
        <w:rPr>
          <w:color w:val="231F20"/>
        </w:rPr>
        <w:t>allocations</w:t>
      </w:r>
      <w:r>
        <w:rPr>
          <w:color w:val="231F20"/>
          <w:spacing w:val="-15"/>
        </w:rPr>
        <w:t xml:space="preserve"> </w:t>
      </w:r>
      <w:r>
        <w:rPr>
          <w:color w:val="231F20"/>
        </w:rPr>
        <w:t>even</w:t>
      </w:r>
      <w:r>
        <w:rPr>
          <w:color w:val="231F20"/>
          <w:spacing w:val="-15"/>
        </w:rPr>
        <w:t xml:space="preserve"> </w:t>
      </w:r>
      <w:r>
        <w:rPr>
          <w:color w:val="231F20"/>
          <w:spacing w:val="-3"/>
        </w:rPr>
        <w:t xml:space="preserve">when </w:t>
      </w:r>
      <w:r>
        <w:rPr>
          <w:color w:val="231F20"/>
        </w:rPr>
        <w:t>increased</w:t>
      </w:r>
      <w:r>
        <w:rPr>
          <w:color w:val="231F20"/>
          <w:spacing w:val="-24"/>
        </w:rPr>
        <w:t xml:space="preserve"> </w:t>
      </w:r>
      <w:r>
        <w:rPr>
          <w:color w:val="231F20"/>
        </w:rPr>
        <w:t>from</w:t>
      </w:r>
      <w:r>
        <w:rPr>
          <w:color w:val="231F20"/>
          <w:spacing w:val="-23"/>
        </w:rPr>
        <w:t xml:space="preserve"> </w:t>
      </w:r>
      <w:r>
        <w:rPr>
          <w:color w:val="231F20"/>
        </w:rPr>
        <w:t>2%</w:t>
      </w:r>
      <w:r>
        <w:rPr>
          <w:color w:val="231F20"/>
          <w:spacing w:val="-23"/>
        </w:rPr>
        <w:t xml:space="preserve"> </w:t>
      </w:r>
      <w:r>
        <w:rPr>
          <w:color w:val="231F20"/>
        </w:rPr>
        <w:t>to</w:t>
      </w:r>
      <w:r>
        <w:rPr>
          <w:color w:val="231F20"/>
          <w:spacing w:val="-23"/>
        </w:rPr>
        <w:t xml:space="preserve"> </w:t>
      </w:r>
      <w:r>
        <w:rPr>
          <w:color w:val="231F20"/>
        </w:rPr>
        <w:t>6%</w:t>
      </w:r>
      <w:r>
        <w:rPr>
          <w:color w:val="231F20"/>
          <w:spacing w:val="-23"/>
        </w:rPr>
        <w:t xml:space="preserve"> </w:t>
      </w:r>
      <w:r>
        <w:rPr>
          <w:color w:val="231F20"/>
        </w:rPr>
        <w:t>by</w:t>
      </w:r>
      <w:r>
        <w:rPr>
          <w:color w:val="231F20"/>
          <w:spacing w:val="-23"/>
        </w:rPr>
        <w:t xml:space="preserve"> </w:t>
      </w:r>
      <w:r>
        <w:rPr>
          <w:color w:val="231F20"/>
        </w:rPr>
        <w:t>2022</w:t>
      </w:r>
      <w:r>
        <w:rPr>
          <w:color w:val="231F20"/>
          <w:spacing w:val="-23"/>
        </w:rPr>
        <w:t xml:space="preserve"> </w:t>
      </w:r>
      <w:r>
        <w:rPr>
          <w:color w:val="231F20"/>
        </w:rPr>
        <w:t>cannot</w:t>
      </w:r>
      <w:r>
        <w:rPr>
          <w:color w:val="231F20"/>
          <w:spacing w:val="-23"/>
        </w:rPr>
        <w:t xml:space="preserve"> </w:t>
      </w:r>
      <w:r>
        <w:rPr>
          <w:color w:val="231F20"/>
        </w:rPr>
        <w:t>fund</w:t>
      </w:r>
      <w:r>
        <w:rPr>
          <w:color w:val="231F20"/>
          <w:spacing w:val="-23"/>
        </w:rPr>
        <w:t xml:space="preserve"> </w:t>
      </w:r>
      <w:r>
        <w:rPr>
          <w:color w:val="231F20"/>
        </w:rPr>
        <w:t>the</w:t>
      </w:r>
      <w:r>
        <w:rPr>
          <w:color w:val="231F20"/>
          <w:spacing w:val="-23"/>
        </w:rPr>
        <w:t xml:space="preserve"> </w:t>
      </w:r>
      <w:r>
        <w:rPr>
          <w:color w:val="231F20"/>
        </w:rPr>
        <w:t>plan.</w:t>
      </w:r>
      <w:r>
        <w:rPr>
          <w:color w:val="231F20"/>
          <w:spacing w:val="-23"/>
        </w:rPr>
        <w:t xml:space="preserve"> </w:t>
      </w:r>
      <w:r>
        <w:rPr>
          <w:color w:val="231F20"/>
        </w:rPr>
        <w:t>Other</w:t>
      </w:r>
      <w:r>
        <w:rPr>
          <w:color w:val="231F20"/>
          <w:spacing w:val="-23"/>
        </w:rPr>
        <w:t xml:space="preserve"> </w:t>
      </w:r>
      <w:r>
        <w:rPr>
          <w:color w:val="231F20"/>
        </w:rPr>
        <w:t>sources</w:t>
      </w:r>
      <w:r>
        <w:rPr>
          <w:color w:val="231F20"/>
          <w:spacing w:val="-23"/>
        </w:rPr>
        <w:t xml:space="preserve"> </w:t>
      </w:r>
      <w:r>
        <w:rPr>
          <w:color w:val="231F20"/>
        </w:rPr>
        <w:t>of</w:t>
      </w:r>
      <w:r>
        <w:rPr>
          <w:color w:val="231F20"/>
          <w:spacing w:val="-23"/>
        </w:rPr>
        <w:t xml:space="preserve"> </w:t>
      </w:r>
      <w:r>
        <w:rPr>
          <w:color w:val="231F20"/>
        </w:rPr>
        <w:t>health</w:t>
      </w:r>
      <w:r>
        <w:rPr>
          <w:color w:val="231F20"/>
          <w:spacing w:val="-23"/>
        </w:rPr>
        <w:t xml:space="preserve"> </w:t>
      </w:r>
      <w:r>
        <w:rPr>
          <w:color w:val="231F20"/>
        </w:rPr>
        <w:t>financing</w:t>
      </w:r>
      <w:r>
        <w:rPr>
          <w:color w:val="231F20"/>
          <w:spacing w:val="-23"/>
        </w:rPr>
        <w:t xml:space="preserve"> </w:t>
      </w:r>
      <w:r>
        <w:rPr>
          <w:color w:val="231F20"/>
        </w:rPr>
        <w:t>have</w:t>
      </w:r>
      <w:r>
        <w:rPr>
          <w:color w:val="231F20"/>
          <w:spacing w:val="-23"/>
        </w:rPr>
        <w:t xml:space="preserve"> </w:t>
      </w:r>
      <w:r>
        <w:rPr>
          <w:color w:val="231F20"/>
        </w:rPr>
        <w:t>to</w:t>
      </w:r>
      <w:r>
        <w:rPr>
          <w:color w:val="231F20"/>
          <w:spacing w:val="-23"/>
        </w:rPr>
        <w:t xml:space="preserve"> </w:t>
      </w:r>
      <w:r>
        <w:rPr>
          <w:color w:val="231F20"/>
          <w:spacing w:val="-6"/>
        </w:rPr>
        <w:t xml:space="preserve">be </w:t>
      </w:r>
      <w:r>
        <w:rPr>
          <w:color w:val="231F20"/>
        </w:rPr>
        <w:t>explored</w:t>
      </w:r>
      <w:r>
        <w:rPr>
          <w:color w:val="231F20"/>
          <w:spacing w:val="-4"/>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bridge</w:t>
      </w:r>
      <w:r>
        <w:rPr>
          <w:color w:val="231F20"/>
          <w:spacing w:val="-3"/>
        </w:rPr>
        <w:t xml:space="preserve"> </w:t>
      </w:r>
      <w:r>
        <w:rPr>
          <w:color w:val="231F20"/>
        </w:rPr>
        <w:t>the</w:t>
      </w:r>
      <w:r>
        <w:rPr>
          <w:color w:val="231F20"/>
          <w:spacing w:val="-3"/>
        </w:rPr>
        <w:t xml:space="preserve"> </w:t>
      </w:r>
      <w:r>
        <w:rPr>
          <w:color w:val="231F20"/>
        </w:rPr>
        <w:t>gap</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which</w:t>
      </w:r>
      <w:r>
        <w:rPr>
          <w:color w:val="231F20"/>
          <w:spacing w:val="-3"/>
        </w:rPr>
        <w:t xml:space="preserve"> </w:t>
      </w:r>
      <w:r>
        <w:rPr>
          <w:color w:val="231F20"/>
        </w:rPr>
        <w:t>is</w:t>
      </w:r>
      <w:r>
        <w:rPr>
          <w:color w:val="231F20"/>
          <w:spacing w:val="-4"/>
        </w:rPr>
        <w:t xml:space="preserve"> </w:t>
      </w:r>
      <w:r>
        <w:rPr>
          <w:color w:val="231F20"/>
        </w:rPr>
        <w:t>to</w:t>
      </w:r>
      <w:r>
        <w:rPr>
          <w:color w:val="231F20"/>
          <w:spacing w:val="-3"/>
        </w:rPr>
        <w:t xml:space="preserve"> </w:t>
      </w:r>
      <w:r>
        <w:rPr>
          <w:color w:val="231F20"/>
        </w:rPr>
        <w:t>explore</w:t>
      </w:r>
      <w:r>
        <w:rPr>
          <w:color w:val="231F20"/>
          <w:spacing w:val="-3"/>
        </w:rPr>
        <w:t xml:space="preserve"> </w:t>
      </w:r>
      <w:r>
        <w:rPr>
          <w:color w:val="231F20"/>
        </w:rPr>
        <w:t>ways</w:t>
      </w:r>
      <w:r>
        <w:rPr>
          <w:color w:val="231F20"/>
          <w:spacing w:val="-3"/>
        </w:rPr>
        <w:t xml:space="preserve"> </w:t>
      </w:r>
      <w:r>
        <w:rPr>
          <w:color w:val="231F20"/>
        </w:rPr>
        <w:t>of</w:t>
      </w:r>
      <w:r>
        <w:rPr>
          <w:color w:val="231F20"/>
          <w:spacing w:val="-3"/>
        </w:rPr>
        <w:t xml:space="preserve"> </w:t>
      </w:r>
      <w:r>
        <w:rPr>
          <w:color w:val="231F20"/>
        </w:rPr>
        <w:t>increasing</w:t>
      </w:r>
      <w:r>
        <w:rPr>
          <w:color w:val="231F20"/>
          <w:spacing w:val="-3"/>
        </w:rPr>
        <w:t xml:space="preserve"> </w:t>
      </w:r>
      <w:r>
        <w:rPr>
          <w:color w:val="231F20"/>
        </w:rPr>
        <w:t>SHIS</w:t>
      </w:r>
      <w:r>
        <w:rPr>
          <w:color w:val="231F20"/>
          <w:spacing w:val="-3"/>
        </w:rPr>
        <w:t xml:space="preserve"> </w:t>
      </w:r>
      <w:r>
        <w:rPr>
          <w:color w:val="231F20"/>
        </w:rPr>
        <w:t>subscriber base</w:t>
      </w:r>
      <w:r>
        <w:rPr>
          <w:color w:val="231F20"/>
          <w:spacing w:val="-17"/>
        </w:rPr>
        <w:t xml:space="preserve"> </w:t>
      </w:r>
      <w:r>
        <w:rPr>
          <w:color w:val="231F20"/>
        </w:rPr>
        <w:t>to</w:t>
      </w:r>
      <w:r>
        <w:rPr>
          <w:color w:val="231F20"/>
          <w:spacing w:val="-17"/>
        </w:rPr>
        <w:t xml:space="preserve"> </w:t>
      </w:r>
      <w:r>
        <w:rPr>
          <w:color w:val="231F20"/>
        </w:rPr>
        <w:t>significantly</w:t>
      </w:r>
      <w:r>
        <w:rPr>
          <w:color w:val="231F20"/>
          <w:spacing w:val="-16"/>
        </w:rPr>
        <w:t xml:space="preserve"> </w:t>
      </w:r>
      <w:r>
        <w:rPr>
          <w:color w:val="231F20"/>
        </w:rPr>
        <w:t>reduce</w:t>
      </w:r>
      <w:r>
        <w:rPr>
          <w:color w:val="231F20"/>
          <w:spacing w:val="-17"/>
        </w:rPr>
        <w:t xml:space="preserve"> </w:t>
      </w:r>
      <w:r>
        <w:rPr>
          <w:color w:val="231F20"/>
        </w:rPr>
        <w:t>the</w:t>
      </w:r>
      <w:r>
        <w:rPr>
          <w:color w:val="231F20"/>
          <w:spacing w:val="-17"/>
        </w:rPr>
        <w:t xml:space="preserve"> </w:t>
      </w:r>
      <w:r>
        <w:rPr>
          <w:color w:val="231F20"/>
        </w:rPr>
        <w:t>gap.</w:t>
      </w:r>
      <w:r>
        <w:rPr>
          <w:color w:val="231F20"/>
          <w:spacing w:val="-21"/>
        </w:rPr>
        <w:t xml:space="preserve"> </w:t>
      </w:r>
      <w:r>
        <w:rPr>
          <w:color w:val="231F20"/>
          <w:spacing w:val="-5"/>
        </w:rPr>
        <w:t>Taking</w:t>
      </w:r>
      <w:r>
        <w:rPr>
          <w:color w:val="231F20"/>
          <w:spacing w:val="-16"/>
        </w:rPr>
        <w:t xml:space="preserve"> </w:t>
      </w:r>
      <w:r>
        <w:rPr>
          <w:color w:val="231F20"/>
        </w:rPr>
        <w:t>into</w:t>
      </w:r>
      <w:r>
        <w:rPr>
          <w:color w:val="231F20"/>
          <w:spacing w:val="-17"/>
        </w:rPr>
        <w:t xml:space="preserve"> </w:t>
      </w:r>
      <w:r>
        <w:rPr>
          <w:color w:val="231F20"/>
        </w:rPr>
        <w:t>consideration</w:t>
      </w:r>
      <w:r>
        <w:rPr>
          <w:color w:val="231F20"/>
          <w:spacing w:val="-17"/>
        </w:rPr>
        <w:t xml:space="preserve"> </w:t>
      </w:r>
      <w:r>
        <w:rPr>
          <w:color w:val="231F20"/>
        </w:rPr>
        <w:t>the</w:t>
      </w:r>
      <w:r>
        <w:rPr>
          <w:color w:val="231F20"/>
          <w:spacing w:val="-16"/>
        </w:rPr>
        <w:t xml:space="preserve"> </w:t>
      </w:r>
      <w:r>
        <w:rPr>
          <w:color w:val="231F20"/>
        </w:rPr>
        <w:t>cost</w:t>
      </w:r>
      <w:r>
        <w:rPr>
          <w:color w:val="231F20"/>
          <w:spacing w:val="-17"/>
        </w:rPr>
        <w:t xml:space="preserve"> </w:t>
      </w:r>
      <w:r>
        <w:rPr>
          <w:color w:val="231F20"/>
        </w:rPr>
        <w:t>of</w:t>
      </w:r>
      <w:r>
        <w:rPr>
          <w:color w:val="231F20"/>
          <w:spacing w:val="-17"/>
        </w:rPr>
        <w:t xml:space="preserve"> </w:t>
      </w:r>
      <w:r>
        <w:rPr>
          <w:color w:val="231F20"/>
        </w:rPr>
        <w:t>plan</w:t>
      </w:r>
      <w:r>
        <w:rPr>
          <w:color w:val="231F20"/>
          <w:spacing w:val="-16"/>
        </w:rPr>
        <w:t xml:space="preserve"> </w:t>
      </w:r>
      <w:r>
        <w:rPr>
          <w:color w:val="231F20"/>
        </w:rPr>
        <w:t>and</w:t>
      </w:r>
      <w:r>
        <w:rPr>
          <w:color w:val="231F20"/>
          <w:spacing w:val="-17"/>
        </w:rPr>
        <w:t xml:space="preserve"> </w:t>
      </w:r>
      <w:r>
        <w:rPr>
          <w:color w:val="231F20"/>
        </w:rPr>
        <w:t>resource</w:t>
      </w:r>
      <w:r>
        <w:rPr>
          <w:color w:val="231F20"/>
          <w:spacing w:val="-17"/>
        </w:rPr>
        <w:t xml:space="preserve"> </w:t>
      </w:r>
      <w:r>
        <w:rPr>
          <w:color w:val="231F20"/>
        </w:rPr>
        <w:t>gaps</w:t>
      </w:r>
      <w:r>
        <w:rPr>
          <w:color w:val="231F20"/>
          <w:spacing w:val="-16"/>
        </w:rPr>
        <w:t xml:space="preserve"> </w:t>
      </w:r>
      <w:r>
        <w:rPr>
          <w:color w:val="231F20"/>
          <w:spacing w:val="-8"/>
        </w:rPr>
        <w:t xml:space="preserve">in </w:t>
      </w:r>
      <w:r>
        <w:rPr>
          <w:color w:val="231F20"/>
        </w:rPr>
        <w:t>both</w:t>
      </w:r>
      <w:r>
        <w:rPr>
          <w:color w:val="231F20"/>
          <w:spacing w:val="-17"/>
        </w:rPr>
        <w:t xml:space="preserve"> </w:t>
      </w:r>
      <w:r>
        <w:rPr>
          <w:color w:val="231F20"/>
        </w:rPr>
        <w:t>scenarios,</w:t>
      </w:r>
      <w:r>
        <w:rPr>
          <w:color w:val="231F20"/>
          <w:spacing w:val="-16"/>
        </w:rPr>
        <w:t xml:space="preserve"> </w:t>
      </w:r>
      <w:r>
        <w:rPr>
          <w:color w:val="231F20"/>
        </w:rPr>
        <w:t>the</w:t>
      </w:r>
      <w:r>
        <w:rPr>
          <w:color w:val="231F20"/>
          <w:spacing w:val="-16"/>
        </w:rPr>
        <w:t xml:space="preserve"> </w:t>
      </w:r>
      <w:r>
        <w:rPr>
          <w:color w:val="231F20"/>
        </w:rPr>
        <w:t>Rivers</w:t>
      </w:r>
      <w:r>
        <w:rPr>
          <w:color w:val="231F20"/>
          <w:spacing w:val="-16"/>
        </w:rPr>
        <w:t xml:space="preserve"> </w:t>
      </w:r>
      <w:r>
        <w:rPr>
          <w:color w:val="231F20"/>
        </w:rPr>
        <w:t>SSHDP</w:t>
      </w:r>
      <w:r>
        <w:rPr>
          <w:color w:val="231F20"/>
          <w:spacing w:val="-20"/>
        </w:rPr>
        <w:t xml:space="preserve"> </w:t>
      </w:r>
      <w:r>
        <w:rPr>
          <w:color w:val="231F20"/>
        </w:rPr>
        <w:t>II</w:t>
      </w:r>
      <w:r>
        <w:rPr>
          <w:color w:val="231F20"/>
          <w:spacing w:val="-16"/>
        </w:rPr>
        <w:t xml:space="preserve"> </w:t>
      </w:r>
      <w:r>
        <w:rPr>
          <w:color w:val="231F20"/>
        </w:rPr>
        <w:t>Essential</w:t>
      </w:r>
      <w:r>
        <w:rPr>
          <w:color w:val="231F20"/>
          <w:spacing w:val="-16"/>
        </w:rPr>
        <w:t xml:space="preserve"> </w:t>
      </w:r>
      <w:r>
        <w:rPr>
          <w:color w:val="231F20"/>
        </w:rPr>
        <w:t>Service</w:t>
      </w:r>
      <w:r>
        <w:rPr>
          <w:color w:val="231F20"/>
          <w:spacing w:val="-16"/>
        </w:rPr>
        <w:t xml:space="preserve"> </w:t>
      </w:r>
      <w:r>
        <w:rPr>
          <w:color w:val="231F20"/>
        </w:rPr>
        <w:t>Moderate</w:t>
      </w:r>
      <w:r>
        <w:rPr>
          <w:color w:val="231F20"/>
          <w:spacing w:val="-16"/>
        </w:rPr>
        <w:t xml:space="preserve"> </w:t>
      </w:r>
      <w:r>
        <w:rPr>
          <w:color w:val="231F20"/>
        </w:rPr>
        <w:t>Scenario</w:t>
      </w:r>
      <w:r>
        <w:rPr>
          <w:color w:val="231F20"/>
          <w:spacing w:val="-15"/>
        </w:rPr>
        <w:t xml:space="preserve"> </w:t>
      </w:r>
      <w:r>
        <w:rPr>
          <w:color w:val="231F20"/>
        </w:rPr>
        <w:t>has</w:t>
      </w:r>
      <w:r>
        <w:rPr>
          <w:color w:val="231F20"/>
          <w:spacing w:val="-17"/>
        </w:rPr>
        <w:t xml:space="preserve"> </w:t>
      </w:r>
      <w:r>
        <w:rPr>
          <w:color w:val="231F20"/>
        </w:rPr>
        <w:t>been</w:t>
      </w:r>
      <w:r>
        <w:rPr>
          <w:color w:val="231F20"/>
          <w:spacing w:val="-16"/>
        </w:rPr>
        <w:t xml:space="preserve"> </w:t>
      </w:r>
      <w:r>
        <w:rPr>
          <w:color w:val="231F20"/>
        </w:rPr>
        <w:t>proposed</w:t>
      </w:r>
      <w:r>
        <w:rPr>
          <w:color w:val="231F20"/>
          <w:spacing w:val="-15"/>
        </w:rPr>
        <w:t xml:space="preserve"> </w:t>
      </w:r>
      <w:r>
        <w:rPr>
          <w:color w:val="231F20"/>
        </w:rPr>
        <w:t>and adopted</w:t>
      </w:r>
      <w:r>
        <w:rPr>
          <w:color w:val="231F20"/>
          <w:spacing w:val="-25"/>
        </w:rPr>
        <w:t xml:space="preserve"> </w:t>
      </w:r>
      <w:r>
        <w:rPr>
          <w:color w:val="231F20"/>
        </w:rPr>
        <w:t>as</w:t>
      </w:r>
      <w:r>
        <w:rPr>
          <w:color w:val="231F20"/>
          <w:spacing w:val="-26"/>
        </w:rPr>
        <w:t xml:space="preserve"> </w:t>
      </w:r>
      <w:r>
        <w:rPr>
          <w:color w:val="231F20"/>
        </w:rPr>
        <w:t>the</w:t>
      </w:r>
      <w:r>
        <w:rPr>
          <w:color w:val="231F20"/>
          <w:spacing w:val="-25"/>
        </w:rPr>
        <w:t xml:space="preserve"> </w:t>
      </w:r>
      <w:r>
        <w:rPr>
          <w:color w:val="231F20"/>
        </w:rPr>
        <w:t>most</w:t>
      </w:r>
      <w:r>
        <w:rPr>
          <w:color w:val="231F20"/>
          <w:spacing w:val="-25"/>
        </w:rPr>
        <w:t xml:space="preserve"> </w:t>
      </w:r>
      <w:r>
        <w:rPr>
          <w:color w:val="231F20"/>
        </w:rPr>
        <w:t>feasible</w:t>
      </w:r>
      <w:r>
        <w:rPr>
          <w:color w:val="231F20"/>
          <w:spacing w:val="-25"/>
        </w:rPr>
        <w:t xml:space="preserve"> </w:t>
      </w:r>
      <w:r>
        <w:rPr>
          <w:color w:val="231F20"/>
        </w:rPr>
        <w:t>scenario</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Rivers</w:t>
      </w:r>
      <w:r>
        <w:rPr>
          <w:color w:val="231F20"/>
          <w:spacing w:val="-25"/>
        </w:rPr>
        <w:t xml:space="preserve"> </w:t>
      </w:r>
      <w:r>
        <w:rPr>
          <w:color w:val="231F20"/>
        </w:rPr>
        <w:t>State</w:t>
      </w:r>
      <w:r>
        <w:rPr>
          <w:color w:val="231F20"/>
          <w:spacing w:val="-25"/>
        </w:rPr>
        <w:t xml:space="preserve"> </w:t>
      </w:r>
      <w:r>
        <w:rPr>
          <w:color w:val="231F20"/>
        </w:rPr>
        <w:t>government.</w:t>
      </w:r>
    </w:p>
    <w:p w14:paraId="5042FA5F" w14:textId="77777777" w:rsidR="009948F1" w:rsidRDefault="009948F1">
      <w:pPr>
        <w:pStyle w:val="BodyText"/>
        <w:spacing w:before="1"/>
        <w:rPr>
          <w:sz w:val="21"/>
        </w:rPr>
      </w:pPr>
    </w:p>
    <w:p w14:paraId="348BEFC5" w14:textId="77777777" w:rsidR="009948F1" w:rsidRDefault="00BC0563">
      <w:pPr>
        <w:pStyle w:val="Heading7"/>
        <w:numPr>
          <w:ilvl w:val="1"/>
          <w:numId w:val="255"/>
        </w:numPr>
        <w:tabs>
          <w:tab w:val="left" w:pos="863"/>
        </w:tabs>
        <w:spacing w:line="249" w:lineRule="exact"/>
        <w:ind w:left="862" w:hanging="721"/>
        <w:jc w:val="both"/>
      </w:pPr>
      <w:bookmarkStart w:id="134" w:name="_TOC_250007"/>
      <w:r>
        <w:rPr>
          <w:color w:val="231F20"/>
        </w:rPr>
        <w:t>Bridging</w:t>
      </w:r>
      <w:r>
        <w:rPr>
          <w:color w:val="231F20"/>
          <w:spacing w:val="-25"/>
        </w:rPr>
        <w:t xml:space="preserve"> </w:t>
      </w:r>
      <w:r>
        <w:rPr>
          <w:color w:val="231F20"/>
        </w:rPr>
        <w:t>the</w:t>
      </w:r>
      <w:r>
        <w:rPr>
          <w:color w:val="231F20"/>
          <w:spacing w:val="-25"/>
        </w:rPr>
        <w:t xml:space="preserve"> </w:t>
      </w:r>
      <w:r>
        <w:rPr>
          <w:color w:val="231F20"/>
        </w:rPr>
        <w:t>Resource</w:t>
      </w:r>
      <w:r>
        <w:rPr>
          <w:color w:val="231F20"/>
          <w:spacing w:val="-25"/>
        </w:rPr>
        <w:t xml:space="preserve"> </w:t>
      </w:r>
      <w:bookmarkEnd w:id="134"/>
      <w:r>
        <w:rPr>
          <w:color w:val="231F20"/>
        </w:rPr>
        <w:t>Gap</w:t>
      </w:r>
    </w:p>
    <w:p w14:paraId="777A2990" w14:textId="6202ED9A" w:rsidR="009948F1" w:rsidRDefault="00BC0563">
      <w:pPr>
        <w:pStyle w:val="BodyText"/>
        <w:spacing w:before="3" w:line="232" w:lineRule="auto"/>
        <w:ind w:left="141" w:right="174"/>
        <w:jc w:val="both"/>
      </w:pPr>
      <w:r>
        <w:rPr>
          <w:color w:val="231F20"/>
        </w:rPr>
        <w:t>With the adoption of the Moderate scenario as the cost of the strategy, mobilizing sufficient resources</w:t>
      </w:r>
      <w:r>
        <w:rPr>
          <w:color w:val="231F20"/>
          <w:spacing w:val="-8"/>
        </w:rPr>
        <w:t xml:space="preserve"> </w:t>
      </w:r>
      <w:r>
        <w:rPr>
          <w:color w:val="231F20"/>
        </w:rPr>
        <w:t>for</w:t>
      </w:r>
      <w:r>
        <w:rPr>
          <w:color w:val="231F20"/>
          <w:spacing w:val="-7"/>
        </w:rPr>
        <w:t xml:space="preserve"> </w:t>
      </w:r>
      <w:r>
        <w:rPr>
          <w:color w:val="231F20"/>
        </w:rPr>
        <w:t>its</w:t>
      </w:r>
      <w:r>
        <w:rPr>
          <w:color w:val="231F20"/>
          <w:spacing w:val="-7"/>
        </w:rPr>
        <w:t xml:space="preserve"> </w:t>
      </w:r>
      <w:r>
        <w:rPr>
          <w:color w:val="231F20"/>
        </w:rPr>
        <w:t>implementation</w:t>
      </w:r>
      <w:r>
        <w:rPr>
          <w:color w:val="231F20"/>
          <w:spacing w:val="-7"/>
        </w:rPr>
        <w:t xml:space="preserve"> </w:t>
      </w:r>
      <w:r>
        <w:rPr>
          <w:color w:val="231F20"/>
        </w:rPr>
        <w:t>becomes</w:t>
      </w:r>
      <w:r>
        <w:rPr>
          <w:color w:val="231F20"/>
          <w:spacing w:val="-7"/>
        </w:rPr>
        <w:t xml:space="preserve"> </w:t>
      </w:r>
      <w:r>
        <w:rPr>
          <w:color w:val="231F20"/>
        </w:rPr>
        <w:t>imperative.</w:t>
      </w:r>
      <w:r>
        <w:rPr>
          <w:color w:val="231F20"/>
          <w:spacing w:val="-19"/>
        </w:rPr>
        <w:t xml:space="preserve"> </w:t>
      </w:r>
      <w:r>
        <w:rPr>
          <w:color w:val="231F20"/>
        </w:rPr>
        <w:t>A</w:t>
      </w:r>
      <w:r>
        <w:rPr>
          <w:color w:val="231F20"/>
          <w:spacing w:val="-19"/>
        </w:rPr>
        <w:t xml:space="preserve"> </w:t>
      </w:r>
      <w:r>
        <w:rPr>
          <w:color w:val="231F20"/>
        </w:rPr>
        <w:t>starting</w:t>
      </w:r>
      <w:r>
        <w:rPr>
          <w:color w:val="231F20"/>
          <w:spacing w:val="-7"/>
        </w:rPr>
        <w:t xml:space="preserve"> </w:t>
      </w:r>
      <w:r>
        <w:rPr>
          <w:color w:val="231F20"/>
        </w:rPr>
        <w:t>point</w:t>
      </w:r>
      <w:r>
        <w:rPr>
          <w:color w:val="231F20"/>
          <w:spacing w:val="-7"/>
        </w:rPr>
        <w:t xml:space="preserve"> </w:t>
      </w:r>
      <w:r>
        <w:rPr>
          <w:color w:val="231F20"/>
        </w:rPr>
        <w:t>would</w:t>
      </w:r>
      <w:r>
        <w:rPr>
          <w:color w:val="231F20"/>
          <w:spacing w:val="-7"/>
        </w:rPr>
        <w:t xml:space="preserve"> </w:t>
      </w:r>
      <w:r>
        <w:rPr>
          <w:color w:val="231F20"/>
        </w:rPr>
        <w:t>be</w:t>
      </w:r>
      <w:r>
        <w:rPr>
          <w:color w:val="231F20"/>
          <w:spacing w:val="-7"/>
        </w:rPr>
        <w:t xml:space="preserve"> </w:t>
      </w:r>
      <w:r>
        <w:rPr>
          <w:color w:val="231F20"/>
        </w:rPr>
        <w:t>to</w:t>
      </w:r>
      <w:r>
        <w:rPr>
          <w:color w:val="231F20"/>
          <w:spacing w:val="-7"/>
        </w:rPr>
        <w:t xml:space="preserve"> </w:t>
      </w:r>
      <w:r>
        <w:rPr>
          <w:color w:val="231F20"/>
        </w:rPr>
        <w:t>advocate</w:t>
      </w:r>
      <w:r>
        <w:rPr>
          <w:color w:val="231F20"/>
          <w:spacing w:val="-8"/>
        </w:rPr>
        <w:t xml:space="preserve"> </w:t>
      </w:r>
      <w:r>
        <w:rPr>
          <w:color w:val="231F20"/>
        </w:rPr>
        <w:t>for</w:t>
      </w:r>
      <w:r>
        <w:rPr>
          <w:color w:val="231F20"/>
          <w:spacing w:val="-7"/>
        </w:rPr>
        <w:t xml:space="preserve"> </w:t>
      </w:r>
      <w:r>
        <w:rPr>
          <w:color w:val="231F20"/>
        </w:rPr>
        <w:t>an increase</w:t>
      </w:r>
      <w:r>
        <w:rPr>
          <w:color w:val="231F20"/>
          <w:spacing w:val="-9"/>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State's</w:t>
      </w:r>
      <w:r>
        <w:rPr>
          <w:color w:val="231F20"/>
          <w:spacing w:val="-8"/>
        </w:rPr>
        <w:t xml:space="preserve"> </w:t>
      </w:r>
      <w:r>
        <w:rPr>
          <w:color w:val="231F20"/>
        </w:rPr>
        <w:t>government's</w:t>
      </w:r>
      <w:r>
        <w:rPr>
          <w:color w:val="231F20"/>
          <w:spacing w:val="-8"/>
        </w:rPr>
        <w:t xml:space="preserve"> </w:t>
      </w:r>
      <w:r>
        <w:rPr>
          <w:color w:val="231F20"/>
        </w:rPr>
        <w:t>allocation</w:t>
      </w:r>
      <w:r>
        <w:rPr>
          <w:color w:val="231F20"/>
          <w:spacing w:val="-8"/>
        </w:rPr>
        <w:t xml:space="preserve"> </w:t>
      </w:r>
      <w:r>
        <w:rPr>
          <w:color w:val="231F20"/>
        </w:rPr>
        <w:t>to</w:t>
      </w:r>
      <w:r>
        <w:rPr>
          <w:color w:val="231F20"/>
          <w:spacing w:val="-8"/>
        </w:rPr>
        <w:t xml:space="preserve"> </w:t>
      </w:r>
      <w:r>
        <w:rPr>
          <w:color w:val="231F20"/>
        </w:rPr>
        <w:t>health</w:t>
      </w:r>
      <w:r>
        <w:rPr>
          <w:color w:val="231F20"/>
          <w:spacing w:val="-8"/>
        </w:rPr>
        <w:t xml:space="preserve"> </w:t>
      </w:r>
      <w:r>
        <w:rPr>
          <w:color w:val="231F20"/>
        </w:rPr>
        <w:t>which</w:t>
      </w:r>
      <w:r>
        <w:rPr>
          <w:color w:val="231F20"/>
          <w:spacing w:val="-8"/>
        </w:rPr>
        <w:t xml:space="preserve"> </w:t>
      </w:r>
      <w:r>
        <w:rPr>
          <w:color w:val="231F20"/>
        </w:rPr>
        <w:t>currently</w:t>
      </w:r>
      <w:r>
        <w:rPr>
          <w:color w:val="231F20"/>
          <w:spacing w:val="-8"/>
        </w:rPr>
        <w:t xml:space="preserve"> </w:t>
      </w:r>
      <w:r>
        <w:rPr>
          <w:color w:val="231F20"/>
        </w:rPr>
        <w:t>stands</w:t>
      </w:r>
      <w:r>
        <w:rPr>
          <w:color w:val="231F20"/>
          <w:spacing w:val="-8"/>
        </w:rPr>
        <w:t xml:space="preserve"> </w:t>
      </w:r>
      <w:r>
        <w:rPr>
          <w:color w:val="231F20"/>
        </w:rPr>
        <w:t>at</w:t>
      </w:r>
      <w:r>
        <w:rPr>
          <w:color w:val="231F20"/>
          <w:spacing w:val="-9"/>
        </w:rPr>
        <w:t xml:space="preserve"> </w:t>
      </w:r>
      <w:r>
        <w:rPr>
          <w:color w:val="231F20"/>
        </w:rPr>
        <w:t>2%</w:t>
      </w:r>
      <w:r>
        <w:rPr>
          <w:color w:val="231F20"/>
          <w:spacing w:val="-8"/>
        </w:rPr>
        <w:t xml:space="preserve"> </w:t>
      </w:r>
      <w:r>
        <w:rPr>
          <w:color w:val="231F20"/>
        </w:rPr>
        <w:t>towards</w:t>
      </w:r>
      <w:r>
        <w:rPr>
          <w:color w:val="231F20"/>
          <w:spacing w:val="-8"/>
        </w:rPr>
        <w:t xml:space="preserve"> </w:t>
      </w:r>
      <w:r>
        <w:rPr>
          <w:color w:val="231F20"/>
        </w:rPr>
        <w:t>the attainment of the 15% benchmark. While it is understood that government's allocation may not sufficiently address the funding need of the strategy, the large share of out-of-pocket payments reported</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national</w:t>
      </w:r>
      <w:r>
        <w:rPr>
          <w:color w:val="231F20"/>
          <w:spacing w:val="-11"/>
        </w:rPr>
        <w:t xml:space="preserve"> </w:t>
      </w:r>
      <w:r>
        <w:rPr>
          <w:color w:val="231F20"/>
        </w:rPr>
        <w:t>and</w:t>
      </w:r>
      <w:r>
        <w:rPr>
          <w:color w:val="231F20"/>
          <w:spacing w:val="-11"/>
        </w:rPr>
        <w:t xml:space="preserve"> </w:t>
      </w:r>
      <w:r>
        <w:rPr>
          <w:color w:val="231F20"/>
        </w:rPr>
        <w:t>sub-national</w:t>
      </w:r>
      <w:r>
        <w:rPr>
          <w:color w:val="231F20"/>
          <w:spacing w:val="-11"/>
        </w:rPr>
        <w:t xml:space="preserve"> </w:t>
      </w:r>
      <w:r>
        <w:rPr>
          <w:color w:val="231F20"/>
        </w:rPr>
        <w:t>health</w:t>
      </w:r>
      <w:r>
        <w:rPr>
          <w:color w:val="231F20"/>
          <w:spacing w:val="-11"/>
        </w:rPr>
        <w:t xml:space="preserve"> </w:t>
      </w:r>
      <w:r>
        <w:rPr>
          <w:color w:val="231F20"/>
        </w:rPr>
        <w:t>accounts</w:t>
      </w:r>
      <w:r>
        <w:rPr>
          <w:color w:val="231F20"/>
          <w:spacing w:val="-11"/>
        </w:rPr>
        <w:t xml:space="preserve"> </w:t>
      </w:r>
      <w:r>
        <w:rPr>
          <w:color w:val="231F20"/>
        </w:rPr>
        <w:t>is</w:t>
      </w:r>
      <w:r>
        <w:rPr>
          <w:color w:val="231F20"/>
          <w:spacing w:val="-11"/>
        </w:rPr>
        <w:t xml:space="preserve"> </w:t>
      </w:r>
      <w:r>
        <w:rPr>
          <w:color w:val="231F20"/>
        </w:rPr>
        <w:t>equally</w:t>
      </w:r>
      <w:r>
        <w:rPr>
          <w:color w:val="231F20"/>
          <w:spacing w:val="-11"/>
        </w:rPr>
        <w:t xml:space="preserve"> </w:t>
      </w:r>
      <w:r>
        <w:rPr>
          <w:color w:val="231F20"/>
        </w:rPr>
        <w:t>unacceptable,</w:t>
      </w:r>
      <w:r>
        <w:rPr>
          <w:color w:val="231F20"/>
          <w:spacing w:val="-11"/>
        </w:rPr>
        <w:t xml:space="preserve"> </w:t>
      </w:r>
      <w:r>
        <w:rPr>
          <w:color w:val="231F20"/>
        </w:rPr>
        <w:t>especially</w:t>
      </w:r>
      <w:r>
        <w:rPr>
          <w:color w:val="231F20"/>
          <w:spacing w:val="-11"/>
        </w:rPr>
        <w:t xml:space="preserve"> </w:t>
      </w:r>
      <w:r>
        <w:rPr>
          <w:color w:val="231F20"/>
        </w:rPr>
        <w:t>as</w:t>
      </w:r>
      <w:r>
        <w:rPr>
          <w:color w:val="231F20"/>
          <w:spacing w:val="-11"/>
        </w:rPr>
        <w:t xml:space="preserve"> </w:t>
      </w:r>
      <w:r>
        <w:rPr>
          <w:color w:val="231F20"/>
          <w:spacing w:val="-7"/>
        </w:rPr>
        <w:t xml:space="preserve">it </w:t>
      </w:r>
      <w:r>
        <w:rPr>
          <w:color w:val="231F20"/>
        </w:rPr>
        <w:t xml:space="preserve">exacerbates the financial risk of beneficiaries to health services. Consequently, adopting pooled and prepaid private financing presents the much-desired opportunity to mobilize adequate resource, as well as reduce the burden of the out-of-pocket payments to finance the strategy. </w:t>
      </w:r>
      <w:r>
        <w:rPr>
          <w:color w:val="231F20"/>
          <w:spacing w:val="-6"/>
        </w:rPr>
        <w:t xml:space="preserve">As </w:t>
      </w:r>
      <w:r>
        <w:rPr>
          <w:color w:val="231F20"/>
        </w:rPr>
        <w:t xml:space="preserve">states undertake to implement the SSHDP II plan, additional resource can be mobilized from the social health insurance scheme. States are expected to contribute between 0.5 - 1% of their </w:t>
      </w:r>
      <w:r>
        <w:rPr>
          <w:color w:val="231F20"/>
          <w:spacing w:val="9"/>
        </w:rPr>
        <w:t xml:space="preserve">Consolidated </w:t>
      </w:r>
      <w:r>
        <w:rPr>
          <w:color w:val="231F20"/>
          <w:spacing w:val="8"/>
        </w:rPr>
        <w:t xml:space="preserve">Revenue </w:t>
      </w:r>
      <w:r>
        <w:rPr>
          <w:color w:val="231F20"/>
          <w:spacing w:val="7"/>
        </w:rPr>
        <w:t xml:space="preserve">Fund </w:t>
      </w:r>
      <w:r>
        <w:rPr>
          <w:color w:val="231F20"/>
          <w:spacing w:val="8"/>
        </w:rPr>
        <w:t xml:space="preserve">(CRF) </w:t>
      </w:r>
      <w:r>
        <w:rPr>
          <w:color w:val="231F20"/>
          <w:spacing w:val="5"/>
        </w:rPr>
        <w:t xml:space="preserve">as </w:t>
      </w:r>
      <w:r>
        <w:rPr>
          <w:color w:val="231F20"/>
          <w:spacing w:val="8"/>
        </w:rPr>
        <w:t xml:space="preserve">statutory </w:t>
      </w:r>
      <w:r>
        <w:rPr>
          <w:color w:val="231F20"/>
          <w:spacing w:val="9"/>
        </w:rPr>
        <w:t xml:space="preserve">allocation </w:t>
      </w:r>
      <w:r>
        <w:rPr>
          <w:color w:val="231F20"/>
          <w:spacing w:val="5"/>
        </w:rPr>
        <w:t xml:space="preserve">to </w:t>
      </w:r>
      <w:r w:rsidR="00C84576">
        <w:rPr>
          <w:color w:val="231F20"/>
          <w:spacing w:val="6"/>
        </w:rPr>
        <w:t xml:space="preserve">the </w:t>
      </w:r>
      <w:r>
        <w:rPr>
          <w:color w:val="231F20"/>
          <w:spacing w:val="8"/>
        </w:rPr>
        <w:t xml:space="preserve">State </w:t>
      </w:r>
      <w:r>
        <w:rPr>
          <w:color w:val="231F20"/>
          <w:spacing w:val="6"/>
        </w:rPr>
        <w:t xml:space="preserve">Health </w:t>
      </w:r>
      <w:r>
        <w:rPr>
          <w:color w:val="231F20"/>
        </w:rPr>
        <w:t>Insurance/Contributory Scheme, while growing the subscriber base. Another domestic resource, potentially</w:t>
      </w:r>
      <w:r>
        <w:rPr>
          <w:color w:val="231F20"/>
          <w:spacing w:val="-8"/>
        </w:rPr>
        <w:t xml:space="preserve"> </w:t>
      </w:r>
      <w:r>
        <w:rPr>
          <w:color w:val="231F20"/>
        </w:rPr>
        <w:t>available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36</w:t>
      </w:r>
      <w:r>
        <w:rPr>
          <w:color w:val="231F20"/>
          <w:spacing w:val="-7"/>
        </w:rPr>
        <w:t xml:space="preserve"> </w:t>
      </w:r>
      <w:r>
        <w:rPr>
          <w:color w:val="231F20"/>
        </w:rPr>
        <w:t>States</w:t>
      </w:r>
      <w:r>
        <w:rPr>
          <w:color w:val="231F20"/>
          <w:spacing w:val="-7"/>
        </w:rPr>
        <w:t xml:space="preserve"> </w:t>
      </w:r>
      <w:r>
        <w:rPr>
          <w:color w:val="231F20"/>
        </w:rPr>
        <w:t>and</w:t>
      </w:r>
      <w:r>
        <w:rPr>
          <w:color w:val="231F20"/>
          <w:spacing w:val="-7"/>
        </w:rPr>
        <w:t xml:space="preserve"> </w:t>
      </w:r>
      <w:r>
        <w:rPr>
          <w:color w:val="231F20"/>
        </w:rPr>
        <w:t>FCT</w:t>
      </w:r>
      <w:r>
        <w:rPr>
          <w:color w:val="231F20"/>
          <w:spacing w:val="-11"/>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allocation</w:t>
      </w:r>
      <w:r>
        <w:rPr>
          <w:color w:val="231F20"/>
          <w:spacing w:val="-7"/>
        </w:rPr>
        <w:t xml:space="preserve"> </w:t>
      </w:r>
      <w:r>
        <w:rPr>
          <w:color w:val="231F20"/>
        </w:rPr>
        <w:t>from</w:t>
      </w:r>
      <w:r>
        <w:rPr>
          <w:color w:val="231F20"/>
          <w:spacing w:val="-8"/>
        </w:rPr>
        <w:t xml:space="preserve"> </w:t>
      </w:r>
      <w:r>
        <w:rPr>
          <w:color w:val="231F20"/>
        </w:rPr>
        <w:t>the</w:t>
      </w:r>
      <w:r>
        <w:rPr>
          <w:color w:val="231F20"/>
          <w:spacing w:val="-7"/>
        </w:rPr>
        <w:t xml:space="preserve"> </w:t>
      </w:r>
      <w:r>
        <w:rPr>
          <w:color w:val="231F20"/>
        </w:rPr>
        <w:t>basic</w:t>
      </w:r>
      <w:r>
        <w:rPr>
          <w:color w:val="231F20"/>
          <w:spacing w:val="-7"/>
        </w:rPr>
        <w:t xml:space="preserve"> </w:t>
      </w:r>
      <w:r>
        <w:rPr>
          <w:color w:val="231F20"/>
        </w:rPr>
        <w:t>healthcare</w:t>
      </w:r>
      <w:r>
        <w:rPr>
          <w:color w:val="231F20"/>
          <w:spacing w:val="-7"/>
        </w:rPr>
        <w:t xml:space="preserve"> </w:t>
      </w:r>
      <w:r>
        <w:rPr>
          <w:color w:val="231F20"/>
        </w:rPr>
        <w:t>provision fund</w:t>
      </w:r>
      <w:r>
        <w:rPr>
          <w:color w:val="231F20"/>
          <w:spacing w:val="-11"/>
        </w:rPr>
        <w:t xml:space="preserve"> </w:t>
      </w:r>
      <w:r>
        <w:rPr>
          <w:color w:val="231F20"/>
        </w:rPr>
        <w:t>(BHCPF)</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9"/>
        </w:rPr>
        <w:t xml:space="preserve"> </w:t>
      </w:r>
      <w:r>
        <w:rPr>
          <w:color w:val="231F20"/>
        </w:rPr>
        <w:t>Health</w:t>
      </w:r>
      <w:r>
        <w:rPr>
          <w:color w:val="231F20"/>
          <w:spacing w:val="-22"/>
        </w:rPr>
        <w:t xml:space="preserve"> </w:t>
      </w:r>
      <w:r>
        <w:rPr>
          <w:color w:val="231F20"/>
        </w:rPr>
        <w:t>Act</w:t>
      </w:r>
      <w:r>
        <w:rPr>
          <w:color w:val="231F20"/>
          <w:spacing w:val="-10"/>
        </w:rPr>
        <w:t xml:space="preserve"> </w:t>
      </w:r>
      <w:r>
        <w:rPr>
          <w:color w:val="231F20"/>
        </w:rPr>
        <w:t>(</w:t>
      </w:r>
      <w:proofErr w:type="spellStart"/>
      <w:r>
        <w:rPr>
          <w:color w:val="231F20"/>
        </w:rPr>
        <w:t>NHAct</w:t>
      </w:r>
      <w:proofErr w:type="spellEnd"/>
      <w:r>
        <w:rPr>
          <w:color w:val="231F20"/>
        </w:rPr>
        <w:t>)</w:t>
      </w:r>
      <w:r>
        <w:rPr>
          <w:color w:val="231F20"/>
          <w:spacing w:val="-10"/>
        </w:rPr>
        <w:t xml:space="preserve"> </w:t>
      </w:r>
      <w:r>
        <w:rPr>
          <w:color w:val="231F20"/>
        </w:rPr>
        <w:t>when</w:t>
      </w:r>
      <w:r>
        <w:rPr>
          <w:color w:val="231F20"/>
          <w:spacing w:val="-9"/>
        </w:rPr>
        <w:t xml:space="preserve"> </w:t>
      </w:r>
      <w:r>
        <w:rPr>
          <w:color w:val="231F20"/>
        </w:rPr>
        <w:t>implemented.</w:t>
      </w:r>
      <w:r>
        <w:rPr>
          <w:color w:val="231F20"/>
          <w:spacing w:val="-22"/>
        </w:rPr>
        <w:t xml:space="preserve"> </w:t>
      </w:r>
      <w:r>
        <w:rPr>
          <w:color w:val="231F20"/>
        </w:rPr>
        <w:t>As</w:t>
      </w:r>
      <w:r>
        <w:rPr>
          <w:color w:val="231F20"/>
          <w:spacing w:val="-10"/>
        </w:rPr>
        <w:t xml:space="preserve"> </w:t>
      </w:r>
      <w:r>
        <w:rPr>
          <w:color w:val="231F20"/>
        </w:rPr>
        <w:t>stipulated</w:t>
      </w:r>
      <w:r>
        <w:rPr>
          <w:color w:val="231F20"/>
          <w:spacing w:val="-9"/>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National Health</w:t>
      </w:r>
      <w:r>
        <w:rPr>
          <w:color w:val="231F20"/>
          <w:spacing w:val="-28"/>
        </w:rPr>
        <w:t xml:space="preserve"> </w:t>
      </w:r>
      <w:r>
        <w:rPr>
          <w:color w:val="231F20"/>
        </w:rPr>
        <w:t>Act,</w:t>
      </w:r>
      <w:r>
        <w:rPr>
          <w:color w:val="231F20"/>
          <w:spacing w:val="-15"/>
        </w:rPr>
        <w:t xml:space="preserve"> </w:t>
      </w:r>
      <w:r>
        <w:rPr>
          <w:color w:val="231F20"/>
        </w:rPr>
        <w:t>the</w:t>
      </w:r>
      <w:r>
        <w:rPr>
          <w:color w:val="231F20"/>
          <w:spacing w:val="-16"/>
        </w:rPr>
        <w:t xml:space="preserve"> </w:t>
      </w:r>
      <w:r>
        <w:rPr>
          <w:color w:val="231F20"/>
        </w:rPr>
        <w:t>Federal</w:t>
      </w:r>
      <w:r>
        <w:rPr>
          <w:color w:val="231F20"/>
          <w:spacing w:val="-15"/>
        </w:rPr>
        <w:t xml:space="preserve"> </w:t>
      </w:r>
      <w:r>
        <w:rPr>
          <w:color w:val="231F20"/>
        </w:rPr>
        <w:t>Government</w:t>
      </w:r>
      <w:r>
        <w:rPr>
          <w:color w:val="231F20"/>
          <w:spacing w:val="-15"/>
        </w:rPr>
        <w:t xml:space="preserve"> </w:t>
      </w:r>
      <w:r>
        <w:rPr>
          <w:color w:val="231F20"/>
        </w:rPr>
        <w:t>is</w:t>
      </w:r>
      <w:r>
        <w:rPr>
          <w:color w:val="231F20"/>
          <w:spacing w:val="-16"/>
        </w:rPr>
        <w:t xml:space="preserve"> </w:t>
      </w:r>
      <w:r>
        <w:rPr>
          <w:color w:val="231F20"/>
        </w:rPr>
        <w:t>expected</w:t>
      </w:r>
      <w:r>
        <w:rPr>
          <w:color w:val="231F20"/>
          <w:spacing w:val="-15"/>
        </w:rPr>
        <w:t xml:space="preserve"> </w:t>
      </w:r>
      <w:r>
        <w:rPr>
          <w:color w:val="231F20"/>
        </w:rPr>
        <w:t>allocated</w:t>
      </w:r>
      <w:r>
        <w:rPr>
          <w:color w:val="231F20"/>
          <w:spacing w:val="55"/>
        </w:rPr>
        <w:t xml:space="preserve"> </w:t>
      </w:r>
      <w:r>
        <w:rPr>
          <w:color w:val="231F20"/>
        </w:rPr>
        <w:t>at</w:t>
      </w:r>
      <w:r>
        <w:rPr>
          <w:color w:val="231F20"/>
          <w:spacing w:val="-16"/>
        </w:rPr>
        <w:t xml:space="preserve"> </w:t>
      </w:r>
      <w:r>
        <w:rPr>
          <w:color w:val="231F20"/>
        </w:rPr>
        <w:t>least</w:t>
      </w:r>
      <w:r>
        <w:rPr>
          <w:color w:val="231F20"/>
          <w:spacing w:val="-15"/>
        </w:rPr>
        <w:t xml:space="preserve"> </w:t>
      </w:r>
      <w:r>
        <w:rPr>
          <w:color w:val="231F20"/>
        </w:rPr>
        <w:t>1%</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Federal</w:t>
      </w:r>
      <w:r>
        <w:rPr>
          <w:color w:val="231F20"/>
          <w:spacing w:val="-15"/>
        </w:rPr>
        <w:t xml:space="preserve"> </w:t>
      </w:r>
      <w:r>
        <w:rPr>
          <w:color w:val="231F20"/>
          <w:spacing w:val="-2"/>
        </w:rPr>
        <w:t xml:space="preserve">Consolidated </w:t>
      </w:r>
      <w:r>
        <w:rPr>
          <w:color w:val="231F20"/>
        </w:rPr>
        <w:t>Revenue Fund (CRF) for coverage of basic minimum package of health services, and PHC operational</w:t>
      </w:r>
      <w:r>
        <w:rPr>
          <w:color w:val="231F20"/>
          <w:spacing w:val="-26"/>
        </w:rPr>
        <w:t xml:space="preserve"> </w:t>
      </w:r>
      <w:r>
        <w:rPr>
          <w:color w:val="231F20"/>
        </w:rPr>
        <w:t>costs</w:t>
      </w:r>
      <w:r>
        <w:rPr>
          <w:color w:val="231F20"/>
          <w:spacing w:val="-25"/>
        </w:rPr>
        <w:t xml:space="preserve"> </w:t>
      </w:r>
      <w:r>
        <w:rPr>
          <w:color w:val="231F20"/>
        </w:rPr>
        <w:t>(HRH,</w:t>
      </w:r>
      <w:r>
        <w:rPr>
          <w:color w:val="231F20"/>
          <w:spacing w:val="-25"/>
        </w:rPr>
        <w:t xml:space="preserve"> </w:t>
      </w:r>
      <w:r>
        <w:rPr>
          <w:color w:val="231F20"/>
        </w:rPr>
        <w:t>medicines,</w:t>
      </w:r>
      <w:r>
        <w:rPr>
          <w:color w:val="231F20"/>
          <w:spacing w:val="-25"/>
        </w:rPr>
        <w:t xml:space="preserve"> </w:t>
      </w:r>
      <w:r>
        <w:rPr>
          <w:color w:val="231F20"/>
        </w:rPr>
        <w:t>infrastructure,</w:t>
      </w:r>
      <w:r>
        <w:rPr>
          <w:color w:val="231F20"/>
          <w:spacing w:val="-25"/>
        </w:rPr>
        <w:t xml:space="preserve"> </w:t>
      </w:r>
      <w:r>
        <w:rPr>
          <w:color w:val="231F20"/>
        </w:rPr>
        <w:t>transport),</w:t>
      </w:r>
      <w:r>
        <w:rPr>
          <w:color w:val="231F20"/>
          <w:spacing w:val="-25"/>
        </w:rPr>
        <w:t xml:space="preserve"> </w:t>
      </w:r>
      <w:r>
        <w:rPr>
          <w:color w:val="231F20"/>
        </w:rPr>
        <w:t>and</w:t>
      </w:r>
      <w:r>
        <w:rPr>
          <w:color w:val="231F20"/>
          <w:spacing w:val="-25"/>
        </w:rPr>
        <w:t xml:space="preserve"> </w:t>
      </w:r>
      <w:r>
        <w:rPr>
          <w:color w:val="231F20"/>
        </w:rPr>
        <w:t>public</w:t>
      </w:r>
      <w:r>
        <w:rPr>
          <w:color w:val="231F20"/>
          <w:spacing w:val="-25"/>
        </w:rPr>
        <w:t xml:space="preserve"> </w:t>
      </w:r>
      <w:r>
        <w:rPr>
          <w:color w:val="231F20"/>
        </w:rPr>
        <w:t>emergency</w:t>
      </w:r>
      <w:r>
        <w:rPr>
          <w:color w:val="231F20"/>
          <w:spacing w:val="-25"/>
        </w:rPr>
        <w:t xml:space="preserve"> </w:t>
      </w:r>
      <w:r>
        <w:rPr>
          <w:color w:val="231F20"/>
        </w:rPr>
        <w:t>services.</w:t>
      </w:r>
    </w:p>
    <w:p w14:paraId="249960B7" w14:textId="77777777" w:rsidR="009948F1" w:rsidRDefault="009948F1">
      <w:pPr>
        <w:pStyle w:val="BodyText"/>
        <w:spacing w:before="11"/>
        <w:rPr>
          <w:sz w:val="21"/>
        </w:rPr>
      </w:pPr>
    </w:p>
    <w:p w14:paraId="2B20196F" w14:textId="77777777" w:rsidR="009948F1" w:rsidRDefault="00BC0563">
      <w:pPr>
        <w:spacing w:line="232" w:lineRule="auto"/>
        <w:ind w:left="141" w:right="175"/>
        <w:jc w:val="both"/>
      </w:pPr>
      <w:r>
        <w:rPr>
          <w:b/>
          <w:color w:val="231F20"/>
        </w:rPr>
        <w:t>Scenario one</w:t>
      </w:r>
      <w:r>
        <w:rPr>
          <w:color w:val="231F20"/>
        </w:rPr>
        <w:t>: (</w:t>
      </w:r>
      <w:r>
        <w:rPr>
          <w:b/>
          <w:i/>
          <w:color w:val="231F20"/>
        </w:rPr>
        <w:t>attaining 10% Health Insurance Subscribers base</w:t>
      </w:r>
      <w:r>
        <w:rPr>
          <w:i/>
          <w:color w:val="231F20"/>
        </w:rPr>
        <w:t>)</w:t>
      </w:r>
      <w:r>
        <w:rPr>
          <w:color w:val="231F20"/>
        </w:rPr>
        <w:t>, in this instance, available resources to bridge the gap have been estimated by computing (1.) the contribution of existing partner</w:t>
      </w:r>
      <w:r>
        <w:rPr>
          <w:color w:val="231F20"/>
          <w:spacing w:val="-11"/>
        </w:rPr>
        <w:t xml:space="preserve"> </w:t>
      </w:r>
      <w:r>
        <w:rPr>
          <w:color w:val="231F20"/>
        </w:rPr>
        <w:t>commitments,</w:t>
      </w:r>
      <w:r>
        <w:rPr>
          <w:color w:val="231F20"/>
          <w:spacing w:val="-11"/>
        </w:rPr>
        <w:t xml:space="preserve"> </w:t>
      </w:r>
      <w:r>
        <w:rPr>
          <w:color w:val="231F20"/>
        </w:rPr>
        <w:t>(2.)</w:t>
      </w:r>
      <w:r>
        <w:rPr>
          <w:color w:val="231F20"/>
          <w:spacing w:val="-11"/>
        </w:rPr>
        <w:t xml:space="preserve"> </w:t>
      </w:r>
      <w:r>
        <w:rPr>
          <w:color w:val="231F20"/>
        </w:rPr>
        <w:t>the</w:t>
      </w:r>
      <w:r>
        <w:rPr>
          <w:color w:val="231F20"/>
          <w:spacing w:val="-11"/>
        </w:rPr>
        <w:t xml:space="preserve"> </w:t>
      </w:r>
      <w:r>
        <w:rPr>
          <w:color w:val="231F20"/>
        </w:rPr>
        <w:t>State's</w:t>
      </w:r>
      <w:r>
        <w:rPr>
          <w:color w:val="231F20"/>
          <w:spacing w:val="-10"/>
        </w:rPr>
        <w:t xml:space="preserve"> </w:t>
      </w:r>
      <w:r>
        <w:rPr>
          <w:color w:val="231F20"/>
        </w:rPr>
        <w:t>Government's</w:t>
      </w:r>
      <w:r>
        <w:rPr>
          <w:color w:val="231F20"/>
          <w:spacing w:val="-23"/>
        </w:rPr>
        <w:t xml:space="preserve"> </w:t>
      </w:r>
      <w:r>
        <w:rPr>
          <w:color w:val="231F20"/>
        </w:rPr>
        <w:t>Allocation</w:t>
      </w:r>
      <w:r>
        <w:rPr>
          <w:color w:val="231F20"/>
          <w:spacing w:val="-11"/>
        </w:rPr>
        <w:t xml:space="preserve"> </w:t>
      </w:r>
      <w:r>
        <w:rPr>
          <w:color w:val="231F20"/>
        </w:rPr>
        <w:t>to</w:t>
      </w:r>
      <w:r>
        <w:rPr>
          <w:color w:val="231F20"/>
          <w:spacing w:val="-11"/>
        </w:rPr>
        <w:t xml:space="preserve"> </w:t>
      </w:r>
      <w:r>
        <w:rPr>
          <w:color w:val="231F20"/>
        </w:rPr>
        <w:t>Health</w:t>
      </w:r>
      <w:r>
        <w:rPr>
          <w:color w:val="231F20"/>
          <w:spacing w:val="-10"/>
        </w:rPr>
        <w:t xml:space="preserve"> </w:t>
      </w:r>
      <w:r>
        <w:rPr>
          <w:color w:val="231F20"/>
        </w:rPr>
        <w:t>increased</w:t>
      </w:r>
      <w:r>
        <w:rPr>
          <w:color w:val="231F20"/>
          <w:spacing w:val="-11"/>
        </w:rPr>
        <w:t xml:space="preserve"> </w:t>
      </w:r>
      <w:r>
        <w:rPr>
          <w:color w:val="231F20"/>
        </w:rPr>
        <w:t>to</w:t>
      </w:r>
      <w:r>
        <w:rPr>
          <w:color w:val="231F20"/>
          <w:spacing w:val="-11"/>
        </w:rPr>
        <w:t xml:space="preserve"> </w:t>
      </w:r>
      <w:r>
        <w:rPr>
          <w:color w:val="231F20"/>
        </w:rPr>
        <w:t>6%</w:t>
      </w:r>
      <w:r>
        <w:rPr>
          <w:color w:val="231F20"/>
          <w:spacing w:val="-11"/>
        </w:rPr>
        <w:t xml:space="preserve"> </w:t>
      </w:r>
      <w:r>
        <w:rPr>
          <w:color w:val="231F20"/>
        </w:rPr>
        <w:t>by</w:t>
      </w:r>
      <w:r>
        <w:rPr>
          <w:color w:val="231F20"/>
          <w:spacing w:val="-10"/>
        </w:rPr>
        <w:t xml:space="preserve"> </w:t>
      </w:r>
      <w:r>
        <w:rPr>
          <w:color w:val="231F20"/>
          <w:spacing w:val="-3"/>
        </w:rPr>
        <w:t>2022,</w:t>
      </w:r>
    </w:p>
    <w:p w14:paraId="097C7FB5" w14:textId="77777777" w:rsidR="009948F1" w:rsidRDefault="00BC0563">
      <w:pPr>
        <w:pStyle w:val="BodyText"/>
        <w:spacing w:before="35" w:line="278" w:lineRule="auto"/>
        <w:ind w:left="141" w:right="175"/>
        <w:jc w:val="both"/>
      </w:pPr>
      <w:r>
        <w:rPr>
          <w:color w:val="231F20"/>
        </w:rPr>
        <w:t>(3.)</w:t>
      </w:r>
      <w:r>
        <w:rPr>
          <w:color w:val="231F20"/>
          <w:spacing w:val="-18"/>
        </w:rPr>
        <w:t xml:space="preserve"> </w:t>
      </w:r>
      <w:r>
        <w:rPr>
          <w:color w:val="231F20"/>
        </w:rPr>
        <w:t>the</w:t>
      </w:r>
      <w:r>
        <w:rPr>
          <w:color w:val="231F20"/>
          <w:spacing w:val="-18"/>
        </w:rPr>
        <w:t xml:space="preserve"> </w:t>
      </w:r>
      <w:r>
        <w:rPr>
          <w:color w:val="231F20"/>
        </w:rPr>
        <w:t>estimated</w:t>
      </w:r>
      <w:r>
        <w:rPr>
          <w:color w:val="231F20"/>
          <w:spacing w:val="-18"/>
        </w:rPr>
        <w:t xml:space="preserve"> </w:t>
      </w:r>
      <w:r>
        <w:rPr>
          <w:color w:val="231F20"/>
        </w:rPr>
        <w:t>annual</w:t>
      </w:r>
      <w:r>
        <w:rPr>
          <w:color w:val="231F20"/>
          <w:spacing w:val="-18"/>
        </w:rPr>
        <w:t xml:space="preserve"> </w:t>
      </w:r>
      <w:r>
        <w:rPr>
          <w:color w:val="231F20"/>
        </w:rPr>
        <w:t>allocation</w:t>
      </w:r>
      <w:r>
        <w:rPr>
          <w:color w:val="231F20"/>
          <w:spacing w:val="-18"/>
        </w:rPr>
        <w:t xml:space="preserve"> </w:t>
      </w:r>
      <w:r>
        <w:rPr>
          <w:color w:val="231F20"/>
        </w:rPr>
        <w:t>through</w:t>
      </w:r>
      <w:r>
        <w:rPr>
          <w:color w:val="231F20"/>
          <w:spacing w:val="-17"/>
        </w:rPr>
        <w:t xml:space="preserve"> </w:t>
      </w:r>
      <w:r>
        <w:rPr>
          <w:color w:val="231F20"/>
        </w:rPr>
        <w:t>NHIS</w:t>
      </w:r>
      <w:r>
        <w:rPr>
          <w:color w:val="231F20"/>
          <w:spacing w:val="-18"/>
        </w:rPr>
        <w:t xml:space="preserve"> </w:t>
      </w:r>
      <w:r>
        <w:rPr>
          <w:color w:val="231F20"/>
        </w:rPr>
        <w:t>and</w:t>
      </w:r>
      <w:r>
        <w:rPr>
          <w:color w:val="231F20"/>
          <w:spacing w:val="-18"/>
        </w:rPr>
        <w:t xml:space="preserve"> </w:t>
      </w:r>
      <w:r>
        <w:rPr>
          <w:color w:val="231F20"/>
        </w:rPr>
        <w:t>NPHCDA</w:t>
      </w:r>
      <w:r>
        <w:rPr>
          <w:color w:val="231F20"/>
          <w:spacing w:val="-31"/>
        </w:rPr>
        <w:t xml:space="preserve"> </w:t>
      </w:r>
      <w:r>
        <w:rPr>
          <w:color w:val="231F20"/>
        </w:rPr>
        <w:t>amounting</w:t>
      </w:r>
      <w:r>
        <w:rPr>
          <w:color w:val="231F20"/>
          <w:spacing w:val="-18"/>
        </w:rPr>
        <w:t xml:space="preserve"> </w:t>
      </w:r>
      <w:proofErr w:type="gramStart"/>
      <w:r>
        <w:rPr>
          <w:color w:val="231F20"/>
        </w:rPr>
        <w:t>to</w:t>
      </w:r>
      <w:r>
        <w:rPr>
          <w:color w:val="231F20"/>
          <w:spacing w:val="-7"/>
        </w:rPr>
        <w:t xml:space="preserve"> </w:t>
      </w:r>
      <w:r>
        <w:rPr>
          <w:color w:val="231F20"/>
        </w:rPr>
        <w:t>?</w:t>
      </w:r>
      <w:proofErr w:type="gramEnd"/>
      <w:r>
        <w:rPr>
          <w:color w:val="231F20"/>
          <w:spacing w:val="-14"/>
        </w:rPr>
        <w:t xml:space="preserve"> </w:t>
      </w:r>
      <w:r>
        <w:rPr>
          <w:color w:val="231F20"/>
        </w:rPr>
        <w:t>1.6</w:t>
      </w:r>
      <w:r>
        <w:rPr>
          <w:color w:val="231F20"/>
          <w:spacing w:val="-8"/>
        </w:rPr>
        <w:t xml:space="preserve"> </w:t>
      </w:r>
      <w:r>
        <w:rPr>
          <w:color w:val="231F20"/>
        </w:rPr>
        <w:t>billion</w:t>
      </w:r>
      <w:r>
        <w:rPr>
          <w:color w:val="231F20"/>
          <w:spacing w:val="-7"/>
        </w:rPr>
        <w:t xml:space="preserve"> </w:t>
      </w:r>
      <w:r>
        <w:rPr>
          <w:color w:val="231F20"/>
        </w:rPr>
        <w:t>from</w:t>
      </w:r>
      <w:r>
        <w:rPr>
          <w:color w:val="231F20"/>
          <w:spacing w:val="-7"/>
        </w:rPr>
        <w:t xml:space="preserve"> </w:t>
      </w:r>
      <w:r>
        <w:rPr>
          <w:color w:val="231F20"/>
        </w:rPr>
        <w:t xml:space="preserve">the basic health provision funds, (4.) annual deduction from state's consolidated revenue </w:t>
      </w:r>
      <w:proofErr w:type="gramStart"/>
      <w:r>
        <w:rPr>
          <w:color w:val="231F20"/>
        </w:rPr>
        <w:t xml:space="preserve">and </w:t>
      </w:r>
      <w:r>
        <w:rPr>
          <w:color w:val="231F20"/>
          <w:spacing w:val="16"/>
        </w:rPr>
        <w:t xml:space="preserve"> </w:t>
      </w:r>
      <w:r>
        <w:rPr>
          <w:color w:val="231F20"/>
        </w:rPr>
        <w:t>finally</w:t>
      </w:r>
      <w:proofErr w:type="gramEnd"/>
    </w:p>
    <w:p w14:paraId="083C0811" w14:textId="77777777" w:rsidR="009948F1" w:rsidRDefault="00BC0563">
      <w:pPr>
        <w:pStyle w:val="BodyText"/>
        <w:ind w:left="141" w:right="177"/>
        <w:jc w:val="both"/>
      </w:pPr>
      <w:r>
        <w:rPr>
          <w:color w:val="231F20"/>
        </w:rPr>
        <w:t>(5.)</w:t>
      </w:r>
      <w:r>
        <w:rPr>
          <w:color w:val="231F20"/>
          <w:spacing w:val="-16"/>
        </w:rPr>
        <w:t xml:space="preserve"> </w:t>
      </w:r>
      <w:r>
        <w:rPr>
          <w:color w:val="231F20"/>
        </w:rPr>
        <w:t>the</w:t>
      </w:r>
      <w:r>
        <w:rPr>
          <w:color w:val="231F20"/>
          <w:spacing w:val="-16"/>
        </w:rPr>
        <w:t xml:space="preserve"> </w:t>
      </w:r>
      <w:r>
        <w:rPr>
          <w:color w:val="231F20"/>
        </w:rPr>
        <w:t>state</w:t>
      </w:r>
      <w:r>
        <w:rPr>
          <w:color w:val="231F20"/>
          <w:spacing w:val="-16"/>
        </w:rPr>
        <w:t xml:space="preserve"> </w:t>
      </w:r>
      <w:r>
        <w:rPr>
          <w:color w:val="231F20"/>
        </w:rPr>
        <w:t>health</w:t>
      </w:r>
      <w:r>
        <w:rPr>
          <w:color w:val="231F20"/>
          <w:spacing w:val="-16"/>
        </w:rPr>
        <w:t xml:space="preserve"> </w:t>
      </w:r>
      <w:r>
        <w:rPr>
          <w:color w:val="231F20"/>
        </w:rPr>
        <w:t>insurance</w:t>
      </w:r>
      <w:r>
        <w:rPr>
          <w:color w:val="231F20"/>
          <w:spacing w:val="-16"/>
        </w:rPr>
        <w:t xml:space="preserve"> </w:t>
      </w:r>
      <w:r>
        <w:rPr>
          <w:color w:val="231F20"/>
        </w:rPr>
        <w:t>scheme,</w:t>
      </w:r>
      <w:r>
        <w:rPr>
          <w:color w:val="231F20"/>
          <w:spacing w:val="-16"/>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rPr>
        <w:t>premium</w:t>
      </w:r>
      <w:r>
        <w:rPr>
          <w:color w:val="231F20"/>
          <w:spacing w:val="-16"/>
        </w:rPr>
        <w:t xml:space="preserve"> </w:t>
      </w:r>
      <w:r>
        <w:rPr>
          <w:color w:val="231F20"/>
        </w:rPr>
        <w:t>set</w:t>
      </w:r>
      <w:r>
        <w:rPr>
          <w:color w:val="231F20"/>
          <w:spacing w:val="-16"/>
        </w:rPr>
        <w:t xml:space="preserve"> </w:t>
      </w:r>
      <w:proofErr w:type="gramStart"/>
      <w:r>
        <w:rPr>
          <w:color w:val="231F20"/>
        </w:rPr>
        <w:t>at</w:t>
      </w:r>
      <w:r>
        <w:rPr>
          <w:color w:val="231F20"/>
          <w:spacing w:val="-16"/>
        </w:rPr>
        <w:t xml:space="preserve"> </w:t>
      </w:r>
      <w:r>
        <w:rPr>
          <w:color w:val="231F20"/>
        </w:rPr>
        <w:t>?</w:t>
      </w:r>
      <w:proofErr w:type="gramEnd"/>
      <w:r>
        <w:rPr>
          <w:color w:val="231F20"/>
          <w:spacing w:val="-19"/>
        </w:rPr>
        <w:t xml:space="preserve"> </w:t>
      </w:r>
      <w:r>
        <w:rPr>
          <w:color w:val="231F20"/>
        </w:rPr>
        <w:t>12,000</w:t>
      </w:r>
      <w:r>
        <w:rPr>
          <w:color w:val="231F20"/>
          <w:spacing w:val="-16"/>
        </w:rPr>
        <w:t xml:space="preserve"> </w:t>
      </w:r>
      <w:r>
        <w:rPr>
          <w:color w:val="231F20"/>
        </w:rPr>
        <w:t>per</w:t>
      </w:r>
      <w:r>
        <w:rPr>
          <w:color w:val="231F20"/>
          <w:spacing w:val="-16"/>
        </w:rPr>
        <w:t xml:space="preserve"> </w:t>
      </w:r>
      <w:r>
        <w:rPr>
          <w:color w:val="231F20"/>
        </w:rPr>
        <w:t>annum</w:t>
      </w:r>
      <w:r>
        <w:rPr>
          <w:color w:val="231F20"/>
          <w:spacing w:val="-16"/>
        </w:rPr>
        <w:t xml:space="preserve"> </w:t>
      </w:r>
      <w:r>
        <w:rPr>
          <w:color w:val="231F20"/>
        </w:rPr>
        <w:t>as</w:t>
      </w:r>
      <w:r>
        <w:rPr>
          <w:color w:val="231F20"/>
          <w:spacing w:val="-16"/>
        </w:rPr>
        <w:t xml:space="preserve"> </w:t>
      </w:r>
      <w:r>
        <w:rPr>
          <w:color w:val="231F20"/>
        </w:rPr>
        <w:t>the</w:t>
      </w:r>
      <w:r>
        <w:rPr>
          <w:color w:val="231F20"/>
          <w:spacing w:val="-16"/>
        </w:rPr>
        <w:t xml:space="preserve"> </w:t>
      </w:r>
      <w:r>
        <w:rPr>
          <w:color w:val="231F20"/>
          <w:spacing w:val="-3"/>
        </w:rPr>
        <w:t xml:space="preserve">scheme </w:t>
      </w:r>
      <w:r>
        <w:rPr>
          <w:color w:val="231F20"/>
        </w:rPr>
        <w:t>approaches</w:t>
      </w:r>
      <w:r>
        <w:rPr>
          <w:color w:val="231F20"/>
          <w:spacing w:val="-25"/>
        </w:rPr>
        <w:t xml:space="preserve"> </w:t>
      </w:r>
      <w:r>
        <w:rPr>
          <w:color w:val="231F20"/>
        </w:rPr>
        <w:t>10%</w:t>
      </w:r>
      <w:r>
        <w:rPr>
          <w:color w:val="231F20"/>
          <w:spacing w:val="-25"/>
        </w:rPr>
        <w:t xml:space="preserve"> </w:t>
      </w:r>
      <w:r>
        <w:rPr>
          <w:color w:val="231F20"/>
        </w:rPr>
        <w:t>subscribers</w:t>
      </w:r>
      <w:r>
        <w:rPr>
          <w:color w:val="231F20"/>
          <w:spacing w:val="-26"/>
        </w:rPr>
        <w:t xml:space="preserve"> </w:t>
      </w:r>
      <w:r>
        <w:rPr>
          <w:color w:val="231F20"/>
        </w:rPr>
        <w:t>base</w:t>
      </w:r>
      <w:r>
        <w:rPr>
          <w:color w:val="231F20"/>
          <w:spacing w:val="-25"/>
        </w:rPr>
        <w:t xml:space="preserve"> </w:t>
      </w:r>
      <w:r>
        <w:rPr>
          <w:color w:val="231F20"/>
        </w:rPr>
        <w:t>by</w:t>
      </w:r>
      <w:r>
        <w:rPr>
          <w:color w:val="231F20"/>
          <w:spacing w:val="-25"/>
        </w:rPr>
        <w:t xml:space="preserve"> </w:t>
      </w:r>
      <w:r>
        <w:rPr>
          <w:color w:val="231F20"/>
        </w:rPr>
        <w:t>2022.</w:t>
      </w:r>
    </w:p>
    <w:p w14:paraId="020E2854" w14:textId="77777777" w:rsidR="009948F1" w:rsidRDefault="009948F1">
      <w:pPr>
        <w:pStyle w:val="BodyText"/>
        <w:spacing w:before="1"/>
        <w:rPr>
          <w:sz w:val="21"/>
        </w:rPr>
      </w:pPr>
    </w:p>
    <w:p w14:paraId="742DE22C" w14:textId="77777777" w:rsidR="009948F1" w:rsidRDefault="00BC0563">
      <w:pPr>
        <w:spacing w:line="232" w:lineRule="auto"/>
        <w:ind w:left="141" w:right="176"/>
        <w:jc w:val="both"/>
      </w:pPr>
      <w:r>
        <w:rPr>
          <w:b/>
          <w:color w:val="231F20"/>
        </w:rPr>
        <w:t>Scenario two</w:t>
      </w:r>
      <w:r>
        <w:rPr>
          <w:color w:val="231F20"/>
        </w:rPr>
        <w:t>: (</w:t>
      </w:r>
      <w:r>
        <w:rPr>
          <w:b/>
          <w:i/>
          <w:color w:val="231F20"/>
        </w:rPr>
        <w:t>attaining20% Health Insurance Subscribers base</w:t>
      </w:r>
      <w:r>
        <w:rPr>
          <w:i/>
          <w:color w:val="231F20"/>
        </w:rPr>
        <w:t>)</w:t>
      </w:r>
      <w:r>
        <w:rPr>
          <w:color w:val="231F20"/>
        </w:rPr>
        <w:t>, similarly, this scenario estimates the available resources by computing (1.) the contribution of existing partner commitment, (2.) the State's Government's allocation to 6% by 2022, (3.) the estimated annual</w:t>
      </w:r>
    </w:p>
    <w:p w14:paraId="1F4AB304" w14:textId="77777777" w:rsidR="009948F1" w:rsidRDefault="00BC0563">
      <w:pPr>
        <w:pStyle w:val="BodyText"/>
        <w:spacing w:before="35" w:line="249" w:lineRule="auto"/>
        <w:ind w:left="141" w:right="176"/>
        <w:jc w:val="both"/>
      </w:pPr>
      <w:r>
        <w:rPr>
          <w:color w:val="231F20"/>
        </w:rPr>
        <w:t xml:space="preserve">allocation through NHIS and NPHCDA in the sum </w:t>
      </w:r>
      <w:proofErr w:type="gramStart"/>
      <w:r>
        <w:rPr>
          <w:color w:val="231F20"/>
        </w:rPr>
        <w:t>of ?</w:t>
      </w:r>
      <w:proofErr w:type="gramEnd"/>
      <w:r>
        <w:rPr>
          <w:color w:val="231F20"/>
        </w:rPr>
        <w:t xml:space="preserve"> 1.6billion from the basic health provision funds,</w:t>
      </w:r>
      <w:r>
        <w:rPr>
          <w:color w:val="231F20"/>
          <w:spacing w:val="-8"/>
        </w:rPr>
        <w:t xml:space="preserve"> </w:t>
      </w:r>
      <w:r>
        <w:rPr>
          <w:color w:val="231F20"/>
        </w:rPr>
        <w:t>(4.)</w:t>
      </w:r>
      <w:r>
        <w:rPr>
          <w:color w:val="231F20"/>
          <w:spacing w:val="-8"/>
        </w:rPr>
        <w:t xml:space="preserve"> </w:t>
      </w:r>
      <w:r>
        <w:rPr>
          <w:color w:val="231F20"/>
        </w:rPr>
        <w:t>annual</w:t>
      </w:r>
      <w:r>
        <w:rPr>
          <w:color w:val="231F20"/>
          <w:spacing w:val="-8"/>
        </w:rPr>
        <w:t xml:space="preserve"> </w:t>
      </w:r>
      <w:r>
        <w:rPr>
          <w:color w:val="231F20"/>
        </w:rPr>
        <w:t>deduction</w:t>
      </w:r>
      <w:r>
        <w:rPr>
          <w:color w:val="231F20"/>
          <w:spacing w:val="-8"/>
        </w:rPr>
        <w:t xml:space="preserve"> </w:t>
      </w:r>
      <w:r>
        <w:rPr>
          <w:color w:val="231F20"/>
        </w:rPr>
        <w:t>from</w:t>
      </w:r>
      <w:r>
        <w:rPr>
          <w:color w:val="231F20"/>
          <w:spacing w:val="-8"/>
        </w:rPr>
        <w:t xml:space="preserve"> </w:t>
      </w:r>
      <w:r>
        <w:rPr>
          <w:color w:val="231F20"/>
        </w:rPr>
        <w:t>state's</w:t>
      </w:r>
      <w:r>
        <w:rPr>
          <w:color w:val="231F20"/>
          <w:spacing w:val="-8"/>
        </w:rPr>
        <w:t xml:space="preserve"> </w:t>
      </w:r>
      <w:r>
        <w:rPr>
          <w:color w:val="231F20"/>
        </w:rPr>
        <w:t>consolidated</w:t>
      </w:r>
      <w:r>
        <w:rPr>
          <w:color w:val="231F20"/>
          <w:spacing w:val="-8"/>
        </w:rPr>
        <w:t xml:space="preserve"> </w:t>
      </w:r>
      <w:r>
        <w:rPr>
          <w:color w:val="231F20"/>
        </w:rPr>
        <w:t>revenue</w:t>
      </w:r>
      <w:r>
        <w:rPr>
          <w:color w:val="231F20"/>
          <w:spacing w:val="-7"/>
        </w:rPr>
        <w:t xml:space="preserve"> </w:t>
      </w:r>
      <w:r>
        <w:rPr>
          <w:color w:val="231F20"/>
        </w:rPr>
        <w:t>and</w:t>
      </w:r>
      <w:r>
        <w:rPr>
          <w:color w:val="231F20"/>
          <w:spacing w:val="-8"/>
        </w:rPr>
        <w:t xml:space="preserve"> </w:t>
      </w:r>
      <w:r>
        <w:rPr>
          <w:color w:val="231F20"/>
        </w:rPr>
        <w:t>(5.)</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health</w:t>
      </w:r>
      <w:r>
        <w:rPr>
          <w:color w:val="231F20"/>
          <w:spacing w:val="-8"/>
        </w:rPr>
        <w:t xml:space="preserve"> </w:t>
      </w:r>
      <w:r>
        <w:rPr>
          <w:color w:val="231F20"/>
        </w:rPr>
        <w:t>insurance scheme,</w:t>
      </w:r>
      <w:r>
        <w:rPr>
          <w:color w:val="231F20"/>
          <w:spacing w:val="-3"/>
        </w:rPr>
        <w:t xml:space="preserve"> </w:t>
      </w:r>
      <w:r>
        <w:rPr>
          <w:color w:val="231F20"/>
        </w:rPr>
        <w:t>with</w:t>
      </w:r>
      <w:r>
        <w:rPr>
          <w:color w:val="231F20"/>
          <w:spacing w:val="-4"/>
        </w:rPr>
        <w:t xml:space="preserve"> </w:t>
      </w:r>
      <w:r>
        <w:rPr>
          <w:color w:val="231F20"/>
        </w:rPr>
        <w:t>premium</w:t>
      </w:r>
      <w:r>
        <w:rPr>
          <w:color w:val="231F20"/>
          <w:spacing w:val="-3"/>
        </w:rPr>
        <w:t xml:space="preserve"> </w:t>
      </w:r>
      <w:r>
        <w:rPr>
          <w:color w:val="231F20"/>
        </w:rPr>
        <w:t>set</w:t>
      </w:r>
      <w:r>
        <w:rPr>
          <w:color w:val="231F20"/>
          <w:spacing w:val="-4"/>
        </w:rPr>
        <w:t xml:space="preserve"> </w:t>
      </w:r>
      <w:proofErr w:type="gramStart"/>
      <w:r>
        <w:rPr>
          <w:color w:val="231F20"/>
        </w:rPr>
        <w:t>at</w:t>
      </w:r>
      <w:r>
        <w:rPr>
          <w:color w:val="231F20"/>
          <w:spacing w:val="-5"/>
        </w:rPr>
        <w:t xml:space="preserve"> </w:t>
      </w:r>
      <w:r>
        <w:rPr>
          <w:color w:val="231F20"/>
        </w:rPr>
        <w:t>?</w:t>
      </w:r>
      <w:proofErr w:type="gramEnd"/>
      <w:r>
        <w:rPr>
          <w:color w:val="231F20"/>
          <w:spacing w:val="-19"/>
        </w:rPr>
        <w:t xml:space="preserve"> </w:t>
      </w:r>
      <w:r>
        <w:rPr>
          <w:color w:val="231F20"/>
        </w:rPr>
        <w:t>12,000</w:t>
      </w:r>
      <w:r>
        <w:rPr>
          <w:color w:val="231F20"/>
          <w:spacing w:val="-3"/>
        </w:rPr>
        <w:t xml:space="preserve"> </w:t>
      </w:r>
      <w:r>
        <w:rPr>
          <w:color w:val="231F20"/>
        </w:rPr>
        <w:t>per</w:t>
      </w:r>
      <w:r>
        <w:rPr>
          <w:color w:val="231F20"/>
          <w:spacing w:val="-2"/>
        </w:rPr>
        <w:t xml:space="preserve"> </w:t>
      </w:r>
      <w:r>
        <w:rPr>
          <w:color w:val="231F20"/>
        </w:rPr>
        <w:t>annum</w:t>
      </w:r>
      <w:r>
        <w:rPr>
          <w:color w:val="231F20"/>
          <w:spacing w:val="-6"/>
        </w:rPr>
        <w:t xml:space="preserve"> </w:t>
      </w:r>
      <w:r>
        <w:rPr>
          <w:color w:val="231F20"/>
        </w:rPr>
        <w:t>while</w:t>
      </w:r>
      <w:r>
        <w:rPr>
          <w:color w:val="231F20"/>
          <w:spacing w:val="-2"/>
        </w:rPr>
        <w:t xml:space="preserve"> </w:t>
      </w:r>
      <w:r>
        <w:rPr>
          <w:color w:val="231F20"/>
        </w:rPr>
        <w:t>the</w:t>
      </w:r>
      <w:r>
        <w:rPr>
          <w:color w:val="231F20"/>
          <w:spacing w:val="-3"/>
        </w:rPr>
        <w:t xml:space="preserve"> </w:t>
      </w:r>
      <w:r>
        <w:rPr>
          <w:color w:val="231F20"/>
        </w:rPr>
        <w:t>scheme</w:t>
      </w:r>
      <w:r>
        <w:rPr>
          <w:color w:val="231F20"/>
          <w:spacing w:val="-5"/>
        </w:rPr>
        <w:t xml:space="preserve"> </w:t>
      </w:r>
      <w:r>
        <w:rPr>
          <w:color w:val="231F20"/>
        </w:rPr>
        <w:t>is</w:t>
      </w:r>
      <w:r>
        <w:rPr>
          <w:color w:val="231F20"/>
          <w:spacing w:val="-3"/>
        </w:rPr>
        <w:t xml:space="preserve"> </w:t>
      </w:r>
      <w:r>
        <w:rPr>
          <w:color w:val="231F20"/>
        </w:rPr>
        <w:t>scaled</w:t>
      </w:r>
      <w:r>
        <w:rPr>
          <w:color w:val="231F20"/>
          <w:spacing w:val="-2"/>
        </w:rPr>
        <w:t xml:space="preserve"> </w:t>
      </w:r>
      <w:r>
        <w:rPr>
          <w:color w:val="231F20"/>
        </w:rPr>
        <w:t>to</w:t>
      </w:r>
      <w:r>
        <w:rPr>
          <w:color w:val="231F20"/>
          <w:spacing w:val="-3"/>
        </w:rPr>
        <w:t xml:space="preserve"> </w:t>
      </w:r>
      <w:r>
        <w:rPr>
          <w:color w:val="231F20"/>
        </w:rPr>
        <w:t>20%</w:t>
      </w:r>
      <w:r>
        <w:rPr>
          <w:color w:val="231F20"/>
          <w:spacing w:val="-4"/>
        </w:rPr>
        <w:t xml:space="preserve"> </w:t>
      </w:r>
      <w:r>
        <w:rPr>
          <w:color w:val="231F20"/>
        </w:rPr>
        <w:t>subscribers based by</w:t>
      </w:r>
      <w:r>
        <w:rPr>
          <w:color w:val="231F20"/>
          <w:spacing w:val="-50"/>
        </w:rPr>
        <w:t xml:space="preserve"> </w:t>
      </w:r>
      <w:r>
        <w:rPr>
          <w:color w:val="231F20"/>
        </w:rPr>
        <w:t>2022.</w:t>
      </w:r>
    </w:p>
    <w:p w14:paraId="0FC262C5" w14:textId="77777777" w:rsidR="009948F1" w:rsidRDefault="009948F1">
      <w:pPr>
        <w:pStyle w:val="BodyText"/>
        <w:spacing w:before="6"/>
        <w:rPr>
          <w:sz w:val="20"/>
        </w:rPr>
      </w:pPr>
    </w:p>
    <w:p w14:paraId="2F53C987" w14:textId="77777777" w:rsidR="009948F1" w:rsidRDefault="00BC0563">
      <w:pPr>
        <w:spacing w:line="232" w:lineRule="auto"/>
        <w:ind w:left="141" w:right="174"/>
        <w:jc w:val="both"/>
      </w:pPr>
      <w:r>
        <w:rPr>
          <w:b/>
          <w:color w:val="231F20"/>
        </w:rPr>
        <w:t>Scenario three</w:t>
      </w:r>
      <w:r>
        <w:rPr>
          <w:color w:val="231F20"/>
        </w:rPr>
        <w:t>(</w:t>
      </w:r>
      <w:r>
        <w:rPr>
          <w:b/>
          <w:i/>
          <w:color w:val="231F20"/>
        </w:rPr>
        <w:t>attaining 30% Health Insurance Subscribers base</w:t>
      </w:r>
      <w:r>
        <w:rPr>
          <w:i/>
          <w:color w:val="231F20"/>
        </w:rPr>
        <w:t>)</w:t>
      </w:r>
      <w:r>
        <w:rPr>
          <w:color w:val="231F20"/>
        </w:rPr>
        <w:t>, estimates for available funds</w:t>
      </w:r>
      <w:r>
        <w:rPr>
          <w:color w:val="231F20"/>
          <w:spacing w:val="-21"/>
        </w:rPr>
        <w:t xml:space="preserve"> </w:t>
      </w:r>
      <w:r>
        <w:rPr>
          <w:color w:val="231F20"/>
        </w:rPr>
        <w:t>have</w:t>
      </w:r>
      <w:r>
        <w:rPr>
          <w:color w:val="231F20"/>
          <w:spacing w:val="-20"/>
        </w:rPr>
        <w:t xml:space="preserve"> </w:t>
      </w:r>
      <w:r>
        <w:rPr>
          <w:color w:val="231F20"/>
        </w:rPr>
        <w:t>been</w:t>
      </w:r>
      <w:r>
        <w:rPr>
          <w:color w:val="231F20"/>
          <w:spacing w:val="-20"/>
        </w:rPr>
        <w:t xml:space="preserve"> </w:t>
      </w:r>
      <w:r>
        <w:rPr>
          <w:color w:val="231F20"/>
        </w:rPr>
        <w:t>determined</w:t>
      </w:r>
      <w:r>
        <w:rPr>
          <w:color w:val="231F20"/>
          <w:spacing w:val="-20"/>
        </w:rPr>
        <w:t xml:space="preserve"> </w:t>
      </w:r>
      <w:r>
        <w:rPr>
          <w:color w:val="231F20"/>
        </w:rPr>
        <w:t>by</w:t>
      </w:r>
      <w:r>
        <w:rPr>
          <w:color w:val="231F20"/>
          <w:spacing w:val="-20"/>
        </w:rPr>
        <w:t xml:space="preserve"> </w:t>
      </w:r>
      <w:r>
        <w:rPr>
          <w:color w:val="231F20"/>
        </w:rPr>
        <w:t>computing</w:t>
      </w:r>
      <w:r>
        <w:rPr>
          <w:color w:val="231F20"/>
          <w:spacing w:val="-20"/>
        </w:rPr>
        <w:t xml:space="preserve"> </w:t>
      </w:r>
      <w:r>
        <w:rPr>
          <w:color w:val="231F20"/>
        </w:rPr>
        <w:t>(1.)</w:t>
      </w:r>
      <w:r>
        <w:rPr>
          <w:color w:val="231F20"/>
          <w:spacing w:val="-20"/>
        </w:rPr>
        <w:t xml:space="preserve"> </w:t>
      </w:r>
      <w:r>
        <w:rPr>
          <w:color w:val="231F20"/>
        </w:rPr>
        <w:t>the</w:t>
      </w:r>
      <w:r>
        <w:rPr>
          <w:color w:val="231F20"/>
          <w:spacing w:val="-20"/>
        </w:rPr>
        <w:t xml:space="preserve"> </w:t>
      </w:r>
      <w:r>
        <w:rPr>
          <w:color w:val="231F20"/>
        </w:rPr>
        <w:t>contribution</w:t>
      </w:r>
      <w:r>
        <w:rPr>
          <w:color w:val="231F20"/>
          <w:spacing w:val="-19"/>
        </w:rPr>
        <w:t xml:space="preserve"> </w:t>
      </w:r>
      <w:r>
        <w:rPr>
          <w:color w:val="231F20"/>
        </w:rPr>
        <w:t>of</w:t>
      </w:r>
      <w:r>
        <w:rPr>
          <w:color w:val="231F20"/>
          <w:spacing w:val="-20"/>
        </w:rPr>
        <w:t xml:space="preserve"> </w:t>
      </w:r>
      <w:r>
        <w:rPr>
          <w:color w:val="231F20"/>
        </w:rPr>
        <w:t>existing</w:t>
      </w:r>
      <w:r>
        <w:rPr>
          <w:color w:val="231F20"/>
          <w:spacing w:val="-20"/>
        </w:rPr>
        <w:t xml:space="preserve"> </w:t>
      </w:r>
      <w:r>
        <w:rPr>
          <w:color w:val="231F20"/>
        </w:rPr>
        <w:t>partner</w:t>
      </w:r>
      <w:r>
        <w:rPr>
          <w:color w:val="231F20"/>
          <w:spacing w:val="-21"/>
        </w:rPr>
        <w:t xml:space="preserve"> </w:t>
      </w:r>
      <w:r>
        <w:rPr>
          <w:color w:val="231F20"/>
        </w:rPr>
        <w:t>commitment,</w:t>
      </w:r>
      <w:r>
        <w:rPr>
          <w:color w:val="231F20"/>
          <w:spacing w:val="-20"/>
        </w:rPr>
        <w:t xml:space="preserve"> </w:t>
      </w:r>
      <w:r>
        <w:rPr>
          <w:color w:val="231F20"/>
        </w:rPr>
        <w:t>(2.) the State's Government's allocation to health increased to 6% by 2022, (3.) the estimated</w:t>
      </w:r>
      <w:r>
        <w:rPr>
          <w:color w:val="231F20"/>
          <w:spacing w:val="-3"/>
        </w:rPr>
        <w:t xml:space="preserve"> annual</w:t>
      </w:r>
    </w:p>
    <w:p w14:paraId="3C670F18" w14:textId="77777777" w:rsidR="009948F1" w:rsidRDefault="00BC0563">
      <w:pPr>
        <w:pStyle w:val="BodyText"/>
        <w:spacing w:before="35" w:line="249" w:lineRule="auto"/>
        <w:ind w:left="141" w:right="176"/>
        <w:jc w:val="both"/>
      </w:pPr>
      <w:r>
        <w:rPr>
          <w:color w:val="231F20"/>
        </w:rPr>
        <w:t xml:space="preserve">allocation through NHIS and NPHCDA in the sum </w:t>
      </w:r>
      <w:proofErr w:type="gramStart"/>
      <w:r>
        <w:rPr>
          <w:color w:val="231F20"/>
        </w:rPr>
        <w:t>of ?</w:t>
      </w:r>
      <w:proofErr w:type="gramEnd"/>
      <w:r>
        <w:rPr>
          <w:color w:val="231F20"/>
        </w:rPr>
        <w:t xml:space="preserve"> 1.6 billion from the basic health provision funds,</w:t>
      </w:r>
      <w:r>
        <w:rPr>
          <w:color w:val="231F20"/>
          <w:spacing w:val="-18"/>
        </w:rPr>
        <w:t xml:space="preserve"> </w:t>
      </w:r>
      <w:r>
        <w:rPr>
          <w:color w:val="231F20"/>
        </w:rPr>
        <w:t>(4.)</w:t>
      </w:r>
      <w:r>
        <w:rPr>
          <w:color w:val="231F20"/>
          <w:spacing w:val="-18"/>
        </w:rPr>
        <w:t xml:space="preserve"> </w:t>
      </w:r>
      <w:r>
        <w:rPr>
          <w:color w:val="231F20"/>
        </w:rPr>
        <w:t>annual</w:t>
      </w:r>
      <w:r>
        <w:rPr>
          <w:color w:val="231F20"/>
          <w:spacing w:val="-18"/>
        </w:rPr>
        <w:t xml:space="preserve"> </w:t>
      </w:r>
      <w:r>
        <w:rPr>
          <w:color w:val="231F20"/>
        </w:rPr>
        <w:t>deduction</w:t>
      </w:r>
      <w:r>
        <w:rPr>
          <w:color w:val="231F20"/>
          <w:spacing w:val="-18"/>
        </w:rPr>
        <w:t xml:space="preserve"> </w:t>
      </w:r>
      <w:r>
        <w:rPr>
          <w:color w:val="231F20"/>
        </w:rPr>
        <w:t>of</w:t>
      </w:r>
      <w:r>
        <w:rPr>
          <w:color w:val="231F20"/>
          <w:spacing w:val="-18"/>
        </w:rPr>
        <w:t xml:space="preserve"> </w:t>
      </w:r>
      <w:r>
        <w:rPr>
          <w:color w:val="231F20"/>
        </w:rPr>
        <w:t>state's</w:t>
      </w:r>
      <w:r>
        <w:rPr>
          <w:color w:val="231F20"/>
          <w:spacing w:val="-17"/>
        </w:rPr>
        <w:t xml:space="preserve"> </w:t>
      </w:r>
      <w:r>
        <w:rPr>
          <w:color w:val="231F20"/>
        </w:rPr>
        <w:t>consolidated</w:t>
      </w:r>
      <w:r>
        <w:rPr>
          <w:color w:val="231F20"/>
          <w:spacing w:val="-18"/>
        </w:rPr>
        <w:t xml:space="preserve"> </w:t>
      </w:r>
      <w:r>
        <w:rPr>
          <w:color w:val="231F20"/>
        </w:rPr>
        <w:t>revenue</w:t>
      </w:r>
      <w:r>
        <w:rPr>
          <w:color w:val="231F20"/>
          <w:spacing w:val="-18"/>
        </w:rPr>
        <w:t xml:space="preserve"> </w:t>
      </w:r>
      <w:r>
        <w:rPr>
          <w:color w:val="231F20"/>
        </w:rPr>
        <w:t>(5.)</w:t>
      </w:r>
      <w:r>
        <w:rPr>
          <w:color w:val="231F20"/>
          <w:spacing w:val="-18"/>
        </w:rPr>
        <w:t xml:space="preserve"> </w:t>
      </w:r>
      <w:r>
        <w:rPr>
          <w:color w:val="231F20"/>
        </w:rPr>
        <w:t>the</w:t>
      </w:r>
      <w:r>
        <w:rPr>
          <w:color w:val="231F20"/>
          <w:spacing w:val="-18"/>
        </w:rPr>
        <w:t xml:space="preserve"> </w:t>
      </w:r>
      <w:r>
        <w:rPr>
          <w:color w:val="231F20"/>
        </w:rPr>
        <w:t>state</w:t>
      </w:r>
      <w:r>
        <w:rPr>
          <w:color w:val="231F20"/>
          <w:spacing w:val="-17"/>
        </w:rPr>
        <w:t xml:space="preserve"> </w:t>
      </w:r>
      <w:r>
        <w:rPr>
          <w:color w:val="231F20"/>
        </w:rPr>
        <w:t>health</w:t>
      </w:r>
      <w:r>
        <w:rPr>
          <w:color w:val="231F20"/>
          <w:spacing w:val="-18"/>
        </w:rPr>
        <w:t xml:space="preserve"> </w:t>
      </w:r>
      <w:r>
        <w:rPr>
          <w:color w:val="231F20"/>
        </w:rPr>
        <w:t>insurance</w:t>
      </w:r>
      <w:r>
        <w:rPr>
          <w:color w:val="231F20"/>
          <w:spacing w:val="-18"/>
        </w:rPr>
        <w:t xml:space="preserve"> </w:t>
      </w:r>
      <w:r>
        <w:rPr>
          <w:color w:val="231F20"/>
          <w:spacing w:val="-3"/>
        </w:rPr>
        <w:t xml:space="preserve">scheme </w:t>
      </w:r>
      <w:r>
        <w:rPr>
          <w:color w:val="231F20"/>
        </w:rPr>
        <w:t>with</w:t>
      </w:r>
      <w:r>
        <w:rPr>
          <w:color w:val="231F20"/>
          <w:spacing w:val="-7"/>
        </w:rPr>
        <w:t xml:space="preserve"> </w:t>
      </w:r>
      <w:r>
        <w:rPr>
          <w:color w:val="231F20"/>
        </w:rPr>
        <w:t>premium</w:t>
      </w:r>
      <w:r>
        <w:rPr>
          <w:color w:val="231F20"/>
          <w:spacing w:val="-6"/>
        </w:rPr>
        <w:t xml:space="preserve"> </w:t>
      </w:r>
      <w:r>
        <w:rPr>
          <w:color w:val="231F20"/>
        </w:rPr>
        <w:t>set</w:t>
      </w:r>
      <w:r>
        <w:rPr>
          <w:color w:val="231F20"/>
          <w:spacing w:val="-6"/>
        </w:rPr>
        <w:t xml:space="preserve"> </w:t>
      </w:r>
      <w:proofErr w:type="gramStart"/>
      <w:r>
        <w:rPr>
          <w:color w:val="231F20"/>
        </w:rPr>
        <w:t>at</w:t>
      </w:r>
      <w:r>
        <w:rPr>
          <w:color w:val="231F20"/>
          <w:spacing w:val="-6"/>
        </w:rPr>
        <w:t xml:space="preserve"> </w:t>
      </w:r>
      <w:r>
        <w:rPr>
          <w:color w:val="231F20"/>
        </w:rPr>
        <w:t>?</w:t>
      </w:r>
      <w:proofErr w:type="gramEnd"/>
      <w:r>
        <w:rPr>
          <w:color w:val="231F20"/>
          <w:spacing w:val="-19"/>
        </w:rPr>
        <w:t xml:space="preserve"> </w:t>
      </w:r>
      <w:r>
        <w:rPr>
          <w:color w:val="231F20"/>
        </w:rPr>
        <w:t>12,000</w:t>
      </w:r>
      <w:r>
        <w:rPr>
          <w:color w:val="231F20"/>
          <w:spacing w:val="-7"/>
        </w:rPr>
        <w:t xml:space="preserve"> </w:t>
      </w:r>
      <w:r>
        <w:rPr>
          <w:color w:val="231F20"/>
        </w:rPr>
        <w:t>per</w:t>
      </w:r>
      <w:r>
        <w:rPr>
          <w:color w:val="231F20"/>
          <w:spacing w:val="-6"/>
        </w:rPr>
        <w:t xml:space="preserve"> </w:t>
      </w:r>
      <w:r>
        <w:rPr>
          <w:color w:val="231F20"/>
        </w:rPr>
        <w:t>annum</w:t>
      </w:r>
      <w:r>
        <w:rPr>
          <w:color w:val="231F20"/>
          <w:spacing w:val="-6"/>
        </w:rPr>
        <w:t xml:space="preserve"> </w:t>
      </w:r>
      <w:r>
        <w:rPr>
          <w:color w:val="231F20"/>
        </w:rPr>
        <w:t>while</w:t>
      </w:r>
      <w:r>
        <w:rPr>
          <w:color w:val="231F20"/>
          <w:spacing w:val="-6"/>
        </w:rPr>
        <w:t xml:space="preserve"> </w:t>
      </w:r>
      <w:r>
        <w:rPr>
          <w:color w:val="231F20"/>
        </w:rPr>
        <w:t>the</w:t>
      </w:r>
      <w:r>
        <w:rPr>
          <w:color w:val="231F20"/>
          <w:spacing w:val="-6"/>
        </w:rPr>
        <w:t xml:space="preserve"> </w:t>
      </w:r>
      <w:r>
        <w:rPr>
          <w:color w:val="231F20"/>
        </w:rPr>
        <w:t>scheme</w:t>
      </w:r>
      <w:r>
        <w:rPr>
          <w:color w:val="231F20"/>
          <w:spacing w:val="-7"/>
        </w:rPr>
        <w:t xml:space="preserve"> </w:t>
      </w:r>
      <w:r>
        <w:rPr>
          <w:color w:val="231F20"/>
        </w:rPr>
        <w:t>is</w:t>
      </w:r>
      <w:r>
        <w:rPr>
          <w:color w:val="231F20"/>
          <w:spacing w:val="-6"/>
        </w:rPr>
        <w:t xml:space="preserve"> </w:t>
      </w:r>
      <w:r>
        <w:rPr>
          <w:color w:val="231F20"/>
        </w:rPr>
        <w:t>scaled</w:t>
      </w:r>
      <w:r>
        <w:rPr>
          <w:color w:val="231F20"/>
          <w:spacing w:val="-6"/>
        </w:rPr>
        <w:t xml:space="preserve"> </w:t>
      </w:r>
      <w:r>
        <w:rPr>
          <w:color w:val="231F20"/>
        </w:rPr>
        <w:t>to</w:t>
      </w:r>
      <w:r>
        <w:rPr>
          <w:color w:val="231F20"/>
          <w:spacing w:val="-6"/>
        </w:rPr>
        <w:t xml:space="preserve"> </w:t>
      </w:r>
      <w:r>
        <w:rPr>
          <w:color w:val="231F20"/>
        </w:rPr>
        <w:t>30%</w:t>
      </w:r>
      <w:r>
        <w:rPr>
          <w:color w:val="231F20"/>
          <w:spacing w:val="-7"/>
        </w:rPr>
        <w:t xml:space="preserve"> </w:t>
      </w:r>
      <w:r>
        <w:rPr>
          <w:color w:val="231F20"/>
        </w:rPr>
        <w:t>subscribers</w:t>
      </w:r>
      <w:r>
        <w:rPr>
          <w:color w:val="231F20"/>
          <w:spacing w:val="-6"/>
        </w:rPr>
        <w:t xml:space="preserve"> </w:t>
      </w:r>
      <w:r>
        <w:rPr>
          <w:color w:val="231F20"/>
        </w:rPr>
        <w:t>based</w:t>
      </w:r>
      <w:r>
        <w:rPr>
          <w:color w:val="231F20"/>
          <w:spacing w:val="-6"/>
        </w:rPr>
        <w:t xml:space="preserve"> </w:t>
      </w:r>
      <w:r>
        <w:rPr>
          <w:color w:val="231F20"/>
          <w:spacing w:val="-7"/>
        </w:rPr>
        <w:t xml:space="preserve">by </w:t>
      </w:r>
      <w:r>
        <w:rPr>
          <w:color w:val="231F20"/>
        </w:rPr>
        <w:t>2022.</w:t>
      </w:r>
    </w:p>
    <w:p w14:paraId="58BAD765" w14:textId="77777777" w:rsidR="009948F1" w:rsidRDefault="009948F1">
      <w:pPr>
        <w:spacing w:line="249" w:lineRule="auto"/>
        <w:jc w:val="both"/>
        <w:sectPr w:rsidR="009948F1">
          <w:footerReference w:type="default" r:id="rId32"/>
          <w:pgSz w:w="11910" w:h="16840"/>
          <w:pgMar w:top="1260" w:right="1080" w:bottom="1420" w:left="1120" w:header="0" w:footer="1235" w:gutter="0"/>
          <w:pgNumType w:start="110"/>
          <w:cols w:space="720"/>
        </w:sectPr>
      </w:pPr>
    </w:p>
    <w:p w14:paraId="12E62911" w14:textId="77777777" w:rsidR="009948F1" w:rsidRDefault="009948F1">
      <w:pPr>
        <w:pStyle w:val="BodyText"/>
        <w:rPr>
          <w:sz w:val="20"/>
        </w:rPr>
      </w:pPr>
    </w:p>
    <w:p w14:paraId="22C22FD1" w14:textId="77777777" w:rsidR="009948F1" w:rsidRDefault="009948F1">
      <w:pPr>
        <w:pStyle w:val="BodyText"/>
        <w:spacing w:before="6"/>
        <w:rPr>
          <w:sz w:val="20"/>
        </w:rPr>
      </w:pPr>
    </w:p>
    <w:p w14:paraId="0EB13913" w14:textId="77777777" w:rsidR="009948F1" w:rsidRDefault="00BC0563">
      <w:pPr>
        <w:ind w:left="268"/>
        <w:jc w:val="both"/>
        <w:rPr>
          <w:b/>
          <w:i/>
          <w:sz w:val="20"/>
        </w:rPr>
      </w:pPr>
      <w:bookmarkStart w:id="135" w:name="Page_112"/>
      <w:bookmarkEnd w:id="135"/>
      <w:r>
        <w:rPr>
          <w:b/>
          <w:i/>
          <w:color w:val="231F20"/>
          <w:sz w:val="20"/>
        </w:rPr>
        <w:t>Figure 4: Financial sustainability of RIVERS SSHDP II 2018-2022, in Millions ($)</w:t>
      </w:r>
    </w:p>
    <w:p w14:paraId="3FE740B4" w14:textId="77777777" w:rsidR="009948F1" w:rsidRDefault="00BC0563">
      <w:pPr>
        <w:pStyle w:val="BodyText"/>
        <w:spacing w:before="4"/>
        <w:rPr>
          <w:b/>
          <w:i/>
          <w:sz w:val="24"/>
        </w:rPr>
      </w:pPr>
      <w:r>
        <w:rPr>
          <w:noProof/>
          <w:lang w:val="en-GB" w:eastAsia="en-GB"/>
        </w:rPr>
        <w:drawing>
          <wp:anchor distT="0" distB="0" distL="0" distR="0" simplePos="0" relativeHeight="35" behindDoc="0" locked="0" layoutInCell="1" allowOverlap="1" wp14:anchorId="3A6D949A" wp14:editId="18EAB156">
            <wp:simplePos x="0" y="0"/>
            <wp:positionH relativeFrom="page">
              <wp:posOffset>1131588</wp:posOffset>
            </wp:positionH>
            <wp:positionV relativeFrom="paragraph">
              <wp:posOffset>202932</wp:posOffset>
            </wp:positionV>
            <wp:extent cx="5385350" cy="2999231"/>
            <wp:effectExtent l="0" t="0" r="0" b="0"/>
            <wp:wrapTopAndBottom/>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jpeg"/>
                    <pic:cNvPicPr/>
                  </pic:nvPicPr>
                  <pic:blipFill>
                    <a:blip r:embed="rId33" cstate="print"/>
                    <a:stretch>
                      <a:fillRect/>
                    </a:stretch>
                  </pic:blipFill>
                  <pic:spPr>
                    <a:xfrm>
                      <a:off x="0" y="0"/>
                      <a:ext cx="5385350" cy="2999231"/>
                    </a:xfrm>
                    <a:prstGeom prst="rect">
                      <a:avLst/>
                    </a:prstGeom>
                  </pic:spPr>
                </pic:pic>
              </a:graphicData>
            </a:graphic>
          </wp:anchor>
        </w:drawing>
      </w:r>
    </w:p>
    <w:p w14:paraId="25AA1913" w14:textId="77777777" w:rsidR="009948F1" w:rsidRDefault="00BC0563">
      <w:pPr>
        <w:pStyle w:val="BodyText"/>
        <w:spacing w:before="153" w:line="232" w:lineRule="auto"/>
        <w:ind w:left="173" w:right="152"/>
        <w:jc w:val="both"/>
      </w:pPr>
      <w:r>
        <w:rPr>
          <w:color w:val="231F20"/>
        </w:rPr>
        <w:t xml:space="preserve">From the information provided in the graph above, it is evident that even an achievement of </w:t>
      </w:r>
      <w:r>
        <w:rPr>
          <w:color w:val="231F20"/>
          <w:spacing w:val="-6"/>
        </w:rPr>
        <w:t xml:space="preserve">30% </w:t>
      </w:r>
      <w:r>
        <w:rPr>
          <w:color w:val="231F20"/>
        </w:rPr>
        <w:t>subscriber base through the SHIS, and increasing the Rivers State Government's allocation to health</w:t>
      </w:r>
      <w:r>
        <w:rPr>
          <w:color w:val="231F20"/>
          <w:spacing w:val="-23"/>
        </w:rPr>
        <w:t xml:space="preserve"> </w:t>
      </w:r>
      <w:r>
        <w:rPr>
          <w:color w:val="231F20"/>
        </w:rPr>
        <w:t>to</w:t>
      </w:r>
      <w:r>
        <w:rPr>
          <w:color w:val="231F20"/>
          <w:spacing w:val="-22"/>
        </w:rPr>
        <w:t xml:space="preserve"> </w:t>
      </w:r>
      <w:r>
        <w:rPr>
          <w:color w:val="231F20"/>
        </w:rPr>
        <w:t>6%</w:t>
      </w:r>
      <w:r>
        <w:rPr>
          <w:color w:val="231F20"/>
          <w:spacing w:val="-22"/>
        </w:rPr>
        <w:t xml:space="preserve"> </w:t>
      </w:r>
      <w:r>
        <w:rPr>
          <w:color w:val="231F20"/>
        </w:rPr>
        <w:t>by</w:t>
      </w:r>
      <w:r>
        <w:rPr>
          <w:color w:val="231F20"/>
          <w:spacing w:val="-22"/>
        </w:rPr>
        <w:t xml:space="preserve"> </w:t>
      </w:r>
      <w:r>
        <w:rPr>
          <w:color w:val="231F20"/>
        </w:rPr>
        <w:t>2022,</w:t>
      </w:r>
      <w:r>
        <w:rPr>
          <w:color w:val="231F20"/>
          <w:spacing w:val="-22"/>
        </w:rPr>
        <w:t xml:space="preserve"> </w:t>
      </w:r>
      <w:r>
        <w:rPr>
          <w:color w:val="231F20"/>
        </w:rPr>
        <w:t>there</w:t>
      </w:r>
      <w:r>
        <w:rPr>
          <w:color w:val="231F20"/>
          <w:spacing w:val="-22"/>
        </w:rPr>
        <w:t xml:space="preserve"> </w:t>
      </w:r>
      <w:r>
        <w:rPr>
          <w:color w:val="231F20"/>
        </w:rPr>
        <w:t>would</w:t>
      </w:r>
      <w:r>
        <w:rPr>
          <w:color w:val="231F20"/>
          <w:spacing w:val="-22"/>
        </w:rPr>
        <w:t xml:space="preserve"> </w:t>
      </w:r>
      <w:r>
        <w:rPr>
          <w:color w:val="231F20"/>
        </w:rPr>
        <w:t>still</w:t>
      </w:r>
      <w:r>
        <w:rPr>
          <w:color w:val="231F20"/>
          <w:spacing w:val="-22"/>
        </w:rPr>
        <w:t xml:space="preserve"> </w:t>
      </w:r>
      <w:r>
        <w:rPr>
          <w:color w:val="231F20"/>
        </w:rPr>
        <w:t>be</w:t>
      </w:r>
      <w:r>
        <w:rPr>
          <w:color w:val="231F20"/>
          <w:spacing w:val="-22"/>
        </w:rPr>
        <w:t xml:space="preserve"> </w:t>
      </w:r>
      <w:r>
        <w:rPr>
          <w:color w:val="231F20"/>
        </w:rPr>
        <w:t>a</w:t>
      </w:r>
      <w:r>
        <w:rPr>
          <w:color w:val="231F20"/>
          <w:spacing w:val="-22"/>
        </w:rPr>
        <w:t xml:space="preserve"> </w:t>
      </w:r>
      <w:r>
        <w:rPr>
          <w:color w:val="231F20"/>
        </w:rPr>
        <w:t>cumulative</w:t>
      </w:r>
      <w:r>
        <w:rPr>
          <w:color w:val="231F20"/>
          <w:spacing w:val="-22"/>
        </w:rPr>
        <w:t xml:space="preserve"> </w:t>
      </w:r>
      <w:r>
        <w:rPr>
          <w:color w:val="231F20"/>
        </w:rPr>
        <w:t>funding</w:t>
      </w:r>
      <w:r>
        <w:rPr>
          <w:color w:val="231F20"/>
          <w:spacing w:val="-22"/>
        </w:rPr>
        <w:t xml:space="preserve"> </w:t>
      </w:r>
      <w:r>
        <w:rPr>
          <w:color w:val="231F20"/>
        </w:rPr>
        <w:t>gap</w:t>
      </w:r>
      <w:r>
        <w:rPr>
          <w:color w:val="231F20"/>
          <w:spacing w:val="-23"/>
        </w:rPr>
        <w:t xml:space="preserve"> </w:t>
      </w:r>
      <w:r>
        <w:rPr>
          <w:color w:val="231F20"/>
        </w:rPr>
        <w:t>of</w:t>
      </w:r>
      <w:r>
        <w:rPr>
          <w:color w:val="231F20"/>
          <w:spacing w:val="-22"/>
        </w:rPr>
        <w:t xml:space="preserve"> </w:t>
      </w:r>
      <w:r>
        <w:rPr>
          <w:color w:val="231F20"/>
        </w:rPr>
        <w:t>$146m</w:t>
      </w:r>
      <w:r>
        <w:rPr>
          <w:color w:val="231F20"/>
          <w:spacing w:val="-22"/>
        </w:rPr>
        <w:t xml:space="preserve"> </w:t>
      </w:r>
      <w:r>
        <w:rPr>
          <w:color w:val="231F20"/>
        </w:rPr>
        <w:t>through</w:t>
      </w:r>
      <w:r>
        <w:rPr>
          <w:color w:val="231F20"/>
          <w:spacing w:val="-22"/>
        </w:rPr>
        <w:t xml:space="preserve"> </w:t>
      </w:r>
      <w:r>
        <w:rPr>
          <w:color w:val="231F20"/>
        </w:rPr>
        <w:t>the</w:t>
      </w:r>
      <w:r>
        <w:rPr>
          <w:color w:val="231F20"/>
          <w:spacing w:val="-22"/>
        </w:rPr>
        <w:t xml:space="preserve"> </w:t>
      </w:r>
      <w:r>
        <w:rPr>
          <w:color w:val="231F20"/>
        </w:rPr>
        <w:t>duration</w:t>
      </w:r>
      <w:r>
        <w:rPr>
          <w:color w:val="231F20"/>
          <w:spacing w:val="-22"/>
        </w:rPr>
        <w:t xml:space="preserve"> </w:t>
      </w:r>
      <w:r>
        <w:rPr>
          <w:color w:val="231F20"/>
          <w:spacing w:val="-7"/>
        </w:rPr>
        <w:t xml:space="preserve">of </w:t>
      </w:r>
      <w:r>
        <w:rPr>
          <w:color w:val="231F20"/>
        </w:rPr>
        <w:t>the</w:t>
      </w:r>
      <w:r>
        <w:rPr>
          <w:color w:val="231F20"/>
          <w:spacing w:val="-21"/>
        </w:rPr>
        <w:t xml:space="preserve"> </w:t>
      </w:r>
      <w:r>
        <w:rPr>
          <w:color w:val="231F20"/>
        </w:rPr>
        <w:t>plan.</w:t>
      </w:r>
      <w:r>
        <w:rPr>
          <w:color w:val="231F20"/>
          <w:spacing w:val="-20"/>
        </w:rPr>
        <w:t xml:space="preserve"> </w:t>
      </w:r>
      <w:r>
        <w:rPr>
          <w:color w:val="231F20"/>
        </w:rPr>
        <w:t>It</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pertinent</w:t>
      </w:r>
      <w:r>
        <w:rPr>
          <w:color w:val="231F20"/>
          <w:spacing w:val="-20"/>
        </w:rPr>
        <w:t xml:space="preserve"> </w:t>
      </w:r>
      <w:r>
        <w:rPr>
          <w:color w:val="231F20"/>
        </w:rPr>
        <w:t>to</w:t>
      </w:r>
      <w:r>
        <w:rPr>
          <w:color w:val="231F20"/>
          <w:spacing w:val="-20"/>
        </w:rPr>
        <w:t xml:space="preserve"> </w:t>
      </w:r>
      <w:r>
        <w:rPr>
          <w:color w:val="231F20"/>
        </w:rPr>
        <w:t>note</w:t>
      </w:r>
      <w:r>
        <w:rPr>
          <w:color w:val="231F20"/>
          <w:spacing w:val="-20"/>
        </w:rPr>
        <w:t xml:space="preserve"> </w:t>
      </w:r>
      <w:r>
        <w:rPr>
          <w:color w:val="231F20"/>
        </w:rPr>
        <w:t>that</w:t>
      </w:r>
      <w:r>
        <w:rPr>
          <w:color w:val="231F20"/>
          <w:spacing w:val="-20"/>
        </w:rPr>
        <w:t xml:space="preserve"> </w:t>
      </w:r>
      <w:r>
        <w:rPr>
          <w:color w:val="231F20"/>
        </w:rPr>
        <w:t>this</w:t>
      </w:r>
      <w:r>
        <w:rPr>
          <w:color w:val="231F20"/>
          <w:spacing w:val="-20"/>
        </w:rPr>
        <w:t xml:space="preserve"> </w:t>
      </w:r>
      <w:r>
        <w:rPr>
          <w:color w:val="231F20"/>
        </w:rPr>
        <w:t>graph</w:t>
      </w:r>
      <w:r>
        <w:rPr>
          <w:color w:val="231F20"/>
          <w:spacing w:val="-20"/>
        </w:rPr>
        <w:t xml:space="preserve"> </w:t>
      </w:r>
      <w:r>
        <w:rPr>
          <w:color w:val="231F20"/>
        </w:rPr>
        <w:t>may</w:t>
      </w:r>
      <w:r>
        <w:rPr>
          <w:color w:val="231F20"/>
          <w:spacing w:val="-20"/>
        </w:rPr>
        <w:t xml:space="preserve"> </w:t>
      </w:r>
      <w:r>
        <w:rPr>
          <w:color w:val="231F20"/>
        </w:rPr>
        <w:t>not</w:t>
      </w:r>
      <w:r>
        <w:rPr>
          <w:color w:val="231F20"/>
          <w:spacing w:val="-20"/>
        </w:rPr>
        <w:t xml:space="preserve"> </w:t>
      </w:r>
      <w:r>
        <w:rPr>
          <w:color w:val="231F20"/>
        </w:rPr>
        <w:t>present</w:t>
      </w:r>
      <w:r>
        <w:rPr>
          <w:color w:val="231F20"/>
          <w:spacing w:val="-20"/>
        </w:rPr>
        <w:t xml:space="preserve"> </w:t>
      </w:r>
      <w:r>
        <w:rPr>
          <w:color w:val="231F20"/>
        </w:rPr>
        <w:t>an</w:t>
      </w:r>
      <w:r>
        <w:rPr>
          <w:color w:val="231F20"/>
          <w:spacing w:val="-20"/>
        </w:rPr>
        <w:t xml:space="preserve"> </w:t>
      </w:r>
      <w:r>
        <w:rPr>
          <w:color w:val="231F20"/>
        </w:rPr>
        <w:t>accurate</w:t>
      </w:r>
      <w:r>
        <w:rPr>
          <w:color w:val="231F20"/>
          <w:spacing w:val="-20"/>
        </w:rPr>
        <w:t xml:space="preserve"> </w:t>
      </w:r>
      <w:r>
        <w:rPr>
          <w:color w:val="231F20"/>
        </w:rPr>
        <w:t>representation</w:t>
      </w:r>
      <w:r>
        <w:rPr>
          <w:color w:val="231F20"/>
          <w:spacing w:val="-21"/>
        </w:rPr>
        <w:t xml:space="preserve"> </w:t>
      </w:r>
      <w:r>
        <w:rPr>
          <w:color w:val="231F20"/>
        </w:rPr>
        <w:t>of the</w:t>
      </w:r>
      <w:r>
        <w:rPr>
          <w:color w:val="231F20"/>
          <w:spacing w:val="-5"/>
        </w:rPr>
        <w:t xml:space="preserve"> </w:t>
      </w:r>
      <w:r>
        <w:rPr>
          <w:color w:val="231F20"/>
        </w:rPr>
        <w:t>health</w:t>
      </w:r>
      <w:r>
        <w:rPr>
          <w:color w:val="231F20"/>
          <w:spacing w:val="-5"/>
        </w:rPr>
        <w:t xml:space="preserve"> </w:t>
      </w:r>
      <w:r>
        <w:rPr>
          <w:color w:val="231F20"/>
        </w:rPr>
        <w:t>financing</w:t>
      </w:r>
      <w:r>
        <w:rPr>
          <w:color w:val="231F20"/>
          <w:spacing w:val="-4"/>
        </w:rPr>
        <w:t xml:space="preserve"> </w:t>
      </w:r>
      <w:r>
        <w:rPr>
          <w:color w:val="231F20"/>
        </w:rPr>
        <w:t>need</w:t>
      </w:r>
      <w:r>
        <w:rPr>
          <w:color w:val="231F20"/>
          <w:spacing w:val="-5"/>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Rivers</w:t>
      </w:r>
      <w:r>
        <w:rPr>
          <w:color w:val="231F20"/>
          <w:spacing w:val="-4"/>
        </w:rPr>
        <w:t xml:space="preserve"> </w:t>
      </w:r>
      <w:r>
        <w:rPr>
          <w:color w:val="231F20"/>
        </w:rPr>
        <w:t>SSHDP</w:t>
      </w:r>
      <w:r>
        <w:rPr>
          <w:color w:val="231F20"/>
          <w:spacing w:val="-9"/>
        </w:rPr>
        <w:t xml:space="preserve"> </w:t>
      </w:r>
      <w:r>
        <w:rPr>
          <w:color w:val="231F20"/>
        </w:rPr>
        <w:t>II,</w:t>
      </w:r>
      <w:r>
        <w:rPr>
          <w:color w:val="231F20"/>
          <w:spacing w:val="-4"/>
        </w:rPr>
        <w:t xml:space="preserve"> </w:t>
      </w:r>
      <w:r>
        <w:rPr>
          <w:color w:val="231F20"/>
        </w:rPr>
        <w:t>as</w:t>
      </w:r>
      <w:r>
        <w:rPr>
          <w:color w:val="231F20"/>
          <w:spacing w:val="-5"/>
        </w:rPr>
        <w:t xml:space="preserve"> </w:t>
      </w:r>
      <w:r>
        <w:rPr>
          <w:color w:val="231F20"/>
        </w:rPr>
        <w:t>funds</w:t>
      </w:r>
      <w:r>
        <w:rPr>
          <w:color w:val="231F20"/>
          <w:spacing w:val="-5"/>
        </w:rPr>
        <w:t xml:space="preserve"> </w:t>
      </w:r>
      <w:r>
        <w:rPr>
          <w:color w:val="231F20"/>
        </w:rPr>
        <w:t>sourced</w:t>
      </w:r>
      <w:r>
        <w:rPr>
          <w:color w:val="231F20"/>
          <w:spacing w:val="-4"/>
        </w:rPr>
        <w:t xml:space="preserve"> </w:t>
      </w:r>
      <w:r>
        <w:rPr>
          <w:color w:val="231F20"/>
        </w:rPr>
        <w:t>from</w:t>
      </w:r>
      <w:r>
        <w:rPr>
          <w:color w:val="231F20"/>
          <w:spacing w:val="-5"/>
        </w:rPr>
        <w:t xml:space="preserve"> dev.</w:t>
      </w:r>
      <w:r>
        <w:rPr>
          <w:color w:val="231F20"/>
          <w:spacing w:val="-4"/>
        </w:rPr>
        <w:t xml:space="preserve"> </w:t>
      </w:r>
      <w:r>
        <w:rPr>
          <w:color w:val="231F20"/>
        </w:rPr>
        <w:t>partners</w:t>
      </w:r>
      <w:r>
        <w:rPr>
          <w:color w:val="231F20"/>
          <w:spacing w:val="-5"/>
        </w:rPr>
        <w:t xml:space="preserve"> </w:t>
      </w:r>
      <w:r>
        <w:rPr>
          <w:color w:val="231F20"/>
        </w:rPr>
        <w:t>operating within</w:t>
      </w:r>
      <w:r>
        <w:rPr>
          <w:color w:val="231F20"/>
          <w:spacing w:val="-25"/>
        </w:rPr>
        <w:t xml:space="preserve"> </w:t>
      </w:r>
      <w:r>
        <w:rPr>
          <w:color w:val="231F20"/>
        </w:rPr>
        <w:t>the</w:t>
      </w:r>
      <w:r>
        <w:rPr>
          <w:color w:val="231F20"/>
          <w:spacing w:val="-25"/>
        </w:rPr>
        <w:t xml:space="preserve"> </w:t>
      </w:r>
      <w:r>
        <w:rPr>
          <w:color w:val="231F20"/>
        </w:rPr>
        <w:t>state</w:t>
      </w:r>
      <w:r>
        <w:rPr>
          <w:color w:val="231F20"/>
          <w:spacing w:val="-25"/>
        </w:rPr>
        <w:t xml:space="preserve"> </w:t>
      </w:r>
      <w:r>
        <w:rPr>
          <w:color w:val="231F20"/>
        </w:rPr>
        <w:t>were</w:t>
      </w:r>
      <w:r>
        <w:rPr>
          <w:color w:val="231F20"/>
          <w:spacing w:val="-25"/>
        </w:rPr>
        <w:t xml:space="preserve"> </w:t>
      </w:r>
      <w:r>
        <w:rPr>
          <w:color w:val="231F20"/>
        </w:rPr>
        <w:t>not</w:t>
      </w:r>
      <w:r>
        <w:rPr>
          <w:color w:val="231F20"/>
          <w:spacing w:val="-25"/>
        </w:rPr>
        <w:t xml:space="preserve"> </w:t>
      </w:r>
      <w:r>
        <w:rPr>
          <w:color w:val="231F20"/>
        </w:rPr>
        <w:t>captured.</w:t>
      </w:r>
    </w:p>
    <w:p w14:paraId="0990C606" w14:textId="77777777" w:rsidR="009948F1" w:rsidRDefault="009948F1">
      <w:pPr>
        <w:pStyle w:val="BodyText"/>
        <w:rPr>
          <w:sz w:val="21"/>
        </w:rPr>
      </w:pPr>
    </w:p>
    <w:p w14:paraId="120978AC" w14:textId="77777777" w:rsidR="009948F1" w:rsidRDefault="00BC0563">
      <w:pPr>
        <w:pStyle w:val="Heading7"/>
        <w:numPr>
          <w:ilvl w:val="1"/>
          <w:numId w:val="255"/>
        </w:numPr>
        <w:tabs>
          <w:tab w:val="left" w:pos="894"/>
        </w:tabs>
        <w:spacing w:line="249" w:lineRule="exact"/>
        <w:ind w:left="893" w:hanging="721"/>
        <w:jc w:val="both"/>
      </w:pPr>
      <w:bookmarkStart w:id="136" w:name="_TOC_250006"/>
      <w:bookmarkEnd w:id="136"/>
      <w:r>
        <w:rPr>
          <w:color w:val="231F20"/>
        </w:rPr>
        <w:t>Conclusions and Recommendations:</w:t>
      </w:r>
    </w:p>
    <w:p w14:paraId="10672392" w14:textId="77777777" w:rsidR="009948F1" w:rsidRDefault="00BC0563">
      <w:pPr>
        <w:pStyle w:val="BodyText"/>
        <w:spacing w:before="3" w:line="232" w:lineRule="auto"/>
        <w:ind w:left="173" w:right="152"/>
        <w:jc w:val="both"/>
      </w:pPr>
      <w:r>
        <w:rPr>
          <w:color w:val="231F20"/>
          <w:spacing w:val="-5"/>
        </w:rPr>
        <w:t xml:space="preserve">Two </w:t>
      </w:r>
      <w:r>
        <w:rPr>
          <w:color w:val="231F20"/>
        </w:rPr>
        <w:t xml:space="preserve">Scenarios were proposed for the Rivers SSHDP II, the Essential Service Moderate and </w:t>
      </w:r>
      <w:r>
        <w:rPr>
          <w:color w:val="231F20"/>
          <w:spacing w:val="-4"/>
        </w:rPr>
        <w:t xml:space="preserve">the </w:t>
      </w:r>
      <w:r>
        <w:rPr>
          <w:color w:val="231F20"/>
        </w:rPr>
        <w:t>Essential</w:t>
      </w:r>
      <w:r>
        <w:rPr>
          <w:color w:val="231F20"/>
          <w:spacing w:val="-8"/>
        </w:rPr>
        <w:t xml:space="preserve"> </w:t>
      </w:r>
      <w:r>
        <w:rPr>
          <w:color w:val="231F20"/>
        </w:rPr>
        <w:t>Service</w:t>
      </w:r>
      <w:r>
        <w:rPr>
          <w:color w:val="231F20"/>
          <w:spacing w:val="-19"/>
        </w:rPr>
        <w:t xml:space="preserve"> </w:t>
      </w:r>
      <w:r>
        <w:rPr>
          <w:color w:val="231F20"/>
        </w:rPr>
        <w:t>Aggressive.</w:t>
      </w:r>
      <w:r>
        <w:rPr>
          <w:color w:val="231F20"/>
          <w:spacing w:val="-7"/>
        </w:rPr>
        <w:t xml:space="preserve"> </w:t>
      </w:r>
      <w:r>
        <w:rPr>
          <w:color w:val="231F20"/>
        </w:rPr>
        <w:t>Both</w:t>
      </w:r>
      <w:r>
        <w:rPr>
          <w:color w:val="231F20"/>
          <w:spacing w:val="-7"/>
        </w:rPr>
        <w:t xml:space="preserve"> </w:t>
      </w:r>
      <w:r>
        <w:rPr>
          <w:color w:val="231F20"/>
        </w:rPr>
        <w:t>scenarios</w:t>
      </w:r>
      <w:r>
        <w:rPr>
          <w:color w:val="231F20"/>
          <w:spacing w:val="-7"/>
        </w:rPr>
        <w:t xml:space="preserve"> </w:t>
      </w:r>
      <w:r>
        <w:rPr>
          <w:color w:val="231F20"/>
        </w:rPr>
        <w:t>scaled-up</w:t>
      </w:r>
      <w:r>
        <w:rPr>
          <w:color w:val="231F20"/>
          <w:spacing w:val="-7"/>
        </w:rPr>
        <w:t xml:space="preserve"> </w:t>
      </w:r>
      <w:r>
        <w:rPr>
          <w:color w:val="231F20"/>
        </w:rPr>
        <w:t>service</w:t>
      </w:r>
      <w:r>
        <w:rPr>
          <w:color w:val="231F20"/>
          <w:spacing w:val="-7"/>
        </w:rPr>
        <w:t xml:space="preserve"> </w:t>
      </w:r>
      <w:r>
        <w:rPr>
          <w:color w:val="231F20"/>
        </w:rPr>
        <w:t>coverage</w:t>
      </w:r>
      <w:r>
        <w:rPr>
          <w:color w:val="231F20"/>
          <w:spacing w:val="-8"/>
        </w:rPr>
        <w:t xml:space="preserve"> </w:t>
      </w:r>
      <w:r>
        <w:rPr>
          <w:color w:val="231F20"/>
        </w:rPr>
        <w:t>across</w:t>
      </w:r>
      <w:r>
        <w:rPr>
          <w:color w:val="231F20"/>
          <w:spacing w:val="-7"/>
        </w:rPr>
        <w:t xml:space="preserve"> </w:t>
      </w:r>
      <w:r>
        <w:rPr>
          <w:color w:val="231F20"/>
        </w:rPr>
        <w:t>all</w:t>
      </w:r>
      <w:r>
        <w:rPr>
          <w:color w:val="231F20"/>
          <w:spacing w:val="-7"/>
        </w:rPr>
        <w:t xml:space="preserve"> </w:t>
      </w:r>
      <w:r>
        <w:rPr>
          <w:color w:val="231F20"/>
        </w:rPr>
        <w:t>interventions averagely</w:t>
      </w:r>
      <w:r>
        <w:rPr>
          <w:color w:val="231F20"/>
          <w:spacing w:val="-26"/>
        </w:rPr>
        <w:t xml:space="preserve"> </w:t>
      </w:r>
      <w:r>
        <w:rPr>
          <w:color w:val="231F20"/>
        </w:rPr>
        <w:t>by</w:t>
      </w:r>
      <w:r>
        <w:rPr>
          <w:color w:val="231F20"/>
          <w:spacing w:val="-25"/>
        </w:rPr>
        <w:t xml:space="preserve"> </w:t>
      </w:r>
      <w:r>
        <w:rPr>
          <w:color w:val="231F20"/>
        </w:rPr>
        <w:t>17.5%</w:t>
      </w:r>
      <w:r>
        <w:rPr>
          <w:color w:val="231F20"/>
          <w:spacing w:val="-25"/>
        </w:rPr>
        <w:t xml:space="preserve"> </w:t>
      </w:r>
      <w:r>
        <w:rPr>
          <w:color w:val="231F20"/>
        </w:rPr>
        <w:t>and</w:t>
      </w:r>
      <w:r>
        <w:rPr>
          <w:color w:val="231F20"/>
          <w:spacing w:val="-25"/>
        </w:rPr>
        <w:t xml:space="preserve"> </w:t>
      </w:r>
      <w:r>
        <w:rPr>
          <w:color w:val="231F20"/>
        </w:rPr>
        <w:t>30%</w:t>
      </w:r>
      <w:r>
        <w:rPr>
          <w:color w:val="231F20"/>
          <w:spacing w:val="-25"/>
        </w:rPr>
        <w:t xml:space="preserve"> </w:t>
      </w:r>
      <w:r>
        <w:rPr>
          <w:color w:val="231F20"/>
        </w:rPr>
        <w:t>respectively.</w:t>
      </w:r>
    </w:p>
    <w:p w14:paraId="5FCC5DA5" w14:textId="77777777" w:rsidR="009948F1" w:rsidRDefault="00BC0563">
      <w:pPr>
        <w:pStyle w:val="BodyText"/>
        <w:spacing w:line="247" w:lineRule="auto"/>
        <w:ind w:left="173" w:right="152"/>
        <w:jc w:val="both"/>
      </w:pPr>
      <w:r>
        <w:rPr>
          <w:color w:val="231F20"/>
        </w:rPr>
        <w:t xml:space="preserve">The Essential Service Moderate Scenario proposes a scale-up of HR which will increase the </w:t>
      </w:r>
      <w:r>
        <w:rPr>
          <w:color w:val="231F20"/>
          <w:spacing w:val="-5"/>
        </w:rPr>
        <w:t xml:space="preserve">key </w:t>
      </w:r>
      <w:r>
        <w:rPr>
          <w:color w:val="231F20"/>
        </w:rPr>
        <w:t xml:space="preserve">front line staff and </w:t>
      </w:r>
      <w:proofErr w:type="gramStart"/>
      <w:r>
        <w:rPr>
          <w:color w:val="231F20"/>
        </w:rPr>
        <w:t>add ?</w:t>
      </w:r>
      <w:proofErr w:type="gramEnd"/>
      <w:r>
        <w:rPr>
          <w:color w:val="231F20"/>
        </w:rPr>
        <w:t xml:space="preserve"> 43.979b to the salaries of existing staff over the duration of the </w:t>
      </w:r>
      <w:r>
        <w:rPr>
          <w:color w:val="231F20"/>
          <w:spacing w:val="-3"/>
        </w:rPr>
        <w:t xml:space="preserve">plan, </w:t>
      </w:r>
      <w:r>
        <w:rPr>
          <w:color w:val="231F20"/>
        </w:rPr>
        <w:t>bringing the total cost of plan to $ 721.9m. Projecting Governments allocation in addition to the declared</w:t>
      </w:r>
      <w:r>
        <w:rPr>
          <w:color w:val="231F20"/>
          <w:spacing w:val="-22"/>
        </w:rPr>
        <w:t xml:space="preserve"> </w:t>
      </w:r>
      <w:r>
        <w:rPr>
          <w:color w:val="231F20"/>
          <w:spacing w:val="-5"/>
        </w:rPr>
        <w:t>Dev.</w:t>
      </w:r>
      <w:r>
        <w:rPr>
          <w:color w:val="231F20"/>
          <w:spacing w:val="-22"/>
        </w:rPr>
        <w:t xml:space="preserve"> </w:t>
      </w:r>
      <w:r>
        <w:rPr>
          <w:color w:val="231F20"/>
        </w:rPr>
        <w:t>Partner</w:t>
      </w:r>
      <w:r>
        <w:rPr>
          <w:color w:val="231F20"/>
          <w:spacing w:val="-22"/>
        </w:rPr>
        <w:t xml:space="preserve"> </w:t>
      </w:r>
      <w:r>
        <w:rPr>
          <w:color w:val="231F20"/>
        </w:rPr>
        <w:t>funding,</w:t>
      </w:r>
      <w:r>
        <w:rPr>
          <w:color w:val="231F20"/>
          <w:spacing w:val="-22"/>
        </w:rPr>
        <w:t xml:space="preserve"> </w:t>
      </w:r>
      <w:r>
        <w:rPr>
          <w:color w:val="231F20"/>
        </w:rPr>
        <w:t>the</w:t>
      </w:r>
      <w:r>
        <w:rPr>
          <w:color w:val="231F20"/>
          <w:spacing w:val="-22"/>
        </w:rPr>
        <w:t xml:space="preserve"> </w:t>
      </w:r>
      <w:r>
        <w:rPr>
          <w:color w:val="231F20"/>
        </w:rPr>
        <w:t>total</w:t>
      </w:r>
      <w:r>
        <w:rPr>
          <w:color w:val="231F20"/>
          <w:spacing w:val="-22"/>
        </w:rPr>
        <w:t xml:space="preserve"> </w:t>
      </w:r>
      <w:r>
        <w:rPr>
          <w:color w:val="231F20"/>
        </w:rPr>
        <w:t>funds</w:t>
      </w:r>
      <w:r>
        <w:rPr>
          <w:color w:val="231F20"/>
          <w:spacing w:val="-22"/>
        </w:rPr>
        <w:t xml:space="preserve"> </w:t>
      </w:r>
      <w:r>
        <w:rPr>
          <w:color w:val="231F20"/>
        </w:rPr>
        <w:t>available</w:t>
      </w:r>
      <w:r>
        <w:rPr>
          <w:color w:val="231F20"/>
          <w:spacing w:val="-22"/>
        </w:rPr>
        <w:t xml:space="preserve"> </w:t>
      </w:r>
      <w:r>
        <w:rPr>
          <w:color w:val="231F20"/>
        </w:rPr>
        <w:t>stands</w:t>
      </w:r>
      <w:r>
        <w:rPr>
          <w:color w:val="231F20"/>
          <w:spacing w:val="-22"/>
        </w:rPr>
        <w:t xml:space="preserve"> </w:t>
      </w:r>
      <w:r>
        <w:rPr>
          <w:color w:val="231F20"/>
        </w:rPr>
        <w:t>at</w:t>
      </w:r>
      <w:r>
        <w:rPr>
          <w:color w:val="231F20"/>
          <w:spacing w:val="-21"/>
        </w:rPr>
        <w:t xml:space="preserve"> </w:t>
      </w:r>
      <w:r>
        <w:rPr>
          <w:color w:val="231F20"/>
        </w:rPr>
        <w:t>$</w:t>
      </w:r>
      <w:r>
        <w:rPr>
          <w:color w:val="231F20"/>
          <w:spacing w:val="-22"/>
        </w:rPr>
        <w:t xml:space="preserve"> </w:t>
      </w:r>
      <w:r>
        <w:rPr>
          <w:color w:val="231F20"/>
        </w:rPr>
        <w:t>235.4m,</w:t>
      </w:r>
      <w:r>
        <w:rPr>
          <w:color w:val="231F20"/>
          <w:spacing w:val="-22"/>
        </w:rPr>
        <w:t xml:space="preserve"> </w:t>
      </w:r>
      <w:r>
        <w:rPr>
          <w:color w:val="231F20"/>
        </w:rPr>
        <w:t>with</w:t>
      </w:r>
      <w:r>
        <w:rPr>
          <w:color w:val="231F20"/>
          <w:spacing w:val="-22"/>
        </w:rPr>
        <w:t xml:space="preserve"> </w:t>
      </w:r>
      <w:r>
        <w:rPr>
          <w:color w:val="231F20"/>
        </w:rPr>
        <w:t>a</w:t>
      </w:r>
      <w:r>
        <w:rPr>
          <w:color w:val="231F20"/>
          <w:spacing w:val="-22"/>
        </w:rPr>
        <w:t xml:space="preserve"> </w:t>
      </w:r>
      <w:r>
        <w:rPr>
          <w:color w:val="231F20"/>
        </w:rPr>
        <w:t>resource</w:t>
      </w:r>
      <w:r>
        <w:rPr>
          <w:color w:val="231F20"/>
          <w:spacing w:val="-22"/>
        </w:rPr>
        <w:t xml:space="preserve"> </w:t>
      </w:r>
      <w:r>
        <w:rPr>
          <w:color w:val="231F20"/>
        </w:rPr>
        <w:t>gap</w:t>
      </w:r>
      <w:r>
        <w:rPr>
          <w:color w:val="231F20"/>
          <w:spacing w:val="-22"/>
        </w:rPr>
        <w:t xml:space="preserve"> </w:t>
      </w:r>
      <w:r>
        <w:rPr>
          <w:color w:val="231F20"/>
        </w:rPr>
        <w:t>of</w:t>
      </w:r>
      <w:r>
        <w:rPr>
          <w:color w:val="231F20"/>
          <w:spacing w:val="-22"/>
        </w:rPr>
        <w:t xml:space="preserve"> </w:t>
      </w:r>
      <w:r>
        <w:rPr>
          <w:color w:val="231F20"/>
        </w:rPr>
        <w:t>$</w:t>
      </w:r>
    </w:p>
    <w:p w14:paraId="3E317954" w14:textId="77777777" w:rsidR="009948F1" w:rsidRDefault="00BC0563">
      <w:pPr>
        <w:pStyle w:val="BodyText"/>
        <w:spacing w:line="237" w:lineRule="exact"/>
        <w:ind w:left="173"/>
      </w:pPr>
      <w:r>
        <w:rPr>
          <w:color w:val="231F20"/>
        </w:rPr>
        <w:t>487m.</w:t>
      </w:r>
    </w:p>
    <w:p w14:paraId="0B08650F" w14:textId="77777777" w:rsidR="009948F1" w:rsidRDefault="00BC0563">
      <w:pPr>
        <w:pStyle w:val="BodyText"/>
        <w:spacing w:line="247" w:lineRule="auto"/>
        <w:ind w:left="173" w:right="152"/>
        <w:jc w:val="both"/>
      </w:pPr>
      <w:r>
        <w:rPr>
          <w:color w:val="231F20"/>
        </w:rPr>
        <w:t>The Essential Service aggressive Scenario scaled-up HSS, adding key frontline staff to existing staff</w:t>
      </w:r>
      <w:r>
        <w:rPr>
          <w:color w:val="231F20"/>
          <w:spacing w:val="-25"/>
        </w:rPr>
        <w:t xml:space="preserve"> </w:t>
      </w:r>
      <w:r>
        <w:rPr>
          <w:color w:val="231F20"/>
        </w:rPr>
        <w:t>strength</w:t>
      </w:r>
      <w:r>
        <w:rPr>
          <w:color w:val="231F20"/>
          <w:spacing w:val="-24"/>
        </w:rPr>
        <w:t xml:space="preserve"> </w:t>
      </w:r>
      <w:r>
        <w:rPr>
          <w:color w:val="231F20"/>
        </w:rPr>
        <w:t>and</w:t>
      </w:r>
      <w:r>
        <w:rPr>
          <w:color w:val="231F20"/>
          <w:spacing w:val="-24"/>
        </w:rPr>
        <w:t xml:space="preserve"> </w:t>
      </w:r>
      <w:r>
        <w:rPr>
          <w:color w:val="231F20"/>
        </w:rPr>
        <w:t>added</w:t>
      </w:r>
      <w:r>
        <w:rPr>
          <w:color w:val="231F20"/>
          <w:spacing w:val="-23"/>
        </w:rPr>
        <w:t xml:space="preserve"> </w:t>
      </w:r>
      <w:r>
        <w:rPr>
          <w:color w:val="231F20"/>
        </w:rPr>
        <w:t>7%</w:t>
      </w:r>
      <w:r>
        <w:rPr>
          <w:color w:val="231F20"/>
          <w:spacing w:val="-25"/>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existing</w:t>
      </w:r>
      <w:r>
        <w:rPr>
          <w:color w:val="231F20"/>
          <w:spacing w:val="-24"/>
        </w:rPr>
        <w:t xml:space="preserve"> </w:t>
      </w:r>
      <w:r>
        <w:rPr>
          <w:color w:val="231F20"/>
        </w:rPr>
        <w:t>infrastructure</w:t>
      </w:r>
      <w:r>
        <w:rPr>
          <w:color w:val="231F20"/>
          <w:spacing w:val="-23"/>
        </w:rPr>
        <w:t xml:space="preserve"> </w:t>
      </w:r>
      <w:r>
        <w:rPr>
          <w:color w:val="231F20"/>
        </w:rPr>
        <w:t>which</w:t>
      </w:r>
      <w:r>
        <w:rPr>
          <w:color w:val="231F20"/>
          <w:spacing w:val="-24"/>
        </w:rPr>
        <w:t xml:space="preserve"> </w:t>
      </w:r>
      <w:r>
        <w:rPr>
          <w:color w:val="231F20"/>
        </w:rPr>
        <w:t>was</w:t>
      </w:r>
      <w:r>
        <w:rPr>
          <w:color w:val="231F20"/>
          <w:spacing w:val="-24"/>
        </w:rPr>
        <w:t xml:space="preserve"> </w:t>
      </w:r>
      <w:r>
        <w:rPr>
          <w:color w:val="231F20"/>
        </w:rPr>
        <w:t>provided</w:t>
      </w:r>
      <w:r>
        <w:rPr>
          <w:color w:val="231F20"/>
          <w:spacing w:val="-23"/>
        </w:rPr>
        <w:t xml:space="preserve"> </w:t>
      </w:r>
      <w:r>
        <w:rPr>
          <w:color w:val="231F20"/>
        </w:rPr>
        <w:t>for</w:t>
      </w:r>
      <w:r>
        <w:rPr>
          <w:color w:val="231F20"/>
          <w:spacing w:val="-25"/>
        </w:rPr>
        <w:t xml:space="preserve"> </w:t>
      </w:r>
      <w:r>
        <w:rPr>
          <w:color w:val="231F20"/>
        </w:rPr>
        <w:t>by</w:t>
      </w:r>
      <w:r>
        <w:rPr>
          <w:color w:val="231F20"/>
          <w:spacing w:val="-24"/>
        </w:rPr>
        <w:t xml:space="preserve"> </w:t>
      </w:r>
      <w:r>
        <w:rPr>
          <w:color w:val="231F20"/>
        </w:rPr>
        <w:t>the</w:t>
      </w:r>
      <w:r>
        <w:rPr>
          <w:color w:val="231F20"/>
          <w:spacing w:val="-25"/>
        </w:rPr>
        <w:t xml:space="preserve"> </w:t>
      </w:r>
      <w:r>
        <w:rPr>
          <w:color w:val="231F20"/>
        </w:rPr>
        <w:t>addition</w:t>
      </w:r>
      <w:r>
        <w:rPr>
          <w:color w:val="231F20"/>
          <w:spacing w:val="-23"/>
        </w:rPr>
        <w:t xml:space="preserve"> </w:t>
      </w:r>
      <w:proofErr w:type="gramStart"/>
      <w:r>
        <w:rPr>
          <w:color w:val="231F20"/>
        </w:rPr>
        <w:t>of</w:t>
      </w:r>
      <w:r>
        <w:rPr>
          <w:color w:val="231F20"/>
          <w:spacing w:val="-24"/>
        </w:rPr>
        <w:t xml:space="preserve"> </w:t>
      </w:r>
      <w:r>
        <w:rPr>
          <w:color w:val="231F20"/>
        </w:rPr>
        <w:t>?</w:t>
      </w:r>
      <w:proofErr w:type="gramEnd"/>
      <w:r>
        <w:rPr>
          <w:color w:val="231F20"/>
        </w:rPr>
        <w:t xml:space="preserve"> 61.821m to the existing cost of HSS. The total cost of plan stands at $ 926.8m Resources </w:t>
      </w:r>
      <w:r>
        <w:rPr>
          <w:color w:val="231F20"/>
          <w:spacing w:val="-4"/>
        </w:rPr>
        <w:t>from</w:t>
      </w:r>
      <w:r>
        <w:rPr>
          <w:color w:val="231F20"/>
          <w:spacing w:val="53"/>
        </w:rPr>
        <w:t xml:space="preserve"> </w:t>
      </w:r>
      <w:r>
        <w:rPr>
          <w:color w:val="231F20"/>
        </w:rPr>
        <w:t>projected</w:t>
      </w:r>
      <w:r>
        <w:rPr>
          <w:color w:val="231F20"/>
          <w:spacing w:val="41"/>
        </w:rPr>
        <w:t xml:space="preserve"> </w:t>
      </w:r>
      <w:r>
        <w:rPr>
          <w:color w:val="231F20"/>
        </w:rPr>
        <w:t>Government</w:t>
      </w:r>
      <w:r>
        <w:rPr>
          <w:color w:val="231F20"/>
          <w:spacing w:val="41"/>
        </w:rPr>
        <w:t xml:space="preserve"> </w:t>
      </w:r>
      <w:r>
        <w:rPr>
          <w:color w:val="231F20"/>
        </w:rPr>
        <w:t>allocations</w:t>
      </w:r>
      <w:r>
        <w:rPr>
          <w:color w:val="231F20"/>
          <w:spacing w:val="42"/>
        </w:rPr>
        <w:t xml:space="preserve"> </w:t>
      </w:r>
      <w:r>
        <w:rPr>
          <w:color w:val="231F20"/>
        </w:rPr>
        <w:t>and</w:t>
      </w:r>
      <w:r>
        <w:rPr>
          <w:color w:val="231F20"/>
          <w:spacing w:val="41"/>
        </w:rPr>
        <w:t xml:space="preserve"> </w:t>
      </w:r>
      <w:r>
        <w:rPr>
          <w:color w:val="231F20"/>
          <w:spacing w:val="-5"/>
        </w:rPr>
        <w:t>Dev.</w:t>
      </w:r>
      <w:r>
        <w:rPr>
          <w:color w:val="231F20"/>
          <w:spacing w:val="41"/>
        </w:rPr>
        <w:t xml:space="preserve"> </w:t>
      </w:r>
      <w:r>
        <w:rPr>
          <w:color w:val="231F20"/>
        </w:rPr>
        <w:t>Partner</w:t>
      </w:r>
      <w:r>
        <w:rPr>
          <w:color w:val="231F20"/>
          <w:spacing w:val="42"/>
        </w:rPr>
        <w:t xml:space="preserve"> </w:t>
      </w:r>
      <w:r>
        <w:rPr>
          <w:color w:val="231F20"/>
        </w:rPr>
        <w:t>commitments</w:t>
      </w:r>
      <w:r>
        <w:rPr>
          <w:color w:val="231F20"/>
          <w:spacing w:val="41"/>
        </w:rPr>
        <w:t xml:space="preserve"> </w:t>
      </w:r>
      <w:r>
        <w:rPr>
          <w:color w:val="231F20"/>
        </w:rPr>
        <w:t>provides</w:t>
      </w:r>
      <w:r>
        <w:rPr>
          <w:color w:val="231F20"/>
          <w:spacing w:val="41"/>
        </w:rPr>
        <w:t xml:space="preserve"> </w:t>
      </w:r>
      <w:r>
        <w:rPr>
          <w:color w:val="231F20"/>
        </w:rPr>
        <w:t>$</w:t>
      </w:r>
      <w:r>
        <w:rPr>
          <w:color w:val="231F20"/>
          <w:spacing w:val="42"/>
        </w:rPr>
        <w:t xml:space="preserve"> </w:t>
      </w:r>
      <w:r>
        <w:rPr>
          <w:color w:val="231F20"/>
        </w:rPr>
        <w:t>235.4m,</w:t>
      </w:r>
      <w:r>
        <w:rPr>
          <w:color w:val="231F20"/>
          <w:spacing w:val="41"/>
        </w:rPr>
        <w:t xml:space="preserve"> </w:t>
      </w:r>
      <w:r>
        <w:rPr>
          <w:color w:val="231F20"/>
        </w:rPr>
        <w:t>with</w:t>
      </w:r>
      <w:r>
        <w:rPr>
          <w:color w:val="231F20"/>
          <w:spacing w:val="41"/>
        </w:rPr>
        <w:t xml:space="preserve"> </w:t>
      </w:r>
      <w:r>
        <w:rPr>
          <w:color w:val="231F20"/>
          <w:spacing w:val="-13"/>
        </w:rPr>
        <w:t>a</w:t>
      </w:r>
    </w:p>
    <w:p w14:paraId="5C19A63F" w14:textId="77777777" w:rsidR="009948F1" w:rsidRDefault="00BC0563">
      <w:pPr>
        <w:pStyle w:val="BodyText"/>
        <w:spacing w:line="237" w:lineRule="exact"/>
        <w:ind w:left="173"/>
        <w:jc w:val="both"/>
      </w:pPr>
      <w:r>
        <w:rPr>
          <w:color w:val="231F20"/>
        </w:rPr>
        <w:t>resource gap of $ 691m.</w:t>
      </w:r>
    </w:p>
    <w:p w14:paraId="5F0BA8C2" w14:textId="77777777" w:rsidR="009948F1" w:rsidRDefault="00BC0563">
      <w:pPr>
        <w:pStyle w:val="BodyText"/>
        <w:spacing w:line="232" w:lineRule="auto"/>
        <w:ind w:left="173" w:right="151"/>
        <w:jc w:val="both"/>
      </w:pPr>
      <w:r>
        <w:rPr>
          <w:color w:val="231F20"/>
        </w:rPr>
        <w:t xml:space="preserve">The Rivers SSHDP II 2018-2022 Essential Service Moderate Scenario was considered </w:t>
      </w:r>
      <w:r>
        <w:rPr>
          <w:color w:val="231F20"/>
          <w:spacing w:val="-4"/>
        </w:rPr>
        <w:t xml:space="preserve">the </w:t>
      </w:r>
      <w:r>
        <w:rPr>
          <w:color w:val="231F20"/>
        </w:rPr>
        <w:t xml:space="preserve">preferred policy option, with an estimated </w:t>
      </w:r>
      <w:r>
        <w:rPr>
          <w:color w:val="231F20"/>
          <w:spacing w:val="-5"/>
        </w:rPr>
        <w:t xml:space="preserve">Total </w:t>
      </w:r>
      <w:r>
        <w:rPr>
          <w:color w:val="231F20"/>
        </w:rPr>
        <w:t xml:space="preserve">Cost of plan of $ 721.9m. The plan is expected </w:t>
      </w:r>
      <w:r>
        <w:rPr>
          <w:color w:val="231F20"/>
          <w:spacing w:val="-8"/>
        </w:rPr>
        <w:t xml:space="preserve">to </w:t>
      </w:r>
      <w:r>
        <w:rPr>
          <w:color w:val="231F20"/>
        </w:rPr>
        <w:t xml:space="preserve">have the following impact at the end </w:t>
      </w:r>
      <w:r>
        <w:rPr>
          <w:color w:val="231F20"/>
          <w:spacing w:val="-3"/>
        </w:rPr>
        <w:t xml:space="preserve">year, </w:t>
      </w:r>
      <w:r>
        <w:rPr>
          <w:color w:val="231F20"/>
        </w:rPr>
        <w:t>2022:</w:t>
      </w:r>
    </w:p>
    <w:p w14:paraId="5D560D91" w14:textId="40B31043" w:rsidR="009948F1" w:rsidRDefault="00BC0563">
      <w:pPr>
        <w:pStyle w:val="BodyText"/>
        <w:ind w:left="893" w:right="152" w:hanging="360"/>
        <w:jc w:val="both"/>
      </w:pPr>
      <w:r>
        <w:rPr>
          <w:rFonts w:ascii="Symbol" w:hAnsi="Symbol"/>
          <w:color w:val="231F20"/>
          <w:spacing w:val="-248"/>
          <w:w w:val="600"/>
        </w:rPr>
        <w:t></w:t>
      </w:r>
      <w:r>
        <w:rPr>
          <w:color w:val="231F20"/>
          <w:w w:val="99"/>
        </w:rPr>
        <w:t>Decline</w:t>
      </w:r>
      <w:r>
        <w:rPr>
          <w:color w:val="231F20"/>
          <w:spacing w:val="-13"/>
        </w:rPr>
        <w:t xml:space="preserve"> </w:t>
      </w:r>
      <w:r>
        <w:rPr>
          <w:color w:val="231F20"/>
          <w:w w:val="99"/>
        </w:rPr>
        <w:t>in</w:t>
      </w:r>
      <w:r>
        <w:rPr>
          <w:color w:val="231F20"/>
          <w:spacing w:val="-13"/>
        </w:rPr>
        <w:t xml:space="preserve"> </w:t>
      </w:r>
      <w:r>
        <w:rPr>
          <w:color w:val="231F20"/>
          <w:w w:val="99"/>
        </w:rPr>
        <w:t>neonatal</w:t>
      </w:r>
      <w:r>
        <w:rPr>
          <w:color w:val="231F20"/>
          <w:spacing w:val="-12"/>
        </w:rPr>
        <w:t xml:space="preserve"> </w:t>
      </w:r>
      <w:r>
        <w:rPr>
          <w:color w:val="231F20"/>
        </w:rPr>
        <w:t>mortality</w:t>
      </w:r>
      <w:r>
        <w:rPr>
          <w:color w:val="231F20"/>
          <w:spacing w:val="-13"/>
        </w:rPr>
        <w:t xml:space="preserve"> </w:t>
      </w:r>
      <w:r>
        <w:rPr>
          <w:color w:val="231F20"/>
        </w:rPr>
        <w:t>from</w:t>
      </w:r>
      <w:r>
        <w:rPr>
          <w:color w:val="231F20"/>
          <w:spacing w:val="-13"/>
        </w:rPr>
        <w:t xml:space="preserve"> </w:t>
      </w:r>
      <w:r>
        <w:rPr>
          <w:color w:val="231F20"/>
          <w:w w:val="99"/>
        </w:rPr>
        <w:t>27</w:t>
      </w:r>
      <w:r>
        <w:rPr>
          <w:color w:val="231F20"/>
          <w:spacing w:val="-13"/>
        </w:rPr>
        <w:t xml:space="preserve"> </w:t>
      </w:r>
      <w:r>
        <w:rPr>
          <w:color w:val="231F20"/>
          <w:w w:val="99"/>
        </w:rPr>
        <w:t>per</w:t>
      </w:r>
      <w:r>
        <w:rPr>
          <w:color w:val="231F20"/>
          <w:spacing w:val="-13"/>
        </w:rPr>
        <w:t xml:space="preserve"> </w:t>
      </w:r>
      <w:r>
        <w:rPr>
          <w:color w:val="231F20"/>
          <w:w w:val="99"/>
        </w:rPr>
        <w:t>1,000</w:t>
      </w:r>
      <w:r>
        <w:rPr>
          <w:color w:val="231F20"/>
          <w:spacing w:val="-13"/>
        </w:rPr>
        <w:t xml:space="preserve"> </w:t>
      </w:r>
      <w:r>
        <w:rPr>
          <w:color w:val="231F20"/>
          <w:w w:val="99"/>
        </w:rPr>
        <w:t>live</w:t>
      </w:r>
      <w:r>
        <w:rPr>
          <w:color w:val="231F20"/>
          <w:spacing w:val="-13"/>
        </w:rPr>
        <w:t xml:space="preserve"> </w:t>
      </w:r>
      <w:r>
        <w:rPr>
          <w:color w:val="231F20"/>
          <w:w w:val="99"/>
        </w:rPr>
        <w:t>births</w:t>
      </w:r>
      <w:r>
        <w:rPr>
          <w:color w:val="231F20"/>
          <w:spacing w:val="-13"/>
        </w:rPr>
        <w:t xml:space="preserve"> </w:t>
      </w:r>
      <w:r>
        <w:rPr>
          <w:color w:val="231F20"/>
          <w:w w:val="99"/>
        </w:rPr>
        <w:t>(2016)</w:t>
      </w:r>
      <w:r w:rsidR="00C84576">
        <w:rPr>
          <w:color w:val="231F20"/>
        </w:rPr>
        <w:t xml:space="preserve"> </w:t>
      </w:r>
      <w:r>
        <w:rPr>
          <w:color w:val="231F20"/>
        </w:rPr>
        <w:t>to</w:t>
      </w:r>
      <w:r>
        <w:rPr>
          <w:color w:val="231F20"/>
          <w:spacing w:val="-13"/>
        </w:rPr>
        <w:t xml:space="preserve"> </w:t>
      </w:r>
      <w:r>
        <w:rPr>
          <w:color w:val="231F20"/>
          <w:w w:val="99"/>
        </w:rPr>
        <w:t>25</w:t>
      </w:r>
      <w:r>
        <w:rPr>
          <w:color w:val="231F20"/>
          <w:spacing w:val="-13"/>
        </w:rPr>
        <w:t xml:space="preserve"> </w:t>
      </w:r>
      <w:r>
        <w:rPr>
          <w:color w:val="231F20"/>
          <w:w w:val="99"/>
        </w:rPr>
        <w:t>per</w:t>
      </w:r>
      <w:r>
        <w:rPr>
          <w:color w:val="231F20"/>
          <w:spacing w:val="-13"/>
        </w:rPr>
        <w:t xml:space="preserve"> </w:t>
      </w:r>
      <w:r>
        <w:rPr>
          <w:color w:val="231F20"/>
          <w:w w:val="99"/>
        </w:rPr>
        <w:t>1,000</w:t>
      </w:r>
      <w:r>
        <w:rPr>
          <w:color w:val="231F20"/>
          <w:spacing w:val="-13"/>
        </w:rPr>
        <w:t xml:space="preserve"> </w:t>
      </w:r>
      <w:r>
        <w:rPr>
          <w:color w:val="231F20"/>
          <w:w w:val="99"/>
        </w:rPr>
        <w:t>live</w:t>
      </w:r>
      <w:r>
        <w:rPr>
          <w:color w:val="231F20"/>
          <w:spacing w:val="-13"/>
        </w:rPr>
        <w:t xml:space="preserve"> </w:t>
      </w:r>
      <w:r>
        <w:rPr>
          <w:color w:val="231F20"/>
          <w:w w:val="99"/>
        </w:rPr>
        <w:t xml:space="preserve">births </w:t>
      </w:r>
      <w:r>
        <w:rPr>
          <w:color w:val="231F20"/>
          <w:w w:val="105"/>
        </w:rPr>
        <w:t>(2022),</w:t>
      </w:r>
    </w:p>
    <w:p w14:paraId="49534D84" w14:textId="77777777" w:rsidR="009948F1" w:rsidRDefault="00BC0563">
      <w:pPr>
        <w:pStyle w:val="BodyText"/>
        <w:spacing w:line="252" w:lineRule="exact"/>
        <w:ind w:left="533"/>
        <w:jc w:val="both"/>
      </w:pPr>
      <w:r>
        <w:rPr>
          <w:rFonts w:ascii="Symbol" w:hAnsi="Symbol"/>
          <w:color w:val="231F20"/>
          <w:spacing w:val="-248"/>
          <w:w w:val="600"/>
        </w:rPr>
        <w:t></w:t>
      </w:r>
      <w:r>
        <w:rPr>
          <w:color w:val="231F20"/>
          <w:w w:val="99"/>
        </w:rPr>
        <w:t>Decline</w:t>
      </w:r>
      <w:r>
        <w:rPr>
          <w:color w:val="231F20"/>
          <w:spacing w:val="-25"/>
        </w:rPr>
        <w:t xml:space="preserve"> </w:t>
      </w:r>
      <w:r>
        <w:rPr>
          <w:color w:val="231F20"/>
          <w:w w:val="99"/>
        </w:rPr>
        <w:t>in</w:t>
      </w:r>
      <w:r>
        <w:rPr>
          <w:color w:val="231F20"/>
          <w:spacing w:val="-25"/>
        </w:rPr>
        <w:t xml:space="preserve"> </w:t>
      </w:r>
      <w:r>
        <w:rPr>
          <w:color w:val="231F20"/>
          <w:w w:val="99"/>
        </w:rPr>
        <w:t>under-five</w:t>
      </w:r>
      <w:r>
        <w:rPr>
          <w:color w:val="231F20"/>
          <w:spacing w:val="-25"/>
        </w:rPr>
        <w:t xml:space="preserve"> </w:t>
      </w:r>
      <w:r>
        <w:rPr>
          <w:color w:val="231F20"/>
        </w:rPr>
        <w:t>mortality</w:t>
      </w:r>
      <w:r>
        <w:rPr>
          <w:color w:val="231F20"/>
          <w:spacing w:val="-25"/>
        </w:rPr>
        <w:t xml:space="preserve"> </w:t>
      </w:r>
      <w:r>
        <w:rPr>
          <w:color w:val="231F20"/>
        </w:rPr>
        <w:t>from</w:t>
      </w:r>
      <w:r>
        <w:rPr>
          <w:color w:val="231F20"/>
          <w:spacing w:val="-25"/>
        </w:rPr>
        <w:t xml:space="preserve"> </w:t>
      </w:r>
      <w:r>
        <w:rPr>
          <w:color w:val="231F20"/>
          <w:w w:val="99"/>
        </w:rPr>
        <w:t>58</w:t>
      </w:r>
      <w:r>
        <w:rPr>
          <w:color w:val="231F20"/>
          <w:spacing w:val="-25"/>
        </w:rPr>
        <w:t xml:space="preserve"> </w:t>
      </w:r>
      <w:r>
        <w:rPr>
          <w:color w:val="231F20"/>
          <w:w w:val="99"/>
        </w:rPr>
        <w:t>per</w:t>
      </w:r>
      <w:r>
        <w:rPr>
          <w:color w:val="231F20"/>
          <w:spacing w:val="-25"/>
        </w:rPr>
        <w:t xml:space="preserve"> </w:t>
      </w:r>
      <w:r>
        <w:rPr>
          <w:color w:val="231F20"/>
          <w:w w:val="99"/>
        </w:rPr>
        <w:t>1,000</w:t>
      </w:r>
      <w:r>
        <w:rPr>
          <w:color w:val="231F20"/>
          <w:spacing w:val="-25"/>
        </w:rPr>
        <w:t xml:space="preserve"> </w:t>
      </w:r>
      <w:r>
        <w:rPr>
          <w:color w:val="231F20"/>
          <w:w w:val="99"/>
        </w:rPr>
        <w:t>(2016)</w:t>
      </w:r>
      <w:r>
        <w:rPr>
          <w:color w:val="231F20"/>
          <w:spacing w:val="-25"/>
        </w:rPr>
        <w:t xml:space="preserve"> </w:t>
      </w:r>
      <w:r>
        <w:rPr>
          <w:color w:val="231F20"/>
        </w:rPr>
        <w:t>to</w:t>
      </w:r>
      <w:r>
        <w:rPr>
          <w:color w:val="231F20"/>
          <w:spacing w:val="-25"/>
        </w:rPr>
        <w:t xml:space="preserve"> </w:t>
      </w:r>
      <w:r>
        <w:rPr>
          <w:color w:val="231F20"/>
          <w:w w:val="99"/>
        </w:rPr>
        <w:t>47</w:t>
      </w:r>
      <w:r>
        <w:rPr>
          <w:color w:val="231F20"/>
          <w:spacing w:val="-25"/>
        </w:rPr>
        <w:t xml:space="preserve"> </w:t>
      </w:r>
      <w:r>
        <w:rPr>
          <w:color w:val="231F20"/>
          <w:w w:val="99"/>
        </w:rPr>
        <w:t>per</w:t>
      </w:r>
      <w:r>
        <w:rPr>
          <w:color w:val="231F20"/>
          <w:spacing w:val="-25"/>
        </w:rPr>
        <w:t xml:space="preserve"> </w:t>
      </w:r>
      <w:r>
        <w:rPr>
          <w:color w:val="231F20"/>
          <w:w w:val="99"/>
        </w:rPr>
        <w:t>1,000</w:t>
      </w:r>
      <w:r>
        <w:rPr>
          <w:color w:val="231F20"/>
          <w:spacing w:val="-25"/>
        </w:rPr>
        <w:t xml:space="preserve"> </w:t>
      </w:r>
      <w:r>
        <w:rPr>
          <w:color w:val="231F20"/>
          <w:w w:val="99"/>
        </w:rPr>
        <w:t>(2022,</w:t>
      </w:r>
    </w:p>
    <w:p w14:paraId="1BD192A1" w14:textId="77777777" w:rsidR="009948F1" w:rsidRDefault="00BC0563">
      <w:pPr>
        <w:pStyle w:val="BodyText"/>
        <w:ind w:left="893" w:right="152" w:hanging="360"/>
        <w:jc w:val="both"/>
      </w:pPr>
      <w:r>
        <w:rPr>
          <w:rFonts w:ascii="Symbol" w:hAnsi="Symbol"/>
          <w:color w:val="231F20"/>
          <w:spacing w:val="-248"/>
          <w:w w:val="600"/>
        </w:rPr>
        <w:t></w:t>
      </w:r>
      <w:r>
        <w:rPr>
          <w:color w:val="231F20"/>
          <w:w w:val="99"/>
        </w:rPr>
        <w:t>Decline</w:t>
      </w:r>
      <w:r>
        <w:rPr>
          <w:color w:val="231F20"/>
          <w:spacing w:val="-18"/>
        </w:rPr>
        <w:t xml:space="preserve"> </w:t>
      </w:r>
      <w:r>
        <w:rPr>
          <w:color w:val="231F20"/>
          <w:w w:val="99"/>
        </w:rPr>
        <w:t>in</w:t>
      </w:r>
      <w:r>
        <w:rPr>
          <w:color w:val="231F20"/>
          <w:spacing w:val="-18"/>
        </w:rPr>
        <w:t xml:space="preserve"> </w:t>
      </w:r>
      <w:r>
        <w:rPr>
          <w:color w:val="231F20"/>
          <w:w w:val="99"/>
        </w:rPr>
        <w:t>maternal</w:t>
      </w:r>
      <w:r>
        <w:rPr>
          <w:color w:val="231F20"/>
          <w:spacing w:val="-18"/>
        </w:rPr>
        <w:t xml:space="preserve"> </w:t>
      </w:r>
      <w:r>
        <w:rPr>
          <w:color w:val="231F20"/>
        </w:rPr>
        <w:t>mortality</w:t>
      </w:r>
      <w:r>
        <w:rPr>
          <w:color w:val="231F20"/>
          <w:spacing w:val="-18"/>
        </w:rPr>
        <w:t xml:space="preserve"> </w:t>
      </w:r>
      <w:r>
        <w:rPr>
          <w:color w:val="231F20"/>
        </w:rPr>
        <w:t>from</w:t>
      </w:r>
      <w:r>
        <w:rPr>
          <w:color w:val="231F20"/>
          <w:spacing w:val="-18"/>
        </w:rPr>
        <w:t xml:space="preserve"> </w:t>
      </w:r>
      <w:r>
        <w:rPr>
          <w:color w:val="231F20"/>
          <w:w w:val="99"/>
        </w:rPr>
        <w:t>576</w:t>
      </w:r>
      <w:r>
        <w:rPr>
          <w:color w:val="231F20"/>
          <w:spacing w:val="-18"/>
        </w:rPr>
        <w:t xml:space="preserve"> </w:t>
      </w:r>
      <w:r>
        <w:rPr>
          <w:color w:val="231F20"/>
          <w:w w:val="99"/>
        </w:rPr>
        <w:t>per</w:t>
      </w:r>
      <w:r>
        <w:rPr>
          <w:color w:val="231F20"/>
          <w:spacing w:val="-18"/>
        </w:rPr>
        <w:t xml:space="preserve"> </w:t>
      </w:r>
      <w:r>
        <w:rPr>
          <w:color w:val="231F20"/>
          <w:w w:val="99"/>
        </w:rPr>
        <w:t>100,000</w:t>
      </w:r>
      <w:r>
        <w:rPr>
          <w:color w:val="231F20"/>
          <w:spacing w:val="-18"/>
        </w:rPr>
        <w:t xml:space="preserve"> </w:t>
      </w:r>
      <w:r>
        <w:rPr>
          <w:color w:val="231F20"/>
          <w:w w:val="99"/>
        </w:rPr>
        <w:t>live</w:t>
      </w:r>
      <w:r>
        <w:rPr>
          <w:color w:val="231F20"/>
          <w:spacing w:val="-18"/>
        </w:rPr>
        <w:t xml:space="preserve"> </w:t>
      </w:r>
      <w:r>
        <w:rPr>
          <w:color w:val="231F20"/>
          <w:w w:val="99"/>
        </w:rPr>
        <w:t>births</w:t>
      </w:r>
      <w:r>
        <w:rPr>
          <w:color w:val="231F20"/>
          <w:spacing w:val="-18"/>
        </w:rPr>
        <w:t xml:space="preserve"> </w:t>
      </w:r>
      <w:r>
        <w:rPr>
          <w:color w:val="231F20"/>
          <w:w w:val="99"/>
        </w:rPr>
        <w:t>(2016)</w:t>
      </w:r>
      <w:r>
        <w:rPr>
          <w:color w:val="231F20"/>
          <w:spacing w:val="-18"/>
        </w:rPr>
        <w:t xml:space="preserve"> </w:t>
      </w:r>
      <w:r>
        <w:rPr>
          <w:color w:val="231F20"/>
        </w:rPr>
        <w:t>to</w:t>
      </w:r>
      <w:r>
        <w:rPr>
          <w:color w:val="231F20"/>
          <w:spacing w:val="-18"/>
        </w:rPr>
        <w:t xml:space="preserve"> </w:t>
      </w:r>
      <w:r>
        <w:rPr>
          <w:color w:val="231F20"/>
          <w:w w:val="99"/>
        </w:rPr>
        <w:t>498</w:t>
      </w:r>
      <w:r>
        <w:rPr>
          <w:color w:val="231F20"/>
          <w:spacing w:val="-18"/>
        </w:rPr>
        <w:t xml:space="preserve"> </w:t>
      </w:r>
      <w:r>
        <w:rPr>
          <w:color w:val="231F20"/>
          <w:w w:val="99"/>
        </w:rPr>
        <w:t>per</w:t>
      </w:r>
      <w:r>
        <w:rPr>
          <w:color w:val="231F20"/>
          <w:spacing w:val="-18"/>
        </w:rPr>
        <w:t xml:space="preserve"> </w:t>
      </w:r>
      <w:r>
        <w:rPr>
          <w:color w:val="231F20"/>
          <w:w w:val="99"/>
        </w:rPr>
        <w:t>100,000</w:t>
      </w:r>
      <w:r>
        <w:rPr>
          <w:color w:val="231F20"/>
          <w:spacing w:val="-18"/>
        </w:rPr>
        <w:t xml:space="preserve"> </w:t>
      </w:r>
      <w:r>
        <w:rPr>
          <w:color w:val="231F20"/>
          <w:spacing w:val="-4"/>
          <w:w w:val="99"/>
        </w:rPr>
        <w:t>live</w:t>
      </w:r>
      <w:r>
        <w:rPr>
          <w:color w:val="231F20"/>
          <w:w w:val="99"/>
        </w:rPr>
        <w:t xml:space="preserve"> </w:t>
      </w:r>
      <w:r>
        <w:rPr>
          <w:color w:val="231F20"/>
          <w:w w:val="105"/>
        </w:rPr>
        <w:t>births</w:t>
      </w:r>
      <w:r>
        <w:rPr>
          <w:color w:val="231F20"/>
          <w:spacing w:val="-29"/>
          <w:w w:val="105"/>
        </w:rPr>
        <w:t xml:space="preserve"> </w:t>
      </w:r>
      <w:r>
        <w:rPr>
          <w:color w:val="231F20"/>
          <w:w w:val="105"/>
        </w:rPr>
        <w:t>(2022).</w:t>
      </w:r>
    </w:p>
    <w:p w14:paraId="51F2DD84" w14:textId="77777777" w:rsidR="009948F1" w:rsidRDefault="009948F1">
      <w:pPr>
        <w:jc w:val="both"/>
        <w:sectPr w:rsidR="009948F1">
          <w:pgSz w:w="11910" w:h="16840"/>
          <w:pgMar w:top="1580" w:right="1080" w:bottom="1420" w:left="1120" w:header="0" w:footer="1235" w:gutter="0"/>
          <w:cols w:space="720"/>
        </w:sectPr>
      </w:pPr>
    </w:p>
    <w:p w14:paraId="6D28DF2D" w14:textId="77777777" w:rsidR="009948F1" w:rsidRDefault="00BC0563">
      <w:pPr>
        <w:pStyle w:val="BodyText"/>
        <w:spacing w:before="97" w:line="232" w:lineRule="auto"/>
        <w:ind w:left="176" w:right="187"/>
        <w:jc w:val="both"/>
      </w:pPr>
      <w:bookmarkStart w:id="137" w:name="Page_113"/>
      <w:bookmarkEnd w:id="137"/>
      <w:r>
        <w:rPr>
          <w:color w:val="231F20"/>
        </w:rPr>
        <w:lastRenderedPageBreak/>
        <w:t>SHIS was explored as an avenue for bridging the resource gap. 3 scenarios were proposed; 1. Increasing</w:t>
      </w:r>
      <w:r>
        <w:rPr>
          <w:color w:val="231F20"/>
          <w:spacing w:val="-6"/>
        </w:rPr>
        <w:t xml:space="preserve"> </w:t>
      </w:r>
      <w:r>
        <w:rPr>
          <w:color w:val="231F20"/>
        </w:rPr>
        <w:t>the</w:t>
      </w:r>
      <w:r>
        <w:rPr>
          <w:color w:val="231F20"/>
          <w:spacing w:val="-5"/>
        </w:rPr>
        <w:t xml:space="preserve"> </w:t>
      </w:r>
      <w:r>
        <w:rPr>
          <w:color w:val="231F20"/>
        </w:rPr>
        <w:t>SHIS</w:t>
      </w:r>
      <w:r>
        <w:rPr>
          <w:color w:val="231F20"/>
          <w:spacing w:val="-5"/>
        </w:rPr>
        <w:t xml:space="preserve"> </w:t>
      </w:r>
      <w:r>
        <w:rPr>
          <w:color w:val="231F20"/>
        </w:rPr>
        <w:t>subscriber</w:t>
      </w:r>
      <w:r>
        <w:rPr>
          <w:color w:val="231F20"/>
          <w:spacing w:val="-5"/>
        </w:rPr>
        <w:t xml:space="preserve"> </w:t>
      </w:r>
      <w:r>
        <w:rPr>
          <w:color w:val="231F20"/>
        </w:rPr>
        <w:t>base</w:t>
      </w:r>
      <w:r>
        <w:rPr>
          <w:color w:val="231F20"/>
          <w:spacing w:val="-5"/>
        </w:rPr>
        <w:t xml:space="preserve"> </w:t>
      </w:r>
      <w:r>
        <w:rPr>
          <w:color w:val="231F20"/>
        </w:rPr>
        <w:t>by</w:t>
      </w:r>
      <w:r>
        <w:rPr>
          <w:color w:val="231F20"/>
          <w:spacing w:val="-5"/>
        </w:rPr>
        <w:t xml:space="preserve"> </w:t>
      </w:r>
      <w:r>
        <w:rPr>
          <w:color w:val="231F20"/>
        </w:rPr>
        <w:t>10%,</w:t>
      </w:r>
      <w:r>
        <w:rPr>
          <w:color w:val="231F20"/>
          <w:spacing w:val="-5"/>
        </w:rPr>
        <w:t xml:space="preserve"> </w:t>
      </w:r>
      <w:r>
        <w:rPr>
          <w:color w:val="231F20"/>
        </w:rPr>
        <w:t>2.</w:t>
      </w:r>
      <w:r>
        <w:rPr>
          <w:color w:val="231F20"/>
          <w:spacing w:val="-5"/>
        </w:rPr>
        <w:t xml:space="preserve"> </w:t>
      </w:r>
      <w:r>
        <w:rPr>
          <w:color w:val="231F20"/>
        </w:rPr>
        <w:t>Increasing</w:t>
      </w:r>
      <w:r>
        <w:rPr>
          <w:color w:val="231F20"/>
          <w:spacing w:val="-5"/>
        </w:rPr>
        <w:t xml:space="preserve"> </w:t>
      </w:r>
      <w:r>
        <w:rPr>
          <w:color w:val="231F20"/>
        </w:rPr>
        <w:t>the</w:t>
      </w:r>
      <w:r>
        <w:rPr>
          <w:color w:val="231F20"/>
          <w:spacing w:val="-5"/>
        </w:rPr>
        <w:t xml:space="preserve"> </w:t>
      </w:r>
      <w:r>
        <w:rPr>
          <w:color w:val="231F20"/>
        </w:rPr>
        <w:t>SHIS</w:t>
      </w:r>
      <w:r>
        <w:rPr>
          <w:color w:val="231F20"/>
          <w:spacing w:val="-5"/>
        </w:rPr>
        <w:t xml:space="preserve"> </w:t>
      </w:r>
      <w:r>
        <w:rPr>
          <w:color w:val="231F20"/>
        </w:rPr>
        <w:t>subscriber</w:t>
      </w:r>
      <w:r>
        <w:rPr>
          <w:color w:val="231F20"/>
          <w:spacing w:val="-5"/>
        </w:rPr>
        <w:t xml:space="preserve"> </w:t>
      </w:r>
      <w:r>
        <w:rPr>
          <w:color w:val="231F20"/>
        </w:rPr>
        <w:t>base</w:t>
      </w:r>
      <w:r>
        <w:rPr>
          <w:color w:val="231F20"/>
          <w:spacing w:val="-5"/>
        </w:rPr>
        <w:t xml:space="preserve"> </w:t>
      </w:r>
      <w:r>
        <w:rPr>
          <w:color w:val="231F20"/>
        </w:rPr>
        <w:t>by</w:t>
      </w:r>
      <w:r>
        <w:rPr>
          <w:color w:val="231F20"/>
          <w:spacing w:val="-5"/>
        </w:rPr>
        <w:t xml:space="preserve"> </w:t>
      </w:r>
      <w:r>
        <w:rPr>
          <w:color w:val="231F20"/>
        </w:rPr>
        <w:t>20%.</w:t>
      </w:r>
      <w:r>
        <w:rPr>
          <w:color w:val="231F20"/>
          <w:spacing w:val="-6"/>
        </w:rPr>
        <w:t xml:space="preserve"> </w:t>
      </w:r>
      <w:r>
        <w:rPr>
          <w:color w:val="231F20"/>
        </w:rPr>
        <w:t>3. Increasing</w:t>
      </w:r>
      <w:r>
        <w:rPr>
          <w:color w:val="231F20"/>
          <w:spacing w:val="-8"/>
        </w:rPr>
        <w:t xml:space="preserve"> </w:t>
      </w:r>
      <w:r>
        <w:rPr>
          <w:color w:val="231F20"/>
        </w:rPr>
        <w:t>the</w:t>
      </w:r>
      <w:r>
        <w:rPr>
          <w:color w:val="231F20"/>
          <w:spacing w:val="-7"/>
        </w:rPr>
        <w:t xml:space="preserve"> </w:t>
      </w:r>
      <w:r>
        <w:rPr>
          <w:color w:val="231F20"/>
        </w:rPr>
        <w:t>SHIS</w:t>
      </w:r>
      <w:r>
        <w:rPr>
          <w:color w:val="231F20"/>
          <w:spacing w:val="-8"/>
        </w:rPr>
        <w:t xml:space="preserve"> </w:t>
      </w:r>
      <w:r>
        <w:rPr>
          <w:color w:val="231F20"/>
        </w:rPr>
        <w:t>subscriber</w:t>
      </w:r>
      <w:r>
        <w:rPr>
          <w:color w:val="231F20"/>
          <w:spacing w:val="-7"/>
        </w:rPr>
        <w:t xml:space="preserve"> </w:t>
      </w:r>
      <w:r>
        <w:rPr>
          <w:color w:val="231F20"/>
        </w:rPr>
        <w:t>base</w:t>
      </w:r>
      <w:r>
        <w:rPr>
          <w:color w:val="231F20"/>
          <w:spacing w:val="-7"/>
        </w:rPr>
        <w:t xml:space="preserve"> </w:t>
      </w:r>
      <w:r>
        <w:rPr>
          <w:color w:val="231F20"/>
        </w:rPr>
        <w:t>by</w:t>
      </w:r>
      <w:r>
        <w:rPr>
          <w:color w:val="231F20"/>
          <w:spacing w:val="-8"/>
        </w:rPr>
        <w:t xml:space="preserve"> </w:t>
      </w:r>
      <w:r>
        <w:rPr>
          <w:color w:val="231F20"/>
        </w:rPr>
        <w:t>30%.</w:t>
      </w:r>
      <w:r>
        <w:rPr>
          <w:color w:val="231F20"/>
          <w:spacing w:val="-19"/>
        </w:rPr>
        <w:t xml:space="preserve"> </w:t>
      </w:r>
      <w:r>
        <w:rPr>
          <w:color w:val="231F20"/>
        </w:rPr>
        <w:t>All</w:t>
      </w:r>
      <w:r>
        <w:rPr>
          <w:color w:val="231F20"/>
          <w:spacing w:val="-7"/>
        </w:rPr>
        <w:t xml:space="preserve"> </w:t>
      </w:r>
      <w:r>
        <w:rPr>
          <w:color w:val="231F20"/>
        </w:rPr>
        <w:t>three</w:t>
      </w:r>
      <w:r>
        <w:rPr>
          <w:color w:val="231F20"/>
          <w:spacing w:val="-8"/>
        </w:rPr>
        <w:t xml:space="preserve"> </w:t>
      </w:r>
      <w:r>
        <w:rPr>
          <w:color w:val="231F20"/>
        </w:rPr>
        <w:t>Scenarios</w:t>
      </w:r>
      <w:r>
        <w:rPr>
          <w:color w:val="231F20"/>
          <w:spacing w:val="-7"/>
        </w:rPr>
        <w:t xml:space="preserve"> </w:t>
      </w:r>
      <w:r>
        <w:rPr>
          <w:color w:val="231F20"/>
        </w:rPr>
        <w:t>were</w:t>
      </w:r>
      <w:r>
        <w:rPr>
          <w:color w:val="231F20"/>
          <w:spacing w:val="-7"/>
        </w:rPr>
        <w:t xml:space="preserve"> </w:t>
      </w:r>
      <w:r>
        <w:rPr>
          <w:color w:val="231F20"/>
        </w:rPr>
        <w:t>not</w:t>
      </w:r>
      <w:r>
        <w:rPr>
          <w:color w:val="231F20"/>
          <w:spacing w:val="-8"/>
        </w:rPr>
        <w:t xml:space="preserve"> </w:t>
      </w:r>
      <w:r>
        <w:rPr>
          <w:color w:val="231F20"/>
        </w:rPr>
        <w:t>sufficient</w:t>
      </w:r>
      <w:r>
        <w:rPr>
          <w:color w:val="231F20"/>
          <w:spacing w:val="-7"/>
        </w:rPr>
        <w:t xml:space="preserve"> </w:t>
      </w:r>
      <w:r>
        <w:rPr>
          <w:color w:val="231F20"/>
        </w:rPr>
        <w:t>to</w:t>
      </w:r>
      <w:r>
        <w:rPr>
          <w:color w:val="231F20"/>
          <w:spacing w:val="-7"/>
        </w:rPr>
        <w:t xml:space="preserve"> </w:t>
      </w:r>
      <w:r>
        <w:rPr>
          <w:color w:val="231F20"/>
        </w:rPr>
        <w:t>bridge</w:t>
      </w:r>
      <w:r>
        <w:rPr>
          <w:color w:val="231F20"/>
          <w:spacing w:val="-8"/>
        </w:rPr>
        <w:t xml:space="preserve"> </w:t>
      </w:r>
      <w:r>
        <w:rPr>
          <w:color w:val="231F20"/>
        </w:rPr>
        <w:t>the gap</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moderate</w:t>
      </w:r>
      <w:r>
        <w:rPr>
          <w:color w:val="231F20"/>
          <w:spacing w:val="-22"/>
        </w:rPr>
        <w:t xml:space="preserve"> </w:t>
      </w:r>
      <w:r>
        <w:rPr>
          <w:color w:val="231F20"/>
        </w:rPr>
        <w:t>scenario.</w:t>
      </w:r>
      <w:r>
        <w:rPr>
          <w:color w:val="231F20"/>
          <w:spacing w:val="-22"/>
        </w:rPr>
        <w:t xml:space="preserve"> </w:t>
      </w:r>
      <w:r>
        <w:rPr>
          <w:color w:val="231F20"/>
        </w:rPr>
        <w:t>However,</w:t>
      </w:r>
      <w:r>
        <w:rPr>
          <w:color w:val="231F20"/>
          <w:spacing w:val="-22"/>
        </w:rPr>
        <w:t xml:space="preserve"> </w:t>
      </w:r>
      <w:r>
        <w:rPr>
          <w:color w:val="231F20"/>
        </w:rPr>
        <w:t>with</w:t>
      </w:r>
      <w:r>
        <w:rPr>
          <w:color w:val="231F20"/>
          <w:spacing w:val="-23"/>
        </w:rPr>
        <w:t xml:space="preserve"> </w:t>
      </w:r>
      <w:r>
        <w:rPr>
          <w:color w:val="231F20"/>
        </w:rPr>
        <w:t>a</w:t>
      </w:r>
      <w:r>
        <w:rPr>
          <w:color w:val="231F20"/>
          <w:spacing w:val="-23"/>
        </w:rPr>
        <w:t xml:space="preserve"> </w:t>
      </w:r>
      <w:r>
        <w:rPr>
          <w:color w:val="231F20"/>
        </w:rPr>
        <w:t>more</w:t>
      </w:r>
      <w:r>
        <w:rPr>
          <w:color w:val="231F20"/>
          <w:spacing w:val="-22"/>
        </w:rPr>
        <w:t xml:space="preserve"> </w:t>
      </w:r>
      <w:r>
        <w:rPr>
          <w:color w:val="231F20"/>
        </w:rPr>
        <w:t>concise</w:t>
      </w:r>
      <w:r>
        <w:rPr>
          <w:color w:val="231F20"/>
          <w:spacing w:val="-22"/>
        </w:rPr>
        <w:t xml:space="preserve"> </w:t>
      </w:r>
      <w:r>
        <w:rPr>
          <w:color w:val="231F20"/>
        </w:rPr>
        <w:t>picture</w:t>
      </w:r>
      <w:r>
        <w:rPr>
          <w:color w:val="231F20"/>
          <w:spacing w:val="-22"/>
        </w:rPr>
        <w:t xml:space="preserve"> </w:t>
      </w:r>
      <w:r>
        <w:rPr>
          <w:color w:val="231F20"/>
        </w:rPr>
        <w:t>of</w:t>
      </w:r>
      <w:r>
        <w:rPr>
          <w:color w:val="231F20"/>
          <w:spacing w:val="-22"/>
        </w:rPr>
        <w:t xml:space="preserve"> </w:t>
      </w:r>
      <w:r>
        <w:rPr>
          <w:color w:val="231F20"/>
          <w:spacing w:val="-5"/>
        </w:rPr>
        <w:t>dev.</w:t>
      </w:r>
      <w:r>
        <w:rPr>
          <w:color w:val="231F20"/>
          <w:spacing w:val="-23"/>
        </w:rPr>
        <w:t xml:space="preserve"> </w:t>
      </w:r>
      <w:r>
        <w:rPr>
          <w:color w:val="231F20"/>
        </w:rPr>
        <w:t>Partner</w:t>
      </w:r>
      <w:r>
        <w:rPr>
          <w:color w:val="231F20"/>
          <w:spacing w:val="-23"/>
        </w:rPr>
        <w:t xml:space="preserve"> </w:t>
      </w:r>
      <w:r>
        <w:rPr>
          <w:color w:val="231F20"/>
        </w:rPr>
        <w:t>contributions</w:t>
      </w:r>
      <w:r>
        <w:rPr>
          <w:color w:val="231F20"/>
          <w:spacing w:val="-21"/>
        </w:rPr>
        <w:t xml:space="preserve"> </w:t>
      </w:r>
      <w:r>
        <w:rPr>
          <w:color w:val="231F20"/>
        </w:rPr>
        <w:t>to the</w:t>
      </w:r>
      <w:r>
        <w:rPr>
          <w:color w:val="231F20"/>
          <w:spacing w:val="-26"/>
        </w:rPr>
        <w:t xml:space="preserve"> </w:t>
      </w:r>
      <w:r>
        <w:rPr>
          <w:color w:val="231F20"/>
        </w:rPr>
        <w:t>Rivers</w:t>
      </w:r>
      <w:r>
        <w:rPr>
          <w:color w:val="231F20"/>
          <w:spacing w:val="-25"/>
        </w:rPr>
        <w:t xml:space="preserve"> </w:t>
      </w:r>
      <w:r>
        <w:rPr>
          <w:color w:val="231F20"/>
        </w:rPr>
        <w:t>State</w:t>
      </w:r>
      <w:r>
        <w:rPr>
          <w:color w:val="231F20"/>
          <w:spacing w:val="-25"/>
        </w:rPr>
        <w:t xml:space="preserve"> </w:t>
      </w:r>
      <w:r>
        <w:rPr>
          <w:color w:val="231F20"/>
        </w:rPr>
        <w:t>health</w:t>
      </w:r>
      <w:r>
        <w:rPr>
          <w:color w:val="231F20"/>
          <w:spacing w:val="-25"/>
        </w:rPr>
        <w:t xml:space="preserve"> </w:t>
      </w:r>
      <w:r>
        <w:rPr>
          <w:color w:val="231F20"/>
        </w:rPr>
        <w:t>sector</w:t>
      </w:r>
      <w:r>
        <w:rPr>
          <w:color w:val="231F20"/>
          <w:spacing w:val="-25"/>
        </w:rPr>
        <w:t xml:space="preserve"> </w:t>
      </w:r>
      <w:r>
        <w:rPr>
          <w:color w:val="231F20"/>
        </w:rPr>
        <w:t>and</w:t>
      </w:r>
      <w:r>
        <w:rPr>
          <w:color w:val="231F20"/>
          <w:spacing w:val="-26"/>
        </w:rPr>
        <w:t xml:space="preserve"> </w:t>
      </w:r>
      <w:r>
        <w:rPr>
          <w:color w:val="231F20"/>
        </w:rPr>
        <w:t>stronger</w:t>
      </w:r>
      <w:r>
        <w:rPr>
          <w:color w:val="231F20"/>
          <w:spacing w:val="-25"/>
        </w:rPr>
        <w:t xml:space="preserve"> </w:t>
      </w:r>
      <w:r>
        <w:rPr>
          <w:color w:val="231F20"/>
        </w:rPr>
        <w:t>fiscal</w:t>
      </w:r>
      <w:r>
        <w:rPr>
          <w:color w:val="231F20"/>
          <w:spacing w:val="-25"/>
        </w:rPr>
        <w:t xml:space="preserve"> </w:t>
      </w:r>
      <w:r>
        <w:rPr>
          <w:color w:val="231F20"/>
        </w:rPr>
        <w:t>disciple,</w:t>
      </w:r>
      <w:r>
        <w:rPr>
          <w:color w:val="231F20"/>
          <w:spacing w:val="-25"/>
        </w:rPr>
        <w:t xml:space="preserve"> </w:t>
      </w:r>
      <w:r>
        <w:rPr>
          <w:color w:val="231F20"/>
        </w:rPr>
        <w:t>the</w:t>
      </w:r>
      <w:r>
        <w:rPr>
          <w:color w:val="231F20"/>
          <w:spacing w:val="-25"/>
        </w:rPr>
        <w:t xml:space="preserve"> </w:t>
      </w:r>
      <w:r>
        <w:rPr>
          <w:color w:val="231F20"/>
        </w:rPr>
        <w:t>plan</w:t>
      </w:r>
      <w:r>
        <w:rPr>
          <w:color w:val="231F20"/>
          <w:spacing w:val="-26"/>
        </w:rPr>
        <w:t xml:space="preserve"> </w:t>
      </w:r>
      <w:r>
        <w:rPr>
          <w:color w:val="231F20"/>
        </w:rPr>
        <w:t>could</w:t>
      </w:r>
      <w:r>
        <w:rPr>
          <w:color w:val="231F20"/>
          <w:spacing w:val="-25"/>
        </w:rPr>
        <w:t xml:space="preserve"> </w:t>
      </w:r>
      <w:r>
        <w:rPr>
          <w:color w:val="231F20"/>
        </w:rPr>
        <w:t>be</w:t>
      </w:r>
      <w:r>
        <w:rPr>
          <w:color w:val="231F20"/>
          <w:spacing w:val="-25"/>
        </w:rPr>
        <w:t xml:space="preserve"> </w:t>
      </w:r>
      <w:r>
        <w:rPr>
          <w:color w:val="231F20"/>
        </w:rPr>
        <w:t>sufficiently</w:t>
      </w:r>
      <w:r>
        <w:rPr>
          <w:color w:val="231F20"/>
          <w:spacing w:val="-25"/>
        </w:rPr>
        <w:t xml:space="preserve"> </w:t>
      </w:r>
      <w:r>
        <w:rPr>
          <w:color w:val="231F20"/>
        </w:rPr>
        <w:t>funded.</w:t>
      </w:r>
    </w:p>
    <w:p w14:paraId="5406B376" w14:textId="77777777" w:rsidR="009948F1" w:rsidRDefault="009948F1">
      <w:pPr>
        <w:pStyle w:val="BodyText"/>
        <w:rPr>
          <w:sz w:val="21"/>
        </w:rPr>
      </w:pPr>
    </w:p>
    <w:p w14:paraId="201FA849" w14:textId="77777777" w:rsidR="009948F1" w:rsidRDefault="00BC0563">
      <w:pPr>
        <w:pStyle w:val="BodyText"/>
        <w:ind w:left="176"/>
      </w:pPr>
      <w:r>
        <w:rPr>
          <w:color w:val="231F20"/>
        </w:rPr>
        <w:t>It is therefore recommended to</w:t>
      </w:r>
    </w:p>
    <w:p w14:paraId="7987BA01" w14:textId="77777777" w:rsidR="009948F1" w:rsidRDefault="00BC0563">
      <w:pPr>
        <w:pStyle w:val="ListParagraph"/>
        <w:numPr>
          <w:ilvl w:val="0"/>
          <w:numId w:val="249"/>
        </w:numPr>
        <w:tabs>
          <w:tab w:val="left" w:pos="895"/>
          <w:tab w:val="left" w:pos="897"/>
        </w:tabs>
        <w:spacing w:before="3" w:line="242" w:lineRule="auto"/>
        <w:ind w:right="724"/>
      </w:pPr>
      <w:r>
        <w:rPr>
          <w:color w:val="231F20"/>
        </w:rPr>
        <w:t>Conduct state-specific core analytics for health financing including health accounts, fiscal space analysis, and cost of illness</w:t>
      </w:r>
      <w:r>
        <w:rPr>
          <w:color w:val="231F20"/>
          <w:spacing w:val="-1"/>
        </w:rPr>
        <w:t xml:space="preserve"> </w:t>
      </w:r>
      <w:r>
        <w:rPr>
          <w:color w:val="231F20"/>
        </w:rPr>
        <w:t>studies.</w:t>
      </w:r>
    </w:p>
    <w:p w14:paraId="66F7AF1F" w14:textId="77777777" w:rsidR="009948F1" w:rsidRDefault="00BC0563">
      <w:pPr>
        <w:pStyle w:val="ListParagraph"/>
        <w:numPr>
          <w:ilvl w:val="0"/>
          <w:numId w:val="249"/>
        </w:numPr>
        <w:tabs>
          <w:tab w:val="left" w:pos="895"/>
          <w:tab w:val="left" w:pos="897"/>
        </w:tabs>
        <w:spacing w:before="1" w:line="242" w:lineRule="auto"/>
        <w:ind w:right="533"/>
      </w:pPr>
      <w:r>
        <w:rPr>
          <w:color w:val="231F20"/>
        </w:rPr>
        <w:t xml:space="preserve">Effort should be made to conduct regular health facility and inventory assessments </w:t>
      </w:r>
      <w:r>
        <w:rPr>
          <w:color w:val="231F20"/>
          <w:spacing w:val="-9"/>
        </w:rPr>
        <w:t xml:space="preserve">to </w:t>
      </w:r>
      <w:r>
        <w:rPr>
          <w:color w:val="231F20"/>
        </w:rPr>
        <w:t>have real-time access to such data when needed in the</w:t>
      </w:r>
      <w:r>
        <w:rPr>
          <w:color w:val="231F20"/>
          <w:spacing w:val="-1"/>
        </w:rPr>
        <w:t xml:space="preserve"> </w:t>
      </w:r>
      <w:r>
        <w:rPr>
          <w:color w:val="231F20"/>
        </w:rPr>
        <w:t>state.</w:t>
      </w:r>
    </w:p>
    <w:p w14:paraId="470634B8" w14:textId="77777777" w:rsidR="009948F1" w:rsidRDefault="00BC0563">
      <w:pPr>
        <w:pStyle w:val="ListParagraph"/>
        <w:numPr>
          <w:ilvl w:val="0"/>
          <w:numId w:val="249"/>
        </w:numPr>
        <w:tabs>
          <w:tab w:val="left" w:pos="897"/>
        </w:tabs>
        <w:spacing w:before="1" w:line="242" w:lineRule="auto"/>
        <w:ind w:right="336"/>
      </w:pPr>
      <w:r>
        <w:rPr>
          <w:color w:val="231F20"/>
        </w:rPr>
        <w:t xml:space="preserve">States should be proactive in expanding the network of officers with the knowledge </w:t>
      </w:r>
      <w:r>
        <w:rPr>
          <w:color w:val="231F20"/>
          <w:spacing w:val="-6"/>
        </w:rPr>
        <w:t xml:space="preserve">and </w:t>
      </w:r>
      <w:r>
        <w:rPr>
          <w:color w:val="231F20"/>
        </w:rPr>
        <w:t>expertise of conducting costing and prioritization of health</w:t>
      </w:r>
      <w:r>
        <w:rPr>
          <w:color w:val="231F20"/>
          <w:spacing w:val="-1"/>
        </w:rPr>
        <w:t xml:space="preserve"> </w:t>
      </w:r>
      <w:r>
        <w:rPr>
          <w:color w:val="231F20"/>
        </w:rPr>
        <w:t>strategies.</w:t>
      </w:r>
    </w:p>
    <w:p w14:paraId="5421455E" w14:textId="77777777" w:rsidR="009948F1" w:rsidRDefault="00BC0563">
      <w:pPr>
        <w:pStyle w:val="ListParagraph"/>
        <w:numPr>
          <w:ilvl w:val="0"/>
          <w:numId w:val="249"/>
        </w:numPr>
        <w:tabs>
          <w:tab w:val="left" w:pos="897"/>
        </w:tabs>
        <w:spacing w:before="1" w:line="242" w:lineRule="auto"/>
        <w:ind w:right="272"/>
      </w:pPr>
      <w:r>
        <w:rPr>
          <w:color w:val="231F20"/>
        </w:rPr>
        <w:t xml:space="preserve">State and Federal Ministries of health to develop costing guidelines and benchmarks </w:t>
      </w:r>
      <w:r>
        <w:rPr>
          <w:color w:val="231F20"/>
          <w:spacing w:val="-6"/>
        </w:rPr>
        <w:t xml:space="preserve">for </w:t>
      </w:r>
      <w:r>
        <w:rPr>
          <w:color w:val="231F20"/>
        </w:rPr>
        <w:t>health services.</w:t>
      </w:r>
    </w:p>
    <w:p w14:paraId="1B6F0EC7" w14:textId="77777777" w:rsidR="009948F1" w:rsidRDefault="009948F1">
      <w:pPr>
        <w:spacing w:line="242" w:lineRule="auto"/>
        <w:sectPr w:rsidR="009948F1">
          <w:pgSz w:w="11910" w:h="16840"/>
          <w:pgMar w:top="1580" w:right="1080" w:bottom="1420" w:left="1120" w:header="0" w:footer="1235" w:gutter="0"/>
          <w:cols w:space="720"/>
        </w:sectPr>
      </w:pPr>
    </w:p>
    <w:p w14:paraId="0E96A3CA" w14:textId="77777777" w:rsidR="009948F1" w:rsidRDefault="00BC0563">
      <w:pPr>
        <w:pStyle w:val="Heading1"/>
        <w:spacing w:line="476" w:lineRule="exact"/>
        <w:ind w:right="1054"/>
      </w:pPr>
      <w:bookmarkStart w:id="138" w:name="_TOC_250005"/>
      <w:bookmarkEnd w:id="138"/>
      <w:r>
        <w:rPr>
          <w:color w:val="231F20"/>
        </w:rPr>
        <w:lastRenderedPageBreak/>
        <w:t>CHAPTER 11</w:t>
      </w:r>
    </w:p>
    <w:p w14:paraId="44163867" w14:textId="77777777" w:rsidR="009948F1" w:rsidRDefault="00BC0563">
      <w:pPr>
        <w:pStyle w:val="Heading2"/>
        <w:spacing w:line="383" w:lineRule="exact"/>
        <w:ind w:right="1081"/>
        <w:rPr>
          <w:rFonts w:ascii="Tahoma"/>
        </w:rPr>
      </w:pPr>
      <w:r>
        <w:rPr>
          <w:rFonts w:ascii="Tahoma"/>
          <w:color w:val="231F20"/>
        </w:rPr>
        <w:t>IMPLEMENTING FRAMEWORK</w:t>
      </w:r>
    </w:p>
    <w:p w14:paraId="237E8DDA" w14:textId="77777777" w:rsidR="009948F1" w:rsidRDefault="009948F1">
      <w:pPr>
        <w:pStyle w:val="BodyText"/>
        <w:spacing w:before="6"/>
        <w:rPr>
          <w:rFonts w:ascii="Tahoma"/>
          <w:b/>
          <w:sz w:val="17"/>
        </w:rPr>
      </w:pPr>
    </w:p>
    <w:p w14:paraId="4914B425" w14:textId="77777777" w:rsidR="009948F1" w:rsidRDefault="00BC0563">
      <w:pPr>
        <w:pStyle w:val="BodyText"/>
        <w:spacing w:before="65" w:line="254" w:lineRule="auto"/>
        <w:ind w:left="156" w:right="167"/>
        <w:jc w:val="both"/>
      </w:pPr>
      <w:r>
        <w:rPr>
          <w:color w:val="231F20"/>
        </w:rPr>
        <w:t>Rivers</w:t>
      </w:r>
      <w:r>
        <w:rPr>
          <w:color w:val="231F20"/>
          <w:spacing w:val="-7"/>
        </w:rPr>
        <w:t xml:space="preserve"> </w:t>
      </w:r>
      <w:r>
        <w:rPr>
          <w:color w:val="231F20"/>
        </w:rPr>
        <w:t>State</w:t>
      </w:r>
      <w:r>
        <w:rPr>
          <w:color w:val="231F20"/>
          <w:spacing w:val="-7"/>
        </w:rPr>
        <w:t xml:space="preserve"> </w:t>
      </w:r>
      <w:r>
        <w:rPr>
          <w:color w:val="231F20"/>
        </w:rPr>
        <w:t>Ministry</w:t>
      </w:r>
      <w:r>
        <w:rPr>
          <w:color w:val="231F20"/>
          <w:spacing w:val="-7"/>
        </w:rPr>
        <w:t xml:space="preserve"> </w:t>
      </w:r>
      <w:r>
        <w:rPr>
          <w:color w:val="231F20"/>
        </w:rPr>
        <w:t>of</w:t>
      </w:r>
      <w:r>
        <w:rPr>
          <w:color w:val="231F20"/>
          <w:spacing w:val="-7"/>
        </w:rPr>
        <w:t xml:space="preserve"> </w:t>
      </w:r>
      <w:r>
        <w:rPr>
          <w:color w:val="231F20"/>
        </w:rPr>
        <w:t>Health</w:t>
      </w:r>
      <w:r>
        <w:rPr>
          <w:color w:val="231F20"/>
          <w:spacing w:val="-6"/>
        </w:rPr>
        <w:t xml:space="preserve"> </w:t>
      </w:r>
      <w:r>
        <w:rPr>
          <w:color w:val="231F20"/>
        </w:rPr>
        <w:t>(SMOH)</w:t>
      </w:r>
      <w:r>
        <w:rPr>
          <w:color w:val="231F20"/>
          <w:spacing w:val="-7"/>
        </w:rPr>
        <w:t xml:space="preserve"> </w:t>
      </w:r>
      <w:r>
        <w:rPr>
          <w:color w:val="231F20"/>
        </w:rPr>
        <w:t>is</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leadership</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proofErr w:type="spellStart"/>
      <w:r>
        <w:rPr>
          <w:color w:val="231F20"/>
        </w:rPr>
        <w:t>Honourable</w:t>
      </w:r>
      <w:proofErr w:type="spellEnd"/>
      <w:r>
        <w:rPr>
          <w:color w:val="231F20"/>
          <w:spacing w:val="-7"/>
        </w:rPr>
        <w:t xml:space="preserve"> </w:t>
      </w:r>
      <w:r>
        <w:rPr>
          <w:color w:val="231F20"/>
        </w:rPr>
        <w:t>Commissioner, who</w:t>
      </w:r>
      <w:r>
        <w:rPr>
          <w:color w:val="231F20"/>
          <w:spacing w:val="-21"/>
        </w:rPr>
        <w:t xml:space="preserve"> </w:t>
      </w:r>
      <w:r>
        <w:rPr>
          <w:color w:val="231F20"/>
        </w:rPr>
        <w:t>is</w:t>
      </w:r>
      <w:r>
        <w:rPr>
          <w:color w:val="231F20"/>
          <w:spacing w:val="-20"/>
        </w:rPr>
        <w:t xml:space="preserve"> </w:t>
      </w:r>
      <w:r>
        <w:rPr>
          <w:color w:val="231F20"/>
        </w:rPr>
        <w:t>also</w:t>
      </w:r>
      <w:r>
        <w:rPr>
          <w:color w:val="231F20"/>
          <w:spacing w:val="-21"/>
        </w:rPr>
        <w:t xml:space="preserve"> </w:t>
      </w:r>
      <w:r>
        <w:rPr>
          <w:color w:val="231F20"/>
        </w:rPr>
        <w:t>the</w:t>
      </w:r>
      <w:r>
        <w:rPr>
          <w:color w:val="231F20"/>
          <w:spacing w:val="-20"/>
        </w:rPr>
        <w:t xml:space="preserve"> </w:t>
      </w:r>
      <w:r>
        <w:rPr>
          <w:color w:val="231F20"/>
        </w:rPr>
        <w:t>Chief</w:t>
      </w:r>
      <w:r>
        <w:rPr>
          <w:color w:val="231F20"/>
          <w:spacing w:val="-20"/>
        </w:rPr>
        <w:t xml:space="preserve"> </w:t>
      </w:r>
      <w:r>
        <w:rPr>
          <w:color w:val="231F20"/>
        </w:rPr>
        <w:t>Executive</w:t>
      </w:r>
      <w:r>
        <w:rPr>
          <w:color w:val="231F20"/>
          <w:spacing w:val="-21"/>
        </w:rPr>
        <w:t xml:space="preserve"> </w:t>
      </w:r>
      <w:r>
        <w:rPr>
          <w:color w:val="231F20"/>
          <w:spacing w:val="-3"/>
        </w:rPr>
        <w:t>Officer.</w:t>
      </w:r>
      <w:r>
        <w:rPr>
          <w:color w:val="231F20"/>
          <w:spacing w:val="-24"/>
        </w:rPr>
        <w:t xml:space="preserve"> </w:t>
      </w:r>
      <w:r>
        <w:rPr>
          <w:color w:val="231F20"/>
        </w:rPr>
        <w:t>The</w:t>
      </w:r>
      <w:r>
        <w:rPr>
          <w:color w:val="231F20"/>
          <w:spacing w:val="-20"/>
        </w:rPr>
        <w:t xml:space="preserve"> </w:t>
      </w:r>
      <w:r>
        <w:rPr>
          <w:color w:val="231F20"/>
        </w:rPr>
        <w:t>Permanent</w:t>
      </w:r>
      <w:r>
        <w:rPr>
          <w:color w:val="231F20"/>
          <w:spacing w:val="-21"/>
        </w:rPr>
        <w:t xml:space="preserve"> </w:t>
      </w:r>
      <w:r>
        <w:rPr>
          <w:color w:val="231F20"/>
        </w:rPr>
        <w:t>Secretary</w:t>
      </w:r>
      <w:r>
        <w:rPr>
          <w:color w:val="231F20"/>
          <w:spacing w:val="-20"/>
        </w:rPr>
        <w:t xml:space="preserve"> </w:t>
      </w:r>
      <w:r>
        <w:rPr>
          <w:color w:val="231F20"/>
        </w:rPr>
        <w:t>is</w:t>
      </w:r>
      <w:r>
        <w:rPr>
          <w:color w:val="231F20"/>
          <w:spacing w:val="-20"/>
        </w:rPr>
        <w:t xml:space="preserve"> </w:t>
      </w:r>
      <w:r>
        <w:rPr>
          <w:color w:val="231F20"/>
        </w:rPr>
        <w:t>the</w:t>
      </w:r>
      <w:r>
        <w:rPr>
          <w:color w:val="231F20"/>
          <w:spacing w:val="-21"/>
        </w:rPr>
        <w:t xml:space="preserve"> </w:t>
      </w:r>
      <w:r>
        <w:rPr>
          <w:color w:val="231F20"/>
        </w:rPr>
        <w:t>Chief</w:t>
      </w:r>
      <w:r>
        <w:rPr>
          <w:color w:val="231F20"/>
          <w:spacing w:val="-32"/>
        </w:rPr>
        <w:t xml:space="preserve"> </w:t>
      </w:r>
      <w:r>
        <w:rPr>
          <w:color w:val="231F20"/>
        </w:rPr>
        <w:t>Administrative</w:t>
      </w:r>
      <w:r>
        <w:rPr>
          <w:color w:val="231F20"/>
          <w:spacing w:val="-21"/>
        </w:rPr>
        <w:t xml:space="preserve"> </w:t>
      </w:r>
      <w:r>
        <w:rPr>
          <w:color w:val="231F20"/>
          <w:spacing w:val="-3"/>
        </w:rPr>
        <w:t xml:space="preserve">Officer </w:t>
      </w:r>
      <w:r>
        <w:rPr>
          <w:color w:val="231F20"/>
        </w:rPr>
        <w:t>of</w:t>
      </w:r>
      <w:r>
        <w:rPr>
          <w:color w:val="231F20"/>
          <w:spacing w:val="-19"/>
        </w:rPr>
        <w:t xml:space="preserve"> </w:t>
      </w:r>
      <w:r>
        <w:rPr>
          <w:color w:val="231F20"/>
        </w:rPr>
        <w:t>the</w:t>
      </w:r>
      <w:r>
        <w:rPr>
          <w:color w:val="231F20"/>
          <w:spacing w:val="-18"/>
        </w:rPr>
        <w:t xml:space="preserve"> </w:t>
      </w:r>
      <w:r>
        <w:rPr>
          <w:color w:val="231F20"/>
        </w:rPr>
        <w:t>Ministry</w:t>
      </w:r>
      <w:r>
        <w:rPr>
          <w:color w:val="231F20"/>
          <w:spacing w:val="-18"/>
        </w:rPr>
        <w:t xml:space="preserve"> </w:t>
      </w:r>
      <w:r>
        <w:rPr>
          <w:color w:val="231F20"/>
        </w:rPr>
        <w:t>and</w:t>
      </w:r>
      <w:r>
        <w:rPr>
          <w:color w:val="231F20"/>
          <w:spacing w:val="-18"/>
        </w:rPr>
        <w:t xml:space="preserve"> </w:t>
      </w:r>
      <w:r>
        <w:rPr>
          <w:color w:val="231F20"/>
        </w:rPr>
        <w:t>is</w:t>
      </w:r>
      <w:r>
        <w:rPr>
          <w:color w:val="231F20"/>
          <w:spacing w:val="-18"/>
        </w:rPr>
        <w:t xml:space="preserve"> </w:t>
      </w:r>
      <w:r>
        <w:rPr>
          <w:color w:val="231F20"/>
        </w:rPr>
        <w:t>in</w:t>
      </w:r>
      <w:r>
        <w:rPr>
          <w:color w:val="231F20"/>
          <w:spacing w:val="-18"/>
        </w:rPr>
        <w:t xml:space="preserve"> </w:t>
      </w:r>
      <w:r>
        <w:rPr>
          <w:color w:val="231F20"/>
        </w:rPr>
        <w:t>charge</w:t>
      </w:r>
      <w:r>
        <w:rPr>
          <w:color w:val="231F20"/>
          <w:spacing w:val="-18"/>
        </w:rPr>
        <w:t xml:space="preserve"> </w:t>
      </w:r>
      <w:r>
        <w:rPr>
          <w:color w:val="231F20"/>
        </w:rPr>
        <w:t>of</w:t>
      </w:r>
      <w:r>
        <w:rPr>
          <w:color w:val="231F20"/>
          <w:spacing w:val="-18"/>
        </w:rPr>
        <w:t xml:space="preserve"> </w:t>
      </w:r>
      <w:r>
        <w:rPr>
          <w:color w:val="231F20"/>
        </w:rPr>
        <w:t>all</w:t>
      </w:r>
      <w:r>
        <w:rPr>
          <w:color w:val="231F20"/>
          <w:spacing w:val="-18"/>
        </w:rPr>
        <w:t xml:space="preserve"> </w:t>
      </w:r>
      <w:r>
        <w:rPr>
          <w:color w:val="231F20"/>
        </w:rPr>
        <w:t>administrative</w:t>
      </w:r>
      <w:r>
        <w:rPr>
          <w:color w:val="231F20"/>
          <w:spacing w:val="-18"/>
        </w:rPr>
        <w:t xml:space="preserve"> </w:t>
      </w:r>
      <w:r>
        <w:rPr>
          <w:color w:val="231F20"/>
        </w:rPr>
        <w:t>procedures</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various</w:t>
      </w:r>
      <w:r>
        <w:rPr>
          <w:color w:val="231F20"/>
          <w:spacing w:val="-18"/>
        </w:rPr>
        <w:t xml:space="preserve"> </w:t>
      </w:r>
      <w:r>
        <w:rPr>
          <w:color w:val="231F20"/>
        </w:rPr>
        <w:t>sections.</w:t>
      </w:r>
      <w:r>
        <w:rPr>
          <w:color w:val="231F20"/>
          <w:spacing w:val="-23"/>
        </w:rPr>
        <w:t xml:space="preserve"> </w:t>
      </w:r>
      <w:r>
        <w:rPr>
          <w:color w:val="231F20"/>
        </w:rPr>
        <w:t>The</w:t>
      </w:r>
      <w:r>
        <w:rPr>
          <w:color w:val="231F20"/>
          <w:spacing w:val="-18"/>
        </w:rPr>
        <w:t xml:space="preserve"> </w:t>
      </w:r>
      <w:r>
        <w:rPr>
          <w:color w:val="231F20"/>
        </w:rPr>
        <w:t>Ministry is</w:t>
      </w:r>
      <w:r>
        <w:rPr>
          <w:color w:val="231F20"/>
          <w:spacing w:val="-9"/>
        </w:rPr>
        <w:t xml:space="preserve"> </w:t>
      </w:r>
      <w:r>
        <w:rPr>
          <w:color w:val="231F20"/>
        </w:rPr>
        <w:t>made</w:t>
      </w:r>
      <w:r>
        <w:rPr>
          <w:color w:val="231F20"/>
          <w:spacing w:val="-8"/>
        </w:rPr>
        <w:t xml:space="preserve"> </w:t>
      </w:r>
      <w:r>
        <w:rPr>
          <w:color w:val="231F20"/>
        </w:rPr>
        <w:t>up</w:t>
      </w:r>
      <w:r>
        <w:rPr>
          <w:color w:val="231F20"/>
          <w:spacing w:val="-8"/>
        </w:rPr>
        <w:t xml:space="preserve"> </w:t>
      </w:r>
      <w:r>
        <w:rPr>
          <w:color w:val="231F20"/>
        </w:rPr>
        <w:t>of</w:t>
      </w:r>
      <w:r>
        <w:rPr>
          <w:color w:val="231F20"/>
          <w:spacing w:val="-9"/>
        </w:rPr>
        <w:t xml:space="preserve"> </w:t>
      </w:r>
      <w:r>
        <w:rPr>
          <w:color w:val="231F20"/>
        </w:rPr>
        <w:t>eight</w:t>
      </w:r>
      <w:r>
        <w:rPr>
          <w:color w:val="231F20"/>
          <w:spacing w:val="-8"/>
        </w:rPr>
        <w:t xml:space="preserve"> </w:t>
      </w:r>
      <w:r>
        <w:rPr>
          <w:color w:val="231F20"/>
        </w:rPr>
        <w:t>departments</w:t>
      </w:r>
      <w:r>
        <w:rPr>
          <w:color w:val="231F20"/>
          <w:spacing w:val="-8"/>
        </w:rPr>
        <w:t xml:space="preserve"> </w:t>
      </w:r>
      <w:r>
        <w:rPr>
          <w:color w:val="231F20"/>
        </w:rPr>
        <w:t>and</w:t>
      </w:r>
      <w:r>
        <w:rPr>
          <w:color w:val="231F20"/>
          <w:spacing w:val="-9"/>
        </w:rPr>
        <w:t xml:space="preserve"> </w:t>
      </w:r>
      <w:r>
        <w:rPr>
          <w:color w:val="231F20"/>
        </w:rPr>
        <w:t>other</w:t>
      </w:r>
      <w:r>
        <w:rPr>
          <w:color w:val="231F20"/>
          <w:spacing w:val="-8"/>
        </w:rPr>
        <w:t xml:space="preserve"> </w:t>
      </w:r>
      <w:r>
        <w:rPr>
          <w:color w:val="231F20"/>
        </w:rPr>
        <w:t>special</w:t>
      </w:r>
      <w:r>
        <w:rPr>
          <w:color w:val="231F20"/>
          <w:spacing w:val="-8"/>
        </w:rPr>
        <w:t xml:space="preserve"> </w:t>
      </w:r>
      <w:r>
        <w:rPr>
          <w:color w:val="231F20"/>
        </w:rPr>
        <w:t>units</w:t>
      </w:r>
      <w:r>
        <w:rPr>
          <w:color w:val="231F20"/>
          <w:spacing w:val="-9"/>
        </w:rPr>
        <w:t xml:space="preserve"> </w:t>
      </w:r>
      <w:r>
        <w:rPr>
          <w:color w:val="231F20"/>
        </w:rPr>
        <w:t>with</w:t>
      </w:r>
      <w:r>
        <w:rPr>
          <w:color w:val="231F20"/>
          <w:spacing w:val="-8"/>
        </w:rPr>
        <w:t xml:space="preserve"> </w:t>
      </w:r>
      <w:r>
        <w:rPr>
          <w:color w:val="231F20"/>
        </w:rPr>
        <w:t>Directors</w:t>
      </w:r>
      <w:r>
        <w:rPr>
          <w:color w:val="231F20"/>
          <w:spacing w:val="-8"/>
        </w:rPr>
        <w:t xml:space="preserve"> </w:t>
      </w:r>
      <w:r>
        <w:rPr>
          <w:color w:val="231F20"/>
        </w:rPr>
        <w:t>and</w:t>
      </w:r>
      <w:r>
        <w:rPr>
          <w:color w:val="231F20"/>
          <w:spacing w:val="-9"/>
        </w:rPr>
        <w:t xml:space="preserve"> </w:t>
      </w:r>
      <w:r>
        <w:rPr>
          <w:color w:val="231F20"/>
        </w:rPr>
        <w:t>various</w:t>
      </w:r>
      <w:r>
        <w:rPr>
          <w:color w:val="231F20"/>
          <w:spacing w:val="-8"/>
        </w:rPr>
        <w:t xml:space="preserve"> </w:t>
      </w:r>
      <w:r>
        <w:rPr>
          <w:color w:val="231F20"/>
        </w:rPr>
        <w:t>cadres</w:t>
      </w:r>
      <w:r>
        <w:rPr>
          <w:color w:val="231F20"/>
          <w:spacing w:val="-8"/>
        </w:rPr>
        <w:t xml:space="preserve"> </w:t>
      </w:r>
      <w:r>
        <w:rPr>
          <w:color w:val="231F20"/>
        </w:rPr>
        <w:t>of</w:t>
      </w:r>
      <w:r>
        <w:rPr>
          <w:color w:val="231F20"/>
          <w:spacing w:val="-9"/>
        </w:rPr>
        <w:t xml:space="preserve"> </w:t>
      </w:r>
      <w:r>
        <w:rPr>
          <w:color w:val="231F20"/>
        </w:rPr>
        <w:t>staff. The</w:t>
      </w:r>
      <w:r>
        <w:rPr>
          <w:color w:val="231F20"/>
          <w:spacing w:val="-21"/>
        </w:rPr>
        <w:t xml:space="preserve"> </w:t>
      </w:r>
      <w:r>
        <w:rPr>
          <w:color w:val="231F20"/>
        </w:rPr>
        <w:t>physical</w:t>
      </w:r>
      <w:r>
        <w:rPr>
          <w:color w:val="231F20"/>
          <w:spacing w:val="-19"/>
        </w:rPr>
        <w:t xml:space="preserve"> </w:t>
      </w:r>
      <w:r>
        <w:rPr>
          <w:color w:val="231F20"/>
        </w:rPr>
        <w:t>structure</w:t>
      </w:r>
      <w:r>
        <w:rPr>
          <w:color w:val="231F20"/>
          <w:spacing w:val="-20"/>
        </w:rPr>
        <w:t xml:space="preserve"> </w:t>
      </w:r>
      <w:r>
        <w:rPr>
          <w:color w:val="231F20"/>
        </w:rPr>
        <w:t>of</w:t>
      </w:r>
      <w:r>
        <w:rPr>
          <w:color w:val="231F20"/>
          <w:spacing w:val="-21"/>
        </w:rPr>
        <w:t xml:space="preserve"> </w:t>
      </w:r>
      <w:r>
        <w:rPr>
          <w:color w:val="231F20"/>
        </w:rPr>
        <w:t>the</w:t>
      </w:r>
      <w:r>
        <w:rPr>
          <w:color w:val="231F20"/>
          <w:spacing w:val="-20"/>
        </w:rPr>
        <w:t xml:space="preserve"> </w:t>
      </w:r>
      <w:r>
        <w:rPr>
          <w:color w:val="231F20"/>
        </w:rPr>
        <w:t>SMOH,</w:t>
      </w:r>
      <w:r>
        <w:rPr>
          <w:color w:val="231F20"/>
          <w:spacing w:val="-20"/>
        </w:rPr>
        <w:t xml:space="preserve"> </w:t>
      </w:r>
      <w:r>
        <w:rPr>
          <w:color w:val="231F20"/>
        </w:rPr>
        <w:t>made</w:t>
      </w:r>
      <w:r>
        <w:rPr>
          <w:color w:val="231F20"/>
          <w:spacing w:val="-19"/>
        </w:rPr>
        <w:t xml:space="preserve"> </w:t>
      </w:r>
      <w:r>
        <w:rPr>
          <w:color w:val="231F20"/>
        </w:rPr>
        <w:t>up</w:t>
      </w:r>
      <w:r>
        <w:rPr>
          <w:color w:val="231F20"/>
          <w:spacing w:val="-21"/>
        </w:rPr>
        <w:t xml:space="preserve"> </w:t>
      </w:r>
      <w:r>
        <w:rPr>
          <w:color w:val="231F20"/>
        </w:rPr>
        <w:t>of</w:t>
      </w:r>
      <w:r>
        <w:rPr>
          <w:color w:val="231F20"/>
          <w:spacing w:val="-20"/>
        </w:rPr>
        <w:t xml:space="preserve"> </w:t>
      </w:r>
      <w:r>
        <w:rPr>
          <w:color w:val="231F20"/>
        </w:rPr>
        <w:t>four</w:t>
      </w:r>
      <w:r>
        <w:rPr>
          <w:color w:val="231F20"/>
          <w:spacing w:val="-20"/>
        </w:rPr>
        <w:t xml:space="preserve"> </w:t>
      </w:r>
      <w:r>
        <w:rPr>
          <w:color w:val="231F20"/>
        </w:rPr>
        <w:t>floors</w:t>
      </w:r>
      <w:r>
        <w:rPr>
          <w:color w:val="231F20"/>
          <w:spacing w:val="-21"/>
        </w:rPr>
        <w:t xml:space="preserve"> </w:t>
      </w:r>
      <w:r>
        <w:rPr>
          <w:color w:val="231F20"/>
        </w:rPr>
        <w:t>with</w:t>
      </w:r>
      <w:r>
        <w:rPr>
          <w:color w:val="231F20"/>
          <w:spacing w:val="-20"/>
        </w:rPr>
        <w:t xml:space="preserve"> </w:t>
      </w:r>
      <w:r>
        <w:rPr>
          <w:color w:val="231F20"/>
        </w:rPr>
        <w:t>many</w:t>
      </w:r>
      <w:r>
        <w:rPr>
          <w:color w:val="231F20"/>
          <w:spacing w:val="-20"/>
        </w:rPr>
        <w:t xml:space="preserve"> </w:t>
      </w:r>
      <w:r>
        <w:rPr>
          <w:color w:val="231F20"/>
        </w:rPr>
        <w:t>offices</w:t>
      </w:r>
      <w:r>
        <w:rPr>
          <w:color w:val="231F20"/>
          <w:spacing w:val="-20"/>
        </w:rPr>
        <w:t xml:space="preserve"> </w:t>
      </w:r>
      <w:r>
        <w:rPr>
          <w:color w:val="231F20"/>
        </w:rPr>
        <w:t>and</w:t>
      </w:r>
      <w:r>
        <w:rPr>
          <w:color w:val="231F20"/>
          <w:spacing w:val="-20"/>
        </w:rPr>
        <w:t xml:space="preserve"> </w:t>
      </w:r>
      <w:r>
        <w:rPr>
          <w:color w:val="231F20"/>
        </w:rPr>
        <w:t>rooms,</w:t>
      </w:r>
      <w:r>
        <w:rPr>
          <w:color w:val="231F20"/>
          <w:spacing w:val="-20"/>
        </w:rPr>
        <w:t xml:space="preserve"> </w:t>
      </w:r>
      <w:r>
        <w:rPr>
          <w:color w:val="231F20"/>
        </w:rPr>
        <w:t>is</w:t>
      </w:r>
      <w:r>
        <w:rPr>
          <w:color w:val="231F20"/>
          <w:spacing w:val="-20"/>
        </w:rPr>
        <w:t xml:space="preserve"> </w:t>
      </w:r>
      <w:r>
        <w:rPr>
          <w:color w:val="231F20"/>
        </w:rPr>
        <w:t>situated at</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Secretariat</w:t>
      </w:r>
      <w:r>
        <w:rPr>
          <w:color w:val="231F20"/>
          <w:spacing w:val="-5"/>
        </w:rPr>
        <w:t xml:space="preserve"> </w:t>
      </w:r>
      <w:r>
        <w:rPr>
          <w:color w:val="231F20"/>
        </w:rPr>
        <w:t>complex.</w:t>
      </w:r>
      <w:r>
        <w:rPr>
          <w:color w:val="231F20"/>
          <w:spacing w:val="-9"/>
        </w:rPr>
        <w:t xml:space="preserve"> </w:t>
      </w:r>
      <w:r>
        <w:rPr>
          <w:color w:val="231F20"/>
        </w:rPr>
        <w:t>The</w:t>
      </w:r>
      <w:r>
        <w:rPr>
          <w:color w:val="231F20"/>
          <w:spacing w:val="-5"/>
        </w:rPr>
        <w:t xml:space="preserve"> </w:t>
      </w:r>
      <w:r>
        <w:rPr>
          <w:color w:val="231F20"/>
        </w:rPr>
        <w:t>SMOH</w:t>
      </w:r>
      <w:r>
        <w:rPr>
          <w:color w:val="231F20"/>
          <w:spacing w:val="-4"/>
        </w:rPr>
        <w:t xml:space="preserve"> </w:t>
      </w:r>
      <w:r>
        <w:rPr>
          <w:color w:val="231F20"/>
        </w:rPr>
        <w:t>is</w:t>
      </w:r>
      <w:r>
        <w:rPr>
          <w:color w:val="231F20"/>
          <w:spacing w:val="-5"/>
        </w:rPr>
        <w:t xml:space="preserve"> </w:t>
      </w:r>
      <w:r>
        <w:rPr>
          <w:color w:val="231F20"/>
        </w:rPr>
        <w:t>responsible</w:t>
      </w:r>
      <w:r>
        <w:rPr>
          <w:color w:val="231F20"/>
          <w:spacing w:val="-5"/>
        </w:rPr>
        <w:t xml:space="preserve"> </w:t>
      </w:r>
      <w:r>
        <w:rPr>
          <w:color w:val="231F20"/>
        </w:rPr>
        <w:t>for</w:t>
      </w:r>
      <w:r>
        <w:rPr>
          <w:color w:val="231F20"/>
          <w:spacing w:val="-5"/>
        </w:rPr>
        <w:t xml:space="preserve"> </w:t>
      </w:r>
      <w:r>
        <w:rPr>
          <w:color w:val="231F20"/>
        </w:rPr>
        <w:t>formulating</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health</w:t>
      </w:r>
      <w:r>
        <w:rPr>
          <w:color w:val="231F20"/>
          <w:spacing w:val="-4"/>
        </w:rPr>
        <w:t xml:space="preserve"> </w:t>
      </w:r>
      <w:r>
        <w:rPr>
          <w:color w:val="231F20"/>
          <w:spacing w:val="-3"/>
        </w:rPr>
        <w:t xml:space="preserve">policy </w:t>
      </w:r>
      <w:r>
        <w:rPr>
          <w:color w:val="231F20"/>
        </w:rPr>
        <w:t>and</w:t>
      </w:r>
      <w:r>
        <w:rPr>
          <w:color w:val="231F20"/>
          <w:spacing w:val="-25"/>
        </w:rPr>
        <w:t xml:space="preserve"> </w:t>
      </w:r>
      <w:r>
        <w:rPr>
          <w:color w:val="231F20"/>
        </w:rPr>
        <w:t>ensuring</w:t>
      </w:r>
      <w:r>
        <w:rPr>
          <w:color w:val="231F20"/>
          <w:spacing w:val="-25"/>
        </w:rPr>
        <w:t xml:space="preserve"> </w:t>
      </w:r>
      <w:r>
        <w:rPr>
          <w:color w:val="231F20"/>
        </w:rPr>
        <w:t>its</w:t>
      </w:r>
      <w:r>
        <w:rPr>
          <w:color w:val="231F20"/>
          <w:spacing w:val="-25"/>
        </w:rPr>
        <w:t xml:space="preserve"> </w:t>
      </w:r>
      <w:r>
        <w:rPr>
          <w:color w:val="231F20"/>
        </w:rPr>
        <w:t>implementation.</w:t>
      </w:r>
    </w:p>
    <w:p w14:paraId="3A4FC203" w14:textId="77777777" w:rsidR="009948F1" w:rsidRDefault="009948F1">
      <w:pPr>
        <w:pStyle w:val="BodyText"/>
        <w:rPr>
          <w:sz w:val="23"/>
        </w:rPr>
      </w:pPr>
    </w:p>
    <w:p w14:paraId="20D2CD60" w14:textId="77777777" w:rsidR="009948F1" w:rsidRDefault="00BC0563">
      <w:pPr>
        <w:pStyle w:val="BodyText"/>
        <w:spacing w:line="254" w:lineRule="auto"/>
        <w:ind w:left="155" w:right="167"/>
        <w:jc w:val="both"/>
      </w:pPr>
      <w:r>
        <w:rPr>
          <w:color w:val="231F20"/>
        </w:rPr>
        <w:t xml:space="preserve">The Primary Health Care Management Board controls and manages all human resources, infrastructure, </w:t>
      </w:r>
      <w:proofErr w:type="spellStart"/>
      <w:r>
        <w:rPr>
          <w:color w:val="231F20"/>
        </w:rPr>
        <w:t>programmes</w:t>
      </w:r>
      <w:proofErr w:type="spellEnd"/>
      <w:r>
        <w:rPr>
          <w:color w:val="231F20"/>
        </w:rPr>
        <w:t xml:space="preserve"> and activities of Primary Health Care. The Permanent / Executive Secretary,</w:t>
      </w:r>
      <w:r>
        <w:rPr>
          <w:color w:val="231F20"/>
          <w:spacing w:val="-8"/>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administrative</w:t>
      </w:r>
      <w:r>
        <w:rPr>
          <w:color w:val="231F20"/>
          <w:spacing w:val="-7"/>
        </w:rPr>
        <w:t xml:space="preserve"> </w:t>
      </w:r>
      <w:r>
        <w:rPr>
          <w:color w:val="231F20"/>
        </w:rPr>
        <w:t>head</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and</w:t>
      </w:r>
      <w:r>
        <w:rPr>
          <w:color w:val="231F20"/>
          <w:spacing w:val="-7"/>
        </w:rPr>
        <w:t xml:space="preserve"> </w:t>
      </w:r>
      <w:r>
        <w:rPr>
          <w:color w:val="231F20"/>
        </w:rPr>
        <w:t>is</w:t>
      </w:r>
      <w:r>
        <w:rPr>
          <w:color w:val="231F20"/>
          <w:spacing w:val="-7"/>
        </w:rPr>
        <w:t xml:space="preserve"> </w:t>
      </w:r>
      <w:r>
        <w:rPr>
          <w:color w:val="231F20"/>
        </w:rPr>
        <w:t>responsible</w:t>
      </w:r>
      <w:r>
        <w:rPr>
          <w:color w:val="231F20"/>
          <w:spacing w:val="-8"/>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day-to-day</w:t>
      </w:r>
      <w:r>
        <w:rPr>
          <w:color w:val="231F20"/>
          <w:spacing w:val="-7"/>
        </w:rPr>
        <w:t xml:space="preserve"> </w:t>
      </w:r>
      <w:r>
        <w:rPr>
          <w:color w:val="231F20"/>
        </w:rPr>
        <w:t>running</w:t>
      </w:r>
      <w:r>
        <w:rPr>
          <w:color w:val="231F20"/>
          <w:spacing w:val="-7"/>
        </w:rPr>
        <w:t xml:space="preserve"> </w:t>
      </w:r>
      <w:r>
        <w:rPr>
          <w:color w:val="231F20"/>
        </w:rPr>
        <w:t>of the</w:t>
      </w:r>
      <w:r>
        <w:rPr>
          <w:color w:val="231F20"/>
          <w:spacing w:val="-26"/>
        </w:rPr>
        <w:t xml:space="preserve"> </w:t>
      </w:r>
      <w:r>
        <w:rPr>
          <w:color w:val="231F20"/>
        </w:rPr>
        <w:t>Board</w:t>
      </w:r>
      <w:r>
        <w:rPr>
          <w:color w:val="231F20"/>
          <w:spacing w:val="-26"/>
        </w:rPr>
        <w:t xml:space="preserve"> </w:t>
      </w:r>
      <w:r>
        <w:rPr>
          <w:color w:val="231F20"/>
        </w:rPr>
        <w:t>and</w:t>
      </w:r>
      <w:r>
        <w:rPr>
          <w:color w:val="231F20"/>
          <w:spacing w:val="-25"/>
        </w:rPr>
        <w:t xml:space="preserve"> </w:t>
      </w:r>
      <w:r>
        <w:rPr>
          <w:color w:val="231F20"/>
        </w:rPr>
        <w:t>implements</w:t>
      </w:r>
      <w:r>
        <w:rPr>
          <w:color w:val="231F20"/>
          <w:spacing w:val="-25"/>
        </w:rPr>
        <w:t xml:space="preserve"> </w:t>
      </w:r>
      <w:r>
        <w:rPr>
          <w:color w:val="231F20"/>
        </w:rPr>
        <w:t>decisions</w:t>
      </w:r>
      <w:r>
        <w:rPr>
          <w:color w:val="231F20"/>
          <w:spacing w:val="-25"/>
        </w:rPr>
        <w:t xml:space="preserve"> </w:t>
      </w:r>
      <w:r>
        <w:rPr>
          <w:color w:val="231F20"/>
        </w:rPr>
        <w:t>made</w:t>
      </w:r>
      <w:r>
        <w:rPr>
          <w:color w:val="231F20"/>
          <w:spacing w:val="-26"/>
        </w:rPr>
        <w:t xml:space="preserve"> </w:t>
      </w:r>
      <w:r>
        <w:rPr>
          <w:color w:val="231F20"/>
        </w:rPr>
        <w:t>by</w:t>
      </w:r>
      <w:r>
        <w:rPr>
          <w:color w:val="231F20"/>
          <w:spacing w:val="-25"/>
        </w:rPr>
        <w:t xml:space="preserve"> </w:t>
      </w:r>
      <w:r>
        <w:rPr>
          <w:color w:val="231F20"/>
        </w:rPr>
        <w:t>the</w:t>
      </w:r>
      <w:r>
        <w:rPr>
          <w:color w:val="231F20"/>
          <w:spacing w:val="-26"/>
        </w:rPr>
        <w:t xml:space="preserve"> </w:t>
      </w:r>
      <w:r>
        <w:rPr>
          <w:color w:val="231F20"/>
        </w:rPr>
        <w:t>Board</w:t>
      </w:r>
      <w:r>
        <w:rPr>
          <w:color w:val="231F20"/>
          <w:spacing w:val="-25"/>
        </w:rPr>
        <w:t xml:space="preserve"> </w:t>
      </w:r>
      <w:r>
        <w:rPr>
          <w:color w:val="231F20"/>
        </w:rPr>
        <w:t>of</w:t>
      </w:r>
      <w:r>
        <w:rPr>
          <w:color w:val="231F20"/>
          <w:spacing w:val="-30"/>
        </w:rPr>
        <w:t xml:space="preserve"> </w:t>
      </w:r>
      <w:r>
        <w:rPr>
          <w:color w:val="231F20"/>
        </w:rPr>
        <w:t>Trustees.</w:t>
      </w:r>
      <w:r>
        <w:rPr>
          <w:color w:val="231F20"/>
          <w:spacing w:val="-30"/>
        </w:rPr>
        <w:t xml:space="preserve"> </w:t>
      </w:r>
      <w:r>
        <w:rPr>
          <w:color w:val="231F20"/>
        </w:rPr>
        <w:t>There</w:t>
      </w:r>
      <w:r>
        <w:rPr>
          <w:color w:val="231F20"/>
          <w:spacing w:val="-25"/>
        </w:rPr>
        <w:t xml:space="preserve"> </w:t>
      </w:r>
      <w:r>
        <w:rPr>
          <w:color w:val="231F20"/>
        </w:rPr>
        <w:t>are</w:t>
      </w:r>
      <w:r>
        <w:rPr>
          <w:color w:val="231F20"/>
          <w:spacing w:val="-26"/>
        </w:rPr>
        <w:t xml:space="preserve"> </w:t>
      </w:r>
      <w:r>
        <w:rPr>
          <w:color w:val="231F20"/>
        </w:rPr>
        <w:t>eight</w:t>
      </w:r>
      <w:r>
        <w:rPr>
          <w:color w:val="231F20"/>
          <w:spacing w:val="-26"/>
        </w:rPr>
        <w:t xml:space="preserve"> </w:t>
      </w:r>
      <w:r>
        <w:rPr>
          <w:color w:val="231F20"/>
        </w:rPr>
        <w:t>departments</w:t>
      </w:r>
      <w:r>
        <w:rPr>
          <w:color w:val="231F20"/>
          <w:spacing w:val="-25"/>
        </w:rPr>
        <w:t xml:space="preserve"> </w:t>
      </w:r>
      <w:r>
        <w:rPr>
          <w:color w:val="231F20"/>
        </w:rPr>
        <w:t>in the</w:t>
      </w:r>
      <w:r>
        <w:rPr>
          <w:color w:val="231F20"/>
          <w:spacing w:val="-25"/>
        </w:rPr>
        <w:t xml:space="preserve"> </w:t>
      </w:r>
      <w:r>
        <w:rPr>
          <w:color w:val="231F20"/>
        </w:rPr>
        <w:t>Board,</w:t>
      </w:r>
      <w:r>
        <w:rPr>
          <w:color w:val="231F20"/>
          <w:spacing w:val="-25"/>
        </w:rPr>
        <w:t xml:space="preserve"> </w:t>
      </w:r>
      <w:r>
        <w:rPr>
          <w:color w:val="231F20"/>
        </w:rPr>
        <w:t>each</w:t>
      </w:r>
      <w:r>
        <w:rPr>
          <w:color w:val="231F20"/>
          <w:spacing w:val="-25"/>
        </w:rPr>
        <w:t xml:space="preserve"> </w:t>
      </w:r>
      <w:r>
        <w:rPr>
          <w:color w:val="231F20"/>
        </w:rPr>
        <w:t>headed</w:t>
      </w:r>
      <w:r>
        <w:rPr>
          <w:color w:val="231F20"/>
          <w:spacing w:val="-25"/>
        </w:rPr>
        <w:t xml:space="preserve"> </w:t>
      </w:r>
      <w:r>
        <w:rPr>
          <w:color w:val="231F20"/>
        </w:rPr>
        <w:t>by</w:t>
      </w:r>
      <w:r>
        <w:rPr>
          <w:color w:val="231F20"/>
          <w:spacing w:val="-25"/>
        </w:rPr>
        <w:t xml:space="preserve"> </w:t>
      </w:r>
      <w:r>
        <w:rPr>
          <w:color w:val="231F20"/>
        </w:rPr>
        <w:t>a</w:t>
      </w:r>
      <w:r>
        <w:rPr>
          <w:color w:val="231F20"/>
          <w:spacing w:val="-25"/>
        </w:rPr>
        <w:t xml:space="preserve"> </w:t>
      </w:r>
      <w:r>
        <w:rPr>
          <w:color w:val="231F20"/>
        </w:rPr>
        <w:t>Director.</w:t>
      </w:r>
      <w:r>
        <w:rPr>
          <w:color w:val="231F20"/>
          <w:spacing w:val="-29"/>
        </w:rPr>
        <w:t xml:space="preserve"> </w:t>
      </w:r>
      <w:r>
        <w:rPr>
          <w:color w:val="231F20"/>
        </w:rPr>
        <w:t>These</w:t>
      </w:r>
      <w:r>
        <w:rPr>
          <w:color w:val="231F20"/>
          <w:spacing w:val="-25"/>
        </w:rPr>
        <w:t xml:space="preserve"> </w:t>
      </w:r>
      <w:r>
        <w:rPr>
          <w:color w:val="231F20"/>
        </w:rPr>
        <w:t>departments</w:t>
      </w:r>
      <w:r>
        <w:rPr>
          <w:color w:val="231F20"/>
          <w:spacing w:val="-25"/>
        </w:rPr>
        <w:t xml:space="preserve"> </w:t>
      </w:r>
      <w:r>
        <w:rPr>
          <w:color w:val="231F20"/>
        </w:rPr>
        <w:t>are</w:t>
      </w:r>
      <w:r>
        <w:rPr>
          <w:color w:val="231F20"/>
          <w:spacing w:val="-25"/>
        </w:rPr>
        <w:t xml:space="preserve"> </w:t>
      </w:r>
      <w:r>
        <w:rPr>
          <w:color w:val="231F20"/>
        </w:rPr>
        <w:t>responsible</w:t>
      </w:r>
      <w:r>
        <w:rPr>
          <w:color w:val="231F20"/>
          <w:spacing w:val="-24"/>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implementation</w:t>
      </w:r>
      <w:r>
        <w:rPr>
          <w:color w:val="231F20"/>
          <w:spacing w:val="-24"/>
        </w:rPr>
        <w:t xml:space="preserve"> </w:t>
      </w:r>
      <w:r>
        <w:rPr>
          <w:color w:val="231F20"/>
        </w:rPr>
        <w:t xml:space="preserve">of various PHC </w:t>
      </w:r>
      <w:proofErr w:type="spellStart"/>
      <w:r>
        <w:rPr>
          <w:color w:val="231F20"/>
        </w:rPr>
        <w:t>programmes</w:t>
      </w:r>
      <w:proofErr w:type="spellEnd"/>
      <w:r>
        <w:rPr>
          <w:color w:val="231F20"/>
        </w:rPr>
        <w:t xml:space="preserve"> and activities. The 23 LGAs oversee the implementation of </w:t>
      </w:r>
      <w:r>
        <w:rPr>
          <w:color w:val="231F20"/>
          <w:spacing w:val="-5"/>
        </w:rPr>
        <w:t xml:space="preserve">PHC </w:t>
      </w:r>
      <w:r>
        <w:rPr>
          <w:color w:val="231F20"/>
        </w:rPr>
        <w:t xml:space="preserve">activities in their LGAs. The Medical Officer of Health serves as the secretary of the </w:t>
      </w:r>
      <w:r>
        <w:rPr>
          <w:color w:val="231F20"/>
          <w:spacing w:val="-3"/>
        </w:rPr>
        <w:t xml:space="preserve">Local </w:t>
      </w:r>
      <w:r>
        <w:rPr>
          <w:color w:val="231F20"/>
        </w:rPr>
        <w:t>Government</w:t>
      </w:r>
      <w:r>
        <w:rPr>
          <w:color w:val="231F20"/>
          <w:spacing w:val="-10"/>
        </w:rPr>
        <w:t xml:space="preserve"> </w:t>
      </w:r>
      <w:r>
        <w:rPr>
          <w:color w:val="231F20"/>
        </w:rPr>
        <w:t>Primary</w:t>
      </w:r>
      <w:r>
        <w:rPr>
          <w:color w:val="231F20"/>
          <w:spacing w:val="-10"/>
        </w:rPr>
        <w:t xml:space="preserve"> </w:t>
      </w:r>
      <w:r>
        <w:rPr>
          <w:color w:val="231F20"/>
        </w:rPr>
        <w:t>Health</w:t>
      </w:r>
      <w:r>
        <w:rPr>
          <w:color w:val="231F20"/>
          <w:spacing w:val="-9"/>
        </w:rPr>
        <w:t xml:space="preserve"> </w:t>
      </w:r>
      <w:r>
        <w:rPr>
          <w:color w:val="231F20"/>
        </w:rPr>
        <w:t>Care</w:t>
      </w:r>
      <w:r>
        <w:rPr>
          <w:color w:val="231F20"/>
          <w:spacing w:val="-23"/>
        </w:rPr>
        <w:t xml:space="preserve"> </w:t>
      </w:r>
      <w:r>
        <w:rPr>
          <w:color w:val="231F20"/>
        </w:rPr>
        <w:t>Authority.</w:t>
      </w:r>
      <w:r>
        <w:rPr>
          <w:color w:val="231F20"/>
          <w:spacing w:val="-14"/>
        </w:rPr>
        <w:t xml:space="preserve"> </w:t>
      </w:r>
      <w:r>
        <w:rPr>
          <w:color w:val="231F20"/>
        </w:rPr>
        <w:t>The</w:t>
      </w:r>
      <w:r>
        <w:rPr>
          <w:color w:val="231F20"/>
          <w:spacing w:val="-10"/>
        </w:rPr>
        <w:t xml:space="preserve"> </w:t>
      </w:r>
      <w:r>
        <w:rPr>
          <w:color w:val="231F20"/>
        </w:rPr>
        <w:t>Board</w:t>
      </w:r>
      <w:r>
        <w:rPr>
          <w:color w:val="231F20"/>
          <w:spacing w:val="-9"/>
        </w:rPr>
        <w:t xml:space="preserve"> </w:t>
      </w:r>
      <w:r>
        <w:rPr>
          <w:color w:val="231F20"/>
        </w:rPr>
        <w:t>advises</w:t>
      </w:r>
      <w:r>
        <w:rPr>
          <w:color w:val="231F20"/>
          <w:spacing w:val="-10"/>
        </w:rPr>
        <w:t xml:space="preserve"> </w:t>
      </w:r>
      <w:r>
        <w:rPr>
          <w:color w:val="231F20"/>
        </w:rPr>
        <w:t>the</w:t>
      </w:r>
      <w:r>
        <w:rPr>
          <w:color w:val="231F20"/>
          <w:spacing w:val="-11"/>
        </w:rPr>
        <w:t xml:space="preserve"> </w:t>
      </w:r>
      <w:proofErr w:type="spellStart"/>
      <w:r>
        <w:rPr>
          <w:color w:val="231F20"/>
        </w:rPr>
        <w:t>Honourable</w:t>
      </w:r>
      <w:proofErr w:type="spellEnd"/>
      <w:r>
        <w:rPr>
          <w:color w:val="231F20"/>
          <w:spacing w:val="-9"/>
        </w:rPr>
        <w:t xml:space="preserve"> </w:t>
      </w:r>
      <w:r>
        <w:rPr>
          <w:color w:val="231F20"/>
        </w:rPr>
        <w:t>Commissioner</w:t>
      </w:r>
      <w:r>
        <w:rPr>
          <w:color w:val="231F20"/>
          <w:spacing w:val="-10"/>
        </w:rPr>
        <w:t xml:space="preserve"> </w:t>
      </w:r>
      <w:r>
        <w:rPr>
          <w:color w:val="231F20"/>
          <w:spacing w:val="-4"/>
        </w:rPr>
        <w:t xml:space="preserve">for </w:t>
      </w:r>
      <w:r>
        <w:rPr>
          <w:color w:val="231F20"/>
        </w:rPr>
        <w:t>Health</w:t>
      </w:r>
      <w:r>
        <w:rPr>
          <w:color w:val="231F20"/>
          <w:spacing w:val="-26"/>
        </w:rPr>
        <w:t xml:space="preserve"> </w:t>
      </w:r>
      <w:r>
        <w:rPr>
          <w:color w:val="231F20"/>
        </w:rPr>
        <w:t>and</w:t>
      </w:r>
      <w:r>
        <w:rPr>
          <w:color w:val="231F20"/>
          <w:spacing w:val="-25"/>
        </w:rPr>
        <w:t xml:space="preserve"> </w:t>
      </w:r>
      <w:r>
        <w:rPr>
          <w:color w:val="231F20"/>
        </w:rPr>
        <w:t>Local</w:t>
      </w:r>
      <w:r>
        <w:rPr>
          <w:color w:val="231F20"/>
          <w:spacing w:val="-25"/>
        </w:rPr>
        <w:t xml:space="preserve"> </w:t>
      </w:r>
      <w:r>
        <w:rPr>
          <w:color w:val="231F20"/>
        </w:rPr>
        <w:t>Governments</w:t>
      </w:r>
      <w:r>
        <w:rPr>
          <w:color w:val="231F20"/>
          <w:spacing w:val="-25"/>
        </w:rPr>
        <w:t xml:space="preserve"> </w:t>
      </w:r>
      <w:r>
        <w:rPr>
          <w:color w:val="231F20"/>
        </w:rPr>
        <w:t>in</w:t>
      </w:r>
      <w:r>
        <w:rPr>
          <w:color w:val="231F20"/>
          <w:spacing w:val="-25"/>
        </w:rPr>
        <w:t xml:space="preserve"> </w:t>
      </w:r>
      <w:r>
        <w:rPr>
          <w:color w:val="231F20"/>
        </w:rPr>
        <w:t>all</w:t>
      </w:r>
      <w:r>
        <w:rPr>
          <w:color w:val="231F20"/>
          <w:spacing w:val="-25"/>
        </w:rPr>
        <w:t xml:space="preserve"> </w:t>
      </w:r>
      <w:r>
        <w:rPr>
          <w:color w:val="231F20"/>
        </w:rPr>
        <w:t>matters</w:t>
      </w:r>
      <w:r>
        <w:rPr>
          <w:color w:val="231F20"/>
          <w:spacing w:val="-25"/>
        </w:rPr>
        <w:t xml:space="preserve"> </w:t>
      </w:r>
      <w:r>
        <w:rPr>
          <w:color w:val="231F20"/>
        </w:rPr>
        <w:t>concerning</w:t>
      </w:r>
      <w:r>
        <w:rPr>
          <w:color w:val="231F20"/>
          <w:spacing w:val="-25"/>
        </w:rPr>
        <w:t xml:space="preserve"> </w:t>
      </w:r>
      <w:r>
        <w:rPr>
          <w:color w:val="231F20"/>
        </w:rPr>
        <w:t>PHC</w:t>
      </w:r>
      <w:r>
        <w:rPr>
          <w:color w:val="231F20"/>
          <w:spacing w:val="-25"/>
        </w:rPr>
        <w:t xml:space="preserve"> </w:t>
      </w:r>
      <w:r>
        <w:rPr>
          <w:color w:val="231F20"/>
        </w:rPr>
        <w:t>activities.</w:t>
      </w:r>
    </w:p>
    <w:p w14:paraId="521D9F03" w14:textId="77777777" w:rsidR="009948F1" w:rsidRDefault="009948F1">
      <w:pPr>
        <w:pStyle w:val="BodyText"/>
        <w:rPr>
          <w:sz w:val="23"/>
        </w:rPr>
      </w:pPr>
    </w:p>
    <w:p w14:paraId="556A0656" w14:textId="77777777" w:rsidR="009948F1" w:rsidRDefault="00BC0563">
      <w:pPr>
        <w:pStyle w:val="BodyText"/>
        <w:spacing w:line="254" w:lineRule="auto"/>
        <w:ind w:left="155" w:right="168"/>
        <w:jc w:val="both"/>
      </w:pPr>
      <w:r>
        <w:rPr>
          <w:color w:val="231F20"/>
        </w:rPr>
        <w:t xml:space="preserve">Under the Rivers State Hospitals Management Board are the secondary and tertiary health facilities, also with their own different cadres of healthcare providers and administrative </w:t>
      </w:r>
      <w:r>
        <w:rPr>
          <w:color w:val="231F20"/>
          <w:spacing w:val="-3"/>
        </w:rPr>
        <w:t xml:space="preserve">officers. </w:t>
      </w:r>
      <w:r>
        <w:rPr>
          <w:color w:val="231F20"/>
        </w:rPr>
        <w:t>There</w:t>
      </w:r>
      <w:r>
        <w:rPr>
          <w:color w:val="231F20"/>
          <w:spacing w:val="-19"/>
        </w:rPr>
        <w:t xml:space="preserve"> </w:t>
      </w:r>
      <w:r>
        <w:rPr>
          <w:color w:val="231F20"/>
        </w:rPr>
        <w:t>are</w:t>
      </w:r>
      <w:r>
        <w:rPr>
          <w:color w:val="231F20"/>
          <w:spacing w:val="-19"/>
        </w:rPr>
        <w:t xml:space="preserve"> </w:t>
      </w:r>
      <w:r>
        <w:rPr>
          <w:color w:val="231F20"/>
        </w:rPr>
        <w:t>the</w:t>
      </w:r>
      <w:r>
        <w:rPr>
          <w:color w:val="231F20"/>
          <w:spacing w:val="-19"/>
        </w:rPr>
        <w:t xml:space="preserve"> </w:t>
      </w:r>
      <w:r>
        <w:rPr>
          <w:color w:val="231F20"/>
        </w:rPr>
        <w:t>eight</w:t>
      </w:r>
      <w:r>
        <w:rPr>
          <w:color w:val="231F20"/>
          <w:spacing w:val="-18"/>
        </w:rPr>
        <w:t xml:space="preserve"> </w:t>
      </w:r>
      <w:r>
        <w:rPr>
          <w:color w:val="231F20"/>
        </w:rPr>
        <w:t>training</w:t>
      </w:r>
      <w:r>
        <w:rPr>
          <w:color w:val="231F20"/>
          <w:spacing w:val="-18"/>
        </w:rPr>
        <w:t xml:space="preserve"> </w:t>
      </w:r>
      <w:r>
        <w:rPr>
          <w:color w:val="231F20"/>
        </w:rPr>
        <w:t>institutions</w:t>
      </w:r>
      <w:r>
        <w:rPr>
          <w:color w:val="231F20"/>
          <w:spacing w:val="-18"/>
        </w:rPr>
        <w:t xml:space="preserve"> </w:t>
      </w:r>
      <w:r>
        <w:rPr>
          <w:color w:val="231F20"/>
        </w:rPr>
        <w:t>that</w:t>
      </w:r>
      <w:r>
        <w:rPr>
          <w:color w:val="231F20"/>
          <w:spacing w:val="-19"/>
        </w:rPr>
        <w:t xml:space="preserve"> </w:t>
      </w:r>
      <w:r>
        <w:rPr>
          <w:color w:val="231F20"/>
        </w:rPr>
        <w:t>provide</w:t>
      </w:r>
      <w:r>
        <w:rPr>
          <w:color w:val="231F20"/>
          <w:spacing w:val="-17"/>
        </w:rPr>
        <w:t xml:space="preserve"> </w:t>
      </w:r>
      <w:r>
        <w:rPr>
          <w:color w:val="231F20"/>
        </w:rPr>
        <w:t>the</w:t>
      </w:r>
      <w:r>
        <w:rPr>
          <w:color w:val="231F20"/>
          <w:spacing w:val="-19"/>
        </w:rPr>
        <w:t xml:space="preserve"> </w:t>
      </w:r>
      <w:r>
        <w:rPr>
          <w:color w:val="231F20"/>
        </w:rPr>
        <w:t>varied</w:t>
      </w:r>
      <w:r>
        <w:rPr>
          <w:color w:val="231F20"/>
          <w:spacing w:val="-18"/>
        </w:rPr>
        <w:t xml:space="preserve"> </w:t>
      </w:r>
      <w:r>
        <w:rPr>
          <w:color w:val="231F20"/>
        </w:rPr>
        <w:t>health</w:t>
      </w:r>
      <w:r>
        <w:rPr>
          <w:color w:val="231F20"/>
          <w:spacing w:val="-18"/>
        </w:rPr>
        <w:t xml:space="preserve"> </w:t>
      </w:r>
      <w:r>
        <w:rPr>
          <w:color w:val="231F20"/>
        </w:rPr>
        <w:t>manpower</w:t>
      </w:r>
      <w:r>
        <w:rPr>
          <w:color w:val="231F20"/>
          <w:spacing w:val="-17"/>
        </w:rPr>
        <w:t xml:space="preserve"> </w:t>
      </w:r>
      <w:r>
        <w:rPr>
          <w:color w:val="231F20"/>
        </w:rPr>
        <w:t>needs</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 xml:space="preserve">State. All these make sure that the SHDP is put into proper practice and the various </w:t>
      </w:r>
      <w:proofErr w:type="spellStart"/>
      <w:r>
        <w:rPr>
          <w:color w:val="231F20"/>
        </w:rPr>
        <w:t>programmes</w:t>
      </w:r>
      <w:proofErr w:type="spellEnd"/>
      <w:r>
        <w:rPr>
          <w:color w:val="231F20"/>
        </w:rPr>
        <w:t xml:space="preserve"> actualized.</w:t>
      </w:r>
    </w:p>
    <w:p w14:paraId="5F81FFAF" w14:textId="77777777" w:rsidR="009948F1" w:rsidRDefault="009948F1">
      <w:pPr>
        <w:pStyle w:val="BodyText"/>
        <w:spacing w:before="1"/>
        <w:rPr>
          <w:sz w:val="23"/>
        </w:rPr>
      </w:pPr>
    </w:p>
    <w:p w14:paraId="193AD2BD" w14:textId="77777777" w:rsidR="009948F1" w:rsidRDefault="00BC0563">
      <w:pPr>
        <w:pStyle w:val="BodyText"/>
        <w:spacing w:line="254" w:lineRule="auto"/>
        <w:ind w:left="155" w:right="168"/>
        <w:jc w:val="both"/>
      </w:pPr>
      <w:r>
        <w:rPr>
          <w:color w:val="231F20"/>
        </w:rPr>
        <w:t>Apart</w:t>
      </w:r>
      <w:r>
        <w:rPr>
          <w:color w:val="231F20"/>
          <w:spacing w:val="-12"/>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statutory</w:t>
      </w:r>
      <w:r>
        <w:rPr>
          <w:color w:val="231F20"/>
          <w:spacing w:val="-11"/>
        </w:rPr>
        <w:t xml:space="preserve"> </w:t>
      </w:r>
      <w:r>
        <w:rPr>
          <w:color w:val="231F20"/>
        </w:rPr>
        <w:t>composition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SMOH,</w:t>
      </w:r>
      <w:r>
        <w:rPr>
          <w:color w:val="231F20"/>
          <w:spacing w:val="-11"/>
        </w:rPr>
        <w:t xml:space="preserve"> </w:t>
      </w:r>
      <w:r>
        <w:rPr>
          <w:color w:val="231F20"/>
        </w:rPr>
        <w:t>there</w:t>
      </w:r>
      <w:r>
        <w:rPr>
          <w:color w:val="231F20"/>
          <w:spacing w:val="-11"/>
        </w:rPr>
        <w:t xml:space="preserve"> </w:t>
      </w:r>
      <w:r>
        <w:rPr>
          <w:color w:val="231F20"/>
        </w:rPr>
        <w:t>are</w:t>
      </w:r>
      <w:r>
        <w:rPr>
          <w:color w:val="231F20"/>
          <w:spacing w:val="-11"/>
        </w:rPr>
        <w:t xml:space="preserve"> </w:t>
      </w:r>
      <w:r>
        <w:rPr>
          <w:color w:val="231F20"/>
        </w:rPr>
        <w:t>other</w:t>
      </w:r>
      <w:r>
        <w:rPr>
          <w:color w:val="231F20"/>
          <w:spacing w:val="-11"/>
        </w:rPr>
        <w:t xml:space="preserve"> </w:t>
      </w:r>
      <w:r>
        <w:rPr>
          <w:color w:val="231F20"/>
        </w:rPr>
        <w:t>development</w:t>
      </w:r>
      <w:r>
        <w:rPr>
          <w:color w:val="231F20"/>
          <w:spacing w:val="-11"/>
        </w:rPr>
        <w:t xml:space="preserve"> </w:t>
      </w:r>
      <w:r>
        <w:rPr>
          <w:color w:val="231F20"/>
        </w:rPr>
        <w:t>partners</w:t>
      </w:r>
      <w:r>
        <w:rPr>
          <w:color w:val="231F20"/>
          <w:spacing w:val="-11"/>
        </w:rPr>
        <w:t xml:space="preserve"> </w:t>
      </w:r>
      <w:r>
        <w:rPr>
          <w:color w:val="231F20"/>
        </w:rPr>
        <w:t>that</w:t>
      </w:r>
      <w:r>
        <w:rPr>
          <w:color w:val="231F20"/>
          <w:spacing w:val="-11"/>
        </w:rPr>
        <w:t xml:space="preserve"> </w:t>
      </w:r>
      <w:r>
        <w:rPr>
          <w:color w:val="231F20"/>
        </w:rPr>
        <w:t>help with the implementation of the SSHDP II. There are various development partners, international and</w:t>
      </w:r>
      <w:r>
        <w:rPr>
          <w:color w:val="231F20"/>
          <w:spacing w:val="-19"/>
        </w:rPr>
        <w:t xml:space="preserve"> </w:t>
      </w:r>
      <w:r>
        <w:rPr>
          <w:color w:val="231F20"/>
        </w:rPr>
        <w:t>national</w:t>
      </w:r>
      <w:r>
        <w:rPr>
          <w:color w:val="231F20"/>
          <w:spacing w:val="-19"/>
        </w:rPr>
        <w:t xml:space="preserve"> </w:t>
      </w:r>
      <w:r>
        <w:rPr>
          <w:color w:val="231F20"/>
        </w:rPr>
        <w:t>agencies</w:t>
      </w:r>
      <w:r>
        <w:rPr>
          <w:color w:val="231F20"/>
          <w:spacing w:val="-18"/>
        </w:rPr>
        <w:t xml:space="preserve"> </w:t>
      </w:r>
      <w:r>
        <w:rPr>
          <w:color w:val="231F20"/>
        </w:rPr>
        <w:t>and</w:t>
      </w:r>
      <w:r>
        <w:rPr>
          <w:color w:val="231F20"/>
          <w:spacing w:val="-19"/>
        </w:rPr>
        <w:t xml:space="preserve"> </w:t>
      </w:r>
      <w:r>
        <w:rPr>
          <w:color w:val="231F20"/>
        </w:rPr>
        <w:t>corporations</w:t>
      </w:r>
      <w:r>
        <w:rPr>
          <w:color w:val="231F20"/>
          <w:spacing w:val="-19"/>
        </w:rPr>
        <w:t xml:space="preserve"> </w:t>
      </w:r>
      <w:r>
        <w:rPr>
          <w:color w:val="231F20"/>
        </w:rPr>
        <w:t>such</w:t>
      </w:r>
      <w:r>
        <w:rPr>
          <w:color w:val="231F20"/>
          <w:spacing w:val="-18"/>
        </w:rPr>
        <w:t xml:space="preserve"> </w:t>
      </w:r>
      <w:r>
        <w:rPr>
          <w:color w:val="231F20"/>
        </w:rPr>
        <w:t>as</w:t>
      </w:r>
      <w:r>
        <w:rPr>
          <w:color w:val="231F20"/>
          <w:spacing w:val="-19"/>
        </w:rPr>
        <w:t xml:space="preserve"> </w:t>
      </w:r>
      <w:r>
        <w:rPr>
          <w:color w:val="231F20"/>
        </w:rPr>
        <w:t>the</w:t>
      </w:r>
      <w:r>
        <w:rPr>
          <w:color w:val="231F20"/>
          <w:spacing w:val="-19"/>
        </w:rPr>
        <w:t xml:space="preserve"> </w:t>
      </w:r>
      <w:r>
        <w:rPr>
          <w:color w:val="231F20"/>
          <w:spacing w:val="-4"/>
        </w:rPr>
        <w:t>UNICEF,</w:t>
      </w:r>
      <w:r>
        <w:rPr>
          <w:color w:val="231F20"/>
          <w:spacing w:val="-18"/>
        </w:rPr>
        <w:t xml:space="preserve"> </w:t>
      </w:r>
      <w:r>
        <w:rPr>
          <w:color w:val="231F20"/>
        </w:rPr>
        <w:t>WHO,</w:t>
      </w:r>
      <w:r>
        <w:rPr>
          <w:color w:val="231F20"/>
          <w:spacing w:val="-19"/>
        </w:rPr>
        <w:t xml:space="preserve"> </w:t>
      </w:r>
      <w:r>
        <w:rPr>
          <w:color w:val="231F20"/>
        </w:rPr>
        <w:t>USAID,</w:t>
      </w:r>
      <w:r>
        <w:rPr>
          <w:color w:val="231F20"/>
          <w:spacing w:val="-18"/>
        </w:rPr>
        <w:t xml:space="preserve"> </w:t>
      </w:r>
      <w:r>
        <w:rPr>
          <w:color w:val="231F20"/>
        </w:rPr>
        <w:t>CHAI,</w:t>
      </w:r>
      <w:r>
        <w:rPr>
          <w:color w:val="231F20"/>
          <w:spacing w:val="-19"/>
        </w:rPr>
        <w:t xml:space="preserve"> </w:t>
      </w:r>
      <w:r>
        <w:rPr>
          <w:color w:val="231F20"/>
        </w:rPr>
        <w:t>FHI360,</w:t>
      </w:r>
      <w:r>
        <w:rPr>
          <w:color w:val="231F20"/>
          <w:spacing w:val="-19"/>
        </w:rPr>
        <w:t xml:space="preserve"> </w:t>
      </w:r>
      <w:r>
        <w:rPr>
          <w:color w:val="231F20"/>
          <w:spacing w:val="-3"/>
        </w:rPr>
        <w:t xml:space="preserve">SPDC, </w:t>
      </w:r>
      <w:r>
        <w:rPr>
          <w:color w:val="231F20"/>
        </w:rPr>
        <w:t xml:space="preserve">NDDC, etc. These organizations provide financial, technological and manpower needs for </w:t>
      </w:r>
      <w:r>
        <w:rPr>
          <w:color w:val="231F20"/>
          <w:spacing w:val="-5"/>
        </w:rPr>
        <w:t xml:space="preserve">the </w:t>
      </w:r>
      <w:r>
        <w:rPr>
          <w:color w:val="231F20"/>
        </w:rPr>
        <w:t>actualization</w:t>
      </w:r>
      <w:r>
        <w:rPr>
          <w:color w:val="231F20"/>
          <w:spacing w:val="-17"/>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SSHDP</w:t>
      </w:r>
      <w:r>
        <w:rPr>
          <w:color w:val="231F20"/>
          <w:spacing w:val="-20"/>
        </w:rPr>
        <w:t xml:space="preserve"> </w:t>
      </w:r>
      <w:r>
        <w:rPr>
          <w:color w:val="231F20"/>
        </w:rPr>
        <w:t>II.</w:t>
      </w:r>
      <w:r>
        <w:rPr>
          <w:color w:val="231F20"/>
          <w:spacing w:val="-29"/>
        </w:rPr>
        <w:t xml:space="preserve"> </w:t>
      </w:r>
      <w:r>
        <w:rPr>
          <w:color w:val="231F20"/>
        </w:rPr>
        <w:t>Also</w:t>
      </w:r>
      <w:r>
        <w:rPr>
          <w:color w:val="231F20"/>
          <w:spacing w:val="-16"/>
        </w:rPr>
        <w:t xml:space="preserve"> </w:t>
      </w:r>
      <w:r>
        <w:rPr>
          <w:color w:val="231F20"/>
        </w:rPr>
        <w:t>involved</w:t>
      </w:r>
      <w:r>
        <w:rPr>
          <w:color w:val="231F20"/>
          <w:spacing w:val="-16"/>
        </w:rPr>
        <w:t xml:space="preserve"> </w:t>
      </w:r>
      <w:r>
        <w:rPr>
          <w:color w:val="231F20"/>
        </w:rPr>
        <w:t>are</w:t>
      </w:r>
      <w:r>
        <w:rPr>
          <w:color w:val="231F20"/>
          <w:spacing w:val="-16"/>
        </w:rPr>
        <w:t xml:space="preserve"> </w:t>
      </w:r>
      <w:r>
        <w:rPr>
          <w:color w:val="231F20"/>
        </w:rPr>
        <w:t>the</w:t>
      </w:r>
      <w:r>
        <w:rPr>
          <w:color w:val="231F20"/>
          <w:spacing w:val="-16"/>
        </w:rPr>
        <w:t xml:space="preserve"> </w:t>
      </w:r>
      <w:r>
        <w:rPr>
          <w:color w:val="231F20"/>
        </w:rPr>
        <w:t>Non-Governmental</w:t>
      </w:r>
      <w:r>
        <w:rPr>
          <w:color w:val="231F20"/>
          <w:spacing w:val="-16"/>
        </w:rPr>
        <w:t xml:space="preserve"> </w:t>
      </w:r>
      <w:r>
        <w:rPr>
          <w:color w:val="231F20"/>
        </w:rPr>
        <w:t>Organizations</w:t>
      </w:r>
      <w:r>
        <w:rPr>
          <w:color w:val="231F20"/>
          <w:spacing w:val="-16"/>
        </w:rPr>
        <w:t xml:space="preserve"> </w:t>
      </w:r>
      <w:r>
        <w:rPr>
          <w:color w:val="231F20"/>
        </w:rPr>
        <w:t>(NGOs)</w:t>
      </w:r>
      <w:r>
        <w:rPr>
          <w:color w:val="231F20"/>
          <w:spacing w:val="-16"/>
        </w:rPr>
        <w:t xml:space="preserve"> </w:t>
      </w:r>
      <w:r>
        <w:rPr>
          <w:color w:val="231F20"/>
          <w:spacing w:val="-5"/>
        </w:rPr>
        <w:t xml:space="preserve">and </w:t>
      </w:r>
      <w:r>
        <w:rPr>
          <w:color w:val="231F20"/>
        </w:rPr>
        <w:t>Faith Based Organizations (FBOs) of various types and interests. Individuals and philanthropists are</w:t>
      </w:r>
      <w:r>
        <w:rPr>
          <w:color w:val="231F20"/>
          <w:spacing w:val="-23"/>
        </w:rPr>
        <w:t xml:space="preserve"> </w:t>
      </w:r>
      <w:r>
        <w:rPr>
          <w:color w:val="231F20"/>
        </w:rPr>
        <w:t>not</w:t>
      </w:r>
      <w:r>
        <w:rPr>
          <w:color w:val="231F20"/>
          <w:spacing w:val="-22"/>
        </w:rPr>
        <w:t xml:space="preserve"> </w:t>
      </w:r>
      <w:r>
        <w:rPr>
          <w:color w:val="231F20"/>
        </w:rPr>
        <w:t>excluded</w:t>
      </w:r>
      <w:r>
        <w:rPr>
          <w:color w:val="231F20"/>
          <w:spacing w:val="-22"/>
        </w:rPr>
        <w:t xml:space="preserve"> </w:t>
      </w:r>
      <w:r>
        <w:rPr>
          <w:color w:val="231F20"/>
        </w:rPr>
        <w:t>as</w:t>
      </w:r>
      <w:r>
        <w:rPr>
          <w:color w:val="231F20"/>
          <w:spacing w:val="-22"/>
        </w:rPr>
        <w:t xml:space="preserve"> </w:t>
      </w:r>
      <w:r>
        <w:rPr>
          <w:color w:val="231F20"/>
        </w:rPr>
        <w:t>they</w:t>
      </w:r>
      <w:r>
        <w:rPr>
          <w:color w:val="231F20"/>
          <w:spacing w:val="-22"/>
        </w:rPr>
        <w:t xml:space="preserve"> </w:t>
      </w:r>
      <w:r>
        <w:rPr>
          <w:color w:val="231F20"/>
        </w:rPr>
        <w:t>also</w:t>
      </w:r>
      <w:r>
        <w:rPr>
          <w:color w:val="231F20"/>
          <w:spacing w:val="-22"/>
        </w:rPr>
        <w:t xml:space="preserve"> </w:t>
      </w:r>
      <w:r>
        <w:rPr>
          <w:color w:val="231F20"/>
        </w:rPr>
        <w:t>take</w:t>
      </w:r>
      <w:r>
        <w:rPr>
          <w:color w:val="231F20"/>
          <w:spacing w:val="-22"/>
        </w:rPr>
        <w:t xml:space="preserve"> </w:t>
      </w:r>
      <w:r>
        <w:rPr>
          <w:color w:val="231F20"/>
        </w:rPr>
        <w:t>an</w:t>
      </w:r>
      <w:r>
        <w:rPr>
          <w:color w:val="231F20"/>
          <w:spacing w:val="-22"/>
        </w:rPr>
        <w:t xml:space="preserve"> </w:t>
      </w:r>
      <w:r>
        <w:rPr>
          <w:color w:val="231F20"/>
        </w:rPr>
        <w:t>active</w:t>
      </w:r>
      <w:r>
        <w:rPr>
          <w:color w:val="231F20"/>
          <w:spacing w:val="-22"/>
        </w:rPr>
        <w:t xml:space="preserve"> </w:t>
      </w:r>
      <w:r>
        <w:rPr>
          <w:color w:val="231F20"/>
        </w:rPr>
        <w:t>part</w:t>
      </w:r>
      <w:r>
        <w:rPr>
          <w:color w:val="231F20"/>
          <w:spacing w:val="-22"/>
        </w:rPr>
        <w:t xml:space="preserve"> </w:t>
      </w:r>
      <w:r>
        <w:rPr>
          <w:color w:val="231F20"/>
        </w:rPr>
        <w:t>in</w:t>
      </w:r>
      <w:r>
        <w:rPr>
          <w:color w:val="231F20"/>
          <w:spacing w:val="-22"/>
        </w:rPr>
        <w:t xml:space="preserve"> </w:t>
      </w:r>
      <w:r>
        <w:rPr>
          <w:color w:val="231F20"/>
        </w:rPr>
        <w:t>healthcare</w:t>
      </w:r>
      <w:r>
        <w:rPr>
          <w:color w:val="231F20"/>
          <w:spacing w:val="-22"/>
        </w:rPr>
        <w:t xml:space="preserve"> </w:t>
      </w:r>
      <w:r>
        <w:rPr>
          <w:color w:val="231F20"/>
        </w:rPr>
        <w:t>delivery</w:t>
      </w:r>
      <w:r>
        <w:rPr>
          <w:color w:val="231F20"/>
          <w:spacing w:val="-22"/>
        </w:rPr>
        <w:t xml:space="preserve"> </w:t>
      </w:r>
      <w:r>
        <w:rPr>
          <w:color w:val="231F20"/>
        </w:rPr>
        <w:t>in</w:t>
      </w:r>
      <w:r>
        <w:rPr>
          <w:color w:val="231F20"/>
          <w:spacing w:val="-23"/>
        </w:rPr>
        <w:t xml:space="preserve"> </w:t>
      </w:r>
      <w:r>
        <w:rPr>
          <w:color w:val="231F20"/>
        </w:rPr>
        <w:t>Rivers</w:t>
      </w:r>
      <w:r>
        <w:rPr>
          <w:color w:val="231F20"/>
          <w:spacing w:val="-22"/>
        </w:rPr>
        <w:t xml:space="preserve"> </w:t>
      </w:r>
      <w:r>
        <w:rPr>
          <w:color w:val="231F20"/>
        </w:rPr>
        <w:t>State.</w:t>
      </w:r>
      <w:r>
        <w:rPr>
          <w:color w:val="231F20"/>
          <w:spacing w:val="-26"/>
        </w:rPr>
        <w:t xml:space="preserve"> </w:t>
      </w:r>
      <w:r>
        <w:rPr>
          <w:color w:val="231F20"/>
        </w:rPr>
        <w:t>They</w:t>
      </w:r>
      <w:r>
        <w:rPr>
          <w:color w:val="231F20"/>
          <w:spacing w:val="-22"/>
        </w:rPr>
        <w:t xml:space="preserve"> </w:t>
      </w:r>
      <w:r>
        <w:rPr>
          <w:color w:val="231F20"/>
        </w:rPr>
        <w:t xml:space="preserve">provide financial and other resources for the implementation of the SSHDP II. All these </w:t>
      </w:r>
      <w:r>
        <w:rPr>
          <w:color w:val="231F20"/>
          <w:spacing w:val="-2"/>
        </w:rPr>
        <w:t xml:space="preserve">individuals, </w:t>
      </w:r>
      <w:r>
        <w:rPr>
          <w:color w:val="231F20"/>
        </w:rPr>
        <w:t>households,</w:t>
      </w:r>
      <w:r>
        <w:rPr>
          <w:color w:val="231F20"/>
          <w:spacing w:val="-8"/>
        </w:rPr>
        <w:t xml:space="preserve"> </w:t>
      </w:r>
      <w:r>
        <w:rPr>
          <w:color w:val="231F20"/>
        </w:rPr>
        <w:t>groups</w:t>
      </w:r>
      <w:r>
        <w:rPr>
          <w:color w:val="231F20"/>
          <w:spacing w:val="-8"/>
        </w:rPr>
        <w:t xml:space="preserve"> </w:t>
      </w:r>
      <w:r>
        <w:rPr>
          <w:color w:val="231F20"/>
        </w:rPr>
        <w:t>and</w:t>
      </w:r>
      <w:r>
        <w:rPr>
          <w:color w:val="231F20"/>
          <w:spacing w:val="-8"/>
        </w:rPr>
        <w:t xml:space="preserve"> </w:t>
      </w:r>
      <w:r>
        <w:rPr>
          <w:color w:val="231F20"/>
        </w:rPr>
        <w:t>organizations</w:t>
      </w:r>
      <w:r>
        <w:rPr>
          <w:color w:val="231F20"/>
          <w:spacing w:val="-8"/>
        </w:rPr>
        <w:t xml:space="preserve"> </w:t>
      </w:r>
      <w:r>
        <w:rPr>
          <w:color w:val="231F20"/>
        </w:rPr>
        <w:t>are</w:t>
      </w:r>
      <w:r>
        <w:rPr>
          <w:color w:val="231F20"/>
          <w:spacing w:val="-8"/>
        </w:rPr>
        <w:t xml:space="preserve"> </w:t>
      </w:r>
      <w:r>
        <w:rPr>
          <w:color w:val="231F20"/>
        </w:rPr>
        <w:t>interrelated</w:t>
      </w:r>
      <w:r>
        <w:rPr>
          <w:color w:val="231F20"/>
          <w:spacing w:val="-8"/>
        </w:rPr>
        <w:t xml:space="preserve"> </w:t>
      </w:r>
      <w:r>
        <w:rPr>
          <w:color w:val="231F20"/>
        </w:rPr>
        <w:t>in</w:t>
      </w:r>
      <w:r>
        <w:rPr>
          <w:color w:val="231F20"/>
          <w:spacing w:val="-8"/>
        </w:rPr>
        <w:t xml:space="preserve"> </w:t>
      </w:r>
      <w:r>
        <w:rPr>
          <w:color w:val="231F20"/>
        </w:rPr>
        <w:t>their</w:t>
      </w:r>
      <w:r>
        <w:rPr>
          <w:color w:val="231F20"/>
          <w:spacing w:val="-8"/>
        </w:rPr>
        <w:t xml:space="preserve"> </w:t>
      </w:r>
      <w:r>
        <w:rPr>
          <w:color w:val="231F20"/>
        </w:rPr>
        <w:t>functions</w:t>
      </w:r>
      <w:r>
        <w:rPr>
          <w:color w:val="231F20"/>
          <w:spacing w:val="-8"/>
        </w:rPr>
        <w:t xml:space="preserve"> </w:t>
      </w:r>
      <w:r>
        <w:rPr>
          <w:color w:val="231F20"/>
        </w:rPr>
        <w:t>and</w:t>
      </w:r>
      <w:r>
        <w:rPr>
          <w:color w:val="231F20"/>
          <w:spacing w:val="-7"/>
        </w:rPr>
        <w:t xml:space="preserve"> </w:t>
      </w:r>
      <w:r>
        <w:rPr>
          <w:color w:val="231F20"/>
        </w:rPr>
        <w:t>they</w:t>
      </w:r>
      <w:r>
        <w:rPr>
          <w:color w:val="231F20"/>
          <w:spacing w:val="-8"/>
        </w:rPr>
        <w:t xml:space="preserve"> </w:t>
      </w:r>
      <w:r>
        <w:rPr>
          <w:color w:val="231F20"/>
        </w:rPr>
        <w:t>all</w:t>
      </w:r>
      <w:r>
        <w:rPr>
          <w:color w:val="231F20"/>
          <w:spacing w:val="-8"/>
        </w:rPr>
        <w:t xml:space="preserve"> </w:t>
      </w:r>
      <w:r>
        <w:rPr>
          <w:color w:val="231F20"/>
        </w:rPr>
        <w:t>work</w:t>
      </w:r>
      <w:r>
        <w:rPr>
          <w:color w:val="231F20"/>
          <w:spacing w:val="-8"/>
        </w:rPr>
        <w:t xml:space="preserve"> </w:t>
      </w:r>
      <w:r>
        <w:rPr>
          <w:color w:val="231F20"/>
        </w:rPr>
        <w:t>towards the common goal of providing optimum health for the people of Rivers State within the resources that</w:t>
      </w:r>
      <w:r>
        <w:rPr>
          <w:color w:val="231F20"/>
          <w:spacing w:val="-25"/>
        </w:rPr>
        <w:t xml:space="preserve"> </w:t>
      </w:r>
      <w:r>
        <w:rPr>
          <w:color w:val="231F20"/>
        </w:rPr>
        <w:t>are</w:t>
      </w:r>
      <w:r>
        <w:rPr>
          <w:color w:val="231F20"/>
          <w:spacing w:val="-25"/>
        </w:rPr>
        <w:t xml:space="preserve"> </w:t>
      </w:r>
      <w:r>
        <w:rPr>
          <w:color w:val="231F20"/>
        </w:rPr>
        <w:t>made</w:t>
      </w:r>
      <w:r>
        <w:rPr>
          <w:color w:val="231F20"/>
          <w:spacing w:val="-25"/>
        </w:rPr>
        <w:t xml:space="preserve"> </w:t>
      </w:r>
      <w:r>
        <w:rPr>
          <w:color w:val="231F20"/>
        </w:rPr>
        <w:t>available.</w:t>
      </w:r>
    </w:p>
    <w:p w14:paraId="00B3614C" w14:textId="77777777" w:rsidR="009948F1" w:rsidRDefault="009948F1">
      <w:pPr>
        <w:pStyle w:val="BodyText"/>
        <w:spacing w:before="10"/>
      </w:pPr>
    </w:p>
    <w:p w14:paraId="7CA862C5" w14:textId="77777777" w:rsidR="009948F1" w:rsidRDefault="00BC0563">
      <w:pPr>
        <w:pStyle w:val="BodyText"/>
        <w:spacing w:line="254" w:lineRule="auto"/>
        <w:ind w:left="155" w:right="168"/>
        <w:jc w:val="both"/>
        <w:rPr>
          <w:rFonts w:ascii="Courier New"/>
        </w:rPr>
      </w:pPr>
      <w:r>
        <w:rPr>
          <w:color w:val="231F20"/>
        </w:rPr>
        <w:t xml:space="preserve">The SSHDPII implementation steering committee headed by the </w:t>
      </w:r>
      <w:proofErr w:type="spellStart"/>
      <w:r>
        <w:rPr>
          <w:color w:val="231F20"/>
        </w:rPr>
        <w:t>Honourable</w:t>
      </w:r>
      <w:proofErr w:type="spellEnd"/>
      <w:r>
        <w:rPr>
          <w:color w:val="231F20"/>
        </w:rPr>
        <w:t xml:space="preserve"> Commissioner for Health and the DPRS at each level will be responsible for managing the implementation of the SSHDPII. Managing implementation of the SHDPII will require provision of technical assistance (TA) for development of operational plans where necessary</w:t>
      </w:r>
      <w:r>
        <w:rPr>
          <w:rFonts w:ascii="Courier New"/>
          <w:color w:val="231F20"/>
        </w:rPr>
        <w:t>.</w:t>
      </w:r>
    </w:p>
    <w:p w14:paraId="62E20851" w14:textId="77777777" w:rsidR="009948F1" w:rsidRDefault="009948F1">
      <w:pPr>
        <w:spacing w:line="254" w:lineRule="auto"/>
        <w:jc w:val="both"/>
        <w:rPr>
          <w:rFonts w:ascii="Courier New"/>
        </w:rPr>
        <w:sectPr w:rsidR="009948F1">
          <w:pgSz w:w="11910" w:h="16840"/>
          <w:pgMar w:top="1360" w:right="1080" w:bottom="1420" w:left="1120" w:header="0" w:footer="1235" w:gutter="0"/>
          <w:cols w:space="720"/>
        </w:sectPr>
      </w:pPr>
    </w:p>
    <w:p w14:paraId="1465EE42" w14:textId="77777777" w:rsidR="009948F1" w:rsidRDefault="00BC0563">
      <w:pPr>
        <w:pStyle w:val="Heading1"/>
        <w:spacing w:line="465" w:lineRule="exact"/>
        <w:ind w:right="1143"/>
      </w:pPr>
      <w:bookmarkStart w:id="139" w:name="_TOC_250004"/>
      <w:bookmarkEnd w:id="139"/>
      <w:r>
        <w:rPr>
          <w:color w:val="231F20"/>
        </w:rPr>
        <w:lastRenderedPageBreak/>
        <w:t>CHAPTER 12</w:t>
      </w:r>
    </w:p>
    <w:p w14:paraId="257223DC" w14:textId="77777777" w:rsidR="009948F1" w:rsidRDefault="00BC0563">
      <w:pPr>
        <w:pStyle w:val="Heading2"/>
        <w:spacing w:line="372" w:lineRule="exact"/>
        <w:ind w:right="1131"/>
        <w:rPr>
          <w:rFonts w:ascii="Tahoma"/>
        </w:rPr>
      </w:pPr>
      <w:bookmarkStart w:id="140" w:name="_TOC_250003"/>
      <w:bookmarkEnd w:id="140"/>
      <w:r>
        <w:rPr>
          <w:rFonts w:ascii="Tahoma"/>
          <w:color w:val="231F20"/>
        </w:rPr>
        <w:t>MONITORING AND EVALUATION</w:t>
      </w:r>
    </w:p>
    <w:p w14:paraId="26D66625" w14:textId="77777777" w:rsidR="009948F1" w:rsidRDefault="009948F1">
      <w:pPr>
        <w:pStyle w:val="BodyText"/>
        <w:spacing w:before="1"/>
        <w:rPr>
          <w:rFonts w:ascii="Tahoma"/>
          <w:b/>
          <w:sz w:val="18"/>
        </w:rPr>
      </w:pPr>
    </w:p>
    <w:p w14:paraId="0A196E44" w14:textId="77777777" w:rsidR="009948F1" w:rsidRDefault="00BC0563">
      <w:pPr>
        <w:pStyle w:val="Heading7"/>
        <w:numPr>
          <w:ilvl w:val="1"/>
          <w:numId w:val="248"/>
        </w:numPr>
        <w:tabs>
          <w:tab w:val="left" w:pos="879"/>
        </w:tabs>
        <w:spacing w:before="65"/>
        <w:ind w:hanging="721"/>
        <w:jc w:val="both"/>
        <w:rPr>
          <w:color w:val="231F20"/>
        </w:rPr>
      </w:pPr>
      <w:r>
        <w:rPr>
          <w:color w:val="231F20"/>
        </w:rPr>
        <w:t>Proposed</w:t>
      </w:r>
      <w:r>
        <w:rPr>
          <w:color w:val="231F20"/>
          <w:spacing w:val="-25"/>
        </w:rPr>
        <w:t xml:space="preserve"> </w:t>
      </w:r>
      <w:r>
        <w:rPr>
          <w:color w:val="231F20"/>
        </w:rPr>
        <w:t>mechanism</w:t>
      </w:r>
      <w:r>
        <w:rPr>
          <w:color w:val="231F20"/>
          <w:spacing w:val="-25"/>
        </w:rPr>
        <w:t xml:space="preserve"> </w:t>
      </w:r>
      <w:r>
        <w:rPr>
          <w:color w:val="231F20"/>
        </w:rPr>
        <w:t>for</w:t>
      </w:r>
      <w:r>
        <w:rPr>
          <w:color w:val="231F20"/>
          <w:spacing w:val="-25"/>
        </w:rPr>
        <w:t xml:space="preserve"> </w:t>
      </w:r>
      <w:r>
        <w:rPr>
          <w:color w:val="231F20"/>
        </w:rPr>
        <w:t>monitoring</w:t>
      </w:r>
      <w:r>
        <w:rPr>
          <w:color w:val="231F20"/>
          <w:spacing w:val="-25"/>
        </w:rPr>
        <w:t xml:space="preserve"> </w:t>
      </w:r>
      <w:r>
        <w:rPr>
          <w:color w:val="231F20"/>
        </w:rPr>
        <w:t>and</w:t>
      </w:r>
      <w:r>
        <w:rPr>
          <w:color w:val="231F20"/>
          <w:spacing w:val="-25"/>
        </w:rPr>
        <w:t xml:space="preserve"> </w:t>
      </w:r>
      <w:r>
        <w:rPr>
          <w:color w:val="231F20"/>
        </w:rPr>
        <w:t>evaluation</w:t>
      </w:r>
    </w:p>
    <w:p w14:paraId="0CA7CB7F" w14:textId="77777777" w:rsidR="009948F1" w:rsidRDefault="00BC0563">
      <w:pPr>
        <w:pStyle w:val="BodyText"/>
        <w:spacing w:before="15" w:line="254" w:lineRule="auto"/>
        <w:ind w:left="158" w:right="180"/>
        <w:jc w:val="both"/>
      </w:pPr>
      <w:r>
        <w:rPr>
          <w:color w:val="231F20"/>
        </w:rPr>
        <w:t>Plans</w:t>
      </w:r>
      <w:r>
        <w:rPr>
          <w:color w:val="231F20"/>
          <w:spacing w:val="-23"/>
        </w:rPr>
        <w:t xml:space="preserve"> </w:t>
      </w:r>
      <w:r>
        <w:rPr>
          <w:color w:val="231F20"/>
        </w:rPr>
        <w:t>will</w:t>
      </w:r>
      <w:r>
        <w:rPr>
          <w:color w:val="231F20"/>
          <w:spacing w:val="-22"/>
        </w:rPr>
        <w:t xml:space="preserve"> </w:t>
      </w:r>
      <w:r>
        <w:rPr>
          <w:color w:val="231F20"/>
        </w:rPr>
        <w:t>be</w:t>
      </w:r>
      <w:r>
        <w:rPr>
          <w:color w:val="231F20"/>
          <w:spacing w:val="-22"/>
        </w:rPr>
        <w:t xml:space="preserve"> </w:t>
      </w:r>
      <w:r>
        <w:rPr>
          <w:color w:val="231F20"/>
        </w:rPr>
        <w:t>monitored</w:t>
      </w:r>
      <w:r>
        <w:rPr>
          <w:color w:val="231F20"/>
          <w:spacing w:val="-22"/>
        </w:rPr>
        <w:t xml:space="preserve"> </w:t>
      </w:r>
      <w:r>
        <w:rPr>
          <w:color w:val="231F20"/>
        </w:rPr>
        <w:t>and</w:t>
      </w:r>
      <w:r>
        <w:rPr>
          <w:color w:val="231F20"/>
          <w:spacing w:val="-22"/>
        </w:rPr>
        <w:t xml:space="preserve"> </w:t>
      </w:r>
      <w:r>
        <w:rPr>
          <w:color w:val="231F20"/>
        </w:rPr>
        <w:t>evaluated</w:t>
      </w:r>
      <w:r>
        <w:rPr>
          <w:color w:val="231F20"/>
          <w:spacing w:val="-22"/>
        </w:rPr>
        <w:t xml:space="preserve"> </w:t>
      </w:r>
      <w:r>
        <w:rPr>
          <w:color w:val="231F20"/>
        </w:rPr>
        <w:t>by</w:t>
      </w:r>
      <w:r>
        <w:rPr>
          <w:color w:val="231F20"/>
          <w:spacing w:val="-23"/>
        </w:rPr>
        <w:t xml:space="preserve"> </w:t>
      </w:r>
      <w:r>
        <w:rPr>
          <w:color w:val="231F20"/>
        </w:rPr>
        <w:t>the</w:t>
      </w:r>
      <w:r>
        <w:rPr>
          <w:color w:val="231F20"/>
          <w:spacing w:val="-23"/>
        </w:rPr>
        <w:t xml:space="preserve"> </w:t>
      </w:r>
      <w:r>
        <w:rPr>
          <w:color w:val="231F20"/>
        </w:rPr>
        <w:t>implementing</w:t>
      </w:r>
      <w:r>
        <w:rPr>
          <w:color w:val="231F20"/>
          <w:spacing w:val="-22"/>
        </w:rPr>
        <w:t xml:space="preserve"> </w:t>
      </w:r>
      <w:r>
        <w:rPr>
          <w:color w:val="231F20"/>
        </w:rPr>
        <w:t>departments</w:t>
      </w:r>
      <w:r>
        <w:rPr>
          <w:color w:val="231F20"/>
          <w:spacing w:val="-23"/>
        </w:rPr>
        <w:t xml:space="preserve"> </w:t>
      </w:r>
      <w:r>
        <w:rPr>
          <w:color w:val="231F20"/>
        </w:rPr>
        <w:t>and</w:t>
      </w:r>
      <w:r>
        <w:rPr>
          <w:color w:val="231F20"/>
          <w:spacing w:val="-22"/>
        </w:rPr>
        <w:t xml:space="preserve"> </w:t>
      </w:r>
      <w:r>
        <w:rPr>
          <w:color w:val="231F20"/>
        </w:rPr>
        <w:t>special</w:t>
      </w:r>
      <w:r>
        <w:rPr>
          <w:color w:val="231F20"/>
          <w:spacing w:val="-22"/>
        </w:rPr>
        <w:t xml:space="preserve"> </w:t>
      </w:r>
      <w:r>
        <w:rPr>
          <w:color w:val="231F20"/>
        </w:rPr>
        <w:t>units</w:t>
      </w:r>
      <w:r>
        <w:rPr>
          <w:color w:val="231F20"/>
          <w:spacing w:val="-22"/>
        </w:rPr>
        <w:t xml:space="preserve"> </w:t>
      </w:r>
      <w:r>
        <w:rPr>
          <w:color w:val="231F20"/>
        </w:rPr>
        <w:t>(inbuilt</w:t>
      </w:r>
      <w:r>
        <w:rPr>
          <w:color w:val="231F20"/>
          <w:spacing w:val="-22"/>
        </w:rPr>
        <w:t xml:space="preserve"> </w:t>
      </w:r>
      <w:r>
        <w:rPr>
          <w:color w:val="231F20"/>
          <w:spacing w:val="-14"/>
        </w:rPr>
        <w:t xml:space="preserve">M </w:t>
      </w:r>
      <w:r>
        <w:rPr>
          <w:color w:val="231F20"/>
        </w:rPr>
        <w:t>&amp;</w:t>
      </w:r>
      <w:r>
        <w:rPr>
          <w:color w:val="231F20"/>
          <w:spacing w:val="-25"/>
        </w:rPr>
        <w:t xml:space="preserve"> </w:t>
      </w:r>
      <w:r>
        <w:rPr>
          <w:color w:val="231F20"/>
        </w:rPr>
        <w:t>E)</w:t>
      </w:r>
      <w:r>
        <w:rPr>
          <w:color w:val="231F20"/>
          <w:spacing w:val="-26"/>
        </w:rPr>
        <w:t xml:space="preserve"> </w:t>
      </w:r>
      <w:r>
        <w:rPr>
          <w:color w:val="231F20"/>
        </w:rPr>
        <w:t>and</w:t>
      </w:r>
      <w:r>
        <w:rPr>
          <w:color w:val="231F20"/>
          <w:spacing w:val="-25"/>
        </w:rPr>
        <w:t xml:space="preserve"> </w:t>
      </w:r>
      <w:r>
        <w:rPr>
          <w:color w:val="231F20"/>
        </w:rPr>
        <w:t>a</w:t>
      </w:r>
      <w:r>
        <w:rPr>
          <w:color w:val="231F20"/>
          <w:spacing w:val="-25"/>
        </w:rPr>
        <w:t xml:space="preserve"> </w:t>
      </w:r>
      <w:r>
        <w:rPr>
          <w:color w:val="231F20"/>
        </w:rPr>
        <w:t>central</w:t>
      </w:r>
      <w:r>
        <w:rPr>
          <w:color w:val="231F20"/>
          <w:spacing w:val="-25"/>
        </w:rPr>
        <w:t xml:space="preserve"> </w:t>
      </w:r>
      <w:r>
        <w:rPr>
          <w:color w:val="231F20"/>
        </w:rPr>
        <w:t>M</w:t>
      </w:r>
      <w:r>
        <w:rPr>
          <w:color w:val="231F20"/>
          <w:spacing w:val="-25"/>
        </w:rPr>
        <w:t xml:space="preserve"> </w:t>
      </w:r>
      <w:r>
        <w:rPr>
          <w:color w:val="231F20"/>
        </w:rPr>
        <w:t>&amp;</w:t>
      </w:r>
      <w:r>
        <w:rPr>
          <w:color w:val="231F20"/>
          <w:spacing w:val="-25"/>
        </w:rPr>
        <w:t xml:space="preserve"> </w:t>
      </w:r>
      <w:r>
        <w:rPr>
          <w:color w:val="231F20"/>
        </w:rPr>
        <w:t>E</w:t>
      </w:r>
      <w:r>
        <w:rPr>
          <w:color w:val="231F20"/>
          <w:spacing w:val="-25"/>
        </w:rPr>
        <w:t xml:space="preserve"> </w:t>
      </w:r>
      <w:r>
        <w:rPr>
          <w:color w:val="231F20"/>
        </w:rPr>
        <w:t>Unit</w:t>
      </w:r>
      <w:r>
        <w:rPr>
          <w:color w:val="231F20"/>
          <w:spacing w:val="-25"/>
        </w:rPr>
        <w:t xml:space="preserve"> </w:t>
      </w:r>
      <w:r>
        <w:rPr>
          <w:color w:val="231F20"/>
        </w:rPr>
        <w:t>(Planning</w:t>
      </w:r>
      <w:r>
        <w:rPr>
          <w:color w:val="231F20"/>
          <w:spacing w:val="-25"/>
        </w:rPr>
        <w:t xml:space="preserve"> </w:t>
      </w:r>
      <w:r>
        <w:rPr>
          <w:color w:val="231F20"/>
        </w:rPr>
        <w:t>Division,</w:t>
      </w:r>
      <w:r>
        <w:rPr>
          <w:color w:val="231F20"/>
          <w:spacing w:val="-25"/>
        </w:rPr>
        <w:t xml:space="preserve"> </w:t>
      </w:r>
      <w:r>
        <w:rPr>
          <w:color w:val="231F20"/>
        </w:rPr>
        <w:t>PRS</w:t>
      </w:r>
      <w:r>
        <w:rPr>
          <w:color w:val="231F20"/>
          <w:spacing w:val="-25"/>
        </w:rPr>
        <w:t xml:space="preserve"> </w:t>
      </w:r>
      <w:r>
        <w:rPr>
          <w:color w:val="231F20"/>
        </w:rPr>
        <w:t>Department).</w:t>
      </w:r>
    </w:p>
    <w:p w14:paraId="1C3681BC" w14:textId="3083C471" w:rsidR="009948F1" w:rsidRDefault="00BC0563">
      <w:pPr>
        <w:pStyle w:val="BodyText"/>
        <w:spacing w:line="254" w:lineRule="auto"/>
        <w:ind w:left="158" w:right="180"/>
        <w:jc w:val="both"/>
      </w:pPr>
      <w:r>
        <w:rPr>
          <w:color w:val="231F20"/>
        </w:rPr>
        <w:t xml:space="preserve">There are two perspectives to monitoring and evaluation in the context of the SSHDP II and </w:t>
      </w:r>
      <w:r>
        <w:rPr>
          <w:color w:val="231F20"/>
          <w:spacing w:val="-4"/>
        </w:rPr>
        <w:t xml:space="preserve">its </w:t>
      </w:r>
      <w:r>
        <w:rPr>
          <w:color w:val="231F20"/>
        </w:rPr>
        <w:t xml:space="preserve">implementation process. First, it is important to monitor and evaluate the plan's operational elements (in this case, the required activities) that are essential ingredients in ensuring the successful implementation of the plan. Secondly, it is equally essential to monitor and evaluate </w:t>
      </w:r>
      <w:proofErr w:type="spellStart"/>
      <w:r>
        <w:rPr>
          <w:color w:val="231F20"/>
        </w:rPr>
        <w:t>programme</w:t>
      </w:r>
      <w:proofErr w:type="spellEnd"/>
      <w:r>
        <w:rPr>
          <w:color w:val="231F20"/>
        </w:rPr>
        <w:t xml:space="preserve"> outputs and impacts. The latter concerns measurable variables and changes in </w:t>
      </w:r>
      <w:r>
        <w:rPr>
          <w:color w:val="231F20"/>
          <w:spacing w:val="-5"/>
        </w:rPr>
        <w:t xml:space="preserve">the </w:t>
      </w:r>
      <w:r>
        <w:rPr>
          <w:color w:val="231F20"/>
        </w:rPr>
        <w:t>health</w:t>
      </w:r>
      <w:r>
        <w:rPr>
          <w:color w:val="231F20"/>
          <w:spacing w:val="-11"/>
        </w:rPr>
        <w:t xml:space="preserve"> </w:t>
      </w:r>
      <w:r>
        <w:rPr>
          <w:color w:val="231F20"/>
        </w:rPr>
        <w:t>status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population</w:t>
      </w:r>
      <w:r>
        <w:rPr>
          <w:color w:val="231F20"/>
          <w:spacing w:val="-10"/>
        </w:rPr>
        <w:t xml:space="preserve"> </w:t>
      </w:r>
      <w:r>
        <w:rPr>
          <w:color w:val="231F20"/>
        </w:rPr>
        <w:t>and</w:t>
      </w:r>
      <w:r>
        <w:rPr>
          <w:color w:val="231F20"/>
          <w:spacing w:val="-10"/>
        </w:rPr>
        <w:t xml:space="preserve"> </w:t>
      </w:r>
      <w:r>
        <w:rPr>
          <w:color w:val="231F20"/>
        </w:rPr>
        <w:t>the</w:t>
      </w:r>
      <w:r>
        <w:rPr>
          <w:color w:val="231F20"/>
          <w:spacing w:val="-11"/>
        </w:rPr>
        <w:t xml:space="preserve"> </w:t>
      </w:r>
      <w:r>
        <w:rPr>
          <w:color w:val="231F20"/>
        </w:rPr>
        <w:t>health</w:t>
      </w:r>
      <w:r>
        <w:rPr>
          <w:color w:val="231F20"/>
          <w:spacing w:val="-10"/>
        </w:rPr>
        <w:t xml:space="preserve"> </w:t>
      </w:r>
      <w:r>
        <w:rPr>
          <w:color w:val="231F20"/>
        </w:rPr>
        <w:t>services</w:t>
      </w:r>
      <w:r>
        <w:rPr>
          <w:color w:val="231F20"/>
          <w:spacing w:val="-10"/>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consequence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implementation</w:t>
      </w:r>
      <w:r>
        <w:rPr>
          <w:color w:val="231F20"/>
          <w:spacing w:val="-10"/>
        </w:rPr>
        <w:t xml:space="preserve"> </w:t>
      </w:r>
      <w:r>
        <w:rPr>
          <w:color w:val="231F20"/>
        </w:rPr>
        <w:t>of the</w:t>
      </w:r>
      <w:r>
        <w:rPr>
          <w:color w:val="231F20"/>
          <w:spacing w:val="-10"/>
        </w:rPr>
        <w:t xml:space="preserve"> </w:t>
      </w:r>
      <w:r>
        <w:rPr>
          <w:color w:val="231F20"/>
        </w:rPr>
        <w:t>SHDP</w:t>
      </w:r>
      <w:r>
        <w:rPr>
          <w:color w:val="231F20"/>
          <w:spacing w:val="-12"/>
        </w:rPr>
        <w:t xml:space="preserve"> </w:t>
      </w:r>
      <w:r>
        <w:rPr>
          <w:color w:val="231F20"/>
        </w:rPr>
        <w:t>II.</w:t>
      </w:r>
      <w:r w:rsidR="00C84576">
        <w:rPr>
          <w:color w:val="231F20"/>
        </w:rPr>
        <w:t xml:space="preserve"> </w:t>
      </w:r>
      <w:r>
        <w:rPr>
          <w:color w:val="231F20"/>
        </w:rPr>
        <w:t>The</w:t>
      </w:r>
      <w:r>
        <w:rPr>
          <w:color w:val="231F20"/>
          <w:spacing w:val="-9"/>
        </w:rPr>
        <w:t xml:space="preserve"> </w:t>
      </w:r>
      <w:r>
        <w:rPr>
          <w:color w:val="231F20"/>
        </w:rPr>
        <w:t>detailed</w:t>
      </w:r>
      <w:r>
        <w:rPr>
          <w:color w:val="231F20"/>
          <w:spacing w:val="-8"/>
        </w:rPr>
        <w:t xml:space="preserve"> </w:t>
      </w:r>
      <w:r>
        <w:rPr>
          <w:color w:val="231F20"/>
        </w:rPr>
        <w:t>SSHDP</w:t>
      </w:r>
      <w:r>
        <w:rPr>
          <w:color w:val="231F20"/>
          <w:spacing w:val="-12"/>
        </w:rPr>
        <w:t xml:space="preserve"> </w:t>
      </w:r>
      <w:r>
        <w:rPr>
          <w:color w:val="231F20"/>
        </w:rPr>
        <w:t>II</w:t>
      </w:r>
      <w:r>
        <w:rPr>
          <w:color w:val="231F20"/>
          <w:spacing w:val="-9"/>
        </w:rPr>
        <w:t xml:space="preserve"> </w:t>
      </w:r>
      <w:r>
        <w:rPr>
          <w:color w:val="231F20"/>
        </w:rPr>
        <w:t>M&amp;E</w:t>
      </w:r>
      <w:r>
        <w:rPr>
          <w:color w:val="231F20"/>
          <w:spacing w:val="-9"/>
        </w:rPr>
        <w:t xml:space="preserve"> </w:t>
      </w:r>
      <w:r>
        <w:rPr>
          <w:color w:val="231F20"/>
        </w:rPr>
        <w:t>Plan</w:t>
      </w:r>
      <w:r>
        <w:rPr>
          <w:color w:val="231F20"/>
          <w:spacing w:val="-8"/>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free</w:t>
      </w:r>
      <w:r>
        <w:rPr>
          <w:color w:val="231F20"/>
          <w:spacing w:val="-9"/>
        </w:rPr>
        <w:t xml:space="preserve"> </w:t>
      </w:r>
      <w:r>
        <w:rPr>
          <w:color w:val="231F20"/>
        </w:rPr>
        <w:t>stand-alone</w:t>
      </w:r>
      <w:r>
        <w:rPr>
          <w:color w:val="231F20"/>
          <w:spacing w:val="-8"/>
        </w:rPr>
        <w:t xml:space="preserve"> </w:t>
      </w:r>
      <w:r>
        <w:rPr>
          <w:color w:val="231F20"/>
        </w:rPr>
        <w:t>document</w:t>
      </w:r>
      <w:r>
        <w:rPr>
          <w:color w:val="231F20"/>
          <w:spacing w:val="-8"/>
        </w:rPr>
        <w:t xml:space="preserve"> </w:t>
      </w:r>
      <w:r>
        <w:rPr>
          <w:color w:val="231F20"/>
        </w:rPr>
        <w:t>while</w:t>
      </w:r>
      <w:r>
        <w:rPr>
          <w:color w:val="231F20"/>
          <w:spacing w:val="-8"/>
        </w:rPr>
        <w:t xml:space="preserve"> </w:t>
      </w:r>
      <w:r>
        <w:rPr>
          <w:color w:val="231F20"/>
        </w:rPr>
        <w:t>this</w:t>
      </w:r>
      <w:r>
        <w:rPr>
          <w:color w:val="231F20"/>
          <w:spacing w:val="-9"/>
        </w:rPr>
        <w:t xml:space="preserve"> </w:t>
      </w:r>
      <w:r>
        <w:rPr>
          <w:color w:val="231F20"/>
        </w:rPr>
        <w:t>section</w:t>
      </w:r>
      <w:r>
        <w:rPr>
          <w:color w:val="231F20"/>
          <w:spacing w:val="-8"/>
        </w:rPr>
        <w:t xml:space="preserve"> </w:t>
      </w:r>
      <w:r>
        <w:rPr>
          <w:color w:val="231F20"/>
        </w:rPr>
        <w:t>is an</w:t>
      </w:r>
      <w:r>
        <w:rPr>
          <w:color w:val="231F20"/>
          <w:spacing w:val="-26"/>
        </w:rPr>
        <w:t xml:space="preserve"> </w:t>
      </w:r>
      <w:r>
        <w:rPr>
          <w:color w:val="231F20"/>
        </w:rPr>
        <w:t>overview.</w:t>
      </w:r>
    </w:p>
    <w:p w14:paraId="721BBE6B" w14:textId="77777777" w:rsidR="009948F1" w:rsidRDefault="009948F1">
      <w:pPr>
        <w:pStyle w:val="BodyText"/>
        <w:spacing w:before="3"/>
        <w:rPr>
          <w:sz w:val="23"/>
        </w:rPr>
      </w:pPr>
    </w:p>
    <w:p w14:paraId="2D6506C2" w14:textId="77777777" w:rsidR="009948F1" w:rsidRDefault="00BC0563">
      <w:pPr>
        <w:pStyle w:val="BodyText"/>
        <w:spacing w:line="254" w:lineRule="auto"/>
        <w:ind w:left="158" w:right="180"/>
        <w:jc w:val="both"/>
      </w:pPr>
      <w:r>
        <w:rPr>
          <w:color w:val="231F20"/>
        </w:rPr>
        <w:t>The</w:t>
      </w:r>
      <w:r>
        <w:rPr>
          <w:color w:val="231F20"/>
          <w:spacing w:val="-21"/>
        </w:rPr>
        <w:t xml:space="preserve"> </w:t>
      </w:r>
      <w:r>
        <w:rPr>
          <w:color w:val="231F20"/>
        </w:rPr>
        <w:t>major</w:t>
      </w:r>
      <w:r>
        <w:rPr>
          <w:color w:val="231F20"/>
          <w:spacing w:val="-20"/>
        </w:rPr>
        <w:t xml:space="preserve"> </w:t>
      </w:r>
      <w:r>
        <w:rPr>
          <w:color w:val="231F20"/>
        </w:rPr>
        <w:t>categories</w:t>
      </w:r>
      <w:r>
        <w:rPr>
          <w:color w:val="231F20"/>
          <w:spacing w:val="-20"/>
        </w:rPr>
        <w:t xml:space="preserve"> </w:t>
      </w:r>
      <w:r>
        <w:rPr>
          <w:color w:val="231F20"/>
        </w:rPr>
        <w:t>of</w:t>
      </w:r>
      <w:r>
        <w:rPr>
          <w:color w:val="231F20"/>
          <w:spacing w:val="-20"/>
        </w:rPr>
        <w:t xml:space="preserve"> </w:t>
      </w:r>
      <w:r>
        <w:rPr>
          <w:color w:val="231F20"/>
        </w:rPr>
        <w:t>indicators</w:t>
      </w:r>
      <w:r>
        <w:rPr>
          <w:color w:val="231F20"/>
          <w:spacing w:val="-20"/>
        </w:rPr>
        <w:t xml:space="preserve"> </w:t>
      </w:r>
      <w:r>
        <w:rPr>
          <w:color w:val="231F20"/>
        </w:rPr>
        <w:t>that</w:t>
      </w:r>
      <w:r>
        <w:rPr>
          <w:color w:val="231F20"/>
          <w:spacing w:val="-20"/>
        </w:rPr>
        <w:t xml:space="preserve"> </w:t>
      </w:r>
      <w:r>
        <w:rPr>
          <w:color w:val="231F20"/>
        </w:rPr>
        <w:t>are</w:t>
      </w:r>
      <w:r>
        <w:rPr>
          <w:color w:val="231F20"/>
          <w:spacing w:val="-20"/>
        </w:rPr>
        <w:t xml:space="preserve"> </w:t>
      </w:r>
      <w:r>
        <w:rPr>
          <w:color w:val="231F20"/>
        </w:rPr>
        <w:t>relevant</w:t>
      </w:r>
      <w:r>
        <w:rPr>
          <w:color w:val="231F20"/>
          <w:spacing w:val="-20"/>
        </w:rPr>
        <w:t xml:space="preserve"> </w:t>
      </w:r>
      <w:r>
        <w:rPr>
          <w:color w:val="231F20"/>
        </w:rPr>
        <w:t>for</w:t>
      </w:r>
      <w:r>
        <w:rPr>
          <w:color w:val="231F20"/>
          <w:spacing w:val="-20"/>
        </w:rPr>
        <w:t xml:space="preserve"> </w:t>
      </w:r>
      <w:r>
        <w:rPr>
          <w:color w:val="231F20"/>
        </w:rPr>
        <w:t>monitoring</w:t>
      </w:r>
      <w:r>
        <w:rPr>
          <w:color w:val="231F20"/>
          <w:spacing w:val="-20"/>
        </w:rPr>
        <w:t xml:space="preserve"> </w:t>
      </w:r>
      <w:r>
        <w:rPr>
          <w:color w:val="231F20"/>
        </w:rPr>
        <w:t>and</w:t>
      </w:r>
      <w:r>
        <w:rPr>
          <w:color w:val="231F20"/>
          <w:spacing w:val="-20"/>
        </w:rPr>
        <w:t xml:space="preserve"> </w:t>
      </w:r>
      <w:r>
        <w:rPr>
          <w:color w:val="231F20"/>
        </w:rPr>
        <w:t>evaluating</w:t>
      </w:r>
      <w:r>
        <w:rPr>
          <w:color w:val="231F20"/>
          <w:spacing w:val="-20"/>
        </w:rPr>
        <w:t xml:space="preserve"> </w:t>
      </w:r>
      <w:r>
        <w:rPr>
          <w:color w:val="231F20"/>
        </w:rPr>
        <w:t>the</w:t>
      </w:r>
      <w:r>
        <w:rPr>
          <w:color w:val="231F20"/>
          <w:spacing w:val="-21"/>
        </w:rPr>
        <w:t xml:space="preserve"> </w:t>
      </w:r>
      <w:r>
        <w:rPr>
          <w:color w:val="231F20"/>
        </w:rPr>
        <w:t>State</w:t>
      </w:r>
      <w:r>
        <w:rPr>
          <w:color w:val="231F20"/>
          <w:spacing w:val="-20"/>
        </w:rPr>
        <w:t xml:space="preserve"> </w:t>
      </w:r>
      <w:r>
        <w:rPr>
          <w:color w:val="231F20"/>
        </w:rPr>
        <w:t>SHDP</w:t>
      </w:r>
      <w:r>
        <w:rPr>
          <w:color w:val="231F20"/>
          <w:spacing w:val="-24"/>
        </w:rPr>
        <w:t xml:space="preserve"> </w:t>
      </w:r>
      <w:r>
        <w:rPr>
          <w:color w:val="231F20"/>
        </w:rPr>
        <w:t>II include the policy and socioeconomic indicators as well as the health prevention and utilization indicators.</w:t>
      </w:r>
    </w:p>
    <w:p w14:paraId="17C10BEF" w14:textId="77777777" w:rsidR="009948F1" w:rsidRDefault="009948F1">
      <w:pPr>
        <w:pStyle w:val="BodyText"/>
        <w:spacing w:before="3"/>
        <w:rPr>
          <w:sz w:val="23"/>
        </w:rPr>
      </w:pPr>
    </w:p>
    <w:p w14:paraId="63F37FED" w14:textId="77777777" w:rsidR="009948F1" w:rsidRDefault="00BC0563">
      <w:pPr>
        <w:pStyle w:val="Heading7"/>
        <w:spacing w:before="1"/>
        <w:ind w:left="158"/>
        <w:jc w:val="both"/>
      </w:pPr>
      <w:r>
        <w:rPr>
          <w:color w:val="231F20"/>
        </w:rPr>
        <w:t>Types and sources of data</w:t>
      </w:r>
    </w:p>
    <w:p w14:paraId="0F7F9878" w14:textId="77777777" w:rsidR="009948F1" w:rsidRDefault="00BC0563">
      <w:pPr>
        <w:pStyle w:val="BodyText"/>
        <w:spacing w:before="15" w:line="254" w:lineRule="auto"/>
        <w:ind w:left="158" w:right="180"/>
        <w:jc w:val="both"/>
      </w:pPr>
      <w:r>
        <w:rPr>
          <w:color w:val="231F20"/>
        </w:rPr>
        <w:t>The</w:t>
      </w:r>
      <w:r>
        <w:rPr>
          <w:color w:val="231F20"/>
          <w:spacing w:val="-23"/>
        </w:rPr>
        <w:t xml:space="preserve"> </w:t>
      </w:r>
      <w:r>
        <w:rPr>
          <w:color w:val="231F20"/>
        </w:rPr>
        <w:t>sources</w:t>
      </w:r>
      <w:r>
        <w:rPr>
          <w:color w:val="231F20"/>
          <w:spacing w:val="-22"/>
        </w:rPr>
        <w:t xml:space="preserve"> </w:t>
      </w:r>
      <w:r>
        <w:rPr>
          <w:color w:val="231F20"/>
        </w:rPr>
        <w:t>of</w:t>
      </w:r>
      <w:r>
        <w:rPr>
          <w:color w:val="231F20"/>
          <w:spacing w:val="-22"/>
        </w:rPr>
        <w:t xml:space="preserve"> </w:t>
      </w:r>
      <w:r>
        <w:rPr>
          <w:color w:val="231F20"/>
        </w:rPr>
        <w:t>data</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monitoring</w:t>
      </w:r>
      <w:r>
        <w:rPr>
          <w:color w:val="231F20"/>
          <w:spacing w:val="-22"/>
        </w:rPr>
        <w:t xml:space="preserve"> </w:t>
      </w:r>
      <w:r>
        <w:rPr>
          <w:color w:val="231F20"/>
        </w:rPr>
        <w:t>and</w:t>
      </w:r>
      <w:r>
        <w:rPr>
          <w:color w:val="231F20"/>
          <w:spacing w:val="-22"/>
        </w:rPr>
        <w:t xml:space="preserve"> </w:t>
      </w:r>
      <w:r>
        <w:rPr>
          <w:color w:val="231F20"/>
        </w:rPr>
        <w:t>evaluation</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state</w:t>
      </w:r>
      <w:r>
        <w:rPr>
          <w:color w:val="231F20"/>
          <w:spacing w:val="-22"/>
        </w:rPr>
        <w:t xml:space="preserve"> </w:t>
      </w:r>
      <w:r>
        <w:rPr>
          <w:color w:val="231F20"/>
        </w:rPr>
        <w:t>of</w:t>
      </w:r>
      <w:r>
        <w:rPr>
          <w:color w:val="231F20"/>
          <w:spacing w:val="-22"/>
        </w:rPr>
        <w:t xml:space="preserve"> </w:t>
      </w:r>
      <w:r>
        <w:rPr>
          <w:color w:val="231F20"/>
        </w:rPr>
        <w:t>health</w:t>
      </w:r>
      <w:r>
        <w:rPr>
          <w:color w:val="231F20"/>
          <w:spacing w:val="-22"/>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population</w:t>
      </w:r>
      <w:r>
        <w:rPr>
          <w:color w:val="231F20"/>
          <w:spacing w:val="-22"/>
        </w:rPr>
        <w:t xml:space="preserve"> </w:t>
      </w:r>
      <w:r>
        <w:rPr>
          <w:color w:val="231F20"/>
        </w:rPr>
        <w:t>and</w:t>
      </w:r>
      <w:r>
        <w:rPr>
          <w:color w:val="231F20"/>
          <w:spacing w:val="-22"/>
        </w:rPr>
        <w:t xml:space="preserve"> </w:t>
      </w:r>
      <w:r>
        <w:rPr>
          <w:color w:val="231F20"/>
        </w:rPr>
        <w:t>the health system</w:t>
      </w:r>
      <w:r>
        <w:rPr>
          <w:color w:val="231F20"/>
          <w:spacing w:val="-50"/>
        </w:rPr>
        <w:t xml:space="preserve"> </w:t>
      </w:r>
      <w:r>
        <w:rPr>
          <w:color w:val="231F20"/>
        </w:rPr>
        <w:t>are:</w:t>
      </w:r>
    </w:p>
    <w:p w14:paraId="2D08E041" w14:textId="77777777" w:rsidR="009948F1" w:rsidRDefault="009948F1">
      <w:pPr>
        <w:pStyle w:val="BodyText"/>
        <w:spacing w:before="3"/>
        <w:rPr>
          <w:sz w:val="23"/>
        </w:rPr>
      </w:pPr>
    </w:p>
    <w:p w14:paraId="488FDAFB" w14:textId="77777777" w:rsidR="009948F1" w:rsidRDefault="00BC0563">
      <w:pPr>
        <w:pStyle w:val="ListParagraph"/>
        <w:numPr>
          <w:ilvl w:val="2"/>
          <w:numId w:val="248"/>
        </w:numPr>
        <w:tabs>
          <w:tab w:val="left" w:pos="879"/>
        </w:tabs>
        <w:ind w:hanging="361"/>
      </w:pPr>
      <w:r>
        <w:rPr>
          <w:color w:val="231F20"/>
        </w:rPr>
        <w:t>disease</w:t>
      </w:r>
      <w:r>
        <w:rPr>
          <w:color w:val="231F20"/>
          <w:spacing w:val="-25"/>
        </w:rPr>
        <w:t xml:space="preserve"> </w:t>
      </w:r>
      <w:r>
        <w:rPr>
          <w:color w:val="231F20"/>
        </w:rPr>
        <w:t>and</w:t>
      </w:r>
      <w:r>
        <w:rPr>
          <w:color w:val="231F20"/>
          <w:spacing w:val="-26"/>
        </w:rPr>
        <w:t xml:space="preserve"> </w:t>
      </w:r>
      <w:r>
        <w:rPr>
          <w:color w:val="231F20"/>
        </w:rPr>
        <w:t>related</w:t>
      </w:r>
      <w:r>
        <w:rPr>
          <w:color w:val="231F20"/>
          <w:spacing w:val="-25"/>
        </w:rPr>
        <w:t xml:space="preserve"> </w:t>
      </w:r>
      <w:r>
        <w:rPr>
          <w:color w:val="231F20"/>
        </w:rPr>
        <w:t>reporting</w:t>
      </w:r>
      <w:r>
        <w:rPr>
          <w:color w:val="231F20"/>
          <w:spacing w:val="-25"/>
        </w:rPr>
        <w:t xml:space="preserve"> </w:t>
      </w:r>
      <w:r>
        <w:rPr>
          <w:color w:val="231F20"/>
        </w:rPr>
        <w:t>mechanisms</w:t>
      </w:r>
    </w:p>
    <w:p w14:paraId="51D09FF5" w14:textId="77777777" w:rsidR="009948F1" w:rsidRDefault="00BC0563">
      <w:pPr>
        <w:pStyle w:val="ListParagraph"/>
        <w:numPr>
          <w:ilvl w:val="2"/>
          <w:numId w:val="248"/>
        </w:numPr>
        <w:tabs>
          <w:tab w:val="left" w:pos="879"/>
        </w:tabs>
        <w:spacing w:before="15"/>
        <w:ind w:hanging="361"/>
      </w:pPr>
      <w:r>
        <w:rPr>
          <w:color w:val="231F20"/>
        </w:rPr>
        <w:t>vital</w:t>
      </w:r>
      <w:r>
        <w:rPr>
          <w:color w:val="231F20"/>
          <w:spacing w:val="-25"/>
        </w:rPr>
        <w:t xml:space="preserve"> </w:t>
      </w:r>
      <w:r>
        <w:rPr>
          <w:color w:val="231F20"/>
        </w:rPr>
        <w:t>statistics,</w:t>
      </w:r>
      <w:r>
        <w:rPr>
          <w:color w:val="231F20"/>
          <w:spacing w:val="-26"/>
        </w:rPr>
        <w:t xml:space="preserve"> </w:t>
      </w:r>
      <w:r>
        <w:rPr>
          <w:color w:val="231F20"/>
        </w:rPr>
        <w:t>e.g.</w:t>
      </w:r>
      <w:r>
        <w:rPr>
          <w:color w:val="231F20"/>
          <w:spacing w:val="-25"/>
        </w:rPr>
        <w:t xml:space="preserve"> </w:t>
      </w:r>
      <w:r>
        <w:rPr>
          <w:color w:val="231F20"/>
        </w:rPr>
        <w:t>from</w:t>
      </w:r>
      <w:r>
        <w:rPr>
          <w:color w:val="231F20"/>
          <w:spacing w:val="-25"/>
        </w:rPr>
        <w:t xml:space="preserve"> </w:t>
      </w:r>
      <w:r>
        <w:rPr>
          <w:color w:val="231F20"/>
        </w:rPr>
        <w:t>the</w:t>
      </w:r>
      <w:r>
        <w:rPr>
          <w:color w:val="231F20"/>
          <w:spacing w:val="-25"/>
        </w:rPr>
        <w:t xml:space="preserve"> </w:t>
      </w:r>
      <w:r>
        <w:rPr>
          <w:color w:val="231F20"/>
        </w:rPr>
        <w:t>National</w:t>
      </w:r>
      <w:r>
        <w:rPr>
          <w:color w:val="231F20"/>
          <w:spacing w:val="-25"/>
        </w:rPr>
        <w:t xml:space="preserve"> </w:t>
      </w:r>
      <w:r>
        <w:rPr>
          <w:color w:val="231F20"/>
        </w:rPr>
        <w:t>Population</w:t>
      </w:r>
      <w:r>
        <w:rPr>
          <w:color w:val="231F20"/>
          <w:spacing w:val="-25"/>
        </w:rPr>
        <w:t xml:space="preserve"> </w:t>
      </w:r>
      <w:r>
        <w:rPr>
          <w:color w:val="231F20"/>
        </w:rPr>
        <w:t>Commission</w:t>
      </w:r>
    </w:p>
    <w:p w14:paraId="4B954C80" w14:textId="77777777" w:rsidR="009948F1" w:rsidRDefault="00BC0563">
      <w:pPr>
        <w:pStyle w:val="ListParagraph"/>
        <w:numPr>
          <w:ilvl w:val="2"/>
          <w:numId w:val="248"/>
        </w:numPr>
        <w:tabs>
          <w:tab w:val="left" w:pos="879"/>
        </w:tabs>
        <w:spacing w:before="16" w:line="254" w:lineRule="auto"/>
        <w:ind w:right="181"/>
      </w:pPr>
      <w:r>
        <w:rPr>
          <w:color w:val="231F20"/>
        </w:rPr>
        <w:t>sentinel surveillance, focusing on the monitoring of key health indicators in the general population</w:t>
      </w:r>
      <w:r>
        <w:rPr>
          <w:color w:val="231F20"/>
          <w:spacing w:val="-25"/>
        </w:rPr>
        <w:t xml:space="preserve"> </w:t>
      </w:r>
      <w:r>
        <w:rPr>
          <w:color w:val="231F20"/>
        </w:rPr>
        <w:t>or</w:t>
      </w:r>
      <w:r>
        <w:rPr>
          <w:color w:val="231F20"/>
          <w:spacing w:val="-26"/>
        </w:rPr>
        <w:t xml:space="preserve"> </w:t>
      </w:r>
      <w:r>
        <w:rPr>
          <w:color w:val="231F20"/>
        </w:rPr>
        <w:t>in</w:t>
      </w:r>
      <w:r>
        <w:rPr>
          <w:color w:val="231F20"/>
          <w:spacing w:val="-25"/>
        </w:rPr>
        <w:t xml:space="preserve"> </w:t>
      </w:r>
      <w:r>
        <w:rPr>
          <w:color w:val="231F20"/>
        </w:rPr>
        <w:t>special</w:t>
      </w:r>
      <w:r>
        <w:rPr>
          <w:color w:val="231F20"/>
          <w:spacing w:val="-25"/>
        </w:rPr>
        <w:t xml:space="preserve"> </w:t>
      </w:r>
      <w:r>
        <w:rPr>
          <w:color w:val="231F20"/>
        </w:rPr>
        <w:t>population</w:t>
      </w:r>
    </w:p>
    <w:p w14:paraId="39A4A3D1" w14:textId="77777777" w:rsidR="009948F1" w:rsidRDefault="00BC0563">
      <w:pPr>
        <w:pStyle w:val="ListParagraph"/>
        <w:numPr>
          <w:ilvl w:val="2"/>
          <w:numId w:val="248"/>
        </w:numPr>
        <w:tabs>
          <w:tab w:val="left" w:pos="879"/>
        </w:tabs>
        <w:spacing w:line="254" w:lineRule="auto"/>
        <w:ind w:right="181"/>
      </w:pPr>
      <w:r>
        <w:rPr>
          <w:color w:val="231F20"/>
        </w:rPr>
        <w:t xml:space="preserve">registries – mostly for monitoring the public health impact of non-acute diseases, </w:t>
      </w:r>
      <w:r>
        <w:rPr>
          <w:color w:val="231F20"/>
          <w:spacing w:val="-4"/>
        </w:rPr>
        <w:t xml:space="preserve">e.g. </w:t>
      </w:r>
      <w:r>
        <w:rPr>
          <w:color w:val="231F20"/>
        </w:rPr>
        <w:t>exposure and work related registries may be particularly useful in tracking the health protection</w:t>
      </w:r>
      <w:r>
        <w:rPr>
          <w:color w:val="231F20"/>
          <w:spacing w:val="-25"/>
        </w:rPr>
        <w:t xml:space="preserve"> </w:t>
      </w:r>
      <w:r>
        <w:rPr>
          <w:color w:val="231F20"/>
        </w:rPr>
        <w:t>objectives</w:t>
      </w:r>
    </w:p>
    <w:p w14:paraId="7C2D502E" w14:textId="77777777" w:rsidR="009948F1" w:rsidRDefault="00BC0563">
      <w:pPr>
        <w:pStyle w:val="ListParagraph"/>
        <w:numPr>
          <w:ilvl w:val="2"/>
          <w:numId w:val="248"/>
        </w:numPr>
        <w:tabs>
          <w:tab w:val="left" w:pos="879"/>
        </w:tabs>
        <w:ind w:hanging="361"/>
      </w:pPr>
      <w:r>
        <w:rPr>
          <w:color w:val="231F20"/>
        </w:rPr>
        <w:t>surveys</w:t>
      </w:r>
      <w:r>
        <w:rPr>
          <w:color w:val="231F20"/>
          <w:spacing w:val="-25"/>
        </w:rPr>
        <w:t xml:space="preserve"> </w:t>
      </w:r>
      <w:r>
        <w:rPr>
          <w:color w:val="231F20"/>
        </w:rPr>
        <w:t>–</w:t>
      </w:r>
      <w:r>
        <w:rPr>
          <w:color w:val="231F20"/>
          <w:spacing w:val="-25"/>
        </w:rPr>
        <w:t xml:space="preserve"> </w:t>
      </w:r>
      <w:r>
        <w:rPr>
          <w:color w:val="231F20"/>
        </w:rPr>
        <w:t>health</w:t>
      </w:r>
      <w:r>
        <w:rPr>
          <w:color w:val="231F20"/>
          <w:spacing w:val="-25"/>
        </w:rPr>
        <w:t xml:space="preserve"> </w:t>
      </w:r>
      <w:r>
        <w:rPr>
          <w:color w:val="231F20"/>
        </w:rPr>
        <w:t>demographic</w:t>
      </w:r>
      <w:r>
        <w:rPr>
          <w:color w:val="231F20"/>
          <w:spacing w:val="-26"/>
        </w:rPr>
        <w:t xml:space="preserve"> </w:t>
      </w:r>
      <w:r>
        <w:rPr>
          <w:color w:val="231F20"/>
        </w:rPr>
        <w:t>surveys</w:t>
      </w:r>
    </w:p>
    <w:p w14:paraId="7169EAF2" w14:textId="77777777" w:rsidR="009948F1" w:rsidRDefault="00BC0563">
      <w:pPr>
        <w:pStyle w:val="ListParagraph"/>
        <w:numPr>
          <w:ilvl w:val="2"/>
          <w:numId w:val="248"/>
        </w:numPr>
        <w:tabs>
          <w:tab w:val="left" w:pos="879"/>
        </w:tabs>
        <w:spacing w:before="14"/>
        <w:ind w:hanging="361"/>
      </w:pPr>
      <w:r>
        <w:rPr>
          <w:color w:val="231F20"/>
        </w:rPr>
        <w:t>administrative</w:t>
      </w:r>
      <w:r>
        <w:rPr>
          <w:color w:val="231F20"/>
          <w:spacing w:val="-25"/>
        </w:rPr>
        <w:t xml:space="preserve"> </w:t>
      </w:r>
      <w:r>
        <w:rPr>
          <w:color w:val="231F20"/>
        </w:rPr>
        <w:t>and</w:t>
      </w:r>
      <w:r>
        <w:rPr>
          <w:color w:val="231F20"/>
          <w:spacing w:val="-26"/>
        </w:rPr>
        <w:t xml:space="preserve"> </w:t>
      </w:r>
      <w:r>
        <w:rPr>
          <w:color w:val="231F20"/>
        </w:rPr>
        <w:t>routine</w:t>
      </w:r>
      <w:r>
        <w:rPr>
          <w:color w:val="231F20"/>
          <w:spacing w:val="-25"/>
        </w:rPr>
        <w:t xml:space="preserve"> </w:t>
      </w:r>
      <w:r>
        <w:rPr>
          <w:color w:val="231F20"/>
        </w:rPr>
        <w:t>service</w:t>
      </w:r>
      <w:r>
        <w:rPr>
          <w:color w:val="231F20"/>
          <w:spacing w:val="-25"/>
        </w:rPr>
        <w:t xml:space="preserve"> </w:t>
      </w:r>
      <w:r>
        <w:rPr>
          <w:color w:val="231F20"/>
        </w:rPr>
        <w:t>data</w:t>
      </w:r>
      <w:r>
        <w:rPr>
          <w:color w:val="231F20"/>
          <w:spacing w:val="-25"/>
        </w:rPr>
        <w:t xml:space="preserve"> </w:t>
      </w:r>
      <w:r>
        <w:rPr>
          <w:color w:val="231F20"/>
        </w:rPr>
        <w:t>collection</w:t>
      </w:r>
      <w:r>
        <w:rPr>
          <w:color w:val="231F20"/>
          <w:spacing w:val="-25"/>
        </w:rPr>
        <w:t xml:space="preserve"> </w:t>
      </w:r>
      <w:r>
        <w:rPr>
          <w:color w:val="231F20"/>
        </w:rPr>
        <w:t>system</w:t>
      </w:r>
    </w:p>
    <w:p w14:paraId="07673809" w14:textId="77777777" w:rsidR="009948F1" w:rsidRDefault="009948F1">
      <w:pPr>
        <w:pStyle w:val="BodyText"/>
        <w:spacing w:before="8"/>
        <w:rPr>
          <w:sz w:val="24"/>
        </w:rPr>
      </w:pPr>
    </w:p>
    <w:p w14:paraId="1DDD56F6" w14:textId="77777777" w:rsidR="009948F1" w:rsidRDefault="00BC0563">
      <w:pPr>
        <w:pStyle w:val="Heading7"/>
        <w:ind w:left="158"/>
        <w:jc w:val="both"/>
      </w:pPr>
      <w:r>
        <w:rPr>
          <w:color w:val="231F20"/>
        </w:rPr>
        <w:t>Categories of data</w:t>
      </w:r>
    </w:p>
    <w:p w14:paraId="4F5DDCDB" w14:textId="77777777" w:rsidR="009948F1" w:rsidRDefault="00BC0563">
      <w:pPr>
        <w:pStyle w:val="BodyText"/>
        <w:spacing w:before="15"/>
        <w:ind w:left="158"/>
        <w:jc w:val="both"/>
      </w:pPr>
      <w:r>
        <w:rPr>
          <w:color w:val="231F20"/>
        </w:rPr>
        <w:t>The four major categories of data are:</w:t>
      </w:r>
    </w:p>
    <w:p w14:paraId="5EEE8DF5" w14:textId="77777777" w:rsidR="009948F1" w:rsidRDefault="00BC0563">
      <w:pPr>
        <w:pStyle w:val="ListParagraph"/>
        <w:numPr>
          <w:ilvl w:val="0"/>
          <w:numId w:val="247"/>
        </w:numPr>
        <w:tabs>
          <w:tab w:val="left" w:pos="879"/>
        </w:tabs>
        <w:spacing w:before="15"/>
        <w:ind w:hanging="361"/>
        <w:rPr>
          <w:color w:val="231F20"/>
        </w:rPr>
      </w:pPr>
      <w:r>
        <w:rPr>
          <w:color w:val="231F20"/>
        </w:rPr>
        <w:t>Input</w:t>
      </w:r>
      <w:r>
        <w:rPr>
          <w:color w:val="231F20"/>
          <w:spacing w:val="-25"/>
        </w:rPr>
        <w:t xml:space="preserve"> </w:t>
      </w:r>
      <w:r>
        <w:rPr>
          <w:color w:val="231F20"/>
        </w:rPr>
        <w:t>database</w:t>
      </w:r>
    </w:p>
    <w:p w14:paraId="00C8C607" w14:textId="77777777" w:rsidR="009948F1" w:rsidRDefault="00BC0563">
      <w:pPr>
        <w:pStyle w:val="BodyText"/>
        <w:spacing w:before="15" w:line="254" w:lineRule="auto"/>
        <w:ind w:left="878" w:right="181"/>
        <w:jc w:val="both"/>
      </w:pPr>
      <w:r>
        <w:rPr>
          <w:color w:val="231F20"/>
        </w:rPr>
        <w:t xml:space="preserve">Input refers to resources and requirements to create and enable the success of health </w:t>
      </w:r>
      <w:proofErr w:type="spellStart"/>
      <w:r>
        <w:rPr>
          <w:color w:val="231F20"/>
        </w:rPr>
        <w:t>programmes</w:t>
      </w:r>
      <w:proofErr w:type="spellEnd"/>
      <w:r>
        <w:rPr>
          <w:color w:val="231F20"/>
        </w:rPr>
        <w:t xml:space="preserve">. They are the precedent actions that must be taken (invested) for the </w:t>
      </w:r>
      <w:r>
        <w:rPr>
          <w:color w:val="231F20"/>
          <w:spacing w:val="-3"/>
        </w:rPr>
        <w:t xml:space="preserve">health </w:t>
      </w:r>
      <w:r>
        <w:rPr>
          <w:color w:val="231F20"/>
        </w:rPr>
        <w:t>system.</w:t>
      </w:r>
      <w:r>
        <w:rPr>
          <w:color w:val="231F20"/>
          <w:spacing w:val="-30"/>
        </w:rPr>
        <w:t xml:space="preserve"> </w:t>
      </w:r>
      <w:r>
        <w:rPr>
          <w:color w:val="231F20"/>
        </w:rPr>
        <w:t>They</w:t>
      </w:r>
      <w:r>
        <w:rPr>
          <w:color w:val="231F20"/>
          <w:spacing w:val="-25"/>
        </w:rPr>
        <w:t xml:space="preserve"> </w:t>
      </w:r>
      <w:r>
        <w:rPr>
          <w:color w:val="231F20"/>
        </w:rPr>
        <w:t>are</w:t>
      </w:r>
      <w:r>
        <w:rPr>
          <w:color w:val="231F20"/>
          <w:spacing w:val="-25"/>
        </w:rPr>
        <w:t xml:space="preserve"> </w:t>
      </w:r>
      <w:r>
        <w:rPr>
          <w:color w:val="231F20"/>
        </w:rPr>
        <w:t>not</w:t>
      </w:r>
      <w:r>
        <w:rPr>
          <w:color w:val="231F20"/>
          <w:spacing w:val="-25"/>
        </w:rPr>
        <w:t xml:space="preserve"> </w:t>
      </w:r>
      <w:r>
        <w:rPr>
          <w:color w:val="231F20"/>
        </w:rPr>
        <w:t>limited</w:t>
      </w:r>
      <w:r>
        <w:rPr>
          <w:color w:val="231F20"/>
          <w:spacing w:val="-25"/>
        </w:rPr>
        <w:t xml:space="preserve"> </w:t>
      </w:r>
      <w:r>
        <w:rPr>
          <w:color w:val="231F20"/>
        </w:rPr>
        <w:t>to</w:t>
      </w:r>
      <w:r>
        <w:rPr>
          <w:color w:val="231F20"/>
          <w:spacing w:val="-25"/>
        </w:rPr>
        <w:t xml:space="preserve"> </w:t>
      </w:r>
      <w:r>
        <w:rPr>
          <w:color w:val="231F20"/>
        </w:rPr>
        <w:t>physical</w:t>
      </w:r>
      <w:r>
        <w:rPr>
          <w:color w:val="231F20"/>
          <w:spacing w:val="-25"/>
        </w:rPr>
        <w:t xml:space="preserve"> </w:t>
      </w:r>
      <w:r>
        <w:rPr>
          <w:color w:val="231F20"/>
        </w:rPr>
        <w:t>inputs,</w:t>
      </w:r>
      <w:r>
        <w:rPr>
          <w:color w:val="231F20"/>
          <w:spacing w:val="-25"/>
        </w:rPr>
        <w:t xml:space="preserve"> </w:t>
      </w:r>
      <w:r>
        <w:rPr>
          <w:color w:val="231F20"/>
        </w:rPr>
        <w:t>but</w:t>
      </w:r>
      <w:r>
        <w:rPr>
          <w:color w:val="231F20"/>
          <w:spacing w:val="-25"/>
        </w:rPr>
        <w:t xml:space="preserve"> </w:t>
      </w:r>
      <w:r>
        <w:rPr>
          <w:color w:val="231F20"/>
        </w:rPr>
        <w:t>may</w:t>
      </w:r>
      <w:r>
        <w:rPr>
          <w:color w:val="231F20"/>
          <w:spacing w:val="-25"/>
        </w:rPr>
        <w:t xml:space="preserve"> </w:t>
      </w:r>
      <w:r>
        <w:rPr>
          <w:color w:val="231F20"/>
        </w:rPr>
        <w:t>also</w:t>
      </w:r>
      <w:r>
        <w:rPr>
          <w:color w:val="231F20"/>
          <w:spacing w:val="-25"/>
        </w:rPr>
        <w:t xml:space="preserve"> </w:t>
      </w:r>
      <w:r>
        <w:rPr>
          <w:color w:val="231F20"/>
        </w:rPr>
        <w:t>include</w:t>
      </w:r>
      <w:r>
        <w:rPr>
          <w:color w:val="231F20"/>
          <w:spacing w:val="-25"/>
        </w:rPr>
        <w:t xml:space="preserve"> </w:t>
      </w:r>
      <w:r>
        <w:rPr>
          <w:color w:val="231F20"/>
        </w:rPr>
        <w:t>provision</w:t>
      </w:r>
      <w:r>
        <w:rPr>
          <w:color w:val="231F20"/>
          <w:spacing w:val="-26"/>
        </w:rPr>
        <w:t xml:space="preserve"> </w:t>
      </w:r>
      <w:r>
        <w:rPr>
          <w:color w:val="231F20"/>
        </w:rPr>
        <w:t>of</w:t>
      </w:r>
      <w:r>
        <w:rPr>
          <w:color w:val="231F20"/>
          <w:spacing w:val="-25"/>
        </w:rPr>
        <w:t xml:space="preserve"> </w:t>
      </w:r>
      <w:r>
        <w:rPr>
          <w:color w:val="231F20"/>
        </w:rPr>
        <w:t>appropriate institutional</w:t>
      </w:r>
      <w:r>
        <w:rPr>
          <w:color w:val="231F20"/>
          <w:spacing w:val="-26"/>
        </w:rPr>
        <w:t xml:space="preserve"> </w:t>
      </w:r>
      <w:r>
        <w:rPr>
          <w:color w:val="231F20"/>
        </w:rPr>
        <w:t>arrangements,</w:t>
      </w:r>
      <w:r>
        <w:rPr>
          <w:color w:val="231F20"/>
          <w:spacing w:val="-25"/>
        </w:rPr>
        <w:t xml:space="preserve"> </w:t>
      </w:r>
      <w:r>
        <w:rPr>
          <w:color w:val="231F20"/>
        </w:rPr>
        <w:t>policy</w:t>
      </w:r>
      <w:r>
        <w:rPr>
          <w:color w:val="231F20"/>
          <w:spacing w:val="-25"/>
        </w:rPr>
        <w:t xml:space="preserve"> </w:t>
      </w:r>
      <w:r>
        <w:rPr>
          <w:color w:val="231F20"/>
        </w:rPr>
        <w:t>instruments</w:t>
      </w:r>
      <w:r>
        <w:rPr>
          <w:color w:val="231F20"/>
          <w:spacing w:val="-25"/>
        </w:rPr>
        <w:t xml:space="preserve"> </w:t>
      </w:r>
      <w:r>
        <w:rPr>
          <w:color w:val="231F20"/>
        </w:rPr>
        <w:t>and</w:t>
      </w:r>
      <w:r>
        <w:rPr>
          <w:color w:val="231F20"/>
          <w:spacing w:val="-25"/>
        </w:rPr>
        <w:t xml:space="preserve"> </w:t>
      </w:r>
      <w:r>
        <w:rPr>
          <w:color w:val="231F20"/>
        </w:rPr>
        <w:t>legislation.</w:t>
      </w:r>
    </w:p>
    <w:p w14:paraId="31619BBD" w14:textId="77777777" w:rsidR="009948F1" w:rsidRDefault="009948F1">
      <w:pPr>
        <w:pStyle w:val="BodyText"/>
        <w:spacing w:before="3"/>
        <w:rPr>
          <w:sz w:val="23"/>
        </w:rPr>
      </w:pPr>
    </w:p>
    <w:p w14:paraId="08A0670C" w14:textId="77777777" w:rsidR="009948F1" w:rsidRDefault="00BC0563">
      <w:pPr>
        <w:pStyle w:val="ListParagraph"/>
        <w:numPr>
          <w:ilvl w:val="0"/>
          <w:numId w:val="247"/>
        </w:numPr>
        <w:tabs>
          <w:tab w:val="left" w:pos="878"/>
        </w:tabs>
        <w:spacing w:before="1"/>
        <w:rPr>
          <w:color w:val="231F20"/>
        </w:rPr>
      </w:pPr>
      <w:r>
        <w:rPr>
          <w:color w:val="231F20"/>
        </w:rPr>
        <w:t>Process</w:t>
      </w:r>
      <w:r>
        <w:rPr>
          <w:color w:val="231F20"/>
          <w:spacing w:val="-25"/>
        </w:rPr>
        <w:t xml:space="preserve"> </w:t>
      </w:r>
      <w:r>
        <w:rPr>
          <w:color w:val="231F20"/>
        </w:rPr>
        <w:t>database</w:t>
      </w:r>
    </w:p>
    <w:p w14:paraId="0C9DFDFC" w14:textId="77777777" w:rsidR="009948F1" w:rsidRDefault="00BC0563">
      <w:pPr>
        <w:pStyle w:val="BodyText"/>
        <w:spacing w:before="15" w:line="254" w:lineRule="auto"/>
        <w:ind w:left="877" w:right="181"/>
        <w:jc w:val="both"/>
      </w:pPr>
      <w:r>
        <w:rPr>
          <w:color w:val="231F20"/>
        </w:rPr>
        <w:t>Process refers to a set of activities that must be undertaken or actions and rules and regulations that are required to take place. This may include for instance protocols for immunization, for collecting, storing, processing and making available health data, etc.</w:t>
      </w:r>
    </w:p>
    <w:p w14:paraId="24255460" w14:textId="77777777" w:rsidR="009948F1" w:rsidRDefault="009948F1">
      <w:pPr>
        <w:spacing w:line="254" w:lineRule="auto"/>
        <w:jc w:val="both"/>
        <w:sectPr w:rsidR="009948F1">
          <w:pgSz w:w="11910" w:h="16840"/>
          <w:pgMar w:top="1320" w:right="1080" w:bottom="1420" w:left="1120" w:header="0" w:footer="1235" w:gutter="0"/>
          <w:cols w:space="720"/>
        </w:sectPr>
      </w:pPr>
    </w:p>
    <w:p w14:paraId="47229BF6" w14:textId="77777777" w:rsidR="009948F1" w:rsidRDefault="00BC0563">
      <w:pPr>
        <w:pStyle w:val="ListParagraph"/>
        <w:numPr>
          <w:ilvl w:val="0"/>
          <w:numId w:val="247"/>
        </w:numPr>
        <w:tabs>
          <w:tab w:val="left" w:pos="837"/>
        </w:tabs>
        <w:spacing w:before="39"/>
        <w:ind w:left="836" w:hanging="361"/>
        <w:rPr>
          <w:color w:val="231F20"/>
          <w:sz w:val="24"/>
        </w:rPr>
      </w:pPr>
      <w:bookmarkStart w:id="141" w:name="Page_116"/>
      <w:bookmarkEnd w:id="141"/>
      <w:r>
        <w:rPr>
          <w:color w:val="231F20"/>
          <w:sz w:val="24"/>
        </w:rPr>
        <w:lastRenderedPageBreak/>
        <w:t>Output</w:t>
      </w:r>
      <w:r>
        <w:rPr>
          <w:color w:val="231F20"/>
          <w:spacing w:val="-27"/>
          <w:sz w:val="24"/>
        </w:rPr>
        <w:t xml:space="preserve"> </w:t>
      </w:r>
      <w:r>
        <w:rPr>
          <w:color w:val="231F20"/>
          <w:sz w:val="24"/>
        </w:rPr>
        <w:t>database</w:t>
      </w:r>
    </w:p>
    <w:p w14:paraId="15C60D97" w14:textId="77777777" w:rsidR="009948F1" w:rsidRDefault="00BC0563">
      <w:pPr>
        <w:ind w:left="836" w:right="245"/>
        <w:jc w:val="both"/>
        <w:rPr>
          <w:sz w:val="24"/>
        </w:rPr>
      </w:pPr>
      <w:r>
        <w:rPr>
          <w:color w:val="231F20"/>
          <w:sz w:val="24"/>
        </w:rPr>
        <w:t>Output database will concern itself to keeping the time-series data on activities completed in relation to set targets. An example is interval data on immunization status</w:t>
      </w:r>
      <w:r>
        <w:rPr>
          <w:color w:val="231F20"/>
          <w:spacing w:val="-8"/>
          <w:sz w:val="24"/>
        </w:rPr>
        <w:t xml:space="preserve"> </w:t>
      </w:r>
      <w:r>
        <w:rPr>
          <w:color w:val="231F20"/>
          <w:sz w:val="24"/>
        </w:rPr>
        <w:t>of</w:t>
      </w:r>
      <w:r>
        <w:rPr>
          <w:color w:val="231F20"/>
          <w:spacing w:val="-7"/>
          <w:sz w:val="24"/>
        </w:rPr>
        <w:t xml:space="preserve"> </w:t>
      </w:r>
      <w:r>
        <w:rPr>
          <w:color w:val="231F20"/>
          <w:sz w:val="24"/>
        </w:rPr>
        <w:t>children</w:t>
      </w:r>
      <w:r>
        <w:rPr>
          <w:color w:val="231F20"/>
          <w:spacing w:val="-7"/>
          <w:sz w:val="24"/>
        </w:rPr>
        <w:t xml:space="preserve"> </w:t>
      </w:r>
      <w:r>
        <w:rPr>
          <w:color w:val="231F20"/>
          <w:sz w:val="24"/>
        </w:rPr>
        <w:t>under</w:t>
      </w:r>
      <w:r>
        <w:rPr>
          <w:color w:val="231F20"/>
          <w:spacing w:val="-6"/>
          <w:sz w:val="24"/>
        </w:rPr>
        <w:t xml:space="preserve"> </w:t>
      </w:r>
      <w:r>
        <w:rPr>
          <w:color w:val="231F20"/>
          <w:sz w:val="24"/>
        </w:rPr>
        <w:t>5</w:t>
      </w:r>
      <w:r>
        <w:rPr>
          <w:color w:val="231F20"/>
          <w:spacing w:val="-8"/>
          <w:sz w:val="24"/>
        </w:rPr>
        <w:t xml:space="preserve"> </w:t>
      </w:r>
      <w:r>
        <w:rPr>
          <w:color w:val="231F20"/>
          <w:sz w:val="24"/>
        </w:rPr>
        <w:t>years</w:t>
      </w:r>
      <w:r>
        <w:rPr>
          <w:color w:val="231F20"/>
          <w:spacing w:val="-7"/>
          <w:sz w:val="24"/>
        </w:rPr>
        <w:t xml:space="preserve"> </w:t>
      </w:r>
      <w:r>
        <w:rPr>
          <w:color w:val="231F20"/>
          <w:sz w:val="24"/>
        </w:rPr>
        <w:t>of</w:t>
      </w:r>
      <w:r>
        <w:rPr>
          <w:color w:val="231F20"/>
          <w:spacing w:val="-8"/>
          <w:sz w:val="24"/>
        </w:rPr>
        <w:t xml:space="preserve"> </w:t>
      </w:r>
      <w:r>
        <w:rPr>
          <w:color w:val="231F20"/>
          <w:sz w:val="24"/>
        </w:rPr>
        <w:t>age.</w:t>
      </w:r>
      <w:r>
        <w:rPr>
          <w:color w:val="231F20"/>
          <w:spacing w:val="-20"/>
          <w:sz w:val="24"/>
        </w:rPr>
        <w:t xml:space="preserve"> </w:t>
      </w:r>
      <w:r>
        <w:rPr>
          <w:color w:val="231F20"/>
          <w:sz w:val="24"/>
        </w:rPr>
        <w:t>Another</w:t>
      </w:r>
      <w:r>
        <w:rPr>
          <w:color w:val="231F20"/>
          <w:spacing w:val="-7"/>
          <w:sz w:val="24"/>
        </w:rPr>
        <w:t xml:space="preserve"> </w:t>
      </w:r>
      <w:r>
        <w:rPr>
          <w:color w:val="231F20"/>
          <w:sz w:val="24"/>
        </w:rPr>
        <w:t>example</w:t>
      </w:r>
      <w:r>
        <w:rPr>
          <w:color w:val="231F20"/>
          <w:spacing w:val="-7"/>
          <w:sz w:val="24"/>
        </w:rPr>
        <w:t xml:space="preserve"> </w:t>
      </w:r>
      <w:r>
        <w:rPr>
          <w:color w:val="231F20"/>
          <w:sz w:val="24"/>
        </w:rPr>
        <w:t>is</w:t>
      </w:r>
      <w:r>
        <w:rPr>
          <w:color w:val="231F20"/>
          <w:spacing w:val="-7"/>
          <w:sz w:val="24"/>
        </w:rPr>
        <w:t xml:space="preserve"> </w:t>
      </w:r>
      <w:r>
        <w:rPr>
          <w:color w:val="231F20"/>
          <w:sz w:val="24"/>
        </w:rPr>
        <w:t>the</w:t>
      </w:r>
      <w:r>
        <w:rPr>
          <w:color w:val="231F20"/>
          <w:spacing w:val="-8"/>
          <w:sz w:val="24"/>
        </w:rPr>
        <w:t xml:space="preserve"> </w:t>
      </w:r>
      <w:r>
        <w:rPr>
          <w:color w:val="231F20"/>
          <w:sz w:val="24"/>
        </w:rPr>
        <w:t>efficiency</w:t>
      </w:r>
      <w:r>
        <w:rPr>
          <w:color w:val="231F20"/>
          <w:spacing w:val="-7"/>
          <w:sz w:val="24"/>
        </w:rPr>
        <w:t xml:space="preserve"> </w:t>
      </w:r>
      <w:r>
        <w:rPr>
          <w:color w:val="231F20"/>
          <w:sz w:val="24"/>
        </w:rPr>
        <w:t>of</w:t>
      </w:r>
      <w:r>
        <w:rPr>
          <w:color w:val="231F20"/>
          <w:spacing w:val="-8"/>
          <w:sz w:val="24"/>
        </w:rPr>
        <w:t xml:space="preserve"> </w:t>
      </w:r>
      <w:r>
        <w:rPr>
          <w:color w:val="231F20"/>
          <w:sz w:val="24"/>
        </w:rPr>
        <w:t xml:space="preserve">health intervention </w:t>
      </w:r>
      <w:proofErr w:type="spellStart"/>
      <w:r>
        <w:rPr>
          <w:color w:val="231F20"/>
          <w:sz w:val="24"/>
        </w:rPr>
        <w:t>programmes</w:t>
      </w:r>
      <w:proofErr w:type="spellEnd"/>
      <w:r>
        <w:rPr>
          <w:color w:val="231F20"/>
          <w:sz w:val="24"/>
        </w:rPr>
        <w:t xml:space="preserve">, e.g. the eradication of poliomyelitis and the control </w:t>
      </w:r>
      <w:r>
        <w:rPr>
          <w:color w:val="231F20"/>
          <w:spacing w:val="-8"/>
          <w:sz w:val="24"/>
        </w:rPr>
        <w:t xml:space="preserve">of </w:t>
      </w:r>
      <w:r>
        <w:rPr>
          <w:color w:val="231F20"/>
          <w:sz w:val="24"/>
        </w:rPr>
        <w:t>tuberculosis.</w:t>
      </w:r>
    </w:p>
    <w:p w14:paraId="6A041426" w14:textId="77777777" w:rsidR="009948F1" w:rsidRDefault="009948F1">
      <w:pPr>
        <w:pStyle w:val="BodyText"/>
        <w:rPr>
          <w:sz w:val="24"/>
        </w:rPr>
      </w:pPr>
    </w:p>
    <w:p w14:paraId="3985DBC8" w14:textId="77777777" w:rsidR="009948F1" w:rsidRDefault="00BC0563">
      <w:pPr>
        <w:pStyle w:val="ListParagraph"/>
        <w:numPr>
          <w:ilvl w:val="0"/>
          <w:numId w:val="247"/>
        </w:numPr>
        <w:tabs>
          <w:tab w:val="left" w:pos="837"/>
        </w:tabs>
        <w:ind w:left="836" w:hanging="361"/>
        <w:rPr>
          <w:color w:val="231F20"/>
          <w:sz w:val="24"/>
        </w:rPr>
      </w:pPr>
      <w:r>
        <w:rPr>
          <w:color w:val="231F20"/>
          <w:sz w:val="24"/>
        </w:rPr>
        <w:t>Outcome</w:t>
      </w:r>
      <w:r>
        <w:rPr>
          <w:color w:val="231F20"/>
          <w:spacing w:val="-27"/>
          <w:sz w:val="24"/>
        </w:rPr>
        <w:t xml:space="preserve"> </w:t>
      </w:r>
      <w:r>
        <w:rPr>
          <w:color w:val="231F20"/>
          <w:sz w:val="24"/>
        </w:rPr>
        <w:t>or</w:t>
      </w:r>
      <w:r>
        <w:rPr>
          <w:color w:val="231F20"/>
          <w:spacing w:val="-27"/>
          <w:sz w:val="24"/>
        </w:rPr>
        <w:t xml:space="preserve"> </w:t>
      </w:r>
      <w:r>
        <w:rPr>
          <w:color w:val="231F20"/>
          <w:sz w:val="24"/>
        </w:rPr>
        <w:t>impact</w:t>
      </w:r>
      <w:r>
        <w:rPr>
          <w:color w:val="231F20"/>
          <w:spacing w:val="-27"/>
          <w:sz w:val="24"/>
        </w:rPr>
        <w:t xml:space="preserve"> </w:t>
      </w:r>
      <w:r>
        <w:rPr>
          <w:color w:val="231F20"/>
          <w:sz w:val="24"/>
        </w:rPr>
        <w:t>database</w:t>
      </w:r>
    </w:p>
    <w:p w14:paraId="5F4D69A9" w14:textId="77777777" w:rsidR="009948F1" w:rsidRDefault="00BC0563">
      <w:pPr>
        <w:ind w:left="836" w:right="240"/>
        <w:rPr>
          <w:sz w:val="24"/>
        </w:rPr>
      </w:pPr>
      <w:r>
        <w:rPr>
          <w:color w:val="231F20"/>
          <w:sz w:val="24"/>
        </w:rPr>
        <w:t>These</w:t>
      </w:r>
      <w:r>
        <w:rPr>
          <w:color w:val="231F20"/>
          <w:spacing w:val="-9"/>
          <w:sz w:val="24"/>
        </w:rPr>
        <w:t xml:space="preserve"> </w:t>
      </w:r>
      <w:r>
        <w:rPr>
          <w:color w:val="231F20"/>
          <w:sz w:val="24"/>
        </w:rPr>
        <w:t>are</w:t>
      </w:r>
      <w:r>
        <w:rPr>
          <w:color w:val="231F20"/>
          <w:spacing w:val="-8"/>
          <w:sz w:val="24"/>
        </w:rPr>
        <w:t xml:space="preserve"> </w:t>
      </w:r>
      <w:r>
        <w:rPr>
          <w:color w:val="231F20"/>
          <w:sz w:val="24"/>
        </w:rPr>
        <w:t>concerned</w:t>
      </w:r>
      <w:r>
        <w:rPr>
          <w:color w:val="231F20"/>
          <w:spacing w:val="-8"/>
          <w:sz w:val="24"/>
        </w:rPr>
        <w:t xml:space="preserve"> </w:t>
      </w:r>
      <w:r>
        <w:rPr>
          <w:color w:val="231F20"/>
          <w:sz w:val="24"/>
        </w:rPr>
        <w:t>with</w:t>
      </w:r>
      <w:r>
        <w:rPr>
          <w:color w:val="231F20"/>
          <w:spacing w:val="-8"/>
          <w:sz w:val="24"/>
        </w:rPr>
        <w:t xml:space="preserve"> </w:t>
      </w:r>
      <w:r>
        <w:rPr>
          <w:color w:val="231F20"/>
          <w:sz w:val="24"/>
        </w:rPr>
        <w:t>health</w:t>
      </w:r>
      <w:r>
        <w:rPr>
          <w:color w:val="231F20"/>
          <w:spacing w:val="-8"/>
          <w:sz w:val="24"/>
        </w:rPr>
        <w:t xml:space="preserve"> </w:t>
      </w:r>
      <w:r>
        <w:rPr>
          <w:color w:val="231F20"/>
          <w:sz w:val="24"/>
        </w:rPr>
        <w:t>status</w:t>
      </w:r>
      <w:r>
        <w:rPr>
          <w:color w:val="231F20"/>
          <w:spacing w:val="-8"/>
          <w:sz w:val="24"/>
        </w:rPr>
        <w:t xml:space="preserve"> </w:t>
      </w:r>
      <w:r>
        <w:rPr>
          <w:color w:val="231F20"/>
          <w:sz w:val="24"/>
        </w:rPr>
        <w:t>measures</w:t>
      </w:r>
      <w:r>
        <w:rPr>
          <w:color w:val="231F20"/>
          <w:spacing w:val="-8"/>
          <w:sz w:val="24"/>
        </w:rPr>
        <w:t xml:space="preserve"> </w:t>
      </w:r>
      <w:r>
        <w:rPr>
          <w:color w:val="231F20"/>
          <w:sz w:val="24"/>
        </w:rPr>
        <w:t>or</w:t>
      </w:r>
      <w:r>
        <w:rPr>
          <w:color w:val="231F20"/>
          <w:spacing w:val="-8"/>
          <w:sz w:val="24"/>
        </w:rPr>
        <w:t xml:space="preserve"> </w:t>
      </w:r>
      <w:r>
        <w:rPr>
          <w:color w:val="231F20"/>
          <w:sz w:val="24"/>
        </w:rPr>
        <w:t>indicators.</w:t>
      </w:r>
      <w:r>
        <w:rPr>
          <w:color w:val="231F20"/>
          <w:spacing w:val="-21"/>
          <w:sz w:val="24"/>
        </w:rPr>
        <w:t xml:space="preserve"> </w:t>
      </w:r>
      <w:r>
        <w:rPr>
          <w:color w:val="231F20"/>
          <w:sz w:val="24"/>
        </w:rPr>
        <w:t>An</w:t>
      </w:r>
      <w:r>
        <w:rPr>
          <w:color w:val="231F20"/>
          <w:spacing w:val="-8"/>
          <w:sz w:val="24"/>
        </w:rPr>
        <w:t xml:space="preserve"> </w:t>
      </w:r>
      <w:r>
        <w:rPr>
          <w:color w:val="231F20"/>
          <w:sz w:val="24"/>
        </w:rPr>
        <w:t>example</w:t>
      </w:r>
      <w:r>
        <w:rPr>
          <w:color w:val="231F20"/>
          <w:spacing w:val="-9"/>
          <w:sz w:val="24"/>
        </w:rPr>
        <w:t xml:space="preserve"> </w:t>
      </w:r>
      <w:r>
        <w:rPr>
          <w:color w:val="231F20"/>
          <w:sz w:val="24"/>
        </w:rPr>
        <w:t>is</w:t>
      </w:r>
      <w:r>
        <w:rPr>
          <w:color w:val="231F20"/>
          <w:spacing w:val="-8"/>
          <w:sz w:val="24"/>
        </w:rPr>
        <w:t xml:space="preserve"> </w:t>
      </w:r>
      <w:r>
        <w:rPr>
          <w:color w:val="231F20"/>
          <w:sz w:val="24"/>
        </w:rPr>
        <w:t>the level</w:t>
      </w:r>
      <w:r>
        <w:rPr>
          <w:color w:val="231F20"/>
          <w:spacing w:val="-9"/>
          <w:sz w:val="24"/>
        </w:rPr>
        <w:t xml:space="preserve"> </w:t>
      </w:r>
      <w:r>
        <w:rPr>
          <w:color w:val="231F20"/>
          <w:sz w:val="24"/>
        </w:rPr>
        <w:t>of</w:t>
      </w:r>
      <w:r>
        <w:rPr>
          <w:color w:val="231F20"/>
          <w:spacing w:val="-8"/>
          <w:sz w:val="24"/>
        </w:rPr>
        <w:t xml:space="preserve"> </w:t>
      </w:r>
      <w:r>
        <w:rPr>
          <w:color w:val="231F20"/>
          <w:sz w:val="24"/>
        </w:rPr>
        <w:t>morbidity</w:t>
      </w:r>
      <w:r>
        <w:rPr>
          <w:color w:val="231F20"/>
          <w:spacing w:val="-8"/>
          <w:sz w:val="24"/>
        </w:rPr>
        <w:t xml:space="preserve"> </w:t>
      </w:r>
      <w:r>
        <w:rPr>
          <w:color w:val="231F20"/>
          <w:sz w:val="24"/>
        </w:rPr>
        <w:t>and</w:t>
      </w:r>
      <w:r>
        <w:rPr>
          <w:color w:val="231F20"/>
          <w:spacing w:val="-8"/>
          <w:sz w:val="24"/>
        </w:rPr>
        <w:t xml:space="preserve"> </w:t>
      </w:r>
      <w:r>
        <w:rPr>
          <w:color w:val="231F20"/>
          <w:sz w:val="24"/>
        </w:rPr>
        <w:t>mortality</w:t>
      </w:r>
      <w:r>
        <w:rPr>
          <w:color w:val="231F20"/>
          <w:spacing w:val="-8"/>
          <w:sz w:val="24"/>
        </w:rPr>
        <w:t xml:space="preserve"> </w:t>
      </w:r>
      <w:r>
        <w:rPr>
          <w:color w:val="231F20"/>
          <w:sz w:val="24"/>
        </w:rPr>
        <w:t>for</w:t>
      </w:r>
      <w:r>
        <w:rPr>
          <w:color w:val="231F20"/>
          <w:spacing w:val="-8"/>
          <w:sz w:val="24"/>
        </w:rPr>
        <w:t xml:space="preserve"> </w:t>
      </w:r>
      <w:r>
        <w:rPr>
          <w:color w:val="231F20"/>
          <w:sz w:val="24"/>
        </w:rPr>
        <w:t>a</w:t>
      </w:r>
      <w:r>
        <w:rPr>
          <w:color w:val="231F20"/>
          <w:spacing w:val="-8"/>
          <w:sz w:val="24"/>
        </w:rPr>
        <w:t xml:space="preserve"> </w:t>
      </w:r>
      <w:r>
        <w:rPr>
          <w:color w:val="231F20"/>
          <w:sz w:val="24"/>
        </w:rPr>
        <w:t>given</w:t>
      </w:r>
      <w:r>
        <w:rPr>
          <w:color w:val="231F20"/>
          <w:spacing w:val="-8"/>
          <w:sz w:val="24"/>
        </w:rPr>
        <w:t xml:space="preserve"> </w:t>
      </w:r>
      <w:r>
        <w:rPr>
          <w:color w:val="231F20"/>
          <w:sz w:val="24"/>
        </w:rPr>
        <w:t>condition</w:t>
      </w:r>
      <w:r>
        <w:rPr>
          <w:color w:val="231F20"/>
          <w:spacing w:val="-8"/>
          <w:sz w:val="24"/>
        </w:rPr>
        <w:t xml:space="preserve"> </w:t>
      </w:r>
      <w:r>
        <w:rPr>
          <w:color w:val="231F20"/>
          <w:sz w:val="24"/>
        </w:rPr>
        <w:t>and</w:t>
      </w:r>
      <w:r>
        <w:rPr>
          <w:color w:val="231F20"/>
          <w:spacing w:val="-9"/>
          <w:sz w:val="24"/>
        </w:rPr>
        <w:t xml:space="preserve"> </w:t>
      </w:r>
      <w:r>
        <w:rPr>
          <w:color w:val="231F20"/>
          <w:sz w:val="24"/>
        </w:rPr>
        <w:t>specific</w:t>
      </w:r>
      <w:r>
        <w:rPr>
          <w:color w:val="231F20"/>
          <w:spacing w:val="-8"/>
          <w:sz w:val="24"/>
        </w:rPr>
        <w:t xml:space="preserve"> </w:t>
      </w:r>
      <w:r>
        <w:rPr>
          <w:color w:val="231F20"/>
          <w:sz w:val="24"/>
        </w:rPr>
        <w:t>target</w:t>
      </w:r>
      <w:r>
        <w:rPr>
          <w:color w:val="231F20"/>
          <w:spacing w:val="-8"/>
          <w:sz w:val="24"/>
        </w:rPr>
        <w:t xml:space="preserve"> </w:t>
      </w:r>
      <w:r>
        <w:rPr>
          <w:color w:val="231F20"/>
          <w:sz w:val="24"/>
        </w:rPr>
        <w:t>population,</w:t>
      </w:r>
    </w:p>
    <w:p w14:paraId="37DB68B6" w14:textId="77777777" w:rsidR="009948F1" w:rsidRDefault="00BC0563">
      <w:pPr>
        <w:ind w:left="836"/>
        <w:rPr>
          <w:sz w:val="24"/>
        </w:rPr>
      </w:pPr>
      <w:proofErr w:type="gramStart"/>
      <w:r>
        <w:rPr>
          <w:color w:val="231F20"/>
          <w:sz w:val="24"/>
        </w:rPr>
        <w:t>e.g.</w:t>
      </w:r>
      <w:proofErr w:type="gramEnd"/>
      <w:r>
        <w:rPr>
          <w:color w:val="231F20"/>
          <w:sz w:val="24"/>
        </w:rPr>
        <w:t xml:space="preserve"> under-5 mortality rate, maternal mortality rate and prevalence of HIV/AIDS.</w:t>
      </w:r>
    </w:p>
    <w:p w14:paraId="774CF2AB" w14:textId="77777777" w:rsidR="009948F1" w:rsidRDefault="009948F1">
      <w:pPr>
        <w:pStyle w:val="BodyText"/>
        <w:rPr>
          <w:sz w:val="24"/>
        </w:rPr>
      </w:pPr>
    </w:p>
    <w:p w14:paraId="5E06812E" w14:textId="77777777" w:rsidR="009948F1" w:rsidRDefault="00BC0563">
      <w:pPr>
        <w:ind w:left="115" w:right="245"/>
        <w:jc w:val="both"/>
        <w:rPr>
          <w:sz w:val="24"/>
        </w:rPr>
      </w:pPr>
      <w:r>
        <w:rPr>
          <w:color w:val="231F20"/>
          <w:sz w:val="24"/>
        </w:rPr>
        <w:t>Overall statutory responsibility for monitoring, evaluating and reporting on SSHDP is vested in the Department of Planning, Research and Statistics (DPRS). Health priority areas implementing agencies shall work in concert with the DPRS to establish a simple flexible and acceptable monitoring and evaluation protocols.</w:t>
      </w:r>
    </w:p>
    <w:p w14:paraId="3A96B3AD" w14:textId="77777777" w:rsidR="009948F1" w:rsidRDefault="009948F1">
      <w:pPr>
        <w:pStyle w:val="BodyText"/>
        <w:rPr>
          <w:sz w:val="24"/>
        </w:rPr>
      </w:pPr>
    </w:p>
    <w:p w14:paraId="4277D840" w14:textId="77777777" w:rsidR="009948F1" w:rsidRDefault="00BC0563">
      <w:pPr>
        <w:pStyle w:val="ListParagraph"/>
        <w:numPr>
          <w:ilvl w:val="1"/>
          <w:numId w:val="248"/>
        </w:numPr>
        <w:tabs>
          <w:tab w:val="left" w:pos="836"/>
        </w:tabs>
        <w:spacing w:before="1"/>
        <w:ind w:left="835" w:hanging="721"/>
        <w:rPr>
          <w:b/>
          <w:color w:val="231F20"/>
          <w:sz w:val="24"/>
        </w:rPr>
      </w:pPr>
      <w:r>
        <w:rPr>
          <w:b/>
          <w:color w:val="231F20"/>
          <w:sz w:val="24"/>
        </w:rPr>
        <w:t>Costing</w:t>
      </w:r>
      <w:r>
        <w:rPr>
          <w:b/>
          <w:color w:val="231F20"/>
          <w:spacing w:val="-27"/>
          <w:sz w:val="24"/>
        </w:rPr>
        <w:t xml:space="preserve"> </w:t>
      </w:r>
      <w:r>
        <w:rPr>
          <w:b/>
          <w:color w:val="231F20"/>
          <w:sz w:val="24"/>
        </w:rPr>
        <w:t>the</w:t>
      </w:r>
      <w:r>
        <w:rPr>
          <w:b/>
          <w:color w:val="231F20"/>
          <w:spacing w:val="-27"/>
          <w:sz w:val="24"/>
        </w:rPr>
        <w:t xml:space="preserve"> </w:t>
      </w:r>
      <w:r>
        <w:rPr>
          <w:b/>
          <w:color w:val="231F20"/>
          <w:sz w:val="24"/>
        </w:rPr>
        <w:t>monitoring</w:t>
      </w:r>
      <w:r>
        <w:rPr>
          <w:b/>
          <w:color w:val="231F20"/>
          <w:spacing w:val="-27"/>
          <w:sz w:val="24"/>
        </w:rPr>
        <w:t xml:space="preserve"> </w:t>
      </w:r>
      <w:r>
        <w:rPr>
          <w:b/>
          <w:color w:val="231F20"/>
          <w:sz w:val="24"/>
        </w:rPr>
        <w:t>and</w:t>
      </w:r>
      <w:r>
        <w:rPr>
          <w:b/>
          <w:color w:val="231F20"/>
          <w:spacing w:val="-27"/>
          <w:sz w:val="24"/>
        </w:rPr>
        <w:t xml:space="preserve"> </w:t>
      </w:r>
      <w:r>
        <w:rPr>
          <w:b/>
          <w:color w:val="231F20"/>
          <w:sz w:val="24"/>
        </w:rPr>
        <w:t>evaluation</w:t>
      </w:r>
      <w:r>
        <w:rPr>
          <w:b/>
          <w:color w:val="231F20"/>
          <w:spacing w:val="-27"/>
          <w:sz w:val="24"/>
        </w:rPr>
        <w:t xml:space="preserve"> </w:t>
      </w:r>
      <w:r>
        <w:rPr>
          <w:b/>
          <w:color w:val="231F20"/>
          <w:sz w:val="24"/>
        </w:rPr>
        <w:t>component</w:t>
      </w:r>
      <w:r>
        <w:rPr>
          <w:b/>
          <w:color w:val="231F20"/>
          <w:spacing w:val="-27"/>
          <w:sz w:val="24"/>
        </w:rPr>
        <w:t xml:space="preserve"> </w:t>
      </w:r>
      <w:r>
        <w:rPr>
          <w:b/>
          <w:color w:val="231F20"/>
          <w:sz w:val="24"/>
        </w:rPr>
        <w:t>and</w:t>
      </w:r>
      <w:r>
        <w:rPr>
          <w:b/>
          <w:color w:val="231F20"/>
          <w:spacing w:val="-27"/>
          <w:sz w:val="24"/>
        </w:rPr>
        <w:t xml:space="preserve"> </w:t>
      </w:r>
      <w:r>
        <w:rPr>
          <w:b/>
          <w:color w:val="231F20"/>
          <w:sz w:val="24"/>
        </w:rPr>
        <w:t>plan</w:t>
      </w:r>
    </w:p>
    <w:p w14:paraId="0AAFF861" w14:textId="77777777" w:rsidR="009948F1" w:rsidRDefault="00BC0563">
      <w:pPr>
        <w:ind w:left="115" w:right="246"/>
        <w:jc w:val="both"/>
        <w:rPr>
          <w:sz w:val="24"/>
        </w:rPr>
      </w:pPr>
      <w:r>
        <w:rPr>
          <w:color w:val="231F20"/>
          <w:sz w:val="24"/>
        </w:rPr>
        <w:t>The</w:t>
      </w:r>
      <w:r>
        <w:rPr>
          <w:color w:val="231F20"/>
          <w:spacing w:val="-28"/>
          <w:sz w:val="24"/>
        </w:rPr>
        <w:t xml:space="preserve"> </w:t>
      </w:r>
      <w:r>
        <w:rPr>
          <w:color w:val="231F20"/>
          <w:sz w:val="24"/>
        </w:rPr>
        <w:t>central</w:t>
      </w:r>
      <w:r>
        <w:rPr>
          <w:color w:val="231F20"/>
          <w:spacing w:val="-27"/>
          <w:sz w:val="24"/>
        </w:rPr>
        <w:t xml:space="preserve"> </w:t>
      </w:r>
      <w:r>
        <w:rPr>
          <w:color w:val="231F20"/>
          <w:sz w:val="24"/>
        </w:rPr>
        <w:t>M</w:t>
      </w:r>
      <w:r>
        <w:rPr>
          <w:color w:val="231F20"/>
          <w:spacing w:val="-27"/>
          <w:sz w:val="24"/>
        </w:rPr>
        <w:t xml:space="preserve"> </w:t>
      </w:r>
      <w:r>
        <w:rPr>
          <w:color w:val="231F20"/>
          <w:sz w:val="24"/>
        </w:rPr>
        <w:t>&amp;</w:t>
      </w:r>
      <w:r>
        <w:rPr>
          <w:color w:val="231F20"/>
          <w:spacing w:val="-27"/>
          <w:sz w:val="24"/>
        </w:rPr>
        <w:t xml:space="preserve"> </w:t>
      </w:r>
      <w:r>
        <w:rPr>
          <w:color w:val="231F20"/>
          <w:sz w:val="24"/>
        </w:rPr>
        <w:t>E</w:t>
      </w:r>
      <w:r>
        <w:rPr>
          <w:color w:val="231F20"/>
          <w:spacing w:val="-27"/>
          <w:sz w:val="24"/>
        </w:rPr>
        <w:t xml:space="preserve"> </w:t>
      </w:r>
      <w:r>
        <w:rPr>
          <w:color w:val="231F20"/>
          <w:sz w:val="24"/>
        </w:rPr>
        <w:t>unit</w:t>
      </w:r>
      <w:r>
        <w:rPr>
          <w:color w:val="231F20"/>
          <w:spacing w:val="-27"/>
          <w:sz w:val="24"/>
        </w:rPr>
        <w:t xml:space="preserve"> </w:t>
      </w:r>
      <w:r>
        <w:rPr>
          <w:color w:val="231F20"/>
          <w:sz w:val="24"/>
        </w:rPr>
        <w:t>of</w:t>
      </w:r>
      <w:r>
        <w:rPr>
          <w:color w:val="231F20"/>
          <w:spacing w:val="-27"/>
          <w:sz w:val="24"/>
        </w:rPr>
        <w:t xml:space="preserve"> </w:t>
      </w:r>
      <w:r>
        <w:rPr>
          <w:color w:val="231F20"/>
          <w:sz w:val="24"/>
        </w:rPr>
        <w:t>the</w:t>
      </w:r>
      <w:r>
        <w:rPr>
          <w:color w:val="231F20"/>
          <w:spacing w:val="-27"/>
          <w:sz w:val="24"/>
        </w:rPr>
        <w:t xml:space="preserve"> </w:t>
      </w:r>
      <w:r>
        <w:rPr>
          <w:color w:val="231F20"/>
          <w:sz w:val="24"/>
        </w:rPr>
        <w:t>SMOH</w:t>
      </w:r>
      <w:r>
        <w:rPr>
          <w:color w:val="231F20"/>
          <w:spacing w:val="-27"/>
          <w:sz w:val="24"/>
        </w:rPr>
        <w:t xml:space="preserve"> </w:t>
      </w:r>
      <w:r>
        <w:rPr>
          <w:color w:val="231F20"/>
          <w:sz w:val="24"/>
        </w:rPr>
        <w:t>oversees</w:t>
      </w:r>
      <w:r>
        <w:rPr>
          <w:color w:val="231F20"/>
          <w:spacing w:val="-27"/>
          <w:sz w:val="24"/>
        </w:rPr>
        <w:t xml:space="preserve"> </w:t>
      </w:r>
      <w:r>
        <w:rPr>
          <w:color w:val="231F20"/>
          <w:sz w:val="24"/>
        </w:rPr>
        <w:t>the</w:t>
      </w:r>
      <w:r>
        <w:rPr>
          <w:color w:val="231F20"/>
          <w:spacing w:val="-27"/>
          <w:sz w:val="24"/>
        </w:rPr>
        <w:t xml:space="preserve"> </w:t>
      </w:r>
      <w:r>
        <w:rPr>
          <w:color w:val="231F20"/>
          <w:sz w:val="24"/>
        </w:rPr>
        <w:t>entire</w:t>
      </w:r>
      <w:r>
        <w:rPr>
          <w:color w:val="231F20"/>
          <w:spacing w:val="-27"/>
          <w:sz w:val="24"/>
        </w:rPr>
        <w:t xml:space="preserve"> </w:t>
      </w:r>
      <w:r>
        <w:rPr>
          <w:color w:val="231F20"/>
          <w:sz w:val="24"/>
        </w:rPr>
        <w:t>monitoring</w:t>
      </w:r>
      <w:r>
        <w:rPr>
          <w:color w:val="231F20"/>
          <w:spacing w:val="-28"/>
          <w:sz w:val="24"/>
        </w:rPr>
        <w:t xml:space="preserve"> </w:t>
      </w:r>
      <w:r>
        <w:rPr>
          <w:color w:val="231F20"/>
          <w:sz w:val="24"/>
        </w:rPr>
        <w:t>and</w:t>
      </w:r>
      <w:r>
        <w:rPr>
          <w:color w:val="231F20"/>
          <w:spacing w:val="-27"/>
          <w:sz w:val="24"/>
        </w:rPr>
        <w:t xml:space="preserve"> </w:t>
      </w:r>
      <w:r>
        <w:rPr>
          <w:color w:val="231F20"/>
          <w:sz w:val="24"/>
        </w:rPr>
        <w:t>evaluation</w:t>
      </w:r>
      <w:r>
        <w:rPr>
          <w:color w:val="231F20"/>
          <w:spacing w:val="-27"/>
          <w:sz w:val="24"/>
        </w:rPr>
        <w:t xml:space="preserve"> </w:t>
      </w:r>
      <w:r>
        <w:rPr>
          <w:color w:val="231F20"/>
          <w:sz w:val="24"/>
        </w:rPr>
        <w:t>activities in</w:t>
      </w:r>
      <w:r>
        <w:rPr>
          <w:color w:val="231F20"/>
          <w:spacing w:val="-14"/>
          <w:sz w:val="24"/>
        </w:rPr>
        <w:t xml:space="preserve"> </w:t>
      </w:r>
      <w:r>
        <w:rPr>
          <w:color w:val="231F20"/>
          <w:sz w:val="24"/>
        </w:rPr>
        <w:t>the</w:t>
      </w:r>
      <w:r>
        <w:rPr>
          <w:color w:val="231F20"/>
          <w:spacing w:val="-14"/>
          <w:sz w:val="24"/>
        </w:rPr>
        <w:t xml:space="preserve"> </w:t>
      </w:r>
      <w:r>
        <w:rPr>
          <w:color w:val="231F20"/>
          <w:sz w:val="24"/>
        </w:rPr>
        <w:t>State.</w:t>
      </w:r>
      <w:r>
        <w:rPr>
          <w:color w:val="231F20"/>
          <w:spacing w:val="-15"/>
          <w:sz w:val="24"/>
        </w:rPr>
        <w:t xml:space="preserve"> </w:t>
      </w:r>
      <w:r>
        <w:rPr>
          <w:color w:val="231F20"/>
          <w:sz w:val="24"/>
        </w:rPr>
        <w:t>Each</w:t>
      </w:r>
      <w:r>
        <w:rPr>
          <w:color w:val="231F20"/>
          <w:spacing w:val="-14"/>
          <w:sz w:val="24"/>
        </w:rPr>
        <w:t xml:space="preserve"> </w:t>
      </w:r>
      <w:r>
        <w:rPr>
          <w:color w:val="231F20"/>
          <w:sz w:val="24"/>
        </w:rPr>
        <w:t>department</w:t>
      </w:r>
      <w:r>
        <w:rPr>
          <w:color w:val="231F20"/>
          <w:spacing w:val="-14"/>
          <w:sz w:val="24"/>
        </w:rPr>
        <w:t xml:space="preserve"> </w:t>
      </w:r>
      <w:r>
        <w:rPr>
          <w:color w:val="231F20"/>
          <w:sz w:val="24"/>
        </w:rPr>
        <w:t>and</w:t>
      </w:r>
      <w:r>
        <w:rPr>
          <w:color w:val="231F20"/>
          <w:spacing w:val="-14"/>
          <w:sz w:val="24"/>
        </w:rPr>
        <w:t xml:space="preserve"> </w:t>
      </w:r>
      <w:r>
        <w:rPr>
          <w:color w:val="231F20"/>
          <w:sz w:val="24"/>
        </w:rPr>
        <w:t>unit</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SMOH,</w:t>
      </w:r>
      <w:r>
        <w:rPr>
          <w:color w:val="231F20"/>
          <w:spacing w:val="-15"/>
          <w:sz w:val="24"/>
        </w:rPr>
        <w:t xml:space="preserve"> </w:t>
      </w:r>
      <w:r>
        <w:rPr>
          <w:color w:val="231F20"/>
          <w:sz w:val="24"/>
        </w:rPr>
        <w:t>its</w:t>
      </w:r>
      <w:r>
        <w:rPr>
          <w:color w:val="231F20"/>
          <w:spacing w:val="-14"/>
          <w:sz w:val="24"/>
        </w:rPr>
        <w:t xml:space="preserve"> </w:t>
      </w:r>
      <w:r>
        <w:rPr>
          <w:color w:val="231F20"/>
          <w:sz w:val="24"/>
        </w:rPr>
        <w:t>Parastatals</w:t>
      </w:r>
      <w:r>
        <w:rPr>
          <w:color w:val="231F20"/>
          <w:spacing w:val="-14"/>
          <w:sz w:val="24"/>
        </w:rPr>
        <w:t xml:space="preserve"> </w:t>
      </w:r>
      <w:r>
        <w:rPr>
          <w:color w:val="231F20"/>
          <w:sz w:val="24"/>
        </w:rPr>
        <w:t>and</w:t>
      </w:r>
      <w:r>
        <w:rPr>
          <w:color w:val="231F20"/>
          <w:spacing w:val="-14"/>
          <w:sz w:val="24"/>
        </w:rPr>
        <w:t xml:space="preserve"> </w:t>
      </w:r>
      <w:r>
        <w:rPr>
          <w:color w:val="231F20"/>
          <w:sz w:val="24"/>
        </w:rPr>
        <w:t>the</w:t>
      </w:r>
      <w:r>
        <w:rPr>
          <w:color w:val="231F20"/>
          <w:spacing w:val="-14"/>
          <w:sz w:val="24"/>
        </w:rPr>
        <w:t xml:space="preserve"> </w:t>
      </w:r>
      <w:r>
        <w:rPr>
          <w:color w:val="231F20"/>
          <w:sz w:val="24"/>
        </w:rPr>
        <w:t>23</w:t>
      </w:r>
      <w:r>
        <w:rPr>
          <w:color w:val="231F20"/>
          <w:spacing w:val="-14"/>
          <w:sz w:val="24"/>
        </w:rPr>
        <w:t xml:space="preserve"> </w:t>
      </w:r>
      <w:r>
        <w:rPr>
          <w:color w:val="231F20"/>
          <w:sz w:val="24"/>
        </w:rPr>
        <w:t>LGAs</w:t>
      </w:r>
      <w:r>
        <w:rPr>
          <w:color w:val="231F20"/>
          <w:spacing w:val="-13"/>
          <w:sz w:val="24"/>
        </w:rPr>
        <w:t xml:space="preserve"> </w:t>
      </w:r>
      <w:r>
        <w:rPr>
          <w:color w:val="231F20"/>
          <w:spacing w:val="-4"/>
          <w:sz w:val="24"/>
        </w:rPr>
        <w:t xml:space="preserve">also </w:t>
      </w:r>
      <w:r>
        <w:rPr>
          <w:color w:val="231F20"/>
          <w:sz w:val="24"/>
        </w:rPr>
        <w:t>have</w:t>
      </w:r>
      <w:r>
        <w:rPr>
          <w:color w:val="231F20"/>
          <w:spacing w:val="-18"/>
          <w:sz w:val="24"/>
        </w:rPr>
        <w:t xml:space="preserve"> </w:t>
      </w:r>
      <w:r>
        <w:rPr>
          <w:color w:val="231F20"/>
          <w:sz w:val="24"/>
        </w:rPr>
        <w:t>their</w:t>
      </w:r>
      <w:r>
        <w:rPr>
          <w:color w:val="231F20"/>
          <w:spacing w:val="-18"/>
          <w:sz w:val="24"/>
        </w:rPr>
        <w:t xml:space="preserve"> </w:t>
      </w:r>
      <w:r>
        <w:rPr>
          <w:color w:val="231F20"/>
          <w:sz w:val="24"/>
        </w:rPr>
        <w:t>M</w:t>
      </w:r>
      <w:r>
        <w:rPr>
          <w:color w:val="231F20"/>
          <w:spacing w:val="-18"/>
          <w:sz w:val="24"/>
        </w:rPr>
        <w:t xml:space="preserve"> </w:t>
      </w:r>
      <w:r>
        <w:rPr>
          <w:color w:val="231F20"/>
          <w:sz w:val="24"/>
        </w:rPr>
        <w:t>&amp;</w:t>
      </w:r>
      <w:r>
        <w:rPr>
          <w:color w:val="231F20"/>
          <w:spacing w:val="-18"/>
          <w:sz w:val="24"/>
        </w:rPr>
        <w:t xml:space="preserve"> </w:t>
      </w:r>
      <w:r>
        <w:rPr>
          <w:color w:val="231F20"/>
          <w:sz w:val="24"/>
        </w:rPr>
        <w:t>E</w:t>
      </w:r>
      <w:r>
        <w:rPr>
          <w:color w:val="231F20"/>
          <w:spacing w:val="-17"/>
          <w:sz w:val="24"/>
        </w:rPr>
        <w:t xml:space="preserve"> </w:t>
      </w:r>
      <w:r>
        <w:rPr>
          <w:color w:val="231F20"/>
          <w:sz w:val="24"/>
        </w:rPr>
        <w:t>units.</w:t>
      </w:r>
      <w:r>
        <w:rPr>
          <w:color w:val="231F20"/>
          <w:spacing w:val="-23"/>
          <w:sz w:val="24"/>
        </w:rPr>
        <w:t xml:space="preserve"> </w:t>
      </w:r>
      <w:r>
        <w:rPr>
          <w:color w:val="231F20"/>
          <w:sz w:val="24"/>
        </w:rPr>
        <w:t>The</w:t>
      </w:r>
      <w:r>
        <w:rPr>
          <w:color w:val="231F20"/>
          <w:spacing w:val="-18"/>
          <w:sz w:val="24"/>
        </w:rPr>
        <w:t xml:space="preserve"> </w:t>
      </w:r>
      <w:r>
        <w:rPr>
          <w:color w:val="231F20"/>
          <w:sz w:val="24"/>
        </w:rPr>
        <w:t>money</w:t>
      </w:r>
      <w:r>
        <w:rPr>
          <w:color w:val="231F20"/>
          <w:spacing w:val="-18"/>
          <w:sz w:val="24"/>
        </w:rPr>
        <w:t xml:space="preserve"> </w:t>
      </w:r>
      <w:r>
        <w:rPr>
          <w:color w:val="231F20"/>
          <w:sz w:val="24"/>
        </w:rPr>
        <w:t>budgeted</w:t>
      </w:r>
      <w:r>
        <w:rPr>
          <w:color w:val="231F20"/>
          <w:spacing w:val="-17"/>
          <w:sz w:val="24"/>
        </w:rPr>
        <w:t xml:space="preserve"> </w:t>
      </w:r>
      <w:r>
        <w:rPr>
          <w:color w:val="231F20"/>
          <w:sz w:val="24"/>
        </w:rPr>
        <w:t>for</w:t>
      </w:r>
      <w:r>
        <w:rPr>
          <w:color w:val="231F20"/>
          <w:spacing w:val="-18"/>
          <w:sz w:val="24"/>
        </w:rPr>
        <w:t xml:space="preserve"> </w:t>
      </w:r>
      <w:r>
        <w:rPr>
          <w:color w:val="231F20"/>
          <w:sz w:val="24"/>
        </w:rPr>
        <w:t>the</w:t>
      </w:r>
      <w:r>
        <w:rPr>
          <w:color w:val="231F20"/>
          <w:spacing w:val="-18"/>
          <w:sz w:val="24"/>
        </w:rPr>
        <w:t xml:space="preserve"> </w:t>
      </w:r>
      <w:r>
        <w:rPr>
          <w:color w:val="231F20"/>
          <w:sz w:val="24"/>
        </w:rPr>
        <w:t>central</w:t>
      </w:r>
      <w:r>
        <w:rPr>
          <w:color w:val="231F20"/>
          <w:spacing w:val="-18"/>
          <w:sz w:val="24"/>
        </w:rPr>
        <w:t xml:space="preserve"> </w:t>
      </w:r>
      <w:r>
        <w:rPr>
          <w:color w:val="231F20"/>
          <w:sz w:val="24"/>
        </w:rPr>
        <w:t>M</w:t>
      </w:r>
      <w:r>
        <w:rPr>
          <w:color w:val="231F20"/>
          <w:spacing w:val="-17"/>
          <w:sz w:val="24"/>
        </w:rPr>
        <w:t xml:space="preserve"> </w:t>
      </w:r>
      <w:r>
        <w:rPr>
          <w:color w:val="231F20"/>
          <w:sz w:val="24"/>
        </w:rPr>
        <w:t>&amp;</w:t>
      </w:r>
      <w:r>
        <w:rPr>
          <w:color w:val="231F20"/>
          <w:spacing w:val="-18"/>
          <w:sz w:val="24"/>
        </w:rPr>
        <w:t xml:space="preserve"> </w:t>
      </w:r>
      <w:r>
        <w:rPr>
          <w:color w:val="231F20"/>
          <w:sz w:val="24"/>
        </w:rPr>
        <w:t>E</w:t>
      </w:r>
      <w:r>
        <w:rPr>
          <w:color w:val="231F20"/>
          <w:spacing w:val="-18"/>
          <w:sz w:val="24"/>
        </w:rPr>
        <w:t xml:space="preserve"> </w:t>
      </w:r>
      <w:r>
        <w:rPr>
          <w:color w:val="231F20"/>
          <w:sz w:val="24"/>
        </w:rPr>
        <w:t>unit</w:t>
      </w:r>
      <w:r>
        <w:rPr>
          <w:color w:val="231F20"/>
          <w:spacing w:val="-18"/>
          <w:sz w:val="24"/>
        </w:rPr>
        <w:t xml:space="preserve"> </w:t>
      </w:r>
      <w:r>
        <w:rPr>
          <w:color w:val="231F20"/>
          <w:sz w:val="24"/>
        </w:rPr>
        <w:t>for</w:t>
      </w:r>
      <w:r>
        <w:rPr>
          <w:color w:val="231F20"/>
          <w:spacing w:val="-18"/>
          <w:sz w:val="24"/>
        </w:rPr>
        <w:t xml:space="preserve"> </w:t>
      </w:r>
      <w:r>
        <w:rPr>
          <w:color w:val="231F20"/>
          <w:sz w:val="24"/>
        </w:rPr>
        <w:t>the</w:t>
      </w:r>
      <w:r>
        <w:rPr>
          <w:color w:val="231F20"/>
          <w:spacing w:val="-17"/>
          <w:sz w:val="24"/>
        </w:rPr>
        <w:t xml:space="preserve"> </w:t>
      </w:r>
      <w:r>
        <w:rPr>
          <w:color w:val="231F20"/>
          <w:sz w:val="24"/>
        </w:rPr>
        <w:t>5-year</w:t>
      </w:r>
      <w:r>
        <w:rPr>
          <w:color w:val="231F20"/>
          <w:spacing w:val="-18"/>
          <w:sz w:val="24"/>
        </w:rPr>
        <w:t xml:space="preserve"> </w:t>
      </w:r>
      <w:r>
        <w:rPr>
          <w:color w:val="231F20"/>
          <w:spacing w:val="-3"/>
          <w:sz w:val="24"/>
        </w:rPr>
        <w:t xml:space="preserve">period </w:t>
      </w:r>
      <w:r>
        <w:rPr>
          <w:color w:val="231F20"/>
          <w:sz w:val="24"/>
        </w:rPr>
        <w:t>is</w:t>
      </w:r>
      <w:r>
        <w:rPr>
          <w:color w:val="231F20"/>
          <w:spacing w:val="-27"/>
          <w:sz w:val="24"/>
        </w:rPr>
        <w:t xml:space="preserve"> </w:t>
      </w:r>
      <w:r>
        <w:rPr>
          <w:color w:val="231F20"/>
          <w:sz w:val="24"/>
        </w:rPr>
        <w:t>2%</w:t>
      </w:r>
      <w:r>
        <w:rPr>
          <w:color w:val="231F20"/>
          <w:spacing w:val="-27"/>
          <w:sz w:val="24"/>
        </w:rPr>
        <w:t xml:space="preserve"> </w:t>
      </w:r>
      <w:r>
        <w:rPr>
          <w:color w:val="231F20"/>
          <w:sz w:val="24"/>
        </w:rPr>
        <w:t>of</w:t>
      </w:r>
      <w:r>
        <w:rPr>
          <w:color w:val="231F20"/>
          <w:spacing w:val="-27"/>
          <w:sz w:val="24"/>
        </w:rPr>
        <w:t xml:space="preserve"> </w:t>
      </w:r>
      <w:r>
        <w:rPr>
          <w:color w:val="231F20"/>
          <w:sz w:val="24"/>
        </w:rPr>
        <w:t>the</w:t>
      </w:r>
      <w:r>
        <w:rPr>
          <w:color w:val="231F20"/>
          <w:spacing w:val="-27"/>
          <w:sz w:val="24"/>
        </w:rPr>
        <w:t xml:space="preserve"> </w:t>
      </w:r>
      <w:r>
        <w:rPr>
          <w:color w:val="231F20"/>
          <w:sz w:val="24"/>
        </w:rPr>
        <w:t>total</w:t>
      </w:r>
      <w:r>
        <w:rPr>
          <w:color w:val="231F20"/>
          <w:spacing w:val="-27"/>
          <w:sz w:val="24"/>
        </w:rPr>
        <w:t xml:space="preserve"> </w:t>
      </w:r>
      <w:r>
        <w:rPr>
          <w:color w:val="231F20"/>
          <w:sz w:val="24"/>
        </w:rPr>
        <w:t>sum</w:t>
      </w:r>
      <w:r>
        <w:rPr>
          <w:color w:val="231F20"/>
          <w:spacing w:val="-27"/>
          <w:sz w:val="24"/>
        </w:rPr>
        <w:t xml:space="preserve"> </w:t>
      </w:r>
      <w:r>
        <w:rPr>
          <w:color w:val="231F20"/>
          <w:sz w:val="24"/>
        </w:rPr>
        <w:t>for</w:t>
      </w:r>
      <w:r>
        <w:rPr>
          <w:color w:val="231F20"/>
          <w:spacing w:val="-27"/>
          <w:sz w:val="24"/>
        </w:rPr>
        <w:t xml:space="preserve"> </w:t>
      </w:r>
      <w:r>
        <w:rPr>
          <w:color w:val="231F20"/>
          <w:sz w:val="24"/>
        </w:rPr>
        <w:t>the</w:t>
      </w:r>
      <w:r>
        <w:rPr>
          <w:color w:val="231F20"/>
          <w:spacing w:val="-27"/>
          <w:sz w:val="24"/>
        </w:rPr>
        <w:t xml:space="preserve"> </w:t>
      </w:r>
      <w:r>
        <w:rPr>
          <w:color w:val="231F20"/>
          <w:sz w:val="24"/>
        </w:rPr>
        <w:t>SSHDP</w:t>
      </w:r>
      <w:r>
        <w:rPr>
          <w:color w:val="231F20"/>
          <w:spacing w:val="-31"/>
          <w:sz w:val="24"/>
        </w:rPr>
        <w:t xml:space="preserve"> </w:t>
      </w:r>
      <w:r>
        <w:rPr>
          <w:color w:val="231F20"/>
          <w:sz w:val="24"/>
        </w:rPr>
        <w:t>II.</w:t>
      </w:r>
    </w:p>
    <w:p w14:paraId="1BD84EA6" w14:textId="77777777" w:rsidR="009948F1" w:rsidRDefault="009948F1">
      <w:pPr>
        <w:jc w:val="both"/>
        <w:rPr>
          <w:sz w:val="24"/>
        </w:rPr>
        <w:sectPr w:rsidR="009948F1">
          <w:pgSz w:w="11910" w:h="16840"/>
          <w:pgMar w:top="1220" w:right="1080" w:bottom="1420" w:left="1120" w:header="0" w:footer="1235" w:gutter="0"/>
          <w:cols w:space="720"/>
        </w:sectPr>
      </w:pPr>
    </w:p>
    <w:p w14:paraId="544DECA0" w14:textId="77777777" w:rsidR="009948F1" w:rsidRDefault="00BC0563">
      <w:pPr>
        <w:pStyle w:val="Heading1"/>
        <w:spacing w:line="468" w:lineRule="exact"/>
        <w:ind w:right="1194"/>
      </w:pPr>
      <w:bookmarkStart w:id="142" w:name="_TOC_250002"/>
      <w:bookmarkEnd w:id="142"/>
      <w:r>
        <w:rPr>
          <w:color w:val="231F20"/>
        </w:rPr>
        <w:lastRenderedPageBreak/>
        <w:t>CHAPTER 13</w:t>
      </w:r>
    </w:p>
    <w:p w14:paraId="4C7BAA6A" w14:textId="77777777" w:rsidR="009948F1" w:rsidRDefault="00BC0563">
      <w:pPr>
        <w:spacing w:before="13"/>
        <w:ind w:left="1065" w:right="1190"/>
        <w:jc w:val="center"/>
        <w:rPr>
          <w:rFonts w:ascii="Tahoma"/>
          <w:b/>
          <w:sz w:val="32"/>
        </w:rPr>
      </w:pPr>
      <w:bookmarkStart w:id="143" w:name="_TOC_250001"/>
      <w:bookmarkEnd w:id="143"/>
      <w:r>
        <w:rPr>
          <w:rFonts w:ascii="Tahoma"/>
          <w:b/>
          <w:color w:val="231F20"/>
          <w:sz w:val="32"/>
        </w:rPr>
        <w:t>CONCLUSION</w:t>
      </w:r>
    </w:p>
    <w:p w14:paraId="3F457AC0" w14:textId="77777777" w:rsidR="009948F1" w:rsidRDefault="009948F1">
      <w:pPr>
        <w:pStyle w:val="BodyText"/>
        <w:spacing w:before="6"/>
        <w:rPr>
          <w:rFonts w:ascii="Tahoma"/>
          <w:b/>
          <w:sz w:val="21"/>
        </w:rPr>
      </w:pPr>
    </w:p>
    <w:p w14:paraId="6782F436" w14:textId="77777777" w:rsidR="009948F1" w:rsidRDefault="00BC0563">
      <w:pPr>
        <w:spacing w:before="62"/>
        <w:ind w:left="139" w:right="221"/>
        <w:jc w:val="both"/>
        <w:rPr>
          <w:sz w:val="24"/>
        </w:rPr>
      </w:pPr>
      <w:r>
        <w:rPr>
          <w:color w:val="231F20"/>
          <w:sz w:val="24"/>
        </w:rPr>
        <w:t xml:space="preserve">The Rivers State Strategic Health Development Plan II for the period 2018 to 2022 was successfully produced with wide stakeholder participation involving a cross section </w:t>
      </w:r>
      <w:r>
        <w:rPr>
          <w:color w:val="231F20"/>
          <w:spacing w:val="-6"/>
          <w:sz w:val="24"/>
        </w:rPr>
        <w:t xml:space="preserve">of </w:t>
      </w:r>
      <w:r>
        <w:rPr>
          <w:color w:val="231F20"/>
          <w:sz w:val="24"/>
        </w:rPr>
        <w:t xml:space="preserve">State Ministry of Health officials and its parastatals, local government officials, </w:t>
      </w:r>
      <w:r>
        <w:rPr>
          <w:color w:val="231F20"/>
          <w:spacing w:val="-4"/>
          <w:sz w:val="24"/>
        </w:rPr>
        <w:t xml:space="preserve">and </w:t>
      </w:r>
      <w:r>
        <w:rPr>
          <w:color w:val="231F20"/>
          <w:sz w:val="24"/>
        </w:rPr>
        <w:t>representatives</w:t>
      </w:r>
      <w:r>
        <w:rPr>
          <w:color w:val="231F20"/>
          <w:spacing w:val="-16"/>
          <w:sz w:val="24"/>
        </w:rPr>
        <w:t xml:space="preserve"> </w:t>
      </w:r>
      <w:r>
        <w:rPr>
          <w:color w:val="231F20"/>
          <w:sz w:val="24"/>
        </w:rPr>
        <w:t>of</w:t>
      </w:r>
      <w:r>
        <w:rPr>
          <w:color w:val="231F20"/>
          <w:spacing w:val="-16"/>
          <w:sz w:val="24"/>
        </w:rPr>
        <w:t xml:space="preserve"> </w:t>
      </w:r>
      <w:r>
        <w:rPr>
          <w:color w:val="231F20"/>
          <w:sz w:val="24"/>
        </w:rPr>
        <w:t>various</w:t>
      </w:r>
      <w:r>
        <w:rPr>
          <w:color w:val="231F20"/>
          <w:spacing w:val="-16"/>
          <w:sz w:val="24"/>
        </w:rPr>
        <w:t xml:space="preserve"> </w:t>
      </w:r>
      <w:r>
        <w:rPr>
          <w:color w:val="231F20"/>
          <w:sz w:val="24"/>
        </w:rPr>
        <w:t>development</w:t>
      </w:r>
      <w:r>
        <w:rPr>
          <w:color w:val="231F20"/>
          <w:spacing w:val="-16"/>
          <w:sz w:val="24"/>
        </w:rPr>
        <w:t xml:space="preserve"> </w:t>
      </w:r>
      <w:r>
        <w:rPr>
          <w:color w:val="231F20"/>
          <w:sz w:val="24"/>
        </w:rPr>
        <w:t>partners,</w:t>
      </w:r>
      <w:r>
        <w:rPr>
          <w:color w:val="231F20"/>
          <w:spacing w:val="-16"/>
          <w:sz w:val="24"/>
        </w:rPr>
        <w:t xml:space="preserve"> </w:t>
      </w:r>
      <w:r>
        <w:rPr>
          <w:color w:val="231F20"/>
          <w:sz w:val="24"/>
        </w:rPr>
        <w:t>professional</w:t>
      </w:r>
      <w:r>
        <w:rPr>
          <w:color w:val="231F20"/>
          <w:spacing w:val="-16"/>
          <w:sz w:val="24"/>
        </w:rPr>
        <w:t xml:space="preserve"> </w:t>
      </w:r>
      <w:r>
        <w:rPr>
          <w:color w:val="231F20"/>
          <w:sz w:val="24"/>
        </w:rPr>
        <w:t>groups</w:t>
      </w:r>
      <w:r>
        <w:rPr>
          <w:color w:val="231F20"/>
          <w:spacing w:val="-16"/>
          <w:sz w:val="24"/>
        </w:rPr>
        <w:t xml:space="preserve"> </w:t>
      </w:r>
      <w:r>
        <w:rPr>
          <w:color w:val="231F20"/>
          <w:sz w:val="24"/>
        </w:rPr>
        <w:t>and</w:t>
      </w:r>
      <w:r>
        <w:rPr>
          <w:color w:val="231F20"/>
          <w:spacing w:val="-16"/>
          <w:sz w:val="24"/>
        </w:rPr>
        <w:t xml:space="preserve"> </w:t>
      </w:r>
      <w:r>
        <w:rPr>
          <w:color w:val="231F20"/>
          <w:sz w:val="24"/>
        </w:rPr>
        <w:t>individuals</w:t>
      </w:r>
      <w:r>
        <w:rPr>
          <w:color w:val="231F20"/>
          <w:spacing w:val="-16"/>
          <w:sz w:val="24"/>
        </w:rPr>
        <w:t xml:space="preserve"> </w:t>
      </w:r>
      <w:r>
        <w:rPr>
          <w:color w:val="231F20"/>
          <w:spacing w:val="-4"/>
          <w:sz w:val="24"/>
        </w:rPr>
        <w:t xml:space="preserve">that </w:t>
      </w:r>
      <w:r>
        <w:rPr>
          <w:color w:val="231F20"/>
          <w:sz w:val="24"/>
        </w:rPr>
        <w:t>are directly or indirectly involved with healthcare delivery in the State. The final draft</w:t>
      </w:r>
      <w:r>
        <w:rPr>
          <w:color w:val="231F20"/>
          <w:spacing w:val="-24"/>
          <w:sz w:val="24"/>
        </w:rPr>
        <w:t xml:space="preserve"> </w:t>
      </w:r>
      <w:r>
        <w:rPr>
          <w:color w:val="231F20"/>
          <w:spacing w:val="-5"/>
          <w:sz w:val="24"/>
        </w:rPr>
        <w:t xml:space="preserve">was </w:t>
      </w:r>
      <w:r>
        <w:rPr>
          <w:color w:val="231F20"/>
          <w:sz w:val="24"/>
        </w:rPr>
        <w:t>obtained</w:t>
      </w:r>
      <w:r>
        <w:rPr>
          <w:color w:val="231F20"/>
          <w:spacing w:val="-15"/>
          <w:sz w:val="24"/>
        </w:rPr>
        <w:t xml:space="preserve"> </w:t>
      </w:r>
      <w:r>
        <w:rPr>
          <w:color w:val="231F20"/>
          <w:sz w:val="24"/>
        </w:rPr>
        <w:t>after</w:t>
      </w:r>
      <w:r>
        <w:rPr>
          <w:color w:val="231F20"/>
          <w:spacing w:val="-15"/>
          <w:sz w:val="24"/>
        </w:rPr>
        <w:t xml:space="preserve"> </w:t>
      </w:r>
      <w:r>
        <w:rPr>
          <w:color w:val="231F20"/>
          <w:sz w:val="24"/>
        </w:rPr>
        <w:t>the</w:t>
      </w:r>
      <w:r>
        <w:rPr>
          <w:color w:val="231F20"/>
          <w:spacing w:val="-15"/>
          <w:sz w:val="24"/>
        </w:rPr>
        <w:t xml:space="preserve"> </w:t>
      </w:r>
      <w:r>
        <w:rPr>
          <w:color w:val="231F20"/>
          <w:sz w:val="24"/>
        </w:rPr>
        <w:t>harmonization</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23</w:t>
      </w:r>
      <w:r>
        <w:rPr>
          <w:color w:val="231F20"/>
          <w:spacing w:val="-15"/>
          <w:sz w:val="24"/>
        </w:rPr>
        <w:t xml:space="preserve"> </w:t>
      </w:r>
      <w:r>
        <w:rPr>
          <w:color w:val="231F20"/>
          <w:sz w:val="24"/>
        </w:rPr>
        <w:t>LGA</w:t>
      </w:r>
      <w:r>
        <w:rPr>
          <w:color w:val="231F20"/>
          <w:spacing w:val="-28"/>
          <w:sz w:val="24"/>
        </w:rPr>
        <w:t xml:space="preserve"> </w:t>
      </w:r>
      <w:r>
        <w:rPr>
          <w:color w:val="231F20"/>
          <w:sz w:val="24"/>
        </w:rPr>
        <w:t>Strategic</w:t>
      </w:r>
      <w:r>
        <w:rPr>
          <w:color w:val="231F20"/>
          <w:spacing w:val="-15"/>
          <w:sz w:val="24"/>
        </w:rPr>
        <w:t xml:space="preserve"> </w:t>
      </w:r>
      <w:r>
        <w:rPr>
          <w:color w:val="231F20"/>
          <w:sz w:val="24"/>
        </w:rPr>
        <w:t>Health</w:t>
      </w:r>
      <w:r>
        <w:rPr>
          <w:color w:val="231F20"/>
          <w:spacing w:val="-15"/>
          <w:sz w:val="24"/>
        </w:rPr>
        <w:t xml:space="preserve"> </w:t>
      </w:r>
      <w:r>
        <w:rPr>
          <w:color w:val="231F20"/>
          <w:sz w:val="24"/>
        </w:rPr>
        <w:t>Development</w:t>
      </w:r>
      <w:r>
        <w:rPr>
          <w:color w:val="231F20"/>
          <w:spacing w:val="-15"/>
          <w:sz w:val="24"/>
        </w:rPr>
        <w:t xml:space="preserve"> </w:t>
      </w:r>
      <w:r>
        <w:rPr>
          <w:color w:val="231F20"/>
          <w:sz w:val="24"/>
        </w:rPr>
        <w:t>Plans.</w:t>
      </w:r>
      <w:r>
        <w:rPr>
          <w:color w:val="231F20"/>
          <w:spacing w:val="59"/>
          <w:sz w:val="24"/>
        </w:rPr>
        <w:t xml:space="preserve"> </w:t>
      </w:r>
      <w:r>
        <w:rPr>
          <w:color w:val="231F20"/>
          <w:spacing w:val="-5"/>
          <w:sz w:val="24"/>
        </w:rPr>
        <w:t xml:space="preserve">The </w:t>
      </w:r>
      <w:r>
        <w:rPr>
          <w:color w:val="231F20"/>
          <w:sz w:val="24"/>
        </w:rPr>
        <w:t>tools</w:t>
      </w:r>
      <w:r>
        <w:rPr>
          <w:color w:val="231F20"/>
          <w:spacing w:val="-27"/>
          <w:sz w:val="24"/>
        </w:rPr>
        <w:t xml:space="preserve"> </w:t>
      </w:r>
      <w:r>
        <w:rPr>
          <w:color w:val="231F20"/>
          <w:sz w:val="24"/>
        </w:rPr>
        <w:t>that</w:t>
      </w:r>
      <w:r>
        <w:rPr>
          <w:color w:val="231F20"/>
          <w:spacing w:val="-28"/>
          <w:sz w:val="24"/>
        </w:rPr>
        <w:t xml:space="preserve"> </w:t>
      </w:r>
      <w:r>
        <w:rPr>
          <w:color w:val="231F20"/>
          <w:sz w:val="24"/>
        </w:rPr>
        <w:t>were</w:t>
      </w:r>
      <w:r>
        <w:rPr>
          <w:color w:val="231F20"/>
          <w:spacing w:val="-27"/>
          <w:sz w:val="24"/>
        </w:rPr>
        <w:t xml:space="preserve"> </w:t>
      </w:r>
      <w:r>
        <w:rPr>
          <w:color w:val="231F20"/>
          <w:sz w:val="24"/>
        </w:rPr>
        <w:t>used</w:t>
      </w:r>
      <w:r>
        <w:rPr>
          <w:color w:val="231F20"/>
          <w:spacing w:val="-27"/>
          <w:sz w:val="24"/>
        </w:rPr>
        <w:t xml:space="preserve"> </w:t>
      </w:r>
      <w:r>
        <w:rPr>
          <w:color w:val="231F20"/>
          <w:sz w:val="24"/>
        </w:rPr>
        <w:t>included</w:t>
      </w:r>
      <w:r>
        <w:rPr>
          <w:color w:val="231F20"/>
          <w:spacing w:val="-27"/>
          <w:sz w:val="24"/>
        </w:rPr>
        <w:t xml:space="preserve"> </w:t>
      </w:r>
      <w:r>
        <w:rPr>
          <w:color w:val="231F20"/>
          <w:sz w:val="24"/>
        </w:rPr>
        <w:t>the</w:t>
      </w:r>
      <w:r>
        <w:rPr>
          <w:color w:val="231F20"/>
          <w:spacing w:val="-27"/>
          <w:sz w:val="24"/>
        </w:rPr>
        <w:t xml:space="preserve"> </w:t>
      </w:r>
      <w:r>
        <w:rPr>
          <w:color w:val="231F20"/>
          <w:sz w:val="24"/>
        </w:rPr>
        <w:t>following:</w:t>
      </w:r>
    </w:p>
    <w:p w14:paraId="25DF9B01" w14:textId="77777777" w:rsidR="009948F1" w:rsidRDefault="009948F1">
      <w:pPr>
        <w:pStyle w:val="BodyText"/>
        <w:rPr>
          <w:sz w:val="24"/>
        </w:rPr>
      </w:pPr>
    </w:p>
    <w:p w14:paraId="0E4A319C" w14:textId="77777777" w:rsidR="009948F1" w:rsidRDefault="00BC0563">
      <w:pPr>
        <w:pStyle w:val="ListParagraph"/>
        <w:numPr>
          <w:ilvl w:val="0"/>
          <w:numId w:val="246"/>
        </w:numPr>
        <w:tabs>
          <w:tab w:val="left" w:pos="860"/>
        </w:tabs>
        <w:ind w:hanging="361"/>
        <w:rPr>
          <w:sz w:val="24"/>
        </w:rPr>
      </w:pPr>
      <w:r>
        <w:rPr>
          <w:color w:val="231F20"/>
          <w:sz w:val="24"/>
        </w:rPr>
        <w:t>FMOH</w:t>
      </w:r>
      <w:r>
        <w:rPr>
          <w:color w:val="231F20"/>
          <w:spacing w:val="-27"/>
          <w:sz w:val="24"/>
        </w:rPr>
        <w:t xml:space="preserve"> </w:t>
      </w:r>
      <w:r>
        <w:rPr>
          <w:color w:val="231F20"/>
          <w:sz w:val="24"/>
        </w:rPr>
        <w:t>–</w:t>
      </w:r>
      <w:r>
        <w:rPr>
          <w:color w:val="231F20"/>
          <w:spacing w:val="-27"/>
          <w:sz w:val="24"/>
        </w:rPr>
        <w:t xml:space="preserve"> </w:t>
      </w:r>
      <w:r>
        <w:rPr>
          <w:color w:val="231F20"/>
          <w:sz w:val="24"/>
        </w:rPr>
        <w:t>NSHDP</w:t>
      </w:r>
      <w:r>
        <w:rPr>
          <w:color w:val="231F20"/>
          <w:spacing w:val="-32"/>
          <w:sz w:val="24"/>
        </w:rPr>
        <w:t xml:space="preserve"> </w:t>
      </w:r>
      <w:r>
        <w:rPr>
          <w:color w:val="231F20"/>
          <w:sz w:val="24"/>
        </w:rPr>
        <w:t>Framework</w:t>
      </w:r>
      <w:r>
        <w:rPr>
          <w:color w:val="231F20"/>
          <w:spacing w:val="-27"/>
          <w:sz w:val="24"/>
        </w:rPr>
        <w:t xml:space="preserve"> </w:t>
      </w:r>
      <w:r>
        <w:rPr>
          <w:color w:val="231F20"/>
          <w:sz w:val="24"/>
        </w:rPr>
        <w:t>(2018</w:t>
      </w:r>
      <w:r>
        <w:rPr>
          <w:color w:val="231F20"/>
          <w:spacing w:val="-27"/>
          <w:sz w:val="24"/>
        </w:rPr>
        <w:t xml:space="preserve"> </w:t>
      </w:r>
      <w:r>
        <w:rPr>
          <w:color w:val="231F20"/>
          <w:sz w:val="24"/>
        </w:rPr>
        <w:t>–</w:t>
      </w:r>
      <w:r>
        <w:rPr>
          <w:color w:val="231F20"/>
          <w:spacing w:val="-27"/>
          <w:sz w:val="24"/>
        </w:rPr>
        <w:t xml:space="preserve"> </w:t>
      </w:r>
      <w:r>
        <w:rPr>
          <w:color w:val="231F20"/>
          <w:sz w:val="24"/>
        </w:rPr>
        <w:t>2022)</w:t>
      </w:r>
    </w:p>
    <w:p w14:paraId="4F5DE2A5" w14:textId="77777777" w:rsidR="009948F1" w:rsidRDefault="00BC0563">
      <w:pPr>
        <w:pStyle w:val="ListParagraph"/>
        <w:numPr>
          <w:ilvl w:val="0"/>
          <w:numId w:val="246"/>
        </w:numPr>
        <w:tabs>
          <w:tab w:val="left" w:pos="860"/>
        </w:tabs>
        <w:ind w:hanging="361"/>
        <w:rPr>
          <w:sz w:val="24"/>
        </w:rPr>
      </w:pPr>
      <w:r>
        <w:rPr>
          <w:color w:val="231F20"/>
          <w:sz w:val="24"/>
        </w:rPr>
        <w:t>State</w:t>
      </w:r>
      <w:r>
        <w:rPr>
          <w:color w:val="231F20"/>
          <w:spacing w:val="-27"/>
          <w:sz w:val="24"/>
        </w:rPr>
        <w:t xml:space="preserve"> </w:t>
      </w:r>
      <w:r>
        <w:rPr>
          <w:color w:val="231F20"/>
          <w:sz w:val="24"/>
        </w:rPr>
        <w:t>Strategic</w:t>
      </w:r>
      <w:r>
        <w:rPr>
          <w:color w:val="231F20"/>
          <w:spacing w:val="-28"/>
          <w:sz w:val="24"/>
        </w:rPr>
        <w:t xml:space="preserve"> </w:t>
      </w:r>
      <w:r>
        <w:rPr>
          <w:color w:val="231F20"/>
          <w:sz w:val="24"/>
        </w:rPr>
        <w:t>Health</w:t>
      </w:r>
      <w:r>
        <w:rPr>
          <w:color w:val="231F20"/>
          <w:spacing w:val="-27"/>
          <w:sz w:val="24"/>
        </w:rPr>
        <w:t xml:space="preserve"> </w:t>
      </w:r>
      <w:r>
        <w:rPr>
          <w:color w:val="231F20"/>
          <w:sz w:val="24"/>
        </w:rPr>
        <w:t>Development</w:t>
      </w:r>
      <w:r>
        <w:rPr>
          <w:color w:val="231F20"/>
          <w:spacing w:val="-27"/>
          <w:sz w:val="24"/>
        </w:rPr>
        <w:t xml:space="preserve"> </w:t>
      </w:r>
      <w:r>
        <w:rPr>
          <w:color w:val="231F20"/>
          <w:sz w:val="24"/>
        </w:rPr>
        <w:t>Plan</w:t>
      </w:r>
      <w:r>
        <w:rPr>
          <w:color w:val="231F20"/>
          <w:spacing w:val="-27"/>
          <w:sz w:val="24"/>
        </w:rPr>
        <w:t xml:space="preserve"> </w:t>
      </w:r>
      <w:r>
        <w:rPr>
          <w:color w:val="231F20"/>
          <w:sz w:val="24"/>
        </w:rPr>
        <w:t>(2010</w:t>
      </w:r>
      <w:r>
        <w:rPr>
          <w:color w:val="231F20"/>
          <w:spacing w:val="-27"/>
          <w:sz w:val="24"/>
        </w:rPr>
        <w:t xml:space="preserve"> </w:t>
      </w:r>
      <w:r>
        <w:rPr>
          <w:color w:val="231F20"/>
          <w:sz w:val="24"/>
        </w:rPr>
        <w:t>–</w:t>
      </w:r>
      <w:r>
        <w:rPr>
          <w:color w:val="231F20"/>
          <w:spacing w:val="-27"/>
          <w:sz w:val="24"/>
        </w:rPr>
        <w:t xml:space="preserve"> </w:t>
      </w:r>
      <w:r>
        <w:rPr>
          <w:color w:val="231F20"/>
          <w:sz w:val="24"/>
        </w:rPr>
        <w:t>2015)</w:t>
      </w:r>
    </w:p>
    <w:p w14:paraId="5FCCBDE3" w14:textId="77777777" w:rsidR="009948F1" w:rsidRDefault="00BC0563">
      <w:pPr>
        <w:pStyle w:val="ListParagraph"/>
        <w:numPr>
          <w:ilvl w:val="0"/>
          <w:numId w:val="246"/>
        </w:numPr>
        <w:tabs>
          <w:tab w:val="left" w:pos="860"/>
        </w:tabs>
        <w:ind w:hanging="361"/>
        <w:rPr>
          <w:sz w:val="24"/>
        </w:rPr>
      </w:pPr>
      <w:r>
        <w:rPr>
          <w:color w:val="231F20"/>
          <w:sz w:val="24"/>
        </w:rPr>
        <w:t>Current</w:t>
      </w:r>
      <w:r>
        <w:rPr>
          <w:color w:val="231F20"/>
          <w:spacing w:val="-28"/>
          <w:sz w:val="24"/>
        </w:rPr>
        <w:t xml:space="preserve"> </w:t>
      </w:r>
      <w:r>
        <w:rPr>
          <w:color w:val="231F20"/>
          <w:sz w:val="24"/>
        </w:rPr>
        <w:t>National</w:t>
      </w:r>
      <w:r>
        <w:rPr>
          <w:color w:val="231F20"/>
          <w:spacing w:val="-27"/>
          <w:sz w:val="24"/>
        </w:rPr>
        <w:t xml:space="preserve"> </w:t>
      </w:r>
      <w:r>
        <w:rPr>
          <w:color w:val="231F20"/>
          <w:sz w:val="24"/>
        </w:rPr>
        <w:t>Policies</w:t>
      </w:r>
      <w:r>
        <w:rPr>
          <w:color w:val="231F20"/>
          <w:spacing w:val="-27"/>
          <w:sz w:val="24"/>
        </w:rPr>
        <w:t xml:space="preserve"> </w:t>
      </w:r>
      <w:r>
        <w:rPr>
          <w:color w:val="231F20"/>
          <w:sz w:val="24"/>
        </w:rPr>
        <w:t>of</w:t>
      </w:r>
      <w:r>
        <w:rPr>
          <w:color w:val="231F20"/>
          <w:spacing w:val="-27"/>
          <w:sz w:val="24"/>
        </w:rPr>
        <w:t xml:space="preserve"> </w:t>
      </w:r>
      <w:r>
        <w:rPr>
          <w:color w:val="231F20"/>
          <w:sz w:val="24"/>
        </w:rPr>
        <w:t>all</w:t>
      </w:r>
      <w:r>
        <w:rPr>
          <w:color w:val="231F20"/>
          <w:spacing w:val="-27"/>
          <w:sz w:val="24"/>
        </w:rPr>
        <w:t xml:space="preserve"> </w:t>
      </w:r>
      <w:r>
        <w:rPr>
          <w:color w:val="231F20"/>
          <w:sz w:val="24"/>
        </w:rPr>
        <w:t>health</w:t>
      </w:r>
      <w:r>
        <w:rPr>
          <w:color w:val="231F20"/>
          <w:spacing w:val="-27"/>
          <w:sz w:val="24"/>
        </w:rPr>
        <w:t xml:space="preserve"> </w:t>
      </w:r>
      <w:r>
        <w:rPr>
          <w:color w:val="231F20"/>
          <w:sz w:val="24"/>
        </w:rPr>
        <w:t>related</w:t>
      </w:r>
      <w:r>
        <w:rPr>
          <w:color w:val="231F20"/>
          <w:spacing w:val="-27"/>
          <w:sz w:val="24"/>
        </w:rPr>
        <w:t xml:space="preserve"> </w:t>
      </w:r>
      <w:proofErr w:type="spellStart"/>
      <w:r>
        <w:rPr>
          <w:color w:val="231F20"/>
          <w:sz w:val="24"/>
        </w:rPr>
        <w:t>programmes</w:t>
      </w:r>
      <w:proofErr w:type="spellEnd"/>
    </w:p>
    <w:p w14:paraId="4C9DA786" w14:textId="77777777" w:rsidR="009948F1" w:rsidRDefault="00BC0563">
      <w:pPr>
        <w:pStyle w:val="ListParagraph"/>
        <w:numPr>
          <w:ilvl w:val="0"/>
          <w:numId w:val="246"/>
        </w:numPr>
        <w:tabs>
          <w:tab w:val="left" w:pos="860"/>
        </w:tabs>
        <w:ind w:hanging="361"/>
        <w:rPr>
          <w:sz w:val="24"/>
        </w:rPr>
      </w:pPr>
      <w:r>
        <w:rPr>
          <w:color w:val="231F20"/>
          <w:sz w:val="24"/>
        </w:rPr>
        <w:t>Rivers</w:t>
      </w:r>
      <w:r>
        <w:rPr>
          <w:color w:val="231F20"/>
          <w:spacing w:val="-27"/>
          <w:sz w:val="24"/>
        </w:rPr>
        <w:t xml:space="preserve"> </w:t>
      </w:r>
      <w:r>
        <w:rPr>
          <w:color w:val="231F20"/>
          <w:sz w:val="24"/>
        </w:rPr>
        <w:t>State</w:t>
      </w:r>
      <w:r>
        <w:rPr>
          <w:color w:val="231F20"/>
          <w:spacing w:val="-40"/>
          <w:sz w:val="24"/>
        </w:rPr>
        <w:t xml:space="preserve"> </w:t>
      </w:r>
      <w:r>
        <w:rPr>
          <w:color w:val="231F20"/>
          <w:sz w:val="24"/>
        </w:rPr>
        <w:t>Approved</w:t>
      </w:r>
      <w:r>
        <w:rPr>
          <w:color w:val="231F20"/>
          <w:spacing w:val="-28"/>
          <w:sz w:val="24"/>
        </w:rPr>
        <w:t xml:space="preserve"> </w:t>
      </w:r>
      <w:r>
        <w:rPr>
          <w:color w:val="231F20"/>
          <w:sz w:val="24"/>
        </w:rPr>
        <w:t>Capital</w:t>
      </w:r>
      <w:r>
        <w:rPr>
          <w:color w:val="231F20"/>
          <w:spacing w:val="-27"/>
          <w:sz w:val="24"/>
        </w:rPr>
        <w:t xml:space="preserve"> </w:t>
      </w:r>
      <w:r>
        <w:rPr>
          <w:color w:val="231F20"/>
          <w:sz w:val="24"/>
        </w:rPr>
        <w:t>Budget</w:t>
      </w:r>
      <w:r>
        <w:rPr>
          <w:color w:val="231F20"/>
          <w:spacing w:val="-27"/>
          <w:sz w:val="24"/>
        </w:rPr>
        <w:t xml:space="preserve"> </w:t>
      </w:r>
      <w:r>
        <w:rPr>
          <w:color w:val="231F20"/>
          <w:sz w:val="24"/>
        </w:rPr>
        <w:t>Estimates</w:t>
      </w:r>
    </w:p>
    <w:p w14:paraId="57309566" w14:textId="77777777" w:rsidR="009948F1" w:rsidRDefault="009948F1">
      <w:pPr>
        <w:pStyle w:val="BodyText"/>
        <w:rPr>
          <w:sz w:val="24"/>
        </w:rPr>
      </w:pPr>
    </w:p>
    <w:p w14:paraId="7DE03C19" w14:textId="77777777" w:rsidR="009948F1" w:rsidRDefault="00BC0563">
      <w:pPr>
        <w:ind w:left="139" w:right="222"/>
        <w:jc w:val="both"/>
        <w:rPr>
          <w:sz w:val="24"/>
        </w:rPr>
      </w:pPr>
      <w:r>
        <w:rPr>
          <w:color w:val="231F20"/>
          <w:sz w:val="24"/>
        </w:rPr>
        <w:t>The</w:t>
      </w:r>
      <w:r>
        <w:rPr>
          <w:color w:val="231F20"/>
          <w:spacing w:val="-15"/>
          <w:sz w:val="24"/>
        </w:rPr>
        <w:t xml:space="preserve"> </w:t>
      </w:r>
      <w:r>
        <w:rPr>
          <w:color w:val="231F20"/>
          <w:sz w:val="24"/>
        </w:rPr>
        <w:t>five</w:t>
      </w:r>
      <w:r>
        <w:rPr>
          <w:color w:val="231F20"/>
          <w:spacing w:val="-14"/>
          <w:sz w:val="24"/>
        </w:rPr>
        <w:t xml:space="preserve"> </w:t>
      </w:r>
      <w:r>
        <w:rPr>
          <w:color w:val="231F20"/>
          <w:sz w:val="24"/>
        </w:rPr>
        <w:t>pillars</w:t>
      </w:r>
      <w:r>
        <w:rPr>
          <w:color w:val="231F20"/>
          <w:spacing w:val="-13"/>
          <w:sz w:val="24"/>
        </w:rPr>
        <w:t xml:space="preserve"> </w:t>
      </w:r>
      <w:r>
        <w:rPr>
          <w:color w:val="231F20"/>
          <w:sz w:val="24"/>
        </w:rPr>
        <w:t>and</w:t>
      </w:r>
      <w:r>
        <w:rPr>
          <w:color w:val="231F20"/>
          <w:spacing w:val="-13"/>
          <w:sz w:val="24"/>
        </w:rPr>
        <w:t xml:space="preserve"> </w:t>
      </w:r>
      <w:r>
        <w:rPr>
          <w:color w:val="231F20"/>
          <w:sz w:val="24"/>
        </w:rPr>
        <w:t>fifteen</w:t>
      </w:r>
      <w:r>
        <w:rPr>
          <w:color w:val="231F20"/>
          <w:spacing w:val="-14"/>
          <w:sz w:val="24"/>
        </w:rPr>
        <w:t xml:space="preserve"> </w:t>
      </w:r>
      <w:r>
        <w:rPr>
          <w:color w:val="231F20"/>
          <w:sz w:val="24"/>
        </w:rPr>
        <w:t>priority</w:t>
      </w:r>
      <w:r>
        <w:rPr>
          <w:color w:val="231F20"/>
          <w:spacing w:val="-13"/>
          <w:sz w:val="24"/>
        </w:rPr>
        <w:t xml:space="preserve"> </w:t>
      </w:r>
      <w:r>
        <w:rPr>
          <w:color w:val="231F20"/>
          <w:sz w:val="24"/>
        </w:rPr>
        <w:t>areas</w:t>
      </w:r>
      <w:r>
        <w:rPr>
          <w:color w:val="231F20"/>
          <w:spacing w:val="-13"/>
          <w:sz w:val="24"/>
        </w:rPr>
        <w:t xml:space="preserve"> </w:t>
      </w:r>
      <w:r>
        <w:rPr>
          <w:color w:val="231F20"/>
          <w:sz w:val="24"/>
        </w:rPr>
        <w:t>were</w:t>
      </w:r>
      <w:r>
        <w:rPr>
          <w:color w:val="231F20"/>
          <w:spacing w:val="-13"/>
          <w:sz w:val="24"/>
        </w:rPr>
        <w:t xml:space="preserve"> </w:t>
      </w:r>
      <w:r>
        <w:rPr>
          <w:color w:val="231F20"/>
          <w:sz w:val="24"/>
        </w:rPr>
        <w:t>strictly</w:t>
      </w:r>
      <w:r>
        <w:rPr>
          <w:color w:val="231F20"/>
          <w:spacing w:val="-14"/>
          <w:sz w:val="24"/>
        </w:rPr>
        <w:t xml:space="preserve"> </w:t>
      </w:r>
      <w:r>
        <w:rPr>
          <w:color w:val="231F20"/>
          <w:sz w:val="24"/>
        </w:rPr>
        <w:t>adhered</w:t>
      </w:r>
      <w:r>
        <w:rPr>
          <w:color w:val="231F20"/>
          <w:spacing w:val="-13"/>
          <w:sz w:val="24"/>
        </w:rPr>
        <w:t xml:space="preserve"> </w:t>
      </w:r>
      <w:r>
        <w:rPr>
          <w:color w:val="231F20"/>
          <w:sz w:val="24"/>
        </w:rPr>
        <w:t>to</w:t>
      </w:r>
      <w:r>
        <w:rPr>
          <w:color w:val="231F20"/>
          <w:spacing w:val="-14"/>
          <w:sz w:val="24"/>
        </w:rPr>
        <w:t xml:space="preserve"> </w:t>
      </w:r>
      <w:r>
        <w:rPr>
          <w:color w:val="231F20"/>
          <w:sz w:val="24"/>
        </w:rPr>
        <w:t>and</w:t>
      </w:r>
      <w:r>
        <w:rPr>
          <w:color w:val="231F20"/>
          <w:spacing w:val="-14"/>
          <w:sz w:val="24"/>
        </w:rPr>
        <w:t xml:space="preserve"> </w:t>
      </w:r>
      <w:r>
        <w:rPr>
          <w:color w:val="231F20"/>
          <w:sz w:val="24"/>
        </w:rPr>
        <w:t>activities</w:t>
      </w:r>
      <w:r>
        <w:rPr>
          <w:color w:val="231F20"/>
          <w:spacing w:val="-13"/>
          <w:sz w:val="24"/>
        </w:rPr>
        <w:t xml:space="preserve"> </w:t>
      </w:r>
      <w:r>
        <w:rPr>
          <w:color w:val="231F20"/>
          <w:sz w:val="24"/>
        </w:rPr>
        <w:t>mapped</w:t>
      </w:r>
      <w:r>
        <w:rPr>
          <w:color w:val="231F20"/>
          <w:spacing w:val="-13"/>
          <w:sz w:val="24"/>
        </w:rPr>
        <w:t xml:space="preserve"> </w:t>
      </w:r>
      <w:r>
        <w:rPr>
          <w:color w:val="231F20"/>
          <w:spacing w:val="-4"/>
          <w:sz w:val="24"/>
        </w:rPr>
        <w:t xml:space="preserve">out </w:t>
      </w:r>
      <w:r>
        <w:rPr>
          <w:color w:val="231F20"/>
          <w:sz w:val="24"/>
        </w:rPr>
        <w:t>according</w:t>
      </w:r>
      <w:r>
        <w:rPr>
          <w:color w:val="231F20"/>
          <w:spacing w:val="-10"/>
          <w:sz w:val="24"/>
        </w:rPr>
        <w:t xml:space="preserve"> </w:t>
      </w:r>
      <w:r>
        <w:rPr>
          <w:color w:val="231F20"/>
          <w:sz w:val="24"/>
        </w:rPr>
        <w:t>to</w:t>
      </w:r>
      <w:r>
        <w:rPr>
          <w:color w:val="231F20"/>
          <w:spacing w:val="-11"/>
          <w:sz w:val="24"/>
        </w:rPr>
        <w:t xml:space="preserve"> </w:t>
      </w:r>
      <w:r>
        <w:rPr>
          <w:color w:val="231F20"/>
          <w:sz w:val="24"/>
        </w:rPr>
        <w:t>the</w:t>
      </w:r>
      <w:r>
        <w:rPr>
          <w:color w:val="231F20"/>
          <w:spacing w:val="-10"/>
          <w:sz w:val="24"/>
        </w:rPr>
        <w:t xml:space="preserve"> </w:t>
      </w:r>
      <w:r>
        <w:rPr>
          <w:color w:val="231F20"/>
          <w:sz w:val="24"/>
        </w:rPr>
        <w:t>stipulated</w:t>
      </w:r>
      <w:r>
        <w:rPr>
          <w:color w:val="231F20"/>
          <w:spacing w:val="-10"/>
          <w:sz w:val="24"/>
        </w:rPr>
        <w:t xml:space="preserve"> </w:t>
      </w:r>
      <w:r>
        <w:rPr>
          <w:color w:val="231F20"/>
          <w:sz w:val="24"/>
        </w:rPr>
        <w:t>guidelines.</w:t>
      </w:r>
      <w:r>
        <w:rPr>
          <w:color w:val="231F20"/>
          <w:spacing w:val="-10"/>
          <w:sz w:val="24"/>
        </w:rPr>
        <w:t xml:space="preserve"> </w:t>
      </w:r>
      <w:r>
        <w:rPr>
          <w:color w:val="231F20"/>
          <w:sz w:val="24"/>
        </w:rPr>
        <w:t>Certain</w:t>
      </w:r>
      <w:r>
        <w:rPr>
          <w:color w:val="231F20"/>
          <w:spacing w:val="-9"/>
          <w:sz w:val="24"/>
        </w:rPr>
        <w:t xml:space="preserve"> </w:t>
      </w:r>
      <w:r>
        <w:rPr>
          <w:color w:val="231F20"/>
          <w:sz w:val="24"/>
        </w:rPr>
        <w:t>activities</w:t>
      </w:r>
      <w:r>
        <w:rPr>
          <w:color w:val="231F20"/>
          <w:spacing w:val="-10"/>
          <w:sz w:val="24"/>
        </w:rPr>
        <w:t xml:space="preserve"> </w:t>
      </w:r>
      <w:r>
        <w:rPr>
          <w:color w:val="231F20"/>
          <w:sz w:val="24"/>
        </w:rPr>
        <w:t>that</w:t>
      </w:r>
      <w:r>
        <w:rPr>
          <w:color w:val="231F20"/>
          <w:spacing w:val="-11"/>
          <w:sz w:val="24"/>
        </w:rPr>
        <w:t xml:space="preserve"> </w:t>
      </w:r>
      <w:r>
        <w:rPr>
          <w:color w:val="231F20"/>
          <w:sz w:val="24"/>
        </w:rPr>
        <w:t>are</w:t>
      </w:r>
      <w:r>
        <w:rPr>
          <w:color w:val="231F20"/>
          <w:spacing w:val="-10"/>
          <w:sz w:val="24"/>
        </w:rPr>
        <w:t xml:space="preserve"> </w:t>
      </w:r>
      <w:r>
        <w:rPr>
          <w:color w:val="231F20"/>
          <w:sz w:val="24"/>
        </w:rPr>
        <w:t>specific</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State</w:t>
      </w:r>
      <w:r>
        <w:rPr>
          <w:color w:val="231F20"/>
          <w:spacing w:val="-11"/>
          <w:sz w:val="24"/>
        </w:rPr>
        <w:t xml:space="preserve"> </w:t>
      </w:r>
      <w:r>
        <w:rPr>
          <w:color w:val="231F20"/>
          <w:spacing w:val="-4"/>
          <w:sz w:val="24"/>
        </w:rPr>
        <w:t xml:space="preserve">were </w:t>
      </w:r>
      <w:r>
        <w:rPr>
          <w:color w:val="231F20"/>
          <w:sz w:val="24"/>
        </w:rPr>
        <w:t>duly adopted with appropriate costing. The Rivers State Strategic Health Development Plan II for the year 2018 - 2022 was also produced from the framework and appropriate budgeting carried out. Future monitoring and evaluation of the plan was taken care of making</w:t>
      </w:r>
      <w:r>
        <w:rPr>
          <w:color w:val="231F20"/>
          <w:spacing w:val="-28"/>
          <w:sz w:val="24"/>
        </w:rPr>
        <w:t xml:space="preserve"> </w:t>
      </w:r>
      <w:r>
        <w:rPr>
          <w:color w:val="231F20"/>
          <w:sz w:val="24"/>
        </w:rPr>
        <w:t>use</w:t>
      </w:r>
      <w:r>
        <w:rPr>
          <w:color w:val="231F20"/>
          <w:spacing w:val="-27"/>
          <w:sz w:val="24"/>
        </w:rPr>
        <w:t xml:space="preserve"> </w:t>
      </w:r>
      <w:r>
        <w:rPr>
          <w:color w:val="231F20"/>
          <w:sz w:val="24"/>
        </w:rPr>
        <w:t>of</w:t>
      </w:r>
      <w:r>
        <w:rPr>
          <w:color w:val="231F20"/>
          <w:spacing w:val="-27"/>
          <w:sz w:val="24"/>
        </w:rPr>
        <w:t xml:space="preserve"> </w:t>
      </w:r>
      <w:r>
        <w:rPr>
          <w:color w:val="231F20"/>
          <w:sz w:val="24"/>
        </w:rPr>
        <w:t>various</w:t>
      </w:r>
      <w:r>
        <w:rPr>
          <w:color w:val="231F20"/>
          <w:spacing w:val="-27"/>
          <w:sz w:val="24"/>
        </w:rPr>
        <w:t xml:space="preserve"> </w:t>
      </w:r>
      <w:r>
        <w:rPr>
          <w:color w:val="231F20"/>
          <w:sz w:val="24"/>
        </w:rPr>
        <w:t>health</w:t>
      </w:r>
      <w:r>
        <w:rPr>
          <w:color w:val="231F20"/>
          <w:spacing w:val="-27"/>
          <w:sz w:val="24"/>
        </w:rPr>
        <w:t xml:space="preserve"> </w:t>
      </w:r>
      <w:r>
        <w:rPr>
          <w:color w:val="231F20"/>
          <w:sz w:val="24"/>
        </w:rPr>
        <w:t>indicators</w:t>
      </w:r>
      <w:r>
        <w:rPr>
          <w:color w:val="231F20"/>
          <w:spacing w:val="-27"/>
          <w:sz w:val="24"/>
        </w:rPr>
        <w:t xml:space="preserve"> </w:t>
      </w:r>
      <w:r>
        <w:rPr>
          <w:color w:val="231F20"/>
          <w:sz w:val="24"/>
        </w:rPr>
        <w:t>for</w:t>
      </w:r>
      <w:r>
        <w:rPr>
          <w:color w:val="231F20"/>
          <w:spacing w:val="-27"/>
          <w:sz w:val="24"/>
        </w:rPr>
        <w:t xml:space="preserve"> </w:t>
      </w:r>
      <w:r>
        <w:rPr>
          <w:color w:val="231F20"/>
          <w:sz w:val="24"/>
        </w:rPr>
        <w:t>definite</w:t>
      </w:r>
      <w:r>
        <w:rPr>
          <w:color w:val="231F20"/>
          <w:spacing w:val="-27"/>
          <w:sz w:val="24"/>
        </w:rPr>
        <w:t xml:space="preserve"> </w:t>
      </w:r>
      <w:r>
        <w:rPr>
          <w:color w:val="231F20"/>
          <w:sz w:val="24"/>
        </w:rPr>
        <w:t>areas</w:t>
      </w:r>
      <w:r>
        <w:rPr>
          <w:color w:val="231F20"/>
          <w:spacing w:val="-27"/>
          <w:sz w:val="24"/>
        </w:rPr>
        <w:t xml:space="preserve"> </w:t>
      </w:r>
      <w:r>
        <w:rPr>
          <w:color w:val="231F20"/>
          <w:sz w:val="24"/>
        </w:rPr>
        <w:t>of</w:t>
      </w:r>
      <w:r>
        <w:rPr>
          <w:color w:val="231F20"/>
          <w:spacing w:val="-27"/>
          <w:sz w:val="24"/>
        </w:rPr>
        <w:t xml:space="preserve"> </w:t>
      </w:r>
      <w:r>
        <w:rPr>
          <w:color w:val="231F20"/>
          <w:sz w:val="24"/>
        </w:rPr>
        <w:t>the</w:t>
      </w:r>
      <w:r>
        <w:rPr>
          <w:color w:val="231F20"/>
          <w:spacing w:val="-27"/>
          <w:sz w:val="24"/>
        </w:rPr>
        <w:t xml:space="preserve"> </w:t>
      </w:r>
      <w:r>
        <w:rPr>
          <w:color w:val="231F20"/>
          <w:sz w:val="24"/>
        </w:rPr>
        <w:t>plan.</w:t>
      </w:r>
    </w:p>
    <w:p w14:paraId="1E6E8751" w14:textId="77777777" w:rsidR="009948F1" w:rsidRDefault="009948F1">
      <w:pPr>
        <w:pStyle w:val="BodyText"/>
        <w:rPr>
          <w:sz w:val="24"/>
        </w:rPr>
      </w:pPr>
    </w:p>
    <w:p w14:paraId="1149E833" w14:textId="77777777" w:rsidR="009948F1" w:rsidRDefault="00BC0563">
      <w:pPr>
        <w:ind w:left="138" w:right="222"/>
        <w:jc w:val="both"/>
        <w:rPr>
          <w:sz w:val="24"/>
        </w:rPr>
      </w:pPr>
      <w:r>
        <w:rPr>
          <w:color w:val="231F20"/>
          <w:sz w:val="24"/>
        </w:rPr>
        <w:t>It</w:t>
      </w:r>
      <w:r>
        <w:rPr>
          <w:color w:val="231F20"/>
          <w:spacing w:val="-13"/>
          <w:sz w:val="24"/>
        </w:rPr>
        <w:t xml:space="preserve"> </w:t>
      </w:r>
      <w:r>
        <w:rPr>
          <w:color w:val="231F20"/>
          <w:sz w:val="24"/>
        </w:rPr>
        <w:t>is</w:t>
      </w:r>
      <w:r>
        <w:rPr>
          <w:color w:val="231F20"/>
          <w:spacing w:val="-12"/>
          <w:sz w:val="24"/>
        </w:rPr>
        <w:t xml:space="preserve"> </w:t>
      </w:r>
      <w:r>
        <w:rPr>
          <w:color w:val="231F20"/>
          <w:sz w:val="24"/>
        </w:rPr>
        <w:t>hoped</w:t>
      </w:r>
      <w:r>
        <w:rPr>
          <w:color w:val="231F20"/>
          <w:spacing w:val="-12"/>
          <w:sz w:val="24"/>
        </w:rPr>
        <w:t xml:space="preserve"> </w:t>
      </w:r>
      <w:r>
        <w:rPr>
          <w:color w:val="231F20"/>
          <w:sz w:val="24"/>
        </w:rPr>
        <w:t>that</w:t>
      </w:r>
      <w:r>
        <w:rPr>
          <w:color w:val="231F20"/>
          <w:spacing w:val="-12"/>
          <w:sz w:val="24"/>
        </w:rPr>
        <w:t xml:space="preserve"> </w:t>
      </w:r>
      <w:r>
        <w:rPr>
          <w:color w:val="231F20"/>
          <w:sz w:val="24"/>
        </w:rPr>
        <w:t>if</w:t>
      </w:r>
      <w:r>
        <w:rPr>
          <w:color w:val="231F20"/>
          <w:spacing w:val="-12"/>
          <w:sz w:val="24"/>
        </w:rPr>
        <w:t xml:space="preserve"> </w:t>
      </w:r>
      <w:r>
        <w:rPr>
          <w:color w:val="231F20"/>
          <w:sz w:val="24"/>
        </w:rPr>
        <w:t>the</w:t>
      </w:r>
      <w:r>
        <w:rPr>
          <w:color w:val="231F20"/>
          <w:spacing w:val="-12"/>
          <w:sz w:val="24"/>
        </w:rPr>
        <w:t xml:space="preserve"> </w:t>
      </w:r>
      <w:r>
        <w:rPr>
          <w:color w:val="231F20"/>
          <w:sz w:val="24"/>
        </w:rPr>
        <w:t>Strategic</w:t>
      </w:r>
      <w:r>
        <w:rPr>
          <w:color w:val="231F20"/>
          <w:spacing w:val="-12"/>
          <w:sz w:val="24"/>
        </w:rPr>
        <w:t xml:space="preserve"> </w:t>
      </w:r>
      <w:r>
        <w:rPr>
          <w:color w:val="231F20"/>
          <w:sz w:val="24"/>
        </w:rPr>
        <w:t>Health</w:t>
      </w:r>
      <w:r>
        <w:rPr>
          <w:color w:val="231F20"/>
          <w:spacing w:val="-12"/>
          <w:sz w:val="24"/>
        </w:rPr>
        <w:t xml:space="preserve"> </w:t>
      </w:r>
      <w:r>
        <w:rPr>
          <w:color w:val="231F20"/>
          <w:sz w:val="24"/>
        </w:rPr>
        <w:t>Development</w:t>
      </w:r>
      <w:r>
        <w:rPr>
          <w:color w:val="231F20"/>
          <w:spacing w:val="-12"/>
          <w:sz w:val="24"/>
        </w:rPr>
        <w:t xml:space="preserve"> </w:t>
      </w:r>
      <w:r>
        <w:rPr>
          <w:color w:val="231F20"/>
          <w:sz w:val="24"/>
        </w:rPr>
        <w:t>Plan</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State</w:t>
      </w:r>
      <w:r>
        <w:rPr>
          <w:color w:val="231F20"/>
          <w:spacing w:val="-12"/>
          <w:sz w:val="24"/>
        </w:rPr>
        <w:t xml:space="preserve"> </w:t>
      </w:r>
      <w:r>
        <w:rPr>
          <w:color w:val="231F20"/>
          <w:sz w:val="24"/>
        </w:rPr>
        <w:t>is</w:t>
      </w:r>
      <w:r>
        <w:rPr>
          <w:color w:val="231F20"/>
          <w:spacing w:val="-12"/>
          <w:sz w:val="24"/>
        </w:rPr>
        <w:t xml:space="preserve"> </w:t>
      </w:r>
      <w:r>
        <w:rPr>
          <w:color w:val="231F20"/>
          <w:sz w:val="24"/>
        </w:rPr>
        <w:t>strictly</w:t>
      </w:r>
      <w:r>
        <w:rPr>
          <w:color w:val="231F20"/>
          <w:spacing w:val="-12"/>
          <w:sz w:val="24"/>
        </w:rPr>
        <w:t xml:space="preserve"> </w:t>
      </w:r>
      <w:r>
        <w:rPr>
          <w:color w:val="231F20"/>
          <w:sz w:val="24"/>
        </w:rPr>
        <w:t>adhered</w:t>
      </w:r>
      <w:r>
        <w:rPr>
          <w:color w:val="231F20"/>
          <w:spacing w:val="-12"/>
          <w:sz w:val="24"/>
        </w:rPr>
        <w:t xml:space="preserve"> </w:t>
      </w:r>
      <w:r>
        <w:rPr>
          <w:color w:val="231F20"/>
          <w:sz w:val="24"/>
        </w:rPr>
        <w:t>to, the health situation which is presently unacceptable in the area will be greatly improved, and</w:t>
      </w:r>
      <w:r>
        <w:rPr>
          <w:color w:val="231F20"/>
          <w:spacing w:val="-5"/>
          <w:sz w:val="24"/>
        </w:rPr>
        <w:t xml:space="preserve"> </w:t>
      </w:r>
      <w:r>
        <w:rPr>
          <w:color w:val="231F20"/>
          <w:sz w:val="24"/>
        </w:rPr>
        <w:t>the</w:t>
      </w:r>
      <w:r>
        <w:rPr>
          <w:color w:val="231F20"/>
          <w:spacing w:val="-5"/>
          <w:sz w:val="24"/>
        </w:rPr>
        <w:t xml:space="preserve"> </w:t>
      </w:r>
      <w:r>
        <w:rPr>
          <w:color w:val="231F20"/>
          <w:sz w:val="24"/>
        </w:rPr>
        <w:t>Sustainable</w:t>
      </w:r>
      <w:r>
        <w:rPr>
          <w:color w:val="231F20"/>
          <w:spacing w:val="-5"/>
          <w:sz w:val="24"/>
        </w:rPr>
        <w:t xml:space="preserve"> </w:t>
      </w:r>
      <w:r>
        <w:rPr>
          <w:color w:val="231F20"/>
          <w:sz w:val="24"/>
        </w:rPr>
        <w:t>Development</w:t>
      </w:r>
      <w:r>
        <w:rPr>
          <w:color w:val="231F20"/>
          <w:spacing w:val="-5"/>
          <w:sz w:val="24"/>
        </w:rPr>
        <w:t xml:space="preserve"> </w:t>
      </w:r>
      <w:r>
        <w:rPr>
          <w:color w:val="231F20"/>
          <w:sz w:val="24"/>
        </w:rPr>
        <w:t>Goals,</w:t>
      </w:r>
      <w:r>
        <w:rPr>
          <w:color w:val="231F20"/>
          <w:spacing w:val="-5"/>
          <w:sz w:val="24"/>
        </w:rPr>
        <w:t xml:space="preserve"> </w:t>
      </w:r>
      <w:r>
        <w:rPr>
          <w:color w:val="231F20"/>
          <w:sz w:val="24"/>
        </w:rPr>
        <w:t>especially</w:t>
      </w:r>
      <w:r>
        <w:rPr>
          <w:color w:val="231F20"/>
          <w:spacing w:val="-5"/>
          <w:sz w:val="24"/>
        </w:rPr>
        <w:t xml:space="preserve"> </w:t>
      </w:r>
      <w:r>
        <w:rPr>
          <w:color w:val="231F20"/>
          <w:sz w:val="24"/>
        </w:rPr>
        <w:t>those</w:t>
      </w:r>
      <w:r>
        <w:rPr>
          <w:color w:val="231F20"/>
          <w:spacing w:val="-5"/>
          <w:sz w:val="24"/>
        </w:rPr>
        <w:t xml:space="preserve"> </w:t>
      </w:r>
      <w:r>
        <w:rPr>
          <w:color w:val="231F20"/>
          <w:sz w:val="24"/>
        </w:rPr>
        <w:t>that</w:t>
      </w:r>
      <w:r>
        <w:rPr>
          <w:color w:val="231F20"/>
          <w:spacing w:val="-5"/>
          <w:sz w:val="24"/>
        </w:rPr>
        <w:t xml:space="preserve"> </w:t>
      </w:r>
      <w:r>
        <w:rPr>
          <w:color w:val="231F20"/>
          <w:sz w:val="24"/>
        </w:rPr>
        <w:t>concern</w:t>
      </w:r>
      <w:r>
        <w:rPr>
          <w:color w:val="231F20"/>
          <w:spacing w:val="-5"/>
          <w:sz w:val="24"/>
        </w:rPr>
        <w:t xml:space="preserve"> </w:t>
      </w:r>
      <w:r>
        <w:rPr>
          <w:color w:val="231F20"/>
          <w:sz w:val="24"/>
        </w:rPr>
        <w:t>health,</w:t>
      </w:r>
      <w:r>
        <w:rPr>
          <w:color w:val="231F20"/>
          <w:spacing w:val="-5"/>
          <w:sz w:val="24"/>
        </w:rPr>
        <w:t xml:space="preserve"> </w:t>
      </w:r>
      <w:r>
        <w:rPr>
          <w:color w:val="231F20"/>
          <w:sz w:val="24"/>
        </w:rPr>
        <w:t>one</w:t>
      </w:r>
      <w:r>
        <w:rPr>
          <w:color w:val="231F20"/>
          <w:spacing w:val="-5"/>
          <w:sz w:val="24"/>
        </w:rPr>
        <w:t xml:space="preserve"> </w:t>
      </w:r>
      <w:r>
        <w:rPr>
          <w:color w:val="231F20"/>
          <w:spacing w:val="-3"/>
          <w:sz w:val="24"/>
        </w:rPr>
        <w:t xml:space="preserve">more </w:t>
      </w:r>
      <w:r>
        <w:rPr>
          <w:color w:val="231F20"/>
          <w:sz w:val="24"/>
        </w:rPr>
        <w:t>likely</w:t>
      </w:r>
      <w:r>
        <w:rPr>
          <w:color w:val="231F20"/>
          <w:spacing w:val="-27"/>
          <w:sz w:val="24"/>
        </w:rPr>
        <w:t xml:space="preserve"> </w:t>
      </w:r>
      <w:r>
        <w:rPr>
          <w:color w:val="231F20"/>
          <w:sz w:val="24"/>
        </w:rPr>
        <w:t>to</w:t>
      </w:r>
      <w:r>
        <w:rPr>
          <w:color w:val="231F20"/>
          <w:spacing w:val="-27"/>
          <w:sz w:val="24"/>
        </w:rPr>
        <w:t xml:space="preserve"> </w:t>
      </w:r>
      <w:r>
        <w:rPr>
          <w:color w:val="231F20"/>
          <w:sz w:val="24"/>
        </w:rPr>
        <w:t>be</w:t>
      </w:r>
      <w:r>
        <w:rPr>
          <w:color w:val="231F20"/>
          <w:spacing w:val="-27"/>
          <w:sz w:val="24"/>
        </w:rPr>
        <w:t xml:space="preserve"> </w:t>
      </w:r>
      <w:r>
        <w:rPr>
          <w:color w:val="231F20"/>
          <w:sz w:val="24"/>
        </w:rPr>
        <w:t>achieved.</w:t>
      </w:r>
    </w:p>
    <w:p w14:paraId="5B5DA1BA" w14:textId="77777777" w:rsidR="009948F1" w:rsidRDefault="009948F1">
      <w:pPr>
        <w:jc w:val="both"/>
        <w:rPr>
          <w:sz w:val="24"/>
        </w:rPr>
        <w:sectPr w:rsidR="009948F1">
          <w:footerReference w:type="default" r:id="rId34"/>
          <w:pgSz w:w="11910" w:h="16840"/>
          <w:pgMar w:top="1420" w:right="1080" w:bottom="1420" w:left="1120" w:header="0" w:footer="1235" w:gutter="0"/>
          <w:pgNumType w:start="116"/>
          <w:cols w:space="720"/>
        </w:sectPr>
      </w:pPr>
    </w:p>
    <w:p w14:paraId="32123510" w14:textId="77777777" w:rsidR="009948F1" w:rsidRDefault="00BC0563">
      <w:pPr>
        <w:pStyle w:val="Heading3"/>
        <w:spacing w:before="38"/>
        <w:ind w:right="1125"/>
        <w:rPr>
          <w:rFonts w:ascii="Arial"/>
        </w:rPr>
      </w:pPr>
      <w:bookmarkStart w:id="144" w:name="_TOC_250000"/>
      <w:bookmarkEnd w:id="144"/>
      <w:r>
        <w:rPr>
          <w:rFonts w:ascii="Arial"/>
          <w:color w:val="231F20"/>
        </w:rPr>
        <w:lastRenderedPageBreak/>
        <w:t>APPENDICES</w:t>
      </w:r>
    </w:p>
    <w:p w14:paraId="7F8A6E24" w14:textId="77777777" w:rsidR="009948F1" w:rsidRDefault="00BC0563">
      <w:pPr>
        <w:spacing w:before="264"/>
        <w:ind w:left="162"/>
        <w:rPr>
          <w:b/>
          <w:sz w:val="28"/>
        </w:rPr>
      </w:pPr>
      <w:r>
        <w:rPr>
          <w:b/>
          <w:color w:val="231F20"/>
          <w:sz w:val="28"/>
        </w:rPr>
        <w:t>Appendix1 for the Costing Chapter</w:t>
      </w:r>
    </w:p>
    <w:p w14:paraId="7CB05848" w14:textId="77777777" w:rsidR="009948F1" w:rsidRDefault="009948F1">
      <w:pPr>
        <w:pStyle w:val="BodyText"/>
        <w:spacing w:before="2"/>
        <w:rPr>
          <w:b/>
          <w:sz w:val="28"/>
        </w:rPr>
      </w:pPr>
    </w:p>
    <w:p w14:paraId="1437B014" w14:textId="77777777" w:rsidR="009948F1" w:rsidRDefault="00BC0563">
      <w:pPr>
        <w:pStyle w:val="Heading7"/>
        <w:ind w:left="522"/>
      </w:pPr>
      <w:r>
        <w:rPr>
          <w:color w:val="231F20"/>
        </w:rPr>
        <w:t>NSHPII Services &amp; System Components Costed by the One Health Tool</w:t>
      </w:r>
    </w:p>
    <w:p w14:paraId="376AB4BA" w14:textId="77777777" w:rsidR="009948F1" w:rsidRDefault="00BC0563">
      <w:pPr>
        <w:pStyle w:val="ListParagraph"/>
        <w:numPr>
          <w:ilvl w:val="0"/>
          <w:numId w:val="245"/>
        </w:numPr>
        <w:tabs>
          <w:tab w:val="left" w:pos="882"/>
          <w:tab w:val="left" w:pos="883"/>
        </w:tabs>
        <w:spacing w:before="42"/>
        <w:ind w:hanging="361"/>
        <w:jc w:val="left"/>
        <w:rPr>
          <w:b/>
        </w:rPr>
      </w:pPr>
      <w:r>
        <w:rPr>
          <w:b/>
          <w:color w:val="231F20"/>
        </w:rPr>
        <w:t>Health Services</w:t>
      </w:r>
      <w:r>
        <w:rPr>
          <w:b/>
          <w:color w:val="231F20"/>
          <w:spacing w:val="-50"/>
        </w:rPr>
        <w:t xml:space="preserve"> </w:t>
      </w:r>
      <w:r>
        <w:rPr>
          <w:b/>
          <w:color w:val="231F20"/>
        </w:rPr>
        <w:t>Component</w:t>
      </w:r>
    </w:p>
    <w:p w14:paraId="13A405A9" w14:textId="77777777" w:rsidR="009948F1" w:rsidRDefault="00BC0563">
      <w:pPr>
        <w:pStyle w:val="ListParagraph"/>
        <w:numPr>
          <w:ilvl w:val="1"/>
          <w:numId w:val="245"/>
        </w:numPr>
        <w:tabs>
          <w:tab w:val="left" w:pos="1602"/>
          <w:tab w:val="left" w:pos="1603"/>
        </w:tabs>
        <w:spacing w:before="41"/>
        <w:ind w:hanging="361"/>
        <w:jc w:val="left"/>
      </w:pPr>
      <w:proofErr w:type="spellStart"/>
      <w:r>
        <w:rPr>
          <w:color w:val="231F20"/>
        </w:rPr>
        <w:t>RMNCH+Nutrition</w:t>
      </w:r>
      <w:proofErr w:type="spellEnd"/>
      <w:r>
        <w:rPr>
          <w:color w:val="231F20"/>
        </w:rPr>
        <w:t>,</w:t>
      </w:r>
      <w:r>
        <w:rPr>
          <w:color w:val="231F20"/>
          <w:spacing w:val="-37"/>
        </w:rPr>
        <w:t xml:space="preserve"> </w:t>
      </w:r>
      <w:r>
        <w:rPr>
          <w:color w:val="231F20"/>
        </w:rPr>
        <w:t>Adolescent</w:t>
      </w:r>
      <w:r>
        <w:rPr>
          <w:color w:val="231F20"/>
          <w:spacing w:val="-25"/>
        </w:rPr>
        <w:t xml:space="preserve"> </w:t>
      </w:r>
      <w:r>
        <w:rPr>
          <w:color w:val="231F20"/>
        </w:rPr>
        <w:t>Health</w:t>
      </w:r>
    </w:p>
    <w:p w14:paraId="1679DFD1" w14:textId="77777777" w:rsidR="009948F1" w:rsidRDefault="00BC0563">
      <w:pPr>
        <w:pStyle w:val="ListParagraph"/>
        <w:numPr>
          <w:ilvl w:val="1"/>
          <w:numId w:val="245"/>
        </w:numPr>
        <w:tabs>
          <w:tab w:val="left" w:pos="1602"/>
          <w:tab w:val="left" w:pos="1603"/>
        </w:tabs>
        <w:spacing w:before="22"/>
        <w:ind w:hanging="361"/>
        <w:jc w:val="left"/>
      </w:pPr>
      <w:r>
        <w:rPr>
          <w:color w:val="231F20"/>
        </w:rPr>
        <w:t>Communicable</w:t>
      </w:r>
      <w:r>
        <w:rPr>
          <w:color w:val="231F20"/>
          <w:spacing w:val="-25"/>
        </w:rPr>
        <w:t xml:space="preserve"> </w:t>
      </w:r>
      <w:r>
        <w:rPr>
          <w:color w:val="231F20"/>
        </w:rPr>
        <w:t>Disease/NTDs</w:t>
      </w:r>
    </w:p>
    <w:p w14:paraId="5C8C09F9" w14:textId="77777777" w:rsidR="009948F1" w:rsidRDefault="00BC0563">
      <w:pPr>
        <w:pStyle w:val="ListParagraph"/>
        <w:numPr>
          <w:ilvl w:val="1"/>
          <w:numId w:val="245"/>
        </w:numPr>
        <w:tabs>
          <w:tab w:val="left" w:pos="1602"/>
          <w:tab w:val="left" w:pos="1603"/>
        </w:tabs>
        <w:spacing w:before="23"/>
        <w:ind w:hanging="361"/>
        <w:jc w:val="left"/>
      </w:pPr>
      <w:r>
        <w:rPr>
          <w:color w:val="231F20"/>
        </w:rPr>
        <w:t>NCDs, Mental</w:t>
      </w:r>
      <w:r>
        <w:rPr>
          <w:color w:val="231F20"/>
          <w:spacing w:val="-50"/>
        </w:rPr>
        <w:t xml:space="preserve"> </w:t>
      </w:r>
      <w:r>
        <w:rPr>
          <w:color w:val="231F20"/>
        </w:rPr>
        <w:t>Health</w:t>
      </w:r>
    </w:p>
    <w:p w14:paraId="03678661" w14:textId="77777777" w:rsidR="009948F1" w:rsidRDefault="00BC0563">
      <w:pPr>
        <w:pStyle w:val="ListParagraph"/>
        <w:numPr>
          <w:ilvl w:val="1"/>
          <w:numId w:val="245"/>
        </w:numPr>
        <w:tabs>
          <w:tab w:val="left" w:pos="1602"/>
          <w:tab w:val="left" w:pos="1603"/>
        </w:tabs>
        <w:spacing w:before="22"/>
        <w:ind w:hanging="361"/>
        <w:jc w:val="left"/>
      </w:pPr>
      <w:r>
        <w:rPr>
          <w:color w:val="231F20"/>
        </w:rPr>
        <w:t>Emergency</w:t>
      </w:r>
      <w:r>
        <w:rPr>
          <w:color w:val="231F20"/>
          <w:spacing w:val="-25"/>
        </w:rPr>
        <w:t xml:space="preserve"> </w:t>
      </w:r>
      <w:r>
        <w:rPr>
          <w:color w:val="231F20"/>
        </w:rPr>
        <w:t>&amp;</w:t>
      </w:r>
      <w:r>
        <w:rPr>
          <w:color w:val="231F20"/>
          <w:spacing w:val="-25"/>
        </w:rPr>
        <w:t xml:space="preserve"> </w:t>
      </w:r>
      <w:r>
        <w:rPr>
          <w:color w:val="231F20"/>
        </w:rPr>
        <w:t>Epidemic</w:t>
      </w:r>
      <w:r>
        <w:rPr>
          <w:color w:val="231F20"/>
          <w:spacing w:val="-26"/>
        </w:rPr>
        <w:t xml:space="preserve"> </w:t>
      </w:r>
      <w:r>
        <w:rPr>
          <w:color w:val="231F20"/>
        </w:rPr>
        <w:t>Preparedness</w:t>
      </w:r>
    </w:p>
    <w:p w14:paraId="359AE073" w14:textId="77777777" w:rsidR="009948F1" w:rsidRDefault="00BC0563">
      <w:pPr>
        <w:pStyle w:val="ListParagraph"/>
        <w:numPr>
          <w:ilvl w:val="1"/>
          <w:numId w:val="245"/>
        </w:numPr>
        <w:tabs>
          <w:tab w:val="left" w:pos="1602"/>
          <w:tab w:val="left" w:pos="1603"/>
        </w:tabs>
        <w:spacing w:before="23"/>
        <w:ind w:hanging="361"/>
        <w:jc w:val="left"/>
      </w:pPr>
      <w:r>
        <w:rPr>
          <w:color w:val="231F20"/>
        </w:rPr>
        <w:t>General</w:t>
      </w:r>
      <w:r>
        <w:rPr>
          <w:color w:val="231F20"/>
          <w:spacing w:val="-37"/>
        </w:rPr>
        <w:t xml:space="preserve"> </w:t>
      </w:r>
      <w:r>
        <w:rPr>
          <w:color w:val="231F20"/>
        </w:rPr>
        <w:t>And</w:t>
      </w:r>
      <w:r>
        <w:rPr>
          <w:color w:val="231F20"/>
          <w:spacing w:val="-25"/>
        </w:rPr>
        <w:t xml:space="preserve"> </w:t>
      </w:r>
      <w:r>
        <w:rPr>
          <w:color w:val="231F20"/>
        </w:rPr>
        <w:t>Emergency</w:t>
      </w:r>
      <w:r>
        <w:rPr>
          <w:color w:val="231F20"/>
          <w:spacing w:val="-26"/>
        </w:rPr>
        <w:t xml:space="preserve"> </w:t>
      </w:r>
      <w:r>
        <w:rPr>
          <w:color w:val="231F20"/>
        </w:rPr>
        <w:t>Hospital</w:t>
      </w:r>
      <w:r>
        <w:rPr>
          <w:color w:val="231F20"/>
          <w:spacing w:val="-25"/>
        </w:rPr>
        <w:t xml:space="preserve"> </w:t>
      </w:r>
      <w:r>
        <w:rPr>
          <w:color w:val="231F20"/>
        </w:rPr>
        <w:t>Services</w:t>
      </w:r>
    </w:p>
    <w:p w14:paraId="11A171E0" w14:textId="77777777" w:rsidR="009948F1" w:rsidRDefault="00BC0563">
      <w:pPr>
        <w:pStyle w:val="ListParagraph"/>
        <w:numPr>
          <w:ilvl w:val="0"/>
          <w:numId w:val="245"/>
        </w:numPr>
        <w:tabs>
          <w:tab w:val="left" w:pos="882"/>
          <w:tab w:val="left" w:pos="883"/>
        </w:tabs>
        <w:spacing w:before="22"/>
        <w:ind w:hanging="361"/>
        <w:jc w:val="left"/>
      </w:pPr>
      <w:r>
        <w:rPr>
          <w:color w:val="231F20"/>
        </w:rPr>
        <w:t>HSS</w:t>
      </w:r>
      <w:r>
        <w:rPr>
          <w:color w:val="231F20"/>
          <w:spacing w:val="-25"/>
        </w:rPr>
        <w:t xml:space="preserve"> </w:t>
      </w:r>
      <w:r>
        <w:rPr>
          <w:color w:val="231F20"/>
        </w:rPr>
        <w:t>Component</w:t>
      </w:r>
    </w:p>
    <w:p w14:paraId="799A4689" w14:textId="77777777" w:rsidR="009948F1" w:rsidRDefault="00BC0563">
      <w:pPr>
        <w:pStyle w:val="ListParagraph"/>
        <w:numPr>
          <w:ilvl w:val="1"/>
          <w:numId w:val="245"/>
        </w:numPr>
        <w:tabs>
          <w:tab w:val="left" w:pos="1602"/>
          <w:tab w:val="left" w:pos="1603"/>
        </w:tabs>
        <w:spacing w:before="41"/>
        <w:ind w:hanging="361"/>
        <w:jc w:val="left"/>
      </w:pPr>
      <w:r>
        <w:rPr>
          <w:color w:val="231F20"/>
        </w:rPr>
        <w:t>HR</w:t>
      </w:r>
      <w:r>
        <w:rPr>
          <w:color w:val="231F20"/>
          <w:spacing w:val="-25"/>
        </w:rPr>
        <w:t xml:space="preserve"> </w:t>
      </w:r>
      <w:r>
        <w:rPr>
          <w:color w:val="231F20"/>
        </w:rPr>
        <w:t>(Admin</w:t>
      </w:r>
      <w:r>
        <w:rPr>
          <w:color w:val="231F20"/>
          <w:spacing w:val="-25"/>
        </w:rPr>
        <w:t xml:space="preserve"> </w:t>
      </w:r>
      <w:r>
        <w:rPr>
          <w:color w:val="231F20"/>
        </w:rPr>
        <w:t>and</w:t>
      </w:r>
      <w:r>
        <w:rPr>
          <w:color w:val="231F20"/>
          <w:spacing w:val="-26"/>
        </w:rPr>
        <w:t xml:space="preserve"> </w:t>
      </w:r>
      <w:r>
        <w:rPr>
          <w:color w:val="231F20"/>
        </w:rPr>
        <w:t>Service</w:t>
      </w:r>
      <w:r>
        <w:rPr>
          <w:color w:val="231F20"/>
          <w:spacing w:val="-25"/>
        </w:rPr>
        <w:t xml:space="preserve"> </w:t>
      </w:r>
      <w:r>
        <w:rPr>
          <w:color w:val="231F20"/>
        </w:rPr>
        <w:t>Delivery)</w:t>
      </w:r>
    </w:p>
    <w:p w14:paraId="2E90DD66" w14:textId="77777777" w:rsidR="009948F1" w:rsidRDefault="00BC0563">
      <w:pPr>
        <w:pStyle w:val="ListParagraph"/>
        <w:numPr>
          <w:ilvl w:val="1"/>
          <w:numId w:val="245"/>
        </w:numPr>
        <w:tabs>
          <w:tab w:val="left" w:pos="1602"/>
          <w:tab w:val="left" w:pos="1603"/>
        </w:tabs>
        <w:spacing w:before="23"/>
        <w:ind w:hanging="361"/>
        <w:jc w:val="left"/>
      </w:pPr>
      <w:r>
        <w:rPr>
          <w:color w:val="231F20"/>
        </w:rPr>
        <w:t>Logistics</w:t>
      </w:r>
    </w:p>
    <w:p w14:paraId="068A4DA0" w14:textId="77777777" w:rsidR="009948F1" w:rsidRDefault="00BC0563">
      <w:pPr>
        <w:pStyle w:val="ListParagraph"/>
        <w:numPr>
          <w:ilvl w:val="1"/>
          <w:numId w:val="245"/>
        </w:numPr>
        <w:tabs>
          <w:tab w:val="left" w:pos="1602"/>
          <w:tab w:val="left" w:pos="1603"/>
        </w:tabs>
        <w:spacing w:before="22"/>
        <w:ind w:hanging="361"/>
        <w:jc w:val="left"/>
      </w:pPr>
      <w:r>
        <w:rPr>
          <w:color w:val="231F20"/>
        </w:rPr>
        <w:t>Infrastructure</w:t>
      </w:r>
      <w:r>
        <w:rPr>
          <w:color w:val="231F20"/>
          <w:spacing w:val="-25"/>
        </w:rPr>
        <w:t xml:space="preserve"> </w:t>
      </w:r>
      <w:r>
        <w:rPr>
          <w:color w:val="231F20"/>
        </w:rPr>
        <w:t>including</w:t>
      </w:r>
      <w:r>
        <w:rPr>
          <w:color w:val="231F20"/>
          <w:spacing w:val="-25"/>
        </w:rPr>
        <w:t xml:space="preserve"> </w:t>
      </w:r>
      <w:r>
        <w:rPr>
          <w:color w:val="231F20"/>
        </w:rPr>
        <w:t>Blood</w:t>
      </w:r>
      <w:r>
        <w:rPr>
          <w:color w:val="231F20"/>
          <w:spacing w:val="-25"/>
        </w:rPr>
        <w:t xml:space="preserve"> </w:t>
      </w:r>
      <w:r>
        <w:rPr>
          <w:color w:val="231F20"/>
          <w:spacing w:val="-3"/>
        </w:rPr>
        <w:t>Safety,</w:t>
      </w:r>
      <w:r>
        <w:rPr>
          <w:color w:val="231F20"/>
          <w:spacing w:val="-25"/>
        </w:rPr>
        <w:t xml:space="preserve"> </w:t>
      </w:r>
      <w:r>
        <w:rPr>
          <w:color w:val="231F20"/>
        </w:rPr>
        <w:t>Labs</w:t>
      </w:r>
    </w:p>
    <w:p w14:paraId="02D0B61D" w14:textId="77777777" w:rsidR="009948F1" w:rsidRDefault="00BC0563">
      <w:pPr>
        <w:pStyle w:val="ListParagraph"/>
        <w:numPr>
          <w:ilvl w:val="1"/>
          <w:numId w:val="245"/>
        </w:numPr>
        <w:tabs>
          <w:tab w:val="left" w:pos="1602"/>
          <w:tab w:val="left" w:pos="1603"/>
        </w:tabs>
        <w:spacing w:before="22"/>
        <w:ind w:hanging="361"/>
        <w:jc w:val="left"/>
      </w:pPr>
      <w:r>
        <w:rPr>
          <w:color w:val="231F20"/>
        </w:rPr>
        <w:t>Governance</w:t>
      </w:r>
    </w:p>
    <w:p w14:paraId="1BE738D9" w14:textId="77777777" w:rsidR="009948F1" w:rsidRDefault="00BC0563">
      <w:pPr>
        <w:pStyle w:val="ListParagraph"/>
        <w:numPr>
          <w:ilvl w:val="1"/>
          <w:numId w:val="245"/>
        </w:numPr>
        <w:tabs>
          <w:tab w:val="left" w:pos="1602"/>
          <w:tab w:val="left" w:pos="1603"/>
        </w:tabs>
        <w:spacing w:before="23"/>
        <w:ind w:hanging="361"/>
        <w:jc w:val="left"/>
      </w:pPr>
      <w:r>
        <w:rPr>
          <w:color w:val="231F20"/>
        </w:rPr>
        <w:t>Health</w:t>
      </w:r>
      <w:r>
        <w:rPr>
          <w:color w:val="231F20"/>
          <w:spacing w:val="-25"/>
        </w:rPr>
        <w:t xml:space="preserve"> </w:t>
      </w:r>
      <w:r>
        <w:rPr>
          <w:color w:val="231F20"/>
        </w:rPr>
        <w:t>Financing</w:t>
      </w:r>
    </w:p>
    <w:p w14:paraId="107CAD29" w14:textId="77777777" w:rsidR="009948F1" w:rsidRDefault="00BC0563">
      <w:pPr>
        <w:pStyle w:val="Heading7"/>
        <w:numPr>
          <w:ilvl w:val="0"/>
          <w:numId w:val="245"/>
        </w:numPr>
        <w:tabs>
          <w:tab w:val="left" w:pos="882"/>
          <w:tab w:val="left" w:pos="883"/>
        </w:tabs>
        <w:spacing w:before="22"/>
        <w:ind w:hanging="361"/>
      </w:pPr>
      <w:r>
        <w:rPr>
          <w:color w:val="231F20"/>
        </w:rPr>
        <w:t>Overview</w:t>
      </w:r>
      <w:r>
        <w:rPr>
          <w:color w:val="231F20"/>
          <w:spacing w:val="-25"/>
        </w:rPr>
        <w:t xml:space="preserve"> </w:t>
      </w:r>
      <w:r>
        <w:rPr>
          <w:color w:val="231F20"/>
        </w:rPr>
        <w:t>of</w:t>
      </w:r>
      <w:r>
        <w:rPr>
          <w:color w:val="231F20"/>
          <w:spacing w:val="-26"/>
        </w:rPr>
        <w:t xml:space="preserve"> </w:t>
      </w:r>
      <w:r>
        <w:rPr>
          <w:color w:val="231F20"/>
        </w:rPr>
        <w:t>the</w:t>
      </w:r>
      <w:r>
        <w:rPr>
          <w:color w:val="231F20"/>
          <w:spacing w:val="-25"/>
        </w:rPr>
        <w:t xml:space="preserve"> </w:t>
      </w:r>
      <w:r>
        <w:rPr>
          <w:color w:val="231F20"/>
        </w:rPr>
        <w:t>Essential</w:t>
      </w:r>
      <w:r>
        <w:rPr>
          <w:color w:val="231F20"/>
          <w:spacing w:val="-25"/>
        </w:rPr>
        <w:t xml:space="preserve"> </w:t>
      </w:r>
      <w:r>
        <w:rPr>
          <w:color w:val="231F20"/>
        </w:rPr>
        <w:t>Services</w:t>
      </w:r>
      <w:r>
        <w:rPr>
          <w:color w:val="231F20"/>
          <w:spacing w:val="-25"/>
        </w:rPr>
        <w:t xml:space="preserve"> </w:t>
      </w:r>
      <w:r>
        <w:rPr>
          <w:color w:val="231F20"/>
        </w:rPr>
        <w:t>Package</w:t>
      </w:r>
      <w:r>
        <w:rPr>
          <w:color w:val="231F20"/>
          <w:spacing w:val="-25"/>
        </w:rPr>
        <w:t xml:space="preserve"> </w:t>
      </w:r>
      <w:r>
        <w:rPr>
          <w:color w:val="231F20"/>
        </w:rPr>
        <w:t>modelled</w:t>
      </w:r>
      <w:r>
        <w:rPr>
          <w:color w:val="231F20"/>
          <w:spacing w:val="-25"/>
        </w:rPr>
        <w:t xml:space="preserve"> </w:t>
      </w:r>
      <w:r>
        <w:rPr>
          <w:color w:val="231F20"/>
        </w:rPr>
        <w:t>for</w:t>
      </w:r>
      <w:r>
        <w:rPr>
          <w:color w:val="231F20"/>
          <w:spacing w:val="-25"/>
        </w:rPr>
        <w:t xml:space="preserve"> </w:t>
      </w:r>
      <w:r>
        <w:rPr>
          <w:color w:val="231F20"/>
        </w:rPr>
        <w:t>NSHDP</w:t>
      </w:r>
      <w:r>
        <w:rPr>
          <w:color w:val="231F20"/>
          <w:spacing w:val="-29"/>
        </w:rPr>
        <w:t xml:space="preserve"> </w:t>
      </w:r>
      <w:r>
        <w:rPr>
          <w:color w:val="231F20"/>
        </w:rPr>
        <w:t>II</w:t>
      </w:r>
    </w:p>
    <w:p w14:paraId="1A0BBD96" w14:textId="77777777" w:rsidR="009948F1" w:rsidRDefault="00BC0563">
      <w:pPr>
        <w:pStyle w:val="ListParagraph"/>
        <w:numPr>
          <w:ilvl w:val="1"/>
          <w:numId w:val="245"/>
        </w:numPr>
        <w:tabs>
          <w:tab w:val="left" w:pos="1602"/>
          <w:tab w:val="left" w:pos="1603"/>
        </w:tabs>
        <w:spacing w:before="41"/>
        <w:ind w:hanging="361"/>
        <w:jc w:val="left"/>
        <w:rPr>
          <w:b/>
        </w:rPr>
      </w:pPr>
      <w:r>
        <w:rPr>
          <w:b/>
          <w:color w:val="231F20"/>
        </w:rPr>
        <w:t>Maternal,</w:t>
      </w:r>
      <w:r>
        <w:rPr>
          <w:b/>
          <w:color w:val="231F20"/>
          <w:spacing w:val="-25"/>
        </w:rPr>
        <w:t xml:space="preserve"> </w:t>
      </w:r>
      <w:r>
        <w:rPr>
          <w:b/>
          <w:color w:val="231F20"/>
        </w:rPr>
        <w:t>Newborn,</w:t>
      </w:r>
      <w:r>
        <w:rPr>
          <w:b/>
          <w:color w:val="231F20"/>
          <w:spacing w:val="-25"/>
        </w:rPr>
        <w:t xml:space="preserve"> </w:t>
      </w:r>
      <w:r>
        <w:rPr>
          <w:b/>
          <w:color w:val="231F20"/>
        </w:rPr>
        <w:t>Child</w:t>
      </w:r>
      <w:r>
        <w:rPr>
          <w:b/>
          <w:color w:val="231F20"/>
          <w:spacing w:val="-25"/>
        </w:rPr>
        <w:t xml:space="preserve"> </w:t>
      </w:r>
      <w:r>
        <w:rPr>
          <w:b/>
          <w:color w:val="231F20"/>
        </w:rPr>
        <w:t>and</w:t>
      </w:r>
      <w:r>
        <w:rPr>
          <w:b/>
          <w:color w:val="231F20"/>
          <w:spacing w:val="-33"/>
        </w:rPr>
        <w:t xml:space="preserve"> </w:t>
      </w:r>
      <w:r>
        <w:rPr>
          <w:b/>
          <w:color w:val="231F20"/>
        </w:rPr>
        <w:t>Adolescent</w:t>
      </w:r>
      <w:r>
        <w:rPr>
          <w:b/>
          <w:color w:val="231F20"/>
          <w:spacing w:val="-25"/>
        </w:rPr>
        <w:t xml:space="preserve"> </w:t>
      </w:r>
      <w:r>
        <w:rPr>
          <w:b/>
          <w:color w:val="231F20"/>
        </w:rPr>
        <w:t>Health</w:t>
      </w:r>
      <w:r>
        <w:rPr>
          <w:b/>
          <w:color w:val="231F20"/>
          <w:spacing w:val="-25"/>
        </w:rPr>
        <w:t xml:space="preserve"> </w:t>
      </w:r>
      <w:r>
        <w:rPr>
          <w:b/>
          <w:color w:val="231F20"/>
        </w:rPr>
        <w:t>plus</w:t>
      </w:r>
      <w:r>
        <w:rPr>
          <w:b/>
          <w:color w:val="231F20"/>
          <w:spacing w:val="-25"/>
        </w:rPr>
        <w:t xml:space="preserve"> </w:t>
      </w:r>
      <w:r>
        <w:rPr>
          <w:b/>
          <w:color w:val="231F20"/>
        </w:rPr>
        <w:t>Nutrition</w:t>
      </w:r>
      <w:r>
        <w:rPr>
          <w:b/>
          <w:color w:val="231F20"/>
          <w:spacing w:val="-25"/>
        </w:rPr>
        <w:t xml:space="preserve"> </w:t>
      </w:r>
      <w:r>
        <w:rPr>
          <w:b/>
          <w:color w:val="231F20"/>
        </w:rPr>
        <w:t>(RMNCHA+N)</w:t>
      </w:r>
    </w:p>
    <w:p w14:paraId="4F74E61A" w14:textId="77777777" w:rsidR="009948F1" w:rsidRDefault="00BC0563">
      <w:pPr>
        <w:pStyle w:val="BodyText"/>
        <w:spacing w:before="23" w:line="280" w:lineRule="auto"/>
        <w:ind w:left="2322" w:right="187" w:hanging="360"/>
      </w:pPr>
      <w:r>
        <w:rPr>
          <w:rFonts w:ascii="Wingdings" w:hAnsi="Wingdings"/>
          <w:color w:val="231F20"/>
          <w:spacing w:val="-244"/>
          <w:w w:val="599"/>
        </w:rPr>
        <w:t></w:t>
      </w:r>
      <w:r>
        <w:rPr>
          <w:color w:val="231F20"/>
          <w:w w:val="99"/>
        </w:rPr>
        <w:t>Pre-pregnanc</w:t>
      </w:r>
      <w:r>
        <w:rPr>
          <w:color w:val="231F20"/>
          <w:spacing w:val="-17"/>
          <w:w w:val="99"/>
        </w:rPr>
        <w:t>y</w:t>
      </w:r>
      <w:r>
        <w:rPr>
          <w:color w:val="231F20"/>
        </w:rPr>
        <w:t xml:space="preserve">, </w:t>
      </w:r>
      <w:proofErr w:type="spellStart"/>
      <w:r>
        <w:rPr>
          <w:color w:val="231F20"/>
          <w:w w:val="99"/>
        </w:rPr>
        <w:t>Labour</w:t>
      </w:r>
      <w:proofErr w:type="spellEnd"/>
      <w:r>
        <w:rPr>
          <w:color w:val="231F20"/>
        </w:rPr>
        <w:t xml:space="preserve"> </w:t>
      </w:r>
      <w:r>
        <w:rPr>
          <w:color w:val="231F20"/>
          <w:w w:val="99"/>
        </w:rPr>
        <w:t>and</w:t>
      </w:r>
      <w:r>
        <w:rPr>
          <w:color w:val="231F20"/>
        </w:rPr>
        <w:t xml:space="preserve"> </w:t>
      </w:r>
      <w:r>
        <w:rPr>
          <w:color w:val="231F20"/>
          <w:w w:val="99"/>
        </w:rPr>
        <w:t>Deliver</w:t>
      </w:r>
      <w:r>
        <w:rPr>
          <w:color w:val="231F20"/>
          <w:spacing w:val="-17"/>
          <w:w w:val="99"/>
        </w:rPr>
        <w:t>y</w:t>
      </w:r>
      <w:r>
        <w:rPr>
          <w:color w:val="231F20"/>
        </w:rPr>
        <w:t xml:space="preserve">, Postpartum (Mothers) Initiate </w:t>
      </w:r>
      <w:r>
        <w:rPr>
          <w:color w:val="231F20"/>
          <w:spacing w:val="-2"/>
          <w:w w:val="99"/>
        </w:rPr>
        <w:t>within</w:t>
      </w:r>
      <w:r>
        <w:rPr>
          <w:color w:val="231F20"/>
          <w:w w:val="99"/>
        </w:rPr>
        <w:t xml:space="preserve"> </w:t>
      </w:r>
      <w:r>
        <w:rPr>
          <w:color w:val="231F20"/>
          <w:w w:val="115"/>
        </w:rPr>
        <w:t>48 hours of delivery</w:t>
      </w:r>
    </w:p>
    <w:p w14:paraId="52AC5FA4" w14:textId="77777777" w:rsidR="009948F1" w:rsidRDefault="00BC0563">
      <w:pPr>
        <w:pStyle w:val="Heading7"/>
        <w:numPr>
          <w:ilvl w:val="1"/>
          <w:numId w:val="245"/>
        </w:numPr>
        <w:tabs>
          <w:tab w:val="left" w:pos="1602"/>
          <w:tab w:val="left" w:pos="1603"/>
        </w:tabs>
        <w:spacing w:line="270" w:lineRule="exact"/>
        <w:ind w:hanging="361"/>
      </w:pPr>
      <w:r>
        <w:rPr>
          <w:color w:val="231F20"/>
        </w:rPr>
        <w:t>Child</w:t>
      </w:r>
      <w:r>
        <w:rPr>
          <w:color w:val="231F20"/>
          <w:spacing w:val="-25"/>
        </w:rPr>
        <w:t xml:space="preserve"> </w:t>
      </w:r>
      <w:r>
        <w:rPr>
          <w:color w:val="231F20"/>
        </w:rPr>
        <w:t>Health</w:t>
      </w:r>
    </w:p>
    <w:p w14:paraId="39DDFB82" w14:textId="77777777" w:rsidR="009948F1" w:rsidRDefault="00BC0563">
      <w:pPr>
        <w:pStyle w:val="BodyText"/>
        <w:spacing w:before="22"/>
        <w:ind w:left="1962"/>
      </w:pPr>
      <w:r>
        <w:rPr>
          <w:rFonts w:ascii="Wingdings" w:hAnsi="Wingdings"/>
          <w:color w:val="231F20"/>
          <w:spacing w:val="-244"/>
          <w:w w:val="599"/>
        </w:rPr>
        <w:t></w:t>
      </w:r>
      <w:r>
        <w:rPr>
          <w:color w:val="231F20"/>
          <w:w w:val="99"/>
        </w:rPr>
        <w:t>Essential</w:t>
      </w:r>
      <w:r>
        <w:rPr>
          <w:color w:val="231F20"/>
          <w:spacing w:val="-25"/>
        </w:rPr>
        <w:t xml:space="preserve"> </w:t>
      </w:r>
      <w:r>
        <w:rPr>
          <w:color w:val="231F20"/>
          <w:w w:val="99"/>
        </w:rPr>
        <w:t>and</w:t>
      </w:r>
      <w:r>
        <w:rPr>
          <w:color w:val="231F20"/>
          <w:spacing w:val="-25"/>
        </w:rPr>
        <w:t xml:space="preserve"> </w:t>
      </w:r>
      <w:r>
        <w:rPr>
          <w:color w:val="231F20"/>
          <w:w w:val="99"/>
        </w:rPr>
        <w:t>emergency</w:t>
      </w:r>
      <w:r>
        <w:rPr>
          <w:color w:val="231F20"/>
          <w:spacing w:val="-25"/>
        </w:rPr>
        <w:t xml:space="preserve"> </w:t>
      </w:r>
      <w:r>
        <w:rPr>
          <w:color w:val="231F20"/>
          <w:w w:val="99"/>
        </w:rPr>
        <w:t>Newborn</w:t>
      </w:r>
      <w:r>
        <w:rPr>
          <w:color w:val="231F20"/>
          <w:spacing w:val="-25"/>
        </w:rPr>
        <w:t xml:space="preserve"> </w:t>
      </w:r>
      <w:r>
        <w:rPr>
          <w:color w:val="231F20"/>
          <w:w w:val="99"/>
        </w:rPr>
        <w:t>Care,</w:t>
      </w:r>
      <w:r>
        <w:rPr>
          <w:color w:val="231F20"/>
          <w:spacing w:val="-25"/>
        </w:rPr>
        <w:t xml:space="preserve"> </w:t>
      </w:r>
      <w:r>
        <w:rPr>
          <w:color w:val="231F20"/>
          <w:w w:val="99"/>
        </w:rPr>
        <w:t>Community</w:t>
      </w:r>
      <w:r>
        <w:rPr>
          <w:color w:val="231F20"/>
          <w:spacing w:val="-25"/>
        </w:rPr>
        <w:t xml:space="preserve"> </w:t>
      </w:r>
      <w:r>
        <w:rPr>
          <w:color w:val="231F20"/>
        </w:rPr>
        <w:t>IMCI,</w:t>
      </w:r>
    </w:p>
    <w:p w14:paraId="14067768" w14:textId="77777777" w:rsidR="009948F1" w:rsidRDefault="00BC0563">
      <w:pPr>
        <w:pStyle w:val="Heading7"/>
        <w:numPr>
          <w:ilvl w:val="1"/>
          <w:numId w:val="245"/>
        </w:numPr>
        <w:tabs>
          <w:tab w:val="left" w:pos="1602"/>
          <w:tab w:val="left" w:pos="1603"/>
        </w:tabs>
        <w:spacing w:before="42"/>
        <w:ind w:hanging="361"/>
      </w:pPr>
      <w:r>
        <w:rPr>
          <w:color w:val="231F20"/>
        </w:rPr>
        <w:t>Sexual</w:t>
      </w:r>
      <w:r>
        <w:rPr>
          <w:color w:val="231F20"/>
          <w:spacing w:val="-25"/>
        </w:rPr>
        <w:t xml:space="preserve"> </w:t>
      </w:r>
      <w:r>
        <w:rPr>
          <w:color w:val="231F20"/>
        </w:rPr>
        <w:t>and</w:t>
      </w:r>
      <w:r>
        <w:rPr>
          <w:color w:val="231F20"/>
          <w:spacing w:val="-25"/>
        </w:rPr>
        <w:t xml:space="preserve"> </w:t>
      </w:r>
      <w:r>
        <w:rPr>
          <w:color w:val="231F20"/>
        </w:rPr>
        <w:t>Reproductive</w:t>
      </w:r>
      <w:r>
        <w:rPr>
          <w:color w:val="231F20"/>
          <w:spacing w:val="-25"/>
        </w:rPr>
        <w:t xml:space="preserve"> </w:t>
      </w:r>
      <w:r>
        <w:rPr>
          <w:color w:val="231F20"/>
        </w:rPr>
        <w:t>Health</w:t>
      </w:r>
    </w:p>
    <w:p w14:paraId="571F87B4" w14:textId="77777777" w:rsidR="009948F1" w:rsidRDefault="00BC0563">
      <w:pPr>
        <w:pStyle w:val="BodyText"/>
        <w:spacing w:before="23"/>
        <w:ind w:left="1962"/>
      </w:pPr>
      <w:r>
        <w:rPr>
          <w:rFonts w:ascii="Wingdings" w:hAnsi="Wingdings"/>
          <w:color w:val="231F20"/>
          <w:spacing w:val="-244"/>
          <w:w w:val="599"/>
        </w:rPr>
        <w:t></w:t>
      </w:r>
      <w:r>
        <w:rPr>
          <w:color w:val="231F20"/>
          <w:w w:val="99"/>
        </w:rPr>
        <w:t>Family</w:t>
      </w:r>
      <w:r>
        <w:rPr>
          <w:color w:val="231F20"/>
        </w:rPr>
        <w:t xml:space="preserve">  </w:t>
      </w:r>
      <w:r>
        <w:rPr>
          <w:color w:val="231F20"/>
          <w:spacing w:val="-19"/>
        </w:rPr>
        <w:t xml:space="preserve"> </w:t>
      </w:r>
      <w:r>
        <w:rPr>
          <w:color w:val="231F20"/>
          <w:w w:val="99"/>
        </w:rPr>
        <w:t>Planning,</w:t>
      </w:r>
      <w:r>
        <w:rPr>
          <w:color w:val="231F20"/>
        </w:rPr>
        <w:t xml:space="preserve">  </w:t>
      </w:r>
      <w:r>
        <w:rPr>
          <w:color w:val="231F20"/>
          <w:spacing w:val="-18"/>
        </w:rPr>
        <w:t xml:space="preserve"> </w:t>
      </w:r>
      <w:r>
        <w:rPr>
          <w:color w:val="231F20"/>
          <w:w w:val="99"/>
        </w:rPr>
        <w:t>Screening</w:t>
      </w:r>
      <w:r>
        <w:rPr>
          <w:color w:val="231F20"/>
        </w:rPr>
        <w:t xml:space="preserve">  </w:t>
      </w:r>
      <w:r>
        <w:rPr>
          <w:color w:val="231F20"/>
          <w:spacing w:val="-18"/>
        </w:rPr>
        <w:t xml:space="preserve"> </w:t>
      </w:r>
      <w:r>
        <w:rPr>
          <w:color w:val="231F20"/>
        </w:rPr>
        <w:t xml:space="preserve">for  </w:t>
      </w:r>
      <w:r>
        <w:rPr>
          <w:color w:val="231F20"/>
          <w:spacing w:val="-19"/>
        </w:rPr>
        <w:t xml:space="preserve"> </w:t>
      </w:r>
      <w:r>
        <w:rPr>
          <w:color w:val="231F20"/>
          <w:w w:val="99"/>
        </w:rPr>
        <w:t>Cervical</w:t>
      </w:r>
      <w:r>
        <w:rPr>
          <w:color w:val="231F20"/>
        </w:rPr>
        <w:t xml:space="preserve">  </w:t>
      </w:r>
      <w:r>
        <w:rPr>
          <w:color w:val="231F20"/>
          <w:spacing w:val="-18"/>
        </w:rPr>
        <w:t xml:space="preserve"> </w:t>
      </w:r>
      <w:r>
        <w:rPr>
          <w:color w:val="231F20"/>
        </w:rPr>
        <w:t xml:space="preserve">&amp;  </w:t>
      </w:r>
      <w:r>
        <w:rPr>
          <w:color w:val="231F20"/>
          <w:spacing w:val="-19"/>
        </w:rPr>
        <w:t xml:space="preserve"> </w:t>
      </w:r>
      <w:r>
        <w:rPr>
          <w:color w:val="231F20"/>
        </w:rPr>
        <w:t xml:space="preserve">Prostate  </w:t>
      </w:r>
      <w:r>
        <w:rPr>
          <w:color w:val="231F20"/>
          <w:spacing w:val="-19"/>
        </w:rPr>
        <w:t xml:space="preserve"> </w:t>
      </w:r>
      <w:r>
        <w:rPr>
          <w:color w:val="231F20"/>
          <w:w w:val="99"/>
        </w:rPr>
        <w:t>Cance</w:t>
      </w:r>
      <w:r>
        <w:rPr>
          <w:color w:val="231F20"/>
          <w:spacing w:val="-12"/>
          <w:w w:val="99"/>
        </w:rPr>
        <w:t>r</w:t>
      </w:r>
      <w:r>
        <w:rPr>
          <w:color w:val="231F20"/>
        </w:rPr>
        <w:t xml:space="preserve">,  </w:t>
      </w:r>
      <w:r>
        <w:rPr>
          <w:color w:val="231F20"/>
          <w:spacing w:val="-19"/>
        </w:rPr>
        <w:t xml:space="preserve"> </w:t>
      </w:r>
      <w:r>
        <w:rPr>
          <w:color w:val="231F20"/>
        </w:rPr>
        <w:t>GB</w:t>
      </w:r>
      <w:r>
        <w:rPr>
          <w:color w:val="231F20"/>
          <w:spacing w:val="-21"/>
        </w:rPr>
        <w:t>V</w:t>
      </w:r>
      <w:r>
        <w:rPr>
          <w:color w:val="231F20"/>
        </w:rPr>
        <w:t>,</w:t>
      </w:r>
    </w:p>
    <w:p w14:paraId="6FA5E3B2" w14:textId="77777777" w:rsidR="009948F1" w:rsidRDefault="00BC0563">
      <w:pPr>
        <w:pStyle w:val="BodyText"/>
        <w:spacing w:before="42"/>
        <w:ind w:left="2322"/>
      </w:pPr>
      <w:r>
        <w:rPr>
          <w:color w:val="231F20"/>
        </w:rPr>
        <w:t>Education, counselling and treatment of rape</w:t>
      </w:r>
    </w:p>
    <w:p w14:paraId="4A1D25AA" w14:textId="77777777" w:rsidR="009948F1" w:rsidRDefault="00BC0563">
      <w:pPr>
        <w:pStyle w:val="Heading7"/>
        <w:numPr>
          <w:ilvl w:val="1"/>
          <w:numId w:val="245"/>
        </w:numPr>
        <w:tabs>
          <w:tab w:val="left" w:pos="1602"/>
          <w:tab w:val="left" w:pos="1603"/>
        </w:tabs>
        <w:spacing w:before="42"/>
        <w:ind w:hanging="361"/>
      </w:pPr>
      <w:r>
        <w:rPr>
          <w:color w:val="231F20"/>
        </w:rPr>
        <w:t>Adolescent</w:t>
      </w:r>
      <w:r>
        <w:rPr>
          <w:color w:val="231F20"/>
          <w:spacing w:val="-25"/>
        </w:rPr>
        <w:t xml:space="preserve"> </w:t>
      </w:r>
      <w:r>
        <w:rPr>
          <w:color w:val="231F20"/>
        </w:rPr>
        <w:t>Health</w:t>
      </w:r>
    </w:p>
    <w:p w14:paraId="5B3ACA4A" w14:textId="77777777" w:rsidR="009948F1" w:rsidRDefault="00BC0563">
      <w:pPr>
        <w:pStyle w:val="BodyText"/>
        <w:spacing w:before="22" w:line="280" w:lineRule="auto"/>
        <w:ind w:left="2322" w:right="224" w:hanging="360"/>
        <w:jc w:val="both"/>
      </w:pPr>
      <w:r>
        <w:rPr>
          <w:rFonts w:ascii="Wingdings" w:hAnsi="Wingdings"/>
          <w:color w:val="231F20"/>
          <w:spacing w:val="-244"/>
          <w:w w:val="599"/>
        </w:rPr>
        <w:t></w:t>
      </w:r>
      <w:r>
        <w:rPr>
          <w:color w:val="231F20"/>
          <w:w w:val="99"/>
        </w:rPr>
        <w:t>Comprehensive</w:t>
      </w:r>
      <w:r>
        <w:rPr>
          <w:color w:val="231F20"/>
        </w:rPr>
        <w:t xml:space="preserve">  </w:t>
      </w:r>
      <w:r>
        <w:rPr>
          <w:color w:val="231F20"/>
          <w:spacing w:val="-13"/>
        </w:rPr>
        <w:t xml:space="preserve"> </w:t>
      </w:r>
      <w:r>
        <w:rPr>
          <w:color w:val="231F20"/>
          <w:w w:val="99"/>
        </w:rPr>
        <w:t>sexual</w:t>
      </w:r>
      <w:r>
        <w:rPr>
          <w:color w:val="231F20"/>
        </w:rPr>
        <w:t xml:space="preserve">  </w:t>
      </w:r>
      <w:r>
        <w:rPr>
          <w:color w:val="231F20"/>
          <w:spacing w:val="-13"/>
        </w:rPr>
        <w:t xml:space="preserve"> </w:t>
      </w:r>
      <w:r>
        <w:rPr>
          <w:color w:val="231F20"/>
          <w:w w:val="99"/>
        </w:rPr>
        <w:t>and</w:t>
      </w:r>
      <w:r>
        <w:rPr>
          <w:color w:val="231F20"/>
        </w:rPr>
        <w:t xml:space="preserve">  </w:t>
      </w:r>
      <w:r>
        <w:rPr>
          <w:color w:val="231F20"/>
          <w:spacing w:val="-13"/>
        </w:rPr>
        <w:t xml:space="preserve"> </w:t>
      </w:r>
      <w:r>
        <w:rPr>
          <w:color w:val="231F20"/>
          <w:w w:val="99"/>
        </w:rPr>
        <w:t>reproductive</w:t>
      </w:r>
      <w:r>
        <w:rPr>
          <w:color w:val="231F20"/>
        </w:rPr>
        <w:t xml:space="preserve">  </w:t>
      </w:r>
      <w:r>
        <w:rPr>
          <w:color w:val="231F20"/>
          <w:spacing w:val="-13"/>
        </w:rPr>
        <w:t xml:space="preserve"> </w:t>
      </w:r>
      <w:r>
        <w:rPr>
          <w:color w:val="231F20"/>
          <w:w w:val="99"/>
        </w:rPr>
        <w:t>health</w:t>
      </w:r>
      <w:r>
        <w:rPr>
          <w:color w:val="231F20"/>
        </w:rPr>
        <w:t xml:space="preserve">  </w:t>
      </w:r>
      <w:r>
        <w:rPr>
          <w:color w:val="231F20"/>
          <w:spacing w:val="-13"/>
        </w:rPr>
        <w:t xml:space="preserve"> </w:t>
      </w:r>
      <w:r>
        <w:rPr>
          <w:color w:val="231F20"/>
          <w:w w:val="99"/>
        </w:rPr>
        <w:t>education,</w:t>
      </w:r>
      <w:r>
        <w:rPr>
          <w:color w:val="231F20"/>
        </w:rPr>
        <w:t xml:space="preserve">  </w:t>
      </w:r>
      <w:r>
        <w:rPr>
          <w:color w:val="231F20"/>
          <w:spacing w:val="-17"/>
        </w:rPr>
        <w:t xml:space="preserve"> </w:t>
      </w:r>
      <w:r>
        <w:rPr>
          <w:color w:val="231F20"/>
          <w:spacing w:val="-28"/>
        </w:rPr>
        <w:t>T</w:t>
      </w:r>
      <w:r>
        <w:rPr>
          <w:color w:val="231F20"/>
          <w:spacing w:val="-3"/>
          <w:w w:val="99"/>
        </w:rPr>
        <w:t>etanus</w:t>
      </w:r>
      <w:r>
        <w:rPr>
          <w:color w:val="231F20"/>
          <w:w w:val="99"/>
        </w:rPr>
        <w:t xml:space="preserve"> </w:t>
      </w:r>
      <w:r>
        <w:rPr>
          <w:color w:val="231F20"/>
        </w:rPr>
        <w:t>immunization, School health Services, Menstrual hygiene promotion, prevention &amp; management of STI, Post abortion care for post-abortion cases</w:t>
      </w:r>
    </w:p>
    <w:p w14:paraId="796F696C" w14:textId="77777777" w:rsidR="009948F1" w:rsidRDefault="00BC0563">
      <w:pPr>
        <w:pStyle w:val="Heading7"/>
        <w:numPr>
          <w:ilvl w:val="1"/>
          <w:numId w:val="245"/>
        </w:numPr>
        <w:tabs>
          <w:tab w:val="left" w:pos="1603"/>
        </w:tabs>
        <w:spacing w:line="268" w:lineRule="exact"/>
        <w:ind w:hanging="361"/>
        <w:jc w:val="both"/>
      </w:pPr>
      <w:r>
        <w:rPr>
          <w:color w:val="231F20"/>
        </w:rPr>
        <w:t>Nutrition</w:t>
      </w:r>
    </w:p>
    <w:p w14:paraId="422C4DB1" w14:textId="77777777" w:rsidR="009948F1" w:rsidRDefault="00BC0563">
      <w:pPr>
        <w:pStyle w:val="BodyText"/>
        <w:spacing w:before="23" w:line="280" w:lineRule="auto"/>
        <w:ind w:left="2321" w:right="223" w:hanging="360"/>
        <w:jc w:val="both"/>
      </w:pPr>
      <w:r>
        <w:rPr>
          <w:rFonts w:ascii="Wingdings" w:hAnsi="Wingdings"/>
          <w:color w:val="231F20"/>
          <w:spacing w:val="-244"/>
          <w:w w:val="599"/>
        </w:rPr>
        <w:t></w:t>
      </w:r>
      <w:r>
        <w:rPr>
          <w:color w:val="231F20"/>
          <w:spacing w:val="15"/>
          <w:w w:val="99"/>
        </w:rPr>
        <w:t>Nu</w:t>
      </w:r>
      <w:r>
        <w:rPr>
          <w:color w:val="231F20"/>
          <w:spacing w:val="15"/>
        </w:rPr>
        <w:t>t</w:t>
      </w:r>
      <w:r>
        <w:rPr>
          <w:color w:val="231F20"/>
          <w:spacing w:val="15"/>
          <w:w w:val="99"/>
        </w:rPr>
        <w:t>ri</w:t>
      </w:r>
      <w:r>
        <w:rPr>
          <w:color w:val="231F20"/>
          <w:spacing w:val="15"/>
        </w:rPr>
        <w:t>t</w:t>
      </w:r>
      <w:r>
        <w:rPr>
          <w:color w:val="231F20"/>
          <w:spacing w:val="15"/>
          <w:w w:val="99"/>
        </w:rPr>
        <w:t>iona</w:t>
      </w:r>
      <w:r>
        <w:rPr>
          <w:color w:val="231F20"/>
          <w:w w:val="99"/>
        </w:rPr>
        <w:t>l</w:t>
      </w:r>
      <w:r>
        <w:rPr>
          <w:color w:val="231F20"/>
        </w:rPr>
        <w:t xml:space="preserve">   </w:t>
      </w:r>
      <w:r>
        <w:rPr>
          <w:color w:val="231F20"/>
          <w:spacing w:val="15"/>
          <w:w w:val="99"/>
        </w:rPr>
        <w:t>edu</w:t>
      </w:r>
      <w:r>
        <w:rPr>
          <w:color w:val="231F20"/>
          <w:spacing w:val="15"/>
        </w:rPr>
        <w:t>c</w:t>
      </w:r>
      <w:r>
        <w:rPr>
          <w:color w:val="231F20"/>
          <w:spacing w:val="15"/>
          <w:w w:val="99"/>
        </w:rPr>
        <w:t>a</w:t>
      </w:r>
      <w:r>
        <w:rPr>
          <w:color w:val="231F20"/>
          <w:spacing w:val="15"/>
        </w:rPr>
        <w:t>t</w:t>
      </w:r>
      <w:r>
        <w:rPr>
          <w:color w:val="231F20"/>
          <w:spacing w:val="15"/>
          <w:w w:val="99"/>
        </w:rPr>
        <w:t>io</w:t>
      </w:r>
      <w:r>
        <w:rPr>
          <w:color w:val="231F20"/>
          <w:w w:val="99"/>
        </w:rPr>
        <w:t>n</w:t>
      </w:r>
      <w:r>
        <w:rPr>
          <w:color w:val="231F20"/>
        </w:rPr>
        <w:t xml:space="preserve">   </w:t>
      </w:r>
      <w:r>
        <w:rPr>
          <w:color w:val="231F20"/>
          <w:spacing w:val="15"/>
          <w:w w:val="99"/>
        </w:rPr>
        <w:t>an</w:t>
      </w:r>
      <w:r>
        <w:rPr>
          <w:color w:val="231F20"/>
          <w:w w:val="99"/>
        </w:rPr>
        <w:t>d</w:t>
      </w:r>
      <w:r>
        <w:rPr>
          <w:color w:val="231F20"/>
        </w:rPr>
        <w:t xml:space="preserve">   </w:t>
      </w:r>
      <w:r>
        <w:rPr>
          <w:color w:val="231F20"/>
          <w:spacing w:val="15"/>
          <w:w w:val="99"/>
        </w:rPr>
        <w:t>e</w:t>
      </w:r>
      <w:r>
        <w:rPr>
          <w:color w:val="231F20"/>
          <w:spacing w:val="15"/>
        </w:rPr>
        <w:t>x</w:t>
      </w:r>
      <w:r>
        <w:rPr>
          <w:color w:val="231F20"/>
          <w:spacing w:val="15"/>
          <w:w w:val="99"/>
        </w:rPr>
        <w:t>erci</w:t>
      </w:r>
      <w:r>
        <w:rPr>
          <w:color w:val="231F20"/>
          <w:spacing w:val="15"/>
        </w:rPr>
        <w:t>s</w:t>
      </w:r>
      <w:r>
        <w:rPr>
          <w:color w:val="231F20"/>
          <w:w w:val="99"/>
        </w:rPr>
        <w:t>e</w:t>
      </w:r>
      <w:r>
        <w:rPr>
          <w:color w:val="231F20"/>
        </w:rPr>
        <w:t xml:space="preserve">   </w:t>
      </w:r>
      <w:r>
        <w:rPr>
          <w:color w:val="231F20"/>
          <w:spacing w:val="15"/>
          <w:w w:val="99"/>
        </w:rPr>
        <w:t>promo</w:t>
      </w:r>
      <w:r>
        <w:rPr>
          <w:color w:val="231F20"/>
          <w:spacing w:val="15"/>
        </w:rPr>
        <w:t>t</w:t>
      </w:r>
      <w:r>
        <w:rPr>
          <w:color w:val="231F20"/>
          <w:spacing w:val="15"/>
          <w:w w:val="99"/>
        </w:rPr>
        <w:t>ion</w:t>
      </w:r>
      <w:r>
        <w:rPr>
          <w:color w:val="231F20"/>
        </w:rPr>
        <w:t xml:space="preserve">,   </w:t>
      </w:r>
      <w:r>
        <w:rPr>
          <w:color w:val="231F20"/>
          <w:spacing w:val="14"/>
        </w:rPr>
        <w:t>M</w:t>
      </w:r>
      <w:r>
        <w:rPr>
          <w:color w:val="231F20"/>
          <w:spacing w:val="14"/>
          <w:w w:val="99"/>
        </w:rPr>
        <w:t>i</w:t>
      </w:r>
      <w:r>
        <w:rPr>
          <w:color w:val="231F20"/>
          <w:spacing w:val="14"/>
        </w:rPr>
        <w:t>cr</w:t>
      </w:r>
      <w:r>
        <w:rPr>
          <w:color w:val="231F20"/>
          <w:spacing w:val="14"/>
          <w:w w:val="99"/>
        </w:rPr>
        <w:t>onu</w:t>
      </w:r>
      <w:r>
        <w:rPr>
          <w:color w:val="231F20"/>
          <w:spacing w:val="14"/>
        </w:rPr>
        <w:t>t</w:t>
      </w:r>
      <w:r>
        <w:rPr>
          <w:color w:val="231F20"/>
          <w:spacing w:val="14"/>
          <w:w w:val="99"/>
        </w:rPr>
        <w:t>rien</w:t>
      </w:r>
      <w:r>
        <w:rPr>
          <w:color w:val="231F20"/>
          <w:spacing w:val="-1"/>
        </w:rPr>
        <w:t>t</w:t>
      </w:r>
      <w:r>
        <w:rPr>
          <w:color w:val="231F20"/>
        </w:rPr>
        <w:t xml:space="preserve"> </w:t>
      </w:r>
      <w:r>
        <w:rPr>
          <w:color w:val="231F20"/>
          <w:w w:val="105"/>
        </w:rPr>
        <w:t>supplementation, Management of SAM &amp; MAM in children</w:t>
      </w:r>
    </w:p>
    <w:p w14:paraId="38AD6A13" w14:textId="77777777" w:rsidR="009948F1" w:rsidRDefault="00BC0563">
      <w:pPr>
        <w:pStyle w:val="Heading7"/>
        <w:numPr>
          <w:ilvl w:val="1"/>
          <w:numId w:val="245"/>
        </w:numPr>
        <w:tabs>
          <w:tab w:val="left" w:pos="1602"/>
        </w:tabs>
        <w:spacing w:line="270" w:lineRule="exact"/>
        <w:ind w:left="1601" w:hanging="361"/>
        <w:jc w:val="both"/>
      </w:pPr>
      <w:r>
        <w:rPr>
          <w:color w:val="231F20"/>
        </w:rPr>
        <w:t>Communicable</w:t>
      </w:r>
      <w:r>
        <w:rPr>
          <w:color w:val="231F20"/>
          <w:spacing w:val="-25"/>
        </w:rPr>
        <w:t xml:space="preserve"> </w:t>
      </w:r>
      <w:r>
        <w:rPr>
          <w:color w:val="231F20"/>
        </w:rPr>
        <w:t>Diseases</w:t>
      </w:r>
      <w:r>
        <w:rPr>
          <w:color w:val="231F20"/>
          <w:spacing w:val="-25"/>
        </w:rPr>
        <w:t xml:space="preserve"> </w:t>
      </w:r>
      <w:r>
        <w:rPr>
          <w:color w:val="231F20"/>
        </w:rPr>
        <w:t>(prevention</w:t>
      </w:r>
      <w:r>
        <w:rPr>
          <w:color w:val="231F20"/>
          <w:spacing w:val="-26"/>
        </w:rPr>
        <w:t xml:space="preserve"> </w:t>
      </w:r>
      <w:r>
        <w:rPr>
          <w:color w:val="231F20"/>
        </w:rPr>
        <w:t>&amp;</w:t>
      </w:r>
      <w:r>
        <w:rPr>
          <w:color w:val="231F20"/>
          <w:spacing w:val="-25"/>
        </w:rPr>
        <w:t xml:space="preserve"> </w:t>
      </w:r>
      <w:r>
        <w:rPr>
          <w:color w:val="231F20"/>
        </w:rPr>
        <w:t>treatment)</w:t>
      </w:r>
    </w:p>
    <w:p w14:paraId="6FCB2E85" w14:textId="77777777" w:rsidR="009948F1" w:rsidRDefault="00BC0563">
      <w:pPr>
        <w:pStyle w:val="BodyText"/>
        <w:spacing w:before="22"/>
        <w:ind w:left="1961"/>
        <w:jc w:val="both"/>
      </w:pPr>
      <w:r>
        <w:rPr>
          <w:rFonts w:ascii="Wingdings" w:hAnsi="Wingdings"/>
          <w:color w:val="231F20"/>
          <w:spacing w:val="-244"/>
          <w:w w:val="599"/>
        </w:rPr>
        <w:t></w:t>
      </w:r>
      <w:r>
        <w:rPr>
          <w:color w:val="231F20"/>
          <w:w w:val="99"/>
        </w:rPr>
        <w:t>Malaria,</w:t>
      </w:r>
      <w:r>
        <w:rPr>
          <w:color w:val="231F20"/>
          <w:spacing w:val="-25"/>
        </w:rPr>
        <w:t xml:space="preserve"> </w:t>
      </w:r>
      <w:r>
        <w:rPr>
          <w:color w:val="231F20"/>
          <w:w w:val="99"/>
        </w:rPr>
        <w:t>Hepatitis,</w:t>
      </w:r>
      <w:r>
        <w:rPr>
          <w:color w:val="231F20"/>
          <w:spacing w:val="-29"/>
        </w:rPr>
        <w:t xml:space="preserve"> </w:t>
      </w:r>
      <w:r>
        <w:rPr>
          <w:color w:val="231F20"/>
          <w:spacing w:val="-9"/>
        </w:rPr>
        <w:t>T</w:t>
      </w:r>
      <w:r>
        <w:rPr>
          <w:color w:val="231F20"/>
          <w:w w:val="99"/>
        </w:rPr>
        <w:t>uberculosis/Lepros</w:t>
      </w:r>
      <w:r>
        <w:rPr>
          <w:color w:val="231F20"/>
          <w:spacing w:val="-16"/>
          <w:w w:val="99"/>
        </w:rPr>
        <w:t>y</w:t>
      </w:r>
      <w:r>
        <w:rPr>
          <w:color w:val="231F20"/>
        </w:rPr>
        <w:t>,</w:t>
      </w:r>
      <w:r>
        <w:rPr>
          <w:color w:val="231F20"/>
          <w:spacing w:val="-25"/>
        </w:rPr>
        <w:t xml:space="preserve"> </w:t>
      </w:r>
      <w:r>
        <w:rPr>
          <w:color w:val="231F20"/>
        </w:rPr>
        <w:t>HIV/AIDS</w:t>
      </w:r>
    </w:p>
    <w:p w14:paraId="60C4996D" w14:textId="77777777" w:rsidR="009948F1" w:rsidRDefault="00BC0563">
      <w:pPr>
        <w:pStyle w:val="Heading7"/>
        <w:numPr>
          <w:ilvl w:val="1"/>
          <w:numId w:val="245"/>
        </w:numPr>
        <w:tabs>
          <w:tab w:val="left" w:pos="1602"/>
        </w:tabs>
        <w:spacing w:before="42"/>
        <w:ind w:left="1601" w:hanging="361"/>
        <w:jc w:val="both"/>
      </w:pPr>
      <w:r>
        <w:rPr>
          <w:color w:val="231F20"/>
        </w:rPr>
        <w:t>Non-Communicable</w:t>
      </w:r>
      <w:r>
        <w:rPr>
          <w:color w:val="231F20"/>
          <w:spacing w:val="-25"/>
        </w:rPr>
        <w:t xml:space="preserve"> </w:t>
      </w:r>
      <w:r>
        <w:rPr>
          <w:color w:val="231F20"/>
        </w:rPr>
        <w:t>Diseases</w:t>
      </w:r>
    </w:p>
    <w:p w14:paraId="713EE733" w14:textId="77777777" w:rsidR="009948F1" w:rsidRDefault="00BC0563">
      <w:pPr>
        <w:pStyle w:val="BodyText"/>
        <w:spacing w:before="22" w:line="280" w:lineRule="auto"/>
        <w:ind w:left="2321" w:right="223" w:hanging="360"/>
        <w:jc w:val="both"/>
      </w:pPr>
      <w:r>
        <w:rPr>
          <w:rFonts w:ascii="Wingdings" w:hAnsi="Wingdings"/>
          <w:color w:val="231F20"/>
          <w:spacing w:val="-244"/>
          <w:w w:val="599"/>
        </w:rPr>
        <w:t></w:t>
      </w:r>
      <w:r>
        <w:rPr>
          <w:color w:val="231F20"/>
          <w:spacing w:val="3"/>
          <w:w w:val="99"/>
        </w:rPr>
        <w:t>Cardio</w:t>
      </w:r>
      <w:r>
        <w:rPr>
          <w:color w:val="231F20"/>
          <w:spacing w:val="3"/>
        </w:rPr>
        <w:t>v</w:t>
      </w:r>
      <w:r>
        <w:rPr>
          <w:color w:val="231F20"/>
          <w:spacing w:val="3"/>
          <w:w w:val="99"/>
        </w:rPr>
        <w:t>a</w:t>
      </w:r>
      <w:r>
        <w:rPr>
          <w:color w:val="231F20"/>
          <w:spacing w:val="3"/>
        </w:rPr>
        <w:t>sc</w:t>
      </w:r>
      <w:r>
        <w:rPr>
          <w:color w:val="231F20"/>
          <w:spacing w:val="3"/>
          <w:w w:val="99"/>
        </w:rPr>
        <w:t>ula</w:t>
      </w:r>
      <w:r>
        <w:rPr>
          <w:color w:val="231F20"/>
          <w:w w:val="99"/>
        </w:rPr>
        <w:t xml:space="preserve">r  </w:t>
      </w:r>
      <w:r>
        <w:rPr>
          <w:color w:val="231F20"/>
          <w:spacing w:val="3"/>
          <w:w w:val="99"/>
        </w:rPr>
        <w:t xml:space="preserve"> di</w:t>
      </w:r>
      <w:r>
        <w:rPr>
          <w:color w:val="231F20"/>
          <w:spacing w:val="3"/>
        </w:rPr>
        <w:t>s</w:t>
      </w:r>
      <w:r>
        <w:rPr>
          <w:color w:val="231F20"/>
          <w:spacing w:val="3"/>
          <w:w w:val="99"/>
        </w:rPr>
        <w:t>ea</w:t>
      </w:r>
      <w:r>
        <w:rPr>
          <w:color w:val="231F20"/>
          <w:spacing w:val="3"/>
        </w:rPr>
        <w:t>s</w:t>
      </w:r>
      <w:r>
        <w:rPr>
          <w:color w:val="231F20"/>
          <w:spacing w:val="3"/>
          <w:w w:val="99"/>
        </w:rPr>
        <w:t>e</w:t>
      </w:r>
      <w:r>
        <w:rPr>
          <w:color w:val="231F20"/>
          <w:spacing w:val="3"/>
        </w:rPr>
        <w:t>s</w:t>
      </w:r>
      <w:r>
        <w:rPr>
          <w:color w:val="231F20"/>
        </w:rPr>
        <w:t xml:space="preserve">,  </w:t>
      </w:r>
      <w:r>
        <w:rPr>
          <w:color w:val="231F20"/>
          <w:spacing w:val="3"/>
        </w:rPr>
        <w:t xml:space="preserve"> </w:t>
      </w:r>
      <w:r>
        <w:rPr>
          <w:color w:val="231F20"/>
          <w:spacing w:val="3"/>
          <w:w w:val="99"/>
        </w:rPr>
        <w:t>Diabe</w:t>
      </w:r>
      <w:r>
        <w:rPr>
          <w:color w:val="231F20"/>
          <w:spacing w:val="3"/>
        </w:rPr>
        <w:t>t</w:t>
      </w:r>
      <w:r>
        <w:rPr>
          <w:color w:val="231F20"/>
          <w:spacing w:val="3"/>
          <w:w w:val="99"/>
        </w:rPr>
        <w:t>e</w:t>
      </w:r>
      <w:r>
        <w:rPr>
          <w:color w:val="231F20"/>
          <w:spacing w:val="3"/>
        </w:rPr>
        <w:t>s</w:t>
      </w:r>
      <w:r>
        <w:rPr>
          <w:color w:val="231F20"/>
        </w:rPr>
        <w:t xml:space="preserve">,  </w:t>
      </w:r>
      <w:r>
        <w:rPr>
          <w:color w:val="231F20"/>
          <w:spacing w:val="3"/>
        </w:rPr>
        <w:t xml:space="preserve"> </w:t>
      </w:r>
      <w:r>
        <w:rPr>
          <w:color w:val="231F20"/>
          <w:spacing w:val="3"/>
          <w:w w:val="99"/>
        </w:rPr>
        <w:t>Can</w:t>
      </w:r>
      <w:r>
        <w:rPr>
          <w:color w:val="231F20"/>
          <w:spacing w:val="3"/>
        </w:rPr>
        <w:t>c</w:t>
      </w:r>
      <w:r>
        <w:rPr>
          <w:color w:val="231F20"/>
          <w:spacing w:val="3"/>
          <w:w w:val="99"/>
        </w:rPr>
        <w:t>ers-(cervi</w:t>
      </w:r>
      <w:r>
        <w:rPr>
          <w:color w:val="231F20"/>
          <w:spacing w:val="3"/>
        </w:rPr>
        <w:t>x</w:t>
      </w:r>
      <w:r>
        <w:rPr>
          <w:color w:val="231F20"/>
        </w:rPr>
        <w:t xml:space="preserve">,  </w:t>
      </w:r>
      <w:r>
        <w:rPr>
          <w:color w:val="231F20"/>
          <w:spacing w:val="3"/>
        </w:rPr>
        <w:t xml:space="preserve"> </w:t>
      </w:r>
      <w:r>
        <w:rPr>
          <w:color w:val="231F20"/>
          <w:spacing w:val="3"/>
          <w:w w:val="99"/>
        </w:rPr>
        <w:t>brea</w:t>
      </w:r>
      <w:r>
        <w:rPr>
          <w:color w:val="231F20"/>
          <w:spacing w:val="3"/>
        </w:rPr>
        <w:t>st</w:t>
      </w:r>
      <w:r>
        <w:rPr>
          <w:color w:val="231F20"/>
        </w:rPr>
        <w:t xml:space="preserve">,  </w:t>
      </w:r>
      <w:r>
        <w:rPr>
          <w:color w:val="231F20"/>
          <w:spacing w:val="3"/>
        </w:rPr>
        <w:t xml:space="preserve"> </w:t>
      </w:r>
      <w:r>
        <w:rPr>
          <w:color w:val="231F20"/>
          <w:spacing w:val="3"/>
          <w:w w:val="99"/>
        </w:rPr>
        <w:t>li</w:t>
      </w:r>
      <w:r>
        <w:rPr>
          <w:color w:val="231F20"/>
          <w:spacing w:val="3"/>
        </w:rPr>
        <w:t>v</w:t>
      </w:r>
      <w:r>
        <w:rPr>
          <w:color w:val="231F20"/>
          <w:spacing w:val="3"/>
          <w:w w:val="99"/>
        </w:rPr>
        <w:t>e</w:t>
      </w:r>
      <w:r>
        <w:rPr>
          <w:color w:val="231F20"/>
          <w:spacing w:val="-9"/>
          <w:w w:val="99"/>
        </w:rPr>
        <w:t>r</w:t>
      </w:r>
      <w:r>
        <w:rPr>
          <w:color w:val="231F20"/>
        </w:rPr>
        <w:t>, prostrate),</w:t>
      </w:r>
      <w:r>
        <w:rPr>
          <w:color w:val="231F20"/>
          <w:spacing w:val="-26"/>
        </w:rPr>
        <w:t xml:space="preserve"> </w:t>
      </w:r>
      <w:r>
        <w:rPr>
          <w:color w:val="231F20"/>
        </w:rPr>
        <w:t>Sickle</w:t>
      </w:r>
      <w:r>
        <w:rPr>
          <w:color w:val="231F20"/>
          <w:spacing w:val="-25"/>
        </w:rPr>
        <w:t xml:space="preserve"> </w:t>
      </w:r>
      <w:r>
        <w:rPr>
          <w:color w:val="231F20"/>
        </w:rPr>
        <w:t>Cell</w:t>
      </w:r>
      <w:r>
        <w:rPr>
          <w:color w:val="231F20"/>
          <w:spacing w:val="-25"/>
        </w:rPr>
        <w:t xml:space="preserve"> </w:t>
      </w:r>
      <w:r>
        <w:rPr>
          <w:color w:val="231F20"/>
        </w:rPr>
        <w:t>Disease,</w:t>
      </w:r>
      <w:r>
        <w:rPr>
          <w:color w:val="231F20"/>
          <w:spacing w:val="-25"/>
        </w:rPr>
        <w:t xml:space="preserve"> </w:t>
      </w:r>
      <w:r>
        <w:rPr>
          <w:color w:val="231F20"/>
        </w:rPr>
        <w:t>Oral</w:t>
      </w:r>
      <w:r>
        <w:rPr>
          <w:color w:val="231F20"/>
          <w:spacing w:val="-25"/>
        </w:rPr>
        <w:t xml:space="preserve"> </w:t>
      </w:r>
      <w:r>
        <w:rPr>
          <w:color w:val="231F20"/>
        </w:rPr>
        <w:t>Health,</w:t>
      </w:r>
      <w:r>
        <w:rPr>
          <w:color w:val="231F20"/>
          <w:spacing w:val="-25"/>
        </w:rPr>
        <w:t xml:space="preserve"> </w:t>
      </w:r>
      <w:r>
        <w:rPr>
          <w:color w:val="231F20"/>
        </w:rPr>
        <w:t>Eye</w:t>
      </w:r>
      <w:r>
        <w:rPr>
          <w:color w:val="231F20"/>
          <w:spacing w:val="-25"/>
        </w:rPr>
        <w:t xml:space="preserve"> </w:t>
      </w:r>
      <w:r>
        <w:rPr>
          <w:color w:val="231F20"/>
        </w:rPr>
        <w:t>health,</w:t>
      </w:r>
      <w:r>
        <w:rPr>
          <w:color w:val="231F20"/>
          <w:spacing w:val="-25"/>
        </w:rPr>
        <w:t xml:space="preserve"> </w:t>
      </w:r>
      <w:r>
        <w:rPr>
          <w:color w:val="231F20"/>
        </w:rPr>
        <w:t>Care</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rPr>
        <w:t>Elderly</w:t>
      </w:r>
    </w:p>
    <w:p w14:paraId="1538925B" w14:textId="77777777" w:rsidR="009948F1" w:rsidRDefault="00BC0563">
      <w:pPr>
        <w:pStyle w:val="Heading7"/>
        <w:numPr>
          <w:ilvl w:val="1"/>
          <w:numId w:val="245"/>
        </w:numPr>
        <w:tabs>
          <w:tab w:val="left" w:pos="1602"/>
        </w:tabs>
        <w:spacing w:line="270" w:lineRule="exact"/>
        <w:ind w:left="1601" w:hanging="361"/>
        <w:jc w:val="both"/>
      </w:pPr>
      <w:r>
        <w:rPr>
          <w:color w:val="231F20"/>
        </w:rPr>
        <w:t>Emergency</w:t>
      </w:r>
      <w:r>
        <w:rPr>
          <w:color w:val="231F20"/>
          <w:spacing w:val="-25"/>
        </w:rPr>
        <w:t xml:space="preserve"> </w:t>
      </w:r>
      <w:r>
        <w:rPr>
          <w:color w:val="231F20"/>
        </w:rPr>
        <w:t>Medical</w:t>
      </w:r>
      <w:r>
        <w:rPr>
          <w:color w:val="231F20"/>
          <w:spacing w:val="-25"/>
        </w:rPr>
        <w:t xml:space="preserve"> </w:t>
      </w:r>
      <w:r>
        <w:rPr>
          <w:color w:val="231F20"/>
        </w:rPr>
        <w:t>and</w:t>
      </w:r>
      <w:r>
        <w:rPr>
          <w:color w:val="231F20"/>
          <w:spacing w:val="-25"/>
        </w:rPr>
        <w:t xml:space="preserve"> </w:t>
      </w:r>
      <w:r>
        <w:rPr>
          <w:color w:val="231F20"/>
        </w:rPr>
        <w:t>Hospital</w:t>
      </w:r>
      <w:r>
        <w:rPr>
          <w:color w:val="231F20"/>
          <w:spacing w:val="-26"/>
        </w:rPr>
        <w:t xml:space="preserve"> </w:t>
      </w:r>
      <w:r>
        <w:rPr>
          <w:color w:val="231F20"/>
        </w:rPr>
        <w:t>Services</w:t>
      </w:r>
    </w:p>
    <w:p w14:paraId="3653663B" w14:textId="77777777" w:rsidR="009948F1" w:rsidRDefault="00BC0563">
      <w:pPr>
        <w:pStyle w:val="BodyText"/>
        <w:spacing w:before="23"/>
        <w:ind w:left="1961"/>
        <w:jc w:val="both"/>
      </w:pPr>
      <w:r>
        <w:rPr>
          <w:rFonts w:ascii="Wingdings" w:hAnsi="Wingdings"/>
          <w:color w:val="231F20"/>
          <w:spacing w:val="-244"/>
          <w:w w:val="599"/>
        </w:rPr>
        <w:t></w:t>
      </w:r>
      <w:r>
        <w:rPr>
          <w:color w:val="231F20"/>
        </w:rPr>
        <w:t xml:space="preserve">In </w:t>
      </w:r>
      <w:r>
        <w:rPr>
          <w:color w:val="231F20"/>
          <w:w w:val="99"/>
        </w:rPr>
        <w:t>-patient</w:t>
      </w:r>
      <w:r>
        <w:rPr>
          <w:color w:val="231F20"/>
        </w:rPr>
        <w:t xml:space="preserve"> </w:t>
      </w:r>
      <w:r>
        <w:rPr>
          <w:color w:val="231F20"/>
          <w:w w:val="99"/>
        </w:rPr>
        <w:t>care</w:t>
      </w:r>
      <w:r>
        <w:rPr>
          <w:color w:val="231F20"/>
          <w:spacing w:val="-2"/>
        </w:rPr>
        <w:t xml:space="preserve"> </w:t>
      </w:r>
      <w:r>
        <w:rPr>
          <w:color w:val="231F20"/>
        </w:rPr>
        <w:t xml:space="preserve">- treatment, </w:t>
      </w:r>
      <w:r>
        <w:rPr>
          <w:color w:val="231F20"/>
          <w:w w:val="99"/>
        </w:rPr>
        <w:t>surgery</w:t>
      </w:r>
      <w:r>
        <w:rPr>
          <w:color w:val="231F20"/>
          <w:spacing w:val="-3"/>
        </w:rPr>
        <w:t xml:space="preserve"> </w:t>
      </w:r>
      <w:r>
        <w:rPr>
          <w:color w:val="231F20"/>
          <w:w w:val="99"/>
        </w:rPr>
        <w:t>and</w:t>
      </w:r>
      <w:r>
        <w:rPr>
          <w:color w:val="231F20"/>
        </w:rPr>
        <w:t xml:space="preserve"> </w:t>
      </w:r>
      <w:r>
        <w:rPr>
          <w:color w:val="231F20"/>
          <w:w w:val="99"/>
        </w:rPr>
        <w:t>critical</w:t>
      </w:r>
      <w:r>
        <w:rPr>
          <w:color w:val="231F20"/>
        </w:rPr>
        <w:t xml:space="preserve"> care, OPD,</w:t>
      </w:r>
      <w:r>
        <w:rPr>
          <w:color w:val="231F20"/>
          <w:spacing w:val="-2"/>
        </w:rPr>
        <w:t xml:space="preserve"> </w:t>
      </w:r>
      <w:r>
        <w:rPr>
          <w:color w:val="231F20"/>
          <w:w w:val="99"/>
        </w:rPr>
        <w:t>Rehabilitation,</w:t>
      </w:r>
    </w:p>
    <w:p w14:paraId="3885AF9D" w14:textId="77777777" w:rsidR="009948F1" w:rsidRDefault="00BC0563">
      <w:pPr>
        <w:pStyle w:val="BodyText"/>
        <w:spacing w:before="42"/>
        <w:ind w:left="2321"/>
        <w:jc w:val="both"/>
      </w:pPr>
      <w:r>
        <w:rPr>
          <w:color w:val="231F20"/>
        </w:rPr>
        <w:t>Ambulatory Services, Emergency preparedness</w:t>
      </w:r>
    </w:p>
    <w:p w14:paraId="7BAEED21" w14:textId="77777777" w:rsidR="009948F1" w:rsidRDefault="00BC0563">
      <w:pPr>
        <w:pStyle w:val="Heading7"/>
        <w:numPr>
          <w:ilvl w:val="1"/>
          <w:numId w:val="245"/>
        </w:numPr>
        <w:tabs>
          <w:tab w:val="left" w:pos="1602"/>
        </w:tabs>
        <w:spacing w:before="42"/>
        <w:ind w:left="1601" w:hanging="361"/>
        <w:jc w:val="both"/>
      </w:pPr>
      <w:r>
        <w:rPr>
          <w:color w:val="231F20"/>
        </w:rPr>
        <w:t>Health</w:t>
      </w:r>
      <w:r>
        <w:rPr>
          <w:color w:val="231F20"/>
          <w:spacing w:val="-25"/>
        </w:rPr>
        <w:t xml:space="preserve"> </w:t>
      </w:r>
      <w:r>
        <w:rPr>
          <w:color w:val="231F20"/>
        </w:rPr>
        <w:t>Promotion,</w:t>
      </w:r>
      <w:r>
        <w:rPr>
          <w:color w:val="231F20"/>
          <w:spacing w:val="-25"/>
        </w:rPr>
        <w:t xml:space="preserve"> </w:t>
      </w:r>
      <w:r>
        <w:rPr>
          <w:color w:val="231F20"/>
          <w:spacing w:val="-3"/>
        </w:rPr>
        <w:t>WASH,</w:t>
      </w:r>
      <w:r>
        <w:rPr>
          <w:color w:val="231F20"/>
          <w:spacing w:val="-25"/>
        </w:rPr>
        <w:t xml:space="preserve"> </w:t>
      </w:r>
      <w:r>
        <w:rPr>
          <w:color w:val="231F20"/>
        </w:rPr>
        <w:t>Social</w:t>
      </w:r>
      <w:r>
        <w:rPr>
          <w:color w:val="231F20"/>
          <w:spacing w:val="-25"/>
        </w:rPr>
        <w:t xml:space="preserve"> </w:t>
      </w:r>
      <w:r>
        <w:rPr>
          <w:color w:val="231F20"/>
        </w:rPr>
        <w:t>Determinants</w:t>
      </w:r>
      <w:r>
        <w:rPr>
          <w:color w:val="231F20"/>
          <w:spacing w:val="-25"/>
        </w:rPr>
        <w:t xml:space="preserve"> </w:t>
      </w:r>
      <w:r>
        <w:rPr>
          <w:color w:val="231F20"/>
        </w:rPr>
        <w:t>of</w:t>
      </w:r>
      <w:r>
        <w:rPr>
          <w:color w:val="231F20"/>
          <w:spacing w:val="-25"/>
        </w:rPr>
        <w:t xml:space="preserve"> </w:t>
      </w:r>
      <w:r>
        <w:rPr>
          <w:color w:val="231F20"/>
        </w:rPr>
        <w:t>Health</w:t>
      </w:r>
    </w:p>
    <w:p w14:paraId="00CBF5B1" w14:textId="77777777" w:rsidR="009948F1" w:rsidRDefault="009948F1">
      <w:pPr>
        <w:jc w:val="both"/>
        <w:sectPr w:rsidR="009948F1">
          <w:pgSz w:w="11910" w:h="16840"/>
          <w:pgMar w:top="1340" w:right="1080" w:bottom="1420" w:left="1120" w:header="0" w:footer="1235" w:gutter="0"/>
          <w:cols w:space="720"/>
        </w:sectPr>
      </w:pPr>
    </w:p>
    <w:p w14:paraId="2B9D2D97" w14:textId="77777777" w:rsidR="009948F1" w:rsidRDefault="00BC0563">
      <w:pPr>
        <w:spacing w:before="21"/>
        <w:ind w:left="185"/>
        <w:rPr>
          <w:b/>
          <w:sz w:val="30"/>
        </w:rPr>
      </w:pPr>
      <w:bookmarkStart w:id="145" w:name="Page_119"/>
      <w:bookmarkEnd w:id="145"/>
      <w:r>
        <w:rPr>
          <w:b/>
          <w:color w:val="231F20"/>
          <w:sz w:val="30"/>
        </w:rPr>
        <w:lastRenderedPageBreak/>
        <w:t>Appendix 2: List of Contributors</w:t>
      </w:r>
    </w:p>
    <w:p w14:paraId="47EACCBA" w14:textId="77777777" w:rsidR="009948F1" w:rsidRDefault="009948F1">
      <w:pPr>
        <w:pStyle w:val="BodyText"/>
        <w:spacing w:before="3"/>
        <w:rPr>
          <w:b/>
          <w:sz w:val="43"/>
        </w:rPr>
      </w:pPr>
    </w:p>
    <w:p w14:paraId="15BCDCDE" w14:textId="77777777" w:rsidR="009948F1" w:rsidRDefault="00BC0563">
      <w:pPr>
        <w:pStyle w:val="ListParagraph"/>
        <w:numPr>
          <w:ilvl w:val="0"/>
          <w:numId w:val="244"/>
        </w:numPr>
        <w:tabs>
          <w:tab w:val="left" w:pos="906"/>
        </w:tabs>
        <w:ind w:hanging="361"/>
        <w:jc w:val="left"/>
        <w:rPr>
          <w:sz w:val="24"/>
        </w:rPr>
      </w:pPr>
      <w:r>
        <w:rPr>
          <w:color w:val="231F20"/>
          <w:sz w:val="24"/>
        </w:rPr>
        <w:t>Federal</w:t>
      </w:r>
      <w:r>
        <w:rPr>
          <w:color w:val="231F20"/>
          <w:spacing w:val="-27"/>
          <w:sz w:val="24"/>
        </w:rPr>
        <w:t xml:space="preserve"> </w:t>
      </w:r>
      <w:r>
        <w:rPr>
          <w:color w:val="231F20"/>
          <w:sz w:val="24"/>
        </w:rPr>
        <w:t>Ministry</w:t>
      </w:r>
      <w:r>
        <w:rPr>
          <w:color w:val="231F20"/>
          <w:spacing w:val="-27"/>
          <w:sz w:val="24"/>
        </w:rPr>
        <w:t xml:space="preserve"> </w:t>
      </w:r>
      <w:r>
        <w:rPr>
          <w:color w:val="231F20"/>
          <w:sz w:val="24"/>
        </w:rPr>
        <w:t>of</w:t>
      </w:r>
      <w:r>
        <w:rPr>
          <w:color w:val="231F20"/>
          <w:spacing w:val="-27"/>
          <w:sz w:val="24"/>
        </w:rPr>
        <w:t xml:space="preserve"> </w:t>
      </w:r>
      <w:r>
        <w:rPr>
          <w:color w:val="231F20"/>
          <w:sz w:val="24"/>
        </w:rPr>
        <w:t>Health</w:t>
      </w:r>
      <w:r>
        <w:rPr>
          <w:color w:val="231F20"/>
          <w:spacing w:val="-27"/>
          <w:sz w:val="24"/>
        </w:rPr>
        <w:t xml:space="preserve"> </w:t>
      </w:r>
      <w:r>
        <w:rPr>
          <w:color w:val="231F20"/>
          <w:sz w:val="24"/>
        </w:rPr>
        <w:t>(FMOH)</w:t>
      </w:r>
    </w:p>
    <w:p w14:paraId="0971F1FD"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Rivers</w:t>
      </w:r>
      <w:r>
        <w:rPr>
          <w:color w:val="231F20"/>
          <w:spacing w:val="-27"/>
          <w:sz w:val="24"/>
        </w:rPr>
        <w:t xml:space="preserve"> </w:t>
      </w:r>
      <w:r>
        <w:rPr>
          <w:color w:val="231F20"/>
          <w:sz w:val="24"/>
        </w:rPr>
        <w:t>State</w:t>
      </w:r>
      <w:r>
        <w:rPr>
          <w:color w:val="231F20"/>
          <w:spacing w:val="-27"/>
          <w:sz w:val="24"/>
        </w:rPr>
        <w:t xml:space="preserve"> </w:t>
      </w:r>
      <w:r>
        <w:rPr>
          <w:color w:val="231F20"/>
          <w:sz w:val="24"/>
        </w:rPr>
        <w:t>Ministry</w:t>
      </w:r>
      <w:r>
        <w:rPr>
          <w:color w:val="231F20"/>
          <w:spacing w:val="-27"/>
          <w:sz w:val="24"/>
        </w:rPr>
        <w:t xml:space="preserve"> </w:t>
      </w:r>
      <w:r>
        <w:rPr>
          <w:color w:val="231F20"/>
          <w:sz w:val="24"/>
        </w:rPr>
        <w:t>of</w:t>
      </w:r>
      <w:r>
        <w:rPr>
          <w:color w:val="231F20"/>
          <w:spacing w:val="-27"/>
          <w:sz w:val="24"/>
        </w:rPr>
        <w:t xml:space="preserve"> </w:t>
      </w:r>
      <w:r>
        <w:rPr>
          <w:color w:val="231F20"/>
          <w:sz w:val="24"/>
        </w:rPr>
        <w:t>Health</w:t>
      </w:r>
      <w:r>
        <w:rPr>
          <w:color w:val="231F20"/>
          <w:spacing w:val="-28"/>
          <w:sz w:val="24"/>
        </w:rPr>
        <w:t xml:space="preserve"> </w:t>
      </w:r>
      <w:r>
        <w:rPr>
          <w:color w:val="231F20"/>
          <w:sz w:val="24"/>
        </w:rPr>
        <w:t>(RSMOH)</w:t>
      </w:r>
    </w:p>
    <w:p w14:paraId="735D395E"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Rivers</w:t>
      </w:r>
      <w:r>
        <w:rPr>
          <w:color w:val="231F20"/>
          <w:spacing w:val="-28"/>
          <w:sz w:val="24"/>
        </w:rPr>
        <w:t xml:space="preserve"> </w:t>
      </w:r>
      <w:r>
        <w:rPr>
          <w:color w:val="231F20"/>
          <w:sz w:val="24"/>
        </w:rPr>
        <w:t>State</w:t>
      </w:r>
      <w:r>
        <w:rPr>
          <w:color w:val="231F20"/>
          <w:spacing w:val="-27"/>
          <w:sz w:val="24"/>
        </w:rPr>
        <w:t xml:space="preserve"> </w:t>
      </w:r>
      <w:r>
        <w:rPr>
          <w:color w:val="231F20"/>
          <w:sz w:val="24"/>
        </w:rPr>
        <w:t>Primary</w:t>
      </w:r>
      <w:r>
        <w:rPr>
          <w:color w:val="231F20"/>
          <w:spacing w:val="-27"/>
          <w:sz w:val="24"/>
        </w:rPr>
        <w:t xml:space="preserve"> </w:t>
      </w:r>
      <w:r>
        <w:rPr>
          <w:color w:val="231F20"/>
          <w:sz w:val="24"/>
        </w:rPr>
        <w:t>Healthcare</w:t>
      </w:r>
      <w:r>
        <w:rPr>
          <w:color w:val="231F20"/>
          <w:spacing w:val="-27"/>
          <w:sz w:val="24"/>
        </w:rPr>
        <w:t xml:space="preserve"> </w:t>
      </w:r>
      <w:r>
        <w:rPr>
          <w:color w:val="231F20"/>
          <w:sz w:val="24"/>
        </w:rPr>
        <w:t>Management</w:t>
      </w:r>
      <w:r>
        <w:rPr>
          <w:color w:val="231F20"/>
          <w:spacing w:val="-27"/>
          <w:sz w:val="24"/>
        </w:rPr>
        <w:t xml:space="preserve"> </w:t>
      </w:r>
      <w:r>
        <w:rPr>
          <w:color w:val="231F20"/>
          <w:sz w:val="24"/>
        </w:rPr>
        <w:t>Board</w:t>
      </w:r>
      <w:r>
        <w:rPr>
          <w:color w:val="231F20"/>
          <w:spacing w:val="-27"/>
          <w:sz w:val="24"/>
        </w:rPr>
        <w:t xml:space="preserve"> </w:t>
      </w:r>
      <w:r>
        <w:rPr>
          <w:color w:val="231F20"/>
          <w:sz w:val="24"/>
        </w:rPr>
        <w:t>(RSPHCMB)</w:t>
      </w:r>
    </w:p>
    <w:p w14:paraId="5A6ECFC5"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Rivers</w:t>
      </w:r>
      <w:r>
        <w:rPr>
          <w:color w:val="231F20"/>
          <w:spacing w:val="-27"/>
          <w:sz w:val="24"/>
        </w:rPr>
        <w:t xml:space="preserve"> </w:t>
      </w:r>
      <w:r>
        <w:rPr>
          <w:color w:val="231F20"/>
          <w:sz w:val="24"/>
        </w:rPr>
        <w:t>State</w:t>
      </w:r>
      <w:r>
        <w:rPr>
          <w:color w:val="231F20"/>
          <w:spacing w:val="-28"/>
          <w:sz w:val="24"/>
        </w:rPr>
        <w:t xml:space="preserve"> </w:t>
      </w:r>
      <w:r>
        <w:rPr>
          <w:color w:val="231F20"/>
          <w:sz w:val="24"/>
        </w:rPr>
        <w:t>Hospital</w:t>
      </w:r>
      <w:r>
        <w:rPr>
          <w:color w:val="231F20"/>
          <w:spacing w:val="-27"/>
          <w:sz w:val="24"/>
        </w:rPr>
        <w:t xml:space="preserve"> </w:t>
      </w:r>
      <w:r>
        <w:rPr>
          <w:color w:val="231F20"/>
          <w:sz w:val="24"/>
        </w:rPr>
        <w:t>Management</w:t>
      </w:r>
      <w:r>
        <w:rPr>
          <w:color w:val="231F20"/>
          <w:spacing w:val="-27"/>
          <w:sz w:val="24"/>
        </w:rPr>
        <w:t xml:space="preserve"> </w:t>
      </w:r>
      <w:r>
        <w:rPr>
          <w:color w:val="231F20"/>
          <w:sz w:val="24"/>
        </w:rPr>
        <w:t>Board</w:t>
      </w:r>
      <w:r>
        <w:rPr>
          <w:color w:val="231F20"/>
          <w:spacing w:val="-27"/>
          <w:sz w:val="24"/>
        </w:rPr>
        <w:t xml:space="preserve"> </w:t>
      </w:r>
      <w:r>
        <w:rPr>
          <w:color w:val="231F20"/>
          <w:sz w:val="24"/>
        </w:rPr>
        <w:t>(RSHMB)</w:t>
      </w:r>
    </w:p>
    <w:p w14:paraId="6825A5E2"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University</w:t>
      </w:r>
      <w:r>
        <w:rPr>
          <w:color w:val="231F20"/>
          <w:spacing w:val="-27"/>
          <w:sz w:val="24"/>
        </w:rPr>
        <w:t xml:space="preserve"> </w:t>
      </w:r>
      <w:r>
        <w:rPr>
          <w:color w:val="231F20"/>
          <w:sz w:val="24"/>
        </w:rPr>
        <w:t>of</w:t>
      </w:r>
      <w:r>
        <w:rPr>
          <w:color w:val="231F20"/>
          <w:spacing w:val="-27"/>
          <w:sz w:val="24"/>
        </w:rPr>
        <w:t xml:space="preserve"> </w:t>
      </w:r>
      <w:r>
        <w:rPr>
          <w:color w:val="231F20"/>
          <w:sz w:val="24"/>
        </w:rPr>
        <w:t>Port</w:t>
      </w:r>
      <w:r>
        <w:rPr>
          <w:color w:val="231F20"/>
          <w:spacing w:val="-27"/>
          <w:sz w:val="24"/>
        </w:rPr>
        <w:t xml:space="preserve"> </w:t>
      </w:r>
      <w:r>
        <w:rPr>
          <w:color w:val="231F20"/>
          <w:sz w:val="24"/>
        </w:rPr>
        <w:t>Harcourt</w:t>
      </w:r>
      <w:r>
        <w:rPr>
          <w:color w:val="231F20"/>
          <w:spacing w:val="-31"/>
          <w:sz w:val="24"/>
        </w:rPr>
        <w:t xml:space="preserve"> </w:t>
      </w:r>
      <w:r>
        <w:rPr>
          <w:color w:val="231F20"/>
          <w:spacing w:val="-4"/>
          <w:sz w:val="24"/>
        </w:rPr>
        <w:t>Teaching</w:t>
      </w:r>
      <w:r>
        <w:rPr>
          <w:color w:val="231F20"/>
          <w:spacing w:val="-27"/>
          <w:sz w:val="24"/>
        </w:rPr>
        <w:t xml:space="preserve"> </w:t>
      </w:r>
      <w:r>
        <w:rPr>
          <w:color w:val="231F20"/>
          <w:sz w:val="24"/>
        </w:rPr>
        <w:t>Hospital</w:t>
      </w:r>
      <w:r>
        <w:rPr>
          <w:color w:val="231F20"/>
          <w:spacing w:val="-27"/>
          <w:sz w:val="24"/>
        </w:rPr>
        <w:t xml:space="preserve"> </w:t>
      </w:r>
      <w:r>
        <w:rPr>
          <w:color w:val="231F20"/>
          <w:sz w:val="24"/>
        </w:rPr>
        <w:t>(UPTH)</w:t>
      </w:r>
    </w:p>
    <w:p w14:paraId="0759CFD5"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Rivers</w:t>
      </w:r>
      <w:r>
        <w:rPr>
          <w:color w:val="231F20"/>
          <w:spacing w:val="-27"/>
          <w:sz w:val="24"/>
        </w:rPr>
        <w:t xml:space="preserve"> </w:t>
      </w:r>
      <w:r>
        <w:rPr>
          <w:color w:val="231F20"/>
          <w:sz w:val="24"/>
        </w:rPr>
        <w:t>State</w:t>
      </w:r>
      <w:r>
        <w:rPr>
          <w:color w:val="231F20"/>
          <w:spacing w:val="-27"/>
          <w:sz w:val="24"/>
        </w:rPr>
        <w:t xml:space="preserve"> </w:t>
      </w:r>
      <w:r>
        <w:rPr>
          <w:color w:val="231F20"/>
          <w:sz w:val="24"/>
        </w:rPr>
        <w:t>University</w:t>
      </w:r>
      <w:r>
        <w:rPr>
          <w:color w:val="231F20"/>
          <w:spacing w:val="-31"/>
          <w:sz w:val="24"/>
        </w:rPr>
        <w:t xml:space="preserve"> </w:t>
      </w:r>
      <w:r>
        <w:rPr>
          <w:color w:val="231F20"/>
          <w:spacing w:val="-4"/>
          <w:sz w:val="24"/>
        </w:rPr>
        <w:t>Teaching</w:t>
      </w:r>
      <w:r>
        <w:rPr>
          <w:color w:val="231F20"/>
          <w:spacing w:val="-27"/>
          <w:sz w:val="24"/>
        </w:rPr>
        <w:t xml:space="preserve"> </w:t>
      </w:r>
      <w:r>
        <w:rPr>
          <w:color w:val="231F20"/>
          <w:sz w:val="24"/>
        </w:rPr>
        <w:t>Hospital</w:t>
      </w:r>
    </w:p>
    <w:p w14:paraId="1B86D41B"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Rivers</w:t>
      </w:r>
      <w:r>
        <w:rPr>
          <w:color w:val="231F20"/>
          <w:spacing w:val="-27"/>
          <w:sz w:val="24"/>
        </w:rPr>
        <w:t xml:space="preserve"> </w:t>
      </w:r>
      <w:r>
        <w:rPr>
          <w:color w:val="231F20"/>
          <w:sz w:val="24"/>
        </w:rPr>
        <w:t>State</w:t>
      </w:r>
      <w:r>
        <w:rPr>
          <w:color w:val="231F20"/>
          <w:spacing w:val="-40"/>
          <w:sz w:val="24"/>
        </w:rPr>
        <w:t xml:space="preserve"> </w:t>
      </w:r>
      <w:r>
        <w:rPr>
          <w:color w:val="231F20"/>
          <w:sz w:val="24"/>
        </w:rPr>
        <w:t>Agency</w:t>
      </w:r>
      <w:r>
        <w:rPr>
          <w:color w:val="231F20"/>
          <w:spacing w:val="-28"/>
          <w:sz w:val="24"/>
        </w:rPr>
        <w:t xml:space="preserve"> </w:t>
      </w:r>
      <w:r>
        <w:rPr>
          <w:color w:val="231F20"/>
          <w:sz w:val="24"/>
        </w:rPr>
        <w:t>for</w:t>
      </w:r>
      <w:r>
        <w:rPr>
          <w:color w:val="231F20"/>
          <w:spacing w:val="-31"/>
          <w:sz w:val="24"/>
        </w:rPr>
        <w:t xml:space="preserve"> </w:t>
      </w:r>
      <w:r>
        <w:rPr>
          <w:color w:val="231F20"/>
          <w:sz w:val="24"/>
        </w:rPr>
        <w:t>The</w:t>
      </w:r>
      <w:r>
        <w:rPr>
          <w:color w:val="231F20"/>
          <w:spacing w:val="-27"/>
          <w:sz w:val="24"/>
        </w:rPr>
        <w:t xml:space="preserve"> </w:t>
      </w:r>
      <w:r>
        <w:rPr>
          <w:color w:val="231F20"/>
          <w:sz w:val="24"/>
        </w:rPr>
        <w:t>Control</w:t>
      </w:r>
      <w:r>
        <w:rPr>
          <w:color w:val="231F20"/>
          <w:spacing w:val="-27"/>
          <w:sz w:val="24"/>
        </w:rPr>
        <w:t xml:space="preserve"> </w:t>
      </w:r>
      <w:r>
        <w:rPr>
          <w:color w:val="231F20"/>
          <w:sz w:val="24"/>
        </w:rPr>
        <w:t>of</w:t>
      </w:r>
      <w:r>
        <w:rPr>
          <w:color w:val="231F20"/>
          <w:spacing w:val="-40"/>
          <w:sz w:val="24"/>
        </w:rPr>
        <w:t xml:space="preserve"> </w:t>
      </w:r>
      <w:r>
        <w:rPr>
          <w:color w:val="231F20"/>
          <w:sz w:val="24"/>
        </w:rPr>
        <w:t>AIDS</w:t>
      </w:r>
      <w:r>
        <w:rPr>
          <w:color w:val="231F20"/>
          <w:spacing w:val="-27"/>
          <w:sz w:val="24"/>
        </w:rPr>
        <w:t xml:space="preserve"> </w:t>
      </w:r>
      <w:r>
        <w:rPr>
          <w:color w:val="231F20"/>
          <w:sz w:val="24"/>
        </w:rPr>
        <w:t>(RIVSACA)</w:t>
      </w:r>
    </w:p>
    <w:p w14:paraId="1E83CC5A"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College</w:t>
      </w:r>
      <w:r>
        <w:rPr>
          <w:color w:val="231F20"/>
          <w:spacing w:val="-27"/>
          <w:sz w:val="24"/>
        </w:rPr>
        <w:t xml:space="preserve"> </w:t>
      </w:r>
      <w:r>
        <w:rPr>
          <w:color w:val="231F20"/>
          <w:sz w:val="24"/>
        </w:rPr>
        <w:t>of</w:t>
      </w:r>
      <w:r>
        <w:rPr>
          <w:color w:val="231F20"/>
          <w:spacing w:val="-27"/>
          <w:sz w:val="24"/>
        </w:rPr>
        <w:t xml:space="preserve"> </w:t>
      </w:r>
      <w:r>
        <w:rPr>
          <w:color w:val="231F20"/>
          <w:sz w:val="24"/>
        </w:rPr>
        <w:t>Health</w:t>
      </w:r>
      <w:r>
        <w:rPr>
          <w:color w:val="231F20"/>
          <w:spacing w:val="-27"/>
          <w:sz w:val="24"/>
        </w:rPr>
        <w:t xml:space="preserve"> </w:t>
      </w:r>
      <w:r>
        <w:rPr>
          <w:color w:val="231F20"/>
          <w:sz w:val="24"/>
        </w:rPr>
        <w:t>Science</w:t>
      </w:r>
      <w:r>
        <w:rPr>
          <w:color w:val="231F20"/>
          <w:spacing w:val="-27"/>
          <w:sz w:val="24"/>
        </w:rPr>
        <w:t xml:space="preserve"> </w:t>
      </w:r>
      <w:r>
        <w:rPr>
          <w:color w:val="231F20"/>
          <w:sz w:val="24"/>
        </w:rPr>
        <w:t>&amp;</w:t>
      </w:r>
      <w:r>
        <w:rPr>
          <w:color w:val="231F20"/>
          <w:spacing w:val="-31"/>
          <w:sz w:val="24"/>
        </w:rPr>
        <w:t xml:space="preserve"> </w:t>
      </w:r>
      <w:r>
        <w:rPr>
          <w:color w:val="231F20"/>
          <w:spacing w:val="-3"/>
          <w:sz w:val="24"/>
        </w:rPr>
        <w:t>Technology</w:t>
      </w:r>
      <w:r>
        <w:rPr>
          <w:color w:val="231F20"/>
          <w:spacing w:val="-27"/>
          <w:sz w:val="24"/>
        </w:rPr>
        <w:t xml:space="preserve"> </w:t>
      </w:r>
      <w:r>
        <w:rPr>
          <w:color w:val="231F20"/>
          <w:sz w:val="24"/>
        </w:rPr>
        <w:t>(RSCOHST)</w:t>
      </w:r>
    </w:p>
    <w:p w14:paraId="4143698B"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School</w:t>
      </w:r>
      <w:r>
        <w:rPr>
          <w:color w:val="231F20"/>
          <w:spacing w:val="-27"/>
          <w:sz w:val="24"/>
        </w:rPr>
        <w:t xml:space="preserve"> </w:t>
      </w:r>
      <w:r>
        <w:rPr>
          <w:color w:val="231F20"/>
          <w:sz w:val="24"/>
        </w:rPr>
        <w:t>of</w:t>
      </w:r>
      <w:r>
        <w:rPr>
          <w:color w:val="231F20"/>
          <w:spacing w:val="-28"/>
          <w:sz w:val="24"/>
        </w:rPr>
        <w:t xml:space="preserve"> </w:t>
      </w:r>
      <w:r>
        <w:rPr>
          <w:color w:val="231F20"/>
          <w:sz w:val="24"/>
        </w:rPr>
        <w:t>Nursing</w:t>
      </w:r>
      <w:r>
        <w:rPr>
          <w:color w:val="231F20"/>
          <w:spacing w:val="-27"/>
          <w:sz w:val="24"/>
        </w:rPr>
        <w:t xml:space="preserve"> </w:t>
      </w:r>
      <w:r>
        <w:rPr>
          <w:color w:val="231F20"/>
          <w:sz w:val="24"/>
        </w:rPr>
        <w:t>&amp;</w:t>
      </w:r>
      <w:r>
        <w:rPr>
          <w:color w:val="231F20"/>
          <w:spacing w:val="-27"/>
          <w:sz w:val="24"/>
        </w:rPr>
        <w:t xml:space="preserve"> </w:t>
      </w:r>
      <w:r>
        <w:rPr>
          <w:color w:val="231F20"/>
          <w:sz w:val="24"/>
        </w:rPr>
        <w:t>School</w:t>
      </w:r>
      <w:r>
        <w:rPr>
          <w:color w:val="231F20"/>
          <w:spacing w:val="-27"/>
          <w:sz w:val="24"/>
        </w:rPr>
        <w:t xml:space="preserve"> </w:t>
      </w:r>
      <w:r>
        <w:rPr>
          <w:color w:val="231F20"/>
          <w:sz w:val="24"/>
        </w:rPr>
        <w:t>of</w:t>
      </w:r>
      <w:r>
        <w:rPr>
          <w:color w:val="231F20"/>
          <w:spacing w:val="-27"/>
          <w:sz w:val="24"/>
        </w:rPr>
        <w:t xml:space="preserve"> </w:t>
      </w:r>
      <w:r>
        <w:rPr>
          <w:color w:val="231F20"/>
          <w:sz w:val="24"/>
        </w:rPr>
        <w:t>Midwifery</w:t>
      </w:r>
    </w:p>
    <w:p w14:paraId="5234D2F6"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National</w:t>
      </w:r>
      <w:r>
        <w:rPr>
          <w:color w:val="231F20"/>
          <w:spacing w:val="-27"/>
          <w:sz w:val="24"/>
        </w:rPr>
        <w:t xml:space="preserve"> </w:t>
      </w:r>
      <w:r>
        <w:rPr>
          <w:color w:val="231F20"/>
          <w:sz w:val="24"/>
        </w:rPr>
        <w:t>Health</w:t>
      </w:r>
      <w:r>
        <w:rPr>
          <w:color w:val="231F20"/>
          <w:spacing w:val="-28"/>
          <w:sz w:val="24"/>
        </w:rPr>
        <w:t xml:space="preserve"> </w:t>
      </w:r>
      <w:r>
        <w:rPr>
          <w:color w:val="231F20"/>
          <w:sz w:val="24"/>
        </w:rPr>
        <w:t>Insurance</w:t>
      </w:r>
      <w:r>
        <w:rPr>
          <w:color w:val="231F20"/>
          <w:spacing w:val="-27"/>
          <w:sz w:val="24"/>
        </w:rPr>
        <w:t xml:space="preserve"> </w:t>
      </w:r>
      <w:r>
        <w:rPr>
          <w:color w:val="231F20"/>
          <w:sz w:val="24"/>
        </w:rPr>
        <w:t>Scheme</w:t>
      </w:r>
      <w:r>
        <w:rPr>
          <w:color w:val="231F20"/>
          <w:spacing w:val="-27"/>
          <w:sz w:val="24"/>
        </w:rPr>
        <w:t xml:space="preserve"> </w:t>
      </w:r>
      <w:r>
        <w:rPr>
          <w:color w:val="231F20"/>
          <w:sz w:val="24"/>
        </w:rPr>
        <w:t>(NHIS)</w:t>
      </w:r>
    </w:p>
    <w:p w14:paraId="4F8DFC8F" w14:textId="77777777" w:rsidR="009948F1" w:rsidRDefault="00BC0563">
      <w:pPr>
        <w:pStyle w:val="ListParagraph"/>
        <w:numPr>
          <w:ilvl w:val="0"/>
          <w:numId w:val="244"/>
        </w:numPr>
        <w:tabs>
          <w:tab w:val="left" w:pos="906"/>
        </w:tabs>
        <w:spacing w:before="96" w:line="316" w:lineRule="auto"/>
        <w:ind w:right="222"/>
        <w:jc w:val="left"/>
        <w:rPr>
          <w:sz w:val="24"/>
        </w:rPr>
      </w:pPr>
      <w:r>
        <w:rPr>
          <w:color w:val="231F20"/>
          <w:sz w:val="24"/>
        </w:rPr>
        <w:t xml:space="preserve">Development Partners; </w:t>
      </w:r>
      <w:r>
        <w:rPr>
          <w:color w:val="231F20"/>
          <w:spacing w:val="-4"/>
          <w:sz w:val="24"/>
        </w:rPr>
        <w:t>UNICEF,</w:t>
      </w:r>
      <w:r>
        <w:rPr>
          <w:color w:val="231F20"/>
          <w:spacing w:val="58"/>
          <w:sz w:val="24"/>
        </w:rPr>
        <w:t xml:space="preserve"> </w:t>
      </w:r>
      <w:r>
        <w:rPr>
          <w:color w:val="231F20"/>
          <w:sz w:val="24"/>
        </w:rPr>
        <w:t xml:space="preserve">USAID-HFG, SOMLPforR, FHI360, </w:t>
      </w:r>
      <w:r>
        <w:rPr>
          <w:color w:val="231F20"/>
          <w:spacing w:val="-3"/>
          <w:sz w:val="24"/>
        </w:rPr>
        <w:t xml:space="preserve">CHAI, </w:t>
      </w:r>
      <w:r>
        <w:rPr>
          <w:color w:val="231F20"/>
          <w:sz w:val="24"/>
        </w:rPr>
        <w:t>Society</w:t>
      </w:r>
      <w:r>
        <w:rPr>
          <w:color w:val="231F20"/>
          <w:spacing w:val="-27"/>
          <w:sz w:val="24"/>
        </w:rPr>
        <w:t xml:space="preserve"> </w:t>
      </w:r>
      <w:r>
        <w:rPr>
          <w:color w:val="231F20"/>
          <w:sz w:val="24"/>
        </w:rPr>
        <w:t>for</w:t>
      </w:r>
      <w:r>
        <w:rPr>
          <w:color w:val="231F20"/>
          <w:spacing w:val="-27"/>
          <w:sz w:val="24"/>
        </w:rPr>
        <w:t xml:space="preserve"> </w:t>
      </w:r>
      <w:r>
        <w:rPr>
          <w:color w:val="231F20"/>
          <w:sz w:val="24"/>
        </w:rPr>
        <w:t>Family</w:t>
      </w:r>
      <w:r>
        <w:rPr>
          <w:color w:val="231F20"/>
          <w:spacing w:val="-27"/>
          <w:sz w:val="24"/>
        </w:rPr>
        <w:t xml:space="preserve"> </w:t>
      </w:r>
      <w:r>
        <w:rPr>
          <w:color w:val="231F20"/>
          <w:sz w:val="24"/>
        </w:rPr>
        <w:t>Health,</w:t>
      </w:r>
      <w:r>
        <w:rPr>
          <w:color w:val="231F20"/>
          <w:spacing w:val="-40"/>
          <w:sz w:val="24"/>
        </w:rPr>
        <w:t xml:space="preserve"> </w:t>
      </w:r>
      <w:proofErr w:type="spellStart"/>
      <w:r>
        <w:rPr>
          <w:color w:val="231F20"/>
          <w:sz w:val="24"/>
        </w:rPr>
        <w:t>Afenet</w:t>
      </w:r>
      <w:proofErr w:type="spellEnd"/>
      <w:r>
        <w:rPr>
          <w:color w:val="231F20"/>
          <w:sz w:val="24"/>
        </w:rPr>
        <w:t>.</w:t>
      </w:r>
    </w:p>
    <w:p w14:paraId="151EE7F2" w14:textId="77777777" w:rsidR="009948F1" w:rsidRDefault="00BC0563">
      <w:pPr>
        <w:pStyle w:val="ListParagraph"/>
        <w:numPr>
          <w:ilvl w:val="0"/>
          <w:numId w:val="244"/>
        </w:numPr>
        <w:tabs>
          <w:tab w:val="left" w:pos="906"/>
        </w:tabs>
        <w:spacing w:before="36"/>
        <w:ind w:hanging="361"/>
        <w:jc w:val="left"/>
        <w:rPr>
          <w:sz w:val="24"/>
        </w:rPr>
      </w:pPr>
      <w:r>
        <w:rPr>
          <w:color w:val="231F20"/>
          <w:sz w:val="24"/>
        </w:rPr>
        <w:t>Planning</w:t>
      </w:r>
      <w:r>
        <w:rPr>
          <w:color w:val="231F20"/>
          <w:spacing w:val="-27"/>
          <w:sz w:val="24"/>
        </w:rPr>
        <w:t xml:space="preserve"> </w:t>
      </w:r>
      <w:r>
        <w:rPr>
          <w:color w:val="231F20"/>
          <w:sz w:val="24"/>
        </w:rPr>
        <w:t>Consultant</w:t>
      </w:r>
    </w:p>
    <w:p w14:paraId="5DB4FB44"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Costing Consultant,</w:t>
      </w:r>
      <w:r>
        <w:rPr>
          <w:color w:val="231F20"/>
          <w:spacing w:val="-54"/>
          <w:sz w:val="24"/>
        </w:rPr>
        <w:t xml:space="preserve"> </w:t>
      </w:r>
      <w:r>
        <w:rPr>
          <w:color w:val="231F20"/>
          <w:sz w:val="24"/>
        </w:rPr>
        <w:t>FMOH</w:t>
      </w:r>
    </w:p>
    <w:p w14:paraId="03183D11"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Zonal Consultant,</w:t>
      </w:r>
      <w:r>
        <w:rPr>
          <w:color w:val="231F20"/>
          <w:spacing w:val="-54"/>
          <w:sz w:val="24"/>
        </w:rPr>
        <w:t xml:space="preserve"> </w:t>
      </w:r>
      <w:r>
        <w:rPr>
          <w:color w:val="231F20"/>
          <w:sz w:val="24"/>
        </w:rPr>
        <w:t>FMOH</w:t>
      </w:r>
    </w:p>
    <w:p w14:paraId="53EB7517"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Ministry of</w:t>
      </w:r>
      <w:r>
        <w:rPr>
          <w:color w:val="231F20"/>
          <w:spacing w:val="-55"/>
          <w:sz w:val="24"/>
        </w:rPr>
        <w:t xml:space="preserve"> </w:t>
      </w:r>
      <w:r>
        <w:rPr>
          <w:color w:val="231F20"/>
          <w:sz w:val="24"/>
        </w:rPr>
        <w:t>Works</w:t>
      </w:r>
    </w:p>
    <w:p w14:paraId="0AF7CAE1"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Ministry of</w:t>
      </w:r>
      <w:r>
        <w:rPr>
          <w:color w:val="231F20"/>
          <w:spacing w:val="-54"/>
          <w:sz w:val="24"/>
        </w:rPr>
        <w:t xml:space="preserve"> </w:t>
      </w:r>
      <w:r>
        <w:rPr>
          <w:color w:val="231F20"/>
          <w:sz w:val="24"/>
        </w:rPr>
        <w:t>Information</w:t>
      </w:r>
    </w:p>
    <w:p w14:paraId="5F2EC3D9"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Ministry of</w:t>
      </w:r>
      <w:r>
        <w:rPr>
          <w:color w:val="231F20"/>
          <w:spacing w:val="-54"/>
          <w:sz w:val="24"/>
        </w:rPr>
        <w:t xml:space="preserve"> </w:t>
      </w:r>
      <w:r>
        <w:rPr>
          <w:color w:val="231F20"/>
          <w:sz w:val="24"/>
        </w:rPr>
        <w:t>Environment</w:t>
      </w:r>
    </w:p>
    <w:p w14:paraId="201C38D2"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Ministry</w:t>
      </w:r>
      <w:r>
        <w:rPr>
          <w:color w:val="231F20"/>
          <w:spacing w:val="-28"/>
          <w:sz w:val="24"/>
        </w:rPr>
        <w:t xml:space="preserve"> </w:t>
      </w:r>
      <w:r>
        <w:rPr>
          <w:color w:val="231F20"/>
          <w:sz w:val="24"/>
        </w:rPr>
        <w:t>of</w:t>
      </w:r>
      <w:r>
        <w:rPr>
          <w:color w:val="231F20"/>
          <w:spacing w:val="-27"/>
          <w:sz w:val="24"/>
        </w:rPr>
        <w:t xml:space="preserve"> </w:t>
      </w:r>
      <w:r>
        <w:rPr>
          <w:color w:val="231F20"/>
          <w:sz w:val="24"/>
        </w:rPr>
        <w:t>Women</w:t>
      </w:r>
      <w:r>
        <w:rPr>
          <w:color w:val="231F20"/>
          <w:spacing w:val="-40"/>
          <w:sz w:val="24"/>
        </w:rPr>
        <w:t xml:space="preserve"> </w:t>
      </w:r>
      <w:r>
        <w:rPr>
          <w:color w:val="231F20"/>
          <w:sz w:val="24"/>
        </w:rPr>
        <w:t>Affairs</w:t>
      </w:r>
    </w:p>
    <w:p w14:paraId="75BC93B9" w14:textId="77777777" w:rsidR="009948F1" w:rsidRDefault="00BC0563">
      <w:pPr>
        <w:pStyle w:val="ListParagraph"/>
        <w:numPr>
          <w:ilvl w:val="0"/>
          <w:numId w:val="244"/>
        </w:numPr>
        <w:tabs>
          <w:tab w:val="left" w:pos="906"/>
        </w:tabs>
        <w:spacing w:before="95"/>
        <w:ind w:hanging="361"/>
        <w:jc w:val="left"/>
        <w:rPr>
          <w:sz w:val="24"/>
        </w:rPr>
      </w:pPr>
      <w:r>
        <w:rPr>
          <w:color w:val="231F20"/>
          <w:sz w:val="24"/>
        </w:rPr>
        <w:t>Ministry of</w:t>
      </w:r>
      <w:r>
        <w:rPr>
          <w:color w:val="231F20"/>
          <w:spacing w:val="-54"/>
          <w:sz w:val="24"/>
        </w:rPr>
        <w:t xml:space="preserve"> </w:t>
      </w:r>
      <w:r>
        <w:rPr>
          <w:color w:val="231F20"/>
          <w:sz w:val="24"/>
        </w:rPr>
        <w:t>Finance</w:t>
      </w:r>
    </w:p>
    <w:p w14:paraId="5E7C0C54"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Ministry</w:t>
      </w:r>
      <w:r>
        <w:rPr>
          <w:color w:val="231F20"/>
          <w:spacing w:val="-27"/>
          <w:sz w:val="24"/>
        </w:rPr>
        <w:t xml:space="preserve"> </w:t>
      </w:r>
      <w:r>
        <w:rPr>
          <w:color w:val="231F20"/>
          <w:sz w:val="24"/>
        </w:rPr>
        <w:t>of</w:t>
      </w:r>
      <w:r>
        <w:rPr>
          <w:color w:val="231F20"/>
          <w:spacing w:val="-28"/>
          <w:sz w:val="24"/>
        </w:rPr>
        <w:t xml:space="preserve"> </w:t>
      </w:r>
      <w:r>
        <w:rPr>
          <w:color w:val="231F20"/>
          <w:sz w:val="24"/>
        </w:rPr>
        <w:t>Budget</w:t>
      </w:r>
      <w:r>
        <w:rPr>
          <w:color w:val="231F20"/>
          <w:spacing w:val="-27"/>
          <w:sz w:val="24"/>
        </w:rPr>
        <w:t xml:space="preserve"> </w:t>
      </w:r>
      <w:r>
        <w:rPr>
          <w:color w:val="231F20"/>
          <w:sz w:val="24"/>
        </w:rPr>
        <w:t>and</w:t>
      </w:r>
      <w:r>
        <w:rPr>
          <w:color w:val="231F20"/>
          <w:spacing w:val="-27"/>
          <w:sz w:val="24"/>
        </w:rPr>
        <w:t xml:space="preserve"> </w:t>
      </w:r>
      <w:r>
        <w:rPr>
          <w:color w:val="231F20"/>
          <w:sz w:val="24"/>
        </w:rPr>
        <w:t>Economic</w:t>
      </w:r>
      <w:r>
        <w:rPr>
          <w:color w:val="231F20"/>
          <w:spacing w:val="-27"/>
          <w:sz w:val="24"/>
        </w:rPr>
        <w:t xml:space="preserve"> </w:t>
      </w:r>
      <w:r>
        <w:rPr>
          <w:color w:val="231F20"/>
          <w:sz w:val="24"/>
        </w:rPr>
        <w:t>Planning</w:t>
      </w:r>
    </w:p>
    <w:p w14:paraId="57F1D08D" w14:textId="77777777" w:rsidR="009948F1" w:rsidRDefault="00BC0563">
      <w:pPr>
        <w:pStyle w:val="ListParagraph"/>
        <w:numPr>
          <w:ilvl w:val="0"/>
          <w:numId w:val="244"/>
        </w:numPr>
        <w:tabs>
          <w:tab w:val="left" w:pos="906"/>
        </w:tabs>
        <w:spacing w:before="96" w:line="333" w:lineRule="auto"/>
        <w:ind w:right="222"/>
        <w:rPr>
          <w:sz w:val="24"/>
        </w:rPr>
      </w:pPr>
      <w:r>
        <w:rPr>
          <w:color w:val="231F20"/>
          <w:sz w:val="24"/>
        </w:rPr>
        <w:t xml:space="preserve">Professional bodies; Nigeria Medical Association (NMA), National Association </w:t>
      </w:r>
      <w:r>
        <w:rPr>
          <w:color w:val="231F20"/>
          <w:spacing w:val="-6"/>
          <w:sz w:val="24"/>
        </w:rPr>
        <w:t xml:space="preserve">of </w:t>
      </w:r>
      <w:r>
        <w:rPr>
          <w:color w:val="231F20"/>
          <w:sz w:val="24"/>
        </w:rPr>
        <w:t>Nigeria Nurses And Midwives (NANNM), Joint Health Sector Unions (JOHESU), Association of General And Private Medical Practitioners of Nigeria (AGPMPN), Pharmaceutical</w:t>
      </w:r>
      <w:r>
        <w:rPr>
          <w:color w:val="231F20"/>
          <w:spacing w:val="-27"/>
          <w:sz w:val="24"/>
        </w:rPr>
        <w:t xml:space="preserve"> </w:t>
      </w:r>
      <w:r>
        <w:rPr>
          <w:color w:val="231F20"/>
          <w:sz w:val="24"/>
        </w:rPr>
        <w:t>Society</w:t>
      </w:r>
      <w:r>
        <w:rPr>
          <w:color w:val="231F20"/>
          <w:spacing w:val="-27"/>
          <w:sz w:val="24"/>
        </w:rPr>
        <w:t xml:space="preserve"> </w:t>
      </w:r>
      <w:r>
        <w:rPr>
          <w:color w:val="231F20"/>
          <w:sz w:val="24"/>
        </w:rPr>
        <w:t>of</w:t>
      </w:r>
      <w:r>
        <w:rPr>
          <w:color w:val="231F20"/>
          <w:spacing w:val="-28"/>
          <w:sz w:val="24"/>
        </w:rPr>
        <w:t xml:space="preserve"> </w:t>
      </w:r>
      <w:r>
        <w:rPr>
          <w:color w:val="231F20"/>
          <w:sz w:val="24"/>
        </w:rPr>
        <w:t>Nigeria</w:t>
      </w:r>
      <w:r>
        <w:rPr>
          <w:color w:val="231F20"/>
          <w:spacing w:val="-27"/>
          <w:sz w:val="24"/>
        </w:rPr>
        <w:t xml:space="preserve"> </w:t>
      </w:r>
      <w:r>
        <w:rPr>
          <w:color w:val="231F20"/>
          <w:sz w:val="24"/>
        </w:rPr>
        <w:t>(PSN)</w:t>
      </w:r>
    </w:p>
    <w:p w14:paraId="72DA897C" w14:textId="77777777" w:rsidR="009948F1" w:rsidRDefault="00BC0563">
      <w:pPr>
        <w:pStyle w:val="ListParagraph"/>
        <w:numPr>
          <w:ilvl w:val="0"/>
          <w:numId w:val="244"/>
        </w:numPr>
        <w:tabs>
          <w:tab w:val="left" w:pos="906"/>
        </w:tabs>
        <w:spacing w:before="17"/>
        <w:ind w:hanging="361"/>
        <w:jc w:val="left"/>
        <w:rPr>
          <w:sz w:val="24"/>
        </w:rPr>
      </w:pPr>
      <w:r>
        <w:rPr>
          <w:color w:val="231F20"/>
          <w:sz w:val="24"/>
        </w:rPr>
        <w:t>Civil</w:t>
      </w:r>
      <w:r>
        <w:rPr>
          <w:color w:val="231F20"/>
          <w:spacing w:val="-27"/>
          <w:sz w:val="24"/>
        </w:rPr>
        <w:t xml:space="preserve"> </w:t>
      </w:r>
      <w:r>
        <w:rPr>
          <w:color w:val="231F20"/>
          <w:sz w:val="24"/>
        </w:rPr>
        <w:t>Society</w:t>
      </w:r>
      <w:r>
        <w:rPr>
          <w:color w:val="231F20"/>
          <w:spacing w:val="-27"/>
          <w:sz w:val="24"/>
        </w:rPr>
        <w:t xml:space="preserve"> </w:t>
      </w:r>
      <w:r>
        <w:rPr>
          <w:color w:val="231F20"/>
          <w:sz w:val="24"/>
        </w:rPr>
        <w:t>Organization;</w:t>
      </w:r>
      <w:r>
        <w:rPr>
          <w:color w:val="231F20"/>
          <w:spacing w:val="-28"/>
          <w:sz w:val="24"/>
        </w:rPr>
        <w:t xml:space="preserve"> </w:t>
      </w:r>
      <w:r>
        <w:rPr>
          <w:color w:val="231F20"/>
          <w:sz w:val="24"/>
        </w:rPr>
        <w:t>CHISHAN</w:t>
      </w:r>
    </w:p>
    <w:p w14:paraId="44D95933"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Unions;</w:t>
      </w:r>
      <w:r>
        <w:rPr>
          <w:color w:val="231F20"/>
          <w:spacing w:val="-28"/>
          <w:sz w:val="24"/>
        </w:rPr>
        <w:t xml:space="preserve"> </w:t>
      </w:r>
      <w:r>
        <w:rPr>
          <w:color w:val="231F20"/>
          <w:sz w:val="24"/>
        </w:rPr>
        <w:t>Nigeria</w:t>
      </w:r>
      <w:r>
        <w:rPr>
          <w:color w:val="231F20"/>
          <w:spacing w:val="-27"/>
          <w:sz w:val="24"/>
        </w:rPr>
        <w:t xml:space="preserve"> </w:t>
      </w:r>
      <w:r>
        <w:rPr>
          <w:color w:val="231F20"/>
          <w:sz w:val="24"/>
        </w:rPr>
        <w:t>Union</w:t>
      </w:r>
      <w:r>
        <w:rPr>
          <w:color w:val="231F20"/>
          <w:spacing w:val="-27"/>
          <w:sz w:val="24"/>
        </w:rPr>
        <w:t xml:space="preserve"> </w:t>
      </w:r>
      <w:r>
        <w:rPr>
          <w:color w:val="231F20"/>
          <w:sz w:val="24"/>
        </w:rPr>
        <w:t>of</w:t>
      </w:r>
      <w:r>
        <w:rPr>
          <w:color w:val="231F20"/>
          <w:spacing w:val="-27"/>
          <w:sz w:val="24"/>
        </w:rPr>
        <w:t xml:space="preserve"> </w:t>
      </w:r>
      <w:r>
        <w:rPr>
          <w:color w:val="231F20"/>
          <w:sz w:val="24"/>
        </w:rPr>
        <w:t>Local</w:t>
      </w:r>
      <w:r>
        <w:rPr>
          <w:color w:val="231F20"/>
          <w:spacing w:val="-27"/>
          <w:sz w:val="24"/>
        </w:rPr>
        <w:t xml:space="preserve"> </w:t>
      </w:r>
      <w:r>
        <w:rPr>
          <w:color w:val="231F20"/>
          <w:sz w:val="24"/>
        </w:rPr>
        <w:t>Government</w:t>
      </w:r>
      <w:r>
        <w:rPr>
          <w:color w:val="231F20"/>
          <w:spacing w:val="-27"/>
          <w:sz w:val="24"/>
        </w:rPr>
        <w:t xml:space="preserve"> </w:t>
      </w:r>
      <w:r>
        <w:rPr>
          <w:color w:val="231F20"/>
          <w:sz w:val="24"/>
        </w:rPr>
        <w:t>Employees</w:t>
      </w:r>
      <w:r>
        <w:rPr>
          <w:color w:val="231F20"/>
          <w:spacing w:val="-27"/>
          <w:sz w:val="24"/>
        </w:rPr>
        <w:t xml:space="preserve"> </w:t>
      </w:r>
      <w:r>
        <w:rPr>
          <w:color w:val="231F20"/>
          <w:sz w:val="24"/>
        </w:rPr>
        <w:t>(NULGE)</w:t>
      </w:r>
    </w:p>
    <w:p w14:paraId="613FDCCE" w14:textId="77777777" w:rsidR="009948F1" w:rsidRDefault="00BC0563">
      <w:pPr>
        <w:pStyle w:val="ListParagraph"/>
        <w:numPr>
          <w:ilvl w:val="0"/>
          <w:numId w:val="244"/>
        </w:numPr>
        <w:tabs>
          <w:tab w:val="left" w:pos="906"/>
        </w:tabs>
        <w:spacing w:before="96"/>
        <w:ind w:hanging="361"/>
        <w:jc w:val="left"/>
        <w:rPr>
          <w:sz w:val="24"/>
        </w:rPr>
      </w:pPr>
      <w:r>
        <w:rPr>
          <w:color w:val="231F20"/>
          <w:sz w:val="24"/>
        </w:rPr>
        <w:t>Institutions;</w:t>
      </w:r>
      <w:r>
        <w:rPr>
          <w:color w:val="231F20"/>
          <w:spacing w:val="-28"/>
          <w:sz w:val="24"/>
        </w:rPr>
        <w:t xml:space="preserve"> </w:t>
      </w:r>
      <w:r>
        <w:rPr>
          <w:color w:val="231F20"/>
          <w:sz w:val="24"/>
        </w:rPr>
        <w:t>Ken</w:t>
      </w:r>
      <w:r>
        <w:rPr>
          <w:color w:val="231F20"/>
          <w:spacing w:val="-27"/>
          <w:sz w:val="24"/>
        </w:rPr>
        <w:t xml:space="preserve"> </w:t>
      </w:r>
      <w:proofErr w:type="spellStart"/>
      <w:r>
        <w:rPr>
          <w:color w:val="231F20"/>
          <w:sz w:val="24"/>
        </w:rPr>
        <w:t>Saro-Wiwa</w:t>
      </w:r>
      <w:proofErr w:type="spellEnd"/>
      <w:r>
        <w:rPr>
          <w:color w:val="231F20"/>
          <w:spacing w:val="-27"/>
          <w:sz w:val="24"/>
        </w:rPr>
        <w:t xml:space="preserve"> </w:t>
      </w:r>
      <w:r>
        <w:rPr>
          <w:color w:val="231F20"/>
          <w:sz w:val="24"/>
        </w:rPr>
        <w:t>Polytechnic</w:t>
      </w:r>
      <w:r>
        <w:rPr>
          <w:color w:val="231F20"/>
          <w:spacing w:val="-27"/>
          <w:sz w:val="24"/>
        </w:rPr>
        <w:t xml:space="preserve"> </w:t>
      </w:r>
      <w:r>
        <w:rPr>
          <w:color w:val="231F20"/>
          <w:sz w:val="24"/>
        </w:rPr>
        <w:t>(KEMPOLY)</w:t>
      </w:r>
    </w:p>
    <w:p w14:paraId="6A06BE86" w14:textId="77777777" w:rsidR="009948F1" w:rsidRDefault="009948F1">
      <w:pPr>
        <w:rPr>
          <w:sz w:val="24"/>
        </w:rPr>
        <w:sectPr w:rsidR="009948F1">
          <w:footerReference w:type="default" r:id="rId35"/>
          <w:pgSz w:w="11910" w:h="16840"/>
          <w:pgMar w:top="1380" w:right="1080" w:bottom="1340" w:left="1120" w:header="0" w:footer="1155" w:gutter="0"/>
          <w:pgNumType w:start="118"/>
          <w:cols w:space="720"/>
        </w:sectPr>
      </w:pPr>
    </w:p>
    <w:p w14:paraId="1FC805E8" w14:textId="77777777" w:rsidR="009948F1" w:rsidRDefault="00BC0563">
      <w:pPr>
        <w:spacing w:before="45"/>
        <w:ind w:left="153"/>
        <w:rPr>
          <w:b/>
          <w:sz w:val="28"/>
        </w:rPr>
      </w:pPr>
      <w:bookmarkStart w:id="146" w:name="Page_120"/>
      <w:bookmarkEnd w:id="146"/>
      <w:r>
        <w:rPr>
          <w:b/>
          <w:color w:val="231F20"/>
          <w:w w:val="95"/>
          <w:sz w:val="28"/>
        </w:rPr>
        <w:lastRenderedPageBreak/>
        <w:t>Appendix 3</w:t>
      </w:r>
    </w:p>
    <w:p w14:paraId="579745FC" w14:textId="77777777" w:rsidR="009948F1" w:rsidRDefault="009948F1">
      <w:pPr>
        <w:pStyle w:val="BodyText"/>
        <w:spacing w:before="6"/>
        <w:rPr>
          <w:b/>
          <w:sz w:val="11"/>
        </w:rPr>
      </w:pPr>
    </w:p>
    <w:p w14:paraId="6164B0EF" w14:textId="77777777" w:rsidR="009948F1" w:rsidRDefault="00BC0563">
      <w:pPr>
        <w:spacing w:before="62"/>
        <w:ind w:left="300"/>
        <w:rPr>
          <w:b/>
          <w:sz w:val="23"/>
        </w:rPr>
      </w:pPr>
      <w:r>
        <w:rPr>
          <w:b/>
          <w:color w:val="231F20"/>
          <w:sz w:val="23"/>
        </w:rPr>
        <w:t>Annex 1: Detailed activities for Rivers State Strategic Health Development Plan</w:t>
      </w:r>
    </w:p>
    <w:p w14:paraId="6EE4993D" w14:textId="77777777" w:rsidR="009948F1" w:rsidRDefault="009948F1">
      <w:pPr>
        <w:pStyle w:val="BodyText"/>
        <w:rPr>
          <w:b/>
          <w:sz w:val="10"/>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0"/>
        <w:gridCol w:w="407"/>
        <w:gridCol w:w="456"/>
        <w:gridCol w:w="527"/>
        <w:gridCol w:w="2518"/>
        <w:gridCol w:w="2391"/>
        <w:gridCol w:w="1431"/>
        <w:gridCol w:w="1515"/>
      </w:tblGrid>
      <w:tr w:rsidR="009948F1" w14:paraId="351DA281" w14:textId="77777777">
        <w:trPr>
          <w:trHeight w:val="515"/>
        </w:trPr>
        <w:tc>
          <w:tcPr>
            <w:tcW w:w="9425" w:type="dxa"/>
            <w:gridSpan w:val="8"/>
            <w:tcBorders>
              <w:left w:val="single" w:sz="6" w:space="0" w:color="231F20"/>
            </w:tcBorders>
          </w:tcPr>
          <w:p w14:paraId="52D79FE3" w14:textId="77777777" w:rsidR="009948F1" w:rsidRDefault="00BC0563">
            <w:pPr>
              <w:pStyle w:val="TableParagraph"/>
              <w:spacing w:before="96"/>
              <w:ind w:left="1164" w:right="1008"/>
              <w:jc w:val="center"/>
              <w:rPr>
                <w:rFonts w:ascii="Liberation Sans Narrow"/>
                <w:b/>
                <w:sz w:val="27"/>
              </w:rPr>
            </w:pPr>
            <w:r>
              <w:rPr>
                <w:rFonts w:ascii="Liberation Sans Narrow"/>
                <w:b/>
                <w:color w:val="231F20"/>
                <w:w w:val="85"/>
                <w:sz w:val="27"/>
              </w:rPr>
              <w:t>RIVERS STATE STRATEGIC HEALTH DEVELOPMENT PLAN II</w:t>
            </w:r>
          </w:p>
        </w:tc>
      </w:tr>
      <w:tr w:rsidR="009948F1" w14:paraId="2DC7675E" w14:textId="77777777">
        <w:trPr>
          <w:trHeight w:val="214"/>
        </w:trPr>
        <w:tc>
          <w:tcPr>
            <w:tcW w:w="9425" w:type="dxa"/>
            <w:gridSpan w:val="8"/>
            <w:tcBorders>
              <w:left w:val="single" w:sz="6" w:space="0" w:color="231F20"/>
              <w:bottom w:val="single" w:sz="12" w:space="0" w:color="231F20"/>
            </w:tcBorders>
            <w:shd w:val="clear" w:color="auto" w:fill="A6CE39"/>
          </w:tcPr>
          <w:p w14:paraId="4CEFFCF0" w14:textId="77777777" w:rsidR="009948F1" w:rsidRDefault="00BC0563">
            <w:pPr>
              <w:pStyle w:val="TableParagraph"/>
              <w:spacing w:before="13" w:line="181" w:lineRule="exact"/>
              <w:ind w:left="51"/>
              <w:rPr>
                <w:b/>
                <w:sz w:val="16"/>
              </w:rPr>
            </w:pPr>
            <w:r>
              <w:rPr>
                <w:b/>
                <w:color w:val="231F20"/>
                <w:w w:val="85"/>
                <w:sz w:val="16"/>
              </w:rPr>
              <w:t>Priority Areas or Sub domain</w:t>
            </w:r>
          </w:p>
        </w:tc>
      </w:tr>
      <w:tr w:rsidR="009948F1" w14:paraId="4EAEBCAA" w14:textId="77777777">
        <w:trPr>
          <w:trHeight w:val="183"/>
        </w:trPr>
        <w:tc>
          <w:tcPr>
            <w:tcW w:w="4088" w:type="dxa"/>
            <w:gridSpan w:val="5"/>
            <w:tcBorders>
              <w:top w:val="single" w:sz="12" w:space="0" w:color="231F20"/>
              <w:left w:val="single" w:sz="6" w:space="0" w:color="231F20"/>
              <w:right w:val="single" w:sz="6" w:space="0" w:color="231F20"/>
            </w:tcBorders>
            <w:shd w:val="clear" w:color="auto" w:fill="F6ADCD"/>
          </w:tcPr>
          <w:p w14:paraId="55D5555E" w14:textId="77777777" w:rsidR="009948F1" w:rsidRDefault="00BC0563">
            <w:pPr>
              <w:pStyle w:val="TableParagraph"/>
              <w:spacing w:line="164" w:lineRule="exact"/>
              <w:ind w:left="57"/>
              <w:rPr>
                <w:rFonts w:ascii="Liberation Sans Narrow"/>
                <w:b/>
                <w:sz w:val="21"/>
              </w:rPr>
            </w:pPr>
            <w:r>
              <w:rPr>
                <w:rFonts w:ascii="Liberation Sans Narrow"/>
                <w:b/>
                <w:color w:val="231F20"/>
                <w:w w:val="85"/>
                <w:sz w:val="21"/>
              </w:rPr>
              <w:t>Goals</w:t>
            </w:r>
          </w:p>
        </w:tc>
        <w:tc>
          <w:tcPr>
            <w:tcW w:w="2391" w:type="dxa"/>
            <w:tcBorders>
              <w:top w:val="single" w:sz="12" w:space="0" w:color="231F20"/>
              <w:left w:val="single" w:sz="6" w:space="0" w:color="231F20"/>
            </w:tcBorders>
            <w:shd w:val="clear" w:color="auto" w:fill="F6ADCD"/>
          </w:tcPr>
          <w:p w14:paraId="7438D747" w14:textId="77777777" w:rsidR="009948F1" w:rsidRDefault="00BC0563">
            <w:pPr>
              <w:pStyle w:val="TableParagraph"/>
              <w:spacing w:line="164" w:lineRule="exact"/>
              <w:ind w:left="48"/>
              <w:rPr>
                <w:rFonts w:ascii="Liberation Sans Narrow"/>
                <w:b/>
                <w:sz w:val="16"/>
              </w:rPr>
            </w:pPr>
            <w:r>
              <w:rPr>
                <w:rFonts w:ascii="Liberation Sans Narrow"/>
                <w:b/>
                <w:color w:val="231F20"/>
                <w:w w:val="85"/>
                <w:sz w:val="16"/>
              </w:rPr>
              <w:t>BASELINE YEAR 2016</w:t>
            </w:r>
          </w:p>
        </w:tc>
        <w:tc>
          <w:tcPr>
            <w:tcW w:w="1431" w:type="dxa"/>
            <w:vMerge w:val="restart"/>
            <w:tcBorders>
              <w:top w:val="single" w:sz="12" w:space="0" w:color="231F20"/>
              <w:bottom w:val="single" w:sz="12" w:space="0" w:color="231F20"/>
            </w:tcBorders>
            <w:shd w:val="clear" w:color="auto" w:fill="C7C8CA"/>
          </w:tcPr>
          <w:p w14:paraId="43A7C0B8" w14:textId="77777777" w:rsidR="009948F1" w:rsidRDefault="009948F1">
            <w:pPr>
              <w:pStyle w:val="TableParagraph"/>
              <w:rPr>
                <w:b/>
                <w:sz w:val="18"/>
              </w:rPr>
            </w:pPr>
          </w:p>
          <w:p w14:paraId="15992B7D" w14:textId="77777777" w:rsidR="009948F1" w:rsidRDefault="009948F1">
            <w:pPr>
              <w:pStyle w:val="TableParagraph"/>
              <w:rPr>
                <w:b/>
                <w:sz w:val="21"/>
              </w:rPr>
            </w:pPr>
          </w:p>
          <w:p w14:paraId="30260951" w14:textId="77777777" w:rsidR="009948F1" w:rsidRDefault="00BC0563">
            <w:pPr>
              <w:pStyle w:val="TableParagraph"/>
              <w:ind w:left="59"/>
              <w:rPr>
                <w:rFonts w:ascii="Liberation Sans Narrow"/>
                <w:b/>
                <w:sz w:val="19"/>
              </w:rPr>
            </w:pPr>
            <w:r>
              <w:rPr>
                <w:rFonts w:ascii="Liberation Sans Narrow"/>
                <w:b/>
                <w:color w:val="231F20"/>
                <w:w w:val="75"/>
                <w:sz w:val="19"/>
              </w:rPr>
              <w:t>Risks And Assumptions</w:t>
            </w:r>
          </w:p>
        </w:tc>
        <w:tc>
          <w:tcPr>
            <w:tcW w:w="1515" w:type="dxa"/>
            <w:vMerge w:val="restart"/>
            <w:tcBorders>
              <w:top w:val="single" w:sz="12" w:space="0" w:color="231F20"/>
              <w:bottom w:val="single" w:sz="12" w:space="0" w:color="231F20"/>
              <w:right w:val="single" w:sz="12" w:space="0" w:color="231F20"/>
            </w:tcBorders>
            <w:shd w:val="clear" w:color="auto" w:fill="C7C8CA"/>
          </w:tcPr>
          <w:p w14:paraId="3E403707" w14:textId="77777777" w:rsidR="009948F1" w:rsidRDefault="009948F1">
            <w:pPr>
              <w:pStyle w:val="TableParagraph"/>
              <w:rPr>
                <w:b/>
                <w:sz w:val="18"/>
              </w:rPr>
            </w:pPr>
          </w:p>
          <w:p w14:paraId="408BCFC6" w14:textId="77777777" w:rsidR="009948F1" w:rsidRDefault="00BC0563">
            <w:pPr>
              <w:pStyle w:val="TableParagraph"/>
              <w:spacing w:before="127" w:line="252" w:lineRule="auto"/>
              <w:ind w:left="346" w:right="41" w:hanging="284"/>
              <w:rPr>
                <w:rFonts w:ascii="Liberation Sans Narrow"/>
                <w:b/>
                <w:sz w:val="19"/>
              </w:rPr>
            </w:pPr>
            <w:r>
              <w:rPr>
                <w:rFonts w:ascii="Liberation Sans Narrow"/>
                <w:b/>
                <w:color w:val="231F20"/>
                <w:w w:val="70"/>
                <w:sz w:val="19"/>
              </w:rPr>
              <w:t xml:space="preserve">Cost inputs/Assumptions </w:t>
            </w:r>
            <w:r>
              <w:rPr>
                <w:rFonts w:ascii="Liberation Sans Narrow"/>
                <w:b/>
                <w:color w:val="231F20"/>
                <w:w w:val="85"/>
                <w:sz w:val="19"/>
              </w:rPr>
              <w:t>(Sub-activities)</w:t>
            </w:r>
          </w:p>
        </w:tc>
      </w:tr>
      <w:tr w:rsidR="009948F1" w14:paraId="54794684" w14:textId="77777777">
        <w:trPr>
          <w:trHeight w:val="233"/>
        </w:trPr>
        <w:tc>
          <w:tcPr>
            <w:tcW w:w="180" w:type="dxa"/>
            <w:tcBorders>
              <w:left w:val="single" w:sz="6" w:space="0" w:color="231F20"/>
              <w:bottom w:val="nil"/>
              <w:right w:val="single" w:sz="6" w:space="0" w:color="231F20"/>
            </w:tcBorders>
          </w:tcPr>
          <w:p w14:paraId="2088A884" w14:textId="77777777" w:rsidR="009948F1" w:rsidRDefault="009948F1">
            <w:pPr>
              <w:pStyle w:val="TableParagraph"/>
              <w:rPr>
                <w:rFonts w:ascii="Times New Roman"/>
                <w:sz w:val="12"/>
              </w:rPr>
            </w:pPr>
          </w:p>
        </w:tc>
        <w:tc>
          <w:tcPr>
            <w:tcW w:w="6299" w:type="dxa"/>
            <w:gridSpan w:val="5"/>
            <w:tcBorders>
              <w:left w:val="single" w:sz="6" w:space="0" w:color="231F20"/>
            </w:tcBorders>
            <w:shd w:val="clear" w:color="auto" w:fill="FFF200"/>
          </w:tcPr>
          <w:p w14:paraId="35B592DD" w14:textId="77777777" w:rsidR="009948F1" w:rsidRDefault="00BC0563">
            <w:pPr>
              <w:pStyle w:val="TableParagraph"/>
              <w:spacing w:line="213" w:lineRule="exact"/>
              <w:ind w:left="60"/>
              <w:rPr>
                <w:rFonts w:ascii="Liberation Sans Narrow"/>
                <w:b/>
                <w:sz w:val="21"/>
              </w:rPr>
            </w:pPr>
            <w:r>
              <w:rPr>
                <w:rFonts w:ascii="Liberation Sans Narrow"/>
                <w:b/>
                <w:color w:val="231F20"/>
                <w:w w:val="85"/>
                <w:sz w:val="21"/>
              </w:rPr>
              <w:t>Strategic Objectives</w:t>
            </w:r>
          </w:p>
        </w:tc>
        <w:tc>
          <w:tcPr>
            <w:tcW w:w="1431" w:type="dxa"/>
            <w:vMerge/>
            <w:tcBorders>
              <w:top w:val="nil"/>
              <w:bottom w:val="single" w:sz="12" w:space="0" w:color="231F20"/>
            </w:tcBorders>
            <w:shd w:val="clear" w:color="auto" w:fill="C7C8CA"/>
          </w:tcPr>
          <w:p w14:paraId="11D009FF" w14:textId="77777777" w:rsidR="009948F1" w:rsidRDefault="009948F1">
            <w:pPr>
              <w:rPr>
                <w:sz w:val="2"/>
                <w:szCs w:val="2"/>
              </w:rPr>
            </w:pPr>
          </w:p>
        </w:tc>
        <w:tc>
          <w:tcPr>
            <w:tcW w:w="1515" w:type="dxa"/>
            <w:vMerge/>
            <w:tcBorders>
              <w:top w:val="nil"/>
              <w:bottom w:val="single" w:sz="12" w:space="0" w:color="231F20"/>
              <w:right w:val="single" w:sz="12" w:space="0" w:color="231F20"/>
            </w:tcBorders>
            <w:shd w:val="clear" w:color="auto" w:fill="C7C8CA"/>
          </w:tcPr>
          <w:p w14:paraId="751C29B7" w14:textId="77777777" w:rsidR="009948F1" w:rsidRDefault="009948F1">
            <w:pPr>
              <w:rPr>
                <w:sz w:val="2"/>
                <w:szCs w:val="2"/>
              </w:rPr>
            </w:pPr>
          </w:p>
        </w:tc>
      </w:tr>
      <w:tr w:rsidR="009948F1" w14:paraId="4FADE122" w14:textId="77777777">
        <w:trPr>
          <w:trHeight w:val="199"/>
        </w:trPr>
        <w:tc>
          <w:tcPr>
            <w:tcW w:w="587" w:type="dxa"/>
            <w:gridSpan w:val="2"/>
            <w:tcBorders>
              <w:top w:val="nil"/>
              <w:left w:val="single" w:sz="6" w:space="0" w:color="231F20"/>
              <w:bottom w:val="nil"/>
              <w:right w:val="single" w:sz="6" w:space="0" w:color="231F20"/>
            </w:tcBorders>
          </w:tcPr>
          <w:p w14:paraId="4B932BAA" w14:textId="77777777" w:rsidR="009948F1" w:rsidRDefault="009948F1">
            <w:pPr>
              <w:pStyle w:val="TableParagraph"/>
              <w:rPr>
                <w:rFonts w:ascii="Times New Roman"/>
                <w:sz w:val="12"/>
              </w:rPr>
            </w:pPr>
          </w:p>
        </w:tc>
        <w:tc>
          <w:tcPr>
            <w:tcW w:w="3501" w:type="dxa"/>
            <w:gridSpan w:val="3"/>
            <w:tcBorders>
              <w:left w:val="single" w:sz="6" w:space="0" w:color="231F20"/>
              <w:right w:val="single" w:sz="6" w:space="0" w:color="231F20"/>
            </w:tcBorders>
            <w:shd w:val="clear" w:color="auto" w:fill="CCE7D3"/>
          </w:tcPr>
          <w:p w14:paraId="67FF004E" w14:textId="77777777" w:rsidR="009948F1" w:rsidRDefault="00BC0563">
            <w:pPr>
              <w:pStyle w:val="TableParagraph"/>
              <w:spacing w:line="179" w:lineRule="exact"/>
              <w:ind w:left="54"/>
              <w:rPr>
                <w:rFonts w:ascii="Liberation Sans Narrow"/>
                <w:b/>
                <w:sz w:val="19"/>
              </w:rPr>
            </w:pPr>
            <w:r>
              <w:rPr>
                <w:rFonts w:ascii="Liberation Sans Narrow"/>
                <w:b/>
                <w:color w:val="231F20"/>
                <w:w w:val="85"/>
                <w:sz w:val="19"/>
              </w:rPr>
              <w:t>Interventions</w:t>
            </w:r>
          </w:p>
        </w:tc>
        <w:tc>
          <w:tcPr>
            <w:tcW w:w="2391" w:type="dxa"/>
            <w:tcBorders>
              <w:left w:val="single" w:sz="6" w:space="0" w:color="231F20"/>
            </w:tcBorders>
            <w:shd w:val="clear" w:color="auto" w:fill="CCE7D3"/>
          </w:tcPr>
          <w:p w14:paraId="3CBBB196" w14:textId="77777777" w:rsidR="009948F1" w:rsidRDefault="00BC0563">
            <w:pPr>
              <w:pStyle w:val="TableParagraph"/>
              <w:spacing w:before="10" w:line="169" w:lineRule="exact"/>
              <w:ind w:left="56"/>
              <w:rPr>
                <w:b/>
                <w:sz w:val="16"/>
              </w:rPr>
            </w:pPr>
            <w:r>
              <w:rPr>
                <w:b/>
                <w:color w:val="231F20"/>
                <w:w w:val="85"/>
                <w:sz w:val="16"/>
              </w:rPr>
              <w:t>Output Indicators</w:t>
            </w:r>
          </w:p>
        </w:tc>
        <w:tc>
          <w:tcPr>
            <w:tcW w:w="1431" w:type="dxa"/>
            <w:vMerge/>
            <w:tcBorders>
              <w:top w:val="nil"/>
              <w:bottom w:val="single" w:sz="12" w:space="0" w:color="231F20"/>
            </w:tcBorders>
            <w:shd w:val="clear" w:color="auto" w:fill="C7C8CA"/>
          </w:tcPr>
          <w:p w14:paraId="0798ADFF" w14:textId="77777777" w:rsidR="009948F1" w:rsidRDefault="009948F1">
            <w:pPr>
              <w:rPr>
                <w:sz w:val="2"/>
                <w:szCs w:val="2"/>
              </w:rPr>
            </w:pPr>
          </w:p>
        </w:tc>
        <w:tc>
          <w:tcPr>
            <w:tcW w:w="1515" w:type="dxa"/>
            <w:vMerge/>
            <w:tcBorders>
              <w:top w:val="nil"/>
              <w:bottom w:val="single" w:sz="12" w:space="0" w:color="231F20"/>
              <w:right w:val="single" w:sz="12" w:space="0" w:color="231F20"/>
            </w:tcBorders>
            <w:shd w:val="clear" w:color="auto" w:fill="C7C8CA"/>
          </w:tcPr>
          <w:p w14:paraId="0757D5B3" w14:textId="77777777" w:rsidR="009948F1" w:rsidRDefault="009948F1">
            <w:pPr>
              <w:rPr>
                <w:sz w:val="2"/>
                <w:szCs w:val="2"/>
              </w:rPr>
            </w:pPr>
          </w:p>
        </w:tc>
      </w:tr>
      <w:tr w:rsidR="009948F1" w14:paraId="6817CC61" w14:textId="77777777">
        <w:trPr>
          <w:trHeight w:val="429"/>
        </w:trPr>
        <w:tc>
          <w:tcPr>
            <w:tcW w:w="1043" w:type="dxa"/>
            <w:gridSpan w:val="3"/>
            <w:tcBorders>
              <w:top w:val="nil"/>
              <w:left w:val="single" w:sz="6" w:space="0" w:color="231F20"/>
              <w:bottom w:val="single" w:sz="12" w:space="0" w:color="231F20"/>
              <w:right w:val="single" w:sz="6" w:space="0" w:color="231F20"/>
            </w:tcBorders>
          </w:tcPr>
          <w:p w14:paraId="5CA2BC87" w14:textId="77777777" w:rsidR="009948F1" w:rsidRDefault="009948F1">
            <w:pPr>
              <w:pStyle w:val="TableParagraph"/>
              <w:rPr>
                <w:rFonts w:ascii="Times New Roman"/>
                <w:sz w:val="12"/>
              </w:rPr>
            </w:pPr>
          </w:p>
        </w:tc>
        <w:tc>
          <w:tcPr>
            <w:tcW w:w="5436" w:type="dxa"/>
            <w:gridSpan w:val="3"/>
            <w:tcBorders>
              <w:left w:val="single" w:sz="6" w:space="0" w:color="231F20"/>
              <w:bottom w:val="single" w:sz="12" w:space="0" w:color="231F20"/>
            </w:tcBorders>
          </w:tcPr>
          <w:p w14:paraId="6A276573" w14:textId="77777777" w:rsidR="009948F1" w:rsidRDefault="00BC0563">
            <w:pPr>
              <w:pStyle w:val="TableParagraph"/>
              <w:spacing w:before="100"/>
              <w:ind w:left="59"/>
              <w:rPr>
                <w:b/>
                <w:sz w:val="19"/>
              </w:rPr>
            </w:pPr>
            <w:r>
              <w:rPr>
                <w:b/>
                <w:color w:val="231F20"/>
                <w:w w:val="85"/>
                <w:sz w:val="19"/>
              </w:rPr>
              <w:t>Activities</w:t>
            </w:r>
          </w:p>
        </w:tc>
        <w:tc>
          <w:tcPr>
            <w:tcW w:w="1431" w:type="dxa"/>
            <w:vMerge/>
            <w:tcBorders>
              <w:top w:val="nil"/>
              <w:bottom w:val="single" w:sz="12" w:space="0" w:color="231F20"/>
            </w:tcBorders>
            <w:shd w:val="clear" w:color="auto" w:fill="C7C8CA"/>
          </w:tcPr>
          <w:p w14:paraId="046BE7E3" w14:textId="77777777" w:rsidR="009948F1" w:rsidRDefault="009948F1">
            <w:pPr>
              <w:rPr>
                <w:sz w:val="2"/>
                <w:szCs w:val="2"/>
              </w:rPr>
            </w:pPr>
          </w:p>
        </w:tc>
        <w:tc>
          <w:tcPr>
            <w:tcW w:w="1515" w:type="dxa"/>
            <w:vMerge/>
            <w:tcBorders>
              <w:top w:val="nil"/>
              <w:bottom w:val="single" w:sz="12" w:space="0" w:color="231F20"/>
              <w:right w:val="single" w:sz="12" w:space="0" w:color="231F20"/>
            </w:tcBorders>
            <w:shd w:val="clear" w:color="auto" w:fill="C7C8CA"/>
          </w:tcPr>
          <w:p w14:paraId="3AABB3A6" w14:textId="77777777" w:rsidR="009948F1" w:rsidRDefault="009948F1">
            <w:pPr>
              <w:rPr>
                <w:sz w:val="2"/>
                <w:szCs w:val="2"/>
              </w:rPr>
            </w:pPr>
          </w:p>
        </w:tc>
      </w:tr>
      <w:tr w:rsidR="009948F1" w14:paraId="0AF08F87" w14:textId="77777777">
        <w:trPr>
          <w:trHeight w:val="428"/>
        </w:trPr>
        <w:tc>
          <w:tcPr>
            <w:tcW w:w="9425" w:type="dxa"/>
            <w:gridSpan w:val="8"/>
            <w:tcBorders>
              <w:top w:val="single" w:sz="12" w:space="0" w:color="231F20"/>
              <w:left w:val="single" w:sz="6" w:space="0" w:color="231F20"/>
              <w:bottom w:val="single" w:sz="12" w:space="0" w:color="231F20"/>
            </w:tcBorders>
          </w:tcPr>
          <w:p w14:paraId="7408A6B6" w14:textId="77777777" w:rsidR="009948F1" w:rsidRDefault="00BC0563">
            <w:pPr>
              <w:pStyle w:val="TableParagraph"/>
              <w:spacing w:before="71"/>
              <w:ind w:left="1164" w:right="1141"/>
              <w:jc w:val="center"/>
              <w:rPr>
                <w:b/>
                <w:sz w:val="24"/>
              </w:rPr>
            </w:pPr>
            <w:r>
              <w:rPr>
                <w:b/>
                <w:color w:val="231F20"/>
                <w:w w:val="85"/>
                <w:sz w:val="24"/>
              </w:rPr>
              <w:t>Strategic Pillar One: Enabled environment for attainment of sectoral goal</w:t>
            </w:r>
          </w:p>
        </w:tc>
      </w:tr>
      <w:tr w:rsidR="009948F1" w14:paraId="3BCFF220" w14:textId="77777777">
        <w:trPr>
          <w:trHeight w:val="295"/>
        </w:trPr>
        <w:tc>
          <w:tcPr>
            <w:tcW w:w="9425" w:type="dxa"/>
            <w:gridSpan w:val="8"/>
            <w:tcBorders>
              <w:top w:val="single" w:sz="12" w:space="0" w:color="231F20"/>
              <w:left w:val="single" w:sz="6" w:space="0" w:color="231F20"/>
            </w:tcBorders>
            <w:shd w:val="clear" w:color="auto" w:fill="A6CE39"/>
          </w:tcPr>
          <w:p w14:paraId="49BEE7D0" w14:textId="77777777" w:rsidR="009948F1" w:rsidRDefault="00BC0563">
            <w:pPr>
              <w:pStyle w:val="TableParagraph"/>
              <w:spacing w:before="29"/>
              <w:ind w:left="1164" w:right="1109"/>
              <w:jc w:val="center"/>
              <w:rPr>
                <w:b/>
                <w:sz w:val="19"/>
              </w:rPr>
            </w:pPr>
            <w:r>
              <w:rPr>
                <w:b/>
                <w:color w:val="231F20"/>
                <w:w w:val="85"/>
                <w:sz w:val="19"/>
              </w:rPr>
              <w:t>1.Leadership and Governance</w:t>
            </w:r>
          </w:p>
        </w:tc>
      </w:tr>
      <w:tr w:rsidR="009948F1" w14:paraId="18C0DC3C" w14:textId="77777777">
        <w:trPr>
          <w:trHeight w:val="467"/>
        </w:trPr>
        <w:tc>
          <w:tcPr>
            <w:tcW w:w="9425" w:type="dxa"/>
            <w:gridSpan w:val="8"/>
            <w:tcBorders>
              <w:left w:val="single" w:sz="6" w:space="0" w:color="231F20"/>
            </w:tcBorders>
            <w:shd w:val="clear" w:color="auto" w:fill="F6ADCD"/>
          </w:tcPr>
          <w:p w14:paraId="33888E1E" w14:textId="77777777" w:rsidR="009948F1" w:rsidRDefault="00BC0563">
            <w:pPr>
              <w:pStyle w:val="TableParagraph"/>
              <w:spacing w:before="36" w:line="266" w:lineRule="auto"/>
              <w:ind w:left="3162" w:right="77" w:hanging="2948"/>
              <w:rPr>
                <w:b/>
                <w:sz w:val="16"/>
              </w:rPr>
            </w:pPr>
            <w:r>
              <w:rPr>
                <w:b/>
                <w:color w:val="231F20"/>
                <w:w w:val="75"/>
                <w:sz w:val="16"/>
              </w:rPr>
              <w:t xml:space="preserve">1. Provide effective leadership and an enabling policy environment that ensures adequate oversight and accountability for the delivery of quality health care for </w:t>
            </w:r>
            <w:r>
              <w:rPr>
                <w:b/>
                <w:color w:val="231F20"/>
                <w:w w:val="85"/>
                <w:sz w:val="16"/>
              </w:rPr>
              <w:t>sustainable development of the national health system</w:t>
            </w:r>
          </w:p>
        </w:tc>
      </w:tr>
      <w:tr w:rsidR="009948F1" w14:paraId="7ED575DA" w14:textId="77777777">
        <w:trPr>
          <w:trHeight w:val="443"/>
        </w:trPr>
        <w:tc>
          <w:tcPr>
            <w:tcW w:w="180" w:type="dxa"/>
            <w:tcBorders>
              <w:left w:val="single" w:sz="6" w:space="0" w:color="231F20"/>
              <w:bottom w:val="nil"/>
              <w:right w:val="single" w:sz="6" w:space="0" w:color="231F20"/>
            </w:tcBorders>
          </w:tcPr>
          <w:p w14:paraId="39CD9A47" w14:textId="77777777" w:rsidR="009948F1" w:rsidRDefault="009948F1">
            <w:pPr>
              <w:pStyle w:val="TableParagraph"/>
              <w:rPr>
                <w:rFonts w:ascii="Times New Roman"/>
                <w:sz w:val="12"/>
              </w:rPr>
            </w:pPr>
          </w:p>
        </w:tc>
        <w:tc>
          <w:tcPr>
            <w:tcW w:w="407" w:type="dxa"/>
            <w:tcBorders>
              <w:left w:val="single" w:sz="6" w:space="0" w:color="231F20"/>
              <w:right w:val="single" w:sz="6" w:space="0" w:color="231F20"/>
            </w:tcBorders>
            <w:shd w:val="clear" w:color="auto" w:fill="FFF200"/>
          </w:tcPr>
          <w:p w14:paraId="1FA45D47" w14:textId="77777777" w:rsidR="009948F1" w:rsidRDefault="00BC0563">
            <w:pPr>
              <w:pStyle w:val="TableParagraph"/>
              <w:spacing w:before="131"/>
              <w:ind w:left="187"/>
              <w:rPr>
                <w:b/>
                <w:sz w:val="16"/>
              </w:rPr>
            </w:pPr>
            <w:r>
              <w:rPr>
                <w:b/>
                <w:color w:val="231F20"/>
                <w:w w:val="85"/>
                <w:sz w:val="16"/>
              </w:rPr>
              <w:t>1.1</w:t>
            </w:r>
          </w:p>
        </w:tc>
        <w:tc>
          <w:tcPr>
            <w:tcW w:w="8838" w:type="dxa"/>
            <w:gridSpan w:val="6"/>
            <w:tcBorders>
              <w:left w:val="single" w:sz="6" w:space="0" w:color="231F20"/>
            </w:tcBorders>
            <w:shd w:val="clear" w:color="auto" w:fill="FFF200"/>
          </w:tcPr>
          <w:p w14:paraId="7F9B2B34" w14:textId="77777777" w:rsidR="009948F1" w:rsidRDefault="00BC0563">
            <w:pPr>
              <w:pStyle w:val="TableParagraph"/>
              <w:spacing w:before="125"/>
              <w:ind w:left="55"/>
              <w:rPr>
                <w:b/>
                <w:sz w:val="16"/>
              </w:rPr>
            </w:pPr>
            <w:r>
              <w:rPr>
                <w:b/>
                <w:color w:val="231F20"/>
                <w:w w:val="85"/>
                <w:sz w:val="16"/>
              </w:rPr>
              <w:t>Provide clear policy, plans, legislative and regulatory framework for the health sector</w:t>
            </w:r>
          </w:p>
        </w:tc>
      </w:tr>
      <w:tr w:rsidR="009948F1" w14:paraId="1F7D5698" w14:textId="77777777">
        <w:trPr>
          <w:trHeight w:val="966"/>
        </w:trPr>
        <w:tc>
          <w:tcPr>
            <w:tcW w:w="587" w:type="dxa"/>
            <w:gridSpan w:val="2"/>
            <w:tcBorders>
              <w:top w:val="nil"/>
              <w:left w:val="single" w:sz="6" w:space="0" w:color="231F20"/>
              <w:bottom w:val="nil"/>
              <w:right w:val="single" w:sz="6" w:space="0" w:color="231F20"/>
            </w:tcBorders>
          </w:tcPr>
          <w:p w14:paraId="5E173816" w14:textId="77777777" w:rsidR="009948F1" w:rsidRDefault="009948F1">
            <w:pPr>
              <w:pStyle w:val="TableParagraph"/>
              <w:rPr>
                <w:rFonts w:ascii="Times New Roman"/>
                <w:sz w:val="12"/>
              </w:rPr>
            </w:pPr>
          </w:p>
        </w:tc>
        <w:tc>
          <w:tcPr>
            <w:tcW w:w="456" w:type="dxa"/>
            <w:tcBorders>
              <w:left w:val="single" w:sz="6" w:space="0" w:color="231F20"/>
              <w:right w:val="single" w:sz="6" w:space="0" w:color="231F20"/>
            </w:tcBorders>
            <w:shd w:val="clear" w:color="auto" w:fill="CCE7D3"/>
          </w:tcPr>
          <w:p w14:paraId="3BCF82A1" w14:textId="77777777" w:rsidR="009948F1" w:rsidRDefault="009948F1">
            <w:pPr>
              <w:pStyle w:val="TableParagraph"/>
              <w:rPr>
                <w:b/>
                <w:sz w:val="16"/>
              </w:rPr>
            </w:pPr>
          </w:p>
          <w:p w14:paraId="22D31DC7" w14:textId="77777777" w:rsidR="009948F1" w:rsidRDefault="009948F1">
            <w:pPr>
              <w:pStyle w:val="TableParagraph"/>
              <w:rPr>
                <w:b/>
                <w:sz w:val="18"/>
              </w:rPr>
            </w:pPr>
          </w:p>
          <w:p w14:paraId="182A131E" w14:textId="77777777" w:rsidR="009948F1" w:rsidRDefault="00BC0563">
            <w:pPr>
              <w:pStyle w:val="TableParagraph"/>
              <w:ind w:left="55"/>
              <w:rPr>
                <w:sz w:val="16"/>
              </w:rPr>
            </w:pPr>
            <w:r>
              <w:rPr>
                <w:color w:val="231F20"/>
                <w:w w:val="85"/>
                <w:sz w:val="16"/>
              </w:rPr>
              <w:t>1.1.1</w:t>
            </w:r>
          </w:p>
        </w:tc>
        <w:tc>
          <w:tcPr>
            <w:tcW w:w="3045" w:type="dxa"/>
            <w:gridSpan w:val="2"/>
            <w:tcBorders>
              <w:left w:val="single" w:sz="6" w:space="0" w:color="231F20"/>
              <w:right w:val="single" w:sz="6" w:space="0" w:color="231F20"/>
            </w:tcBorders>
            <w:shd w:val="clear" w:color="auto" w:fill="CCE7D3"/>
          </w:tcPr>
          <w:p w14:paraId="212C25BD" w14:textId="77777777" w:rsidR="009948F1" w:rsidRDefault="009948F1">
            <w:pPr>
              <w:pStyle w:val="TableParagraph"/>
              <w:rPr>
                <w:b/>
                <w:sz w:val="16"/>
              </w:rPr>
            </w:pPr>
          </w:p>
          <w:p w14:paraId="35B09436" w14:textId="77777777" w:rsidR="009948F1" w:rsidRDefault="00BC0563">
            <w:pPr>
              <w:pStyle w:val="TableParagraph"/>
              <w:spacing w:before="100" w:line="259" w:lineRule="auto"/>
              <w:ind w:left="22" w:right="120" w:firstLine="33"/>
              <w:rPr>
                <w:sz w:val="16"/>
              </w:rPr>
            </w:pPr>
            <w:r>
              <w:rPr>
                <w:color w:val="231F20"/>
                <w:w w:val="75"/>
                <w:sz w:val="16"/>
              </w:rPr>
              <w:t xml:space="preserve">Promote review and development of polices and laws </w:t>
            </w:r>
            <w:r>
              <w:rPr>
                <w:color w:val="231F20"/>
                <w:w w:val="85"/>
                <w:sz w:val="16"/>
              </w:rPr>
              <w:t>as necessary</w:t>
            </w:r>
          </w:p>
        </w:tc>
        <w:tc>
          <w:tcPr>
            <w:tcW w:w="2391" w:type="dxa"/>
            <w:tcBorders>
              <w:left w:val="single" w:sz="6" w:space="0" w:color="231F20"/>
              <w:right w:val="single" w:sz="6" w:space="0" w:color="231F20"/>
            </w:tcBorders>
            <w:shd w:val="clear" w:color="auto" w:fill="CCE7D3"/>
          </w:tcPr>
          <w:p w14:paraId="52329935" w14:textId="77777777" w:rsidR="009948F1" w:rsidRDefault="00BC0563">
            <w:pPr>
              <w:pStyle w:val="TableParagraph"/>
              <w:numPr>
                <w:ilvl w:val="0"/>
                <w:numId w:val="243"/>
              </w:numPr>
              <w:tabs>
                <w:tab w:val="left" w:pos="99"/>
                <w:tab w:val="left" w:pos="929"/>
              </w:tabs>
              <w:spacing w:line="259" w:lineRule="auto"/>
              <w:ind w:right="7" w:firstLine="0"/>
              <w:rPr>
                <w:sz w:val="16"/>
              </w:rPr>
            </w:pPr>
            <w:r>
              <w:rPr>
                <w:color w:val="231F20"/>
                <w:w w:val="85"/>
                <w:sz w:val="16"/>
              </w:rPr>
              <w:t xml:space="preserve">State Council on Health meeting held </w:t>
            </w:r>
            <w:r>
              <w:rPr>
                <w:color w:val="231F20"/>
                <w:w w:val="80"/>
                <w:sz w:val="16"/>
              </w:rPr>
              <w:t>annually</w:t>
            </w:r>
            <w:r>
              <w:rPr>
                <w:color w:val="231F20"/>
                <w:w w:val="80"/>
                <w:sz w:val="16"/>
              </w:rPr>
              <w:tab/>
            </w:r>
            <w:r>
              <w:rPr>
                <w:color w:val="231F20"/>
                <w:w w:val="85"/>
                <w:sz w:val="16"/>
              </w:rPr>
              <w:t xml:space="preserve">• State participate in </w:t>
            </w:r>
            <w:r>
              <w:rPr>
                <w:color w:val="231F20"/>
                <w:w w:val="75"/>
                <w:sz w:val="16"/>
              </w:rPr>
              <w:t>National</w:t>
            </w:r>
            <w:r>
              <w:rPr>
                <w:color w:val="231F20"/>
                <w:spacing w:val="-7"/>
                <w:w w:val="75"/>
                <w:sz w:val="16"/>
              </w:rPr>
              <w:t xml:space="preserve"> </w:t>
            </w:r>
            <w:r>
              <w:rPr>
                <w:color w:val="231F20"/>
                <w:w w:val="75"/>
                <w:sz w:val="16"/>
              </w:rPr>
              <w:t>Council</w:t>
            </w:r>
            <w:r>
              <w:rPr>
                <w:color w:val="231F20"/>
                <w:spacing w:val="-6"/>
                <w:w w:val="75"/>
                <w:sz w:val="16"/>
              </w:rPr>
              <w:t xml:space="preserve"> </w:t>
            </w:r>
            <w:r>
              <w:rPr>
                <w:color w:val="231F20"/>
                <w:w w:val="75"/>
                <w:sz w:val="16"/>
              </w:rPr>
              <w:t>on</w:t>
            </w:r>
            <w:r>
              <w:rPr>
                <w:color w:val="231F20"/>
                <w:spacing w:val="-7"/>
                <w:w w:val="75"/>
                <w:sz w:val="16"/>
              </w:rPr>
              <w:t xml:space="preserve"> </w:t>
            </w:r>
            <w:r>
              <w:rPr>
                <w:color w:val="231F20"/>
                <w:w w:val="75"/>
                <w:sz w:val="16"/>
              </w:rPr>
              <w:t>Health</w:t>
            </w:r>
            <w:r>
              <w:rPr>
                <w:color w:val="231F20"/>
                <w:spacing w:val="-6"/>
                <w:w w:val="75"/>
                <w:sz w:val="16"/>
              </w:rPr>
              <w:t xml:space="preserve"> </w:t>
            </w:r>
            <w:r>
              <w:rPr>
                <w:color w:val="231F20"/>
                <w:w w:val="75"/>
                <w:sz w:val="16"/>
              </w:rPr>
              <w:t>meeting</w:t>
            </w:r>
            <w:r>
              <w:rPr>
                <w:color w:val="231F20"/>
                <w:spacing w:val="-7"/>
                <w:w w:val="75"/>
                <w:sz w:val="16"/>
              </w:rPr>
              <w:t xml:space="preserve"> </w:t>
            </w:r>
            <w:r>
              <w:rPr>
                <w:color w:val="231F20"/>
                <w:w w:val="75"/>
                <w:sz w:val="16"/>
              </w:rPr>
              <w:t>annually</w:t>
            </w:r>
          </w:p>
          <w:p w14:paraId="7A2C6BEE" w14:textId="77777777" w:rsidR="009948F1" w:rsidRDefault="00BC0563">
            <w:pPr>
              <w:pStyle w:val="TableParagraph"/>
              <w:numPr>
                <w:ilvl w:val="0"/>
                <w:numId w:val="243"/>
              </w:numPr>
              <w:tabs>
                <w:tab w:val="left" w:pos="132"/>
              </w:tabs>
              <w:spacing w:line="183" w:lineRule="exact"/>
              <w:ind w:left="131" w:hanging="76"/>
              <w:rPr>
                <w:sz w:val="16"/>
              </w:rPr>
            </w:pPr>
            <w:r>
              <w:rPr>
                <w:color w:val="231F20"/>
                <w:w w:val="85"/>
                <w:sz w:val="16"/>
              </w:rPr>
              <w:t>Guidelines</w:t>
            </w:r>
            <w:r>
              <w:rPr>
                <w:color w:val="231F20"/>
                <w:spacing w:val="-22"/>
                <w:w w:val="85"/>
                <w:sz w:val="16"/>
              </w:rPr>
              <w:t xml:space="preserve"> </w:t>
            </w:r>
            <w:r>
              <w:rPr>
                <w:color w:val="231F20"/>
                <w:w w:val="85"/>
                <w:sz w:val="16"/>
              </w:rPr>
              <w:t>&amp;</w:t>
            </w:r>
            <w:r>
              <w:rPr>
                <w:color w:val="231F20"/>
                <w:spacing w:val="-21"/>
                <w:w w:val="85"/>
                <w:sz w:val="16"/>
              </w:rPr>
              <w:t xml:space="preserve"> </w:t>
            </w:r>
            <w:r>
              <w:rPr>
                <w:color w:val="231F20"/>
                <w:w w:val="85"/>
                <w:sz w:val="16"/>
              </w:rPr>
              <w:t>Regulations</w:t>
            </w:r>
            <w:r>
              <w:rPr>
                <w:color w:val="231F20"/>
                <w:spacing w:val="-22"/>
                <w:w w:val="85"/>
                <w:sz w:val="16"/>
              </w:rPr>
              <w:t xml:space="preserve"> </w:t>
            </w:r>
            <w:r>
              <w:rPr>
                <w:color w:val="231F20"/>
                <w:w w:val="85"/>
                <w:sz w:val="16"/>
              </w:rPr>
              <w:t>tracked</w:t>
            </w:r>
            <w:r>
              <w:rPr>
                <w:color w:val="231F20"/>
                <w:spacing w:val="-21"/>
                <w:w w:val="85"/>
                <w:sz w:val="16"/>
              </w:rPr>
              <w:t xml:space="preserve"> </w:t>
            </w:r>
            <w:r>
              <w:rPr>
                <w:color w:val="231F20"/>
                <w:w w:val="85"/>
                <w:sz w:val="16"/>
              </w:rPr>
              <w:t>&amp;</w:t>
            </w:r>
          </w:p>
          <w:p w14:paraId="153575F6" w14:textId="77777777" w:rsidR="009948F1" w:rsidRDefault="00BC0563">
            <w:pPr>
              <w:pStyle w:val="TableParagraph"/>
              <w:spacing w:before="12" w:line="154" w:lineRule="exact"/>
              <w:ind w:left="23"/>
              <w:rPr>
                <w:sz w:val="16"/>
              </w:rPr>
            </w:pPr>
            <w:r>
              <w:rPr>
                <w:color w:val="231F20"/>
                <w:w w:val="85"/>
                <w:sz w:val="16"/>
              </w:rPr>
              <w:t>monitored</w:t>
            </w:r>
          </w:p>
        </w:tc>
        <w:tc>
          <w:tcPr>
            <w:tcW w:w="1431" w:type="dxa"/>
            <w:tcBorders>
              <w:left w:val="single" w:sz="6" w:space="0" w:color="231F20"/>
              <w:right w:val="single" w:sz="6" w:space="0" w:color="231F20"/>
            </w:tcBorders>
            <w:shd w:val="clear" w:color="auto" w:fill="CCE7D3"/>
          </w:tcPr>
          <w:p w14:paraId="3EFB1271" w14:textId="77777777" w:rsidR="009948F1" w:rsidRDefault="009948F1">
            <w:pPr>
              <w:pStyle w:val="TableParagraph"/>
              <w:rPr>
                <w:rFonts w:ascii="Times New Roman"/>
                <w:sz w:val="12"/>
              </w:rPr>
            </w:pPr>
          </w:p>
        </w:tc>
        <w:tc>
          <w:tcPr>
            <w:tcW w:w="1515" w:type="dxa"/>
            <w:tcBorders>
              <w:left w:val="single" w:sz="6" w:space="0" w:color="231F20"/>
            </w:tcBorders>
            <w:shd w:val="clear" w:color="auto" w:fill="CCE7D3"/>
          </w:tcPr>
          <w:p w14:paraId="40FF5C1B" w14:textId="77777777" w:rsidR="009948F1" w:rsidRDefault="009948F1">
            <w:pPr>
              <w:pStyle w:val="TableParagraph"/>
              <w:rPr>
                <w:rFonts w:ascii="Times New Roman"/>
                <w:sz w:val="12"/>
              </w:rPr>
            </w:pPr>
          </w:p>
        </w:tc>
      </w:tr>
      <w:tr w:rsidR="009948F1" w14:paraId="456AA4C5" w14:textId="77777777">
        <w:trPr>
          <w:trHeight w:val="857"/>
        </w:trPr>
        <w:tc>
          <w:tcPr>
            <w:tcW w:w="1043" w:type="dxa"/>
            <w:gridSpan w:val="3"/>
            <w:vMerge w:val="restart"/>
            <w:tcBorders>
              <w:top w:val="nil"/>
              <w:left w:val="single" w:sz="6" w:space="0" w:color="231F20"/>
              <w:bottom w:val="nil"/>
              <w:right w:val="single" w:sz="6" w:space="0" w:color="231F20"/>
            </w:tcBorders>
          </w:tcPr>
          <w:p w14:paraId="266FD671" w14:textId="77777777" w:rsidR="009948F1" w:rsidRDefault="009948F1">
            <w:pPr>
              <w:pStyle w:val="TableParagraph"/>
              <w:rPr>
                <w:rFonts w:ascii="Times New Roman"/>
                <w:sz w:val="12"/>
              </w:rPr>
            </w:pPr>
          </w:p>
        </w:tc>
        <w:tc>
          <w:tcPr>
            <w:tcW w:w="527" w:type="dxa"/>
            <w:tcBorders>
              <w:left w:val="single" w:sz="6" w:space="0" w:color="231F20"/>
              <w:right w:val="single" w:sz="6" w:space="0" w:color="231F20"/>
            </w:tcBorders>
          </w:tcPr>
          <w:p w14:paraId="2B8282FF" w14:textId="77777777" w:rsidR="009948F1" w:rsidRDefault="009948F1">
            <w:pPr>
              <w:pStyle w:val="TableParagraph"/>
              <w:rPr>
                <w:b/>
                <w:sz w:val="16"/>
              </w:rPr>
            </w:pPr>
          </w:p>
          <w:p w14:paraId="48E8313A" w14:textId="77777777" w:rsidR="009948F1" w:rsidRDefault="009948F1">
            <w:pPr>
              <w:pStyle w:val="TableParagraph"/>
              <w:spacing w:before="2"/>
              <w:rPr>
                <w:b/>
                <w:sz w:val="13"/>
              </w:rPr>
            </w:pPr>
          </w:p>
          <w:p w14:paraId="0EB54794" w14:textId="77777777" w:rsidR="009948F1" w:rsidRDefault="00BC0563">
            <w:pPr>
              <w:pStyle w:val="TableParagraph"/>
              <w:spacing w:before="1"/>
              <w:ind w:left="23" w:right="8"/>
              <w:jc w:val="center"/>
              <w:rPr>
                <w:sz w:val="16"/>
              </w:rPr>
            </w:pPr>
            <w:r>
              <w:rPr>
                <w:color w:val="231F20"/>
                <w:w w:val="80"/>
                <w:sz w:val="16"/>
              </w:rPr>
              <w:t>1.1.1.a</w:t>
            </w:r>
          </w:p>
        </w:tc>
        <w:tc>
          <w:tcPr>
            <w:tcW w:w="4909" w:type="dxa"/>
            <w:gridSpan w:val="2"/>
            <w:tcBorders>
              <w:left w:val="single" w:sz="6" w:space="0" w:color="231F20"/>
              <w:right w:val="single" w:sz="6" w:space="0" w:color="231F20"/>
            </w:tcBorders>
          </w:tcPr>
          <w:p w14:paraId="5B87B382" w14:textId="77777777" w:rsidR="009948F1" w:rsidRDefault="009948F1">
            <w:pPr>
              <w:pStyle w:val="TableParagraph"/>
              <w:spacing w:before="1"/>
              <w:rPr>
                <w:b/>
                <w:sz w:val="20"/>
              </w:rPr>
            </w:pPr>
          </w:p>
          <w:p w14:paraId="7FFE6BA6" w14:textId="77777777" w:rsidR="009948F1" w:rsidRDefault="00BC0563">
            <w:pPr>
              <w:pStyle w:val="TableParagraph"/>
              <w:spacing w:line="259" w:lineRule="auto"/>
              <w:ind w:left="22" w:right="64"/>
              <w:rPr>
                <w:sz w:val="16"/>
              </w:rPr>
            </w:pPr>
            <w:r>
              <w:rPr>
                <w:color w:val="231F20"/>
                <w:w w:val="75"/>
                <w:sz w:val="16"/>
              </w:rPr>
              <w:t xml:space="preserve">Strengthen Planning, Research &amp; Statistics Department of the SMOH to coordinate </w:t>
            </w:r>
            <w:r>
              <w:rPr>
                <w:color w:val="231F20"/>
                <w:w w:val="85"/>
                <w:sz w:val="16"/>
              </w:rPr>
              <w:t>meetings for policy activities at all levels</w:t>
            </w:r>
          </w:p>
        </w:tc>
        <w:tc>
          <w:tcPr>
            <w:tcW w:w="1431" w:type="dxa"/>
            <w:tcBorders>
              <w:left w:val="single" w:sz="6" w:space="0" w:color="231F20"/>
            </w:tcBorders>
          </w:tcPr>
          <w:p w14:paraId="5E74AEF2" w14:textId="77777777" w:rsidR="009948F1" w:rsidRDefault="009948F1">
            <w:pPr>
              <w:pStyle w:val="TableParagraph"/>
              <w:rPr>
                <w:b/>
                <w:sz w:val="16"/>
              </w:rPr>
            </w:pPr>
          </w:p>
          <w:p w14:paraId="3D686CA1" w14:textId="77777777" w:rsidR="009948F1" w:rsidRDefault="009948F1">
            <w:pPr>
              <w:pStyle w:val="TableParagraph"/>
              <w:spacing w:before="2"/>
              <w:rPr>
                <w:b/>
                <w:sz w:val="13"/>
              </w:rPr>
            </w:pPr>
          </w:p>
          <w:p w14:paraId="6A1C39D9" w14:textId="77777777" w:rsidR="009948F1" w:rsidRDefault="00BC0563">
            <w:pPr>
              <w:pStyle w:val="TableParagraph"/>
              <w:spacing w:before="1"/>
              <w:ind w:left="23"/>
              <w:rPr>
                <w:sz w:val="16"/>
              </w:rPr>
            </w:pPr>
            <w:r>
              <w:rPr>
                <w:color w:val="231F20"/>
                <w:w w:val="85"/>
                <w:sz w:val="16"/>
              </w:rPr>
              <w:t>Lack of funds</w:t>
            </w:r>
          </w:p>
        </w:tc>
        <w:tc>
          <w:tcPr>
            <w:tcW w:w="1515" w:type="dxa"/>
          </w:tcPr>
          <w:p w14:paraId="57E4201C" w14:textId="77777777" w:rsidR="009948F1" w:rsidRDefault="009948F1">
            <w:pPr>
              <w:pStyle w:val="TableParagraph"/>
              <w:spacing w:before="8"/>
              <w:rPr>
                <w:b/>
                <w:sz w:val="20"/>
              </w:rPr>
            </w:pPr>
          </w:p>
          <w:p w14:paraId="65B0A9B0" w14:textId="77777777" w:rsidR="009948F1" w:rsidRDefault="00BC0563">
            <w:pPr>
              <w:pStyle w:val="TableParagraph"/>
              <w:spacing w:line="259" w:lineRule="auto"/>
              <w:ind w:left="21"/>
              <w:rPr>
                <w:sz w:val="16"/>
              </w:rPr>
            </w:pPr>
            <w:r>
              <w:rPr>
                <w:color w:val="231F20"/>
                <w:w w:val="75"/>
                <w:sz w:val="16"/>
              </w:rPr>
              <w:t xml:space="preserve">Convene coordination </w:t>
            </w:r>
            <w:r>
              <w:rPr>
                <w:color w:val="231F20"/>
                <w:w w:val="85"/>
                <w:sz w:val="16"/>
              </w:rPr>
              <w:t>meetings</w:t>
            </w:r>
          </w:p>
        </w:tc>
      </w:tr>
      <w:tr w:rsidR="009948F1" w14:paraId="754A3745" w14:textId="77777777">
        <w:trPr>
          <w:trHeight w:val="633"/>
        </w:trPr>
        <w:tc>
          <w:tcPr>
            <w:tcW w:w="1043" w:type="dxa"/>
            <w:gridSpan w:val="3"/>
            <w:vMerge/>
            <w:tcBorders>
              <w:top w:val="nil"/>
              <w:left w:val="single" w:sz="6" w:space="0" w:color="231F20"/>
              <w:bottom w:val="nil"/>
              <w:right w:val="single" w:sz="6" w:space="0" w:color="231F20"/>
            </w:tcBorders>
          </w:tcPr>
          <w:p w14:paraId="273FFF9F" w14:textId="77777777" w:rsidR="009948F1" w:rsidRDefault="009948F1">
            <w:pPr>
              <w:rPr>
                <w:sz w:val="2"/>
                <w:szCs w:val="2"/>
              </w:rPr>
            </w:pPr>
          </w:p>
        </w:tc>
        <w:tc>
          <w:tcPr>
            <w:tcW w:w="527" w:type="dxa"/>
            <w:tcBorders>
              <w:left w:val="single" w:sz="6" w:space="0" w:color="231F20"/>
              <w:right w:val="single" w:sz="6" w:space="0" w:color="231F20"/>
            </w:tcBorders>
          </w:tcPr>
          <w:p w14:paraId="5D3E395F" w14:textId="77777777" w:rsidR="009948F1" w:rsidRDefault="009948F1">
            <w:pPr>
              <w:pStyle w:val="TableParagraph"/>
              <w:spacing w:before="6"/>
              <w:rPr>
                <w:b/>
                <w:sz w:val="19"/>
              </w:rPr>
            </w:pPr>
          </w:p>
          <w:p w14:paraId="372BDDB6" w14:textId="77777777" w:rsidR="009948F1" w:rsidRDefault="00BC0563">
            <w:pPr>
              <w:pStyle w:val="TableParagraph"/>
              <w:ind w:left="23" w:right="8"/>
              <w:jc w:val="center"/>
              <w:rPr>
                <w:sz w:val="16"/>
              </w:rPr>
            </w:pPr>
            <w:r>
              <w:rPr>
                <w:color w:val="231F20"/>
                <w:w w:val="80"/>
                <w:sz w:val="16"/>
              </w:rPr>
              <w:t>1.1.1.b</w:t>
            </w:r>
          </w:p>
        </w:tc>
        <w:tc>
          <w:tcPr>
            <w:tcW w:w="4909" w:type="dxa"/>
            <w:gridSpan w:val="2"/>
            <w:tcBorders>
              <w:left w:val="single" w:sz="6" w:space="0" w:color="231F20"/>
              <w:right w:val="single" w:sz="6" w:space="0" w:color="231F20"/>
            </w:tcBorders>
          </w:tcPr>
          <w:p w14:paraId="28E54DAF" w14:textId="77777777" w:rsidR="009948F1" w:rsidRDefault="00BC0563">
            <w:pPr>
              <w:pStyle w:val="TableParagraph"/>
              <w:spacing w:before="118" w:line="259" w:lineRule="auto"/>
              <w:ind w:left="22" w:right="64"/>
              <w:rPr>
                <w:sz w:val="16"/>
              </w:rPr>
            </w:pPr>
            <w:r>
              <w:rPr>
                <w:color w:val="231F20"/>
                <w:w w:val="80"/>
                <w:sz w:val="16"/>
              </w:rPr>
              <w:t>Advocacy</w:t>
            </w:r>
            <w:r>
              <w:rPr>
                <w:color w:val="231F20"/>
                <w:spacing w:val="-23"/>
                <w:w w:val="80"/>
                <w:sz w:val="16"/>
              </w:rPr>
              <w:t xml:space="preserve"> </w:t>
            </w:r>
            <w:r>
              <w:rPr>
                <w:color w:val="231F20"/>
                <w:w w:val="80"/>
                <w:sz w:val="16"/>
              </w:rPr>
              <w:t>to</w:t>
            </w:r>
            <w:r>
              <w:rPr>
                <w:color w:val="231F20"/>
                <w:spacing w:val="-24"/>
                <w:w w:val="80"/>
                <w:sz w:val="16"/>
              </w:rPr>
              <w:t xml:space="preserve"> </w:t>
            </w:r>
            <w:r>
              <w:rPr>
                <w:color w:val="231F20"/>
                <w:w w:val="80"/>
                <w:sz w:val="16"/>
              </w:rPr>
              <w:t>the</w:t>
            </w:r>
            <w:r>
              <w:rPr>
                <w:color w:val="231F20"/>
                <w:spacing w:val="-23"/>
                <w:w w:val="80"/>
                <w:sz w:val="16"/>
              </w:rPr>
              <w:t xml:space="preserve"> </w:t>
            </w:r>
            <w:r>
              <w:rPr>
                <w:color w:val="231F20"/>
                <w:w w:val="80"/>
                <w:sz w:val="16"/>
              </w:rPr>
              <w:t>Commissioner</w:t>
            </w:r>
            <w:r>
              <w:rPr>
                <w:color w:val="231F20"/>
                <w:spacing w:val="-23"/>
                <w:w w:val="80"/>
                <w:sz w:val="16"/>
              </w:rPr>
              <w:t xml:space="preserve"> </w:t>
            </w:r>
            <w:r>
              <w:rPr>
                <w:color w:val="231F20"/>
                <w:w w:val="80"/>
                <w:sz w:val="16"/>
              </w:rPr>
              <w:t>of</w:t>
            </w:r>
            <w:r>
              <w:rPr>
                <w:color w:val="231F20"/>
                <w:spacing w:val="-23"/>
                <w:w w:val="80"/>
                <w:sz w:val="16"/>
              </w:rPr>
              <w:t xml:space="preserve"> </w:t>
            </w:r>
            <w:r>
              <w:rPr>
                <w:color w:val="231F20"/>
                <w:w w:val="80"/>
                <w:sz w:val="16"/>
              </w:rPr>
              <w:t>Health</w:t>
            </w:r>
            <w:r>
              <w:rPr>
                <w:color w:val="231F20"/>
                <w:spacing w:val="-23"/>
                <w:w w:val="80"/>
                <w:sz w:val="16"/>
              </w:rPr>
              <w:t xml:space="preserve"> </w:t>
            </w:r>
            <w:r>
              <w:rPr>
                <w:color w:val="231F20"/>
                <w:w w:val="80"/>
                <w:sz w:val="16"/>
              </w:rPr>
              <w:t>and</w:t>
            </w:r>
            <w:r>
              <w:rPr>
                <w:color w:val="231F20"/>
                <w:spacing w:val="-23"/>
                <w:w w:val="80"/>
                <w:sz w:val="16"/>
              </w:rPr>
              <w:t xml:space="preserve"> </w:t>
            </w:r>
            <w:r>
              <w:rPr>
                <w:color w:val="231F20"/>
                <w:w w:val="80"/>
                <w:sz w:val="16"/>
              </w:rPr>
              <w:t>House</w:t>
            </w:r>
            <w:r>
              <w:rPr>
                <w:color w:val="231F20"/>
                <w:spacing w:val="-23"/>
                <w:w w:val="80"/>
                <w:sz w:val="16"/>
              </w:rPr>
              <w:t xml:space="preserve"> </w:t>
            </w:r>
            <w:r>
              <w:rPr>
                <w:color w:val="231F20"/>
                <w:w w:val="80"/>
                <w:sz w:val="16"/>
              </w:rPr>
              <w:t>of</w:t>
            </w:r>
            <w:r>
              <w:rPr>
                <w:color w:val="231F20"/>
                <w:spacing w:val="-25"/>
                <w:w w:val="80"/>
                <w:sz w:val="16"/>
              </w:rPr>
              <w:t xml:space="preserve"> </w:t>
            </w:r>
            <w:r>
              <w:rPr>
                <w:color w:val="231F20"/>
                <w:w w:val="80"/>
                <w:sz w:val="16"/>
              </w:rPr>
              <w:t>Assembly</w:t>
            </w:r>
            <w:r>
              <w:rPr>
                <w:color w:val="231F20"/>
                <w:spacing w:val="-23"/>
                <w:w w:val="80"/>
                <w:sz w:val="16"/>
              </w:rPr>
              <w:t xml:space="preserve"> </w:t>
            </w:r>
            <w:r>
              <w:rPr>
                <w:color w:val="231F20"/>
                <w:w w:val="80"/>
                <w:sz w:val="16"/>
              </w:rPr>
              <w:t>on</w:t>
            </w:r>
            <w:r>
              <w:rPr>
                <w:color w:val="231F20"/>
                <w:spacing w:val="-23"/>
                <w:w w:val="80"/>
                <w:sz w:val="16"/>
              </w:rPr>
              <w:t xml:space="preserve"> </w:t>
            </w:r>
            <w:r>
              <w:rPr>
                <w:color w:val="231F20"/>
                <w:w w:val="80"/>
                <w:sz w:val="16"/>
              </w:rPr>
              <w:t>the</w:t>
            </w:r>
            <w:r>
              <w:rPr>
                <w:color w:val="231F20"/>
                <w:spacing w:val="-23"/>
                <w:w w:val="80"/>
                <w:sz w:val="16"/>
              </w:rPr>
              <w:t xml:space="preserve"> </w:t>
            </w:r>
            <w:r>
              <w:rPr>
                <w:color w:val="231F20"/>
                <w:w w:val="80"/>
                <w:sz w:val="16"/>
              </w:rPr>
              <w:t>need</w:t>
            </w:r>
            <w:r>
              <w:rPr>
                <w:color w:val="231F20"/>
                <w:spacing w:val="-23"/>
                <w:w w:val="80"/>
                <w:sz w:val="16"/>
              </w:rPr>
              <w:t xml:space="preserve"> </w:t>
            </w:r>
            <w:r>
              <w:rPr>
                <w:color w:val="231F20"/>
                <w:w w:val="80"/>
                <w:sz w:val="16"/>
              </w:rPr>
              <w:t>to</w:t>
            </w:r>
            <w:r>
              <w:rPr>
                <w:color w:val="231F20"/>
                <w:spacing w:val="-23"/>
                <w:w w:val="80"/>
                <w:sz w:val="16"/>
              </w:rPr>
              <w:t xml:space="preserve"> </w:t>
            </w:r>
            <w:r>
              <w:rPr>
                <w:color w:val="231F20"/>
                <w:w w:val="80"/>
                <w:sz w:val="16"/>
              </w:rPr>
              <w:t>pass</w:t>
            </w:r>
            <w:r>
              <w:rPr>
                <w:color w:val="231F20"/>
                <w:spacing w:val="-23"/>
                <w:w w:val="80"/>
                <w:sz w:val="16"/>
              </w:rPr>
              <w:t xml:space="preserve"> </w:t>
            </w:r>
            <w:r>
              <w:rPr>
                <w:color w:val="231F20"/>
                <w:w w:val="80"/>
                <w:sz w:val="16"/>
              </w:rPr>
              <w:t>a</w:t>
            </w:r>
            <w:r>
              <w:rPr>
                <w:color w:val="231F20"/>
                <w:spacing w:val="-23"/>
                <w:w w:val="80"/>
                <w:sz w:val="16"/>
              </w:rPr>
              <w:t xml:space="preserve"> </w:t>
            </w:r>
            <w:r>
              <w:rPr>
                <w:color w:val="231F20"/>
                <w:w w:val="80"/>
                <w:sz w:val="16"/>
              </w:rPr>
              <w:t xml:space="preserve">bill </w:t>
            </w:r>
            <w:r>
              <w:rPr>
                <w:color w:val="231F20"/>
                <w:w w:val="85"/>
                <w:sz w:val="16"/>
              </w:rPr>
              <w:t>for</w:t>
            </w:r>
            <w:r>
              <w:rPr>
                <w:color w:val="231F20"/>
                <w:spacing w:val="-12"/>
                <w:w w:val="85"/>
                <w:sz w:val="16"/>
              </w:rPr>
              <w:t xml:space="preserve"> </w:t>
            </w:r>
            <w:r>
              <w:rPr>
                <w:color w:val="231F20"/>
                <w:w w:val="85"/>
                <w:sz w:val="16"/>
              </w:rPr>
              <w:t>regular</w:t>
            </w:r>
            <w:r>
              <w:rPr>
                <w:color w:val="231F20"/>
                <w:spacing w:val="-11"/>
                <w:w w:val="85"/>
                <w:sz w:val="16"/>
              </w:rPr>
              <w:t xml:space="preserve"> </w:t>
            </w:r>
            <w:r>
              <w:rPr>
                <w:color w:val="231F20"/>
                <w:w w:val="85"/>
                <w:sz w:val="16"/>
              </w:rPr>
              <w:t>conduct</w:t>
            </w:r>
            <w:r>
              <w:rPr>
                <w:color w:val="231F20"/>
                <w:spacing w:val="-12"/>
                <w:w w:val="85"/>
                <w:sz w:val="16"/>
              </w:rPr>
              <w:t xml:space="preserve"> </w:t>
            </w:r>
            <w:r>
              <w:rPr>
                <w:color w:val="231F20"/>
                <w:w w:val="85"/>
                <w:sz w:val="16"/>
              </w:rPr>
              <w:t>of</w:t>
            </w:r>
            <w:r>
              <w:rPr>
                <w:color w:val="231F20"/>
                <w:spacing w:val="-11"/>
                <w:w w:val="85"/>
                <w:sz w:val="16"/>
              </w:rPr>
              <w:t xml:space="preserve"> </w:t>
            </w:r>
            <w:r>
              <w:rPr>
                <w:color w:val="231F20"/>
                <w:w w:val="85"/>
                <w:sz w:val="16"/>
              </w:rPr>
              <w:t>State</w:t>
            </w:r>
            <w:r>
              <w:rPr>
                <w:color w:val="231F20"/>
                <w:spacing w:val="-12"/>
                <w:w w:val="85"/>
                <w:sz w:val="16"/>
              </w:rPr>
              <w:t xml:space="preserve"> </w:t>
            </w:r>
            <w:r>
              <w:rPr>
                <w:color w:val="231F20"/>
                <w:w w:val="85"/>
                <w:sz w:val="16"/>
              </w:rPr>
              <w:t>Council</w:t>
            </w:r>
            <w:r>
              <w:rPr>
                <w:color w:val="231F20"/>
                <w:spacing w:val="-11"/>
                <w:w w:val="85"/>
                <w:sz w:val="16"/>
              </w:rPr>
              <w:t xml:space="preserve"> </w:t>
            </w:r>
            <w:r>
              <w:rPr>
                <w:color w:val="231F20"/>
                <w:w w:val="85"/>
                <w:sz w:val="16"/>
              </w:rPr>
              <w:t>on</w:t>
            </w:r>
            <w:r>
              <w:rPr>
                <w:color w:val="231F20"/>
                <w:spacing w:val="-12"/>
                <w:w w:val="85"/>
                <w:sz w:val="16"/>
              </w:rPr>
              <w:t xml:space="preserve"> </w:t>
            </w:r>
            <w:r>
              <w:rPr>
                <w:color w:val="231F20"/>
                <w:w w:val="85"/>
                <w:sz w:val="16"/>
              </w:rPr>
              <w:t>Health</w:t>
            </w:r>
            <w:r>
              <w:rPr>
                <w:color w:val="231F20"/>
                <w:spacing w:val="-11"/>
                <w:w w:val="85"/>
                <w:sz w:val="16"/>
              </w:rPr>
              <w:t xml:space="preserve"> </w:t>
            </w:r>
            <w:r>
              <w:rPr>
                <w:color w:val="231F20"/>
                <w:w w:val="85"/>
                <w:sz w:val="16"/>
              </w:rPr>
              <w:t>in</w:t>
            </w:r>
            <w:r>
              <w:rPr>
                <w:color w:val="231F20"/>
                <w:spacing w:val="-11"/>
                <w:w w:val="85"/>
                <w:sz w:val="16"/>
              </w:rPr>
              <w:t xml:space="preserve"> </w:t>
            </w:r>
            <w:r>
              <w:rPr>
                <w:color w:val="231F20"/>
                <w:w w:val="85"/>
                <w:sz w:val="16"/>
              </w:rPr>
              <w:t>the</w:t>
            </w:r>
            <w:r>
              <w:rPr>
                <w:color w:val="231F20"/>
                <w:spacing w:val="-12"/>
                <w:w w:val="85"/>
                <w:sz w:val="16"/>
              </w:rPr>
              <w:t xml:space="preserve"> </w:t>
            </w:r>
            <w:r>
              <w:rPr>
                <w:color w:val="231F20"/>
                <w:w w:val="85"/>
                <w:sz w:val="16"/>
              </w:rPr>
              <w:t>State</w:t>
            </w:r>
          </w:p>
        </w:tc>
        <w:tc>
          <w:tcPr>
            <w:tcW w:w="1431" w:type="dxa"/>
            <w:tcBorders>
              <w:left w:val="single" w:sz="6" w:space="0" w:color="231F20"/>
            </w:tcBorders>
          </w:tcPr>
          <w:p w14:paraId="7FE1FFBF" w14:textId="77777777" w:rsidR="009948F1" w:rsidRDefault="00BC0563">
            <w:pPr>
              <w:pStyle w:val="TableParagraph"/>
              <w:spacing w:before="125" w:line="259" w:lineRule="auto"/>
              <w:ind w:left="23" w:right="38"/>
              <w:rPr>
                <w:sz w:val="16"/>
              </w:rPr>
            </w:pPr>
            <w:r>
              <w:rPr>
                <w:color w:val="231F20"/>
                <w:w w:val="80"/>
                <w:sz w:val="16"/>
              </w:rPr>
              <w:t xml:space="preserve">Lack of funds &amp; </w:t>
            </w:r>
            <w:r>
              <w:rPr>
                <w:color w:val="231F20"/>
                <w:spacing w:val="-3"/>
                <w:w w:val="80"/>
                <w:sz w:val="16"/>
              </w:rPr>
              <w:t xml:space="preserve">Political </w:t>
            </w:r>
            <w:r>
              <w:rPr>
                <w:color w:val="231F20"/>
                <w:w w:val="85"/>
                <w:sz w:val="16"/>
              </w:rPr>
              <w:t>Will</w:t>
            </w:r>
          </w:p>
        </w:tc>
        <w:tc>
          <w:tcPr>
            <w:tcW w:w="1515" w:type="dxa"/>
          </w:tcPr>
          <w:p w14:paraId="1C1D460A" w14:textId="77777777" w:rsidR="009948F1" w:rsidRDefault="009948F1">
            <w:pPr>
              <w:pStyle w:val="TableParagraph"/>
              <w:spacing w:before="6"/>
              <w:rPr>
                <w:b/>
                <w:sz w:val="19"/>
              </w:rPr>
            </w:pPr>
          </w:p>
          <w:p w14:paraId="2A14A6A8" w14:textId="77777777" w:rsidR="009948F1" w:rsidRDefault="00BC0563">
            <w:pPr>
              <w:pStyle w:val="TableParagraph"/>
              <w:ind w:left="21"/>
              <w:rPr>
                <w:sz w:val="16"/>
              </w:rPr>
            </w:pPr>
            <w:r>
              <w:rPr>
                <w:color w:val="231F20"/>
                <w:w w:val="85"/>
                <w:sz w:val="16"/>
              </w:rPr>
              <w:t>Conduct advocacy visit</w:t>
            </w:r>
          </w:p>
        </w:tc>
      </w:tr>
      <w:tr w:rsidR="009948F1" w14:paraId="00941A72" w14:textId="77777777">
        <w:trPr>
          <w:trHeight w:val="711"/>
        </w:trPr>
        <w:tc>
          <w:tcPr>
            <w:tcW w:w="1043" w:type="dxa"/>
            <w:gridSpan w:val="3"/>
            <w:vMerge/>
            <w:tcBorders>
              <w:top w:val="nil"/>
              <w:left w:val="single" w:sz="6" w:space="0" w:color="231F20"/>
              <w:bottom w:val="nil"/>
              <w:right w:val="single" w:sz="6" w:space="0" w:color="231F20"/>
            </w:tcBorders>
          </w:tcPr>
          <w:p w14:paraId="3B3753C5" w14:textId="77777777" w:rsidR="009948F1" w:rsidRDefault="009948F1">
            <w:pPr>
              <w:rPr>
                <w:sz w:val="2"/>
                <w:szCs w:val="2"/>
              </w:rPr>
            </w:pPr>
          </w:p>
        </w:tc>
        <w:tc>
          <w:tcPr>
            <w:tcW w:w="527" w:type="dxa"/>
            <w:tcBorders>
              <w:left w:val="single" w:sz="6" w:space="0" w:color="231F20"/>
              <w:right w:val="single" w:sz="6" w:space="0" w:color="231F20"/>
            </w:tcBorders>
          </w:tcPr>
          <w:p w14:paraId="5495703A" w14:textId="77777777" w:rsidR="009948F1" w:rsidRDefault="009948F1">
            <w:pPr>
              <w:pStyle w:val="TableParagraph"/>
              <w:spacing w:before="10"/>
              <w:rPr>
                <w:b/>
              </w:rPr>
            </w:pPr>
          </w:p>
          <w:p w14:paraId="03FF3BBD" w14:textId="77777777" w:rsidR="009948F1" w:rsidRDefault="00BC0563">
            <w:pPr>
              <w:pStyle w:val="TableParagraph"/>
              <w:spacing w:before="1"/>
              <w:ind w:left="24" w:right="8"/>
              <w:jc w:val="center"/>
              <w:rPr>
                <w:sz w:val="16"/>
              </w:rPr>
            </w:pPr>
            <w:r>
              <w:rPr>
                <w:color w:val="231F20"/>
                <w:w w:val="80"/>
                <w:sz w:val="16"/>
              </w:rPr>
              <w:t>1.1.1.c</w:t>
            </w:r>
          </w:p>
        </w:tc>
        <w:tc>
          <w:tcPr>
            <w:tcW w:w="4909" w:type="dxa"/>
            <w:gridSpan w:val="2"/>
            <w:tcBorders>
              <w:left w:val="single" w:sz="6" w:space="0" w:color="231F20"/>
              <w:right w:val="single" w:sz="6" w:space="0" w:color="231F20"/>
            </w:tcBorders>
          </w:tcPr>
          <w:p w14:paraId="71A36CE4" w14:textId="77777777" w:rsidR="009948F1" w:rsidRDefault="00BC0563">
            <w:pPr>
              <w:pStyle w:val="TableParagraph"/>
              <w:spacing w:before="59" w:line="259" w:lineRule="auto"/>
              <w:ind w:left="22" w:right="100"/>
              <w:rPr>
                <w:sz w:val="16"/>
              </w:rPr>
            </w:pPr>
            <w:r>
              <w:rPr>
                <w:color w:val="231F20"/>
                <w:w w:val="75"/>
                <w:sz w:val="16"/>
              </w:rPr>
              <w:t>Conduct State Council on Health (SCH) meeting to review and develop policies,</w:t>
            </w:r>
            <w:r>
              <w:rPr>
                <w:color w:val="231F20"/>
                <w:spacing w:val="-18"/>
                <w:w w:val="75"/>
                <w:sz w:val="16"/>
              </w:rPr>
              <w:t xml:space="preserve"> </w:t>
            </w:r>
            <w:r>
              <w:rPr>
                <w:color w:val="231F20"/>
                <w:w w:val="75"/>
                <w:sz w:val="16"/>
              </w:rPr>
              <w:t xml:space="preserve">adapt the </w:t>
            </w:r>
            <w:r>
              <w:rPr>
                <w:color w:val="231F20"/>
                <w:w w:val="80"/>
                <w:sz w:val="16"/>
              </w:rPr>
              <w:t>guidelines</w:t>
            </w:r>
            <w:r>
              <w:rPr>
                <w:color w:val="231F20"/>
                <w:spacing w:val="-19"/>
                <w:w w:val="80"/>
                <w:sz w:val="16"/>
              </w:rPr>
              <w:t xml:space="preserve"> </w:t>
            </w:r>
            <w:r>
              <w:rPr>
                <w:color w:val="231F20"/>
                <w:w w:val="80"/>
                <w:sz w:val="16"/>
              </w:rPr>
              <w:t>on</w:t>
            </w:r>
            <w:r>
              <w:rPr>
                <w:color w:val="231F20"/>
                <w:spacing w:val="-19"/>
                <w:w w:val="80"/>
                <w:sz w:val="16"/>
              </w:rPr>
              <w:t xml:space="preserve"> </w:t>
            </w:r>
            <w:r>
              <w:rPr>
                <w:color w:val="231F20"/>
                <w:w w:val="80"/>
                <w:sz w:val="16"/>
              </w:rPr>
              <w:t>essential</w:t>
            </w:r>
            <w:r>
              <w:rPr>
                <w:color w:val="231F20"/>
                <w:spacing w:val="-19"/>
                <w:w w:val="80"/>
                <w:sz w:val="16"/>
              </w:rPr>
              <w:t xml:space="preserve"> </w:t>
            </w:r>
            <w:r>
              <w:rPr>
                <w:color w:val="231F20"/>
                <w:w w:val="80"/>
                <w:sz w:val="16"/>
              </w:rPr>
              <w:t>package</w:t>
            </w:r>
            <w:r>
              <w:rPr>
                <w:color w:val="231F20"/>
                <w:spacing w:val="-19"/>
                <w:w w:val="80"/>
                <w:sz w:val="16"/>
              </w:rPr>
              <w:t xml:space="preserve"> </w:t>
            </w:r>
            <w:r>
              <w:rPr>
                <w:color w:val="231F20"/>
                <w:w w:val="80"/>
                <w:sz w:val="16"/>
              </w:rPr>
              <w:t>of</w:t>
            </w:r>
            <w:r>
              <w:rPr>
                <w:color w:val="231F20"/>
                <w:spacing w:val="-19"/>
                <w:w w:val="80"/>
                <w:sz w:val="16"/>
              </w:rPr>
              <w:t xml:space="preserve"> </w:t>
            </w:r>
            <w:r>
              <w:rPr>
                <w:color w:val="231F20"/>
                <w:w w:val="80"/>
                <w:sz w:val="16"/>
              </w:rPr>
              <w:t>health</w:t>
            </w:r>
            <w:r>
              <w:rPr>
                <w:color w:val="231F20"/>
                <w:spacing w:val="-19"/>
                <w:w w:val="80"/>
                <w:sz w:val="16"/>
              </w:rPr>
              <w:t xml:space="preserve"> </w:t>
            </w:r>
            <w:r>
              <w:rPr>
                <w:color w:val="231F20"/>
                <w:w w:val="80"/>
                <w:sz w:val="16"/>
              </w:rPr>
              <w:t>care</w:t>
            </w:r>
            <w:r>
              <w:rPr>
                <w:color w:val="231F20"/>
                <w:spacing w:val="-19"/>
                <w:w w:val="80"/>
                <w:sz w:val="16"/>
              </w:rPr>
              <w:t xml:space="preserve"> </w:t>
            </w:r>
            <w:r>
              <w:rPr>
                <w:color w:val="231F20"/>
                <w:w w:val="80"/>
                <w:sz w:val="16"/>
              </w:rPr>
              <w:t>services</w:t>
            </w:r>
            <w:r>
              <w:rPr>
                <w:color w:val="231F20"/>
                <w:spacing w:val="-19"/>
                <w:w w:val="80"/>
                <w:sz w:val="16"/>
              </w:rPr>
              <w:t xml:space="preserve"> </w:t>
            </w:r>
            <w:r>
              <w:rPr>
                <w:color w:val="231F20"/>
                <w:w w:val="80"/>
                <w:sz w:val="16"/>
              </w:rPr>
              <w:t>for</w:t>
            </w:r>
            <w:r>
              <w:rPr>
                <w:color w:val="231F20"/>
                <w:spacing w:val="-19"/>
                <w:w w:val="80"/>
                <w:sz w:val="16"/>
              </w:rPr>
              <w:t xml:space="preserve"> </w:t>
            </w:r>
            <w:r>
              <w:rPr>
                <w:color w:val="231F20"/>
                <w:w w:val="80"/>
                <w:sz w:val="16"/>
              </w:rPr>
              <w:t>Nigeria</w:t>
            </w:r>
            <w:r>
              <w:rPr>
                <w:color w:val="231F20"/>
                <w:spacing w:val="-19"/>
                <w:w w:val="80"/>
                <w:sz w:val="16"/>
              </w:rPr>
              <w:t xml:space="preserve"> </w:t>
            </w:r>
            <w:r>
              <w:rPr>
                <w:color w:val="231F20"/>
                <w:w w:val="80"/>
                <w:sz w:val="16"/>
              </w:rPr>
              <w:t>&amp;</w:t>
            </w:r>
            <w:r>
              <w:rPr>
                <w:color w:val="231F20"/>
                <w:spacing w:val="-19"/>
                <w:w w:val="80"/>
                <w:sz w:val="16"/>
              </w:rPr>
              <w:t xml:space="preserve"> </w:t>
            </w:r>
            <w:r>
              <w:rPr>
                <w:color w:val="231F20"/>
                <w:w w:val="80"/>
                <w:sz w:val="16"/>
              </w:rPr>
              <w:t>define</w:t>
            </w:r>
            <w:r>
              <w:rPr>
                <w:color w:val="231F20"/>
                <w:spacing w:val="-19"/>
                <w:w w:val="80"/>
                <w:sz w:val="16"/>
              </w:rPr>
              <w:t xml:space="preserve"> </w:t>
            </w:r>
            <w:r>
              <w:rPr>
                <w:color w:val="231F20"/>
                <w:w w:val="80"/>
                <w:sz w:val="16"/>
              </w:rPr>
              <w:t>norms</w:t>
            </w:r>
            <w:r>
              <w:rPr>
                <w:color w:val="231F20"/>
                <w:spacing w:val="-19"/>
                <w:w w:val="80"/>
                <w:sz w:val="16"/>
              </w:rPr>
              <w:t xml:space="preserve"> </w:t>
            </w:r>
            <w:r>
              <w:rPr>
                <w:color w:val="231F20"/>
                <w:w w:val="80"/>
                <w:sz w:val="16"/>
              </w:rPr>
              <w:t xml:space="preserve">and </w:t>
            </w:r>
            <w:r>
              <w:rPr>
                <w:color w:val="231F20"/>
                <w:w w:val="75"/>
                <w:sz w:val="16"/>
              </w:rPr>
              <w:t>standards</w:t>
            </w:r>
            <w:r>
              <w:rPr>
                <w:color w:val="231F20"/>
                <w:spacing w:val="-4"/>
                <w:w w:val="75"/>
                <w:sz w:val="16"/>
              </w:rPr>
              <w:t xml:space="preserve"> </w:t>
            </w:r>
            <w:r>
              <w:rPr>
                <w:color w:val="231F20"/>
                <w:w w:val="75"/>
                <w:sz w:val="16"/>
              </w:rPr>
              <w:t>of</w:t>
            </w:r>
            <w:r>
              <w:rPr>
                <w:color w:val="231F20"/>
                <w:spacing w:val="-5"/>
                <w:w w:val="75"/>
                <w:sz w:val="16"/>
              </w:rPr>
              <w:t xml:space="preserve"> </w:t>
            </w:r>
            <w:r>
              <w:rPr>
                <w:color w:val="231F20"/>
                <w:w w:val="75"/>
                <w:sz w:val="16"/>
              </w:rPr>
              <w:t>practice</w:t>
            </w:r>
            <w:r>
              <w:rPr>
                <w:color w:val="231F20"/>
                <w:spacing w:val="-4"/>
                <w:w w:val="75"/>
                <w:sz w:val="16"/>
              </w:rPr>
              <w:t xml:space="preserve"> </w:t>
            </w:r>
            <w:r>
              <w:rPr>
                <w:color w:val="231F20"/>
                <w:w w:val="75"/>
                <w:sz w:val="16"/>
              </w:rPr>
              <w:t>for</w:t>
            </w:r>
            <w:r>
              <w:rPr>
                <w:color w:val="231F20"/>
                <w:spacing w:val="-4"/>
                <w:w w:val="75"/>
                <w:sz w:val="16"/>
              </w:rPr>
              <w:t xml:space="preserve"> </w:t>
            </w:r>
            <w:r>
              <w:rPr>
                <w:color w:val="231F20"/>
                <w:w w:val="75"/>
                <w:sz w:val="16"/>
              </w:rPr>
              <w:t>at</w:t>
            </w:r>
            <w:r>
              <w:rPr>
                <w:color w:val="231F20"/>
                <w:spacing w:val="-4"/>
                <w:w w:val="75"/>
                <w:sz w:val="16"/>
              </w:rPr>
              <w:t xml:space="preserve"> </w:t>
            </w:r>
            <w:r>
              <w:rPr>
                <w:color w:val="231F20"/>
                <w:w w:val="75"/>
                <w:sz w:val="16"/>
              </w:rPr>
              <w:t>different</w:t>
            </w:r>
            <w:r>
              <w:rPr>
                <w:color w:val="231F20"/>
                <w:spacing w:val="-4"/>
                <w:w w:val="75"/>
                <w:sz w:val="16"/>
              </w:rPr>
              <w:t xml:space="preserve"> </w:t>
            </w:r>
            <w:r>
              <w:rPr>
                <w:color w:val="231F20"/>
                <w:w w:val="75"/>
                <w:sz w:val="16"/>
              </w:rPr>
              <w:t>levels</w:t>
            </w:r>
            <w:r>
              <w:rPr>
                <w:color w:val="231F20"/>
                <w:spacing w:val="-4"/>
                <w:w w:val="75"/>
                <w:sz w:val="16"/>
              </w:rPr>
              <w:t xml:space="preserve"> </w:t>
            </w:r>
            <w:r>
              <w:rPr>
                <w:color w:val="231F20"/>
                <w:w w:val="75"/>
                <w:sz w:val="16"/>
              </w:rPr>
              <w:t>of</w:t>
            </w:r>
            <w:r>
              <w:rPr>
                <w:color w:val="231F20"/>
                <w:spacing w:val="-4"/>
                <w:w w:val="75"/>
                <w:sz w:val="16"/>
              </w:rPr>
              <w:t xml:space="preserve"> </w:t>
            </w:r>
            <w:r>
              <w:rPr>
                <w:color w:val="231F20"/>
                <w:w w:val="75"/>
                <w:sz w:val="16"/>
              </w:rPr>
              <w:t>the</w:t>
            </w:r>
            <w:r>
              <w:rPr>
                <w:color w:val="231F20"/>
                <w:spacing w:val="-4"/>
                <w:w w:val="75"/>
                <w:sz w:val="16"/>
              </w:rPr>
              <w:t xml:space="preserve"> </w:t>
            </w:r>
            <w:r>
              <w:rPr>
                <w:color w:val="231F20"/>
                <w:w w:val="75"/>
                <w:sz w:val="16"/>
              </w:rPr>
              <w:t>health</w:t>
            </w:r>
            <w:r>
              <w:rPr>
                <w:color w:val="231F20"/>
                <w:spacing w:val="-4"/>
                <w:w w:val="75"/>
                <w:sz w:val="16"/>
              </w:rPr>
              <w:t xml:space="preserve"> </w:t>
            </w:r>
            <w:r>
              <w:rPr>
                <w:color w:val="231F20"/>
                <w:w w:val="75"/>
                <w:sz w:val="16"/>
              </w:rPr>
              <w:t>care</w:t>
            </w:r>
            <w:r>
              <w:rPr>
                <w:color w:val="231F20"/>
                <w:spacing w:val="-4"/>
                <w:w w:val="75"/>
                <w:sz w:val="16"/>
              </w:rPr>
              <w:t xml:space="preserve"> </w:t>
            </w:r>
            <w:r>
              <w:rPr>
                <w:color w:val="231F20"/>
                <w:w w:val="75"/>
                <w:sz w:val="16"/>
              </w:rPr>
              <w:t>system,</w:t>
            </w:r>
            <w:r>
              <w:rPr>
                <w:color w:val="231F20"/>
                <w:spacing w:val="-4"/>
                <w:w w:val="75"/>
                <w:sz w:val="16"/>
              </w:rPr>
              <w:t xml:space="preserve"> </w:t>
            </w:r>
            <w:r>
              <w:rPr>
                <w:color w:val="231F20"/>
                <w:w w:val="75"/>
                <w:sz w:val="16"/>
              </w:rPr>
              <w:t>from</w:t>
            </w:r>
            <w:r>
              <w:rPr>
                <w:color w:val="231F20"/>
                <w:spacing w:val="-4"/>
                <w:w w:val="75"/>
                <w:sz w:val="16"/>
              </w:rPr>
              <w:t xml:space="preserve"> </w:t>
            </w:r>
            <w:r>
              <w:rPr>
                <w:color w:val="231F20"/>
                <w:w w:val="75"/>
                <w:sz w:val="16"/>
              </w:rPr>
              <w:t>community</w:t>
            </w:r>
            <w:r>
              <w:rPr>
                <w:color w:val="231F20"/>
                <w:spacing w:val="-4"/>
                <w:w w:val="75"/>
                <w:sz w:val="16"/>
              </w:rPr>
              <w:t xml:space="preserve"> </w:t>
            </w:r>
            <w:r>
              <w:rPr>
                <w:color w:val="231F20"/>
                <w:w w:val="75"/>
                <w:sz w:val="16"/>
              </w:rPr>
              <w:t>level</w:t>
            </w:r>
          </w:p>
        </w:tc>
        <w:tc>
          <w:tcPr>
            <w:tcW w:w="1431" w:type="dxa"/>
            <w:tcBorders>
              <w:left w:val="single" w:sz="6" w:space="0" w:color="231F20"/>
            </w:tcBorders>
          </w:tcPr>
          <w:p w14:paraId="25955F9D" w14:textId="77777777" w:rsidR="009948F1" w:rsidRDefault="009948F1">
            <w:pPr>
              <w:pStyle w:val="TableParagraph"/>
              <w:spacing w:before="10"/>
              <w:rPr>
                <w:b/>
              </w:rPr>
            </w:pPr>
          </w:p>
          <w:p w14:paraId="6E81DC61" w14:textId="77777777" w:rsidR="009948F1" w:rsidRDefault="00BC0563">
            <w:pPr>
              <w:pStyle w:val="TableParagraph"/>
              <w:spacing w:before="1"/>
              <w:ind w:left="23"/>
              <w:rPr>
                <w:sz w:val="16"/>
              </w:rPr>
            </w:pPr>
            <w:r>
              <w:rPr>
                <w:color w:val="231F20"/>
                <w:w w:val="85"/>
                <w:sz w:val="16"/>
              </w:rPr>
              <w:t>Lack of funds</w:t>
            </w:r>
          </w:p>
        </w:tc>
        <w:tc>
          <w:tcPr>
            <w:tcW w:w="1515" w:type="dxa"/>
          </w:tcPr>
          <w:p w14:paraId="06F066FC" w14:textId="77777777" w:rsidR="009948F1" w:rsidRDefault="009948F1">
            <w:pPr>
              <w:pStyle w:val="TableParagraph"/>
              <w:spacing w:before="10"/>
              <w:rPr>
                <w:b/>
              </w:rPr>
            </w:pPr>
          </w:p>
          <w:p w14:paraId="4FAB7AD5" w14:textId="77777777" w:rsidR="009948F1" w:rsidRDefault="00BC0563">
            <w:pPr>
              <w:pStyle w:val="TableParagraph"/>
              <w:spacing w:before="1"/>
              <w:ind w:left="21"/>
              <w:rPr>
                <w:sz w:val="16"/>
              </w:rPr>
            </w:pPr>
            <w:r>
              <w:rPr>
                <w:color w:val="231F20"/>
                <w:w w:val="85"/>
                <w:sz w:val="16"/>
              </w:rPr>
              <w:t>Conduct SCH meeting</w:t>
            </w:r>
          </w:p>
        </w:tc>
      </w:tr>
      <w:tr w:rsidR="009948F1" w14:paraId="62570261" w14:textId="77777777">
        <w:trPr>
          <w:trHeight w:val="399"/>
        </w:trPr>
        <w:tc>
          <w:tcPr>
            <w:tcW w:w="1043" w:type="dxa"/>
            <w:gridSpan w:val="3"/>
            <w:vMerge/>
            <w:tcBorders>
              <w:top w:val="nil"/>
              <w:left w:val="single" w:sz="6" w:space="0" w:color="231F20"/>
              <w:bottom w:val="nil"/>
              <w:right w:val="single" w:sz="6" w:space="0" w:color="231F20"/>
            </w:tcBorders>
          </w:tcPr>
          <w:p w14:paraId="4CC72B74" w14:textId="77777777" w:rsidR="009948F1" w:rsidRDefault="009948F1">
            <w:pPr>
              <w:rPr>
                <w:sz w:val="2"/>
                <w:szCs w:val="2"/>
              </w:rPr>
            </w:pPr>
          </w:p>
        </w:tc>
        <w:tc>
          <w:tcPr>
            <w:tcW w:w="527" w:type="dxa"/>
            <w:tcBorders>
              <w:left w:val="single" w:sz="6" w:space="0" w:color="231F20"/>
              <w:right w:val="single" w:sz="6" w:space="0" w:color="231F20"/>
            </w:tcBorders>
          </w:tcPr>
          <w:p w14:paraId="0FDAE925" w14:textId="77777777" w:rsidR="009948F1" w:rsidRDefault="00BC0563">
            <w:pPr>
              <w:pStyle w:val="TableParagraph"/>
              <w:spacing w:before="107"/>
              <w:ind w:left="23" w:right="8"/>
              <w:jc w:val="center"/>
              <w:rPr>
                <w:sz w:val="16"/>
              </w:rPr>
            </w:pPr>
            <w:r>
              <w:rPr>
                <w:color w:val="231F20"/>
                <w:w w:val="80"/>
                <w:sz w:val="16"/>
              </w:rPr>
              <w:t>1.1.1.d</w:t>
            </w:r>
          </w:p>
        </w:tc>
        <w:tc>
          <w:tcPr>
            <w:tcW w:w="4909" w:type="dxa"/>
            <w:gridSpan w:val="2"/>
            <w:tcBorders>
              <w:left w:val="single" w:sz="6" w:space="0" w:color="231F20"/>
              <w:right w:val="single" w:sz="6" w:space="0" w:color="231F20"/>
            </w:tcBorders>
          </w:tcPr>
          <w:p w14:paraId="5C2EF3E0" w14:textId="77777777" w:rsidR="009948F1" w:rsidRDefault="00BC0563">
            <w:pPr>
              <w:pStyle w:val="TableParagraph"/>
              <w:spacing w:before="101"/>
              <w:ind w:left="22"/>
              <w:rPr>
                <w:sz w:val="16"/>
              </w:rPr>
            </w:pPr>
            <w:r>
              <w:rPr>
                <w:color w:val="231F20"/>
                <w:w w:val="85"/>
                <w:sz w:val="16"/>
              </w:rPr>
              <w:t>Participate in National Council on Health (NCH) meeting</w:t>
            </w:r>
          </w:p>
        </w:tc>
        <w:tc>
          <w:tcPr>
            <w:tcW w:w="1431" w:type="dxa"/>
            <w:tcBorders>
              <w:left w:val="single" w:sz="6" w:space="0" w:color="231F20"/>
            </w:tcBorders>
          </w:tcPr>
          <w:p w14:paraId="104EC480" w14:textId="77777777" w:rsidR="009948F1" w:rsidRDefault="00BC0563">
            <w:pPr>
              <w:pStyle w:val="TableParagraph"/>
              <w:spacing w:before="107"/>
              <w:ind w:left="23"/>
              <w:rPr>
                <w:sz w:val="16"/>
              </w:rPr>
            </w:pPr>
            <w:r>
              <w:rPr>
                <w:color w:val="231F20"/>
                <w:w w:val="85"/>
                <w:sz w:val="16"/>
              </w:rPr>
              <w:t>Lack of funds</w:t>
            </w:r>
          </w:p>
        </w:tc>
        <w:tc>
          <w:tcPr>
            <w:tcW w:w="1515" w:type="dxa"/>
          </w:tcPr>
          <w:p w14:paraId="38D51A19" w14:textId="77777777" w:rsidR="009948F1" w:rsidRDefault="00BC0563">
            <w:pPr>
              <w:pStyle w:val="TableParagraph"/>
              <w:spacing w:before="107"/>
              <w:ind w:left="21"/>
              <w:rPr>
                <w:sz w:val="16"/>
              </w:rPr>
            </w:pPr>
            <w:r>
              <w:rPr>
                <w:color w:val="231F20"/>
                <w:w w:val="75"/>
                <w:sz w:val="16"/>
              </w:rPr>
              <w:t>Participate in NCH meeting</w:t>
            </w:r>
          </w:p>
        </w:tc>
      </w:tr>
      <w:tr w:rsidR="009948F1" w14:paraId="491E1B9E" w14:textId="77777777">
        <w:trPr>
          <w:trHeight w:val="385"/>
        </w:trPr>
        <w:tc>
          <w:tcPr>
            <w:tcW w:w="1043" w:type="dxa"/>
            <w:gridSpan w:val="3"/>
            <w:vMerge/>
            <w:tcBorders>
              <w:top w:val="nil"/>
              <w:left w:val="single" w:sz="6" w:space="0" w:color="231F20"/>
              <w:bottom w:val="nil"/>
              <w:right w:val="single" w:sz="6" w:space="0" w:color="231F20"/>
            </w:tcBorders>
          </w:tcPr>
          <w:p w14:paraId="3F032026" w14:textId="77777777" w:rsidR="009948F1" w:rsidRDefault="009948F1">
            <w:pPr>
              <w:rPr>
                <w:sz w:val="2"/>
                <w:szCs w:val="2"/>
              </w:rPr>
            </w:pPr>
          </w:p>
        </w:tc>
        <w:tc>
          <w:tcPr>
            <w:tcW w:w="527" w:type="dxa"/>
            <w:tcBorders>
              <w:left w:val="single" w:sz="6" w:space="0" w:color="231F20"/>
              <w:right w:val="single" w:sz="6" w:space="0" w:color="231F20"/>
            </w:tcBorders>
          </w:tcPr>
          <w:p w14:paraId="75F534A2" w14:textId="77777777" w:rsidR="009948F1" w:rsidRDefault="00BC0563">
            <w:pPr>
              <w:pStyle w:val="TableParagraph"/>
              <w:spacing w:before="101"/>
              <w:ind w:left="23" w:right="8"/>
              <w:jc w:val="center"/>
              <w:rPr>
                <w:sz w:val="16"/>
              </w:rPr>
            </w:pPr>
            <w:r>
              <w:rPr>
                <w:color w:val="231F20"/>
                <w:w w:val="80"/>
                <w:sz w:val="16"/>
              </w:rPr>
              <w:t>1.1.1.e</w:t>
            </w:r>
          </w:p>
        </w:tc>
        <w:tc>
          <w:tcPr>
            <w:tcW w:w="4909" w:type="dxa"/>
            <w:gridSpan w:val="2"/>
            <w:tcBorders>
              <w:left w:val="single" w:sz="6" w:space="0" w:color="231F20"/>
              <w:right w:val="single" w:sz="6" w:space="0" w:color="231F20"/>
            </w:tcBorders>
          </w:tcPr>
          <w:p w14:paraId="5AF11B18" w14:textId="77777777" w:rsidR="009948F1" w:rsidRDefault="00BC0563">
            <w:pPr>
              <w:pStyle w:val="TableParagraph"/>
              <w:spacing w:before="94"/>
              <w:ind w:left="22"/>
              <w:rPr>
                <w:sz w:val="16"/>
              </w:rPr>
            </w:pPr>
            <w:r>
              <w:rPr>
                <w:color w:val="231F20"/>
                <w:w w:val="85"/>
                <w:sz w:val="16"/>
              </w:rPr>
              <w:t>Track and monitor compliance on existing guidelines and regulations</w:t>
            </w:r>
          </w:p>
        </w:tc>
        <w:tc>
          <w:tcPr>
            <w:tcW w:w="1431" w:type="dxa"/>
            <w:tcBorders>
              <w:left w:val="single" w:sz="6" w:space="0" w:color="231F20"/>
            </w:tcBorders>
          </w:tcPr>
          <w:p w14:paraId="6EA94574" w14:textId="77777777" w:rsidR="009948F1" w:rsidRDefault="00BC0563">
            <w:pPr>
              <w:pStyle w:val="TableParagraph"/>
              <w:spacing w:before="101"/>
              <w:ind w:left="23"/>
              <w:rPr>
                <w:sz w:val="16"/>
              </w:rPr>
            </w:pPr>
            <w:r>
              <w:rPr>
                <w:color w:val="231F20"/>
                <w:w w:val="85"/>
                <w:sz w:val="16"/>
              </w:rPr>
              <w:t>Lack of funds</w:t>
            </w:r>
          </w:p>
        </w:tc>
        <w:tc>
          <w:tcPr>
            <w:tcW w:w="1515" w:type="dxa"/>
          </w:tcPr>
          <w:p w14:paraId="6EDA55E5" w14:textId="77777777" w:rsidR="009948F1" w:rsidRDefault="00BC0563">
            <w:pPr>
              <w:pStyle w:val="TableParagraph"/>
              <w:spacing w:before="101"/>
              <w:ind w:left="21"/>
              <w:rPr>
                <w:sz w:val="16"/>
              </w:rPr>
            </w:pPr>
            <w:r>
              <w:rPr>
                <w:color w:val="231F20"/>
                <w:w w:val="85"/>
                <w:sz w:val="16"/>
              </w:rPr>
              <w:t>Costed in 1.3.3b</w:t>
            </w:r>
          </w:p>
        </w:tc>
      </w:tr>
      <w:tr w:rsidR="009948F1" w14:paraId="57B069BA" w14:textId="77777777">
        <w:trPr>
          <w:trHeight w:val="1327"/>
        </w:trPr>
        <w:tc>
          <w:tcPr>
            <w:tcW w:w="587" w:type="dxa"/>
            <w:gridSpan w:val="2"/>
            <w:tcBorders>
              <w:top w:val="nil"/>
              <w:left w:val="single" w:sz="6" w:space="0" w:color="231F20"/>
              <w:bottom w:val="nil"/>
              <w:right w:val="single" w:sz="6" w:space="0" w:color="231F20"/>
            </w:tcBorders>
          </w:tcPr>
          <w:p w14:paraId="231645C1" w14:textId="77777777" w:rsidR="009948F1" w:rsidRDefault="009948F1">
            <w:pPr>
              <w:pStyle w:val="TableParagraph"/>
              <w:rPr>
                <w:rFonts w:ascii="Times New Roman"/>
                <w:sz w:val="12"/>
              </w:rPr>
            </w:pPr>
          </w:p>
        </w:tc>
        <w:tc>
          <w:tcPr>
            <w:tcW w:w="456" w:type="dxa"/>
            <w:tcBorders>
              <w:left w:val="single" w:sz="6" w:space="0" w:color="231F20"/>
              <w:right w:val="single" w:sz="6" w:space="0" w:color="231F20"/>
            </w:tcBorders>
            <w:shd w:val="clear" w:color="auto" w:fill="CCE7D3"/>
          </w:tcPr>
          <w:p w14:paraId="287ED049" w14:textId="77777777" w:rsidR="009948F1" w:rsidRDefault="009948F1">
            <w:pPr>
              <w:pStyle w:val="TableParagraph"/>
              <w:rPr>
                <w:b/>
                <w:sz w:val="16"/>
              </w:rPr>
            </w:pPr>
          </w:p>
          <w:p w14:paraId="24094BD3" w14:textId="77777777" w:rsidR="009948F1" w:rsidRDefault="009948F1">
            <w:pPr>
              <w:pStyle w:val="TableParagraph"/>
              <w:rPr>
                <w:b/>
                <w:sz w:val="16"/>
              </w:rPr>
            </w:pPr>
          </w:p>
          <w:p w14:paraId="13AEA630" w14:textId="77777777" w:rsidR="009948F1" w:rsidRDefault="009948F1">
            <w:pPr>
              <w:pStyle w:val="TableParagraph"/>
              <w:spacing w:before="8"/>
              <w:rPr>
                <w:b/>
                <w:sz w:val="17"/>
              </w:rPr>
            </w:pPr>
          </w:p>
          <w:p w14:paraId="2E2A2C52" w14:textId="77777777" w:rsidR="009948F1" w:rsidRDefault="00BC0563">
            <w:pPr>
              <w:pStyle w:val="TableParagraph"/>
              <w:ind w:left="55"/>
              <w:rPr>
                <w:sz w:val="16"/>
              </w:rPr>
            </w:pPr>
            <w:r>
              <w:rPr>
                <w:color w:val="231F20"/>
                <w:w w:val="85"/>
                <w:sz w:val="16"/>
              </w:rPr>
              <w:t>1.1.2</w:t>
            </w:r>
          </w:p>
        </w:tc>
        <w:tc>
          <w:tcPr>
            <w:tcW w:w="3045" w:type="dxa"/>
            <w:gridSpan w:val="2"/>
            <w:tcBorders>
              <w:left w:val="single" w:sz="6" w:space="0" w:color="231F20"/>
              <w:right w:val="single" w:sz="6" w:space="0" w:color="231F20"/>
            </w:tcBorders>
            <w:shd w:val="clear" w:color="auto" w:fill="CCE7D3"/>
          </w:tcPr>
          <w:p w14:paraId="22F31810" w14:textId="77777777" w:rsidR="009948F1" w:rsidRDefault="009948F1">
            <w:pPr>
              <w:pStyle w:val="TableParagraph"/>
              <w:rPr>
                <w:b/>
                <w:sz w:val="16"/>
              </w:rPr>
            </w:pPr>
          </w:p>
          <w:p w14:paraId="62EEE238" w14:textId="77777777" w:rsidR="009948F1" w:rsidRDefault="009948F1">
            <w:pPr>
              <w:pStyle w:val="TableParagraph"/>
              <w:rPr>
                <w:b/>
                <w:sz w:val="16"/>
              </w:rPr>
            </w:pPr>
          </w:p>
          <w:p w14:paraId="01697855" w14:textId="77777777" w:rsidR="009948F1" w:rsidRDefault="009948F1">
            <w:pPr>
              <w:pStyle w:val="TableParagraph"/>
              <w:spacing w:before="2"/>
              <w:rPr>
                <w:b/>
                <w:sz w:val="17"/>
              </w:rPr>
            </w:pPr>
          </w:p>
          <w:p w14:paraId="4639FD44" w14:textId="77777777" w:rsidR="009948F1" w:rsidRDefault="00BC0563">
            <w:pPr>
              <w:pStyle w:val="TableParagraph"/>
              <w:ind w:left="55"/>
              <w:rPr>
                <w:sz w:val="16"/>
              </w:rPr>
            </w:pPr>
            <w:r>
              <w:rPr>
                <w:color w:val="231F20"/>
                <w:w w:val="75"/>
                <w:sz w:val="16"/>
              </w:rPr>
              <w:t>Scale-up strategic and operational planning at all levels</w:t>
            </w:r>
          </w:p>
        </w:tc>
        <w:tc>
          <w:tcPr>
            <w:tcW w:w="2391" w:type="dxa"/>
            <w:tcBorders>
              <w:left w:val="single" w:sz="6" w:space="0" w:color="231F20"/>
              <w:right w:val="single" w:sz="6" w:space="0" w:color="231F20"/>
            </w:tcBorders>
            <w:shd w:val="clear" w:color="auto" w:fill="CCE7D3"/>
          </w:tcPr>
          <w:p w14:paraId="39B5EFDF" w14:textId="77777777" w:rsidR="009948F1" w:rsidRDefault="00BC0563">
            <w:pPr>
              <w:pStyle w:val="TableParagraph"/>
              <w:numPr>
                <w:ilvl w:val="0"/>
                <w:numId w:val="242"/>
              </w:numPr>
              <w:tabs>
                <w:tab w:val="left" w:pos="99"/>
              </w:tabs>
              <w:spacing w:before="75" w:line="259" w:lineRule="auto"/>
              <w:ind w:right="12" w:firstLine="0"/>
              <w:rPr>
                <w:sz w:val="16"/>
              </w:rPr>
            </w:pPr>
            <w:r>
              <w:rPr>
                <w:color w:val="231F20"/>
                <w:w w:val="75"/>
                <w:sz w:val="16"/>
              </w:rPr>
              <w:t>State</w:t>
            </w:r>
            <w:r>
              <w:rPr>
                <w:color w:val="231F20"/>
                <w:spacing w:val="-6"/>
                <w:w w:val="75"/>
                <w:sz w:val="16"/>
              </w:rPr>
              <w:t xml:space="preserve"> </w:t>
            </w:r>
            <w:r>
              <w:rPr>
                <w:color w:val="231F20"/>
                <w:w w:val="75"/>
                <w:sz w:val="16"/>
              </w:rPr>
              <w:t>Strategic</w:t>
            </w:r>
            <w:r>
              <w:rPr>
                <w:color w:val="231F20"/>
                <w:spacing w:val="-5"/>
                <w:w w:val="75"/>
                <w:sz w:val="16"/>
              </w:rPr>
              <w:t xml:space="preserve"> </w:t>
            </w:r>
            <w:r>
              <w:rPr>
                <w:color w:val="231F20"/>
                <w:w w:val="75"/>
                <w:sz w:val="16"/>
              </w:rPr>
              <w:t>Health</w:t>
            </w:r>
            <w:r>
              <w:rPr>
                <w:color w:val="231F20"/>
                <w:spacing w:val="-5"/>
                <w:w w:val="75"/>
                <w:sz w:val="16"/>
              </w:rPr>
              <w:t xml:space="preserve"> </w:t>
            </w:r>
            <w:r>
              <w:rPr>
                <w:color w:val="231F20"/>
                <w:w w:val="75"/>
                <w:sz w:val="16"/>
              </w:rPr>
              <w:t>Development</w:t>
            </w:r>
            <w:r>
              <w:rPr>
                <w:color w:val="231F20"/>
                <w:spacing w:val="-5"/>
                <w:w w:val="75"/>
                <w:sz w:val="16"/>
              </w:rPr>
              <w:t xml:space="preserve"> </w:t>
            </w:r>
            <w:r>
              <w:rPr>
                <w:color w:val="231F20"/>
                <w:w w:val="75"/>
                <w:sz w:val="16"/>
              </w:rPr>
              <w:t>Plan</w:t>
            </w:r>
            <w:r>
              <w:rPr>
                <w:color w:val="231F20"/>
                <w:spacing w:val="-5"/>
                <w:w w:val="75"/>
                <w:sz w:val="16"/>
              </w:rPr>
              <w:t xml:space="preserve"> </w:t>
            </w:r>
            <w:r>
              <w:rPr>
                <w:color w:val="231F20"/>
                <w:w w:val="75"/>
                <w:sz w:val="16"/>
              </w:rPr>
              <w:t xml:space="preserve">II </w:t>
            </w:r>
            <w:r>
              <w:rPr>
                <w:color w:val="231F20"/>
                <w:w w:val="85"/>
                <w:sz w:val="16"/>
              </w:rPr>
              <w:t>&amp;</w:t>
            </w:r>
            <w:r>
              <w:rPr>
                <w:color w:val="231F20"/>
                <w:spacing w:val="-14"/>
                <w:w w:val="85"/>
                <w:sz w:val="16"/>
              </w:rPr>
              <w:t xml:space="preserve"> </w:t>
            </w:r>
            <w:r>
              <w:rPr>
                <w:color w:val="231F20"/>
                <w:w w:val="85"/>
                <w:sz w:val="16"/>
              </w:rPr>
              <w:t>Operational</w:t>
            </w:r>
            <w:r>
              <w:rPr>
                <w:color w:val="231F20"/>
                <w:spacing w:val="-13"/>
                <w:w w:val="85"/>
                <w:sz w:val="16"/>
              </w:rPr>
              <w:t xml:space="preserve"> </w:t>
            </w:r>
            <w:r>
              <w:rPr>
                <w:color w:val="231F20"/>
                <w:w w:val="85"/>
                <w:sz w:val="16"/>
              </w:rPr>
              <w:t>Plan</w:t>
            </w:r>
            <w:r>
              <w:rPr>
                <w:color w:val="231F20"/>
                <w:spacing w:val="-14"/>
                <w:w w:val="85"/>
                <w:sz w:val="16"/>
              </w:rPr>
              <w:t xml:space="preserve"> </w:t>
            </w:r>
            <w:r>
              <w:rPr>
                <w:color w:val="231F20"/>
                <w:w w:val="85"/>
                <w:sz w:val="16"/>
              </w:rPr>
              <w:t>developed</w:t>
            </w:r>
          </w:p>
          <w:p w14:paraId="13C01EF9" w14:textId="77777777" w:rsidR="009948F1" w:rsidRDefault="00BC0563">
            <w:pPr>
              <w:pStyle w:val="TableParagraph"/>
              <w:numPr>
                <w:ilvl w:val="0"/>
                <w:numId w:val="242"/>
              </w:numPr>
              <w:tabs>
                <w:tab w:val="left" w:pos="99"/>
              </w:tabs>
              <w:spacing w:line="259" w:lineRule="auto"/>
              <w:ind w:right="226" w:firstLine="0"/>
              <w:rPr>
                <w:sz w:val="16"/>
              </w:rPr>
            </w:pPr>
            <w:r>
              <w:rPr>
                <w:color w:val="231F20"/>
                <w:w w:val="80"/>
                <w:sz w:val="16"/>
              </w:rPr>
              <w:t xml:space="preserve">Local Government Strategic Health </w:t>
            </w:r>
            <w:r>
              <w:rPr>
                <w:color w:val="231F20"/>
                <w:w w:val="75"/>
                <w:sz w:val="16"/>
              </w:rPr>
              <w:t>Development Plans &amp; Operational</w:t>
            </w:r>
            <w:r>
              <w:rPr>
                <w:color w:val="231F20"/>
                <w:spacing w:val="-18"/>
                <w:w w:val="75"/>
                <w:sz w:val="16"/>
              </w:rPr>
              <w:t xml:space="preserve"> </w:t>
            </w:r>
            <w:r>
              <w:rPr>
                <w:color w:val="231F20"/>
                <w:spacing w:val="-3"/>
                <w:w w:val="75"/>
                <w:sz w:val="16"/>
              </w:rPr>
              <w:t xml:space="preserve">Plans </w:t>
            </w:r>
            <w:r>
              <w:rPr>
                <w:color w:val="231F20"/>
                <w:w w:val="85"/>
                <w:sz w:val="16"/>
              </w:rPr>
              <w:t>developed</w:t>
            </w:r>
          </w:p>
          <w:p w14:paraId="4C70EB95" w14:textId="77777777" w:rsidR="009948F1" w:rsidRDefault="00BC0563">
            <w:pPr>
              <w:pStyle w:val="TableParagraph"/>
              <w:numPr>
                <w:ilvl w:val="0"/>
                <w:numId w:val="242"/>
              </w:numPr>
              <w:tabs>
                <w:tab w:val="left" w:pos="99"/>
              </w:tabs>
              <w:spacing w:line="183" w:lineRule="exact"/>
              <w:ind w:left="98" w:hanging="76"/>
              <w:rPr>
                <w:sz w:val="16"/>
              </w:rPr>
            </w:pPr>
            <w:r>
              <w:rPr>
                <w:color w:val="231F20"/>
                <w:w w:val="75"/>
                <w:sz w:val="16"/>
              </w:rPr>
              <w:t>SMOH/PHC Operational Plans</w:t>
            </w:r>
            <w:r>
              <w:rPr>
                <w:color w:val="231F20"/>
                <w:spacing w:val="-15"/>
                <w:w w:val="75"/>
                <w:sz w:val="16"/>
              </w:rPr>
              <w:t xml:space="preserve"> </w:t>
            </w:r>
            <w:r>
              <w:rPr>
                <w:color w:val="231F20"/>
                <w:w w:val="75"/>
                <w:sz w:val="16"/>
              </w:rPr>
              <w:t>developed</w:t>
            </w:r>
          </w:p>
        </w:tc>
        <w:tc>
          <w:tcPr>
            <w:tcW w:w="1431" w:type="dxa"/>
            <w:tcBorders>
              <w:left w:val="single" w:sz="6" w:space="0" w:color="231F20"/>
            </w:tcBorders>
            <w:shd w:val="clear" w:color="auto" w:fill="CCE7D3"/>
          </w:tcPr>
          <w:p w14:paraId="230A84A7" w14:textId="77777777" w:rsidR="009948F1" w:rsidRDefault="009948F1">
            <w:pPr>
              <w:pStyle w:val="TableParagraph"/>
              <w:rPr>
                <w:rFonts w:ascii="Times New Roman"/>
                <w:sz w:val="12"/>
              </w:rPr>
            </w:pPr>
          </w:p>
        </w:tc>
        <w:tc>
          <w:tcPr>
            <w:tcW w:w="1515" w:type="dxa"/>
            <w:shd w:val="clear" w:color="auto" w:fill="CCE7D3"/>
          </w:tcPr>
          <w:p w14:paraId="658FC61E" w14:textId="77777777" w:rsidR="009948F1" w:rsidRDefault="009948F1">
            <w:pPr>
              <w:pStyle w:val="TableParagraph"/>
              <w:rPr>
                <w:rFonts w:ascii="Times New Roman"/>
                <w:sz w:val="12"/>
              </w:rPr>
            </w:pPr>
          </w:p>
        </w:tc>
      </w:tr>
      <w:tr w:rsidR="009948F1" w14:paraId="0874164A" w14:textId="77777777">
        <w:trPr>
          <w:trHeight w:val="819"/>
        </w:trPr>
        <w:tc>
          <w:tcPr>
            <w:tcW w:w="1043" w:type="dxa"/>
            <w:gridSpan w:val="3"/>
            <w:vMerge w:val="restart"/>
            <w:tcBorders>
              <w:top w:val="nil"/>
              <w:left w:val="single" w:sz="6" w:space="0" w:color="231F20"/>
              <w:right w:val="single" w:sz="6" w:space="0" w:color="231F20"/>
            </w:tcBorders>
          </w:tcPr>
          <w:p w14:paraId="25D4F5F0" w14:textId="77777777" w:rsidR="009948F1" w:rsidRDefault="009948F1">
            <w:pPr>
              <w:pStyle w:val="TableParagraph"/>
              <w:rPr>
                <w:rFonts w:ascii="Times New Roman"/>
                <w:sz w:val="12"/>
              </w:rPr>
            </w:pPr>
          </w:p>
        </w:tc>
        <w:tc>
          <w:tcPr>
            <w:tcW w:w="527" w:type="dxa"/>
            <w:tcBorders>
              <w:left w:val="single" w:sz="6" w:space="0" w:color="231F20"/>
              <w:right w:val="single" w:sz="6" w:space="0" w:color="231F20"/>
            </w:tcBorders>
          </w:tcPr>
          <w:p w14:paraId="75EBCB35" w14:textId="77777777" w:rsidR="009948F1" w:rsidRDefault="009948F1">
            <w:pPr>
              <w:pStyle w:val="TableParagraph"/>
              <w:rPr>
                <w:b/>
                <w:sz w:val="16"/>
              </w:rPr>
            </w:pPr>
          </w:p>
          <w:p w14:paraId="71DF93FB" w14:textId="77777777" w:rsidR="009948F1" w:rsidRDefault="00BC0563">
            <w:pPr>
              <w:pStyle w:val="TableParagraph"/>
              <w:spacing w:before="133"/>
              <w:ind w:left="23" w:right="8"/>
              <w:jc w:val="center"/>
              <w:rPr>
                <w:sz w:val="16"/>
              </w:rPr>
            </w:pPr>
            <w:r>
              <w:rPr>
                <w:color w:val="231F20"/>
                <w:w w:val="80"/>
                <w:sz w:val="16"/>
              </w:rPr>
              <w:t>1.1.2.a</w:t>
            </w:r>
          </w:p>
        </w:tc>
        <w:tc>
          <w:tcPr>
            <w:tcW w:w="4909" w:type="dxa"/>
            <w:gridSpan w:val="2"/>
            <w:tcBorders>
              <w:left w:val="single" w:sz="6" w:space="0" w:color="231F20"/>
              <w:right w:val="single" w:sz="6" w:space="0" w:color="231F20"/>
            </w:tcBorders>
          </w:tcPr>
          <w:p w14:paraId="293CFB65" w14:textId="77777777" w:rsidR="009948F1" w:rsidRDefault="009948F1">
            <w:pPr>
              <w:pStyle w:val="TableParagraph"/>
              <w:rPr>
                <w:b/>
                <w:sz w:val="16"/>
              </w:rPr>
            </w:pPr>
          </w:p>
          <w:p w14:paraId="23852B3C" w14:textId="77777777" w:rsidR="009948F1" w:rsidRDefault="00BC0563">
            <w:pPr>
              <w:pStyle w:val="TableParagraph"/>
              <w:spacing w:before="126"/>
              <w:ind w:left="22"/>
              <w:rPr>
                <w:sz w:val="16"/>
              </w:rPr>
            </w:pPr>
            <w:r>
              <w:rPr>
                <w:color w:val="231F20"/>
                <w:w w:val="85"/>
                <w:sz w:val="16"/>
              </w:rPr>
              <w:t>Organize workshops to develop SSHDP II with technical assistance from FMOH</w:t>
            </w:r>
          </w:p>
        </w:tc>
        <w:tc>
          <w:tcPr>
            <w:tcW w:w="1431" w:type="dxa"/>
            <w:tcBorders>
              <w:left w:val="single" w:sz="6" w:space="0" w:color="231F20"/>
            </w:tcBorders>
          </w:tcPr>
          <w:p w14:paraId="46D85298" w14:textId="77777777" w:rsidR="009948F1" w:rsidRDefault="009948F1">
            <w:pPr>
              <w:pStyle w:val="TableParagraph"/>
              <w:rPr>
                <w:b/>
                <w:sz w:val="16"/>
              </w:rPr>
            </w:pPr>
          </w:p>
          <w:p w14:paraId="73E57B17" w14:textId="77777777" w:rsidR="009948F1" w:rsidRDefault="00BC0563">
            <w:pPr>
              <w:pStyle w:val="TableParagraph"/>
              <w:spacing w:before="133"/>
              <w:ind w:left="23"/>
              <w:rPr>
                <w:sz w:val="16"/>
              </w:rPr>
            </w:pPr>
            <w:r>
              <w:rPr>
                <w:color w:val="231F20"/>
                <w:w w:val="85"/>
                <w:sz w:val="16"/>
              </w:rPr>
              <w:t>Lack of funds</w:t>
            </w:r>
          </w:p>
        </w:tc>
        <w:tc>
          <w:tcPr>
            <w:tcW w:w="1515" w:type="dxa"/>
          </w:tcPr>
          <w:p w14:paraId="45B01472" w14:textId="77777777" w:rsidR="009948F1" w:rsidRDefault="009948F1">
            <w:pPr>
              <w:pStyle w:val="TableParagraph"/>
              <w:rPr>
                <w:b/>
                <w:sz w:val="19"/>
              </w:rPr>
            </w:pPr>
          </w:p>
          <w:p w14:paraId="0F0D3342" w14:textId="77777777" w:rsidR="009948F1" w:rsidRDefault="00BC0563">
            <w:pPr>
              <w:pStyle w:val="TableParagraph"/>
              <w:spacing w:line="259" w:lineRule="auto"/>
              <w:ind w:left="21"/>
              <w:rPr>
                <w:sz w:val="16"/>
              </w:rPr>
            </w:pPr>
            <w:r>
              <w:rPr>
                <w:color w:val="231F20"/>
                <w:w w:val="75"/>
                <w:sz w:val="16"/>
              </w:rPr>
              <w:t xml:space="preserve">Organize SSHDP II </w:t>
            </w:r>
            <w:r>
              <w:rPr>
                <w:color w:val="231F20"/>
                <w:w w:val="85"/>
                <w:sz w:val="16"/>
              </w:rPr>
              <w:t>workshop</w:t>
            </w:r>
          </w:p>
        </w:tc>
      </w:tr>
      <w:tr w:rsidR="009948F1" w14:paraId="764C037E" w14:textId="77777777">
        <w:trPr>
          <w:trHeight w:val="701"/>
        </w:trPr>
        <w:tc>
          <w:tcPr>
            <w:tcW w:w="1043" w:type="dxa"/>
            <w:gridSpan w:val="3"/>
            <w:vMerge/>
            <w:tcBorders>
              <w:top w:val="nil"/>
              <w:left w:val="single" w:sz="6" w:space="0" w:color="231F20"/>
              <w:right w:val="single" w:sz="6" w:space="0" w:color="231F20"/>
            </w:tcBorders>
          </w:tcPr>
          <w:p w14:paraId="6887C7E8" w14:textId="77777777" w:rsidR="009948F1" w:rsidRDefault="009948F1">
            <w:pPr>
              <w:rPr>
                <w:sz w:val="2"/>
                <w:szCs w:val="2"/>
              </w:rPr>
            </w:pPr>
          </w:p>
        </w:tc>
        <w:tc>
          <w:tcPr>
            <w:tcW w:w="527" w:type="dxa"/>
            <w:tcBorders>
              <w:left w:val="single" w:sz="6" w:space="0" w:color="231F20"/>
              <w:right w:val="single" w:sz="6" w:space="0" w:color="231F20"/>
            </w:tcBorders>
          </w:tcPr>
          <w:p w14:paraId="3C0D03DF" w14:textId="77777777" w:rsidR="009948F1" w:rsidRDefault="009948F1">
            <w:pPr>
              <w:pStyle w:val="TableParagraph"/>
              <w:spacing w:before="5"/>
              <w:rPr>
                <w:b/>
              </w:rPr>
            </w:pPr>
          </w:p>
          <w:p w14:paraId="5A5A4DC3" w14:textId="77777777" w:rsidR="009948F1" w:rsidRDefault="00BC0563">
            <w:pPr>
              <w:pStyle w:val="TableParagraph"/>
              <w:spacing w:before="1"/>
              <w:ind w:left="23" w:right="8"/>
              <w:jc w:val="center"/>
              <w:rPr>
                <w:sz w:val="16"/>
              </w:rPr>
            </w:pPr>
            <w:r>
              <w:rPr>
                <w:color w:val="231F20"/>
                <w:w w:val="80"/>
                <w:sz w:val="16"/>
              </w:rPr>
              <w:t>1.1.2.b</w:t>
            </w:r>
          </w:p>
        </w:tc>
        <w:tc>
          <w:tcPr>
            <w:tcW w:w="4909" w:type="dxa"/>
            <w:gridSpan w:val="2"/>
            <w:tcBorders>
              <w:left w:val="single" w:sz="6" w:space="0" w:color="231F20"/>
              <w:right w:val="single" w:sz="6" w:space="0" w:color="231F20"/>
            </w:tcBorders>
          </w:tcPr>
          <w:p w14:paraId="5566242E" w14:textId="77777777" w:rsidR="009948F1" w:rsidRDefault="009948F1">
            <w:pPr>
              <w:pStyle w:val="TableParagraph"/>
              <w:spacing w:before="11"/>
              <w:rPr>
                <w:b/>
                <w:sz w:val="21"/>
              </w:rPr>
            </w:pPr>
          </w:p>
          <w:p w14:paraId="4A86D998" w14:textId="77777777" w:rsidR="009948F1" w:rsidRDefault="00BC0563">
            <w:pPr>
              <w:pStyle w:val="TableParagraph"/>
              <w:ind w:left="22"/>
              <w:rPr>
                <w:sz w:val="16"/>
              </w:rPr>
            </w:pPr>
            <w:r>
              <w:rPr>
                <w:color w:val="231F20"/>
                <w:w w:val="85"/>
                <w:sz w:val="16"/>
              </w:rPr>
              <w:t>Organize</w:t>
            </w:r>
            <w:r>
              <w:rPr>
                <w:color w:val="231F20"/>
                <w:spacing w:val="-26"/>
                <w:w w:val="85"/>
                <w:sz w:val="16"/>
              </w:rPr>
              <w:t xml:space="preserve"> </w:t>
            </w:r>
            <w:r>
              <w:rPr>
                <w:color w:val="231F20"/>
                <w:w w:val="85"/>
                <w:sz w:val="16"/>
              </w:rPr>
              <w:t>workshops</w:t>
            </w:r>
            <w:r>
              <w:rPr>
                <w:color w:val="231F20"/>
                <w:spacing w:val="-25"/>
                <w:w w:val="85"/>
                <w:sz w:val="16"/>
              </w:rPr>
              <w:t xml:space="preserve"> </w:t>
            </w:r>
            <w:r>
              <w:rPr>
                <w:color w:val="231F20"/>
                <w:w w:val="85"/>
                <w:sz w:val="16"/>
              </w:rPr>
              <w:t>to</w:t>
            </w:r>
            <w:r>
              <w:rPr>
                <w:color w:val="231F20"/>
                <w:spacing w:val="-26"/>
                <w:w w:val="85"/>
                <w:sz w:val="16"/>
              </w:rPr>
              <w:t xml:space="preserve"> </w:t>
            </w:r>
            <w:r>
              <w:rPr>
                <w:color w:val="231F20"/>
                <w:w w:val="85"/>
                <w:sz w:val="16"/>
              </w:rPr>
              <w:t>develop</w:t>
            </w:r>
            <w:r>
              <w:rPr>
                <w:color w:val="231F20"/>
                <w:spacing w:val="-25"/>
                <w:w w:val="85"/>
                <w:sz w:val="16"/>
              </w:rPr>
              <w:t xml:space="preserve"> </w:t>
            </w:r>
            <w:r>
              <w:rPr>
                <w:color w:val="231F20"/>
                <w:w w:val="85"/>
                <w:sz w:val="16"/>
              </w:rPr>
              <w:t>LGSHDP</w:t>
            </w:r>
            <w:r>
              <w:rPr>
                <w:color w:val="231F20"/>
                <w:spacing w:val="-26"/>
                <w:w w:val="85"/>
                <w:sz w:val="16"/>
              </w:rPr>
              <w:t xml:space="preserve"> </w:t>
            </w:r>
            <w:r>
              <w:rPr>
                <w:color w:val="231F20"/>
                <w:w w:val="85"/>
                <w:sz w:val="16"/>
              </w:rPr>
              <w:t>II</w:t>
            </w:r>
            <w:r>
              <w:rPr>
                <w:color w:val="231F20"/>
                <w:spacing w:val="-26"/>
                <w:w w:val="85"/>
                <w:sz w:val="16"/>
              </w:rPr>
              <w:t xml:space="preserve"> </w:t>
            </w:r>
            <w:r>
              <w:rPr>
                <w:color w:val="231F20"/>
                <w:w w:val="85"/>
                <w:sz w:val="16"/>
              </w:rPr>
              <w:t>with</w:t>
            </w:r>
            <w:r>
              <w:rPr>
                <w:color w:val="231F20"/>
                <w:spacing w:val="-25"/>
                <w:w w:val="85"/>
                <w:sz w:val="16"/>
              </w:rPr>
              <w:t xml:space="preserve"> </w:t>
            </w:r>
            <w:r>
              <w:rPr>
                <w:color w:val="231F20"/>
                <w:w w:val="85"/>
                <w:sz w:val="16"/>
              </w:rPr>
              <w:t>technical</w:t>
            </w:r>
            <w:r>
              <w:rPr>
                <w:color w:val="231F20"/>
                <w:spacing w:val="-26"/>
                <w:w w:val="85"/>
                <w:sz w:val="16"/>
              </w:rPr>
              <w:t xml:space="preserve"> </w:t>
            </w:r>
            <w:r>
              <w:rPr>
                <w:color w:val="231F20"/>
                <w:w w:val="85"/>
                <w:sz w:val="16"/>
              </w:rPr>
              <w:t>assistance</w:t>
            </w:r>
            <w:r>
              <w:rPr>
                <w:color w:val="231F20"/>
                <w:spacing w:val="-25"/>
                <w:w w:val="85"/>
                <w:sz w:val="16"/>
              </w:rPr>
              <w:t xml:space="preserve"> </w:t>
            </w:r>
            <w:r>
              <w:rPr>
                <w:color w:val="231F20"/>
                <w:w w:val="85"/>
                <w:sz w:val="16"/>
              </w:rPr>
              <w:t>from</w:t>
            </w:r>
            <w:r>
              <w:rPr>
                <w:color w:val="231F20"/>
                <w:spacing w:val="-26"/>
                <w:w w:val="85"/>
                <w:sz w:val="16"/>
              </w:rPr>
              <w:t xml:space="preserve"> </w:t>
            </w:r>
            <w:r>
              <w:rPr>
                <w:color w:val="231F20"/>
                <w:w w:val="85"/>
                <w:sz w:val="16"/>
              </w:rPr>
              <w:t>FMOH</w:t>
            </w:r>
          </w:p>
        </w:tc>
        <w:tc>
          <w:tcPr>
            <w:tcW w:w="1431" w:type="dxa"/>
            <w:tcBorders>
              <w:left w:val="single" w:sz="6" w:space="0" w:color="231F20"/>
            </w:tcBorders>
          </w:tcPr>
          <w:p w14:paraId="325670BD" w14:textId="77777777" w:rsidR="009948F1" w:rsidRDefault="00BC0563">
            <w:pPr>
              <w:pStyle w:val="TableParagraph"/>
              <w:spacing w:before="60" w:line="259" w:lineRule="auto"/>
              <w:ind w:left="23"/>
              <w:rPr>
                <w:sz w:val="16"/>
              </w:rPr>
            </w:pPr>
            <w:r>
              <w:rPr>
                <w:color w:val="231F20"/>
                <w:w w:val="85"/>
                <w:sz w:val="16"/>
              </w:rPr>
              <w:t xml:space="preserve">Lack of funds, </w:t>
            </w:r>
            <w:r>
              <w:rPr>
                <w:color w:val="231F20"/>
                <w:w w:val="75"/>
                <w:sz w:val="16"/>
              </w:rPr>
              <w:t xml:space="preserve">commitment, security &amp; </w:t>
            </w:r>
            <w:r>
              <w:rPr>
                <w:color w:val="231F20"/>
                <w:w w:val="85"/>
                <w:sz w:val="16"/>
              </w:rPr>
              <w:t>difficult terrain</w:t>
            </w:r>
          </w:p>
        </w:tc>
        <w:tc>
          <w:tcPr>
            <w:tcW w:w="1515" w:type="dxa"/>
          </w:tcPr>
          <w:p w14:paraId="392FD84E" w14:textId="77777777" w:rsidR="009948F1" w:rsidRDefault="009948F1">
            <w:pPr>
              <w:pStyle w:val="TableParagraph"/>
              <w:spacing w:before="9"/>
              <w:rPr>
                <w:b/>
                <w:sz w:val="13"/>
              </w:rPr>
            </w:pPr>
          </w:p>
          <w:p w14:paraId="7B89F369" w14:textId="77777777" w:rsidR="009948F1" w:rsidRDefault="00BC0563">
            <w:pPr>
              <w:pStyle w:val="TableParagraph"/>
              <w:spacing w:line="259" w:lineRule="auto"/>
              <w:ind w:left="21"/>
              <w:rPr>
                <w:sz w:val="16"/>
              </w:rPr>
            </w:pPr>
            <w:r>
              <w:rPr>
                <w:color w:val="231F20"/>
                <w:w w:val="75"/>
                <w:sz w:val="16"/>
              </w:rPr>
              <w:t xml:space="preserve">Organize LGSHDP II </w:t>
            </w:r>
            <w:r>
              <w:rPr>
                <w:color w:val="231F20"/>
                <w:w w:val="85"/>
                <w:sz w:val="16"/>
              </w:rPr>
              <w:t>workshop</w:t>
            </w:r>
          </w:p>
        </w:tc>
      </w:tr>
      <w:tr w:rsidR="009948F1" w14:paraId="77DBCC88" w14:textId="77777777">
        <w:trPr>
          <w:trHeight w:val="809"/>
        </w:trPr>
        <w:tc>
          <w:tcPr>
            <w:tcW w:w="1043" w:type="dxa"/>
            <w:gridSpan w:val="3"/>
            <w:vMerge/>
            <w:tcBorders>
              <w:top w:val="nil"/>
              <w:left w:val="single" w:sz="6" w:space="0" w:color="231F20"/>
              <w:right w:val="single" w:sz="6" w:space="0" w:color="231F20"/>
            </w:tcBorders>
          </w:tcPr>
          <w:p w14:paraId="5D2EFED2" w14:textId="77777777" w:rsidR="009948F1" w:rsidRDefault="009948F1">
            <w:pPr>
              <w:rPr>
                <w:sz w:val="2"/>
                <w:szCs w:val="2"/>
              </w:rPr>
            </w:pPr>
          </w:p>
        </w:tc>
        <w:tc>
          <w:tcPr>
            <w:tcW w:w="527" w:type="dxa"/>
            <w:tcBorders>
              <w:left w:val="single" w:sz="6" w:space="0" w:color="231F20"/>
              <w:right w:val="single" w:sz="6" w:space="0" w:color="231F20"/>
            </w:tcBorders>
          </w:tcPr>
          <w:p w14:paraId="6EF2967A" w14:textId="77777777" w:rsidR="009948F1" w:rsidRDefault="009948F1">
            <w:pPr>
              <w:pStyle w:val="TableParagraph"/>
              <w:rPr>
                <w:b/>
                <w:sz w:val="16"/>
              </w:rPr>
            </w:pPr>
          </w:p>
          <w:p w14:paraId="6B83BE81" w14:textId="77777777" w:rsidR="009948F1" w:rsidRDefault="00BC0563">
            <w:pPr>
              <w:pStyle w:val="TableParagraph"/>
              <w:spacing w:before="128"/>
              <w:ind w:left="24" w:right="8"/>
              <w:jc w:val="center"/>
              <w:rPr>
                <w:sz w:val="16"/>
              </w:rPr>
            </w:pPr>
            <w:r>
              <w:rPr>
                <w:color w:val="231F20"/>
                <w:w w:val="80"/>
                <w:sz w:val="16"/>
              </w:rPr>
              <w:t>1.1.2.c</w:t>
            </w:r>
          </w:p>
        </w:tc>
        <w:tc>
          <w:tcPr>
            <w:tcW w:w="4909" w:type="dxa"/>
            <w:gridSpan w:val="2"/>
            <w:tcBorders>
              <w:left w:val="single" w:sz="6" w:space="0" w:color="231F20"/>
              <w:right w:val="single" w:sz="6" w:space="0" w:color="231F20"/>
            </w:tcBorders>
          </w:tcPr>
          <w:p w14:paraId="38304231" w14:textId="77777777" w:rsidR="009948F1" w:rsidRDefault="009948F1">
            <w:pPr>
              <w:pStyle w:val="TableParagraph"/>
              <w:rPr>
                <w:b/>
                <w:sz w:val="16"/>
              </w:rPr>
            </w:pPr>
          </w:p>
          <w:p w14:paraId="2E6817DC" w14:textId="77777777" w:rsidR="009948F1" w:rsidRDefault="00BC0563">
            <w:pPr>
              <w:pStyle w:val="TableParagraph"/>
              <w:spacing w:before="121"/>
              <w:ind w:left="22"/>
              <w:rPr>
                <w:sz w:val="16"/>
              </w:rPr>
            </w:pPr>
            <w:r>
              <w:rPr>
                <w:color w:val="231F20"/>
                <w:w w:val="85"/>
                <w:sz w:val="16"/>
              </w:rPr>
              <w:t>Organize workshop to develop SMOH Operational Plan</w:t>
            </w:r>
          </w:p>
        </w:tc>
        <w:tc>
          <w:tcPr>
            <w:tcW w:w="1431" w:type="dxa"/>
            <w:tcBorders>
              <w:left w:val="single" w:sz="6" w:space="0" w:color="231F20"/>
            </w:tcBorders>
          </w:tcPr>
          <w:p w14:paraId="6A682664" w14:textId="77777777" w:rsidR="009948F1" w:rsidRDefault="009948F1">
            <w:pPr>
              <w:pStyle w:val="TableParagraph"/>
              <w:rPr>
                <w:b/>
                <w:sz w:val="16"/>
              </w:rPr>
            </w:pPr>
          </w:p>
          <w:p w14:paraId="3895B181" w14:textId="77777777" w:rsidR="009948F1" w:rsidRDefault="00BC0563">
            <w:pPr>
              <w:pStyle w:val="TableParagraph"/>
              <w:spacing w:before="128"/>
              <w:ind w:left="23"/>
              <w:rPr>
                <w:sz w:val="16"/>
              </w:rPr>
            </w:pPr>
            <w:r>
              <w:rPr>
                <w:color w:val="231F20"/>
                <w:w w:val="85"/>
                <w:sz w:val="16"/>
              </w:rPr>
              <w:t>Lack of funds</w:t>
            </w:r>
          </w:p>
        </w:tc>
        <w:tc>
          <w:tcPr>
            <w:tcW w:w="1515" w:type="dxa"/>
          </w:tcPr>
          <w:p w14:paraId="61C78045" w14:textId="77777777" w:rsidR="009948F1" w:rsidRDefault="009948F1">
            <w:pPr>
              <w:pStyle w:val="TableParagraph"/>
              <w:spacing w:before="6"/>
              <w:rPr>
                <w:b/>
                <w:sz w:val="18"/>
              </w:rPr>
            </w:pPr>
          </w:p>
          <w:p w14:paraId="3D90D22D" w14:textId="3A070BCD" w:rsidR="009948F1" w:rsidRDefault="00DA4239">
            <w:pPr>
              <w:pStyle w:val="TableParagraph"/>
              <w:spacing w:line="259" w:lineRule="auto"/>
              <w:ind w:left="21" w:right="13"/>
              <w:rPr>
                <w:sz w:val="16"/>
              </w:rPr>
            </w:pPr>
            <w:r>
              <w:rPr>
                <w:color w:val="231F20"/>
                <w:w w:val="85"/>
                <w:sz w:val="16"/>
              </w:rPr>
              <w:t>Organize</w:t>
            </w:r>
            <w:r w:rsidR="00BC0563">
              <w:rPr>
                <w:color w:val="231F20"/>
                <w:w w:val="85"/>
                <w:sz w:val="16"/>
              </w:rPr>
              <w:t xml:space="preserve"> SMOH </w:t>
            </w:r>
            <w:r w:rsidR="00BC0563">
              <w:rPr>
                <w:color w:val="231F20"/>
                <w:w w:val="75"/>
                <w:sz w:val="16"/>
              </w:rPr>
              <w:t>Operational Plan workshop</w:t>
            </w:r>
          </w:p>
        </w:tc>
      </w:tr>
      <w:tr w:rsidR="009948F1" w14:paraId="223895F1" w14:textId="77777777">
        <w:trPr>
          <w:trHeight w:val="515"/>
        </w:trPr>
        <w:tc>
          <w:tcPr>
            <w:tcW w:w="1043" w:type="dxa"/>
            <w:gridSpan w:val="3"/>
            <w:vMerge/>
            <w:tcBorders>
              <w:top w:val="nil"/>
              <w:left w:val="single" w:sz="6" w:space="0" w:color="231F20"/>
              <w:right w:val="single" w:sz="6" w:space="0" w:color="231F20"/>
            </w:tcBorders>
          </w:tcPr>
          <w:p w14:paraId="4642627C" w14:textId="77777777" w:rsidR="009948F1" w:rsidRDefault="009948F1">
            <w:pPr>
              <w:rPr>
                <w:sz w:val="2"/>
                <w:szCs w:val="2"/>
              </w:rPr>
            </w:pPr>
          </w:p>
        </w:tc>
        <w:tc>
          <w:tcPr>
            <w:tcW w:w="527" w:type="dxa"/>
            <w:tcBorders>
              <w:left w:val="single" w:sz="6" w:space="0" w:color="231F20"/>
              <w:right w:val="single" w:sz="6" w:space="0" w:color="231F20"/>
            </w:tcBorders>
          </w:tcPr>
          <w:p w14:paraId="7BC90A3B" w14:textId="77777777" w:rsidR="009948F1" w:rsidRDefault="009948F1">
            <w:pPr>
              <w:pStyle w:val="TableParagraph"/>
              <w:spacing w:before="4"/>
              <w:rPr>
                <w:b/>
                <w:sz w:val="14"/>
              </w:rPr>
            </w:pPr>
          </w:p>
          <w:p w14:paraId="6A9A7BCE" w14:textId="77777777" w:rsidR="009948F1" w:rsidRDefault="00BC0563">
            <w:pPr>
              <w:pStyle w:val="TableParagraph"/>
              <w:ind w:left="23" w:right="8"/>
              <w:jc w:val="center"/>
              <w:rPr>
                <w:sz w:val="16"/>
              </w:rPr>
            </w:pPr>
            <w:r>
              <w:rPr>
                <w:color w:val="231F20"/>
                <w:w w:val="80"/>
                <w:sz w:val="16"/>
              </w:rPr>
              <w:t>1.1.2.d</w:t>
            </w:r>
          </w:p>
        </w:tc>
        <w:tc>
          <w:tcPr>
            <w:tcW w:w="4909" w:type="dxa"/>
            <w:gridSpan w:val="2"/>
            <w:tcBorders>
              <w:left w:val="single" w:sz="6" w:space="0" w:color="231F20"/>
              <w:right w:val="single" w:sz="6" w:space="0" w:color="231F20"/>
            </w:tcBorders>
          </w:tcPr>
          <w:p w14:paraId="438C9023" w14:textId="77777777" w:rsidR="009948F1" w:rsidRDefault="009948F1">
            <w:pPr>
              <w:pStyle w:val="TableParagraph"/>
              <w:spacing w:before="9"/>
              <w:rPr>
                <w:b/>
                <w:sz w:val="13"/>
              </w:rPr>
            </w:pPr>
          </w:p>
          <w:p w14:paraId="028263B0" w14:textId="77777777" w:rsidR="009948F1" w:rsidRDefault="00BC0563">
            <w:pPr>
              <w:pStyle w:val="TableParagraph"/>
              <w:ind w:left="22"/>
              <w:rPr>
                <w:sz w:val="16"/>
              </w:rPr>
            </w:pPr>
            <w:r>
              <w:rPr>
                <w:color w:val="231F20"/>
                <w:w w:val="85"/>
                <w:sz w:val="16"/>
              </w:rPr>
              <w:t>Organize workshop to develop PHC Operational Plan</w:t>
            </w:r>
          </w:p>
        </w:tc>
        <w:tc>
          <w:tcPr>
            <w:tcW w:w="1431" w:type="dxa"/>
            <w:tcBorders>
              <w:left w:val="single" w:sz="6" w:space="0" w:color="231F20"/>
            </w:tcBorders>
          </w:tcPr>
          <w:p w14:paraId="5F3709AA" w14:textId="77777777" w:rsidR="009948F1" w:rsidRDefault="009948F1">
            <w:pPr>
              <w:pStyle w:val="TableParagraph"/>
              <w:spacing w:before="4"/>
              <w:rPr>
                <w:b/>
                <w:sz w:val="14"/>
              </w:rPr>
            </w:pPr>
          </w:p>
          <w:p w14:paraId="5D7A9779" w14:textId="77777777" w:rsidR="009948F1" w:rsidRDefault="00BC0563">
            <w:pPr>
              <w:pStyle w:val="TableParagraph"/>
              <w:ind w:left="23"/>
              <w:rPr>
                <w:sz w:val="16"/>
              </w:rPr>
            </w:pPr>
            <w:r>
              <w:rPr>
                <w:color w:val="231F20"/>
                <w:w w:val="85"/>
                <w:sz w:val="16"/>
              </w:rPr>
              <w:t>Lack of funds</w:t>
            </w:r>
          </w:p>
        </w:tc>
        <w:tc>
          <w:tcPr>
            <w:tcW w:w="1515" w:type="dxa"/>
          </w:tcPr>
          <w:p w14:paraId="4311F032" w14:textId="675C9176" w:rsidR="009948F1" w:rsidRDefault="00DA4239">
            <w:pPr>
              <w:pStyle w:val="TableParagraph"/>
              <w:spacing w:before="67" w:line="259" w:lineRule="auto"/>
              <w:ind w:left="21"/>
              <w:rPr>
                <w:sz w:val="16"/>
              </w:rPr>
            </w:pPr>
            <w:r>
              <w:rPr>
                <w:color w:val="231F20"/>
                <w:w w:val="75"/>
                <w:sz w:val="16"/>
              </w:rPr>
              <w:t>Organize</w:t>
            </w:r>
            <w:r w:rsidR="00BC0563">
              <w:rPr>
                <w:color w:val="231F20"/>
                <w:w w:val="75"/>
                <w:sz w:val="16"/>
              </w:rPr>
              <w:t xml:space="preserve"> PHC Operational </w:t>
            </w:r>
            <w:r w:rsidR="00BC0563">
              <w:rPr>
                <w:color w:val="231F20"/>
                <w:w w:val="85"/>
                <w:sz w:val="16"/>
              </w:rPr>
              <w:t>Plan workshop</w:t>
            </w:r>
          </w:p>
        </w:tc>
      </w:tr>
      <w:tr w:rsidR="009948F1" w14:paraId="4CE25E50" w14:textId="77777777">
        <w:trPr>
          <w:trHeight w:val="484"/>
        </w:trPr>
        <w:tc>
          <w:tcPr>
            <w:tcW w:w="1043" w:type="dxa"/>
            <w:gridSpan w:val="3"/>
            <w:vMerge/>
            <w:tcBorders>
              <w:top w:val="nil"/>
              <w:left w:val="single" w:sz="6" w:space="0" w:color="231F20"/>
              <w:right w:val="single" w:sz="6" w:space="0" w:color="231F20"/>
            </w:tcBorders>
          </w:tcPr>
          <w:p w14:paraId="6FDD07FA" w14:textId="77777777" w:rsidR="009948F1" w:rsidRDefault="009948F1">
            <w:pPr>
              <w:rPr>
                <w:sz w:val="2"/>
                <w:szCs w:val="2"/>
              </w:rPr>
            </w:pPr>
          </w:p>
        </w:tc>
        <w:tc>
          <w:tcPr>
            <w:tcW w:w="527" w:type="dxa"/>
            <w:tcBorders>
              <w:left w:val="single" w:sz="6" w:space="0" w:color="231F20"/>
              <w:bottom w:val="single" w:sz="12" w:space="0" w:color="231F20"/>
              <w:right w:val="single" w:sz="6" w:space="0" w:color="231F20"/>
            </w:tcBorders>
          </w:tcPr>
          <w:p w14:paraId="0D880253" w14:textId="77777777" w:rsidR="009948F1" w:rsidRDefault="009948F1">
            <w:pPr>
              <w:pStyle w:val="TableParagraph"/>
              <w:spacing w:before="1"/>
              <w:rPr>
                <w:b/>
                <w:sz w:val="13"/>
              </w:rPr>
            </w:pPr>
          </w:p>
          <w:p w14:paraId="35CDF169" w14:textId="77777777" w:rsidR="009948F1" w:rsidRDefault="00BC0563">
            <w:pPr>
              <w:pStyle w:val="TableParagraph"/>
              <w:ind w:left="23" w:right="8"/>
              <w:jc w:val="center"/>
              <w:rPr>
                <w:sz w:val="16"/>
              </w:rPr>
            </w:pPr>
            <w:r>
              <w:rPr>
                <w:color w:val="231F20"/>
                <w:w w:val="80"/>
                <w:sz w:val="16"/>
              </w:rPr>
              <w:t>1.1.2.e</w:t>
            </w:r>
          </w:p>
        </w:tc>
        <w:tc>
          <w:tcPr>
            <w:tcW w:w="4909" w:type="dxa"/>
            <w:gridSpan w:val="2"/>
            <w:tcBorders>
              <w:left w:val="single" w:sz="6" w:space="0" w:color="231F20"/>
              <w:bottom w:val="single" w:sz="12" w:space="0" w:color="231F20"/>
              <w:right w:val="single" w:sz="6" w:space="0" w:color="231F20"/>
            </w:tcBorders>
          </w:tcPr>
          <w:p w14:paraId="38B31905" w14:textId="77777777" w:rsidR="009948F1" w:rsidRDefault="009948F1">
            <w:pPr>
              <w:pStyle w:val="TableParagraph"/>
              <w:spacing w:before="6"/>
              <w:rPr>
                <w:b/>
                <w:sz w:val="12"/>
              </w:rPr>
            </w:pPr>
          </w:p>
          <w:p w14:paraId="49D3A06B" w14:textId="77777777" w:rsidR="009948F1" w:rsidRDefault="00BC0563">
            <w:pPr>
              <w:pStyle w:val="TableParagraph"/>
              <w:ind w:left="22"/>
              <w:rPr>
                <w:sz w:val="16"/>
              </w:rPr>
            </w:pPr>
            <w:r>
              <w:rPr>
                <w:color w:val="231F20"/>
                <w:w w:val="80"/>
                <w:sz w:val="16"/>
              </w:rPr>
              <w:t>Develop Mid Term Sector Strategy (MTSS) and support MTEF from the strategic plan</w:t>
            </w:r>
          </w:p>
        </w:tc>
        <w:tc>
          <w:tcPr>
            <w:tcW w:w="1431" w:type="dxa"/>
            <w:tcBorders>
              <w:left w:val="single" w:sz="6" w:space="0" w:color="231F20"/>
              <w:bottom w:val="single" w:sz="12" w:space="0" w:color="231F20"/>
            </w:tcBorders>
          </w:tcPr>
          <w:p w14:paraId="56BE0D46" w14:textId="77777777" w:rsidR="009948F1" w:rsidRDefault="009948F1">
            <w:pPr>
              <w:pStyle w:val="TableParagraph"/>
              <w:spacing w:before="1"/>
              <w:rPr>
                <w:b/>
                <w:sz w:val="13"/>
              </w:rPr>
            </w:pPr>
          </w:p>
          <w:p w14:paraId="54101F8E" w14:textId="77777777" w:rsidR="009948F1" w:rsidRDefault="00BC0563">
            <w:pPr>
              <w:pStyle w:val="TableParagraph"/>
              <w:ind w:left="23"/>
              <w:rPr>
                <w:sz w:val="16"/>
              </w:rPr>
            </w:pPr>
            <w:r>
              <w:rPr>
                <w:color w:val="231F20"/>
                <w:w w:val="85"/>
                <w:sz w:val="16"/>
              </w:rPr>
              <w:t>Lack of funds</w:t>
            </w:r>
          </w:p>
        </w:tc>
        <w:tc>
          <w:tcPr>
            <w:tcW w:w="1515" w:type="dxa"/>
            <w:tcBorders>
              <w:bottom w:val="single" w:sz="12" w:space="0" w:color="231F20"/>
            </w:tcBorders>
          </w:tcPr>
          <w:p w14:paraId="09975E5C" w14:textId="77777777" w:rsidR="009948F1" w:rsidRDefault="009948F1">
            <w:pPr>
              <w:pStyle w:val="TableParagraph"/>
              <w:spacing w:before="1"/>
              <w:rPr>
                <w:b/>
                <w:sz w:val="13"/>
              </w:rPr>
            </w:pPr>
          </w:p>
          <w:p w14:paraId="0F0BA5C0" w14:textId="2B5DF019" w:rsidR="009948F1" w:rsidRDefault="00DA4239">
            <w:pPr>
              <w:pStyle w:val="TableParagraph"/>
              <w:ind w:left="21"/>
              <w:rPr>
                <w:sz w:val="16"/>
              </w:rPr>
            </w:pPr>
            <w:r>
              <w:rPr>
                <w:color w:val="231F20"/>
                <w:w w:val="80"/>
                <w:sz w:val="16"/>
              </w:rPr>
              <w:t>Organize</w:t>
            </w:r>
            <w:r w:rsidR="00BC0563">
              <w:rPr>
                <w:color w:val="231F20"/>
                <w:spacing w:val="-25"/>
                <w:w w:val="80"/>
                <w:sz w:val="16"/>
              </w:rPr>
              <w:t xml:space="preserve"> </w:t>
            </w:r>
            <w:r w:rsidR="00BC0563">
              <w:rPr>
                <w:color w:val="231F20"/>
                <w:w w:val="80"/>
                <w:sz w:val="16"/>
              </w:rPr>
              <w:t>MTSS</w:t>
            </w:r>
            <w:r w:rsidR="00BC0563">
              <w:rPr>
                <w:color w:val="231F20"/>
                <w:spacing w:val="-25"/>
                <w:w w:val="80"/>
                <w:sz w:val="16"/>
              </w:rPr>
              <w:t xml:space="preserve"> </w:t>
            </w:r>
            <w:r w:rsidR="00BC0563">
              <w:rPr>
                <w:color w:val="231F20"/>
                <w:w w:val="80"/>
                <w:sz w:val="16"/>
              </w:rPr>
              <w:t>workshop</w:t>
            </w:r>
          </w:p>
        </w:tc>
      </w:tr>
    </w:tbl>
    <w:p w14:paraId="2348F94F" w14:textId="77777777" w:rsidR="009948F1" w:rsidRDefault="009948F1">
      <w:pPr>
        <w:rPr>
          <w:sz w:val="16"/>
        </w:rPr>
        <w:sectPr w:rsidR="009948F1">
          <w:pgSz w:w="11910" w:h="16840"/>
          <w:pgMar w:top="1240" w:right="1080" w:bottom="1420" w:left="1120" w:header="0" w:footer="1155" w:gutter="0"/>
          <w:cols w:space="720"/>
        </w:sectPr>
      </w:pPr>
    </w:p>
    <w:tbl>
      <w:tblPr>
        <w:tblW w:w="0" w:type="auto"/>
        <w:tblInd w:w="1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0"/>
        <w:gridCol w:w="409"/>
        <w:gridCol w:w="458"/>
        <w:gridCol w:w="530"/>
        <w:gridCol w:w="2527"/>
        <w:gridCol w:w="2399"/>
        <w:gridCol w:w="1437"/>
        <w:gridCol w:w="1514"/>
      </w:tblGrid>
      <w:tr w:rsidR="009948F1" w14:paraId="1A7D2F5B" w14:textId="77777777">
        <w:trPr>
          <w:trHeight w:val="433"/>
        </w:trPr>
        <w:tc>
          <w:tcPr>
            <w:tcW w:w="130" w:type="dxa"/>
            <w:tcBorders>
              <w:left w:val="single" w:sz="6" w:space="0" w:color="231F20"/>
              <w:bottom w:val="nil"/>
              <w:right w:val="single" w:sz="6" w:space="0" w:color="231F20"/>
            </w:tcBorders>
          </w:tcPr>
          <w:p w14:paraId="419101CC" w14:textId="77777777" w:rsidR="009948F1" w:rsidRDefault="009948F1">
            <w:pPr>
              <w:pStyle w:val="TableParagraph"/>
              <w:rPr>
                <w:rFonts w:ascii="Times New Roman"/>
                <w:sz w:val="10"/>
              </w:rPr>
            </w:pPr>
          </w:p>
        </w:tc>
        <w:tc>
          <w:tcPr>
            <w:tcW w:w="409" w:type="dxa"/>
            <w:tcBorders>
              <w:top w:val="single" w:sz="12" w:space="0" w:color="231F20"/>
              <w:left w:val="single" w:sz="6" w:space="0" w:color="231F20"/>
              <w:right w:val="single" w:sz="6" w:space="0" w:color="231F20"/>
            </w:tcBorders>
            <w:shd w:val="clear" w:color="auto" w:fill="FFF200"/>
          </w:tcPr>
          <w:p w14:paraId="72FECE7E" w14:textId="77777777" w:rsidR="009948F1" w:rsidRDefault="00BC0563">
            <w:pPr>
              <w:pStyle w:val="TableParagraph"/>
              <w:spacing w:before="112"/>
              <w:ind w:left="188"/>
              <w:rPr>
                <w:b/>
                <w:sz w:val="18"/>
              </w:rPr>
            </w:pPr>
            <w:bookmarkStart w:id="147" w:name="Page_121"/>
            <w:bookmarkEnd w:id="147"/>
            <w:r>
              <w:rPr>
                <w:b/>
                <w:color w:val="231F20"/>
                <w:w w:val="75"/>
                <w:sz w:val="18"/>
              </w:rPr>
              <w:t>1.2</w:t>
            </w:r>
          </w:p>
        </w:tc>
        <w:tc>
          <w:tcPr>
            <w:tcW w:w="7351" w:type="dxa"/>
            <w:gridSpan w:val="5"/>
            <w:tcBorders>
              <w:top w:val="single" w:sz="12" w:space="0" w:color="231F20"/>
              <w:left w:val="single" w:sz="6" w:space="0" w:color="231F20"/>
            </w:tcBorders>
            <w:shd w:val="clear" w:color="auto" w:fill="FFF200"/>
          </w:tcPr>
          <w:p w14:paraId="34449A61" w14:textId="77777777" w:rsidR="009948F1" w:rsidRDefault="00BC0563">
            <w:pPr>
              <w:pStyle w:val="TableParagraph"/>
              <w:spacing w:before="105"/>
              <w:ind w:left="54"/>
              <w:rPr>
                <w:b/>
                <w:sz w:val="18"/>
              </w:rPr>
            </w:pPr>
            <w:r>
              <w:rPr>
                <w:b/>
                <w:color w:val="231F20"/>
                <w:w w:val="75"/>
                <w:sz w:val="18"/>
              </w:rPr>
              <w:t>Strengthen transparency and accountability in planning, budgeting and procurement process</w:t>
            </w:r>
          </w:p>
        </w:tc>
        <w:tc>
          <w:tcPr>
            <w:tcW w:w="1514" w:type="dxa"/>
            <w:tcBorders>
              <w:right w:val="single" w:sz="6" w:space="0" w:color="231F20"/>
            </w:tcBorders>
            <w:shd w:val="clear" w:color="auto" w:fill="FFF200"/>
          </w:tcPr>
          <w:p w14:paraId="46E35693" w14:textId="77777777" w:rsidR="009948F1" w:rsidRDefault="009948F1">
            <w:pPr>
              <w:pStyle w:val="TableParagraph"/>
              <w:rPr>
                <w:rFonts w:ascii="Times New Roman"/>
                <w:sz w:val="10"/>
              </w:rPr>
            </w:pPr>
          </w:p>
        </w:tc>
      </w:tr>
      <w:tr w:rsidR="009948F1" w14:paraId="20C19622" w14:textId="77777777">
        <w:trPr>
          <w:trHeight w:val="1560"/>
        </w:trPr>
        <w:tc>
          <w:tcPr>
            <w:tcW w:w="539" w:type="dxa"/>
            <w:gridSpan w:val="2"/>
            <w:tcBorders>
              <w:top w:val="nil"/>
              <w:left w:val="single" w:sz="6" w:space="0" w:color="231F20"/>
              <w:bottom w:val="nil"/>
              <w:right w:val="single" w:sz="6" w:space="0" w:color="231F20"/>
            </w:tcBorders>
          </w:tcPr>
          <w:p w14:paraId="4F8E6364" w14:textId="77777777" w:rsidR="009948F1" w:rsidRDefault="009948F1">
            <w:pPr>
              <w:pStyle w:val="TableParagraph"/>
              <w:rPr>
                <w:rFonts w:ascii="Times New Roman"/>
                <w:sz w:val="10"/>
              </w:rPr>
            </w:pPr>
          </w:p>
        </w:tc>
        <w:tc>
          <w:tcPr>
            <w:tcW w:w="458" w:type="dxa"/>
            <w:tcBorders>
              <w:left w:val="single" w:sz="6" w:space="0" w:color="231F20"/>
              <w:right w:val="single" w:sz="6" w:space="0" w:color="231F20"/>
            </w:tcBorders>
            <w:shd w:val="clear" w:color="auto" w:fill="CCE7D3"/>
          </w:tcPr>
          <w:p w14:paraId="2487C90C" w14:textId="77777777" w:rsidR="009948F1" w:rsidRDefault="009948F1">
            <w:pPr>
              <w:pStyle w:val="TableParagraph"/>
              <w:rPr>
                <w:b/>
                <w:sz w:val="18"/>
              </w:rPr>
            </w:pPr>
          </w:p>
          <w:p w14:paraId="0838A369" w14:textId="77777777" w:rsidR="009948F1" w:rsidRDefault="009948F1">
            <w:pPr>
              <w:pStyle w:val="TableParagraph"/>
              <w:rPr>
                <w:b/>
                <w:sz w:val="18"/>
              </w:rPr>
            </w:pPr>
          </w:p>
          <w:p w14:paraId="7FE1A2A5" w14:textId="77777777" w:rsidR="009948F1" w:rsidRDefault="009948F1">
            <w:pPr>
              <w:pStyle w:val="TableParagraph"/>
              <w:spacing w:before="6"/>
              <w:rPr>
                <w:b/>
              </w:rPr>
            </w:pPr>
          </w:p>
          <w:p w14:paraId="0E299A4B" w14:textId="77777777" w:rsidR="009948F1" w:rsidRDefault="00BC0563">
            <w:pPr>
              <w:pStyle w:val="TableParagraph"/>
              <w:spacing w:before="1"/>
              <w:ind w:left="54"/>
              <w:rPr>
                <w:sz w:val="18"/>
              </w:rPr>
            </w:pPr>
            <w:r>
              <w:rPr>
                <w:color w:val="231F20"/>
                <w:w w:val="75"/>
                <w:sz w:val="18"/>
              </w:rPr>
              <w:t>1.2.1</w:t>
            </w:r>
          </w:p>
        </w:tc>
        <w:tc>
          <w:tcPr>
            <w:tcW w:w="3057" w:type="dxa"/>
            <w:gridSpan w:val="2"/>
            <w:tcBorders>
              <w:left w:val="single" w:sz="6" w:space="0" w:color="231F20"/>
              <w:right w:val="single" w:sz="6" w:space="0" w:color="231F20"/>
            </w:tcBorders>
            <w:shd w:val="clear" w:color="auto" w:fill="CCE7D3"/>
          </w:tcPr>
          <w:p w14:paraId="6D10D695" w14:textId="77777777" w:rsidR="009948F1" w:rsidRDefault="009948F1">
            <w:pPr>
              <w:pStyle w:val="TableParagraph"/>
              <w:rPr>
                <w:b/>
                <w:sz w:val="18"/>
              </w:rPr>
            </w:pPr>
          </w:p>
          <w:p w14:paraId="3A04F9D5" w14:textId="77777777" w:rsidR="009948F1" w:rsidRDefault="009948F1">
            <w:pPr>
              <w:pStyle w:val="TableParagraph"/>
              <w:spacing w:before="9"/>
              <w:rPr>
                <w:b/>
                <w:sz w:val="20"/>
              </w:rPr>
            </w:pPr>
          </w:p>
          <w:p w14:paraId="6BF122D7" w14:textId="77777777" w:rsidR="009948F1" w:rsidRDefault="00BC0563">
            <w:pPr>
              <w:pStyle w:val="TableParagraph"/>
              <w:spacing w:line="254" w:lineRule="auto"/>
              <w:ind w:left="21" w:right="53" w:firstLine="33"/>
              <w:rPr>
                <w:sz w:val="18"/>
              </w:rPr>
            </w:pPr>
            <w:r>
              <w:rPr>
                <w:color w:val="231F20"/>
                <w:w w:val="75"/>
                <w:sz w:val="18"/>
              </w:rPr>
              <w:t xml:space="preserve">Strengthen Public Finance Management system </w:t>
            </w:r>
            <w:r>
              <w:rPr>
                <w:color w:val="231F20"/>
                <w:w w:val="65"/>
                <w:sz w:val="18"/>
              </w:rPr>
              <w:t xml:space="preserve">including oversight in Fund disbursement and utilization </w:t>
            </w:r>
            <w:r>
              <w:rPr>
                <w:color w:val="231F20"/>
                <w:w w:val="75"/>
                <w:sz w:val="18"/>
              </w:rPr>
              <w:t>at all levels</w:t>
            </w:r>
          </w:p>
        </w:tc>
        <w:tc>
          <w:tcPr>
            <w:tcW w:w="2399" w:type="dxa"/>
            <w:tcBorders>
              <w:left w:val="single" w:sz="6" w:space="0" w:color="231F20"/>
              <w:right w:val="single" w:sz="6" w:space="0" w:color="231F20"/>
            </w:tcBorders>
            <w:shd w:val="clear" w:color="auto" w:fill="CCE7D3"/>
          </w:tcPr>
          <w:p w14:paraId="1CD2705E" w14:textId="77777777" w:rsidR="009948F1" w:rsidRDefault="00BC0563">
            <w:pPr>
              <w:pStyle w:val="TableParagraph"/>
              <w:numPr>
                <w:ilvl w:val="0"/>
                <w:numId w:val="241"/>
              </w:numPr>
              <w:tabs>
                <w:tab w:val="left" w:pos="89"/>
              </w:tabs>
              <w:spacing w:line="254" w:lineRule="auto"/>
              <w:ind w:right="171" w:firstLine="0"/>
              <w:rPr>
                <w:sz w:val="18"/>
              </w:rPr>
            </w:pPr>
            <w:r>
              <w:rPr>
                <w:color w:val="231F20"/>
                <w:w w:val="70"/>
                <w:sz w:val="18"/>
              </w:rPr>
              <w:t>At</w:t>
            </w:r>
            <w:r>
              <w:rPr>
                <w:color w:val="231F20"/>
                <w:spacing w:val="-18"/>
                <w:w w:val="70"/>
                <w:sz w:val="18"/>
              </w:rPr>
              <w:t xml:space="preserve"> </w:t>
            </w:r>
            <w:r>
              <w:rPr>
                <w:color w:val="231F20"/>
                <w:w w:val="70"/>
                <w:sz w:val="18"/>
              </w:rPr>
              <w:t>least</w:t>
            </w:r>
            <w:r>
              <w:rPr>
                <w:color w:val="231F20"/>
                <w:spacing w:val="-18"/>
                <w:w w:val="70"/>
                <w:sz w:val="18"/>
              </w:rPr>
              <w:t xml:space="preserve"> </w:t>
            </w:r>
            <w:r>
              <w:rPr>
                <w:color w:val="231F20"/>
                <w:w w:val="70"/>
                <w:sz w:val="18"/>
              </w:rPr>
              <w:t>10</w:t>
            </w:r>
            <w:r>
              <w:rPr>
                <w:color w:val="231F20"/>
                <w:spacing w:val="-18"/>
                <w:w w:val="70"/>
                <w:sz w:val="18"/>
              </w:rPr>
              <w:t xml:space="preserve"> </w:t>
            </w:r>
            <w:r>
              <w:rPr>
                <w:color w:val="231F20"/>
                <w:w w:val="70"/>
                <w:sz w:val="18"/>
              </w:rPr>
              <w:t>staff</w:t>
            </w:r>
            <w:r>
              <w:rPr>
                <w:color w:val="231F20"/>
                <w:spacing w:val="-18"/>
                <w:w w:val="70"/>
                <w:sz w:val="18"/>
              </w:rPr>
              <w:t xml:space="preserve"> </w:t>
            </w:r>
            <w:r>
              <w:rPr>
                <w:color w:val="231F20"/>
                <w:w w:val="70"/>
                <w:sz w:val="18"/>
              </w:rPr>
              <w:t>trained</w:t>
            </w:r>
            <w:r>
              <w:rPr>
                <w:color w:val="231F20"/>
                <w:spacing w:val="-18"/>
                <w:w w:val="70"/>
                <w:sz w:val="18"/>
              </w:rPr>
              <w:t xml:space="preserve"> </w:t>
            </w:r>
            <w:r>
              <w:rPr>
                <w:color w:val="231F20"/>
                <w:w w:val="70"/>
                <w:sz w:val="18"/>
              </w:rPr>
              <w:t>on</w:t>
            </w:r>
            <w:r>
              <w:rPr>
                <w:color w:val="231F20"/>
                <w:spacing w:val="-18"/>
                <w:w w:val="70"/>
                <w:sz w:val="18"/>
              </w:rPr>
              <w:t xml:space="preserve"> </w:t>
            </w:r>
            <w:r>
              <w:rPr>
                <w:color w:val="231F20"/>
                <w:w w:val="70"/>
                <w:sz w:val="18"/>
              </w:rPr>
              <w:t>fiscal</w:t>
            </w:r>
            <w:r>
              <w:rPr>
                <w:color w:val="231F20"/>
                <w:spacing w:val="-18"/>
                <w:w w:val="70"/>
                <w:sz w:val="18"/>
              </w:rPr>
              <w:t xml:space="preserve"> </w:t>
            </w:r>
            <w:r>
              <w:rPr>
                <w:color w:val="231F20"/>
                <w:w w:val="70"/>
                <w:sz w:val="18"/>
              </w:rPr>
              <w:t xml:space="preserve">policies </w:t>
            </w:r>
            <w:r>
              <w:rPr>
                <w:color w:val="231F20"/>
                <w:w w:val="75"/>
                <w:sz w:val="18"/>
              </w:rPr>
              <w:t>and</w:t>
            </w:r>
            <w:r>
              <w:rPr>
                <w:color w:val="231F20"/>
                <w:spacing w:val="-18"/>
                <w:w w:val="75"/>
                <w:sz w:val="18"/>
              </w:rPr>
              <w:t xml:space="preserve"> </w:t>
            </w:r>
            <w:r>
              <w:rPr>
                <w:color w:val="231F20"/>
                <w:w w:val="75"/>
                <w:sz w:val="18"/>
              </w:rPr>
              <w:t>public</w:t>
            </w:r>
            <w:r>
              <w:rPr>
                <w:color w:val="231F20"/>
                <w:spacing w:val="-17"/>
                <w:w w:val="75"/>
                <w:sz w:val="18"/>
              </w:rPr>
              <w:t xml:space="preserve"> </w:t>
            </w:r>
            <w:r>
              <w:rPr>
                <w:color w:val="231F20"/>
                <w:w w:val="75"/>
                <w:sz w:val="18"/>
              </w:rPr>
              <w:t>financial</w:t>
            </w:r>
            <w:r>
              <w:rPr>
                <w:color w:val="231F20"/>
                <w:spacing w:val="-18"/>
                <w:w w:val="75"/>
                <w:sz w:val="18"/>
              </w:rPr>
              <w:t xml:space="preserve"> </w:t>
            </w:r>
            <w:r>
              <w:rPr>
                <w:color w:val="231F20"/>
                <w:w w:val="75"/>
                <w:sz w:val="18"/>
              </w:rPr>
              <w:t>management</w:t>
            </w:r>
          </w:p>
          <w:p w14:paraId="502D8D1B" w14:textId="231DAC80" w:rsidR="009948F1" w:rsidRDefault="00BC0563">
            <w:pPr>
              <w:pStyle w:val="TableParagraph"/>
              <w:numPr>
                <w:ilvl w:val="0"/>
                <w:numId w:val="241"/>
              </w:numPr>
              <w:tabs>
                <w:tab w:val="left" w:pos="95"/>
              </w:tabs>
              <w:spacing w:line="254" w:lineRule="auto"/>
              <w:ind w:right="178" w:firstLine="0"/>
              <w:rPr>
                <w:sz w:val="18"/>
              </w:rPr>
            </w:pPr>
            <w:r>
              <w:rPr>
                <w:color w:val="231F20"/>
                <w:w w:val="75"/>
                <w:sz w:val="18"/>
              </w:rPr>
              <w:t xml:space="preserve">Guidelines and regulations on </w:t>
            </w:r>
            <w:r>
              <w:rPr>
                <w:color w:val="231F20"/>
                <w:w w:val="65"/>
                <w:sz w:val="18"/>
              </w:rPr>
              <w:t xml:space="preserve">procurement for medicines, </w:t>
            </w:r>
            <w:r>
              <w:rPr>
                <w:color w:val="231F20"/>
                <w:spacing w:val="-3"/>
                <w:w w:val="65"/>
                <w:sz w:val="18"/>
              </w:rPr>
              <w:t xml:space="preserve">consumables </w:t>
            </w:r>
            <w:r>
              <w:rPr>
                <w:color w:val="231F20"/>
                <w:w w:val="75"/>
                <w:sz w:val="18"/>
              </w:rPr>
              <w:t>and</w:t>
            </w:r>
            <w:r>
              <w:rPr>
                <w:color w:val="231F20"/>
                <w:spacing w:val="-23"/>
                <w:w w:val="75"/>
                <w:sz w:val="18"/>
              </w:rPr>
              <w:t xml:space="preserve"> </w:t>
            </w:r>
            <w:r>
              <w:rPr>
                <w:color w:val="231F20"/>
                <w:w w:val="75"/>
                <w:sz w:val="18"/>
              </w:rPr>
              <w:t>other</w:t>
            </w:r>
            <w:r>
              <w:rPr>
                <w:color w:val="231F20"/>
                <w:spacing w:val="-23"/>
                <w:w w:val="75"/>
                <w:sz w:val="18"/>
              </w:rPr>
              <w:t xml:space="preserve"> </w:t>
            </w:r>
            <w:r w:rsidR="00C84576">
              <w:rPr>
                <w:color w:val="231F20"/>
                <w:w w:val="75"/>
                <w:sz w:val="18"/>
              </w:rPr>
              <w:t>commodities</w:t>
            </w:r>
            <w:r>
              <w:rPr>
                <w:color w:val="231F20"/>
                <w:spacing w:val="-23"/>
                <w:w w:val="75"/>
                <w:sz w:val="18"/>
              </w:rPr>
              <w:t xml:space="preserve"> </w:t>
            </w:r>
            <w:r>
              <w:rPr>
                <w:color w:val="231F20"/>
                <w:w w:val="75"/>
                <w:sz w:val="18"/>
              </w:rPr>
              <w:t>implemented</w:t>
            </w:r>
          </w:p>
          <w:p w14:paraId="7E8B1F2B" w14:textId="77777777" w:rsidR="009948F1" w:rsidRDefault="00BC0563">
            <w:pPr>
              <w:pStyle w:val="TableParagraph"/>
              <w:numPr>
                <w:ilvl w:val="0"/>
                <w:numId w:val="241"/>
              </w:numPr>
              <w:tabs>
                <w:tab w:val="left" w:pos="95"/>
              </w:tabs>
              <w:spacing w:line="254" w:lineRule="auto"/>
              <w:ind w:right="401" w:firstLine="0"/>
              <w:rPr>
                <w:sz w:val="18"/>
              </w:rPr>
            </w:pPr>
            <w:r>
              <w:rPr>
                <w:color w:val="231F20"/>
                <w:w w:val="65"/>
                <w:sz w:val="18"/>
              </w:rPr>
              <w:t xml:space="preserve">Disbursements and funds utilization </w:t>
            </w:r>
            <w:r>
              <w:rPr>
                <w:color w:val="231F20"/>
                <w:w w:val="75"/>
                <w:sz w:val="18"/>
              </w:rPr>
              <w:t>monitored</w:t>
            </w:r>
          </w:p>
        </w:tc>
        <w:tc>
          <w:tcPr>
            <w:tcW w:w="1437" w:type="dxa"/>
            <w:tcBorders>
              <w:left w:val="single" w:sz="6" w:space="0" w:color="231F20"/>
            </w:tcBorders>
            <w:shd w:val="clear" w:color="auto" w:fill="CCE7D3"/>
          </w:tcPr>
          <w:p w14:paraId="3A37B712" w14:textId="77777777" w:rsidR="009948F1" w:rsidRDefault="009948F1">
            <w:pPr>
              <w:pStyle w:val="TableParagraph"/>
              <w:rPr>
                <w:rFonts w:ascii="Times New Roman"/>
                <w:sz w:val="10"/>
              </w:rPr>
            </w:pPr>
          </w:p>
        </w:tc>
        <w:tc>
          <w:tcPr>
            <w:tcW w:w="1514" w:type="dxa"/>
            <w:tcBorders>
              <w:right w:val="single" w:sz="6" w:space="0" w:color="231F20"/>
            </w:tcBorders>
            <w:shd w:val="clear" w:color="auto" w:fill="CCE7D3"/>
          </w:tcPr>
          <w:p w14:paraId="06771086" w14:textId="77777777" w:rsidR="009948F1" w:rsidRDefault="009948F1">
            <w:pPr>
              <w:pStyle w:val="TableParagraph"/>
              <w:rPr>
                <w:rFonts w:ascii="Times New Roman"/>
                <w:sz w:val="10"/>
              </w:rPr>
            </w:pPr>
          </w:p>
        </w:tc>
      </w:tr>
      <w:tr w:rsidR="009948F1" w14:paraId="0C48F90B" w14:textId="77777777">
        <w:trPr>
          <w:trHeight w:val="585"/>
        </w:trPr>
        <w:tc>
          <w:tcPr>
            <w:tcW w:w="997" w:type="dxa"/>
            <w:gridSpan w:val="3"/>
            <w:vMerge w:val="restart"/>
            <w:tcBorders>
              <w:top w:val="nil"/>
              <w:left w:val="single" w:sz="6" w:space="0" w:color="231F20"/>
              <w:bottom w:val="nil"/>
              <w:right w:val="single" w:sz="6" w:space="0" w:color="231F20"/>
            </w:tcBorders>
          </w:tcPr>
          <w:p w14:paraId="3DA96BB2" w14:textId="77777777" w:rsidR="009948F1" w:rsidRDefault="009948F1">
            <w:pPr>
              <w:pStyle w:val="TableParagraph"/>
              <w:rPr>
                <w:rFonts w:ascii="Times New Roman"/>
                <w:sz w:val="10"/>
              </w:rPr>
            </w:pPr>
          </w:p>
        </w:tc>
        <w:tc>
          <w:tcPr>
            <w:tcW w:w="530" w:type="dxa"/>
            <w:tcBorders>
              <w:left w:val="single" w:sz="6" w:space="0" w:color="231F20"/>
              <w:right w:val="single" w:sz="6" w:space="0" w:color="231F20"/>
            </w:tcBorders>
          </w:tcPr>
          <w:p w14:paraId="2795613C" w14:textId="77777777" w:rsidR="009948F1" w:rsidRDefault="009948F1">
            <w:pPr>
              <w:pStyle w:val="TableParagraph"/>
              <w:spacing w:before="1"/>
              <w:rPr>
                <w:b/>
                <w:sz w:val="16"/>
              </w:rPr>
            </w:pPr>
          </w:p>
          <w:p w14:paraId="28BFFEE9" w14:textId="77777777" w:rsidR="009948F1" w:rsidRDefault="00BC0563">
            <w:pPr>
              <w:pStyle w:val="TableParagraph"/>
              <w:ind w:left="39" w:right="27"/>
              <w:jc w:val="center"/>
              <w:rPr>
                <w:sz w:val="18"/>
              </w:rPr>
            </w:pPr>
            <w:r>
              <w:rPr>
                <w:color w:val="231F20"/>
                <w:w w:val="70"/>
                <w:sz w:val="18"/>
              </w:rPr>
              <w:t>1.2.1.a</w:t>
            </w:r>
          </w:p>
        </w:tc>
        <w:tc>
          <w:tcPr>
            <w:tcW w:w="4926" w:type="dxa"/>
            <w:gridSpan w:val="2"/>
            <w:tcBorders>
              <w:left w:val="single" w:sz="6" w:space="0" w:color="231F20"/>
              <w:right w:val="single" w:sz="6" w:space="0" w:color="231F20"/>
            </w:tcBorders>
          </w:tcPr>
          <w:p w14:paraId="68A2E864" w14:textId="71D84C25" w:rsidR="009948F1" w:rsidRDefault="00BC0563">
            <w:pPr>
              <w:pStyle w:val="TableParagraph"/>
              <w:spacing w:before="68" w:line="254" w:lineRule="auto"/>
              <w:ind w:left="20" w:right="45"/>
              <w:rPr>
                <w:sz w:val="18"/>
              </w:rPr>
            </w:pPr>
            <w:r>
              <w:rPr>
                <w:color w:val="231F20"/>
                <w:w w:val="70"/>
                <w:sz w:val="18"/>
              </w:rPr>
              <w:t>Adapt</w:t>
            </w:r>
            <w:r>
              <w:rPr>
                <w:color w:val="231F20"/>
                <w:spacing w:val="-23"/>
                <w:w w:val="70"/>
                <w:sz w:val="18"/>
              </w:rPr>
              <w:t xml:space="preserve"> </w:t>
            </w:r>
            <w:r>
              <w:rPr>
                <w:color w:val="231F20"/>
                <w:w w:val="70"/>
                <w:sz w:val="18"/>
              </w:rPr>
              <w:t>existing</w:t>
            </w:r>
            <w:r>
              <w:rPr>
                <w:color w:val="231F20"/>
                <w:spacing w:val="-22"/>
                <w:w w:val="70"/>
                <w:sz w:val="18"/>
              </w:rPr>
              <w:t xml:space="preserve"> </w:t>
            </w:r>
            <w:r>
              <w:rPr>
                <w:color w:val="231F20"/>
                <w:w w:val="70"/>
                <w:sz w:val="18"/>
              </w:rPr>
              <w:t>national</w:t>
            </w:r>
            <w:r>
              <w:rPr>
                <w:color w:val="231F20"/>
                <w:spacing w:val="-22"/>
                <w:w w:val="70"/>
                <w:sz w:val="18"/>
              </w:rPr>
              <w:t xml:space="preserve"> </w:t>
            </w:r>
            <w:r>
              <w:rPr>
                <w:color w:val="231F20"/>
                <w:w w:val="70"/>
                <w:sz w:val="18"/>
              </w:rPr>
              <w:t>guidelines,</w:t>
            </w:r>
            <w:r>
              <w:rPr>
                <w:color w:val="231F20"/>
                <w:spacing w:val="-22"/>
                <w:w w:val="70"/>
                <w:sz w:val="18"/>
              </w:rPr>
              <w:t xml:space="preserve"> </w:t>
            </w:r>
            <w:r>
              <w:rPr>
                <w:color w:val="231F20"/>
                <w:w w:val="70"/>
                <w:sz w:val="18"/>
              </w:rPr>
              <w:t>laws</w:t>
            </w:r>
            <w:r>
              <w:rPr>
                <w:color w:val="231F20"/>
                <w:spacing w:val="-23"/>
                <w:w w:val="70"/>
                <w:sz w:val="18"/>
              </w:rPr>
              <w:t xml:space="preserve"> </w:t>
            </w:r>
            <w:r>
              <w:rPr>
                <w:color w:val="231F20"/>
                <w:w w:val="70"/>
                <w:sz w:val="18"/>
              </w:rPr>
              <w:t>and</w:t>
            </w:r>
            <w:r>
              <w:rPr>
                <w:color w:val="231F20"/>
                <w:spacing w:val="-22"/>
                <w:w w:val="70"/>
                <w:sz w:val="18"/>
              </w:rPr>
              <w:t xml:space="preserve"> </w:t>
            </w:r>
            <w:r>
              <w:rPr>
                <w:color w:val="231F20"/>
                <w:w w:val="70"/>
                <w:sz w:val="18"/>
              </w:rPr>
              <w:t>regulations</w:t>
            </w:r>
            <w:r>
              <w:rPr>
                <w:color w:val="231F20"/>
                <w:spacing w:val="-22"/>
                <w:w w:val="70"/>
                <w:sz w:val="18"/>
              </w:rPr>
              <w:t xml:space="preserve"> </w:t>
            </w:r>
            <w:r>
              <w:rPr>
                <w:color w:val="231F20"/>
                <w:w w:val="70"/>
                <w:sz w:val="18"/>
              </w:rPr>
              <w:t>on</w:t>
            </w:r>
            <w:r>
              <w:rPr>
                <w:color w:val="231F20"/>
                <w:spacing w:val="-22"/>
                <w:w w:val="70"/>
                <w:sz w:val="18"/>
              </w:rPr>
              <w:t xml:space="preserve"> </w:t>
            </w:r>
            <w:r>
              <w:rPr>
                <w:color w:val="231F20"/>
                <w:w w:val="70"/>
                <w:sz w:val="18"/>
              </w:rPr>
              <w:t>fiscal</w:t>
            </w:r>
            <w:r>
              <w:rPr>
                <w:color w:val="231F20"/>
                <w:spacing w:val="-23"/>
                <w:w w:val="70"/>
                <w:sz w:val="18"/>
              </w:rPr>
              <w:t xml:space="preserve"> </w:t>
            </w:r>
            <w:r>
              <w:rPr>
                <w:color w:val="231F20"/>
                <w:w w:val="70"/>
                <w:sz w:val="18"/>
              </w:rPr>
              <w:t>policies</w:t>
            </w:r>
            <w:r>
              <w:rPr>
                <w:color w:val="231F20"/>
                <w:spacing w:val="-22"/>
                <w:w w:val="70"/>
                <w:sz w:val="18"/>
              </w:rPr>
              <w:t xml:space="preserve"> </w:t>
            </w:r>
            <w:r>
              <w:rPr>
                <w:color w:val="231F20"/>
                <w:w w:val="70"/>
                <w:sz w:val="18"/>
              </w:rPr>
              <w:t>and</w:t>
            </w:r>
            <w:r>
              <w:rPr>
                <w:color w:val="231F20"/>
                <w:spacing w:val="-22"/>
                <w:w w:val="70"/>
                <w:sz w:val="18"/>
              </w:rPr>
              <w:t xml:space="preserve"> </w:t>
            </w:r>
            <w:r>
              <w:rPr>
                <w:color w:val="231F20"/>
                <w:w w:val="70"/>
                <w:sz w:val="18"/>
              </w:rPr>
              <w:t>public</w:t>
            </w:r>
            <w:r>
              <w:rPr>
                <w:color w:val="231F20"/>
                <w:spacing w:val="-22"/>
                <w:w w:val="70"/>
                <w:sz w:val="18"/>
              </w:rPr>
              <w:t xml:space="preserve"> </w:t>
            </w:r>
            <w:r>
              <w:rPr>
                <w:color w:val="231F20"/>
                <w:w w:val="70"/>
                <w:sz w:val="18"/>
              </w:rPr>
              <w:t xml:space="preserve">finance </w:t>
            </w:r>
            <w:r w:rsidR="00C84576">
              <w:rPr>
                <w:color w:val="231F20"/>
                <w:w w:val="75"/>
                <w:sz w:val="18"/>
              </w:rPr>
              <w:t>management</w:t>
            </w:r>
          </w:p>
        </w:tc>
        <w:tc>
          <w:tcPr>
            <w:tcW w:w="1437" w:type="dxa"/>
            <w:tcBorders>
              <w:left w:val="single" w:sz="6" w:space="0" w:color="231F20"/>
            </w:tcBorders>
          </w:tcPr>
          <w:p w14:paraId="4CBA2390" w14:textId="77777777" w:rsidR="009948F1" w:rsidRDefault="009948F1">
            <w:pPr>
              <w:pStyle w:val="TableParagraph"/>
              <w:spacing w:before="1"/>
              <w:rPr>
                <w:b/>
                <w:sz w:val="16"/>
              </w:rPr>
            </w:pPr>
          </w:p>
          <w:p w14:paraId="1BF31FFC" w14:textId="77777777" w:rsidR="009948F1" w:rsidRDefault="00BC0563">
            <w:pPr>
              <w:pStyle w:val="TableParagraph"/>
              <w:ind w:left="19"/>
              <w:rPr>
                <w:sz w:val="18"/>
              </w:rPr>
            </w:pPr>
            <w:r>
              <w:rPr>
                <w:color w:val="231F20"/>
                <w:w w:val="75"/>
                <w:sz w:val="18"/>
              </w:rPr>
              <w:t>Lack of funds</w:t>
            </w:r>
          </w:p>
        </w:tc>
        <w:tc>
          <w:tcPr>
            <w:tcW w:w="1514" w:type="dxa"/>
            <w:tcBorders>
              <w:right w:val="single" w:sz="6" w:space="0" w:color="231F20"/>
            </w:tcBorders>
          </w:tcPr>
          <w:p w14:paraId="591EC3C3" w14:textId="77777777" w:rsidR="009948F1" w:rsidRDefault="00BC0563">
            <w:pPr>
              <w:pStyle w:val="TableParagraph"/>
              <w:spacing w:before="76" w:line="254" w:lineRule="auto"/>
              <w:ind w:left="15"/>
              <w:rPr>
                <w:sz w:val="18"/>
              </w:rPr>
            </w:pPr>
            <w:r>
              <w:rPr>
                <w:color w:val="231F20"/>
                <w:w w:val="65"/>
                <w:sz w:val="18"/>
              </w:rPr>
              <w:t xml:space="preserve">Convene coordination </w:t>
            </w:r>
            <w:r>
              <w:rPr>
                <w:color w:val="231F20"/>
                <w:w w:val="75"/>
                <w:sz w:val="18"/>
              </w:rPr>
              <w:t>meetings</w:t>
            </w:r>
          </w:p>
        </w:tc>
      </w:tr>
      <w:tr w:rsidR="009948F1" w14:paraId="3BD319E7" w14:textId="77777777">
        <w:trPr>
          <w:trHeight w:val="407"/>
        </w:trPr>
        <w:tc>
          <w:tcPr>
            <w:tcW w:w="997" w:type="dxa"/>
            <w:gridSpan w:val="3"/>
            <w:vMerge/>
            <w:tcBorders>
              <w:top w:val="nil"/>
              <w:left w:val="single" w:sz="6" w:space="0" w:color="231F20"/>
              <w:bottom w:val="nil"/>
              <w:right w:val="single" w:sz="6" w:space="0" w:color="231F20"/>
            </w:tcBorders>
          </w:tcPr>
          <w:p w14:paraId="6686CF5E" w14:textId="77777777" w:rsidR="009948F1" w:rsidRDefault="009948F1">
            <w:pPr>
              <w:rPr>
                <w:sz w:val="2"/>
                <w:szCs w:val="2"/>
              </w:rPr>
            </w:pPr>
          </w:p>
        </w:tc>
        <w:tc>
          <w:tcPr>
            <w:tcW w:w="530" w:type="dxa"/>
            <w:tcBorders>
              <w:left w:val="single" w:sz="6" w:space="0" w:color="231F20"/>
              <w:right w:val="single" w:sz="6" w:space="0" w:color="231F20"/>
            </w:tcBorders>
          </w:tcPr>
          <w:p w14:paraId="5CCE4813" w14:textId="77777777" w:rsidR="009948F1" w:rsidRDefault="00BC0563">
            <w:pPr>
              <w:pStyle w:val="TableParagraph"/>
              <w:spacing w:before="97"/>
              <w:ind w:left="39" w:right="27"/>
              <w:jc w:val="center"/>
              <w:rPr>
                <w:sz w:val="18"/>
              </w:rPr>
            </w:pPr>
            <w:r>
              <w:rPr>
                <w:color w:val="231F20"/>
                <w:w w:val="70"/>
                <w:sz w:val="18"/>
              </w:rPr>
              <w:t>1.2.1.b</w:t>
            </w:r>
          </w:p>
        </w:tc>
        <w:tc>
          <w:tcPr>
            <w:tcW w:w="4926" w:type="dxa"/>
            <w:gridSpan w:val="2"/>
            <w:tcBorders>
              <w:left w:val="single" w:sz="6" w:space="0" w:color="231F20"/>
              <w:right w:val="single" w:sz="6" w:space="0" w:color="231F20"/>
            </w:tcBorders>
          </w:tcPr>
          <w:p w14:paraId="70AFF590" w14:textId="77777777" w:rsidR="009948F1" w:rsidRDefault="00BC0563">
            <w:pPr>
              <w:pStyle w:val="TableParagraph"/>
              <w:spacing w:before="90"/>
              <w:ind w:left="20"/>
              <w:rPr>
                <w:sz w:val="18"/>
              </w:rPr>
            </w:pPr>
            <w:r>
              <w:rPr>
                <w:color w:val="231F20"/>
                <w:w w:val="75"/>
                <w:sz w:val="18"/>
              </w:rPr>
              <w:t>Build</w:t>
            </w:r>
            <w:r>
              <w:rPr>
                <w:color w:val="231F20"/>
                <w:spacing w:val="-24"/>
                <w:w w:val="75"/>
                <w:sz w:val="18"/>
              </w:rPr>
              <w:t xml:space="preserve"> </w:t>
            </w:r>
            <w:r>
              <w:rPr>
                <w:color w:val="231F20"/>
                <w:w w:val="75"/>
                <w:sz w:val="18"/>
              </w:rPr>
              <w:t>capacity</w:t>
            </w:r>
            <w:r>
              <w:rPr>
                <w:color w:val="231F20"/>
                <w:spacing w:val="-24"/>
                <w:w w:val="75"/>
                <w:sz w:val="18"/>
              </w:rPr>
              <w:t xml:space="preserve"> </w:t>
            </w:r>
            <w:r>
              <w:rPr>
                <w:color w:val="231F20"/>
                <w:w w:val="75"/>
                <w:sz w:val="18"/>
              </w:rPr>
              <w:t>of</w:t>
            </w:r>
            <w:r>
              <w:rPr>
                <w:color w:val="231F20"/>
                <w:spacing w:val="-23"/>
                <w:w w:val="75"/>
                <w:sz w:val="18"/>
              </w:rPr>
              <w:t xml:space="preserve"> </w:t>
            </w:r>
            <w:r>
              <w:rPr>
                <w:color w:val="231F20"/>
                <w:w w:val="75"/>
                <w:sz w:val="18"/>
              </w:rPr>
              <w:t>all</w:t>
            </w:r>
            <w:r>
              <w:rPr>
                <w:color w:val="231F20"/>
                <w:spacing w:val="-24"/>
                <w:w w:val="75"/>
                <w:sz w:val="18"/>
              </w:rPr>
              <w:t xml:space="preserve"> </w:t>
            </w:r>
            <w:r>
              <w:rPr>
                <w:color w:val="231F20"/>
                <w:w w:val="75"/>
                <w:sz w:val="18"/>
              </w:rPr>
              <w:t>relevant</w:t>
            </w:r>
            <w:r>
              <w:rPr>
                <w:color w:val="231F20"/>
                <w:spacing w:val="-23"/>
                <w:w w:val="75"/>
                <w:sz w:val="18"/>
              </w:rPr>
              <w:t xml:space="preserve"> </w:t>
            </w:r>
            <w:r>
              <w:rPr>
                <w:color w:val="231F20"/>
                <w:w w:val="75"/>
                <w:sz w:val="18"/>
              </w:rPr>
              <w:t>staff</w:t>
            </w:r>
            <w:r>
              <w:rPr>
                <w:color w:val="231F20"/>
                <w:spacing w:val="-24"/>
                <w:w w:val="75"/>
                <w:sz w:val="18"/>
              </w:rPr>
              <w:t xml:space="preserve"> </w:t>
            </w:r>
            <w:r>
              <w:rPr>
                <w:color w:val="231F20"/>
                <w:w w:val="75"/>
                <w:sz w:val="18"/>
              </w:rPr>
              <w:t>in</w:t>
            </w:r>
            <w:r>
              <w:rPr>
                <w:color w:val="231F20"/>
                <w:spacing w:val="-23"/>
                <w:w w:val="75"/>
                <w:sz w:val="18"/>
              </w:rPr>
              <w:t xml:space="preserve"> </w:t>
            </w:r>
            <w:r>
              <w:rPr>
                <w:color w:val="231F20"/>
                <w:w w:val="75"/>
                <w:sz w:val="18"/>
              </w:rPr>
              <w:t>fiscal</w:t>
            </w:r>
            <w:r>
              <w:rPr>
                <w:color w:val="231F20"/>
                <w:spacing w:val="-24"/>
                <w:w w:val="75"/>
                <w:sz w:val="18"/>
              </w:rPr>
              <w:t xml:space="preserve"> </w:t>
            </w:r>
            <w:r>
              <w:rPr>
                <w:color w:val="231F20"/>
                <w:w w:val="75"/>
                <w:sz w:val="18"/>
              </w:rPr>
              <w:t>policies</w:t>
            </w:r>
            <w:r>
              <w:rPr>
                <w:color w:val="231F20"/>
                <w:spacing w:val="-24"/>
                <w:w w:val="75"/>
                <w:sz w:val="18"/>
              </w:rPr>
              <w:t xml:space="preserve"> </w:t>
            </w:r>
            <w:r>
              <w:rPr>
                <w:color w:val="231F20"/>
                <w:w w:val="75"/>
                <w:sz w:val="18"/>
              </w:rPr>
              <w:t>and</w:t>
            </w:r>
            <w:r>
              <w:rPr>
                <w:color w:val="231F20"/>
                <w:spacing w:val="-23"/>
                <w:w w:val="75"/>
                <w:sz w:val="18"/>
              </w:rPr>
              <w:t xml:space="preserve"> </w:t>
            </w:r>
            <w:r>
              <w:rPr>
                <w:color w:val="231F20"/>
                <w:w w:val="75"/>
                <w:sz w:val="18"/>
              </w:rPr>
              <w:t>public</w:t>
            </w:r>
            <w:r>
              <w:rPr>
                <w:color w:val="231F20"/>
                <w:spacing w:val="-24"/>
                <w:w w:val="75"/>
                <w:sz w:val="18"/>
              </w:rPr>
              <w:t xml:space="preserve"> </w:t>
            </w:r>
            <w:r>
              <w:rPr>
                <w:color w:val="231F20"/>
                <w:w w:val="75"/>
                <w:sz w:val="18"/>
              </w:rPr>
              <w:t>financial</w:t>
            </w:r>
            <w:r>
              <w:rPr>
                <w:color w:val="231F20"/>
                <w:spacing w:val="-23"/>
                <w:w w:val="75"/>
                <w:sz w:val="18"/>
              </w:rPr>
              <w:t xml:space="preserve"> </w:t>
            </w:r>
            <w:r>
              <w:rPr>
                <w:color w:val="231F20"/>
                <w:w w:val="75"/>
                <w:sz w:val="18"/>
              </w:rPr>
              <w:t>management</w:t>
            </w:r>
          </w:p>
        </w:tc>
        <w:tc>
          <w:tcPr>
            <w:tcW w:w="1437" w:type="dxa"/>
            <w:tcBorders>
              <w:left w:val="single" w:sz="6" w:space="0" w:color="231F20"/>
            </w:tcBorders>
          </w:tcPr>
          <w:p w14:paraId="296C8E66" w14:textId="77777777" w:rsidR="009948F1" w:rsidRDefault="00BC0563">
            <w:pPr>
              <w:pStyle w:val="TableParagraph"/>
              <w:spacing w:before="97"/>
              <w:ind w:left="19"/>
              <w:rPr>
                <w:sz w:val="18"/>
              </w:rPr>
            </w:pPr>
            <w:r>
              <w:rPr>
                <w:color w:val="231F20"/>
                <w:w w:val="75"/>
                <w:sz w:val="18"/>
              </w:rPr>
              <w:t>Lack of funds</w:t>
            </w:r>
          </w:p>
        </w:tc>
        <w:tc>
          <w:tcPr>
            <w:tcW w:w="1514" w:type="dxa"/>
            <w:tcBorders>
              <w:right w:val="single" w:sz="6" w:space="0" w:color="231F20"/>
            </w:tcBorders>
          </w:tcPr>
          <w:p w14:paraId="449FA6E9" w14:textId="77777777" w:rsidR="009948F1" w:rsidRDefault="00BC0563">
            <w:pPr>
              <w:pStyle w:val="TableParagraph"/>
              <w:spacing w:before="97"/>
              <w:ind w:left="15"/>
              <w:rPr>
                <w:sz w:val="18"/>
              </w:rPr>
            </w:pPr>
            <w:r>
              <w:rPr>
                <w:color w:val="231F20"/>
                <w:w w:val="75"/>
                <w:sz w:val="18"/>
              </w:rPr>
              <w:t>Train staff</w:t>
            </w:r>
          </w:p>
        </w:tc>
      </w:tr>
      <w:tr w:rsidR="009948F1" w14:paraId="742D4F89" w14:textId="77777777">
        <w:trPr>
          <w:trHeight w:val="429"/>
        </w:trPr>
        <w:tc>
          <w:tcPr>
            <w:tcW w:w="997" w:type="dxa"/>
            <w:gridSpan w:val="3"/>
            <w:vMerge/>
            <w:tcBorders>
              <w:top w:val="nil"/>
              <w:left w:val="single" w:sz="6" w:space="0" w:color="231F20"/>
              <w:bottom w:val="nil"/>
              <w:right w:val="single" w:sz="6" w:space="0" w:color="231F20"/>
            </w:tcBorders>
          </w:tcPr>
          <w:p w14:paraId="2C9583EB" w14:textId="77777777" w:rsidR="009948F1" w:rsidRDefault="009948F1">
            <w:pPr>
              <w:rPr>
                <w:sz w:val="2"/>
                <w:szCs w:val="2"/>
              </w:rPr>
            </w:pPr>
          </w:p>
        </w:tc>
        <w:tc>
          <w:tcPr>
            <w:tcW w:w="530" w:type="dxa"/>
            <w:tcBorders>
              <w:left w:val="single" w:sz="6" w:space="0" w:color="231F20"/>
              <w:right w:val="single" w:sz="6" w:space="0" w:color="231F20"/>
            </w:tcBorders>
          </w:tcPr>
          <w:p w14:paraId="7EF28F68" w14:textId="77777777" w:rsidR="009948F1" w:rsidRDefault="00BC0563">
            <w:pPr>
              <w:pStyle w:val="TableParagraph"/>
              <w:spacing w:before="108"/>
              <w:ind w:left="39" w:right="27"/>
              <w:jc w:val="center"/>
              <w:rPr>
                <w:sz w:val="18"/>
              </w:rPr>
            </w:pPr>
            <w:r>
              <w:rPr>
                <w:color w:val="231F20"/>
                <w:w w:val="70"/>
                <w:sz w:val="18"/>
              </w:rPr>
              <w:t>1.2.1.c</w:t>
            </w:r>
          </w:p>
        </w:tc>
        <w:tc>
          <w:tcPr>
            <w:tcW w:w="4926" w:type="dxa"/>
            <w:gridSpan w:val="2"/>
            <w:tcBorders>
              <w:left w:val="single" w:sz="6" w:space="0" w:color="231F20"/>
              <w:right w:val="single" w:sz="6" w:space="0" w:color="231F20"/>
            </w:tcBorders>
          </w:tcPr>
          <w:p w14:paraId="3A747C19" w14:textId="77777777" w:rsidR="009948F1" w:rsidRDefault="00BC0563">
            <w:pPr>
              <w:pStyle w:val="TableParagraph"/>
              <w:spacing w:before="101"/>
              <w:ind w:left="20"/>
              <w:rPr>
                <w:sz w:val="18"/>
              </w:rPr>
            </w:pPr>
            <w:r>
              <w:rPr>
                <w:color w:val="231F20"/>
                <w:w w:val="75"/>
                <w:sz w:val="18"/>
              </w:rPr>
              <w:t>Conduct Joint Annual Review (JAR) of the implementation of SSHDP II</w:t>
            </w:r>
          </w:p>
        </w:tc>
        <w:tc>
          <w:tcPr>
            <w:tcW w:w="1437" w:type="dxa"/>
            <w:tcBorders>
              <w:left w:val="single" w:sz="6" w:space="0" w:color="231F20"/>
            </w:tcBorders>
          </w:tcPr>
          <w:p w14:paraId="21C9938A" w14:textId="77777777" w:rsidR="009948F1" w:rsidRDefault="00BC0563">
            <w:pPr>
              <w:pStyle w:val="TableParagraph"/>
              <w:spacing w:before="108"/>
              <w:ind w:left="19"/>
              <w:rPr>
                <w:sz w:val="18"/>
              </w:rPr>
            </w:pPr>
            <w:r>
              <w:rPr>
                <w:color w:val="231F20"/>
                <w:w w:val="75"/>
                <w:sz w:val="18"/>
              </w:rPr>
              <w:t>Lack of funds</w:t>
            </w:r>
          </w:p>
        </w:tc>
        <w:tc>
          <w:tcPr>
            <w:tcW w:w="1514" w:type="dxa"/>
            <w:tcBorders>
              <w:right w:val="nil"/>
            </w:tcBorders>
          </w:tcPr>
          <w:p w14:paraId="4D2DE169" w14:textId="77777777" w:rsidR="009948F1" w:rsidRDefault="00BC0563">
            <w:pPr>
              <w:pStyle w:val="TableParagraph"/>
              <w:spacing w:before="108"/>
              <w:ind w:left="15"/>
              <w:rPr>
                <w:sz w:val="18"/>
              </w:rPr>
            </w:pPr>
            <w:r>
              <w:rPr>
                <w:color w:val="231F20"/>
                <w:w w:val="75"/>
                <w:sz w:val="18"/>
              </w:rPr>
              <w:t>Conduct JAR</w:t>
            </w:r>
          </w:p>
        </w:tc>
      </w:tr>
      <w:tr w:rsidR="009948F1" w14:paraId="26DE5BC1" w14:textId="77777777">
        <w:trPr>
          <w:trHeight w:val="440"/>
        </w:trPr>
        <w:tc>
          <w:tcPr>
            <w:tcW w:w="997" w:type="dxa"/>
            <w:gridSpan w:val="3"/>
            <w:vMerge/>
            <w:tcBorders>
              <w:top w:val="nil"/>
              <w:left w:val="single" w:sz="6" w:space="0" w:color="231F20"/>
              <w:bottom w:val="nil"/>
              <w:right w:val="single" w:sz="6" w:space="0" w:color="231F20"/>
            </w:tcBorders>
          </w:tcPr>
          <w:p w14:paraId="0951252C" w14:textId="77777777" w:rsidR="009948F1" w:rsidRDefault="009948F1">
            <w:pPr>
              <w:rPr>
                <w:sz w:val="2"/>
                <w:szCs w:val="2"/>
              </w:rPr>
            </w:pPr>
          </w:p>
        </w:tc>
        <w:tc>
          <w:tcPr>
            <w:tcW w:w="530" w:type="dxa"/>
            <w:tcBorders>
              <w:left w:val="single" w:sz="6" w:space="0" w:color="231F20"/>
              <w:right w:val="single" w:sz="6" w:space="0" w:color="231F20"/>
            </w:tcBorders>
          </w:tcPr>
          <w:p w14:paraId="090BB9C4" w14:textId="77777777" w:rsidR="009948F1" w:rsidRDefault="00BC0563">
            <w:pPr>
              <w:pStyle w:val="TableParagraph"/>
              <w:spacing w:before="113"/>
              <w:ind w:left="39" w:right="27"/>
              <w:jc w:val="center"/>
              <w:rPr>
                <w:sz w:val="18"/>
              </w:rPr>
            </w:pPr>
            <w:r>
              <w:rPr>
                <w:color w:val="231F20"/>
                <w:w w:val="70"/>
                <w:sz w:val="18"/>
              </w:rPr>
              <w:t>1.2.1.d</w:t>
            </w:r>
          </w:p>
        </w:tc>
        <w:tc>
          <w:tcPr>
            <w:tcW w:w="4926" w:type="dxa"/>
            <w:gridSpan w:val="2"/>
            <w:tcBorders>
              <w:left w:val="single" w:sz="6" w:space="0" w:color="231F20"/>
              <w:right w:val="single" w:sz="6" w:space="0" w:color="231F20"/>
            </w:tcBorders>
          </w:tcPr>
          <w:p w14:paraId="21E25132" w14:textId="77777777" w:rsidR="009948F1" w:rsidRDefault="00BC0563">
            <w:pPr>
              <w:pStyle w:val="TableParagraph"/>
              <w:spacing w:before="106"/>
              <w:ind w:left="20"/>
              <w:rPr>
                <w:sz w:val="18"/>
              </w:rPr>
            </w:pPr>
            <w:r>
              <w:rPr>
                <w:color w:val="231F20"/>
                <w:w w:val="75"/>
                <w:sz w:val="18"/>
              </w:rPr>
              <w:t>Coordinate the development of annual budget at all levels and tracking</w:t>
            </w:r>
          </w:p>
        </w:tc>
        <w:tc>
          <w:tcPr>
            <w:tcW w:w="1437" w:type="dxa"/>
            <w:tcBorders>
              <w:left w:val="single" w:sz="6" w:space="0" w:color="231F20"/>
            </w:tcBorders>
          </w:tcPr>
          <w:p w14:paraId="0251BF76" w14:textId="77777777" w:rsidR="009948F1" w:rsidRDefault="00BC0563">
            <w:pPr>
              <w:pStyle w:val="TableParagraph"/>
              <w:spacing w:before="113"/>
              <w:ind w:left="19"/>
              <w:rPr>
                <w:sz w:val="18"/>
              </w:rPr>
            </w:pPr>
            <w:r>
              <w:rPr>
                <w:color w:val="231F20"/>
                <w:w w:val="75"/>
                <w:sz w:val="18"/>
              </w:rPr>
              <w:t>Lack of funds</w:t>
            </w:r>
          </w:p>
        </w:tc>
        <w:tc>
          <w:tcPr>
            <w:tcW w:w="1514" w:type="dxa"/>
            <w:tcBorders>
              <w:right w:val="nil"/>
            </w:tcBorders>
          </w:tcPr>
          <w:p w14:paraId="152AD29C" w14:textId="331AA2EB" w:rsidR="009948F1" w:rsidRDefault="00BC0563">
            <w:pPr>
              <w:pStyle w:val="TableParagraph"/>
              <w:spacing w:before="113"/>
              <w:ind w:left="15"/>
              <w:rPr>
                <w:sz w:val="18"/>
              </w:rPr>
            </w:pPr>
            <w:r>
              <w:rPr>
                <w:color w:val="231F20"/>
                <w:w w:val="75"/>
                <w:sz w:val="18"/>
              </w:rPr>
              <w:t xml:space="preserve">Conduct budget </w:t>
            </w:r>
            <w:r w:rsidR="00C84576">
              <w:rPr>
                <w:color w:val="231F20"/>
                <w:w w:val="75"/>
                <w:sz w:val="18"/>
              </w:rPr>
              <w:t>tracking</w:t>
            </w:r>
          </w:p>
        </w:tc>
      </w:tr>
      <w:tr w:rsidR="009948F1" w14:paraId="0A287268" w14:textId="77777777">
        <w:trPr>
          <w:trHeight w:val="429"/>
        </w:trPr>
        <w:tc>
          <w:tcPr>
            <w:tcW w:w="997" w:type="dxa"/>
            <w:gridSpan w:val="3"/>
            <w:vMerge/>
            <w:tcBorders>
              <w:top w:val="nil"/>
              <w:left w:val="single" w:sz="6" w:space="0" w:color="231F20"/>
              <w:bottom w:val="nil"/>
              <w:right w:val="single" w:sz="6" w:space="0" w:color="231F20"/>
            </w:tcBorders>
          </w:tcPr>
          <w:p w14:paraId="3B72C49E" w14:textId="77777777" w:rsidR="009948F1" w:rsidRDefault="009948F1">
            <w:pPr>
              <w:rPr>
                <w:sz w:val="2"/>
                <w:szCs w:val="2"/>
              </w:rPr>
            </w:pPr>
          </w:p>
        </w:tc>
        <w:tc>
          <w:tcPr>
            <w:tcW w:w="530" w:type="dxa"/>
            <w:tcBorders>
              <w:left w:val="single" w:sz="6" w:space="0" w:color="231F20"/>
              <w:right w:val="single" w:sz="6" w:space="0" w:color="231F20"/>
            </w:tcBorders>
          </w:tcPr>
          <w:p w14:paraId="3CEDC282" w14:textId="77777777" w:rsidR="009948F1" w:rsidRDefault="00BC0563">
            <w:pPr>
              <w:pStyle w:val="TableParagraph"/>
              <w:spacing w:before="108"/>
              <w:ind w:left="39" w:right="27"/>
              <w:jc w:val="center"/>
              <w:rPr>
                <w:sz w:val="18"/>
              </w:rPr>
            </w:pPr>
            <w:r>
              <w:rPr>
                <w:color w:val="231F20"/>
                <w:w w:val="70"/>
                <w:sz w:val="18"/>
              </w:rPr>
              <w:t>1.2.1.e</w:t>
            </w:r>
          </w:p>
        </w:tc>
        <w:tc>
          <w:tcPr>
            <w:tcW w:w="4926" w:type="dxa"/>
            <w:gridSpan w:val="2"/>
            <w:tcBorders>
              <w:left w:val="single" w:sz="6" w:space="0" w:color="231F20"/>
              <w:right w:val="single" w:sz="6" w:space="0" w:color="231F20"/>
            </w:tcBorders>
          </w:tcPr>
          <w:p w14:paraId="084BB84B" w14:textId="77777777" w:rsidR="009948F1" w:rsidRDefault="00BC0563">
            <w:pPr>
              <w:pStyle w:val="TableParagraph"/>
              <w:spacing w:line="200" w:lineRule="exact"/>
              <w:ind w:left="20"/>
              <w:rPr>
                <w:sz w:val="18"/>
              </w:rPr>
            </w:pPr>
            <w:r>
              <w:rPr>
                <w:color w:val="231F20"/>
                <w:w w:val="70"/>
                <w:sz w:val="18"/>
              </w:rPr>
              <w:t>Publish SHDP II financial implementation review in the health bulletin and website and</w:t>
            </w:r>
          </w:p>
          <w:p w14:paraId="5BE9B829" w14:textId="77777777" w:rsidR="009948F1" w:rsidRDefault="00BC0563">
            <w:pPr>
              <w:pStyle w:val="TableParagraph"/>
              <w:spacing w:before="13" w:line="196" w:lineRule="exact"/>
              <w:ind w:left="20"/>
              <w:rPr>
                <w:sz w:val="18"/>
              </w:rPr>
            </w:pPr>
            <w:r>
              <w:rPr>
                <w:color w:val="231F20"/>
                <w:w w:val="75"/>
                <w:sz w:val="18"/>
              </w:rPr>
              <w:t>distribute same to the public</w:t>
            </w:r>
          </w:p>
        </w:tc>
        <w:tc>
          <w:tcPr>
            <w:tcW w:w="1437" w:type="dxa"/>
            <w:tcBorders>
              <w:left w:val="single" w:sz="6" w:space="0" w:color="231F20"/>
            </w:tcBorders>
          </w:tcPr>
          <w:p w14:paraId="304AEF76" w14:textId="77777777" w:rsidR="009948F1" w:rsidRDefault="00BC0563">
            <w:pPr>
              <w:pStyle w:val="TableParagraph"/>
              <w:spacing w:before="108"/>
              <w:ind w:left="19"/>
              <w:rPr>
                <w:sz w:val="18"/>
              </w:rPr>
            </w:pPr>
            <w:r>
              <w:rPr>
                <w:color w:val="231F20"/>
                <w:w w:val="75"/>
                <w:sz w:val="18"/>
              </w:rPr>
              <w:t>Lack of funds</w:t>
            </w:r>
          </w:p>
        </w:tc>
        <w:tc>
          <w:tcPr>
            <w:tcW w:w="1514" w:type="dxa"/>
            <w:tcBorders>
              <w:right w:val="single" w:sz="6" w:space="0" w:color="231F20"/>
            </w:tcBorders>
          </w:tcPr>
          <w:p w14:paraId="45D1514B" w14:textId="77777777" w:rsidR="009948F1" w:rsidRDefault="00BC0563">
            <w:pPr>
              <w:pStyle w:val="TableParagraph"/>
              <w:spacing w:before="108"/>
              <w:ind w:left="15"/>
              <w:rPr>
                <w:sz w:val="18"/>
              </w:rPr>
            </w:pPr>
            <w:r>
              <w:rPr>
                <w:color w:val="231F20"/>
                <w:w w:val="75"/>
                <w:sz w:val="18"/>
              </w:rPr>
              <w:t>Publish health bulletin</w:t>
            </w:r>
          </w:p>
        </w:tc>
      </w:tr>
      <w:tr w:rsidR="009948F1" w14:paraId="4DA48F69" w14:textId="77777777">
        <w:trPr>
          <w:trHeight w:val="1582"/>
        </w:trPr>
        <w:tc>
          <w:tcPr>
            <w:tcW w:w="539" w:type="dxa"/>
            <w:gridSpan w:val="2"/>
            <w:tcBorders>
              <w:top w:val="nil"/>
              <w:left w:val="single" w:sz="6" w:space="0" w:color="231F20"/>
              <w:bottom w:val="nil"/>
              <w:right w:val="single" w:sz="6" w:space="0" w:color="231F20"/>
            </w:tcBorders>
          </w:tcPr>
          <w:p w14:paraId="4CB9B02F" w14:textId="77777777" w:rsidR="009948F1" w:rsidRDefault="009948F1">
            <w:pPr>
              <w:pStyle w:val="TableParagraph"/>
              <w:rPr>
                <w:rFonts w:ascii="Times New Roman"/>
                <w:sz w:val="10"/>
              </w:rPr>
            </w:pPr>
          </w:p>
        </w:tc>
        <w:tc>
          <w:tcPr>
            <w:tcW w:w="458" w:type="dxa"/>
            <w:tcBorders>
              <w:left w:val="single" w:sz="6" w:space="0" w:color="231F20"/>
              <w:right w:val="single" w:sz="6" w:space="0" w:color="231F20"/>
            </w:tcBorders>
            <w:shd w:val="clear" w:color="auto" w:fill="CCE7D3"/>
          </w:tcPr>
          <w:p w14:paraId="0AA8E1F4" w14:textId="77777777" w:rsidR="009948F1" w:rsidRDefault="009948F1">
            <w:pPr>
              <w:pStyle w:val="TableParagraph"/>
              <w:rPr>
                <w:b/>
                <w:sz w:val="18"/>
              </w:rPr>
            </w:pPr>
          </w:p>
          <w:p w14:paraId="0BF1102E" w14:textId="77777777" w:rsidR="009948F1" w:rsidRDefault="009948F1">
            <w:pPr>
              <w:pStyle w:val="TableParagraph"/>
              <w:rPr>
                <w:b/>
                <w:sz w:val="18"/>
              </w:rPr>
            </w:pPr>
          </w:p>
          <w:p w14:paraId="3A067394" w14:textId="77777777" w:rsidR="009948F1" w:rsidRDefault="009948F1">
            <w:pPr>
              <w:pStyle w:val="TableParagraph"/>
              <w:spacing w:before="6"/>
              <w:rPr>
                <w:b/>
                <w:sz w:val="23"/>
              </w:rPr>
            </w:pPr>
          </w:p>
          <w:p w14:paraId="248CB774" w14:textId="77777777" w:rsidR="009948F1" w:rsidRDefault="00BC0563">
            <w:pPr>
              <w:pStyle w:val="TableParagraph"/>
              <w:ind w:left="54"/>
              <w:rPr>
                <w:sz w:val="18"/>
              </w:rPr>
            </w:pPr>
            <w:r>
              <w:rPr>
                <w:color w:val="231F20"/>
                <w:w w:val="75"/>
                <w:sz w:val="18"/>
              </w:rPr>
              <w:t>1.2.2</w:t>
            </w:r>
          </w:p>
        </w:tc>
        <w:tc>
          <w:tcPr>
            <w:tcW w:w="3057" w:type="dxa"/>
            <w:gridSpan w:val="2"/>
            <w:tcBorders>
              <w:left w:val="single" w:sz="6" w:space="0" w:color="231F20"/>
              <w:right w:val="single" w:sz="6" w:space="0" w:color="231F20"/>
            </w:tcBorders>
            <w:shd w:val="clear" w:color="auto" w:fill="CCE7D3"/>
          </w:tcPr>
          <w:p w14:paraId="4566A9F1" w14:textId="77777777" w:rsidR="009948F1" w:rsidRDefault="009948F1">
            <w:pPr>
              <w:pStyle w:val="TableParagraph"/>
              <w:rPr>
                <w:b/>
                <w:sz w:val="18"/>
              </w:rPr>
            </w:pPr>
          </w:p>
          <w:p w14:paraId="0E92635D" w14:textId="77777777" w:rsidR="009948F1" w:rsidRDefault="009948F1">
            <w:pPr>
              <w:pStyle w:val="TableParagraph"/>
              <w:rPr>
                <w:b/>
                <w:sz w:val="18"/>
              </w:rPr>
            </w:pPr>
          </w:p>
          <w:p w14:paraId="20FA8DFA" w14:textId="74438700" w:rsidR="009948F1" w:rsidRDefault="00C84576">
            <w:pPr>
              <w:pStyle w:val="TableParagraph"/>
              <w:spacing w:before="152" w:line="254" w:lineRule="auto"/>
              <w:ind w:left="21" w:right="53" w:firstLine="33"/>
              <w:rPr>
                <w:sz w:val="18"/>
              </w:rPr>
            </w:pPr>
            <w:r>
              <w:rPr>
                <w:color w:val="231F20"/>
                <w:w w:val="65"/>
                <w:sz w:val="18"/>
              </w:rPr>
              <w:t>Strengthen</w:t>
            </w:r>
            <w:r w:rsidR="00BC0563">
              <w:rPr>
                <w:color w:val="231F20"/>
                <w:w w:val="65"/>
                <w:sz w:val="18"/>
              </w:rPr>
              <w:t xml:space="preserve"> the linkages between various planning and </w:t>
            </w:r>
            <w:r w:rsidR="00BC0563">
              <w:rPr>
                <w:color w:val="231F20"/>
                <w:w w:val="75"/>
                <w:sz w:val="18"/>
              </w:rPr>
              <w:t>budgeting process(MTEF/MTSS</w:t>
            </w:r>
          </w:p>
        </w:tc>
        <w:tc>
          <w:tcPr>
            <w:tcW w:w="2399" w:type="dxa"/>
            <w:tcBorders>
              <w:left w:val="single" w:sz="6" w:space="0" w:color="231F20"/>
              <w:right w:val="single" w:sz="6" w:space="0" w:color="231F20"/>
            </w:tcBorders>
            <w:shd w:val="clear" w:color="auto" w:fill="CCE7D3"/>
          </w:tcPr>
          <w:p w14:paraId="47256339" w14:textId="77777777" w:rsidR="009948F1" w:rsidRDefault="00BC0563">
            <w:pPr>
              <w:pStyle w:val="TableParagraph"/>
              <w:numPr>
                <w:ilvl w:val="0"/>
                <w:numId w:val="240"/>
              </w:numPr>
              <w:tabs>
                <w:tab w:val="left" w:pos="95"/>
              </w:tabs>
              <w:spacing w:before="24" w:line="254" w:lineRule="auto"/>
              <w:ind w:right="107" w:firstLine="0"/>
              <w:rPr>
                <w:sz w:val="18"/>
              </w:rPr>
            </w:pPr>
            <w:r>
              <w:rPr>
                <w:color w:val="231F20"/>
                <w:w w:val="70"/>
                <w:sz w:val="18"/>
              </w:rPr>
              <w:t xml:space="preserve">Medium-Term Sector Strategy (MTSS) </w:t>
            </w:r>
            <w:r>
              <w:rPr>
                <w:color w:val="231F20"/>
                <w:w w:val="65"/>
                <w:sz w:val="18"/>
              </w:rPr>
              <w:t xml:space="preserve">and Medium </w:t>
            </w:r>
            <w:r>
              <w:rPr>
                <w:color w:val="231F20"/>
                <w:spacing w:val="-4"/>
                <w:w w:val="65"/>
                <w:sz w:val="18"/>
              </w:rPr>
              <w:t xml:space="preserve">Term </w:t>
            </w:r>
            <w:r>
              <w:rPr>
                <w:color w:val="231F20"/>
                <w:w w:val="65"/>
                <w:sz w:val="18"/>
              </w:rPr>
              <w:t xml:space="preserve">Expenditure </w:t>
            </w:r>
            <w:r>
              <w:rPr>
                <w:color w:val="231F20"/>
                <w:spacing w:val="-3"/>
                <w:w w:val="65"/>
                <w:sz w:val="18"/>
              </w:rPr>
              <w:t xml:space="preserve">Framework </w:t>
            </w:r>
            <w:r>
              <w:rPr>
                <w:color w:val="231F20"/>
                <w:w w:val="75"/>
                <w:sz w:val="18"/>
              </w:rPr>
              <w:t>(MTEF)</w:t>
            </w:r>
            <w:r>
              <w:rPr>
                <w:color w:val="231F20"/>
                <w:spacing w:val="-8"/>
                <w:w w:val="75"/>
                <w:sz w:val="18"/>
              </w:rPr>
              <w:t xml:space="preserve"> </w:t>
            </w:r>
            <w:r>
              <w:rPr>
                <w:color w:val="231F20"/>
                <w:w w:val="75"/>
                <w:sz w:val="18"/>
              </w:rPr>
              <w:t>developed</w:t>
            </w:r>
          </w:p>
          <w:p w14:paraId="005C4C6A" w14:textId="77777777" w:rsidR="009948F1" w:rsidRDefault="00BC0563">
            <w:pPr>
              <w:pStyle w:val="TableParagraph"/>
              <w:numPr>
                <w:ilvl w:val="0"/>
                <w:numId w:val="240"/>
              </w:numPr>
              <w:tabs>
                <w:tab w:val="left" w:pos="95"/>
              </w:tabs>
              <w:spacing w:before="2" w:line="254" w:lineRule="auto"/>
              <w:ind w:right="354" w:firstLine="0"/>
              <w:rPr>
                <w:sz w:val="18"/>
              </w:rPr>
            </w:pPr>
            <w:r>
              <w:rPr>
                <w:color w:val="231F20"/>
                <w:w w:val="70"/>
                <w:sz w:val="18"/>
              </w:rPr>
              <w:t>Platform</w:t>
            </w:r>
            <w:r>
              <w:rPr>
                <w:color w:val="231F20"/>
                <w:spacing w:val="-23"/>
                <w:w w:val="70"/>
                <w:sz w:val="18"/>
              </w:rPr>
              <w:t xml:space="preserve"> </w:t>
            </w:r>
            <w:r>
              <w:rPr>
                <w:color w:val="231F20"/>
                <w:w w:val="70"/>
                <w:sz w:val="18"/>
              </w:rPr>
              <w:t>for</w:t>
            </w:r>
            <w:r>
              <w:rPr>
                <w:color w:val="231F20"/>
                <w:spacing w:val="-22"/>
                <w:w w:val="70"/>
                <w:sz w:val="18"/>
              </w:rPr>
              <w:t xml:space="preserve"> </w:t>
            </w:r>
            <w:r>
              <w:rPr>
                <w:color w:val="231F20"/>
                <w:w w:val="70"/>
                <w:sz w:val="18"/>
              </w:rPr>
              <w:t>the</w:t>
            </w:r>
            <w:r>
              <w:rPr>
                <w:color w:val="231F20"/>
                <w:spacing w:val="-22"/>
                <w:w w:val="70"/>
                <w:sz w:val="18"/>
              </w:rPr>
              <w:t xml:space="preserve"> </w:t>
            </w:r>
            <w:r>
              <w:rPr>
                <w:color w:val="231F20"/>
                <w:w w:val="70"/>
                <w:sz w:val="18"/>
              </w:rPr>
              <w:t>planning</w:t>
            </w:r>
            <w:r>
              <w:rPr>
                <w:color w:val="231F20"/>
                <w:spacing w:val="-22"/>
                <w:w w:val="70"/>
                <w:sz w:val="18"/>
              </w:rPr>
              <w:t xml:space="preserve"> </w:t>
            </w:r>
            <w:r>
              <w:rPr>
                <w:color w:val="231F20"/>
                <w:w w:val="70"/>
                <w:sz w:val="18"/>
              </w:rPr>
              <w:t>and</w:t>
            </w:r>
            <w:r>
              <w:rPr>
                <w:color w:val="231F20"/>
                <w:spacing w:val="-22"/>
                <w:w w:val="70"/>
                <w:sz w:val="18"/>
              </w:rPr>
              <w:t xml:space="preserve"> </w:t>
            </w:r>
            <w:r>
              <w:rPr>
                <w:color w:val="231F20"/>
                <w:w w:val="70"/>
                <w:sz w:val="18"/>
              </w:rPr>
              <w:t>budget officers</w:t>
            </w:r>
            <w:r>
              <w:rPr>
                <w:color w:val="231F20"/>
                <w:spacing w:val="-14"/>
                <w:w w:val="70"/>
                <w:sz w:val="18"/>
              </w:rPr>
              <w:t xml:space="preserve"> </w:t>
            </w:r>
            <w:r>
              <w:rPr>
                <w:color w:val="231F20"/>
                <w:w w:val="70"/>
                <w:sz w:val="18"/>
              </w:rPr>
              <w:t>to</w:t>
            </w:r>
            <w:r>
              <w:rPr>
                <w:color w:val="231F20"/>
                <w:spacing w:val="-13"/>
                <w:w w:val="70"/>
                <w:sz w:val="18"/>
              </w:rPr>
              <w:t xml:space="preserve"> </w:t>
            </w:r>
            <w:r>
              <w:rPr>
                <w:color w:val="231F20"/>
                <w:w w:val="70"/>
                <w:sz w:val="18"/>
              </w:rPr>
              <w:t>work</w:t>
            </w:r>
            <w:r>
              <w:rPr>
                <w:color w:val="231F20"/>
                <w:spacing w:val="-13"/>
                <w:w w:val="70"/>
                <w:sz w:val="18"/>
              </w:rPr>
              <w:t xml:space="preserve"> </w:t>
            </w:r>
            <w:r>
              <w:rPr>
                <w:color w:val="231F20"/>
                <w:w w:val="70"/>
                <w:sz w:val="18"/>
              </w:rPr>
              <w:t>together</w:t>
            </w:r>
            <w:r>
              <w:rPr>
                <w:color w:val="231F20"/>
                <w:spacing w:val="-14"/>
                <w:w w:val="70"/>
                <w:sz w:val="18"/>
              </w:rPr>
              <w:t xml:space="preserve"> </w:t>
            </w:r>
            <w:r>
              <w:rPr>
                <w:color w:val="231F20"/>
                <w:w w:val="70"/>
                <w:sz w:val="18"/>
              </w:rPr>
              <w:t>put</w:t>
            </w:r>
            <w:r>
              <w:rPr>
                <w:color w:val="231F20"/>
                <w:spacing w:val="-13"/>
                <w:w w:val="70"/>
                <w:sz w:val="18"/>
              </w:rPr>
              <w:t xml:space="preserve"> </w:t>
            </w:r>
            <w:r>
              <w:rPr>
                <w:color w:val="231F20"/>
                <w:w w:val="70"/>
                <w:sz w:val="18"/>
              </w:rPr>
              <w:t>in</w:t>
            </w:r>
            <w:r>
              <w:rPr>
                <w:color w:val="231F20"/>
                <w:spacing w:val="-13"/>
                <w:w w:val="70"/>
                <w:sz w:val="18"/>
              </w:rPr>
              <w:t xml:space="preserve"> </w:t>
            </w:r>
            <w:r>
              <w:rPr>
                <w:color w:val="231F20"/>
                <w:w w:val="70"/>
                <w:sz w:val="18"/>
              </w:rPr>
              <w:t>place</w:t>
            </w:r>
          </w:p>
          <w:p w14:paraId="6FEC35A7" w14:textId="77777777" w:rsidR="009948F1" w:rsidRDefault="00BC0563">
            <w:pPr>
              <w:pStyle w:val="TableParagraph"/>
              <w:numPr>
                <w:ilvl w:val="0"/>
                <w:numId w:val="240"/>
              </w:numPr>
              <w:tabs>
                <w:tab w:val="left" w:pos="63"/>
              </w:tabs>
              <w:spacing w:before="2"/>
              <w:ind w:left="62" w:hanging="44"/>
              <w:rPr>
                <w:sz w:val="18"/>
              </w:rPr>
            </w:pPr>
            <w:r>
              <w:rPr>
                <w:color w:val="231F20"/>
                <w:w w:val="75"/>
                <w:sz w:val="18"/>
              </w:rPr>
              <w:t>Cost</w:t>
            </w:r>
            <w:r>
              <w:rPr>
                <w:color w:val="231F20"/>
                <w:spacing w:val="-19"/>
                <w:w w:val="75"/>
                <w:sz w:val="18"/>
              </w:rPr>
              <w:t xml:space="preserve"> </w:t>
            </w:r>
            <w:r>
              <w:rPr>
                <w:color w:val="231F20"/>
                <w:w w:val="75"/>
                <w:sz w:val="18"/>
              </w:rPr>
              <w:t>circular</w:t>
            </w:r>
            <w:r>
              <w:rPr>
                <w:color w:val="231F20"/>
                <w:spacing w:val="-19"/>
                <w:w w:val="75"/>
                <w:sz w:val="18"/>
              </w:rPr>
              <w:t xml:space="preserve"> </w:t>
            </w:r>
            <w:r>
              <w:rPr>
                <w:color w:val="231F20"/>
                <w:w w:val="75"/>
                <w:sz w:val="18"/>
              </w:rPr>
              <w:t>of</w:t>
            </w:r>
            <w:r>
              <w:rPr>
                <w:color w:val="231F20"/>
                <w:spacing w:val="-19"/>
                <w:w w:val="75"/>
                <w:sz w:val="18"/>
              </w:rPr>
              <w:t xml:space="preserve"> </w:t>
            </w:r>
            <w:r>
              <w:rPr>
                <w:color w:val="231F20"/>
                <w:w w:val="75"/>
                <w:sz w:val="18"/>
              </w:rPr>
              <w:t>various</w:t>
            </w:r>
            <w:r>
              <w:rPr>
                <w:color w:val="231F20"/>
                <w:spacing w:val="-18"/>
                <w:w w:val="75"/>
                <w:sz w:val="18"/>
              </w:rPr>
              <w:t xml:space="preserve"> </w:t>
            </w:r>
            <w:r>
              <w:rPr>
                <w:color w:val="231F20"/>
                <w:w w:val="75"/>
                <w:sz w:val="18"/>
              </w:rPr>
              <w:t>planning</w:t>
            </w:r>
            <w:r>
              <w:rPr>
                <w:color w:val="231F20"/>
                <w:spacing w:val="-19"/>
                <w:w w:val="75"/>
                <w:sz w:val="18"/>
              </w:rPr>
              <w:t xml:space="preserve"> </w:t>
            </w:r>
            <w:r>
              <w:rPr>
                <w:color w:val="231F20"/>
                <w:w w:val="75"/>
                <w:sz w:val="18"/>
              </w:rPr>
              <w:t>with</w:t>
            </w:r>
          </w:p>
          <w:p w14:paraId="53D33BE2" w14:textId="1A1D3018" w:rsidR="009948F1" w:rsidRDefault="00BC0563">
            <w:pPr>
              <w:pStyle w:val="TableParagraph"/>
              <w:spacing w:before="13"/>
              <w:ind w:left="19"/>
              <w:rPr>
                <w:sz w:val="18"/>
              </w:rPr>
            </w:pPr>
            <w:r>
              <w:rPr>
                <w:color w:val="231F20"/>
                <w:w w:val="75"/>
                <w:sz w:val="18"/>
              </w:rPr>
              <w:t xml:space="preserve">budget process </w:t>
            </w:r>
            <w:r w:rsidR="00DA4239">
              <w:rPr>
                <w:color w:val="231F20"/>
                <w:w w:val="75"/>
                <w:sz w:val="18"/>
              </w:rPr>
              <w:t>harmonized</w:t>
            </w:r>
          </w:p>
        </w:tc>
        <w:tc>
          <w:tcPr>
            <w:tcW w:w="1437" w:type="dxa"/>
            <w:tcBorders>
              <w:left w:val="single" w:sz="6" w:space="0" w:color="231F20"/>
            </w:tcBorders>
            <w:shd w:val="clear" w:color="auto" w:fill="CCE7D3"/>
          </w:tcPr>
          <w:p w14:paraId="69AD2AD6" w14:textId="77777777" w:rsidR="009948F1" w:rsidRDefault="009948F1">
            <w:pPr>
              <w:pStyle w:val="TableParagraph"/>
              <w:rPr>
                <w:rFonts w:ascii="Times New Roman"/>
                <w:sz w:val="10"/>
              </w:rPr>
            </w:pPr>
          </w:p>
        </w:tc>
        <w:tc>
          <w:tcPr>
            <w:tcW w:w="1514" w:type="dxa"/>
            <w:tcBorders>
              <w:right w:val="single" w:sz="6" w:space="0" w:color="231F20"/>
            </w:tcBorders>
            <w:shd w:val="clear" w:color="auto" w:fill="CCE7D3"/>
          </w:tcPr>
          <w:p w14:paraId="33513680" w14:textId="77777777" w:rsidR="009948F1" w:rsidRDefault="009948F1">
            <w:pPr>
              <w:pStyle w:val="TableParagraph"/>
              <w:rPr>
                <w:rFonts w:ascii="Times New Roman"/>
                <w:sz w:val="10"/>
              </w:rPr>
            </w:pPr>
          </w:p>
        </w:tc>
      </w:tr>
      <w:tr w:rsidR="009948F1" w14:paraId="1857B5A5" w14:textId="77777777">
        <w:trPr>
          <w:trHeight w:val="867"/>
        </w:trPr>
        <w:tc>
          <w:tcPr>
            <w:tcW w:w="997" w:type="dxa"/>
            <w:gridSpan w:val="3"/>
            <w:vMerge w:val="restart"/>
            <w:tcBorders>
              <w:top w:val="nil"/>
              <w:left w:val="single" w:sz="6" w:space="0" w:color="231F20"/>
              <w:bottom w:val="nil"/>
              <w:right w:val="single" w:sz="6" w:space="0" w:color="231F20"/>
            </w:tcBorders>
          </w:tcPr>
          <w:p w14:paraId="3D1E90DA" w14:textId="77777777" w:rsidR="009948F1" w:rsidRDefault="009948F1">
            <w:pPr>
              <w:pStyle w:val="TableParagraph"/>
              <w:rPr>
                <w:rFonts w:ascii="Times New Roman"/>
                <w:sz w:val="10"/>
              </w:rPr>
            </w:pPr>
          </w:p>
        </w:tc>
        <w:tc>
          <w:tcPr>
            <w:tcW w:w="530" w:type="dxa"/>
            <w:tcBorders>
              <w:left w:val="single" w:sz="6" w:space="0" w:color="231F20"/>
              <w:right w:val="single" w:sz="6" w:space="0" w:color="231F20"/>
            </w:tcBorders>
          </w:tcPr>
          <w:p w14:paraId="58A7CFA3" w14:textId="77777777" w:rsidR="009948F1" w:rsidRDefault="009948F1">
            <w:pPr>
              <w:pStyle w:val="TableParagraph"/>
              <w:rPr>
                <w:b/>
                <w:sz w:val="18"/>
              </w:rPr>
            </w:pPr>
          </w:p>
          <w:p w14:paraId="38D59541" w14:textId="77777777" w:rsidR="009948F1" w:rsidRDefault="00BC0563">
            <w:pPr>
              <w:pStyle w:val="TableParagraph"/>
              <w:spacing w:before="119"/>
              <w:ind w:left="39" w:right="27"/>
              <w:jc w:val="center"/>
              <w:rPr>
                <w:sz w:val="18"/>
              </w:rPr>
            </w:pPr>
            <w:r>
              <w:rPr>
                <w:color w:val="231F20"/>
                <w:w w:val="70"/>
                <w:sz w:val="18"/>
              </w:rPr>
              <w:t>1.2.2.a</w:t>
            </w:r>
          </w:p>
        </w:tc>
        <w:tc>
          <w:tcPr>
            <w:tcW w:w="4926" w:type="dxa"/>
            <w:gridSpan w:val="2"/>
            <w:tcBorders>
              <w:left w:val="single" w:sz="6" w:space="0" w:color="231F20"/>
              <w:right w:val="single" w:sz="6" w:space="0" w:color="231F20"/>
            </w:tcBorders>
          </w:tcPr>
          <w:p w14:paraId="74CBADCF" w14:textId="77777777" w:rsidR="009948F1" w:rsidRDefault="009948F1">
            <w:pPr>
              <w:pStyle w:val="TableParagraph"/>
              <w:spacing w:before="3"/>
              <w:rPr>
                <w:b/>
                <w:sz w:val="18"/>
              </w:rPr>
            </w:pPr>
          </w:p>
          <w:p w14:paraId="44D7DE2D" w14:textId="77777777" w:rsidR="009948F1" w:rsidRDefault="00BC0563">
            <w:pPr>
              <w:pStyle w:val="TableParagraph"/>
              <w:spacing w:line="254" w:lineRule="auto"/>
              <w:ind w:left="20" w:right="45"/>
              <w:rPr>
                <w:sz w:val="18"/>
              </w:rPr>
            </w:pPr>
            <w:r>
              <w:rPr>
                <w:color w:val="231F20"/>
                <w:w w:val="65"/>
                <w:sz w:val="18"/>
              </w:rPr>
              <w:t xml:space="preserve">Adopt Medium-Term Sector Strategy (MTSS) and Medium-Term Expenditure Framework </w:t>
            </w:r>
            <w:r>
              <w:rPr>
                <w:color w:val="231F20"/>
                <w:w w:val="70"/>
                <w:sz w:val="18"/>
              </w:rPr>
              <w:t>(MTEF)</w:t>
            </w:r>
            <w:r>
              <w:rPr>
                <w:color w:val="231F20"/>
                <w:spacing w:val="-17"/>
                <w:w w:val="70"/>
                <w:sz w:val="18"/>
              </w:rPr>
              <w:t xml:space="preserve"> </w:t>
            </w:r>
            <w:r>
              <w:rPr>
                <w:color w:val="231F20"/>
                <w:w w:val="70"/>
                <w:sz w:val="18"/>
              </w:rPr>
              <w:t>in</w:t>
            </w:r>
            <w:r>
              <w:rPr>
                <w:color w:val="231F20"/>
                <w:spacing w:val="-16"/>
                <w:w w:val="70"/>
                <w:sz w:val="18"/>
              </w:rPr>
              <w:t xml:space="preserve"> </w:t>
            </w:r>
            <w:r>
              <w:rPr>
                <w:color w:val="231F20"/>
                <w:w w:val="70"/>
                <w:sz w:val="18"/>
              </w:rPr>
              <w:t>the</w:t>
            </w:r>
            <w:r>
              <w:rPr>
                <w:color w:val="231F20"/>
                <w:spacing w:val="-16"/>
                <w:w w:val="70"/>
                <w:sz w:val="18"/>
              </w:rPr>
              <w:t xml:space="preserve"> </w:t>
            </w:r>
            <w:r>
              <w:rPr>
                <w:color w:val="231F20"/>
                <w:w w:val="70"/>
                <w:sz w:val="18"/>
              </w:rPr>
              <w:t>allocation</w:t>
            </w:r>
            <w:r>
              <w:rPr>
                <w:color w:val="231F20"/>
                <w:spacing w:val="-16"/>
                <w:w w:val="70"/>
                <w:sz w:val="18"/>
              </w:rPr>
              <w:t xml:space="preserve"> </w:t>
            </w:r>
            <w:r>
              <w:rPr>
                <w:color w:val="231F20"/>
                <w:w w:val="70"/>
                <w:sz w:val="18"/>
              </w:rPr>
              <w:t>and</w:t>
            </w:r>
            <w:r>
              <w:rPr>
                <w:color w:val="231F20"/>
                <w:spacing w:val="-16"/>
                <w:w w:val="70"/>
                <w:sz w:val="18"/>
              </w:rPr>
              <w:t xml:space="preserve"> </w:t>
            </w:r>
            <w:r>
              <w:rPr>
                <w:color w:val="231F20"/>
                <w:w w:val="70"/>
                <w:sz w:val="18"/>
              </w:rPr>
              <w:t>management</w:t>
            </w:r>
            <w:r>
              <w:rPr>
                <w:color w:val="231F20"/>
                <w:spacing w:val="-16"/>
                <w:w w:val="70"/>
                <w:sz w:val="18"/>
              </w:rPr>
              <w:t xml:space="preserve"> </w:t>
            </w:r>
            <w:r>
              <w:rPr>
                <w:color w:val="231F20"/>
                <w:w w:val="70"/>
                <w:sz w:val="18"/>
              </w:rPr>
              <w:t>of</w:t>
            </w:r>
            <w:r>
              <w:rPr>
                <w:color w:val="231F20"/>
                <w:spacing w:val="-16"/>
                <w:w w:val="70"/>
                <w:sz w:val="18"/>
              </w:rPr>
              <w:t xml:space="preserve"> </w:t>
            </w:r>
            <w:r>
              <w:rPr>
                <w:color w:val="231F20"/>
                <w:w w:val="70"/>
                <w:sz w:val="18"/>
              </w:rPr>
              <w:t>public</w:t>
            </w:r>
            <w:r>
              <w:rPr>
                <w:color w:val="231F20"/>
                <w:spacing w:val="-16"/>
                <w:w w:val="70"/>
                <w:sz w:val="18"/>
              </w:rPr>
              <w:t xml:space="preserve"> </w:t>
            </w:r>
            <w:r>
              <w:rPr>
                <w:color w:val="231F20"/>
                <w:w w:val="70"/>
                <w:sz w:val="18"/>
              </w:rPr>
              <w:t>sector</w:t>
            </w:r>
            <w:r>
              <w:rPr>
                <w:color w:val="231F20"/>
                <w:spacing w:val="-16"/>
                <w:w w:val="70"/>
                <w:sz w:val="18"/>
              </w:rPr>
              <w:t xml:space="preserve"> </w:t>
            </w:r>
            <w:r>
              <w:rPr>
                <w:color w:val="231F20"/>
                <w:w w:val="70"/>
                <w:sz w:val="18"/>
              </w:rPr>
              <w:t>health</w:t>
            </w:r>
            <w:r>
              <w:rPr>
                <w:color w:val="231F20"/>
                <w:spacing w:val="-16"/>
                <w:w w:val="70"/>
                <w:sz w:val="18"/>
              </w:rPr>
              <w:t xml:space="preserve"> </w:t>
            </w:r>
            <w:r>
              <w:rPr>
                <w:color w:val="231F20"/>
                <w:w w:val="70"/>
                <w:sz w:val="18"/>
              </w:rPr>
              <w:t>expenditure</w:t>
            </w:r>
            <w:r>
              <w:rPr>
                <w:color w:val="231F20"/>
                <w:spacing w:val="-17"/>
                <w:w w:val="70"/>
                <w:sz w:val="18"/>
              </w:rPr>
              <w:t xml:space="preserve"> </w:t>
            </w:r>
            <w:r>
              <w:rPr>
                <w:color w:val="231F20"/>
                <w:w w:val="70"/>
                <w:sz w:val="18"/>
              </w:rPr>
              <w:t>at</w:t>
            </w:r>
            <w:r>
              <w:rPr>
                <w:color w:val="231F20"/>
                <w:spacing w:val="-16"/>
                <w:w w:val="70"/>
                <w:sz w:val="18"/>
              </w:rPr>
              <w:t xml:space="preserve"> </w:t>
            </w:r>
            <w:r>
              <w:rPr>
                <w:color w:val="231F20"/>
                <w:w w:val="70"/>
                <w:sz w:val="18"/>
              </w:rPr>
              <w:t>State</w:t>
            </w:r>
          </w:p>
        </w:tc>
        <w:tc>
          <w:tcPr>
            <w:tcW w:w="1437" w:type="dxa"/>
            <w:tcBorders>
              <w:left w:val="single" w:sz="6" w:space="0" w:color="231F20"/>
            </w:tcBorders>
          </w:tcPr>
          <w:p w14:paraId="2873477B" w14:textId="77777777" w:rsidR="009948F1" w:rsidRDefault="009948F1">
            <w:pPr>
              <w:pStyle w:val="TableParagraph"/>
              <w:rPr>
                <w:b/>
                <w:sz w:val="18"/>
              </w:rPr>
            </w:pPr>
          </w:p>
          <w:p w14:paraId="6989F912" w14:textId="77777777" w:rsidR="009948F1" w:rsidRDefault="00BC0563">
            <w:pPr>
              <w:pStyle w:val="TableParagraph"/>
              <w:spacing w:before="119"/>
              <w:ind w:left="19"/>
              <w:rPr>
                <w:sz w:val="18"/>
              </w:rPr>
            </w:pPr>
            <w:r>
              <w:rPr>
                <w:color w:val="231F20"/>
                <w:w w:val="75"/>
                <w:sz w:val="18"/>
              </w:rPr>
              <w:t>Lack of funds</w:t>
            </w:r>
          </w:p>
        </w:tc>
        <w:tc>
          <w:tcPr>
            <w:tcW w:w="1514" w:type="dxa"/>
            <w:tcBorders>
              <w:right w:val="single" w:sz="6" w:space="0" w:color="231F20"/>
            </w:tcBorders>
          </w:tcPr>
          <w:p w14:paraId="6D251B00" w14:textId="77777777" w:rsidR="009948F1" w:rsidRDefault="00BC0563">
            <w:pPr>
              <w:pStyle w:val="TableParagraph"/>
              <w:spacing w:line="254" w:lineRule="auto"/>
              <w:ind w:left="15" w:right="25"/>
              <w:rPr>
                <w:sz w:val="18"/>
              </w:rPr>
            </w:pPr>
            <w:r>
              <w:rPr>
                <w:color w:val="231F20"/>
                <w:w w:val="65"/>
                <w:sz w:val="18"/>
              </w:rPr>
              <w:t xml:space="preserve">Adopt Medium-Term Sector </w:t>
            </w:r>
            <w:r>
              <w:rPr>
                <w:color w:val="231F20"/>
                <w:w w:val="75"/>
                <w:sz w:val="18"/>
              </w:rPr>
              <w:t xml:space="preserve">Strategy (MTSS) and </w:t>
            </w:r>
            <w:r>
              <w:rPr>
                <w:color w:val="231F20"/>
                <w:w w:val="65"/>
                <w:sz w:val="18"/>
              </w:rPr>
              <w:t>Medium-Term Expenditure</w:t>
            </w:r>
          </w:p>
          <w:p w14:paraId="4389CBAE" w14:textId="77777777" w:rsidR="009948F1" w:rsidRDefault="00BC0563">
            <w:pPr>
              <w:pStyle w:val="TableParagraph"/>
              <w:spacing w:line="190" w:lineRule="exact"/>
              <w:ind w:left="15"/>
              <w:rPr>
                <w:sz w:val="18"/>
              </w:rPr>
            </w:pPr>
            <w:r>
              <w:rPr>
                <w:color w:val="231F20"/>
                <w:w w:val="75"/>
                <w:sz w:val="18"/>
              </w:rPr>
              <w:t>Framework (MTEF)</w:t>
            </w:r>
          </w:p>
        </w:tc>
      </w:tr>
      <w:tr w:rsidR="009948F1" w14:paraId="66E49954" w14:textId="77777777">
        <w:trPr>
          <w:trHeight w:val="824"/>
        </w:trPr>
        <w:tc>
          <w:tcPr>
            <w:tcW w:w="997" w:type="dxa"/>
            <w:gridSpan w:val="3"/>
            <w:vMerge/>
            <w:tcBorders>
              <w:top w:val="nil"/>
              <w:left w:val="single" w:sz="6" w:space="0" w:color="231F20"/>
              <w:bottom w:val="nil"/>
              <w:right w:val="single" w:sz="6" w:space="0" w:color="231F20"/>
            </w:tcBorders>
          </w:tcPr>
          <w:p w14:paraId="77E02FD6" w14:textId="77777777" w:rsidR="009948F1" w:rsidRDefault="009948F1">
            <w:pPr>
              <w:rPr>
                <w:sz w:val="2"/>
                <w:szCs w:val="2"/>
              </w:rPr>
            </w:pPr>
          </w:p>
        </w:tc>
        <w:tc>
          <w:tcPr>
            <w:tcW w:w="530" w:type="dxa"/>
            <w:tcBorders>
              <w:left w:val="single" w:sz="6" w:space="0" w:color="231F20"/>
              <w:right w:val="single" w:sz="6" w:space="0" w:color="231F20"/>
            </w:tcBorders>
          </w:tcPr>
          <w:p w14:paraId="6E982E15" w14:textId="77777777" w:rsidR="009948F1" w:rsidRDefault="009948F1">
            <w:pPr>
              <w:pStyle w:val="TableParagraph"/>
              <w:spacing w:before="6"/>
              <w:rPr>
                <w:b/>
                <w:sz w:val="26"/>
              </w:rPr>
            </w:pPr>
          </w:p>
          <w:p w14:paraId="5F2CD9E2" w14:textId="77777777" w:rsidR="009948F1" w:rsidRDefault="00BC0563">
            <w:pPr>
              <w:pStyle w:val="TableParagraph"/>
              <w:ind w:left="39" w:right="27"/>
              <w:jc w:val="center"/>
              <w:rPr>
                <w:sz w:val="18"/>
              </w:rPr>
            </w:pPr>
            <w:r>
              <w:rPr>
                <w:color w:val="231F20"/>
                <w:w w:val="70"/>
                <w:sz w:val="18"/>
              </w:rPr>
              <w:t>1.2.2.b</w:t>
            </w:r>
          </w:p>
        </w:tc>
        <w:tc>
          <w:tcPr>
            <w:tcW w:w="4926" w:type="dxa"/>
            <w:gridSpan w:val="2"/>
            <w:tcBorders>
              <w:left w:val="single" w:sz="6" w:space="0" w:color="231F20"/>
              <w:right w:val="single" w:sz="6" w:space="0" w:color="231F20"/>
            </w:tcBorders>
          </w:tcPr>
          <w:p w14:paraId="56AF8F7D" w14:textId="77777777" w:rsidR="009948F1" w:rsidRDefault="009948F1">
            <w:pPr>
              <w:pStyle w:val="TableParagraph"/>
              <w:spacing w:before="4"/>
              <w:rPr>
                <w:b/>
                <w:sz w:val="16"/>
              </w:rPr>
            </w:pPr>
          </w:p>
          <w:p w14:paraId="282086D4" w14:textId="77777777" w:rsidR="009948F1" w:rsidRDefault="00BC0563">
            <w:pPr>
              <w:pStyle w:val="TableParagraph"/>
              <w:spacing w:line="254" w:lineRule="auto"/>
              <w:ind w:left="20" w:right="203"/>
              <w:rPr>
                <w:sz w:val="18"/>
              </w:rPr>
            </w:pPr>
            <w:r>
              <w:rPr>
                <w:color w:val="231F20"/>
                <w:w w:val="70"/>
                <w:sz w:val="18"/>
              </w:rPr>
              <w:t>Put</w:t>
            </w:r>
            <w:r>
              <w:rPr>
                <w:color w:val="231F20"/>
                <w:spacing w:val="-19"/>
                <w:w w:val="70"/>
                <w:sz w:val="18"/>
              </w:rPr>
              <w:t xml:space="preserve"> </w:t>
            </w:r>
            <w:r>
              <w:rPr>
                <w:color w:val="231F20"/>
                <w:w w:val="70"/>
                <w:sz w:val="18"/>
              </w:rPr>
              <w:t>in</w:t>
            </w:r>
            <w:r>
              <w:rPr>
                <w:color w:val="231F20"/>
                <w:spacing w:val="-19"/>
                <w:w w:val="70"/>
                <w:sz w:val="18"/>
              </w:rPr>
              <w:t xml:space="preserve"> </w:t>
            </w:r>
            <w:r>
              <w:rPr>
                <w:color w:val="231F20"/>
                <w:w w:val="70"/>
                <w:sz w:val="18"/>
              </w:rPr>
              <w:t>place</w:t>
            </w:r>
            <w:r>
              <w:rPr>
                <w:color w:val="231F20"/>
                <w:spacing w:val="-19"/>
                <w:w w:val="70"/>
                <w:sz w:val="18"/>
              </w:rPr>
              <w:t xml:space="preserve"> </w:t>
            </w:r>
            <w:r>
              <w:rPr>
                <w:color w:val="231F20"/>
                <w:w w:val="70"/>
                <w:sz w:val="18"/>
              </w:rPr>
              <w:t>a</w:t>
            </w:r>
            <w:r>
              <w:rPr>
                <w:color w:val="231F20"/>
                <w:spacing w:val="-18"/>
                <w:w w:val="70"/>
                <w:sz w:val="18"/>
              </w:rPr>
              <w:t xml:space="preserve"> </w:t>
            </w:r>
            <w:r>
              <w:rPr>
                <w:color w:val="231F20"/>
                <w:w w:val="70"/>
                <w:sz w:val="18"/>
              </w:rPr>
              <w:t>framework</w:t>
            </w:r>
            <w:r>
              <w:rPr>
                <w:color w:val="231F20"/>
                <w:spacing w:val="-19"/>
                <w:w w:val="70"/>
                <w:sz w:val="18"/>
              </w:rPr>
              <w:t xml:space="preserve"> </w:t>
            </w:r>
            <w:r>
              <w:rPr>
                <w:color w:val="231F20"/>
                <w:w w:val="70"/>
                <w:sz w:val="18"/>
              </w:rPr>
              <w:t>for</w:t>
            </w:r>
            <w:r>
              <w:rPr>
                <w:color w:val="231F20"/>
                <w:spacing w:val="-19"/>
                <w:w w:val="70"/>
                <w:sz w:val="18"/>
              </w:rPr>
              <w:t xml:space="preserve"> </w:t>
            </w:r>
            <w:r>
              <w:rPr>
                <w:color w:val="231F20"/>
                <w:w w:val="70"/>
                <w:sz w:val="18"/>
              </w:rPr>
              <w:t>regular</w:t>
            </w:r>
            <w:r>
              <w:rPr>
                <w:color w:val="231F20"/>
                <w:spacing w:val="-19"/>
                <w:w w:val="70"/>
                <w:sz w:val="18"/>
              </w:rPr>
              <w:t xml:space="preserve"> </w:t>
            </w:r>
            <w:r>
              <w:rPr>
                <w:color w:val="231F20"/>
                <w:w w:val="70"/>
                <w:sz w:val="18"/>
              </w:rPr>
              <w:t>evaluation</w:t>
            </w:r>
            <w:r>
              <w:rPr>
                <w:color w:val="231F20"/>
                <w:spacing w:val="-18"/>
                <w:w w:val="70"/>
                <w:sz w:val="18"/>
              </w:rPr>
              <w:t xml:space="preserve"> </w:t>
            </w:r>
            <w:r>
              <w:rPr>
                <w:color w:val="231F20"/>
                <w:w w:val="70"/>
                <w:sz w:val="18"/>
              </w:rPr>
              <w:t>of</w:t>
            </w:r>
            <w:r>
              <w:rPr>
                <w:color w:val="231F20"/>
                <w:spacing w:val="-19"/>
                <w:w w:val="70"/>
                <w:sz w:val="18"/>
              </w:rPr>
              <w:t xml:space="preserve"> </w:t>
            </w:r>
            <w:r>
              <w:rPr>
                <w:color w:val="231F20"/>
                <w:w w:val="70"/>
                <w:sz w:val="18"/>
              </w:rPr>
              <w:t>benefits</w:t>
            </w:r>
            <w:r>
              <w:rPr>
                <w:color w:val="231F20"/>
                <w:spacing w:val="-19"/>
                <w:w w:val="70"/>
                <w:sz w:val="18"/>
              </w:rPr>
              <w:t xml:space="preserve"> </w:t>
            </w:r>
            <w:r>
              <w:rPr>
                <w:color w:val="231F20"/>
                <w:w w:val="70"/>
                <w:sz w:val="18"/>
              </w:rPr>
              <w:t>and</w:t>
            </w:r>
            <w:r>
              <w:rPr>
                <w:color w:val="231F20"/>
                <w:spacing w:val="-18"/>
                <w:w w:val="70"/>
                <w:sz w:val="18"/>
              </w:rPr>
              <w:t xml:space="preserve"> </w:t>
            </w:r>
            <w:r>
              <w:rPr>
                <w:color w:val="231F20"/>
                <w:w w:val="70"/>
                <w:sz w:val="18"/>
              </w:rPr>
              <w:t>costs</w:t>
            </w:r>
            <w:r>
              <w:rPr>
                <w:color w:val="231F20"/>
                <w:spacing w:val="-19"/>
                <w:w w:val="70"/>
                <w:sz w:val="18"/>
              </w:rPr>
              <w:t xml:space="preserve"> </w:t>
            </w:r>
            <w:r>
              <w:rPr>
                <w:color w:val="231F20"/>
                <w:w w:val="70"/>
                <w:sz w:val="18"/>
              </w:rPr>
              <w:t>of</w:t>
            </w:r>
            <w:r>
              <w:rPr>
                <w:color w:val="231F20"/>
                <w:spacing w:val="-19"/>
                <w:w w:val="70"/>
                <w:sz w:val="18"/>
              </w:rPr>
              <w:t xml:space="preserve"> </w:t>
            </w:r>
            <w:r>
              <w:rPr>
                <w:color w:val="231F20"/>
                <w:w w:val="70"/>
                <w:sz w:val="18"/>
              </w:rPr>
              <w:t>interventions</w:t>
            </w:r>
            <w:r>
              <w:rPr>
                <w:color w:val="231F20"/>
                <w:spacing w:val="-19"/>
                <w:w w:val="70"/>
                <w:sz w:val="18"/>
              </w:rPr>
              <w:t xml:space="preserve"> </w:t>
            </w:r>
            <w:r>
              <w:rPr>
                <w:color w:val="231F20"/>
                <w:w w:val="70"/>
                <w:sz w:val="18"/>
              </w:rPr>
              <w:t xml:space="preserve">and </w:t>
            </w:r>
            <w:r>
              <w:rPr>
                <w:color w:val="231F20"/>
                <w:w w:val="75"/>
                <w:sz w:val="18"/>
              </w:rPr>
              <w:t>technologies</w:t>
            </w:r>
            <w:r>
              <w:rPr>
                <w:color w:val="231F20"/>
                <w:spacing w:val="-8"/>
                <w:w w:val="75"/>
                <w:sz w:val="18"/>
              </w:rPr>
              <w:t xml:space="preserve"> </w:t>
            </w:r>
            <w:r>
              <w:rPr>
                <w:color w:val="231F20"/>
                <w:w w:val="75"/>
                <w:sz w:val="18"/>
              </w:rPr>
              <w:t>to</w:t>
            </w:r>
            <w:r>
              <w:rPr>
                <w:color w:val="231F20"/>
                <w:spacing w:val="-8"/>
                <w:w w:val="75"/>
                <w:sz w:val="18"/>
              </w:rPr>
              <w:t xml:space="preserve"> </w:t>
            </w:r>
            <w:r>
              <w:rPr>
                <w:color w:val="231F20"/>
                <w:w w:val="75"/>
                <w:sz w:val="18"/>
              </w:rPr>
              <w:t>ensure</w:t>
            </w:r>
            <w:r>
              <w:rPr>
                <w:color w:val="231F20"/>
                <w:spacing w:val="-7"/>
                <w:w w:val="75"/>
                <w:sz w:val="18"/>
              </w:rPr>
              <w:t xml:space="preserve"> </w:t>
            </w:r>
            <w:r>
              <w:rPr>
                <w:color w:val="231F20"/>
                <w:w w:val="75"/>
                <w:sz w:val="18"/>
              </w:rPr>
              <w:t>optimal</w:t>
            </w:r>
            <w:r>
              <w:rPr>
                <w:color w:val="231F20"/>
                <w:spacing w:val="-8"/>
                <w:w w:val="75"/>
                <w:sz w:val="18"/>
              </w:rPr>
              <w:t xml:space="preserve"> </w:t>
            </w:r>
            <w:r>
              <w:rPr>
                <w:color w:val="231F20"/>
                <w:w w:val="75"/>
                <w:sz w:val="18"/>
              </w:rPr>
              <w:t>choices</w:t>
            </w:r>
          </w:p>
        </w:tc>
        <w:tc>
          <w:tcPr>
            <w:tcW w:w="1437" w:type="dxa"/>
            <w:tcBorders>
              <w:left w:val="single" w:sz="6" w:space="0" w:color="231F20"/>
            </w:tcBorders>
          </w:tcPr>
          <w:p w14:paraId="02E13362" w14:textId="77777777" w:rsidR="009948F1" w:rsidRDefault="009948F1">
            <w:pPr>
              <w:pStyle w:val="TableParagraph"/>
              <w:spacing w:before="6"/>
              <w:rPr>
                <w:b/>
                <w:sz w:val="26"/>
              </w:rPr>
            </w:pPr>
          </w:p>
          <w:p w14:paraId="147CEB34" w14:textId="77777777" w:rsidR="009948F1" w:rsidRDefault="00BC0563">
            <w:pPr>
              <w:pStyle w:val="TableParagraph"/>
              <w:ind w:left="19"/>
              <w:rPr>
                <w:sz w:val="18"/>
              </w:rPr>
            </w:pPr>
            <w:r>
              <w:rPr>
                <w:color w:val="231F20"/>
                <w:w w:val="75"/>
                <w:sz w:val="18"/>
              </w:rPr>
              <w:t>Lack of funds</w:t>
            </w:r>
          </w:p>
        </w:tc>
        <w:tc>
          <w:tcPr>
            <w:tcW w:w="1514" w:type="dxa"/>
            <w:tcBorders>
              <w:right w:val="single" w:sz="6" w:space="0" w:color="231F20"/>
            </w:tcBorders>
          </w:tcPr>
          <w:p w14:paraId="1757F101" w14:textId="77777777" w:rsidR="009948F1" w:rsidRDefault="009948F1">
            <w:pPr>
              <w:pStyle w:val="TableParagraph"/>
              <w:rPr>
                <w:b/>
                <w:sz w:val="17"/>
              </w:rPr>
            </w:pPr>
          </w:p>
          <w:p w14:paraId="23C565F1" w14:textId="77777777" w:rsidR="009948F1" w:rsidRDefault="00BC0563">
            <w:pPr>
              <w:pStyle w:val="TableParagraph"/>
              <w:spacing w:line="254" w:lineRule="auto"/>
              <w:ind w:left="15" w:right="193"/>
              <w:rPr>
                <w:sz w:val="18"/>
              </w:rPr>
            </w:pPr>
            <w:r>
              <w:rPr>
                <w:color w:val="231F20"/>
                <w:w w:val="70"/>
                <w:sz w:val="18"/>
              </w:rPr>
              <w:t xml:space="preserve">Put in place evaluation </w:t>
            </w:r>
            <w:r>
              <w:rPr>
                <w:color w:val="231F20"/>
                <w:w w:val="75"/>
                <w:sz w:val="18"/>
              </w:rPr>
              <w:t>framework</w:t>
            </w:r>
          </w:p>
        </w:tc>
      </w:tr>
      <w:tr w:rsidR="009948F1" w14:paraId="1BDEA4DB" w14:textId="77777777">
        <w:trPr>
          <w:trHeight w:val="683"/>
        </w:trPr>
        <w:tc>
          <w:tcPr>
            <w:tcW w:w="997" w:type="dxa"/>
            <w:gridSpan w:val="3"/>
            <w:vMerge/>
            <w:tcBorders>
              <w:top w:val="nil"/>
              <w:left w:val="single" w:sz="6" w:space="0" w:color="231F20"/>
              <w:bottom w:val="nil"/>
              <w:right w:val="single" w:sz="6" w:space="0" w:color="231F20"/>
            </w:tcBorders>
          </w:tcPr>
          <w:p w14:paraId="6ADB0FFE" w14:textId="77777777" w:rsidR="009948F1" w:rsidRDefault="009948F1">
            <w:pPr>
              <w:rPr>
                <w:sz w:val="2"/>
                <w:szCs w:val="2"/>
              </w:rPr>
            </w:pPr>
          </w:p>
        </w:tc>
        <w:tc>
          <w:tcPr>
            <w:tcW w:w="530" w:type="dxa"/>
            <w:tcBorders>
              <w:left w:val="single" w:sz="6" w:space="0" w:color="231F20"/>
              <w:right w:val="single" w:sz="6" w:space="0" w:color="231F20"/>
            </w:tcBorders>
          </w:tcPr>
          <w:p w14:paraId="7101735D" w14:textId="77777777" w:rsidR="009948F1" w:rsidRDefault="009948F1">
            <w:pPr>
              <w:pStyle w:val="TableParagraph"/>
              <w:spacing w:before="5"/>
              <w:rPr>
                <w:b/>
                <w:sz w:val="20"/>
              </w:rPr>
            </w:pPr>
          </w:p>
          <w:p w14:paraId="5FB3ACCC" w14:textId="77777777" w:rsidR="009948F1" w:rsidRDefault="00BC0563">
            <w:pPr>
              <w:pStyle w:val="TableParagraph"/>
              <w:ind w:left="39" w:right="27"/>
              <w:jc w:val="center"/>
              <w:rPr>
                <w:sz w:val="18"/>
              </w:rPr>
            </w:pPr>
            <w:r>
              <w:rPr>
                <w:color w:val="231F20"/>
                <w:w w:val="70"/>
                <w:sz w:val="18"/>
              </w:rPr>
              <w:t>1.2.2.c</w:t>
            </w:r>
          </w:p>
        </w:tc>
        <w:tc>
          <w:tcPr>
            <w:tcW w:w="4926" w:type="dxa"/>
            <w:gridSpan w:val="2"/>
            <w:tcBorders>
              <w:left w:val="single" w:sz="6" w:space="0" w:color="231F20"/>
              <w:right w:val="single" w:sz="6" w:space="0" w:color="231F20"/>
            </w:tcBorders>
          </w:tcPr>
          <w:p w14:paraId="0AF8EB40" w14:textId="77777777" w:rsidR="009948F1" w:rsidRDefault="00BC0563">
            <w:pPr>
              <w:pStyle w:val="TableParagraph"/>
              <w:spacing w:before="117" w:line="254" w:lineRule="auto"/>
              <w:ind w:left="20" w:right="234"/>
              <w:rPr>
                <w:sz w:val="18"/>
              </w:rPr>
            </w:pPr>
            <w:r>
              <w:rPr>
                <w:color w:val="231F20"/>
                <w:w w:val="70"/>
                <w:sz w:val="18"/>
              </w:rPr>
              <w:t>Train</w:t>
            </w:r>
            <w:r>
              <w:rPr>
                <w:color w:val="231F20"/>
                <w:spacing w:val="-21"/>
                <w:w w:val="70"/>
                <w:sz w:val="18"/>
              </w:rPr>
              <w:t xml:space="preserve"> </w:t>
            </w:r>
            <w:r>
              <w:rPr>
                <w:color w:val="231F20"/>
                <w:w w:val="70"/>
                <w:sz w:val="18"/>
              </w:rPr>
              <w:t>all</w:t>
            </w:r>
            <w:r>
              <w:rPr>
                <w:color w:val="231F20"/>
                <w:spacing w:val="-20"/>
                <w:w w:val="70"/>
                <w:sz w:val="18"/>
              </w:rPr>
              <w:t xml:space="preserve"> </w:t>
            </w:r>
            <w:r>
              <w:rPr>
                <w:color w:val="231F20"/>
                <w:w w:val="70"/>
                <w:sz w:val="18"/>
              </w:rPr>
              <w:t>key</w:t>
            </w:r>
            <w:r>
              <w:rPr>
                <w:color w:val="231F20"/>
                <w:spacing w:val="-21"/>
                <w:w w:val="70"/>
                <w:sz w:val="18"/>
              </w:rPr>
              <w:t xml:space="preserve"> </w:t>
            </w:r>
            <w:r>
              <w:rPr>
                <w:color w:val="231F20"/>
                <w:w w:val="70"/>
                <w:sz w:val="18"/>
              </w:rPr>
              <w:t>officers</w:t>
            </w:r>
            <w:r>
              <w:rPr>
                <w:color w:val="231F20"/>
                <w:spacing w:val="-20"/>
                <w:w w:val="70"/>
                <w:sz w:val="18"/>
              </w:rPr>
              <w:t xml:space="preserve"> </w:t>
            </w:r>
            <w:r>
              <w:rPr>
                <w:color w:val="231F20"/>
                <w:w w:val="70"/>
                <w:sz w:val="18"/>
              </w:rPr>
              <w:t>responsible</w:t>
            </w:r>
            <w:r>
              <w:rPr>
                <w:color w:val="231F20"/>
                <w:spacing w:val="-21"/>
                <w:w w:val="70"/>
                <w:sz w:val="18"/>
              </w:rPr>
              <w:t xml:space="preserve"> </w:t>
            </w:r>
            <w:r>
              <w:rPr>
                <w:color w:val="231F20"/>
                <w:w w:val="70"/>
                <w:sz w:val="18"/>
              </w:rPr>
              <w:t>for</w:t>
            </w:r>
            <w:r>
              <w:rPr>
                <w:color w:val="231F20"/>
                <w:spacing w:val="-20"/>
                <w:w w:val="70"/>
                <w:sz w:val="18"/>
              </w:rPr>
              <w:t xml:space="preserve"> </w:t>
            </w:r>
            <w:r>
              <w:rPr>
                <w:color w:val="231F20"/>
                <w:w w:val="70"/>
                <w:sz w:val="18"/>
              </w:rPr>
              <w:t>budgeting</w:t>
            </w:r>
            <w:r>
              <w:rPr>
                <w:color w:val="231F20"/>
                <w:spacing w:val="-21"/>
                <w:w w:val="70"/>
                <w:sz w:val="18"/>
              </w:rPr>
              <w:t xml:space="preserve"> </w:t>
            </w:r>
            <w:r>
              <w:rPr>
                <w:color w:val="231F20"/>
                <w:w w:val="70"/>
                <w:sz w:val="18"/>
              </w:rPr>
              <w:t>and</w:t>
            </w:r>
            <w:r>
              <w:rPr>
                <w:color w:val="231F20"/>
                <w:spacing w:val="-20"/>
                <w:w w:val="70"/>
                <w:sz w:val="18"/>
              </w:rPr>
              <w:t xml:space="preserve"> </w:t>
            </w:r>
            <w:r>
              <w:rPr>
                <w:color w:val="231F20"/>
                <w:w w:val="70"/>
                <w:sz w:val="18"/>
              </w:rPr>
              <w:t>planning</w:t>
            </w:r>
            <w:r>
              <w:rPr>
                <w:color w:val="231F20"/>
                <w:spacing w:val="-21"/>
                <w:w w:val="70"/>
                <w:sz w:val="18"/>
              </w:rPr>
              <w:t xml:space="preserve"> </w:t>
            </w:r>
            <w:r>
              <w:rPr>
                <w:color w:val="231F20"/>
                <w:w w:val="70"/>
                <w:sz w:val="18"/>
              </w:rPr>
              <w:t>in</w:t>
            </w:r>
            <w:r>
              <w:rPr>
                <w:color w:val="231F20"/>
                <w:spacing w:val="-20"/>
                <w:w w:val="70"/>
                <w:sz w:val="18"/>
              </w:rPr>
              <w:t xml:space="preserve"> </w:t>
            </w:r>
            <w:r>
              <w:rPr>
                <w:color w:val="231F20"/>
                <w:w w:val="70"/>
                <w:sz w:val="18"/>
              </w:rPr>
              <w:t>the</w:t>
            </w:r>
            <w:r>
              <w:rPr>
                <w:color w:val="231F20"/>
                <w:spacing w:val="-20"/>
                <w:w w:val="70"/>
                <w:sz w:val="18"/>
              </w:rPr>
              <w:t xml:space="preserve"> </w:t>
            </w:r>
            <w:r>
              <w:rPr>
                <w:color w:val="231F20"/>
                <w:w w:val="70"/>
                <w:sz w:val="18"/>
              </w:rPr>
              <w:t>SMOH,</w:t>
            </w:r>
            <w:r>
              <w:rPr>
                <w:color w:val="231F20"/>
                <w:spacing w:val="-21"/>
                <w:w w:val="70"/>
                <w:sz w:val="18"/>
              </w:rPr>
              <w:t xml:space="preserve"> </w:t>
            </w:r>
            <w:r>
              <w:rPr>
                <w:color w:val="231F20"/>
                <w:w w:val="70"/>
                <w:sz w:val="18"/>
              </w:rPr>
              <w:t>RSPHCMB</w:t>
            </w:r>
            <w:r>
              <w:rPr>
                <w:color w:val="231F20"/>
                <w:spacing w:val="-20"/>
                <w:w w:val="70"/>
                <w:sz w:val="18"/>
              </w:rPr>
              <w:t xml:space="preserve"> </w:t>
            </w:r>
            <w:r>
              <w:rPr>
                <w:color w:val="231F20"/>
                <w:w w:val="70"/>
                <w:sz w:val="18"/>
              </w:rPr>
              <w:t xml:space="preserve">&amp; </w:t>
            </w:r>
            <w:r>
              <w:rPr>
                <w:color w:val="231F20"/>
                <w:w w:val="75"/>
                <w:sz w:val="18"/>
              </w:rPr>
              <w:t>RSHMB on budget and</w:t>
            </w:r>
            <w:r>
              <w:rPr>
                <w:color w:val="231F20"/>
                <w:spacing w:val="-27"/>
                <w:w w:val="75"/>
                <w:sz w:val="18"/>
              </w:rPr>
              <w:t xml:space="preserve"> </w:t>
            </w:r>
            <w:r>
              <w:rPr>
                <w:color w:val="231F20"/>
                <w:w w:val="75"/>
                <w:sz w:val="18"/>
              </w:rPr>
              <w:t>planning</w:t>
            </w:r>
          </w:p>
        </w:tc>
        <w:tc>
          <w:tcPr>
            <w:tcW w:w="1437" w:type="dxa"/>
            <w:tcBorders>
              <w:left w:val="single" w:sz="6" w:space="0" w:color="231F20"/>
            </w:tcBorders>
          </w:tcPr>
          <w:p w14:paraId="0A65A143" w14:textId="77777777" w:rsidR="009948F1" w:rsidRDefault="009948F1">
            <w:pPr>
              <w:pStyle w:val="TableParagraph"/>
              <w:spacing w:before="5"/>
              <w:rPr>
                <w:b/>
                <w:sz w:val="20"/>
              </w:rPr>
            </w:pPr>
          </w:p>
          <w:p w14:paraId="77E844DA" w14:textId="77777777" w:rsidR="009948F1" w:rsidRDefault="00BC0563">
            <w:pPr>
              <w:pStyle w:val="TableParagraph"/>
              <w:ind w:left="19"/>
              <w:rPr>
                <w:sz w:val="18"/>
              </w:rPr>
            </w:pPr>
            <w:r>
              <w:rPr>
                <w:color w:val="231F20"/>
                <w:w w:val="75"/>
                <w:sz w:val="18"/>
              </w:rPr>
              <w:t>Lack of funds</w:t>
            </w:r>
          </w:p>
        </w:tc>
        <w:tc>
          <w:tcPr>
            <w:tcW w:w="1514" w:type="dxa"/>
            <w:tcBorders>
              <w:right w:val="single" w:sz="6" w:space="0" w:color="231F20"/>
            </w:tcBorders>
          </w:tcPr>
          <w:p w14:paraId="24A66445" w14:textId="77777777" w:rsidR="009948F1" w:rsidRDefault="009948F1">
            <w:pPr>
              <w:pStyle w:val="TableParagraph"/>
              <w:spacing w:before="5"/>
              <w:rPr>
                <w:b/>
                <w:sz w:val="20"/>
              </w:rPr>
            </w:pPr>
          </w:p>
          <w:p w14:paraId="1E617553" w14:textId="77777777" w:rsidR="009948F1" w:rsidRDefault="00BC0563">
            <w:pPr>
              <w:pStyle w:val="TableParagraph"/>
              <w:ind w:left="15"/>
              <w:rPr>
                <w:sz w:val="18"/>
              </w:rPr>
            </w:pPr>
            <w:r>
              <w:rPr>
                <w:color w:val="231F20"/>
                <w:w w:val="75"/>
                <w:sz w:val="18"/>
              </w:rPr>
              <w:t>Train all key officers</w:t>
            </w:r>
          </w:p>
        </w:tc>
      </w:tr>
      <w:tr w:rsidR="009948F1" w14:paraId="5407D712" w14:textId="77777777">
        <w:trPr>
          <w:trHeight w:val="440"/>
        </w:trPr>
        <w:tc>
          <w:tcPr>
            <w:tcW w:w="997" w:type="dxa"/>
            <w:gridSpan w:val="3"/>
            <w:vMerge/>
            <w:tcBorders>
              <w:top w:val="nil"/>
              <w:left w:val="single" w:sz="6" w:space="0" w:color="231F20"/>
              <w:bottom w:val="nil"/>
              <w:right w:val="single" w:sz="6" w:space="0" w:color="231F20"/>
            </w:tcBorders>
          </w:tcPr>
          <w:p w14:paraId="476725C6" w14:textId="77777777" w:rsidR="009948F1" w:rsidRDefault="009948F1">
            <w:pPr>
              <w:rPr>
                <w:sz w:val="2"/>
                <w:szCs w:val="2"/>
              </w:rPr>
            </w:pPr>
          </w:p>
        </w:tc>
        <w:tc>
          <w:tcPr>
            <w:tcW w:w="530" w:type="dxa"/>
            <w:tcBorders>
              <w:left w:val="single" w:sz="6" w:space="0" w:color="231F20"/>
              <w:right w:val="single" w:sz="6" w:space="0" w:color="231F20"/>
            </w:tcBorders>
          </w:tcPr>
          <w:p w14:paraId="5B20E9F4" w14:textId="77777777" w:rsidR="009948F1" w:rsidRDefault="00BC0563">
            <w:pPr>
              <w:pStyle w:val="TableParagraph"/>
              <w:spacing w:before="113"/>
              <w:ind w:left="39" w:right="27"/>
              <w:jc w:val="center"/>
              <w:rPr>
                <w:sz w:val="18"/>
              </w:rPr>
            </w:pPr>
            <w:r>
              <w:rPr>
                <w:color w:val="231F20"/>
                <w:w w:val="70"/>
                <w:sz w:val="18"/>
              </w:rPr>
              <w:t>1.2.2.d</w:t>
            </w:r>
          </w:p>
        </w:tc>
        <w:tc>
          <w:tcPr>
            <w:tcW w:w="4926" w:type="dxa"/>
            <w:gridSpan w:val="2"/>
            <w:tcBorders>
              <w:left w:val="single" w:sz="6" w:space="0" w:color="231F20"/>
              <w:right w:val="single" w:sz="6" w:space="0" w:color="231F20"/>
            </w:tcBorders>
          </w:tcPr>
          <w:p w14:paraId="18BC2B5B" w14:textId="77777777" w:rsidR="009948F1" w:rsidRDefault="00BC0563">
            <w:pPr>
              <w:pStyle w:val="TableParagraph"/>
              <w:spacing w:line="202" w:lineRule="exact"/>
              <w:ind w:left="20"/>
              <w:rPr>
                <w:sz w:val="18"/>
              </w:rPr>
            </w:pPr>
            <w:r>
              <w:rPr>
                <w:color w:val="231F20"/>
                <w:w w:val="75"/>
                <w:sz w:val="18"/>
              </w:rPr>
              <w:t>Create</w:t>
            </w:r>
            <w:r>
              <w:rPr>
                <w:color w:val="231F20"/>
                <w:spacing w:val="-25"/>
                <w:w w:val="75"/>
                <w:sz w:val="18"/>
              </w:rPr>
              <w:t xml:space="preserve"> </w:t>
            </w:r>
            <w:r>
              <w:rPr>
                <w:color w:val="231F20"/>
                <w:w w:val="75"/>
                <w:sz w:val="18"/>
              </w:rPr>
              <w:t>Platform</w:t>
            </w:r>
            <w:r>
              <w:rPr>
                <w:color w:val="231F20"/>
                <w:spacing w:val="-24"/>
                <w:w w:val="75"/>
                <w:sz w:val="18"/>
              </w:rPr>
              <w:t xml:space="preserve"> </w:t>
            </w:r>
            <w:r>
              <w:rPr>
                <w:color w:val="231F20"/>
                <w:w w:val="75"/>
                <w:sz w:val="18"/>
              </w:rPr>
              <w:t>for</w:t>
            </w:r>
            <w:r>
              <w:rPr>
                <w:color w:val="231F20"/>
                <w:spacing w:val="-24"/>
                <w:w w:val="75"/>
                <w:sz w:val="18"/>
              </w:rPr>
              <w:t xml:space="preserve"> </w:t>
            </w:r>
            <w:r>
              <w:rPr>
                <w:color w:val="231F20"/>
                <w:w w:val="75"/>
                <w:sz w:val="18"/>
              </w:rPr>
              <w:t>the</w:t>
            </w:r>
            <w:r>
              <w:rPr>
                <w:color w:val="231F20"/>
                <w:spacing w:val="-25"/>
                <w:w w:val="75"/>
                <w:sz w:val="18"/>
              </w:rPr>
              <w:t xml:space="preserve"> </w:t>
            </w:r>
            <w:r>
              <w:rPr>
                <w:color w:val="231F20"/>
                <w:w w:val="75"/>
                <w:sz w:val="18"/>
              </w:rPr>
              <w:t>planning</w:t>
            </w:r>
            <w:r>
              <w:rPr>
                <w:color w:val="231F20"/>
                <w:spacing w:val="-24"/>
                <w:w w:val="75"/>
                <w:sz w:val="18"/>
              </w:rPr>
              <w:t xml:space="preserve"> </w:t>
            </w:r>
            <w:r>
              <w:rPr>
                <w:color w:val="231F20"/>
                <w:w w:val="75"/>
                <w:sz w:val="18"/>
              </w:rPr>
              <w:t>and</w:t>
            </w:r>
            <w:r>
              <w:rPr>
                <w:color w:val="231F20"/>
                <w:spacing w:val="-24"/>
                <w:w w:val="75"/>
                <w:sz w:val="18"/>
              </w:rPr>
              <w:t xml:space="preserve"> </w:t>
            </w:r>
            <w:r>
              <w:rPr>
                <w:color w:val="231F20"/>
                <w:w w:val="75"/>
                <w:sz w:val="18"/>
              </w:rPr>
              <w:t>budget</w:t>
            </w:r>
            <w:r>
              <w:rPr>
                <w:color w:val="231F20"/>
                <w:spacing w:val="-25"/>
                <w:w w:val="75"/>
                <w:sz w:val="18"/>
              </w:rPr>
              <w:t xml:space="preserve"> </w:t>
            </w:r>
            <w:r>
              <w:rPr>
                <w:color w:val="231F20"/>
                <w:w w:val="75"/>
                <w:sz w:val="18"/>
              </w:rPr>
              <w:t>officers</w:t>
            </w:r>
            <w:r>
              <w:rPr>
                <w:color w:val="231F20"/>
                <w:spacing w:val="-24"/>
                <w:w w:val="75"/>
                <w:sz w:val="18"/>
              </w:rPr>
              <w:t xml:space="preserve"> </w:t>
            </w:r>
            <w:r>
              <w:rPr>
                <w:color w:val="231F20"/>
                <w:w w:val="75"/>
                <w:sz w:val="18"/>
              </w:rPr>
              <w:t>to</w:t>
            </w:r>
            <w:r>
              <w:rPr>
                <w:color w:val="231F20"/>
                <w:spacing w:val="-24"/>
                <w:w w:val="75"/>
                <w:sz w:val="18"/>
              </w:rPr>
              <w:t xml:space="preserve"> </w:t>
            </w:r>
            <w:r>
              <w:rPr>
                <w:color w:val="231F20"/>
                <w:w w:val="75"/>
                <w:sz w:val="18"/>
              </w:rPr>
              <w:t>work</w:t>
            </w:r>
            <w:r>
              <w:rPr>
                <w:color w:val="231F20"/>
                <w:spacing w:val="-25"/>
                <w:w w:val="75"/>
                <w:sz w:val="18"/>
              </w:rPr>
              <w:t xml:space="preserve"> </w:t>
            </w:r>
            <w:r>
              <w:rPr>
                <w:color w:val="231F20"/>
                <w:w w:val="75"/>
                <w:sz w:val="18"/>
              </w:rPr>
              <w:t>together</w:t>
            </w:r>
            <w:r>
              <w:rPr>
                <w:color w:val="231F20"/>
                <w:spacing w:val="-24"/>
                <w:w w:val="75"/>
                <w:sz w:val="18"/>
              </w:rPr>
              <w:t xml:space="preserve"> </w:t>
            </w:r>
            <w:r>
              <w:rPr>
                <w:color w:val="231F20"/>
                <w:w w:val="75"/>
                <w:sz w:val="18"/>
              </w:rPr>
              <w:t>to</w:t>
            </w:r>
            <w:r>
              <w:rPr>
                <w:color w:val="231F20"/>
                <w:spacing w:val="-24"/>
                <w:w w:val="75"/>
                <w:sz w:val="18"/>
              </w:rPr>
              <w:t xml:space="preserve"> </w:t>
            </w:r>
            <w:r>
              <w:rPr>
                <w:color w:val="231F20"/>
                <w:w w:val="75"/>
                <w:sz w:val="18"/>
              </w:rPr>
              <w:t>optimize</w:t>
            </w:r>
            <w:r>
              <w:rPr>
                <w:color w:val="231F20"/>
                <w:spacing w:val="-25"/>
                <w:w w:val="75"/>
                <w:sz w:val="18"/>
              </w:rPr>
              <w:t xml:space="preserve"> </w:t>
            </w:r>
            <w:r>
              <w:rPr>
                <w:color w:val="231F20"/>
                <w:w w:val="75"/>
                <w:sz w:val="18"/>
              </w:rPr>
              <w:t>the</w:t>
            </w:r>
          </w:p>
          <w:p w14:paraId="05D80340" w14:textId="77777777" w:rsidR="009948F1" w:rsidRDefault="00BC0563">
            <w:pPr>
              <w:pStyle w:val="TableParagraph"/>
              <w:spacing w:before="13" w:line="205" w:lineRule="exact"/>
              <w:ind w:left="20"/>
              <w:rPr>
                <w:sz w:val="18"/>
              </w:rPr>
            </w:pPr>
            <w:r>
              <w:rPr>
                <w:color w:val="231F20"/>
                <w:w w:val="75"/>
                <w:sz w:val="18"/>
              </w:rPr>
              <w:t>synergy</w:t>
            </w:r>
          </w:p>
        </w:tc>
        <w:tc>
          <w:tcPr>
            <w:tcW w:w="1437" w:type="dxa"/>
            <w:tcBorders>
              <w:left w:val="single" w:sz="6" w:space="0" w:color="231F20"/>
            </w:tcBorders>
          </w:tcPr>
          <w:p w14:paraId="4B0162C6" w14:textId="77777777" w:rsidR="009948F1" w:rsidRDefault="00BC0563">
            <w:pPr>
              <w:pStyle w:val="TableParagraph"/>
              <w:spacing w:before="113"/>
              <w:ind w:left="19"/>
              <w:rPr>
                <w:sz w:val="18"/>
              </w:rPr>
            </w:pPr>
            <w:r>
              <w:rPr>
                <w:color w:val="231F20"/>
                <w:w w:val="75"/>
                <w:sz w:val="18"/>
              </w:rPr>
              <w:t>Lack of funds</w:t>
            </w:r>
          </w:p>
        </w:tc>
        <w:tc>
          <w:tcPr>
            <w:tcW w:w="1514" w:type="dxa"/>
            <w:tcBorders>
              <w:right w:val="single" w:sz="6" w:space="0" w:color="231F20"/>
            </w:tcBorders>
          </w:tcPr>
          <w:p w14:paraId="0F372C6F" w14:textId="77777777" w:rsidR="009948F1" w:rsidRDefault="00BC0563">
            <w:pPr>
              <w:pStyle w:val="TableParagraph"/>
              <w:spacing w:before="2"/>
              <w:ind w:left="15"/>
              <w:rPr>
                <w:sz w:val="18"/>
              </w:rPr>
            </w:pPr>
            <w:r>
              <w:rPr>
                <w:color w:val="231F20"/>
                <w:w w:val="75"/>
                <w:sz w:val="18"/>
              </w:rPr>
              <w:t>Create Platform for the</w:t>
            </w:r>
          </w:p>
          <w:p w14:paraId="52B06462" w14:textId="77777777" w:rsidR="009948F1" w:rsidRDefault="00BC0563">
            <w:pPr>
              <w:pStyle w:val="TableParagraph"/>
              <w:spacing w:before="13" w:line="197" w:lineRule="exact"/>
              <w:ind w:left="15"/>
              <w:rPr>
                <w:sz w:val="18"/>
              </w:rPr>
            </w:pPr>
            <w:r>
              <w:rPr>
                <w:color w:val="231F20"/>
                <w:w w:val="75"/>
                <w:sz w:val="18"/>
              </w:rPr>
              <w:t>planning and budget</w:t>
            </w:r>
          </w:p>
        </w:tc>
      </w:tr>
      <w:tr w:rsidR="009948F1" w14:paraId="6C9B150A" w14:textId="77777777">
        <w:trPr>
          <w:trHeight w:val="429"/>
        </w:trPr>
        <w:tc>
          <w:tcPr>
            <w:tcW w:w="997" w:type="dxa"/>
            <w:gridSpan w:val="3"/>
            <w:vMerge/>
            <w:tcBorders>
              <w:top w:val="nil"/>
              <w:left w:val="single" w:sz="6" w:space="0" w:color="231F20"/>
              <w:bottom w:val="nil"/>
              <w:right w:val="single" w:sz="6" w:space="0" w:color="231F20"/>
            </w:tcBorders>
          </w:tcPr>
          <w:p w14:paraId="4BD2B4B7" w14:textId="77777777" w:rsidR="009948F1" w:rsidRDefault="009948F1">
            <w:pPr>
              <w:rPr>
                <w:sz w:val="2"/>
                <w:szCs w:val="2"/>
              </w:rPr>
            </w:pPr>
          </w:p>
        </w:tc>
        <w:tc>
          <w:tcPr>
            <w:tcW w:w="530" w:type="dxa"/>
            <w:tcBorders>
              <w:left w:val="single" w:sz="6" w:space="0" w:color="231F20"/>
              <w:right w:val="single" w:sz="6" w:space="0" w:color="231F20"/>
            </w:tcBorders>
          </w:tcPr>
          <w:p w14:paraId="6D6BAEE3" w14:textId="77777777" w:rsidR="009948F1" w:rsidRDefault="00BC0563">
            <w:pPr>
              <w:pStyle w:val="TableParagraph"/>
              <w:spacing w:before="108"/>
              <w:ind w:left="39" w:right="27"/>
              <w:jc w:val="center"/>
              <w:rPr>
                <w:sz w:val="18"/>
              </w:rPr>
            </w:pPr>
            <w:r>
              <w:rPr>
                <w:color w:val="231F20"/>
                <w:w w:val="70"/>
                <w:sz w:val="18"/>
              </w:rPr>
              <w:t>1.2.2.e</w:t>
            </w:r>
          </w:p>
        </w:tc>
        <w:tc>
          <w:tcPr>
            <w:tcW w:w="4926" w:type="dxa"/>
            <w:gridSpan w:val="2"/>
            <w:tcBorders>
              <w:left w:val="single" w:sz="6" w:space="0" w:color="231F20"/>
              <w:right w:val="single" w:sz="6" w:space="0" w:color="231F20"/>
            </w:tcBorders>
          </w:tcPr>
          <w:p w14:paraId="57213592" w14:textId="77777777" w:rsidR="009948F1" w:rsidRDefault="00BC0563">
            <w:pPr>
              <w:pStyle w:val="TableParagraph"/>
              <w:spacing w:before="101"/>
              <w:ind w:left="20"/>
              <w:rPr>
                <w:sz w:val="18"/>
              </w:rPr>
            </w:pPr>
            <w:r>
              <w:rPr>
                <w:color w:val="231F20"/>
                <w:w w:val="75"/>
                <w:sz w:val="18"/>
              </w:rPr>
              <w:t>Harmonize the cost circular of various Planning with the budget process</w:t>
            </w:r>
          </w:p>
        </w:tc>
        <w:tc>
          <w:tcPr>
            <w:tcW w:w="1437" w:type="dxa"/>
            <w:tcBorders>
              <w:left w:val="single" w:sz="6" w:space="0" w:color="231F20"/>
            </w:tcBorders>
          </w:tcPr>
          <w:p w14:paraId="30110CAA" w14:textId="77777777" w:rsidR="009948F1" w:rsidRDefault="00BC0563">
            <w:pPr>
              <w:pStyle w:val="TableParagraph"/>
              <w:spacing w:before="108"/>
              <w:ind w:left="19"/>
              <w:rPr>
                <w:sz w:val="18"/>
              </w:rPr>
            </w:pPr>
            <w:r>
              <w:rPr>
                <w:color w:val="231F20"/>
                <w:w w:val="75"/>
                <w:sz w:val="18"/>
              </w:rPr>
              <w:t>Lack of funds</w:t>
            </w:r>
          </w:p>
        </w:tc>
        <w:tc>
          <w:tcPr>
            <w:tcW w:w="1514" w:type="dxa"/>
            <w:tcBorders>
              <w:right w:val="single" w:sz="6" w:space="0" w:color="231F20"/>
            </w:tcBorders>
          </w:tcPr>
          <w:p w14:paraId="191F9B72" w14:textId="77777777" w:rsidR="009948F1" w:rsidRDefault="00BC0563">
            <w:pPr>
              <w:pStyle w:val="TableParagraph"/>
              <w:spacing w:before="108"/>
              <w:ind w:left="15"/>
              <w:rPr>
                <w:sz w:val="18"/>
              </w:rPr>
            </w:pPr>
            <w:r>
              <w:rPr>
                <w:color w:val="231F20"/>
                <w:w w:val="75"/>
                <w:sz w:val="18"/>
              </w:rPr>
              <w:t>Harmonize cost circular</w:t>
            </w:r>
          </w:p>
        </w:tc>
      </w:tr>
      <w:tr w:rsidR="009948F1" w14:paraId="001C99E1" w14:textId="77777777">
        <w:trPr>
          <w:trHeight w:val="1224"/>
        </w:trPr>
        <w:tc>
          <w:tcPr>
            <w:tcW w:w="539" w:type="dxa"/>
            <w:gridSpan w:val="2"/>
            <w:tcBorders>
              <w:top w:val="nil"/>
              <w:left w:val="single" w:sz="6" w:space="0" w:color="231F20"/>
              <w:bottom w:val="nil"/>
              <w:right w:val="single" w:sz="6" w:space="0" w:color="231F20"/>
            </w:tcBorders>
          </w:tcPr>
          <w:p w14:paraId="14831C6B" w14:textId="77777777" w:rsidR="009948F1" w:rsidRDefault="009948F1">
            <w:pPr>
              <w:pStyle w:val="TableParagraph"/>
              <w:rPr>
                <w:rFonts w:ascii="Times New Roman"/>
                <w:sz w:val="10"/>
              </w:rPr>
            </w:pPr>
          </w:p>
        </w:tc>
        <w:tc>
          <w:tcPr>
            <w:tcW w:w="458" w:type="dxa"/>
            <w:tcBorders>
              <w:left w:val="single" w:sz="6" w:space="0" w:color="231F20"/>
              <w:right w:val="single" w:sz="6" w:space="0" w:color="231F20"/>
            </w:tcBorders>
            <w:shd w:val="clear" w:color="auto" w:fill="CCE7D3"/>
          </w:tcPr>
          <w:p w14:paraId="04E5EB0C" w14:textId="77777777" w:rsidR="009948F1" w:rsidRDefault="009948F1">
            <w:pPr>
              <w:pStyle w:val="TableParagraph"/>
              <w:rPr>
                <w:b/>
                <w:sz w:val="18"/>
              </w:rPr>
            </w:pPr>
          </w:p>
          <w:p w14:paraId="0376EB5A" w14:textId="77777777" w:rsidR="009948F1" w:rsidRDefault="009948F1">
            <w:pPr>
              <w:pStyle w:val="TableParagraph"/>
              <w:spacing w:before="11"/>
              <w:rPr>
                <w:b/>
                <w:sz w:val="25"/>
              </w:rPr>
            </w:pPr>
          </w:p>
          <w:p w14:paraId="042F93D2" w14:textId="77777777" w:rsidR="009948F1" w:rsidRDefault="00BC0563">
            <w:pPr>
              <w:pStyle w:val="TableParagraph"/>
              <w:ind w:left="54"/>
              <w:rPr>
                <w:sz w:val="18"/>
              </w:rPr>
            </w:pPr>
            <w:r>
              <w:rPr>
                <w:color w:val="231F20"/>
                <w:w w:val="75"/>
                <w:sz w:val="18"/>
              </w:rPr>
              <w:t>1.2.3</w:t>
            </w:r>
          </w:p>
        </w:tc>
        <w:tc>
          <w:tcPr>
            <w:tcW w:w="3057" w:type="dxa"/>
            <w:gridSpan w:val="2"/>
            <w:tcBorders>
              <w:left w:val="single" w:sz="6" w:space="0" w:color="231F20"/>
              <w:right w:val="single" w:sz="6" w:space="0" w:color="231F20"/>
            </w:tcBorders>
            <w:shd w:val="clear" w:color="auto" w:fill="CCE7D3"/>
          </w:tcPr>
          <w:p w14:paraId="304694A4" w14:textId="77777777" w:rsidR="009948F1" w:rsidRDefault="009948F1">
            <w:pPr>
              <w:pStyle w:val="TableParagraph"/>
              <w:rPr>
                <w:b/>
                <w:sz w:val="18"/>
              </w:rPr>
            </w:pPr>
          </w:p>
          <w:p w14:paraId="1EC117A5" w14:textId="77777777" w:rsidR="009948F1" w:rsidRDefault="009948F1">
            <w:pPr>
              <w:pStyle w:val="TableParagraph"/>
              <w:spacing w:before="7"/>
              <w:rPr>
                <w:b/>
                <w:sz w:val="15"/>
              </w:rPr>
            </w:pPr>
          </w:p>
          <w:p w14:paraId="70B4D407" w14:textId="77777777" w:rsidR="009948F1" w:rsidRDefault="00BC0563">
            <w:pPr>
              <w:pStyle w:val="TableParagraph"/>
              <w:spacing w:before="1" w:line="254" w:lineRule="auto"/>
              <w:ind w:left="21" w:right="563" w:firstLine="33"/>
              <w:rPr>
                <w:sz w:val="18"/>
              </w:rPr>
            </w:pPr>
            <w:r>
              <w:rPr>
                <w:color w:val="231F20"/>
                <w:w w:val="65"/>
                <w:sz w:val="18"/>
              </w:rPr>
              <w:t xml:space="preserve">Strengthen voice and accountability, including </w:t>
            </w:r>
            <w:r>
              <w:rPr>
                <w:color w:val="231F20"/>
                <w:w w:val="70"/>
                <w:sz w:val="18"/>
              </w:rPr>
              <w:t>community participation, CSO engagement.</w:t>
            </w:r>
          </w:p>
        </w:tc>
        <w:tc>
          <w:tcPr>
            <w:tcW w:w="2399" w:type="dxa"/>
            <w:tcBorders>
              <w:left w:val="single" w:sz="6" w:space="0" w:color="231F20"/>
              <w:right w:val="single" w:sz="6" w:space="0" w:color="231F20"/>
            </w:tcBorders>
            <w:shd w:val="clear" w:color="auto" w:fill="CCE7D3"/>
          </w:tcPr>
          <w:p w14:paraId="64370E7F" w14:textId="77777777" w:rsidR="009948F1" w:rsidRDefault="00BC0563">
            <w:pPr>
              <w:pStyle w:val="TableParagraph"/>
              <w:numPr>
                <w:ilvl w:val="0"/>
                <w:numId w:val="239"/>
              </w:numPr>
              <w:tabs>
                <w:tab w:val="left" w:pos="95"/>
              </w:tabs>
              <w:spacing w:before="65" w:line="254" w:lineRule="auto"/>
              <w:ind w:right="149" w:firstLine="0"/>
              <w:rPr>
                <w:sz w:val="18"/>
              </w:rPr>
            </w:pPr>
            <w:r>
              <w:rPr>
                <w:color w:val="231F20"/>
                <w:w w:val="65"/>
                <w:sz w:val="18"/>
              </w:rPr>
              <w:t xml:space="preserve">Framework to monitor implementation of </w:t>
            </w:r>
            <w:r>
              <w:rPr>
                <w:color w:val="231F20"/>
                <w:w w:val="75"/>
                <w:sz w:val="18"/>
              </w:rPr>
              <w:t>all the strategic plans and annual operational plans</w:t>
            </w:r>
            <w:r>
              <w:rPr>
                <w:color w:val="231F20"/>
                <w:spacing w:val="-25"/>
                <w:w w:val="75"/>
                <w:sz w:val="18"/>
              </w:rPr>
              <w:t xml:space="preserve"> </w:t>
            </w:r>
            <w:r>
              <w:rPr>
                <w:color w:val="231F20"/>
                <w:w w:val="75"/>
                <w:sz w:val="18"/>
              </w:rPr>
              <w:t>developed</w:t>
            </w:r>
          </w:p>
          <w:p w14:paraId="2F340504" w14:textId="77777777" w:rsidR="009948F1" w:rsidRDefault="00BC0563">
            <w:pPr>
              <w:pStyle w:val="TableParagraph"/>
              <w:numPr>
                <w:ilvl w:val="0"/>
                <w:numId w:val="239"/>
              </w:numPr>
              <w:tabs>
                <w:tab w:val="left" w:pos="95"/>
              </w:tabs>
              <w:spacing w:before="2"/>
              <w:ind w:left="94" w:hanging="76"/>
              <w:rPr>
                <w:sz w:val="18"/>
              </w:rPr>
            </w:pPr>
            <w:r>
              <w:rPr>
                <w:color w:val="231F20"/>
                <w:w w:val="70"/>
                <w:sz w:val="18"/>
              </w:rPr>
              <w:t>SMOH</w:t>
            </w:r>
            <w:r>
              <w:rPr>
                <w:color w:val="231F20"/>
                <w:spacing w:val="-16"/>
                <w:w w:val="70"/>
                <w:sz w:val="18"/>
              </w:rPr>
              <w:t xml:space="preserve"> </w:t>
            </w:r>
            <w:r>
              <w:rPr>
                <w:color w:val="231F20"/>
                <w:w w:val="70"/>
                <w:sz w:val="18"/>
              </w:rPr>
              <w:t>&amp;</w:t>
            </w:r>
            <w:r>
              <w:rPr>
                <w:color w:val="231F20"/>
                <w:spacing w:val="-15"/>
                <w:w w:val="70"/>
                <w:sz w:val="18"/>
              </w:rPr>
              <w:t xml:space="preserve"> </w:t>
            </w:r>
            <w:r>
              <w:rPr>
                <w:color w:val="231F20"/>
                <w:w w:val="70"/>
                <w:sz w:val="18"/>
              </w:rPr>
              <w:t>MDAs</w:t>
            </w:r>
            <w:r>
              <w:rPr>
                <w:color w:val="231F20"/>
                <w:spacing w:val="-16"/>
                <w:w w:val="70"/>
                <w:sz w:val="18"/>
              </w:rPr>
              <w:t xml:space="preserve"> </w:t>
            </w:r>
            <w:r>
              <w:rPr>
                <w:color w:val="231F20"/>
                <w:w w:val="70"/>
                <w:sz w:val="18"/>
              </w:rPr>
              <w:t>annual</w:t>
            </w:r>
            <w:r>
              <w:rPr>
                <w:color w:val="231F20"/>
                <w:spacing w:val="-15"/>
                <w:w w:val="70"/>
                <w:sz w:val="18"/>
              </w:rPr>
              <w:t xml:space="preserve"> </w:t>
            </w:r>
            <w:r>
              <w:rPr>
                <w:color w:val="231F20"/>
                <w:w w:val="70"/>
                <w:sz w:val="18"/>
              </w:rPr>
              <w:t>reports</w:t>
            </w:r>
            <w:r>
              <w:rPr>
                <w:color w:val="231F20"/>
                <w:spacing w:val="-16"/>
                <w:w w:val="70"/>
                <w:sz w:val="18"/>
              </w:rPr>
              <w:t xml:space="preserve"> </w:t>
            </w:r>
            <w:r>
              <w:rPr>
                <w:color w:val="231F20"/>
                <w:w w:val="70"/>
                <w:sz w:val="18"/>
              </w:rPr>
              <w:t>submitted</w:t>
            </w:r>
          </w:p>
          <w:p w14:paraId="79B12CFC" w14:textId="77777777" w:rsidR="009948F1" w:rsidRDefault="00BC0563">
            <w:pPr>
              <w:pStyle w:val="TableParagraph"/>
              <w:numPr>
                <w:ilvl w:val="0"/>
                <w:numId w:val="239"/>
              </w:numPr>
              <w:tabs>
                <w:tab w:val="left" w:pos="89"/>
              </w:tabs>
              <w:spacing w:before="13"/>
              <w:ind w:left="88" w:hanging="70"/>
              <w:rPr>
                <w:sz w:val="18"/>
              </w:rPr>
            </w:pPr>
            <w:r>
              <w:rPr>
                <w:color w:val="231F20"/>
                <w:w w:val="75"/>
                <w:sz w:val="18"/>
              </w:rPr>
              <w:t xml:space="preserve">Audit </w:t>
            </w:r>
            <w:r>
              <w:rPr>
                <w:color w:val="231F20"/>
                <w:spacing w:val="-4"/>
                <w:w w:val="75"/>
                <w:sz w:val="18"/>
              </w:rPr>
              <w:t>Team</w:t>
            </w:r>
            <w:r>
              <w:rPr>
                <w:color w:val="231F20"/>
                <w:spacing w:val="-20"/>
                <w:w w:val="75"/>
                <w:sz w:val="18"/>
              </w:rPr>
              <w:t xml:space="preserve"> </w:t>
            </w:r>
            <w:r>
              <w:rPr>
                <w:color w:val="231F20"/>
                <w:w w:val="75"/>
                <w:sz w:val="18"/>
              </w:rPr>
              <w:t>constituted</w:t>
            </w:r>
          </w:p>
        </w:tc>
        <w:tc>
          <w:tcPr>
            <w:tcW w:w="1437" w:type="dxa"/>
            <w:tcBorders>
              <w:left w:val="single" w:sz="6" w:space="0" w:color="231F20"/>
            </w:tcBorders>
            <w:shd w:val="clear" w:color="auto" w:fill="CCE7D3"/>
          </w:tcPr>
          <w:p w14:paraId="1D17CB24" w14:textId="77777777" w:rsidR="009948F1" w:rsidRDefault="009948F1">
            <w:pPr>
              <w:pStyle w:val="TableParagraph"/>
              <w:rPr>
                <w:rFonts w:ascii="Times New Roman"/>
                <w:sz w:val="10"/>
              </w:rPr>
            </w:pPr>
          </w:p>
        </w:tc>
        <w:tc>
          <w:tcPr>
            <w:tcW w:w="1514" w:type="dxa"/>
            <w:tcBorders>
              <w:right w:val="single" w:sz="6" w:space="0" w:color="231F20"/>
            </w:tcBorders>
            <w:shd w:val="clear" w:color="auto" w:fill="CCE7D3"/>
          </w:tcPr>
          <w:p w14:paraId="34D8E6D7" w14:textId="77777777" w:rsidR="009948F1" w:rsidRDefault="009948F1">
            <w:pPr>
              <w:pStyle w:val="TableParagraph"/>
              <w:rPr>
                <w:rFonts w:ascii="Times New Roman"/>
                <w:sz w:val="10"/>
              </w:rPr>
            </w:pPr>
          </w:p>
        </w:tc>
      </w:tr>
      <w:tr w:rsidR="009948F1" w14:paraId="276F0409" w14:textId="77777777">
        <w:trPr>
          <w:trHeight w:val="423"/>
        </w:trPr>
        <w:tc>
          <w:tcPr>
            <w:tcW w:w="997" w:type="dxa"/>
            <w:gridSpan w:val="3"/>
            <w:vMerge w:val="restart"/>
            <w:tcBorders>
              <w:top w:val="nil"/>
              <w:left w:val="single" w:sz="6" w:space="0" w:color="231F20"/>
              <w:right w:val="single" w:sz="6" w:space="0" w:color="231F20"/>
            </w:tcBorders>
          </w:tcPr>
          <w:p w14:paraId="6448030F" w14:textId="77777777" w:rsidR="009948F1" w:rsidRDefault="009948F1">
            <w:pPr>
              <w:pStyle w:val="TableParagraph"/>
              <w:rPr>
                <w:rFonts w:ascii="Times New Roman"/>
                <w:sz w:val="10"/>
              </w:rPr>
            </w:pPr>
          </w:p>
        </w:tc>
        <w:tc>
          <w:tcPr>
            <w:tcW w:w="530" w:type="dxa"/>
            <w:tcBorders>
              <w:left w:val="single" w:sz="6" w:space="0" w:color="231F20"/>
              <w:right w:val="single" w:sz="6" w:space="0" w:color="231F20"/>
            </w:tcBorders>
          </w:tcPr>
          <w:p w14:paraId="39AA4ABD" w14:textId="77777777" w:rsidR="009948F1" w:rsidRDefault="00BC0563">
            <w:pPr>
              <w:pStyle w:val="TableParagraph"/>
              <w:spacing w:before="104"/>
              <w:ind w:left="39" w:right="27"/>
              <w:jc w:val="center"/>
              <w:rPr>
                <w:sz w:val="18"/>
              </w:rPr>
            </w:pPr>
            <w:r>
              <w:rPr>
                <w:color w:val="231F20"/>
                <w:w w:val="70"/>
                <w:sz w:val="18"/>
              </w:rPr>
              <w:t>1.2.3.a</w:t>
            </w:r>
          </w:p>
        </w:tc>
        <w:tc>
          <w:tcPr>
            <w:tcW w:w="4926" w:type="dxa"/>
            <w:gridSpan w:val="2"/>
            <w:tcBorders>
              <w:left w:val="single" w:sz="6" w:space="0" w:color="231F20"/>
              <w:right w:val="single" w:sz="6" w:space="0" w:color="231F20"/>
            </w:tcBorders>
          </w:tcPr>
          <w:p w14:paraId="5502194A" w14:textId="77777777" w:rsidR="009948F1" w:rsidRDefault="00BC0563">
            <w:pPr>
              <w:pStyle w:val="TableParagraph"/>
              <w:spacing w:line="201" w:lineRule="exact"/>
              <w:ind w:left="53"/>
              <w:rPr>
                <w:sz w:val="18"/>
              </w:rPr>
            </w:pPr>
            <w:r>
              <w:rPr>
                <w:color w:val="231F20"/>
                <w:w w:val="75"/>
                <w:sz w:val="18"/>
              </w:rPr>
              <w:t>Develop</w:t>
            </w:r>
            <w:r>
              <w:rPr>
                <w:color w:val="231F20"/>
                <w:spacing w:val="-27"/>
                <w:w w:val="75"/>
                <w:sz w:val="18"/>
              </w:rPr>
              <w:t xml:space="preserve"> </w:t>
            </w:r>
            <w:r>
              <w:rPr>
                <w:color w:val="231F20"/>
                <w:w w:val="75"/>
                <w:sz w:val="18"/>
              </w:rPr>
              <w:t>a</w:t>
            </w:r>
            <w:r>
              <w:rPr>
                <w:color w:val="231F20"/>
                <w:spacing w:val="-26"/>
                <w:w w:val="75"/>
                <w:sz w:val="18"/>
              </w:rPr>
              <w:t xml:space="preserve"> </w:t>
            </w:r>
            <w:r>
              <w:rPr>
                <w:color w:val="231F20"/>
                <w:w w:val="75"/>
                <w:sz w:val="18"/>
              </w:rPr>
              <w:t>framework</w:t>
            </w:r>
            <w:r>
              <w:rPr>
                <w:color w:val="231F20"/>
                <w:spacing w:val="-26"/>
                <w:w w:val="75"/>
                <w:sz w:val="18"/>
              </w:rPr>
              <w:t xml:space="preserve"> </w:t>
            </w:r>
            <w:r>
              <w:rPr>
                <w:color w:val="231F20"/>
                <w:w w:val="75"/>
                <w:sz w:val="18"/>
              </w:rPr>
              <w:t>to</w:t>
            </w:r>
            <w:r>
              <w:rPr>
                <w:color w:val="231F20"/>
                <w:spacing w:val="-26"/>
                <w:w w:val="75"/>
                <w:sz w:val="18"/>
              </w:rPr>
              <w:t xml:space="preserve"> </w:t>
            </w:r>
            <w:r>
              <w:rPr>
                <w:color w:val="231F20"/>
                <w:w w:val="75"/>
                <w:sz w:val="18"/>
              </w:rPr>
              <w:t>monitor</w:t>
            </w:r>
            <w:r>
              <w:rPr>
                <w:color w:val="231F20"/>
                <w:spacing w:val="-27"/>
                <w:w w:val="75"/>
                <w:sz w:val="18"/>
              </w:rPr>
              <w:t xml:space="preserve"> </w:t>
            </w:r>
            <w:r>
              <w:rPr>
                <w:color w:val="231F20"/>
                <w:w w:val="75"/>
                <w:sz w:val="18"/>
              </w:rPr>
              <w:t>implementation</w:t>
            </w:r>
            <w:r>
              <w:rPr>
                <w:color w:val="231F20"/>
                <w:spacing w:val="-26"/>
                <w:w w:val="75"/>
                <w:sz w:val="18"/>
              </w:rPr>
              <w:t xml:space="preserve"> </w:t>
            </w:r>
            <w:r>
              <w:rPr>
                <w:color w:val="231F20"/>
                <w:w w:val="75"/>
                <w:sz w:val="18"/>
              </w:rPr>
              <w:t>of</w:t>
            </w:r>
            <w:r>
              <w:rPr>
                <w:color w:val="231F20"/>
                <w:spacing w:val="-26"/>
                <w:w w:val="75"/>
                <w:sz w:val="18"/>
              </w:rPr>
              <w:t xml:space="preserve"> </w:t>
            </w:r>
            <w:r>
              <w:rPr>
                <w:color w:val="231F20"/>
                <w:w w:val="75"/>
                <w:sz w:val="18"/>
              </w:rPr>
              <w:t>all</w:t>
            </w:r>
            <w:r>
              <w:rPr>
                <w:color w:val="231F20"/>
                <w:spacing w:val="-26"/>
                <w:w w:val="75"/>
                <w:sz w:val="18"/>
              </w:rPr>
              <w:t xml:space="preserve"> </w:t>
            </w:r>
            <w:r>
              <w:rPr>
                <w:color w:val="231F20"/>
                <w:w w:val="75"/>
                <w:sz w:val="18"/>
              </w:rPr>
              <w:t>the</w:t>
            </w:r>
            <w:r>
              <w:rPr>
                <w:color w:val="231F20"/>
                <w:spacing w:val="-27"/>
                <w:w w:val="75"/>
                <w:sz w:val="18"/>
              </w:rPr>
              <w:t xml:space="preserve"> </w:t>
            </w:r>
            <w:r>
              <w:rPr>
                <w:color w:val="231F20"/>
                <w:w w:val="75"/>
                <w:sz w:val="18"/>
              </w:rPr>
              <w:t>strategic</w:t>
            </w:r>
            <w:r>
              <w:rPr>
                <w:color w:val="231F20"/>
                <w:spacing w:val="-26"/>
                <w:w w:val="75"/>
                <w:sz w:val="18"/>
              </w:rPr>
              <w:t xml:space="preserve"> </w:t>
            </w:r>
            <w:r>
              <w:rPr>
                <w:color w:val="231F20"/>
                <w:w w:val="75"/>
                <w:sz w:val="18"/>
              </w:rPr>
              <w:t>plans</w:t>
            </w:r>
            <w:r>
              <w:rPr>
                <w:color w:val="231F20"/>
                <w:spacing w:val="-26"/>
                <w:w w:val="75"/>
                <w:sz w:val="18"/>
              </w:rPr>
              <w:t xml:space="preserve"> </w:t>
            </w:r>
            <w:r>
              <w:rPr>
                <w:color w:val="231F20"/>
                <w:w w:val="75"/>
                <w:sz w:val="18"/>
              </w:rPr>
              <w:t>and</w:t>
            </w:r>
            <w:r>
              <w:rPr>
                <w:color w:val="231F20"/>
                <w:spacing w:val="-26"/>
                <w:w w:val="75"/>
                <w:sz w:val="18"/>
              </w:rPr>
              <w:t xml:space="preserve"> </w:t>
            </w:r>
            <w:r>
              <w:rPr>
                <w:color w:val="231F20"/>
                <w:w w:val="75"/>
                <w:sz w:val="18"/>
              </w:rPr>
              <w:t>annual</w:t>
            </w:r>
          </w:p>
          <w:p w14:paraId="4C91038C" w14:textId="77777777" w:rsidR="009948F1" w:rsidRDefault="00BC0563">
            <w:pPr>
              <w:pStyle w:val="TableParagraph"/>
              <w:spacing w:before="13" w:line="190" w:lineRule="exact"/>
              <w:ind w:left="20"/>
              <w:rPr>
                <w:sz w:val="18"/>
              </w:rPr>
            </w:pPr>
            <w:r>
              <w:rPr>
                <w:color w:val="231F20"/>
                <w:w w:val="75"/>
                <w:sz w:val="18"/>
              </w:rPr>
              <w:t>operational plans in the health sector in the state</w:t>
            </w:r>
          </w:p>
        </w:tc>
        <w:tc>
          <w:tcPr>
            <w:tcW w:w="1437" w:type="dxa"/>
            <w:tcBorders>
              <w:left w:val="single" w:sz="6" w:space="0" w:color="231F20"/>
            </w:tcBorders>
          </w:tcPr>
          <w:p w14:paraId="7241FFA0" w14:textId="77777777" w:rsidR="009948F1" w:rsidRDefault="00BC0563">
            <w:pPr>
              <w:pStyle w:val="TableParagraph"/>
              <w:spacing w:before="104"/>
              <w:ind w:left="19"/>
              <w:rPr>
                <w:sz w:val="18"/>
              </w:rPr>
            </w:pPr>
            <w:r>
              <w:rPr>
                <w:color w:val="231F20"/>
                <w:w w:val="75"/>
                <w:sz w:val="18"/>
              </w:rPr>
              <w:t>Lack of funds</w:t>
            </w:r>
          </w:p>
        </w:tc>
        <w:tc>
          <w:tcPr>
            <w:tcW w:w="1514" w:type="dxa"/>
            <w:tcBorders>
              <w:right w:val="single" w:sz="6" w:space="0" w:color="231F20"/>
            </w:tcBorders>
          </w:tcPr>
          <w:p w14:paraId="68F8A14C" w14:textId="77777777" w:rsidR="009948F1" w:rsidRDefault="00BC0563">
            <w:pPr>
              <w:pStyle w:val="TableParagraph"/>
              <w:spacing w:line="202" w:lineRule="exact"/>
              <w:ind w:left="15"/>
              <w:rPr>
                <w:sz w:val="18"/>
              </w:rPr>
            </w:pPr>
            <w:r>
              <w:rPr>
                <w:color w:val="231F20"/>
                <w:w w:val="75"/>
                <w:sz w:val="18"/>
              </w:rPr>
              <w:t>Develop a framework for</w:t>
            </w:r>
          </w:p>
          <w:p w14:paraId="2550CA56" w14:textId="77777777" w:rsidR="009948F1" w:rsidRDefault="00BC0563">
            <w:pPr>
              <w:pStyle w:val="TableParagraph"/>
              <w:spacing w:before="13" w:line="188" w:lineRule="exact"/>
              <w:ind w:left="15"/>
              <w:rPr>
                <w:sz w:val="18"/>
              </w:rPr>
            </w:pPr>
            <w:r>
              <w:rPr>
                <w:color w:val="231F20"/>
                <w:w w:val="75"/>
                <w:sz w:val="18"/>
              </w:rPr>
              <w:t>monitoring</w:t>
            </w:r>
          </w:p>
        </w:tc>
      </w:tr>
      <w:tr w:rsidR="009948F1" w14:paraId="0214D2FD" w14:textId="77777777">
        <w:trPr>
          <w:trHeight w:val="585"/>
        </w:trPr>
        <w:tc>
          <w:tcPr>
            <w:tcW w:w="997" w:type="dxa"/>
            <w:gridSpan w:val="3"/>
            <w:vMerge/>
            <w:tcBorders>
              <w:top w:val="nil"/>
              <w:left w:val="single" w:sz="6" w:space="0" w:color="231F20"/>
              <w:right w:val="single" w:sz="6" w:space="0" w:color="231F20"/>
            </w:tcBorders>
          </w:tcPr>
          <w:p w14:paraId="68FA88FC" w14:textId="77777777" w:rsidR="009948F1" w:rsidRDefault="009948F1">
            <w:pPr>
              <w:rPr>
                <w:sz w:val="2"/>
                <w:szCs w:val="2"/>
              </w:rPr>
            </w:pPr>
          </w:p>
        </w:tc>
        <w:tc>
          <w:tcPr>
            <w:tcW w:w="530" w:type="dxa"/>
            <w:tcBorders>
              <w:left w:val="single" w:sz="6" w:space="0" w:color="231F20"/>
              <w:right w:val="single" w:sz="6" w:space="0" w:color="231F20"/>
            </w:tcBorders>
          </w:tcPr>
          <w:p w14:paraId="6E6622D5" w14:textId="77777777" w:rsidR="009948F1" w:rsidRDefault="009948F1">
            <w:pPr>
              <w:pStyle w:val="TableParagraph"/>
              <w:spacing w:before="1"/>
              <w:rPr>
                <w:b/>
                <w:sz w:val="16"/>
              </w:rPr>
            </w:pPr>
          </w:p>
          <w:p w14:paraId="5F5325CF" w14:textId="77777777" w:rsidR="009948F1" w:rsidRDefault="00BC0563">
            <w:pPr>
              <w:pStyle w:val="TableParagraph"/>
              <w:ind w:left="39" w:right="27"/>
              <w:jc w:val="center"/>
              <w:rPr>
                <w:sz w:val="18"/>
              </w:rPr>
            </w:pPr>
            <w:r>
              <w:rPr>
                <w:color w:val="231F20"/>
                <w:w w:val="70"/>
                <w:sz w:val="18"/>
              </w:rPr>
              <w:t>1.2.3.b</w:t>
            </w:r>
          </w:p>
        </w:tc>
        <w:tc>
          <w:tcPr>
            <w:tcW w:w="4926" w:type="dxa"/>
            <w:gridSpan w:val="2"/>
            <w:tcBorders>
              <w:left w:val="single" w:sz="6" w:space="0" w:color="231F20"/>
              <w:right w:val="single" w:sz="6" w:space="0" w:color="231F20"/>
            </w:tcBorders>
          </w:tcPr>
          <w:p w14:paraId="13DE6DB6" w14:textId="77777777" w:rsidR="009948F1" w:rsidRDefault="00BC0563">
            <w:pPr>
              <w:pStyle w:val="TableParagraph"/>
              <w:spacing w:before="68" w:line="254" w:lineRule="auto"/>
              <w:ind w:left="20" w:right="58"/>
              <w:rPr>
                <w:sz w:val="18"/>
              </w:rPr>
            </w:pPr>
            <w:r>
              <w:rPr>
                <w:color w:val="231F20"/>
                <w:w w:val="70"/>
                <w:sz w:val="18"/>
              </w:rPr>
              <w:t>SMOH</w:t>
            </w:r>
            <w:r>
              <w:rPr>
                <w:color w:val="231F20"/>
                <w:spacing w:val="-17"/>
                <w:w w:val="70"/>
                <w:sz w:val="18"/>
              </w:rPr>
              <w:t xml:space="preserve"> </w:t>
            </w:r>
            <w:r>
              <w:rPr>
                <w:color w:val="231F20"/>
                <w:w w:val="70"/>
                <w:sz w:val="18"/>
              </w:rPr>
              <w:t>to</w:t>
            </w:r>
            <w:r>
              <w:rPr>
                <w:color w:val="231F20"/>
                <w:spacing w:val="-17"/>
                <w:w w:val="70"/>
                <w:sz w:val="18"/>
              </w:rPr>
              <w:t xml:space="preserve"> </w:t>
            </w:r>
            <w:r>
              <w:rPr>
                <w:color w:val="231F20"/>
                <w:w w:val="70"/>
                <w:sz w:val="18"/>
              </w:rPr>
              <w:t>ensure</w:t>
            </w:r>
            <w:r>
              <w:rPr>
                <w:color w:val="231F20"/>
                <w:spacing w:val="-17"/>
                <w:w w:val="70"/>
                <w:sz w:val="18"/>
              </w:rPr>
              <w:t xml:space="preserve"> </w:t>
            </w:r>
            <w:r>
              <w:rPr>
                <w:color w:val="231F20"/>
                <w:w w:val="70"/>
                <w:sz w:val="18"/>
              </w:rPr>
              <w:t>that</w:t>
            </w:r>
            <w:r>
              <w:rPr>
                <w:color w:val="231F20"/>
                <w:spacing w:val="-17"/>
                <w:w w:val="70"/>
                <w:sz w:val="18"/>
              </w:rPr>
              <w:t xml:space="preserve"> </w:t>
            </w:r>
            <w:r>
              <w:rPr>
                <w:color w:val="231F20"/>
                <w:w w:val="70"/>
                <w:sz w:val="18"/>
              </w:rPr>
              <w:t>all</w:t>
            </w:r>
            <w:r>
              <w:rPr>
                <w:color w:val="231F20"/>
                <w:spacing w:val="-17"/>
                <w:w w:val="70"/>
                <w:sz w:val="18"/>
              </w:rPr>
              <w:t xml:space="preserve"> </w:t>
            </w:r>
            <w:r>
              <w:rPr>
                <w:color w:val="231F20"/>
                <w:w w:val="70"/>
                <w:sz w:val="18"/>
              </w:rPr>
              <w:t>its</w:t>
            </w:r>
            <w:r>
              <w:rPr>
                <w:color w:val="231F20"/>
                <w:spacing w:val="-17"/>
                <w:w w:val="70"/>
                <w:sz w:val="18"/>
              </w:rPr>
              <w:t xml:space="preserve"> </w:t>
            </w:r>
            <w:r>
              <w:rPr>
                <w:color w:val="231F20"/>
                <w:w w:val="70"/>
                <w:sz w:val="18"/>
              </w:rPr>
              <w:t>MDAs</w:t>
            </w:r>
            <w:r>
              <w:rPr>
                <w:color w:val="231F20"/>
                <w:spacing w:val="-17"/>
                <w:w w:val="70"/>
                <w:sz w:val="18"/>
              </w:rPr>
              <w:t xml:space="preserve"> </w:t>
            </w:r>
            <w:r>
              <w:rPr>
                <w:color w:val="231F20"/>
                <w:w w:val="70"/>
                <w:sz w:val="18"/>
              </w:rPr>
              <w:t>produce</w:t>
            </w:r>
            <w:r>
              <w:rPr>
                <w:color w:val="231F20"/>
                <w:spacing w:val="-17"/>
                <w:w w:val="70"/>
                <w:sz w:val="18"/>
              </w:rPr>
              <w:t xml:space="preserve"> </w:t>
            </w:r>
            <w:r>
              <w:rPr>
                <w:color w:val="231F20"/>
                <w:w w:val="70"/>
                <w:sz w:val="18"/>
              </w:rPr>
              <w:t>&amp;</w:t>
            </w:r>
            <w:r>
              <w:rPr>
                <w:color w:val="231F20"/>
                <w:spacing w:val="-17"/>
                <w:w w:val="70"/>
                <w:sz w:val="18"/>
              </w:rPr>
              <w:t xml:space="preserve"> </w:t>
            </w:r>
            <w:r>
              <w:rPr>
                <w:color w:val="231F20"/>
                <w:w w:val="70"/>
                <w:sz w:val="18"/>
              </w:rPr>
              <w:t>disseminate</w:t>
            </w:r>
            <w:r>
              <w:rPr>
                <w:color w:val="231F20"/>
                <w:spacing w:val="-17"/>
                <w:w w:val="70"/>
                <w:sz w:val="18"/>
              </w:rPr>
              <w:t xml:space="preserve"> </w:t>
            </w:r>
            <w:r>
              <w:rPr>
                <w:color w:val="231F20"/>
                <w:w w:val="70"/>
                <w:sz w:val="18"/>
              </w:rPr>
              <w:t>annual</w:t>
            </w:r>
            <w:r>
              <w:rPr>
                <w:color w:val="231F20"/>
                <w:spacing w:val="-17"/>
                <w:w w:val="70"/>
                <w:sz w:val="18"/>
              </w:rPr>
              <w:t xml:space="preserve"> </w:t>
            </w:r>
            <w:r>
              <w:rPr>
                <w:color w:val="231F20"/>
                <w:w w:val="70"/>
                <w:sz w:val="18"/>
              </w:rPr>
              <w:t>report</w:t>
            </w:r>
            <w:r>
              <w:rPr>
                <w:color w:val="231F20"/>
                <w:spacing w:val="-17"/>
                <w:w w:val="70"/>
                <w:sz w:val="18"/>
              </w:rPr>
              <w:t xml:space="preserve"> </w:t>
            </w:r>
            <w:r>
              <w:rPr>
                <w:color w:val="231F20"/>
                <w:w w:val="70"/>
                <w:sz w:val="18"/>
              </w:rPr>
              <w:t>of</w:t>
            </w:r>
            <w:r>
              <w:rPr>
                <w:color w:val="231F20"/>
                <w:spacing w:val="-17"/>
                <w:w w:val="70"/>
                <w:sz w:val="18"/>
              </w:rPr>
              <w:t xml:space="preserve"> </w:t>
            </w:r>
            <w:r>
              <w:rPr>
                <w:color w:val="231F20"/>
                <w:w w:val="70"/>
                <w:sz w:val="18"/>
              </w:rPr>
              <w:t>their</w:t>
            </w:r>
            <w:r>
              <w:rPr>
                <w:color w:val="231F20"/>
                <w:spacing w:val="-17"/>
                <w:w w:val="70"/>
                <w:sz w:val="18"/>
              </w:rPr>
              <w:t xml:space="preserve"> </w:t>
            </w:r>
            <w:r>
              <w:rPr>
                <w:color w:val="231F20"/>
                <w:w w:val="70"/>
                <w:sz w:val="18"/>
              </w:rPr>
              <w:t>activities</w:t>
            </w:r>
            <w:r>
              <w:rPr>
                <w:color w:val="231F20"/>
                <w:spacing w:val="1"/>
                <w:w w:val="70"/>
                <w:sz w:val="18"/>
              </w:rPr>
              <w:t xml:space="preserve"> </w:t>
            </w:r>
            <w:r>
              <w:rPr>
                <w:color w:val="231F20"/>
                <w:w w:val="70"/>
                <w:sz w:val="18"/>
              </w:rPr>
              <w:t xml:space="preserve">in </w:t>
            </w:r>
            <w:r>
              <w:rPr>
                <w:color w:val="231F20"/>
                <w:w w:val="75"/>
                <w:sz w:val="18"/>
              </w:rPr>
              <w:t>both print and electronic</w:t>
            </w:r>
            <w:r>
              <w:rPr>
                <w:color w:val="231F20"/>
                <w:spacing w:val="-27"/>
                <w:w w:val="75"/>
                <w:sz w:val="18"/>
              </w:rPr>
              <w:t xml:space="preserve"> </w:t>
            </w:r>
            <w:r>
              <w:rPr>
                <w:color w:val="231F20"/>
                <w:w w:val="75"/>
                <w:sz w:val="18"/>
              </w:rPr>
              <w:t>media.</w:t>
            </w:r>
          </w:p>
        </w:tc>
        <w:tc>
          <w:tcPr>
            <w:tcW w:w="1437" w:type="dxa"/>
            <w:tcBorders>
              <w:left w:val="single" w:sz="6" w:space="0" w:color="231F20"/>
            </w:tcBorders>
          </w:tcPr>
          <w:p w14:paraId="5723AE17" w14:textId="77777777" w:rsidR="009948F1" w:rsidRDefault="009948F1">
            <w:pPr>
              <w:pStyle w:val="TableParagraph"/>
              <w:spacing w:before="1"/>
              <w:rPr>
                <w:b/>
                <w:sz w:val="16"/>
              </w:rPr>
            </w:pPr>
          </w:p>
          <w:p w14:paraId="0EDA936E" w14:textId="77777777" w:rsidR="009948F1" w:rsidRDefault="00BC0563">
            <w:pPr>
              <w:pStyle w:val="TableParagraph"/>
              <w:ind w:left="19"/>
              <w:rPr>
                <w:sz w:val="18"/>
              </w:rPr>
            </w:pPr>
            <w:r>
              <w:rPr>
                <w:color w:val="231F20"/>
                <w:w w:val="75"/>
                <w:sz w:val="18"/>
              </w:rPr>
              <w:t>Lack of funds</w:t>
            </w:r>
          </w:p>
        </w:tc>
        <w:tc>
          <w:tcPr>
            <w:tcW w:w="1514" w:type="dxa"/>
            <w:tcBorders>
              <w:right w:val="single" w:sz="6" w:space="0" w:color="231F20"/>
            </w:tcBorders>
          </w:tcPr>
          <w:p w14:paraId="7256AC17" w14:textId="77777777" w:rsidR="009948F1" w:rsidRDefault="00BC0563">
            <w:pPr>
              <w:pStyle w:val="TableParagraph"/>
              <w:spacing w:before="76" w:line="254" w:lineRule="auto"/>
              <w:ind w:left="15" w:right="165"/>
              <w:rPr>
                <w:sz w:val="18"/>
              </w:rPr>
            </w:pPr>
            <w:r>
              <w:rPr>
                <w:color w:val="231F20"/>
                <w:w w:val="70"/>
                <w:sz w:val="18"/>
              </w:rPr>
              <w:t xml:space="preserve">Produce &amp; disseminate </w:t>
            </w:r>
            <w:r>
              <w:rPr>
                <w:color w:val="231F20"/>
                <w:w w:val="75"/>
                <w:sz w:val="18"/>
              </w:rPr>
              <w:t>annual report</w:t>
            </w:r>
          </w:p>
        </w:tc>
      </w:tr>
      <w:tr w:rsidR="009948F1" w14:paraId="07C24ADE" w14:textId="77777777">
        <w:trPr>
          <w:trHeight w:val="747"/>
        </w:trPr>
        <w:tc>
          <w:tcPr>
            <w:tcW w:w="997" w:type="dxa"/>
            <w:gridSpan w:val="3"/>
            <w:vMerge/>
            <w:tcBorders>
              <w:top w:val="nil"/>
              <w:left w:val="single" w:sz="6" w:space="0" w:color="231F20"/>
              <w:right w:val="single" w:sz="6" w:space="0" w:color="231F20"/>
            </w:tcBorders>
          </w:tcPr>
          <w:p w14:paraId="73EEE549" w14:textId="77777777" w:rsidR="009948F1" w:rsidRDefault="009948F1">
            <w:pPr>
              <w:rPr>
                <w:sz w:val="2"/>
                <w:szCs w:val="2"/>
              </w:rPr>
            </w:pPr>
          </w:p>
        </w:tc>
        <w:tc>
          <w:tcPr>
            <w:tcW w:w="530" w:type="dxa"/>
            <w:tcBorders>
              <w:left w:val="single" w:sz="6" w:space="0" w:color="231F20"/>
              <w:right w:val="single" w:sz="6" w:space="0" w:color="231F20"/>
            </w:tcBorders>
          </w:tcPr>
          <w:p w14:paraId="2EDF1643" w14:textId="77777777" w:rsidR="009948F1" w:rsidRDefault="009948F1">
            <w:pPr>
              <w:pStyle w:val="TableParagraph"/>
              <w:spacing w:before="2"/>
              <w:rPr>
                <w:b/>
                <w:sz w:val="23"/>
              </w:rPr>
            </w:pPr>
          </w:p>
          <w:p w14:paraId="3F65D2BE" w14:textId="77777777" w:rsidR="009948F1" w:rsidRDefault="00BC0563">
            <w:pPr>
              <w:pStyle w:val="TableParagraph"/>
              <w:spacing w:before="1"/>
              <w:ind w:left="39" w:right="27"/>
              <w:jc w:val="center"/>
              <w:rPr>
                <w:sz w:val="18"/>
              </w:rPr>
            </w:pPr>
            <w:r>
              <w:rPr>
                <w:color w:val="231F20"/>
                <w:w w:val="70"/>
                <w:sz w:val="18"/>
              </w:rPr>
              <w:t>1.2.3.c</w:t>
            </w:r>
          </w:p>
        </w:tc>
        <w:tc>
          <w:tcPr>
            <w:tcW w:w="4926" w:type="dxa"/>
            <w:gridSpan w:val="2"/>
            <w:tcBorders>
              <w:left w:val="single" w:sz="6" w:space="0" w:color="231F20"/>
              <w:right w:val="single" w:sz="6" w:space="0" w:color="231F20"/>
            </w:tcBorders>
          </w:tcPr>
          <w:p w14:paraId="4052AB06" w14:textId="35C993AC" w:rsidR="009948F1" w:rsidRDefault="00C84576">
            <w:pPr>
              <w:pStyle w:val="TableParagraph"/>
              <w:spacing w:before="40" w:line="254" w:lineRule="auto"/>
              <w:ind w:left="20" w:right="45" w:firstLine="33"/>
              <w:rPr>
                <w:sz w:val="18"/>
              </w:rPr>
            </w:pPr>
            <w:r>
              <w:rPr>
                <w:color w:val="231F20"/>
                <w:w w:val="75"/>
                <w:sz w:val="18"/>
              </w:rPr>
              <w:t>Constitute</w:t>
            </w:r>
            <w:r w:rsidR="00BC0563">
              <w:rPr>
                <w:color w:val="231F20"/>
                <w:spacing w:val="-26"/>
                <w:w w:val="75"/>
                <w:sz w:val="18"/>
              </w:rPr>
              <w:t xml:space="preserve"> </w:t>
            </w:r>
            <w:r w:rsidR="00BC0563">
              <w:rPr>
                <w:color w:val="231F20"/>
                <w:w w:val="75"/>
                <w:sz w:val="18"/>
              </w:rPr>
              <w:t>an</w:t>
            </w:r>
            <w:r w:rsidR="00BC0563">
              <w:rPr>
                <w:color w:val="231F20"/>
                <w:spacing w:val="-25"/>
                <w:w w:val="75"/>
                <w:sz w:val="18"/>
              </w:rPr>
              <w:t xml:space="preserve"> </w:t>
            </w:r>
            <w:r w:rsidR="00BC0563">
              <w:rPr>
                <w:color w:val="231F20"/>
                <w:w w:val="75"/>
                <w:sz w:val="18"/>
              </w:rPr>
              <w:t>audit</w:t>
            </w:r>
            <w:r w:rsidR="00BC0563">
              <w:rPr>
                <w:color w:val="231F20"/>
                <w:spacing w:val="-25"/>
                <w:w w:val="75"/>
                <w:sz w:val="18"/>
              </w:rPr>
              <w:t xml:space="preserve"> </w:t>
            </w:r>
            <w:r w:rsidR="00BC0563">
              <w:rPr>
                <w:color w:val="231F20"/>
                <w:w w:val="75"/>
                <w:sz w:val="18"/>
              </w:rPr>
              <w:t>team,</w:t>
            </w:r>
            <w:r w:rsidR="00BC0563">
              <w:rPr>
                <w:color w:val="231F20"/>
                <w:spacing w:val="-25"/>
                <w:w w:val="75"/>
                <w:sz w:val="18"/>
              </w:rPr>
              <w:t xml:space="preserve"> </w:t>
            </w:r>
            <w:r w:rsidR="00BC0563">
              <w:rPr>
                <w:color w:val="231F20"/>
                <w:w w:val="75"/>
                <w:sz w:val="18"/>
              </w:rPr>
              <w:t>comprising</w:t>
            </w:r>
            <w:r w:rsidR="00BC0563">
              <w:rPr>
                <w:color w:val="231F20"/>
                <w:spacing w:val="-26"/>
                <w:w w:val="75"/>
                <w:sz w:val="18"/>
              </w:rPr>
              <w:t xml:space="preserve"> </w:t>
            </w:r>
            <w:r w:rsidR="00BC0563">
              <w:rPr>
                <w:color w:val="231F20"/>
                <w:w w:val="75"/>
                <w:sz w:val="18"/>
              </w:rPr>
              <w:t>of</w:t>
            </w:r>
            <w:r w:rsidR="00BC0563">
              <w:rPr>
                <w:color w:val="231F20"/>
                <w:spacing w:val="-25"/>
                <w:w w:val="75"/>
                <w:sz w:val="18"/>
              </w:rPr>
              <w:t xml:space="preserve"> </w:t>
            </w:r>
            <w:r w:rsidR="00BC0563">
              <w:rPr>
                <w:color w:val="231F20"/>
                <w:w w:val="75"/>
                <w:sz w:val="18"/>
              </w:rPr>
              <w:t>independent</w:t>
            </w:r>
            <w:r w:rsidR="00BC0563">
              <w:rPr>
                <w:color w:val="231F20"/>
                <w:spacing w:val="-25"/>
                <w:w w:val="75"/>
                <w:sz w:val="18"/>
              </w:rPr>
              <w:t xml:space="preserve"> </w:t>
            </w:r>
            <w:r w:rsidR="00BC0563">
              <w:rPr>
                <w:color w:val="231F20"/>
                <w:w w:val="75"/>
                <w:sz w:val="18"/>
              </w:rPr>
              <w:t>assessors,</w:t>
            </w:r>
            <w:r w:rsidR="00BC0563">
              <w:rPr>
                <w:color w:val="231F20"/>
                <w:spacing w:val="-25"/>
                <w:w w:val="75"/>
                <w:sz w:val="18"/>
              </w:rPr>
              <w:t xml:space="preserve"> </w:t>
            </w:r>
            <w:r w:rsidR="00BC0563">
              <w:rPr>
                <w:color w:val="231F20"/>
                <w:w w:val="75"/>
                <w:sz w:val="18"/>
              </w:rPr>
              <w:t>including</w:t>
            </w:r>
            <w:r w:rsidR="00BC0563">
              <w:rPr>
                <w:color w:val="231F20"/>
                <w:spacing w:val="-25"/>
                <w:w w:val="75"/>
                <w:sz w:val="18"/>
              </w:rPr>
              <w:t xml:space="preserve"> </w:t>
            </w:r>
            <w:r w:rsidR="00BC0563">
              <w:rPr>
                <w:color w:val="231F20"/>
                <w:w w:val="75"/>
                <w:sz w:val="18"/>
              </w:rPr>
              <w:t>CSOs</w:t>
            </w:r>
            <w:r w:rsidR="00BC0563">
              <w:rPr>
                <w:color w:val="231F20"/>
                <w:spacing w:val="-26"/>
                <w:w w:val="75"/>
                <w:sz w:val="18"/>
              </w:rPr>
              <w:t xml:space="preserve"> </w:t>
            </w:r>
            <w:r w:rsidR="00BC0563">
              <w:rPr>
                <w:color w:val="231F20"/>
                <w:w w:val="75"/>
                <w:sz w:val="18"/>
              </w:rPr>
              <w:t xml:space="preserve">to </w:t>
            </w:r>
            <w:r w:rsidR="00BC0563">
              <w:rPr>
                <w:color w:val="231F20"/>
                <w:w w:val="65"/>
                <w:sz w:val="18"/>
              </w:rPr>
              <w:t xml:space="preserve">monitoring the budgeting process, fund disbursements and utilization; and also produce and </w:t>
            </w:r>
            <w:r w:rsidR="00BC0563">
              <w:rPr>
                <w:color w:val="231F20"/>
                <w:w w:val="75"/>
                <w:sz w:val="18"/>
              </w:rPr>
              <w:t>disseminate annual audit</w:t>
            </w:r>
            <w:r w:rsidR="00BC0563">
              <w:rPr>
                <w:color w:val="231F20"/>
                <w:spacing w:val="-21"/>
                <w:w w:val="75"/>
                <w:sz w:val="18"/>
              </w:rPr>
              <w:t xml:space="preserve"> </w:t>
            </w:r>
            <w:r w:rsidR="00BC0563">
              <w:rPr>
                <w:color w:val="231F20"/>
                <w:w w:val="75"/>
                <w:sz w:val="18"/>
              </w:rPr>
              <w:t>reports.</w:t>
            </w:r>
          </w:p>
        </w:tc>
        <w:tc>
          <w:tcPr>
            <w:tcW w:w="1437" w:type="dxa"/>
            <w:tcBorders>
              <w:left w:val="single" w:sz="6" w:space="0" w:color="231F20"/>
            </w:tcBorders>
          </w:tcPr>
          <w:p w14:paraId="3E77E384" w14:textId="77777777" w:rsidR="009948F1" w:rsidRDefault="009948F1">
            <w:pPr>
              <w:pStyle w:val="TableParagraph"/>
              <w:spacing w:before="2"/>
              <w:rPr>
                <w:b/>
                <w:sz w:val="23"/>
              </w:rPr>
            </w:pPr>
          </w:p>
          <w:p w14:paraId="18600CBB" w14:textId="77777777" w:rsidR="009948F1" w:rsidRDefault="00BC0563">
            <w:pPr>
              <w:pStyle w:val="TableParagraph"/>
              <w:spacing w:before="1"/>
              <w:ind w:left="19"/>
              <w:rPr>
                <w:sz w:val="18"/>
              </w:rPr>
            </w:pPr>
            <w:r>
              <w:rPr>
                <w:color w:val="231F20"/>
                <w:w w:val="75"/>
                <w:sz w:val="18"/>
              </w:rPr>
              <w:t>Lack of funds</w:t>
            </w:r>
          </w:p>
        </w:tc>
        <w:tc>
          <w:tcPr>
            <w:tcW w:w="1514" w:type="dxa"/>
            <w:tcBorders>
              <w:right w:val="single" w:sz="6" w:space="0" w:color="231F20"/>
            </w:tcBorders>
          </w:tcPr>
          <w:p w14:paraId="37D52A3D" w14:textId="77777777" w:rsidR="009948F1" w:rsidRDefault="00BC0563">
            <w:pPr>
              <w:pStyle w:val="TableParagraph"/>
              <w:spacing w:before="156" w:line="254" w:lineRule="auto"/>
              <w:ind w:left="15" w:right="39"/>
              <w:rPr>
                <w:sz w:val="18"/>
              </w:rPr>
            </w:pPr>
            <w:r>
              <w:rPr>
                <w:color w:val="231F20"/>
                <w:w w:val="70"/>
                <w:sz w:val="18"/>
              </w:rPr>
              <w:t xml:space="preserve">Produce and disseminate </w:t>
            </w:r>
            <w:r>
              <w:rPr>
                <w:color w:val="231F20"/>
                <w:w w:val="75"/>
                <w:sz w:val="18"/>
              </w:rPr>
              <w:t>annual audit reports</w:t>
            </w:r>
          </w:p>
        </w:tc>
      </w:tr>
      <w:tr w:rsidR="009948F1" w14:paraId="28430E48" w14:textId="77777777">
        <w:trPr>
          <w:trHeight w:val="1009"/>
        </w:trPr>
        <w:tc>
          <w:tcPr>
            <w:tcW w:w="997" w:type="dxa"/>
            <w:gridSpan w:val="3"/>
            <w:vMerge/>
            <w:tcBorders>
              <w:top w:val="nil"/>
              <w:left w:val="single" w:sz="6" w:space="0" w:color="231F20"/>
              <w:right w:val="single" w:sz="6" w:space="0" w:color="231F20"/>
            </w:tcBorders>
          </w:tcPr>
          <w:p w14:paraId="43BEDEEB" w14:textId="77777777" w:rsidR="009948F1" w:rsidRDefault="009948F1">
            <w:pPr>
              <w:rPr>
                <w:sz w:val="2"/>
                <w:szCs w:val="2"/>
              </w:rPr>
            </w:pPr>
          </w:p>
        </w:tc>
        <w:tc>
          <w:tcPr>
            <w:tcW w:w="530" w:type="dxa"/>
            <w:tcBorders>
              <w:left w:val="single" w:sz="6" w:space="0" w:color="231F20"/>
              <w:bottom w:val="single" w:sz="12" w:space="0" w:color="231F20"/>
              <w:right w:val="single" w:sz="6" w:space="0" w:color="231F20"/>
            </w:tcBorders>
          </w:tcPr>
          <w:p w14:paraId="0C7AC706" w14:textId="77777777" w:rsidR="009948F1" w:rsidRDefault="009948F1">
            <w:pPr>
              <w:pStyle w:val="TableParagraph"/>
              <w:rPr>
                <w:b/>
                <w:sz w:val="18"/>
              </w:rPr>
            </w:pPr>
          </w:p>
          <w:p w14:paraId="5D31E900" w14:textId="77777777" w:rsidR="009948F1" w:rsidRDefault="009948F1">
            <w:pPr>
              <w:pStyle w:val="TableParagraph"/>
              <w:spacing w:before="10"/>
              <w:rPr>
                <w:b/>
                <w:sz w:val="16"/>
              </w:rPr>
            </w:pPr>
          </w:p>
          <w:p w14:paraId="5EC48B33" w14:textId="77777777" w:rsidR="009948F1" w:rsidRDefault="00BC0563">
            <w:pPr>
              <w:pStyle w:val="TableParagraph"/>
              <w:ind w:left="39" w:right="27"/>
              <w:jc w:val="center"/>
              <w:rPr>
                <w:sz w:val="18"/>
              </w:rPr>
            </w:pPr>
            <w:r>
              <w:rPr>
                <w:color w:val="231F20"/>
                <w:w w:val="70"/>
                <w:sz w:val="18"/>
              </w:rPr>
              <w:t>1.2.3.d</w:t>
            </w:r>
          </w:p>
        </w:tc>
        <w:tc>
          <w:tcPr>
            <w:tcW w:w="4926" w:type="dxa"/>
            <w:gridSpan w:val="2"/>
            <w:tcBorders>
              <w:left w:val="single" w:sz="6" w:space="0" w:color="231F20"/>
              <w:bottom w:val="single" w:sz="12" w:space="0" w:color="231F20"/>
              <w:right w:val="single" w:sz="6" w:space="0" w:color="231F20"/>
            </w:tcBorders>
          </w:tcPr>
          <w:p w14:paraId="351D1A71" w14:textId="77777777" w:rsidR="009948F1" w:rsidRDefault="009948F1">
            <w:pPr>
              <w:pStyle w:val="TableParagraph"/>
              <w:spacing w:before="9"/>
              <w:rPr>
                <w:b/>
                <w:sz w:val="24"/>
              </w:rPr>
            </w:pPr>
          </w:p>
          <w:p w14:paraId="388C1EA5" w14:textId="77777777" w:rsidR="009948F1" w:rsidRDefault="00BC0563">
            <w:pPr>
              <w:pStyle w:val="TableParagraph"/>
              <w:spacing w:line="254" w:lineRule="auto"/>
              <w:ind w:left="20" w:right="95"/>
              <w:rPr>
                <w:sz w:val="18"/>
              </w:rPr>
            </w:pPr>
            <w:r>
              <w:rPr>
                <w:color w:val="231F20"/>
                <w:w w:val="65"/>
                <w:sz w:val="18"/>
              </w:rPr>
              <w:t xml:space="preserve">Develop a platform for deepening community involvements in planning and implementation </w:t>
            </w:r>
            <w:r>
              <w:rPr>
                <w:color w:val="231F20"/>
                <w:w w:val="75"/>
                <w:sz w:val="18"/>
              </w:rPr>
              <w:t xml:space="preserve">of health </w:t>
            </w:r>
            <w:proofErr w:type="spellStart"/>
            <w:r>
              <w:rPr>
                <w:color w:val="231F20"/>
                <w:w w:val="75"/>
                <w:sz w:val="18"/>
              </w:rPr>
              <w:t>programmes</w:t>
            </w:r>
            <w:proofErr w:type="spellEnd"/>
            <w:r>
              <w:rPr>
                <w:color w:val="231F20"/>
                <w:w w:val="75"/>
                <w:sz w:val="18"/>
              </w:rPr>
              <w:t xml:space="preserve"> and projects</w:t>
            </w:r>
          </w:p>
        </w:tc>
        <w:tc>
          <w:tcPr>
            <w:tcW w:w="1437" w:type="dxa"/>
            <w:tcBorders>
              <w:left w:val="single" w:sz="6" w:space="0" w:color="231F20"/>
              <w:bottom w:val="single" w:sz="12" w:space="0" w:color="231F20"/>
            </w:tcBorders>
          </w:tcPr>
          <w:p w14:paraId="72805F41" w14:textId="77777777" w:rsidR="009948F1" w:rsidRDefault="009948F1">
            <w:pPr>
              <w:pStyle w:val="TableParagraph"/>
              <w:rPr>
                <w:b/>
                <w:sz w:val="18"/>
              </w:rPr>
            </w:pPr>
          </w:p>
          <w:p w14:paraId="41D32D1C" w14:textId="77777777" w:rsidR="009948F1" w:rsidRDefault="009948F1">
            <w:pPr>
              <w:pStyle w:val="TableParagraph"/>
              <w:spacing w:before="10"/>
              <w:rPr>
                <w:b/>
                <w:sz w:val="16"/>
              </w:rPr>
            </w:pPr>
          </w:p>
          <w:p w14:paraId="5D76659C" w14:textId="77777777" w:rsidR="009948F1" w:rsidRDefault="00BC0563">
            <w:pPr>
              <w:pStyle w:val="TableParagraph"/>
              <w:ind w:left="19"/>
              <w:rPr>
                <w:sz w:val="18"/>
              </w:rPr>
            </w:pPr>
            <w:r>
              <w:rPr>
                <w:color w:val="231F20"/>
                <w:w w:val="75"/>
                <w:sz w:val="18"/>
              </w:rPr>
              <w:t>Lack of funds</w:t>
            </w:r>
          </w:p>
        </w:tc>
        <w:tc>
          <w:tcPr>
            <w:tcW w:w="1514" w:type="dxa"/>
            <w:tcBorders>
              <w:right w:val="single" w:sz="6" w:space="0" w:color="231F20"/>
            </w:tcBorders>
          </w:tcPr>
          <w:p w14:paraId="2224F4BB" w14:textId="77777777" w:rsidR="009948F1" w:rsidRDefault="009948F1">
            <w:pPr>
              <w:pStyle w:val="TableParagraph"/>
              <w:spacing w:before="8"/>
              <w:rPr>
                <w:b/>
                <w:sz w:val="15"/>
              </w:rPr>
            </w:pPr>
          </w:p>
          <w:p w14:paraId="7ECD625A" w14:textId="77777777" w:rsidR="009948F1" w:rsidRDefault="00BC0563">
            <w:pPr>
              <w:pStyle w:val="TableParagraph"/>
              <w:spacing w:before="1" w:line="254" w:lineRule="auto"/>
              <w:ind w:left="15" w:right="303"/>
              <w:jc w:val="both"/>
              <w:rPr>
                <w:sz w:val="18"/>
              </w:rPr>
            </w:pPr>
            <w:r>
              <w:rPr>
                <w:color w:val="231F20"/>
                <w:w w:val="70"/>
                <w:sz w:val="18"/>
              </w:rPr>
              <w:t>Develop</w:t>
            </w:r>
            <w:r>
              <w:rPr>
                <w:color w:val="231F20"/>
                <w:spacing w:val="-19"/>
                <w:w w:val="70"/>
                <w:sz w:val="18"/>
              </w:rPr>
              <w:t xml:space="preserve"> </w:t>
            </w:r>
            <w:r>
              <w:rPr>
                <w:color w:val="231F20"/>
                <w:w w:val="70"/>
                <w:sz w:val="18"/>
              </w:rPr>
              <w:t>a</w:t>
            </w:r>
            <w:r>
              <w:rPr>
                <w:color w:val="231F20"/>
                <w:spacing w:val="-19"/>
                <w:w w:val="70"/>
                <w:sz w:val="18"/>
              </w:rPr>
              <w:t xml:space="preserve"> </w:t>
            </w:r>
            <w:r>
              <w:rPr>
                <w:color w:val="231F20"/>
                <w:w w:val="70"/>
                <w:sz w:val="18"/>
              </w:rPr>
              <w:t>platform</w:t>
            </w:r>
            <w:r>
              <w:rPr>
                <w:color w:val="231F20"/>
                <w:spacing w:val="-18"/>
                <w:w w:val="70"/>
                <w:sz w:val="18"/>
              </w:rPr>
              <w:t xml:space="preserve"> </w:t>
            </w:r>
            <w:r>
              <w:rPr>
                <w:color w:val="231F20"/>
                <w:spacing w:val="-5"/>
                <w:w w:val="70"/>
                <w:sz w:val="18"/>
              </w:rPr>
              <w:t xml:space="preserve">for </w:t>
            </w:r>
            <w:r>
              <w:rPr>
                <w:color w:val="231F20"/>
                <w:w w:val="65"/>
                <w:sz w:val="18"/>
              </w:rPr>
              <w:t xml:space="preserve">deepening community </w:t>
            </w:r>
            <w:r>
              <w:rPr>
                <w:color w:val="231F20"/>
                <w:w w:val="75"/>
                <w:sz w:val="18"/>
              </w:rPr>
              <w:t>involvements</w:t>
            </w:r>
          </w:p>
        </w:tc>
      </w:tr>
    </w:tbl>
    <w:p w14:paraId="2F87B61A" w14:textId="77777777" w:rsidR="009948F1" w:rsidRDefault="009948F1">
      <w:pPr>
        <w:spacing w:line="254" w:lineRule="auto"/>
        <w:jc w:val="both"/>
        <w:rPr>
          <w:sz w:val="18"/>
        </w:rPr>
        <w:sectPr w:rsidR="009948F1">
          <w:pgSz w:w="11910" w:h="16840"/>
          <w:pgMar w:top="1320" w:right="1080" w:bottom="1340" w:left="1120" w:header="0" w:footer="1155" w:gutter="0"/>
          <w:cols w:space="720"/>
        </w:sectPr>
      </w:pPr>
    </w:p>
    <w:tbl>
      <w:tblPr>
        <w:tblW w:w="0" w:type="auto"/>
        <w:tblInd w:w="27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90"/>
        <w:gridCol w:w="454"/>
        <w:gridCol w:w="525"/>
        <w:gridCol w:w="2506"/>
        <w:gridCol w:w="2379"/>
        <w:gridCol w:w="1425"/>
        <w:gridCol w:w="1501"/>
      </w:tblGrid>
      <w:tr w:rsidR="009948F1" w14:paraId="6C775A1D" w14:textId="77777777">
        <w:trPr>
          <w:trHeight w:val="576"/>
        </w:trPr>
        <w:tc>
          <w:tcPr>
            <w:tcW w:w="390" w:type="dxa"/>
            <w:tcBorders>
              <w:left w:val="single" w:sz="18" w:space="0" w:color="231F20"/>
            </w:tcBorders>
            <w:shd w:val="clear" w:color="auto" w:fill="FFF200"/>
          </w:tcPr>
          <w:p w14:paraId="0461C40A" w14:textId="77777777" w:rsidR="009948F1" w:rsidRDefault="009948F1">
            <w:pPr>
              <w:pStyle w:val="TableParagraph"/>
              <w:spacing w:before="9"/>
              <w:rPr>
                <w:b/>
                <w:sz w:val="17"/>
              </w:rPr>
            </w:pPr>
          </w:p>
          <w:p w14:paraId="35AA56C6" w14:textId="77777777" w:rsidR="009948F1" w:rsidRDefault="00BC0563">
            <w:pPr>
              <w:pStyle w:val="TableParagraph"/>
              <w:ind w:left="164"/>
              <w:rPr>
                <w:b/>
                <w:sz w:val="15"/>
              </w:rPr>
            </w:pPr>
            <w:bookmarkStart w:id="148" w:name="Page_122"/>
            <w:bookmarkEnd w:id="148"/>
            <w:r>
              <w:rPr>
                <w:b/>
                <w:color w:val="231F20"/>
                <w:w w:val="85"/>
                <w:sz w:val="15"/>
              </w:rPr>
              <w:t>1.3</w:t>
            </w:r>
          </w:p>
        </w:tc>
        <w:tc>
          <w:tcPr>
            <w:tcW w:w="7289" w:type="dxa"/>
            <w:gridSpan w:val="5"/>
            <w:tcBorders>
              <w:right w:val="single" w:sz="8" w:space="0" w:color="231F20"/>
            </w:tcBorders>
            <w:shd w:val="clear" w:color="auto" w:fill="FFF200"/>
          </w:tcPr>
          <w:p w14:paraId="62CFCB09" w14:textId="77777777" w:rsidR="009948F1" w:rsidRDefault="009948F1">
            <w:pPr>
              <w:pStyle w:val="TableParagraph"/>
              <w:spacing w:before="3"/>
              <w:rPr>
                <w:b/>
                <w:sz w:val="17"/>
              </w:rPr>
            </w:pPr>
          </w:p>
          <w:p w14:paraId="58AD01B1" w14:textId="77777777" w:rsidR="009948F1" w:rsidRDefault="00BC0563">
            <w:pPr>
              <w:pStyle w:val="TableParagraph"/>
              <w:ind w:left="95"/>
              <w:rPr>
                <w:b/>
                <w:sz w:val="15"/>
              </w:rPr>
            </w:pPr>
            <w:r>
              <w:rPr>
                <w:b/>
                <w:color w:val="231F20"/>
                <w:w w:val="90"/>
                <w:sz w:val="15"/>
              </w:rPr>
              <w:t>Improve health sector performance through regular integrated reviews and reports</w:t>
            </w:r>
          </w:p>
        </w:tc>
        <w:tc>
          <w:tcPr>
            <w:tcW w:w="1501" w:type="dxa"/>
            <w:tcBorders>
              <w:left w:val="single" w:sz="8" w:space="0" w:color="231F20"/>
            </w:tcBorders>
            <w:shd w:val="clear" w:color="auto" w:fill="FFF200"/>
          </w:tcPr>
          <w:p w14:paraId="0026D2F3" w14:textId="77777777" w:rsidR="009948F1" w:rsidRDefault="009948F1">
            <w:pPr>
              <w:pStyle w:val="TableParagraph"/>
              <w:rPr>
                <w:rFonts w:ascii="Times New Roman"/>
                <w:sz w:val="10"/>
              </w:rPr>
            </w:pPr>
          </w:p>
        </w:tc>
      </w:tr>
      <w:tr w:rsidR="009948F1" w14:paraId="70816407" w14:textId="77777777">
        <w:trPr>
          <w:trHeight w:val="1029"/>
        </w:trPr>
        <w:tc>
          <w:tcPr>
            <w:tcW w:w="390" w:type="dxa"/>
            <w:tcBorders>
              <w:left w:val="single" w:sz="8" w:space="0" w:color="231F20"/>
              <w:bottom w:val="nil"/>
            </w:tcBorders>
          </w:tcPr>
          <w:p w14:paraId="39C90053" w14:textId="77777777" w:rsidR="009948F1" w:rsidRDefault="009948F1">
            <w:pPr>
              <w:pStyle w:val="TableParagraph"/>
              <w:rPr>
                <w:rFonts w:ascii="Times New Roman"/>
                <w:sz w:val="10"/>
              </w:rPr>
            </w:pPr>
          </w:p>
        </w:tc>
        <w:tc>
          <w:tcPr>
            <w:tcW w:w="454" w:type="dxa"/>
            <w:shd w:val="clear" w:color="auto" w:fill="CCE7D3"/>
          </w:tcPr>
          <w:p w14:paraId="6F1E46B1" w14:textId="77777777" w:rsidR="009948F1" w:rsidRDefault="009948F1">
            <w:pPr>
              <w:pStyle w:val="TableParagraph"/>
              <w:rPr>
                <w:b/>
                <w:sz w:val="14"/>
              </w:rPr>
            </w:pPr>
          </w:p>
          <w:p w14:paraId="778AECA2" w14:textId="77777777" w:rsidR="009948F1" w:rsidRDefault="009948F1">
            <w:pPr>
              <w:pStyle w:val="TableParagraph"/>
              <w:rPr>
                <w:b/>
                <w:sz w:val="14"/>
              </w:rPr>
            </w:pPr>
          </w:p>
          <w:p w14:paraId="27A4F844" w14:textId="77777777" w:rsidR="009948F1" w:rsidRDefault="00BC0563">
            <w:pPr>
              <w:pStyle w:val="TableParagraph"/>
              <w:spacing w:before="107"/>
              <w:ind w:left="62"/>
              <w:rPr>
                <w:sz w:val="15"/>
              </w:rPr>
            </w:pPr>
            <w:r>
              <w:rPr>
                <w:color w:val="231F20"/>
                <w:w w:val="90"/>
                <w:sz w:val="15"/>
              </w:rPr>
              <w:t>1.3.1</w:t>
            </w:r>
          </w:p>
        </w:tc>
        <w:tc>
          <w:tcPr>
            <w:tcW w:w="3031" w:type="dxa"/>
            <w:gridSpan w:val="2"/>
            <w:shd w:val="clear" w:color="auto" w:fill="CCE7D3"/>
          </w:tcPr>
          <w:p w14:paraId="7ED51474" w14:textId="77777777" w:rsidR="009948F1" w:rsidRDefault="009948F1">
            <w:pPr>
              <w:pStyle w:val="TableParagraph"/>
              <w:rPr>
                <w:b/>
                <w:sz w:val="14"/>
              </w:rPr>
            </w:pPr>
          </w:p>
          <w:p w14:paraId="4F7E987B" w14:textId="77777777" w:rsidR="009948F1" w:rsidRDefault="009948F1">
            <w:pPr>
              <w:pStyle w:val="TableParagraph"/>
              <w:spacing w:before="6"/>
              <w:rPr>
                <w:b/>
                <w:sz w:val="14"/>
              </w:rPr>
            </w:pPr>
          </w:p>
          <w:p w14:paraId="46AC87B7" w14:textId="77777777" w:rsidR="009948F1" w:rsidRDefault="00BC0563">
            <w:pPr>
              <w:pStyle w:val="TableParagraph"/>
              <w:spacing w:before="1" w:line="259" w:lineRule="auto"/>
              <w:ind w:left="29" w:right="4" w:firstLine="32"/>
              <w:rPr>
                <w:sz w:val="15"/>
              </w:rPr>
            </w:pPr>
            <w:r>
              <w:rPr>
                <w:color w:val="231F20"/>
                <w:w w:val="80"/>
                <w:sz w:val="15"/>
              </w:rPr>
              <w:t xml:space="preserve">Strengthen annual operational/work-plan for the health </w:t>
            </w:r>
            <w:r>
              <w:rPr>
                <w:color w:val="231F20"/>
                <w:w w:val="90"/>
                <w:sz w:val="15"/>
              </w:rPr>
              <w:t>sector</w:t>
            </w:r>
          </w:p>
        </w:tc>
        <w:tc>
          <w:tcPr>
            <w:tcW w:w="2379" w:type="dxa"/>
            <w:shd w:val="clear" w:color="auto" w:fill="CCE7D3"/>
          </w:tcPr>
          <w:p w14:paraId="63DF59EF" w14:textId="03F17006" w:rsidR="009948F1" w:rsidRDefault="00BC0563">
            <w:pPr>
              <w:pStyle w:val="TableParagraph"/>
              <w:numPr>
                <w:ilvl w:val="0"/>
                <w:numId w:val="238"/>
              </w:numPr>
              <w:tabs>
                <w:tab w:val="left" w:pos="98"/>
              </w:tabs>
              <w:spacing w:before="56" w:line="259" w:lineRule="auto"/>
              <w:ind w:right="269" w:firstLine="0"/>
              <w:rPr>
                <w:sz w:val="15"/>
              </w:rPr>
            </w:pPr>
            <w:r>
              <w:rPr>
                <w:color w:val="231F20"/>
                <w:w w:val="80"/>
                <w:sz w:val="15"/>
              </w:rPr>
              <w:t>Annual operational/</w:t>
            </w:r>
            <w:r w:rsidR="00C84576">
              <w:rPr>
                <w:color w:val="231F20"/>
                <w:w w:val="80"/>
                <w:sz w:val="15"/>
              </w:rPr>
              <w:t>work plan</w:t>
            </w:r>
            <w:r>
              <w:rPr>
                <w:color w:val="231F20"/>
                <w:w w:val="80"/>
                <w:sz w:val="15"/>
              </w:rPr>
              <w:t xml:space="preserve"> </w:t>
            </w:r>
            <w:r>
              <w:rPr>
                <w:color w:val="231F20"/>
                <w:spacing w:val="-3"/>
                <w:w w:val="80"/>
                <w:sz w:val="15"/>
              </w:rPr>
              <w:t xml:space="preserve">reporting </w:t>
            </w:r>
            <w:r>
              <w:rPr>
                <w:color w:val="231F20"/>
                <w:w w:val="90"/>
                <w:sz w:val="15"/>
              </w:rPr>
              <w:t>system</w:t>
            </w:r>
            <w:r>
              <w:rPr>
                <w:color w:val="231F20"/>
                <w:spacing w:val="-15"/>
                <w:w w:val="90"/>
                <w:sz w:val="15"/>
              </w:rPr>
              <w:t xml:space="preserve"> </w:t>
            </w:r>
            <w:r>
              <w:rPr>
                <w:color w:val="231F20"/>
                <w:w w:val="90"/>
                <w:sz w:val="15"/>
              </w:rPr>
              <w:t>developed</w:t>
            </w:r>
            <w:r>
              <w:rPr>
                <w:color w:val="231F20"/>
                <w:spacing w:val="-14"/>
                <w:w w:val="90"/>
                <w:sz w:val="15"/>
              </w:rPr>
              <w:t xml:space="preserve"> </w:t>
            </w:r>
            <w:r>
              <w:rPr>
                <w:color w:val="231F20"/>
                <w:w w:val="90"/>
                <w:sz w:val="15"/>
              </w:rPr>
              <w:t>and</w:t>
            </w:r>
            <w:r>
              <w:rPr>
                <w:color w:val="231F20"/>
                <w:spacing w:val="-14"/>
                <w:w w:val="90"/>
                <w:sz w:val="15"/>
              </w:rPr>
              <w:t xml:space="preserve"> </w:t>
            </w:r>
            <w:r>
              <w:rPr>
                <w:color w:val="231F20"/>
                <w:w w:val="90"/>
                <w:sz w:val="15"/>
              </w:rPr>
              <w:t>used</w:t>
            </w:r>
          </w:p>
          <w:p w14:paraId="0A8A1998" w14:textId="77777777" w:rsidR="009948F1" w:rsidRDefault="00BC0563">
            <w:pPr>
              <w:pStyle w:val="TableParagraph"/>
              <w:numPr>
                <w:ilvl w:val="0"/>
                <w:numId w:val="238"/>
              </w:numPr>
              <w:tabs>
                <w:tab w:val="left" w:pos="104"/>
              </w:tabs>
              <w:spacing w:line="259" w:lineRule="auto"/>
              <w:ind w:right="144" w:firstLine="0"/>
              <w:rPr>
                <w:sz w:val="15"/>
              </w:rPr>
            </w:pPr>
            <w:r>
              <w:rPr>
                <w:color w:val="231F20"/>
                <w:w w:val="80"/>
                <w:sz w:val="15"/>
              </w:rPr>
              <w:t>Operational</w:t>
            </w:r>
            <w:r>
              <w:rPr>
                <w:color w:val="231F20"/>
                <w:spacing w:val="-8"/>
                <w:w w:val="80"/>
                <w:sz w:val="15"/>
              </w:rPr>
              <w:t xml:space="preserve"> </w:t>
            </w:r>
            <w:r>
              <w:rPr>
                <w:color w:val="231F20"/>
                <w:w w:val="80"/>
                <w:sz w:val="15"/>
              </w:rPr>
              <w:t>Plan</w:t>
            </w:r>
            <w:r>
              <w:rPr>
                <w:color w:val="231F20"/>
                <w:spacing w:val="-7"/>
                <w:w w:val="80"/>
                <w:sz w:val="15"/>
              </w:rPr>
              <w:t xml:space="preserve"> </w:t>
            </w:r>
            <w:r>
              <w:rPr>
                <w:color w:val="231F20"/>
                <w:w w:val="80"/>
                <w:sz w:val="15"/>
              </w:rPr>
              <w:t>reviewed</w:t>
            </w:r>
            <w:r>
              <w:rPr>
                <w:color w:val="231F20"/>
                <w:spacing w:val="-7"/>
                <w:w w:val="80"/>
                <w:sz w:val="15"/>
              </w:rPr>
              <w:t xml:space="preserve"> </w:t>
            </w:r>
            <w:r>
              <w:rPr>
                <w:color w:val="231F20"/>
                <w:w w:val="80"/>
                <w:sz w:val="15"/>
              </w:rPr>
              <w:t>quarterly</w:t>
            </w:r>
            <w:r>
              <w:rPr>
                <w:color w:val="231F20"/>
                <w:spacing w:val="-7"/>
                <w:w w:val="80"/>
                <w:sz w:val="15"/>
              </w:rPr>
              <w:t xml:space="preserve"> </w:t>
            </w:r>
            <w:r>
              <w:rPr>
                <w:color w:val="231F20"/>
                <w:spacing w:val="-4"/>
                <w:w w:val="80"/>
                <w:sz w:val="15"/>
              </w:rPr>
              <w:t xml:space="preserve">and </w:t>
            </w:r>
            <w:r>
              <w:rPr>
                <w:color w:val="231F20"/>
                <w:w w:val="90"/>
                <w:sz w:val="15"/>
              </w:rPr>
              <w:t>findings</w:t>
            </w:r>
            <w:r>
              <w:rPr>
                <w:color w:val="231F20"/>
                <w:spacing w:val="-10"/>
                <w:w w:val="90"/>
                <w:sz w:val="15"/>
              </w:rPr>
              <w:t xml:space="preserve"> </w:t>
            </w:r>
            <w:r>
              <w:rPr>
                <w:color w:val="231F20"/>
                <w:w w:val="90"/>
                <w:sz w:val="15"/>
              </w:rPr>
              <w:t>disseminated</w:t>
            </w:r>
          </w:p>
          <w:p w14:paraId="6F0481AE" w14:textId="77777777" w:rsidR="009948F1" w:rsidRDefault="00BC0563">
            <w:pPr>
              <w:pStyle w:val="TableParagraph"/>
              <w:ind w:left="29"/>
              <w:rPr>
                <w:sz w:val="15"/>
              </w:rPr>
            </w:pPr>
            <w:r>
              <w:rPr>
                <w:color w:val="231F20"/>
                <w:w w:val="78"/>
                <w:sz w:val="15"/>
              </w:rPr>
              <w:t>•</w:t>
            </w:r>
          </w:p>
        </w:tc>
        <w:tc>
          <w:tcPr>
            <w:tcW w:w="1425" w:type="dxa"/>
            <w:tcBorders>
              <w:right w:val="single" w:sz="8" w:space="0" w:color="231F20"/>
            </w:tcBorders>
            <w:shd w:val="clear" w:color="auto" w:fill="CCE7D3"/>
          </w:tcPr>
          <w:p w14:paraId="1AEFE986" w14:textId="77777777" w:rsidR="009948F1" w:rsidRDefault="009948F1">
            <w:pPr>
              <w:pStyle w:val="TableParagraph"/>
              <w:rPr>
                <w:rFonts w:ascii="Times New Roman"/>
                <w:sz w:val="10"/>
              </w:rPr>
            </w:pPr>
          </w:p>
        </w:tc>
        <w:tc>
          <w:tcPr>
            <w:tcW w:w="1501" w:type="dxa"/>
            <w:tcBorders>
              <w:left w:val="single" w:sz="8" w:space="0" w:color="231F20"/>
            </w:tcBorders>
            <w:shd w:val="clear" w:color="auto" w:fill="CCE7D3"/>
          </w:tcPr>
          <w:p w14:paraId="00DE7028" w14:textId="77777777" w:rsidR="009948F1" w:rsidRDefault="009948F1">
            <w:pPr>
              <w:pStyle w:val="TableParagraph"/>
              <w:rPr>
                <w:rFonts w:ascii="Times New Roman"/>
                <w:sz w:val="10"/>
              </w:rPr>
            </w:pPr>
          </w:p>
        </w:tc>
      </w:tr>
      <w:tr w:rsidR="009948F1" w14:paraId="2640B8BD" w14:textId="77777777">
        <w:trPr>
          <w:trHeight w:val="360"/>
        </w:trPr>
        <w:tc>
          <w:tcPr>
            <w:tcW w:w="844" w:type="dxa"/>
            <w:gridSpan w:val="2"/>
            <w:vMerge w:val="restart"/>
            <w:tcBorders>
              <w:top w:val="nil"/>
              <w:left w:val="single" w:sz="8" w:space="0" w:color="231F20"/>
              <w:bottom w:val="nil"/>
            </w:tcBorders>
          </w:tcPr>
          <w:p w14:paraId="2EE754E9" w14:textId="77777777" w:rsidR="009948F1" w:rsidRDefault="009948F1">
            <w:pPr>
              <w:pStyle w:val="TableParagraph"/>
              <w:rPr>
                <w:rFonts w:ascii="Times New Roman"/>
                <w:sz w:val="10"/>
              </w:rPr>
            </w:pPr>
          </w:p>
        </w:tc>
        <w:tc>
          <w:tcPr>
            <w:tcW w:w="525" w:type="dxa"/>
          </w:tcPr>
          <w:p w14:paraId="7BB1311A" w14:textId="77777777" w:rsidR="009948F1" w:rsidRDefault="00BC0563">
            <w:pPr>
              <w:pStyle w:val="TableParagraph"/>
              <w:spacing w:before="94"/>
              <w:ind w:left="39" w:right="9"/>
              <w:jc w:val="center"/>
              <w:rPr>
                <w:sz w:val="15"/>
              </w:rPr>
            </w:pPr>
            <w:r>
              <w:rPr>
                <w:color w:val="231F20"/>
                <w:w w:val="85"/>
                <w:sz w:val="15"/>
              </w:rPr>
              <w:t>1.3.1.a</w:t>
            </w:r>
          </w:p>
        </w:tc>
        <w:tc>
          <w:tcPr>
            <w:tcW w:w="4885" w:type="dxa"/>
            <w:gridSpan w:val="2"/>
          </w:tcPr>
          <w:p w14:paraId="57B5B711" w14:textId="77777777" w:rsidR="009948F1" w:rsidRDefault="00BC0563">
            <w:pPr>
              <w:pStyle w:val="TableParagraph"/>
              <w:spacing w:before="88"/>
              <w:ind w:left="29"/>
              <w:rPr>
                <w:sz w:val="15"/>
              </w:rPr>
            </w:pPr>
            <w:r>
              <w:rPr>
                <w:color w:val="231F20"/>
                <w:w w:val="90"/>
                <w:sz w:val="15"/>
              </w:rPr>
              <w:t>Develop and implement an effective reporting system</w:t>
            </w:r>
          </w:p>
        </w:tc>
        <w:tc>
          <w:tcPr>
            <w:tcW w:w="1425" w:type="dxa"/>
            <w:tcBorders>
              <w:right w:val="single" w:sz="8" w:space="0" w:color="231F20"/>
            </w:tcBorders>
          </w:tcPr>
          <w:p w14:paraId="713CF47E" w14:textId="77777777" w:rsidR="009948F1" w:rsidRDefault="00BC0563">
            <w:pPr>
              <w:pStyle w:val="TableParagraph"/>
              <w:spacing w:before="94"/>
              <w:ind w:left="29"/>
              <w:rPr>
                <w:sz w:val="15"/>
              </w:rPr>
            </w:pPr>
            <w:r>
              <w:rPr>
                <w:color w:val="231F20"/>
                <w:w w:val="90"/>
                <w:sz w:val="15"/>
              </w:rPr>
              <w:t>Lack of funds</w:t>
            </w:r>
          </w:p>
        </w:tc>
        <w:tc>
          <w:tcPr>
            <w:tcW w:w="1501" w:type="dxa"/>
            <w:tcBorders>
              <w:left w:val="single" w:sz="8" w:space="0" w:color="231F20"/>
            </w:tcBorders>
          </w:tcPr>
          <w:p w14:paraId="4A7C8680" w14:textId="77777777" w:rsidR="009948F1" w:rsidRDefault="00BC0563">
            <w:pPr>
              <w:pStyle w:val="TableParagraph"/>
              <w:spacing w:before="94"/>
              <w:ind w:left="25"/>
              <w:rPr>
                <w:sz w:val="15"/>
              </w:rPr>
            </w:pPr>
            <w:r>
              <w:rPr>
                <w:color w:val="231F20"/>
                <w:w w:val="90"/>
                <w:sz w:val="15"/>
              </w:rPr>
              <w:t>No cost</w:t>
            </w:r>
          </w:p>
        </w:tc>
      </w:tr>
      <w:tr w:rsidR="009948F1" w14:paraId="40154B9C" w14:textId="77777777">
        <w:trPr>
          <w:trHeight w:val="535"/>
        </w:trPr>
        <w:tc>
          <w:tcPr>
            <w:tcW w:w="844" w:type="dxa"/>
            <w:gridSpan w:val="2"/>
            <w:vMerge/>
            <w:tcBorders>
              <w:top w:val="nil"/>
              <w:left w:val="single" w:sz="8" w:space="0" w:color="231F20"/>
              <w:bottom w:val="nil"/>
            </w:tcBorders>
          </w:tcPr>
          <w:p w14:paraId="1BFBF524" w14:textId="77777777" w:rsidR="009948F1" w:rsidRDefault="009948F1">
            <w:pPr>
              <w:rPr>
                <w:sz w:val="2"/>
                <w:szCs w:val="2"/>
              </w:rPr>
            </w:pPr>
          </w:p>
        </w:tc>
        <w:tc>
          <w:tcPr>
            <w:tcW w:w="525" w:type="dxa"/>
          </w:tcPr>
          <w:p w14:paraId="2BF82EAF" w14:textId="77777777" w:rsidR="009948F1" w:rsidRDefault="009948F1">
            <w:pPr>
              <w:pStyle w:val="TableParagraph"/>
              <w:spacing w:before="9"/>
              <w:rPr>
                <w:b/>
                <w:sz w:val="15"/>
              </w:rPr>
            </w:pPr>
          </w:p>
          <w:p w14:paraId="6B23C9C9" w14:textId="77777777" w:rsidR="009948F1" w:rsidRDefault="00BC0563">
            <w:pPr>
              <w:pStyle w:val="TableParagraph"/>
              <w:ind w:left="39" w:right="9"/>
              <w:jc w:val="center"/>
              <w:rPr>
                <w:sz w:val="15"/>
              </w:rPr>
            </w:pPr>
            <w:r>
              <w:rPr>
                <w:color w:val="231F20"/>
                <w:w w:val="85"/>
                <w:sz w:val="15"/>
              </w:rPr>
              <w:t>1.3.1.b</w:t>
            </w:r>
          </w:p>
        </w:tc>
        <w:tc>
          <w:tcPr>
            <w:tcW w:w="4885" w:type="dxa"/>
            <w:gridSpan w:val="2"/>
          </w:tcPr>
          <w:p w14:paraId="57011888" w14:textId="77777777" w:rsidR="009948F1" w:rsidRDefault="00BC0563">
            <w:pPr>
              <w:pStyle w:val="TableParagraph"/>
              <w:spacing w:before="81"/>
              <w:ind w:left="62"/>
              <w:rPr>
                <w:sz w:val="15"/>
              </w:rPr>
            </w:pPr>
            <w:r>
              <w:rPr>
                <w:color w:val="231F20"/>
                <w:w w:val="85"/>
                <w:sz w:val="15"/>
              </w:rPr>
              <w:t>Conduct</w:t>
            </w:r>
            <w:r>
              <w:rPr>
                <w:color w:val="231F20"/>
                <w:spacing w:val="-20"/>
                <w:w w:val="85"/>
                <w:sz w:val="15"/>
              </w:rPr>
              <w:t xml:space="preserve"> </w:t>
            </w:r>
            <w:r>
              <w:rPr>
                <w:color w:val="231F20"/>
                <w:w w:val="85"/>
                <w:sz w:val="15"/>
              </w:rPr>
              <w:t>quarterly</w:t>
            </w:r>
            <w:r>
              <w:rPr>
                <w:color w:val="231F20"/>
                <w:spacing w:val="-20"/>
                <w:w w:val="85"/>
                <w:sz w:val="15"/>
              </w:rPr>
              <w:t xml:space="preserve"> </w:t>
            </w:r>
            <w:r>
              <w:rPr>
                <w:color w:val="231F20"/>
                <w:w w:val="85"/>
                <w:sz w:val="15"/>
              </w:rPr>
              <w:t>review</w:t>
            </w:r>
            <w:r>
              <w:rPr>
                <w:color w:val="231F20"/>
                <w:spacing w:val="-20"/>
                <w:w w:val="85"/>
                <w:sz w:val="15"/>
              </w:rPr>
              <w:t xml:space="preserve"> </w:t>
            </w:r>
            <w:r>
              <w:rPr>
                <w:color w:val="231F20"/>
                <w:w w:val="85"/>
                <w:sz w:val="15"/>
              </w:rPr>
              <w:t>of</w:t>
            </w:r>
            <w:r>
              <w:rPr>
                <w:color w:val="231F20"/>
                <w:spacing w:val="-19"/>
                <w:w w:val="85"/>
                <w:sz w:val="15"/>
              </w:rPr>
              <w:t xml:space="preserve"> </w:t>
            </w:r>
            <w:r>
              <w:rPr>
                <w:color w:val="231F20"/>
                <w:w w:val="85"/>
                <w:sz w:val="15"/>
              </w:rPr>
              <w:t>the</w:t>
            </w:r>
            <w:r>
              <w:rPr>
                <w:color w:val="231F20"/>
                <w:spacing w:val="-20"/>
                <w:w w:val="85"/>
                <w:sz w:val="15"/>
              </w:rPr>
              <w:t xml:space="preserve"> </w:t>
            </w:r>
            <w:r>
              <w:rPr>
                <w:color w:val="231F20"/>
                <w:w w:val="85"/>
                <w:sz w:val="15"/>
              </w:rPr>
              <w:t>implementation</w:t>
            </w:r>
            <w:r>
              <w:rPr>
                <w:color w:val="231F20"/>
                <w:spacing w:val="-20"/>
                <w:w w:val="85"/>
                <w:sz w:val="15"/>
              </w:rPr>
              <w:t xml:space="preserve"> </w:t>
            </w:r>
            <w:r>
              <w:rPr>
                <w:color w:val="231F20"/>
                <w:w w:val="85"/>
                <w:sz w:val="15"/>
              </w:rPr>
              <w:t>of</w:t>
            </w:r>
            <w:r>
              <w:rPr>
                <w:color w:val="231F20"/>
                <w:spacing w:val="-20"/>
                <w:w w:val="85"/>
                <w:sz w:val="15"/>
              </w:rPr>
              <w:t xml:space="preserve"> </w:t>
            </w:r>
            <w:r>
              <w:rPr>
                <w:color w:val="231F20"/>
                <w:w w:val="85"/>
                <w:sz w:val="15"/>
              </w:rPr>
              <w:t>the</w:t>
            </w:r>
            <w:r>
              <w:rPr>
                <w:color w:val="231F20"/>
                <w:spacing w:val="-23"/>
                <w:w w:val="85"/>
                <w:sz w:val="15"/>
              </w:rPr>
              <w:t xml:space="preserve"> </w:t>
            </w:r>
            <w:r>
              <w:rPr>
                <w:color w:val="231F20"/>
                <w:w w:val="85"/>
                <w:sz w:val="15"/>
              </w:rPr>
              <w:t>Annual</w:t>
            </w:r>
            <w:r>
              <w:rPr>
                <w:color w:val="231F20"/>
                <w:spacing w:val="-20"/>
                <w:w w:val="85"/>
                <w:sz w:val="15"/>
              </w:rPr>
              <w:t xml:space="preserve"> </w:t>
            </w:r>
            <w:r>
              <w:rPr>
                <w:color w:val="231F20"/>
                <w:w w:val="85"/>
                <w:sz w:val="15"/>
              </w:rPr>
              <w:t>Operational</w:t>
            </w:r>
            <w:r>
              <w:rPr>
                <w:color w:val="231F20"/>
                <w:spacing w:val="-19"/>
                <w:w w:val="85"/>
                <w:sz w:val="15"/>
              </w:rPr>
              <w:t xml:space="preserve"> </w:t>
            </w:r>
            <w:r>
              <w:rPr>
                <w:color w:val="231F20"/>
                <w:w w:val="85"/>
                <w:sz w:val="15"/>
              </w:rPr>
              <w:t>Plans</w:t>
            </w:r>
            <w:r>
              <w:rPr>
                <w:color w:val="231F20"/>
                <w:spacing w:val="-20"/>
                <w:w w:val="85"/>
                <w:sz w:val="15"/>
              </w:rPr>
              <w:t xml:space="preserve"> </w:t>
            </w:r>
            <w:r>
              <w:rPr>
                <w:color w:val="231F20"/>
                <w:w w:val="85"/>
                <w:sz w:val="15"/>
              </w:rPr>
              <w:t>(AOP)</w:t>
            </w:r>
          </w:p>
          <w:p w14:paraId="601704A1" w14:textId="77777777" w:rsidR="009948F1" w:rsidRDefault="00BC0563">
            <w:pPr>
              <w:pStyle w:val="TableParagraph"/>
              <w:spacing w:before="14"/>
              <w:ind w:left="29"/>
              <w:rPr>
                <w:sz w:val="15"/>
              </w:rPr>
            </w:pPr>
            <w:r>
              <w:rPr>
                <w:color w:val="231F20"/>
                <w:w w:val="90"/>
                <w:sz w:val="15"/>
              </w:rPr>
              <w:t>/Budget</w:t>
            </w:r>
          </w:p>
        </w:tc>
        <w:tc>
          <w:tcPr>
            <w:tcW w:w="1425" w:type="dxa"/>
            <w:tcBorders>
              <w:right w:val="single" w:sz="8" w:space="0" w:color="231F20"/>
            </w:tcBorders>
          </w:tcPr>
          <w:p w14:paraId="6E196B8D" w14:textId="77777777" w:rsidR="009948F1" w:rsidRDefault="009948F1">
            <w:pPr>
              <w:pStyle w:val="TableParagraph"/>
              <w:spacing w:before="9"/>
              <w:rPr>
                <w:b/>
                <w:sz w:val="15"/>
              </w:rPr>
            </w:pPr>
          </w:p>
          <w:p w14:paraId="604002F9"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12BEE2F3" w14:textId="77777777" w:rsidR="009948F1" w:rsidRDefault="00BC0563">
            <w:pPr>
              <w:pStyle w:val="TableParagraph"/>
              <w:spacing w:before="88" w:line="259" w:lineRule="auto"/>
              <w:ind w:left="25"/>
              <w:rPr>
                <w:sz w:val="15"/>
              </w:rPr>
            </w:pPr>
            <w:r>
              <w:rPr>
                <w:color w:val="231F20"/>
                <w:w w:val="80"/>
                <w:sz w:val="15"/>
              </w:rPr>
              <w:t xml:space="preserve">Conduct quarterly review </w:t>
            </w:r>
            <w:r>
              <w:rPr>
                <w:color w:val="231F20"/>
                <w:w w:val="90"/>
                <w:sz w:val="15"/>
              </w:rPr>
              <w:t>meeting</w:t>
            </w:r>
          </w:p>
        </w:tc>
      </w:tr>
      <w:tr w:rsidR="009948F1" w14:paraId="249C4FDD" w14:textId="77777777">
        <w:trPr>
          <w:trHeight w:val="365"/>
        </w:trPr>
        <w:tc>
          <w:tcPr>
            <w:tcW w:w="844" w:type="dxa"/>
            <w:gridSpan w:val="2"/>
            <w:vMerge/>
            <w:tcBorders>
              <w:top w:val="nil"/>
              <w:left w:val="single" w:sz="8" w:space="0" w:color="231F20"/>
              <w:bottom w:val="nil"/>
            </w:tcBorders>
          </w:tcPr>
          <w:p w14:paraId="0C027684" w14:textId="77777777" w:rsidR="009948F1" w:rsidRDefault="009948F1">
            <w:pPr>
              <w:rPr>
                <w:sz w:val="2"/>
                <w:szCs w:val="2"/>
              </w:rPr>
            </w:pPr>
          </w:p>
        </w:tc>
        <w:tc>
          <w:tcPr>
            <w:tcW w:w="525" w:type="dxa"/>
          </w:tcPr>
          <w:p w14:paraId="55896D6F" w14:textId="77777777" w:rsidR="009948F1" w:rsidRDefault="00BC0563">
            <w:pPr>
              <w:pStyle w:val="TableParagraph"/>
              <w:spacing w:before="97"/>
              <w:ind w:left="39" w:right="9"/>
              <w:jc w:val="center"/>
              <w:rPr>
                <w:sz w:val="15"/>
              </w:rPr>
            </w:pPr>
            <w:r>
              <w:rPr>
                <w:color w:val="231F20"/>
                <w:w w:val="85"/>
                <w:sz w:val="15"/>
              </w:rPr>
              <w:t>1.3.1.c</w:t>
            </w:r>
          </w:p>
        </w:tc>
        <w:tc>
          <w:tcPr>
            <w:tcW w:w="4885" w:type="dxa"/>
            <w:gridSpan w:val="2"/>
          </w:tcPr>
          <w:p w14:paraId="1438201B" w14:textId="77777777" w:rsidR="009948F1" w:rsidRDefault="00BC0563">
            <w:pPr>
              <w:pStyle w:val="TableParagraph"/>
              <w:ind w:left="62"/>
              <w:rPr>
                <w:sz w:val="15"/>
              </w:rPr>
            </w:pPr>
            <w:r>
              <w:rPr>
                <w:color w:val="231F20"/>
                <w:w w:val="85"/>
                <w:sz w:val="15"/>
              </w:rPr>
              <w:t>Disseminate findings of implementation reviews to stakeholders annually and publish</w:t>
            </w:r>
          </w:p>
          <w:p w14:paraId="48346B0C" w14:textId="77777777" w:rsidR="009948F1" w:rsidRDefault="00BC0563">
            <w:pPr>
              <w:pStyle w:val="TableParagraph"/>
              <w:spacing w:before="14" w:line="159" w:lineRule="exact"/>
              <w:ind w:left="29"/>
              <w:rPr>
                <w:sz w:val="15"/>
              </w:rPr>
            </w:pPr>
            <w:r>
              <w:rPr>
                <w:color w:val="231F20"/>
                <w:w w:val="90"/>
                <w:sz w:val="15"/>
              </w:rPr>
              <w:t>same in the state bulletin and MOH website</w:t>
            </w:r>
          </w:p>
        </w:tc>
        <w:tc>
          <w:tcPr>
            <w:tcW w:w="1425" w:type="dxa"/>
            <w:tcBorders>
              <w:right w:val="single" w:sz="8" w:space="0" w:color="231F20"/>
            </w:tcBorders>
          </w:tcPr>
          <w:p w14:paraId="1DFB90E4" w14:textId="77777777" w:rsidR="009948F1" w:rsidRDefault="00BC0563">
            <w:pPr>
              <w:pStyle w:val="TableParagraph"/>
              <w:spacing w:before="97"/>
              <w:ind w:left="29"/>
              <w:rPr>
                <w:sz w:val="15"/>
              </w:rPr>
            </w:pPr>
            <w:r>
              <w:rPr>
                <w:color w:val="231F20"/>
                <w:w w:val="90"/>
                <w:sz w:val="15"/>
              </w:rPr>
              <w:t>Lack of funds</w:t>
            </w:r>
          </w:p>
        </w:tc>
        <w:tc>
          <w:tcPr>
            <w:tcW w:w="1501" w:type="dxa"/>
            <w:tcBorders>
              <w:left w:val="single" w:sz="8" w:space="0" w:color="231F20"/>
            </w:tcBorders>
          </w:tcPr>
          <w:p w14:paraId="56F23306" w14:textId="77777777" w:rsidR="009948F1" w:rsidRDefault="00BC0563">
            <w:pPr>
              <w:pStyle w:val="TableParagraph"/>
              <w:spacing w:before="97"/>
              <w:ind w:left="25"/>
              <w:rPr>
                <w:sz w:val="15"/>
              </w:rPr>
            </w:pPr>
            <w:r>
              <w:rPr>
                <w:color w:val="231F20"/>
                <w:w w:val="90"/>
                <w:sz w:val="15"/>
              </w:rPr>
              <w:t>Disseminate findings</w:t>
            </w:r>
          </w:p>
        </w:tc>
      </w:tr>
      <w:tr w:rsidR="009948F1" w14:paraId="727C4653" w14:textId="77777777">
        <w:trPr>
          <w:trHeight w:val="1130"/>
        </w:trPr>
        <w:tc>
          <w:tcPr>
            <w:tcW w:w="390" w:type="dxa"/>
            <w:tcBorders>
              <w:top w:val="nil"/>
              <w:left w:val="single" w:sz="8" w:space="0" w:color="231F20"/>
              <w:bottom w:val="nil"/>
            </w:tcBorders>
          </w:tcPr>
          <w:p w14:paraId="1BB08D3B" w14:textId="77777777" w:rsidR="009948F1" w:rsidRDefault="009948F1">
            <w:pPr>
              <w:pStyle w:val="TableParagraph"/>
              <w:rPr>
                <w:rFonts w:ascii="Times New Roman"/>
                <w:sz w:val="10"/>
              </w:rPr>
            </w:pPr>
          </w:p>
        </w:tc>
        <w:tc>
          <w:tcPr>
            <w:tcW w:w="454" w:type="dxa"/>
            <w:shd w:val="clear" w:color="auto" w:fill="CCE7D3"/>
          </w:tcPr>
          <w:p w14:paraId="5F26CFE5" w14:textId="77777777" w:rsidR="009948F1" w:rsidRDefault="009948F1">
            <w:pPr>
              <w:pStyle w:val="TableParagraph"/>
              <w:rPr>
                <w:b/>
                <w:sz w:val="14"/>
              </w:rPr>
            </w:pPr>
          </w:p>
          <w:p w14:paraId="6F027E9F" w14:textId="77777777" w:rsidR="009948F1" w:rsidRDefault="009948F1">
            <w:pPr>
              <w:pStyle w:val="TableParagraph"/>
              <w:rPr>
                <w:b/>
                <w:sz w:val="14"/>
              </w:rPr>
            </w:pPr>
          </w:p>
          <w:p w14:paraId="4DC09252" w14:textId="77777777" w:rsidR="009948F1" w:rsidRDefault="009948F1">
            <w:pPr>
              <w:pStyle w:val="TableParagraph"/>
              <w:spacing w:before="7"/>
              <w:rPr>
                <w:b/>
                <w:sz w:val="13"/>
              </w:rPr>
            </w:pPr>
          </w:p>
          <w:p w14:paraId="6FBA37AA" w14:textId="77777777" w:rsidR="009948F1" w:rsidRDefault="00BC0563">
            <w:pPr>
              <w:pStyle w:val="TableParagraph"/>
              <w:ind w:left="62"/>
              <w:rPr>
                <w:sz w:val="15"/>
              </w:rPr>
            </w:pPr>
            <w:r>
              <w:rPr>
                <w:color w:val="231F20"/>
                <w:w w:val="90"/>
                <w:sz w:val="15"/>
              </w:rPr>
              <w:t>1.3.2</w:t>
            </w:r>
          </w:p>
        </w:tc>
        <w:tc>
          <w:tcPr>
            <w:tcW w:w="3031" w:type="dxa"/>
            <w:gridSpan w:val="2"/>
            <w:shd w:val="clear" w:color="auto" w:fill="CCE7D3"/>
          </w:tcPr>
          <w:p w14:paraId="55F679D4" w14:textId="77777777" w:rsidR="009948F1" w:rsidRDefault="009948F1">
            <w:pPr>
              <w:pStyle w:val="TableParagraph"/>
              <w:rPr>
                <w:b/>
                <w:sz w:val="14"/>
              </w:rPr>
            </w:pPr>
          </w:p>
          <w:p w14:paraId="6BACAAA1" w14:textId="77777777" w:rsidR="009948F1" w:rsidRDefault="00BC0563">
            <w:pPr>
              <w:pStyle w:val="TableParagraph"/>
              <w:spacing w:before="125" w:line="259" w:lineRule="auto"/>
              <w:ind w:left="29" w:right="4" w:firstLine="32"/>
              <w:rPr>
                <w:sz w:val="15"/>
              </w:rPr>
            </w:pPr>
            <w:r>
              <w:rPr>
                <w:color w:val="231F20"/>
                <w:w w:val="80"/>
                <w:sz w:val="15"/>
              </w:rPr>
              <w:t>Improve</w:t>
            </w:r>
            <w:r>
              <w:rPr>
                <w:color w:val="231F20"/>
                <w:spacing w:val="-9"/>
                <w:w w:val="80"/>
                <w:sz w:val="15"/>
              </w:rPr>
              <w:t xml:space="preserve"> </w:t>
            </w:r>
            <w:r>
              <w:rPr>
                <w:color w:val="231F20"/>
                <w:w w:val="80"/>
                <w:sz w:val="15"/>
              </w:rPr>
              <w:t>information</w:t>
            </w:r>
            <w:r>
              <w:rPr>
                <w:color w:val="231F20"/>
                <w:spacing w:val="-9"/>
                <w:w w:val="80"/>
                <w:sz w:val="15"/>
              </w:rPr>
              <w:t xml:space="preserve"> </w:t>
            </w:r>
            <w:r>
              <w:rPr>
                <w:color w:val="231F20"/>
                <w:w w:val="80"/>
                <w:sz w:val="15"/>
              </w:rPr>
              <w:t>generation</w:t>
            </w:r>
            <w:r>
              <w:rPr>
                <w:color w:val="231F20"/>
                <w:spacing w:val="-9"/>
                <w:w w:val="80"/>
                <w:sz w:val="15"/>
              </w:rPr>
              <w:t xml:space="preserve"> </w:t>
            </w:r>
            <w:r>
              <w:rPr>
                <w:color w:val="231F20"/>
                <w:w w:val="80"/>
                <w:sz w:val="15"/>
              </w:rPr>
              <w:t>and</w:t>
            </w:r>
            <w:r>
              <w:rPr>
                <w:color w:val="231F20"/>
                <w:spacing w:val="-8"/>
                <w:w w:val="80"/>
                <w:sz w:val="15"/>
              </w:rPr>
              <w:t xml:space="preserve"> </w:t>
            </w:r>
            <w:r>
              <w:rPr>
                <w:color w:val="231F20"/>
                <w:w w:val="80"/>
                <w:sz w:val="15"/>
              </w:rPr>
              <w:t>sectoral</w:t>
            </w:r>
            <w:r>
              <w:rPr>
                <w:color w:val="231F20"/>
                <w:spacing w:val="-9"/>
                <w:w w:val="80"/>
                <w:sz w:val="15"/>
              </w:rPr>
              <w:t xml:space="preserve"> </w:t>
            </w:r>
            <w:r>
              <w:rPr>
                <w:color w:val="231F20"/>
                <w:w w:val="80"/>
                <w:sz w:val="15"/>
              </w:rPr>
              <w:t xml:space="preserve">information </w:t>
            </w:r>
            <w:r>
              <w:rPr>
                <w:color w:val="231F20"/>
                <w:w w:val="90"/>
                <w:sz w:val="15"/>
              </w:rPr>
              <w:t>base for decision-making to enhance sectoral performance</w:t>
            </w:r>
          </w:p>
        </w:tc>
        <w:tc>
          <w:tcPr>
            <w:tcW w:w="2379" w:type="dxa"/>
            <w:shd w:val="clear" w:color="auto" w:fill="CCE7D3"/>
          </w:tcPr>
          <w:p w14:paraId="5A1AE2EA" w14:textId="781A28A6" w:rsidR="009948F1" w:rsidRDefault="00BC0563">
            <w:pPr>
              <w:pStyle w:val="TableParagraph"/>
              <w:numPr>
                <w:ilvl w:val="0"/>
                <w:numId w:val="237"/>
              </w:numPr>
              <w:tabs>
                <w:tab w:val="left" w:pos="104"/>
              </w:tabs>
              <w:spacing w:before="13" w:line="259" w:lineRule="auto"/>
              <w:ind w:right="52" w:firstLine="0"/>
              <w:jc w:val="both"/>
              <w:rPr>
                <w:sz w:val="15"/>
              </w:rPr>
            </w:pPr>
            <w:r>
              <w:rPr>
                <w:color w:val="231F20"/>
                <w:w w:val="80"/>
                <w:sz w:val="15"/>
              </w:rPr>
              <w:t>Health</w:t>
            </w:r>
            <w:r>
              <w:rPr>
                <w:color w:val="231F20"/>
                <w:spacing w:val="-9"/>
                <w:w w:val="80"/>
                <w:sz w:val="15"/>
              </w:rPr>
              <w:t xml:space="preserve"> </w:t>
            </w:r>
            <w:r>
              <w:rPr>
                <w:color w:val="231F20"/>
                <w:w w:val="80"/>
                <w:sz w:val="15"/>
              </w:rPr>
              <w:t>management</w:t>
            </w:r>
            <w:r>
              <w:rPr>
                <w:color w:val="231F20"/>
                <w:spacing w:val="-8"/>
                <w:w w:val="80"/>
                <w:sz w:val="15"/>
              </w:rPr>
              <w:t xml:space="preserve"> </w:t>
            </w:r>
            <w:r>
              <w:rPr>
                <w:color w:val="231F20"/>
                <w:w w:val="80"/>
                <w:sz w:val="15"/>
              </w:rPr>
              <w:t>information</w:t>
            </w:r>
            <w:r>
              <w:rPr>
                <w:color w:val="231F20"/>
                <w:spacing w:val="-9"/>
                <w:w w:val="80"/>
                <w:sz w:val="15"/>
              </w:rPr>
              <w:t xml:space="preserve"> </w:t>
            </w:r>
            <w:r>
              <w:rPr>
                <w:color w:val="231F20"/>
                <w:w w:val="80"/>
                <w:sz w:val="15"/>
              </w:rPr>
              <w:t>base</w:t>
            </w:r>
            <w:r>
              <w:rPr>
                <w:color w:val="231F20"/>
                <w:spacing w:val="-8"/>
                <w:w w:val="80"/>
                <w:sz w:val="15"/>
              </w:rPr>
              <w:t xml:space="preserve"> </w:t>
            </w:r>
            <w:r>
              <w:rPr>
                <w:color w:val="231F20"/>
                <w:w w:val="80"/>
                <w:sz w:val="15"/>
              </w:rPr>
              <w:t xml:space="preserve">and </w:t>
            </w:r>
            <w:r>
              <w:rPr>
                <w:color w:val="231F20"/>
                <w:w w:val="90"/>
                <w:sz w:val="15"/>
              </w:rPr>
              <w:t>website</w:t>
            </w:r>
            <w:r>
              <w:rPr>
                <w:color w:val="231F20"/>
                <w:spacing w:val="-8"/>
                <w:w w:val="90"/>
                <w:sz w:val="15"/>
              </w:rPr>
              <w:t xml:space="preserve"> </w:t>
            </w:r>
            <w:r w:rsidR="00C84576">
              <w:rPr>
                <w:color w:val="231F20"/>
                <w:w w:val="90"/>
                <w:sz w:val="15"/>
              </w:rPr>
              <w:t>developed</w:t>
            </w:r>
          </w:p>
          <w:p w14:paraId="548011BC" w14:textId="77777777" w:rsidR="009948F1" w:rsidRDefault="00BC0563">
            <w:pPr>
              <w:pStyle w:val="TableParagraph"/>
              <w:numPr>
                <w:ilvl w:val="0"/>
                <w:numId w:val="237"/>
              </w:numPr>
              <w:tabs>
                <w:tab w:val="left" w:pos="104"/>
              </w:tabs>
              <w:spacing w:before="1" w:line="259" w:lineRule="auto"/>
              <w:ind w:right="177" w:firstLine="0"/>
              <w:jc w:val="both"/>
              <w:rPr>
                <w:sz w:val="15"/>
              </w:rPr>
            </w:pPr>
            <w:r>
              <w:rPr>
                <w:color w:val="231F20"/>
                <w:w w:val="80"/>
                <w:sz w:val="15"/>
              </w:rPr>
              <w:t>Submission</w:t>
            </w:r>
            <w:r>
              <w:rPr>
                <w:color w:val="231F20"/>
                <w:spacing w:val="-5"/>
                <w:w w:val="80"/>
                <w:sz w:val="15"/>
              </w:rPr>
              <w:t xml:space="preserve"> </w:t>
            </w:r>
            <w:r>
              <w:rPr>
                <w:color w:val="231F20"/>
                <w:w w:val="80"/>
                <w:sz w:val="15"/>
              </w:rPr>
              <w:t>of</w:t>
            </w:r>
            <w:r>
              <w:rPr>
                <w:color w:val="231F20"/>
                <w:spacing w:val="-5"/>
                <w:w w:val="80"/>
                <w:sz w:val="15"/>
              </w:rPr>
              <w:t xml:space="preserve"> </w:t>
            </w:r>
            <w:r>
              <w:rPr>
                <w:color w:val="231F20"/>
                <w:w w:val="80"/>
                <w:sz w:val="15"/>
              </w:rPr>
              <w:t>data</w:t>
            </w:r>
            <w:r>
              <w:rPr>
                <w:color w:val="231F20"/>
                <w:spacing w:val="-5"/>
                <w:w w:val="80"/>
                <w:sz w:val="15"/>
              </w:rPr>
              <w:t xml:space="preserve"> </w:t>
            </w:r>
            <w:r>
              <w:rPr>
                <w:color w:val="231F20"/>
                <w:w w:val="80"/>
                <w:sz w:val="15"/>
              </w:rPr>
              <w:t>as</w:t>
            </w:r>
            <w:r>
              <w:rPr>
                <w:color w:val="231F20"/>
                <w:spacing w:val="-5"/>
                <w:w w:val="80"/>
                <w:sz w:val="15"/>
              </w:rPr>
              <w:t xml:space="preserve"> </w:t>
            </w:r>
            <w:r>
              <w:rPr>
                <w:color w:val="231F20"/>
                <w:w w:val="80"/>
                <w:sz w:val="15"/>
              </w:rPr>
              <w:t>conditions</w:t>
            </w:r>
            <w:r>
              <w:rPr>
                <w:color w:val="231F20"/>
                <w:spacing w:val="-5"/>
                <w:w w:val="80"/>
                <w:sz w:val="15"/>
              </w:rPr>
              <w:t xml:space="preserve"> </w:t>
            </w:r>
            <w:r>
              <w:rPr>
                <w:color w:val="231F20"/>
                <w:w w:val="80"/>
                <w:sz w:val="15"/>
              </w:rPr>
              <w:t>for</w:t>
            </w:r>
            <w:r>
              <w:rPr>
                <w:color w:val="231F20"/>
                <w:spacing w:val="-5"/>
                <w:w w:val="80"/>
                <w:sz w:val="15"/>
              </w:rPr>
              <w:t xml:space="preserve"> </w:t>
            </w:r>
            <w:r>
              <w:rPr>
                <w:color w:val="231F20"/>
                <w:spacing w:val="-4"/>
                <w:w w:val="80"/>
                <w:sz w:val="15"/>
              </w:rPr>
              <w:t xml:space="preserve">re- </w:t>
            </w:r>
            <w:r>
              <w:rPr>
                <w:color w:val="231F20"/>
                <w:w w:val="80"/>
                <w:sz w:val="15"/>
              </w:rPr>
              <w:t xml:space="preserve">accreditation of private health facilities in </w:t>
            </w:r>
            <w:r>
              <w:rPr>
                <w:color w:val="231F20"/>
                <w:w w:val="90"/>
                <w:sz w:val="15"/>
              </w:rPr>
              <w:t>place</w:t>
            </w:r>
          </w:p>
          <w:p w14:paraId="50353442" w14:textId="77777777" w:rsidR="009948F1" w:rsidRDefault="00BC0563">
            <w:pPr>
              <w:pStyle w:val="TableParagraph"/>
              <w:numPr>
                <w:ilvl w:val="0"/>
                <w:numId w:val="237"/>
              </w:numPr>
              <w:tabs>
                <w:tab w:val="left" w:pos="104"/>
              </w:tabs>
              <w:spacing w:line="165" w:lineRule="exact"/>
              <w:ind w:left="103"/>
              <w:jc w:val="both"/>
              <w:rPr>
                <w:sz w:val="15"/>
              </w:rPr>
            </w:pPr>
            <w:r>
              <w:rPr>
                <w:color w:val="231F20"/>
                <w:w w:val="90"/>
                <w:sz w:val="15"/>
              </w:rPr>
              <w:t>250</w:t>
            </w:r>
            <w:r>
              <w:rPr>
                <w:color w:val="231F20"/>
                <w:spacing w:val="-25"/>
                <w:w w:val="90"/>
                <w:sz w:val="15"/>
              </w:rPr>
              <w:t xml:space="preserve"> </w:t>
            </w:r>
            <w:r>
              <w:rPr>
                <w:color w:val="231F20"/>
                <w:w w:val="90"/>
                <w:sz w:val="15"/>
              </w:rPr>
              <w:t>staff</w:t>
            </w:r>
            <w:r>
              <w:rPr>
                <w:color w:val="231F20"/>
                <w:spacing w:val="-25"/>
                <w:w w:val="90"/>
                <w:sz w:val="15"/>
              </w:rPr>
              <w:t xml:space="preserve"> </w:t>
            </w:r>
            <w:r>
              <w:rPr>
                <w:color w:val="231F20"/>
                <w:w w:val="90"/>
                <w:sz w:val="15"/>
              </w:rPr>
              <w:t>trained</w:t>
            </w:r>
            <w:r>
              <w:rPr>
                <w:color w:val="231F20"/>
                <w:spacing w:val="-25"/>
                <w:w w:val="90"/>
                <w:sz w:val="15"/>
              </w:rPr>
              <w:t xml:space="preserve"> </w:t>
            </w:r>
            <w:r>
              <w:rPr>
                <w:color w:val="231F20"/>
                <w:w w:val="90"/>
                <w:sz w:val="15"/>
              </w:rPr>
              <w:t>on</w:t>
            </w:r>
            <w:r>
              <w:rPr>
                <w:color w:val="231F20"/>
                <w:spacing w:val="-25"/>
                <w:w w:val="90"/>
                <w:sz w:val="15"/>
              </w:rPr>
              <w:t xml:space="preserve"> </w:t>
            </w:r>
            <w:r>
              <w:rPr>
                <w:color w:val="231F20"/>
                <w:w w:val="90"/>
                <w:sz w:val="15"/>
              </w:rPr>
              <w:t>data</w:t>
            </w:r>
            <w:r>
              <w:rPr>
                <w:color w:val="231F20"/>
                <w:spacing w:val="-25"/>
                <w:w w:val="90"/>
                <w:sz w:val="15"/>
              </w:rPr>
              <w:t xml:space="preserve"> </w:t>
            </w:r>
            <w:r>
              <w:rPr>
                <w:color w:val="231F20"/>
                <w:w w:val="90"/>
                <w:sz w:val="15"/>
              </w:rPr>
              <w:t>management</w:t>
            </w:r>
          </w:p>
        </w:tc>
        <w:tc>
          <w:tcPr>
            <w:tcW w:w="1425" w:type="dxa"/>
            <w:tcBorders>
              <w:right w:val="single" w:sz="8" w:space="0" w:color="231F20"/>
            </w:tcBorders>
            <w:shd w:val="clear" w:color="auto" w:fill="CCE7D3"/>
          </w:tcPr>
          <w:p w14:paraId="2422B573" w14:textId="77777777" w:rsidR="009948F1" w:rsidRDefault="009948F1">
            <w:pPr>
              <w:pStyle w:val="TableParagraph"/>
              <w:rPr>
                <w:rFonts w:ascii="Times New Roman"/>
                <w:sz w:val="10"/>
              </w:rPr>
            </w:pPr>
          </w:p>
        </w:tc>
        <w:tc>
          <w:tcPr>
            <w:tcW w:w="1501" w:type="dxa"/>
            <w:tcBorders>
              <w:left w:val="single" w:sz="8" w:space="0" w:color="231F20"/>
            </w:tcBorders>
            <w:shd w:val="clear" w:color="auto" w:fill="CCE7D3"/>
          </w:tcPr>
          <w:p w14:paraId="6297BEB6" w14:textId="77777777" w:rsidR="009948F1" w:rsidRDefault="009948F1">
            <w:pPr>
              <w:pStyle w:val="TableParagraph"/>
              <w:rPr>
                <w:rFonts w:ascii="Times New Roman"/>
                <w:sz w:val="10"/>
              </w:rPr>
            </w:pPr>
          </w:p>
        </w:tc>
      </w:tr>
      <w:tr w:rsidR="009948F1" w14:paraId="0A9B7C46" w14:textId="77777777">
        <w:trPr>
          <w:trHeight w:val="626"/>
        </w:trPr>
        <w:tc>
          <w:tcPr>
            <w:tcW w:w="844" w:type="dxa"/>
            <w:gridSpan w:val="2"/>
            <w:vMerge w:val="restart"/>
            <w:tcBorders>
              <w:top w:val="nil"/>
              <w:left w:val="single" w:sz="8" w:space="0" w:color="231F20"/>
              <w:bottom w:val="nil"/>
            </w:tcBorders>
          </w:tcPr>
          <w:p w14:paraId="24A2C1CF" w14:textId="77777777" w:rsidR="009948F1" w:rsidRDefault="009948F1">
            <w:pPr>
              <w:pStyle w:val="TableParagraph"/>
              <w:rPr>
                <w:rFonts w:ascii="Times New Roman"/>
                <w:sz w:val="10"/>
              </w:rPr>
            </w:pPr>
          </w:p>
        </w:tc>
        <w:tc>
          <w:tcPr>
            <w:tcW w:w="525" w:type="dxa"/>
          </w:tcPr>
          <w:p w14:paraId="12F1EC28" w14:textId="77777777" w:rsidR="009948F1" w:rsidRDefault="009948F1">
            <w:pPr>
              <w:pStyle w:val="TableParagraph"/>
              <w:spacing w:before="8"/>
              <w:rPr>
                <w:b/>
                <w:sz w:val="19"/>
              </w:rPr>
            </w:pPr>
          </w:p>
          <w:p w14:paraId="65FD78B8" w14:textId="77777777" w:rsidR="009948F1" w:rsidRDefault="00BC0563">
            <w:pPr>
              <w:pStyle w:val="TableParagraph"/>
              <w:spacing w:before="1"/>
              <w:ind w:left="39" w:right="9"/>
              <w:jc w:val="center"/>
              <w:rPr>
                <w:sz w:val="15"/>
              </w:rPr>
            </w:pPr>
            <w:r>
              <w:rPr>
                <w:color w:val="231F20"/>
                <w:w w:val="85"/>
                <w:sz w:val="15"/>
              </w:rPr>
              <w:t>1.3.2.a</w:t>
            </w:r>
          </w:p>
        </w:tc>
        <w:tc>
          <w:tcPr>
            <w:tcW w:w="4885" w:type="dxa"/>
            <w:gridSpan w:val="2"/>
          </w:tcPr>
          <w:p w14:paraId="480D21E8" w14:textId="77777777" w:rsidR="009948F1" w:rsidRDefault="009948F1">
            <w:pPr>
              <w:pStyle w:val="TableParagraph"/>
              <w:rPr>
                <w:b/>
                <w:sz w:val="11"/>
              </w:rPr>
            </w:pPr>
          </w:p>
          <w:p w14:paraId="3ADA8CCF" w14:textId="77777777" w:rsidR="009948F1" w:rsidRDefault="00BC0563">
            <w:pPr>
              <w:pStyle w:val="TableParagraph"/>
              <w:spacing w:line="259" w:lineRule="auto"/>
              <w:ind w:left="29" w:right="231" w:firstLine="32"/>
              <w:rPr>
                <w:sz w:val="15"/>
              </w:rPr>
            </w:pPr>
            <w:r>
              <w:rPr>
                <w:color w:val="231F20"/>
                <w:w w:val="85"/>
                <w:sz w:val="15"/>
              </w:rPr>
              <w:t xml:space="preserve">Develop a health management information base, including a website and a data </w:t>
            </w:r>
            <w:r>
              <w:rPr>
                <w:color w:val="231F20"/>
                <w:w w:val="80"/>
                <w:sz w:val="15"/>
              </w:rPr>
              <w:t>management office for harmonization and standardization of information management.</w:t>
            </w:r>
          </w:p>
        </w:tc>
        <w:tc>
          <w:tcPr>
            <w:tcW w:w="1425" w:type="dxa"/>
            <w:tcBorders>
              <w:right w:val="single" w:sz="8" w:space="0" w:color="231F20"/>
            </w:tcBorders>
          </w:tcPr>
          <w:p w14:paraId="6D58BEA2" w14:textId="77777777" w:rsidR="009948F1" w:rsidRDefault="009948F1">
            <w:pPr>
              <w:pStyle w:val="TableParagraph"/>
              <w:spacing w:before="8"/>
              <w:rPr>
                <w:b/>
                <w:sz w:val="19"/>
              </w:rPr>
            </w:pPr>
          </w:p>
          <w:p w14:paraId="00963A1A" w14:textId="77777777" w:rsidR="009948F1" w:rsidRDefault="00BC0563">
            <w:pPr>
              <w:pStyle w:val="TableParagraph"/>
              <w:spacing w:before="1"/>
              <w:ind w:left="29"/>
              <w:rPr>
                <w:sz w:val="15"/>
              </w:rPr>
            </w:pPr>
            <w:r>
              <w:rPr>
                <w:color w:val="231F20"/>
                <w:w w:val="90"/>
                <w:sz w:val="15"/>
              </w:rPr>
              <w:t>Lack of funds</w:t>
            </w:r>
          </w:p>
        </w:tc>
        <w:tc>
          <w:tcPr>
            <w:tcW w:w="1501" w:type="dxa"/>
            <w:tcBorders>
              <w:left w:val="single" w:sz="8" w:space="0" w:color="231F20"/>
            </w:tcBorders>
          </w:tcPr>
          <w:p w14:paraId="1E3FA4A1" w14:textId="77777777" w:rsidR="009948F1" w:rsidRDefault="00BC0563">
            <w:pPr>
              <w:pStyle w:val="TableParagraph"/>
              <w:spacing w:before="41" w:line="259" w:lineRule="auto"/>
              <w:ind w:left="25"/>
              <w:rPr>
                <w:sz w:val="15"/>
              </w:rPr>
            </w:pPr>
            <w:r>
              <w:rPr>
                <w:color w:val="231F20"/>
                <w:w w:val="90"/>
                <w:sz w:val="15"/>
              </w:rPr>
              <w:t xml:space="preserve">Develop a health </w:t>
            </w:r>
            <w:r>
              <w:rPr>
                <w:color w:val="231F20"/>
                <w:w w:val="80"/>
                <w:sz w:val="15"/>
              </w:rPr>
              <w:t xml:space="preserve">management information </w:t>
            </w:r>
            <w:r>
              <w:rPr>
                <w:color w:val="231F20"/>
                <w:w w:val="90"/>
                <w:sz w:val="15"/>
              </w:rPr>
              <w:t>base</w:t>
            </w:r>
          </w:p>
        </w:tc>
      </w:tr>
      <w:tr w:rsidR="009948F1" w14:paraId="11F5D993" w14:textId="77777777">
        <w:trPr>
          <w:trHeight w:val="517"/>
        </w:trPr>
        <w:tc>
          <w:tcPr>
            <w:tcW w:w="844" w:type="dxa"/>
            <w:gridSpan w:val="2"/>
            <w:vMerge/>
            <w:tcBorders>
              <w:top w:val="nil"/>
              <w:left w:val="single" w:sz="8" w:space="0" w:color="231F20"/>
              <w:bottom w:val="nil"/>
            </w:tcBorders>
          </w:tcPr>
          <w:p w14:paraId="09FB48DC" w14:textId="77777777" w:rsidR="009948F1" w:rsidRDefault="009948F1">
            <w:pPr>
              <w:rPr>
                <w:sz w:val="2"/>
                <w:szCs w:val="2"/>
              </w:rPr>
            </w:pPr>
          </w:p>
        </w:tc>
        <w:tc>
          <w:tcPr>
            <w:tcW w:w="525" w:type="dxa"/>
          </w:tcPr>
          <w:p w14:paraId="0826DD54" w14:textId="77777777" w:rsidR="009948F1" w:rsidRDefault="009948F1">
            <w:pPr>
              <w:pStyle w:val="TableParagraph"/>
              <w:rPr>
                <w:b/>
                <w:sz w:val="15"/>
              </w:rPr>
            </w:pPr>
          </w:p>
          <w:p w14:paraId="5605A097" w14:textId="77777777" w:rsidR="009948F1" w:rsidRDefault="00BC0563">
            <w:pPr>
              <w:pStyle w:val="TableParagraph"/>
              <w:ind w:left="39" w:right="9"/>
              <w:jc w:val="center"/>
              <w:rPr>
                <w:sz w:val="15"/>
              </w:rPr>
            </w:pPr>
            <w:r>
              <w:rPr>
                <w:color w:val="231F20"/>
                <w:w w:val="85"/>
                <w:sz w:val="15"/>
              </w:rPr>
              <w:t>1.3.2.b</w:t>
            </w:r>
          </w:p>
        </w:tc>
        <w:tc>
          <w:tcPr>
            <w:tcW w:w="4885" w:type="dxa"/>
            <w:gridSpan w:val="2"/>
          </w:tcPr>
          <w:p w14:paraId="30EEA479" w14:textId="199F4CFA" w:rsidR="009948F1" w:rsidRDefault="00BC0563">
            <w:pPr>
              <w:pStyle w:val="TableParagraph"/>
              <w:spacing w:before="72" w:line="259" w:lineRule="auto"/>
              <w:ind w:left="29" w:right="93" w:firstLine="32"/>
              <w:rPr>
                <w:sz w:val="15"/>
              </w:rPr>
            </w:pPr>
            <w:r>
              <w:rPr>
                <w:color w:val="231F20"/>
                <w:w w:val="80"/>
                <w:sz w:val="15"/>
              </w:rPr>
              <w:t xml:space="preserve">Institutionalize quarterly inter-sectoral review meetings to </w:t>
            </w:r>
            <w:r w:rsidR="00DA4239">
              <w:rPr>
                <w:color w:val="231F20"/>
                <w:w w:val="80"/>
                <w:sz w:val="15"/>
              </w:rPr>
              <w:t>analyze</w:t>
            </w:r>
            <w:r>
              <w:rPr>
                <w:color w:val="231F20"/>
                <w:w w:val="80"/>
                <w:sz w:val="15"/>
              </w:rPr>
              <w:t xml:space="preserve"> available data / results </w:t>
            </w:r>
            <w:r>
              <w:rPr>
                <w:color w:val="231F20"/>
                <w:w w:val="90"/>
                <w:sz w:val="15"/>
              </w:rPr>
              <w:t>and strategize ways for further development.</w:t>
            </w:r>
          </w:p>
        </w:tc>
        <w:tc>
          <w:tcPr>
            <w:tcW w:w="1425" w:type="dxa"/>
            <w:tcBorders>
              <w:right w:val="single" w:sz="8" w:space="0" w:color="231F20"/>
            </w:tcBorders>
          </w:tcPr>
          <w:p w14:paraId="4E288F6C" w14:textId="77777777" w:rsidR="009948F1" w:rsidRDefault="009948F1">
            <w:pPr>
              <w:pStyle w:val="TableParagraph"/>
              <w:rPr>
                <w:b/>
                <w:sz w:val="15"/>
              </w:rPr>
            </w:pPr>
          </w:p>
          <w:p w14:paraId="0512F76F"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43AAFE98" w14:textId="77777777" w:rsidR="009948F1" w:rsidRDefault="00BC0563">
            <w:pPr>
              <w:pStyle w:val="TableParagraph"/>
              <w:spacing w:before="78" w:line="259" w:lineRule="auto"/>
              <w:ind w:left="25"/>
              <w:rPr>
                <w:sz w:val="15"/>
              </w:rPr>
            </w:pPr>
            <w:r>
              <w:rPr>
                <w:color w:val="231F20"/>
                <w:w w:val="80"/>
                <w:sz w:val="15"/>
              </w:rPr>
              <w:t>Convene quarterly inter- sectoral review meetings</w:t>
            </w:r>
          </w:p>
        </w:tc>
      </w:tr>
      <w:tr w:rsidR="009948F1" w14:paraId="7E9FB7E1" w14:textId="77777777">
        <w:trPr>
          <w:trHeight w:val="662"/>
        </w:trPr>
        <w:tc>
          <w:tcPr>
            <w:tcW w:w="844" w:type="dxa"/>
            <w:gridSpan w:val="2"/>
            <w:vMerge/>
            <w:tcBorders>
              <w:top w:val="nil"/>
              <w:left w:val="single" w:sz="8" w:space="0" w:color="231F20"/>
              <w:bottom w:val="nil"/>
            </w:tcBorders>
          </w:tcPr>
          <w:p w14:paraId="1FA89367" w14:textId="77777777" w:rsidR="009948F1" w:rsidRDefault="009948F1">
            <w:pPr>
              <w:rPr>
                <w:sz w:val="2"/>
                <w:szCs w:val="2"/>
              </w:rPr>
            </w:pPr>
          </w:p>
        </w:tc>
        <w:tc>
          <w:tcPr>
            <w:tcW w:w="525" w:type="dxa"/>
          </w:tcPr>
          <w:p w14:paraId="212B9656" w14:textId="77777777" w:rsidR="009948F1" w:rsidRDefault="009948F1">
            <w:pPr>
              <w:pStyle w:val="TableParagraph"/>
              <w:rPr>
                <w:b/>
                <w:sz w:val="14"/>
              </w:rPr>
            </w:pPr>
          </w:p>
          <w:p w14:paraId="20331266" w14:textId="77777777" w:rsidR="009948F1" w:rsidRDefault="00BC0563">
            <w:pPr>
              <w:pStyle w:val="TableParagraph"/>
              <w:spacing w:before="84"/>
              <w:ind w:left="39" w:right="9"/>
              <w:jc w:val="center"/>
              <w:rPr>
                <w:sz w:val="15"/>
              </w:rPr>
            </w:pPr>
            <w:r>
              <w:rPr>
                <w:color w:val="231F20"/>
                <w:w w:val="85"/>
                <w:sz w:val="15"/>
              </w:rPr>
              <w:t>1.3.2.c</w:t>
            </w:r>
          </w:p>
        </w:tc>
        <w:tc>
          <w:tcPr>
            <w:tcW w:w="4885" w:type="dxa"/>
            <w:gridSpan w:val="2"/>
          </w:tcPr>
          <w:p w14:paraId="62558C86" w14:textId="77777777" w:rsidR="009948F1" w:rsidRDefault="009948F1">
            <w:pPr>
              <w:pStyle w:val="TableParagraph"/>
              <w:spacing w:before="9"/>
              <w:rPr>
                <w:b/>
                <w:sz w:val="20"/>
              </w:rPr>
            </w:pPr>
          </w:p>
          <w:p w14:paraId="06FCD6BC" w14:textId="77777777" w:rsidR="009948F1" w:rsidRDefault="00BC0563">
            <w:pPr>
              <w:pStyle w:val="TableParagraph"/>
              <w:ind w:left="62"/>
              <w:rPr>
                <w:sz w:val="15"/>
              </w:rPr>
            </w:pPr>
            <w:r>
              <w:rPr>
                <w:color w:val="231F20"/>
                <w:w w:val="85"/>
                <w:sz w:val="15"/>
              </w:rPr>
              <w:t>Integrate</w:t>
            </w:r>
            <w:r>
              <w:rPr>
                <w:color w:val="231F20"/>
                <w:spacing w:val="-23"/>
                <w:w w:val="85"/>
                <w:sz w:val="15"/>
              </w:rPr>
              <w:t xml:space="preserve"> </w:t>
            </w:r>
            <w:r>
              <w:rPr>
                <w:color w:val="231F20"/>
                <w:w w:val="85"/>
                <w:sz w:val="15"/>
              </w:rPr>
              <w:t>submission</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data</w:t>
            </w:r>
            <w:r>
              <w:rPr>
                <w:color w:val="231F20"/>
                <w:spacing w:val="-23"/>
                <w:w w:val="85"/>
                <w:sz w:val="15"/>
              </w:rPr>
              <w:t xml:space="preserve"> </w:t>
            </w:r>
            <w:r>
              <w:rPr>
                <w:color w:val="231F20"/>
                <w:w w:val="85"/>
                <w:sz w:val="15"/>
              </w:rPr>
              <w:t>into</w:t>
            </w:r>
            <w:r>
              <w:rPr>
                <w:color w:val="231F20"/>
                <w:spacing w:val="-23"/>
                <w:w w:val="85"/>
                <w:sz w:val="15"/>
              </w:rPr>
              <w:t xml:space="preserve"> </w:t>
            </w:r>
            <w:r>
              <w:rPr>
                <w:color w:val="231F20"/>
                <w:w w:val="85"/>
                <w:sz w:val="15"/>
              </w:rPr>
              <w:t>conditions</w:t>
            </w:r>
            <w:r>
              <w:rPr>
                <w:color w:val="231F20"/>
                <w:spacing w:val="-22"/>
                <w:w w:val="85"/>
                <w:sz w:val="15"/>
              </w:rPr>
              <w:t xml:space="preserve"> </w:t>
            </w:r>
            <w:r>
              <w:rPr>
                <w:color w:val="231F20"/>
                <w:w w:val="85"/>
                <w:sz w:val="15"/>
              </w:rPr>
              <w:t>for</w:t>
            </w:r>
            <w:r>
              <w:rPr>
                <w:color w:val="231F20"/>
                <w:spacing w:val="-23"/>
                <w:w w:val="85"/>
                <w:sz w:val="15"/>
              </w:rPr>
              <w:t xml:space="preserve"> </w:t>
            </w:r>
            <w:r>
              <w:rPr>
                <w:color w:val="231F20"/>
                <w:w w:val="85"/>
                <w:sz w:val="15"/>
              </w:rPr>
              <w:t>re-accreditation</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private</w:t>
            </w:r>
            <w:r>
              <w:rPr>
                <w:color w:val="231F20"/>
                <w:spacing w:val="-23"/>
                <w:w w:val="85"/>
                <w:sz w:val="15"/>
              </w:rPr>
              <w:t xml:space="preserve"> </w:t>
            </w:r>
            <w:r>
              <w:rPr>
                <w:color w:val="231F20"/>
                <w:w w:val="85"/>
                <w:sz w:val="15"/>
              </w:rPr>
              <w:t>health</w:t>
            </w:r>
            <w:r>
              <w:rPr>
                <w:color w:val="231F20"/>
                <w:spacing w:val="-22"/>
                <w:w w:val="85"/>
                <w:sz w:val="15"/>
              </w:rPr>
              <w:t xml:space="preserve"> </w:t>
            </w:r>
            <w:r>
              <w:rPr>
                <w:color w:val="231F20"/>
                <w:w w:val="85"/>
                <w:sz w:val="15"/>
              </w:rPr>
              <w:t>facilities</w:t>
            </w:r>
          </w:p>
        </w:tc>
        <w:tc>
          <w:tcPr>
            <w:tcW w:w="1425" w:type="dxa"/>
            <w:tcBorders>
              <w:right w:val="single" w:sz="8" w:space="0" w:color="231F20"/>
            </w:tcBorders>
          </w:tcPr>
          <w:p w14:paraId="2CC6ACE9" w14:textId="77777777" w:rsidR="009948F1" w:rsidRDefault="009948F1">
            <w:pPr>
              <w:pStyle w:val="TableParagraph"/>
              <w:rPr>
                <w:b/>
                <w:sz w:val="14"/>
              </w:rPr>
            </w:pPr>
          </w:p>
          <w:p w14:paraId="5CE42C7A" w14:textId="77777777" w:rsidR="009948F1" w:rsidRDefault="00BC0563">
            <w:pPr>
              <w:pStyle w:val="TableParagraph"/>
              <w:spacing w:before="84"/>
              <w:ind w:left="29"/>
              <w:rPr>
                <w:sz w:val="15"/>
              </w:rPr>
            </w:pPr>
            <w:r>
              <w:rPr>
                <w:color w:val="231F20"/>
                <w:w w:val="90"/>
                <w:sz w:val="15"/>
              </w:rPr>
              <w:t>Lack of funds</w:t>
            </w:r>
          </w:p>
        </w:tc>
        <w:tc>
          <w:tcPr>
            <w:tcW w:w="1501" w:type="dxa"/>
            <w:tcBorders>
              <w:left w:val="single" w:sz="8" w:space="0" w:color="231F20"/>
            </w:tcBorders>
          </w:tcPr>
          <w:p w14:paraId="388B2940" w14:textId="77777777" w:rsidR="009948F1" w:rsidRDefault="009948F1">
            <w:pPr>
              <w:pStyle w:val="TableParagraph"/>
              <w:rPr>
                <w:b/>
                <w:sz w:val="14"/>
              </w:rPr>
            </w:pPr>
          </w:p>
          <w:p w14:paraId="4DBA496D" w14:textId="77777777" w:rsidR="009948F1" w:rsidRDefault="00BC0563">
            <w:pPr>
              <w:pStyle w:val="TableParagraph"/>
              <w:spacing w:before="84"/>
              <w:ind w:left="25"/>
              <w:rPr>
                <w:sz w:val="15"/>
              </w:rPr>
            </w:pPr>
            <w:r>
              <w:rPr>
                <w:color w:val="231F20"/>
                <w:w w:val="90"/>
                <w:sz w:val="15"/>
              </w:rPr>
              <w:t>Integrate submission</w:t>
            </w:r>
          </w:p>
        </w:tc>
      </w:tr>
      <w:tr w:rsidR="009948F1" w14:paraId="2570EB56" w14:textId="77777777">
        <w:trPr>
          <w:trHeight w:val="662"/>
        </w:trPr>
        <w:tc>
          <w:tcPr>
            <w:tcW w:w="844" w:type="dxa"/>
            <w:gridSpan w:val="2"/>
            <w:vMerge/>
            <w:tcBorders>
              <w:top w:val="nil"/>
              <w:left w:val="single" w:sz="8" w:space="0" w:color="231F20"/>
              <w:bottom w:val="nil"/>
            </w:tcBorders>
          </w:tcPr>
          <w:p w14:paraId="505E3869" w14:textId="77777777" w:rsidR="009948F1" w:rsidRDefault="009948F1">
            <w:pPr>
              <w:rPr>
                <w:sz w:val="2"/>
                <w:szCs w:val="2"/>
              </w:rPr>
            </w:pPr>
          </w:p>
        </w:tc>
        <w:tc>
          <w:tcPr>
            <w:tcW w:w="525" w:type="dxa"/>
          </w:tcPr>
          <w:p w14:paraId="49A6EFC8" w14:textId="77777777" w:rsidR="009948F1" w:rsidRDefault="009948F1">
            <w:pPr>
              <w:pStyle w:val="TableParagraph"/>
              <w:rPr>
                <w:b/>
                <w:sz w:val="14"/>
              </w:rPr>
            </w:pPr>
          </w:p>
          <w:p w14:paraId="2449AB1E" w14:textId="77777777" w:rsidR="009948F1" w:rsidRDefault="00BC0563">
            <w:pPr>
              <w:pStyle w:val="TableParagraph"/>
              <w:spacing w:before="84"/>
              <w:ind w:left="39" w:right="9"/>
              <w:jc w:val="center"/>
              <w:rPr>
                <w:sz w:val="15"/>
              </w:rPr>
            </w:pPr>
            <w:r>
              <w:rPr>
                <w:color w:val="231F20"/>
                <w:w w:val="85"/>
                <w:sz w:val="15"/>
              </w:rPr>
              <w:t>1.3.2.d</w:t>
            </w:r>
          </w:p>
        </w:tc>
        <w:tc>
          <w:tcPr>
            <w:tcW w:w="4885" w:type="dxa"/>
            <w:gridSpan w:val="2"/>
          </w:tcPr>
          <w:p w14:paraId="3936611C" w14:textId="77777777" w:rsidR="009948F1" w:rsidRDefault="009948F1">
            <w:pPr>
              <w:pStyle w:val="TableParagraph"/>
              <w:spacing w:before="9"/>
              <w:rPr>
                <w:b/>
                <w:sz w:val="20"/>
              </w:rPr>
            </w:pPr>
          </w:p>
          <w:p w14:paraId="76384663" w14:textId="77777777" w:rsidR="009948F1" w:rsidRDefault="00BC0563">
            <w:pPr>
              <w:pStyle w:val="TableParagraph"/>
              <w:ind w:left="62"/>
              <w:rPr>
                <w:sz w:val="15"/>
              </w:rPr>
            </w:pPr>
            <w:r>
              <w:rPr>
                <w:color w:val="231F20"/>
                <w:w w:val="85"/>
                <w:sz w:val="15"/>
              </w:rPr>
              <w:t>Build</w:t>
            </w:r>
            <w:r>
              <w:rPr>
                <w:color w:val="231F20"/>
                <w:spacing w:val="-24"/>
                <w:w w:val="85"/>
                <w:sz w:val="15"/>
              </w:rPr>
              <w:t xml:space="preserve"> </w:t>
            </w:r>
            <w:r>
              <w:rPr>
                <w:color w:val="231F20"/>
                <w:w w:val="85"/>
                <w:sz w:val="15"/>
              </w:rPr>
              <w:t>capacity</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relevant</w:t>
            </w:r>
            <w:r>
              <w:rPr>
                <w:color w:val="231F20"/>
                <w:spacing w:val="-23"/>
                <w:w w:val="85"/>
                <w:sz w:val="15"/>
              </w:rPr>
              <w:t xml:space="preserve"> </w:t>
            </w:r>
            <w:r>
              <w:rPr>
                <w:color w:val="231F20"/>
                <w:w w:val="85"/>
                <w:sz w:val="15"/>
              </w:rPr>
              <w:t>staff</w:t>
            </w:r>
            <w:r>
              <w:rPr>
                <w:color w:val="231F20"/>
                <w:spacing w:val="-24"/>
                <w:w w:val="85"/>
                <w:sz w:val="15"/>
              </w:rPr>
              <w:t xml:space="preserve"> </w:t>
            </w:r>
            <w:r>
              <w:rPr>
                <w:color w:val="231F20"/>
                <w:w w:val="85"/>
                <w:sz w:val="15"/>
              </w:rPr>
              <w:t>for</w:t>
            </w:r>
            <w:r>
              <w:rPr>
                <w:color w:val="231F20"/>
                <w:spacing w:val="-23"/>
                <w:w w:val="85"/>
                <w:sz w:val="15"/>
              </w:rPr>
              <w:t xml:space="preserve"> </w:t>
            </w:r>
            <w:r>
              <w:rPr>
                <w:color w:val="231F20"/>
                <w:w w:val="85"/>
                <w:sz w:val="15"/>
              </w:rPr>
              <w:t>data</w:t>
            </w:r>
            <w:r>
              <w:rPr>
                <w:color w:val="231F20"/>
                <w:spacing w:val="-23"/>
                <w:w w:val="85"/>
                <w:sz w:val="15"/>
              </w:rPr>
              <w:t xml:space="preserve"> </w:t>
            </w:r>
            <w:r>
              <w:rPr>
                <w:color w:val="231F20"/>
                <w:w w:val="85"/>
                <w:sz w:val="15"/>
              </w:rPr>
              <w:t>management,</w:t>
            </w:r>
            <w:r>
              <w:rPr>
                <w:color w:val="231F20"/>
                <w:spacing w:val="-23"/>
                <w:w w:val="85"/>
                <w:sz w:val="15"/>
              </w:rPr>
              <w:t xml:space="preserve"> </w:t>
            </w:r>
            <w:r>
              <w:rPr>
                <w:color w:val="231F20"/>
                <w:w w:val="85"/>
                <w:sz w:val="15"/>
              </w:rPr>
              <w:t>including</w:t>
            </w:r>
            <w:r>
              <w:rPr>
                <w:color w:val="231F20"/>
                <w:spacing w:val="-24"/>
                <w:w w:val="85"/>
                <w:sz w:val="15"/>
              </w:rPr>
              <w:t xml:space="preserve"> </w:t>
            </w:r>
            <w:r>
              <w:rPr>
                <w:color w:val="231F20"/>
                <w:w w:val="85"/>
                <w:sz w:val="15"/>
              </w:rPr>
              <w:t>data</w:t>
            </w:r>
            <w:r>
              <w:rPr>
                <w:color w:val="231F20"/>
                <w:spacing w:val="-23"/>
                <w:w w:val="85"/>
                <w:sz w:val="15"/>
              </w:rPr>
              <w:t xml:space="preserve"> </w:t>
            </w:r>
            <w:r>
              <w:rPr>
                <w:color w:val="231F20"/>
                <w:w w:val="85"/>
                <w:sz w:val="15"/>
              </w:rPr>
              <w:t>demand</w:t>
            </w:r>
            <w:r>
              <w:rPr>
                <w:color w:val="231F20"/>
                <w:spacing w:val="-23"/>
                <w:w w:val="85"/>
                <w:sz w:val="15"/>
              </w:rPr>
              <w:t xml:space="preserve"> </w:t>
            </w:r>
            <w:r>
              <w:rPr>
                <w:color w:val="231F20"/>
                <w:w w:val="85"/>
                <w:sz w:val="15"/>
              </w:rPr>
              <w:t>and</w:t>
            </w:r>
            <w:r>
              <w:rPr>
                <w:color w:val="231F20"/>
                <w:spacing w:val="-23"/>
                <w:w w:val="85"/>
                <w:sz w:val="15"/>
              </w:rPr>
              <w:t xml:space="preserve"> </w:t>
            </w:r>
            <w:r>
              <w:rPr>
                <w:color w:val="231F20"/>
                <w:w w:val="85"/>
                <w:sz w:val="15"/>
              </w:rPr>
              <w:t>data</w:t>
            </w:r>
            <w:r>
              <w:rPr>
                <w:color w:val="231F20"/>
                <w:spacing w:val="-24"/>
                <w:w w:val="85"/>
                <w:sz w:val="15"/>
              </w:rPr>
              <w:t xml:space="preserve"> </w:t>
            </w:r>
            <w:r>
              <w:rPr>
                <w:color w:val="231F20"/>
                <w:w w:val="85"/>
                <w:sz w:val="15"/>
              </w:rPr>
              <w:t>use</w:t>
            </w:r>
          </w:p>
        </w:tc>
        <w:tc>
          <w:tcPr>
            <w:tcW w:w="1425" w:type="dxa"/>
            <w:tcBorders>
              <w:right w:val="single" w:sz="8" w:space="0" w:color="231F20"/>
            </w:tcBorders>
          </w:tcPr>
          <w:p w14:paraId="67F12E49" w14:textId="77777777" w:rsidR="009948F1" w:rsidRDefault="009948F1">
            <w:pPr>
              <w:pStyle w:val="TableParagraph"/>
              <w:rPr>
                <w:b/>
                <w:sz w:val="14"/>
              </w:rPr>
            </w:pPr>
          </w:p>
          <w:p w14:paraId="2A899D22" w14:textId="77777777" w:rsidR="009948F1" w:rsidRDefault="00BC0563">
            <w:pPr>
              <w:pStyle w:val="TableParagraph"/>
              <w:spacing w:before="84"/>
              <w:ind w:left="29"/>
              <w:rPr>
                <w:sz w:val="15"/>
              </w:rPr>
            </w:pPr>
            <w:r>
              <w:rPr>
                <w:color w:val="231F20"/>
                <w:w w:val="90"/>
                <w:sz w:val="15"/>
              </w:rPr>
              <w:t>Lack of funds</w:t>
            </w:r>
          </w:p>
        </w:tc>
        <w:tc>
          <w:tcPr>
            <w:tcW w:w="1501" w:type="dxa"/>
            <w:tcBorders>
              <w:left w:val="single" w:sz="8" w:space="0" w:color="231F20"/>
            </w:tcBorders>
          </w:tcPr>
          <w:p w14:paraId="7C5DE96E" w14:textId="77777777" w:rsidR="009948F1" w:rsidRDefault="009948F1">
            <w:pPr>
              <w:pStyle w:val="TableParagraph"/>
              <w:spacing w:before="2"/>
              <w:rPr>
                <w:b/>
                <w:sz w:val="13"/>
              </w:rPr>
            </w:pPr>
          </w:p>
          <w:p w14:paraId="39D11720" w14:textId="77777777" w:rsidR="009948F1" w:rsidRDefault="00BC0563">
            <w:pPr>
              <w:pStyle w:val="TableParagraph"/>
              <w:spacing w:line="259" w:lineRule="auto"/>
              <w:ind w:left="25"/>
              <w:rPr>
                <w:sz w:val="15"/>
              </w:rPr>
            </w:pPr>
            <w:r>
              <w:rPr>
                <w:color w:val="231F20"/>
                <w:w w:val="80"/>
                <w:sz w:val="15"/>
              </w:rPr>
              <w:t xml:space="preserve">Build capacity of relevant </w:t>
            </w:r>
            <w:r>
              <w:rPr>
                <w:color w:val="231F20"/>
                <w:w w:val="90"/>
                <w:sz w:val="15"/>
              </w:rPr>
              <w:t>staff</w:t>
            </w:r>
          </w:p>
        </w:tc>
      </w:tr>
      <w:tr w:rsidR="009948F1" w14:paraId="08812818" w14:textId="77777777">
        <w:trPr>
          <w:trHeight w:val="1231"/>
        </w:trPr>
        <w:tc>
          <w:tcPr>
            <w:tcW w:w="390" w:type="dxa"/>
            <w:tcBorders>
              <w:top w:val="nil"/>
              <w:left w:val="single" w:sz="8" w:space="0" w:color="231F20"/>
              <w:bottom w:val="nil"/>
            </w:tcBorders>
          </w:tcPr>
          <w:p w14:paraId="78010B5E" w14:textId="77777777" w:rsidR="009948F1" w:rsidRDefault="009948F1">
            <w:pPr>
              <w:pStyle w:val="TableParagraph"/>
              <w:rPr>
                <w:rFonts w:ascii="Times New Roman"/>
                <w:sz w:val="10"/>
              </w:rPr>
            </w:pPr>
          </w:p>
        </w:tc>
        <w:tc>
          <w:tcPr>
            <w:tcW w:w="454" w:type="dxa"/>
            <w:shd w:val="clear" w:color="auto" w:fill="CCE7D3"/>
          </w:tcPr>
          <w:p w14:paraId="5B1E2024" w14:textId="77777777" w:rsidR="009948F1" w:rsidRDefault="009948F1">
            <w:pPr>
              <w:pStyle w:val="TableParagraph"/>
              <w:rPr>
                <w:b/>
                <w:sz w:val="14"/>
              </w:rPr>
            </w:pPr>
          </w:p>
          <w:p w14:paraId="2DC3DCD2" w14:textId="77777777" w:rsidR="009948F1" w:rsidRDefault="009948F1">
            <w:pPr>
              <w:pStyle w:val="TableParagraph"/>
              <w:rPr>
                <w:b/>
                <w:sz w:val="14"/>
              </w:rPr>
            </w:pPr>
          </w:p>
          <w:p w14:paraId="4DFB32AA" w14:textId="77777777" w:rsidR="009948F1" w:rsidRDefault="009948F1">
            <w:pPr>
              <w:pStyle w:val="TableParagraph"/>
              <w:spacing w:before="11"/>
              <w:rPr>
                <w:b/>
                <w:sz w:val="17"/>
              </w:rPr>
            </w:pPr>
          </w:p>
          <w:p w14:paraId="38D37D73" w14:textId="77777777" w:rsidR="009948F1" w:rsidRDefault="00BC0563">
            <w:pPr>
              <w:pStyle w:val="TableParagraph"/>
              <w:ind w:left="62"/>
              <w:rPr>
                <w:sz w:val="15"/>
              </w:rPr>
            </w:pPr>
            <w:r>
              <w:rPr>
                <w:color w:val="231F20"/>
                <w:w w:val="90"/>
                <w:sz w:val="15"/>
              </w:rPr>
              <w:t>1.3.3</w:t>
            </w:r>
          </w:p>
        </w:tc>
        <w:tc>
          <w:tcPr>
            <w:tcW w:w="3031" w:type="dxa"/>
            <w:gridSpan w:val="2"/>
            <w:shd w:val="clear" w:color="auto" w:fill="CCE7D3"/>
          </w:tcPr>
          <w:p w14:paraId="24806884" w14:textId="77777777" w:rsidR="009948F1" w:rsidRDefault="009948F1">
            <w:pPr>
              <w:pStyle w:val="TableParagraph"/>
              <w:rPr>
                <w:b/>
                <w:sz w:val="14"/>
              </w:rPr>
            </w:pPr>
          </w:p>
          <w:p w14:paraId="6D364B38" w14:textId="77777777" w:rsidR="009948F1" w:rsidRDefault="009948F1">
            <w:pPr>
              <w:pStyle w:val="TableParagraph"/>
              <w:rPr>
                <w:b/>
                <w:sz w:val="14"/>
              </w:rPr>
            </w:pPr>
          </w:p>
          <w:p w14:paraId="56F0972F" w14:textId="77777777" w:rsidR="009948F1" w:rsidRDefault="00BC0563">
            <w:pPr>
              <w:pStyle w:val="TableParagraph"/>
              <w:spacing w:before="108" w:line="259" w:lineRule="auto"/>
              <w:ind w:left="29" w:right="4" w:firstLine="32"/>
              <w:rPr>
                <w:sz w:val="15"/>
              </w:rPr>
            </w:pPr>
            <w:r>
              <w:rPr>
                <w:color w:val="231F20"/>
                <w:w w:val="80"/>
                <w:sz w:val="15"/>
              </w:rPr>
              <w:t xml:space="preserve">Institutionalize the mechanism for sector progress </w:t>
            </w:r>
            <w:r>
              <w:rPr>
                <w:color w:val="231F20"/>
                <w:w w:val="90"/>
                <w:sz w:val="15"/>
              </w:rPr>
              <w:t>status and performance review</w:t>
            </w:r>
          </w:p>
        </w:tc>
        <w:tc>
          <w:tcPr>
            <w:tcW w:w="2379" w:type="dxa"/>
            <w:shd w:val="clear" w:color="auto" w:fill="CCE7D3"/>
          </w:tcPr>
          <w:p w14:paraId="66E4B905" w14:textId="77777777" w:rsidR="009948F1" w:rsidRDefault="00BC0563">
            <w:pPr>
              <w:pStyle w:val="TableParagraph"/>
              <w:numPr>
                <w:ilvl w:val="0"/>
                <w:numId w:val="236"/>
              </w:numPr>
              <w:tabs>
                <w:tab w:val="left" w:pos="104"/>
              </w:tabs>
              <w:spacing w:before="63" w:line="259" w:lineRule="auto"/>
              <w:ind w:right="92" w:firstLine="0"/>
              <w:rPr>
                <w:sz w:val="15"/>
              </w:rPr>
            </w:pPr>
            <w:r>
              <w:rPr>
                <w:color w:val="231F20"/>
                <w:w w:val="80"/>
                <w:sz w:val="15"/>
              </w:rPr>
              <w:t>Central</w:t>
            </w:r>
            <w:r>
              <w:rPr>
                <w:color w:val="231F20"/>
                <w:spacing w:val="-6"/>
                <w:w w:val="80"/>
                <w:sz w:val="15"/>
              </w:rPr>
              <w:t xml:space="preserve"> </w:t>
            </w:r>
            <w:r>
              <w:rPr>
                <w:color w:val="231F20"/>
                <w:w w:val="80"/>
                <w:sz w:val="15"/>
              </w:rPr>
              <w:t>Monitoring</w:t>
            </w:r>
            <w:r>
              <w:rPr>
                <w:color w:val="231F20"/>
                <w:spacing w:val="-6"/>
                <w:w w:val="80"/>
                <w:sz w:val="15"/>
              </w:rPr>
              <w:t xml:space="preserve"> </w:t>
            </w:r>
            <w:r>
              <w:rPr>
                <w:color w:val="231F20"/>
                <w:w w:val="80"/>
                <w:sz w:val="15"/>
              </w:rPr>
              <w:t>Unit</w:t>
            </w:r>
            <w:r>
              <w:rPr>
                <w:color w:val="231F20"/>
                <w:spacing w:val="-5"/>
                <w:w w:val="80"/>
                <w:sz w:val="15"/>
              </w:rPr>
              <w:t xml:space="preserve"> </w:t>
            </w:r>
            <w:r>
              <w:rPr>
                <w:color w:val="231F20"/>
                <w:w w:val="80"/>
                <w:sz w:val="15"/>
              </w:rPr>
              <w:t>established</w:t>
            </w:r>
            <w:r>
              <w:rPr>
                <w:color w:val="231F20"/>
                <w:spacing w:val="-6"/>
                <w:w w:val="80"/>
                <w:sz w:val="15"/>
              </w:rPr>
              <w:t xml:space="preserve"> </w:t>
            </w:r>
            <w:r>
              <w:rPr>
                <w:color w:val="231F20"/>
                <w:w w:val="80"/>
                <w:sz w:val="15"/>
              </w:rPr>
              <w:t>in</w:t>
            </w:r>
            <w:r>
              <w:rPr>
                <w:color w:val="231F20"/>
                <w:spacing w:val="-5"/>
                <w:w w:val="80"/>
                <w:sz w:val="15"/>
              </w:rPr>
              <w:t xml:space="preserve"> the </w:t>
            </w:r>
            <w:r>
              <w:rPr>
                <w:color w:val="231F20"/>
                <w:w w:val="90"/>
                <w:sz w:val="15"/>
              </w:rPr>
              <w:t>SMOH and</w:t>
            </w:r>
            <w:r>
              <w:rPr>
                <w:color w:val="231F20"/>
                <w:spacing w:val="-18"/>
                <w:w w:val="90"/>
                <w:sz w:val="15"/>
              </w:rPr>
              <w:t xml:space="preserve"> </w:t>
            </w:r>
            <w:r>
              <w:rPr>
                <w:color w:val="231F20"/>
                <w:w w:val="90"/>
                <w:sz w:val="15"/>
              </w:rPr>
              <w:t>equipped</w:t>
            </w:r>
          </w:p>
          <w:p w14:paraId="6F9AD193" w14:textId="77777777" w:rsidR="009948F1" w:rsidRDefault="00BC0563">
            <w:pPr>
              <w:pStyle w:val="TableParagraph"/>
              <w:numPr>
                <w:ilvl w:val="0"/>
                <w:numId w:val="236"/>
              </w:numPr>
              <w:tabs>
                <w:tab w:val="left" w:pos="104"/>
              </w:tabs>
              <w:spacing w:before="1" w:line="259" w:lineRule="auto"/>
              <w:ind w:right="100" w:firstLine="0"/>
              <w:rPr>
                <w:sz w:val="15"/>
              </w:rPr>
            </w:pPr>
            <w:r>
              <w:rPr>
                <w:color w:val="231F20"/>
                <w:w w:val="80"/>
                <w:sz w:val="15"/>
              </w:rPr>
              <w:t xml:space="preserve">Monitoring &amp; Evaluation </w:t>
            </w:r>
            <w:r>
              <w:rPr>
                <w:color w:val="231F20"/>
                <w:spacing w:val="-4"/>
                <w:w w:val="80"/>
                <w:sz w:val="15"/>
              </w:rPr>
              <w:t xml:space="preserve">Team </w:t>
            </w:r>
            <w:r>
              <w:rPr>
                <w:color w:val="231F20"/>
                <w:w w:val="80"/>
                <w:sz w:val="15"/>
              </w:rPr>
              <w:t>set up</w:t>
            </w:r>
            <w:r>
              <w:rPr>
                <w:color w:val="231F20"/>
                <w:spacing w:val="-24"/>
                <w:w w:val="80"/>
                <w:sz w:val="15"/>
              </w:rPr>
              <w:t xml:space="preserve"> </w:t>
            </w:r>
            <w:r>
              <w:rPr>
                <w:color w:val="231F20"/>
                <w:spacing w:val="-5"/>
                <w:w w:val="80"/>
                <w:sz w:val="15"/>
              </w:rPr>
              <w:t xml:space="preserve">and </w:t>
            </w:r>
            <w:r>
              <w:rPr>
                <w:color w:val="231F20"/>
                <w:w w:val="90"/>
                <w:sz w:val="15"/>
              </w:rPr>
              <w:t>periodic</w:t>
            </w:r>
            <w:r>
              <w:rPr>
                <w:color w:val="231F20"/>
                <w:spacing w:val="-18"/>
                <w:w w:val="90"/>
                <w:sz w:val="15"/>
              </w:rPr>
              <w:t xml:space="preserve"> </w:t>
            </w:r>
            <w:r>
              <w:rPr>
                <w:color w:val="231F20"/>
                <w:w w:val="90"/>
                <w:sz w:val="15"/>
              </w:rPr>
              <w:t>review</w:t>
            </w:r>
            <w:r>
              <w:rPr>
                <w:color w:val="231F20"/>
                <w:spacing w:val="-17"/>
                <w:w w:val="90"/>
                <w:sz w:val="15"/>
              </w:rPr>
              <w:t xml:space="preserve"> </w:t>
            </w:r>
            <w:r>
              <w:rPr>
                <w:color w:val="231F20"/>
                <w:w w:val="90"/>
                <w:sz w:val="15"/>
              </w:rPr>
              <w:t>of</w:t>
            </w:r>
            <w:r>
              <w:rPr>
                <w:color w:val="231F20"/>
                <w:spacing w:val="-17"/>
                <w:w w:val="90"/>
                <w:sz w:val="15"/>
              </w:rPr>
              <w:t xml:space="preserve"> </w:t>
            </w:r>
            <w:r>
              <w:rPr>
                <w:color w:val="231F20"/>
                <w:w w:val="90"/>
                <w:sz w:val="15"/>
              </w:rPr>
              <w:t>plan</w:t>
            </w:r>
            <w:r>
              <w:rPr>
                <w:color w:val="231F20"/>
                <w:spacing w:val="-17"/>
                <w:w w:val="90"/>
                <w:sz w:val="15"/>
              </w:rPr>
              <w:t xml:space="preserve"> </w:t>
            </w:r>
            <w:r>
              <w:rPr>
                <w:color w:val="231F20"/>
                <w:w w:val="90"/>
                <w:sz w:val="15"/>
              </w:rPr>
              <w:t>conducted</w:t>
            </w:r>
          </w:p>
          <w:p w14:paraId="2166EFA9" w14:textId="77777777" w:rsidR="009948F1" w:rsidRDefault="00BC0563">
            <w:pPr>
              <w:pStyle w:val="TableParagraph"/>
              <w:numPr>
                <w:ilvl w:val="0"/>
                <w:numId w:val="236"/>
              </w:numPr>
              <w:tabs>
                <w:tab w:val="left" w:pos="104"/>
              </w:tabs>
              <w:ind w:left="103"/>
              <w:rPr>
                <w:sz w:val="15"/>
              </w:rPr>
            </w:pPr>
            <w:r>
              <w:rPr>
                <w:color w:val="231F20"/>
                <w:w w:val="90"/>
                <w:sz w:val="15"/>
              </w:rPr>
              <w:t>Monitoring tools</w:t>
            </w:r>
            <w:r>
              <w:rPr>
                <w:color w:val="231F20"/>
                <w:spacing w:val="-24"/>
                <w:w w:val="90"/>
                <w:sz w:val="15"/>
              </w:rPr>
              <w:t xml:space="preserve"> </w:t>
            </w:r>
            <w:r>
              <w:rPr>
                <w:color w:val="231F20"/>
                <w:w w:val="90"/>
                <w:sz w:val="15"/>
              </w:rPr>
              <w:t>developed</w:t>
            </w:r>
          </w:p>
          <w:p w14:paraId="0504F898" w14:textId="49D8538C" w:rsidR="009948F1" w:rsidRDefault="009948F1">
            <w:pPr>
              <w:pStyle w:val="TableParagraph"/>
              <w:spacing w:before="14"/>
              <w:ind w:left="29"/>
              <w:rPr>
                <w:sz w:val="15"/>
              </w:rPr>
            </w:pPr>
          </w:p>
        </w:tc>
        <w:tc>
          <w:tcPr>
            <w:tcW w:w="1425" w:type="dxa"/>
            <w:tcBorders>
              <w:right w:val="single" w:sz="8" w:space="0" w:color="231F20"/>
            </w:tcBorders>
            <w:shd w:val="clear" w:color="auto" w:fill="CCE7D3"/>
          </w:tcPr>
          <w:p w14:paraId="2AC19CA9" w14:textId="77777777" w:rsidR="009948F1" w:rsidRDefault="009948F1">
            <w:pPr>
              <w:pStyle w:val="TableParagraph"/>
              <w:rPr>
                <w:rFonts w:ascii="Times New Roman"/>
                <w:sz w:val="10"/>
              </w:rPr>
            </w:pPr>
          </w:p>
        </w:tc>
        <w:tc>
          <w:tcPr>
            <w:tcW w:w="1501" w:type="dxa"/>
            <w:tcBorders>
              <w:left w:val="single" w:sz="8" w:space="0" w:color="231F20"/>
            </w:tcBorders>
            <w:shd w:val="clear" w:color="auto" w:fill="CCE7D3"/>
          </w:tcPr>
          <w:p w14:paraId="60A3D722" w14:textId="77777777" w:rsidR="009948F1" w:rsidRDefault="009948F1">
            <w:pPr>
              <w:pStyle w:val="TableParagraph"/>
              <w:rPr>
                <w:rFonts w:ascii="Times New Roman"/>
                <w:sz w:val="10"/>
              </w:rPr>
            </w:pPr>
          </w:p>
        </w:tc>
      </w:tr>
      <w:tr w:rsidR="009948F1" w14:paraId="1D0D9C47" w14:textId="77777777">
        <w:trPr>
          <w:trHeight w:val="626"/>
        </w:trPr>
        <w:tc>
          <w:tcPr>
            <w:tcW w:w="844" w:type="dxa"/>
            <w:gridSpan w:val="2"/>
            <w:vMerge w:val="restart"/>
            <w:tcBorders>
              <w:top w:val="nil"/>
              <w:left w:val="single" w:sz="8" w:space="0" w:color="231F20"/>
              <w:bottom w:val="nil"/>
            </w:tcBorders>
          </w:tcPr>
          <w:p w14:paraId="5DEBD40B" w14:textId="77777777" w:rsidR="009948F1" w:rsidRDefault="009948F1">
            <w:pPr>
              <w:pStyle w:val="TableParagraph"/>
              <w:rPr>
                <w:rFonts w:ascii="Times New Roman"/>
                <w:sz w:val="10"/>
              </w:rPr>
            </w:pPr>
          </w:p>
        </w:tc>
        <w:tc>
          <w:tcPr>
            <w:tcW w:w="525" w:type="dxa"/>
          </w:tcPr>
          <w:p w14:paraId="3B329418" w14:textId="77777777" w:rsidR="009948F1" w:rsidRDefault="009948F1">
            <w:pPr>
              <w:pStyle w:val="TableParagraph"/>
              <w:spacing w:before="8"/>
              <w:rPr>
                <w:b/>
                <w:sz w:val="19"/>
              </w:rPr>
            </w:pPr>
          </w:p>
          <w:p w14:paraId="1E683E5A" w14:textId="77777777" w:rsidR="009948F1" w:rsidRDefault="00BC0563">
            <w:pPr>
              <w:pStyle w:val="TableParagraph"/>
              <w:spacing w:before="1"/>
              <w:ind w:left="39" w:right="9"/>
              <w:jc w:val="center"/>
              <w:rPr>
                <w:sz w:val="15"/>
              </w:rPr>
            </w:pPr>
            <w:r>
              <w:rPr>
                <w:color w:val="231F20"/>
                <w:w w:val="85"/>
                <w:sz w:val="15"/>
              </w:rPr>
              <w:t>1.3.3.a</w:t>
            </w:r>
          </w:p>
        </w:tc>
        <w:tc>
          <w:tcPr>
            <w:tcW w:w="4885" w:type="dxa"/>
            <w:gridSpan w:val="2"/>
          </w:tcPr>
          <w:p w14:paraId="202CD02C" w14:textId="77777777" w:rsidR="009948F1" w:rsidRDefault="00BC0563">
            <w:pPr>
              <w:pStyle w:val="TableParagraph"/>
              <w:spacing w:before="34" w:line="259" w:lineRule="auto"/>
              <w:ind w:left="29" w:right="58"/>
              <w:rPr>
                <w:sz w:val="15"/>
              </w:rPr>
            </w:pPr>
            <w:r>
              <w:rPr>
                <w:color w:val="231F20"/>
                <w:w w:val="80"/>
                <w:sz w:val="15"/>
              </w:rPr>
              <w:t xml:space="preserve">Establishment of Central Monitoring Unit at the SMOH to monitor &amp; evaluate State &amp; PHC </w:t>
            </w:r>
            <w:proofErr w:type="spellStart"/>
            <w:r>
              <w:rPr>
                <w:color w:val="231F20"/>
                <w:w w:val="85"/>
                <w:sz w:val="15"/>
              </w:rPr>
              <w:t>programmes</w:t>
            </w:r>
            <w:proofErr w:type="spellEnd"/>
            <w:r>
              <w:rPr>
                <w:color w:val="231F20"/>
                <w:w w:val="85"/>
                <w:sz w:val="15"/>
              </w:rPr>
              <w:t xml:space="preserve"> in the state and LGAs /Operating cost for engaging and supervising the </w:t>
            </w:r>
            <w:r>
              <w:rPr>
                <w:color w:val="231F20"/>
                <w:w w:val="90"/>
                <w:sz w:val="15"/>
              </w:rPr>
              <w:t>contractor to equip the unit</w:t>
            </w:r>
          </w:p>
        </w:tc>
        <w:tc>
          <w:tcPr>
            <w:tcW w:w="1425" w:type="dxa"/>
            <w:tcBorders>
              <w:right w:val="single" w:sz="8" w:space="0" w:color="231F20"/>
            </w:tcBorders>
          </w:tcPr>
          <w:p w14:paraId="723AFAC7" w14:textId="77777777" w:rsidR="009948F1" w:rsidRDefault="009948F1">
            <w:pPr>
              <w:pStyle w:val="TableParagraph"/>
              <w:spacing w:before="8"/>
              <w:rPr>
                <w:b/>
                <w:sz w:val="19"/>
              </w:rPr>
            </w:pPr>
          </w:p>
          <w:p w14:paraId="5BB3997B" w14:textId="77777777" w:rsidR="009948F1" w:rsidRDefault="00BC0563">
            <w:pPr>
              <w:pStyle w:val="TableParagraph"/>
              <w:spacing w:before="1"/>
              <w:ind w:left="29"/>
              <w:rPr>
                <w:sz w:val="15"/>
              </w:rPr>
            </w:pPr>
            <w:r>
              <w:rPr>
                <w:color w:val="231F20"/>
                <w:w w:val="90"/>
                <w:sz w:val="15"/>
              </w:rPr>
              <w:t>Lack of funds</w:t>
            </w:r>
          </w:p>
        </w:tc>
        <w:tc>
          <w:tcPr>
            <w:tcW w:w="1501" w:type="dxa"/>
            <w:tcBorders>
              <w:left w:val="single" w:sz="8" w:space="0" w:color="231F20"/>
            </w:tcBorders>
          </w:tcPr>
          <w:p w14:paraId="1413E0D3" w14:textId="77777777" w:rsidR="009948F1" w:rsidRDefault="009948F1">
            <w:pPr>
              <w:pStyle w:val="TableParagraph"/>
              <w:spacing w:before="6"/>
              <w:rPr>
                <w:b/>
                <w:sz w:val="11"/>
              </w:rPr>
            </w:pPr>
          </w:p>
          <w:p w14:paraId="59A4A9A9" w14:textId="184B9006" w:rsidR="009948F1" w:rsidRDefault="00BC0563">
            <w:pPr>
              <w:pStyle w:val="TableParagraph"/>
              <w:spacing w:before="1" w:line="259" w:lineRule="auto"/>
              <w:ind w:left="25"/>
              <w:rPr>
                <w:sz w:val="15"/>
              </w:rPr>
            </w:pPr>
            <w:r>
              <w:rPr>
                <w:color w:val="231F20"/>
                <w:w w:val="80"/>
                <w:sz w:val="15"/>
              </w:rPr>
              <w:t xml:space="preserve">Establish &amp; equip </w:t>
            </w:r>
            <w:r w:rsidR="00DA4239">
              <w:rPr>
                <w:color w:val="231F20"/>
                <w:w w:val="80"/>
                <w:sz w:val="15"/>
              </w:rPr>
              <w:t>Central</w:t>
            </w:r>
            <w:r>
              <w:rPr>
                <w:color w:val="231F20"/>
                <w:w w:val="80"/>
                <w:sz w:val="15"/>
              </w:rPr>
              <w:t xml:space="preserve"> </w:t>
            </w:r>
            <w:r>
              <w:rPr>
                <w:color w:val="231F20"/>
                <w:w w:val="90"/>
                <w:sz w:val="15"/>
              </w:rPr>
              <w:t>M&amp;E unit</w:t>
            </w:r>
          </w:p>
        </w:tc>
      </w:tr>
      <w:tr w:rsidR="009948F1" w14:paraId="6586B024" w14:textId="77777777">
        <w:trPr>
          <w:trHeight w:val="517"/>
        </w:trPr>
        <w:tc>
          <w:tcPr>
            <w:tcW w:w="844" w:type="dxa"/>
            <w:gridSpan w:val="2"/>
            <w:vMerge/>
            <w:tcBorders>
              <w:top w:val="nil"/>
              <w:left w:val="single" w:sz="8" w:space="0" w:color="231F20"/>
              <w:bottom w:val="nil"/>
            </w:tcBorders>
          </w:tcPr>
          <w:p w14:paraId="2E310824" w14:textId="77777777" w:rsidR="009948F1" w:rsidRDefault="009948F1">
            <w:pPr>
              <w:rPr>
                <w:sz w:val="2"/>
                <w:szCs w:val="2"/>
              </w:rPr>
            </w:pPr>
          </w:p>
        </w:tc>
        <w:tc>
          <w:tcPr>
            <w:tcW w:w="525" w:type="dxa"/>
          </w:tcPr>
          <w:p w14:paraId="2A121755" w14:textId="77777777" w:rsidR="009948F1" w:rsidRDefault="009948F1">
            <w:pPr>
              <w:pStyle w:val="TableParagraph"/>
              <w:rPr>
                <w:b/>
                <w:sz w:val="15"/>
              </w:rPr>
            </w:pPr>
          </w:p>
          <w:p w14:paraId="1315F1F2" w14:textId="77777777" w:rsidR="009948F1" w:rsidRDefault="00BC0563">
            <w:pPr>
              <w:pStyle w:val="TableParagraph"/>
              <w:ind w:left="39" w:right="9"/>
              <w:jc w:val="center"/>
              <w:rPr>
                <w:sz w:val="15"/>
              </w:rPr>
            </w:pPr>
            <w:r>
              <w:rPr>
                <w:color w:val="231F20"/>
                <w:w w:val="85"/>
                <w:sz w:val="15"/>
              </w:rPr>
              <w:t>1.3.3.b</w:t>
            </w:r>
          </w:p>
        </w:tc>
        <w:tc>
          <w:tcPr>
            <w:tcW w:w="4885" w:type="dxa"/>
            <w:gridSpan w:val="2"/>
          </w:tcPr>
          <w:p w14:paraId="4BEF9121" w14:textId="77777777" w:rsidR="009948F1" w:rsidRDefault="009948F1">
            <w:pPr>
              <w:pStyle w:val="TableParagraph"/>
              <w:spacing w:before="5"/>
              <w:rPr>
                <w:b/>
                <w:sz w:val="14"/>
              </w:rPr>
            </w:pPr>
          </w:p>
          <w:p w14:paraId="409F6C04" w14:textId="77777777" w:rsidR="009948F1" w:rsidRDefault="00BC0563">
            <w:pPr>
              <w:pStyle w:val="TableParagraph"/>
              <w:ind w:left="29"/>
              <w:rPr>
                <w:sz w:val="15"/>
              </w:rPr>
            </w:pPr>
            <w:r>
              <w:rPr>
                <w:color w:val="231F20"/>
                <w:w w:val="90"/>
                <w:sz w:val="15"/>
              </w:rPr>
              <w:t>Set up a Monitoring &amp; Evaluation Team and monitor all health activities</w:t>
            </w:r>
          </w:p>
        </w:tc>
        <w:tc>
          <w:tcPr>
            <w:tcW w:w="1425" w:type="dxa"/>
            <w:tcBorders>
              <w:right w:val="single" w:sz="8" w:space="0" w:color="231F20"/>
            </w:tcBorders>
          </w:tcPr>
          <w:p w14:paraId="3EFFA4CD" w14:textId="77777777" w:rsidR="009948F1" w:rsidRDefault="009948F1">
            <w:pPr>
              <w:pStyle w:val="TableParagraph"/>
              <w:rPr>
                <w:b/>
                <w:sz w:val="15"/>
              </w:rPr>
            </w:pPr>
          </w:p>
          <w:p w14:paraId="70623405"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0272A512" w14:textId="77777777" w:rsidR="009948F1" w:rsidRDefault="009948F1">
            <w:pPr>
              <w:pStyle w:val="TableParagraph"/>
              <w:rPr>
                <w:b/>
                <w:sz w:val="15"/>
              </w:rPr>
            </w:pPr>
          </w:p>
          <w:p w14:paraId="033363C2" w14:textId="77777777" w:rsidR="009948F1" w:rsidRDefault="00BC0563">
            <w:pPr>
              <w:pStyle w:val="TableParagraph"/>
              <w:ind w:left="25"/>
              <w:rPr>
                <w:sz w:val="15"/>
              </w:rPr>
            </w:pPr>
            <w:r>
              <w:rPr>
                <w:color w:val="231F20"/>
                <w:w w:val="90"/>
                <w:sz w:val="15"/>
              </w:rPr>
              <w:t>No cost</w:t>
            </w:r>
          </w:p>
        </w:tc>
      </w:tr>
      <w:tr w:rsidR="009948F1" w14:paraId="30ACADDF" w14:textId="77777777">
        <w:trPr>
          <w:trHeight w:val="662"/>
        </w:trPr>
        <w:tc>
          <w:tcPr>
            <w:tcW w:w="844" w:type="dxa"/>
            <w:gridSpan w:val="2"/>
            <w:vMerge/>
            <w:tcBorders>
              <w:top w:val="nil"/>
              <w:left w:val="single" w:sz="8" w:space="0" w:color="231F20"/>
              <w:bottom w:val="nil"/>
            </w:tcBorders>
          </w:tcPr>
          <w:p w14:paraId="7B203B6C" w14:textId="77777777" w:rsidR="009948F1" w:rsidRDefault="009948F1">
            <w:pPr>
              <w:rPr>
                <w:sz w:val="2"/>
                <w:szCs w:val="2"/>
              </w:rPr>
            </w:pPr>
          </w:p>
        </w:tc>
        <w:tc>
          <w:tcPr>
            <w:tcW w:w="525" w:type="dxa"/>
          </w:tcPr>
          <w:p w14:paraId="1E949B71" w14:textId="77777777" w:rsidR="009948F1" w:rsidRDefault="009948F1">
            <w:pPr>
              <w:pStyle w:val="TableParagraph"/>
              <w:rPr>
                <w:b/>
                <w:sz w:val="14"/>
              </w:rPr>
            </w:pPr>
          </w:p>
          <w:p w14:paraId="461C059B" w14:textId="77777777" w:rsidR="009948F1" w:rsidRDefault="00BC0563">
            <w:pPr>
              <w:pStyle w:val="TableParagraph"/>
              <w:spacing w:before="84"/>
              <w:ind w:left="39" w:right="9"/>
              <w:jc w:val="center"/>
              <w:rPr>
                <w:sz w:val="15"/>
              </w:rPr>
            </w:pPr>
            <w:r>
              <w:rPr>
                <w:color w:val="231F20"/>
                <w:w w:val="85"/>
                <w:sz w:val="15"/>
              </w:rPr>
              <w:t>1.3.3.c</w:t>
            </w:r>
          </w:p>
        </w:tc>
        <w:tc>
          <w:tcPr>
            <w:tcW w:w="4885" w:type="dxa"/>
            <w:gridSpan w:val="2"/>
          </w:tcPr>
          <w:p w14:paraId="3C0FF70E" w14:textId="77777777" w:rsidR="009948F1" w:rsidRDefault="009948F1">
            <w:pPr>
              <w:pStyle w:val="TableParagraph"/>
              <w:spacing w:before="9"/>
              <w:rPr>
                <w:b/>
                <w:sz w:val="20"/>
              </w:rPr>
            </w:pPr>
          </w:p>
          <w:p w14:paraId="4B85B591" w14:textId="77777777" w:rsidR="009948F1" w:rsidRDefault="00BC0563">
            <w:pPr>
              <w:pStyle w:val="TableParagraph"/>
              <w:ind w:left="29"/>
              <w:rPr>
                <w:sz w:val="15"/>
              </w:rPr>
            </w:pPr>
            <w:r>
              <w:rPr>
                <w:color w:val="231F20"/>
                <w:w w:val="90"/>
                <w:sz w:val="15"/>
              </w:rPr>
              <w:t xml:space="preserve">Develop tools to monitor all </w:t>
            </w:r>
            <w:proofErr w:type="spellStart"/>
            <w:r>
              <w:rPr>
                <w:color w:val="231F20"/>
                <w:w w:val="90"/>
                <w:sz w:val="15"/>
              </w:rPr>
              <w:t>programmes</w:t>
            </w:r>
            <w:proofErr w:type="spellEnd"/>
            <w:r>
              <w:rPr>
                <w:color w:val="231F20"/>
                <w:w w:val="90"/>
                <w:sz w:val="15"/>
              </w:rPr>
              <w:t xml:space="preserve"> and activities</w:t>
            </w:r>
          </w:p>
        </w:tc>
        <w:tc>
          <w:tcPr>
            <w:tcW w:w="1425" w:type="dxa"/>
            <w:tcBorders>
              <w:right w:val="single" w:sz="8" w:space="0" w:color="231F20"/>
            </w:tcBorders>
          </w:tcPr>
          <w:p w14:paraId="63936194" w14:textId="77777777" w:rsidR="009948F1" w:rsidRDefault="009948F1">
            <w:pPr>
              <w:pStyle w:val="TableParagraph"/>
              <w:rPr>
                <w:b/>
                <w:sz w:val="14"/>
              </w:rPr>
            </w:pPr>
          </w:p>
          <w:p w14:paraId="281345CE" w14:textId="77777777" w:rsidR="009948F1" w:rsidRDefault="00BC0563">
            <w:pPr>
              <w:pStyle w:val="TableParagraph"/>
              <w:spacing w:before="84"/>
              <w:ind w:left="29"/>
              <w:rPr>
                <w:sz w:val="15"/>
              </w:rPr>
            </w:pPr>
            <w:r>
              <w:rPr>
                <w:color w:val="231F20"/>
                <w:w w:val="90"/>
                <w:sz w:val="15"/>
              </w:rPr>
              <w:t>Lack of funds</w:t>
            </w:r>
          </w:p>
        </w:tc>
        <w:tc>
          <w:tcPr>
            <w:tcW w:w="1501" w:type="dxa"/>
            <w:tcBorders>
              <w:left w:val="single" w:sz="8" w:space="0" w:color="231F20"/>
            </w:tcBorders>
          </w:tcPr>
          <w:p w14:paraId="0669BDEA" w14:textId="77777777" w:rsidR="009948F1" w:rsidRDefault="009948F1">
            <w:pPr>
              <w:pStyle w:val="TableParagraph"/>
              <w:rPr>
                <w:b/>
                <w:sz w:val="14"/>
              </w:rPr>
            </w:pPr>
          </w:p>
          <w:p w14:paraId="21A777D3" w14:textId="77777777" w:rsidR="009948F1" w:rsidRDefault="00BC0563">
            <w:pPr>
              <w:pStyle w:val="TableParagraph"/>
              <w:spacing w:before="84"/>
              <w:ind w:left="25"/>
              <w:rPr>
                <w:sz w:val="15"/>
              </w:rPr>
            </w:pPr>
            <w:r>
              <w:rPr>
                <w:color w:val="231F20"/>
                <w:w w:val="85"/>
                <w:sz w:val="15"/>
              </w:rPr>
              <w:t>Develop monitoring tools</w:t>
            </w:r>
          </w:p>
        </w:tc>
      </w:tr>
      <w:tr w:rsidR="009948F1" w14:paraId="00BDC9E8" w14:textId="77777777">
        <w:trPr>
          <w:trHeight w:val="544"/>
        </w:trPr>
        <w:tc>
          <w:tcPr>
            <w:tcW w:w="844" w:type="dxa"/>
            <w:gridSpan w:val="2"/>
            <w:vMerge/>
            <w:tcBorders>
              <w:top w:val="nil"/>
              <w:left w:val="single" w:sz="8" w:space="0" w:color="231F20"/>
              <w:bottom w:val="nil"/>
            </w:tcBorders>
          </w:tcPr>
          <w:p w14:paraId="6B972424" w14:textId="77777777" w:rsidR="009948F1" w:rsidRDefault="009948F1">
            <w:pPr>
              <w:rPr>
                <w:sz w:val="2"/>
                <w:szCs w:val="2"/>
              </w:rPr>
            </w:pPr>
          </w:p>
        </w:tc>
        <w:tc>
          <w:tcPr>
            <w:tcW w:w="525" w:type="dxa"/>
          </w:tcPr>
          <w:p w14:paraId="20527B02" w14:textId="77777777" w:rsidR="009948F1" w:rsidRDefault="009948F1">
            <w:pPr>
              <w:pStyle w:val="TableParagraph"/>
              <w:spacing w:before="2"/>
              <w:rPr>
                <w:b/>
                <w:sz w:val="16"/>
              </w:rPr>
            </w:pPr>
          </w:p>
          <w:p w14:paraId="1745AE02" w14:textId="77777777" w:rsidR="009948F1" w:rsidRDefault="00BC0563">
            <w:pPr>
              <w:pStyle w:val="TableParagraph"/>
              <w:ind w:left="39" w:right="9"/>
              <w:jc w:val="center"/>
              <w:rPr>
                <w:sz w:val="15"/>
              </w:rPr>
            </w:pPr>
            <w:r>
              <w:rPr>
                <w:color w:val="231F20"/>
                <w:w w:val="85"/>
                <w:sz w:val="15"/>
              </w:rPr>
              <w:t>1.3.3.d</w:t>
            </w:r>
          </w:p>
        </w:tc>
        <w:tc>
          <w:tcPr>
            <w:tcW w:w="4885" w:type="dxa"/>
            <w:gridSpan w:val="2"/>
          </w:tcPr>
          <w:p w14:paraId="673131A1" w14:textId="77777777" w:rsidR="009948F1" w:rsidRDefault="009948F1">
            <w:pPr>
              <w:pStyle w:val="TableParagraph"/>
              <w:spacing w:before="7"/>
              <w:rPr>
                <w:b/>
                <w:sz w:val="15"/>
              </w:rPr>
            </w:pPr>
          </w:p>
          <w:p w14:paraId="6549E273" w14:textId="77777777" w:rsidR="009948F1" w:rsidRDefault="00BC0563">
            <w:pPr>
              <w:pStyle w:val="TableParagraph"/>
              <w:spacing w:before="1"/>
              <w:ind w:left="29"/>
              <w:rPr>
                <w:sz w:val="15"/>
              </w:rPr>
            </w:pPr>
            <w:r>
              <w:rPr>
                <w:color w:val="231F20"/>
                <w:w w:val="85"/>
                <w:sz w:val="15"/>
              </w:rPr>
              <w:t>Operating</w:t>
            </w:r>
            <w:r>
              <w:rPr>
                <w:color w:val="231F20"/>
                <w:spacing w:val="-22"/>
                <w:w w:val="85"/>
                <w:sz w:val="15"/>
              </w:rPr>
              <w:t xml:space="preserve"> </w:t>
            </w:r>
            <w:r>
              <w:rPr>
                <w:color w:val="231F20"/>
                <w:w w:val="85"/>
                <w:sz w:val="15"/>
              </w:rPr>
              <w:t>cost</w:t>
            </w:r>
            <w:r>
              <w:rPr>
                <w:color w:val="231F20"/>
                <w:spacing w:val="-21"/>
                <w:w w:val="85"/>
                <w:sz w:val="15"/>
              </w:rPr>
              <w:t xml:space="preserve"> </w:t>
            </w:r>
            <w:r>
              <w:rPr>
                <w:color w:val="231F20"/>
                <w:w w:val="85"/>
                <w:sz w:val="15"/>
              </w:rPr>
              <w:t>for</w:t>
            </w:r>
            <w:r>
              <w:rPr>
                <w:color w:val="231F20"/>
                <w:spacing w:val="-21"/>
                <w:w w:val="85"/>
                <w:sz w:val="15"/>
              </w:rPr>
              <w:t xml:space="preserve"> </w:t>
            </w:r>
            <w:r>
              <w:rPr>
                <w:color w:val="231F20"/>
                <w:w w:val="85"/>
                <w:sz w:val="15"/>
              </w:rPr>
              <w:t>engaging</w:t>
            </w:r>
            <w:r>
              <w:rPr>
                <w:color w:val="231F20"/>
                <w:spacing w:val="-22"/>
                <w:w w:val="85"/>
                <w:sz w:val="15"/>
              </w:rPr>
              <w:t xml:space="preserve"> </w:t>
            </w:r>
            <w:r>
              <w:rPr>
                <w:color w:val="231F20"/>
                <w:w w:val="85"/>
                <w:sz w:val="15"/>
              </w:rPr>
              <w:t>and</w:t>
            </w:r>
            <w:r>
              <w:rPr>
                <w:color w:val="231F20"/>
                <w:spacing w:val="-21"/>
                <w:w w:val="85"/>
                <w:sz w:val="15"/>
              </w:rPr>
              <w:t xml:space="preserve"> </w:t>
            </w:r>
            <w:r>
              <w:rPr>
                <w:color w:val="231F20"/>
                <w:w w:val="85"/>
                <w:sz w:val="15"/>
              </w:rPr>
              <w:t>supervising</w:t>
            </w:r>
            <w:r>
              <w:rPr>
                <w:color w:val="231F20"/>
                <w:spacing w:val="-21"/>
                <w:w w:val="85"/>
                <w:sz w:val="15"/>
              </w:rPr>
              <w:t xml:space="preserve"> </w:t>
            </w:r>
            <w:r>
              <w:rPr>
                <w:color w:val="231F20"/>
                <w:w w:val="85"/>
                <w:sz w:val="15"/>
              </w:rPr>
              <w:t>the</w:t>
            </w:r>
            <w:r>
              <w:rPr>
                <w:color w:val="231F20"/>
                <w:spacing w:val="-21"/>
                <w:w w:val="85"/>
                <w:sz w:val="15"/>
              </w:rPr>
              <w:t xml:space="preserve"> </w:t>
            </w:r>
            <w:r>
              <w:rPr>
                <w:color w:val="231F20"/>
                <w:w w:val="85"/>
                <w:sz w:val="15"/>
              </w:rPr>
              <w:t>contractor</w:t>
            </w:r>
            <w:r>
              <w:rPr>
                <w:color w:val="231F20"/>
                <w:spacing w:val="-22"/>
                <w:w w:val="85"/>
                <w:sz w:val="15"/>
              </w:rPr>
              <w:t xml:space="preserve"> </w:t>
            </w:r>
            <w:r>
              <w:rPr>
                <w:color w:val="231F20"/>
                <w:w w:val="85"/>
                <w:sz w:val="15"/>
              </w:rPr>
              <w:t>to</w:t>
            </w:r>
            <w:r>
              <w:rPr>
                <w:color w:val="231F20"/>
                <w:spacing w:val="-21"/>
                <w:w w:val="85"/>
                <w:sz w:val="15"/>
              </w:rPr>
              <w:t xml:space="preserve"> </w:t>
            </w:r>
            <w:r>
              <w:rPr>
                <w:color w:val="231F20"/>
                <w:w w:val="85"/>
                <w:sz w:val="15"/>
              </w:rPr>
              <w:t>purchase</w:t>
            </w:r>
            <w:r>
              <w:rPr>
                <w:color w:val="231F20"/>
                <w:spacing w:val="-21"/>
                <w:w w:val="85"/>
                <w:sz w:val="15"/>
              </w:rPr>
              <w:t xml:space="preserve"> </w:t>
            </w:r>
            <w:r>
              <w:rPr>
                <w:color w:val="231F20"/>
                <w:w w:val="85"/>
                <w:sz w:val="15"/>
              </w:rPr>
              <w:t>vehicles</w:t>
            </w:r>
            <w:r>
              <w:rPr>
                <w:color w:val="231F20"/>
                <w:spacing w:val="-22"/>
                <w:w w:val="85"/>
                <w:sz w:val="15"/>
              </w:rPr>
              <w:t xml:space="preserve"> </w:t>
            </w:r>
            <w:r>
              <w:rPr>
                <w:color w:val="231F20"/>
                <w:w w:val="85"/>
                <w:sz w:val="15"/>
              </w:rPr>
              <w:t>for</w:t>
            </w:r>
            <w:r>
              <w:rPr>
                <w:color w:val="231F20"/>
                <w:spacing w:val="-21"/>
                <w:w w:val="85"/>
                <w:sz w:val="15"/>
              </w:rPr>
              <w:t xml:space="preserve"> </w:t>
            </w:r>
            <w:r>
              <w:rPr>
                <w:color w:val="231F20"/>
                <w:w w:val="85"/>
                <w:sz w:val="15"/>
              </w:rPr>
              <w:t>M</w:t>
            </w:r>
            <w:r>
              <w:rPr>
                <w:color w:val="231F20"/>
                <w:spacing w:val="-21"/>
                <w:w w:val="85"/>
                <w:sz w:val="15"/>
              </w:rPr>
              <w:t xml:space="preserve"> </w:t>
            </w:r>
            <w:r>
              <w:rPr>
                <w:color w:val="231F20"/>
                <w:w w:val="85"/>
                <w:sz w:val="15"/>
              </w:rPr>
              <w:t>&amp;</w:t>
            </w:r>
            <w:r>
              <w:rPr>
                <w:color w:val="231F20"/>
                <w:spacing w:val="-21"/>
                <w:w w:val="85"/>
                <w:sz w:val="15"/>
              </w:rPr>
              <w:t xml:space="preserve"> </w:t>
            </w:r>
            <w:r>
              <w:rPr>
                <w:color w:val="231F20"/>
                <w:w w:val="85"/>
                <w:sz w:val="15"/>
              </w:rPr>
              <w:t>E</w:t>
            </w:r>
          </w:p>
        </w:tc>
        <w:tc>
          <w:tcPr>
            <w:tcW w:w="1425" w:type="dxa"/>
            <w:tcBorders>
              <w:right w:val="single" w:sz="8" w:space="0" w:color="231F20"/>
            </w:tcBorders>
          </w:tcPr>
          <w:p w14:paraId="5E81445F" w14:textId="77777777" w:rsidR="009948F1" w:rsidRDefault="009948F1">
            <w:pPr>
              <w:pStyle w:val="TableParagraph"/>
              <w:spacing w:before="2"/>
              <w:rPr>
                <w:b/>
                <w:sz w:val="16"/>
              </w:rPr>
            </w:pPr>
          </w:p>
          <w:p w14:paraId="2028CE40"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587D29A4" w14:textId="77777777" w:rsidR="009948F1" w:rsidRDefault="00BC0563">
            <w:pPr>
              <w:pStyle w:val="TableParagraph"/>
              <w:ind w:left="25"/>
              <w:rPr>
                <w:sz w:val="15"/>
              </w:rPr>
            </w:pPr>
            <w:r>
              <w:rPr>
                <w:color w:val="231F20"/>
                <w:w w:val="90"/>
                <w:sz w:val="15"/>
              </w:rPr>
              <w:t>Operating cost for</w:t>
            </w:r>
          </w:p>
          <w:p w14:paraId="54B361DA" w14:textId="77777777" w:rsidR="009948F1" w:rsidRDefault="00BC0563">
            <w:pPr>
              <w:pStyle w:val="TableParagraph"/>
              <w:spacing w:before="6" w:line="180" w:lineRule="atLeast"/>
              <w:ind w:left="25"/>
              <w:rPr>
                <w:sz w:val="15"/>
              </w:rPr>
            </w:pPr>
            <w:r>
              <w:rPr>
                <w:color w:val="231F20"/>
                <w:w w:val="80"/>
                <w:sz w:val="15"/>
              </w:rPr>
              <w:t xml:space="preserve">engaging and supervising </w:t>
            </w:r>
            <w:r>
              <w:rPr>
                <w:color w:val="231F20"/>
                <w:w w:val="90"/>
                <w:sz w:val="15"/>
              </w:rPr>
              <w:t>the contractor</w:t>
            </w:r>
          </w:p>
        </w:tc>
      </w:tr>
      <w:tr w:rsidR="009948F1" w14:paraId="32FF9AE5" w14:textId="77777777">
        <w:trPr>
          <w:trHeight w:val="365"/>
        </w:trPr>
        <w:tc>
          <w:tcPr>
            <w:tcW w:w="844" w:type="dxa"/>
            <w:gridSpan w:val="2"/>
            <w:vMerge/>
            <w:tcBorders>
              <w:top w:val="nil"/>
              <w:left w:val="single" w:sz="8" w:space="0" w:color="231F20"/>
              <w:bottom w:val="nil"/>
            </w:tcBorders>
          </w:tcPr>
          <w:p w14:paraId="0BF7775E" w14:textId="77777777" w:rsidR="009948F1" w:rsidRDefault="009948F1">
            <w:pPr>
              <w:rPr>
                <w:sz w:val="2"/>
                <w:szCs w:val="2"/>
              </w:rPr>
            </w:pPr>
          </w:p>
        </w:tc>
        <w:tc>
          <w:tcPr>
            <w:tcW w:w="525" w:type="dxa"/>
          </w:tcPr>
          <w:p w14:paraId="2FAAF976" w14:textId="77777777" w:rsidR="009948F1" w:rsidRDefault="00BC0563">
            <w:pPr>
              <w:pStyle w:val="TableParagraph"/>
              <w:spacing w:before="97"/>
              <w:ind w:left="39" w:right="9"/>
              <w:jc w:val="center"/>
              <w:rPr>
                <w:sz w:val="15"/>
              </w:rPr>
            </w:pPr>
            <w:r>
              <w:rPr>
                <w:color w:val="231F20"/>
                <w:w w:val="85"/>
                <w:sz w:val="15"/>
              </w:rPr>
              <w:t>1.3.3.e</w:t>
            </w:r>
          </w:p>
        </w:tc>
        <w:tc>
          <w:tcPr>
            <w:tcW w:w="4885" w:type="dxa"/>
            <w:gridSpan w:val="2"/>
          </w:tcPr>
          <w:p w14:paraId="4D30FE91" w14:textId="77777777" w:rsidR="009948F1" w:rsidRDefault="00BC0563">
            <w:pPr>
              <w:pStyle w:val="TableParagraph"/>
              <w:ind w:left="29"/>
              <w:rPr>
                <w:sz w:val="15"/>
              </w:rPr>
            </w:pPr>
            <w:r>
              <w:rPr>
                <w:color w:val="231F20"/>
                <w:w w:val="85"/>
                <w:sz w:val="15"/>
              </w:rPr>
              <w:t>Conduct</w:t>
            </w:r>
            <w:r>
              <w:rPr>
                <w:color w:val="231F20"/>
                <w:spacing w:val="-22"/>
                <w:w w:val="85"/>
                <w:sz w:val="15"/>
              </w:rPr>
              <w:t xml:space="preserve"> </w:t>
            </w:r>
            <w:r>
              <w:rPr>
                <w:color w:val="231F20"/>
                <w:w w:val="85"/>
                <w:sz w:val="15"/>
              </w:rPr>
              <w:t>periodic</w:t>
            </w:r>
            <w:r>
              <w:rPr>
                <w:color w:val="231F20"/>
                <w:spacing w:val="-22"/>
                <w:w w:val="85"/>
                <w:sz w:val="15"/>
              </w:rPr>
              <w:t xml:space="preserve"> </w:t>
            </w:r>
            <w:r>
              <w:rPr>
                <w:color w:val="231F20"/>
                <w:w w:val="85"/>
                <w:sz w:val="15"/>
              </w:rPr>
              <w:t>review</w:t>
            </w:r>
            <w:r>
              <w:rPr>
                <w:color w:val="231F20"/>
                <w:spacing w:val="-21"/>
                <w:w w:val="85"/>
                <w:sz w:val="15"/>
              </w:rPr>
              <w:t xml:space="preserve"> </w:t>
            </w:r>
            <w:r>
              <w:rPr>
                <w:color w:val="231F20"/>
                <w:w w:val="85"/>
                <w:sz w:val="15"/>
              </w:rPr>
              <w:t>of</w:t>
            </w:r>
            <w:r>
              <w:rPr>
                <w:color w:val="231F20"/>
                <w:spacing w:val="-22"/>
                <w:w w:val="85"/>
                <w:sz w:val="15"/>
              </w:rPr>
              <w:t xml:space="preserve"> </w:t>
            </w:r>
            <w:r>
              <w:rPr>
                <w:color w:val="231F20"/>
                <w:w w:val="85"/>
                <w:sz w:val="15"/>
              </w:rPr>
              <w:t>plan</w:t>
            </w:r>
            <w:r>
              <w:rPr>
                <w:color w:val="231F20"/>
                <w:spacing w:val="-21"/>
                <w:w w:val="85"/>
                <w:sz w:val="15"/>
              </w:rPr>
              <w:t xml:space="preserve"> </w:t>
            </w:r>
            <w:r>
              <w:rPr>
                <w:color w:val="231F20"/>
                <w:w w:val="85"/>
                <w:sz w:val="15"/>
              </w:rPr>
              <w:t>activities</w:t>
            </w:r>
            <w:r>
              <w:rPr>
                <w:color w:val="231F20"/>
                <w:spacing w:val="-22"/>
                <w:w w:val="85"/>
                <w:sz w:val="15"/>
              </w:rPr>
              <w:t xml:space="preserve"> </w:t>
            </w:r>
            <w:r>
              <w:rPr>
                <w:color w:val="231F20"/>
                <w:w w:val="85"/>
                <w:sz w:val="15"/>
              </w:rPr>
              <w:t>performance</w:t>
            </w:r>
            <w:r>
              <w:rPr>
                <w:color w:val="231F20"/>
                <w:spacing w:val="-21"/>
                <w:w w:val="85"/>
                <w:sz w:val="15"/>
              </w:rPr>
              <w:t xml:space="preserve"> </w:t>
            </w:r>
            <w:r>
              <w:rPr>
                <w:color w:val="231F20"/>
                <w:w w:val="85"/>
                <w:sz w:val="15"/>
              </w:rPr>
              <w:t>in</w:t>
            </w:r>
            <w:r>
              <w:rPr>
                <w:color w:val="231F20"/>
                <w:spacing w:val="-22"/>
                <w:w w:val="85"/>
                <w:sz w:val="15"/>
              </w:rPr>
              <w:t xml:space="preserve"> </w:t>
            </w:r>
            <w:r>
              <w:rPr>
                <w:color w:val="231F20"/>
                <w:w w:val="85"/>
                <w:sz w:val="15"/>
              </w:rPr>
              <w:t>the</w:t>
            </w:r>
            <w:r>
              <w:rPr>
                <w:color w:val="231F20"/>
                <w:spacing w:val="-21"/>
                <w:w w:val="85"/>
                <w:sz w:val="15"/>
              </w:rPr>
              <w:t xml:space="preserve"> </w:t>
            </w:r>
            <w:r>
              <w:rPr>
                <w:color w:val="231F20"/>
                <w:w w:val="85"/>
                <w:sz w:val="15"/>
              </w:rPr>
              <w:t>State</w:t>
            </w:r>
            <w:r>
              <w:rPr>
                <w:color w:val="231F20"/>
                <w:spacing w:val="-22"/>
                <w:w w:val="85"/>
                <w:sz w:val="15"/>
              </w:rPr>
              <w:t xml:space="preserve"> </w:t>
            </w:r>
            <w:r>
              <w:rPr>
                <w:color w:val="231F20"/>
                <w:w w:val="85"/>
                <w:sz w:val="15"/>
              </w:rPr>
              <w:t>&amp;</w:t>
            </w:r>
            <w:r>
              <w:rPr>
                <w:color w:val="231F20"/>
                <w:spacing w:val="-21"/>
                <w:w w:val="85"/>
                <w:sz w:val="15"/>
              </w:rPr>
              <w:t xml:space="preserve"> </w:t>
            </w:r>
            <w:r>
              <w:rPr>
                <w:color w:val="231F20"/>
                <w:w w:val="85"/>
                <w:sz w:val="15"/>
              </w:rPr>
              <w:t>the</w:t>
            </w:r>
            <w:r>
              <w:rPr>
                <w:color w:val="231F20"/>
                <w:spacing w:val="-22"/>
                <w:w w:val="85"/>
                <w:sz w:val="15"/>
              </w:rPr>
              <w:t xml:space="preserve"> </w:t>
            </w:r>
            <w:r>
              <w:rPr>
                <w:color w:val="231F20"/>
                <w:w w:val="85"/>
                <w:sz w:val="15"/>
              </w:rPr>
              <w:t>23</w:t>
            </w:r>
            <w:r>
              <w:rPr>
                <w:color w:val="231F20"/>
                <w:spacing w:val="-21"/>
                <w:w w:val="85"/>
                <w:sz w:val="15"/>
              </w:rPr>
              <w:t xml:space="preserve"> </w:t>
            </w:r>
            <w:r>
              <w:rPr>
                <w:color w:val="231F20"/>
                <w:w w:val="85"/>
                <w:sz w:val="15"/>
              </w:rPr>
              <w:t>LGAs/Review</w:t>
            </w:r>
          </w:p>
          <w:p w14:paraId="6BA2E8F0" w14:textId="77777777" w:rsidR="009948F1" w:rsidRDefault="00BC0563">
            <w:pPr>
              <w:pStyle w:val="TableParagraph"/>
              <w:spacing w:before="14" w:line="159" w:lineRule="exact"/>
              <w:ind w:left="29"/>
              <w:rPr>
                <w:sz w:val="15"/>
              </w:rPr>
            </w:pPr>
            <w:r>
              <w:rPr>
                <w:color w:val="231F20"/>
                <w:w w:val="90"/>
                <w:sz w:val="15"/>
              </w:rPr>
              <w:t>and update monitoring tools annually</w:t>
            </w:r>
          </w:p>
        </w:tc>
        <w:tc>
          <w:tcPr>
            <w:tcW w:w="1425" w:type="dxa"/>
            <w:tcBorders>
              <w:right w:val="single" w:sz="8" w:space="0" w:color="231F20"/>
            </w:tcBorders>
          </w:tcPr>
          <w:p w14:paraId="63CF22B1" w14:textId="77777777" w:rsidR="009948F1" w:rsidRDefault="00BC0563">
            <w:pPr>
              <w:pStyle w:val="TableParagraph"/>
              <w:spacing w:before="97"/>
              <w:ind w:left="29"/>
              <w:rPr>
                <w:sz w:val="15"/>
              </w:rPr>
            </w:pPr>
            <w:r>
              <w:rPr>
                <w:color w:val="231F20"/>
                <w:w w:val="90"/>
                <w:sz w:val="15"/>
              </w:rPr>
              <w:t>Lack of funds</w:t>
            </w:r>
          </w:p>
        </w:tc>
        <w:tc>
          <w:tcPr>
            <w:tcW w:w="1501" w:type="dxa"/>
            <w:tcBorders>
              <w:left w:val="single" w:sz="8" w:space="0" w:color="231F20"/>
            </w:tcBorders>
          </w:tcPr>
          <w:p w14:paraId="1C72C289" w14:textId="25E104DB" w:rsidR="009948F1" w:rsidRDefault="00BC0563">
            <w:pPr>
              <w:pStyle w:val="TableParagraph"/>
              <w:spacing w:before="3"/>
              <w:ind w:left="25"/>
              <w:rPr>
                <w:sz w:val="15"/>
              </w:rPr>
            </w:pPr>
            <w:r>
              <w:rPr>
                <w:color w:val="231F20"/>
                <w:w w:val="85"/>
                <w:sz w:val="15"/>
              </w:rPr>
              <w:t>Conduct</w:t>
            </w:r>
            <w:r w:rsidR="00DA4239">
              <w:rPr>
                <w:color w:val="231F20"/>
                <w:w w:val="85"/>
                <w:sz w:val="15"/>
              </w:rPr>
              <w:t xml:space="preserve"> </w:t>
            </w:r>
            <w:r>
              <w:rPr>
                <w:color w:val="231F20"/>
                <w:spacing w:val="-24"/>
                <w:w w:val="85"/>
                <w:sz w:val="15"/>
              </w:rPr>
              <w:t xml:space="preserve"> </w:t>
            </w:r>
            <w:r>
              <w:rPr>
                <w:color w:val="231F20"/>
                <w:w w:val="85"/>
                <w:sz w:val="15"/>
              </w:rPr>
              <w:t>meeting</w:t>
            </w:r>
            <w:r>
              <w:rPr>
                <w:color w:val="231F20"/>
                <w:spacing w:val="-24"/>
                <w:w w:val="85"/>
                <w:sz w:val="15"/>
              </w:rPr>
              <w:t xml:space="preserve"> </w:t>
            </w:r>
            <w:r>
              <w:rPr>
                <w:color w:val="231F20"/>
                <w:w w:val="85"/>
                <w:sz w:val="15"/>
              </w:rPr>
              <w:t>to</w:t>
            </w:r>
            <w:r>
              <w:rPr>
                <w:color w:val="231F20"/>
                <w:spacing w:val="-24"/>
                <w:w w:val="85"/>
                <w:sz w:val="15"/>
              </w:rPr>
              <w:t xml:space="preserve"> </w:t>
            </w:r>
            <w:r>
              <w:rPr>
                <w:color w:val="231F20"/>
                <w:w w:val="85"/>
                <w:sz w:val="15"/>
              </w:rPr>
              <w:t>review</w:t>
            </w:r>
          </w:p>
          <w:p w14:paraId="799DBA43" w14:textId="77777777" w:rsidR="009948F1" w:rsidRDefault="00BC0563">
            <w:pPr>
              <w:pStyle w:val="TableParagraph"/>
              <w:spacing w:before="14" w:line="156" w:lineRule="exact"/>
              <w:ind w:left="25"/>
              <w:rPr>
                <w:sz w:val="15"/>
              </w:rPr>
            </w:pPr>
            <w:r>
              <w:rPr>
                <w:color w:val="231F20"/>
                <w:w w:val="90"/>
                <w:sz w:val="15"/>
              </w:rPr>
              <w:t>plan performance</w:t>
            </w:r>
          </w:p>
        </w:tc>
      </w:tr>
      <w:tr w:rsidR="009948F1" w14:paraId="574CC1F9" w14:textId="77777777">
        <w:trPr>
          <w:trHeight w:val="845"/>
        </w:trPr>
        <w:tc>
          <w:tcPr>
            <w:tcW w:w="390" w:type="dxa"/>
            <w:tcBorders>
              <w:top w:val="nil"/>
              <w:left w:val="single" w:sz="8" w:space="0" w:color="231F20"/>
              <w:bottom w:val="nil"/>
            </w:tcBorders>
          </w:tcPr>
          <w:p w14:paraId="12E61517" w14:textId="77777777" w:rsidR="009948F1" w:rsidRDefault="009948F1">
            <w:pPr>
              <w:pStyle w:val="TableParagraph"/>
              <w:rPr>
                <w:rFonts w:ascii="Times New Roman"/>
                <w:sz w:val="10"/>
              </w:rPr>
            </w:pPr>
          </w:p>
        </w:tc>
        <w:tc>
          <w:tcPr>
            <w:tcW w:w="454" w:type="dxa"/>
            <w:shd w:val="clear" w:color="auto" w:fill="CCE7D3"/>
          </w:tcPr>
          <w:p w14:paraId="1FC3DB4A" w14:textId="77777777" w:rsidR="009948F1" w:rsidRDefault="009948F1">
            <w:pPr>
              <w:pStyle w:val="TableParagraph"/>
              <w:rPr>
                <w:b/>
                <w:sz w:val="14"/>
              </w:rPr>
            </w:pPr>
          </w:p>
          <w:p w14:paraId="37C067BF" w14:textId="77777777" w:rsidR="009948F1" w:rsidRDefault="009948F1">
            <w:pPr>
              <w:pStyle w:val="TableParagraph"/>
              <w:spacing w:before="2"/>
              <w:rPr>
                <w:b/>
                <w:sz w:val="15"/>
              </w:rPr>
            </w:pPr>
          </w:p>
          <w:p w14:paraId="6B58D743" w14:textId="77777777" w:rsidR="009948F1" w:rsidRDefault="00BC0563">
            <w:pPr>
              <w:pStyle w:val="TableParagraph"/>
              <w:spacing w:before="1"/>
              <w:ind w:left="62"/>
              <w:rPr>
                <w:sz w:val="15"/>
              </w:rPr>
            </w:pPr>
            <w:r>
              <w:rPr>
                <w:color w:val="231F20"/>
                <w:w w:val="90"/>
                <w:sz w:val="15"/>
              </w:rPr>
              <w:t>1.3.4</w:t>
            </w:r>
          </w:p>
        </w:tc>
        <w:tc>
          <w:tcPr>
            <w:tcW w:w="3031" w:type="dxa"/>
            <w:gridSpan w:val="2"/>
            <w:shd w:val="clear" w:color="auto" w:fill="CCE7D3"/>
          </w:tcPr>
          <w:p w14:paraId="4A470D1D" w14:textId="77777777" w:rsidR="009948F1" w:rsidRDefault="009948F1">
            <w:pPr>
              <w:pStyle w:val="TableParagraph"/>
              <w:spacing w:before="7"/>
              <w:rPr>
                <w:b/>
                <w:sz w:val="20"/>
              </w:rPr>
            </w:pPr>
          </w:p>
          <w:p w14:paraId="22CF0168" w14:textId="453AFA43" w:rsidR="009948F1" w:rsidRDefault="00BC0563">
            <w:pPr>
              <w:pStyle w:val="TableParagraph"/>
              <w:spacing w:before="1" w:line="259" w:lineRule="auto"/>
              <w:ind w:left="29" w:right="199" w:firstLine="32"/>
              <w:rPr>
                <w:sz w:val="15"/>
              </w:rPr>
            </w:pPr>
            <w:r>
              <w:rPr>
                <w:color w:val="231F20"/>
                <w:w w:val="80"/>
                <w:sz w:val="15"/>
              </w:rPr>
              <w:t xml:space="preserve">Disseminate sector performance reports and score </w:t>
            </w:r>
            <w:r>
              <w:rPr>
                <w:color w:val="231F20"/>
                <w:w w:val="85"/>
                <w:sz w:val="15"/>
              </w:rPr>
              <w:t>cards</w:t>
            </w:r>
            <w:r>
              <w:rPr>
                <w:color w:val="231F20"/>
                <w:spacing w:val="-13"/>
                <w:w w:val="85"/>
                <w:sz w:val="15"/>
              </w:rPr>
              <w:t xml:space="preserve"> </w:t>
            </w:r>
            <w:r>
              <w:rPr>
                <w:color w:val="231F20"/>
                <w:w w:val="85"/>
                <w:sz w:val="15"/>
              </w:rPr>
              <w:t>in</w:t>
            </w:r>
            <w:r>
              <w:rPr>
                <w:color w:val="231F20"/>
                <w:spacing w:val="-12"/>
                <w:w w:val="85"/>
                <w:sz w:val="15"/>
              </w:rPr>
              <w:t xml:space="preserve"> </w:t>
            </w:r>
            <w:r>
              <w:rPr>
                <w:color w:val="231F20"/>
                <w:w w:val="85"/>
                <w:sz w:val="15"/>
              </w:rPr>
              <w:t>compliance</w:t>
            </w:r>
            <w:r>
              <w:rPr>
                <w:color w:val="231F20"/>
                <w:spacing w:val="-24"/>
                <w:w w:val="85"/>
                <w:sz w:val="15"/>
              </w:rPr>
              <w:t xml:space="preserve"> </w:t>
            </w:r>
            <w:r>
              <w:rPr>
                <w:color w:val="231F20"/>
                <w:w w:val="85"/>
                <w:sz w:val="15"/>
              </w:rPr>
              <w:t>with</w:t>
            </w:r>
            <w:r>
              <w:rPr>
                <w:color w:val="231F20"/>
                <w:spacing w:val="-24"/>
                <w:w w:val="85"/>
                <w:sz w:val="15"/>
              </w:rPr>
              <w:t xml:space="preserve"> </w:t>
            </w:r>
            <w:r w:rsidR="00C84576">
              <w:rPr>
                <w:color w:val="231F20"/>
                <w:w w:val="85"/>
                <w:sz w:val="15"/>
              </w:rPr>
              <w:t>NH Act</w:t>
            </w:r>
            <w:r>
              <w:rPr>
                <w:color w:val="231F20"/>
                <w:spacing w:val="-24"/>
                <w:w w:val="85"/>
                <w:sz w:val="15"/>
              </w:rPr>
              <w:t xml:space="preserve"> </w:t>
            </w:r>
            <w:r>
              <w:rPr>
                <w:color w:val="231F20"/>
                <w:w w:val="85"/>
                <w:sz w:val="15"/>
              </w:rPr>
              <w:t>and</w:t>
            </w:r>
            <w:r>
              <w:rPr>
                <w:color w:val="231F20"/>
                <w:spacing w:val="-24"/>
                <w:w w:val="85"/>
                <w:sz w:val="15"/>
              </w:rPr>
              <w:t xml:space="preserve"> </w:t>
            </w:r>
            <w:r>
              <w:rPr>
                <w:color w:val="231F20"/>
                <w:w w:val="85"/>
                <w:sz w:val="15"/>
              </w:rPr>
              <w:t>other</w:t>
            </w:r>
            <w:r>
              <w:rPr>
                <w:color w:val="231F20"/>
                <w:spacing w:val="-24"/>
                <w:w w:val="85"/>
                <w:sz w:val="15"/>
              </w:rPr>
              <w:t xml:space="preserve"> </w:t>
            </w:r>
            <w:r>
              <w:rPr>
                <w:color w:val="231F20"/>
                <w:w w:val="85"/>
                <w:sz w:val="15"/>
              </w:rPr>
              <w:t>channels</w:t>
            </w:r>
          </w:p>
        </w:tc>
        <w:tc>
          <w:tcPr>
            <w:tcW w:w="2379" w:type="dxa"/>
            <w:shd w:val="clear" w:color="auto" w:fill="CCE7D3"/>
          </w:tcPr>
          <w:p w14:paraId="7A75AD86" w14:textId="77777777" w:rsidR="009948F1" w:rsidRDefault="00BC0563">
            <w:pPr>
              <w:pStyle w:val="TableParagraph"/>
              <w:numPr>
                <w:ilvl w:val="0"/>
                <w:numId w:val="235"/>
              </w:numPr>
              <w:tabs>
                <w:tab w:val="left" w:pos="104"/>
              </w:tabs>
              <w:spacing w:before="57" w:line="259" w:lineRule="auto"/>
              <w:ind w:right="263" w:firstLine="0"/>
              <w:rPr>
                <w:sz w:val="15"/>
              </w:rPr>
            </w:pPr>
            <w:r>
              <w:rPr>
                <w:color w:val="231F20"/>
                <w:w w:val="80"/>
                <w:sz w:val="15"/>
              </w:rPr>
              <w:t>Sector performance reports and</w:t>
            </w:r>
            <w:r>
              <w:rPr>
                <w:color w:val="231F20"/>
                <w:spacing w:val="-25"/>
                <w:w w:val="80"/>
                <w:sz w:val="15"/>
              </w:rPr>
              <w:t xml:space="preserve"> </w:t>
            </w:r>
            <w:r>
              <w:rPr>
                <w:color w:val="231F20"/>
                <w:spacing w:val="-3"/>
                <w:w w:val="80"/>
                <w:sz w:val="15"/>
              </w:rPr>
              <w:t xml:space="preserve">score </w:t>
            </w:r>
            <w:r>
              <w:rPr>
                <w:color w:val="231F20"/>
                <w:w w:val="85"/>
                <w:sz w:val="15"/>
              </w:rPr>
              <w:t>cards</w:t>
            </w:r>
            <w:r>
              <w:rPr>
                <w:color w:val="231F20"/>
                <w:spacing w:val="-16"/>
                <w:w w:val="85"/>
                <w:sz w:val="15"/>
              </w:rPr>
              <w:t xml:space="preserve"> </w:t>
            </w:r>
            <w:r>
              <w:rPr>
                <w:color w:val="231F20"/>
                <w:w w:val="85"/>
                <w:sz w:val="15"/>
              </w:rPr>
              <w:t>developed</w:t>
            </w:r>
            <w:r>
              <w:rPr>
                <w:color w:val="231F20"/>
                <w:spacing w:val="-16"/>
                <w:w w:val="85"/>
                <w:sz w:val="15"/>
              </w:rPr>
              <w:t xml:space="preserve"> </w:t>
            </w:r>
            <w:r>
              <w:rPr>
                <w:color w:val="231F20"/>
                <w:w w:val="85"/>
                <w:sz w:val="15"/>
              </w:rPr>
              <w:t>and</w:t>
            </w:r>
            <w:r>
              <w:rPr>
                <w:color w:val="231F20"/>
                <w:spacing w:val="-15"/>
                <w:w w:val="85"/>
                <w:sz w:val="15"/>
              </w:rPr>
              <w:t xml:space="preserve"> </w:t>
            </w:r>
            <w:r>
              <w:rPr>
                <w:color w:val="231F20"/>
                <w:w w:val="85"/>
                <w:sz w:val="15"/>
              </w:rPr>
              <w:t>disseminated</w:t>
            </w:r>
          </w:p>
          <w:p w14:paraId="0F8ED71B" w14:textId="6EEE5FA6" w:rsidR="009948F1" w:rsidRDefault="009948F1">
            <w:pPr>
              <w:pStyle w:val="TableParagraph"/>
              <w:spacing w:before="1"/>
              <w:ind w:left="29"/>
              <w:rPr>
                <w:sz w:val="15"/>
              </w:rPr>
            </w:pPr>
          </w:p>
          <w:p w14:paraId="75DEF029" w14:textId="3A1FBEFA" w:rsidR="009948F1" w:rsidRDefault="009948F1">
            <w:pPr>
              <w:pStyle w:val="TableParagraph"/>
              <w:spacing w:before="14"/>
              <w:ind w:left="29"/>
              <w:rPr>
                <w:sz w:val="15"/>
              </w:rPr>
            </w:pPr>
          </w:p>
        </w:tc>
        <w:tc>
          <w:tcPr>
            <w:tcW w:w="1425" w:type="dxa"/>
            <w:tcBorders>
              <w:right w:val="single" w:sz="8" w:space="0" w:color="231F20"/>
            </w:tcBorders>
            <w:shd w:val="clear" w:color="auto" w:fill="CCE7D3"/>
          </w:tcPr>
          <w:p w14:paraId="04B04E6F" w14:textId="77777777" w:rsidR="009948F1" w:rsidRDefault="009948F1">
            <w:pPr>
              <w:pStyle w:val="TableParagraph"/>
              <w:rPr>
                <w:rFonts w:ascii="Times New Roman"/>
                <w:sz w:val="10"/>
              </w:rPr>
            </w:pPr>
          </w:p>
        </w:tc>
        <w:tc>
          <w:tcPr>
            <w:tcW w:w="1501" w:type="dxa"/>
            <w:tcBorders>
              <w:left w:val="single" w:sz="8" w:space="0" w:color="231F20"/>
            </w:tcBorders>
            <w:shd w:val="clear" w:color="auto" w:fill="CCE7D3"/>
          </w:tcPr>
          <w:p w14:paraId="7ABD9D69" w14:textId="77777777" w:rsidR="009948F1" w:rsidRDefault="009948F1">
            <w:pPr>
              <w:pStyle w:val="TableParagraph"/>
              <w:rPr>
                <w:rFonts w:ascii="Times New Roman"/>
                <w:sz w:val="10"/>
              </w:rPr>
            </w:pPr>
          </w:p>
        </w:tc>
      </w:tr>
      <w:tr w:rsidR="009948F1" w14:paraId="15744335" w14:textId="77777777">
        <w:trPr>
          <w:trHeight w:val="571"/>
        </w:trPr>
        <w:tc>
          <w:tcPr>
            <w:tcW w:w="844" w:type="dxa"/>
            <w:gridSpan w:val="2"/>
            <w:tcBorders>
              <w:top w:val="nil"/>
              <w:left w:val="single" w:sz="8" w:space="0" w:color="231F20"/>
              <w:bottom w:val="nil"/>
            </w:tcBorders>
          </w:tcPr>
          <w:p w14:paraId="36BA5EF9" w14:textId="77777777" w:rsidR="009948F1" w:rsidRDefault="009948F1">
            <w:pPr>
              <w:pStyle w:val="TableParagraph"/>
              <w:rPr>
                <w:rFonts w:ascii="Times New Roman"/>
                <w:sz w:val="10"/>
              </w:rPr>
            </w:pPr>
          </w:p>
        </w:tc>
        <w:tc>
          <w:tcPr>
            <w:tcW w:w="525" w:type="dxa"/>
          </w:tcPr>
          <w:p w14:paraId="26DA576B" w14:textId="77777777" w:rsidR="009948F1" w:rsidRDefault="009948F1">
            <w:pPr>
              <w:pStyle w:val="TableParagraph"/>
              <w:spacing w:before="4"/>
              <w:rPr>
                <w:b/>
                <w:sz w:val="17"/>
              </w:rPr>
            </w:pPr>
          </w:p>
          <w:p w14:paraId="215858FF" w14:textId="77777777" w:rsidR="009948F1" w:rsidRDefault="00BC0563">
            <w:pPr>
              <w:pStyle w:val="TableParagraph"/>
              <w:ind w:left="39" w:right="9"/>
              <w:jc w:val="center"/>
              <w:rPr>
                <w:sz w:val="15"/>
              </w:rPr>
            </w:pPr>
            <w:r>
              <w:rPr>
                <w:color w:val="231F20"/>
                <w:w w:val="85"/>
                <w:sz w:val="15"/>
              </w:rPr>
              <w:t>1.3.4.a</w:t>
            </w:r>
          </w:p>
        </w:tc>
        <w:tc>
          <w:tcPr>
            <w:tcW w:w="4885" w:type="dxa"/>
            <w:gridSpan w:val="2"/>
          </w:tcPr>
          <w:p w14:paraId="555B0028" w14:textId="77777777" w:rsidR="009948F1" w:rsidRDefault="009948F1">
            <w:pPr>
              <w:pStyle w:val="TableParagraph"/>
              <w:spacing w:before="9"/>
              <w:rPr>
                <w:b/>
                <w:sz w:val="16"/>
              </w:rPr>
            </w:pPr>
          </w:p>
          <w:p w14:paraId="1F21F05A" w14:textId="77777777" w:rsidR="009948F1" w:rsidRDefault="00BC0563">
            <w:pPr>
              <w:pStyle w:val="TableParagraph"/>
              <w:spacing w:before="1"/>
              <w:ind w:left="29"/>
              <w:rPr>
                <w:sz w:val="15"/>
              </w:rPr>
            </w:pPr>
            <w:r>
              <w:rPr>
                <w:color w:val="231F20"/>
                <w:w w:val="85"/>
                <w:sz w:val="15"/>
              </w:rPr>
              <w:t>Annual production and dissemination of sector performance reports and score cards</w:t>
            </w:r>
          </w:p>
        </w:tc>
        <w:tc>
          <w:tcPr>
            <w:tcW w:w="1425" w:type="dxa"/>
            <w:tcBorders>
              <w:right w:val="single" w:sz="8" w:space="0" w:color="231F20"/>
            </w:tcBorders>
          </w:tcPr>
          <w:p w14:paraId="740E5CCC" w14:textId="77777777" w:rsidR="009948F1" w:rsidRDefault="009948F1">
            <w:pPr>
              <w:pStyle w:val="TableParagraph"/>
              <w:spacing w:before="4"/>
              <w:rPr>
                <w:b/>
                <w:sz w:val="17"/>
              </w:rPr>
            </w:pPr>
          </w:p>
          <w:p w14:paraId="660AEF79"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4C91EE6A" w14:textId="77777777" w:rsidR="009948F1" w:rsidRDefault="00BC0563">
            <w:pPr>
              <w:pStyle w:val="TableParagraph"/>
              <w:spacing w:before="5" w:line="186" w:lineRule="exact"/>
              <w:ind w:left="25" w:right="-16"/>
              <w:rPr>
                <w:sz w:val="15"/>
              </w:rPr>
            </w:pPr>
            <w:r>
              <w:rPr>
                <w:color w:val="231F20"/>
                <w:w w:val="80"/>
                <w:sz w:val="15"/>
              </w:rPr>
              <w:t xml:space="preserve">Production &amp; dissemination </w:t>
            </w:r>
            <w:r>
              <w:rPr>
                <w:color w:val="231F20"/>
                <w:w w:val="90"/>
                <w:sz w:val="15"/>
              </w:rPr>
              <w:t>of sector performance reports</w:t>
            </w:r>
          </w:p>
        </w:tc>
      </w:tr>
      <w:tr w:rsidR="009948F1" w14:paraId="79D64721" w14:textId="77777777">
        <w:trPr>
          <w:trHeight w:val="846"/>
        </w:trPr>
        <w:tc>
          <w:tcPr>
            <w:tcW w:w="390" w:type="dxa"/>
            <w:tcBorders>
              <w:top w:val="nil"/>
              <w:left w:val="single" w:sz="8" w:space="0" w:color="231F20"/>
              <w:bottom w:val="nil"/>
            </w:tcBorders>
          </w:tcPr>
          <w:p w14:paraId="284314E8" w14:textId="77777777" w:rsidR="009948F1" w:rsidRDefault="009948F1">
            <w:pPr>
              <w:pStyle w:val="TableParagraph"/>
              <w:rPr>
                <w:rFonts w:ascii="Times New Roman"/>
                <w:sz w:val="10"/>
              </w:rPr>
            </w:pPr>
          </w:p>
        </w:tc>
        <w:tc>
          <w:tcPr>
            <w:tcW w:w="454" w:type="dxa"/>
            <w:shd w:val="clear" w:color="auto" w:fill="CCE7D3"/>
          </w:tcPr>
          <w:p w14:paraId="3085DB27" w14:textId="77777777" w:rsidR="009948F1" w:rsidRDefault="009948F1">
            <w:pPr>
              <w:pStyle w:val="TableParagraph"/>
              <w:rPr>
                <w:b/>
                <w:sz w:val="14"/>
              </w:rPr>
            </w:pPr>
          </w:p>
          <w:p w14:paraId="1A353CF7" w14:textId="77777777" w:rsidR="009948F1" w:rsidRDefault="009948F1">
            <w:pPr>
              <w:pStyle w:val="TableParagraph"/>
              <w:spacing w:before="2"/>
              <w:rPr>
                <w:b/>
                <w:sz w:val="15"/>
              </w:rPr>
            </w:pPr>
          </w:p>
          <w:p w14:paraId="07708263" w14:textId="77777777" w:rsidR="009948F1" w:rsidRDefault="00BC0563">
            <w:pPr>
              <w:pStyle w:val="TableParagraph"/>
              <w:spacing w:before="1"/>
              <w:ind w:left="62"/>
              <w:rPr>
                <w:sz w:val="15"/>
              </w:rPr>
            </w:pPr>
            <w:r>
              <w:rPr>
                <w:color w:val="231F20"/>
                <w:w w:val="90"/>
                <w:sz w:val="15"/>
              </w:rPr>
              <w:t>1.3.5</w:t>
            </w:r>
          </w:p>
        </w:tc>
        <w:tc>
          <w:tcPr>
            <w:tcW w:w="3031" w:type="dxa"/>
            <w:gridSpan w:val="2"/>
            <w:shd w:val="clear" w:color="auto" w:fill="CCE7D3"/>
          </w:tcPr>
          <w:p w14:paraId="0246BB5A" w14:textId="77777777" w:rsidR="009948F1" w:rsidRDefault="009948F1">
            <w:pPr>
              <w:pStyle w:val="TableParagraph"/>
              <w:spacing w:before="5"/>
              <w:rPr>
                <w:b/>
                <w:sz w:val="12"/>
              </w:rPr>
            </w:pPr>
          </w:p>
          <w:p w14:paraId="6E8E25B0" w14:textId="77777777" w:rsidR="009948F1" w:rsidRDefault="00BC0563">
            <w:pPr>
              <w:pStyle w:val="TableParagraph"/>
              <w:spacing w:before="1" w:line="259" w:lineRule="auto"/>
              <w:ind w:left="29" w:right="15" w:firstLine="32"/>
              <w:rPr>
                <w:sz w:val="15"/>
              </w:rPr>
            </w:pPr>
            <w:r>
              <w:rPr>
                <w:color w:val="231F20"/>
                <w:w w:val="90"/>
                <w:sz w:val="15"/>
              </w:rPr>
              <w:t xml:space="preserve">Design and institutionalize an incentivization and </w:t>
            </w:r>
            <w:r>
              <w:rPr>
                <w:color w:val="231F20"/>
                <w:w w:val="80"/>
                <w:sz w:val="15"/>
              </w:rPr>
              <w:t>reward</w:t>
            </w:r>
            <w:r>
              <w:rPr>
                <w:color w:val="231F20"/>
                <w:spacing w:val="-7"/>
                <w:w w:val="80"/>
                <w:sz w:val="15"/>
              </w:rPr>
              <w:t xml:space="preserve"> </w:t>
            </w:r>
            <w:r>
              <w:rPr>
                <w:color w:val="231F20"/>
                <w:w w:val="80"/>
                <w:sz w:val="15"/>
              </w:rPr>
              <w:t>system</w:t>
            </w:r>
            <w:r>
              <w:rPr>
                <w:color w:val="231F20"/>
                <w:spacing w:val="-6"/>
                <w:w w:val="80"/>
                <w:sz w:val="15"/>
              </w:rPr>
              <w:t xml:space="preserve"> </w:t>
            </w:r>
            <w:r>
              <w:rPr>
                <w:color w:val="231F20"/>
                <w:w w:val="80"/>
                <w:sz w:val="15"/>
              </w:rPr>
              <w:t>for</w:t>
            </w:r>
            <w:r>
              <w:rPr>
                <w:color w:val="231F20"/>
                <w:spacing w:val="-6"/>
                <w:w w:val="80"/>
                <w:sz w:val="15"/>
              </w:rPr>
              <w:t xml:space="preserve"> </w:t>
            </w:r>
            <w:r>
              <w:rPr>
                <w:color w:val="231F20"/>
                <w:w w:val="80"/>
                <w:sz w:val="15"/>
              </w:rPr>
              <w:t>the</w:t>
            </w:r>
            <w:r>
              <w:rPr>
                <w:color w:val="231F20"/>
                <w:spacing w:val="-6"/>
                <w:w w:val="80"/>
                <w:sz w:val="15"/>
              </w:rPr>
              <w:t xml:space="preserve"> </w:t>
            </w:r>
            <w:r>
              <w:rPr>
                <w:color w:val="231F20"/>
                <w:w w:val="80"/>
                <w:sz w:val="15"/>
              </w:rPr>
              <w:t>efficient</w:t>
            </w:r>
            <w:r>
              <w:rPr>
                <w:color w:val="231F20"/>
                <w:spacing w:val="-6"/>
                <w:w w:val="80"/>
                <w:sz w:val="15"/>
              </w:rPr>
              <w:t xml:space="preserve"> </w:t>
            </w:r>
            <w:r>
              <w:rPr>
                <w:color w:val="231F20"/>
                <w:w w:val="80"/>
                <w:sz w:val="15"/>
              </w:rPr>
              <w:t>performance</w:t>
            </w:r>
            <w:r>
              <w:rPr>
                <w:color w:val="231F20"/>
                <w:spacing w:val="-6"/>
                <w:w w:val="80"/>
                <w:sz w:val="15"/>
              </w:rPr>
              <w:t xml:space="preserve"> </w:t>
            </w:r>
            <w:r>
              <w:rPr>
                <w:color w:val="231F20"/>
                <w:w w:val="80"/>
                <w:sz w:val="15"/>
              </w:rPr>
              <w:t>of</w:t>
            </w:r>
            <w:r>
              <w:rPr>
                <w:color w:val="231F20"/>
                <w:spacing w:val="-7"/>
                <w:w w:val="80"/>
                <w:sz w:val="15"/>
              </w:rPr>
              <w:t xml:space="preserve"> </w:t>
            </w:r>
            <w:r>
              <w:rPr>
                <w:color w:val="231F20"/>
                <w:w w:val="80"/>
                <w:sz w:val="15"/>
              </w:rPr>
              <w:t>the</w:t>
            </w:r>
            <w:r>
              <w:rPr>
                <w:color w:val="231F20"/>
                <w:spacing w:val="-6"/>
                <w:w w:val="80"/>
                <w:sz w:val="15"/>
              </w:rPr>
              <w:t xml:space="preserve"> </w:t>
            </w:r>
            <w:r>
              <w:rPr>
                <w:color w:val="231F20"/>
                <w:w w:val="80"/>
                <w:sz w:val="15"/>
              </w:rPr>
              <w:t xml:space="preserve">health </w:t>
            </w:r>
            <w:r>
              <w:rPr>
                <w:color w:val="231F20"/>
                <w:w w:val="90"/>
                <w:sz w:val="15"/>
              </w:rPr>
              <w:t>sector at all</w:t>
            </w:r>
            <w:r>
              <w:rPr>
                <w:color w:val="231F20"/>
                <w:spacing w:val="-20"/>
                <w:w w:val="90"/>
                <w:sz w:val="15"/>
              </w:rPr>
              <w:t xml:space="preserve"> </w:t>
            </w:r>
            <w:r>
              <w:rPr>
                <w:color w:val="231F20"/>
                <w:w w:val="90"/>
                <w:sz w:val="15"/>
              </w:rPr>
              <w:t>levels</w:t>
            </w:r>
          </w:p>
        </w:tc>
        <w:tc>
          <w:tcPr>
            <w:tcW w:w="2379" w:type="dxa"/>
            <w:shd w:val="clear" w:color="auto" w:fill="CCE7D3"/>
          </w:tcPr>
          <w:p w14:paraId="5E48C168" w14:textId="77777777" w:rsidR="009948F1" w:rsidRDefault="00BC0563">
            <w:pPr>
              <w:pStyle w:val="TableParagraph"/>
              <w:numPr>
                <w:ilvl w:val="0"/>
                <w:numId w:val="234"/>
              </w:numPr>
              <w:tabs>
                <w:tab w:val="left" w:pos="137"/>
              </w:tabs>
              <w:spacing w:before="57" w:line="259" w:lineRule="auto"/>
              <w:ind w:right="484" w:firstLine="0"/>
              <w:rPr>
                <w:sz w:val="15"/>
              </w:rPr>
            </w:pPr>
            <w:r>
              <w:rPr>
                <w:color w:val="231F20"/>
                <w:w w:val="80"/>
                <w:sz w:val="15"/>
              </w:rPr>
              <w:t>Health workers' performance</w:t>
            </w:r>
            <w:r>
              <w:rPr>
                <w:color w:val="231F20"/>
                <w:spacing w:val="-21"/>
                <w:w w:val="80"/>
                <w:sz w:val="15"/>
              </w:rPr>
              <w:t xml:space="preserve"> </w:t>
            </w:r>
            <w:r>
              <w:rPr>
                <w:color w:val="231F20"/>
                <w:spacing w:val="-5"/>
                <w:w w:val="80"/>
                <w:sz w:val="15"/>
              </w:rPr>
              <w:t xml:space="preserve">and </w:t>
            </w:r>
            <w:r>
              <w:rPr>
                <w:color w:val="231F20"/>
                <w:w w:val="90"/>
                <w:sz w:val="15"/>
              </w:rPr>
              <w:t>rewarding</w:t>
            </w:r>
            <w:r>
              <w:rPr>
                <w:color w:val="231F20"/>
                <w:spacing w:val="-15"/>
                <w:w w:val="90"/>
                <w:sz w:val="15"/>
              </w:rPr>
              <w:t xml:space="preserve"> </w:t>
            </w:r>
            <w:r>
              <w:rPr>
                <w:color w:val="231F20"/>
                <w:w w:val="90"/>
                <w:sz w:val="15"/>
              </w:rPr>
              <w:t>system</w:t>
            </w:r>
            <w:r>
              <w:rPr>
                <w:color w:val="231F20"/>
                <w:spacing w:val="-15"/>
                <w:w w:val="90"/>
                <w:sz w:val="15"/>
              </w:rPr>
              <w:t xml:space="preserve"> </w:t>
            </w:r>
            <w:r>
              <w:rPr>
                <w:color w:val="231F20"/>
                <w:w w:val="90"/>
                <w:sz w:val="15"/>
              </w:rPr>
              <w:t>in</w:t>
            </w:r>
            <w:r>
              <w:rPr>
                <w:color w:val="231F20"/>
                <w:spacing w:val="-15"/>
                <w:w w:val="90"/>
                <w:sz w:val="15"/>
              </w:rPr>
              <w:t xml:space="preserve"> </w:t>
            </w:r>
            <w:r>
              <w:rPr>
                <w:color w:val="231F20"/>
                <w:w w:val="90"/>
                <w:sz w:val="15"/>
              </w:rPr>
              <w:t>place</w:t>
            </w:r>
          </w:p>
          <w:p w14:paraId="283095EA" w14:textId="77777777" w:rsidR="009948F1" w:rsidRDefault="00BC0563">
            <w:pPr>
              <w:pStyle w:val="TableParagraph"/>
              <w:spacing w:before="1"/>
              <w:ind w:left="29"/>
              <w:rPr>
                <w:sz w:val="15"/>
              </w:rPr>
            </w:pPr>
            <w:r>
              <w:rPr>
                <w:color w:val="231F20"/>
                <w:w w:val="78"/>
                <w:sz w:val="15"/>
              </w:rPr>
              <w:t>•</w:t>
            </w:r>
          </w:p>
          <w:p w14:paraId="6AF3F165" w14:textId="77777777" w:rsidR="009948F1" w:rsidRDefault="00BC0563">
            <w:pPr>
              <w:pStyle w:val="TableParagraph"/>
              <w:spacing w:before="14"/>
              <w:ind w:left="29"/>
              <w:rPr>
                <w:sz w:val="15"/>
              </w:rPr>
            </w:pPr>
            <w:r>
              <w:rPr>
                <w:color w:val="231F20"/>
                <w:w w:val="78"/>
                <w:sz w:val="15"/>
              </w:rPr>
              <w:t>•</w:t>
            </w:r>
          </w:p>
        </w:tc>
        <w:tc>
          <w:tcPr>
            <w:tcW w:w="1425" w:type="dxa"/>
            <w:tcBorders>
              <w:right w:val="single" w:sz="8" w:space="0" w:color="231F20"/>
            </w:tcBorders>
            <w:shd w:val="clear" w:color="auto" w:fill="CCE7D3"/>
          </w:tcPr>
          <w:p w14:paraId="2B80A328" w14:textId="77777777" w:rsidR="009948F1" w:rsidRDefault="009948F1">
            <w:pPr>
              <w:pStyle w:val="TableParagraph"/>
              <w:rPr>
                <w:rFonts w:ascii="Times New Roman"/>
                <w:sz w:val="10"/>
              </w:rPr>
            </w:pPr>
          </w:p>
        </w:tc>
        <w:tc>
          <w:tcPr>
            <w:tcW w:w="1501" w:type="dxa"/>
            <w:tcBorders>
              <w:left w:val="single" w:sz="8" w:space="0" w:color="231F20"/>
            </w:tcBorders>
            <w:shd w:val="clear" w:color="auto" w:fill="CCE7D3"/>
          </w:tcPr>
          <w:p w14:paraId="01000BEE" w14:textId="77777777" w:rsidR="009948F1" w:rsidRDefault="009948F1">
            <w:pPr>
              <w:pStyle w:val="TableParagraph"/>
              <w:rPr>
                <w:rFonts w:ascii="Times New Roman"/>
                <w:sz w:val="10"/>
              </w:rPr>
            </w:pPr>
          </w:p>
        </w:tc>
      </w:tr>
      <w:tr w:rsidR="009948F1" w14:paraId="44EC7A9A" w14:textId="77777777">
        <w:trPr>
          <w:trHeight w:val="560"/>
        </w:trPr>
        <w:tc>
          <w:tcPr>
            <w:tcW w:w="844" w:type="dxa"/>
            <w:gridSpan w:val="2"/>
            <w:tcBorders>
              <w:top w:val="nil"/>
              <w:left w:val="single" w:sz="8" w:space="0" w:color="231F20"/>
              <w:bottom w:val="single" w:sz="8" w:space="0" w:color="231F20"/>
            </w:tcBorders>
          </w:tcPr>
          <w:p w14:paraId="2C73BA7F" w14:textId="77777777" w:rsidR="009948F1" w:rsidRDefault="009948F1">
            <w:pPr>
              <w:pStyle w:val="TableParagraph"/>
              <w:rPr>
                <w:rFonts w:ascii="Times New Roman"/>
                <w:sz w:val="10"/>
              </w:rPr>
            </w:pPr>
          </w:p>
        </w:tc>
        <w:tc>
          <w:tcPr>
            <w:tcW w:w="525" w:type="dxa"/>
            <w:tcBorders>
              <w:bottom w:val="single" w:sz="12" w:space="0" w:color="231F20"/>
            </w:tcBorders>
          </w:tcPr>
          <w:p w14:paraId="6EC662BD" w14:textId="77777777" w:rsidR="009948F1" w:rsidRDefault="009948F1">
            <w:pPr>
              <w:pStyle w:val="TableParagraph"/>
              <w:spacing w:before="4"/>
              <w:rPr>
                <w:b/>
                <w:sz w:val="17"/>
              </w:rPr>
            </w:pPr>
          </w:p>
          <w:p w14:paraId="4BC6ED3D" w14:textId="77777777" w:rsidR="009948F1" w:rsidRDefault="00BC0563">
            <w:pPr>
              <w:pStyle w:val="TableParagraph"/>
              <w:ind w:left="39" w:right="9"/>
              <w:jc w:val="center"/>
              <w:rPr>
                <w:sz w:val="15"/>
              </w:rPr>
            </w:pPr>
            <w:r>
              <w:rPr>
                <w:color w:val="231F20"/>
                <w:w w:val="85"/>
                <w:sz w:val="15"/>
              </w:rPr>
              <w:t>1.3.5.a</w:t>
            </w:r>
          </w:p>
        </w:tc>
        <w:tc>
          <w:tcPr>
            <w:tcW w:w="4885" w:type="dxa"/>
            <w:gridSpan w:val="2"/>
            <w:tcBorders>
              <w:bottom w:val="single" w:sz="12" w:space="0" w:color="231F20"/>
            </w:tcBorders>
          </w:tcPr>
          <w:p w14:paraId="29880B50" w14:textId="77777777" w:rsidR="009948F1" w:rsidRDefault="009948F1">
            <w:pPr>
              <w:pStyle w:val="TableParagraph"/>
              <w:spacing w:before="9"/>
              <w:rPr>
                <w:b/>
                <w:sz w:val="16"/>
              </w:rPr>
            </w:pPr>
          </w:p>
          <w:p w14:paraId="6326C0D8" w14:textId="51BC012E" w:rsidR="009948F1" w:rsidRDefault="00C84576">
            <w:pPr>
              <w:pStyle w:val="TableParagraph"/>
              <w:spacing w:before="1"/>
              <w:ind w:left="62"/>
              <w:rPr>
                <w:sz w:val="15"/>
              </w:rPr>
            </w:pPr>
            <w:r>
              <w:rPr>
                <w:color w:val="231F20"/>
                <w:w w:val="90"/>
                <w:sz w:val="15"/>
              </w:rPr>
              <w:t>Institute</w:t>
            </w:r>
            <w:r w:rsidR="00BC0563">
              <w:rPr>
                <w:color w:val="231F20"/>
                <w:w w:val="90"/>
                <w:sz w:val="15"/>
              </w:rPr>
              <w:t xml:space="preserve"> annual incentives/reward for the best performance at LGAs and GHs</w:t>
            </w:r>
          </w:p>
        </w:tc>
        <w:tc>
          <w:tcPr>
            <w:tcW w:w="1425" w:type="dxa"/>
            <w:tcBorders>
              <w:bottom w:val="single" w:sz="12" w:space="0" w:color="231F20"/>
              <w:right w:val="single" w:sz="8" w:space="0" w:color="231F20"/>
            </w:tcBorders>
          </w:tcPr>
          <w:p w14:paraId="60C114EE" w14:textId="77777777" w:rsidR="009948F1" w:rsidRDefault="009948F1">
            <w:pPr>
              <w:pStyle w:val="TableParagraph"/>
              <w:spacing w:before="4"/>
              <w:rPr>
                <w:b/>
                <w:sz w:val="17"/>
              </w:rPr>
            </w:pPr>
          </w:p>
          <w:p w14:paraId="6A4CCEF7" w14:textId="77777777" w:rsidR="009948F1" w:rsidRDefault="00BC0563">
            <w:pPr>
              <w:pStyle w:val="TableParagraph"/>
              <w:ind w:left="29"/>
              <w:rPr>
                <w:sz w:val="15"/>
              </w:rPr>
            </w:pPr>
            <w:r>
              <w:rPr>
                <w:color w:val="231F20"/>
                <w:w w:val="90"/>
                <w:sz w:val="15"/>
              </w:rPr>
              <w:t>Lack of funds</w:t>
            </w:r>
          </w:p>
        </w:tc>
        <w:tc>
          <w:tcPr>
            <w:tcW w:w="1501" w:type="dxa"/>
            <w:tcBorders>
              <w:left w:val="single" w:sz="8" w:space="0" w:color="231F20"/>
            </w:tcBorders>
          </w:tcPr>
          <w:p w14:paraId="1FACD823" w14:textId="77777777" w:rsidR="009948F1" w:rsidRDefault="00BC0563">
            <w:pPr>
              <w:pStyle w:val="TableParagraph"/>
              <w:spacing w:before="5" w:line="186" w:lineRule="exact"/>
              <w:ind w:left="25" w:right="10"/>
              <w:rPr>
                <w:sz w:val="15"/>
              </w:rPr>
            </w:pPr>
            <w:r>
              <w:rPr>
                <w:color w:val="231F20"/>
                <w:w w:val="90"/>
                <w:sz w:val="15"/>
              </w:rPr>
              <w:t xml:space="preserve">Annual incentives and </w:t>
            </w:r>
            <w:r>
              <w:rPr>
                <w:color w:val="231F20"/>
                <w:w w:val="80"/>
                <w:sz w:val="15"/>
              </w:rPr>
              <w:t xml:space="preserve">annual performance based </w:t>
            </w:r>
            <w:r>
              <w:rPr>
                <w:color w:val="231F20"/>
                <w:w w:val="90"/>
                <w:sz w:val="15"/>
              </w:rPr>
              <w:t>reward exercise</w:t>
            </w:r>
          </w:p>
        </w:tc>
      </w:tr>
    </w:tbl>
    <w:p w14:paraId="3F282F27" w14:textId="77777777" w:rsidR="009948F1" w:rsidRDefault="009948F1">
      <w:pPr>
        <w:spacing w:line="186" w:lineRule="exact"/>
        <w:rPr>
          <w:sz w:val="15"/>
        </w:rPr>
        <w:sectPr w:rsidR="009948F1">
          <w:pgSz w:w="11910" w:h="16840"/>
          <w:pgMar w:top="1300" w:right="1080" w:bottom="1340" w:left="1120" w:header="0" w:footer="1155" w:gutter="0"/>
          <w:cols w:space="720"/>
        </w:sectPr>
      </w:pPr>
    </w:p>
    <w:tbl>
      <w:tblPr>
        <w:tblW w:w="0" w:type="auto"/>
        <w:tblInd w:w="1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07"/>
        <w:gridCol w:w="462"/>
        <w:gridCol w:w="534"/>
        <w:gridCol w:w="2552"/>
        <w:gridCol w:w="2423"/>
        <w:gridCol w:w="1451"/>
        <w:gridCol w:w="1528"/>
      </w:tblGrid>
      <w:tr w:rsidR="009948F1" w14:paraId="1E02F096" w14:textId="77777777">
        <w:trPr>
          <w:trHeight w:val="508"/>
        </w:trPr>
        <w:tc>
          <w:tcPr>
            <w:tcW w:w="407" w:type="dxa"/>
            <w:shd w:val="clear" w:color="auto" w:fill="FFF200"/>
          </w:tcPr>
          <w:p w14:paraId="03A5B068" w14:textId="77777777" w:rsidR="009948F1" w:rsidRDefault="009948F1">
            <w:pPr>
              <w:pStyle w:val="TableParagraph"/>
              <w:spacing w:before="9"/>
              <w:rPr>
                <w:b/>
                <w:sz w:val="14"/>
              </w:rPr>
            </w:pPr>
          </w:p>
          <w:p w14:paraId="066D32F8" w14:textId="77777777" w:rsidR="009948F1" w:rsidRDefault="00BC0563">
            <w:pPr>
              <w:pStyle w:val="TableParagraph"/>
              <w:ind w:left="187"/>
              <w:rPr>
                <w:b/>
                <w:sz w:val="15"/>
              </w:rPr>
            </w:pPr>
            <w:bookmarkStart w:id="149" w:name="Page_123"/>
            <w:bookmarkEnd w:id="149"/>
            <w:r>
              <w:rPr>
                <w:b/>
                <w:color w:val="231F20"/>
                <w:w w:val="90"/>
                <w:sz w:val="15"/>
              </w:rPr>
              <w:t>1.4</w:t>
            </w:r>
          </w:p>
        </w:tc>
        <w:tc>
          <w:tcPr>
            <w:tcW w:w="7422" w:type="dxa"/>
            <w:gridSpan w:val="5"/>
            <w:tcBorders>
              <w:right w:val="single" w:sz="8" w:space="0" w:color="231F20"/>
            </w:tcBorders>
            <w:shd w:val="clear" w:color="auto" w:fill="FFF200"/>
          </w:tcPr>
          <w:p w14:paraId="2648F583" w14:textId="77777777" w:rsidR="009948F1" w:rsidRDefault="009948F1">
            <w:pPr>
              <w:pStyle w:val="TableParagraph"/>
              <w:spacing w:before="3"/>
              <w:rPr>
                <w:b/>
                <w:sz w:val="14"/>
              </w:rPr>
            </w:pPr>
          </w:p>
          <w:p w14:paraId="57FF7CE1" w14:textId="77777777" w:rsidR="009948F1" w:rsidRDefault="00BC0563">
            <w:pPr>
              <w:pStyle w:val="TableParagraph"/>
              <w:ind w:left="58"/>
              <w:rPr>
                <w:b/>
                <w:sz w:val="15"/>
              </w:rPr>
            </w:pPr>
            <w:r>
              <w:rPr>
                <w:b/>
                <w:color w:val="231F20"/>
                <w:w w:val="90"/>
                <w:sz w:val="15"/>
              </w:rPr>
              <w:t>Strengthen coordination, harmonization and alignment at all levels</w:t>
            </w:r>
          </w:p>
        </w:tc>
        <w:tc>
          <w:tcPr>
            <w:tcW w:w="1528" w:type="dxa"/>
            <w:tcBorders>
              <w:left w:val="single" w:sz="8" w:space="0" w:color="231F20"/>
            </w:tcBorders>
            <w:shd w:val="clear" w:color="auto" w:fill="FFF200"/>
          </w:tcPr>
          <w:p w14:paraId="7F6698DA" w14:textId="77777777" w:rsidR="009948F1" w:rsidRDefault="009948F1">
            <w:pPr>
              <w:pStyle w:val="TableParagraph"/>
              <w:rPr>
                <w:rFonts w:ascii="Times New Roman"/>
                <w:sz w:val="12"/>
              </w:rPr>
            </w:pPr>
          </w:p>
        </w:tc>
      </w:tr>
      <w:tr w:rsidR="009948F1" w14:paraId="6E94E530" w14:textId="77777777">
        <w:trPr>
          <w:trHeight w:val="1998"/>
        </w:trPr>
        <w:tc>
          <w:tcPr>
            <w:tcW w:w="407" w:type="dxa"/>
            <w:tcBorders>
              <w:left w:val="single" w:sz="8" w:space="0" w:color="231F20"/>
              <w:bottom w:val="nil"/>
            </w:tcBorders>
          </w:tcPr>
          <w:p w14:paraId="71D47B0A" w14:textId="77777777" w:rsidR="009948F1" w:rsidRDefault="009948F1">
            <w:pPr>
              <w:pStyle w:val="TableParagraph"/>
              <w:rPr>
                <w:rFonts w:ascii="Times New Roman"/>
                <w:sz w:val="12"/>
              </w:rPr>
            </w:pPr>
          </w:p>
        </w:tc>
        <w:tc>
          <w:tcPr>
            <w:tcW w:w="462" w:type="dxa"/>
            <w:shd w:val="clear" w:color="auto" w:fill="CCE7D3"/>
          </w:tcPr>
          <w:p w14:paraId="7F811295" w14:textId="77777777" w:rsidR="009948F1" w:rsidRDefault="009948F1">
            <w:pPr>
              <w:pStyle w:val="TableParagraph"/>
              <w:rPr>
                <w:b/>
                <w:sz w:val="14"/>
              </w:rPr>
            </w:pPr>
          </w:p>
          <w:p w14:paraId="15B2EA53" w14:textId="77777777" w:rsidR="009948F1" w:rsidRDefault="009948F1">
            <w:pPr>
              <w:pStyle w:val="TableParagraph"/>
              <w:rPr>
                <w:b/>
                <w:sz w:val="14"/>
              </w:rPr>
            </w:pPr>
          </w:p>
          <w:p w14:paraId="0BD41FF0" w14:textId="77777777" w:rsidR="009948F1" w:rsidRDefault="009948F1">
            <w:pPr>
              <w:pStyle w:val="TableParagraph"/>
              <w:rPr>
                <w:b/>
                <w:sz w:val="14"/>
              </w:rPr>
            </w:pPr>
          </w:p>
          <w:p w14:paraId="63D9ECFD" w14:textId="77777777" w:rsidR="009948F1" w:rsidRDefault="009948F1">
            <w:pPr>
              <w:pStyle w:val="TableParagraph"/>
              <w:rPr>
                <w:b/>
                <w:sz w:val="14"/>
              </w:rPr>
            </w:pPr>
          </w:p>
          <w:p w14:paraId="3A658598" w14:textId="77777777" w:rsidR="009948F1" w:rsidRDefault="009948F1">
            <w:pPr>
              <w:pStyle w:val="TableParagraph"/>
              <w:rPr>
                <w:b/>
                <w:sz w:val="14"/>
              </w:rPr>
            </w:pPr>
          </w:p>
          <w:p w14:paraId="63C2F055" w14:textId="77777777" w:rsidR="009948F1" w:rsidRDefault="00BC0563">
            <w:pPr>
              <w:pStyle w:val="TableParagraph"/>
              <w:spacing w:before="108"/>
              <w:ind w:left="58"/>
              <w:rPr>
                <w:sz w:val="15"/>
              </w:rPr>
            </w:pPr>
            <w:r>
              <w:rPr>
                <w:color w:val="231F20"/>
                <w:w w:val="90"/>
                <w:sz w:val="15"/>
              </w:rPr>
              <w:t>1.4.1</w:t>
            </w:r>
          </w:p>
        </w:tc>
        <w:tc>
          <w:tcPr>
            <w:tcW w:w="3086" w:type="dxa"/>
            <w:gridSpan w:val="2"/>
            <w:shd w:val="clear" w:color="auto" w:fill="CCE7D3"/>
          </w:tcPr>
          <w:p w14:paraId="488ADE18" w14:textId="77777777" w:rsidR="009948F1" w:rsidRDefault="009948F1">
            <w:pPr>
              <w:pStyle w:val="TableParagraph"/>
              <w:rPr>
                <w:b/>
                <w:sz w:val="14"/>
              </w:rPr>
            </w:pPr>
          </w:p>
          <w:p w14:paraId="12772A2B" w14:textId="77777777" w:rsidR="009948F1" w:rsidRDefault="009948F1">
            <w:pPr>
              <w:pStyle w:val="TableParagraph"/>
              <w:rPr>
                <w:b/>
                <w:sz w:val="14"/>
              </w:rPr>
            </w:pPr>
          </w:p>
          <w:p w14:paraId="0099793C" w14:textId="77777777" w:rsidR="009948F1" w:rsidRDefault="009948F1">
            <w:pPr>
              <w:pStyle w:val="TableParagraph"/>
              <w:rPr>
                <w:b/>
                <w:sz w:val="14"/>
              </w:rPr>
            </w:pPr>
          </w:p>
          <w:p w14:paraId="1ACC9C76" w14:textId="77777777" w:rsidR="009948F1" w:rsidRDefault="009948F1">
            <w:pPr>
              <w:pStyle w:val="TableParagraph"/>
              <w:rPr>
                <w:b/>
                <w:sz w:val="14"/>
              </w:rPr>
            </w:pPr>
          </w:p>
          <w:p w14:paraId="369B0E0C" w14:textId="77777777" w:rsidR="009948F1" w:rsidRDefault="009948F1">
            <w:pPr>
              <w:pStyle w:val="TableParagraph"/>
              <w:spacing w:before="8"/>
              <w:rPr>
                <w:b/>
                <w:sz w:val="14"/>
              </w:rPr>
            </w:pPr>
          </w:p>
          <w:p w14:paraId="7576A3A8" w14:textId="77777777" w:rsidR="009948F1" w:rsidRDefault="00BC0563">
            <w:pPr>
              <w:pStyle w:val="TableParagraph"/>
              <w:spacing w:line="256" w:lineRule="auto"/>
              <w:ind w:left="25" w:right="44" w:firstLine="33"/>
              <w:rPr>
                <w:sz w:val="15"/>
              </w:rPr>
            </w:pPr>
            <w:r>
              <w:rPr>
                <w:color w:val="231F20"/>
                <w:w w:val="80"/>
                <w:sz w:val="15"/>
              </w:rPr>
              <w:t xml:space="preserve">Strengthen governance structures, rules and processes </w:t>
            </w:r>
            <w:r>
              <w:rPr>
                <w:color w:val="231F20"/>
                <w:w w:val="90"/>
                <w:sz w:val="15"/>
              </w:rPr>
              <w:t>at all levels</w:t>
            </w:r>
          </w:p>
        </w:tc>
        <w:tc>
          <w:tcPr>
            <w:tcW w:w="2423" w:type="dxa"/>
            <w:shd w:val="clear" w:color="auto" w:fill="CCE7D3"/>
          </w:tcPr>
          <w:p w14:paraId="63715C84" w14:textId="77777777" w:rsidR="009948F1" w:rsidRDefault="00BC0563">
            <w:pPr>
              <w:pStyle w:val="TableParagraph"/>
              <w:numPr>
                <w:ilvl w:val="0"/>
                <w:numId w:val="233"/>
              </w:numPr>
              <w:tabs>
                <w:tab w:val="left" w:pos="96"/>
              </w:tabs>
              <w:spacing w:before="78" w:line="256" w:lineRule="auto"/>
              <w:ind w:right="157" w:firstLine="0"/>
              <w:rPr>
                <w:sz w:val="15"/>
              </w:rPr>
            </w:pPr>
            <w:r>
              <w:rPr>
                <w:color w:val="231F20"/>
                <w:w w:val="85"/>
                <w:sz w:val="15"/>
              </w:rPr>
              <w:t>Activities</w:t>
            </w:r>
            <w:r>
              <w:rPr>
                <w:color w:val="231F20"/>
                <w:spacing w:val="-19"/>
                <w:w w:val="85"/>
                <w:sz w:val="15"/>
              </w:rPr>
              <w:t xml:space="preserve"> </w:t>
            </w:r>
            <w:r>
              <w:rPr>
                <w:color w:val="231F20"/>
                <w:w w:val="85"/>
                <w:sz w:val="15"/>
              </w:rPr>
              <w:t>of</w:t>
            </w:r>
            <w:r>
              <w:rPr>
                <w:color w:val="231F20"/>
                <w:spacing w:val="-18"/>
                <w:w w:val="85"/>
                <w:sz w:val="15"/>
              </w:rPr>
              <w:t xml:space="preserve"> </w:t>
            </w:r>
            <w:r>
              <w:rPr>
                <w:color w:val="231F20"/>
                <w:w w:val="85"/>
                <w:sz w:val="15"/>
              </w:rPr>
              <w:t>all</w:t>
            </w:r>
            <w:r>
              <w:rPr>
                <w:color w:val="231F20"/>
                <w:spacing w:val="-18"/>
                <w:w w:val="85"/>
                <w:sz w:val="15"/>
              </w:rPr>
              <w:t xml:space="preserve"> </w:t>
            </w:r>
            <w:r>
              <w:rPr>
                <w:color w:val="231F20"/>
                <w:w w:val="85"/>
                <w:sz w:val="15"/>
              </w:rPr>
              <w:t>health</w:t>
            </w:r>
            <w:r>
              <w:rPr>
                <w:color w:val="231F20"/>
                <w:spacing w:val="-18"/>
                <w:w w:val="85"/>
                <w:sz w:val="15"/>
              </w:rPr>
              <w:t xml:space="preserve"> </w:t>
            </w:r>
            <w:r>
              <w:rPr>
                <w:color w:val="231F20"/>
                <w:w w:val="85"/>
                <w:sz w:val="15"/>
              </w:rPr>
              <w:t>organs</w:t>
            </w:r>
            <w:r>
              <w:rPr>
                <w:color w:val="231F20"/>
                <w:spacing w:val="-18"/>
                <w:w w:val="85"/>
                <w:sz w:val="15"/>
              </w:rPr>
              <w:t xml:space="preserve"> </w:t>
            </w:r>
            <w:r>
              <w:rPr>
                <w:color w:val="231F20"/>
                <w:w w:val="85"/>
                <w:sz w:val="15"/>
              </w:rPr>
              <w:t>in</w:t>
            </w:r>
            <w:r>
              <w:rPr>
                <w:color w:val="231F20"/>
                <w:spacing w:val="-18"/>
                <w:w w:val="85"/>
                <w:sz w:val="15"/>
              </w:rPr>
              <w:t xml:space="preserve"> </w:t>
            </w:r>
            <w:r>
              <w:rPr>
                <w:color w:val="231F20"/>
                <w:w w:val="85"/>
                <w:sz w:val="15"/>
              </w:rPr>
              <w:t>the</w:t>
            </w:r>
            <w:r>
              <w:rPr>
                <w:color w:val="231F20"/>
                <w:spacing w:val="-18"/>
                <w:w w:val="85"/>
                <w:sz w:val="15"/>
              </w:rPr>
              <w:t xml:space="preserve"> </w:t>
            </w:r>
            <w:r>
              <w:rPr>
                <w:color w:val="231F20"/>
                <w:w w:val="85"/>
                <w:sz w:val="15"/>
              </w:rPr>
              <w:t>state coordinated</w:t>
            </w:r>
            <w:r>
              <w:rPr>
                <w:color w:val="231F20"/>
                <w:spacing w:val="-18"/>
                <w:w w:val="85"/>
                <w:sz w:val="15"/>
              </w:rPr>
              <w:t xml:space="preserve"> </w:t>
            </w:r>
            <w:r>
              <w:rPr>
                <w:color w:val="231F20"/>
                <w:w w:val="85"/>
                <w:sz w:val="15"/>
              </w:rPr>
              <w:t>by</w:t>
            </w:r>
            <w:r>
              <w:rPr>
                <w:color w:val="231F20"/>
                <w:spacing w:val="-18"/>
                <w:w w:val="85"/>
                <w:sz w:val="15"/>
              </w:rPr>
              <w:t xml:space="preserve"> </w:t>
            </w:r>
            <w:r>
              <w:rPr>
                <w:color w:val="231F20"/>
                <w:w w:val="85"/>
                <w:sz w:val="15"/>
              </w:rPr>
              <w:t>the</w:t>
            </w:r>
            <w:r>
              <w:rPr>
                <w:color w:val="231F20"/>
                <w:spacing w:val="-18"/>
                <w:w w:val="85"/>
                <w:sz w:val="15"/>
              </w:rPr>
              <w:t xml:space="preserve"> </w:t>
            </w:r>
            <w:r>
              <w:rPr>
                <w:color w:val="231F20"/>
                <w:w w:val="85"/>
                <w:sz w:val="15"/>
              </w:rPr>
              <w:t>SMOH</w:t>
            </w:r>
            <w:r>
              <w:rPr>
                <w:color w:val="231F20"/>
                <w:spacing w:val="-18"/>
                <w:w w:val="85"/>
                <w:sz w:val="15"/>
              </w:rPr>
              <w:t xml:space="preserve"> </w:t>
            </w:r>
            <w:r>
              <w:rPr>
                <w:color w:val="231F20"/>
                <w:w w:val="85"/>
                <w:sz w:val="15"/>
              </w:rPr>
              <w:t>and</w:t>
            </w:r>
            <w:r>
              <w:rPr>
                <w:color w:val="231F20"/>
                <w:spacing w:val="-18"/>
                <w:w w:val="85"/>
                <w:sz w:val="15"/>
              </w:rPr>
              <w:t xml:space="preserve"> </w:t>
            </w:r>
            <w:r>
              <w:rPr>
                <w:color w:val="231F20"/>
                <w:w w:val="85"/>
                <w:sz w:val="15"/>
              </w:rPr>
              <w:t xml:space="preserve">meetings </w:t>
            </w:r>
            <w:r>
              <w:rPr>
                <w:color w:val="231F20"/>
                <w:w w:val="90"/>
                <w:sz w:val="15"/>
              </w:rPr>
              <w:t>funded</w:t>
            </w:r>
          </w:p>
          <w:p w14:paraId="0EF710CB" w14:textId="77777777" w:rsidR="009948F1" w:rsidRDefault="00BC0563">
            <w:pPr>
              <w:pStyle w:val="TableParagraph"/>
              <w:numPr>
                <w:ilvl w:val="0"/>
                <w:numId w:val="233"/>
              </w:numPr>
              <w:tabs>
                <w:tab w:val="left" w:pos="103"/>
              </w:tabs>
              <w:spacing w:before="2" w:line="256" w:lineRule="auto"/>
              <w:ind w:right="92" w:firstLine="0"/>
              <w:rPr>
                <w:sz w:val="15"/>
              </w:rPr>
            </w:pPr>
            <w:r>
              <w:rPr>
                <w:color w:val="231F20"/>
                <w:w w:val="85"/>
                <w:sz w:val="15"/>
              </w:rPr>
              <w:t>Coordinating</w:t>
            </w:r>
            <w:r>
              <w:rPr>
                <w:color w:val="231F20"/>
                <w:spacing w:val="-21"/>
                <w:w w:val="85"/>
                <w:sz w:val="15"/>
              </w:rPr>
              <w:t xml:space="preserve"> </w:t>
            </w:r>
            <w:r>
              <w:rPr>
                <w:color w:val="231F20"/>
                <w:w w:val="85"/>
                <w:sz w:val="15"/>
              </w:rPr>
              <w:t>structures</w:t>
            </w:r>
            <w:r>
              <w:rPr>
                <w:color w:val="231F20"/>
                <w:spacing w:val="-21"/>
                <w:w w:val="85"/>
                <w:sz w:val="15"/>
              </w:rPr>
              <w:t xml:space="preserve"> </w:t>
            </w:r>
            <w:r>
              <w:rPr>
                <w:color w:val="231F20"/>
                <w:w w:val="85"/>
                <w:sz w:val="15"/>
              </w:rPr>
              <w:t>for</w:t>
            </w:r>
            <w:r>
              <w:rPr>
                <w:color w:val="231F20"/>
                <w:spacing w:val="-21"/>
                <w:w w:val="85"/>
                <w:sz w:val="15"/>
              </w:rPr>
              <w:t xml:space="preserve"> </w:t>
            </w:r>
            <w:r>
              <w:rPr>
                <w:color w:val="231F20"/>
                <w:w w:val="85"/>
                <w:sz w:val="15"/>
              </w:rPr>
              <w:t xml:space="preserve">professional </w:t>
            </w:r>
            <w:r>
              <w:rPr>
                <w:color w:val="231F20"/>
                <w:w w:val="80"/>
                <w:sz w:val="15"/>
              </w:rPr>
              <w:t xml:space="preserve">bodies-government interface, development </w:t>
            </w:r>
            <w:r>
              <w:rPr>
                <w:color w:val="231F20"/>
                <w:w w:val="85"/>
                <w:sz w:val="15"/>
              </w:rPr>
              <w:t>partners,</w:t>
            </w:r>
            <w:r>
              <w:rPr>
                <w:color w:val="231F20"/>
                <w:spacing w:val="-21"/>
                <w:w w:val="85"/>
                <w:sz w:val="15"/>
              </w:rPr>
              <w:t xml:space="preserve"> </w:t>
            </w:r>
            <w:r>
              <w:rPr>
                <w:color w:val="231F20"/>
                <w:w w:val="85"/>
                <w:sz w:val="15"/>
              </w:rPr>
              <w:t>intersectoral</w:t>
            </w:r>
            <w:r>
              <w:rPr>
                <w:color w:val="231F20"/>
                <w:spacing w:val="-21"/>
                <w:w w:val="85"/>
                <w:sz w:val="15"/>
              </w:rPr>
              <w:t xml:space="preserve"> </w:t>
            </w:r>
            <w:r>
              <w:rPr>
                <w:color w:val="231F20"/>
                <w:w w:val="85"/>
                <w:sz w:val="15"/>
              </w:rPr>
              <w:t>collaboration</w:t>
            </w:r>
            <w:r>
              <w:rPr>
                <w:color w:val="231F20"/>
                <w:spacing w:val="-21"/>
                <w:w w:val="85"/>
                <w:sz w:val="15"/>
              </w:rPr>
              <w:t xml:space="preserve"> </w:t>
            </w:r>
            <w:proofErr w:type="spellStart"/>
            <w:r>
              <w:rPr>
                <w:color w:val="231F20"/>
                <w:w w:val="85"/>
                <w:sz w:val="15"/>
              </w:rPr>
              <w:t>etc</w:t>
            </w:r>
            <w:proofErr w:type="spellEnd"/>
            <w:r>
              <w:rPr>
                <w:color w:val="231F20"/>
                <w:spacing w:val="-20"/>
                <w:w w:val="85"/>
                <w:sz w:val="15"/>
              </w:rPr>
              <w:t xml:space="preserve"> </w:t>
            </w:r>
            <w:r>
              <w:rPr>
                <w:color w:val="231F20"/>
                <w:w w:val="85"/>
                <w:sz w:val="15"/>
              </w:rPr>
              <w:t xml:space="preserve">in </w:t>
            </w:r>
            <w:r>
              <w:rPr>
                <w:color w:val="231F20"/>
                <w:w w:val="90"/>
                <w:sz w:val="15"/>
              </w:rPr>
              <w:t>place and</w:t>
            </w:r>
            <w:r>
              <w:rPr>
                <w:color w:val="231F20"/>
                <w:spacing w:val="-16"/>
                <w:w w:val="90"/>
                <w:sz w:val="15"/>
              </w:rPr>
              <w:t xml:space="preserve"> </w:t>
            </w:r>
            <w:r>
              <w:rPr>
                <w:color w:val="231F20"/>
                <w:w w:val="90"/>
                <w:sz w:val="15"/>
              </w:rPr>
              <w:t>functional</w:t>
            </w:r>
          </w:p>
          <w:p w14:paraId="374BF13F" w14:textId="77777777" w:rsidR="009948F1" w:rsidRDefault="00BC0563">
            <w:pPr>
              <w:pStyle w:val="TableParagraph"/>
              <w:numPr>
                <w:ilvl w:val="0"/>
                <w:numId w:val="233"/>
              </w:numPr>
              <w:tabs>
                <w:tab w:val="left" w:pos="103"/>
              </w:tabs>
              <w:spacing w:before="3" w:line="256" w:lineRule="auto"/>
              <w:ind w:right="76" w:firstLine="0"/>
              <w:rPr>
                <w:sz w:val="15"/>
              </w:rPr>
            </w:pPr>
            <w:r>
              <w:rPr>
                <w:color w:val="231F20"/>
                <w:w w:val="80"/>
                <w:sz w:val="15"/>
              </w:rPr>
              <w:t xml:space="preserve">Policies and guidelines to regulate private </w:t>
            </w:r>
            <w:r>
              <w:rPr>
                <w:color w:val="231F20"/>
                <w:w w:val="90"/>
                <w:sz w:val="15"/>
              </w:rPr>
              <w:t>Health practice in the state reviewed &amp; implemented</w:t>
            </w:r>
          </w:p>
        </w:tc>
        <w:tc>
          <w:tcPr>
            <w:tcW w:w="1451" w:type="dxa"/>
            <w:tcBorders>
              <w:right w:val="single" w:sz="8" w:space="0" w:color="231F20"/>
            </w:tcBorders>
            <w:shd w:val="clear" w:color="auto" w:fill="CCE7D3"/>
          </w:tcPr>
          <w:p w14:paraId="7772CBE2"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0A04A0AE" w14:textId="77777777" w:rsidR="009948F1" w:rsidRDefault="009948F1">
            <w:pPr>
              <w:pStyle w:val="TableParagraph"/>
              <w:rPr>
                <w:rFonts w:ascii="Times New Roman"/>
                <w:sz w:val="12"/>
              </w:rPr>
            </w:pPr>
          </w:p>
        </w:tc>
      </w:tr>
      <w:tr w:rsidR="009948F1" w14:paraId="02F29032" w14:textId="77777777">
        <w:trPr>
          <w:trHeight w:val="540"/>
        </w:trPr>
        <w:tc>
          <w:tcPr>
            <w:tcW w:w="869" w:type="dxa"/>
            <w:gridSpan w:val="2"/>
            <w:vMerge w:val="restart"/>
            <w:tcBorders>
              <w:top w:val="nil"/>
              <w:left w:val="single" w:sz="8" w:space="0" w:color="231F20"/>
              <w:bottom w:val="nil"/>
            </w:tcBorders>
          </w:tcPr>
          <w:p w14:paraId="61294232" w14:textId="77777777" w:rsidR="009948F1" w:rsidRDefault="009948F1">
            <w:pPr>
              <w:pStyle w:val="TableParagraph"/>
              <w:rPr>
                <w:rFonts w:ascii="Times New Roman"/>
                <w:sz w:val="12"/>
              </w:rPr>
            </w:pPr>
          </w:p>
        </w:tc>
        <w:tc>
          <w:tcPr>
            <w:tcW w:w="534" w:type="dxa"/>
          </w:tcPr>
          <w:p w14:paraId="06DD5767" w14:textId="77777777" w:rsidR="009948F1" w:rsidRDefault="009948F1">
            <w:pPr>
              <w:pStyle w:val="TableParagraph"/>
              <w:rPr>
                <w:b/>
                <w:sz w:val="16"/>
              </w:rPr>
            </w:pPr>
          </w:p>
          <w:p w14:paraId="746EB8B9" w14:textId="77777777" w:rsidR="009948F1" w:rsidRDefault="00BC0563">
            <w:pPr>
              <w:pStyle w:val="TableParagraph"/>
              <w:ind w:left="33" w:right="12"/>
              <w:jc w:val="center"/>
              <w:rPr>
                <w:sz w:val="15"/>
              </w:rPr>
            </w:pPr>
            <w:r>
              <w:rPr>
                <w:color w:val="231F20"/>
                <w:w w:val="85"/>
                <w:sz w:val="15"/>
              </w:rPr>
              <w:t>1.4.1.a</w:t>
            </w:r>
          </w:p>
        </w:tc>
        <w:tc>
          <w:tcPr>
            <w:tcW w:w="4975" w:type="dxa"/>
            <w:gridSpan w:val="2"/>
          </w:tcPr>
          <w:p w14:paraId="56B174C9" w14:textId="77777777" w:rsidR="009948F1" w:rsidRDefault="00BC0563">
            <w:pPr>
              <w:pStyle w:val="TableParagraph"/>
              <w:spacing w:before="84" w:line="256" w:lineRule="auto"/>
              <w:ind w:left="25" w:right="83"/>
              <w:rPr>
                <w:sz w:val="15"/>
              </w:rPr>
            </w:pPr>
            <w:r>
              <w:rPr>
                <w:color w:val="231F20"/>
                <w:w w:val="85"/>
                <w:sz w:val="15"/>
              </w:rPr>
              <w:t>Coordinate</w:t>
            </w:r>
            <w:r>
              <w:rPr>
                <w:color w:val="231F20"/>
                <w:spacing w:val="-24"/>
                <w:w w:val="85"/>
                <w:sz w:val="15"/>
              </w:rPr>
              <w:t xml:space="preserve"> </w:t>
            </w:r>
            <w:r>
              <w:rPr>
                <w:color w:val="231F20"/>
                <w:w w:val="85"/>
                <w:sz w:val="15"/>
              </w:rPr>
              <w:t>activities</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State</w:t>
            </w:r>
            <w:r>
              <w:rPr>
                <w:color w:val="231F20"/>
                <w:spacing w:val="-23"/>
                <w:w w:val="85"/>
                <w:sz w:val="15"/>
              </w:rPr>
              <w:t xml:space="preserve"> </w:t>
            </w:r>
            <w:r>
              <w:rPr>
                <w:color w:val="231F20"/>
                <w:w w:val="85"/>
                <w:sz w:val="15"/>
              </w:rPr>
              <w:t>Primary</w:t>
            </w:r>
            <w:r>
              <w:rPr>
                <w:color w:val="231F20"/>
                <w:spacing w:val="-23"/>
                <w:w w:val="85"/>
                <w:sz w:val="15"/>
              </w:rPr>
              <w:t xml:space="preserve"> </w:t>
            </w:r>
            <w:r>
              <w:rPr>
                <w:color w:val="231F20"/>
                <w:w w:val="85"/>
                <w:sz w:val="15"/>
              </w:rPr>
              <w:t>Health</w:t>
            </w:r>
            <w:r>
              <w:rPr>
                <w:color w:val="231F20"/>
                <w:spacing w:val="-23"/>
                <w:w w:val="85"/>
                <w:sz w:val="15"/>
              </w:rPr>
              <w:t xml:space="preserve"> </w:t>
            </w:r>
            <w:r>
              <w:rPr>
                <w:color w:val="231F20"/>
                <w:w w:val="85"/>
                <w:sz w:val="15"/>
              </w:rPr>
              <w:t>Care</w:t>
            </w:r>
            <w:r>
              <w:rPr>
                <w:color w:val="231F20"/>
                <w:spacing w:val="-24"/>
                <w:w w:val="85"/>
                <w:sz w:val="15"/>
              </w:rPr>
              <w:t xml:space="preserve"> </w:t>
            </w:r>
            <w:r>
              <w:rPr>
                <w:color w:val="231F20"/>
                <w:w w:val="85"/>
                <w:sz w:val="15"/>
              </w:rPr>
              <w:t>Management</w:t>
            </w:r>
            <w:r>
              <w:rPr>
                <w:color w:val="231F20"/>
                <w:spacing w:val="-23"/>
                <w:w w:val="85"/>
                <w:sz w:val="15"/>
              </w:rPr>
              <w:t xml:space="preserve"> </w:t>
            </w:r>
            <w:r>
              <w:rPr>
                <w:color w:val="231F20"/>
                <w:w w:val="85"/>
                <w:sz w:val="15"/>
              </w:rPr>
              <w:t>Board</w:t>
            </w:r>
            <w:r>
              <w:rPr>
                <w:color w:val="231F20"/>
                <w:spacing w:val="-23"/>
                <w:w w:val="85"/>
                <w:sz w:val="15"/>
              </w:rPr>
              <w:t xml:space="preserve"> </w:t>
            </w:r>
            <w:r>
              <w:rPr>
                <w:color w:val="231F20"/>
                <w:w w:val="85"/>
                <w:sz w:val="15"/>
              </w:rPr>
              <w:t>and</w:t>
            </w:r>
            <w:r>
              <w:rPr>
                <w:color w:val="231F20"/>
                <w:spacing w:val="-23"/>
                <w:w w:val="85"/>
                <w:sz w:val="15"/>
              </w:rPr>
              <w:t xml:space="preserve"> </w:t>
            </w:r>
            <w:r>
              <w:rPr>
                <w:color w:val="231F20"/>
                <w:w w:val="85"/>
                <w:sz w:val="15"/>
              </w:rPr>
              <w:t>other</w:t>
            </w:r>
            <w:r>
              <w:rPr>
                <w:color w:val="231F20"/>
                <w:spacing w:val="-23"/>
                <w:w w:val="85"/>
                <w:sz w:val="15"/>
              </w:rPr>
              <w:t xml:space="preserve"> </w:t>
            </w:r>
            <w:r>
              <w:rPr>
                <w:color w:val="231F20"/>
                <w:w w:val="85"/>
                <w:sz w:val="15"/>
              </w:rPr>
              <w:t>organs</w:t>
            </w:r>
            <w:r>
              <w:rPr>
                <w:color w:val="231F20"/>
                <w:spacing w:val="-23"/>
                <w:w w:val="85"/>
                <w:sz w:val="15"/>
              </w:rPr>
              <w:t xml:space="preserve"> </w:t>
            </w:r>
            <w:r>
              <w:rPr>
                <w:color w:val="231F20"/>
                <w:w w:val="85"/>
                <w:sz w:val="15"/>
              </w:rPr>
              <w:t xml:space="preserve">of </w:t>
            </w:r>
            <w:r>
              <w:rPr>
                <w:color w:val="231F20"/>
                <w:w w:val="90"/>
                <w:sz w:val="15"/>
              </w:rPr>
              <w:t>health</w:t>
            </w:r>
            <w:r>
              <w:rPr>
                <w:color w:val="231F20"/>
                <w:spacing w:val="-7"/>
                <w:w w:val="90"/>
                <w:sz w:val="15"/>
              </w:rPr>
              <w:t xml:space="preserve"> </w:t>
            </w:r>
            <w:r>
              <w:rPr>
                <w:color w:val="231F20"/>
                <w:w w:val="90"/>
                <w:sz w:val="15"/>
              </w:rPr>
              <w:t>in</w:t>
            </w:r>
            <w:r>
              <w:rPr>
                <w:color w:val="231F20"/>
                <w:spacing w:val="-7"/>
                <w:w w:val="90"/>
                <w:sz w:val="15"/>
              </w:rPr>
              <w:t xml:space="preserve"> </w:t>
            </w:r>
            <w:r>
              <w:rPr>
                <w:color w:val="231F20"/>
                <w:w w:val="90"/>
                <w:sz w:val="15"/>
              </w:rPr>
              <w:t>the</w:t>
            </w:r>
            <w:r>
              <w:rPr>
                <w:color w:val="231F20"/>
                <w:spacing w:val="-7"/>
                <w:w w:val="90"/>
                <w:sz w:val="15"/>
              </w:rPr>
              <w:t xml:space="preserve"> </w:t>
            </w:r>
            <w:r>
              <w:rPr>
                <w:color w:val="231F20"/>
                <w:w w:val="90"/>
                <w:sz w:val="15"/>
              </w:rPr>
              <w:t>State</w:t>
            </w:r>
            <w:r>
              <w:rPr>
                <w:color w:val="231F20"/>
                <w:spacing w:val="-6"/>
                <w:w w:val="90"/>
                <w:sz w:val="15"/>
              </w:rPr>
              <w:t xml:space="preserve"> </w:t>
            </w:r>
            <w:r>
              <w:rPr>
                <w:color w:val="231F20"/>
                <w:w w:val="90"/>
                <w:sz w:val="15"/>
              </w:rPr>
              <w:t>by</w:t>
            </w:r>
            <w:r>
              <w:rPr>
                <w:color w:val="231F20"/>
                <w:spacing w:val="-7"/>
                <w:w w:val="90"/>
                <w:sz w:val="15"/>
              </w:rPr>
              <w:t xml:space="preserve"> </w:t>
            </w:r>
            <w:r>
              <w:rPr>
                <w:color w:val="231F20"/>
                <w:w w:val="90"/>
                <w:sz w:val="15"/>
              </w:rPr>
              <w:t>the</w:t>
            </w:r>
            <w:r>
              <w:rPr>
                <w:color w:val="231F20"/>
                <w:spacing w:val="-7"/>
                <w:w w:val="90"/>
                <w:sz w:val="15"/>
              </w:rPr>
              <w:t xml:space="preserve"> </w:t>
            </w:r>
            <w:r>
              <w:rPr>
                <w:color w:val="231F20"/>
                <w:w w:val="90"/>
                <w:sz w:val="15"/>
              </w:rPr>
              <w:t>SMOH</w:t>
            </w:r>
          </w:p>
        </w:tc>
        <w:tc>
          <w:tcPr>
            <w:tcW w:w="1451" w:type="dxa"/>
            <w:tcBorders>
              <w:right w:val="single" w:sz="8" w:space="0" w:color="231F20"/>
            </w:tcBorders>
          </w:tcPr>
          <w:p w14:paraId="70DA2C4B" w14:textId="77777777" w:rsidR="009948F1" w:rsidRDefault="009948F1">
            <w:pPr>
              <w:pStyle w:val="TableParagraph"/>
              <w:rPr>
                <w:b/>
                <w:sz w:val="16"/>
              </w:rPr>
            </w:pPr>
          </w:p>
          <w:p w14:paraId="7CE21AF3" w14:textId="77777777" w:rsidR="009948F1" w:rsidRDefault="00BC0563">
            <w:pPr>
              <w:pStyle w:val="TableParagraph"/>
              <w:ind w:left="26"/>
              <w:rPr>
                <w:sz w:val="15"/>
              </w:rPr>
            </w:pPr>
            <w:r>
              <w:rPr>
                <w:color w:val="231F20"/>
                <w:w w:val="90"/>
                <w:sz w:val="15"/>
              </w:rPr>
              <w:t>Lack of funds</w:t>
            </w:r>
          </w:p>
        </w:tc>
        <w:tc>
          <w:tcPr>
            <w:tcW w:w="1528" w:type="dxa"/>
            <w:tcBorders>
              <w:left w:val="single" w:sz="8" w:space="0" w:color="231F20"/>
            </w:tcBorders>
          </w:tcPr>
          <w:p w14:paraId="0930D717" w14:textId="77777777" w:rsidR="009948F1" w:rsidRDefault="009948F1">
            <w:pPr>
              <w:pStyle w:val="TableParagraph"/>
              <w:rPr>
                <w:b/>
                <w:sz w:val="16"/>
              </w:rPr>
            </w:pPr>
          </w:p>
          <w:p w14:paraId="31B835BE" w14:textId="77777777" w:rsidR="009948F1" w:rsidRDefault="00BC0563">
            <w:pPr>
              <w:pStyle w:val="TableParagraph"/>
              <w:ind w:left="23"/>
              <w:rPr>
                <w:sz w:val="15"/>
              </w:rPr>
            </w:pPr>
            <w:r>
              <w:rPr>
                <w:color w:val="231F20"/>
                <w:w w:val="90"/>
                <w:sz w:val="15"/>
              </w:rPr>
              <w:t>No cost</w:t>
            </w:r>
          </w:p>
        </w:tc>
      </w:tr>
      <w:tr w:rsidR="009948F1" w14:paraId="5F4BF8E0" w14:textId="77777777">
        <w:trPr>
          <w:trHeight w:val="344"/>
        </w:trPr>
        <w:tc>
          <w:tcPr>
            <w:tcW w:w="869" w:type="dxa"/>
            <w:gridSpan w:val="2"/>
            <w:vMerge/>
            <w:tcBorders>
              <w:top w:val="nil"/>
              <w:left w:val="single" w:sz="8" w:space="0" w:color="231F20"/>
              <w:bottom w:val="nil"/>
            </w:tcBorders>
          </w:tcPr>
          <w:p w14:paraId="2E927D4C" w14:textId="77777777" w:rsidR="009948F1" w:rsidRDefault="009948F1">
            <w:pPr>
              <w:rPr>
                <w:sz w:val="2"/>
                <w:szCs w:val="2"/>
              </w:rPr>
            </w:pPr>
          </w:p>
        </w:tc>
        <w:tc>
          <w:tcPr>
            <w:tcW w:w="534" w:type="dxa"/>
          </w:tcPr>
          <w:p w14:paraId="44DD89C1" w14:textId="77777777" w:rsidR="009948F1" w:rsidRDefault="00BC0563">
            <w:pPr>
              <w:pStyle w:val="TableParagraph"/>
              <w:spacing w:before="86"/>
              <w:ind w:left="33" w:right="12"/>
              <w:jc w:val="center"/>
              <w:rPr>
                <w:sz w:val="15"/>
              </w:rPr>
            </w:pPr>
            <w:r>
              <w:rPr>
                <w:color w:val="231F20"/>
                <w:w w:val="85"/>
                <w:sz w:val="15"/>
              </w:rPr>
              <w:t>1.4.1.b</w:t>
            </w:r>
          </w:p>
        </w:tc>
        <w:tc>
          <w:tcPr>
            <w:tcW w:w="4975" w:type="dxa"/>
            <w:gridSpan w:val="2"/>
          </w:tcPr>
          <w:p w14:paraId="01FA83FD" w14:textId="77777777" w:rsidR="009948F1" w:rsidRDefault="00BC0563">
            <w:pPr>
              <w:pStyle w:val="TableParagraph"/>
              <w:spacing w:before="80"/>
              <w:ind w:left="25"/>
              <w:rPr>
                <w:sz w:val="15"/>
              </w:rPr>
            </w:pPr>
            <w:r>
              <w:rPr>
                <w:color w:val="231F20"/>
                <w:w w:val="90"/>
                <w:sz w:val="15"/>
              </w:rPr>
              <w:t>Fund coordinating meetings of Boards and relevant bodies of MDAs</w:t>
            </w:r>
          </w:p>
        </w:tc>
        <w:tc>
          <w:tcPr>
            <w:tcW w:w="1451" w:type="dxa"/>
            <w:tcBorders>
              <w:right w:val="single" w:sz="8" w:space="0" w:color="231F20"/>
            </w:tcBorders>
          </w:tcPr>
          <w:p w14:paraId="02A63058" w14:textId="77777777" w:rsidR="009948F1" w:rsidRDefault="00BC0563">
            <w:pPr>
              <w:pStyle w:val="TableParagraph"/>
              <w:spacing w:before="86"/>
              <w:ind w:left="26"/>
              <w:rPr>
                <w:sz w:val="15"/>
              </w:rPr>
            </w:pPr>
            <w:r>
              <w:rPr>
                <w:color w:val="231F20"/>
                <w:w w:val="90"/>
                <w:sz w:val="15"/>
              </w:rPr>
              <w:t>Lack of funds</w:t>
            </w:r>
          </w:p>
        </w:tc>
        <w:tc>
          <w:tcPr>
            <w:tcW w:w="1528" w:type="dxa"/>
            <w:tcBorders>
              <w:left w:val="single" w:sz="8" w:space="0" w:color="231F20"/>
            </w:tcBorders>
          </w:tcPr>
          <w:p w14:paraId="3C9952A0" w14:textId="77777777" w:rsidR="009948F1" w:rsidRDefault="00BC0563">
            <w:pPr>
              <w:pStyle w:val="TableParagraph"/>
              <w:spacing w:line="171" w:lineRule="exact"/>
              <w:ind w:left="23"/>
              <w:rPr>
                <w:sz w:val="15"/>
              </w:rPr>
            </w:pPr>
            <w:r>
              <w:rPr>
                <w:color w:val="231F20"/>
                <w:w w:val="90"/>
                <w:sz w:val="15"/>
              </w:rPr>
              <w:t>Fund coordinating</w:t>
            </w:r>
          </w:p>
          <w:p w14:paraId="61038681" w14:textId="77777777" w:rsidR="009948F1" w:rsidRDefault="00BC0563">
            <w:pPr>
              <w:pStyle w:val="TableParagraph"/>
              <w:spacing w:before="12" w:line="141" w:lineRule="exact"/>
              <w:ind w:left="23"/>
              <w:rPr>
                <w:sz w:val="15"/>
              </w:rPr>
            </w:pPr>
            <w:r>
              <w:rPr>
                <w:color w:val="231F20"/>
                <w:w w:val="90"/>
                <w:sz w:val="15"/>
              </w:rPr>
              <w:t>meetings</w:t>
            </w:r>
          </w:p>
        </w:tc>
      </w:tr>
      <w:tr w:rsidR="009948F1" w14:paraId="79E99E26" w14:textId="77777777">
        <w:trPr>
          <w:trHeight w:val="362"/>
        </w:trPr>
        <w:tc>
          <w:tcPr>
            <w:tcW w:w="869" w:type="dxa"/>
            <w:gridSpan w:val="2"/>
            <w:vMerge/>
            <w:tcBorders>
              <w:top w:val="nil"/>
              <w:left w:val="single" w:sz="8" w:space="0" w:color="231F20"/>
              <w:bottom w:val="nil"/>
            </w:tcBorders>
          </w:tcPr>
          <w:p w14:paraId="00978671" w14:textId="77777777" w:rsidR="009948F1" w:rsidRDefault="009948F1">
            <w:pPr>
              <w:rPr>
                <w:sz w:val="2"/>
                <w:szCs w:val="2"/>
              </w:rPr>
            </w:pPr>
          </w:p>
        </w:tc>
        <w:tc>
          <w:tcPr>
            <w:tcW w:w="534" w:type="dxa"/>
          </w:tcPr>
          <w:p w14:paraId="500D4117" w14:textId="77777777" w:rsidR="009948F1" w:rsidRDefault="00BC0563">
            <w:pPr>
              <w:pStyle w:val="TableParagraph"/>
              <w:spacing w:before="95"/>
              <w:ind w:left="33" w:right="12"/>
              <w:jc w:val="center"/>
              <w:rPr>
                <w:sz w:val="15"/>
              </w:rPr>
            </w:pPr>
            <w:r>
              <w:rPr>
                <w:color w:val="231F20"/>
                <w:w w:val="90"/>
                <w:sz w:val="15"/>
              </w:rPr>
              <w:t>1.4.1.c</w:t>
            </w:r>
          </w:p>
        </w:tc>
        <w:tc>
          <w:tcPr>
            <w:tcW w:w="4975" w:type="dxa"/>
            <w:gridSpan w:val="2"/>
          </w:tcPr>
          <w:p w14:paraId="2786F75C" w14:textId="77777777" w:rsidR="009948F1" w:rsidRDefault="00BC0563">
            <w:pPr>
              <w:pStyle w:val="TableParagraph"/>
              <w:spacing w:line="171" w:lineRule="exact"/>
              <w:ind w:left="25"/>
              <w:rPr>
                <w:sz w:val="15"/>
              </w:rPr>
            </w:pPr>
            <w:r>
              <w:rPr>
                <w:color w:val="231F20"/>
                <w:w w:val="90"/>
                <w:sz w:val="15"/>
              </w:rPr>
              <w:t>Establish/strengthening functional coordinating structures for professional bodies-</w:t>
            </w:r>
          </w:p>
          <w:p w14:paraId="7FCC47DB" w14:textId="2A5CEDED" w:rsidR="009948F1" w:rsidRDefault="00BC0563">
            <w:pPr>
              <w:pStyle w:val="TableParagraph"/>
              <w:spacing w:before="12" w:line="159" w:lineRule="exact"/>
              <w:ind w:left="25"/>
              <w:rPr>
                <w:sz w:val="15"/>
              </w:rPr>
            </w:pPr>
            <w:r>
              <w:rPr>
                <w:color w:val="231F20"/>
                <w:w w:val="90"/>
                <w:sz w:val="15"/>
              </w:rPr>
              <w:t xml:space="preserve">government interface, development partners, intersectoral collaboration </w:t>
            </w:r>
            <w:r w:rsidR="00C84576">
              <w:rPr>
                <w:color w:val="231F20"/>
                <w:w w:val="90"/>
                <w:sz w:val="15"/>
              </w:rPr>
              <w:t>etc.</w:t>
            </w:r>
          </w:p>
        </w:tc>
        <w:tc>
          <w:tcPr>
            <w:tcW w:w="1451" w:type="dxa"/>
            <w:tcBorders>
              <w:right w:val="single" w:sz="8" w:space="0" w:color="231F20"/>
            </w:tcBorders>
          </w:tcPr>
          <w:p w14:paraId="5AED88AE" w14:textId="77777777" w:rsidR="009948F1" w:rsidRDefault="00BC0563">
            <w:pPr>
              <w:pStyle w:val="TableParagraph"/>
              <w:spacing w:before="95"/>
              <w:ind w:left="26"/>
              <w:rPr>
                <w:sz w:val="15"/>
              </w:rPr>
            </w:pPr>
            <w:r>
              <w:rPr>
                <w:color w:val="231F20"/>
                <w:w w:val="90"/>
                <w:sz w:val="15"/>
              </w:rPr>
              <w:t>Lack of funds</w:t>
            </w:r>
          </w:p>
        </w:tc>
        <w:tc>
          <w:tcPr>
            <w:tcW w:w="1528" w:type="dxa"/>
            <w:tcBorders>
              <w:left w:val="single" w:sz="8" w:space="0" w:color="231F20"/>
            </w:tcBorders>
          </w:tcPr>
          <w:p w14:paraId="65A1593E" w14:textId="77777777" w:rsidR="009948F1" w:rsidRDefault="00BC0563">
            <w:pPr>
              <w:pStyle w:val="TableParagraph"/>
              <w:spacing w:before="95"/>
              <w:ind w:left="23"/>
              <w:rPr>
                <w:sz w:val="15"/>
              </w:rPr>
            </w:pPr>
            <w:r>
              <w:rPr>
                <w:color w:val="231F20"/>
                <w:w w:val="90"/>
                <w:sz w:val="15"/>
              </w:rPr>
              <w:t>No cost</w:t>
            </w:r>
          </w:p>
        </w:tc>
      </w:tr>
      <w:tr w:rsidR="009948F1" w14:paraId="41DD0ECD" w14:textId="77777777">
        <w:trPr>
          <w:trHeight w:val="371"/>
        </w:trPr>
        <w:tc>
          <w:tcPr>
            <w:tcW w:w="869" w:type="dxa"/>
            <w:gridSpan w:val="2"/>
            <w:vMerge/>
            <w:tcBorders>
              <w:top w:val="nil"/>
              <w:left w:val="single" w:sz="8" w:space="0" w:color="231F20"/>
              <w:bottom w:val="nil"/>
            </w:tcBorders>
          </w:tcPr>
          <w:p w14:paraId="126516F6" w14:textId="77777777" w:rsidR="009948F1" w:rsidRDefault="009948F1">
            <w:pPr>
              <w:rPr>
                <w:sz w:val="2"/>
                <w:szCs w:val="2"/>
              </w:rPr>
            </w:pPr>
          </w:p>
        </w:tc>
        <w:tc>
          <w:tcPr>
            <w:tcW w:w="534" w:type="dxa"/>
          </w:tcPr>
          <w:p w14:paraId="4B2E9849" w14:textId="77777777" w:rsidR="009948F1" w:rsidRDefault="00BC0563">
            <w:pPr>
              <w:pStyle w:val="TableParagraph"/>
              <w:spacing w:before="100"/>
              <w:ind w:left="33" w:right="12"/>
              <w:jc w:val="center"/>
              <w:rPr>
                <w:sz w:val="15"/>
              </w:rPr>
            </w:pPr>
            <w:r>
              <w:rPr>
                <w:color w:val="231F20"/>
                <w:w w:val="85"/>
                <w:sz w:val="15"/>
              </w:rPr>
              <w:t>1.4.1.d</w:t>
            </w:r>
          </w:p>
        </w:tc>
        <w:tc>
          <w:tcPr>
            <w:tcW w:w="4975" w:type="dxa"/>
            <w:gridSpan w:val="2"/>
          </w:tcPr>
          <w:p w14:paraId="5594F5D8" w14:textId="77777777" w:rsidR="009948F1" w:rsidRDefault="00BC0563">
            <w:pPr>
              <w:pStyle w:val="TableParagraph"/>
              <w:ind w:left="25"/>
              <w:rPr>
                <w:sz w:val="15"/>
              </w:rPr>
            </w:pPr>
            <w:r>
              <w:rPr>
                <w:color w:val="231F20"/>
                <w:w w:val="80"/>
                <w:sz w:val="15"/>
              </w:rPr>
              <w:t>Review/Formulate and implement policies and guidelines to regulate private Health practice</w:t>
            </w:r>
          </w:p>
          <w:p w14:paraId="4EA84AB1" w14:textId="77777777" w:rsidR="009948F1" w:rsidRDefault="00BC0563">
            <w:pPr>
              <w:pStyle w:val="TableParagraph"/>
              <w:spacing w:before="13" w:line="166" w:lineRule="exact"/>
              <w:ind w:left="25"/>
              <w:rPr>
                <w:sz w:val="15"/>
              </w:rPr>
            </w:pPr>
            <w:r>
              <w:rPr>
                <w:color w:val="231F20"/>
                <w:w w:val="90"/>
                <w:sz w:val="15"/>
              </w:rPr>
              <w:t>in the state</w:t>
            </w:r>
          </w:p>
        </w:tc>
        <w:tc>
          <w:tcPr>
            <w:tcW w:w="1451" w:type="dxa"/>
            <w:tcBorders>
              <w:right w:val="single" w:sz="8" w:space="0" w:color="231F20"/>
            </w:tcBorders>
          </w:tcPr>
          <w:p w14:paraId="29463F5F" w14:textId="77777777" w:rsidR="009948F1" w:rsidRDefault="00BC0563">
            <w:pPr>
              <w:pStyle w:val="TableParagraph"/>
              <w:spacing w:before="100"/>
              <w:ind w:left="26"/>
              <w:rPr>
                <w:sz w:val="15"/>
              </w:rPr>
            </w:pPr>
            <w:r>
              <w:rPr>
                <w:color w:val="231F20"/>
                <w:w w:val="90"/>
                <w:sz w:val="15"/>
              </w:rPr>
              <w:t>Lack of funds</w:t>
            </w:r>
          </w:p>
        </w:tc>
        <w:tc>
          <w:tcPr>
            <w:tcW w:w="1528" w:type="dxa"/>
            <w:tcBorders>
              <w:left w:val="single" w:sz="8" w:space="0" w:color="231F20"/>
            </w:tcBorders>
          </w:tcPr>
          <w:p w14:paraId="06F9D58A" w14:textId="77777777" w:rsidR="009948F1" w:rsidRDefault="00BC0563">
            <w:pPr>
              <w:pStyle w:val="TableParagraph"/>
              <w:spacing w:before="6"/>
              <w:ind w:left="23"/>
              <w:rPr>
                <w:sz w:val="15"/>
              </w:rPr>
            </w:pPr>
            <w:r>
              <w:rPr>
                <w:color w:val="231F20"/>
                <w:w w:val="85"/>
                <w:sz w:val="15"/>
              </w:rPr>
              <w:t>Convene quarterly review</w:t>
            </w:r>
          </w:p>
          <w:p w14:paraId="3981C130" w14:textId="77777777" w:rsidR="009948F1" w:rsidRDefault="00BC0563">
            <w:pPr>
              <w:pStyle w:val="TableParagraph"/>
              <w:spacing w:before="13" w:line="160" w:lineRule="exact"/>
              <w:ind w:left="23"/>
              <w:rPr>
                <w:sz w:val="15"/>
              </w:rPr>
            </w:pPr>
            <w:r>
              <w:rPr>
                <w:color w:val="231F20"/>
                <w:w w:val="90"/>
                <w:sz w:val="15"/>
              </w:rPr>
              <w:t>meeting</w:t>
            </w:r>
          </w:p>
        </w:tc>
      </w:tr>
      <w:tr w:rsidR="009948F1" w14:paraId="462A2185" w14:textId="77777777">
        <w:trPr>
          <w:trHeight w:val="840"/>
        </w:trPr>
        <w:tc>
          <w:tcPr>
            <w:tcW w:w="407" w:type="dxa"/>
            <w:tcBorders>
              <w:top w:val="nil"/>
              <w:left w:val="single" w:sz="8" w:space="0" w:color="231F20"/>
              <w:bottom w:val="nil"/>
            </w:tcBorders>
          </w:tcPr>
          <w:p w14:paraId="588DA96F" w14:textId="77777777" w:rsidR="009948F1" w:rsidRDefault="009948F1">
            <w:pPr>
              <w:pStyle w:val="TableParagraph"/>
              <w:rPr>
                <w:rFonts w:ascii="Times New Roman"/>
                <w:sz w:val="12"/>
              </w:rPr>
            </w:pPr>
          </w:p>
        </w:tc>
        <w:tc>
          <w:tcPr>
            <w:tcW w:w="462" w:type="dxa"/>
            <w:shd w:val="clear" w:color="auto" w:fill="CCE7D3"/>
          </w:tcPr>
          <w:p w14:paraId="4DA9F4CB" w14:textId="77777777" w:rsidR="009948F1" w:rsidRDefault="009948F1">
            <w:pPr>
              <w:pStyle w:val="TableParagraph"/>
              <w:rPr>
                <w:b/>
                <w:sz w:val="14"/>
              </w:rPr>
            </w:pPr>
          </w:p>
          <w:p w14:paraId="0C20F80D" w14:textId="77777777" w:rsidR="009948F1" w:rsidRDefault="009948F1">
            <w:pPr>
              <w:pStyle w:val="TableParagraph"/>
              <w:spacing w:before="11"/>
              <w:rPr>
                <w:b/>
                <w:sz w:val="14"/>
              </w:rPr>
            </w:pPr>
          </w:p>
          <w:p w14:paraId="67D8B834" w14:textId="77777777" w:rsidR="009948F1" w:rsidRDefault="00BC0563">
            <w:pPr>
              <w:pStyle w:val="TableParagraph"/>
              <w:ind w:left="58"/>
              <w:rPr>
                <w:sz w:val="15"/>
              </w:rPr>
            </w:pPr>
            <w:r>
              <w:rPr>
                <w:color w:val="231F20"/>
                <w:w w:val="90"/>
                <w:sz w:val="15"/>
              </w:rPr>
              <w:t>1.4.2</w:t>
            </w:r>
          </w:p>
        </w:tc>
        <w:tc>
          <w:tcPr>
            <w:tcW w:w="3086" w:type="dxa"/>
            <w:gridSpan w:val="2"/>
            <w:shd w:val="clear" w:color="auto" w:fill="CCE7D3"/>
          </w:tcPr>
          <w:p w14:paraId="001F868D" w14:textId="77777777" w:rsidR="009948F1" w:rsidRDefault="009948F1">
            <w:pPr>
              <w:pStyle w:val="TableParagraph"/>
              <w:spacing w:before="5"/>
              <w:rPr>
                <w:b/>
                <w:sz w:val="20"/>
              </w:rPr>
            </w:pPr>
          </w:p>
          <w:p w14:paraId="547972AA" w14:textId="7388ED5A" w:rsidR="009948F1" w:rsidRDefault="00C84576">
            <w:pPr>
              <w:pStyle w:val="TableParagraph"/>
              <w:spacing w:line="256" w:lineRule="auto"/>
              <w:ind w:left="25" w:right="218" w:firstLine="33"/>
              <w:rPr>
                <w:sz w:val="15"/>
              </w:rPr>
            </w:pPr>
            <w:r>
              <w:rPr>
                <w:color w:val="231F20"/>
                <w:w w:val="80"/>
                <w:sz w:val="15"/>
              </w:rPr>
              <w:t>Strengthen development</w:t>
            </w:r>
            <w:r w:rsidR="00BC0563">
              <w:rPr>
                <w:color w:val="231F20"/>
                <w:w w:val="80"/>
                <w:sz w:val="15"/>
              </w:rPr>
              <w:t xml:space="preserve"> and review of sectoral </w:t>
            </w:r>
            <w:r>
              <w:rPr>
                <w:color w:val="231F20"/>
                <w:w w:val="90"/>
                <w:sz w:val="15"/>
              </w:rPr>
              <w:t>polices</w:t>
            </w:r>
            <w:r w:rsidR="00BC0563">
              <w:rPr>
                <w:color w:val="231F20"/>
                <w:w w:val="90"/>
                <w:sz w:val="15"/>
              </w:rPr>
              <w:t xml:space="preserve"> and plans</w:t>
            </w:r>
          </w:p>
        </w:tc>
        <w:tc>
          <w:tcPr>
            <w:tcW w:w="2423" w:type="dxa"/>
            <w:shd w:val="clear" w:color="auto" w:fill="CCE7D3"/>
          </w:tcPr>
          <w:p w14:paraId="5230BA60" w14:textId="77777777" w:rsidR="009948F1" w:rsidRDefault="00BC0563">
            <w:pPr>
              <w:pStyle w:val="TableParagraph"/>
              <w:numPr>
                <w:ilvl w:val="0"/>
                <w:numId w:val="232"/>
              </w:numPr>
              <w:tabs>
                <w:tab w:val="left" w:pos="96"/>
              </w:tabs>
              <w:spacing w:before="56" w:line="256" w:lineRule="auto"/>
              <w:ind w:right="79" w:firstLine="0"/>
              <w:rPr>
                <w:sz w:val="15"/>
              </w:rPr>
            </w:pPr>
            <w:r>
              <w:rPr>
                <w:color w:val="231F20"/>
                <w:w w:val="85"/>
                <w:sz w:val="15"/>
              </w:rPr>
              <w:t>At</w:t>
            </w:r>
            <w:r>
              <w:rPr>
                <w:color w:val="231F20"/>
                <w:spacing w:val="-17"/>
                <w:w w:val="85"/>
                <w:sz w:val="15"/>
              </w:rPr>
              <w:t xml:space="preserve"> </w:t>
            </w:r>
            <w:r>
              <w:rPr>
                <w:color w:val="231F20"/>
                <w:w w:val="85"/>
                <w:sz w:val="15"/>
              </w:rPr>
              <w:t>least</w:t>
            </w:r>
            <w:r>
              <w:rPr>
                <w:color w:val="231F20"/>
                <w:spacing w:val="-17"/>
                <w:w w:val="85"/>
                <w:sz w:val="15"/>
              </w:rPr>
              <w:t xml:space="preserve"> </w:t>
            </w:r>
            <w:r>
              <w:rPr>
                <w:color w:val="231F20"/>
                <w:w w:val="85"/>
                <w:sz w:val="15"/>
              </w:rPr>
              <w:t>5</w:t>
            </w:r>
            <w:r>
              <w:rPr>
                <w:color w:val="231F20"/>
                <w:spacing w:val="-17"/>
                <w:w w:val="85"/>
                <w:sz w:val="15"/>
              </w:rPr>
              <w:t xml:space="preserve"> </w:t>
            </w:r>
            <w:r>
              <w:rPr>
                <w:color w:val="231F20"/>
                <w:w w:val="85"/>
                <w:sz w:val="15"/>
              </w:rPr>
              <w:t>DPRS</w:t>
            </w:r>
            <w:r>
              <w:rPr>
                <w:color w:val="231F20"/>
                <w:spacing w:val="-16"/>
                <w:w w:val="85"/>
                <w:sz w:val="15"/>
              </w:rPr>
              <w:t xml:space="preserve"> </w:t>
            </w:r>
            <w:r>
              <w:rPr>
                <w:color w:val="231F20"/>
                <w:w w:val="85"/>
                <w:sz w:val="15"/>
              </w:rPr>
              <w:t>staff</w:t>
            </w:r>
            <w:r>
              <w:rPr>
                <w:color w:val="231F20"/>
                <w:spacing w:val="-17"/>
                <w:w w:val="85"/>
                <w:sz w:val="15"/>
              </w:rPr>
              <w:t xml:space="preserve"> </w:t>
            </w:r>
            <w:r>
              <w:rPr>
                <w:color w:val="231F20"/>
                <w:w w:val="85"/>
                <w:sz w:val="15"/>
              </w:rPr>
              <w:t>of</w:t>
            </w:r>
            <w:r>
              <w:rPr>
                <w:color w:val="231F20"/>
                <w:spacing w:val="-17"/>
                <w:w w:val="85"/>
                <w:sz w:val="15"/>
              </w:rPr>
              <w:t xml:space="preserve"> </w:t>
            </w:r>
            <w:r>
              <w:rPr>
                <w:color w:val="231F20"/>
                <w:w w:val="85"/>
                <w:sz w:val="15"/>
              </w:rPr>
              <w:t>SMOH</w:t>
            </w:r>
            <w:r>
              <w:rPr>
                <w:color w:val="231F20"/>
                <w:spacing w:val="-16"/>
                <w:w w:val="85"/>
                <w:sz w:val="15"/>
              </w:rPr>
              <w:t xml:space="preserve"> </w:t>
            </w:r>
            <w:r>
              <w:rPr>
                <w:color w:val="231F20"/>
                <w:w w:val="85"/>
                <w:sz w:val="15"/>
              </w:rPr>
              <w:t>trained</w:t>
            </w:r>
            <w:r>
              <w:rPr>
                <w:color w:val="231F20"/>
                <w:spacing w:val="-17"/>
                <w:w w:val="85"/>
                <w:sz w:val="15"/>
              </w:rPr>
              <w:t xml:space="preserve"> </w:t>
            </w:r>
            <w:r>
              <w:rPr>
                <w:color w:val="231F20"/>
                <w:w w:val="85"/>
                <w:sz w:val="15"/>
              </w:rPr>
              <w:t xml:space="preserve">on </w:t>
            </w:r>
            <w:r>
              <w:rPr>
                <w:color w:val="231F20"/>
                <w:w w:val="90"/>
                <w:sz w:val="15"/>
              </w:rPr>
              <w:t>policy</w:t>
            </w:r>
            <w:r>
              <w:rPr>
                <w:color w:val="231F20"/>
                <w:spacing w:val="-7"/>
                <w:w w:val="90"/>
                <w:sz w:val="15"/>
              </w:rPr>
              <w:t xml:space="preserve"> </w:t>
            </w:r>
            <w:r>
              <w:rPr>
                <w:color w:val="231F20"/>
                <w:w w:val="90"/>
                <w:sz w:val="15"/>
              </w:rPr>
              <w:t>analysis</w:t>
            </w:r>
          </w:p>
          <w:p w14:paraId="326ADC34" w14:textId="77777777" w:rsidR="009948F1" w:rsidRDefault="00BC0563">
            <w:pPr>
              <w:pStyle w:val="TableParagraph"/>
              <w:spacing w:before="1"/>
              <w:ind w:left="26"/>
              <w:rPr>
                <w:sz w:val="15"/>
              </w:rPr>
            </w:pPr>
            <w:r>
              <w:rPr>
                <w:color w:val="231F20"/>
                <w:w w:val="80"/>
                <w:sz w:val="15"/>
              </w:rPr>
              <w:t>•</w:t>
            </w:r>
          </w:p>
          <w:p w14:paraId="488E7CE0" w14:textId="77777777" w:rsidR="009948F1" w:rsidRDefault="00BC0563">
            <w:pPr>
              <w:pStyle w:val="TableParagraph"/>
              <w:spacing w:before="13"/>
              <w:ind w:left="26"/>
              <w:rPr>
                <w:sz w:val="15"/>
              </w:rPr>
            </w:pPr>
            <w:r>
              <w:rPr>
                <w:color w:val="231F20"/>
                <w:w w:val="80"/>
                <w:sz w:val="15"/>
              </w:rPr>
              <w:t>•</w:t>
            </w:r>
          </w:p>
        </w:tc>
        <w:tc>
          <w:tcPr>
            <w:tcW w:w="1451" w:type="dxa"/>
            <w:tcBorders>
              <w:right w:val="single" w:sz="8" w:space="0" w:color="231F20"/>
            </w:tcBorders>
            <w:shd w:val="clear" w:color="auto" w:fill="CCE7D3"/>
          </w:tcPr>
          <w:p w14:paraId="1D5969E1"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0A3FA1AD" w14:textId="77777777" w:rsidR="009948F1" w:rsidRDefault="009948F1">
            <w:pPr>
              <w:pStyle w:val="TableParagraph"/>
              <w:rPr>
                <w:rFonts w:ascii="Times New Roman"/>
                <w:sz w:val="12"/>
              </w:rPr>
            </w:pPr>
          </w:p>
        </w:tc>
      </w:tr>
      <w:tr w:rsidR="009948F1" w14:paraId="7A5F05E8" w14:textId="77777777">
        <w:trPr>
          <w:trHeight w:val="358"/>
        </w:trPr>
        <w:tc>
          <w:tcPr>
            <w:tcW w:w="869" w:type="dxa"/>
            <w:gridSpan w:val="2"/>
            <w:tcBorders>
              <w:top w:val="nil"/>
              <w:left w:val="single" w:sz="8" w:space="0" w:color="231F20"/>
              <w:bottom w:val="nil"/>
            </w:tcBorders>
          </w:tcPr>
          <w:p w14:paraId="5954C395" w14:textId="77777777" w:rsidR="009948F1" w:rsidRDefault="009948F1">
            <w:pPr>
              <w:pStyle w:val="TableParagraph"/>
              <w:rPr>
                <w:rFonts w:ascii="Times New Roman"/>
                <w:sz w:val="12"/>
              </w:rPr>
            </w:pPr>
          </w:p>
        </w:tc>
        <w:tc>
          <w:tcPr>
            <w:tcW w:w="534" w:type="dxa"/>
          </w:tcPr>
          <w:p w14:paraId="23E003EC" w14:textId="77777777" w:rsidR="009948F1" w:rsidRDefault="00BC0563">
            <w:pPr>
              <w:pStyle w:val="TableParagraph"/>
              <w:spacing w:before="92"/>
              <w:ind w:left="33" w:right="12"/>
              <w:jc w:val="center"/>
              <w:rPr>
                <w:sz w:val="15"/>
              </w:rPr>
            </w:pPr>
            <w:r>
              <w:rPr>
                <w:color w:val="231F20"/>
                <w:w w:val="85"/>
                <w:sz w:val="15"/>
              </w:rPr>
              <w:t>1.4.2.a</w:t>
            </w:r>
          </w:p>
        </w:tc>
        <w:tc>
          <w:tcPr>
            <w:tcW w:w="4975" w:type="dxa"/>
            <w:gridSpan w:val="2"/>
          </w:tcPr>
          <w:p w14:paraId="64033193" w14:textId="77777777" w:rsidR="009948F1" w:rsidRDefault="00BC0563">
            <w:pPr>
              <w:pStyle w:val="TableParagraph"/>
              <w:spacing w:before="86"/>
              <w:ind w:left="25"/>
              <w:rPr>
                <w:sz w:val="15"/>
              </w:rPr>
            </w:pPr>
            <w:r>
              <w:rPr>
                <w:color w:val="231F20"/>
                <w:w w:val="90"/>
                <w:sz w:val="15"/>
              </w:rPr>
              <w:t>Build capacity of DPRS of SMOH for policy analysis and briefs</w:t>
            </w:r>
          </w:p>
        </w:tc>
        <w:tc>
          <w:tcPr>
            <w:tcW w:w="1451" w:type="dxa"/>
            <w:tcBorders>
              <w:right w:val="single" w:sz="8" w:space="0" w:color="231F20"/>
            </w:tcBorders>
          </w:tcPr>
          <w:p w14:paraId="6991C11F" w14:textId="77777777" w:rsidR="009948F1" w:rsidRDefault="00BC0563">
            <w:pPr>
              <w:pStyle w:val="TableParagraph"/>
              <w:spacing w:before="92"/>
              <w:ind w:left="26"/>
              <w:rPr>
                <w:sz w:val="15"/>
              </w:rPr>
            </w:pPr>
            <w:r>
              <w:rPr>
                <w:color w:val="231F20"/>
                <w:w w:val="90"/>
                <w:sz w:val="15"/>
              </w:rPr>
              <w:t>Lack of funds</w:t>
            </w:r>
          </w:p>
        </w:tc>
        <w:tc>
          <w:tcPr>
            <w:tcW w:w="1528" w:type="dxa"/>
            <w:tcBorders>
              <w:left w:val="single" w:sz="8" w:space="0" w:color="231F20"/>
            </w:tcBorders>
          </w:tcPr>
          <w:p w14:paraId="17AAB19C" w14:textId="77777777" w:rsidR="009948F1" w:rsidRDefault="00BC0563">
            <w:pPr>
              <w:pStyle w:val="TableParagraph"/>
              <w:ind w:left="23"/>
              <w:rPr>
                <w:sz w:val="15"/>
              </w:rPr>
            </w:pPr>
            <w:r>
              <w:rPr>
                <w:color w:val="231F20"/>
                <w:w w:val="90"/>
                <w:sz w:val="15"/>
              </w:rPr>
              <w:t>Build</w:t>
            </w:r>
            <w:r>
              <w:rPr>
                <w:color w:val="231F20"/>
                <w:spacing w:val="-26"/>
                <w:w w:val="90"/>
                <w:sz w:val="15"/>
              </w:rPr>
              <w:t xml:space="preserve"> </w:t>
            </w:r>
            <w:r>
              <w:rPr>
                <w:color w:val="231F20"/>
                <w:w w:val="90"/>
                <w:sz w:val="15"/>
              </w:rPr>
              <w:t>capacity</w:t>
            </w:r>
            <w:r>
              <w:rPr>
                <w:color w:val="231F20"/>
                <w:spacing w:val="-25"/>
                <w:w w:val="90"/>
                <w:sz w:val="15"/>
              </w:rPr>
              <w:t xml:space="preserve"> </w:t>
            </w:r>
            <w:r>
              <w:rPr>
                <w:color w:val="231F20"/>
                <w:w w:val="90"/>
                <w:sz w:val="15"/>
              </w:rPr>
              <w:t>of</w:t>
            </w:r>
            <w:r>
              <w:rPr>
                <w:color w:val="231F20"/>
                <w:spacing w:val="-25"/>
                <w:w w:val="90"/>
                <w:sz w:val="15"/>
              </w:rPr>
              <w:t xml:space="preserve"> </w:t>
            </w:r>
            <w:r>
              <w:rPr>
                <w:color w:val="231F20"/>
                <w:w w:val="90"/>
                <w:sz w:val="15"/>
              </w:rPr>
              <w:t>DPRS</w:t>
            </w:r>
            <w:r>
              <w:rPr>
                <w:color w:val="231F20"/>
                <w:spacing w:val="-25"/>
                <w:w w:val="90"/>
                <w:sz w:val="15"/>
              </w:rPr>
              <w:t xml:space="preserve"> </w:t>
            </w:r>
            <w:r>
              <w:rPr>
                <w:color w:val="231F20"/>
                <w:w w:val="90"/>
                <w:sz w:val="15"/>
              </w:rPr>
              <w:t>of</w:t>
            </w:r>
          </w:p>
          <w:p w14:paraId="0A6C5E01" w14:textId="77777777" w:rsidR="009948F1" w:rsidRDefault="00BC0563">
            <w:pPr>
              <w:pStyle w:val="TableParagraph"/>
              <w:spacing w:before="13" w:line="153" w:lineRule="exact"/>
              <w:ind w:left="23"/>
              <w:rPr>
                <w:sz w:val="15"/>
              </w:rPr>
            </w:pPr>
            <w:r>
              <w:rPr>
                <w:color w:val="231F20"/>
                <w:w w:val="90"/>
                <w:sz w:val="15"/>
              </w:rPr>
              <w:t>SMOH</w:t>
            </w:r>
          </w:p>
        </w:tc>
      </w:tr>
      <w:tr w:rsidR="009948F1" w14:paraId="3910FB2B" w14:textId="77777777">
        <w:trPr>
          <w:trHeight w:val="840"/>
        </w:trPr>
        <w:tc>
          <w:tcPr>
            <w:tcW w:w="407" w:type="dxa"/>
            <w:tcBorders>
              <w:top w:val="nil"/>
              <w:left w:val="single" w:sz="8" w:space="0" w:color="231F20"/>
            </w:tcBorders>
          </w:tcPr>
          <w:p w14:paraId="2A72824E" w14:textId="77777777" w:rsidR="009948F1" w:rsidRDefault="009948F1">
            <w:pPr>
              <w:pStyle w:val="TableParagraph"/>
              <w:rPr>
                <w:rFonts w:ascii="Times New Roman"/>
                <w:sz w:val="12"/>
              </w:rPr>
            </w:pPr>
          </w:p>
        </w:tc>
        <w:tc>
          <w:tcPr>
            <w:tcW w:w="462" w:type="dxa"/>
            <w:shd w:val="clear" w:color="auto" w:fill="CCE7D3"/>
          </w:tcPr>
          <w:p w14:paraId="05FDA8E8" w14:textId="77777777" w:rsidR="009948F1" w:rsidRDefault="009948F1">
            <w:pPr>
              <w:pStyle w:val="TableParagraph"/>
              <w:rPr>
                <w:b/>
                <w:sz w:val="14"/>
              </w:rPr>
            </w:pPr>
          </w:p>
          <w:p w14:paraId="6F457317" w14:textId="77777777" w:rsidR="009948F1" w:rsidRDefault="009948F1">
            <w:pPr>
              <w:pStyle w:val="TableParagraph"/>
              <w:spacing w:before="11"/>
              <w:rPr>
                <w:b/>
                <w:sz w:val="14"/>
              </w:rPr>
            </w:pPr>
          </w:p>
          <w:p w14:paraId="565D3D01" w14:textId="77777777" w:rsidR="009948F1" w:rsidRDefault="00BC0563">
            <w:pPr>
              <w:pStyle w:val="TableParagraph"/>
              <w:ind w:left="58"/>
              <w:rPr>
                <w:sz w:val="15"/>
              </w:rPr>
            </w:pPr>
            <w:r>
              <w:rPr>
                <w:color w:val="231F20"/>
                <w:w w:val="90"/>
                <w:sz w:val="15"/>
              </w:rPr>
              <w:t>1.4.3</w:t>
            </w:r>
          </w:p>
        </w:tc>
        <w:tc>
          <w:tcPr>
            <w:tcW w:w="3086" w:type="dxa"/>
            <w:gridSpan w:val="2"/>
            <w:shd w:val="clear" w:color="auto" w:fill="CCE7D3"/>
          </w:tcPr>
          <w:p w14:paraId="51FA2EBF" w14:textId="77777777" w:rsidR="009948F1" w:rsidRDefault="009948F1">
            <w:pPr>
              <w:pStyle w:val="TableParagraph"/>
              <w:rPr>
                <w:b/>
                <w:sz w:val="14"/>
              </w:rPr>
            </w:pPr>
          </w:p>
          <w:p w14:paraId="05E037FF" w14:textId="77777777" w:rsidR="009948F1" w:rsidRDefault="009948F1">
            <w:pPr>
              <w:pStyle w:val="TableParagraph"/>
              <w:spacing w:before="5"/>
              <w:rPr>
                <w:b/>
                <w:sz w:val="14"/>
              </w:rPr>
            </w:pPr>
          </w:p>
          <w:p w14:paraId="05D0E69D" w14:textId="77777777" w:rsidR="009948F1" w:rsidRDefault="00BC0563">
            <w:pPr>
              <w:pStyle w:val="TableParagraph"/>
              <w:ind w:left="58"/>
              <w:rPr>
                <w:sz w:val="15"/>
              </w:rPr>
            </w:pPr>
            <w:r>
              <w:rPr>
                <w:color w:val="231F20"/>
                <w:w w:val="90"/>
                <w:sz w:val="15"/>
              </w:rPr>
              <w:t>Strengthen</w:t>
            </w:r>
            <w:r>
              <w:rPr>
                <w:color w:val="231F20"/>
                <w:spacing w:val="-14"/>
                <w:w w:val="90"/>
                <w:sz w:val="15"/>
              </w:rPr>
              <w:t xml:space="preserve"> </w:t>
            </w:r>
            <w:r>
              <w:rPr>
                <w:color w:val="231F20"/>
                <w:w w:val="90"/>
                <w:sz w:val="15"/>
              </w:rPr>
              <w:t>inter-sectoral</w:t>
            </w:r>
            <w:r>
              <w:rPr>
                <w:color w:val="231F20"/>
                <w:spacing w:val="-25"/>
                <w:w w:val="90"/>
                <w:sz w:val="15"/>
              </w:rPr>
              <w:t xml:space="preserve"> </w:t>
            </w:r>
            <w:r>
              <w:rPr>
                <w:color w:val="231F20"/>
                <w:w w:val="90"/>
                <w:sz w:val="15"/>
              </w:rPr>
              <w:t>collaboration</w:t>
            </w:r>
            <w:r>
              <w:rPr>
                <w:color w:val="231F20"/>
                <w:spacing w:val="-14"/>
                <w:w w:val="90"/>
                <w:sz w:val="15"/>
              </w:rPr>
              <w:t xml:space="preserve"> </w:t>
            </w:r>
            <w:r>
              <w:rPr>
                <w:color w:val="231F20"/>
                <w:w w:val="90"/>
                <w:sz w:val="15"/>
              </w:rPr>
              <w:t>at</w:t>
            </w:r>
            <w:r>
              <w:rPr>
                <w:color w:val="231F20"/>
                <w:spacing w:val="-25"/>
                <w:w w:val="90"/>
                <w:sz w:val="15"/>
              </w:rPr>
              <w:t xml:space="preserve"> </w:t>
            </w:r>
            <w:r>
              <w:rPr>
                <w:color w:val="231F20"/>
                <w:w w:val="90"/>
                <w:sz w:val="15"/>
              </w:rPr>
              <w:t>all</w:t>
            </w:r>
            <w:r>
              <w:rPr>
                <w:color w:val="231F20"/>
                <w:spacing w:val="-26"/>
                <w:w w:val="90"/>
                <w:sz w:val="15"/>
              </w:rPr>
              <w:t xml:space="preserve"> </w:t>
            </w:r>
            <w:r>
              <w:rPr>
                <w:color w:val="231F20"/>
                <w:w w:val="90"/>
                <w:sz w:val="15"/>
              </w:rPr>
              <w:t>levels.</w:t>
            </w:r>
          </w:p>
        </w:tc>
        <w:tc>
          <w:tcPr>
            <w:tcW w:w="2423" w:type="dxa"/>
            <w:shd w:val="clear" w:color="auto" w:fill="CCE7D3"/>
          </w:tcPr>
          <w:p w14:paraId="3A2BD89F" w14:textId="6F9228E2" w:rsidR="009948F1" w:rsidRDefault="00BC0563">
            <w:pPr>
              <w:pStyle w:val="TableParagraph"/>
              <w:numPr>
                <w:ilvl w:val="0"/>
                <w:numId w:val="231"/>
              </w:numPr>
              <w:tabs>
                <w:tab w:val="left" w:pos="103"/>
              </w:tabs>
              <w:spacing w:line="256" w:lineRule="auto"/>
              <w:ind w:right="43" w:firstLine="0"/>
              <w:rPr>
                <w:sz w:val="15"/>
              </w:rPr>
            </w:pPr>
            <w:r>
              <w:rPr>
                <w:color w:val="231F20"/>
                <w:w w:val="80"/>
                <w:sz w:val="15"/>
              </w:rPr>
              <w:t xml:space="preserve">Platform for </w:t>
            </w:r>
            <w:r w:rsidR="00C84576">
              <w:rPr>
                <w:color w:val="231F20"/>
                <w:w w:val="80"/>
                <w:sz w:val="15"/>
              </w:rPr>
              <w:t>engagement</w:t>
            </w:r>
            <w:r>
              <w:rPr>
                <w:color w:val="231F20"/>
                <w:w w:val="80"/>
                <w:sz w:val="15"/>
              </w:rPr>
              <w:t xml:space="preserve"> of other sectors </w:t>
            </w:r>
            <w:r>
              <w:rPr>
                <w:color w:val="231F20"/>
                <w:w w:val="90"/>
                <w:sz w:val="15"/>
              </w:rPr>
              <w:t>created and</w:t>
            </w:r>
            <w:r>
              <w:rPr>
                <w:color w:val="231F20"/>
                <w:spacing w:val="-17"/>
                <w:w w:val="90"/>
                <w:sz w:val="15"/>
              </w:rPr>
              <w:t xml:space="preserve"> </w:t>
            </w:r>
            <w:r>
              <w:rPr>
                <w:color w:val="231F20"/>
                <w:w w:val="90"/>
                <w:sz w:val="15"/>
              </w:rPr>
              <w:t>functional</w:t>
            </w:r>
          </w:p>
          <w:p w14:paraId="3F221F75" w14:textId="77777777" w:rsidR="009948F1" w:rsidRDefault="00BC0563">
            <w:pPr>
              <w:pStyle w:val="TableParagraph"/>
              <w:numPr>
                <w:ilvl w:val="0"/>
                <w:numId w:val="231"/>
              </w:numPr>
              <w:tabs>
                <w:tab w:val="left" w:pos="136"/>
              </w:tabs>
              <w:spacing w:line="256" w:lineRule="auto"/>
              <w:ind w:right="83" w:firstLine="0"/>
              <w:rPr>
                <w:sz w:val="15"/>
              </w:rPr>
            </w:pPr>
            <w:r>
              <w:rPr>
                <w:color w:val="231F20"/>
                <w:w w:val="80"/>
                <w:sz w:val="15"/>
              </w:rPr>
              <w:t xml:space="preserve">Inter departmental meetings at LGA level </w:t>
            </w:r>
            <w:r>
              <w:rPr>
                <w:color w:val="231F20"/>
                <w:w w:val="90"/>
                <w:sz w:val="15"/>
              </w:rPr>
              <w:t>held</w:t>
            </w:r>
          </w:p>
          <w:p w14:paraId="1B1DA139" w14:textId="77777777" w:rsidR="009948F1" w:rsidRDefault="00BC0563">
            <w:pPr>
              <w:pStyle w:val="TableParagraph"/>
              <w:spacing w:before="1" w:line="80" w:lineRule="exact"/>
              <w:ind w:left="26"/>
              <w:rPr>
                <w:sz w:val="15"/>
              </w:rPr>
            </w:pPr>
            <w:r>
              <w:rPr>
                <w:color w:val="231F20"/>
                <w:w w:val="80"/>
                <w:sz w:val="15"/>
              </w:rPr>
              <w:t>•</w:t>
            </w:r>
          </w:p>
        </w:tc>
        <w:tc>
          <w:tcPr>
            <w:tcW w:w="1451" w:type="dxa"/>
            <w:tcBorders>
              <w:right w:val="single" w:sz="8" w:space="0" w:color="231F20"/>
            </w:tcBorders>
            <w:shd w:val="clear" w:color="auto" w:fill="CCE7D3"/>
          </w:tcPr>
          <w:p w14:paraId="5ABED9C1"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66B496FB" w14:textId="77777777" w:rsidR="009948F1" w:rsidRDefault="009948F1">
            <w:pPr>
              <w:pStyle w:val="TableParagraph"/>
              <w:rPr>
                <w:rFonts w:ascii="Times New Roman"/>
                <w:sz w:val="12"/>
              </w:rPr>
            </w:pPr>
          </w:p>
        </w:tc>
      </w:tr>
      <w:tr w:rsidR="009948F1" w14:paraId="363CEE7C" w14:textId="77777777">
        <w:trPr>
          <w:trHeight w:val="358"/>
        </w:trPr>
        <w:tc>
          <w:tcPr>
            <w:tcW w:w="869" w:type="dxa"/>
            <w:gridSpan w:val="2"/>
            <w:vMerge w:val="restart"/>
            <w:tcBorders>
              <w:left w:val="single" w:sz="8" w:space="0" w:color="231F20"/>
              <w:bottom w:val="nil"/>
            </w:tcBorders>
          </w:tcPr>
          <w:p w14:paraId="5B806E3F" w14:textId="77777777" w:rsidR="009948F1" w:rsidRDefault="009948F1">
            <w:pPr>
              <w:pStyle w:val="TableParagraph"/>
              <w:rPr>
                <w:rFonts w:ascii="Times New Roman"/>
                <w:sz w:val="12"/>
              </w:rPr>
            </w:pPr>
          </w:p>
        </w:tc>
        <w:tc>
          <w:tcPr>
            <w:tcW w:w="534" w:type="dxa"/>
          </w:tcPr>
          <w:p w14:paraId="6912479E" w14:textId="77777777" w:rsidR="009948F1" w:rsidRDefault="00BC0563">
            <w:pPr>
              <w:pStyle w:val="TableParagraph"/>
              <w:spacing w:before="92"/>
              <w:ind w:left="33" w:right="12"/>
              <w:jc w:val="center"/>
              <w:rPr>
                <w:sz w:val="15"/>
              </w:rPr>
            </w:pPr>
            <w:r>
              <w:rPr>
                <w:color w:val="231F20"/>
                <w:w w:val="85"/>
                <w:sz w:val="15"/>
              </w:rPr>
              <w:t>1.4.3.a</w:t>
            </w:r>
          </w:p>
        </w:tc>
        <w:tc>
          <w:tcPr>
            <w:tcW w:w="4975" w:type="dxa"/>
            <w:gridSpan w:val="2"/>
          </w:tcPr>
          <w:p w14:paraId="7D526557" w14:textId="77777777" w:rsidR="009948F1" w:rsidRDefault="00BC0563">
            <w:pPr>
              <w:pStyle w:val="TableParagraph"/>
              <w:spacing w:line="171" w:lineRule="exact"/>
              <w:ind w:left="25"/>
              <w:rPr>
                <w:sz w:val="15"/>
              </w:rPr>
            </w:pPr>
            <w:r>
              <w:rPr>
                <w:color w:val="231F20"/>
                <w:w w:val="85"/>
                <w:sz w:val="15"/>
              </w:rPr>
              <w:t>Create</w:t>
            </w:r>
            <w:r>
              <w:rPr>
                <w:color w:val="231F20"/>
                <w:spacing w:val="-22"/>
                <w:w w:val="85"/>
                <w:sz w:val="15"/>
              </w:rPr>
              <w:t xml:space="preserve"> </w:t>
            </w:r>
            <w:r>
              <w:rPr>
                <w:color w:val="231F20"/>
                <w:w w:val="85"/>
                <w:sz w:val="15"/>
              </w:rPr>
              <w:t>a</w:t>
            </w:r>
            <w:r>
              <w:rPr>
                <w:color w:val="231F20"/>
                <w:spacing w:val="-21"/>
                <w:w w:val="85"/>
                <w:sz w:val="15"/>
              </w:rPr>
              <w:t xml:space="preserve"> </w:t>
            </w:r>
            <w:r>
              <w:rPr>
                <w:color w:val="231F20"/>
                <w:w w:val="85"/>
                <w:sz w:val="15"/>
              </w:rPr>
              <w:t>functional</w:t>
            </w:r>
            <w:r>
              <w:rPr>
                <w:color w:val="231F20"/>
                <w:spacing w:val="-21"/>
                <w:w w:val="85"/>
                <w:sz w:val="15"/>
              </w:rPr>
              <w:t xml:space="preserve"> </w:t>
            </w:r>
            <w:r>
              <w:rPr>
                <w:color w:val="231F20"/>
                <w:w w:val="85"/>
                <w:sz w:val="15"/>
              </w:rPr>
              <w:t>platform</w:t>
            </w:r>
            <w:r>
              <w:rPr>
                <w:color w:val="231F20"/>
                <w:spacing w:val="-21"/>
                <w:w w:val="85"/>
                <w:sz w:val="15"/>
              </w:rPr>
              <w:t xml:space="preserve"> </w:t>
            </w:r>
            <w:r>
              <w:rPr>
                <w:color w:val="231F20"/>
                <w:w w:val="85"/>
                <w:sz w:val="15"/>
              </w:rPr>
              <w:t>for</w:t>
            </w:r>
            <w:r>
              <w:rPr>
                <w:color w:val="231F20"/>
                <w:spacing w:val="-21"/>
                <w:w w:val="85"/>
                <w:sz w:val="15"/>
              </w:rPr>
              <w:t xml:space="preserve"> </w:t>
            </w:r>
            <w:r>
              <w:rPr>
                <w:color w:val="231F20"/>
                <w:w w:val="85"/>
                <w:sz w:val="15"/>
              </w:rPr>
              <w:t>engagement</w:t>
            </w:r>
            <w:r>
              <w:rPr>
                <w:color w:val="231F20"/>
                <w:spacing w:val="-21"/>
                <w:w w:val="85"/>
                <w:sz w:val="15"/>
              </w:rPr>
              <w:t xml:space="preserve"> </w:t>
            </w:r>
            <w:r>
              <w:rPr>
                <w:color w:val="231F20"/>
                <w:w w:val="85"/>
                <w:sz w:val="15"/>
              </w:rPr>
              <w:t>of</w:t>
            </w:r>
            <w:r>
              <w:rPr>
                <w:color w:val="231F20"/>
                <w:spacing w:val="-21"/>
                <w:w w:val="85"/>
                <w:sz w:val="15"/>
              </w:rPr>
              <w:t xml:space="preserve"> </w:t>
            </w:r>
            <w:r>
              <w:rPr>
                <w:color w:val="231F20"/>
                <w:w w:val="85"/>
                <w:sz w:val="15"/>
              </w:rPr>
              <w:t>other</w:t>
            </w:r>
            <w:r>
              <w:rPr>
                <w:color w:val="231F20"/>
                <w:spacing w:val="-21"/>
                <w:w w:val="85"/>
                <w:sz w:val="15"/>
              </w:rPr>
              <w:t xml:space="preserve"> </w:t>
            </w:r>
            <w:r>
              <w:rPr>
                <w:color w:val="231F20"/>
                <w:w w:val="85"/>
                <w:sz w:val="15"/>
              </w:rPr>
              <w:t>sectors</w:t>
            </w:r>
            <w:r>
              <w:rPr>
                <w:color w:val="231F20"/>
                <w:spacing w:val="-21"/>
                <w:w w:val="85"/>
                <w:sz w:val="15"/>
              </w:rPr>
              <w:t xml:space="preserve"> </w:t>
            </w:r>
            <w:r>
              <w:rPr>
                <w:color w:val="231F20"/>
                <w:w w:val="85"/>
                <w:sz w:val="15"/>
              </w:rPr>
              <w:t>(related</w:t>
            </w:r>
            <w:r>
              <w:rPr>
                <w:color w:val="231F20"/>
                <w:spacing w:val="-21"/>
                <w:w w:val="85"/>
                <w:sz w:val="15"/>
              </w:rPr>
              <w:t xml:space="preserve"> </w:t>
            </w:r>
            <w:r>
              <w:rPr>
                <w:color w:val="231F20"/>
                <w:w w:val="85"/>
                <w:sz w:val="15"/>
              </w:rPr>
              <w:t>to</w:t>
            </w:r>
            <w:r>
              <w:rPr>
                <w:color w:val="231F20"/>
                <w:spacing w:val="-21"/>
                <w:w w:val="85"/>
                <w:sz w:val="15"/>
              </w:rPr>
              <w:t xml:space="preserve"> </w:t>
            </w:r>
            <w:r>
              <w:rPr>
                <w:color w:val="231F20"/>
                <w:w w:val="85"/>
                <w:sz w:val="15"/>
              </w:rPr>
              <w:t>social</w:t>
            </w:r>
            <w:r>
              <w:rPr>
                <w:color w:val="231F20"/>
                <w:spacing w:val="-22"/>
                <w:w w:val="85"/>
                <w:sz w:val="15"/>
              </w:rPr>
              <w:t xml:space="preserve"> </w:t>
            </w:r>
            <w:r>
              <w:rPr>
                <w:color w:val="231F20"/>
                <w:w w:val="85"/>
                <w:sz w:val="15"/>
              </w:rPr>
              <w:t>determinants</w:t>
            </w:r>
          </w:p>
          <w:p w14:paraId="5D06BEDA" w14:textId="77777777" w:rsidR="009948F1" w:rsidRDefault="00BC0563">
            <w:pPr>
              <w:pStyle w:val="TableParagraph"/>
              <w:spacing w:before="12" w:line="154" w:lineRule="exact"/>
              <w:ind w:left="25"/>
              <w:rPr>
                <w:sz w:val="15"/>
              </w:rPr>
            </w:pPr>
            <w:r>
              <w:rPr>
                <w:color w:val="231F20"/>
                <w:w w:val="90"/>
                <w:sz w:val="15"/>
              </w:rPr>
              <w:t>of</w:t>
            </w:r>
            <w:r>
              <w:rPr>
                <w:color w:val="231F20"/>
                <w:spacing w:val="-24"/>
                <w:w w:val="90"/>
                <w:sz w:val="15"/>
              </w:rPr>
              <w:t xml:space="preserve"> </w:t>
            </w:r>
            <w:r>
              <w:rPr>
                <w:color w:val="231F20"/>
                <w:w w:val="90"/>
                <w:sz w:val="15"/>
              </w:rPr>
              <w:t>health)</w:t>
            </w:r>
            <w:r>
              <w:rPr>
                <w:color w:val="231F20"/>
                <w:spacing w:val="-23"/>
                <w:w w:val="90"/>
                <w:sz w:val="15"/>
              </w:rPr>
              <w:t xml:space="preserve"> </w:t>
            </w:r>
            <w:r>
              <w:rPr>
                <w:color w:val="231F20"/>
                <w:w w:val="90"/>
                <w:sz w:val="15"/>
              </w:rPr>
              <w:t>and</w:t>
            </w:r>
            <w:r>
              <w:rPr>
                <w:color w:val="231F20"/>
                <w:spacing w:val="-23"/>
                <w:w w:val="90"/>
                <w:sz w:val="15"/>
              </w:rPr>
              <w:t xml:space="preserve"> </w:t>
            </w:r>
            <w:r>
              <w:rPr>
                <w:color w:val="231F20"/>
                <w:w w:val="90"/>
                <w:sz w:val="15"/>
              </w:rPr>
              <w:t>stakeholders</w:t>
            </w:r>
            <w:r>
              <w:rPr>
                <w:color w:val="231F20"/>
                <w:spacing w:val="-23"/>
                <w:w w:val="90"/>
                <w:sz w:val="15"/>
              </w:rPr>
              <w:t xml:space="preserve"> </w:t>
            </w:r>
            <w:r>
              <w:rPr>
                <w:color w:val="231F20"/>
                <w:w w:val="90"/>
                <w:sz w:val="15"/>
              </w:rPr>
              <w:t>in</w:t>
            </w:r>
            <w:r>
              <w:rPr>
                <w:color w:val="231F20"/>
                <w:spacing w:val="-23"/>
                <w:w w:val="90"/>
                <w:sz w:val="15"/>
              </w:rPr>
              <w:t xml:space="preserve"> </w:t>
            </w:r>
            <w:r>
              <w:rPr>
                <w:color w:val="231F20"/>
                <w:w w:val="90"/>
                <w:sz w:val="15"/>
              </w:rPr>
              <w:t>the</w:t>
            </w:r>
            <w:r>
              <w:rPr>
                <w:color w:val="231F20"/>
                <w:spacing w:val="-23"/>
                <w:w w:val="90"/>
                <w:sz w:val="15"/>
              </w:rPr>
              <w:t xml:space="preserve"> </w:t>
            </w:r>
            <w:r>
              <w:rPr>
                <w:color w:val="231F20"/>
                <w:w w:val="90"/>
                <w:sz w:val="15"/>
              </w:rPr>
              <w:t>planning</w:t>
            </w:r>
            <w:r>
              <w:rPr>
                <w:color w:val="231F20"/>
                <w:spacing w:val="-23"/>
                <w:w w:val="90"/>
                <w:sz w:val="15"/>
              </w:rPr>
              <w:t xml:space="preserve"> </w:t>
            </w:r>
            <w:r>
              <w:rPr>
                <w:color w:val="231F20"/>
                <w:w w:val="90"/>
                <w:sz w:val="15"/>
              </w:rPr>
              <w:t>of</w:t>
            </w:r>
            <w:r>
              <w:rPr>
                <w:color w:val="231F20"/>
                <w:spacing w:val="-23"/>
                <w:w w:val="90"/>
                <w:sz w:val="15"/>
              </w:rPr>
              <w:t xml:space="preserve"> </w:t>
            </w:r>
            <w:r>
              <w:rPr>
                <w:color w:val="231F20"/>
                <w:w w:val="90"/>
                <w:sz w:val="15"/>
              </w:rPr>
              <w:t>health</w:t>
            </w:r>
            <w:r>
              <w:rPr>
                <w:color w:val="231F20"/>
                <w:spacing w:val="-23"/>
                <w:w w:val="90"/>
                <w:sz w:val="15"/>
              </w:rPr>
              <w:t xml:space="preserve"> </w:t>
            </w:r>
            <w:proofErr w:type="spellStart"/>
            <w:r>
              <w:rPr>
                <w:color w:val="231F20"/>
                <w:w w:val="90"/>
                <w:sz w:val="15"/>
              </w:rPr>
              <w:t>programmes</w:t>
            </w:r>
            <w:proofErr w:type="spellEnd"/>
            <w:r>
              <w:rPr>
                <w:color w:val="231F20"/>
                <w:spacing w:val="-23"/>
                <w:w w:val="90"/>
                <w:sz w:val="15"/>
              </w:rPr>
              <w:t xml:space="preserve"> </w:t>
            </w:r>
            <w:r>
              <w:rPr>
                <w:color w:val="231F20"/>
                <w:w w:val="90"/>
                <w:sz w:val="15"/>
              </w:rPr>
              <w:t>and</w:t>
            </w:r>
            <w:r>
              <w:rPr>
                <w:color w:val="231F20"/>
                <w:spacing w:val="-23"/>
                <w:w w:val="90"/>
                <w:sz w:val="15"/>
              </w:rPr>
              <w:t xml:space="preserve"> </w:t>
            </w:r>
            <w:r>
              <w:rPr>
                <w:color w:val="231F20"/>
                <w:w w:val="90"/>
                <w:sz w:val="15"/>
              </w:rPr>
              <w:t>interventions</w:t>
            </w:r>
          </w:p>
        </w:tc>
        <w:tc>
          <w:tcPr>
            <w:tcW w:w="1451" w:type="dxa"/>
            <w:tcBorders>
              <w:right w:val="single" w:sz="8" w:space="0" w:color="231F20"/>
            </w:tcBorders>
          </w:tcPr>
          <w:p w14:paraId="66D4A1F6" w14:textId="77777777" w:rsidR="009948F1" w:rsidRDefault="00BC0563">
            <w:pPr>
              <w:pStyle w:val="TableParagraph"/>
              <w:spacing w:before="92"/>
              <w:ind w:left="26"/>
              <w:rPr>
                <w:sz w:val="15"/>
              </w:rPr>
            </w:pPr>
            <w:r>
              <w:rPr>
                <w:color w:val="231F20"/>
                <w:w w:val="90"/>
                <w:sz w:val="15"/>
              </w:rPr>
              <w:t>Lack of funds</w:t>
            </w:r>
          </w:p>
        </w:tc>
        <w:tc>
          <w:tcPr>
            <w:tcW w:w="1528" w:type="dxa"/>
            <w:tcBorders>
              <w:left w:val="single" w:sz="8" w:space="0" w:color="231F20"/>
            </w:tcBorders>
          </w:tcPr>
          <w:p w14:paraId="0656425F" w14:textId="3A22E3D9" w:rsidR="009948F1" w:rsidRDefault="00C84576">
            <w:pPr>
              <w:pStyle w:val="TableParagraph"/>
              <w:spacing w:before="92"/>
              <w:ind w:left="23"/>
              <w:rPr>
                <w:sz w:val="15"/>
              </w:rPr>
            </w:pPr>
            <w:r>
              <w:rPr>
                <w:color w:val="231F20"/>
                <w:w w:val="85"/>
                <w:sz w:val="15"/>
              </w:rPr>
              <w:t>Create</w:t>
            </w:r>
            <w:r w:rsidR="00BC0563">
              <w:rPr>
                <w:color w:val="231F20"/>
                <w:spacing w:val="-18"/>
                <w:w w:val="85"/>
                <w:sz w:val="15"/>
              </w:rPr>
              <w:t xml:space="preserve"> </w:t>
            </w:r>
            <w:r w:rsidR="00BC0563">
              <w:rPr>
                <w:color w:val="231F20"/>
                <w:w w:val="85"/>
                <w:sz w:val="15"/>
              </w:rPr>
              <w:t>a</w:t>
            </w:r>
            <w:r w:rsidR="00BC0563">
              <w:rPr>
                <w:color w:val="231F20"/>
                <w:spacing w:val="-17"/>
                <w:w w:val="85"/>
                <w:sz w:val="15"/>
              </w:rPr>
              <w:t xml:space="preserve"> </w:t>
            </w:r>
            <w:r w:rsidR="00BC0563">
              <w:rPr>
                <w:color w:val="231F20"/>
                <w:w w:val="85"/>
                <w:sz w:val="15"/>
              </w:rPr>
              <w:t>functional</w:t>
            </w:r>
            <w:r w:rsidR="00BC0563">
              <w:rPr>
                <w:color w:val="231F20"/>
                <w:spacing w:val="-17"/>
                <w:w w:val="85"/>
                <w:sz w:val="15"/>
              </w:rPr>
              <w:t xml:space="preserve"> </w:t>
            </w:r>
            <w:r w:rsidR="00BC0563">
              <w:rPr>
                <w:color w:val="231F20"/>
                <w:w w:val="85"/>
                <w:sz w:val="15"/>
              </w:rPr>
              <w:t>platform</w:t>
            </w:r>
          </w:p>
        </w:tc>
      </w:tr>
      <w:tr w:rsidR="009948F1" w14:paraId="7B345B2A" w14:textId="77777777">
        <w:trPr>
          <w:trHeight w:val="344"/>
        </w:trPr>
        <w:tc>
          <w:tcPr>
            <w:tcW w:w="869" w:type="dxa"/>
            <w:gridSpan w:val="2"/>
            <w:vMerge/>
            <w:tcBorders>
              <w:top w:val="nil"/>
              <w:left w:val="single" w:sz="8" w:space="0" w:color="231F20"/>
              <w:bottom w:val="nil"/>
            </w:tcBorders>
          </w:tcPr>
          <w:p w14:paraId="5A95D8D2" w14:textId="77777777" w:rsidR="009948F1" w:rsidRDefault="009948F1">
            <w:pPr>
              <w:rPr>
                <w:sz w:val="2"/>
                <w:szCs w:val="2"/>
              </w:rPr>
            </w:pPr>
          </w:p>
        </w:tc>
        <w:tc>
          <w:tcPr>
            <w:tcW w:w="534" w:type="dxa"/>
          </w:tcPr>
          <w:p w14:paraId="41ABDEF5" w14:textId="77777777" w:rsidR="009948F1" w:rsidRDefault="00BC0563">
            <w:pPr>
              <w:pStyle w:val="TableParagraph"/>
              <w:spacing w:before="86"/>
              <w:ind w:left="33" w:right="12"/>
              <w:jc w:val="center"/>
              <w:rPr>
                <w:sz w:val="15"/>
              </w:rPr>
            </w:pPr>
            <w:r>
              <w:rPr>
                <w:color w:val="231F20"/>
                <w:w w:val="85"/>
                <w:sz w:val="15"/>
              </w:rPr>
              <w:t>1.4.3.b</w:t>
            </w:r>
          </w:p>
        </w:tc>
        <w:tc>
          <w:tcPr>
            <w:tcW w:w="4975" w:type="dxa"/>
            <w:gridSpan w:val="2"/>
          </w:tcPr>
          <w:p w14:paraId="799541B4" w14:textId="77777777" w:rsidR="009948F1" w:rsidRDefault="00BC0563">
            <w:pPr>
              <w:pStyle w:val="TableParagraph"/>
              <w:spacing w:before="80"/>
              <w:ind w:left="25"/>
              <w:rPr>
                <w:sz w:val="15"/>
              </w:rPr>
            </w:pPr>
            <w:r>
              <w:rPr>
                <w:color w:val="231F20"/>
                <w:w w:val="90"/>
                <w:sz w:val="15"/>
              </w:rPr>
              <w:t>Institute</w:t>
            </w:r>
            <w:r>
              <w:rPr>
                <w:color w:val="231F20"/>
                <w:spacing w:val="-24"/>
                <w:w w:val="90"/>
                <w:sz w:val="15"/>
              </w:rPr>
              <w:t xml:space="preserve"> </w:t>
            </w:r>
            <w:r>
              <w:rPr>
                <w:color w:val="231F20"/>
                <w:w w:val="90"/>
                <w:sz w:val="15"/>
              </w:rPr>
              <w:t>quarterly</w:t>
            </w:r>
            <w:r>
              <w:rPr>
                <w:color w:val="231F20"/>
                <w:spacing w:val="-24"/>
                <w:w w:val="90"/>
                <w:sz w:val="15"/>
              </w:rPr>
              <w:t xml:space="preserve"> </w:t>
            </w:r>
            <w:r>
              <w:rPr>
                <w:color w:val="231F20"/>
                <w:w w:val="90"/>
                <w:sz w:val="15"/>
              </w:rPr>
              <w:t>inter</w:t>
            </w:r>
            <w:r>
              <w:rPr>
                <w:color w:val="231F20"/>
                <w:spacing w:val="-24"/>
                <w:w w:val="90"/>
                <w:sz w:val="15"/>
              </w:rPr>
              <w:t xml:space="preserve"> </w:t>
            </w:r>
            <w:r>
              <w:rPr>
                <w:color w:val="231F20"/>
                <w:w w:val="90"/>
                <w:sz w:val="15"/>
              </w:rPr>
              <w:t>departmental</w:t>
            </w:r>
            <w:r>
              <w:rPr>
                <w:color w:val="231F20"/>
                <w:spacing w:val="-9"/>
                <w:w w:val="90"/>
                <w:sz w:val="15"/>
              </w:rPr>
              <w:t xml:space="preserve"> </w:t>
            </w:r>
            <w:r>
              <w:rPr>
                <w:color w:val="231F20"/>
                <w:w w:val="90"/>
                <w:sz w:val="15"/>
              </w:rPr>
              <w:t>meetings</w:t>
            </w:r>
            <w:r>
              <w:rPr>
                <w:color w:val="231F20"/>
                <w:spacing w:val="-24"/>
                <w:w w:val="90"/>
                <w:sz w:val="15"/>
              </w:rPr>
              <w:t xml:space="preserve"> </w:t>
            </w:r>
            <w:r>
              <w:rPr>
                <w:color w:val="231F20"/>
                <w:w w:val="90"/>
                <w:sz w:val="15"/>
              </w:rPr>
              <w:t>at</w:t>
            </w:r>
            <w:r>
              <w:rPr>
                <w:color w:val="231F20"/>
                <w:spacing w:val="-23"/>
                <w:w w:val="90"/>
                <w:sz w:val="15"/>
              </w:rPr>
              <w:t xml:space="preserve"> </w:t>
            </w:r>
            <w:r>
              <w:rPr>
                <w:color w:val="231F20"/>
                <w:w w:val="90"/>
                <w:sz w:val="15"/>
              </w:rPr>
              <w:t>LGA</w:t>
            </w:r>
            <w:r>
              <w:rPr>
                <w:color w:val="231F20"/>
                <w:spacing w:val="-27"/>
                <w:w w:val="90"/>
                <w:sz w:val="15"/>
              </w:rPr>
              <w:t xml:space="preserve"> </w:t>
            </w:r>
            <w:r>
              <w:rPr>
                <w:color w:val="231F20"/>
                <w:w w:val="90"/>
                <w:sz w:val="15"/>
              </w:rPr>
              <w:t>level</w:t>
            </w:r>
            <w:r>
              <w:rPr>
                <w:color w:val="231F20"/>
                <w:spacing w:val="-9"/>
                <w:w w:val="90"/>
                <w:sz w:val="15"/>
              </w:rPr>
              <w:t xml:space="preserve"> </w:t>
            </w:r>
            <w:r>
              <w:rPr>
                <w:color w:val="231F20"/>
                <w:w w:val="90"/>
                <w:sz w:val="15"/>
              </w:rPr>
              <w:t>to</w:t>
            </w:r>
            <w:r>
              <w:rPr>
                <w:color w:val="231F20"/>
                <w:spacing w:val="-24"/>
                <w:w w:val="90"/>
                <w:sz w:val="15"/>
              </w:rPr>
              <w:t xml:space="preserve"> </w:t>
            </w:r>
            <w:r>
              <w:rPr>
                <w:color w:val="231F20"/>
                <w:w w:val="90"/>
                <w:sz w:val="15"/>
              </w:rPr>
              <w:t>discuss</w:t>
            </w:r>
            <w:r>
              <w:rPr>
                <w:color w:val="231F20"/>
                <w:spacing w:val="-23"/>
                <w:w w:val="90"/>
                <w:sz w:val="15"/>
              </w:rPr>
              <w:t xml:space="preserve"> </w:t>
            </w:r>
            <w:r>
              <w:rPr>
                <w:color w:val="231F20"/>
                <w:w w:val="90"/>
                <w:sz w:val="15"/>
              </w:rPr>
              <w:t>health</w:t>
            </w:r>
            <w:r>
              <w:rPr>
                <w:color w:val="231F20"/>
                <w:spacing w:val="-24"/>
                <w:w w:val="90"/>
                <w:sz w:val="15"/>
              </w:rPr>
              <w:t xml:space="preserve"> </w:t>
            </w:r>
            <w:r>
              <w:rPr>
                <w:color w:val="231F20"/>
                <w:w w:val="90"/>
                <w:sz w:val="15"/>
              </w:rPr>
              <w:t>issues</w:t>
            </w:r>
          </w:p>
        </w:tc>
        <w:tc>
          <w:tcPr>
            <w:tcW w:w="1451" w:type="dxa"/>
            <w:tcBorders>
              <w:right w:val="single" w:sz="8" w:space="0" w:color="231F20"/>
            </w:tcBorders>
          </w:tcPr>
          <w:p w14:paraId="6E069B63" w14:textId="77777777" w:rsidR="009948F1" w:rsidRDefault="00BC0563">
            <w:pPr>
              <w:pStyle w:val="TableParagraph"/>
              <w:spacing w:before="86"/>
              <w:ind w:left="26"/>
              <w:rPr>
                <w:sz w:val="15"/>
              </w:rPr>
            </w:pPr>
            <w:r>
              <w:rPr>
                <w:color w:val="231F20"/>
                <w:w w:val="90"/>
                <w:sz w:val="15"/>
              </w:rPr>
              <w:t>Lack of funds</w:t>
            </w:r>
          </w:p>
        </w:tc>
        <w:tc>
          <w:tcPr>
            <w:tcW w:w="1528" w:type="dxa"/>
            <w:tcBorders>
              <w:left w:val="single" w:sz="8" w:space="0" w:color="231F20"/>
            </w:tcBorders>
          </w:tcPr>
          <w:p w14:paraId="0E840EB1" w14:textId="77777777" w:rsidR="009948F1" w:rsidRDefault="00BC0563">
            <w:pPr>
              <w:pStyle w:val="TableParagraph"/>
              <w:spacing w:before="86"/>
              <w:ind w:left="23"/>
              <w:rPr>
                <w:sz w:val="15"/>
              </w:rPr>
            </w:pPr>
            <w:r>
              <w:rPr>
                <w:color w:val="231F20"/>
                <w:w w:val="80"/>
                <w:sz w:val="15"/>
              </w:rPr>
              <w:t>Convene quarterly meeting</w:t>
            </w:r>
          </w:p>
        </w:tc>
      </w:tr>
      <w:tr w:rsidR="009948F1" w14:paraId="7327E395" w14:textId="77777777">
        <w:trPr>
          <w:trHeight w:val="840"/>
        </w:trPr>
        <w:tc>
          <w:tcPr>
            <w:tcW w:w="407" w:type="dxa"/>
            <w:tcBorders>
              <w:top w:val="nil"/>
              <w:left w:val="single" w:sz="8" w:space="0" w:color="231F20"/>
              <w:bottom w:val="nil"/>
            </w:tcBorders>
          </w:tcPr>
          <w:p w14:paraId="229A434F" w14:textId="77777777" w:rsidR="009948F1" w:rsidRDefault="009948F1">
            <w:pPr>
              <w:pStyle w:val="TableParagraph"/>
              <w:rPr>
                <w:rFonts w:ascii="Times New Roman"/>
                <w:sz w:val="12"/>
              </w:rPr>
            </w:pPr>
          </w:p>
        </w:tc>
        <w:tc>
          <w:tcPr>
            <w:tcW w:w="462" w:type="dxa"/>
            <w:shd w:val="clear" w:color="auto" w:fill="CCE7D3"/>
          </w:tcPr>
          <w:p w14:paraId="1314FAA7" w14:textId="77777777" w:rsidR="009948F1" w:rsidRDefault="009948F1">
            <w:pPr>
              <w:pStyle w:val="TableParagraph"/>
              <w:rPr>
                <w:b/>
                <w:sz w:val="14"/>
              </w:rPr>
            </w:pPr>
          </w:p>
          <w:p w14:paraId="26E0A10D" w14:textId="77777777" w:rsidR="009948F1" w:rsidRDefault="009948F1">
            <w:pPr>
              <w:pStyle w:val="TableParagraph"/>
              <w:spacing w:before="11"/>
              <w:rPr>
                <w:b/>
                <w:sz w:val="14"/>
              </w:rPr>
            </w:pPr>
          </w:p>
          <w:p w14:paraId="128F3509" w14:textId="77777777" w:rsidR="009948F1" w:rsidRDefault="00BC0563">
            <w:pPr>
              <w:pStyle w:val="TableParagraph"/>
              <w:ind w:left="58"/>
              <w:rPr>
                <w:sz w:val="15"/>
              </w:rPr>
            </w:pPr>
            <w:r>
              <w:rPr>
                <w:color w:val="231F20"/>
                <w:w w:val="90"/>
                <w:sz w:val="15"/>
              </w:rPr>
              <w:t>1.4.4</w:t>
            </w:r>
          </w:p>
        </w:tc>
        <w:tc>
          <w:tcPr>
            <w:tcW w:w="3086" w:type="dxa"/>
            <w:gridSpan w:val="2"/>
            <w:shd w:val="clear" w:color="auto" w:fill="CCE7D3"/>
          </w:tcPr>
          <w:p w14:paraId="1AF24E6C" w14:textId="77777777" w:rsidR="009948F1" w:rsidRDefault="009948F1">
            <w:pPr>
              <w:pStyle w:val="TableParagraph"/>
              <w:spacing w:before="4"/>
              <w:rPr>
                <w:b/>
                <w:sz w:val="12"/>
              </w:rPr>
            </w:pPr>
          </w:p>
          <w:p w14:paraId="5CB748E5" w14:textId="77777777" w:rsidR="009948F1" w:rsidRDefault="00BC0563">
            <w:pPr>
              <w:pStyle w:val="TableParagraph"/>
              <w:spacing w:line="256" w:lineRule="auto"/>
              <w:ind w:left="25" w:firstLine="33"/>
              <w:rPr>
                <w:sz w:val="15"/>
              </w:rPr>
            </w:pPr>
            <w:r>
              <w:rPr>
                <w:color w:val="231F20"/>
                <w:w w:val="80"/>
                <w:sz w:val="15"/>
              </w:rPr>
              <w:t xml:space="preserve">Improve partnership with professional groups and other </w:t>
            </w:r>
            <w:r>
              <w:rPr>
                <w:color w:val="231F20"/>
                <w:w w:val="85"/>
                <w:sz w:val="15"/>
              </w:rPr>
              <w:t xml:space="preserve">relevant stakeholder for effective service delivery and </w:t>
            </w:r>
            <w:r>
              <w:rPr>
                <w:color w:val="231F20"/>
                <w:w w:val="90"/>
                <w:sz w:val="15"/>
              </w:rPr>
              <w:t>industrial harmony.</w:t>
            </w:r>
          </w:p>
        </w:tc>
        <w:tc>
          <w:tcPr>
            <w:tcW w:w="2423" w:type="dxa"/>
            <w:shd w:val="clear" w:color="auto" w:fill="CCE7D3"/>
          </w:tcPr>
          <w:p w14:paraId="7E7453DA" w14:textId="77777777" w:rsidR="009948F1" w:rsidRDefault="00BC0563">
            <w:pPr>
              <w:pStyle w:val="TableParagraph"/>
              <w:numPr>
                <w:ilvl w:val="0"/>
                <w:numId w:val="230"/>
              </w:numPr>
              <w:tabs>
                <w:tab w:val="left" w:pos="103"/>
              </w:tabs>
              <w:spacing w:before="56" w:line="256" w:lineRule="auto"/>
              <w:ind w:right="170" w:firstLine="0"/>
              <w:rPr>
                <w:sz w:val="15"/>
              </w:rPr>
            </w:pPr>
            <w:r>
              <w:rPr>
                <w:color w:val="231F20"/>
                <w:w w:val="80"/>
                <w:sz w:val="15"/>
              </w:rPr>
              <w:t xml:space="preserve">Professional bodies participate in health </w:t>
            </w:r>
            <w:r>
              <w:rPr>
                <w:color w:val="231F20"/>
                <w:w w:val="90"/>
                <w:sz w:val="15"/>
              </w:rPr>
              <w:t>care</w:t>
            </w:r>
            <w:r>
              <w:rPr>
                <w:color w:val="231F20"/>
                <w:spacing w:val="-7"/>
                <w:w w:val="90"/>
                <w:sz w:val="15"/>
              </w:rPr>
              <w:t xml:space="preserve"> </w:t>
            </w:r>
            <w:r>
              <w:rPr>
                <w:color w:val="231F20"/>
                <w:w w:val="90"/>
                <w:sz w:val="15"/>
              </w:rPr>
              <w:t>delivery</w:t>
            </w:r>
          </w:p>
          <w:p w14:paraId="4FC1CA28" w14:textId="77777777" w:rsidR="009948F1" w:rsidRDefault="00BC0563">
            <w:pPr>
              <w:pStyle w:val="TableParagraph"/>
              <w:spacing w:before="1"/>
              <w:ind w:left="26"/>
              <w:rPr>
                <w:sz w:val="15"/>
              </w:rPr>
            </w:pPr>
            <w:r>
              <w:rPr>
                <w:color w:val="231F20"/>
                <w:w w:val="80"/>
                <w:sz w:val="15"/>
              </w:rPr>
              <w:t>•</w:t>
            </w:r>
          </w:p>
          <w:p w14:paraId="58753307" w14:textId="77777777" w:rsidR="009948F1" w:rsidRDefault="00BC0563">
            <w:pPr>
              <w:pStyle w:val="TableParagraph"/>
              <w:spacing w:before="13"/>
              <w:ind w:left="26"/>
              <w:rPr>
                <w:sz w:val="15"/>
              </w:rPr>
            </w:pPr>
            <w:r>
              <w:rPr>
                <w:color w:val="231F20"/>
                <w:w w:val="80"/>
                <w:sz w:val="15"/>
              </w:rPr>
              <w:t>•</w:t>
            </w:r>
          </w:p>
        </w:tc>
        <w:tc>
          <w:tcPr>
            <w:tcW w:w="1451" w:type="dxa"/>
            <w:tcBorders>
              <w:right w:val="single" w:sz="8" w:space="0" w:color="231F20"/>
            </w:tcBorders>
            <w:shd w:val="clear" w:color="auto" w:fill="CCE7D3"/>
          </w:tcPr>
          <w:p w14:paraId="23336CDC"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06E3FB2F" w14:textId="77777777" w:rsidR="009948F1" w:rsidRDefault="009948F1">
            <w:pPr>
              <w:pStyle w:val="TableParagraph"/>
              <w:rPr>
                <w:rFonts w:ascii="Times New Roman"/>
                <w:sz w:val="12"/>
              </w:rPr>
            </w:pPr>
          </w:p>
        </w:tc>
      </w:tr>
      <w:tr w:rsidR="009948F1" w14:paraId="5EE71BF6" w14:textId="77777777">
        <w:trPr>
          <w:trHeight w:val="612"/>
        </w:trPr>
        <w:tc>
          <w:tcPr>
            <w:tcW w:w="869" w:type="dxa"/>
            <w:gridSpan w:val="2"/>
            <w:tcBorders>
              <w:top w:val="nil"/>
              <w:left w:val="single" w:sz="8" w:space="0" w:color="231F20"/>
              <w:bottom w:val="nil"/>
            </w:tcBorders>
          </w:tcPr>
          <w:p w14:paraId="5C52BD18" w14:textId="77777777" w:rsidR="009948F1" w:rsidRDefault="009948F1">
            <w:pPr>
              <w:pStyle w:val="TableParagraph"/>
              <w:rPr>
                <w:rFonts w:ascii="Times New Roman"/>
                <w:sz w:val="12"/>
              </w:rPr>
            </w:pPr>
          </w:p>
        </w:tc>
        <w:tc>
          <w:tcPr>
            <w:tcW w:w="534" w:type="dxa"/>
          </w:tcPr>
          <w:p w14:paraId="6D2D2632" w14:textId="77777777" w:rsidR="009948F1" w:rsidRDefault="009948F1">
            <w:pPr>
              <w:pStyle w:val="TableParagraph"/>
              <w:spacing w:before="1"/>
              <w:rPr>
                <w:b/>
                <w:sz w:val="19"/>
              </w:rPr>
            </w:pPr>
          </w:p>
          <w:p w14:paraId="781F3C41" w14:textId="77777777" w:rsidR="009948F1" w:rsidRDefault="00BC0563">
            <w:pPr>
              <w:pStyle w:val="TableParagraph"/>
              <w:spacing w:before="1"/>
              <w:ind w:left="33" w:right="12"/>
              <w:jc w:val="center"/>
              <w:rPr>
                <w:sz w:val="15"/>
              </w:rPr>
            </w:pPr>
            <w:r>
              <w:rPr>
                <w:color w:val="231F20"/>
                <w:w w:val="85"/>
                <w:sz w:val="15"/>
              </w:rPr>
              <w:t>1.4.4.a</w:t>
            </w:r>
          </w:p>
        </w:tc>
        <w:tc>
          <w:tcPr>
            <w:tcW w:w="4975" w:type="dxa"/>
            <w:gridSpan w:val="2"/>
          </w:tcPr>
          <w:p w14:paraId="61577FA0" w14:textId="77777777" w:rsidR="009948F1" w:rsidRDefault="00BC0563">
            <w:pPr>
              <w:pStyle w:val="TableParagraph"/>
              <w:spacing w:before="29"/>
              <w:ind w:left="25"/>
              <w:rPr>
                <w:sz w:val="15"/>
              </w:rPr>
            </w:pPr>
            <w:r>
              <w:rPr>
                <w:color w:val="231F20"/>
                <w:w w:val="85"/>
                <w:sz w:val="15"/>
              </w:rPr>
              <w:t>Develop</w:t>
            </w:r>
            <w:r>
              <w:rPr>
                <w:color w:val="231F20"/>
                <w:spacing w:val="-20"/>
                <w:w w:val="85"/>
                <w:sz w:val="15"/>
              </w:rPr>
              <w:t xml:space="preserve"> </w:t>
            </w:r>
            <w:r>
              <w:rPr>
                <w:color w:val="231F20"/>
                <w:w w:val="85"/>
                <w:sz w:val="15"/>
              </w:rPr>
              <w:t>MoU</w:t>
            </w:r>
            <w:r>
              <w:rPr>
                <w:color w:val="231F20"/>
                <w:spacing w:val="-19"/>
                <w:w w:val="85"/>
                <w:sz w:val="15"/>
              </w:rPr>
              <w:t xml:space="preserve"> </w:t>
            </w:r>
            <w:r>
              <w:rPr>
                <w:color w:val="231F20"/>
                <w:w w:val="85"/>
                <w:sz w:val="15"/>
              </w:rPr>
              <w:t>with</w:t>
            </w:r>
            <w:r>
              <w:rPr>
                <w:color w:val="231F20"/>
                <w:spacing w:val="-19"/>
                <w:w w:val="85"/>
                <w:sz w:val="15"/>
              </w:rPr>
              <w:t xml:space="preserve"> </w:t>
            </w:r>
            <w:r>
              <w:rPr>
                <w:color w:val="231F20"/>
                <w:w w:val="85"/>
                <w:sz w:val="15"/>
              </w:rPr>
              <w:t>relevant</w:t>
            </w:r>
            <w:r>
              <w:rPr>
                <w:color w:val="231F20"/>
                <w:spacing w:val="-19"/>
                <w:w w:val="85"/>
                <w:sz w:val="15"/>
              </w:rPr>
              <w:t xml:space="preserve"> </w:t>
            </w:r>
            <w:r>
              <w:rPr>
                <w:color w:val="231F20"/>
                <w:w w:val="85"/>
                <w:sz w:val="15"/>
              </w:rPr>
              <w:t>professional</w:t>
            </w:r>
            <w:r>
              <w:rPr>
                <w:color w:val="231F20"/>
                <w:spacing w:val="-19"/>
                <w:w w:val="85"/>
                <w:sz w:val="15"/>
              </w:rPr>
              <w:t xml:space="preserve"> </w:t>
            </w:r>
            <w:r>
              <w:rPr>
                <w:color w:val="231F20"/>
                <w:w w:val="85"/>
                <w:sz w:val="15"/>
              </w:rPr>
              <w:t>bodies</w:t>
            </w:r>
            <w:r>
              <w:rPr>
                <w:color w:val="231F20"/>
                <w:spacing w:val="-19"/>
                <w:w w:val="85"/>
                <w:sz w:val="15"/>
              </w:rPr>
              <w:t xml:space="preserve"> </w:t>
            </w:r>
            <w:r>
              <w:rPr>
                <w:color w:val="231F20"/>
                <w:w w:val="85"/>
                <w:sz w:val="15"/>
              </w:rPr>
              <w:t>(e.g.</w:t>
            </w:r>
            <w:r>
              <w:rPr>
                <w:color w:val="231F20"/>
                <w:spacing w:val="-19"/>
                <w:w w:val="85"/>
                <w:sz w:val="15"/>
              </w:rPr>
              <w:t xml:space="preserve"> </w:t>
            </w:r>
            <w:r>
              <w:rPr>
                <w:color w:val="231F20"/>
                <w:w w:val="85"/>
                <w:sz w:val="15"/>
              </w:rPr>
              <w:t>SOGON)</w:t>
            </w:r>
            <w:r>
              <w:rPr>
                <w:color w:val="231F20"/>
                <w:spacing w:val="-20"/>
                <w:w w:val="85"/>
                <w:sz w:val="15"/>
              </w:rPr>
              <w:t xml:space="preserve"> </w:t>
            </w:r>
            <w:r>
              <w:rPr>
                <w:color w:val="231F20"/>
                <w:w w:val="85"/>
                <w:sz w:val="15"/>
              </w:rPr>
              <w:t>and</w:t>
            </w:r>
            <w:r>
              <w:rPr>
                <w:color w:val="231F20"/>
                <w:spacing w:val="-19"/>
                <w:w w:val="85"/>
                <w:sz w:val="15"/>
              </w:rPr>
              <w:t xml:space="preserve"> </w:t>
            </w:r>
            <w:r>
              <w:rPr>
                <w:color w:val="231F20"/>
                <w:w w:val="85"/>
                <w:sz w:val="15"/>
              </w:rPr>
              <w:t>other</w:t>
            </w:r>
            <w:r>
              <w:rPr>
                <w:color w:val="231F20"/>
                <w:spacing w:val="-19"/>
                <w:w w:val="85"/>
                <w:sz w:val="15"/>
              </w:rPr>
              <w:t xml:space="preserve"> </w:t>
            </w:r>
            <w:r>
              <w:rPr>
                <w:color w:val="231F20"/>
                <w:w w:val="85"/>
                <w:sz w:val="15"/>
              </w:rPr>
              <w:t>key</w:t>
            </w:r>
            <w:r>
              <w:rPr>
                <w:color w:val="231F20"/>
                <w:spacing w:val="-19"/>
                <w:w w:val="85"/>
                <w:sz w:val="15"/>
              </w:rPr>
              <w:t xml:space="preserve"> </w:t>
            </w:r>
            <w:r>
              <w:rPr>
                <w:color w:val="231F20"/>
                <w:w w:val="85"/>
                <w:sz w:val="15"/>
              </w:rPr>
              <w:t>stakeholders</w:t>
            </w:r>
          </w:p>
          <w:p w14:paraId="74C7FA42" w14:textId="77777777" w:rsidR="009948F1" w:rsidRDefault="00BC0563">
            <w:pPr>
              <w:pStyle w:val="TableParagraph"/>
              <w:spacing w:before="12" w:line="256" w:lineRule="auto"/>
              <w:ind w:left="25" w:right="415"/>
              <w:rPr>
                <w:sz w:val="15"/>
              </w:rPr>
            </w:pPr>
            <w:proofErr w:type="spellStart"/>
            <w:r>
              <w:rPr>
                <w:color w:val="231F20"/>
                <w:w w:val="85"/>
                <w:sz w:val="15"/>
              </w:rPr>
              <w:t>e.g</w:t>
            </w:r>
            <w:proofErr w:type="spellEnd"/>
            <w:r>
              <w:rPr>
                <w:color w:val="231F20"/>
                <w:spacing w:val="-22"/>
                <w:w w:val="85"/>
                <w:sz w:val="15"/>
              </w:rPr>
              <w:t xml:space="preserve"> </w:t>
            </w:r>
            <w:r>
              <w:rPr>
                <w:color w:val="231F20"/>
                <w:w w:val="85"/>
                <w:sz w:val="15"/>
              </w:rPr>
              <w:t>FBOs,</w:t>
            </w:r>
            <w:r>
              <w:rPr>
                <w:color w:val="231F20"/>
                <w:spacing w:val="-22"/>
                <w:w w:val="85"/>
                <w:sz w:val="15"/>
              </w:rPr>
              <w:t xml:space="preserve"> </w:t>
            </w:r>
            <w:r>
              <w:rPr>
                <w:color w:val="231F20"/>
                <w:w w:val="85"/>
                <w:sz w:val="15"/>
              </w:rPr>
              <w:t>to</w:t>
            </w:r>
            <w:r>
              <w:rPr>
                <w:color w:val="231F20"/>
                <w:spacing w:val="-22"/>
                <w:w w:val="85"/>
                <w:sz w:val="15"/>
              </w:rPr>
              <w:t xml:space="preserve"> </w:t>
            </w:r>
            <w:r>
              <w:rPr>
                <w:color w:val="231F20"/>
                <w:w w:val="85"/>
                <w:sz w:val="15"/>
              </w:rPr>
              <w:t>promote</w:t>
            </w:r>
            <w:r>
              <w:rPr>
                <w:color w:val="231F20"/>
                <w:spacing w:val="-22"/>
                <w:w w:val="85"/>
                <w:sz w:val="15"/>
              </w:rPr>
              <w:t xml:space="preserve"> </w:t>
            </w:r>
            <w:r>
              <w:rPr>
                <w:color w:val="231F20"/>
                <w:w w:val="85"/>
                <w:sz w:val="15"/>
              </w:rPr>
              <w:t>participation</w:t>
            </w:r>
            <w:r>
              <w:rPr>
                <w:color w:val="231F20"/>
                <w:spacing w:val="-22"/>
                <w:w w:val="85"/>
                <w:sz w:val="15"/>
              </w:rPr>
              <w:t xml:space="preserve"> </w:t>
            </w:r>
            <w:r>
              <w:rPr>
                <w:color w:val="231F20"/>
                <w:w w:val="85"/>
                <w:sz w:val="15"/>
              </w:rPr>
              <w:t>of</w:t>
            </w:r>
            <w:r>
              <w:rPr>
                <w:color w:val="231F20"/>
                <w:spacing w:val="-22"/>
                <w:w w:val="85"/>
                <w:sz w:val="15"/>
              </w:rPr>
              <w:t xml:space="preserve"> </w:t>
            </w:r>
            <w:r>
              <w:rPr>
                <w:color w:val="231F20"/>
                <w:w w:val="85"/>
                <w:sz w:val="15"/>
              </w:rPr>
              <w:t>the</w:t>
            </w:r>
            <w:r>
              <w:rPr>
                <w:color w:val="231F20"/>
                <w:spacing w:val="-21"/>
                <w:w w:val="85"/>
                <w:sz w:val="15"/>
              </w:rPr>
              <w:t xml:space="preserve"> </w:t>
            </w:r>
            <w:r>
              <w:rPr>
                <w:color w:val="231F20"/>
                <w:w w:val="85"/>
                <w:sz w:val="15"/>
              </w:rPr>
              <w:t>professional</w:t>
            </w:r>
            <w:r>
              <w:rPr>
                <w:color w:val="231F20"/>
                <w:spacing w:val="-22"/>
                <w:w w:val="85"/>
                <w:sz w:val="15"/>
              </w:rPr>
              <w:t xml:space="preserve"> </w:t>
            </w:r>
            <w:r>
              <w:rPr>
                <w:color w:val="231F20"/>
                <w:w w:val="85"/>
                <w:sz w:val="15"/>
              </w:rPr>
              <w:t>bodies</w:t>
            </w:r>
            <w:r>
              <w:rPr>
                <w:color w:val="231F20"/>
                <w:spacing w:val="-22"/>
                <w:w w:val="85"/>
                <w:sz w:val="15"/>
              </w:rPr>
              <w:t xml:space="preserve"> </w:t>
            </w:r>
            <w:r>
              <w:rPr>
                <w:color w:val="231F20"/>
                <w:w w:val="85"/>
                <w:sz w:val="15"/>
              </w:rPr>
              <w:t>to</w:t>
            </w:r>
            <w:r>
              <w:rPr>
                <w:color w:val="231F20"/>
                <w:spacing w:val="-22"/>
                <w:w w:val="85"/>
                <w:sz w:val="15"/>
              </w:rPr>
              <w:t xml:space="preserve"> </w:t>
            </w:r>
            <w:r>
              <w:rPr>
                <w:color w:val="231F20"/>
                <w:w w:val="85"/>
                <w:sz w:val="15"/>
              </w:rPr>
              <w:t>enhance</w:t>
            </w:r>
            <w:r>
              <w:rPr>
                <w:color w:val="231F20"/>
                <w:spacing w:val="-22"/>
                <w:w w:val="85"/>
                <w:sz w:val="15"/>
              </w:rPr>
              <w:t xml:space="preserve"> </w:t>
            </w:r>
            <w:r>
              <w:rPr>
                <w:color w:val="231F20"/>
                <w:w w:val="85"/>
                <w:sz w:val="15"/>
              </w:rPr>
              <w:t>health</w:t>
            </w:r>
            <w:r>
              <w:rPr>
                <w:color w:val="231F20"/>
                <w:spacing w:val="-22"/>
                <w:w w:val="85"/>
                <w:sz w:val="15"/>
              </w:rPr>
              <w:t xml:space="preserve"> </w:t>
            </w:r>
            <w:r>
              <w:rPr>
                <w:color w:val="231F20"/>
                <w:w w:val="85"/>
                <w:sz w:val="15"/>
              </w:rPr>
              <w:t xml:space="preserve">care </w:t>
            </w:r>
            <w:r>
              <w:rPr>
                <w:color w:val="231F20"/>
                <w:w w:val="90"/>
                <w:sz w:val="15"/>
              </w:rPr>
              <w:t>service</w:t>
            </w:r>
            <w:r>
              <w:rPr>
                <w:color w:val="231F20"/>
                <w:spacing w:val="-8"/>
                <w:w w:val="90"/>
                <w:sz w:val="15"/>
              </w:rPr>
              <w:t xml:space="preserve"> </w:t>
            </w:r>
            <w:r>
              <w:rPr>
                <w:color w:val="231F20"/>
                <w:w w:val="90"/>
                <w:sz w:val="15"/>
              </w:rPr>
              <w:t>delivery</w:t>
            </w:r>
            <w:r>
              <w:rPr>
                <w:color w:val="231F20"/>
                <w:spacing w:val="-8"/>
                <w:w w:val="90"/>
                <w:sz w:val="15"/>
              </w:rPr>
              <w:t xml:space="preserve"> </w:t>
            </w:r>
            <w:r>
              <w:rPr>
                <w:color w:val="231F20"/>
                <w:w w:val="90"/>
                <w:sz w:val="15"/>
              </w:rPr>
              <w:t>quality</w:t>
            </w:r>
            <w:r>
              <w:rPr>
                <w:color w:val="231F20"/>
                <w:spacing w:val="-7"/>
                <w:w w:val="90"/>
                <w:sz w:val="15"/>
              </w:rPr>
              <w:t xml:space="preserve"> </w:t>
            </w:r>
            <w:r>
              <w:rPr>
                <w:color w:val="231F20"/>
                <w:w w:val="90"/>
                <w:sz w:val="15"/>
              </w:rPr>
              <w:t>and</w:t>
            </w:r>
            <w:r>
              <w:rPr>
                <w:color w:val="231F20"/>
                <w:spacing w:val="-8"/>
                <w:w w:val="90"/>
                <w:sz w:val="15"/>
              </w:rPr>
              <w:t xml:space="preserve"> </w:t>
            </w:r>
            <w:r>
              <w:rPr>
                <w:color w:val="231F20"/>
                <w:w w:val="90"/>
                <w:sz w:val="15"/>
              </w:rPr>
              <w:t>coverage</w:t>
            </w:r>
          </w:p>
        </w:tc>
        <w:tc>
          <w:tcPr>
            <w:tcW w:w="1451" w:type="dxa"/>
            <w:tcBorders>
              <w:right w:val="single" w:sz="8" w:space="0" w:color="231F20"/>
            </w:tcBorders>
          </w:tcPr>
          <w:p w14:paraId="36D8ADB6" w14:textId="77777777" w:rsidR="009948F1" w:rsidRDefault="009948F1">
            <w:pPr>
              <w:pStyle w:val="TableParagraph"/>
              <w:spacing w:before="1"/>
              <w:rPr>
                <w:b/>
                <w:sz w:val="19"/>
              </w:rPr>
            </w:pPr>
          </w:p>
          <w:p w14:paraId="318D0326" w14:textId="77777777" w:rsidR="009948F1" w:rsidRDefault="00BC0563">
            <w:pPr>
              <w:pStyle w:val="TableParagraph"/>
              <w:spacing w:before="1"/>
              <w:ind w:left="26"/>
              <w:rPr>
                <w:sz w:val="15"/>
              </w:rPr>
            </w:pPr>
            <w:r>
              <w:rPr>
                <w:color w:val="231F20"/>
                <w:w w:val="90"/>
                <w:sz w:val="15"/>
              </w:rPr>
              <w:t>Lack of funds</w:t>
            </w:r>
          </w:p>
        </w:tc>
        <w:tc>
          <w:tcPr>
            <w:tcW w:w="1528" w:type="dxa"/>
            <w:tcBorders>
              <w:left w:val="single" w:sz="8" w:space="0" w:color="231F20"/>
            </w:tcBorders>
          </w:tcPr>
          <w:p w14:paraId="09BE8F17" w14:textId="77777777" w:rsidR="009948F1" w:rsidRDefault="009948F1">
            <w:pPr>
              <w:pStyle w:val="TableParagraph"/>
              <w:spacing w:before="1"/>
              <w:rPr>
                <w:b/>
                <w:sz w:val="19"/>
              </w:rPr>
            </w:pPr>
          </w:p>
          <w:p w14:paraId="6E84275D" w14:textId="77777777" w:rsidR="009948F1" w:rsidRDefault="00BC0563">
            <w:pPr>
              <w:pStyle w:val="TableParagraph"/>
              <w:spacing w:before="1"/>
              <w:ind w:left="23"/>
              <w:rPr>
                <w:sz w:val="15"/>
              </w:rPr>
            </w:pPr>
            <w:r>
              <w:rPr>
                <w:color w:val="231F20"/>
                <w:w w:val="90"/>
                <w:sz w:val="15"/>
              </w:rPr>
              <w:t>No cost</w:t>
            </w:r>
          </w:p>
        </w:tc>
      </w:tr>
      <w:tr w:rsidR="009948F1" w14:paraId="4327F2FD" w14:textId="77777777">
        <w:trPr>
          <w:trHeight w:val="840"/>
        </w:trPr>
        <w:tc>
          <w:tcPr>
            <w:tcW w:w="407" w:type="dxa"/>
            <w:tcBorders>
              <w:top w:val="nil"/>
              <w:left w:val="single" w:sz="8" w:space="0" w:color="231F20"/>
              <w:bottom w:val="nil"/>
            </w:tcBorders>
          </w:tcPr>
          <w:p w14:paraId="63288BE6" w14:textId="77777777" w:rsidR="009948F1" w:rsidRDefault="009948F1">
            <w:pPr>
              <w:pStyle w:val="TableParagraph"/>
              <w:rPr>
                <w:rFonts w:ascii="Times New Roman"/>
                <w:sz w:val="12"/>
              </w:rPr>
            </w:pPr>
          </w:p>
        </w:tc>
        <w:tc>
          <w:tcPr>
            <w:tcW w:w="462" w:type="dxa"/>
            <w:shd w:val="clear" w:color="auto" w:fill="CCE7D3"/>
          </w:tcPr>
          <w:p w14:paraId="258BE719" w14:textId="77777777" w:rsidR="009948F1" w:rsidRDefault="009948F1">
            <w:pPr>
              <w:pStyle w:val="TableParagraph"/>
              <w:rPr>
                <w:b/>
                <w:sz w:val="14"/>
              </w:rPr>
            </w:pPr>
          </w:p>
          <w:p w14:paraId="032D7D2E" w14:textId="77777777" w:rsidR="009948F1" w:rsidRDefault="009948F1">
            <w:pPr>
              <w:pStyle w:val="TableParagraph"/>
              <w:spacing w:before="11"/>
              <w:rPr>
                <w:b/>
                <w:sz w:val="14"/>
              </w:rPr>
            </w:pPr>
          </w:p>
          <w:p w14:paraId="0328120D" w14:textId="77777777" w:rsidR="009948F1" w:rsidRDefault="00BC0563">
            <w:pPr>
              <w:pStyle w:val="TableParagraph"/>
              <w:ind w:left="58"/>
              <w:rPr>
                <w:sz w:val="15"/>
              </w:rPr>
            </w:pPr>
            <w:r>
              <w:rPr>
                <w:color w:val="231F20"/>
                <w:w w:val="90"/>
                <w:sz w:val="15"/>
              </w:rPr>
              <w:t>1.4.5</w:t>
            </w:r>
          </w:p>
        </w:tc>
        <w:tc>
          <w:tcPr>
            <w:tcW w:w="3086" w:type="dxa"/>
            <w:gridSpan w:val="2"/>
            <w:shd w:val="clear" w:color="auto" w:fill="CCE7D3"/>
          </w:tcPr>
          <w:p w14:paraId="33492304" w14:textId="77777777" w:rsidR="009948F1" w:rsidRDefault="009948F1">
            <w:pPr>
              <w:pStyle w:val="TableParagraph"/>
              <w:spacing w:before="5"/>
              <w:rPr>
                <w:b/>
                <w:sz w:val="20"/>
              </w:rPr>
            </w:pPr>
          </w:p>
          <w:p w14:paraId="17D113F6" w14:textId="77777777" w:rsidR="009948F1" w:rsidRDefault="00BC0563">
            <w:pPr>
              <w:pStyle w:val="TableParagraph"/>
              <w:spacing w:line="256" w:lineRule="auto"/>
              <w:ind w:left="25" w:right="45" w:firstLine="33"/>
              <w:rPr>
                <w:sz w:val="15"/>
              </w:rPr>
            </w:pPr>
            <w:r>
              <w:rPr>
                <w:color w:val="231F20"/>
                <w:w w:val="80"/>
                <w:sz w:val="15"/>
              </w:rPr>
              <w:t xml:space="preserve">Strengthen implementation of Health Service Charters </w:t>
            </w:r>
            <w:r>
              <w:rPr>
                <w:color w:val="231F20"/>
                <w:w w:val="90"/>
                <w:sz w:val="15"/>
              </w:rPr>
              <w:t>at all levels</w:t>
            </w:r>
          </w:p>
        </w:tc>
        <w:tc>
          <w:tcPr>
            <w:tcW w:w="2423" w:type="dxa"/>
            <w:shd w:val="clear" w:color="auto" w:fill="CCE7D3"/>
          </w:tcPr>
          <w:p w14:paraId="4AF78973" w14:textId="77777777" w:rsidR="009948F1" w:rsidRDefault="00BC0563">
            <w:pPr>
              <w:pStyle w:val="TableParagraph"/>
              <w:numPr>
                <w:ilvl w:val="0"/>
                <w:numId w:val="229"/>
              </w:numPr>
              <w:tabs>
                <w:tab w:val="left" w:pos="103"/>
              </w:tabs>
              <w:spacing w:before="56" w:line="256" w:lineRule="auto"/>
              <w:ind w:right="197" w:firstLine="0"/>
              <w:rPr>
                <w:sz w:val="15"/>
              </w:rPr>
            </w:pPr>
            <w:r>
              <w:rPr>
                <w:color w:val="231F20"/>
                <w:w w:val="85"/>
                <w:sz w:val="15"/>
              </w:rPr>
              <w:t>Health</w:t>
            </w:r>
            <w:r>
              <w:rPr>
                <w:color w:val="231F20"/>
                <w:spacing w:val="-21"/>
                <w:w w:val="85"/>
                <w:sz w:val="15"/>
              </w:rPr>
              <w:t xml:space="preserve"> </w:t>
            </w:r>
            <w:r>
              <w:rPr>
                <w:color w:val="231F20"/>
                <w:w w:val="85"/>
                <w:sz w:val="15"/>
              </w:rPr>
              <w:t>service</w:t>
            </w:r>
            <w:r>
              <w:rPr>
                <w:color w:val="231F20"/>
                <w:spacing w:val="-20"/>
                <w:w w:val="85"/>
                <w:sz w:val="15"/>
              </w:rPr>
              <w:t xml:space="preserve"> </w:t>
            </w:r>
            <w:r>
              <w:rPr>
                <w:color w:val="231F20"/>
                <w:w w:val="85"/>
                <w:sz w:val="15"/>
              </w:rPr>
              <w:t>charters</w:t>
            </w:r>
            <w:r>
              <w:rPr>
                <w:color w:val="231F20"/>
                <w:spacing w:val="-20"/>
                <w:w w:val="85"/>
                <w:sz w:val="15"/>
              </w:rPr>
              <w:t xml:space="preserve"> </w:t>
            </w:r>
            <w:r>
              <w:rPr>
                <w:color w:val="231F20"/>
                <w:w w:val="85"/>
                <w:sz w:val="15"/>
              </w:rPr>
              <w:t>functional</w:t>
            </w:r>
            <w:r>
              <w:rPr>
                <w:color w:val="231F20"/>
                <w:spacing w:val="-21"/>
                <w:w w:val="85"/>
                <w:sz w:val="15"/>
              </w:rPr>
              <w:t xml:space="preserve"> </w:t>
            </w:r>
            <w:r>
              <w:rPr>
                <w:color w:val="231F20"/>
                <w:w w:val="85"/>
                <w:sz w:val="15"/>
              </w:rPr>
              <w:t>at</w:t>
            </w:r>
            <w:r>
              <w:rPr>
                <w:color w:val="231F20"/>
                <w:spacing w:val="-5"/>
                <w:w w:val="85"/>
                <w:sz w:val="15"/>
              </w:rPr>
              <w:t xml:space="preserve"> </w:t>
            </w:r>
            <w:r>
              <w:rPr>
                <w:color w:val="231F20"/>
                <w:w w:val="85"/>
                <w:sz w:val="15"/>
              </w:rPr>
              <w:t xml:space="preserve">all </w:t>
            </w:r>
            <w:r>
              <w:rPr>
                <w:color w:val="231F20"/>
                <w:w w:val="90"/>
                <w:sz w:val="15"/>
              </w:rPr>
              <w:t>levels</w:t>
            </w:r>
          </w:p>
          <w:p w14:paraId="1560ECC0" w14:textId="77777777" w:rsidR="009948F1" w:rsidRDefault="00BC0563">
            <w:pPr>
              <w:pStyle w:val="TableParagraph"/>
              <w:spacing w:before="1"/>
              <w:ind w:left="26"/>
              <w:rPr>
                <w:sz w:val="15"/>
              </w:rPr>
            </w:pPr>
            <w:r>
              <w:rPr>
                <w:color w:val="231F20"/>
                <w:w w:val="80"/>
                <w:sz w:val="15"/>
              </w:rPr>
              <w:t>•</w:t>
            </w:r>
          </w:p>
          <w:p w14:paraId="426751C6" w14:textId="77777777" w:rsidR="009948F1" w:rsidRDefault="00BC0563">
            <w:pPr>
              <w:pStyle w:val="TableParagraph"/>
              <w:spacing w:before="13"/>
              <w:ind w:left="26"/>
              <w:rPr>
                <w:sz w:val="15"/>
              </w:rPr>
            </w:pPr>
            <w:r>
              <w:rPr>
                <w:color w:val="231F20"/>
                <w:w w:val="80"/>
                <w:sz w:val="15"/>
              </w:rPr>
              <w:t>•</w:t>
            </w:r>
          </w:p>
        </w:tc>
        <w:tc>
          <w:tcPr>
            <w:tcW w:w="1451" w:type="dxa"/>
            <w:tcBorders>
              <w:right w:val="single" w:sz="8" w:space="0" w:color="231F20"/>
            </w:tcBorders>
            <w:shd w:val="clear" w:color="auto" w:fill="CCE7D3"/>
          </w:tcPr>
          <w:p w14:paraId="10B8F279"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223AC1C2" w14:textId="77777777" w:rsidR="009948F1" w:rsidRDefault="009948F1">
            <w:pPr>
              <w:pStyle w:val="TableParagraph"/>
              <w:rPr>
                <w:rFonts w:ascii="Times New Roman"/>
                <w:sz w:val="12"/>
              </w:rPr>
            </w:pPr>
          </w:p>
        </w:tc>
      </w:tr>
      <w:tr w:rsidR="009948F1" w14:paraId="014ED0E6" w14:textId="77777777">
        <w:trPr>
          <w:trHeight w:val="639"/>
        </w:trPr>
        <w:tc>
          <w:tcPr>
            <w:tcW w:w="869" w:type="dxa"/>
            <w:gridSpan w:val="2"/>
            <w:tcBorders>
              <w:top w:val="nil"/>
              <w:left w:val="single" w:sz="8" w:space="0" w:color="231F20"/>
              <w:bottom w:val="nil"/>
            </w:tcBorders>
          </w:tcPr>
          <w:p w14:paraId="6EA1A0A2" w14:textId="77777777" w:rsidR="009948F1" w:rsidRDefault="009948F1">
            <w:pPr>
              <w:pStyle w:val="TableParagraph"/>
              <w:rPr>
                <w:rFonts w:ascii="Times New Roman"/>
                <w:sz w:val="12"/>
              </w:rPr>
            </w:pPr>
          </w:p>
        </w:tc>
        <w:tc>
          <w:tcPr>
            <w:tcW w:w="534" w:type="dxa"/>
          </w:tcPr>
          <w:p w14:paraId="499C670E" w14:textId="77777777" w:rsidR="009948F1" w:rsidRDefault="009948F1">
            <w:pPr>
              <w:pStyle w:val="TableParagraph"/>
              <w:spacing w:before="3"/>
              <w:rPr>
                <w:b/>
                <w:sz w:val="20"/>
              </w:rPr>
            </w:pPr>
          </w:p>
          <w:p w14:paraId="102A55D6" w14:textId="77777777" w:rsidR="009948F1" w:rsidRDefault="00BC0563">
            <w:pPr>
              <w:pStyle w:val="TableParagraph"/>
              <w:spacing w:before="1"/>
              <w:ind w:left="33" w:right="12"/>
              <w:jc w:val="center"/>
              <w:rPr>
                <w:sz w:val="15"/>
              </w:rPr>
            </w:pPr>
            <w:r>
              <w:rPr>
                <w:color w:val="231F20"/>
                <w:w w:val="85"/>
                <w:sz w:val="15"/>
              </w:rPr>
              <w:t>1.4.5.a</w:t>
            </w:r>
          </w:p>
        </w:tc>
        <w:tc>
          <w:tcPr>
            <w:tcW w:w="4975" w:type="dxa"/>
            <w:gridSpan w:val="2"/>
          </w:tcPr>
          <w:p w14:paraId="432BACBD" w14:textId="77777777" w:rsidR="009948F1" w:rsidRDefault="009948F1">
            <w:pPr>
              <w:pStyle w:val="TableParagraph"/>
              <w:spacing w:before="9"/>
              <w:rPr>
                <w:b/>
                <w:sz w:val="19"/>
              </w:rPr>
            </w:pPr>
          </w:p>
          <w:p w14:paraId="7D8E98C3" w14:textId="77777777" w:rsidR="009948F1" w:rsidRDefault="00BC0563">
            <w:pPr>
              <w:pStyle w:val="TableParagraph"/>
              <w:ind w:left="25"/>
              <w:rPr>
                <w:sz w:val="15"/>
              </w:rPr>
            </w:pPr>
            <w:r>
              <w:rPr>
                <w:color w:val="231F20"/>
                <w:w w:val="90"/>
                <w:sz w:val="15"/>
              </w:rPr>
              <w:t>Empower health service charters at all levels in the State</w:t>
            </w:r>
          </w:p>
        </w:tc>
        <w:tc>
          <w:tcPr>
            <w:tcW w:w="1451" w:type="dxa"/>
            <w:tcBorders>
              <w:right w:val="single" w:sz="8" w:space="0" w:color="231F20"/>
            </w:tcBorders>
          </w:tcPr>
          <w:p w14:paraId="62876354" w14:textId="77777777" w:rsidR="009948F1" w:rsidRDefault="009948F1">
            <w:pPr>
              <w:pStyle w:val="TableParagraph"/>
              <w:spacing w:before="3"/>
              <w:rPr>
                <w:b/>
                <w:sz w:val="20"/>
              </w:rPr>
            </w:pPr>
          </w:p>
          <w:p w14:paraId="7EFA7C55" w14:textId="77777777" w:rsidR="009948F1" w:rsidRDefault="00BC0563">
            <w:pPr>
              <w:pStyle w:val="TableParagraph"/>
              <w:spacing w:before="1"/>
              <w:ind w:left="26"/>
              <w:rPr>
                <w:sz w:val="15"/>
              </w:rPr>
            </w:pPr>
            <w:r>
              <w:rPr>
                <w:color w:val="231F20"/>
                <w:w w:val="90"/>
                <w:sz w:val="15"/>
              </w:rPr>
              <w:t>Lack of funds</w:t>
            </w:r>
          </w:p>
        </w:tc>
        <w:tc>
          <w:tcPr>
            <w:tcW w:w="1528" w:type="dxa"/>
            <w:tcBorders>
              <w:left w:val="single" w:sz="8" w:space="0" w:color="231F20"/>
            </w:tcBorders>
          </w:tcPr>
          <w:p w14:paraId="6A80BB84" w14:textId="77777777" w:rsidR="009948F1" w:rsidRDefault="009948F1">
            <w:pPr>
              <w:pStyle w:val="TableParagraph"/>
              <w:spacing w:before="3"/>
              <w:rPr>
                <w:b/>
                <w:sz w:val="20"/>
              </w:rPr>
            </w:pPr>
          </w:p>
          <w:p w14:paraId="67A6B3DB" w14:textId="77777777" w:rsidR="009948F1" w:rsidRDefault="00BC0563">
            <w:pPr>
              <w:pStyle w:val="TableParagraph"/>
              <w:spacing w:before="1"/>
              <w:ind w:left="23"/>
              <w:rPr>
                <w:sz w:val="15"/>
              </w:rPr>
            </w:pPr>
            <w:r>
              <w:rPr>
                <w:color w:val="231F20"/>
                <w:w w:val="80"/>
                <w:sz w:val="15"/>
              </w:rPr>
              <w:t>Convene bi-annual meeting</w:t>
            </w:r>
          </w:p>
        </w:tc>
      </w:tr>
      <w:tr w:rsidR="009948F1" w14:paraId="30070D53" w14:textId="77777777">
        <w:trPr>
          <w:trHeight w:val="1733"/>
        </w:trPr>
        <w:tc>
          <w:tcPr>
            <w:tcW w:w="407" w:type="dxa"/>
            <w:tcBorders>
              <w:top w:val="nil"/>
              <w:left w:val="single" w:sz="8" w:space="0" w:color="231F20"/>
              <w:bottom w:val="nil"/>
            </w:tcBorders>
          </w:tcPr>
          <w:p w14:paraId="47B0B017" w14:textId="77777777" w:rsidR="009948F1" w:rsidRDefault="009948F1">
            <w:pPr>
              <w:pStyle w:val="TableParagraph"/>
              <w:rPr>
                <w:rFonts w:ascii="Times New Roman"/>
                <w:sz w:val="12"/>
              </w:rPr>
            </w:pPr>
          </w:p>
        </w:tc>
        <w:tc>
          <w:tcPr>
            <w:tcW w:w="462" w:type="dxa"/>
            <w:shd w:val="clear" w:color="auto" w:fill="CCE7D3"/>
          </w:tcPr>
          <w:p w14:paraId="60604676" w14:textId="77777777" w:rsidR="009948F1" w:rsidRDefault="009948F1">
            <w:pPr>
              <w:pStyle w:val="TableParagraph"/>
              <w:rPr>
                <w:b/>
                <w:sz w:val="14"/>
              </w:rPr>
            </w:pPr>
          </w:p>
          <w:p w14:paraId="687BF595" w14:textId="77777777" w:rsidR="009948F1" w:rsidRDefault="009948F1">
            <w:pPr>
              <w:pStyle w:val="TableParagraph"/>
              <w:rPr>
                <w:b/>
                <w:sz w:val="14"/>
              </w:rPr>
            </w:pPr>
          </w:p>
          <w:p w14:paraId="7689315D" w14:textId="77777777" w:rsidR="009948F1" w:rsidRDefault="009948F1">
            <w:pPr>
              <w:pStyle w:val="TableParagraph"/>
              <w:rPr>
                <w:b/>
                <w:sz w:val="14"/>
              </w:rPr>
            </w:pPr>
          </w:p>
          <w:p w14:paraId="0837ADA2" w14:textId="77777777" w:rsidR="009948F1" w:rsidRDefault="009948F1">
            <w:pPr>
              <w:pStyle w:val="TableParagraph"/>
              <w:rPr>
                <w:b/>
                <w:sz w:val="14"/>
              </w:rPr>
            </w:pPr>
          </w:p>
          <w:p w14:paraId="5B0CC23E" w14:textId="77777777" w:rsidR="009948F1" w:rsidRDefault="009948F1">
            <w:pPr>
              <w:pStyle w:val="TableParagraph"/>
              <w:spacing w:before="9"/>
              <w:rPr>
                <w:b/>
                <w:sz w:val="11"/>
              </w:rPr>
            </w:pPr>
          </w:p>
          <w:p w14:paraId="1384ACAD" w14:textId="77777777" w:rsidR="009948F1" w:rsidRDefault="00BC0563">
            <w:pPr>
              <w:pStyle w:val="TableParagraph"/>
              <w:spacing w:before="1"/>
              <w:ind w:left="58"/>
              <w:rPr>
                <w:sz w:val="15"/>
              </w:rPr>
            </w:pPr>
            <w:r>
              <w:rPr>
                <w:color w:val="231F20"/>
                <w:w w:val="90"/>
                <w:sz w:val="15"/>
              </w:rPr>
              <w:t>1.4.6</w:t>
            </w:r>
          </w:p>
        </w:tc>
        <w:tc>
          <w:tcPr>
            <w:tcW w:w="3086" w:type="dxa"/>
            <w:gridSpan w:val="2"/>
            <w:shd w:val="clear" w:color="auto" w:fill="CCE7D3"/>
          </w:tcPr>
          <w:p w14:paraId="63E12EC1" w14:textId="77777777" w:rsidR="009948F1" w:rsidRDefault="009948F1">
            <w:pPr>
              <w:pStyle w:val="TableParagraph"/>
              <w:rPr>
                <w:b/>
                <w:sz w:val="14"/>
              </w:rPr>
            </w:pPr>
          </w:p>
          <w:p w14:paraId="50CB8E02" w14:textId="77777777" w:rsidR="009948F1" w:rsidRDefault="009948F1">
            <w:pPr>
              <w:pStyle w:val="TableParagraph"/>
              <w:rPr>
                <w:b/>
                <w:sz w:val="14"/>
              </w:rPr>
            </w:pPr>
          </w:p>
          <w:p w14:paraId="2C13D225" w14:textId="77777777" w:rsidR="009948F1" w:rsidRDefault="009948F1">
            <w:pPr>
              <w:pStyle w:val="TableParagraph"/>
              <w:rPr>
                <w:b/>
                <w:sz w:val="14"/>
              </w:rPr>
            </w:pPr>
          </w:p>
          <w:p w14:paraId="0F71B31B" w14:textId="77777777" w:rsidR="009948F1" w:rsidRDefault="00BC0563">
            <w:pPr>
              <w:pStyle w:val="TableParagraph"/>
              <w:spacing w:before="106" w:line="256" w:lineRule="auto"/>
              <w:ind w:left="25" w:right="364" w:firstLine="33"/>
              <w:rPr>
                <w:sz w:val="15"/>
              </w:rPr>
            </w:pPr>
            <w:r>
              <w:rPr>
                <w:color w:val="231F20"/>
                <w:w w:val="85"/>
                <w:sz w:val="15"/>
              </w:rPr>
              <w:t xml:space="preserve">Strengthen coordinating mechanism of health </w:t>
            </w:r>
            <w:r>
              <w:rPr>
                <w:color w:val="231F20"/>
                <w:w w:val="80"/>
                <w:sz w:val="15"/>
              </w:rPr>
              <w:t xml:space="preserve">development partners (Development Partners and </w:t>
            </w:r>
            <w:r>
              <w:rPr>
                <w:color w:val="231F20"/>
                <w:w w:val="90"/>
                <w:sz w:val="15"/>
              </w:rPr>
              <w:t>Private Sector Partners)</w:t>
            </w:r>
          </w:p>
        </w:tc>
        <w:tc>
          <w:tcPr>
            <w:tcW w:w="2423" w:type="dxa"/>
            <w:shd w:val="clear" w:color="auto" w:fill="CCE7D3"/>
          </w:tcPr>
          <w:p w14:paraId="17F0C83C" w14:textId="77777777" w:rsidR="009948F1" w:rsidRDefault="009948F1">
            <w:pPr>
              <w:pStyle w:val="TableParagraph"/>
              <w:spacing w:before="4"/>
              <w:rPr>
                <w:b/>
                <w:sz w:val="11"/>
              </w:rPr>
            </w:pPr>
          </w:p>
          <w:p w14:paraId="0B3E6CD5" w14:textId="77777777" w:rsidR="009948F1" w:rsidRDefault="00BC0563">
            <w:pPr>
              <w:pStyle w:val="TableParagraph"/>
              <w:numPr>
                <w:ilvl w:val="0"/>
                <w:numId w:val="228"/>
              </w:numPr>
              <w:tabs>
                <w:tab w:val="left" w:pos="103"/>
              </w:tabs>
              <w:spacing w:before="1" w:line="256" w:lineRule="auto"/>
              <w:ind w:right="231" w:firstLine="0"/>
              <w:rPr>
                <w:sz w:val="15"/>
              </w:rPr>
            </w:pPr>
            <w:r>
              <w:rPr>
                <w:color w:val="231F20"/>
                <w:w w:val="80"/>
                <w:sz w:val="15"/>
              </w:rPr>
              <w:t xml:space="preserve">Donor Coordination Forum established </w:t>
            </w:r>
            <w:r>
              <w:rPr>
                <w:color w:val="231F20"/>
                <w:w w:val="90"/>
                <w:sz w:val="15"/>
              </w:rPr>
              <w:t>and</w:t>
            </w:r>
            <w:r>
              <w:rPr>
                <w:color w:val="231F20"/>
                <w:spacing w:val="-11"/>
                <w:w w:val="90"/>
                <w:sz w:val="15"/>
              </w:rPr>
              <w:t xml:space="preserve"> </w:t>
            </w:r>
            <w:r>
              <w:rPr>
                <w:color w:val="231F20"/>
                <w:w w:val="90"/>
                <w:sz w:val="15"/>
              </w:rPr>
              <w:t>regular</w:t>
            </w:r>
            <w:r>
              <w:rPr>
                <w:color w:val="231F20"/>
                <w:spacing w:val="-11"/>
                <w:w w:val="90"/>
                <w:sz w:val="15"/>
              </w:rPr>
              <w:t xml:space="preserve"> </w:t>
            </w:r>
            <w:r>
              <w:rPr>
                <w:color w:val="231F20"/>
                <w:w w:val="90"/>
                <w:sz w:val="15"/>
              </w:rPr>
              <w:t>meetings</w:t>
            </w:r>
            <w:r>
              <w:rPr>
                <w:color w:val="231F20"/>
                <w:spacing w:val="-11"/>
                <w:w w:val="90"/>
                <w:sz w:val="15"/>
              </w:rPr>
              <w:t xml:space="preserve"> </w:t>
            </w:r>
            <w:r>
              <w:rPr>
                <w:color w:val="231F20"/>
                <w:w w:val="90"/>
                <w:sz w:val="15"/>
              </w:rPr>
              <w:t>held</w:t>
            </w:r>
          </w:p>
          <w:p w14:paraId="74E1E258" w14:textId="28D86B33" w:rsidR="009948F1" w:rsidRDefault="00BC0563">
            <w:pPr>
              <w:pStyle w:val="TableParagraph"/>
              <w:numPr>
                <w:ilvl w:val="0"/>
                <w:numId w:val="228"/>
              </w:numPr>
              <w:tabs>
                <w:tab w:val="left" w:pos="103"/>
              </w:tabs>
              <w:spacing w:before="1" w:line="256" w:lineRule="auto"/>
              <w:ind w:right="293" w:firstLine="0"/>
              <w:rPr>
                <w:sz w:val="15"/>
              </w:rPr>
            </w:pPr>
            <w:r>
              <w:rPr>
                <w:color w:val="231F20"/>
                <w:w w:val="90"/>
                <w:sz w:val="15"/>
              </w:rPr>
              <w:t xml:space="preserve">Reporting formats for all health </w:t>
            </w:r>
            <w:r>
              <w:rPr>
                <w:color w:val="231F20"/>
                <w:w w:val="85"/>
                <w:sz w:val="15"/>
              </w:rPr>
              <w:t>interventions</w:t>
            </w:r>
            <w:r>
              <w:rPr>
                <w:color w:val="231F20"/>
                <w:spacing w:val="-24"/>
                <w:w w:val="85"/>
                <w:sz w:val="15"/>
              </w:rPr>
              <w:t xml:space="preserve"> </w:t>
            </w:r>
            <w:r>
              <w:rPr>
                <w:color w:val="231F20"/>
                <w:w w:val="85"/>
                <w:sz w:val="15"/>
              </w:rPr>
              <w:t>in</w:t>
            </w:r>
            <w:r>
              <w:rPr>
                <w:color w:val="231F20"/>
                <w:spacing w:val="-24"/>
                <w:w w:val="85"/>
                <w:sz w:val="15"/>
              </w:rPr>
              <w:t xml:space="preserve"> </w:t>
            </w:r>
            <w:r>
              <w:rPr>
                <w:color w:val="231F20"/>
                <w:w w:val="85"/>
                <w:sz w:val="15"/>
              </w:rPr>
              <w:t>the</w:t>
            </w:r>
            <w:r>
              <w:rPr>
                <w:color w:val="231F20"/>
                <w:spacing w:val="-24"/>
                <w:w w:val="85"/>
                <w:sz w:val="15"/>
              </w:rPr>
              <w:t xml:space="preserve"> </w:t>
            </w:r>
            <w:r>
              <w:rPr>
                <w:color w:val="231F20"/>
                <w:w w:val="85"/>
                <w:sz w:val="15"/>
              </w:rPr>
              <w:t>state</w:t>
            </w:r>
            <w:r>
              <w:rPr>
                <w:color w:val="231F20"/>
                <w:spacing w:val="-24"/>
                <w:w w:val="85"/>
                <w:sz w:val="15"/>
              </w:rPr>
              <w:t xml:space="preserve"> </w:t>
            </w:r>
            <w:r>
              <w:rPr>
                <w:color w:val="231F20"/>
                <w:w w:val="85"/>
                <w:sz w:val="15"/>
              </w:rPr>
              <w:t>harmonized</w:t>
            </w:r>
            <w:r>
              <w:rPr>
                <w:color w:val="231F20"/>
                <w:spacing w:val="-24"/>
                <w:w w:val="85"/>
                <w:sz w:val="15"/>
              </w:rPr>
              <w:t xml:space="preserve"> </w:t>
            </w:r>
            <w:r>
              <w:rPr>
                <w:color w:val="231F20"/>
                <w:w w:val="85"/>
                <w:sz w:val="15"/>
              </w:rPr>
              <w:t xml:space="preserve">&amp; donor </w:t>
            </w:r>
            <w:proofErr w:type="spellStart"/>
            <w:r>
              <w:rPr>
                <w:color w:val="231F20"/>
                <w:w w:val="85"/>
                <w:sz w:val="15"/>
              </w:rPr>
              <w:t>programme</w:t>
            </w:r>
            <w:proofErr w:type="spellEnd"/>
            <w:r>
              <w:rPr>
                <w:color w:val="231F20"/>
                <w:w w:val="85"/>
                <w:sz w:val="15"/>
              </w:rPr>
              <w:t xml:space="preserve"> aligned with state </w:t>
            </w:r>
            <w:r w:rsidR="00C84576">
              <w:rPr>
                <w:color w:val="231F20"/>
                <w:w w:val="90"/>
                <w:sz w:val="15"/>
              </w:rPr>
              <w:t>work plan</w:t>
            </w:r>
          </w:p>
          <w:p w14:paraId="18B5484D" w14:textId="77777777" w:rsidR="009948F1" w:rsidRDefault="00BC0563">
            <w:pPr>
              <w:pStyle w:val="TableParagraph"/>
              <w:numPr>
                <w:ilvl w:val="0"/>
                <w:numId w:val="228"/>
              </w:numPr>
              <w:tabs>
                <w:tab w:val="left" w:pos="101"/>
              </w:tabs>
              <w:spacing w:before="3" w:line="256" w:lineRule="auto"/>
              <w:ind w:right="116" w:firstLine="0"/>
              <w:rPr>
                <w:sz w:val="15"/>
              </w:rPr>
            </w:pPr>
            <w:r>
              <w:rPr>
                <w:color w:val="231F20"/>
                <w:w w:val="80"/>
                <w:sz w:val="15"/>
              </w:rPr>
              <w:t xml:space="preserve">Tracking and evaluation of donor support </w:t>
            </w:r>
            <w:r>
              <w:rPr>
                <w:color w:val="231F20"/>
                <w:w w:val="90"/>
                <w:sz w:val="15"/>
              </w:rPr>
              <w:t>done</w:t>
            </w:r>
          </w:p>
        </w:tc>
        <w:tc>
          <w:tcPr>
            <w:tcW w:w="1451" w:type="dxa"/>
            <w:tcBorders>
              <w:right w:val="single" w:sz="8" w:space="0" w:color="231F20"/>
            </w:tcBorders>
            <w:shd w:val="clear" w:color="auto" w:fill="CCE7D3"/>
          </w:tcPr>
          <w:p w14:paraId="7DA36F09" w14:textId="77777777" w:rsidR="009948F1" w:rsidRDefault="009948F1">
            <w:pPr>
              <w:pStyle w:val="TableParagraph"/>
              <w:rPr>
                <w:rFonts w:ascii="Times New Roman"/>
                <w:sz w:val="12"/>
              </w:rPr>
            </w:pPr>
          </w:p>
        </w:tc>
        <w:tc>
          <w:tcPr>
            <w:tcW w:w="1528" w:type="dxa"/>
            <w:tcBorders>
              <w:left w:val="single" w:sz="8" w:space="0" w:color="231F20"/>
            </w:tcBorders>
            <w:shd w:val="clear" w:color="auto" w:fill="CCE7D3"/>
          </w:tcPr>
          <w:p w14:paraId="01E7ADE6" w14:textId="77777777" w:rsidR="009948F1" w:rsidRDefault="009948F1">
            <w:pPr>
              <w:pStyle w:val="TableParagraph"/>
              <w:rPr>
                <w:rFonts w:ascii="Times New Roman"/>
                <w:sz w:val="12"/>
              </w:rPr>
            </w:pPr>
          </w:p>
        </w:tc>
      </w:tr>
      <w:tr w:rsidR="009948F1" w14:paraId="6EFBF8CD" w14:textId="77777777">
        <w:trPr>
          <w:trHeight w:val="358"/>
        </w:trPr>
        <w:tc>
          <w:tcPr>
            <w:tcW w:w="869" w:type="dxa"/>
            <w:gridSpan w:val="2"/>
            <w:vMerge w:val="restart"/>
            <w:tcBorders>
              <w:top w:val="nil"/>
              <w:left w:val="single" w:sz="8" w:space="0" w:color="231F20"/>
            </w:tcBorders>
          </w:tcPr>
          <w:p w14:paraId="1996E88C" w14:textId="77777777" w:rsidR="009948F1" w:rsidRDefault="009948F1">
            <w:pPr>
              <w:pStyle w:val="TableParagraph"/>
              <w:rPr>
                <w:rFonts w:ascii="Times New Roman"/>
                <w:sz w:val="12"/>
              </w:rPr>
            </w:pPr>
          </w:p>
        </w:tc>
        <w:tc>
          <w:tcPr>
            <w:tcW w:w="534" w:type="dxa"/>
          </w:tcPr>
          <w:p w14:paraId="4D64009A" w14:textId="77777777" w:rsidR="009948F1" w:rsidRDefault="00BC0563">
            <w:pPr>
              <w:pStyle w:val="TableParagraph"/>
              <w:spacing w:before="92"/>
              <w:ind w:left="33" w:right="12"/>
              <w:jc w:val="center"/>
              <w:rPr>
                <w:sz w:val="15"/>
              </w:rPr>
            </w:pPr>
            <w:r>
              <w:rPr>
                <w:color w:val="231F20"/>
                <w:w w:val="85"/>
                <w:sz w:val="15"/>
              </w:rPr>
              <w:t>1.4.6.a</w:t>
            </w:r>
          </w:p>
        </w:tc>
        <w:tc>
          <w:tcPr>
            <w:tcW w:w="4975" w:type="dxa"/>
            <w:gridSpan w:val="2"/>
          </w:tcPr>
          <w:p w14:paraId="1077E133" w14:textId="77777777" w:rsidR="009948F1" w:rsidRDefault="00BC0563">
            <w:pPr>
              <w:pStyle w:val="TableParagraph"/>
              <w:spacing w:line="171" w:lineRule="exact"/>
              <w:ind w:left="25"/>
              <w:rPr>
                <w:sz w:val="15"/>
              </w:rPr>
            </w:pPr>
            <w:r>
              <w:rPr>
                <w:color w:val="231F20"/>
                <w:w w:val="85"/>
                <w:sz w:val="15"/>
              </w:rPr>
              <w:t>Establish and strengthen Donor Coordination Forum and ensure functionality through</w:t>
            </w:r>
          </w:p>
          <w:p w14:paraId="62071F6B" w14:textId="77777777" w:rsidR="009948F1" w:rsidRDefault="00BC0563">
            <w:pPr>
              <w:pStyle w:val="TableParagraph"/>
              <w:spacing w:before="12" w:line="154" w:lineRule="exact"/>
              <w:ind w:left="25"/>
              <w:rPr>
                <w:sz w:val="15"/>
              </w:rPr>
            </w:pPr>
            <w:r>
              <w:rPr>
                <w:color w:val="231F20"/>
                <w:w w:val="90"/>
                <w:sz w:val="15"/>
              </w:rPr>
              <w:t>regular meetings</w:t>
            </w:r>
          </w:p>
        </w:tc>
        <w:tc>
          <w:tcPr>
            <w:tcW w:w="1451" w:type="dxa"/>
            <w:tcBorders>
              <w:right w:val="single" w:sz="8" w:space="0" w:color="231F20"/>
            </w:tcBorders>
          </w:tcPr>
          <w:p w14:paraId="464D270F" w14:textId="77777777" w:rsidR="009948F1" w:rsidRDefault="00BC0563">
            <w:pPr>
              <w:pStyle w:val="TableParagraph"/>
              <w:spacing w:before="92"/>
              <w:ind w:left="26"/>
              <w:rPr>
                <w:sz w:val="15"/>
              </w:rPr>
            </w:pPr>
            <w:r>
              <w:rPr>
                <w:color w:val="231F20"/>
                <w:w w:val="90"/>
                <w:sz w:val="15"/>
              </w:rPr>
              <w:t>Lack of funds</w:t>
            </w:r>
          </w:p>
        </w:tc>
        <w:tc>
          <w:tcPr>
            <w:tcW w:w="1528" w:type="dxa"/>
            <w:tcBorders>
              <w:left w:val="single" w:sz="8" w:space="0" w:color="231F20"/>
            </w:tcBorders>
          </w:tcPr>
          <w:p w14:paraId="18E04677" w14:textId="77777777" w:rsidR="009948F1" w:rsidRDefault="00BC0563">
            <w:pPr>
              <w:pStyle w:val="TableParagraph"/>
              <w:spacing w:before="92"/>
              <w:ind w:left="23"/>
              <w:rPr>
                <w:sz w:val="15"/>
              </w:rPr>
            </w:pPr>
            <w:r>
              <w:rPr>
                <w:color w:val="231F20"/>
                <w:w w:val="85"/>
                <w:sz w:val="15"/>
              </w:rPr>
              <w:t>Convene monthly meeting</w:t>
            </w:r>
          </w:p>
        </w:tc>
      </w:tr>
      <w:tr w:rsidR="009948F1" w14:paraId="2670E2FC" w14:textId="77777777">
        <w:trPr>
          <w:trHeight w:val="344"/>
        </w:trPr>
        <w:tc>
          <w:tcPr>
            <w:tcW w:w="869" w:type="dxa"/>
            <w:gridSpan w:val="2"/>
            <w:vMerge/>
            <w:tcBorders>
              <w:top w:val="nil"/>
              <w:left w:val="single" w:sz="8" w:space="0" w:color="231F20"/>
            </w:tcBorders>
          </w:tcPr>
          <w:p w14:paraId="5384CBCE" w14:textId="77777777" w:rsidR="009948F1" w:rsidRDefault="009948F1">
            <w:pPr>
              <w:rPr>
                <w:sz w:val="2"/>
                <w:szCs w:val="2"/>
              </w:rPr>
            </w:pPr>
          </w:p>
        </w:tc>
        <w:tc>
          <w:tcPr>
            <w:tcW w:w="534" w:type="dxa"/>
          </w:tcPr>
          <w:p w14:paraId="288B7714" w14:textId="77777777" w:rsidR="009948F1" w:rsidRDefault="00BC0563">
            <w:pPr>
              <w:pStyle w:val="TableParagraph"/>
              <w:spacing w:before="86"/>
              <w:ind w:left="33" w:right="12"/>
              <w:jc w:val="center"/>
              <w:rPr>
                <w:sz w:val="15"/>
              </w:rPr>
            </w:pPr>
            <w:r>
              <w:rPr>
                <w:color w:val="231F20"/>
                <w:w w:val="85"/>
                <w:sz w:val="15"/>
              </w:rPr>
              <w:t>1.4.6.b</w:t>
            </w:r>
          </w:p>
        </w:tc>
        <w:tc>
          <w:tcPr>
            <w:tcW w:w="4975" w:type="dxa"/>
            <w:gridSpan w:val="2"/>
          </w:tcPr>
          <w:p w14:paraId="0963FA8F" w14:textId="77777777" w:rsidR="009948F1" w:rsidRDefault="00BC0563">
            <w:pPr>
              <w:pStyle w:val="TableParagraph"/>
              <w:spacing w:before="80"/>
              <w:ind w:left="25"/>
              <w:rPr>
                <w:sz w:val="15"/>
              </w:rPr>
            </w:pPr>
            <w:r>
              <w:rPr>
                <w:color w:val="231F20"/>
                <w:w w:val="85"/>
                <w:sz w:val="15"/>
              </w:rPr>
              <w:t>Harmonize</w:t>
            </w:r>
            <w:r>
              <w:rPr>
                <w:color w:val="231F20"/>
                <w:spacing w:val="-21"/>
                <w:w w:val="85"/>
                <w:sz w:val="15"/>
              </w:rPr>
              <w:t xml:space="preserve"> </w:t>
            </w:r>
            <w:r>
              <w:rPr>
                <w:color w:val="231F20"/>
                <w:w w:val="85"/>
                <w:sz w:val="15"/>
              </w:rPr>
              <w:t>Donor</w:t>
            </w:r>
            <w:r>
              <w:rPr>
                <w:color w:val="231F20"/>
                <w:spacing w:val="-20"/>
                <w:w w:val="85"/>
                <w:sz w:val="15"/>
              </w:rPr>
              <w:t xml:space="preserve"> </w:t>
            </w:r>
            <w:r>
              <w:rPr>
                <w:color w:val="231F20"/>
                <w:w w:val="85"/>
                <w:sz w:val="15"/>
              </w:rPr>
              <w:t>interventions</w:t>
            </w:r>
            <w:r>
              <w:rPr>
                <w:color w:val="231F20"/>
                <w:spacing w:val="-21"/>
                <w:w w:val="85"/>
                <w:sz w:val="15"/>
              </w:rPr>
              <w:t xml:space="preserve"> </w:t>
            </w:r>
            <w:r>
              <w:rPr>
                <w:color w:val="231F20"/>
                <w:w w:val="85"/>
                <w:sz w:val="15"/>
              </w:rPr>
              <w:t>and</w:t>
            </w:r>
            <w:r>
              <w:rPr>
                <w:color w:val="231F20"/>
                <w:spacing w:val="-20"/>
                <w:w w:val="85"/>
                <w:sz w:val="15"/>
              </w:rPr>
              <w:t xml:space="preserve"> </w:t>
            </w:r>
            <w:r>
              <w:rPr>
                <w:color w:val="231F20"/>
                <w:w w:val="85"/>
                <w:sz w:val="15"/>
              </w:rPr>
              <w:t>resources</w:t>
            </w:r>
            <w:r>
              <w:rPr>
                <w:color w:val="231F20"/>
                <w:spacing w:val="-21"/>
                <w:w w:val="85"/>
                <w:sz w:val="15"/>
              </w:rPr>
              <w:t xml:space="preserve"> </w:t>
            </w:r>
            <w:r>
              <w:rPr>
                <w:color w:val="231F20"/>
                <w:w w:val="85"/>
                <w:sz w:val="15"/>
              </w:rPr>
              <w:t>for</w:t>
            </w:r>
            <w:r>
              <w:rPr>
                <w:color w:val="231F20"/>
                <w:spacing w:val="-20"/>
                <w:w w:val="85"/>
                <w:sz w:val="15"/>
              </w:rPr>
              <w:t xml:space="preserve"> </w:t>
            </w:r>
            <w:r>
              <w:rPr>
                <w:color w:val="231F20"/>
                <w:w w:val="85"/>
                <w:sz w:val="15"/>
              </w:rPr>
              <w:t>optimal</w:t>
            </w:r>
            <w:r>
              <w:rPr>
                <w:color w:val="231F20"/>
                <w:spacing w:val="-20"/>
                <w:w w:val="85"/>
                <w:sz w:val="15"/>
              </w:rPr>
              <w:t xml:space="preserve"> </w:t>
            </w:r>
            <w:r>
              <w:rPr>
                <w:color w:val="231F20"/>
                <w:w w:val="85"/>
                <w:sz w:val="15"/>
              </w:rPr>
              <w:t>performance</w:t>
            </w:r>
            <w:r>
              <w:rPr>
                <w:color w:val="231F20"/>
                <w:spacing w:val="-21"/>
                <w:w w:val="85"/>
                <w:sz w:val="15"/>
              </w:rPr>
              <w:t xml:space="preserve"> </w:t>
            </w:r>
            <w:r>
              <w:rPr>
                <w:color w:val="231F20"/>
                <w:w w:val="85"/>
                <w:sz w:val="15"/>
              </w:rPr>
              <w:t>of</w:t>
            </w:r>
            <w:r>
              <w:rPr>
                <w:color w:val="231F20"/>
                <w:spacing w:val="-20"/>
                <w:w w:val="85"/>
                <w:sz w:val="15"/>
              </w:rPr>
              <w:t xml:space="preserve"> </w:t>
            </w:r>
            <w:r>
              <w:rPr>
                <w:color w:val="231F20"/>
                <w:w w:val="85"/>
                <w:sz w:val="15"/>
              </w:rPr>
              <w:t>the</w:t>
            </w:r>
            <w:r>
              <w:rPr>
                <w:color w:val="231F20"/>
                <w:spacing w:val="-21"/>
                <w:w w:val="85"/>
                <w:sz w:val="15"/>
              </w:rPr>
              <w:t xml:space="preserve"> </w:t>
            </w:r>
            <w:r>
              <w:rPr>
                <w:color w:val="231F20"/>
                <w:w w:val="85"/>
                <w:sz w:val="15"/>
              </w:rPr>
              <w:t>health</w:t>
            </w:r>
            <w:r>
              <w:rPr>
                <w:color w:val="231F20"/>
                <w:spacing w:val="-20"/>
                <w:w w:val="85"/>
                <w:sz w:val="15"/>
              </w:rPr>
              <w:t xml:space="preserve"> </w:t>
            </w:r>
            <w:r>
              <w:rPr>
                <w:color w:val="231F20"/>
                <w:w w:val="85"/>
                <w:sz w:val="15"/>
              </w:rPr>
              <w:t>sector</w:t>
            </w:r>
          </w:p>
        </w:tc>
        <w:tc>
          <w:tcPr>
            <w:tcW w:w="1451" w:type="dxa"/>
            <w:tcBorders>
              <w:right w:val="single" w:sz="8" w:space="0" w:color="231F20"/>
            </w:tcBorders>
          </w:tcPr>
          <w:p w14:paraId="5B8FED94" w14:textId="77777777" w:rsidR="009948F1" w:rsidRDefault="00BC0563">
            <w:pPr>
              <w:pStyle w:val="TableParagraph"/>
              <w:spacing w:before="86"/>
              <w:ind w:left="26"/>
              <w:rPr>
                <w:sz w:val="15"/>
              </w:rPr>
            </w:pPr>
            <w:r>
              <w:rPr>
                <w:color w:val="231F20"/>
                <w:w w:val="90"/>
                <w:sz w:val="15"/>
              </w:rPr>
              <w:t>Lack of funds</w:t>
            </w:r>
          </w:p>
        </w:tc>
        <w:tc>
          <w:tcPr>
            <w:tcW w:w="1528" w:type="dxa"/>
            <w:tcBorders>
              <w:left w:val="single" w:sz="8" w:space="0" w:color="231F20"/>
            </w:tcBorders>
          </w:tcPr>
          <w:p w14:paraId="3B9A385C" w14:textId="77777777" w:rsidR="009948F1" w:rsidRDefault="00BC0563">
            <w:pPr>
              <w:pStyle w:val="TableParagraph"/>
              <w:spacing w:before="86"/>
              <w:ind w:left="23"/>
              <w:rPr>
                <w:sz w:val="15"/>
              </w:rPr>
            </w:pPr>
            <w:r>
              <w:rPr>
                <w:color w:val="231F20"/>
                <w:w w:val="90"/>
                <w:sz w:val="15"/>
              </w:rPr>
              <w:t>Costed in 1.4.6c</w:t>
            </w:r>
          </w:p>
        </w:tc>
      </w:tr>
      <w:tr w:rsidR="009948F1" w14:paraId="10D17B11" w14:textId="77777777">
        <w:trPr>
          <w:trHeight w:val="362"/>
        </w:trPr>
        <w:tc>
          <w:tcPr>
            <w:tcW w:w="869" w:type="dxa"/>
            <w:gridSpan w:val="2"/>
            <w:vMerge/>
            <w:tcBorders>
              <w:top w:val="nil"/>
              <w:left w:val="single" w:sz="8" w:space="0" w:color="231F20"/>
            </w:tcBorders>
          </w:tcPr>
          <w:p w14:paraId="53C0B4EA" w14:textId="77777777" w:rsidR="009948F1" w:rsidRDefault="009948F1">
            <w:pPr>
              <w:rPr>
                <w:sz w:val="2"/>
                <w:szCs w:val="2"/>
              </w:rPr>
            </w:pPr>
          </w:p>
        </w:tc>
        <w:tc>
          <w:tcPr>
            <w:tcW w:w="534" w:type="dxa"/>
          </w:tcPr>
          <w:p w14:paraId="22E946E8" w14:textId="77777777" w:rsidR="009948F1" w:rsidRDefault="00BC0563">
            <w:pPr>
              <w:pStyle w:val="TableParagraph"/>
              <w:spacing w:before="95"/>
              <w:ind w:left="33" w:right="12"/>
              <w:jc w:val="center"/>
              <w:rPr>
                <w:sz w:val="15"/>
              </w:rPr>
            </w:pPr>
            <w:r>
              <w:rPr>
                <w:color w:val="231F20"/>
                <w:w w:val="90"/>
                <w:sz w:val="15"/>
              </w:rPr>
              <w:t>1.4.6.c</w:t>
            </w:r>
          </w:p>
        </w:tc>
        <w:tc>
          <w:tcPr>
            <w:tcW w:w="4975" w:type="dxa"/>
            <w:gridSpan w:val="2"/>
          </w:tcPr>
          <w:p w14:paraId="6A51FA36" w14:textId="77777777" w:rsidR="009948F1" w:rsidRDefault="00BC0563">
            <w:pPr>
              <w:pStyle w:val="TableParagraph"/>
              <w:spacing w:line="171" w:lineRule="exact"/>
              <w:ind w:left="25"/>
              <w:rPr>
                <w:sz w:val="15"/>
              </w:rPr>
            </w:pPr>
            <w:r>
              <w:rPr>
                <w:color w:val="231F20"/>
                <w:w w:val="85"/>
                <w:sz w:val="15"/>
              </w:rPr>
              <w:t>Harmonize</w:t>
            </w:r>
            <w:r>
              <w:rPr>
                <w:color w:val="231F20"/>
                <w:spacing w:val="-21"/>
                <w:w w:val="85"/>
                <w:sz w:val="15"/>
              </w:rPr>
              <w:t xml:space="preserve"> </w:t>
            </w:r>
            <w:r>
              <w:rPr>
                <w:color w:val="231F20"/>
                <w:w w:val="85"/>
                <w:sz w:val="15"/>
              </w:rPr>
              <w:t>reporting</w:t>
            </w:r>
            <w:r>
              <w:rPr>
                <w:color w:val="231F20"/>
                <w:spacing w:val="-20"/>
                <w:w w:val="85"/>
                <w:sz w:val="15"/>
              </w:rPr>
              <w:t xml:space="preserve"> </w:t>
            </w:r>
            <w:r>
              <w:rPr>
                <w:color w:val="231F20"/>
                <w:w w:val="85"/>
                <w:sz w:val="15"/>
              </w:rPr>
              <w:t>formats</w:t>
            </w:r>
            <w:r>
              <w:rPr>
                <w:color w:val="231F20"/>
                <w:spacing w:val="-21"/>
                <w:w w:val="85"/>
                <w:sz w:val="15"/>
              </w:rPr>
              <w:t xml:space="preserve"> </w:t>
            </w:r>
            <w:r>
              <w:rPr>
                <w:color w:val="231F20"/>
                <w:w w:val="85"/>
                <w:sz w:val="15"/>
              </w:rPr>
              <w:t>for</w:t>
            </w:r>
            <w:r>
              <w:rPr>
                <w:color w:val="231F20"/>
                <w:spacing w:val="-20"/>
                <w:w w:val="85"/>
                <w:sz w:val="15"/>
              </w:rPr>
              <w:t xml:space="preserve"> </w:t>
            </w:r>
            <w:r>
              <w:rPr>
                <w:color w:val="231F20"/>
                <w:w w:val="85"/>
                <w:sz w:val="15"/>
              </w:rPr>
              <w:t>all</w:t>
            </w:r>
            <w:r>
              <w:rPr>
                <w:color w:val="231F20"/>
                <w:spacing w:val="-21"/>
                <w:w w:val="85"/>
                <w:sz w:val="15"/>
              </w:rPr>
              <w:t xml:space="preserve"> </w:t>
            </w:r>
            <w:r>
              <w:rPr>
                <w:color w:val="231F20"/>
                <w:w w:val="85"/>
                <w:sz w:val="15"/>
              </w:rPr>
              <w:t>health</w:t>
            </w:r>
            <w:r>
              <w:rPr>
                <w:color w:val="231F20"/>
                <w:spacing w:val="-20"/>
                <w:w w:val="85"/>
                <w:sz w:val="15"/>
              </w:rPr>
              <w:t xml:space="preserve"> </w:t>
            </w:r>
            <w:r>
              <w:rPr>
                <w:color w:val="231F20"/>
                <w:w w:val="85"/>
                <w:sz w:val="15"/>
              </w:rPr>
              <w:t>interventions</w:t>
            </w:r>
            <w:r>
              <w:rPr>
                <w:color w:val="231F20"/>
                <w:spacing w:val="-21"/>
                <w:w w:val="85"/>
                <w:sz w:val="15"/>
              </w:rPr>
              <w:t xml:space="preserve"> </w:t>
            </w:r>
            <w:r>
              <w:rPr>
                <w:color w:val="231F20"/>
                <w:w w:val="85"/>
                <w:sz w:val="15"/>
              </w:rPr>
              <w:t>in</w:t>
            </w:r>
            <w:r>
              <w:rPr>
                <w:color w:val="231F20"/>
                <w:spacing w:val="-20"/>
                <w:w w:val="85"/>
                <w:sz w:val="15"/>
              </w:rPr>
              <w:t xml:space="preserve"> </w:t>
            </w:r>
            <w:r>
              <w:rPr>
                <w:color w:val="231F20"/>
                <w:w w:val="85"/>
                <w:sz w:val="15"/>
              </w:rPr>
              <w:t>the</w:t>
            </w:r>
            <w:r>
              <w:rPr>
                <w:color w:val="231F20"/>
                <w:spacing w:val="-21"/>
                <w:w w:val="85"/>
                <w:sz w:val="15"/>
              </w:rPr>
              <w:t xml:space="preserve"> </w:t>
            </w:r>
            <w:r>
              <w:rPr>
                <w:color w:val="231F20"/>
                <w:w w:val="85"/>
                <w:sz w:val="15"/>
              </w:rPr>
              <w:t>state</w:t>
            </w:r>
            <w:r>
              <w:rPr>
                <w:color w:val="231F20"/>
                <w:spacing w:val="-20"/>
                <w:w w:val="85"/>
                <w:sz w:val="15"/>
              </w:rPr>
              <w:t xml:space="preserve"> </w:t>
            </w:r>
            <w:r>
              <w:rPr>
                <w:color w:val="231F20"/>
                <w:w w:val="85"/>
                <w:sz w:val="15"/>
              </w:rPr>
              <w:t>and</w:t>
            </w:r>
            <w:r>
              <w:rPr>
                <w:color w:val="231F20"/>
                <w:spacing w:val="-21"/>
                <w:w w:val="85"/>
                <w:sz w:val="15"/>
              </w:rPr>
              <w:t xml:space="preserve"> </w:t>
            </w:r>
            <w:r>
              <w:rPr>
                <w:color w:val="231F20"/>
                <w:w w:val="85"/>
                <w:sz w:val="15"/>
              </w:rPr>
              <w:t>ensure</w:t>
            </w:r>
            <w:r>
              <w:rPr>
                <w:color w:val="231F20"/>
                <w:spacing w:val="-20"/>
                <w:w w:val="85"/>
                <w:sz w:val="15"/>
              </w:rPr>
              <w:t xml:space="preserve"> </w:t>
            </w:r>
            <w:r>
              <w:rPr>
                <w:color w:val="231F20"/>
                <w:w w:val="85"/>
                <w:sz w:val="15"/>
              </w:rPr>
              <w:t>partners</w:t>
            </w:r>
            <w:r>
              <w:rPr>
                <w:color w:val="231F20"/>
                <w:spacing w:val="-21"/>
                <w:w w:val="85"/>
                <w:sz w:val="15"/>
              </w:rPr>
              <w:t xml:space="preserve"> </w:t>
            </w:r>
            <w:r>
              <w:rPr>
                <w:color w:val="231F20"/>
                <w:w w:val="85"/>
                <w:sz w:val="15"/>
              </w:rPr>
              <w:t>key</w:t>
            </w:r>
          </w:p>
          <w:p w14:paraId="65F8D1D7" w14:textId="77777777" w:rsidR="009948F1" w:rsidRDefault="00BC0563">
            <w:pPr>
              <w:pStyle w:val="TableParagraph"/>
              <w:spacing w:before="12" w:line="159" w:lineRule="exact"/>
              <w:ind w:left="25"/>
              <w:rPr>
                <w:sz w:val="15"/>
              </w:rPr>
            </w:pPr>
            <w:r>
              <w:rPr>
                <w:color w:val="231F20"/>
                <w:w w:val="90"/>
                <w:sz w:val="15"/>
              </w:rPr>
              <w:t>into state reporting systems</w:t>
            </w:r>
          </w:p>
        </w:tc>
        <w:tc>
          <w:tcPr>
            <w:tcW w:w="1451" w:type="dxa"/>
            <w:tcBorders>
              <w:right w:val="single" w:sz="8" w:space="0" w:color="231F20"/>
            </w:tcBorders>
          </w:tcPr>
          <w:p w14:paraId="15971859" w14:textId="77777777" w:rsidR="009948F1" w:rsidRDefault="00BC0563">
            <w:pPr>
              <w:pStyle w:val="TableParagraph"/>
              <w:spacing w:before="95"/>
              <w:ind w:left="26"/>
              <w:rPr>
                <w:sz w:val="15"/>
              </w:rPr>
            </w:pPr>
            <w:r>
              <w:rPr>
                <w:color w:val="231F20"/>
                <w:w w:val="90"/>
                <w:sz w:val="15"/>
              </w:rPr>
              <w:t>Lack of funds</w:t>
            </w:r>
          </w:p>
        </w:tc>
        <w:tc>
          <w:tcPr>
            <w:tcW w:w="1528" w:type="dxa"/>
            <w:tcBorders>
              <w:left w:val="single" w:sz="8" w:space="0" w:color="231F20"/>
            </w:tcBorders>
          </w:tcPr>
          <w:p w14:paraId="608DCFBE" w14:textId="77777777" w:rsidR="009948F1" w:rsidRDefault="00BC0563">
            <w:pPr>
              <w:pStyle w:val="TableParagraph"/>
              <w:spacing w:before="2"/>
              <w:ind w:left="23"/>
              <w:rPr>
                <w:sz w:val="15"/>
              </w:rPr>
            </w:pPr>
            <w:r>
              <w:rPr>
                <w:color w:val="231F20"/>
                <w:w w:val="90"/>
                <w:sz w:val="15"/>
              </w:rPr>
              <w:t>Harmonize reporting</w:t>
            </w:r>
          </w:p>
          <w:p w14:paraId="3B679BD1" w14:textId="77777777" w:rsidR="009948F1" w:rsidRDefault="00BC0563">
            <w:pPr>
              <w:pStyle w:val="TableParagraph"/>
              <w:spacing w:before="12" w:line="156" w:lineRule="exact"/>
              <w:ind w:left="23"/>
              <w:rPr>
                <w:sz w:val="15"/>
              </w:rPr>
            </w:pPr>
            <w:r>
              <w:rPr>
                <w:color w:val="231F20"/>
                <w:w w:val="90"/>
                <w:sz w:val="15"/>
              </w:rPr>
              <w:t>formats</w:t>
            </w:r>
          </w:p>
        </w:tc>
      </w:tr>
      <w:tr w:rsidR="009948F1" w14:paraId="682E4600" w14:textId="77777777">
        <w:trPr>
          <w:trHeight w:val="371"/>
        </w:trPr>
        <w:tc>
          <w:tcPr>
            <w:tcW w:w="869" w:type="dxa"/>
            <w:gridSpan w:val="2"/>
            <w:vMerge/>
            <w:tcBorders>
              <w:top w:val="nil"/>
              <w:left w:val="single" w:sz="8" w:space="0" w:color="231F20"/>
            </w:tcBorders>
          </w:tcPr>
          <w:p w14:paraId="4F6B025B" w14:textId="77777777" w:rsidR="009948F1" w:rsidRDefault="009948F1">
            <w:pPr>
              <w:rPr>
                <w:sz w:val="2"/>
                <w:szCs w:val="2"/>
              </w:rPr>
            </w:pPr>
          </w:p>
        </w:tc>
        <w:tc>
          <w:tcPr>
            <w:tcW w:w="534" w:type="dxa"/>
          </w:tcPr>
          <w:p w14:paraId="57464C53" w14:textId="77777777" w:rsidR="009948F1" w:rsidRDefault="00BC0563">
            <w:pPr>
              <w:pStyle w:val="TableParagraph"/>
              <w:spacing w:before="100"/>
              <w:ind w:left="33" w:right="12"/>
              <w:jc w:val="center"/>
              <w:rPr>
                <w:sz w:val="15"/>
              </w:rPr>
            </w:pPr>
            <w:r>
              <w:rPr>
                <w:color w:val="231F20"/>
                <w:w w:val="85"/>
                <w:sz w:val="15"/>
              </w:rPr>
              <w:t>1.4.6.d</w:t>
            </w:r>
          </w:p>
        </w:tc>
        <w:tc>
          <w:tcPr>
            <w:tcW w:w="4975" w:type="dxa"/>
            <w:gridSpan w:val="2"/>
          </w:tcPr>
          <w:p w14:paraId="3EEB023D" w14:textId="77777777" w:rsidR="009948F1" w:rsidRDefault="00BC0563">
            <w:pPr>
              <w:pStyle w:val="TableParagraph"/>
              <w:spacing w:before="93"/>
              <w:ind w:left="25"/>
              <w:rPr>
                <w:sz w:val="15"/>
              </w:rPr>
            </w:pPr>
            <w:r>
              <w:rPr>
                <w:color w:val="231F20"/>
                <w:w w:val="90"/>
                <w:sz w:val="15"/>
              </w:rPr>
              <w:t>Develop platform for tracking and evaluation of donor support</w:t>
            </w:r>
          </w:p>
        </w:tc>
        <w:tc>
          <w:tcPr>
            <w:tcW w:w="1451" w:type="dxa"/>
            <w:tcBorders>
              <w:right w:val="single" w:sz="8" w:space="0" w:color="231F20"/>
            </w:tcBorders>
          </w:tcPr>
          <w:p w14:paraId="58C1C230" w14:textId="77777777" w:rsidR="009948F1" w:rsidRDefault="00BC0563">
            <w:pPr>
              <w:pStyle w:val="TableParagraph"/>
              <w:spacing w:before="100"/>
              <w:ind w:left="26"/>
              <w:rPr>
                <w:sz w:val="15"/>
              </w:rPr>
            </w:pPr>
            <w:r>
              <w:rPr>
                <w:color w:val="231F20"/>
                <w:w w:val="90"/>
                <w:sz w:val="15"/>
              </w:rPr>
              <w:t>Lack of funds</w:t>
            </w:r>
          </w:p>
        </w:tc>
        <w:tc>
          <w:tcPr>
            <w:tcW w:w="1528" w:type="dxa"/>
            <w:tcBorders>
              <w:left w:val="single" w:sz="8" w:space="0" w:color="231F20"/>
            </w:tcBorders>
          </w:tcPr>
          <w:p w14:paraId="1C439816" w14:textId="77777777" w:rsidR="009948F1" w:rsidRDefault="00BC0563">
            <w:pPr>
              <w:pStyle w:val="TableParagraph"/>
              <w:spacing w:before="100"/>
              <w:ind w:left="23"/>
              <w:rPr>
                <w:sz w:val="15"/>
              </w:rPr>
            </w:pPr>
            <w:r>
              <w:rPr>
                <w:color w:val="231F20"/>
                <w:w w:val="90"/>
                <w:sz w:val="15"/>
              </w:rPr>
              <w:t>Conduct meeting</w:t>
            </w:r>
          </w:p>
        </w:tc>
      </w:tr>
      <w:tr w:rsidR="009948F1" w14:paraId="1C7990EE" w14:textId="77777777">
        <w:trPr>
          <w:trHeight w:val="362"/>
        </w:trPr>
        <w:tc>
          <w:tcPr>
            <w:tcW w:w="869" w:type="dxa"/>
            <w:gridSpan w:val="2"/>
            <w:vMerge/>
            <w:tcBorders>
              <w:top w:val="nil"/>
              <w:left w:val="single" w:sz="8" w:space="0" w:color="231F20"/>
            </w:tcBorders>
          </w:tcPr>
          <w:p w14:paraId="52406F2D" w14:textId="77777777" w:rsidR="009948F1" w:rsidRDefault="009948F1">
            <w:pPr>
              <w:rPr>
                <w:sz w:val="2"/>
                <w:szCs w:val="2"/>
              </w:rPr>
            </w:pPr>
          </w:p>
        </w:tc>
        <w:tc>
          <w:tcPr>
            <w:tcW w:w="534" w:type="dxa"/>
          </w:tcPr>
          <w:p w14:paraId="0CF5F0E2" w14:textId="77777777" w:rsidR="009948F1" w:rsidRDefault="00BC0563">
            <w:pPr>
              <w:pStyle w:val="TableParagraph"/>
              <w:spacing w:before="95"/>
              <w:ind w:left="33" w:right="12"/>
              <w:jc w:val="center"/>
              <w:rPr>
                <w:sz w:val="15"/>
              </w:rPr>
            </w:pPr>
            <w:r>
              <w:rPr>
                <w:color w:val="231F20"/>
                <w:w w:val="85"/>
                <w:sz w:val="15"/>
              </w:rPr>
              <w:t>1.4.6.e</w:t>
            </w:r>
          </w:p>
        </w:tc>
        <w:tc>
          <w:tcPr>
            <w:tcW w:w="4975" w:type="dxa"/>
            <w:gridSpan w:val="2"/>
          </w:tcPr>
          <w:p w14:paraId="5226D848" w14:textId="7C5B2781" w:rsidR="009948F1" w:rsidRDefault="00BC0563">
            <w:pPr>
              <w:pStyle w:val="TableParagraph"/>
              <w:spacing w:before="89"/>
              <w:ind w:left="25"/>
              <w:rPr>
                <w:sz w:val="15"/>
              </w:rPr>
            </w:pPr>
            <w:r>
              <w:rPr>
                <w:color w:val="231F20"/>
                <w:w w:val="90"/>
                <w:sz w:val="15"/>
              </w:rPr>
              <w:t>Develop</w:t>
            </w:r>
            <w:r>
              <w:rPr>
                <w:color w:val="231F20"/>
                <w:spacing w:val="-26"/>
                <w:w w:val="90"/>
                <w:sz w:val="15"/>
              </w:rPr>
              <w:t xml:space="preserve"> </w:t>
            </w:r>
            <w:r>
              <w:rPr>
                <w:color w:val="231F20"/>
                <w:w w:val="90"/>
                <w:sz w:val="15"/>
              </w:rPr>
              <w:t>framework</w:t>
            </w:r>
            <w:r>
              <w:rPr>
                <w:color w:val="231F20"/>
                <w:spacing w:val="-25"/>
                <w:w w:val="90"/>
                <w:sz w:val="15"/>
              </w:rPr>
              <w:t xml:space="preserve"> </w:t>
            </w:r>
            <w:r>
              <w:rPr>
                <w:color w:val="231F20"/>
                <w:w w:val="90"/>
                <w:sz w:val="15"/>
              </w:rPr>
              <w:t>to</w:t>
            </w:r>
            <w:r>
              <w:rPr>
                <w:color w:val="231F20"/>
                <w:spacing w:val="-26"/>
                <w:w w:val="90"/>
                <w:sz w:val="15"/>
              </w:rPr>
              <w:t xml:space="preserve"> </w:t>
            </w:r>
            <w:r>
              <w:rPr>
                <w:color w:val="231F20"/>
                <w:w w:val="90"/>
                <w:sz w:val="15"/>
              </w:rPr>
              <w:t>ensure</w:t>
            </w:r>
            <w:r>
              <w:rPr>
                <w:color w:val="231F20"/>
                <w:spacing w:val="-25"/>
                <w:w w:val="90"/>
                <w:sz w:val="15"/>
              </w:rPr>
              <w:t xml:space="preserve"> </w:t>
            </w:r>
            <w:r>
              <w:rPr>
                <w:color w:val="231F20"/>
                <w:w w:val="90"/>
                <w:sz w:val="15"/>
              </w:rPr>
              <w:t>alignment</w:t>
            </w:r>
            <w:r>
              <w:rPr>
                <w:color w:val="231F20"/>
                <w:spacing w:val="-25"/>
                <w:w w:val="90"/>
                <w:sz w:val="15"/>
              </w:rPr>
              <w:t xml:space="preserve"> </w:t>
            </w:r>
            <w:r>
              <w:rPr>
                <w:color w:val="231F20"/>
                <w:w w:val="90"/>
                <w:sz w:val="15"/>
              </w:rPr>
              <w:t>of</w:t>
            </w:r>
            <w:r>
              <w:rPr>
                <w:color w:val="231F20"/>
                <w:spacing w:val="-26"/>
                <w:w w:val="90"/>
                <w:sz w:val="15"/>
              </w:rPr>
              <w:t xml:space="preserve"> </w:t>
            </w:r>
            <w:r>
              <w:rPr>
                <w:color w:val="231F20"/>
                <w:w w:val="90"/>
                <w:sz w:val="15"/>
              </w:rPr>
              <w:t>donors</w:t>
            </w:r>
            <w:r>
              <w:rPr>
                <w:color w:val="231F20"/>
                <w:spacing w:val="-25"/>
                <w:w w:val="90"/>
                <w:sz w:val="15"/>
              </w:rPr>
              <w:t xml:space="preserve"> </w:t>
            </w:r>
            <w:proofErr w:type="spellStart"/>
            <w:r>
              <w:rPr>
                <w:color w:val="231F20"/>
                <w:w w:val="90"/>
                <w:sz w:val="15"/>
              </w:rPr>
              <w:t>programme</w:t>
            </w:r>
            <w:proofErr w:type="spellEnd"/>
            <w:r>
              <w:rPr>
                <w:color w:val="231F20"/>
                <w:spacing w:val="-25"/>
                <w:w w:val="90"/>
                <w:sz w:val="15"/>
              </w:rPr>
              <w:t xml:space="preserve"> </w:t>
            </w:r>
            <w:r>
              <w:rPr>
                <w:color w:val="231F20"/>
                <w:w w:val="90"/>
                <w:sz w:val="15"/>
              </w:rPr>
              <w:t>with</w:t>
            </w:r>
            <w:r>
              <w:rPr>
                <w:color w:val="231F20"/>
                <w:spacing w:val="-26"/>
                <w:w w:val="90"/>
                <w:sz w:val="15"/>
              </w:rPr>
              <w:t xml:space="preserve"> </w:t>
            </w:r>
            <w:r>
              <w:rPr>
                <w:color w:val="231F20"/>
                <w:w w:val="90"/>
                <w:sz w:val="15"/>
              </w:rPr>
              <w:t>State's</w:t>
            </w:r>
            <w:r>
              <w:rPr>
                <w:color w:val="231F20"/>
                <w:spacing w:val="-25"/>
                <w:w w:val="90"/>
                <w:sz w:val="15"/>
              </w:rPr>
              <w:t xml:space="preserve"> </w:t>
            </w:r>
            <w:r w:rsidR="00C84576">
              <w:rPr>
                <w:color w:val="231F20"/>
                <w:w w:val="90"/>
                <w:sz w:val="15"/>
              </w:rPr>
              <w:t>work plan</w:t>
            </w:r>
          </w:p>
        </w:tc>
        <w:tc>
          <w:tcPr>
            <w:tcW w:w="1451" w:type="dxa"/>
            <w:tcBorders>
              <w:right w:val="single" w:sz="8" w:space="0" w:color="231F20"/>
            </w:tcBorders>
          </w:tcPr>
          <w:p w14:paraId="37441541" w14:textId="77777777" w:rsidR="009948F1" w:rsidRDefault="00BC0563">
            <w:pPr>
              <w:pStyle w:val="TableParagraph"/>
              <w:spacing w:before="95"/>
              <w:ind w:left="26"/>
              <w:rPr>
                <w:sz w:val="15"/>
              </w:rPr>
            </w:pPr>
            <w:r>
              <w:rPr>
                <w:color w:val="231F20"/>
                <w:w w:val="90"/>
                <w:sz w:val="15"/>
              </w:rPr>
              <w:t>Lack of funds</w:t>
            </w:r>
          </w:p>
        </w:tc>
        <w:tc>
          <w:tcPr>
            <w:tcW w:w="1528" w:type="dxa"/>
            <w:tcBorders>
              <w:left w:val="single" w:sz="8" w:space="0" w:color="231F20"/>
            </w:tcBorders>
          </w:tcPr>
          <w:p w14:paraId="49F022F3" w14:textId="77777777" w:rsidR="009948F1" w:rsidRDefault="00BC0563">
            <w:pPr>
              <w:pStyle w:val="TableParagraph"/>
              <w:spacing w:before="95"/>
              <w:ind w:left="23"/>
              <w:rPr>
                <w:sz w:val="15"/>
              </w:rPr>
            </w:pPr>
            <w:r>
              <w:rPr>
                <w:color w:val="231F20"/>
                <w:w w:val="90"/>
                <w:sz w:val="15"/>
              </w:rPr>
              <w:t>Develop framework</w:t>
            </w:r>
          </w:p>
        </w:tc>
      </w:tr>
    </w:tbl>
    <w:p w14:paraId="7EB9CD54" w14:textId="77777777" w:rsidR="009948F1" w:rsidRDefault="009948F1">
      <w:pPr>
        <w:rPr>
          <w:sz w:val="15"/>
        </w:rPr>
        <w:sectPr w:rsidR="009948F1">
          <w:pgSz w:w="11910" w:h="16840"/>
          <w:pgMar w:top="1300" w:right="1080" w:bottom="1340" w:left="1120" w:header="0" w:footer="1155" w:gutter="0"/>
          <w:cols w:space="720"/>
        </w:sectPr>
      </w:pPr>
    </w:p>
    <w:tbl>
      <w:tblPr>
        <w:tblW w:w="0" w:type="auto"/>
        <w:tblInd w:w="20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
        <w:gridCol w:w="401"/>
        <w:gridCol w:w="449"/>
        <w:gridCol w:w="519"/>
        <w:gridCol w:w="2480"/>
        <w:gridCol w:w="2355"/>
        <w:gridCol w:w="1411"/>
        <w:gridCol w:w="1486"/>
      </w:tblGrid>
      <w:tr w:rsidR="009948F1" w14:paraId="5E579E93" w14:textId="77777777">
        <w:trPr>
          <w:trHeight w:val="422"/>
        </w:trPr>
        <w:tc>
          <w:tcPr>
            <w:tcW w:w="9278" w:type="dxa"/>
            <w:gridSpan w:val="8"/>
            <w:tcBorders>
              <w:left w:val="single" w:sz="6" w:space="0" w:color="231F20"/>
              <w:right w:val="single" w:sz="6" w:space="0" w:color="231F20"/>
            </w:tcBorders>
            <w:shd w:val="clear" w:color="auto" w:fill="A6CE39"/>
          </w:tcPr>
          <w:p w14:paraId="39070BAC" w14:textId="77777777" w:rsidR="009948F1" w:rsidRDefault="00BC0563">
            <w:pPr>
              <w:pStyle w:val="TableParagraph"/>
              <w:spacing w:before="63"/>
              <w:ind w:left="2115" w:right="2018"/>
              <w:jc w:val="center"/>
              <w:rPr>
                <w:b/>
                <w:sz w:val="25"/>
              </w:rPr>
            </w:pPr>
            <w:bookmarkStart w:id="150" w:name="Page_124"/>
            <w:bookmarkEnd w:id="150"/>
            <w:r>
              <w:rPr>
                <w:b/>
                <w:color w:val="231F20"/>
                <w:w w:val="65"/>
                <w:sz w:val="25"/>
              </w:rPr>
              <w:lastRenderedPageBreak/>
              <w:t>2.Community Participation</w:t>
            </w:r>
          </w:p>
        </w:tc>
      </w:tr>
      <w:tr w:rsidR="009948F1" w14:paraId="486DC923" w14:textId="77777777">
        <w:trPr>
          <w:trHeight w:val="291"/>
        </w:trPr>
        <w:tc>
          <w:tcPr>
            <w:tcW w:w="9278" w:type="dxa"/>
            <w:gridSpan w:val="8"/>
            <w:tcBorders>
              <w:left w:val="single" w:sz="6" w:space="0" w:color="231F20"/>
              <w:right w:val="single" w:sz="6" w:space="0" w:color="231F20"/>
            </w:tcBorders>
            <w:shd w:val="clear" w:color="auto" w:fill="F6ADCD"/>
          </w:tcPr>
          <w:p w14:paraId="626B461E" w14:textId="77777777" w:rsidR="009948F1" w:rsidRDefault="00BC0563">
            <w:pPr>
              <w:pStyle w:val="TableParagraph"/>
              <w:spacing w:before="12"/>
              <w:ind w:left="2115" w:right="2078"/>
              <w:jc w:val="center"/>
              <w:rPr>
                <w:b/>
              </w:rPr>
            </w:pPr>
            <w:r>
              <w:rPr>
                <w:b/>
                <w:color w:val="231F20"/>
                <w:w w:val="65"/>
              </w:rPr>
              <w:t>2.To promote community engagement for sustainable health development</w:t>
            </w:r>
          </w:p>
        </w:tc>
      </w:tr>
      <w:tr w:rsidR="009948F1" w14:paraId="5B5809F1" w14:textId="77777777">
        <w:trPr>
          <w:trHeight w:val="687"/>
        </w:trPr>
        <w:tc>
          <w:tcPr>
            <w:tcW w:w="177" w:type="dxa"/>
            <w:tcBorders>
              <w:left w:val="single" w:sz="6" w:space="0" w:color="231F20"/>
              <w:bottom w:val="nil"/>
              <w:right w:val="single" w:sz="6" w:space="0" w:color="231F20"/>
            </w:tcBorders>
          </w:tcPr>
          <w:p w14:paraId="36CA0E32" w14:textId="77777777" w:rsidR="009948F1" w:rsidRDefault="009948F1">
            <w:pPr>
              <w:pStyle w:val="TableParagraph"/>
              <w:rPr>
                <w:rFonts w:ascii="Times New Roman"/>
                <w:sz w:val="10"/>
              </w:rPr>
            </w:pPr>
          </w:p>
        </w:tc>
        <w:tc>
          <w:tcPr>
            <w:tcW w:w="401" w:type="dxa"/>
            <w:tcBorders>
              <w:left w:val="single" w:sz="6" w:space="0" w:color="231F20"/>
              <w:right w:val="single" w:sz="6" w:space="0" w:color="231F20"/>
            </w:tcBorders>
            <w:shd w:val="clear" w:color="auto" w:fill="FFF200"/>
          </w:tcPr>
          <w:p w14:paraId="008F5CC6" w14:textId="77777777" w:rsidR="009948F1" w:rsidRDefault="009948F1">
            <w:pPr>
              <w:pStyle w:val="TableParagraph"/>
              <w:rPr>
                <w:b/>
                <w:sz w:val="19"/>
              </w:rPr>
            </w:pPr>
          </w:p>
          <w:p w14:paraId="16E6CBC8" w14:textId="77777777" w:rsidR="009948F1" w:rsidRDefault="00BC0563">
            <w:pPr>
              <w:pStyle w:val="TableParagraph"/>
              <w:ind w:left="184"/>
              <w:rPr>
                <w:b/>
              </w:rPr>
            </w:pPr>
            <w:r>
              <w:rPr>
                <w:b/>
                <w:color w:val="231F20"/>
                <w:w w:val="60"/>
              </w:rPr>
              <w:t>2.1</w:t>
            </w:r>
          </w:p>
        </w:tc>
        <w:tc>
          <w:tcPr>
            <w:tcW w:w="5803" w:type="dxa"/>
            <w:gridSpan w:val="4"/>
            <w:tcBorders>
              <w:left w:val="single" w:sz="6" w:space="0" w:color="231F20"/>
            </w:tcBorders>
            <w:shd w:val="clear" w:color="auto" w:fill="FFF200"/>
          </w:tcPr>
          <w:p w14:paraId="2F2485CF" w14:textId="77777777" w:rsidR="009948F1" w:rsidRDefault="009948F1">
            <w:pPr>
              <w:pStyle w:val="TableParagraph"/>
              <w:spacing w:before="2"/>
              <w:rPr>
                <w:b/>
                <w:sz w:val="18"/>
              </w:rPr>
            </w:pPr>
          </w:p>
          <w:p w14:paraId="272E267D" w14:textId="77777777" w:rsidR="009948F1" w:rsidRDefault="00BC0563">
            <w:pPr>
              <w:pStyle w:val="TableParagraph"/>
              <w:spacing w:before="1"/>
              <w:ind w:left="87"/>
              <w:rPr>
                <w:b/>
              </w:rPr>
            </w:pPr>
            <w:r>
              <w:rPr>
                <w:b/>
                <w:color w:val="231F20"/>
                <w:w w:val="55"/>
              </w:rPr>
              <w:t>To strengthen community level coordination mechanisms and capacities for health planning.</w:t>
            </w:r>
          </w:p>
        </w:tc>
        <w:tc>
          <w:tcPr>
            <w:tcW w:w="1411" w:type="dxa"/>
            <w:shd w:val="clear" w:color="auto" w:fill="FFF200"/>
          </w:tcPr>
          <w:p w14:paraId="308741CC" w14:textId="77777777" w:rsidR="009948F1" w:rsidRDefault="009948F1">
            <w:pPr>
              <w:pStyle w:val="TableParagraph"/>
              <w:rPr>
                <w:rFonts w:ascii="Times New Roman"/>
                <w:sz w:val="10"/>
              </w:rPr>
            </w:pPr>
          </w:p>
        </w:tc>
        <w:tc>
          <w:tcPr>
            <w:tcW w:w="1486" w:type="dxa"/>
            <w:tcBorders>
              <w:right w:val="single" w:sz="6" w:space="0" w:color="231F20"/>
            </w:tcBorders>
            <w:shd w:val="clear" w:color="auto" w:fill="FFF200"/>
          </w:tcPr>
          <w:p w14:paraId="4FF3E9AA" w14:textId="77777777" w:rsidR="009948F1" w:rsidRDefault="009948F1">
            <w:pPr>
              <w:pStyle w:val="TableParagraph"/>
              <w:rPr>
                <w:rFonts w:ascii="Times New Roman"/>
                <w:sz w:val="10"/>
              </w:rPr>
            </w:pPr>
          </w:p>
        </w:tc>
      </w:tr>
      <w:tr w:rsidR="009948F1" w14:paraId="5748CD90" w14:textId="77777777">
        <w:trPr>
          <w:trHeight w:val="1570"/>
        </w:trPr>
        <w:tc>
          <w:tcPr>
            <w:tcW w:w="578" w:type="dxa"/>
            <w:gridSpan w:val="2"/>
            <w:tcBorders>
              <w:top w:val="nil"/>
              <w:left w:val="single" w:sz="6" w:space="0" w:color="231F20"/>
              <w:bottom w:val="nil"/>
              <w:right w:val="single" w:sz="6" w:space="0" w:color="231F20"/>
            </w:tcBorders>
          </w:tcPr>
          <w:p w14:paraId="5B82495A" w14:textId="77777777" w:rsidR="009948F1" w:rsidRDefault="009948F1">
            <w:pPr>
              <w:pStyle w:val="TableParagraph"/>
              <w:rPr>
                <w:rFonts w:ascii="Times New Roman"/>
                <w:sz w:val="10"/>
              </w:rPr>
            </w:pPr>
          </w:p>
        </w:tc>
        <w:tc>
          <w:tcPr>
            <w:tcW w:w="449" w:type="dxa"/>
            <w:tcBorders>
              <w:left w:val="single" w:sz="6" w:space="0" w:color="231F20"/>
              <w:right w:val="single" w:sz="6" w:space="0" w:color="231F20"/>
            </w:tcBorders>
            <w:shd w:val="clear" w:color="auto" w:fill="CCE7D3"/>
          </w:tcPr>
          <w:p w14:paraId="3044E3A1" w14:textId="77777777" w:rsidR="009948F1" w:rsidRDefault="009948F1">
            <w:pPr>
              <w:pStyle w:val="TableParagraph"/>
              <w:rPr>
                <w:b/>
              </w:rPr>
            </w:pPr>
          </w:p>
          <w:p w14:paraId="5DDD5A79" w14:textId="77777777" w:rsidR="009948F1" w:rsidRDefault="009948F1">
            <w:pPr>
              <w:pStyle w:val="TableParagraph"/>
              <w:rPr>
                <w:b/>
              </w:rPr>
            </w:pPr>
          </w:p>
          <w:p w14:paraId="0FE4BCA3" w14:textId="77777777" w:rsidR="009948F1" w:rsidRDefault="00BC0563">
            <w:pPr>
              <w:pStyle w:val="TableParagraph"/>
              <w:spacing w:before="151"/>
              <w:ind w:left="54"/>
            </w:pPr>
            <w:r>
              <w:rPr>
                <w:color w:val="231F20"/>
                <w:w w:val="65"/>
              </w:rPr>
              <w:t>2.1.1</w:t>
            </w:r>
          </w:p>
        </w:tc>
        <w:tc>
          <w:tcPr>
            <w:tcW w:w="2999" w:type="dxa"/>
            <w:gridSpan w:val="2"/>
            <w:tcBorders>
              <w:left w:val="single" w:sz="6" w:space="0" w:color="231F20"/>
              <w:right w:val="single" w:sz="6" w:space="0" w:color="231F20"/>
            </w:tcBorders>
            <w:shd w:val="clear" w:color="auto" w:fill="CCE7D3"/>
          </w:tcPr>
          <w:p w14:paraId="5525632C" w14:textId="77777777" w:rsidR="009948F1" w:rsidRDefault="009948F1">
            <w:pPr>
              <w:pStyle w:val="TableParagraph"/>
              <w:rPr>
                <w:b/>
              </w:rPr>
            </w:pPr>
          </w:p>
          <w:p w14:paraId="165A8466" w14:textId="77777777" w:rsidR="009948F1" w:rsidRDefault="009948F1">
            <w:pPr>
              <w:pStyle w:val="TableParagraph"/>
              <w:spacing w:before="8"/>
              <w:rPr>
                <w:b/>
              </w:rPr>
            </w:pPr>
          </w:p>
          <w:p w14:paraId="299608BC" w14:textId="77777777" w:rsidR="009948F1" w:rsidRDefault="00BC0563">
            <w:pPr>
              <w:pStyle w:val="TableParagraph"/>
              <w:spacing w:line="256" w:lineRule="auto"/>
              <w:ind w:left="22" w:right="127" w:firstLine="32"/>
            </w:pPr>
            <w:r>
              <w:rPr>
                <w:color w:val="231F20"/>
                <w:w w:val="55"/>
              </w:rPr>
              <w:t>Strengthen</w:t>
            </w:r>
            <w:r>
              <w:rPr>
                <w:color w:val="231F20"/>
                <w:spacing w:val="-23"/>
                <w:w w:val="55"/>
              </w:rPr>
              <w:t xml:space="preserve"> </w:t>
            </w:r>
            <w:r>
              <w:rPr>
                <w:color w:val="231F20"/>
                <w:w w:val="55"/>
              </w:rPr>
              <w:t>institutional</w:t>
            </w:r>
            <w:r>
              <w:rPr>
                <w:color w:val="231F20"/>
                <w:spacing w:val="-22"/>
                <w:w w:val="55"/>
              </w:rPr>
              <w:t xml:space="preserve"> </w:t>
            </w:r>
            <w:r>
              <w:rPr>
                <w:color w:val="231F20"/>
                <w:w w:val="55"/>
              </w:rPr>
              <w:t>and</w:t>
            </w:r>
            <w:r>
              <w:rPr>
                <w:color w:val="231F20"/>
                <w:spacing w:val="-22"/>
                <w:w w:val="55"/>
              </w:rPr>
              <w:t xml:space="preserve"> </w:t>
            </w:r>
            <w:r>
              <w:rPr>
                <w:color w:val="231F20"/>
                <w:w w:val="55"/>
              </w:rPr>
              <w:t>coordinating</w:t>
            </w:r>
            <w:r>
              <w:rPr>
                <w:color w:val="231F20"/>
                <w:spacing w:val="-23"/>
                <w:w w:val="55"/>
              </w:rPr>
              <w:t xml:space="preserve"> </w:t>
            </w:r>
            <w:r>
              <w:rPr>
                <w:color w:val="231F20"/>
                <w:w w:val="55"/>
              </w:rPr>
              <w:t xml:space="preserve">mechanisms </w:t>
            </w:r>
            <w:r>
              <w:rPr>
                <w:color w:val="231F20"/>
                <w:w w:val="65"/>
              </w:rPr>
              <w:t>for</w:t>
            </w:r>
            <w:r>
              <w:rPr>
                <w:color w:val="231F20"/>
                <w:spacing w:val="-24"/>
                <w:w w:val="65"/>
              </w:rPr>
              <w:t xml:space="preserve"> </w:t>
            </w:r>
            <w:r>
              <w:rPr>
                <w:color w:val="231F20"/>
                <w:w w:val="65"/>
              </w:rPr>
              <w:t>promotion</w:t>
            </w:r>
            <w:r>
              <w:rPr>
                <w:color w:val="231F20"/>
                <w:spacing w:val="-24"/>
                <w:w w:val="65"/>
              </w:rPr>
              <w:t xml:space="preserve"> </w:t>
            </w:r>
            <w:r>
              <w:rPr>
                <w:color w:val="231F20"/>
                <w:w w:val="65"/>
              </w:rPr>
              <w:t>of</w:t>
            </w:r>
            <w:r>
              <w:rPr>
                <w:color w:val="231F20"/>
                <w:spacing w:val="-23"/>
                <w:w w:val="65"/>
              </w:rPr>
              <w:t xml:space="preserve"> </w:t>
            </w:r>
            <w:r>
              <w:rPr>
                <w:color w:val="231F20"/>
                <w:w w:val="65"/>
              </w:rPr>
              <w:t>community</w:t>
            </w:r>
            <w:r>
              <w:rPr>
                <w:color w:val="231F20"/>
                <w:spacing w:val="-24"/>
                <w:w w:val="65"/>
              </w:rPr>
              <w:t xml:space="preserve"> </w:t>
            </w:r>
            <w:r>
              <w:rPr>
                <w:color w:val="231F20"/>
                <w:w w:val="65"/>
              </w:rPr>
              <w:t>participation</w:t>
            </w:r>
          </w:p>
        </w:tc>
        <w:tc>
          <w:tcPr>
            <w:tcW w:w="2355" w:type="dxa"/>
            <w:tcBorders>
              <w:left w:val="single" w:sz="6" w:space="0" w:color="231F20"/>
              <w:right w:val="single" w:sz="6" w:space="0" w:color="231F20"/>
            </w:tcBorders>
            <w:shd w:val="clear" w:color="auto" w:fill="CCE7D3"/>
          </w:tcPr>
          <w:p w14:paraId="7BD9D94D" w14:textId="77777777" w:rsidR="009948F1" w:rsidRDefault="00BC0563">
            <w:pPr>
              <w:pStyle w:val="TableParagraph"/>
              <w:numPr>
                <w:ilvl w:val="0"/>
                <w:numId w:val="227"/>
              </w:numPr>
              <w:tabs>
                <w:tab w:val="left" w:pos="97"/>
              </w:tabs>
              <w:spacing w:line="250" w:lineRule="exact"/>
              <w:ind w:left="96"/>
            </w:pPr>
            <w:r>
              <w:rPr>
                <w:color w:val="231F20"/>
                <w:w w:val="65"/>
              </w:rPr>
              <w:t>WDC</w:t>
            </w:r>
            <w:r>
              <w:rPr>
                <w:color w:val="231F20"/>
                <w:spacing w:val="-23"/>
                <w:w w:val="65"/>
              </w:rPr>
              <w:t xml:space="preserve"> </w:t>
            </w:r>
            <w:r>
              <w:rPr>
                <w:color w:val="231F20"/>
                <w:w w:val="65"/>
              </w:rPr>
              <w:t>set</w:t>
            </w:r>
            <w:r>
              <w:rPr>
                <w:color w:val="231F20"/>
                <w:spacing w:val="-22"/>
                <w:w w:val="65"/>
              </w:rPr>
              <w:t xml:space="preserve"> </w:t>
            </w:r>
            <w:r>
              <w:rPr>
                <w:color w:val="231F20"/>
                <w:w w:val="65"/>
              </w:rPr>
              <w:t>up</w:t>
            </w:r>
            <w:r>
              <w:rPr>
                <w:color w:val="231F20"/>
                <w:spacing w:val="-22"/>
                <w:w w:val="65"/>
              </w:rPr>
              <w:t xml:space="preserve"> </w:t>
            </w:r>
            <w:r>
              <w:rPr>
                <w:color w:val="231F20"/>
                <w:w w:val="65"/>
              </w:rPr>
              <w:t>in</w:t>
            </w:r>
            <w:r>
              <w:rPr>
                <w:color w:val="231F20"/>
                <w:spacing w:val="-22"/>
                <w:w w:val="65"/>
              </w:rPr>
              <w:t xml:space="preserve"> </w:t>
            </w:r>
            <w:r>
              <w:rPr>
                <w:color w:val="231F20"/>
                <w:w w:val="65"/>
              </w:rPr>
              <w:t>at</w:t>
            </w:r>
            <w:r>
              <w:rPr>
                <w:color w:val="231F20"/>
                <w:spacing w:val="-22"/>
                <w:w w:val="65"/>
              </w:rPr>
              <w:t xml:space="preserve"> </w:t>
            </w:r>
            <w:r>
              <w:rPr>
                <w:color w:val="231F20"/>
                <w:w w:val="65"/>
              </w:rPr>
              <w:t>least</w:t>
            </w:r>
            <w:r>
              <w:rPr>
                <w:color w:val="231F20"/>
                <w:spacing w:val="-23"/>
                <w:w w:val="65"/>
              </w:rPr>
              <w:t xml:space="preserve"> </w:t>
            </w:r>
            <w:r>
              <w:rPr>
                <w:color w:val="231F20"/>
                <w:w w:val="65"/>
              </w:rPr>
              <w:t>200</w:t>
            </w:r>
            <w:r>
              <w:rPr>
                <w:color w:val="231F20"/>
                <w:spacing w:val="-22"/>
                <w:w w:val="65"/>
              </w:rPr>
              <w:t xml:space="preserve"> </w:t>
            </w:r>
            <w:r>
              <w:rPr>
                <w:color w:val="231F20"/>
                <w:w w:val="65"/>
              </w:rPr>
              <w:t>wards</w:t>
            </w:r>
          </w:p>
          <w:p w14:paraId="6F726A56" w14:textId="77777777" w:rsidR="009948F1" w:rsidRDefault="00BC0563">
            <w:pPr>
              <w:pStyle w:val="TableParagraph"/>
              <w:numPr>
                <w:ilvl w:val="0"/>
                <w:numId w:val="227"/>
              </w:numPr>
              <w:tabs>
                <w:tab w:val="left" w:pos="91"/>
              </w:tabs>
              <w:spacing w:before="16" w:line="256" w:lineRule="auto"/>
              <w:ind w:right="103" w:firstLine="0"/>
            </w:pPr>
            <w:r>
              <w:rPr>
                <w:color w:val="231F20"/>
                <w:w w:val="55"/>
              </w:rPr>
              <w:t>Advocacy</w:t>
            </w:r>
            <w:r>
              <w:rPr>
                <w:color w:val="231F20"/>
                <w:spacing w:val="-13"/>
                <w:w w:val="55"/>
              </w:rPr>
              <w:t xml:space="preserve"> </w:t>
            </w:r>
            <w:r>
              <w:rPr>
                <w:color w:val="231F20"/>
                <w:w w:val="55"/>
              </w:rPr>
              <w:t>and</w:t>
            </w:r>
            <w:r>
              <w:rPr>
                <w:color w:val="231F20"/>
                <w:spacing w:val="-13"/>
                <w:w w:val="55"/>
              </w:rPr>
              <w:t xml:space="preserve"> </w:t>
            </w:r>
            <w:r>
              <w:rPr>
                <w:color w:val="231F20"/>
                <w:w w:val="55"/>
              </w:rPr>
              <w:t>sensitization</w:t>
            </w:r>
            <w:r>
              <w:rPr>
                <w:color w:val="231F20"/>
                <w:spacing w:val="-13"/>
                <w:w w:val="55"/>
              </w:rPr>
              <w:t xml:space="preserve"> </w:t>
            </w:r>
            <w:r>
              <w:rPr>
                <w:color w:val="231F20"/>
                <w:w w:val="55"/>
              </w:rPr>
              <w:t>of</w:t>
            </w:r>
            <w:r>
              <w:rPr>
                <w:color w:val="231F20"/>
                <w:spacing w:val="-13"/>
                <w:w w:val="55"/>
              </w:rPr>
              <w:t xml:space="preserve"> </w:t>
            </w:r>
            <w:r>
              <w:rPr>
                <w:color w:val="231F20"/>
                <w:spacing w:val="-3"/>
                <w:w w:val="55"/>
              </w:rPr>
              <w:t xml:space="preserve">community </w:t>
            </w:r>
            <w:r>
              <w:rPr>
                <w:color w:val="231F20"/>
                <w:w w:val="65"/>
              </w:rPr>
              <w:t>leaders</w:t>
            </w:r>
            <w:r>
              <w:rPr>
                <w:color w:val="231F20"/>
                <w:spacing w:val="-11"/>
                <w:w w:val="65"/>
              </w:rPr>
              <w:t xml:space="preserve"> </w:t>
            </w:r>
            <w:r>
              <w:rPr>
                <w:color w:val="231F20"/>
                <w:w w:val="65"/>
              </w:rPr>
              <w:t>done</w:t>
            </w:r>
          </w:p>
          <w:p w14:paraId="13665FC1" w14:textId="32CE230E" w:rsidR="009948F1" w:rsidRDefault="00BC0563">
            <w:pPr>
              <w:pStyle w:val="TableParagraph"/>
              <w:numPr>
                <w:ilvl w:val="0"/>
                <w:numId w:val="227"/>
              </w:numPr>
              <w:tabs>
                <w:tab w:val="left" w:pos="97"/>
              </w:tabs>
              <w:spacing w:line="256" w:lineRule="auto"/>
              <w:ind w:right="422" w:firstLine="0"/>
            </w:pPr>
            <w:r>
              <w:rPr>
                <w:color w:val="231F20"/>
                <w:w w:val="55"/>
              </w:rPr>
              <w:t>Orientation</w:t>
            </w:r>
            <w:r>
              <w:rPr>
                <w:color w:val="231F20"/>
                <w:spacing w:val="-11"/>
                <w:w w:val="55"/>
              </w:rPr>
              <w:t xml:space="preserve"> </w:t>
            </w:r>
            <w:r>
              <w:rPr>
                <w:color w:val="231F20"/>
                <w:w w:val="55"/>
              </w:rPr>
              <w:t>of</w:t>
            </w:r>
            <w:r>
              <w:rPr>
                <w:color w:val="231F20"/>
                <w:spacing w:val="-10"/>
                <w:w w:val="55"/>
              </w:rPr>
              <w:t xml:space="preserve"> </w:t>
            </w:r>
            <w:r>
              <w:rPr>
                <w:color w:val="231F20"/>
                <w:w w:val="55"/>
              </w:rPr>
              <w:t>at</w:t>
            </w:r>
            <w:r>
              <w:rPr>
                <w:color w:val="231F20"/>
                <w:spacing w:val="-10"/>
                <w:w w:val="55"/>
              </w:rPr>
              <w:t xml:space="preserve"> </w:t>
            </w:r>
            <w:r w:rsidR="00C84576">
              <w:rPr>
                <w:color w:val="231F20"/>
                <w:w w:val="55"/>
              </w:rPr>
              <w:t>least</w:t>
            </w:r>
            <w:r>
              <w:rPr>
                <w:color w:val="231F20"/>
                <w:spacing w:val="-11"/>
                <w:w w:val="55"/>
              </w:rPr>
              <w:t xml:space="preserve"> </w:t>
            </w:r>
            <w:r>
              <w:rPr>
                <w:color w:val="231F20"/>
                <w:w w:val="55"/>
              </w:rPr>
              <w:t>200</w:t>
            </w:r>
            <w:r>
              <w:rPr>
                <w:color w:val="231F20"/>
                <w:spacing w:val="-10"/>
                <w:w w:val="55"/>
              </w:rPr>
              <w:t xml:space="preserve"> </w:t>
            </w:r>
            <w:r>
              <w:rPr>
                <w:color w:val="231F20"/>
                <w:w w:val="55"/>
              </w:rPr>
              <w:t>WDCs</w:t>
            </w:r>
            <w:r>
              <w:rPr>
                <w:color w:val="231F20"/>
                <w:spacing w:val="-10"/>
                <w:w w:val="55"/>
              </w:rPr>
              <w:t xml:space="preserve"> </w:t>
            </w:r>
            <w:r>
              <w:rPr>
                <w:color w:val="231F20"/>
                <w:w w:val="55"/>
              </w:rPr>
              <w:t xml:space="preserve">on </w:t>
            </w:r>
            <w:r>
              <w:rPr>
                <w:color w:val="231F20"/>
                <w:w w:val="60"/>
              </w:rPr>
              <w:t>community</w:t>
            </w:r>
            <w:r>
              <w:rPr>
                <w:color w:val="231F20"/>
                <w:spacing w:val="-19"/>
                <w:w w:val="60"/>
              </w:rPr>
              <w:t xml:space="preserve"> </w:t>
            </w:r>
            <w:r>
              <w:rPr>
                <w:color w:val="231F20"/>
                <w:w w:val="60"/>
              </w:rPr>
              <w:t>participation</w:t>
            </w:r>
            <w:r>
              <w:rPr>
                <w:color w:val="231F20"/>
                <w:spacing w:val="-18"/>
                <w:w w:val="60"/>
              </w:rPr>
              <w:t xml:space="preserve"> </w:t>
            </w:r>
            <w:r>
              <w:rPr>
                <w:color w:val="231F20"/>
                <w:w w:val="60"/>
              </w:rPr>
              <w:t>done</w:t>
            </w:r>
          </w:p>
        </w:tc>
        <w:tc>
          <w:tcPr>
            <w:tcW w:w="2897" w:type="dxa"/>
            <w:gridSpan w:val="2"/>
            <w:tcBorders>
              <w:left w:val="single" w:sz="6" w:space="0" w:color="231F20"/>
              <w:right w:val="single" w:sz="6" w:space="0" w:color="231F20"/>
            </w:tcBorders>
            <w:shd w:val="clear" w:color="auto" w:fill="CCE7D3"/>
          </w:tcPr>
          <w:p w14:paraId="597421FD" w14:textId="77777777" w:rsidR="009948F1" w:rsidRDefault="009948F1">
            <w:pPr>
              <w:pStyle w:val="TableParagraph"/>
              <w:rPr>
                <w:rFonts w:ascii="Times New Roman"/>
                <w:sz w:val="10"/>
              </w:rPr>
            </w:pPr>
          </w:p>
        </w:tc>
      </w:tr>
      <w:tr w:rsidR="009948F1" w14:paraId="1869B676" w14:textId="77777777">
        <w:trPr>
          <w:trHeight w:val="893"/>
        </w:trPr>
        <w:tc>
          <w:tcPr>
            <w:tcW w:w="1027" w:type="dxa"/>
            <w:gridSpan w:val="3"/>
            <w:vMerge w:val="restart"/>
            <w:tcBorders>
              <w:top w:val="nil"/>
              <w:left w:val="single" w:sz="6" w:space="0" w:color="231F20"/>
              <w:bottom w:val="nil"/>
              <w:right w:val="single" w:sz="6" w:space="0" w:color="231F20"/>
            </w:tcBorders>
          </w:tcPr>
          <w:p w14:paraId="1F02E14F" w14:textId="77777777" w:rsidR="009948F1" w:rsidRDefault="009948F1">
            <w:pPr>
              <w:pStyle w:val="TableParagraph"/>
              <w:rPr>
                <w:rFonts w:ascii="Times New Roman"/>
                <w:sz w:val="10"/>
              </w:rPr>
            </w:pPr>
          </w:p>
        </w:tc>
        <w:tc>
          <w:tcPr>
            <w:tcW w:w="519" w:type="dxa"/>
            <w:tcBorders>
              <w:left w:val="single" w:sz="6" w:space="0" w:color="231F20"/>
              <w:right w:val="single" w:sz="6" w:space="0" w:color="231F20"/>
            </w:tcBorders>
          </w:tcPr>
          <w:p w14:paraId="4C8A5EED" w14:textId="77777777" w:rsidR="009948F1" w:rsidRDefault="00BC0563">
            <w:pPr>
              <w:pStyle w:val="TableParagraph"/>
              <w:spacing w:line="250" w:lineRule="exact"/>
              <w:ind w:left="21" w:right="5"/>
              <w:jc w:val="center"/>
            </w:pPr>
            <w:r>
              <w:rPr>
                <w:color w:val="231F20"/>
                <w:w w:val="55"/>
              </w:rPr>
              <w:t>2.1.1.a</w:t>
            </w:r>
          </w:p>
        </w:tc>
        <w:tc>
          <w:tcPr>
            <w:tcW w:w="4835" w:type="dxa"/>
            <w:gridSpan w:val="2"/>
            <w:tcBorders>
              <w:left w:val="single" w:sz="6" w:space="0" w:color="231F20"/>
              <w:right w:val="single" w:sz="6" w:space="0" w:color="231F20"/>
            </w:tcBorders>
          </w:tcPr>
          <w:p w14:paraId="73689205" w14:textId="77777777" w:rsidR="009948F1" w:rsidRDefault="009948F1">
            <w:pPr>
              <w:pStyle w:val="TableParagraph"/>
              <w:rPr>
                <w:b/>
                <w:sz w:val="27"/>
              </w:rPr>
            </w:pPr>
          </w:p>
          <w:p w14:paraId="0DB6C78D" w14:textId="77777777" w:rsidR="009948F1" w:rsidRDefault="00BC0563">
            <w:pPr>
              <w:pStyle w:val="TableParagraph"/>
              <w:ind w:left="22"/>
            </w:pPr>
            <w:r>
              <w:rPr>
                <w:color w:val="231F20"/>
                <w:w w:val="65"/>
              </w:rPr>
              <w:t>Setup/reactivate Ward Development Committees (WDCs) in the 23 LGAs</w:t>
            </w:r>
          </w:p>
        </w:tc>
        <w:tc>
          <w:tcPr>
            <w:tcW w:w="1411" w:type="dxa"/>
            <w:tcBorders>
              <w:left w:val="single" w:sz="6" w:space="0" w:color="231F20"/>
            </w:tcBorders>
          </w:tcPr>
          <w:p w14:paraId="381217E8" w14:textId="77777777" w:rsidR="009948F1" w:rsidRDefault="009948F1">
            <w:pPr>
              <w:pStyle w:val="TableParagraph"/>
              <w:spacing w:before="8"/>
              <w:rPr>
                <w:b/>
                <w:sz w:val="27"/>
              </w:rPr>
            </w:pPr>
          </w:p>
          <w:p w14:paraId="292BF527" w14:textId="77777777" w:rsidR="009948F1" w:rsidRDefault="00BC0563">
            <w:pPr>
              <w:pStyle w:val="TableParagraph"/>
              <w:spacing w:before="1"/>
              <w:ind w:left="23"/>
            </w:pPr>
            <w:r>
              <w:rPr>
                <w:color w:val="231F20"/>
                <w:w w:val="65"/>
              </w:rPr>
              <w:t>Lack of funds</w:t>
            </w:r>
          </w:p>
        </w:tc>
        <w:tc>
          <w:tcPr>
            <w:tcW w:w="1486" w:type="dxa"/>
            <w:tcBorders>
              <w:right w:val="single" w:sz="6" w:space="0" w:color="231F20"/>
            </w:tcBorders>
          </w:tcPr>
          <w:p w14:paraId="166892CA" w14:textId="77777777" w:rsidR="009948F1" w:rsidRDefault="009948F1">
            <w:pPr>
              <w:pStyle w:val="TableParagraph"/>
              <w:spacing w:before="8"/>
              <w:rPr>
                <w:b/>
                <w:sz w:val="27"/>
              </w:rPr>
            </w:pPr>
          </w:p>
          <w:p w14:paraId="44D41D02" w14:textId="77777777" w:rsidR="009948F1" w:rsidRDefault="00BC0563">
            <w:pPr>
              <w:pStyle w:val="TableParagraph"/>
              <w:spacing w:before="1"/>
              <w:ind w:left="19"/>
            </w:pPr>
            <w:r>
              <w:rPr>
                <w:color w:val="231F20"/>
                <w:w w:val="65"/>
              </w:rPr>
              <w:t>Convene meeting</w:t>
            </w:r>
          </w:p>
        </w:tc>
      </w:tr>
      <w:tr w:rsidR="009948F1" w14:paraId="4E701C04" w14:textId="77777777">
        <w:trPr>
          <w:trHeight w:val="841"/>
        </w:trPr>
        <w:tc>
          <w:tcPr>
            <w:tcW w:w="1027" w:type="dxa"/>
            <w:gridSpan w:val="3"/>
            <w:vMerge/>
            <w:tcBorders>
              <w:top w:val="nil"/>
              <w:left w:val="single" w:sz="6" w:space="0" w:color="231F20"/>
              <w:bottom w:val="nil"/>
              <w:right w:val="single" w:sz="6" w:space="0" w:color="231F20"/>
            </w:tcBorders>
          </w:tcPr>
          <w:p w14:paraId="2A899374" w14:textId="77777777" w:rsidR="009948F1" w:rsidRDefault="009948F1">
            <w:pPr>
              <w:rPr>
                <w:sz w:val="2"/>
                <w:szCs w:val="2"/>
              </w:rPr>
            </w:pPr>
          </w:p>
        </w:tc>
        <w:tc>
          <w:tcPr>
            <w:tcW w:w="519" w:type="dxa"/>
            <w:tcBorders>
              <w:left w:val="single" w:sz="6" w:space="0" w:color="231F20"/>
              <w:right w:val="single" w:sz="6" w:space="0" w:color="231F20"/>
            </w:tcBorders>
          </w:tcPr>
          <w:p w14:paraId="7AEA80A9" w14:textId="77777777" w:rsidR="009948F1" w:rsidRDefault="009948F1">
            <w:pPr>
              <w:pStyle w:val="TableParagraph"/>
              <w:spacing w:before="5"/>
              <w:rPr>
                <w:b/>
                <w:sz w:val="25"/>
              </w:rPr>
            </w:pPr>
          </w:p>
          <w:p w14:paraId="1156C417" w14:textId="77777777" w:rsidR="009948F1" w:rsidRDefault="00BC0563">
            <w:pPr>
              <w:pStyle w:val="TableParagraph"/>
              <w:ind w:left="21" w:right="5"/>
              <w:jc w:val="center"/>
            </w:pPr>
            <w:r>
              <w:rPr>
                <w:color w:val="231F20"/>
                <w:w w:val="55"/>
              </w:rPr>
              <w:t>2.1.1.b</w:t>
            </w:r>
          </w:p>
        </w:tc>
        <w:tc>
          <w:tcPr>
            <w:tcW w:w="4835" w:type="dxa"/>
            <w:gridSpan w:val="2"/>
            <w:tcBorders>
              <w:left w:val="single" w:sz="6" w:space="0" w:color="231F20"/>
              <w:right w:val="single" w:sz="6" w:space="0" w:color="231F20"/>
            </w:tcBorders>
          </w:tcPr>
          <w:p w14:paraId="48AD6106" w14:textId="77777777" w:rsidR="009948F1" w:rsidRDefault="00BC0563">
            <w:pPr>
              <w:pStyle w:val="TableParagraph"/>
              <w:spacing w:line="256" w:lineRule="auto"/>
              <w:ind w:left="22" w:right="533"/>
            </w:pPr>
            <w:r>
              <w:rPr>
                <w:color w:val="231F20"/>
                <w:w w:val="55"/>
              </w:rPr>
              <w:t>Produce</w:t>
            </w:r>
            <w:r>
              <w:rPr>
                <w:color w:val="231F20"/>
                <w:spacing w:val="-16"/>
                <w:w w:val="55"/>
              </w:rPr>
              <w:t xml:space="preserve"> </w:t>
            </w:r>
            <w:r>
              <w:rPr>
                <w:color w:val="231F20"/>
                <w:w w:val="55"/>
              </w:rPr>
              <w:t>and</w:t>
            </w:r>
            <w:r>
              <w:rPr>
                <w:color w:val="231F20"/>
                <w:spacing w:val="-16"/>
                <w:w w:val="55"/>
              </w:rPr>
              <w:t xml:space="preserve"> </w:t>
            </w:r>
            <w:r>
              <w:rPr>
                <w:color w:val="231F20"/>
                <w:w w:val="55"/>
              </w:rPr>
              <w:t>disseminate</w:t>
            </w:r>
            <w:r>
              <w:rPr>
                <w:color w:val="231F20"/>
                <w:spacing w:val="-15"/>
                <w:w w:val="55"/>
              </w:rPr>
              <w:t xml:space="preserve"> </w:t>
            </w:r>
            <w:r>
              <w:rPr>
                <w:color w:val="231F20"/>
                <w:w w:val="55"/>
              </w:rPr>
              <w:t>guidelines</w:t>
            </w:r>
            <w:r>
              <w:rPr>
                <w:color w:val="231F20"/>
                <w:spacing w:val="-16"/>
                <w:w w:val="55"/>
              </w:rPr>
              <w:t xml:space="preserve"> </w:t>
            </w:r>
            <w:r>
              <w:rPr>
                <w:color w:val="231F20"/>
                <w:w w:val="55"/>
              </w:rPr>
              <w:t>for</w:t>
            </w:r>
            <w:r>
              <w:rPr>
                <w:color w:val="231F20"/>
                <w:spacing w:val="-15"/>
                <w:w w:val="55"/>
              </w:rPr>
              <w:t xml:space="preserve"> </w:t>
            </w:r>
            <w:r>
              <w:rPr>
                <w:color w:val="231F20"/>
                <w:w w:val="55"/>
              </w:rPr>
              <w:t>the</w:t>
            </w:r>
            <w:r>
              <w:rPr>
                <w:color w:val="231F20"/>
                <w:spacing w:val="-16"/>
                <w:w w:val="55"/>
              </w:rPr>
              <w:t xml:space="preserve"> </w:t>
            </w:r>
            <w:r>
              <w:rPr>
                <w:color w:val="231F20"/>
                <w:w w:val="55"/>
              </w:rPr>
              <w:t>functioning</w:t>
            </w:r>
            <w:r>
              <w:rPr>
                <w:color w:val="231F20"/>
                <w:spacing w:val="-16"/>
                <w:w w:val="55"/>
              </w:rPr>
              <w:t xml:space="preserve"> </w:t>
            </w:r>
            <w:r>
              <w:rPr>
                <w:color w:val="231F20"/>
                <w:w w:val="55"/>
              </w:rPr>
              <w:t>of</w:t>
            </w:r>
            <w:r>
              <w:rPr>
                <w:color w:val="231F20"/>
                <w:spacing w:val="-15"/>
                <w:w w:val="55"/>
              </w:rPr>
              <w:t xml:space="preserve"> </w:t>
            </w:r>
            <w:r>
              <w:rPr>
                <w:color w:val="231F20"/>
                <w:w w:val="55"/>
              </w:rPr>
              <w:t>community</w:t>
            </w:r>
            <w:r>
              <w:rPr>
                <w:color w:val="231F20"/>
                <w:spacing w:val="-16"/>
                <w:w w:val="55"/>
              </w:rPr>
              <w:t xml:space="preserve"> </w:t>
            </w:r>
            <w:r>
              <w:rPr>
                <w:color w:val="231F20"/>
                <w:w w:val="55"/>
              </w:rPr>
              <w:t xml:space="preserve">coordinating </w:t>
            </w:r>
            <w:r>
              <w:rPr>
                <w:color w:val="231F20"/>
                <w:w w:val="65"/>
              </w:rPr>
              <w:t>structures</w:t>
            </w:r>
          </w:p>
        </w:tc>
        <w:tc>
          <w:tcPr>
            <w:tcW w:w="1411" w:type="dxa"/>
            <w:tcBorders>
              <w:left w:val="single" w:sz="6" w:space="0" w:color="231F20"/>
            </w:tcBorders>
          </w:tcPr>
          <w:p w14:paraId="3E7005A3" w14:textId="77777777" w:rsidR="009948F1" w:rsidRDefault="009948F1">
            <w:pPr>
              <w:pStyle w:val="TableParagraph"/>
              <w:spacing w:before="5"/>
              <w:rPr>
                <w:b/>
                <w:sz w:val="25"/>
              </w:rPr>
            </w:pPr>
          </w:p>
          <w:p w14:paraId="6A950B9D" w14:textId="77777777" w:rsidR="009948F1" w:rsidRDefault="00BC0563">
            <w:pPr>
              <w:pStyle w:val="TableParagraph"/>
              <w:ind w:left="23"/>
            </w:pPr>
            <w:r>
              <w:rPr>
                <w:color w:val="231F20"/>
                <w:w w:val="65"/>
              </w:rPr>
              <w:t>Lack of funds</w:t>
            </w:r>
          </w:p>
        </w:tc>
        <w:tc>
          <w:tcPr>
            <w:tcW w:w="1486" w:type="dxa"/>
            <w:tcBorders>
              <w:right w:val="single" w:sz="6" w:space="0" w:color="231F20"/>
            </w:tcBorders>
          </w:tcPr>
          <w:p w14:paraId="72EB7839" w14:textId="77777777" w:rsidR="009948F1" w:rsidRDefault="00BC0563">
            <w:pPr>
              <w:pStyle w:val="TableParagraph"/>
              <w:spacing w:before="157" w:line="256" w:lineRule="auto"/>
              <w:ind w:left="19"/>
            </w:pPr>
            <w:r>
              <w:rPr>
                <w:color w:val="231F20"/>
                <w:w w:val="55"/>
              </w:rPr>
              <w:t xml:space="preserve">Produce and disseminate </w:t>
            </w:r>
            <w:r>
              <w:rPr>
                <w:color w:val="231F20"/>
                <w:w w:val="65"/>
              </w:rPr>
              <w:t>guidelines</w:t>
            </w:r>
          </w:p>
        </w:tc>
      </w:tr>
      <w:tr w:rsidR="009948F1" w14:paraId="54BC2281" w14:textId="77777777">
        <w:trPr>
          <w:trHeight w:val="775"/>
        </w:trPr>
        <w:tc>
          <w:tcPr>
            <w:tcW w:w="1027" w:type="dxa"/>
            <w:gridSpan w:val="3"/>
            <w:vMerge/>
            <w:tcBorders>
              <w:top w:val="nil"/>
              <w:left w:val="single" w:sz="6" w:space="0" w:color="231F20"/>
              <w:bottom w:val="nil"/>
              <w:right w:val="single" w:sz="6" w:space="0" w:color="231F20"/>
            </w:tcBorders>
          </w:tcPr>
          <w:p w14:paraId="3DEFA24A" w14:textId="77777777" w:rsidR="009948F1" w:rsidRDefault="009948F1">
            <w:pPr>
              <w:rPr>
                <w:sz w:val="2"/>
                <w:szCs w:val="2"/>
              </w:rPr>
            </w:pPr>
          </w:p>
        </w:tc>
        <w:tc>
          <w:tcPr>
            <w:tcW w:w="519" w:type="dxa"/>
            <w:tcBorders>
              <w:left w:val="single" w:sz="6" w:space="0" w:color="231F20"/>
              <w:right w:val="single" w:sz="6" w:space="0" w:color="231F20"/>
            </w:tcBorders>
          </w:tcPr>
          <w:p w14:paraId="2D31CCBF" w14:textId="77777777" w:rsidR="009948F1" w:rsidRDefault="009948F1">
            <w:pPr>
              <w:pStyle w:val="TableParagraph"/>
              <w:spacing w:before="7"/>
              <w:rPr>
                <w:b/>
              </w:rPr>
            </w:pPr>
          </w:p>
          <w:p w14:paraId="6A888963" w14:textId="77777777" w:rsidR="009948F1" w:rsidRDefault="00BC0563">
            <w:pPr>
              <w:pStyle w:val="TableParagraph"/>
              <w:ind w:left="21" w:right="5"/>
              <w:jc w:val="center"/>
            </w:pPr>
            <w:r>
              <w:rPr>
                <w:color w:val="231F20"/>
                <w:w w:val="55"/>
              </w:rPr>
              <w:t>2.1.1.c</w:t>
            </w:r>
          </w:p>
        </w:tc>
        <w:tc>
          <w:tcPr>
            <w:tcW w:w="4835" w:type="dxa"/>
            <w:gridSpan w:val="2"/>
            <w:tcBorders>
              <w:left w:val="single" w:sz="6" w:space="0" w:color="231F20"/>
              <w:right w:val="single" w:sz="6" w:space="0" w:color="231F20"/>
            </w:tcBorders>
          </w:tcPr>
          <w:p w14:paraId="130B782E" w14:textId="77777777" w:rsidR="009948F1" w:rsidRDefault="009948F1">
            <w:pPr>
              <w:pStyle w:val="TableParagraph"/>
              <w:spacing w:before="10"/>
              <w:rPr>
                <w:b/>
                <w:sz w:val="21"/>
              </w:rPr>
            </w:pPr>
          </w:p>
          <w:p w14:paraId="3A0E2EB0" w14:textId="77777777" w:rsidR="009948F1" w:rsidRDefault="00BC0563">
            <w:pPr>
              <w:pStyle w:val="TableParagraph"/>
              <w:ind w:left="22"/>
            </w:pPr>
            <w:r>
              <w:rPr>
                <w:color w:val="231F20"/>
                <w:w w:val="55"/>
              </w:rPr>
              <w:t>Conduct advocacy and sensitization to community leaders for effective collaboration</w:t>
            </w:r>
          </w:p>
        </w:tc>
        <w:tc>
          <w:tcPr>
            <w:tcW w:w="1411" w:type="dxa"/>
            <w:tcBorders>
              <w:left w:val="single" w:sz="6" w:space="0" w:color="231F20"/>
            </w:tcBorders>
          </w:tcPr>
          <w:p w14:paraId="4D21F5B2" w14:textId="77777777" w:rsidR="009948F1" w:rsidRDefault="00BC0563">
            <w:pPr>
              <w:pStyle w:val="TableParagraph"/>
              <w:spacing w:line="256" w:lineRule="auto"/>
              <w:ind w:left="23"/>
            </w:pPr>
            <w:r>
              <w:rPr>
                <w:color w:val="231F20"/>
                <w:w w:val="65"/>
              </w:rPr>
              <w:t xml:space="preserve">Lack of funds, </w:t>
            </w:r>
            <w:r>
              <w:rPr>
                <w:color w:val="231F20"/>
                <w:w w:val="55"/>
              </w:rPr>
              <w:t>commitment, security &amp;</w:t>
            </w:r>
          </w:p>
          <w:p w14:paraId="2ADB8CC0" w14:textId="77777777" w:rsidR="009948F1" w:rsidRDefault="00BC0563">
            <w:pPr>
              <w:pStyle w:val="TableParagraph"/>
              <w:spacing w:line="217" w:lineRule="exact"/>
              <w:ind w:left="23"/>
            </w:pPr>
            <w:r>
              <w:rPr>
                <w:color w:val="231F20"/>
                <w:w w:val="65"/>
              </w:rPr>
              <w:t>difficult terrain</w:t>
            </w:r>
          </w:p>
        </w:tc>
        <w:tc>
          <w:tcPr>
            <w:tcW w:w="1486" w:type="dxa"/>
            <w:tcBorders>
              <w:right w:val="single" w:sz="6" w:space="0" w:color="231F20"/>
            </w:tcBorders>
          </w:tcPr>
          <w:p w14:paraId="43B3687B" w14:textId="77777777" w:rsidR="009948F1" w:rsidRDefault="00BC0563">
            <w:pPr>
              <w:pStyle w:val="TableParagraph"/>
              <w:spacing w:before="124" w:line="256" w:lineRule="auto"/>
              <w:ind w:left="19"/>
            </w:pPr>
            <w:r>
              <w:rPr>
                <w:color w:val="231F20"/>
                <w:w w:val="55"/>
              </w:rPr>
              <w:t xml:space="preserve">Conduct advocacy and </w:t>
            </w:r>
            <w:r>
              <w:rPr>
                <w:color w:val="231F20"/>
                <w:w w:val="65"/>
              </w:rPr>
              <w:t>sensitization</w:t>
            </w:r>
          </w:p>
        </w:tc>
      </w:tr>
      <w:tr w:rsidR="009948F1" w14:paraId="6E28FFF1" w14:textId="77777777">
        <w:trPr>
          <w:trHeight w:val="543"/>
        </w:trPr>
        <w:tc>
          <w:tcPr>
            <w:tcW w:w="1027" w:type="dxa"/>
            <w:gridSpan w:val="3"/>
            <w:vMerge/>
            <w:tcBorders>
              <w:top w:val="nil"/>
              <w:left w:val="single" w:sz="6" w:space="0" w:color="231F20"/>
              <w:bottom w:val="nil"/>
              <w:right w:val="single" w:sz="6" w:space="0" w:color="231F20"/>
            </w:tcBorders>
          </w:tcPr>
          <w:p w14:paraId="50849750" w14:textId="77777777" w:rsidR="009948F1" w:rsidRDefault="009948F1">
            <w:pPr>
              <w:rPr>
                <w:sz w:val="2"/>
                <w:szCs w:val="2"/>
              </w:rPr>
            </w:pPr>
          </w:p>
        </w:tc>
        <w:tc>
          <w:tcPr>
            <w:tcW w:w="519" w:type="dxa"/>
            <w:tcBorders>
              <w:left w:val="single" w:sz="6" w:space="0" w:color="231F20"/>
              <w:right w:val="single" w:sz="6" w:space="0" w:color="231F20"/>
            </w:tcBorders>
          </w:tcPr>
          <w:p w14:paraId="09ADB9D9" w14:textId="77777777" w:rsidR="009948F1" w:rsidRDefault="00BC0563">
            <w:pPr>
              <w:pStyle w:val="TableParagraph"/>
              <w:spacing w:before="144"/>
              <w:ind w:left="21" w:right="5"/>
              <w:jc w:val="center"/>
            </w:pPr>
            <w:r>
              <w:rPr>
                <w:color w:val="231F20"/>
                <w:w w:val="55"/>
              </w:rPr>
              <w:t>2.1.1.d</w:t>
            </w:r>
          </w:p>
        </w:tc>
        <w:tc>
          <w:tcPr>
            <w:tcW w:w="4835" w:type="dxa"/>
            <w:gridSpan w:val="2"/>
            <w:tcBorders>
              <w:left w:val="single" w:sz="6" w:space="0" w:color="231F20"/>
              <w:right w:val="single" w:sz="6" w:space="0" w:color="231F20"/>
            </w:tcBorders>
          </w:tcPr>
          <w:p w14:paraId="68BF6EE1" w14:textId="77777777" w:rsidR="009948F1" w:rsidRDefault="00BC0563">
            <w:pPr>
              <w:pStyle w:val="TableParagraph"/>
              <w:spacing w:before="135"/>
              <w:ind w:left="22"/>
            </w:pPr>
            <w:r>
              <w:rPr>
                <w:color w:val="231F20"/>
                <w:w w:val="55"/>
              </w:rPr>
              <w:t>Conduct capacity building for Ward Development Committee on community participation</w:t>
            </w:r>
          </w:p>
        </w:tc>
        <w:tc>
          <w:tcPr>
            <w:tcW w:w="1411" w:type="dxa"/>
            <w:tcBorders>
              <w:left w:val="single" w:sz="6" w:space="0" w:color="231F20"/>
            </w:tcBorders>
          </w:tcPr>
          <w:p w14:paraId="130D9EA9" w14:textId="77777777" w:rsidR="009948F1" w:rsidRDefault="00BC0563">
            <w:pPr>
              <w:pStyle w:val="TableParagraph"/>
              <w:spacing w:line="250" w:lineRule="exact"/>
              <w:ind w:left="23"/>
            </w:pPr>
            <w:r>
              <w:rPr>
                <w:color w:val="231F20"/>
                <w:w w:val="65"/>
              </w:rPr>
              <w:t>Lack of funds,</w:t>
            </w:r>
          </w:p>
          <w:p w14:paraId="0C8C629C" w14:textId="77777777" w:rsidR="009948F1" w:rsidRDefault="00BC0563">
            <w:pPr>
              <w:pStyle w:val="TableParagraph"/>
              <w:spacing w:before="16"/>
              <w:ind w:left="23"/>
            </w:pPr>
            <w:r>
              <w:rPr>
                <w:color w:val="231F20"/>
                <w:w w:val="55"/>
              </w:rPr>
              <w:t>commitment, security &amp;</w:t>
            </w:r>
          </w:p>
        </w:tc>
        <w:tc>
          <w:tcPr>
            <w:tcW w:w="1486" w:type="dxa"/>
            <w:tcBorders>
              <w:right w:val="single" w:sz="6" w:space="0" w:color="231F20"/>
            </w:tcBorders>
          </w:tcPr>
          <w:p w14:paraId="00AFAA68" w14:textId="77777777" w:rsidR="009948F1" w:rsidRDefault="00BC0563">
            <w:pPr>
              <w:pStyle w:val="TableParagraph"/>
              <w:spacing w:before="144"/>
              <w:ind w:left="19"/>
            </w:pPr>
            <w:r>
              <w:rPr>
                <w:color w:val="231F20"/>
                <w:w w:val="65"/>
              </w:rPr>
              <w:t>Capacity building</w:t>
            </w:r>
          </w:p>
        </w:tc>
      </w:tr>
      <w:tr w:rsidR="009948F1" w14:paraId="11DA530F" w14:textId="77777777">
        <w:trPr>
          <w:trHeight w:val="1185"/>
        </w:trPr>
        <w:tc>
          <w:tcPr>
            <w:tcW w:w="578" w:type="dxa"/>
            <w:gridSpan w:val="2"/>
            <w:tcBorders>
              <w:top w:val="nil"/>
              <w:left w:val="single" w:sz="6" w:space="0" w:color="231F20"/>
              <w:bottom w:val="nil"/>
              <w:right w:val="single" w:sz="6" w:space="0" w:color="231F20"/>
            </w:tcBorders>
          </w:tcPr>
          <w:p w14:paraId="35EFA82E" w14:textId="77777777" w:rsidR="009948F1" w:rsidRDefault="009948F1">
            <w:pPr>
              <w:pStyle w:val="TableParagraph"/>
              <w:rPr>
                <w:rFonts w:ascii="Times New Roman"/>
                <w:sz w:val="10"/>
              </w:rPr>
            </w:pPr>
          </w:p>
        </w:tc>
        <w:tc>
          <w:tcPr>
            <w:tcW w:w="449" w:type="dxa"/>
            <w:tcBorders>
              <w:left w:val="single" w:sz="6" w:space="0" w:color="231F20"/>
              <w:right w:val="single" w:sz="6" w:space="0" w:color="231F20"/>
            </w:tcBorders>
            <w:shd w:val="clear" w:color="auto" w:fill="CCE7D3"/>
          </w:tcPr>
          <w:p w14:paraId="4613B3D1" w14:textId="77777777" w:rsidR="009948F1" w:rsidRDefault="009948F1">
            <w:pPr>
              <w:pStyle w:val="TableParagraph"/>
              <w:rPr>
                <w:b/>
              </w:rPr>
            </w:pPr>
          </w:p>
          <w:p w14:paraId="7CE64139" w14:textId="77777777" w:rsidR="009948F1" w:rsidRDefault="009948F1">
            <w:pPr>
              <w:pStyle w:val="TableParagraph"/>
              <w:spacing w:before="4"/>
              <w:rPr>
                <w:b/>
                <w:sz w:val="18"/>
              </w:rPr>
            </w:pPr>
          </w:p>
          <w:p w14:paraId="286121EB" w14:textId="77777777" w:rsidR="009948F1" w:rsidRDefault="00BC0563">
            <w:pPr>
              <w:pStyle w:val="TableParagraph"/>
              <w:ind w:left="54"/>
            </w:pPr>
            <w:r>
              <w:rPr>
                <w:color w:val="231F20"/>
                <w:w w:val="65"/>
              </w:rPr>
              <w:t>2.1.2</w:t>
            </w:r>
          </w:p>
        </w:tc>
        <w:tc>
          <w:tcPr>
            <w:tcW w:w="2999" w:type="dxa"/>
            <w:gridSpan w:val="2"/>
            <w:tcBorders>
              <w:left w:val="single" w:sz="6" w:space="0" w:color="231F20"/>
              <w:right w:val="single" w:sz="6" w:space="0" w:color="231F20"/>
            </w:tcBorders>
            <w:shd w:val="clear" w:color="auto" w:fill="CCE7D3"/>
          </w:tcPr>
          <w:p w14:paraId="315EF1BD" w14:textId="77777777" w:rsidR="009948F1" w:rsidRDefault="009948F1">
            <w:pPr>
              <w:pStyle w:val="TableParagraph"/>
              <w:spacing w:before="11"/>
              <w:rPr>
                <w:b/>
                <w:sz w:val="27"/>
              </w:rPr>
            </w:pPr>
          </w:p>
          <w:p w14:paraId="226CB06F" w14:textId="77777777" w:rsidR="009948F1" w:rsidRDefault="00BC0563">
            <w:pPr>
              <w:pStyle w:val="TableParagraph"/>
              <w:spacing w:line="256" w:lineRule="auto"/>
              <w:ind w:left="22" w:right="286" w:firstLine="32"/>
            </w:pPr>
            <w:r>
              <w:rPr>
                <w:color w:val="231F20"/>
                <w:w w:val="55"/>
              </w:rPr>
              <w:t xml:space="preserve">Strengthen financial management systems at the </w:t>
            </w:r>
            <w:r>
              <w:rPr>
                <w:color w:val="231F20"/>
                <w:w w:val="65"/>
              </w:rPr>
              <w:t>community levels</w:t>
            </w:r>
          </w:p>
        </w:tc>
        <w:tc>
          <w:tcPr>
            <w:tcW w:w="2355" w:type="dxa"/>
            <w:tcBorders>
              <w:left w:val="single" w:sz="6" w:space="0" w:color="231F20"/>
              <w:right w:val="single" w:sz="6" w:space="0" w:color="231F20"/>
            </w:tcBorders>
            <w:shd w:val="clear" w:color="auto" w:fill="CCE7D3"/>
          </w:tcPr>
          <w:p w14:paraId="3EB964D2" w14:textId="77777777" w:rsidR="009948F1" w:rsidRDefault="00BC0563">
            <w:pPr>
              <w:pStyle w:val="TableParagraph"/>
              <w:numPr>
                <w:ilvl w:val="0"/>
                <w:numId w:val="226"/>
              </w:numPr>
              <w:tabs>
                <w:tab w:val="left" w:pos="97"/>
              </w:tabs>
              <w:spacing w:before="61" w:line="256" w:lineRule="auto"/>
              <w:ind w:right="657" w:firstLine="0"/>
            </w:pPr>
            <w:r>
              <w:rPr>
                <w:color w:val="231F20"/>
                <w:w w:val="55"/>
              </w:rPr>
              <w:t>200</w:t>
            </w:r>
            <w:r>
              <w:rPr>
                <w:color w:val="231F20"/>
                <w:spacing w:val="-9"/>
                <w:w w:val="55"/>
              </w:rPr>
              <w:t xml:space="preserve"> </w:t>
            </w:r>
            <w:r>
              <w:rPr>
                <w:color w:val="231F20"/>
                <w:w w:val="55"/>
              </w:rPr>
              <w:t>WDCs</w:t>
            </w:r>
            <w:r>
              <w:rPr>
                <w:color w:val="231F20"/>
                <w:spacing w:val="-9"/>
                <w:w w:val="55"/>
              </w:rPr>
              <w:t xml:space="preserve"> </w:t>
            </w:r>
            <w:r>
              <w:rPr>
                <w:color w:val="231F20"/>
                <w:w w:val="55"/>
              </w:rPr>
              <w:t>trained</w:t>
            </w:r>
            <w:r>
              <w:rPr>
                <w:color w:val="231F20"/>
                <w:spacing w:val="-9"/>
                <w:w w:val="55"/>
              </w:rPr>
              <w:t xml:space="preserve"> </w:t>
            </w:r>
            <w:r>
              <w:rPr>
                <w:color w:val="231F20"/>
                <w:w w:val="55"/>
              </w:rPr>
              <w:t>on</w:t>
            </w:r>
            <w:r>
              <w:rPr>
                <w:color w:val="231F20"/>
                <w:spacing w:val="-9"/>
                <w:w w:val="55"/>
              </w:rPr>
              <w:t xml:space="preserve"> </w:t>
            </w:r>
            <w:r>
              <w:rPr>
                <w:color w:val="231F20"/>
                <w:spacing w:val="-3"/>
                <w:w w:val="55"/>
              </w:rPr>
              <w:t xml:space="preserve">financial </w:t>
            </w:r>
            <w:r>
              <w:rPr>
                <w:color w:val="231F20"/>
                <w:w w:val="65"/>
              </w:rPr>
              <w:t>management</w:t>
            </w:r>
          </w:p>
          <w:p w14:paraId="695DA59A" w14:textId="77777777" w:rsidR="009948F1" w:rsidRDefault="00BC0563">
            <w:pPr>
              <w:pStyle w:val="TableParagraph"/>
              <w:spacing w:line="251" w:lineRule="exact"/>
              <w:ind w:left="23"/>
            </w:pPr>
            <w:r>
              <w:rPr>
                <w:color w:val="231F20"/>
                <w:w w:val="53"/>
              </w:rPr>
              <w:t>•</w:t>
            </w:r>
          </w:p>
          <w:p w14:paraId="48A6F291" w14:textId="77777777" w:rsidR="009948F1" w:rsidRDefault="00BC0563">
            <w:pPr>
              <w:pStyle w:val="TableParagraph"/>
              <w:spacing w:before="16"/>
              <w:ind w:left="23"/>
            </w:pPr>
            <w:r>
              <w:rPr>
                <w:color w:val="231F20"/>
                <w:w w:val="53"/>
              </w:rPr>
              <w:t>•</w:t>
            </w:r>
          </w:p>
        </w:tc>
        <w:tc>
          <w:tcPr>
            <w:tcW w:w="1411" w:type="dxa"/>
            <w:tcBorders>
              <w:left w:val="single" w:sz="6" w:space="0" w:color="231F20"/>
            </w:tcBorders>
            <w:shd w:val="clear" w:color="auto" w:fill="CCE7D3"/>
          </w:tcPr>
          <w:p w14:paraId="47B4748D" w14:textId="77777777" w:rsidR="009948F1" w:rsidRDefault="00BC0563">
            <w:pPr>
              <w:pStyle w:val="TableParagraph"/>
              <w:spacing w:line="226" w:lineRule="exact"/>
              <w:ind w:left="23"/>
            </w:pPr>
            <w:r>
              <w:rPr>
                <w:color w:val="231F20"/>
                <w:w w:val="65"/>
              </w:rPr>
              <w:t>difficult terrain</w:t>
            </w:r>
          </w:p>
        </w:tc>
        <w:tc>
          <w:tcPr>
            <w:tcW w:w="1486" w:type="dxa"/>
            <w:tcBorders>
              <w:right w:val="single" w:sz="6" w:space="0" w:color="231F20"/>
            </w:tcBorders>
            <w:shd w:val="clear" w:color="auto" w:fill="CCE7D3"/>
          </w:tcPr>
          <w:p w14:paraId="70E810D3" w14:textId="77777777" w:rsidR="009948F1" w:rsidRDefault="009948F1">
            <w:pPr>
              <w:pStyle w:val="TableParagraph"/>
              <w:rPr>
                <w:rFonts w:ascii="Times New Roman"/>
                <w:sz w:val="10"/>
              </w:rPr>
            </w:pPr>
          </w:p>
        </w:tc>
      </w:tr>
      <w:tr w:rsidR="009948F1" w14:paraId="2C37BFF9" w14:textId="77777777">
        <w:trPr>
          <w:trHeight w:val="749"/>
        </w:trPr>
        <w:tc>
          <w:tcPr>
            <w:tcW w:w="1027" w:type="dxa"/>
            <w:gridSpan w:val="3"/>
            <w:vMerge w:val="restart"/>
            <w:tcBorders>
              <w:top w:val="nil"/>
              <w:left w:val="single" w:sz="6" w:space="0" w:color="231F20"/>
              <w:bottom w:val="nil"/>
              <w:right w:val="single" w:sz="6" w:space="0" w:color="231F20"/>
            </w:tcBorders>
          </w:tcPr>
          <w:p w14:paraId="7FB12935" w14:textId="77777777" w:rsidR="009948F1" w:rsidRDefault="009948F1">
            <w:pPr>
              <w:pStyle w:val="TableParagraph"/>
              <w:rPr>
                <w:rFonts w:ascii="Times New Roman"/>
                <w:sz w:val="10"/>
              </w:rPr>
            </w:pPr>
          </w:p>
        </w:tc>
        <w:tc>
          <w:tcPr>
            <w:tcW w:w="519" w:type="dxa"/>
            <w:tcBorders>
              <w:left w:val="single" w:sz="6" w:space="0" w:color="231F20"/>
              <w:right w:val="single" w:sz="6" w:space="0" w:color="231F20"/>
            </w:tcBorders>
          </w:tcPr>
          <w:p w14:paraId="4A86D063" w14:textId="77777777" w:rsidR="009948F1" w:rsidRDefault="009948F1">
            <w:pPr>
              <w:pStyle w:val="TableParagraph"/>
              <w:spacing w:before="5"/>
              <w:rPr>
                <w:b/>
                <w:sz w:val="21"/>
              </w:rPr>
            </w:pPr>
          </w:p>
          <w:p w14:paraId="30F542CD" w14:textId="77777777" w:rsidR="009948F1" w:rsidRDefault="00BC0563">
            <w:pPr>
              <w:pStyle w:val="TableParagraph"/>
              <w:ind w:left="21" w:right="5"/>
              <w:jc w:val="center"/>
            </w:pPr>
            <w:r>
              <w:rPr>
                <w:color w:val="231F20"/>
                <w:w w:val="55"/>
              </w:rPr>
              <w:t>2.1.2.a</w:t>
            </w:r>
          </w:p>
        </w:tc>
        <w:tc>
          <w:tcPr>
            <w:tcW w:w="4835" w:type="dxa"/>
            <w:gridSpan w:val="2"/>
            <w:tcBorders>
              <w:left w:val="single" w:sz="6" w:space="0" w:color="231F20"/>
              <w:right w:val="single" w:sz="6" w:space="0" w:color="231F20"/>
            </w:tcBorders>
          </w:tcPr>
          <w:p w14:paraId="4C108E56" w14:textId="77777777" w:rsidR="009948F1" w:rsidRDefault="009948F1">
            <w:pPr>
              <w:pStyle w:val="TableParagraph"/>
              <w:spacing w:before="8"/>
              <w:rPr>
                <w:b/>
                <w:sz w:val="20"/>
              </w:rPr>
            </w:pPr>
          </w:p>
          <w:p w14:paraId="3231473E" w14:textId="77777777" w:rsidR="009948F1" w:rsidRDefault="00BC0563">
            <w:pPr>
              <w:pStyle w:val="TableParagraph"/>
              <w:ind w:left="22"/>
            </w:pPr>
            <w:r>
              <w:rPr>
                <w:color w:val="231F20"/>
                <w:w w:val="65"/>
              </w:rPr>
              <w:t>Institute a system for financial monitoring and auditing at community level</w:t>
            </w:r>
          </w:p>
        </w:tc>
        <w:tc>
          <w:tcPr>
            <w:tcW w:w="1411" w:type="dxa"/>
            <w:tcBorders>
              <w:left w:val="single" w:sz="6" w:space="0" w:color="231F20"/>
            </w:tcBorders>
          </w:tcPr>
          <w:p w14:paraId="2786F2BC" w14:textId="77777777" w:rsidR="009948F1" w:rsidRDefault="00BC0563">
            <w:pPr>
              <w:pStyle w:val="TableParagraph"/>
              <w:spacing w:line="256" w:lineRule="auto"/>
              <w:ind w:left="23"/>
            </w:pPr>
            <w:r>
              <w:rPr>
                <w:color w:val="231F20"/>
                <w:w w:val="65"/>
              </w:rPr>
              <w:t xml:space="preserve">Lack of funds, </w:t>
            </w:r>
            <w:r>
              <w:rPr>
                <w:color w:val="231F20"/>
                <w:w w:val="55"/>
              </w:rPr>
              <w:t>commitment, security &amp;</w:t>
            </w:r>
          </w:p>
          <w:p w14:paraId="7F1AEEA2" w14:textId="77777777" w:rsidR="009948F1" w:rsidRDefault="00BC0563">
            <w:pPr>
              <w:pStyle w:val="TableParagraph"/>
              <w:spacing w:line="191" w:lineRule="exact"/>
              <w:ind w:left="23"/>
            </w:pPr>
            <w:r>
              <w:rPr>
                <w:color w:val="231F20"/>
                <w:w w:val="65"/>
              </w:rPr>
              <w:t>difficult terrain</w:t>
            </w:r>
          </w:p>
        </w:tc>
        <w:tc>
          <w:tcPr>
            <w:tcW w:w="1486" w:type="dxa"/>
            <w:tcBorders>
              <w:right w:val="single" w:sz="6" w:space="0" w:color="231F20"/>
            </w:tcBorders>
          </w:tcPr>
          <w:p w14:paraId="4741C2F9" w14:textId="77777777" w:rsidR="009948F1" w:rsidRDefault="009948F1">
            <w:pPr>
              <w:pStyle w:val="TableParagraph"/>
              <w:spacing w:before="5"/>
              <w:rPr>
                <w:b/>
                <w:sz w:val="21"/>
              </w:rPr>
            </w:pPr>
          </w:p>
          <w:p w14:paraId="40E1A9B1" w14:textId="77777777" w:rsidR="009948F1" w:rsidRDefault="00BC0563">
            <w:pPr>
              <w:pStyle w:val="TableParagraph"/>
              <w:ind w:left="19"/>
            </w:pPr>
            <w:r>
              <w:rPr>
                <w:color w:val="231F20"/>
                <w:w w:val="65"/>
              </w:rPr>
              <w:t>Institute a system</w:t>
            </w:r>
          </w:p>
        </w:tc>
      </w:tr>
      <w:tr w:rsidR="009948F1" w14:paraId="13012AA8" w14:textId="77777777">
        <w:trPr>
          <w:trHeight w:val="814"/>
        </w:trPr>
        <w:tc>
          <w:tcPr>
            <w:tcW w:w="1027" w:type="dxa"/>
            <w:gridSpan w:val="3"/>
            <w:vMerge/>
            <w:tcBorders>
              <w:top w:val="nil"/>
              <w:left w:val="single" w:sz="6" w:space="0" w:color="231F20"/>
              <w:bottom w:val="nil"/>
              <w:right w:val="single" w:sz="6" w:space="0" w:color="231F20"/>
            </w:tcBorders>
          </w:tcPr>
          <w:p w14:paraId="71CC70AC" w14:textId="77777777" w:rsidR="009948F1" w:rsidRDefault="009948F1">
            <w:pPr>
              <w:rPr>
                <w:sz w:val="2"/>
                <w:szCs w:val="2"/>
              </w:rPr>
            </w:pPr>
          </w:p>
        </w:tc>
        <w:tc>
          <w:tcPr>
            <w:tcW w:w="519" w:type="dxa"/>
            <w:tcBorders>
              <w:left w:val="single" w:sz="6" w:space="0" w:color="231F20"/>
              <w:right w:val="single" w:sz="6" w:space="0" w:color="231F20"/>
            </w:tcBorders>
          </w:tcPr>
          <w:p w14:paraId="4B0B5FAF" w14:textId="77777777" w:rsidR="009948F1" w:rsidRDefault="009948F1">
            <w:pPr>
              <w:pStyle w:val="TableParagraph"/>
              <w:spacing w:before="3"/>
              <w:rPr>
                <w:b/>
                <w:sz w:val="24"/>
              </w:rPr>
            </w:pPr>
          </w:p>
          <w:p w14:paraId="0E629751" w14:textId="77777777" w:rsidR="009948F1" w:rsidRDefault="00BC0563">
            <w:pPr>
              <w:pStyle w:val="TableParagraph"/>
              <w:spacing w:before="1"/>
              <w:ind w:left="21" w:right="5"/>
              <w:jc w:val="center"/>
            </w:pPr>
            <w:r>
              <w:rPr>
                <w:color w:val="231F20"/>
                <w:w w:val="55"/>
              </w:rPr>
              <w:t>2.1.2.b</w:t>
            </w:r>
          </w:p>
        </w:tc>
        <w:tc>
          <w:tcPr>
            <w:tcW w:w="4835" w:type="dxa"/>
            <w:gridSpan w:val="2"/>
            <w:tcBorders>
              <w:left w:val="single" w:sz="6" w:space="0" w:color="231F20"/>
              <w:right w:val="single" w:sz="6" w:space="0" w:color="231F20"/>
            </w:tcBorders>
          </w:tcPr>
          <w:p w14:paraId="7753B0A0" w14:textId="47F1FE63" w:rsidR="009948F1" w:rsidRDefault="00BC0563">
            <w:pPr>
              <w:pStyle w:val="TableParagraph"/>
              <w:spacing w:before="1" w:line="256" w:lineRule="auto"/>
              <w:ind w:left="22" w:right="161"/>
            </w:pPr>
            <w:r>
              <w:rPr>
                <w:color w:val="231F20"/>
                <w:w w:val="55"/>
              </w:rPr>
              <w:t xml:space="preserve">Build capacity of community </w:t>
            </w:r>
            <w:r w:rsidR="00C84576">
              <w:rPr>
                <w:color w:val="231F20"/>
                <w:w w:val="55"/>
              </w:rPr>
              <w:t>committees</w:t>
            </w:r>
            <w:r>
              <w:rPr>
                <w:color w:val="231F20"/>
                <w:w w:val="55"/>
              </w:rPr>
              <w:t xml:space="preserve"> and </w:t>
            </w:r>
            <w:r w:rsidR="00C84576">
              <w:rPr>
                <w:color w:val="231F20"/>
                <w:w w:val="55"/>
              </w:rPr>
              <w:t>structures</w:t>
            </w:r>
            <w:r>
              <w:rPr>
                <w:color w:val="231F20"/>
                <w:w w:val="55"/>
              </w:rPr>
              <w:t xml:space="preserve"> (CBOs, FBOs, WDCs, </w:t>
            </w:r>
            <w:r w:rsidR="00C84576">
              <w:rPr>
                <w:color w:val="231F20"/>
                <w:w w:val="55"/>
              </w:rPr>
              <w:t>etc.</w:t>
            </w:r>
            <w:r>
              <w:rPr>
                <w:color w:val="231F20"/>
                <w:w w:val="55"/>
              </w:rPr>
              <w:t>) on resource</w:t>
            </w:r>
            <w:r>
              <w:rPr>
                <w:color w:val="231F20"/>
                <w:spacing w:val="-17"/>
                <w:w w:val="55"/>
              </w:rPr>
              <w:t xml:space="preserve"> </w:t>
            </w:r>
            <w:r>
              <w:rPr>
                <w:color w:val="231F20"/>
                <w:w w:val="55"/>
              </w:rPr>
              <w:t>mobilization,</w:t>
            </w:r>
            <w:r>
              <w:rPr>
                <w:color w:val="231F20"/>
                <w:spacing w:val="-17"/>
                <w:w w:val="55"/>
              </w:rPr>
              <w:t xml:space="preserve"> </w:t>
            </w:r>
            <w:r>
              <w:rPr>
                <w:color w:val="231F20"/>
                <w:w w:val="55"/>
              </w:rPr>
              <w:t>financial</w:t>
            </w:r>
            <w:r>
              <w:rPr>
                <w:color w:val="231F20"/>
                <w:spacing w:val="-17"/>
                <w:w w:val="55"/>
              </w:rPr>
              <w:t xml:space="preserve"> </w:t>
            </w:r>
            <w:r>
              <w:rPr>
                <w:color w:val="231F20"/>
                <w:w w:val="55"/>
              </w:rPr>
              <w:t>management</w:t>
            </w:r>
            <w:r>
              <w:rPr>
                <w:color w:val="231F20"/>
                <w:spacing w:val="-17"/>
                <w:w w:val="55"/>
              </w:rPr>
              <w:t xml:space="preserve"> </w:t>
            </w:r>
            <w:r>
              <w:rPr>
                <w:color w:val="231F20"/>
                <w:w w:val="55"/>
              </w:rPr>
              <w:t>system</w:t>
            </w:r>
            <w:r>
              <w:rPr>
                <w:color w:val="231F20"/>
                <w:spacing w:val="-17"/>
                <w:w w:val="55"/>
              </w:rPr>
              <w:t xml:space="preserve"> </w:t>
            </w:r>
            <w:r>
              <w:rPr>
                <w:color w:val="231F20"/>
                <w:w w:val="55"/>
              </w:rPr>
              <w:t>and</w:t>
            </w:r>
            <w:r>
              <w:rPr>
                <w:color w:val="231F20"/>
                <w:spacing w:val="-16"/>
                <w:w w:val="55"/>
              </w:rPr>
              <w:t xml:space="preserve"> </w:t>
            </w:r>
            <w:r>
              <w:rPr>
                <w:color w:val="231F20"/>
                <w:w w:val="55"/>
              </w:rPr>
              <w:t>accountability</w:t>
            </w:r>
            <w:r>
              <w:rPr>
                <w:color w:val="231F20"/>
                <w:spacing w:val="-17"/>
                <w:w w:val="55"/>
              </w:rPr>
              <w:t xml:space="preserve"> </w:t>
            </w:r>
            <w:r>
              <w:rPr>
                <w:color w:val="231F20"/>
                <w:w w:val="55"/>
              </w:rPr>
              <w:t>at</w:t>
            </w:r>
            <w:r>
              <w:rPr>
                <w:color w:val="231F20"/>
                <w:spacing w:val="-17"/>
                <w:w w:val="55"/>
              </w:rPr>
              <w:t xml:space="preserve"> </w:t>
            </w:r>
            <w:r>
              <w:rPr>
                <w:color w:val="231F20"/>
                <w:w w:val="55"/>
              </w:rPr>
              <w:t>the</w:t>
            </w:r>
            <w:r>
              <w:rPr>
                <w:color w:val="231F20"/>
                <w:spacing w:val="-17"/>
                <w:w w:val="55"/>
              </w:rPr>
              <w:t xml:space="preserve"> </w:t>
            </w:r>
            <w:r>
              <w:rPr>
                <w:color w:val="231F20"/>
                <w:w w:val="55"/>
              </w:rPr>
              <w:t>community</w:t>
            </w:r>
          </w:p>
          <w:p w14:paraId="60ABDEC9" w14:textId="77777777" w:rsidR="009948F1" w:rsidRDefault="00BC0563">
            <w:pPr>
              <w:pStyle w:val="TableParagraph"/>
              <w:spacing w:line="251" w:lineRule="exact"/>
              <w:ind w:left="22"/>
            </w:pPr>
            <w:r>
              <w:rPr>
                <w:color w:val="231F20"/>
                <w:w w:val="65"/>
              </w:rPr>
              <w:t>level</w:t>
            </w:r>
          </w:p>
        </w:tc>
        <w:tc>
          <w:tcPr>
            <w:tcW w:w="1411" w:type="dxa"/>
            <w:tcBorders>
              <w:left w:val="single" w:sz="6" w:space="0" w:color="231F20"/>
            </w:tcBorders>
          </w:tcPr>
          <w:p w14:paraId="3C8EBE2E" w14:textId="77777777" w:rsidR="009948F1" w:rsidRDefault="00BC0563">
            <w:pPr>
              <w:pStyle w:val="TableParagraph"/>
              <w:spacing w:line="270" w:lineRule="exact"/>
              <w:ind w:left="23"/>
            </w:pPr>
            <w:r>
              <w:rPr>
                <w:color w:val="231F20"/>
                <w:w w:val="65"/>
              </w:rPr>
              <w:t xml:space="preserve">Lack of funds, </w:t>
            </w:r>
            <w:r>
              <w:rPr>
                <w:color w:val="231F20"/>
                <w:w w:val="55"/>
              </w:rPr>
              <w:t xml:space="preserve">commitment, security &amp; </w:t>
            </w:r>
            <w:r>
              <w:rPr>
                <w:color w:val="231F20"/>
                <w:w w:val="65"/>
              </w:rPr>
              <w:t>difficult terrain</w:t>
            </w:r>
          </w:p>
        </w:tc>
        <w:tc>
          <w:tcPr>
            <w:tcW w:w="1486" w:type="dxa"/>
            <w:tcBorders>
              <w:right w:val="single" w:sz="6" w:space="0" w:color="231F20"/>
            </w:tcBorders>
          </w:tcPr>
          <w:p w14:paraId="4B22B989" w14:textId="77777777" w:rsidR="009948F1" w:rsidRDefault="009948F1">
            <w:pPr>
              <w:pStyle w:val="TableParagraph"/>
              <w:spacing w:before="3"/>
              <w:rPr>
                <w:b/>
                <w:sz w:val="24"/>
              </w:rPr>
            </w:pPr>
          </w:p>
          <w:p w14:paraId="0E3499E9" w14:textId="77777777" w:rsidR="009948F1" w:rsidRDefault="00BC0563">
            <w:pPr>
              <w:pStyle w:val="TableParagraph"/>
              <w:spacing w:before="1"/>
              <w:ind w:left="19"/>
            </w:pPr>
            <w:r>
              <w:rPr>
                <w:color w:val="231F20"/>
                <w:w w:val="65"/>
              </w:rPr>
              <w:t>Build capacity</w:t>
            </w:r>
          </w:p>
        </w:tc>
      </w:tr>
      <w:tr w:rsidR="009948F1" w14:paraId="5CD43EC0" w14:textId="77777777">
        <w:trPr>
          <w:trHeight w:val="1544"/>
        </w:trPr>
        <w:tc>
          <w:tcPr>
            <w:tcW w:w="578" w:type="dxa"/>
            <w:gridSpan w:val="2"/>
            <w:tcBorders>
              <w:top w:val="nil"/>
              <w:left w:val="single" w:sz="6" w:space="0" w:color="231F20"/>
              <w:bottom w:val="nil"/>
              <w:right w:val="single" w:sz="6" w:space="0" w:color="231F20"/>
            </w:tcBorders>
          </w:tcPr>
          <w:p w14:paraId="2ECE2C8C" w14:textId="77777777" w:rsidR="009948F1" w:rsidRDefault="009948F1">
            <w:pPr>
              <w:pStyle w:val="TableParagraph"/>
              <w:rPr>
                <w:rFonts w:ascii="Times New Roman"/>
                <w:sz w:val="10"/>
              </w:rPr>
            </w:pPr>
          </w:p>
        </w:tc>
        <w:tc>
          <w:tcPr>
            <w:tcW w:w="449" w:type="dxa"/>
            <w:tcBorders>
              <w:left w:val="single" w:sz="6" w:space="0" w:color="231F20"/>
              <w:right w:val="single" w:sz="6" w:space="0" w:color="231F20"/>
            </w:tcBorders>
            <w:shd w:val="clear" w:color="auto" w:fill="CCE7D3"/>
          </w:tcPr>
          <w:p w14:paraId="368FD592" w14:textId="77777777" w:rsidR="009948F1" w:rsidRDefault="009948F1">
            <w:pPr>
              <w:pStyle w:val="TableParagraph"/>
              <w:rPr>
                <w:b/>
              </w:rPr>
            </w:pPr>
          </w:p>
          <w:p w14:paraId="47010C4B" w14:textId="77777777" w:rsidR="009948F1" w:rsidRDefault="009948F1">
            <w:pPr>
              <w:pStyle w:val="TableParagraph"/>
              <w:rPr>
                <w:b/>
              </w:rPr>
            </w:pPr>
          </w:p>
          <w:p w14:paraId="0E417350" w14:textId="77777777" w:rsidR="009948F1" w:rsidRDefault="00BC0563">
            <w:pPr>
              <w:pStyle w:val="TableParagraph"/>
              <w:spacing w:before="137"/>
              <w:ind w:left="54"/>
            </w:pPr>
            <w:r>
              <w:rPr>
                <w:color w:val="231F20"/>
                <w:w w:val="65"/>
              </w:rPr>
              <w:t>2.1.3</w:t>
            </w:r>
          </w:p>
        </w:tc>
        <w:tc>
          <w:tcPr>
            <w:tcW w:w="2999" w:type="dxa"/>
            <w:gridSpan w:val="2"/>
            <w:tcBorders>
              <w:left w:val="single" w:sz="6" w:space="0" w:color="231F20"/>
              <w:right w:val="single" w:sz="6" w:space="0" w:color="231F20"/>
            </w:tcBorders>
            <w:shd w:val="clear" w:color="auto" w:fill="CCE7D3"/>
          </w:tcPr>
          <w:p w14:paraId="7FF18446" w14:textId="77777777" w:rsidR="009948F1" w:rsidRDefault="009948F1">
            <w:pPr>
              <w:pStyle w:val="TableParagraph"/>
              <w:rPr>
                <w:b/>
              </w:rPr>
            </w:pPr>
          </w:p>
          <w:p w14:paraId="6F6C64D1" w14:textId="77777777" w:rsidR="009948F1" w:rsidRDefault="009948F1">
            <w:pPr>
              <w:pStyle w:val="TableParagraph"/>
              <w:spacing w:before="6"/>
              <w:rPr>
                <w:b/>
                <w:sz w:val="21"/>
              </w:rPr>
            </w:pPr>
          </w:p>
          <w:p w14:paraId="2C649BA4" w14:textId="397B1D55" w:rsidR="009948F1" w:rsidRDefault="00C84576">
            <w:pPr>
              <w:pStyle w:val="TableParagraph"/>
              <w:spacing w:before="1" w:line="256" w:lineRule="auto"/>
              <w:ind w:left="22" w:right="137" w:firstLine="32"/>
            </w:pPr>
            <w:r>
              <w:rPr>
                <w:color w:val="231F20"/>
                <w:w w:val="55"/>
              </w:rPr>
              <w:t>Strengthen</w:t>
            </w:r>
            <w:r w:rsidR="00BC0563">
              <w:rPr>
                <w:color w:val="231F20"/>
                <w:spacing w:val="-16"/>
                <w:w w:val="55"/>
              </w:rPr>
              <w:t xml:space="preserve"> </w:t>
            </w:r>
            <w:r w:rsidR="00BC0563">
              <w:rPr>
                <w:color w:val="231F20"/>
                <w:w w:val="55"/>
              </w:rPr>
              <w:t>capacities</w:t>
            </w:r>
            <w:r w:rsidR="00BC0563">
              <w:rPr>
                <w:color w:val="231F20"/>
                <w:spacing w:val="-15"/>
                <w:w w:val="55"/>
              </w:rPr>
              <w:t xml:space="preserve"> </w:t>
            </w:r>
            <w:r w:rsidR="00BC0563">
              <w:rPr>
                <w:color w:val="231F20"/>
                <w:w w:val="55"/>
              </w:rPr>
              <w:t>of</w:t>
            </w:r>
            <w:r w:rsidR="00BC0563">
              <w:rPr>
                <w:color w:val="231F20"/>
                <w:spacing w:val="-16"/>
                <w:w w:val="55"/>
              </w:rPr>
              <w:t xml:space="preserve"> </w:t>
            </w:r>
            <w:r w:rsidR="00BC0563">
              <w:rPr>
                <w:color w:val="231F20"/>
                <w:w w:val="55"/>
              </w:rPr>
              <w:t>communities</w:t>
            </w:r>
            <w:r w:rsidR="00BC0563">
              <w:rPr>
                <w:color w:val="231F20"/>
                <w:spacing w:val="-15"/>
                <w:w w:val="55"/>
              </w:rPr>
              <w:t xml:space="preserve"> </w:t>
            </w:r>
            <w:r w:rsidR="00BC0563">
              <w:rPr>
                <w:color w:val="231F20"/>
                <w:w w:val="55"/>
              </w:rPr>
              <w:t>to</w:t>
            </w:r>
            <w:r w:rsidR="00BC0563">
              <w:rPr>
                <w:color w:val="231F20"/>
                <w:spacing w:val="-16"/>
                <w:w w:val="55"/>
              </w:rPr>
              <w:t xml:space="preserve"> </w:t>
            </w:r>
            <w:r w:rsidR="00BC0563">
              <w:rPr>
                <w:color w:val="231F20"/>
                <w:w w:val="55"/>
              </w:rPr>
              <w:t>participate</w:t>
            </w:r>
            <w:r w:rsidR="00BC0563">
              <w:rPr>
                <w:color w:val="231F20"/>
                <w:spacing w:val="-15"/>
                <w:w w:val="55"/>
              </w:rPr>
              <w:t xml:space="preserve"> </w:t>
            </w:r>
            <w:r w:rsidR="00BC0563">
              <w:rPr>
                <w:color w:val="231F20"/>
                <w:w w:val="55"/>
              </w:rPr>
              <w:t xml:space="preserve">in </w:t>
            </w:r>
            <w:r w:rsidR="00BC0563">
              <w:rPr>
                <w:color w:val="231F20"/>
                <w:w w:val="60"/>
              </w:rPr>
              <w:t>the</w:t>
            </w:r>
            <w:r w:rsidR="00BC0563">
              <w:rPr>
                <w:color w:val="231F20"/>
                <w:spacing w:val="-21"/>
                <w:w w:val="60"/>
              </w:rPr>
              <w:t xml:space="preserve"> </w:t>
            </w:r>
            <w:r w:rsidR="00BC0563">
              <w:rPr>
                <w:color w:val="231F20"/>
                <w:w w:val="60"/>
              </w:rPr>
              <w:t>planning</w:t>
            </w:r>
            <w:r w:rsidR="00BC0563">
              <w:rPr>
                <w:color w:val="231F20"/>
                <w:spacing w:val="-20"/>
                <w:w w:val="60"/>
              </w:rPr>
              <w:t xml:space="preserve"> </w:t>
            </w:r>
            <w:r w:rsidR="00BC0563">
              <w:rPr>
                <w:color w:val="231F20"/>
                <w:w w:val="60"/>
              </w:rPr>
              <w:t>of</w:t>
            </w:r>
            <w:r w:rsidR="00BC0563">
              <w:rPr>
                <w:color w:val="231F20"/>
                <w:spacing w:val="-4"/>
                <w:w w:val="60"/>
              </w:rPr>
              <w:t xml:space="preserve"> </w:t>
            </w:r>
            <w:r w:rsidR="00BC0563">
              <w:rPr>
                <w:color w:val="231F20"/>
                <w:w w:val="60"/>
              </w:rPr>
              <w:t>health</w:t>
            </w:r>
            <w:r w:rsidR="00BC0563">
              <w:rPr>
                <w:color w:val="231F20"/>
                <w:spacing w:val="-20"/>
                <w:w w:val="60"/>
              </w:rPr>
              <w:t xml:space="preserve"> </w:t>
            </w:r>
            <w:r w:rsidR="00BC0563">
              <w:rPr>
                <w:color w:val="231F20"/>
                <w:w w:val="60"/>
              </w:rPr>
              <w:t>interventions</w:t>
            </w:r>
            <w:r w:rsidR="00BC0563">
              <w:rPr>
                <w:color w:val="231F20"/>
                <w:spacing w:val="-20"/>
                <w:w w:val="60"/>
              </w:rPr>
              <w:t xml:space="preserve"> </w:t>
            </w:r>
            <w:r w:rsidR="00BC0563">
              <w:rPr>
                <w:color w:val="231F20"/>
                <w:w w:val="60"/>
              </w:rPr>
              <w:t>at</w:t>
            </w:r>
            <w:r w:rsidR="00BC0563">
              <w:rPr>
                <w:color w:val="231F20"/>
                <w:spacing w:val="-21"/>
                <w:w w:val="60"/>
              </w:rPr>
              <w:t xml:space="preserve"> </w:t>
            </w:r>
            <w:r w:rsidR="00BC0563">
              <w:rPr>
                <w:color w:val="231F20"/>
                <w:w w:val="60"/>
              </w:rPr>
              <w:t>all</w:t>
            </w:r>
            <w:r w:rsidR="00BC0563">
              <w:rPr>
                <w:color w:val="231F20"/>
                <w:spacing w:val="-20"/>
                <w:w w:val="60"/>
              </w:rPr>
              <w:t xml:space="preserve"> </w:t>
            </w:r>
            <w:r w:rsidR="00BC0563">
              <w:rPr>
                <w:color w:val="231F20"/>
                <w:w w:val="60"/>
              </w:rPr>
              <w:t>levels.</w:t>
            </w:r>
          </w:p>
        </w:tc>
        <w:tc>
          <w:tcPr>
            <w:tcW w:w="2355" w:type="dxa"/>
            <w:tcBorders>
              <w:left w:val="single" w:sz="6" w:space="0" w:color="231F20"/>
              <w:right w:val="single" w:sz="6" w:space="0" w:color="231F20"/>
            </w:tcBorders>
            <w:shd w:val="clear" w:color="auto" w:fill="CCE7D3"/>
          </w:tcPr>
          <w:p w14:paraId="2AB3A3D8" w14:textId="77777777" w:rsidR="009948F1" w:rsidRDefault="00BC0563">
            <w:pPr>
              <w:pStyle w:val="TableParagraph"/>
              <w:numPr>
                <w:ilvl w:val="0"/>
                <w:numId w:val="225"/>
              </w:numPr>
              <w:tabs>
                <w:tab w:val="left" w:pos="91"/>
              </w:tabs>
              <w:spacing w:before="104" w:line="256" w:lineRule="auto"/>
              <w:ind w:right="430" w:firstLine="0"/>
            </w:pPr>
            <w:r>
              <w:rPr>
                <w:color w:val="231F20"/>
                <w:w w:val="60"/>
              </w:rPr>
              <w:t xml:space="preserve">At least 200 WDCs trained and </w:t>
            </w:r>
            <w:r>
              <w:rPr>
                <w:color w:val="231F20"/>
                <w:w w:val="55"/>
              </w:rPr>
              <w:t>participated</w:t>
            </w:r>
            <w:r>
              <w:rPr>
                <w:color w:val="231F20"/>
                <w:spacing w:val="-11"/>
                <w:w w:val="55"/>
              </w:rPr>
              <w:t xml:space="preserve"> </w:t>
            </w:r>
            <w:r>
              <w:rPr>
                <w:color w:val="231F20"/>
                <w:w w:val="55"/>
              </w:rPr>
              <w:t>in</w:t>
            </w:r>
            <w:r>
              <w:rPr>
                <w:color w:val="231F20"/>
                <w:spacing w:val="-11"/>
                <w:w w:val="55"/>
              </w:rPr>
              <w:t xml:space="preserve"> </w:t>
            </w:r>
            <w:r>
              <w:rPr>
                <w:color w:val="231F20"/>
                <w:w w:val="55"/>
              </w:rPr>
              <w:t>the</w:t>
            </w:r>
            <w:r>
              <w:rPr>
                <w:color w:val="231F20"/>
                <w:spacing w:val="-11"/>
                <w:w w:val="55"/>
              </w:rPr>
              <w:t xml:space="preserve"> </w:t>
            </w:r>
            <w:r>
              <w:rPr>
                <w:color w:val="231F20"/>
                <w:w w:val="55"/>
              </w:rPr>
              <w:t>planning</w:t>
            </w:r>
            <w:r>
              <w:rPr>
                <w:color w:val="231F20"/>
                <w:spacing w:val="-10"/>
                <w:w w:val="55"/>
              </w:rPr>
              <w:t xml:space="preserve"> </w:t>
            </w:r>
            <w:r>
              <w:rPr>
                <w:color w:val="231F20"/>
                <w:w w:val="55"/>
              </w:rPr>
              <w:t>of</w:t>
            </w:r>
            <w:r>
              <w:rPr>
                <w:color w:val="231F20"/>
                <w:spacing w:val="-11"/>
                <w:w w:val="55"/>
              </w:rPr>
              <w:t xml:space="preserve"> </w:t>
            </w:r>
            <w:r>
              <w:rPr>
                <w:color w:val="231F20"/>
                <w:spacing w:val="-3"/>
                <w:w w:val="55"/>
              </w:rPr>
              <w:t xml:space="preserve">health </w:t>
            </w:r>
            <w:r>
              <w:rPr>
                <w:color w:val="231F20"/>
                <w:w w:val="65"/>
              </w:rPr>
              <w:t>interventions</w:t>
            </w:r>
          </w:p>
          <w:p w14:paraId="48A150F6" w14:textId="77777777" w:rsidR="009948F1" w:rsidRDefault="00BC0563">
            <w:pPr>
              <w:pStyle w:val="TableParagraph"/>
              <w:spacing w:line="250" w:lineRule="exact"/>
              <w:ind w:left="23"/>
            </w:pPr>
            <w:r>
              <w:rPr>
                <w:color w:val="231F20"/>
                <w:w w:val="53"/>
              </w:rPr>
              <w:t>•</w:t>
            </w:r>
          </w:p>
          <w:p w14:paraId="6FABCFBF" w14:textId="77777777" w:rsidR="009948F1" w:rsidRDefault="00BC0563">
            <w:pPr>
              <w:pStyle w:val="TableParagraph"/>
              <w:spacing w:before="17"/>
              <w:ind w:left="23"/>
            </w:pPr>
            <w:r>
              <w:rPr>
                <w:color w:val="231F20"/>
                <w:w w:val="53"/>
              </w:rPr>
              <w:t>•</w:t>
            </w:r>
          </w:p>
        </w:tc>
        <w:tc>
          <w:tcPr>
            <w:tcW w:w="1411" w:type="dxa"/>
            <w:tcBorders>
              <w:left w:val="single" w:sz="6" w:space="0" w:color="231F20"/>
            </w:tcBorders>
            <w:shd w:val="clear" w:color="auto" w:fill="CCE7D3"/>
          </w:tcPr>
          <w:p w14:paraId="2D4DBF2F" w14:textId="77777777" w:rsidR="009948F1" w:rsidRDefault="009948F1">
            <w:pPr>
              <w:pStyle w:val="TableParagraph"/>
              <w:rPr>
                <w:rFonts w:ascii="Times New Roman"/>
                <w:sz w:val="10"/>
              </w:rPr>
            </w:pPr>
          </w:p>
        </w:tc>
        <w:tc>
          <w:tcPr>
            <w:tcW w:w="1486" w:type="dxa"/>
            <w:tcBorders>
              <w:right w:val="single" w:sz="6" w:space="0" w:color="231F20"/>
            </w:tcBorders>
            <w:shd w:val="clear" w:color="auto" w:fill="CCE7D3"/>
          </w:tcPr>
          <w:p w14:paraId="1AAC3E06" w14:textId="77777777" w:rsidR="009948F1" w:rsidRDefault="009948F1">
            <w:pPr>
              <w:pStyle w:val="TableParagraph"/>
              <w:rPr>
                <w:rFonts w:ascii="Times New Roman"/>
                <w:sz w:val="10"/>
              </w:rPr>
            </w:pPr>
          </w:p>
        </w:tc>
      </w:tr>
      <w:tr w:rsidR="009948F1" w14:paraId="606C45E8" w14:textId="77777777">
        <w:trPr>
          <w:trHeight w:val="841"/>
        </w:trPr>
        <w:tc>
          <w:tcPr>
            <w:tcW w:w="1027" w:type="dxa"/>
            <w:gridSpan w:val="3"/>
            <w:vMerge w:val="restart"/>
            <w:tcBorders>
              <w:top w:val="nil"/>
              <w:left w:val="single" w:sz="6" w:space="0" w:color="231F20"/>
              <w:right w:val="single" w:sz="6" w:space="0" w:color="231F20"/>
            </w:tcBorders>
          </w:tcPr>
          <w:p w14:paraId="55782C08" w14:textId="77777777" w:rsidR="009948F1" w:rsidRDefault="009948F1">
            <w:pPr>
              <w:pStyle w:val="TableParagraph"/>
              <w:rPr>
                <w:rFonts w:ascii="Times New Roman"/>
                <w:sz w:val="10"/>
              </w:rPr>
            </w:pPr>
          </w:p>
        </w:tc>
        <w:tc>
          <w:tcPr>
            <w:tcW w:w="519" w:type="dxa"/>
            <w:tcBorders>
              <w:left w:val="single" w:sz="6" w:space="0" w:color="231F20"/>
              <w:right w:val="single" w:sz="6" w:space="0" w:color="231F20"/>
            </w:tcBorders>
          </w:tcPr>
          <w:p w14:paraId="7E3E1867" w14:textId="77777777" w:rsidR="009948F1" w:rsidRDefault="009948F1">
            <w:pPr>
              <w:pStyle w:val="TableParagraph"/>
              <w:spacing w:before="5"/>
              <w:rPr>
                <w:b/>
                <w:sz w:val="25"/>
              </w:rPr>
            </w:pPr>
          </w:p>
          <w:p w14:paraId="2F3B1E08" w14:textId="77777777" w:rsidR="009948F1" w:rsidRDefault="00BC0563">
            <w:pPr>
              <w:pStyle w:val="TableParagraph"/>
              <w:ind w:left="21" w:right="5"/>
              <w:jc w:val="center"/>
            </w:pPr>
            <w:r>
              <w:rPr>
                <w:color w:val="231F20"/>
                <w:w w:val="55"/>
              </w:rPr>
              <w:t>2.1.3.a</w:t>
            </w:r>
          </w:p>
        </w:tc>
        <w:tc>
          <w:tcPr>
            <w:tcW w:w="4835" w:type="dxa"/>
            <w:gridSpan w:val="2"/>
            <w:tcBorders>
              <w:left w:val="single" w:sz="6" w:space="0" w:color="231F20"/>
              <w:right w:val="single" w:sz="6" w:space="0" w:color="231F20"/>
            </w:tcBorders>
          </w:tcPr>
          <w:p w14:paraId="09FBE111" w14:textId="77777777" w:rsidR="009948F1" w:rsidRDefault="009948F1">
            <w:pPr>
              <w:pStyle w:val="TableParagraph"/>
              <w:spacing w:before="8"/>
              <w:rPr>
                <w:b/>
                <w:sz w:val="24"/>
              </w:rPr>
            </w:pPr>
          </w:p>
          <w:p w14:paraId="1EF5F995" w14:textId="77777777" w:rsidR="009948F1" w:rsidRDefault="00BC0563">
            <w:pPr>
              <w:pStyle w:val="TableParagraph"/>
              <w:ind w:left="22"/>
            </w:pPr>
            <w:r>
              <w:rPr>
                <w:color w:val="231F20"/>
                <w:w w:val="65"/>
              </w:rPr>
              <w:t>Engage WDCs to participate in the planning of health interventions</w:t>
            </w:r>
          </w:p>
        </w:tc>
        <w:tc>
          <w:tcPr>
            <w:tcW w:w="1411" w:type="dxa"/>
            <w:tcBorders>
              <w:left w:val="single" w:sz="6" w:space="0" w:color="231F20"/>
            </w:tcBorders>
          </w:tcPr>
          <w:p w14:paraId="5D7489A4" w14:textId="77777777" w:rsidR="009948F1" w:rsidRDefault="00BC0563">
            <w:pPr>
              <w:pStyle w:val="TableParagraph"/>
              <w:spacing w:line="256" w:lineRule="auto"/>
              <w:ind w:left="23"/>
            </w:pPr>
            <w:r>
              <w:rPr>
                <w:color w:val="231F20"/>
                <w:w w:val="65"/>
              </w:rPr>
              <w:t xml:space="preserve">Lack of funds, </w:t>
            </w:r>
            <w:r>
              <w:rPr>
                <w:color w:val="231F20"/>
                <w:w w:val="55"/>
              </w:rPr>
              <w:t>commitment, inadequate collaboration, security &amp;</w:t>
            </w:r>
          </w:p>
        </w:tc>
        <w:tc>
          <w:tcPr>
            <w:tcW w:w="1486" w:type="dxa"/>
            <w:tcBorders>
              <w:right w:val="single" w:sz="6" w:space="0" w:color="231F20"/>
            </w:tcBorders>
          </w:tcPr>
          <w:p w14:paraId="5AD1417A" w14:textId="77777777" w:rsidR="009948F1" w:rsidRDefault="009948F1">
            <w:pPr>
              <w:pStyle w:val="TableParagraph"/>
              <w:spacing w:before="5"/>
              <w:rPr>
                <w:b/>
                <w:sz w:val="25"/>
              </w:rPr>
            </w:pPr>
          </w:p>
          <w:p w14:paraId="28C9CA8D" w14:textId="77777777" w:rsidR="009948F1" w:rsidRDefault="00BC0563">
            <w:pPr>
              <w:pStyle w:val="TableParagraph"/>
              <w:ind w:left="19"/>
            </w:pPr>
            <w:r>
              <w:rPr>
                <w:color w:val="231F20"/>
                <w:w w:val="65"/>
              </w:rPr>
              <w:t>Conduct workshop</w:t>
            </w:r>
          </w:p>
        </w:tc>
      </w:tr>
      <w:tr w:rsidR="009948F1" w14:paraId="2DAB7697" w14:textId="77777777">
        <w:trPr>
          <w:trHeight w:val="946"/>
        </w:trPr>
        <w:tc>
          <w:tcPr>
            <w:tcW w:w="1027" w:type="dxa"/>
            <w:gridSpan w:val="3"/>
            <w:vMerge/>
            <w:tcBorders>
              <w:top w:val="nil"/>
              <w:left w:val="single" w:sz="6" w:space="0" w:color="231F20"/>
              <w:right w:val="single" w:sz="6" w:space="0" w:color="231F20"/>
            </w:tcBorders>
          </w:tcPr>
          <w:p w14:paraId="34C2C872" w14:textId="77777777" w:rsidR="009948F1" w:rsidRDefault="009948F1">
            <w:pPr>
              <w:rPr>
                <w:sz w:val="2"/>
                <w:szCs w:val="2"/>
              </w:rPr>
            </w:pPr>
          </w:p>
        </w:tc>
        <w:tc>
          <w:tcPr>
            <w:tcW w:w="519" w:type="dxa"/>
            <w:tcBorders>
              <w:left w:val="single" w:sz="6" w:space="0" w:color="231F20"/>
              <w:right w:val="single" w:sz="6" w:space="0" w:color="231F20"/>
            </w:tcBorders>
          </w:tcPr>
          <w:p w14:paraId="2F909E39" w14:textId="77777777" w:rsidR="009948F1" w:rsidRDefault="009948F1">
            <w:pPr>
              <w:pStyle w:val="TableParagraph"/>
              <w:rPr>
                <w:b/>
                <w:sz w:val="30"/>
              </w:rPr>
            </w:pPr>
          </w:p>
          <w:p w14:paraId="5A12BE42" w14:textId="77777777" w:rsidR="009948F1" w:rsidRDefault="00BC0563">
            <w:pPr>
              <w:pStyle w:val="TableParagraph"/>
              <w:ind w:left="21" w:right="5"/>
              <w:jc w:val="center"/>
            </w:pPr>
            <w:r>
              <w:rPr>
                <w:color w:val="231F20"/>
                <w:w w:val="55"/>
              </w:rPr>
              <w:t>2.1.3.b</w:t>
            </w:r>
          </w:p>
        </w:tc>
        <w:tc>
          <w:tcPr>
            <w:tcW w:w="4835" w:type="dxa"/>
            <w:gridSpan w:val="2"/>
            <w:tcBorders>
              <w:left w:val="single" w:sz="6" w:space="0" w:color="231F20"/>
            </w:tcBorders>
          </w:tcPr>
          <w:p w14:paraId="1C19C3BE" w14:textId="77777777" w:rsidR="009948F1" w:rsidRDefault="009948F1">
            <w:pPr>
              <w:pStyle w:val="TableParagraph"/>
              <w:spacing w:before="5"/>
              <w:rPr>
                <w:b/>
                <w:sz w:val="17"/>
              </w:rPr>
            </w:pPr>
          </w:p>
          <w:p w14:paraId="23771ABB" w14:textId="77777777" w:rsidR="009948F1" w:rsidRDefault="00BC0563">
            <w:pPr>
              <w:pStyle w:val="TableParagraph"/>
              <w:spacing w:line="256" w:lineRule="auto"/>
              <w:ind w:left="22" w:right="302" w:firstLine="32"/>
            </w:pPr>
            <w:r>
              <w:rPr>
                <w:color w:val="231F20"/>
                <w:w w:val="55"/>
              </w:rPr>
              <w:t>Strengthen</w:t>
            </w:r>
            <w:r>
              <w:rPr>
                <w:color w:val="231F20"/>
                <w:spacing w:val="-17"/>
                <w:w w:val="55"/>
              </w:rPr>
              <w:t xml:space="preserve"> </w:t>
            </w:r>
            <w:r>
              <w:rPr>
                <w:color w:val="231F20"/>
                <w:w w:val="55"/>
              </w:rPr>
              <w:t>community</w:t>
            </w:r>
            <w:r>
              <w:rPr>
                <w:color w:val="231F20"/>
                <w:spacing w:val="-16"/>
                <w:w w:val="55"/>
              </w:rPr>
              <w:t xml:space="preserve"> </w:t>
            </w:r>
            <w:r>
              <w:rPr>
                <w:color w:val="231F20"/>
                <w:w w:val="55"/>
              </w:rPr>
              <w:t>and</w:t>
            </w:r>
            <w:r>
              <w:rPr>
                <w:color w:val="231F20"/>
                <w:spacing w:val="-16"/>
                <w:w w:val="55"/>
              </w:rPr>
              <w:t xml:space="preserve"> </w:t>
            </w:r>
            <w:r>
              <w:rPr>
                <w:color w:val="231F20"/>
                <w:w w:val="55"/>
              </w:rPr>
              <w:t>ward</w:t>
            </w:r>
            <w:r>
              <w:rPr>
                <w:color w:val="231F20"/>
                <w:spacing w:val="-16"/>
                <w:w w:val="55"/>
              </w:rPr>
              <w:t xml:space="preserve"> </w:t>
            </w:r>
            <w:r>
              <w:rPr>
                <w:color w:val="231F20"/>
                <w:w w:val="55"/>
              </w:rPr>
              <w:t>development</w:t>
            </w:r>
            <w:r>
              <w:rPr>
                <w:color w:val="231F20"/>
                <w:spacing w:val="-17"/>
                <w:w w:val="55"/>
              </w:rPr>
              <w:t xml:space="preserve"> </w:t>
            </w:r>
            <w:r>
              <w:rPr>
                <w:color w:val="231F20"/>
                <w:w w:val="55"/>
              </w:rPr>
              <w:t>committees</w:t>
            </w:r>
            <w:r>
              <w:rPr>
                <w:color w:val="231F20"/>
                <w:spacing w:val="-16"/>
                <w:w w:val="55"/>
              </w:rPr>
              <w:t xml:space="preserve"> </w:t>
            </w:r>
            <w:r>
              <w:rPr>
                <w:color w:val="231F20"/>
                <w:w w:val="55"/>
              </w:rPr>
              <w:t>to</w:t>
            </w:r>
            <w:r>
              <w:rPr>
                <w:color w:val="231F20"/>
                <w:spacing w:val="-16"/>
                <w:w w:val="55"/>
              </w:rPr>
              <w:t xml:space="preserve"> </w:t>
            </w:r>
            <w:r>
              <w:rPr>
                <w:color w:val="231F20"/>
                <w:w w:val="55"/>
              </w:rPr>
              <w:t>respond</w:t>
            </w:r>
            <w:r>
              <w:rPr>
                <w:color w:val="231F20"/>
                <w:spacing w:val="-16"/>
                <w:w w:val="55"/>
              </w:rPr>
              <w:t xml:space="preserve"> </w:t>
            </w:r>
            <w:r>
              <w:rPr>
                <w:color w:val="231F20"/>
                <w:w w:val="55"/>
              </w:rPr>
              <w:t>appropriately</w:t>
            </w:r>
            <w:r>
              <w:rPr>
                <w:color w:val="231F20"/>
                <w:spacing w:val="-16"/>
                <w:w w:val="55"/>
              </w:rPr>
              <w:t xml:space="preserve"> </w:t>
            </w:r>
            <w:r>
              <w:rPr>
                <w:color w:val="231F20"/>
                <w:w w:val="55"/>
              </w:rPr>
              <w:t xml:space="preserve">in </w:t>
            </w:r>
            <w:r>
              <w:rPr>
                <w:color w:val="231F20"/>
                <w:w w:val="65"/>
              </w:rPr>
              <w:t>times of</w:t>
            </w:r>
            <w:r>
              <w:rPr>
                <w:color w:val="231F20"/>
                <w:spacing w:val="-20"/>
                <w:w w:val="65"/>
              </w:rPr>
              <w:t xml:space="preserve"> </w:t>
            </w:r>
            <w:r>
              <w:rPr>
                <w:color w:val="231F20"/>
                <w:w w:val="65"/>
              </w:rPr>
              <w:t>emergencies</w:t>
            </w:r>
          </w:p>
        </w:tc>
        <w:tc>
          <w:tcPr>
            <w:tcW w:w="1411" w:type="dxa"/>
          </w:tcPr>
          <w:p w14:paraId="2B492F15" w14:textId="77777777" w:rsidR="009948F1" w:rsidRDefault="00BC0563">
            <w:pPr>
              <w:pStyle w:val="TableParagraph"/>
              <w:spacing w:before="23" w:line="242" w:lineRule="auto"/>
              <w:ind w:left="20"/>
            </w:pPr>
            <w:r>
              <w:rPr>
                <w:color w:val="231F20"/>
                <w:w w:val="65"/>
              </w:rPr>
              <w:t xml:space="preserve">difficult terrain </w:t>
            </w:r>
            <w:r>
              <w:rPr>
                <w:color w:val="231F20"/>
                <w:w w:val="55"/>
              </w:rPr>
              <w:t>commitment, inadequate collaboration, security &amp;</w:t>
            </w:r>
          </w:p>
        </w:tc>
        <w:tc>
          <w:tcPr>
            <w:tcW w:w="1486" w:type="dxa"/>
            <w:tcBorders>
              <w:right w:val="single" w:sz="6" w:space="0" w:color="231F20"/>
            </w:tcBorders>
          </w:tcPr>
          <w:p w14:paraId="31A0067B" w14:textId="77777777" w:rsidR="009948F1" w:rsidRDefault="009948F1">
            <w:pPr>
              <w:pStyle w:val="TableParagraph"/>
              <w:rPr>
                <w:b/>
                <w:sz w:val="30"/>
              </w:rPr>
            </w:pPr>
          </w:p>
          <w:p w14:paraId="63256BF5" w14:textId="77777777" w:rsidR="009948F1" w:rsidRDefault="00BC0563">
            <w:pPr>
              <w:pStyle w:val="TableParagraph"/>
              <w:ind w:left="19"/>
            </w:pPr>
            <w:r>
              <w:rPr>
                <w:color w:val="231F20"/>
                <w:w w:val="65"/>
              </w:rPr>
              <w:t>Conduct workshop</w:t>
            </w:r>
          </w:p>
        </w:tc>
      </w:tr>
      <w:tr w:rsidR="009948F1" w14:paraId="6806CD34" w14:textId="77777777">
        <w:trPr>
          <w:trHeight w:val="530"/>
        </w:trPr>
        <w:tc>
          <w:tcPr>
            <w:tcW w:w="1027" w:type="dxa"/>
            <w:gridSpan w:val="3"/>
            <w:vMerge/>
            <w:tcBorders>
              <w:top w:val="nil"/>
              <w:left w:val="single" w:sz="6" w:space="0" w:color="231F20"/>
              <w:right w:val="single" w:sz="6" w:space="0" w:color="231F20"/>
            </w:tcBorders>
          </w:tcPr>
          <w:p w14:paraId="25F13781" w14:textId="77777777" w:rsidR="009948F1" w:rsidRDefault="009948F1">
            <w:pPr>
              <w:rPr>
                <w:sz w:val="2"/>
                <w:szCs w:val="2"/>
              </w:rPr>
            </w:pPr>
          </w:p>
        </w:tc>
        <w:tc>
          <w:tcPr>
            <w:tcW w:w="519" w:type="dxa"/>
            <w:tcBorders>
              <w:left w:val="single" w:sz="6" w:space="0" w:color="231F20"/>
              <w:right w:val="single" w:sz="6" w:space="0" w:color="231F20"/>
            </w:tcBorders>
          </w:tcPr>
          <w:p w14:paraId="31EB0FA1" w14:textId="77777777" w:rsidR="009948F1" w:rsidRDefault="00BC0563">
            <w:pPr>
              <w:pStyle w:val="TableParagraph"/>
              <w:spacing w:before="137"/>
              <w:ind w:left="21" w:right="5"/>
              <w:jc w:val="center"/>
            </w:pPr>
            <w:r>
              <w:rPr>
                <w:color w:val="231F20"/>
                <w:w w:val="55"/>
              </w:rPr>
              <w:t>2.1.3.c</w:t>
            </w:r>
          </w:p>
        </w:tc>
        <w:tc>
          <w:tcPr>
            <w:tcW w:w="4835" w:type="dxa"/>
            <w:gridSpan w:val="2"/>
            <w:tcBorders>
              <w:left w:val="single" w:sz="6" w:space="0" w:color="231F20"/>
              <w:right w:val="single" w:sz="6" w:space="0" w:color="231F20"/>
            </w:tcBorders>
          </w:tcPr>
          <w:p w14:paraId="21C35D12" w14:textId="77777777" w:rsidR="009948F1" w:rsidRDefault="00BC0563">
            <w:pPr>
              <w:pStyle w:val="TableParagraph"/>
              <w:spacing w:line="250" w:lineRule="exact"/>
              <w:ind w:left="22"/>
            </w:pPr>
            <w:r>
              <w:rPr>
                <w:color w:val="231F20"/>
                <w:w w:val="55"/>
              </w:rPr>
              <w:t>Build capacity of community structures in participatory appraisal of needs, planning and</w:t>
            </w:r>
          </w:p>
          <w:p w14:paraId="5ED63D40" w14:textId="77777777" w:rsidR="009948F1" w:rsidRDefault="00BC0563">
            <w:pPr>
              <w:pStyle w:val="TableParagraph"/>
              <w:spacing w:before="16" w:line="243" w:lineRule="exact"/>
              <w:ind w:left="22"/>
            </w:pPr>
            <w:r>
              <w:rPr>
                <w:color w:val="231F20"/>
                <w:w w:val="65"/>
              </w:rPr>
              <w:t>implementation of health interventions</w:t>
            </w:r>
          </w:p>
        </w:tc>
        <w:tc>
          <w:tcPr>
            <w:tcW w:w="1411" w:type="dxa"/>
            <w:tcBorders>
              <w:left w:val="single" w:sz="6" w:space="0" w:color="231F20"/>
            </w:tcBorders>
          </w:tcPr>
          <w:p w14:paraId="5BF8A58D" w14:textId="77777777" w:rsidR="009948F1" w:rsidRDefault="00BC0563">
            <w:pPr>
              <w:pStyle w:val="TableParagraph"/>
              <w:spacing w:before="53" w:line="175" w:lineRule="auto"/>
              <w:ind w:left="23"/>
            </w:pPr>
            <w:r>
              <w:rPr>
                <w:color w:val="231F20"/>
                <w:w w:val="65"/>
              </w:rPr>
              <w:t xml:space="preserve">Lack of funds, </w:t>
            </w:r>
            <w:r>
              <w:rPr>
                <w:color w:val="231F20"/>
                <w:w w:val="55"/>
              </w:rPr>
              <w:t>commitment, security &amp;</w:t>
            </w:r>
          </w:p>
        </w:tc>
        <w:tc>
          <w:tcPr>
            <w:tcW w:w="1486" w:type="dxa"/>
            <w:tcBorders>
              <w:right w:val="single" w:sz="6" w:space="0" w:color="231F20"/>
            </w:tcBorders>
          </w:tcPr>
          <w:p w14:paraId="6CF4023D" w14:textId="77777777" w:rsidR="009948F1" w:rsidRDefault="00BC0563">
            <w:pPr>
              <w:pStyle w:val="TableParagraph"/>
              <w:spacing w:before="137"/>
              <w:ind w:left="19"/>
            </w:pPr>
            <w:r>
              <w:rPr>
                <w:color w:val="231F20"/>
                <w:w w:val="65"/>
              </w:rPr>
              <w:t>Build capacity</w:t>
            </w:r>
          </w:p>
        </w:tc>
      </w:tr>
      <w:tr w:rsidR="009948F1" w14:paraId="65C2EEF3" w14:textId="77777777">
        <w:trPr>
          <w:trHeight w:val="534"/>
        </w:trPr>
        <w:tc>
          <w:tcPr>
            <w:tcW w:w="1027" w:type="dxa"/>
            <w:gridSpan w:val="3"/>
            <w:vMerge/>
            <w:tcBorders>
              <w:top w:val="nil"/>
              <w:left w:val="single" w:sz="6" w:space="0" w:color="231F20"/>
              <w:right w:val="single" w:sz="6" w:space="0" w:color="231F20"/>
            </w:tcBorders>
          </w:tcPr>
          <w:p w14:paraId="67FB2538" w14:textId="77777777" w:rsidR="009948F1" w:rsidRDefault="009948F1">
            <w:pPr>
              <w:rPr>
                <w:sz w:val="2"/>
                <w:szCs w:val="2"/>
              </w:rPr>
            </w:pPr>
          </w:p>
        </w:tc>
        <w:tc>
          <w:tcPr>
            <w:tcW w:w="519" w:type="dxa"/>
            <w:tcBorders>
              <w:left w:val="single" w:sz="6" w:space="0" w:color="231F20"/>
              <w:bottom w:val="single" w:sz="12" w:space="0" w:color="231F20"/>
              <w:right w:val="single" w:sz="6" w:space="0" w:color="231F20"/>
            </w:tcBorders>
          </w:tcPr>
          <w:p w14:paraId="28CFD3AD" w14:textId="77777777" w:rsidR="009948F1" w:rsidRDefault="00BC0563">
            <w:pPr>
              <w:pStyle w:val="TableParagraph"/>
              <w:spacing w:before="144"/>
              <w:ind w:left="21" w:right="5"/>
              <w:jc w:val="center"/>
            </w:pPr>
            <w:r>
              <w:rPr>
                <w:color w:val="231F20"/>
                <w:w w:val="55"/>
              </w:rPr>
              <w:t>2.1.3.d</w:t>
            </w:r>
          </w:p>
        </w:tc>
        <w:tc>
          <w:tcPr>
            <w:tcW w:w="4835" w:type="dxa"/>
            <w:gridSpan w:val="2"/>
            <w:tcBorders>
              <w:left w:val="single" w:sz="6" w:space="0" w:color="231F20"/>
              <w:bottom w:val="single" w:sz="12" w:space="0" w:color="231F20"/>
              <w:right w:val="single" w:sz="6" w:space="0" w:color="231F20"/>
            </w:tcBorders>
          </w:tcPr>
          <w:p w14:paraId="47F850C4" w14:textId="77777777" w:rsidR="009948F1" w:rsidRDefault="00BC0563">
            <w:pPr>
              <w:pStyle w:val="TableParagraph"/>
              <w:spacing w:line="252" w:lineRule="exact"/>
              <w:ind w:left="55"/>
            </w:pPr>
            <w:r>
              <w:rPr>
                <w:color w:val="231F20"/>
                <w:w w:val="55"/>
              </w:rPr>
              <w:t>Conduct</w:t>
            </w:r>
            <w:r>
              <w:rPr>
                <w:color w:val="231F20"/>
                <w:spacing w:val="-13"/>
                <w:w w:val="55"/>
              </w:rPr>
              <w:t xml:space="preserve"> </w:t>
            </w:r>
            <w:r>
              <w:rPr>
                <w:color w:val="231F20"/>
                <w:w w:val="55"/>
              </w:rPr>
              <w:t>advocacy</w:t>
            </w:r>
            <w:r>
              <w:rPr>
                <w:color w:val="231F20"/>
                <w:spacing w:val="-13"/>
                <w:w w:val="55"/>
              </w:rPr>
              <w:t xml:space="preserve"> </w:t>
            </w:r>
            <w:r>
              <w:rPr>
                <w:color w:val="231F20"/>
                <w:w w:val="55"/>
              </w:rPr>
              <w:t>and</w:t>
            </w:r>
            <w:r>
              <w:rPr>
                <w:color w:val="231F20"/>
                <w:spacing w:val="-13"/>
                <w:w w:val="55"/>
              </w:rPr>
              <w:t xml:space="preserve"> </w:t>
            </w:r>
            <w:r>
              <w:rPr>
                <w:color w:val="231F20"/>
                <w:w w:val="55"/>
              </w:rPr>
              <w:t>community</w:t>
            </w:r>
            <w:r>
              <w:rPr>
                <w:color w:val="231F20"/>
                <w:spacing w:val="-13"/>
                <w:w w:val="55"/>
              </w:rPr>
              <w:t xml:space="preserve"> </w:t>
            </w:r>
            <w:r>
              <w:rPr>
                <w:color w:val="231F20"/>
                <w:w w:val="55"/>
              </w:rPr>
              <w:t>mobilization</w:t>
            </w:r>
            <w:r>
              <w:rPr>
                <w:color w:val="231F20"/>
                <w:spacing w:val="-13"/>
                <w:w w:val="55"/>
              </w:rPr>
              <w:t xml:space="preserve"> </w:t>
            </w:r>
            <w:r>
              <w:rPr>
                <w:color w:val="231F20"/>
                <w:w w:val="55"/>
              </w:rPr>
              <w:t>for</w:t>
            </w:r>
            <w:r>
              <w:rPr>
                <w:color w:val="231F20"/>
                <w:spacing w:val="-13"/>
                <w:w w:val="55"/>
              </w:rPr>
              <w:t xml:space="preserve"> </w:t>
            </w:r>
            <w:r>
              <w:rPr>
                <w:color w:val="231F20"/>
                <w:w w:val="55"/>
              </w:rPr>
              <w:t>increase</w:t>
            </w:r>
            <w:r>
              <w:rPr>
                <w:color w:val="231F20"/>
                <w:spacing w:val="-13"/>
                <w:w w:val="55"/>
              </w:rPr>
              <w:t xml:space="preserve"> </w:t>
            </w:r>
            <w:r>
              <w:rPr>
                <w:color w:val="231F20"/>
                <w:w w:val="55"/>
              </w:rPr>
              <w:t>community</w:t>
            </w:r>
            <w:r>
              <w:rPr>
                <w:color w:val="231F20"/>
                <w:spacing w:val="-13"/>
                <w:w w:val="55"/>
              </w:rPr>
              <w:t xml:space="preserve"> </w:t>
            </w:r>
            <w:r>
              <w:rPr>
                <w:color w:val="231F20"/>
                <w:w w:val="55"/>
              </w:rPr>
              <w:t>resources</w:t>
            </w:r>
            <w:r>
              <w:rPr>
                <w:color w:val="231F20"/>
                <w:spacing w:val="8"/>
                <w:w w:val="55"/>
              </w:rPr>
              <w:t xml:space="preserve"> </w:t>
            </w:r>
            <w:r>
              <w:rPr>
                <w:color w:val="231F20"/>
                <w:w w:val="55"/>
              </w:rPr>
              <w:t>support</w:t>
            </w:r>
          </w:p>
          <w:p w14:paraId="1C3F3C88" w14:textId="77777777" w:rsidR="009948F1" w:rsidRDefault="00BC0563">
            <w:pPr>
              <w:pStyle w:val="TableParagraph"/>
              <w:spacing w:before="16" w:line="245" w:lineRule="exact"/>
              <w:ind w:left="22"/>
            </w:pPr>
            <w:r>
              <w:rPr>
                <w:color w:val="231F20"/>
                <w:w w:val="60"/>
              </w:rPr>
              <w:t>and private sectors investment in health program planning and implementation</w:t>
            </w:r>
          </w:p>
        </w:tc>
        <w:tc>
          <w:tcPr>
            <w:tcW w:w="1411" w:type="dxa"/>
            <w:tcBorders>
              <w:left w:val="single" w:sz="6" w:space="0" w:color="231F20"/>
              <w:bottom w:val="single" w:sz="12" w:space="0" w:color="231F20"/>
            </w:tcBorders>
          </w:tcPr>
          <w:p w14:paraId="4101F244" w14:textId="77777777" w:rsidR="009948F1" w:rsidRDefault="00BC0563">
            <w:pPr>
              <w:pStyle w:val="TableParagraph"/>
              <w:spacing w:before="44" w:line="184" w:lineRule="auto"/>
              <w:ind w:left="28" w:hanging="6"/>
            </w:pPr>
            <w:r>
              <w:rPr>
                <w:color w:val="231F20"/>
                <w:w w:val="65"/>
              </w:rPr>
              <w:t xml:space="preserve">Lack of funds, </w:t>
            </w:r>
            <w:r>
              <w:rPr>
                <w:color w:val="231F20"/>
                <w:w w:val="55"/>
              </w:rPr>
              <w:t>commitment, inadequate</w:t>
            </w:r>
          </w:p>
        </w:tc>
        <w:tc>
          <w:tcPr>
            <w:tcW w:w="1486" w:type="dxa"/>
            <w:tcBorders>
              <w:right w:val="single" w:sz="6" w:space="0" w:color="231F20"/>
            </w:tcBorders>
          </w:tcPr>
          <w:p w14:paraId="02B7F1C6" w14:textId="77777777" w:rsidR="009948F1" w:rsidRDefault="00BC0563">
            <w:pPr>
              <w:pStyle w:val="TableParagraph"/>
              <w:spacing w:before="144"/>
              <w:ind w:left="19"/>
            </w:pPr>
            <w:r>
              <w:rPr>
                <w:color w:val="231F20"/>
                <w:w w:val="65"/>
              </w:rPr>
              <w:t>Conduct advocacy</w:t>
            </w:r>
          </w:p>
        </w:tc>
      </w:tr>
    </w:tbl>
    <w:p w14:paraId="0255DF10" w14:textId="77777777" w:rsidR="009948F1" w:rsidRDefault="009948F1">
      <w:pPr>
        <w:sectPr w:rsidR="009948F1">
          <w:pgSz w:w="11910" w:h="16840"/>
          <w:pgMar w:top="1300" w:right="1080" w:bottom="1340" w:left="1120" w:header="0" w:footer="1155" w:gutter="0"/>
          <w:cols w:space="720"/>
        </w:sectPr>
      </w:pPr>
    </w:p>
    <w:tbl>
      <w:tblPr>
        <w:tblW w:w="0" w:type="auto"/>
        <w:tblInd w:w="1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4"/>
        <w:gridCol w:w="406"/>
        <w:gridCol w:w="455"/>
        <w:gridCol w:w="526"/>
        <w:gridCol w:w="2511"/>
        <w:gridCol w:w="2385"/>
        <w:gridCol w:w="1428"/>
        <w:gridCol w:w="1505"/>
      </w:tblGrid>
      <w:tr w:rsidR="009948F1" w14:paraId="5BDBAEFF" w14:textId="77777777">
        <w:trPr>
          <w:trHeight w:val="647"/>
        </w:trPr>
        <w:tc>
          <w:tcPr>
            <w:tcW w:w="134" w:type="dxa"/>
            <w:tcBorders>
              <w:left w:val="single" w:sz="6" w:space="0" w:color="231F20"/>
              <w:bottom w:val="nil"/>
              <w:right w:val="single" w:sz="6" w:space="0" w:color="231F20"/>
            </w:tcBorders>
          </w:tcPr>
          <w:p w14:paraId="335B19D1" w14:textId="77777777" w:rsidR="009948F1" w:rsidRDefault="009948F1">
            <w:pPr>
              <w:pStyle w:val="TableParagraph"/>
              <w:rPr>
                <w:rFonts w:ascii="Times New Roman"/>
                <w:sz w:val="10"/>
              </w:rPr>
            </w:pPr>
          </w:p>
        </w:tc>
        <w:tc>
          <w:tcPr>
            <w:tcW w:w="406" w:type="dxa"/>
            <w:tcBorders>
              <w:left w:val="single" w:sz="6" w:space="0" w:color="231F20"/>
              <w:bottom w:val="single" w:sz="6" w:space="0" w:color="231F20"/>
              <w:right w:val="single" w:sz="6" w:space="0" w:color="231F20"/>
            </w:tcBorders>
            <w:shd w:val="clear" w:color="auto" w:fill="FFF200"/>
          </w:tcPr>
          <w:p w14:paraId="48FA38D3" w14:textId="77777777" w:rsidR="009948F1" w:rsidRDefault="009948F1">
            <w:pPr>
              <w:pStyle w:val="TableParagraph"/>
              <w:rPr>
                <w:b/>
                <w:sz w:val="12"/>
              </w:rPr>
            </w:pPr>
          </w:p>
          <w:p w14:paraId="4262D596" w14:textId="77777777" w:rsidR="009948F1" w:rsidRDefault="009948F1">
            <w:pPr>
              <w:pStyle w:val="TableParagraph"/>
              <w:spacing w:before="4"/>
              <w:rPr>
                <w:b/>
                <w:sz w:val="10"/>
              </w:rPr>
            </w:pPr>
          </w:p>
          <w:p w14:paraId="64A8BAA6" w14:textId="77777777" w:rsidR="009948F1" w:rsidRDefault="00BC0563">
            <w:pPr>
              <w:pStyle w:val="TableParagraph"/>
              <w:ind w:right="37"/>
              <w:jc w:val="right"/>
              <w:rPr>
                <w:b/>
                <w:sz w:val="12"/>
              </w:rPr>
            </w:pPr>
            <w:bookmarkStart w:id="151" w:name="Page_125"/>
            <w:bookmarkEnd w:id="151"/>
            <w:r>
              <w:rPr>
                <w:b/>
                <w:color w:val="231F20"/>
                <w:sz w:val="12"/>
              </w:rPr>
              <w:t>2.2</w:t>
            </w:r>
          </w:p>
        </w:tc>
        <w:tc>
          <w:tcPr>
            <w:tcW w:w="5877" w:type="dxa"/>
            <w:gridSpan w:val="4"/>
            <w:tcBorders>
              <w:left w:val="single" w:sz="6" w:space="0" w:color="231F20"/>
              <w:bottom w:val="single" w:sz="6" w:space="0" w:color="231F20"/>
            </w:tcBorders>
            <w:shd w:val="clear" w:color="auto" w:fill="FFF200"/>
          </w:tcPr>
          <w:p w14:paraId="380D665F" w14:textId="77777777" w:rsidR="009948F1" w:rsidRDefault="009948F1">
            <w:pPr>
              <w:pStyle w:val="TableParagraph"/>
              <w:spacing w:before="3"/>
              <w:rPr>
                <w:b/>
                <w:sz w:val="15"/>
              </w:rPr>
            </w:pPr>
          </w:p>
          <w:p w14:paraId="751D0BD9" w14:textId="15FE1B72" w:rsidR="009948F1" w:rsidRDefault="00BC0563">
            <w:pPr>
              <w:pStyle w:val="TableParagraph"/>
              <w:spacing w:line="264" w:lineRule="auto"/>
              <w:ind w:left="21" w:right="233" w:firstLine="65"/>
              <w:rPr>
                <w:b/>
                <w:sz w:val="12"/>
              </w:rPr>
            </w:pPr>
            <w:r>
              <w:rPr>
                <w:b/>
                <w:color w:val="231F20"/>
                <w:sz w:val="12"/>
              </w:rPr>
              <w:t xml:space="preserve">To strengthen community </w:t>
            </w:r>
            <w:r w:rsidR="00C84576">
              <w:rPr>
                <w:b/>
                <w:color w:val="231F20"/>
                <w:sz w:val="12"/>
              </w:rPr>
              <w:t>engagement</w:t>
            </w:r>
            <w:r>
              <w:rPr>
                <w:b/>
                <w:color w:val="231F20"/>
                <w:sz w:val="12"/>
              </w:rPr>
              <w:t xml:space="preserve"> in the implementation, monitoring and evaluation of health programs</w:t>
            </w:r>
          </w:p>
        </w:tc>
        <w:tc>
          <w:tcPr>
            <w:tcW w:w="1428" w:type="dxa"/>
            <w:tcBorders>
              <w:top w:val="single" w:sz="6" w:space="0" w:color="231F20"/>
              <w:bottom w:val="single" w:sz="6" w:space="0" w:color="231F20"/>
            </w:tcBorders>
            <w:shd w:val="clear" w:color="auto" w:fill="FFF200"/>
          </w:tcPr>
          <w:p w14:paraId="765C6CA7"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FFF200"/>
          </w:tcPr>
          <w:p w14:paraId="52C1475D" w14:textId="77777777" w:rsidR="009948F1" w:rsidRDefault="009948F1">
            <w:pPr>
              <w:pStyle w:val="TableParagraph"/>
              <w:rPr>
                <w:rFonts w:ascii="Times New Roman"/>
                <w:sz w:val="10"/>
              </w:rPr>
            </w:pPr>
          </w:p>
        </w:tc>
      </w:tr>
      <w:tr w:rsidR="009948F1" w14:paraId="01EE26ED" w14:textId="77777777">
        <w:trPr>
          <w:trHeight w:val="1074"/>
        </w:trPr>
        <w:tc>
          <w:tcPr>
            <w:tcW w:w="540" w:type="dxa"/>
            <w:gridSpan w:val="2"/>
            <w:tcBorders>
              <w:top w:val="nil"/>
              <w:left w:val="single" w:sz="6" w:space="0" w:color="231F20"/>
              <w:bottom w:val="nil"/>
              <w:right w:val="single" w:sz="6" w:space="0" w:color="231F20"/>
            </w:tcBorders>
          </w:tcPr>
          <w:p w14:paraId="15D56247"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3627F803" w14:textId="77777777" w:rsidR="009948F1" w:rsidRDefault="009948F1">
            <w:pPr>
              <w:pStyle w:val="TableParagraph"/>
              <w:rPr>
                <w:b/>
                <w:sz w:val="12"/>
              </w:rPr>
            </w:pPr>
          </w:p>
          <w:p w14:paraId="36626A1A" w14:textId="77777777" w:rsidR="009948F1" w:rsidRDefault="009948F1">
            <w:pPr>
              <w:pStyle w:val="TableParagraph"/>
              <w:rPr>
                <w:b/>
                <w:sz w:val="12"/>
              </w:rPr>
            </w:pPr>
          </w:p>
          <w:p w14:paraId="788D2735" w14:textId="77777777" w:rsidR="009948F1" w:rsidRDefault="009948F1">
            <w:pPr>
              <w:pStyle w:val="TableParagraph"/>
              <w:spacing w:before="8"/>
              <w:rPr>
                <w:b/>
                <w:sz w:val="16"/>
              </w:rPr>
            </w:pPr>
          </w:p>
          <w:p w14:paraId="5A260C32" w14:textId="77777777" w:rsidR="009948F1" w:rsidRDefault="00BC0563">
            <w:pPr>
              <w:pStyle w:val="TableParagraph"/>
              <w:ind w:left="54"/>
              <w:rPr>
                <w:sz w:val="12"/>
              </w:rPr>
            </w:pPr>
            <w:r>
              <w:rPr>
                <w:color w:val="231F20"/>
                <w:sz w:val="12"/>
              </w:rPr>
              <w:t>2.2.1</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00AEC265" w14:textId="77777777" w:rsidR="009948F1" w:rsidRDefault="009948F1">
            <w:pPr>
              <w:pStyle w:val="TableParagraph"/>
              <w:rPr>
                <w:b/>
                <w:sz w:val="12"/>
              </w:rPr>
            </w:pPr>
          </w:p>
          <w:p w14:paraId="4B644334" w14:textId="77777777" w:rsidR="009948F1" w:rsidRDefault="009948F1">
            <w:pPr>
              <w:pStyle w:val="TableParagraph"/>
              <w:spacing w:before="4"/>
              <w:rPr>
                <w:b/>
                <w:sz w:val="15"/>
              </w:rPr>
            </w:pPr>
          </w:p>
          <w:p w14:paraId="607309AA" w14:textId="63458175" w:rsidR="009948F1" w:rsidRDefault="00C84576">
            <w:pPr>
              <w:pStyle w:val="TableParagraph"/>
              <w:spacing w:line="259" w:lineRule="auto"/>
              <w:ind w:left="21" w:right="19" w:firstLine="33"/>
              <w:rPr>
                <w:sz w:val="12"/>
              </w:rPr>
            </w:pPr>
            <w:r>
              <w:rPr>
                <w:color w:val="231F20"/>
                <w:sz w:val="12"/>
              </w:rPr>
              <w:t>Strengthen</w:t>
            </w:r>
            <w:r w:rsidR="00BC0563">
              <w:rPr>
                <w:color w:val="231F20"/>
                <w:sz w:val="12"/>
              </w:rPr>
              <w:t xml:space="preserve"> capacities of communities to facilitate the implementation of community and facility level minimum service package(MSP)</w:t>
            </w:r>
          </w:p>
        </w:tc>
        <w:tc>
          <w:tcPr>
            <w:tcW w:w="2385" w:type="dxa"/>
            <w:tcBorders>
              <w:top w:val="single" w:sz="6" w:space="0" w:color="231F20"/>
              <w:left w:val="single" w:sz="6" w:space="0" w:color="231F20"/>
              <w:bottom w:val="single" w:sz="6" w:space="0" w:color="231F20"/>
            </w:tcBorders>
            <w:shd w:val="clear" w:color="auto" w:fill="CCE7D3"/>
          </w:tcPr>
          <w:p w14:paraId="3846BA04" w14:textId="5E0953C9" w:rsidR="009948F1" w:rsidRDefault="00BC0563">
            <w:pPr>
              <w:pStyle w:val="TableParagraph"/>
              <w:spacing w:before="22" w:line="259" w:lineRule="auto"/>
              <w:ind w:left="20"/>
              <w:rPr>
                <w:sz w:val="12"/>
              </w:rPr>
            </w:pPr>
            <w:r>
              <w:rPr>
                <w:color w:val="231F20"/>
                <w:sz w:val="12"/>
              </w:rPr>
              <w:t xml:space="preserve">•At least 200 WDCs trained on community </w:t>
            </w:r>
            <w:r w:rsidR="00DA4239">
              <w:rPr>
                <w:color w:val="231F20"/>
                <w:sz w:val="12"/>
              </w:rPr>
              <w:t>utilization</w:t>
            </w:r>
            <w:r>
              <w:rPr>
                <w:color w:val="231F20"/>
                <w:sz w:val="12"/>
              </w:rPr>
              <w:t xml:space="preserve"> of Minimum Service Package (MSP)</w:t>
            </w:r>
          </w:p>
          <w:p w14:paraId="0C5AFD94" w14:textId="77777777" w:rsidR="009948F1" w:rsidRDefault="00BC0563">
            <w:pPr>
              <w:pStyle w:val="TableParagraph"/>
              <w:numPr>
                <w:ilvl w:val="0"/>
                <w:numId w:val="224"/>
              </w:numPr>
              <w:tabs>
                <w:tab w:val="left" w:pos="89"/>
              </w:tabs>
              <w:spacing w:line="259" w:lineRule="auto"/>
              <w:ind w:right="47" w:firstLine="0"/>
              <w:jc w:val="both"/>
              <w:rPr>
                <w:sz w:val="12"/>
              </w:rPr>
            </w:pPr>
            <w:r>
              <w:rPr>
                <w:color w:val="231F20"/>
                <w:sz w:val="12"/>
              </w:rPr>
              <w:t>At least 300 community volunteers,</w:t>
            </w:r>
            <w:r>
              <w:rPr>
                <w:color w:val="231F20"/>
                <w:spacing w:val="-25"/>
                <w:sz w:val="12"/>
              </w:rPr>
              <w:t xml:space="preserve"> </w:t>
            </w:r>
            <w:r>
              <w:rPr>
                <w:color w:val="231F20"/>
                <w:spacing w:val="-3"/>
                <w:sz w:val="12"/>
              </w:rPr>
              <w:t xml:space="preserve">CDDs, </w:t>
            </w:r>
            <w:r>
              <w:rPr>
                <w:color w:val="231F20"/>
                <w:sz w:val="12"/>
              </w:rPr>
              <w:t>WDCs,</w:t>
            </w:r>
            <w:r>
              <w:rPr>
                <w:color w:val="231F20"/>
                <w:spacing w:val="-6"/>
                <w:sz w:val="12"/>
              </w:rPr>
              <w:t xml:space="preserve"> </w:t>
            </w:r>
            <w:r>
              <w:rPr>
                <w:color w:val="231F20"/>
                <w:sz w:val="12"/>
              </w:rPr>
              <w:t>CBOs</w:t>
            </w:r>
            <w:r>
              <w:rPr>
                <w:color w:val="231F20"/>
                <w:spacing w:val="-5"/>
                <w:sz w:val="12"/>
              </w:rPr>
              <w:t xml:space="preserve"> </w:t>
            </w:r>
            <w:r>
              <w:rPr>
                <w:color w:val="231F20"/>
                <w:sz w:val="12"/>
              </w:rPr>
              <w:t>motivated</w:t>
            </w:r>
            <w:r>
              <w:rPr>
                <w:color w:val="231F20"/>
                <w:spacing w:val="-5"/>
                <w:sz w:val="12"/>
              </w:rPr>
              <w:t xml:space="preserve"> </w:t>
            </w:r>
            <w:r>
              <w:rPr>
                <w:color w:val="231F20"/>
                <w:sz w:val="12"/>
              </w:rPr>
              <w:t>and</w:t>
            </w:r>
            <w:r>
              <w:rPr>
                <w:color w:val="231F20"/>
                <w:spacing w:val="-6"/>
                <w:sz w:val="12"/>
              </w:rPr>
              <w:t xml:space="preserve"> </w:t>
            </w:r>
            <w:r>
              <w:rPr>
                <w:color w:val="231F20"/>
                <w:sz w:val="12"/>
              </w:rPr>
              <w:t>participated</w:t>
            </w:r>
            <w:r>
              <w:rPr>
                <w:color w:val="231F20"/>
                <w:spacing w:val="-5"/>
                <w:sz w:val="12"/>
              </w:rPr>
              <w:t xml:space="preserve"> </w:t>
            </w:r>
            <w:r>
              <w:rPr>
                <w:color w:val="231F20"/>
                <w:sz w:val="12"/>
              </w:rPr>
              <w:t>in community</w:t>
            </w:r>
            <w:r>
              <w:rPr>
                <w:color w:val="231F20"/>
                <w:spacing w:val="-2"/>
                <w:sz w:val="12"/>
              </w:rPr>
              <w:t xml:space="preserve"> </w:t>
            </w:r>
            <w:r>
              <w:rPr>
                <w:color w:val="231F20"/>
                <w:sz w:val="12"/>
              </w:rPr>
              <w:t>mobilization</w:t>
            </w:r>
          </w:p>
          <w:p w14:paraId="19BECD3E" w14:textId="77777777" w:rsidR="009948F1" w:rsidRDefault="00BC0563">
            <w:pPr>
              <w:pStyle w:val="TableParagraph"/>
              <w:spacing w:line="137" w:lineRule="exact"/>
              <w:ind w:left="20"/>
              <w:rPr>
                <w:sz w:val="12"/>
              </w:rPr>
            </w:pPr>
            <w:r>
              <w:rPr>
                <w:color w:val="231F20"/>
                <w:w w:val="98"/>
                <w:sz w:val="12"/>
              </w:rPr>
              <w:t>•</w:t>
            </w:r>
          </w:p>
        </w:tc>
        <w:tc>
          <w:tcPr>
            <w:tcW w:w="1428" w:type="dxa"/>
            <w:tcBorders>
              <w:top w:val="single" w:sz="6" w:space="0" w:color="231F20"/>
              <w:bottom w:val="single" w:sz="6" w:space="0" w:color="231F20"/>
            </w:tcBorders>
            <w:shd w:val="clear" w:color="auto" w:fill="CCE7D3"/>
          </w:tcPr>
          <w:p w14:paraId="47D47906"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CCE7D3"/>
          </w:tcPr>
          <w:p w14:paraId="3D33A92E" w14:textId="77777777" w:rsidR="009948F1" w:rsidRDefault="009948F1">
            <w:pPr>
              <w:pStyle w:val="TableParagraph"/>
              <w:rPr>
                <w:rFonts w:ascii="Times New Roman"/>
                <w:sz w:val="10"/>
              </w:rPr>
            </w:pPr>
          </w:p>
        </w:tc>
      </w:tr>
      <w:tr w:rsidR="009948F1" w14:paraId="701C3339" w14:textId="77777777">
        <w:trPr>
          <w:trHeight w:val="431"/>
        </w:trPr>
        <w:tc>
          <w:tcPr>
            <w:tcW w:w="995" w:type="dxa"/>
            <w:gridSpan w:val="3"/>
            <w:vMerge w:val="restart"/>
            <w:tcBorders>
              <w:top w:val="nil"/>
              <w:left w:val="single" w:sz="6" w:space="0" w:color="231F20"/>
              <w:bottom w:val="nil"/>
              <w:right w:val="single" w:sz="6" w:space="0" w:color="231F20"/>
            </w:tcBorders>
          </w:tcPr>
          <w:p w14:paraId="28580414"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53A12CAA" w14:textId="77777777" w:rsidR="009948F1" w:rsidRDefault="009948F1">
            <w:pPr>
              <w:pStyle w:val="TableParagraph"/>
              <w:spacing w:before="8"/>
              <w:rPr>
                <w:b/>
                <w:sz w:val="12"/>
              </w:rPr>
            </w:pPr>
          </w:p>
          <w:p w14:paraId="693B457B" w14:textId="77777777" w:rsidR="009948F1" w:rsidRDefault="00BC0563">
            <w:pPr>
              <w:pStyle w:val="TableParagraph"/>
              <w:spacing w:before="1"/>
              <w:ind w:left="58" w:right="45"/>
              <w:jc w:val="center"/>
              <w:rPr>
                <w:sz w:val="12"/>
              </w:rPr>
            </w:pPr>
            <w:r>
              <w:rPr>
                <w:color w:val="231F20"/>
                <w:sz w:val="12"/>
              </w:rPr>
              <w:t>2.2.1.a</w:t>
            </w:r>
          </w:p>
        </w:tc>
        <w:tc>
          <w:tcPr>
            <w:tcW w:w="4896" w:type="dxa"/>
            <w:gridSpan w:val="2"/>
            <w:tcBorders>
              <w:top w:val="single" w:sz="6" w:space="0" w:color="231F20"/>
              <w:left w:val="single" w:sz="6" w:space="0" w:color="231F20"/>
              <w:bottom w:val="single" w:sz="6" w:space="0" w:color="231F20"/>
              <w:right w:val="single" w:sz="6" w:space="0" w:color="231F20"/>
            </w:tcBorders>
          </w:tcPr>
          <w:p w14:paraId="21E563B7" w14:textId="79FD3370" w:rsidR="009948F1" w:rsidRDefault="00BC0563">
            <w:pPr>
              <w:pStyle w:val="TableParagraph"/>
              <w:spacing w:before="67" w:line="259" w:lineRule="auto"/>
              <w:ind w:left="21" w:right="11" w:firstLine="33"/>
              <w:rPr>
                <w:sz w:val="12"/>
              </w:rPr>
            </w:pPr>
            <w:r>
              <w:rPr>
                <w:color w:val="231F20"/>
                <w:sz w:val="12"/>
              </w:rPr>
              <w:t xml:space="preserve">Develop/adopt community mobilization and IPC manual and job aides on minimum </w:t>
            </w:r>
            <w:r w:rsidR="00C84576">
              <w:rPr>
                <w:color w:val="231F20"/>
                <w:sz w:val="12"/>
              </w:rPr>
              <w:t>service</w:t>
            </w:r>
            <w:r>
              <w:rPr>
                <w:color w:val="231F20"/>
                <w:sz w:val="12"/>
              </w:rPr>
              <w:t xml:space="preserve"> package areas</w:t>
            </w:r>
          </w:p>
        </w:tc>
        <w:tc>
          <w:tcPr>
            <w:tcW w:w="1428" w:type="dxa"/>
            <w:tcBorders>
              <w:top w:val="single" w:sz="6" w:space="0" w:color="231F20"/>
              <w:left w:val="single" w:sz="6" w:space="0" w:color="231F20"/>
              <w:bottom w:val="single" w:sz="6" w:space="0" w:color="231F20"/>
            </w:tcBorders>
          </w:tcPr>
          <w:p w14:paraId="782F29C3" w14:textId="77777777" w:rsidR="009948F1" w:rsidRDefault="009948F1">
            <w:pPr>
              <w:pStyle w:val="TableParagraph"/>
              <w:spacing w:before="8"/>
              <w:rPr>
                <w:b/>
                <w:sz w:val="12"/>
              </w:rPr>
            </w:pPr>
          </w:p>
          <w:p w14:paraId="44620637" w14:textId="77777777" w:rsidR="009948F1" w:rsidRDefault="00BC0563">
            <w:pPr>
              <w:pStyle w:val="TableParagraph"/>
              <w:spacing w:before="1"/>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7F9546DD" w14:textId="77777777" w:rsidR="009948F1" w:rsidRDefault="00BC0563">
            <w:pPr>
              <w:pStyle w:val="TableParagraph"/>
              <w:spacing w:line="259" w:lineRule="auto"/>
              <w:ind w:left="15"/>
              <w:rPr>
                <w:sz w:val="12"/>
              </w:rPr>
            </w:pPr>
            <w:r>
              <w:rPr>
                <w:color w:val="231F20"/>
                <w:sz w:val="12"/>
              </w:rPr>
              <w:t>Develop/adopt community mobilization and IPC</w:t>
            </w:r>
          </w:p>
          <w:p w14:paraId="1CCC9927" w14:textId="77777777" w:rsidR="009948F1" w:rsidRDefault="00BC0563">
            <w:pPr>
              <w:pStyle w:val="TableParagraph"/>
              <w:spacing w:line="115" w:lineRule="exact"/>
              <w:ind w:left="15"/>
              <w:rPr>
                <w:sz w:val="12"/>
              </w:rPr>
            </w:pPr>
            <w:r>
              <w:rPr>
                <w:color w:val="231F20"/>
                <w:sz w:val="12"/>
              </w:rPr>
              <w:t>manual</w:t>
            </w:r>
          </w:p>
        </w:tc>
      </w:tr>
      <w:tr w:rsidR="009948F1" w14:paraId="41CDD0AF" w14:textId="77777777">
        <w:trPr>
          <w:trHeight w:val="342"/>
        </w:trPr>
        <w:tc>
          <w:tcPr>
            <w:tcW w:w="995" w:type="dxa"/>
            <w:gridSpan w:val="3"/>
            <w:vMerge/>
            <w:tcBorders>
              <w:top w:val="nil"/>
              <w:left w:val="single" w:sz="6" w:space="0" w:color="231F20"/>
              <w:bottom w:val="nil"/>
              <w:right w:val="single" w:sz="6" w:space="0" w:color="231F20"/>
            </w:tcBorders>
          </w:tcPr>
          <w:p w14:paraId="04E60B8B"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08559476" w14:textId="77777777" w:rsidR="009948F1" w:rsidRDefault="00BC0563">
            <w:pPr>
              <w:pStyle w:val="TableParagraph"/>
              <w:spacing w:before="102"/>
              <w:ind w:left="58" w:right="45"/>
              <w:jc w:val="center"/>
              <w:rPr>
                <w:sz w:val="12"/>
              </w:rPr>
            </w:pPr>
            <w:r>
              <w:rPr>
                <w:color w:val="231F20"/>
                <w:sz w:val="12"/>
              </w:rPr>
              <w:t>2.2.1.b</w:t>
            </w:r>
          </w:p>
        </w:tc>
        <w:tc>
          <w:tcPr>
            <w:tcW w:w="4896" w:type="dxa"/>
            <w:gridSpan w:val="2"/>
            <w:tcBorders>
              <w:top w:val="single" w:sz="6" w:space="0" w:color="231F20"/>
              <w:left w:val="single" w:sz="6" w:space="0" w:color="231F20"/>
              <w:bottom w:val="single" w:sz="6" w:space="0" w:color="231F20"/>
              <w:right w:val="single" w:sz="6" w:space="0" w:color="231F20"/>
            </w:tcBorders>
          </w:tcPr>
          <w:p w14:paraId="562D38D9" w14:textId="7F164DE2" w:rsidR="009948F1" w:rsidRDefault="00BC0563">
            <w:pPr>
              <w:pStyle w:val="TableParagraph"/>
              <w:spacing w:before="23" w:line="259" w:lineRule="auto"/>
              <w:ind w:left="21" w:right="28"/>
              <w:rPr>
                <w:sz w:val="12"/>
              </w:rPr>
            </w:pPr>
            <w:r>
              <w:rPr>
                <w:color w:val="231F20"/>
                <w:sz w:val="12"/>
              </w:rPr>
              <w:t>Conduct</w:t>
            </w:r>
            <w:r>
              <w:rPr>
                <w:color w:val="231F20"/>
                <w:spacing w:val="-6"/>
                <w:sz w:val="12"/>
              </w:rPr>
              <w:t xml:space="preserve"> </w:t>
            </w:r>
            <w:r>
              <w:rPr>
                <w:color w:val="231F20"/>
                <w:sz w:val="12"/>
              </w:rPr>
              <w:t>training</w:t>
            </w:r>
            <w:r>
              <w:rPr>
                <w:color w:val="231F20"/>
                <w:spacing w:val="-6"/>
                <w:sz w:val="12"/>
              </w:rPr>
              <w:t xml:space="preserve"> </w:t>
            </w:r>
            <w:r>
              <w:rPr>
                <w:color w:val="231F20"/>
                <w:sz w:val="12"/>
              </w:rPr>
              <w:t>workshop</w:t>
            </w:r>
            <w:r>
              <w:rPr>
                <w:color w:val="231F20"/>
                <w:spacing w:val="-6"/>
                <w:sz w:val="12"/>
              </w:rPr>
              <w:t xml:space="preserve"> </w:t>
            </w:r>
            <w:r>
              <w:rPr>
                <w:color w:val="231F20"/>
                <w:sz w:val="12"/>
              </w:rPr>
              <w:t>for</w:t>
            </w:r>
            <w:r>
              <w:rPr>
                <w:color w:val="231F20"/>
                <w:spacing w:val="-6"/>
                <w:sz w:val="12"/>
              </w:rPr>
              <w:t xml:space="preserve"> </w:t>
            </w:r>
            <w:r>
              <w:rPr>
                <w:color w:val="231F20"/>
                <w:sz w:val="12"/>
              </w:rPr>
              <w:t>WDCs</w:t>
            </w:r>
            <w:r>
              <w:rPr>
                <w:color w:val="231F20"/>
                <w:spacing w:val="-6"/>
                <w:sz w:val="12"/>
              </w:rPr>
              <w:t xml:space="preserve"> </w:t>
            </w:r>
            <w:r>
              <w:rPr>
                <w:color w:val="231F20"/>
                <w:sz w:val="12"/>
              </w:rPr>
              <w:t>on</w:t>
            </w:r>
            <w:r>
              <w:rPr>
                <w:color w:val="231F20"/>
                <w:spacing w:val="-5"/>
                <w:sz w:val="12"/>
              </w:rPr>
              <w:t xml:space="preserve"> </w:t>
            </w:r>
            <w:r>
              <w:rPr>
                <w:color w:val="231F20"/>
                <w:sz w:val="12"/>
              </w:rPr>
              <w:t>community</w:t>
            </w:r>
            <w:r>
              <w:rPr>
                <w:color w:val="231F20"/>
                <w:spacing w:val="-6"/>
                <w:sz w:val="12"/>
              </w:rPr>
              <w:t xml:space="preserve"> </w:t>
            </w:r>
            <w:r w:rsidR="00DA4239">
              <w:rPr>
                <w:color w:val="231F20"/>
                <w:sz w:val="12"/>
              </w:rPr>
              <w:t>utilization</w:t>
            </w:r>
            <w:r>
              <w:rPr>
                <w:color w:val="231F20"/>
                <w:spacing w:val="-6"/>
                <w:sz w:val="12"/>
              </w:rPr>
              <w:t xml:space="preserve"> </w:t>
            </w:r>
            <w:r>
              <w:rPr>
                <w:color w:val="231F20"/>
                <w:sz w:val="12"/>
              </w:rPr>
              <w:t>of</w:t>
            </w:r>
            <w:r>
              <w:rPr>
                <w:color w:val="231F20"/>
                <w:spacing w:val="-6"/>
                <w:sz w:val="12"/>
              </w:rPr>
              <w:t xml:space="preserve"> </w:t>
            </w:r>
            <w:r>
              <w:rPr>
                <w:color w:val="231F20"/>
                <w:sz w:val="12"/>
              </w:rPr>
              <w:t>Minimum</w:t>
            </w:r>
            <w:r>
              <w:rPr>
                <w:color w:val="231F20"/>
                <w:spacing w:val="-6"/>
                <w:sz w:val="12"/>
              </w:rPr>
              <w:t xml:space="preserve"> </w:t>
            </w:r>
            <w:r>
              <w:rPr>
                <w:color w:val="231F20"/>
                <w:sz w:val="12"/>
              </w:rPr>
              <w:t>Service</w:t>
            </w:r>
            <w:r>
              <w:rPr>
                <w:color w:val="231F20"/>
                <w:spacing w:val="-5"/>
                <w:sz w:val="12"/>
              </w:rPr>
              <w:t xml:space="preserve"> </w:t>
            </w:r>
            <w:r>
              <w:rPr>
                <w:color w:val="231F20"/>
                <w:sz w:val="12"/>
              </w:rPr>
              <w:t>Package (MSP)</w:t>
            </w:r>
          </w:p>
        </w:tc>
        <w:tc>
          <w:tcPr>
            <w:tcW w:w="1428" w:type="dxa"/>
            <w:tcBorders>
              <w:top w:val="single" w:sz="6" w:space="0" w:color="231F20"/>
              <w:left w:val="single" w:sz="6" w:space="0" w:color="231F20"/>
              <w:bottom w:val="single" w:sz="6" w:space="0" w:color="231F20"/>
            </w:tcBorders>
          </w:tcPr>
          <w:p w14:paraId="1FEACFB3" w14:textId="77777777" w:rsidR="009948F1" w:rsidRDefault="00BC0563">
            <w:pPr>
              <w:pStyle w:val="TableParagraph"/>
              <w:spacing w:before="14" w:line="192" w:lineRule="auto"/>
              <w:ind w:left="19"/>
              <w:rPr>
                <w:sz w:val="12"/>
              </w:rPr>
            </w:pPr>
            <w:r>
              <w:rPr>
                <w:color w:val="231F20"/>
                <w:sz w:val="12"/>
              </w:rPr>
              <w:t>Lack of funds, commitment, security &amp;</w:t>
            </w:r>
          </w:p>
          <w:p w14:paraId="0E2ECAF7" w14:textId="77777777" w:rsidR="009948F1" w:rsidRDefault="00BC0563">
            <w:pPr>
              <w:pStyle w:val="TableParagraph"/>
              <w:spacing w:line="88" w:lineRule="exact"/>
              <w:ind w:left="19"/>
              <w:rPr>
                <w:sz w:val="12"/>
              </w:rPr>
            </w:pPr>
            <w:r>
              <w:rPr>
                <w:color w:val="231F20"/>
                <w:sz w:val="12"/>
              </w:rPr>
              <w:t>difficult terrain</w:t>
            </w:r>
          </w:p>
        </w:tc>
        <w:tc>
          <w:tcPr>
            <w:tcW w:w="1505" w:type="dxa"/>
            <w:tcBorders>
              <w:top w:val="single" w:sz="6" w:space="0" w:color="231F20"/>
              <w:bottom w:val="single" w:sz="6" w:space="0" w:color="231F20"/>
              <w:right w:val="single" w:sz="6" w:space="0" w:color="231F20"/>
            </w:tcBorders>
          </w:tcPr>
          <w:p w14:paraId="342D1D67" w14:textId="77777777" w:rsidR="009948F1" w:rsidRDefault="00BC0563">
            <w:pPr>
              <w:pStyle w:val="TableParagraph"/>
              <w:spacing w:before="102"/>
              <w:ind w:left="15"/>
              <w:rPr>
                <w:sz w:val="12"/>
              </w:rPr>
            </w:pPr>
            <w:r>
              <w:rPr>
                <w:color w:val="231F20"/>
                <w:sz w:val="12"/>
              </w:rPr>
              <w:t>Conduct training workshop</w:t>
            </w:r>
          </w:p>
        </w:tc>
      </w:tr>
      <w:tr w:rsidR="009948F1" w14:paraId="7FC368EA" w14:textId="77777777">
        <w:trPr>
          <w:trHeight w:val="357"/>
        </w:trPr>
        <w:tc>
          <w:tcPr>
            <w:tcW w:w="995" w:type="dxa"/>
            <w:gridSpan w:val="3"/>
            <w:vMerge/>
            <w:tcBorders>
              <w:top w:val="nil"/>
              <w:left w:val="single" w:sz="6" w:space="0" w:color="231F20"/>
              <w:bottom w:val="nil"/>
              <w:right w:val="single" w:sz="6" w:space="0" w:color="231F20"/>
            </w:tcBorders>
          </w:tcPr>
          <w:p w14:paraId="0FCBA25E"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1220ACFE" w14:textId="77777777" w:rsidR="009948F1" w:rsidRDefault="009948F1">
            <w:pPr>
              <w:pStyle w:val="TableParagraph"/>
              <w:spacing w:before="5"/>
              <w:rPr>
                <w:b/>
                <w:sz w:val="9"/>
              </w:rPr>
            </w:pPr>
          </w:p>
          <w:p w14:paraId="0A9952A2" w14:textId="77777777" w:rsidR="009948F1" w:rsidRDefault="00BC0563">
            <w:pPr>
              <w:pStyle w:val="TableParagraph"/>
              <w:spacing w:before="1"/>
              <w:ind w:left="58" w:right="44"/>
              <w:jc w:val="center"/>
              <w:rPr>
                <w:sz w:val="12"/>
              </w:rPr>
            </w:pPr>
            <w:r>
              <w:rPr>
                <w:color w:val="231F20"/>
                <w:sz w:val="12"/>
              </w:rPr>
              <w:t>2.2.1.c</w:t>
            </w:r>
          </w:p>
        </w:tc>
        <w:tc>
          <w:tcPr>
            <w:tcW w:w="4896" w:type="dxa"/>
            <w:gridSpan w:val="2"/>
            <w:tcBorders>
              <w:top w:val="single" w:sz="6" w:space="0" w:color="231F20"/>
              <w:left w:val="single" w:sz="6" w:space="0" w:color="231F20"/>
              <w:bottom w:val="single" w:sz="6" w:space="0" w:color="231F20"/>
              <w:right w:val="single" w:sz="6" w:space="0" w:color="231F20"/>
            </w:tcBorders>
          </w:tcPr>
          <w:p w14:paraId="3703D9D5" w14:textId="30F2751C" w:rsidR="009948F1" w:rsidRDefault="00BC0563">
            <w:pPr>
              <w:pStyle w:val="TableParagraph"/>
              <w:spacing w:before="31" w:line="259" w:lineRule="auto"/>
              <w:ind w:left="21" w:right="-15" w:firstLine="33"/>
              <w:rPr>
                <w:sz w:val="12"/>
              </w:rPr>
            </w:pPr>
            <w:r>
              <w:rPr>
                <w:color w:val="231F20"/>
                <w:sz w:val="12"/>
              </w:rPr>
              <w:t xml:space="preserve">Develop a reward </w:t>
            </w:r>
            <w:r w:rsidR="00C84576">
              <w:rPr>
                <w:color w:val="231F20"/>
                <w:sz w:val="12"/>
              </w:rPr>
              <w:t>system</w:t>
            </w:r>
            <w:r>
              <w:rPr>
                <w:color w:val="231F20"/>
                <w:sz w:val="12"/>
              </w:rPr>
              <w:t xml:space="preserve"> to motivate community </w:t>
            </w:r>
            <w:r w:rsidR="00C84576">
              <w:rPr>
                <w:color w:val="231F20"/>
                <w:sz w:val="12"/>
              </w:rPr>
              <w:t>volunteers</w:t>
            </w:r>
            <w:r>
              <w:rPr>
                <w:color w:val="231F20"/>
                <w:sz w:val="12"/>
              </w:rPr>
              <w:t>, CDDs, WDCs, CBOs to conduct community mobilization</w:t>
            </w:r>
          </w:p>
        </w:tc>
        <w:tc>
          <w:tcPr>
            <w:tcW w:w="1428" w:type="dxa"/>
            <w:tcBorders>
              <w:top w:val="single" w:sz="6" w:space="0" w:color="231F20"/>
              <w:left w:val="single" w:sz="6" w:space="0" w:color="231F20"/>
              <w:bottom w:val="single" w:sz="6" w:space="0" w:color="231F20"/>
            </w:tcBorders>
          </w:tcPr>
          <w:p w14:paraId="29C89713" w14:textId="77777777" w:rsidR="009948F1" w:rsidRDefault="009948F1">
            <w:pPr>
              <w:pStyle w:val="TableParagraph"/>
              <w:spacing w:before="5"/>
              <w:rPr>
                <w:b/>
                <w:sz w:val="9"/>
              </w:rPr>
            </w:pPr>
          </w:p>
          <w:p w14:paraId="0F586D73" w14:textId="77777777" w:rsidR="009948F1" w:rsidRDefault="00BC0563">
            <w:pPr>
              <w:pStyle w:val="TableParagraph"/>
              <w:spacing w:before="1"/>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4E6B9B6F" w14:textId="77777777" w:rsidR="009948F1" w:rsidRDefault="009948F1">
            <w:pPr>
              <w:pStyle w:val="TableParagraph"/>
              <w:spacing w:before="5"/>
              <w:rPr>
                <w:b/>
                <w:sz w:val="9"/>
              </w:rPr>
            </w:pPr>
          </w:p>
          <w:p w14:paraId="1136D62E" w14:textId="0EFDDAC0" w:rsidR="009948F1" w:rsidRDefault="00BC0563">
            <w:pPr>
              <w:pStyle w:val="TableParagraph"/>
              <w:spacing w:before="1"/>
              <w:ind w:left="15"/>
              <w:rPr>
                <w:sz w:val="12"/>
              </w:rPr>
            </w:pPr>
            <w:r>
              <w:rPr>
                <w:color w:val="231F20"/>
                <w:sz w:val="12"/>
              </w:rPr>
              <w:t xml:space="preserve">Develop a reward </w:t>
            </w:r>
            <w:r w:rsidR="00C84576">
              <w:rPr>
                <w:color w:val="231F20"/>
                <w:sz w:val="12"/>
              </w:rPr>
              <w:t>system</w:t>
            </w:r>
          </w:p>
        </w:tc>
      </w:tr>
      <w:tr w:rsidR="009948F1" w14:paraId="44B7DC1F" w14:textId="77777777">
        <w:trPr>
          <w:trHeight w:val="730"/>
        </w:trPr>
        <w:tc>
          <w:tcPr>
            <w:tcW w:w="540" w:type="dxa"/>
            <w:gridSpan w:val="2"/>
            <w:tcBorders>
              <w:top w:val="nil"/>
              <w:left w:val="single" w:sz="6" w:space="0" w:color="231F20"/>
              <w:bottom w:val="nil"/>
              <w:right w:val="single" w:sz="6" w:space="0" w:color="231F20"/>
            </w:tcBorders>
          </w:tcPr>
          <w:p w14:paraId="069CE0C8"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4B68113A" w14:textId="77777777" w:rsidR="009948F1" w:rsidRDefault="009948F1">
            <w:pPr>
              <w:pStyle w:val="TableParagraph"/>
              <w:rPr>
                <w:b/>
                <w:sz w:val="12"/>
              </w:rPr>
            </w:pPr>
          </w:p>
          <w:p w14:paraId="7269BD3A" w14:textId="77777777" w:rsidR="009948F1" w:rsidRDefault="009948F1">
            <w:pPr>
              <w:pStyle w:val="TableParagraph"/>
              <w:spacing w:before="9"/>
              <w:rPr>
                <w:b/>
                <w:sz w:val="13"/>
              </w:rPr>
            </w:pPr>
          </w:p>
          <w:p w14:paraId="5D8D4E22" w14:textId="77777777" w:rsidR="009948F1" w:rsidRDefault="00BC0563">
            <w:pPr>
              <w:pStyle w:val="TableParagraph"/>
              <w:ind w:left="54"/>
              <w:rPr>
                <w:sz w:val="12"/>
              </w:rPr>
            </w:pPr>
            <w:r>
              <w:rPr>
                <w:color w:val="231F20"/>
                <w:sz w:val="12"/>
              </w:rPr>
              <w:t>2.2.2</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10FB5621" w14:textId="77777777" w:rsidR="009948F1" w:rsidRDefault="009948F1">
            <w:pPr>
              <w:pStyle w:val="TableParagraph"/>
              <w:rPr>
                <w:b/>
                <w:sz w:val="12"/>
              </w:rPr>
            </w:pPr>
          </w:p>
          <w:p w14:paraId="1523F96C" w14:textId="225EB7C7" w:rsidR="009948F1" w:rsidRDefault="00BC0563">
            <w:pPr>
              <w:pStyle w:val="TableParagraph"/>
              <w:spacing w:before="79" w:line="259" w:lineRule="auto"/>
              <w:ind w:left="21" w:firstLine="33"/>
              <w:rPr>
                <w:sz w:val="12"/>
              </w:rPr>
            </w:pPr>
            <w:r>
              <w:rPr>
                <w:color w:val="231F20"/>
                <w:sz w:val="12"/>
              </w:rPr>
              <w:t xml:space="preserve">Strengthen mechanisms for data </w:t>
            </w:r>
            <w:r w:rsidR="00C84576">
              <w:rPr>
                <w:color w:val="231F20"/>
                <w:sz w:val="12"/>
              </w:rPr>
              <w:t>collection, analysis</w:t>
            </w:r>
            <w:r>
              <w:rPr>
                <w:color w:val="231F20"/>
                <w:sz w:val="12"/>
              </w:rPr>
              <w:t xml:space="preserve">, storage, </w:t>
            </w:r>
            <w:r w:rsidR="00C84576">
              <w:rPr>
                <w:color w:val="231F20"/>
                <w:sz w:val="12"/>
              </w:rPr>
              <w:t>utilization</w:t>
            </w:r>
            <w:r>
              <w:rPr>
                <w:color w:val="231F20"/>
                <w:sz w:val="12"/>
              </w:rPr>
              <w:t xml:space="preserve"> and accountability at community level</w:t>
            </w:r>
          </w:p>
        </w:tc>
        <w:tc>
          <w:tcPr>
            <w:tcW w:w="2385" w:type="dxa"/>
            <w:tcBorders>
              <w:top w:val="single" w:sz="6" w:space="0" w:color="231F20"/>
              <w:left w:val="single" w:sz="6" w:space="0" w:color="231F20"/>
              <w:bottom w:val="single" w:sz="6" w:space="0" w:color="231F20"/>
              <w:right w:val="single" w:sz="6" w:space="0" w:color="231F20"/>
            </w:tcBorders>
            <w:shd w:val="clear" w:color="auto" w:fill="CCE7D3"/>
          </w:tcPr>
          <w:p w14:paraId="20245803" w14:textId="22CA98F2" w:rsidR="009948F1" w:rsidRDefault="00BC0563">
            <w:pPr>
              <w:pStyle w:val="TableParagraph"/>
              <w:numPr>
                <w:ilvl w:val="0"/>
                <w:numId w:val="223"/>
              </w:numPr>
              <w:tabs>
                <w:tab w:val="left" w:pos="96"/>
              </w:tabs>
              <w:spacing w:line="259" w:lineRule="auto"/>
              <w:ind w:right="203" w:firstLine="0"/>
              <w:jc w:val="both"/>
              <w:rPr>
                <w:sz w:val="12"/>
              </w:rPr>
            </w:pPr>
            <w:r>
              <w:rPr>
                <w:color w:val="231F20"/>
                <w:sz w:val="12"/>
              </w:rPr>
              <w:t>M</w:t>
            </w:r>
            <w:r>
              <w:rPr>
                <w:color w:val="231F20"/>
                <w:spacing w:val="-4"/>
                <w:sz w:val="12"/>
              </w:rPr>
              <w:t xml:space="preserve"> </w:t>
            </w:r>
            <w:r>
              <w:rPr>
                <w:color w:val="231F20"/>
                <w:sz w:val="12"/>
              </w:rPr>
              <w:t>&amp;</w:t>
            </w:r>
            <w:r>
              <w:rPr>
                <w:color w:val="231F20"/>
                <w:spacing w:val="-3"/>
                <w:sz w:val="12"/>
              </w:rPr>
              <w:t xml:space="preserve"> </w:t>
            </w:r>
            <w:r>
              <w:rPr>
                <w:color w:val="231F20"/>
                <w:sz w:val="12"/>
              </w:rPr>
              <w:t>E</w:t>
            </w:r>
            <w:r>
              <w:rPr>
                <w:color w:val="231F20"/>
                <w:spacing w:val="-4"/>
                <w:sz w:val="12"/>
              </w:rPr>
              <w:t xml:space="preserve"> </w:t>
            </w:r>
            <w:r>
              <w:rPr>
                <w:color w:val="231F20"/>
                <w:sz w:val="12"/>
              </w:rPr>
              <w:t>mechanism</w:t>
            </w:r>
            <w:r>
              <w:rPr>
                <w:color w:val="231F20"/>
                <w:spacing w:val="-3"/>
                <w:sz w:val="12"/>
              </w:rPr>
              <w:t xml:space="preserve"> </w:t>
            </w:r>
            <w:r>
              <w:rPr>
                <w:color w:val="231F20"/>
                <w:sz w:val="12"/>
              </w:rPr>
              <w:t>&amp;</w:t>
            </w:r>
            <w:r>
              <w:rPr>
                <w:color w:val="231F20"/>
                <w:spacing w:val="-4"/>
                <w:sz w:val="12"/>
              </w:rPr>
              <w:t xml:space="preserve"> </w:t>
            </w:r>
            <w:r>
              <w:rPr>
                <w:color w:val="231F20"/>
                <w:sz w:val="12"/>
              </w:rPr>
              <w:t>tools</w:t>
            </w:r>
            <w:r>
              <w:rPr>
                <w:color w:val="231F20"/>
                <w:spacing w:val="-3"/>
                <w:sz w:val="12"/>
              </w:rPr>
              <w:t xml:space="preserve"> </w:t>
            </w:r>
            <w:r>
              <w:rPr>
                <w:color w:val="231F20"/>
                <w:sz w:val="12"/>
              </w:rPr>
              <w:t>for</w:t>
            </w:r>
            <w:r>
              <w:rPr>
                <w:color w:val="231F20"/>
                <w:spacing w:val="-4"/>
                <w:sz w:val="12"/>
              </w:rPr>
              <w:t xml:space="preserve"> </w:t>
            </w:r>
            <w:r>
              <w:rPr>
                <w:color w:val="231F20"/>
                <w:sz w:val="12"/>
              </w:rPr>
              <w:t>M&amp;E</w:t>
            </w:r>
            <w:r>
              <w:rPr>
                <w:color w:val="231F20"/>
                <w:spacing w:val="-3"/>
                <w:sz w:val="12"/>
              </w:rPr>
              <w:t xml:space="preserve"> </w:t>
            </w:r>
            <w:r>
              <w:rPr>
                <w:color w:val="231F20"/>
                <w:sz w:val="12"/>
              </w:rPr>
              <w:t>and community</w:t>
            </w:r>
            <w:r>
              <w:rPr>
                <w:color w:val="231F20"/>
                <w:spacing w:val="-12"/>
                <w:sz w:val="12"/>
              </w:rPr>
              <w:t xml:space="preserve"> </w:t>
            </w:r>
            <w:r>
              <w:rPr>
                <w:color w:val="231F20"/>
                <w:sz w:val="12"/>
              </w:rPr>
              <w:t>based</w:t>
            </w:r>
            <w:r>
              <w:rPr>
                <w:color w:val="231F20"/>
                <w:spacing w:val="-11"/>
                <w:sz w:val="12"/>
              </w:rPr>
              <w:t xml:space="preserve"> </w:t>
            </w:r>
            <w:r>
              <w:rPr>
                <w:color w:val="231F20"/>
                <w:sz w:val="12"/>
              </w:rPr>
              <w:t>evaluation</w:t>
            </w:r>
            <w:r>
              <w:rPr>
                <w:color w:val="231F20"/>
                <w:spacing w:val="-12"/>
                <w:sz w:val="12"/>
              </w:rPr>
              <w:t xml:space="preserve"> </w:t>
            </w:r>
            <w:proofErr w:type="spellStart"/>
            <w:r>
              <w:rPr>
                <w:color w:val="231F20"/>
                <w:sz w:val="12"/>
              </w:rPr>
              <w:t>programme</w:t>
            </w:r>
            <w:proofErr w:type="spellEnd"/>
            <w:r>
              <w:rPr>
                <w:color w:val="231F20"/>
                <w:sz w:val="12"/>
              </w:rPr>
              <w:t xml:space="preserve"> developed and</w:t>
            </w:r>
            <w:r>
              <w:rPr>
                <w:color w:val="231F20"/>
                <w:spacing w:val="-4"/>
                <w:sz w:val="12"/>
              </w:rPr>
              <w:t xml:space="preserve"> </w:t>
            </w:r>
            <w:r w:rsidR="00DA4239">
              <w:rPr>
                <w:color w:val="231F20"/>
                <w:sz w:val="12"/>
              </w:rPr>
              <w:t>harmonized</w:t>
            </w:r>
          </w:p>
          <w:p w14:paraId="2D513246" w14:textId="77777777" w:rsidR="009948F1" w:rsidRDefault="00BC0563">
            <w:pPr>
              <w:pStyle w:val="TableParagraph"/>
              <w:spacing w:line="137" w:lineRule="exact"/>
              <w:ind w:left="20"/>
              <w:rPr>
                <w:sz w:val="12"/>
              </w:rPr>
            </w:pPr>
            <w:r>
              <w:rPr>
                <w:color w:val="231F20"/>
                <w:sz w:val="12"/>
              </w:rPr>
              <w:t>•M&amp;E Unit at LGA levels equipped and</w:t>
            </w:r>
          </w:p>
          <w:p w14:paraId="1F027056" w14:textId="77777777" w:rsidR="009948F1" w:rsidRDefault="00BC0563">
            <w:pPr>
              <w:pStyle w:val="TableParagraph"/>
              <w:spacing w:before="10" w:line="117" w:lineRule="exact"/>
              <w:ind w:left="20"/>
              <w:rPr>
                <w:sz w:val="12"/>
              </w:rPr>
            </w:pPr>
            <w:r>
              <w:rPr>
                <w:color w:val="231F20"/>
                <w:sz w:val="12"/>
              </w:rPr>
              <w:t>functional</w:t>
            </w:r>
          </w:p>
        </w:tc>
        <w:tc>
          <w:tcPr>
            <w:tcW w:w="1428" w:type="dxa"/>
            <w:tcBorders>
              <w:top w:val="single" w:sz="6" w:space="0" w:color="231F20"/>
              <w:left w:val="single" w:sz="6" w:space="0" w:color="231F20"/>
              <w:bottom w:val="single" w:sz="6" w:space="0" w:color="231F20"/>
            </w:tcBorders>
            <w:shd w:val="clear" w:color="auto" w:fill="CCE7D3"/>
          </w:tcPr>
          <w:p w14:paraId="3B9C62F7"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CCE7D3"/>
          </w:tcPr>
          <w:p w14:paraId="798D81C2" w14:textId="77777777" w:rsidR="009948F1" w:rsidRDefault="009948F1">
            <w:pPr>
              <w:pStyle w:val="TableParagraph"/>
              <w:rPr>
                <w:rFonts w:ascii="Times New Roman"/>
                <w:sz w:val="10"/>
              </w:rPr>
            </w:pPr>
          </w:p>
        </w:tc>
      </w:tr>
      <w:tr w:rsidR="009948F1" w14:paraId="60DA0026" w14:textId="77777777">
        <w:trPr>
          <w:trHeight w:val="438"/>
        </w:trPr>
        <w:tc>
          <w:tcPr>
            <w:tcW w:w="995" w:type="dxa"/>
            <w:gridSpan w:val="3"/>
            <w:vMerge w:val="restart"/>
            <w:tcBorders>
              <w:top w:val="nil"/>
              <w:left w:val="single" w:sz="6" w:space="0" w:color="231F20"/>
              <w:bottom w:val="single" w:sz="4" w:space="0" w:color="231F20"/>
              <w:right w:val="single" w:sz="6" w:space="0" w:color="231F20"/>
            </w:tcBorders>
          </w:tcPr>
          <w:p w14:paraId="5C8479C9"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6140FCC4" w14:textId="77777777" w:rsidR="009948F1" w:rsidRDefault="009948F1">
            <w:pPr>
              <w:pStyle w:val="TableParagraph"/>
              <w:spacing w:before="1"/>
              <w:rPr>
                <w:b/>
                <w:sz w:val="13"/>
              </w:rPr>
            </w:pPr>
          </w:p>
          <w:p w14:paraId="152DE8DC" w14:textId="77777777" w:rsidR="009948F1" w:rsidRDefault="00BC0563">
            <w:pPr>
              <w:pStyle w:val="TableParagraph"/>
              <w:ind w:left="58" w:right="45"/>
              <w:jc w:val="center"/>
              <w:rPr>
                <w:sz w:val="12"/>
              </w:rPr>
            </w:pPr>
            <w:r>
              <w:rPr>
                <w:color w:val="231F20"/>
                <w:sz w:val="12"/>
              </w:rPr>
              <w:t>2.2.2.a</w:t>
            </w:r>
          </w:p>
        </w:tc>
        <w:tc>
          <w:tcPr>
            <w:tcW w:w="4896" w:type="dxa"/>
            <w:gridSpan w:val="2"/>
            <w:tcBorders>
              <w:top w:val="single" w:sz="6" w:space="0" w:color="231F20"/>
              <w:left w:val="single" w:sz="6" w:space="0" w:color="231F20"/>
              <w:bottom w:val="single" w:sz="6" w:space="0" w:color="231F20"/>
              <w:right w:val="single" w:sz="6" w:space="0" w:color="231F20"/>
            </w:tcBorders>
          </w:tcPr>
          <w:p w14:paraId="1D4B0ADA" w14:textId="100ED082" w:rsidR="009948F1" w:rsidRDefault="00BC0563">
            <w:pPr>
              <w:pStyle w:val="TableParagraph"/>
              <w:spacing w:before="70" w:line="259" w:lineRule="auto"/>
              <w:ind w:left="21" w:right="44" w:firstLine="33"/>
              <w:rPr>
                <w:sz w:val="12"/>
              </w:rPr>
            </w:pPr>
            <w:r>
              <w:rPr>
                <w:color w:val="231F20"/>
                <w:sz w:val="12"/>
              </w:rPr>
              <w:t xml:space="preserve">Develop/adapt and </w:t>
            </w:r>
            <w:r w:rsidR="00DA4239">
              <w:rPr>
                <w:color w:val="231F20"/>
                <w:sz w:val="12"/>
              </w:rPr>
              <w:t>harmonize</w:t>
            </w:r>
            <w:r>
              <w:rPr>
                <w:color w:val="231F20"/>
                <w:sz w:val="12"/>
              </w:rPr>
              <w:t xml:space="preserve"> existing M &amp; E mechanism &amp; tools for M&amp;E and community based evaluation </w:t>
            </w:r>
            <w:proofErr w:type="spellStart"/>
            <w:r>
              <w:rPr>
                <w:color w:val="231F20"/>
                <w:sz w:val="12"/>
              </w:rPr>
              <w:t>programme</w:t>
            </w:r>
            <w:proofErr w:type="spellEnd"/>
          </w:p>
        </w:tc>
        <w:tc>
          <w:tcPr>
            <w:tcW w:w="1428" w:type="dxa"/>
            <w:tcBorders>
              <w:top w:val="single" w:sz="6" w:space="0" w:color="231F20"/>
              <w:left w:val="single" w:sz="6" w:space="0" w:color="231F20"/>
              <w:bottom w:val="single" w:sz="6" w:space="0" w:color="231F20"/>
            </w:tcBorders>
          </w:tcPr>
          <w:p w14:paraId="62EC193F" w14:textId="77777777" w:rsidR="009948F1" w:rsidRDefault="009948F1">
            <w:pPr>
              <w:pStyle w:val="TableParagraph"/>
              <w:spacing w:before="1"/>
              <w:rPr>
                <w:b/>
                <w:sz w:val="13"/>
              </w:rPr>
            </w:pPr>
          </w:p>
          <w:p w14:paraId="16916DBD" w14:textId="77777777" w:rsidR="009948F1" w:rsidRDefault="00BC0563">
            <w:pPr>
              <w:pStyle w:val="TableParagraph"/>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642BBC0E" w14:textId="77777777" w:rsidR="009948F1" w:rsidRDefault="009948F1">
            <w:pPr>
              <w:pStyle w:val="TableParagraph"/>
              <w:spacing w:before="1"/>
              <w:rPr>
                <w:b/>
                <w:sz w:val="13"/>
              </w:rPr>
            </w:pPr>
          </w:p>
          <w:p w14:paraId="7CDA6177" w14:textId="77777777" w:rsidR="009948F1" w:rsidRDefault="00BC0563">
            <w:pPr>
              <w:pStyle w:val="TableParagraph"/>
              <w:ind w:left="15"/>
              <w:rPr>
                <w:sz w:val="12"/>
              </w:rPr>
            </w:pPr>
            <w:r>
              <w:rPr>
                <w:color w:val="231F20"/>
                <w:sz w:val="12"/>
              </w:rPr>
              <w:t>Convene meeting</w:t>
            </w:r>
          </w:p>
        </w:tc>
      </w:tr>
      <w:tr w:rsidR="009948F1" w14:paraId="0627E06F" w14:textId="77777777">
        <w:trPr>
          <w:trHeight w:val="273"/>
        </w:trPr>
        <w:tc>
          <w:tcPr>
            <w:tcW w:w="995" w:type="dxa"/>
            <w:gridSpan w:val="3"/>
            <w:vMerge/>
            <w:tcBorders>
              <w:top w:val="nil"/>
              <w:left w:val="single" w:sz="6" w:space="0" w:color="231F20"/>
              <w:bottom w:val="single" w:sz="4" w:space="0" w:color="231F20"/>
              <w:right w:val="single" w:sz="6" w:space="0" w:color="231F20"/>
            </w:tcBorders>
          </w:tcPr>
          <w:p w14:paraId="26449DA1" w14:textId="77777777" w:rsidR="009948F1" w:rsidRDefault="009948F1">
            <w:pPr>
              <w:rPr>
                <w:sz w:val="2"/>
                <w:szCs w:val="2"/>
              </w:rPr>
            </w:pPr>
          </w:p>
        </w:tc>
        <w:tc>
          <w:tcPr>
            <w:tcW w:w="526" w:type="dxa"/>
            <w:tcBorders>
              <w:top w:val="single" w:sz="6" w:space="0" w:color="231F20"/>
              <w:left w:val="single" w:sz="6" w:space="0" w:color="231F20"/>
              <w:bottom w:val="single" w:sz="4" w:space="0" w:color="231F20"/>
              <w:right w:val="single" w:sz="6" w:space="0" w:color="231F20"/>
            </w:tcBorders>
          </w:tcPr>
          <w:p w14:paraId="315FEB94" w14:textId="77777777" w:rsidR="009948F1" w:rsidRDefault="00BC0563">
            <w:pPr>
              <w:pStyle w:val="TableParagraph"/>
              <w:spacing w:before="68"/>
              <w:ind w:left="58" w:right="45"/>
              <w:jc w:val="center"/>
              <w:rPr>
                <w:sz w:val="12"/>
              </w:rPr>
            </w:pPr>
            <w:r>
              <w:rPr>
                <w:color w:val="231F20"/>
                <w:sz w:val="12"/>
              </w:rPr>
              <w:t>2.2.2.b</w:t>
            </w:r>
          </w:p>
        </w:tc>
        <w:tc>
          <w:tcPr>
            <w:tcW w:w="4896" w:type="dxa"/>
            <w:gridSpan w:val="2"/>
            <w:tcBorders>
              <w:top w:val="single" w:sz="6" w:space="0" w:color="231F20"/>
              <w:left w:val="single" w:sz="6" w:space="0" w:color="231F20"/>
              <w:bottom w:val="single" w:sz="4" w:space="0" w:color="231F20"/>
              <w:right w:val="single" w:sz="6" w:space="0" w:color="231F20"/>
            </w:tcBorders>
          </w:tcPr>
          <w:p w14:paraId="47DD482F" w14:textId="77777777" w:rsidR="009948F1" w:rsidRDefault="00BC0563">
            <w:pPr>
              <w:pStyle w:val="TableParagraph"/>
              <w:spacing w:line="136" w:lineRule="exact"/>
              <w:ind w:left="21"/>
              <w:rPr>
                <w:sz w:val="12"/>
              </w:rPr>
            </w:pPr>
            <w:r>
              <w:rPr>
                <w:color w:val="231F20"/>
                <w:sz w:val="12"/>
              </w:rPr>
              <w:t>Operating cost for engaging and supervising the contractor to provide equipment to</w:t>
            </w:r>
          </w:p>
          <w:p w14:paraId="0F270E7D" w14:textId="121AE5E2" w:rsidR="009948F1" w:rsidRDefault="00C84576">
            <w:pPr>
              <w:pStyle w:val="TableParagraph"/>
              <w:spacing w:before="10" w:line="107" w:lineRule="exact"/>
              <w:ind w:left="21"/>
              <w:rPr>
                <w:sz w:val="12"/>
              </w:rPr>
            </w:pPr>
            <w:r>
              <w:rPr>
                <w:color w:val="231F20"/>
                <w:sz w:val="12"/>
              </w:rPr>
              <w:t>strengthen</w:t>
            </w:r>
            <w:r w:rsidR="00BC0563">
              <w:rPr>
                <w:color w:val="231F20"/>
                <w:sz w:val="12"/>
              </w:rPr>
              <w:t xml:space="preserve"> M&amp;E Unit at LGA levels and enhance data collection, analysis &amp; dissemination.</w:t>
            </w:r>
          </w:p>
        </w:tc>
        <w:tc>
          <w:tcPr>
            <w:tcW w:w="1428" w:type="dxa"/>
            <w:tcBorders>
              <w:top w:val="single" w:sz="6" w:space="0" w:color="231F20"/>
              <w:left w:val="single" w:sz="6" w:space="0" w:color="231F20"/>
              <w:bottom w:val="single" w:sz="4" w:space="0" w:color="231F20"/>
            </w:tcBorders>
          </w:tcPr>
          <w:p w14:paraId="68639BF6" w14:textId="77777777" w:rsidR="009948F1" w:rsidRDefault="00BC0563">
            <w:pPr>
              <w:pStyle w:val="TableParagraph"/>
              <w:spacing w:before="68"/>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5063224E" w14:textId="77777777" w:rsidR="009948F1" w:rsidRDefault="00BC0563">
            <w:pPr>
              <w:pStyle w:val="TableParagraph"/>
              <w:spacing w:before="68"/>
              <w:ind w:left="15"/>
              <w:rPr>
                <w:sz w:val="12"/>
              </w:rPr>
            </w:pPr>
            <w:r>
              <w:rPr>
                <w:color w:val="231F20"/>
                <w:sz w:val="12"/>
              </w:rPr>
              <w:t>Costed in 1.3.3a</w:t>
            </w:r>
          </w:p>
        </w:tc>
      </w:tr>
      <w:tr w:rsidR="009948F1" w14:paraId="336E3EAC" w14:textId="77777777">
        <w:trPr>
          <w:trHeight w:val="159"/>
        </w:trPr>
        <w:tc>
          <w:tcPr>
            <w:tcW w:w="9350" w:type="dxa"/>
            <w:gridSpan w:val="8"/>
            <w:tcBorders>
              <w:top w:val="nil"/>
              <w:left w:val="single" w:sz="6" w:space="0" w:color="231F20"/>
              <w:bottom w:val="single" w:sz="4" w:space="0" w:color="231F20"/>
              <w:right w:val="single" w:sz="6" w:space="0" w:color="231F20"/>
            </w:tcBorders>
            <w:shd w:val="clear" w:color="auto" w:fill="A6CE39"/>
          </w:tcPr>
          <w:p w14:paraId="42D9AA7C" w14:textId="77777777" w:rsidR="009948F1" w:rsidRDefault="00BC0563">
            <w:pPr>
              <w:pStyle w:val="TableParagraph"/>
              <w:spacing w:before="2" w:line="137" w:lineRule="exact"/>
              <w:ind w:left="3816" w:right="3813"/>
              <w:jc w:val="center"/>
              <w:rPr>
                <w:b/>
                <w:sz w:val="14"/>
              </w:rPr>
            </w:pPr>
            <w:r>
              <w:rPr>
                <w:b/>
                <w:color w:val="231F20"/>
                <w:sz w:val="14"/>
              </w:rPr>
              <w:t>3.Partnerships for Health</w:t>
            </w:r>
          </w:p>
        </w:tc>
      </w:tr>
      <w:tr w:rsidR="009948F1" w14:paraId="3C69A1FD" w14:textId="77777777">
        <w:trPr>
          <w:trHeight w:val="159"/>
        </w:trPr>
        <w:tc>
          <w:tcPr>
            <w:tcW w:w="9350" w:type="dxa"/>
            <w:gridSpan w:val="8"/>
            <w:tcBorders>
              <w:top w:val="single" w:sz="4" w:space="0" w:color="231F20"/>
              <w:left w:val="single" w:sz="6" w:space="0" w:color="231F20"/>
              <w:bottom w:val="nil"/>
              <w:right w:val="single" w:sz="6" w:space="0" w:color="231F20"/>
            </w:tcBorders>
            <w:shd w:val="clear" w:color="auto" w:fill="F6ADCD"/>
          </w:tcPr>
          <w:p w14:paraId="27672E58" w14:textId="77777777" w:rsidR="009948F1" w:rsidRDefault="00BC0563">
            <w:pPr>
              <w:pStyle w:val="TableParagraph"/>
              <w:spacing w:before="9" w:line="130" w:lineRule="exact"/>
              <w:ind w:left="1619"/>
              <w:rPr>
                <w:b/>
                <w:sz w:val="12"/>
              </w:rPr>
            </w:pPr>
            <w:r>
              <w:rPr>
                <w:b/>
                <w:color w:val="231F20"/>
                <w:sz w:val="12"/>
              </w:rPr>
              <w:t>3. Enhance harmonized implementation of essential health services in line with national health policy goals.</w:t>
            </w:r>
          </w:p>
        </w:tc>
      </w:tr>
      <w:tr w:rsidR="009948F1" w14:paraId="4CEEF2FE" w14:textId="77777777">
        <w:trPr>
          <w:trHeight w:val="375"/>
        </w:trPr>
        <w:tc>
          <w:tcPr>
            <w:tcW w:w="134" w:type="dxa"/>
            <w:tcBorders>
              <w:top w:val="single" w:sz="4" w:space="0" w:color="231F20"/>
              <w:left w:val="single" w:sz="6" w:space="0" w:color="231F20"/>
              <w:bottom w:val="nil"/>
              <w:right w:val="single" w:sz="6" w:space="0" w:color="231F20"/>
            </w:tcBorders>
          </w:tcPr>
          <w:p w14:paraId="3B782D58" w14:textId="77777777" w:rsidR="009948F1" w:rsidRDefault="009948F1">
            <w:pPr>
              <w:pStyle w:val="TableParagraph"/>
              <w:rPr>
                <w:rFonts w:ascii="Times New Roman"/>
                <w:sz w:val="10"/>
              </w:rPr>
            </w:pPr>
          </w:p>
        </w:tc>
        <w:tc>
          <w:tcPr>
            <w:tcW w:w="406" w:type="dxa"/>
            <w:tcBorders>
              <w:top w:val="single" w:sz="4" w:space="0" w:color="231F20"/>
              <w:left w:val="single" w:sz="6" w:space="0" w:color="231F20"/>
              <w:bottom w:val="single" w:sz="6" w:space="0" w:color="231F20"/>
              <w:right w:val="single" w:sz="6" w:space="0" w:color="231F20"/>
            </w:tcBorders>
            <w:shd w:val="clear" w:color="auto" w:fill="FFF200"/>
          </w:tcPr>
          <w:p w14:paraId="0C7058EC" w14:textId="77777777" w:rsidR="009948F1" w:rsidRDefault="009948F1">
            <w:pPr>
              <w:pStyle w:val="TableParagraph"/>
              <w:spacing w:before="5"/>
              <w:rPr>
                <w:b/>
                <w:sz w:val="10"/>
              </w:rPr>
            </w:pPr>
          </w:p>
          <w:p w14:paraId="4D1001F1" w14:textId="77777777" w:rsidR="009948F1" w:rsidRDefault="00BC0563">
            <w:pPr>
              <w:pStyle w:val="TableParagraph"/>
              <w:ind w:right="37"/>
              <w:jc w:val="right"/>
              <w:rPr>
                <w:b/>
                <w:sz w:val="12"/>
              </w:rPr>
            </w:pPr>
            <w:r>
              <w:rPr>
                <w:b/>
                <w:color w:val="231F20"/>
                <w:sz w:val="12"/>
              </w:rPr>
              <w:t>3.1</w:t>
            </w:r>
          </w:p>
        </w:tc>
        <w:tc>
          <w:tcPr>
            <w:tcW w:w="5877" w:type="dxa"/>
            <w:gridSpan w:val="4"/>
            <w:tcBorders>
              <w:top w:val="single" w:sz="4" w:space="0" w:color="231F20"/>
              <w:left w:val="single" w:sz="6" w:space="0" w:color="231F20"/>
              <w:bottom w:val="single" w:sz="6" w:space="0" w:color="231F20"/>
            </w:tcBorders>
            <w:shd w:val="clear" w:color="auto" w:fill="FFF200"/>
          </w:tcPr>
          <w:p w14:paraId="7A275AD5" w14:textId="77777777" w:rsidR="009948F1" w:rsidRDefault="00BC0563">
            <w:pPr>
              <w:pStyle w:val="TableParagraph"/>
              <w:spacing w:before="39" w:line="264" w:lineRule="auto"/>
              <w:ind w:left="21" w:right="117" w:firstLine="33"/>
              <w:rPr>
                <w:b/>
                <w:sz w:val="12"/>
              </w:rPr>
            </w:pPr>
            <w:r>
              <w:rPr>
                <w:b/>
                <w:color w:val="231F20"/>
                <w:sz w:val="12"/>
              </w:rPr>
              <w:t>Ensure that collaborative mechanisms are put in place for involving all partners in the development and sustenance of the health sector</w:t>
            </w:r>
          </w:p>
        </w:tc>
        <w:tc>
          <w:tcPr>
            <w:tcW w:w="1428" w:type="dxa"/>
            <w:tcBorders>
              <w:top w:val="single" w:sz="6" w:space="0" w:color="231F20"/>
              <w:bottom w:val="single" w:sz="6" w:space="0" w:color="231F20"/>
            </w:tcBorders>
            <w:shd w:val="clear" w:color="auto" w:fill="FFF200"/>
          </w:tcPr>
          <w:p w14:paraId="52D486E1"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FFF200"/>
          </w:tcPr>
          <w:p w14:paraId="3E4735FD" w14:textId="77777777" w:rsidR="009948F1" w:rsidRDefault="009948F1">
            <w:pPr>
              <w:pStyle w:val="TableParagraph"/>
              <w:rPr>
                <w:rFonts w:ascii="Times New Roman"/>
                <w:sz w:val="10"/>
              </w:rPr>
            </w:pPr>
          </w:p>
        </w:tc>
      </w:tr>
      <w:tr w:rsidR="009948F1" w14:paraId="26ED157B" w14:textId="77777777">
        <w:trPr>
          <w:trHeight w:val="1023"/>
        </w:trPr>
        <w:tc>
          <w:tcPr>
            <w:tcW w:w="540" w:type="dxa"/>
            <w:gridSpan w:val="2"/>
            <w:tcBorders>
              <w:top w:val="nil"/>
              <w:left w:val="single" w:sz="6" w:space="0" w:color="231F20"/>
              <w:bottom w:val="nil"/>
              <w:right w:val="single" w:sz="6" w:space="0" w:color="231F20"/>
            </w:tcBorders>
          </w:tcPr>
          <w:p w14:paraId="05ECCA13"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6810FF89" w14:textId="77777777" w:rsidR="009948F1" w:rsidRDefault="009948F1">
            <w:pPr>
              <w:pStyle w:val="TableParagraph"/>
              <w:rPr>
                <w:b/>
                <w:sz w:val="12"/>
              </w:rPr>
            </w:pPr>
          </w:p>
          <w:p w14:paraId="6F28134B" w14:textId="77777777" w:rsidR="009948F1" w:rsidRDefault="009948F1">
            <w:pPr>
              <w:pStyle w:val="TableParagraph"/>
              <w:rPr>
                <w:b/>
                <w:sz w:val="12"/>
              </w:rPr>
            </w:pPr>
          </w:p>
          <w:p w14:paraId="6F790CFE" w14:textId="77777777" w:rsidR="009948F1" w:rsidRDefault="009948F1">
            <w:pPr>
              <w:pStyle w:val="TableParagraph"/>
              <w:spacing w:before="6"/>
              <w:rPr>
                <w:b/>
                <w:sz w:val="14"/>
              </w:rPr>
            </w:pPr>
          </w:p>
          <w:p w14:paraId="11F46A15" w14:textId="77777777" w:rsidR="009948F1" w:rsidRDefault="00BC0563">
            <w:pPr>
              <w:pStyle w:val="TableParagraph"/>
              <w:ind w:left="54"/>
              <w:rPr>
                <w:sz w:val="12"/>
              </w:rPr>
            </w:pPr>
            <w:r>
              <w:rPr>
                <w:color w:val="231F20"/>
                <w:sz w:val="12"/>
              </w:rPr>
              <w:t>3.1.1</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68965A34" w14:textId="77777777" w:rsidR="009948F1" w:rsidRDefault="009948F1">
            <w:pPr>
              <w:pStyle w:val="TableParagraph"/>
              <w:rPr>
                <w:b/>
                <w:sz w:val="12"/>
              </w:rPr>
            </w:pPr>
          </w:p>
          <w:p w14:paraId="6B0F6E08" w14:textId="77777777" w:rsidR="009948F1" w:rsidRDefault="009948F1">
            <w:pPr>
              <w:pStyle w:val="TableParagraph"/>
              <w:rPr>
                <w:b/>
                <w:sz w:val="12"/>
              </w:rPr>
            </w:pPr>
          </w:p>
          <w:p w14:paraId="49FD0D63" w14:textId="77777777" w:rsidR="009948F1" w:rsidRDefault="00BC0563">
            <w:pPr>
              <w:pStyle w:val="TableParagraph"/>
              <w:spacing w:before="87" w:line="259" w:lineRule="auto"/>
              <w:ind w:left="21" w:right="12" w:firstLine="33"/>
              <w:rPr>
                <w:sz w:val="12"/>
              </w:rPr>
            </w:pPr>
            <w:r>
              <w:rPr>
                <w:color w:val="231F20"/>
                <w:sz w:val="12"/>
              </w:rPr>
              <w:t>Promote the adoption and utilization of national policies and guidelines on PPP</w:t>
            </w:r>
          </w:p>
        </w:tc>
        <w:tc>
          <w:tcPr>
            <w:tcW w:w="2385" w:type="dxa"/>
            <w:tcBorders>
              <w:top w:val="single" w:sz="6" w:space="0" w:color="231F20"/>
              <w:left w:val="single" w:sz="6" w:space="0" w:color="231F20"/>
              <w:bottom w:val="single" w:sz="6" w:space="0" w:color="231F20"/>
              <w:right w:val="single" w:sz="6" w:space="0" w:color="231F20"/>
            </w:tcBorders>
            <w:shd w:val="clear" w:color="auto" w:fill="CCE7D3"/>
          </w:tcPr>
          <w:p w14:paraId="0BF758C6" w14:textId="77777777" w:rsidR="009948F1" w:rsidRDefault="00BC0563">
            <w:pPr>
              <w:pStyle w:val="TableParagraph"/>
              <w:numPr>
                <w:ilvl w:val="0"/>
                <w:numId w:val="222"/>
              </w:numPr>
              <w:tabs>
                <w:tab w:val="left" w:pos="96"/>
              </w:tabs>
              <w:spacing w:before="71" w:line="259" w:lineRule="auto"/>
              <w:ind w:right="135" w:firstLine="0"/>
              <w:rPr>
                <w:sz w:val="12"/>
              </w:rPr>
            </w:pPr>
            <w:r>
              <w:rPr>
                <w:color w:val="231F20"/>
                <w:sz w:val="12"/>
              </w:rPr>
              <w:t xml:space="preserve">Health Partners Coordination </w:t>
            </w:r>
            <w:r>
              <w:rPr>
                <w:color w:val="231F20"/>
                <w:spacing w:val="-3"/>
                <w:sz w:val="12"/>
              </w:rPr>
              <w:t xml:space="preserve">Committee </w:t>
            </w:r>
            <w:r>
              <w:rPr>
                <w:color w:val="231F20"/>
                <w:sz w:val="12"/>
              </w:rPr>
              <w:t>established and National PPP policy domesticated</w:t>
            </w:r>
          </w:p>
          <w:p w14:paraId="2B15542F" w14:textId="77777777" w:rsidR="009948F1" w:rsidRDefault="00BC0563">
            <w:pPr>
              <w:pStyle w:val="TableParagraph"/>
              <w:numPr>
                <w:ilvl w:val="0"/>
                <w:numId w:val="222"/>
              </w:numPr>
              <w:tabs>
                <w:tab w:val="left" w:pos="96"/>
              </w:tabs>
              <w:spacing w:line="137" w:lineRule="exact"/>
              <w:ind w:left="95" w:hanging="76"/>
              <w:rPr>
                <w:sz w:val="12"/>
              </w:rPr>
            </w:pPr>
            <w:r>
              <w:rPr>
                <w:color w:val="231F20"/>
                <w:sz w:val="12"/>
              </w:rPr>
              <w:t>PPP quarterly meetings</w:t>
            </w:r>
            <w:r>
              <w:rPr>
                <w:color w:val="231F20"/>
                <w:spacing w:val="-7"/>
                <w:sz w:val="12"/>
              </w:rPr>
              <w:t xml:space="preserve"> </w:t>
            </w:r>
            <w:r>
              <w:rPr>
                <w:color w:val="231F20"/>
                <w:sz w:val="12"/>
              </w:rPr>
              <w:t>held</w:t>
            </w:r>
          </w:p>
          <w:p w14:paraId="6C4B6803" w14:textId="77777777" w:rsidR="009948F1" w:rsidRDefault="00BC0563">
            <w:pPr>
              <w:pStyle w:val="TableParagraph"/>
              <w:numPr>
                <w:ilvl w:val="0"/>
                <w:numId w:val="222"/>
              </w:numPr>
              <w:tabs>
                <w:tab w:val="left" w:pos="89"/>
              </w:tabs>
              <w:spacing w:before="10" w:line="259" w:lineRule="auto"/>
              <w:ind w:right="124" w:firstLine="0"/>
              <w:rPr>
                <w:sz w:val="12"/>
              </w:rPr>
            </w:pPr>
            <w:r>
              <w:rPr>
                <w:color w:val="231F20"/>
                <w:sz w:val="12"/>
              </w:rPr>
              <w:t>At</w:t>
            </w:r>
            <w:r>
              <w:rPr>
                <w:color w:val="231F20"/>
                <w:spacing w:val="-4"/>
                <w:sz w:val="12"/>
              </w:rPr>
              <w:t xml:space="preserve"> </w:t>
            </w:r>
            <w:r>
              <w:rPr>
                <w:color w:val="231F20"/>
                <w:sz w:val="12"/>
              </w:rPr>
              <w:t>least</w:t>
            </w:r>
            <w:r>
              <w:rPr>
                <w:color w:val="231F20"/>
                <w:spacing w:val="-3"/>
                <w:sz w:val="12"/>
              </w:rPr>
              <w:t xml:space="preserve"> </w:t>
            </w:r>
            <w:r>
              <w:rPr>
                <w:color w:val="231F20"/>
                <w:sz w:val="12"/>
              </w:rPr>
              <w:t>6</w:t>
            </w:r>
            <w:r>
              <w:rPr>
                <w:color w:val="231F20"/>
                <w:spacing w:val="-4"/>
                <w:sz w:val="12"/>
              </w:rPr>
              <w:t xml:space="preserve"> </w:t>
            </w:r>
            <w:r>
              <w:rPr>
                <w:color w:val="231F20"/>
                <w:sz w:val="12"/>
              </w:rPr>
              <w:t>slots</w:t>
            </w:r>
            <w:r>
              <w:rPr>
                <w:color w:val="231F20"/>
                <w:spacing w:val="-3"/>
                <w:sz w:val="12"/>
              </w:rPr>
              <w:t xml:space="preserve"> </w:t>
            </w:r>
            <w:r>
              <w:rPr>
                <w:color w:val="231F20"/>
                <w:sz w:val="12"/>
              </w:rPr>
              <w:t>of</w:t>
            </w:r>
            <w:r>
              <w:rPr>
                <w:color w:val="231F20"/>
                <w:spacing w:val="-4"/>
                <w:sz w:val="12"/>
              </w:rPr>
              <w:t xml:space="preserve"> </w:t>
            </w:r>
            <w:r>
              <w:rPr>
                <w:color w:val="231F20"/>
                <w:sz w:val="12"/>
              </w:rPr>
              <w:t>jingles,</w:t>
            </w:r>
            <w:r>
              <w:rPr>
                <w:color w:val="231F20"/>
                <w:spacing w:val="-5"/>
                <w:sz w:val="12"/>
              </w:rPr>
              <w:t xml:space="preserve"> </w:t>
            </w:r>
            <w:r>
              <w:rPr>
                <w:color w:val="231F20"/>
                <w:sz w:val="12"/>
              </w:rPr>
              <w:t>TV</w:t>
            </w:r>
            <w:r>
              <w:rPr>
                <w:color w:val="231F20"/>
                <w:spacing w:val="-3"/>
                <w:sz w:val="12"/>
              </w:rPr>
              <w:t xml:space="preserve"> </w:t>
            </w:r>
            <w:r>
              <w:rPr>
                <w:color w:val="231F20"/>
                <w:sz w:val="12"/>
              </w:rPr>
              <w:t>broadcast</w:t>
            </w:r>
            <w:r>
              <w:rPr>
                <w:color w:val="231F20"/>
                <w:spacing w:val="-4"/>
                <w:sz w:val="12"/>
              </w:rPr>
              <w:t xml:space="preserve"> </w:t>
            </w:r>
            <w:r>
              <w:rPr>
                <w:color w:val="231F20"/>
                <w:spacing w:val="-12"/>
                <w:sz w:val="12"/>
              </w:rPr>
              <w:t xml:space="preserve">&amp; </w:t>
            </w:r>
            <w:r>
              <w:rPr>
                <w:color w:val="231F20"/>
                <w:sz w:val="12"/>
              </w:rPr>
              <w:t xml:space="preserve">phone in </w:t>
            </w:r>
            <w:proofErr w:type="spellStart"/>
            <w:r>
              <w:rPr>
                <w:color w:val="231F20"/>
                <w:sz w:val="12"/>
              </w:rPr>
              <w:t>programmes</w:t>
            </w:r>
            <w:proofErr w:type="spellEnd"/>
            <w:r>
              <w:rPr>
                <w:color w:val="231F20"/>
                <w:sz w:val="12"/>
              </w:rPr>
              <w:t xml:space="preserve"> carried out</w:t>
            </w:r>
            <w:r>
              <w:rPr>
                <w:color w:val="231F20"/>
                <w:spacing w:val="-17"/>
                <w:sz w:val="12"/>
              </w:rPr>
              <w:t xml:space="preserve"> </w:t>
            </w:r>
            <w:r>
              <w:rPr>
                <w:color w:val="231F20"/>
                <w:spacing w:val="-3"/>
                <w:sz w:val="12"/>
              </w:rPr>
              <w:t>annually</w:t>
            </w:r>
          </w:p>
        </w:tc>
        <w:tc>
          <w:tcPr>
            <w:tcW w:w="1428" w:type="dxa"/>
            <w:tcBorders>
              <w:top w:val="single" w:sz="6" w:space="0" w:color="231F20"/>
              <w:left w:val="single" w:sz="6" w:space="0" w:color="231F20"/>
              <w:bottom w:val="single" w:sz="6" w:space="0" w:color="231F20"/>
              <w:right w:val="single" w:sz="6" w:space="0" w:color="231F20"/>
            </w:tcBorders>
            <w:shd w:val="clear" w:color="auto" w:fill="CCE7D3"/>
          </w:tcPr>
          <w:p w14:paraId="23E22C3C" w14:textId="77777777" w:rsidR="009948F1" w:rsidRDefault="009948F1">
            <w:pPr>
              <w:pStyle w:val="TableParagraph"/>
              <w:rPr>
                <w:rFonts w:ascii="Times New Roman"/>
                <w:sz w:val="10"/>
              </w:rPr>
            </w:pPr>
          </w:p>
        </w:tc>
        <w:tc>
          <w:tcPr>
            <w:tcW w:w="1505" w:type="dxa"/>
            <w:tcBorders>
              <w:top w:val="single" w:sz="6" w:space="0" w:color="231F20"/>
              <w:left w:val="single" w:sz="6" w:space="0" w:color="231F20"/>
              <w:bottom w:val="single" w:sz="6" w:space="0" w:color="231F20"/>
              <w:right w:val="single" w:sz="6" w:space="0" w:color="231F20"/>
            </w:tcBorders>
            <w:shd w:val="clear" w:color="auto" w:fill="CCE7D3"/>
          </w:tcPr>
          <w:p w14:paraId="36C7B810" w14:textId="77777777" w:rsidR="009948F1" w:rsidRDefault="009948F1">
            <w:pPr>
              <w:pStyle w:val="TableParagraph"/>
              <w:rPr>
                <w:rFonts w:ascii="Times New Roman"/>
                <w:sz w:val="10"/>
              </w:rPr>
            </w:pPr>
          </w:p>
        </w:tc>
      </w:tr>
      <w:tr w:rsidR="009948F1" w14:paraId="634D4586" w14:textId="77777777">
        <w:trPr>
          <w:trHeight w:val="518"/>
        </w:trPr>
        <w:tc>
          <w:tcPr>
            <w:tcW w:w="995" w:type="dxa"/>
            <w:gridSpan w:val="3"/>
            <w:vMerge w:val="restart"/>
            <w:tcBorders>
              <w:top w:val="nil"/>
              <w:left w:val="single" w:sz="6" w:space="0" w:color="231F20"/>
              <w:bottom w:val="nil"/>
              <w:right w:val="single" w:sz="6" w:space="0" w:color="231F20"/>
            </w:tcBorders>
          </w:tcPr>
          <w:p w14:paraId="705DD716"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5B116B2A" w14:textId="77777777" w:rsidR="009948F1" w:rsidRDefault="009948F1">
            <w:pPr>
              <w:pStyle w:val="TableParagraph"/>
              <w:spacing w:before="6"/>
              <w:rPr>
                <w:b/>
                <w:sz w:val="16"/>
              </w:rPr>
            </w:pPr>
          </w:p>
          <w:p w14:paraId="464913FB" w14:textId="77777777" w:rsidR="009948F1" w:rsidRDefault="00BC0563">
            <w:pPr>
              <w:pStyle w:val="TableParagraph"/>
              <w:ind w:left="58" w:right="45"/>
              <w:jc w:val="center"/>
              <w:rPr>
                <w:sz w:val="12"/>
              </w:rPr>
            </w:pPr>
            <w:r>
              <w:rPr>
                <w:color w:val="231F20"/>
                <w:sz w:val="12"/>
              </w:rPr>
              <w:t>3.1.1.a</w:t>
            </w:r>
          </w:p>
        </w:tc>
        <w:tc>
          <w:tcPr>
            <w:tcW w:w="4896" w:type="dxa"/>
            <w:gridSpan w:val="2"/>
            <w:tcBorders>
              <w:top w:val="single" w:sz="6" w:space="0" w:color="231F20"/>
              <w:left w:val="single" w:sz="6" w:space="0" w:color="231F20"/>
              <w:bottom w:val="single" w:sz="6" w:space="0" w:color="231F20"/>
              <w:right w:val="single" w:sz="6" w:space="0" w:color="231F20"/>
            </w:tcBorders>
          </w:tcPr>
          <w:p w14:paraId="7C906955" w14:textId="77777777" w:rsidR="009948F1" w:rsidRDefault="009948F1">
            <w:pPr>
              <w:pStyle w:val="TableParagraph"/>
              <w:spacing w:before="1"/>
              <w:rPr>
                <w:b/>
                <w:sz w:val="16"/>
              </w:rPr>
            </w:pPr>
          </w:p>
          <w:p w14:paraId="4B25EA53" w14:textId="77777777" w:rsidR="009948F1" w:rsidRDefault="00BC0563">
            <w:pPr>
              <w:pStyle w:val="TableParagraph"/>
              <w:ind w:left="21"/>
              <w:rPr>
                <w:sz w:val="12"/>
              </w:rPr>
            </w:pPr>
            <w:r>
              <w:rPr>
                <w:color w:val="231F20"/>
                <w:sz w:val="12"/>
              </w:rPr>
              <w:t>Domesticate the national PPP policy</w:t>
            </w:r>
          </w:p>
        </w:tc>
        <w:tc>
          <w:tcPr>
            <w:tcW w:w="1428" w:type="dxa"/>
            <w:tcBorders>
              <w:top w:val="single" w:sz="6" w:space="0" w:color="231F20"/>
              <w:left w:val="single" w:sz="6" w:space="0" w:color="231F20"/>
              <w:bottom w:val="single" w:sz="6" w:space="0" w:color="231F20"/>
            </w:tcBorders>
          </w:tcPr>
          <w:p w14:paraId="089B4327" w14:textId="77777777" w:rsidR="009948F1" w:rsidRDefault="009948F1">
            <w:pPr>
              <w:pStyle w:val="TableParagraph"/>
              <w:spacing w:before="6"/>
              <w:rPr>
                <w:b/>
                <w:sz w:val="16"/>
              </w:rPr>
            </w:pPr>
          </w:p>
          <w:p w14:paraId="476BF035" w14:textId="77777777" w:rsidR="009948F1" w:rsidRDefault="00BC0563">
            <w:pPr>
              <w:pStyle w:val="TableParagraph"/>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12EAEE35" w14:textId="77777777" w:rsidR="009948F1" w:rsidRDefault="009948F1">
            <w:pPr>
              <w:pStyle w:val="TableParagraph"/>
              <w:spacing w:before="6"/>
              <w:rPr>
                <w:b/>
                <w:sz w:val="16"/>
              </w:rPr>
            </w:pPr>
          </w:p>
          <w:p w14:paraId="59C12FA2" w14:textId="77777777" w:rsidR="009948F1" w:rsidRDefault="00BC0563">
            <w:pPr>
              <w:pStyle w:val="TableParagraph"/>
              <w:ind w:left="15"/>
              <w:rPr>
                <w:sz w:val="12"/>
              </w:rPr>
            </w:pPr>
            <w:r>
              <w:rPr>
                <w:color w:val="231F20"/>
                <w:sz w:val="12"/>
              </w:rPr>
              <w:t>Domesticate PPP Policy</w:t>
            </w:r>
          </w:p>
        </w:tc>
      </w:tr>
      <w:tr w:rsidR="009948F1" w14:paraId="65C014AD" w14:textId="77777777">
        <w:trPr>
          <w:trHeight w:val="525"/>
        </w:trPr>
        <w:tc>
          <w:tcPr>
            <w:tcW w:w="995" w:type="dxa"/>
            <w:gridSpan w:val="3"/>
            <w:vMerge/>
            <w:tcBorders>
              <w:top w:val="nil"/>
              <w:left w:val="single" w:sz="6" w:space="0" w:color="231F20"/>
              <w:bottom w:val="nil"/>
              <w:right w:val="single" w:sz="6" w:space="0" w:color="231F20"/>
            </w:tcBorders>
          </w:tcPr>
          <w:p w14:paraId="26710032"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582141D3" w14:textId="77777777" w:rsidR="009948F1" w:rsidRDefault="009948F1">
            <w:pPr>
              <w:pStyle w:val="TableParagraph"/>
              <w:spacing w:before="10"/>
              <w:rPr>
                <w:b/>
                <w:sz w:val="16"/>
              </w:rPr>
            </w:pPr>
          </w:p>
          <w:p w14:paraId="0EE71652" w14:textId="77777777" w:rsidR="009948F1" w:rsidRDefault="00BC0563">
            <w:pPr>
              <w:pStyle w:val="TableParagraph"/>
              <w:ind w:left="58" w:right="45"/>
              <w:jc w:val="center"/>
              <w:rPr>
                <w:sz w:val="12"/>
              </w:rPr>
            </w:pPr>
            <w:r>
              <w:rPr>
                <w:color w:val="231F20"/>
                <w:sz w:val="12"/>
              </w:rPr>
              <w:t>3.1.1.b</w:t>
            </w:r>
          </w:p>
        </w:tc>
        <w:tc>
          <w:tcPr>
            <w:tcW w:w="4896" w:type="dxa"/>
            <w:gridSpan w:val="2"/>
            <w:tcBorders>
              <w:top w:val="single" w:sz="6" w:space="0" w:color="231F20"/>
              <w:left w:val="single" w:sz="6" w:space="0" w:color="231F20"/>
              <w:bottom w:val="single" w:sz="6" w:space="0" w:color="231F20"/>
            </w:tcBorders>
          </w:tcPr>
          <w:p w14:paraId="524FF306" w14:textId="77777777" w:rsidR="009948F1" w:rsidRDefault="009948F1">
            <w:pPr>
              <w:pStyle w:val="TableParagraph"/>
              <w:spacing w:before="10"/>
              <w:rPr>
                <w:b/>
                <w:sz w:val="9"/>
              </w:rPr>
            </w:pPr>
          </w:p>
          <w:p w14:paraId="602AFF99" w14:textId="77777777" w:rsidR="009948F1" w:rsidRDefault="00BC0563">
            <w:pPr>
              <w:pStyle w:val="TableParagraph"/>
              <w:spacing w:before="1" w:line="259" w:lineRule="auto"/>
              <w:ind w:left="21" w:right="75"/>
              <w:rPr>
                <w:sz w:val="12"/>
              </w:rPr>
            </w:pPr>
            <w:r>
              <w:rPr>
                <w:color w:val="231F20"/>
                <w:sz w:val="12"/>
              </w:rPr>
              <w:t>Establish/empower Health Partners Coordination Committee (HPCC) to promote, oversee and monitor PPP initiative in the state</w:t>
            </w:r>
          </w:p>
        </w:tc>
        <w:tc>
          <w:tcPr>
            <w:tcW w:w="1428" w:type="dxa"/>
            <w:tcBorders>
              <w:top w:val="single" w:sz="6" w:space="0" w:color="231F20"/>
              <w:bottom w:val="single" w:sz="6" w:space="0" w:color="231F20"/>
            </w:tcBorders>
          </w:tcPr>
          <w:p w14:paraId="6C9C894A" w14:textId="77777777" w:rsidR="009948F1" w:rsidRDefault="009948F1">
            <w:pPr>
              <w:pStyle w:val="TableParagraph"/>
              <w:spacing w:before="10"/>
              <w:rPr>
                <w:b/>
                <w:sz w:val="16"/>
              </w:rPr>
            </w:pPr>
          </w:p>
          <w:p w14:paraId="4C4BCDA0" w14:textId="77777777" w:rsidR="009948F1" w:rsidRDefault="00BC0563">
            <w:pPr>
              <w:pStyle w:val="TableParagraph"/>
              <w:ind w:left="16"/>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131C42C7" w14:textId="77777777" w:rsidR="009948F1" w:rsidRDefault="009948F1">
            <w:pPr>
              <w:pStyle w:val="TableParagraph"/>
              <w:spacing w:before="10"/>
              <w:rPr>
                <w:b/>
                <w:sz w:val="16"/>
              </w:rPr>
            </w:pPr>
          </w:p>
          <w:p w14:paraId="3E3A82FE" w14:textId="77777777" w:rsidR="009948F1" w:rsidRDefault="00BC0563">
            <w:pPr>
              <w:pStyle w:val="TableParagraph"/>
              <w:ind w:left="15"/>
              <w:rPr>
                <w:sz w:val="12"/>
              </w:rPr>
            </w:pPr>
            <w:r>
              <w:rPr>
                <w:color w:val="231F20"/>
                <w:sz w:val="12"/>
              </w:rPr>
              <w:t>Establish PPP committee</w:t>
            </w:r>
          </w:p>
        </w:tc>
      </w:tr>
      <w:tr w:rsidR="009948F1" w14:paraId="1BA00278" w14:textId="77777777">
        <w:trPr>
          <w:trHeight w:val="510"/>
        </w:trPr>
        <w:tc>
          <w:tcPr>
            <w:tcW w:w="995" w:type="dxa"/>
            <w:gridSpan w:val="3"/>
            <w:vMerge/>
            <w:tcBorders>
              <w:top w:val="nil"/>
              <w:left w:val="single" w:sz="6" w:space="0" w:color="231F20"/>
              <w:bottom w:val="nil"/>
              <w:right w:val="single" w:sz="6" w:space="0" w:color="231F20"/>
            </w:tcBorders>
          </w:tcPr>
          <w:p w14:paraId="14E618DA"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5A541B2A" w14:textId="77777777" w:rsidR="009948F1" w:rsidRDefault="009948F1">
            <w:pPr>
              <w:pStyle w:val="TableParagraph"/>
              <w:spacing w:before="2"/>
              <w:rPr>
                <w:b/>
                <w:sz w:val="16"/>
              </w:rPr>
            </w:pPr>
          </w:p>
          <w:p w14:paraId="67A30E65" w14:textId="77777777" w:rsidR="009948F1" w:rsidRDefault="00BC0563">
            <w:pPr>
              <w:pStyle w:val="TableParagraph"/>
              <w:spacing w:before="1"/>
              <w:ind w:left="58" w:right="44"/>
              <w:jc w:val="center"/>
              <w:rPr>
                <w:sz w:val="12"/>
              </w:rPr>
            </w:pPr>
            <w:r>
              <w:rPr>
                <w:color w:val="231F20"/>
                <w:sz w:val="12"/>
              </w:rPr>
              <w:t>3.1.1.c</w:t>
            </w:r>
          </w:p>
        </w:tc>
        <w:tc>
          <w:tcPr>
            <w:tcW w:w="4896" w:type="dxa"/>
            <w:gridSpan w:val="2"/>
            <w:tcBorders>
              <w:top w:val="single" w:sz="6" w:space="0" w:color="231F20"/>
              <w:left w:val="single" w:sz="6" w:space="0" w:color="231F20"/>
              <w:bottom w:val="single" w:sz="6" w:space="0" w:color="231F20"/>
              <w:right w:val="single" w:sz="6" w:space="0" w:color="231F20"/>
            </w:tcBorders>
          </w:tcPr>
          <w:p w14:paraId="756C275C" w14:textId="77777777" w:rsidR="009948F1" w:rsidRDefault="009948F1">
            <w:pPr>
              <w:pStyle w:val="TableParagraph"/>
              <w:spacing w:before="9"/>
              <w:rPr>
                <w:b/>
                <w:sz w:val="15"/>
              </w:rPr>
            </w:pPr>
          </w:p>
          <w:p w14:paraId="512ED920" w14:textId="77777777" w:rsidR="009948F1" w:rsidRDefault="00BC0563">
            <w:pPr>
              <w:pStyle w:val="TableParagraph"/>
              <w:ind w:left="21"/>
              <w:rPr>
                <w:sz w:val="12"/>
              </w:rPr>
            </w:pPr>
            <w:r>
              <w:rPr>
                <w:color w:val="231F20"/>
                <w:sz w:val="12"/>
              </w:rPr>
              <w:t>Conduct periodic meeting to deliberate &amp; review all PPP activities in the State</w:t>
            </w:r>
          </w:p>
        </w:tc>
        <w:tc>
          <w:tcPr>
            <w:tcW w:w="1428" w:type="dxa"/>
            <w:tcBorders>
              <w:top w:val="single" w:sz="6" w:space="0" w:color="231F20"/>
              <w:left w:val="single" w:sz="6" w:space="0" w:color="231F20"/>
              <w:bottom w:val="single" w:sz="6" w:space="0" w:color="231F20"/>
            </w:tcBorders>
          </w:tcPr>
          <w:p w14:paraId="0D4C7F43" w14:textId="77777777" w:rsidR="009948F1" w:rsidRDefault="009948F1">
            <w:pPr>
              <w:pStyle w:val="TableParagraph"/>
              <w:spacing w:before="2"/>
              <w:rPr>
                <w:b/>
                <w:sz w:val="16"/>
              </w:rPr>
            </w:pPr>
          </w:p>
          <w:p w14:paraId="4ABAF0A0" w14:textId="77777777" w:rsidR="009948F1" w:rsidRDefault="00BC0563">
            <w:pPr>
              <w:pStyle w:val="TableParagraph"/>
              <w:spacing w:before="1"/>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00AE0850" w14:textId="77777777" w:rsidR="009948F1" w:rsidRDefault="009948F1">
            <w:pPr>
              <w:pStyle w:val="TableParagraph"/>
              <w:spacing w:before="2"/>
              <w:rPr>
                <w:b/>
                <w:sz w:val="16"/>
              </w:rPr>
            </w:pPr>
          </w:p>
          <w:p w14:paraId="2F81A4E7" w14:textId="77777777" w:rsidR="009948F1" w:rsidRDefault="00BC0563">
            <w:pPr>
              <w:pStyle w:val="TableParagraph"/>
              <w:spacing w:before="1"/>
              <w:ind w:left="15"/>
              <w:rPr>
                <w:sz w:val="12"/>
              </w:rPr>
            </w:pPr>
            <w:r>
              <w:rPr>
                <w:color w:val="231F20"/>
                <w:sz w:val="12"/>
              </w:rPr>
              <w:t>Conduct meeting</w:t>
            </w:r>
          </w:p>
        </w:tc>
      </w:tr>
      <w:tr w:rsidR="009948F1" w14:paraId="0529DBA8" w14:textId="77777777">
        <w:trPr>
          <w:trHeight w:val="481"/>
        </w:trPr>
        <w:tc>
          <w:tcPr>
            <w:tcW w:w="995" w:type="dxa"/>
            <w:gridSpan w:val="3"/>
            <w:vMerge/>
            <w:tcBorders>
              <w:top w:val="nil"/>
              <w:left w:val="single" w:sz="6" w:space="0" w:color="231F20"/>
              <w:bottom w:val="nil"/>
              <w:right w:val="single" w:sz="6" w:space="0" w:color="231F20"/>
            </w:tcBorders>
          </w:tcPr>
          <w:p w14:paraId="648B7EAF"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5687F3E6" w14:textId="77777777" w:rsidR="009948F1" w:rsidRDefault="009948F1">
            <w:pPr>
              <w:pStyle w:val="TableParagraph"/>
              <w:spacing w:before="11"/>
              <w:rPr>
                <w:b/>
                <w:sz w:val="14"/>
              </w:rPr>
            </w:pPr>
          </w:p>
          <w:p w14:paraId="38A4AB80" w14:textId="77777777" w:rsidR="009948F1" w:rsidRDefault="00BC0563">
            <w:pPr>
              <w:pStyle w:val="TableParagraph"/>
              <w:ind w:left="58" w:right="45"/>
              <w:jc w:val="center"/>
              <w:rPr>
                <w:sz w:val="12"/>
              </w:rPr>
            </w:pPr>
            <w:r>
              <w:rPr>
                <w:color w:val="231F20"/>
                <w:sz w:val="12"/>
              </w:rPr>
              <w:t>3.1.1.d</w:t>
            </w:r>
          </w:p>
        </w:tc>
        <w:tc>
          <w:tcPr>
            <w:tcW w:w="4896" w:type="dxa"/>
            <w:gridSpan w:val="2"/>
            <w:tcBorders>
              <w:top w:val="single" w:sz="6" w:space="0" w:color="231F20"/>
              <w:left w:val="single" w:sz="6" w:space="0" w:color="231F20"/>
              <w:bottom w:val="single" w:sz="6" w:space="0" w:color="231F20"/>
              <w:right w:val="single" w:sz="6" w:space="0" w:color="231F20"/>
            </w:tcBorders>
          </w:tcPr>
          <w:p w14:paraId="20542B63" w14:textId="554630F5" w:rsidR="009948F1" w:rsidRDefault="00BC0563">
            <w:pPr>
              <w:pStyle w:val="TableParagraph"/>
              <w:spacing w:before="92" w:line="259" w:lineRule="auto"/>
              <w:ind w:left="21" w:right="330"/>
              <w:rPr>
                <w:sz w:val="12"/>
              </w:rPr>
            </w:pPr>
            <w:r>
              <w:rPr>
                <w:color w:val="231F20"/>
                <w:sz w:val="12"/>
              </w:rPr>
              <w:t xml:space="preserve">Conduct mass media edutainment on the need for adoption and utilization of national policies and </w:t>
            </w:r>
            <w:r w:rsidR="00C84576">
              <w:rPr>
                <w:color w:val="231F20"/>
                <w:sz w:val="12"/>
              </w:rPr>
              <w:t>guidelines</w:t>
            </w:r>
            <w:r>
              <w:rPr>
                <w:color w:val="231F20"/>
                <w:sz w:val="12"/>
              </w:rPr>
              <w:t xml:space="preserve"> on PPP</w:t>
            </w:r>
          </w:p>
        </w:tc>
        <w:tc>
          <w:tcPr>
            <w:tcW w:w="1428" w:type="dxa"/>
            <w:tcBorders>
              <w:top w:val="single" w:sz="6" w:space="0" w:color="231F20"/>
              <w:left w:val="single" w:sz="6" w:space="0" w:color="231F20"/>
              <w:bottom w:val="single" w:sz="6" w:space="0" w:color="231F20"/>
            </w:tcBorders>
          </w:tcPr>
          <w:p w14:paraId="58113F4B" w14:textId="77777777" w:rsidR="009948F1" w:rsidRDefault="009948F1">
            <w:pPr>
              <w:pStyle w:val="TableParagraph"/>
              <w:spacing w:before="11"/>
              <w:rPr>
                <w:b/>
                <w:sz w:val="14"/>
              </w:rPr>
            </w:pPr>
          </w:p>
          <w:p w14:paraId="28B60148" w14:textId="77777777" w:rsidR="009948F1" w:rsidRDefault="00BC0563">
            <w:pPr>
              <w:pStyle w:val="TableParagraph"/>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695BE33F" w14:textId="77777777" w:rsidR="009948F1" w:rsidRDefault="00BC0563">
            <w:pPr>
              <w:pStyle w:val="TableParagraph"/>
              <w:spacing w:before="97" w:line="259" w:lineRule="auto"/>
              <w:ind w:left="15"/>
              <w:rPr>
                <w:sz w:val="12"/>
              </w:rPr>
            </w:pPr>
            <w:r>
              <w:rPr>
                <w:color w:val="231F20"/>
                <w:sz w:val="12"/>
              </w:rPr>
              <w:t>Create awareness through media</w:t>
            </w:r>
          </w:p>
        </w:tc>
      </w:tr>
      <w:tr w:rsidR="009948F1" w14:paraId="0EE53ECE" w14:textId="77777777">
        <w:trPr>
          <w:trHeight w:val="374"/>
        </w:trPr>
        <w:tc>
          <w:tcPr>
            <w:tcW w:w="540" w:type="dxa"/>
            <w:gridSpan w:val="2"/>
            <w:tcBorders>
              <w:top w:val="nil"/>
              <w:left w:val="single" w:sz="6" w:space="0" w:color="231F20"/>
              <w:bottom w:val="nil"/>
              <w:right w:val="single" w:sz="6" w:space="0" w:color="231F20"/>
            </w:tcBorders>
          </w:tcPr>
          <w:p w14:paraId="31DC617F"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6E951814" w14:textId="77777777" w:rsidR="009948F1" w:rsidRDefault="009948F1">
            <w:pPr>
              <w:pStyle w:val="TableParagraph"/>
              <w:spacing w:before="2"/>
              <w:rPr>
                <w:b/>
                <w:sz w:val="10"/>
              </w:rPr>
            </w:pPr>
          </w:p>
          <w:p w14:paraId="68C9BA63" w14:textId="77777777" w:rsidR="009948F1" w:rsidRDefault="00BC0563">
            <w:pPr>
              <w:pStyle w:val="TableParagraph"/>
              <w:spacing w:before="1"/>
              <w:ind w:left="54"/>
              <w:rPr>
                <w:sz w:val="12"/>
              </w:rPr>
            </w:pPr>
            <w:r>
              <w:rPr>
                <w:color w:val="231F20"/>
                <w:sz w:val="12"/>
              </w:rPr>
              <w:t>3.1.2</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1E006360" w14:textId="77777777" w:rsidR="009948F1" w:rsidRDefault="00BC0563">
            <w:pPr>
              <w:pStyle w:val="TableParagraph"/>
              <w:spacing w:before="39" w:line="259" w:lineRule="auto"/>
              <w:ind w:left="21" w:right="21" w:firstLine="33"/>
              <w:rPr>
                <w:sz w:val="12"/>
              </w:rPr>
            </w:pPr>
            <w:r>
              <w:rPr>
                <w:color w:val="231F20"/>
                <w:sz w:val="12"/>
              </w:rPr>
              <w:t>Strengthen</w:t>
            </w:r>
            <w:r>
              <w:rPr>
                <w:color w:val="231F20"/>
                <w:spacing w:val="-6"/>
                <w:sz w:val="12"/>
              </w:rPr>
              <w:t xml:space="preserve"> </w:t>
            </w:r>
            <w:r>
              <w:rPr>
                <w:color w:val="231F20"/>
                <w:sz w:val="12"/>
              </w:rPr>
              <w:t>legal</w:t>
            </w:r>
            <w:r>
              <w:rPr>
                <w:color w:val="231F20"/>
                <w:spacing w:val="-6"/>
                <w:sz w:val="12"/>
              </w:rPr>
              <w:t xml:space="preserve"> </w:t>
            </w:r>
            <w:r>
              <w:rPr>
                <w:color w:val="231F20"/>
                <w:sz w:val="12"/>
              </w:rPr>
              <w:t>and</w:t>
            </w:r>
            <w:r>
              <w:rPr>
                <w:color w:val="231F20"/>
                <w:spacing w:val="-6"/>
                <w:sz w:val="12"/>
              </w:rPr>
              <w:t xml:space="preserve"> </w:t>
            </w:r>
            <w:r>
              <w:rPr>
                <w:color w:val="231F20"/>
                <w:sz w:val="12"/>
              </w:rPr>
              <w:t>coordinating</w:t>
            </w:r>
            <w:r>
              <w:rPr>
                <w:color w:val="231F20"/>
                <w:spacing w:val="-5"/>
                <w:sz w:val="12"/>
              </w:rPr>
              <w:t xml:space="preserve"> </w:t>
            </w:r>
            <w:r>
              <w:rPr>
                <w:color w:val="231F20"/>
                <w:sz w:val="12"/>
              </w:rPr>
              <w:t>framework</w:t>
            </w:r>
            <w:r>
              <w:rPr>
                <w:color w:val="231F20"/>
                <w:spacing w:val="-6"/>
                <w:sz w:val="12"/>
              </w:rPr>
              <w:t xml:space="preserve"> </w:t>
            </w:r>
            <w:r>
              <w:rPr>
                <w:color w:val="231F20"/>
                <w:sz w:val="12"/>
              </w:rPr>
              <w:t>for</w:t>
            </w:r>
            <w:r>
              <w:rPr>
                <w:color w:val="231F20"/>
                <w:spacing w:val="-6"/>
                <w:sz w:val="12"/>
              </w:rPr>
              <w:t xml:space="preserve"> </w:t>
            </w:r>
            <w:r>
              <w:rPr>
                <w:color w:val="231F20"/>
                <w:sz w:val="12"/>
              </w:rPr>
              <w:t>PPP</w:t>
            </w:r>
            <w:r>
              <w:rPr>
                <w:color w:val="231F20"/>
                <w:spacing w:val="-7"/>
                <w:sz w:val="12"/>
              </w:rPr>
              <w:t xml:space="preserve"> </w:t>
            </w:r>
            <w:r>
              <w:rPr>
                <w:color w:val="231F20"/>
                <w:sz w:val="12"/>
              </w:rPr>
              <w:t>at all</w:t>
            </w:r>
            <w:r>
              <w:rPr>
                <w:color w:val="231F20"/>
                <w:spacing w:val="-2"/>
                <w:sz w:val="12"/>
              </w:rPr>
              <w:t xml:space="preserve"> </w:t>
            </w:r>
            <w:r>
              <w:rPr>
                <w:color w:val="231F20"/>
                <w:sz w:val="12"/>
              </w:rPr>
              <w:t>levels</w:t>
            </w:r>
          </w:p>
        </w:tc>
        <w:tc>
          <w:tcPr>
            <w:tcW w:w="2385" w:type="dxa"/>
            <w:tcBorders>
              <w:top w:val="single" w:sz="6" w:space="0" w:color="231F20"/>
              <w:left w:val="single" w:sz="6" w:space="0" w:color="231F20"/>
              <w:bottom w:val="single" w:sz="6" w:space="0" w:color="231F20"/>
              <w:right w:val="single" w:sz="6" w:space="0" w:color="231F20"/>
            </w:tcBorders>
            <w:shd w:val="clear" w:color="auto" w:fill="CCE7D3"/>
          </w:tcPr>
          <w:p w14:paraId="0FF11393" w14:textId="77777777" w:rsidR="009948F1" w:rsidRDefault="00BC0563">
            <w:pPr>
              <w:pStyle w:val="TableParagraph"/>
              <w:numPr>
                <w:ilvl w:val="0"/>
                <w:numId w:val="221"/>
              </w:numPr>
              <w:tabs>
                <w:tab w:val="left" w:pos="96"/>
              </w:tabs>
              <w:spacing w:line="259" w:lineRule="auto"/>
              <w:ind w:right="178" w:firstLine="0"/>
              <w:rPr>
                <w:sz w:val="12"/>
              </w:rPr>
            </w:pPr>
            <w:r>
              <w:rPr>
                <w:color w:val="231F20"/>
                <w:sz w:val="12"/>
              </w:rPr>
              <w:t>PPP coordinating structures &amp;</w:t>
            </w:r>
            <w:r>
              <w:rPr>
                <w:color w:val="231F20"/>
                <w:spacing w:val="-18"/>
                <w:sz w:val="12"/>
              </w:rPr>
              <w:t xml:space="preserve"> </w:t>
            </w:r>
            <w:r>
              <w:rPr>
                <w:color w:val="231F20"/>
                <w:spacing w:val="-3"/>
                <w:sz w:val="12"/>
              </w:rPr>
              <w:t xml:space="preserve">feedback </w:t>
            </w:r>
            <w:r>
              <w:rPr>
                <w:color w:val="231F20"/>
                <w:sz w:val="12"/>
              </w:rPr>
              <w:t>mechanisms</w:t>
            </w:r>
            <w:r>
              <w:rPr>
                <w:color w:val="231F20"/>
                <w:spacing w:val="-2"/>
                <w:sz w:val="12"/>
              </w:rPr>
              <w:t xml:space="preserve"> </w:t>
            </w:r>
            <w:r>
              <w:rPr>
                <w:color w:val="231F20"/>
                <w:sz w:val="12"/>
              </w:rPr>
              <w:t>functional</w:t>
            </w:r>
          </w:p>
          <w:p w14:paraId="2E889CA2" w14:textId="77777777" w:rsidR="009948F1" w:rsidRDefault="00BC0563">
            <w:pPr>
              <w:pStyle w:val="TableParagraph"/>
              <w:spacing w:line="58" w:lineRule="exact"/>
              <w:ind w:left="20"/>
              <w:rPr>
                <w:sz w:val="12"/>
              </w:rPr>
            </w:pPr>
            <w:r>
              <w:rPr>
                <w:color w:val="231F20"/>
                <w:w w:val="98"/>
                <w:sz w:val="12"/>
              </w:rPr>
              <w:t>•</w:t>
            </w:r>
          </w:p>
        </w:tc>
        <w:tc>
          <w:tcPr>
            <w:tcW w:w="1428" w:type="dxa"/>
            <w:tcBorders>
              <w:top w:val="single" w:sz="6" w:space="0" w:color="231F20"/>
              <w:left w:val="single" w:sz="6" w:space="0" w:color="231F20"/>
              <w:bottom w:val="single" w:sz="6" w:space="0" w:color="231F20"/>
            </w:tcBorders>
            <w:shd w:val="clear" w:color="auto" w:fill="CCE7D3"/>
          </w:tcPr>
          <w:p w14:paraId="49EDCF76"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CCE7D3"/>
          </w:tcPr>
          <w:p w14:paraId="433CCF30" w14:textId="77777777" w:rsidR="009948F1" w:rsidRDefault="009948F1">
            <w:pPr>
              <w:pStyle w:val="TableParagraph"/>
              <w:rPr>
                <w:rFonts w:ascii="Times New Roman"/>
                <w:sz w:val="10"/>
              </w:rPr>
            </w:pPr>
          </w:p>
        </w:tc>
      </w:tr>
      <w:tr w:rsidR="009948F1" w14:paraId="71232FD0" w14:textId="77777777">
        <w:trPr>
          <w:trHeight w:val="430"/>
        </w:trPr>
        <w:tc>
          <w:tcPr>
            <w:tcW w:w="995" w:type="dxa"/>
            <w:gridSpan w:val="3"/>
            <w:tcBorders>
              <w:top w:val="nil"/>
              <w:left w:val="single" w:sz="6" w:space="0" w:color="231F20"/>
              <w:bottom w:val="nil"/>
              <w:right w:val="single" w:sz="6" w:space="0" w:color="231F20"/>
            </w:tcBorders>
          </w:tcPr>
          <w:p w14:paraId="0BA71A90"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24B2C2DB" w14:textId="77777777" w:rsidR="009948F1" w:rsidRDefault="009948F1">
            <w:pPr>
              <w:pStyle w:val="TableParagraph"/>
              <w:spacing w:before="8"/>
              <w:rPr>
                <w:b/>
                <w:sz w:val="12"/>
              </w:rPr>
            </w:pPr>
          </w:p>
          <w:p w14:paraId="78EA1C67" w14:textId="77777777" w:rsidR="009948F1" w:rsidRDefault="00BC0563">
            <w:pPr>
              <w:pStyle w:val="TableParagraph"/>
              <w:spacing w:before="1"/>
              <w:ind w:left="58" w:right="45"/>
              <w:jc w:val="center"/>
              <w:rPr>
                <w:sz w:val="12"/>
              </w:rPr>
            </w:pPr>
            <w:r>
              <w:rPr>
                <w:color w:val="231F20"/>
                <w:sz w:val="12"/>
              </w:rPr>
              <w:t>3.1.2.a</w:t>
            </w:r>
          </w:p>
        </w:tc>
        <w:tc>
          <w:tcPr>
            <w:tcW w:w="4896" w:type="dxa"/>
            <w:gridSpan w:val="2"/>
            <w:tcBorders>
              <w:top w:val="single" w:sz="6" w:space="0" w:color="231F20"/>
              <w:left w:val="single" w:sz="6" w:space="0" w:color="231F20"/>
              <w:bottom w:val="single" w:sz="6" w:space="0" w:color="231F20"/>
            </w:tcBorders>
          </w:tcPr>
          <w:p w14:paraId="48509B3F" w14:textId="77777777" w:rsidR="009948F1" w:rsidRDefault="009948F1">
            <w:pPr>
              <w:pStyle w:val="TableParagraph"/>
              <w:spacing w:before="4"/>
              <w:rPr>
                <w:b/>
                <w:sz w:val="12"/>
              </w:rPr>
            </w:pPr>
          </w:p>
          <w:p w14:paraId="5760953B" w14:textId="77777777" w:rsidR="009948F1" w:rsidRDefault="00BC0563">
            <w:pPr>
              <w:pStyle w:val="TableParagraph"/>
              <w:ind w:left="21"/>
              <w:rPr>
                <w:sz w:val="12"/>
              </w:rPr>
            </w:pPr>
            <w:r>
              <w:rPr>
                <w:color w:val="231F20"/>
                <w:sz w:val="12"/>
              </w:rPr>
              <w:t>Strengthen/develop existing PPP coordinating structures &amp; feedback mechanisms</w:t>
            </w:r>
          </w:p>
        </w:tc>
        <w:tc>
          <w:tcPr>
            <w:tcW w:w="1428" w:type="dxa"/>
            <w:tcBorders>
              <w:top w:val="single" w:sz="6" w:space="0" w:color="231F20"/>
              <w:bottom w:val="single" w:sz="6" w:space="0" w:color="231F20"/>
            </w:tcBorders>
          </w:tcPr>
          <w:p w14:paraId="2F49CE01" w14:textId="77777777" w:rsidR="009948F1" w:rsidRDefault="009948F1">
            <w:pPr>
              <w:pStyle w:val="TableParagraph"/>
              <w:spacing w:before="8"/>
              <w:rPr>
                <w:b/>
                <w:sz w:val="12"/>
              </w:rPr>
            </w:pPr>
          </w:p>
          <w:p w14:paraId="3D70C079" w14:textId="77777777" w:rsidR="009948F1" w:rsidRDefault="00BC0563">
            <w:pPr>
              <w:pStyle w:val="TableParagraph"/>
              <w:spacing w:before="1"/>
              <w:ind w:left="16"/>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2994C012" w14:textId="77777777" w:rsidR="009948F1" w:rsidRDefault="009948F1">
            <w:pPr>
              <w:pStyle w:val="TableParagraph"/>
              <w:spacing w:before="8"/>
              <w:rPr>
                <w:b/>
                <w:sz w:val="12"/>
              </w:rPr>
            </w:pPr>
          </w:p>
          <w:p w14:paraId="4A992B69" w14:textId="77777777" w:rsidR="009948F1" w:rsidRDefault="00BC0563">
            <w:pPr>
              <w:pStyle w:val="TableParagraph"/>
              <w:spacing w:before="1"/>
              <w:ind w:left="15"/>
              <w:rPr>
                <w:sz w:val="12"/>
              </w:rPr>
            </w:pPr>
            <w:r>
              <w:rPr>
                <w:color w:val="231F20"/>
                <w:sz w:val="12"/>
              </w:rPr>
              <w:t>Conduct meeting</w:t>
            </w:r>
          </w:p>
        </w:tc>
      </w:tr>
      <w:tr w:rsidR="009948F1" w14:paraId="10A4E9DC" w14:textId="77777777">
        <w:trPr>
          <w:trHeight w:val="855"/>
        </w:trPr>
        <w:tc>
          <w:tcPr>
            <w:tcW w:w="540" w:type="dxa"/>
            <w:gridSpan w:val="2"/>
            <w:tcBorders>
              <w:top w:val="nil"/>
              <w:left w:val="single" w:sz="6" w:space="0" w:color="231F20"/>
              <w:bottom w:val="nil"/>
              <w:right w:val="single" w:sz="6" w:space="0" w:color="231F20"/>
            </w:tcBorders>
          </w:tcPr>
          <w:p w14:paraId="6DEE2224"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63A0A85A" w14:textId="77777777" w:rsidR="009948F1" w:rsidRDefault="009948F1">
            <w:pPr>
              <w:pStyle w:val="TableParagraph"/>
              <w:rPr>
                <w:b/>
                <w:sz w:val="12"/>
              </w:rPr>
            </w:pPr>
          </w:p>
          <w:p w14:paraId="2567667B" w14:textId="77777777" w:rsidR="009948F1" w:rsidRDefault="009948F1">
            <w:pPr>
              <w:pStyle w:val="TableParagraph"/>
              <w:rPr>
                <w:b/>
                <w:sz w:val="12"/>
              </w:rPr>
            </w:pPr>
          </w:p>
          <w:p w14:paraId="0AD331BD" w14:textId="77777777" w:rsidR="009948F1" w:rsidRDefault="00BC0563">
            <w:pPr>
              <w:pStyle w:val="TableParagraph"/>
              <w:spacing w:before="82"/>
              <w:ind w:left="54"/>
              <w:rPr>
                <w:sz w:val="12"/>
              </w:rPr>
            </w:pPr>
            <w:r>
              <w:rPr>
                <w:color w:val="231F20"/>
                <w:sz w:val="12"/>
              </w:rPr>
              <w:t>3.1.3</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6327C3D9" w14:textId="77777777" w:rsidR="009948F1" w:rsidRDefault="009948F1">
            <w:pPr>
              <w:pStyle w:val="TableParagraph"/>
              <w:spacing w:before="9"/>
              <w:rPr>
                <w:b/>
                <w:sz w:val="17"/>
              </w:rPr>
            </w:pPr>
          </w:p>
          <w:p w14:paraId="079151C6" w14:textId="77777777" w:rsidR="009948F1" w:rsidRDefault="00BC0563">
            <w:pPr>
              <w:pStyle w:val="TableParagraph"/>
              <w:spacing w:line="259" w:lineRule="auto"/>
              <w:ind w:left="21" w:firstLine="33"/>
              <w:rPr>
                <w:sz w:val="12"/>
              </w:rPr>
            </w:pPr>
            <w:r>
              <w:rPr>
                <w:color w:val="231F20"/>
                <w:sz w:val="12"/>
              </w:rPr>
              <w:t>Establish a single Development Partners Forum at federal and state levels, which comprises of only health development partners;</w:t>
            </w:r>
          </w:p>
        </w:tc>
        <w:tc>
          <w:tcPr>
            <w:tcW w:w="2385" w:type="dxa"/>
            <w:tcBorders>
              <w:top w:val="single" w:sz="6" w:space="0" w:color="231F20"/>
              <w:left w:val="single" w:sz="6" w:space="0" w:color="231F20"/>
              <w:bottom w:val="single" w:sz="6" w:space="0" w:color="231F20"/>
              <w:right w:val="single" w:sz="6" w:space="0" w:color="231F20"/>
            </w:tcBorders>
            <w:shd w:val="clear" w:color="auto" w:fill="CCE7D3"/>
          </w:tcPr>
          <w:p w14:paraId="6CFAC8A8" w14:textId="77777777" w:rsidR="009948F1" w:rsidRDefault="00BC0563">
            <w:pPr>
              <w:pStyle w:val="TableParagraph"/>
              <w:numPr>
                <w:ilvl w:val="0"/>
                <w:numId w:val="220"/>
              </w:numPr>
              <w:tabs>
                <w:tab w:val="left" w:pos="96"/>
              </w:tabs>
              <w:spacing w:before="61" w:line="259" w:lineRule="auto"/>
              <w:ind w:right="114" w:firstLine="0"/>
              <w:rPr>
                <w:sz w:val="12"/>
              </w:rPr>
            </w:pPr>
            <w:r>
              <w:rPr>
                <w:color w:val="231F20"/>
                <w:sz w:val="12"/>
              </w:rPr>
              <w:t>Guidelines that regulates Development Partners'</w:t>
            </w:r>
            <w:r>
              <w:rPr>
                <w:color w:val="231F20"/>
                <w:spacing w:val="-10"/>
                <w:sz w:val="12"/>
              </w:rPr>
              <w:t xml:space="preserve"> </w:t>
            </w:r>
            <w:r>
              <w:rPr>
                <w:color w:val="231F20"/>
                <w:sz w:val="12"/>
              </w:rPr>
              <w:t>activities</w:t>
            </w:r>
            <w:r>
              <w:rPr>
                <w:color w:val="231F20"/>
                <w:spacing w:val="-9"/>
                <w:sz w:val="12"/>
              </w:rPr>
              <w:t xml:space="preserve"> </w:t>
            </w:r>
            <w:r>
              <w:rPr>
                <w:color w:val="231F20"/>
                <w:sz w:val="12"/>
              </w:rPr>
              <w:t>developed</w:t>
            </w:r>
            <w:r>
              <w:rPr>
                <w:color w:val="231F20"/>
                <w:spacing w:val="-9"/>
                <w:sz w:val="12"/>
              </w:rPr>
              <w:t xml:space="preserve"> </w:t>
            </w:r>
            <w:r>
              <w:rPr>
                <w:color w:val="231F20"/>
                <w:sz w:val="12"/>
              </w:rPr>
              <w:t>and</w:t>
            </w:r>
            <w:r>
              <w:rPr>
                <w:color w:val="231F20"/>
                <w:spacing w:val="-9"/>
                <w:sz w:val="12"/>
              </w:rPr>
              <w:t xml:space="preserve"> </w:t>
            </w:r>
            <w:r>
              <w:rPr>
                <w:color w:val="231F20"/>
                <w:sz w:val="12"/>
              </w:rPr>
              <w:t>adopted</w:t>
            </w:r>
          </w:p>
          <w:p w14:paraId="6BF0C9EB" w14:textId="77777777" w:rsidR="009948F1" w:rsidRDefault="00BC0563">
            <w:pPr>
              <w:pStyle w:val="TableParagraph"/>
              <w:numPr>
                <w:ilvl w:val="0"/>
                <w:numId w:val="220"/>
              </w:numPr>
              <w:tabs>
                <w:tab w:val="left" w:pos="96"/>
              </w:tabs>
              <w:spacing w:line="137" w:lineRule="exact"/>
              <w:ind w:left="95" w:hanging="76"/>
              <w:rPr>
                <w:sz w:val="12"/>
              </w:rPr>
            </w:pPr>
            <w:r>
              <w:rPr>
                <w:color w:val="231F20"/>
                <w:sz w:val="12"/>
              </w:rPr>
              <w:t>Development Partners Forum</w:t>
            </w:r>
            <w:r>
              <w:rPr>
                <w:color w:val="231F20"/>
                <w:spacing w:val="-17"/>
                <w:sz w:val="12"/>
              </w:rPr>
              <w:t xml:space="preserve"> </w:t>
            </w:r>
            <w:r>
              <w:rPr>
                <w:color w:val="231F20"/>
                <w:sz w:val="12"/>
              </w:rPr>
              <w:t>established</w:t>
            </w:r>
          </w:p>
          <w:p w14:paraId="0F7F2400" w14:textId="77777777" w:rsidR="009948F1" w:rsidRDefault="00BC0563">
            <w:pPr>
              <w:pStyle w:val="TableParagraph"/>
              <w:numPr>
                <w:ilvl w:val="0"/>
                <w:numId w:val="220"/>
              </w:numPr>
              <w:tabs>
                <w:tab w:val="left" w:pos="96"/>
              </w:tabs>
              <w:spacing w:before="11" w:line="259" w:lineRule="auto"/>
              <w:ind w:right="221" w:firstLine="0"/>
              <w:rPr>
                <w:sz w:val="12"/>
              </w:rPr>
            </w:pPr>
            <w:r>
              <w:rPr>
                <w:color w:val="231F20"/>
                <w:sz w:val="12"/>
              </w:rPr>
              <w:t>Development</w:t>
            </w:r>
            <w:r>
              <w:rPr>
                <w:color w:val="231F20"/>
                <w:spacing w:val="-12"/>
                <w:sz w:val="12"/>
              </w:rPr>
              <w:t xml:space="preserve"> </w:t>
            </w:r>
            <w:r>
              <w:rPr>
                <w:color w:val="231F20"/>
                <w:sz w:val="12"/>
              </w:rPr>
              <w:t>Partners</w:t>
            </w:r>
            <w:r>
              <w:rPr>
                <w:color w:val="231F20"/>
                <w:spacing w:val="-11"/>
                <w:sz w:val="12"/>
              </w:rPr>
              <w:t xml:space="preserve"> </w:t>
            </w:r>
            <w:r>
              <w:rPr>
                <w:color w:val="231F20"/>
                <w:sz w:val="12"/>
              </w:rPr>
              <w:t>Forum</w:t>
            </w:r>
            <w:r>
              <w:rPr>
                <w:color w:val="231F20"/>
                <w:spacing w:val="-11"/>
                <w:sz w:val="12"/>
              </w:rPr>
              <w:t xml:space="preserve"> </w:t>
            </w:r>
            <w:r>
              <w:rPr>
                <w:color w:val="231F20"/>
                <w:sz w:val="12"/>
              </w:rPr>
              <w:t>quarterly meeting</w:t>
            </w:r>
            <w:r>
              <w:rPr>
                <w:color w:val="231F20"/>
                <w:spacing w:val="-2"/>
                <w:sz w:val="12"/>
              </w:rPr>
              <w:t xml:space="preserve"> </w:t>
            </w:r>
            <w:r>
              <w:rPr>
                <w:color w:val="231F20"/>
                <w:sz w:val="12"/>
              </w:rPr>
              <w:t>held</w:t>
            </w:r>
          </w:p>
        </w:tc>
        <w:tc>
          <w:tcPr>
            <w:tcW w:w="1428" w:type="dxa"/>
            <w:tcBorders>
              <w:top w:val="single" w:sz="6" w:space="0" w:color="231F20"/>
              <w:left w:val="single" w:sz="6" w:space="0" w:color="231F20"/>
              <w:bottom w:val="single" w:sz="6" w:space="0" w:color="231F20"/>
            </w:tcBorders>
            <w:shd w:val="clear" w:color="auto" w:fill="CCE7D3"/>
          </w:tcPr>
          <w:p w14:paraId="1B94CF92"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CCE7D3"/>
          </w:tcPr>
          <w:p w14:paraId="36EBD707" w14:textId="77777777" w:rsidR="009948F1" w:rsidRDefault="009948F1">
            <w:pPr>
              <w:pStyle w:val="TableParagraph"/>
              <w:rPr>
                <w:rFonts w:ascii="Times New Roman"/>
                <w:sz w:val="10"/>
              </w:rPr>
            </w:pPr>
          </w:p>
        </w:tc>
      </w:tr>
      <w:tr w:rsidR="009948F1" w14:paraId="161E566A" w14:textId="77777777">
        <w:trPr>
          <w:trHeight w:val="481"/>
        </w:trPr>
        <w:tc>
          <w:tcPr>
            <w:tcW w:w="995" w:type="dxa"/>
            <w:gridSpan w:val="3"/>
            <w:vMerge w:val="restart"/>
            <w:tcBorders>
              <w:top w:val="nil"/>
              <w:left w:val="single" w:sz="6" w:space="0" w:color="231F20"/>
              <w:bottom w:val="nil"/>
              <w:right w:val="single" w:sz="6" w:space="0" w:color="231F20"/>
            </w:tcBorders>
          </w:tcPr>
          <w:p w14:paraId="21AC46E2"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69281B26" w14:textId="77777777" w:rsidR="009948F1" w:rsidRDefault="009948F1">
            <w:pPr>
              <w:pStyle w:val="TableParagraph"/>
              <w:spacing w:before="11"/>
              <w:rPr>
                <w:b/>
                <w:sz w:val="14"/>
              </w:rPr>
            </w:pPr>
          </w:p>
          <w:p w14:paraId="42A672D9" w14:textId="77777777" w:rsidR="009948F1" w:rsidRDefault="00BC0563">
            <w:pPr>
              <w:pStyle w:val="TableParagraph"/>
              <w:ind w:left="58" w:right="45"/>
              <w:jc w:val="center"/>
              <w:rPr>
                <w:sz w:val="12"/>
              </w:rPr>
            </w:pPr>
            <w:r>
              <w:rPr>
                <w:color w:val="231F20"/>
                <w:sz w:val="12"/>
              </w:rPr>
              <w:t>3.1.3.a</w:t>
            </w:r>
          </w:p>
        </w:tc>
        <w:tc>
          <w:tcPr>
            <w:tcW w:w="4896" w:type="dxa"/>
            <w:gridSpan w:val="2"/>
            <w:tcBorders>
              <w:top w:val="single" w:sz="6" w:space="0" w:color="231F20"/>
              <w:left w:val="single" w:sz="6" w:space="0" w:color="231F20"/>
              <w:bottom w:val="single" w:sz="6" w:space="0" w:color="231F20"/>
              <w:right w:val="single" w:sz="6" w:space="0" w:color="231F20"/>
            </w:tcBorders>
          </w:tcPr>
          <w:p w14:paraId="0690B3D8" w14:textId="77777777" w:rsidR="009948F1" w:rsidRDefault="00BC0563">
            <w:pPr>
              <w:pStyle w:val="TableParagraph"/>
              <w:spacing w:before="92" w:line="259" w:lineRule="auto"/>
              <w:ind w:left="21" w:right="21" w:firstLine="33"/>
              <w:rPr>
                <w:sz w:val="12"/>
              </w:rPr>
            </w:pPr>
            <w:r>
              <w:rPr>
                <w:color w:val="231F20"/>
                <w:sz w:val="12"/>
              </w:rPr>
              <w:t>Develop/Adapt &amp; circulate guidelines that regulates Development Partners' activities in the state</w:t>
            </w:r>
          </w:p>
        </w:tc>
        <w:tc>
          <w:tcPr>
            <w:tcW w:w="1428" w:type="dxa"/>
            <w:tcBorders>
              <w:top w:val="single" w:sz="6" w:space="0" w:color="231F20"/>
              <w:left w:val="single" w:sz="6" w:space="0" w:color="231F20"/>
              <w:bottom w:val="single" w:sz="6" w:space="0" w:color="231F20"/>
            </w:tcBorders>
          </w:tcPr>
          <w:p w14:paraId="7850241B" w14:textId="77777777" w:rsidR="009948F1" w:rsidRDefault="009948F1">
            <w:pPr>
              <w:pStyle w:val="TableParagraph"/>
              <w:spacing w:before="11"/>
              <w:rPr>
                <w:b/>
                <w:sz w:val="14"/>
              </w:rPr>
            </w:pPr>
          </w:p>
          <w:p w14:paraId="35861A51" w14:textId="77777777" w:rsidR="009948F1" w:rsidRDefault="00BC0563">
            <w:pPr>
              <w:pStyle w:val="TableParagraph"/>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74AC6EAA" w14:textId="77777777" w:rsidR="009948F1" w:rsidRDefault="00BC0563">
            <w:pPr>
              <w:pStyle w:val="TableParagraph"/>
              <w:spacing w:before="97" w:line="259" w:lineRule="auto"/>
              <w:ind w:left="15"/>
              <w:rPr>
                <w:sz w:val="12"/>
              </w:rPr>
            </w:pPr>
            <w:r>
              <w:rPr>
                <w:color w:val="231F20"/>
                <w:sz w:val="12"/>
              </w:rPr>
              <w:t>Develop/Adapt &amp; circulate guidelines</w:t>
            </w:r>
          </w:p>
        </w:tc>
      </w:tr>
      <w:tr w:rsidR="009948F1" w14:paraId="08797D47" w14:textId="77777777">
        <w:trPr>
          <w:trHeight w:val="503"/>
        </w:trPr>
        <w:tc>
          <w:tcPr>
            <w:tcW w:w="995" w:type="dxa"/>
            <w:gridSpan w:val="3"/>
            <w:vMerge/>
            <w:tcBorders>
              <w:top w:val="nil"/>
              <w:left w:val="single" w:sz="6" w:space="0" w:color="231F20"/>
              <w:bottom w:val="nil"/>
              <w:right w:val="single" w:sz="6" w:space="0" w:color="231F20"/>
            </w:tcBorders>
          </w:tcPr>
          <w:p w14:paraId="24E5CE4A"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1F27C60D" w14:textId="77777777" w:rsidR="009948F1" w:rsidRDefault="009948F1">
            <w:pPr>
              <w:pStyle w:val="TableParagraph"/>
              <w:spacing w:before="10"/>
              <w:rPr>
                <w:b/>
                <w:sz w:val="15"/>
              </w:rPr>
            </w:pPr>
          </w:p>
          <w:p w14:paraId="53E59A0B" w14:textId="77777777" w:rsidR="009948F1" w:rsidRDefault="00BC0563">
            <w:pPr>
              <w:pStyle w:val="TableParagraph"/>
              <w:ind w:left="58" w:right="45"/>
              <w:jc w:val="center"/>
              <w:rPr>
                <w:sz w:val="12"/>
              </w:rPr>
            </w:pPr>
            <w:r>
              <w:rPr>
                <w:color w:val="231F20"/>
                <w:sz w:val="12"/>
              </w:rPr>
              <w:t>3.1.3.b</w:t>
            </w:r>
          </w:p>
        </w:tc>
        <w:tc>
          <w:tcPr>
            <w:tcW w:w="4896" w:type="dxa"/>
            <w:gridSpan w:val="2"/>
            <w:tcBorders>
              <w:top w:val="single" w:sz="6" w:space="0" w:color="231F20"/>
              <w:left w:val="single" w:sz="6" w:space="0" w:color="231F20"/>
              <w:bottom w:val="single" w:sz="6" w:space="0" w:color="231F20"/>
              <w:right w:val="single" w:sz="6" w:space="0" w:color="231F20"/>
            </w:tcBorders>
          </w:tcPr>
          <w:p w14:paraId="2A53701D" w14:textId="6F33B7F4" w:rsidR="009948F1" w:rsidRDefault="00BC0563">
            <w:pPr>
              <w:pStyle w:val="TableParagraph"/>
              <w:spacing w:before="103" w:line="259" w:lineRule="auto"/>
              <w:ind w:left="21" w:right="191"/>
              <w:rPr>
                <w:sz w:val="12"/>
              </w:rPr>
            </w:pPr>
            <w:r>
              <w:rPr>
                <w:color w:val="231F20"/>
                <w:sz w:val="12"/>
              </w:rPr>
              <w:t xml:space="preserve">Establish Development Partners Forum comprising only health development partners at State level as single </w:t>
            </w:r>
            <w:r w:rsidR="00C84576">
              <w:rPr>
                <w:color w:val="231F20"/>
                <w:sz w:val="12"/>
              </w:rPr>
              <w:t>entry</w:t>
            </w:r>
            <w:r>
              <w:rPr>
                <w:color w:val="231F20"/>
                <w:sz w:val="12"/>
              </w:rPr>
              <w:t xml:space="preserve"> points for engaging partners in the State</w:t>
            </w:r>
          </w:p>
        </w:tc>
        <w:tc>
          <w:tcPr>
            <w:tcW w:w="1428" w:type="dxa"/>
            <w:tcBorders>
              <w:top w:val="single" w:sz="6" w:space="0" w:color="231F20"/>
              <w:left w:val="single" w:sz="6" w:space="0" w:color="231F20"/>
              <w:bottom w:val="single" w:sz="6" w:space="0" w:color="231F20"/>
            </w:tcBorders>
          </w:tcPr>
          <w:p w14:paraId="5E00D363" w14:textId="77777777" w:rsidR="009948F1" w:rsidRDefault="009948F1">
            <w:pPr>
              <w:pStyle w:val="TableParagraph"/>
              <w:spacing w:before="4"/>
              <w:rPr>
                <w:b/>
                <w:sz w:val="9"/>
              </w:rPr>
            </w:pPr>
          </w:p>
          <w:p w14:paraId="60BA6869" w14:textId="77777777" w:rsidR="009948F1" w:rsidRDefault="00BC0563">
            <w:pPr>
              <w:pStyle w:val="TableParagraph"/>
              <w:spacing w:line="259" w:lineRule="auto"/>
              <w:ind w:left="19"/>
              <w:rPr>
                <w:sz w:val="12"/>
              </w:rPr>
            </w:pPr>
            <w:r>
              <w:rPr>
                <w:color w:val="231F20"/>
                <w:sz w:val="12"/>
              </w:rPr>
              <w:t>Lack of funds &amp; Political Will</w:t>
            </w:r>
          </w:p>
        </w:tc>
        <w:tc>
          <w:tcPr>
            <w:tcW w:w="1505" w:type="dxa"/>
            <w:tcBorders>
              <w:top w:val="single" w:sz="6" w:space="0" w:color="231F20"/>
              <w:bottom w:val="single" w:sz="6" w:space="0" w:color="231F20"/>
              <w:right w:val="single" w:sz="6" w:space="0" w:color="231F20"/>
            </w:tcBorders>
          </w:tcPr>
          <w:p w14:paraId="6A44701D" w14:textId="77777777" w:rsidR="009948F1" w:rsidRDefault="009948F1">
            <w:pPr>
              <w:pStyle w:val="TableParagraph"/>
              <w:spacing w:before="4"/>
              <w:rPr>
                <w:b/>
                <w:sz w:val="9"/>
              </w:rPr>
            </w:pPr>
          </w:p>
          <w:p w14:paraId="5E8DFEEC" w14:textId="77777777" w:rsidR="009948F1" w:rsidRDefault="00BC0563">
            <w:pPr>
              <w:pStyle w:val="TableParagraph"/>
              <w:spacing w:line="259" w:lineRule="auto"/>
              <w:ind w:left="15"/>
              <w:rPr>
                <w:sz w:val="12"/>
              </w:rPr>
            </w:pPr>
            <w:r>
              <w:rPr>
                <w:color w:val="231F20"/>
                <w:sz w:val="12"/>
              </w:rPr>
              <w:t>Establish Development Partners Forum</w:t>
            </w:r>
          </w:p>
        </w:tc>
      </w:tr>
      <w:tr w:rsidR="009948F1" w14:paraId="31E923D9" w14:textId="77777777">
        <w:trPr>
          <w:trHeight w:val="288"/>
        </w:trPr>
        <w:tc>
          <w:tcPr>
            <w:tcW w:w="995" w:type="dxa"/>
            <w:gridSpan w:val="3"/>
            <w:vMerge/>
            <w:tcBorders>
              <w:top w:val="nil"/>
              <w:left w:val="single" w:sz="6" w:space="0" w:color="231F20"/>
              <w:bottom w:val="nil"/>
              <w:right w:val="single" w:sz="6" w:space="0" w:color="231F20"/>
            </w:tcBorders>
          </w:tcPr>
          <w:p w14:paraId="37C7C298" w14:textId="77777777" w:rsidR="009948F1" w:rsidRDefault="009948F1">
            <w:pPr>
              <w:rPr>
                <w:sz w:val="2"/>
                <w:szCs w:val="2"/>
              </w:rPr>
            </w:pPr>
          </w:p>
        </w:tc>
        <w:tc>
          <w:tcPr>
            <w:tcW w:w="526" w:type="dxa"/>
            <w:tcBorders>
              <w:top w:val="single" w:sz="6" w:space="0" w:color="231F20"/>
              <w:left w:val="single" w:sz="6" w:space="0" w:color="231F20"/>
              <w:bottom w:val="single" w:sz="6" w:space="0" w:color="231F20"/>
              <w:right w:val="single" w:sz="6" w:space="0" w:color="231F20"/>
            </w:tcBorders>
          </w:tcPr>
          <w:p w14:paraId="058104BC" w14:textId="77777777" w:rsidR="009948F1" w:rsidRDefault="00BC0563">
            <w:pPr>
              <w:pStyle w:val="TableParagraph"/>
              <w:spacing w:before="75"/>
              <w:ind w:left="58" w:right="44"/>
              <w:jc w:val="center"/>
              <w:rPr>
                <w:sz w:val="12"/>
              </w:rPr>
            </w:pPr>
            <w:r>
              <w:rPr>
                <w:color w:val="231F20"/>
                <w:sz w:val="12"/>
              </w:rPr>
              <w:t>3.1.3.c</w:t>
            </w:r>
          </w:p>
        </w:tc>
        <w:tc>
          <w:tcPr>
            <w:tcW w:w="4896" w:type="dxa"/>
            <w:gridSpan w:val="2"/>
            <w:tcBorders>
              <w:top w:val="single" w:sz="6" w:space="0" w:color="231F20"/>
              <w:left w:val="single" w:sz="6" w:space="0" w:color="231F20"/>
              <w:bottom w:val="single" w:sz="6" w:space="0" w:color="231F20"/>
              <w:right w:val="single" w:sz="6" w:space="0" w:color="231F20"/>
            </w:tcBorders>
          </w:tcPr>
          <w:p w14:paraId="419F46A9" w14:textId="77777777" w:rsidR="009948F1" w:rsidRDefault="00BC0563">
            <w:pPr>
              <w:pStyle w:val="TableParagraph"/>
              <w:spacing w:line="136" w:lineRule="exact"/>
              <w:ind w:left="21"/>
              <w:rPr>
                <w:sz w:val="12"/>
              </w:rPr>
            </w:pPr>
            <w:r>
              <w:rPr>
                <w:color w:val="231F20"/>
                <w:sz w:val="12"/>
              </w:rPr>
              <w:t>Conduct periodic meeting Development Partners Forum to deliberate &amp; review all PPP</w:t>
            </w:r>
          </w:p>
          <w:p w14:paraId="16669B3D" w14:textId="77777777" w:rsidR="009948F1" w:rsidRDefault="00BC0563">
            <w:pPr>
              <w:pStyle w:val="TableParagraph"/>
              <w:spacing w:before="10" w:line="121" w:lineRule="exact"/>
              <w:ind w:left="21"/>
              <w:rPr>
                <w:sz w:val="12"/>
              </w:rPr>
            </w:pPr>
            <w:r>
              <w:rPr>
                <w:color w:val="231F20"/>
                <w:sz w:val="12"/>
              </w:rPr>
              <w:t>activities in the State</w:t>
            </w:r>
          </w:p>
        </w:tc>
        <w:tc>
          <w:tcPr>
            <w:tcW w:w="1428" w:type="dxa"/>
            <w:tcBorders>
              <w:top w:val="single" w:sz="6" w:space="0" w:color="231F20"/>
              <w:left w:val="single" w:sz="6" w:space="0" w:color="231F20"/>
              <w:bottom w:val="single" w:sz="6" w:space="0" w:color="231F20"/>
            </w:tcBorders>
          </w:tcPr>
          <w:p w14:paraId="795E1E77" w14:textId="77777777" w:rsidR="009948F1" w:rsidRDefault="00BC0563">
            <w:pPr>
              <w:pStyle w:val="TableParagraph"/>
              <w:spacing w:before="75"/>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2AC3BAFC" w14:textId="77777777" w:rsidR="009948F1" w:rsidRDefault="00BC0563">
            <w:pPr>
              <w:pStyle w:val="TableParagraph"/>
              <w:spacing w:before="75"/>
              <w:ind w:left="15"/>
              <w:rPr>
                <w:sz w:val="12"/>
              </w:rPr>
            </w:pPr>
            <w:r>
              <w:rPr>
                <w:color w:val="231F20"/>
                <w:sz w:val="12"/>
              </w:rPr>
              <w:t>Conduct meeting</w:t>
            </w:r>
          </w:p>
        </w:tc>
      </w:tr>
      <w:tr w:rsidR="009948F1" w14:paraId="093833AF" w14:textId="77777777">
        <w:trPr>
          <w:trHeight w:val="1271"/>
        </w:trPr>
        <w:tc>
          <w:tcPr>
            <w:tcW w:w="540" w:type="dxa"/>
            <w:gridSpan w:val="2"/>
            <w:tcBorders>
              <w:top w:val="nil"/>
              <w:left w:val="single" w:sz="6" w:space="0" w:color="231F20"/>
              <w:bottom w:val="nil"/>
              <w:right w:val="single" w:sz="6" w:space="0" w:color="231F20"/>
            </w:tcBorders>
          </w:tcPr>
          <w:p w14:paraId="58110E8D" w14:textId="77777777" w:rsidR="009948F1" w:rsidRDefault="009948F1">
            <w:pPr>
              <w:pStyle w:val="TableParagraph"/>
              <w:rPr>
                <w:rFonts w:ascii="Times New Roman"/>
                <w:sz w:val="10"/>
              </w:rPr>
            </w:pPr>
          </w:p>
        </w:tc>
        <w:tc>
          <w:tcPr>
            <w:tcW w:w="455" w:type="dxa"/>
            <w:tcBorders>
              <w:top w:val="single" w:sz="6" w:space="0" w:color="231F20"/>
              <w:left w:val="single" w:sz="6" w:space="0" w:color="231F20"/>
              <w:bottom w:val="single" w:sz="6" w:space="0" w:color="231F20"/>
              <w:right w:val="single" w:sz="6" w:space="0" w:color="231F20"/>
            </w:tcBorders>
            <w:shd w:val="clear" w:color="auto" w:fill="CCE7D3"/>
          </w:tcPr>
          <w:p w14:paraId="21682572" w14:textId="77777777" w:rsidR="009948F1" w:rsidRDefault="009948F1">
            <w:pPr>
              <w:pStyle w:val="TableParagraph"/>
              <w:rPr>
                <w:b/>
                <w:sz w:val="12"/>
              </w:rPr>
            </w:pPr>
          </w:p>
          <w:p w14:paraId="3371414F" w14:textId="77777777" w:rsidR="009948F1" w:rsidRDefault="009948F1">
            <w:pPr>
              <w:pStyle w:val="TableParagraph"/>
              <w:rPr>
                <w:b/>
                <w:sz w:val="12"/>
              </w:rPr>
            </w:pPr>
          </w:p>
          <w:p w14:paraId="1AE344B3" w14:textId="77777777" w:rsidR="009948F1" w:rsidRDefault="009948F1">
            <w:pPr>
              <w:pStyle w:val="TableParagraph"/>
              <w:rPr>
                <w:b/>
                <w:sz w:val="12"/>
              </w:rPr>
            </w:pPr>
          </w:p>
          <w:p w14:paraId="1BCF4811" w14:textId="77777777" w:rsidR="009948F1" w:rsidRDefault="009948F1">
            <w:pPr>
              <w:pStyle w:val="TableParagraph"/>
              <w:spacing w:before="2"/>
              <w:rPr>
                <w:b/>
                <w:sz w:val="13"/>
              </w:rPr>
            </w:pPr>
          </w:p>
          <w:p w14:paraId="7A0C8120" w14:textId="77777777" w:rsidR="009948F1" w:rsidRDefault="00BC0563">
            <w:pPr>
              <w:pStyle w:val="TableParagraph"/>
              <w:spacing w:before="1"/>
              <w:ind w:left="54"/>
              <w:rPr>
                <w:sz w:val="12"/>
              </w:rPr>
            </w:pPr>
            <w:r>
              <w:rPr>
                <w:color w:val="231F20"/>
                <w:sz w:val="12"/>
              </w:rPr>
              <w:t>3.1.4</w:t>
            </w:r>
          </w:p>
        </w:tc>
        <w:tc>
          <w:tcPr>
            <w:tcW w:w="3037" w:type="dxa"/>
            <w:gridSpan w:val="2"/>
            <w:tcBorders>
              <w:top w:val="single" w:sz="6" w:space="0" w:color="231F20"/>
              <w:left w:val="single" w:sz="6" w:space="0" w:color="231F20"/>
              <w:bottom w:val="single" w:sz="6" w:space="0" w:color="231F20"/>
              <w:right w:val="single" w:sz="6" w:space="0" w:color="231F20"/>
            </w:tcBorders>
            <w:shd w:val="clear" w:color="auto" w:fill="CCE7D3"/>
          </w:tcPr>
          <w:p w14:paraId="4CC2975E" w14:textId="77777777" w:rsidR="009948F1" w:rsidRDefault="009948F1">
            <w:pPr>
              <w:pStyle w:val="TableParagraph"/>
              <w:rPr>
                <w:b/>
                <w:sz w:val="12"/>
              </w:rPr>
            </w:pPr>
          </w:p>
          <w:p w14:paraId="6035DCF8" w14:textId="77777777" w:rsidR="009948F1" w:rsidRDefault="009948F1">
            <w:pPr>
              <w:pStyle w:val="TableParagraph"/>
              <w:rPr>
                <w:b/>
                <w:sz w:val="12"/>
              </w:rPr>
            </w:pPr>
          </w:p>
          <w:p w14:paraId="0D6AFE8C" w14:textId="77777777" w:rsidR="009948F1" w:rsidRDefault="009948F1">
            <w:pPr>
              <w:pStyle w:val="TableParagraph"/>
              <w:spacing w:before="10"/>
              <w:rPr>
                <w:b/>
                <w:sz w:val="11"/>
              </w:rPr>
            </w:pPr>
          </w:p>
          <w:p w14:paraId="5CB3FC47" w14:textId="77777777" w:rsidR="009948F1" w:rsidRDefault="00BC0563">
            <w:pPr>
              <w:pStyle w:val="TableParagraph"/>
              <w:spacing w:line="259" w:lineRule="auto"/>
              <w:ind w:left="21" w:firstLine="33"/>
              <w:rPr>
                <w:sz w:val="12"/>
              </w:rPr>
            </w:pPr>
            <w:r>
              <w:rPr>
                <w:color w:val="231F20"/>
                <w:sz w:val="12"/>
              </w:rPr>
              <w:t>Strengthen mechanisms for the implementation of PPP (e.g. contracting or out-sourcing, leases, concessions, social marketing, franchising mechanism)</w:t>
            </w:r>
          </w:p>
        </w:tc>
        <w:tc>
          <w:tcPr>
            <w:tcW w:w="2385" w:type="dxa"/>
            <w:tcBorders>
              <w:top w:val="single" w:sz="6" w:space="0" w:color="231F20"/>
              <w:left w:val="single" w:sz="6" w:space="0" w:color="231F20"/>
              <w:bottom w:val="single" w:sz="6" w:space="0" w:color="231F20"/>
              <w:right w:val="single" w:sz="6" w:space="0" w:color="231F20"/>
            </w:tcBorders>
            <w:shd w:val="clear" w:color="auto" w:fill="CCE7D3"/>
          </w:tcPr>
          <w:p w14:paraId="7FE20B34" w14:textId="77777777" w:rsidR="009948F1" w:rsidRDefault="009948F1">
            <w:pPr>
              <w:pStyle w:val="TableParagraph"/>
              <w:spacing w:before="11"/>
              <w:rPr>
                <w:b/>
                <w:sz w:val="16"/>
              </w:rPr>
            </w:pPr>
          </w:p>
          <w:p w14:paraId="1DD4BACF" w14:textId="77777777" w:rsidR="009948F1" w:rsidRDefault="00BC0563">
            <w:pPr>
              <w:pStyle w:val="TableParagraph"/>
              <w:numPr>
                <w:ilvl w:val="0"/>
                <w:numId w:val="219"/>
              </w:numPr>
              <w:tabs>
                <w:tab w:val="left" w:pos="96"/>
              </w:tabs>
              <w:spacing w:line="259" w:lineRule="auto"/>
              <w:ind w:right="355" w:firstLine="0"/>
              <w:rPr>
                <w:sz w:val="12"/>
              </w:rPr>
            </w:pPr>
            <w:r>
              <w:rPr>
                <w:color w:val="231F20"/>
                <w:sz w:val="12"/>
              </w:rPr>
              <w:t>Feasibility of different models of implementation</w:t>
            </w:r>
            <w:r>
              <w:rPr>
                <w:color w:val="231F20"/>
                <w:spacing w:val="-12"/>
                <w:sz w:val="12"/>
              </w:rPr>
              <w:t xml:space="preserve"> </w:t>
            </w:r>
            <w:r>
              <w:rPr>
                <w:color w:val="231F20"/>
                <w:sz w:val="12"/>
              </w:rPr>
              <w:t>of</w:t>
            </w:r>
            <w:r>
              <w:rPr>
                <w:color w:val="231F20"/>
                <w:spacing w:val="-11"/>
                <w:sz w:val="12"/>
              </w:rPr>
              <w:t xml:space="preserve"> </w:t>
            </w:r>
            <w:r>
              <w:rPr>
                <w:color w:val="231F20"/>
                <w:sz w:val="12"/>
              </w:rPr>
              <w:t>health</w:t>
            </w:r>
            <w:r>
              <w:rPr>
                <w:color w:val="231F20"/>
                <w:spacing w:val="-11"/>
                <w:sz w:val="12"/>
              </w:rPr>
              <w:t xml:space="preserve"> </w:t>
            </w:r>
            <w:proofErr w:type="spellStart"/>
            <w:r>
              <w:rPr>
                <w:color w:val="231F20"/>
                <w:sz w:val="12"/>
              </w:rPr>
              <w:t>programmes</w:t>
            </w:r>
            <w:proofErr w:type="spellEnd"/>
            <w:r>
              <w:rPr>
                <w:color w:val="231F20"/>
                <w:sz w:val="12"/>
              </w:rPr>
              <w:t xml:space="preserve"> explored</w:t>
            </w:r>
          </w:p>
          <w:p w14:paraId="050F66DA" w14:textId="77777777" w:rsidR="009948F1" w:rsidRDefault="00BC0563">
            <w:pPr>
              <w:pStyle w:val="TableParagraph"/>
              <w:numPr>
                <w:ilvl w:val="0"/>
                <w:numId w:val="219"/>
              </w:numPr>
              <w:tabs>
                <w:tab w:val="left" w:pos="96"/>
              </w:tabs>
              <w:spacing w:line="259" w:lineRule="auto"/>
              <w:ind w:right="467" w:firstLine="0"/>
              <w:rPr>
                <w:sz w:val="12"/>
              </w:rPr>
            </w:pPr>
            <w:r>
              <w:rPr>
                <w:color w:val="231F20"/>
                <w:sz w:val="12"/>
              </w:rPr>
              <w:t>PPP engaged in collaboration</w:t>
            </w:r>
            <w:r>
              <w:rPr>
                <w:color w:val="231F20"/>
                <w:spacing w:val="-21"/>
                <w:sz w:val="12"/>
              </w:rPr>
              <w:t xml:space="preserve"> </w:t>
            </w:r>
            <w:r>
              <w:rPr>
                <w:color w:val="231F20"/>
                <w:spacing w:val="-4"/>
                <w:sz w:val="12"/>
              </w:rPr>
              <w:t xml:space="preserve">with </w:t>
            </w:r>
            <w:r>
              <w:rPr>
                <w:color w:val="231F20"/>
                <w:sz w:val="12"/>
              </w:rPr>
              <w:t>interested</w:t>
            </w:r>
            <w:r>
              <w:rPr>
                <w:color w:val="231F20"/>
                <w:spacing w:val="-2"/>
                <w:sz w:val="12"/>
              </w:rPr>
              <w:t xml:space="preserve"> </w:t>
            </w:r>
            <w:r>
              <w:rPr>
                <w:color w:val="231F20"/>
                <w:sz w:val="12"/>
              </w:rPr>
              <w:t>bodies</w:t>
            </w:r>
          </w:p>
          <w:p w14:paraId="3AE96FE5" w14:textId="77777777" w:rsidR="009948F1" w:rsidRDefault="00BC0563">
            <w:pPr>
              <w:pStyle w:val="TableParagraph"/>
              <w:spacing w:line="137" w:lineRule="exact"/>
              <w:ind w:left="20"/>
              <w:rPr>
                <w:sz w:val="12"/>
              </w:rPr>
            </w:pPr>
            <w:r>
              <w:rPr>
                <w:color w:val="231F20"/>
                <w:w w:val="98"/>
                <w:sz w:val="12"/>
              </w:rPr>
              <w:t>•</w:t>
            </w:r>
          </w:p>
        </w:tc>
        <w:tc>
          <w:tcPr>
            <w:tcW w:w="1428" w:type="dxa"/>
            <w:tcBorders>
              <w:top w:val="single" w:sz="6" w:space="0" w:color="231F20"/>
              <w:left w:val="single" w:sz="6" w:space="0" w:color="231F20"/>
              <w:bottom w:val="single" w:sz="6" w:space="0" w:color="231F20"/>
            </w:tcBorders>
            <w:shd w:val="clear" w:color="auto" w:fill="CCE7D3"/>
          </w:tcPr>
          <w:p w14:paraId="28766E99" w14:textId="77777777" w:rsidR="009948F1" w:rsidRDefault="009948F1">
            <w:pPr>
              <w:pStyle w:val="TableParagraph"/>
              <w:rPr>
                <w:rFonts w:ascii="Times New Roman"/>
                <w:sz w:val="10"/>
              </w:rPr>
            </w:pPr>
          </w:p>
        </w:tc>
        <w:tc>
          <w:tcPr>
            <w:tcW w:w="1505" w:type="dxa"/>
            <w:tcBorders>
              <w:top w:val="single" w:sz="6" w:space="0" w:color="231F20"/>
              <w:bottom w:val="single" w:sz="6" w:space="0" w:color="231F20"/>
              <w:right w:val="single" w:sz="6" w:space="0" w:color="231F20"/>
            </w:tcBorders>
            <w:shd w:val="clear" w:color="auto" w:fill="CCE7D3"/>
          </w:tcPr>
          <w:p w14:paraId="627DA538" w14:textId="77777777" w:rsidR="009948F1" w:rsidRDefault="009948F1">
            <w:pPr>
              <w:pStyle w:val="TableParagraph"/>
              <w:rPr>
                <w:rFonts w:ascii="Times New Roman"/>
                <w:sz w:val="10"/>
              </w:rPr>
            </w:pPr>
          </w:p>
        </w:tc>
      </w:tr>
      <w:tr w:rsidR="009948F1" w14:paraId="46691EA2" w14:textId="77777777">
        <w:trPr>
          <w:trHeight w:val="574"/>
        </w:trPr>
        <w:tc>
          <w:tcPr>
            <w:tcW w:w="995" w:type="dxa"/>
            <w:gridSpan w:val="3"/>
            <w:vMerge w:val="restart"/>
            <w:tcBorders>
              <w:top w:val="nil"/>
              <w:left w:val="single" w:sz="6" w:space="0" w:color="231F20"/>
              <w:right w:val="single" w:sz="6" w:space="0" w:color="231F20"/>
            </w:tcBorders>
          </w:tcPr>
          <w:p w14:paraId="4C2367FC" w14:textId="77777777" w:rsidR="009948F1" w:rsidRDefault="009948F1">
            <w:pPr>
              <w:pStyle w:val="TableParagraph"/>
              <w:rPr>
                <w:rFonts w:ascii="Times New Roman"/>
                <w:sz w:val="10"/>
              </w:rPr>
            </w:pPr>
          </w:p>
        </w:tc>
        <w:tc>
          <w:tcPr>
            <w:tcW w:w="526" w:type="dxa"/>
            <w:tcBorders>
              <w:top w:val="single" w:sz="6" w:space="0" w:color="231F20"/>
              <w:left w:val="single" w:sz="6" w:space="0" w:color="231F20"/>
              <w:bottom w:val="single" w:sz="6" w:space="0" w:color="231F20"/>
              <w:right w:val="single" w:sz="6" w:space="0" w:color="231F20"/>
            </w:tcBorders>
          </w:tcPr>
          <w:p w14:paraId="05591D38" w14:textId="77777777" w:rsidR="009948F1" w:rsidRDefault="009948F1">
            <w:pPr>
              <w:pStyle w:val="TableParagraph"/>
              <w:rPr>
                <w:b/>
                <w:sz w:val="12"/>
              </w:rPr>
            </w:pPr>
          </w:p>
          <w:p w14:paraId="46C2ABAF" w14:textId="77777777" w:rsidR="009948F1" w:rsidRDefault="00BC0563">
            <w:pPr>
              <w:pStyle w:val="TableParagraph"/>
              <w:spacing w:before="81"/>
              <w:ind w:left="58" w:right="45"/>
              <w:jc w:val="center"/>
              <w:rPr>
                <w:sz w:val="12"/>
              </w:rPr>
            </w:pPr>
            <w:r>
              <w:rPr>
                <w:color w:val="231F20"/>
                <w:sz w:val="12"/>
              </w:rPr>
              <w:t>3.1.4.a</w:t>
            </w:r>
          </w:p>
        </w:tc>
        <w:tc>
          <w:tcPr>
            <w:tcW w:w="4896" w:type="dxa"/>
            <w:gridSpan w:val="2"/>
            <w:tcBorders>
              <w:top w:val="single" w:sz="6" w:space="0" w:color="231F20"/>
              <w:left w:val="single" w:sz="6" w:space="0" w:color="231F20"/>
              <w:bottom w:val="single" w:sz="6" w:space="0" w:color="231F20"/>
              <w:right w:val="single" w:sz="6" w:space="0" w:color="231F20"/>
            </w:tcBorders>
          </w:tcPr>
          <w:p w14:paraId="35413736" w14:textId="77777777" w:rsidR="009948F1" w:rsidRDefault="009948F1">
            <w:pPr>
              <w:pStyle w:val="TableParagraph"/>
              <w:spacing w:before="2"/>
              <w:rPr>
                <w:b/>
                <w:sz w:val="12"/>
              </w:rPr>
            </w:pPr>
          </w:p>
          <w:p w14:paraId="21EFD5E8" w14:textId="77777777" w:rsidR="009948F1" w:rsidRDefault="00BC0563">
            <w:pPr>
              <w:pStyle w:val="TableParagraph"/>
              <w:spacing w:before="1" w:line="259" w:lineRule="auto"/>
              <w:ind w:left="21" w:right="8"/>
              <w:rPr>
                <w:sz w:val="12"/>
              </w:rPr>
            </w:pPr>
            <w:r>
              <w:rPr>
                <w:color w:val="231F20"/>
                <w:sz w:val="12"/>
              </w:rPr>
              <w:t xml:space="preserve">Explore the feasibility of different models of implementation of health </w:t>
            </w:r>
            <w:proofErr w:type="spellStart"/>
            <w:r>
              <w:rPr>
                <w:color w:val="231F20"/>
                <w:sz w:val="12"/>
              </w:rPr>
              <w:t>programmes</w:t>
            </w:r>
            <w:proofErr w:type="spellEnd"/>
            <w:r>
              <w:rPr>
                <w:color w:val="231F20"/>
                <w:sz w:val="12"/>
              </w:rPr>
              <w:t xml:space="preserve"> including Performance-Based Financing (PBF)</w:t>
            </w:r>
          </w:p>
        </w:tc>
        <w:tc>
          <w:tcPr>
            <w:tcW w:w="1428" w:type="dxa"/>
            <w:tcBorders>
              <w:top w:val="single" w:sz="6" w:space="0" w:color="231F20"/>
              <w:left w:val="single" w:sz="6" w:space="0" w:color="231F20"/>
              <w:bottom w:val="single" w:sz="6" w:space="0" w:color="231F20"/>
            </w:tcBorders>
          </w:tcPr>
          <w:p w14:paraId="08EDDD1B" w14:textId="77777777" w:rsidR="009948F1" w:rsidRDefault="009948F1">
            <w:pPr>
              <w:pStyle w:val="TableParagraph"/>
              <w:rPr>
                <w:b/>
                <w:sz w:val="12"/>
              </w:rPr>
            </w:pPr>
          </w:p>
          <w:p w14:paraId="284814A6" w14:textId="77777777" w:rsidR="009948F1" w:rsidRDefault="00BC0563">
            <w:pPr>
              <w:pStyle w:val="TableParagraph"/>
              <w:spacing w:before="81"/>
              <w:ind w:left="19"/>
              <w:rPr>
                <w:sz w:val="12"/>
              </w:rPr>
            </w:pPr>
            <w:r>
              <w:rPr>
                <w:color w:val="231F20"/>
                <w:sz w:val="12"/>
              </w:rPr>
              <w:t>Lack of funds</w:t>
            </w:r>
          </w:p>
        </w:tc>
        <w:tc>
          <w:tcPr>
            <w:tcW w:w="1505" w:type="dxa"/>
            <w:tcBorders>
              <w:top w:val="single" w:sz="6" w:space="0" w:color="231F20"/>
              <w:bottom w:val="single" w:sz="6" w:space="0" w:color="231F20"/>
              <w:right w:val="single" w:sz="6" w:space="0" w:color="231F20"/>
            </w:tcBorders>
          </w:tcPr>
          <w:p w14:paraId="704CF4DA" w14:textId="77777777" w:rsidR="009948F1" w:rsidRDefault="009948F1">
            <w:pPr>
              <w:pStyle w:val="TableParagraph"/>
              <w:rPr>
                <w:b/>
                <w:sz w:val="12"/>
              </w:rPr>
            </w:pPr>
          </w:p>
          <w:p w14:paraId="535A3326" w14:textId="77777777" w:rsidR="009948F1" w:rsidRDefault="00BC0563">
            <w:pPr>
              <w:pStyle w:val="TableParagraph"/>
              <w:spacing w:before="81"/>
              <w:ind w:left="15"/>
              <w:rPr>
                <w:sz w:val="12"/>
              </w:rPr>
            </w:pPr>
            <w:r>
              <w:rPr>
                <w:color w:val="231F20"/>
                <w:sz w:val="12"/>
              </w:rPr>
              <w:t>Conduct meeting</w:t>
            </w:r>
          </w:p>
        </w:tc>
      </w:tr>
      <w:tr w:rsidR="009948F1" w14:paraId="68560AAD" w14:textId="77777777">
        <w:trPr>
          <w:trHeight w:val="473"/>
        </w:trPr>
        <w:tc>
          <w:tcPr>
            <w:tcW w:w="995" w:type="dxa"/>
            <w:gridSpan w:val="3"/>
            <w:vMerge/>
            <w:tcBorders>
              <w:top w:val="nil"/>
              <w:left w:val="single" w:sz="6" w:space="0" w:color="231F20"/>
              <w:right w:val="single" w:sz="6" w:space="0" w:color="231F20"/>
            </w:tcBorders>
          </w:tcPr>
          <w:p w14:paraId="49C900EC" w14:textId="77777777" w:rsidR="009948F1" w:rsidRDefault="009948F1">
            <w:pPr>
              <w:rPr>
                <w:sz w:val="2"/>
                <w:szCs w:val="2"/>
              </w:rPr>
            </w:pPr>
          </w:p>
        </w:tc>
        <w:tc>
          <w:tcPr>
            <w:tcW w:w="526" w:type="dxa"/>
            <w:tcBorders>
              <w:top w:val="single" w:sz="6" w:space="0" w:color="231F20"/>
              <w:left w:val="single" w:sz="6" w:space="0" w:color="231F20"/>
              <w:right w:val="single" w:sz="6" w:space="0" w:color="231F20"/>
            </w:tcBorders>
          </w:tcPr>
          <w:p w14:paraId="3F352FEE" w14:textId="77777777" w:rsidR="009948F1" w:rsidRDefault="009948F1">
            <w:pPr>
              <w:pStyle w:val="TableParagraph"/>
              <w:spacing w:before="8"/>
              <w:rPr>
                <w:b/>
                <w:sz w:val="14"/>
              </w:rPr>
            </w:pPr>
          </w:p>
          <w:p w14:paraId="767CA143" w14:textId="77777777" w:rsidR="009948F1" w:rsidRDefault="00BC0563">
            <w:pPr>
              <w:pStyle w:val="TableParagraph"/>
              <w:spacing w:before="1"/>
              <w:ind w:left="58" w:right="45"/>
              <w:jc w:val="center"/>
              <w:rPr>
                <w:sz w:val="12"/>
              </w:rPr>
            </w:pPr>
            <w:r>
              <w:rPr>
                <w:color w:val="231F20"/>
                <w:sz w:val="12"/>
              </w:rPr>
              <w:t>3.1.4.b</w:t>
            </w:r>
          </w:p>
        </w:tc>
        <w:tc>
          <w:tcPr>
            <w:tcW w:w="4896" w:type="dxa"/>
            <w:gridSpan w:val="2"/>
            <w:tcBorders>
              <w:top w:val="single" w:sz="6" w:space="0" w:color="231F20"/>
              <w:left w:val="single" w:sz="6" w:space="0" w:color="231F20"/>
              <w:right w:val="single" w:sz="6" w:space="0" w:color="231F20"/>
            </w:tcBorders>
          </w:tcPr>
          <w:p w14:paraId="26438572" w14:textId="77777777" w:rsidR="009948F1" w:rsidRDefault="009948F1">
            <w:pPr>
              <w:pStyle w:val="TableParagraph"/>
              <w:spacing w:before="3"/>
              <w:rPr>
                <w:b/>
                <w:sz w:val="14"/>
              </w:rPr>
            </w:pPr>
          </w:p>
          <w:p w14:paraId="076334DE" w14:textId="77777777" w:rsidR="009948F1" w:rsidRDefault="00BC0563">
            <w:pPr>
              <w:pStyle w:val="TableParagraph"/>
              <w:spacing w:before="1"/>
              <w:ind w:left="21"/>
              <w:rPr>
                <w:sz w:val="12"/>
              </w:rPr>
            </w:pPr>
            <w:r>
              <w:rPr>
                <w:color w:val="231F20"/>
                <w:sz w:val="12"/>
              </w:rPr>
              <w:t>Engage in PPP collaboration with interested bodies</w:t>
            </w:r>
          </w:p>
        </w:tc>
        <w:tc>
          <w:tcPr>
            <w:tcW w:w="1428" w:type="dxa"/>
            <w:tcBorders>
              <w:top w:val="single" w:sz="6" w:space="0" w:color="231F20"/>
              <w:left w:val="single" w:sz="6" w:space="0" w:color="231F20"/>
            </w:tcBorders>
          </w:tcPr>
          <w:p w14:paraId="03EFE2F2" w14:textId="77777777" w:rsidR="009948F1" w:rsidRDefault="00BC0563">
            <w:pPr>
              <w:pStyle w:val="TableParagraph"/>
              <w:spacing w:before="95" w:line="259" w:lineRule="auto"/>
              <w:ind w:left="19"/>
              <w:rPr>
                <w:sz w:val="12"/>
              </w:rPr>
            </w:pPr>
            <w:r>
              <w:rPr>
                <w:color w:val="231F20"/>
                <w:sz w:val="12"/>
              </w:rPr>
              <w:t>Lack of funds &amp; collaboration</w:t>
            </w:r>
          </w:p>
        </w:tc>
        <w:tc>
          <w:tcPr>
            <w:tcW w:w="1505" w:type="dxa"/>
            <w:tcBorders>
              <w:top w:val="single" w:sz="6" w:space="0" w:color="231F20"/>
              <w:bottom w:val="single" w:sz="6" w:space="0" w:color="231F20"/>
              <w:right w:val="single" w:sz="6" w:space="0" w:color="231F20"/>
            </w:tcBorders>
          </w:tcPr>
          <w:p w14:paraId="24E21D88" w14:textId="77777777" w:rsidR="009948F1" w:rsidRDefault="009948F1">
            <w:pPr>
              <w:pStyle w:val="TableParagraph"/>
              <w:spacing w:before="8"/>
              <w:rPr>
                <w:b/>
                <w:sz w:val="14"/>
              </w:rPr>
            </w:pPr>
          </w:p>
          <w:p w14:paraId="1193A60D" w14:textId="77777777" w:rsidR="009948F1" w:rsidRDefault="00BC0563">
            <w:pPr>
              <w:pStyle w:val="TableParagraph"/>
              <w:spacing w:before="1"/>
              <w:ind w:left="15"/>
              <w:rPr>
                <w:sz w:val="12"/>
              </w:rPr>
            </w:pPr>
            <w:r>
              <w:rPr>
                <w:color w:val="231F20"/>
                <w:sz w:val="12"/>
              </w:rPr>
              <w:t>Engage in PPP</w:t>
            </w:r>
          </w:p>
        </w:tc>
      </w:tr>
    </w:tbl>
    <w:p w14:paraId="47E47367" w14:textId="77777777" w:rsidR="009948F1" w:rsidRDefault="009948F1">
      <w:pPr>
        <w:rPr>
          <w:sz w:val="12"/>
        </w:rPr>
        <w:sectPr w:rsidR="009948F1">
          <w:pgSz w:w="11910" w:h="16840"/>
          <w:pgMar w:top="1180" w:right="1080" w:bottom="1340" w:left="1120" w:header="0" w:footer="1155" w:gutter="0"/>
          <w:cols w:space="720"/>
        </w:sectPr>
      </w:pPr>
    </w:p>
    <w:p w14:paraId="222C071E" w14:textId="77777777" w:rsidR="009948F1" w:rsidRDefault="00244DD0">
      <w:pPr>
        <w:pStyle w:val="BodyText"/>
        <w:rPr>
          <w:b/>
          <w:sz w:val="20"/>
        </w:rPr>
      </w:pPr>
      <w:r>
        <w:lastRenderedPageBreak/>
        <w:pict w14:anchorId="7EA1FE77">
          <v:shape id="_x0000_s2057" type="#_x0000_t202" style="position:absolute;margin-left:67.05pt;margin-top:69.8pt;width:461.2pt;height:669.65pt;z-index:15747072;mso-position-horizontal-relative:page;mso-position-vertical-relative:page" filled="f" stroked="f">
            <v:textbox inset="0,0,0,0">
              <w:txbxContent>
                <w:tbl>
                  <w:tblPr>
                    <w:tblW w:w="0" w:type="auto"/>
                    <w:tblInd w:w="1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79"/>
                    <w:gridCol w:w="549"/>
                    <w:gridCol w:w="2621"/>
                    <w:gridCol w:w="2488"/>
                    <w:gridCol w:w="1490"/>
                    <w:gridCol w:w="1569"/>
                  </w:tblGrid>
                  <w:tr w:rsidR="00080B77" w14:paraId="264DC4AB" w14:textId="77777777">
                    <w:trPr>
                      <w:trHeight w:val="689"/>
                    </w:trPr>
                    <w:tc>
                      <w:tcPr>
                        <w:tcW w:w="479" w:type="dxa"/>
                        <w:tcBorders>
                          <w:left w:val="single" w:sz="8" w:space="0" w:color="231F20"/>
                        </w:tcBorders>
                        <w:shd w:val="clear" w:color="auto" w:fill="CCE7D3"/>
                      </w:tcPr>
                      <w:p w14:paraId="06AE3B2F" w14:textId="77777777" w:rsidR="00080B77" w:rsidRDefault="00080B77">
                        <w:pPr>
                          <w:pStyle w:val="TableParagraph"/>
                          <w:rPr>
                            <w:sz w:val="12"/>
                          </w:rPr>
                        </w:pPr>
                      </w:p>
                      <w:p w14:paraId="65213F62" w14:textId="77777777" w:rsidR="00080B77" w:rsidRDefault="00080B77">
                        <w:pPr>
                          <w:pStyle w:val="TableParagraph"/>
                          <w:spacing w:before="5"/>
                          <w:rPr>
                            <w:sz w:val="11"/>
                          </w:rPr>
                        </w:pPr>
                      </w:p>
                      <w:p w14:paraId="47896D1D" w14:textId="77777777" w:rsidR="00080B77" w:rsidRDefault="00080B77">
                        <w:pPr>
                          <w:pStyle w:val="TableParagraph"/>
                          <w:ind w:left="61"/>
                          <w:rPr>
                            <w:sz w:val="13"/>
                          </w:rPr>
                        </w:pPr>
                        <w:r>
                          <w:rPr>
                            <w:color w:val="231F20"/>
                            <w:sz w:val="13"/>
                          </w:rPr>
                          <w:t>3.1.5</w:t>
                        </w:r>
                      </w:p>
                    </w:tc>
                    <w:tc>
                      <w:tcPr>
                        <w:tcW w:w="3170" w:type="dxa"/>
                        <w:gridSpan w:val="2"/>
                        <w:shd w:val="clear" w:color="auto" w:fill="CCE7D3"/>
                      </w:tcPr>
                      <w:p w14:paraId="7E2BDB8E" w14:textId="77777777" w:rsidR="00080B77" w:rsidRDefault="00080B77">
                        <w:pPr>
                          <w:pStyle w:val="TableParagraph"/>
                          <w:rPr>
                            <w:sz w:val="16"/>
                          </w:rPr>
                        </w:pPr>
                      </w:p>
                      <w:p w14:paraId="7392D79C" w14:textId="77777777" w:rsidR="00080B77" w:rsidRDefault="00080B77">
                        <w:pPr>
                          <w:pStyle w:val="TableParagraph"/>
                          <w:spacing w:before="1" w:line="259" w:lineRule="auto"/>
                          <w:ind w:left="25" w:right="49" w:firstLine="34"/>
                          <w:rPr>
                            <w:sz w:val="13"/>
                          </w:rPr>
                        </w:pPr>
                        <w:r>
                          <w:rPr>
                            <w:color w:val="231F20"/>
                            <w:sz w:val="13"/>
                          </w:rPr>
                          <w:t>Scale-up</w:t>
                        </w:r>
                        <w:r>
                          <w:rPr>
                            <w:color w:val="231F20"/>
                            <w:spacing w:val="-22"/>
                            <w:sz w:val="13"/>
                          </w:rPr>
                          <w:t xml:space="preserve"> </w:t>
                        </w:r>
                        <w:r>
                          <w:rPr>
                            <w:color w:val="231F20"/>
                            <w:sz w:val="13"/>
                          </w:rPr>
                          <w:t>PPP</w:t>
                        </w:r>
                        <w:r>
                          <w:rPr>
                            <w:color w:val="231F20"/>
                            <w:spacing w:val="-23"/>
                            <w:sz w:val="13"/>
                          </w:rPr>
                          <w:t xml:space="preserve"> </w:t>
                        </w:r>
                        <w:r>
                          <w:rPr>
                            <w:color w:val="231F20"/>
                            <w:sz w:val="13"/>
                          </w:rPr>
                          <w:t>in</w:t>
                        </w:r>
                        <w:r>
                          <w:rPr>
                            <w:color w:val="231F20"/>
                            <w:spacing w:val="-21"/>
                            <w:sz w:val="13"/>
                          </w:rPr>
                          <w:t xml:space="preserve"> </w:t>
                        </w:r>
                        <w:r>
                          <w:rPr>
                            <w:color w:val="231F20"/>
                            <w:sz w:val="13"/>
                          </w:rPr>
                          <w:t>planning</w:t>
                        </w:r>
                        <w:r>
                          <w:rPr>
                            <w:color w:val="231F20"/>
                            <w:spacing w:val="-22"/>
                            <w:sz w:val="13"/>
                          </w:rPr>
                          <w:t xml:space="preserve"> </w:t>
                        </w:r>
                        <w:r>
                          <w:rPr>
                            <w:color w:val="231F20"/>
                            <w:sz w:val="13"/>
                          </w:rPr>
                          <w:t>and</w:t>
                        </w:r>
                        <w:r>
                          <w:rPr>
                            <w:color w:val="231F20"/>
                            <w:spacing w:val="-22"/>
                            <w:sz w:val="13"/>
                          </w:rPr>
                          <w:t xml:space="preserve"> </w:t>
                        </w:r>
                        <w:r>
                          <w:rPr>
                            <w:color w:val="231F20"/>
                            <w:sz w:val="13"/>
                          </w:rPr>
                          <w:t>implementation</w:t>
                        </w:r>
                        <w:r>
                          <w:rPr>
                            <w:color w:val="231F20"/>
                            <w:spacing w:val="-21"/>
                            <w:sz w:val="13"/>
                          </w:rPr>
                          <w:t xml:space="preserve"> </w:t>
                        </w:r>
                        <w:r>
                          <w:rPr>
                            <w:color w:val="231F20"/>
                            <w:sz w:val="13"/>
                          </w:rPr>
                          <w:t>of</w:t>
                        </w:r>
                        <w:r>
                          <w:rPr>
                            <w:color w:val="231F20"/>
                            <w:spacing w:val="-22"/>
                            <w:sz w:val="13"/>
                          </w:rPr>
                          <w:t xml:space="preserve"> </w:t>
                        </w:r>
                        <w:r>
                          <w:rPr>
                            <w:color w:val="231F20"/>
                            <w:sz w:val="13"/>
                          </w:rPr>
                          <w:t xml:space="preserve">health </w:t>
                        </w:r>
                        <w:proofErr w:type="spellStart"/>
                        <w:r>
                          <w:rPr>
                            <w:color w:val="231F20"/>
                            <w:sz w:val="13"/>
                          </w:rPr>
                          <w:t>programmes</w:t>
                        </w:r>
                        <w:proofErr w:type="spellEnd"/>
                      </w:p>
                    </w:tc>
                    <w:tc>
                      <w:tcPr>
                        <w:tcW w:w="2488" w:type="dxa"/>
                        <w:shd w:val="clear" w:color="auto" w:fill="CCE7D3"/>
                      </w:tcPr>
                      <w:p w14:paraId="636673C8" w14:textId="77777777" w:rsidR="00080B77" w:rsidRDefault="00080B77">
                        <w:pPr>
                          <w:pStyle w:val="TableParagraph"/>
                          <w:numPr>
                            <w:ilvl w:val="0"/>
                            <w:numId w:val="218"/>
                          </w:numPr>
                          <w:tabs>
                            <w:tab w:val="left" w:pos="104"/>
                          </w:tabs>
                          <w:spacing w:line="259" w:lineRule="auto"/>
                          <w:ind w:right="11" w:firstLine="0"/>
                          <w:rPr>
                            <w:sz w:val="13"/>
                          </w:rPr>
                        </w:pPr>
                        <w:r>
                          <w:rPr>
                            <w:color w:val="231F20"/>
                            <w:sz w:val="13"/>
                          </w:rPr>
                          <w:t>Private</w:t>
                        </w:r>
                        <w:r>
                          <w:rPr>
                            <w:color w:val="231F20"/>
                            <w:spacing w:val="-24"/>
                            <w:sz w:val="13"/>
                          </w:rPr>
                          <w:t xml:space="preserve"> </w:t>
                        </w:r>
                        <w:r>
                          <w:rPr>
                            <w:color w:val="231F20"/>
                            <w:sz w:val="13"/>
                          </w:rPr>
                          <w:t>sector</w:t>
                        </w:r>
                        <w:r>
                          <w:rPr>
                            <w:color w:val="231F20"/>
                            <w:spacing w:val="-23"/>
                            <w:sz w:val="13"/>
                          </w:rPr>
                          <w:t xml:space="preserve"> </w:t>
                        </w:r>
                        <w:r>
                          <w:rPr>
                            <w:color w:val="231F20"/>
                            <w:sz w:val="13"/>
                          </w:rPr>
                          <w:t>engaged</w:t>
                        </w:r>
                        <w:r>
                          <w:rPr>
                            <w:color w:val="231F20"/>
                            <w:spacing w:val="-23"/>
                            <w:sz w:val="13"/>
                          </w:rPr>
                          <w:t xml:space="preserve"> </w:t>
                        </w:r>
                        <w:r>
                          <w:rPr>
                            <w:color w:val="231F20"/>
                            <w:sz w:val="13"/>
                          </w:rPr>
                          <w:t>in</w:t>
                        </w:r>
                        <w:r>
                          <w:rPr>
                            <w:color w:val="231F20"/>
                            <w:spacing w:val="-24"/>
                            <w:sz w:val="13"/>
                          </w:rPr>
                          <w:t xml:space="preserve"> </w:t>
                        </w:r>
                        <w:r>
                          <w:rPr>
                            <w:color w:val="231F20"/>
                            <w:sz w:val="13"/>
                          </w:rPr>
                          <w:t>the</w:t>
                        </w:r>
                        <w:r>
                          <w:rPr>
                            <w:color w:val="231F20"/>
                            <w:spacing w:val="-23"/>
                            <w:sz w:val="13"/>
                          </w:rPr>
                          <w:t xml:space="preserve"> </w:t>
                        </w:r>
                        <w:r>
                          <w:rPr>
                            <w:color w:val="231F20"/>
                            <w:sz w:val="13"/>
                          </w:rPr>
                          <w:t>development of</w:t>
                        </w:r>
                        <w:r>
                          <w:rPr>
                            <w:color w:val="231F20"/>
                            <w:spacing w:val="9"/>
                            <w:sz w:val="13"/>
                          </w:rPr>
                          <w:t xml:space="preserve"> </w:t>
                        </w:r>
                        <w:r>
                          <w:rPr>
                            <w:color w:val="231F20"/>
                            <w:sz w:val="13"/>
                          </w:rPr>
                          <w:t>strategic</w:t>
                        </w:r>
                        <w:r>
                          <w:rPr>
                            <w:color w:val="231F20"/>
                            <w:spacing w:val="-14"/>
                            <w:sz w:val="13"/>
                          </w:rPr>
                          <w:t xml:space="preserve"> </w:t>
                        </w:r>
                        <w:r>
                          <w:rPr>
                            <w:color w:val="231F20"/>
                            <w:sz w:val="13"/>
                          </w:rPr>
                          <w:t>plan</w:t>
                        </w:r>
                        <w:r>
                          <w:rPr>
                            <w:color w:val="231F20"/>
                            <w:spacing w:val="-13"/>
                            <w:sz w:val="13"/>
                          </w:rPr>
                          <w:t xml:space="preserve"> </w:t>
                        </w:r>
                        <w:r>
                          <w:rPr>
                            <w:color w:val="231F20"/>
                            <w:sz w:val="13"/>
                          </w:rPr>
                          <w:t>and</w:t>
                        </w:r>
                        <w:r>
                          <w:rPr>
                            <w:color w:val="231F20"/>
                            <w:spacing w:val="-18"/>
                            <w:sz w:val="13"/>
                          </w:rPr>
                          <w:t xml:space="preserve"> </w:t>
                        </w:r>
                        <w:r>
                          <w:rPr>
                            <w:color w:val="231F20"/>
                            <w:sz w:val="13"/>
                          </w:rPr>
                          <w:t>AOPs</w:t>
                        </w:r>
                        <w:r>
                          <w:rPr>
                            <w:color w:val="231F20"/>
                            <w:spacing w:val="-13"/>
                            <w:sz w:val="13"/>
                          </w:rPr>
                          <w:t xml:space="preserve"> </w:t>
                        </w:r>
                        <w:r>
                          <w:rPr>
                            <w:color w:val="231F20"/>
                            <w:sz w:val="13"/>
                          </w:rPr>
                          <w:t>&amp;</w:t>
                        </w:r>
                        <w:r>
                          <w:rPr>
                            <w:color w:val="231F20"/>
                            <w:spacing w:val="-14"/>
                            <w:sz w:val="13"/>
                          </w:rPr>
                          <w:t xml:space="preserve"> </w:t>
                        </w:r>
                        <w:r>
                          <w:rPr>
                            <w:color w:val="231F20"/>
                            <w:sz w:val="13"/>
                          </w:rPr>
                          <w:t>performance reviewed</w:t>
                        </w:r>
                      </w:p>
                      <w:p w14:paraId="6C74A016" w14:textId="77777777" w:rsidR="00080B77" w:rsidRDefault="00080B77">
                        <w:pPr>
                          <w:pStyle w:val="TableParagraph"/>
                          <w:spacing w:line="149" w:lineRule="exact"/>
                          <w:ind w:left="25"/>
                          <w:rPr>
                            <w:sz w:val="13"/>
                          </w:rPr>
                        </w:pPr>
                        <w:r>
                          <w:rPr>
                            <w:color w:val="231F20"/>
                            <w:w w:val="95"/>
                            <w:sz w:val="13"/>
                          </w:rPr>
                          <w:t>•</w:t>
                        </w:r>
                      </w:p>
                    </w:tc>
                    <w:tc>
                      <w:tcPr>
                        <w:tcW w:w="1490" w:type="dxa"/>
                        <w:tcBorders>
                          <w:right w:val="single" w:sz="8" w:space="0" w:color="231F20"/>
                        </w:tcBorders>
                        <w:shd w:val="clear" w:color="auto" w:fill="CCE7D3"/>
                      </w:tcPr>
                      <w:p w14:paraId="512E636D"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7BA93B1D" w14:textId="77777777" w:rsidR="00080B77" w:rsidRDefault="00080B77">
                        <w:pPr>
                          <w:pStyle w:val="TableParagraph"/>
                          <w:rPr>
                            <w:rFonts w:ascii="Times New Roman"/>
                            <w:sz w:val="12"/>
                          </w:rPr>
                        </w:pPr>
                      </w:p>
                    </w:tc>
                  </w:tr>
                  <w:tr w:rsidR="00080B77" w14:paraId="7B162010" w14:textId="77777777">
                    <w:trPr>
                      <w:trHeight w:val="404"/>
                    </w:trPr>
                    <w:tc>
                      <w:tcPr>
                        <w:tcW w:w="479" w:type="dxa"/>
                        <w:tcBorders>
                          <w:left w:val="single" w:sz="8" w:space="0" w:color="231F20"/>
                        </w:tcBorders>
                      </w:tcPr>
                      <w:p w14:paraId="107E94CA" w14:textId="77777777" w:rsidR="00080B77" w:rsidRDefault="00080B77">
                        <w:pPr>
                          <w:pStyle w:val="TableParagraph"/>
                          <w:rPr>
                            <w:rFonts w:ascii="Times New Roman"/>
                            <w:sz w:val="12"/>
                          </w:rPr>
                        </w:pPr>
                      </w:p>
                    </w:tc>
                    <w:tc>
                      <w:tcPr>
                        <w:tcW w:w="549" w:type="dxa"/>
                      </w:tcPr>
                      <w:p w14:paraId="631EB37E" w14:textId="77777777" w:rsidR="00080B77" w:rsidRDefault="00080B77">
                        <w:pPr>
                          <w:pStyle w:val="TableParagraph"/>
                          <w:rPr>
                            <w:sz w:val="11"/>
                          </w:rPr>
                        </w:pPr>
                      </w:p>
                      <w:p w14:paraId="2BD8C5C3" w14:textId="77777777" w:rsidR="00080B77" w:rsidRDefault="00080B77">
                        <w:pPr>
                          <w:pStyle w:val="TableParagraph"/>
                          <w:ind w:left="87"/>
                          <w:rPr>
                            <w:sz w:val="13"/>
                          </w:rPr>
                        </w:pPr>
                        <w:r>
                          <w:rPr>
                            <w:color w:val="231F20"/>
                            <w:sz w:val="13"/>
                          </w:rPr>
                          <w:t>3.1.5.a</w:t>
                        </w:r>
                      </w:p>
                    </w:tc>
                    <w:tc>
                      <w:tcPr>
                        <w:tcW w:w="5109" w:type="dxa"/>
                        <w:gridSpan w:val="2"/>
                      </w:tcPr>
                      <w:p w14:paraId="36278D47" w14:textId="77777777" w:rsidR="00080B77" w:rsidRDefault="00080B77">
                        <w:pPr>
                          <w:pStyle w:val="TableParagraph"/>
                          <w:spacing w:line="88" w:lineRule="exact"/>
                          <w:ind w:left="243"/>
                          <w:jc w:val="center"/>
                          <w:rPr>
                            <w:sz w:val="13"/>
                          </w:rPr>
                        </w:pPr>
                        <w:r>
                          <w:rPr>
                            <w:color w:val="231F20"/>
                            <w:w w:val="95"/>
                            <w:sz w:val="13"/>
                          </w:rPr>
                          <w:t>•</w:t>
                        </w:r>
                      </w:p>
                      <w:p w14:paraId="2663A28E" w14:textId="77777777" w:rsidR="00080B77" w:rsidRDefault="00080B77">
                        <w:pPr>
                          <w:pStyle w:val="TableParagraph"/>
                          <w:spacing w:before="34"/>
                          <w:ind w:left="33" w:right="1009"/>
                          <w:jc w:val="center"/>
                          <w:rPr>
                            <w:sz w:val="13"/>
                          </w:rPr>
                        </w:pPr>
                        <w:r>
                          <w:rPr>
                            <w:color w:val="231F20"/>
                            <w:sz w:val="13"/>
                          </w:rPr>
                          <w:t>Engage</w:t>
                        </w:r>
                        <w:r>
                          <w:rPr>
                            <w:color w:val="231F20"/>
                            <w:spacing w:val="-17"/>
                            <w:sz w:val="13"/>
                          </w:rPr>
                          <w:t xml:space="preserve"> </w:t>
                        </w:r>
                        <w:r>
                          <w:rPr>
                            <w:color w:val="231F20"/>
                            <w:sz w:val="13"/>
                          </w:rPr>
                          <w:t>the</w:t>
                        </w:r>
                        <w:r>
                          <w:rPr>
                            <w:color w:val="231F20"/>
                            <w:spacing w:val="-17"/>
                            <w:sz w:val="13"/>
                          </w:rPr>
                          <w:t xml:space="preserve"> </w:t>
                        </w:r>
                        <w:r>
                          <w:rPr>
                            <w:color w:val="231F20"/>
                            <w:sz w:val="13"/>
                          </w:rPr>
                          <w:t>private</w:t>
                        </w:r>
                        <w:r>
                          <w:rPr>
                            <w:color w:val="231F20"/>
                            <w:spacing w:val="-16"/>
                            <w:sz w:val="13"/>
                          </w:rPr>
                          <w:t xml:space="preserve"> </w:t>
                        </w:r>
                        <w:r>
                          <w:rPr>
                            <w:color w:val="231F20"/>
                            <w:sz w:val="13"/>
                          </w:rPr>
                          <w:t>sector</w:t>
                        </w:r>
                        <w:r>
                          <w:rPr>
                            <w:color w:val="231F20"/>
                            <w:spacing w:val="-17"/>
                            <w:sz w:val="13"/>
                          </w:rPr>
                          <w:t xml:space="preserve"> </w:t>
                        </w:r>
                        <w:r>
                          <w:rPr>
                            <w:color w:val="231F20"/>
                            <w:sz w:val="13"/>
                          </w:rPr>
                          <w:t>in</w:t>
                        </w:r>
                        <w:r>
                          <w:rPr>
                            <w:color w:val="231F20"/>
                            <w:spacing w:val="-17"/>
                            <w:sz w:val="13"/>
                          </w:rPr>
                          <w:t xml:space="preserve"> </w:t>
                        </w:r>
                        <w:r>
                          <w:rPr>
                            <w:color w:val="231F20"/>
                            <w:sz w:val="13"/>
                          </w:rPr>
                          <w:t>the</w:t>
                        </w:r>
                        <w:r>
                          <w:rPr>
                            <w:color w:val="231F20"/>
                            <w:spacing w:val="-16"/>
                            <w:sz w:val="13"/>
                          </w:rPr>
                          <w:t xml:space="preserve"> </w:t>
                        </w:r>
                        <w:r>
                          <w:rPr>
                            <w:color w:val="231F20"/>
                            <w:sz w:val="13"/>
                          </w:rPr>
                          <w:t>development</w:t>
                        </w:r>
                        <w:r>
                          <w:rPr>
                            <w:color w:val="231F20"/>
                            <w:spacing w:val="-17"/>
                            <w:sz w:val="13"/>
                          </w:rPr>
                          <w:t xml:space="preserve"> </w:t>
                        </w:r>
                        <w:r>
                          <w:rPr>
                            <w:color w:val="231F20"/>
                            <w:sz w:val="13"/>
                          </w:rPr>
                          <w:t>of</w:t>
                        </w:r>
                        <w:r>
                          <w:rPr>
                            <w:color w:val="231F20"/>
                            <w:spacing w:val="-17"/>
                            <w:sz w:val="13"/>
                          </w:rPr>
                          <w:t xml:space="preserve"> </w:t>
                        </w:r>
                        <w:r>
                          <w:rPr>
                            <w:color w:val="231F20"/>
                            <w:sz w:val="13"/>
                          </w:rPr>
                          <w:t>strategic</w:t>
                        </w:r>
                        <w:r>
                          <w:rPr>
                            <w:color w:val="231F20"/>
                            <w:spacing w:val="-16"/>
                            <w:sz w:val="13"/>
                          </w:rPr>
                          <w:t xml:space="preserve"> </w:t>
                        </w:r>
                        <w:r>
                          <w:rPr>
                            <w:color w:val="231F20"/>
                            <w:sz w:val="13"/>
                          </w:rPr>
                          <w:t>plan</w:t>
                        </w:r>
                        <w:r>
                          <w:rPr>
                            <w:color w:val="231F20"/>
                            <w:spacing w:val="-17"/>
                            <w:sz w:val="13"/>
                          </w:rPr>
                          <w:t xml:space="preserve"> </w:t>
                        </w:r>
                        <w:r>
                          <w:rPr>
                            <w:color w:val="231F20"/>
                            <w:sz w:val="13"/>
                          </w:rPr>
                          <w:t>and</w:t>
                        </w:r>
                        <w:r>
                          <w:rPr>
                            <w:color w:val="231F20"/>
                            <w:spacing w:val="-20"/>
                            <w:sz w:val="13"/>
                          </w:rPr>
                          <w:t xml:space="preserve"> </w:t>
                        </w:r>
                        <w:r>
                          <w:rPr>
                            <w:color w:val="231F20"/>
                            <w:sz w:val="13"/>
                          </w:rPr>
                          <w:t>AOPs</w:t>
                        </w:r>
                      </w:p>
                    </w:tc>
                    <w:tc>
                      <w:tcPr>
                        <w:tcW w:w="1490" w:type="dxa"/>
                        <w:tcBorders>
                          <w:right w:val="single" w:sz="8" w:space="0" w:color="231F20"/>
                        </w:tcBorders>
                      </w:tcPr>
                      <w:p w14:paraId="575FD92E" w14:textId="77777777" w:rsidR="00080B77" w:rsidRDefault="00080B77">
                        <w:pPr>
                          <w:pStyle w:val="TableParagraph"/>
                          <w:spacing w:before="47" w:line="259" w:lineRule="auto"/>
                          <w:ind w:left="26" w:right="46"/>
                          <w:rPr>
                            <w:sz w:val="13"/>
                          </w:rPr>
                        </w:pPr>
                        <w:r>
                          <w:rPr>
                            <w:color w:val="231F20"/>
                            <w:sz w:val="13"/>
                          </w:rPr>
                          <w:t>Lack of funds &amp; collaboration</w:t>
                        </w:r>
                      </w:p>
                    </w:tc>
                    <w:tc>
                      <w:tcPr>
                        <w:tcW w:w="1569" w:type="dxa"/>
                        <w:tcBorders>
                          <w:left w:val="single" w:sz="8" w:space="0" w:color="231F20"/>
                        </w:tcBorders>
                      </w:tcPr>
                      <w:p w14:paraId="131BB160" w14:textId="77777777" w:rsidR="00080B77" w:rsidRDefault="00080B77">
                        <w:pPr>
                          <w:pStyle w:val="TableParagraph"/>
                          <w:rPr>
                            <w:sz w:val="11"/>
                          </w:rPr>
                        </w:pPr>
                      </w:p>
                      <w:p w14:paraId="2870666D" w14:textId="77777777" w:rsidR="00080B77" w:rsidRDefault="00080B77">
                        <w:pPr>
                          <w:pStyle w:val="TableParagraph"/>
                          <w:ind w:left="23"/>
                          <w:rPr>
                            <w:sz w:val="13"/>
                          </w:rPr>
                        </w:pPr>
                        <w:r>
                          <w:rPr>
                            <w:color w:val="231F20"/>
                            <w:sz w:val="13"/>
                          </w:rPr>
                          <w:t>Conduct meeting</w:t>
                        </w:r>
                      </w:p>
                    </w:tc>
                  </w:tr>
                  <w:tr w:rsidR="00080B77" w14:paraId="22BBC114" w14:textId="77777777">
                    <w:trPr>
                      <w:trHeight w:val="570"/>
                    </w:trPr>
                    <w:tc>
                      <w:tcPr>
                        <w:tcW w:w="479" w:type="dxa"/>
                        <w:tcBorders>
                          <w:left w:val="single" w:sz="8" w:space="0" w:color="231F20"/>
                        </w:tcBorders>
                        <w:shd w:val="clear" w:color="auto" w:fill="CCE7D3"/>
                      </w:tcPr>
                      <w:p w14:paraId="1AD8F60F" w14:textId="77777777" w:rsidR="00080B77" w:rsidRDefault="00080B77">
                        <w:pPr>
                          <w:pStyle w:val="TableParagraph"/>
                          <w:rPr>
                            <w:sz w:val="12"/>
                          </w:rPr>
                        </w:pPr>
                      </w:p>
                      <w:p w14:paraId="106454D3" w14:textId="77777777" w:rsidR="00080B77" w:rsidRDefault="00080B77">
                        <w:pPr>
                          <w:pStyle w:val="TableParagraph"/>
                          <w:spacing w:before="73"/>
                          <w:ind w:left="61"/>
                          <w:rPr>
                            <w:sz w:val="13"/>
                          </w:rPr>
                        </w:pPr>
                        <w:r>
                          <w:rPr>
                            <w:color w:val="231F20"/>
                            <w:sz w:val="13"/>
                          </w:rPr>
                          <w:t>3.1.6</w:t>
                        </w:r>
                      </w:p>
                    </w:tc>
                    <w:tc>
                      <w:tcPr>
                        <w:tcW w:w="3170" w:type="dxa"/>
                        <w:gridSpan w:val="2"/>
                        <w:shd w:val="clear" w:color="auto" w:fill="CCE7D3"/>
                      </w:tcPr>
                      <w:p w14:paraId="7416DF0B" w14:textId="77777777" w:rsidR="00080B77" w:rsidRDefault="00080B77">
                        <w:pPr>
                          <w:pStyle w:val="TableParagraph"/>
                          <w:spacing w:before="9"/>
                          <w:rPr>
                            <w:sz w:val="10"/>
                          </w:rPr>
                        </w:pPr>
                      </w:p>
                      <w:p w14:paraId="2C779246" w14:textId="77777777" w:rsidR="00080B77" w:rsidRDefault="00080B77">
                        <w:pPr>
                          <w:pStyle w:val="TableParagraph"/>
                          <w:spacing w:line="259" w:lineRule="auto"/>
                          <w:ind w:left="25" w:right="245" w:firstLine="68"/>
                          <w:rPr>
                            <w:sz w:val="13"/>
                          </w:rPr>
                        </w:pPr>
                        <w:r>
                          <w:rPr>
                            <w:color w:val="231F20"/>
                            <w:sz w:val="13"/>
                          </w:rPr>
                          <w:t>Promote</w:t>
                        </w:r>
                        <w:r>
                          <w:rPr>
                            <w:color w:val="231F20"/>
                            <w:spacing w:val="-19"/>
                            <w:sz w:val="13"/>
                          </w:rPr>
                          <w:t xml:space="preserve"> </w:t>
                        </w:r>
                        <w:r>
                          <w:rPr>
                            <w:color w:val="231F20"/>
                            <w:sz w:val="13"/>
                          </w:rPr>
                          <w:t>joint</w:t>
                        </w:r>
                        <w:r>
                          <w:rPr>
                            <w:color w:val="231F20"/>
                            <w:spacing w:val="-19"/>
                            <w:sz w:val="13"/>
                          </w:rPr>
                          <w:t xml:space="preserve"> </w:t>
                        </w:r>
                        <w:r>
                          <w:rPr>
                            <w:color w:val="231F20"/>
                            <w:sz w:val="13"/>
                          </w:rPr>
                          <w:t>(public</w:t>
                        </w:r>
                        <w:r>
                          <w:rPr>
                            <w:color w:val="231F20"/>
                            <w:spacing w:val="-19"/>
                            <w:sz w:val="13"/>
                          </w:rPr>
                          <w:t xml:space="preserve"> </w:t>
                        </w:r>
                        <w:r>
                          <w:rPr>
                            <w:color w:val="231F20"/>
                            <w:sz w:val="13"/>
                          </w:rPr>
                          <w:t>and</w:t>
                        </w:r>
                        <w:r>
                          <w:rPr>
                            <w:color w:val="231F20"/>
                            <w:spacing w:val="-19"/>
                            <w:sz w:val="13"/>
                          </w:rPr>
                          <w:t xml:space="preserve"> </w:t>
                        </w:r>
                        <w:r>
                          <w:rPr>
                            <w:color w:val="231F20"/>
                            <w:sz w:val="13"/>
                          </w:rPr>
                          <w:t>private</w:t>
                        </w:r>
                        <w:r>
                          <w:rPr>
                            <w:color w:val="231F20"/>
                            <w:spacing w:val="-19"/>
                            <w:sz w:val="13"/>
                          </w:rPr>
                          <w:t xml:space="preserve"> </w:t>
                        </w:r>
                        <w:r>
                          <w:rPr>
                            <w:color w:val="231F20"/>
                            <w:sz w:val="13"/>
                          </w:rPr>
                          <w:t>sector)</w:t>
                        </w:r>
                        <w:r>
                          <w:rPr>
                            <w:color w:val="231F20"/>
                            <w:spacing w:val="-19"/>
                            <w:sz w:val="13"/>
                          </w:rPr>
                          <w:t xml:space="preserve"> </w:t>
                        </w:r>
                        <w:r>
                          <w:rPr>
                            <w:color w:val="231F20"/>
                            <w:spacing w:val="-3"/>
                            <w:sz w:val="13"/>
                          </w:rPr>
                          <w:t xml:space="preserve">monitoring </w:t>
                        </w:r>
                        <w:r>
                          <w:rPr>
                            <w:color w:val="231F20"/>
                            <w:sz w:val="13"/>
                          </w:rPr>
                          <w:t>and evaluation of health</w:t>
                        </w:r>
                        <w:r>
                          <w:rPr>
                            <w:color w:val="231F20"/>
                            <w:spacing w:val="-19"/>
                            <w:sz w:val="13"/>
                          </w:rPr>
                          <w:t xml:space="preserve"> </w:t>
                        </w:r>
                        <w:r>
                          <w:rPr>
                            <w:color w:val="231F20"/>
                            <w:sz w:val="13"/>
                          </w:rPr>
                          <w:t>programs</w:t>
                        </w:r>
                      </w:p>
                    </w:tc>
                    <w:tc>
                      <w:tcPr>
                        <w:tcW w:w="2488" w:type="dxa"/>
                        <w:shd w:val="clear" w:color="auto" w:fill="CCE7D3"/>
                      </w:tcPr>
                      <w:p w14:paraId="023342DA" w14:textId="77777777" w:rsidR="00080B77" w:rsidRDefault="00080B77">
                        <w:pPr>
                          <w:pStyle w:val="TableParagraph"/>
                          <w:numPr>
                            <w:ilvl w:val="0"/>
                            <w:numId w:val="217"/>
                          </w:numPr>
                          <w:tabs>
                            <w:tab w:val="left" w:pos="139"/>
                          </w:tabs>
                          <w:spacing w:line="259" w:lineRule="auto"/>
                          <w:ind w:right="314" w:firstLine="0"/>
                          <w:rPr>
                            <w:sz w:val="13"/>
                          </w:rPr>
                        </w:pPr>
                        <w:r>
                          <w:rPr>
                            <w:color w:val="231F20"/>
                            <w:sz w:val="13"/>
                          </w:rPr>
                          <w:t>Joint</w:t>
                        </w:r>
                        <w:r>
                          <w:rPr>
                            <w:color w:val="231F20"/>
                            <w:spacing w:val="-25"/>
                            <w:sz w:val="13"/>
                          </w:rPr>
                          <w:t xml:space="preserve"> </w:t>
                        </w:r>
                        <w:r>
                          <w:rPr>
                            <w:color w:val="231F20"/>
                            <w:sz w:val="13"/>
                          </w:rPr>
                          <w:t>public-private</w:t>
                        </w:r>
                        <w:r>
                          <w:rPr>
                            <w:color w:val="231F20"/>
                            <w:spacing w:val="-24"/>
                            <w:sz w:val="13"/>
                          </w:rPr>
                          <w:t xml:space="preserve"> </w:t>
                        </w:r>
                        <w:r>
                          <w:rPr>
                            <w:color w:val="231F20"/>
                            <w:sz w:val="13"/>
                          </w:rPr>
                          <w:t>sector</w:t>
                        </w:r>
                        <w:r>
                          <w:rPr>
                            <w:color w:val="231F20"/>
                            <w:spacing w:val="-24"/>
                            <w:sz w:val="13"/>
                          </w:rPr>
                          <w:t xml:space="preserve"> </w:t>
                        </w:r>
                        <w:r>
                          <w:rPr>
                            <w:color w:val="231F20"/>
                            <w:spacing w:val="-3"/>
                            <w:sz w:val="13"/>
                          </w:rPr>
                          <w:t xml:space="preserve">monitoring </w:t>
                        </w:r>
                        <w:r>
                          <w:rPr>
                            <w:color w:val="231F20"/>
                            <w:sz w:val="13"/>
                          </w:rPr>
                          <w:t>team</w:t>
                        </w:r>
                        <w:r>
                          <w:rPr>
                            <w:color w:val="231F20"/>
                            <w:spacing w:val="-4"/>
                            <w:sz w:val="13"/>
                          </w:rPr>
                          <w:t xml:space="preserve"> </w:t>
                        </w:r>
                        <w:r>
                          <w:rPr>
                            <w:color w:val="231F20"/>
                            <w:sz w:val="13"/>
                          </w:rPr>
                          <w:t>established</w:t>
                        </w:r>
                      </w:p>
                      <w:p w14:paraId="03985A40" w14:textId="77777777" w:rsidR="00080B77" w:rsidRDefault="00080B77">
                        <w:pPr>
                          <w:pStyle w:val="TableParagraph"/>
                          <w:numPr>
                            <w:ilvl w:val="0"/>
                            <w:numId w:val="217"/>
                          </w:numPr>
                          <w:tabs>
                            <w:tab w:val="left" w:pos="71"/>
                          </w:tabs>
                          <w:spacing w:line="149" w:lineRule="exact"/>
                          <w:ind w:left="70" w:hanging="46"/>
                          <w:rPr>
                            <w:sz w:val="13"/>
                          </w:rPr>
                        </w:pPr>
                        <w:r>
                          <w:rPr>
                            <w:color w:val="231F20"/>
                            <w:sz w:val="13"/>
                          </w:rPr>
                          <w:t>Health</w:t>
                        </w:r>
                        <w:r>
                          <w:rPr>
                            <w:color w:val="231F20"/>
                            <w:spacing w:val="-12"/>
                            <w:sz w:val="13"/>
                          </w:rPr>
                          <w:t xml:space="preserve"> </w:t>
                        </w:r>
                        <w:proofErr w:type="spellStart"/>
                        <w:r>
                          <w:rPr>
                            <w:color w:val="231F20"/>
                            <w:sz w:val="13"/>
                          </w:rPr>
                          <w:t>programmes</w:t>
                        </w:r>
                        <w:proofErr w:type="spellEnd"/>
                        <w:r>
                          <w:rPr>
                            <w:color w:val="231F20"/>
                            <w:spacing w:val="-11"/>
                            <w:sz w:val="13"/>
                          </w:rPr>
                          <w:t xml:space="preserve"> </w:t>
                        </w:r>
                        <w:r>
                          <w:rPr>
                            <w:color w:val="231F20"/>
                            <w:sz w:val="13"/>
                          </w:rPr>
                          <w:t>reviewed</w:t>
                        </w:r>
                        <w:r>
                          <w:rPr>
                            <w:color w:val="231F20"/>
                            <w:spacing w:val="-11"/>
                            <w:sz w:val="13"/>
                          </w:rPr>
                          <w:t xml:space="preserve"> </w:t>
                        </w:r>
                        <w:r>
                          <w:rPr>
                            <w:color w:val="231F20"/>
                            <w:sz w:val="13"/>
                          </w:rPr>
                          <w:t>quarterly</w:t>
                        </w:r>
                      </w:p>
                      <w:p w14:paraId="06CAED72" w14:textId="77777777" w:rsidR="00080B77" w:rsidRDefault="00080B77">
                        <w:pPr>
                          <w:pStyle w:val="TableParagraph"/>
                          <w:spacing w:before="10" w:line="68" w:lineRule="exact"/>
                          <w:ind w:left="25"/>
                          <w:rPr>
                            <w:sz w:val="13"/>
                          </w:rPr>
                        </w:pPr>
                        <w:r>
                          <w:rPr>
                            <w:color w:val="231F20"/>
                            <w:w w:val="95"/>
                            <w:sz w:val="13"/>
                          </w:rPr>
                          <w:t>•</w:t>
                        </w:r>
                      </w:p>
                    </w:tc>
                    <w:tc>
                      <w:tcPr>
                        <w:tcW w:w="1490" w:type="dxa"/>
                        <w:tcBorders>
                          <w:right w:val="single" w:sz="8" w:space="0" w:color="231F20"/>
                        </w:tcBorders>
                        <w:shd w:val="clear" w:color="auto" w:fill="CCE7D3"/>
                      </w:tcPr>
                      <w:p w14:paraId="3203EE9F"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5BE60788" w14:textId="77777777" w:rsidR="00080B77" w:rsidRDefault="00080B77">
                        <w:pPr>
                          <w:pStyle w:val="TableParagraph"/>
                          <w:rPr>
                            <w:rFonts w:ascii="Times New Roman"/>
                            <w:sz w:val="12"/>
                          </w:rPr>
                        </w:pPr>
                      </w:p>
                    </w:tc>
                  </w:tr>
                  <w:tr w:rsidR="00080B77" w14:paraId="323A6CA3" w14:textId="77777777">
                    <w:trPr>
                      <w:trHeight w:val="523"/>
                    </w:trPr>
                    <w:tc>
                      <w:tcPr>
                        <w:tcW w:w="479" w:type="dxa"/>
                        <w:vMerge w:val="restart"/>
                        <w:tcBorders>
                          <w:left w:val="single" w:sz="8" w:space="0" w:color="231F20"/>
                        </w:tcBorders>
                      </w:tcPr>
                      <w:p w14:paraId="17EAD97C" w14:textId="77777777" w:rsidR="00080B77" w:rsidRDefault="00080B77">
                        <w:pPr>
                          <w:pStyle w:val="TableParagraph"/>
                          <w:rPr>
                            <w:rFonts w:ascii="Times New Roman"/>
                            <w:sz w:val="12"/>
                          </w:rPr>
                        </w:pPr>
                      </w:p>
                    </w:tc>
                    <w:tc>
                      <w:tcPr>
                        <w:tcW w:w="549" w:type="dxa"/>
                      </w:tcPr>
                      <w:p w14:paraId="27A62CE2" w14:textId="77777777" w:rsidR="00080B77" w:rsidRDefault="00080B77">
                        <w:pPr>
                          <w:pStyle w:val="TableParagraph"/>
                          <w:spacing w:before="3"/>
                          <w:rPr>
                            <w:sz w:val="16"/>
                          </w:rPr>
                        </w:pPr>
                      </w:p>
                      <w:p w14:paraId="2D14B4D7" w14:textId="77777777" w:rsidR="00080B77" w:rsidRDefault="00080B77">
                        <w:pPr>
                          <w:pStyle w:val="TableParagraph"/>
                          <w:ind w:left="87"/>
                          <w:rPr>
                            <w:sz w:val="13"/>
                          </w:rPr>
                        </w:pPr>
                        <w:r>
                          <w:rPr>
                            <w:color w:val="231F20"/>
                            <w:sz w:val="13"/>
                          </w:rPr>
                          <w:t>3.1.6.a</w:t>
                        </w:r>
                      </w:p>
                    </w:tc>
                    <w:tc>
                      <w:tcPr>
                        <w:tcW w:w="5109" w:type="dxa"/>
                        <w:gridSpan w:val="2"/>
                      </w:tcPr>
                      <w:p w14:paraId="0E6A74AD" w14:textId="77777777" w:rsidR="00080B77" w:rsidRDefault="00080B77">
                        <w:pPr>
                          <w:pStyle w:val="TableParagraph"/>
                          <w:spacing w:before="9"/>
                          <w:rPr>
                            <w:sz w:val="15"/>
                          </w:rPr>
                        </w:pPr>
                      </w:p>
                      <w:p w14:paraId="250AB8C9" w14:textId="77777777" w:rsidR="00080B77" w:rsidRDefault="00080B77">
                        <w:pPr>
                          <w:pStyle w:val="TableParagraph"/>
                          <w:ind w:left="25"/>
                          <w:rPr>
                            <w:sz w:val="13"/>
                          </w:rPr>
                        </w:pPr>
                        <w:r>
                          <w:rPr>
                            <w:color w:val="231F20"/>
                            <w:sz w:val="13"/>
                          </w:rPr>
                          <w:t>Establish &amp; strengthen a joint public-private sector monitoring team</w:t>
                        </w:r>
                      </w:p>
                    </w:tc>
                    <w:tc>
                      <w:tcPr>
                        <w:tcW w:w="1490" w:type="dxa"/>
                        <w:tcBorders>
                          <w:right w:val="single" w:sz="8" w:space="0" w:color="231F20"/>
                        </w:tcBorders>
                      </w:tcPr>
                      <w:p w14:paraId="275FC9BE" w14:textId="77777777" w:rsidR="00080B77" w:rsidRDefault="00080B77">
                        <w:pPr>
                          <w:pStyle w:val="TableParagraph"/>
                          <w:spacing w:before="106" w:line="259" w:lineRule="auto"/>
                          <w:ind w:left="26" w:right="46"/>
                          <w:rPr>
                            <w:sz w:val="13"/>
                          </w:rPr>
                        </w:pPr>
                        <w:r>
                          <w:rPr>
                            <w:color w:val="231F20"/>
                            <w:sz w:val="13"/>
                          </w:rPr>
                          <w:t>Lack of funds &amp; collaboration</w:t>
                        </w:r>
                      </w:p>
                    </w:tc>
                    <w:tc>
                      <w:tcPr>
                        <w:tcW w:w="1569" w:type="dxa"/>
                        <w:tcBorders>
                          <w:left w:val="single" w:sz="8" w:space="0" w:color="231F20"/>
                        </w:tcBorders>
                      </w:tcPr>
                      <w:p w14:paraId="20CB45E2" w14:textId="77777777" w:rsidR="00080B77" w:rsidRDefault="00080B77">
                        <w:pPr>
                          <w:pStyle w:val="TableParagraph"/>
                          <w:spacing w:before="3"/>
                          <w:rPr>
                            <w:sz w:val="16"/>
                          </w:rPr>
                        </w:pPr>
                      </w:p>
                      <w:p w14:paraId="3144A9FF" w14:textId="77777777" w:rsidR="00080B77" w:rsidRDefault="00080B77">
                        <w:pPr>
                          <w:pStyle w:val="TableParagraph"/>
                          <w:ind w:left="23"/>
                          <w:rPr>
                            <w:sz w:val="13"/>
                          </w:rPr>
                        </w:pPr>
                        <w:r>
                          <w:rPr>
                            <w:color w:val="231F20"/>
                            <w:sz w:val="13"/>
                          </w:rPr>
                          <w:t>Conduct meeting</w:t>
                        </w:r>
                      </w:p>
                    </w:tc>
                  </w:tr>
                  <w:tr w:rsidR="00080B77" w14:paraId="34D7E126" w14:textId="77777777">
                    <w:trPr>
                      <w:trHeight w:val="492"/>
                    </w:trPr>
                    <w:tc>
                      <w:tcPr>
                        <w:tcW w:w="479" w:type="dxa"/>
                        <w:vMerge/>
                        <w:tcBorders>
                          <w:top w:val="nil"/>
                          <w:left w:val="single" w:sz="8" w:space="0" w:color="231F20"/>
                        </w:tcBorders>
                      </w:tcPr>
                      <w:p w14:paraId="06666A42" w14:textId="77777777" w:rsidR="00080B77" w:rsidRDefault="00080B77">
                        <w:pPr>
                          <w:rPr>
                            <w:sz w:val="2"/>
                            <w:szCs w:val="2"/>
                          </w:rPr>
                        </w:pPr>
                      </w:p>
                    </w:tc>
                    <w:tc>
                      <w:tcPr>
                        <w:tcW w:w="549" w:type="dxa"/>
                      </w:tcPr>
                      <w:p w14:paraId="22070C91" w14:textId="77777777" w:rsidR="00080B77" w:rsidRDefault="00080B77">
                        <w:pPr>
                          <w:pStyle w:val="TableParagraph"/>
                          <w:spacing w:before="10"/>
                          <w:rPr>
                            <w:sz w:val="14"/>
                          </w:rPr>
                        </w:pPr>
                      </w:p>
                      <w:p w14:paraId="0379DF0F" w14:textId="77777777" w:rsidR="00080B77" w:rsidRDefault="00080B77">
                        <w:pPr>
                          <w:pStyle w:val="TableParagraph"/>
                          <w:ind w:left="87"/>
                          <w:rPr>
                            <w:sz w:val="13"/>
                          </w:rPr>
                        </w:pPr>
                        <w:r>
                          <w:rPr>
                            <w:color w:val="231F20"/>
                            <w:sz w:val="13"/>
                          </w:rPr>
                          <w:t>3.1.6.b</w:t>
                        </w:r>
                      </w:p>
                    </w:tc>
                    <w:tc>
                      <w:tcPr>
                        <w:tcW w:w="5109" w:type="dxa"/>
                        <w:gridSpan w:val="2"/>
                      </w:tcPr>
                      <w:p w14:paraId="756F07C1" w14:textId="77777777" w:rsidR="00080B77" w:rsidRDefault="00080B77">
                        <w:pPr>
                          <w:pStyle w:val="TableParagraph"/>
                          <w:spacing w:before="5"/>
                          <w:rPr>
                            <w:sz w:val="14"/>
                          </w:rPr>
                        </w:pPr>
                      </w:p>
                      <w:p w14:paraId="3F8977FE" w14:textId="77777777" w:rsidR="00080B77" w:rsidRDefault="00080B77">
                        <w:pPr>
                          <w:pStyle w:val="TableParagraph"/>
                          <w:ind w:left="25"/>
                          <w:rPr>
                            <w:sz w:val="13"/>
                          </w:rPr>
                        </w:pPr>
                        <w:r>
                          <w:rPr>
                            <w:color w:val="231F20"/>
                            <w:sz w:val="13"/>
                          </w:rPr>
                          <w:t>Engage the private sector in regular reviews of health programs</w:t>
                        </w:r>
                      </w:p>
                    </w:tc>
                    <w:tc>
                      <w:tcPr>
                        <w:tcW w:w="1490" w:type="dxa"/>
                        <w:tcBorders>
                          <w:right w:val="single" w:sz="8" w:space="0" w:color="231F20"/>
                        </w:tcBorders>
                      </w:tcPr>
                      <w:p w14:paraId="17CD0EF0" w14:textId="77777777" w:rsidR="00080B77" w:rsidRDefault="00080B77">
                        <w:pPr>
                          <w:pStyle w:val="TableParagraph"/>
                          <w:spacing w:before="90" w:line="259" w:lineRule="auto"/>
                          <w:ind w:left="26" w:right="46"/>
                          <w:rPr>
                            <w:sz w:val="13"/>
                          </w:rPr>
                        </w:pPr>
                        <w:r>
                          <w:rPr>
                            <w:color w:val="231F20"/>
                            <w:sz w:val="13"/>
                          </w:rPr>
                          <w:t>Lack of funds &amp; collaboration</w:t>
                        </w:r>
                      </w:p>
                    </w:tc>
                    <w:tc>
                      <w:tcPr>
                        <w:tcW w:w="1569" w:type="dxa"/>
                        <w:tcBorders>
                          <w:left w:val="single" w:sz="8" w:space="0" w:color="231F20"/>
                        </w:tcBorders>
                      </w:tcPr>
                      <w:p w14:paraId="30C2C17D" w14:textId="77777777" w:rsidR="00080B77" w:rsidRDefault="00080B77">
                        <w:pPr>
                          <w:pStyle w:val="TableParagraph"/>
                          <w:spacing w:before="10"/>
                          <w:rPr>
                            <w:sz w:val="14"/>
                          </w:rPr>
                        </w:pPr>
                      </w:p>
                      <w:p w14:paraId="3A85AA02" w14:textId="77777777" w:rsidR="00080B77" w:rsidRDefault="00080B77">
                        <w:pPr>
                          <w:pStyle w:val="TableParagraph"/>
                          <w:ind w:left="23"/>
                          <w:rPr>
                            <w:sz w:val="13"/>
                          </w:rPr>
                        </w:pPr>
                        <w:r>
                          <w:rPr>
                            <w:color w:val="231F20"/>
                            <w:sz w:val="13"/>
                          </w:rPr>
                          <w:t>Conduct meeting</w:t>
                        </w:r>
                      </w:p>
                    </w:tc>
                  </w:tr>
                  <w:tr w:rsidR="00080B77" w14:paraId="0D343E3B" w14:textId="77777777">
                    <w:trPr>
                      <w:trHeight w:val="762"/>
                    </w:trPr>
                    <w:tc>
                      <w:tcPr>
                        <w:tcW w:w="479" w:type="dxa"/>
                        <w:tcBorders>
                          <w:left w:val="single" w:sz="8" w:space="0" w:color="231F20"/>
                        </w:tcBorders>
                        <w:shd w:val="clear" w:color="auto" w:fill="CCE7D3"/>
                      </w:tcPr>
                      <w:p w14:paraId="58E54126" w14:textId="77777777" w:rsidR="00080B77" w:rsidRDefault="00080B77">
                        <w:pPr>
                          <w:pStyle w:val="TableParagraph"/>
                          <w:rPr>
                            <w:sz w:val="12"/>
                          </w:rPr>
                        </w:pPr>
                      </w:p>
                      <w:p w14:paraId="6E01408B" w14:textId="77777777" w:rsidR="00080B77" w:rsidRDefault="00080B77">
                        <w:pPr>
                          <w:pStyle w:val="TableParagraph"/>
                          <w:spacing w:before="7"/>
                          <w:rPr>
                            <w:sz w:val="14"/>
                          </w:rPr>
                        </w:pPr>
                      </w:p>
                      <w:p w14:paraId="41160A5C" w14:textId="77777777" w:rsidR="00080B77" w:rsidRDefault="00080B77">
                        <w:pPr>
                          <w:pStyle w:val="TableParagraph"/>
                          <w:ind w:left="61"/>
                          <w:rPr>
                            <w:sz w:val="13"/>
                          </w:rPr>
                        </w:pPr>
                        <w:r>
                          <w:rPr>
                            <w:color w:val="231F20"/>
                            <w:sz w:val="13"/>
                          </w:rPr>
                          <w:t>3.1.7</w:t>
                        </w:r>
                      </w:p>
                    </w:tc>
                    <w:tc>
                      <w:tcPr>
                        <w:tcW w:w="3170" w:type="dxa"/>
                        <w:gridSpan w:val="2"/>
                        <w:shd w:val="clear" w:color="auto" w:fill="CCE7D3"/>
                      </w:tcPr>
                      <w:p w14:paraId="05983AA0" w14:textId="77777777" w:rsidR="00080B77" w:rsidRDefault="00080B77">
                        <w:pPr>
                          <w:pStyle w:val="TableParagraph"/>
                          <w:spacing w:before="2"/>
                          <w:rPr>
                            <w:sz w:val="12"/>
                          </w:rPr>
                        </w:pPr>
                      </w:p>
                      <w:p w14:paraId="3C0DBF60" w14:textId="77777777" w:rsidR="00080B77" w:rsidRDefault="00080B77">
                        <w:pPr>
                          <w:pStyle w:val="TableParagraph"/>
                          <w:spacing w:line="259" w:lineRule="auto"/>
                          <w:ind w:left="25" w:right="-4" w:firstLine="34"/>
                          <w:rPr>
                            <w:sz w:val="13"/>
                          </w:rPr>
                        </w:pPr>
                        <w:r>
                          <w:rPr>
                            <w:color w:val="231F20"/>
                            <w:sz w:val="13"/>
                          </w:rPr>
                          <w:t>Scale up resource mobilization interventions(funding, skills</w:t>
                        </w:r>
                        <w:r>
                          <w:rPr>
                            <w:color w:val="231F20"/>
                            <w:spacing w:val="-20"/>
                            <w:sz w:val="13"/>
                          </w:rPr>
                          <w:t xml:space="preserve"> </w:t>
                        </w:r>
                        <w:r>
                          <w:rPr>
                            <w:color w:val="231F20"/>
                            <w:sz w:val="13"/>
                          </w:rPr>
                          <w:t>-</w:t>
                        </w:r>
                        <w:r>
                          <w:rPr>
                            <w:color w:val="231F20"/>
                            <w:spacing w:val="-20"/>
                            <w:sz w:val="13"/>
                          </w:rPr>
                          <w:t xml:space="preserve"> </w:t>
                        </w:r>
                        <w:r>
                          <w:rPr>
                            <w:color w:val="231F20"/>
                            <w:sz w:val="13"/>
                          </w:rPr>
                          <w:t>e.g.</w:t>
                        </w:r>
                        <w:r>
                          <w:rPr>
                            <w:color w:val="231F20"/>
                            <w:spacing w:val="-20"/>
                            <w:sz w:val="13"/>
                          </w:rPr>
                          <w:t xml:space="preserve"> </w:t>
                        </w:r>
                        <w:r>
                          <w:rPr>
                            <w:color w:val="231F20"/>
                            <w:sz w:val="13"/>
                          </w:rPr>
                          <w:t>managerial</w:t>
                        </w:r>
                        <w:r>
                          <w:rPr>
                            <w:color w:val="231F20"/>
                            <w:spacing w:val="-20"/>
                            <w:sz w:val="13"/>
                          </w:rPr>
                          <w:t xml:space="preserve"> </w:t>
                        </w:r>
                        <w:r>
                          <w:rPr>
                            <w:color w:val="231F20"/>
                            <w:sz w:val="13"/>
                          </w:rPr>
                          <w:t>approaches)</w:t>
                        </w:r>
                        <w:r>
                          <w:rPr>
                            <w:color w:val="231F20"/>
                            <w:spacing w:val="-20"/>
                            <w:sz w:val="13"/>
                          </w:rPr>
                          <w:t xml:space="preserve"> </w:t>
                        </w:r>
                        <w:r>
                          <w:rPr>
                            <w:color w:val="231F20"/>
                            <w:sz w:val="13"/>
                          </w:rPr>
                          <w:t>targeting</w:t>
                        </w:r>
                        <w:r>
                          <w:rPr>
                            <w:color w:val="231F20"/>
                            <w:spacing w:val="-4"/>
                            <w:sz w:val="13"/>
                          </w:rPr>
                          <w:t xml:space="preserve"> </w:t>
                        </w:r>
                        <w:r>
                          <w:rPr>
                            <w:color w:val="231F20"/>
                            <w:sz w:val="13"/>
                          </w:rPr>
                          <w:t>the</w:t>
                        </w:r>
                        <w:r>
                          <w:rPr>
                            <w:color w:val="231F20"/>
                            <w:spacing w:val="-20"/>
                            <w:sz w:val="13"/>
                          </w:rPr>
                          <w:t xml:space="preserve"> </w:t>
                        </w:r>
                        <w:r>
                          <w:rPr>
                            <w:color w:val="231F20"/>
                            <w:sz w:val="13"/>
                          </w:rPr>
                          <w:t>private sector</w:t>
                        </w:r>
                      </w:p>
                    </w:tc>
                    <w:tc>
                      <w:tcPr>
                        <w:tcW w:w="2488" w:type="dxa"/>
                        <w:shd w:val="clear" w:color="auto" w:fill="CCE7D3"/>
                      </w:tcPr>
                      <w:p w14:paraId="7673A901" w14:textId="77777777" w:rsidR="00080B77" w:rsidRDefault="00080B77">
                        <w:pPr>
                          <w:pStyle w:val="TableParagraph"/>
                          <w:numPr>
                            <w:ilvl w:val="0"/>
                            <w:numId w:val="216"/>
                          </w:numPr>
                          <w:tabs>
                            <w:tab w:val="left" w:pos="97"/>
                          </w:tabs>
                          <w:spacing w:line="259" w:lineRule="auto"/>
                          <w:ind w:right="59" w:firstLine="0"/>
                          <w:rPr>
                            <w:sz w:val="13"/>
                          </w:rPr>
                        </w:pPr>
                        <w:r>
                          <w:rPr>
                            <w:color w:val="231F20"/>
                            <w:sz w:val="13"/>
                          </w:rPr>
                          <w:t>Advocacy</w:t>
                        </w:r>
                        <w:r>
                          <w:rPr>
                            <w:color w:val="231F20"/>
                            <w:spacing w:val="-22"/>
                            <w:sz w:val="13"/>
                          </w:rPr>
                          <w:t xml:space="preserve"> </w:t>
                        </w:r>
                        <w:r>
                          <w:rPr>
                            <w:color w:val="231F20"/>
                            <w:sz w:val="13"/>
                          </w:rPr>
                          <w:t>meeting</w:t>
                        </w:r>
                        <w:r>
                          <w:rPr>
                            <w:color w:val="231F20"/>
                            <w:spacing w:val="-21"/>
                            <w:sz w:val="13"/>
                          </w:rPr>
                          <w:t xml:space="preserve"> </w:t>
                        </w:r>
                        <w:r>
                          <w:rPr>
                            <w:color w:val="231F20"/>
                            <w:sz w:val="13"/>
                          </w:rPr>
                          <w:t>with</w:t>
                        </w:r>
                        <w:r>
                          <w:rPr>
                            <w:color w:val="231F20"/>
                            <w:spacing w:val="-21"/>
                            <w:sz w:val="13"/>
                          </w:rPr>
                          <w:t xml:space="preserve"> </w:t>
                        </w:r>
                        <w:r>
                          <w:rPr>
                            <w:color w:val="231F20"/>
                            <w:sz w:val="13"/>
                          </w:rPr>
                          <w:t>private</w:t>
                        </w:r>
                        <w:r>
                          <w:rPr>
                            <w:color w:val="231F20"/>
                            <w:spacing w:val="-22"/>
                            <w:sz w:val="13"/>
                          </w:rPr>
                          <w:t xml:space="preserve"> </w:t>
                        </w:r>
                        <w:r>
                          <w:rPr>
                            <w:color w:val="231F20"/>
                            <w:sz w:val="13"/>
                          </w:rPr>
                          <w:t>sector</w:t>
                        </w:r>
                        <w:r>
                          <w:rPr>
                            <w:color w:val="231F20"/>
                            <w:spacing w:val="-21"/>
                            <w:sz w:val="13"/>
                          </w:rPr>
                          <w:t xml:space="preserve"> </w:t>
                        </w:r>
                        <w:r>
                          <w:rPr>
                            <w:color w:val="231F20"/>
                            <w:spacing w:val="-3"/>
                            <w:sz w:val="13"/>
                          </w:rPr>
                          <w:t xml:space="preserve">held </w:t>
                        </w:r>
                        <w:r>
                          <w:rPr>
                            <w:color w:val="231F20"/>
                            <w:sz w:val="13"/>
                          </w:rPr>
                          <w:t>&amp;</w:t>
                        </w:r>
                        <w:r>
                          <w:rPr>
                            <w:color w:val="231F20"/>
                            <w:spacing w:val="-18"/>
                            <w:sz w:val="13"/>
                          </w:rPr>
                          <w:t xml:space="preserve"> </w:t>
                        </w:r>
                        <w:r>
                          <w:rPr>
                            <w:color w:val="231F20"/>
                            <w:sz w:val="13"/>
                          </w:rPr>
                          <w:t>funding</w:t>
                        </w:r>
                        <w:r>
                          <w:rPr>
                            <w:color w:val="231F20"/>
                            <w:spacing w:val="-18"/>
                            <w:sz w:val="13"/>
                          </w:rPr>
                          <w:t xml:space="preserve"> </w:t>
                        </w:r>
                        <w:r>
                          <w:rPr>
                            <w:color w:val="231F20"/>
                            <w:sz w:val="13"/>
                          </w:rPr>
                          <w:t>from</w:t>
                        </w:r>
                        <w:r>
                          <w:rPr>
                            <w:color w:val="231F20"/>
                            <w:spacing w:val="-18"/>
                            <w:sz w:val="13"/>
                          </w:rPr>
                          <w:t xml:space="preserve"> </w:t>
                        </w:r>
                        <w:r>
                          <w:rPr>
                            <w:color w:val="231F20"/>
                            <w:sz w:val="13"/>
                          </w:rPr>
                          <w:t>the</w:t>
                        </w:r>
                        <w:r>
                          <w:rPr>
                            <w:color w:val="231F20"/>
                            <w:spacing w:val="-18"/>
                            <w:sz w:val="13"/>
                          </w:rPr>
                          <w:t xml:space="preserve"> </w:t>
                        </w:r>
                        <w:r>
                          <w:rPr>
                            <w:color w:val="231F20"/>
                            <w:sz w:val="13"/>
                          </w:rPr>
                          <w:t>private</w:t>
                        </w:r>
                        <w:r>
                          <w:rPr>
                            <w:color w:val="231F20"/>
                            <w:spacing w:val="-18"/>
                            <w:sz w:val="13"/>
                          </w:rPr>
                          <w:t xml:space="preserve"> </w:t>
                        </w:r>
                        <w:r>
                          <w:rPr>
                            <w:color w:val="231F20"/>
                            <w:sz w:val="13"/>
                          </w:rPr>
                          <w:t>sector</w:t>
                        </w:r>
                        <w:r>
                          <w:rPr>
                            <w:color w:val="231F20"/>
                            <w:spacing w:val="-17"/>
                            <w:sz w:val="13"/>
                          </w:rPr>
                          <w:t xml:space="preserve"> </w:t>
                        </w:r>
                        <w:r>
                          <w:rPr>
                            <w:color w:val="231F20"/>
                            <w:sz w:val="13"/>
                          </w:rPr>
                          <w:t>increased</w:t>
                        </w:r>
                      </w:p>
                      <w:p w14:paraId="4E27711E" w14:textId="77777777" w:rsidR="00080B77" w:rsidRDefault="00080B77">
                        <w:pPr>
                          <w:pStyle w:val="TableParagraph"/>
                          <w:numPr>
                            <w:ilvl w:val="0"/>
                            <w:numId w:val="216"/>
                          </w:numPr>
                          <w:tabs>
                            <w:tab w:val="left" w:pos="104"/>
                          </w:tabs>
                          <w:spacing w:line="259" w:lineRule="auto"/>
                          <w:ind w:right="323" w:firstLine="0"/>
                          <w:rPr>
                            <w:sz w:val="13"/>
                          </w:rPr>
                        </w:pPr>
                        <w:r>
                          <w:rPr>
                            <w:color w:val="231F20"/>
                            <w:sz w:val="13"/>
                          </w:rPr>
                          <w:t>50</w:t>
                        </w:r>
                        <w:r>
                          <w:rPr>
                            <w:color w:val="231F20"/>
                            <w:spacing w:val="-19"/>
                            <w:sz w:val="13"/>
                          </w:rPr>
                          <w:t xml:space="preserve"> </w:t>
                        </w:r>
                        <w:r>
                          <w:rPr>
                            <w:color w:val="231F20"/>
                            <w:sz w:val="13"/>
                          </w:rPr>
                          <w:t>key</w:t>
                        </w:r>
                        <w:r>
                          <w:rPr>
                            <w:color w:val="231F20"/>
                            <w:spacing w:val="-19"/>
                            <w:sz w:val="13"/>
                          </w:rPr>
                          <w:t xml:space="preserve"> </w:t>
                        </w:r>
                        <w:r>
                          <w:rPr>
                            <w:color w:val="231F20"/>
                            <w:sz w:val="13"/>
                          </w:rPr>
                          <w:t>officers</w:t>
                        </w:r>
                        <w:r>
                          <w:rPr>
                            <w:color w:val="231F20"/>
                            <w:spacing w:val="-18"/>
                            <w:sz w:val="13"/>
                          </w:rPr>
                          <w:t xml:space="preserve"> </w:t>
                        </w:r>
                        <w:r>
                          <w:rPr>
                            <w:color w:val="231F20"/>
                            <w:sz w:val="13"/>
                          </w:rPr>
                          <w:t>from</w:t>
                        </w:r>
                        <w:r>
                          <w:rPr>
                            <w:color w:val="231F20"/>
                            <w:spacing w:val="-19"/>
                            <w:sz w:val="13"/>
                          </w:rPr>
                          <w:t xml:space="preserve"> </w:t>
                        </w:r>
                        <w:r>
                          <w:rPr>
                            <w:color w:val="231F20"/>
                            <w:sz w:val="13"/>
                          </w:rPr>
                          <w:t>the</w:t>
                        </w:r>
                        <w:r>
                          <w:rPr>
                            <w:color w:val="231F20"/>
                            <w:spacing w:val="-19"/>
                            <w:sz w:val="13"/>
                          </w:rPr>
                          <w:t xml:space="preserve"> </w:t>
                        </w:r>
                        <w:r>
                          <w:rPr>
                            <w:color w:val="231F20"/>
                            <w:sz w:val="13"/>
                          </w:rPr>
                          <w:t>public</w:t>
                        </w:r>
                        <w:r>
                          <w:rPr>
                            <w:color w:val="231F20"/>
                            <w:spacing w:val="-18"/>
                            <w:sz w:val="13"/>
                          </w:rPr>
                          <w:t xml:space="preserve"> </w:t>
                        </w:r>
                        <w:r>
                          <w:rPr>
                            <w:color w:val="231F20"/>
                            <w:sz w:val="13"/>
                          </w:rPr>
                          <w:t>sector, CSOs</w:t>
                        </w:r>
                        <w:r>
                          <w:rPr>
                            <w:color w:val="231F20"/>
                            <w:spacing w:val="-11"/>
                            <w:sz w:val="13"/>
                          </w:rPr>
                          <w:t xml:space="preserve"> </w:t>
                        </w:r>
                        <w:r>
                          <w:rPr>
                            <w:color w:val="231F20"/>
                            <w:sz w:val="13"/>
                          </w:rPr>
                          <w:t>&amp;</w:t>
                        </w:r>
                        <w:r>
                          <w:rPr>
                            <w:color w:val="231F20"/>
                            <w:spacing w:val="-10"/>
                            <w:sz w:val="13"/>
                          </w:rPr>
                          <w:t xml:space="preserve"> </w:t>
                        </w:r>
                        <w:r>
                          <w:rPr>
                            <w:color w:val="231F20"/>
                            <w:sz w:val="13"/>
                          </w:rPr>
                          <w:t>NGOs</w:t>
                        </w:r>
                        <w:r>
                          <w:rPr>
                            <w:color w:val="231F20"/>
                            <w:spacing w:val="-11"/>
                            <w:sz w:val="13"/>
                          </w:rPr>
                          <w:t xml:space="preserve"> </w:t>
                        </w:r>
                        <w:r>
                          <w:rPr>
                            <w:color w:val="231F20"/>
                            <w:sz w:val="13"/>
                          </w:rPr>
                          <w:t>trained</w:t>
                        </w:r>
                        <w:r>
                          <w:rPr>
                            <w:color w:val="231F20"/>
                            <w:spacing w:val="-10"/>
                            <w:sz w:val="13"/>
                          </w:rPr>
                          <w:t xml:space="preserve"> </w:t>
                        </w:r>
                        <w:r>
                          <w:rPr>
                            <w:color w:val="231F20"/>
                            <w:sz w:val="13"/>
                          </w:rPr>
                          <w:t>on</w:t>
                        </w:r>
                        <w:r>
                          <w:rPr>
                            <w:color w:val="231F20"/>
                            <w:spacing w:val="-10"/>
                            <w:sz w:val="13"/>
                          </w:rPr>
                          <w:t xml:space="preserve"> </w:t>
                        </w:r>
                        <w:r>
                          <w:rPr>
                            <w:color w:val="231F20"/>
                            <w:sz w:val="13"/>
                          </w:rPr>
                          <w:t>resource</w:t>
                        </w:r>
                      </w:p>
                      <w:p w14:paraId="5A2B5926" w14:textId="77777777" w:rsidR="00080B77" w:rsidRDefault="00080B77">
                        <w:pPr>
                          <w:pStyle w:val="TableParagraph"/>
                          <w:spacing w:line="98" w:lineRule="exact"/>
                          <w:ind w:left="25"/>
                          <w:rPr>
                            <w:sz w:val="13"/>
                          </w:rPr>
                        </w:pPr>
                        <w:r>
                          <w:rPr>
                            <w:color w:val="231F20"/>
                            <w:sz w:val="13"/>
                          </w:rPr>
                          <w:t>mobilization</w:t>
                        </w:r>
                      </w:p>
                    </w:tc>
                    <w:tc>
                      <w:tcPr>
                        <w:tcW w:w="1490" w:type="dxa"/>
                        <w:tcBorders>
                          <w:right w:val="single" w:sz="8" w:space="0" w:color="231F20"/>
                        </w:tcBorders>
                        <w:shd w:val="clear" w:color="auto" w:fill="CCE7D3"/>
                      </w:tcPr>
                      <w:p w14:paraId="4C07EB0F"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66D179A3" w14:textId="77777777" w:rsidR="00080B77" w:rsidRDefault="00080B77">
                        <w:pPr>
                          <w:pStyle w:val="TableParagraph"/>
                          <w:rPr>
                            <w:rFonts w:ascii="Times New Roman"/>
                            <w:sz w:val="12"/>
                          </w:rPr>
                        </w:pPr>
                      </w:p>
                    </w:tc>
                  </w:tr>
                  <w:tr w:rsidR="00080B77" w14:paraId="7148214C" w14:textId="77777777">
                    <w:trPr>
                      <w:trHeight w:val="420"/>
                    </w:trPr>
                    <w:tc>
                      <w:tcPr>
                        <w:tcW w:w="479" w:type="dxa"/>
                        <w:vMerge w:val="restart"/>
                        <w:tcBorders>
                          <w:left w:val="single" w:sz="8" w:space="0" w:color="231F20"/>
                        </w:tcBorders>
                      </w:tcPr>
                      <w:p w14:paraId="28441302" w14:textId="77777777" w:rsidR="00080B77" w:rsidRDefault="00080B77">
                        <w:pPr>
                          <w:pStyle w:val="TableParagraph"/>
                          <w:rPr>
                            <w:rFonts w:ascii="Times New Roman"/>
                            <w:sz w:val="12"/>
                          </w:rPr>
                        </w:pPr>
                      </w:p>
                    </w:tc>
                    <w:tc>
                      <w:tcPr>
                        <w:tcW w:w="549" w:type="dxa"/>
                      </w:tcPr>
                      <w:p w14:paraId="569A08B2" w14:textId="77777777" w:rsidR="00080B77" w:rsidRDefault="00080B77">
                        <w:pPr>
                          <w:pStyle w:val="TableParagraph"/>
                          <w:spacing w:before="8"/>
                          <w:rPr>
                            <w:sz w:val="11"/>
                          </w:rPr>
                        </w:pPr>
                      </w:p>
                      <w:p w14:paraId="6E4C6DC0" w14:textId="77777777" w:rsidR="00080B77" w:rsidRDefault="00080B77">
                        <w:pPr>
                          <w:pStyle w:val="TableParagraph"/>
                          <w:ind w:left="87"/>
                          <w:rPr>
                            <w:sz w:val="13"/>
                          </w:rPr>
                        </w:pPr>
                        <w:r>
                          <w:rPr>
                            <w:color w:val="231F20"/>
                            <w:sz w:val="13"/>
                          </w:rPr>
                          <w:t>3.1.7.a</w:t>
                        </w:r>
                      </w:p>
                    </w:tc>
                    <w:tc>
                      <w:tcPr>
                        <w:tcW w:w="5109" w:type="dxa"/>
                        <w:gridSpan w:val="2"/>
                      </w:tcPr>
                      <w:p w14:paraId="051B5DD5" w14:textId="77777777" w:rsidR="00080B77" w:rsidRDefault="00080B77">
                        <w:pPr>
                          <w:pStyle w:val="TableParagraph"/>
                          <w:spacing w:before="3"/>
                          <w:rPr>
                            <w:sz w:val="11"/>
                          </w:rPr>
                        </w:pPr>
                      </w:p>
                      <w:p w14:paraId="05EB6A42" w14:textId="77777777" w:rsidR="00080B77" w:rsidRDefault="00080B77">
                        <w:pPr>
                          <w:pStyle w:val="TableParagraph"/>
                          <w:ind w:left="25"/>
                          <w:rPr>
                            <w:sz w:val="13"/>
                          </w:rPr>
                        </w:pPr>
                        <w:r>
                          <w:rPr>
                            <w:color w:val="231F20"/>
                            <w:sz w:val="13"/>
                          </w:rPr>
                          <w:t>Conduct</w:t>
                        </w:r>
                        <w:r>
                          <w:rPr>
                            <w:color w:val="231F20"/>
                            <w:spacing w:val="-15"/>
                            <w:sz w:val="13"/>
                          </w:rPr>
                          <w:t xml:space="preserve"> </w:t>
                        </w:r>
                        <w:r>
                          <w:rPr>
                            <w:color w:val="231F20"/>
                            <w:sz w:val="13"/>
                          </w:rPr>
                          <w:t>advocacy</w:t>
                        </w:r>
                        <w:r>
                          <w:rPr>
                            <w:color w:val="231F20"/>
                            <w:spacing w:val="-14"/>
                            <w:sz w:val="13"/>
                          </w:rPr>
                          <w:t xml:space="preserve"> </w:t>
                        </w:r>
                        <w:r>
                          <w:rPr>
                            <w:color w:val="231F20"/>
                            <w:sz w:val="13"/>
                          </w:rPr>
                          <w:t>meeting</w:t>
                        </w:r>
                        <w:r>
                          <w:rPr>
                            <w:color w:val="231F20"/>
                            <w:spacing w:val="-15"/>
                            <w:sz w:val="13"/>
                          </w:rPr>
                          <w:t xml:space="preserve"> </w:t>
                        </w:r>
                        <w:r>
                          <w:rPr>
                            <w:color w:val="231F20"/>
                            <w:sz w:val="13"/>
                          </w:rPr>
                          <w:t>with</w:t>
                        </w:r>
                        <w:r>
                          <w:rPr>
                            <w:color w:val="231F20"/>
                            <w:spacing w:val="-14"/>
                            <w:sz w:val="13"/>
                          </w:rPr>
                          <w:t xml:space="preserve"> </w:t>
                        </w:r>
                        <w:r>
                          <w:rPr>
                            <w:color w:val="231F20"/>
                            <w:sz w:val="13"/>
                          </w:rPr>
                          <w:t>private</w:t>
                        </w:r>
                        <w:r>
                          <w:rPr>
                            <w:color w:val="231F20"/>
                            <w:spacing w:val="-15"/>
                            <w:sz w:val="13"/>
                          </w:rPr>
                          <w:t xml:space="preserve"> </w:t>
                        </w:r>
                        <w:r>
                          <w:rPr>
                            <w:color w:val="231F20"/>
                            <w:sz w:val="13"/>
                          </w:rPr>
                          <w:t>sector</w:t>
                        </w:r>
                        <w:r>
                          <w:rPr>
                            <w:color w:val="231F20"/>
                            <w:spacing w:val="-14"/>
                            <w:sz w:val="13"/>
                          </w:rPr>
                          <w:t xml:space="preserve"> </w:t>
                        </w:r>
                        <w:r>
                          <w:rPr>
                            <w:color w:val="231F20"/>
                            <w:sz w:val="13"/>
                          </w:rPr>
                          <w:t>for</w:t>
                        </w:r>
                        <w:r>
                          <w:rPr>
                            <w:color w:val="231F20"/>
                            <w:spacing w:val="-15"/>
                            <w:sz w:val="13"/>
                          </w:rPr>
                          <w:t xml:space="preserve"> </w:t>
                        </w:r>
                        <w:r>
                          <w:rPr>
                            <w:color w:val="231F20"/>
                            <w:sz w:val="13"/>
                          </w:rPr>
                          <w:t>increase</w:t>
                        </w:r>
                        <w:r>
                          <w:rPr>
                            <w:color w:val="231F20"/>
                            <w:spacing w:val="-14"/>
                            <w:sz w:val="13"/>
                          </w:rPr>
                          <w:t xml:space="preserve"> </w:t>
                        </w:r>
                        <w:r>
                          <w:rPr>
                            <w:color w:val="231F20"/>
                            <w:sz w:val="13"/>
                          </w:rPr>
                          <w:t>funding</w:t>
                        </w:r>
                        <w:r>
                          <w:rPr>
                            <w:color w:val="231F20"/>
                            <w:spacing w:val="-15"/>
                            <w:sz w:val="13"/>
                          </w:rPr>
                          <w:t xml:space="preserve"> </w:t>
                        </w:r>
                        <w:r>
                          <w:rPr>
                            <w:color w:val="231F20"/>
                            <w:sz w:val="13"/>
                          </w:rPr>
                          <w:t>of</w:t>
                        </w:r>
                        <w:r>
                          <w:rPr>
                            <w:color w:val="231F20"/>
                            <w:spacing w:val="-14"/>
                            <w:sz w:val="13"/>
                          </w:rPr>
                          <w:t xml:space="preserve"> </w:t>
                        </w:r>
                        <w:r>
                          <w:rPr>
                            <w:color w:val="231F20"/>
                            <w:sz w:val="13"/>
                          </w:rPr>
                          <w:t>health</w:t>
                        </w:r>
                        <w:r>
                          <w:rPr>
                            <w:color w:val="231F20"/>
                            <w:spacing w:val="-14"/>
                            <w:sz w:val="13"/>
                          </w:rPr>
                          <w:t xml:space="preserve"> </w:t>
                        </w:r>
                        <w:r>
                          <w:rPr>
                            <w:color w:val="231F20"/>
                            <w:sz w:val="13"/>
                          </w:rPr>
                          <w:t>intervention</w:t>
                        </w:r>
                      </w:p>
                    </w:tc>
                    <w:tc>
                      <w:tcPr>
                        <w:tcW w:w="1490" w:type="dxa"/>
                        <w:tcBorders>
                          <w:right w:val="single" w:sz="8" w:space="0" w:color="231F20"/>
                        </w:tcBorders>
                      </w:tcPr>
                      <w:p w14:paraId="33580A18" w14:textId="77777777" w:rsidR="00080B77" w:rsidRDefault="00080B77">
                        <w:pPr>
                          <w:pStyle w:val="TableParagraph"/>
                          <w:spacing w:before="55" w:line="259" w:lineRule="auto"/>
                          <w:ind w:left="26" w:right="46"/>
                          <w:rPr>
                            <w:sz w:val="13"/>
                          </w:rPr>
                        </w:pPr>
                        <w:r>
                          <w:rPr>
                            <w:color w:val="231F20"/>
                            <w:sz w:val="13"/>
                          </w:rPr>
                          <w:t>Lack of funds &amp; Political Will</w:t>
                        </w:r>
                      </w:p>
                    </w:tc>
                    <w:tc>
                      <w:tcPr>
                        <w:tcW w:w="1569" w:type="dxa"/>
                        <w:tcBorders>
                          <w:left w:val="single" w:sz="8" w:space="0" w:color="231F20"/>
                        </w:tcBorders>
                      </w:tcPr>
                      <w:p w14:paraId="53880353" w14:textId="77777777" w:rsidR="00080B77" w:rsidRDefault="00080B77">
                        <w:pPr>
                          <w:pStyle w:val="TableParagraph"/>
                          <w:spacing w:before="8"/>
                          <w:rPr>
                            <w:sz w:val="11"/>
                          </w:rPr>
                        </w:pPr>
                      </w:p>
                      <w:p w14:paraId="23F4615E" w14:textId="77777777" w:rsidR="00080B77" w:rsidRDefault="00080B77">
                        <w:pPr>
                          <w:pStyle w:val="TableParagraph"/>
                          <w:ind w:left="23"/>
                          <w:rPr>
                            <w:sz w:val="13"/>
                          </w:rPr>
                        </w:pPr>
                        <w:r>
                          <w:rPr>
                            <w:color w:val="231F20"/>
                            <w:sz w:val="13"/>
                          </w:rPr>
                          <w:t>Conduct advocacy</w:t>
                        </w:r>
                      </w:p>
                    </w:tc>
                  </w:tr>
                  <w:tr w:rsidR="00080B77" w14:paraId="481DEE56" w14:textId="77777777">
                    <w:trPr>
                      <w:trHeight w:val="298"/>
                    </w:trPr>
                    <w:tc>
                      <w:tcPr>
                        <w:tcW w:w="479" w:type="dxa"/>
                        <w:vMerge/>
                        <w:tcBorders>
                          <w:top w:val="nil"/>
                          <w:left w:val="single" w:sz="8" w:space="0" w:color="231F20"/>
                        </w:tcBorders>
                      </w:tcPr>
                      <w:p w14:paraId="77324BC1" w14:textId="77777777" w:rsidR="00080B77" w:rsidRDefault="00080B77">
                        <w:pPr>
                          <w:rPr>
                            <w:sz w:val="2"/>
                            <w:szCs w:val="2"/>
                          </w:rPr>
                        </w:pPr>
                      </w:p>
                    </w:tc>
                    <w:tc>
                      <w:tcPr>
                        <w:tcW w:w="549" w:type="dxa"/>
                      </w:tcPr>
                      <w:p w14:paraId="5F9121B9" w14:textId="77777777" w:rsidR="00080B77" w:rsidRDefault="00080B77">
                        <w:pPr>
                          <w:pStyle w:val="TableParagraph"/>
                          <w:spacing w:before="74"/>
                          <w:ind w:left="87"/>
                          <w:rPr>
                            <w:sz w:val="13"/>
                          </w:rPr>
                        </w:pPr>
                        <w:r>
                          <w:rPr>
                            <w:color w:val="231F20"/>
                            <w:sz w:val="13"/>
                          </w:rPr>
                          <w:t>3.1.7.b</w:t>
                        </w:r>
                      </w:p>
                    </w:tc>
                    <w:tc>
                      <w:tcPr>
                        <w:tcW w:w="5109" w:type="dxa"/>
                        <w:gridSpan w:val="2"/>
                      </w:tcPr>
                      <w:p w14:paraId="5DC7A4BA" w14:textId="77777777" w:rsidR="00080B77" w:rsidRDefault="00080B77">
                        <w:pPr>
                          <w:pStyle w:val="TableParagraph"/>
                          <w:spacing w:line="148" w:lineRule="exact"/>
                          <w:ind w:left="25"/>
                          <w:rPr>
                            <w:sz w:val="13"/>
                          </w:rPr>
                        </w:pPr>
                        <w:r>
                          <w:rPr>
                            <w:color w:val="231F20"/>
                            <w:sz w:val="13"/>
                          </w:rPr>
                          <w:t>Build &amp; strengthen capacity of key officers from the public sector, CSOs &amp; NGOs on</w:t>
                        </w:r>
                      </w:p>
                      <w:p w14:paraId="4F074A56" w14:textId="77777777" w:rsidR="00080B77" w:rsidRDefault="00080B77">
                        <w:pPr>
                          <w:pStyle w:val="TableParagraph"/>
                          <w:spacing w:before="11" w:line="118" w:lineRule="exact"/>
                          <w:ind w:left="25"/>
                          <w:rPr>
                            <w:sz w:val="13"/>
                          </w:rPr>
                        </w:pPr>
                        <w:r>
                          <w:rPr>
                            <w:color w:val="231F20"/>
                            <w:sz w:val="13"/>
                          </w:rPr>
                          <w:t>resource mobilization</w:t>
                        </w:r>
                      </w:p>
                    </w:tc>
                    <w:tc>
                      <w:tcPr>
                        <w:tcW w:w="1490" w:type="dxa"/>
                        <w:tcBorders>
                          <w:right w:val="single" w:sz="8" w:space="0" w:color="231F20"/>
                        </w:tcBorders>
                      </w:tcPr>
                      <w:p w14:paraId="65BBAC1E" w14:textId="77777777" w:rsidR="00080B77" w:rsidRDefault="00080B77">
                        <w:pPr>
                          <w:pStyle w:val="TableParagraph"/>
                          <w:spacing w:before="74"/>
                          <w:ind w:left="26"/>
                          <w:rPr>
                            <w:sz w:val="13"/>
                          </w:rPr>
                        </w:pPr>
                        <w:r>
                          <w:rPr>
                            <w:color w:val="231F20"/>
                            <w:sz w:val="13"/>
                          </w:rPr>
                          <w:t>Lack of funds</w:t>
                        </w:r>
                      </w:p>
                    </w:tc>
                    <w:tc>
                      <w:tcPr>
                        <w:tcW w:w="1569" w:type="dxa"/>
                        <w:tcBorders>
                          <w:left w:val="single" w:sz="8" w:space="0" w:color="231F20"/>
                        </w:tcBorders>
                      </w:tcPr>
                      <w:p w14:paraId="6BC6E3CC" w14:textId="77777777" w:rsidR="00080B77" w:rsidRDefault="00080B77">
                        <w:pPr>
                          <w:pStyle w:val="TableParagraph"/>
                          <w:spacing w:before="74"/>
                          <w:ind w:left="23"/>
                          <w:rPr>
                            <w:sz w:val="13"/>
                          </w:rPr>
                        </w:pPr>
                        <w:r>
                          <w:rPr>
                            <w:color w:val="231F20"/>
                            <w:sz w:val="13"/>
                          </w:rPr>
                          <w:t>Build</w:t>
                        </w:r>
                        <w:r>
                          <w:rPr>
                            <w:color w:val="231F20"/>
                            <w:spacing w:val="-21"/>
                            <w:sz w:val="13"/>
                          </w:rPr>
                          <w:t xml:space="preserve"> </w:t>
                        </w:r>
                        <w:r>
                          <w:rPr>
                            <w:color w:val="231F20"/>
                            <w:sz w:val="13"/>
                          </w:rPr>
                          <w:t>&amp;</w:t>
                        </w:r>
                        <w:r>
                          <w:rPr>
                            <w:color w:val="231F20"/>
                            <w:spacing w:val="-20"/>
                            <w:sz w:val="13"/>
                          </w:rPr>
                          <w:t xml:space="preserve"> </w:t>
                        </w:r>
                        <w:r>
                          <w:rPr>
                            <w:color w:val="231F20"/>
                            <w:sz w:val="13"/>
                          </w:rPr>
                          <w:t>strengthen</w:t>
                        </w:r>
                        <w:r>
                          <w:rPr>
                            <w:color w:val="231F20"/>
                            <w:spacing w:val="-21"/>
                            <w:sz w:val="13"/>
                          </w:rPr>
                          <w:t xml:space="preserve"> </w:t>
                        </w:r>
                        <w:r>
                          <w:rPr>
                            <w:color w:val="231F20"/>
                            <w:sz w:val="13"/>
                          </w:rPr>
                          <w:t>capacity</w:t>
                        </w:r>
                      </w:p>
                    </w:tc>
                  </w:tr>
                  <w:tr w:rsidR="00080B77" w14:paraId="681AFC5C" w14:textId="77777777">
                    <w:trPr>
                      <w:trHeight w:val="313"/>
                    </w:trPr>
                    <w:tc>
                      <w:tcPr>
                        <w:tcW w:w="479" w:type="dxa"/>
                        <w:vMerge/>
                        <w:tcBorders>
                          <w:top w:val="nil"/>
                          <w:left w:val="single" w:sz="8" w:space="0" w:color="231F20"/>
                        </w:tcBorders>
                      </w:tcPr>
                      <w:p w14:paraId="3F4D425E" w14:textId="77777777" w:rsidR="00080B77" w:rsidRDefault="00080B77">
                        <w:pPr>
                          <w:rPr>
                            <w:sz w:val="2"/>
                            <w:szCs w:val="2"/>
                          </w:rPr>
                        </w:pPr>
                      </w:p>
                    </w:tc>
                    <w:tc>
                      <w:tcPr>
                        <w:tcW w:w="549" w:type="dxa"/>
                      </w:tcPr>
                      <w:p w14:paraId="11F7E3EC" w14:textId="77777777" w:rsidR="00080B77" w:rsidRDefault="00080B77">
                        <w:pPr>
                          <w:pStyle w:val="TableParagraph"/>
                          <w:spacing w:before="82"/>
                          <w:ind w:left="91"/>
                          <w:rPr>
                            <w:sz w:val="13"/>
                          </w:rPr>
                        </w:pPr>
                        <w:r>
                          <w:rPr>
                            <w:color w:val="231F20"/>
                            <w:sz w:val="13"/>
                          </w:rPr>
                          <w:t>3.1.7.c</w:t>
                        </w:r>
                      </w:p>
                    </w:tc>
                    <w:tc>
                      <w:tcPr>
                        <w:tcW w:w="5109" w:type="dxa"/>
                        <w:gridSpan w:val="2"/>
                      </w:tcPr>
                      <w:p w14:paraId="6DEF8B0E" w14:textId="77777777" w:rsidR="00080B77" w:rsidRDefault="00080B77">
                        <w:pPr>
                          <w:pStyle w:val="TableParagraph"/>
                          <w:spacing w:before="77"/>
                          <w:ind w:left="25"/>
                          <w:rPr>
                            <w:sz w:val="13"/>
                          </w:rPr>
                        </w:pPr>
                        <w:r>
                          <w:rPr>
                            <w:color w:val="231F20"/>
                            <w:sz w:val="13"/>
                          </w:rPr>
                          <w:t>Develop</w:t>
                        </w:r>
                        <w:r>
                          <w:rPr>
                            <w:color w:val="231F20"/>
                            <w:spacing w:val="-19"/>
                            <w:sz w:val="13"/>
                          </w:rPr>
                          <w:t xml:space="preserve"> </w:t>
                        </w:r>
                        <w:r>
                          <w:rPr>
                            <w:color w:val="231F20"/>
                            <w:sz w:val="13"/>
                          </w:rPr>
                          <w:t>innovative</w:t>
                        </w:r>
                        <w:r>
                          <w:rPr>
                            <w:color w:val="231F20"/>
                            <w:spacing w:val="-18"/>
                            <w:sz w:val="13"/>
                          </w:rPr>
                          <w:t xml:space="preserve"> </w:t>
                        </w:r>
                        <w:r>
                          <w:rPr>
                            <w:color w:val="231F20"/>
                            <w:sz w:val="13"/>
                          </w:rPr>
                          <w:t>ways</w:t>
                        </w:r>
                        <w:r>
                          <w:rPr>
                            <w:color w:val="231F20"/>
                            <w:spacing w:val="-19"/>
                            <w:sz w:val="13"/>
                          </w:rPr>
                          <w:t xml:space="preserve"> </w:t>
                        </w:r>
                        <w:r>
                          <w:rPr>
                            <w:color w:val="231F20"/>
                            <w:sz w:val="13"/>
                          </w:rPr>
                          <w:t>of</w:t>
                        </w:r>
                        <w:r>
                          <w:rPr>
                            <w:color w:val="231F20"/>
                            <w:spacing w:val="-18"/>
                            <w:sz w:val="13"/>
                          </w:rPr>
                          <w:t xml:space="preserve"> </w:t>
                        </w:r>
                        <w:r>
                          <w:rPr>
                            <w:color w:val="231F20"/>
                            <w:sz w:val="13"/>
                          </w:rPr>
                          <w:t>resource</w:t>
                        </w:r>
                        <w:r>
                          <w:rPr>
                            <w:color w:val="231F20"/>
                            <w:spacing w:val="-18"/>
                            <w:sz w:val="13"/>
                          </w:rPr>
                          <w:t xml:space="preserve"> </w:t>
                        </w:r>
                        <w:r>
                          <w:rPr>
                            <w:color w:val="231F20"/>
                            <w:sz w:val="13"/>
                          </w:rPr>
                          <w:t>mobilization</w:t>
                        </w:r>
                        <w:r>
                          <w:rPr>
                            <w:color w:val="231F20"/>
                            <w:spacing w:val="-19"/>
                            <w:sz w:val="13"/>
                          </w:rPr>
                          <w:t xml:space="preserve"> </w:t>
                        </w:r>
                        <w:r>
                          <w:rPr>
                            <w:color w:val="231F20"/>
                            <w:sz w:val="13"/>
                          </w:rPr>
                          <w:t>(fund</w:t>
                        </w:r>
                        <w:r>
                          <w:rPr>
                            <w:color w:val="231F20"/>
                            <w:spacing w:val="-18"/>
                            <w:sz w:val="13"/>
                          </w:rPr>
                          <w:t xml:space="preserve"> </w:t>
                        </w:r>
                        <w:r>
                          <w:rPr>
                            <w:color w:val="231F20"/>
                            <w:sz w:val="13"/>
                          </w:rPr>
                          <w:t>raising)</w:t>
                        </w:r>
                        <w:r>
                          <w:rPr>
                            <w:color w:val="231F20"/>
                            <w:spacing w:val="-18"/>
                            <w:sz w:val="13"/>
                          </w:rPr>
                          <w:t xml:space="preserve"> </w:t>
                        </w:r>
                        <w:r>
                          <w:rPr>
                            <w:color w:val="231F20"/>
                            <w:sz w:val="13"/>
                          </w:rPr>
                          <w:t>targeting</w:t>
                        </w:r>
                        <w:r>
                          <w:rPr>
                            <w:color w:val="231F20"/>
                            <w:spacing w:val="-19"/>
                            <w:sz w:val="13"/>
                          </w:rPr>
                          <w:t xml:space="preserve"> </w:t>
                        </w:r>
                        <w:r>
                          <w:rPr>
                            <w:color w:val="231F20"/>
                            <w:sz w:val="13"/>
                          </w:rPr>
                          <w:t>the</w:t>
                        </w:r>
                        <w:r>
                          <w:rPr>
                            <w:color w:val="231F20"/>
                            <w:spacing w:val="-18"/>
                            <w:sz w:val="13"/>
                          </w:rPr>
                          <w:t xml:space="preserve"> </w:t>
                        </w:r>
                        <w:r>
                          <w:rPr>
                            <w:color w:val="231F20"/>
                            <w:sz w:val="13"/>
                          </w:rPr>
                          <w:t>private</w:t>
                        </w:r>
                        <w:r>
                          <w:rPr>
                            <w:color w:val="231F20"/>
                            <w:spacing w:val="-19"/>
                            <w:sz w:val="13"/>
                          </w:rPr>
                          <w:t xml:space="preserve"> </w:t>
                        </w:r>
                        <w:r>
                          <w:rPr>
                            <w:color w:val="231F20"/>
                            <w:sz w:val="13"/>
                          </w:rPr>
                          <w:t>sector</w:t>
                        </w:r>
                      </w:p>
                    </w:tc>
                    <w:tc>
                      <w:tcPr>
                        <w:tcW w:w="1490" w:type="dxa"/>
                        <w:tcBorders>
                          <w:right w:val="single" w:sz="8" w:space="0" w:color="231F20"/>
                        </w:tcBorders>
                      </w:tcPr>
                      <w:p w14:paraId="19B68C61" w14:textId="77777777" w:rsidR="00080B77" w:rsidRDefault="00080B77">
                        <w:pPr>
                          <w:pStyle w:val="TableParagraph"/>
                          <w:spacing w:before="82"/>
                          <w:ind w:left="26"/>
                          <w:rPr>
                            <w:sz w:val="13"/>
                          </w:rPr>
                        </w:pPr>
                        <w:r>
                          <w:rPr>
                            <w:color w:val="231F20"/>
                            <w:sz w:val="13"/>
                          </w:rPr>
                          <w:t>Lack of funds</w:t>
                        </w:r>
                      </w:p>
                    </w:tc>
                    <w:tc>
                      <w:tcPr>
                        <w:tcW w:w="1569" w:type="dxa"/>
                        <w:tcBorders>
                          <w:left w:val="single" w:sz="8" w:space="0" w:color="231F20"/>
                        </w:tcBorders>
                      </w:tcPr>
                      <w:p w14:paraId="0B34151F" w14:textId="77777777" w:rsidR="00080B77" w:rsidRDefault="00080B77">
                        <w:pPr>
                          <w:pStyle w:val="TableParagraph"/>
                          <w:spacing w:before="82"/>
                          <w:ind w:left="23"/>
                          <w:rPr>
                            <w:sz w:val="13"/>
                          </w:rPr>
                        </w:pPr>
                        <w:r>
                          <w:rPr>
                            <w:color w:val="231F20"/>
                            <w:sz w:val="13"/>
                          </w:rPr>
                          <w:t>No cost</w:t>
                        </w:r>
                      </w:p>
                    </w:tc>
                  </w:tr>
                  <w:tr w:rsidR="00080B77" w14:paraId="054F50FA" w14:textId="77777777">
                    <w:trPr>
                      <w:trHeight w:val="903"/>
                    </w:trPr>
                    <w:tc>
                      <w:tcPr>
                        <w:tcW w:w="479" w:type="dxa"/>
                        <w:tcBorders>
                          <w:left w:val="single" w:sz="8" w:space="0" w:color="231F20"/>
                        </w:tcBorders>
                        <w:shd w:val="clear" w:color="auto" w:fill="CCE7D3"/>
                      </w:tcPr>
                      <w:p w14:paraId="6E5034CE" w14:textId="77777777" w:rsidR="00080B77" w:rsidRDefault="00080B77">
                        <w:pPr>
                          <w:pStyle w:val="TableParagraph"/>
                          <w:rPr>
                            <w:sz w:val="12"/>
                          </w:rPr>
                        </w:pPr>
                      </w:p>
                      <w:p w14:paraId="1606A572" w14:textId="77777777" w:rsidR="00080B77" w:rsidRDefault="00080B77">
                        <w:pPr>
                          <w:pStyle w:val="TableParagraph"/>
                          <w:rPr>
                            <w:sz w:val="12"/>
                          </w:rPr>
                        </w:pPr>
                      </w:p>
                      <w:p w14:paraId="1805BB64" w14:textId="77777777" w:rsidR="00080B77" w:rsidRDefault="00080B77">
                        <w:pPr>
                          <w:pStyle w:val="TableParagraph"/>
                          <w:spacing w:before="101"/>
                          <w:ind w:left="61"/>
                          <w:rPr>
                            <w:sz w:val="13"/>
                          </w:rPr>
                        </w:pPr>
                        <w:r>
                          <w:rPr>
                            <w:color w:val="231F20"/>
                            <w:sz w:val="13"/>
                          </w:rPr>
                          <w:t>3.1.8</w:t>
                        </w:r>
                      </w:p>
                    </w:tc>
                    <w:tc>
                      <w:tcPr>
                        <w:tcW w:w="3170" w:type="dxa"/>
                        <w:gridSpan w:val="2"/>
                        <w:shd w:val="clear" w:color="auto" w:fill="CCE7D3"/>
                      </w:tcPr>
                      <w:p w14:paraId="2EF2AEEA" w14:textId="77777777" w:rsidR="00080B77" w:rsidRDefault="00080B77">
                        <w:pPr>
                          <w:pStyle w:val="TableParagraph"/>
                          <w:spacing w:before="3"/>
                          <w:rPr>
                            <w:sz w:val="11"/>
                          </w:rPr>
                        </w:pPr>
                      </w:p>
                      <w:p w14:paraId="2F2D1AB4" w14:textId="77777777" w:rsidR="00080B77" w:rsidRDefault="00080B77">
                        <w:pPr>
                          <w:pStyle w:val="TableParagraph"/>
                          <w:spacing w:line="259" w:lineRule="auto"/>
                          <w:ind w:left="25" w:right="150" w:firstLine="34"/>
                          <w:rPr>
                            <w:sz w:val="13"/>
                          </w:rPr>
                        </w:pPr>
                        <w:r>
                          <w:rPr>
                            <w:color w:val="231F20"/>
                            <w:sz w:val="13"/>
                          </w:rPr>
                          <w:t>Establish mechanisms for resource coordination through</w:t>
                        </w:r>
                        <w:r>
                          <w:rPr>
                            <w:color w:val="231F20"/>
                            <w:spacing w:val="-22"/>
                            <w:sz w:val="13"/>
                          </w:rPr>
                          <w:t xml:space="preserve"> </w:t>
                        </w:r>
                        <w:r>
                          <w:rPr>
                            <w:color w:val="231F20"/>
                            <w:sz w:val="13"/>
                          </w:rPr>
                          <w:t>common</w:t>
                        </w:r>
                        <w:r>
                          <w:rPr>
                            <w:color w:val="231F20"/>
                            <w:spacing w:val="-21"/>
                            <w:sz w:val="13"/>
                          </w:rPr>
                          <w:t xml:space="preserve"> </w:t>
                        </w:r>
                        <w:r>
                          <w:rPr>
                            <w:color w:val="231F20"/>
                            <w:sz w:val="13"/>
                          </w:rPr>
                          <w:t>basket</w:t>
                        </w:r>
                        <w:r>
                          <w:rPr>
                            <w:color w:val="231F20"/>
                            <w:spacing w:val="-21"/>
                            <w:sz w:val="13"/>
                          </w:rPr>
                          <w:t xml:space="preserve"> </w:t>
                        </w:r>
                        <w:r>
                          <w:rPr>
                            <w:color w:val="231F20"/>
                            <w:sz w:val="13"/>
                          </w:rPr>
                          <w:t>funding</w:t>
                        </w:r>
                        <w:r>
                          <w:rPr>
                            <w:color w:val="231F20"/>
                            <w:spacing w:val="-21"/>
                            <w:sz w:val="13"/>
                          </w:rPr>
                          <w:t xml:space="preserve"> </w:t>
                        </w:r>
                        <w:r>
                          <w:rPr>
                            <w:color w:val="231F20"/>
                            <w:sz w:val="13"/>
                          </w:rPr>
                          <w:t>models</w:t>
                        </w:r>
                        <w:r>
                          <w:rPr>
                            <w:color w:val="231F20"/>
                            <w:spacing w:val="-21"/>
                            <w:sz w:val="13"/>
                          </w:rPr>
                          <w:t xml:space="preserve"> </w:t>
                        </w:r>
                        <w:r>
                          <w:rPr>
                            <w:color w:val="231F20"/>
                            <w:sz w:val="13"/>
                          </w:rPr>
                          <w:t>such</w:t>
                        </w:r>
                        <w:r>
                          <w:rPr>
                            <w:color w:val="231F20"/>
                            <w:spacing w:val="-21"/>
                            <w:sz w:val="13"/>
                          </w:rPr>
                          <w:t xml:space="preserve"> </w:t>
                        </w:r>
                        <w:r>
                          <w:rPr>
                            <w:color w:val="231F20"/>
                            <w:sz w:val="13"/>
                          </w:rPr>
                          <w:t>as</w:t>
                        </w:r>
                        <w:r>
                          <w:rPr>
                            <w:color w:val="231F20"/>
                            <w:spacing w:val="-21"/>
                            <w:sz w:val="13"/>
                          </w:rPr>
                          <w:t xml:space="preserve"> </w:t>
                        </w:r>
                        <w:r>
                          <w:rPr>
                            <w:color w:val="231F20"/>
                            <w:sz w:val="13"/>
                          </w:rPr>
                          <w:t>Joint funding Agreement, Sector Wide Approaches, and sectoral multi-donor budget</w:t>
                        </w:r>
                        <w:r>
                          <w:rPr>
                            <w:color w:val="231F20"/>
                            <w:spacing w:val="-15"/>
                            <w:sz w:val="13"/>
                          </w:rPr>
                          <w:t xml:space="preserve"> </w:t>
                        </w:r>
                        <w:r>
                          <w:rPr>
                            <w:color w:val="231F20"/>
                            <w:sz w:val="13"/>
                          </w:rPr>
                          <w:t>support.</w:t>
                        </w:r>
                      </w:p>
                    </w:tc>
                    <w:tc>
                      <w:tcPr>
                        <w:tcW w:w="2488" w:type="dxa"/>
                        <w:shd w:val="clear" w:color="auto" w:fill="CCE7D3"/>
                      </w:tcPr>
                      <w:p w14:paraId="7066411B" w14:textId="77777777" w:rsidR="00080B77" w:rsidRDefault="00080B77">
                        <w:pPr>
                          <w:pStyle w:val="TableParagraph"/>
                          <w:numPr>
                            <w:ilvl w:val="0"/>
                            <w:numId w:val="215"/>
                          </w:numPr>
                          <w:tabs>
                            <w:tab w:val="left" w:pos="104"/>
                          </w:tabs>
                          <w:spacing w:before="55" w:line="259" w:lineRule="auto"/>
                          <w:ind w:right="79" w:firstLine="0"/>
                          <w:rPr>
                            <w:sz w:val="13"/>
                          </w:rPr>
                        </w:pPr>
                        <w:r>
                          <w:rPr>
                            <w:color w:val="231F20"/>
                            <w:sz w:val="13"/>
                          </w:rPr>
                          <w:t>Policy</w:t>
                        </w:r>
                        <w:r>
                          <w:rPr>
                            <w:color w:val="231F20"/>
                            <w:spacing w:val="-24"/>
                            <w:sz w:val="13"/>
                          </w:rPr>
                          <w:t xml:space="preserve"> </w:t>
                        </w:r>
                        <w:r>
                          <w:rPr>
                            <w:color w:val="231F20"/>
                            <w:sz w:val="13"/>
                          </w:rPr>
                          <w:t>on</w:t>
                        </w:r>
                        <w:r>
                          <w:rPr>
                            <w:color w:val="231F20"/>
                            <w:spacing w:val="-23"/>
                            <w:sz w:val="13"/>
                          </w:rPr>
                          <w:t xml:space="preserve"> </w:t>
                        </w:r>
                        <w:r>
                          <w:rPr>
                            <w:color w:val="231F20"/>
                            <w:sz w:val="13"/>
                          </w:rPr>
                          <w:t>basket</w:t>
                        </w:r>
                        <w:r>
                          <w:rPr>
                            <w:color w:val="231F20"/>
                            <w:spacing w:val="-23"/>
                            <w:sz w:val="13"/>
                          </w:rPr>
                          <w:t xml:space="preserve"> </w:t>
                        </w:r>
                        <w:r>
                          <w:rPr>
                            <w:color w:val="231F20"/>
                            <w:sz w:val="13"/>
                          </w:rPr>
                          <w:t>fund</w:t>
                        </w:r>
                        <w:r>
                          <w:rPr>
                            <w:color w:val="231F20"/>
                            <w:spacing w:val="-23"/>
                            <w:sz w:val="13"/>
                          </w:rPr>
                          <w:t xml:space="preserve"> </w:t>
                        </w:r>
                        <w:r>
                          <w:rPr>
                            <w:color w:val="231F20"/>
                            <w:sz w:val="13"/>
                          </w:rPr>
                          <w:t>adopted,</w:t>
                        </w:r>
                        <w:r>
                          <w:rPr>
                            <w:color w:val="231F20"/>
                            <w:spacing w:val="-23"/>
                            <w:sz w:val="13"/>
                          </w:rPr>
                          <w:t xml:space="preserve"> </w:t>
                        </w:r>
                        <w:r>
                          <w:rPr>
                            <w:color w:val="231F20"/>
                            <w:sz w:val="13"/>
                          </w:rPr>
                          <w:t>guidelines developed and</w:t>
                        </w:r>
                        <w:r>
                          <w:rPr>
                            <w:color w:val="231F20"/>
                            <w:spacing w:val="-10"/>
                            <w:sz w:val="13"/>
                          </w:rPr>
                          <w:t xml:space="preserve"> </w:t>
                        </w:r>
                        <w:r>
                          <w:rPr>
                            <w:color w:val="231F20"/>
                            <w:sz w:val="13"/>
                          </w:rPr>
                          <w:t>implemented</w:t>
                        </w:r>
                      </w:p>
                      <w:p w14:paraId="1DDCA139" w14:textId="77777777" w:rsidR="00080B77" w:rsidRDefault="00080B77">
                        <w:pPr>
                          <w:pStyle w:val="TableParagraph"/>
                          <w:numPr>
                            <w:ilvl w:val="0"/>
                            <w:numId w:val="215"/>
                          </w:numPr>
                          <w:tabs>
                            <w:tab w:val="left" w:pos="71"/>
                          </w:tabs>
                          <w:spacing w:line="259" w:lineRule="auto"/>
                          <w:ind w:right="245" w:firstLine="0"/>
                          <w:rPr>
                            <w:sz w:val="13"/>
                          </w:rPr>
                        </w:pPr>
                        <w:r>
                          <w:rPr>
                            <w:color w:val="231F20"/>
                            <w:sz w:val="13"/>
                          </w:rPr>
                          <w:t>Common</w:t>
                        </w:r>
                        <w:r>
                          <w:rPr>
                            <w:color w:val="231F20"/>
                            <w:spacing w:val="-4"/>
                            <w:sz w:val="13"/>
                          </w:rPr>
                          <w:t xml:space="preserve"> </w:t>
                        </w:r>
                        <w:r>
                          <w:rPr>
                            <w:color w:val="231F20"/>
                            <w:sz w:val="13"/>
                          </w:rPr>
                          <w:t>basket</w:t>
                        </w:r>
                        <w:r>
                          <w:rPr>
                            <w:color w:val="231F20"/>
                            <w:spacing w:val="-20"/>
                            <w:sz w:val="13"/>
                          </w:rPr>
                          <w:t xml:space="preserve"> </w:t>
                        </w:r>
                        <w:r>
                          <w:rPr>
                            <w:color w:val="231F20"/>
                            <w:sz w:val="13"/>
                          </w:rPr>
                          <w:t>funding</w:t>
                        </w:r>
                        <w:r>
                          <w:rPr>
                            <w:color w:val="231F20"/>
                            <w:spacing w:val="-20"/>
                            <w:sz w:val="13"/>
                          </w:rPr>
                          <w:t xml:space="preserve"> </w:t>
                        </w:r>
                        <w:r>
                          <w:rPr>
                            <w:color w:val="231F20"/>
                            <w:sz w:val="13"/>
                          </w:rPr>
                          <w:t>established</w:t>
                        </w:r>
                        <w:r>
                          <w:rPr>
                            <w:color w:val="231F20"/>
                            <w:spacing w:val="-20"/>
                            <w:sz w:val="13"/>
                          </w:rPr>
                          <w:t xml:space="preserve"> </w:t>
                        </w:r>
                        <w:r>
                          <w:rPr>
                            <w:color w:val="231F20"/>
                            <w:spacing w:val="-13"/>
                            <w:sz w:val="13"/>
                          </w:rPr>
                          <w:t xml:space="preserve">&amp; </w:t>
                        </w:r>
                        <w:r>
                          <w:rPr>
                            <w:color w:val="231F20"/>
                            <w:sz w:val="13"/>
                          </w:rPr>
                          <w:t>coordinated by</w:t>
                        </w:r>
                        <w:r>
                          <w:rPr>
                            <w:color w:val="231F20"/>
                            <w:spacing w:val="-8"/>
                            <w:sz w:val="13"/>
                          </w:rPr>
                          <w:t xml:space="preserve"> </w:t>
                        </w:r>
                        <w:r>
                          <w:rPr>
                            <w:color w:val="231F20"/>
                            <w:sz w:val="13"/>
                          </w:rPr>
                          <w:t>HPCC</w:t>
                        </w:r>
                      </w:p>
                      <w:p w14:paraId="3421B74A" w14:textId="77777777" w:rsidR="00080B77" w:rsidRDefault="00080B77">
                        <w:pPr>
                          <w:pStyle w:val="TableParagraph"/>
                          <w:spacing w:line="149" w:lineRule="exact"/>
                          <w:ind w:left="25"/>
                          <w:rPr>
                            <w:sz w:val="13"/>
                          </w:rPr>
                        </w:pPr>
                        <w:r>
                          <w:rPr>
                            <w:color w:val="231F20"/>
                            <w:w w:val="95"/>
                            <w:sz w:val="13"/>
                          </w:rPr>
                          <w:t>•</w:t>
                        </w:r>
                      </w:p>
                    </w:tc>
                    <w:tc>
                      <w:tcPr>
                        <w:tcW w:w="1490" w:type="dxa"/>
                        <w:tcBorders>
                          <w:right w:val="single" w:sz="8" w:space="0" w:color="231F20"/>
                        </w:tcBorders>
                        <w:shd w:val="clear" w:color="auto" w:fill="CCE7D3"/>
                      </w:tcPr>
                      <w:p w14:paraId="0C815279"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5845B576" w14:textId="77777777" w:rsidR="00080B77" w:rsidRDefault="00080B77">
                        <w:pPr>
                          <w:pStyle w:val="TableParagraph"/>
                          <w:rPr>
                            <w:rFonts w:ascii="Times New Roman"/>
                            <w:sz w:val="12"/>
                          </w:rPr>
                        </w:pPr>
                      </w:p>
                    </w:tc>
                  </w:tr>
                  <w:tr w:rsidR="00080B77" w14:paraId="50CD2608" w14:textId="77777777">
                    <w:trPr>
                      <w:trHeight w:val="737"/>
                    </w:trPr>
                    <w:tc>
                      <w:tcPr>
                        <w:tcW w:w="479" w:type="dxa"/>
                        <w:vMerge w:val="restart"/>
                        <w:tcBorders>
                          <w:left w:val="single" w:sz="8" w:space="0" w:color="231F20"/>
                        </w:tcBorders>
                      </w:tcPr>
                      <w:p w14:paraId="4EE249E1" w14:textId="77777777" w:rsidR="00080B77" w:rsidRDefault="00080B77">
                        <w:pPr>
                          <w:pStyle w:val="TableParagraph"/>
                          <w:rPr>
                            <w:rFonts w:ascii="Times New Roman"/>
                            <w:sz w:val="12"/>
                          </w:rPr>
                        </w:pPr>
                      </w:p>
                    </w:tc>
                    <w:tc>
                      <w:tcPr>
                        <w:tcW w:w="549" w:type="dxa"/>
                      </w:tcPr>
                      <w:p w14:paraId="5A392C61" w14:textId="77777777" w:rsidR="00080B77" w:rsidRDefault="00080B77">
                        <w:pPr>
                          <w:pStyle w:val="TableParagraph"/>
                          <w:rPr>
                            <w:sz w:val="12"/>
                          </w:rPr>
                        </w:pPr>
                      </w:p>
                      <w:p w14:paraId="5E6877CD" w14:textId="77777777" w:rsidR="00080B77" w:rsidRDefault="00080B77">
                        <w:pPr>
                          <w:pStyle w:val="TableParagraph"/>
                          <w:spacing w:before="6"/>
                          <w:rPr>
                            <w:sz w:val="13"/>
                          </w:rPr>
                        </w:pPr>
                      </w:p>
                      <w:p w14:paraId="68C8E942" w14:textId="77777777" w:rsidR="00080B77" w:rsidRDefault="00080B77">
                        <w:pPr>
                          <w:pStyle w:val="TableParagraph"/>
                          <w:ind w:left="87"/>
                          <w:rPr>
                            <w:sz w:val="13"/>
                          </w:rPr>
                        </w:pPr>
                        <w:r>
                          <w:rPr>
                            <w:color w:val="231F20"/>
                            <w:sz w:val="13"/>
                          </w:rPr>
                          <w:t>3.1.8.a</w:t>
                        </w:r>
                      </w:p>
                    </w:tc>
                    <w:tc>
                      <w:tcPr>
                        <w:tcW w:w="5109" w:type="dxa"/>
                        <w:gridSpan w:val="2"/>
                      </w:tcPr>
                      <w:p w14:paraId="7EA9777E" w14:textId="77777777" w:rsidR="00080B77" w:rsidRDefault="00080B77">
                        <w:pPr>
                          <w:pStyle w:val="TableParagraph"/>
                          <w:rPr>
                            <w:sz w:val="12"/>
                          </w:rPr>
                        </w:pPr>
                      </w:p>
                      <w:p w14:paraId="465A19E7" w14:textId="77777777" w:rsidR="00080B77" w:rsidRDefault="00080B77">
                        <w:pPr>
                          <w:pStyle w:val="TableParagraph"/>
                          <w:spacing w:before="70" w:line="259" w:lineRule="auto"/>
                          <w:ind w:left="25" w:right="857" w:firstLine="27"/>
                          <w:rPr>
                            <w:sz w:val="13"/>
                          </w:rPr>
                        </w:pPr>
                        <w:r>
                          <w:rPr>
                            <w:color w:val="231F20"/>
                            <w:sz w:val="13"/>
                          </w:rPr>
                          <w:t>Adapt/adopt</w:t>
                        </w:r>
                        <w:r>
                          <w:rPr>
                            <w:color w:val="231F20"/>
                            <w:spacing w:val="-19"/>
                            <w:sz w:val="13"/>
                          </w:rPr>
                          <w:t xml:space="preserve"> </w:t>
                        </w:r>
                        <w:r>
                          <w:rPr>
                            <w:color w:val="231F20"/>
                            <w:sz w:val="13"/>
                          </w:rPr>
                          <w:t>the</w:t>
                        </w:r>
                        <w:r>
                          <w:rPr>
                            <w:color w:val="231F20"/>
                            <w:spacing w:val="-19"/>
                            <w:sz w:val="13"/>
                          </w:rPr>
                          <w:t xml:space="preserve"> </w:t>
                        </w:r>
                        <w:r>
                          <w:rPr>
                            <w:color w:val="231F20"/>
                            <w:sz w:val="13"/>
                          </w:rPr>
                          <w:t>existing</w:t>
                        </w:r>
                        <w:r>
                          <w:rPr>
                            <w:color w:val="231F20"/>
                            <w:spacing w:val="-19"/>
                            <w:sz w:val="13"/>
                          </w:rPr>
                          <w:t xml:space="preserve"> </w:t>
                        </w:r>
                        <w:r>
                          <w:rPr>
                            <w:color w:val="231F20"/>
                            <w:sz w:val="13"/>
                          </w:rPr>
                          <w:t>policy</w:t>
                        </w:r>
                        <w:r>
                          <w:rPr>
                            <w:color w:val="231F20"/>
                            <w:spacing w:val="-19"/>
                            <w:sz w:val="13"/>
                          </w:rPr>
                          <w:t xml:space="preserve"> </w:t>
                        </w:r>
                        <w:r>
                          <w:rPr>
                            <w:color w:val="231F20"/>
                            <w:sz w:val="13"/>
                          </w:rPr>
                          <w:t>on</w:t>
                        </w:r>
                        <w:r>
                          <w:rPr>
                            <w:color w:val="231F20"/>
                            <w:spacing w:val="-19"/>
                            <w:sz w:val="13"/>
                          </w:rPr>
                          <w:t xml:space="preserve"> </w:t>
                        </w:r>
                        <w:r>
                          <w:rPr>
                            <w:color w:val="231F20"/>
                            <w:sz w:val="13"/>
                          </w:rPr>
                          <w:t>basket</w:t>
                        </w:r>
                        <w:r>
                          <w:rPr>
                            <w:color w:val="231F20"/>
                            <w:spacing w:val="-19"/>
                            <w:sz w:val="13"/>
                          </w:rPr>
                          <w:t xml:space="preserve"> </w:t>
                        </w:r>
                        <w:r>
                          <w:rPr>
                            <w:color w:val="231F20"/>
                            <w:sz w:val="13"/>
                          </w:rPr>
                          <w:t>fund</w:t>
                        </w:r>
                        <w:r>
                          <w:rPr>
                            <w:color w:val="231F20"/>
                            <w:spacing w:val="-19"/>
                            <w:sz w:val="13"/>
                          </w:rPr>
                          <w:t xml:space="preserve"> </w:t>
                        </w:r>
                        <w:r>
                          <w:rPr>
                            <w:color w:val="231F20"/>
                            <w:sz w:val="13"/>
                          </w:rPr>
                          <w:t>and</w:t>
                        </w:r>
                        <w:r>
                          <w:rPr>
                            <w:color w:val="231F20"/>
                            <w:spacing w:val="-19"/>
                            <w:sz w:val="13"/>
                          </w:rPr>
                          <w:t xml:space="preserve"> </w:t>
                        </w:r>
                        <w:r>
                          <w:rPr>
                            <w:color w:val="231F20"/>
                            <w:sz w:val="13"/>
                          </w:rPr>
                          <w:t>develop</w:t>
                        </w:r>
                        <w:r>
                          <w:rPr>
                            <w:color w:val="231F20"/>
                            <w:spacing w:val="-19"/>
                            <w:sz w:val="13"/>
                          </w:rPr>
                          <w:t xml:space="preserve"> </w:t>
                        </w:r>
                        <w:r>
                          <w:rPr>
                            <w:color w:val="231F20"/>
                            <w:sz w:val="13"/>
                          </w:rPr>
                          <w:t>guidelines</w:t>
                        </w:r>
                        <w:r>
                          <w:rPr>
                            <w:color w:val="231F20"/>
                            <w:spacing w:val="-18"/>
                            <w:sz w:val="13"/>
                          </w:rPr>
                          <w:t xml:space="preserve"> </w:t>
                        </w:r>
                        <w:r>
                          <w:rPr>
                            <w:color w:val="231F20"/>
                            <w:sz w:val="13"/>
                          </w:rPr>
                          <w:t>for</w:t>
                        </w:r>
                        <w:r>
                          <w:rPr>
                            <w:color w:val="231F20"/>
                            <w:spacing w:val="-19"/>
                            <w:sz w:val="13"/>
                          </w:rPr>
                          <w:t xml:space="preserve"> </w:t>
                        </w:r>
                        <w:r>
                          <w:rPr>
                            <w:color w:val="231F20"/>
                            <w:sz w:val="13"/>
                          </w:rPr>
                          <w:t>its implementation</w:t>
                        </w:r>
                      </w:p>
                    </w:tc>
                    <w:tc>
                      <w:tcPr>
                        <w:tcW w:w="1490" w:type="dxa"/>
                        <w:tcBorders>
                          <w:right w:val="single" w:sz="8" w:space="0" w:color="231F20"/>
                        </w:tcBorders>
                      </w:tcPr>
                      <w:p w14:paraId="09A099F3" w14:textId="77777777" w:rsidR="00080B77" w:rsidRDefault="00080B77">
                        <w:pPr>
                          <w:pStyle w:val="TableParagraph"/>
                          <w:rPr>
                            <w:sz w:val="12"/>
                          </w:rPr>
                        </w:pPr>
                      </w:p>
                      <w:p w14:paraId="713EA962" w14:textId="77777777" w:rsidR="00080B77" w:rsidRDefault="00080B77">
                        <w:pPr>
                          <w:pStyle w:val="TableParagraph"/>
                          <w:spacing w:before="6"/>
                          <w:rPr>
                            <w:sz w:val="13"/>
                          </w:rPr>
                        </w:pPr>
                      </w:p>
                      <w:p w14:paraId="0BF517F4" w14:textId="77777777" w:rsidR="00080B77" w:rsidRDefault="00080B77">
                        <w:pPr>
                          <w:pStyle w:val="TableParagraph"/>
                          <w:ind w:left="26"/>
                          <w:rPr>
                            <w:sz w:val="13"/>
                          </w:rPr>
                        </w:pPr>
                        <w:r>
                          <w:rPr>
                            <w:color w:val="231F20"/>
                            <w:sz w:val="13"/>
                          </w:rPr>
                          <w:t>Lack of funds</w:t>
                        </w:r>
                      </w:p>
                    </w:tc>
                    <w:tc>
                      <w:tcPr>
                        <w:tcW w:w="1569" w:type="dxa"/>
                        <w:tcBorders>
                          <w:left w:val="single" w:sz="8" w:space="0" w:color="231F20"/>
                        </w:tcBorders>
                      </w:tcPr>
                      <w:p w14:paraId="54A4AF26" w14:textId="77777777" w:rsidR="00080B77" w:rsidRDefault="00080B77">
                        <w:pPr>
                          <w:pStyle w:val="TableParagraph"/>
                          <w:rPr>
                            <w:sz w:val="12"/>
                          </w:rPr>
                        </w:pPr>
                      </w:p>
                      <w:p w14:paraId="4CE037E5" w14:textId="77777777" w:rsidR="00080B77" w:rsidRDefault="00080B77">
                        <w:pPr>
                          <w:pStyle w:val="TableParagraph"/>
                          <w:spacing w:before="75" w:line="259" w:lineRule="auto"/>
                          <w:ind w:left="23" w:right="251"/>
                          <w:rPr>
                            <w:sz w:val="13"/>
                          </w:rPr>
                        </w:pPr>
                        <w:r>
                          <w:rPr>
                            <w:color w:val="231F20"/>
                            <w:w w:val="95"/>
                            <w:sz w:val="13"/>
                          </w:rPr>
                          <w:t xml:space="preserve">Adapt/adopt policy and </w:t>
                        </w:r>
                        <w:r>
                          <w:rPr>
                            <w:color w:val="231F20"/>
                            <w:sz w:val="13"/>
                          </w:rPr>
                          <w:t>develop guidelines</w:t>
                        </w:r>
                      </w:p>
                    </w:tc>
                  </w:tr>
                  <w:tr w:rsidR="00080B77" w14:paraId="36236A82" w14:textId="77777777">
                    <w:trPr>
                      <w:trHeight w:val="762"/>
                    </w:trPr>
                    <w:tc>
                      <w:tcPr>
                        <w:tcW w:w="479" w:type="dxa"/>
                        <w:vMerge/>
                        <w:tcBorders>
                          <w:top w:val="nil"/>
                          <w:left w:val="single" w:sz="8" w:space="0" w:color="231F20"/>
                        </w:tcBorders>
                      </w:tcPr>
                      <w:p w14:paraId="6938D293" w14:textId="77777777" w:rsidR="00080B77" w:rsidRDefault="00080B77">
                        <w:pPr>
                          <w:rPr>
                            <w:sz w:val="2"/>
                            <w:szCs w:val="2"/>
                          </w:rPr>
                        </w:pPr>
                      </w:p>
                    </w:tc>
                    <w:tc>
                      <w:tcPr>
                        <w:tcW w:w="549" w:type="dxa"/>
                      </w:tcPr>
                      <w:p w14:paraId="43F35128" w14:textId="77777777" w:rsidR="00080B77" w:rsidRDefault="00080B77">
                        <w:pPr>
                          <w:pStyle w:val="TableParagraph"/>
                          <w:rPr>
                            <w:sz w:val="12"/>
                          </w:rPr>
                        </w:pPr>
                      </w:p>
                      <w:p w14:paraId="687D39C1" w14:textId="77777777" w:rsidR="00080B77" w:rsidRDefault="00080B77">
                        <w:pPr>
                          <w:pStyle w:val="TableParagraph"/>
                          <w:spacing w:before="7"/>
                          <w:rPr>
                            <w:sz w:val="14"/>
                          </w:rPr>
                        </w:pPr>
                      </w:p>
                      <w:p w14:paraId="271D933B" w14:textId="77777777" w:rsidR="00080B77" w:rsidRDefault="00080B77">
                        <w:pPr>
                          <w:pStyle w:val="TableParagraph"/>
                          <w:ind w:left="87"/>
                          <w:rPr>
                            <w:sz w:val="13"/>
                          </w:rPr>
                        </w:pPr>
                        <w:r>
                          <w:rPr>
                            <w:color w:val="231F20"/>
                            <w:sz w:val="13"/>
                          </w:rPr>
                          <w:t>3.1.8.b</w:t>
                        </w:r>
                      </w:p>
                    </w:tc>
                    <w:tc>
                      <w:tcPr>
                        <w:tcW w:w="5109" w:type="dxa"/>
                        <w:gridSpan w:val="2"/>
                      </w:tcPr>
                      <w:p w14:paraId="34A60A69" w14:textId="0284E522" w:rsidR="00080B77" w:rsidRDefault="00080B77">
                        <w:pPr>
                          <w:pStyle w:val="TableParagraph"/>
                          <w:spacing w:before="59" w:line="259" w:lineRule="auto"/>
                          <w:ind w:left="25" w:right="125"/>
                          <w:rPr>
                            <w:sz w:val="13"/>
                          </w:rPr>
                        </w:pPr>
                        <w:r>
                          <w:rPr>
                            <w:color w:val="231F20"/>
                            <w:sz w:val="13"/>
                          </w:rPr>
                          <w:t>Establish</w:t>
                        </w:r>
                        <w:r>
                          <w:rPr>
                            <w:color w:val="231F20"/>
                            <w:spacing w:val="-15"/>
                            <w:sz w:val="13"/>
                          </w:rPr>
                          <w:t xml:space="preserve"> </w:t>
                        </w:r>
                        <w:r>
                          <w:rPr>
                            <w:color w:val="231F20"/>
                            <w:sz w:val="13"/>
                          </w:rPr>
                          <w:t>a</w:t>
                        </w:r>
                        <w:r>
                          <w:rPr>
                            <w:color w:val="231F20"/>
                            <w:spacing w:val="-15"/>
                            <w:sz w:val="13"/>
                          </w:rPr>
                          <w:t xml:space="preserve"> </w:t>
                        </w:r>
                        <w:r>
                          <w:rPr>
                            <w:color w:val="231F20"/>
                            <w:sz w:val="13"/>
                          </w:rPr>
                          <w:t>common</w:t>
                        </w:r>
                        <w:r>
                          <w:rPr>
                            <w:color w:val="231F20"/>
                            <w:spacing w:val="7"/>
                            <w:sz w:val="13"/>
                          </w:rPr>
                          <w:t xml:space="preserve"> </w:t>
                        </w:r>
                        <w:r>
                          <w:rPr>
                            <w:color w:val="231F20"/>
                            <w:sz w:val="13"/>
                          </w:rPr>
                          <w:t>basket</w:t>
                        </w:r>
                        <w:r>
                          <w:rPr>
                            <w:color w:val="231F20"/>
                            <w:spacing w:val="-15"/>
                            <w:sz w:val="13"/>
                          </w:rPr>
                          <w:t xml:space="preserve"> </w:t>
                        </w:r>
                        <w:r>
                          <w:rPr>
                            <w:color w:val="231F20"/>
                            <w:sz w:val="13"/>
                          </w:rPr>
                          <w:t>funding</w:t>
                        </w:r>
                        <w:r>
                          <w:rPr>
                            <w:color w:val="231F20"/>
                            <w:spacing w:val="-14"/>
                            <w:sz w:val="13"/>
                          </w:rPr>
                          <w:t xml:space="preserve"> </w:t>
                        </w:r>
                        <w:r>
                          <w:rPr>
                            <w:color w:val="231F20"/>
                            <w:sz w:val="13"/>
                          </w:rPr>
                          <w:t>through</w:t>
                        </w:r>
                        <w:r>
                          <w:rPr>
                            <w:color w:val="231F20"/>
                            <w:spacing w:val="-15"/>
                            <w:sz w:val="13"/>
                          </w:rPr>
                          <w:t xml:space="preserve"> </w:t>
                        </w:r>
                        <w:r>
                          <w:rPr>
                            <w:color w:val="231F20"/>
                            <w:sz w:val="13"/>
                          </w:rPr>
                          <w:t>options</w:t>
                        </w:r>
                        <w:r>
                          <w:rPr>
                            <w:color w:val="231F20"/>
                            <w:spacing w:val="-15"/>
                            <w:sz w:val="13"/>
                          </w:rPr>
                          <w:t xml:space="preserve"> </w:t>
                        </w:r>
                        <w:r>
                          <w:rPr>
                            <w:color w:val="231F20"/>
                            <w:sz w:val="13"/>
                          </w:rPr>
                          <w:t>such</w:t>
                        </w:r>
                        <w:r>
                          <w:rPr>
                            <w:color w:val="231F20"/>
                            <w:spacing w:val="-15"/>
                            <w:sz w:val="13"/>
                          </w:rPr>
                          <w:t xml:space="preserve"> </w:t>
                        </w:r>
                        <w:r>
                          <w:rPr>
                            <w:color w:val="231F20"/>
                            <w:sz w:val="13"/>
                          </w:rPr>
                          <w:t>as</w:t>
                        </w:r>
                        <w:r>
                          <w:rPr>
                            <w:color w:val="231F20"/>
                            <w:spacing w:val="-14"/>
                            <w:sz w:val="13"/>
                          </w:rPr>
                          <w:t xml:space="preserve"> </w:t>
                        </w:r>
                        <w:r>
                          <w:rPr>
                            <w:color w:val="231F20"/>
                            <w:sz w:val="13"/>
                          </w:rPr>
                          <w:t>joint</w:t>
                        </w:r>
                        <w:r>
                          <w:rPr>
                            <w:color w:val="231F20"/>
                            <w:spacing w:val="-15"/>
                            <w:sz w:val="13"/>
                          </w:rPr>
                          <w:t xml:space="preserve"> </w:t>
                        </w:r>
                        <w:r>
                          <w:rPr>
                            <w:color w:val="231F20"/>
                            <w:sz w:val="13"/>
                          </w:rPr>
                          <w:t>funding</w:t>
                        </w:r>
                        <w:r>
                          <w:rPr>
                            <w:color w:val="231F20"/>
                            <w:spacing w:val="-15"/>
                            <w:sz w:val="13"/>
                          </w:rPr>
                          <w:t xml:space="preserve"> </w:t>
                        </w:r>
                        <w:r>
                          <w:rPr>
                            <w:color w:val="231F20"/>
                            <w:sz w:val="13"/>
                          </w:rPr>
                          <w:t>agreements, Sector-Wide</w:t>
                        </w:r>
                        <w:r>
                          <w:rPr>
                            <w:color w:val="231F20"/>
                            <w:spacing w:val="-26"/>
                            <w:sz w:val="13"/>
                          </w:rPr>
                          <w:t xml:space="preserve"> </w:t>
                        </w:r>
                        <w:r>
                          <w:rPr>
                            <w:color w:val="231F20"/>
                            <w:sz w:val="13"/>
                          </w:rPr>
                          <w:t>Approaches</w:t>
                        </w:r>
                        <w:r>
                          <w:rPr>
                            <w:color w:val="231F20"/>
                            <w:spacing w:val="-23"/>
                            <w:sz w:val="13"/>
                          </w:rPr>
                          <w:t xml:space="preserve"> </w:t>
                        </w:r>
                        <w:r>
                          <w:rPr>
                            <w:color w:val="231F20"/>
                            <w:sz w:val="13"/>
                          </w:rPr>
                          <w:t>(</w:t>
                        </w:r>
                        <w:proofErr w:type="spellStart"/>
                        <w:r>
                          <w:rPr>
                            <w:color w:val="231F20"/>
                            <w:sz w:val="13"/>
                          </w:rPr>
                          <w:t>SWAps</w:t>
                        </w:r>
                        <w:proofErr w:type="spellEnd"/>
                        <w:r>
                          <w:rPr>
                            <w:color w:val="231F20"/>
                            <w:sz w:val="13"/>
                          </w:rPr>
                          <w:t>)</w:t>
                        </w:r>
                        <w:r>
                          <w:rPr>
                            <w:color w:val="231F20"/>
                            <w:spacing w:val="-23"/>
                            <w:sz w:val="13"/>
                          </w:rPr>
                          <w:t xml:space="preserve"> </w:t>
                        </w:r>
                        <w:r>
                          <w:rPr>
                            <w:color w:val="231F20"/>
                            <w:sz w:val="13"/>
                          </w:rPr>
                          <w:t>and</w:t>
                        </w:r>
                        <w:r>
                          <w:rPr>
                            <w:color w:val="231F20"/>
                            <w:spacing w:val="-23"/>
                            <w:sz w:val="13"/>
                          </w:rPr>
                          <w:t xml:space="preserve"> </w:t>
                        </w:r>
                        <w:r>
                          <w:rPr>
                            <w:color w:val="231F20"/>
                            <w:sz w:val="13"/>
                          </w:rPr>
                          <w:t>sectoral</w:t>
                        </w:r>
                        <w:r>
                          <w:rPr>
                            <w:color w:val="231F20"/>
                            <w:spacing w:val="-23"/>
                            <w:sz w:val="13"/>
                          </w:rPr>
                          <w:t xml:space="preserve"> </w:t>
                        </w:r>
                        <w:r>
                          <w:rPr>
                            <w:color w:val="231F20"/>
                            <w:sz w:val="13"/>
                          </w:rPr>
                          <w:t>multi-donor</w:t>
                        </w:r>
                        <w:r>
                          <w:rPr>
                            <w:color w:val="231F20"/>
                            <w:spacing w:val="-23"/>
                            <w:sz w:val="13"/>
                          </w:rPr>
                          <w:t xml:space="preserve"> </w:t>
                        </w:r>
                        <w:r>
                          <w:rPr>
                            <w:color w:val="231F20"/>
                            <w:sz w:val="13"/>
                          </w:rPr>
                          <w:t>budget</w:t>
                        </w:r>
                        <w:r>
                          <w:rPr>
                            <w:color w:val="231F20"/>
                            <w:spacing w:val="-23"/>
                            <w:sz w:val="13"/>
                          </w:rPr>
                          <w:t xml:space="preserve"> </w:t>
                        </w:r>
                        <w:r>
                          <w:rPr>
                            <w:color w:val="231F20"/>
                            <w:sz w:val="13"/>
                          </w:rPr>
                          <w:t>support</w:t>
                        </w:r>
                        <w:r>
                          <w:rPr>
                            <w:color w:val="231F20"/>
                            <w:spacing w:val="-23"/>
                            <w:sz w:val="13"/>
                          </w:rPr>
                          <w:t xml:space="preserve"> </w:t>
                        </w:r>
                        <w:r>
                          <w:rPr>
                            <w:color w:val="231F20"/>
                            <w:sz w:val="13"/>
                          </w:rPr>
                          <w:t>etc.</w:t>
                        </w:r>
                        <w:r>
                          <w:rPr>
                            <w:color w:val="231F20"/>
                            <w:spacing w:val="-23"/>
                            <w:sz w:val="13"/>
                          </w:rPr>
                          <w:t xml:space="preserve"> </w:t>
                        </w:r>
                        <w:r>
                          <w:rPr>
                            <w:color w:val="231F20"/>
                            <w:sz w:val="13"/>
                          </w:rPr>
                          <w:t>that</w:t>
                        </w:r>
                        <w:r>
                          <w:rPr>
                            <w:color w:val="231F20"/>
                            <w:spacing w:val="-23"/>
                            <w:sz w:val="13"/>
                          </w:rPr>
                          <w:t xml:space="preserve"> </w:t>
                        </w:r>
                        <w:r>
                          <w:rPr>
                            <w:color w:val="231F20"/>
                            <w:sz w:val="13"/>
                          </w:rPr>
                          <w:t>will</w:t>
                        </w:r>
                        <w:r>
                          <w:rPr>
                            <w:color w:val="231F20"/>
                            <w:spacing w:val="-23"/>
                            <w:sz w:val="13"/>
                          </w:rPr>
                          <w:t xml:space="preserve"> </w:t>
                        </w:r>
                        <w:r>
                          <w:rPr>
                            <w:color w:val="231F20"/>
                            <w:sz w:val="13"/>
                          </w:rPr>
                          <w:t>be coordinated by Health Partners Coordinating Committee (HPCC) which serves as government</w:t>
                        </w:r>
                        <w:r>
                          <w:rPr>
                            <w:color w:val="231F20"/>
                            <w:spacing w:val="-11"/>
                            <w:sz w:val="13"/>
                          </w:rPr>
                          <w:t xml:space="preserve"> </w:t>
                        </w:r>
                        <w:r>
                          <w:rPr>
                            <w:color w:val="231F20"/>
                            <w:sz w:val="13"/>
                          </w:rPr>
                          <w:t>coordinating</w:t>
                        </w:r>
                        <w:r>
                          <w:rPr>
                            <w:color w:val="231F20"/>
                            <w:spacing w:val="-10"/>
                            <w:sz w:val="13"/>
                          </w:rPr>
                          <w:t xml:space="preserve"> </w:t>
                        </w:r>
                        <w:r>
                          <w:rPr>
                            <w:color w:val="231F20"/>
                            <w:sz w:val="13"/>
                          </w:rPr>
                          <w:t>body</w:t>
                        </w:r>
                        <w:r>
                          <w:rPr>
                            <w:color w:val="231F20"/>
                            <w:spacing w:val="-10"/>
                            <w:sz w:val="13"/>
                          </w:rPr>
                          <w:t xml:space="preserve"> </w:t>
                        </w:r>
                        <w:r>
                          <w:rPr>
                            <w:color w:val="231F20"/>
                            <w:sz w:val="13"/>
                          </w:rPr>
                          <w:t>with</w:t>
                        </w:r>
                        <w:r>
                          <w:rPr>
                            <w:color w:val="231F20"/>
                            <w:spacing w:val="-10"/>
                            <w:sz w:val="13"/>
                          </w:rPr>
                          <w:t xml:space="preserve"> </w:t>
                        </w:r>
                        <w:r>
                          <w:rPr>
                            <w:color w:val="231F20"/>
                            <w:sz w:val="13"/>
                          </w:rPr>
                          <w:t>other</w:t>
                        </w:r>
                        <w:r>
                          <w:rPr>
                            <w:color w:val="231F20"/>
                            <w:spacing w:val="-10"/>
                            <w:sz w:val="13"/>
                          </w:rPr>
                          <w:t xml:space="preserve"> </w:t>
                        </w:r>
                        <w:r>
                          <w:rPr>
                            <w:color w:val="231F20"/>
                            <w:sz w:val="13"/>
                          </w:rPr>
                          <w:t>development</w:t>
                        </w:r>
                        <w:r>
                          <w:rPr>
                            <w:color w:val="231F20"/>
                            <w:spacing w:val="-10"/>
                            <w:sz w:val="13"/>
                          </w:rPr>
                          <w:t xml:space="preserve"> </w:t>
                        </w:r>
                        <w:r>
                          <w:rPr>
                            <w:color w:val="231F20"/>
                            <w:sz w:val="13"/>
                          </w:rPr>
                          <w:t>partners</w:t>
                        </w:r>
                        <w:r>
                          <w:rPr>
                            <w:color w:val="231F20"/>
                            <w:spacing w:val="-10"/>
                            <w:sz w:val="13"/>
                          </w:rPr>
                          <w:t xml:space="preserve"> </w:t>
                        </w:r>
                        <w:r>
                          <w:rPr>
                            <w:color w:val="231F20"/>
                            <w:sz w:val="13"/>
                          </w:rPr>
                          <w:t>at</w:t>
                        </w:r>
                        <w:r>
                          <w:rPr>
                            <w:color w:val="231F20"/>
                            <w:spacing w:val="-10"/>
                            <w:sz w:val="13"/>
                          </w:rPr>
                          <w:t xml:space="preserve"> </w:t>
                        </w:r>
                        <w:r>
                          <w:rPr>
                            <w:color w:val="231F20"/>
                            <w:sz w:val="13"/>
                          </w:rPr>
                          <w:t>the</w:t>
                        </w:r>
                        <w:r>
                          <w:rPr>
                            <w:color w:val="231F20"/>
                            <w:spacing w:val="-11"/>
                            <w:sz w:val="13"/>
                          </w:rPr>
                          <w:t xml:space="preserve"> </w:t>
                        </w:r>
                        <w:r>
                          <w:rPr>
                            <w:color w:val="231F20"/>
                            <w:sz w:val="13"/>
                          </w:rPr>
                          <w:t>State</w:t>
                        </w:r>
                        <w:r>
                          <w:rPr>
                            <w:color w:val="231F20"/>
                            <w:spacing w:val="-10"/>
                            <w:sz w:val="13"/>
                          </w:rPr>
                          <w:t xml:space="preserve"> </w:t>
                        </w:r>
                        <w:r>
                          <w:rPr>
                            <w:color w:val="231F20"/>
                            <w:sz w:val="13"/>
                          </w:rPr>
                          <w:t>level</w:t>
                        </w:r>
                      </w:p>
                    </w:tc>
                    <w:tc>
                      <w:tcPr>
                        <w:tcW w:w="1490" w:type="dxa"/>
                        <w:tcBorders>
                          <w:right w:val="single" w:sz="8" w:space="0" w:color="231F20"/>
                        </w:tcBorders>
                      </w:tcPr>
                      <w:p w14:paraId="60EA3F06" w14:textId="77777777" w:rsidR="00080B77" w:rsidRDefault="00080B77">
                        <w:pPr>
                          <w:pStyle w:val="TableParagraph"/>
                          <w:rPr>
                            <w:sz w:val="12"/>
                          </w:rPr>
                        </w:pPr>
                      </w:p>
                      <w:p w14:paraId="1580C411" w14:textId="77777777" w:rsidR="00080B77" w:rsidRDefault="00080B77">
                        <w:pPr>
                          <w:pStyle w:val="TableParagraph"/>
                          <w:spacing w:before="87" w:line="259" w:lineRule="auto"/>
                          <w:ind w:left="26" w:right="46"/>
                          <w:rPr>
                            <w:sz w:val="13"/>
                          </w:rPr>
                        </w:pPr>
                        <w:r>
                          <w:rPr>
                            <w:color w:val="231F20"/>
                            <w:sz w:val="13"/>
                          </w:rPr>
                          <w:t>Lack of funds &amp; Political Will</w:t>
                        </w:r>
                      </w:p>
                    </w:tc>
                    <w:tc>
                      <w:tcPr>
                        <w:tcW w:w="1569" w:type="dxa"/>
                        <w:tcBorders>
                          <w:left w:val="single" w:sz="8" w:space="0" w:color="231F20"/>
                        </w:tcBorders>
                      </w:tcPr>
                      <w:p w14:paraId="07EE6F76" w14:textId="77777777" w:rsidR="00080B77" w:rsidRDefault="00080B77">
                        <w:pPr>
                          <w:pStyle w:val="TableParagraph"/>
                          <w:rPr>
                            <w:sz w:val="12"/>
                          </w:rPr>
                        </w:pPr>
                      </w:p>
                      <w:p w14:paraId="6136A695" w14:textId="77777777" w:rsidR="00080B77" w:rsidRDefault="00080B77">
                        <w:pPr>
                          <w:pStyle w:val="TableParagraph"/>
                          <w:spacing w:before="7"/>
                          <w:rPr>
                            <w:sz w:val="14"/>
                          </w:rPr>
                        </w:pPr>
                      </w:p>
                      <w:p w14:paraId="08A17C1F" w14:textId="3F8CDD93" w:rsidR="00080B77" w:rsidRDefault="00080B77">
                        <w:pPr>
                          <w:pStyle w:val="TableParagraph"/>
                          <w:ind w:left="23"/>
                          <w:rPr>
                            <w:sz w:val="13"/>
                          </w:rPr>
                        </w:pPr>
                        <w:r>
                          <w:rPr>
                            <w:color w:val="231F20"/>
                            <w:sz w:val="13"/>
                          </w:rPr>
                          <w:t>Conduct advocacy meeting</w:t>
                        </w:r>
                      </w:p>
                    </w:tc>
                  </w:tr>
                  <w:tr w:rsidR="00080B77" w14:paraId="22EBCBE4" w14:textId="77777777">
                    <w:trPr>
                      <w:trHeight w:val="832"/>
                    </w:trPr>
                    <w:tc>
                      <w:tcPr>
                        <w:tcW w:w="479" w:type="dxa"/>
                        <w:tcBorders>
                          <w:left w:val="single" w:sz="8" w:space="0" w:color="231F20"/>
                        </w:tcBorders>
                        <w:shd w:val="clear" w:color="auto" w:fill="CCE7D3"/>
                      </w:tcPr>
                      <w:p w14:paraId="07B9CE61" w14:textId="77777777" w:rsidR="00080B77" w:rsidRDefault="00080B77">
                        <w:pPr>
                          <w:pStyle w:val="TableParagraph"/>
                          <w:rPr>
                            <w:sz w:val="12"/>
                          </w:rPr>
                        </w:pPr>
                      </w:p>
                      <w:p w14:paraId="7E2F07D9" w14:textId="77777777" w:rsidR="00080B77" w:rsidRDefault="00080B77">
                        <w:pPr>
                          <w:pStyle w:val="TableParagraph"/>
                          <w:spacing w:before="8"/>
                          <w:rPr>
                            <w:sz w:val="17"/>
                          </w:rPr>
                        </w:pPr>
                      </w:p>
                      <w:p w14:paraId="6D4CFAE7" w14:textId="77777777" w:rsidR="00080B77" w:rsidRDefault="00080B77">
                        <w:pPr>
                          <w:pStyle w:val="TableParagraph"/>
                          <w:ind w:left="61"/>
                          <w:rPr>
                            <w:sz w:val="13"/>
                          </w:rPr>
                        </w:pPr>
                        <w:r>
                          <w:rPr>
                            <w:color w:val="231F20"/>
                            <w:sz w:val="13"/>
                          </w:rPr>
                          <w:t>3.1.9</w:t>
                        </w:r>
                      </w:p>
                    </w:tc>
                    <w:tc>
                      <w:tcPr>
                        <w:tcW w:w="3170" w:type="dxa"/>
                        <w:gridSpan w:val="2"/>
                        <w:shd w:val="clear" w:color="auto" w:fill="CCE7D3"/>
                      </w:tcPr>
                      <w:p w14:paraId="3D425F7D" w14:textId="77777777" w:rsidR="00080B77" w:rsidRDefault="00080B77">
                        <w:pPr>
                          <w:pStyle w:val="TableParagraph"/>
                          <w:spacing w:before="4" w:line="160" w:lineRule="atLeast"/>
                          <w:ind w:left="25" w:right="179" w:firstLine="34"/>
                          <w:rPr>
                            <w:sz w:val="13"/>
                          </w:rPr>
                        </w:pPr>
                        <w:r>
                          <w:rPr>
                            <w:color w:val="231F20"/>
                            <w:sz w:val="13"/>
                          </w:rPr>
                          <w:t>Promote the establishment of an inter-sectoral ministerial</w:t>
                        </w:r>
                        <w:r>
                          <w:rPr>
                            <w:color w:val="231F20"/>
                            <w:spacing w:val="-21"/>
                            <w:sz w:val="13"/>
                          </w:rPr>
                          <w:t xml:space="preserve"> </w:t>
                        </w:r>
                        <w:r>
                          <w:rPr>
                            <w:color w:val="231F20"/>
                            <w:sz w:val="13"/>
                          </w:rPr>
                          <w:t>forum</w:t>
                        </w:r>
                        <w:r>
                          <w:rPr>
                            <w:color w:val="231F20"/>
                            <w:spacing w:val="-21"/>
                            <w:sz w:val="13"/>
                          </w:rPr>
                          <w:t xml:space="preserve"> </w:t>
                        </w:r>
                        <w:r>
                          <w:rPr>
                            <w:color w:val="231F20"/>
                            <w:sz w:val="13"/>
                          </w:rPr>
                          <w:t>at</w:t>
                        </w:r>
                        <w:r>
                          <w:rPr>
                            <w:color w:val="231F20"/>
                            <w:spacing w:val="-21"/>
                            <w:sz w:val="13"/>
                          </w:rPr>
                          <w:t xml:space="preserve"> </w:t>
                        </w:r>
                        <w:r>
                          <w:rPr>
                            <w:color w:val="231F20"/>
                            <w:sz w:val="13"/>
                          </w:rPr>
                          <w:t>all</w:t>
                        </w:r>
                        <w:r>
                          <w:rPr>
                            <w:color w:val="231F20"/>
                            <w:spacing w:val="-21"/>
                            <w:sz w:val="13"/>
                          </w:rPr>
                          <w:t xml:space="preserve"> </w:t>
                        </w:r>
                        <w:r>
                          <w:rPr>
                            <w:color w:val="231F20"/>
                            <w:sz w:val="13"/>
                          </w:rPr>
                          <w:t>levels</w:t>
                        </w:r>
                        <w:r>
                          <w:rPr>
                            <w:color w:val="231F20"/>
                            <w:spacing w:val="-21"/>
                            <w:sz w:val="13"/>
                          </w:rPr>
                          <w:t xml:space="preserve"> </w:t>
                        </w:r>
                        <w:r>
                          <w:rPr>
                            <w:color w:val="231F20"/>
                            <w:sz w:val="13"/>
                          </w:rPr>
                          <w:t>to</w:t>
                        </w:r>
                        <w:r>
                          <w:rPr>
                            <w:color w:val="231F20"/>
                            <w:spacing w:val="-21"/>
                            <w:sz w:val="13"/>
                          </w:rPr>
                          <w:t xml:space="preserve"> </w:t>
                        </w:r>
                        <w:r>
                          <w:rPr>
                            <w:color w:val="231F20"/>
                            <w:sz w:val="13"/>
                          </w:rPr>
                          <w:t>facilitate</w:t>
                        </w:r>
                        <w:r>
                          <w:rPr>
                            <w:color w:val="231F20"/>
                            <w:spacing w:val="-21"/>
                            <w:sz w:val="13"/>
                          </w:rPr>
                          <w:t xml:space="preserve"> </w:t>
                        </w:r>
                        <w:r>
                          <w:rPr>
                            <w:color w:val="231F20"/>
                            <w:sz w:val="13"/>
                          </w:rPr>
                          <w:t xml:space="preserve">inter-sectoral collaboration, involving all relevant MDAs directly engaged in the implementation of specific health </w:t>
                        </w:r>
                        <w:proofErr w:type="spellStart"/>
                        <w:r>
                          <w:rPr>
                            <w:color w:val="231F20"/>
                            <w:sz w:val="13"/>
                          </w:rPr>
                          <w:t>programmes</w:t>
                        </w:r>
                        <w:proofErr w:type="spellEnd"/>
                      </w:p>
                    </w:tc>
                    <w:tc>
                      <w:tcPr>
                        <w:tcW w:w="2488" w:type="dxa"/>
                        <w:tcBorders>
                          <w:right w:val="single" w:sz="8" w:space="0" w:color="231F20"/>
                        </w:tcBorders>
                        <w:shd w:val="clear" w:color="auto" w:fill="CCE7D3"/>
                      </w:tcPr>
                      <w:p w14:paraId="365603B8" w14:textId="77777777" w:rsidR="00080B77" w:rsidRDefault="00080B77">
                        <w:pPr>
                          <w:pStyle w:val="TableParagraph"/>
                          <w:numPr>
                            <w:ilvl w:val="0"/>
                            <w:numId w:val="214"/>
                          </w:numPr>
                          <w:tabs>
                            <w:tab w:val="left" w:pos="104"/>
                          </w:tabs>
                          <w:spacing w:before="19" w:line="259" w:lineRule="auto"/>
                          <w:ind w:right="112" w:firstLine="0"/>
                          <w:rPr>
                            <w:sz w:val="13"/>
                          </w:rPr>
                        </w:pPr>
                        <w:r>
                          <w:rPr>
                            <w:color w:val="231F20"/>
                            <w:w w:val="95"/>
                            <w:sz w:val="13"/>
                          </w:rPr>
                          <w:t xml:space="preserve">Inter-sectoral ministerial forum revamped </w:t>
                        </w:r>
                        <w:r>
                          <w:rPr>
                            <w:color w:val="231F20"/>
                            <w:sz w:val="13"/>
                          </w:rPr>
                          <w:t>&amp;</w:t>
                        </w:r>
                        <w:r>
                          <w:rPr>
                            <w:color w:val="231F20"/>
                            <w:spacing w:val="-3"/>
                            <w:sz w:val="13"/>
                          </w:rPr>
                          <w:t xml:space="preserve"> </w:t>
                        </w:r>
                        <w:r>
                          <w:rPr>
                            <w:color w:val="231F20"/>
                            <w:sz w:val="13"/>
                          </w:rPr>
                          <w:t>functional</w:t>
                        </w:r>
                      </w:p>
                      <w:p w14:paraId="1CD9845C" w14:textId="77777777" w:rsidR="00080B77" w:rsidRDefault="00080B77">
                        <w:pPr>
                          <w:pStyle w:val="TableParagraph"/>
                          <w:numPr>
                            <w:ilvl w:val="0"/>
                            <w:numId w:val="214"/>
                          </w:numPr>
                          <w:tabs>
                            <w:tab w:val="left" w:pos="71"/>
                          </w:tabs>
                          <w:spacing w:line="259" w:lineRule="auto"/>
                          <w:ind w:right="484" w:firstLine="0"/>
                          <w:rPr>
                            <w:sz w:val="13"/>
                          </w:rPr>
                        </w:pPr>
                        <w:r>
                          <w:rPr>
                            <w:color w:val="231F20"/>
                            <w:sz w:val="13"/>
                          </w:rPr>
                          <w:t>Quarterly</w:t>
                        </w:r>
                        <w:r>
                          <w:rPr>
                            <w:color w:val="231F20"/>
                            <w:spacing w:val="-21"/>
                            <w:sz w:val="13"/>
                          </w:rPr>
                          <w:t xml:space="preserve"> </w:t>
                        </w:r>
                        <w:r>
                          <w:rPr>
                            <w:color w:val="231F20"/>
                            <w:sz w:val="13"/>
                          </w:rPr>
                          <w:t>meeting</w:t>
                        </w:r>
                        <w:r>
                          <w:rPr>
                            <w:color w:val="231F20"/>
                            <w:spacing w:val="-20"/>
                            <w:sz w:val="13"/>
                          </w:rPr>
                          <w:t xml:space="preserve"> </w:t>
                        </w:r>
                        <w:r>
                          <w:rPr>
                            <w:color w:val="231F20"/>
                            <w:sz w:val="13"/>
                          </w:rPr>
                          <w:t>held</w:t>
                        </w:r>
                        <w:r>
                          <w:rPr>
                            <w:color w:val="231F20"/>
                            <w:spacing w:val="-20"/>
                            <w:sz w:val="13"/>
                          </w:rPr>
                          <w:t xml:space="preserve"> </w:t>
                        </w:r>
                        <w:r>
                          <w:rPr>
                            <w:color w:val="231F20"/>
                            <w:sz w:val="13"/>
                          </w:rPr>
                          <w:t>and</w:t>
                        </w:r>
                        <w:r>
                          <w:rPr>
                            <w:color w:val="231F20"/>
                            <w:spacing w:val="-20"/>
                            <w:sz w:val="13"/>
                          </w:rPr>
                          <w:t xml:space="preserve"> </w:t>
                        </w:r>
                        <w:r>
                          <w:rPr>
                            <w:color w:val="231F20"/>
                            <w:spacing w:val="-3"/>
                            <w:sz w:val="13"/>
                          </w:rPr>
                          <w:t xml:space="preserve">reports </w:t>
                        </w:r>
                        <w:r>
                          <w:rPr>
                            <w:color w:val="231F20"/>
                            <w:sz w:val="13"/>
                          </w:rPr>
                          <w:t>disseminated</w:t>
                        </w:r>
                      </w:p>
                      <w:p w14:paraId="5FB78115" w14:textId="77777777" w:rsidR="00080B77" w:rsidRDefault="00080B77">
                        <w:pPr>
                          <w:pStyle w:val="TableParagraph"/>
                          <w:spacing w:line="148" w:lineRule="exact"/>
                          <w:ind w:left="25"/>
                          <w:rPr>
                            <w:sz w:val="13"/>
                          </w:rPr>
                        </w:pPr>
                        <w:r>
                          <w:rPr>
                            <w:color w:val="231F20"/>
                            <w:w w:val="95"/>
                            <w:sz w:val="13"/>
                          </w:rPr>
                          <w:t>•</w:t>
                        </w:r>
                      </w:p>
                    </w:tc>
                    <w:tc>
                      <w:tcPr>
                        <w:tcW w:w="1490" w:type="dxa"/>
                        <w:tcBorders>
                          <w:left w:val="single" w:sz="8" w:space="0" w:color="231F20"/>
                          <w:right w:val="single" w:sz="8" w:space="0" w:color="231F20"/>
                        </w:tcBorders>
                        <w:shd w:val="clear" w:color="auto" w:fill="CCE7D3"/>
                      </w:tcPr>
                      <w:p w14:paraId="1DDFDD4B"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303957D8" w14:textId="77777777" w:rsidR="00080B77" w:rsidRDefault="00080B77">
                        <w:pPr>
                          <w:pStyle w:val="TableParagraph"/>
                          <w:rPr>
                            <w:rFonts w:ascii="Times New Roman"/>
                            <w:sz w:val="12"/>
                          </w:rPr>
                        </w:pPr>
                      </w:p>
                    </w:tc>
                  </w:tr>
                  <w:tr w:rsidR="00080B77" w14:paraId="44F0E45F" w14:textId="77777777">
                    <w:trPr>
                      <w:trHeight w:val="507"/>
                    </w:trPr>
                    <w:tc>
                      <w:tcPr>
                        <w:tcW w:w="479" w:type="dxa"/>
                        <w:vMerge w:val="restart"/>
                        <w:tcBorders>
                          <w:left w:val="single" w:sz="8" w:space="0" w:color="231F20"/>
                        </w:tcBorders>
                      </w:tcPr>
                      <w:p w14:paraId="4AF9BC2D" w14:textId="77777777" w:rsidR="00080B77" w:rsidRDefault="00080B77">
                        <w:pPr>
                          <w:pStyle w:val="TableParagraph"/>
                          <w:rPr>
                            <w:rFonts w:ascii="Times New Roman"/>
                            <w:sz w:val="12"/>
                          </w:rPr>
                        </w:pPr>
                      </w:p>
                    </w:tc>
                    <w:tc>
                      <w:tcPr>
                        <w:tcW w:w="549" w:type="dxa"/>
                      </w:tcPr>
                      <w:p w14:paraId="69B4D5B9" w14:textId="77777777" w:rsidR="00080B77" w:rsidRDefault="00080B77">
                        <w:pPr>
                          <w:pStyle w:val="TableParagraph"/>
                          <w:spacing w:before="7"/>
                          <w:rPr>
                            <w:sz w:val="15"/>
                          </w:rPr>
                        </w:pPr>
                      </w:p>
                      <w:p w14:paraId="59781011" w14:textId="77777777" w:rsidR="00080B77" w:rsidRDefault="00080B77">
                        <w:pPr>
                          <w:pStyle w:val="TableParagraph"/>
                          <w:ind w:left="87"/>
                          <w:rPr>
                            <w:sz w:val="13"/>
                          </w:rPr>
                        </w:pPr>
                        <w:r>
                          <w:rPr>
                            <w:color w:val="231F20"/>
                            <w:sz w:val="13"/>
                          </w:rPr>
                          <w:t>3.1.9.a</w:t>
                        </w:r>
                      </w:p>
                    </w:tc>
                    <w:tc>
                      <w:tcPr>
                        <w:tcW w:w="5109" w:type="dxa"/>
                        <w:gridSpan w:val="2"/>
                      </w:tcPr>
                      <w:p w14:paraId="6E0D51A9" w14:textId="77777777" w:rsidR="00080B77" w:rsidRDefault="00080B77">
                        <w:pPr>
                          <w:pStyle w:val="TableParagraph"/>
                          <w:spacing w:before="2" w:line="160" w:lineRule="atLeast"/>
                          <w:ind w:left="25" w:right="50"/>
                          <w:rPr>
                            <w:sz w:val="13"/>
                          </w:rPr>
                        </w:pPr>
                        <w:r>
                          <w:rPr>
                            <w:color w:val="231F20"/>
                            <w:sz w:val="13"/>
                          </w:rPr>
                          <w:t>Revamp the inter-sectoral ministerial forum at State level to facilitate inter-sectoral collaboration,</w:t>
                        </w:r>
                        <w:r>
                          <w:rPr>
                            <w:color w:val="231F20"/>
                            <w:spacing w:val="-23"/>
                            <w:sz w:val="13"/>
                          </w:rPr>
                          <w:t xml:space="preserve"> </w:t>
                        </w:r>
                        <w:r>
                          <w:rPr>
                            <w:color w:val="231F20"/>
                            <w:sz w:val="13"/>
                          </w:rPr>
                          <w:t>involving</w:t>
                        </w:r>
                        <w:r>
                          <w:rPr>
                            <w:color w:val="231F20"/>
                            <w:spacing w:val="-22"/>
                            <w:sz w:val="13"/>
                          </w:rPr>
                          <w:t xml:space="preserve"> </w:t>
                        </w:r>
                        <w:r>
                          <w:rPr>
                            <w:color w:val="231F20"/>
                            <w:sz w:val="13"/>
                          </w:rPr>
                          <w:t>all</w:t>
                        </w:r>
                        <w:r>
                          <w:rPr>
                            <w:color w:val="231F20"/>
                            <w:spacing w:val="-23"/>
                            <w:sz w:val="13"/>
                          </w:rPr>
                          <w:t xml:space="preserve"> </w:t>
                        </w:r>
                        <w:r>
                          <w:rPr>
                            <w:color w:val="231F20"/>
                            <w:sz w:val="13"/>
                          </w:rPr>
                          <w:t>relevant</w:t>
                        </w:r>
                        <w:r>
                          <w:rPr>
                            <w:color w:val="231F20"/>
                            <w:spacing w:val="-22"/>
                            <w:sz w:val="13"/>
                          </w:rPr>
                          <w:t xml:space="preserve"> </w:t>
                        </w:r>
                        <w:r>
                          <w:rPr>
                            <w:color w:val="231F20"/>
                            <w:sz w:val="13"/>
                          </w:rPr>
                          <w:t>MDAs</w:t>
                        </w:r>
                        <w:r>
                          <w:rPr>
                            <w:color w:val="231F20"/>
                            <w:spacing w:val="-23"/>
                            <w:sz w:val="13"/>
                          </w:rPr>
                          <w:t xml:space="preserve"> </w:t>
                        </w:r>
                        <w:r>
                          <w:rPr>
                            <w:color w:val="231F20"/>
                            <w:sz w:val="13"/>
                          </w:rPr>
                          <w:t>directly</w:t>
                        </w:r>
                        <w:r>
                          <w:rPr>
                            <w:color w:val="231F20"/>
                            <w:spacing w:val="-22"/>
                            <w:sz w:val="13"/>
                          </w:rPr>
                          <w:t xml:space="preserve"> </w:t>
                        </w:r>
                        <w:r>
                          <w:rPr>
                            <w:color w:val="231F20"/>
                            <w:sz w:val="13"/>
                          </w:rPr>
                          <w:t>engaged</w:t>
                        </w:r>
                        <w:r>
                          <w:rPr>
                            <w:color w:val="231F20"/>
                            <w:spacing w:val="-23"/>
                            <w:sz w:val="13"/>
                          </w:rPr>
                          <w:t xml:space="preserve"> </w:t>
                        </w:r>
                        <w:r>
                          <w:rPr>
                            <w:color w:val="231F20"/>
                            <w:sz w:val="13"/>
                          </w:rPr>
                          <w:t>in</w:t>
                        </w:r>
                        <w:r>
                          <w:rPr>
                            <w:color w:val="231F20"/>
                            <w:spacing w:val="-22"/>
                            <w:sz w:val="13"/>
                          </w:rPr>
                          <w:t xml:space="preserve"> </w:t>
                        </w:r>
                        <w:r>
                          <w:rPr>
                            <w:color w:val="231F20"/>
                            <w:sz w:val="13"/>
                          </w:rPr>
                          <w:t>the</w:t>
                        </w:r>
                        <w:r>
                          <w:rPr>
                            <w:color w:val="231F20"/>
                            <w:spacing w:val="-23"/>
                            <w:sz w:val="13"/>
                          </w:rPr>
                          <w:t xml:space="preserve"> </w:t>
                        </w:r>
                        <w:r>
                          <w:rPr>
                            <w:color w:val="231F20"/>
                            <w:sz w:val="13"/>
                          </w:rPr>
                          <w:t>implementation</w:t>
                        </w:r>
                        <w:r>
                          <w:rPr>
                            <w:color w:val="231F20"/>
                            <w:spacing w:val="-22"/>
                            <w:sz w:val="13"/>
                          </w:rPr>
                          <w:t xml:space="preserve"> </w:t>
                        </w:r>
                        <w:r>
                          <w:rPr>
                            <w:color w:val="231F20"/>
                            <w:sz w:val="13"/>
                          </w:rPr>
                          <w:t>of</w:t>
                        </w:r>
                        <w:r>
                          <w:rPr>
                            <w:color w:val="231F20"/>
                            <w:spacing w:val="-23"/>
                            <w:sz w:val="13"/>
                          </w:rPr>
                          <w:t xml:space="preserve"> </w:t>
                        </w:r>
                        <w:r>
                          <w:rPr>
                            <w:color w:val="231F20"/>
                            <w:sz w:val="13"/>
                          </w:rPr>
                          <w:t>specific health</w:t>
                        </w:r>
                        <w:r>
                          <w:rPr>
                            <w:color w:val="231F20"/>
                            <w:spacing w:val="-3"/>
                            <w:sz w:val="13"/>
                          </w:rPr>
                          <w:t xml:space="preserve"> </w:t>
                        </w:r>
                        <w:proofErr w:type="spellStart"/>
                        <w:r>
                          <w:rPr>
                            <w:color w:val="231F20"/>
                            <w:sz w:val="13"/>
                          </w:rPr>
                          <w:t>programmes</w:t>
                        </w:r>
                        <w:proofErr w:type="spellEnd"/>
                      </w:p>
                    </w:tc>
                    <w:tc>
                      <w:tcPr>
                        <w:tcW w:w="1490" w:type="dxa"/>
                        <w:tcBorders>
                          <w:right w:val="single" w:sz="8" w:space="0" w:color="231F20"/>
                        </w:tcBorders>
                      </w:tcPr>
                      <w:p w14:paraId="1002B968" w14:textId="77777777" w:rsidR="00080B77" w:rsidRDefault="00080B77">
                        <w:pPr>
                          <w:pStyle w:val="TableParagraph"/>
                          <w:spacing w:before="98" w:line="259" w:lineRule="auto"/>
                          <w:ind w:left="26" w:right="46"/>
                          <w:rPr>
                            <w:sz w:val="13"/>
                          </w:rPr>
                        </w:pPr>
                        <w:r>
                          <w:rPr>
                            <w:color w:val="231F20"/>
                            <w:sz w:val="13"/>
                          </w:rPr>
                          <w:t>Lack of funds &amp; collaboration</w:t>
                        </w:r>
                      </w:p>
                    </w:tc>
                    <w:tc>
                      <w:tcPr>
                        <w:tcW w:w="1569" w:type="dxa"/>
                        <w:tcBorders>
                          <w:left w:val="single" w:sz="8" w:space="0" w:color="231F20"/>
                        </w:tcBorders>
                      </w:tcPr>
                      <w:p w14:paraId="538F8BBE" w14:textId="77777777" w:rsidR="00080B77" w:rsidRDefault="00080B77">
                        <w:pPr>
                          <w:pStyle w:val="TableParagraph"/>
                          <w:spacing w:before="98" w:line="259" w:lineRule="auto"/>
                          <w:ind w:left="23" w:right="94"/>
                          <w:rPr>
                            <w:sz w:val="13"/>
                          </w:rPr>
                        </w:pPr>
                        <w:r>
                          <w:rPr>
                            <w:color w:val="231F20"/>
                            <w:w w:val="95"/>
                            <w:sz w:val="13"/>
                          </w:rPr>
                          <w:t xml:space="preserve">Revamp the inter-sectoral </w:t>
                        </w:r>
                        <w:r>
                          <w:rPr>
                            <w:color w:val="231F20"/>
                            <w:sz w:val="13"/>
                          </w:rPr>
                          <w:t>ministerial forum</w:t>
                        </w:r>
                      </w:p>
                    </w:tc>
                  </w:tr>
                  <w:tr w:rsidR="00080B77" w14:paraId="12146F8B" w14:textId="77777777">
                    <w:trPr>
                      <w:trHeight w:val="298"/>
                    </w:trPr>
                    <w:tc>
                      <w:tcPr>
                        <w:tcW w:w="479" w:type="dxa"/>
                        <w:vMerge/>
                        <w:tcBorders>
                          <w:top w:val="nil"/>
                          <w:left w:val="single" w:sz="8" w:space="0" w:color="231F20"/>
                        </w:tcBorders>
                      </w:tcPr>
                      <w:p w14:paraId="6875DD03" w14:textId="77777777" w:rsidR="00080B77" w:rsidRDefault="00080B77">
                        <w:pPr>
                          <w:rPr>
                            <w:sz w:val="2"/>
                            <w:szCs w:val="2"/>
                          </w:rPr>
                        </w:pPr>
                      </w:p>
                    </w:tc>
                    <w:tc>
                      <w:tcPr>
                        <w:tcW w:w="549" w:type="dxa"/>
                      </w:tcPr>
                      <w:p w14:paraId="0CACA764" w14:textId="77777777" w:rsidR="00080B77" w:rsidRDefault="00080B77">
                        <w:pPr>
                          <w:pStyle w:val="TableParagraph"/>
                          <w:spacing w:before="74"/>
                          <w:ind w:left="87"/>
                          <w:rPr>
                            <w:sz w:val="13"/>
                          </w:rPr>
                        </w:pPr>
                        <w:r>
                          <w:rPr>
                            <w:color w:val="231F20"/>
                            <w:sz w:val="13"/>
                          </w:rPr>
                          <w:t>3.1.9.b</w:t>
                        </w:r>
                      </w:p>
                    </w:tc>
                    <w:tc>
                      <w:tcPr>
                        <w:tcW w:w="5109" w:type="dxa"/>
                        <w:gridSpan w:val="2"/>
                        <w:tcBorders>
                          <w:right w:val="single" w:sz="8" w:space="0" w:color="231F20"/>
                        </w:tcBorders>
                      </w:tcPr>
                      <w:p w14:paraId="569E5F00" w14:textId="77D82566" w:rsidR="00080B77" w:rsidRDefault="00080B77">
                        <w:pPr>
                          <w:pStyle w:val="TableParagraph"/>
                          <w:spacing w:before="69"/>
                          <w:ind w:left="25"/>
                          <w:rPr>
                            <w:sz w:val="13"/>
                          </w:rPr>
                        </w:pPr>
                        <w:r>
                          <w:rPr>
                            <w:color w:val="231F20"/>
                            <w:sz w:val="13"/>
                          </w:rPr>
                          <w:t>Organize regular meetings with all relevant MDAs</w:t>
                        </w:r>
                      </w:p>
                    </w:tc>
                    <w:tc>
                      <w:tcPr>
                        <w:tcW w:w="1490" w:type="dxa"/>
                        <w:tcBorders>
                          <w:left w:val="single" w:sz="8" w:space="0" w:color="231F20"/>
                          <w:right w:val="single" w:sz="8" w:space="0" w:color="231F20"/>
                        </w:tcBorders>
                      </w:tcPr>
                      <w:p w14:paraId="14AF5B45" w14:textId="77777777" w:rsidR="00080B77" w:rsidRDefault="00080B77">
                        <w:pPr>
                          <w:pStyle w:val="TableParagraph"/>
                          <w:spacing w:line="148" w:lineRule="exact"/>
                          <w:ind w:left="24"/>
                          <w:rPr>
                            <w:sz w:val="13"/>
                          </w:rPr>
                        </w:pPr>
                        <w:r>
                          <w:rPr>
                            <w:color w:val="231F20"/>
                            <w:sz w:val="13"/>
                          </w:rPr>
                          <w:t>Lack of funds &amp;</w:t>
                        </w:r>
                      </w:p>
                      <w:p w14:paraId="264D187F" w14:textId="77777777" w:rsidR="00080B77" w:rsidRDefault="00080B77">
                        <w:pPr>
                          <w:pStyle w:val="TableParagraph"/>
                          <w:spacing w:before="11" w:line="118" w:lineRule="exact"/>
                          <w:ind w:left="24"/>
                          <w:rPr>
                            <w:sz w:val="13"/>
                          </w:rPr>
                        </w:pPr>
                        <w:r>
                          <w:rPr>
                            <w:color w:val="231F20"/>
                            <w:sz w:val="13"/>
                          </w:rPr>
                          <w:t>collaboration</w:t>
                        </w:r>
                      </w:p>
                    </w:tc>
                    <w:tc>
                      <w:tcPr>
                        <w:tcW w:w="1569" w:type="dxa"/>
                        <w:tcBorders>
                          <w:left w:val="single" w:sz="8" w:space="0" w:color="231F20"/>
                        </w:tcBorders>
                      </w:tcPr>
                      <w:p w14:paraId="76B17CFA" w14:textId="17CC027F" w:rsidR="00080B77" w:rsidRDefault="00080B77">
                        <w:pPr>
                          <w:pStyle w:val="TableParagraph"/>
                          <w:spacing w:before="74"/>
                          <w:ind w:left="23"/>
                          <w:rPr>
                            <w:sz w:val="13"/>
                          </w:rPr>
                        </w:pPr>
                        <w:r>
                          <w:rPr>
                            <w:color w:val="231F20"/>
                            <w:sz w:val="13"/>
                          </w:rPr>
                          <w:t>Organize</w:t>
                        </w:r>
                        <w:r>
                          <w:rPr>
                            <w:color w:val="231F20"/>
                            <w:spacing w:val="-20"/>
                            <w:sz w:val="13"/>
                          </w:rPr>
                          <w:t xml:space="preserve"> </w:t>
                        </w:r>
                        <w:r>
                          <w:rPr>
                            <w:color w:val="231F20"/>
                            <w:sz w:val="13"/>
                          </w:rPr>
                          <w:t>regular</w:t>
                        </w:r>
                        <w:r>
                          <w:rPr>
                            <w:color w:val="231F20"/>
                            <w:spacing w:val="-19"/>
                            <w:sz w:val="13"/>
                          </w:rPr>
                          <w:t xml:space="preserve"> </w:t>
                        </w:r>
                        <w:r>
                          <w:rPr>
                            <w:color w:val="231F20"/>
                            <w:sz w:val="13"/>
                          </w:rPr>
                          <w:t>meetings</w:t>
                        </w:r>
                      </w:p>
                    </w:tc>
                  </w:tr>
                  <w:tr w:rsidR="00080B77" w14:paraId="3BB9CE94" w14:textId="77777777">
                    <w:trPr>
                      <w:trHeight w:val="313"/>
                    </w:trPr>
                    <w:tc>
                      <w:tcPr>
                        <w:tcW w:w="479" w:type="dxa"/>
                        <w:vMerge/>
                        <w:tcBorders>
                          <w:top w:val="nil"/>
                          <w:left w:val="single" w:sz="8" w:space="0" w:color="231F20"/>
                        </w:tcBorders>
                      </w:tcPr>
                      <w:p w14:paraId="3507F08D" w14:textId="77777777" w:rsidR="00080B77" w:rsidRDefault="00080B77">
                        <w:pPr>
                          <w:rPr>
                            <w:sz w:val="2"/>
                            <w:szCs w:val="2"/>
                          </w:rPr>
                        </w:pPr>
                      </w:p>
                    </w:tc>
                    <w:tc>
                      <w:tcPr>
                        <w:tcW w:w="549" w:type="dxa"/>
                      </w:tcPr>
                      <w:p w14:paraId="0CA42EE3" w14:textId="77777777" w:rsidR="00080B77" w:rsidRDefault="00080B77">
                        <w:pPr>
                          <w:pStyle w:val="TableParagraph"/>
                          <w:spacing w:before="82"/>
                          <w:ind w:left="91"/>
                          <w:rPr>
                            <w:sz w:val="13"/>
                          </w:rPr>
                        </w:pPr>
                        <w:r>
                          <w:rPr>
                            <w:color w:val="231F20"/>
                            <w:sz w:val="13"/>
                          </w:rPr>
                          <w:t>3.1.9.c</w:t>
                        </w:r>
                      </w:p>
                    </w:tc>
                    <w:tc>
                      <w:tcPr>
                        <w:tcW w:w="5109" w:type="dxa"/>
                        <w:gridSpan w:val="2"/>
                        <w:tcBorders>
                          <w:right w:val="single" w:sz="8" w:space="0" w:color="231F20"/>
                        </w:tcBorders>
                      </w:tcPr>
                      <w:p w14:paraId="11A76FE4" w14:textId="77777777" w:rsidR="00080B77" w:rsidRDefault="00080B77">
                        <w:pPr>
                          <w:pStyle w:val="TableParagraph"/>
                          <w:spacing w:before="77"/>
                          <w:ind w:left="25"/>
                          <w:rPr>
                            <w:sz w:val="13"/>
                          </w:rPr>
                        </w:pPr>
                        <w:r>
                          <w:rPr>
                            <w:color w:val="231F20"/>
                            <w:sz w:val="13"/>
                          </w:rPr>
                          <w:t>Disseminate information and reports of meetings and develop a feedback mechanism</w:t>
                        </w:r>
                      </w:p>
                    </w:tc>
                    <w:tc>
                      <w:tcPr>
                        <w:tcW w:w="1490" w:type="dxa"/>
                        <w:tcBorders>
                          <w:left w:val="single" w:sz="8" w:space="0" w:color="231F20"/>
                          <w:right w:val="single" w:sz="8" w:space="0" w:color="231F20"/>
                        </w:tcBorders>
                      </w:tcPr>
                      <w:p w14:paraId="5F7C44DC" w14:textId="77777777" w:rsidR="00080B77" w:rsidRDefault="00080B77">
                        <w:pPr>
                          <w:pStyle w:val="TableParagraph"/>
                          <w:spacing w:before="82"/>
                          <w:ind w:left="24"/>
                          <w:rPr>
                            <w:sz w:val="13"/>
                          </w:rPr>
                        </w:pPr>
                        <w:r>
                          <w:rPr>
                            <w:color w:val="231F20"/>
                            <w:sz w:val="13"/>
                          </w:rPr>
                          <w:t>Lack of funds</w:t>
                        </w:r>
                      </w:p>
                    </w:tc>
                    <w:tc>
                      <w:tcPr>
                        <w:tcW w:w="1569" w:type="dxa"/>
                        <w:tcBorders>
                          <w:left w:val="single" w:sz="8" w:space="0" w:color="231F20"/>
                        </w:tcBorders>
                      </w:tcPr>
                      <w:p w14:paraId="3D6A8D41" w14:textId="77777777" w:rsidR="00080B77" w:rsidRDefault="00080B77">
                        <w:pPr>
                          <w:pStyle w:val="TableParagraph"/>
                          <w:spacing w:before="82"/>
                          <w:ind w:left="23"/>
                          <w:rPr>
                            <w:sz w:val="13"/>
                          </w:rPr>
                        </w:pPr>
                        <w:r>
                          <w:rPr>
                            <w:color w:val="231F20"/>
                            <w:sz w:val="13"/>
                          </w:rPr>
                          <w:t>No cost</w:t>
                        </w:r>
                      </w:p>
                    </w:tc>
                  </w:tr>
                  <w:tr w:rsidR="00080B77" w14:paraId="30E18BDA" w14:textId="77777777">
                    <w:trPr>
                      <w:trHeight w:val="911"/>
                    </w:trPr>
                    <w:tc>
                      <w:tcPr>
                        <w:tcW w:w="479" w:type="dxa"/>
                        <w:tcBorders>
                          <w:left w:val="single" w:sz="8" w:space="0" w:color="231F20"/>
                        </w:tcBorders>
                        <w:shd w:val="clear" w:color="auto" w:fill="CCE7D3"/>
                      </w:tcPr>
                      <w:p w14:paraId="6236E70B" w14:textId="77777777" w:rsidR="00080B77" w:rsidRDefault="00080B77">
                        <w:pPr>
                          <w:pStyle w:val="TableParagraph"/>
                          <w:rPr>
                            <w:sz w:val="12"/>
                          </w:rPr>
                        </w:pPr>
                      </w:p>
                      <w:p w14:paraId="6F4A84AF" w14:textId="77777777" w:rsidR="00080B77" w:rsidRDefault="00080B77">
                        <w:pPr>
                          <w:pStyle w:val="TableParagraph"/>
                          <w:rPr>
                            <w:sz w:val="12"/>
                          </w:rPr>
                        </w:pPr>
                      </w:p>
                      <w:p w14:paraId="18D118CD" w14:textId="77777777" w:rsidR="00080B77" w:rsidRDefault="00080B77">
                        <w:pPr>
                          <w:pStyle w:val="TableParagraph"/>
                          <w:spacing w:before="105"/>
                          <w:ind w:left="61"/>
                          <w:rPr>
                            <w:sz w:val="13"/>
                          </w:rPr>
                        </w:pPr>
                        <w:r>
                          <w:rPr>
                            <w:color w:val="231F20"/>
                            <w:sz w:val="13"/>
                          </w:rPr>
                          <w:t>3.1.10</w:t>
                        </w:r>
                      </w:p>
                    </w:tc>
                    <w:tc>
                      <w:tcPr>
                        <w:tcW w:w="3170" w:type="dxa"/>
                        <w:gridSpan w:val="2"/>
                        <w:shd w:val="clear" w:color="auto" w:fill="CCE7D3"/>
                      </w:tcPr>
                      <w:p w14:paraId="28B12141" w14:textId="77777777" w:rsidR="00080B77" w:rsidRDefault="00080B77">
                        <w:pPr>
                          <w:pStyle w:val="TableParagraph"/>
                          <w:spacing w:before="7"/>
                          <w:rPr>
                            <w:sz w:val="11"/>
                          </w:rPr>
                        </w:pPr>
                      </w:p>
                      <w:p w14:paraId="2E55779B" w14:textId="77777777" w:rsidR="00080B77" w:rsidRDefault="00080B77">
                        <w:pPr>
                          <w:pStyle w:val="TableParagraph"/>
                          <w:spacing w:line="259" w:lineRule="auto"/>
                          <w:ind w:left="25" w:right="96" w:firstLine="34"/>
                          <w:rPr>
                            <w:sz w:val="13"/>
                          </w:rPr>
                        </w:pPr>
                        <w:r>
                          <w:rPr>
                            <w:color w:val="231F20"/>
                            <w:w w:val="95"/>
                            <w:sz w:val="13"/>
                          </w:rPr>
                          <w:t xml:space="preserve">Promote effective partnership with professional groups </w:t>
                        </w:r>
                        <w:r>
                          <w:rPr>
                            <w:color w:val="231F20"/>
                            <w:sz w:val="13"/>
                          </w:rPr>
                          <w:t>and</w:t>
                        </w:r>
                        <w:r>
                          <w:rPr>
                            <w:color w:val="231F20"/>
                            <w:spacing w:val="-19"/>
                            <w:sz w:val="13"/>
                          </w:rPr>
                          <w:t xml:space="preserve"> </w:t>
                        </w:r>
                        <w:r>
                          <w:rPr>
                            <w:color w:val="231F20"/>
                            <w:sz w:val="13"/>
                          </w:rPr>
                          <w:t>other</w:t>
                        </w:r>
                        <w:r>
                          <w:rPr>
                            <w:color w:val="231F20"/>
                            <w:spacing w:val="-18"/>
                            <w:sz w:val="13"/>
                          </w:rPr>
                          <w:t xml:space="preserve"> </w:t>
                        </w:r>
                        <w:r>
                          <w:rPr>
                            <w:color w:val="231F20"/>
                            <w:sz w:val="13"/>
                          </w:rPr>
                          <w:t>relevant</w:t>
                        </w:r>
                        <w:r>
                          <w:rPr>
                            <w:color w:val="231F20"/>
                            <w:spacing w:val="-18"/>
                            <w:sz w:val="13"/>
                          </w:rPr>
                          <w:t xml:space="preserve"> </w:t>
                        </w:r>
                        <w:r>
                          <w:rPr>
                            <w:color w:val="231F20"/>
                            <w:sz w:val="13"/>
                          </w:rPr>
                          <w:t>stakeholders</w:t>
                        </w:r>
                        <w:r>
                          <w:rPr>
                            <w:color w:val="231F20"/>
                            <w:spacing w:val="-18"/>
                            <w:sz w:val="13"/>
                          </w:rPr>
                          <w:t xml:space="preserve"> </w:t>
                        </w:r>
                        <w:r>
                          <w:rPr>
                            <w:color w:val="231F20"/>
                            <w:sz w:val="13"/>
                          </w:rPr>
                          <w:t>through</w:t>
                        </w:r>
                        <w:r>
                          <w:rPr>
                            <w:color w:val="231F20"/>
                            <w:spacing w:val="-18"/>
                            <w:sz w:val="13"/>
                          </w:rPr>
                          <w:t xml:space="preserve"> </w:t>
                        </w:r>
                        <w:r>
                          <w:rPr>
                            <w:color w:val="231F20"/>
                            <w:sz w:val="13"/>
                          </w:rPr>
                          <w:t>jointly</w:t>
                        </w:r>
                        <w:r>
                          <w:rPr>
                            <w:color w:val="231F20"/>
                            <w:spacing w:val="-18"/>
                            <w:sz w:val="13"/>
                          </w:rPr>
                          <w:t xml:space="preserve"> </w:t>
                        </w:r>
                        <w:r>
                          <w:rPr>
                            <w:color w:val="231F20"/>
                            <w:sz w:val="13"/>
                          </w:rPr>
                          <w:t>setting standards</w:t>
                        </w:r>
                        <w:r>
                          <w:rPr>
                            <w:color w:val="231F20"/>
                            <w:spacing w:val="-22"/>
                            <w:sz w:val="13"/>
                          </w:rPr>
                          <w:t xml:space="preserve"> </w:t>
                        </w:r>
                        <w:r>
                          <w:rPr>
                            <w:color w:val="231F20"/>
                            <w:sz w:val="13"/>
                          </w:rPr>
                          <w:t>of</w:t>
                        </w:r>
                        <w:r>
                          <w:rPr>
                            <w:color w:val="231F20"/>
                            <w:spacing w:val="-22"/>
                            <w:sz w:val="13"/>
                          </w:rPr>
                          <w:t xml:space="preserve"> </w:t>
                        </w:r>
                        <w:r>
                          <w:rPr>
                            <w:color w:val="231F20"/>
                            <w:sz w:val="13"/>
                          </w:rPr>
                          <w:t>training</w:t>
                        </w:r>
                        <w:r>
                          <w:rPr>
                            <w:color w:val="231F20"/>
                            <w:spacing w:val="-21"/>
                            <w:sz w:val="13"/>
                          </w:rPr>
                          <w:t xml:space="preserve"> </w:t>
                        </w:r>
                        <w:r>
                          <w:rPr>
                            <w:color w:val="231F20"/>
                            <w:sz w:val="13"/>
                          </w:rPr>
                          <w:t>by</w:t>
                        </w:r>
                        <w:r>
                          <w:rPr>
                            <w:color w:val="231F20"/>
                            <w:spacing w:val="-22"/>
                            <w:sz w:val="13"/>
                          </w:rPr>
                          <w:t xml:space="preserve"> </w:t>
                        </w:r>
                        <w:r>
                          <w:rPr>
                            <w:color w:val="231F20"/>
                            <w:sz w:val="13"/>
                          </w:rPr>
                          <w:t>health</w:t>
                        </w:r>
                        <w:r>
                          <w:rPr>
                            <w:color w:val="231F20"/>
                            <w:spacing w:val="-21"/>
                            <w:sz w:val="13"/>
                          </w:rPr>
                          <w:t xml:space="preserve"> </w:t>
                        </w:r>
                        <w:r>
                          <w:rPr>
                            <w:color w:val="231F20"/>
                            <w:sz w:val="13"/>
                          </w:rPr>
                          <w:t>institutions,</w:t>
                        </w:r>
                        <w:r>
                          <w:rPr>
                            <w:color w:val="231F20"/>
                            <w:spacing w:val="-22"/>
                            <w:sz w:val="13"/>
                          </w:rPr>
                          <w:t xml:space="preserve"> </w:t>
                        </w:r>
                        <w:r>
                          <w:rPr>
                            <w:color w:val="231F20"/>
                            <w:sz w:val="13"/>
                          </w:rPr>
                          <w:t>subsequent practice</w:t>
                        </w:r>
                        <w:r>
                          <w:rPr>
                            <w:color w:val="231F20"/>
                            <w:spacing w:val="-19"/>
                            <w:sz w:val="13"/>
                          </w:rPr>
                          <w:t xml:space="preserve"> </w:t>
                        </w:r>
                        <w:r>
                          <w:rPr>
                            <w:color w:val="231F20"/>
                            <w:sz w:val="13"/>
                          </w:rPr>
                          <w:t>and</w:t>
                        </w:r>
                        <w:r>
                          <w:rPr>
                            <w:color w:val="231F20"/>
                            <w:spacing w:val="-18"/>
                            <w:sz w:val="13"/>
                          </w:rPr>
                          <w:t xml:space="preserve"> </w:t>
                        </w:r>
                        <w:r>
                          <w:rPr>
                            <w:color w:val="231F20"/>
                            <w:sz w:val="13"/>
                          </w:rPr>
                          <w:t>professional</w:t>
                        </w:r>
                        <w:r>
                          <w:rPr>
                            <w:color w:val="231F20"/>
                            <w:spacing w:val="-18"/>
                            <w:sz w:val="13"/>
                          </w:rPr>
                          <w:t xml:space="preserve"> </w:t>
                        </w:r>
                        <w:r>
                          <w:rPr>
                            <w:color w:val="231F20"/>
                            <w:sz w:val="13"/>
                          </w:rPr>
                          <w:t>competency</w:t>
                        </w:r>
                        <w:r>
                          <w:rPr>
                            <w:color w:val="231F20"/>
                            <w:spacing w:val="-18"/>
                            <w:sz w:val="13"/>
                          </w:rPr>
                          <w:t xml:space="preserve"> </w:t>
                        </w:r>
                        <w:r>
                          <w:rPr>
                            <w:color w:val="231F20"/>
                            <w:sz w:val="13"/>
                          </w:rPr>
                          <w:t>assessments;</w:t>
                        </w:r>
                      </w:p>
                    </w:tc>
                    <w:tc>
                      <w:tcPr>
                        <w:tcW w:w="2488" w:type="dxa"/>
                        <w:shd w:val="clear" w:color="auto" w:fill="CCE7D3"/>
                      </w:tcPr>
                      <w:p w14:paraId="1FDA499B" w14:textId="77777777" w:rsidR="00080B77" w:rsidRDefault="00080B77">
                        <w:pPr>
                          <w:pStyle w:val="TableParagraph"/>
                          <w:numPr>
                            <w:ilvl w:val="0"/>
                            <w:numId w:val="213"/>
                          </w:numPr>
                          <w:tabs>
                            <w:tab w:val="left" w:pos="71"/>
                          </w:tabs>
                          <w:spacing w:line="259" w:lineRule="auto"/>
                          <w:ind w:right="61" w:firstLine="0"/>
                          <w:rPr>
                            <w:sz w:val="13"/>
                          </w:rPr>
                        </w:pPr>
                        <w:r>
                          <w:rPr>
                            <w:color w:val="231F20"/>
                            <w:sz w:val="13"/>
                          </w:rPr>
                          <w:t xml:space="preserve">SOT set by health institutions through </w:t>
                        </w:r>
                        <w:r>
                          <w:rPr>
                            <w:color w:val="231F20"/>
                            <w:w w:val="95"/>
                            <w:sz w:val="13"/>
                          </w:rPr>
                          <w:t xml:space="preserve">partnership with private sector, professional </w:t>
                        </w:r>
                        <w:r>
                          <w:rPr>
                            <w:color w:val="231F20"/>
                            <w:sz w:val="13"/>
                          </w:rPr>
                          <w:t>groups</w:t>
                        </w:r>
                        <w:r>
                          <w:rPr>
                            <w:color w:val="231F20"/>
                            <w:spacing w:val="-9"/>
                            <w:sz w:val="13"/>
                          </w:rPr>
                          <w:t xml:space="preserve"> </w:t>
                        </w:r>
                        <w:r>
                          <w:rPr>
                            <w:color w:val="231F20"/>
                            <w:sz w:val="13"/>
                          </w:rPr>
                          <w:t>&amp;</w:t>
                        </w:r>
                        <w:r>
                          <w:rPr>
                            <w:color w:val="231F20"/>
                            <w:spacing w:val="-8"/>
                            <w:sz w:val="13"/>
                          </w:rPr>
                          <w:t xml:space="preserve"> </w:t>
                        </w:r>
                        <w:r>
                          <w:rPr>
                            <w:color w:val="231F20"/>
                            <w:sz w:val="13"/>
                          </w:rPr>
                          <w:t>other</w:t>
                        </w:r>
                        <w:r>
                          <w:rPr>
                            <w:color w:val="231F20"/>
                            <w:spacing w:val="-9"/>
                            <w:sz w:val="13"/>
                          </w:rPr>
                          <w:t xml:space="preserve"> </w:t>
                        </w:r>
                        <w:r>
                          <w:rPr>
                            <w:color w:val="231F20"/>
                            <w:sz w:val="13"/>
                          </w:rPr>
                          <w:t>relevant</w:t>
                        </w:r>
                        <w:r>
                          <w:rPr>
                            <w:color w:val="231F20"/>
                            <w:spacing w:val="-8"/>
                            <w:sz w:val="13"/>
                          </w:rPr>
                          <w:t xml:space="preserve"> </w:t>
                        </w:r>
                        <w:r>
                          <w:rPr>
                            <w:color w:val="231F20"/>
                            <w:sz w:val="13"/>
                          </w:rPr>
                          <w:t>stakeholders</w:t>
                        </w:r>
                      </w:p>
                      <w:p w14:paraId="1446800D" w14:textId="77777777" w:rsidR="00080B77" w:rsidRDefault="00080B77">
                        <w:pPr>
                          <w:pStyle w:val="TableParagraph"/>
                          <w:numPr>
                            <w:ilvl w:val="0"/>
                            <w:numId w:val="213"/>
                          </w:numPr>
                          <w:tabs>
                            <w:tab w:val="left" w:pos="104"/>
                          </w:tabs>
                          <w:spacing w:line="259" w:lineRule="auto"/>
                          <w:ind w:right="417" w:firstLine="0"/>
                          <w:rPr>
                            <w:sz w:val="13"/>
                          </w:rPr>
                        </w:pPr>
                        <w:r>
                          <w:rPr>
                            <w:color w:val="231F20"/>
                            <w:w w:val="95"/>
                            <w:sz w:val="13"/>
                          </w:rPr>
                          <w:t xml:space="preserve">Professional competence </w:t>
                        </w:r>
                        <w:r>
                          <w:rPr>
                            <w:color w:val="231F20"/>
                            <w:spacing w:val="-3"/>
                            <w:w w:val="95"/>
                            <w:sz w:val="13"/>
                          </w:rPr>
                          <w:t xml:space="preserve">assessed </w:t>
                        </w:r>
                        <w:r>
                          <w:rPr>
                            <w:color w:val="231F20"/>
                            <w:sz w:val="13"/>
                          </w:rPr>
                          <w:t>annually</w:t>
                        </w:r>
                      </w:p>
                      <w:p w14:paraId="6FAB23CC" w14:textId="77777777" w:rsidR="00080B77" w:rsidRDefault="00080B77">
                        <w:pPr>
                          <w:pStyle w:val="TableParagraph"/>
                          <w:spacing w:line="86" w:lineRule="exact"/>
                          <w:ind w:left="25"/>
                          <w:rPr>
                            <w:sz w:val="13"/>
                          </w:rPr>
                        </w:pPr>
                        <w:r>
                          <w:rPr>
                            <w:color w:val="231F20"/>
                            <w:w w:val="95"/>
                            <w:sz w:val="13"/>
                          </w:rPr>
                          <w:t>•</w:t>
                        </w:r>
                      </w:p>
                    </w:tc>
                    <w:tc>
                      <w:tcPr>
                        <w:tcW w:w="1490" w:type="dxa"/>
                        <w:tcBorders>
                          <w:right w:val="single" w:sz="8" w:space="0" w:color="231F20"/>
                        </w:tcBorders>
                        <w:shd w:val="clear" w:color="auto" w:fill="CCE7D3"/>
                      </w:tcPr>
                      <w:p w14:paraId="13894857"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14A8F592" w14:textId="77777777" w:rsidR="00080B77" w:rsidRDefault="00080B77">
                        <w:pPr>
                          <w:pStyle w:val="TableParagraph"/>
                          <w:rPr>
                            <w:rFonts w:ascii="Times New Roman"/>
                            <w:sz w:val="12"/>
                          </w:rPr>
                        </w:pPr>
                      </w:p>
                    </w:tc>
                  </w:tr>
                  <w:tr w:rsidR="00080B77" w14:paraId="6B96102F" w14:textId="77777777">
                    <w:trPr>
                      <w:trHeight w:val="539"/>
                    </w:trPr>
                    <w:tc>
                      <w:tcPr>
                        <w:tcW w:w="479" w:type="dxa"/>
                        <w:vMerge w:val="restart"/>
                        <w:tcBorders>
                          <w:left w:val="single" w:sz="8" w:space="0" w:color="231F20"/>
                        </w:tcBorders>
                      </w:tcPr>
                      <w:p w14:paraId="57BEEB4F" w14:textId="77777777" w:rsidR="00080B77" w:rsidRDefault="00080B77">
                        <w:pPr>
                          <w:pStyle w:val="TableParagraph"/>
                          <w:rPr>
                            <w:rFonts w:ascii="Times New Roman"/>
                            <w:sz w:val="12"/>
                          </w:rPr>
                        </w:pPr>
                      </w:p>
                    </w:tc>
                    <w:tc>
                      <w:tcPr>
                        <w:tcW w:w="549" w:type="dxa"/>
                      </w:tcPr>
                      <w:p w14:paraId="5256099E" w14:textId="77777777" w:rsidR="00080B77" w:rsidRDefault="00080B77">
                        <w:pPr>
                          <w:pStyle w:val="TableParagraph"/>
                          <w:spacing w:before="11"/>
                          <w:rPr>
                            <w:sz w:val="16"/>
                          </w:rPr>
                        </w:pPr>
                      </w:p>
                      <w:p w14:paraId="49BBDD05" w14:textId="77777777" w:rsidR="00080B77" w:rsidRDefault="00080B77">
                        <w:pPr>
                          <w:pStyle w:val="TableParagraph"/>
                          <w:ind w:left="52"/>
                          <w:rPr>
                            <w:sz w:val="13"/>
                          </w:rPr>
                        </w:pPr>
                        <w:r>
                          <w:rPr>
                            <w:color w:val="231F20"/>
                            <w:sz w:val="13"/>
                          </w:rPr>
                          <w:t>3.1.10.a</w:t>
                        </w:r>
                      </w:p>
                    </w:tc>
                    <w:tc>
                      <w:tcPr>
                        <w:tcW w:w="5109" w:type="dxa"/>
                        <w:gridSpan w:val="2"/>
                        <w:tcBorders>
                          <w:right w:val="single" w:sz="8" w:space="0" w:color="231F20"/>
                        </w:tcBorders>
                      </w:tcPr>
                      <w:p w14:paraId="471AF4DD" w14:textId="77777777" w:rsidR="00080B77" w:rsidRDefault="00080B77">
                        <w:pPr>
                          <w:pStyle w:val="TableParagraph"/>
                          <w:spacing w:before="5"/>
                          <w:rPr>
                            <w:sz w:val="9"/>
                          </w:rPr>
                        </w:pPr>
                      </w:p>
                      <w:p w14:paraId="70309946" w14:textId="77777777" w:rsidR="00080B77" w:rsidRDefault="00080B77">
                        <w:pPr>
                          <w:pStyle w:val="TableParagraph"/>
                          <w:spacing w:line="259" w:lineRule="auto"/>
                          <w:ind w:left="25" w:right="508"/>
                          <w:rPr>
                            <w:sz w:val="13"/>
                          </w:rPr>
                        </w:pPr>
                        <w:r>
                          <w:rPr>
                            <w:color w:val="231F20"/>
                            <w:w w:val="95"/>
                            <w:sz w:val="13"/>
                          </w:rPr>
                          <w:t xml:space="preserve">Engagement of private sector, professional groups, training institutions &amp; traditional </w:t>
                        </w:r>
                        <w:r>
                          <w:rPr>
                            <w:color w:val="231F20"/>
                            <w:sz w:val="13"/>
                          </w:rPr>
                          <w:t>medicine practitioners by health institutions to set Standards of Training (SOT)</w:t>
                        </w:r>
                      </w:p>
                    </w:tc>
                    <w:tc>
                      <w:tcPr>
                        <w:tcW w:w="1490" w:type="dxa"/>
                        <w:tcBorders>
                          <w:left w:val="single" w:sz="8" w:space="0" w:color="231F20"/>
                          <w:right w:val="single" w:sz="8" w:space="0" w:color="231F20"/>
                        </w:tcBorders>
                      </w:tcPr>
                      <w:p w14:paraId="13750E37" w14:textId="77777777" w:rsidR="00080B77" w:rsidRDefault="00080B77">
                        <w:pPr>
                          <w:pStyle w:val="TableParagraph"/>
                          <w:spacing w:before="10"/>
                          <w:rPr>
                            <w:sz w:val="9"/>
                          </w:rPr>
                        </w:pPr>
                      </w:p>
                      <w:p w14:paraId="0CAF0A28" w14:textId="77777777" w:rsidR="00080B77" w:rsidRDefault="00080B77">
                        <w:pPr>
                          <w:pStyle w:val="TableParagraph"/>
                          <w:spacing w:line="259" w:lineRule="auto"/>
                          <w:ind w:left="24"/>
                          <w:rPr>
                            <w:sz w:val="13"/>
                          </w:rPr>
                        </w:pPr>
                        <w:r>
                          <w:rPr>
                            <w:color w:val="231F20"/>
                            <w:sz w:val="13"/>
                          </w:rPr>
                          <w:t>Lack of funds &amp; collaboration</w:t>
                        </w:r>
                      </w:p>
                    </w:tc>
                    <w:tc>
                      <w:tcPr>
                        <w:tcW w:w="1569" w:type="dxa"/>
                        <w:tcBorders>
                          <w:left w:val="single" w:sz="8" w:space="0" w:color="231F20"/>
                        </w:tcBorders>
                      </w:tcPr>
                      <w:p w14:paraId="32256085" w14:textId="77777777" w:rsidR="00080B77" w:rsidRDefault="00080B77">
                        <w:pPr>
                          <w:pStyle w:val="TableParagraph"/>
                          <w:spacing w:before="11"/>
                          <w:rPr>
                            <w:sz w:val="16"/>
                          </w:rPr>
                        </w:pPr>
                      </w:p>
                      <w:p w14:paraId="5EF4ACCD" w14:textId="77777777" w:rsidR="00080B77" w:rsidRDefault="00080B77">
                        <w:pPr>
                          <w:pStyle w:val="TableParagraph"/>
                          <w:ind w:left="23"/>
                          <w:rPr>
                            <w:sz w:val="13"/>
                          </w:rPr>
                        </w:pPr>
                        <w:r>
                          <w:rPr>
                            <w:color w:val="231F20"/>
                            <w:sz w:val="13"/>
                          </w:rPr>
                          <w:t>Convene meeting</w:t>
                        </w:r>
                      </w:p>
                    </w:tc>
                  </w:tr>
                  <w:tr w:rsidR="00080B77" w14:paraId="53B55D86" w14:textId="77777777">
                    <w:trPr>
                      <w:trHeight w:val="484"/>
                    </w:trPr>
                    <w:tc>
                      <w:tcPr>
                        <w:tcW w:w="479" w:type="dxa"/>
                        <w:vMerge/>
                        <w:tcBorders>
                          <w:top w:val="nil"/>
                          <w:left w:val="single" w:sz="8" w:space="0" w:color="231F20"/>
                        </w:tcBorders>
                      </w:tcPr>
                      <w:p w14:paraId="76F7C180" w14:textId="77777777" w:rsidR="00080B77" w:rsidRDefault="00080B77">
                        <w:pPr>
                          <w:rPr>
                            <w:sz w:val="2"/>
                            <w:szCs w:val="2"/>
                          </w:rPr>
                        </w:pPr>
                      </w:p>
                    </w:tc>
                    <w:tc>
                      <w:tcPr>
                        <w:tcW w:w="549" w:type="dxa"/>
                      </w:tcPr>
                      <w:p w14:paraId="19C73108" w14:textId="77777777" w:rsidR="00080B77" w:rsidRDefault="00080B77">
                        <w:pPr>
                          <w:pStyle w:val="TableParagraph"/>
                          <w:spacing w:before="6"/>
                          <w:rPr>
                            <w:sz w:val="14"/>
                          </w:rPr>
                        </w:pPr>
                      </w:p>
                      <w:p w14:paraId="09B0B82E" w14:textId="77777777" w:rsidR="00080B77" w:rsidRDefault="00080B77">
                        <w:pPr>
                          <w:pStyle w:val="TableParagraph"/>
                          <w:ind w:left="52"/>
                          <w:rPr>
                            <w:sz w:val="13"/>
                          </w:rPr>
                        </w:pPr>
                        <w:r>
                          <w:rPr>
                            <w:color w:val="231F20"/>
                            <w:sz w:val="13"/>
                          </w:rPr>
                          <w:t>3.1.10.b</w:t>
                        </w:r>
                      </w:p>
                    </w:tc>
                    <w:tc>
                      <w:tcPr>
                        <w:tcW w:w="5109" w:type="dxa"/>
                        <w:gridSpan w:val="2"/>
                        <w:tcBorders>
                          <w:right w:val="single" w:sz="8" w:space="0" w:color="231F20"/>
                        </w:tcBorders>
                      </w:tcPr>
                      <w:p w14:paraId="5B967FFF" w14:textId="77777777" w:rsidR="00080B77" w:rsidRDefault="00080B77">
                        <w:pPr>
                          <w:pStyle w:val="TableParagraph"/>
                          <w:spacing w:before="1"/>
                          <w:rPr>
                            <w:sz w:val="14"/>
                          </w:rPr>
                        </w:pPr>
                      </w:p>
                      <w:p w14:paraId="37B937D3" w14:textId="77777777" w:rsidR="00080B77" w:rsidRDefault="00080B77">
                        <w:pPr>
                          <w:pStyle w:val="TableParagraph"/>
                          <w:ind w:left="25"/>
                          <w:rPr>
                            <w:sz w:val="13"/>
                          </w:rPr>
                        </w:pPr>
                        <w:r>
                          <w:rPr>
                            <w:color w:val="231F20"/>
                            <w:sz w:val="13"/>
                          </w:rPr>
                          <w:t>Periodic assessment of professional competence</w:t>
                        </w:r>
                      </w:p>
                    </w:tc>
                    <w:tc>
                      <w:tcPr>
                        <w:tcW w:w="1490" w:type="dxa"/>
                        <w:tcBorders>
                          <w:left w:val="single" w:sz="8" w:space="0" w:color="231F20"/>
                          <w:right w:val="single" w:sz="8" w:space="0" w:color="231F20"/>
                        </w:tcBorders>
                      </w:tcPr>
                      <w:p w14:paraId="579F597D" w14:textId="77777777" w:rsidR="00080B77" w:rsidRDefault="00080B77">
                        <w:pPr>
                          <w:pStyle w:val="TableParagraph"/>
                          <w:spacing w:before="6"/>
                          <w:rPr>
                            <w:sz w:val="14"/>
                          </w:rPr>
                        </w:pPr>
                      </w:p>
                      <w:p w14:paraId="17390753" w14:textId="77777777" w:rsidR="00080B77" w:rsidRDefault="00080B77">
                        <w:pPr>
                          <w:pStyle w:val="TableParagraph"/>
                          <w:ind w:left="24"/>
                          <w:rPr>
                            <w:sz w:val="13"/>
                          </w:rPr>
                        </w:pPr>
                        <w:r>
                          <w:rPr>
                            <w:color w:val="231F20"/>
                            <w:sz w:val="13"/>
                          </w:rPr>
                          <w:t>Lack of funds</w:t>
                        </w:r>
                      </w:p>
                    </w:tc>
                    <w:tc>
                      <w:tcPr>
                        <w:tcW w:w="1569" w:type="dxa"/>
                        <w:tcBorders>
                          <w:left w:val="single" w:sz="8" w:space="0" w:color="231F20"/>
                        </w:tcBorders>
                      </w:tcPr>
                      <w:p w14:paraId="01DAB8BF" w14:textId="77777777" w:rsidR="00080B77" w:rsidRDefault="00080B77">
                        <w:pPr>
                          <w:pStyle w:val="TableParagraph"/>
                          <w:spacing w:before="6"/>
                          <w:rPr>
                            <w:sz w:val="14"/>
                          </w:rPr>
                        </w:pPr>
                      </w:p>
                      <w:p w14:paraId="3EEE36B4" w14:textId="77777777" w:rsidR="00080B77" w:rsidRDefault="00080B77">
                        <w:pPr>
                          <w:pStyle w:val="TableParagraph"/>
                          <w:ind w:left="23"/>
                          <w:rPr>
                            <w:sz w:val="13"/>
                          </w:rPr>
                        </w:pPr>
                        <w:r>
                          <w:rPr>
                            <w:color w:val="231F20"/>
                            <w:sz w:val="13"/>
                          </w:rPr>
                          <w:t>Periodic assessment</w:t>
                        </w:r>
                      </w:p>
                    </w:tc>
                  </w:tr>
                  <w:tr w:rsidR="00080B77" w14:paraId="2CAA8A53" w14:textId="77777777">
                    <w:trPr>
                      <w:trHeight w:val="959"/>
                    </w:trPr>
                    <w:tc>
                      <w:tcPr>
                        <w:tcW w:w="479" w:type="dxa"/>
                        <w:tcBorders>
                          <w:left w:val="single" w:sz="8" w:space="0" w:color="231F20"/>
                        </w:tcBorders>
                        <w:shd w:val="clear" w:color="auto" w:fill="CCE7D3"/>
                      </w:tcPr>
                      <w:p w14:paraId="6FD1CF1E" w14:textId="77777777" w:rsidR="00080B77" w:rsidRDefault="00080B77">
                        <w:pPr>
                          <w:pStyle w:val="TableParagraph"/>
                          <w:rPr>
                            <w:sz w:val="12"/>
                          </w:rPr>
                        </w:pPr>
                      </w:p>
                      <w:p w14:paraId="5F03B240" w14:textId="77777777" w:rsidR="00080B77" w:rsidRDefault="00080B77">
                        <w:pPr>
                          <w:pStyle w:val="TableParagraph"/>
                          <w:rPr>
                            <w:sz w:val="12"/>
                          </w:rPr>
                        </w:pPr>
                      </w:p>
                      <w:p w14:paraId="2BDA20EF" w14:textId="77777777" w:rsidR="00080B77" w:rsidRDefault="00080B77">
                        <w:pPr>
                          <w:pStyle w:val="TableParagraph"/>
                          <w:spacing w:before="2"/>
                          <w:rPr>
                            <w:sz w:val="11"/>
                          </w:rPr>
                        </w:pPr>
                      </w:p>
                      <w:p w14:paraId="6A2E48F0" w14:textId="77777777" w:rsidR="00080B77" w:rsidRDefault="00080B77">
                        <w:pPr>
                          <w:pStyle w:val="TableParagraph"/>
                          <w:ind w:left="61"/>
                          <w:rPr>
                            <w:sz w:val="13"/>
                          </w:rPr>
                        </w:pPr>
                        <w:r>
                          <w:rPr>
                            <w:color w:val="231F20"/>
                            <w:sz w:val="13"/>
                          </w:rPr>
                          <w:t>3.1.11</w:t>
                        </w:r>
                      </w:p>
                    </w:tc>
                    <w:tc>
                      <w:tcPr>
                        <w:tcW w:w="3170" w:type="dxa"/>
                        <w:gridSpan w:val="2"/>
                        <w:shd w:val="clear" w:color="auto" w:fill="CCE7D3"/>
                      </w:tcPr>
                      <w:p w14:paraId="0CB11068" w14:textId="77777777" w:rsidR="00080B77" w:rsidRDefault="00080B77">
                        <w:pPr>
                          <w:pStyle w:val="TableParagraph"/>
                          <w:spacing w:before="77" w:line="259" w:lineRule="auto"/>
                          <w:ind w:left="25" w:right="308" w:firstLine="34"/>
                          <w:rPr>
                            <w:sz w:val="13"/>
                          </w:rPr>
                        </w:pPr>
                        <w:r>
                          <w:rPr>
                            <w:color w:val="231F20"/>
                            <w:w w:val="95"/>
                            <w:sz w:val="13"/>
                          </w:rPr>
                          <w:t xml:space="preserve">Strengthen collaboration between government </w:t>
                        </w:r>
                        <w:r>
                          <w:rPr>
                            <w:color w:val="231F20"/>
                            <w:spacing w:val="-4"/>
                            <w:w w:val="95"/>
                            <w:sz w:val="13"/>
                          </w:rPr>
                          <w:t xml:space="preserve">and </w:t>
                        </w:r>
                        <w:r>
                          <w:rPr>
                            <w:color w:val="231F20"/>
                            <w:sz w:val="13"/>
                          </w:rPr>
                          <w:t>professional groups including Nigerian health professionals</w:t>
                        </w:r>
                        <w:r>
                          <w:rPr>
                            <w:color w:val="231F20"/>
                            <w:spacing w:val="-22"/>
                            <w:sz w:val="13"/>
                          </w:rPr>
                          <w:t xml:space="preserve"> </w:t>
                        </w:r>
                        <w:r>
                          <w:rPr>
                            <w:color w:val="231F20"/>
                            <w:sz w:val="13"/>
                          </w:rPr>
                          <w:t>in</w:t>
                        </w:r>
                        <w:r>
                          <w:rPr>
                            <w:color w:val="231F20"/>
                            <w:spacing w:val="-22"/>
                            <w:sz w:val="13"/>
                          </w:rPr>
                          <w:t xml:space="preserve"> </w:t>
                        </w:r>
                        <w:r>
                          <w:rPr>
                            <w:color w:val="231F20"/>
                            <w:sz w:val="13"/>
                          </w:rPr>
                          <w:t>diaspora</w:t>
                        </w:r>
                        <w:r>
                          <w:rPr>
                            <w:color w:val="231F20"/>
                            <w:spacing w:val="-22"/>
                            <w:sz w:val="13"/>
                          </w:rPr>
                          <w:t xml:space="preserve"> </w:t>
                        </w:r>
                        <w:r>
                          <w:rPr>
                            <w:color w:val="231F20"/>
                            <w:sz w:val="13"/>
                          </w:rPr>
                          <w:t>to</w:t>
                        </w:r>
                        <w:r>
                          <w:rPr>
                            <w:color w:val="231F20"/>
                            <w:spacing w:val="-22"/>
                            <w:sz w:val="13"/>
                          </w:rPr>
                          <w:t xml:space="preserve"> </w:t>
                        </w:r>
                        <w:r>
                          <w:rPr>
                            <w:color w:val="231F20"/>
                            <w:sz w:val="13"/>
                          </w:rPr>
                          <w:t>advocate</w:t>
                        </w:r>
                        <w:r>
                          <w:rPr>
                            <w:color w:val="231F20"/>
                            <w:spacing w:val="-22"/>
                            <w:sz w:val="13"/>
                          </w:rPr>
                          <w:t xml:space="preserve"> </w:t>
                        </w:r>
                        <w:r>
                          <w:rPr>
                            <w:color w:val="231F20"/>
                            <w:sz w:val="13"/>
                          </w:rPr>
                          <w:t>for</w:t>
                        </w:r>
                        <w:r>
                          <w:rPr>
                            <w:color w:val="231F20"/>
                            <w:spacing w:val="-22"/>
                            <w:sz w:val="13"/>
                          </w:rPr>
                          <w:t xml:space="preserve"> </w:t>
                        </w:r>
                        <w:r>
                          <w:rPr>
                            <w:color w:val="231F20"/>
                            <w:sz w:val="13"/>
                          </w:rPr>
                          <w:t>increased coverage of essential interventions, particularly increased</w:t>
                        </w:r>
                        <w:r>
                          <w:rPr>
                            <w:color w:val="231F20"/>
                            <w:spacing w:val="-3"/>
                            <w:sz w:val="13"/>
                          </w:rPr>
                          <w:t xml:space="preserve"> </w:t>
                        </w:r>
                        <w:r>
                          <w:rPr>
                            <w:color w:val="231F20"/>
                            <w:sz w:val="13"/>
                          </w:rPr>
                          <w:t>funding;</w:t>
                        </w:r>
                      </w:p>
                    </w:tc>
                    <w:tc>
                      <w:tcPr>
                        <w:tcW w:w="2488" w:type="dxa"/>
                        <w:shd w:val="clear" w:color="auto" w:fill="CCE7D3"/>
                      </w:tcPr>
                      <w:p w14:paraId="7FCF2ADD" w14:textId="77777777" w:rsidR="00080B77" w:rsidRDefault="00080B77">
                        <w:pPr>
                          <w:pStyle w:val="TableParagraph"/>
                          <w:numPr>
                            <w:ilvl w:val="0"/>
                            <w:numId w:val="212"/>
                          </w:numPr>
                          <w:tabs>
                            <w:tab w:val="left" w:pos="104"/>
                          </w:tabs>
                          <w:spacing w:before="82" w:line="259" w:lineRule="auto"/>
                          <w:ind w:right="25" w:firstLine="0"/>
                          <w:rPr>
                            <w:sz w:val="13"/>
                          </w:rPr>
                        </w:pPr>
                        <w:r>
                          <w:rPr>
                            <w:color w:val="231F20"/>
                            <w:sz w:val="13"/>
                          </w:rPr>
                          <w:t>Forum</w:t>
                        </w:r>
                        <w:r>
                          <w:rPr>
                            <w:color w:val="231F20"/>
                            <w:spacing w:val="-24"/>
                            <w:sz w:val="13"/>
                          </w:rPr>
                          <w:t xml:space="preserve"> </w:t>
                        </w:r>
                        <w:r>
                          <w:rPr>
                            <w:color w:val="231F20"/>
                            <w:sz w:val="13"/>
                          </w:rPr>
                          <w:t>of</w:t>
                        </w:r>
                        <w:r>
                          <w:rPr>
                            <w:color w:val="231F20"/>
                            <w:spacing w:val="-24"/>
                            <w:sz w:val="13"/>
                          </w:rPr>
                          <w:t xml:space="preserve"> </w:t>
                        </w:r>
                        <w:r>
                          <w:rPr>
                            <w:color w:val="231F20"/>
                            <w:sz w:val="13"/>
                          </w:rPr>
                          <w:t>professional</w:t>
                        </w:r>
                        <w:r>
                          <w:rPr>
                            <w:color w:val="231F20"/>
                            <w:spacing w:val="-24"/>
                            <w:sz w:val="13"/>
                          </w:rPr>
                          <w:t xml:space="preserve"> </w:t>
                        </w:r>
                        <w:r>
                          <w:rPr>
                            <w:color w:val="231F20"/>
                            <w:sz w:val="13"/>
                          </w:rPr>
                          <w:t>groups</w:t>
                        </w:r>
                        <w:r>
                          <w:rPr>
                            <w:color w:val="231F20"/>
                            <w:spacing w:val="-24"/>
                            <w:sz w:val="13"/>
                          </w:rPr>
                          <w:t xml:space="preserve"> </w:t>
                        </w:r>
                        <w:r>
                          <w:rPr>
                            <w:color w:val="231F20"/>
                            <w:sz w:val="13"/>
                          </w:rPr>
                          <w:t>and</w:t>
                        </w:r>
                        <w:r>
                          <w:rPr>
                            <w:color w:val="231F20"/>
                            <w:spacing w:val="-23"/>
                            <w:sz w:val="13"/>
                          </w:rPr>
                          <w:t xml:space="preserve"> </w:t>
                        </w:r>
                        <w:r>
                          <w:rPr>
                            <w:color w:val="231F20"/>
                            <w:sz w:val="13"/>
                          </w:rPr>
                          <w:t>partners established</w:t>
                        </w:r>
                      </w:p>
                      <w:p w14:paraId="49AC4C42" w14:textId="77777777" w:rsidR="00080B77" w:rsidRDefault="00080B77">
                        <w:pPr>
                          <w:pStyle w:val="TableParagraph"/>
                          <w:numPr>
                            <w:ilvl w:val="0"/>
                            <w:numId w:val="212"/>
                          </w:numPr>
                          <w:tabs>
                            <w:tab w:val="left" w:pos="71"/>
                          </w:tabs>
                          <w:spacing w:line="259" w:lineRule="auto"/>
                          <w:ind w:right="342" w:firstLine="0"/>
                          <w:rPr>
                            <w:sz w:val="13"/>
                          </w:rPr>
                        </w:pPr>
                        <w:r>
                          <w:rPr>
                            <w:color w:val="231F20"/>
                            <w:w w:val="95"/>
                            <w:sz w:val="13"/>
                          </w:rPr>
                          <w:t xml:space="preserve">Conferences, Seminars or exhibitions </w:t>
                        </w:r>
                        <w:r>
                          <w:rPr>
                            <w:color w:val="231F20"/>
                            <w:sz w:val="13"/>
                          </w:rPr>
                          <w:t>organized</w:t>
                        </w:r>
                      </w:p>
                      <w:p w14:paraId="71F65012" w14:textId="77777777" w:rsidR="00080B77" w:rsidRDefault="00080B77">
                        <w:pPr>
                          <w:pStyle w:val="TableParagraph"/>
                          <w:spacing w:line="149" w:lineRule="exact"/>
                          <w:ind w:left="25"/>
                          <w:rPr>
                            <w:sz w:val="13"/>
                          </w:rPr>
                        </w:pPr>
                        <w:r>
                          <w:rPr>
                            <w:color w:val="231F20"/>
                            <w:w w:val="95"/>
                            <w:sz w:val="13"/>
                          </w:rPr>
                          <w:t>•</w:t>
                        </w:r>
                      </w:p>
                    </w:tc>
                    <w:tc>
                      <w:tcPr>
                        <w:tcW w:w="1490" w:type="dxa"/>
                        <w:tcBorders>
                          <w:right w:val="single" w:sz="8" w:space="0" w:color="231F20"/>
                        </w:tcBorders>
                        <w:shd w:val="clear" w:color="auto" w:fill="CCE7D3"/>
                      </w:tcPr>
                      <w:p w14:paraId="116AC96A"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48BD992F" w14:textId="77777777" w:rsidR="00080B77" w:rsidRDefault="00080B77">
                        <w:pPr>
                          <w:pStyle w:val="TableParagraph"/>
                          <w:rPr>
                            <w:rFonts w:ascii="Times New Roman"/>
                            <w:sz w:val="12"/>
                          </w:rPr>
                        </w:pPr>
                      </w:p>
                    </w:tc>
                  </w:tr>
                  <w:tr w:rsidR="00080B77" w14:paraId="5A37E034" w14:textId="77777777">
                    <w:trPr>
                      <w:trHeight w:val="309"/>
                    </w:trPr>
                    <w:tc>
                      <w:tcPr>
                        <w:tcW w:w="479" w:type="dxa"/>
                        <w:vMerge w:val="restart"/>
                        <w:tcBorders>
                          <w:left w:val="single" w:sz="8" w:space="0" w:color="231F20"/>
                        </w:tcBorders>
                      </w:tcPr>
                      <w:p w14:paraId="25895B5C" w14:textId="77777777" w:rsidR="00080B77" w:rsidRDefault="00080B77">
                        <w:pPr>
                          <w:pStyle w:val="TableParagraph"/>
                          <w:rPr>
                            <w:rFonts w:ascii="Times New Roman"/>
                            <w:sz w:val="12"/>
                          </w:rPr>
                        </w:pPr>
                      </w:p>
                    </w:tc>
                    <w:tc>
                      <w:tcPr>
                        <w:tcW w:w="549" w:type="dxa"/>
                      </w:tcPr>
                      <w:p w14:paraId="21829DA8" w14:textId="77777777" w:rsidR="00080B77" w:rsidRDefault="00080B77">
                        <w:pPr>
                          <w:pStyle w:val="TableParagraph"/>
                          <w:spacing w:before="80"/>
                          <w:ind w:left="52"/>
                          <w:rPr>
                            <w:sz w:val="13"/>
                          </w:rPr>
                        </w:pPr>
                        <w:r>
                          <w:rPr>
                            <w:color w:val="231F20"/>
                            <w:w w:val="95"/>
                            <w:sz w:val="13"/>
                          </w:rPr>
                          <w:t>3.1.11.a</w:t>
                        </w:r>
                      </w:p>
                    </w:tc>
                    <w:tc>
                      <w:tcPr>
                        <w:tcW w:w="5109" w:type="dxa"/>
                        <w:gridSpan w:val="2"/>
                      </w:tcPr>
                      <w:p w14:paraId="2AE70994" w14:textId="77777777" w:rsidR="00080B77" w:rsidRDefault="00080B77">
                        <w:pPr>
                          <w:pStyle w:val="TableParagraph"/>
                          <w:spacing w:before="74"/>
                          <w:ind w:left="59"/>
                          <w:rPr>
                            <w:sz w:val="13"/>
                          </w:rPr>
                        </w:pPr>
                        <w:r>
                          <w:rPr>
                            <w:color w:val="231F20"/>
                            <w:sz w:val="13"/>
                          </w:rPr>
                          <w:t>Establish</w:t>
                        </w:r>
                        <w:r>
                          <w:rPr>
                            <w:color w:val="231F20"/>
                            <w:spacing w:val="-14"/>
                            <w:sz w:val="13"/>
                          </w:rPr>
                          <w:t xml:space="preserve"> </w:t>
                        </w:r>
                        <w:r>
                          <w:rPr>
                            <w:color w:val="231F20"/>
                            <w:sz w:val="13"/>
                          </w:rPr>
                          <w:t>a</w:t>
                        </w:r>
                        <w:r>
                          <w:rPr>
                            <w:color w:val="231F20"/>
                            <w:spacing w:val="-14"/>
                            <w:sz w:val="13"/>
                          </w:rPr>
                          <w:t xml:space="preserve"> </w:t>
                        </w:r>
                        <w:r>
                          <w:rPr>
                            <w:color w:val="231F20"/>
                            <w:sz w:val="13"/>
                          </w:rPr>
                          <w:t>forum</w:t>
                        </w:r>
                        <w:r>
                          <w:rPr>
                            <w:color w:val="231F20"/>
                            <w:spacing w:val="-14"/>
                            <w:sz w:val="13"/>
                          </w:rPr>
                          <w:t xml:space="preserve"> </w:t>
                        </w:r>
                        <w:r>
                          <w:rPr>
                            <w:color w:val="231F20"/>
                            <w:sz w:val="13"/>
                          </w:rPr>
                          <w:t>of</w:t>
                        </w:r>
                        <w:r>
                          <w:rPr>
                            <w:color w:val="231F20"/>
                            <w:spacing w:val="-14"/>
                            <w:sz w:val="13"/>
                          </w:rPr>
                          <w:t xml:space="preserve"> </w:t>
                        </w:r>
                        <w:r>
                          <w:rPr>
                            <w:color w:val="231F20"/>
                            <w:sz w:val="13"/>
                          </w:rPr>
                          <w:t>professional</w:t>
                        </w:r>
                        <w:r>
                          <w:rPr>
                            <w:color w:val="231F20"/>
                            <w:spacing w:val="-14"/>
                            <w:sz w:val="13"/>
                          </w:rPr>
                          <w:t xml:space="preserve"> </w:t>
                        </w:r>
                        <w:r>
                          <w:rPr>
                            <w:color w:val="231F20"/>
                            <w:sz w:val="13"/>
                          </w:rPr>
                          <w:t>groups</w:t>
                        </w:r>
                        <w:r>
                          <w:rPr>
                            <w:color w:val="231F20"/>
                            <w:spacing w:val="-14"/>
                            <w:sz w:val="13"/>
                          </w:rPr>
                          <w:t xml:space="preserve"> </w:t>
                        </w:r>
                        <w:r>
                          <w:rPr>
                            <w:color w:val="231F20"/>
                            <w:sz w:val="13"/>
                          </w:rPr>
                          <w:t>and</w:t>
                        </w:r>
                        <w:r>
                          <w:rPr>
                            <w:color w:val="231F20"/>
                            <w:spacing w:val="-13"/>
                            <w:sz w:val="13"/>
                          </w:rPr>
                          <w:t xml:space="preserve"> </w:t>
                        </w:r>
                        <w:r>
                          <w:rPr>
                            <w:color w:val="231F20"/>
                            <w:sz w:val="13"/>
                          </w:rPr>
                          <w:t>partners</w:t>
                        </w:r>
                        <w:r>
                          <w:rPr>
                            <w:color w:val="231F20"/>
                            <w:spacing w:val="-14"/>
                            <w:sz w:val="13"/>
                          </w:rPr>
                          <w:t xml:space="preserve"> </w:t>
                        </w:r>
                        <w:r>
                          <w:rPr>
                            <w:color w:val="231F20"/>
                            <w:sz w:val="13"/>
                          </w:rPr>
                          <w:t>to</w:t>
                        </w:r>
                        <w:r>
                          <w:rPr>
                            <w:color w:val="231F20"/>
                            <w:spacing w:val="-14"/>
                            <w:sz w:val="13"/>
                          </w:rPr>
                          <w:t xml:space="preserve"> </w:t>
                        </w:r>
                        <w:r>
                          <w:rPr>
                            <w:color w:val="231F20"/>
                            <w:sz w:val="13"/>
                          </w:rPr>
                          <w:t>advocate</w:t>
                        </w:r>
                        <w:r>
                          <w:rPr>
                            <w:color w:val="231F20"/>
                            <w:spacing w:val="-14"/>
                            <w:sz w:val="13"/>
                          </w:rPr>
                          <w:t xml:space="preserve"> </w:t>
                        </w:r>
                        <w:r>
                          <w:rPr>
                            <w:color w:val="231F20"/>
                            <w:sz w:val="13"/>
                          </w:rPr>
                          <w:t>for</w:t>
                        </w:r>
                        <w:r>
                          <w:rPr>
                            <w:color w:val="231F20"/>
                            <w:spacing w:val="-14"/>
                            <w:sz w:val="13"/>
                          </w:rPr>
                          <w:t xml:space="preserve"> </w:t>
                        </w:r>
                        <w:r>
                          <w:rPr>
                            <w:color w:val="231F20"/>
                            <w:sz w:val="13"/>
                          </w:rPr>
                          <w:t>increased</w:t>
                        </w:r>
                        <w:r>
                          <w:rPr>
                            <w:color w:val="231F20"/>
                            <w:spacing w:val="-14"/>
                            <w:sz w:val="13"/>
                          </w:rPr>
                          <w:t xml:space="preserve"> </w:t>
                        </w:r>
                        <w:r>
                          <w:rPr>
                            <w:color w:val="231F20"/>
                            <w:sz w:val="13"/>
                          </w:rPr>
                          <w:t>funding</w:t>
                        </w:r>
                      </w:p>
                    </w:tc>
                    <w:tc>
                      <w:tcPr>
                        <w:tcW w:w="1490" w:type="dxa"/>
                        <w:tcBorders>
                          <w:right w:val="single" w:sz="8" w:space="0" w:color="231F20"/>
                        </w:tcBorders>
                      </w:tcPr>
                      <w:p w14:paraId="7C673A8B" w14:textId="77777777" w:rsidR="00080B77" w:rsidRDefault="00080B77">
                        <w:pPr>
                          <w:pStyle w:val="TableParagraph"/>
                          <w:ind w:left="26"/>
                          <w:rPr>
                            <w:sz w:val="13"/>
                          </w:rPr>
                        </w:pPr>
                        <w:r>
                          <w:rPr>
                            <w:color w:val="231F20"/>
                            <w:sz w:val="13"/>
                          </w:rPr>
                          <w:t>Lack of funds &amp;</w:t>
                        </w:r>
                      </w:p>
                      <w:p w14:paraId="1F3DE726" w14:textId="77777777" w:rsidR="00080B77" w:rsidRDefault="00080B77">
                        <w:pPr>
                          <w:pStyle w:val="TableParagraph"/>
                          <w:spacing w:before="11" w:line="129" w:lineRule="exact"/>
                          <w:ind w:left="26"/>
                          <w:rPr>
                            <w:sz w:val="13"/>
                          </w:rPr>
                        </w:pPr>
                        <w:r>
                          <w:rPr>
                            <w:color w:val="231F20"/>
                            <w:sz w:val="13"/>
                          </w:rPr>
                          <w:t>collaboration</w:t>
                        </w:r>
                      </w:p>
                    </w:tc>
                    <w:tc>
                      <w:tcPr>
                        <w:tcW w:w="1569" w:type="dxa"/>
                        <w:tcBorders>
                          <w:left w:val="single" w:sz="8" w:space="0" w:color="231F20"/>
                        </w:tcBorders>
                      </w:tcPr>
                      <w:p w14:paraId="24D97200" w14:textId="77777777" w:rsidR="00080B77" w:rsidRDefault="00080B77">
                        <w:pPr>
                          <w:pStyle w:val="TableParagraph"/>
                          <w:ind w:left="23"/>
                          <w:rPr>
                            <w:sz w:val="13"/>
                          </w:rPr>
                        </w:pPr>
                        <w:r>
                          <w:rPr>
                            <w:color w:val="231F20"/>
                            <w:sz w:val="13"/>
                          </w:rPr>
                          <w:t>Establish forum to</w:t>
                        </w:r>
                      </w:p>
                      <w:p w14:paraId="44F731A2" w14:textId="77777777" w:rsidR="00080B77" w:rsidRDefault="00080B77">
                        <w:pPr>
                          <w:pStyle w:val="TableParagraph"/>
                          <w:spacing w:before="11" w:line="129" w:lineRule="exact"/>
                          <w:ind w:left="23"/>
                          <w:rPr>
                            <w:sz w:val="13"/>
                          </w:rPr>
                        </w:pPr>
                        <w:r>
                          <w:rPr>
                            <w:color w:val="231F20"/>
                            <w:sz w:val="13"/>
                          </w:rPr>
                          <w:t>advocate</w:t>
                        </w:r>
                      </w:p>
                    </w:tc>
                  </w:tr>
                  <w:tr w:rsidR="00080B77" w14:paraId="4BFC0522" w14:textId="77777777">
                    <w:trPr>
                      <w:trHeight w:val="298"/>
                    </w:trPr>
                    <w:tc>
                      <w:tcPr>
                        <w:tcW w:w="479" w:type="dxa"/>
                        <w:vMerge/>
                        <w:tcBorders>
                          <w:top w:val="nil"/>
                          <w:left w:val="single" w:sz="8" w:space="0" w:color="231F20"/>
                        </w:tcBorders>
                      </w:tcPr>
                      <w:p w14:paraId="2CA10841" w14:textId="77777777" w:rsidR="00080B77" w:rsidRDefault="00080B77">
                        <w:pPr>
                          <w:rPr>
                            <w:sz w:val="2"/>
                            <w:szCs w:val="2"/>
                          </w:rPr>
                        </w:pPr>
                      </w:p>
                    </w:tc>
                    <w:tc>
                      <w:tcPr>
                        <w:tcW w:w="549" w:type="dxa"/>
                      </w:tcPr>
                      <w:p w14:paraId="38C66587" w14:textId="77777777" w:rsidR="00080B77" w:rsidRDefault="00080B77">
                        <w:pPr>
                          <w:pStyle w:val="TableParagraph"/>
                          <w:spacing w:before="74"/>
                          <w:ind w:left="52"/>
                          <w:rPr>
                            <w:sz w:val="13"/>
                          </w:rPr>
                        </w:pPr>
                        <w:r>
                          <w:rPr>
                            <w:color w:val="231F20"/>
                            <w:w w:val="95"/>
                            <w:sz w:val="13"/>
                          </w:rPr>
                          <w:t>3.1.11.b</w:t>
                        </w:r>
                      </w:p>
                    </w:tc>
                    <w:tc>
                      <w:tcPr>
                        <w:tcW w:w="5109" w:type="dxa"/>
                        <w:gridSpan w:val="2"/>
                      </w:tcPr>
                      <w:p w14:paraId="2E31C390" w14:textId="77777777" w:rsidR="00080B77" w:rsidRDefault="00080B77">
                        <w:pPr>
                          <w:pStyle w:val="TableParagraph"/>
                          <w:spacing w:line="148" w:lineRule="exact"/>
                          <w:ind w:left="25"/>
                          <w:rPr>
                            <w:sz w:val="13"/>
                          </w:rPr>
                        </w:pPr>
                        <w:r>
                          <w:rPr>
                            <w:color w:val="231F20"/>
                            <w:sz w:val="13"/>
                          </w:rPr>
                          <w:t>Organize</w:t>
                        </w:r>
                        <w:r>
                          <w:rPr>
                            <w:color w:val="231F20"/>
                            <w:spacing w:val="-17"/>
                            <w:sz w:val="13"/>
                          </w:rPr>
                          <w:t xml:space="preserve"> </w:t>
                        </w:r>
                        <w:r>
                          <w:rPr>
                            <w:color w:val="231F20"/>
                            <w:sz w:val="13"/>
                          </w:rPr>
                          <w:t>Conferences,</w:t>
                        </w:r>
                        <w:r>
                          <w:rPr>
                            <w:color w:val="231F20"/>
                            <w:spacing w:val="-17"/>
                            <w:sz w:val="13"/>
                          </w:rPr>
                          <w:t xml:space="preserve"> </w:t>
                        </w:r>
                        <w:r>
                          <w:rPr>
                            <w:color w:val="231F20"/>
                            <w:sz w:val="13"/>
                          </w:rPr>
                          <w:t>Seminars</w:t>
                        </w:r>
                        <w:r>
                          <w:rPr>
                            <w:color w:val="231F20"/>
                            <w:spacing w:val="-17"/>
                            <w:sz w:val="13"/>
                          </w:rPr>
                          <w:t xml:space="preserve"> </w:t>
                        </w:r>
                        <w:r>
                          <w:rPr>
                            <w:color w:val="231F20"/>
                            <w:sz w:val="13"/>
                          </w:rPr>
                          <w:t>or</w:t>
                        </w:r>
                        <w:r>
                          <w:rPr>
                            <w:color w:val="231F20"/>
                            <w:spacing w:val="-17"/>
                            <w:sz w:val="13"/>
                          </w:rPr>
                          <w:t xml:space="preserve"> </w:t>
                        </w:r>
                        <w:r>
                          <w:rPr>
                            <w:color w:val="231F20"/>
                            <w:sz w:val="13"/>
                          </w:rPr>
                          <w:t>exhibitions</w:t>
                        </w:r>
                        <w:r>
                          <w:rPr>
                            <w:color w:val="231F20"/>
                            <w:spacing w:val="-17"/>
                            <w:sz w:val="13"/>
                          </w:rPr>
                          <w:t xml:space="preserve"> </w:t>
                        </w:r>
                        <w:r>
                          <w:rPr>
                            <w:color w:val="231F20"/>
                            <w:sz w:val="13"/>
                          </w:rPr>
                          <w:t>for</w:t>
                        </w:r>
                        <w:r>
                          <w:rPr>
                            <w:color w:val="231F20"/>
                            <w:spacing w:val="-17"/>
                            <w:sz w:val="13"/>
                          </w:rPr>
                          <w:t xml:space="preserve"> </w:t>
                        </w:r>
                        <w:r>
                          <w:rPr>
                            <w:color w:val="231F20"/>
                            <w:sz w:val="13"/>
                          </w:rPr>
                          <w:t>health</w:t>
                        </w:r>
                        <w:r>
                          <w:rPr>
                            <w:color w:val="231F20"/>
                            <w:spacing w:val="-16"/>
                            <w:sz w:val="13"/>
                          </w:rPr>
                          <w:t xml:space="preserve"> </w:t>
                        </w:r>
                        <w:r>
                          <w:rPr>
                            <w:color w:val="231F20"/>
                            <w:sz w:val="13"/>
                          </w:rPr>
                          <w:t>practitioners</w:t>
                        </w:r>
                        <w:r>
                          <w:rPr>
                            <w:color w:val="231F20"/>
                            <w:spacing w:val="-17"/>
                            <w:sz w:val="13"/>
                          </w:rPr>
                          <w:t xml:space="preserve"> </w:t>
                        </w:r>
                        <w:r>
                          <w:rPr>
                            <w:color w:val="231F20"/>
                            <w:sz w:val="13"/>
                          </w:rPr>
                          <w:t>from</w:t>
                        </w:r>
                        <w:r>
                          <w:rPr>
                            <w:color w:val="231F20"/>
                            <w:spacing w:val="-17"/>
                            <w:sz w:val="13"/>
                          </w:rPr>
                          <w:t xml:space="preserve"> </w:t>
                        </w:r>
                        <w:r>
                          <w:rPr>
                            <w:color w:val="231F20"/>
                            <w:sz w:val="13"/>
                          </w:rPr>
                          <w:t>the</w:t>
                        </w:r>
                        <w:r>
                          <w:rPr>
                            <w:color w:val="231F20"/>
                            <w:spacing w:val="-17"/>
                            <w:sz w:val="13"/>
                          </w:rPr>
                          <w:t xml:space="preserve"> </w:t>
                        </w:r>
                        <w:r>
                          <w:rPr>
                            <w:color w:val="231F20"/>
                            <w:sz w:val="13"/>
                          </w:rPr>
                          <w:t>diaspora,</w:t>
                        </w:r>
                      </w:p>
                      <w:p w14:paraId="462824C8" w14:textId="77777777" w:rsidR="00080B77" w:rsidRDefault="00080B77">
                        <w:pPr>
                          <w:pStyle w:val="TableParagraph"/>
                          <w:spacing w:before="11" w:line="118" w:lineRule="exact"/>
                          <w:ind w:left="25"/>
                          <w:rPr>
                            <w:sz w:val="13"/>
                          </w:rPr>
                        </w:pPr>
                        <w:r>
                          <w:rPr>
                            <w:color w:val="231F20"/>
                            <w:sz w:val="13"/>
                          </w:rPr>
                          <w:t>traditional medicine practitioners, private/religious health providers</w:t>
                        </w:r>
                      </w:p>
                    </w:tc>
                    <w:tc>
                      <w:tcPr>
                        <w:tcW w:w="1490" w:type="dxa"/>
                        <w:tcBorders>
                          <w:right w:val="single" w:sz="8" w:space="0" w:color="231F20"/>
                        </w:tcBorders>
                      </w:tcPr>
                      <w:p w14:paraId="0D17F2B6" w14:textId="77777777" w:rsidR="00080B77" w:rsidRDefault="00080B77">
                        <w:pPr>
                          <w:pStyle w:val="TableParagraph"/>
                          <w:spacing w:before="74"/>
                          <w:ind w:left="26"/>
                          <w:rPr>
                            <w:sz w:val="13"/>
                          </w:rPr>
                        </w:pPr>
                        <w:r>
                          <w:rPr>
                            <w:color w:val="231F20"/>
                            <w:sz w:val="13"/>
                          </w:rPr>
                          <w:t>Lack of funds</w:t>
                        </w:r>
                      </w:p>
                    </w:tc>
                    <w:tc>
                      <w:tcPr>
                        <w:tcW w:w="1569" w:type="dxa"/>
                        <w:tcBorders>
                          <w:left w:val="single" w:sz="8" w:space="0" w:color="231F20"/>
                        </w:tcBorders>
                      </w:tcPr>
                      <w:p w14:paraId="6AC6F2BA" w14:textId="77777777" w:rsidR="00080B77" w:rsidRDefault="00080B77">
                        <w:pPr>
                          <w:pStyle w:val="TableParagraph"/>
                          <w:spacing w:line="148" w:lineRule="exact"/>
                          <w:ind w:left="23"/>
                          <w:rPr>
                            <w:sz w:val="13"/>
                          </w:rPr>
                        </w:pPr>
                        <w:r>
                          <w:rPr>
                            <w:color w:val="231F20"/>
                            <w:sz w:val="13"/>
                          </w:rPr>
                          <w:t>Organize</w:t>
                        </w:r>
                        <w:r>
                          <w:rPr>
                            <w:color w:val="231F20"/>
                            <w:spacing w:val="-23"/>
                            <w:sz w:val="13"/>
                          </w:rPr>
                          <w:t xml:space="preserve"> </w:t>
                        </w:r>
                        <w:r>
                          <w:rPr>
                            <w:color w:val="231F20"/>
                            <w:sz w:val="13"/>
                          </w:rPr>
                          <w:t>Conferences</w:t>
                        </w:r>
                        <w:r>
                          <w:rPr>
                            <w:color w:val="231F20"/>
                            <w:spacing w:val="-23"/>
                            <w:sz w:val="13"/>
                          </w:rPr>
                          <w:t xml:space="preserve"> </w:t>
                        </w:r>
                        <w:r>
                          <w:rPr>
                            <w:color w:val="231F20"/>
                            <w:sz w:val="13"/>
                          </w:rPr>
                          <w:t>and</w:t>
                        </w:r>
                      </w:p>
                      <w:p w14:paraId="6D5AB5C4" w14:textId="77777777" w:rsidR="00080B77" w:rsidRDefault="00080B77">
                        <w:pPr>
                          <w:pStyle w:val="TableParagraph"/>
                          <w:spacing w:before="11" w:line="118" w:lineRule="exact"/>
                          <w:ind w:left="23"/>
                          <w:rPr>
                            <w:sz w:val="13"/>
                          </w:rPr>
                        </w:pPr>
                        <w:r>
                          <w:rPr>
                            <w:color w:val="231F20"/>
                            <w:sz w:val="13"/>
                          </w:rPr>
                          <w:t>Seminars</w:t>
                        </w:r>
                      </w:p>
                    </w:tc>
                  </w:tr>
                  <w:tr w:rsidR="00080B77" w14:paraId="44AF0402" w14:textId="77777777">
                    <w:trPr>
                      <w:trHeight w:val="701"/>
                    </w:trPr>
                    <w:tc>
                      <w:tcPr>
                        <w:tcW w:w="479" w:type="dxa"/>
                        <w:tcBorders>
                          <w:left w:val="single" w:sz="8" w:space="0" w:color="231F20"/>
                        </w:tcBorders>
                        <w:shd w:val="clear" w:color="auto" w:fill="CCE7D3"/>
                      </w:tcPr>
                      <w:p w14:paraId="1E5DB69B" w14:textId="77777777" w:rsidR="00080B77" w:rsidRDefault="00080B77">
                        <w:pPr>
                          <w:pStyle w:val="TableParagraph"/>
                          <w:rPr>
                            <w:sz w:val="12"/>
                          </w:rPr>
                        </w:pPr>
                      </w:p>
                      <w:p w14:paraId="0C331634" w14:textId="77777777" w:rsidR="00080B77" w:rsidRDefault="00080B77">
                        <w:pPr>
                          <w:pStyle w:val="TableParagraph"/>
                          <w:rPr>
                            <w:sz w:val="12"/>
                          </w:rPr>
                        </w:pPr>
                      </w:p>
                      <w:p w14:paraId="1EE77DB8" w14:textId="77777777" w:rsidR="00080B77" w:rsidRDefault="00080B77">
                        <w:pPr>
                          <w:pStyle w:val="TableParagraph"/>
                          <w:ind w:left="61"/>
                          <w:rPr>
                            <w:sz w:val="13"/>
                          </w:rPr>
                        </w:pPr>
                        <w:r>
                          <w:rPr>
                            <w:color w:val="231F20"/>
                            <w:sz w:val="13"/>
                          </w:rPr>
                          <w:t>3.1.12</w:t>
                        </w:r>
                      </w:p>
                    </w:tc>
                    <w:tc>
                      <w:tcPr>
                        <w:tcW w:w="3170" w:type="dxa"/>
                        <w:gridSpan w:val="2"/>
                        <w:shd w:val="clear" w:color="auto" w:fill="CCE7D3"/>
                      </w:tcPr>
                      <w:p w14:paraId="31CEB17E" w14:textId="77777777" w:rsidR="00080B77" w:rsidRDefault="00080B77">
                        <w:pPr>
                          <w:pStyle w:val="TableParagraph"/>
                          <w:spacing w:before="6"/>
                          <w:rPr>
                            <w:sz w:val="9"/>
                          </w:rPr>
                        </w:pPr>
                      </w:p>
                      <w:p w14:paraId="617C0AB5" w14:textId="77777777" w:rsidR="00080B77" w:rsidRDefault="00080B77">
                        <w:pPr>
                          <w:pStyle w:val="TableParagraph"/>
                          <w:spacing w:line="259" w:lineRule="auto"/>
                          <w:ind w:left="25" w:right="215" w:firstLine="34"/>
                          <w:rPr>
                            <w:sz w:val="13"/>
                          </w:rPr>
                        </w:pPr>
                        <w:r>
                          <w:rPr>
                            <w:color w:val="231F20"/>
                            <w:sz w:val="13"/>
                          </w:rPr>
                          <w:t>Leverage</w:t>
                        </w:r>
                        <w:r>
                          <w:rPr>
                            <w:color w:val="231F20"/>
                            <w:spacing w:val="-25"/>
                            <w:sz w:val="13"/>
                          </w:rPr>
                          <w:t xml:space="preserve"> </w:t>
                        </w:r>
                        <w:r>
                          <w:rPr>
                            <w:color w:val="231F20"/>
                            <w:sz w:val="13"/>
                          </w:rPr>
                          <w:t>human</w:t>
                        </w:r>
                        <w:r>
                          <w:rPr>
                            <w:color w:val="231F20"/>
                            <w:spacing w:val="-24"/>
                            <w:sz w:val="13"/>
                          </w:rPr>
                          <w:t xml:space="preserve"> </w:t>
                        </w:r>
                        <w:r>
                          <w:rPr>
                            <w:color w:val="231F20"/>
                            <w:sz w:val="13"/>
                          </w:rPr>
                          <w:t>resources</w:t>
                        </w:r>
                        <w:r>
                          <w:rPr>
                            <w:color w:val="231F20"/>
                            <w:spacing w:val="-24"/>
                            <w:sz w:val="13"/>
                          </w:rPr>
                          <w:t xml:space="preserve"> </w:t>
                        </w:r>
                        <w:r>
                          <w:rPr>
                            <w:color w:val="231F20"/>
                            <w:sz w:val="13"/>
                          </w:rPr>
                          <w:t>for</w:t>
                        </w:r>
                        <w:r>
                          <w:rPr>
                            <w:color w:val="231F20"/>
                            <w:spacing w:val="-24"/>
                            <w:sz w:val="13"/>
                          </w:rPr>
                          <w:t xml:space="preserve"> </w:t>
                        </w:r>
                        <w:r>
                          <w:rPr>
                            <w:color w:val="231F20"/>
                            <w:sz w:val="13"/>
                          </w:rPr>
                          <w:t>health</w:t>
                        </w:r>
                        <w:r>
                          <w:rPr>
                            <w:color w:val="231F20"/>
                            <w:spacing w:val="-24"/>
                            <w:sz w:val="13"/>
                          </w:rPr>
                          <w:t xml:space="preserve"> </w:t>
                        </w:r>
                        <w:r>
                          <w:rPr>
                            <w:color w:val="231F20"/>
                            <w:sz w:val="13"/>
                          </w:rPr>
                          <w:t>from</w:t>
                        </w:r>
                        <w:r>
                          <w:rPr>
                            <w:color w:val="231F20"/>
                            <w:spacing w:val="-24"/>
                            <w:sz w:val="13"/>
                          </w:rPr>
                          <w:t xml:space="preserve"> </w:t>
                        </w:r>
                        <w:r>
                          <w:rPr>
                            <w:color w:val="231F20"/>
                            <w:sz w:val="13"/>
                          </w:rPr>
                          <w:t>partners, health</w:t>
                        </w:r>
                        <w:r>
                          <w:rPr>
                            <w:color w:val="231F20"/>
                            <w:spacing w:val="-15"/>
                            <w:sz w:val="13"/>
                          </w:rPr>
                          <w:t xml:space="preserve"> </w:t>
                        </w:r>
                        <w:r>
                          <w:rPr>
                            <w:color w:val="231F20"/>
                            <w:sz w:val="13"/>
                          </w:rPr>
                          <w:t>professionals,</w:t>
                        </w:r>
                        <w:r>
                          <w:rPr>
                            <w:color w:val="231F20"/>
                            <w:spacing w:val="-15"/>
                            <w:sz w:val="13"/>
                          </w:rPr>
                          <w:t xml:space="preserve"> </w:t>
                        </w:r>
                        <w:r>
                          <w:rPr>
                            <w:color w:val="231F20"/>
                            <w:sz w:val="13"/>
                          </w:rPr>
                          <w:t>other</w:t>
                        </w:r>
                        <w:r>
                          <w:rPr>
                            <w:color w:val="231F20"/>
                            <w:spacing w:val="-15"/>
                            <w:sz w:val="13"/>
                          </w:rPr>
                          <w:t xml:space="preserve"> </w:t>
                        </w:r>
                        <w:r>
                          <w:rPr>
                            <w:color w:val="231F20"/>
                            <w:sz w:val="13"/>
                          </w:rPr>
                          <w:t>levels</w:t>
                        </w:r>
                        <w:r>
                          <w:rPr>
                            <w:color w:val="231F20"/>
                            <w:spacing w:val="-15"/>
                            <w:sz w:val="13"/>
                          </w:rPr>
                          <w:t xml:space="preserve"> </w:t>
                        </w:r>
                        <w:r>
                          <w:rPr>
                            <w:color w:val="231F20"/>
                            <w:sz w:val="13"/>
                          </w:rPr>
                          <w:t>of</w:t>
                        </w:r>
                        <w:r>
                          <w:rPr>
                            <w:color w:val="231F20"/>
                            <w:spacing w:val="-14"/>
                            <w:sz w:val="13"/>
                          </w:rPr>
                          <w:t xml:space="preserve"> </w:t>
                        </w:r>
                        <w:r>
                          <w:rPr>
                            <w:color w:val="231F20"/>
                            <w:sz w:val="13"/>
                          </w:rPr>
                          <w:t>government</w:t>
                        </w:r>
                        <w:r>
                          <w:rPr>
                            <w:color w:val="231F20"/>
                            <w:spacing w:val="6"/>
                            <w:sz w:val="13"/>
                          </w:rPr>
                          <w:t xml:space="preserve"> </w:t>
                        </w:r>
                        <w:r>
                          <w:rPr>
                            <w:color w:val="231F20"/>
                            <w:sz w:val="13"/>
                          </w:rPr>
                          <w:t>to optimize</w:t>
                        </w:r>
                        <w:r>
                          <w:rPr>
                            <w:color w:val="231F20"/>
                            <w:spacing w:val="-18"/>
                            <w:sz w:val="13"/>
                          </w:rPr>
                          <w:t xml:space="preserve"> </w:t>
                        </w:r>
                        <w:r>
                          <w:rPr>
                            <w:color w:val="231F20"/>
                            <w:sz w:val="13"/>
                          </w:rPr>
                          <w:t>resource</w:t>
                        </w:r>
                        <w:r>
                          <w:rPr>
                            <w:color w:val="231F20"/>
                            <w:spacing w:val="2"/>
                            <w:sz w:val="13"/>
                          </w:rPr>
                          <w:t xml:space="preserve"> </w:t>
                        </w:r>
                        <w:r>
                          <w:rPr>
                            <w:color w:val="231F20"/>
                            <w:sz w:val="13"/>
                          </w:rPr>
                          <w:t>use</w:t>
                        </w:r>
                        <w:r>
                          <w:rPr>
                            <w:color w:val="231F20"/>
                            <w:spacing w:val="-17"/>
                            <w:sz w:val="13"/>
                          </w:rPr>
                          <w:t xml:space="preserve"> </w:t>
                        </w:r>
                        <w:r>
                          <w:rPr>
                            <w:color w:val="231F20"/>
                            <w:sz w:val="13"/>
                          </w:rPr>
                          <w:t>and</w:t>
                        </w:r>
                        <w:r>
                          <w:rPr>
                            <w:color w:val="231F20"/>
                            <w:spacing w:val="-17"/>
                            <w:sz w:val="13"/>
                          </w:rPr>
                          <w:t xml:space="preserve"> </w:t>
                        </w:r>
                        <w:r>
                          <w:rPr>
                            <w:color w:val="231F20"/>
                            <w:sz w:val="13"/>
                          </w:rPr>
                          <w:t>improve</w:t>
                        </w:r>
                        <w:r>
                          <w:rPr>
                            <w:color w:val="231F20"/>
                            <w:spacing w:val="-17"/>
                            <w:sz w:val="13"/>
                          </w:rPr>
                          <w:t xml:space="preserve"> </w:t>
                        </w:r>
                        <w:r>
                          <w:rPr>
                            <w:color w:val="231F20"/>
                            <w:sz w:val="13"/>
                          </w:rPr>
                          <w:t>service</w:t>
                        </w:r>
                        <w:r>
                          <w:rPr>
                            <w:color w:val="231F20"/>
                            <w:spacing w:val="-17"/>
                            <w:sz w:val="13"/>
                          </w:rPr>
                          <w:t xml:space="preserve"> </w:t>
                        </w:r>
                        <w:r>
                          <w:rPr>
                            <w:color w:val="231F20"/>
                            <w:sz w:val="13"/>
                          </w:rPr>
                          <w:t>delivery</w:t>
                        </w:r>
                      </w:p>
                    </w:tc>
                    <w:tc>
                      <w:tcPr>
                        <w:tcW w:w="2488" w:type="dxa"/>
                        <w:shd w:val="clear" w:color="auto" w:fill="CCE7D3"/>
                      </w:tcPr>
                      <w:p w14:paraId="6EB3BD15" w14:textId="77777777" w:rsidR="00080B77" w:rsidRDefault="00080B77">
                        <w:pPr>
                          <w:pStyle w:val="TableParagraph"/>
                          <w:numPr>
                            <w:ilvl w:val="0"/>
                            <w:numId w:val="211"/>
                          </w:numPr>
                          <w:tabs>
                            <w:tab w:val="left" w:pos="104"/>
                          </w:tabs>
                          <w:spacing w:line="259" w:lineRule="auto"/>
                          <w:ind w:right="355" w:firstLine="0"/>
                          <w:rPr>
                            <w:sz w:val="13"/>
                          </w:rPr>
                        </w:pPr>
                        <w:r>
                          <w:rPr>
                            <w:color w:val="231F20"/>
                            <w:w w:val="95"/>
                            <w:sz w:val="13"/>
                          </w:rPr>
                          <w:t xml:space="preserve">Partnership established with </w:t>
                        </w:r>
                        <w:r>
                          <w:rPr>
                            <w:color w:val="231F20"/>
                            <w:spacing w:val="-3"/>
                            <w:w w:val="95"/>
                            <w:sz w:val="13"/>
                          </w:rPr>
                          <w:t xml:space="preserve">medical </w:t>
                        </w:r>
                        <w:r>
                          <w:rPr>
                            <w:color w:val="231F20"/>
                            <w:sz w:val="13"/>
                          </w:rPr>
                          <w:t>training institutions</w:t>
                        </w:r>
                        <w:r>
                          <w:rPr>
                            <w:color w:val="231F20"/>
                            <w:spacing w:val="-11"/>
                            <w:sz w:val="13"/>
                          </w:rPr>
                          <w:t xml:space="preserve"> </w:t>
                        </w:r>
                        <w:r>
                          <w:rPr>
                            <w:color w:val="231F20"/>
                            <w:sz w:val="13"/>
                          </w:rPr>
                          <w:t>abroad</w:t>
                        </w:r>
                      </w:p>
                      <w:p w14:paraId="0069CE16" w14:textId="77777777" w:rsidR="00080B77" w:rsidRDefault="00080B77">
                        <w:pPr>
                          <w:pStyle w:val="TableParagraph"/>
                          <w:numPr>
                            <w:ilvl w:val="0"/>
                            <w:numId w:val="211"/>
                          </w:numPr>
                          <w:tabs>
                            <w:tab w:val="left" w:pos="71"/>
                          </w:tabs>
                          <w:spacing w:line="259" w:lineRule="auto"/>
                          <w:ind w:right="192" w:firstLine="0"/>
                          <w:rPr>
                            <w:sz w:val="13"/>
                          </w:rPr>
                        </w:pPr>
                        <w:r>
                          <w:rPr>
                            <w:color w:val="231F20"/>
                            <w:sz w:val="13"/>
                          </w:rPr>
                          <w:t xml:space="preserve">Technical assistance by Development </w:t>
                        </w:r>
                        <w:r>
                          <w:rPr>
                            <w:color w:val="231F20"/>
                            <w:w w:val="95"/>
                            <w:sz w:val="13"/>
                          </w:rPr>
                          <w:t>Partners on-the-Job mentorship</w:t>
                        </w:r>
                        <w:r>
                          <w:rPr>
                            <w:color w:val="231F20"/>
                            <w:spacing w:val="12"/>
                            <w:w w:val="95"/>
                            <w:sz w:val="13"/>
                          </w:rPr>
                          <w:t xml:space="preserve"> </w:t>
                        </w:r>
                        <w:r>
                          <w:rPr>
                            <w:color w:val="231F20"/>
                            <w:spacing w:val="-3"/>
                            <w:w w:val="95"/>
                            <w:sz w:val="13"/>
                          </w:rPr>
                          <w:t>obtained</w:t>
                        </w:r>
                      </w:p>
                    </w:tc>
                    <w:tc>
                      <w:tcPr>
                        <w:tcW w:w="1490" w:type="dxa"/>
                        <w:tcBorders>
                          <w:right w:val="single" w:sz="8" w:space="0" w:color="231F20"/>
                        </w:tcBorders>
                        <w:shd w:val="clear" w:color="auto" w:fill="CCE7D3"/>
                      </w:tcPr>
                      <w:p w14:paraId="7613D46A" w14:textId="77777777" w:rsidR="00080B77" w:rsidRDefault="00080B77">
                        <w:pPr>
                          <w:pStyle w:val="TableParagraph"/>
                          <w:rPr>
                            <w:rFonts w:ascii="Times New Roman"/>
                            <w:sz w:val="12"/>
                          </w:rPr>
                        </w:pPr>
                      </w:p>
                    </w:tc>
                    <w:tc>
                      <w:tcPr>
                        <w:tcW w:w="1569" w:type="dxa"/>
                        <w:tcBorders>
                          <w:left w:val="single" w:sz="8" w:space="0" w:color="231F20"/>
                        </w:tcBorders>
                        <w:shd w:val="clear" w:color="auto" w:fill="CCE7D3"/>
                      </w:tcPr>
                      <w:p w14:paraId="71C8F013" w14:textId="77777777" w:rsidR="00080B77" w:rsidRDefault="00080B77">
                        <w:pPr>
                          <w:pStyle w:val="TableParagraph"/>
                          <w:rPr>
                            <w:rFonts w:ascii="Times New Roman"/>
                            <w:sz w:val="12"/>
                          </w:rPr>
                        </w:pPr>
                      </w:p>
                    </w:tc>
                  </w:tr>
                </w:tbl>
                <w:p w14:paraId="0939AB5A" w14:textId="77777777" w:rsidR="00080B77" w:rsidRDefault="00080B77">
                  <w:pPr>
                    <w:pStyle w:val="BodyText"/>
                  </w:pPr>
                </w:p>
              </w:txbxContent>
            </v:textbox>
            <w10:wrap anchorx="page" anchory="page"/>
          </v:shape>
        </w:pict>
      </w:r>
    </w:p>
    <w:p w14:paraId="0E19D56E" w14:textId="77777777" w:rsidR="009948F1" w:rsidRDefault="009948F1">
      <w:pPr>
        <w:pStyle w:val="BodyText"/>
        <w:rPr>
          <w:b/>
          <w:sz w:val="20"/>
        </w:rPr>
      </w:pPr>
    </w:p>
    <w:p w14:paraId="101D9409" w14:textId="77777777" w:rsidR="009948F1" w:rsidRDefault="009948F1">
      <w:pPr>
        <w:pStyle w:val="BodyText"/>
        <w:rPr>
          <w:b/>
          <w:sz w:val="20"/>
        </w:rPr>
      </w:pPr>
    </w:p>
    <w:p w14:paraId="59C4E427" w14:textId="77777777" w:rsidR="009948F1" w:rsidRDefault="009948F1">
      <w:pPr>
        <w:pStyle w:val="BodyText"/>
        <w:rPr>
          <w:b/>
          <w:sz w:val="20"/>
        </w:rPr>
      </w:pPr>
    </w:p>
    <w:p w14:paraId="71717F8F" w14:textId="77777777" w:rsidR="009948F1" w:rsidRDefault="009948F1">
      <w:pPr>
        <w:pStyle w:val="BodyText"/>
        <w:rPr>
          <w:b/>
          <w:sz w:val="20"/>
        </w:rPr>
      </w:pPr>
    </w:p>
    <w:p w14:paraId="2A379786" w14:textId="77777777" w:rsidR="009948F1" w:rsidRDefault="009948F1">
      <w:pPr>
        <w:pStyle w:val="BodyText"/>
        <w:rPr>
          <w:b/>
          <w:sz w:val="20"/>
        </w:rPr>
      </w:pPr>
    </w:p>
    <w:p w14:paraId="31BCABD9" w14:textId="77777777" w:rsidR="009948F1" w:rsidRDefault="009948F1">
      <w:pPr>
        <w:pStyle w:val="BodyText"/>
        <w:rPr>
          <w:b/>
          <w:sz w:val="20"/>
        </w:rPr>
      </w:pPr>
    </w:p>
    <w:p w14:paraId="2E197834" w14:textId="77777777" w:rsidR="009948F1" w:rsidRDefault="009948F1">
      <w:pPr>
        <w:pStyle w:val="BodyText"/>
        <w:rPr>
          <w:b/>
          <w:sz w:val="20"/>
        </w:rPr>
      </w:pPr>
    </w:p>
    <w:p w14:paraId="22252A99" w14:textId="77777777" w:rsidR="009948F1" w:rsidRDefault="009948F1">
      <w:pPr>
        <w:pStyle w:val="BodyText"/>
        <w:rPr>
          <w:b/>
          <w:sz w:val="20"/>
        </w:rPr>
      </w:pPr>
    </w:p>
    <w:p w14:paraId="06E002E8" w14:textId="77777777" w:rsidR="009948F1" w:rsidRDefault="009948F1">
      <w:pPr>
        <w:pStyle w:val="BodyText"/>
        <w:rPr>
          <w:b/>
          <w:sz w:val="20"/>
        </w:rPr>
      </w:pPr>
    </w:p>
    <w:p w14:paraId="5ADC3128" w14:textId="77777777" w:rsidR="009948F1" w:rsidRDefault="009948F1">
      <w:pPr>
        <w:pStyle w:val="BodyText"/>
        <w:rPr>
          <w:b/>
          <w:sz w:val="20"/>
        </w:rPr>
      </w:pPr>
    </w:p>
    <w:p w14:paraId="4C56B22F" w14:textId="77777777" w:rsidR="009948F1" w:rsidRDefault="009948F1">
      <w:pPr>
        <w:pStyle w:val="BodyText"/>
        <w:rPr>
          <w:b/>
          <w:sz w:val="20"/>
        </w:rPr>
      </w:pPr>
    </w:p>
    <w:p w14:paraId="34FE8912" w14:textId="77777777" w:rsidR="009948F1" w:rsidRDefault="009948F1">
      <w:pPr>
        <w:pStyle w:val="BodyText"/>
        <w:rPr>
          <w:b/>
          <w:sz w:val="20"/>
        </w:rPr>
      </w:pPr>
    </w:p>
    <w:p w14:paraId="23DD42C5" w14:textId="77777777" w:rsidR="009948F1" w:rsidRDefault="009948F1">
      <w:pPr>
        <w:pStyle w:val="BodyText"/>
        <w:rPr>
          <w:b/>
          <w:sz w:val="20"/>
        </w:rPr>
      </w:pPr>
    </w:p>
    <w:p w14:paraId="7A574120" w14:textId="77777777" w:rsidR="009948F1" w:rsidRDefault="009948F1">
      <w:pPr>
        <w:pStyle w:val="BodyText"/>
        <w:rPr>
          <w:b/>
          <w:sz w:val="20"/>
        </w:rPr>
      </w:pPr>
    </w:p>
    <w:p w14:paraId="006A665C" w14:textId="77777777" w:rsidR="009948F1" w:rsidRDefault="009948F1">
      <w:pPr>
        <w:pStyle w:val="BodyText"/>
        <w:rPr>
          <w:b/>
          <w:sz w:val="20"/>
        </w:rPr>
      </w:pPr>
    </w:p>
    <w:p w14:paraId="0CE5831C" w14:textId="77777777" w:rsidR="009948F1" w:rsidRDefault="009948F1">
      <w:pPr>
        <w:pStyle w:val="BodyText"/>
        <w:rPr>
          <w:b/>
          <w:sz w:val="20"/>
        </w:rPr>
      </w:pPr>
    </w:p>
    <w:p w14:paraId="5BE378AD" w14:textId="77777777" w:rsidR="009948F1" w:rsidRDefault="009948F1">
      <w:pPr>
        <w:pStyle w:val="BodyText"/>
        <w:rPr>
          <w:b/>
          <w:sz w:val="20"/>
        </w:rPr>
      </w:pPr>
    </w:p>
    <w:p w14:paraId="40997055" w14:textId="77777777" w:rsidR="009948F1" w:rsidRDefault="009948F1">
      <w:pPr>
        <w:pStyle w:val="BodyText"/>
        <w:rPr>
          <w:b/>
          <w:sz w:val="20"/>
        </w:rPr>
      </w:pPr>
    </w:p>
    <w:p w14:paraId="59774930" w14:textId="77777777" w:rsidR="009948F1" w:rsidRDefault="009948F1">
      <w:pPr>
        <w:pStyle w:val="BodyText"/>
        <w:rPr>
          <w:b/>
          <w:sz w:val="20"/>
        </w:rPr>
      </w:pPr>
    </w:p>
    <w:p w14:paraId="503FAE3F" w14:textId="77777777" w:rsidR="009948F1" w:rsidRDefault="009948F1">
      <w:pPr>
        <w:pStyle w:val="BodyText"/>
        <w:rPr>
          <w:b/>
          <w:sz w:val="20"/>
        </w:rPr>
      </w:pPr>
    </w:p>
    <w:p w14:paraId="360C91BC" w14:textId="77777777" w:rsidR="009948F1" w:rsidRDefault="009948F1">
      <w:pPr>
        <w:pStyle w:val="BodyText"/>
        <w:rPr>
          <w:b/>
          <w:sz w:val="20"/>
        </w:rPr>
      </w:pPr>
    </w:p>
    <w:p w14:paraId="1B3FB3E3" w14:textId="77777777" w:rsidR="009948F1" w:rsidRDefault="009948F1">
      <w:pPr>
        <w:pStyle w:val="BodyText"/>
        <w:rPr>
          <w:b/>
          <w:sz w:val="20"/>
        </w:rPr>
      </w:pPr>
    </w:p>
    <w:p w14:paraId="75E4D617" w14:textId="77777777" w:rsidR="009948F1" w:rsidRDefault="009948F1">
      <w:pPr>
        <w:pStyle w:val="BodyText"/>
        <w:rPr>
          <w:b/>
          <w:sz w:val="20"/>
        </w:rPr>
      </w:pPr>
    </w:p>
    <w:p w14:paraId="66F62D42" w14:textId="77777777" w:rsidR="009948F1" w:rsidRDefault="009948F1">
      <w:pPr>
        <w:pStyle w:val="BodyText"/>
        <w:rPr>
          <w:b/>
          <w:sz w:val="20"/>
        </w:rPr>
      </w:pPr>
    </w:p>
    <w:p w14:paraId="0D333564" w14:textId="77777777" w:rsidR="009948F1" w:rsidRDefault="009948F1">
      <w:pPr>
        <w:pStyle w:val="BodyText"/>
        <w:rPr>
          <w:b/>
          <w:sz w:val="20"/>
        </w:rPr>
      </w:pPr>
    </w:p>
    <w:p w14:paraId="0093ECD6" w14:textId="77777777" w:rsidR="009948F1" w:rsidRDefault="009948F1">
      <w:pPr>
        <w:pStyle w:val="BodyText"/>
        <w:rPr>
          <w:b/>
          <w:sz w:val="20"/>
        </w:rPr>
      </w:pPr>
    </w:p>
    <w:p w14:paraId="45F1875D" w14:textId="77777777" w:rsidR="009948F1" w:rsidRDefault="009948F1">
      <w:pPr>
        <w:pStyle w:val="BodyText"/>
        <w:rPr>
          <w:b/>
          <w:sz w:val="20"/>
        </w:rPr>
      </w:pPr>
    </w:p>
    <w:p w14:paraId="5DE2C869" w14:textId="77777777" w:rsidR="009948F1" w:rsidRDefault="009948F1">
      <w:pPr>
        <w:pStyle w:val="BodyText"/>
        <w:rPr>
          <w:b/>
          <w:sz w:val="20"/>
        </w:rPr>
      </w:pPr>
    </w:p>
    <w:p w14:paraId="602F5057" w14:textId="77777777" w:rsidR="009948F1" w:rsidRDefault="009948F1">
      <w:pPr>
        <w:pStyle w:val="BodyText"/>
        <w:rPr>
          <w:b/>
          <w:sz w:val="20"/>
        </w:rPr>
      </w:pPr>
    </w:p>
    <w:p w14:paraId="1229FE89" w14:textId="77777777" w:rsidR="009948F1" w:rsidRDefault="009948F1">
      <w:pPr>
        <w:pStyle w:val="BodyText"/>
        <w:rPr>
          <w:b/>
          <w:sz w:val="20"/>
        </w:rPr>
      </w:pPr>
    </w:p>
    <w:p w14:paraId="70169AF1" w14:textId="77777777" w:rsidR="009948F1" w:rsidRDefault="009948F1">
      <w:pPr>
        <w:pStyle w:val="BodyText"/>
        <w:rPr>
          <w:b/>
          <w:sz w:val="20"/>
        </w:rPr>
      </w:pPr>
    </w:p>
    <w:p w14:paraId="2E431334" w14:textId="77777777" w:rsidR="009948F1" w:rsidRDefault="009948F1">
      <w:pPr>
        <w:pStyle w:val="BodyText"/>
        <w:rPr>
          <w:b/>
          <w:sz w:val="20"/>
        </w:rPr>
      </w:pPr>
    </w:p>
    <w:p w14:paraId="5E446AE9" w14:textId="77777777" w:rsidR="009948F1" w:rsidRDefault="009948F1">
      <w:pPr>
        <w:pStyle w:val="BodyText"/>
        <w:rPr>
          <w:b/>
          <w:sz w:val="20"/>
        </w:rPr>
      </w:pPr>
    </w:p>
    <w:p w14:paraId="01C64F41" w14:textId="77777777" w:rsidR="009948F1" w:rsidRDefault="009948F1">
      <w:pPr>
        <w:pStyle w:val="BodyText"/>
        <w:rPr>
          <w:b/>
          <w:sz w:val="20"/>
        </w:rPr>
      </w:pPr>
    </w:p>
    <w:p w14:paraId="2FDB2597" w14:textId="77777777" w:rsidR="009948F1" w:rsidRDefault="009948F1">
      <w:pPr>
        <w:pStyle w:val="BodyText"/>
        <w:rPr>
          <w:b/>
          <w:sz w:val="20"/>
        </w:rPr>
      </w:pPr>
    </w:p>
    <w:p w14:paraId="053DD572" w14:textId="77777777" w:rsidR="009948F1" w:rsidRDefault="009948F1">
      <w:pPr>
        <w:pStyle w:val="BodyText"/>
        <w:rPr>
          <w:b/>
          <w:sz w:val="20"/>
        </w:rPr>
      </w:pPr>
    </w:p>
    <w:p w14:paraId="30323AC0" w14:textId="77777777" w:rsidR="009948F1" w:rsidRDefault="009948F1">
      <w:pPr>
        <w:pStyle w:val="BodyText"/>
        <w:rPr>
          <w:b/>
          <w:sz w:val="20"/>
        </w:rPr>
      </w:pPr>
    </w:p>
    <w:p w14:paraId="1204A468" w14:textId="77777777" w:rsidR="009948F1" w:rsidRDefault="009948F1">
      <w:pPr>
        <w:pStyle w:val="BodyText"/>
        <w:rPr>
          <w:b/>
          <w:sz w:val="20"/>
        </w:rPr>
      </w:pPr>
    </w:p>
    <w:p w14:paraId="5723D64A" w14:textId="77777777" w:rsidR="009948F1" w:rsidRDefault="009948F1">
      <w:pPr>
        <w:pStyle w:val="BodyText"/>
        <w:rPr>
          <w:b/>
          <w:sz w:val="20"/>
        </w:rPr>
      </w:pPr>
    </w:p>
    <w:p w14:paraId="14E0AAAE" w14:textId="77777777" w:rsidR="009948F1" w:rsidRDefault="009948F1">
      <w:pPr>
        <w:pStyle w:val="BodyText"/>
        <w:rPr>
          <w:b/>
          <w:sz w:val="20"/>
        </w:rPr>
      </w:pPr>
    </w:p>
    <w:p w14:paraId="0A0087DE" w14:textId="77777777" w:rsidR="009948F1" w:rsidRDefault="009948F1">
      <w:pPr>
        <w:pStyle w:val="BodyText"/>
        <w:rPr>
          <w:b/>
          <w:sz w:val="20"/>
        </w:rPr>
      </w:pPr>
    </w:p>
    <w:p w14:paraId="5168FB08" w14:textId="77777777" w:rsidR="009948F1" w:rsidRDefault="009948F1">
      <w:pPr>
        <w:pStyle w:val="BodyText"/>
        <w:rPr>
          <w:b/>
          <w:sz w:val="20"/>
        </w:rPr>
      </w:pPr>
    </w:p>
    <w:p w14:paraId="43734244" w14:textId="77777777" w:rsidR="009948F1" w:rsidRDefault="009948F1">
      <w:pPr>
        <w:pStyle w:val="BodyText"/>
        <w:rPr>
          <w:b/>
          <w:sz w:val="20"/>
        </w:rPr>
      </w:pPr>
    </w:p>
    <w:p w14:paraId="37C1F4CF" w14:textId="77777777" w:rsidR="009948F1" w:rsidRDefault="009948F1">
      <w:pPr>
        <w:pStyle w:val="BodyText"/>
        <w:rPr>
          <w:b/>
          <w:sz w:val="20"/>
        </w:rPr>
      </w:pPr>
    </w:p>
    <w:p w14:paraId="26D97554" w14:textId="77777777" w:rsidR="009948F1" w:rsidRDefault="009948F1">
      <w:pPr>
        <w:pStyle w:val="BodyText"/>
        <w:rPr>
          <w:b/>
          <w:sz w:val="20"/>
        </w:rPr>
      </w:pPr>
    </w:p>
    <w:p w14:paraId="7F76DFF8" w14:textId="77777777" w:rsidR="009948F1" w:rsidRDefault="009948F1">
      <w:pPr>
        <w:pStyle w:val="BodyText"/>
        <w:rPr>
          <w:b/>
          <w:sz w:val="20"/>
        </w:rPr>
      </w:pPr>
    </w:p>
    <w:p w14:paraId="0E7B1FBD" w14:textId="77777777" w:rsidR="009948F1" w:rsidRDefault="009948F1">
      <w:pPr>
        <w:pStyle w:val="BodyText"/>
        <w:rPr>
          <w:b/>
          <w:sz w:val="20"/>
        </w:rPr>
      </w:pPr>
    </w:p>
    <w:p w14:paraId="247D45D7" w14:textId="77777777" w:rsidR="009948F1" w:rsidRDefault="009948F1">
      <w:pPr>
        <w:pStyle w:val="BodyText"/>
        <w:rPr>
          <w:b/>
          <w:sz w:val="20"/>
        </w:rPr>
      </w:pPr>
    </w:p>
    <w:p w14:paraId="74ED1B13" w14:textId="77777777" w:rsidR="009948F1" w:rsidRDefault="009948F1">
      <w:pPr>
        <w:pStyle w:val="BodyText"/>
        <w:rPr>
          <w:b/>
          <w:sz w:val="20"/>
        </w:rPr>
      </w:pPr>
    </w:p>
    <w:p w14:paraId="47349D2A" w14:textId="77777777" w:rsidR="009948F1" w:rsidRDefault="009948F1">
      <w:pPr>
        <w:pStyle w:val="BodyText"/>
        <w:rPr>
          <w:b/>
          <w:sz w:val="20"/>
        </w:rPr>
      </w:pPr>
    </w:p>
    <w:p w14:paraId="487E3870" w14:textId="77777777" w:rsidR="009948F1" w:rsidRDefault="009948F1">
      <w:pPr>
        <w:pStyle w:val="BodyText"/>
        <w:rPr>
          <w:b/>
          <w:sz w:val="20"/>
        </w:rPr>
      </w:pPr>
    </w:p>
    <w:p w14:paraId="2D47F4E9" w14:textId="77777777" w:rsidR="009948F1" w:rsidRDefault="009948F1">
      <w:pPr>
        <w:pStyle w:val="BodyText"/>
        <w:rPr>
          <w:b/>
          <w:sz w:val="20"/>
        </w:rPr>
      </w:pPr>
    </w:p>
    <w:p w14:paraId="3C8B486A" w14:textId="77777777" w:rsidR="009948F1" w:rsidRDefault="009948F1">
      <w:pPr>
        <w:pStyle w:val="BodyText"/>
        <w:rPr>
          <w:b/>
          <w:sz w:val="20"/>
        </w:rPr>
      </w:pPr>
    </w:p>
    <w:p w14:paraId="4665E612" w14:textId="77777777" w:rsidR="009948F1" w:rsidRDefault="009948F1">
      <w:pPr>
        <w:pStyle w:val="BodyText"/>
        <w:rPr>
          <w:b/>
          <w:sz w:val="20"/>
        </w:rPr>
      </w:pPr>
    </w:p>
    <w:p w14:paraId="4E381907" w14:textId="77777777" w:rsidR="009948F1" w:rsidRDefault="009948F1">
      <w:pPr>
        <w:pStyle w:val="BodyText"/>
        <w:rPr>
          <w:b/>
          <w:sz w:val="20"/>
        </w:rPr>
      </w:pPr>
    </w:p>
    <w:p w14:paraId="59250F3D" w14:textId="77777777" w:rsidR="009948F1" w:rsidRDefault="009948F1">
      <w:pPr>
        <w:pStyle w:val="BodyText"/>
        <w:rPr>
          <w:b/>
          <w:sz w:val="20"/>
        </w:rPr>
      </w:pPr>
    </w:p>
    <w:p w14:paraId="7DC66E00" w14:textId="77777777" w:rsidR="009948F1" w:rsidRDefault="009948F1">
      <w:pPr>
        <w:pStyle w:val="BodyText"/>
        <w:rPr>
          <w:b/>
          <w:sz w:val="12"/>
        </w:rPr>
      </w:pPr>
    </w:p>
    <w:p w14:paraId="4076E3D8" w14:textId="77777777" w:rsidR="009948F1" w:rsidRDefault="00BC0563">
      <w:pPr>
        <w:spacing w:before="72"/>
        <w:ind w:right="1854"/>
        <w:jc w:val="center"/>
        <w:rPr>
          <w:sz w:val="13"/>
        </w:rPr>
      </w:pPr>
      <w:bookmarkStart w:id="152" w:name="Page_126"/>
      <w:bookmarkEnd w:id="152"/>
      <w:r>
        <w:rPr>
          <w:color w:val="231F20"/>
          <w:w w:val="95"/>
          <w:sz w:val="13"/>
        </w:rPr>
        <w:t>•</w:t>
      </w:r>
    </w:p>
    <w:p w14:paraId="2C0FBA66" w14:textId="77777777" w:rsidR="009948F1" w:rsidRDefault="009948F1">
      <w:pPr>
        <w:jc w:val="center"/>
        <w:rPr>
          <w:sz w:val="13"/>
        </w:rPr>
        <w:sectPr w:rsidR="009948F1">
          <w:pgSz w:w="11910" w:h="16840"/>
          <w:pgMar w:top="1380" w:right="1080" w:bottom="1340" w:left="1120" w:header="0" w:footer="1155" w:gutter="0"/>
          <w:cols w:space="720"/>
        </w:sectPr>
      </w:pPr>
    </w:p>
    <w:p w14:paraId="726EA83A" w14:textId="77777777" w:rsidR="009948F1" w:rsidRDefault="00244DD0">
      <w:pPr>
        <w:pStyle w:val="BodyText"/>
        <w:rPr>
          <w:sz w:val="20"/>
        </w:rPr>
      </w:pPr>
      <w:r>
        <w:lastRenderedPageBreak/>
        <w:pict w14:anchorId="27AC0D59">
          <v:shape id="_x0000_s2056" type="#_x0000_t202" style="position:absolute;margin-left:64.3pt;margin-top:74.3pt;width:467.1pt;height:662.8pt;z-index:15747584;mso-position-horizontal-relative:page;mso-position-vertical-relative:page" filled="f" stroked="f">
            <v:textbox inset="0,0,0,0">
              <w:txbxContent>
                <w:tbl>
                  <w:tblPr>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87"/>
                    <w:gridCol w:w="2802"/>
                    <w:gridCol w:w="2660"/>
                    <w:gridCol w:w="1593"/>
                    <w:gridCol w:w="1678"/>
                  </w:tblGrid>
                  <w:tr w:rsidR="00080B77" w14:paraId="72644446" w14:textId="77777777">
                    <w:trPr>
                      <w:trHeight w:val="835"/>
                    </w:trPr>
                    <w:tc>
                      <w:tcPr>
                        <w:tcW w:w="587" w:type="dxa"/>
                        <w:tcBorders>
                          <w:left w:val="single" w:sz="6" w:space="0" w:color="231F20"/>
                          <w:right w:val="single" w:sz="6" w:space="0" w:color="231F20"/>
                        </w:tcBorders>
                      </w:tcPr>
                      <w:p w14:paraId="3FF79D3B" w14:textId="77777777" w:rsidR="00080B77" w:rsidRDefault="00080B77">
                        <w:pPr>
                          <w:pStyle w:val="TableParagraph"/>
                          <w:spacing w:before="7"/>
                          <w:rPr>
                            <w:sz w:val="26"/>
                          </w:rPr>
                        </w:pPr>
                      </w:p>
                      <w:p w14:paraId="1957B5DB" w14:textId="77777777" w:rsidR="00080B77" w:rsidRDefault="00080B77">
                        <w:pPr>
                          <w:pStyle w:val="TableParagraph"/>
                          <w:ind w:right="38"/>
                          <w:jc w:val="right"/>
                          <w:rPr>
                            <w:sz w:val="20"/>
                          </w:rPr>
                        </w:pPr>
                        <w:r>
                          <w:rPr>
                            <w:color w:val="231F20"/>
                            <w:w w:val="65"/>
                            <w:sz w:val="20"/>
                          </w:rPr>
                          <w:t>3.1.12.a</w:t>
                        </w:r>
                      </w:p>
                    </w:tc>
                    <w:tc>
                      <w:tcPr>
                        <w:tcW w:w="5462" w:type="dxa"/>
                        <w:gridSpan w:val="2"/>
                        <w:tcBorders>
                          <w:top w:val="single" w:sz="12" w:space="0" w:color="231F20"/>
                          <w:left w:val="single" w:sz="6" w:space="0" w:color="231F20"/>
                          <w:right w:val="single" w:sz="6" w:space="0" w:color="231F20"/>
                        </w:tcBorders>
                      </w:tcPr>
                      <w:p w14:paraId="54E848BB" w14:textId="77777777" w:rsidR="00080B77" w:rsidRDefault="00080B77">
                        <w:pPr>
                          <w:pStyle w:val="TableParagraph"/>
                          <w:spacing w:before="169" w:line="266" w:lineRule="auto"/>
                          <w:ind w:left="23" w:right="430"/>
                          <w:rPr>
                            <w:sz w:val="20"/>
                          </w:rPr>
                        </w:pPr>
                        <w:r>
                          <w:rPr>
                            <w:color w:val="231F20"/>
                            <w:w w:val="70"/>
                            <w:sz w:val="20"/>
                          </w:rPr>
                          <w:t>Partner</w:t>
                        </w:r>
                        <w:r>
                          <w:rPr>
                            <w:color w:val="231F20"/>
                            <w:spacing w:val="-27"/>
                            <w:w w:val="70"/>
                            <w:sz w:val="20"/>
                          </w:rPr>
                          <w:t xml:space="preserve"> </w:t>
                        </w:r>
                        <w:r>
                          <w:rPr>
                            <w:color w:val="231F20"/>
                            <w:w w:val="70"/>
                            <w:sz w:val="20"/>
                          </w:rPr>
                          <w:t>with</w:t>
                        </w:r>
                        <w:r>
                          <w:rPr>
                            <w:color w:val="231F20"/>
                            <w:spacing w:val="-26"/>
                            <w:w w:val="70"/>
                            <w:sz w:val="20"/>
                          </w:rPr>
                          <w:t xml:space="preserve"> </w:t>
                        </w:r>
                        <w:r>
                          <w:rPr>
                            <w:color w:val="231F20"/>
                            <w:w w:val="70"/>
                            <w:sz w:val="20"/>
                          </w:rPr>
                          <w:t>medical</w:t>
                        </w:r>
                        <w:r>
                          <w:rPr>
                            <w:color w:val="231F20"/>
                            <w:spacing w:val="-26"/>
                            <w:w w:val="70"/>
                            <w:sz w:val="20"/>
                          </w:rPr>
                          <w:t xml:space="preserve"> </w:t>
                        </w:r>
                        <w:r>
                          <w:rPr>
                            <w:color w:val="231F20"/>
                            <w:w w:val="70"/>
                            <w:sz w:val="20"/>
                          </w:rPr>
                          <w:t>training</w:t>
                        </w:r>
                        <w:r>
                          <w:rPr>
                            <w:color w:val="231F20"/>
                            <w:spacing w:val="-26"/>
                            <w:w w:val="70"/>
                            <w:sz w:val="20"/>
                          </w:rPr>
                          <w:t xml:space="preserve"> </w:t>
                        </w:r>
                        <w:r>
                          <w:rPr>
                            <w:color w:val="231F20"/>
                            <w:w w:val="70"/>
                            <w:sz w:val="20"/>
                          </w:rPr>
                          <w:t>institutions</w:t>
                        </w:r>
                        <w:r>
                          <w:rPr>
                            <w:color w:val="231F20"/>
                            <w:spacing w:val="-26"/>
                            <w:w w:val="70"/>
                            <w:sz w:val="20"/>
                          </w:rPr>
                          <w:t xml:space="preserve"> </w:t>
                        </w:r>
                        <w:r>
                          <w:rPr>
                            <w:color w:val="231F20"/>
                            <w:w w:val="70"/>
                            <w:sz w:val="20"/>
                          </w:rPr>
                          <w:t>abroad</w:t>
                        </w:r>
                        <w:r>
                          <w:rPr>
                            <w:color w:val="231F20"/>
                            <w:spacing w:val="-26"/>
                            <w:w w:val="70"/>
                            <w:sz w:val="20"/>
                          </w:rPr>
                          <w:t xml:space="preserve"> </w:t>
                        </w:r>
                        <w:r>
                          <w:rPr>
                            <w:color w:val="231F20"/>
                            <w:w w:val="70"/>
                            <w:sz w:val="20"/>
                          </w:rPr>
                          <w:t>or</w:t>
                        </w:r>
                        <w:r>
                          <w:rPr>
                            <w:color w:val="231F20"/>
                            <w:spacing w:val="-26"/>
                            <w:w w:val="70"/>
                            <w:sz w:val="20"/>
                          </w:rPr>
                          <w:t xml:space="preserve"> </w:t>
                        </w:r>
                        <w:r>
                          <w:rPr>
                            <w:color w:val="231F20"/>
                            <w:w w:val="70"/>
                            <w:sz w:val="20"/>
                          </w:rPr>
                          <w:t>outsource</w:t>
                        </w:r>
                        <w:r>
                          <w:rPr>
                            <w:color w:val="231F20"/>
                            <w:spacing w:val="-26"/>
                            <w:w w:val="70"/>
                            <w:sz w:val="20"/>
                          </w:rPr>
                          <w:t xml:space="preserve"> </w:t>
                        </w:r>
                        <w:r>
                          <w:rPr>
                            <w:color w:val="231F20"/>
                            <w:w w:val="70"/>
                            <w:sz w:val="20"/>
                          </w:rPr>
                          <w:t>units</w:t>
                        </w:r>
                        <w:r>
                          <w:rPr>
                            <w:color w:val="231F20"/>
                            <w:spacing w:val="-26"/>
                            <w:w w:val="70"/>
                            <w:sz w:val="20"/>
                          </w:rPr>
                          <w:t xml:space="preserve"> </w:t>
                        </w:r>
                        <w:r>
                          <w:rPr>
                            <w:color w:val="231F20"/>
                            <w:w w:val="70"/>
                            <w:sz w:val="20"/>
                          </w:rPr>
                          <w:t>where</w:t>
                        </w:r>
                        <w:r>
                          <w:rPr>
                            <w:color w:val="231F20"/>
                            <w:spacing w:val="-26"/>
                            <w:w w:val="70"/>
                            <w:sz w:val="20"/>
                          </w:rPr>
                          <w:t xml:space="preserve"> </w:t>
                        </w:r>
                        <w:r>
                          <w:rPr>
                            <w:color w:val="231F20"/>
                            <w:w w:val="70"/>
                            <w:sz w:val="20"/>
                          </w:rPr>
                          <w:t>expertise</w:t>
                        </w:r>
                        <w:r>
                          <w:rPr>
                            <w:color w:val="231F20"/>
                            <w:spacing w:val="-26"/>
                            <w:w w:val="70"/>
                            <w:sz w:val="20"/>
                          </w:rPr>
                          <w:t xml:space="preserve"> </w:t>
                        </w:r>
                        <w:r>
                          <w:rPr>
                            <w:color w:val="231F20"/>
                            <w:w w:val="70"/>
                            <w:sz w:val="20"/>
                          </w:rPr>
                          <w:t xml:space="preserve">is </w:t>
                        </w:r>
                        <w:r>
                          <w:rPr>
                            <w:color w:val="231F20"/>
                            <w:w w:val="75"/>
                            <w:sz w:val="20"/>
                          </w:rPr>
                          <w:t>lacking</w:t>
                        </w:r>
                      </w:p>
                    </w:tc>
                    <w:tc>
                      <w:tcPr>
                        <w:tcW w:w="1593" w:type="dxa"/>
                        <w:tcBorders>
                          <w:left w:val="single" w:sz="6" w:space="0" w:color="231F20"/>
                          <w:right w:val="single" w:sz="12" w:space="0" w:color="231F20"/>
                        </w:tcBorders>
                      </w:tcPr>
                      <w:p w14:paraId="6E3B1448" w14:textId="77777777" w:rsidR="00080B77" w:rsidRDefault="00080B77">
                        <w:pPr>
                          <w:pStyle w:val="TableParagraph"/>
                          <w:spacing w:before="177" w:line="266" w:lineRule="auto"/>
                          <w:ind w:left="22" w:right="563"/>
                          <w:rPr>
                            <w:sz w:val="20"/>
                          </w:rPr>
                        </w:pPr>
                        <w:r>
                          <w:rPr>
                            <w:color w:val="231F20"/>
                            <w:w w:val="70"/>
                            <w:sz w:val="20"/>
                          </w:rPr>
                          <w:t xml:space="preserve">Lack of funds &amp; </w:t>
                        </w:r>
                        <w:r>
                          <w:rPr>
                            <w:color w:val="231F20"/>
                            <w:w w:val="75"/>
                            <w:sz w:val="20"/>
                          </w:rPr>
                          <w:t>collaboration</w:t>
                        </w:r>
                      </w:p>
                    </w:tc>
                    <w:tc>
                      <w:tcPr>
                        <w:tcW w:w="1678" w:type="dxa"/>
                        <w:tcBorders>
                          <w:left w:val="single" w:sz="12" w:space="0" w:color="231F20"/>
                        </w:tcBorders>
                      </w:tcPr>
                      <w:p w14:paraId="6B861300" w14:textId="77777777" w:rsidR="00080B77" w:rsidRDefault="00080B77">
                        <w:pPr>
                          <w:pStyle w:val="TableParagraph"/>
                          <w:spacing w:before="7"/>
                          <w:rPr>
                            <w:sz w:val="26"/>
                          </w:rPr>
                        </w:pPr>
                      </w:p>
                      <w:p w14:paraId="1193E927" w14:textId="77777777" w:rsidR="00080B77" w:rsidRDefault="00080B77">
                        <w:pPr>
                          <w:pStyle w:val="TableParagraph"/>
                          <w:ind w:left="14"/>
                          <w:rPr>
                            <w:sz w:val="20"/>
                          </w:rPr>
                        </w:pPr>
                        <w:r>
                          <w:rPr>
                            <w:color w:val="231F20"/>
                            <w:w w:val="75"/>
                            <w:sz w:val="20"/>
                          </w:rPr>
                          <w:t>Costed in 3.1.1 b</w:t>
                        </w:r>
                      </w:p>
                    </w:tc>
                  </w:tr>
                  <w:tr w:rsidR="00080B77" w14:paraId="201B7805" w14:textId="77777777">
                    <w:trPr>
                      <w:trHeight w:val="883"/>
                    </w:trPr>
                    <w:tc>
                      <w:tcPr>
                        <w:tcW w:w="587" w:type="dxa"/>
                        <w:tcBorders>
                          <w:left w:val="single" w:sz="6" w:space="0" w:color="231F20"/>
                          <w:right w:val="single" w:sz="6" w:space="0" w:color="231F20"/>
                        </w:tcBorders>
                      </w:tcPr>
                      <w:p w14:paraId="0B9C19BC" w14:textId="77777777" w:rsidR="00080B77" w:rsidRDefault="00080B77">
                        <w:pPr>
                          <w:pStyle w:val="TableParagraph"/>
                          <w:spacing w:before="6"/>
                          <w:rPr>
                            <w:sz w:val="28"/>
                          </w:rPr>
                        </w:pPr>
                      </w:p>
                      <w:p w14:paraId="7E93EEC6" w14:textId="77777777" w:rsidR="00080B77" w:rsidRDefault="00080B77">
                        <w:pPr>
                          <w:pStyle w:val="TableParagraph"/>
                          <w:spacing w:before="1"/>
                          <w:ind w:right="38"/>
                          <w:jc w:val="right"/>
                          <w:rPr>
                            <w:sz w:val="20"/>
                          </w:rPr>
                        </w:pPr>
                        <w:r>
                          <w:rPr>
                            <w:color w:val="231F20"/>
                            <w:w w:val="65"/>
                            <w:sz w:val="20"/>
                          </w:rPr>
                          <w:t>3.1.12.b</w:t>
                        </w:r>
                      </w:p>
                    </w:tc>
                    <w:tc>
                      <w:tcPr>
                        <w:tcW w:w="5462" w:type="dxa"/>
                        <w:gridSpan w:val="2"/>
                        <w:tcBorders>
                          <w:left w:val="single" w:sz="6" w:space="0" w:color="231F20"/>
                          <w:right w:val="single" w:sz="6" w:space="0" w:color="231F20"/>
                        </w:tcBorders>
                      </w:tcPr>
                      <w:p w14:paraId="0C3C2BF3" w14:textId="77777777" w:rsidR="00080B77" w:rsidRDefault="00080B77">
                        <w:pPr>
                          <w:pStyle w:val="TableParagraph"/>
                          <w:spacing w:before="7"/>
                          <w:rPr>
                            <w:sz w:val="16"/>
                          </w:rPr>
                        </w:pPr>
                      </w:p>
                      <w:p w14:paraId="7B6ED33A" w14:textId="77777777" w:rsidR="00080B77" w:rsidRDefault="00080B77">
                        <w:pPr>
                          <w:pStyle w:val="TableParagraph"/>
                          <w:spacing w:before="1" w:line="266" w:lineRule="auto"/>
                          <w:ind w:left="23" w:right="77" w:firstLine="36"/>
                          <w:rPr>
                            <w:sz w:val="20"/>
                          </w:rPr>
                        </w:pPr>
                        <w:r>
                          <w:rPr>
                            <w:color w:val="231F20"/>
                            <w:w w:val="65"/>
                            <w:sz w:val="20"/>
                          </w:rPr>
                          <w:t xml:space="preserve">Secure technical assistance by Development Partners to provide on-the-Job mentorship for </w:t>
                        </w:r>
                        <w:r>
                          <w:rPr>
                            <w:color w:val="231F20"/>
                            <w:w w:val="75"/>
                            <w:sz w:val="20"/>
                          </w:rPr>
                          <w:t>public officers in the health sector</w:t>
                        </w:r>
                      </w:p>
                    </w:tc>
                    <w:tc>
                      <w:tcPr>
                        <w:tcW w:w="1593" w:type="dxa"/>
                        <w:tcBorders>
                          <w:left w:val="single" w:sz="6" w:space="0" w:color="231F20"/>
                          <w:right w:val="single" w:sz="12" w:space="0" w:color="231F20"/>
                        </w:tcBorders>
                      </w:tcPr>
                      <w:p w14:paraId="65AA62FC" w14:textId="77777777" w:rsidR="00080B77" w:rsidRDefault="00080B77">
                        <w:pPr>
                          <w:pStyle w:val="TableParagraph"/>
                          <w:spacing w:before="4"/>
                          <w:rPr>
                            <w:sz w:val="17"/>
                          </w:rPr>
                        </w:pPr>
                      </w:p>
                      <w:p w14:paraId="54A454C2" w14:textId="77777777" w:rsidR="00080B77" w:rsidRDefault="00080B77">
                        <w:pPr>
                          <w:pStyle w:val="TableParagraph"/>
                          <w:spacing w:line="266" w:lineRule="auto"/>
                          <w:ind w:left="22" w:right="563"/>
                          <w:rPr>
                            <w:sz w:val="20"/>
                          </w:rPr>
                        </w:pPr>
                        <w:r>
                          <w:rPr>
                            <w:color w:val="231F20"/>
                            <w:w w:val="70"/>
                            <w:sz w:val="20"/>
                          </w:rPr>
                          <w:t xml:space="preserve">Lack of funds &amp; </w:t>
                        </w:r>
                        <w:r>
                          <w:rPr>
                            <w:color w:val="231F20"/>
                            <w:w w:val="75"/>
                            <w:sz w:val="20"/>
                          </w:rPr>
                          <w:t>collaboration</w:t>
                        </w:r>
                      </w:p>
                    </w:tc>
                    <w:tc>
                      <w:tcPr>
                        <w:tcW w:w="1678" w:type="dxa"/>
                        <w:tcBorders>
                          <w:left w:val="single" w:sz="12" w:space="0" w:color="231F20"/>
                        </w:tcBorders>
                      </w:tcPr>
                      <w:p w14:paraId="3F546FF1" w14:textId="77777777" w:rsidR="00080B77" w:rsidRDefault="00080B77">
                        <w:pPr>
                          <w:pStyle w:val="TableParagraph"/>
                          <w:spacing w:before="6"/>
                          <w:rPr>
                            <w:sz w:val="28"/>
                          </w:rPr>
                        </w:pPr>
                      </w:p>
                      <w:p w14:paraId="255745BF" w14:textId="77777777" w:rsidR="00080B77" w:rsidRDefault="00080B77">
                        <w:pPr>
                          <w:pStyle w:val="TableParagraph"/>
                          <w:spacing w:before="1"/>
                          <w:ind w:left="14"/>
                          <w:rPr>
                            <w:sz w:val="20"/>
                          </w:rPr>
                        </w:pPr>
                        <w:r>
                          <w:rPr>
                            <w:color w:val="231F20"/>
                            <w:w w:val="75"/>
                            <w:sz w:val="20"/>
                          </w:rPr>
                          <w:t>No cost</w:t>
                        </w:r>
                      </w:p>
                    </w:tc>
                  </w:tr>
                  <w:tr w:rsidR="00080B77" w14:paraId="16A23BA0" w14:textId="77777777">
                    <w:trPr>
                      <w:trHeight w:val="2089"/>
                    </w:trPr>
                    <w:tc>
                      <w:tcPr>
                        <w:tcW w:w="3389" w:type="dxa"/>
                        <w:gridSpan w:val="2"/>
                        <w:tcBorders>
                          <w:left w:val="single" w:sz="6" w:space="0" w:color="231F20"/>
                          <w:right w:val="single" w:sz="6" w:space="0" w:color="231F20"/>
                        </w:tcBorders>
                        <w:shd w:val="clear" w:color="auto" w:fill="CCE7D3"/>
                      </w:tcPr>
                      <w:p w14:paraId="58D8242B" w14:textId="77777777" w:rsidR="00080B77" w:rsidRDefault="00080B77">
                        <w:pPr>
                          <w:pStyle w:val="TableParagraph"/>
                          <w:rPr>
                            <w:sz w:val="20"/>
                          </w:rPr>
                        </w:pPr>
                      </w:p>
                      <w:p w14:paraId="76F062FB" w14:textId="77777777" w:rsidR="00080B77" w:rsidRDefault="00080B77">
                        <w:pPr>
                          <w:pStyle w:val="TableParagraph"/>
                          <w:rPr>
                            <w:sz w:val="20"/>
                          </w:rPr>
                        </w:pPr>
                      </w:p>
                      <w:p w14:paraId="7F121D75" w14:textId="77777777" w:rsidR="00080B77" w:rsidRDefault="00080B77">
                        <w:pPr>
                          <w:pStyle w:val="TableParagraph"/>
                          <w:rPr>
                            <w:sz w:val="18"/>
                          </w:rPr>
                        </w:pPr>
                      </w:p>
                      <w:p w14:paraId="75010F75" w14:textId="77777777" w:rsidR="00080B77" w:rsidRDefault="00080B77">
                        <w:pPr>
                          <w:pStyle w:val="TableParagraph"/>
                          <w:spacing w:line="266" w:lineRule="auto"/>
                          <w:ind w:left="23" w:right="95" w:firstLine="36"/>
                          <w:rPr>
                            <w:sz w:val="20"/>
                          </w:rPr>
                        </w:pPr>
                        <w:r>
                          <w:rPr>
                            <w:color w:val="231F20"/>
                            <w:w w:val="75"/>
                            <w:sz w:val="20"/>
                          </w:rPr>
                          <w:t xml:space="preserve">Promote linkages with academic institutions to </w:t>
                        </w:r>
                        <w:r>
                          <w:rPr>
                            <w:color w:val="231F20"/>
                            <w:w w:val="65"/>
                            <w:sz w:val="20"/>
                          </w:rPr>
                          <w:t xml:space="preserve">undertake research, education and monitoring through </w:t>
                        </w:r>
                        <w:r>
                          <w:rPr>
                            <w:color w:val="231F20"/>
                            <w:w w:val="75"/>
                            <w:sz w:val="20"/>
                          </w:rPr>
                          <w:t>existing networks; and</w:t>
                        </w:r>
                      </w:p>
                    </w:tc>
                    <w:tc>
                      <w:tcPr>
                        <w:tcW w:w="2660" w:type="dxa"/>
                        <w:tcBorders>
                          <w:left w:val="single" w:sz="6" w:space="0" w:color="231F20"/>
                          <w:right w:val="single" w:sz="6" w:space="0" w:color="231F20"/>
                        </w:tcBorders>
                        <w:shd w:val="clear" w:color="auto" w:fill="CCE7D3"/>
                      </w:tcPr>
                      <w:p w14:paraId="44BAE261" w14:textId="77777777" w:rsidR="00080B77" w:rsidRDefault="00080B77">
                        <w:pPr>
                          <w:pStyle w:val="TableParagraph"/>
                          <w:numPr>
                            <w:ilvl w:val="0"/>
                            <w:numId w:val="210"/>
                          </w:numPr>
                          <w:tabs>
                            <w:tab w:val="left" w:pos="107"/>
                          </w:tabs>
                          <w:spacing w:before="4" w:line="261" w:lineRule="auto"/>
                          <w:ind w:right="212" w:firstLine="0"/>
                          <w:rPr>
                            <w:sz w:val="19"/>
                          </w:rPr>
                        </w:pPr>
                        <w:r>
                          <w:rPr>
                            <w:color w:val="231F20"/>
                            <w:w w:val="80"/>
                            <w:sz w:val="19"/>
                          </w:rPr>
                          <w:t xml:space="preserve">Forum for training and research </w:t>
                        </w:r>
                        <w:r>
                          <w:rPr>
                            <w:color w:val="231F20"/>
                            <w:w w:val="70"/>
                            <w:sz w:val="19"/>
                          </w:rPr>
                          <w:t xml:space="preserve">institutions and stakeholders created </w:t>
                        </w:r>
                        <w:r>
                          <w:rPr>
                            <w:color w:val="231F20"/>
                            <w:spacing w:val="-5"/>
                            <w:w w:val="70"/>
                            <w:sz w:val="19"/>
                          </w:rPr>
                          <w:t xml:space="preserve">and </w:t>
                        </w:r>
                        <w:r>
                          <w:rPr>
                            <w:color w:val="231F20"/>
                            <w:w w:val="80"/>
                            <w:sz w:val="19"/>
                          </w:rPr>
                          <w:t>functional</w:t>
                        </w:r>
                      </w:p>
                      <w:p w14:paraId="508B8C36" w14:textId="77777777" w:rsidR="00080B77" w:rsidRDefault="00080B77">
                        <w:pPr>
                          <w:pStyle w:val="TableParagraph"/>
                          <w:numPr>
                            <w:ilvl w:val="0"/>
                            <w:numId w:val="210"/>
                          </w:numPr>
                          <w:tabs>
                            <w:tab w:val="left" w:pos="71"/>
                          </w:tabs>
                          <w:spacing w:line="261" w:lineRule="auto"/>
                          <w:ind w:right="52" w:firstLine="0"/>
                          <w:rPr>
                            <w:sz w:val="19"/>
                          </w:rPr>
                        </w:pPr>
                        <w:r>
                          <w:rPr>
                            <w:color w:val="231F20"/>
                            <w:w w:val="80"/>
                            <w:sz w:val="19"/>
                          </w:rPr>
                          <w:t xml:space="preserve">Research on Quality &amp; Inconsistent </w:t>
                        </w:r>
                        <w:r>
                          <w:rPr>
                            <w:color w:val="231F20"/>
                            <w:w w:val="70"/>
                            <w:sz w:val="19"/>
                          </w:rPr>
                          <w:t xml:space="preserve">Services Availability &amp; Challenge </w:t>
                        </w:r>
                        <w:r>
                          <w:rPr>
                            <w:color w:val="231F20"/>
                            <w:spacing w:val="-3"/>
                            <w:w w:val="70"/>
                            <w:sz w:val="19"/>
                          </w:rPr>
                          <w:t xml:space="preserve">conducted </w:t>
                        </w:r>
                        <w:r>
                          <w:rPr>
                            <w:color w:val="231F20"/>
                            <w:w w:val="80"/>
                            <w:sz w:val="19"/>
                          </w:rPr>
                          <w:t>in</w:t>
                        </w:r>
                        <w:r>
                          <w:rPr>
                            <w:color w:val="231F20"/>
                            <w:spacing w:val="-12"/>
                            <w:w w:val="80"/>
                            <w:sz w:val="19"/>
                          </w:rPr>
                          <w:t xml:space="preserve"> </w:t>
                        </w:r>
                        <w:r>
                          <w:rPr>
                            <w:color w:val="231F20"/>
                            <w:w w:val="80"/>
                            <w:sz w:val="19"/>
                          </w:rPr>
                          <w:t>collaboration</w:t>
                        </w:r>
                        <w:r>
                          <w:rPr>
                            <w:color w:val="231F20"/>
                            <w:spacing w:val="-11"/>
                            <w:w w:val="80"/>
                            <w:sz w:val="19"/>
                          </w:rPr>
                          <w:t xml:space="preserve"> </w:t>
                        </w:r>
                        <w:r>
                          <w:rPr>
                            <w:color w:val="231F20"/>
                            <w:w w:val="80"/>
                            <w:sz w:val="19"/>
                          </w:rPr>
                          <w:t>with</w:t>
                        </w:r>
                        <w:r>
                          <w:rPr>
                            <w:color w:val="231F20"/>
                            <w:spacing w:val="-11"/>
                            <w:w w:val="80"/>
                            <w:sz w:val="19"/>
                          </w:rPr>
                          <w:t xml:space="preserve"> </w:t>
                        </w:r>
                        <w:r>
                          <w:rPr>
                            <w:color w:val="231F20"/>
                            <w:w w:val="80"/>
                            <w:sz w:val="19"/>
                          </w:rPr>
                          <w:t>WB</w:t>
                        </w:r>
                      </w:p>
                      <w:p w14:paraId="148EDFD1" w14:textId="77777777" w:rsidR="00080B77" w:rsidRDefault="00080B77">
                        <w:pPr>
                          <w:pStyle w:val="TableParagraph"/>
                          <w:numPr>
                            <w:ilvl w:val="0"/>
                            <w:numId w:val="210"/>
                          </w:numPr>
                          <w:tabs>
                            <w:tab w:val="left" w:pos="107"/>
                          </w:tabs>
                          <w:ind w:left="106"/>
                          <w:rPr>
                            <w:sz w:val="19"/>
                          </w:rPr>
                        </w:pPr>
                        <w:r>
                          <w:rPr>
                            <w:color w:val="231F20"/>
                            <w:w w:val="75"/>
                            <w:sz w:val="19"/>
                          </w:rPr>
                          <w:t>Research</w:t>
                        </w:r>
                        <w:r>
                          <w:rPr>
                            <w:color w:val="231F20"/>
                            <w:spacing w:val="-27"/>
                            <w:w w:val="75"/>
                            <w:sz w:val="19"/>
                          </w:rPr>
                          <w:t xml:space="preserve"> </w:t>
                        </w:r>
                        <w:r>
                          <w:rPr>
                            <w:color w:val="231F20"/>
                            <w:w w:val="75"/>
                            <w:sz w:val="19"/>
                          </w:rPr>
                          <w:t>on</w:t>
                        </w:r>
                        <w:r>
                          <w:rPr>
                            <w:color w:val="231F20"/>
                            <w:spacing w:val="-30"/>
                            <w:w w:val="75"/>
                            <w:sz w:val="19"/>
                          </w:rPr>
                          <w:t xml:space="preserve"> </w:t>
                        </w:r>
                        <w:r>
                          <w:rPr>
                            <w:color w:val="231F20"/>
                            <w:w w:val="75"/>
                            <w:sz w:val="19"/>
                          </w:rPr>
                          <w:t>Achieving</w:t>
                        </w:r>
                        <w:r>
                          <w:rPr>
                            <w:color w:val="231F20"/>
                            <w:spacing w:val="-27"/>
                            <w:w w:val="75"/>
                            <w:sz w:val="19"/>
                          </w:rPr>
                          <w:t xml:space="preserve"> </w:t>
                        </w:r>
                        <w:r>
                          <w:rPr>
                            <w:color w:val="231F20"/>
                            <w:w w:val="75"/>
                            <w:sz w:val="19"/>
                          </w:rPr>
                          <w:t>Population-Level</w:t>
                        </w:r>
                      </w:p>
                      <w:p w14:paraId="482D137E" w14:textId="77777777" w:rsidR="00080B77" w:rsidRDefault="00080B77">
                        <w:pPr>
                          <w:pStyle w:val="TableParagraph"/>
                          <w:spacing w:before="41" w:line="196" w:lineRule="exact"/>
                          <w:ind w:left="23"/>
                          <w:rPr>
                            <w:sz w:val="19"/>
                          </w:rPr>
                        </w:pPr>
                        <w:proofErr w:type="spellStart"/>
                        <w:r>
                          <w:rPr>
                            <w:color w:val="231F20"/>
                            <w:w w:val="70"/>
                            <w:sz w:val="19"/>
                          </w:rPr>
                          <w:t>Behaviour</w:t>
                        </w:r>
                        <w:proofErr w:type="spellEnd"/>
                        <w:r>
                          <w:rPr>
                            <w:color w:val="231F20"/>
                            <w:w w:val="70"/>
                            <w:sz w:val="19"/>
                          </w:rPr>
                          <w:t xml:space="preserve"> Change conducted in </w:t>
                        </w:r>
                        <w:r>
                          <w:rPr>
                            <w:color w:val="231F20"/>
                            <w:w w:val="80"/>
                            <w:sz w:val="19"/>
                          </w:rPr>
                          <w:t>collaboration with WB</w:t>
                        </w:r>
                      </w:p>
                    </w:tc>
                    <w:tc>
                      <w:tcPr>
                        <w:tcW w:w="1593" w:type="dxa"/>
                        <w:tcBorders>
                          <w:left w:val="single" w:sz="6" w:space="0" w:color="231F20"/>
                          <w:right w:val="single" w:sz="12" w:space="0" w:color="231F20"/>
                        </w:tcBorders>
                        <w:shd w:val="clear" w:color="auto" w:fill="CCE7D3"/>
                      </w:tcPr>
                      <w:p w14:paraId="045195F4" w14:textId="77777777" w:rsidR="00080B77" w:rsidRDefault="00080B77">
                        <w:pPr>
                          <w:pStyle w:val="TableParagraph"/>
                          <w:rPr>
                            <w:rFonts w:ascii="Times New Roman"/>
                            <w:sz w:val="12"/>
                          </w:rPr>
                        </w:pPr>
                      </w:p>
                    </w:tc>
                    <w:tc>
                      <w:tcPr>
                        <w:tcW w:w="1678" w:type="dxa"/>
                        <w:tcBorders>
                          <w:left w:val="single" w:sz="12" w:space="0" w:color="231F20"/>
                        </w:tcBorders>
                        <w:shd w:val="clear" w:color="auto" w:fill="CCE7D3"/>
                      </w:tcPr>
                      <w:p w14:paraId="48F26890" w14:textId="77777777" w:rsidR="00080B77" w:rsidRDefault="00080B77">
                        <w:pPr>
                          <w:pStyle w:val="TableParagraph"/>
                          <w:rPr>
                            <w:rFonts w:ascii="Times New Roman"/>
                            <w:sz w:val="12"/>
                          </w:rPr>
                        </w:pPr>
                      </w:p>
                    </w:tc>
                  </w:tr>
                  <w:tr w:rsidR="00080B77" w14:paraId="0D6D19B7" w14:textId="77777777">
                    <w:trPr>
                      <w:trHeight w:val="945"/>
                    </w:trPr>
                    <w:tc>
                      <w:tcPr>
                        <w:tcW w:w="587" w:type="dxa"/>
                        <w:tcBorders>
                          <w:left w:val="single" w:sz="6" w:space="0" w:color="231F20"/>
                          <w:right w:val="single" w:sz="6" w:space="0" w:color="231F20"/>
                        </w:tcBorders>
                      </w:tcPr>
                      <w:p w14:paraId="68D61E66" w14:textId="77777777" w:rsidR="00080B77" w:rsidRDefault="00080B77">
                        <w:pPr>
                          <w:pStyle w:val="TableParagraph"/>
                          <w:rPr>
                            <w:sz w:val="20"/>
                          </w:rPr>
                        </w:pPr>
                      </w:p>
                      <w:p w14:paraId="79590E83" w14:textId="77777777" w:rsidR="00080B77" w:rsidRDefault="00080B77">
                        <w:pPr>
                          <w:pStyle w:val="TableParagraph"/>
                          <w:spacing w:before="130"/>
                          <w:ind w:right="38"/>
                          <w:jc w:val="right"/>
                          <w:rPr>
                            <w:sz w:val="20"/>
                          </w:rPr>
                        </w:pPr>
                        <w:r>
                          <w:rPr>
                            <w:color w:val="231F20"/>
                            <w:w w:val="65"/>
                            <w:sz w:val="20"/>
                          </w:rPr>
                          <w:t>3.1.13.a</w:t>
                        </w:r>
                      </w:p>
                    </w:tc>
                    <w:tc>
                      <w:tcPr>
                        <w:tcW w:w="5462" w:type="dxa"/>
                        <w:gridSpan w:val="2"/>
                        <w:tcBorders>
                          <w:left w:val="single" w:sz="6" w:space="0" w:color="231F20"/>
                          <w:right w:val="single" w:sz="6" w:space="0" w:color="231F20"/>
                        </w:tcBorders>
                      </w:tcPr>
                      <w:p w14:paraId="688EA129" w14:textId="3CDDE3FD" w:rsidR="00080B77" w:rsidRDefault="00080B77">
                        <w:pPr>
                          <w:pStyle w:val="TableParagraph"/>
                          <w:spacing w:before="96" w:line="266" w:lineRule="auto"/>
                          <w:ind w:left="23" w:right="77" w:firstLine="36"/>
                          <w:rPr>
                            <w:sz w:val="20"/>
                          </w:rPr>
                        </w:pPr>
                        <w:r>
                          <w:rPr>
                            <w:color w:val="231F20"/>
                            <w:w w:val="75"/>
                            <w:sz w:val="20"/>
                          </w:rPr>
                          <w:t>Create/establish</w:t>
                        </w:r>
                        <w:r>
                          <w:rPr>
                            <w:color w:val="231F20"/>
                            <w:spacing w:val="-27"/>
                            <w:w w:val="75"/>
                            <w:sz w:val="20"/>
                          </w:rPr>
                          <w:t xml:space="preserve"> </w:t>
                        </w:r>
                        <w:r>
                          <w:rPr>
                            <w:color w:val="231F20"/>
                            <w:w w:val="75"/>
                            <w:sz w:val="20"/>
                          </w:rPr>
                          <w:t>a</w:t>
                        </w:r>
                        <w:r>
                          <w:rPr>
                            <w:color w:val="231F20"/>
                            <w:spacing w:val="-27"/>
                            <w:w w:val="75"/>
                            <w:sz w:val="20"/>
                          </w:rPr>
                          <w:t xml:space="preserve"> </w:t>
                        </w:r>
                        <w:r>
                          <w:rPr>
                            <w:color w:val="231F20"/>
                            <w:w w:val="75"/>
                            <w:sz w:val="20"/>
                          </w:rPr>
                          <w:t>functional</w:t>
                        </w:r>
                        <w:r>
                          <w:rPr>
                            <w:color w:val="231F20"/>
                            <w:spacing w:val="-26"/>
                            <w:w w:val="75"/>
                            <w:sz w:val="20"/>
                          </w:rPr>
                          <w:t xml:space="preserve"> </w:t>
                        </w:r>
                        <w:r>
                          <w:rPr>
                            <w:color w:val="231F20"/>
                            <w:w w:val="75"/>
                            <w:sz w:val="20"/>
                          </w:rPr>
                          <w:t>forum</w:t>
                        </w:r>
                        <w:r>
                          <w:rPr>
                            <w:color w:val="231F20"/>
                            <w:spacing w:val="-27"/>
                            <w:w w:val="75"/>
                            <w:sz w:val="20"/>
                          </w:rPr>
                          <w:t xml:space="preserve"> </w:t>
                        </w:r>
                        <w:r>
                          <w:rPr>
                            <w:color w:val="231F20"/>
                            <w:w w:val="75"/>
                            <w:sz w:val="20"/>
                          </w:rPr>
                          <w:t>for</w:t>
                        </w:r>
                        <w:r>
                          <w:rPr>
                            <w:color w:val="231F20"/>
                            <w:spacing w:val="-26"/>
                            <w:w w:val="75"/>
                            <w:sz w:val="20"/>
                          </w:rPr>
                          <w:t xml:space="preserve"> </w:t>
                        </w:r>
                        <w:r>
                          <w:rPr>
                            <w:color w:val="231F20"/>
                            <w:w w:val="75"/>
                            <w:sz w:val="20"/>
                          </w:rPr>
                          <w:t>all</w:t>
                        </w:r>
                        <w:r>
                          <w:rPr>
                            <w:color w:val="231F20"/>
                            <w:spacing w:val="-27"/>
                            <w:w w:val="75"/>
                            <w:sz w:val="20"/>
                          </w:rPr>
                          <w:t xml:space="preserve"> </w:t>
                        </w:r>
                        <w:r>
                          <w:rPr>
                            <w:color w:val="231F20"/>
                            <w:w w:val="75"/>
                            <w:sz w:val="20"/>
                          </w:rPr>
                          <w:t>of</w:t>
                        </w:r>
                        <w:r>
                          <w:rPr>
                            <w:color w:val="231F20"/>
                            <w:spacing w:val="-27"/>
                            <w:w w:val="75"/>
                            <w:sz w:val="20"/>
                          </w:rPr>
                          <w:t xml:space="preserve"> </w:t>
                        </w:r>
                        <w:r>
                          <w:rPr>
                            <w:color w:val="231F20"/>
                            <w:w w:val="75"/>
                            <w:sz w:val="20"/>
                          </w:rPr>
                          <w:t>training</w:t>
                        </w:r>
                        <w:r>
                          <w:rPr>
                            <w:color w:val="231F20"/>
                            <w:spacing w:val="-26"/>
                            <w:w w:val="75"/>
                            <w:sz w:val="20"/>
                          </w:rPr>
                          <w:t xml:space="preserve"> </w:t>
                        </w:r>
                        <w:r>
                          <w:rPr>
                            <w:color w:val="231F20"/>
                            <w:w w:val="75"/>
                            <w:sz w:val="20"/>
                          </w:rPr>
                          <w:t>and</w:t>
                        </w:r>
                        <w:r>
                          <w:rPr>
                            <w:color w:val="231F20"/>
                            <w:spacing w:val="-27"/>
                            <w:w w:val="75"/>
                            <w:sz w:val="20"/>
                          </w:rPr>
                          <w:t xml:space="preserve"> </w:t>
                        </w:r>
                        <w:r>
                          <w:rPr>
                            <w:color w:val="231F20"/>
                            <w:w w:val="75"/>
                            <w:sz w:val="20"/>
                          </w:rPr>
                          <w:t>research</w:t>
                        </w:r>
                        <w:r>
                          <w:rPr>
                            <w:color w:val="231F20"/>
                            <w:spacing w:val="-26"/>
                            <w:w w:val="75"/>
                            <w:sz w:val="20"/>
                          </w:rPr>
                          <w:t xml:space="preserve"> </w:t>
                        </w:r>
                        <w:r>
                          <w:rPr>
                            <w:color w:val="231F20"/>
                            <w:w w:val="75"/>
                            <w:sz w:val="20"/>
                          </w:rPr>
                          <w:t>institutions</w:t>
                        </w:r>
                        <w:r>
                          <w:rPr>
                            <w:color w:val="231F20"/>
                            <w:spacing w:val="-27"/>
                            <w:w w:val="75"/>
                            <w:sz w:val="20"/>
                          </w:rPr>
                          <w:t xml:space="preserve"> </w:t>
                        </w:r>
                        <w:r>
                          <w:rPr>
                            <w:color w:val="231F20"/>
                            <w:w w:val="75"/>
                            <w:sz w:val="20"/>
                          </w:rPr>
                          <w:t xml:space="preserve">and </w:t>
                        </w:r>
                        <w:r>
                          <w:rPr>
                            <w:color w:val="231F20"/>
                            <w:w w:val="70"/>
                            <w:sz w:val="20"/>
                          </w:rPr>
                          <w:t>stakeholders</w:t>
                        </w:r>
                        <w:r>
                          <w:rPr>
                            <w:color w:val="231F20"/>
                            <w:spacing w:val="-26"/>
                            <w:w w:val="70"/>
                            <w:sz w:val="20"/>
                          </w:rPr>
                          <w:t xml:space="preserve"> </w:t>
                        </w:r>
                        <w:r>
                          <w:rPr>
                            <w:color w:val="231F20"/>
                            <w:w w:val="70"/>
                            <w:sz w:val="20"/>
                          </w:rPr>
                          <w:t>in</w:t>
                        </w:r>
                        <w:r>
                          <w:rPr>
                            <w:color w:val="231F20"/>
                            <w:spacing w:val="-26"/>
                            <w:w w:val="70"/>
                            <w:sz w:val="20"/>
                          </w:rPr>
                          <w:t xml:space="preserve"> </w:t>
                        </w:r>
                        <w:r>
                          <w:rPr>
                            <w:color w:val="231F20"/>
                            <w:w w:val="70"/>
                            <w:sz w:val="20"/>
                          </w:rPr>
                          <w:t>the</w:t>
                        </w:r>
                        <w:r>
                          <w:rPr>
                            <w:color w:val="231F20"/>
                            <w:spacing w:val="-25"/>
                            <w:w w:val="70"/>
                            <w:sz w:val="20"/>
                          </w:rPr>
                          <w:t xml:space="preserve"> </w:t>
                        </w:r>
                        <w:r>
                          <w:rPr>
                            <w:color w:val="231F20"/>
                            <w:w w:val="70"/>
                            <w:sz w:val="20"/>
                          </w:rPr>
                          <w:t>state</w:t>
                        </w:r>
                        <w:r>
                          <w:rPr>
                            <w:color w:val="231F20"/>
                            <w:spacing w:val="-26"/>
                            <w:w w:val="70"/>
                            <w:sz w:val="20"/>
                          </w:rPr>
                          <w:t xml:space="preserve"> </w:t>
                        </w:r>
                        <w:r>
                          <w:rPr>
                            <w:color w:val="231F20"/>
                            <w:w w:val="70"/>
                            <w:sz w:val="20"/>
                          </w:rPr>
                          <w:t>for</w:t>
                        </w:r>
                        <w:r>
                          <w:rPr>
                            <w:color w:val="231F20"/>
                            <w:spacing w:val="-26"/>
                            <w:w w:val="70"/>
                            <w:sz w:val="20"/>
                          </w:rPr>
                          <w:t xml:space="preserve"> </w:t>
                        </w:r>
                        <w:r>
                          <w:rPr>
                            <w:color w:val="231F20"/>
                            <w:w w:val="70"/>
                            <w:sz w:val="20"/>
                          </w:rPr>
                          <w:t>developing</w:t>
                        </w:r>
                        <w:r>
                          <w:rPr>
                            <w:color w:val="231F20"/>
                            <w:spacing w:val="-25"/>
                            <w:w w:val="70"/>
                            <w:sz w:val="20"/>
                          </w:rPr>
                          <w:t xml:space="preserve"> </w:t>
                        </w:r>
                        <w:r>
                          <w:rPr>
                            <w:color w:val="231F20"/>
                            <w:w w:val="70"/>
                            <w:sz w:val="20"/>
                          </w:rPr>
                          <w:t>a</w:t>
                        </w:r>
                        <w:r>
                          <w:rPr>
                            <w:color w:val="231F20"/>
                            <w:spacing w:val="-26"/>
                            <w:w w:val="70"/>
                            <w:sz w:val="20"/>
                          </w:rPr>
                          <w:t xml:space="preserve"> </w:t>
                        </w:r>
                        <w:r>
                          <w:rPr>
                            <w:color w:val="231F20"/>
                            <w:w w:val="70"/>
                            <w:sz w:val="20"/>
                          </w:rPr>
                          <w:t>research</w:t>
                        </w:r>
                        <w:r>
                          <w:rPr>
                            <w:color w:val="231F20"/>
                            <w:spacing w:val="-25"/>
                            <w:w w:val="70"/>
                            <w:sz w:val="20"/>
                          </w:rPr>
                          <w:t xml:space="preserve"> </w:t>
                        </w:r>
                        <w:r>
                          <w:rPr>
                            <w:color w:val="231F20"/>
                            <w:w w:val="70"/>
                            <w:sz w:val="20"/>
                          </w:rPr>
                          <w:t>and</w:t>
                        </w:r>
                        <w:r>
                          <w:rPr>
                            <w:color w:val="231F20"/>
                            <w:spacing w:val="-26"/>
                            <w:w w:val="70"/>
                            <w:sz w:val="20"/>
                          </w:rPr>
                          <w:t xml:space="preserve"> </w:t>
                        </w:r>
                        <w:r>
                          <w:rPr>
                            <w:color w:val="231F20"/>
                            <w:w w:val="70"/>
                            <w:sz w:val="20"/>
                          </w:rPr>
                          <w:t>implementing</w:t>
                        </w:r>
                        <w:r>
                          <w:rPr>
                            <w:color w:val="231F20"/>
                            <w:spacing w:val="-26"/>
                            <w:w w:val="70"/>
                            <w:sz w:val="20"/>
                          </w:rPr>
                          <w:t xml:space="preserve"> </w:t>
                        </w:r>
                        <w:r>
                          <w:rPr>
                            <w:color w:val="231F20"/>
                            <w:w w:val="70"/>
                            <w:sz w:val="20"/>
                          </w:rPr>
                          <w:t>training</w:t>
                        </w:r>
                        <w:r>
                          <w:rPr>
                            <w:color w:val="231F20"/>
                            <w:spacing w:val="-25"/>
                            <w:w w:val="70"/>
                            <w:sz w:val="20"/>
                          </w:rPr>
                          <w:t xml:space="preserve"> </w:t>
                        </w:r>
                        <w:r>
                          <w:rPr>
                            <w:color w:val="231F20"/>
                            <w:w w:val="70"/>
                            <w:sz w:val="20"/>
                          </w:rPr>
                          <w:t>and</w:t>
                        </w:r>
                        <w:r>
                          <w:rPr>
                            <w:color w:val="231F20"/>
                            <w:spacing w:val="-26"/>
                            <w:w w:val="70"/>
                            <w:sz w:val="20"/>
                          </w:rPr>
                          <w:t xml:space="preserve"> </w:t>
                        </w:r>
                        <w:r>
                          <w:rPr>
                            <w:color w:val="231F20"/>
                            <w:w w:val="70"/>
                            <w:sz w:val="20"/>
                          </w:rPr>
                          <w:t xml:space="preserve">research </w:t>
                        </w:r>
                        <w:r>
                          <w:rPr>
                            <w:color w:val="231F20"/>
                            <w:w w:val="75"/>
                            <w:sz w:val="20"/>
                          </w:rPr>
                          <w:t>linkage</w:t>
                        </w:r>
                        <w:r>
                          <w:rPr>
                            <w:color w:val="231F20"/>
                            <w:spacing w:val="-8"/>
                            <w:w w:val="75"/>
                            <w:sz w:val="20"/>
                          </w:rPr>
                          <w:t xml:space="preserve"> </w:t>
                        </w:r>
                        <w:r>
                          <w:rPr>
                            <w:color w:val="231F20"/>
                            <w:w w:val="75"/>
                            <w:sz w:val="20"/>
                          </w:rPr>
                          <w:t>interventions/activities</w:t>
                        </w:r>
                      </w:p>
                    </w:tc>
                    <w:tc>
                      <w:tcPr>
                        <w:tcW w:w="1593" w:type="dxa"/>
                        <w:tcBorders>
                          <w:left w:val="single" w:sz="6" w:space="0" w:color="231F20"/>
                          <w:right w:val="single" w:sz="12" w:space="0" w:color="231F20"/>
                        </w:tcBorders>
                      </w:tcPr>
                      <w:p w14:paraId="42C99F8D" w14:textId="77777777" w:rsidR="00080B77" w:rsidRDefault="00080B77">
                        <w:pPr>
                          <w:pStyle w:val="TableParagraph"/>
                          <w:spacing w:before="1"/>
                          <w:rPr>
                            <w:sz w:val="20"/>
                          </w:rPr>
                        </w:pPr>
                      </w:p>
                      <w:p w14:paraId="4BFAAF27" w14:textId="77777777" w:rsidR="00080B77" w:rsidRDefault="00080B77">
                        <w:pPr>
                          <w:pStyle w:val="TableParagraph"/>
                          <w:spacing w:line="266" w:lineRule="auto"/>
                          <w:ind w:left="22" w:right="563"/>
                          <w:rPr>
                            <w:sz w:val="20"/>
                          </w:rPr>
                        </w:pPr>
                        <w:r>
                          <w:rPr>
                            <w:color w:val="231F20"/>
                            <w:w w:val="70"/>
                            <w:sz w:val="20"/>
                          </w:rPr>
                          <w:t xml:space="preserve">Lack of funds &amp; </w:t>
                        </w:r>
                        <w:r>
                          <w:rPr>
                            <w:color w:val="231F20"/>
                            <w:w w:val="75"/>
                            <w:sz w:val="20"/>
                          </w:rPr>
                          <w:t>collaboration</w:t>
                        </w:r>
                      </w:p>
                    </w:tc>
                    <w:tc>
                      <w:tcPr>
                        <w:tcW w:w="1678" w:type="dxa"/>
                        <w:tcBorders>
                          <w:left w:val="single" w:sz="12" w:space="0" w:color="231F20"/>
                        </w:tcBorders>
                      </w:tcPr>
                      <w:p w14:paraId="6B1E3738" w14:textId="77777777" w:rsidR="00080B77" w:rsidRDefault="00080B77">
                        <w:pPr>
                          <w:pStyle w:val="TableParagraph"/>
                          <w:spacing w:before="1"/>
                          <w:rPr>
                            <w:sz w:val="20"/>
                          </w:rPr>
                        </w:pPr>
                      </w:p>
                      <w:p w14:paraId="01394733" w14:textId="77777777" w:rsidR="00080B77" w:rsidRDefault="00080B77">
                        <w:pPr>
                          <w:pStyle w:val="TableParagraph"/>
                          <w:spacing w:line="266" w:lineRule="auto"/>
                          <w:ind w:left="14" w:right="451"/>
                          <w:rPr>
                            <w:sz w:val="20"/>
                          </w:rPr>
                        </w:pPr>
                        <w:r>
                          <w:rPr>
                            <w:color w:val="231F20"/>
                            <w:w w:val="65"/>
                            <w:sz w:val="20"/>
                          </w:rPr>
                          <w:t xml:space="preserve">Create/establish a </w:t>
                        </w:r>
                        <w:r>
                          <w:rPr>
                            <w:color w:val="231F20"/>
                            <w:w w:val="70"/>
                            <w:sz w:val="20"/>
                          </w:rPr>
                          <w:t>functional forum</w:t>
                        </w:r>
                      </w:p>
                    </w:tc>
                  </w:tr>
                  <w:tr w:rsidR="00080B77" w14:paraId="58E9473A" w14:textId="77777777">
                    <w:trPr>
                      <w:trHeight w:val="708"/>
                    </w:trPr>
                    <w:tc>
                      <w:tcPr>
                        <w:tcW w:w="587" w:type="dxa"/>
                        <w:tcBorders>
                          <w:left w:val="single" w:sz="6" w:space="0" w:color="231F20"/>
                          <w:right w:val="single" w:sz="6" w:space="0" w:color="231F20"/>
                        </w:tcBorders>
                      </w:tcPr>
                      <w:p w14:paraId="2D803F13" w14:textId="77777777" w:rsidR="00080B77" w:rsidRDefault="00080B77">
                        <w:pPr>
                          <w:pStyle w:val="TableParagraph"/>
                          <w:rPr>
                            <w:sz w:val="21"/>
                          </w:rPr>
                        </w:pPr>
                      </w:p>
                      <w:p w14:paraId="2C0086B8" w14:textId="77777777" w:rsidR="00080B77" w:rsidRDefault="00080B77">
                        <w:pPr>
                          <w:pStyle w:val="TableParagraph"/>
                          <w:ind w:right="38"/>
                          <w:jc w:val="right"/>
                          <w:rPr>
                            <w:sz w:val="20"/>
                          </w:rPr>
                        </w:pPr>
                        <w:r>
                          <w:rPr>
                            <w:color w:val="231F20"/>
                            <w:w w:val="65"/>
                            <w:sz w:val="20"/>
                          </w:rPr>
                          <w:t>3.1.13.b</w:t>
                        </w:r>
                      </w:p>
                    </w:tc>
                    <w:tc>
                      <w:tcPr>
                        <w:tcW w:w="5462" w:type="dxa"/>
                        <w:gridSpan w:val="2"/>
                        <w:tcBorders>
                          <w:left w:val="single" w:sz="6" w:space="0" w:color="231F20"/>
                          <w:right w:val="single" w:sz="6" w:space="0" w:color="231F20"/>
                        </w:tcBorders>
                      </w:tcPr>
                      <w:p w14:paraId="2B3D15A0" w14:textId="77777777" w:rsidR="00080B77" w:rsidRDefault="00080B77">
                        <w:pPr>
                          <w:pStyle w:val="TableParagraph"/>
                          <w:spacing w:before="104" w:line="266" w:lineRule="auto"/>
                          <w:ind w:left="23" w:right="95"/>
                          <w:rPr>
                            <w:sz w:val="20"/>
                          </w:rPr>
                        </w:pPr>
                        <w:r>
                          <w:rPr>
                            <w:color w:val="231F20"/>
                            <w:w w:val="70"/>
                            <w:sz w:val="20"/>
                          </w:rPr>
                          <w:t>Mobilize</w:t>
                        </w:r>
                        <w:r>
                          <w:rPr>
                            <w:color w:val="231F20"/>
                            <w:spacing w:val="-26"/>
                            <w:w w:val="70"/>
                            <w:sz w:val="20"/>
                          </w:rPr>
                          <w:t xml:space="preserve"> </w:t>
                        </w:r>
                        <w:r>
                          <w:rPr>
                            <w:color w:val="231F20"/>
                            <w:w w:val="70"/>
                            <w:sz w:val="20"/>
                          </w:rPr>
                          <w:t>technical</w:t>
                        </w:r>
                        <w:r>
                          <w:rPr>
                            <w:color w:val="231F20"/>
                            <w:spacing w:val="-26"/>
                            <w:w w:val="70"/>
                            <w:sz w:val="20"/>
                          </w:rPr>
                          <w:t xml:space="preserve"> </w:t>
                        </w:r>
                        <w:r>
                          <w:rPr>
                            <w:color w:val="231F20"/>
                            <w:w w:val="70"/>
                            <w:sz w:val="20"/>
                          </w:rPr>
                          <w:t>assistance</w:t>
                        </w:r>
                        <w:r>
                          <w:rPr>
                            <w:color w:val="231F20"/>
                            <w:spacing w:val="-26"/>
                            <w:w w:val="70"/>
                            <w:sz w:val="20"/>
                          </w:rPr>
                          <w:t xml:space="preserve"> </w:t>
                        </w:r>
                        <w:r>
                          <w:rPr>
                            <w:color w:val="231F20"/>
                            <w:w w:val="70"/>
                            <w:sz w:val="20"/>
                          </w:rPr>
                          <w:t>from</w:t>
                        </w:r>
                        <w:r>
                          <w:rPr>
                            <w:color w:val="231F20"/>
                            <w:spacing w:val="-26"/>
                            <w:w w:val="70"/>
                            <w:sz w:val="20"/>
                          </w:rPr>
                          <w:t xml:space="preserve"> </w:t>
                        </w:r>
                        <w:r>
                          <w:rPr>
                            <w:color w:val="231F20"/>
                            <w:w w:val="70"/>
                            <w:sz w:val="20"/>
                          </w:rPr>
                          <w:t>research</w:t>
                        </w:r>
                        <w:r>
                          <w:rPr>
                            <w:color w:val="231F20"/>
                            <w:spacing w:val="-26"/>
                            <w:w w:val="70"/>
                            <w:sz w:val="20"/>
                          </w:rPr>
                          <w:t xml:space="preserve"> </w:t>
                        </w:r>
                        <w:r>
                          <w:rPr>
                            <w:color w:val="231F20"/>
                            <w:w w:val="70"/>
                            <w:sz w:val="20"/>
                          </w:rPr>
                          <w:t>bodies</w:t>
                        </w:r>
                        <w:r>
                          <w:rPr>
                            <w:color w:val="231F20"/>
                            <w:spacing w:val="-25"/>
                            <w:w w:val="70"/>
                            <w:sz w:val="20"/>
                          </w:rPr>
                          <w:t xml:space="preserve"> </w:t>
                        </w:r>
                        <w:r>
                          <w:rPr>
                            <w:color w:val="231F20"/>
                            <w:w w:val="70"/>
                            <w:sz w:val="20"/>
                          </w:rPr>
                          <w:t>to</w:t>
                        </w:r>
                        <w:r>
                          <w:rPr>
                            <w:color w:val="231F20"/>
                            <w:spacing w:val="-26"/>
                            <w:w w:val="70"/>
                            <w:sz w:val="20"/>
                          </w:rPr>
                          <w:t xml:space="preserve"> </w:t>
                        </w:r>
                        <w:r>
                          <w:rPr>
                            <w:color w:val="231F20"/>
                            <w:w w:val="70"/>
                            <w:sz w:val="20"/>
                          </w:rPr>
                          <w:t>build</w:t>
                        </w:r>
                        <w:r>
                          <w:rPr>
                            <w:color w:val="231F20"/>
                            <w:spacing w:val="-26"/>
                            <w:w w:val="70"/>
                            <w:sz w:val="20"/>
                          </w:rPr>
                          <w:t xml:space="preserve"> </w:t>
                        </w:r>
                        <w:r>
                          <w:rPr>
                            <w:color w:val="231F20"/>
                            <w:w w:val="70"/>
                            <w:sz w:val="20"/>
                          </w:rPr>
                          <w:t>the</w:t>
                        </w:r>
                        <w:r>
                          <w:rPr>
                            <w:color w:val="231F20"/>
                            <w:spacing w:val="-26"/>
                            <w:w w:val="70"/>
                            <w:sz w:val="20"/>
                          </w:rPr>
                          <w:t xml:space="preserve"> </w:t>
                        </w:r>
                        <w:r>
                          <w:rPr>
                            <w:color w:val="231F20"/>
                            <w:w w:val="70"/>
                            <w:sz w:val="20"/>
                          </w:rPr>
                          <w:t>capacity</w:t>
                        </w:r>
                        <w:r>
                          <w:rPr>
                            <w:color w:val="231F20"/>
                            <w:spacing w:val="-26"/>
                            <w:w w:val="70"/>
                            <w:sz w:val="20"/>
                          </w:rPr>
                          <w:t xml:space="preserve"> </w:t>
                        </w:r>
                        <w:r>
                          <w:rPr>
                            <w:color w:val="231F20"/>
                            <w:w w:val="70"/>
                            <w:sz w:val="20"/>
                          </w:rPr>
                          <w:t>of</w:t>
                        </w:r>
                        <w:r>
                          <w:rPr>
                            <w:color w:val="231F20"/>
                            <w:spacing w:val="-26"/>
                            <w:w w:val="70"/>
                            <w:sz w:val="20"/>
                          </w:rPr>
                          <w:t xml:space="preserve"> </w:t>
                        </w:r>
                        <w:r>
                          <w:rPr>
                            <w:color w:val="231F20"/>
                            <w:w w:val="70"/>
                            <w:sz w:val="20"/>
                          </w:rPr>
                          <w:t>relevant</w:t>
                        </w:r>
                        <w:r>
                          <w:rPr>
                            <w:color w:val="231F20"/>
                            <w:spacing w:val="-25"/>
                            <w:w w:val="70"/>
                            <w:sz w:val="20"/>
                          </w:rPr>
                          <w:t xml:space="preserve"> </w:t>
                        </w:r>
                        <w:r>
                          <w:rPr>
                            <w:color w:val="231F20"/>
                            <w:w w:val="70"/>
                            <w:sz w:val="20"/>
                          </w:rPr>
                          <w:t xml:space="preserve">officers </w:t>
                        </w:r>
                        <w:r>
                          <w:rPr>
                            <w:color w:val="231F20"/>
                            <w:w w:val="75"/>
                            <w:sz w:val="20"/>
                          </w:rPr>
                          <w:t>in</w:t>
                        </w:r>
                        <w:r>
                          <w:rPr>
                            <w:color w:val="231F20"/>
                            <w:spacing w:val="-8"/>
                            <w:w w:val="75"/>
                            <w:sz w:val="20"/>
                          </w:rPr>
                          <w:t xml:space="preserve"> </w:t>
                        </w:r>
                        <w:r>
                          <w:rPr>
                            <w:color w:val="231F20"/>
                            <w:w w:val="75"/>
                            <w:sz w:val="20"/>
                          </w:rPr>
                          <w:t>the</w:t>
                        </w:r>
                        <w:r>
                          <w:rPr>
                            <w:color w:val="231F20"/>
                            <w:spacing w:val="-7"/>
                            <w:w w:val="75"/>
                            <w:sz w:val="20"/>
                          </w:rPr>
                          <w:t xml:space="preserve"> </w:t>
                        </w:r>
                        <w:r>
                          <w:rPr>
                            <w:color w:val="231F20"/>
                            <w:w w:val="75"/>
                            <w:sz w:val="20"/>
                          </w:rPr>
                          <w:t>state</w:t>
                        </w:r>
                        <w:r>
                          <w:rPr>
                            <w:color w:val="231F20"/>
                            <w:spacing w:val="-7"/>
                            <w:w w:val="75"/>
                            <w:sz w:val="20"/>
                          </w:rPr>
                          <w:t xml:space="preserve"> </w:t>
                        </w:r>
                        <w:r>
                          <w:rPr>
                            <w:color w:val="231F20"/>
                            <w:w w:val="75"/>
                            <w:sz w:val="20"/>
                          </w:rPr>
                          <w:t>on</w:t>
                        </w:r>
                        <w:r>
                          <w:rPr>
                            <w:color w:val="231F20"/>
                            <w:spacing w:val="-7"/>
                            <w:w w:val="75"/>
                            <w:sz w:val="20"/>
                          </w:rPr>
                          <w:t xml:space="preserve"> </w:t>
                        </w:r>
                        <w:r>
                          <w:rPr>
                            <w:color w:val="231F20"/>
                            <w:w w:val="75"/>
                            <w:sz w:val="20"/>
                          </w:rPr>
                          <w:t>health</w:t>
                        </w:r>
                        <w:r>
                          <w:rPr>
                            <w:color w:val="231F20"/>
                            <w:spacing w:val="-8"/>
                            <w:w w:val="75"/>
                            <w:sz w:val="20"/>
                          </w:rPr>
                          <w:t xml:space="preserve"> </w:t>
                        </w:r>
                        <w:r>
                          <w:rPr>
                            <w:color w:val="231F20"/>
                            <w:w w:val="75"/>
                            <w:sz w:val="20"/>
                          </w:rPr>
                          <w:t>research</w:t>
                        </w:r>
                      </w:p>
                    </w:tc>
                    <w:tc>
                      <w:tcPr>
                        <w:tcW w:w="1593" w:type="dxa"/>
                        <w:tcBorders>
                          <w:left w:val="single" w:sz="6" w:space="0" w:color="231F20"/>
                          <w:right w:val="single" w:sz="12" w:space="0" w:color="231F20"/>
                        </w:tcBorders>
                      </w:tcPr>
                      <w:p w14:paraId="617375F9" w14:textId="77777777" w:rsidR="00080B77" w:rsidRDefault="00080B77">
                        <w:pPr>
                          <w:pStyle w:val="TableParagraph"/>
                          <w:spacing w:before="113" w:line="266" w:lineRule="auto"/>
                          <w:ind w:left="22" w:right="563"/>
                          <w:rPr>
                            <w:sz w:val="20"/>
                          </w:rPr>
                        </w:pPr>
                        <w:r>
                          <w:rPr>
                            <w:color w:val="231F20"/>
                            <w:w w:val="70"/>
                            <w:sz w:val="20"/>
                          </w:rPr>
                          <w:t xml:space="preserve">Lack of funds &amp; </w:t>
                        </w:r>
                        <w:r>
                          <w:rPr>
                            <w:color w:val="231F20"/>
                            <w:w w:val="75"/>
                            <w:sz w:val="20"/>
                          </w:rPr>
                          <w:t>collaboration</w:t>
                        </w:r>
                      </w:p>
                    </w:tc>
                    <w:tc>
                      <w:tcPr>
                        <w:tcW w:w="1678" w:type="dxa"/>
                        <w:tcBorders>
                          <w:left w:val="single" w:sz="12" w:space="0" w:color="231F20"/>
                        </w:tcBorders>
                      </w:tcPr>
                      <w:p w14:paraId="2581C7A9" w14:textId="77777777" w:rsidR="00080B77" w:rsidRDefault="00080B77">
                        <w:pPr>
                          <w:pStyle w:val="TableParagraph"/>
                          <w:rPr>
                            <w:sz w:val="21"/>
                          </w:rPr>
                        </w:pPr>
                      </w:p>
                      <w:p w14:paraId="7ED5534A" w14:textId="77777777" w:rsidR="00080B77" w:rsidRDefault="00080B77">
                        <w:pPr>
                          <w:pStyle w:val="TableParagraph"/>
                          <w:ind w:left="14"/>
                          <w:rPr>
                            <w:sz w:val="20"/>
                          </w:rPr>
                        </w:pPr>
                        <w:r>
                          <w:rPr>
                            <w:color w:val="231F20"/>
                            <w:w w:val="75"/>
                            <w:sz w:val="20"/>
                          </w:rPr>
                          <w:t>Costed in 3.1.13a</w:t>
                        </w:r>
                      </w:p>
                    </w:tc>
                  </w:tr>
                  <w:tr w:rsidR="00080B77" w14:paraId="45D95148" w14:textId="77777777">
                    <w:trPr>
                      <w:trHeight w:val="694"/>
                    </w:trPr>
                    <w:tc>
                      <w:tcPr>
                        <w:tcW w:w="587" w:type="dxa"/>
                        <w:tcBorders>
                          <w:left w:val="single" w:sz="6" w:space="0" w:color="231F20"/>
                          <w:right w:val="single" w:sz="6" w:space="0" w:color="231F20"/>
                        </w:tcBorders>
                      </w:tcPr>
                      <w:p w14:paraId="085E53F7" w14:textId="77777777" w:rsidR="00080B77" w:rsidRDefault="00080B77">
                        <w:pPr>
                          <w:pStyle w:val="TableParagraph"/>
                          <w:spacing w:before="3"/>
                          <w:rPr>
                            <w:sz w:val="20"/>
                          </w:rPr>
                        </w:pPr>
                      </w:p>
                      <w:p w14:paraId="25C7E0AE" w14:textId="77777777" w:rsidR="00080B77" w:rsidRDefault="00080B77">
                        <w:pPr>
                          <w:pStyle w:val="TableParagraph"/>
                          <w:ind w:right="41"/>
                          <w:jc w:val="right"/>
                          <w:rPr>
                            <w:sz w:val="20"/>
                          </w:rPr>
                        </w:pPr>
                        <w:r>
                          <w:rPr>
                            <w:color w:val="231F20"/>
                            <w:w w:val="65"/>
                            <w:sz w:val="20"/>
                          </w:rPr>
                          <w:t>3.1.13.c</w:t>
                        </w:r>
                      </w:p>
                    </w:tc>
                    <w:tc>
                      <w:tcPr>
                        <w:tcW w:w="5462" w:type="dxa"/>
                        <w:gridSpan w:val="2"/>
                        <w:tcBorders>
                          <w:left w:val="single" w:sz="6" w:space="0" w:color="231F20"/>
                          <w:right w:val="single" w:sz="6" w:space="0" w:color="231F20"/>
                        </w:tcBorders>
                      </w:tcPr>
                      <w:p w14:paraId="000344AA" w14:textId="4BC4A7C7" w:rsidR="00080B77" w:rsidRDefault="00080B77">
                        <w:pPr>
                          <w:pStyle w:val="TableParagraph"/>
                          <w:spacing w:before="98" w:line="266" w:lineRule="auto"/>
                          <w:ind w:left="23" w:right="43"/>
                          <w:rPr>
                            <w:sz w:val="20"/>
                          </w:rPr>
                        </w:pPr>
                        <w:r>
                          <w:rPr>
                            <w:color w:val="231F20"/>
                            <w:w w:val="70"/>
                            <w:sz w:val="20"/>
                          </w:rPr>
                          <w:t xml:space="preserve">Conduct </w:t>
                        </w:r>
                        <w:r>
                          <w:rPr>
                            <w:color w:val="231F20"/>
                            <w:spacing w:val="-26"/>
                            <w:w w:val="70"/>
                            <w:sz w:val="20"/>
                          </w:rPr>
                          <w:t xml:space="preserve"> </w:t>
                        </w:r>
                        <w:r>
                          <w:rPr>
                            <w:color w:val="231F20"/>
                            <w:w w:val="70"/>
                            <w:sz w:val="20"/>
                          </w:rPr>
                          <w:t xml:space="preserve">research </w:t>
                        </w:r>
                        <w:r>
                          <w:rPr>
                            <w:color w:val="231F20"/>
                            <w:spacing w:val="-26"/>
                            <w:w w:val="70"/>
                            <w:sz w:val="20"/>
                          </w:rPr>
                          <w:t xml:space="preserve"> </w:t>
                        </w:r>
                        <w:r>
                          <w:rPr>
                            <w:color w:val="231F20"/>
                            <w:w w:val="70"/>
                            <w:sz w:val="20"/>
                          </w:rPr>
                          <w:t xml:space="preserve">on  </w:t>
                        </w:r>
                        <w:r>
                          <w:rPr>
                            <w:color w:val="231F20"/>
                            <w:spacing w:val="-26"/>
                            <w:w w:val="70"/>
                            <w:sz w:val="20"/>
                          </w:rPr>
                          <w:t xml:space="preserve"> </w:t>
                        </w:r>
                        <w:r>
                          <w:rPr>
                            <w:color w:val="231F20"/>
                            <w:w w:val="70"/>
                            <w:sz w:val="20"/>
                          </w:rPr>
                          <w:t>Quality</w:t>
                        </w:r>
                        <w:r>
                          <w:rPr>
                            <w:color w:val="231F20"/>
                            <w:spacing w:val="-26"/>
                            <w:w w:val="70"/>
                            <w:sz w:val="20"/>
                          </w:rPr>
                          <w:t xml:space="preserve"> </w:t>
                        </w:r>
                        <w:r>
                          <w:rPr>
                            <w:color w:val="231F20"/>
                            <w:w w:val="70"/>
                            <w:sz w:val="20"/>
                          </w:rPr>
                          <w:t>&amp;</w:t>
                        </w:r>
                        <w:r>
                          <w:rPr>
                            <w:color w:val="231F20"/>
                            <w:spacing w:val="-26"/>
                            <w:w w:val="70"/>
                            <w:sz w:val="20"/>
                          </w:rPr>
                          <w:t xml:space="preserve"> </w:t>
                        </w:r>
                        <w:r>
                          <w:rPr>
                            <w:color w:val="231F20"/>
                            <w:w w:val="70"/>
                            <w:sz w:val="20"/>
                          </w:rPr>
                          <w:t>Inconsistent</w:t>
                        </w:r>
                        <w:r>
                          <w:rPr>
                            <w:color w:val="231F20"/>
                            <w:spacing w:val="-26"/>
                            <w:w w:val="70"/>
                            <w:sz w:val="20"/>
                          </w:rPr>
                          <w:t xml:space="preserve"> </w:t>
                        </w:r>
                        <w:r>
                          <w:rPr>
                            <w:color w:val="231F20"/>
                            <w:w w:val="70"/>
                            <w:sz w:val="20"/>
                          </w:rPr>
                          <w:t>Services</w:t>
                        </w:r>
                        <w:r>
                          <w:rPr>
                            <w:color w:val="231F20"/>
                            <w:spacing w:val="-26"/>
                            <w:w w:val="70"/>
                            <w:sz w:val="20"/>
                          </w:rPr>
                          <w:t xml:space="preserve"> </w:t>
                        </w:r>
                        <w:r>
                          <w:rPr>
                            <w:color w:val="231F20"/>
                            <w:w w:val="70"/>
                            <w:sz w:val="20"/>
                          </w:rPr>
                          <w:t>availability</w:t>
                        </w:r>
                        <w:r>
                          <w:rPr>
                            <w:color w:val="231F20"/>
                            <w:spacing w:val="-26"/>
                            <w:w w:val="70"/>
                            <w:sz w:val="20"/>
                          </w:rPr>
                          <w:t xml:space="preserve"> </w:t>
                        </w:r>
                        <w:r>
                          <w:rPr>
                            <w:color w:val="231F20"/>
                            <w:w w:val="70"/>
                            <w:sz w:val="20"/>
                          </w:rPr>
                          <w:t>&amp;</w:t>
                        </w:r>
                        <w:r>
                          <w:rPr>
                            <w:color w:val="231F20"/>
                            <w:spacing w:val="-26"/>
                            <w:w w:val="70"/>
                            <w:sz w:val="20"/>
                          </w:rPr>
                          <w:t xml:space="preserve"> </w:t>
                        </w:r>
                        <w:r>
                          <w:rPr>
                            <w:color w:val="231F20"/>
                            <w:w w:val="70"/>
                            <w:sz w:val="20"/>
                          </w:rPr>
                          <w:t>challenge</w:t>
                        </w:r>
                        <w:r>
                          <w:rPr>
                            <w:color w:val="231F20"/>
                            <w:spacing w:val="-26"/>
                            <w:w w:val="70"/>
                            <w:sz w:val="20"/>
                          </w:rPr>
                          <w:t xml:space="preserve"> </w:t>
                        </w:r>
                        <w:r>
                          <w:rPr>
                            <w:color w:val="231F20"/>
                            <w:w w:val="70"/>
                            <w:sz w:val="20"/>
                          </w:rPr>
                          <w:t>in</w:t>
                        </w:r>
                        <w:r>
                          <w:rPr>
                            <w:color w:val="231F20"/>
                            <w:spacing w:val="-26"/>
                            <w:w w:val="70"/>
                            <w:sz w:val="20"/>
                          </w:rPr>
                          <w:t xml:space="preserve"> </w:t>
                        </w:r>
                        <w:r>
                          <w:rPr>
                            <w:color w:val="231F20"/>
                            <w:w w:val="70"/>
                            <w:sz w:val="20"/>
                          </w:rPr>
                          <w:t>Rivers</w:t>
                        </w:r>
                        <w:r>
                          <w:rPr>
                            <w:color w:val="231F20"/>
                            <w:spacing w:val="-26"/>
                            <w:w w:val="70"/>
                            <w:sz w:val="20"/>
                          </w:rPr>
                          <w:t xml:space="preserve"> </w:t>
                        </w:r>
                        <w:r>
                          <w:rPr>
                            <w:color w:val="231F20"/>
                            <w:w w:val="70"/>
                            <w:sz w:val="20"/>
                          </w:rPr>
                          <w:t xml:space="preserve">State </w:t>
                        </w:r>
                        <w:r>
                          <w:rPr>
                            <w:color w:val="231F20"/>
                            <w:w w:val="75"/>
                            <w:sz w:val="20"/>
                          </w:rPr>
                          <w:t>in</w:t>
                        </w:r>
                        <w:r>
                          <w:rPr>
                            <w:color w:val="231F20"/>
                            <w:spacing w:val="-9"/>
                            <w:w w:val="75"/>
                            <w:sz w:val="20"/>
                          </w:rPr>
                          <w:t xml:space="preserve"> </w:t>
                        </w:r>
                        <w:r>
                          <w:rPr>
                            <w:color w:val="231F20"/>
                            <w:w w:val="75"/>
                            <w:sz w:val="20"/>
                          </w:rPr>
                          <w:t>collaboration</w:t>
                        </w:r>
                        <w:r>
                          <w:rPr>
                            <w:color w:val="231F20"/>
                            <w:spacing w:val="-8"/>
                            <w:w w:val="75"/>
                            <w:sz w:val="20"/>
                          </w:rPr>
                          <w:t xml:space="preserve"> </w:t>
                        </w:r>
                        <w:r>
                          <w:rPr>
                            <w:color w:val="231F20"/>
                            <w:w w:val="75"/>
                            <w:sz w:val="20"/>
                          </w:rPr>
                          <w:t>with</w:t>
                        </w:r>
                        <w:r>
                          <w:rPr>
                            <w:color w:val="231F20"/>
                            <w:spacing w:val="-8"/>
                            <w:w w:val="75"/>
                            <w:sz w:val="20"/>
                          </w:rPr>
                          <w:t xml:space="preserve"> </w:t>
                        </w:r>
                        <w:r>
                          <w:rPr>
                            <w:color w:val="231F20"/>
                            <w:w w:val="75"/>
                            <w:sz w:val="20"/>
                          </w:rPr>
                          <w:t>World</w:t>
                        </w:r>
                        <w:r>
                          <w:rPr>
                            <w:color w:val="231F20"/>
                            <w:spacing w:val="-8"/>
                            <w:w w:val="75"/>
                            <w:sz w:val="20"/>
                          </w:rPr>
                          <w:t xml:space="preserve"> </w:t>
                        </w:r>
                        <w:r>
                          <w:rPr>
                            <w:color w:val="231F20"/>
                            <w:w w:val="75"/>
                            <w:sz w:val="20"/>
                          </w:rPr>
                          <w:t>Bank</w:t>
                        </w:r>
                        <w:r>
                          <w:rPr>
                            <w:color w:val="231F20"/>
                            <w:spacing w:val="-8"/>
                            <w:w w:val="75"/>
                            <w:sz w:val="20"/>
                          </w:rPr>
                          <w:t xml:space="preserve"> </w:t>
                        </w:r>
                        <w:r>
                          <w:rPr>
                            <w:color w:val="231F20"/>
                            <w:w w:val="75"/>
                            <w:sz w:val="20"/>
                          </w:rPr>
                          <w:t>(WB)</w:t>
                        </w:r>
                      </w:p>
                    </w:tc>
                    <w:tc>
                      <w:tcPr>
                        <w:tcW w:w="1593" w:type="dxa"/>
                        <w:tcBorders>
                          <w:left w:val="single" w:sz="6" w:space="0" w:color="231F20"/>
                          <w:right w:val="single" w:sz="12" w:space="0" w:color="231F20"/>
                        </w:tcBorders>
                      </w:tcPr>
                      <w:p w14:paraId="186DCBE2" w14:textId="77777777" w:rsidR="00080B77" w:rsidRDefault="00080B77">
                        <w:pPr>
                          <w:pStyle w:val="TableParagraph"/>
                          <w:spacing w:before="3"/>
                          <w:rPr>
                            <w:sz w:val="20"/>
                          </w:rPr>
                        </w:pPr>
                      </w:p>
                      <w:p w14:paraId="47335154" w14:textId="77777777" w:rsidR="00080B77" w:rsidRDefault="00080B77">
                        <w:pPr>
                          <w:pStyle w:val="TableParagraph"/>
                          <w:ind w:left="22"/>
                          <w:rPr>
                            <w:sz w:val="20"/>
                          </w:rPr>
                        </w:pPr>
                        <w:r>
                          <w:rPr>
                            <w:color w:val="231F20"/>
                            <w:w w:val="75"/>
                            <w:sz w:val="20"/>
                          </w:rPr>
                          <w:t>Lack of funds</w:t>
                        </w:r>
                      </w:p>
                    </w:tc>
                    <w:tc>
                      <w:tcPr>
                        <w:tcW w:w="1678" w:type="dxa"/>
                        <w:tcBorders>
                          <w:left w:val="single" w:sz="12" w:space="0" w:color="231F20"/>
                        </w:tcBorders>
                      </w:tcPr>
                      <w:p w14:paraId="16C3DBF9" w14:textId="77777777" w:rsidR="00080B77" w:rsidRDefault="00080B77">
                        <w:pPr>
                          <w:pStyle w:val="TableParagraph"/>
                          <w:spacing w:before="3"/>
                          <w:rPr>
                            <w:sz w:val="20"/>
                          </w:rPr>
                        </w:pPr>
                      </w:p>
                      <w:p w14:paraId="72DA9028" w14:textId="77777777" w:rsidR="00080B77" w:rsidRDefault="00080B77">
                        <w:pPr>
                          <w:pStyle w:val="TableParagraph"/>
                          <w:ind w:left="14"/>
                          <w:rPr>
                            <w:sz w:val="20"/>
                          </w:rPr>
                        </w:pPr>
                        <w:r>
                          <w:rPr>
                            <w:color w:val="231F20"/>
                            <w:w w:val="75"/>
                            <w:sz w:val="20"/>
                          </w:rPr>
                          <w:t>Costed in 3.1.13a</w:t>
                        </w:r>
                      </w:p>
                    </w:tc>
                  </w:tr>
                  <w:tr w:rsidR="00080B77" w14:paraId="60E6262C" w14:textId="77777777">
                    <w:trPr>
                      <w:trHeight w:val="833"/>
                    </w:trPr>
                    <w:tc>
                      <w:tcPr>
                        <w:tcW w:w="587" w:type="dxa"/>
                        <w:tcBorders>
                          <w:left w:val="single" w:sz="6" w:space="0" w:color="231F20"/>
                          <w:right w:val="single" w:sz="6" w:space="0" w:color="231F20"/>
                        </w:tcBorders>
                      </w:tcPr>
                      <w:p w14:paraId="3D100FA6" w14:textId="77777777" w:rsidR="00080B77" w:rsidRDefault="00080B77">
                        <w:pPr>
                          <w:pStyle w:val="TableParagraph"/>
                          <w:spacing w:before="4"/>
                          <w:rPr>
                            <w:sz w:val="26"/>
                          </w:rPr>
                        </w:pPr>
                      </w:p>
                      <w:p w14:paraId="2C351AA3" w14:textId="77777777" w:rsidR="00080B77" w:rsidRDefault="00080B77">
                        <w:pPr>
                          <w:pStyle w:val="TableParagraph"/>
                          <w:spacing w:before="1"/>
                          <w:ind w:right="38"/>
                          <w:jc w:val="right"/>
                          <w:rPr>
                            <w:sz w:val="20"/>
                          </w:rPr>
                        </w:pPr>
                        <w:r>
                          <w:rPr>
                            <w:color w:val="231F20"/>
                            <w:w w:val="65"/>
                            <w:sz w:val="20"/>
                          </w:rPr>
                          <w:t>3.1.13.d</w:t>
                        </w:r>
                      </w:p>
                    </w:tc>
                    <w:tc>
                      <w:tcPr>
                        <w:tcW w:w="5462" w:type="dxa"/>
                        <w:gridSpan w:val="2"/>
                        <w:tcBorders>
                          <w:left w:val="single" w:sz="6" w:space="0" w:color="231F20"/>
                          <w:right w:val="single" w:sz="6" w:space="0" w:color="231F20"/>
                        </w:tcBorders>
                      </w:tcPr>
                      <w:p w14:paraId="0C4BB60F" w14:textId="77777777" w:rsidR="00080B77" w:rsidRDefault="00080B77">
                        <w:pPr>
                          <w:pStyle w:val="TableParagraph"/>
                          <w:spacing w:before="167" w:line="266" w:lineRule="auto"/>
                          <w:ind w:left="23" w:right="100"/>
                          <w:rPr>
                            <w:sz w:val="20"/>
                          </w:rPr>
                        </w:pPr>
                        <w:r>
                          <w:rPr>
                            <w:color w:val="231F20"/>
                            <w:w w:val="65"/>
                            <w:sz w:val="20"/>
                          </w:rPr>
                          <w:t xml:space="preserve">Conduct research on Achieving Population-Level </w:t>
                        </w:r>
                        <w:proofErr w:type="spellStart"/>
                        <w:r>
                          <w:rPr>
                            <w:color w:val="231F20"/>
                            <w:w w:val="65"/>
                            <w:sz w:val="20"/>
                          </w:rPr>
                          <w:t>Behaviour</w:t>
                        </w:r>
                        <w:proofErr w:type="spellEnd"/>
                        <w:r>
                          <w:rPr>
                            <w:color w:val="231F20"/>
                            <w:w w:val="65"/>
                            <w:sz w:val="20"/>
                          </w:rPr>
                          <w:t xml:space="preserve"> Change in collaboration with </w:t>
                        </w:r>
                        <w:r>
                          <w:rPr>
                            <w:color w:val="231F20"/>
                            <w:w w:val="75"/>
                            <w:sz w:val="20"/>
                          </w:rPr>
                          <w:t>WB</w:t>
                        </w:r>
                      </w:p>
                    </w:tc>
                    <w:tc>
                      <w:tcPr>
                        <w:tcW w:w="1593" w:type="dxa"/>
                        <w:tcBorders>
                          <w:left w:val="single" w:sz="6" w:space="0" w:color="231F20"/>
                          <w:right w:val="single" w:sz="12" w:space="0" w:color="231F20"/>
                        </w:tcBorders>
                      </w:tcPr>
                      <w:p w14:paraId="4F9424EE" w14:textId="77777777" w:rsidR="00080B77" w:rsidRDefault="00080B77">
                        <w:pPr>
                          <w:pStyle w:val="TableParagraph"/>
                          <w:spacing w:before="4"/>
                          <w:rPr>
                            <w:sz w:val="26"/>
                          </w:rPr>
                        </w:pPr>
                      </w:p>
                      <w:p w14:paraId="0159A33E" w14:textId="77777777" w:rsidR="00080B77" w:rsidRDefault="00080B77">
                        <w:pPr>
                          <w:pStyle w:val="TableParagraph"/>
                          <w:spacing w:before="1"/>
                          <w:ind w:left="22"/>
                          <w:rPr>
                            <w:sz w:val="20"/>
                          </w:rPr>
                        </w:pPr>
                        <w:r>
                          <w:rPr>
                            <w:color w:val="231F20"/>
                            <w:w w:val="75"/>
                            <w:sz w:val="20"/>
                          </w:rPr>
                          <w:t>Lack of funds</w:t>
                        </w:r>
                      </w:p>
                    </w:tc>
                    <w:tc>
                      <w:tcPr>
                        <w:tcW w:w="1678" w:type="dxa"/>
                        <w:tcBorders>
                          <w:left w:val="single" w:sz="12" w:space="0" w:color="231F20"/>
                        </w:tcBorders>
                      </w:tcPr>
                      <w:p w14:paraId="66D840C3" w14:textId="77777777" w:rsidR="00080B77" w:rsidRDefault="00080B77">
                        <w:pPr>
                          <w:pStyle w:val="TableParagraph"/>
                          <w:spacing w:before="4"/>
                          <w:rPr>
                            <w:sz w:val="26"/>
                          </w:rPr>
                        </w:pPr>
                      </w:p>
                      <w:p w14:paraId="11395E5F" w14:textId="77777777" w:rsidR="00080B77" w:rsidRDefault="00080B77">
                        <w:pPr>
                          <w:pStyle w:val="TableParagraph"/>
                          <w:spacing w:before="1"/>
                          <w:ind w:left="14"/>
                          <w:rPr>
                            <w:sz w:val="20"/>
                          </w:rPr>
                        </w:pPr>
                        <w:r>
                          <w:rPr>
                            <w:color w:val="231F20"/>
                            <w:w w:val="75"/>
                            <w:sz w:val="20"/>
                          </w:rPr>
                          <w:t>Costed in 3.1.13a</w:t>
                        </w:r>
                      </w:p>
                    </w:tc>
                  </w:tr>
                  <w:tr w:rsidR="00080B77" w14:paraId="200937DA" w14:textId="77777777">
                    <w:trPr>
                      <w:trHeight w:val="1410"/>
                    </w:trPr>
                    <w:tc>
                      <w:tcPr>
                        <w:tcW w:w="3389" w:type="dxa"/>
                        <w:gridSpan w:val="2"/>
                        <w:tcBorders>
                          <w:left w:val="single" w:sz="6" w:space="0" w:color="231F20"/>
                          <w:right w:val="single" w:sz="6" w:space="0" w:color="231F20"/>
                        </w:tcBorders>
                        <w:shd w:val="clear" w:color="auto" w:fill="CCE7D3"/>
                      </w:tcPr>
                      <w:p w14:paraId="785340A5" w14:textId="77777777" w:rsidR="00080B77" w:rsidRDefault="00080B77">
                        <w:pPr>
                          <w:pStyle w:val="TableParagraph"/>
                          <w:rPr>
                            <w:sz w:val="20"/>
                          </w:rPr>
                        </w:pPr>
                      </w:p>
                      <w:p w14:paraId="2CE3F1E7" w14:textId="77777777" w:rsidR="00080B77" w:rsidRDefault="00080B77">
                        <w:pPr>
                          <w:pStyle w:val="TableParagraph"/>
                          <w:spacing w:before="7"/>
                          <w:rPr>
                            <w:sz w:val="19"/>
                          </w:rPr>
                        </w:pPr>
                      </w:p>
                      <w:p w14:paraId="3FC3FD6A" w14:textId="77777777" w:rsidR="00080B77" w:rsidRDefault="00080B77">
                        <w:pPr>
                          <w:pStyle w:val="TableParagraph"/>
                          <w:spacing w:line="266" w:lineRule="auto"/>
                          <w:ind w:left="23" w:right="95" w:firstLine="36"/>
                          <w:rPr>
                            <w:sz w:val="20"/>
                          </w:rPr>
                        </w:pPr>
                        <w:r>
                          <w:rPr>
                            <w:color w:val="231F20"/>
                            <w:w w:val="65"/>
                            <w:sz w:val="20"/>
                          </w:rPr>
                          <w:t xml:space="preserve">Promote partnerships with communities to address felt </w:t>
                        </w:r>
                        <w:r>
                          <w:rPr>
                            <w:color w:val="231F20"/>
                            <w:w w:val="75"/>
                            <w:sz w:val="20"/>
                          </w:rPr>
                          <w:t>needs of the communities</w:t>
                        </w:r>
                      </w:p>
                    </w:tc>
                    <w:tc>
                      <w:tcPr>
                        <w:tcW w:w="2660" w:type="dxa"/>
                        <w:tcBorders>
                          <w:left w:val="single" w:sz="6" w:space="0" w:color="231F20"/>
                          <w:right w:val="single" w:sz="6" w:space="0" w:color="231F20"/>
                        </w:tcBorders>
                        <w:shd w:val="clear" w:color="auto" w:fill="CCE7D3"/>
                      </w:tcPr>
                      <w:p w14:paraId="5CDDA4D2" w14:textId="77777777" w:rsidR="00080B77" w:rsidRDefault="00080B77">
                        <w:pPr>
                          <w:pStyle w:val="TableParagraph"/>
                          <w:numPr>
                            <w:ilvl w:val="0"/>
                            <w:numId w:val="209"/>
                          </w:numPr>
                          <w:tabs>
                            <w:tab w:val="left" w:pos="107"/>
                          </w:tabs>
                          <w:spacing w:before="5" w:line="266" w:lineRule="auto"/>
                          <w:ind w:right="72" w:firstLine="0"/>
                          <w:rPr>
                            <w:sz w:val="20"/>
                          </w:rPr>
                        </w:pPr>
                        <w:r>
                          <w:rPr>
                            <w:color w:val="231F20"/>
                            <w:w w:val="75"/>
                            <w:sz w:val="20"/>
                          </w:rPr>
                          <w:t xml:space="preserve">Forum for interaction between </w:t>
                        </w:r>
                        <w:r>
                          <w:rPr>
                            <w:color w:val="231F20"/>
                            <w:w w:val="65"/>
                            <w:sz w:val="20"/>
                          </w:rPr>
                          <w:t xml:space="preserve">Government, partners and the communities </w:t>
                        </w:r>
                        <w:r>
                          <w:rPr>
                            <w:color w:val="231F20"/>
                            <w:w w:val="75"/>
                            <w:sz w:val="20"/>
                          </w:rPr>
                          <w:t>established</w:t>
                        </w:r>
                      </w:p>
                      <w:p w14:paraId="3E08F9E9" w14:textId="77777777" w:rsidR="00080B77" w:rsidRDefault="00080B77">
                        <w:pPr>
                          <w:pStyle w:val="TableParagraph"/>
                          <w:numPr>
                            <w:ilvl w:val="0"/>
                            <w:numId w:val="209"/>
                          </w:numPr>
                          <w:tabs>
                            <w:tab w:val="left" w:pos="71"/>
                          </w:tabs>
                          <w:spacing w:line="266" w:lineRule="auto"/>
                          <w:ind w:right="696" w:firstLine="0"/>
                          <w:rPr>
                            <w:sz w:val="20"/>
                          </w:rPr>
                        </w:pPr>
                        <w:r>
                          <w:rPr>
                            <w:color w:val="231F20"/>
                            <w:w w:val="65"/>
                            <w:sz w:val="20"/>
                          </w:rPr>
                          <w:t xml:space="preserve">Regular collaboration with </w:t>
                        </w:r>
                        <w:r>
                          <w:rPr>
                            <w:color w:val="231F20"/>
                            <w:spacing w:val="-6"/>
                            <w:w w:val="65"/>
                            <w:sz w:val="20"/>
                          </w:rPr>
                          <w:t xml:space="preserve">WDC </w:t>
                        </w:r>
                        <w:r>
                          <w:rPr>
                            <w:color w:val="231F20"/>
                            <w:w w:val="75"/>
                            <w:sz w:val="20"/>
                          </w:rPr>
                          <w:t>established</w:t>
                        </w:r>
                      </w:p>
                    </w:tc>
                    <w:tc>
                      <w:tcPr>
                        <w:tcW w:w="1593" w:type="dxa"/>
                        <w:tcBorders>
                          <w:left w:val="single" w:sz="6" w:space="0" w:color="231F20"/>
                          <w:right w:val="single" w:sz="12" w:space="0" w:color="231F20"/>
                        </w:tcBorders>
                        <w:shd w:val="clear" w:color="auto" w:fill="CCE7D3"/>
                      </w:tcPr>
                      <w:p w14:paraId="79682F84" w14:textId="77777777" w:rsidR="00080B77" w:rsidRDefault="00080B77">
                        <w:pPr>
                          <w:pStyle w:val="TableParagraph"/>
                          <w:rPr>
                            <w:rFonts w:ascii="Times New Roman"/>
                            <w:sz w:val="12"/>
                          </w:rPr>
                        </w:pPr>
                      </w:p>
                    </w:tc>
                    <w:tc>
                      <w:tcPr>
                        <w:tcW w:w="1678" w:type="dxa"/>
                        <w:tcBorders>
                          <w:left w:val="single" w:sz="12" w:space="0" w:color="231F20"/>
                        </w:tcBorders>
                        <w:shd w:val="clear" w:color="auto" w:fill="CCE7D3"/>
                      </w:tcPr>
                      <w:p w14:paraId="2CF3CCEC" w14:textId="77777777" w:rsidR="00080B77" w:rsidRDefault="00080B77">
                        <w:pPr>
                          <w:pStyle w:val="TableParagraph"/>
                          <w:rPr>
                            <w:rFonts w:ascii="Times New Roman"/>
                            <w:sz w:val="12"/>
                          </w:rPr>
                        </w:pPr>
                      </w:p>
                    </w:tc>
                  </w:tr>
                  <w:tr w:rsidR="00080B77" w14:paraId="0C04E875" w14:textId="77777777">
                    <w:trPr>
                      <w:trHeight w:val="758"/>
                    </w:trPr>
                    <w:tc>
                      <w:tcPr>
                        <w:tcW w:w="587" w:type="dxa"/>
                        <w:tcBorders>
                          <w:left w:val="single" w:sz="6" w:space="0" w:color="231F20"/>
                          <w:right w:val="single" w:sz="6" w:space="0" w:color="231F20"/>
                        </w:tcBorders>
                      </w:tcPr>
                      <w:p w14:paraId="1CB06FED" w14:textId="77777777" w:rsidR="00080B77" w:rsidRDefault="00080B77">
                        <w:pPr>
                          <w:pStyle w:val="TableParagraph"/>
                          <w:spacing w:before="2"/>
                          <w:rPr>
                            <w:sz w:val="23"/>
                          </w:rPr>
                        </w:pPr>
                      </w:p>
                      <w:p w14:paraId="37C2A6BF" w14:textId="77777777" w:rsidR="00080B77" w:rsidRDefault="00080B77">
                        <w:pPr>
                          <w:pStyle w:val="TableParagraph"/>
                          <w:ind w:right="38"/>
                          <w:jc w:val="right"/>
                          <w:rPr>
                            <w:sz w:val="20"/>
                          </w:rPr>
                        </w:pPr>
                        <w:r>
                          <w:rPr>
                            <w:color w:val="231F20"/>
                            <w:w w:val="65"/>
                            <w:sz w:val="20"/>
                          </w:rPr>
                          <w:t>3.1.14.a</w:t>
                        </w:r>
                      </w:p>
                    </w:tc>
                    <w:tc>
                      <w:tcPr>
                        <w:tcW w:w="5462" w:type="dxa"/>
                        <w:gridSpan w:val="2"/>
                        <w:tcBorders>
                          <w:left w:val="single" w:sz="6" w:space="0" w:color="231F20"/>
                          <w:right w:val="single" w:sz="6" w:space="0" w:color="231F20"/>
                        </w:tcBorders>
                      </w:tcPr>
                      <w:p w14:paraId="4183CA73" w14:textId="77777777" w:rsidR="00080B77" w:rsidRDefault="00080B77">
                        <w:pPr>
                          <w:pStyle w:val="TableParagraph"/>
                          <w:spacing w:before="129" w:line="266" w:lineRule="auto"/>
                          <w:ind w:left="23" w:right="77"/>
                          <w:rPr>
                            <w:sz w:val="20"/>
                          </w:rPr>
                        </w:pPr>
                        <w:r>
                          <w:rPr>
                            <w:color w:val="231F20"/>
                            <w:w w:val="65"/>
                            <w:sz w:val="20"/>
                          </w:rPr>
                          <w:t xml:space="preserve">Establish and strengthen a forum for interaction between Government, partners and the </w:t>
                        </w:r>
                        <w:r>
                          <w:rPr>
                            <w:color w:val="231F20"/>
                            <w:w w:val="75"/>
                            <w:sz w:val="20"/>
                          </w:rPr>
                          <w:t>communities</w:t>
                        </w:r>
                      </w:p>
                    </w:tc>
                    <w:tc>
                      <w:tcPr>
                        <w:tcW w:w="1593" w:type="dxa"/>
                        <w:tcBorders>
                          <w:left w:val="single" w:sz="6" w:space="0" w:color="231F20"/>
                          <w:right w:val="single" w:sz="12" w:space="0" w:color="231F20"/>
                        </w:tcBorders>
                      </w:tcPr>
                      <w:p w14:paraId="77FA682E" w14:textId="77777777" w:rsidR="00080B77" w:rsidRDefault="00080B77">
                        <w:pPr>
                          <w:pStyle w:val="TableParagraph"/>
                          <w:spacing w:before="137" w:line="266" w:lineRule="auto"/>
                          <w:ind w:left="22" w:right="135"/>
                          <w:rPr>
                            <w:sz w:val="20"/>
                          </w:rPr>
                        </w:pPr>
                        <w:r>
                          <w:rPr>
                            <w:color w:val="231F20"/>
                            <w:w w:val="70"/>
                            <w:sz w:val="20"/>
                          </w:rPr>
                          <w:t xml:space="preserve">Lack of funds, Political </w:t>
                        </w:r>
                        <w:r>
                          <w:rPr>
                            <w:color w:val="231F20"/>
                            <w:w w:val="75"/>
                            <w:sz w:val="20"/>
                          </w:rPr>
                          <w:t>Will &amp; collaboration</w:t>
                        </w:r>
                      </w:p>
                    </w:tc>
                    <w:tc>
                      <w:tcPr>
                        <w:tcW w:w="1678" w:type="dxa"/>
                        <w:tcBorders>
                          <w:left w:val="single" w:sz="12" w:space="0" w:color="231F20"/>
                        </w:tcBorders>
                      </w:tcPr>
                      <w:p w14:paraId="5C7B94B6" w14:textId="77777777" w:rsidR="00080B77" w:rsidRDefault="00080B77">
                        <w:pPr>
                          <w:pStyle w:val="TableParagraph"/>
                          <w:spacing w:before="137" w:line="266" w:lineRule="auto"/>
                          <w:ind w:left="14" w:right="451"/>
                          <w:rPr>
                            <w:sz w:val="20"/>
                          </w:rPr>
                        </w:pPr>
                        <w:r>
                          <w:rPr>
                            <w:color w:val="231F20"/>
                            <w:w w:val="70"/>
                            <w:sz w:val="20"/>
                          </w:rPr>
                          <w:t xml:space="preserve">Establish forum for </w:t>
                        </w:r>
                        <w:r>
                          <w:rPr>
                            <w:color w:val="231F20"/>
                            <w:w w:val="75"/>
                            <w:sz w:val="20"/>
                          </w:rPr>
                          <w:t>interaction</w:t>
                        </w:r>
                      </w:p>
                    </w:tc>
                  </w:tr>
                  <w:tr w:rsidR="00080B77" w14:paraId="54AA6470" w14:textId="77777777">
                    <w:trPr>
                      <w:trHeight w:val="476"/>
                    </w:trPr>
                    <w:tc>
                      <w:tcPr>
                        <w:tcW w:w="587" w:type="dxa"/>
                        <w:tcBorders>
                          <w:left w:val="single" w:sz="6" w:space="0" w:color="231F20"/>
                          <w:right w:val="single" w:sz="6" w:space="0" w:color="231F20"/>
                        </w:tcBorders>
                      </w:tcPr>
                      <w:p w14:paraId="335677EB" w14:textId="77777777" w:rsidR="00080B77" w:rsidRDefault="00080B77">
                        <w:pPr>
                          <w:pStyle w:val="TableParagraph"/>
                          <w:spacing w:before="125"/>
                          <w:ind w:right="38"/>
                          <w:jc w:val="right"/>
                          <w:rPr>
                            <w:sz w:val="20"/>
                          </w:rPr>
                        </w:pPr>
                        <w:r>
                          <w:rPr>
                            <w:color w:val="231F20"/>
                            <w:w w:val="65"/>
                            <w:sz w:val="20"/>
                          </w:rPr>
                          <w:t>3.1.14.b</w:t>
                        </w:r>
                      </w:p>
                    </w:tc>
                    <w:tc>
                      <w:tcPr>
                        <w:tcW w:w="5462" w:type="dxa"/>
                        <w:gridSpan w:val="2"/>
                        <w:tcBorders>
                          <w:left w:val="single" w:sz="6" w:space="0" w:color="231F20"/>
                          <w:right w:val="single" w:sz="12" w:space="0" w:color="231F20"/>
                        </w:tcBorders>
                      </w:tcPr>
                      <w:p w14:paraId="17433AAE" w14:textId="77777777" w:rsidR="00080B77" w:rsidRDefault="00080B77">
                        <w:pPr>
                          <w:pStyle w:val="TableParagraph"/>
                          <w:spacing w:before="117"/>
                          <w:ind w:left="23"/>
                          <w:rPr>
                            <w:sz w:val="20"/>
                          </w:rPr>
                        </w:pPr>
                        <w:r>
                          <w:rPr>
                            <w:color w:val="231F20"/>
                            <w:w w:val="75"/>
                            <w:sz w:val="20"/>
                          </w:rPr>
                          <w:t>Collaborate with WDCs in the state regularly</w:t>
                        </w:r>
                      </w:p>
                    </w:tc>
                    <w:tc>
                      <w:tcPr>
                        <w:tcW w:w="1593" w:type="dxa"/>
                        <w:tcBorders>
                          <w:left w:val="single" w:sz="12" w:space="0" w:color="231F20"/>
                          <w:right w:val="single" w:sz="12" w:space="0" w:color="231F20"/>
                        </w:tcBorders>
                      </w:tcPr>
                      <w:p w14:paraId="092EE38E" w14:textId="77777777" w:rsidR="00080B77" w:rsidRDefault="00080B77">
                        <w:pPr>
                          <w:pStyle w:val="TableParagraph"/>
                          <w:spacing w:before="5"/>
                          <w:ind w:left="15"/>
                          <w:rPr>
                            <w:sz w:val="20"/>
                          </w:rPr>
                        </w:pPr>
                        <w:r>
                          <w:rPr>
                            <w:color w:val="231F20"/>
                            <w:w w:val="75"/>
                            <w:sz w:val="20"/>
                          </w:rPr>
                          <w:t>Lack of funds &amp;</w:t>
                        </w:r>
                      </w:p>
                      <w:p w14:paraId="66DC76DB" w14:textId="77777777" w:rsidR="00080B77" w:rsidRDefault="00080B77">
                        <w:pPr>
                          <w:pStyle w:val="TableParagraph"/>
                          <w:spacing w:before="25" w:line="196" w:lineRule="exact"/>
                          <w:ind w:left="15"/>
                          <w:rPr>
                            <w:sz w:val="20"/>
                          </w:rPr>
                        </w:pPr>
                        <w:r>
                          <w:rPr>
                            <w:color w:val="231F20"/>
                            <w:w w:val="75"/>
                            <w:sz w:val="20"/>
                          </w:rPr>
                          <w:t>collaboration</w:t>
                        </w:r>
                      </w:p>
                    </w:tc>
                    <w:tc>
                      <w:tcPr>
                        <w:tcW w:w="1678" w:type="dxa"/>
                        <w:tcBorders>
                          <w:left w:val="single" w:sz="12" w:space="0" w:color="231F20"/>
                        </w:tcBorders>
                      </w:tcPr>
                      <w:p w14:paraId="32C89935" w14:textId="77777777" w:rsidR="00080B77" w:rsidRDefault="00080B77">
                        <w:pPr>
                          <w:pStyle w:val="TableParagraph"/>
                          <w:spacing w:before="125"/>
                          <w:ind w:left="14"/>
                          <w:rPr>
                            <w:sz w:val="20"/>
                          </w:rPr>
                        </w:pPr>
                        <w:r>
                          <w:rPr>
                            <w:color w:val="231F20"/>
                            <w:w w:val="75"/>
                            <w:sz w:val="20"/>
                          </w:rPr>
                          <w:t>Costed in 2.1.3d</w:t>
                        </w:r>
                      </w:p>
                    </w:tc>
                  </w:tr>
                  <w:tr w:rsidR="00080B77" w14:paraId="43A983CB" w14:textId="77777777">
                    <w:trPr>
                      <w:trHeight w:val="1462"/>
                    </w:trPr>
                    <w:tc>
                      <w:tcPr>
                        <w:tcW w:w="3389" w:type="dxa"/>
                        <w:gridSpan w:val="2"/>
                        <w:tcBorders>
                          <w:left w:val="single" w:sz="6" w:space="0" w:color="231F20"/>
                          <w:right w:val="single" w:sz="6" w:space="0" w:color="231F20"/>
                        </w:tcBorders>
                        <w:shd w:val="clear" w:color="auto" w:fill="CCE7D3"/>
                      </w:tcPr>
                      <w:p w14:paraId="27DC02E4" w14:textId="77777777" w:rsidR="00080B77" w:rsidRDefault="00080B77">
                        <w:pPr>
                          <w:pStyle w:val="TableParagraph"/>
                          <w:spacing w:before="98" w:line="266" w:lineRule="auto"/>
                          <w:ind w:left="23" w:right="95" w:firstLine="36"/>
                          <w:rPr>
                            <w:sz w:val="20"/>
                          </w:rPr>
                        </w:pPr>
                        <w:r>
                          <w:rPr>
                            <w:color w:val="231F20"/>
                            <w:w w:val="65"/>
                            <w:sz w:val="20"/>
                          </w:rPr>
                          <w:t xml:space="preserve">Strengthen implementation of Health Service Charters </w:t>
                        </w:r>
                        <w:r>
                          <w:rPr>
                            <w:color w:val="231F20"/>
                            <w:w w:val="70"/>
                            <w:sz w:val="20"/>
                          </w:rPr>
                          <w:t>at</w:t>
                        </w:r>
                        <w:r>
                          <w:rPr>
                            <w:color w:val="231F20"/>
                            <w:spacing w:val="-25"/>
                            <w:w w:val="70"/>
                            <w:sz w:val="20"/>
                          </w:rPr>
                          <w:t xml:space="preserve"> </w:t>
                        </w:r>
                        <w:r>
                          <w:rPr>
                            <w:color w:val="231F20"/>
                            <w:w w:val="70"/>
                            <w:sz w:val="20"/>
                          </w:rPr>
                          <w:t>all</w:t>
                        </w:r>
                        <w:r>
                          <w:rPr>
                            <w:color w:val="231F20"/>
                            <w:spacing w:val="-25"/>
                            <w:w w:val="70"/>
                            <w:sz w:val="20"/>
                          </w:rPr>
                          <w:t xml:space="preserve"> </w:t>
                        </w:r>
                        <w:r>
                          <w:rPr>
                            <w:color w:val="231F20"/>
                            <w:w w:val="70"/>
                            <w:sz w:val="20"/>
                          </w:rPr>
                          <w:t>levels,</w:t>
                        </w:r>
                        <w:r>
                          <w:rPr>
                            <w:color w:val="231F20"/>
                            <w:spacing w:val="-24"/>
                            <w:w w:val="70"/>
                            <w:sz w:val="20"/>
                          </w:rPr>
                          <w:t xml:space="preserve"> </w:t>
                        </w:r>
                        <w:r>
                          <w:rPr>
                            <w:color w:val="231F20"/>
                            <w:w w:val="70"/>
                            <w:sz w:val="20"/>
                          </w:rPr>
                          <w:t>with</w:t>
                        </w:r>
                        <w:r>
                          <w:rPr>
                            <w:color w:val="231F20"/>
                            <w:spacing w:val="-25"/>
                            <w:w w:val="70"/>
                            <w:sz w:val="20"/>
                          </w:rPr>
                          <w:t xml:space="preserve"> </w:t>
                        </w:r>
                        <w:r>
                          <w:rPr>
                            <w:color w:val="231F20"/>
                            <w:w w:val="70"/>
                            <w:sz w:val="20"/>
                          </w:rPr>
                          <w:t>Civil</w:t>
                        </w:r>
                        <w:r>
                          <w:rPr>
                            <w:color w:val="231F20"/>
                            <w:spacing w:val="-25"/>
                            <w:w w:val="70"/>
                            <w:sz w:val="20"/>
                          </w:rPr>
                          <w:t xml:space="preserve"> </w:t>
                        </w:r>
                        <w:r>
                          <w:rPr>
                            <w:color w:val="231F20"/>
                            <w:w w:val="70"/>
                            <w:sz w:val="20"/>
                          </w:rPr>
                          <w:t>Society</w:t>
                        </w:r>
                        <w:r>
                          <w:rPr>
                            <w:color w:val="231F20"/>
                            <w:spacing w:val="-24"/>
                            <w:w w:val="70"/>
                            <w:sz w:val="20"/>
                          </w:rPr>
                          <w:t xml:space="preserve"> </w:t>
                        </w:r>
                        <w:proofErr w:type="spellStart"/>
                        <w:r>
                          <w:rPr>
                            <w:color w:val="231F20"/>
                            <w:w w:val="70"/>
                            <w:sz w:val="20"/>
                          </w:rPr>
                          <w:t>Organisations</w:t>
                        </w:r>
                        <w:proofErr w:type="spellEnd"/>
                        <w:r>
                          <w:rPr>
                            <w:color w:val="231F20"/>
                            <w:w w:val="70"/>
                            <w:sz w:val="20"/>
                          </w:rPr>
                          <w:t>,</w:t>
                        </w:r>
                        <w:r>
                          <w:rPr>
                            <w:color w:val="231F20"/>
                            <w:spacing w:val="-25"/>
                            <w:w w:val="70"/>
                            <w:sz w:val="20"/>
                          </w:rPr>
                          <w:t xml:space="preserve"> </w:t>
                        </w:r>
                        <w:r>
                          <w:rPr>
                            <w:color w:val="231F20"/>
                            <w:w w:val="70"/>
                            <w:sz w:val="20"/>
                          </w:rPr>
                          <w:t xml:space="preserve">traditional </w:t>
                        </w:r>
                        <w:r>
                          <w:rPr>
                            <w:color w:val="231F20"/>
                            <w:w w:val="75"/>
                            <w:sz w:val="20"/>
                          </w:rPr>
                          <w:t>and</w:t>
                        </w:r>
                        <w:r>
                          <w:rPr>
                            <w:color w:val="231F20"/>
                            <w:spacing w:val="-29"/>
                            <w:w w:val="75"/>
                            <w:sz w:val="20"/>
                          </w:rPr>
                          <w:t xml:space="preserve"> </w:t>
                        </w:r>
                        <w:r>
                          <w:rPr>
                            <w:color w:val="231F20"/>
                            <w:w w:val="75"/>
                            <w:sz w:val="20"/>
                          </w:rPr>
                          <w:t>religious</w:t>
                        </w:r>
                        <w:r>
                          <w:rPr>
                            <w:color w:val="231F20"/>
                            <w:spacing w:val="-29"/>
                            <w:w w:val="75"/>
                            <w:sz w:val="20"/>
                          </w:rPr>
                          <w:t xml:space="preserve"> </w:t>
                        </w:r>
                        <w:r>
                          <w:rPr>
                            <w:color w:val="231F20"/>
                            <w:w w:val="75"/>
                            <w:sz w:val="20"/>
                          </w:rPr>
                          <w:t>institutions</w:t>
                        </w:r>
                        <w:r>
                          <w:rPr>
                            <w:color w:val="231F20"/>
                            <w:spacing w:val="-29"/>
                            <w:w w:val="75"/>
                            <w:sz w:val="20"/>
                          </w:rPr>
                          <w:t xml:space="preserve"> </w:t>
                        </w:r>
                        <w:r>
                          <w:rPr>
                            <w:color w:val="231F20"/>
                            <w:w w:val="75"/>
                            <w:sz w:val="20"/>
                          </w:rPr>
                          <w:t>to</w:t>
                        </w:r>
                        <w:r>
                          <w:rPr>
                            <w:color w:val="231F20"/>
                            <w:spacing w:val="-29"/>
                            <w:w w:val="75"/>
                            <w:sz w:val="20"/>
                          </w:rPr>
                          <w:t xml:space="preserve"> </w:t>
                        </w:r>
                        <w:r>
                          <w:rPr>
                            <w:color w:val="231F20"/>
                            <w:w w:val="75"/>
                            <w:sz w:val="20"/>
                          </w:rPr>
                          <w:t>promote</w:t>
                        </w:r>
                        <w:r>
                          <w:rPr>
                            <w:color w:val="231F20"/>
                            <w:spacing w:val="-29"/>
                            <w:w w:val="75"/>
                            <w:sz w:val="20"/>
                          </w:rPr>
                          <w:t xml:space="preserve"> </w:t>
                        </w:r>
                        <w:r>
                          <w:rPr>
                            <w:color w:val="231F20"/>
                            <w:w w:val="75"/>
                            <w:sz w:val="20"/>
                          </w:rPr>
                          <w:t>the</w:t>
                        </w:r>
                        <w:r>
                          <w:rPr>
                            <w:color w:val="231F20"/>
                            <w:spacing w:val="-28"/>
                            <w:w w:val="75"/>
                            <w:sz w:val="20"/>
                          </w:rPr>
                          <w:t xml:space="preserve"> </w:t>
                        </w:r>
                        <w:r>
                          <w:rPr>
                            <w:color w:val="231F20"/>
                            <w:w w:val="75"/>
                            <w:sz w:val="20"/>
                          </w:rPr>
                          <w:t>concept</w:t>
                        </w:r>
                        <w:r>
                          <w:rPr>
                            <w:color w:val="231F20"/>
                            <w:spacing w:val="-29"/>
                            <w:w w:val="75"/>
                            <w:sz w:val="20"/>
                          </w:rPr>
                          <w:t xml:space="preserve"> </w:t>
                        </w:r>
                        <w:r>
                          <w:rPr>
                            <w:color w:val="231F20"/>
                            <w:w w:val="75"/>
                            <w:sz w:val="20"/>
                          </w:rPr>
                          <w:t xml:space="preserve">of </w:t>
                        </w:r>
                        <w:r>
                          <w:rPr>
                            <w:color w:val="231F20"/>
                            <w:w w:val="70"/>
                            <w:sz w:val="20"/>
                          </w:rPr>
                          <w:t xml:space="preserve">citizen’s rights and entitlement to quality, accessible </w:t>
                        </w:r>
                        <w:r>
                          <w:rPr>
                            <w:color w:val="231F20"/>
                            <w:w w:val="75"/>
                            <w:sz w:val="20"/>
                          </w:rPr>
                          <w:t>basic health services;</w:t>
                        </w:r>
                        <w:r>
                          <w:rPr>
                            <w:color w:val="231F20"/>
                            <w:spacing w:val="-27"/>
                            <w:w w:val="75"/>
                            <w:sz w:val="20"/>
                          </w:rPr>
                          <w:t xml:space="preserve"> </w:t>
                        </w:r>
                        <w:r>
                          <w:rPr>
                            <w:color w:val="231F20"/>
                            <w:w w:val="75"/>
                            <w:sz w:val="20"/>
                          </w:rPr>
                          <w:t>and</w:t>
                        </w:r>
                      </w:p>
                    </w:tc>
                    <w:tc>
                      <w:tcPr>
                        <w:tcW w:w="2660" w:type="dxa"/>
                        <w:tcBorders>
                          <w:left w:val="single" w:sz="6" w:space="0" w:color="231F20"/>
                          <w:right w:val="single" w:sz="6" w:space="0" w:color="231F20"/>
                        </w:tcBorders>
                        <w:shd w:val="clear" w:color="auto" w:fill="CCE7D3"/>
                      </w:tcPr>
                      <w:p w14:paraId="3E67B560" w14:textId="77777777" w:rsidR="00080B77" w:rsidRDefault="00080B77">
                        <w:pPr>
                          <w:pStyle w:val="TableParagraph"/>
                          <w:spacing w:before="5"/>
                          <w:rPr>
                            <w:sz w:val="20"/>
                          </w:rPr>
                        </w:pPr>
                      </w:p>
                      <w:p w14:paraId="2BA607D5" w14:textId="77777777" w:rsidR="00080B77" w:rsidRDefault="00080B77">
                        <w:pPr>
                          <w:pStyle w:val="TableParagraph"/>
                          <w:numPr>
                            <w:ilvl w:val="0"/>
                            <w:numId w:val="208"/>
                          </w:numPr>
                          <w:tabs>
                            <w:tab w:val="left" w:pos="107"/>
                          </w:tabs>
                          <w:ind w:left="106"/>
                          <w:rPr>
                            <w:sz w:val="20"/>
                          </w:rPr>
                        </w:pPr>
                        <w:r>
                          <w:rPr>
                            <w:color w:val="231F20"/>
                            <w:w w:val="75"/>
                            <w:sz w:val="20"/>
                          </w:rPr>
                          <w:t>Health</w:t>
                        </w:r>
                        <w:r>
                          <w:rPr>
                            <w:color w:val="231F20"/>
                            <w:spacing w:val="-26"/>
                            <w:w w:val="75"/>
                            <w:sz w:val="20"/>
                          </w:rPr>
                          <w:t xml:space="preserve"> </w:t>
                        </w:r>
                        <w:r>
                          <w:rPr>
                            <w:color w:val="231F20"/>
                            <w:w w:val="75"/>
                            <w:sz w:val="20"/>
                          </w:rPr>
                          <w:t>service</w:t>
                        </w:r>
                        <w:r>
                          <w:rPr>
                            <w:color w:val="231F20"/>
                            <w:spacing w:val="-25"/>
                            <w:w w:val="75"/>
                            <w:sz w:val="20"/>
                          </w:rPr>
                          <w:t xml:space="preserve"> </w:t>
                        </w:r>
                        <w:r>
                          <w:rPr>
                            <w:color w:val="231F20"/>
                            <w:w w:val="75"/>
                            <w:sz w:val="20"/>
                          </w:rPr>
                          <w:t>charters</w:t>
                        </w:r>
                        <w:r>
                          <w:rPr>
                            <w:color w:val="231F20"/>
                            <w:spacing w:val="-25"/>
                            <w:w w:val="75"/>
                            <w:sz w:val="20"/>
                          </w:rPr>
                          <w:t xml:space="preserve"> </w:t>
                        </w:r>
                        <w:r>
                          <w:rPr>
                            <w:color w:val="231F20"/>
                            <w:w w:val="75"/>
                            <w:sz w:val="20"/>
                          </w:rPr>
                          <w:t>implemented</w:t>
                        </w:r>
                      </w:p>
                      <w:p w14:paraId="1B8735B2" w14:textId="77777777" w:rsidR="00080B77" w:rsidRDefault="00080B77">
                        <w:pPr>
                          <w:pStyle w:val="TableParagraph"/>
                          <w:numPr>
                            <w:ilvl w:val="0"/>
                            <w:numId w:val="208"/>
                          </w:numPr>
                          <w:tabs>
                            <w:tab w:val="left" w:pos="107"/>
                          </w:tabs>
                          <w:spacing w:before="26"/>
                          <w:ind w:left="106"/>
                          <w:rPr>
                            <w:sz w:val="20"/>
                          </w:rPr>
                        </w:pPr>
                        <w:r>
                          <w:rPr>
                            <w:color w:val="231F20"/>
                            <w:w w:val="75"/>
                            <w:sz w:val="20"/>
                          </w:rPr>
                          <w:t>Joint</w:t>
                        </w:r>
                        <w:r>
                          <w:rPr>
                            <w:color w:val="231F20"/>
                            <w:spacing w:val="-20"/>
                            <w:w w:val="75"/>
                            <w:sz w:val="20"/>
                          </w:rPr>
                          <w:t xml:space="preserve"> </w:t>
                        </w:r>
                        <w:r>
                          <w:rPr>
                            <w:color w:val="231F20"/>
                            <w:w w:val="75"/>
                            <w:sz w:val="20"/>
                          </w:rPr>
                          <w:t>monitoring</w:t>
                        </w:r>
                        <w:r>
                          <w:rPr>
                            <w:color w:val="231F20"/>
                            <w:spacing w:val="-20"/>
                            <w:w w:val="75"/>
                            <w:sz w:val="20"/>
                          </w:rPr>
                          <w:t xml:space="preserve"> </w:t>
                        </w:r>
                        <w:r>
                          <w:rPr>
                            <w:color w:val="231F20"/>
                            <w:w w:val="75"/>
                            <w:sz w:val="20"/>
                          </w:rPr>
                          <w:t>group</w:t>
                        </w:r>
                        <w:r>
                          <w:rPr>
                            <w:color w:val="231F20"/>
                            <w:spacing w:val="-20"/>
                            <w:w w:val="75"/>
                            <w:sz w:val="20"/>
                          </w:rPr>
                          <w:t xml:space="preserve"> </w:t>
                        </w:r>
                        <w:r>
                          <w:rPr>
                            <w:color w:val="231F20"/>
                            <w:w w:val="75"/>
                            <w:sz w:val="20"/>
                          </w:rPr>
                          <w:t>established</w:t>
                        </w:r>
                      </w:p>
                      <w:p w14:paraId="2D23B3CC" w14:textId="77777777" w:rsidR="00080B77" w:rsidRDefault="00080B77">
                        <w:pPr>
                          <w:pStyle w:val="TableParagraph"/>
                          <w:numPr>
                            <w:ilvl w:val="0"/>
                            <w:numId w:val="208"/>
                          </w:numPr>
                          <w:tabs>
                            <w:tab w:val="left" w:pos="107"/>
                          </w:tabs>
                          <w:spacing w:before="25" w:line="266" w:lineRule="auto"/>
                          <w:ind w:right="320" w:firstLine="0"/>
                          <w:rPr>
                            <w:sz w:val="20"/>
                          </w:rPr>
                        </w:pPr>
                        <w:r>
                          <w:rPr>
                            <w:color w:val="231F20"/>
                            <w:w w:val="65"/>
                            <w:sz w:val="20"/>
                          </w:rPr>
                          <w:t xml:space="preserve">Community health perception index </w:t>
                        </w:r>
                        <w:r>
                          <w:rPr>
                            <w:color w:val="231F20"/>
                            <w:spacing w:val="-6"/>
                            <w:w w:val="65"/>
                            <w:sz w:val="20"/>
                          </w:rPr>
                          <w:t xml:space="preserve">in </w:t>
                        </w:r>
                        <w:r>
                          <w:rPr>
                            <w:color w:val="231F20"/>
                            <w:w w:val="75"/>
                            <w:sz w:val="20"/>
                          </w:rPr>
                          <w:t>place</w:t>
                        </w:r>
                      </w:p>
                    </w:tc>
                    <w:tc>
                      <w:tcPr>
                        <w:tcW w:w="1593" w:type="dxa"/>
                        <w:tcBorders>
                          <w:left w:val="single" w:sz="6" w:space="0" w:color="231F20"/>
                          <w:right w:val="single" w:sz="12" w:space="0" w:color="231F20"/>
                        </w:tcBorders>
                        <w:shd w:val="clear" w:color="auto" w:fill="CCE7D3"/>
                      </w:tcPr>
                      <w:p w14:paraId="4DB5738C" w14:textId="77777777" w:rsidR="00080B77" w:rsidRDefault="00080B77">
                        <w:pPr>
                          <w:pStyle w:val="TableParagraph"/>
                          <w:rPr>
                            <w:rFonts w:ascii="Times New Roman"/>
                            <w:sz w:val="12"/>
                          </w:rPr>
                        </w:pPr>
                      </w:p>
                    </w:tc>
                    <w:tc>
                      <w:tcPr>
                        <w:tcW w:w="1678" w:type="dxa"/>
                        <w:tcBorders>
                          <w:left w:val="single" w:sz="12" w:space="0" w:color="231F20"/>
                        </w:tcBorders>
                        <w:shd w:val="clear" w:color="auto" w:fill="CCE7D3"/>
                      </w:tcPr>
                      <w:p w14:paraId="451EA4EA" w14:textId="77777777" w:rsidR="00080B77" w:rsidRDefault="00080B77">
                        <w:pPr>
                          <w:pStyle w:val="TableParagraph"/>
                          <w:rPr>
                            <w:rFonts w:ascii="Times New Roman"/>
                            <w:sz w:val="12"/>
                          </w:rPr>
                        </w:pPr>
                      </w:p>
                    </w:tc>
                  </w:tr>
                  <w:tr w:rsidR="00080B77" w14:paraId="6F363DE6" w14:textId="77777777">
                    <w:trPr>
                      <w:trHeight w:val="870"/>
                    </w:trPr>
                    <w:tc>
                      <w:tcPr>
                        <w:tcW w:w="587" w:type="dxa"/>
                        <w:tcBorders>
                          <w:left w:val="single" w:sz="6" w:space="0" w:color="231F20"/>
                          <w:right w:val="single" w:sz="6" w:space="0" w:color="231F20"/>
                        </w:tcBorders>
                      </w:tcPr>
                      <w:p w14:paraId="5931D3F8" w14:textId="77777777" w:rsidR="00080B77" w:rsidRDefault="00080B77">
                        <w:pPr>
                          <w:pStyle w:val="TableParagraph"/>
                          <w:rPr>
                            <w:sz w:val="28"/>
                          </w:rPr>
                        </w:pPr>
                      </w:p>
                      <w:p w14:paraId="679DA709" w14:textId="77777777" w:rsidR="00080B77" w:rsidRDefault="00080B77">
                        <w:pPr>
                          <w:pStyle w:val="TableParagraph"/>
                          <w:ind w:right="38"/>
                          <w:jc w:val="right"/>
                          <w:rPr>
                            <w:sz w:val="20"/>
                          </w:rPr>
                        </w:pPr>
                        <w:r>
                          <w:rPr>
                            <w:color w:val="231F20"/>
                            <w:w w:val="65"/>
                            <w:sz w:val="20"/>
                          </w:rPr>
                          <w:t>3.1.15.a</w:t>
                        </w:r>
                      </w:p>
                    </w:tc>
                    <w:tc>
                      <w:tcPr>
                        <w:tcW w:w="5462" w:type="dxa"/>
                        <w:gridSpan w:val="2"/>
                        <w:tcBorders>
                          <w:left w:val="single" w:sz="6" w:space="0" w:color="231F20"/>
                          <w:right w:val="single" w:sz="6" w:space="0" w:color="231F20"/>
                        </w:tcBorders>
                      </w:tcPr>
                      <w:p w14:paraId="261DEB39" w14:textId="77777777" w:rsidR="00080B77" w:rsidRDefault="00080B77">
                        <w:pPr>
                          <w:pStyle w:val="TableParagraph"/>
                          <w:spacing w:before="1"/>
                          <w:rPr>
                            <w:sz w:val="16"/>
                          </w:rPr>
                        </w:pPr>
                      </w:p>
                      <w:p w14:paraId="64D5B336" w14:textId="77777777" w:rsidR="00080B77" w:rsidRDefault="00080B77">
                        <w:pPr>
                          <w:pStyle w:val="TableParagraph"/>
                          <w:spacing w:line="266" w:lineRule="auto"/>
                          <w:ind w:left="23" w:right="77" w:firstLine="36"/>
                          <w:rPr>
                            <w:sz w:val="20"/>
                          </w:rPr>
                        </w:pPr>
                        <w:r>
                          <w:rPr>
                            <w:color w:val="231F20"/>
                            <w:w w:val="65"/>
                            <w:sz w:val="20"/>
                          </w:rPr>
                          <w:t xml:space="preserve">Develop &amp; implement health service charters for CSOs, communities, service providers </w:t>
                        </w:r>
                        <w:r>
                          <w:rPr>
                            <w:color w:val="231F20"/>
                            <w:w w:val="75"/>
                            <w:sz w:val="20"/>
                          </w:rPr>
                          <w:t>(PPMVs, traditional, private &amp; public), government and partners</w:t>
                        </w:r>
                      </w:p>
                    </w:tc>
                    <w:tc>
                      <w:tcPr>
                        <w:tcW w:w="1593" w:type="dxa"/>
                        <w:tcBorders>
                          <w:left w:val="single" w:sz="6" w:space="0" w:color="231F20"/>
                          <w:right w:val="single" w:sz="12" w:space="0" w:color="231F20"/>
                        </w:tcBorders>
                      </w:tcPr>
                      <w:p w14:paraId="7548FFB9" w14:textId="77777777" w:rsidR="00080B77" w:rsidRDefault="00080B77">
                        <w:pPr>
                          <w:pStyle w:val="TableParagraph"/>
                          <w:spacing w:before="9"/>
                          <w:rPr>
                            <w:sz w:val="16"/>
                          </w:rPr>
                        </w:pPr>
                      </w:p>
                      <w:p w14:paraId="0C8745A2" w14:textId="77777777" w:rsidR="00080B77" w:rsidRDefault="00080B77">
                        <w:pPr>
                          <w:pStyle w:val="TableParagraph"/>
                          <w:spacing w:before="1" w:line="266" w:lineRule="auto"/>
                          <w:ind w:left="22" w:right="563"/>
                          <w:rPr>
                            <w:sz w:val="20"/>
                          </w:rPr>
                        </w:pPr>
                        <w:r>
                          <w:rPr>
                            <w:color w:val="231F20"/>
                            <w:w w:val="70"/>
                            <w:sz w:val="20"/>
                          </w:rPr>
                          <w:t xml:space="preserve">Lack of funds &amp; </w:t>
                        </w:r>
                        <w:r>
                          <w:rPr>
                            <w:color w:val="231F20"/>
                            <w:w w:val="75"/>
                            <w:sz w:val="20"/>
                          </w:rPr>
                          <w:t>collaboration</w:t>
                        </w:r>
                      </w:p>
                    </w:tc>
                    <w:tc>
                      <w:tcPr>
                        <w:tcW w:w="1678" w:type="dxa"/>
                        <w:tcBorders>
                          <w:left w:val="single" w:sz="12" w:space="0" w:color="231F20"/>
                        </w:tcBorders>
                      </w:tcPr>
                      <w:p w14:paraId="3C872135" w14:textId="77777777" w:rsidR="00080B77" w:rsidRDefault="00080B77">
                        <w:pPr>
                          <w:pStyle w:val="TableParagraph"/>
                          <w:rPr>
                            <w:sz w:val="28"/>
                          </w:rPr>
                        </w:pPr>
                      </w:p>
                      <w:p w14:paraId="2711C16D" w14:textId="77777777" w:rsidR="00080B77" w:rsidRDefault="00080B77">
                        <w:pPr>
                          <w:pStyle w:val="TableParagraph"/>
                          <w:ind w:left="14"/>
                          <w:rPr>
                            <w:sz w:val="20"/>
                          </w:rPr>
                        </w:pPr>
                        <w:r>
                          <w:rPr>
                            <w:color w:val="231F20"/>
                            <w:w w:val="75"/>
                            <w:sz w:val="20"/>
                          </w:rPr>
                          <w:t>Costed in 3.1.14a</w:t>
                        </w:r>
                      </w:p>
                    </w:tc>
                  </w:tr>
                  <w:tr w:rsidR="00080B77" w14:paraId="56B1E138" w14:textId="77777777">
                    <w:trPr>
                      <w:trHeight w:val="476"/>
                    </w:trPr>
                    <w:tc>
                      <w:tcPr>
                        <w:tcW w:w="587" w:type="dxa"/>
                        <w:tcBorders>
                          <w:left w:val="single" w:sz="6" w:space="0" w:color="231F20"/>
                          <w:right w:val="single" w:sz="6" w:space="0" w:color="231F20"/>
                        </w:tcBorders>
                      </w:tcPr>
                      <w:p w14:paraId="0EF18F74" w14:textId="77777777" w:rsidR="00080B77" w:rsidRDefault="00080B77">
                        <w:pPr>
                          <w:pStyle w:val="TableParagraph"/>
                          <w:spacing w:before="125"/>
                          <w:ind w:right="38"/>
                          <w:jc w:val="right"/>
                          <w:rPr>
                            <w:sz w:val="20"/>
                          </w:rPr>
                        </w:pPr>
                        <w:r>
                          <w:rPr>
                            <w:color w:val="231F20"/>
                            <w:w w:val="65"/>
                            <w:sz w:val="20"/>
                          </w:rPr>
                          <w:t>3.1.15.b</w:t>
                        </w:r>
                      </w:p>
                    </w:tc>
                    <w:tc>
                      <w:tcPr>
                        <w:tcW w:w="5462" w:type="dxa"/>
                        <w:gridSpan w:val="2"/>
                        <w:tcBorders>
                          <w:left w:val="single" w:sz="6" w:space="0" w:color="231F20"/>
                          <w:right w:val="single" w:sz="6" w:space="0" w:color="231F20"/>
                        </w:tcBorders>
                      </w:tcPr>
                      <w:p w14:paraId="64190205" w14:textId="77777777" w:rsidR="00080B77" w:rsidRDefault="00080B77">
                        <w:pPr>
                          <w:pStyle w:val="TableParagraph"/>
                          <w:spacing w:before="117"/>
                          <w:ind w:left="60"/>
                          <w:rPr>
                            <w:sz w:val="20"/>
                          </w:rPr>
                        </w:pPr>
                        <w:r>
                          <w:rPr>
                            <w:color w:val="231F20"/>
                            <w:w w:val="70"/>
                            <w:sz w:val="20"/>
                          </w:rPr>
                          <w:t>Establish</w:t>
                        </w:r>
                        <w:r>
                          <w:rPr>
                            <w:color w:val="231F20"/>
                            <w:spacing w:val="-23"/>
                            <w:w w:val="70"/>
                            <w:sz w:val="20"/>
                          </w:rPr>
                          <w:t xml:space="preserve"> </w:t>
                        </w:r>
                        <w:r>
                          <w:rPr>
                            <w:color w:val="231F20"/>
                            <w:w w:val="70"/>
                            <w:sz w:val="20"/>
                          </w:rPr>
                          <w:t>a</w:t>
                        </w:r>
                        <w:r>
                          <w:rPr>
                            <w:color w:val="231F20"/>
                            <w:spacing w:val="-23"/>
                            <w:w w:val="70"/>
                            <w:sz w:val="20"/>
                          </w:rPr>
                          <w:t xml:space="preserve"> </w:t>
                        </w:r>
                        <w:r>
                          <w:rPr>
                            <w:color w:val="231F20"/>
                            <w:w w:val="70"/>
                            <w:sz w:val="20"/>
                          </w:rPr>
                          <w:t>joint</w:t>
                        </w:r>
                        <w:r>
                          <w:rPr>
                            <w:color w:val="231F20"/>
                            <w:spacing w:val="-23"/>
                            <w:w w:val="70"/>
                            <w:sz w:val="20"/>
                          </w:rPr>
                          <w:t xml:space="preserve"> </w:t>
                        </w:r>
                        <w:r>
                          <w:rPr>
                            <w:color w:val="231F20"/>
                            <w:w w:val="70"/>
                            <w:sz w:val="20"/>
                          </w:rPr>
                          <w:t>monitoring</w:t>
                        </w:r>
                        <w:r>
                          <w:rPr>
                            <w:color w:val="231F20"/>
                            <w:spacing w:val="-23"/>
                            <w:w w:val="70"/>
                            <w:sz w:val="20"/>
                          </w:rPr>
                          <w:t xml:space="preserve"> </w:t>
                        </w:r>
                        <w:r>
                          <w:rPr>
                            <w:color w:val="231F20"/>
                            <w:w w:val="70"/>
                            <w:sz w:val="20"/>
                          </w:rPr>
                          <w:t>group</w:t>
                        </w:r>
                        <w:r>
                          <w:rPr>
                            <w:color w:val="231F20"/>
                            <w:spacing w:val="-23"/>
                            <w:w w:val="70"/>
                            <w:sz w:val="20"/>
                          </w:rPr>
                          <w:t xml:space="preserve"> </w:t>
                        </w:r>
                        <w:r>
                          <w:rPr>
                            <w:color w:val="231F20"/>
                            <w:w w:val="70"/>
                            <w:sz w:val="20"/>
                          </w:rPr>
                          <w:t>to</w:t>
                        </w:r>
                        <w:r>
                          <w:rPr>
                            <w:color w:val="231F20"/>
                            <w:spacing w:val="-23"/>
                            <w:w w:val="70"/>
                            <w:sz w:val="20"/>
                          </w:rPr>
                          <w:t xml:space="preserve"> </w:t>
                        </w:r>
                        <w:r>
                          <w:rPr>
                            <w:color w:val="231F20"/>
                            <w:w w:val="70"/>
                            <w:sz w:val="20"/>
                          </w:rPr>
                          <w:t>assess</w:t>
                        </w:r>
                        <w:r>
                          <w:rPr>
                            <w:color w:val="231F20"/>
                            <w:spacing w:val="-23"/>
                            <w:w w:val="70"/>
                            <w:sz w:val="20"/>
                          </w:rPr>
                          <w:t xml:space="preserve"> </w:t>
                        </w:r>
                        <w:r>
                          <w:rPr>
                            <w:color w:val="231F20"/>
                            <w:w w:val="70"/>
                            <w:sz w:val="20"/>
                          </w:rPr>
                          <w:t>level</w:t>
                        </w:r>
                        <w:r>
                          <w:rPr>
                            <w:color w:val="231F20"/>
                            <w:spacing w:val="-23"/>
                            <w:w w:val="70"/>
                            <w:sz w:val="20"/>
                          </w:rPr>
                          <w:t xml:space="preserve"> </w:t>
                        </w:r>
                        <w:r>
                          <w:rPr>
                            <w:color w:val="231F20"/>
                            <w:w w:val="70"/>
                            <w:sz w:val="20"/>
                          </w:rPr>
                          <w:t>of</w:t>
                        </w:r>
                        <w:r>
                          <w:rPr>
                            <w:color w:val="231F20"/>
                            <w:spacing w:val="-23"/>
                            <w:w w:val="70"/>
                            <w:sz w:val="20"/>
                          </w:rPr>
                          <w:t xml:space="preserve"> </w:t>
                        </w:r>
                        <w:r>
                          <w:rPr>
                            <w:color w:val="231F20"/>
                            <w:w w:val="70"/>
                            <w:sz w:val="20"/>
                          </w:rPr>
                          <w:t>compliance</w:t>
                        </w:r>
                        <w:r>
                          <w:rPr>
                            <w:color w:val="231F20"/>
                            <w:spacing w:val="-23"/>
                            <w:w w:val="70"/>
                            <w:sz w:val="20"/>
                          </w:rPr>
                          <w:t xml:space="preserve"> </w:t>
                        </w:r>
                        <w:r>
                          <w:rPr>
                            <w:color w:val="231F20"/>
                            <w:w w:val="70"/>
                            <w:sz w:val="20"/>
                          </w:rPr>
                          <w:t>with</w:t>
                        </w:r>
                        <w:r>
                          <w:rPr>
                            <w:color w:val="231F20"/>
                            <w:spacing w:val="-22"/>
                            <w:w w:val="70"/>
                            <w:sz w:val="20"/>
                          </w:rPr>
                          <w:t xml:space="preserve"> </w:t>
                        </w:r>
                        <w:r>
                          <w:rPr>
                            <w:color w:val="231F20"/>
                            <w:w w:val="70"/>
                            <w:sz w:val="20"/>
                          </w:rPr>
                          <w:t>health</w:t>
                        </w:r>
                        <w:r>
                          <w:rPr>
                            <w:color w:val="231F20"/>
                            <w:spacing w:val="-23"/>
                            <w:w w:val="70"/>
                            <w:sz w:val="20"/>
                          </w:rPr>
                          <w:t xml:space="preserve"> </w:t>
                        </w:r>
                        <w:r>
                          <w:rPr>
                            <w:color w:val="231F20"/>
                            <w:w w:val="70"/>
                            <w:sz w:val="20"/>
                          </w:rPr>
                          <w:t>service</w:t>
                        </w:r>
                        <w:r>
                          <w:rPr>
                            <w:color w:val="231F20"/>
                            <w:spacing w:val="-23"/>
                            <w:w w:val="70"/>
                            <w:sz w:val="20"/>
                          </w:rPr>
                          <w:t xml:space="preserve"> </w:t>
                        </w:r>
                        <w:r>
                          <w:rPr>
                            <w:color w:val="231F20"/>
                            <w:w w:val="70"/>
                            <w:sz w:val="20"/>
                          </w:rPr>
                          <w:t>charters</w:t>
                        </w:r>
                      </w:p>
                    </w:tc>
                    <w:tc>
                      <w:tcPr>
                        <w:tcW w:w="1593" w:type="dxa"/>
                        <w:tcBorders>
                          <w:left w:val="single" w:sz="6" w:space="0" w:color="231F20"/>
                          <w:right w:val="single" w:sz="12" w:space="0" w:color="231F20"/>
                        </w:tcBorders>
                      </w:tcPr>
                      <w:p w14:paraId="2E6F7274" w14:textId="77777777" w:rsidR="00080B77" w:rsidRDefault="00080B77">
                        <w:pPr>
                          <w:pStyle w:val="TableParagraph"/>
                          <w:spacing w:before="5"/>
                          <w:ind w:left="22"/>
                          <w:rPr>
                            <w:sz w:val="20"/>
                          </w:rPr>
                        </w:pPr>
                        <w:r>
                          <w:rPr>
                            <w:color w:val="231F20"/>
                            <w:w w:val="75"/>
                            <w:sz w:val="20"/>
                          </w:rPr>
                          <w:t>Lack of funds &amp;</w:t>
                        </w:r>
                      </w:p>
                      <w:p w14:paraId="0486908E" w14:textId="77777777" w:rsidR="00080B77" w:rsidRDefault="00080B77">
                        <w:pPr>
                          <w:pStyle w:val="TableParagraph"/>
                          <w:spacing w:before="25" w:line="196" w:lineRule="exact"/>
                          <w:ind w:left="22"/>
                          <w:rPr>
                            <w:sz w:val="20"/>
                          </w:rPr>
                        </w:pPr>
                        <w:r>
                          <w:rPr>
                            <w:color w:val="231F20"/>
                            <w:w w:val="75"/>
                            <w:sz w:val="20"/>
                          </w:rPr>
                          <w:t>collaboration</w:t>
                        </w:r>
                      </w:p>
                    </w:tc>
                    <w:tc>
                      <w:tcPr>
                        <w:tcW w:w="1678" w:type="dxa"/>
                        <w:tcBorders>
                          <w:left w:val="single" w:sz="12" w:space="0" w:color="231F20"/>
                        </w:tcBorders>
                      </w:tcPr>
                      <w:p w14:paraId="396444D8" w14:textId="77777777" w:rsidR="00080B77" w:rsidRDefault="00080B77">
                        <w:pPr>
                          <w:pStyle w:val="TableParagraph"/>
                          <w:spacing w:before="125"/>
                          <w:ind w:left="14"/>
                          <w:rPr>
                            <w:sz w:val="20"/>
                          </w:rPr>
                        </w:pPr>
                        <w:r>
                          <w:rPr>
                            <w:color w:val="231F20"/>
                            <w:w w:val="75"/>
                            <w:sz w:val="20"/>
                          </w:rPr>
                          <w:t>Costed in 1.3.3b</w:t>
                        </w:r>
                      </w:p>
                    </w:tc>
                  </w:tr>
                  <w:tr w:rsidR="00080B77" w14:paraId="4080E74A" w14:textId="77777777">
                    <w:trPr>
                      <w:trHeight w:val="501"/>
                    </w:trPr>
                    <w:tc>
                      <w:tcPr>
                        <w:tcW w:w="587" w:type="dxa"/>
                        <w:tcBorders>
                          <w:left w:val="single" w:sz="6" w:space="0" w:color="231F20"/>
                          <w:right w:val="single" w:sz="6" w:space="0" w:color="231F20"/>
                        </w:tcBorders>
                      </w:tcPr>
                      <w:p w14:paraId="0119F784" w14:textId="77777777" w:rsidR="00080B77" w:rsidRDefault="00080B77">
                        <w:pPr>
                          <w:pStyle w:val="TableParagraph"/>
                          <w:spacing w:before="137"/>
                          <w:ind w:right="41"/>
                          <w:jc w:val="right"/>
                          <w:rPr>
                            <w:sz w:val="20"/>
                          </w:rPr>
                        </w:pPr>
                        <w:r>
                          <w:rPr>
                            <w:color w:val="231F20"/>
                            <w:w w:val="65"/>
                            <w:sz w:val="20"/>
                          </w:rPr>
                          <w:t>3.1.15.c</w:t>
                        </w:r>
                      </w:p>
                    </w:tc>
                    <w:tc>
                      <w:tcPr>
                        <w:tcW w:w="5462" w:type="dxa"/>
                        <w:gridSpan w:val="2"/>
                        <w:tcBorders>
                          <w:left w:val="single" w:sz="6" w:space="0" w:color="231F20"/>
                          <w:right w:val="single" w:sz="6" w:space="0" w:color="231F20"/>
                        </w:tcBorders>
                      </w:tcPr>
                      <w:p w14:paraId="5C393215" w14:textId="77777777" w:rsidR="00080B77" w:rsidRDefault="00080B77">
                        <w:pPr>
                          <w:pStyle w:val="TableParagraph"/>
                          <w:spacing w:before="129"/>
                          <w:ind w:left="23"/>
                          <w:rPr>
                            <w:sz w:val="20"/>
                          </w:rPr>
                        </w:pPr>
                        <w:r>
                          <w:rPr>
                            <w:color w:val="231F20"/>
                            <w:w w:val="75"/>
                            <w:sz w:val="20"/>
                          </w:rPr>
                          <w:t>Put</w:t>
                        </w:r>
                        <w:r>
                          <w:rPr>
                            <w:color w:val="231F20"/>
                            <w:spacing w:val="-26"/>
                            <w:w w:val="75"/>
                            <w:sz w:val="20"/>
                          </w:rPr>
                          <w:t xml:space="preserve"> </w:t>
                        </w:r>
                        <w:r>
                          <w:rPr>
                            <w:color w:val="231F20"/>
                            <w:w w:val="75"/>
                            <w:sz w:val="20"/>
                          </w:rPr>
                          <w:t>in</w:t>
                        </w:r>
                        <w:r>
                          <w:rPr>
                            <w:color w:val="231F20"/>
                            <w:spacing w:val="-25"/>
                            <w:w w:val="75"/>
                            <w:sz w:val="20"/>
                          </w:rPr>
                          <w:t xml:space="preserve"> </w:t>
                        </w:r>
                        <w:r>
                          <w:rPr>
                            <w:color w:val="231F20"/>
                            <w:w w:val="75"/>
                            <w:sz w:val="20"/>
                          </w:rPr>
                          <w:t>place</w:t>
                        </w:r>
                        <w:r>
                          <w:rPr>
                            <w:color w:val="231F20"/>
                            <w:spacing w:val="-25"/>
                            <w:w w:val="75"/>
                            <w:sz w:val="20"/>
                          </w:rPr>
                          <w:t xml:space="preserve"> </w:t>
                        </w:r>
                        <w:r>
                          <w:rPr>
                            <w:color w:val="231F20"/>
                            <w:w w:val="75"/>
                            <w:sz w:val="20"/>
                          </w:rPr>
                          <w:t>community</w:t>
                        </w:r>
                        <w:r>
                          <w:rPr>
                            <w:color w:val="231F20"/>
                            <w:spacing w:val="-25"/>
                            <w:w w:val="75"/>
                            <w:sz w:val="20"/>
                          </w:rPr>
                          <w:t xml:space="preserve"> </w:t>
                        </w:r>
                        <w:r>
                          <w:rPr>
                            <w:color w:val="231F20"/>
                            <w:w w:val="75"/>
                            <w:sz w:val="20"/>
                          </w:rPr>
                          <w:t>health</w:t>
                        </w:r>
                        <w:r>
                          <w:rPr>
                            <w:color w:val="231F20"/>
                            <w:spacing w:val="-25"/>
                            <w:w w:val="75"/>
                            <w:sz w:val="20"/>
                          </w:rPr>
                          <w:t xml:space="preserve"> </w:t>
                        </w:r>
                        <w:r>
                          <w:rPr>
                            <w:color w:val="231F20"/>
                            <w:w w:val="75"/>
                            <w:sz w:val="20"/>
                          </w:rPr>
                          <w:t>perception</w:t>
                        </w:r>
                        <w:r>
                          <w:rPr>
                            <w:color w:val="231F20"/>
                            <w:spacing w:val="-26"/>
                            <w:w w:val="75"/>
                            <w:sz w:val="20"/>
                          </w:rPr>
                          <w:t xml:space="preserve"> </w:t>
                        </w:r>
                        <w:r>
                          <w:rPr>
                            <w:color w:val="231F20"/>
                            <w:w w:val="75"/>
                            <w:sz w:val="20"/>
                          </w:rPr>
                          <w:t>index</w:t>
                        </w:r>
                        <w:r>
                          <w:rPr>
                            <w:color w:val="231F20"/>
                            <w:spacing w:val="-25"/>
                            <w:w w:val="75"/>
                            <w:sz w:val="20"/>
                          </w:rPr>
                          <w:t xml:space="preserve"> </w:t>
                        </w:r>
                        <w:r>
                          <w:rPr>
                            <w:color w:val="231F20"/>
                            <w:w w:val="75"/>
                            <w:sz w:val="20"/>
                          </w:rPr>
                          <w:t>(e.g.</w:t>
                        </w:r>
                        <w:r>
                          <w:rPr>
                            <w:color w:val="231F20"/>
                            <w:spacing w:val="-25"/>
                            <w:w w:val="75"/>
                            <w:sz w:val="20"/>
                          </w:rPr>
                          <w:t xml:space="preserve"> </w:t>
                        </w:r>
                        <w:r>
                          <w:rPr>
                            <w:color w:val="231F20"/>
                            <w:w w:val="75"/>
                            <w:sz w:val="20"/>
                          </w:rPr>
                          <w:t>opinion</w:t>
                        </w:r>
                        <w:r>
                          <w:rPr>
                            <w:color w:val="231F20"/>
                            <w:spacing w:val="-25"/>
                            <w:w w:val="75"/>
                            <w:sz w:val="20"/>
                          </w:rPr>
                          <w:t xml:space="preserve"> </w:t>
                        </w:r>
                        <w:r>
                          <w:rPr>
                            <w:color w:val="231F20"/>
                            <w:w w:val="75"/>
                            <w:sz w:val="20"/>
                          </w:rPr>
                          <w:t>posts)</w:t>
                        </w:r>
                        <w:r>
                          <w:rPr>
                            <w:color w:val="231F20"/>
                            <w:spacing w:val="-25"/>
                            <w:w w:val="75"/>
                            <w:sz w:val="20"/>
                          </w:rPr>
                          <w:t xml:space="preserve"> </w:t>
                        </w:r>
                        <w:r>
                          <w:rPr>
                            <w:color w:val="231F20"/>
                            <w:w w:val="75"/>
                            <w:sz w:val="20"/>
                          </w:rPr>
                          <w:t>at</w:t>
                        </w:r>
                        <w:r>
                          <w:rPr>
                            <w:color w:val="231F20"/>
                            <w:spacing w:val="-25"/>
                            <w:w w:val="75"/>
                            <w:sz w:val="20"/>
                          </w:rPr>
                          <w:t xml:space="preserve"> </w:t>
                        </w:r>
                        <w:r>
                          <w:rPr>
                            <w:color w:val="231F20"/>
                            <w:w w:val="75"/>
                            <w:sz w:val="20"/>
                          </w:rPr>
                          <w:t>every</w:t>
                        </w:r>
                        <w:r>
                          <w:rPr>
                            <w:color w:val="231F20"/>
                            <w:spacing w:val="-26"/>
                            <w:w w:val="75"/>
                            <w:sz w:val="20"/>
                          </w:rPr>
                          <w:t xml:space="preserve"> </w:t>
                        </w:r>
                        <w:r>
                          <w:rPr>
                            <w:color w:val="231F20"/>
                            <w:w w:val="75"/>
                            <w:sz w:val="20"/>
                          </w:rPr>
                          <w:t>Ward</w:t>
                        </w:r>
                      </w:p>
                    </w:tc>
                    <w:tc>
                      <w:tcPr>
                        <w:tcW w:w="1593" w:type="dxa"/>
                        <w:tcBorders>
                          <w:left w:val="single" w:sz="6" w:space="0" w:color="231F20"/>
                          <w:right w:val="single" w:sz="12" w:space="0" w:color="231F20"/>
                        </w:tcBorders>
                      </w:tcPr>
                      <w:p w14:paraId="19433323" w14:textId="77777777" w:rsidR="00080B77" w:rsidRDefault="00080B77">
                        <w:pPr>
                          <w:pStyle w:val="TableParagraph"/>
                          <w:spacing w:before="9"/>
                          <w:ind w:left="22"/>
                          <w:rPr>
                            <w:sz w:val="20"/>
                          </w:rPr>
                        </w:pPr>
                        <w:r>
                          <w:rPr>
                            <w:color w:val="231F20"/>
                            <w:w w:val="75"/>
                            <w:sz w:val="20"/>
                          </w:rPr>
                          <w:t>Lack of funds &amp;</w:t>
                        </w:r>
                      </w:p>
                      <w:p w14:paraId="420D8D0C" w14:textId="77777777" w:rsidR="00080B77" w:rsidRDefault="00080B77">
                        <w:pPr>
                          <w:pStyle w:val="TableParagraph"/>
                          <w:spacing w:before="25" w:line="217" w:lineRule="exact"/>
                          <w:ind w:left="22"/>
                          <w:rPr>
                            <w:sz w:val="20"/>
                          </w:rPr>
                        </w:pPr>
                        <w:r>
                          <w:rPr>
                            <w:color w:val="231F20"/>
                            <w:w w:val="75"/>
                            <w:sz w:val="20"/>
                          </w:rPr>
                          <w:t>collaboration</w:t>
                        </w:r>
                      </w:p>
                    </w:tc>
                    <w:tc>
                      <w:tcPr>
                        <w:tcW w:w="1678" w:type="dxa"/>
                        <w:tcBorders>
                          <w:left w:val="single" w:sz="12" w:space="0" w:color="231F20"/>
                        </w:tcBorders>
                      </w:tcPr>
                      <w:p w14:paraId="1CE8DC34" w14:textId="77777777" w:rsidR="00080B77" w:rsidRDefault="00080B77">
                        <w:pPr>
                          <w:pStyle w:val="TableParagraph"/>
                          <w:spacing w:before="9"/>
                          <w:ind w:left="14"/>
                          <w:rPr>
                            <w:sz w:val="20"/>
                          </w:rPr>
                        </w:pPr>
                        <w:r>
                          <w:rPr>
                            <w:color w:val="231F20"/>
                            <w:w w:val="75"/>
                            <w:sz w:val="20"/>
                          </w:rPr>
                          <w:t>Put in place community</w:t>
                        </w:r>
                      </w:p>
                      <w:p w14:paraId="2C547E60" w14:textId="77777777" w:rsidR="00080B77" w:rsidRDefault="00080B77">
                        <w:pPr>
                          <w:pStyle w:val="TableParagraph"/>
                          <w:spacing w:before="25" w:line="217" w:lineRule="exact"/>
                          <w:ind w:left="14"/>
                          <w:rPr>
                            <w:sz w:val="20"/>
                          </w:rPr>
                        </w:pPr>
                        <w:r>
                          <w:rPr>
                            <w:color w:val="231F20"/>
                            <w:w w:val="75"/>
                            <w:sz w:val="20"/>
                          </w:rPr>
                          <w:t>opinion posts</w:t>
                        </w:r>
                      </w:p>
                    </w:tc>
                  </w:tr>
                </w:tbl>
                <w:p w14:paraId="2C35E77D" w14:textId="77777777" w:rsidR="00080B77" w:rsidRDefault="00080B77">
                  <w:pPr>
                    <w:pStyle w:val="BodyText"/>
                  </w:pPr>
                </w:p>
              </w:txbxContent>
            </v:textbox>
            <w10:wrap anchorx="page" anchory="page"/>
          </v:shape>
        </w:pict>
      </w:r>
    </w:p>
    <w:p w14:paraId="1A38BCB9" w14:textId="77777777" w:rsidR="009948F1" w:rsidRDefault="009948F1">
      <w:pPr>
        <w:pStyle w:val="BodyText"/>
        <w:rPr>
          <w:sz w:val="20"/>
        </w:rPr>
      </w:pPr>
    </w:p>
    <w:p w14:paraId="0DACBE3B" w14:textId="77777777" w:rsidR="009948F1" w:rsidRDefault="009948F1">
      <w:pPr>
        <w:pStyle w:val="BodyText"/>
        <w:rPr>
          <w:sz w:val="20"/>
        </w:rPr>
      </w:pPr>
    </w:p>
    <w:p w14:paraId="370A99AD" w14:textId="77777777" w:rsidR="009948F1" w:rsidRDefault="009948F1">
      <w:pPr>
        <w:pStyle w:val="BodyText"/>
        <w:rPr>
          <w:sz w:val="20"/>
        </w:rPr>
      </w:pPr>
    </w:p>
    <w:p w14:paraId="2CB65D30" w14:textId="77777777" w:rsidR="009948F1" w:rsidRDefault="009948F1">
      <w:pPr>
        <w:pStyle w:val="BodyText"/>
        <w:rPr>
          <w:sz w:val="20"/>
        </w:rPr>
      </w:pPr>
    </w:p>
    <w:p w14:paraId="6B21BE05" w14:textId="77777777" w:rsidR="009948F1" w:rsidRDefault="009948F1">
      <w:pPr>
        <w:pStyle w:val="BodyText"/>
        <w:rPr>
          <w:sz w:val="20"/>
        </w:rPr>
      </w:pPr>
    </w:p>
    <w:p w14:paraId="0883BFE1" w14:textId="77777777" w:rsidR="009948F1" w:rsidRDefault="009948F1">
      <w:pPr>
        <w:pStyle w:val="BodyText"/>
        <w:rPr>
          <w:sz w:val="20"/>
        </w:rPr>
      </w:pPr>
    </w:p>
    <w:p w14:paraId="4164CA2B" w14:textId="77777777" w:rsidR="009948F1" w:rsidRDefault="009948F1">
      <w:pPr>
        <w:pStyle w:val="BodyText"/>
        <w:rPr>
          <w:sz w:val="20"/>
        </w:rPr>
      </w:pPr>
    </w:p>
    <w:p w14:paraId="52ACACA3" w14:textId="77777777" w:rsidR="009948F1" w:rsidRDefault="009948F1">
      <w:pPr>
        <w:pStyle w:val="BodyText"/>
        <w:rPr>
          <w:sz w:val="20"/>
        </w:rPr>
      </w:pPr>
    </w:p>
    <w:p w14:paraId="4567BAF6" w14:textId="77777777" w:rsidR="009948F1" w:rsidRDefault="009948F1">
      <w:pPr>
        <w:pStyle w:val="BodyText"/>
        <w:rPr>
          <w:sz w:val="20"/>
        </w:rPr>
      </w:pPr>
    </w:p>
    <w:p w14:paraId="377C4FBA" w14:textId="77777777" w:rsidR="009948F1" w:rsidRDefault="009948F1">
      <w:pPr>
        <w:pStyle w:val="BodyText"/>
        <w:rPr>
          <w:sz w:val="20"/>
        </w:rPr>
      </w:pPr>
    </w:p>
    <w:p w14:paraId="370B5CAD" w14:textId="77777777" w:rsidR="009948F1" w:rsidRDefault="009948F1">
      <w:pPr>
        <w:pStyle w:val="BodyText"/>
        <w:rPr>
          <w:sz w:val="20"/>
        </w:rPr>
      </w:pPr>
    </w:p>
    <w:p w14:paraId="49EF24F9" w14:textId="77777777" w:rsidR="009948F1" w:rsidRDefault="009948F1">
      <w:pPr>
        <w:pStyle w:val="BodyText"/>
        <w:rPr>
          <w:sz w:val="20"/>
        </w:rPr>
      </w:pPr>
    </w:p>
    <w:p w14:paraId="766A5346" w14:textId="77777777" w:rsidR="009948F1" w:rsidRDefault="009948F1">
      <w:pPr>
        <w:pStyle w:val="BodyText"/>
        <w:rPr>
          <w:sz w:val="20"/>
        </w:rPr>
      </w:pPr>
    </w:p>
    <w:p w14:paraId="68099711" w14:textId="77777777" w:rsidR="009948F1" w:rsidRDefault="009948F1">
      <w:pPr>
        <w:pStyle w:val="BodyText"/>
        <w:rPr>
          <w:sz w:val="20"/>
        </w:rPr>
      </w:pPr>
    </w:p>
    <w:p w14:paraId="52F56415" w14:textId="77777777" w:rsidR="009948F1" w:rsidRDefault="009948F1">
      <w:pPr>
        <w:pStyle w:val="BodyText"/>
        <w:rPr>
          <w:sz w:val="20"/>
        </w:rPr>
      </w:pPr>
    </w:p>
    <w:p w14:paraId="2B0D4B9A" w14:textId="77777777" w:rsidR="009948F1" w:rsidRDefault="009948F1">
      <w:pPr>
        <w:pStyle w:val="BodyText"/>
        <w:rPr>
          <w:sz w:val="20"/>
        </w:rPr>
      </w:pPr>
    </w:p>
    <w:p w14:paraId="381A21D8" w14:textId="77777777" w:rsidR="009948F1" w:rsidRDefault="009948F1">
      <w:pPr>
        <w:pStyle w:val="BodyText"/>
        <w:rPr>
          <w:sz w:val="20"/>
        </w:rPr>
      </w:pPr>
    </w:p>
    <w:p w14:paraId="5D913F92" w14:textId="77777777" w:rsidR="009948F1" w:rsidRDefault="009948F1">
      <w:pPr>
        <w:pStyle w:val="BodyText"/>
        <w:rPr>
          <w:sz w:val="20"/>
        </w:rPr>
      </w:pPr>
    </w:p>
    <w:p w14:paraId="2840B7A8" w14:textId="77777777" w:rsidR="009948F1" w:rsidRDefault="009948F1">
      <w:pPr>
        <w:pStyle w:val="BodyText"/>
        <w:rPr>
          <w:sz w:val="20"/>
        </w:rPr>
      </w:pPr>
    </w:p>
    <w:p w14:paraId="55D265EC" w14:textId="77777777" w:rsidR="009948F1" w:rsidRDefault="009948F1">
      <w:pPr>
        <w:pStyle w:val="BodyText"/>
        <w:rPr>
          <w:sz w:val="20"/>
        </w:rPr>
      </w:pPr>
    </w:p>
    <w:p w14:paraId="039CE9ED" w14:textId="77777777" w:rsidR="009948F1" w:rsidRDefault="009948F1">
      <w:pPr>
        <w:pStyle w:val="BodyText"/>
        <w:rPr>
          <w:sz w:val="20"/>
        </w:rPr>
      </w:pPr>
    </w:p>
    <w:p w14:paraId="35C6DEBF" w14:textId="77777777" w:rsidR="009948F1" w:rsidRDefault="009948F1">
      <w:pPr>
        <w:pStyle w:val="BodyText"/>
        <w:rPr>
          <w:sz w:val="20"/>
        </w:rPr>
      </w:pPr>
    </w:p>
    <w:p w14:paraId="295C2153" w14:textId="77777777" w:rsidR="009948F1" w:rsidRDefault="009948F1">
      <w:pPr>
        <w:pStyle w:val="BodyText"/>
        <w:rPr>
          <w:sz w:val="20"/>
        </w:rPr>
      </w:pPr>
    </w:p>
    <w:p w14:paraId="4E77421F" w14:textId="77777777" w:rsidR="009948F1" w:rsidRDefault="009948F1">
      <w:pPr>
        <w:pStyle w:val="BodyText"/>
        <w:rPr>
          <w:sz w:val="20"/>
        </w:rPr>
      </w:pPr>
    </w:p>
    <w:p w14:paraId="5030785A" w14:textId="77777777" w:rsidR="009948F1" w:rsidRDefault="009948F1">
      <w:pPr>
        <w:pStyle w:val="BodyText"/>
        <w:rPr>
          <w:sz w:val="20"/>
        </w:rPr>
      </w:pPr>
    </w:p>
    <w:p w14:paraId="6E85ED68" w14:textId="77777777" w:rsidR="009948F1" w:rsidRDefault="009948F1">
      <w:pPr>
        <w:pStyle w:val="BodyText"/>
        <w:rPr>
          <w:sz w:val="20"/>
        </w:rPr>
      </w:pPr>
    </w:p>
    <w:p w14:paraId="22F1B162" w14:textId="77777777" w:rsidR="009948F1" w:rsidRDefault="009948F1">
      <w:pPr>
        <w:pStyle w:val="BodyText"/>
        <w:rPr>
          <w:sz w:val="20"/>
        </w:rPr>
      </w:pPr>
    </w:p>
    <w:p w14:paraId="2D2EC728" w14:textId="77777777" w:rsidR="009948F1" w:rsidRDefault="009948F1">
      <w:pPr>
        <w:pStyle w:val="BodyText"/>
        <w:rPr>
          <w:sz w:val="20"/>
        </w:rPr>
      </w:pPr>
    </w:p>
    <w:p w14:paraId="769B191A" w14:textId="77777777" w:rsidR="009948F1" w:rsidRDefault="009948F1">
      <w:pPr>
        <w:pStyle w:val="BodyText"/>
        <w:rPr>
          <w:sz w:val="20"/>
        </w:rPr>
      </w:pPr>
    </w:p>
    <w:p w14:paraId="371EF6E7" w14:textId="77777777" w:rsidR="009948F1" w:rsidRDefault="009948F1">
      <w:pPr>
        <w:pStyle w:val="BodyText"/>
        <w:rPr>
          <w:sz w:val="20"/>
        </w:rPr>
      </w:pPr>
    </w:p>
    <w:p w14:paraId="39F2CA85" w14:textId="77777777" w:rsidR="009948F1" w:rsidRDefault="009948F1">
      <w:pPr>
        <w:pStyle w:val="BodyText"/>
        <w:rPr>
          <w:sz w:val="20"/>
        </w:rPr>
      </w:pPr>
    </w:p>
    <w:p w14:paraId="3250188C" w14:textId="77777777" w:rsidR="009948F1" w:rsidRDefault="009948F1">
      <w:pPr>
        <w:pStyle w:val="BodyText"/>
        <w:rPr>
          <w:sz w:val="20"/>
        </w:rPr>
      </w:pPr>
    </w:p>
    <w:p w14:paraId="45CA9098" w14:textId="77777777" w:rsidR="009948F1" w:rsidRDefault="009948F1">
      <w:pPr>
        <w:pStyle w:val="BodyText"/>
        <w:rPr>
          <w:sz w:val="20"/>
        </w:rPr>
      </w:pPr>
    </w:p>
    <w:p w14:paraId="0719F9FA" w14:textId="77777777" w:rsidR="009948F1" w:rsidRDefault="009948F1">
      <w:pPr>
        <w:pStyle w:val="BodyText"/>
        <w:rPr>
          <w:sz w:val="20"/>
        </w:rPr>
      </w:pPr>
    </w:p>
    <w:p w14:paraId="0A97AEBC" w14:textId="77777777" w:rsidR="009948F1" w:rsidRDefault="009948F1">
      <w:pPr>
        <w:pStyle w:val="BodyText"/>
        <w:spacing w:before="4"/>
        <w:rPr>
          <w:sz w:val="28"/>
        </w:rPr>
      </w:pPr>
    </w:p>
    <w:p w14:paraId="78171DA3" w14:textId="77777777" w:rsidR="009948F1" w:rsidRDefault="00BC0563">
      <w:pPr>
        <w:spacing w:before="74"/>
        <w:ind w:right="2486"/>
        <w:jc w:val="center"/>
        <w:rPr>
          <w:sz w:val="20"/>
        </w:rPr>
      </w:pPr>
      <w:bookmarkStart w:id="153" w:name="Page_127"/>
      <w:bookmarkEnd w:id="153"/>
      <w:r>
        <w:rPr>
          <w:color w:val="231F20"/>
          <w:w w:val="66"/>
          <w:sz w:val="20"/>
        </w:rPr>
        <w:t>•</w:t>
      </w:r>
    </w:p>
    <w:p w14:paraId="29D8F106" w14:textId="77777777" w:rsidR="009948F1" w:rsidRDefault="009948F1">
      <w:pPr>
        <w:jc w:val="center"/>
        <w:rPr>
          <w:sz w:val="20"/>
        </w:rPr>
        <w:sectPr w:rsidR="009948F1">
          <w:pgSz w:w="11910" w:h="16840"/>
          <w:pgMar w:top="1460" w:right="1080" w:bottom="1420" w:left="1120" w:header="0" w:footer="1155" w:gutter="0"/>
          <w:cols w:space="720"/>
        </w:sectPr>
      </w:pPr>
    </w:p>
    <w:tbl>
      <w:tblPr>
        <w:tblW w:w="0" w:type="auto"/>
        <w:tblInd w:w="15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79"/>
        <w:gridCol w:w="405"/>
        <w:gridCol w:w="454"/>
        <w:gridCol w:w="525"/>
        <w:gridCol w:w="2505"/>
        <w:gridCol w:w="2378"/>
        <w:gridCol w:w="1424"/>
        <w:gridCol w:w="1500"/>
      </w:tblGrid>
      <w:tr w:rsidR="009948F1" w14:paraId="4C251DA1" w14:textId="77777777">
        <w:trPr>
          <w:trHeight w:val="375"/>
        </w:trPr>
        <w:tc>
          <w:tcPr>
            <w:tcW w:w="9370" w:type="dxa"/>
            <w:gridSpan w:val="8"/>
            <w:tcBorders>
              <w:left w:val="single" w:sz="6" w:space="0" w:color="231F20"/>
              <w:right w:val="single" w:sz="6" w:space="0" w:color="231F20"/>
            </w:tcBorders>
          </w:tcPr>
          <w:p w14:paraId="02A341EF" w14:textId="77777777" w:rsidR="009948F1" w:rsidRDefault="00BC0563">
            <w:pPr>
              <w:pStyle w:val="TableParagraph"/>
              <w:spacing w:before="47"/>
              <w:ind w:left="1143" w:right="1129"/>
              <w:jc w:val="center"/>
              <w:rPr>
                <w:b/>
              </w:rPr>
            </w:pPr>
            <w:bookmarkStart w:id="154" w:name="Page_128"/>
            <w:bookmarkEnd w:id="154"/>
            <w:r>
              <w:rPr>
                <w:b/>
                <w:color w:val="231F20"/>
                <w:w w:val="90"/>
              </w:rPr>
              <w:lastRenderedPageBreak/>
              <w:t>Strategic Pillar Two: Provision of essential package of health care services</w:t>
            </w:r>
          </w:p>
        </w:tc>
      </w:tr>
      <w:tr w:rsidR="009948F1" w14:paraId="468A5DB1" w14:textId="77777777">
        <w:trPr>
          <w:trHeight w:val="185"/>
        </w:trPr>
        <w:tc>
          <w:tcPr>
            <w:tcW w:w="9370" w:type="dxa"/>
            <w:gridSpan w:val="8"/>
            <w:tcBorders>
              <w:left w:val="single" w:sz="6" w:space="0" w:color="231F20"/>
              <w:bottom w:val="single" w:sz="6" w:space="0" w:color="231F20"/>
              <w:right w:val="single" w:sz="6" w:space="0" w:color="231F20"/>
            </w:tcBorders>
            <w:shd w:val="clear" w:color="auto" w:fill="A6CE39"/>
          </w:tcPr>
          <w:p w14:paraId="46EE7EFC" w14:textId="77777777" w:rsidR="009948F1" w:rsidRDefault="00BC0563">
            <w:pPr>
              <w:pStyle w:val="TableParagraph"/>
              <w:spacing w:line="165" w:lineRule="exact"/>
              <w:ind w:left="1143" w:right="1093"/>
              <w:jc w:val="center"/>
              <w:rPr>
                <w:b/>
                <w:sz w:val="17"/>
              </w:rPr>
            </w:pPr>
            <w:r>
              <w:rPr>
                <w:b/>
                <w:color w:val="231F20"/>
                <w:w w:val="90"/>
                <w:sz w:val="17"/>
              </w:rPr>
              <w:t>4.Reproductive, Maternal, Newborn, Child and Adolescent Health Plus Nutrition</w:t>
            </w:r>
          </w:p>
        </w:tc>
      </w:tr>
      <w:tr w:rsidR="009948F1" w14:paraId="3CD23CEA" w14:textId="77777777">
        <w:trPr>
          <w:trHeight w:val="193"/>
        </w:trPr>
        <w:tc>
          <w:tcPr>
            <w:tcW w:w="9370" w:type="dxa"/>
            <w:gridSpan w:val="8"/>
            <w:tcBorders>
              <w:top w:val="single" w:sz="6" w:space="0" w:color="231F20"/>
              <w:left w:val="single" w:sz="6" w:space="0" w:color="231F20"/>
              <w:bottom w:val="single" w:sz="6" w:space="0" w:color="231F20"/>
              <w:right w:val="single" w:sz="6" w:space="0" w:color="231F20"/>
            </w:tcBorders>
            <w:shd w:val="clear" w:color="auto" w:fill="F6ADCD"/>
          </w:tcPr>
          <w:p w14:paraId="45392877" w14:textId="77777777" w:rsidR="009948F1" w:rsidRDefault="00BC0563">
            <w:pPr>
              <w:pStyle w:val="TableParagraph"/>
              <w:spacing w:before="5"/>
              <w:ind w:left="230"/>
              <w:rPr>
                <w:b/>
                <w:sz w:val="14"/>
              </w:rPr>
            </w:pPr>
            <w:r>
              <w:rPr>
                <w:b/>
                <w:color w:val="231F20"/>
                <w:w w:val="90"/>
                <w:sz w:val="14"/>
              </w:rPr>
              <w:t>4.</w:t>
            </w:r>
            <w:r>
              <w:rPr>
                <w:b/>
                <w:color w:val="231F20"/>
                <w:spacing w:val="-23"/>
                <w:w w:val="90"/>
                <w:sz w:val="14"/>
              </w:rPr>
              <w:t xml:space="preserve"> </w:t>
            </w:r>
            <w:r>
              <w:rPr>
                <w:b/>
                <w:color w:val="231F20"/>
                <w:w w:val="90"/>
                <w:sz w:val="14"/>
              </w:rPr>
              <w:t>Promote</w:t>
            </w:r>
            <w:r>
              <w:rPr>
                <w:b/>
                <w:color w:val="231F20"/>
                <w:spacing w:val="-21"/>
                <w:w w:val="90"/>
                <w:sz w:val="14"/>
              </w:rPr>
              <w:t xml:space="preserve"> </w:t>
            </w:r>
            <w:r>
              <w:rPr>
                <w:b/>
                <w:color w:val="231F20"/>
                <w:w w:val="90"/>
                <w:sz w:val="14"/>
              </w:rPr>
              <w:t>universal</w:t>
            </w:r>
            <w:r>
              <w:rPr>
                <w:b/>
                <w:color w:val="231F20"/>
                <w:spacing w:val="-22"/>
                <w:w w:val="90"/>
                <w:sz w:val="14"/>
              </w:rPr>
              <w:t xml:space="preserve"> </w:t>
            </w:r>
            <w:r>
              <w:rPr>
                <w:b/>
                <w:color w:val="231F20"/>
                <w:w w:val="90"/>
                <w:sz w:val="14"/>
              </w:rPr>
              <w:t>access</w:t>
            </w:r>
            <w:r>
              <w:rPr>
                <w:b/>
                <w:color w:val="231F20"/>
                <w:spacing w:val="-22"/>
                <w:w w:val="90"/>
                <w:sz w:val="14"/>
              </w:rPr>
              <w:t xml:space="preserve"> </w:t>
            </w:r>
            <w:r>
              <w:rPr>
                <w:b/>
                <w:color w:val="231F20"/>
                <w:w w:val="90"/>
                <w:sz w:val="14"/>
              </w:rPr>
              <w:t>to</w:t>
            </w:r>
            <w:r>
              <w:rPr>
                <w:b/>
                <w:color w:val="231F20"/>
                <w:spacing w:val="-22"/>
                <w:w w:val="90"/>
                <w:sz w:val="14"/>
              </w:rPr>
              <w:t xml:space="preserve"> </w:t>
            </w:r>
            <w:r>
              <w:rPr>
                <w:b/>
                <w:color w:val="231F20"/>
                <w:w w:val="90"/>
                <w:sz w:val="14"/>
              </w:rPr>
              <w:t>comprehensive</w:t>
            </w:r>
            <w:r>
              <w:rPr>
                <w:b/>
                <w:color w:val="231F20"/>
                <w:spacing w:val="-21"/>
                <w:w w:val="90"/>
                <w:sz w:val="14"/>
              </w:rPr>
              <w:t xml:space="preserve"> </w:t>
            </w:r>
            <w:r>
              <w:rPr>
                <w:b/>
                <w:color w:val="231F20"/>
                <w:w w:val="90"/>
                <w:sz w:val="14"/>
              </w:rPr>
              <w:t>quality</w:t>
            </w:r>
            <w:r>
              <w:rPr>
                <w:b/>
                <w:color w:val="231F20"/>
                <w:spacing w:val="-22"/>
                <w:w w:val="90"/>
                <w:sz w:val="14"/>
              </w:rPr>
              <w:t xml:space="preserve"> </w:t>
            </w:r>
            <w:r>
              <w:rPr>
                <w:b/>
                <w:color w:val="231F20"/>
                <w:w w:val="90"/>
                <w:sz w:val="14"/>
              </w:rPr>
              <w:t>sexual</w:t>
            </w:r>
            <w:r>
              <w:rPr>
                <w:b/>
                <w:color w:val="231F20"/>
                <w:spacing w:val="-22"/>
                <w:w w:val="90"/>
                <w:sz w:val="14"/>
              </w:rPr>
              <w:t xml:space="preserve"> </w:t>
            </w:r>
            <w:r>
              <w:rPr>
                <w:b/>
                <w:color w:val="231F20"/>
                <w:w w:val="90"/>
                <w:sz w:val="14"/>
              </w:rPr>
              <w:t>and</w:t>
            </w:r>
            <w:r>
              <w:rPr>
                <w:b/>
                <w:color w:val="231F20"/>
                <w:spacing w:val="-22"/>
                <w:w w:val="90"/>
                <w:sz w:val="14"/>
              </w:rPr>
              <w:t xml:space="preserve"> </w:t>
            </w:r>
            <w:r>
              <w:rPr>
                <w:b/>
                <w:color w:val="231F20"/>
                <w:w w:val="90"/>
                <w:sz w:val="14"/>
              </w:rPr>
              <w:t>reproductive</w:t>
            </w:r>
            <w:r>
              <w:rPr>
                <w:b/>
                <w:color w:val="231F20"/>
                <w:spacing w:val="-22"/>
                <w:w w:val="90"/>
                <w:sz w:val="14"/>
              </w:rPr>
              <w:t xml:space="preserve"> </w:t>
            </w:r>
            <w:r>
              <w:rPr>
                <w:b/>
                <w:color w:val="231F20"/>
                <w:w w:val="90"/>
                <w:sz w:val="14"/>
              </w:rPr>
              <w:t>health</w:t>
            </w:r>
            <w:r>
              <w:rPr>
                <w:b/>
                <w:color w:val="231F20"/>
                <w:spacing w:val="-22"/>
                <w:w w:val="90"/>
                <w:sz w:val="14"/>
              </w:rPr>
              <w:t xml:space="preserve"> </w:t>
            </w:r>
            <w:r>
              <w:rPr>
                <w:b/>
                <w:color w:val="231F20"/>
                <w:w w:val="90"/>
                <w:sz w:val="14"/>
              </w:rPr>
              <w:t>services</w:t>
            </w:r>
            <w:r>
              <w:rPr>
                <w:b/>
                <w:color w:val="231F20"/>
                <w:spacing w:val="-8"/>
                <w:w w:val="90"/>
                <w:sz w:val="14"/>
              </w:rPr>
              <w:t xml:space="preserve"> </w:t>
            </w:r>
            <w:r>
              <w:rPr>
                <w:b/>
                <w:color w:val="231F20"/>
                <w:w w:val="90"/>
                <w:sz w:val="14"/>
              </w:rPr>
              <w:t>throughout</w:t>
            </w:r>
            <w:r>
              <w:rPr>
                <w:b/>
                <w:color w:val="231F20"/>
                <w:spacing w:val="-8"/>
                <w:w w:val="90"/>
                <w:sz w:val="14"/>
              </w:rPr>
              <w:t xml:space="preserve"> </w:t>
            </w:r>
            <w:r>
              <w:rPr>
                <w:b/>
                <w:color w:val="231F20"/>
                <w:w w:val="90"/>
                <w:sz w:val="14"/>
              </w:rPr>
              <w:t>life</w:t>
            </w:r>
            <w:r>
              <w:rPr>
                <w:b/>
                <w:color w:val="231F20"/>
                <w:spacing w:val="-22"/>
                <w:w w:val="90"/>
                <w:sz w:val="14"/>
              </w:rPr>
              <w:t xml:space="preserve"> </w:t>
            </w:r>
            <w:r>
              <w:rPr>
                <w:b/>
                <w:color w:val="231F20"/>
                <w:w w:val="90"/>
                <w:sz w:val="14"/>
              </w:rPr>
              <w:t>cycle</w:t>
            </w:r>
            <w:r>
              <w:rPr>
                <w:b/>
                <w:color w:val="231F20"/>
                <w:spacing w:val="-21"/>
                <w:w w:val="90"/>
                <w:sz w:val="14"/>
              </w:rPr>
              <w:t xml:space="preserve"> </w:t>
            </w:r>
            <w:r>
              <w:rPr>
                <w:b/>
                <w:color w:val="231F20"/>
                <w:w w:val="90"/>
                <w:sz w:val="14"/>
              </w:rPr>
              <w:t>and</w:t>
            </w:r>
            <w:r>
              <w:rPr>
                <w:b/>
                <w:color w:val="231F20"/>
                <w:spacing w:val="-22"/>
                <w:w w:val="90"/>
                <w:sz w:val="14"/>
              </w:rPr>
              <w:t xml:space="preserve"> </w:t>
            </w:r>
            <w:r>
              <w:rPr>
                <w:b/>
                <w:color w:val="231F20"/>
                <w:w w:val="90"/>
                <w:sz w:val="14"/>
              </w:rPr>
              <w:t>reduce</w:t>
            </w:r>
            <w:r>
              <w:rPr>
                <w:b/>
                <w:color w:val="231F20"/>
                <w:spacing w:val="-22"/>
                <w:w w:val="90"/>
                <w:sz w:val="14"/>
              </w:rPr>
              <w:t xml:space="preserve"> </w:t>
            </w:r>
            <w:r>
              <w:rPr>
                <w:b/>
                <w:color w:val="231F20"/>
                <w:w w:val="90"/>
                <w:sz w:val="14"/>
              </w:rPr>
              <w:t>maternal,</w:t>
            </w:r>
            <w:r>
              <w:rPr>
                <w:b/>
                <w:color w:val="231F20"/>
                <w:spacing w:val="-22"/>
                <w:w w:val="90"/>
                <w:sz w:val="14"/>
              </w:rPr>
              <w:t xml:space="preserve"> </w:t>
            </w:r>
            <w:r>
              <w:rPr>
                <w:b/>
                <w:color w:val="231F20"/>
                <w:w w:val="90"/>
                <w:sz w:val="14"/>
              </w:rPr>
              <w:t>neonatal,</w:t>
            </w:r>
            <w:r>
              <w:rPr>
                <w:b/>
                <w:color w:val="231F20"/>
                <w:spacing w:val="-22"/>
                <w:w w:val="90"/>
                <w:sz w:val="14"/>
              </w:rPr>
              <w:t xml:space="preserve"> </w:t>
            </w:r>
            <w:r>
              <w:rPr>
                <w:b/>
                <w:color w:val="231F20"/>
                <w:w w:val="90"/>
                <w:sz w:val="14"/>
              </w:rPr>
              <w:t>child</w:t>
            </w:r>
            <w:r>
              <w:rPr>
                <w:b/>
                <w:color w:val="231F20"/>
                <w:spacing w:val="-22"/>
                <w:w w:val="90"/>
                <w:sz w:val="14"/>
              </w:rPr>
              <w:t xml:space="preserve"> </w:t>
            </w:r>
            <w:r>
              <w:rPr>
                <w:b/>
                <w:color w:val="231F20"/>
                <w:w w:val="90"/>
                <w:sz w:val="14"/>
              </w:rPr>
              <w:t>and</w:t>
            </w:r>
          </w:p>
        </w:tc>
      </w:tr>
      <w:tr w:rsidR="009948F1" w14:paraId="3DD95512" w14:textId="77777777">
        <w:trPr>
          <w:trHeight w:val="668"/>
        </w:trPr>
        <w:tc>
          <w:tcPr>
            <w:tcW w:w="179" w:type="dxa"/>
            <w:tcBorders>
              <w:top w:val="single" w:sz="6" w:space="0" w:color="231F20"/>
              <w:left w:val="single" w:sz="6" w:space="0" w:color="231F20"/>
              <w:bottom w:val="nil"/>
              <w:right w:val="single" w:sz="6" w:space="0" w:color="231F20"/>
            </w:tcBorders>
          </w:tcPr>
          <w:p w14:paraId="6877B51F" w14:textId="77777777" w:rsidR="009948F1" w:rsidRDefault="009948F1">
            <w:pPr>
              <w:pStyle w:val="TableParagraph"/>
              <w:rPr>
                <w:rFonts w:ascii="Times New Roman"/>
                <w:sz w:val="12"/>
              </w:rPr>
            </w:pPr>
          </w:p>
        </w:tc>
        <w:tc>
          <w:tcPr>
            <w:tcW w:w="405" w:type="dxa"/>
            <w:tcBorders>
              <w:top w:val="single" w:sz="6" w:space="0" w:color="231F20"/>
              <w:left w:val="single" w:sz="6" w:space="0" w:color="231F20"/>
              <w:bottom w:val="single" w:sz="6" w:space="0" w:color="231F20"/>
              <w:right w:val="single" w:sz="6" w:space="0" w:color="231F20"/>
            </w:tcBorders>
            <w:shd w:val="clear" w:color="auto" w:fill="FFF200"/>
          </w:tcPr>
          <w:p w14:paraId="536C577A" w14:textId="77777777" w:rsidR="009948F1" w:rsidRDefault="009948F1">
            <w:pPr>
              <w:pStyle w:val="TableParagraph"/>
              <w:rPr>
                <w:sz w:val="14"/>
              </w:rPr>
            </w:pPr>
          </w:p>
          <w:p w14:paraId="7E64CEC4" w14:textId="77777777" w:rsidR="009948F1" w:rsidRDefault="00BC0563">
            <w:pPr>
              <w:pStyle w:val="TableParagraph"/>
              <w:spacing w:before="93"/>
              <w:ind w:left="186"/>
              <w:rPr>
                <w:b/>
                <w:sz w:val="14"/>
              </w:rPr>
            </w:pPr>
            <w:r>
              <w:rPr>
                <w:b/>
                <w:color w:val="231F20"/>
                <w:w w:val="95"/>
                <w:sz w:val="14"/>
              </w:rPr>
              <w:t>4.1</w:t>
            </w:r>
          </w:p>
        </w:tc>
        <w:tc>
          <w:tcPr>
            <w:tcW w:w="5862" w:type="dxa"/>
            <w:gridSpan w:val="4"/>
            <w:tcBorders>
              <w:top w:val="single" w:sz="6" w:space="0" w:color="231F20"/>
              <w:left w:val="single" w:sz="6" w:space="0" w:color="231F20"/>
              <w:bottom w:val="single" w:sz="6" w:space="0" w:color="231F20"/>
              <w:right w:val="single" w:sz="8" w:space="0" w:color="231F20"/>
            </w:tcBorders>
            <w:shd w:val="clear" w:color="auto" w:fill="FFF200"/>
          </w:tcPr>
          <w:p w14:paraId="7C5D212C" w14:textId="77777777" w:rsidR="009948F1" w:rsidRDefault="00BC0563">
            <w:pPr>
              <w:pStyle w:val="TableParagraph"/>
              <w:spacing w:line="143" w:lineRule="exact"/>
              <w:ind w:left="2832"/>
              <w:rPr>
                <w:b/>
                <w:sz w:val="14"/>
              </w:rPr>
            </w:pPr>
            <w:r>
              <w:rPr>
                <w:b/>
                <w:color w:val="231F20"/>
                <w:w w:val="95"/>
                <w:sz w:val="14"/>
              </w:rPr>
              <w:t>adolescent morbidity and mortality in Nigeria</w:t>
            </w:r>
          </w:p>
          <w:p w14:paraId="1BCE8B73" w14:textId="77777777" w:rsidR="009948F1" w:rsidRDefault="00BC0563">
            <w:pPr>
              <w:pStyle w:val="TableParagraph"/>
              <w:spacing w:before="12" w:line="276" w:lineRule="auto"/>
              <w:ind w:left="22" w:firstLine="32"/>
              <w:rPr>
                <w:b/>
                <w:sz w:val="14"/>
              </w:rPr>
            </w:pPr>
            <w:r>
              <w:rPr>
                <w:b/>
                <w:color w:val="231F20"/>
                <w:w w:val="85"/>
                <w:sz w:val="14"/>
              </w:rPr>
              <w:t xml:space="preserve">Reduce maternal mortality and morbidity through the provision of timely, safe, appropriate and </w:t>
            </w:r>
            <w:r>
              <w:rPr>
                <w:b/>
                <w:color w:val="231F20"/>
                <w:w w:val="95"/>
                <w:sz w:val="14"/>
              </w:rPr>
              <w:t>effective healthcare services before, during and after child birth.</w:t>
            </w:r>
          </w:p>
        </w:tc>
        <w:tc>
          <w:tcPr>
            <w:tcW w:w="1424" w:type="dxa"/>
            <w:tcBorders>
              <w:top w:val="single" w:sz="6" w:space="0" w:color="231F20"/>
              <w:left w:val="single" w:sz="8" w:space="0" w:color="231F20"/>
              <w:bottom w:val="single" w:sz="6" w:space="0" w:color="231F20"/>
              <w:right w:val="single" w:sz="8" w:space="0" w:color="231F20"/>
            </w:tcBorders>
            <w:shd w:val="clear" w:color="auto" w:fill="FFF200"/>
          </w:tcPr>
          <w:p w14:paraId="5DC874FF" w14:textId="77777777" w:rsidR="009948F1" w:rsidRDefault="009948F1">
            <w:pPr>
              <w:pStyle w:val="TableParagraph"/>
              <w:rPr>
                <w:rFonts w:ascii="Times New Roman"/>
                <w:sz w:val="12"/>
              </w:rPr>
            </w:pPr>
          </w:p>
        </w:tc>
        <w:tc>
          <w:tcPr>
            <w:tcW w:w="1500" w:type="dxa"/>
            <w:tcBorders>
              <w:top w:val="single" w:sz="6" w:space="0" w:color="231F20"/>
              <w:left w:val="single" w:sz="8" w:space="0" w:color="231F20"/>
              <w:bottom w:val="single" w:sz="6" w:space="0" w:color="231F20"/>
              <w:right w:val="single" w:sz="6" w:space="0" w:color="231F20"/>
            </w:tcBorders>
            <w:shd w:val="clear" w:color="auto" w:fill="FFF200"/>
          </w:tcPr>
          <w:p w14:paraId="6E3D39A5" w14:textId="77777777" w:rsidR="009948F1" w:rsidRDefault="009948F1">
            <w:pPr>
              <w:pStyle w:val="TableParagraph"/>
              <w:rPr>
                <w:rFonts w:ascii="Times New Roman"/>
                <w:sz w:val="12"/>
              </w:rPr>
            </w:pPr>
          </w:p>
        </w:tc>
      </w:tr>
      <w:tr w:rsidR="009948F1" w14:paraId="1C9728D8" w14:textId="77777777">
        <w:trPr>
          <w:trHeight w:val="865"/>
        </w:trPr>
        <w:tc>
          <w:tcPr>
            <w:tcW w:w="584" w:type="dxa"/>
            <w:gridSpan w:val="2"/>
            <w:tcBorders>
              <w:top w:val="nil"/>
              <w:left w:val="single" w:sz="6" w:space="0" w:color="231F20"/>
              <w:bottom w:val="nil"/>
              <w:right w:val="single" w:sz="6" w:space="0" w:color="231F20"/>
            </w:tcBorders>
          </w:tcPr>
          <w:p w14:paraId="55A15D31" w14:textId="77777777" w:rsidR="009948F1" w:rsidRDefault="009948F1">
            <w:pPr>
              <w:pStyle w:val="TableParagraph"/>
              <w:rPr>
                <w:rFonts w:ascii="Times New Roman"/>
                <w:sz w:val="12"/>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2A810FD9" w14:textId="77777777" w:rsidR="009948F1" w:rsidRDefault="009948F1">
            <w:pPr>
              <w:pStyle w:val="TableParagraph"/>
              <w:rPr>
                <w:sz w:val="14"/>
              </w:rPr>
            </w:pPr>
          </w:p>
          <w:p w14:paraId="3449B2A7" w14:textId="77777777" w:rsidR="009948F1" w:rsidRDefault="009948F1">
            <w:pPr>
              <w:pStyle w:val="TableParagraph"/>
              <w:spacing w:before="6"/>
              <w:rPr>
                <w:sz w:val="16"/>
              </w:rPr>
            </w:pPr>
          </w:p>
          <w:p w14:paraId="0A577AB3" w14:textId="77777777" w:rsidR="009948F1" w:rsidRDefault="00BC0563">
            <w:pPr>
              <w:pStyle w:val="TableParagraph"/>
              <w:ind w:left="54"/>
              <w:rPr>
                <w:sz w:val="14"/>
              </w:rPr>
            </w:pPr>
            <w:r>
              <w:rPr>
                <w:color w:val="231F20"/>
                <w:w w:val="95"/>
                <w:sz w:val="14"/>
              </w:rPr>
              <w:t>4.1.1</w:t>
            </w:r>
          </w:p>
        </w:tc>
        <w:tc>
          <w:tcPr>
            <w:tcW w:w="3030" w:type="dxa"/>
            <w:gridSpan w:val="2"/>
            <w:tcBorders>
              <w:top w:val="single" w:sz="6" w:space="0" w:color="231F20"/>
              <w:left w:val="single" w:sz="6" w:space="0" w:color="231F20"/>
              <w:bottom w:val="single" w:sz="6" w:space="0" w:color="231F20"/>
              <w:right w:val="single" w:sz="6" w:space="0" w:color="231F20"/>
            </w:tcBorders>
            <w:shd w:val="clear" w:color="auto" w:fill="CCE7D3"/>
          </w:tcPr>
          <w:p w14:paraId="590AEA2F" w14:textId="77777777" w:rsidR="009948F1" w:rsidRDefault="009948F1">
            <w:pPr>
              <w:pStyle w:val="TableParagraph"/>
              <w:rPr>
                <w:sz w:val="14"/>
              </w:rPr>
            </w:pPr>
          </w:p>
          <w:p w14:paraId="12C70004" w14:textId="77777777" w:rsidR="009948F1" w:rsidRDefault="00BC0563">
            <w:pPr>
              <w:pStyle w:val="TableParagraph"/>
              <w:spacing w:before="93" w:line="268" w:lineRule="auto"/>
              <w:ind w:left="21" w:firstLine="32"/>
              <w:rPr>
                <w:sz w:val="14"/>
              </w:rPr>
            </w:pPr>
            <w:r>
              <w:rPr>
                <w:color w:val="231F20"/>
                <w:w w:val="85"/>
                <w:sz w:val="14"/>
              </w:rPr>
              <w:t xml:space="preserve">Improve access to focused Antenatal and Postnatal </w:t>
            </w:r>
            <w:r>
              <w:rPr>
                <w:color w:val="231F20"/>
                <w:w w:val="95"/>
                <w:sz w:val="14"/>
              </w:rPr>
              <w:t>Care</w:t>
            </w:r>
          </w:p>
        </w:tc>
        <w:tc>
          <w:tcPr>
            <w:tcW w:w="2378" w:type="dxa"/>
            <w:tcBorders>
              <w:top w:val="single" w:sz="6" w:space="0" w:color="231F20"/>
              <w:left w:val="single" w:sz="6" w:space="0" w:color="231F20"/>
              <w:bottom w:val="single" w:sz="6" w:space="0" w:color="231F20"/>
              <w:right w:val="single" w:sz="6" w:space="0" w:color="231F20"/>
            </w:tcBorders>
            <w:shd w:val="clear" w:color="auto" w:fill="CCE7D3"/>
          </w:tcPr>
          <w:p w14:paraId="7758655A" w14:textId="77777777" w:rsidR="009948F1" w:rsidRDefault="00BC0563">
            <w:pPr>
              <w:pStyle w:val="TableParagraph"/>
              <w:numPr>
                <w:ilvl w:val="0"/>
                <w:numId w:val="207"/>
              </w:numPr>
              <w:tabs>
                <w:tab w:val="left" w:pos="90"/>
              </w:tabs>
              <w:spacing w:before="79"/>
              <w:ind w:left="89" w:hanging="69"/>
              <w:rPr>
                <w:sz w:val="14"/>
              </w:rPr>
            </w:pPr>
            <w:r>
              <w:rPr>
                <w:color w:val="231F20"/>
                <w:w w:val="95"/>
                <w:sz w:val="14"/>
              </w:rPr>
              <w:t>ANC</w:t>
            </w:r>
            <w:r>
              <w:rPr>
                <w:color w:val="231F20"/>
                <w:spacing w:val="-11"/>
                <w:w w:val="95"/>
                <w:sz w:val="14"/>
              </w:rPr>
              <w:t xml:space="preserve"> </w:t>
            </w:r>
            <w:r>
              <w:rPr>
                <w:color w:val="231F20"/>
                <w:w w:val="95"/>
                <w:sz w:val="14"/>
              </w:rPr>
              <w:t>outreaches</w:t>
            </w:r>
            <w:r>
              <w:rPr>
                <w:color w:val="231F20"/>
                <w:spacing w:val="-10"/>
                <w:w w:val="95"/>
                <w:sz w:val="14"/>
              </w:rPr>
              <w:t xml:space="preserve"> </w:t>
            </w:r>
            <w:r>
              <w:rPr>
                <w:color w:val="231F20"/>
                <w:w w:val="95"/>
                <w:sz w:val="14"/>
              </w:rPr>
              <w:t>carried</w:t>
            </w:r>
            <w:r>
              <w:rPr>
                <w:color w:val="231F20"/>
                <w:spacing w:val="-10"/>
                <w:w w:val="95"/>
                <w:sz w:val="14"/>
              </w:rPr>
              <w:t xml:space="preserve"> </w:t>
            </w:r>
            <w:r>
              <w:rPr>
                <w:color w:val="231F20"/>
                <w:w w:val="95"/>
                <w:sz w:val="14"/>
              </w:rPr>
              <w:t>out</w:t>
            </w:r>
          </w:p>
          <w:p w14:paraId="15352DFA" w14:textId="77777777" w:rsidR="009948F1" w:rsidRDefault="00BC0563">
            <w:pPr>
              <w:pStyle w:val="TableParagraph"/>
              <w:numPr>
                <w:ilvl w:val="0"/>
                <w:numId w:val="207"/>
              </w:numPr>
              <w:tabs>
                <w:tab w:val="left" w:pos="96"/>
              </w:tabs>
              <w:spacing w:before="20"/>
              <w:ind w:left="95" w:hanging="75"/>
              <w:rPr>
                <w:sz w:val="14"/>
              </w:rPr>
            </w:pPr>
            <w:r>
              <w:rPr>
                <w:color w:val="231F20"/>
                <w:w w:val="95"/>
                <w:sz w:val="14"/>
              </w:rPr>
              <w:t>Routine drugs</w:t>
            </w:r>
            <w:r>
              <w:rPr>
                <w:color w:val="231F20"/>
                <w:spacing w:val="-17"/>
                <w:w w:val="95"/>
                <w:sz w:val="14"/>
              </w:rPr>
              <w:t xml:space="preserve"> </w:t>
            </w:r>
            <w:r>
              <w:rPr>
                <w:color w:val="231F20"/>
                <w:w w:val="95"/>
                <w:sz w:val="14"/>
              </w:rPr>
              <w:t>provided</w:t>
            </w:r>
          </w:p>
          <w:p w14:paraId="34318219" w14:textId="77777777" w:rsidR="009948F1" w:rsidRDefault="00BC0563">
            <w:pPr>
              <w:pStyle w:val="TableParagraph"/>
              <w:numPr>
                <w:ilvl w:val="0"/>
                <w:numId w:val="207"/>
              </w:numPr>
              <w:tabs>
                <w:tab w:val="left" w:pos="90"/>
              </w:tabs>
              <w:spacing w:before="19" w:line="268" w:lineRule="auto"/>
              <w:ind w:right="204" w:firstLine="0"/>
              <w:rPr>
                <w:sz w:val="14"/>
              </w:rPr>
            </w:pPr>
            <w:r>
              <w:rPr>
                <w:color w:val="231F20"/>
                <w:w w:val="90"/>
                <w:sz w:val="14"/>
              </w:rPr>
              <w:t>At</w:t>
            </w:r>
            <w:r>
              <w:rPr>
                <w:color w:val="231F20"/>
                <w:spacing w:val="-23"/>
                <w:w w:val="90"/>
                <w:sz w:val="14"/>
              </w:rPr>
              <w:t xml:space="preserve"> </w:t>
            </w:r>
            <w:r>
              <w:rPr>
                <w:color w:val="231F20"/>
                <w:w w:val="90"/>
                <w:sz w:val="14"/>
              </w:rPr>
              <w:t>least</w:t>
            </w:r>
            <w:r>
              <w:rPr>
                <w:color w:val="231F20"/>
                <w:spacing w:val="-22"/>
                <w:w w:val="90"/>
                <w:sz w:val="14"/>
              </w:rPr>
              <w:t xml:space="preserve"> </w:t>
            </w:r>
            <w:r>
              <w:rPr>
                <w:color w:val="231F20"/>
                <w:w w:val="90"/>
                <w:sz w:val="14"/>
              </w:rPr>
              <w:t>one</w:t>
            </w:r>
            <w:r>
              <w:rPr>
                <w:color w:val="231F20"/>
                <w:spacing w:val="-22"/>
                <w:w w:val="90"/>
                <w:sz w:val="14"/>
              </w:rPr>
              <w:t xml:space="preserve"> </w:t>
            </w:r>
            <w:r>
              <w:rPr>
                <w:color w:val="231F20"/>
                <w:w w:val="90"/>
                <w:sz w:val="14"/>
              </w:rPr>
              <w:t>abdominal</w:t>
            </w:r>
            <w:r>
              <w:rPr>
                <w:color w:val="231F20"/>
                <w:spacing w:val="-22"/>
                <w:w w:val="90"/>
                <w:sz w:val="14"/>
              </w:rPr>
              <w:t xml:space="preserve"> </w:t>
            </w:r>
            <w:r>
              <w:rPr>
                <w:color w:val="231F20"/>
                <w:w w:val="90"/>
                <w:sz w:val="14"/>
              </w:rPr>
              <w:t>scan</w:t>
            </w:r>
            <w:r>
              <w:rPr>
                <w:color w:val="231F20"/>
                <w:spacing w:val="-22"/>
                <w:w w:val="90"/>
                <w:sz w:val="14"/>
              </w:rPr>
              <w:t xml:space="preserve"> </w:t>
            </w:r>
            <w:r>
              <w:rPr>
                <w:color w:val="231F20"/>
                <w:spacing w:val="-3"/>
                <w:w w:val="90"/>
                <w:sz w:val="14"/>
              </w:rPr>
              <w:t xml:space="preserve">conducted </w:t>
            </w:r>
            <w:r>
              <w:rPr>
                <w:color w:val="231F20"/>
                <w:w w:val="95"/>
                <w:sz w:val="14"/>
              </w:rPr>
              <w:t>before</w:t>
            </w:r>
            <w:r>
              <w:rPr>
                <w:color w:val="231F20"/>
                <w:spacing w:val="-12"/>
                <w:w w:val="95"/>
                <w:sz w:val="14"/>
              </w:rPr>
              <w:t xml:space="preserve"> </w:t>
            </w:r>
            <w:r>
              <w:rPr>
                <w:color w:val="231F20"/>
                <w:w w:val="95"/>
                <w:sz w:val="14"/>
              </w:rPr>
              <w:t>24</w:t>
            </w:r>
            <w:r>
              <w:rPr>
                <w:color w:val="231F20"/>
                <w:spacing w:val="-12"/>
                <w:w w:val="95"/>
                <w:sz w:val="14"/>
              </w:rPr>
              <w:t xml:space="preserve"> </w:t>
            </w:r>
            <w:r>
              <w:rPr>
                <w:color w:val="231F20"/>
                <w:w w:val="95"/>
                <w:sz w:val="14"/>
              </w:rPr>
              <w:t>weeks</w:t>
            </w:r>
            <w:r>
              <w:rPr>
                <w:color w:val="231F20"/>
                <w:spacing w:val="-11"/>
                <w:w w:val="95"/>
                <w:sz w:val="14"/>
              </w:rPr>
              <w:t xml:space="preserve"> </w:t>
            </w:r>
            <w:r>
              <w:rPr>
                <w:color w:val="231F20"/>
                <w:w w:val="95"/>
                <w:sz w:val="14"/>
              </w:rPr>
              <w:t>of</w:t>
            </w:r>
            <w:r>
              <w:rPr>
                <w:color w:val="231F20"/>
                <w:spacing w:val="-13"/>
                <w:w w:val="95"/>
                <w:sz w:val="14"/>
              </w:rPr>
              <w:t xml:space="preserve"> </w:t>
            </w:r>
            <w:r>
              <w:rPr>
                <w:color w:val="231F20"/>
                <w:w w:val="95"/>
                <w:sz w:val="14"/>
              </w:rPr>
              <w:t>gestation</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6A58CE59" w14:textId="77777777" w:rsidR="009948F1" w:rsidRDefault="009948F1">
            <w:pPr>
              <w:pStyle w:val="TableParagraph"/>
              <w:rPr>
                <w:rFonts w:ascii="Times New Roman"/>
                <w:sz w:val="12"/>
              </w:rPr>
            </w:pPr>
          </w:p>
        </w:tc>
        <w:tc>
          <w:tcPr>
            <w:tcW w:w="1500" w:type="dxa"/>
            <w:tcBorders>
              <w:top w:val="single" w:sz="6" w:space="0" w:color="231F20"/>
              <w:left w:val="single" w:sz="6" w:space="0" w:color="231F20"/>
              <w:bottom w:val="single" w:sz="6" w:space="0" w:color="231F20"/>
              <w:right w:val="single" w:sz="6" w:space="0" w:color="231F20"/>
            </w:tcBorders>
            <w:shd w:val="clear" w:color="auto" w:fill="CCE7D3"/>
          </w:tcPr>
          <w:p w14:paraId="6BF1214B" w14:textId="77777777" w:rsidR="009948F1" w:rsidRDefault="009948F1">
            <w:pPr>
              <w:pStyle w:val="TableParagraph"/>
              <w:rPr>
                <w:rFonts w:ascii="Times New Roman"/>
                <w:sz w:val="12"/>
              </w:rPr>
            </w:pPr>
          </w:p>
        </w:tc>
      </w:tr>
      <w:tr w:rsidR="009948F1" w14:paraId="4E53E4F4" w14:textId="77777777">
        <w:trPr>
          <w:trHeight w:val="740"/>
        </w:trPr>
        <w:tc>
          <w:tcPr>
            <w:tcW w:w="1038" w:type="dxa"/>
            <w:gridSpan w:val="3"/>
            <w:vMerge w:val="restart"/>
            <w:tcBorders>
              <w:top w:val="nil"/>
              <w:left w:val="single" w:sz="6" w:space="0" w:color="231F20"/>
              <w:bottom w:val="nil"/>
              <w:right w:val="single" w:sz="6" w:space="0" w:color="231F20"/>
            </w:tcBorders>
          </w:tcPr>
          <w:p w14:paraId="6E069DD7" w14:textId="77777777" w:rsidR="009948F1" w:rsidRDefault="009948F1">
            <w:pPr>
              <w:pStyle w:val="TableParagraph"/>
              <w:rPr>
                <w:rFonts w:ascii="Times New Roman"/>
                <w:sz w:val="12"/>
              </w:rPr>
            </w:pPr>
          </w:p>
        </w:tc>
        <w:tc>
          <w:tcPr>
            <w:tcW w:w="525" w:type="dxa"/>
            <w:tcBorders>
              <w:top w:val="single" w:sz="6" w:space="0" w:color="231F20"/>
              <w:left w:val="single" w:sz="6" w:space="0" w:color="231F20"/>
              <w:bottom w:val="single" w:sz="6" w:space="0" w:color="231F20"/>
              <w:right w:val="single" w:sz="6" w:space="0" w:color="231F20"/>
            </w:tcBorders>
          </w:tcPr>
          <w:p w14:paraId="0EE223DD" w14:textId="77777777" w:rsidR="009948F1" w:rsidRDefault="009948F1">
            <w:pPr>
              <w:pStyle w:val="TableParagraph"/>
              <w:rPr>
                <w:sz w:val="14"/>
              </w:rPr>
            </w:pPr>
          </w:p>
          <w:p w14:paraId="14869859" w14:textId="77777777" w:rsidR="009948F1" w:rsidRDefault="009948F1">
            <w:pPr>
              <w:pStyle w:val="TableParagraph"/>
              <w:rPr>
                <w:sz w:val="11"/>
              </w:rPr>
            </w:pPr>
          </w:p>
          <w:p w14:paraId="0A8F579E" w14:textId="77777777" w:rsidR="009948F1" w:rsidRDefault="00BC0563">
            <w:pPr>
              <w:pStyle w:val="TableParagraph"/>
              <w:ind w:left="22" w:right="9"/>
              <w:jc w:val="center"/>
              <w:rPr>
                <w:sz w:val="14"/>
              </w:rPr>
            </w:pPr>
            <w:r>
              <w:rPr>
                <w:color w:val="231F20"/>
                <w:w w:val="90"/>
                <w:sz w:val="14"/>
              </w:rPr>
              <w:t>4.1.1.a</w:t>
            </w:r>
          </w:p>
        </w:tc>
        <w:tc>
          <w:tcPr>
            <w:tcW w:w="4883" w:type="dxa"/>
            <w:gridSpan w:val="2"/>
            <w:tcBorders>
              <w:top w:val="single" w:sz="6" w:space="0" w:color="231F20"/>
              <w:left w:val="single" w:sz="6" w:space="0" w:color="231F20"/>
              <w:bottom w:val="single" w:sz="6" w:space="0" w:color="231F20"/>
              <w:right w:val="single" w:sz="6" w:space="0" w:color="231F20"/>
            </w:tcBorders>
          </w:tcPr>
          <w:p w14:paraId="3820EE3D" w14:textId="77777777" w:rsidR="009948F1" w:rsidRDefault="009948F1">
            <w:pPr>
              <w:pStyle w:val="TableParagraph"/>
              <w:spacing w:before="8"/>
              <w:rPr>
                <w:sz w:val="16"/>
              </w:rPr>
            </w:pPr>
          </w:p>
          <w:p w14:paraId="62606995" w14:textId="77777777" w:rsidR="009948F1" w:rsidRDefault="00BC0563">
            <w:pPr>
              <w:pStyle w:val="TableParagraph"/>
              <w:spacing w:line="268" w:lineRule="auto"/>
              <w:ind w:left="21"/>
              <w:rPr>
                <w:sz w:val="14"/>
              </w:rPr>
            </w:pPr>
            <w:r>
              <w:rPr>
                <w:color w:val="231F20"/>
                <w:w w:val="85"/>
                <w:sz w:val="14"/>
              </w:rPr>
              <w:t xml:space="preserve">Conduct meeting for Maternal Newborn &amp; Child Health Core Technical Committee to map </w:t>
            </w:r>
            <w:r>
              <w:rPr>
                <w:color w:val="231F20"/>
                <w:w w:val="95"/>
                <w:sz w:val="14"/>
              </w:rPr>
              <w:t>out Wards with Service Delivery Points for RMNCAH including ANC in the State</w:t>
            </w:r>
          </w:p>
        </w:tc>
        <w:tc>
          <w:tcPr>
            <w:tcW w:w="1424" w:type="dxa"/>
            <w:tcBorders>
              <w:top w:val="single" w:sz="6" w:space="0" w:color="231F20"/>
              <w:left w:val="single" w:sz="6" w:space="0" w:color="231F20"/>
              <w:bottom w:val="single" w:sz="6" w:space="0" w:color="231F20"/>
              <w:right w:val="single" w:sz="8" w:space="0" w:color="231F20"/>
            </w:tcBorders>
          </w:tcPr>
          <w:p w14:paraId="27BF67A6" w14:textId="77777777" w:rsidR="009948F1" w:rsidRDefault="009948F1">
            <w:pPr>
              <w:pStyle w:val="TableParagraph"/>
              <w:rPr>
                <w:sz w:val="14"/>
              </w:rPr>
            </w:pPr>
          </w:p>
          <w:p w14:paraId="74F82212" w14:textId="77777777" w:rsidR="009948F1" w:rsidRDefault="009948F1">
            <w:pPr>
              <w:pStyle w:val="TableParagraph"/>
              <w:rPr>
                <w:sz w:val="11"/>
              </w:rPr>
            </w:pPr>
          </w:p>
          <w:p w14:paraId="6E3FF36A" w14:textId="77777777" w:rsidR="009948F1" w:rsidRDefault="00BC0563">
            <w:pPr>
              <w:pStyle w:val="TableParagraph"/>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266A127C" w14:textId="77777777" w:rsidR="009948F1" w:rsidRDefault="00BC0563">
            <w:pPr>
              <w:pStyle w:val="TableParagraph"/>
              <w:spacing w:before="4" w:line="180" w:lineRule="exact"/>
              <w:ind w:left="18" w:right="-7"/>
              <w:rPr>
                <w:sz w:val="14"/>
              </w:rPr>
            </w:pPr>
            <w:r>
              <w:rPr>
                <w:color w:val="231F20"/>
                <w:w w:val="95"/>
                <w:sz w:val="14"/>
              </w:rPr>
              <w:t xml:space="preserve">Conduct meetings for </w:t>
            </w:r>
            <w:r>
              <w:rPr>
                <w:color w:val="231F20"/>
                <w:w w:val="90"/>
                <w:sz w:val="14"/>
              </w:rPr>
              <w:t xml:space="preserve">Maternal Newborn &amp; </w:t>
            </w:r>
            <w:r>
              <w:rPr>
                <w:color w:val="231F20"/>
                <w:spacing w:val="-4"/>
                <w:w w:val="90"/>
                <w:sz w:val="14"/>
              </w:rPr>
              <w:t xml:space="preserve">Child </w:t>
            </w:r>
            <w:r>
              <w:rPr>
                <w:color w:val="231F20"/>
                <w:w w:val="95"/>
                <w:sz w:val="14"/>
              </w:rPr>
              <w:t>Health Core Technical Committee</w:t>
            </w:r>
          </w:p>
        </w:tc>
      </w:tr>
      <w:tr w:rsidR="009948F1" w14:paraId="5A9E1D54" w14:textId="77777777">
        <w:trPr>
          <w:trHeight w:val="393"/>
        </w:trPr>
        <w:tc>
          <w:tcPr>
            <w:tcW w:w="1038" w:type="dxa"/>
            <w:gridSpan w:val="3"/>
            <w:vMerge/>
            <w:tcBorders>
              <w:top w:val="nil"/>
              <w:left w:val="single" w:sz="6" w:space="0" w:color="231F20"/>
              <w:bottom w:val="nil"/>
              <w:right w:val="single" w:sz="6" w:space="0" w:color="231F20"/>
            </w:tcBorders>
          </w:tcPr>
          <w:p w14:paraId="0383508B"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5FB58730" w14:textId="77777777" w:rsidR="009948F1" w:rsidRDefault="00BC0563">
            <w:pPr>
              <w:pStyle w:val="TableParagraph"/>
              <w:spacing w:before="114"/>
              <w:ind w:left="22" w:right="9"/>
              <w:jc w:val="center"/>
              <w:rPr>
                <w:sz w:val="14"/>
              </w:rPr>
            </w:pPr>
            <w:r>
              <w:rPr>
                <w:color w:val="231F20"/>
                <w:w w:val="90"/>
                <w:sz w:val="14"/>
              </w:rPr>
              <w:t>4.1.1.b</w:t>
            </w:r>
          </w:p>
        </w:tc>
        <w:tc>
          <w:tcPr>
            <w:tcW w:w="4883" w:type="dxa"/>
            <w:gridSpan w:val="2"/>
            <w:tcBorders>
              <w:top w:val="single" w:sz="6" w:space="0" w:color="231F20"/>
              <w:left w:val="single" w:sz="6" w:space="0" w:color="231F20"/>
              <w:bottom w:val="single" w:sz="6" w:space="0" w:color="231F20"/>
              <w:right w:val="single" w:sz="6" w:space="0" w:color="231F20"/>
            </w:tcBorders>
          </w:tcPr>
          <w:p w14:paraId="52101A19" w14:textId="77777777" w:rsidR="009948F1" w:rsidRDefault="00BC0563">
            <w:pPr>
              <w:pStyle w:val="TableParagraph"/>
              <w:spacing w:before="108"/>
              <w:ind w:left="21"/>
              <w:rPr>
                <w:sz w:val="14"/>
              </w:rPr>
            </w:pPr>
            <w:r>
              <w:rPr>
                <w:color w:val="231F20"/>
                <w:w w:val="95"/>
                <w:sz w:val="14"/>
              </w:rPr>
              <w:t>Conduct ANC outreaches</w:t>
            </w:r>
          </w:p>
        </w:tc>
        <w:tc>
          <w:tcPr>
            <w:tcW w:w="1424" w:type="dxa"/>
            <w:tcBorders>
              <w:top w:val="single" w:sz="6" w:space="0" w:color="231F20"/>
              <w:left w:val="single" w:sz="6" w:space="0" w:color="231F20"/>
              <w:bottom w:val="single" w:sz="6" w:space="0" w:color="231F20"/>
              <w:right w:val="single" w:sz="8" w:space="0" w:color="231F20"/>
            </w:tcBorders>
          </w:tcPr>
          <w:p w14:paraId="4EC60CDE" w14:textId="77777777" w:rsidR="009948F1" w:rsidRDefault="00BC0563">
            <w:pPr>
              <w:pStyle w:val="TableParagraph"/>
              <w:spacing w:before="5" w:line="180" w:lineRule="atLeast"/>
              <w:ind w:left="21" w:right="-8"/>
              <w:rPr>
                <w:sz w:val="14"/>
              </w:rPr>
            </w:pPr>
            <w:r>
              <w:rPr>
                <w:color w:val="231F20"/>
                <w:w w:val="90"/>
                <w:sz w:val="14"/>
              </w:rPr>
              <w:t xml:space="preserve">Lack of funds, security &amp; </w:t>
            </w:r>
            <w:r>
              <w:rPr>
                <w:color w:val="231F20"/>
                <w:w w:val="95"/>
                <w:sz w:val="14"/>
              </w:rPr>
              <w:t>difficult terrain</w:t>
            </w:r>
          </w:p>
        </w:tc>
        <w:tc>
          <w:tcPr>
            <w:tcW w:w="1500" w:type="dxa"/>
            <w:tcBorders>
              <w:top w:val="single" w:sz="6" w:space="0" w:color="231F20"/>
              <w:left w:val="single" w:sz="8" w:space="0" w:color="231F20"/>
              <w:bottom w:val="single" w:sz="6" w:space="0" w:color="231F20"/>
              <w:right w:val="single" w:sz="6" w:space="0" w:color="231F20"/>
            </w:tcBorders>
          </w:tcPr>
          <w:p w14:paraId="1EE88E0C" w14:textId="77777777" w:rsidR="009948F1" w:rsidRDefault="00BC0563">
            <w:pPr>
              <w:pStyle w:val="TableParagraph"/>
              <w:spacing w:before="114"/>
              <w:ind w:left="18"/>
              <w:rPr>
                <w:sz w:val="14"/>
              </w:rPr>
            </w:pPr>
            <w:r>
              <w:rPr>
                <w:color w:val="231F20"/>
                <w:w w:val="90"/>
                <w:sz w:val="14"/>
              </w:rPr>
              <w:t>Conduct ANC outreaches</w:t>
            </w:r>
          </w:p>
        </w:tc>
      </w:tr>
      <w:tr w:rsidR="009948F1" w14:paraId="16E70166" w14:textId="77777777">
        <w:trPr>
          <w:trHeight w:val="705"/>
        </w:trPr>
        <w:tc>
          <w:tcPr>
            <w:tcW w:w="1038" w:type="dxa"/>
            <w:gridSpan w:val="3"/>
            <w:vMerge/>
            <w:tcBorders>
              <w:top w:val="nil"/>
              <w:left w:val="single" w:sz="6" w:space="0" w:color="231F20"/>
              <w:bottom w:val="nil"/>
              <w:right w:val="single" w:sz="6" w:space="0" w:color="231F20"/>
            </w:tcBorders>
          </w:tcPr>
          <w:p w14:paraId="7ED7F77A"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3E3E0CF7" w14:textId="77777777" w:rsidR="009948F1" w:rsidRDefault="009948F1">
            <w:pPr>
              <w:pStyle w:val="TableParagraph"/>
              <w:rPr>
                <w:sz w:val="14"/>
              </w:rPr>
            </w:pPr>
          </w:p>
          <w:p w14:paraId="6D842D21" w14:textId="77777777" w:rsidR="009948F1" w:rsidRDefault="00BC0563">
            <w:pPr>
              <w:pStyle w:val="TableParagraph"/>
              <w:spacing w:before="109"/>
              <w:ind w:left="23" w:right="9"/>
              <w:jc w:val="center"/>
              <w:rPr>
                <w:sz w:val="14"/>
              </w:rPr>
            </w:pPr>
            <w:r>
              <w:rPr>
                <w:color w:val="231F20"/>
                <w:w w:val="95"/>
                <w:sz w:val="14"/>
              </w:rPr>
              <w:t>4.1.1.c</w:t>
            </w:r>
          </w:p>
        </w:tc>
        <w:tc>
          <w:tcPr>
            <w:tcW w:w="4883" w:type="dxa"/>
            <w:gridSpan w:val="2"/>
            <w:tcBorders>
              <w:top w:val="single" w:sz="6" w:space="0" w:color="231F20"/>
              <w:left w:val="single" w:sz="6" w:space="0" w:color="231F20"/>
              <w:bottom w:val="single" w:sz="6" w:space="0" w:color="231F20"/>
              <w:right w:val="single" w:sz="6" w:space="0" w:color="231F20"/>
            </w:tcBorders>
          </w:tcPr>
          <w:p w14:paraId="02C43D2F" w14:textId="77777777" w:rsidR="009948F1" w:rsidRDefault="009948F1">
            <w:pPr>
              <w:pStyle w:val="TableParagraph"/>
              <w:spacing w:before="2"/>
              <w:rPr>
                <w:sz w:val="15"/>
              </w:rPr>
            </w:pPr>
          </w:p>
          <w:p w14:paraId="3D6BE0A8" w14:textId="77777777" w:rsidR="009948F1" w:rsidRDefault="00BC0563">
            <w:pPr>
              <w:pStyle w:val="TableParagraph"/>
              <w:spacing w:line="268" w:lineRule="auto"/>
              <w:ind w:left="21"/>
              <w:rPr>
                <w:sz w:val="14"/>
              </w:rPr>
            </w:pPr>
            <w:r>
              <w:rPr>
                <w:color w:val="231F20"/>
                <w:w w:val="85"/>
                <w:sz w:val="14"/>
              </w:rPr>
              <w:t xml:space="preserve">Conduct Integrated Supportive Supervision (ISS) for Primary, Secondary &amp; Private HFs on </w:t>
            </w:r>
            <w:r>
              <w:rPr>
                <w:color w:val="231F20"/>
                <w:w w:val="95"/>
                <w:sz w:val="14"/>
              </w:rPr>
              <w:t>focused Antenatal plus essential newborn and PNC</w:t>
            </w:r>
          </w:p>
        </w:tc>
        <w:tc>
          <w:tcPr>
            <w:tcW w:w="1424" w:type="dxa"/>
            <w:tcBorders>
              <w:top w:val="single" w:sz="6" w:space="0" w:color="231F20"/>
              <w:left w:val="single" w:sz="6" w:space="0" w:color="231F20"/>
              <w:bottom w:val="single" w:sz="6" w:space="0" w:color="231F20"/>
              <w:right w:val="single" w:sz="8" w:space="0" w:color="231F20"/>
            </w:tcBorders>
          </w:tcPr>
          <w:p w14:paraId="6E9669CB" w14:textId="77777777" w:rsidR="009948F1" w:rsidRDefault="009948F1">
            <w:pPr>
              <w:pStyle w:val="TableParagraph"/>
              <w:spacing w:before="8"/>
              <w:rPr>
                <w:sz w:val="15"/>
              </w:rPr>
            </w:pPr>
          </w:p>
          <w:p w14:paraId="1B657CA5" w14:textId="77777777" w:rsidR="009948F1" w:rsidRDefault="00BC0563">
            <w:pPr>
              <w:pStyle w:val="TableParagraph"/>
              <w:spacing w:line="268" w:lineRule="auto"/>
              <w:ind w:left="21" w:right="-8"/>
              <w:rPr>
                <w:sz w:val="14"/>
              </w:rPr>
            </w:pPr>
            <w:r>
              <w:rPr>
                <w:color w:val="231F20"/>
                <w:w w:val="90"/>
                <w:sz w:val="14"/>
              </w:rPr>
              <w:t xml:space="preserve">Lack of funds, security &amp; </w:t>
            </w:r>
            <w:r>
              <w:rPr>
                <w:color w:val="231F20"/>
                <w:w w:val="95"/>
                <w:sz w:val="14"/>
              </w:rPr>
              <w:t>difficult terrain</w:t>
            </w:r>
          </w:p>
        </w:tc>
        <w:tc>
          <w:tcPr>
            <w:tcW w:w="1500" w:type="dxa"/>
            <w:tcBorders>
              <w:top w:val="single" w:sz="6" w:space="0" w:color="231F20"/>
              <w:left w:val="single" w:sz="8" w:space="0" w:color="231F20"/>
              <w:bottom w:val="single" w:sz="6" w:space="0" w:color="231F20"/>
              <w:right w:val="single" w:sz="6" w:space="0" w:color="231F20"/>
            </w:tcBorders>
          </w:tcPr>
          <w:p w14:paraId="1F6B8F00" w14:textId="77777777" w:rsidR="009948F1" w:rsidRDefault="00BC0563">
            <w:pPr>
              <w:pStyle w:val="TableParagraph"/>
              <w:spacing w:before="1" w:line="268" w:lineRule="auto"/>
              <w:ind w:left="18" w:right="-7"/>
              <w:rPr>
                <w:sz w:val="14"/>
              </w:rPr>
            </w:pPr>
            <w:r>
              <w:rPr>
                <w:color w:val="231F20"/>
                <w:w w:val="95"/>
                <w:sz w:val="14"/>
              </w:rPr>
              <w:t xml:space="preserve">Conduct Integrated </w:t>
            </w:r>
            <w:r>
              <w:rPr>
                <w:color w:val="231F20"/>
                <w:w w:val="85"/>
                <w:sz w:val="14"/>
              </w:rPr>
              <w:t xml:space="preserve">Supportive Supervision for </w:t>
            </w:r>
            <w:r>
              <w:rPr>
                <w:color w:val="231F20"/>
                <w:w w:val="95"/>
                <w:sz w:val="14"/>
              </w:rPr>
              <w:t>Primary, Secondary &amp;</w:t>
            </w:r>
          </w:p>
          <w:p w14:paraId="7C59AA4B" w14:textId="77777777" w:rsidR="009948F1" w:rsidRDefault="00BC0563">
            <w:pPr>
              <w:pStyle w:val="TableParagraph"/>
              <w:spacing w:before="1" w:line="142" w:lineRule="exact"/>
              <w:ind w:left="18"/>
              <w:rPr>
                <w:sz w:val="14"/>
              </w:rPr>
            </w:pPr>
            <w:r>
              <w:rPr>
                <w:color w:val="231F20"/>
                <w:w w:val="95"/>
                <w:sz w:val="14"/>
              </w:rPr>
              <w:t>Private HF</w:t>
            </w:r>
          </w:p>
        </w:tc>
      </w:tr>
      <w:tr w:rsidR="009948F1" w14:paraId="7FAFB3AF" w14:textId="77777777">
        <w:trPr>
          <w:trHeight w:val="784"/>
        </w:trPr>
        <w:tc>
          <w:tcPr>
            <w:tcW w:w="1038" w:type="dxa"/>
            <w:gridSpan w:val="3"/>
            <w:vMerge/>
            <w:tcBorders>
              <w:top w:val="nil"/>
              <w:left w:val="single" w:sz="6" w:space="0" w:color="231F20"/>
              <w:bottom w:val="nil"/>
              <w:right w:val="single" w:sz="6" w:space="0" w:color="231F20"/>
            </w:tcBorders>
          </w:tcPr>
          <w:p w14:paraId="372D6D2A"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64C1A631" w14:textId="77777777" w:rsidR="009948F1" w:rsidRDefault="009948F1">
            <w:pPr>
              <w:pStyle w:val="TableParagraph"/>
              <w:rPr>
                <w:sz w:val="14"/>
              </w:rPr>
            </w:pPr>
          </w:p>
          <w:p w14:paraId="7411A002" w14:textId="77777777" w:rsidR="009948F1" w:rsidRDefault="009948F1">
            <w:pPr>
              <w:pStyle w:val="TableParagraph"/>
              <w:spacing w:before="10"/>
              <w:rPr>
                <w:sz w:val="12"/>
              </w:rPr>
            </w:pPr>
          </w:p>
          <w:p w14:paraId="63345061" w14:textId="77777777" w:rsidR="009948F1" w:rsidRDefault="00BC0563">
            <w:pPr>
              <w:pStyle w:val="TableParagraph"/>
              <w:spacing w:before="1"/>
              <w:ind w:left="22" w:right="9"/>
              <w:jc w:val="center"/>
              <w:rPr>
                <w:sz w:val="14"/>
              </w:rPr>
            </w:pPr>
            <w:r>
              <w:rPr>
                <w:color w:val="231F20"/>
                <w:w w:val="90"/>
                <w:sz w:val="14"/>
              </w:rPr>
              <w:t>4.1.1.d</w:t>
            </w:r>
          </w:p>
        </w:tc>
        <w:tc>
          <w:tcPr>
            <w:tcW w:w="4883" w:type="dxa"/>
            <w:gridSpan w:val="2"/>
            <w:tcBorders>
              <w:top w:val="single" w:sz="6" w:space="0" w:color="231F20"/>
              <w:left w:val="single" w:sz="6" w:space="0" w:color="231F20"/>
              <w:bottom w:val="single" w:sz="6" w:space="0" w:color="231F20"/>
              <w:right w:val="single" w:sz="6" w:space="0" w:color="231F20"/>
            </w:tcBorders>
          </w:tcPr>
          <w:p w14:paraId="68FC898E" w14:textId="574E5C62" w:rsidR="009948F1" w:rsidRDefault="00BC0563">
            <w:pPr>
              <w:pStyle w:val="TableParagraph"/>
              <w:spacing w:before="123" w:line="268" w:lineRule="auto"/>
              <w:ind w:left="21" w:right="130"/>
              <w:rPr>
                <w:sz w:val="14"/>
              </w:rPr>
            </w:pPr>
            <w:r>
              <w:rPr>
                <w:color w:val="231F20"/>
                <w:w w:val="90"/>
                <w:sz w:val="14"/>
              </w:rPr>
              <w:t>Provide</w:t>
            </w:r>
            <w:r>
              <w:rPr>
                <w:color w:val="231F20"/>
                <w:spacing w:val="-17"/>
                <w:w w:val="90"/>
                <w:sz w:val="14"/>
              </w:rPr>
              <w:t xml:space="preserve"> </w:t>
            </w:r>
            <w:r>
              <w:rPr>
                <w:color w:val="231F20"/>
                <w:w w:val="90"/>
                <w:sz w:val="14"/>
              </w:rPr>
              <w:t>routine</w:t>
            </w:r>
            <w:r>
              <w:rPr>
                <w:color w:val="231F20"/>
                <w:spacing w:val="-17"/>
                <w:w w:val="90"/>
                <w:sz w:val="14"/>
              </w:rPr>
              <w:t xml:space="preserve"> </w:t>
            </w:r>
            <w:r>
              <w:rPr>
                <w:color w:val="231F20"/>
                <w:w w:val="90"/>
                <w:sz w:val="14"/>
              </w:rPr>
              <w:t>drugs</w:t>
            </w:r>
            <w:r>
              <w:rPr>
                <w:color w:val="231F20"/>
                <w:spacing w:val="-17"/>
                <w:w w:val="90"/>
                <w:sz w:val="14"/>
              </w:rPr>
              <w:t xml:space="preserve"> </w:t>
            </w:r>
            <w:r>
              <w:rPr>
                <w:color w:val="231F20"/>
                <w:w w:val="90"/>
                <w:sz w:val="14"/>
              </w:rPr>
              <w:t>(Folic</w:t>
            </w:r>
            <w:r>
              <w:rPr>
                <w:color w:val="231F20"/>
                <w:spacing w:val="-20"/>
                <w:w w:val="90"/>
                <w:sz w:val="14"/>
              </w:rPr>
              <w:t xml:space="preserve"> </w:t>
            </w:r>
            <w:r>
              <w:rPr>
                <w:color w:val="231F20"/>
                <w:w w:val="90"/>
                <w:sz w:val="14"/>
              </w:rPr>
              <w:t>Acid</w:t>
            </w:r>
            <w:r>
              <w:rPr>
                <w:color w:val="231F20"/>
                <w:spacing w:val="-17"/>
                <w:w w:val="90"/>
                <w:sz w:val="14"/>
              </w:rPr>
              <w:t xml:space="preserve"> </w:t>
            </w:r>
            <w:r>
              <w:rPr>
                <w:color w:val="231F20"/>
                <w:w w:val="90"/>
                <w:sz w:val="14"/>
              </w:rPr>
              <w:t>&amp;</w:t>
            </w:r>
            <w:r>
              <w:rPr>
                <w:color w:val="231F20"/>
                <w:spacing w:val="-17"/>
                <w:w w:val="90"/>
                <w:sz w:val="14"/>
              </w:rPr>
              <w:t xml:space="preserve"> </w:t>
            </w:r>
            <w:proofErr w:type="spellStart"/>
            <w:r w:rsidR="00C84576">
              <w:rPr>
                <w:color w:val="231F20"/>
                <w:w w:val="90"/>
                <w:sz w:val="14"/>
              </w:rPr>
              <w:t>Fe</w:t>
            </w:r>
            <w:r>
              <w:rPr>
                <w:color w:val="231F20"/>
                <w:w w:val="90"/>
                <w:sz w:val="14"/>
              </w:rPr>
              <w:t>solate</w:t>
            </w:r>
            <w:proofErr w:type="spellEnd"/>
            <w:r>
              <w:rPr>
                <w:color w:val="231F20"/>
                <w:w w:val="90"/>
                <w:sz w:val="14"/>
              </w:rPr>
              <w:t>)</w:t>
            </w:r>
            <w:r>
              <w:rPr>
                <w:color w:val="231F20"/>
                <w:spacing w:val="-16"/>
                <w:w w:val="90"/>
                <w:sz w:val="14"/>
              </w:rPr>
              <w:t xml:space="preserve"> </w:t>
            </w:r>
            <w:r>
              <w:rPr>
                <w:color w:val="231F20"/>
                <w:w w:val="90"/>
                <w:sz w:val="14"/>
              </w:rPr>
              <w:t>for</w:t>
            </w:r>
            <w:r>
              <w:rPr>
                <w:color w:val="231F20"/>
                <w:spacing w:val="-17"/>
                <w:w w:val="90"/>
                <w:sz w:val="14"/>
              </w:rPr>
              <w:t xml:space="preserve"> </w:t>
            </w:r>
            <w:r>
              <w:rPr>
                <w:color w:val="231F20"/>
                <w:w w:val="90"/>
                <w:sz w:val="14"/>
              </w:rPr>
              <w:t>Primary</w:t>
            </w:r>
            <w:r>
              <w:rPr>
                <w:color w:val="231F20"/>
                <w:spacing w:val="-17"/>
                <w:w w:val="90"/>
                <w:sz w:val="14"/>
              </w:rPr>
              <w:t xml:space="preserve"> </w:t>
            </w:r>
            <w:r>
              <w:rPr>
                <w:color w:val="231F20"/>
                <w:w w:val="90"/>
                <w:sz w:val="14"/>
              </w:rPr>
              <w:t>&amp;</w:t>
            </w:r>
            <w:r>
              <w:rPr>
                <w:color w:val="231F20"/>
                <w:spacing w:val="-16"/>
                <w:w w:val="90"/>
                <w:sz w:val="14"/>
              </w:rPr>
              <w:t xml:space="preserve"> </w:t>
            </w:r>
            <w:r>
              <w:rPr>
                <w:color w:val="231F20"/>
                <w:w w:val="90"/>
                <w:sz w:val="14"/>
              </w:rPr>
              <w:t>Secondary)</w:t>
            </w:r>
            <w:r>
              <w:rPr>
                <w:color w:val="231F20"/>
                <w:spacing w:val="-17"/>
                <w:w w:val="90"/>
                <w:sz w:val="14"/>
              </w:rPr>
              <w:t xml:space="preserve"> </w:t>
            </w:r>
            <w:r>
              <w:rPr>
                <w:color w:val="231F20"/>
                <w:w w:val="90"/>
                <w:sz w:val="14"/>
              </w:rPr>
              <w:t>HFs</w:t>
            </w:r>
            <w:r>
              <w:rPr>
                <w:color w:val="231F20"/>
                <w:spacing w:val="-17"/>
                <w:w w:val="90"/>
                <w:sz w:val="14"/>
              </w:rPr>
              <w:t xml:space="preserve"> </w:t>
            </w:r>
            <w:r>
              <w:rPr>
                <w:color w:val="231F20"/>
                <w:w w:val="90"/>
                <w:sz w:val="14"/>
              </w:rPr>
              <w:t>for</w:t>
            </w:r>
            <w:r>
              <w:rPr>
                <w:color w:val="231F20"/>
                <w:spacing w:val="-20"/>
                <w:w w:val="90"/>
                <w:sz w:val="14"/>
              </w:rPr>
              <w:t xml:space="preserve"> </w:t>
            </w:r>
            <w:r>
              <w:rPr>
                <w:color w:val="231F20"/>
                <w:w w:val="90"/>
                <w:sz w:val="14"/>
              </w:rPr>
              <w:t>ANC</w:t>
            </w:r>
            <w:r>
              <w:rPr>
                <w:color w:val="231F20"/>
                <w:spacing w:val="-17"/>
                <w:w w:val="90"/>
                <w:sz w:val="14"/>
              </w:rPr>
              <w:t xml:space="preserve"> </w:t>
            </w:r>
            <w:r>
              <w:rPr>
                <w:color w:val="231F20"/>
                <w:w w:val="90"/>
                <w:sz w:val="14"/>
              </w:rPr>
              <w:t xml:space="preserve">&amp; </w:t>
            </w:r>
            <w:r>
              <w:rPr>
                <w:color w:val="231F20"/>
                <w:w w:val="85"/>
                <w:sz w:val="14"/>
              </w:rPr>
              <w:t>PNC</w:t>
            </w:r>
            <w:r>
              <w:rPr>
                <w:color w:val="231F20"/>
                <w:spacing w:val="-4"/>
                <w:w w:val="85"/>
                <w:sz w:val="14"/>
              </w:rPr>
              <w:t xml:space="preserve"> </w:t>
            </w:r>
            <w:r>
              <w:rPr>
                <w:color w:val="231F20"/>
                <w:w w:val="85"/>
                <w:sz w:val="14"/>
              </w:rPr>
              <w:t>mothers</w:t>
            </w:r>
            <w:r>
              <w:rPr>
                <w:color w:val="231F20"/>
                <w:spacing w:val="-4"/>
                <w:w w:val="85"/>
                <w:sz w:val="14"/>
              </w:rPr>
              <w:t xml:space="preserve"> </w:t>
            </w:r>
            <w:r>
              <w:rPr>
                <w:color w:val="231F20"/>
                <w:w w:val="85"/>
                <w:sz w:val="14"/>
              </w:rPr>
              <w:t>and</w:t>
            </w:r>
            <w:r>
              <w:rPr>
                <w:color w:val="231F20"/>
                <w:spacing w:val="-4"/>
                <w:w w:val="85"/>
                <w:sz w:val="14"/>
              </w:rPr>
              <w:t xml:space="preserve"> </w:t>
            </w:r>
            <w:proofErr w:type="spellStart"/>
            <w:r>
              <w:rPr>
                <w:color w:val="231F20"/>
                <w:w w:val="85"/>
                <w:sz w:val="14"/>
              </w:rPr>
              <w:t>Sulphadoxine</w:t>
            </w:r>
            <w:proofErr w:type="spellEnd"/>
            <w:r>
              <w:rPr>
                <w:color w:val="231F20"/>
                <w:spacing w:val="-4"/>
                <w:w w:val="85"/>
                <w:sz w:val="14"/>
              </w:rPr>
              <w:t xml:space="preserve"> </w:t>
            </w:r>
            <w:r>
              <w:rPr>
                <w:color w:val="231F20"/>
                <w:w w:val="85"/>
                <w:sz w:val="14"/>
              </w:rPr>
              <w:t>Pyrimethamine</w:t>
            </w:r>
            <w:r>
              <w:rPr>
                <w:color w:val="231F20"/>
                <w:spacing w:val="-4"/>
                <w:w w:val="85"/>
                <w:sz w:val="14"/>
              </w:rPr>
              <w:t xml:space="preserve"> </w:t>
            </w:r>
            <w:r>
              <w:rPr>
                <w:color w:val="231F20"/>
                <w:w w:val="85"/>
                <w:sz w:val="14"/>
              </w:rPr>
              <w:t>(SP)</w:t>
            </w:r>
            <w:r>
              <w:rPr>
                <w:color w:val="231F20"/>
                <w:spacing w:val="-4"/>
                <w:w w:val="85"/>
                <w:sz w:val="14"/>
              </w:rPr>
              <w:t xml:space="preserve"> </w:t>
            </w:r>
            <w:r>
              <w:rPr>
                <w:color w:val="231F20"/>
                <w:w w:val="85"/>
                <w:sz w:val="14"/>
              </w:rPr>
              <w:t>for</w:t>
            </w:r>
            <w:r>
              <w:rPr>
                <w:color w:val="231F20"/>
                <w:spacing w:val="-4"/>
                <w:w w:val="85"/>
                <w:sz w:val="14"/>
              </w:rPr>
              <w:t xml:space="preserve"> </w:t>
            </w:r>
            <w:r w:rsidR="00C84576">
              <w:rPr>
                <w:color w:val="231F20"/>
                <w:w w:val="85"/>
                <w:sz w:val="14"/>
              </w:rPr>
              <w:t>Intermittent</w:t>
            </w:r>
            <w:r>
              <w:rPr>
                <w:color w:val="231F20"/>
                <w:spacing w:val="-5"/>
                <w:w w:val="85"/>
                <w:sz w:val="14"/>
              </w:rPr>
              <w:t xml:space="preserve"> </w:t>
            </w:r>
            <w:r>
              <w:rPr>
                <w:color w:val="231F20"/>
                <w:w w:val="85"/>
                <w:sz w:val="14"/>
              </w:rPr>
              <w:t>Preventive</w:t>
            </w:r>
            <w:r>
              <w:rPr>
                <w:color w:val="231F20"/>
                <w:spacing w:val="-6"/>
                <w:w w:val="85"/>
                <w:sz w:val="14"/>
              </w:rPr>
              <w:t xml:space="preserve"> </w:t>
            </w:r>
            <w:r>
              <w:rPr>
                <w:color w:val="231F20"/>
                <w:w w:val="85"/>
                <w:sz w:val="14"/>
              </w:rPr>
              <w:t xml:space="preserve">Treatment </w:t>
            </w:r>
            <w:r>
              <w:rPr>
                <w:color w:val="231F20"/>
                <w:w w:val="95"/>
                <w:sz w:val="14"/>
              </w:rPr>
              <w:t>(IPT)</w:t>
            </w:r>
            <w:r>
              <w:rPr>
                <w:color w:val="231F20"/>
                <w:spacing w:val="-20"/>
                <w:w w:val="95"/>
                <w:sz w:val="14"/>
              </w:rPr>
              <w:t xml:space="preserve"> </w:t>
            </w:r>
            <w:r>
              <w:rPr>
                <w:color w:val="231F20"/>
                <w:w w:val="95"/>
                <w:sz w:val="14"/>
              </w:rPr>
              <w:t>of</w:t>
            </w:r>
            <w:r>
              <w:rPr>
                <w:color w:val="231F20"/>
                <w:spacing w:val="-19"/>
                <w:w w:val="95"/>
                <w:sz w:val="14"/>
              </w:rPr>
              <w:t xml:space="preserve"> </w:t>
            </w:r>
            <w:r>
              <w:rPr>
                <w:color w:val="231F20"/>
                <w:w w:val="95"/>
                <w:sz w:val="14"/>
              </w:rPr>
              <w:t>malaria</w:t>
            </w:r>
            <w:r>
              <w:rPr>
                <w:color w:val="231F20"/>
                <w:spacing w:val="-20"/>
                <w:w w:val="95"/>
                <w:sz w:val="14"/>
              </w:rPr>
              <w:t xml:space="preserve"> </w:t>
            </w:r>
            <w:r>
              <w:rPr>
                <w:color w:val="231F20"/>
                <w:w w:val="95"/>
                <w:sz w:val="14"/>
              </w:rPr>
              <w:t>for</w:t>
            </w:r>
            <w:r>
              <w:rPr>
                <w:color w:val="231F20"/>
                <w:spacing w:val="-19"/>
                <w:w w:val="95"/>
                <w:sz w:val="14"/>
              </w:rPr>
              <w:t xml:space="preserve"> </w:t>
            </w:r>
            <w:r>
              <w:rPr>
                <w:color w:val="231F20"/>
                <w:w w:val="95"/>
                <w:sz w:val="14"/>
              </w:rPr>
              <w:t>pregnant</w:t>
            </w:r>
            <w:r>
              <w:rPr>
                <w:color w:val="231F20"/>
                <w:spacing w:val="-19"/>
                <w:w w:val="95"/>
                <w:sz w:val="14"/>
              </w:rPr>
              <w:t xml:space="preserve"> </w:t>
            </w:r>
            <w:r>
              <w:rPr>
                <w:color w:val="231F20"/>
                <w:w w:val="95"/>
                <w:sz w:val="14"/>
              </w:rPr>
              <w:t>mothers</w:t>
            </w:r>
            <w:r>
              <w:rPr>
                <w:color w:val="231F20"/>
                <w:spacing w:val="-20"/>
                <w:w w:val="95"/>
                <w:sz w:val="14"/>
              </w:rPr>
              <w:t xml:space="preserve"> </w:t>
            </w:r>
            <w:r>
              <w:rPr>
                <w:color w:val="231F20"/>
                <w:w w:val="95"/>
                <w:sz w:val="14"/>
              </w:rPr>
              <w:t>for</w:t>
            </w:r>
            <w:r>
              <w:rPr>
                <w:color w:val="231F20"/>
                <w:spacing w:val="-19"/>
                <w:w w:val="95"/>
                <w:sz w:val="14"/>
              </w:rPr>
              <w:t xml:space="preserve"> </w:t>
            </w:r>
            <w:r>
              <w:rPr>
                <w:color w:val="231F20"/>
                <w:w w:val="95"/>
                <w:sz w:val="14"/>
              </w:rPr>
              <w:t>Primary</w:t>
            </w:r>
            <w:r>
              <w:rPr>
                <w:color w:val="231F20"/>
                <w:spacing w:val="-19"/>
                <w:w w:val="95"/>
                <w:sz w:val="14"/>
              </w:rPr>
              <w:t xml:space="preserve"> </w:t>
            </w:r>
            <w:r>
              <w:rPr>
                <w:color w:val="231F20"/>
                <w:w w:val="95"/>
                <w:sz w:val="14"/>
              </w:rPr>
              <w:t>&amp;</w:t>
            </w:r>
            <w:r>
              <w:rPr>
                <w:color w:val="231F20"/>
                <w:spacing w:val="-19"/>
                <w:w w:val="95"/>
                <w:sz w:val="14"/>
              </w:rPr>
              <w:t xml:space="preserve"> </w:t>
            </w:r>
            <w:r>
              <w:rPr>
                <w:color w:val="231F20"/>
                <w:w w:val="95"/>
                <w:sz w:val="14"/>
              </w:rPr>
              <w:t>Secondary</w:t>
            </w:r>
            <w:r>
              <w:rPr>
                <w:color w:val="231F20"/>
                <w:spacing w:val="-19"/>
                <w:w w:val="95"/>
                <w:sz w:val="14"/>
              </w:rPr>
              <w:t xml:space="preserve"> </w:t>
            </w:r>
            <w:r>
              <w:rPr>
                <w:color w:val="231F20"/>
                <w:w w:val="95"/>
                <w:sz w:val="14"/>
              </w:rPr>
              <w:t>HFs</w:t>
            </w:r>
            <w:r>
              <w:rPr>
                <w:color w:val="231F20"/>
                <w:spacing w:val="-19"/>
                <w:w w:val="95"/>
                <w:sz w:val="14"/>
              </w:rPr>
              <w:t xml:space="preserve"> </w:t>
            </w:r>
            <w:r>
              <w:rPr>
                <w:color w:val="231F20"/>
                <w:w w:val="95"/>
                <w:sz w:val="14"/>
              </w:rPr>
              <w:t>in</w:t>
            </w:r>
            <w:r>
              <w:rPr>
                <w:color w:val="231F20"/>
                <w:spacing w:val="-20"/>
                <w:w w:val="95"/>
                <w:sz w:val="14"/>
              </w:rPr>
              <w:t xml:space="preserve"> </w:t>
            </w:r>
            <w:r>
              <w:rPr>
                <w:color w:val="231F20"/>
                <w:w w:val="95"/>
                <w:sz w:val="14"/>
              </w:rPr>
              <w:t>the</w:t>
            </w:r>
            <w:r>
              <w:rPr>
                <w:color w:val="231F20"/>
                <w:spacing w:val="-19"/>
                <w:w w:val="95"/>
                <w:sz w:val="14"/>
              </w:rPr>
              <w:t xml:space="preserve"> </w:t>
            </w:r>
            <w:r>
              <w:rPr>
                <w:color w:val="231F20"/>
                <w:w w:val="95"/>
                <w:sz w:val="14"/>
              </w:rPr>
              <w:t>state</w:t>
            </w:r>
          </w:p>
        </w:tc>
        <w:tc>
          <w:tcPr>
            <w:tcW w:w="1424" w:type="dxa"/>
            <w:tcBorders>
              <w:top w:val="single" w:sz="6" w:space="0" w:color="231F20"/>
              <w:left w:val="single" w:sz="6" w:space="0" w:color="231F20"/>
              <w:bottom w:val="single" w:sz="6" w:space="0" w:color="231F20"/>
              <w:right w:val="single" w:sz="8" w:space="0" w:color="231F20"/>
            </w:tcBorders>
          </w:tcPr>
          <w:p w14:paraId="3B35F124" w14:textId="77777777" w:rsidR="009948F1" w:rsidRDefault="009948F1">
            <w:pPr>
              <w:pStyle w:val="TableParagraph"/>
              <w:spacing w:before="1"/>
              <w:rPr>
                <w:sz w:val="19"/>
              </w:rPr>
            </w:pPr>
          </w:p>
          <w:p w14:paraId="1F70C2C7" w14:textId="77777777" w:rsidR="009948F1" w:rsidRDefault="00BC0563">
            <w:pPr>
              <w:pStyle w:val="TableParagraph"/>
              <w:spacing w:line="268" w:lineRule="auto"/>
              <w:ind w:left="21" w:right="-8"/>
              <w:rPr>
                <w:sz w:val="14"/>
              </w:rPr>
            </w:pPr>
            <w:r>
              <w:rPr>
                <w:color w:val="231F20"/>
                <w:w w:val="90"/>
                <w:sz w:val="14"/>
              </w:rPr>
              <w:t xml:space="preserve">Lack of funds, security &amp; </w:t>
            </w:r>
            <w:r>
              <w:rPr>
                <w:color w:val="231F20"/>
                <w:w w:val="95"/>
                <w:sz w:val="14"/>
              </w:rPr>
              <w:t>difficult terrain</w:t>
            </w:r>
          </w:p>
        </w:tc>
        <w:tc>
          <w:tcPr>
            <w:tcW w:w="1500" w:type="dxa"/>
            <w:tcBorders>
              <w:top w:val="single" w:sz="6" w:space="0" w:color="231F20"/>
              <w:left w:val="single" w:sz="8" w:space="0" w:color="231F20"/>
              <w:bottom w:val="single" w:sz="6" w:space="0" w:color="231F20"/>
              <w:right w:val="single" w:sz="6" w:space="0" w:color="231F20"/>
            </w:tcBorders>
          </w:tcPr>
          <w:p w14:paraId="43ED17D2" w14:textId="77777777" w:rsidR="009948F1" w:rsidRDefault="009948F1">
            <w:pPr>
              <w:pStyle w:val="TableParagraph"/>
              <w:rPr>
                <w:sz w:val="14"/>
              </w:rPr>
            </w:pPr>
          </w:p>
          <w:p w14:paraId="79B7B0B9" w14:textId="77777777" w:rsidR="009948F1" w:rsidRDefault="009948F1">
            <w:pPr>
              <w:pStyle w:val="TableParagraph"/>
              <w:spacing w:before="10"/>
              <w:rPr>
                <w:sz w:val="12"/>
              </w:rPr>
            </w:pPr>
          </w:p>
          <w:p w14:paraId="17039675" w14:textId="77777777" w:rsidR="009948F1" w:rsidRDefault="00BC0563">
            <w:pPr>
              <w:pStyle w:val="TableParagraph"/>
              <w:spacing w:before="1"/>
              <w:ind w:left="18"/>
              <w:rPr>
                <w:sz w:val="14"/>
              </w:rPr>
            </w:pPr>
            <w:r>
              <w:rPr>
                <w:color w:val="231F20"/>
                <w:w w:val="95"/>
                <w:sz w:val="14"/>
              </w:rPr>
              <w:t>Costed in OHT</w:t>
            </w:r>
          </w:p>
        </w:tc>
      </w:tr>
      <w:tr w:rsidR="009948F1" w14:paraId="37286ADE" w14:textId="77777777">
        <w:trPr>
          <w:trHeight w:val="518"/>
        </w:trPr>
        <w:tc>
          <w:tcPr>
            <w:tcW w:w="1038" w:type="dxa"/>
            <w:gridSpan w:val="3"/>
            <w:vMerge/>
            <w:tcBorders>
              <w:top w:val="nil"/>
              <w:left w:val="single" w:sz="6" w:space="0" w:color="231F20"/>
              <w:bottom w:val="nil"/>
              <w:right w:val="single" w:sz="6" w:space="0" w:color="231F20"/>
            </w:tcBorders>
          </w:tcPr>
          <w:p w14:paraId="128D2EB9"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D462348" w14:textId="77777777" w:rsidR="009948F1" w:rsidRDefault="009948F1">
            <w:pPr>
              <w:pStyle w:val="TableParagraph"/>
              <w:spacing w:before="5"/>
              <w:rPr>
                <w:sz w:val="15"/>
              </w:rPr>
            </w:pPr>
          </w:p>
          <w:p w14:paraId="16C46437" w14:textId="77777777" w:rsidR="009948F1" w:rsidRDefault="00BC0563">
            <w:pPr>
              <w:pStyle w:val="TableParagraph"/>
              <w:ind w:left="22" w:right="9"/>
              <w:jc w:val="center"/>
              <w:rPr>
                <w:sz w:val="14"/>
              </w:rPr>
            </w:pPr>
            <w:r>
              <w:rPr>
                <w:color w:val="231F20"/>
                <w:w w:val="90"/>
                <w:sz w:val="14"/>
              </w:rPr>
              <w:t>4.1.1.e</w:t>
            </w:r>
          </w:p>
        </w:tc>
        <w:tc>
          <w:tcPr>
            <w:tcW w:w="4883" w:type="dxa"/>
            <w:gridSpan w:val="2"/>
            <w:tcBorders>
              <w:top w:val="single" w:sz="6" w:space="0" w:color="231F20"/>
              <w:left w:val="single" w:sz="6" w:space="0" w:color="231F20"/>
              <w:bottom w:val="single" w:sz="6" w:space="0" w:color="231F20"/>
              <w:right w:val="single" w:sz="6" w:space="0" w:color="231F20"/>
            </w:tcBorders>
          </w:tcPr>
          <w:p w14:paraId="07454A68" w14:textId="77777777" w:rsidR="009948F1" w:rsidRDefault="009948F1">
            <w:pPr>
              <w:pStyle w:val="TableParagraph"/>
              <w:spacing w:before="10"/>
              <w:rPr>
                <w:sz w:val="14"/>
              </w:rPr>
            </w:pPr>
          </w:p>
          <w:p w14:paraId="084422A5" w14:textId="77777777" w:rsidR="009948F1" w:rsidRDefault="00BC0563">
            <w:pPr>
              <w:pStyle w:val="TableParagraph"/>
              <w:ind w:left="54"/>
              <w:rPr>
                <w:sz w:val="14"/>
              </w:rPr>
            </w:pPr>
            <w:r>
              <w:rPr>
                <w:color w:val="231F20"/>
                <w:w w:val="95"/>
                <w:sz w:val="14"/>
              </w:rPr>
              <w:t>Conduct at least one abdominal scan (before 24 weeks of gestation)</w:t>
            </w:r>
          </w:p>
        </w:tc>
        <w:tc>
          <w:tcPr>
            <w:tcW w:w="1424" w:type="dxa"/>
            <w:tcBorders>
              <w:top w:val="single" w:sz="6" w:space="0" w:color="231F20"/>
              <w:left w:val="single" w:sz="6" w:space="0" w:color="231F20"/>
              <w:bottom w:val="single" w:sz="6" w:space="0" w:color="231F20"/>
              <w:right w:val="single" w:sz="8" w:space="0" w:color="231F20"/>
            </w:tcBorders>
          </w:tcPr>
          <w:p w14:paraId="38F1C386" w14:textId="77777777" w:rsidR="009948F1" w:rsidRDefault="009948F1">
            <w:pPr>
              <w:pStyle w:val="TableParagraph"/>
              <w:spacing w:before="5"/>
              <w:rPr>
                <w:sz w:val="15"/>
              </w:rPr>
            </w:pPr>
          </w:p>
          <w:p w14:paraId="2DE6AC45" w14:textId="77777777" w:rsidR="009948F1" w:rsidRDefault="00BC0563">
            <w:pPr>
              <w:pStyle w:val="TableParagraph"/>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056B9C93" w14:textId="77777777" w:rsidR="009948F1" w:rsidRDefault="009948F1">
            <w:pPr>
              <w:pStyle w:val="TableParagraph"/>
              <w:spacing w:before="5"/>
              <w:rPr>
                <w:sz w:val="15"/>
              </w:rPr>
            </w:pPr>
          </w:p>
          <w:p w14:paraId="0C626E26" w14:textId="77777777" w:rsidR="009948F1" w:rsidRDefault="00BC0563">
            <w:pPr>
              <w:pStyle w:val="TableParagraph"/>
              <w:ind w:left="18"/>
              <w:rPr>
                <w:sz w:val="14"/>
              </w:rPr>
            </w:pPr>
            <w:r>
              <w:rPr>
                <w:color w:val="231F20"/>
                <w:w w:val="95"/>
                <w:sz w:val="14"/>
              </w:rPr>
              <w:t>No cost</w:t>
            </w:r>
          </w:p>
        </w:tc>
      </w:tr>
      <w:tr w:rsidR="009948F1" w14:paraId="5ED1D062" w14:textId="77777777">
        <w:trPr>
          <w:trHeight w:val="793"/>
        </w:trPr>
        <w:tc>
          <w:tcPr>
            <w:tcW w:w="584" w:type="dxa"/>
            <w:gridSpan w:val="2"/>
            <w:tcBorders>
              <w:top w:val="nil"/>
              <w:left w:val="single" w:sz="6" w:space="0" w:color="231F20"/>
              <w:bottom w:val="nil"/>
              <w:right w:val="single" w:sz="6" w:space="0" w:color="231F20"/>
            </w:tcBorders>
          </w:tcPr>
          <w:p w14:paraId="24988FEE" w14:textId="77777777" w:rsidR="009948F1" w:rsidRDefault="009948F1">
            <w:pPr>
              <w:pStyle w:val="TableParagraph"/>
              <w:rPr>
                <w:rFonts w:ascii="Times New Roman"/>
                <w:sz w:val="12"/>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0BD669AB" w14:textId="77777777" w:rsidR="009948F1" w:rsidRDefault="009948F1">
            <w:pPr>
              <w:pStyle w:val="TableParagraph"/>
              <w:rPr>
                <w:sz w:val="14"/>
              </w:rPr>
            </w:pPr>
          </w:p>
          <w:p w14:paraId="3BA06E2F" w14:textId="77777777" w:rsidR="009948F1" w:rsidRDefault="009948F1">
            <w:pPr>
              <w:pStyle w:val="TableParagraph"/>
              <w:spacing w:before="3"/>
              <w:rPr>
                <w:sz w:val="13"/>
              </w:rPr>
            </w:pPr>
          </w:p>
          <w:p w14:paraId="14AFC93C" w14:textId="77777777" w:rsidR="009948F1" w:rsidRDefault="00BC0563">
            <w:pPr>
              <w:pStyle w:val="TableParagraph"/>
              <w:ind w:left="54"/>
              <w:rPr>
                <w:sz w:val="14"/>
              </w:rPr>
            </w:pPr>
            <w:r>
              <w:rPr>
                <w:color w:val="231F20"/>
                <w:w w:val="95"/>
                <w:sz w:val="14"/>
              </w:rPr>
              <w:t>4.1.2</w:t>
            </w:r>
          </w:p>
        </w:tc>
        <w:tc>
          <w:tcPr>
            <w:tcW w:w="3030" w:type="dxa"/>
            <w:gridSpan w:val="2"/>
            <w:tcBorders>
              <w:top w:val="single" w:sz="6" w:space="0" w:color="231F20"/>
              <w:left w:val="single" w:sz="6" w:space="0" w:color="231F20"/>
              <w:bottom w:val="single" w:sz="6" w:space="0" w:color="231F20"/>
              <w:right w:val="single" w:sz="6" w:space="0" w:color="231F20"/>
            </w:tcBorders>
            <w:shd w:val="clear" w:color="auto" w:fill="CCE7D3"/>
          </w:tcPr>
          <w:p w14:paraId="36C7B334" w14:textId="77777777" w:rsidR="009948F1" w:rsidRDefault="009948F1">
            <w:pPr>
              <w:pStyle w:val="TableParagraph"/>
              <w:rPr>
                <w:sz w:val="14"/>
              </w:rPr>
            </w:pPr>
          </w:p>
          <w:p w14:paraId="26329268" w14:textId="77777777" w:rsidR="009948F1" w:rsidRDefault="009948F1">
            <w:pPr>
              <w:pStyle w:val="TableParagraph"/>
              <w:spacing w:before="9"/>
              <w:rPr>
                <w:sz w:val="12"/>
              </w:rPr>
            </w:pPr>
          </w:p>
          <w:p w14:paraId="7D276250" w14:textId="77777777" w:rsidR="009948F1" w:rsidRDefault="00BC0563">
            <w:pPr>
              <w:pStyle w:val="TableParagraph"/>
              <w:ind w:left="54"/>
              <w:rPr>
                <w:sz w:val="14"/>
              </w:rPr>
            </w:pPr>
            <w:r>
              <w:rPr>
                <w:color w:val="231F20"/>
                <w:w w:val="95"/>
                <w:sz w:val="14"/>
              </w:rPr>
              <w:t>Expand coverage of skilled delivery services</w:t>
            </w:r>
          </w:p>
        </w:tc>
        <w:tc>
          <w:tcPr>
            <w:tcW w:w="2378" w:type="dxa"/>
            <w:tcBorders>
              <w:top w:val="single" w:sz="6" w:space="0" w:color="231F20"/>
              <w:left w:val="single" w:sz="6" w:space="0" w:color="231F20"/>
              <w:bottom w:val="single" w:sz="6" w:space="0" w:color="231F20"/>
              <w:right w:val="single" w:sz="6" w:space="0" w:color="231F20"/>
            </w:tcBorders>
            <w:shd w:val="clear" w:color="auto" w:fill="CCE7D3"/>
          </w:tcPr>
          <w:p w14:paraId="6AF3A2A7" w14:textId="77777777" w:rsidR="009948F1" w:rsidRDefault="00BC0563">
            <w:pPr>
              <w:pStyle w:val="TableParagraph"/>
              <w:numPr>
                <w:ilvl w:val="0"/>
                <w:numId w:val="206"/>
              </w:numPr>
              <w:tabs>
                <w:tab w:val="left" w:pos="90"/>
              </w:tabs>
              <w:spacing w:before="44"/>
              <w:ind w:left="89" w:hanging="69"/>
              <w:rPr>
                <w:sz w:val="14"/>
              </w:rPr>
            </w:pPr>
            <w:r>
              <w:rPr>
                <w:color w:val="231F20"/>
                <w:w w:val="90"/>
                <w:sz w:val="14"/>
              </w:rPr>
              <w:t>At</w:t>
            </w:r>
            <w:r>
              <w:rPr>
                <w:color w:val="231F20"/>
                <w:spacing w:val="-15"/>
                <w:w w:val="90"/>
                <w:sz w:val="14"/>
              </w:rPr>
              <w:t xml:space="preserve"> </w:t>
            </w:r>
            <w:r>
              <w:rPr>
                <w:color w:val="231F20"/>
                <w:w w:val="90"/>
                <w:sz w:val="14"/>
              </w:rPr>
              <w:t>least</w:t>
            </w:r>
            <w:r>
              <w:rPr>
                <w:color w:val="231F20"/>
                <w:spacing w:val="-14"/>
                <w:w w:val="90"/>
                <w:sz w:val="14"/>
              </w:rPr>
              <w:t xml:space="preserve"> </w:t>
            </w:r>
            <w:r>
              <w:rPr>
                <w:color w:val="231F20"/>
                <w:w w:val="90"/>
                <w:sz w:val="14"/>
              </w:rPr>
              <w:t>200</w:t>
            </w:r>
            <w:r>
              <w:rPr>
                <w:color w:val="231F20"/>
                <w:spacing w:val="-14"/>
                <w:w w:val="90"/>
                <w:sz w:val="14"/>
              </w:rPr>
              <w:t xml:space="preserve"> </w:t>
            </w:r>
            <w:r>
              <w:rPr>
                <w:color w:val="231F20"/>
                <w:w w:val="90"/>
                <w:sz w:val="14"/>
              </w:rPr>
              <w:t>skilled</w:t>
            </w:r>
            <w:r>
              <w:rPr>
                <w:color w:val="231F20"/>
                <w:spacing w:val="-13"/>
                <w:w w:val="90"/>
                <w:sz w:val="14"/>
              </w:rPr>
              <w:t xml:space="preserve"> </w:t>
            </w:r>
            <w:r>
              <w:rPr>
                <w:color w:val="231F20"/>
                <w:w w:val="90"/>
                <w:sz w:val="14"/>
              </w:rPr>
              <w:t>personnel</w:t>
            </w:r>
            <w:r>
              <w:rPr>
                <w:color w:val="231F20"/>
                <w:spacing w:val="-14"/>
                <w:w w:val="90"/>
                <w:sz w:val="14"/>
              </w:rPr>
              <w:t xml:space="preserve"> </w:t>
            </w:r>
            <w:r>
              <w:rPr>
                <w:color w:val="231F20"/>
                <w:w w:val="90"/>
                <w:sz w:val="14"/>
              </w:rPr>
              <w:t>employed</w:t>
            </w:r>
          </w:p>
          <w:p w14:paraId="1FB3C9CB" w14:textId="77777777" w:rsidR="009948F1" w:rsidRDefault="00BC0563">
            <w:pPr>
              <w:pStyle w:val="TableParagraph"/>
              <w:numPr>
                <w:ilvl w:val="0"/>
                <w:numId w:val="206"/>
              </w:numPr>
              <w:tabs>
                <w:tab w:val="left" w:pos="96"/>
              </w:tabs>
              <w:spacing w:before="19"/>
              <w:ind w:left="95" w:hanging="75"/>
              <w:rPr>
                <w:sz w:val="14"/>
              </w:rPr>
            </w:pPr>
            <w:r>
              <w:rPr>
                <w:color w:val="231F20"/>
                <w:w w:val="90"/>
                <w:sz w:val="14"/>
              </w:rPr>
              <w:t>ELSS,</w:t>
            </w:r>
            <w:r>
              <w:rPr>
                <w:color w:val="231F20"/>
                <w:spacing w:val="-16"/>
                <w:w w:val="90"/>
                <w:sz w:val="14"/>
              </w:rPr>
              <w:t xml:space="preserve"> </w:t>
            </w:r>
            <w:r>
              <w:rPr>
                <w:color w:val="231F20"/>
                <w:w w:val="90"/>
                <w:sz w:val="14"/>
              </w:rPr>
              <w:t>LSS</w:t>
            </w:r>
            <w:r>
              <w:rPr>
                <w:color w:val="231F20"/>
                <w:spacing w:val="-16"/>
                <w:w w:val="90"/>
                <w:sz w:val="14"/>
              </w:rPr>
              <w:t xml:space="preserve"> </w:t>
            </w:r>
            <w:r>
              <w:rPr>
                <w:color w:val="231F20"/>
                <w:w w:val="90"/>
                <w:sz w:val="14"/>
              </w:rPr>
              <w:t>&amp;</w:t>
            </w:r>
            <w:r>
              <w:rPr>
                <w:color w:val="231F20"/>
                <w:spacing w:val="-15"/>
                <w:w w:val="90"/>
                <w:sz w:val="14"/>
              </w:rPr>
              <w:t xml:space="preserve"> </w:t>
            </w:r>
            <w:r>
              <w:rPr>
                <w:color w:val="231F20"/>
                <w:w w:val="90"/>
                <w:sz w:val="14"/>
              </w:rPr>
              <w:t>MLSS</w:t>
            </w:r>
            <w:r>
              <w:rPr>
                <w:color w:val="231F20"/>
                <w:spacing w:val="-16"/>
                <w:w w:val="90"/>
                <w:sz w:val="14"/>
              </w:rPr>
              <w:t xml:space="preserve"> </w:t>
            </w:r>
            <w:r>
              <w:rPr>
                <w:color w:val="231F20"/>
                <w:w w:val="90"/>
                <w:sz w:val="14"/>
              </w:rPr>
              <w:t>trainings</w:t>
            </w:r>
            <w:r>
              <w:rPr>
                <w:color w:val="231F20"/>
                <w:spacing w:val="-15"/>
                <w:w w:val="90"/>
                <w:sz w:val="14"/>
              </w:rPr>
              <w:t xml:space="preserve"> </w:t>
            </w:r>
            <w:r>
              <w:rPr>
                <w:color w:val="231F20"/>
                <w:w w:val="90"/>
                <w:sz w:val="14"/>
              </w:rPr>
              <w:t>conducted</w:t>
            </w:r>
          </w:p>
          <w:p w14:paraId="4F514497" w14:textId="77777777" w:rsidR="009948F1" w:rsidRDefault="00BC0563">
            <w:pPr>
              <w:pStyle w:val="TableParagraph"/>
              <w:numPr>
                <w:ilvl w:val="0"/>
                <w:numId w:val="206"/>
              </w:numPr>
              <w:tabs>
                <w:tab w:val="left" w:pos="96"/>
              </w:tabs>
              <w:spacing w:before="20" w:line="268" w:lineRule="auto"/>
              <w:ind w:right="212" w:firstLine="0"/>
              <w:rPr>
                <w:sz w:val="14"/>
              </w:rPr>
            </w:pPr>
            <w:r>
              <w:rPr>
                <w:color w:val="231F20"/>
                <w:w w:val="85"/>
                <w:sz w:val="14"/>
              </w:rPr>
              <w:t xml:space="preserve">Home-Based Care &amp; Midwifery </w:t>
            </w:r>
            <w:r>
              <w:rPr>
                <w:color w:val="231F20"/>
                <w:spacing w:val="-3"/>
                <w:w w:val="85"/>
                <w:sz w:val="14"/>
              </w:rPr>
              <w:t xml:space="preserve">Service </w:t>
            </w:r>
            <w:r>
              <w:rPr>
                <w:color w:val="231F20"/>
                <w:w w:val="95"/>
                <w:sz w:val="14"/>
              </w:rPr>
              <w:t>Scheme</w:t>
            </w:r>
            <w:r>
              <w:rPr>
                <w:color w:val="231F20"/>
                <w:spacing w:val="-8"/>
                <w:w w:val="95"/>
                <w:sz w:val="14"/>
              </w:rPr>
              <w:t xml:space="preserve"> </w:t>
            </w:r>
            <w:r>
              <w:rPr>
                <w:color w:val="231F20"/>
                <w:w w:val="95"/>
                <w:sz w:val="14"/>
              </w:rPr>
              <w:t>revamped</w:t>
            </w:r>
          </w:p>
        </w:tc>
        <w:tc>
          <w:tcPr>
            <w:tcW w:w="1424" w:type="dxa"/>
            <w:tcBorders>
              <w:top w:val="single" w:sz="6" w:space="0" w:color="231F20"/>
              <w:left w:val="single" w:sz="6" w:space="0" w:color="231F20"/>
              <w:bottom w:val="single" w:sz="6" w:space="0" w:color="231F20"/>
              <w:right w:val="single" w:sz="8" w:space="0" w:color="231F20"/>
            </w:tcBorders>
            <w:shd w:val="clear" w:color="auto" w:fill="CCE7D3"/>
          </w:tcPr>
          <w:p w14:paraId="7BC13882" w14:textId="77777777" w:rsidR="009948F1" w:rsidRDefault="009948F1">
            <w:pPr>
              <w:pStyle w:val="TableParagraph"/>
              <w:rPr>
                <w:rFonts w:ascii="Times New Roman"/>
                <w:sz w:val="12"/>
              </w:rPr>
            </w:pPr>
          </w:p>
        </w:tc>
        <w:tc>
          <w:tcPr>
            <w:tcW w:w="1500" w:type="dxa"/>
            <w:tcBorders>
              <w:top w:val="single" w:sz="6" w:space="0" w:color="231F20"/>
              <w:left w:val="single" w:sz="8" w:space="0" w:color="231F20"/>
              <w:bottom w:val="single" w:sz="6" w:space="0" w:color="231F20"/>
              <w:right w:val="single" w:sz="6" w:space="0" w:color="231F20"/>
            </w:tcBorders>
            <w:shd w:val="clear" w:color="auto" w:fill="CCE7D3"/>
          </w:tcPr>
          <w:p w14:paraId="3EA1C365" w14:textId="77777777" w:rsidR="009948F1" w:rsidRDefault="009948F1">
            <w:pPr>
              <w:pStyle w:val="TableParagraph"/>
              <w:rPr>
                <w:rFonts w:ascii="Times New Roman"/>
                <w:sz w:val="12"/>
              </w:rPr>
            </w:pPr>
          </w:p>
        </w:tc>
      </w:tr>
      <w:tr w:rsidR="009948F1" w14:paraId="32F991DB" w14:textId="77777777">
        <w:trPr>
          <w:trHeight w:val="518"/>
        </w:trPr>
        <w:tc>
          <w:tcPr>
            <w:tcW w:w="1038" w:type="dxa"/>
            <w:gridSpan w:val="3"/>
            <w:vMerge w:val="restart"/>
            <w:tcBorders>
              <w:top w:val="nil"/>
              <w:left w:val="single" w:sz="6" w:space="0" w:color="231F20"/>
              <w:bottom w:val="nil"/>
              <w:right w:val="single" w:sz="6" w:space="0" w:color="231F20"/>
            </w:tcBorders>
          </w:tcPr>
          <w:p w14:paraId="32341F83" w14:textId="77777777" w:rsidR="009948F1" w:rsidRDefault="009948F1">
            <w:pPr>
              <w:pStyle w:val="TableParagraph"/>
              <w:rPr>
                <w:rFonts w:ascii="Times New Roman"/>
                <w:sz w:val="12"/>
              </w:rPr>
            </w:pPr>
          </w:p>
        </w:tc>
        <w:tc>
          <w:tcPr>
            <w:tcW w:w="525" w:type="dxa"/>
            <w:tcBorders>
              <w:top w:val="single" w:sz="6" w:space="0" w:color="231F20"/>
              <w:left w:val="single" w:sz="6" w:space="0" w:color="231F20"/>
              <w:bottom w:val="single" w:sz="6" w:space="0" w:color="231F20"/>
              <w:right w:val="single" w:sz="6" w:space="0" w:color="231F20"/>
            </w:tcBorders>
          </w:tcPr>
          <w:p w14:paraId="14A9AB40" w14:textId="77777777" w:rsidR="009948F1" w:rsidRDefault="009948F1">
            <w:pPr>
              <w:pStyle w:val="TableParagraph"/>
              <w:spacing w:before="5"/>
              <w:rPr>
                <w:sz w:val="15"/>
              </w:rPr>
            </w:pPr>
          </w:p>
          <w:p w14:paraId="4C1B74BD" w14:textId="77777777" w:rsidR="009948F1" w:rsidRDefault="00BC0563">
            <w:pPr>
              <w:pStyle w:val="TableParagraph"/>
              <w:ind w:left="22" w:right="9"/>
              <w:jc w:val="center"/>
              <w:rPr>
                <w:sz w:val="14"/>
              </w:rPr>
            </w:pPr>
            <w:r>
              <w:rPr>
                <w:color w:val="231F20"/>
                <w:w w:val="90"/>
                <w:sz w:val="14"/>
              </w:rPr>
              <w:t>4.1.2.a</w:t>
            </w:r>
          </w:p>
        </w:tc>
        <w:tc>
          <w:tcPr>
            <w:tcW w:w="4883" w:type="dxa"/>
            <w:gridSpan w:val="2"/>
            <w:tcBorders>
              <w:top w:val="single" w:sz="6" w:space="0" w:color="231F20"/>
              <w:left w:val="single" w:sz="6" w:space="0" w:color="231F20"/>
              <w:bottom w:val="single" w:sz="6" w:space="0" w:color="231F20"/>
              <w:right w:val="single" w:sz="6" w:space="0" w:color="231F20"/>
            </w:tcBorders>
          </w:tcPr>
          <w:p w14:paraId="545A633B" w14:textId="7AEB6C96" w:rsidR="009948F1" w:rsidRDefault="00BC0563">
            <w:pPr>
              <w:pStyle w:val="TableParagraph"/>
              <w:spacing w:before="80" w:line="268" w:lineRule="auto"/>
              <w:ind w:left="21" w:right="414"/>
              <w:rPr>
                <w:sz w:val="14"/>
              </w:rPr>
            </w:pPr>
            <w:r>
              <w:rPr>
                <w:color w:val="231F20"/>
                <w:w w:val="90"/>
                <w:sz w:val="14"/>
              </w:rPr>
              <w:t>Employ</w:t>
            </w:r>
            <w:r w:rsidR="00C84576">
              <w:rPr>
                <w:color w:val="231F20"/>
                <w:w w:val="90"/>
                <w:sz w:val="14"/>
              </w:rPr>
              <w:t xml:space="preserve"> </w:t>
            </w:r>
            <w:r>
              <w:rPr>
                <w:color w:val="231F20"/>
                <w:spacing w:val="-24"/>
                <w:w w:val="90"/>
                <w:sz w:val="14"/>
              </w:rPr>
              <w:t xml:space="preserve"> </w:t>
            </w:r>
            <w:r>
              <w:rPr>
                <w:color w:val="231F20"/>
                <w:w w:val="90"/>
                <w:sz w:val="14"/>
              </w:rPr>
              <w:t>personnel</w:t>
            </w:r>
            <w:r w:rsidR="00C84576">
              <w:rPr>
                <w:color w:val="231F20"/>
                <w:w w:val="90"/>
                <w:sz w:val="14"/>
              </w:rPr>
              <w:t xml:space="preserve"> </w:t>
            </w:r>
            <w:r>
              <w:rPr>
                <w:color w:val="231F20"/>
                <w:spacing w:val="-24"/>
                <w:w w:val="90"/>
                <w:sz w:val="14"/>
              </w:rPr>
              <w:t xml:space="preserve"> </w:t>
            </w:r>
            <w:r>
              <w:rPr>
                <w:color w:val="231F20"/>
                <w:w w:val="90"/>
                <w:sz w:val="14"/>
              </w:rPr>
              <w:t>to</w:t>
            </w:r>
            <w:r w:rsidR="00C84576">
              <w:rPr>
                <w:color w:val="231F20"/>
                <w:w w:val="90"/>
                <w:sz w:val="14"/>
              </w:rPr>
              <w:t xml:space="preserve"> </w:t>
            </w:r>
            <w:r>
              <w:rPr>
                <w:color w:val="231F20"/>
                <w:spacing w:val="-24"/>
                <w:w w:val="90"/>
                <w:sz w:val="14"/>
              </w:rPr>
              <w:t xml:space="preserve"> </w:t>
            </w:r>
            <w:r w:rsidR="00C84576">
              <w:rPr>
                <w:color w:val="231F20"/>
                <w:w w:val="90"/>
                <w:sz w:val="14"/>
              </w:rPr>
              <w:t xml:space="preserve">strengthen </w:t>
            </w:r>
            <w:r>
              <w:rPr>
                <w:color w:val="231F20"/>
                <w:spacing w:val="-24"/>
                <w:w w:val="90"/>
                <w:sz w:val="14"/>
              </w:rPr>
              <w:t xml:space="preserve"> </w:t>
            </w:r>
            <w:r>
              <w:rPr>
                <w:color w:val="231F20"/>
                <w:w w:val="90"/>
                <w:sz w:val="14"/>
              </w:rPr>
              <w:t>at</w:t>
            </w:r>
            <w:r w:rsidR="00C84576">
              <w:rPr>
                <w:color w:val="231F20"/>
                <w:w w:val="90"/>
                <w:sz w:val="14"/>
              </w:rPr>
              <w:t xml:space="preserve"> </w:t>
            </w:r>
            <w:r>
              <w:rPr>
                <w:color w:val="231F20"/>
                <w:spacing w:val="-24"/>
                <w:w w:val="90"/>
                <w:sz w:val="14"/>
              </w:rPr>
              <w:t xml:space="preserve"> </w:t>
            </w:r>
            <w:r>
              <w:rPr>
                <w:color w:val="231F20"/>
                <w:w w:val="90"/>
                <w:sz w:val="14"/>
              </w:rPr>
              <w:t>least</w:t>
            </w:r>
            <w:r w:rsidR="00C84576">
              <w:rPr>
                <w:color w:val="231F20"/>
                <w:w w:val="90"/>
                <w:sz w:val="14"/>
              </w:rPr>
              <w:t xml:space="preserve"> </w:t>
            </w:r>
            <w:r>
              <w:rPr>
                <w:color w:val="231F20"/>
                <w:spacing w:val="-24"/>
                <w:w w:val="90"/>
                <w:sz w:val="14"/>
              </w:rPr>
              <w:t xml:space="preserve"> </w:t>
            </w:r>
            <w:r>
              <w:rPr>
                <w:color w:val="231F20"/>
                <w:w w:val="90"/>
                <w:sz w:val="14"/>
              </w:rPr>
              <w:t>one</w:t>
            </w:r>
            <w:r w:rsidR="00C84576">
              <w:rPr>
                <w:color w:val="231F20"/>
                <w:w w:val="90"/>
                <w:sz w:val="14"/>
              </w:rPr>
              <w:t xml:space="preserve"> </w:t>
            </w:r>
            <w:r>
              <w:rPr>
                <w:color w:val="231F20"/>
                <w:spacing w:val="-24"/>
                <w:w w:val="90"/>
                <w:sz w:val="14"/>
              </w:rPr>
              <w:t xml:space="preserve"> </w:t>
            </w:r>
            <w:r>
              <w:rPr>
                <w:color w:val="231F20"/>
                <w:w w:val="90"/>
                <w:sz w:val="14"/>
              </w:rPr>
              <w:t>PHC</w:t>
            </w:r>
            <w:r w:rsidR="00C84576">
              <w:rPr>
                <w:color w:val="231F20"/>
                <w:w w:val="90"/>
                <w:sz w:val="14"/>
              </w:rPr>
              <w:t xml:space="preserve"> </w:t>
            </w:r>
            <w:r>
              <w:rPr>
                <w:color w:val="231F20"/>
                <w:w w:val="90"/>
                <w:sz w:val="14"/>
              </w:rPr>
              <w:t>per</w:t>
            </w:r>
            <w:r w:rsidR="00C84576">
              <w:rPr>
                <w:color w:val="231F20"/>
                <w:w w:val="90"/>
                <w:sz w:val="14"/>
              </w:rPr>
              <w:t xml:space="preserve"> </w:t>
            </w:r>
            <w:r>
              <w:rPr>
                <w:color w:val="231F20"/>
                <w:spacing w:val="-24"/>
                <w:w w:val="90"/>
                <w:sz w:val="14"/>
              </w:rPr>
              <w:t xml:space="preserve"> </w:t>
            </w:r>
            <w:r>
              <w:rPr>
                <w:color w:val="231F20"/>
                <w:w w:val="90"/>
                <w:sz w:val="14"/>
              </w:rPr>
              <w:t>ward</w:t>
            </w:r>
            <w:r w:rsidR="00C84576">
              <w:rPr>
                <w:color w:val="231F20"/>
                <w:w w:val="90"/>
                <w:sz w:val="14"/>
              </w:rPr>
              <w:t xml:space="preserve"> </w:t>
            </w:r>
            <w:r>
              <w:rPr>
                <w:color w:val="231F20"/>
                <w:spacing w:val="-23"/>
                <w:w w:val="90"/>
                <w:sz w:val="14"/>
              </w:rPr>
              <w:t xml:space="preserve"> </w:t>
            </w:r>
            <w:r>
              <w:rPr>
                <w:color w:val="231F20"/>
                <w:w w:val="90"/>
                <w:sz w:val="14"/>
              </w:rPr>
              <w:t>to</w:t>
            </w:r>
            <w:r w:rsidR="00C84576">
              <w:rPr>
                <w:color w:val="231F20"/>
                <w:w w:val="90"/>
                <w:sz w:val="14"/>
              </w:rPr>
              <w:t xml:space="preserve"> </w:t>
            </w:r>
            <w:r>
              <w:rPr>
                <w:color w:val="231F20"/>
                <w:spacing w:val="-24"/>
                <w:w w:val="90"/>
                <w:sz w:val="14"/>
              </w:rPr>
              <w:t xml:space="preserve"> </w:t>
            </w:r>
            <w:r>
              <w:rPr>
                <w:color w:val="231F20"/>
                <w:w w:val="90"/>
                <w:sz w:val="14"/>
              </w:rPr>
              <w:t>provide</w:t>
            </w:r>
            <w:r w:rsidR="00C84576">
              <w:rPr>
                <w:color w:val="231F20"/>
                <w:w w:val="90"/>
                <w:sz w:val="14"/>
              </w:rPr>
              <w:t xml:space="preserve"> </w:t>
            </w:r>
            <w:r>
              <w:rPr>
                <w:color w:val="231F20"/>
                <w:spacing w:val="-24"/>
                <w:w w:val="90"/>
                <w:sz w:val="14"/>
              </w:rPr>
              <w:t xml:space="preserve"> </w:t>
            </w:r>
            <w:r>
              <w:rPr>
                <w:color w:val="231F20"/>
                <w:w w:val="90"/>
                <w:sz w:val="14"/>
              </w:rPr>
              <w:t>skilled</w:t>
            </w:r>
            <w:r>
              <w:rPr>
                <w:color w:val="231F20"/>
                <w:spacing w:val="-24"/>
                <w:w w:val="90"/>
                <w:sz w:val="14"/>
              </w:rPr>
              <w:t xml:space="preserve"> </w:t>
            </w:r>
            <w:r>
              <w:rPr>
                <w:color w:val="231F20"/>
                <w:w w:val="90"/>
                <w:sz w:val="14"/>
              </w:rPr>
              <w:t xml:space="preserve">delivery </w:t>
            </w:r>
            <w:r>
              <w:rPr>
                <w:color w:val="231F20"/>
                <w:w w:val="95"/>
                <w:sz w:val="14"/>
              </w:rPr>
              <w:t>services</w:t>
            </w:r>
          </w:p>
        </w:tc>
        <w:tc>
          <w:tcPr>
            <w:tcW w:w="1424" w:type="dxa"/>
            <w:tcBorders>
              <w:top w:val="single" w:sz="6" w:space="0" w:color="231F20"/>
              <w:left w:val="single" w:sz="6" w:space="0" w:color="231F20"/>
              <w:bottom w:val="single" w:sz="6" w:space="0" w:color="231F20"/>
              <w:right w:val="single" w:sz="8" w:space="0" w:color="231F20"/>
            </w:tcBorders>
          </w:tcPr>
          <w:p w14:paraId="2A9DAFD8" w14:textId="77777777" w:rsidR="009948F1" w:rsidRDefault="009948F1">
            <w:pPr>
              <w:pStyle w:val="TableParagraph"/>
              <w:spacing w:before="5"/>
              <w:rPr>
                <w:sz w:val="15"/>
              </w:rPr>
            </w:pPr>
          </w:p>
          <w:p w14:paraId="7E6FAA09" w14:textId="77777777" w:rsidR="009948F1" w:rsidRDefault="00BC0563">
            <w:pPr>
              <w:pStyle w:val="TableParagraph"/>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1CDB20CB" w14:textId="77777777" w:rsidR="009948F1" w:rsidRDefault="009948F1">
            <w:pPr>
              <w:pStyle w:val="TableParagraph"/>
              <w:spacing w:before="5"/>
              <w:rPr>
                <w:sz w:val="15"/>
              </w:rPr>
            </w:pPr>
          </w:p>
          <w:p w14:paraId="1D85D999" w14:textId="77777777" w:rsidR="009948F1" w:rsidRDefault="00BC0563">
            <w:pPr>
              <w:pStyle w:val="TableParagraph"/>
              <w:ind w:left="18"/>
              <w:rPr>
                <w:sz w:val="14"/>
              </w:rPr>
            </w:pPr>
            <w:r>
              <w:rPr>
                <w:color w:val="231F20"/>
                <w:w w:val="95"/>
                <w:sz w:val="14"/>
              </w:rPr>
              <w:t>Costed in OHT</w:t>
            </w:r>
          </w:p>
        </w:tc>
      </w:tr>
      <w:tr w:rsidR="009948F1" w14:paraId="10FE245F" w14:textId="77777777">
        <w:trPr>
          <w:trHeight w:val="428"/>
        </w:trPr>
        <w:tc>
          <w:tcPr>
            <w:tcW w:w="1038" w:type="dxa"/>
            <w:gridSpan w:val="3"/>
            <w:vMerge/>
            <w:tcBorders>
              <w:top w:val="nil"/>
              <w:left w:val="single" w:sz="6" w:space="0" w:color="231F20"/>
              <w:bottom w:val="nil"/>
              <w:right w:val="single" w:sz="6" w:space="0" w:color="231F20"/>
            </w:tcBorders>
          </w:tcPr>
          <w:p w14:paraId="2B5D5F25"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3817C717" w14:textId="77777777" w:rsidR="009948F1" w:rsidRDefault="009948F1">
            <w:pPr>
              <w:pStyle w:val="TableParagraph"/>
              <w:spacing w:before="5"/>
              <w:rPr>
                <w:sz w:val="11"/>
              </w:rPr>
            </w:pPr>
          </w:p>
          <w:p w14:paraId="033D7D20" w14:textId="77777777" w:rsidR="009948F1" w:rsidRDefault="00BC0563">
            <w:pPr>
              <w:pStyle w:val="TableParagraph"/>
              <w:ind w:left="22" w:right="9"/>
              <w:jc w:val="center"/>
              <w:rPr>
                <w:sz w:val="14"/>
              </w:rPr>
            </w:pPr>
            <w:r>
              <w:rPr>
                <w:color w:val="231F20"/>
                <w:w w:val="90"/>
                <w:sz w:val="14"/>
              </w:rPr>
              <w:t>4.1.2.b</w:t>
            </w:r>
          </w:p>
        </w:tc>
        <w:tc>
          <w:tcPr>
            <w:tcW w:w="4883" w:type="dxa"/>
            <w:gridSpan w:val="2"/>
            <w:tcBorders>
              <w:top w:val="single" w:sz="6" w:space="0" w:color="231F20"/>
              <w:left w:val="single" w:sz="6" w:space="0" w:color="231F20"/>
              <w:bottom w:val="single" w:sz="6" w:space="0" w:color="231F20"/>
              <w:right w:val="single" w:sz="6" w:space="0" w:color="231F20"/>
            </w:tcBorders>
          </w:tcPr>
          <w:p w14:paraId="68F5D7D7" w14:textId="77777777" w:rsidR="009948F1" w:rsidRDefault="009948F1">
            <w:pPr>
              <w:pStyle w:val="TableParagraph"/>
              <w:spacing w:before="11"/>
              <w:rPr>
                <w:sz w:val="10"/>
              </w:rPr>
            </w:pPr>
          </w:p>
          <w:p w14:paraId="3A663B2F" w14:textId="77777777" w:rsidR="009948F1" w:rsidRDefault="00BC0563">
            <w:pPr>
              <w:pStyle w:val="TableParagraph"/>
              <w:ind w:left="21"/>
              <w:rPr>
                <w:sz w:val="14"/>
              </w:rPr>
            </w:pPr>
            <w:r>
              <w:rPr>
                <w:color w:val="231F20"/>
                <w:w w:val="95"/>
                <w:sz w:val="14"/>
              </w:rPr>
              <w:t>Conduct Elongated Life Saving Skills (ELSS) training for Medical Doctors</w:t>
            </w:r>
          </w:p>
        </w:tc>
        <w:tc>
          <w:tcPr>
            <w:tcW w:w="1424" w:type="dxa"/>
            <w:tcBorders>
              <w:top w:val="single" w:sz="6" w:space="0" w:color="231F20"/>
              <w:left w:val="single" w:sz="6" w:space="0" w:color="231F20"/>
              <w:bottom w:val="single" w:sz="6" w:space="0" w:color="231F20"/>
              <w:right w:val="single" w:sz="8" w:space="0" w:color="231F20"/>
            </w:tcBorders>
          </w:tcPr>
          <w:p w14:paraId="7EF95003" w14:textId="77777777" w:rsidR="009948F1" w:rsidRDefault="009948F1">
            <w:pPr>
              <w:pStyle w:val="TableParagraph"/>
              <w:spacing w:before="5"/>
              <w:rPr>
                <w:sz w:val="11"/>
              </w:rPr>
            </w:pPr>
          </w:p>
          <w:p w14:paraId="3D7F9068" w14:textId="77777777" w:rsidR="009948F1" w:rsidRDefault="00BC0563">
            <w:pPr>
              <w:pStyle w:val="TableParagraph"/>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61D3AF6F" w14:textId="77777777" w:rsidR="009948F1" w:rsidRDefault="00BC0563">
            <w:pPr>
              <w:pStyle w:val="TableParagraph"/>
              <w:spacing w:before="42" w:line="268" w:lineRule="auto"/>
              <w:ind w:left="18" w:right="-7"/>
              <w:rPr>
                <w:sz w:val="14"/>
              </w:rPr>
            </w:pPr>
            <w:r>
              <w:rPr>
                <w:color w:val="231F20"/>
                <w:w w:val="85"/>
                <w:sz w:val="14"/>
              </w:rPr>
              <w:t xml:space="preserve">Conduct ELSS training for </w:t>
            </w:r>
            <w:r>
              <w:rPr>
                <w:color w:val="231F20"/>
                <w:w w:val="95"/>
                <w:sz w:val="14"/>
              </w:rPr>
              <w:t>Medical Doctors</w:t>
            </w:r>
          </w:p>
        </w:tc>
      </w:tr>
      <w:tr w:rsidR="009948F1" w14:paraId="232C53D1" w14:textId="77777777">
        <w:trPr>
          <w:trHeight w:val="481"/>
        </w:trPr>
        <w:tc>
          <w:tcPr>
            <w:tcW w:w="1038" w:type="dxa"/>
            <w:gridSpan w:val="3"/>
            <w:vMerge/>
            <w:tcBorders>
              <w:top w:val="nil"/>
              <w:left w:val="single" w:sz="6" w:space="0" w:color="231F20"/>
              <w:bottom w:val="nil"/>
              <w:right w:val="single" w:sz="6" w:space="0" w:color="231F20"/>
            </w:tcBorders>
          </w:tcPr>
          <w:p w14:paraId="00C60B56"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8AD85E8" w14:textId="77777777" w:rsidR="009948F1" w:rsidRDefault="009948F1">
            <w:pPr>
              <w:pStyle w:val="TableParagraph"/>
              <w:spacing w:before="8"/>
              <w:rPr>
                <w:sz w:val="13"/>
              </w:rPr>
            </w:pPr>
          </w:p>
          <w:p w14:paraId="43F700CE" w14:textId="77777777" w:rsidR="009948F1" w:rsidRDefault="00BC0563">
            <w:pPr>
              <w:pStyle w:val="TableParagraph"/>
              <w:spacing w:before="1"/>
              <w:ind w:left="23" w:right="9"/>
              <w:jc w:val="center"/>
              <w:rPr>
                <w:sz w:val="14"/>
              </w:rPr>
            </w:pPr>
            <w:r>
              <w:rPr>
                <w:color w:val="231F20"/>
                <w:w w:val="95"/>
                <w:sz w:val="14"/>
              </w:rPr>
              <w:t>4.1.2.c</w:t>
            </w:r>
          </w:p>
        </w:tc>
        <w:tc>
          <w:tcPr>
            <w:tcW w:w="4883" w:type="dxa"/>
            <w:gridSpan w:val="2"/>
            <w:tcBorders>
              <w:top w:val="single" w:sz="6" w:space="0" w:color="231F20"/>
              <w:left w:val="single" w:sz="6" w:space="0" w:color="231F20"/>
              <w:bottom w:val="single" w:sz="6" w:space="0" w:color="231F20"/>
              <w:right w:val="single" w:sz="6" w:space="0" w:color="231F20"/>
            </w:tcBorders>
          </w:tcPr>
          <w:p w14:paraId="75E6B6E0" w14:textId="77777777" w:rsidR="009948F1" w:rsidRDefault="009948F1">
            <w:pPr>
              <w:pStyle w:val="TableParagraph"/>
              <w:spacing w:before="3"/>
              <w:rPr>
                <w:sz w:val="13"/>
              </w:rPr>
            </w:pPr>
          </w:p>
          <w:p w14:paraId="2F0299A0" w14:textId="77777777" w:rsidR="009948F1" w:rsidRDefault="00BC0563">
            <w:pPr>
              <w:pStyle w:val="TableParagraph"/>
              <w:ind w:left="21"/>
              <w:rPr>
                <w:sz w:val="14"/>
              </w:rPr>
            </w:pPr>
            <w:r>
              <w:rPr>
                <w:color w:val="231F20"/>
                <w:w w:val="95"/>
                <w:sz w:val="14"/>
              </w:rPr>
              <w:t>Conduct Life Saving Skills (LSS) training for Nurses/Midwives</w:t>
            </w:r>
          </w:p>
        </w:tc>
        <w:tc>
          <w:tcPr>
            <w:tcW w:w="1424" w:type="dxa"/>
            <w:tcBorders>
              <w:top w:val="single" w:sz="6" w:space="0" w:color="231F20"/>
              <w:left w:val="single" w:sz="6" w:space="0" w:color="231F20"/>
              <w:bottom w:val="single" w:sz="6" w:space="0" w:color="231F20"/>
              <w:right w:val="single" w:sz="8" w:space="0" w:color="231F20"/>
            </w:tcBorders>
          </w:tcPr>
          <w:p w14:paraId="11CC587C" w14:textId="77777777" w:rsidR="009948F1" w:rsidRDefault="009948F1">
            <w:pPr>
              <w:pStyle w:val="TableParagraph"/>
              <w:spacing w:before="8"/>
              <w:rPr>
                <w:sz w:val="13"/>
              </w:rPr>
            </w:pPr>
          </w:p>
          <w:p w14:paraId="676B39DA" w14:textId="77777777" w:rsidR="009948F1" w:rsidRDefault="00BC0563">
            <w:pPr>
              <w:pStyle w:val="TableParagraph"/>
              <w:spacing w:before="1"/>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179751DD" w14:textId="77777777" w:rsidR="009948F1" w:rsidRDefault="00BC0563">
            <w:pPr>
              <w:pStyle w:val="TableParagraph"/>
              <w:spacing w:before="68" w:line="268" w:lineRule="auto"/>
              <w:ind w:left="18" w:right="71"/>
              <w:rPr>
                <w:sz w:val="14"/>
              </w:rPr>
            </w:pPr>
            <w:r>
              <w:rPr>
                <w:color w:val="231F20"/>
                <w:w w:val="90"/>
                <w:sz w:val="14"/>
              </w:rPr>
              <w:t xml:space="preserve">Conduct LSS training for </w:t>
            </w:r>
            <w:r>
              <w:rPr>
                <w:color w:val="231F20"/>
                <w:w w:val="95"/>
                <w:sz w:val="14"/>
              </w:rPr>
              <w:t>Nurses/Midwives</w:t>
            </w:r>
          </w:p>
        </w:tc>
      </w:tr>
      <w:tr w:rsidR="009948F1" w14:paraId="71E8DE7A" w14:textId="77777777">
        <w:trPr>
          <w:trHeight w:val="358"/>
        </w:trPr>
        <w:tc>
          <w:tcPr>
            <w:tcW w:w="1038" w:type="dxa"/>
            <w:gridSpan w:val="3"/>
            <w:vMerge/>
            <w:tcBorders>
              <w:top w:val="nil"/>
              <w:left w:val="single" w:sz="6" w:space="0" w:color="231F20"/>
              <w:bottom w:val="nil"/>
              <w:right w:val="single" w:sz="6" w:space="0" w:color="231F20"/>
            </w:tcBorders>
          </w:tcPr>
          <w:p w14:paraId="76984C2B"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BAF0641" w14:textId="77777777" w:rsidR="009948F1" w:rsidRDefault="00BC0563">
            <w:pPr>
              <w:pStyle w:val="TableParagraph"/>
              <w:spacing w:before="96"/>
              <w:ind w:left="22" w:right="9"/>
              <w:jc w:val="center"/>
              <w:rPr>
                <w:sz w:val="14"/>
              </w:rPr>
            </w:pPr>
            <w:r>
              <w:rPr>
                <w:color w:val="231F20"/>
                <w:w w:val="90"/>
                <w:sz w:val="14"/>
              </w:rPr>
              <w:t>4.1.2.d</w:t>
            </w:r>
          </w:p>
        </w:tc>
        <w:tc>
          <w:tcPr>
            <w:tcW w:w="4883" w:type="dxa"/>
            <w:gridSpan w:val="2"/>
            <w:tcBorders>
              <w:top w:val="single" w:sz="6" w:space="0" w:color="231F20"/>
              <w:left w:val="single" w:sz="6" w:space="0" w:color="231F20"/>
              <w:bottom w:val="single" w:sz="6" w:space="0" w:color="231F20"/>
              <w:right w:val="single" w:sz="6" w:space="0" w:color="231F20"/>
            </w:tcBorders>
          </w:tcPr>
          <w:p w14:paraId="148FD68A" w14:textId="77777777" w:rsidR="009948F1" w:rsidRDefault="00BC0563">
            <w:pPr>
              <w:pStyle w:val="TableParagraph"/>
              <w:spacing w:before="91"/>
              <w:ind w:left="21"/>
              <w:rPr>
                <w:sz w:val="14"/>
              </w:rPr>
            </w:pPr>
            <w:r>
              <w:rPr>
                <w:color w:val="231F20"/>
                <w:w w:val="95"/>
                <w:sz w:val="14"/>
              </w:rPr>
              <w:t>Conduct Modified Life Saving Skills (MLSS) training for CHOs/CHEWs</w:t>
            </w:r>
          </w:p>
        </w:tc>
        <w:tc>
          <w:tcPr>
            <w:tcW w:w="1424" w:type="dxa"/>
            <w:tcBorders>
              <w:top w:val="single" w:sz="6" w:space="0" w:color="231F20"/>
              <w:left w:val="single" w:sz="6" w:space="0" w:color="231F20"/>
              <w:bottom w:val="single" w:sz="6" w:space="0" w:color="231F20"/>
              <w:right w:val="single" w:sz="8" w:space="0" w:color="231F20"/>
            </w:tcBorders>
          </w:tcPr>
          <w:p w14:paraId="6D262753" w14:textId="77777777" w:rsidR="009948F1" w:rsidRDefault="00BC0563">
            <w:pPr>
              <w:pStyle w:val="TableParagraph"/>
              <w:spacing w:before="96"/>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6BBF8805" w14:textId="77777777" w:rsidR="009948F1" w:rsidRDefault="00BC0563">
            <w:pPr>
              <w:pStyle w:val="TableParagraph"/>
              <w:spacing w:before="7"/>
              <w:ind w:left="18"/>
              <w:rPr>
                <w:sz w:val="14"/>
              </w:rPr>
            </w:pPr>
            <w:r>
              <w:rPr>
                <w:color w:val="231F20"/>
                <w:w w:val="90"/>
                <w:sz w:val="14"/>
              </w:rPr>
              <w:t>Conduct</w:t>
            </w:r>
            <w:r>
              <w:rPr>
                <w:color w:val="231F20"/>
                <w:spacing w:val="-19"/>
                <w:w w:val="90"/>
                <w:sz w:val="14"/>
              </w:rPr>
              <w:t xml:space="preserve"> </w:t>
            </w:r>
            <w:r>
              <w:rPr>
                <w:color w:val="231F20"/>
                <w:w w:val="90"/>
                <w:sz w:val="14"/>
              </w:rPr>
              <w:t>MLSS</w:t>
            </w:r>
            <w:r>
              <w:rPr>
                <w:color w:val="231F20"/>
                <w:spacing w:val="-18"/>
                <w:w w:val="90"/>
                <w:sz w:val="14"/>
              </w:rPr>
              <w:t xml:space="preserve"> </w:t>
            </w:r>
            <w:r>
              <w:rPr>
                <w:color w:val="231F20"/>
                <w:w w:val="90"/>
                <w:sz w:val="14"/>
              </w:rPr>
              <w:t>training</w:t>
            </w:r>
            <w:r>
              <w:rPr>
                <w:color w:val="231F20"/>
                <w:spacing w:val="-18"/>
                <w:w w:val="90"/>
                <w:sz w:val="14"/>
              </w:rPr>
              <w:t xml:space="preserve"> </w:t>
            </w:r>
            <w:r>
              <w:rPr>
                <w:color w:val="231F20"/>
                <w:w w:val="90"/>
                <w:sz w:val="14"/>
              </w:rPr>
              <w:t>for</w:t>
            </w:r>
          </w:p>
          <w:p w14:paraId="2DD2252C" w14:textId="77777777" w:rsidR="009948F1" w:rsidRDefault="00BC0563">
            <w:pPr>
              <w:pStyle w:val="TableParagraph"/>
              <w:spacing w:before="20" w:line="151" w:lineRule="exact"/>
              <w:ind w:left="18"/>
              <w:rPr>
                <w:sz w:val="14"/>
              </w:rPr>
            </w:pPr>
            <w:r>
              <w:rPr>
                <w:color w:val="231F20"/>
                <w:w w:val="95"/>
                <w:sz w:val="14"/>
              </w:rPr>
              <w:t>CHOs/CHEWs</w:t>
            </w:r>
          </w:p>
        </w:tc>
      </w:tr>
      <w:tr w:rsidR="009948F1" w14:paraId="4C070A21" w14:textId="77777777">
        <w:trPr>
          <w:trHeight w:val="490"/>
        </w:trPr>
        <w:tc>
          <w:tcPr>
            <w:tcW w:w="1038" w:type="dxa"/>
            <w:gridSpan w:val="3"/>
            <w:vMerge/>
            <w:tcBorders>
              <w:top w:val="nil"/>
              <w:left w:val="single" w:sz="6" w:space="0" w:color="231F20"/>
              <w:bottom w:val="nil"/>
              <w:right w:val="single" w:sz="6" w:space="0" w:color="231F20"/>
            </w:tcBorders>
          </w:tcPr>
          <w:p w14:paraId="0DABD1D4"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139D6DE3" w14:textId="77777777" w:rsidR="009948F1" w:rsidRDefault="009948F1">
            <w:pPr>
              <w:pStyle w:val="TableParagraph"/>
              <w:spacing w:before="1"/>
              <w:rPr>
                <w:sz w:val="14"/>
              </w:rPr>
            </w:pPr>
          </w:p>
          <w:p w14:paraId="198D55F7" w14:textId="77777777" w:rsidR="009948F1" w:rsidRDefault="00BC0563">
            <w:pPr>
              <w:pStyle w:val="TableParagraph"/>
              <w:spacing w:before="1"/>
              <w:ind w:left="22" w:right="9"/>
              <w:jc w:val="center"/>
              <w:rPr>
                <w:sz w:val="14"/>
              </w:rPr>
            </w:pPr>
            <w:r>
              <w:rPr>
                <w:color w:val="231F20"/>
                <w:w w:val="90"/>
                <w:sz w:val="14"/>
              </w:rPr>
              <w:t>4.1.2.e</w:t>
            </w:r>
          </w:p>
        </w:tc>
        <w:tc>
          <w:tcPr>
            <w:tcW w:w="4883" w:type="dxa"/>
            <w:gridSpan w:val="2"/>
            <w:tcBorders>
              <w:top w:val="single" w:sz="6" w:space="0" w:color="231F20"/>
              <w:left w:val="single" w:sz="6" w:space="0" w:color="231F20"/>
              <w:bottom w:val="single" w:sz="6" w:space="0" w:color="231F20"/>
              <w:right w:val="single" w:sz="6" w:space="0" w:color="231F20"/>
            </w:tcBorders>
          </w:tcPr>
          <w:p w14:paraId="5E27968E" w14:textId="77777777" w:rsidR="009948F1" w:rsidRDefault="009948F1">
            <w:pPr>
              <w:pStyle w:val="TableParagraph"/>
              <w:spacing w:before="7"/>
              <w:rPr>
                <w:sz w:val="13"/>
              </w:rPr>
            </w:pPr>
          </w:p>
          <w:p w14:paraId="2FC7BDC6" w14:textId="77777777" w:rsidR="009948F1" w:rsidRDefault="00BC0563">
            <w:pPr>
              <w:pStyle w:val="TableParagraph"/>
              <w:ind w:left="21"/>
              <w:rPr>
                <w:sz w:val="14"/>
              </w:rPr>
            </w:pPr>
            <w:r>
              <w:rPr>
                <w:color w:val="231F20"/>
                <w:w w:val="95"/>
                <w:sz w:val="14"/>
              </w:rPr>
              <w:t>Revamp Home-Based Care (HBC) and Midwifery Service Scheme in the state</w:t>
            </w:r>
          </w:p>
        </w:tc>
        <w:tc>
          <w:tcPr>
            <w:tcW w:w="1424" w:type="dxa"/>
            <w:tcBorders>
              <w:top w:val="single" w:sz="6" w:space="0" w:color="231F20"/>
              <w:left w:val="single" w:sz="6" w:space="0" w:color="231F20"/>
              <w:bottom w:val="single" w:sz="6" w:space="0" w:color="231F20"/>
              <w:right w:val="single" w:sz="8" w:space="0" w:color="231F20"/>
            </w:tcBorders>
          </w:tcPr>
          <w:p w14:paraId="1CC815E5" w14:textId="77777777" w:rsidR="009948F1" w:rsidRDefault="00BC0563">
            <w:pPr>
              <w:pStyle w:val="TableParagraph"/>
              <w:spacing w:before="73" w:line="268" w:lineRule="auto"/>
              <w:ind w:left="21" w:right="69"/>
              <w:rPr>
                <w:sz w:val="14"/>
              </w:rPr>
            </w:pPr>
            <w:r>
              <w:rPr>
                <w:color w:val="231F20"/>
                <w:w w:val="90"/>
                <w:sz w:val="14"/>
              </w:rPr>
              <w:t xml:space="preserve">Lack of funds &amp; difficult </w:t>
            </w:r>
            <w:r>
              <w:rPr>
                <w:color w:val="231F20"/>
                <w:w w:val="95"/>
                <w:sz w:val="14"/>
              </w:rPr>
              <w:t>terrain</w:t>
            </w:r>
          </w:p>
        </w:tc>
        <w:tc>
          <w:tcPr>
            <w:tcW w:w="1500" w:type="dxa"/>
            <w:tcBorders>
              <w:top w:val="single" w:sz="6" w:space="0" w:color="231F20"/>
              <w:left w:val="single" w:sz="8" w:space="0" w:color="231F20"/>
              <w:bottom w:val="single" w:sz="6" w:space="0" w:color="231F20"/>
              <w:right w:val="single" w:sz="6" w:space="0" w:color="231F20"/>
            </w:tcBorders>
          </w:tcPr>
          <w:p w14:paraId="42FCB82D" w14:textId="77777777" w:rsidR="009948F1" w:rsidRDefault="009948F1">
            <w:pPr>
              <w:pStyle w:val="TableParagraph"/>
              <w:spacing w:before="1"/>
              <w:rPr>
                <w:sz w:val="14"/>
              </w:rPr>
            </w:pPr>
          </w:p>
          <w:p w14:paraId="743262D9" w14:textId="77777777" w:rsidR="009948F1" w:rsidRDefault="00BC0563">
            <w:pPr>
              <w:pStyle w:val="TableParagraph"/>
              <w:spacing w:before="1"/>
              <w:ind w:left="18"/>
              <w:rPr>
                <w:sz w:val="14"/>
              </w:rPr>
            </w:pPr>
            <w:r>
              <w:rPr>
                <w:color w:val="231F20"/>
                <w:w w:val="95"/>
                <w:sz w:val="14"/>
              </w:rPr>
              <w:t>Revamp HBC and MSS</w:t>
            </w:r>
          </w:p>
        </w:tc>
      </w:tr>
      <w:tr w:rsidR="009948F1" w14:paraId="06B7C2B3" w14:textId="77777777">
        <w:trPr>
          <w:trHeight w:val="1913"/>
        </w:trPr>
        <w:tc>
          <w:tcPr>
            <w:tcW w:w="584" w:type="dxa"/>
            <w:gridSpan w:val="2"/>
            <w:tcBorders>
              <w:top w:val="nil"/>
              <w:left w:val="single" w:sz="6" w:space="0" w:color="231F20"/>
              <w:bottom w:val="nil"/>
              <w:right w:val="single" w:sz="6" w:space="0" w:color="231F20"/>
            </w:tcBorders>
          </w:tcPr>
          <w:p w14:paraId="451C7206" w14:textId="77777777" w:rsidR="009948F1" w:rsidRDefault="009948F1">
            <w:pPr>
              <w:pStyle w:val="TableParagraph"/>
              <w:rPr>
                <w:rFonts w:ascii="Times New Roman"/>
                <w:sz w:val="12"/>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6F4F2871" w14:textId="77777777" w:rsidR="009948F1" w:rsidRDefault="009948F1">
            <w:pPr>
              <w:pStyle w:val="TableParagraph"/>
              <w:rPr>
                <w:sz w:val="14"/>
              </w:rPr>
            </w:pPr>
          </w:p>
          <w:p w14:paraId="4ACF7634" w14:textId="77777777" w:rsidR="009948F1" w:rsidRDefault="009948F1">
            <w:pPr>
              <w:pStyle w:val="TableParagraph"/>
              <w:rPr>
                <w:sz w:val="14"/>
              </w:rPr>
            </w:pPr>
          </w:p>
          <w:p w14:paraId="13F68C2C" w14:textId="77777777" w:rsidR="009948F1" w:rsidRDefault="009948F1">
            <w:pPr>
              <w:pStyle w:val="TableParagraph"/>
              <w:rPr>
                <w:sz w:val="14"/>
              </w:rPr>
            </w:pPr>
          </w:p>
          <w:p w14:paraId="746C414F" w14:textId="77777777" w:rsidR="009948F1" w:rsidRDefault="009948F1">
            <w:pPr>
              <w:pStyle w:val="TableParagraph"/>
              <w:rPr>
                <w:sz w:val="14"/>
              </w:rPr>
            </w:pPr>
          </w:p>
          <w:p w14:paraId="78125EEB" w14:textId="77777777" w:rsidR="009948F1" w:rsidRDefault="009948F1">
            <w:pPr>
              <w:pStyle w:val="TableParagraph"/>
              <w:rPr>
                <w:sz w:val="20"/>
              </w:rPr>
            </w:pPr>
          </w:p>
          <w:p w14:paraId="73D05AE0" w14:textId="77777777" w:rsidR="009948F1" w:rsidRDefault="00BC0563">
            <w:pPr>
              <w:pStyle w:val="TableParagraph"/>
              <w:ind w:left="54"/>
              <w:rPr>
                <w:sz w:val="14"/>
              </w:rPr>
            </w:pPr>
            <w:r>
              <w:rPr>
                <w:color w:val="231F20"/>
                <w:w w:val="95"/>
                <w:sz w:val="14"/>
              </w:rPr>
              <w:t>4.1.3</w:t>
            </w:r>
          </w:p>
        </w:tc>
        <w:tc>
          <w:tcPr>
            <w:tcW w:w="3030" w:type="dxa"/>
            <w:gridSpan w:val="2"/>
            <w:tcBorders>
              <w:top w:val="single" w:sz="6" w:space="0" w:color="231F20"/>
              <w:left w:val="single" w:sz="6" w:space="0" w:color="231F20"/>
              <w:bottom w:val="single" w:sz="6" w:space="0" w:color="231F20"/>
              <w:right w:val="single" w:sz="6" w:space="0" w:color="231F20"/>
            </w:tcBorders>
            <w:shd w:val="clear" w:color="auto" w:fill="CCE7D3"/>
          </w:tcPr>
          <w:p w14:paraId="1B3B26CF" w14:textId="77777777" w:rsidR="009948F1" w:rsidRDefault="009948F1">
            <w:pPr>
              <w:pStyle w:val="TableParagraph"/>
              <w:rPr>
                <w:sz w:val="14"/>
              </w:rPr>
            </w:pPr>
          </w:p>
          <w:p w14:paraId="474C882C" w14:textId="77777777" w:rsidR="009948F1" w:rsidRDefault="009948F1">
            <w:pPr>
              <w:pStyle w:val="TableParagraph"/>
              <w:rPr>
                <w:sz w:val="14"/>
              </w:rPr>
            </w:pPr>
          </w:p>
          <w:p w14:paraId="5E10E9EE" w14:textId="77777777" w:rsidR="009948F1" w:rsidRDefault="009948F1">
            <w:pPr>
              <w:pStyle w:val="TableParagraph"/>
              <w:rPr>
                <w:sz w:val="14"/>
              </w:rPr>
            </w:pPr>
          </w:p>
          <w:p w14:paraId="49EB4985" w14:textId="77777777" w:rsidR="009948F1" w:rsidRDefault="009948F1">
            <w:pPr>
              <w:pStyle w:val="TableParagraph"/>
              <w:spacing w:before="9"/>
              <w:rPr>
                <w:sz w:val="17"/>
              </w:rPr>
            </w:pPr>
          </w:p>
          <w:p w14:paraId="62704908" w14:textId="77777777" w:rsidR="009948F1" w:rsidRDefault="00BC0563">
            <w:pPr>
              <w:pStyle w:val="TableParagraph"/>
              <w:spacing w:line="268" w:lineRule="auto"/>
              <w:ind w:left="21" w:right="10" w:firstLine="32"/>
              <w:rPr>
                <w:sz w:val="14"/>
              </w:rPr>
            </w:pPr>
            <w:r>
              <w:rPr>
                <w:color w:val="231F20"/>
                <w:w w:val="95"/>
                <w:sz w:val="14"/>
              </w:rPr>
              <w:t xml:space="preserve">Promote advocacy, community Mobilization and </w:t>
            </w:r>
            <w:proofErr w:type="spellStart"/>
            <w:r>
              <w:rPr>
                <w:color w:val="231F20"/>
                <w:w w:val="85"/>
                <w:sz w:val="14"/>
              </w:rPr>
              <w:t>Behaviour</w:t>
            </w:r>
            <w:proofErr w:type="spellEnd"/>
            <w:r>
              <w:rPr>
                <w:color w:val="231F20"/>
                <w:w w:val="85"/>
                <w:sz w:val="14"/>
              </w:rPr>
              <w:t xml:space="preserve"> Change Communication for Safe Motherhood </w:t>
            </w:r>
            <w:r>
              <w:rPr>
                <w:color w:val="231F20"/>
                <w:w w:val="95"/>
                <w:sz w:val="14"/>
              </w:rPr>
              <w:t>Services</w:t>
            </w:r>
          </w:p>
        </w:tc>
        <w:tc>
          <w:tcPr>
            <w:tcW w:w="2378" w:type="dxa"/>
            <w:tcBorders>
              <w:top w:val="single" w:sz="6" w:space="0" w:color="231F20"/>
              <w:left w:val="single" w:sz="6" w:space="0" w:color="231F20"/>
              <w:bottom w:val="single" w:sz="6" w:space="0" w:color="231F20"/>
              <w:right w:val="single" w:sz="6" w:space="0" w:color="231F20"/>
            </w:tcBorders>
            <w:shd w:val="clear" w:color="auto" w:fill="CCE7D3"/>
          </w:tcPr>
          <w:p w14:paraId="08AEB052" w14:textId="77777777" w:rsidR="009948F1" w:rsidRDefault="009948F1">
            <w:pPr>
              <w:pStyle w:val="TableParagraph"/>
              <w:spacing w:before="1"/>
              <w:rPr>
                <w:sz w:val="13"/>
              </w:rPr>
            </w:pPr>
          </w:p>
          <w:p w14:paraId="30AEE94B" w14:textId="77777777" w:rsidR="009948F1" w:rsidRDefault="00BC0563">
            <w:pPr>
              <w:pStyle w:val="TableParagraph"/>
              <w:numPr>
                <w:ilvl w:val="0"/>
                <w:numId w:val="205"/>
              </w:numPr>
              <w:tabs>
                <w:tab w:val="left" w:pos="96"/>
              </w:tabs>
              <w:spacing w:line="268" w:lineRule="auto"/>
              <w:ind w:right="132" w:firstLine="0"/>
              <w:rPr>
                <w:sz w:val="14"/>
              </w:rPr>
            </w:pPr>
            <w:r>
              <w:rPr>
                <w:color w:val="231F20"/>
                <w:w w:val="85"/>
                <w:sz w:val="14"/>
              </w:rPr>
              <w:t>Uptake of safe motherhood</w:t>
            </w:r>
            <w:r>
              <w:rPr>
                <w:color w:val="231F20"/>
                <w:spacing w:val="-25"/>
                <w:w w:val="85"/>
                <w:sz w:val="14"/>
              </w:rPr>
              <w:t xml:space="preserve"> </w:t>
            </w:r>
            <w:r>
              <w:rPr>
                <w:color w:val="231F20"/>
                <w:w w:val="85"/>
                <w:sz w:val="14"/>
              </w:rPr>
              <w:t xml:space="preserve">interventions </w:t>
            </w:r>
            <w:r>
              <w:rPr>
                <w:color w:val="231F20"/>
                <w:w w:val="95"/>
                <w:sz w:val="14"/>
              </w:rPr>
              <w:t>promoted by</w:t>
            </w:r>
            <w:r>
              <w:rPr>
                <w:color w:val="231F20"/>
                <w:spacing w:val="-15"/>
                <w:w w:val="95"/>
                <w:sz w:val="14"/>
              </w:rPr>
              <w:t xml:space="preserve"> </w:t>
            </w:r>
            <w:r>
              <w:rPr>
                <w:color w:val="231F20"/>
                <w:w w:val="95"/>
                <w:sz w:val="14"/>
              </w:rPr>
              <w:t>CBOs</w:t>
            </w:r>
          </w:p>
          <w:p w14:paraId="4138C23B" w14:textId="77777777" w:rsidR="009948F1" w:rsidRDefault="00BC0563">
            <w:pPr>
              <w:pStyle w:val="TableParagraph"/>
              <w:numPr>
                <w:ilvl w:val="0"/>
                <w:numId w:val="205"/>
              </w:numPr>
              <w:tabs>
                <w:tab w:val="left" w:pos="96"/>
              </w:tabs>
              <w:spacing w:before="1" w:line="268" w:lineRule="auto"/>
              <w:ind w:right="46" w:firstLine="0"/>
              <w:rPr>
                <w:sz w:val="14"/>
              </w:rPr>
            </w:pPr>
            <w:r>
              <w:rPr>
                <w:color w:val="231F20"/>
                <w:w w:val="85"/>
                <w:sz w:val="14"/>
              </w:rPr>
              <w:t xml:space="preserve">Education &amp; Sensitization meeting on </w:t>
            </w:r>
            <w:r>
              <w:rPr>
                <w:color w:val="231F20"/>
                <w:spacing w:val="-4"/>
                <w:w w:val="85"/>
                <w:sz w:val="14"/>
              </w:rPr>
              <w:t xml:space="preserve">safe </w:t>
            </w:r>
            <w:r>
              <w:rPr>
                <w:color w:val="231F20"/>
                <w:w w:val="90"/>
                <w:sz w:val="14"/>
              </w:rPr>
              <w:t>motherhood</w:t>
            </w:r>
            <w:r>
              <w:rPr>
                <w:color w:val="231F20"/>
                <w:spacing w:val="-18"/>
                <w:w w:val="90"/>
                <w:sz w:val="14"/>
              </w:rPr>
              <w:t xml:space="preserve"> </w:t>
            </w:r>
            <w:r>
              <w:rPr>
                <w:color w:val="231F20"/>
                <w:w w:val="90"/>
                <w:sz w:val="14"/>
              </w:rPr>
              <w:t>practices</w:t>
            </w:r>
            <w:r>
              <w:rPr>
                <w:color w:val="231F20"/>
                <w:spacing w:val="-17"/>
                <w:w w:val="90"/>
                <w:sz w:val="14"/>
              </w:rPr>
              <w:t xml:space="preserve"> </w:t>
            </w:r>
            <w:r>
              <w:rPr>
                <w:color w:val="231F20"/>
                <w:w w:val="90"/>
                <w:sz w:val="14"/>
              </w:rPr>
              <w:t>held</w:t>
            </w:r>
            <w:r>
              <w:rPr>
                <w:color w:val="231F20"/>
                <w:spacing w:val="-18"/>
                <w:w w:val="90"/>
                <w:sz w:val="14"/>
              </w:rPr>
              <w:t xml:space="preserve"> </w:t>
            </w:r>
            <w:r>
              <w:rPr>
                <w:color w:val="231F20"/>
                <w:w w:val="90"/>
                <w:sz w:val="14"/>
              </w:rPr>
              <w:t>in</w:t>
            </w:r>
            <w:r>
              <w:rPr>
                <w:color w:val="231F20"/>
                <w:spacing w:val="-17"/>
                <w:w w:val="90"/>
                <w:sz w:val="14"/>
              </w:rPr>
              <w:t xml:space="preserve"> </w:t>
            </w:r>
            <w:r>
              <w:rPr>
                <w:color w:val="231F20"/>
                <w:w w:val="90"/>
                <w:sz w:val="14"/>
              </w:rPr>
              <w:t>the</w:t>
            </w:r>
            <w:r>
              <w:rPr>
                <w:color w:val="231F20"/>
                <w:spacing w:val="-18"/>
                <w:w w:val="90"/>
                <w:sz w:val="14"/>
              </w:rPr>
              <w:t xml:space="preserve"> </w:t>
            </w:r>
            <w:r>
              <w:rPr>
                <w:color w:val="231F20"/>
                <w:w w:val="90"/>
                <w:sz w:val="14"/>
              </w:rPr>
              <w:t>23</w:t>
            </w:r>
            <w:r>
              <w:rPr>
                <w:color w:val="231F20"/>
                <w:spacing w:val="-17"/>
                <w:w w:val="90"/>
                <w:sz w:val="14"/>
              </w:rPr>
              <w:t xml:space="preserve"> </w:t>
            </w:r>
            <w:r>
              <w:rPr>
                <w:color w:val="231F20"/>
                <w:w w:val="90"/>
                <w:sz w:val="14"/>
              </w:rPr>
              <w:t>LGAs</w:t>
            </w:r>
          </w:p>
          <w:p w14:paraId="39801F0F" w14:textId="77777777" w:rsidR="009948F1" w:rsidRDefault="00BC0563">
            <w:pPr>
              <w:pStyle w:val="TableParagraph"/>
              <w:numPr>
                <w:ilvl w:val="0"/>
                <w:numId w:val="205"/>
              </w:numPr>
              <w:tabs>
                <w:tab w:val="left" w:pos="96"/>
              </w:tabs>
              <w:spacing w:before="1" w:line="268" w:lineRule="auto"/>
              <w:ind w:right="437" w:firstLine="0"/>
              <w:rPr>
                <w:sz w:val="14"/>
              </w:rPr>
            </w:pPr>
            <w:r>
              <w:rPr>
                <w:color w:val="231F20"/>
                <w:w w:val="85"/>
                <w:sz w:val="14"/>
              </w:rPr>
              <w:t xml:space="preserve">Safe Motherhood Week </w:t>
            </w:r>
            <w:r>
              <w:rPr>
                <w:color w:val="231F20"/>
                <w:spacing w:val="-3"/>
                <w:w w:val="85"/>
                <w:sz w:val="14"/>
              </w:rPr>
              <w:t xml:space="preserve">celebrated </w:t>
            </w:r>
            <w:r>
              <w:rPr>
                <w:color w:val="231F20"/>
                <w:w w:val="95"/>
                <w:sz w:val="14"/>
              </w:rPr>
              <w:t>annually</w:t>
            </w:r>
          </w:p>
          <w:p w14:paraId="03346330" w14:textId="77777777" w:rsidR="009948F1" w:rsidRDefault="00BC0563">
            <w:pPr>
              <w:pStyle w:val="TableParagraph"/>
              <w:numPr>
                <w:ilvl w:val="0"/>
                <w:numId w:val="205"/>
              </w:numPr>
              <w:tabs>
                <w:tab w:val="left" w:pos="64"/>
              </w:tabs>
              <w:spacing w:before="1" w:line="268" w:lineRule="auto"/>
              <w:ind w:right="79" w:firstLine="0"/>
              <w:rPr>
                <w:sz w:val="14"/>
              </w:rPr>
            </w:pPr>
            <w:r>
              <w:rPr>
                <w:color w:val="231F20"/>
                <w:w w:val="90"/>
                <w:sz w:val="14"/>
              </w:rPr>
              <w:t>Males</w:t>
            </w:r>
            <w:r>
              <w:rPr>
                <w:color w:val="231F20"/>
                <w:spacing w:val="-23"/>
                <w:w w:val="90"/>
                <w:sz w:val="14"/>
              </w:rPr>
              <w:t xml:space="preserve"> </w:t>
            </w:r>
            <w:r>
              <w:rPr>
                <w:color w:val="231F20"/>
                <w:w w:val="90"/>
                <w:sz w:val="14"/>
              </w:rPr>
              <w:t>trained</w:t>
            </w:r>
            <w:r>
              <w:rPr>
                <w:color w:val="231F20"/>
                <w:spacing w:val="-22"/>
                <w:w w:val="90"/>
                <w:sz w:val="14"/>
              </w:rPr>
              <w:t xml:space="preserve"> </w:t>
            </w:r>
            <w:r>
              <w:rPr>
                <w:color w:val="231F20"/>
                <w:w w:val="90"/>
                <w:sz w:val="14"/>
              </w:rPr>
              <w:t>and</w:t>
            </w:r>
            <w:r>
              <w:rPr>
                <w:color w:val="231F20"/>
                <w:spacing w:val="-22"/>
                <w:w w:val="90"/>
                <w:sz w:val="14"/>
              </w:rPr>
              <w:t xml:space="preserve"> </w:t>
            </w:r>
            <w:r>
              <w:rPr>
                <w:color w:val="231F20"/>
                <w:w w:val="90"/>
                <w:sz w:val="14"/>
              </w:rPr>
              <w:t>involved</w:t>
            </w:r>
            <w:r>
              <w:rPr>
                <w:color w:val="231F20"/>
                <w:spacing w:val="-22"/>
                <w:w w:val="90"/>
                <w:sz w:val="14"/>
              </w:rPr>
              <w:t xml:space="preserve"> </w:t>
            </w:r>
            <w:r>
              <w:rPr>
                <w:color w:val="231F20"/>
                <w:w w:val="90"/>
                <w:sz w:val="14"/>
              </w:rPr>
              <w:t>in</w:t>
            </w:r>
            <w:r>
              <w:rPr>
                <w:color w:val="231F20"/>
                <w:spacing w:val="-22"/>
                <w:w w:val="90"/>
                <w:sz w:val="14"/>
              </w:rPr>
              <w:t xml:space="preserve"> </w:t>
            </w:r>
            <w:r>
              <w:rPr>
                <w:color w:val="231F20"/>
                <w:spacing w:val="-3"/>
                <w:w w:val="90"/>
                <w:sz w:val="14"/>
              </w:rPr>
              <w:t xml:space="preserve">reproductive </w:t>
            </w:r>
            <w:r>
              <w:rPr>
                <w:color w:val="231F20"/>
                <w:w w:val="95"/>
                <w:sz w:val="14"/>
              </w:rPr>
              <w:t>health services and information in the communities</w:t>
            </w:r>
          </w:p>
        </w:tc>
        <w:tc>
          <w:tcPr>
            <w:tcW w:w="1424" w:type="dxa"/>
            <w:tcBorders>
              <w:top w:val="single" w:sz="6" w:space="0" w:color="231F20"/>
              <w:left w:val="single" w:sz="6" w:space="0" w:color="231F20"/>
              <w:bottom w:val="single" w:sz="6" w:space="0" w:color="231F20"/>
              <w:right w:val="single" w:sz="8" w:space="0" w:color="231F20"/>
            </w:tcBorders>
            <w:shd w:val="clear" w:color="auto" w:fill="CCE7D3"/>
          </w:tcPr>
          <w:p w14:paraId="0BCDC8A9" w14:textId="77777777" w:rsidR="009948F1" w:rsidRDefault="009948F1">
            <w:pPr>
              <w:pStyle w:val="TableParagraph"/>
              <w:rPr>
                <w:rFonts w:ascii="Times New Roman"/>
                <w:sz w:val="12"/>
              </w:rPr>
            </w:pPr>
          </w:p>
        </w:tc>
        <w:tc>
          <w:tcPr>
            <w:tcW w:w="1500" w:type="dxa"/>
            <w:tcBorders>
              <w:top w:val="single" w:sz="6" w:space="0" w:color="231F20"/>
              <w:left w:val="single" w:sz="8" w:space="0" w:color="231F20"/>
              <w:bottom w:val="single" w:sz="6" w:space="0" w:color="231F20"/>
              <w:right w:val="single" w:sz="6" w:space="0" w:color="231F20"/>
            </w:tcBorders>
            <w:shd w:val="clear" w:color="auto" w:fill="CCE7D3"/>
          </w:tcPr>
          <w:p w14:paraId="7097B2EB" w14:textId="77777777" w:rsidR="009948F1" w:rsidRDefault="009948F1">
            <w:pPr>
              <w:pStyle w:val="TableParagraph"/>
              <w:rPr>
                <w:rFonts w:ascii="Times New Roman"/>
                <w:sz w:val="12"/>
              </w:rPr>
            </w:pPr>
          </w:p>
        </w:tc>
      </w:tr>
      <w:tr w:rsidR="009948F1" w14:paraId="2494D3C5" w14:textId="77777777">
        <w:trPr>
          <w:trHeight w:val="702"/>
        </w:trPr>
        <w:tc>
          <w:tcPr>
            <w:tcW w:w="1038" w:type="dxa"/>
            <w:gridSpan w:val="3"/>
            <w:vMerge w:val="restart"/>
            <w:tcBorders>
              <w:top w:val="nil"/>
              <w:left w:val="single" w:sz="6" w:space="0" w:color="231F20"/>
              <w:bottom w:val="single" w:sz="8" w:space="0" w:color="231F20"/>
              <w:right w:val="single" w:sz="6" w:space="0" w:color="231F20"/>
            </w:tcBorders>
          </w:tcPr>
          <w:p w14:paraId="52B4EF6B" w14:textId="77777777" w:rsidR="009948F1" w:rsidRDefault="009948F1">
            <w:pPr>
              <w:pStyle w:val="TableParagraph"/>
              <w:rPr>
                <w:rFonts w:ascii="Times New Roman"/>
                <w:sz w:val="12"/>
              </w:rPr>
            </w:pPr>
          </w:p>
        </w:tc>
        <w:tc>
          <w:tcPr>
            <w:tcW w:w="525" w:type="dxa"/>
            <w:tcBorders>
              <w:top w:val="single" w:sz="6" w:space="0" w:color="231F20"/>
              <w:left w:val="single" w:sz="6" w:space="0" w:color="231F20"/>
              <w:bottom w:val="single" w:sz="6" w:space="0" w:color="231F20"/>
              <w:right w:val="single" w:sz="6" w:space="0" w:color="231F20"/>
            </w:tcBorders>
          </w:tcPr>
          <w:p w14:paraId="0251C407" w14:textId="77777777" w:rsidR="009948F1" w:rsidRDefault="009948F1">
            <w:pPr>
              <w:pStyle w:val="TableParagraph"/>
              <w:rPr>
                <w:sz w:val="14"/>
              </w:rPr>
            </w:pPr>
          </w:p>
          <w:p w14:paraId="15D9E017" w14:textId="77777777" w:rsidR="009948F1" w:rsidRDefault="00BC0563">
            <w:pPr>
              <w:pStyle w:val="TableParagraph"/>
              <w:spacing w:before="109"/>
              <w:ind w:left="22" w:right="9"/>
              <w:jc w:val="center"/>
              <w:rPr>
                <w:sz w:val="14"/>
              </w:rPr>
            </w:pPr>
            <w:r>
              <w:rPr>
                <w:color w:val="231F20"/>
                <w:w w:val="90"/>
                <w:sz w:val="14"/>
              </w:rPr>
              <w:t>4.1.3.a</w:t>
            </w:r>
          </w:p>
        </w:tc>
        <w:tc>
          <w:tcPr>
            <w:tcW w:w="4883" w:type="dxa"/>
            <w:gridSpan w:val="2"/>
            <w:tcBorders>
              <w:top w:val="single" w:sz="6" w:space="0" w:color="231F20"/>
              <w:left w:val="single" w:sz="6" w:space="0" w:color="231F20"/>
              <w:bottom w:val="single" w:sz="6" w:space="0" w:color="231F20"/>
              <w:right w:val="single" w:sz="8" w:space="0" w:color="231F20"/>
            </w:tcBorders>
          </w:tcPr>
          <w:p w14:paraId="627697E4" w14:textId="16A4AE15" w:rsidR="009948F1" w:rsidRDefault="00BC0563">
            <w:pPr>
              <w:pStyle w:val="TableParagraph"/>
              <w:spacing w:before="1" w:line="268" w:lineRule="auto"/>
              <w:ind w:left="21" w:right="177"/>
              <w:rPr>
                <w:sz w:val="14"/>
              </w:rPr>
            </w:pPr>
            <w:r>
              <w:rPr>
                <w:color w:val="231F20"/>
                <w:w w:val="85"/>
                <w:sz w:val="14"/>
              </w:rPr>
              <w:t>Conduct</w:t>
            </w:r>
            <w:r>
              <w:rPr>
                <w:color w:val="231F20"/>
                <w:spacing w:val="-5"/>
                <w:w w:val="85"/>
                <w:sz w:val="14"/>
              </w:rPr>
              <w:t xml:space="preserve"> </w:t>
            </w:r>
            <w:r>
              <w:rPr>
                <w:color w:val="231F20"/>
                <w:w w:val="85"/>
                <w:sz w:val="14"/>
              </w:rPr>
              <w:t>advocacy</w:t>
            </w:r>
            <w:r>
              <w:rPr>
                <w:color w:val="231F20"/>
                <w:spacing w:val="-4"/>
                <w:w w:val="85"/>
                <w:sz w:val="14"/>
              </w:rPr>
              <w:t xml:space="preserve"> </w:t>
            </w:r>
            <w:r>
              <w:rPr>
                <w:color w:val="231F20"/>
                <w:w w:val="85"/>
                <w:sz w:val="14"/>
              </w:rPr>
              <w:t>to</w:t>
            </w:r>
            <w:r>
              <w:rPr>
                <w:color w:val="231F20"/>
                <w:spacing w:val="-4"/>
                <w:w w:val="85"/>
                <w:sz w:val="14"/>
              </w:rPr>
              <w:t xml:space="preserve"> </w:t>
            </w:r>
            <w:r>
              <w:rPr>
                <w:color w:val="231F20"/>
                <w:w w:val="85"/>
                <w:sz w:val="14"/>
              </w:rPr>
              <w:t>stakeholders</w:t>
            </w:r>
            <w:r>
              <w:rPr>
                <w:color w:val="231F20"/>
                <w:spacing w:val="-4"/>
                <w:w w:val="85"/>
                <w:sz w:val="14"/>
              </w:rPr>
              <w:t xml:space="preserve"> </w:t>
            </w:r>
            <w:r>
              <w:rPr>
                <w:color w:val="231F20"/>
                <w:w w:val="85"/>
                <w:sz w:val="14"/>
              </w:rPr>
              <w:t>(House</w:t>
            </w:r>
            <w:r>
              <w:rPr>
                <w:color w:val="231F20"/>
                <w:spacing w:val="-4"/>
                <w:w w:val="85"/>
                <w:sz w:val="14"/>
              </w:rPr>
              <w:t xml:space="preserve"> </w:t>
            </w:r>
            <w:r>
              <w:rPr>
                <w:color w:val="231F20"/>
                <w:w w:val="85"/>
                <w:sz w:val="14"/>
              </w:rPr>
              <w:t>of</w:t>
            </w:r>
            <w:r>
              <w:rPr>
                <w:color w:val="231F20"/>
                <w:spacing w:val="-5"/>
                <w:w w:val="85"/>
                <w:sz w:val="14"/>
              </w:rPr>
              <w:t xml:space="preserve"> </w:t>
            </w:r>
            <w:r>
              <w:rPr>
                <w:color w:val="231F20"/>
                <w:w w:val="85"/>
                <w:sz w:val="14"/>
              </w:rPr>
              <w:t>assembly,</w:t>
            </w:r>
            <w:r>
              <w:rPr>
                <w:color w:val="231F20"/>
                <w:spacing w:val="-5"/>
                <w:w w:val="85"/>
                <w:sz w:val="14"/>
              </w:rPr>
              <w:t xml:space="preserve"> </w:t>
            </w:r>
            <w:r>
              <w:rPr>
                <w:color w:val="231F20"/>
                <w:w w:val="85"/>
                <w:sz w:val="14"/>
              </w:rPr>
              <w:t>Wife</w:t>
            </w:r>
            <w:r>
              <w:rPr>
                <w:color w:val="231F20"/>
                <w:spacing w:val="-4"/>
                <w:w w:val="85"/>
                <w:sz w:val="14"/>
              </w:rPr>
              <w:t xml:space="preserve"> </w:t>
            </w:r>
            <w:r>
              <w:rPr>
                <w:color w:val="231F20"/>
                <w:w w:val="85"/>
                <w:sz w:val="14"/>
              </w:rPr>
              <w:t>of</w:t>
            </w:r>
            <w:r>
              <w:rPr>
                <w:color w:val="231F20"/>
                <w:spacing w:val="-5"/>
                <w:w w:val="85"/>
                <w:sz w:val="14"/>
              </w:rPr>
              <w:t xml:space="preserve"> </w:t>
            </w:r>
            <w:r>
              <w:rPr>
                <w:color w:val="231F20"/>
                <w:w w:val="85"/>
                <w:sz w:val="14"/>
              </w:rPr>
              <w:t>Governor,</w:t>
            </w:r>
            <w:r>
              <w:rPr>
                <w:color w:val="231F20"/>
                <w:spacing w:val="-5"/>
                <w:w w:val="85"/>
                <w:sz w:val="14"/>
              </w:rPr>
              <w:t xml:space="preserve"> </w:t>
            </w:r>
            <w:r>
              <w:rPr>
                <w:color w:val="231F20"/>
                <w:w w:val="85"/>
                <w:sz w:val="14"/>
              </w:rPr>
              <w:t>Line</w:t>
            </w:r>
            <w:r>
              <w:rPr>
                <w:color w:val="231F20"/>
                <w:spacing w:val="-4"/>
                <w:w w:val="85"/>
                <w:sz w:val="14"/>
              </w:rPr>
              <w:t xml:space="preserve"> </w:t>
            </w:r>
            <w:r>
              <w:rPr>
                <w:color w:val="231F20"/>
                <w:w w:val="85"/>
                <w:sz w:val="14"/>
              </w:rPr>
              <w:t xml:space="preserve">Ministries </w:t>
            </w:r>
            <w:r w:rsidR="00B94D6C">
              <w:rPr>
                <w:color w:val="231F20"/>
                <w:w w:val="90"/>
                <w:sz w:val="14"/>
              </w:rPr>
              <w:t>etc.</w:t>
            </w:r>
            <w:r>
              <w:rPr>
                <w:color w:val="231F20"/>
                <w:w w:val="90"/>
                <w:sz w:val="14"/>
              </w:rPr>
              <w:t>)</w:t>
            </w:r>
            <w:r>
              <w:rPr>
                <w:color w:val="231F20"/>
                <w:spacing w:val="-23"/>
                <w:w w:val="90"/>
                <w:sz w:val="14"/>
              </w:rPr>
              <w:t xml:space="preserve"> </w:t>
            </w:r>
            <w:r>
              <w:rPr>
                <w:color w:val="231F20"/>
                <w:w w:val="90"/>
                <w:sz w:val="14"/>
              </w:rPr>
              <w:t>on</w:t>
            </w:r>
            <w:r>
              <w:rPr>
                <w:color w:val="231F20"/>
                <w:spacing w:val="-22"/>
                <w:w w:val="90"/>
                <w:sz w:val="14"/>
              </w:rPr>
              <w:t xml:space="preserve"> </w:t>
            </w:r>
            <w:r>
              <w:rPr>
                <w:color w:val="231F20"/>
                <w:w w:val="90"/>
                <w:sz w:val="14"/>
              </w:rPr>
              <w:t>Safe</w:t>
            </w:r>
            <w:r>
              <w:rPr>
                <w:color w:val="231F20"/>
                <w:spacing w:val="-23"/>
                <w:w w:val="90"/>
                <w:sz w:val="14"/>
              </w:rPr>
              <w:t xml:space="preserve"> </w:t>
            </w:r>
            <w:r>
              <w:rPr>
                <w:color w:val="231F20"/>
                <w:w w:val="90"/>
                <w:sz w:val="14"/>
              </w:rPr>
              <w:t>motherhood</w:t>
            </w:r>
            <w:r>
              <w:rPr>
                <w:color w:val="231F20"/>
                <w:spacing w:val="-22"/>
                <w:w w:val="90"/>
                <w:sz w:val="14"/>
              </w:rPr>
              <w:t xml:space="preserve"> </w:t>
            </w:r>
            <w:r>
              <w:rPr>
                <w:color w:val="231F20"/>
                <w:w w:val="90"/>
                <w:sz w:val="14"/>
              </w:rPr>
              <w:t>services</w:t>
            </w:r>
            <w:r>
              <w:rPr>
                <w:color w:val="231F20"/>
                <w:spacing w:val="-23"/>
                <w:w w:val="90"/>
                <w:sz w:val="14"/>
              </w:rPr>
              <w:t xml:space="preserve"> </w:t>
            </w:r>
            <w:r>
              <w:rPr>
                <w:color w:val="231F20"/>
                <w:w w:val="90"/>
                <w:sz w:val="14"/>
              </w:rPr>
              <w:t>(Conduct</w:t>
            </w:r>
            <w:r>
              <w:rPr>
                <w:color w:val="231F20"/>
                <w:spacing w:val="-22"/>
                <w:w w:val="90"/>
                <w:sz w:val="14"/>
              </w:rPr>
              <w:t xml:space="preserve"> </w:t>
            </w:r>
            <w:r>
              <w:rPr>
                <w:color w:val="231F20"/>
                <w:w w:val="90"/>
                <w:sz w:val="14"/>
              </w:rPr>
              <w:t>advocacy</w:t>
            </w:r>
            <w:r>
              <w:rPr>
                <w:color w:val="231F20"/>
                <w:spacing w:val="-23"/>
                <w:w w:val="90"/>
                <w:sz w:val="14"/>
              </w:rPr>
              <w:t xml:space="preserve"> </w:t>
            </w:r>
            <w:r>
              <w:rPr>
                <w:color w:val="231F20"/>
                <w:w w:val="90"/>
                <w:sz w:val="14"/>
              </w:rPr>
              <w:t>to</w:t>
            </w:r>
            <w:r>
              <w:rPr>
                <w:color w:val="231F20"/>
                <w:spacing w:val="-22"/>
                <w:w w:val="90"/>
                <w:sz w:val="14"/>
              </w:rPr>
              <w:t xml:space="preserve"> </w:t>
            </w:r>
            <w:r>
              <w:rPr>
                <w:color w:val="231F20"/>
                <w:w w:val="90"/>
                <w:sz w:val="14"/>
              </w:rPr>
              <w:t>Community</w:t>
            </w:r>
            <w:r>
              <w:rPr>
                <w:color w:val="231F20"/>
                <w:spacing w:val="-23"/>
                <w:w w:val="90"/>
                <w:sz w:val="14"/>
              </w:rPr>
              <w:t xml:space="preserve"> </w:t>
            </w:r>
            <w:r>
              <w:rPr>
                <w:color w:val="231F20"/>
                <w:w w:val="90"/>
                <w:sz w:val="14"/>
              </w:rPr>
              <w:t>Chiefs</w:t>
            </w:r>
            <w:r>
              <w:rPr>
                <w:color w:val="231F20"/>
                <w:spacing w:val="-22"/>
                <w:w w:val="90"/>
                <w:sz w:val="14"/>
              </w:rPr>
              <w:t xml:space="preserve"> </w:t>
            </w:r>
            <w:r>
              <w:rPr>
                <w:color w:val="231F20"/>
                <w:w w:val="90"/>
                <w:sz w:val="14"/>
              </w:rPr>
              <w:t>&amp;</w:t>
            </w:r>
            <w:r>
              <w:rPr>
                <w:color w:val="231F20"/>
                <w:spacing w:val="-23"/>
                <w:w w:val="90"/>
                <w:sz w:val="14"/>
              </w:rPr>
              <w:t xml:space="preserve"> </w:t>
            </w:r>
            <w:r>
              <w:rPr>
                <w:color w:val="231F20"/>
                <w:w w:val="90"/>
                <w:sz w:val="14"/>
              </w:rPr>
              <w:t>Religious Leaders</w:t>
            </w:r>
            <w:r>
              <w:rPr>
                <w:color w:val="231F20"/>
                <w:spacing w:val="-18"/>
                <w:w w:val="90"/>
                <w:sz w:val="14"/>
              </w:rPr>
              <w:t xml:space="preserve"> </w:t>
            </w:r>
            <w:r>
              <w:rPr>
                <w:color w:val="231F20"/>
                <w:w w:val="90"/>
                <w:sz w:val="14"/>
              </w:rPr>
              <w:t>in</w:t>
            </w:r>
            <w:r>
              <w:rPr>
                <w:color w:val="231F20"/>
                <w:spacing w:val="-18"/>
                <w:w w:val="90"/>
                <w:sz w:val="14"/>
              </w:rPr>
              <w:t xml:space="preserve"> </w:t>
            </w:r>
            <w:r>
              <w:rPr>
                <w:color w:val="231F20"/>
                <w:w w:val="90"/>
                <w:sz w:val="14"/>
              </w:rPr>
              <w:t>the</w:t>
            </w:r>
            <w:r>
              <w:rPr>
                <w:color w:val="231F20"/>
                <w:spacing w:val="-18"/>
                <w:w w:val="90"/>
                <w:sz w:val="14"/>
              </w:rPr>
              <w:t xml:space="preserve"> </w:t>
            </w:r>
            <w:r>
              <w:rPr>
                <w:color w:val="231F20"/>
                <w:w w:val="90"/>
                <w:sz w:val="14"/>
              </w:rPr>
              <w:t>23</w:t>
            </w:r>
            <w:r>
              <w:rPr>
                <w:color w:val="231F20"/>
                <w:spacing w:val="-18"/>
                <w:w w:val="90"/>
                <w:sz w:val="14"/>
              </w:rPr>
              <w:t xml:space="preserve"> </w:t>
            </w:r>
            <w:r>
              <w:rPr>
                <w:color w:val="231F20"/>
                <w:w w:val="90"/>
                <w:sz w:val="14"/>
              </w:rPr>
              <w:t>LGAs</w:t>
            </w:r>
            <w:r>
              <w:rPr>
                <w:color w:val="231F20"/>
                <w:spacing w:val="-18"/>
                <w:w w:val="90"/>
                <w:sz w:val="14"/>
              </w:rPr>
              <w:t xml:space="preserve"> </w:t>
            </w:r>
            <w:r>
              <w:rPr>
                <w:color w:val="231F20"/>
                <w:w w:val="90"/>
                <w:sz w:val="14"/>
              </w:rPr>
              <w:t>on</w:t>
            </w:r>
            <w:r>
              <w:rPr>
                <w:color w:val="231F20"/>
                <w:spacing w:val="-17"/>
                <w:w w:val="90"/>
                <w:sz w:val="14"/>
              </w:rPr>
              <w:t xml:space="preserve"> </w:t>
            </w:r>
            <w:r>
              <w:rPr>
                <w:color w:val="231F20"/>
                <w:w w:val="90"/>
                <w:sz w:val="14"/>
              </w:rPr>
              <w:t>Safe</w:t>
            </w:r>
            <w:r>
              <w:rPr>
                <w:color w:val="231F20"/>
                <w:spacing w:val="-18"/>
                <w:w w:val="90"/>
                <w:sz w:val="14"/>
              </w:rPr>
              <w:t xml:space="preserve"> </w:t>
            </w:r>
            <w:r>
              <w:rPr>
                <w:color w:val="231F20"/>
                <w:w w:val="90"/>
                <w:sz w:val="14"/>
              </w:rPr>
              <w:t>Motherhood</w:t>
            </w:r>
            <w:r>
              <w:rPr>
                <w:color w:val="231F20"/>
                <w:spacing w:val="-18"/>
                <w:w w:val="90"/>
                <w:sz w:val="14"/>
              </w:rPr>
              <w:t xml:space="preserve"> </w:t>
            </w:r>
            <w:r>
              <w:rPr>
                <w:color w:val="231F20"/>
                <w:w w:val="90"/>
                <w:sz w:val="14"/>
              </w:rPr>
              <w:t>to</w:t>
            </w:r>
            <w:r>
              <w:rPr>
                <w:color w:val="231F20"/>
                <w:spacing w:val="-18"/>
                <w:w w:val="90"/>
                <w:sz w:val="14"/>
              </w:rPr>
              <w:t xml:space="preserve"> </w:t>
            </w:r>
            <w:r>
              <w:rPr>
                <w:color w:val="231F20"/>
                <w:w w:val="90"/>
                <w:sz w:val="14"/>
              </w:rPr>
              <w:t>encourage</w:t>
            </w:r>
            <w:r>
              <w:rPr>
                <w:color w:val="231F20"/>
                <w:spacing w:val="-18"/>
                <w:w w:val="90"/>
                <w:sz w:val="14"/>
              </w:rPr>
              <w:t xml:space="preserve"> </w:t>
            </w:r>
            <w:r>
              <w:rPr>
                <w:color w:val="231F20"/>
                <w:w w:val="90"/>
                <w:sz w:val="14"/>
              </w:rPr>
              <w:t>delivery</w:t>
            </w:r>
            <w:r>
              <w:rPr>
                <w:color w:val="231F20"/>
                <w:spacing w:val="-18"/>
                <w:w w:val="90"/>
                <w:sz w:val="14"/>
              </w:rPr>
              <w:t xml:space="preserve"> </w:t>
            </w:r>
            <w:r>
              <w:rPr>
                <w:color w:val="231F20"/>
                <w:w w:val="90"/>
                <w:sz w:val="14"/>
              </w:rPr>
              <w:t>in</w:t>
            </w:r>
            <w:r>
              <w:rPr>
                <w:color w:val="231F20"/>
                <w:spacing w:val="-17"/>
                <w:w w:val="90"/>
                <w:sz w:val="14"/>
              </w:rPr>
              <w:t xml:space="preserve"> </w:t>
            </w:r>
            <w:r>
              <w:rPr>
                <w:color w:val="231F20"/>
                <w:w w:val="90"/>
                <w:sz w:val="14"/>
              </w:rPr>
              <w:t>health</w:t>
            </w:r>
            <w:r>
              <w:rPr>
                <w:color w:val="231F20"/>
                <w:spacing w:val="-18"/>
                <w:w w:val="90"/>
                <w:sz w:val="14"/>
              </w:rPr>
              <w:t xml:space="preserve"> </w:t>
            </w:r>
            <w:r>
              <w:rPr>
                <w:color w:val="231F20"/>
                <w:w w:val="90"/>
                <w:sz w:val="14"/>
              </w:rPr>
              <w:t>facilities</w:t>
            </w:r>
            <w:r>
              <w:rPr>
                <w:color w:val="231F20"/>
                <w:spacing w:val="-18"/>
                <w:w w:val="90"/>
                <w:sz w:val="14"/>
              </w:rPr>
              <w:t xml:space="preserve"> </w:t>
            </w:r>
            <w:r>
              <w:rPr>
                <w:color w:val="231F20"/>
                <w:w w:val="90"/>
                <w:sz w:val="14"/>
              </w:rPr>
              <w:t>&amp;</w:t>
            </w:r>
          </w:p>
          <w:p w14:paraId="7AADE5E2" w14:textId="77777777" w:rsidR="009948F1" w:rsidRDefault="00BC0563">
            <w:pPr>
              <w:pStyle w:val="TableParagraph"/>
              <w:spacing w:before="1" w:line="139" w:lineRule="exact"/>
              <w:ind w:left="21"/>
              <w:rPr>
                <w:sz w:val="14"/>
              </w:rPr>
            </w:pPr>
            <w:r>
              <w:rPr>
                <w:color w:val="231F20"/>
                <w:w w:val="95"/>
                <w:sz w:val="14"/>
              </w:rPr>
              <w:t>improve the proportion of delivery by skilled birth attendance</w:t>
            </w:r>
          </w:p>
        </w:tc>
        <w:tc>
          <w:tcPr>
            <w:tcW w:w="1424" w:type="dxa"/>
            <w:tcBorders>
              <w:top w:val="single" w:sz="6" w:space="0" w:color="231F20"/>
              <w:left w:val="single" w:sz="8" w:space="0" w:color="231F20"/>
              <w:bottom w:val="single" w:sz="6" w:space="0" w:color="231F20"/>
              <w:right w:val="single" w:sz="8" w:space="0" w:color="231F20"/>
            </w:tcBorders>
          </w:tcPr>
          <w:p w14:paraId="7C590A0E" w14:textId="77777777" w:rsidR="009948F1" w:rsidRDefault="009948F1">
            <w:pPr>
              <w:pStyle w:val="TableParagraph"/>
              <w:spacing w:before="8"/>
              <w:rPr>
                <w:sz w:val="15"/>
              </w:rPr>
            </w:pPr>
          </w:p>
          <w:p w14:paraId="7EE3BE22" w14:textId="77777777" w:rsidR="009948F1" w:rsidRDefault="00BC0563">
            <w:pPr>
              <w:pStyle w:val="TableParagraph"/>
              <w:spacing w:line="268" w:lineRule="auto"/>
              <w:ind w:left="19" w:right="27"/>
              <w:rPr>
                <w:sz w:val="14"/>
              </w:rPr>
            </w:pPr>
            <w:r>
              <w:rPr>
                <w:color w:val="231F20"/>
                <w:w w:val="90"/>
                <w:sz w:val="14"/>
              </w:rPr>
              <w:t xml:space="preserve">Lack of funds &amp; Political </w:t>
            </w:r>
            <w:r>
              <w:rPr>
                <w:color w:val="231F20"/>
                <w:w w:val="95"/>
                <w:sz w:val="14"/>
              </w:rPr>
              <w:t>Will</w:t>
            </w:r>
          </w:p>
        </w:tc>
        <w:tc>
          <w:tcPr>
            <w:tcW w:w="1500" w:type="dxa"/>
            <w:tcBorders>
              <w:top w:val="single" w:sz="6" w:space="0" w:color="231F20"/>
              <w:left w:val="single" w:sz="8" w:space="0" w:color="231F20"/>
              <w:bottom w:val="single" w:sz="6" w:space="0" w:color="231F20"/>
              <w:right w:val="single" w:sz="6" w:space="0" w:color="231F20"/>
            </w:tcBorders>
          </w:tcPr>
          <w:p w14:paraId="020212B8" w14:textId="77777777" w:rsidR="009948F1" w:rsidRDefault="00BC0563">
            <w:pPr>
              <w:pStyle w:val="TableParagraph"/>
              <w:spacing w:before="89" w:line="268" w:lineRule="auto"/>
              <w:ind w:left="18" w:right="349"/>
              <w:jc w:val="both"/>
              <w:rPr>
                <w:sz w:val="14"/>
              </w:rPr>
            </w:pPr>
            <w:r>
              <w:rPr>
                <w:color w:val="231F20"/>
                <w:w w:val="85"/>
                <w:sz w:val="14"/>
              </w:rPr>
              <w:t xml:space="preserve">Conduct advocacy to stakeholders on </w:t>
            </w:r>
            <w:r>
              <w:rPr>
                <w:color w:val="231F20"/>
                <w:spacing w:val="-5"/>
                <w:w w:val="85"/>
                <w:sz w:val="14"/>
              </w:rPr>
              <w:t xml:space="preserve">Safe </w:t>
            </w:r>
            <w:r>
              <w:rPr>
                <w:color w:val="231F20"/>
                <w:w w:val="95"/>
                <w:sz w:val="14"/>
              </w:rPr>
              <w:t>Motherhood</w:t>
            </w:r>
          </w:p>
        </w:tc>
      </w:tr>
      <w:tr w:rsidR="009948F1" w14:paraId="51732DC9" w14:textId="77777777">
        <w:trPr>
          <w:trHeight w:val="406"/>
        </w:trPr>
        <w:tc>
          <w:tcPr>
            <w:tcW w:w="1038" w:type="dxa"/>
            <w:gridSpan w:val="3"/>
            <w:vMerge/>
            <w:tcBorders>
              <w:top w:val="nil"/>
              <w:left w:val="single" w:sz="6" w:space="0" w:color="231F20"/>
              <w:bottom w:val="single" w:sz="8" w:space="0" w:color="231F20"/>
              <w:right w:val="single" w:sz="6" w:space="0" w:color="231F20"/>
            </w:tcBorders>
          </w:tcPr>
          <w:p w14:paraId="7C8CE583" w14:textId="77777777" w:rsidR="009948F1" w:rsidRDefault="009948F1">
            <w:pPr>
              <w:rPr>
                <w:sz w:val="2"/>
                <w:szCs w:val="2"/>
              </w:rPr>
            </w:pPr>
          </w:p>
        </w:tc>
        <w:tc>
          <w:tcPr>
            <w:tcW w:w="525" w:type="dxa"/>
            <w:vMerge w:val="restart"/>
            <w:tcBorders>
              <w:top w:val="single" w:sz="6" w:space="0" w:color="231F20"/>
              <w:left w:val="single" w:sz="6" w:space="0" w:color="231F20"/>
              <w:bottom w:val="single" w:sz="6" w:space="0" w:color="231F20"/>
              <w:right w:val="single" w:sz="6" w:space="0" w:color="231F20"/>
            </w:tcBorders>
          </w:tcPr>
          <w:p w14:paraId="444DC53B" w14:textId="77777777" w:rsidR="009948F1" w:rsidRDefault="00BC0563">
            <w:pPr>
              <w:pStyle w:val="TableParagraph"/>
              <w:spacing w:before="120"/>
              <w:ind w:left="80"/>
              <w:rPr>
                <w:sz w:val="14"/>
              </w:rPr>
            </w:pPr>
            <w:r>
              <w:rPr>
                <w:color w:val="231F20"/>
                <w:w w:val="90"/>
                <w:sz w:val="14"/>
              </w:rPr>
              <w:t>4.1.3.b</w:t>
            </w:r>
          </w:p>
        </w:tc>
        <w:tc>
          <w:tcPr>
            <w:tcW w:w="4883" w:type="dxa"/>
            <w:gridSpan w:val="2"/>
            <w:vMerge w:val="restart"/>
            <w:tcBorders>
              <w:top w:val="single" w:sz="6" w:space="0" w:color="231F20"/>
              <w:left w:val="single" w:sz="6" w:space="0" w:color="231F20"/>
              <w:bottom w:val="single" w:sz="6" w:space="0" w:color="231F20"/>
              <w:right w:val="single" w:sz="8" w:space="0" w:color="231F20"/>
            </w:tcBorders>
          </w:tcPr>
          <w:p w14:paraId="76943EF9" w14:textId="78B705DF" w:rsidR="009948F1" w:rsidRDefault="00BC0563">
            <w:pPr>
              <w:pStyle w:val="TableParagraph"/>
              <w:ind w:left="21" w:right="85"/>
              <w:jc w:val="both"/>
              <w:rPr>
                <w:sz w:val="14"/>
              </w:rPr>
            </w:pPr>
            <w:r w:rsidRPr="00DA4239">
              <w:rPr>
                <w:b/>
                <w:color w:val="231F20"/>
                <w:w w:val="85"/>
                <w:sz w:val="14"/>
              </w:rPr>
              <w:t>Identify,</w:t>
            </w:r>
            <w:r w:rsidRPr="00DA4239">
              <w:rPr>
                <w:b/>
                <w:color w:val="231F20"/>
                <w:spacing w:val="-5"/>
                <w:w w:val="85"/>
                <w:sz w:val="14"/>
              </w:rPr>
              <w:t xml:space="preserve"> </w:t>
            </w:r>
            <w:r w:rsidRPr="00DA4239">
              <w:rPr>
                <w:b/>
                <w:color w:val="231F20"/>
                <w:w w:val="85"/>
                <w:sz w:val="14"/>
              </w:rPr>
              <w:t>build</w:t>
            </w:r>
            <w:r w:rsidRPr="00DA4239">
              <w:rPr>
                <w:b/>
                <w:color w:val="231F20"/>
                <w:spacing w:val="-3"/>
                <w:w w:val="85"/>
                <w:sz w:val="14"/>
              </w:rPr>
              <w:t xml:space="preserve"> </w:t>
            </w:r>
            <w:r w:rsidRPr="00DA4239">
              <w:rPr>
                <w:b/>
                <w:color w:val="231F20"/>
                <w:w w:val="85"/>
                <w:sz w:val="14"/>
              </w:rPr>
              <w:t>capacity</w:t>
            </w:r>
            <w:r w:rsidRPr="00DA4239">
              <w:rPr>
                <w:b/>
                <w:color w:val="231F20"/>
                <w:spacing w:val="-3"/>
                <w:w w:val="85"/>
                <w:sz w:val="14"/>
              </w:rPr>
              <w:t xml:space="preserve"> </w:t>
            </w:r>
            <w:r w:rsidRPr="00DA4239">
              <w:rPr>
                <w:b/>
                <w:color w:val="231F20"/>
                <w:w w:val="85"/>
                <w:sz w:val="14"/>
              </w:rPr>
              <w:t>of</w:t>
            </w:r>
            <w:r w:rsidRPr="00DA4239">
              <w:rPr>
                <w:b/>
                <w:color w:val="231F20"/>
                <w:spacing w:val="-4"/>
                <w:w w:val="85"/>
                <w:sz w:val="14"/>
              </w:rPr>
              <w:t xml:space="preserve"> </w:t>
            </w:r>
            <w:r w:rsidRPr="00DA4239">
              <w:rPr>
                <w:b/>
                <w:color w:val="231F20"/>
                <w:w w:val="85"/>
                <w:sz w:val="14"/>
              </w:rPr>
              <w:t>HWs</w:t>
            </w:r>
            <w:r w:rsidRPr="00DA4239">
              <w:rPr>
                <w:b/>
                <w:color w:val="231F20"/>
                <w:spacing w:val="-3"/>
                <w:w w:val="85"/>
                <w:sz w:val="14"/>
              </w:rPr>
              <w:t xml:space="preserve"> </w:t>
            </w:r>
            <w:r w:rsidRPr="00DA4239">
              <w:rPr>
                <w:b/>
                <w:color w:val="231F20"/>
                <w:w w:val="85"/>
                <w:sz w:val="14"/>
              </w:rPr>
              <w:t>and</w:t>
            </w:r>
            <w:r w:rsidRPr="00DA4239">
              <w:rPr>
                <w:b/>
                <w:color w:val="231F20"/>
                <w:spacing w:val="-4"/>
                <w:w w:val="85"/>
                <w:sz w:val="14"/>
              </w:rPr>
              <w:t xml:space="preserve"> </w:t>
            </w:r>
            <w:r w:rsidRPr="00DA4239">
              <w:rPr>
                <w:b/>
                <w:color w:val="231F20"/>
                <w:w w:val="85"/>
                <w:sz w:val="14"/>
              </w:rPr>
              <w:t>provide</w:t>
            </w:r>
            <w:r w:rsidRPr="00DA4239">
              <w:rPr>
                <w:b/>
                <w:color w:val="231F20"/>
                <w:spacing w:val="-3"/>
                <w:w w:val="85"/>
                <w:sz w:val="14"/>
              </w:rPr>
              <w:t xml:space="preserve"> </w:t>
            </w:r>
            <w:r w:rsidRPr="00DA4239">
              <w:rPr>
                <w:b/>
                <w:color w:val="231F20"/>
                <w:w w:val="85"/>
                <w:sz w:val="14"/>
              </w:rPr>
              <w:t>support</w:t>
            </w:r>
            <w:r w:rsidRPr="00DA4239">
              <w:rPr>
                <w:b/>
                <w:color w:val="231F20"/>
                <w:spacing w:val="-4"/>
                <w:w w:val="85"/>
                <w:sz w:val="14"/>
              </w:rPr>
              <w:t xml:space="preserve"> </w:t>
            </w:r>
            <w:r w:rsidRPr="00DA4239">
              <w:rPr>
                <w:b/>
                <w:color w:val="231F20"/>
                <w:w w:val="85"/>
                <w:sz w:val="14"/>
              </w:rPr>
              <w:t>to</w:t>
            </w:r>
            <w:r w:rsidRPr="00DA4239">
              <w:rPr>
                <w:b/>
                <w:color w:val="231F20"/>
                <w:spacing w:val="-3"/>
                <w:w w:val="85"/>
                <w:sz w:val="14"/>
              </w:rPr>
              <w:t xml:space="preserve"> </w:t>
            </w:r>
            <w:r w:rsidRPr="00DA4239">
              <w:rPr>
                <w:b/>
                <w:color w:val="231F20"/>
                <w:w w:val="85"/>
                <w:sz w:val="14"/>
              </w:rPr>
              <w:t>CBOs</w:t>
            </w:r>
            <w:r w:rsidRPr="00DA4239">
              <w:rPr>
                <w:b/>
                <w:color w:val="231F20"/>
                <w:spacing w:val="-3"/>
                <w:w w:val="85"/>
                <w:sz w:val="14"/>
              </w:rPr>
              <w:t xml:space="preserve"> </w:t>
            </w:r>
            <w:r w:rsidRPr="00DA4239">
              <w:rPr>
                <w:b/>
                <w:color w:val="231F20"/>
                <w:w w:val="85"/>
                <w:sz w:val="14"/>
              </w:rPr>
              <w:t>and</w:t>
            </w:r>
            <w:r w:rsidRPr="00DA4239">
              <w:rPr>
                <w:b/>
                <w:color w:val="231F20"/>
                <w:spacing w:val="-3"/>
                <w:w w:val="85"/>
                <w:sz w:val="14"/>
              </w:rPr>
              <w:t xml:space="preserve"> </w:t>
            </w:r>
            <w:r w:rsidRPr="00DA4239">
              <w:rPr>
                <w:b/>
                <w:color w:val="231F20"/>
                <w:w w:val="85"/>
                <w:sz w:val="14"/>
              </w:rPr>
              <w:t>community</w:t>
            </w:r>
            <w:r w:rsidRPr="00DA4239">
              <w:rPr>
                <w:b/>
                <w:color w:val="231F20"/>
                <w:spacing w:val="-4"/>
                <w:w w:val="85"/>
                <w:sz w:val="14"/>
              </w:rPr>
              <w:t xml:space="preserve"> </w:t>
            </w:r>
            <w:r w:rsidRPr="00DA4239">
              <w:rPr>
                <w:b/>
                <w:color w:val="231F20"/>
                <w:w w:val="85"/>
                <w:sz w:val="14"/>
              </w:rPr>
              <w:t>structures</w:t>
            </w:r>
            <w:r w:rsidRPr="00DA4239">
              <w:rPr>
                <w:b/>
                <w:color w:val="231F20"/>
                <w:spacing w:val="-3"/>
                <w:w w:val="85"/>
                <w:sz w:val="14"/>
              </w:rPr>
              <w:t xml:space="preserve"> </w:t>
            </w:r>
            <w:r w:rsidRPr="00DA4239">
              <w:rPr>
                <w:b/>
                <w:color w:val="231F20"/>
                <w:w w:val="85"/>
                <w:sz w:val="14"/>
              </w:rPr>
              <w:t>and CBOs</w:t>
            </w:r>
            <w:r w:rsidRPr="00DA4239">
              <w:rPr>
                <w:b/>
                <w:color w:val="231F20"/>
                <w:spacing w:val="-3"/>
                <w:w w:val="85"/>
                <w:sz w:val="14"/>
              </w:rPr>
              <w:t xml:space="preserve"> </w:t>
            </w:r>
            <w:r w:rsidRPr="00DA4239">
              <w:rPr>
                <w:b/>
                <w:color w:val="231F20"/>
                <w:w w:val="85"/>
                <w:sz w:val="14"/>
              </w:rPr>
              <w:t>to</w:t>
            </w:r>
            <w:r w:rsidRPr="00DA4239">
              <w:rPr>
                <w:b/>
                <w:color w:val="231F20"/>
                <w:spacing w:val="-3"/>
                <w:w w:val="85"/>
                <w:sz w:val="14"/>
              </w:rPr>
              <w:t xml:space="preserve"> </w:t>
            </w:r>
            <w:r w:rsidRPr="00DA4239">
              <w:rPr>
                <w:b/>
                <w:color w:val="231F20"/>
                <w:w w:val="85"/>
                <w:sz w:val="14"/>
              </w:rPr>
              <w:t>promote</w:t>
            </w:r>
            <w:r w:rsidRPr="00DA4239">
              <w:rPr>
                <w:b/>
                <w:color w:val="231F20"/>
                <w:spacing w:val="-3"/>
                <w:w w:val="85"/>
                <w:sz w:val="14"/>
              </w:rPr>
              <w:t xml:space="preserve"> </w:t>
            </w:r>
            <w:r w:rsidRPr="00DA4239">
              <w:rPr>
                <w:b/>
                <w:color w:val="231F20"/>
                <w:w w:val="85"/>
                <w:sz w:val="14"/>
              </w:rPr>
              <w:t>uptake</w:t>
            </w:r>
            <w:r w:rsidRPr="00DA4239">
              <w:rPr>
                <w:b/>
                <w:color w:val="231F20"/>
                <w:spacing w:val="-3"/>
                <w:w w:val="85"/>
                <w:sz w:val="14"/>
              </w:rPr>
              <w:t xml:space="preserve"> </w:t>
            </w:r>
            <w:r w:rsidRPr="00DA4239">
              <w:rPr>
                <w:b/>
                <w:color w:val="231F20"/>
                <w:w w:val="85"/>
                <w:sz w:val="14"/>
              </w:rPr>
              <w:t>of</w:t>
            </w:r>
            <w:r w:rsidRPr="00DA4239">
              <w:rPr>
                <w:b/>
                <w:color w:val="231F20"/>
                <w:spacing w:val="-4"/>
                <w:w w:val="85"/>
                <w:sz w:val="14"/>
              </w:rPr>
              <w:t xml:space="preserve"> </w:t>
            </w:r>
            <w:r w:rsidRPr="00DA4239">
              <w:rPr>
                <w:b/>
                <w:color w:val="231F20"/>
                <w:w w:val="85"/>
                <w:sz w:val="14"/>
              </w:rPr>
              <w:t>safe</w:t>
            </w:r>
            <w:r w:rsidRPr="00DA4239">
              <w:rPr>
                <w:b/>
                <w:color w:val="231F20"/>
                <w:spacing w:val="-3"/>
                <w:w w:val="85"/>
                <w:sz w:val="14"/>
              </w:rPr>
              <w:t xml:space="preserve"> </w:t>
            </w:r>
            <w:r w:rsidR="00B94D6C" w:rsidRPr="00DA4239">
              <w:rPr>
                <w:b/>
                <w:color w:val="231F20"/>
                <w:w w:val="85"/>
                <w:sz w:val="14"/>
              </w:rPr>
              <w:t>motherhood</w:t>
            </w:r>
            <w:r w:rsidRPr="00DA4239">
              <w:rPr>
                <w:b/>
                <w:color w:val="231F20"/>
                <w:spacing w:val="-3"/>
                <w:w w:val="85"/>
                <w:sz w:val="14"/>
              </w:rPr>
              <w:t xml:space="preserve"> </w:t>
            </w:r>
            <w:r w:rsidRPr="00DA4239">
              <w:rPr>
                <w:b/>
                <w:color w:val="231F20"/>
                <w:w w:val="85"/>
                <w:sz w:val="14"/>
              </w:rPr>
              <w:t>interventions</w:t>
            </w:r>
            <w:r w:rsidRPr="00DA4239">
              <w:rPr>
                <w:b/>
                <w:color w:val="231F20"/>
                <w:spacing w:val="-3"/>
                <w:w w:val="85"/>
                <w:sz w:val="14"/>
              </w:rPr>
              <w:t xml:space="preserve"> </w:t>
            </w:r>
            <w:r w:rsidRPr="00DA4239">
              <w:rPr>
                <w:b/>
                <w:color w:val="231F20"/>
                <w:w w:val="85"/>
                <w:sz w:val="14"/>
              </w:rPr>
              <w:t>by</w:t>
            </w:r>
            <w:r w:rsidRPr="00DA4239">
              <w:rPr>
                <w:b/>
                <w:color w:val="231F20"/>
                <w:spacing w:val="-3"/>
                <w:w w:val="85"/>
                <w:sz w:val="14"/>
              </w:rPr>
              <w:t xml:space="preserve"> </w:t>
            </w:r>
            <w:r w:rsidRPr="00DA4239">
              <w:rPr>
                <w:b/>
                <w:color w:val="231F20"/>
                <w:w w:val="85"/>
                <w:sz w:val="14"/>
              </w:rPr>
              <w:t>Women</w:t>
            </w:r>
            <w:r w:rsidRPr="00DA4239">
              <w:rPr>
                <w:b/>
                <w:color w:val="231F20"/>
                <w:spacing w:val="-3"/>
                <w:w w:val="85"/>
                <w:sz w:val="14"/>
              </w:rPr>
              <w:t xml:space="preserve"> </w:t>
            </w:r>
            <w:r w:rsidRPr="00DA4239">
              <w:rPr>
                <w:b/>
                <w:color w:val="231F20"/>
                <w:w w:val="85"/>
                <w:sz w:val="14"/>
              </w:rPr>
              <w:t>of</w:t>
            </w:r>
            <w:r w:rsidRPr="00DA4239">
              <w:rPr>
                <w:b/>
                <w:color w:val="231F20"/>
                <w:spacing w:val="-4"/>
                <w:w w:val="85"/>
                <w:sz w:val="14"/>
              </w:rPr>
              <w:t xml:space="preserve"> </w:t>
            </w:r>
            <w:r w:rsidRPr="00DA4239">
              <w:rPr>
                <w:b/>
                <w:color w:val="231F20"/>
                <w:w w:val="85"/>
                <w:sz w:val="14"/>
              </w:rPr>
              <w:t>Reproductive</w:t>
            </w:r>
            <w:r w:rsidRPr="00DA4239">
              <w:rPr>
                <w:b/>
                <w:color w:val="231F20"/>
                <w:spacing w:val="-9"/>
                <w:w w:val="85"/>
                <w:sz w:val="14"/>
              </w:rPr>
              <w:t xml:space="preserve"> </w:t>
            </w:r>
            <w:r w:rsidRPr="00DA4239">
              <w:rPr>
                <w:b/>
                <w:color w:val="231F20"/>
                <w:w w:val="85"/>
                <w:sz w:val="14"/>
              </w:rPr>
              <w:t xml:space="preserve">Age </w:t>
            </w:r>
            <w:r>
              <w:rPr>
                <w:color w:val="231F20"/>
                <w:w w:val="95"/>
                <w:sz w:val="14"/>
              </w:rPr>
              <w:t>(WRAG)</w:t>
            </w:r>
          </w:p>
        </w:tc>
        <w:tc>
          <w:tcPr>
            <w:tcW w:w="1424" w:type="dxa"/>
            <w:tcBorders>
              <w:top w:val="single" w:sz="6" w:space="0" w:color="231F20"/>
              <w:left w:val="single" w:sz="8" w:space="0" w:color="231F20"/>
              <w:bottom w:val="single" w:sz="6" w:space="0" w:color="231F20"/>
              <w:right w:val="single" w:sz="8" w:space="0" w:color="231F20"/>
            </w:tcBorders>
          </w:tcPr>
          <w:p w14:paraId="3040CECB" w14:textId="77777777" w:rsidR="009948F1" w:rsidRDefault="00BC0563">
            <w:pPr>
              <w:pStyle w:val="TableParagraph"/>
              <w:spacing w:before="120"/>
              <w:ind w:left="19"/>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414A10CC" w14:textId="77777777" w:rsidR="009948F1" w:rsidRDefault="00BC0563">
            <w:pPr>
              <w:pStyle w:val="TableParagraph"/>
              <w:spacing w:before="12" w:line="180" w:lineRule="atLeast"/>
              <w:ind w:left="18" w:right="-7"/>
              <w:rPr>
                <w:sz w:val="14"/>
              </w:rPr>
            </w:pPr>
            <w:r>
              <w:rPr>
                <w:color w:val="231F20"/>
                <w:w w:val="85"/>
                <w:sz w:val="14"/>
              </w:rPr>
              <w:t xml:space="preserve">Develop IEC materials on </w:t>
            </w:r>
            <w:r>
              <w:rPr>
                <w:color w:val="231F20"/>
                <w:w w:val="95"/>
                <w:sz w:val="14"/>
              </w:rPr>
              <w:t>safe motherhood</w:t>
            </w:r>
          </w:p>
        </w:tc>
      </w:tr>
      <w:tr w:rsidR="009948F1" w14:paraId="309EAFD4" w14:textId="77777777">
        <w:trPr>
          <w:trHeight w:val="82"/>
        </w:trPr>
        <w:tc>
          <w:tcPr>
            <w:tcW w:w="1038" w:type="dxa"/>
            <w:gridSpan w:val="3"/>
            <w:vMerge/>
            <w:tcBorders>
              <w:top w:val="nil"/>
              <w:left w:val="single" w:sz="6" w:space="0" w:color="231F20"/>
              <w:bottom w:val="single" w:sz="8" w:space="0" w:color="231F20"/>
              <w:right w:val="single" w:sz="6" w:space="0" w:color="231F20"/>
            </w:tcBorders>
          </w:tcPr>
          <w:p w14:paraId="4AB06364" w14:textId="77777777" w:rsidR="009948F1" w:rsidRDefault="009948F1">
            <w:pPr>
              <w:rPr>
                <w:sz w:val="2"/>
                <w:szCs w:val="2"/>
              </w:rPr>
            </w:pPr>
          </w:p>
        </w:tc>
        <w:tc>
          <w:tcPr>
            <w:tcW w:w="525" w:type="dxa"/>
            <w:vMerge/>
            <w:tcBorders>
              <w:top w:val="nil"/>
              <w:left w:val="single" w:sz="6" w:space="0" w:color="231F20"/>
              <w:bottom w:val="single" w:sz="6" w:space="0" w:color="231F20"/>
              <w:right w:val="single" w:sz="6" w:space="0" w:color="231F20"/>
            </w:tcBorders>
          </w:tcPr>
          <w:p w14:paraId="6BE1D854" w14:textId="77777777" w:rsidR="009948F1" w:rsidRDefault="009948F1">
            <w:pPr>
              <w:rPr>
                <w:sz w:val="2"/>
                <w:szCs w:val="2"/>
              </w:rPr>
            </w:pPr>
          </w:p>
        </w:tc>
        <w:tc>
          <w:tcPr>
            <w:tcW w:w="4883" w:type="dxa"/>
            <w:gridSpan w:val="2"/>
            <w:vMerge/>
            <w:tcBorders>
              <w:top w:val="nil"/>
              <w:left w:val="single" w:sz="6" w:space="0" w:color="231F20"/>
              <w:bottom w:val="single" w:sz="6" w:space="0" w:color="231F20"/>
              <w:right w:val="single" w:sz="8" w:space="0" w:color="231F20"/>
            </w:tcBorders>
          </w:tcPr>
          <w:p w14:paraId="52350906" w14:textId="77777777" w:rsidR="009948F1" w:rsidRDefault="009948F1">
            <w:pPr>
              <w:rPr>
                <w:sz w:val="2"/>
                <w:szCs w:val="2"/>
              </w:rPr>
            </w:pPr>
          </w:p>
        </w:tc>
        <w:tc>
          <w:tcPr>
            <w:tcW w:w="1424" w:type="dxa"/>
            <w:vMerge w:val="restart"/>
            <w:tcBorders>
              <w:top w:val="single" w:sz="6" w:space="0" w:color="231F20"/>
              <w:left w:val="single" w:sz="6" w:space="0" w:color="231F20"/>
              <w:bottom w:val="single" w:sz="6" w:space="0" w:color="231F20"/>
              <w:right w:val="single" w:sz="8" w:space="0" w:color="231F20"/>
            </w:tcBorders>
          </w:tcPr>
          <w:p w14:paraId="57A8046B" w14:textId="77777777" w:rsidR="009948F1" w:rsidRDefault="009948F1">
            <w:pPr>
              <w:pStyle w:val="TableParagraph"/>
              <w:spacing w:before="11"/>
              <w:rPr>
                <w:sz w:val="15"/>
              </w:rPr>
            </w:pPr>
          </w:p>
          <w:p w14:paraId="63BE6385" w14:textId="77777777" w:rsidR="009948F1" w:rsidRDefault="00BC0563">
            <w:pPr>
              <w:pStyle w:val="TableParagraph"/>
              <w:ind w:left="21"/>
              <w:rPr>
                <w:sz w:val="14"/>
              </w:rPr>
            </w:pPr>
            <w:r>
              <w:rPr>
                <w:color w:val="231F20"/>
                <w:w w:val="95"/>
                <w:sz w:val="14"/>
              </w:rPr>
              <w:t>Lack of funds</w:t>
            </w:r>
          </w:p>
        </w:tc>
        <w:tc>
          <w:tcPr>
            <w:tcW w:w="1500" w:type="dxa"/>
            <w:vMerge w:val="restart"/>
            <w:tcBorders>
              <w:top w:val="single" w:sz="6" w:space="0" w:color="231F20"/>
              <w:left w:val="single" w:sz="8" w:space="0" w:color="231F20"/>
              <w:bottom w:val="single" w:sz="6" w:space="0" w:color="231F20"/>
              <w:right w:val="single" w:sz="6" w:space="0" w:color="231F20"/>
            </w:tcBorders>
          </w:tcPr>
          <w:p w14:paraId="19FCDFAD" w14:textId="77777777" w:rsidR="009948F1" w:rsidRDefault="00BC0563">
            <w:pPr>
              <w:pStyle w:val="TableParagraph"/>
              <w:spacing w:before="3" w:line="268" w:lineRule="auto"/>
              <w:ind w:left="18" w:right="-7"/>
              <w:rPr>
                <w:sz w:val="14"/>
              </w:rPr>
            </w:pPr>
            <w:r>
              <w:rPr>
                <w:color w:val="231F20"/>
                <w:w w:val="95"/>
                <w:sz w:val="14"/>
              </w:rPr>
              <w:t xml:space="preserve">Conduct meeting for </w:t>
            </w:r>
            <w:r>
              <w:rPr>
                <w:color w:val="231F20"/>
                <w:w w:val="85"/>
                <w:sz w:val="14"/>
              </w:rPr>
              <w:t>community members on</w:t>
            </w:r>
          </w:p>
          <w:p w14:paraId="151DBB14" w14:textId="187D36D6" w:rsidR="009948F1" w:rsidRDefault="00BC0563">
            <w:pPr>
              <w:pStyle w:val="TableParagraph"/>
              <w:spacing w:before="1" w:line="147" w:lineRule="exact"/>
              <w:ind w:left="18"/>
              <w:rPr>
                <w:sz w:val="14"/>
              </w:rPr>
            </w:pPr>
            <w:r>
              <w:rPr>
                <w:color w:val="231F20"/>
                <w:w w:val="90"/>
                <w:sz w:val="14"/>
              </w:rPr>
              <w:t xml:space="preserve">safe </w:t>
            </w:r>
            <w:r w:rsidR="00B94D6C">
              <w:rPr>
                <w:color w:val="231F20"/>
                <w:w w:val="90"/>
                <w:sz w:val="14"/>
              </w:rPr>
              <w:t>motherhood</w:t>
            </w:r>
            <w:r>
              <w:rPr>
                <w:color w:val="231F20"/>
                <w:w w:val="90"/>
                <w:sz w:val="14"/>
              </w:rPr>
              <w:t xml:space="preserve"> practices</w:t>
            </w:r>
          </w:p>
        </w:tc>
      </w:tr>
      <w:tr w:rsidR="009948F1" w14:paraId="37601189" w14:textId="77777777">
        <w:trPr>
          <w:trHeight w:val="428"/>
        </w:trPr>
        <w:tc>
          <w:tcPr>
            <w:tcW w:w="1038" w:type="dxa"/>
            <w:gridSpan w:val="3"/>
            <w:vMerge/>
            <w:tcBorders>
              <w:top w:val="nil"/>
              <w:left w:val="single" w:sz="6" w:space="0" w:color="231F20"/>
              <w:bottom w:val="single" w:sz="8" w:space="0" w:color="231F20"/>
              <w:right w:val="single" w:sz="6" w:space="0" w:color="231F20"/>
            </w:tcBorders>
          </w:tcPr>
          <w:p w14:paraId="52CC2F62"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7E42947F" w14:textId="77777777" w:rsidR="009948F1" w:rsidRDefault="00BC0563">
            <w:pPr>
              <w:pStyle w:val="TableParagraph"/>
              <w:spacing w:before="81"/>
              <w:ind w:left="23" w:right="9"/>
              <w:jc w:val="center"/>
              <w:rPr>
                <w:sz w:val="14"/>
              </w:rPr>
            </w:pPr>
            <w:r>
              <w:rPr>
                <w:color w:val="231F20"/>
                <w:w w:val="95"/>
                <w:sz w:val="14"/>
              </w:rPr>
              <w:t>4.1.3.c</w:t>
            </w:r>
          </w:p>
        </w:tc>
        <w:tc>
          <w:tcPr>
            <w:tcW w:w="4883" w:type="dxa"/>
            <w:gridSpan w:val="2"/>
            <w:tcBorders>
              <w:top w:val="single" w:sz="6" w:space="0" w:color="231F20"/>
              <w:left w:val="single" w:sz="6" w:space="0" w:color="231F20"/>
              <w:bottom w:val="single" w:sz="6" w:space="0" w:color="231F20"/>
              <w:right w:val="single" w:sz="6" w:space="0" w:color="231F20"/>
            </w:tcBorders>
          </w:tcPr>
          <w:p w14:paraId="5B47BA6E" w14:textId="1B435CDF" w:rsidR="009948F1" w:rsidRDefault="00BC0563">
            <w:pPr>
              <w:pStyle w:val="TableParagraph"/>
              <w:spacing w:line="145" w:lineRule="exact"/>
              <w:ind w:left="21"/>
              <w:rPr>
                <w:sz w:val="14"/>
              </w:rPr>
            </w:pPr>
            <w:r>
              <w:rPr>
                <w:color w:val="231F20"/>
                <w:w w:val="90"/>
                <w:sz w:val="14"/>
              </w:rPr>
              <w:t>Conduct</w:t>
            </w:r>
            <w:r>
              <w:rPr>
                <w:color w:val="231F20"/>
                <w:spacing w:val="-24"/>
                <w:w w:val="90"/>
                <w:sz w:val="14"/>
              </w:rPr>
              <w:t xml:space="preserve"> </w:t>
            </w:r>
            <w:r>
              <w:rPr>
                <w:color w:val="231F20"/>
                <w:w w:val="90"/>
                <w:sz w:val="14"/>
              </w:rPr>
              <w:t>Education</w:t>
            </w:r>
            <w:r>
              <w:rPr>
                <w:color w:val="231F20"/>
                <w:spacing w:val="-23"/>
                <w:w w:val="90"/>
                <w:sz w:val="14"/>
              </w:rPr>
              <w:t xml:space="preserve"> </w:t>
            </w:r>
            <w:r>
              <w:rPr>
                <w:color w:val="231F20"/>
                <w:w w:val="90"/>
                <w:sz w:val="14"/>
              </w:rPr>
              <w:t>&amp;</w:t>
            </w:r>
            <w:r>
              <w:rPr>
                <w:color w:val="231F20"/>
                <w:spacing w:val="-23"/>
                <w:w w:val="90"/>
                <w:sz w:val="14"/>
              </w:rPr>
              <w:t xml:space="preserve"> </w:t>
            </w:r>
            <w:r>
              <w:rPr>
                <w:color w:val="231F20"/>
                <w:w w:val="90"/>
                <w:sz w:val="14"/>
              </w:rPr>
              <w:t>Sensitization</w:t>
            </w:r>
            <w:r>
              <w:rPr>
                <w:color w:val="231F20"/>
                <w:spacing w:val="-23"/>
                <w:w w:val="90"/>
                <w:sz w:val="14"/>
              </w:rPr>
              <w:t xml:space="preserve"> </w:t>
            </w:r>
            <w:r>
              <w:rPr>
                <w:color w:val="231F20"/>
                <w:w w:val="90"/>
                <w:sz w:val="14"/>
              </w:rPr>
              <w:t>meeting</w:t>
            </w:r>
            <w:r>
              <w:rPr>
                <w:color w:val="231F20"/>
                <w:spacing w:val="-22"/>
                <w:w w:val="90"/>
                <w:sz w:val="14"/>
              </w:rPr>
              <w:t xml:space="preserve"> </w:t>
            </w:r>
            <w:r>
              <w:rPr>
                <w:color w:val="231F20"/>
                <w:w w:val="90"/>
                <w:sz w:val="14"/>
              </w:rPr>
              <w:t>for</w:t>
            </w:r>
            <w:r>
              <w:rPr>
                <w:color w:val="231F20"/>
                <w:spacing w:val="-23"/>
                <w:w w:val="90"/>
                <w:sz w:val="14"/>
              </w:rPr>
              <w:t xml:space="preserve"> </w:t>
            </w:r>
            <w:r w:rsidR="00B94D6C">
              <w:rPr>
                <w:color w:val="231F20"/>
                <w:w w:val="90"/>
                <w:sz w:val="14"/>
              </w:rPr>
              <w:t xml:space="preserve">community </w:t>
            </w:r>
            <w:r>
              <w:rPr>
                <w:color w:val="231F20"/>
                <w:spacing w:val="-23"/>
                <w:w w:val="90"/>
                <w:sz w:val="14"/>
              </w:rPr>
              <w:t xml:space="preserve"> </w:t>
            </w:r>
            <w:r>
              <w:rPr>
                <w:color w:val="231F20"/>
                <w:w w:val="90"/>
                <w:sz w:val="14"/>
              </w:rPr>
              <w:t>members</w:t>
            </w:r>
            <w:r>
              <w:rPr>
                <w:color w:val="231F20"/>
                <w:spacing w:val="-23"/>
                <w:w w:val="90"/>
                <w:sz w:val="14"/>
              </w:rPr>
              <w:t xml:space="preserve"> </w:t>
            </w:r>
            <w:r>
              <w:rPr>
                <w:color w:val="231F20"/>
                <w:w w:val="90"/>
                <w:sz w:val="14"/>
              </w:rPr>
              <w:t>on</w:t>
            </w:r>
            <w:r>
              <w:rPr>
                <w:color w:val="231F20"/>
                <w:spacing w:val="-23"/>
                <w:w w:val="90"/>
                <w:sz w:val="14"/>
              </w:rPr>
              <w:t xml:space="preserve"> </w:t>
            </w:r>
            <w:r>
              <w:rPr>
                <w:color w:val="231F20"/>
                <w:w w:val="90"/>
                <w:sz w:val="14"/>
              </w:rPr>
              <w:t>safe</w:t>
            </w:r>
            <w:r>
              <w:rPr>
                <w:color w:val="231F20"/>
                <w:spacing w:val="-23"/>
                <w:w w:val="90"/>
                <w:sz w:val="14"/>
              </w:rPr>
              <w:t xml:space="preserve"> </w:t>
            </w:r>
            <w:r>
              <w:rPr>
                <w:color w:val="231F20"/>
                <w:w w:val="90"/>
                <w:sz w:val="14"/>
              </w:rPr>
              <w:t>motherhood</w:t>
            </w:r>
          </w:p>
          <w:p w14:paraId="69C7F62F" w14:textId="77777777" w:rsidR="009948F1" w:rsidRDefault="00BC0563">
            <w:pPr>
              <w:pStyle w:val="TableParagraph"/>
              <w:spacing w:before="20"/>
              <w:ind w:left="21"/>
              <w:rPr>
                <w:sz w:val="14"/>
              </w:rPr>
            </w:pPr>
            <w:r>
              <w:rPr>
                <w:color w:val="231F20"/>
                <w:w w:val="95"/>
                <w:sz w:val="14"/>
              </w:rPr>
              <w:t>practices in the 23 LGAs</w:t>
            </w:r>
          </w:p>
        </w:tc>
        <w:tc>
          <w:tcPr>
            <w:tcW w:w="1424" w:type="dxa"/>
            <w:vMerge/>
            <w:tcBorders>
              <w:top w:val="nil"/>
              <w:left w:val="single" w:sz="6" w:space="0" w:color="231F20"/>
              <w:bottom w:val="single" w:sz="6" w:space="0" w:color="231F20"/>
              <w:right w:val="single" w:sz="8" w:space="0" w:color="231F20"/>
            </w:tcBorders>
          </w:tcPr>
          <w:p w14:paraId="373C5C51" w14:textId="77777777" w:rsidR="009948F1" w:rsidRDefault="009948F1">
            <w:pPr>
              <w:rPr>
                <w:sz w:val="2"/>
                <w:szCs w:val="2"/>
              </w:rPr>
            </w:pPr>
          </w:p>
        </w:tc>
        <w:tc>
          <w:tcPr>
            <w:tcW w:w="1500" w:type="dxa"/>
            <w:vMerge/>
            <w:tcBorders>
              <w:top w:val="nil"/>
              <w:left w:val="single" w:sz="8" w:space="0" w:color="231F20"/>
              <w:bottom w:val="single" w:sz="6" w:space="0" w:color="231F20"/>
              <w:right w:val="single" w:sz="6" w:space="0" w:color="231F20"/>
            </w:tcBorders>
          </w:tcPr>
          <w:p w14:paraId="21AE50D7" w14:textId="77777777" w:rsidR="009948F1" w:rsidRDefault="009948F1">
            <w:pPr>
              <w:rPr>
                <w:sz w:val="2"/>
                <w:szCs w:val="2"/>
              </w:rPr>
            </w:pPr>
          </w:p>
        </w:tc>
      </w:tr>
      <w:tr w:rsidR="009948F1" w14:paraId="271D90EA" w14:textId="77777777">
        <w:trPr>
          <w:trHeight w:val="522"/>
        </w:trPr>
        <w:tc>
          <w:tcPr>
            <w:tcW w:w="1038" w:type="dxa"/>
            <w:gridSpan w:val="3"/>
            <w:vMerge/>
            <w:tcBorders>
              <w:top w:val="nil"/>
              <w:left w:val="single" w:sz="6" w:space="0" w:color="231F20"/>
              <w:bottom w:val="single" w:sz="8" w:space="0" w:color="231F20"/>
              <w:right w:val="single" w:sz="6" w:space="0" w:color="231F20"/>
            </w:tcBorders>
          </w:tcPr>
          <w:p w14:paraId="7B8D8EE8" w14:textId="77777777" w:rsidR="009948F1" w:rsidRDefault="009948F1">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00B047D5" w14:textId="77777777" w:rsidR="009948F1" w:rsidRDefault="009948F1">
            <w:pPr>
              <w:pStyle w:val="TableParagraph"/>
              <w:spacing w:before="6"/>
              <w:rPr>
                <w:sz w:val="15"/>
              </w:rPr>
            </w:pPr>
          </w:p>
          <w:p w14:paraId="05C05913" w14:textId="77777777" w:rsidR="009948F1" w:rsidRDefault="00BC0563">
            <w:pPr>
              <w:pStyle w:val="TableParagraph"/>
              <w:spacing w:before="1"/>
              <w:ind w:left="22" w:right="9"/>
              <w:jc w:val="center"/>
              <w:rPr>
                <w:sz w:val="14"/>
              </w:rPr>
            </w:pPr>
            <w:r>
              <w:rPr>
                <w:color w:val="231F20"/>
                <w:w w:val="90"/>
                <w:sz w:val="14"/>
              </w:rPr>
              <w:t>4.1.3.d</w:t>
            </w:r>
          </w:p>
        </w:tc>
        <w:tc>
          <w:tcPr>
            <w:tcW w:w="4883" w:type="dxa"/>
            <w:gridSpan w:val="2"/>
            <w:tcBorders>
              <w:top w:val="single" w:sz="6" w:space="0" w:color="231F20"/>
              <w:left w:val="single" w:sz="6" w:space="0" w:color="231F20"/>
              <w:bottom w:val="single" w:sz="6" w:space="0" w:color="231F20"/>
              <w:right w:val="single" w:sz="6" w:space="0" w:color="231F20"/>
            </w:tcBorders>
          </w:tcPr>
          <w:p w14:paraId="3F25E533" w14:textId="762BC496" w:rsidR="009948F1" w:rsidRDefault="00BC0563">
            <w:pPr>
              <w:pStyle w:val="TableParagraph"/>
              <w:spacing w:before="82" w:line="268" w:lineRule="auto"/>
              <w:ind w:left="21"/>
              <w:rPr>
                <w:sz w:val="14"/>
              </w:rPr>
            </w:pPr>
            <w:r>
              <w:rPr>
                <w:color w:val="231F20"/>
                <w:w w:val="85"/>
                <w:sz w:val="14"/>
              </w:rPr>
              <w:t xml:space="preserve">Flag-off Safe Motherhood Week at state/LGA levels to increase sensitization, awareness, </w:t>
            </w:r>
            <w:r>
              <w:rPr>
                <w:color w:val="231F20"/>
                <w:w w:val="95"/>
                <w:sz w:val="14"/>
              </w:rPr>
              <w:t xml:space="preserve">practice &amp; </w:t>
            </w:r>
            <w:r w:rsidR="00DA4239">
              <w:rPr>
                <w:color w:val="231F20"/>
                <w:w w:val="95"/>
                <w:sz w:val="14"/>
              </w:rPr>
              <w:t>utilization</w:t>
            </w:r>
            <w:r>
              <w:rPr>
                <w:color w:val="231F20"/>
                <w:w w:val="95"/>
                <w:sz w:val="14"/>
              </w:rPr>
              <w:t xml:space="preserve"> of Safe Motherhood services in health facilities</w:t>
            </w:r>
          </w:p>
        </w:tc>
        <w:tc>
          <w:tcPr>
            <w:tcW w:w="1424" w:type="dxa"/>
            <w:tcBorders>
              <w:top w:val="single" w:sz="6" w:space="0" w:color="231F20"/>
              <w:left w:val="single" w:sz="6" w:space="0" w:color="231F20"/>
              <w:bottom w:val="single" w:sz="6" w:space="0" w:color="231F20"/>
              <w:right w:val="single" w:sz="8" w:space="0" w:color="231F20"/>
            </w:tcBorders>
          </w:tcPr>
          <w:p w14:paraId="2BD6BCD0" w14:textId="77777777" w:rsidR="009948F1" w:rsidRDefault="009948F1">
            <w:pPr>
              <w:pStyle w:val="TableParagraph"/>
              <w:spacing w:before="6"/>
              <w:rPr>
                <w:sz w:val="15"/>
              </w:rPr>
            </w:pPr>
          </w:p>
          <w:p w14:paraId="681645A3" w14:textId="77777777" w:rsidR="009948F1" w:rsidRDefault="00BC0563">
            <w:pPr>
              <w:pStyle w:val="TableParagraph"/>
              <w:spacing w:before="1"/>
              <w:ind w:left="21"/>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397A6265" w14:textId="77777777" w:rsidR="009948F1" w:rsidRDefault="00BC0563">
            <w:pPr>
              <w:pStyle w:val="TableParagraph"/>
              <w:spacing w:before="88" w:line="268" w:lineRule="auto"/>
              <w:ind w:left="18" w:right="-7"/>
              <w:rPr>
                <w:sz w:val="14"/>
              </w:rPr>
            </w:pPr>
            <w:r>
              <w:rPr>
                <w:color w:val="231F20"/>
                <w:w w:val="85"/>
                <w:sz w:val="14"/>
              </w:rPr>
              <w:t xml:space="preserve">Observe Safe Motherhood </w:t>
            </w:r>
            <w:r>
              <w:rPr>
                <w:color w:val="231F20"/>
                <w:w w:val="95"/>
                <w:sz w:val="14"/>
              </w:rPr>
              <w:t>Week</w:t>
            </w:r>
          </w:p>
        </w:tc>
      </w:tr>
      <w:tr w:rsidR="009948F1" w14:paraId="59F18135" w14:textId="77777777">
        <w:trPr>
          <w:trHeight w:val="459"/>
        </w:trPr>
        <w:tc>
          <w:tcPr>
            <w:tcW w:w="1038" w:type="dxa"/>
            <w:gridSpan w:val="3"/>
            <w:vMerge/>
            <w:tcBorders>
              <w:top w:val="nil"/>
              <w:left w:val="single" w:sz="6" w:space="0" w:color="231F20"/>
              <w:bottom w:val="single" w:sz="8" w:space="0" w:color="231F20"/>
              <w:right w:val="single" w:sz="6" w:space="0" w:color="231F20"/>
            </w:tcBorders>
          </w:tcPr>
          <w:p w14:paraId="344D1AC7" w14:textId="77777777" w:rsidR="009948F1" w:rsidRDefault="009948F1">
            <w:pPr>
              <w:rPr>
                <w:sz w:val="2"/>
                <w:szCs w:val="2"/>
              </w:rPr>
            </w:pPr>
          </w:p>
        </w:tc>
        <w:tc>
          <w:tcPr>
            <w:tcW w:w="525" w:type="dxa"/>
            <w:tcBorders>
              <w:top w:val="single" w:sz="6" w:space="0" w:color="231F20"/>
              <w:left w:val="single" w:sz="6" w:space="0" w:color="231F20"/>
              <w:right w:val="single" w:sz="6" w:space="0" w:color="231F20"/>
            </w:tcBorders>
          </w:tcPr>
          <w:p w14:paraId="0D091FDC" w14:textId="77777777" w:rsidR="009948F1" w:rsidRDefault="009948F1">
            <w:pPr>
              <w:pStyle w:val="TableParagraph"/>
              <w:spacing w:before="2"/>
              <w:rPr>
                <w:sz w:val="13"/>
              </w:rPr>
            </w:pPr>
          </w:p>
          <w:p w14:paraId="3217ED0D" w14:textId="77777777" w:rsidR="009948F1" w:rsidRDefault="00BC0563">
            <w:pPr>
              <w:pStyle w:val="TableParagraph"/>
              <w:ind w:left="22" w:right="9"/>
              <w:jc w:val="center"/>
              <w:rPr>
                <w:sz w:val="14"/>
              </w:rPr>
            </w:pPr>
            <w:r>
              <w:rPr>
                <w:color w:val="231F20"/>
                <w:w w:val="90"/>
                <w:sz w:val="14"/>
              </w:rPr>
              <w:t>4.1.3.e</w:t>
            </w:r>
          </w:p>
        </w:tc>
        <w:tc>
          <w:tcPr>
            <w:tcW w:w="4883" w:type="dxa"/>
            <w:gridSpan w:val="2"/>
            <w:tcBorders>
              <w:top w:val="single" w:sz="6" w:space="0" w:color="231F20"/>
              <w:left w:val="single" w:sz="6" w:space="0" w:color="231F20"/>
              <w:right w:val="single" w:sz="8" w:space="0" w:color="231F20"/>
            </w:tcBorders>
          </w:tcPr>
          <w:p w14:paraId="5AEDD30E" w14:textId="77777777" w:rsidR="009948F1" w:rsidRDefault="00BC0563">
            <w:pPr>
              <w:pStyle w:val="TableParagraph"/>
              <w:spacing w:before="56" w:line="268" w:lineRule="auto"/>
              <w:ind w:left="21" w:right="177"/>
              <w:rPr>
                <w:sz w:val="14"/>
              </w:rPr>
            </w:pPr>
            <w:r>
              <w:rPr>
                <w:color w:val="231F20"/>
                <w:w w:val="85"/>
                <w:sz w:val="14"/>
              </w:rPr>
              <w:t xml:space="preserve">Strengthen male involvement in reproductive health services and information by training </w:t>
            </w:r>
            <w:r>
              <w:rPr>
                <w:color w:val="231F20"/>
                <w:w w:val="95"/>
                <w:sz w:val="14"/>
              </w:rPr>
              <w:t>male advocate on safe motherhood in the communities</w:t>
            </w:r>
          </w:p>
        </w:tc>
        <w:tc>
          <w:tcPr>
            <w:tcW w:w="1424" w:type="dxa"/>
            <w:tcBorders>
              <w:top w:val="single" w:sz="6" w:space="0" w:color="231F20"/>
              <w:left w:val="single" w:sz="8" w:space="0" w:color="231F20"/>
              <w:bottom w:val="single" w:sz="6" w:space="0" w:color="231F20"/>
              <w:right w:val="single" w:sz="8" w:space="0" w:color="231F20"/>
            </w:tcBorders>
          </w:tcPr>
          <w:p w14:paraId="70C696ED" w14:textId="77777777" w:rsidR="009948F1" w:rsidRDefault="009948F1">
            <w:pPr>
              <w:pStyle w:val="TableParagraph"/>
              <w:spacing w:before="2"/>
              <w:rPr>
                <w:sz w:val="13"/>
              </w:rPr>
            </w:pPr>
          </w:p>
          <w:p w14:paraId="0D98EFF2" w14:textId="77777777" w:rsidR="009948F1" w:rsidRDefault="00BC0563">
            <w:pPr>
              <w:pStyle w:val="TableParagraph"/>
              <w:ind w:left="19"/>
              <w:rPr>
                <w:sz w:val="14"/>
              </w:rPr>
            </w:pPr>
            <w:r>
              <w:rPr>
                <w:color w:val="231F20"/>
                <w:w w:val="95"/>
                <w:sz w:val="14"/>
              </w:rPr>
              <w:t>Lack of funds</w:t>
            </w:r>
          </w:p>
        </w:tc>
        <w:tc>
          <w:tcPr>
            <w:tcW w:w="1500" w:type="dxa"/>
            <w:tcBorders>
              <w:top w:val="single" w:sz="6" w:space="0" w:color="231F20"/>
              <w:left w:val="single" w:sz="8" w:space="0" w:color="231F20"/>
              <w:bottom w:val="single" w:sz="6" w:space="0" w:color="231F20"/>
              <w:right w:val="single" w:sz="6" w:space="0" w:color="231F20"/>
            </w:tcBorders>
          </w:tcPr>
          <w:p w14:paraId="3F39D57B" w14:textId="77777777" w:rsidR="009948F1" w:rsidRDefault="009948F1">
            <w:pPr>
              <w:pStyle w:val="TableParagraph"/>
              <w:spacing w:before="2"/>
              <w:rPr>
                <w:sz w:val="13"/>
              </w:rPr>
            </w:pPr>
          </w:p>
          <w:p w14:paraId="28BF9CDD" w14:textId="77777777" w:rsidR="009948F1" w:rsidRDefault="00BC0563">
            <w:pPr>
              <w:pStyle w:val="TableParagraph"/>
              <w:ind w:left="49"/>
              <w:rPr>
                <w:sz w:val="14"/>
              </w:rPr>
            </w:pPr>
            <w:r>
              <w:rPr>
                <w:color w:val="231F20"/>
                <w:w w:val="95"/>
                <w:sz w:val="14"/>
              </w:rPr>
              <w:t>Training male advocate</w:t>
            </w:r>
          </w:p>
        </w:tc>
      </w:tr>
    </w:tbl>
    <w:p w14:paraId="20F6AD91" w14:textId="77777777" w:rsidR="009948F1" w:rsidRDefault="009948F1">
      <w:pPr>
        <w:rPr>
          <w:sz w:val="14"/>
        </w:rPr>
        <w:sectPr w:rsidR="009948F1">
          <w:pgSz w:w="11910" w:h="16840"/>
          <w:pgMar w:top="1400" w:right="1080" w:bottom="1340" w:left="1120" w:header="0" w:footer="1155" w:gutter="0"/>
          <w:cols w:space="720"/>
        </w:sectPr>
      </w:pPr>
    </w:p>
    <w:tbl>
      <w:tblPr>
        <w:tblW w:w="0" w:type="auto"/>
        <w:tblInd w:w="1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0"/>
        <w:gridCol w:w="556"/>
        <w:gridCol w:w="2657"/>
        <w:gridCol w:w="2524"/>
        <w:gridCol w:w="1509"/>
        <w:gridCol w:w="1593"/>
      </w:tblGrid>
      <w:tr w:rsidR="009948F1" w14:paraId="3B54F48C" w14:textId="77777777">
        <w:trPr>
          <w:trHeight w:val="1366"/>
        </w:trPr>
        <w:tc>
          <w:tcPr>
            <w:tcW w:w="480" w:type="dxa"/>
            <w:tcBorders>
              <w:left w:val="single" w:sz="8" w:space="0" w:color="231F20"/>
            </w:tcBorders>
            <w:shd w:val="clear" w:color="auto" w:fill="CCE7D3"/>
          </w:tcPr>
          <w:p w14:paraId="326D48F3" w14:textId="77777777" w:rsidR="009948F1" w:rsidRDefault="009948F1">
            <w:pPr>
              <w:pStyle w:val="TableParagraph"/>
              <w:rPr>
                <w:sz w:val="12"/>
              </w:rPr>
            </w:pPr>
          </w:p>
          <w:p w14:paraId="259471BD" w14:textId="77777777" w:rsidR="009948F1" w:rsidRDefault="009948F1">
            <w:pPr>
              <w:pStyle w:val="TableParagraph"/>
              <w:rPr>
                <w:sz w:val="12"/>
              </w:rPr>
            </w:pPr>
          </w:p>
          <w:p w14:paraId="4ADC22DF" w14:textId="77777777" w:rsidR="009948F1" w:rsidRDefault="009948F1">
            <w:pPr>
              <w:pStyle w:val="TableParagraph"/>
              <w:rPr>
                <w:sz w:val="12"/>
              </w:rPr>
            </w:pPr>
          </w:p>
          <w:p w14:paraId="7A329C3A" w14:textId="77777777" w:rsidR="009948F1" w:rsidRDefault="009948F1">
            <w:pPr>
              <w:pStyle w:val="TableParagraph"/>
              <w:spacing w:before="11"/>
              <w:rPr>
                <w:sz w:val="16"/>
              </w:rPr>
            </w:pPr>
          </w:p>
          <w:p w14:paraId="02A04766" w14:textId="77777777" w:rsidR="009948F1" w:rsidRDefault="00BC0563">
            <w:pPr>
              <w:pStyle w:val="TableParagraph"/>
              <w:ind w:left="57"/>
              <w:rPr>
                <w:sz w:val="13"/>
              </w:rPr>
            </w:pPr>
            <w:bookmarkStart w:id="155" w:name="Page_129"/>
            <w:bookmarkEnd w:id="155"/>
            <w:r>
              <w:rPr>
                <w:color w:val="231F20"/>
                <w:sz w:val="13"/>
              </w:rPr>
              <w:t>4.1.4</w:t>
            </w:r>
          </w:p>
        </w:tc>
        <w:tc>
          <w:tcPr>
            <w:tcW w:w="3213" w:type="dxa"/>
            <w:gridSpan w:val="2"/>
            <w:shd w:val="clear" w:color="auto" w:fill="CCE7D3"/>
          </w:tcPr>
          <w:p w14:paraId="59DFBDF0" w14:textId="77777777" w:rsidR="009948F1" w:rsidRDefault="009948F1">
            <w:pPr>
              <w:pStyle w:val="TableParagraph"/>
              <w:rPr>
                <w:sz w:val="12"/>
              </w:rPr>
            </w:pPr>
          </w:p>
          <w:p w14:paraId="77868EA2" w14:textId="77777777" w:rsidR="009948F1" w:rsidRDefault="009948F1">
            <w:pPr>
              <w:pStyle w:val="TableParagraph"/>
              <w:rPr>
                <w:sz w:val="12"/>
              </w:rPr>
            </w:pPr>
          </w:p>
          <w:p w14:paraId="001AC3A8" w14:textId="77777777" w:rsidR="009948F1" w:rsidRDefault="009948F1">
            <w:pPr>
              <w:pStyle w:val="TableParagraph"/>
              <w:rPr>
                <w:sz w:val="12"/>
              </w:rPr>
            </w:pPr>
          </w:p>
          <w:p w14:paraId="1DD0BF9A" w14:textId="77777777" w:rsidR="009948F1" w:rsidRDefault="009948F1">
            <w:pPr>
              <w:pStyle w:val="TableParagraph"/>
              <w:spacing w:before="4"/>
              <w:rPr>
                <w:sz w:val="9"/>
              </w:rPr>
            </w:pPr>
          </w:p>
          <w:p w14:paraId="6C5339EE" w14:textId="77777777" w:rsidR="009948F1" w:rsidRDefault="00BC0563">
            <w:pPr>
              <w:pStyle w:val="TableParagraph"/>
              <w:spacing w:line="264" w:lineRule="auto"/>
              <w:ind w:left="26" w:right="523" w:firstLine="34"/>
              <w:rPr>
                <w:sz w:val="13"/>
              </w:rPr>
            </w:pPr>
            <w:r>
              <w:rPr>
                <w:color w:val="231F20"/>
                <w:sz w:val="13"/>
              </w:rPr>
              <w:t>Increase access to basic and comprehensive Emergency Obstetric Services</w:t>
            </w:r>
          </w:p>
        </w:tc>
        <w:tc>
          <w:tcPr>
            <w:tcW w:w="2524" w:type="dxa"/>
            <w:shd w:val="clear" w:color="auto" w:fill="CCE7D3"/>
          </w:tcPr>
          <w:p w14:paraId="4FE25685" w14:textId="77777777" w:rsidR="009948F1" w:rsidRDefault="009948F1">
            <w:pPr>
              <w:pStyle w:val="TableParagraph"/>
              <w:spacing w:before="1"/>
              <w:rPr>
                <w:sz w:val="10"/>
              </w:rPr>
            </w:pPr>
          </w:p>
          <w:p w14:paraId="391E1E48" w14:textId="77777777" w:rsidR="009948F1" w:rsidRDefault="00BC0563">
            <w:pPr>
              <w:pStyle w:val="TableParagraph"/>
              <w:numPr>
                <w:ilvl w:val="0"/>
                <w:numId w:val="204"/>
              </w:numPr>
              <w:tabs>
                <w:tab w:val="left" w:pos="100"/>
              </w:tabs>
              <w:ind w:left="99" w:hanging="73"/>
              <w:rPr>
                <w:sz w:val="13"/>
              </w:rPr>
            </w:pPr>
            <w:r>
              <w:rPr>
                <w:color w:val="231F20"/>
                <w:sz w:val="13"/>
              </w:rPr>
              <w:t>At least 23 hospitals</w:t>
            </w:r>
            <w:r>
              <w:rPr>
                <w:color w:val="231F20"/>
                <w:spacing w:val="-17"/>
                <w:sz w:val="13"/>
              </w:rPr>
              <w:t xml:space="preserve"> </w:t>
            </w:r>
            <w:r>
              <w:rPr>
                <w:color w:val="231F20"/>
                <w:sz w:val="13"/>
              </w:rPr>
              <w:t>upgraded</w:t>
            </w:r>
          </w:p>
          <w:p w14:paraId="537C948F" w14:textId="77777777" w:rsidR="009948F1" w:rsidRDefault="00BC0563">
            <w:pPr>
              <w:pStyle w:val="TableParagraph"/>
              <w:numPr>
                <w:ilvl w:val="0"/>
                <w:numId w:val="204"/>
              </w:numPr>
              <w:tabs>
                <w:tab w:val="left" w:pos="73"/>
              </w:tabs>
              <w:spacing w:before="15" w:line="264" w:lineRule="auto"/>
              <w:ind w:right="74" w:firstLine="0"/>
              <w:rPr>
                <w:sz w:val="13"/>
              </w:rPr>
            </w:pPr>
            <w:r>
              <w:rPr>
                <w:color w:val="231F20"/>
                <w:sz w:val="13"/>
              </w:rPr>
              <w:t>Obstetrics</w:t>
            </w:r>
            <w:r>
              <w:rPr>
                <w:color w:val="231F20"/>
                <w:spacing w:val="-21"/>
                <w:sz w:val="13"/>
              </w:rPr>
              <w:t xml:space="preserve"> </w:t>
            </w:r>
            <w:r>
              <w:rPr>
                <w:color w:val="231F20"/>
                <w:sz w:val="13"/>
              </w:rPr>
              <w:t>Emergency</w:t>
            </w:r>
            <w:r>
              <w:rPr>
                <w:color w:val="231F20"/>
                <w:spacing w:val="-21"/>
                <w:sz w:val="13"/>
              </w:rPr>
              <w:t xml:space="preserve"> </w:t>
            </w:r>
            <w:r>
              <w:rPr>
                <w:color w:val="231F20"/>
                <w:sz w:val="13"/>
              </w:rPr>
              <w:t>drugs</w:t>
            </w:r>
            <w:r>
              <w:rPr>
                <w:color w:val="231F20"/>
                <w:spacing w:val="-21"/>
                <w:sz w:val="13"/>
              </w:rPr>
              <w:t xml:space="preserve"> </w:t>
            </w:r>
            <w:r>
              <w:rPr>
                <w:color w:val="231F20"/>
                <w:sz w:val="13"/>
              </w:rPr>
              <w:t>procured</w:t>
            </w:r>
            <w:r>
              <w:rPr>
                <w:color w:val="231F20"/>
                <w:spacing w:val="-21"/>
                <w:sz w:val="13"/>
              </w:rPr>
              <w:t xml:space="preserve"> </w:t>
            </w:r>
            <w:r>
              <w:rPr>
                <w:color w:val="231F20"/>
                <w:sz w:val="13"/>
              </w:rPr>
              <w:t>and distributed to all HFs</w:t>
            </w:r>
            <w:r>
              <w:rPr>
                <w:color w:val="231F20"/>
                <w:spacing w:val="-17"/>
                <w:sz w:val="13"/>
              </w:rPr>
              <w:t xml:space="preserve"> </w:t>
            </w:r>
            <w:r>
              <w:rPr>
                <w:color w:val="231F20"/>
                <w:sz w:val="13"/>
              </w:rPr>
              <w:t>quarterly</w:t>
            </w:r>
          </w:p>
          <w:p w14:paraId="6D5C1B12" w14:textId="77777777" w:rsidR="009948F1" w:rsidRDefault="00BC0563">
            <w:pPr>
              <w:pStyle w:val="TableParagraph"/>
              <w:numPr>
                <w:ilvl w:val="0"/>
                <w:numId w:val="204"/>
              </w:numPr>
              <w:tabs>
                <w:tab w:val="left" w:pos="107"/>
              </w:tabs>
              <w:spacing w:line="149" w:lineRule="exact"/>
              <w:ind w:left="106" w:hanging="80"/>
              <w:rPr>
                <w:sz w:val="13"/>
              </w:rPr>
            </w:pPr>
            <w:r>
              <w:rPr>
                <w:color w:val="231F20"/>
                <w:w w:val="95"/>
                <w:sz w:val="13"/>
              </w:rPr>
              <w:t>Emergency transport system</w:t>
            </w:r>
            <w:r>
              <w:rPr>
                <w:color w:val="231F20"/>
                <w:spacing w:val="33"/>
                <w:w w:val="95"/>
                <w:sz w:val="13"/>
              </w:rPr>
              <w:t xml:space="preserve"> </w:t>
            </w:r>
            <w:r>
              <w:rPr>
                <w:color w:val="231F20"/>
                <w:w w:val="95"/>
                <w:sz w:val="13"/>
              </w:rPr>
              <w:t>strengthened</w:t>
            </w:r>
          </w:p>
          <w:p w14:paraId="01877BAD" w14:textId="77777777" w:rsidR="009948F1" w:rsidRDefault="00BC0563">
            <w:pPr>
              <w:pStyle w:val="TableParagraph"/>
              <w:numPr>
                <w:ilvl w:val="0"/>
                <w:numId w:val="204"/>
              </w:numPr>
              <w:tabs>
                <w:tab w:val="left" w:pos="100"/>
              </w:tabs>
              <w:spacing w:before="14"/>
              <w:ind w:left="99" w:hanging="73"/>
              <w:rPr>
                <w:sz w:val="13"/>
              </w:rPr>
            </w:pPr>
            <w:r>
              <w:rPr>
                <w:color w:val="231F20"/>
                <w:sz w:val="13"/>
              </w:rPr>
              <w:t>At</w:t>
            </w:r>
            <w:r>
              <w:rPr>
                <w:color w:val="231F20"/>
                <w:spacing w:val="-12"/>
                <w:sz w:val="13"/>
              </w:rPr>
              <w:t xml:space="preserve"> </w:t>
            </w:r>
            <w:r>
              <w:rPr>
                <w:color w:val="231F20"/>
                <w:sz w:val="13"/>
              </w:rPr>
              <w:t>least</w:t>
            </w:r>
            <w:r>
              <w:rPr>
                <w:color w:val="231F20"/>
                <w:spacing w:val="-11"/>
                <w:sz w:val="13"/>
              </w:rPr>
              <w:t xml:space="preserve"> </w:t>
            </w:r>
            <w:r>
              <w:rPr>
                <w:color w:val="231F20"/>
                <w:sz w:val="13"/>
              </w:rPr>
              <w:t>150</w:t>
            </w:r>
            <w:r>
              <w:rPr>
                <w:color w:val="231F20"/>
                <w:spacing w:val="-11"/>
                <w:sz w:val="13"/>
              </w:rPr>
              <w:t xml:space="preserve"> </w:t>
            </w:r>
            <w:r>
              <w:rPr>
                <w:color w:val="231F20"/>
                <w:sz w:val="13"/>
              </w:rPr>
              <w:t>HWs</w:t>
            </w:r>
            <w:r>
              <w:rPr>
                <w:color w:val="231F20"/>
                <w:spacing w:val="-12"/>
                <w:sz w:val="13"/>
              </w:rPr>
              <w:t xml:space="preserve"> </w:t>
            </w:r>
            <w:r>
              <w:rPr>
                <w:color w:val="231F20"/>
                <w:sz w:val="13"/>
              </w:rPr>
              <w:t>trained</w:t>
            </w:r>
            <w:r>
              <w:rPr>
                <w:color w:val="231F20"/>
                <w:spacing w:val="-11"/>
                <w:sz w:val="13"/>
              </w:rPr>
              <w:t xml:space="preserve"> </w:t>
            </w:r>
            <w:r>
              <w:rPr>
                <w:color w:val="231F20"/>
                <w:sz w:val="13"/>
              </w:rPr>
              <w:t>on</w:t>
            </w:r>
            <w:r>
              <w:rPr>
                <w:color w:val="231F20"/>
                <w:spacing w:val="-11"/>
                <w:sz w:val="13"/>
              </w:rPr>
              <w:t xml:space="preserve"> </w:t>
            </w:r>
            <w:r>
              <w:rPr>
                <w:color w:val="231F20"/>
                <w:sz w:val="13"/>
              </w:rPr>
              <w:t>ENBC</w:t>
            </w:r>
            <w:r>
              <w:rPr>
                <w:color w:val="231F20"/>
                <w:spacing w:val="-12"/>
                <w:sz w:val="13"/>
              </w:rPr>
              <w:t xml:space="preserve"> </w:t>
            </w:r>
            <w:r>
              <w:rPr>
                <w:color w:val="231F20"/>
                <w:sz w:val="13"/>
              </w:rPr>
              <w:t>&amp;</w:t>
            </w:r>
            <w:r>
              <w:rPr>
                <w:color w:val="231F20"/>
                <w:spacing w:val="-11"/>
                <w:sz w:val="13"/>
              </w:rPr>
              <w:t xml:space="preserve"> </w:t>
            </w:r>
            <w:r>
              <w:rPr>
                <w:color w:val="231F20"/>
                <w:sz w:val="13"/>
              </w:rPr>
              <w:t>HBB</w:t>
            </w:r>
          </w:p>
          <w:p w14:paraId="45A05252" w14:textId="77777777" w:rsidR="009948F1" w:rsidRDefault="00BC0563">
            <w:pPr>
              <w:pStyle w:val="TableParagraph"/>
              <w:numPr>
                <w:ilvl w:val="0"/>
                <w:numId w:val="204"/>
              </w:numPr>
              <w:tabs>
                <w:tab w:val="left" w:pos="100"/>
              </w:tabs>
              <w:spacing w:before="15" w:line="264" w:lineRule="auto"/>
              <w:ind w:right="242" w:firstLine="0"/>
              <w:rPr>
                <w:sz w:val="13"/>
              </w:rPr>
            </w:pPr>
            <w:r>
              <w:rPr>
                <w:color w:val="231F20"/>
                <w:sz w:val="13"/>
              </w:rPr>
              <w:t>At</w:t>
            </w:r>
            <w:r>
              <w:rPr>
                <w:color w:val="231F20"/>
                <w:spacing w:val="-21"/>
                <w:sz w:val="13"/>
              </w:rPr>
              <w:t xml:space="preserve"> </w:t>
            </w:r>
            <w:r>
              <w:rPr>
                <w:color w:val="231F20"/>
                <w:sz w:val="13"/>
              </w:rPr>
              <w:t>least</w:t>
            </w:r>
            <w:r>
              <w:rPr>
                <w:color w:val="231F20"/>
                <w:spacing w:val="-20"/>
                <w:sz w:val="13"/>
              </w:rPr>
              <w:t xml:space="preserve"> </w:t>
            </w:r>
            <w:r>
              <w:rPr>
                <w:color w:val="231F20"/>
                <w:sz w:val="13"/>
              </w:rPr>
              <w:t>200</w:t>
            </w:r>
            <w:r>
              <w:rPr>
                <w:color w:val="231F20"/>
                <w:spacing w:val="-20"/>
                <w:sz w:val="13"/>
              </w:rPr>
              <w:t xml:space="preserve"> </w:t>
            </w:r>
            <w:r>
              <w:rPr>
                <w:color w:val="231F20"/>
                <w:sz w:val="13"/>
              </w:rPr>
              <w:t>community-based</w:t>
            </w:r>
            <w:r>
              <w:rPr>
                <w:color w:val="231F20"/>
                <w:spacing w:val="-20"/>
                <w:sz w:val="13"/>
              </w:rPr>
              <w:t xml:space="preserve"> </w:t>
            </w:r>
            <w:r>
              <w:rPr>
                <w:color w:val="231F20"/>
                <w:sz w:val="13"/>
              </w:rPr>
              <w:t>workers trained on</w:t>
            </w:r>
            <w:r>
              <w:rPr>
                <w:color w:val="231F20"/>
                <w:spacing w:val="-6"/>
                <w:sz w:val="13"/>
              </w:rPr>
              <w:t xml:space="preserve"> </w:t>
            </w:r>
            <w:r>
              <w:rPr>
                <w:color w:val="231F20"/>
                <w:sz w:val="13"/>
              </w:rPr>
              <w:t>LSS</w:t>
            </w:r>
          </w:p>
        </w:tc>
        <w:tc>
          <w:tcPr>
            <w:tcW w:w="1509" w:type="dxa"/>
            <w:tcBorders>
              <w:right w:val="single" w:sz="12" w:space="0" w:color="231F20"/>
            </w:tcBorders>
            <w:shd w:val="clear" w:color="auto" w:fill="CCE7D3"/>
          </w:tcPr>
          <w:p w14:paraId="3282EFA7" w14:textId="77777777" w:rsidR="009948F1" w:rsidRDefault="009948F1">
            <w:pPr>
              <w:pStyle w:val="TableParagraph"/>
              <w:rPr>
                <w:rFonts w:ascii="Times New Roman"/>
                <w:sz w:val="12"/>
              </w:rPr>
            </w:pPr>
          </w:p>
        </w:tc>
        <w:tc>
          <w:tcPr>
            <w:tcW w:w="1593" w:type="dxa"/>
            <w:tcBorders>
              <w:left w:val="single" w:sz="12" w:space="0" w:color="231F20"/>
              <w:right w:val="single" w:sz="8" w:space="0" w:color="231F20"/>
            </w:tcBorders>
            <w:shd w:val="clear" w:color="auto" w:fill="CCE7D3"/>
          </w:tcPr>
          <w:p w14:paraId="6430B321" w14:textId="77777777" w:rsidR="009948F1" w:rsidRDefault="009948F1">
            <w:pPr>
              <w:pStyle w:val="TableParagraph"/>
              <w:rPr>
                <w:rFonts w:ascii="Times New Roman"/>
                <w:sz w:val="12"/>
              </w:rPr>
            </w:pPr>
          </w:p>
        </w:tc>
      </w:tr>
      <w:tr w:rsidR="009948F1" w14:paraId="5C76FE04" w14:textId="77777777">
        <w:trPr>
          <w:trHeight w:val="404"/>
        </w:trPr>
        <w:tc>
          <w:tcPr>
            <w:tcW w:w="480" w:type="dxa"/>
            <w:vMerge w:val="restart"/>
            <w:tcBorders>
              <w:left w:val="single" w:sz="8" w:space="0" w:color="231F20"/>
            </w:tcBorders>
          </w:tcPr>
          <w:p w14:paraId="4536667E" w14:textId="77777777" w:rsidR="009948F1" w:rsidRDefault="009948F1">
            <w:pPr>
              <w:pStyle w:val="TableParagraph"/>
              <w:rPr>
                <w:rFonts w:ascii="Times New Roman"/>
                <w:sz w:val="12"/>
              </w:rPr>
            </w:pPr>
          </w:p>
        </w:tc>
        <w:tc>
          <w:tcPr>
            <w:tcW w:w="556" w:type="dxa"/>
          </w:tcPr>
          <w:p w14:paraId="5306BC20" w14:textId="77777777" w:rsidR="009948F1" w:rsidRDefault="009948F1">
            <w:pPr>
              <w:pStyle w:val="TableParagraph"/>
              <w:spacing w:before="1"/>
              <w:rPr>
                <w:sz w:val="11"/>
              </w:rPr>
            </w:pPr>
          </w:p>
          <w:p w14:paraId="446BF4FC" w14:textId="77777777" w:rsidR="009948F1" w:rsidRDefault="00BC0563">
            <w:pPr>
              <w:pStyle w:val="TableParagraph"/>
              <w:ind w:left="30" w:right="9"/>
              <w:jc w:val="center"/>
              <w:rPr>
                <w:sz w:val="13"/>
              </w:rPr>
            </w:pPr>
            <w:r>
              <w:rPr>
                <w:color w:val="231F20"/>
                <w:sz w:val="13"/>
              </w:rPr>
              <w:t>4.1.4.a</w:t>
            </w:r>
          </w:p>
        </w:tc>
        <w:tc>
          <w:tcPr>
            <w:tcW w:w="5181" w:type="dxa"/>
            <w:gridSpan w:val="2"/>
            <w:tcBorders>
              <w:right w:val="single" w:sz="12" w:space="0" w:color="231F20"/>
            </w:tcBorders>
          </w:tcPr>
          <w:p w14:paraId="7CA24DD2" w14:textId="77777777" w:rsidR="009948F1" w:rsidRDefault="00BC0563">
            <w:pPr>
              <w:pStyle w:val="TableParagraph"/>
              <w:spacing w:before="41" w:line="264" w:lineRule="auto"/>
              <w:ind w:left="27" w:right="223"/>
              <w:rPr>
                <w:sz w:val="13"/>
              </w:rPr>
            </w:pPr>
            <w:r>
              <w:rPr>
                <w:color w:val="231F20"/>
                <w:sz w:val="13"/>
              </w:rPr>
              <w:t>Upgrade</w:t>
            </w:r>
            <w:r>
              <w:rPr>
                <w:color w:val="231F20"/>
                <w:spacing w:val="-17"/>
                <w:sz w:val="13"/>
              </w:rPr>
              <w:t xml:space="preserve"> </w:t>
            </w:r>
            <w:r>
              <w:rPr>
                <w:color w:val="231F20"/>
                <w:sz w:val="13"/>
              </w:rPr>
              <w:t>one</w:t>
            </w:r>
            <w:r>
              <w:rPr>
                <w:color w:val="231F20"/>
                <w:spacing w:val="-16"/>
                <w:sz w:val="13"/>
              </w:rPr>
              <w:t xml:space="preserve"> </w:t>
            </w:r>
            <w:r>
              <w:rPr>
                <w:color w:val="231F20"/>
                <w:sz w:val="13"/>
              </w:rPr>
              <w:t>hospital</w:t>
            </w:r>
            <w:r>
              <w:rPr>
                <w:color w:val="231F20"/>
                <w:spacing w:val="-16"/>
                <w:sz w:val="13"/>
              </w:rPr>
              <w:t xml:space="preserve"> </w:t>
            </w:r>
            <w:r>
              <w:rPr>
                <w:color w:val="231F20"/>
                <w:sz w:val="13"/>
              </w:rPr>
              <w:t>per</w:t>
            </w:r>
            <w:r>
              <w:rPr>
                <w:color w:val="231F20"/>
                <w:spacing w:val="-17"/>
                <w:sz w:val="13"/>
              </w:rPr>
              <w:t xml:space="preserve"> </w:t>
            </w:r>
            <w:r>
              <w:rPr>
                <w:color w:val="231F20"/>
                <w:sz w:val="13"/>
              </w:rPr>
              <w:t>LGA</w:t>
            </w:r>
            <w:r>
              <w:rPr>
                <w:color w:val="231F20"/>
                <w:spacing w:val="-20"/>
                <w:sz w:val="13"/>
              </w:rPr>
              <w:t xml:space="preserve"> </w:t>
            </w:r>
            <w:r>
              <w:rPr>
                <w:color w:val="231F20"/>
                <w:sz w:val="13"/>
              </w:rPr>
              <w:t>to</w:t>
            </w:r>
            <w:r>
              <w:rPr>
                <w:color w:val="231F20"/>
                <w:spacing w:val="-16"/>
                <w:sz w:val="13"/>
              </w:rPr>
              <w:t xml:space="preserve"> </w:t>
            </w:r>
            <w:r>
              <w:rPr>
                <w:color w:val="231F20"/>
                <w:sz w:val="13"/>
              </w:rPr>
              <w:t>provide</w:t>
            </w:r>
            <w:r>
              <w:rPr>
                <w:color w:val="231F20"/>
                <w:spacing w:val="-17"/>
                <w:sz w:val="13"/>
              </w:rPr>
              <w:t xml:space="preserve"> </w:t>
            </w:r>
            <w:r>
              <w:rPr>
                <w:color w:val="231F20"/>
                <w:sz w:val="13"/>
              </w:rPr>
              <w:t>comprehensive</w:t>
            </w:r>
            <w:r>
              <w:rPr>
                <w:color w:val="231F20"/>
                <w:spacing w:val="-16"/>
                <w:sz w:val="13"/>
              </w:rPr>
              <w:t xml:space="preserve"> </w:t>
            </w:r>
            <w:r>
              <w:rPr>
                <w:color w:val="231F20"/>
                <w:sz w:val="13"/>
              </w:rPr>
              <w:t>obstetrics</w:t>
            </w:r>
            <w:r>
              <w:rPr>
                <w:color w:val="231F20"/>
                <w:spacing w:val="-16"/>
                <w:sz w:val="13"/>
              </w:rPr>
              <w:t xml:space="preserve"> </w:t>
            </w:r>
            <w:r>
              <w:rPr>
                <w:color w:val="231F20"/>
                <w:sz w:val="13"/>
              </w:rPr>
              <w:t>care</w:t>
            </w:r>
            <w:r>
              <w:rPr>
                <w:color w:val="231F20"/>
                <w:spacing w:val="-17"/>
                <w:sz w:val="13"/>
              </w:rPr>
              <w:t xml:space="preserve"> </w:t>
            </w:r>
            <w:r>
              <w:rPr>
                <w:color w:val="231F20"/>
                <w:sz w:val="13"/>
              </w:rPr>
              <w:t>services</w:t>
            </w:r>
            <w:r>
              <w:rPr>
                <w:color w:val="231F20"/>
                <w:spacing w:val="-16"/>
                <w:sz w:val="13"/>
              </w:rPr>
              <w:t xml:space="preserve"> </w:t>
            </w:r>
            <w:r>
              <w:rPr>
                <w:color w:val="231F20"/>
                <w:sz w:val="13"/>
              </w:rPr>
              <w:t xml:space="preserve">(Basic </w:t>
            </w:r>
            <w:proofErr w:type="spellStart"/>
            <w:r>
              <w:rPr>
                <w:color w:val="231F20"/>
                <w:sz w:val="13"/>
              </w:rPr>
              <w:t>EmOC</w:t>
            </w:r>
            <w:proofErr w:type="spellEnd"/>
            <w:r>
              <w:rPr>
                <w:color w:val="231F20"/>
                <w:sz w:val="13"/>
              </w:rPr>
              <w:t xml:space="preserve"> plus blood transfusion plus</w:t>
            </w:r>
            <w:r>
              <w:rPr>
                <w:color w:val="231F20"/>
                <w:spacing w:val="-15"/>
                <w:sz w:val="13"/>
              </w:rPr>
              <w:t xml:space="preserve"> </w:t>
            </w:r>
            <w:r>
              <w:rPr>
                <w:color w:val="231F20"/>
                <w:sz w:val="13"/>
              </w:rPr>
              <w:t>C/S)</w:t>
            </w:r>
          </w:p>
        </w:tc>
        <w:tc>
          <w:tcPr>
            <w:tcW w:w="1509" w:type="dxa"/>
            <w:tcBorders>
              <w:left w:val="single" w:sz="12" w:space="0" w:color="231F20"/>
            </w:tcBorders>
          </w:tcPr>
          <w:p w14:paraId="79906F2A" w14:textId="77777777" w:rsidR="009948F1" w:rsidRDefault="009948F1">
            <w:pPr>
              <w:pStyle w:val="TableParagraph"/>
              <w:spacing w:before="1"/>
              <w:rPr>
                <w:sz w:val="11"/>
              </w:rPr>
            </w:pPr>
          </w:p>
          <w:p w14:paraId="3505A475" w14:textId="77777777" w:rsidR="009948F1" w:rsidRDefault="00BC0563">
            <w:pPr>
              <w:pStyle w:val="TableParagraph"/>
              <w:ind w:left="19"/>
              <w:rPr>
                <w:sz w:val="13"/>
              </w:rPr>
            </w:pPr>
            <w:r>
              <w:rPr>
                <w:color w:val="231F20"/>
                <w:sz w:val="13"/>
              </w:rPr>
              <w:t>Lack of funds</w:t>
            </w:r>
          </w:p>
        </w:tc>
        <w:tc>
          <w:tcPr>
            <w:tcW w:w="1593" w:type="dxa"/>
            <w:tcBorders>
              <w:right w:val="single" w:sz="8" w:space="0" w:color="231F20"/>
            </w:tcBorders>
          </w:tcPr>
          <w:p w14:paraId="3482DC45" w14:textId="77777777" w:rsidR="009948F1" w:rsidRDefault="009948F1">
            <w:pPr>
              <w:pStyle w:val="TableParagraph"/>
              <w:spacing w:before="1"/>
              <w:rPr>
                <w:sz w:val="11"/>
              </w:rPr>
            </w:pPr>
          </w:p>
          <w:p w14:paraId="1B490CA6" w14:textId="77777777" w:rsidR="009948F1" w:rsidRDefault="00BC0563">
            <w:pPr>
              <w:pStyle w:val="TableParagraph"/>
              <w:ind w:left="28"/>
              <w:rPr>
                <w:sz w:val="13"/>
              </w:rPr>
            </w:pPr>
            <w:r>
              <w:rPr>
                <w:color w:val="231F20"/>
                <w:sz w:val="13"/>
              </w:rPr>
              <w:t>Upgrade hospitals</w:t>
            </w:r>
          </w:p>
        </w:tc>
      </w:tr>
      <w:tr w:rsidR="009948F1" w14:paraId="434F63A4" w14:textId="77777777">
        <w:trPr>
          <w:trHeight w:val="679"/>
        </w:trPr>
        <w:tc>
          <w:tcPr>
            <w:tcW w:w="480" w:type="dxa"/>
            <w:vMerge/>
            <w:tcBorders>
              <w:top w:val="nil"/>
              <w:left w:val="single" w:sz="8" w:space="0" w:color="231F20"/>
            </w:tcBorders>
          </w:tcPr>
          <w:p w14:paraId="5BFBC4C1" w14:textId="77777777" w:rsidR="009948F1" w:rsidRDefault="009948F1">
            <w:pPr>
              <w:rPr>
                <w:sz w:val="2"/>
                <w:szCs w:val="2"/>
              </w:rPr>
            </w:pPr>
          </w:p>
        </w:tc>
        <w:tc>
          <w:tcPr>
            <w:tcW w:w="556" w:type="dxa"/>
          </w:tcPr>
          <w:p w14:paraId="64B81021" w14:textId="77777777" w:rsidR="009948F1" w:rsidRDefault="009948F1">
            <w:pPr>
              <w:pStyle w:val="TableParagraph"/>
              <w:rPr>
                <w:sz w:val="12"/>
              </w:rPr>
            </w:pPr>
          </w:p>
          <w:p w14:paraId="044FB109" w14:textId="77777777" w:rsidR="009948F1" w:rsidRDefault="009948F1">
            <w:pPr>
              <w:pStyle w:val="TableParagraph"/>
              <w:spacing w:before="1"/>
              <w:rPr>
                <w:sz w:val="11"/>
              </w:rPr>
            </w:pPr>
          </w:p>
          <w:p w14:paraId="00476118" w14:textId="77777777" w:rsidR="009948F1" w:rsidRDefault="00BC0563">
            <w:pPr>
              <w:pStyle w:val="TableParagraph"/>
              <w:ind w:left="30" w:right="9"/>
              <w:jc w:val="center"/>
              <w:rPr>
                <w:sz w:val="13"/>
              </w:rPr>
            </w:pPr>
            <w:r>
              <w:rPr>
                <w:color w:val="231F20"/>
                <w:sz w:val="13"/>
              </w:rPr>
              <w:t>4.1.4.b</w:t>
            </w:r>
          </w:p>
        </w:tc>
        <w:tc>
          <w:tcPr>
            <w:tcW w:w="5181" w:type="dxa"/>
            <w:gridSpan w:val="2"/>
            <w:tcBorders>
              <w:right w:val="single" w:sz="12" w:space="0" w:color="231F20"/>
            </w:tcBorders>
          </w:tcPr>
          <w:p w14:paraId="4D647962" w14:textId="23AA7CC1" w:rsidR="009948F1" w:rsidRDefault="00BC0563">
            <w:pPr>
              <w:pStyle w:val="TableParagraph"/>
              <w:spacing w:before="96" w:line="264" w:lineRule="auto"/>
              <w:ind w:left="27" w:right="99"/>
              <w:rPr>
                <w:sz w:val="13"/>
              </w:rPr>
            </w:pPr>
            <w:r>
              <w:rPr>
                <w:color w:val="231F20"/>
                <w:sz w:val="13"/>
              </w:rPr>
              <w:t>Procure &amp; distribute Obstetrics Emergency drugs (</w:t>
            </w:r>
            <w:r w:rsidR="00B94D6C">
              <w:rPr>
                <w:color w:val="231F20"/>
                <w:sz w:val="13"/>
              </w:rPr>
              <w:t>Misoprostol</w:t>
            </w:r>
            <w:r>
              <w:rPr>
                <w:color w:val="231F20"/>
                <w:sz w:val="13"/>
              </w:rPr>
              <w:t>, Oxytocin, Ergometrin</w:t>
            </w:r>
            <w:r w:rsidR="00683F0D">
              <w:rPr>
                <w:color w:val="231F20"/>
                <w:sz w:val="13"/>
              </w:rPr>
              <w:t>e</w:t>
            </w:r>
            <w:r>
              <w:rPr>
                <w:color w:val="231F20"/>
                <w:sz w:val="13"/>
              </w:rPr>
              <w:t>, Magnesium</w:t>
            </w:r>
            <w:r>
              <w:rPr>
                <w:color w:val="231F20"/>
                <w:spacing w:val="-17"/>
                <w:sz w:val="13"/>
              </w:rPr>
              <w:t xml:space="preserve"> </w:t>
            </w:r>
            <w:r>
              <w:rPr>
                <w:color w:val="231F20"/>
                <w:sz w:val="13"/>
              </w:rPr>
              <w:t>Sulphate,</w:t>
            </w:r>
            <w:r>
              <w:rPr>
                <w:color w:val="231F20"/>
                <w:spacing w:val="-16"/>
                <w:sz w:val="13"/>
              </w:rPr>
              <w:t xml:space="preserve"> </w:t>
            </w:r>
            <w:r>
              <w:rPr>
                <w:color w:val="231F20"/>
                <w:sz w:val="13"/>
              </w:rPr>
              <w:t>IV</w:t>
            </w:r>
            <w:r>
              <w:rPr>
                <w:color w:val="231F20"/>
                <w:spacing w:val="-16"/>
                <w:sz w:val="13"/>
              </w:rPr>
              <w:t xml:space="preserve"> </w:t>
            </w:r>
            <w:r>
              <w:rPr>
                <w:color w:val="231F20"/>
                <w:sz w:val="13"/>
              </w:rPr>
              <w:t>Fluids:</w:t>
            </w:r>
            <w:r>
              <w:rPr>
                <w:color w:val="231F20"/>
                <w:spacing w:val="-17"/>
                <w:sz w:val="13"/>
              </w:rPr>
              <w:t xml:space="preserve"> </w:t>
            </w:r>
            <w:r>
              <w:rPr>
                <w:color w:val="231F20"/>
                <w:sz w:val="13"/>
              </w:rPr>
              <w:t>Ringer</w:t>
            </w:r>
            <w:r>
              <w:rPr>
                <w:color w:val="231F20"/>
                <w:spacing w:val="-16"/>
                <w:sz w:val="13"/>
              </w:rPr>
              <w:t xml:space="preserve"> </w:t>
            </w:r>
            <w:r>
              <w:rPr>
                <w:color w:val="231F20"/>
                <w:sz w:val="13"/>
              </w:rPr>
              <w:t>Lactate,</w:t>
            </w:r>
            <w:r>
              <w:rPr>
                <w:color w:val="231F20"/>
                <w:spacing w:val="-16"/>
                <w:sz w:val="13"/>
              </w:rPr>
              <w:t xml:space="preserve"> </w:t>
            </w:r>
            <w:r>
              <w:rPr>
                <w:color w:val="231F20"/>
                <w:sz w:val="13"/>
              </w:rPr>
              <w:t>N/Saline,</w:t>
            </w:r>
            <w:r>
              <w:rPr>
                <w:color w:val="231F20"/>
                <w:spacing w:val="-16"/>
                <w:sz w:val="13"/>
              </w:rPr>
              <w:t xml:space="preserve"> </w:t>
            </w:r>
            <w:r>
              <w:rPr>
                <w:color w:val="231F20"/>
                <w:sz w:val="13"/>
              </w:rPr>
              <w:t>D/Saline,</w:t>
            </w:r>
            <w:r>
              <w:rPr>
                <w:color w:val="231F20"/>
                <w:spacing w:val="-17"/>
                <w:sz w:val="13"/>
              </w:rPr>
              <w:t xml:space="preserve"> </w:t>
            </w:r>
            <w:r>
              <w:rPr>
                <w:color w:val="231F20"/>
                <w:sz w:val="13"/>
              </w:rPr>
              <w:t>D/Water.</w:t>
            </w:r>
            <w:r>
              <w:rPr>
                <w:color w:val="231F20"/>
                <w:spacing w:val="-20"/>
                <w:sz w:val="13"/>
              </w:rPr>
              <w:t xml:space="preserve"> </w:t>
            </w:r>
            <w:r>
              <w:rPr>
                <w:color w:val="231F20"/>
                <w:sz w:val="13"/>
              </w:rPr>
              <w:t>Antibiotics, Anticonvulsants,</w:t>
            </w:r>
            <w:r>
              <w:rPr>
                <w:color w:val="231F20"/>
                <w:spacing w:val="-17"/>
                <w:sz w:val="13"/>
              </w:rPr>
              <w:t xml:space="preserve"> </w:t>
            </w:r>
            <w:r>
              <w:rPr>
                <w:color w:val="231F20"/>
                <w:sz w:val="13"/>
              </w:rPr>
              <w:t>Metronidazole)</w:t>
            </w:r>
            <w:r>
              <w:rPr>
                <w:color w:val="231F20"/>
                <w:spacing w:val="-17"/>
                <w:sz w:val="13"/>
              </w:rPr>
              <w:t xml:space="preserve"> </w:t>
            </w:r>
            <w:r>
              <w:rPr>
                <w:color w:val="231F20"/>
                <w:sz w:val="13"/>
              </w:rPr>
              <w:t>for</w:t>
            </w:r>
            <w:r>
              <w:rPr>
                <w:color w:val="231F20"/>
                <w:spacing w:val="-16"/>
                <w:sz w:val="13"/>
              </w:rPr>
              <w:t xml:space="preserve"> </w:t>
            </w:r>
            <w:r>
              <w:rPr>
                <w:color w:val="231F20"/>
                <w:sz w:val="13"/>
              </w:rPr>
              <w:t>393</w:t>
            </w:r>
            <w:r>
              <w:rPr>
                <w:color w:val="231F20"/>
                <w:spacing w:val="-17"/>
                <w:sz w:val="13"/>
              </w:rPr>
              <w:t xml:space="preserve"> </w:t>
            </w:r>
            <w:r>
              <w:rPr>
                <w:color w:val="231F20"/>
                <w:sz w:val="13"/>
              </w:rPr>
              <w:t>health</w:t>
            </w:r>
            <w:r>
              <w:rPr>
                <w:color w:val="231F20"/>
                <w:spacing w:val="-17"/>
                <w:sz w:val="13"/>
              </w:rPr>
              <w:t xml:space="preserve"> </w:t>
            </w:r>
            <w:r>
              <w:rPr>
                <w:color w:val="231F20"/>
                <w:sz w:val="13"/>
              </w:rPr>
              <w:t>facilities</w:t>
            </w:r>
            <w:r>
              <w:rPr>
                <w:color w:val="231F20"/>
                <w:spacing w:val="-16"/>
                <w:sz w:val="13"/>
              </w:rPr>
              <w:t xml:space="preserve"> </w:t>
            </w:r>
            <w:r>
              <w:rPr>
                <w:color w:val="231F20"/>
                <w:sz w:val="13"/>
              </w:rPr>
              <w:t>(Primary</w:t>
            </w:r>
            <w:r>
              <w:rPr>
                <w:color w:val="231F20"/>
                <w:spacing w:val="-17"/>
                <w:sz w:val="13"/>
              </w:rPr>
              <w:t xml:space="preserve"> </w:t>
            </w:r>
            <w:r>
              <w:rPr>
                <w:color w:val="231F20"/>
                <w:sz w:val="13"/>
              </w:rPr>
              <w:t>&amp;</w:t>
            </w:r>
            <w:r>
              <w:rPr>
                <w:color w:val="231F20"/>
                <w:spacing w:val="-17"/>
                <w:sz w:val="13"/>
              </w:rPr>
              <w:t xml:space="preserve"> </w:t>
            </w:r>
            <w:r>
              <w:rPr>
                <w:color w:val="231F20"/>
                <w:sz w:val="13"/>
              </w:rPr>
              <w:t>Secondary)</w:t>
            </w:r>
            <w:r>
              <w:rPr>
                <w:color w:val="231F20"/>
                <w:spacing w:val="-16"/>
                <w:sz w:val="13"/>
              </w:rPr>
              <w:t xml:space="preserve"> </w:t>
            </w:r>
            <w:r>
              <w:rPr>
                <w:color w:val="231F20"/>
                <w:sz w:val="13"/>
              </w:rPr>
              <w:t>in</w:t>
            </w:r>
            <w:r>
              <w:rPr>
                <w:color w:val="231F20"/>
                <w:spacing w:val="-17"/>
                <w:sz w:val="13"/>
              </w:rPr>
              <w:t xml:space="preserve"> </w:t>
            </w:r>
            <w:r>
              <w:rPr>
                <w:color w:val="231F20"/>
                <w:sz w:val="13"/>
              </w:rPr>
              <w:t>the</w:t>
            </w:r>
            <w:r>
              <w:rPr>
                <w:color w:val="231F20"/>
                <w:spacing w:val="-16"/>
                <w:sz w:val="13"/>
              </w:rPr>
              <w:t xml:space="preserve"> </w:t>
            </w:r>
            <w:r>
              <w:rPr>
                <w:color w:val="231F20"/>
                <w:sz w:val="13"/>
              </w:rPr>
              <w:t>state</w:t>
            </w:r>
          </w:p>
        </w:tc>
        <w:tc>
          <w:tcPr>
            <w:tcW w:w="1509" w:type="dxa"/>
            <w:tcBorders>
              <w:left w:val="single" w:sz="12" w:space="0" w:color="231F20"/>
            </w:tcBorders>
          </w:tcPr>
          <w:p w14:paraId="22919021" w14:textId="77777777" w:rsidR="009948F1" w:rsidRDefault="009948F1">
            <w:pPr>
              <w:pStyle w:val="TableParagraph"/>
              <w:rPr>
                <w:sz w:val="12"/>
              </w:rPr>
            </w:pPr>
          </w:p>
          <w:p w14:paraId="4552F697" w14:textId="77777777" w:rsidR="009948F1" w:rsidRDefault="009948F1">
            <w:pPr>
              <w:pStyle w:val="TableParagraph"/>
              <w:spacing w:before="1"/>
              <w:rPr>
                <w:sz w:val="11"/>
              </w:rPr>
            </w:pPr>
          </w:p>
          <w:p w14:paraId="1ACAC5F7" w14:textId="77777777" w:rsidR="009948F1" w:rsidRDefault="00BC0563">
            <w:pPr>
              <w:pStyle w:val="TableParagraph"/>
              <w:ind w:left="19"/>
              <w:rPr>
                <w:sz w:val="13"/>
              </w:rPr>
            </w:pPr>
            <w:r>
              <w:rPr>
                <w:color w:val="231F20"/>
                <w:sz w:val="13"/>
              </w:rPr>
              <w:t>Lack of funds</w:t>
            </w:r>
          </w:p>
        </w:tc>
        <w:tc>
          <w:tcPr>
            <w:tcW w:w="1593" w:type="dxa"/>
            <w:tcBorders>
              <w:right w:val="single" w:sz="8" w:space="0" w:color="231F20"/>
            </w:tcBorders>
          </w:tcPr>
          <w:p w14:paraId="701956AA" w14:textId="77777777" w:rsidR="009948F1" w:rsidRDefault="009948F1">
            <w:pPr>
              <w:pStyle w:val="TableParagraph"/>
              <w:rPr>
                <w:sz w:val="12"/>
              </w:rPr>
            </w:pPr>
          </w:p>
          <w:p w14:paraId="171EB1F8" w14:textId="77777777" w:rsidR="009948F1" w:rsidRDefault="009948F1">
            <w:pPr>
              <w:pStyle w:val="TableParagraph"/>
              <w:spacing w:before="1"/>
              <w:rPr>
                <w:sz w:val="11"/>
              </w:rPr>
            </w:pPr>
          </w:p>
          <w:p w14:paraId="0F9E3477" w14:textId="77777777" w:rsidR="009948F1" w:rsidRDefault="00BC0563">
            <w:pPr>
              <w:pStyle w:val="TableParagraph"/>
              <w:ind w:left="28"/>
              <w:rPr>
                <w:sz w:val="13"/>
              </w:rPr>
            </w:pPr>
            <w:r>
              <w:rPr>
                <w:color w:val="231F20"/>
                <w:sz w:val="13"/>
              </w:rPr>
              <w:t>Costed in OHT</w:t>
            </w:r>
          </w:p>
        </w:tc>
      </w:tr>
      <w:tr w:rsidR="009948F1" w14:paraId="42153B88" w14:textId="77777777">
        <w:trPr>
          <w:trHeight w:val="558"/>
        </w:trPr>
        <w:tc>
          <w:tcPr>
            <w:tcW w:w="480" w:type="dxa"/>
            <w:vMerge/>
            <w:tcBorders>
              <w:top w:val="nil"/>
              <w:left w:val="single" w:sz="8" w:space="0" w:color="231F20"/>
            </w:tcBorders>
          </w:tcPr>
          <w:p w14:paraId="57AE5D13" w14:textId="77777777" w:rsidR="009948F1" w:rsidRDefault="009948F1">
            <w:pPr>
              <w:rPr>
                <w:sz w:val="2"/>
                <w:szCs w:val="2"/>
              </w:rPr>
            </w:pPr>
          </w:p>
        </w:tc>
        <w:tc>
          <w:tcPr>
            <w:tcW w:w="556" w:type="dxa"/>
          </w:tcPr>
          <w:p w14:paraId="57357B37" w14:textId="77777777" w:rsidR="009948F1" w:rsidRDefault="009948F1">
            <w:pPr>
              <w:pStyle w:val="TableParagraph"/>
              <w:spacing w:before="10"/>
              <w:rPr>
                <w:sz w:val="17"/>
              </w:rPr>
            </w:pPr>
          </w:p>
          <w:p w14:paraId="39C4DA9A" w14:textId="77777777" w:rsidR="009948F1" w:rsidRDefault="00BC0563">
            <w:pPr>
              <w:pStyle w:val="TableParagraph"/>
              <w:ind w:left="30" w:right="8"/>
              <w:jc w:val="center"/>
              <w:rPr>
                <w:sz w:val="13"/>
              </w:rPr>
            </w:pPr>
            <w:r>
              <w:rPr>
                <w:color w:val="231F20"/>
                <w:sz w:val="13"/>
              </w:rPr>
              <w:t>4.1.4.c</w:t>
            </w:r>
          </w:p>
        </w:tc>
        <w:tc>
          <w:tcPr>
            <w:tcW w:w="5181" w:type="dxa"/>
            <w:gridSpan w:val="2"/>
          </w:tcPr>
          <w:p w14:paraId="500315D1" w14:textId="77777777" w:rsidR="009948F1" w:rsidRDefault="009948F1">
            <w:pPr>
              <w:pStyle w:val="TableParagraph"/>
              <w:spacing w:before="4"/>
              <w:rPr>
                <w:sz w:val="17"/>
              </w:rPr>
            </w:pPr>
          </w:p>
          <w:p w14:paraId="2168E4E5" w14:textId="77777777" w:rsidR="009948F1" w:rsidRDefault="00BC0563">
            <w:pPr>
              <w:pStyle w:val="TableParagraph"/>
              <w:ind w:left="27"/>
              <w:rPr>
                <w:sz w:val="13"/>
              </w:rPr>
            </w:pPr>
            <w:r>
              <w:rPr>
                <w:color w:val="231F20"/>
                <w:sz w:val="13"/>
              </w:rPr>
              <w:t>Strengthen/Establish emergency transport system for obstetric emergencies</w:t>
            </w:r>
          </w:p>
        </w:tc>
        <w:tc>
          <w:tcPr>
            <w:tcW w:w="1509" w:type="dxa"/>
          </w:tcPr>
          <w:p w14:paraId="5021E33B" w14:textId="77777777" w:rsidR="009948F1" w:rsidRDefault="009948F1">
            <w:pPr>
              <w:pStyle w:val="TableParagraph"/>
              <w:spacing w:before="10"/>
              <w:rPr>
                <w:sz w:val="17"/>
              </w:rPr>
            </w:pPr>
          </w:p>
          <w:p w14:paraId="3F17378F"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78BB3CB7" w14:textId="77777777" w:rsidR="009948F1" w:rsidRDefault="00BC0563">
            <w:pPr>
              <w:pStyle w:val="TableParagraph"/>
              <w:spacing w:before="1" w:line="264" w:lineRule="auto"/>
              <w:ind w:left="28" w:right="385"/>
              <w:jc w:val="both"/>
              <w:rPr>
                <w:sz w:val="13"/>
              </w:rPr>
            </w:pPr>
            <w:r>
              <w:rPr>
                <w:color w:val="231F20"/>
                <w:w w:val="95"/>
                <w:sz w:val="13"/>
              </w:rPr>
              <w:t xml:space="preserve">Strengthen/Establish emergency transport </w:t>
            </w:r>
            <w:r>
              <w:rPr>
                <w:color w:val="231F20"/>
                <w:sz w:val="13"/>
              </w:rPr>
              <w:t>system</w:t>
            </w:r>
          </w:p>
        </w:tc>
      </w:tr>
      <w:tr w:rsidR="00DF6F14" w14:paraId="53664FF0" w14:textId="77777777">
        <w:trPr>
          <w:trHeight w:val="328"/>
        </w:trPr>
        <w:tc>
          <w:tcPr>
            <w:tcW w:w="480" w:type="dxa"/>
            <w:vMerge/>
            <w:tcBorders>
              <w:top w:val="nil"/>
              <w:left w:val="single" w:sz="8" w:space="0" w:color="231F20"/>
            </w:tcBorders>
          </w:tcPr>
          <w:p w14:paraId="43999E68" w14:textId="77777777" w:rsidR="00DF6F14" w:rsidRDefault="00DF6F14" w:rsidP="00DF6F14">
            <w:pPr>
              <w:rPr>
                <w:sz w:val="2"/>
                <w:szCs w:val="2"/>
              </w:rPr>
            </w:pPr>
          </w:p>
        </w:tc>
        <w:tc>
          <w:tcPr>
            <w:tcW w:w="556" w:type="dxa"/>
          </w:tcPr>
          <w:p w14:paraId="775ED8FD" w14:textId="77777777" w:rsidR="00DF6F14" w:rsidRDefault="00DF6F14" w:rsidP="00DF6F14">
            <w:pPr>
              <w:pStyle w:val="TableParagraph"/>
              <w:spacing w:before="90"/>
              <w:ind w:left="30" w:right="9"/>
              <w:jc w:val="center"/>
              <w:rPr>
                <w:sz w:val="13"/>
              </w:rPr>
            </w:pPr>
            <w:r>
              <w:rPr>
                <w:color w:val="231F20"/>
                <w:sz w:val="13"/>
              </w:rPr>
              <w:t>4.1.4.d</w:t>
            </w:r>
          </w:p>
        </w:tc>
        <w:tc>
          <w:tcPr>
            <w:tcW w:w="5181" w:type="dxa"/>
            <w:gridSpan w:val="2"/>
          </w:tcPr>
          <w:p w14:paraId="44D471DE" w14:textId="77777777" w:rsidR="00DF6F14" w:rsidRDefault="00DF6F14" w:rsidP="00DF6F14">
            <w:pPr>
              <w:pStyle w:val="TableParagraph"/>
              <w:spacing w:before="2"/>
              <w:ind w:left="61"/>
              <w:rPr>
                <w:sz w:val="13"/>
              </w:rPr>
            </w:pPr>
            <w:r>
              <w:rPr>
                <w:color w:val="231F20"/>
                <w:sz w:val="13"/>
              </w:rPr>
              <w:t>Conduct training workshop for HWs (Doctors, Nurse/Midwives &amp; CHOs/CHEWs on</w:t>
            </w:r>
          </w:p>
          <w:p w14:paraId="720246DE" w14:textId="25213B60" w:rsidR="00DF6F14" w:rsidRDefault="00DF6F14" w:rsidP="00DF6F14">
            <w:pPr>
              <w:pStyle w:val="TableParagraph"/>
              <w:spacing w:before="15" w:line="141" w:lineRule="exact"/>
              <w:ind w:left="27"/>
              <w:rPr>
                <w:sz w:val="13"/>
              </w:rPr>
            </w:pPr>
            <w:r>
              <w:rPr>
                <w:color w:val="231F20"/>
                <w:sz w:val="13"/>
              </w:rPr>
              <w:t xml:space="preserve">Essential Newborn Care (ENBC) &amp; Helping Babies </w:t>
            </w:r>
            <w:proofErr w:type="gramStart"/>
            <w:r>
              <w:rPr>
                <w:color w:val="231F20"/>
                <w:sz w:val="13"/>
              </w:rPr>
              <w:t>Breath(</w:t>
            </w:r>
            <w:proofErr w:type="gramEnd"/>
            <w:r>
              <w:rPr>
                <w:color w:val="231F20"/>
                <w:sz w:val="13"/>
              </w:rPr>
              <w:t>HBB)</w:t>
            </w:r>
          </w:p>
        </w:tc>
        <w:tc>
          <w:tcPr>
            <w:tcW w:w="1509" w:type="dxa"/>
          </w:tcPr>
          <w:p w14:paraId="5C6598B3" w14:textId="77777777" w:rsidR="00DF6F14" w:rsidRDefault="00DF6F14" w:rsidP="00DF6F14">
            <w:pPr>
              <w:pStyle w:val="TableParagraph"/>
              <w:spacing w:before="90"/>
              <w:ind w:left="26"/>
              <w:rPr>
                <w:sz w:val="13"/>
              </w:rPr>
            </w:pPr>
            <w:r>
              <w:rPr>
                <w:color w:val="231F20"/>
                <w:sz w:val="13"/>
              </w:rPr>
              <w:t>Lack of funds</w:t>
            </w:r>
          </w:p>
        </w:tc>
        <w:tc>
          <w:tcPr>
            <w:tcW w:w="1593" w:type="dxa"/>
            <w:tcBorders>
              <w:right w:val="single" w:sz="8" w:space="0" w:color="231F20"/>
            </w:tcBorders>
          </w:tcPr>
          <w:p w14:paraId="409FF427" w14:textId="77777777" w:rsidR="00DF6F14" w:rsidRDefault="00DF6F14" w:rsidP="00DF6F14">
            <w:pPr>
              <w:pStyle w:val="TableParagraph"/>
              <w:spacing w:before="90"/>
              <w:ind w:left="28"/>
              <w:rPr>
                <w:sz w:val="13"/>
              </w:rPr>
            </w:pPr>
            <w:r>
              <w:rPr>
                <w:color w:val="231F20"/>
                <w:sz w:val="13"/>
              </w:rPr>
              <w:t>Costed in OHT</w:t>
            </w:r>
          </w:p>
        </w:tc>
      </w:tr>
      <w:tr w:rsidR="009948F1" w14:paraId="2945D60F" w14:textId="77777777">
        <w:trPr>
          <w:trHeight w:val="396"/>
        </w:trPr>
        <w:tc>
          <w:tcPr>
            <w:tcW w:w="480" w:type="dxa"/>
            <w:vMerge/>
            <w:tcBorders>
              <w:top w:val="nil"/>
              <w:left w:val="single" w:sz="8" w:space="0" w:color="231F20"/>
            </w:tcBorders>
          </w:tcPr>
          <w:p w14:paraId="171586E0" w14:textId="77777777" w:rsidR="009948F1" w:rsidRDefault="009948F1">
            <w:pPr>
              <w:rPr>
                <w:sz w:val="2"/>
                <w:szCs w:val="2"/>
              </w:rPr>
            </w:pPr>
          </w:p>
        </w:tc>
        <w:tc>
          <w:tcPr>
            <w:tcW w:w="556" w:type="dxa"/>
          </w:tcPr>
          <w:p w14:paraId="2FE40D4D" w14:textId="77777777" w:rsidR="009948F1" w:rsidRDefault="009948F1">
            <w:pPr>
              <w:pStyle w:val="TableParagraph"/>
              <w:spacing w:before="9"/>
              <w:rPr>
                <w:sz w:val="10"/>
              </w:rPr>
            </w:pPr>
          </w:p>
          <w:p w14:paraId="5ADF1937" w14:textId="77777777" w:rsidR="009948F1" w:rsidRDefault="00BC0563">
            <w:pPr>
              <w:pStyle w:val="TableParagraph"/>
              <w:ind w:left="30" w:right="9"/>
              <w:jc w:val="center"/>
              <w:rPr>
                <w:sz w:val="13"/>
              </w:rPr>
            </w:pPr>
            <w:r>
              <w:rPr>
                <w:color w:val="231F20"/>
                <w:sz w:val="13"/>
              </w:rPr>
              <w:t>4.1.4.e</w:t>
            </w:r>
          </w:p>
        </w:tc>
        <w:tc>
          <w:tcPr>
            <w:tcW w:w="5181" w:type="dxa"/>
            <w:gridSpan w:val="2"/>
          </w:tcPr>
          <w:p w14:paraId="3BD72F71" w14:textId="77777777" w:rsidR="009948F1" w:rsidRDefault="00BC0563">
            <w:pPr>
              <w:pStyle w:val="TableParagraph"/>
              <w:spacing w:before="37" w:line="264" w:lineRule="auto"/>
              <w:ind w:left="27" w:right="457"/>
              <w:rPr>
                <w:sz w:val="13"/>
              </w:rPr>
            </w:pPr>
            <w:r>
              <w:rPr>
                <w:color w:val="231F20"/>
                <w:sz w:val="13"/>
              </w:rPr>
              <w:t>Train</w:t>
            </w:r>
            <w:r>
              <w:rPr>
                <w:color w:val="231F20"/>
                <w:spacing w:val="-16"/>
                <w:sz w:val="13"/>
              </w:rPr>
              <w:t xml:space="preserve"> </w:t>
            </w:r>
            <w:r>
              <w:rPr>
                <w:color w:val="231F20"/>
                <w:sz w:val="13"/>
              </w:rPr>
              <w:t>community-based</w:t>
            </w:r>
            <w:r>
              <w:rPr>
                <w:color w:val="231F20"/>
                <w:spacing w:val="-16"/>
                <w:sz w:val="13"/>
              </w:rPr>
              <w:t xml:space="preserve"> </w:t>
            </w:r>
            <w:r>
              <w:rPr>
                <w:color w:val="231F20"/>
                <w:sz w:val="13"/>
              </w:rPr>
              <w:t>workers</w:t>
            </w:r>
            <w:r>
              <w:rPr>
                <w:color w:val="231F20"/>
                <w:spacing w:val="-15"/>
                <w:sz w:val="13"/>
              </w:rPr>
              <w:t xml:space="preserve"> </w:t>
            </w:r>
            <w:r>
              <w:rPr>
                <w:color w:val="231F20"/>
                <w:sz w:val="13"/>
              </w:rPr>
              <w:t>in</w:t>
            </w:r>
            <w:r>
              <w:rPr>
                <w:color w:val="231F20"/>
                <w:spacing w:val="-16"/>
                <w:sz w:val="13"/>
              </w:rPr>
              <w:t xml:space="preserve"> </w:t>
            </w:r>
            <w:r>
              <w:rPr>
                <w:color w:val="231F20"/>
                <w:sz w:val="13"/>
              </w:rPr>
              <w:t>Life</w:t>
            </w:r>
            <w:r>
              <w:rPr>
                <w:color w:val="231F20"/>
                <w:spacing w:val="-15"/>
                <w:sz w:val="13"/>
              </w:rPr>
              <w:t xml:space="preserve"> </w:t>
            </w:r>
            <w:r>
              <w:rPr>
                <w:color w:val="231F20"/>
                <w:sz w:val="13"/>
              </w:rPr>
              <w:t>Saving</w:t>
            </w:r>
            <w:r>
              <w:rPr>
                <w:color w:val="231F20"/>
                <w:spacing w:val="-16"/>
                <w:sz w:val="13"/>
              </w:rPr>
              <w:t xml:space="preserve"> </w:t>
            </w:r>
            <w:r>
              <w:rPr>
                <w:color w:val="231F20"/>
                <w:sz w:val="13"/>
              </w:rPr>
              <w:t>Skills</w:t>
            </w:r>
            <w:r>
              <w:rPr>
                <w:color w:val="231F20"/>
                <w:spacing w:val="-15"/>
                <w:sz w:val="13"/>
              </w:rPr>
              <w:t xml:space="preserve"> </w:t>
            </w:r>
            <w:r>
              <w:rPr>
                <w:color w:val="231F20"/>
                <w:sz w:val="13"/>
              </w:rPr>
              <w:t>(LSS)</w:t>
            </w:r>
            <w:r>
              <w:rPr>
                <w:color w:val="231F20"/>
                <w:spacing w:val="-16"/>
                <w:sz w:val="13"/>
              </w:rPr>
              <w:t xml:space="preserve"> </w:t>
            </w:r>
            <w:r>
              <w:rPr>
                <w:color w:val="231F20"/>
                <w:sz w:val="13"/>
              </w:rPr>
              <w:t>at</w:t>
            </w:r>
            <w:r>
              <w:rPr>
                <w:color w:val="231F20"/>
                <w:spacing w:val="-16"/>
                <w:sz w:val="13"/>
              </w:rPr>
              <w:t xml:space="preserve"> </w:t>
            </w:r>
            <w:r>
              <w:rPr>
                <w:color w:val="231F20"/>
                <w:sz w:val="13"/>
              </w:rPr>
              <w:t>community</w:t>
            </w:r>
            <w:r>
              <w:rPr>
                <w:color w:val="231F20"/>
                <w:spacing w:val="-15"/>
                <w:sz w:val="13"/>
              </w:rPr>
              <w:t xml:space="preserve"> </w:t>
            </w:r>
            <w:r>
              <w:rPr>
                <w:color w:val="231F20"/>
                <w:sz w:val="13"/>
              </w:rPr>
              <w:t>level</w:t>
            </w:r>
            <w:r>
              <w:rPr>
                <w:color w:val="231F20"/>
                <w:spacing w:val="-16"/>
                <w:sz w:val="13"/>
              </w:rPr>
              <w:t xml:space="preserve"> </w:t>
            </w:r>
            <w:r>
              <w:rPr>
                <w:color w:val="231F20"/>
                <w:sz w:val="13"/>
              </w:rPr>
              <w:t>using adapted WHO</w:t>
            </w:r>
            <w:r>
              <w:rPr>
                <w:color w:val="231F20"/>
                <w:spacing w:val="-5"/>
                <w:sz w:val="13"/>
              </w:rPr>
              <w:t xml:space="preserve"> </w:t>
            </w:r>
            <w:r>
              <w:rPr>
                <w:color w:val="231F20"/>
                <w:sz w:val="13"/>
              </w:rPr>
              <w:t>manual</w:t>
            </w:r>
          </w:p>
        </w:tc>
        <w:tc>
          <w:tcPr>
            <w:tcW w:w="1509" w:type="dxa"/>
          </w:tcPr>
          <w:p w14:paraId="4943E16F" w14:textId="77777777" w:rsidR="009948F1" w:rsidRDefault="009948F1">
            <w:pPr>
              <w:pStyle w:val="TableParagraph"/>
              <w:spacing w:before="9"/>
              <w:rPr>
                <w:sz w:val="10"/>
              </w:rPr>
            </w:pPr>
          </w:p>
          <w:p w14:paraId="4C2C41EE"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58EA22CC" w14:textId="77777777" w:rsidR="009948F1" w:rsidRDefault="00BC0563">
            <w:pPr>
              <w:pStyle w:val="TableParagraph"/>
              <w:spacing w:before="42" w:line="264" w:lineRule="auto"/>
              <w:ind w:left="28" w:right="169"/>
              <w:rPr>
                <w:sz w:val="13"/>
              </w:rPr>
            </w:pPr>
            <w:r>
              <w:rPr>
                <w:color w:val="231F20"/>
                <w:sz w:val="13"/>
              </w:rPr>
              <w:t>Train community-based workers</w:t>
            </w:r>
          </w:p>
        </w:tc>
      </w:tr>
      <w:tr w:rsidR="009948F1" w14:paraId="31701F5E" w14:textId="77777777">
        <w:trPr>
          <w:trHeight w:val="1188"/>
        </w:trPr>
        <w:tc>
          <w:tcPr>
            <w:tcW w:w="480" w:type="dxa"/>
            <w:tcBorders>
              <w:left w:val="single" w:sz="8" w:space="0" w:color="231F20"/>
            </w:tcBorders>
            <w:shd w:val="clear" w:color="auto" w:fill="CCE7D3"/>
          </w:tcPr>
          <w:p w14:paraId="7731D124" w14:textId="77777777" w:rsidR="009948F1" w:rsidRDefault="009948F1">
            <w:pPr>
              <w:pStyle w:val="TableParagraph"/>
              <w:rPr>
                <w:sz w:val="12"/>
              </w:rPr>
            </w:pPr>
          </w:p>
          <w:p w14:paraId="4D314E29" w14:textId="77777777" w:rsidR="009948F1" w:rsidRDefault="009948F1">
            <w:pPr>
              <w:pStyle w:val="TableParagraph"/>
              <w:rPr>
                <w:sz w:val="12"/>
              </w:rPr>
            </w:pPr>
          </w:p>
          <w:p w14:paraId="77904CF0" w14:textId="77777777" w:rsidR="009948F1" w:rsidRDefault="009948F1">
            <w:pPr>
              <w:pStyle w:val="TableParagraph"/>
              <w:rPr>
                <w:sz w:val="12"/>
              </w:rPr>
            </w:pPr>
          </w:p>
          <w:p w14:paraId="75E48F6A" w14:textId="77777777" w:rsidR="009948F1" w:rsidRDefault="00BC0563">
            <w:pPr>
              <w:pStyle w:val="TableParagraph"/>
              <w:spacing w:before="107"/>
              <w:ind w:left="57"/>
              <w:rPr>
                <w:sz w:val="13"/>
              </w:rPr>
            </w:pPr>
            <w:r>
              <w:rPr>
                <w:color w:val="231F20"/>
                <w:sz w:val="13"/>
              </w:rPr>
              <w:t>4.1.5</w:t>
            </w:r>
          </w:p>
        </w:tc>
        <w:tc>
          <w:tcPr>
            <w:tcW w:w="3213" w:type="dxa"/>
            <w:gridSpan w:val="2"/>
            <w:shd w:val="clear" w:color="auto" w:fill="CCE7D3"/>
          </w:tcPr>
          <w:p w14:paraId="5C5EDC01" w14:textId="77777777" w:rsidR="009948F1" w:rsidRDefault="009948F1">
            <w:pPr>
              <w:pStyle w:val="TableParagraph"/>
              <w:rPr>
                <w:sz w:val="12"/>
              </w:rPr>
            </w:pPr>
          </w:p>
          <w:p w14:paraId="3E2AEE00" w14:textId="77777777" w:rsidR="009948F1" w:rsidRDefault="009948F1">
            <w:pPr>
              <w:pStyle w:val="TableParagraph"/>
              <w:rPr>
                <w:sz w:val="12"/>
              </w:rPr>
            </w:pPr>
          </w:p>
          <w:p w14:paraId="0FF95576" w14:textId="77777777" w:rsidR="009948F1" w:rsidRDefault="009948F1">
            <w:pPr>
              <w:pStyle w:val="TableParagraph"/>
              <w:rPr>
                <w:sz w:val="12"/>
              </w:rPr>
            </w:pPr>
          </w:p>
          <w:p w14:paraId="6B505313" w14:textId="77777777" w:rsidR="009948F1" w:rsidRDefault="00BC0563">
            <w:pPr>
              <w:pStyle w:val="TableParagraph"/>
              <w:spacing w:before="101"/>
              <w:ind w:left="61"/>
              <w:rPr>
                <w:sz w:val="13"/>
              </w:rPr>
            </w:pPr>
            <w:r>
              <w:rPr>
                <w:color w:val="231F20"/>
                <w:sz w:val="13"/>
              </w:rPr>
              <w:t>Improve quality of care for safe motherhood services</w:t>
            </w:r>
          </w:p>
        </w:tc>
        <w:tc>
          <w:tcPr>
            <w:tcW w:w="2524" w:type="dxa"/>
            <w:shd w:val="clear" w:color="auto" w:fill="CCE7D3"/>
          </w:tcPr>
          <w:p w14:paraId="038FFD7C" w14:textId="77777777" w:rsidR="009948F1" w:rsidRDefault="009948F1">
            <w:pPr>
              <w:pStyle w:val="TableParagraph"/>
              <w:spacing w:before="8"/>
              <w:rPr>
                <w:sz w:val="16"/>
              </w:rPr>
            </w:pPr>
          </w:p>
          <w:p w14:paraId="45FC4202" w14:textId="77777777" w:rsidR="009948F1" w:rsidRDefault="00BC0563">
            <w:pPr>
              <w:pStyle w:val="TableParagraph"/>
              <w:numPr>
                <w:ilvl w:val="0"/>
                <w:numId w:val="203"/>
              </w:numPr>
              <w:tabs>
                <w:tab w:val="left" w:pos="107"/>
              </w:tabs>
              <w:ind w:left="106" w:hanging="80"/>
              <w:rPr>
                <w:sz w:val="13"/>
              </w:rPr>
            </w:pPr>
            <w:r>
              <w:rPr>
                <w:color w:val="231F20"/>
                <w:sz w:val="13"/>
              </w:rPr>
              <w:t>SOPs</w:t>
            </w:r>
            <w:r>
              <w:rPr>
                <w:color w:val="231F20"/>
                <w:spacing w:val="-3"/>
                <w:sz w:val="13"/>
              </w:rPr>
              <w:t xml:space="preserve"> </w:t>
            </w:r>
            <w:r>
              <w:rPr>
                <w:color w:val="231F20"/>
                <w:sz w:val="13"/>
              </w:rPr>
              <w:t>developed</w:t>
            </w:r>
          </w:p>
          <w:p w14:paraId="797D16E6" w14:textId="77777777" w:rsidR="009948F1" w:rsidRDefault="00BC0563">
            <w:pPr>
              <w:pStyle w:val="TableParagraph"/>
              <w:numPr>
                <w:ilvl w:val="0"/>
                <w:numId w:val="203"/>
              </w:numPr>
              <w:tabs>
                <w:tab w:val="left" w:pos="107"/>
              </w:tabs>
              <w:spacing w:before="15" w:line="264" w:lineRule="auto"/>
              <w:ind w:right="277" w:firstLine="0"/>
              <w:rPr>
                <w:sz w:val="13"/>
              </w:rPr>
            </w:pPr>
            <w:r>
              <w:rPr>
                <w:color w:val="231F20"/>
                <w:sz w:val="13"/>
              </w:rPr>
              <w:t>WHO</w:t>
            </w:r>
            <w:r>
              <w:rPr>
                <w:color w:val="231F20"/>
                <w:spacing w:val="-16"/>
                <w:sz w:val="13"/>
              </w:rPr>
              <w:t xml:space="preserve"> </w:t>
            </w:r>
            <w:r>
              <w:rPr>
                <w:color w:val="231F20"/>
                <w:sz w:val="13"/>
              </w:rPr>
              <w:t>Standards</w:t>
            </w:r>
            <w:r>
              <w:rPr>
                <w:color w:val="231F20"/>
                <w:spacing w:val="-15"/>
                <w:sz w:val="13"/>
              </w:rPr>
              <w:t xml:space="preserve"> </w:t>
            </w:r>
            <w:r>
              <w:rPr>
                <w:color w:val="231F20"/>
                <w:sz w:val="13"/>
              </w:rPr>
              <w:t>of</w:t>
            </w:r>
            <w:r>
              <w:rPr>
                <w:color w:val="231F20"/>
                <w:spacing w:val="-16"/>
                <w:sz w:val="13"/>
              </w:rPr>
              <w:t xml:space="preserve"> </w:t>
            </w:r>
            <w:r>
              <w:rPr>
                <w:color w:val="231F20"/>
                <w:sz w:val="13"/>
              </w:rPr>
              <w:t>Care</w:t>
            </w:r>
            <w:r>
              <w:rPr>
                <w:color w:val="231F20"/>
                <w:spacing w:val="-15"/>
                <w:sz w:val="13"/>
              </w:rPr>
              <w:t xml:space="preserve"> </w:t>
            </w:r>
            <w:r>
              <w:rPr>
                <w:color w:val="231F20"/>
                <w:sz w:val="13"/>
              </w:rPr>
              <w:t>for</w:t>
            </w:r>
            <w:r>
              <w:rPr>
                <w:color w:val="231F20"/>
                <w:spacing w:val="-15"/>
                <w:sz w:val="13"/>
              </w:rPr>
              <w:t xml:space="preserve"> </w:t>
            </w:r>
            <w:r>
              <w:rPr>
                <w:color w:val="231F20"/>
                <w:sz w:val="13"/>
              </w:rPr>
              <w:t>improving quality of maternal and newborn care adopted &amp;</w:t>
            </w:r>
            <w:r>
              <w:rPr>
                <w:color w:val="231F20"/>
                <w:spacing w:val="-8"/>
                <w:sz w:val="13"/>
              </w:rPr>
              <w:t xml:space="preserve"> </w:t>
            </w:r>
            <w:r>
              <w:rPr>
                <w:color w:val="231F20"/>
                <w:sz w:val="13"/>
              </w:rPr>
              <w:t>implemented</w:t>
            </w:r>
          </w:p>
          <w:p w14:paraId="4EE45D08" w14:textId="77777777" w:rsidR="009948F1" w:rsidRDefault="00BC0563">
            <w:pPr>
              <w:pStyle w:val="TableParagraph"/>
              <w:numPr>
                <w:ilvl w:val="0"/>
                <w:numId w:val="203"/>
              </w:numPr>
              <w:tabs>
                <w:tab w:val="left" w:pos="100"/>
              </w:tabs>
              <w:spacing w:line="149" w:lineRule="exact"/>
              <w:ind w:left="99" w:hanging="73"/>
              <w:rPr>
                <w:sz w:val="13"/>
              </w:rPr>
            </w:pPr>
            <w:r>
              <w:rPr>
                <w:color w:val="231F20"/>
                <w:sz w:val="13"/>
              </w:rPr>
              <w:t>At</w:t>
            </w:r>
            <w:r>
              <w:rPr>
                <w:color w:val="231F20"/>
                <w:spacing w:val="-6"/>
                <w:sz w:val="13"/>
              </w:rPr>
              <w:t xml:space="preserve"> </w:t>
            </w:r>
            <w:r>
              <w:rPr>
                <w:color w:val="231F20"/>
                <w:sz w:val="13"/>
              </w:rPr>
              <w:t>least</w:t>
            </w:r>
            <w:r>
              <w:rPr>
                <w:color w:val="231F20"/>
                <w:spacing w:val="-6"/>
                <w:sz w:val="13"/>
              </w:rPr>
              <w:t xml:space="preserve"> </w:t>
            </w:r>
            <w:r>
              <w:rPr>
                <w:color w:val="231F20"/>
                <w:sz w:val="13"/>
              </w:rPr>
              <w:t>300</w:t>
            </w:r>
            <w:r>
              <w:rPr>
                <w:color w:val="231F20"/>
                <w:spacing w:val="-6"/>
                <w:sz w:val="13"/>
              </w:rPr>
              <w:t xml:space="preserve"> </w:t>
            </w:r>
            <w:r>
              <w:rPr>
                <w:color w:val="231F20"/>
                <w:sz w:val="13"/>
              </w:rPr>
              <w:t>HWs</w:t>
            </w:r>
            <w:r>
              <w:rPr>
                <w:color w:val="231F20"/>
                <w:spacing w:val="-5"/>
                <w:sz w:val="13"/>
              </w:rPr>
              <w:t xml:space="preserve"> </w:t>
            </w:r>
            <w:r>
              <w:rPr>
                <w:color w:val="231F20"/>
                <w:sz w:val="13"/>
              </w:rPr>
              <w:t>trained</w:t>
            </w:r>
            <w:r>
              <w:rPr>
                <w:color w:val="231F20"/>
                <w:spacing w:val="-6"/>
                <w:sz w:val="13"/>
              </w:rPr>
              <w:t xml:space="preserve"> </w:t>
            </w:r>
            <w:r>
              <w:rPr>
                <w:color w:val="231F20"/>
                <w:sz w:val="13"/>
              </w:rPr>
              <w:t>on</w:t>
            </w:r>
            <w:r>
              <w:rPr>
                <w:color w:val="231F20"/>
                <w:spacing w:val="-6"/>
                <w:sz w:val="13"/>
              </w:rPr>
              <w:t xml:space="preserve"> </w:t>
            </w:r>
            <w:r>
              <w:rPr>
                <w:color w:val="231F20"/>
                <w:sz w:val="13"/>
              </w:rPr>
              <w:t>IPC</w:t>
            </w:r>
            <w:r>
              <w:rPr>
                <w:color w:val="231F20"/>
                <w:spacing w:val="-6"/>
                <w:sz w:val="13"/>
              </w:rPr>
              <w:t xml:space="preserve"> </w:t>
            </w:r>
            <w:r>
              <w:rPr>
                <w:color w:val="231F20"/>
                <w:sz w:val="13"/>
              </w:rPr>
              <w:t>skill</w:t>
            </w:r>
          </w:p>
        </w:tc>
        <w:tc>
          <w:tcPr>
            <w:tcW w:w="1509" w:type="dxa"/>
            <w:tcBorders>
              <w:right w:val="single" w:sz="12" w:space="0" w:color="231F20"/>
            </w:tcBorders>
            <w:shd w:val="clear" w:color="auto" w:fill="CCE7D3"/>
          </w:tcPr>
          <w:p w14:paraId="29D1CFE7" w14:textId="77777777" w:rsidR="009948F1" w:rsidRDefault="009948F1">
            <w:pPr>
              <w:pStyle w:val="TableParagraph"/>
              <w:rPr>
                <w:rFonts w:ascii="Times New Roman"/>
                <w:sz w:val="12"/>
              </w:rPr>
            </w:pPr>
          </w:p>
        </w:tc>
        <w:tc>
          <w:tcPr>
            <w:tcW w:w="1593" w:type="dxa"/>
            <w:tcBorders>
              <w:left w:val="single" w:sz="12" w:space="0" w:color="231F20"/>
              <w:right w:val="single" w:sz="8" w:space="0" w:color="231F20"/>
            </w:tcBorders>
            <w:shd w:val="clear" w:color="auto" w:fill="CCE7D3"/>
          </w:tcPr>
          <w:p w14:paraId="71219C25" w14:textId="77777777" w:rsidR="009948F1" w:rsidRDefault="009948F1">
            <w:pPr>
              <w:pStyle w:val="TableParagraph"/>
              <w:rPr>
                <w:rFonts w:ascii="Times New Roman"/>
                <w:sz w:val="12"/>
              </w:rPr>
            </w:pPr>
          </w:p>
        </w:tc>
      </w:tr>
      <w:tr w:rsidR="009948F1" w14:paraId="44699071" w14:textId="77777777">
        <w:trPr>
          <w:trHeight w:val="453"/>
        </w:trPr>
        <w:tc>
          <w:tcPr>
            <w:tcW w:w="480" w:type="dxa"/>
            <w:vMerge w:val="restart"/>
            <w:tcBorders>
              <w:left w:val="single" w:sz="8" w:space="0" w:color="231F20"/>
            </w:tcBorders>
          </w:tcPr>
          <w:p w14:paraId="35703097" w14:textId="77777777" w:rsidR="009948F1" w:rsidRDefault="009948F1">
            <w:pPr>
              <w:pStyle w:val="TableParagraph"/>
              <w:rPr>
                <w:rFonts w:ascii="Times New Roman"/>
                <w:sz w:val="12"/>
              </w:rPr>
            </w:pPr>
          </w:p>
        </w:tc>
        <w:tc>
          <w:tcPr>
            <w:tcW w:w="556" w:type="dxa"/>
          </w:tcPr>
          <w:p w14:paraId="2C04E9B9" w14:textId="77777777" w:rsidR="009948F1" w:rsidRDefault="009948F1">
            <w:pPr>
              <w:pStyle w:val="TableParagraph"/>
              <w:spacing w:before="4"/>
              <w:rPr>
                <w:sz w:val="13"/>
              </w:rPr>
            </w:pPr>
          </w:p>
          <w:p w14:paraId="53872204" w14:textId="77777777" w:rsidR="009948F1" w:rsidRDefault="00BC0563">
            <w:pPr>
              <w:pStyle w:val="TableParagraph"/>
              <w:ind w:left="30" w:right="9"/>
              <w:jc w:val="center"/>
              <w:rPr>
                <w:sz w:val="13"/>
              </w:rPr>
            </w:pPr>
            <w:r>
              <w:rPr>
                <w:color w:val="231F20"/>
                <w:sz w:val="13"/>
              </w:rPr>
              <w:t>4.1.5.a</w:t>
            </w:r>
          </w:p>
        </w:tc>
        <w:tc>
          <w:tcPr>
            <w:tcW w:w="5181" w:type="dxa"/>
            <w:gridSpan w:val="2"/>
          </w:tcPr>
          <w:p w14:paraId="0230DC0F" w14:textId="77777777" w:rsidR="009948F1" w:rsidRDefault="00BC0563">
            <w:pPr>
              <w:pStyle w:val="TableParagraph"/>
              <w:spacing w:before="65" w:line="264" w:lineRule="auto"/>
              <w:ind w:left="27" w:right="425"/>
              <w:rPr>
                <w:sz w:val="13"/>
              </w:rPr>
            </w:pPr>
            <w:r>
              <w:rPr>
                <w:color w:val="231F20"/>
                <w:sz w:val="13"/>
              </w:rPr>
              <w:t>Develop</w:t>
            </w:r>
            <w:r>
              <w:rPr>
                <w:color w:val="231F20"/>
                <w:spacing w:val="-17"/>
                <w:sz w:val="13"/>
              </w:rPr>
              <w:t xml:space="preserve"> </w:t>
            </w:r>
            <w:r>
              <w:rPr>
                <w:color w:val="231F20"/>
                <w:sz w:val="13"/>
              </w:rPr>
              <w:t>Standard</w:t>
            </w:r>
            <w:r>
              <w:rPr>
                <w:color w:val="231F20"/>
                <w:spacing w:val="-17"/>
                <w:sz w:val="13"/>
              </w:rPr>
              <w:t xml:space="preserve"> </w:t>
            </w:r>
            <w:r>
              <w:rPr>
                <w:color w:val="231F20"/>
                <w:sz w:val="13"/>
              </w:rPr>
              <w:t>operating</w:t>
            </w:r>
            <w:r>
              <w:rPr>
                <w:color w:val="231F20"/>
                <w:spacing w:val="-17"/>
                <w:sz w:val="13"/>
              </w:rPr>
              <w:t xml:space="preserve"> </w:t>
            </w:r>
            <w:r>
              <w:rPr>
                <w:color w:val="231F20"/>
                <w:sz w:val="13"/>
              </w:rPr>
              <w:t>procedures</w:t>
            </w:r>
            <w:r>
              <w:rPr>
                <w:color w:val="231F20"/>
                <w:spacing w:val="-17"/>
                <w:sz w:val="13"/>
              </w:rPr>
              <w:t xml:space="preserve"> </w:t>
            </w:r>
            <w:r>
              <w:rPr>
                <w:color w:val="231F20"/>
                <w:sz w:val="13"/>
              </w:rPr>
              <w:t>(SOPs)</w:t>
            </w:r>
            <w:r>
              <w:rPr>
                <w:color w:val="231F20"/>
                <w:spacing w:val="-17"/>
                <w:sz w:val="13"/>
              </w:rPr>
              <w:t xml:space="preserve"> </w:t>
            </w:r>
            <w:r>
              <w:rPr>
                <w:color w:val="231F20"/>
                <w:sz w:val="13"/>
              </w:rPr>
              <w:t>and</w:t>
            </w:r>
            <w:r>
              <w:rPr>
                <w:color w:val="231F20"/>
                <w:spacing w:val="-17"/>
                <w:sz w:val="13"/>
              </w:rPr>
              <w:t xml:space="preserve"> </w:t>
            </w:r>
            <w:r>
              <w:rPr>
                <w:color w:val="231F20"/>
                <w:sz w:val="13"/>
              </w:rPr>
              <w:t>job</w:t>
            </w:r>
            <w:r>
              <w:rPr>
                <w:color w:val="231F20"/>
                <w:spacing w:val="-17"/>
                <w:sz w:val="13"/>
              </w:rPr>
              <w:t xml:space="preserve"> </w:t>
            </w:r>
            <w:r>
              <w:rPr>
                <w:color w:val="231F20"/>
                <w:sz w:val="13"/>
              </w:rPr>
              <w:t>aids</w:t>
            </w:r>
            <w:r>
              <w:rPr>
                <w:color w:val="231F20"/>
                <w:spacing w:val="-17"/>
                <w:sz w:val="13"/>
              </w:rPr>
              <w:t xml:space="preserve"> </w:t>
            </w:r>
            <w:r>
              <w:rPr>
                <w:color w:val="231F20"/>
                <w:sz w:val="13"/>
              </w:rPr>
              <w:t>on</w:t>
            </w:r>
            <w:r>
              <w:rPr>
                <w:color w:val="231F20"/>
                <w:spacing w:val="-17"/>
                <w:sz w:val="13"/>
              </w:rPr>
              <w:t xml:space="preserve"> </w:t>
            </w:r>
            <w:r>
              <w:rPr>
                <w:color w:val="231F20"/>
                <w:sz w:val="13"/>
              </w:rPr>
              <w:t>reproductive</w:t>
            </w:r>
            <w:r>
              <w:rPr>
                <w:color w:val="231F20"/>
                <w:spacing w:val="-17"/>
                <w:sz w:val="13"/>
              </w:rPr>
              <w:t xml:space="preserve"> </w:t>
            </w:r>
            <w:r>
              <w:rPr>
                <w:color w:val="231F20"/>
                <w:sz w:val="13"/>
              </w:rPr>
              <w:t>health, maternal,</w:t>
            </w:r>
            <w:r>
              <w:rPr>
                <w:color w:val="231F20"/>
                <w:spacing w:val="-5"/>
                <w:sz w:val="13"/>
              </w:rPr>
              <w:t xml:space="preserve"> </w:t>
            </w:r>
            <w:r>
              <w:rPr>
                <w:color w:val="231F20"/>
                <w:sz w:val="13"/>
              </w:rPr>
              <w:t>new</w:t>
            </w:r>
            <w:r>
              <w:rPr>
                <w:color w:val="231F20"/>
                <w:spacing w:val="-5"/>
                <w:sz w:val="13"/>
              </w:rPr>
              <w:t xml:space="preserve"> </w:t>
            </w:r>
            <w:r>
              <w:rPr>
                <w:color w:val="231F20"/>
                <w:sz w:val="13"/>
              </w:rPr>
              <w:t>born,</w:t>
            </w:r>
            <w:r>
              <w:rPr>
                <w:color w:val="231F20"/>
                <w:spacing w:val="-5"/>
                <w:sz w:val="13"/>
              </w:rPr>
              <w:t xml:space="preserve"> </w:t>
            </w:r>
            <w:r>
              <w:rPr>
                <w:color w:val="231F20"/>
                <w:sz w:val="13"/>
              </w:rPr>
              <w:t>child</w:t>
            </w:r>
            <w:r>
              <w:rPr>
                <w:color w:val="231F20"/>
                <w:spacing w:val="-5"/>
                <w:sz w:val="13"/>
              </w:rPr>
              <w:t xml:space="preserve"> </w:t>
            </w:r>
            <w:r>
              <w:rPr>
                <w:color w:val="231F20"/>
                <w:sz w:val="13"/>
              </w:rPr>
              <w:t>and</w:t>
            </w:r>
            <w:r>
              <w:rPr>
                <w:color w:val="231F20"/>
                <w:spacing w:val="-5"/>
                <w:sz w:val="13"/>
              </w:rPr>
              <w:t xml:space="preserve"> </w:t>
            </w:r>
            <w:r>
              <w:rPr>
                <w:color w:val="231F20"/>
                <w:sz w:val="13"/>
              </w:rPr>
              <w:t>adolescent</w:t>
            </w:r>
            <w:r>
              <w:rPr>
                <w:color w:val="231F20"/>
                <w:spacing w:val="-5"/>
                <w:sz w:val="13"/>
              </w:rPr>
              <w:t xml:space="preserve"> </w:t>
            </w:r>
            <w:r>
              <w:rPr>
                <w:color w:val="231F20"/>
                <w:sz w:val="13"/>
              </w:rPr>
              <w:t>health</w:t>
            </w:r>
            <w:r>
              <w:rPr>
                <w:color w:val="231F20"/>
                <w:spacing w:val="-5"/>
                <w:sz w:val="13"/>
              </w:rPr>
              <w:t xml:space="preserve"> </w:t>
            </w:r>
            <w:r>
              <w:rPr>
                <w:color w:val="231F20"/>
                <w:sz w:val="13"/>
              </w:rPr>
              <w:t>(RMNCAH)</w:t>
            </w:r>
            <w:r>
              <w:rPr>
                <w:color w:val="231F20"/>
                <w:spacing w:val="-5"/>
                <w:sz w:val="13"/>
              </w:rPr>
              <w:t xml:space="preserve"> </w:t>
            </w:r>
            <w:r>
              <w:rPr>
                <w:color w:val="231F20"/>
                <w:sz w:val="13"/>
              </w:rPr>
              <w:t>care</w:t>
            </w:r>
          </w:p>
        </w:tc>
        <w:tc>
          <w:tcPr>
            <w:tcW w:w="1509" w:type="dxa"/>
          </w:tcPr>
          <w:p w14:paraId="2776CE71" w14:textId="77777777" w:rsidR="009948F1" w:rsidRDefault="009948F1">
            <w:pPr>
              <w:pStyle w:val="TableParagraph"/>
              <w:spacing w:before="4"/>
              <w:rPr>
                <w:sz w:val="13"/>
              </w:rPr>
            </w:pPr>
          </w:p>
          <w:p w14:paraId="13DA983A"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440EA503" w14:textId="77777777" w:rsidR="009948F1" w:rsidRDefault="009948F1">
            <w:pPr>
              <w:pStyle w:val="TableParagraph"/>
              <w:spacing w:before="4"/>
              <w:rPr>
                <w:sz w:val="13"/>
              </w:rPr>
            </w:pPr>
          </w:p>
          <w:p w14:paraId="00DD49EC" w14:textId="77777777" w:rsidR="009948F1" w:rsidRDefault="00BC0563">
            <w:pPr>
              <w:pStyle w:val="TableParagraph"/>
              <w:ind w:left="28"/>
              <w:rPr>
                <w:sz w:val="13"/>
              </w:rPr>
            </w:pPr>
            <w:r>
              <w:rPr>
                <w:color w:val="231F20"/>
                <w:sz w:val="13"/>
              </w:rPr>
              <w:t>Develop SOPs</w:t>
            </w:r>
          </w:p>
        </w:tc>
      </w:tr>
      <w:tr w:rsidR="009948F1" w14:paraId="7CF095BE" w14:textId="77777777">
        <w:trPr>
          <w:trHeight w:val="493"/>
        </w:trPr>
        <w:tc>
          <w:tcPr>
            <w:tcW w:w="480" w:type="dxa"/>
            <w:vMerge/>
            <w:tcBorders>
              <w:top w:val="nil"/>
              <w:left w:val="single" w:sz="8" w:space="0" w:color="231F20"/>
            </w:tcBorders>
          </w:tcPr>
          <w:p w14:paraId="20D71140" w14:textId="77777777" w:rsidR="009948F1" w:rsidRDefault="009948F1">
            <w:pPr>
              <w:rPr>
                <w:sz w:val="2"/>
                <w:szCs w:val="2"/>
              </w:rPr>
            </w:pPr>
          </w:p>
        </w:tc>
        <w:tc>
          <w:tcPr>
            <w:tcW w:w="556" w:type="dxa"/>
          </w:tcPr>
          <w:p w14:paraId="75BD8D27" w14:textId="77777777" w:rsidR="009948F1" w:rsidRDefault="009948F1">
            <w:pPr>
              <w:pStyle w:val="TableParagraph"/>
              <w:spacing w:before="1"/>
              <w:rPr>
                <w:sz w:val="15"/>
              </w:rPr>
            </w:pPr>
          </w:p>
          <w:p w14:paraId="03DD0742" w14:textId="77777777" w:rsidR="009948F1" w:rsidRDefault="00BC0563">
            <w:pPr>
              <w:pStyle w:val="TableParagraph"/>
              <w:ind w:left="30" w:right="9"/>
              <w:jc w:val="center"/>
              <w:rPr>
                <w:sz w:val="13"/>
              </w:rPr>
            </w:pPr>
            <w:r>
              <w:rPr>
                <w:color w:val="231F20"/>
                <w:sz w:val="13"/>
              </w:rPr>
              <w:t>4.1.5.b</w:t>
            </w:r>
          </w:p>
        </w:tc>
        <w:tc>
          <w:tcPr>
            <w:tcW w:w="5181" w:type="dxa"/>
            <w:gridSpan w:val="2"/>
          </w:tcPr>
          <w:p w14:paraId="516C2CA4" w14:textId="77777777" w:rsidR="009948F1" w:rsidRDefault="00BC0563">
            <w:pPr>
              <w:pStyle w:val="TableParagraph"/>
              <w:spacing w:before="85" w:line="264" w:lineRule="auto"/>
              <w:ind w:left="27" w:right="442"/>
              <w:rPr>
                <w:sz w:val="13"/>
              </w:rPr>
            </w:pPr>
            <w:r>
              <w:rPr>
                <w:color w:val="231F20"/>
                <w:sz w:val="13"/>
              </w:rPr>
              <w:t>Adopt</w:t>
            </w:r>
            <w:r>
              <w:rPr>
                <w:color w:val="231F20"/>
                <w:spacing w:val="-14"/>
                <w:sz w:val="13"/>
              </w:rPr>
              <w:t xml:space="preserve"> </w:t>
            </w:r>
            <w:r>
              <w:rPr>
                <w:color w:val="231F20"/>
                <w:sz w:val="13"/>
              </w:rPr>
              <w:t>and</w:t>
            </w:r>
            <w:r>
              <w:rPr>
                <w:color w:val="231F20"/>
                <w:spacing w:val="-13"/>
                <w:sz w:val="13"/>
              </w:rPr>
              <w:t xml:space="preserve"> </w:t>
            </w:r>
            <w:r>
              <w:rPr>
                <w:color w:val="231F20"/>
                <w:sz w:val="13"/>
              </w:rPr>
              <w:t>implement</w:t>
            </w:r>
            <w:r>
              <w:rPr>
                <w:color w:val="231F20"/>
                <w:spacing w:val="-13"/>
                <w:sz w:val="13"/>
              </w:rPr>
              <w:t xml:space="preserve"> </w:t>
            </w:r>
            <w:r>
              <w:rPr>
                <w:color w:val="231F20"/>
                <w:sz w:val="13"/>
              </w:rPr>
              <w:t>WHO</w:t>
            </w:r>
            <w:r>
              <w:rPr>
                <w:color w:val="231F20"/>
                <w:spacing w:val="-13"/>
                <w:sz w:val="13"/>
              </w:rPr>
              <w:t xml:space="preserve"> </w:t>
            </w:r>
            <w:r>
              <w:rPr>
                <w:color w:val="231F20"/>
                <w:sz w:val="13"/>
              </w:rPr>
              <w:t>Standards</w:t>
            </w:r>
            <w:r>
              <w:rPr>
                <w:color w:val="231F20"/>
                <w:spacing w:val="-14"/>
                <w:sz w:val="13"/>
              </w:rPr>
              <w:t xml:space="preserve"> </w:t>
            </w:r>
            <w:r>
              <w:rPr>
                <w:color w:val="231F20"/>
                <w:sz w:val="13"/>
              </w:rPr>
              <w:t>of</w:t>
            </w:r>
            <w:r>
              <w:rPr>
                <w:color w:val="231F20"/>
                <w:spacing w:val="-13"/>
                <w:sz w:val="13"/>
              </w:rPr>
              <w:t xml:space="preserve"> </w:t>
            </w:r>
            <w:r>
              <w:rPr>
                <w:color w:val="231F20"/>
                <w:sz w:val="13"/>
              </w:rPr>
              <w:t>Care</w:t>
            </w:r>
            <w:r>
              <w:rPr>
                <w:color w:val="231F20"/>
                <w:spacing w:val="-13"/>
                <w:sz w:val="13"/>
              </w:rPr>
              <w:t xml:space="preserve"> </w:t>
            </w:r>
            <w:r>
              <w:rPr>
                <w:color w:val="231F20"/>
                <w:sz w:val="13"/>
              </w:rPr>
              <w:t>for</w:t>
            </w:r>
            <w:r>
              <w:rPr>
                <w:color w:val="231F20"/>
                <w:spacing w:val="-13"/>
                <w:sz w:val="13"/>
              </w:rPr>
              <w:t xml:space="preserve"> </w:t>
            </w:r>
            <w:r>
              <w:rPr>
                <w:color w:val="231F20"/>
                <w:sz w:val="13"/>
              </w:rPr>
              <w:t>improving</w:t>
            </w:r>
            <w:r>
              <w:rPr>
                <w:color w:val="231F20"/>
                <w:spacing w:val="-14"/>
                <w:sz w:val="13"/>
              </w:rPr>
              <w:t xml:space="preserve"> </w:t>
            </w:r>
            <w:r>
              <w:rPr>
                <w:color w:val="231F20"/>
                <w:sz w:val="13"/>
              </w:rPr>
              <w:t>quality</w:t>
            </w:r>
            <w:r>
              <w:rPr>
                <w:color w:val="231F20"/>
                <w:spacing w:val="-13"/>
                <w:sz w:val="13"/>
              </w:rPr>
              <w:t xml:space="preserve"> </w:t>
            </w:r>
            <w:r>
              <w:rPr>
                <w:color w:val="231F20"/>
                <w:sz w:val="13"/>
              </w:rPr>
              <w:t>of</w:t>
            </w:r>
            <w:r>
              <w:rPr>
                <w:color w:val="231F20"/>
                <w:spacing w:val="10"/>
                <w:sz w:val="13"/>
              </w:rPr>
              <w:t xml:space="preserve"> </w:t>
            </w:r>
            <w:r>
              <w:rPr>
                <w:color w:val="231F20"/>
                <w:sz w:val="13"/>
              </w:rPr>
              <w:t>maternal</w:t>
            </w:r>
            <w:r>
              <w:rPr>
                <w:color w:val="231F20"/>
                <w:spacing w:val="-13"/>
                <w:sz w:val="13"/>
              </w:rPr>
              <w:t xml:space="preserve"> </w:t>
            </w:r>
            <w:r>
              <w:rPr>
                <w:color w:val="231F20"/>
                <w:sz w:val="13"/>
              </w:rPr>
              <w:t>and newborn care in health</w:t>
            </w:r>
            <w:r>
              <w:rPr>
                <w:color w:val="231F20"/>
                <w:spacing w:val="-11"/>
                <w:sz w:val="13"/>
              </w:rPr>
              <w:t xml:space="preserve"> </w:t>
            </w:r>
            <w:r>
              <w:rPr>
                <w:color w:val="231F20"/>
                <w:sz w:val="13"/>
              </w:rPr>
              <w:t>facilities</w:t>
            </w:r>
          </w:p>
        </w:tc>
        <w:tc>
          <w:tcPr>
            <w:tcW w:w="1509" w:type="dxa"/>
          </w:tcPr>
          <w:p w14:paraId="3DF97C39" w14:textId="77777777" w:rsidR="009948F1" w:rsidRDefault="009948F1">
            <w:pPr>
              <w:pStyle w:val="TableParagraph"/>
              <w:spacing w:before="1"/>
              <w:rPr>
                <w:sz w:val="15"/>
              </w:rPr>
            </w:pPr>
          </w:p>
          <w:p w14:paraId="271F7F16"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7E5B2370" w14:textId="77777777" w:rsidR="009948F1" w:rsidRDefault="009948F1">
            <w:pPr>
              <w:pStyle w:val="TableParagraph"/>
              <w:spacing w:before="1"/>
              <w:rPr>
                <w:sz w:val="15"/>
              </w:rPr>
            </w:pPr>
          </w:p>
          <w:p w14:paraId="096B8597" w14:textId="77777777" w:rsidR="009948F1" w:rsidRDefault="00BC0563">
            <w:pPr>
              <w:pStyle w:val="TableParagraph"/>
              <w:ind w:left="28"/>
              <w:rPr>
                <w:sz w:val="13"/>
              </w:rPr>
            </w:pPr>
            <w:r>
              <w:rPr>
                <w:color w:val="231F20"/>
                <w:sz w:val="13"/>
              </w:rPr>
              <w:t>No cost</w:t>
            </w:r>
          </w:p>
        </w:tc>
      </w:tr>
      <w:tr w:rsidR="009948F1" w14:paraId="71A26F7D" w14:textId="77777777">
        <w:trPr>
          <w:trHeight w:val="320"/>
        </w:trPr>
        <w:tc>
          <w:tcPr>
            <w:tcW w:w="480" w:type="dxa"/>
            <w:vMerge/>
            <w:tcBorders>
              <w:top w:val="nil"/>
              <w:left w:val="single" w:sz="8" w:space="0" w:color="231F20"/>
            </w:tcBorders>
          </w:tcPr>
          <w:p w14:paraId="34AD9A74" w14:textId="77777777" w:rsidR="009948F1" w:rsidRDefault="009948F1">
            <w:pPr>
              <w:rPr>
                <w:sz w:val="2"/>
                <w:szCs w:val="2"/>
              </w:rPr>
            </w:pPr>
          </w:p>
        </w:tc>
        <w:tc>
          <w:tcPr>
            <w:tcW w:w="556" w:type="dxa"/>
          </w:tcPr>
          <w:p w14:paraId="030B1482" w14:textId="77777777" w:rsidR="009948F1" w:rsidRDefault="00BC0563">
            <w:pPr>
              <w:pStyle w:val="TableParagraph"/>
              <w:spacing w:before="86"/>
              <w:ind w:left="30" w:right="8"/>
              <w:jc w:val="center"/>
              <w:rPr>
                <w:sz w:val="13"/>
              </w:rPr>
            </w:pPr>
            <w:r>
              <w:rPr>
                <w:color w:val="231F20"/>
                <w:sz w:val="13"/>
              </w:rPr>
              <w:t>4.1.5.c</w:t>
            </w:r>
          </w:p>
        </w:tc>
        <w:tc>
          <w:tcPr>
            <w:tcW w:w="5181" w:type="dxa"/>
            <w:gridSpan w:val="2"/>
          </w:tcPr>
          <w:p w14:paraId="5B1E73D3" w14:textId="77777777" w:rsidR="009948F1" w:rsidRDefault="00BC0563">
            <w:pPr>
              <w:pStyle w:val="TableParagraph"/>
              <w:spacing w:before="1"/>
              <w:ind w:left="27"/>
              <w:rPr>
                <w:sz w:val="13"/>
              </w:rPr>
            </w:pPr>
            <w:r>
              <w:rPr>
                <w:color w:val="231F20"/>
                <w:sz w:val="13"/>
              </w:rPr>
              <w:t xml:space="preserve">Advocacy to community institutions for community mobilization and </w:t>
            </w:r>
            <w:proofErr w:type="spellStart"/>
            <w:r>
              <w:rPr>
                <w:color w:val="231F20"/>
                <w:sz w:val="13"/>
              </w:rPr>
              <w:t>Behavioural</w:t>
            </w:r>
            <w:proofErr w:type="spellEnd"/>
            <w:r>
              <w:rPr>
                <w:color w:val="231F20"/>
                <w:sz w:val="13"/>
              </w:rPr>
              <w:t xml:space="preserve"> Change</w:t>
            </w:r>
          </w:p>
          <w:p w14:paraId="3A4E5320" w14:textId="77777777" w:rsidR="009948F1" w:rsidRDefault="00BC0563">
            <w:pPr>
              <w:pStyle w:val="TableParagraph"/>
              <w:spacing w:before="15" w:line="135" w:lineRule="exact"/>
              <w:ind w:left="27"/>
              <w:rPr>
                <w:sz w:val="13"/>
              </w:rPr>
            </w:pPr>
            <w:r>
              <w:rPr>
                <w:color w:val="231F20"/>
                <w:sz w:val="13"/>
              </w:rPr>
              <w:t>Communication on Safe Motherhood Services</w:t>
            </w:r>
          </w:p>
        </w:tc>
        <w:tc>
          <w:tcPr>
            <w:tcW w:w="1509" w:type="dxa"/>
          </w:tcPr>
          <w:p w14:paraId="69D7CB90" w14:textId="77777777" w:rsidR="009948F1" w:rsidRDefault="00BC0563">
            <w:pPr>
              <w:pStyle w:val="TableParagraph"/>
              <w:spacing w:before="86"/>
              <w:ind w:left="26"/>
              <w:rPr>
                <w:sz w:val="13"/>
              </w:rPr>
            </w:pPr>
            <w:r>
              <w:rPr>
                <w:color w:val="231F20"/>
                <w:sz w:val="13"/>
              </w:rPr>
              <w:t>Lack of funds</w:t>
            </w:r>
          </w:p>
        </w:tc>
        <w:tc>
          <w:tcPr>
            <w:tcW w:w="1593" w:type="dxa"/>
            <w:tcBorders>
              <w:right w:val="single" w:sz="8" w:space="0" w:color="231F20"/>
            </w:tcBorders>
          </w:tcPr>
          <w:p w14:paraId="16A94475" w14:textId="77777777" w:rsidR="009948F1" w:rsidRDefault="00BC0563">
            <w:pPr>
              <w:pStyle w:val="TableParagraph"/>
              <w:spacing w:before="4"/>
              <w:ind w:left="28"/>
              <w:rPr>
                <w:sz w:val="13"/>
              </w:rPr>
            </w:pPr>
            <w:r>
              <w:rPr>
                <w:color w:val="231F20"/>
                <w:sz w:val="13"/>
              </w:rPr>
              <w:t>Advocacy to community</w:t>
            </w:r>
          </w:p>
          <w:p w14:paraId="76B3FA9E" w14:textId="77777777" w:rsidR="009948F1" w:rsidRDefault="00BC0563">
            <w:pPr>
              <w:pStyle w:val="TableParagraph"/>
              <w:spacing w:before="14" w:line="132" w:lineRule="exact"/>
              <w:ind w:left="28"/>
              <w:rPr>
                <w:sz w:val="13"/>
              </w:rPr>
            </w:pPr>
            <w:r>
              <w:rPr>
                <w:color w:val="231F20"/>
                <w:sz w:val="13"/>
              </w:rPr>
              <w:t>institutions</w:t>
            </w:r>
          </w:p>
        </w:tc>
      </w:tr>
      <w:tr w:rsidR="009948F1" w14:paraId="7AE064A5" w14:textId="77777777">
        <w:trPr>
          <w:trHeight w:val="328"/>
        </w:trPr>
        <w:tc>
          <w:tcPr>
            <w:tcW w:w="480" w:type="dxa"/>
            <w:vMerge/>
            <w:tcBorders>
              <w:top w:val="nil"/>
              <w:left w:val="single" w:sz="8" w:space="0" w:color="231F20"/>
            </w:tcBorders>
          </w:tcPr>
          <w:p w14:paraId="7F9C046B" w14:textId="77777777" w:rsidR="009948F1" w:rsidRDefault="009948F1">
            <w:pPr>
              <w:rPr>
                <w:sz w:val="2"/>
                <w:szCs w:val="2"/>
              </w:rPr>
            </w:pPr>
          </w:p>
        </w:tc>
        <w:tc>
          <w:tcPr>
            <w:tcW w:w="556" w:type="dxa"/>
          </w:tcPr>
          <w:p w14:paraId="1F62805F" w14:textId="77777777" w:rsidR="009948F1" w:rsidRDefault="00BC0563">
            <w:pPr>
              <w:pStyle w:val="TableParagraph"/>
              <w:spacing w:before="90"/>
              <w:ind w:left="30" w:right="9"/>
              <w:jc w:val="center"/>
              <w:rPr>
                <w:sz w:val="13"/>
              </w:rPr>
            </w:pPr>
            <w:r>
              <w:rPr>
                <w:color w:val="231F20"/>
                <w:sz w:val="13"/>
              </w:rPr>
              <w:t>4.1.5.d</w:t>
            </w:r>
          </w:p>
        </w:tc>
        <w:tc>
          <w:tcPr>
            <w:tcW w:w="5181" w:type="dxa"/>
            <w:gridSpan w:val="2"/>
          </w:tcPr>
          <w:p w14:paraId="20E38DF6" w14:textId="77777777" w:rsidR="009948F1" w:rsidRDefault="00BC0563">
            <w:pPr>
              <w:pStyle w:val="TableParagraph"/>
              <w:spacing w:before="85"/>
              <w:ind w:left="27"/>
              <w:rPr>
                <w:sz w:val="13"/>
              </w:rPr>
            </w:pPr>
            <w:r>
              <w:rPr>
                <w:color w:val="231F20"/>
                <w:sz w:val="13"/>
              </w:rPr>
              <w:t>Conduct orientation training for HWs on IPC skills</w:t>
            </w:r>
          </w:p>
        </w:tc>
        <w:tc>
          <w:tcPr>
            <w:tcW w:w="1509" w:type="dxa"/>
          </w:tcPr>
          <w:p w14:paraId="54C9DADA" w14:textId="77777777" w:rsidR="009948F1" w:rsidRDefault="00BC0563">
            <w:pPr>
              <w:pStyle w:val="TableParagraph"/>
              <w:spacing w:before="90"/>
              <w:ind w:left="26"/>
              <w:rPr>
                <w:sz w:val="13"/>
              </w:rPr>
            </w:pPr>
            <w:r>
              <w:rPr>
                <w:color w:val="231F20"/>
                <w:sz w:val="13"/>
              </w:rPr>
              <w:t>Lack of funds</w:t>
            </w:r>
          </w:p>
        </w:tc>
        <w:tc>
          <w:tcPr>
            <w:tcW w:w="1593" w:type="dxa"/>
            <w:tcBorders>
              <w:right w:val="single" w:sz="8" w:space="0" w:color="231F20"/>
            </w:tcBorders>
          </w:tcPr>
          <w:p w14:paraId="5EDDB7C8" w14:textId="77777777" w:rsidR="009948F1" w:rsidRDefault="00BC0563">
            <w:pPr>
              <w:pStyle w:val="TableParagraph"/>
              <w:spacing w:before="90"/>
              <w:ind w:left="28"/>
              <w:rPr>
                <w:sz w:val="13"/>
              </w:rPr>
            </w:pPr>
            <w:r>
              <w:rPr>
                <w:color w:val="231F20"/>
                <w:sz w:val="13"/>
              </w:rPr>
              <w:t>Conduct</w:t>
            </w:r>
            <w:r>
              <w:rPr>
                <w:color w:val="231F20"/>
                <w:spacing w:val="-24"/>
                <w:sz w:val="13"/>
              </w:rPr>
              <w:t xml:space="preserve"> </w:t>
            </w:r>
            <w:r>
              <w:rPr>
                <w:color w:val="231F20"/>
                <w:sz w:val="13"/>
              </w:rPr>
              <w:t>orientation</w:t>
            </w:r>
            <w:r>
              <w:rPr>
                <w:color w:val="231F20"/>
                <w:spacing w:val="-24"/>
                <w:sz w:val="13"/>
              </w:rPr>
              <w:t xml:space="preserve"> </w:t>
            </w:r>
            <w:r>
              <w:rPr>
                <w:color w:val="231F20"/>
                <w:sz w:val="13"/>
              </w:rPr>
              <w:t>training</w:t>
            </w:r>
          </w:p>
        </w:tc>
      </w:tr>
      <w:tr w:rsidR="009948F1" w14:paraId="3E7EC967" w14:textId="77777777">
        <w:trPr>
          <w:trHeight w:val="566"/>
        </w:trPr>
        <w:tc>
          <w:tcPr>
            <w:tcW w:w="480" w:type="dxa"/>
            <w:vMerge/>
            <w:tcBorders>
              <w:top w:val="nil"/>
              <w:left w:val="single" w:sz="8" w:space="0" w:color="231F20"/>
            </w:tcBorders>
          </w:tcPr>
          <w:p w14:paraId="0D820ADA" w14:textId="77777777" w:rsidR="009948F1" w:rsidRDefault="009948F1">
            <w:pPr>
              <w:rPr>
                <w:sz w:val="2"/>
                <w:szCs w:val="2"/>
              </w:rPr>
            </w:pPr>
          </w:p>
        </w:tc>
        <w:tc>
          <w:tcPr>
            <w:tcW w:w="556" w:type="dxa"/>
          </w:tcPr>
          <w:p w14:paraId="50E6F8E1" w14:textId="77777777" w:rsidR="009948F1" w:rsidRDefault="009948F1">
            <w:pPr>
              <w:pStyle w:val="TableParagraph"/>
              <w:rPr>
                <w:sz w:val="12"/>
              </w:rPr>
            </w:pPr>
          </w:p>
          <w:p w14:paraId="47E6A59B" w14:textId="77777777" w:rsidR="009948F1" w:rsidRDefault="00BC0563">
            <w:pPr>
              <w:pStyle w:val="TableParagraph"/>
              <w:spacing w:before="71"/>
              <w:ind w:left="30" w:right="9"/>
              <w:jc w:val="center"/>
              <w:rPr>
                <w:sz w:val="13"/>
              </w:rPr>
            </w:pPr>
            <w:r>
              <w:rPr>
                <w:color w:val="231F20"/>
                <w:sz w:val="13"/>
              </w:rPr>
              <w:t>4.1.5.e</w:t>
            </w:r>
          </w:p>
        </w:tc>
        <w:tc>
          <w:tcPr>
            <w:tcW w:w="5181" w:type="dxa"/>
            <w:gridSpan w:val="2"/>
          </w:tcPr>
          <w:p w14:paraId="766C0B4A" w14:textId="77777777" w:rsidR="009948F1" w:rsidRDefault="009948F1">
            <w:pPr>
              <w:pStyle w:val="TableParagraph"/>
              <w:spacing w:before="6"/>
              <w:rPr>
                <w:sz w:val="10"/>
              </w:rPr>
            </w:pPr>
          </w:p>
          <w:p w14:paraId="29FA09E0" w14:textId="17C07977" w:rsidR="009948F1" w:rsidRDefault="00B94D6C">
            <w:pPr>
              <w:pStyle w:val="TableParagraph"/>
              <w:spacing w:line="264" w:lineRule="auto"/>
              <w:ind w:left="27" w:right="348"/>
              <w:rPr>
                <w:sz w:val="13"/>
              </w:rPr>
            </w:pPr>
            <w:r>
              <w:rPr>
                <w:color w:val="231F20"/>
                <w:sz w:val="13"/>
              </w:rPr>
              <w:t>Strengthen</w:t>
            </w:r>
            <w:r w:rsidR="00BC0563">
              <w:rPr>
                <w:color w:val="231F20"/>
                <w:spacing w:val="-20"/>
                <w:sz w:val="13"/>
              </w:rPr>
              <w:t xml:space="preserve"> </w:t>
            </w:r>
            <w:r w:rsidR="00BC0563">
              <w:rPr>
                <w:color w:val="231F20"/>
                <w:sz w:val="13"/>
              </w:rPr>
              <w:t>maternal</w:t>
            </w:r>
            <w:r w:rsidR="00BC0563">
              <w:rPr>
                <w:color w:val="231F20"/>
                <w:spacing w:val="-19"/>
                <w:sz w:val="13"/>
              </w:rPr>
              <w:t xml:space="preserve"> </w:t>
            </w:r>
            <w:r w:rsidR="00BC0563">
              <w:rPr>
                <w:color w:val="231F20"/>
                <w:sz w:val="13"/>
              </w:rPr>
              <w:t>and</w:t>
            </w:r>
            <w:r w:rsidR="00BC0563">
              <w:rPr>
                <w:color w:val="231F20"/>
                <w:spacing w:val="-19"/>
                <w:sz w:val="13"/>
              </w:rPr>
              <w:t xml:space="preserve"> </w:t>
            </w:r>
            <w:r w:rsidR="00BC0563">
              <w:rPr>
                <w:color w:val="231F20"/>
                <w:sz w:val="13"/>
              </w:rPr>
              <w:t>perinatal</w:t>
            </w:r>
            <w:r w:rsidR="00BC0563">
              <w:rPr>
                <w:color w:val="231F20"/>
                <w:spacing w:val="-19"/>
                <w:sz w:val="13"/>
              </w:rPr>
              <w:t xml:space="preserve"> </w:t>
            </w:r>
            <w:r w:rsidR="00BC0563">
              <w:rPr>
                <w:color w:val="231F20"/>
                <w:sz w:val="13"/>
              </w:rPr>
              <w:t>death</w:t>
            </w:r>
            <w:r w:rsidR="00BC0563">
              <w:rPr>
                <w:color w:val="231F20"/>
                <w:spacing w:val="-19"/>
                <w:sz w:val="13"/>
              </w:rPr>
              <w:t xml:space="preserve"> </w:t>
            </w:r>
            <w:r w:rsidR="00BC0563">
              <w:rPr>
                <w:color w:val="231F20"/>
                <w:sz w:val="13"/>
              </w:rPr>
              <w:t>surveillance</w:t>
            </w:r>
            <w:r w:rsidR="00BC0563">
              <w:rPr>
                <w:color w:val="231F20"/>
                <w:spacing w:val="-19"/>
                <w:sz w:val="13"/>
              </w:rPr>
              <w:t xml:space="preserve"> </w:t>
            </w:r>
            <w:r w:rsidR="00BC0563">
              <w:rPr>
                <w:color w:val="231F20"/>
                <w:sz w:val="13"/>
              </w:rPr>
              <w:t>and</w:t>
            </w:r>
            <w:r w:rsidR="00BC0563">
              <w:rPr>
                <w:color w:val="231F20"/>
                <w:spacing w:val="-19"/>
                <w:sz w:val="13"/>
              </w:rPr>
              <w:t xml:space="preserve"> </w:t>
            </w:r>
            <w:r w:rsidR="00BC0563">
              <w:rPr>
                <w:color w:val="231F20"/>
                <w:sz w:val="13"/>
              </w:rPr>
              <w:t>response</w:t>
            </w:r>
            <w:r w:rsidR="00BC0563">
              <w:rPr>
                <w:color w:val="231F20"/>
                <w:spacing w:val="-19"/>
                <w:sz w:val="13"/>
              </w:rPr>
              <w:t xml:space="preserve"> </w:t>
            </w:r>
            <w:r w:rsidR="00BC0563">
              <w:rPr>
                <w:color w:val="231F20"/>
                <w:sz w:val="13"/>
              </w:rPr>
              <w:t>(MPDSR)</w:t>
            </w:r>
            <w:r w:rsidR="00BC0563">
              <w:rPr>
                <w:color w:val="231F20"/>
                <w:spacing w:val="-19"/>
                <w:sz w:val="13"/>
              </w:rPr>
              <w:t xml:space="preserve"> </w:t>
            </w:r>
            <w:r w:rsidR="00BC0563">
              <w:rPr>
                <w:color w:val="231F20"/>
                <w:sz w:val="13"/>
              </w:rPr>
              <w:t>through adequate</w:t>
            </w:r>
            <w:r w:rsidR="00BC0563">
              <w:rPr>
                <w:color w:val="231F20"/>
                <w:spacing w:val="-12"/>
                <w:sz w:val="13"/>
              </w:rPr>
              <w:t xml:space="preserve"> </w:t>
            </w:r>
            <w:r w:rsidR="00BC0563">
              <w:rPr>
                <w:color w:val="231F20"/>
                <w:sz w:val="13"/>
              </w:rPr>
              <w:t>monitoring</w:t>
            </w:r>
            <w:r w:rsidR="00BC0563">
              <w:rPr>
                <w:color w:val="231F20"/>
                <w:spacing w:val="-12"/>
                <w:sz w:val="13"/>
              </w:rPr>
              <w:t xml:space="preserve"> </w:t>
            </w:r>
            <w:r w:rsidR="00BC0563">
              <w:rPr>
                <w:color w:val="231F20"/>
                <w:sz w:val="13"/>
              </w:rPr>
              <w:t>&amp;</w:t>
            </w:r>
            <w:r w:rsidR="00BC0563">
              <w:rPr>
                <w:color w:val="231F20"/>
                <w:spacing w:val="-12"/>
                <w:sz w:val="13"/>
              </w:rPr>
              <w:t xml:space="preserve"> </w:t>
            </w:r>
            <w:r w:rsidR="00BC0563">
              <w:rPr>
                <w:color w:val="231F20"/>
                <w:sz w:val="13"/>
              </w:rPr>
              <w:t>evaluation</w:t>
            </w:r>
            <w:r w:rsidR="00BC0563">
              <w:rPr>
                <w:color w:val="231F20"/>
                <w:spacing w:val="-12"/>
                <w:sz w:val="13"/>
              </w:rPr>
              <w:t xml:space="preserve"> </w:t>
            </w:r>
            <w:r w:rsidR="00BC0563">
              <w:rPr>
                <w:color w:val="231F20"/>
                <w:sz w:val="13"/>
              </w:rPr>
              <w:t>to</w:t>
            </w:r>
            <w:r w:rsidR="00BC0563">
              <w:rPr>
                <w:color w:val="231F20"/>
                <w:spacing w:val="-12"/>
                <w:sz w:val="13"/>
              </w:rPr>
              <w:t xml:space="preserve"> </w:t>
            </w:r>
            <w:r w:rsidR="00BC0563">
              <w:rPr>
                <w:color w:val="231F20"/>
                <w:sz w:val="13"/>
              </w:rPr>
              <w:t>ensure</w:t>
            </w:r>
            <w:r w:rsidR="00BC0563">
              <w:rPr>
                <w:color w:val="231F20"/>
                <w:spacing w:val="-12"/>
                <w:sz w:val="13"/>
              </w:rPr>
              <w:t xml:space="preserve"> </w:t>
            </w:r>
            <w:r w:rsidR="00BC0563">
              <w:rPr>
                <w:color w:val="231F20"/>
                <w:sz w:val="13"/>
              </w:rPr>
              <w:t>coordinated</w:t>
            </w:r>
            <w:r w:rsidR="00BC0563">
              <w:rPr>
                <w:color w:val="231F20"/>
                <w:spacing w:val="-12"/>
                <w:sz w:val="13"/>
              </w:rPr>
              <w:t xml:space="preserve"> </w:t>
            </w:r>
            <w:r w:rsidR="00BC0563">
              <w:rPr>
                <w:color w:val="231F20"/>
                <w:sz w:val="13"/>
              </w:rPr>
              <w:t>referral</w:t>
            </w:r>
            <w:r w:rsidR="00BC0563">
              <w:rPr>
                <w:color w:val="231F20"/>
                <w:spacing w:val="-12"/>
                <w:sz w:val="13"/>
              </w:rPr>
              <w:t xml:space="preserve"> </w:t>
            </w:r>
            <w:r w:rsidR="00BC0563">
              <w:rPr>
                <w:color w:val="231F20"/>
                <w:sz w:val="13"/>
              </w:rPr>
              <w:t>system</w:t>
            </w:r>
            <w:r w:rsidR="00BC0563">
              <w:rPr>
                <w:color w:val="231F20"/>
                <w:spacing w:val="-12"/>
                <w:sz w:val="13"/>
              </w:rPr>
              <w:t xml:space="preserve"> </w:t>
            </w:r>
            <w:r w:rsidR="00BC0563">
              <w:rPr>
                <w:color w:val="231F20"/>
                <w:sz w:val="13"/>
              </w:rPr>
              <w:t>in</w:t>
            </w:r>
            <w:r w:rsidR="00BC0563">
              <w:rPr>
                <w:color w:val="231F20"/>
                <w:spacing w:val="-12"/>
                <w:sz w:val="13"/>
              </w:rPr>
              <w:t xml:space="preserve"> </w:t>
            </w:r>
            <w:r w:rsidR="00BC0563">
              <w:rPr>
                <w:color w:val="231F20"/>
                <w:sz w:val="13"/>
              </w:rPr>
              <w:t>the</w:t>
            </w:r>
            <w:r w:rsidR="00BC0563">
              <w:rPr>
                <w:color w:val="231F20"/>
                <w:spacing w:val="-12"/>
                <w:sz w:val="13"/>
              </w:rPr>
              <w:t xml:space="preserve"> </w:t>
            </w:r>
            <w:r w:rsidR="00BC0563">
              <w:rPr>
                <w:color w:val="231F20"/>
                <w:sz w:val="13"/>
              </w:rPr>
              <w:t>state</w:t>
            </w:r>
          </w:p>
        </w:tc>
        <w:tc>
          <w:tcPr>
            <w:tcW w:w="1509" w:type="dxa"/>
          </w:tcPr>
          <w:p w14:paraId="785990BE" w14:textId="77777777" w:rsidR="009948F1" w:rsidRDefault="009948F1">
            <w:pPr>
              <w:pStyle w:val="TableParagraph"/>
              <w:rPr>
                <w:sz w:val="12"/>
              </w:rPr>
            </w:pPr>
          </w:p>
          <w:p w14:paraId="1F12B5F9" w14:textId="77777777" w:rsidR="009948F1" w:rsidRDefault="00BC0563">
            <w:pPr>
              <w:pStyle w:val="TableParagraph"/>
              <w:spacing w:before="71"/>
              <w:ind w:left="26"/>
              <w:rPr>
                <w:sz w:val="13"/>
              </w:rPr>
            </w:pPr>
            <w:r>
              <w:rPr>
                <w:color w:val="231F20"/>
                <w:sz w:val="13"/>
              </w:rPr>
              <w:t>Lack of funds</w:t>
            </w:r>
          </w:p>
        </w:tc>
        <w:tc>
          <w:tcPr>
            <w:tcW w:w="1593" w:type="dxa"/>
            <w:tcBorders>
              <w:right w:val="single" w:sz="8" w:space="0" w:color="231F20"/>
            </w:tcBorders>
          </w:tcPr>
          <w:p w14:paraId="2BDBC921" w14:textId="77777777" w:rsidR="009948F1" w:rsidRDefault="009948F1">
            <w:pPr>
              <w:pStyle w:val="TableParagraph"/>
              <w:rPr>
                <w:sz w:val="11"/>
              </w:rPr>
            </w:pPr>
          </w:p>
          <w:p w14:paraId="29BFCF41" w14:textId="77777777" w:rsidR="009948F1" w:rsidRDefault="00BC0563">
            <w:pPr>
              <w:pStyle w:val="TableParagraph"/>
              <w:spacing w:line="264" w:lineRule="auto"/>
              <w:ind w:left="28" w:right="227"/>
              <w:rPr>
                <w:sz w:val="13"/>
              </w:rPr>
            </w:pPr>
            <w:r>
              <w:rPr>
                <w:color w:val="231F20"/>
                <w:sz w:val="13"/>
              </w:rPr>
              <w:t>Quarterly monitoring &amp; evaluation</w:t>
            </w:r>
          </w:p>
        </w:tc>
      </w:tr>
      <w:tr w:rsidR="009948F1" w14:paraId="49A53DD8" w14:textId="77777777">
        <w:trPr>
          <w:trHeight w:val="1374"/>
        </w:trPr>
        <w:tc>
          <w:tcPr>
            <w:tcW w:w="480" w:type="dxa"/>
            <w:tcBorders>
              <w:left w:val="single" w:sz="8" w:space="0" w:color="231F20"/>
            </w:tcBorders>
            <w:shd w:val="clear" w:color="auto" w:fill="CCE7D3"/>
          </w:tcPr>
          <w:p w14:paraId="210157A0" w14:textId="77777777" w:rsidR="009948F1" w:rsidRDefault="009948F1">
            <w:pPr>
              <w:pStyle w:val="TableParagraph"/>
              <w:rPr>
                <w:sz w:val="12"/>
              </w:rPr>
            </w:pPr>
          </w:p>
          <w:p w14:paraId="4B8B5B7B" w14:textId="77777777" w:rsidR="009948F1" w:rsidRDefault="009948F1">
            <w:pPr>
              <w:pStyle w:val="TableParagraph"/>
              <w:rPr>
                <w:sz w:val="12"/>
              </w:rPr>
            </w:pPr>
          </w:p>
          <w:p w14:paraId="3C416D07" w14:textId="77777777" w:rsidR="009948F1" w:rsidRDefault="009948F1">
            <w:pPr>
              <w:pStyle w:val="TableParagraph"/>
              <w:rPr>
                <w:sz w:val="12"/>
              </w:rPr>
            </w:pPr>
          </w:p>
          <w:p w14:paraId="35007C3C" w14:textId="77777777" w:rsidR="009948F1" w:rsidRDefault="009948F1">
            <w:pPr>
              <w:pStyle w:val="TableParagraph"/>
              <w:spacing w:before="3"/>
              <w:rPr>
                <w:sz w:val="17"/>
              </w:rPr>
            </w:pPr>
          </w:p>
          <w:p w14:paraId="6EAAE9B4" w14:textId="77777777" w:rsidR="009948F1" w:rsidRDefault="00BC0563">
            <w:pPr>
              <w:pStyle w:val="TableParagraph"/>
              <w:ind w:left="57"/>
              <w:rPr>
                <w:sz w:val="13"/>
              </w:rPr>
            </w:pPr>
            <w:r>
              <w:rPr>
                <w:color w:val="231F20"/>
                <w:sz w:val="13"/>
              </w:rPr>
              <w:t>4.1.7</w:t>
            </w:r>
          </w:p>
        </w:tc>
        <w:tc>
          <w:tcPr>
            <w:tcW w:w="3213" w:type="dxa"/>
            <w:gridSpan w:val="2"/>
            <w:shd w:val="clear" w:color="auto" w:fill="CCE7D3"/>
          </w:tcPr>
          <w:p w14:paraId="2DD48B6A" w14:textId="77777777" w:rsidR="009948F1" w:rsidRDefault="009948F1">
            <w:pPr>
              <w:pStyle w:val="TableParagraph"/>
              <w:rPr>
                <w:sz w:val="12"/>
              </w:rPr>
            </w:pPr>
          </w:p>
          <w:p w14:paraId="4DF52013" w14:textId="77777777" w:rsidR="009948F1" w:rsidRDefault="009948F1">
            <w:pPr>
              <w:pStyle w:val="TableParagraph"/>
              <w:rPr>
                <w:sz w:val="12"/>
              </w:rPr>
            </w:pPr>
          </w:p>
          <w:p w14:paraId="4FDC4614" w14:textId="77777777" w:rsidR="009948F1" w:rsidRDefault="009948F1">
            <w:pPr>
              <w:pStyle w:val="TableParagraph"/>
              <w:rPr>
                <w:sz w:val="12"/>
              </w:rPr>
            </w:pPr>
          </w:p>
          <w:p w14:paraId="50794A8D" w14:textId="77777777" w:rsidR="009948F1" w:rsidRDefault="009948F1">
            <w:pPr>
              <w:pStyle w:val="TableParagraph"/>
              <w:spacing w:before="9"/>
              <w:rPr>
                <w:sz w:val="16"/>
              </w:rPr>
            </w:pPr>
          </w:p>
          <w:p w14:paraId="582DE288" w14:textId="77777777" w:rsidR="009948F1" w:rsidRDefault="00BC0563">
            <w:pPr>
              <w:pStyle w:val="TableParagraph"/>
              <w:ind w:left="61"/>
              <w:rPr>
                <w:sz w:val="13"/>
              </w:rPr>
            </w:pPr>
            <w:r>
              <w:rPr>
                <w:color w:val="231F20"/>
                <w:sz w:val="13"/>
              </w:rPr>
              <w:t>Strengthen referral and feedback mechanisms</w:t>
            </w:r>
          </w:p>
        </w:tc>
        <w:tc>
          <w:tcPr>
            <w:tcW w:w="2524" w:type="dxa"/>
            <w:shd w:val="clear" w:color="auto" w:fill="CCE7D3"/>
          </w:tcPr>
          <w:p w14:paraId="7358570A" w14:textId="77777777" w:rsidR="009948F1" w:rsidRDefault="00BC0563">
            <w:pPr>
              <w:pStyle w:val="TableParagraph"/>
              <w:numPr>
                <w:ilvl w:val="0"/>
                <w:numId w:val="202"/>
              </w:numPr>
              <w:tabs>
                <w:tab w:val="left" w:pos="107"/>
              </w:tabs>
              <w:spacing w:before="38" w:line="264" w:lineRule="auto"/>
              <w:ind w:right="109" w:firstLine="0"/>
              <w:rPr>
                <w:sz w:val="13"/>
              </w:rPr>
            </w:pPr>
            <w:r>
              <w:rPr>
                <w:color w:val="231F20"/>
                <w:sz w:val="13"/>
              </w:rPr>
              <w:t>Joint</w:t>
            </w:r>
            <w:r>
              <w:rPr>
                <w:color w:val="231F20"/>
                <w:spacing w:val="-21"/>
                <w:sz w:val="13"/>
              </w:rPr>
              <w:t xml:space="preserve"> </w:t>
            </w:r>
            <w:r>
              <w:rPr>
                <w:color w:val="231F20"/>
                <w:sz w:val="13"/>
              </w:rPr>
              <w:t>Consultative</w:t>
            </w:r>
            <w:r>
              <w:rPr>
                <w:color w:val="231F20"/>
                <w:spacing w:val="-20"/>
                <w:sz w:val="13"/>
              </w:rPr>
              <w:t xml:space="preserve"> </w:t>
            </w:r>
            <w:r>
              <w:rPr>
                <w:color w:val="231F20"/>
                <w:sz w:val="13"/>
              </w:rPr>
              <w:t>Committee</w:t>
            </w:r>
            <w:r>
              <w:rPr>
                <w:color w:val="231F20"/>
                <w:spacing w:val="-20"/>
                <w:sz w:val="13"/>
              </w:rPr>
              <w:t xml:space="preserve"> </w:t>
            </w:r>
            <w:r>
              <w:rPr>
                <w:color w:val="231F20"/>
                <w:sz w:val="13"/>
              </w:rPr>
              <w:t>on</w:t>
            </w:r>
            <w:r>
              <w:rPr>
                <w:color w:val="231F20"/>
                <w:spacing w:val="-20"/>
                <w:sz w:val="13"/>
              </w:rPr>
              <w:t xml:space="preserve"> </w:t>
            </w:r>
            <w:r>
              <w:rPr>
                <w:color w:val="231F20"/>
                <w:sz w:val="13"/>
              </w:rPr>
              <w:t>Referral (JCCR) revamped &amp;</w:t>
            </w:r>
            <w:r>
              <w:rPr>
                <w:color w:val="231F20"/>
                <w:spacing w:val="-14"/>
                <w:sz w:val="13"/>
              </w:rPr>
              <w:t xml:space="preserve"> </w:t>
            </w:r>
            <w:r>
              <w:rPr>
                <w:color w:val="231F20"/>
                <w:sz w:val="13"/>
              </w:rPr>
              <w:t>functional</w:t>
            </w:r>
          </w:p>
          <w:p w14:paraId="1F102075" w14:textId="77777777" w:rsidR="009948F1" w:rsidRDefault="00BC0563">
            <w:pPr>
              <w:pStyle w:val="TableParagraph"/>
              <w:numPr>
                <w:ilvl w:val="0"/>
                <w:numId w:val="202"/>
              </w:numPr>
              <w:tabs>
                <w:tab w:val="left" w:pos="105"/>
              </w:tabs>
              <w:spacing w:line="264" w:lineRule="auto"/>
              <w:ind w:right="42" w:firstLine="0"/>
              <w:rPr>
                <w:sz w:val="13"/>
              </w:rPr>
            </w:pPr>
            <w:r>
              <w:rPr>
                <w:color w:val="231F20"/>
                <w:spacing w:val="-3"/>
                <w:sz w:val="13"/>
              </w:rPr>
              <w:t>Two</w:t>
            </w:r>
            <w:r>
              <w:rPr>
                <w:color w:val="231F20"/>
                <w:spacing w:val="-14"/>
                <w:sz w:val="13"/>
              </w:rPr>
              <w:t xml:space="preserve"> </w:t>
            </w:r>
            <w:r>
              <w:rPr>
                <w:color w:val="231F20"/>
                <w:sz w:val="13"/>
              </w:rPr>
              <w:t>model</w:t>
            </w:r>
            <w:r>
              <w:rPr>
                <w:color w:val="231F20"/>
                <w:spacing w:val="-14"/>
                <w:sz w:val="13"/>
              </w:rPr>
              <w:t xml:space="preserve"> </w:t>
            </w:r>
            <w:r>
              <w:rPr>
                <w:color w:val="231F20"/>
                <w:sz w:val="13"/>
              </w:rPr>
              <w:t>referral</w:t>
            </w:r>
            <w:r>
              <w:rPr>
                <w:color w:val="231F20"/>
                <w:spacing w:val="-14"/>
                <w:sz w:val="13"/>
              </w:rPr>
              <w:t xml:space="preserve"> </w:t>
            </w:r>
            <w:r>
              <w:rPr>
                <w:color w:val="231F20"/>
                <w:sz w:val="13"/>
              </w:rPr>
              <w:t>systems</w:t>
            </w:r>
            <w:r>
              <w:rPr>
                <w:color w:val="231F20"/>
                <w:spacing w:val="-14"/>
                <w:sz w:val="13"/>
              </w:rPr>
              <w:t xml:space="preserve"> </w:t>
            </w:r>
            <w:r>
              <w:rPr>
                <w:color w:val="231F20"/>
                <w:sz w:val="13"/>
              </w:rPr>
              <w:t>in</w:t>
            </w:r>
            <w:r>
              <w:rPr>
                <w:color w:val="231F20"/>
                <w:spacing w:val="-14"/>
                <w:sz w:val="13"/>
              </w:rPr>
              <w:t xml:space="preserve"> </w:t>
            </w:r>
            <w:r>
              <w:rPr>
                <w:color w:val="231F20"/>
                <w:sz w:val="13"/>
              </w:rPr>
              <w:t>riverine</w:t>
            </w:r>
            <w:r>
              <w:rPr>
                <w:color w:val="231F20"/>
                <w:spacing w:val="-14"/>
                <w:sz w:val="13"/>
              </w:rPr>
              <w:t xml:space="preserve"> </w:t>
            </w:r>
            <w:r>
              <w:rPr>
                <w:color w:val="231F20"/>
                <w:sz w:val="13"/>
              </w:rPr>
              <w:t>and upland</w:t>
            </w:r>
            <w:r>
              <w:rPr>
                <w:color w:val="231F20"/>
                <w:spacing w:val="-15"/>
                <w:sz w:val="13"/>
              </w:rPr>
              <w:t xml:space="preserve"> </w:t>
            </w:r>
            <w:r>
              <w:rPr>
                <w:color w:val="231F20"/>
                <w:sz w:val="13"/>
              </w:rPr>
              <w:t>communities</w:t>
            </w:r>
            <w:r>
              <w:rPr>
                <w:color w:val="231F20"/>
                <w:spacing w:val="-14"/>
                <w:sz w:val="13"/>
              </w:rPr>
              <w:t xml:space="preserve"> </w:t>
            </w:r>
            <w:r>
              <w:rPr>
                <w:color w:val="231F20"/>
                <w:sz w:val="13"/>
              </w:rPr>
              <w:t>equipped</w:t>
            </w:r>
            <w:r>
              <w:rPr>
                <w:color w:val="231F20"/>
                <w:spacing w:val="-14"/>
                <w:sz w:val="13"/>
              </w:rPr>
              <w:t xml:space="preserve"> </w:t>
            </w:r>
            <w:r>
              <w:rPr>
                <w:color w:val="231F20"/>
                <w:sz w:val="13"/>
              </w:rPr>
              <w:t>&amp;</w:t>
            </w:r>
            <w:r>
              <w:rPr>
                <w:color w:val="231F20"/>
                <w:spacing w:val="-15"/>
                <w:sz w:val="13"/>
              </w:rPr>
              <w:t xml:space="preserve"> </w:t>
            </w:r>
            <w:r>
              <w:rPr>
                <w:color w:val="231F20"/>
                <w:sz w:val="13"/>
              </w:rPr>
              <w:t>functional</w:t>
            </w:r>
          </w:p>
          <w:p w14:paraId="48B9EBDD" w14:textId="77777777" w:rsidR="009948F1" w:rsidRDefault="00BC0563">
            <w:pPr>
              <w:pStyle w:val="TableParagraph"/>
              <w:numPr>
                <w:ilvl w:val="0"/>
                <w:numId w:val="202"/>
              </w:numPr>
              <w:tabs>
                <w:tab w:val="left" w:pos="100"/>
              </w:tabs>
              <w:spacing w:line="264" w:lineRule="auto"/>
              <w:ind w:right="461" w:firstLine="0"/>
              <w:rPr>
                <w:sz w:val="13"/>
              </w:rPr>
            </w:pPr>
            <w:r>
              <w:rPr>
                <w:color w:val="231F20"/>
                <w:sz w:val="13"/>
              </w:rPr>
              <w:t>At</w:t>
            </w:r>
            <w:r>
              <w:rPr>
                <w:color w:val="231F20"/>
                <w:spacing w:val="-11"/>
                <w:sz w:val="13"/>
              </w:rPr>
              <w:t xml:space="preserve"> </w:t>
            </w:r>
            <w:r>
              <w:rPr>
                <w:color w:val="231F20"/>
                <w:sz w:val="13"/>
              </w:rPr>
              <w:t>least</w:t>
            </w:r>
            <w:r>
              <w:rPr>
                <w:color w:val="231F20"/>
                <w:spacing w:val="-11"/>
                <w:sz w:val="13"/>
              </w:rPr>
              <w:t xml:space="preserve"> </w:t>
            </w:r>
            <w:r>
              <w:rPr>
                <w:color w:val="231F20"/>
                <w:sz w:val="13"/>
              </w:rPr>
              <w:t>100</w:t>
            </w:r>
            <w:r>
              <w:rPr>
                <w:color w:val="231F20"/>
                <w:spacing w:val="-11"/>
                <w:sz w:val="13"/>
              </w:rPr>
              <w:t xml:space="preserve"> </w:t>
            </w:r>
            <w:r>
              <w:rPr>
                <w:color w:val="231F20"/>
                <w:sz w:val="13"/>
              </w:rPr>
              <w:t>facility</w:t>
            </w:r>
            <w:r>
              <w:rPr>
                <w:color w:val="231F20"/>
                <w:spacing w:val="-11"/>
                <w:sz w:val="13"/>
              </w:rPr>
              <w:t xml:space="preserve"> </w:t>
            </w:r>
            <w:r>
              <w:rPr>
                <w:color w:val="231F20"/>
                <w:sz w:val="13"/>
              </w:rPr>
              <w:t>staff</w:t>
            </w:r>
            <w:r>
              <w:rPr>
                <w:color w:val="231F20"/>
                <w:spacing w:val="-11"/>
                <w:sz w:val="13"/>
              </w:rPr>
              <w:t xml:space="preserve"> </w:t>
            </w:r>
            <w:r>
              <w:rPr>
                <w:color w:val="231F20"/>
                <w:sz w:val="13"/>
              </w:rPr>
              <w:t>trained</w:t>
            </w:r>
            <w:r>
              <w:rPr>
                <w:color w:val="231F20"/>
                <w:spacing w:val="15"/>
                <w:sz w:val="13"/>
              </w:rPr>
              <w:t xml:space="preserve"> </w:t>
            </w:r>
            <w:r>
              <w:rPr>
                <w:color w:val="231F20"/>
                <w:sz w:val="13"/>
              </w:rPr>
              <w:t>on Referral</w:t>
            </w:r>
            <w:r>
              <w:rPr>
                <w:color w:val="231F20"/>
                <w:spacing w:val="-3"/>
                <w:sz w:val="13"/>
              </w:rPr>
              <w:t xml:space="preserve"> </w:t>
            </w:r>
            <w:r>
              <w:rPr>
                <w:color w:val="231F20"/>
                <w:sz w:val="13"/>
              </w:rPr>
              <w:t>Forms</w:t>
            </w:r>
          </w:p>
          <w:p w14:paraId="1F9A6271" w14:textId="77777777" w:rsidR="009948F1" w:rsidRDefault="00BC0563">
            <w:pPr>
              <w:pStyle w:val="TableParagraph"/>
              <w:numPr>
                <w:ilvl w:val="0"/>
                <w:numId w:val="202"/>
              </w:numPr>
              <w:tabs>
                <w:tab w:val="left" w:pos="100"/>
              </w:tabs>
              <w:spacing w:line="264" w:lineRule="auto"/>
              <w:ind w:right="88" w:firstLine="0"/>
              <w:rPr>
                <w:sz w:val="13"/>
              </w:rPr>
            </w:pPr>
            <w:r>
              <w:rPr>
                <w:color w:val="231F20"/>
                <w:sz w:val="13"/>
              </w:rPr>
              <w:t>At</w:t>
            </w:r>
            <w:r>
              <w:rPr>
                <w:color w:val="231F20"/>
                <w:spacing w:val="-15"/>
                <w:sz w:val="13"/>
              </w:rPr>
              <w:t xml:space="preserve"> </w:t>
            </w:r>
            <w:r>
              <w:rPr>
                <w:color w:val="231F20"/>
                <w:sz w:val="13"/>
              </w:rPr>
              <w:t>least</w:t>
            </w:r>
            <w:r>
              <w:rPr>
                <w:color w:val="231F20"/>
                <w:spacing w:val="-14"/>
                <w:sz w:val="13"/>
              </w:rPr>
              <w:t xml:space="preserve"> </w:t>
            </w:r>
            <w:r>
              <w:rPr>
                <w:color w:val="231F20"/>
                <w:sz w:val="13"/>
              </w:rPr>
              <w:t>50%</w:t>
            </w:r>
            <w:r>
              <w:rPr>
                <w:color w:val="231F20"/>
                <w:spacing w:val="-14"/>
                <w:sz w:val="13"/>
              </w:rPr>
              <w:t xml:space="preserve"> </w:t>
            </w:r>
            <w:r>
              <w:rPr>
                <w:color w:val="231F20"/>
                <w:sz w:val="13"/>
              </w:rPr>
              <w:t>logistics</w:t>
            </w:r>
            <w:r>
              <w:rPr>
                <w:color w:val="231F20"/>
                <w:spacing w:val="-14"/>
                <w:sz w:val="13"/>
              </w:rPr>
              <w:t xml:space="preserve"> </w:t>
            </w:r>
            <w:r>
              <w:rPr>
                <w:color w:val="231F20"/>
                <w:sz w:val="13"/>
              </w:rPr>
              <w:t>provided</w:t>
            </w:r>
            <w:r>
              <w:rPr>
                <w:color w:val="231F20"/>
                <w:spacing w:val="-14"/>
                <w:sz w:val="13"/>
              </w:rPr>
              <w:t xml:space="preserve"> </w:t>
            </w:r>
            <w:r>
              <w:rPr>
                <w:color w:val="231F20"/>
                <w:sz w:val="13"/>
              </w:rPr>
              <w:t>for</w:t>
            </w:r>
            <w:r>
              <w:rPr>
                <w:color w:val="231F20"/>
                <w:spacing w:val="-14"/>
                <w:sz w:val="13"/>
              </w:rPr>
              <w:t xml:space="preserve"> </w:t>
            </w:r>
            <w:r>
              <w:rPr>
                <w:color w:val="231F20"/>
                <w:sz w:val="13"/>
              </w:rPr>
              <w:t>referral services</w:t>
            </w:r>
          </w:p>
        </w:tc>
        <w:tc>
          <w:tcPr>
            <w:tcW w:w="1509" w:type="dxa"/>
            <w:tcBorders>
              <w:right w:val="single" w:sz="12" w:space="0" w:color="231F20"/>
            </w:tcBorders>
            <w:shd w:val="clear" w:color="auto" w:fill="CCE7D3"/>
          </w:tcPr>
          <w:p w14:paraId="00BF44C6" w14:textId="77777777" w:rsidR="009948F1" w:rsidRDefault="009948F1">
            <w:pPr>
              <w:pStyle w:val="TableParagraph"/>
              <w:rPr>
                <w:rFonts w:ascii="Times New Roman"/>
                <w:sz w:val="12"/>
              </w:rPr>
            </w:pPr>
          </w:p>
        </w:tc>
        <w:tc>
          <w:tcPr>
            <w:tcW w:w="1593" w:type="dxa"/>
            <w:tcBorders>
              <w:left w:val="single" w:sz="12" w:space="0" w:color="231F20"/>
              <w:right w:val="single" w:sz="8" w:space="0" w:color="231F20"/>
            </w:tcBorders>
            <w:shd w:val="clear" w:color="auto" w:fill="CCE7D3"/>
          </w:tcPr>
          <w:p w14:paraId="44BE0A7D" w14:textId="77777777" w:rsidR="009948F1" w:rsidRDefault="009948F1">
            <w:pPr>
              <w:pStyle w:val="TableParagraph"/>
              <w:rPr>
                <w:rFonts w:ascii="Times New Roman"/>
                <w:sz w:val="12"/>
              </w:rPr>
            </w:pPr>
          </w:p>
        </w:tc>
      </w:tr>
      <w:tr w:rsidR="009948F1" w14:paraId="47C0ED63" w14:textId="77777777">
        <w:trPr>
          <w:trHeight w:val="461"/>
        </w:trPr>
        <w:tc>
          <w:tcPr>
            <w:tcW w:w="480" w:type="dxa"/>
            <w:vMerge w:val="restart"/>
            <w:tcBorders>
              <w:left w:val="single" w:sz="8" w:space="0" w:color="231F20"/>
            </w:tcBorders>
          </w:tcPr>
          <w:p w14:paraId="63426401" w14:textId="77777777" w:rsidR="009948F1" w:rsidRDefault="009948F1">
            <w:pPr>
              <w:pStyle w:val="TableParagraph"/>
              <w:rPr>
                <w:rFonts w:ascii="Times New Roman"/>
                <w:sz w:val="12"/>
              </w:rPr>
            </w:pPr>
          </w:p>
        </w:tc>
        <w:tc>
          <w:tcPr>
            <w:tcW w:w="556" w:type="dxa"/>
          </w:tcPr>
          <w:p w14:paraId="050360B8" w14:textId="77777777" w:rsidR="009948F1" w:rsidRDefault="009948F1">
            <w:pPr>
              <w:pStyle w:val="TableParagraph"/>
              <w:spacing w:before="8"/>
              <w:rPr>
                <w:sz w:val="13"/>
              </w:rPr>
            </w:pPr>
          </w:p>
          <w:p w14:paraId="6DA22AF6" w14:textId="77777777" w:rsidR="009948F1" w:rsidRDefault="00BC0563">
            <w:pPr>
              <w:pStyle w:val="TableParagraph"/>
              <w:ind w:left="30" w:right="9"/>
              <w:jc w:val="center"/>
              <w:rPr>
                <w:sz w:val="13"/>
              </w:rPr>
            </w:pPr>
            <w:r>
              <w:rPr>
                <w:color w:val="231F20"/>
                <w:sz w:val="13"/>
              </w:rPr>
              <w:t>4.1.7.a</w:t>
            </w:r>
          </w:p>
        </w:tc>
        <w:tc>
          <w:tcPr>
            <w:tcW w:w="5181" w:type="dxa"/>
            <w:gridSpan w:val="2"/>
          </w:tcPr>
          <w:p w14:paraId="01572172" w14:textId="77777777" w:rsidR="009948F1" w:rsidRDefault="00BC0563">
            <w:pPr>
              <w:pStyle w:val="TableParagraph"/>
              <w:spacing w:before="69" w:line="264" w:lineRule="auto"/>
              <w:ind w:left="27" w:right="176"/>
              <w:rPr>
                <w:sz w:val="13"/>
              </w:rPr>
            </w:pPr>
            <w:r>
              <w:rPr>
                <w:color w:val="231F20"/>
                <w:sz w:val="13"/>
              </w:rPr>
              <w:t>Revamp</w:t>
            </w:r>
            <w:r>
              <w:rPr>
                <w:color w:val="231F20"/>
                <w:spacing w:val="-17"/>
                <w:sz w:val="13"/>
              </w:rPr>
              <w:t xml:space="preserve"> </w:t>
            </w:r>
            <w:r>
              <w:rPr>
                <w:color w:val="231F20"/>
                <w:sz w:val="13"/>
              </w:rPr>
              <w:t>Joint</w:t>
            </w:r>
            <w:r>
              <w:rPr>
                <w:color w:val="231F20"/>
                <w:spacing w:val="-16"/>
                <w:sz w:val="13"/>
              </w:rPr>
              <w:t xml:space="preserve"> </w:t>
            </w:r>
            <w:r>
              <w:rPr>
                <w:color w:val="231F20"/>
                <w:sz w:val="13"/>
              </w:rPr>
              <w:t>Consultative</w:t>
            </w:r>
            <w:r>
              <w:rPr>
                <w:color w:val="231F20"/>
                <w:spacing w:val="-16"/>
                <w:sz w:val="13"/>
              </w:rPr>
              <w:t xml:space="preserve"> </w:t>
            </w:r>
            <w:r>
              <w:rPr>
                <w:color w:val="231F20"/>
                <w:sz w:val="13"/>
              </w:rPr>
              <w:t>Committee</w:t>
            </w:r>
            <w:r>
              <w:rPr>
                <w:color w:val="231F20"/>
                <w:spacing w:val="-17"/>
                <w:sz w:val="13"/>
              </w:rPr>
              <w:t xml:space="preserve"> </w:t>
            </w:r>
            <w:r>
              <w:rPr>
                <w:color w:val="231F20"/>
                <w:sz w:val="13"/>
              </w:rPr>
              <w:t>on</w:t>
            </w:r>
            <w:r>
              <w:rPr>
                <w:color w:val="231F20"/>
                <w:spacing w:val="-16"/>
                <w:sz w:val="13"/>
              </w:rPr>
              <w:t xml:space="preserve"> </w:t>
            </w:r>
            <w:r>
              <w:rPr>
                <w:color w:val="231F20"/>
                <w:sz w:val="13"/>
              </w:rPr>
              <w:t>Referral</w:t>
            </w:r>
            <w:r>
              <w:rPr>
                <w:color w:val="231F20"/>
                <w:spacing w:val="-16"/>
                <w:sz w:val="13"/>
              </w:rPr>
              <w:t xml:space="preserve"> </w:t>
            </w:r>
            <w:r>
              <w:rPr>
                <w:color w:val="231F20"/>
                <w:sz w:val="13"/>
              </w:rPr>
              <w:t>(JCCR)</w:t>
            </w:r>
            <w:r>
              <w:rPr>
                <w:color w:val="231F20"/>
                <w:spacing w:val="-17"/>
                <w:sz w:val="13"/>
              </w:rPr>
              <w:t xml:space="preserve"> </w:t>
            </w:r>
            <w:r>
              <w:rPr>
                <w:color w:val="231F20"/>
                <w:sz w:val="13"/>
              </w:rPr>
              <w:t>to</w:t>
            </w:r>
            <w:r>
              <w:rPr>
                <w:color w:val="231F20"/>
                <w:spacing w:val="-16"/>
                <w:sz w:val="13"/>
              </w:rPr>
              <w:t xml:space="preserve"> </w:t>
            </w:r>
            <w:r>
              <w:rPr>
                <w:color w:val="231F20"/>
                <w:sz w:val="13"/>
              </w:rPr>
              <w:t>oversee</w:t>
            </w:r>
            <w:r>
              <w:rPr>
                <w:color w:val="231F20"/>
                <w:spacing w:val="-16"/>
                <w:sz w:val="13"/>
              </w:rPr>
              <w:t xml:space="preserve"> </w:t>
            </w:r>
            <w:r>
              <w:rPr>
                <w:color w:val="231F20"/>
                <w:sz w:val="13"/>
              </w:rPr>
              <w:t>referral</w:t>
            </w:r>
            <w:r>
              <w:rPr>
                <w:color w:val="231F20"/>
                <w:spacing w:val="-17"/>
                <w:sz w:val="13"/>
              </w:rPr>
              <w:t xml:space="preserve"> </w:t>
            </w:r>
            <w:r>
              <w:rPr>
                <w:color w:val="231F20"/>
                <w:sz w:val="13"/>
              </w:rPr>
              <w:t>activities</w:t>
            </w:r>
            <w:r>
              <w:rPr>
                <w:color w:val="231F20"/>
                <w:spacing w:val="-16"/>
                <w:sz w:val="13"/>
              </w:rPr>
              <w:t xml:space="preserve"> </w:t>
            </w:r>
            <w:r>
              <w:rPr>
                <w:color w:val="231F20"/>
                <w:sz w:val="13"/>
              </w:rPr>
              <w:t>in the</w:t>
            </w:r>
            <w:r>
              <w:rPr>
                <w:color w:val="231F20"/>
                <w:spacing w:val="-3"/>
                <w:sz w:val="13"/>
              </w:rPr>
              <w:t xml:space="preserve"> </w:t>
            </w:r>
            <w:r>
              <w:rPr>
                <w:color w:val="231F20"/>
                <w:sz w:val="13"/>
              </w:rPr>
              <w:t>state</w:t>
            </w:r>
          </w:p>
        </w:tc>
        <w:tc>
          <w:tcPr>
            <w:tcW w:w="1509" w:type="dxa"/>
          </w:tcPr>
          <w:p w14:paraId="06AAD27B" w14:textId="77777777" w:rsidR="009948F1" w:rsidRDefault="009948F1">
            <w:pPr>
              <w:pStyle w:val="TableParagraph"/>
              <w:spacing w:before="8"/>
              <w:rPr>
                <w:sz w:val="13"/>
              </w:rPr>
            </w:pPr>
          </w:p>
          <w:p w14:paraId="625977C6"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1D54CA05" w14:textId="77777777" w:rsidR="009948F1" w:rsidRDefault="009948F1">
            <w:pPr>
              <w:pStyle w:val="TableParagraph"/>
              <w:spacing w:before="8"/>
              <w:rPr>
                <w:sz w:val="13"/>
              </w:rPr>
            </w:pPr>
          </w:p>
          <w:p w14:paraId="58D6E94C" w14:textId="77777777" w:rsidR="009948F1" w:rsidRDefault="00BC0563">
            <w:pPr>
              <w:pStyle w:val="TableParagraph"/>
              <w:ind w:left="28"/>
              <w:rPr>
                <w:sz w:val="13"/>
              </w:rPr>
            </w:pPr>
            <w:r>
              <w:rPr>
                <w:color w:val="231F20"/>
                <w:sz w:val="13"/>
              </w:rPr>
              <w:t>Revamp JCCR</w:t>
            </w:r>
          </w:p>
        </w:tc>
      </w:tr>
      <w:tr w:rsidR="009948F1" w14:paraId="5D4CCC3D" w14:textId="77777777">
        <w:trPr>
          <w:trHeight w:val="518"/>
        </w:trPr>
        <w:tc>
          <w:tcPr>
            <w:tcW w:w="480" w:type="dxa"/>
            <w:vMerge/>
            <w:tcBorders>
              <w:top w:val="nil"/>
              <w:left w:val="single" w:sz="8" w:space="0" w:color="231F20"/>
            </w:tcBorders>
          </w:tcPr>
          <w:p w14:paraId="4F5FD491" w14:textId="77777777" w:rsidR="009948F1" w:rsidRDefault="009948F1">
            <w:pPr>
              <w:rPr>
                <w:sz w:val="2"/>
                <w:szCs w:val="2"/>
              </w:rPr>
            </w:pPr>
          </w:p>
        </w:tc>
        <w:tc>
          <w:tcPr>
            <w:tcW w:w="556" w:type="dxa"/>
          </w:tcPr>
          <w:p w14:paraId="2A6AA435" w14:textId="77777777" w:rsidR="009948F1" w:rsidRDefault="009948F1">
            <w:pPr>
              <w:pStyle w:val="TableParagraph"/>
              <w:spacing w:before="1"/>
              <w:rPr>
                <w:sz w:val="16"/>
              </w:rPr>
            </w:pPr>
          </w:p>
          <w:p w14:paraId="582A3D73" w14:textId="77777777" w:rsidR="009948F1" w:rsidRDefault="00BC0563">
            <w:pPr>
              <w:pStyle w:val="TableParagraph"/>
              <w:ind w:left="30" w:right="9"/>
              <w:jc w:val="center"/>
              <w:rPr>
                <w:sz w:val="13"/>
              </w:rPr>
            </w:pPr>
            <w:r>
              <w:rPr>
                <w:color w:val="231F20"/>
                <w:sz w:val="13"/>
              </w:rPr>
              <w:t>4.1.7.b</w:t>
            </w:r>
          </w:p>
        </w:tc>
        <w:tc>
          <w:tcPr>
            <w:tcW w:w="5181" w:type="dxa"/>
            <w:gridSpan w:val="2"/>
          </w:tcPr>
          <w:p w14:paraId="67844775" w14:textId="083048E6" w:rsidR="009948F1" w:rsidRDefault="00BC0563">
            <w:pPr>
              <w:pStyle w:val="TableParagraph"/>
              <w:spacing w:before="5" w:line="160" w:lineRule="atLeast"/>
              <w:ind w:left="27" w:right="339"/>
              <w:rPr>
                <w:sz w:val="13"/>
              </w:rPr>
            </w:pPr>
            <w:r>
              <w:rPr>
                <w:color w:val="231F20"/>
                <w:sz w:val="13"/>
              </w:rPr>
              <w:t>Operating</w:t>
            </w:r>
            <w:r>
              <w:rPr>
                <w:color w:val="231F20"/>
                <w:spacing w:val="-15"/>
                <w:sz w:val="13"/>
              </w:rPr>
              <w:t xml:space="preserve"> </w:t>
            </w:r>
            <w:r>
              <w:rPr>
                <w:color w:val="231F20"/>
                <w:sz w:val="13"/>
              </w:rPr>
              <w:t>cost</w:t>
            </w:r>
            <w:r>
              <w:rPr>
                <w:color w:val="231F20"/>
                <w:spacing w:val="-15"/>
                <w:sz w:val="13"/>
              </w:rPr>
              <w:t xml:space="preserve"> </w:t>
            </w:r>
            <w:r>
              <w:rPr>
                <w:color w:val="231F20"/>
                <w:sz w:val="13"/>
              </w:rPr>
              <w:t>for</w:t>
            </w:r>
            <w:r>
              <w:rPr>
                <w:color w:val="231F20"/>
                <w:spacing w:val="-15"/>
                <w:sz w:val="13"/>
              </w:rPr>
              <w:t xml:space="preserve"> </w:t>
            </w:r>
            <w:r>
              <w:rPr>
                <w:color w:val="231F20"/>
                <w:sz w:val="13"/>
              </w:rPr>
              <w:t>engaging</w:t>
            </w:r>
            <w:r>
              <w:rPr>
                <w:color w:val="231F20"/>
                <w:spacing w:val="-15"/>
                <w:sz w:val="13"/>
              </w:rPr>
              <w:t xml:space="preserve"> </w:t>
            </w:r>
            <w:r>
              <w:rPr>
                <w:color w:val="231F20"/>
                <w:sz w:val="13"/>
              </w:rPr>
              <w:t>and</w:t>
            </w:r>
            <w:r>
              <w:rPr>
                <w:color w:val="231F20"/>
                <w:spacing w:val="-14"/>
                <w:sz w:val="13"/>
              </w:rPr>
              <w:t xml:space="preserve"> </w:t>
            </w:r>
            <w:r>
              <w:rPr>
                <w:color w:val="231F20"/>
                <w:sz w:val="13"/>
              </w:rPr>
              <w:t>supervising</w:t>
            </w:r>
            <w:r>
              <w:rPr>
                <w:color w:val="231F20"/>
                <w:spacing w:val="-15"/>
                <w:sz w:val="13"/>
              </w:rPr>
              <w:t xml:space="preserve"> </w:t>
            </w:r>
            <w:r>
              <w:rPr>
                <w:color w:val="231F20"/>
                <w:sz w:val="13"/>
              </w:rPr>
              <w:t>the</w:t>
            </w:r>
            <w:r>
              <w:rPr>
                <w:color w:val="231F20"/>
                <w:spacing w:val="-15"/>
                <w:sz w:val="13"/>
              </w:rPr>
              <w:t xml:space="preserve"> </w:t>
            </w:r>
            <w:r>
              <w:rPr>
                <w:color w:val="231F20"/>
                <w:sz w:val="13"/>
              </w:rPr>
              <w:t>contractor</w:t>
            </w:r>
            <w:r>
              <w:rPr>
                <w:color w:val="231F20"/>
                <w:spacing w:val="-15"/>
                <w:sz w:val="13"/>
              </w:rPr>
              <w:t xml:space="preserve"> </w:t>
            </w:r>
            <w:r>
              <w:rPr>
                <w:color w:val="231F20"/>
                <w:sz w:val="13"/>
              </w:rPr>
              <w:t>to</w:t>
            </w:r>
            <w:r>
              <w:rPr>
                <w:color w:val="231F20"/>
                <w:spacing w:val="-14"/>
                <w:sz w:val="13"/>
              </w:rPr>
              <w:t xml:space="preserve"> </w:t>
            </w:r>
            <w:r>
              <w:rPr>
                <w:color w:val="231F20"/>
                <w:sz w:val="13"/>
              </w:rPr>
              <w:t>equip</w:t>
            </w:r>
            <w:r>
              <w:rPr>
                <w:color w:val="231F20"/>
                <w:spacing w:val="-15"/>
                <w:sz w:val="13"/>
              </w:rPr>
              <w:t xml:space="preserve"> </w:t>
            </w:r>
            <w:r>
              <w:rPr>
                <w:color w:val="231F20"/>
                <w:sz w:val="13"/>
              </w:rPr>
              <w:t>two</w:t>
            </w:r>
            <w:r>
              <w:rPr>
                <w:color w:val="231F20"/>
                <w:spacing w:val="-15"/>
                <w:sz w:val="13"/>
              </w:rPr>
              <w:t xml:space="preserve"> </w:t>
            </w:r>
            <w:r>
              <w:rPr>
                <w:color w:val="231F20"/>
                <w:sz w:val="13"/>
              </w:rPr>
              <w:t>model</w:t>
            </w:r>
            <w:r>
              <w:rPr>
                <w:color w:val="231F20"/>
                <w:spacing w:val="-15"/>
                <w:sz w:val="13"/>
              </w:rPr>
              <w:t xml:space="preserve"> </w:t>
            </w:r>
            <w:r>
              <w:rPr>
                <w:color w:val="231F20"/>
                <w:sz w:val="13"/>
              </w:rPr>
              <w:t>referral systems</w:t>
            </w:r>
            <w:r>
              <w:rPr>
                <w:color w:val="231F20"/>
                <w:spacing w:val="-12"/>
                <w:sz w:val="13"/>
              </w:rPr>
              <w:t xml:space="preserve"> </w:t>
            </w:r>
            <w:r>
              <w:rPr>
                <w:color w:val="231F20"/>
                <w:sz w:val="13"/>
              </w:rPr>
              <w:t>in</w:t>
            </w:r>
            <w:r>
              <w:rPr>
                <w:color w:val="231F20"/>
                <w:spacing w:val="-11"/>
                <w:sz w:val="13"/>
              </w:rPr>
              <w:t xml:space="preserve"> </w:t>
            </w:r>
            <w:r>
              <w:rPr>
                <w:color w:val="231F20"/>
                <w:sz w:val="13"/>
              </w:rPr>
              <w:t>a</w:t>
            </w:r>
            <w:r>
              <w:rPr>
                <w:color w:val="231F20"/>
                <w:spacing w:val="-12"/>
                <w:sz w:val="13"/>
              </w:rPr>
              <w:t xml:space="preserve"> </w:t>
            </w:r>
            <w:r>
              <w:rPr>
                <w:color w:val="231F20"/>
                <w:sz w:val="13"/>
              </w:rPr>
              <w:t>predominantly</w:t>
            </w:r>
            <w:r>
              <w:rPr>
                <w:color w:val="231F20"/>
                <w:spacing w:val="-11"/>
                <w:sz w:val="13"/>
              </w:rPr>
              <w:t xml:space="preserve"> </w:t>
            </w:r>
            <w:r w:rsidR="00B94D6C">
              <w:rPr>
                <w:color w:val="231F20"/>
                <w:sz w:val="13"/>
              </w:rPr>
              <w:t>riverine</w:t>
            </w:r>
            <w:r>
              <w:rPr>
                <w:color w:val="231F20"/>
                <w:spacing w:val="-12"/>
                <w:sz w:val="13"/>
              </w:rPr>
              <w:t xml:space="preserve"> </w:t>
            </w:r>
            <w:r>
              <w:rPr>
                <w:color w:val="231F20"/>
                <w:sz w:val="13"/>
              </w:rPr>
              <w:t>and</w:t>
            </w:r>
            <w:r>
              <w:rPr>
                <w:color w:val="231F20"/>
                <w:spacing w:val="-11"/>
                <w:sz w:val="13"/>
              </w:rPr>
              <w:t xml:space="preserve"> </w:t>
            </w:r>
            <w:r>
              <w:rPr>
                <w:color w:val="231F20"/>
                <w:sz w:val="13"/>
              </w:rPr>
              <w:t>upland</w:t>
            </w:r>
            <w:r>
              <w:rPr>
                <w:color w:val="231F20"/>
                <w:spacing w:val="-12"/>
                <w:sz w:val="13"/>
              </w:rPr>
              <w:t xml:space="preserve"> </w:t>
            </w:r>
            <w:r>
              <w:rPr>
                <w:color w:val="231F20"/>
                <w:sz w:val="13"/>
              </w:rPr>
              <w:t>communities</w:t>
            </w:r>
            <w:r>
              <w:rPr>
                <w:color w:val="231F20"/>
                <w:spacing w:val="-11"/>
                <w:sz w:val="13"/>
              </w:rPr>
              <w:t xml:space="preserve"> </w:t>
            </w:r>
            <w:r>
              <w:rPr>
                <w:color w:val="231F20"/>
                <w:sz w:val="13"/>
              </w:rPr>
              <w:t>in</w:t>
            </w:r>
            <w:r>
              <w:rPr>
                <w:color w:val="231F20"/>
                <w:spacing w:val="-12"/>
                <w:sz w:val="13"/>
              </w:rPr>
              <w:t xml:space="preserve"> </w:t>
            </w:r>
            <w:r>
              <w:rPr>
                <w:color w:val="231F20"/>
                <w:sz w:val="13"/>
              </w:rPr>
              <w:t>the</w:t>
            </w:r>
            <w:r>
              <w:rPr>
                <w:color w:val="231F20"/>
                <w:spacing w:val="-11"/>
                <w:sz w:val="13"/>
              </w:rPr>
              <w:t xml:space="preserve"> </w:t>
            </w:r>
            <w:r>
              <w:rPr>
                <w:color w:val="231F20"/>
                <w:sz w:val="13"/>
              </w:rPr>
              <w:t>State.</w:t>
            </w:r>
            <w:r>
              <w:rPr>
                <w:color w:val="231F20"/>
                <w:spacing w:val="-12"/>
                <w:sz w:val="13"/>
              </w:rPr>
              <w:t xml:space="preserve"> </w:t>
            </w:r>
            <w:r>
              <w:rPr>
                <w:color w:val="231F20"/>
                <w:sz w:val="13"/>
              </w:rPr>
              <w:t>For</w:t>
            </w:r>
            <w:r>
              <w:rPr>
                <w:color w:val="231F20"/>
                <w:spacing w:val="-11"/>
                <w:sz w:val="13"/>
              </w:rPr>
              <w:t xml:space="preserve"> </w:t>
            </w:r>
            <w:r>
              <w:rPr>
                <w:color w:val="231F20"/>
                <w:sz w:val="13"/>
              </w:rPr>
              <w:t>2</w:t>
            </w:r>
            <w:r>
              <w:rPr>
                <w:color w:val="231F20"/>
                <w:spacing w:val="-12"/>
                <w:sz w:val="13"/>
              </w:rPr>
              <w:t xml:space="preserve"> </w:t>
            </w:r>
            <w:r>
              <w:rPr>
                <w:color w:val="231F20"/>
                <w:sz w:val="13"/>
              </w:rPr>
              <w:t>way referrals</w:t>
            </w:r>
          </w:p>
        </w:tc>
        <w:tc>
          <w:tcPr>
            <w:tcW w:w="1509" w:type="dxa"/>
          </w:tcPr>
          <w:p w14:paraId="58B635CF" w14:textId="77777777" w:rsidR="009948F1" w:rsidRDefault="009948F1">
            <w:pPr>
              <w:pStyle w:val="TableParagraph"/>
              <w:spacing w:before="1"/>
              <w:rPr>
                <w:sz w:val="16"/>
              </w:rPr>
            </w:pPr>
          </w:p>
          <w:p w14:paraId="613B2C06"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3614DC9D" w14:textId="77777777" w:rsidR="009948F1" w:rsidRDefault="009948F1">
            <w:pPr>
              <w:pStyle w:val="TableParagraph"/>
              <w:spacing w:before="1"/>
              <w:rPr>
                <w:sz w:val="16"/>
              </w:rPr>
            </w:pPr>
          </w:p>
          <w:p w14:paraId="5960453B" w14:textId="77777777" w:rsidR="009948F1" w:rsidRDefault="00BC0563">
            <w:pPr>
              <w:pStyle w:val="TableParagraph"/>
              <w:ind w:left="28"/>
              <w:rPr>
                <w:sz w:val="13"/>
              </w:rPr>
            </w:pPr>
            <w:r>
              <w:rPr>
                <w:color w:val="231F20"/>
                <w:sz w:val="13"/>
              </w:rPr>
              <w:t>Costed in OHT</w:t>
            </w:r>
          </w:p>
        </w:tc>
      </w:tr>
      <w:tr w:rsidR="009948F1" w14:paraId="14A5FC17" w14:textId="77777777">
        <w:trPr>
          <w:trHeight w:val="639"/>
        </w:trPr>
        <w:tc>
          <w:tcPr>
            <w:tcW w:w="480" w:type="dxa"/>
            <w:vMerge/>
            <w:tcBorders>
              <w:top w:val="nil"/>
              <w:left w:val="single" w:sz="8" w:space="0" w:color="231F20"/>
            </w:tcBorders>
          </w:tcPr>
          <w:p w14:paraId="664417E6" w14:textId="77777777" w:rsidR="009948F1" w:rsidRDefault="009948F1">
            <w:pPr>
              <w:rPr>
                <w:sz w:val="2"/>
                <w:szCs w:val="2"/>
              </w:rPr>
            </w:pPr>
          </w:p>
        </w:tc>
        <w:tc>
          <w:tcPr>
            <w:tcW w:w="556" w:type="dxa"/>
          </w:tcPr>
          <w:p w14:paraId="5D55C74B" w14:textId="77777777" w:rsidR="009948F1" w:rsidRDefault="009948F1">
            <w:pPr>
              <w:pStyle w:val="TableParagraph"/>
              <w:rPr>
                <w:sz w:val="12"/>
              </w:rPr>
            </w:pPr>
          </w:p>
          <w:p w14:paraId="3ECB61F0" w14:textId="77777777" w:rsidR="009948F1" w:rsidRDefault="00BC0563">
            <w:pPr>
              <w:pStyle w:val="TableParagraph"/>
              <w:spacing w:before="107"/>
              <w:ind w:left="30" w:right="8"/>
              <w:jc w:val="center"/>
              <w:rPr>
                <w:sz w:val="13"/>
              </w:rPr>
            </w:pPr>
            <w:r>
              <w:rPr>
                <w:color w:val="231F20"/>
                <w:sz w:val="13"/>
              </w:rPr>
              <w:t>4.1.7.c</w:t>
            </w:r>
          </w:p>
        </w:tc>
        <w:tc>
          <w:tcPr>
            <w:tcW w:w="5181" w:type="dxa"/>
            <w:gridSpan w:val="2"/>
          </w:tcPr>
          <w:p w14:paraId="1B78F7ED" w14:textId="77777777" w:rsidR="009948F1" w:rsidRDefault="009948F1">
            <w:pPr>
              <w:pStyle w:val="TableParagraph"/>
              <w:spacing w:before="9"/>
              <w:rPr>
                <w:sz w:val="13"/>
              </w:rPr>
            </w:pPr>
          </w:p>
          <w:p w14:paraId="0ACBFA5F" w14:textId="7510F8CA" w:rsidR="009948F1" w:rsidRDefault="00BC0563">
            <w:pPr>
              <w:pStyle w:val="TableParagraph"/>
              <w:spacing w:line="264" w:lineRule="auto"/>
              <w:ind w:left="27" w:right="57"/>
              <w:rPr>
                <w:sz w:val="13"/>
              </w:rPr>
            </w:pPr>
            <w:r>
              <w:rPr>
                <w:color w:val="231F20"/>
                <w:sz w:val="13"/>
              </w:rPr>
              <w:t>Orientation</w:t>
            </w:r>
            <w:r>
              <w:rPr>
                <w:color w:val="231F20"/>
                <w:spacing w:val="-15"/>
                <w:sz w:val="13"/>
              </w:rPr>
              <w:t xml:space="preserve"> </w:t>
            </w:r>
            <w:r>
              <w:rPr>
                <w:color w:val="231F20"/>
                <w:sz w:val="13"/>
              </w:rPr>
              <w:t>of</w:t>
            </w:r>
            <w:r>
              <w:rPr>
                <w:color w:val="231F20"/>
                <w:spacing w:val="-15"/>
                <w:sz w:val="13"/>
              </w:rPr>
              <w:t xml:space="preserve"> </w:t>
            </w:r>
            <w:r>
              <w:rPr>
                <w:color w:val="231F20"/>
                <w:sz w:val="13"/>
              </w:rPr>
              <w:t>facility</w:t>
            </w:r>
            <w:r>
              <w:rPr>
                <w:color w:val="231F20"/>
                <w:spacing w:val="-15"/>
                <w:sz w:val="13"/>
              </w:rPr>
              <w:t xml:space="preserve"> </w:t>
            </w:r>
            <w:r>
              <w:rPr>
                <w:color w:val="231F20"/>
                <w:sz w:val="13"/>
              </w:rPr>
              <w:t>staff</w:t>
            </w:r>
            <w:r>
              <w:rPr>
                <w:color w:val="231F20"/>
                <w:spacing w:val="-14"/>
                <w:sz w:val="13"/>
              </w:rPr>
              <w:t xml:space="preserve"> </w:t>
            </w:r>
            <w:r>
              <w:rPr>
                <w:color w:val="231F20"/>
                <w:sz w:val="13"/>
              </w:rPr>
              <w:t>on</w:t>
            </w:r>
            <w:r>
              <w:rPr>
                <w:color w:val="231F20"/>
                <w:spacing w:val="-15"/>
                <w:sz w:val="13"/>
              </w:rPr>
              <w:t xml:space="preserve"> </w:t>
            </w:r>
            <w:r>
              <w:rPr>
                <w:color w:val="231F20"/>
                <w:sz w:val="13"/>
              </w:rPr>
              <w:t>updated</w:t>
            </w:r>
            <w:r>
              <w:rPr>
                <w:color w:val="231F20"/>
                <w:spacing w:val="-15"/>
                <w:sz w:val="13"/>
              </w:rPr>
              <w:t xml:space="preserve"> </w:t>
            </w:r>
            <w:r>
              <w:rPr>
                <w:color w:val="231F20"/>
                <w:sz w:val="13"/>
              </w:rPr>
              <w:t>2-way</w:t>
            </w:r>
            <w:r>
              <w:rPr>
                <w:color w:val="231F20"/>
                <w:spacing w:val="-14"/>
                <w:sz w:val="13"/>
              </w:rPr>
              <w:t xml:space="preserve"> </w:t>
            </w:r>
            <w:r>
              <w:rPr>
                <w:color w:val="231F20"/>
                <w:sz w:val="13"/>
              </w:rPr>
              <w:t>Referral</w:t>
            </w:r>
            <w:r>
              <w:rPr>
                <w:color w:val="231F20"/>
                <w:spacing w:val="-15"/>
                <w:sz w:val="13"/>
              </w:rPr>
              <w:t xml:space="preserve"> </w:t>
            </w:r>
            <w:r>
              <w:rPr>
                <w:color w:val="231F20"/>
                <w:sz w:val="13"/>
              </w:rPr>
              <w:t>System</w:t>
            </w:r>
            <w:r>
              <w:rPr>
                <w:color w:val="231F20"/>
                <w:spacing w:val="-15"/>
                <w:sz w:val="13"/>
              </w:rPr>
              <w:t xml:space="preserve"> </w:t>
            </w:r>
            <w:r>
              <w:rPr>
                <w:color w:val="231F20"/>
                <w:sz w:val="13"/>
              </w:rPr>
              <w:t>Forms</w:t>
            </w:r>
            <w:r>
              <w:rPr>
                <w:color w:val="231F20"/>
                <w:spacing w:val="-14"/>
                <w:sz w:val="13"/>
              </w:rPr>
              <w:t xml:space="preserve"> </w:t>
            </w:r>
            <w:r>
              <w:rPr>
                <w:color w:val="231F20"/>
                <w:sz w:val="13"/>
              </w:rPr>
              <w:t>and</w:t>
            </w:r>
            <w:r>
              <w:rPr>
                <w:color w:val="231F20"/>
                <w:spacing w:val="-15"/>
                <w:sz w:val="13"/>
              </w:rPr>
              <w:t xml:space="preserve"> </w:t>
            </w:r>
            <w:r>
              <w:rPr>
                <w:color w:val="231F20"/>
                <w:sz w:val="13"/>
              </w:rPr>
              <w:t>its</w:t>
            </w:r>
            <w:r>
              <w:rPr>
                <w:color w:val="231F20"/>
                <w:spacing w:val="-15"/>
                <w:sz w:val="13"/>
              </w:rPr>
              <w:t xml:space="preserve"> </w:t>
            </w:r>
            <w:r>
              <w:rPr>
                <w:color w:val="231F20"/>
                <w:sz w:val="13"/>
              </w:rPr>
              <w:t>importance</w:t>
            </w:r>
            <w:r>
              <w:rPr>
                <w:color w:val="231F20"/>
                <w:spacing w:val="-14"/>
                <w:sz w:val="13"/>
              </w:rPr>
              <w:t xml:space="preserve"> </w:t>
            </w:r>
            <w:r>
              <w:rPr>
                <w:color w:val="231F20"/>
                <w:sz w:val="13"/>
              </w:rPr>
              <w:t xml:space="preserve">and conduct training on </w:t>
            </w:r>
            <w:r w:rsidR="00B94D6C">
              <w:rPr>
                <w:color w:val="231F20"/>
                <w:sz w:val="13"/>
              </w:rPr>
              <w:t>ambulatory</w:t>
            </w:r>
            <w:r>
              <w:rPr>
                <w:color w:val="231F20"/>
                <w:spacing w:val="-12"/>
                <w:sz w:val="13"/>
              </w:rPr>
              <w:t xml:space="preserve"> </w:t>
            </w:r>
            <w:r>
              <w:rPr>
                <w:color w:val="231F20"/>
                <w:sz w:val="13"/>
              </w:rPr>
              <w:t>services</w:t>
            </w:r>
          </w:p>
        </w:tc>
        <w:tc>
          <w:tcPr>
            <w:tcW w:w="1509" w:type="dxa"/>
          </w:tcPr>
          <w:p w14:paraId="4E50B5A0" w14:textId="77777777" w:rsidR="009948F1" w:rsidRDefault="009948F1">
            <w:pPr>
              <w:pStyle w:val="TableParagraph"/>
              <w:rPr>
                <w:sz w:val="12"/>
              </w:rPr>
            </w:pPr>
          </w:p>
          <w:p w14:paraId="09548DED" w14:textId="77777777" w:rsidR="009948F1" w:rsidRDefault="00BC0563">
            <w:pPr>
              <w:pStyle w:val="TableParagraph"/>
              <w:spacing w:before="107"/>
              <w:ind w:left="26"/>
              <w:rPr>
                <w:sz w:val="13"/>
              </w:rPr>
            </w:pPr>
            <w:r>
              <w:rPr>
                <w:color w:val="231F20"/>
                <w:sz w:val="13"/>
              </w:rPr>
              <w:t>Lack of funds</w:t>
            </w:r>
          </w:p>
        </w:tc>
        <w:tc>
          <w:tcPr>
            <w:tcW w:w="1593" w:type="dxa"/>
            <w:tcBorders>
              <w:right w:val="single" w:sz="8" w:space="0" w:color="231F20"/>
            </w:tcBorders>
          </w:tcPr>
          <w:p w14:paraId="0BD56590" w14:textId="77777777" w:rsidR="009948F1" w:rsidRDefault="00BC0563">
            <w:pPr>
              <w:pStyle w:val="TableParagraph"/>
              <w:spacing w:before="81" w:line="264" w:lineRule="auto"/>
              <w:ind w:left="28"/>
              <w:rPr>
                <w:sz w:val="13"/>
              </w:rPr>
            </w:pPr>
            <w:r>
              <w:rPr>
                <w:color w:val="231F20"/>
                <w:sz w:val="13"/>
              </w:rPr>
              <w:t xml:space="preserve">Orientation &amp; training of staff on referral </w:t>
            </w:r>
            <w:r>
              <w:rPr>
                <w:color w:val="231F20"/>
                <w:w w:val="95"/>
                <w:sz w:val="13"/>
              </w:rPr>
              <w:t>forms/ambulatory services</w:t>
            </w:r>
          </w:p>
        </w:tc>
      </w:tr>
      <w:tr w:rsidR="009948F1" w14:paraId="0307A2DE" w14:textId="77777777">
        <w:trPr>
          <w:trHeight w:val="518"/>
        </w:trPr>
        <w:tc>
          <w:tcPr>
            <w:tcW w:w="480" w:type="dxa"/>
            <w:vMerge/>
            <w:tcBorders>
              <w:top w:val="nil"/>
              <w:left w:val="single" w:sz="8" w:space="0" w:color="231F20"/>
            </w:tcBorders>
          </w:tcPr>
          <w:p w14:paraId="3EC4A95D" w14:textId="77777777" w:rsidR="009948F1" w:rsidRDefault="009948F1">
            <w:pPr>
              <w:rPr>
                <w:sz w:val="2"/>
                <w:szCs w:val="2"/>
              </w:rPr>
            </w:pPr>
          </w:p>
        </w:tc>
        <w:tc>
          <w:tcPr>
            <w:tcW w:w="556" w:type="dxa"/>
          </w:tcPr>
          <w:p w14:paraId="19A238AB" w14:textId="77777777" w:rsidR="009948F1" w:rsidRDefault="009948F1">
            <w:pPr>
              <w:pStyle w:val="TableParagraph"/>
              <w:spacing w:before="1"/>
              <w:rPr>
                <w:sz w:val="16"/>
              </w:rPr>
            </w:pPr>
          </w:p>
          <w:p w14:paraId="7F64B077" w14:textId="77777777" w:rsidR="009948F1" w:rsidRDefault="00BC0563">
            <w:pPr>
              <w:pStyle w:val="TableParagraph"/>
              <w:ind w:left="30" w:right="9"/>
              <w:jc w:val="center"/>
              <w:rPr>
                <w:sz w:val="13"/>
              </w:rPr>
            </w:pPr>
            <w:r>
              <w:rPr>
                <w:color w:val="231F20"/>
                <w:sz w:val="13"/>
              </w:rPr>
              <w:t>4.1.7.d</w:t>
            </w:r>
          </w:p>
        </w:tc>
        <w:tc>
          <w:tcPr>
            <w:tcW w:w="5181" w:type="dxa"/>
            <w:gridSpan w:val="2"/>
          </w:tcPr>
          <w:p w14:paraId="54D2B5D9" w14:textId="77777777" w:rsidR="009948F1" w:rsidRDefault="009948F1">
            <w:pPr>
              <w:pStyle w:val="TableParagraph"/>
              <w:spacing w:before="7"/>
              <w:rPr>
                <w:sz w:val="15"/>
              </w:rPr>
            </w:pPr>
          </w:p>
          <w:p w14:paraId="32971FF9" w14:textId="77777777" w:rsidR="009948F1" w:rsidRDefault="00BC0563">
            <w:pPr>
              <w:pStyle w:val="TableParagraph"/>
              <w:ind w:left="27"/>
              <w:rPr>
                <w:sz w:val="13"/>
              </w:rPr>
            </w:pPr>
            <w:r>
              <w:rPr>
                <w:color w:val="231F20"/>
                <w:sz w:val="13"/>
              </w:rPr>
              <w:t>Design, print and distribute 2-way Referral Forms</w:t>
            </w:r>
          </w:p>
        </w:tc>
        <w:tc>
          <w:tcPr>
            <w:tcW w:w="1509" w:type="dxa"/>
          </w:tcPr>
          <w:p w14:paraId="6AB25AA3" w14:textId="77777777" w:rsidR="009948F1" w:rsidRDefault="009948F1">
            <w:pPr>
              <w:pStyle w:val="TableParagraph"/>
              <w:spacing w:before="1"/>
              <w:rPr>
                <w:sz w:val="16"/>
              </w:rPr>
            </w:pPr>
          </w:p>
          <w:p w14:paraId="574C0E7B"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1BD47AC6" w14:textId="77777777" w:rsidR="009948F1" w:rsidRDefault="009948F1">
            <w:pPr>
              <w:pStyle w:val="TableParagraph"/>
              <w:spacing w:before="1"/>
              <w:rPr>
                <w:sz w:val="16"/>
              </w:rPr>
            </w:pPr>
          </w:p>
          <w:p w14:paraId="4176BB99" w14:textId="77777777" w:rsidR="009948F1" w:rsidRDefault="00BC0563">
            <w:pPr>
              <w:pStyle w:val="TableParagraph"/>
              <w:ind w:left="28"/>
              <w:rPr>
                <w:sz w:val="13"/>
              </w:rPr>
            </w:pPr>
            <w:r>
              <w:rPr>
                <w:color w:val="231F20"/>
                <w:sz w:val="13"/>
              </w:rPr>
              <w:t>Print &amp; distribute</w:t>
            </w:r>
          </w:p>
        </w:tc>
      </w:tr>
      <w:tr w:rsidR="009948F1" w14:paraId="0242561F" w14:textId="77777777">
        <w:trPr>
          <w:trHeight w:val="444"/>
        </w:trPr>
        <w:tc>
          <w:tcPr>
            <w:tcW w:w="480" w:type="dxa"/>
            <w:vMerge/>
            <w:tcBorders>
              <w:top w:val="nil"/>
              <w:left w:val="single" w:sz="8" w:space="0" w:color="231F20"/>
            </w:tcBorders>
          </w:tcPr>
          <w:p w14:paraId="56FFE0A9" w14:textId="77777777" w:rsidR="009948F1" w:rsidRDefault="009948F1">
            <w:pPr>
              <w:rPr>
                <w:sz w:val="2"/>
                <w:szCs w:val="2"/>
              </w:rPr>
            </w:pPr>
          </w:p>
        </w:tc>
        <w:tc>
          <w:tcPr>
            <w:tcW w:w="556" w:type="dxa"/>
          </w:tcPr>
          <w:p w14:paraId="315A8E36" w14:textId="77777777" w:rsidR="009948F1" w:rsidRDefault="009948F1">
            <w:pPr>
              <w:pStyle w:val="TableParagraph"/>
              <w:spacing w:before="10"/>
              <w:rPr>
                <w:sz w:val="12"/>
              </w:rPr>
            </w:pPr>
          </w:p>
          <w:p w14:paraId="7A0E7DCA" w14:textId="77777777" w:rsidR="009948F1" w:rsidRDefault="00BC0563">
            <w:pPr>
              <w:pStyle w:val="TableParagraph"/>
              <w:ind w:left="30" w:right="9"/>
              <w:jc w:val="center"/>
              <w:rPr>
                <w:sz w:val="13"/>
              </w:rPr>
            </w:pPr>
            <w:r>
              <w:rPr>
                <w:color w:val="231F20"/>
                <w:sz w:val="13"/>
              </w:rPr>
              <w:t>4.1.7.e</w:t>
            </w:r>
          </w:p>
        </w:tc>
        <w:tc>
          <w:tcPr>
            <w:tcW w:w="5181" w:type="dxa"/>
            <w:gridSpan w:val="2"/>
          </w:tcPr>
          <w:p w14:paraId="18FC95DD" w14:textId="77777777" w:rsidR="009948F1" w:rsidRDefault="00BC0563">
            <w:pPr>
              <w:pStyle w:val="TableParagraph"/>
              <w:spacing w:before="61" w:line="264" w:lineRule="auto"/>
              <w:ind w:left="27" w:right="260"/>
              <w:rPr>
                <w:sz w:val="13"/>
              </w:rPr>
            </w:pPr>
            <w:r>
              <w:rPr>
                <w:color w:val="231F20"/>
                <w:sz w:val="13"/>
              </w:rPr>
              <w:t>Operating</w:t>
            </w:r>
            <w:r>
              <w:rPr>
                <w:color w:val="231F20"/>
                <w:spacing w:val="-17"/>
                <w:sz w:val="13"/>
              </w:rPr>
              <w:t xml:space="preserve"> </w:t>
            </w:r>
            <w:r>
              <w:rPr>
                <w:color w:val="231F20"/>
                <w:sz w:val="13"/>
              </w:rPr>
              <w:t>cost</w:t>
            </w:r>
            <w:r>
              <w:rPr>
                <w:color w:val="231F20"/>
                <w:spacing w:val="-16"/>
                <w:sz w:val="13"/>
              </w:rPr>
              <w:t xml:space="preserve"> </w:t>
            </w:r>
            <w:r>
              <w:rPr>
                <w:color w:val="231F20"/>
                <w:sz w:val="13"/>
              </w:rPr>
              <w:t>for</w:t>
            </w:r>
            <w:r>
              <w:rPr>
                <w:color w:val="231F20"/>
                <w:spacing w:val="-16"/>
                <w:sz w:val="13"/>
              </w:rPr>
              <w:t xml:space="preserve"> </w:t>
            </w:r>
            <w:r>
              <w:rPr>
                <w:color w:val="231F20"/>
                <w:sz w:val="13"/>
              </w:rPr>
              <w:t>engaging</w:t>
            </w:r>
            <w:r>
              <w:rPr>
                <w:color w:val="231F20"/>
                <w:spacing w:val="-16"/>
                <w:sz w:val="13"/>
              </w:rPr>
              <w:t xml:space="preserve"> </w:t>
            </w:r>
            <w:r>
              <w:rPr>
                <w:color w:val="231F20"/>
                <w:sz w:val="13"/>
              </w:rPr>
              <w:t>and</w:t>
            </w:r>
            <w:r>
              <w:rPr>
                <w:color w:val="231F20"/>
                <w:spacing w:val="-16"/>
                <w:sz w:val="13"/>
              </w:rPr>
              <w:t xml:space="preserve"> </w:t>
            </w:r>
            <w:r>
              <w:rPr>
                <w:color w:val="231F20"/>
                <w:sz w:val="13"/>
              </w:rPr>
              <w:t>supervising</w:t>
            </w:r>
            <w:r>
              <w:rPr>
                <w:color w:val="231F20"/>
                <w:spacing w:val="-16"/>
                <w:sz w:val="13"/>
              </w:rPr>
              <w:t xml:space="preserve"> </w:t>
            </w:r>
            <w:r>
              <w:rPr>
                <w:color w:val="231F20"/>
                <w:sz w:val="13"/>
              </w:rPr>
              <w:t>the</w:t>
            </w:r>
            <w:r>
              <w:rPr>
                <w:color w:val="231F20"/>
                <w:spacing w:val="-17"/>
                <w:sz w:val="13"/>
              </w:rPr>
              <w:t xml:space="preserve"> </w:t>
            </w:r>
            <w:r>
              <w:rPr>
                <w:color w:val="231F20"/>
                <w:sz w:val="13"/>
              </w:rPr>
              <w:t>contractor</w:t>
            </w:r>
            <w:r>
              <w:rPr>
                <w:color w:val="231F20"/>
                <w:spacing w:val="-16"/>
                <w:sz w:val="13"/>
              </w:rPr>
              <w:t xml:space="preserve"> </w:t>
            </w:r>
            <w:r>
              <w:rPr>
                <w:color w:val="231F20"/>
                <w:sz w:val="13"/>
              </w:rPr>
              <w:t>to</w:t>
            </w:r>
            <w:r>
              <w:rPr>
                <w:color w:val="231F20"/>
                <w:spacing w:val="-16"/>
                <w:sz w:val="13"/>
              </w:rPr>
              <w:t xml:space="preserve"> </w:t>
            </w:r>
            <w:r>
              <w:rPr>
                <w:color w:val="231F20"/>
                <w:sz w:val="13"/>
              </w:rPr>
              <w:t>provide</w:t>
            </w:r>
            <w:r>
              <w:rPr>
                <w:color w:val="231F20"/>
                <w:spacing w:val="-16"/>
                <w:sz w:val="13"/>
              </w:rPr>
              <w:t xml:space="preserve"> </w:t>
            </w:r>
            <w:r>
              <w:rPr>
                <w:color w:val="231F20"/>
                <w:sz w:val="13"/>
              </w:rPr>
              <w:t>logistics</w:t>
            </w:r>
            <w:r>
              <w:rPr>
                <w:color w:val="231F20"/>
                <w:spacing w:val="-16"/>
                <w:sz w:val="13"/>
              </w:rPr>
              <w:t xml:space="preserve"> </w:t>
            </w:r>
            <w:r>
              <w:rPr>
                <w:color w:val="231F20"/>
                <w:sz w:val="13"/>
              </w:rPr>
              <w:t>including functional</w:t>
            </w:r>
            <w:r>
              <w:rPr>
                <w:color w:val="231F20"/>
                <w:spacing w:val="-8"/>
                <w:sz w:val="13"/>
              </w:rPr>
              <w:t xml:space="preserve"> </w:t>
            </w:r>
            <w:r>
              <w:rPr>
                <w:color w:val="231F20"/>
                <w:sz w:val="13"/>
              </w:rPr>
              <w:t>communication</w:t>
            </w:r>
            <w:r>
              <w:rPr>
                <w:color w:val="231F20"/>
                <w:spacing w:val="-7"/>
                <w:sz w:val="13"/>
              </w:rPr>
              <w:t xml:space="preserve"> </w:t>
            </w:r>
            <w:r>
              <w:rPr>
                <w:color w:val="231F20"/>
                <w:sz w:val="13"/>
              </w:rPr>
              <w:t>system</w:t>
            </w:r>
            <w:r>
              <w:rPr>
                <w:color w:val="231F20"/>
                <w:spacing w:val="-7"/>
                <w:sz w:val="13"/>
              </w:rPr>
              <w:t xml:space="preserve"> </w:t>
            </w:r>
            <w:r>
              <w:rPr>
                <w:color w:val="231F20"/>
                <w:sz w:val="13"/>
              </w:rPr>
              <w:t>for</w:t>
            </w:r>
            <w:r>
              <w:rPr>
                <w:color w:val="231F20"/>
                <w:spacing w:val="-8"/>
                <w:sz w:val="13"/>
              </w:rPr>
              <w:t xml:space="preserve"> </w:t>
            </w:r>
            <w:r>
              <w:rPr>
                <w:color w:val="231F20"/>
                <w:sz w:val="13"/>
              </w:rPr>
              <w:t>referral</w:t>
            </w:r>
            <w:r>
              <w:rPr>
                <w:color w:val="231F20"/>
                <w:spacing w:val="-7"/>
                <w:sz w:val="13"/>
              </w:rPr>
              <w:t xml:space="preserve"> </w:t>
            </w:r>
            <w:r>
              <w:rPr>
                <w:color w:val="231F20"/>
                <w:sz w:val="13"/>
              </w:rPr>
              <w:t>services</w:t>
            </w:r>
            <w:r>
              <w:rPr>
                <w:color w:val="231F20"/>
                <w:spacing w:val="22"/>
                <w:sz w:val="13"/>
              </w:rPr>
              <w:t xml:space="preserve"> </w:t>
            </w:r>
            <w:r>
              <w:rPr>
                <w:color w:val="231F20"/>
                <w:sz w:val="13"/>
              </w:rPr>
              <w:t>and</w:t>
            </w:r>
            <w:r>
              <w:rPr>
                <w:color w:val="231F20"/>
                <w:spacing w:val="-7"/>
                <w:sz w:val="13"/>
              </w:rPr>
              <w:t xml:space="preserve"> </w:t>
            </w:r>
            <w:r>
              <w:rPr>
                <w:color w:val="231F20"/>
                <w:sz w:val="13"/>
              </w:rPr>
              <w:t>transport</w:t>
            </w:r>
            <w:r>
              <w:rPr>
                <w:color w:val="231F20"/>
                <w:spacing w:val="-7"/>
                <w:sz w:val="13"/>
              </w:rPr>
              <w:t xml:space="preserve"> </w:t>
            </w:r>
            <w:r>
              <w:rPr>
                <w:color w:val="231F20"/>
                <w:sz w:val="13"/>
              </w:rPr>
              <w:t>services</w:t>
            </w:r>
          </w:p>
        </w:tc>
        <w:tc>
          <w:tcPr>
            <w:tcW w:w="1509" w:type="dxa"/>
          </w:tcPr>
          <w:p w14:paraId="2D0DECEB" w14:textId="77777777" w:rsidR="009948F1" w:rsidRDefault="009948F1">
            <w:pPr>
              <w:pStyle w:val="TableParagraph"/>
              <w:spacing w:before="10"/>
              <w:rPr>
                <w:sz w:val="12"/>
              </w:rPr>
            </w:pPr>
          </w:p>
          <w:p w14:paraId="0A46BE9A"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570ADB82" w14:textId="77777777" w:rsidR="009948F1" w:rsidRDefault="009948F1">
            <w:pPr>
              <w:pStyle w:val="TableParagraph"/>
              <w:spacing w:before="10"/>
              <w:rPr>
                <w:sz w:val="12"/>
              </w:rPr>
            </w:pPr>
          </w:p>
          <w:p w14:paraId="5693E198" w14:textId="77777777" w:rsidR="009948F1" w:rsidRDefault="00BC0563">
            <w:pPr>
              <w:pStyle w:val="TableParagraph"/>
              <w:ind w:left="28"/>
              <w:rPr>
                <w:sz w:val="13"/>
              </w:rPr>
            </w:pPr>
            <w:r>
              <w:rPr>
                <w:color w:val="231F20"/>
                <w:sz w:val="13"/>
              </w:rPr>
              <w:t>Costed in OHT</w:t>
            </w:r>
          </w:p>
        </w:tc>
      </w:tr>
      <w:tr w:rsidR="009948F1" w14:paraId="2395A0BC" w14:textId="77777777">
        <w:trPr>
          <w:trHeight w:val="639"/>
        </w:trPr>
        <w:tc>
          <w:tcPr>
            <w:tcW w:w="480" w:type="dxa"/>
            <w:tcBorders>
              <w:left w:val="single" w:sz="8" w:space="0" w:color="231F20"/>
            </w:tcBorders>
            <w:shd w:val="clear" w:color="auto" w:fill="CCE7D3"/>
          </w:tcPr>
          <w:p w14:paraId="45EE84D4" w14:textId="77777777" w:rsidR="009948F1" w:rsidRDefault="009948F1">
            <w:pPr>
              <w:pStyle w:val="TableParagraph"/>
              <w:rPr>
                <w:sz w:val="12"/>
              </w:rPr>
            </w:pPr>
          </w:p>
          <w:p w14:paraId="6A6AA13E" w14:textId="77777777" w:rsidR="009948F1" w:rsidRDefault="00BC0563">
            <w:pPr>
              <w:pStyle w:val="TableParagraph"/>
              <w:spacing w:before="107"/>
              <w:ind w:left="57"/>
              <w:rPr>
                <w:sz w:val="13"/>
              </w:rPr>
            </w:pPr>
            <w:r>
              <w:rPr>
                <w:color w:val="231F20"/>
                <w:sz w:val="13"/>
              </w:rPr>
              <w:t>4.1.8</w:t>
            </w:r>
          </w:p>
        </w:tc>
        <w:tc>
          <w:tcPr>
            <w:tcW w:w="3213" w:type="dxa"/>
            <w:gridSpan w:val="2"/>
            <w:shd w:val="clear" w:color="auto" w:fill="CCE7D3"/>
          </w:tcPr>
          <w:p w14:paraId="17B8AB68" w14:textId="77777777" w:rsidR="009948F1" w:rsidRDefault="009948F1">
            <w:pPr>
              <w:pStyle w:val="TableParagraph"/>
              <w:rPr>
                <w:sz w:val="12"/>
              </w:rPr>
            </w:pPr>
          </w:p>
          <w:p w14:paraId="22946D21" w14:textId="77777777" w:rsidR="009948F1" w:rsidRDefault="00BC0563">
            <w:pPr>
              <w:pStyle w:val="TableParagraph"/>
              <w:spacing w:before="102"/>
              <w:ind w:left="61"/>
              <w:rPr>
                <w:sz w:val="13"/>
              </w:rPr>
            </w:pPr>
            <w:r>
              <w:rPr>
                <w:color w:val="231F20"/>
                <w:sz w:val="13"/>
              </w:rPr>
              <w:t>Expand access to life saving commodities</w:t>
            </w:r>
          </w:p>
        </w:tc>
        <w:tc>
          <w:tcPr>
            <w:tcW w:w="2524" w:type="dxa"/>
            <w:shd w:val="clear" w:color="auto" w:fill="CCE7D3"/>
          </w:tcPr>
          <w:p w14:paraId="332B553E" w14:textId="6699C1B7" w:rsidR="009948F1" w:rsidRDefault="00B94D6C">
            <w:pPr>
              <w:pStyle w:val="TableParagraph"/>
              <w:numPr>
                <w:ilvl w:val="0"/>
                <w:numId w:val="201"/>
              </w:numPr>
              <w:tabs>
                <w:tab w:val="left" w:pos="107"/>
              </w:tabs>
              <w:spacing w:before="1" w:line="264" w:lineRule="auto"/>
              <w:ind w:right="410" w:firstLine="0"/>
              <w:rPr>
                <w:sz w:val="13"/>
              </w:rPr>
            </w:pPr>
            <w:r>
              <w:rPr>
                <w:color w:val="231F20"/>
                <w:sz w:val="13"/>
              </w:rPr>
              <w:t>Life</w:t>
            </w:r>
            <w:r>
              <w:rPr>
                <w:color w:val="231F20"/>
                <w:spacing w:val="-17"/>
                <w:sz w:val="13"/>
              </w:rPr>
              <w:t>s</w:t>
            </w:r>
            <w:r>
              <w:rPr>
                <w:color w:val="231F20"/>
                <w:sz w:val="13"/>
              </w:rPr>
              <w:t>aving</w:t>
            </w:r>
            <w:r w:rsidR="00BC0563">
              <w:rPr>
                <w:color w:val="231F20"/>
                <w:spacing w:val="-16"/>
                <w:sz w:val="13"/>
              </w:rPr>
              <w:t xml:space="preserve"> </w:t>
            </w:r>
            <w:r w:rsidR="00BC0563">
              <w:rPr>
                <w:color w:val="231F20"/>
                <w:sz w:val="13"/>
              </w:rPr>
              <w:t>commodities</w:t>
            </w:r>
            <w:r w:rsidR="00BC0563">
              <w:rPr>
                <w:color w:val="231F20"/>
                <w:spacing w:val="-16"/>
                <w:sz w:val="13"/>
              </w:rPr>
              <w:t xml:space="preserve"> </w:t>
            </w:r>
            <w:r w:rsidR="00BC0563">
              <w:rPr>
                <w:color w:val="231F20"/>
                <w:sz w:val="13"/>
              </w:rPr>
              <w:t>procured</w:t>
            </w:r>
            <w:r w:rsidR="00BC0563">
              <w:rPr>
                <w:color w:val="231F20"/>
                <w:spacing w:val="-16"/>
                <w:sz w:val="13"/>
              </w:rPr>
              <w:t xml:space="preserve"> </w:t>
            </w:r>
            <w:r w:rsidR="00BC0563">
              <w:rPr>
                <w:color w:val="231F20"/>
                <w:spacing w:val="-13"/>
                <w:sz w:val="13"/>
              </w:rPr>
              <w:t xml:space="preserve">&amp; </w:t>
            </w:r>
            <w:r w:rsidR="00BC0563">
              <w:rPr>
                <w:color w:val="231F20"/>
                <w:sz w:val="13"/>
              </w:rPr>
              <w:t>distributed to all HFs</w:t>
            </w:r>
            <w:r w:rsidR="00BC0563">
              <w:rPr>
                <w:color w:val="231F20"/>
                <w:spacing w:val="-22"/>
                <w:sz w:val="13"/>
              </w:rPr>
              <w:t xml:space="preserve"> </w:t>
            </w:r>
            <w:r w:rsidR="00BC0563">
              <w:rPr>
                <w:color w:val="231F20"/>
                <w:sz w:val="13"/>
              </w:rPr>
              <w:t>annually</w:t>
            </w:r>
          </w:p>
          <w:p w14:paraId="20720597" w14:textId="77777777" w:rsidR="009948F1" w:rsidRDefault="00BC0563">
            <w:pPr>
              <w:pStyle w:val="TableParagraph"/>
              <w:numPr>
                <w:ilvl w:val="0"/>
                <w:numId w:val="201"/>
              </w:numPr>
              <w:tabs>
                <w:tab w:val="left" w:pos="100"/>
              </w:tabs>
              <w:spacing w:line="149" w:lineRule="exact"/>
              <w:ind w:left="99" w:hanging="73"/>
              <w:rPr>
                <w:sz w:val="13"/>
              </w:rPr>
            </w:pPr>
            <w:r>
              <w:rPr>
                <w:color w:val="231F20"/>
                <w:sz w:val="13"/>
              </w:rPr>
              <w:t>At least 300 HWs</w:t>
            </w:r>
            <w:r>
              <w:rPr>
                <w:color w:val="231F20"/>
                <w:spacing w:val="-14"/>
                <w:sz w:val="13"/>
              </w:rPr>
              <w:t xml:space="preserve"> </w:t>
            </w:r>
            <w:r>
              <w:rPr>
                <w:color w:val="231F20"/>
                <w:sz w:val="13"/>
              </w:rPr>
              <w:t>trained</w:t>
            </w:r>
          </w:p>
          <w:p w14:paraId="514D3211" w14:textId="77777777" w:rsidR="009948F1" w:rsidRDefault="00BC0563">
            <w:pPr>
              <w:pStyle w:val="TableParagraph"/>
              <w:spacing w:before="15" w:line="125" w:lineRule="exact"/>
              <w:ind w:left="27"/>
              <w:rPr>
                <w:sz w:val="13"/>
              </w:rPr>
            </w:pPr>
            <w:r>
              <w:rPr>
                <w:color w:val="231F20"/>
                <w:w w:val="96"/>
                <w:sz w:val="13"/>
              </w:rPr>
              <w:t>•</w:t>
            </w:r>
          </w:p>
        </w:tc>
        <w:tc>
          <w:tcPr>
            <w:tcW w:w="1509" w:type="dxa"/>
            <w:tcBorders>
              <w:right w:val="single" w:sz="12" w:space="0" w:color="231F20"/>
            </w:tcBorders>
            <w:shd w:val="clear" w:color="auto" w:fill="CCE7D3"/>
          </w:tcPr>
          <w:p w14:paraId="1986A991" w14:textId="77777777" w:rsidR="009948F1" w:rsidRDefault="009948F1">
            <w:pPr>
              <w:pStyle w:val="TableParagraph"/>
              <w:rPr>
                <w:rFonts w:ascii="Times New Roman"/>
                <w:sz w:val="12"/>
              </w:rPr>
            </w:pPr>
          </w:p>
        </w:tc>
        <w:tc>
          <w:tcPr>
            <w:tcW w:w="1593" w:type="dxa"/>
            <w:tcBorders>
              <w:left w:val="single" w:sz="12" w:space="0" w:color="231F20"/>
              <w:right w:val="single" w:sz="8" w:space="0" w:color="231F20"/>
            </w:tcBorders>
            <w:shd w:val="clear" w:color="auto" w:fill="CCE7D3"/>
          </w:tcPr>
          <w:p w14:paraId="5E23EF06" w14:textId="77777777" w:rsidR="009948F1" w:rsidRDefault="009948F1">
            <w:pPr>
              <w:pStyle w:val="TableParagraph"/>
              <w:rPr>
                <w:rFonts w:ascii="Times New Roman"/>
                <w:sz w:val="12"/>
              </w:rPr>
            </w:pPr>
          </w:p>
        </w:tc>
      </w:tr>
      <w:tr w:rsidR="009948F1" w14:paraId="162CCF91" w14:textId="77777777">
        <w:trPr>
          <w:trHeight w:val="653"/>
        </w:trPr>
        <w:tc>
          <w:tcPr>
            <w:tcW w:w="480" w:type="dxa"/>
            <w:vMerge w:val="restart"/>
            <w:tcBorders>
              <w:left w:val="single" w:sz="8" w:space="0" w:color="231F20"/>
              <w:bottom w:val="single" w:sz="8" w:space="0" w:color="231F20"/>
            </w:tcBorders>
          </w:tcPr>
          <w:p w14:paraId="3E4400D2" w14:textId="77777777" w:rsidR="009948F1" w:rsidRDefault="009948F1">
            <w:pPr>
              <w:pStyle w:val="TableParagraph"/>
              <w:rPr>
                <w:rFonts w:ascii="Times New Roman"/>
                <w:sz w:val="12"/>
              </w:rPr>
            </w:pPr>
          </w:p>
        </w:tc>
        <w:tc>
          <w:tcPr>
            <w:tcW w:w="556" w:type="dxa"/>
          </w:tcPr>
          <w:p w14:paraId="51E05ECA" w14:textId="77777777" w:rsidR="009948F1" w:rsidRDefault="009948F1">
            <w:pPr>
              <w:pStyle w:val="TableParagraph"/>
              <w:rPr>
                <w:sz w:val="12"/>
              </w:rPr>
            </w:pPr>
          </w:p>
          <w:p w14:paraId="27A157CE" w14:textId="77777777" w:rsidR="009948F1" w:rsidRDefault="009948F1">
            <w:pPr>
              <w:pStyle w:val="TableParagraph"/>
              <w:rPr>
                <w:sz w:val="10"/>
              </w:rPr>
            </w:pPr>
          </w:p>
          <w:p w14:paraId="73B24D4E" w14:textId="77777777" w:rsidR="009948F1" w:rsidRDefault="00BC0563">
            <w:pPr>
              <w:pStyle w:val="TableParagraph"/>
              <w:ind w:left="30" w:right="9"/>
              <w:jc w:val="center"/>
              <w:rPr>
                <w:sz w:val="13"/>
              </w:rPr>
            </w:pPr>
            <w:r>
              <w:rPr>
                <w:color w:val="231F20"/>
                <w:sz w:val="13"/>
              </w:rPr>
              <w:t>4.1.8.a</w:t>
            </w:r>
          </w:p>
        </w:tc>
        <w:tc>
          <w:tcPr>
            <w:tcW w:w="5181" w:type="dxa"/>
            <w:gridSpan w:val="2"/>
          </w:tcPr>
          <w:p w14:paraId="1A4C9084" w14:textId="2A96B778" w:rsidR="009948F1" w:rsidRDefault="00BC0563">
            <w:pPr>
              <w:pStyle w:val="TableParagraph"/>
              <w:spacing w:before="84" w:line="264" w:lineRule="auto"/>
              <w:ind w:left="27" w:right="248"/>
              <w:jc w:val="both"/>
              <w:rPr>
                <w:sz w:val="13"/>
              </w:rPr>
            </w:pPr>
            <w:r>
              <w:rPr>
                <w:color w:val="231F20"/>
                <w:sz w:val="13"/>
              </w:rPr>
              <w:t>Operating</w:t>
            </w:r>
            <w:r>
              <w:rPr>
                <w:color w:val="231F20"/>
                <w:spacing w:val="-15"/>
                <w:sz w:val="13"/>
              </w:rPr>
              <w:t xml:space="preserve"> </w:t>
            </w:r>
            <w:r>
              <w:rPr>
                <w:color w:val="231F20"/>
                <w:sz w:val="13"/>
              </w:rPr>
              <w:t>cost</w:t>
            </w:r>
            <w:r>
              <w:rPr>
                <w:color w:val="231F20"/>
                <w:spacing w:val="-14"/>
                <w:sz w:val="13"/>
              </w:rPr>
              <w:t xml:space="preserve"> </w:t>
            </w:r>
            <w:r>
              <w:rPr>
                <w:color w:val="231F20"/>
                <w:sz w:val="13"/>
              </w:rPr>
              <w:t>for</w:t>
            </w:r>
            <w:r>
              <w:rPr>
                <w:color w:val="231F20"/>
                <w:spacing w:val="-14"/>
                <w:sz w:val="13"/>
              </w:rPr>
              <w:t xml:space="preserve"> </w:t>
            </w:r>
            <w:r>
              <w:rPr>
                <w:color w:val="231F20"/>
                <w:sz w:val="13"/>
              </w:rPr>
              <w:t>engaging</w:t>
            </w:r>
            <w:r>
              <w:rPr>
                <w:color w:val="231F20"/>
                <w:spacing w:val="-14"/>
                <w:sz w:val="13"/>
              </w:rPr>
              <w:t xml:space="preserve"> </w:t>
            </w:r>
            <w:r>
              <w:rPr>
                <w:color w:val="231F20"/>
                <w:sz w:val="13"/>
              </w:rPr>
              <w:t>and</w:t>
            </w:r>
            <w:r>
              <w:rPr>
                <w:color w:val="231F20"/>
                <w:spacing w:val="-14"/>
                <w:sz w:val="13"/>
              </w:rPr>
              <w:t xml:space="preserve"> </w:t>
            </w:r>
            <w:r>
              <w:rPr>
                <w:color w:val="231F20"/>
                <w:sz w:val="13"/>
              </w:rPr>
              <w:t>supervising</w:t>
            </w:r>
            <w:r>
              <w:rPr>
                <w:color w:val="231F20"/>
                <w:spacing w:val="-14"/>
                <w:sz w:val="13"/>
              </w:rPr>
              <w:t xml:space="preserve"> </w:t>
            </w:r>
            <w:r>
              <w:rPr>
                <w:color w:val="231F20"/>
                <w:sz w:val="13"/>
              </w:rPr>
              <w:t>the</w:t>
            </w:r>
            <w:r>
              <w:rPr>
                <w:color w:val="231F20"/>
                <w:spacing w:val="-14"/>
                <w:sz w:val="13"/>
              </w:rPr>
              <w:t xml:space="preserve"> </w:t>
            </w:r>
            <w:r>
              <w:rPr>
                <w:color w:val="231F20"/>
                <w:sz w:val="13"/>
              </w:rPr>
              <w:t>contractor</w:t>
            </w:r>
            <w:r>
              <w:rPr>
                <w:color w:val="231F20"/>
                <w:spacing w:val="-14"/>
                <w:sz w:val="13"/>
              </w:rPr>
              <w:t xml:space="preserve"> </w:t>
            </w:r>
            <w:r>
              <w:rPr>
                <w:color w:val="231F20"/>
                <w:sz w:val="13"/>
              </w:rPr>
              <w:t>to</w:t>
            </w:r>
            <w:r>
              <w:rPr>
                <w:color w:val="231F20"/>
                <w:spacing w:val="-14"/>
                <w:sz w:val="13"/>
              </w:rPr>
              <w:t xml:space="preserve"> </w:t>
            </w:r>
            <w:r>
              <w:rPr>
                <w:color w:val="231F20"/>
                <w:sz w:val="13"/>
              </w:rPr>
              <w:t>procure</w:t>
            </w:r>
            <w:r>
              <w:rPr>
                <w:color w:val="231F20"/>
                <w:spacing w:val="-14"/>
                <w:sz w:val="13"/>
              </w:rPr>
              <w:t xml:space="preserve"> </w:t>
            </w:r>
            <w:r>
              <w:rPr>
                <w:color w:val="231F20"/>
                <w:sz w:val="13"/>
              </w:rPr>
              <w:t>and</w:t>
            </w:r>
            <w:r>
              <w:rPr>
                <w:color w:val="231F20"/>
                <w:spacing w:val="-14"/>
                <w:sz w:val="13"/>
              </w:rPr>
              <w:t xml:space="preserve"> </w:t>
            </w:r>
            <w:r>
              <w:rPr>
                <w:color w:val="231F20"/>
                <w:sz w:val="13"/>
              </w:rPr>
              <w:t>distribute</w:t>
            </w:r>
            <w:r>
              <w:rPr>
                <w:color w:val="231F20"/>
                <w:spacing w:val="-14"/>
                <w:sz w:val="13"/>
              </w:rPr>
              <w:t xml:space="preserve"> </w:t>
            </w:r>
            <w:r w:rsidR="00B94D6C">
              <w:rPr>
                <w:color w:val="231F20"/>
                <w:sz w:val="13"/>
              </w:rPr>
              <w:t>lifesaving</w:t>
            </w:r>
            <w:r>
              <w:rPr>
                <w:color w:val="231F20"/>
                <w:spacing w:val="-20"/>
                <w:sz w:val="13"/>
              </w:rPr>
              <w:t xml:space="preserve"> </w:t>
            </w:r>
            <w:r>
              <w:rPr>
                <w:color w:val="231F20"/>
                <w:sz w:val="13"/>
              </w:rPr>
              <w:t>commodities</w:t>
            </w:r>
            <w:r>
              <w:rPr>
                <w:color w:val="231F20"/>
                <w:spacing w:val="-20"/>
                <w:sz w:val="13"/>
              </w:rPr>
              <w:t xml:space="preserve"> </w:t>
            </w:r>
            <w:r>
              <w:rPr>
                <w:color w:val="231F20"/>
                <w:sz w:val="13"/>
              </w:rPr>
              <w:t>(Anti-shock</w:t>
            </w:r>
            <w:r>
              <w:rPr>
                <w:color w:val="231F20"/>
                <w:spacing w:val="-20"/>
                <w:sz w:val="13"/>
              </w:rPr>
              <w:t xml:space="preserve"> </w:t>
            </w:r>
            <w:r>
              <w:rPr>
                <w:color w:val="231F20"/>
                <w:sz w:val="13"/>
              </w:rPr>
              <w:t>Garments,</w:t>
            </w:r>
            <w:r>
              <w:rPr>
                <w:color w:val="231F20"/>
                <w:spacing w:val="-20"/>
                <w:sz w:val="13"/>
              </w:rPr>
              <w:t xml:space="preserve"> </w:t>
            </w:r>
            <w:r>
              <w:rPr>
                <w:color w:val="231F20"/>
                <w:sz w:val="13"/>
              </w:rPr>
              <w:t>Suction</w:t>
            </w:r>
            <w:r>
              <w:rPr>
                <w:color w:val="231F20"/>
                <w:spacing w:val="-20"/>
                <w:sz w:val="13"/>
              </w:rPr>
              <w:t xml:space="preserve"> </w:t>
            </w:r>
            <w:r>
              <w:rPr>
                <w:color w:val="231F20"/>
                <w:sz w:val="13"/>
              </w:rPr>
              <w:t>Machines,</w:t>
            </w:r>
            <w:r>
              <w:rPr>
                <w:color w:val="231F20"/>
                <w:spacing w:val="-20"/>
                <w:sz w:val="13"/>
              </w:rPr>
              <w:t xml:space="preserve"> </w:t>
            </w:r>
            <w:r w:rsidR="00B94D6C">
              <w:rPr>
                <w:color w:val="231F20"/>
                <w:sz w:val="13"/>
              </w:rPr>
              <w:t>Self</w:t>
            </w:r>
            <w:r w:rsidR="00B94D6C">
              <w:rPr>
                <w:color w:val="231F20"/>
                <w:spacing w:val="-20"/>
                <w:sz w:val="13"/>
              </w:rPr>
              <w:t>-</w:t>
            </w:r>
            <w:r w:rsidR="00B94D6C">
              <w:rPr>
                <w:color w:val="231F20"/>
                <w:sz w:val="13"/>
              </w:rPr>
              <w:t>Inflating</w:t>
            </w:r>
            <w:r>
              <w:rPr>
                <w:color w:val="231F20"/>
                <w:spacing w:val="-23"/>
                <w:sz w:val="13"/>
              </w:rPr>
              <w:t xml:space="preserve"> </w:t>
            </w:r>
            <w:proofErr w:type="spellStart"/>
            <w:r>
              <w:rPr>
                <w:color w:val="231F20"/>
                <w:sz w:val="13"/>
              </w:rPr>
              <w:t>Ambu</w:t>
            </w:r>
            <w:proofErr w:type="spellEnd"/>
            <w:r>
              <w:rPr>
                <w:color w:val="231F20"/>
                <w:spacing w:val="-20"/>
                <w:sz w:val="13"/>
              </w:rPr>
              <w:t xml:space="preserve"> </w:t>
            </w:r>
            <w:r>
              <w:rPr>
                <w:color w:val="231F20"/>
                <w:sz w:val="13"/>
              </w:rPr>
              <w:t xml:space="preserve">Bags, </w:t>
            </w:r>
            <w:r w:rsidR="00B94D6C">
              <w:rPr>
                <w:color w:val="231F20"/>
                <w:sz w:val="13"/>
              </w:rPr>
              <w:t>Chlorhexidine</w:t>
            </w:r>
            <w:r>
              <w:rPr>
                <w:color w:val="231F20"/>
                <w:spacing w:val="-5"/>
                <w:sz w:val="13"/>
              </w:rPr>
              <w:t xml:space="preserve"> </w:t>
            </w:r>
            <w:r>
              <w:rPr>
                <w:color w:val="231F20"/>
                <w:sz w:val="13"/>
              </w:rPr>
              <w:t>Gels,</w:t>
            </w:r>
            <w:r>
              <w:rPr>
                <w:color w:val="231F20"/>
                <w:spacing w:val="-5"/>
                <w:sz w:val="13"/>
              </w:rPr>
              <w:t xml:space="preserve"> </w:t>
            </w:r>
            <w:r>
              <w:rPr>
                <w:color w:val="231F20"/>
                <w:sz w:val="13"/>
              </w:rPr>
              <w:t>Oxygen</w:t>
            </w:r>
            <w:r>
              <w:rPr>
                <w:color w:val="231F20"/>
                <w:spacing w:val="-5"/>
                <w:sz w:val="13"/>
              </w:rPr>
              <w:t xml:space="preserve"> </w:t>
            </w:r>
            <w:r>
              <w:rPr>
                <w:color w:val="231F20"/>
                <w:sz w:val="13"/>
              </w:rPr>
              <w:t>cylinders</w:t>
            </w:r>
            <w:r>
              <w:rPr>
                <w:color w:val="231F20"/>
                <w:spacing w:val="-5"/>
                <w:sz w:val="13"/>
              </w:rPr>
              <w:t xml:space="preserve"> </w:t>
            </w:r>
            <w:r w:rsidR="00B94D6C">
              <w:rPr>
                <w:color w:val="231F20"/>
                <w:sz w:val="13"/>
              </w:rPr>
              <w:t>etc.</w:t>
            </w:r>
            <w:r>
              <w:rPr>
                <w:color w:val="231F20"/>
                <w:sz w:val="13"/>
              </w:rPr>
              <w:t>)</w:t>
            </w:r>
            <w:r>
              <w:rPr>
                <w:color w:val="231F20"/>
                <w:spacing w:val="-5"/>
                <w:sz w:val="13"/>
              </w:rPr>
              <w:t xml:space="preserve"> </w:t>
            </w:r>
            <w:r>
              <w:rPr>
                <w:color w:val="231F20"/>
                <w:sz w:val="13"/>
              </w:rPr>
              <w:t>to</w:t>
            </w:r>
            <w:r>
              <w:rPr>
                <w:color w:val="231F20"/>
                <w:spacing w:val="-5"/>
                <w:sz w:val="13"/>
              </w:rPr>
              <w:t xml:space="preserve"> </w:t>
            </w:r>
            <w:r>
              <w:rPr>
                <w:color w:val="231F20"/>
                <w:sz w:val="13"/>
              </w:rPr>
              <w:t>all</w:t>
            </w:r>
            <w:r>
              <w:rPr>
                <w:color w:val="231F20"/>
                <w:spacing w:val="-5"/>
                <w:sz w:val="13"/>
              </w:rPr>
              <w:t xml:space="preserve"> </w:t>
            </w:r>
            <w:r>
              <w:rPr>
                <w:color w:val="231F20"/>
                <w:sz w:val="13"/>
              </w:rPr>
              <w:t>350</w:t>
            </w:r>
            <w:r>
              <w:rPr>
                <w:color w:val="231F20"/>
                <w:spacing w:val="-4"/>
                <w:sz w:val="13"/>
              </w:rPr>
              <w:t xml:space="preserve"> </w:t>
            </w:r>
            <w:r>
              <w:rPr>
                <w:color w:val="231F20"/>
                <w:sz w:val="13"/>
              </w:rPr>
              <w:t>HFs</w:t>
            </w:r>
            <w:r>
              <w:rPr>
                <w:color w:val="231F20"/>
                <w:spacing w:val="-5"/>
                <w:sz w:val="13"/>
              </w:rPr>
              <w:t xml:space="preserve"> </w:t>
            </w:r>
            <w:r>
              <w:rPr>
                <w:color w:val="231F20"/>
                <w:sz w:val="13"/>
              </w:rPr>
              <w:t>in</w:t>
            </w:r>
            <w:r>
              <w:rPr>
                <w:color w:val="231F20"/>
                <w:spacing w:val="-5"/>
                <w:sz w:val="13"/>
              </w:rPr>
              <w:t xml:space="preserve"> </w:t>
            </w:r>
            <w:r>
              <w:rPr>
                <w:color w:val="231F20"/>
                <w:sz w:val="13"/>
              </w:rPr>
              <w:t>the</w:t>
            </w:r>
            <w:r>
              <w:rPr>
                <w:color w:val="231F20"/>
                <w:spacing w:val="-5"/>
                <w:sz w:val="13"/>
              </w:rPr>
              <w:t xml:space="preserve"> </w:t>
            </w:r>
            <w:r>
              <w:rPr>
                <w:color w:val="231F20"/>
                <w:sz w:val="13"/>
              </w:rPr>
              <w:t>State</w:t>
            </w:r>
          </w:p>
        </w:tc>
        <w:tc>
          <w:tcPr>
            <w:tcW w:w="1509" w:type="dxa"/>
          </w:tcPr>
          <w:p w14:paraId="0650D014" w14:textId="77777777" w:rsidR="009948F1" w:rsidRDefault="009948F1">
            <w:pPr>
              <w:pStyle w:val="TableParagraph"/>
              <w:rPr>
                <w:sz w:val="12"/>
              </w:rPr>
            </w:pPr>
          </w:p>
          <w:p w14:paraId="654B449D" w14:textId="77777777" w:rsidR="009948F1" w:rsidRDefault="009948F1">
            <w:pPr>
              <w:pStyle w:val="TableParagraph"/>
              <w:rPr>
                <w:sz w:val="10"/>
              </w:rPr>
            </w:pPr>
          </w:p>
          <w:p w14:paraId="13942177"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34D49152" w14:textId="77777777" w:rsidR="009948F1" w:rsidRDefault="009948F1">
            <w:pPr>
              <w:pStyle w:val="TableParagraph"/>
              <w:rPr>
                <w:sz w:val="12"/>
              </w:rPr>
            </w:pPr>
          </w:p>
          <w:p w14:paraId="59D7CE61" w14:textId="77777777" w:rsidR="009948F1" w:rsidRDefault="009948F1">
            <w:pPr>
              <w:pStyle w:val="TableParagraph"/>
              <w:rPr>
                <w:sz w:val="10"/>
              </w:rPr>
            </w:pPr>
          </w:p>
          <w:p w14:paraId="4715460A" w14:textId="77777777" w:rsidR="009948F1" w:rsidRDefault="00BC0563">
            <w:pPr>
              <w:pStyle w:val="TableParagraph"/>
              <w:ind w:left="28"/>
              <w:rPr>
                <w:sz w:val="13"/>
              </w:rPr>
            </w:pPr>
            <w:r>
              <w:rPr>
                <w:color w:val="231F20"/>
                <w:sz w:val="13"/>
              </w:rPr>
              <w:t>Costed in OHT</w:t>
            </w:r>
          </w:p>
        </w:tc>
      </w:tr>
      <w:tr w:rsidR="009948F1" w14:paraId="6EDA8347" w14:textId="77777777">
        <w:trPr>
          <w:trHeight w:val="513"/>
        </w:trPr>
        <w:tc>
          <w:tcPr>
            <w:tcW w:w="480" w:type="dxa"/>
            <w:vMerge/>
            <w:tcBorders>
              <w:top w:val="nil"/>
              <w:left w:val="single" w:sz="8" w:space="0" w:color="231F20"/>
              <w:bottom w:val="single" w:sz="8" w:space="0" w:color="231F20"/>
            </w:tcBorders>
          </w:tcPr>
          <w:p w14:paraId="5023B0A9" w14:textId="77777777" w:rsidR="009948F1" w:rsidRDefault="009948F1">
            <w:pPr>
              <w:rPr>
                <w:sz w:val="2"/>
                <w:szCs w:val="2"/>
              </w:rPr>
            </w:pPr>
          </w:p>
        </w:tc>
        <w:tc>
          <w:tcPr>
            <w:tcW w:w="556" w:type="dxa"/>
          </w:tcPr>
          <w:p w14:paraId="043D2C13" w14:textId="77777777" w:rsidR="009948F1" w:rsidRDefault="009948F1">
            <w:pPr>
              <w:pStyle w:val="TableParagraph"/>
              <w:spacing w:before="10"/>
              <w:rPr>
                <w:sz w:val="15"/>
              </w:rPr>
            </w:pPr>
          </w:p>
          <w:p w14:paraId="39D07EDD" w14:textId="77777777" w:rsidR="009948F1" w:rsidRDefault="00BC0563">
            <w:pPr>
              <w:pStyle w:val="TableParagraph"/>
              <w:ind w:left="30" w:right="9"/>
              <w:jc w:val="center"/>
              <w:rPr>
                <w:sz w:val="13"/>
              </w:rPr>
            </w:pPr>
            <w:r>
              <w:rPr>
                <w:color w:val="231F20"/>
                <w:sz w:val="13"/>
              </w:rPr>
              <w:t>4.1.8.b</w:t>
            </w:r>
          </w:p>
        </w:tc>
        <w:tc>
          <w:tcPr>
            <w:tcW w:w="5181" w:type="dxa"/>
            <w:gridSpan w:val="2"/>
          </w:tcPr>
          <w:p w14:paraId="0E9FB356" w14:textId="77777777" w:rsidR="009948F1" w:rsidRDefault="009948F1">
            <w:pPr>
              <w:pStyle w:val="TableParagraph"/>
              <w:spacing w:before="5"/>
              <w:rPr>
                <w:sz w:val="15"/>
              </w:rPr>
            </w:pPr>
          </w:p>
          <w:p w14:paraId="1FAFB5EC" w14:textId="77777777" w:rsidR="009948F1" w:rsidRDefault="00BC0563">
            <w:pPr>
              <w:pStyle w:val="TableParagraph"/>
              <w:ind w:left="27"/>
              <w:rPr>
                <w:sz w:val="13"/>
              </w:rPr>
            </w:pPr>
            <w:r>
              <w:rPr>
                <w:color w:val="231F20"/>
                <w:sz w:val="13"/>
              </w:rPr>
              <w:t>Train Health Workers (HWs) on use of procured equipment and commodities</w:t>
            </w:r>
          </w:p>
        </w:tc>
        <w:tc>
          <w:tcPr>
            <w:tcW w:w="1509" w:type="dxa"/>
          </w:tcPr>
          <w:p w14:paraId="32E2E3BF" w14:textId="77777777" w:rsidR="009948F1" w:rsidRDefault="009948F1">
            <w:pPr>
              <w:pStyle w:val="TableParagraph"/>
              <w:spacing w:before="10"/>
              <w:rPr>
                <w:sz w:val="15"/>
              </w:rPr>
            </w:pPr>
          </w:p>
          <w:p w14:paraId="4547D507" w14:textId="77777777" w:rsidR="009948F1" w:rsidRDefault="00BC0563">
            <w:pPr>
              <w:pStyle w:val="TableParagraph"/>
              <w:ind w:left="26"/>
              <w:rPr>
                <w:sz w:val="13"/>
              </w:rPr>
            </w:pPr>
            <w:r>
              <w:rPr>
                <w:color w:val="231F20"/>
                <w:sz w:val="13"/>
              </w:rPr>
              <w:t>Lack of funds</w:t>
            </w:r>
          </w:p>
        </w:tc>
        <w:tc>
          <w:tcPr>
            <w:tcW w:w="1593" w:type="dxa"/>
            <w:tcBorders>
              <w:right w:val="single" w:sz="8" w:space="0" w:color="231F20"/>
            </w:tcBorders>
          </w:tcPr>
          <w:p w14:paraId="6FC441AF" w14:textId="77777777" w:rsidR="009948F1" w:rsidRDefault="009948F1">
            <w:pPr>
              <w:pStyle w:val="TableParagraph"/>
              <w:spacing w:before="10"/>
              <w:rPr>
                <w:sz w:val="15"/>
              </w:rPr>
            </w:pPr>
          </w:p>
          <w:p w14:paraId="5718D61A" w14:textId="77777777" w:rsidR="009948F1" w:rsidRDefault="00BC0563">
            <w:pPr>
              <w:pStyle w:val="TableParagraph"/>
              <w:ind w:left="28"/>
              <w:rPr>
                <w:sz w:val="13"/>
              </w:rPr>
            </w:pPr>
            <w:r>
              <w:rPr>
                <w:color w:val="231F20"/>
                <w:sz w:val="13"/>
              </w:rPr>
              <w:t>Train HWs</w:t>
            </w:r>
          </w:p>
        </w:tc>
      </w:tr>
      <w:tr w:rsidR="009948F1" w14:paraId="77BB7777" w14:textId="77777777">
        <w:trPr>
          <w:trHeight w:val="456"/>
        </w:trPr>
        <w:tc>
          <w:tcPr>
            <w:tcW w:w="480" w:type="dxa"/>
            <w:vMerge/>
            <w:tcBorders>
              <w:top w:val="nil"/>
              <w:left w:val="single" w:sz="8" w:space="0" w:color="231F20"/>
              <w:bottom w:val="single" w:sz="8" w:space="0" w:color="231F20"/>
            </w:tcBorders>
          </w:tcPr>
          <w:p w14:paraId="4FEB20D8" w14:textId="77777777" w:rsidR="009948F1" w:rsidRDefault="009948F1">
            <w:pPr>
              <w:rPr>
                <w:sz w:val="2"/>
                <w:szCs w:val="2"/>
              </w:rPr>
            </w:pPr>
          </w:p>
        </w:tc>
        <w:tc>
          <w:tcPr>
            <w:tcW w:w="556" w:type="dxa"/>
            <w:tcBorders>
              <w:bottom w:val="single" w:sz="12" w:space="0" w:color="231F20"/>
            </w:tcBorders>
          </w:tcPr>
          <w:p w14:paraId="0A57E799" w14:textId="77777777" w:rsidR="009948F1" w:rsidRDefault="00BC0563">
            <w:pPr>
              <w:pStyle w:val="TableParagraph"/>
              <w:spacing w:before="84"/>
              <w:ind w:left="30" w:right="8"/>
              <w:jc w:val="center"/>
              <w:rPr>
                <w:sz w:val="13"/>
              </w:rPr>
            </w:pPr>
            <w:r>
              <w:rPr>
                <w:color w:val="231F20"/>
                <w:sz w:val="13"/>
              </w:rPr>
              <w:t>4.1.8.c</w:t>
            </w:r>
          </w:p>
        </w:tc>
        <w:tc>
          <w:tcPr>
            <w:tcW w:w="5181" w:type="dxa"/>
            <w:gridSpan w:val="2"/>
            <w:tcBorders>
              <w:bottom w:val="single" w:sz="12" w:space="0" w:color="231F20"/>
            </w:tcBorders>
          </w:tcPr>
          <w:p w14:paraId="695C85FD" w14:textId="77777777" w:rsidR="009948F1" w:rsidRDefault="00BC0563">
            <w:pPr>
              <w:pStyle w:val="TableParagraph"/>
              <w:spacing w:line="148" w:lineRule="exact"/>
              <w:ind w:left="27"/>
              <w:rPr>
                <w:sz w:val="13"/>
              </w:rPr>
            </w:pPr>
            <w:r>
              <w:rPr>
                <w:color w:val="231F20"/>
                <w:sz w:val="13"/>
              </w:rPr>
              <w:t>Operating</w:t>
            </w:r>
            <w:r>
              <w:rPr>
                <w:color w:val="231F20"/>
                <w:spacing w:val="-12"/>
                <w:sz w:val="13"/>
              </w:rPr>
              <w:t xml:space="preserve"> </w:t>
            </w:r>
            <w:r>
              <w:rPr>
                <w:color w:val="231F20"/>
                <w:sz w:val="13"/>
              </w:rPr>
              <w:t>cost</w:t>
            </w:r>
            <w:r>
              <w:rPr>
                <w:color w:val="231F20"/>
                <w:spacing w:val="-12"/>
                <w:sz w:val="13"/>
              </w:rPr>
              <w:t xml:space="preserve"> </w:t>
            </w:r>
            <w:r>
              <w:rPr>
                <w:color w:val="231F20"/>
                <w:sz w:val="13"/>
              </w:rPr>
              <w:t>for</w:t>
            </w:r>
            <w:r>
              <w:rPr>
                <w:color w:val="231F20"/>
                <w:spacing w:val="-12"/>
                <w:sz w:val="13"/>
              </w:rPr>
              <w:t xml:space="preserve"> </w:t>
            </w:r>
            <w:r>
              <w:rPr>
                <w:color w:val="231F20"/>
                <w:sz w:val="13"/>
              </w:rPr>
              <w:t>engaging</w:t>
            </w:r>
            <w:r>
              <w:rPr>
                <w:color w:val="231F20"/>
                <w:spacing w:val="-12"/>
                <w:sz w:val="13"/>
              </w:rPr>
              <w:t xml:space="preserve"> </w:t>
            </w:r>
            <w:r>
              <w:rPr>
                <w:color w:val="231F20"/>
                <w:sz w:val="13"/>
              </w:rPr>
              <w:t>and</w:t>
            </w:r>
            <w:r>
              <w:rPr>
                <w:color w:val="231F20"/>
                <w:spacing w:val="-12"/>
                <w:sz w:val="13"/>
              </w:rPr>
              <w:t xml:space="preserve"> </w:t>
            </w:r>
            <w:r>
              <w:rPr>
                <w:color w:val="231F20"/>
                <w:sz w:val="13"/>
              </w:rPr>
              <w:t>supervising</w:t>
            </w:r>
            <w:r>
              <w:rPr>
                <w:color w:val="231F20"/>
                <w:spacing w:val="-12"/>
                <w:sz w:val="13"/>
              </w:rPr>
              <w:t xml:space="preserve"> </w:t>
            </w:r>
            <w:r>
              <w:rPr>
                <w:color w:val="231F20"/>
                <w:sz w:val="13"/>
              </w:rPr>
              <w:t>the</w:t>
            </w:r>
            <w:r>
              <w:rPr>
                <w:color w:val="231F20"/>
                <w:spacing w:val="-12"/>
                <w:sz w:val="13"/>
              </w:rPr>
              <w:t xml:space="preserve"> </w:t>
            </w:r>
            <w:r>
              <w:rPr>
                <w:color w:val="231F20"/>
                <w:sz w:val="13"/>
              </w:rPr>
              <w:t>contractor</w:t>
            </w:r>
            <w:r>
              <w:rPr>
                <w:color w:val="231F20"/>
                <w:spacing w:val="-11"/>
                <w:sz w:val="13"/>
              </w:rPr>
              <w:t xml:space="preserve"> </w:t>
            </w:r>
            <w:r>
              <w:rPr>
                <w:color w:val="231F20"/>
                <w:sz w:val="13"/>
              </w:rPr>
              <w:t>to</w:t>
            </w:r>
            <w:r>
              <w:rPr>
                <w:color w:val="231F20"/>
                <w:spacing w:val="-12"/>
                <w:sz w:val="13"/>
              </w:rPr>
              <w:t xml:space="preserve"> </w:t>
            </w:r>
            <w:r>
              <w:rPr>
                <w:color w:val="231F20"/>
                <w:sz w:val="13"/>
              </w:rPr>
              <w:t>provide</w:t>
            </w:r>
            <w:r>
              <w:rPr>
                <w:color w:val="231F20"/>
                <w:spacing w:val="-12"/>
                <w:sz w:val="13"/>
              </w:rPr>
              <w:t xml:space="preserve"> </w:t>
            </w:r>
            <w:r>
              <w:rPr>
                <w:color w:val="231F20"/>
                <w:sz w:val="13"/>
              </w:rPr>
              <w:t>logistics</w:t>
            </w:r>
            <w:r>
              <w:rPr>
                <w:color w:val="231F20"/>
                <w:spacing w:val="-12"/>
                <w:sz w:val="13"/>
              </w:rPr>
              <w:t xml:space="preserve"> </w:t>
            </w:r>
            <w:r>
              <w:rPr>
                <w:color w:val="231F20"/>
                <w:sz w:val="13"/>
              </w:rPr>
              <w:t>(vehicle)</w:t>
            </w:r>
            <w:r>
              <w:rPr>
                <w:color w:val="231F20"/>
                <w:spacing w:val="-12"/>
                <w:sz w:val="13"/>
              </w:rPr>
              <w:t xml:space="preserve"> </w:t>
            </w:r>
            <w:r>
              <w:rPr>
                <w:color w:val="231F20"/>
                <w:sz w:val="13"/>
              </w:rPr>
              <w:t>to</w:t>
            </w:r>
          </w:p>
          <w:p w14:paraId="1D8D1799" w14:textId="77777777" w:rsidR="009948F1" w:rsidRDefault="009948F1">
            <w:pPr>
              <w:pStyle w:val="TableParagraph"/>
              <w:spacing w:before="9"/>
              <w:rPr>
                <w:sz w:val="9"/>
              </w:rPr>
            </w:pPr>
          </w:p>
          <w:p w14:paraId="48CF1682" w14:textId="73F9C55B" w:rsidR="009948F1" w:rsidRDefault="00BC0563">
            <w:pPr>
              <w:pStyle w:val="TableParagraph"/>
              <w:ind w:left="27"/>
              <w:rPr>
                <w:sz w:val="13"/>
              </w:rPr>
            </w:pPr>
            <w:r>
              <w:rPr>
                <w:color w:val="231F20"/>
                <w:sz w:val="13"/>
              </w:rPr>
              <w:t xml:space="preserve">strengthen the supply chain management for the </w:t>
            </w:r>
            <w:r w:rsidR="00B94D6C">
              <w:rPr>
                <w:color w:val="231F20"/>
                <w:sz w:val="13"/>
              </w:rPr>
              <w:t>lifesaving</w:t>
            </w:r>
            <w:r>
              <w:rPr>
                <w:color w:val="231F20"/>
                <w:sz w:val="13"/>
              </w:rPr>
              <w:t xml:space="preserve"> commodities</w:t>
            </w:r>
          </w:p>
        </w:tc>
        <w:tc>
          <w:tcPr>
            <w:tcW w:w="1509" w:type="dxa"/>
            <w:tcBorders>
              <w:bottom w:val="single" w:sz="12" w:space="0" w:color="231F20"/>
            </w:tcBorders>
          </w:tcPr>
          <w:p w14:paraId="4B9F4F78" w14:textId="77777777" w:rsidR="009948F1" w:rsidRDefault="00BC0563">
            <w:pPr>
              <w:pStyle w:val="TableParagraph"/>
              <w:spacing w:before="84"/>
              <w:ind w:left="26"/>
              <w:rPr>
                <w:sz w:val="13"/>
              </w:rPr>
            </w:pPr>
            <w:r>
              <w:rPr>
                <w:color w:val="231F20"/>
                <w:sz w:val="13"/>
              </w:rPr>
              <w:t>Lack of funds</w:t>
            </w:r>
          </w:p>
        </w:tc>
        <w:tc>
          <w:tcPr>
            <w:tcW w:w="1593" w:type="dxa"/>
            <w:tcBorders>
              <w:bottom w:val="single" w:sz="12" w:space="0" w:color="231F20"/>
              <w:right w:val="single" w:sz="8" w:space="0" w:color="231F20"/>
            </w:tcBorders>
          </w:tcPr>
          <w:p w14:paraId="39B88B0E" w14:textId="77777777" w:rsidR="009948F1" w:rsidRDefault="00BC0563">
            <w:pPr>
              <w:pStyle w:val="TableParagraph"/>
              <w:spacing w:before="84"/>
              <w:ind w:left="28"/>
              <w:rPr>
                <w:sz w:val="13"/>
              </w:rPr>
            </w:pPr>
            <w:r>
              <w:rPr>
                <w:color w:val="231F20"/>
                <w:sz w:val="13"/>
              </w:rPr>
              <w:t>Costed in OHT</w:t>
            </w:r>
          </w:p>
        </w:tc>
      </w:tr>
    </w:tbl>
    <w:p w14:paraId="6DE31932" w14:textId="77777777" w:rsidR="009948F1" w:rsidRDefault="009948F1">
      <w:pPr>
        <w:rPr>
          <w:sz w:val="13"/>
        </w:rPr>
        <w:sectPr w:rsidR="009948F1">
          <w:pgSz w:w="11910" w:h="16840"/>
          <w:pgMar w:top="1300" w:right="1080" w:bottom="1340" w:left="1120" w:header="0" w:footer="1155" w:gutter="0"/>
          <w:cols w:space="720"/>
        </w:sectPr>
      </w:pPr>
    </w:p>
    <w:tbl>
      <w:tblPr>
        <w:tblW w:w="0" w:type="auto"/>
        <w:tblInd w:w="18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99"/>
        <w:gridCol w:w="462"/>
        <w:gridCol w:w="534"/>
        <w:gridCol w:w="2548"/>
        <w:gridCol w:w="2419"/>
        <w:gridCol w:w="1449"/>
        <w:gridCol w:w="1526"/>
      </w:tblGrid>
      <w:tr w:rsidR="009948F1" w14:paraId="04B3126D" w14:textId="77777777">
        <w:trPr>
          <w:trHeight w:val="383"/>
        </w:trPr>
        <w:tc>
          <w:tcPr>
            <w:tcW w:w="399" w:type="dxa"/>
            <w:tcBorders>
              <w:left w:val="single" w:sz="12" w:space="0" w:color="231F20"/>
            </w:tcBorders>
            <w:shd w:val="clear" w:color="auto" w:fill="FFF200"/>
          </w:tcPr>
          <w:p w14:paraId="3C4A94DE" w14:textId="77777777" w:rsidR="009948F1" w:rsidRDefault="009948F1">
            <w:pPr>
              <w:pStyle w:val="TableParagraph"/>
              <w:spacing w:before="10"/>
              <w:rPr>
                <w:sz w:val="10"/>
              </w:rPr>
            </w:pPr>
          </w:p>
          <w:p w14:paraId="143DCC50" w14:textId="77777777" w:rsidR="009948F1" w:rsidRDefault="00BC0563">
            <w:pPr>
              <w:pStyle w:val="TableParagraph"/>
              <w:ind w:right="32"/>
              <w:jc w:val="right"/>
              <w:rPr>
                <w:b/>
                <w:sz w:val="12"/>
              </w:rPr>
            </w:pPr>
            <w:bookmarkStart w:id="156" w:name="Page_130"/>
            <w:bookmarkEnd w:id="156"/>
            <w:r>
              <w:rPr>
                <w:b/>
                <w:color w:val="231F20"/>
                <w:sz w:val="12"/>
              </w:rPr>
              <w:t>4.2</w:t>
            </w:r>
          </w:p>
        </w:tc>
        <w:tc>
          <w:tcPr>
            <w:tcW w:w="5963" w:type="dxa"/>
            <w:gridSpan w:val="4"/>
            <w:tcBorders>
              <w:right w:val="single" w:sz="8" w:space="0" w:color="231F20"/>
            </w:tcBorders>
            <w:shd w:val="clear" w:color="auto" w:fill="FFF200"/>
          </w:tcPr>
          <w:p w14:paraId="21D3CD5D" w14:textId="77777777" w:rsidR="009948F1" w:rsidRDefault="009948F1">
            <w:pPr>
              <w:pStyle w:val="TableParagraph"/>
              <w:spacing w:before="5"/>
              <w:rPr>
                <w:sz w:val="10"/>
              </w:rPr>
            </w:pPr>
          </w:p>
          <w:p w14:paraId="557A3A62" w14:textId="77777777" w:rsidR="009948F1" w:rsidRDefault="00BC0563">
            <w:pPr>
              <w:pStyle w:val="TableParagraph"/>
              <w:ind w:left="61"/>
              <w:rPr>
                <w:b/>
                <w:sz w:val="12"/>
              </w:rPr>
            </w:pPr>
            <w:r>
              <w:rPr>
                <w:b/>
                <w:color w:val="231F20"/>
                <w:sz w:val="12"/>
              </w:rPr>
              <w:t>Strengthen prevention, treatment and rehabilitation services for fistula care in Nigeria</w:t>
            </w:r>
          </w:p>
        </w:tc>
        <w:tc>
          <w:tcPr>
            <w:tcW w:w="1449" w:type="dxa"/>
            <w:tcBorders>
              <w:left w:val="single" w:sz="8" w:space="0" w:color="231F20"/>
              <w:right w:val="single" w:sz="8" w:space="0" w:color="231F20"/>
            </w:tcBorders>
            <w:shd w:val="clear" w:color="auto" w:fill="FFF200"/>
          </w:tcPr>
          <w:p w14:paraId="4D1E9406" w14:textId="77777777" w:rsidR="009948F1" w:rsidRDefault="009948F1">
            <w:pPr>
              <w:pStyle w:val="TableParagraph"/>
              <w:rPr>
                <w:rFonts w:ascii="Times New Roman"/>
                <w:sz w:val="12"/>
              </w:rPr>
            </w:pPr>
          </w:p>
        </w:tc>
        <w:tc>
          <w:tcPr>
            <w:tcW w:w="1526" w:type="dxa"/>
            <w:tcBorders>
              <w:left w:val="single" w:sz="8" w:space="0" w:color="231F20"/>
            </w:tcBorders>
            <w:shd w:val="clear" w:color="auto" w:fill="FFF200"/>
          </w:tcPr>
          <w:p w14:paraId="29217C87" w14:textId="77777777" w:rsidR="009948F1" w:rsidRDefault="009948F1">
            <w:pPr>
              <w:pStyle w:val="TableParagraph"/>
              <w:rPr>
                <w:rFonts w:ascii="Times New Roman"/>
                <w:sz w:val="12"/>
              </w:rPr>
            </w:pPr>
          </w:p>
        </w:tc>
      </w:tr>
      <w:tr w:rsidR="009948F1" w14:paraId="161B4B3F" w14:textId="77777777">
        <w:trPr>
          <w:trHeight w:val="865"/>
        </w:trPr>
        <w:tc>
          <w:tcPr>
            <w:tcW w:w="399" w:type="dxa"/>
            <w:tcBorders>
              <w:bottom w:val="nil"/>
            </w:tcBorders>
          </w:tcPr>
          <w:p w14:paraId="64D688BB" w14:textId="77777777" w:rsidR="009948F1" w:rsidRDefault="009948F1">
            <w:pPr>
              <w:pStyle w:val="TableParagraph"/>
              <w:rPr>
                <w:rFonts w:ascii="Times New Roman"/>
                <w:sz w:val="12"/>
              </w:rPr>
            </w:pPr>
          </w:p>
        </w:tc>
        <w:tc>
          <w:tcPr>
            <w:tcW w:w="462" w:type="dxa"/>
            <w:shd w:val="clear" w:color="auto" w:fill="CCE7D3"/>
          </w:tcPr>
          <w:p w14:paraId="1548636D" w14:textId="77777777" w:rsidR="009948F1" w:rsidRDefault="009948F1">
            <w:pPr>
              <w:pStyle w:val="TableParagraph"/>
              <w:rPr>
                <w:sz w:val="12"/>
              </w:rPr>
            </w:pPr>
          </w:p>
          <w:p w14:paraId="151AF8E2" w14:textId="77777777" w:rsidR="009948F1" w:rsidRDefault="009948F1">
            <w:pPr>
              <w:pStyle w:val="TableParagraph"/>
              <w:rPr>
                <w:sz w:val="12"/>
              </w:rPr>
            </w:pPr>
          </w:p>
          <w:p w14:paraId="46CAB6FD" w14:textId="77777777" w:rsidR="009948F1" w:rsidRDefault="00BC0563">
            <w:pPr>
              <w:pStyle w:val="TableParagraph"/>
              <w:spacing w:before="88"/>
              <w:ind w:left="61"/>
              <w:rPr>
                <w:sz w:val="12"/>
              </w:rPr>
            </w:pPr>
            <w:r>
              <w:rPr>
                <w:color w:val="231F20"/>
                <w:sz w:val="12"/>
              </w:rPr>
              <w:t>4.2.1</w:t>
            </w:r>
          </w:p>
        </w:tc>
        <w:tc>
          <w:tcPr>
            <w:tcW w:w="3082" w:type="dxa"/>
            <w:gridSpan w:val="2"/>
            <w:shd w:val="clear" w:color="auto" w:fill="CCE7D3"/>
          </w:tcPr>
          <w:p w14:paraId="69DAED49" w14:textId="77777777" w:rsidR="009948F1" w:rsidRDefault="009948F1">
            <w:pPr>
              <w:pStyle w:val="TableParagraph"/>
              <w:rPr>
                <w:sz w:val="12"/>
              </w:rPr>
            </w:pPr>
          </w:p>
          <w:p w14:paraId="0ECE0082" w14:textId="77777777" w:rsidR="009948F1" w:rsidRDefault="009948F1">
            <w:pPr>
              <w:pStyle w:val="TableParagraph"/>
              <w:rPr>
                <w:sz w:val="12"/>
              </w:rPr>
            </w:pPr>
          </w:p>
          <w:p w14:paraId="0FF63FCA" w14:textId="77777777" w:rsidR="009948F1" w:rsidRDefault="00BC0563">
            <w:pPr>
              <w:pStyle w:val="TableParagraph"/>
              <w:spacing w:before="83"/>
              <w:ind w:left="60"/>
              <w:rPr>
                <w:sz w:val="12"/>
              </w:rPr>
            </w:pPr>
            <w:r>
              <w:rPr>
                <w:color w:val="231F20"/>
                <w:sz w:val="12"/>
              </w:rPr>
              <w:t>Promote Obstetric Fistula preventive interventions</w:t>
            </w:r>
          </w:p>
        </w:tc>
        <w:tc>
          <w:tcPr>
            <w:tcW w:w="2419" w:type="dxa"/>
            <w:shd w:val="clear" w:color="auto" w:fill="CCE7D3"/>
          </w:tcPr>
          <w:p w14:paraId="74F9E393" w14:textId="41169EE3" w:rsidR="009948F1" w:rsidRDefault="00BC0563">
            <w:pPr>
              <w:pStyle w:val="TableParagraph"/>
              <w:numPr>
                <w:ilvl w:val="0"/>
                <w:numId w:val="200"/>
              </w:numPr>
              <w:tabs>
                <w:tab w:val="left" w:pos="96"/>
              </w:tabs>
              <w:spacing w:line="264" w:lineRule="auto"/>
              <w:ind w:right="300" w:firstLine="0"/>
              <w:rPr>
                <w:sz w:val="12"/>
              </w:rPr>
            </w:pPr>
            <w:r>
              <w:rPr>
                <w:color w:val="231F20"/>
                <w:sz w:val="12"/>
              </w:rPr>
              <w:t xml:space="preserve">At least 360 HWs trained on catheterization in prolonged </w:t>
            </w:r>
            <w:r>
              <w:rPr>
                <w:color w:val="231F20"/>
                <w:spacing w:val="-3"/>
                <w:sz w:val="12"/>
              </w:rPr>
              <w:t xml:space="preserve">obstructed </w:t>
            </w:r>
            <w:proofErr w:type="spellStart"/>
            <w:r>
              <w:rPr>
                <w:color w:val="231F20"/>
                <w:sz w:val="12"/>
              </w:rPr>
              <w:t>labour</w:t>
            </w:r>
            <w:proofErr w:type="spellEnd"/>
            <w:r>
              <w:rPr>
                <w:color w:val="231F20"/>
                <w:sz w:val="12"/>
              </w:rPr>
              <w:t xml:space="preserve"> &amp; the use of </w:t>
            </w:r>
            <w:r w:rsidR="00B94D6C">
              <w:rPr>
                <w:color w:val="231F20"/>
                <w:sz w:val="12"/>
              </w:rPr>
              <w:t>catheterization</w:t>
            </w:r>
            <w:r>
              <w:rPr>
                <w:color w:val="231F20"/>
                <w:sz w:val="12"/>
              </w:rPr>
              <w:t xml:space="preserve"> in prolonged </w:t>
            </w:r>
            <w:proofErr w:type="spellStart"/>
            <w:r>
              <w:rPr>
                <w:color w:val="231F20"/>
                <w:sz w:val="12"/>
              </w:rPr>
              <w:t>labour</w:t>
            </w:r>
            <w:proofErr w:type="spellEnd"/>
            <w:r>
              <w:rPr>
                <w:color w:val="231F20"/>
                <w:sz w:val="12"/>
              </w:rPr>
              <w:t xml:space="preserve"> enforced</w:t>
            </w:r>
          </w:p>
          <w:p w14:paraId="319C6B46" w14:textId="77777777" w:rsidR="009948F1" w:rsidRDefault="00BC0563">
            <w:pPr>
              <w:pStyle w:val="TableParagraph"/>
              <w:spacing w:line="137" w:lineRule="exact"/>
              <w:ind w:left="26"/>
              <w:rPr>
                <w:sz w:val="12"/>
              </w:rPr>
            </w:pPr>
            <w:r>
              <w:rPr>
                <w:color w:val="231F20"/>
                <w:sz w:val="12"/>
              </w:rPr>
              <w:t>•</w:t>
            </w:r>
          </w:p>
          <w:p w14:paraId="58CC336C" w14:textId="77777777" w:rsidR="009948F1" w:rsidRDefault="00BC0563">
            <w:pPr>
              <w:pStyle w:val="TableParagraph"/>
              <w:spacing w:before="14" w:line="86" w:lineRule="exact"/>
              <w:ind w:left="26"/>
              <w:rPr>
                <w:sz w:val="12"/>
              </w:rPr>
            </w:pPr>
            <w:r>
              <w:rPr>
                <w:color w:val="231F20"/>
                <w:sz w:val="12"/>
              </w:rPr>
              <w:t>•</w:t>
            </w:r>
          </w:p>
        </w:tc>
        <w:tc>
          <w:tcPr>
            <w:tcW w:w="1449" w:type="dxa"/>
            <w:tcBorders>
              <w:right w:val="single" w:sz="8" w:space="0" w:color="231F20"/>
            </w:tcBorders>
            <w:shd w:val="clear" w:color="auto" w:fill="CCE7D3"/>
          </w:tcPr>
          <w:p w14:paraId="2CDD8BA7" w14:textId="77777777" w:rsidR="009948F1" w:rsidRDefault="009948F1">
            <w:pPr>
              <w:pStyle w:val="TableParagraph"/>
              <w:rPr>
                <w:rFonts w:ascii="Times New Roman"/>
                <w:sz w:val="12"/>
              </w:rPr>
            </w:pPr>
          </w:p>
        </w:tc>
        <w:tc>
          <w:tcPr>
            <w:tcW w:w="1526" w:type="dxa"/>
            <w:tcBorders>
              <w:left w:val="single" w:sz="8" w:space="0" w:color="231F20"/>
            </w:tcBorders>
            <w:shd w:val="clear" w:color="auto" w:fill="CCE7D3"/>
          </w:tcPr>
          <w:p w14:paraId="4A436234" w14:textId="77777777" w:rsidR="009948F1" w:rsidRDefault="009948F1">
            <w:pPr>
              <w:pStyle w:val="TableParagraph"/>
              <w:rPr>
                <w:rFonts w:ascii="Times New Roman"/>
                <w:sz w:val="12"/>
              </w:rPr>
            </w:pPr>
          </w:p>
        </w:tc>
      </w:tr>
      <w:tr w:rsidR="009948F1" w14:paraId="5D24724D" w14:textId="77777777">
        <w:trPr>
          <w:trHeight w:val="290"/>
        </w:trPr>
        <w:tc>
          <w:tcPr>
            <w:tcW w:w="861" w:type="dxa"/>
            <w:gridSpan w:val="2"/>
            <w:vMerge w:val="restart"/>
            <w:tcBorders>
              <w:top w:val="nil"/>
              <w:bottom w:val="nil"/>
            </w:tcBorders>
          </w:tcPr>
          <w:p w14:paraId="30226802" w14:textId="77777777" w:rsidR="009948F1" w:rsidRDefault="009948F1">
            <w:pPr>
              <w:pStyle w:val="TableParagraph"/>
              <w:rPr>
                <w:rFonts w:ascii="Times New Roman"/>
                <w:sz w:val="12"/>
              </w:rPr>
            </w:pPr>
          </w:p>
        </w:tc>
        <w:tc>
          <w:tcPr>
            <w:tcW w:w="534" w:type="dxa"/>
          </w:tcPr>
          <w:p w14:paraId="32FCF071" w14:textId="77777777" w:rsidR="009948F1" w:rsidRDefault="00BC0563">
            <w:pPr>
              <w:pStyle w:val="TableParagraph"/>
              <w:spacing w:before="77"/>
              <w:ind w:left="87"/>
              <w:rPr>
                <w:sz w:val="12"/>
              </w:rPr>
            </w:pPr>
            <w:r>
              <w:rPr>
                <w:color w:val="231F20"/>
                <w:sz w:val="12"/>
              </w:rPr>
              <w:t>4.2.1.a</w:t>
            </w:r>
          </w:p>
        </w:tc>
        <w:tc>
          <w:tcPr>
            <w:tcW w:w="4967" w:type="dxa"/>
            <w:gridSpan w:val="2"/>
          </w:tcPr>
          <w:p w14:paraId="2CA0DF1E" w14:textId="77777777" w:rsidR="009948F1" w:rsidRDefault="00BC0563">
            <w:pPr>
              <w:pStyle w:val="TableParagraph"/>
              <w:spacing w:before="72"/>
              <w:ind w:left="26"/>
              <w:rPr>
                <w:sz w:val="12"/>
              </w:rPr>
            </w:pPr>
            <w:r>
              <w:rPr>
                <w:color w:val="231F20"/>
                <w:sz w:val="12"/>
              </w:rPr>
              <w:t xml:space="preserve">Train health workers on catheterization in prolonged obstructed </w:t>
            </w:r>
            <w:proofErr w:type="spellStart"/>
            <w:r>
              <w:rPr>
                <w:color w:val="231F20"/>
                <w:sz w:val="12"/>
              </w:rPr>
              <w:t>labour</w:t>
            </w:r>
            <w:proofErr w:type="spellEnd"/>
          </w:p>
        </w:tc>
        <w:tc>
          <w:tcPr>
            <w:tcW w:w="1449" w:type="dxa"/>
          </w:tcPr>
          <w:p w14:paraId="329C40FD" w14:textId="77777777" w:rsidR="009948F1" w:rsidRDefault="00BC0563">
            <w:pPr>
              <w:pStyle w:val="TableParagraph"/>
              <w:spacing w:before="77"/>
              <w:ind w:left="25"/>
              <w:rPr>
                <w:sz w:val="12"/>
              </w:rPr>
            </w:pPr>
            <w:r>
              <w:rPr>
                <w:color w:val="231F20"/>
                <w:sz w:val="12"/>
              </w:rPr>
              <w:t>Lack of funds</w:t>
            </w:r>
          </w:p>
        </w:tc>
        <w:tc>
          <w:tcPr>
            <w:tcW w:w="1526" w:type="dxa"/>
          </w:tcPr>
          <w:p w14:paraId="2F760181" w14:textId="77777777" w:rsidR="009948F1" w:rsidRDefault="00BC0563">
            <w:pPr>
              <w:pStyle w:val="TableParagraph"/>
              <w:spacing w:before="77"/>
              <w:ind w:left="24"/>
              <w:rPr>
                <w:sz w:val="12"/>
              </w:rPr>
            </w:pPr>
            <w:r>
              <w:rPr>
                <w:color w:val="231F20"/>
                <w:sz w:val="12"/>
              </w:rPr>
              <w:t>Conduct quarterly meeting</w:t>
            </w:r>
          </w:p>
        </w:tc>
      </w:tr>
      <w:tr w:rsidR="009948F1" w14:paraId="7DF07876" w14:textId="77777777">
        <w:trPr>
          <w:trHeight w:val="279"/>
        </w:trPr>
        <w:tc>
          <w:tcPr>
            <w:tcW w:w="861" w:type="dxa"/>
            <w:gridSpan w:val="2"/>
            <w:vMerge/>
            <w:tcBorders>
              <w:top w:val="nil"/>
              <w:bottom w:val="nil"/>
            </w:tcBorders>
          </w:tcPr>
          <w:p w14:paraId="5A41D5E7" w14:textId="77777777" w:rsidR="009948F1" w:rsidRDefault="009948F1">
            <w:pPr>
              <w:rPr>
                <w:sz w:val="2"/>
                <w:szCs w:val="2"/>
              </w:rPr>
            </w:pPr>
          </w:p>
        </w:tc>
        <w:tc>
          <w:tcPr>
            <w:tcW w:w="534" w:type="dxa"/>
          </w:tcPr>
          <w:p w14:paraId="2AB7E845" w14:textId="77777777" w:rsidR="009948F1" w:rsidRDefault="00BC0563">
            <w:pPr>
              <w:pStyle w:val="TableParagraph"/>
              <w:spacing w:before="72"/>
              <w:ind w:left="87"/>
              <w:rPr>
                <w:sz w:val="12"/>
              </w:rPr>
            </w:pPr>
            <w:r>
              <w:rPr>
                <w:color w:val="231F20"/>
                <w:sz w:val="12"/>
              </w:rPr>
              <w:t>4.2.1.b</w:t>
            </w:r>
          </w:p>
        </w:tc>
        <w:tc>
          <w:tcPr>
            <w:tcW w:w="4967" w:type="dxa"/>
            <w:gridSpan w:val="2"/>
          </w:tcPr>
          <w:p w14:paraId="6C566160" w14:textId="77777777" w:rsidR="009948F1" w:rsidRDefault="00BC0563">
            <w:pPr>
              <w:pStyle w:val="TableParagraph"/>
              <w:spacing w:before="67"/>
              <w:ind w:left="26"/>
              <w:rPr>
                <w:sz w:val="12"/>
              </w:rPr>
            </w:pPr>
            <w:r>
              <w:rPr>
                <w:color w:val="231F20"/>
                <w:sz w:val="12"/>
              </w:rPr>
              <w:t>Collaboration meeting with other sectors to address the determinants of obstetrics fistula</w:t>
            </w:r>
          </w:p>
        </w:tc>
        <w:tc>
          <w:tcPr>
            <w:tcW w:w="1449" w:type="dxa"/>
          </w:tcPr>
          <w:p w14:paraId="48E29690" w14:textId="77777777" w:rsidR="009948F1" w:rsidRDefault="00BC0563">
            <w:pPr>
              <w:pStyle w:val="TableParagraph"/>
              <w:spacing w:before="72"/>
              <w:ind w:left="25"/>
              <w:rPr>
                <w:sz w:val="12"/>
              </w:rPr>
            </w:pPr>
            <w:r>
              <w:rPr>
                <w:color w:val="231F20"/>
                <w:sz w:val="12"/>
              </w:rPr>
              <w:t>Lack of funds</w:t>
            </w:r>
          </w:p>
        </w:tc>
        <w:tc>
          <w:tcPr>
            <w:tcW w:w="1526" w:type="dxa"/>
          </w:tcPr>
          <w:p w14:paraId="37B6E15D" w14:textId="77777777" w:rsidR="009948F1" w:rsidRDefault="00BC0563">
            <w:pPr>
              <w:pStyle w:val="TableParagraph"/>
              <w:spacing w:before="72"/>
              <w:ind w:left="24"/>
              <w:rPr>
                <w:sz w:val="12"/>
              </w:rPr>
            </w:pPr>
            <w:r>
              <w:rPr>
                <w:color w:val="231F20"/>
                <w:sz w:val="12"/>
              </w:rPr>
              <w:t>Collaboration meeting</w:t>
            </w:r>
          </w:p>
        </w:tc>
      </w:tr>
      <w:tr w:rsidR="009948F1" w14:paraId="7F21280B" w14:textId="77777777">
        <w:trPr>
          <w:trHeight w:val="294"/>
        </w:trPr>
        <w:tc>
          <w:tcPr>
            <w:tcW w:w="861" w:type="dxa"/>
            <w:gridSpan w:val="2"/>
            <w:vMerge/>
            <w:tcBorders>
              <w:top w:val="nil"/>
              <w:bottom w:val="nil"/>
            </w:tcBorders>
          </w:tcPr>
          <w:p w14:paraId="0D4A323E" w14:textId="77777777" w:rsidR="009948F1" w:rsidRDefault="009948F1">
            <w:pPr>
              <w:rPr>
                <w:sz w:val="2"/>
                <w:szCs w:val="2"/>
              </w:rPr>
            </w:pPr>
          </w:p>
        </w:tc>
        <w:tc>
          <w:tcPr>
            <w:tcW w:w="534" w:type="dxa"/>
          </w:tcPr>
          <w:p w14:paraId="7276333C" w14:textId="77777777" w:rsidR="009948F1" w:rsidRDefault="00BC0563">
            <w:pPr>
              <w:pStyle w:val="TableParagraph"/>
              <w:spacing w:before="79"/>
              <w:ind w:left="91"/>
              <w:rPr>
                <w:sz w:val="12"/>
              </w:rPr>
            </w:pPr>
            <w:r>
              <w:rPr>
                <w:color w:val="231F20"/>
                <w:sz w:val="12"/>
              </w:rPr>
              <w:t>4.2.1.c</w:t>
            </w:r>
          </w:p>
        </w:tc>
        <w:tc>
          <w:tcPr>
            <w:tcW w:w="4967" w:type="dxa"/>
            <w:gridSpan w:val="2"/>
          </w:tcPr>
          <w:p w14:paraId="3B988646" w14:textId="77777777" w:rsidR="009948F1" w:rsidRDefault="00BC0563">
            <w:pPr>
              <w:pStyle w:val="TableParagraph"/>
              <w:spacing w:before="74"/>
              <w:ind w:left="26"/>
              <w:rPr>
                <w:sz w:val="12"/>
              </w:rPr>
            </w:pPr>
            <w:r>
              <w:rPr>
                <w:color w:val="231F20"/>
                <w:sz w:val="12"/>
              </w:rPr>
              <w:t xml:space="preserve">Monitor and enforce use of catheterization in prolonged obstructed </w:t>
            </w:r>
            <w:proofErr w:type="spellStart"/>
            <w:r>
              <w:rPr>
                <w:color w:val="231F20"/>
                <w:sz w:val="12"/>
              </w:rPr>
              <w:t>labour</w:t>
            </w:r>
            <w:proofErr w:type="spellEnd"/>
          </w:p>
        </w:tc>
        <w:tc>
          <w:tcPr>
            <w:tcW w:w="1449" w:type="dxa"/>
          </w:tcPr>
          <w:p w14:paraId="65640079" w14:textId="77777777" w:rsidR="009948F1" w:rsidRDefault="00BC0563">
            <w:pPr>
              <w:pStyle w:val="TableParagraph"/>
              <w:spacing w:before="79"/>
              <w:ind w:left="25"/>
              <w:rPr>
                <w:sz w:val="12"/>
              </w:rPr>
            </w:pPr>
            <w:r>
              <w:rPr>
                <w:color w:val="231F20"/>
                <w:sz w:val="12"/>
              </w:rPr>
              <w:t>Lack of funds</w:t>
            </w:r>
          </w:p>
        </w:tc>
        <w:tc>
          <w:tcPr>
            <w:tcW w:w="1526" w:type="dxa"/>
          </w:tcPr>
          <w:p w14:paraId="48730204" w14:textId="77777777" w:rsidR="009948F1" w:rsidRDefault="00BC0563">
            <w:pPr>
              <w:pStyle w:val="TableParagraph"/>
              <w:spacing w:before="79"/>
              <w:ind w:left="24"/>
              <w:rPr>
                <w:sz w:val="12"/>
              </w:rPr>
            </w:pPr>
            <w:r>
              <w:rPr>
                <w:color w:val="231F20"/>
                <w:sz w:val="12"/>
              </w:rPr>
              <w:t>Monthly visit</w:t>
            </w:r>
          </w:p>
        </w:tc>
      </w:tr>
      <w:tr w:rsidR="009948F1" w14:paraId="31B6545C" w14:textId="77777777">
        <w:trPr>
          <w:trHeight w:val="946"/>
        </w:trPr>
        <w:tc>
          <w:tcPr>
            <w:tcW w:w="399" w:type="dxa"/>
            <w:tcBorders>
              <w:top w:val="nil"/>
              <w:bottom w:val="nil"/>
            </w:tcBorders>
          </w:tcPr>
          <w:p w14:paraId="360A30F9" w14:textId="77777777" w:rsidR="009948F1" w:rsidRDefault="009948F1">
            <w:pPr>
              <w:pStyle w:val="TableParagraph"/>
              <w:rPr>
                <w:rFonts w:ascii="Times New Roman"/>
                <w:sz w:val="12"/>
              </w:rPr>
            </w:pPr>
          </w:p>
        </w:tc>
        <w:tc>
          <w:tcPr>
            <w:tcW w:w="462" w:type="dxa"/>
            <w:shd w:val="clear" w:color="auto" w:fill="CCE7D3"/>
          </w:tcPr>
          <w:p w14:paraId="4005876A" w14:textId="77777777" w:rsidR="009948F1" w:rsidRDefault="009948F1">
            <w:pPr>
              <w:pStyle w:val="TableParagraph"/>
              <w:rPr>
                <w:sz w:val="12"/>
              </w:rPr>
            </w:pPr>
          </w:p>
          <w:p w14:paraId="2F28C7DF" w14:textId="77777777" w:rsidR="009948F1" w:rsidRDefault="009948F1">
            <w:pPr>
              <w:pStyle w:val="TableParagraph"/>
              <w:rPr>
                <w:sz w:val="12"/>
              </w:rPr>
            </w:pPr>
          </w:p>
          <w:p w14:paraId="4A889219" w14:textId="77777777" w:rsidR="009948F1" w:rsidRDefault="009948F1">
            <w:pPr>
              <w:pStyle w:val="TableParagraph"/>
              <w:spacing w:before="2"/>
              <w:rPr>
                <w:sz w:val="11"/>
              </w:rPr>
            </w:pPr>
          </w:p>
          <w:p w14:paraId="7459ABFC" w14:textId="77777777" w:rsidR="009948F1" w:rsidRDefault="00BC0563">
            <w:pPr>
              <w:pStyle w:val="TableParagraph"/>
              <w:ind w:left="61"/>
              <w:rPr>
                <w:sz w:val="12"/>
              </w:rPr>
            </w:pPr>
            <w:r>
              <w:rPr>
                <w:color w:val="231F20"/>
                <w:sz w:val="12"/>
              </w:rPr>
              <w:t>4.2.2</w:t>
            </w:r>
          </w:p>
        </w:tc>
        <w:tc>
          <w:tcPr>
            <w:tcW w:w="3082" w:type="dxa"/>
            <w:gridSpan w:val="2"/>
            <w:shd w:val="clear" w:color="auto" w:fill="CCE7D3"/>
          </w:tcPr>
          <w:p w14:paraId="2F27D9C2" w14:textId="77777777" w:rsidR="009948F1" w:rsidRDefault="009948F1">
            <w:pPr>
              <w:pStyle w:val="TableParagraph"/>
              <w:rPr>
                <w:sz w:val="12"/>
              </w:rPr>
            </w:pPr>
          </w:p>
          <w:p w14:paraId="26D9C105" w14:textId="77777777" w:rsidR="009948F1" w:rsidRDefault="009948F1">
            <w:pPr>
              <w:pStyle w:val="TableParagraph"/>
              <w:spacing w:before="2"/>
              <w:rPr>
                <w:sz w:val="16"/>
              </w:rPr>
            </w:pPr>
          </w:p>
          <w:p w14:paraId="0ACE929E" w14:textId="77777777" w:rsidR="009948F1" w:rsidRDefault="00BC0563">
            <w:pPr>
              <w:pStyle w:val="TableParagraph"/>
              <w:spacing w:before="1" w:line="264" w:lineRule="auto"/>
              <w:ind w:left="27" w:right="132" w:firstLine="33"/>
              <w:rPr>
                <w:sz w:val="12"/>
              </w:rPr>
            </w:pPr>
            <w:r>
              <w:rPr>
                <w:color w:val="231F20"/>
                <w:sz w:val="12"/>
              </w:rPr>
              <w:t>Strengthen /expand services for treatment of obstetric fistula</w:t>
            </w:r>
          </w:p>
        </w:tc>
        <w:tc>
          <w:tcPr>
            <w:tcW w:w="2419" w:type="dxa"/>
            <w:shd w:val="clear" w:color="auto" w:fill="CCE7D3"/>
          </w:tcPr>
          <w:p w14:paraId="31DB7AE9" w14:textId="77777777" w:rsidR="009948F1" w:rsidRDefault="00BC0563">
            <w:pPr>
              <w:pStyle w:val="TableParagraph"/>
              <w:numPr>
                <w:ilvl w:val="0"/>
                <w:numId w:val="199"/>
              </w:numPr>
              <w:tabs>
                <w:tab w:val="left" w:pos="96"/>
              </w:tabs>
              <w:spacing w:before="26" w:line="264" w:lineRule="auto"/>
              <w:ind w:right="106" w:firstLine="0"/>
              <w:rPr>
                <w:sz w:val="12"/>
              </w:rPr>
            </w:pPr>
            <w:r>
              <w:rPr>
                <w:color w:val="231F20"/>
                <w:sz w:val="12"/>
              </w:rPr>
              <w:t xml:space="preserve">Advocacy visit to the Governor for free treatment and management of </w:t>
            </w:r>
            <w:proofErr w:type="spellStart"/>
            <w:r>
              <w:rPr>
                <w:color w:val="231F20"/>
                <w:sz w:val="12"/>
              </w:rPr>
              <w:t>OF</w:t>
            </w:r>
            <w:proofErr w:type="spellEnd"/>
            <w:r>
              <w:rPr>
                <w:color w:val="231F20"/>
                <w:sz w:val="12"/>
              </w:rPr>
              <w:t xml:space="preserve"> </w:t>
            </w:r>
            <w:r>
              <w:rPr>
                <w:color w:val="231F20"/>
                <w:spacing w:val="-3"/>
                <w:sz w:val="12"/>
              </w:rPr>
              <w:t xml:space="preserve">patients </w:t>
            </w:r>
            <w:r>
              <w:rPr>
                <w:color w:val="231F20"/>
                <w:sz w:val="12"/>
              </w:rPr>
              <w:t>done</w:t>
            </w:r>
          </w:p>
          <w:p w14:paraId="4C07095F" w14:textId="77777777" w:rsidR="009948F1" w:rsidRDefault="00BC0563">
            <w:pPr>
              <w:pStyle w:val="TableParagraph"/>
              <w:numPr>
                <w:ilvl w:val="0"/>
                <w:numId w:val="199"/>
              </w:numPr>
              <w:tabs>
                <w:tab w:val="left" w:pos="102"/>
              </w:tabs>
              <w:spacing w:line="264" w:lineRule="auto"/>
              <w:ind w:right="319" w:firstLine="0"/>
              <w:rPr>
                <w:sz w:val="12"/>
              </w:rPr>
            </w:pPr>
            <w:r>
              <w:rPr>
                <w:color w:val="231F20"/>
                <w:sz w:val="12"/>
              </w:rPr>
              <w:t xml:space="preserve">Regular supply of commodities to </w:t>
            </w:r>
            <w:r>
              <w:rPr>
                <w:color w:val="231F20"/>
                <w:spacing w:val="-8"/>
                <w:sz w:val="12"/>
              </w:rPr>
              <w:t xml:space="preserve">OF </w:t>
            </w:r>
            <w:r>
              <w:rPr>
                <w:color w:val="231F20"/>
                <w:sz w:val="12"/>
              </w:rPr>
              <w:t xml:space="preserve">treatment </w:t>
            </w:r>
            <w:proofErr w:type="spellStart"/>
            <w:r>
              <w:rPr>
                <w:color w:val="231F20"/>
                <w:sz w:val="12"/>
              </w:rPr>
              <w:t>centre</w:t>
            </w:r>
            <w:proofErr w:type="spellEnd"/>
            <w:r>
              <w:rPr>
                <w:color w:val="231F20"/>
                <w:sz w:val="12"/>
              </w:rPr>
              <w:t xml:space="preserve"> done</w:t>
            </w:r>
          </w:p>
          <w:p w14:paraId="44FF5B5A" w14:textId="77777777" w:rsidR="009948F1" w:rsidRDefault="00BC0563">
            <w:pPr>
              <w:pStyle w:val="TableParagraph"/>
              <w:spacing w:line="138" w:lineRule="exact"/>
              <w:ind w:left="26"/>
              <w:rPr>
                <w:sz w:val="12"/>
              </w:rPr>
            </w:pPr>
            <w:r>
              <w:rPr>
                <w:color w:val="231F20"/>
                <w:sz w:val="12"/>
              </w:rPr>
              <w:t>•</w:t>
            </w:r>
          </w:p>
        </w:tc>
        <w:tc>
          <w:tcPr>
            <w:tcW w:w="1449" w:type="dxa"/>
            <w:tcBorders>
              <w:right w:val="single" w:sz="8" w:space="0" w:color="231F20"/>
            </w:tcBorders>
            <w:shd w:val="clear" w:color="auto" w:fill="CCE7D3"/>
          </w:tcPr>
          <w:p w14:paraId="13605D5F" w14:textId="77777777" w:rsidR="009948F1" w:rsidRDefault="009948F1">
            <w:pPr>
              <w:pStyle w:val="TableParagraph"/>
              <w:rPr>
                <w:rFonts w:ascii="Times New Roman"/>
                <w:sz w:val="12"/>
              </w:rPr>
            </w:pPr>
          </w:p>
        </w:tc>
        <w:tc>
          <w:tcPr>
            <w:tcW w:w="1526" w:type="dxa"/>
            <w:tcBorders>
              <w:left w:val="single" w:sz="8" w:space="0" w:color="231F20"/>
            </w:tcBorders>
            <w:shd w:val="clear" w:color="auto" w:fill="CCE7D3"/>
          </w:tcPr>
          <w:p w14:paraId="72EAB889" w14:textId="77777777" w:rsidR="009948F1" w:rsidRDefault="009948F1">
            <w:pPr>
              <w:pStyle w:val="TableParagraph"/>
              <w:rPr>
                <w:rFonts w:ascii="Times New Roman"/>
                <w:sz w:val="12"/>
              </w:rPr>
            </w:pPr>
          </w:p>
        </w:tc>
      </w:tr>
      <w:tr w:rsidR="009948F1" w14:paraId="77695F9E" w14:textId="77777777">
        <w:trPr>
          <w:trHeight w:val="290"/>
        </w:trPr>
        <w:tc>
          <w:tcPr>
            <w:tcW w:w="861" w:type="dxa"/>
            <w:gridSpan w:val="2"/>
            <w:vMerge w:val="restart"/>
            <w:tcBorders>
              <w:top w:val="nil"/>
              <w:bottom w:val="nil"/>
            </w:tcBorders>
          </w:tcPr>
          <w:p w14:paraId="3ACF192D" w14:textId="77777777" w:rsidR="009948F1" w:rsidRDefault="009948F1">
            <w:pPr>
              <w:pStyle w:val="TableParagraph"/>
              <w:rPr>
                <w:rFonts w:ascii="Times New Roman"/>
                <w:sz w:val="12"/>
              </w:rPr>
            </w:pPr>
          </w:p>
        </w:tc>
        <w:tc>
          <w:tcPr>
            <w:tcW w:w="534" w:type="dxa"/>
          </w:tcPr>
          <w:p w14:paraId="36059F53" w14:textId="77777777" w:rsidR="009948F1" w:rsidRDefault="00BC0563">
            <w:pPr>
              <w:pStyle w:val="TableParagraph"/>
              <w:spacing w:before="77"/>
              <w:ind w:left="87"/>
              <w:rPr>
                <w:sz w:val="12"/>
              </w:rPr>
            </w:pPr>
            <w:r>
              <w:rPr>
                <w:color w:val="231F20"/>
                <w:sz w:val="12"/>
              </w:rPr>
              <w:t>4.2.2.a</w:t>
            </w:r>
          </w:p>
        </w:tc>
        <w:tc>
          <w:tcPr>
            <w:tcW w:w="4967" w:type="dxa"/>
            <w:gridSpan w:val="2"/>
          </w:tcPr>
          <w:p w14:paraId="10BE140A" w14:textId="77777777" w:rsidR="009948F1" w:rsidRDefault="00BC0563">
            <w:pPr>
              <w:pStyle w:val="TableParagraph"/>
              <w:spacing w:before="72"/>
              <w:ind w:left="26"/>
              <w:rPr>
                <w:sz w:val="12"/>
              </w:rPr>
            </w:pPr>
            <w:r>
              <w:rPr>
                <w:color w:val="231F20"/>
                <w:sz w:val="12"/>
              </w:rPr>
              <w:t xml:space="preserve">Advocacy visit to the Governor for free treatment and management of </w:t>
            </w:r>
            <w:proofErr w:type="spellStart"/>
            <w:r>
              <w:rPr>
                <w:color w:val="231F20"/>
                <w:sz w:val="12"/>
              </w:rPr>
              <w:t>OF</w:t>
            </w:r>
            <w:proofErr w:type="spellEnd"/>
            <w:r>
              <w:rPr>
                <w:color w:val="231F20"/>
                <w:sz w:val="12"/>
              </w:rPr>
              <w:t xml:space="preserve"> patients</w:t>
            </w:r>
          </w:p>
        </w:tc>
        <w:tc>
          <w:tcPr>
            <w:tcW w:w="1449" w:type="dxa"/>
          </w:tcPr>
          <w:p w14:paraId="671371C9" w14:textId="77777777" w:rsidR="009948F1" w:rsidRDefault="00BC0563">
            <w:pPr>
              <w:pStyle w:val="TableParagraph"/>
              <w:spacing w:before="77"/>
              <w:ind w:left="25"/>
              <w:rPr>
                <w:sz w:val="12"/>
              </w:rPr>
            </w:pPr>
            <w:r>
              <w:rPr>
                <w:color w:val="231F20"/>
                <w:sz w:val="12"/>
              </w:rPr>
              <w:t>Lack of funds</w:t>
            </w:r>
          </w:p>
        </w:tc>
        <w:tc>
          <w:tcPr>
            <w:tcW w:w="1526" w:type="dxa"/>
          </w:tcPr>
          <w:p w14:paraId="70012806" w14:textId="35AAD474" w:rsidR="009948F1" w:rsidRDefault="00B94D6C">
            <w:pPr>
              <w:pStyle w:val="TableParagraph"/>
              <w:spacing w:before="77"/>
              <w:ind w:left="24"/>
              <w:rPr>
                <w:sz w:val="12"/>
              </w:rPr>
            </w:pPr>
            <w:r>
              <w:rPr>
                <w:color w:val="231F20"/>
                <w:sz w:val="12"/>
              </w:rPr>
              <w:t>Advocacy</w:t>
            </w:r>
            <w:r w:rsidR="00BC0563">
              <w:rPr>
                <w:color w:val="231F20"/>
                <w:sz w:val="12"/>
              </w:rPr>
              <w:t xml:space="preserve"> visit</w:t>
            </w:r>
          </w:p>
        </w:tc>
      </w:tr>
      <w:tr w:rsidR="009948F1" w14:paraId="00D59A39" w14:textId="77777777">
        <w:trPr>
          <w:trHeight w:val="528"/>
        </w:trPr>
        <w:tc>
          <w:tcPr>
            <w:tcW w:w="861" w:type="dxa"/>
            <w:gridSpan w:val="2"/>
            <w:vMerge/>
            <w:tcBorders>
              <w:top w:val="nil"/>
              <w:bottom w:val="nil"/>
            </w:tcBorders>
          </w:tcPr>
          <w:p w14:paraId="208630E7" w14:textId="77777777" w:rsidR="009948F1" w:rsidRDefault="009948F1">
            <w:pPr>
              <w:rPr>
                <w:sz w:val="2"/>
                <w:szCs w:val="2"/>
              </w:rPr>
            </w:pPr>
          </w:p>
        </w:tc>
        <w:tc>
          <w:tcPr>
            <w:tcW w:w="534" w:type="dxa"/>
          </w:tcPr>
          <w:p w14:paraId="570ED52C" w14:textId="77777777" w:rsidR="009948F1" w:rsidRDefault="009948F1">
            <w:pPr>
              <w:pStyle w:val="TableParagraph"/>
              <w:spacing w:before="1"/>
              <w:rPr>
                <w:sz w:val="17"/>
              </w:rPr>
            </w:pPr>
          </w:p>
          <w:p w14:paraId="6F14EF38" w14:textId="77777777" w:rsidR="009948F1" w:rsidRDefault="00BC0563">
            <w:pPr>
              <w:pStyle w:val="TableParagraph"/>
              <w:ind w:left="87"/>
              <w:rPr>
                <w:sz w:val="12"/>
              </w:rPr>
            </w:pPr>
            <w:r>
              <w:rPr>
                <w:color w:val="231F20"/>
                <w:sz w:val="12"/>
              </w:rPr>
              <w:t>4.2.2.b</w:t>
            </w:r>
          </w:p>
        </w:tc>
        <w:tc>
          <w:tcPr>
            <w:tcW w:w="4967" w:type="dxa"/>
            <w:gridSpan w:val="2"/>
            <w:tcBorders>
              <w:right w:val="single" w:sz="8" w:space="0" w:color="231F20"/>
            </w:tcBorders>
          </w:tcPr>
          <w:p w14:paraId="112A2950" w14:textId="77777777" w:rsidR="009948F1" w:rsidRDefault="009948F1">
            <w:pPr>
              <w:pStyle w:val="TableParagraph"/>
              <w:rPr>
                <w:sz w:val="10"/>
              </w:rPr>
            </w:pPr>
          </w:p>
          <w:p w14:paraId="197FA02E" w14:textId="77777777" w:rsidR="009948F1" w:rsidRDefault="00BC0563">
            <w:pPr>
              <w:pStyle w:val="TableParagraph"/>
              <w:spacing w:line="264" w:lineRule="auto"/>
              <w:ind w:left="26" w:right="368"/>
              <w:rPr>
                <w:sz w:val="12"/>
              </w:rPr>
            </w:pPr>
            <w:r>
              <w:rPr>
                <w:color w:val="231F20"/>
                <w:sz w:val="12"/>
              </w:rPr>
              <w:t xml:space="preserve">Regular supply of commodities to strengthen existing Obstetric Fistula (OF) treatment </w:t>
            </w:r>
            <w:proofErr w:type="spellStart"/>
            <w:r>
              <w:rPr>
                <w:color w:val="231F20"/>
                <w:sz w:val="12"/>
              </w:rPr>
              <w:t>centre</w:t>
            </w:r>
            <w:proofErr w:type="spellEnd"/>
            <w:r>
              <w:rPr>
                <w:color w:val="231F20"/>
                <w:sz w:val="12"/>
              </w:rPr>
              <w:t xml:space="preserve"> in the state</w:t>
            </w:r>
          </w:p>
        </w:tc>
        <w:tc>
          <w:tcPr>
            <w:tcW w:w="1449" w:type="dxa"/>
            <w:tcBorders>
              <w:left w:val="single" w:sz="8" w:space="0" w:color="231F20"/>
            </w:tcBorders>
          </w:tcPr>
          <w:p w14:paraId="5030CE71" w14:textId="77777777" w:rsidR="009948F1" w:rsidRDefault="009948F1">
            <w:pPr>
              <w:pStyle w:val="TableParagraph"/>
              <w:spacing w:before="1"/>
              <w:rPr>
                <w:sz w:val="17"/>
              </w:rPr>
            </w:pPr>
          </w:p>
          <w:p w14:paraId="7B6C94B2" w14:textId="77777777" w:rsidR="009948F1" w:rsidRDefault="00BC0563">
            <w:pPr>
              <w:pStyle w:val="TableParagraph"/>
              <w:ind w:left="23"/>
              <w:rPr>
                <w:sz w:val="12"/>
              </w:rPr>
            </w:pPr>
            <w:r>
              <w:rPr>
                <w:color w:val="231F20"/>
                <w:sz w:val="12"/>
              </w:rPr>
              <w:t>Lack of funds</w:t>
            </w:r>
          </w:p>
        </w:tc>
        <w:tc>
          <w:tcPr>
            <w:tcW w:w="1526" w:type="dxa"/>
          </w:tcPr>
          <w:p w14:paraId="0F917417" w14:textId="77777777" w:rsidR="009948F1" w:rsidRDefault="009948F1">
            <w:pPr>
              <w:pStyle w:val="TableParagraph"/>
              <w:spacing w:before="1"/>
              <w:rPr>
                <w:sz w:val="17"/>
              </w:rPr>
            </w:pPr>
          </w:p>
          <w:p w14:paraId="5A1F60E8" w14:textId="77777777" w:rsidR="009948F1" w:rsidRDefault="00BC0563">
            <w:pPr>
              <w:pStyle w:val="TableParagraph"/>
              <w:ind w:left="24"/>
              <w:rPr>
                <w:sz w:val="12"/>
              </w:rPr>
            </w:pPr>
            <w:r>
              <w:rPr>
                <w:color w:val="231F20"/>
                <w:sz w:val="12"/>
              </w:rPr>
              <w:t>Costed in OHT</w:t>
            </w:r>
          </w:p>
        </w:tc>
      </w:tr>
      <w:tr w:rsidR="009948F1" w14:paraId="51F280B3" w14:textId="77777777">
        <w:trPr>
          <w:trHeight w:val="1088"/>
        </w:trPr>
        <w:tc>
          <w:tcPr>
            <w:tcW w:w="399" w:type="dxa"/>
            <w:tcBorders>
              <w:top w:val="nil"/>
              <w:bottom w:val="nil"/>
            </w:tcBorders>
          </w:tcPr>
          <w:p w14:paraId="1D8A2C70" w14:textId="77777777" w:rsidR="009948F1" w:rsidRDefault="009948F1">
            <w:pPr>
              <w:pStyle w:val="TableParagraph"/>
              <w:rPr>
                <w:rFonts w:ascii="Times New Roman"/>
                <w:sz w:val="12"/>
              </w:rPr>
            </w:pPr>
          </w:p>
        </w:tc>
        <w:tc>
          <w:tcPr>
            <w:tcW w:w="462" w:type="dxa"/>
            <w:shd w:val="clear" w:color="auto" w:fill="CCE7D3"/>
          </w:tcPr>
          <w:p w14:paraId="58D79336" w14:textId="77777777" w:rsidR="009948F1" w:rsidRDefault="009948F1">
            <w:pPr>
              <w:pStyle w:val="TableParagraph"/>
              <w:rPr>
                <w:sz w:val="12"/>
              </w:rPr>
            </w:pPr>
          </w:p>
          <w:p w14:paraId="613771BE" w14:textId="77777777" w:rsidR="009948F1" w:rsidRDefault="009948F1">
            <w:pPr>
              <w:pStyle w:val="TableParagraph"/>
              <w:rPr>
                <w:sz w:val="12"/>
              </w:rPr>
            </w:pPr>
          </w:p>
          <w:p w14:paraId="27137691" w14:textId="77777777" w:rsidR="009948F1" w:rsidRDefault="009948F1">
            <w:pPr>
              <w:pStyle w:val="TableParagraph"/>
              <w:spacing w:before="4"/>
              <w:rPr>
                <w:sz w:val="17"/>
              </w:rPr>
            </w:pPr>
          </w:p>
          <w:p w14:paraId="30B86BC6" w14:textId="77777777" w:rsidR="009948F1" w:rsidRDefault="00BC0563">
            <w:pPr>
              <w:pStyle w:val="TableParagraph"/>
              <w:spacing w:before="1"/>
              <w:ind w:left="61"/>
              <w:rPr>
                <w:sz w:val="12"/>
              </w:rPr>
            </w:pPr>
            <w:r>
              <w:rPr>
                <w:color w:val="231F20"/>
                <w:sz w:val="12"/>
              </w:rPr>
              <w:t>4.2.3</w:t>
            </w:r>
          </w:p>
        </w:tc>
        <w:tc>
          <w:tcPr>
            <w:tcW w:w="3082" w:type="dxa"/>
            <w:gridSpan w:val="2"/>
            <w:shd w:val="clear" w:color="auto" w:fill="CCE7D3"/>
          </w:tcPr>
          <w:p w14:paraId="2E0B4F44" w14:textId="77777777" w:rsidR="009948F1" w:rsidRDefault="009948F1">
            <w:pPr>
              <w:pStyle w:val="TableParagraph"/>
              <w:rPr>
                <w:sz w:val="12"/>
              </w:rPr>
            </w:pPr>
          </w:p>
          <w:p w14:paraId="02ECB05C" w14:textId="77777777" w:rsidR="009948F1" w:rsidRDefault="009948F1">
            <w:pPr>
              <w:pStyle w:val="TableParagraph"/>
              <w:rPr>
                <w:sz w:val="12"/>
              </w:rPr>
            </w:pPr>
          </w:p>
          <w:p w14:paraId="4D3665EE" w14:textId="77777777" w:rsidR="009948F1" w:rsidRDefault="009948F1">
            <w:pPr>
              <w:pStyle w:val="TableParagraph"/>
              <w:spacing w:before="4"/>
              <w:rPr>
                <w:sz w:val="10"/>
              </w:rPr>
            </w:pPr>
          </w:p>
          <w:p w14:paraId="3AF13142" w14:textId="77777777" w:rsidR="009948F1" w:rsidRDefault="00BC0563">
            <w:pPr>
              <w:pStyle w:val="TableParagraph"/>
              <w:spacing w:line="264" w:lineRule="auto"/>
              <w:ind w:left="27" w:right="38" w:firstLine="33"/>
              <w:rPr>
                <w:sz w:val="12"/>
              </w:rPr>
            </w:pPr>
            <w:r>
              <w:rPr>
                <w:color w:val="231F20"/>
                <w:sz w:val="12"/>
              </w:rPr>
              <w:t>Foster community participation for the rehabilitation and re-integration of fistula patients</w:t>
            </w:r>
          </w:p>
        </w:tc>
        <w:tc>
          <w:tcPr>
            <w:tcW w:w="2419" w:type="dxa"/>
            <w:shd w:val="clear" w:color="auto" w:fill="CCE7D3"/>
          </w:tcPr>
          <w:p w14:paraId="51FB7AA1" w14:textId="77777777" w:rsidR="009948F1" w:rsidRDefault="00BC0563">
            <w:pPr>
              <w:pStyle w:val="TableParagraph"/>
              <w:numPr>
                <w:ilvl w:val="0"/>
                <w:numId w:val="198"/>
              </w:numPr>
              <w:tabs>
                <w:tab w:val="left" w:pos="102"/>
              </w:tabs>
              <w:spacing w:before="96" w:line="264" w:lineRule="auto"/>
              <w:ind w:right="372" w:firstLine="0"/>
              <w:rPr>
                <w:sz w:val="12"/>
              </w:rPr>
            </w:pPr>
            <w:r>
              <w:rPr>
                <w:color w:val="231F20"/>
                <w:sz w:val="12"/>
              </w:rPr>
              <w:t xml:space="preserve">OF mitigation and rehabilitation </w:t>
            </w:r>
            <w:r>
              <w:rPr>
                <w:color w:val="231F20"/>
                <w:spacing w:val="-4"/>
                <w:sz w:val="12"/>
              </w:rPr>
              <w:t xml:space="preserve">plan </w:t>
            </w:r>
            <w:r>
              <w:rPr>
                <w:color w:val="231F20"/>
                <w:sz w:val="12"/>
              </w:rPr>
              <w:t>developed</w:t>
            </w:r>
          </w:p>
          <w:p w14:paraId="379C6188" w14:textId="5EE4F9BE" w:rsidR="009948F1" w:rsidRDefault="00BC0563">
            <w:pPr>
              <w:pStyle w:val="TableParagraph"/>
              <w:numPr>
                <w:ilvl w:val="0"/>
                <w:numId w:val="198"/>
              </w:numPr>
              <w:tabs>
                <w:tab w:val="left" w:pos="96"/>
              </w:tabs>
              <w:spacing w:line="264" w:lineRule="auto"/>
              <w:ind w:right="52" w:firstLine="0"/>
              <w:rPr>
                <w:sz w:val="12"/>
              </w:rPr>
            </w:pPr>
            <w:r>
              <w:rPr>
                <w:color w:val="231F20"/>
                <w:sz w:val="12"/>
              </w:rPr>
              <w:t xml:space="preserve">Advocacy to integrate counseling into the </w:t>
            </w:r>
            <w:r w:rsidR="00B94D6C">
              <w:rPr>
                <w:color w:val="231F20"/>
                <w:sz w:val="12"/>
              </w:rPr>
              <w:t>continuum</w:t>
            </w:r>
            <w:r>
              <w:rPr>
                <w:color w:val="231F20"/>
                <w:sz w:val="12"/>
              </w:rPr>
              <w:t xml:space="preserve"> of </w:t>
            </w:r>
            <w:proofErr w:type="spellStart"/>
            <w:r>
              <w:rPr>
                <w:color w:val="231F20"/>
                <w:sz w:val="12"/>
              </w:rPr>
              <w:t>OF</w:t>
            </w:r>
            <w:proofErr w:type="spellEnd"/>
            <w:r>
              <w:rPr>
                <w:color w:val="231F20"/>
                <w:sz w:val="12"/>
              </w:rPr>
              <w:t xml:space="preserve"> patient management</w:t>
            </w:r>
            <w:r>
              <w:rPr>
                <w:color w:val="231F20"/>
                <w:spacing w:val="10"/>
                <w:sz w:val="12"/>
              </w:rPr>
              <w:t xml:space="preserve"> </w:t>
            </w:r>
            <w:r>
              <w:rPr>
                <w:color w:val="231F20"/>
                <w:spacing w:val="-5"/>
                <w:sz w:val="12"/>
              </w:rPr>
              <w:t>done</w:t>
            </w:r>
          </w:p>
          <w:p w14:paraId="05567F98" w14:textId="77777777" w:rsidR="009948F1" w:rsidRDefault="00BC0563">
            <w:pPr>
              <w:pStyle w:val="TableParagraph"/>
              <w:numPr>
                <w:ilvl w:val="0"/>
                <w:numId w:val="198"/>
              </w:numPr>
              <w:tabs>
                <w:tab w:val="left" w:pos="96"/>
              </w:tabs>
              <w:spacing w:line="264" w:lineRule="auto"/>
              <w:ind w:right="191" w:firstLine="0"/>
              <w:rPr>
                <w:sz w:val="12"/>
              </w:rPr>
            </w:pPr>
            <w:r>
              <w:rPr>
                <w:color w:val="231F20"/>
                <w:sz w:val="12"/>
              </w:rPr>
              <w:t xml:space="preserve">At least 20 CBOs trained to conduct </w:t>
            </w:r>
            <w:r>
              <w:rPr>
                <w:color w:val="231F20"/>
                <w:spacing w:val="-7"/>
                <w:sz w:val="12"/>
              </w:rPr>
              <w:t xml:space="preserve">OF </w:t>
            </w:r>
            <w:r>
              <w:rPr>
                <w:color w:val="231F20"/>
                <w:sz w:val="12"/>
              </w:rPr>
              <w:t>rehabilitation interventions</w:t>
            </w:r>
          </w:p>
        </w:tc>
        <w:tc>
          <w:tcPr>
            <w:tcW w:w="1449" w:type="dxa"/>
            <w:tcBorders>
              <w:right w:val="single" w:sz="8" w:space="0" w:color="231F20"/>
            </w:tcBorders>
            <w:shd w:val="clear" w:color="auto" w:fill="CCE7D3"/>
          </w:tcPr>
          <w:p w14:paraId="62698DE2" w14:textId="77777777" w:rsidR="009948F1" w:rsidRDefault="009948F1">
            <w:pPr>
              <w:pStyle w:val="TableParagraph"/>
              <w:rPr>
                <w:rFonts w:ascii="Times New Roman"/>
                <w:sz w:val="12"/>
              </w:rPr>
            </w:pPr>
          </w:p>
        </w:tc>
        <w:tc>
          <w:tcPr>
            <w:tcW w:w="1526" w:type="dxa"/>
            <w:tcBorders>
              <w:left w:val="single" w:sz="8" w:space="0" w:color="231F20"/>
            </w:tcBorders>
            <w:shd w:val="clear" w:color="auto" w:fill="CCE7D3"/>
          </w:tcPr>
          <w:p w14:paraId="067502A1" w14:textId="77777777" w:rsidR="009948F1" w:rsidRDefault="009948F1">
            <w:pPr>
              <w:pStyle w:val="TableParagraph"/>
              <w:rPr>
                <w:rFonts w:ascii="Times New Roman"/>
                <w:sz w:val="12"/>
              </w:rPr>
            </w:pPr>
          </w:p>
        </w:tc>
      </w:tr>
      <w:tr w:rsidR="009948F1" w14:paraId="3BD5BA1A" w14:textId="77777777">
        <w:trPr>
          <w:trHeight w:val="290"/>
        </w:trPr>
        <w:tc>
          <w:tcPr>
            <w:tcW w:w="861" w:type="dxa"/>
            <w:gridSpan w:val="2"/>
            <w:vMerge w:val="restart"/>
            <w:tcBorders>
              <w:top w:val="nil"/>
            </w:tcBorders>
          </w:tcPr>
          <w:p w14:paraId="5F40454B" w14:textId="77777777" w:rsidR="009948F1" w:rsidRDefault="009948F1">
            <w:pPr>
              <w:pStyle w:val="TableParagraph"/>
              <w:rPr>
                <w:rFonts w:ascii="Times New Roman"/>
                <w:sz w:val="12"/>
              </w:rPr>
            </w:pPr>
          </w:p>
        </w:tc>
        <w:tc>
          <w:tcPr>
            <w:tcW w:w="534" w:type="dxa"/>
          </w:tcPr>
          <w:p w14:paraId="3FAF2829" w14:textId="77777777" w:rsidR="009948F1" w:rsidRDefault="00BC0563">
            <w:pPr>
              <w:pStyle w:val="TableParagraph"/>
              <w:spacing w:before="77"/>
              <w:ind w:left="87"/>
              <w:rPr>
                <w:sz w:val="12"/>
              </w:rPr>
            </w:pPr>
            <w:r>
              <w:rPr>
                <w:color w:val="231F20"/>
                <w:sz w:val="12"/>
              </w:rPr>
              <w:t>4.2.3.a</w:t>
            </w:r>
          </w:p>
        </w:tc>
        <w:tc>
          <w:tcPr>
            <w:tcW w:w="4967" w:type="dxa"/>
            <w:gridSpan w:val="2"/>
          </w:tcPr>
          <w:p w14:paraId="3DA48589" w14:textId="77777777" w:rsidR="009948F1" w:rsidRDefault="00BC0563">
            <w:pPr>
              <w:pStyle w:val="TableParagraph"/>
              <w:spacing w:before="72"/>
              <w:ind w:left="26"/>
              <w:rPr>
                <w:sz w:val="12"/>
              </w:rPr>
            </w:pPr>
            <w:r>
              <w:rPr>
                <w:color w:val="231F20"/>
                <w:sz w:val="12"/>
              </w:rPr>
              <w:t>Meeting to develop an OF mitigation and rehabilitation plan</w:t>
            </w:r>
          </w:p>
        </w:tc>
        <w:tc>
          <w:tcPr>
            <w:tcW w:w="1449" w:type="dxa"/>
          </w:tcPr>
          <w:p w14:paraId="6BA3AE09" w14:textId="77777777" w:rsidR="009948F1" w:rsidRDefault="00BC0563">
            <w:pPr>
              <w:pStyle w:val="TableParagraph"/>
              <w:spacing w:before="77"/>
              <w:ind w:left="25"/>
              <w:rPr>
                <w:sz w:val="12"/>
              </w:rPr>
            </w:pPr>
            <w:r>
              <w:rPr>
                <w:color w:val="231F20"/>
                <w:sz w:val="12"/>
              </w:rPr>
              <w:t>Lack of funds</w:t>
            </w:r>
          </w:p>
        </w:tc>
        <w:tc>
          <w:tcPr>
            <w:tcW w:w="1526" w:type="dxa"/>
          </w:tcPr>
          <w:p w14:paraId="0158843D" w14:textId="77777777" w:rsidR="009948F1" w:rsidRDefault="00BC0563">
            <w:pPr>
              <w:pStyle w:val="TableParagraph"/>
              <w:spacing w:before="77"/>
              <w:ind w:left="24"/>
              <w:rPr>
                <w:sz w:val="12"/>
              </w:rPr>
            </w:pPr>
            <w:r>
              <w:rPr>
                <w:color w:val="231F20"/>
                <w:sz w:val="12"/>
              </w:rPr>
              <w:t>Costed in 4.2.1b</w:t>
            </w:r>
          </w:p>
        </w:tc>
      </w:tr>
      <w:tr w:rsidR="009948F1" w14:paraId="4C46EF5F" w14:textId="77777777">
        <w:trPr>
          <w:trHeight w:val="279"/>
        </w:trPr>
        <w:tc>
          <w:tcPr>
            <w:tcW w:w="861" w:type="dxa"/>
            <w:gridSpan w:val="2"/>
            <w:vMerge/>
            <w:tcBorders>
              <w:top w:val="nil"/>
            </w:tcBorders>
          </w:tcPr>
          <w:p w14:paraId="11515C27" w14:textId="77777777" w:rsidR="009948F1" w:rsidRDefault="009948F1">
            <w:pPr>
              <w:rPr>
                <w:sz w:val="2"/>
                <w:szCs w:val="2"/>
              </w:rPr>
            </w:pPr>
          </w:p>
        </w:tc>
        <w:tc>
          <w:tcPr>
            <w:tcW w:w="534" w:type="dxa"/>
          </w:tcPr>
          <w:p w14:paraId="794907E6" w14:textId="77777777" w:rsidR="009948F1" w:rsidRDefault="00BC0563">
            <w:pPr>
              <w:pStyle w:val="TableParagraph"/>
              <w:spacing w:before="72"/>
              <w:ind w:left="87"/>
              <w:rPr>
                <w:sz w:val="12"/>
              </w:rPr>
            </w:pPr>
            <w:r>
              <w:rPr>
                <w:color w:val="231F20"/>
                <w:sz w:val="12"/>
              </w:rPr>
              <w:t>4.2.3.b</w:t>
            </w:r>
          </w:p>
        </w:tc>
        <w:tc>
          <w:tcPr>
            <w:tcW w:w="4967" w:type="dxa"/>
            <w:gridSpan w:val="2"/>
          </w:tcPr>
          <w:p w14:paraId="01C10A8E" w14:textId="73185700" w:rsidR="009948F1" w:rsidRDefault="00BC0563">
            <w:pPr>
              <w:pStyle w:val="TableParagraph"/>
              <w:spacing w:before="67"/>
              <w:ind w:left="26"/>
              <w:rPr>
                <w:sz w:val="12"/>
              </w:rPr>
            </w:pPr>
            <w:r>
              <w:rPr>
                <w:color w:val="231F20"/>
                <w:sz w:val="12"/>
              </w:rPr>
              <w:t xml:space="preserve">Advocacy to integrate counseling into the </w:t>
            </w:r>
            <w:r w:rsidR="00B94D6C">
              <w:rPr>
                <w:color w:val="231F20"/>
                <w:sz w:val="12"/>
              </w:rPr>
              <w:t>continuum</w:t>
            </w:r>
            <w:r>
              <w:rPr>
                <w:color w:val="231F20"/>
                <w:sz w:val="12"/>
              </w:rPr>
              <w:t xml:space="preserve"> of </w:t>
            </w:r>
            <w:proofErr w:type="spellStart"/>
            <w:r>
              <w:rPr>
                <w:color w:val="231F20"/>
                <w:sz w:val="12"/>
              </w:rPr>
              <w:t>OF</w:t>
            </w:r>
            <w:proofErr w:type="spellEnd"/>
            <w:r>
              <w:rPr>
                <w:color w:val="231F20"/>
                <w:sz w:val="12"/>
              </w:rPr>
              <w:t xml:space="preserve"> patient management</w:t>
            </w:r>
          </w:p>
        </w:tc>
        <w:tc>
          <w:tcPr>
            <w:tcW w:w="1449" w:type="dxa"/>
          </w:tcPr>
          <w:p w14:paraId="65BE90C5" w14:textId="77777777" w:rsidR="009948F1" w:rsidRDefault="00BC0563">
            <w:pPr>
              <w:pStyle w:val="TableParagraph"/>
              <w:spacing w:before="72"/>
              <w:ind w:left="25"/>
              <w:rPr>
                <w:sz w:val="12"/>
              </w:rPr>
            </w:pPr>
            <w:r>
              <w:rPr>
                <w:color w:val="231F20"/>
                <w:sz w:val="12"/>
              </w:rPr>
              <w:t>Lack of funds</w:t>
            </w:r>
          </w:p>
        </w:tc>
        <w:tc>
          <w:tcPr>
            <w:tcW w:w="1526" w:type="dxa"/>
          </w:tcPr>
          <w:p w14:paraId="5AC4D5B2" w14:textId="77777777" w:rsidR="009948F1" w:rsidRDefault="00BC0563">
            <w:pPr>
              <w:pStyle w:val="TableParagraph"/>
              <w:spacing w:before="72"/>
              <w:ind w:left="24"/>
              <w:rPr>
                <w:sz w:val="12"/>
              </w:rPr>
            </w:pPr>
            <w:r>
              <w:rPr>
                <w:color w:val="231F20"/>
                <w:sz w:val="12"/>
              </w:rPr>
              <w:t>Advocacy meeting</w:t>
            </w:r>
          </w:p>
        </w:tc>
      </w:tr>
      <w:tr w:rsidR="009948F1" w14:paraId="48604423" w14:textId="77777777">
        <w:trPr>
          <w:trHeight w:val="294"/>
        </w:trPr>
        <w:tc>
          <w:tcPr>
            <w:tcW w:w="861" w:type="dxa"/>
            <w:gridSpan w:val="2"/>
            <w:vMerge/>
            <w:tcBorders>
              <w:top w:val="nil"/>
            </w:tcBorders>
          </w:tcPr>
          <w:p w14:paraId="5859E3F4" w14:textId="77777777" w:rsidR="009948F1" w:rsidRDefault="009948F1">
            <w:pPr>
              <w:rPr>
                <w:sz w:val="2"/>
                <w:szCs w:val="2"/>
              </w:rPr>
            </w:pPr>
          </w:p>
        </w:tc>
        <w:tc>
          <w:tcPr>
            <w:tcW w:w="534" w:type="dxa"/>
          </w:tcPr>
          <w:p w14:paraId="0B8AFCAF" w14:textId="77777777" w:rsidR="009948F1" w:rsidRDefault="00BC0563">
            <w:pPr>
              <w:pStyle w:val="TableParagraph"/>
              <w:spacing w:before="79"/>
              <w:ind w:left="91"/>
              <w:rPr>
                <w:sz w:val="12"/>
              </w:rPr>
            </w:pPr>
            <w:r>
              <w:rPr>
                <w:color w:val="231F20"/>
                <w:sz w:val="12"/>
              </w:rPr>
              <w:t>4.2.3.c</w:t>
            </w:r>
          </w:p>
        </w:tc>
        <w:tc>
          <w:tcPr>
            <w:tcW w:w="4967" w:type="dxa"/>
            <w:gridSpan w:val="2"/>
          </w:tcPr>
          <w:p w14:paraId="6E0C6E68" w14:textId="77777777" w:rsidR="009948F1" w:rsidRDefault="00BC0563">
            <w:pPr>
              <w:pStyle w:val="TableParagraph"/>
              <w:spacing w:before="74"/>
              <w:ind w:left="26"/>
              <w:rPr>
                <w:sz w:val="12"/>
              </w:rPr>
            </w:pPr>
            <w:r>
              <w:rPr>
                <w:color w:val="231F20"/>
                <w:sz w:val="12"/>
              </w:rPr>
              <w:t>Build capacity of CBOs to conduct OF rehabilitation interventions</w:t>
            </w:r>
          </w:p>
        </w:tc>
        <w:tc>
          <w:tcPr>
            <w:tcW w:w="1449" w:type="dxa"/>
          </w:tcPr>
          <w:p w14:paraId="6DF48BC2" w14:textId="77777777" w:rsidR="009948F1" w:rsidRDefault="00BC0563">
            <w:pPr>
              <w:pStyle w:val="TableParagraph"/>
              <w:spacing w:before="79"/>
              <w:ind w:left="25"/>
              <w:rPr>
                <w:sz w:val="12"/>
              </w:rPr>
            </w:pPr>
            <w:r>
              <w:rPr>
                <w:color w:val="231F20"/>
                <w:sz w:val="12"/>
              </w:rPr>
              <w:t>Lack of funds</w:t>
            </w:r>
          </w:p>
        </w:tc>
        <w:tc>
          <w:tcPr>
            <w:tcW w:w="1526" w:type="dxa"/>
          </w:tcPr>
          <w:p w14:paraId="59A2749B" w14:textId="77777777" w:rsidR="009948F1" w:rsidRDefault="00BC0563">
            <w:pPr>
              <w:pStyle w:val="TableParagraph"/>
              <w:spacing w:before="79"/>
              <w:ind w:left="24"/>
              <w:rPr>
                <w:sz w:val="12"/>
              </w:rPr>
            </w:pPr>
            <w:r>
              <w:rPr>
                <w:color w:val="231F20"/>
                <w:sz w:val="12"/>
              </w:rPr>
              <w:t>Train CBOs</w:t>
            </w:r>
          </w:p>
        </w:tc>
      </w:tr>
      <w:tr w:rsidR="009948F1" w14:paraId="0DF49639" w14:textId="77777777">
        <w:trPr>
          <w:trHeight w:val="301"/>
        </w:trPr>
        <w:tc>
          <w:tcPr>
            <w:tcW w:w="861" w:type="dxa"/>
            <w:gridSpan w:val="2"/>
            <w:vMerge/>
            <w:tcBorders>
              <w:top w:val="nil"/>
            </w:tcBorders>
          </w:tcPr>
          <w:p w14:paraId="3022C6C9" w14:textId="77777777" w:rsidR="009948F1" w:rsidRDefault="009948F1">
            <w:pPr>
              <w:rPr>
                <w:sz w:val="2"/>
                <w:szCs w:val="2"/>
              </w:rPr>
            </w:pPr>
          </w:p>
        </w:tc>
        <w:tc>
          <w:tcPr>
            <w:tcW w:w="534" w:type="dxa"/>
          </w:tcPr>
          <w:p w14:paraId="4130DF37" w14:textId="77777777" w:rsidR="009948F1" w:rsidRDefault="00BC0563">
            <w:pPr>
              <w:pStyle w:val="TableParagraph"/>
              <w:spacing w:before="83"/>
              <w:ind w:left="87"/>
              <w:rPr>
                <w:sz w:val="12"/>
              </w:rPr>
            </w:pPr>
            <w:r>
              <w:rPr>
                <w:color w:val="231F20"/>
                <w:sz w:val="12"/>
              </w:rPr>
              <w:t>4.2.3.d</w:t>
            </w:r>
          </w:p>
        </w:tc>
        <w:tc>
          <w:tcPr>
            <w:tcW w:w="4967" w:type="dxa"/>
            <w:gridSpan w:val="2"/>
          </w:tcPr>
          <w:p w14:paraId="0AF024CA" w14:textId="77777777" w:rsidR="009948F1" w:rsidRDefault="00BC0563">
            <w:pPr>
              <w:pStyle w:val="TableParagraph"/>
              <w:spacing w:before="2"/>
              <w:ind w:left="26"/>
              <w:rPr>
                <w:sz w:val="12"/>
              </w:rPr>
            </w:pPr>
            <w:r>
              <w:rPr>
                <w:color w:val="231F20"/>
                <w:sz w:val="12"/>
              </w:rPr>
              <w:t>Collaboration meeting with NGOs, social workers and other stakeholders/sectors in OF</w:t>
            </w:r>
          </w:p>
          <w:p w14:paraId="39C00AC3" w14:textId="77777777" w:rsidR="009948F1" w:rsidRDefault="00BC0563">
            <w:pPr>
              <w:pStyle w:val="TableParagraph"/>
              <w:spacing w:before="13" w:line="128" w:lineRule="exact"/>
              <w:ind w:left="26"/>
              <w:rPr>
                <w:sz w:val="12"/>
              </w:rPr>
            </w:pPr>
            <w:r>
              <w:rPr>
                <w:color w:val="231F20"/>
                <w:sz w:val="12"/>
              </w:rPr>
              <w:t>rehabilitation</w:t>
            </w:r>
          </w:p>
        </w:tc>
        <w:tc>
          <w:tcPr>
            <w:tcW w:w="1449" w:type="dxa"/>
          </w:tcPr>
          <w:p w14:paraId="1769A938" w14:textId="77777777" w:rsidR="009948F1" w:rsidRDefault="00BC0563">
            <w:pPr>
              <w:pStyle w:val="TableParagraph"/>
              <w:spacing w:before="83"/>
              <w:ind w:left="25"/>
              <w:rPr>
                <w:sz w:val="12"/>
              </w:rPr>
            </w:pPr>
            <w:r>
              <w:rPr>
                <w:color w:val="231F20"/>
                <w:sz w:val="12"/>
              </w:rPr>
              <w:t>Lack of funds</w:t>
            </w:r>
          </w:p>
        </w:tc>
        <w:tc>
          <w:tcPr>
            <w:tcW w:w="1526" w:type="dxa"/>
          </w:tcPr>
          <w:p w14:paraId="4B8D7CAB" w14:textId="77777777" w:rsidR="009948F1" w:rsidRDefault="00BC0563">
            <w:pPr>
              <w:pStyle w:val="TableParagraph"/>
              <w:spacing w:before="83"/>
              <w:ind w:left="24"/>
              <w:rPr>
                <w:sz w:val="12"/>
              </w:rPr>
            </w:pPr>
            <w:r>
              <w:rPr>
                <w:color w:val="231F20"/>
                <w:sz w:val="12"/>
              </w:rPr>
              <w:t>Collaboration meeting</w:t>
            </w:r>
          </w:p>
        </w:tc>
      </w:tr>
      <w:tr w:rsidR="009948F1" w14:paraId="31897F31" w14:textId="77777777">
        <w:trPr>
          <w:trHeight w:val="491"/>
        </w:trPr>
        <w:tc>
          <w:tcPr>
            <w:tcW w:w="399" w:type="dxa"/>
            <w:tcBorders>
              <w:left w:val="single" w:sz="12" w:space="0" w:color="231F20"/>
            </w:tcBorders>
            <w:shd w:val="clear" w:color="auto" w:fill="FFF200"/>
          </w:tcPr>
          <w:p w14:paraId="7B33C3F9" w14:textId="77777777" w:rsidR="009948F1" w:rsidRDefault="009948F1">
            <w:pPr>
              <w:pStyle w:val="TableParagraph"/>
              <w:spacing w:before="6"/>
              <w:rPr>
                <w:sz w:val="15"/>
              </w:rPr>
            </w:pPr>
          </w:p>
          <w:p w14:paraId="0BF21B4D" w14:textId="77777777" w:rsidR="009948F1" w:rsidRDefault="00BC0563">
            <w:pPr>
              <w:pStyle w:val="TableParagraph"/>
              <w:spacing w:before="1"/>
              <w:ind w:right="32"/>
              <w:jc w:val="right"/>
              <w:rPr>
                <w:b/>
                <w:sz w:val="12"/>
              </w:rPr>
            </w:pPr>
            <w:r>
              <w:rPr>
                <w:b/>
                <w:color w:val="231F20"/>
                <w:sz w:val="12"/>
              </w:rPr>
              <w:t>4.3</w:t>
            </w:r>
          </w:p>
        </w:tc>
        <w:tc>
          <w:tcPr>
            <w:tcW w:w="5963" w:type="dxa"/>
            <w:gridSpan w:val="4"/>
            <w:tcBorders>
              <w:right w:val="single" w:sz="8" w:space="0" w:color="231F20"/>
            </w:tcBorders>
            <w:shd w:val="clear" w:color="auto" w:fill="FFF200"/>
          </w:tcPr>
          <w:p w14:paraId="620E058E" w14:textId="77777777" w:rsidR="009948F1" w:rsidRDefault="00BC0563">
            <w:pPr>
              <w:pStyle w:val="TableParagraph"/>
              <w:spacing w:before="96" w:line="271" w:lineRule="auto"/>
              <w:ind w:left="28" w:firstLine="33"/>
              <w:rPr>
                <w:b/>
                <w:sz w:val="12"/>
              </w:rPr>
            </w:pPr>
            <w:r>
              <w:rPr>
                <w:b/>
                <w:color w:val="231F20"/>
                <w:sz w:val="12"/>
              </w:rPr>
              <w:t>Promote demand for and increase access to comprehensive and integrated reproductive health services (including family planning services and management of unsafe abortion</w:t>
            </w:r>
          </w:p>
        </w:tc>
        <w:tc>
          <w:tcPr>
            <w:tcW w:w="1449" w:type="dxa"/>
            <w:tcBorders>
              <w:left w:val="single" w:sz="8" w:space="0" w:color="231F20"/>
              <w:right w:val="single" w:sz="8" w:space="0" w:color="231F20"/>
            </w:tcBorders>
            <w:shd w:val="clear" w:color="auto" w:fill="FFF200"/>
          </w:tcPr>
          <w:p w14:paraId="4EF7F559" w14:textId="77777777" w:rsidR="009948F1" w:rsidRDefault="009948F1">
            <w:pPr>
              <w:pStyle w:val="TableParagraph"/>
              <w:rPr>
                <w:rFonts w:ascii="Times New Roman"/>
                <w:sz w:val="12"/>
              </w:rPr>
            </w:pPr>
          </w:p>
        </w:tc>
        <w:tc>
          <w:tcPr>
            <w:tcW w:w="1526" w:type="dxa"/>
            <w:tcBorders>
              <w:left w:val="single" w:sz="8" w:space="0" w:color="231F20"/>
            </w:tcBorders>
            <w:shd w:val="clear" w:color="auto" w:fill="FFF200"/>
          </w:tcPr>
          <w:p w14:paraId="198C2C3A" w14:textId="77777777" w:rsidR="009948F1" w:rsidRDefault="009948F1">
            <w:pPr>
              <w:pStyle w:val="TableParagraph"/>
              <w:rPr>
                <w:rFonts w:ascii="Times New Roman"/>
                <w:sz w:val="12"/>
              </w:rPr>
            </w:pPr>
          </w:p>
        </w:tc>
      </w:tr>
      <w:tr w:rsidR="009948F1" w14:paraId="7198C9D1" w14:textId="77777777">
        <w:trPr>
          <w:trHeight w:val="931"/>
        </w:trPr>
        <w:tc>
          <w:tcPr>
            <w:tcW w:w="399" w:type="dxa"/>
            <w:tcBorders>
              <w:bottom w:val="nil"/>
            </w:tcBorders>
          </w:tcPr>
          <w:p w14:paraId="02E157A4" w14:textId="77777777" w:rsidR="009948F1" w:rsidRDefault="009948F1">
            <w:pPr>
              <w:pStyle w:val="TableParagraph"/>
              <w:rPr>
                <w:rFonts w:ascii="Times New Roman"/>
                <w:sz w:val="12"/>
              </w:rPr>
            </w:pPr>
          </w:p>
        </w:tc>
        <w:tc>
          <w:tcPr>
            <w:tcW w:w="462" w:type="dxa"/>
            <w:shd w:val="clear" w:color="auto" w:fill="CCE7D3"/>
          </w:tcPr>
          <w:p w14:paraId="19EBE414" w14:textId="77777777" w:rsidR="009948F1" w:rsidRDefault="009948F1">
            <w:pPr>
              <w:pStyle w:val="TableParagraph"/>
              <w:rPr>
                <w:sz w:val="12"/>
              </w:rPr>
            </w:pPr>
          </w:p>
          <w:p w14:paraId="0999A146" w14:textId="77777777" w:rsidR="009948F1" w:rsidRDefault="009948F1">
            <w:pPr>
              <w:pStyle w:val="TableParagraph"/>
              <w:rPr>
                <w:sz w:val="12"/>
              </w:rPr>
            </w:pPr>
          </w:p>
          <w:p w14:paraId="65CCA1EA" w14:textId="77777777" w:rsidR="009948F1" w:rsidRDefault="009948F1">
            <w:pPr>
              <w:pStyle w:val="TableParagraph"/>
              <w:spacing w:before="6"/>
              <w:rPr>
                <w:sz w:val="10"/>
              </w:rPr>
            </w:pPr>
          </w:p>
          <w:p w14:paraId="766C83A4" w14:textId="77777777" w:rsidR="009948F1" w:rsidRDefault="00BC0563">
            <w:pPr>
              <w:pStyle w:val="TableParagraph"/>
              <w:ind w:left="61"/>
              <w:rPr>
                <w:sz w:val="12"/>
              </w:rPr>
            </w:pPr>
            <w:r>
              <w:rPr>
                <w:color w:val="231F20"/>
                <w:sz w:val="12"/>
              </w:rPr>
              <w:t>4.3.1</w:t>
            </w:r>
          </w:p>
        </w:tc>
        <w:tc>
          <w:tcPr>
            <w:tcW w:w="3082" w:type="dxa"/>
            <w:gridSpan w:val="2"/>
            <w:shd w:val="clear" w:color="auto" w:fill="CCE7D3"/>
          </w:tcPr>
          <w:p w14:paraId="3C033186" w14:textId="77777777" w:rsidR="009948F1" w:rsidRDefault="009948F1">
            <w:pPr>
              <w:pStyle w:val="TableParagraph"/>
              <w:rPr>
                <w:sz w:val="12"/>
              </w:rPr>
            </w:pPr>
          </w:p>
          <w:p w14:paraId="618FC0C3" w14:textId="77777777" w:rsidR="009948F1" w:rsidRDefault="009948F1">
            <w:pPr>
              <w:pStyle w:val="TableParagraph"/>
              <w:rPr>
                <w:sz w:val="12"/>
              </w:rPr>
            </w:pPr>
          </w:p>
          <w:p w14:paraId="62E2E5EF" w14:textId="77777777" w:rsidR="009948F1" w:rsidRDefault="009948F1">
            <w:pPr>
              <w:pStyle w:val="TableParagraph"/>
              <w:spacing w:before="1"/>
              <w:rPr>
                <w:sz w:val="10"/>
              </w:rPr>
            </w:pPr>
          </w:p>
          <w:p w14:paraId="359BEDA6" w14:textId="77777777" w:rsidR="009948F1" w:rsidRDefault="00BC0563">
            <w:pPr>
              <w:pStyle w:val="TableParagraph"/>
              <w:ind w:left="60"/>
              <w:rPr>
                <w:sz w:val="12"/>
              </w:rPr>
            </w:pPr>
            <w:r>
              <w:rPr>
                <w:color w:val="231F20"/>
                <w:sz w:val="12"/>
              </w:rPr>
              <w:t>Scale up sexual and reproductive health services</w:t>
            </w:r>
          </w:p>
        </w:tc>
        <w:tc>
          <w:tcPr>
            <w:tcW w:w="2419" w:type="dxa"/>
            <w:shd w:val="clear" w:color="auto" w:fill="CCE7D3"/>
          </w:tcPr>
          <w:p w14:paraId="39F8BB64" w14:textId="77777777" w:rsidR="009948F1" w:rsidRDefault="00BC0563">
            <w:pPr>
              <w:pStyle w:val="TableParagraph"/>
              <w:numPr>
                <w:ilvl w:val="0"/>
                <w:numId w:val="197"/>
              </w:numPr>
              <w:tabs>
                <w:tab w:val="left" w:pos="102"/>
              </w:tabs>
              <w:spacing w:before="19"/>
              <w:ind w:left="101"/>
              <w:rPr>
                <w:sz w:val="12"/>
              </w:rPr>
            </w:pPr>
            <w:r>
              <w:rPr>
                <w:color w:val="231F20"/>
                <w:sz w:val="12"/>
              </w:rPr>
              <w:t>RH cancer screening services</w:t>
            </w:r>
            <w:r>
              <w:rPr>
                <w:color w:val="231F20"/>
                <w:spacing w:val="3"/>
                <w:sz w:val="12"/>
              </w:rPr>
              <w:t xml:space="preserve"> </w:t>
            </w:r>
            <w:r>
              <w:rPr>
                <w:color w:val="231F20"/>
                <w:sz w:val="12"/>
              </w:rPr>
              <w:t>established</w:t>
            </w:r>
          </w:p>
          <w:p w14:paraId="1639CD1D" w14:textId="77777777" w:rsidR="009948F1" w:rsidRDefault="00BC0563">
            <w:pPr>
              <w:pStyle w:val="TableParagraph"/>
              <w:numPr>
                <w:ilvl w:val="0"/>
                <w:numId w:val="197"/>
              </w:numPr>
              <w:tabs>
                <w:tab w:val="left" w:pos="102"/>
              </w:tabs>
              <w:spacing w:before="13"/>
              <w:ind w:left="101"/>
              <w:rPr>
                <w:sz w:val="12"/>
              </w:rPr>
            </w:pPr>
            <w:r>
              <w:rPr>
                <w:color w:val="231F20"/>
                <w:sz w:val="12"/>
              </w:rPr>
              <w:t>1 Hilux &amp; 1 bus purchased</w:t>
            </w:r>
          </w:p>
          <w:p w14:paraId="427E8696" w14:textId="77777777" w:rsidR="009948F1" w:rsidRDefault="00BC0563">
            <w:pPr>
              <w:pStyle w:val="TableParagraph"/>
              <w:numPr>
                <w:ilvl w:val="0"/>
                <w:numId w:val="197"/>
              </w:numPr>
              <w:tabs>
                <w:tab w:val="left" w:pos="96"/>
              </w:tabs>
              <w:spacing w:before="14" w:line="264" w:lineRule="auto"/>
              <w:ind w:right="367" w:firstLine="0"/>
              <w:rPr>
                <w:sz w:val="12"/>
              </w:rPr>
            </w:pPr>
            <w:r>
              <w:rPr>
                <w:color w:val="231F20"/>
                <w:sz w:val="12"/>
              </w:rPr>
              <w:t>Advocacy meeting to integrate HIV screening into STI management</w:t>
            </w:r>
            <w:r>
              <w:rPr>
                <w:color w:val="231F20"/>
                <w:spacing w:val="8"/>
                <w:sz w:val="12"/>
              </w:rPr>
              <w:t xml:space="preserve"> </w:t>
            </w:r>
            <w:r>
              <w:rPr>
                <w:color w:val="231F20"/>
                <w:spacing w:val="-5"/>
                <w:sz w:val="12"/>
              </w:rPr>
              <w:t>done</w:t>
            </w:r>
          </w:p>
          <w:p w14:paraId="0AFDF30D" w14:textId="610B2593" w:rsidR="009948F1" w:rsidRDefault="00BC0563">
            <w:pPr>
              <w:pStyle w:val="TableParagraph"/>
              <w:numPr>
                <w:ilvl w:val="0"/>
                <w:numId w:val="197"/>
              </w:numPr>
              <w:tabs>
                <w:tab w:val="left" w:pos="136"/>
              </w:tabs>
              <w:spacing w:line="138" w:lineRule="exact"/>
              <w:ind w:left="135" w:hanging="77"/>
              <w:rPr>
                <w:sz w:val="12"/>
              </w:rPr>
            </w:pPr>
            <w:r>
              <w:rPr>
                <w:color w:val="231F20"/>
                <w:sz w:val="12"/>
              </w:rPr>
              <w:t xml:space="preserve">Gender-based violence </w:t>
            </w:r>
            <w:r w:rsidR="00B94D6C">
              <w:rPr>
                <w:color w:val="231F20"/>
                <w:sz w:val="12"/>
              </w:rPr>
              <w:t>counseling</w:t>
            </w:r>
            <w:r>
              <w:rPr>
                <w:color w:val="231F20"/>
                <w:spacing w:val="1"/>
                <w:sz w:val="12"/>
              </w:rPr>
              <w:t xml:space="preserve"> </w:t>
            </w:r>
            <w:r>
              <w:rPr>
                <w:color w:val="231F20"/>
                <w:sz w:val="12"/>
              </w:rPr>
              <w:t>and</w:t>
            </w:r>
          </w:p>
          <w:p w14:paraId="4B61E2EF" w14:textId="77777777" w:rsidR="009948F1" w:rsidRDefault="00BC0563">
            <w:pPr>
              <w:pStyle w:val="TableParagraph"/>
              <w:spacing w:before="14" w:line="135" w:lineRule="exact"/>
              <w:ind w:left="26"/>
              <w:rPr>
                <w:sz w:val="12"/>
              </w:rPr>
            </w:pPr>
            <w:r>
              <w:rPr>
                <w:color w:val="231F20"/>
                <w:sz w:val="12"/>
              </w:rPr>
              <w:t>treatment services provided</w:t>
            </w:r>
          </w:p>
        </w:tc>
        <w:tc>
          <w:tcPr>
            <w:tcW w:w="1449" w:type="dxa"/>
            <w:tcBorders>
              <w:right w:val="single" w:sz="8" w:space="0" w:color="231F20"/>
            </w:tcBorders>
            <w:shd w:val="clear" w:color="auto" w:fill="CCE7D3"/>
          </w:tcPr>
          <w:p w14:paraId="054BC0EC" w14:textId="77777777" w:rsidR="009948F1" w:rsidRDefault="009948F1">
            <w:pPr>
              <w:pStyle w:val="TableParagraph"/>
              <w:rPr>
                <w:rFonts w:ascii="Times New Roman"/>
                <w:sz w:val="12"/>
              </w:rPr>
            </w:pPr>
          </w:p>
        </w:tc>
        <w:tc>
          <w:tcPr>
            <w:tcW w:w="1526" w:type="dxa"/>
            <w:tcBorders>
              <w:left w:val="single" w:sz="8" w:space="0" w:color="231F20"/>
            </w:tcBorders>
            <w:shd w:val="clear" w:color="auto" w:fill="CCE7D3"/>
          </w:tcPr>
          <w:p w14:paraId="4634C5E5" w14:textId="77777777" w:rsidR="009948F1" w:rsidRDefault="009948F1">
            <w:pPr>
              <w:pStyle w:val="TableParagraph"/>
              <w:rPr>
                <w:rFonts w:ascii="Times New Roman"/>
                <w:sz w:val="12"/>
              </w:rPr>
            </w:pPr>
          </w:p>
        </w:tc>
      </w:tr>
      <w:tr w:rsidR="009948F1" w14:paraId="1F4F4728" w14:textId="77777777">
        <w:trPr>
          <w:trHeight w:val="543"/>
        </w:trPr>
        <w:tc>
          <w:tcPr>
            <w:tcW w:w="861" w:type="dxa"/>
            <w:gridSpan w:val="2"/>
            <w:vMerge w:val="restart"/>
            <w:tcBorders>
              <w:top w:val="nil"/>
              <w:bottom w:val="nil"/>
            </w:tcBorders>
          </w:tcPr>
          <w:p w14:paraId="0D8338C9" w14:textId="77777777" w:rsidR="009948F1" w:rsidRDefault="009948F1">
            <w:pPr>
              <w:pStyle w:val="TableParagraph"/>
              <w:rPr>
                <w:rFonts w:ascii="Times New Roman"/>
                <w:sz w:val="12"/>
              </w:rPr>
            </w:pPr>
          </w:p>
        </w:tc>
        <w:tc>
          <w:tcPr>
            <w:tcW w:w="534" w:type="dxa"/>
          </w:tcPr>
          <w:p w14:paraId="7E26332F" w14:textId="77777777" w:rsidR="009948F1" w:rsidRDefault="009948F1">
            <w:pPr>
              <w:pStyle w:val="TableParagraph"/>
              <w:spacing w:before="8"/>
              <w:rPr>
                <w:sz w:val="17"/>
              </w:rPr>
            </w:pPr>
          </w:p>
          <w:p w14:paraId="1A868CCF" w14:textId="77777777" w:rsidR="009948F1" w:rsidRDefault="00BC0563">
            <w:pPr>
              <w:pStyle w:val="TableParagraph"/>
              <w:ind w:left="87"/>
              <w:rPr>
                <w:sz w:val="12"/>
              </w:rPr>
            </w:pPr>
            <w:r>
              <w:rPr>
                <w:color w:val="231F20"/>
                <w:sz w:val="12"/>
              </w:rPr>
              <w:t>4.3.1.a</w:t>
            </w:r>
          </w:p>
        </w:tc>
        <w:tc>
          <w:tcPr>
            <w:tcW w:w="4967" w:type="dxa"/>
            <w:gridSpan w:val="2"/>
          </w:tcPr>
          <w:p w14:paraId="36D4A90E" w14:textId="77777777" w:rsidR="009948F1" w:rsidRDefault="009948F1">
            <w:pPr>
              <w:pStyle w:val="TableParagraph"/>
              <w:spacing w:before="7"/>
              <w:rPr>
                <w:sz w:val="10"/>
              </w:rPr>
            </w:pPr>
          </w:p>
          <w:p w14:paraId="17665F58" w14:textId="77777777" w:rsidR="009948F1" w:rsidRDefault="00BC0563">
            <w:pPr>
              <w:pStyle w:val="TableParagraph"/>
              <w:spacing w:line="264" w:lineRule="auto"/>
              <w:ind w:left="26" w:right="123"/>
              <w:rPr>
                <w:sz w:val="12"/>
              </w:rPr>
            </w:pPr>
            <w:r>
              <w:rPr>
                <w:color w:val="231F20"/>
                <w:sz w:val="12"/>
              </w:rPr>
              <w:t>Establish/strengthen and promote uptake of RH cancer screening services (cervical cancer, breast cancer and prostrate)</w:t>
            </w:r>
          </w:p>
        </w:tc>
        <w:tc>
          <w:tcPr>
            <w:tcW w:w="1449" w:type="dxa"/>
          </w:tcPr>
          <w:p w14:paraId="4D6483F7" w14:textId="77777777" w:rsidR="009948F1" w:rsidRDefault="009948F1">
            <w:pPr>
              <w:pStyle w:val="TableParagraph"/>
              <w:spacing w:before="8"/>
              <w:rPr>
                <w:sz w:val="17"/>
              </w:rPr>
            </w:pPr>
          </w:p>
          <w:p w14:paraId="24278222" w14:textId="77777777" w:rsidR="009948F1" w:rsidRDefault="00BC0563">
            <w:pPr>
              <w:pStyle w:val="TableParagraph"/>
              <w:ind w:left="25"/>
              <w:rPr>
                <w:sz w:val="12"/>
              </w:rPr>
            </w:pPr>
            <w:r>
              <w:rPr>
                <w:color w:val="231F20"/>
                <w:sz w:val="12"/>
              </w:rPr>
              <w:t>Lack of funds</w:t>
            </w:r>
          </w:p>
        </w:tc>
        <w:tc>
          <w:tcPr>
            <w:tcW w:w="1526" w:type="dxa"/>
          </w:tcPr>
          <w:p w14:paraId="1AB81F4E" w14:textId="77777777" w:rsidR="009948F1" w:rsidRDefault="009948F1">
            <w:pPr>
              <w:pStyle w:val="TableParagraph"/>
              <w:spacing w:before="1"/>
              <w:rPr>
                <w:sz w:val="11"/>
              </w:rPr>
            </w:pPr>
          </w:p>
          <w:p w14:paraId="2495BBB8" w14:textId="77777777" w:rsidR="009948F1" w:rsidRDefault="00BC0563">
            <w:pPr>
              <w:pStyle w:val="TableParagraph"/>
              <w:spacing w:line="264" w:lineRule="auto"/>
              <w:ind w:left="24" w:right="79"/>
              <w:rPr>
                <w:sz w:val="12"/>
              </w:rPr>
            </w:pPr>
            <w:r>
              <w:rPr>
                <w:color w:val="231F20"/>
                <w:sz w:val="12"/>
              </w:rPr>
              <w:t>Promote uptake of RH cancer screening services</w:t>
            </w:r>
          </w:p>
        </w:tc>
      </w:tr>
      <w:tr w:rsidR="009948F1" w14:paraId="11B820E2" w14:textId="77777777">
        <w:trPr>
          <w:trHeight w:val="476"/>
        </w:trPr>
        <w:tc>
          <w:tcPr>
            <w:tcW w:w="861" w:type="dxa"/>
            <w:gridSpan w:val="2"/>
            <w:vMerge/>
            <w:tcBorders>
              <w:top w:val="nil"/>
              <w:bottom w:val="nil"/>
            </w:tcBorders>
          </w:tcPr>
          <w:p w14:paraId="3F697DAF" w14:textId="77777777" w:rsidR="009948F1" w:rsidRDefault="009948F1">
            <w:pPr>
              <w:rPr>
                <w:sz w:val="2"/>
                <w:szCs w:val="2"/>
              </w:rPr>
            </w:pPr>
          </w:p>
        </w:tc>
        <w:tc>
          <w:tcPr>
            <w:tcW w:w="534" w:type="dxa"/>
          </w:tcPr>
          <w:p w14:paraId="4D07663C" w14:textId="77777777" w:rsidR="009948F1" w:rsidRDefault="009948F1">
            <w:pPr>
              <w:pStyle w:val="TableParagraph"/>
              <w:spacing w:before="9"/>
              <w:rPr>
                <w:sz w:val="14"/>
              </w:rPr>
            </w:pPr>
          </w:p>
          <w:p w14:paraId="2FE9E676" w14:textId="77777777" w:rsidR="009948F1" w:rsidRDefault="00BC0563">
            <w:pPr>
              <w:pStyle w:val="TableParagraph"/>
              <w:ind w:left="87"/>
              <w:rPr>
                <w:sz w:val="12"/>
              </w:rPr>
            </w:pPr>
            <w:r>
              <w:rPr>
                <w:color w:val="231F20"/>
                <w:sz w:val="12"/>
              </w:rPr>
              <w:t>4.3.1.b</w:t>
            </w:r>
          </w:p>
        </w:tc>
        <w:tc>
          <w:tcPr>
            <w:tcW w:w="4967" w:type="dxa"/>
            <w:gridSpan w:val="2"/>
          </w:tcPr>
          <w:p w14:paraId="3B3B0E77" w14:textId="77777777" w:rsidR="009948F1" w:rsidRDefault="00BC0563">
            <w:pPr>
              <w:pStyle w:val="TableParagraph"/>
              <w:spacing w:before="89" w:line="264" w:lineRule="auto"/>
              <w:ind w:left="26"/>
              <w:rPr>
                <w:sz w:val="12"/>
              </w:rPr>
            </w:pPr>
            <w:r>
              <w:rPr>
                <w:color w:val="231F20"/>
                <w:sz w:val="12"/>
              </w:rPr>
              <w:t>Operating cost for engaging and supervising the contractor to provide logistics (vehicle) to scale up screening and treatment of STIs to PHC level</w:t>
            </w:r>
          </w:p>
        </w:tc>
        <w:tc>
          <w:tcPr>
            <w:tcW w:w="1449" w:type="dxa"/>
          </w:tcPr>
          <w:p w14:paraId="63A6BDA6" w14:textId="77777777" w:rsidR="009948F1" w:rsidRDefault="009948F1">
            <w:pPr>
              <w:pStyle w:val="TableParagraph"/>
              <w:spacing w:before="9"/>
              <w:rPr>
                <w:sz w:val="14"/>
              </w:rPr>
            </w:pPr>
          </w:p>
          <w:p w14:paraId="0EC68204" w14:textId="77777777" w:rsidR="009948F1" w:rsidRDefault="00BC0563">
            <w:pPr>
              <w:pStyle w:val="TableParagraph"/>
              <w:ind w:left="25"/>
              <w:rPr>
                <w:sz w:val="12"/>
              </w:rPr>
            </w:pPr>
            <w:r>
              <w:rPr>
                <w:color w:val="231F20"/>
                <w:sz w:val="12"/>
              </w:rPr>
              <w:t>Lack of funds</w:t>
            </w:r>
          </w:p>
        </w:tc>
        <w:tc>
          <w:tcPr>
            <w:tcW w:w="1526" w:type="dxa"/>
          </w:tcPr>
          <w:p w14:paraId="70769ED4" w14:textId="77777777" w:rsidR="009948F1" w:rsidRDefault="00BC0563">
            <w:pPr>
              <w:pStyle w:val="TableParagraph"/>
              <w:spacing w:before="94" w:line="264" w:lineRule="auto"/>
              <w:ind w:left="24" w:right="146"/>
              <w:rPr>
                <w:sz w:val="12"/>
              </w:rPr>
            </w:pPr>
            <w:r>
              <w:rPr>
                <w:color w:val="231F20"/>
                <w:sz w:val="12"/>
              </w:rPr>
              <w:t>Provide logistics for STIs screening at PHC level</w:t>
            </w:r>
          </w:p>
        </w:tc>
      </w:tr>
      <w:tr w:rsidR="009948F1" w14:paraId="366D8452" w14:textId="77777777">
        <w:trPr>
          <w:trHeight w:val="417"/>
        </w:trPr>
        <w:tc>
          <w:tcPr>
            <w:tcW w:w="861" w:type="dxa"/>
            <w:gridSpan w:val="2"/>
            <w:vMerge/>
            <w:tcBorders>
              <w:top w:val="nil"/>
              <w:bottom w:val="nil"/>
            </w:tcBorders>
          </w:tcPr>
          <w:p w14:paraId="5FD226F0" w14:textId="77777777" w:rsidR="009948F1" w:rsidRDefault="009948F1">
            <w:pPr>
              <w:rPr>
                <w:sz w:val="2"/>
                <w:szCs w:val="2"/>
              </w:rPr>
            </w:pPr>
          </w:p>
        </w:tc>
        <w:tc>
          <w:tcPr>
            <w:tcW w:w="534" w:type="dxa"/>
          </w:tcPr>
          <w:p w14:paraId="1C2C9ECE" w14:textId="77777777" w:rsidR="009948F1" w:rsidRDefault="009948F1">
            <w:pPr>
              <w:pStyle w:val="TableParagraph"/>
              <w:spacing w:before="3"/>
              <w:rPr>
                <w:sz w:val="12"/>
              </w:rPr>
            </w:pPr>
          </w:p>
          <w:p w14:paraId="76D5019A" w14:textId="77777777" w:rsidR="009948F1" w:rsidRDefault="00BC0563">
            <w:pPr>
              <w:pStyle w:val="TableParagraph"/>
              <w:ind w:left="91"/>
              <w:rPr>
                <w:sz w:val="12"/>
              </w:rPr>
            </w:pPr>
            <w:r>
              <w:rPr>
                <w:color w:val="231F20"/>
                <w:sz w:val="12"/>
              </w:rPr>
              <w:t>4.3.1.c</w:t>
            </w:r>
          </w:p>
        </w:tc>
        <w:tc>
          <w:tcPr>
            <w:tcW w:w="4967" w:type="dxa"/>
            <w:gridSpan w:val="2"/>
          </w:tcPr>
          <w:p w14:paraId="64AB56B2" w14:textId="77777777" w:rsidR="009948F1" w:rsidRDefault="009948F1">
            <w:pPr>
              <w:pStyle w:val="TableParagraph"/>
              <w:spacing w:before="9"/>
              <w:rPr>
                <w:sz w:val="11"/>
              </w:rPr>
            </w:pPr>
          </w:p>
          <w:p w14:paraId="1C29DE48" w14:textId="77777777" w:rsidR="009948F1" w:rsidRDefault="00BC0563">
            <w:pPr>
              <w:pStyle w:val="TableParagraph"/>
              <w:ind w:left="26"/>
              <w:rPr>
                <w:sz w:val="12"/>
              </w:rPr>
            </w:pPr>
            <w:r>
              <w:rPr>
                <w:color w:val="231F20"/>
                <w:sz w:val="12"/>
              </w:rPr>
              <w:t>Advocacy meeting to integrate HIV screening into STI management</w:t>
            </w:r>
          </w:p>
        </w:tc>
        <w:tc>
          <w:tcPr>
            <w:tcW w:w="1449" w:type="dxa"/>
          </w:tcPr>
          <w:p w14:paraId="0D412E0D" w14:textId="77777777" w:rsidR="009948F1" w:rsidRDefault="009948F1">
            <w:pPr>
              <w:pStyle w:val="TableParagraph"/>
              <w:spacing w:before="3"/>
              <w:rPr>
                <w:sz w:val="12"/>
              </w:rPr>
            </w:pPr>
          </w:p>
          <w:p w14:paraId="18905D8D" w14:textId="77777777" w:rsidR="009948F1" w:rsidRDefault="00BC0563">
            <w:pPr>
              <w:pStyle w:val="TableParagraph"/>
              <w:ind w:left="25"/>
              <w:rPr>
                <w:sz w:val="12"/>
              </w:rPr>
            </w:pPr>
            <w:r>
              <w:rPr>
                <w:color w:val="231F20"/>
                <w:sz w:val="12"/>
              </w:rPr>
              <w:t>Lack of funds</w:t>
            </w:r>
          </w:p>
        </w:tc>
        <w:tc>
          <w:tcPr>
            <w:tcW w:w="1526" w:type="dxa"/>
          </w:tcPr>
          <w:p w14:paraId="75619FDE" w14:textId="77777777" w:rsidR="009948F1" w:rsidRDefault="009948F1">
            <w:pPr>
              <w:pStyle w:val="TableParagraph"/>
              <w:spacing w:before="3"/>
              <w:rPr>
                <w:sz w:val="12"/>
              </w:rPr>
            </w:pPr>
          </w:p>
          <w:p w14:paraId="3D3F09F3" w14:textId="23256587" w:rsidR="009948F1" w:rsidRDefault="00B94D6C">
            <w:pPr>
              <w:pStyle w:val="TableParagraph"/>
              <w:ind w:left="24"/>
              <w:rPr>
                <w:sz w:val="12"/>
              </w:rPr>
            </w:pPr>
            <w:r>
              <w:rPr>
                <w:color w:val="231F20"/>
                <w:sz w:val="12"/>
              </w:rPr>
              <w:t>Advocacy</w:t>
            </w:r>
            <w:r w:rsidR="00BC0563">
              <w:rPr>
                <w:color w:val="231F20"/>
                <w:sz w:val="12"/>
              </w:rPr>
              <w:t xml:space="preserve"> meeting</w:t>
            </w:r>
          </w:p>
        </w:tc>
      </w:tr>
      <w:tr w:rsidR="009948F1" w14:paraId="43739A4E" w14:textId="77777777">
        <w:trPr>
          <w:trHeight w:val="394"/>
        </w:trPr>
        <w:tc>
          <w:tcPr>
            <w:tcW w:w="861" w:type="dxa"/>
            <w:gridSpan w:val="2"/>
            <w:vMerge/>
            <w:tcBorders>
              <w:top w:val="nil"/>
              <w:bottom w:val="nil"/>
            </w:tcBorders>
          </w:tcPr>
          <w:p w14:paraId="227A1DD9" w14:textId="77777777" w:rsidR="009948F1" w:rsidRDefault="009948F1">
            <w:pPr>
              <w:rPr>
                <w:sz w:val="2"/>
                <w:szCs w:val="2"/>
              </w:rPr>
            </w:pPr>
          </w:p>
        </w:tc>
        <w:tc>
          <w:tcPr>
            <w:tcW w:w="534" w:type="dxa"/>
          </w:tcPr>
          <w:p w14:paraId="41D7E26D" w14:textId="77777777" w:rsidR="009948F1" w:rsidRDefault="009948F1">
            <w:pPr>
              <w:pStyle w:val="TableParagraph"/>
              <w:spacing w:before="2"/>
              <w:rPr>
                <w:sz w:val="11"/>
              </w:rPr>
            </w:pPr>
          </w:p>
          <w:p w14:paraId="12164C36" w14:textId="77777777" w:rsidR="009948F1" w:rsidRDefault="00BC0563">
            <w:pPr>
              <w:pStyle w:val="TableParagraph"/>
              <w:ind w:left="87"/>
              <w:rPr>
                <w:sz w:val="12"/>
              </w:rPr>
            </w:pPr>
            <w:r>
              <w:rPr>
                <w:color w:val="231F20"/>
                <w:sz w:val="12"/>
              </w:rPr>
              <w:t>4.3.1.d</w:t>
            </w:r>
          </w:p>
        </w:tc>
        <w:tc>
          <w:tcPr>
            <w:tcW w:w="4967" w:type="dxa"/>
            <w:gridSpan w:val="2"/>
          </w:tcPr>
          <w:p w14:paraId="7C767A92" w14:textId="77777777" w:rsidR="009948F1" w:rsidRDefault="009948F1">
            <w:pPr>
              <w:pStyle w:val="TableParagraph"/>
              <w:spacing w:before="8"/>
              <w:rPr>
                <w:sz w:val="10"/>
              </w:rPr>
            </w:pPr>
          </w:p>
          <w:p w14:paraId="684933C4" w14:textId="77777777" w:rsidR="009948F1" w:rsidRDefault="00BC0563">
            <w:pPr>
              <w:pStyle w:val="TableParagraph"/>
              <w:spacing w:before="1"/>
              <w:ind w:left="26"/>
              <w:rPr>
                <w:sz w:val="12"/>
              </w:rPr>
            </w:pPr>
            <w:r>
              <w:rPr>
                <w:color w:val="231F20"/>
                <w:sz w:val="12"/>
              </w:rPr>
              <w:t>Provide gender-based violence counselling and treatment services</w:t>
            </w:r>
          </w:p>
        </w:tc>
        <w:tc>
          <w:tcPr>
            <w:tcW w:w="1449" w:type="dxa"/>
          </w:tcPr>
          <w:p w14:paraId="5B53C270" w14:textId="77777777" w:rsidR="009948F1" w:rsidRDefault="009948F1">
            <w:pPr>
              <w:pStyle w:val="TableParagraph"/>
              <w:spacing w:before="2"/>
              <w:rPr>
                <w:sz w:val="11"/>
              </w:rPr>
            </w:pPr>
          </w:p>
          <w:p w14:paraId="37573388" w14:textId="77777777" w:rsidR="009948F1" w:rsidRDefault="00BC0563">
            <w:pPr>
              <w:pStyle w:val="TableParagraph"/>
              <w:ind w:left="25"/>
              <w:rPr>
                <w:sz w:val="12"/>
              </w:rPr>
            </w:pPr>
            <w:r>
              <w:rPr>
                <w:color w:val="231F20"/>
                <w:sz w:val="12"/>
              </w:rPr>
              <w:t>Lack of funds</w:t>
            </w:r>
          </w:p>
        </w:tc>
        <w:tc>
          <w:tcPr>
            <w:tcW w:w="1526" w:type="dxa"/>
          </w:tcPr>
          <w:p w14:paraId="2760B103" w14:textId="77777777" w:rsidR="009948F1" w:rsidRDefault="00BC0563">
            <w:pPr>
              <w:pStyle w:val="TableParagraph"/>
              <w:spacing w:before="53" w:line="264" w:lineRule="auto"/>
              <w:ind w:left="24" w:right="339"/>
              <w:rPr>
                <w:sz w:val="12"/>
              </w:rPr>
            </w:pPr>
            <w:r>
              <w:rPr>
                <w:color w:val="231F20"/>
                <w:sz w:val="12"/>
              </w:rPr>
              <w:t>Provide counseling &amp; treatment services</w:t>
            </w:r>
          </w:p>
        </w:tc>
      </w:tr>
      <w:tr w:rsidR="009948F1" w14:paraId="2C1B5BFF" w14:textId="77777777">
        <w:trPr>
          <w:trHeight w:val="1281"/>
        </w:trPr>
        <w:tc>
          <w:tcPr>
            <w:tcW w:w="399" w:type="dxa"/>
            <w:tcBorders>
              <w:top w:val="nil"/>
              <w:bottom w:val="nil"/>
            </w:tcBorders>
          </w:tcPr>
          <w:p w14:paraId="44F3707C" w14:textId="77777777" w:rsidR="009948F1" w:rsidRDefault="009948F1">
            <w:pPr>
              <w:pStyle w:val="TableParagraph"/>
              <w:rPr>
                <w:rFonts w:ascii="Times New Roman"/>
                <w:sz w:val="12"/>
              </w:rPr>
            </w:pPr>
          </w:p>
        </w:tc>
        <w:tc>
          <w:tcPr>
            <w:tcW w:w="462" w:type="dxa"/>
            <w:shd w:val="clear" w:color="auto" w:fill="CCE7D3"/>
          </w:tcPr>
          <w:p w14:paraId="4A2F3032" w14:textId="77777777" w:rsidR="009948F1" w:rsidRDefault="009948F1">
            <w:pPr>
              <w:pStyle w:val="TableParagraph"/>
              <w:rPr>
                <w:sz w:val="12"/>
              </w:rPr>
            </w:pPr>
          </w:p>
          <w:p w14:paraId="0F58BE44" w14:textId="77777777" w:rsidR="009948F1" w:rsidRDefault="009948F1">
            <w:pPr>
              <w:pStyle w:val="TableParagraph"/>
              <w:rPr>
                <w:sz w:val="12"/>
              </w:rPr>
            </w:pPr>
          </w:p>
          <w:p w14:paraId="5A87F0D9" w14:textId="77777777" w:rsidR="009948F1" w:rsidRDefault="009948F1">
            <w:pPr>
              <w:pStyle w:val="TableParagraph"/>
              <w:rPr>
                <w:sz w:val="12"/>
              </w:rPr>
            </w:pPr>
          </w:p>
          <w:p w14:paraId="2C2F8CE0" w14:textId="77777777" w:rsidR="009948F1" w:rsidRDefault="009948F1">
            <w:pPr>
              <w:pStyle w:val="TableParagraph"/>
              <w:spacing w:before="9"/>
              <w:rPr>
                <w:sz w:val="13"/>
              </w:rPr>
            </w:pPr>
          </w:p>
          <w:p w14:paraId="373C3143" w14:textId="77777777" w:rsidR="009948F1" w:rsidRDefault="00BC0563">
            <w:pPr>
              <w:pStyle w:val="TableParagraph"/>
              <w:ind w:left="61"/>
              <w:rPr>
                <w:sz w:val="12"/>
              </w:rPr>
            </w:pPr>
            <w:r>
              <w:rPr>
                <w:color w:val="231F20"/>
                <w:sz w:val="12"/>
              </w:rPr>
              <w:t>4.3.2</w:t>
            </w:r>
          </w:p>
        </w:tc>
        <w:tc>
          <w:tcPr>
            <w:tcW w:w="3082" w:type="dxa"/>
            <w:gridSpan w:val="2"/>
            <w:shd w:val="clear" w:color="auto" w:fill="CCE7D3"/>
          </w:tcPr>
          <w:p w14:paraId="1B3AA08C" w14:textId="77777777" w:rsidR="009948F1" w:rsidRDefault="009948F1">
            <w:pPr>
              <w:pStyle w:val="TableParagraph"/>
              <w:rPr>
                <w:sz w:val="12"/>
              </w:rPr>
            </w:pPr>
          </w:p>
          <w:p w14:paraId="332DE018" w14:textId="77777777" w:rsidR="009948F1" w:rsidRDefault="009948F1">
            <w:pPr>
              <w:pStyle w:val="TableParagraph"/>
              <w:rPr>
                <w:sz w:val="12"/>
              </w:rPr>
            </w:pPr>
          </w:p>
          <w:p w14:paraId="01FACC45" w14:textId="77777777" w:rsidR="009948F1" w:rsidRDefault="009948F1">
            <w:pPr>
              <w:pStyle w:val="TableParagraph"/>
              <w:rPr>
                <w:sz w:val="12"/>
              </w:rPr>
            </w:pPr>
          </w:p>
          <w:p w14:paraId="0D7B147D" w14:textId="77777777" w:rsidR="009948F1" w:rsidRDefault="009948F1">
            <w:pPr>
              <w:pStyle w:val="TableParagraph"/>
              <w:spacing w:before="4"/>
              <w:rPr>
                <w:sz w:val="13"/>
              </w:rPr>
            </w:pPr>
          </w:p>
          <w:p w14:paraId="45CDB356" w14:textId="77777777" w:rsidR="009948F1" w:rsidRDefault="00BC0563">
            <w:pPr>
              <w:pStyle w:val="TableParagraph"/>
              <w:ind w:left="60"/>
              <w:rPr>
                <w:sz w:val="12"/>
              </w:rPr>
            </w:pPr>
            <w:r>
              <w:rPr>
                <w:color w:val="231F20"/>
                <w:sz w:val="12"/>
              </w:rPr>
              <w:t>Increase demand for Reproductive health services</w:t>
            </w:r>
          </w:p>
        </w:tc>
        <w:tc>
          <w:tcPr>
            <w:tcW w:w="2419" w:type="dxa"/>
            <w:shd w:val="clear" w:color="auto" w:fill="CCE7D3"/>
          </w:tcPr>
          <w:p w14:paraId="7F65D65C" w14:textId="77777777" w:rsidR="009948F1" w:rsidRDefault="009948F1">
            <w:pPr>
              <w:pStyle w:val="TableParagraph"/>
              <w:spacing w:before="2"/>
              <w:rPr>
                <w:sz w:val="10"/>
              </w:rPr>
            </w:pPr>
          </w:p>
          <w:p w14:paraId="00DD8BC0" w14:textId="77777777" w:rsidR="009948F1" w:rsidRDefault="00BC0563">
            <w:pPr>
              <w:pStyle w:val="TableParagraph"/>
              <w:numPr>
                <w:ilvl w:val="0"/>
                <w:numId w:val="196"/>
              </w:numPr>
              <w:tabs>
                <w:tab w:val="left" w:pos="96"/>
              </w:tabs>
              <w:spacing w:line="264" w:lineRule="auto"/>
              <w:ind w:right="24" w:firstLine="0"/>
              <w:rPr>
                <w:sz w:val="12"/>
              </w:rPr>
            </w:pPr>
            <w:r>
              <w:rPr>
                <w:color w:val="231F20"/>
                <w:sz w:val="12"/>
              </w:rPr>
              <w:t xml:space="preserve">Advocacy for enabling legislations, </w:t>
            </w:r>
            <w:r>
              <w:rPr>
                <w:color w:val="231F20"/>
                <w:spacing w:val="-3"/>
                <w:sz w:val="12"/>
              </w:rPr>
              <w:t xml:space="preserve">policies </w:t>
            </w:r>
            <w:r>
              <w:rPr>
                <w:color w:val="231F20"/>
                <w:sz w:val="12"/>
              </w:rPr>
              <w:t>and funding for RH done</w:t>
            </w:r>
          </w:p>
          <w:p w14:paraId="4E46EFD5" w14:textId="77777777" w:rsidR="009948F1" w:rsidRDefault="00BC0563">
            <w:pPr>
              <w:pStyle w:val="TableParagraph"/>
              <w:numPr>
                <w:ilvl w:val="0"/>
                <w:numId w:val="196"/>
              </w:numPr>
              <w:tabs>
                <w:tab w:val="left" w:pos="102"/>
              </w:tabs>
              <w:spacing w:line="264" w:lineRule="auto"/>
              <w:ind w:right="140" w:firstLine="0"/>
              <w:rPr>
                <w:sz w:val="12"/>
              </w:rPr>
            </w:pPr>
            <w:r>
              <w:rPr>
                <w:color w:val="231F20"/>
                <w:sz w:val="12"/>
              </w:rPr>
              <w:t>Sensitization meeting with community stakeholders on Family Planning Services held</w:t>
            </w:r>
          </w:p>
          <w:p w14:paraId="126BA93B" w14:textId="4D4B6030" w:rsidR="009948F1" w:rsidRDefault="00B94D6C">
            <w:pPr>
              <w:pStyle w:val="TableParagraph"/>
              <w:numPr>
                <w:ilvl w:val="0"/>
                <w:numId w:val="196"/>
              </w:numPr>
              <w:tabs>
                <w:tab w:val="left" w:pos="102"/>
              </w:tabs>
              <w:spacing w:line="264" w:lineRule="auto"/>
              <w:ind w:right="84" w:firstLine="0"/>
              <w:rPr>
                <w:sz w:val="12"/>
              </w:rPr>
            </w:pPr>
            <w:r>
              <w:rPr>
                <w:color w:val="231F20"/>
                <w:sz w:val="12"/>
              </w:rPr>
              <w:t>Sensitization</w:t>
            </w:r>
            <w:r w:rsidR="00BC0563">
              <w:rPr>
                <w:color w:val="231F20"/>
                <w:sz w:val="12"/>
              </w:rPr>
              <w:t xml:space="preserve"> meeting with stakeholders </w:t>
            </w:r>
            <w:r w:rsidR="00BC0563">
              <w:rPr>
                <w:color w:val="231F20"/>
                <w:spacing w:val="-7"/>
                <w:sz w:val="12"/>
              </w:rPr>
              <w:t xml:space="preserve">to </w:t>
            </w:r>
            <w:r w:rsidR="00BC0563">
              <w:rPr>
                <w:color w:val="231F20"/>
                <w:sz w:val="12"/>
              </w:rPr>
              <w:t>get involved in RH interventions held</w:t>
            </w:r>
          </w:p>
        </w:tc>
        <w:tc>
          <w:tcPr>
            <w:tcW w:w="1449" w:type="dxa"/>
            <w:tcBorders>
              <w:right w:val="single" w:sz="8" w:space="0" w:color="231F20"/>
            </w:tcBorders>
            <w:shd w:val="clear" w:color="auto" w:fill="CCE7D3"/>
          </w:tcPr>
          <w:p w14:paraId="4747FC1F" w14:textId="77777777" w:rsidR="009948F1" w:rsidRDefault="009948F1">
            <w:pPr>
              <w:pStyle w:val="TableParagraph"/>
              <w:rPr>
                <w:rFonts w:ascii="Times New Roman"/>
                <w:sz w:val="12"/>
              </w:rPr>
            </w:pPr>
          </w:p>
        </w:tc>
        <w:tc>
          <w:tcPr>
            <w:tcW w:w="1526" w:type="dxa"/>
            <w:tcBorders>
              <w:left w:val="single" w:sz="8" w:space="0" w:color="231F20"/>
            </w:tcBorders>
            <w:shd w:val="clear" w:color="auto" w:fill="CCE7D3"/>
          </w:tcPr>
          <w:p w14:paraId="2FA01A3D" w14:textId="77777777" w:rsidR="009948F1" w:rsidRDefault="009948F1">
            <w:pPr>
              <w:pStyle w:val="TableParagraph"/>
              <w:rPr>
                <w:rFonts w:ascii="Times New Roman"/>
                <w:sz w:val="12"/>
              </w:rPr>
            </w:pPr>
          </w:p>
        </w:tc>
      </w:tr>
      <w:tr w:rsidR="009948F1" w14:paraId="16136DDC" w14:textId="77777777">
        <w:trPr>
          <w:trHeight w:val="481"/>
        </w:trPr>
        <w:tc>
          <w:tcPr>
            <w:tcW w:w="861" w:type="dxa"/>
            <w:gridSpan w:val="2"/>
            <w:vMerge w:val="restart"/>
            <w:tcBorders>
              <w:top w:val="nil"/>
              <w:bottom w:val="single" w:sz="8" w:space="0" w:color="231F20"/>
            </w:tcBorders>
          </w:tcPr>
          <w:p w14:paraId="30A50434" w14:textId="77777777" w:rsidR="009948F1" w:rsidRDefault="009948F1">
            <w:pPr>
              <w:pStyle w:val="TableParagraph"/>
              <w:rPr>
                <w:rFonts w:ascii="Times New Roman"/>
                <w:sz w:val="12"/>
              </w:rPr>
            </w:pPr>
          </w:p>
        </w:tc>
        <w:tc>
          <w:tcPr>
            <w:tcW w:w="534" w:type="dxa"/>
          </w:tcPr>
          <w:p w14:paraId="459F0C11" w14:textId="77777777" w:rsidR="009948F1" w:rsidRDefault="009948F1">
            <w:pPr>
              <w:pStyle w:val="TableParagraph"/>
              <w:spacing w:before="1"/>
              <w:rPr>
                <w:sz w:val="15"/>
              </w:rPr>
            </w:pPr>
          </w:p>
          <w:p w14:paraId="019EC577" w14:textId="77777777" w:rsidR="009948F1" w:rsidRDefault="00BC0563">
            <w:pPr>
              <w:pStyle w:val="TableParagraph"/>
              <w:spacing w:before="1"/>
              <w:ind w:left="87"/>
              <w:rPr>
                <w:sz w:val="12"/>
              </w:rPr>
            </w:pPr>
            <w:r>
              <w:rPr>
                <w:color w:val="231F20"/>
                <w:sz w:val="12"/>
              </w:rPr>
              <w:t>4.3.2.a</w:t>
            </w:r>
          </w:p>
        </w:tc>
        <w:tc>
          <w:tcPr>
            <w:tcW w:w="4967" w:type="dxa"/>
            <w:gridSpan w:val="2"/>
          </w:tcPr>
          <w:p w14:paraId="430A1F2D" w14:textId="77777777" w:rsidR="009948F1" w:rsidRDefault="009948F1">
            <w:pPr>
              <w:pStyle w:val="TableParagraph"/>
              <w:spacing w:before="8"/>
              <w:rPr>
                <w:sz w:val="14"/>
              </w:rPr>
            </w:pPr>
          </w:p>
          <w:p w14:paraId="765ADCFC" w14:textId="77777777" w:rsidR="009948F1" w:rsidRDefault="00BC0563">
            <w:pPr>
              <w:pStyle w:val="TableParagraph"/>
              <w:ind w:left="26"/>
              <w:rPr>
                <w:sz w:val="12"/>
              </w:rPr>
            </w:pPr>
            <w:r>
              <w:rPr>
                <w:color w:val="231F20"/>
                <w:sz w:val="12"/>
              </w:rPr>
              <w:t>Conduct advocacy for enabling legislations, policies and funding for RH</w:t>
            </w:r>
          </w:p>
        </w:tc>
        <w:tc>
          <w:tcPr>
            <w:tcW w:w="1449" w:type="dxa"/>
          </w:tcPr>
          <w:p w14:paraId="16DC9A79" w14:textId="77777777" w:rsidR="009948F1" w:rsidRDefault="009948F1">
            <w:pPr>
              <w:pStyle w:val="TableParagraph"/>
              <w:spacing w:before="1"/>
              <w:rPr>
                <w:sz w:val="15"/>
              </w:rPr>
            </w:pPr>
          </w:p>
          <w:p w14:paraId="281ECF3A" w14:textId="77777777" w:rsidR="009948F1" w:rsidRDefault="00BC0563">
            <w:pPr>
              <w:pStyle w:val="TableParagraph"/>
              <w:spacing w:before="1"/>
              <w:ind w:left="25"/>
              <w:rPr>
                <w:sz w:val="12"/>
              </w:rPr>
            </w:pPr>
            <w:r>
              <w:rPr>
                <w:color w:val="231F20"/>
                <w:sz w:val="12"/>
              </w:rPr>
              <w:t>Lack of funds</w:t>
            </w:r>
          </w:p>
        </w:tc>
        <w:tc>
          <w:tcPr>
            <w:tcW w:w="1526" w:type="dxa"/>
          </w:tcPr>
          <w:p w14:paraId="4100B18C" w14:textId="77777777" w:rsidR="009948F1" w:rsidRDefault="009948F1">
            <w:pPr>
              <w:pStyle w:val="TableParagraph"/>
              <w:spacing w:before="1"/>
              <w:rPr>
                <w:sz w:val="15"/>
              </w:rPr>
            </w:pPr>
          </w:p>
          <w:p w14:paraId="52A81AA8" w14:textId="77777777" w:rsidR="009948F1" w:rsidRDefault="00BC0563">
            <w:pPr>
              <w:pStyle w:val="TableParagraph"/>
              <w:spacing w:before="1"/>
              <w:ind w:left="24"/>
              <w:rPr>
                <w:sz w:val="12"/>
              </w:rPr>
            </w:pPr>
            <w:r>
              <w:rPr>
                <w:color w:val="231F20"/>
                <w:sz w:val="12"/>
              </w:rPr>
              <w:t>No cost</w:t>
            </w:r>
          </w:p>
        </w:tc>
      </w:tr>
      <w:tr w:rsidR="009948F1" w14:paraId="40A593F4" w14:textId="77777777">
        <w:trPr>
          <w:trHeight w:val="367"/>
        </w:trPr>
        <w:tc>
          <w:tcPr>
            <w:tcW w:w="861" w:type="dxa"/>
            <w:gridSpan w:val="2"/>
            <w:vMerge/>
            <w:tcBorders>
              <w:top w:val="nil"/>
              <w:bottom w:val="single" w:sz="8" w:space="0" w:color="231F20"/>
            </w:tcBorders>
          </w:tcPr>
          <w:p w14:paraId="026A47B3" w14:textId="77777777" w:rsidR="009948F1" w:rsidRDefault="009948F1">
            <w:pPr>
              <w:rPr>
                <w:sz w:val="2"/>
                <w:szCs w:val="2"/>
              </w:rPr>
            </w:pPr>
          </w:p>
        </w:tc>
        <w:tc>
          <w:tcPr>
            <w:tcW w:w="534" w:type="dxa"/>
          </w:tcPr>
          <w:p w14:paraId="424D4909" w14:textId="77777777" w:rsidR="009948F1" w:rsidRDefault="009948F1">
            <w:pPr>
              <w:pStyle w:val="TableParagraph"/>
              <w:rPr>
                <w:sz w:val="10"/>
              </w:rPr>
            </w:pPr>
          </w:p>
          <w:p w14:paraId="29F7C227" w14:textId="77777777" w:rsidR="009948F1" w:rsidRDefault="00BC0563">
            <w:pPr>
              <w:pStyle w:val="TableParagraph"/>
              <w:ind w:left="87"/>
              <w:rPr>
                <w:sz w:val="12"/>
              </w:rPr>
            </w:pPr>
            <w:r>
              <w:rPr>
                <w:color w:val="231F20"/>
                <w:sz w:val="12"/>
              </w:rPr>
              <w:t>4.3.2.b</w:t>
            </w:r>
          </w:p>
        </w:tc>
        <w:tc>
          <w:tcPr>
            <w:tcW w:w="4967" w:type="dxa"/>
            <w:gridSpan w:val="2"/>
          </w:tcPr>
          <w:p w14:paraId="20E02185" w14:textId="77777777" w:rsidR="009948F1" w:rsidRDefault="009948F1">
            <w:pPr>
              <w:pStyle w:val="TableParagraph"/>
              <w:spacing w:before="6"/>
              <w:rPr>
                <w:sz w:val="9"/>
              </w:rPr>
            </w:pPr>
          </w:p>
          <w:p w14:paraId="5172AC81" w14:textId="77777777" w:rsidR="009948F1" w:rsidRDefault="00BC0563">
            <w:pPr>
              <w:pStyle w:val="TableParagraph"/>
              <w:ind w:left="26"/>
              <w:rPr>
                <w:sz w:val="12"/>
              </w:rPr>
            </w:pPr>
            <w:r>
              <w:rPr>
                <w:color w:val="231F20"/>
                <w:sz w:val="12"/>
              </w:rPr>
              <w:t>Develop communication materials for BCC</w:t>
            </w:r>
          </w:p>
        </w:tc>
        <w:tc>
          <w:tcPr>
            <w:tcW w:w="1449" w:type="dxa"/>
          </w:tcPr>
          <w:p w14:paraId="3750ABC1" w14:textId="77777777" w:rsidR="009948F1" w:rsidRDefault="009948F1">
            <w:pPr>
              <w:pStyle w:val="TableParagraph"/>
              <w:rPr>
                <w:sz w:val="10"/>
              </w:rPr>
            </w:pPr>
          </w:p>
          <w:p w14:paraId="2CD9CB41" w14:textId="77777777" w:rsidR="009948F1" w:rsidRDefault="00BC0563">
            <w:pPr>
              <w:pStyle w:val="TableParagraph"/>
              <w:ind w:left="25"/>
              <w:rPr>
                <w:sz w:val="12"/>
              </w:rPr>
            </w:pPr>
            <w:r>
              <w:rPr>
                <w:color w:val="231F20"/>
                <w:sz w:val="12"/>
              </w:rPr>
              <w:t>Lack of funds</w:t>
            </w:r>
          </w:p>
        </w:tc>
        <w:tc>
          <w:tcPr>
            <w:tcW w:w="1526" w:type="dxa"/>
          </w:tcPr>
          <w:p w14:paraId="3A5742AC" w14:textId="5F8EA5CB" w:rsidR="009948F1" w:rsidRDefault="00BC0563">
            <w:pPr>
              <w:pStyle w:val="TableParagraph"/>
              <w:spacing w:before="40" w:line="264" w:lineRule="auto"/>
              <w:ind w:left="24" w:right="379"/>
              <w:rPr>
                <w:sz w:val="12"/>
              </w:rPr>
            </w:pPr>
            <w:r>
              <w:rPr>
                <w:color w:val="231F20"/>
                <w:sz w:val="12"/>
              </w:rPr>
              <w:t xml:space="preserve">Print </w:t>
            </w:r>
            <w:r w:rsidR="00B94D6C">
              <w:rPr>
                <w:color w:val="231F20"/>
                <w:sz w:val="12"/>
              </w:rPr>
              <w:t>communication</w:t>
            </w:r>
            <w:r>
              <w:rPr>
                <w:color w:val="231F20"/>
                <w:sz w:val="12"/>
              </w:rPr>
              <w:t xml:space="preserve"> materials</w:t>
            </w:r>
          </w:p>
        </w:tc>
      </w:tr>
      <w:tr w:rsidR="009948F1" w14:paraId="3F434A28" w14:textId="77777777">
        <w:trPr>
          <w:trHeight w:val="516"/>
        </w:trPr>
        <w:tc>
          <w:tcPr>
            <w:tcW w:w="861" w:type="dxa"/>
            <w:gridSpan w:val="2"/>
            <w:vMerge/>
            <w:tcBorders>
              <w:top w:val="nil"/>
              <w:bottom w:val="single" w:sz="8" w:space="0" w:color="231F20"/>
            </w:tcBorders>
          </w:tcPr>
          <w:p w14:paraId="2B29DED2" w14:textId="77777777" w:rsidR="009948F1" w:rsidRDefault="009948F1">
            <w:pPr>
              <w:rPr>
                <w:sz w:val="2"/>
                <w:szCs w:val="2"/>
              </w:rPr>
            </w:pPr>
          </w:p>
        </w:tc>
        <w:tc>
          <w:tcPr>
            <w:tcW w:w="534" w:type="dxa"/>
          </w:tcPr>
          <w:p w14:paraId="0055D657" w14:textId="77777777" w:rsidR="009948F1" w:rsidRDefault="009948F1">
            <w:pPr>
              <w:pStyle w:val="TableParagraph"/>
              <w:spacing w:before="6"/>
              <w:rPr>
                <w:sz w:val="16"/>
              </w:rPr>
            </w:pPr>
          </w:p>
          <w:p w14:paraId="780C75FC" w14:textId="77777777" w:rsidR="009948F1" w:rsidRDefault="00BC0563">
            <w:pPr>
              <w:pStyle w:val="TableParagraph"/>
              <w:ind w:left="91"/>
              <w:rPr>
                <w:sz w:val="12"/>
              </w:rPr>
            </w:pPr>
            <w:r>
              <w:rPr>
                <w:color w:val="231F20"/>
                <w:sz w:val="12"/>
              </w:rPr>
              <w:t>4.3.2.c</w:t>
            </w:r>
          </w:p>
        </w:tc>
        <w:tc>
          <w:tcPr>
            <w:tcW w:w="4967" w:type="dxa"/>
            <w:gridSpan w:val="2"/>
          </w:tcPr>
          <w:p w14:paraId="11172F19" w14:textId="77777777" w:rsidR="009948F1" w:rsidRDefault="009948F1">
            <w:pPr>
              <w:pStyle w:val="TableParagraph"/>
              <w:spacing w:before="5"/>
              <w:rPr>
                <w:sz w:val="9"/>
              </w:rPr>
            </w:pPr>
          </w:p>
          <w:p w14:paraId="41769F2F" w14:textId="77777777" w:rsidR="009948F1" w:rsidRDefault="00BC0563">
            <w:pPr>
              <w:pStyle w:val="TableParagraph"/>
              <w:spacing w:line="264" w:lineRule="auto"/>
              <w:ind w:left="26" w:right="50"/>
              <w:rPr>
                <w:sz w:val="12"/>
              </w:rPr>
            </w:pPr>
            <w:r>
              <w:rPr>
                <w:color w:val="231F20"/>
                <w:sz w:val="12"/>
              </w:rPr>
              <w:t xml:space="preserve">Conduct BCC interventions at all levels (from community to health facility, </w:t>
            </w:r>
            <w:proofErr w:type="spellStart"/>
            <w:r>
              <w:rPr>
                <w:color w:val="231F20"/>
                <w:sz w:val="12"/>
              </w:rPr>
              <w:t>etc</w:t>
            </w:r>
            <w:proofErr w:type="spellEnd"/>
            <w:r>
              <w:rPr>
                <w:color w:val="231F20"/>
                <w:sz w:val="12"/>
              </w:rPr>
              <w:t>, including use of media)</w:t>
            </w:r>
          </w:p>
        </w:tc>
        <w:tc>
          <w:tcPr>
            <w:tcW w:w="1449" w:type="dxa"/>
          </w:tcPr>
          <w:p w14:paraId="7EC5A463" w14:textId="77777777" w:rsidR="009948F1" w:rsidRDefault="009948F1">
            <w:pPr>
              <w:pStyle w:val="TableParagraph"/>
              <w:spacing w:before="6"/>
              <w:rPr>
                <w:sz w:val="16"/>
              </w:rPr>
            </w:pPr>
          </w:p>
          <w:p w14:paraId="7F4073C1" w14:textId="77777777" w:rsidR="009948F1" w:rsidRDefault="00BC0563">
            <w:pPr>
              <w:pStyle w:val="TableParagraph"/>
              <w:ind w:left="25"/>
              <w:rPr>
                <w:sz w:val="12"/>
              </w:rPr>
            </w:pPr>
            <w:r>
              <w:rPr>
                <w:color w:val="231F20"/>
                <w:sz w:val="12"/>
              </w:rPr>
              <w:t>Lack of funds</w:t>
            </w:r>
          </w:p>
        </w:tc>
        <w:tc>
          <w:tcPr>
            <w:tcW w:w="1526" w:type="dxa"/>
          </w:tcPr>
          <w:p w14:paraId="66A5B4D0" w14:textId="77777777" w:rsidR="009948F1" w:rsidRDefault="00BC0563">
            <w:pPr>
              <w:pStyle w:val="TableParagraph"/>
              <w:spacing w:before="38" w:line="264" w:lineRule="auto"/>
              <w:ind w:left="24" w:right="131"/>
              <w:rPr>
                <w:sz w:val="12"/>
              </w:rPr>
            </w:pPr>
            <w:r>
              <w:rPr>
                <w:color w:val="231F20"/>
                <w:sz w:val="12"/>
              </w:rPr>
              <w:t>Radio jingles @12,000x6 slot</w:t>
            </w:r>
          </w:p>
          <w:p w14:paraId="7E167995" w14:textId="77777777" w:rsidR="009948F1" w:rsidRDefault="00BC0563">
            <w:pPr>
              <w:pStyle w:val="TableParagraph"/>
              <w:spacing w:line="138" w:lineRule="exact"/>
              <w:ind w:left="24"/>
              <w:rPr>
                <w:sz w:val="12"/>
              </w:rPr>
            </w:pPr>
            <w:r>
              <w:rPr>
                <w:color w:val="231F20"/>
                <w:sz w:val="12"/>
              </w:rPr>
              <w:t>TV N20,000x3</w:t>
            </w:r>
          </w:p>
        </w:tc>
      </w:tr>
      <w:tr w:rsidR="009948F1" w14:paraId="45A8EA19" w14:textId="77777777">
        <w:trPr>
          <w:trHeight w:val="576"/>
        </w:trPr>
        <w:tc>
          <w:tcPr>
            <w:tcW w:w="861" w:type="dxa"/>
            <w:gridSpan w:val="2"/>
            <w:vMerge/>
            <w:tcBorders>
              <w:top w:val="nil"/>
              <w:bottom w:val="single" w:sz="8" w:space="0" w:color="231F20"/>
            </w:tcBorders>
          </w:tcPr>
          <w:p w14:paraId="1380B248" w14:textId="77777777" w:rsidR="009948F1" w:rsidRDefault="009948F1">
            <w:pPr>
              <w:rPr>
                <w:sz w:val="2"/>
                <w:szCs w:val="2"/>
              </w:rPr>
            </w:pPr>
          </w:p>
        </w:tc>
        <w:tc>
          <w:tcPr>
            <w:tcW w:w="534" w:type="dxa"/>
          </w:tcPr>
          <w:p w14:paraId="4B442E26" w14:textId="77777777" w:rsidR="009948F1" w:rsidRDefault="009948F1">
            <w:pPr>
              <w:pStyle w:val="TableParagraph"/>
              <w:rPr>
                <w:sz w:val="12"/>
              </w:rPr>
            </w:pPr>
          </w:p>
          <w:p w14:paraId="11AB5846" w14:textId="77777777" w:rsidR="009948F1" w:rsidRDefault="00BC0563">
            <w:pPr>
              <w:pStyle w:val="TableParagraph"/>
              <w:spacing w:before="82"/>
              <w:ind w:left="87"/>
              <w:rPr>
                <w:sz w:val="12"/>
              </w:rPr>
            </w:pPr>
            <w:r>
              <w:rPr>
                <w:color w:val="231F20"/>
                <w:sz w:val="12"/>
              </w:rPr>
              <w:t>4.3.2.d</w:t>
            </w:r>
          </w:p>
        </w:tc>
        <w:tc>
          <w:tcPr>
            <w:tcW w:w="4967" w:type="dxa"/>
            <w:gridSpan w:val="2"/>
          </w:tcPr>
          <w:p w14:paraId="7566418E" w14:textId="5A1D50D1" w:rsidR="009948F1" w:rsidRDefault="00BC0563">
            <w:pPr>
              <w:pStyle w:val="TableParagraph"/>
              <w:spacing w:before="63" w:line="264" w:lineRule="auto"/>
              <w:ind w:left="26" w:right="71"/>
              <w:jc w:val="both"/>
              <w:rPr>
                <w:sz w:val="12"/>
              </w:rPr>
            </w:pPr>
            <w:r>
              <w:rPr>
                <w:color w:val="231F20"/>
                <w:sz w:val="12"/>
              </w:rPr>
              <w:t xml:space="preserve">Sensitization meeting with community stakeholders (WDCs, Chiefs, Elders, CDC, Religious groups, Youth leaders, Women group, market women, male groups (Muslim community) at the local </w:t>
            </w:r>
            <w:r w:rsidR="00B94D6C">
              <w:rPr>
                <w:color w:val="231F20"/>
                <w:sz w:val="12"/>
              </w:rPr>
              <w:t>Government</w:t>
            </w:r>
            <w:r>
              <w:rPr>
                <w:color w:val="231F20"/>
                <w:sz w:val="12"/>
              </w:rPr>
              <w:t xml:space="preserve"> level on Family Planning Services</w:t>
            </w:r>
          </w:p>
        </w:tc>
        <w:tc>
          <w:tcPr>
            <w:tcW w:w="1449" w:type="dxa"/>
          </w:tcPr>
          <w:p w14:paraId="6EEDD367" w14:textId="77777777" w:rsidR="009948F1" w:rsidRDefault="009948F1">
            <w:pPr>
              <w:pStyle w:val="TableParagraph"/>
              <w:rPr>
                <w:sz w:val="12"/>
              </w:rPr>
            </w:pPr>
          </w:p>
          <w:p w14:paraId="34D40922" w14:textId="77777777" w:rsidR="009948F1" w:rsidRDefault="00BC0563">
            <w:pPr>
              <w:pStyle w:val="TableParagraph"/>
              <w:spacing w:before="82"/>
              <w:ind w:left="25"/>
              <w:rPr>
                <w:sz w:val="12"/>
              </w:rPr>
            </w:pPr>
            <w:r>
              <w:rPr>
                <w:color w:val="231F20"/>
                <w:sz w:val="12"/>
              </w:rPr>
              <w:t>Lack of funds</w:t>
            </w:r>
          </w:p>
        </w:tc>
        <w:tc>
          <w:tcPr>
            <w:tcW w:w="1526" w:type="dxa"/>
          </w:tcPr>
          <w:p w14:paraId="456F3ACA" w14:textId="77777777" w:rsidR="009948F1" w:rsidRDefault="009948F1">
            <w:pPr>
              <w:pStyle w:val="TableParagraph"/>
              <w:spacing w:before="6"/>
              <w:rPr>
                <w:sz w:val="12"/>
              </w:rPr>
            </w:pPr>
          </w:p>
          <w:p w14:paraId="572F1E44" w14:textId="77777777" w:rsidR="009948F1" w:rsidRDefault="00BC0563">
            <w:pPr>
              <w:pStyle w:val="TableParagraph"/>
              <w:spacing w:before="1" w:line="264" w:lineRule="auto"/>
              <w:ind w:left="24" w:right="-1"/>
              <w:rPr>
                <w:sz w:val="12"/>
              </w:rPr>
            </w:pPr>
            <w:r>
              <w:rPr>
                <w:color w:val="231F20"/>
                <w:sz w:val="12"/>
              </w:rPr>
              <w:t>Sensitization meeting at LG level</w:t>
            </w:r>
          </w:p>
        </w:tc>
      </w:tr>
      <w:tr w:rsidR="009948F1" w14:paraId="1A99AB3F" w14:textId="77777777">
        <w:trPr>
          <w:trHeight w:val="504"/>
        </w:trPr>
        <w:tc>
          <w:tcPr>
            <w:tcW w:w="861" w:type="dxa"/>
            <w:gridSpan w:val="2"/>
            <w:vMerge/>
            <w:tcBorders>
              <w:top w:val="nil"/>
              <w:bottom w:val="single" w:sz="8" w:space="0" w:color="231F20"/>
            </w:tcBorders>
          </w:tcPr>
          <w:p w14:paraId="7C29A149" w14:textId="77777777" w:rsidR="009948F1" w:rsidRDefault="009948F1">
            <w:pPr>
              <w:rPr>
                <w:sz w:val="2"/>
                <w:szCs w:val="2"/>
              </w:rPr>
            </w:pPr>
          </w:p>
        </w:tc>
        <w:tc>
          <w:tcPr>
            <w:tcW w:w="534" w:type="dxa"/>
            <w:tcBorders>
              <w:bottom w:val="single" w:sz="8" w:space="0" w:color="231F20"/>
            </w:tcBorders>
          </w:tcPr>
          <w:p w14:paraId="641D7669" w14:textId="77777777" w:rsidR="009948F1" w:rsidRDefault="009948F1">
            <w:pPr>
              <w:pStyle w:val="TableParagraph"/>
              <w:spacing w:before="2"/>
              <w:rPr>
                <w:sz w:val="16"/>
              </w:rPr>
            </w:pPr>
          </w:p>
          <w:p w14:paraId="595494F3" w14:textId="77777777" w:rsidR="009948F1" w:rsidRDefault="00BC0563">
            <w:pPr>
              <w:pStyle w:val="TableParagraph"/>
              <w:ind w:left="87"/>
              <w:rPr>
                <w:sz w:val="12"/>
              </w:rPr>
            </w:pPr>
            <w:r>
              <w:rPr>
                <w:color w:val="231F20"/>
                <w:sz w:val="12"/>
              </w:rPr>
              <w:t>4.3.2.e</w:t>
            </w:r>
          </w:p>
        </w:tc>
        <w:tc>
          <w:tcPr>
            <w:tcW w:w="4967" w:type="dxa"/>
            <w:gridSpan w:val="2"/>
            <w:tcBorders>
              <w:bottom w:val="single" w:sz="8" w:space="0" w:color="231F20"/>
              <w:right w:val="single" w:sz="8" w:space="0" w:color="231F20"/>
            </w:tcBorders>
          </w:tcPr>
          <w:p w14:paraId="1CE32351" w14:textId="77777777" w:rsidR="009948F1" w:rsidRDefault="009948F1">
            <w:pPr>
              <w:pStyle w:val="TableParagraph"/>
              <w:spacing w:before="9"/>
              <w:rPr>
                <w:sz w:val="15"/>
              </w:rPr>
            </w:pPr>
          </w:p>
          <w:p w14:paraId="50CEA9A0" w14:textId="1353F144" w:rsidR="009948F1" w:rsidRDefault="00B94D6C">
            <w:pPr>
              <w:pStyle w:val="TableParagraph"/>
              <w:ind w:left="26"/>
              <w:rPr>
                <w:sz w:val="12"/>
              </w:rPr>
            </w:pPr>
            <w:r>
              <w:rPr>
                <w:color w:val="231F20"/>
                <w:sz w:val="12"/>
              </w:rPr>
              <w:t>Sensitization</w:t>
            </w:r>
            <w:r w:rsidR="00BC0563">
              <w:rPr>
                <w:color w:val="231F20"/>
                <w:sz w:val="12"/>
              </w:rPr>
              <w:t xml:space="preserve"> meeting with stakeholders to get involved in RH interventions at state level</w:t>
            </w:r>
          </w:p>
        </w:tc>
        <w:tc>
          <w:tcPr>
            <w:tcW w:w="1449" w:type="dxa"/>
            <w:tcBorders>
              <w:left w:val="single" w:sz="8" w:space="0" w:color="231F20"/>
            </w:tcBorders>
          </w:tcPr>
          <w:p w14:paraId="234E38BE" w14:textId="77777777" w:rsidR="009948F1" w:rsidRDefault="009948F1">
            <w:pPr>
              <w:pStyle w:val="TableParagraph"/>
              <w:spacing w:before="2"/>
              <w:rPr>
                <w:sz w:val="16"/>
              </w:rPr>
            </w:pPr>
          </w:p>
          <w:p w14:paraId="0AE38DCB" w14:textId="77777777" w:rsidR="009948F1" w:rsidRDefault="00BC0563">
            <w:pPr>
              <w:pStyle w:val="TableParagraph"/>
              <w:ind w:left="23"/>
              <w:rPr>
                <w:sz w:val="12"/>
              </w:rPr>
            </w:pPr>
            <w:r>
              <w:rPr>
                <w:color w:val="231F20"/>
                <w:sz w:val="12"/>
              </w:rPr>
              <w:t>Lack of funds</w:t>
            </w:r>
          </w:p>
        </w:tc>
        <w:tc>
          <w:tcPr>
            <w:tcW w:w="1526" w:type="dxa"/>
          </w:tcPr>
          <w:p w14:paraId="56C36422" w14:textId="77777777" w:rsidR="009948F1" w:rsidRDefault="009948F1">
            <w:pPr>
              <w:pStyle w:val="TableParagraph"/>
              <w:spacing w:before="6"/>
              <w:rPr>
                <w:sz w:val="9"/>
              </w:rPr>
            </w:pPr>
          </w:p>
          <w:p w14:paraId="20E55FD1" w14:textId="77777777" w:rsidR="009948F1" w:rsidRDefault="00BC0563">
            <w:pPr>
              <w:pStyle w:val="TableParagraph"/>
              <w:spacing w:line="264" w:lineRule="auto"/>
              <w:ind w:left="24" w:right="192"/>
              <w:rPr>
                <w:sz w:val="12"/>
              </w:rPr>
            </w:pPr>
            <w:r>
              <w:rPr>
                <w:color w:val="231F20"/>
                <w:sz w:val="12"/>
              </w:rPr>
              <w:t>Sensitization meeting at State level</w:t>
            </w:r>
          </w:p>
        </w:tc>
      </w:tr>
    </w:tbl>
    <w:p w14:paraId="144B4CF5" w14:textId="77777777" w:rsidR="009948F1" w:rsidRDefault="009948F1">
      <w:pPr>
        <w:spacing w:line="264" w:lineRule="auto"/>
        <w:rPr>
          <w:sz w:val="12"/>
        </w:rPr>
        <w:sectPr w:rsidR="009948F1">
          <w:pgSz w:w="11910" w:h="16840"/>
          <w:pgMar w:top="1360" w:right="1080" w:bottom="1340" w:left="1120" w:header="0" w:footer="1155" w:gutter="0"/>
          <w:cols w:space="720"/>
        </w:sectPr>
      </w:pPr>
    </w:p>
    <w:tbl>
      <w:tblPr>
        <w:tblW w:w="0" w:type="auto"/>
        <w:tblInd w:w="2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1"/>
        <w:gridCol w:w="456"/>
        <w:gridCol w:w="527"/>
        <w:gridCol w:w="2516"/>
        <w:gridCol w:w="2389"/>
        <w:gridCol w:w="1431"/>
        <w:gridCol w:w="1507"/>
      </w:tblGrid>
      <w:tr w:rsidR="009948F1" w14:paraId="615862BE" w14:textId="77777777">
        <w:trPr>
          <w:trHeight w:val="1556"/>
        </w:trPr>
        <w:tc>
          <w:tcPr>
            <w:tcW w:w="411" w:type="dxa"/>
            <w:tcBorders>
              <w:bottom w:val="nil"/>
              <w:right w:val="single" w:sz="6" w:space="0" w:color="231F20"/>
            </w:tcBorders>
          </w:tcPr>
          <w:p w14:paraId="27D407E8" w14:textId="77777777" w:rsidR="009948F1" w:rsidRDefault="009948F1">
            <w:pPr>
              <w:pStyle w:val="TableParagraph"/>
              <w:rPr>
                <w:rFonts w:ascii="Times New Roman"/>
                <w:sz w:val="10"/>
              </w:rPr>
            </w:pPr>
          </w:p>
        </w:tc>
        <w:tc>
          <w:tcPr>
            <w:tcW w:w="456" w:type="dxa"/>
            <w:tcBorders>
              <w:top w:val="single" w:sz="12" w:space="0" w:color="231F20"/>
              <w:left w:val="single" w:sz="6" w:space="0" w:color="231F20"/>
              <w:bottom w:val="single" w:sz="6" w:space="0" w:color="231F20"/>
              <w:right w:val="single" w:sz="6" w:space="0" w:color="231F20"/>
            </w:tcBorders>
            <w:shd w:val="clear" w:color="auto" w:fill="CCE7D3"/>
          </w:tcPr>
          <w:p w14:paraId="0C400BE7" w14:textId="77777777" w:rsidR="009948F1" w:rsidRDefault="009948F1">
            <w:pPr>
              <w:pStyle w:val="TableParagraph"/>
              <w:rPr>
                <w:sz w:val="14"/>
              </w:rPr>
            </w:pPr>
          </w:p>
          <w:p w14:paraId="10154E60" w14:textId="77777777" w:rsidR="009948F1" w:rsidRDefault="009948F1">
            <w:pPr>
              <w:pStyle w:val="TableParagraph"/>
              <w:rPr>
                <w:sz w:val="14"/>
              </w:rPr>
            </w:pPr>
          </w:p>
          <w:p w14:paraId="1C6C67DC" w14:textId="77777777" w:rsidR="009948F1" w:rsidRDefault="009948F1">
            <w:pPr>
              <w:pStyle w:val="TableParagraph"/>
              <w:rPr>
                <w:sz w:val="14"/>
              </w:rPr>
            </w:pPr>
          </w:p>
          <w:p w14:paraId="05D91221" w14:textId="77777777" w:rsidR="009948F1" w:rsidRDefault="009948F1">
            <w:pPr>
              <w:pStyle w:val="TableParagraph"/>
              <w:spacing w:before="3"/>
              <w:rPr>
                <w:sz w:val="18"/>
              </w:rPr>
            </w:pPr>
          </w:p>
          <w:p w14:paraId="73994018" w14:textId="77777777" w:rsidR="009948F1" w:rsidRDefault="00BC0563">
            <w:pPr>
              <w:pStyle w:val="TableParagraph"/>
              <w:ind w:left="57"/>
              <w:rPr>
                <w:sz w:val="14"/>
              </w:rPr>
            </w:pPr>
            <w:bookmarkStart w:id="157" w:name="Page_131"/>
            <w:bookmarkEnd w:id="157"/>
            <w:r>
              <w:rPr>
                <w:color w:val="231F20"/>
                <w:w w:val="95"/>
                <w:sz w:val="14"/>
              </w:rPr>
              <w:t>4.3.3</w:t>
            </w:r>
          </w:p>
        </w:tc>
        <w:tc>
          <w:tcPr>
            <w:tcW w:w="3043" w:type="dxa"/>
            <w:gridSpan w:val="2"/>
            <w:tcBorders>
              <w:top w:val="single" w:sz="12" w:space="0" w:color="231F20"/>
              <w:left w:val="single" w:sz="6" w:space="0" w:color="231F20"/>
              <w:bottom w:val="single" w:sz="6" w:space="0" w:color="231F20"/>
              <w:right w:val="single" w:sz="6" w:space="0" w:color="231F20"/>
            </w:tcBorders>
            <w:shd w:val="clear" w:color="auto" w:fill="CCE7D3"/>
          </w:tcPr>
          <w:p w14:paraId="593CDD31" w14:textId="77777777" w:rsidR="009948F1" w:rsidRDefault="009948F1">
            <w:pPr>
              <w:pStyle w:val="TableParagraph"/>
              <w:rPr>
                <w:sz w:val="14"/>
              </w:rPr>
            </w:pPr>
          </w:p>
          <w:p w14:paraId="0EFE800A" w14:textId="77777777" w:rsidR="009948F1" w:rsidRDefault="009948F1">
            <w:pPr>
              <w:pStyle w:val="TableParagraph"/>
              <w:rPr>
                <w:sz w:val="14"/>
              </w:rPr>
            </w:pPr>
          </w:p>
          <w:p w14:paraId="5482ADF0" w14:textId="77777777" w:rsidR="009948F1" w:rsidRDefault="009948F1">
            <w:pPr>
              <w:pStyle w:val="TableParagraph"/>
              <w:rPr>
                <w:sz w:val="14"/>
              </w:rPr>
            </w:pPr>
          </w:p>
          <w:p w14:paraId="3457B3C5" w14:textId="77777777" w:rsidR="009948F1" w:rsidRDefault="00BC0563">
            <w:pPr>
              <w:pStyle w:val="TableParagraph"/>
              <w:spacing w:before="116" w:line="261" w:lineRule="auto"/>
              <w:ind w:left="24" w:right="417" w:firstLine="33"/>
              <w:rPr>
                <w:sz w:val="14"/>
              </w:rPr>
            </w:pPr>
            <w:r>
              <w:rPr>
                <w:color w:val="231F20"/>
                <w:w w:val="85"/>
                <w:sz w:val="14"/>
              </w:rPr>
              <w:t xml:space="preserve">Expand access to comprehensive, quality family </w:t>
            </w:r>
            <w:r>
              <w:rPr>
                <w:color w:val="231F20"/>
                <w:w w:val="95"/>
                <w:sz w:val="14"/>
              </w:rPr>
              <w:t>planning services</w:t>
            </w:r>
          </w:p>
        </w:tc>
        <w:tc>
          <w:tcPr>
            <w:tcW w:w="2389" w:type="dxa"/>
            <w:tcBorders>
              <w:top w:val="single" w:sz="12" w:space="0" w:color="231F20"/>
              <w:left w:val="single" w:sz="6" w:space="0" w:color="231F20"/>
              <w:bottom w:val="single" w:sz="6" w:space="0" w:color="231F20"/>
              <w:right w:val="single" w:sz="6" w:space="0" w:color="231F20"/>
            </w:tcBorders>
            <w:shd w:val="clear" w:color="auto" w:fill="CCE7D3"/>
          </w:tcPr>
          <w:p w14:paraId="23984F68" w14:textId="77777777" w:rsidR="009948F1" w:rsidRDefault="009948F1">
            <w:pPr>
              <w:pStyle w:val="TableParagraph"/>
              <w:spacing w:before="4"/>
              <w:rPr>
                <w:sz w:val="14"/>
              </w:rPr>
            </w:pPr>
          </w:p>
          <w:p w14:paraId="252AFD28" w14:textId="77777777" w:rsidR="009948F1" w:rsidRDefault="00BC0563">
            <w:pPr>
              <w:pStyle w:val="TableParagraph"/>
              <w:numPr>
                <w:ilvl w:val="0"/>
                <w:numId w:val="195"/>
              </w:numPr>
              <w:tabs>
                <w:tab w:val="left" w:pos="68"/>
              </w:tabs>
              <w:ind w:left="67" w:hanging="44"/>
              <w:rPr>
                <w:sz w:val="14"/>
              </w:rPr>
            </w:pPr>
            <w:r>
              <w:rPr>
                <w:color w:val="231F20"/>
                <w:w w:val="95"/>
                <w:sz w:val="14"/>
              </w:rPr>
              <w:t>At</w:t>
            </w:r>
            <w:r>
              <w:rPr>
                <w:color w:val="231F20"/>
                <w:spacing w:val="-26"/>
                <w:w w:val="95"/>
                <w:sz w:val="14"/>
              </w:rPr>
              <w:t xml:space="preserve"> </w:t>
            </w:r>
            <w:r>
              <w:rPr>
                <w:color w:val="231F20"/>
                <w:w w:val="95"/>
                <w:sz w:val="14"/>
              </w:rPr>
              <w:t>least</w:t>
            </w:r>
            <w:r>
              <w:rPr>
                <w:color w:val="231F20"/>
                <w:spacing w:val="-25"/>
                <w:w w:val="95"/>
                <w:sz w:val="14"/>
              </w:rPr>
              <w:t xml:space="preserve"> </w:t>
            </w:r>
            <w:r>
              <w:rPr>
                <w:color w:val="231F20"/>
                <w:w w:val="95"/>
                <w:sz w:val="14"/>
              </w:rPr>
              <w:t>5</w:t>
            </w:r>
            <w:r>
              <w:rPr>
                <w:color w:val="231F20"/>
                <w:spacing w:val="-26"/>
                <w:w w:val="95"/>
                <w:sz w:val="14"/>
              </w:rPr>
              <w:t xml:space="preserve"> </w:t>
            </w:r>
            <w:r>
              <w:rPr>
                <w:color w:val="231F20"/>
                <w:w w:val="95"/>
                <w:sz w:val="14"/>
              </w:rPr>
              <w:t>new</w:t>
            </w:r>
            <w:r>
              <w:rPr>
                <w:color w:val="231F20"/>
                <w:spacing w:val="-25"/>
                <w:w w:val="95"/>
                <w:sz w:val="14"/>
              </w:rPr>
              <w:t xml:space="preserve"> </w:t>
            </w:r>
            <w:r>
              <w:rPr>
                <w:color w:val="231F20"/>
                <w:w w:val="95"/>
                <w:sz w:val="14"/>
              </w:rPr>
              <w:t>FP</w:t>
            </w:r>
            <w:r>
              <w:rPr>
                <w:color w:val="231F20"/>
                <w:spacing w:val="-26"/>
                <w:w w:val="95"/>
                <w:sz w:val="14"/>
              </w:rPr>
              <w:t xml:space="preserve"> </w:t>
            </w:r>
            <w:r>
              <w:rPr>
                <w:color w:val="231F20"/>
                <w:w w:val="95"/>
                <w:sz w:val="14"/>
              </w:rPr>
              <w:t>service</w:t>
            </w:r>
            <w:r>
              <w:rPr>
                <w:color w:val="231F20"/>
                <w:spacing w:val="-26"/>
                <w:w w:val="95"/>
                <w:sz w:val="14"/>
              </w:rPr>
              <w:t xml:space="preserve"> </w:t>
            </w:r>
            <w:r>
              <w:rPr>
                <w:color w:val="231F20"/>
                <w:w w:val="95"/>
                <w:sz w:val="14"/>
              </w:rPr>
              <w:t>points</w:t>
            </w:r>
            <w:r>
              <w:rPr>
                <w:color w:val="231F20"/>
                <w:spacing w:val="-25"/>
                <w:w w:val="95"/>
                <w:sz w:val="14"/>
              </w:rPr>
              <w:t xml:space="preserve"> </w:t>
            </w:r>
            <w:r>
              <w:rPr>
                <w:color w:val="231F20"/>
                <w:w w:val="95"/>
                <w:sz w:val="14"/>
              </w:rPr>
              <w:t>provided</w:t>
            </w:r>
          </w:p>
          <w:p w14:paraId="7D3EC018" w14:textId="77777777" w:rsidR="009948F1" w:rsidRDefault="00BC0563">
            <w:pPr>
              <w:pStyle w:val="TableParagraph"/>
              <w:numPr>
                <w:ilvl w:val="0"/>
                <w:numId w:val="195"/>
              </w:numPr>
              <w:tabs>
                <w:tab w:val="left" w:pos="98"/>
              </w:tabs>
              <w:spacing w:before="15" w:line="261" w:lineRule="auto"/>
              <w:ind w:right="68" w:firstLine="0"/>
              <w:rPr>
                <w:sz w:val="14"/>
              </w:rPr>
            </w:pPr>
            <w:r>
              <w:rPr>
                <w:color w:val="231F20"/>
                <w:spacing w:val="-4"/>
                <w:w w:val="90"/>
                <w:sz w:val="14"/>
              </w:rPr>
              <w:t>Task</w:t>
            </w:r>
            <w:r>
              <w:rPr>
                <w:color w:val="231F20"/>
                <w:spacing w:val="-19"/>
                <w:w w:val="90"/>
                <w:sz w:val="14"/>
              </w:rPr>
              <w:t xml:space="preserve"> </w:t>
            </w:r>
            <w:r>
              <w:rPr>
                <w:color w:val="231F20"/>
                <w:w w:val="90"/>
                <w:sz w:val="14"/>
              </w:rPr>
              <w:t>shifting</w:t>
            </w:r>
            <w:r>
              <w:rPr>
                <w:color w:val="231F20"/>
                <w:spacing w:val="-19"/>
                <w:w w:val="90"/>
                <w:sz w:val="14"/>
              </w:rPr>
              <w:t xml:space="preserve"> </w:t>
            </w:r>
            <w:r>
              <w:rPr>
                <w:color w:val="231F20"/>
                <w:w w:val="90"/>
                <w:sz w:val="14"/>
              </w:rPr>
              <w:t>in</w:t>
            </w:r>
            <w:r>
              <w:rPr>
                <w:color w:val="231F20"/>
                <w:spacing w:val="-19"/>
                <w:w w:val="90"/>
                <w:sz w:val="14"/>
              </w:rPr>
              <w:t xml:space="preserve"> </w:t>
            </w:r>
            <w:r>
              <w:rPr>
                <w:color w:val="231F20"/>
                <w:w w:val="90"/>
                <w:sz w:val="14"/>
              </w:rPr>
              <w:t>FP</w:t>
            </w:r>
            <w:r>
              <w:rPr>
                <w:color w:val="231F20"/>
                <w:spacing w:val="-20"/>
                <w:w w:val="90"/>
                <w:sz w:val="14"/>
              </w:rPr>
              <w:t xml:space="preserve"> </w:t>
            </w:r>
            <w:r>
              <w:rPr>
                <w:color w:val="231F20"/>
                <w:w w:val="90"/>
                <w:sz w:val="14"/>
              </w:rPr>
              <w:t>implemented</w:t>
            </w:r>
            <w:r>
              <w:rPr>
                <w:color w:val="231F20"/>
                <w:spacing w:val="-19"/>
                <w:w w:val="90"/>
                <w:sz w:val="14"/>
              </w:rPr>
              <w:t xml:space="preserve"> </w:t>
            </w:r>
            <w:r>
              <w:rPr>
                <w:color w:val="231F20"/>
                <w:w w:val="90"/>
                <w:sz w:val="14"/>
              </w:rPr>
              <w:t>&amp;</w:t>
            </w:r>
            <w:r>
              <w:rPr>
                <w:color w:val="231F20"/>
                <w:spacing w:val="-19"/>
                <w:w w:val="90"/>
                <w:sz w:val="14"/>
              </w:rPr>
              <w:t xml:space="preserve"> </w:t>
            </w:r>
            <w:r>
              <w:rPr>
                <w:color w:val="231F20"/>
                <w:w w:val="90"/>
                <w:sz w:val="14"/>
              </w:rPr>
              <w:t>at</w:t>
            </w:r>
            <w:r>
              <w:rPr>
                <w:color w:val="231F20"/>
                <w:spacing w:val="-19"/>
                <w:w w:val="90"/>
                <w:sz w:val="14"/>
              </w:rPr>
              <w:t xml:space="preserve"> </w:t>
            </w:r>
            <w:r>
              <w:rPr>
                <w:color w:val="231F20"/>
                <w:w w:val="90"/>
                <w:sz w:val="14"/>
              </w:rPr>
              <w:t>least 40</w:t>
            </w:r>
            <w:r>
              <w:rPr>
                <w:color w:val="231F20"/>
                <w:spacing w:val="-17"/>
                <w:w w:val="90"/>
                <w:sz w:val="14"/>
              </w:rPr>
              <w:t xml:space="preserve"> </w:t>
            </w:r>
            <w:r>
              <w:rPr>
                <w:color w:val="231F20"/>
                <w:w w:val="90"/>
                <w:sz w:val="14"/>
              </w:rPr>
              <w:t>unemployed</w:t>
            </w:r>
            <w:r>
              <w:rPr>
                <w:color w:val="231F20"/>
                <w:spacing w:val="-16"/>
                <w:w w:val="90"/>
                <w:sz w:val="14"/>
              </w:rPr>
              <w:t xml:space="preserve"> </w:t>
            </w:r>
            <w:r>
              <w:rPr>
                <w:color w:val="231F20"/>
                <w:w w:val="90"/>
                <w:sz w:val="14"/>
              </w:rPr>
              <w:t>SCHEWs</w:t>
            </w:r>
            <w:r>
              <w:rPr>
                <w:color w:val="231F20"/>
                <w:spacing w:val="-17"/>
                <w:w w:val="90"/>
                <w:sz w:val="14"/>
              </w:rPr>
              <w:t xml:space="preserve"> </w:t>
            </w:r>
            <w:r>
              <w:rPr>
                <w:color w:val="231F20"/>
                <w:w w:val="90"/>
                <w:sz w:val="14"/>
              </w:rPr>
              <w:t>trained</w:t>
            </w:r>
            <w:r>
              <w:rPr>
                <w:color w:val="231F20"/>
                <w:spacing w:val="-16"/>
                <w:w w:val="90"/>
                <w:sz w:val="14"/>
              </w:rPr>
              <w:t xml:space="preserve"> </w:t>
            </w:r>
            <w:r>
              <w:rPr>
                <w:color w:val="231F20"/>
                <w:w w:val="90"/>
                <w:sz w:val="14"/>
              </w:rPr>
              <w:t>on</w:t>
            </w:r>
            <w:r>
              <w:rPr>
                <w:color w:val="231F20"/>
                <w:spacing w:val="-16"/>
                <w:w w:val="90"/>
                <w:sz w:val="14"/>
              </w:rPr>
              <w:t xml:space="preserve"> </w:t>
            </w:r>
            <w:r>
              <w:rPr>
                <w:color w:val="231F20"/>
                <w:w w:val="90"/>
                <w:sz w:val="14"/>
              </w:rPr>
              <w:t xml:space="preserve">long </w:t>
            </w:r>
            <w:r>
              <w:rPr>
                <w:color w:val="231F20"/>
                <w:w w:val="95"/>
                <w:sz w:val="14"/>
              </w:rPr>
              <w:t>lasting</w:t>
            </w:r>
            <w:r>
              <w:rPr>
                <w:color w:val="231F20"/>
                <w:spacing w:val="-15"/>
                <w:w w:val="95"/>
                <w:sz w:val="14"/>
              </w:rPr>
              <w:t xml:space="preserve"> </w:t>
            </w:r>
            <w:r>
              <w:rPr>
                <w:color w:val="231F20"/>
                <w:w w:val="95"/>
                <w:sz w:val="14"/>
              </w:rPr>
              <w:t>FP</w:t>
            </w:r>
            <w:r>
              <w:rPr>
                <w:color w:val="231F20"/>
                <w:spacing w:val="-16"/>
                <w:w w:val="95"/>
                <w:sz w:val="14"/>
              </w:rPr>
              <w:t xml:space="preserve"> </w:t>
            </w:r>
            <w:r>
              <w:rPr>
                <w:color w:val="231F20"/>
                <w:w w:val="95"/>
                <w:sz w:val="14"/>
              </w:rPr>
              <w:t>methods</w:t>
            </w:r>
            <w:r>
              <w:rPr>
                <w:color w:val="231F20"/>
                <w:spacing w:val="-15"/>
                <w:w w:val="95"/>
                <w:sz w:val="14"/>
              </w:rPr>
              <w:t xml:space="preserve"> </w:t>
            </w:r>
            <w:r>
              <w:rPr>
                <w:color w:val="231F20"/>
                <w:w w:val="95"/>
                <w:sz w:val="14"/>
              </w:rPr>
              <w:t>and</w:t>
            </w:r>
            <w:r>
              <w:rPr>
                <w:color w:val="231F20"/>
                <w:spacing w:val="-15"/>
                <w:w w:val="95"/>
                <w:sz w:val="14"/>
              </w:rPr>
              <w:t xml:space="preserve"> </w:t>
            </w:r>
            <w:r>
              <w:rPr>
                <w:color w:val="231F20"/>
                <w:w w:val="95"/>
                <w:sz w:val="14"/>
              </w:rPr>
              <w:t>functional</w:t>
            </w:r>
          </w:p>
          <w:p w14:paraId="6B5C4D61" w14:textId="77777777" w:rsidR="009948F1" w:rsidRDefault="00BC0563">
            <w:pPr>
              <w:pStyle w:val="TableParagraph"/>
              <w:numPr>
                <w:ilvl w:val="0"/>
                <w:numId w:val="195"/>
              </w:numPr>
              <w:tabs>
                <w:tab w:val="left" w:pos="93"/>
              </w:tabs>
              <w:spacing w:before="2" w:line="261" w:lineRule="auto"/>
              <w:ind w:right="90" w:firstLine="0"/>
              <w:rPr>
                <w:sz w:val="14"/>
              </w:rPr>
            </w:pPr>
            <w:r>
              <w:rPr>
                <w:color w:val="231F20"/>
                <w:w w:val="90"/>
                <w:sz w:val="14"/>
              </w:rPr>
              <w:t>At</w:t>
            </w:r>
            <w:r>
              <w:rPr>
                <w:color w:val="231F20"/>
                <w:spacing w:val="-20"/>
                <w:w w:val="90"/>
                <w:sz w:val="14"/>
              </w:rPr>
              <w:t xml:space="preserve"> </w:t>
            </w:r>
            <w:r>
              <w:rPr>
                <w:color w:val="231F20"/>
                <w:w w:val="90"/>
                <w:sz w:val="14"/>
              </w:rPr>
              <w:t>least</w:t>
            </w:r>
            <w:r>
              <w:rPr>
                <w:color w:val="231F20"/>
                <w:spacing w:val="-19"/>
                <w:w w:val="90"/>
                <w:sz w:val="14"/>
              </w:rPr>
              <w:t xml:space="preserve"> </w:t>
            </w:r>
            <w:r>
              <w:rPr>
                <w:color w:val="231F20"/>
                <w:w w:val="90"/>
                <w:sz w:val="14"/>
              </w:rPr>
              <w:t>120</w:t>
            </w:r>
            <w:r>
              <w:rPr>
                <w:color w:val="231F20"/>
                <w:spacing w:val="-19"/>
                <w:w w:val="90"/>
                <w:sz w:val="14"/>
              </w:rPr>
              <w:t xml:space="preserve"> </w:t>
            </w:r>
            <w:r>
              <w:rPr>
                <w:color w:val="231F20"/>
                <w:w w:val="90"/>
                <w:sz w:val="14"/>
              </w:rPr>
              <w:t>Health</w:t>
            </w:r>
            <w:r>
              <w:rPr>
                <w:color w:val="231F20"/>
                <w:spacing w:val="-19"/>
                <w:w w:val="90"/>
                <w:sz w:val="14"/>
              </w:rPr>
              <w:t xml:space="preserve"> </w:t>
            </w:r>
            <w:r>
              <w:rPr>
                <w:color w:val="231F20"/>
                <w:w w:val="90"/>
                <w:sz w:val="14"/>
              </w:rPr>
              <w:t>care</w:t>
            </w:r>
            <w:r>
              <w:rPr>
                <w:color w:val="231F20"/>
                <w:spacing w:val="-19"/>
                <w:w w:val="90"/>
                <w:sz w:val="14"/>
              </w:rPr>
              <w:t xml:space="preserve"> </w:t>
            </w:r>
            <w:r>
              <w:rPr>
                <w:color w:val="231F20"/>
                <w:w w:val="90"/>
                <w:sz w:val="14"/>
              </w:rPr>
              <w:t>providers</w:t>
            </w:r>
            <w:r>
              <w:rPr>
                <w:color w:val="231F20"/>
                <w:spacing w:val="-19"/>
                <w:w w:val="90"/>
                <w:sz w:val="14"/>
              </w:rPr>
              <w:t xml:space="preserve"> </w:t>
            </w:r>
            <w:r>
              <w:rPr>
                <w:color w:val="231F20"/>
                <w:spacing w:val="-3"/>
                <w:w w:val="90"/>
                <w:sz w:val="14"/>
              </w:rPr>
              <w:t xml:space="preserve">trained </w:t>
            </w:r>
            <w:r>
              <w:rPr>
                <w:color w:val="231F20"/>
                <w:w w:val="90"/>
                <w:sz w:val="14"/>
              </w:rPr>
              <w:t>on</w:t>
            </w:r>
            <w:r>
              <w:rPr>
                <w:color w:val="231F20"/>
                <w:spacing w:val="-21"/>
                <w:w w:val="90"/>
                <w:sz w:val="14"/>
              </w:rPr>
              <w:t xml:space="preserve"> </w:t>
            </w:r>
            <w:r>
              <w:rPr>
                <w:color w:val="231F20"/>
                <w:w w:val="90"/>
                <w:sz w:val="14"/>
              </w:rPr>
              <w:t>comprehensive</w:t>
            </w:r>
            <w:r>
              <w:rPr>
                <w:color w:val="231F20"/>
                <w:spacing w:val="-20"/>
                <w:w w:val="90"/>
                <w:sz w:val="14"/>
              </w:rPr>
              <w:t xml:space="preserve"> </w:t>
            </w:r>
            <w:r>
              <w:rPr>
                <w:color w:val="231F20"/>
                <w:w w:val="90"/>
                <w:sz w:val="14"/>
              </w:rPr>
              <w:t>FP</w:t>
            </w:r>
            <w:r>
              <w:rPr>
                <w:color w:val="231F20"/>
                <w:spacing w:val="-21"/>
                <w:w w:val="90"/>
                <w:sz w:val="14"/>
              </w:rPr>
              <w:t xml:space="preserve"> </w:t>
            </w:r>
            <w:r>
              <w:rPr>
                <w:color w:val="231F20"/>
                <w:w w:val="90"/>
                <w:sz w:val="14"/>
              </w:rPr>
              <w:t>services</w:t>
            </w:r>
            <w:r>
              <w:rPr>
                <w:color w:val="231F20"/>
                <w:spacing w:val="-20"/>
                <w:w w:val="90"/>
                <w:sz w:val="14"/>
              </w:rPr>
              <w:t xml:space="preserve"> </w:t>
            </w:r>
            <w:r>
              <w:rPr>
                <w:color w:val="231F20"/>
                <w:w w:val="90"/>
                <w:sz w:val="14"/>
              </w:rPr>
              <w:t xml:space="preserve">provision, </w:t>
            </w:r>
            <w:r>
              <w:rPr>
                <w:color w:val="231F20"/>
                <w:w w:val="95"/>
                <w:sz w:val="14"/>
              </w:rPr>
              <w:t>including LAC &amp;</w:t>
            </w:r>
            <w:r>
              <w:rPr>
                <w:color w:val="231F20"/>
                <w:spacing w:val="-28"/>
                <w:w w:val="95"/>
                <w:sz w:val="14"/>
              </w:rPr>
              <w:t xml:space="preserve"> </w:t>
            </w:r>
            <w:r>
              <w:rPr>
                <w:color w:val="231F20"/>
                <w:w w:val="95"/>
                <w:sz w:val="14"/>
              </w:rPr>
              <w:t>functional</w:t>
            </w:r>
          </w:p>
        </w:tc>
        <w:tc>
          <w:tcPr>
            <w:tcW w:w="1431" w:type="dxa"/>
            <w:tcBorders>
              <w:top w:val="single" w:sz="12" w:space="0" w:color="231F20"/>
              <w:left w:val="single" w:sz="6" w:space="0" w:color="231F20"/>
              <w:bottom w:val="single" w:sz="6" w:space="0" w:color="231F20"/>
            </w:tcBorders>
            <w:shd w:val="clear" w:color="auto" w:fill="CCE7D3"/>
          </w:tcPr>
          <w:p w14:paraId="4F117B66"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CCE7D3"/>
          </w:tcPr>
          <w:p w14:paraId="6CB7C6F4" w14:textId="77777777" w:rsidR="009948F1" w:rsidRDefault="009948F1">
            <w:pPr>
              <w:pStyle w:val="TableParagraph"/>
              <w:rPr>
                <w:rFonts w:ascii="Times New Roman"/>
                <w:sz w:val="10"/>
              </w:rPr>
            </w:pPr>
          </w:p>
        </w:tc>
      </w:tr>
      <w:tr w:rsidR="009948F1" w14:paraId="695FE352" w14:textId="77777777">
        <w:trPr>
          <w:trHeight w:val="581"/>
        </w:trPr>
        <w:tc>
          <w:tcPr>
            <w:tcW w:w="867" w:type="dxa"/>
            <w:gridSpan w:val="2"/>
            <w:vMerge w:val="restart"/>
            <w:tcBorders>
              <w:top w:val="nil"/>
              <w:bottom w:val="nil"/>
              <w:right w:val="single" w:sz="6" w:space="0" w:color="231F20"/>
            </w:tcBorders>
          </w:tcPr>
          <w:p w14:paraId="16D106A4" w14:textId="77777777" w:rsidR="009948F1" w:rsidRDefault="009948F1">
            <w:pPr>
              <w:pStyle w:val="TableParagraph"/>
              <w:rPr>
                <w:rFonts w:ascii="Times New Roman"/>
                <w:sz w:val="10"/>
              </w:rPr>
            </w:pPr>
          </w:p>
        </w:tc>
        <w:tc>
          <w:tcPr>
            <w:tcW w:w="527" w:type="dxa"/>
            <w:tcBorders>
              <w:top w:val="single" w:sz="6" w:space="0" w:color="231F20"/>
              <w:left w:val="single" w:sz="6" w:space="0" w:color="231F20"/>
              <w:bottom w:val="single" w:sz="6" w:space="0" w:color="231F20"/>
              <w:right w:val="single" w:sz="6" w:space="0" w:color="231F20"/>
            </w:tcBorders>
          </w:tcPr>
          <w:p w14:paraId="6BF87F77" w14:textId="77777777" w:rsidR="009948F1" w:rsidRDefault="009948F1">
            <w:pPr>
              <w:pStyle w:val="TableParagraph"/>
              <w:rPr>
                <w:sz w:val="18"/>
              </w:rPr>
            </w:pPr>
          </w:p>
          <w:p w14:paraId="373EF9C8" w14:textId="77777777" w:rsidR="009948F1" w:rsidRDefault="00BC0563">
            <w:pPr>
              <w:pStyle w:val="TableParagraph"/>
              <w:ind w:left="24" w:right="5"/>
              <w:jc w:val="center"/>
              <w:rPr>
                <w:sz w:val="14"/>
              </w:rPr>
            </w:pPr>
            <w:r>
              <w:rPr>
                <w:color w:val="231F20"/>
                <w:w w:val="90"/>
                <w:sz w:val="14"/>
              </w:rPr>
              <w:t>4.3.3.a</w:t>
            </w:r>
          </w:p>
        </w:tc>
        <w:tc>
          <w:tcPr>
            <w:tcW w:w="4905" w:type="dxa"/>
            <w:gridSpan w:val="2"/>
            <w:tcBorders>
              <w:top w:val="single" w:sz="6" w:space="0" w:color="231F20"/>
              <w:left w:val="single" w:sz="6" w:space="0" w:color="231F20"/>
              <w:bottom w:val="single" w:sz="6" w:space="0" w:color="231F20"/>
              <w:right w:val="single" w:sz="6" w:space="0" w:color="231F20"/>
            </w:tcBorders>
          </w:tcPr>
          <w:p w14:paraId="060149BF" w14:textId="77777777" w:rsidR="009948F1" w:rsidRDefault="00BC0563">
            <w:pPr>
              <w:pStyle w:val="TableParagraph"/>
              <w:spacing w:before="113" w:line="261" w:lineRule="auto"/>
              <w:ind w:left="24"/>
              <w:rPr>
                <w:sz w:val="14"/>
              </w:rPr>
            </w:pPr>
            <w:r>
              <w:rPr>
                <w:color w:val="231F20"/>
                <w:w w:val="85"/>
                <w:sz w:val="14"/>
              </w:rPr>
              <w:t xml:space="preserve">Increase number of FP services delivery points, including outreaches, and community- </w:t>
            </w:r>
            <w:r>
              <w:rPr>
                <w:color w:val="231F20"/>
                <w:w w:val="95"/>
                <w:sz w:val="14"/>
              </w:rPr>
              <w:t>based distribution</w:t>
            </w:r>
          </w:p>
        </w:tc>
        <w:tc>
          <w:tcPr>
            <w:tcW w:w="1431" w:type="dxa"/>
            <w:tcBorders>
              <w:top w:val="single" w:sz="6" w:space="0" w:color="231F20"/>
              <w:left w:val="single" w:sz="6" w:space="0" w:color="231F20"/>
              <w:bottom w:val="single" w:sz="6" w:space="0" w:color="231F20"/>
              <w:right w:val="single" w:sz="6" w:space="0" w:color="231F20"/>
            </w:tcBorders>
          </w:tcPr>
          <w:p w14:paraId="7A76E0ED" w14:textId="77777777" w:rsidR="009948F1" w:rsidRDefault="009948F1">
            <w:pPr>
              <w:pStyle w:val="TableParagraph"/>
              <w:rPr>
                <w:sz w:val="18"/>
              </w:rPr>
            </w:pPr>
          </w:p>
          <w:p w14:paraId="3D9FDB4F" w14:textId="77777777" w:rsidR="009948F1" w:rsidRDefault="00BC0563">
            <w:pPr>
              <w:pStyle w:val="TableParagraph"/>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38AD3F3D" w14:textId="77777777" w:rsidR="009948F1" w:rsidRDefault="00BC0563">
            <w:pPr>
              <w:pStyle w:val="TableParagraph"/>
              <w:spacing w:before="31" w:line="261" w:lineRule="auto"/>
              <w:ind w:left="23" w:right="272"/>
              <w:rPr>
                <w:sz w:val="14"/>
              </w:rPr>
            </w:pPr>
            <w:r>
              <w:rPr>
                <w:color w:val="231F20"/>
                <w:w w:val="90"/>
                <w:sz w:val="14"/>
              </w:rPr>
              <w:t xml:space="preserve">Increase FP services </w:t>
            </w:r>
            <w:r>
              <w:rPr>
                <w:color w:val="231F20"/>
                <w:w w:val="95"/>
                <w:sz w:val="14"/>
              </w:rPr>
              <w:t>delivery points &amp; outreaches</w:t>
            </w:r>
          </w:p>
        </w:tc>
      </w:tr>
      <w:tr w:rsidR="009948F1" w14:paraId="5224F46A" w14:textId="77777777">
        <w:trPr>
          <w:trHeight w:val="460"/>
        </w:trPr>
        <w:tc>
          <w:tcPr>
            <w:tcW w:w="867" w:type="dxa"/>
            <w:gridSpan w:val="2"/>
            <w:vMerge/>
            <w:tcBorders>
              <w:top w:val="nil"/>
              <w:bottom w:val="nil"/>
              <w:right w:val="single" w:sz="6" w:space="0" w:color="231F20"/>
            </w:tcBorders>
          </w:tcPr>
          <w:p w14:paraId="1EA0AAAA"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14C0087D" w14:textId="77777777" w:rsidR="009948F1" w:rsidRDefault="009948F1">
            <w:pPr>
              <w:pStyle w:val="TableParagraph"/>
              <w:spacing w:before="7"/>
              <w:rPr>
                <w:sz w:val="12"/>
              </w:rPr>
            </w:pPr>
          </w:p>
          <w:p w14:paraId="261256E3" w14:textId="77777777" w:rsidR="009948F1" w:rsidRDefault="00BC0563">
            <w:pPr>
              <w:pStyle w:val="TableParagraph"/>
              <w:spacing w:before="1"/>
              <w:ind w:left="24" w:right="5"/>
              <w:jc w:val="center"/>
              <w:rPr>
                <w:sz w:val="14"/>
              </w:rPr>
            </w:pPr>
            <w:r>
              <w:rPr>
                <w:color w:val="231F20"/>
                <w:w w:val="90"/>
                <w:sz w:val="14"/>
              </w:rPr>
              <w:t>4.3.3.b</w:t>
            </w:r>
          </w:p>
        </w:tc>
        <w:tc>
          <w:tcPr>
            <w:tcW w:w="4905" w:type="dxa"/>
            <w:gridSpan w:val="2"/>
            <w:tcBorders>
              <w:top w:val="single" w:sz="6" w:space="0" w:color="231F20"/>
              <w:left w:val="single" w:sz="6" w:space="0" w:color="231F20"/>
              <w:bottom w:val="single" w:sz="6" w:space="0" w:color="231F20"/>
              <w:right w:val="single" w:sz="6" w:space="0" w:color="231F20"/>
            </w:tcBorders>
          </w:tcPr>
          <w:p w14:paraId="289C1423" w14:textId="77777777" w:rsidR="009948F1" w:rsidRDefault="009948F1">
            <w:pPr>
              <w:pStyle w:val="TableParagraph"/>
              <w:spacing w:before="2"/>
              <w:rPr>
                <w:sz w:val="12"/>
              </w:rPr>
            </w:pPr>
          </w:p>
          <w:p w14:paraId="06BD5C1C" w14:textId="77777777" w:rsidR="009948F1" w:rsidRDefault="00BC0563">
            <w:pPr>
              <w:pStyle w:val="TableParagraph"/>
              <w:ind w:left="24"/>
              <w:rPr>
                <w:sz w:val="14"/>
              </w:rPr>
            </w:pPr>
            <w:r>
              <w:rPr>
                <w:color w:val="231F20"/>
                <w:w w:val="95"/>
                <w:sz w:val="14"/>
              </w:rPr>
              <w:t>Observe World Contraceptive Day</w:t>
            </w:r>
          </w:p>
        </w:tc>
        <w:tc>
          <w:tcPr>
            <w:tcW w:w="1431" w:type="dxa"/>
            <w:tcBorders>
              <w:top w:val="single" w:sz="6" w:space="0" w:color="231F20"/>
              <w:left w:val="single" w:sz="6" w:space="0" w:color="231F20"/>
              <w:bottom w:val="single" w:sz="6" w:space="0" w:color="231F20"/>
              <w:right w:val="single" w:sz="6" w:space="0" w:color="231F20"/>
            </w:tcBorders>
          </w:tcPr>
          <w:p w14:paraId="29834609" w14:textId="77777777" w:rsidR="009948F1" w:rsidRDefault="009948F1">
            <w:pPr>
              <w:pStyle w:val="TableParagraph"/>
              <w:spacing w:before="7"/>
              <w:rPr>
                <w:sz w:val="12"/>
              </w:rPr>
            </w:pPr>
          </w:p>
          <w:p w14:paraId="2C229306" w14:textId="77777777" w:rsidR="009948F1" w:rsidRDefault="00BC0563">
            <w:pPr>
              <w:pStyle w:val="TableParagraph"/>
              <w:spacing w:before="1"/>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456F1928" w14:textId="77777777" w:rsidR="009948F1" w:rsidRDefault="00BC0563">
            <w:pPr>
              <w:pStyle w:val="TableParagraph"/>
              <w:spacing w:before="58" w:line="261" w:lineRule="auto"/>
              <w:ind w:left="23" w:right="470"/>
              <w:rPr>
                <w:sz w:val="14"/>
              </w:rPr>
            </w:pPr>
            <w:r>
              <w:rPr>
                <w:color w:val="231F20"/>
                <w:w w:val="95"/>
                <w:sz w:val="14"/>
              </w:rPr>
              <w:t xml:space="preserve">Observe World </w:t>
            </w:r>
            <w:r>
              <w:rPr>
                <w:color w:val="231F20"/>
                <w:w w:val="85"/>
                <w:sz w:val="14"/>
              </w:rPr>
              <w:t>Contraceptive Day</w:t>
            </w:r>
          </w:p>
        </w:tc>
      </w:tr>
      <w:tr w:rsidR="009948F1" w14:paraId="69112C39" w14:textId="77777777">
        <w:trPr>
          <w:trHeight w:val="677"/>
        </w:trPr>
        <w:tc>
          <w:tcPr>
            <w:tcW w:w="867" w:type="dxa"/>
            <w:gridSpan w:val="2"/>
            <w:vMerge/>
            <w:tcBorders>
              <w:top w:val="nil"/>
              <w:bottom w:val="nil"/>
              <w:right w:val="single" w:sz="6" w:space="0" w:color="231F20"/>
            </w:tcBorders>
          </w:tcPr>
          <w:p w14:paraId="6EC15B06"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0ACDF131" w14:textId="77777777" w:rsidR="009948F1" w:rsidRDefault="009948F1">
            <w:pPr>
              <w:pStyle w:val="TableParagraph"/>
              <w:rPr>
                <w:sz w:val="14"/>
              </w:rPr>
            </w:pPr>
          </w:p>
          <w:p w14:paraId="19AA8998" w14:textId="77777777" w:rsidR="009948F1" w:rsidRDefault="00BC0563">
            <w:pPr>
              <w:pStyle w:val="TableParagraph"/>
              <w:spacing w:before="93"/>
              <w:ind w:left="24" w:right="5"/>
              <w:jc w:val="center"/>
              <w:rPr>
                <w:sz w:val="14"/>
              </w:rPr>
            </w:pPr>
            <w:r>
              <w:rPr>
                <w:color w:val="231F20"/>
                <w:w w:val="95"/>
                <w:sz w:val="14"/>
              </w:rPr>
              <w:t>4.3.3.c</w:t>
            </w:r>
          </w:p>
        </w:tc>
        <w:tc>
          <w:tcPr>
            <w:tcW w:w="4905" w:type="dxa"/>
            <w:gridSpan w:val="2"/>
            <w:tcBorders>
              <w:top w:val="single" w:sz="6" w:space="0" w:color="231F20"/>
              <w:left w:val="single" w:sz="6" w:space="0" w:color="231F20"/>
              <w:bottom w:val="single" w:sz="6" w:space="0" w:color="231F20"/>
              <w:right w:val="single" w:sz="6" w:space="0" w:color="231F20"/>
            </w:tcBorders>
          </w:tcPr>
          <w:p w14:paraId="3E6D46D0" w14:textId="77777777" w:rsidR="009948F1" w:rsidRDefault="009948F1">
            <w:pPr>
              <w:pStyle w:val="TableParagraph"/>
              <w:rPr>
                <w:sz w:val="14"/>
              </w:rPr>
            </w:pPr>
          </w:p>
          <w:p w14:paraId="0142750E" w14:textId="77777777" w:rsidR="009948F1" w:rsidRDefault="00BC0563">
            <w:pPr>
              <w:pStyle w:val="TableParagraph"/>
              <w:spacing w:line="261" w:lineRule="auto"/>
              <w:ind w:left="24" w:right="324"/>
              <w:rPr>
                <w:sz w:val="14"/>
              </w:rPr>
            </w:pPr>
            <w:r>
              <w:rPr>
                <w:color w:val="231F20"/>
                <w:w w:val="90"/>
                <w:sz w:val="14"/>
              </w:rPr>
              <w:t>Implement</w:t>
            </w:r>
            <w:r>
              <w:rPr>
                <w:color w:val="231F20"/>
                <w:spacing w:val="-19"/>
                <w:w w:val="90"/>
                <w:sz w:val="14"/>
              </w:rPr>
              <w:t xml:space="preserve"> </w:t>
            </w:r>
            <w:r>
              <w:rPr>
                <w:color w:val="231F20"/>
                <w:w w:val="90"/>
                <w:sz w:val="14"/>
              </w:rPr>
              <w:t>task</w:t>
            </w:r>
            <w:r>
              <w:rPr>
                <w:color w:val="231F20"/>
                <w:spacing w:val="-18"/>
                <w:w w:val="90"/>
                <w:sz w:val="14"/>
              </w:rPr>
              <w:t xml:space="preserve"> </w:t>
            </w:r>
            <w:r>
              <w:rPr>
                <w:color w:val="231F20"/>
                <w:w w:val="90"/>
                <w:sz w:val="14"/>
              </w:rPr>
              <w:t>shifting</w:t>
            </w:r>
            <w:r>
              <w:rPr>
                <w:color w:val="231F20"/>
                <w:spacing w:val="-18"/>
                <w:w w:val="90"/>
                <w:sz w:val="14"/>
              </w:rPr>
              <w:t xml:space="preserve"> </w:t>
            </w:r>
            <w:r>
              <w:rPr>
                <w:color w:val="231F20"/>
                <w:w w:val="90"/>
                <w:sz w:val="14"/>
              </w:rPr>
              <w:t>in</w:t>
            </w:r>
            <w:r>
              <w:rPr>
                <w:color w:val="231F20"/>
                <w:spacing w:val="-19"/>
                <w:w w:val="90"/>
                <w:sz w:val="14"/>
              </w:rPr>
              <w:t xml:space="preserve"> </w:t>
            </w:r>
            <w:r>
              <w:rPr>
                <w:color w:val="231F20"/>
                <w:w w:val="90"/>
                <w:sz w:val="14"/>
              </w:rPr>
              <w:t>FP</w:t>
            </w:r>
            <w:r>
              <w:rPr>
                <w:color w:val="231F20"/>
                <w:spacing w:val="-19"/>
                <w:w w:val="90"/>
                <w:sz w:val="14"/>
              </w:rPr>
              <w:t xml:space="preserve"> </w:t>
            </w:r>
            <w:r>
              <w:rPr>
                <w:color w:val="231F20"/>
                <w:w w:val="90"/>
                <w:sz w:val="14"/>
              </w:rPr>
              <w:t>service</w:t>
            </w:r>
            <w:r>
              <w:rPr>
                <w:color w:val="231F20"/>
                <w:spacing w:val="-18"/>
                <w:w w:val="90"/>
                <w:sz w:val="14"/>
              </w:rPr>
              <w:t xml:space="preserve"> </w:t>
            </w:r>
            <w:r>
              <w:rPr>
                <w:color w:val="231F20"/>
                <w:w w:val="90"/>
                <w:sz w:val="14"/>
              </w:rPr>
              <w:t>provision</w:t>
            </w:r>
            <w:r>
              <w:rPr>
                <w:color w:val="231F20"/>
                <w:spacing w:val="-19"/>
                <w:w w:val="90"/>
                <w:sz w:val="14"/>
              </w:rPr>
              <w:t xml:space="preserve"> </w:t>
            </w:r>
            <w:r>
              <w:rPr>
                <w:color w:val="231F20"/>
                <w:w w:val="90"/>
                <w:sz w:val="14"/>
              </w:rPr>
              <w:t>by</w:t>
            </w:r>
            <w:r>
              <w:rPr>
                <w:color w:val="231F20"/>
                <w:spacing w:val="-18"/>
                <w:w w:val="90"/>
                <w:sz w:val="14"/>
              </w:rPr>
              <w:t xml:space="preserve"> </w:t>
            </w:r>
            <w:r>
              <w:rPr>
                <w:color w:val="231F20"/>
                <w:w w:val="90"/>
                <w:sz w:val="14"/>
              </w:rPr>
              <w:t>training</w:t>
            </w:r>
            <w:r>
              <w:rPr>
                <w:color w:val="231F20"/>
                <w:spacing w:val="-1"/>
                <w:w w:val="90"/>
                <w:sz w:val="14"/>
              </w:rPr>
              <w:t xml:space="preserve"> </w:t>
            </w:r>
            <w:r>
              <w:rPr>
                <w:color w:val="231F20"/>
                <w:w w:val="90"/>
                <w:sz w:val="14"/>
              </w:rPr>
              <w:t>and</w:t>
            </w:r>
            <w:r>
              <w:rPr>
                <w:color w:val="231F20"/>
                <w:spacing w:val="-19"/>
                <w:w w:val="90"/>
                <w:sz w:val="14"/>
              </w:rPr>
              <w:t xml:space="preserve"> </w:t>
            </w:r>
            <w:r>
              <w:rPr>
                <w:color w:val="231F20"/>
                <w:w w:val="90"/>
                <w:sz w:val="14"/>
              </w:rPr>
              <w:t>using</w:t>
            </w:r>
            <w:r>
              <w:rPr>
                <w:color w:val="231F20"/>
                <w:spacing w:val="-18"/>
                <w:w w:val="90"/>
                <w:sz w:val="14"/>
              </w:rPr>
              <w:t xml:space="preserve"> </w:t>
            </w:r>
            <w:r>
              <w:rPr>
                <w:color w:val="231F20"/>
                <w:w w:val="90"/>
                <w:sz w:val="14"/>
              </w:rPr>
              <w:t>CHEWs</w:t>
            </w:r>
            <w:r>
              <w:rPr>
                <w:color w:val="231F20"/>
                <w:spacing w:val="-2"/>
                <w:w w:val="90"/>
                <w:sz w:val="14"/>
              </w:rPr>
              <w:t xml:space="preserve"> </w:t>
            </w:r>
            <w:r>
              <w:rPr>
                <w:color w:val="231F20"/>
                <w:w w:val="90"/>
                <w:sz w:val="14"/>
              </w:rPr>
              <w:t>for</w:t>
            </w:r>
            <w:r>
              <w:rPr>
                <w:color w:val="231F20"/>
                <w:spacing w:val="-18"/>
                <w:w w:val="90"/>
                <w:sz w:val="14"/>
              </w:rPr>
              <w:t xml:space="preserve"> </w:t>
            </w:r>
            <w:r>
              <w:rPr>
                <w:color w:val="231F20"/>
                <w:w w:val="90"/>
                <w:sz w:val="14"/>
              </w:rPr>
              <w:t xml:space="preserve">long </w:t>
            </w:r>
            <w:r>
              <w:rPr>
                <w:color w:val="231F20"/>
                <w:w w:val="95"/>
                <w:sz w:val="14"/>
              </w:rPr>
              <w:t>lasting</w:t>
            </w:r>
            <w:r>
              <w:rPr>
                <w:color w:val="231F20"/>
                <w:spacing w:val="-9"/>
                <w:w w:val="95"/>
                <w:sz w:val="14"/>
              </w:rPr>
              <w:t xml:space="preserve"> </w:t>
            </w:r>
            <w:r>
              <w:rPr>
                <w:color w:val="231F20"/>
                <w:w w:val="95"/>
                <w:sz w:val="14"/>
              </w:rPr>
              <w:t>FP</w:t>
            </w:r>
            <w:r>
              <w:rPr>
                <w:color w:val="231F20"/>
                <w:spacing w:val="-9"/>
                <w:w w:val="95"/>
                <w:sz w:val="14"/>
              </w:rPr>
              <w:t xml:space="preserve"> </w:t>
            </w:r>
            <w:r>
              <w:rPr>
                <w:color w:val="231F20"/>
                <w:w w:val="95"/>
                <w:sz w:val="14"/>
              </w:rPr>
              <w:t>methods</w:t>
            </w:r>
            <w:r>
              <w:rPr>
                <w:color w:val="231F20"/>
                <w:spacing w:val="-8"/>
                <w:w w:val="95"/>
                <w:sz w:val="14"/>
              </w:rPr>
              <w:t xml:space="preserve"> </w:t>
            </w:r>
            <w:r>
              <w:rPr>
                <w:color w:val="231F20"/>
                <w:w w:val="95"/>
                <w:sz w:val="14"/>
              </w:rPr>
              <w:t>and</w:t>
            </w:r>
            <w:r>
              <w:rPr>
                <w:color w:val="231F20"/>
                <w:spacing w:val="-9"/>
                <w:w w:val="95"/>
                <w:sz w:val="14"/>
              </w:rPr>
              <w:t xml:space="preserve"> </w:t>
            </w:r>
            <w:r>
              <w:rPr>
                <w:color w:val="231F20"/>
                <w:w w:val="95"/>
                <w:sz w:val="14"/>
              </w:rPr>
              <w:t>community</w:t>
            </w:r>
            <w:r>
              <w:rPr>
                <w:color w:val="231F20"/>
                <w:spacing w:val="-8"/>
                <w:w w:val="95"/>
                <w:sz w:val="14"/>
              </w:rPr>
              <w:t xml:space="preserve"> </w:t>
            </w:r>
            <w:r>
              <w:rPr>
                <w:color w:val="231F20"/>
                <w:w w:val="95"/>
                <w:sz w:val="14"/>
              </w:rPr>
              <w:t>volunteers</w:t>
            </w:r>
          </w:p>
        </w:tc>
        <w:tc>
          <w:tcPr>
            <w:tcW w:w="1431" w:type="dxa"/>
            <w:tcBorders>
              <w:top w:val="single" w:sz="6" w:space="0" w:color="231F20"/>
              <w:left w:val="single" w:sz="6" w:space="0" w:color="231F20"/>
              <w:bottom w:val="single" w:sz="6" w:space="0" w:color="231F20"/>
              <w:right w:val="single" w:sz="6" w:space="0" w:color="231F20"/>
            </w:tcBorders>
          </w:tcPr>
          <w:p w14:paraId="6D91453E" w14:textId="77777777" w:rsidR="009948F1" w:rsidRDefault="009948F1">
            <w:pPr>
              <w:pStyle w:val="TableParagraph"/>
              <w:rPr>
                <w:sz w:val="14"/>
              </w:rPr>
            </w:pPr>
          </w:p>
          <w:p w14:paraId="791A4D56" w14:textId="77777777" w:rsidR="009948F1" w:rsidRDefault="00BC0563">
            <w:pPr>
              <w:pStyle w:val="TableParagraph"/>
              <w:spacing w:before="93"/>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0115E4B1" w14:textId="77777777" w:rsidR="009948F1" w:rsidRDefault="009948F1">
            <w:pPr>
              <w:pStyle w:val="TableParagraph"/>
              <w:rPr>
                <w:sz w:val="14"/>
              </w:rPr>
            </w:pPr>
          </w:p>
          <w:p w14:paraId="3FF304EF" w14:textId="77777777" w:rsidR="009948F1" w:rsidRDefault="00BC0563">
            <w:pPr>
              <w:pStyle w:val="TableParagraph"/>
              <w:spacing w:before="93"/>
              <w:ind w:left="23"/>
              <w:rPr>
                <w:sz w:val="14"/>
              </w:rPr>
            </w:pPr>
            <w:r>
              <w:rPr>
                <w:color w:val="231F20"/>
                <w:w w:val="95"/>
                <w:sz w:val="14"/>
              </w:rPr>
              <w:t>Train CHEWs</w:t>
            </w:r>
          </w:p>
        </w:tc>
      </w:tr>
      <w:tr w:rsidR="009948F1" w14:paraId="714A4210" w14:textId="77777777">
        <w:trPr>
          <w:trHeight w:val="352"/>
        </w:trPr>
        <w:tc>
          <w:tcPr>
            <w:tcW w:w="867" w:type="dxa"/>
            <w:gridSpan w:val="2"/>
            <w:vMerge/>
            <w:tcBorders>
              <w:top w:val="nil"/>
              <w:bottom w:val="nil"/>
              <w:right w:val="single" w:sz="6" w:space="0" w:color="231F20"/>
            </w:tcBorders>
          </w:tcPr>
          <w:p w14:paraId="52DA857C"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243FCCC7" w14:textId="77777777" w:rsidR="009948F1" w:rsidRDefault="00BC0563">
            <w:pPr>
              <w:pStyle w:val="TableParagraph"/>
              <w:spacing w:before="93"/>
              <w:ind w:left="24" w:right="5"/>
              <w:jc w:val="center"/>
              <w:rPr>
                <w:sz w:val="14"/>
              </w:rPr>
            </w:pPr>
            <w:r>
              <w:rPr>
                <w:color w:val="231F20"/>
                <w:w w:val="90"/>
                <w:sz w:val="14"/>
              </w:rPr>
              <w:t>4.3.3.d</w:t>
            </w:r>
          </w:p>
        </w:tc>
        <w:tc>
          <w:tcPr>
            <w:tcW w:w="4905" w:type="dxa"/>
            <w:gridSpan w:val="2"/>
            <w:tcBorders>
              <w:top w:val="single" w:sz="6" w:space="0" w:color="231F20"/>
              <w:left w:val="single" w:sz="6" w:space="0" w:color="231F20"/>
              <w:bottom w:val="single" w:sz="6" w:space="0" w:color="231F20"/>
              <w:right w:val="single" w:sz="6" w:space="0" w:color="231F20"/>
            </w:tcBorders>
          </w:tcPr>
          <w:p w14:paraId="3E9FA2E5" w14:textId="77777777" w:rsidR="009948F1" w:rsidRDefault="00BC0563">
            <w:pPr>
              <w:pStyle w:val="TableParagraph"/>
              <w:spacing w:line="160" w:lineRule="exact"/>
              <w:ind w:left="24"/>
              <w:rPr>
                <w:sz w:val="14"/>
              </w:rPr>
            </w:pPr>
            <w:r>
              <w:rPr>
                <w:color w:val="231F20"/>
                <w:w w:val="90"/>
                <w:sz w:val="14"/>
              </w:rPr>
              <w:t>Conduct</w:t>
            </w:r>
            <w:r>
              <w:rPr>
                <w:color w:val="231F20"/>
                <w:spacing w:val="-23"/>
                <w:w w:val="90"/>
                <w:sz w:val="14"/>
              </w:rPr>
              <w:t xml:space="preserve"> </w:t>
            </w:r>
            <w:r>
              <w:rPr>
                <w:color w:val="231F20"/>
                <w:w w:val="90"/>
                <w:sz w:val="14"/>
              </w:rPr>
              <w:t>training</w:t>
            </w:r>
            <w:r>
              <w:rPr>
                <w:color w:val="231F20"/>
                <w:spacing w:val="-23"/>
                <w:w w:val="90"/>
                <w:sz w:val="14"/>
              </w:rPr>
              <w:t xml:space="preserve"> </w:t>
            </w:r>
            <w:r>
              <w:rPr>
                <w:color w:val="231F20"/>
                <w:w w:val="90"/>
                <w:sz w:val="14"/>
              </w:rPr>
              <w:t>of</w:t>
            </w:r>
            <w:r>
              <w:rPr>
                <w:color w:val="231F20"/>
                <w:spacing w:val="-23"/>
                <w:w w:val="90"/>
                <w:sz w:val="14"/>
              </w:rPr>
              <w:t xml:space="preserve"> </w:t>
            </w:r>
            <w:r>
              <w:rPr>
                <w:color w:val="231F20"/>
                <w:w w:val="90"/>
                <w:sz w:val="14"/>
              </w:rPr>
              <w:t>health</w:t>
            </w:r>
            <w:r>
              <w:rPr>
                <w:color w:val="231F20"/>
                <w:spacing w:val="-23"/>
                <w:w w:val="90"/>
                <w:sz w:val="14"/>
              </w:rPr>
              <w:t xml:space="preserve"> </w:t>
            </w:r>
            <w:r>
              <w:rPr>
                <w:color w:val="231F20"/>
                <w:w w:val="90"/>
                <w:sz w:val="14"/>
              </w:rPr>
              <w:t>care</w:t>
            </w:r>
            <w:r>
              <w:rPr>
                <w:color w:val="231F20"/>
                <w:spacing w:val="-23"/>
                <w:w w:val="90"/>
                <w:sz w:val="14"/>
              </w:rPr>
              <w:t xml:space="preserve"> </w:t>
            </w:r>
            <w:r>
              <w:rPr>
                <w:color w:val="231F20"/>
                <w:w w:val="90"/>
                <w:sz w:val="14"/>
              </w:rPr>
              <w:t>providers</w:t>
            </w:r>
            <w:r>
              <w:rPr>
                <w:color w:val="231F20"/>
                <w:spacing w:val="-22"/>
                <w:w w:val="90"/>
                <w:sz w:val="14"/>
              </w:rPr>
              <w:t xml:space="preserve"> </w:t>
            </w:r>
            <w:r>
              <w:rPr>
                <w:color w:val="231F20"/>
                <w:w w:val="90"/>
                <w:sz w:val="14"/>
              </w:rPr>
              <w:t>in</w:t>
            </w:r>
            <w:r>
              <w:rPr>
                <w:color w:val="231F20"/>
                <w:spacing w:val="-23"/>
                <w:w w:val="90"/>
                <w:sz w:val="14"/>
              </w:rPr>
              <w:t xml:space="preserve"> </w:t>
            </w:r>
            <w:r>
              <w:rPr>
                <w:color w:val="231F20"/>
                <w:w w:val="90"/>
                <w:sz w:val="14"/>
              </w:rPr>
              <w:t>comprehensive</w:t>
            </w:r>
            <w:r>
              <w:rPr>
                <w:color w:val="231F20"/>
                <w:spacing w:val="-23"/>
                <w:w w:val="90"/>
                <w:sz w:val="14"/>
              </w:rPr>
              <w:t xml:space="preserve"> </w:t>
            </w:r>
            <w:r>
              <w:rPr>
                <w:color w:val="231F20"/>
                <w:w w:val="90"/>
                <w:sz w:val="14"/>
              </w:rPr>
              <w:t>FP</w:t>
            </w:r>
            <w:r>
              <w:rPr>
                <w:color w:val="231F20"/>
                <w:spacing w:val="-24"/>
                <w:w w:val="90"/>
                <w:sz w:val="14"/>
              </w:rPr>
              <w:t xml:space="preserve"> </w:t>
            </w:r>
            <w:r>
              <w:rPr>
                <w:color w:val="231F20"/>
                <w:w w:val="90"/>
                <w:sz w:val="14"/>
              </w:rPr>
              <w:t>services</w:t>
            </w:r>
            <w:r>
              <w:rPr>
                <w:color w:val="231F20"/>
                <w:spacing w:val="-22"/>
                <w:w w:val="90"/>
                <w:sz w:val="14"/>
              </w:rPr>
              <w:t xml:space="preserve"> </w:t>
            </w:r>
            <w:r>
              <w:rPr>
                <w:color w:val="231F20"/>
                <w:w w:val="90"/>
                <w:sz w:val="14"/>
              </w:rPr>
              <w:t>provision,</w:t>
            </w:r>
            <w:r>
              <w:rPr>
                <w:color w:val="231F20"/>
                <w:spacing w:val="-23"/>
                <w:w w:val="90"/>
                <w:sz w:val="14"/>
              </w:rPr>
              <w:t xml:space="preserve"> </w:t>
            </w:r>
            <w:r>
              <w:rPr>
                <w:color w:val="231F20"/>
                <w:w w:val="90"/>
                <w:sz w:val="14"/>
              </w:rPr>
              <w:t>including</w:t>
            </w:r>
          </w:p>
          <w:p w14:paraId="0D38F24D" w14:textId="77777777" w:rsidR="009948F1" w:rsidRDefault="00BC0563">
            <w:pPr>
              <w:pStyle w:val="TableParagraph"/>
              <w:spacing w:before="15" w:line="158" w:lineRule="exact"/>
              <w:ind w:left="24"/>
              <w:rPr>
                <w:sz w:val="14"/>
              </w:rPr>
            </w:pPr>
            <w:r>
              <w:rPr>
                <w:color w:val="231F20"/>
                <w:w w:val="95"/>
                <w:sz w:val="14"/>
              </w:rPr>
              <w:t>LARC</w:t>
            </w:r>
          </w:p>
        </w:tc>
        <w:tc>
          <w:tcPr>
            <w:tcW w:w="1431" w:type="dxa"/>
            <w:tcBorders>
              <w:top w:val="single" w:sz="6" w:space="0" w:color="231F20"/>
              <w:left w:val="single" w:sz="6" w:space="0" w:color="231F20"/>
              <w:bottom w:val="single" w:sz="6" w:space="0" w:color="231F20"/>
              <w:right w:val="single" w:sz="6" w:space="0" w:color="231F20"/>
            </w:tcBorders>
          </w:tcPr>
          <w:p w14:paraId="5CB435E8" w14:textId="77777777" w:rsidR="009948F1" w:rsidRDefault="00BC0563">
            <w:pPr>
              <w:pStyle w:val="TableParagraph"/>
              <w:spacing w:before="93"/>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0884FF7E" w14:textId="77777777" w:rsidR="009948F1" w:rsidRDefault="00BC0563">
            <w:pPr>
              <w:pStyle w:val="TableParagraph"/>
              <w:spacing w:before="93"/>
              <w:ind w:left="23"/>
              <w:rPr>
                <w:sz w:val="14"/>
              </w:rPr>
            </w:pPr>
            <w:r>
              <w:rPr>
                <w:color w:val="231F20"/>
                <w:w w:val="95"/>
                <w:sz w:val="14"/>
              </w:rPr>
              <w:t>Train HWs</w:t>
            </w:r>
          </w:p>
        </w:tc>
      </w:tr>
      <w:tr w:rsidR="009948F1" w14:paraId="16A3BB89" w14:textId="77777777">
        <w:trPr>
          <w:trHeight w:val="477"/>
        </w:trPr>
        <w:tc>
          <w:tcPr>
            <w:tcW w:w="867" w:type="dxa"/>
            <w:gridSpan w:val="2"/>
            <w:vMerge/>
            <w:tcBorders>
              <w:top w:val="nil"/>
              <w:bottom w:val="nil"/>
              <w:right w:val="single" w:sz="6" w:space="0" w:color="231F20"/>
            </w:tcBorders>
          </w:tcPr>
          <w:p w14:paraId="48D54FFB"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3A6A26E0" w14:textId="77777777" w:rsidR="009948F1" w:rsidRDefault="009948F1">
            <w:pPr>
              <w:pStyle w:val="TableParagraph"/>
              <w:spacing w:before="5"/>
              <w:rPr>
                <w:sz w:val="13"/>
              </w:rPr>
            </w:pPr>
          </w:p>
          <w:p w14:paraId="15623F49" w14:textId="77777777" w:rsidR="009948F1" w:rsidRDefault="00BC0563">
            <w:pPr>
              <w:pStyle w:val="TableParagraph"/>
              <w:ind w:left="24" w:right="5"/>
              <w:jc w:val="center"/>
              <w:rPr>
                <w:sz w:val="14"/>
              </w:rPr>
            </w:pPr>
            <w:r>
              <w:rPr>
                <w:color w:val="231F20"/>
                <w:w w:val="90"/>
                <w:sz w:val="14"/>
              </w:rPr>
              <w:t>4.3.3.e</w:t>
            </w:r>
          </w:p>
        </w:tc>
        <w:tc>
          <w:tcPr>
            <w:tcW w:w="4905" w:type="dxa"/>
            <w:gridSpan w:val="2"/>
            <w:tcBorders>
              <w:top w:val="single" w:sz="6" w:space="0" w:color="231F20"/>
              <w:left w:val="single" w:sz="6" w:space="0" w:color="231F20"/>
              <w:bottom w:val="single" w:sz="6" w:space="0" w:color="231F20"/>
              <w:right w:val="single" w:sz="6" w:space="0" w:color="231F20"/>
            </w:tcBorders>
          </w:tcPr>
          <w:p w14:paraId="75229A2D" w14:textId="77777777" w:rsidR="009948F1" w:rsidRDefault="00BC0563">
            <w:pPr>
              <w:pStyle w:val="TableParagraph"/>
              <w:spacing w:before="61" w:line="261" w:lineRule="auto"/>
              <w:ind w:left="24" w:right="215"/>
              <w:rPr>
                <w:sz w:val="14"/>
              </w:rPr>
            </w:pPr>
            <w:r>
              <w:rPr>
                <w:color w:val="231F20"/>
                <w:w w:val="90"/>
                <w:sz w:val="14"/>
              </w:rPr>
              <w:t>Operating</w:t>
            </w:r>
            <w:r>
              <w:rPr>
                <w:color w:val="231F20"/>
                <w:spacing w:val="-24"/>
                <w:w w:val="90"/>
                <w:sz w:val="14"/>
              </w:rPr>
              <w:t xml:space="preserve"> </w:t>
            </w:r>
            <w:r>
              <w:rPr>
                <w:color w:val="231F20"/>
                <w:w w:val="90"/>
                <w:sz w:val="14"/>
              </w:rPr>
              <w:t>cost</w:t>
            </w:r>
            <w:r>
              <w:rPr>
                <w:color w:val="231F20"/>
                <w:spacing w:val="-23"/>
                <w:w w:val="90"/>
                <w:sz w:val="14"/>
              </w:rPr>
              <w:t xml:space="preserve"> </w:t>
            </w:r>
            <w:r>
              <w:rPr>
                <w:color w:val="231F20"/>
                <w:w w:val="90"/>
                <w:sz w:val="14"/>
              </w:rPr>
              <w:t>for</w:t>
            </w:r>
            <w:r>
              <w:rPr>
                <w:color w:val="231F20"/>
                <w:spacing w:val="-23"/>
                <w:w w:val="90"/>
                <w:sz w:val="14"/>
              </w:rPr>
              <w:t xml:space="preserve"> </w:t>
            </w:r>
            <w:r>
              <w:rPr>
                <w:color w:val="231F20"/>
                <w:w w:val="90"/>
                <w:sz w:val="14"/>
              </w:rPr>
              <w:t>engaging</w:t>
            </w:r>
            <w:r>
              <w:rPr>
                <w:color w:val="231F20"/>
                <w:spacing w:val="-23"/>
                <w:w w:val="90"/>
                <w:sz w:val="14"/>
              </w:rPr>
              <w:t xml:space="preserve"> </w:t>
            </w:r>
            <w:r>
              <w:rPr>
                <w:color w:val="231F20"/>
                <w:w w:val="90"/>
                <w:sz w:val="14"/>
              </w:rPr>
              <w:t>and</w:t>
            </w:r>
            <w:r>
              <w:rPr>
                <w:color w:val="231F20"/>
                <w:spacing w:val="-24"/>
                <w:w w:val="90"/>
                <w:sz w:val="14"/>
              </w:rPr>
              <w:t xml:space="preserve"> </w:t>
            </w:r>
            <w:r>
              <w:rPr>
                <w:color w:val="231F20"/>
                <w:w w:val="90"/>
                <w:sz w:val="14"/>
              </w:rPr>
              <w:t>supervising</w:t>
            </w:r>
            <w:r>
              <w:rPr>
                <w:color w:val="231F20"/>
                <w:spacing w:val="-23"/>
                <w:w w:val="90"/>
                <w:sz w:val="14"/>
              </w:rPr>
              <w:t xml:space="preserve"> </w:t>
            </w:r>
            <w:r>
              <w:rPr>
                <w:color w:val="231F20"/>
                <w:w w:val="90"/>
                <w:sz w:val="14"/>
              </w:rPr>
              <w:t>the</w:t>
            </w:r>
            <w:r>
              <w:rPr>
                <w:color w:val="231F20"/>
                <w:spacing w:val="-23"/>
                <w:w w:val="90"/>
                <w:sz w:val="14"/>
              </w:rPr>
              <w:t xml:space="preserve"> </w:t>
            </w:r>
            <w:r>
              <w:rPr>
                <w:color w:val="231F20"/>
                <w:w w:val="90"/>
                <w:sz w:val="14"/>
              </w:rPr>
              <w:t>contractor</w:t>
            </w:r>
            <w:r>
              <w:rPr>
                <w:color w:val="231F20"/>
                <w:spacing w:val="-23"/>
                <w:w w:val="90"/>
                <w:sz w:val="14"/>
              </w:rPr>
              <w:t xml:space="preserve"> </w:t>
            </w:r>
            <w:r>
              <w:rPr>
                <w:color w:val="231F20"/>
                <w:w w:val="90"/>
                <w:sz w:val="14"/>
              </w:rPr>
              <w:t>to</w:t>
            </w:r>
            <w:r>
              <w:rPr>
                <w:color w:val="231F20"/>
                <w:spacing w:val="-24"/>
                <w:w w:val="90"/>
                <w:sz w:val="14"/>
              </w:rPr>
              <w:t xml:space="preserve"> </w:t>
            </w:r>
            <w:r>
              <w:rPr>
                <w:color w:val="231F20"/>
                <w:w w:val="90"/>
                <w:sz w:val="14"/>
              </w:rPr>
              <w:t>provide</w:t>
            </w:r>
            <w:r>
              <w:rPr>
                <w:color w:val="231F20"/>
                <w:spacing w:val="-23"/>
                <w:w w:val="90"/>
                <w:sz w:val="14"/>
              </w:rPr>
              <w:t xml:space="preserve"> </w:t>
            </w:r>
            <w:r>
              <w:rPr>
                <w:color w:val="231F20"/>
                <w:w w:val="90"/>
                <w:sz w:val="14"/>
              </w:rPr>
              <w:t>logistics</w:t>
            </w:r>
            <w:r>
              <w:rPr>
                <w:color w:val="231F20"/>
                <w:spacing w:val="-23"/>
                <w:w w:val="90"/>
                <w:sz w:val="14"/>
              </w:rPr>
              <w:t xml:space="preserve"> </w:t>
            </w:r>
            <w:r>
              <w:rPr>
                <w:color w:val="231F20"/>
                <w:w w:val="90"/>
                <w:sz w:val="14"/>
              </w:rPr>
              <w:t>to</w:t>
            </w:r>
            <w:r>
              <w:rPr>
                <w:color w:val="231F20"/>
                <w:spacing w:val="-23"/>
                <w:w w:val="90"/>
                <w:sz w:val="14"/>
              </w:rPr>
              <w:t xml:space="preserve"> </w:t>
            </w:r>
            <w:r>
              <w:rPr>
                <w:color w:val="231F20"/>
                <w:w w:val="90"/>
                <w:sz w:val="14"/>
              </w:rPr>
              <w:t xml:space="preserve">ensure </w:t>
            </w:r>
            <w:r>
              <w:rPr>
                <w:color w:val="231F20"/>
                <w:w w:val="95"/>
                <w:sz w:val="14"/>
              </w:rPr>
              <w:t>sustainable</w:t>
            </w:r>
            <w:r>
              <w:rPr>
                <w:color w:val="231F20"/>
                <w:spacing w:val="-13"/>
                <w:w w:val="95"/>
                <w:sz w:val="14"/>
              </w:rPr>
              <w:t xml:space="preserve"> </w:t>
            </w:r>
            <w:r>
              <w:rPr>
                <w:color w:val="231F20"/>
                <w:w w:val="95"/>
                <w:sz w:val="14"/>
              </w:rPr>
              <w:t>FP</w:t>
            </w:r>
            <w:r>
              <w:rPr>
                <w:color w:val="231F20"/>
                <w:spacing w:val="-15"/>
                <w:w w:val="95"/>
                <w:sz w:val="14"/>
              </w:rPr>
              <w:t xml:space="preserve"> </w:t>
            </w:r>
            <w:r>
              <w:rPr>
                <w:color w:val="231F20"/>
                <w:w w:val="95"/>
                <w:sz w:val="14"/>
              </w:rPr>
              <w:t>commodity</w:t>
            </w:r>
            <w:r>
              <w:rPr>
                <w:color w:val="231F20"/>
                <w:spacing w:val="-12"/>
                <w:w w:val="95"/>
                <w:sz w:val="14"/>
              </w:rPr>
              <w:t xml:space="preserve"> </w:t>
            </w:r>
            <w:r>
              <w:rPr>
                <w:color w:val="231F20"/>
                <w:w w:val="95"/>
                <w:sz w:val="14"/>
              </w:rPr>
              <w:t>supply</w:t>
            </w:r>
            <w:r>
              <w:rPr>
                <w:color w:val="231F20"/>
                <w:spacing w:val="-13"/>
                <w:w w:val="95"/>
                <w:sz w:val="14"/>
              </w:rPr>
              <w:t xml:space="preserve"> </w:t>
            </w:r>
            <w:r>
              <w:rPr>
                <w:color w:val="231F20"/>
                <w:w w:val="95"/>
                <w:sz w:val="14"/>
              </w:rPr>
              <w:t>chain</w:t>
            </w:r>
            <w:r>
              <w:rPr>
                <w:color w:val="231F20"/>
                <w:spacing w:val="-13"/>
                <w:w w:val="95"/>
                <w:sz w:val="14"/>
              </w:rPr>
              <w:t xml:space="preserve"> </w:t>
            </w:r>
            <w:r>
              <w:rPr>
                <w:color w:val="231F20"/>
                <w:w w:val="95"/>
                <w:sz w:val="14"/>
              </w:rPr>
              <w:t>management</w:t>
            </w:r>
            <w:r>
              <w:rPr>
                <w:color w:val="231F20"/>
                <w:spacing w:val="-13"/>
                <w:w w:val="95"/>
                <w:sz w:val="14"/>
              </w:rPr>
              <w:t xml:space="preserve"> </w:t>
            </w:r>
            <w:r>
              <w:rPr>
                <w:color w:val="231F20"/>
                <w:w w:val="95"/>
                <w:sz w:val="14"/>
              </w:rPr>
              <w:t>in</w:t>
            </w:r>
            <w:r>
              <w:rPr>
                <w:color w:val="231F20"/>
                <w:spacing w:val="-12"/>
                <w:w w:val="95"/>
                <w:sz w:val="14"/>
              </w:rPr>
              <w:t xml:space="preserve"> </w:t>
            </w:r>
            <w:r>
              <w:rPr>
                <w:color w:val="231F20"/>
                <w:w w:val="95"/>
                <w:sz w:val="14"/>
              </w:rPr>
              <w:t>the</w:t>
            </w:r>
            <w:r>
              <w:rPr>
                <w:color w:val="231F20"/>
                <w:spacing w:val="-13"/>
                <w:w w:val="95"/>
                <w:sz w:val="14"/>
              </w:rPr>
              <w:t xml:space="preserve"> </w:t>
            </w:r>
            <w:r>
              <w:rPr>
                <w:color w:val="231F20"/>
                <w:w w:val="95"/>
                <w:sz w:val="14"/>
              </w:rPr>
              <w:t>State</w:t>
            </w:r>
          </w:p>
        </w:tc>
        <w:tc>
          <w:tcPr>
            <w:tcW w:w="1431" w:type="dxa"/>
            <w:tcBorders>
              <w:top w:val="single" w:sz="6" w:space="0" w:color="231F20"/>
              <w:left w:val="single" w:sz="6" w:space="0" w:color="231F20"/>
              <w:bottom w:val="single" w:sz="6" w:space="0" w:color="231F20"/>
              <w:right w:val="single" w:sz="6" w:space="0" w:color="231F20"/>
            </w:tcBorders>
          </w:tcPr>
          <w:p w14:paraId="4B819533" w14:textId="77777777" w:rsidR="009948F1" w:rsidRDefault="009948F1">
            <w:pPr>
              <w:pStyle w:val="TableParagraph"/>
              <w:spacing w:before="5"/>
              <w:rPr>
                <w:sz w:val="13"/>
              </w:rPr>
            </w:pPr>
          </w:p>
          <w:p w14:paraId="4545B240" w14:textId="77777777" w:rsidR="009948F1" w:rsidRDefault="00BC0563">
            <w:pPr>
              <w:pStyle w:val="TableParagraph"/>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1DD40A3C" w14:textId="77777777" w:rsidR="009948F1" w:rsidRDefault="009948F1">
            <w:pPr>
              <w:pStyle w:val="TableParagraph"/>
              <w:spacing w:before="5"/>
              <w:rPr>
                <w:sz w:val="13"/>
              </w:rPr>
            </w:pPr>
          </w:p>
          <w:p w14:paraId="6A995020" w14:textId="77777777" w:rsidR="009948F1" w:rsidRDefault="00BC0563">
            <w:pPr>
              <w:pStyle w:val="TableParagraph"/>
              <w:ind w:left="23"/>
              <w:rPr>
                <w:sz w:val="14"/>
              </w:rPr>
            </w:pPr>
            <w:r>
              <w:rPr>
                <w:color w:val="231F20"/>
                <w:w w:val="95"/>
                <w:sz w:val="14"/>
              </w:rPr>
              <w:t>Costed in OHT</w:t>
            </w:r>
          </w:p>
        </w:tc>
      </w:tr>
      <w:tr w:rsidR="009948F1" w14:paraId="1B7CCF5D" w14:textId="77777777">
        <w:trPr>
          <w:trHeight w:val="1197"/>
        </w:trPr>
        <w:tc>
          <w:tcPr>
            <w:tcW w:w="411" w:type="dxa"/>
            <w:tcBorders>
              <w:top w:val="nil"/>
              <w:bottom w:val="nil"/>
              <w:right w:val="single" w:sz="6" w:space="0" w:color="231F20"/>
            </w:tcBorders>
          </w:tcPr>
          <w:p w14:paraId="225E3D6E" w14:textId="77777777" w:rsidR="009948F1" w:rsidRDefault="009948F1">
            <w:pPr>
              <w:pStyle w:val="TableParagraph"/>
              <w:rPr>
                <w:rFonts w:ascii="Times New Roman"/>
                <w:sz w:val="10"/>
              </w:rPr>
            </w:pPr>
          </w:p>
        </w:tc>
        <w:tc>
          <w:tcPr>
            <w:tcW w:w="456" w:type="dxa"/>
            <w:tcBorders>
              <w:top w:val="single" w:sz="6" w:space="0" w:color="231F20"/>
              <w:left w:val="single" w:sz="6" w:space="0" w:color="231F20"/>
              <w:bottom w:val="single" w:sz="6" w:space="0" w:color="231F20"/>
              <w:right w:val="single" w:sz="6" w:space="0" w:color="231F20"/>
            </w:tcBorders>
            <w:shd w:val="clear" w:color="auto" w:fill="CCE7D3"/>
          </w:tcPr>
          <w:p w14:paraId="14676374" w14:textId="77777777" w:rsidR="009948F1" w:rsidRDefault="009948F1">
            <w:pPr>
              <w:pStyle w:val="TableParagraph"/>
              <w:rPr>
                <w:sz w:val="14"/>
              </w:rPr>
            </w:pPr>
          </w:p>
          <w:p w14:paraId="5D5F1F59" w14:textId="77777777" w:rsidR="009948F1" w:rsidRDefault="009948F1">
            <w:pPr>
              <w:pStyle w:val="TableParagraph"/>
              <w:rPr>
                <w:sz w:val="14"/>
              </w:rPr>
            </w:pPr>
          </w:p>
          <w:p w14:paraId="25427ABE" w14:textId="77777777" w:rsidR="009948F1" w:rsidRDefault="009948F1">
            <w:pPr>
              <w:pStyle w:val="TableParagraph"/>
              <w:spacing w:before="9"/>
              <w:rPr>
                <w:sz w:val="16"/>
              </w:rPr>
            </w:pPr>
          </w:p>
          <w:p w14:paraId="026B8399" w14:textId="77777777" w:rsidR="009948F1" w:rsidRDefault="00BC0563">
            <w:pPr>
              <w:pStyle w:val="TableParagraph"/>
              <w:ind w:left="57"/>
              <w:rPr>
                <w:sz w:val="14"/>
              </w:rPr>
            </w:pPr>
            <w:r>
              <w:rPr>
                <w:color w:val="231F20"/>
                <w:w w:val="95"/>
                <w:sz w:val="14"/>
              </w:rPr>
              <w:t>4.3.4</w:t>
            </w:r>
          </w:p>
        </w:tc>
        <w:tc>
          <w:tcPr>
            <w:tcW w:w="3043" w:type="dxa"/>
            <w:gridSpan w:val="2"/>
            <w:tcBorders>
              <w:top w:val="single" w:sz="6" w:space="0" w:color="231F20"/>
              <w:left w:val="single" w:sz="6" w:space="0" w:color="231F20"/>
              <w:bottom w:val="single" w:sz="6" w:space="0" w:color="231F20"/>
              <w:right w:val="single" w:sz="6" w:space="0" w:color="231F20"/>
            </w:tcBorders>
            <w:shd w:val="clear" w:color="auto" w:fill="CCE7D3"/>
          </w:tcPr>
          <w:p w14:paraId="71A43D60" w14:textId="77777777" w:rsidR="009948F1" w:rsidRDefault="009948F1">
            <w:pPr>
              <w:pStyle w:val="TableParagraph"/>
              <w:rPr>
                <w:sz w:val="14"/>
              </w:rPr>
            </w:pPr>
          </w:p>
          <w:p w14:paraId="44D37FF1" w14:textId="77777777" w:rsidR="009948F1" w:rsidRDefault="009948F1">
            <w:pPr>
              <w:pStyle w:val="TableParagraph"/>
              <w:rPr>
                <w:sz w:val="14"/>
              </w:rPr>
            </w:pPr>
          </w:p>
          <w:p w14:paraId="00E018E5" w14:textId="77777777" w:rsidR="009948F1" w:rsidRDefault="00BC0563">
            <w:pPr>
              <w:pStyle w:val="TableParagraph"/>
              <w:spacing w:before="98" w:line="261" w:lineRule="auto"/>
              <w:ind w:left="24" w:right="258" w:firstLine="33"/>
              <w:rPr>
                <w:sz w:val="14"/>
              </w:rPr>
            </w:pPr>
            <w:r>
              <w:rPr>
                <w:color w:val="231F20"/>
                <w:w w:val="85"/>
                <w:sz w:val="14"/>
              </w:rPr>
              <w:t xml:space="preserve">Strengthen and integrate Family Planning and Post </w:t>
            </w:r>
            <w:r>
              <w:rPr>
                <w:color w:val="231F20"/>
                <w:w w:val="95"/>
                <w:sz w:val="14"/>
              </w:rPr>
              <w:t>Abortion Care services at all levels</w:t>
            </w:r>
          </w:p>
        </w:tc>
        <w:tc>
          <w:tcPr>
            <w:tcW w:w="2389" w:type="dxa"/>
            <w:tcBorders>
              <w:top w:val="single" w:sz="6" w:space="0" w:color="231F20"/>
              <w:left w:val="single" w:sz="6" w:space="0" w:color="231F20"/>
              <w:bottom w:val="single" w:sz="6" w:space="0" w:color="231F20"/>
              <w:right w:val="single" w:sz="6" w:space="0" w:color="231F20"/>
            </w:tcBorders>
            <w:shd w:val="clear" w:color="auto" w:fill="CCE7D3"/>
          </w:tcPr>
          <w:p w14:paraId="3027C296" w14:textId="77777777" w:rsidR="009948F1" w:rsidRDefault="00BC0563">
            <w:pPr>
              <w:pStyle w:val="TableParagraph"/>
              <w:numPr>
                <w:ilvl w:val="0"/>
                <w:numId w:val="194"/>
              </w:numPr>
              <w:tabs>
                <w:tab w:val="left" w:pos="93"/>
              </w:tabs>
              <w:spacing w:line="261" w:lineRule="auto"/>
              <w:ind w:right="180" w:firstLine="0"/>
              <w:rPr>
                <w:sz w:val="14"/>
              </w:rPr>
            </w:pPr>
            <w:r>
              <w:rPr>
                <w:color w:val="231F20"/>
                <w:w w:val="95"/>
                <w:sz w:val="14"/>
              </w:rPr>
              <w:t xml:space="preserve">At least 120 FP providers trained to </w:t>
            </w:r>
            <w:r>
              <w:rPr>
                <w:color w:val="231F20"/>
                <w:w w:val="90"/>
                <w:sz w:val="14"/>
              </w:rPr>
              <w:t>provide</w:t>
            </w:r>
            <w:r>
              <w:rPr>
                <w:color w:val="231F20"/>
                <w:spacing w:val="-20"/>
                <w:w w:val="90"/>
                <w:sz w:val="14"/>
              </w:rPr>
              <w:t xml:space="preserve"> </w:t>
            </w:r>
            <w:r>
              <w:rPr>
                <w:color w:val="231F20"/>
                <w:w w:val="90"/>
                <w:sz w:val="14"/>
              </w:rPr>
              <w:t>counselling</w:t>
            </w:r>
            <w:r>
              <w:rPr>
                <w:color w:val="231F20"/>
                <w:spacing w:val="-19"/>
                <w:w w:val="90"/>
                <w:sz w:val="14"/>
              </w:rPr>
              <w:t xml:space="preserve"> </w:t>
            </w:r>
            <w:r>
              <w:rPr>
                <w:color w:val="231F20"/>
                <w:w w:val="90"/>
                <w:sz w:val="14"/>
              </w:rPr>
              <w:t>&amp;</w:t>
            </w:r>
            <w:r>
              <w:rPr>
                <w:color w:val="231F20"/>
                <w:spacing w:val="-19"/>
                <w:w w:val="90"/>
                <w:sz w:val="14"/>
              </w:rPr>
              <w:t xml:space="preserve"> </w:t>
            </w:r>
            <w:r>
              <w:rPr>
                <w:color w:val="231F20"/>
                <w:w w:val="90"/>
                <w:sz w:val="14"/>
              </w:rPr>
              <w:t>FP</w:t>
            </w:r>
            <w:r>
              <w:rPr>
                <w:color w:val="231F20"/>
                <w:spacing w:val="-20"/>
                <w:w w:val="90"/>
                <w:sz w:val="14"/>
              </w:rPr>
              <w:t xml:space="preserve"> </w:t>
            </w:r>
            <w:r>
              <w:rPr>
                <w:color w:val="231F20"/>
                <w:w w:val="90"/>
                <w:sz w:val="14"/>
              </w:rPr>
              <w:t>&amp;</w:t>
            </w:r>
            <w:r>
              <w:rPr>
                <w:color w:val="231F20"/>
                <w:spacing w:val="-20"/>
                <w:w w:val="90"/>
                <w:sz w:val="14"/>
              </w:rPr>
              <w:t xml:space="preserve"> </w:t>
            </w:r>
            <w:r>
              <w:rPr>
                <w:color w:val="231F20"/>
                <w:w w:val="90"/>
                <w:sz w:val="14"/>
              </w:rPr>
              <w:t>Post</w:t>
            </w:r>
            <w:r>
              <w:rPr>
                <w:color w:val="231F20"/>
                <w:spacing w:val="-22"/>
                <w:w w:val="90"/>
                <w:sz w:val="14"/>
              </w:rPr>
              <w:t xml:space="preserve"> </w:t>
            </w:r>
            <w:r>
              <w:rPr>
                <w:color w:val="231F20"/>
                <w:spacing w:val="-3"/>
                <w:w w:val="90"/>
                <w:sz w:val="14"/>
              </w:rPr>
              <w:t xml:space="preserve">Abortion </w:t>
            </w:r>
            <w:r>
              <w:rPr>
                <w:color w:val="231F20"/>
                <w:w w:val="95"/>
                <w:sz w:val="14"/>
              </w:rPr>
              <w:t>Care</w:t>
            </w:r>
            <w:r>
              <w:rPr>
                <w:color w:val="231F20"/>
                <w:spacing w:val="-6"/>
                <w:w w:val="95"/>
                <w:sz w:val="14"/>
              </w:rPr>
              <w:t xml:space="preserve"> </w:t>
            </w:r>
            <w:r>
              <w:rPr>
                <w:color w:val="231F20"/>
                <w:w w:val="95"/>
                <w:sz w:val="14"/>
              </w:rPr>
              <w:t>services</w:t>
            </w:r>
          </w:p>
          <w:p w14:paraId="0060D395" w14:textId="77777777" w:rsidR="009948F1" w:rsidRDefault="00BC0563">
            <w:pPr>
              <w:pStyle w:val="TableParagraph"/>
              <w:numPr>
                <w:ilvl w:val="0"/>
                <w:numId w:val="194"/>
              </w:numPr>
              <w:tabs>
                <w:tab w:val="left" w:pos="100"/>
              </w:tabs>
              <w:spacing w:line="261" w:lineRule="auto"/>
              <w:ind w:right="443" w:firstLine="0"/>
              <w:rPr>
                <w:sz w:val="14"/>
              </w:rPr>
            </w:pPr>
            <w:r>
              <w:rPr>
                <w:color w:val="231F20"/>
                <w:w w:val="90"/>
                <w:sz w:val="14"/>
              </w:rPr>
              <w:t>Counselling</w:t>
            </w:r>
            <w:r>
              <w:rPr>
                <w:color w:val="231F20"/>
                <w:spacing w:val="-20"/>
                <w:w w:val="90"/>
                <w:sz w:val="14"/>
              </w:rPr>
              <w:t xml:space="preserve"> </w:t>
            </w:r>
            <w:r>
              <w:rPr>
                <w:color w:val="231F20"/>
                <w:w w:val="90"/>
                <w:sz w:val="14"/>
              </w:rPr>
              <w:t>&amp;</w:t>
            </w:r>
            <w:r>
              <w:rPr>
                <w:color w:val="231F20"/>
                <w:spacing w:val="-19"/>
                <w:w w:val="90"/>
                <w:sz w:val="14"/>
              </w:rPr>
              <w:t xml:space="preserve"> </w:t>
            </w:r>
            <w:r>
              <w:rPr>
                <w:color w:val="231F20"/>
                <w:w w:val="90"/>
                <w:sz w:val="14"/>
              </w:rPr>
              <w:t>FP</w:t>
            </w:r>
            <w:r>
              <w:rPr>
                <w:color w:val="231F20"/>
                <w:spacing w:val="-20"/>
                <w:w w:val="90"/>
                <w:sz w:val="14"/>
              </w:rPr>
              <w:t xml:space="preserve"> </w:t>
            </w:r>
            <w:r>
              <w:rPr>
                <w:color w:val="231F20"/>
                <w:w w:val="90"/>
                <w:sz w:val="14"/>
              </w:rPr>
              <w:t>services</w:t>
            </w:r>
            <w:r>
              <w:rPr>
                <w:color w:val="231F20"/>
                <w:spacing w:val="-19"/>
                <w:w w:val="90"/>
                <w:sz w:val="14"/>
              </w:rPr>
              <w:t xml:space="preserve"> </w:t>
            </w:r>
            <w:r>
              <w:rPr>
                <w:color w:val="231F20"/>
                <w:w w:val="90"/>
                <w:sz w:val="14"/>
              </w:rPr>
              <w:t>for</w:t>
            </w:r>
            <w:r>
              <w:rPr>
                <w:color w:val="231F20"/>
                <w:spacing w:val="-20"/>
                <w:w w:val="90"/>
                <w:sz w:val="14"/>
              </w:rPr>
              <w:t xml:space="preserve"> </w:t>
            </w:r>
            <w:r>
              <w:rPr>
                <w:color w:val="231F20"/>
                <w:spacing w:val="-5"/>
                <w:w w:val="90"/>
                <w:sz w:val="14"/>
              </w:rPr>
              <w:t xml:space="preserve">Post </w:t>
            </w:r>
            <w:r>
              <w:rPr>
                <w:color w:val="231F20"/>
                <w:w w:val="90"/>
                <w:sz w:val="14"/>
              </w:rPr>
              <w:t>Abortion</w:t>
            </w:r>
            <w:r>
              <w:rPr>
                <w:color w:val="231F20"/>
                <w:spacing w:val="-15"/>
                <w:w w:val="90"/>
                <w:sz w:val="14"/>
              </w:rPr>
              <w:t xml:space="preserve"> </w:t>
            </w:r>
            <w:r>
              <w:rPr>
                <w:color w:val="231F20"/>
                <w:w w:val="90"/>
                <w:sz w:val="14"/>
              </w:rPr>
              <w:t>Care</w:t>
            </w:r>
            <w:r>
              <w:rPr>
                <w:color w:val="231F20"/>
                <w:spacing w:val="-15"/>
                <w:w w:val="90"/>
                <w:sz w:val="14"/>
              </w:rPr>
              <w:t xml:space="preserve"> </w:t>
            </w:r>
            <w:r>
              <w:rPr>
                <w:color w:val="231F20"/>
                <w:w w:val="90"/>
                <w:sz w:val="14"/>
              </w:rPr>
              <w:t>in</w:t>
            </w:r>
            <w:r>
              <w:rPr>
                <w:color w:val="231F20"/>
                <w:spacing w:val="-15"/>
                <w:w w:val="90"/>
                <w:sz w:val="14"/>
              </w:rPr>
              <w:t xml:space="preserve"> </w:t>
            </w:r>
            <w:r>
              <w:rPr>
                <w:color w:val="231F20"/>
                <w:w w:val="90"/>
                <w:sz w:val="14"/>
              </w:rPr>
              <w:t>place</w:t>
            </w:r>
            <w:r>
              <w:rPr>
                <w:color w:val="231F20"/>
                <w:spacing w:val="-14"/>
                <w:w w:val="90"/>
                <w:sz w:val="14"/>
              </w:rPr>
              <w:t xml:space="preserve"> </w:t>
            </w:r>
            <w:r>
              <w:rPr>
                <w:color w:val="231F20"/>
                <w:w w:val="90"/>
                <w:sz w:val="14"/>
              </w:rPr>
              <w:t>and</w:t>
            </w:r>
            <w:r>
              <w:rPr>
                <w:color w:val="231F20"/>
                <w:spacing w:val="-15"/>
                <w:w w:val="90"/>
                <w:sz w:val="14"/>
              </w:rPr>
              <w:t xml:space="preserve"> </w:t>
            </w:r>
            <w:r>
              <w:rPr>
                <w:color w:val="231F20"/>
                <w:w w:val="90"/>
                <w:sz w:val="14"/>
              </w:rPr>
              <w:t>utilized</w:t>
            </w:r>
          </w:p>
          <w:p w14:paraId="1DA1A700" w14:textId="77777777" w:rsidR="009948F1" w:rsidRDefault="00BC0563">
            <w:pPr>
              <w:pStyle w:val="TableParagraph"/>
              <w:numPr>
                <w:ilvl w:val="0"/>
                <w:numId w:val="194"/>
              </w:numPr>
              <w:tabs>
                <w:tab w:val="left" w:pos="100"/>
              </w:tabs>
              <w:ind w:left="99" w:hanging="76"/>
              <w:rPr>
                <w:sz w:val="14"/>
              </w:rPr>
            </w:pPr>
            <w:r>
              <w:rPr>
                <w:color w:val="231F20"/>
                <w:w w:val="90"/>
                <w:sz w:val="14"/>
              </w:rPr>
              <w:t>50</w:t>
            </w:r>
            <w:r>
              <w:rPr>
                <w:color w:val="231F20"/>
                <w:spacing w:val="-20"/>
                <w:w w:val="90"/>
                <w:sz w:val="14"/>
              </w:rPr>
              <w:t xml:space="preserve"> </w:t>
            </w:r>
            <w:r>
              <w:rPr>
                <w:color w:val="231F20"/>
                <w:w w:val="90"/>
                <w:sz w:val="14"/>
              </w:rPr>
              <w:t>persons</w:t>
            </w:r>
            <w:r>
              <w:rPr>
                <w:color w:val="231F20"/>
                <w:spacing w:val="-19"/>
                <w:w w:val="90"/>
                <w:sz w:val="14"/>
              </w:rPr>
              <w:t xml:space="preserve"> </w:t>
            </w:r>
            <w:r>
              <w:rPr>
                <w:color w:val="231F20"/>
                <w:w w:val="90"/>
                <w:sz w:val="14"/>
              </w:rPr>
              <w:t>from</w:t>
            </w:r>
            <w:r>
              <w:rPr>
                <w:color w:val="231F20"/>
                <w:spacing w:val="-19"/>
                <w:w w:val="90"/>
                <w:sz w:val="14"/>
              </w:rPr>
              <w:t xml:space="preserve"> </w:t>
            </w:r>
            <w:r>
              <w:rPr>
                <w:color w:val="231F20"/>
                <w:w w:val="90"/>
                <w:sz w:val="14"/>
              </w:rPr>
              <w:t>the</w:t>
            </w:r>
            <w:r>
              <w:rPr>
                <w:color w:val="231F20"/>
                <w:spacing w:val="-19"/>
                <w:w w:val="90"/>
                <w:sz w:val="14"/>
              </w:rPr>
              <w:t xml:space="preserve"> </w:t>
            </w:r>
            <w:r>
              <w:rPr>
                <w:color w:val="231F20"/>
                <w:w w:val="90"/>
                <w:sz w:val="14"/>
              </w:rPr>
              <w:t>Private</w:t>
            </w:r>
            <w:r>
              <w:rPr>
                <w:color w:val="231F20"/>
                <w:spacing w:val="-19"/>
                <w:w w:val="90"/>
                <w:sz w:val="14"/>
              </w:rPr>
              <w:t xml:space="preserve"> </w:t>
            </w:r>
            <w:r>
              <w:rPr>
                <w:color w:val="231F20"/>
                <w:w w:val="90"/>
                <w:sz w:val="14"/>
              </w:rPr>
              <w:t>Sector</w:t>
            </w:r>
            <w:r>
              <w:rPr>
                <w:color w:val="231F20"/>
                <w:spacing w:val="-19"/>
                <w:w w:val="90"/>
                <w:sz w:val="14"/>
              </w:rPr>
              <w:t xml:space="preserve"> </w:t>
            </w:r>
            <w:r>
              <w:rPr>
                <w:color w:val="231F20"/>
                <w:w w:val="90"/>
                <w:sz w:val="14"/>
              </w:rPr>
              <w:t>trained</w:t>
            </w:r>
          </w:p>
          <w:p w14:paraId="5D907F1B" w14:textId="77777777" w:rsidR="009948F1" w:rsidRDefault="00BC0563">
            <w:pPr>
              <w:pStyle w:val="TableParagraph"/>
              <w:spacing w:before="15" w:line="124" w:lineRule="exact"/>
              <w:ind w:left="24"/>
              <w:rPr>
                <w:sz w:val="14"/>
              </w:rPr>
            </w:pPr>
            <w:r>
              <w:rPr>
                <w:color w:val="231F20"/>
                <w:w w:val="95"/>
                <w:sz w:val="14"/>
              </w:rPr>
              <w:t>on LARC and providing the service</w:t>
            </w:r>
          </w:p>
        </w:tc>
        <w:tc>
          <w:tcPr>
            <w:tcW w:w="1431" w:type="dxa"/>
            <w:tcBorders>
              <w:top w:val="single" w:sz="6" w:space="0" w:color="231F20"/>
              <w:left w:val="single" w:sz="6" w:space="0" w:color="231F20"/>
              <w:bottom w:val="single" w:sz="6" w:space="0" w:color="231F20"/>
            </w:tcBorders>
            <w:shd w:val="clear" w:color="auto" w:fill="CCE7D3"/>
          </w:tcPr>
          <w:p w14:paraId="0B69260F"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CCE7D3"/>
          </w:tcPr>
          <w:p w14:paraId="5BE5D72D" w14:textId="77777777" w:rsidR="009948F1" w:rsidRDefault="009948F1">
            <w:pPr>
              <w:pStyle w:val="TableParagraph"/>
              <w:rPr>
                <w:rFonts w:ascii="Times New Roman"/>
                <w:sz w:val="10"/>
              </w:rPr>
            </w:pPr>
          </w:p>
        </w:tc>
      </w:tr>
      <w:tr w:rsidR="009948F1" w14:paraId="1CE34647" w14:textId="77777777">
        <w:trPr>
          <w:trHeight w:val="581"/>
        </w:trPr>
        <w:tc>
          <w:tcPr>
            <w:tcW w:w="867" w:type="dxa"/>
            <w:gridSpan w:val="2"/>
            <w:vMerge w:val="restart"/>
            <w:tcBorders>
              <w:top w:val="nil"/>
              <w:bottom w:val="nil"/>
              <w:right w:val="single" w:sz="6" w:space="0" w:color="231F20"/>
            </w:tcBorders>
          </w:tcPr>
          <w:p w14:paraId="1E2BD97C" w14:textId="77777777" w:rsidR="009948F1" w:rsidRDefault="009948F1">
            <w:pPr>
              <w:pStyle w:val="TableParagraph"/>
              <w:rPr>
                <w:rFonts w:ascii="Times New Roman"/>
                <w:sz w:val="10"/>
              </w:rPr>
            </w:pPr>
          </w:p>
        </w:tc>
        <w:tc>
          <w:tcPr>
            <w:tcW w:w="527" w:type="dxa"/>
            <w:tcBorders>
              <w:top w:val="single" w:sz="6" w:space="0" w:color="231F20"/>
              <w:left w:val="single" w:sz="6" w:space="0" w:color="231F20"/>
              <w:bottom w:val="single" w:sz="6" w:space="0" w:color="231F20"/>
              <w:right w:val="single" w:sz="6" w:space="0" w:color="231F20"/>
            </w:tcBorders>
          </w:tcPr>
          <w:p w14:paraId="13433474" w14:textId="77777777" w:rsidR="009948F1" w:rsidRDefault="009948F1">
            <w:pPr>
              <w:pStyle w:val="TableParagraph"/>
              <w:rPr>
                <w:sz w:val="18"/>
              </w:rPr>
            </w:pPr>
          </w:p>
          <w:p w14:paraId="144007C8" w14:textId="77777777" w:rsidR="009948F1" w:rsidRDefault="00BC0563">
            <w:pPr>
              <w:pStyle w:val="TableParagraph"/>
              <w:ind w:left="24" w:right="5"/>
              <w:jc w:val="center"/>
              <w:rPr>
                <w:sz w:val="14"/>
              </w:rPr>
            </w:pPr>
            <w:r>
              <w:rPr>
                <w:color w:val="231F20"/>
                <w:w w:val="90"/>
                <w:sz w:val="14"/>
              </w:rPr>
              <w:t>4.3.4.a</w:t>
            </w:r>
          </w:p>
        </w:tc>
        <w:tc>
          <w:tcPr>
            <w:tcW w:w="4905" w:type="dxa"/>
            <w:gridSpan w:val="2"/>
            <w:tcBorders>
              <w:top w:val="single" w:sz="6" w:space="0" w:color="231F20"/>
              <w:left w:val="single" w:sz="6" w:space="0" w:color="231F20"/>
              <w:bottom w:val="single" w:sz="6" w:space="0" w:color="231F20"/>
              <w:right w:val="single" w:sz="6" w:space="0" w:color="231F20"/>
            </w:tcBorders>
          </w:tcPr>
          <w:p w14:paraId="77773BA0" w14:textId="77777777" w:rsidR="009948F1" w:rsidRDefault="00BC0563">
            <w:pPr>
              <w:pStyle w:val="TableParagraph"/>
              <w:spacing w:before="113" w:line="261" w:lineRule="auto"/>
              <w:ind w:left="24" w:right="-3"/>
              <w:rPr>
                <w:sz w:val="14"/>
              </w:rPr>
            </w:pPr>
            <w:r>
              <w:rPr>
                <w:color w:val="231F20"/>
                <w:w w:val="85"/>
                <w:sz w:val="14"/>
              </w:rPr>
              <w:t xml:space="preserve">Conduct training &amp; re-training workshop for Family Planning providers to provide counselling </w:t>
            </w:r>
            <w:r>
              <w:rPr>
                <w:color w:val="231F20"/>
                <w:w w:val="95"/>
                <w:sz w:val="14"/>
              </w:rPr>
              <w:t>&amp; Family Planning Services for Post Abortion Care</w:t>
            </w:r>
          </w:p>
        </w:tc>
        <w:tc>
          <w:tcPr>
            <w:tcW w:w="1431" w:type="dxa"/>
            <w:tcBorders>
              <w:top w:val="single" w:sz="6" w:space="0" w:color="231F20"/>
              <w:left w:val="single" w:sz="6" w:space="0" w:color="231F20"/>
              <w:bottom w:val="single" w:sz="6" w:space="0" w:color="231F20"/>
              <w:right w:val="single" w:sz="6" w:space="0" w:color="231F20"/>
            </w:tcBorders>
          </w:tcPr>
          <w:p w14:paraId="34375D44" w14:textId="77777777" w:rsidR="009948F1" w:rsidRDefault="009948F1">
            <w:pPr>
              <w:pStyle w:val="TableParagraph"/>
              <w:rPr>
                <w:sz w:val="18"/>
              </w:rPr>
            </w:pPr>
          </w:p>
          <w:p w14:paraId="4B01C229" w14:textId="77777777" w:rsidR="009948F1" w:rsidRDefault="00BC0563">
            <w:pPr>
              <w:pStyle w:val="TableParagraph"/>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1D826B2D" w14:textId="77777777" w:rsidR="009948F1" w:rsidRDefault="009948F1">
            <w:pPr>
              <w:pStyle w:val="TableParagraph"/>
              <w:rPr>
                <w:sz w:val="18"/>
              </w:rPr>
            </w:pPr>
          </w:p>
          <w:p w14:paraId="2F564D61" w14:textId="77777777" w:rsidR="009948F1" w:rsidRDefault="00BC0563">
            <w:pPr>
              <w:pStyle w:val="TableParagraph"/>
              <w:ind w:left="23"/>
              <w:rPr>
                <w:sz w:val="14"/>
              </w:rPr>
            </w:pPr>
            <w:r>
              <w:rPr>
                <w:color w:val="231F20"/>
                <w:w w:val="95"/>
                <w:sz w:val="14"/>
              </w:rPr>
              <w:t>Training workshop</w:t>
            </w:r>
          </w:p>
        </w:tc>
      </w:tr>
      <w:tr w:rsidR="009948F1" w14:paraId="75657EA8" w14:textId="77777777">
        <w:trPr>
          <w:trHeight w:val="624"/>
        </w:trPr>
        <w:tc>
          <w:tcPr>
            <w:tcW w:w="867" w:type="dxa"/>
            <w:gridSpan w:val="2"/>
            <w:vMerge/>
            <w:tcBorders>
              <w:top w:val="nil"/>
              <w:bottom w:val="nil"/>
              <w:right w:val="single" w:sz="6" w:space="0" w:color="231F20"/>
            </w:tcBorders>
          </w:tcPr>
          <w:p w14:paraId="560BC292"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1C343E66" w14:textId="77777777" w:rsidR="009948F1" w:rsidRDefault="009948F1">
            <w:pPr>
              <w:pStyle w:val="TableParagraph"/>
              <w:spacing w:before="10"/>
              <w:rPr>
                <w:sz w:val="19"/>
              </w:rPr>
            </w:pPr>
          </w:p>
          <w:p w14:paraId="1B4A7CFD" w14:textId="77777777" w:rsidR="009948F1" w:rsidRDefault="00BC0563">
            <w:pPr>
              <w:pStyle w:val="TableParagraph"/>
              <w:ind w:left="24" w:right="5"/>
              <w:jc w:val="center"/>
              <w:rPr>
                <w:sz w:val="14"/>
              </w:rPr>
            </w:pPr>
            <w:r>
              <w:rPr>
                <w:color w:val="231F20"/>
                <w:w w:val="90"/>
                <w:sz w:val="14"/>
              </w:rPr>
              <w:t>4.3.4.b</w:t>
            </w:r>
          </w:p>
        </w:tc>
        <w:tc>
          <w:tcPr>
            <w:tcW w:w="4905" w:type="dxa"/>
            <w:gridSpan w:val="2"/>
            <w:tcBorders>
              <w:top w:val="single" w:sz="6" w:space="0" w:color="231F20"/>
              <w:left w:val="single" w:sz="6" w:space="0" w:color="231F20"/>
              <w:bottom w:val="single" w:sz="6" w:space="0" w:color="231F20"/>
              <w:right w:val="single" w:sz="6" w:space="0" w:color="231F20"/>
            </w:tcBorders>
          </w:tcPr>
          <w:p w14:paraId="13A9B6A7" w14:textId="77777777" w:rsidR="009948F1" w:rsidRDefault="009948F1">
            <w:pPr>
              <w:pStyle w:val="TableParagraph"/>
              <w:spacing w:before="7"/>
              <w:rPr>
                <w:sz w:val="11"/>
              </w:rPr>
            </w:pPr>
          </w:p>
          <w:p w14:paraId="70D0D5BE" w14:textId="77777777" w:rsidR="009948F1" w:rsidRDefault="00BC0563">
            <w:pPr>
              <w:pStyle w:val="TableParagraph"/>
              <w:spacing w:before="1" w:line="261" w:lineRule="auto"/>
              <w:ind w:left="24" w:right="120"/>
              <w:rPr>
                <w:sz w:val="14"/>
              </w:rPr>
            </w:pPr>
            <w:r>
              <w:rPr>
                <w:color w:val="231F20"/>
                <w:w w:val="90"/>
                <w:sz w:val="14"/>
              </w:rPr>
              <w:t>Provide</w:t>
            </w:r>
            <w:r>
              <w:rPr>
                <w:color w:val="231F20"/>
                <w:spacing w:val="-24"/>
                <w:w w:val="90"/>
                <w:sz w:val="14"/>
              </w:rPr>
              <w:t xml:space="preserve"> </w:t>
            </w:r>
            <w:r>
              <w:rPr>
                <w:color w:val="231F20"/>
                <w:w w:val="90"/>
                <w:sz w:val="14"/>
              </w:rPr>
              <w:t>counselling</w:t>
            </w:r>
            <w:r>
              <w:rPr>
                <w:color w:val="231F20"/>
                <w:spacing w:val="-23"/>
                <w:w w:val="90"/>
                <w:sz w:val="14"/>
              </w:rPr>
              <w:t xml:space="preserve"> </w:t>
            </w:r>
            <w:r>
              <w:rPr>
                <w:color w:val="231F20"/>
                <w:w w:val="90"/>
                <w:sz w:val="14"/>
              </w:rPr>
              <w:t>and</w:t>
            </w:r>
            <w:r>
              <w:rPr>
                <w:color w:val="231F20"/>
                <w:spacing w:val="-24"/>
                <w:w w:val="90"/>
                <w:sz w:val="14"/>
              </w:rPr>
              <w:t xml:space="preserve"> </w:t>
            </w:r>
            <w:r>
              <w:rPr>
                <w:color w:val="231F20"/>
                <w:w w:val="90"/>
                <w:sz w:val="14"/>
              </w:rPr>
              <w:t>family</w:t>
            </w:r>
            <w:r>
              <w:rPr>
                <w:color w:val="231F20"/>
                <w:spacing w:val="-23"/>
                <w:w w:val="90"/>
                <w:sz w:val="14"/>
              </w:rPr>
              <w:t xml:space="preserve"> </w:t>
            </w:r>
            <w:r>
              <w:rPr>
                <w:color w:val="231F20"/>
                <w:w w:val="90"/>
                <w:sz w:val="14"/>
              </w:rPr>
              <w:t>planning</w:t>
            </w:r>
            <w:r>
              <w:rPr>
                <w:color w:val="231F20"/>
                <w:spacing w:val="-24"/>
                <w:w w:val="90"/>
                <w:sz w:val="14"/>
              </w:rPr>
              <w:t xml:space="preserve"> </w:t>
            </w:r>
            <w:r>
              <w:rPr>
                <w:color w:val="231F20"/>
                <w:w w:val="90"/>
                <w:sz w:val="14"/>
              </w:rPr>
              <w:t>services</w:t>
            </w:r>
            <w:r>
              <w:rPr>
                <w:color w:val="231F20"/>
                <w:spacing w:val="-23"/>
                <w:w w:val="90"/>
                <w:sz w:val="14"/>
              </w:rPr>
              <w:t xml:space="preserve"> </w:t>
            </w:r>
            <w:r>
              <w:rPr>
                <w:color w:val="231F20"/>
                <w:w w:val="90"/>
                <w:sz w:val="14"/>
              </w:rPr>
              <w:t>for</w:t>
            </w:r>
            <w:r>
              <w:rPr>
                <w:color w:val="231F20"/>
                <w:spacing w:val="-24"/>
                <w:w w:val="90"/>
                <w:sz w:val="14"/>
              </w:rPr>
              <w:t xml:space="preserve"> </w:t>
            </w:r>
            <w:r>
              <w:rPr>
                <w:color w:val="231F20"/>
                <w:w w:val="90"/>
                <w:sz w:val="14"/>
              </w:rPr>
              <w:t>post-abortion</w:t>
            </w:r>
            <w:r>
              <w:rPr>
                <w:color w:val="231F20"/>
                <w:spacing w:val="-23"/>
                <w:w w:val="90"/>
                <w:sz w:val="14"/>
              </w:rPr>
              <w:t xml:space="preserve"> </w:t>
            </w:r>
            <w:r>
              <w:rPr>
                <w:color w:val="231F20"/>
                <w:w w:val="90"/>
                <w:sz w:val="14"/>
              </w:rPr>
              <w:t>care</w:t>
            </w:r>
            <w:r>
              <w:rPr>
                <w:color w:val="231F20"/>
                <w:spacing w:val="-24"/>
                <w:w w:val="90"/>
                <w:sz w:val="14"/>
              </w:rPr>
              <w:t xml:space="preserve"> </w:t>
            </w:r>
            <w:r>
              <w:rPr>
                <w:color w:val="231F20"/>
                <w:w w:val="90"/>
                <w:sz w:val="14"/>
              </w:rPr>
              <w:t>clients</w:t>
            </w:r>
            <w:r>
              <w:rPr>
                <w:color w:val="231F20"/>
                <w:spacing w:val="-23"/>
                <w:w w:val="90"/>
                <w:sz w:val="14"/>
              </w:rPr>
              <w:t xml:space="preserve"> </w:t>
            </w:r>
            <w:r>
              <w:rPr>
                <w:color w:val="231F20"/>
                <w:w w:val="90"/>
                <w:sz w:val="14"/>
              </w:rPr>
              <w:t>in</w:t>
            </w:r>
            <w:r>
              <w:rPr>
                <w:color w:val="231F20"/>
                <w:spacing w:val="-24"/>
                <w:w w:val="90"/>
                <w:sz w:val="14"/>
              </w:rPr>
              <w:t xml:space="preserve"> </w:t>
            </w:r>
            <w:r>
              <w:rPr>
                <w:color w:val="231F20"/>
                <w:w w:val="90"/>
                <w:sz w:val="14"/>
              </w:rPr>
              <w:t>all</w:t>
            </w:r>
            <w:r>
              <w:rPr>
                <w:color w:val="231F20"/>
                <w:spacing w:val="-23"/>
                <w:w w:val="90"/>
                <w:sz w:val="14"/>
              </w:rPr>
              <w:t xml:space="preserve"> </w:t>
            </w:r>
            <w:r>
              <w:rPr>
                <w:color w:val="231F20"/>
                <w:w w:val="90"/>
                <w:sz w:val="14"/>
              </w:rPr>
              <w:t xml:space="preserve">Model </w:t>
            </w:r>
            <w:r>
              <w:rPr>
                <w:color w:val="231F20"/>
                <w:w w:val="95"/>
                <w:sz w:val="14"/>
              </w:rPr>
              <w:t>Primary</w:t>
            </w:r>
            <w:r>
              <w:rPr>
                <w:color w:val="231F20"/>
                <w:spacing w:val="-15"/>
                <w:w w:val="95"/>
                <w:sz w:val="14"/>
              </w:rPr>
              <w:t xml:space="preserve"> </w:t>
            </w:r>
            <w:r>
              <w:rPr>
                <w:color w:val="231F20"/>
                <w:w w:val="95"/>
                <w:sz w:val="14"/>
              </w:rPr>
              <w:t>Health</w:t>
            </w:r>
            <w:r>
              <w:rPr>
                <w:color w:val="231F20"/>
                <w:spacing w:val="-14"/>
                <w:w w:val="95"/>
                <w:sz w:val="14"/>
              </w:rPr>
              <w:t xml:space="preserve"> </w:t>
            </w:r>
            <w:r>
              <w:rPr>
                <w:color w:val="231F20"/>
                <w:w w:val="95"/>
                <w:sz w:val="14"/>
              </w:rPr>
              <w:t>Care</w:t>
            </w:r>
            <w:r>
              <w:rPr>
                <w:color w:val="231F20"/>
                <w:spacing w:val="-14"/>
                <w:w w:val="95"/>
                <w:sz w:val="14"/>
              </w:rPr>
              <w:t xml:space="preserve"> </w:t>
            </w:r>
            <w:proofErr w:type="spellStart"/>
            <w:r>
              <w:rPr>
                <w:color w:val="231F20"/>
                <w:w w:val="95"/>
                <w:sz w:val="14"/>
              </w:rPr>
              <w:t>Centres</w:t>
            </w:r>
            <w:proofErr w:type="spellEnd"/>
            <w:r>
              <w:rPr>
                <w:color w:val="231F20"/>
                <w:spacing w:val="-15"/>
                <w:w w:val="95"/>
                <w:sz w:val="14"/>
              </w:rPr>
              <w:t xml:space="preserve"> </w:t>
            </w:r>
            <w:r>
              <w:rPr>
                <w:color w:val="231F20"/>
                <w:w w:val="95"/>
                <w:sz w:val="14"/>
              </w:rPr>
              <w:t>&amp;</w:t>
            </w:r>
            <w:r>
              <w:rPr>
                <w:color w:val="231F20"/>
                <w:spacing w:val="-14"/>
                <w:w w:val="95"/>
                <w:sz w:val="14"/>
              </w:rPr>
              <w:t xml:space="preserve"> </w:t>
            </w:r>
            <w:r>
              <w:rPr>
                <w:color w:val="231F20"/>
                <w:w w:val="95"/>
                <w:sz w:val="14"/>
              </w:rPr>
              <w:t>Secondary</w:t>
            </w:r>
            <w:r>
              <w:rPr>
                <w:color w:val="231F20"/>
                <w:spacing w:val="-14"/>
                <w:w w:val="95"/>
                <w:sz w:val="14"/>
              </w:rPr>
              <w:t xml:space="preserve"> </w:t>
            </w:r>
            <w:r>
              <w:rPr>
                <w:color w:val="231F20"/>
                <w:w w:val="95"/>
                <w:sz w:val="14"/>
              </w:rPr>
              <w:t>Health</w:t>
            </w:r>
            <w:r>
              <w:rPr>
                <w:color w:val="231F20"/>
                <w:spacing w:val="-15"/>
                <w:w w:val="95"/>
                <w:sz w:val="14"/>
              </w:rPr>
              <w:t xml:space="preserve"> </w:t>
            </w:r>
            <w:r>
              <w:rPr>
                <w:color w:val="231F20"/>
                <w:w w:val="95"/>
                <w:sz w:val="14"/>
              </w:rPr>
              <w:t>Facilities</w:t>
            </w:r>
            <w:r>
              <w:rPr>
                <w:color w:val="231F20"/>
                <w:spacing w:val="-14"/>
                <w:w w:val="95"/>
                <w:sz w:val="14"/>
              </w:rPr>
              <w:t xml:space="preserve"> </w:t>
            </w:r>
            <w:r>
              <w:rPr>
                <w:color w:val="231F20"/>
                <w:w w:val="95"/>
                <w:sz w:val="14"/>
              </w:rPr>
              <w:t>in</w:t>
            </w:r>
            <w:r>
              <w:rPr>
                <w:color w:val="231F20"/>
                <w:spacing w:val="-14"/>
                <w:w w:val="95"/>
                <w:sz w:val="14"/>
              </w:rPr>
              <w:t xml:space="preserve"> </w:t>
            </w:r>
            <w:r>
              <w:rPr>
                <w:color w:val="231F20"/>
                <w:w w:val="95"/>
                <w:sz w:val="14"/>
              </w:rPr>
              <w:t>the</w:t>
            </w:r>
            <w:r>
              <w:rPr>
                <w:color w:val="231F20"/>
                <w:spacing w:val="-15"/>
                <w:w w:val="95"/>
                <w:sz w:val="14"/>
              </w:rPr>
              <w:t xml:space="preserve"> </w:t>
            </w:r>
            <w:r>
              <w:rPr>
                <w:color w:val="231F20"/>
                <w:w w:val="95"/>
                <w:sz w:val="14"/>
              </w:rPr>
              <w:t>State</w:t>
            </w:r>
          </w:p>
        </w:tc>
        <w:tc>
          <w:tcPr>
            <w:tcW w:w="1431" w:type="dxa"/>
            <w:tcBorders>
              <w:top w:val="single" w:sz="6" w:space="0" w:color="231F20"/>
              <w:left w:val="single" w:sz="6" w:space="0" w:color="231F20"/>
              <w:bottom w:val="single" w:sz="6" w:space="0" w:color="231F20"/>
              <w:right w:val="single" w:sz="6" w:space="0" w:color="231F20"/>
            </w:tcBorders>
          </w:tcPr>
          <w:p w14:paraId="16A4D941" w14:textId="77777777" w:rsidR="009948F1" w:rsidRDefault="009948F1">
            <w:pPr>
              <w:pStyle w:val="TableParagraph"/>
              <w:spacing w:before="10"/>
              <w:rPr>
                <w:sz w:val="19"/>
              </w:rPr>
            </w:pPr>
          </w:p>
          <w:p w14:paraId="4D2F5693" w14:textId="77777777" w:rsidR="009948F1" w:rsidRDefault="00BC0563">
            <w:pPr>
              <w:pStyle w:val="TableParagraph"/>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2C191594" w14:textId="1242B1C5" w:rsidR="009948F1" w:rsidRDefault="00BC0563">
            <w:pPr>
              <w:pStyle w:val="TableParagraph"/>
              <w:spacing w:line="261" w:lineRule="auto"/>
              <w:ind w:left="23" w:right="60"/>
              <w:rPr>
                <w:sz w:val="14"/>
              </w:rPr>
            </w:pPr>
            <w:r>
              <w:rPr>
                <w:color w:val="231F20"/>
                <w:w w:val="95"/>
                <w:sz w:val="14"/>
              </w:rPr>
              <w:t xml:space="preserve">Provide counselling &amp; </w:t>
            </w:r>
            <w:r w:rsidR="00683F0D">
              <w:rPr>
                <w:color w:val="231F20"/>
                <w:w w:val="85"/>
                <w:sz w:val="14"/>
              </w:rPr>
              <w:t>Family</w:t>
            </w:r>
            <w:r>
              <w:rPr>
                <w:color w:val="231F20"/>
                <w:w w:val="85"/>
                <w:sz w:val="14"/>
              </w:rPr>
              <w:t xml:space="preserve"> Planning Services </w:t>
            </w:r>
            <w:r>
              <w:rPr>
                <w:color w:val="231F20"/>
                <w:w w:val="95"/>
                <w:sz w:val="14"/>
              </w:rPr>
              <w:t>for Post-Abortion Care</w:t>
            </w:r>
          </w:p>
          <w:p w14:paraId="595D8FE1" w14:textId="77777777" w:rsidR="009948F1" w:rsidRDefault="00BC0563">
            <w:pPr>
              <w:pStyle w:val="TableParagraph"/>
              <w:spacing w:line="80" w:lineRule="exact"/>
              <w:ind w:left="23"/>
              <w:rPr>
                <w:sz w:val="14"/>
              </w:rPr>
            </w:pPr>
            <w:r>
              <w:rPr>
                <w:color w:val="231F20"/>
                <w:w w:val="95"/>
                <w:sz w:val="14"/>
              </w:rPr>
              <w:t>client</w:t>
            </w:r>
          </w:p>
        </w:tc>
      </w:tr>
      <w:tr w:rsidR="009948F1" w14:paraId="55192FD1" w14:textId="77777777">
        <w:trPr>
          <w:trHeight w:val="737"/>
        </w:trPr>
        <w:tc>
          <w:tcPr>
            <w:tcW w:w="867" w:type="dxa"/>
            <w:gridSpan w:val="2"/>
            <w:vMerge/>
            <w:tcBorders>
              <w:top w:val="nil"/>
              <w:bottom w:val="nil"/>
              <w:right w:val="single" w:sz="6" w:space="0" w:color="231F20"/>
            </w:tcBorders>
          </w:tcPr>
          <w:p w14:paraId="51B8DDA7"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3C1C3BCA" w14:textId="77777777" w:rsidR="009948F1" w:rsidRDefault="009948F1">
            <w:pPr>
              <w:pStyle w:val="TableParagraph"/>
              <w:rPr>
                <w:sz w:val="14"/>
              </w:rPr>
            </w:pPr>
          </w:p>
          <w:p w14:paraId="222E9258" w14:textId="77777777" w:rsidR="009948F1" w:rsidRDefault="00BC0563">
            <w:pPr>
              <w:pStyle w:val="TableParagraph"/>
              <w:spacing w:before="123"/>
              <w:ind w:left="24" w:right="5"/>
              <w:jc w:val="center"/>
              <w:rPr>
                <w:sz w:val="14"/>
              </w:rPr>
            </w:pPr>
            <w:r>
              <w:rPr>
                <w:color w:val="231F20"/>
                <w:w w:val="95"/>
                <w:sz w:val="14"/>
              </w:rPr>
              <w:t>4.3.4.c</w:t>
            </w:r>
          </w:p>
        </w:tc>
        <w:tc>
          <w:tcPr>
            <w:tcW w:w="4905" w:type="dxa"/>
            <w:gridSpan w:val="2"/>
            <w:tcBorders>
              <w:top w:val="single" w:sz="6" w:space="0" w:color="231F20"/>
              <w:left w:val="single" w:sz="6" w:space="0" w:color="231F20"/>
              <w:bottom w:val="single" w:sz="6" w:space="0" w:color="231F20"/>
              <w:right w:val="single" w:sz="6" w:space="0" w:color="231F20"/>
            </w:tcBorders>
          </w:tcPr>
          <w:p w14:paraId="6FB10B43" w14:textId="77777777" w:rsidR="009948F1" w:rsidRDefault="009948F1">
            <w:pPr>
              <w:pStyle w:val="TableParagraph"/>
              <w:spacing w:before="7"/>
              <w:rPr>
                <w:sz w:val="16"/>
              </w:rPr>
            </w:pPr>
          </w:p>
          <w:p w14:paraId="760A0C9C" w14:textId="77777777" w:rsidR="009948F1" w:rsidRDefault="00BC0563">
            <w:pPr>
              <w:pStyle w:val="TableParagraph"/>
              <w:spacing w:line="261" w:lineRule="auto"/>
              <w:ind w:left="24"/>
              <w:rPr>
                <w:sz w:val="14"/>
              </w:rPr>
            </w:pPr>
            <w:r>
              <w:rPr>
                <w:color w:val="231F20"/>
                <w:w w:val="85"/>
                <w:sz w:val="14"/>
              </w:rPr>
              <w:t xml:space="preserve">Conduct training workshop for Private Sector on Long Acting Reversible Contraceptive </w:t>
            </w:r>
            <w:r>
              <w:rPr>
                <w:color w:val="231F20"/>
                <w:w w:val="95"/>
                <w:sz w:val="14"/>
              </w:rPr>
              <w:t>(LARC)</w:t>
            </w:r>
          </w:p>
        </w:tc>
        <w:tc>
          <w:tcPr>
            <w:tcW w:w="1431" w:type="dxa"/>
            <w:tcBorders>
              <w:top w:val="single" w:sz="6" w:space="0" w:color="231F20"/>
              <w:left w:val="single" w:sz="6" w:space="0" w:color="231F20"/>
              <w:bottom w:val="single" w:sz="6" w:space="0" w:color="231F20"/>
              <w:right w:val="single" w:sz="6" w:space="0" w:color="231F20"/>
            </w:tcBorders>
          </w:tcPr>
          <w:p w14:paraId="7A92C5DD" w14:textId="77777777" w:rsidR="009948F1" w:rsidRDefault="009948F1">
            <w:pPr>
              <w:pStyle w:val="TableParagraph"/>
              <w:rPr>
                <w:sz w:val="14"/>
              </w:rPr>
            </w:pPr>
          </w:p>
          <w:p w14:paraId="6BBD9F9A" w14:textId="77777777" w:rsidR="009948F1" w:rsidRDefault="00BC0563">
            <w:pPr>
              <w:pStyle w:val="TableParagraph"/>
              <w:spacing w:before="123"/>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64A0BB92" w14:textId="77777777" w:rsidR="009948F1" w:rsidRDefault="009948F1">
            <w:pPr>
              <w:pStyle w:val="TableParagraph"/>
              <w:spacing w:before="1"/>
              <w:rPr>
                <w:sz w:val="17"/>
              </w:rPr>
            </w:pPr>
          </w:p>
          <w:p w14:paraId="0548CE26" w14:textId="77777777" w:rsidR="009948F1" w:rsidRDefault="00BC0563">
            <w:pPr>
              <w:pStyle w:val="TableParagraph"/>
              <w:spacing w:before="1" w:line="261" w:lineRule="auto"/>
              <w:ind w:left="23" w:right="357"/>
              <w:rPr>
                <w:sz w:val="14"/>
              </w:rPr>
            </w:pPr>
            <w:r>
              <w:rPr>
                <w:color w:val="231F20"/>
                <w:w w:val="95"/>
                <w:sz w:val="14"/>
              </w:rPr>
              <w:t xml:space="preserve">Conduct training </w:t>
            </w:r>
            <w:r>
              <w:rPr>
                <w:color w:val="231F20"/>
                <w:w w:val="85"/>
                <w:sz w:val="14"/>
              </w:rPr>
              <w:t>workshops for LARC</w:t>
            </w:r>
          </w:p>
        </w:tc>
      </w:tr>
      <w:tr w:rsidR="009948F1" w14:paraId="1AA64F67" w14:textId="77777777">
        <w:trPr>
          <w:trHeight w:val="352"/>
        </w:trPr>
        <w:tc>
          <w:tcPr>
            <w:tcW w:w="867" w:type="dxa"/>
            <w:gridSpan w:val="2"/>
            <w:vMerge/>
            <w:tcBorders>
              <w:top w:val="nil"/>
              <w:bottom w:val="nil"/>
              <w:right w:val="single" w:sz="6" w:space="0" w:color="231F20"/>
            </w:tcBorders>
          </w:tcPr>
          <w:p w14:paraId="424C3E9D"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020AF723" w14:textId="77777777" w:rsidR="009948F1" w:rsidRDefault="00BC0563">
            <w:pPr>
              <w:pStyle w:val="TableParagraph"/>
              <w:spacing w:before="93"/>
              <w:ind w:left="24" w:right="5"/>
              <w:jc w:val="center"/>
              <w:rPr>
                <w:sz w:val="14"/>
              </w:rPr>
            </w:pPr>
            <w:r>
              <w:rPr>
                <w:color w:val="231F20"/>
                <w:w w:val="90"/>
                <w:sz w:val="14"/>
              </w:rPr>
              <w:t>4.3.4.d</w:t>
            </w:r>
          </w:p>
        </w:tc>
        <w:tc>
          <w:tcPr>
            <w:tcW w:w="4905" w:type="dxa"/>
            <w:gridSpan w:val="2"/>
            <w:tcBorders>
              <w:top w:val="single" w:sz="6" w:space="0" w:color="231F20"/>
              <w:left w:val="single" w:sz="6" w:space="0" w:color="231F20"/>
              <w:bottom w:val="single" w:sz="6" w:space="0" w:color="231F20"/>
              <w:right w:val="single" w:sz="6" w:space="0" w:color="231F20"/>
            </w:tcBorders>
          </w:tcPr>
          <w:p w14:paraId="79B7B4FB" w14:textId="77777777" w:rsidR="009948F1" w:rsidRDefault="00BC0563">
            <w:pPr>
              <w:pStyle w:val="TableParagraph"/>
              <w:spacing w:before="87"/>
              <w:ind w:left="24"/>
              <w:rPr>
                <w:sz w:val="14"/>
              </w:rPr>
            </w:pPr>
            <w:r>
              <w:rPr>
                <w:color w:val="231F20"/>
                <w:w w:val="95"/>
                <w:sz w:val="14"/>
              </w:rPr>
              <w:t>Conduct public enlightenment and community engagement interventions</w:t>
            </w:r>
          </w:p>
        </w:tc>
        <w:tc>
          <w:tcPr>
            <w:tcW w:w="1431" w:type="dxa"/>
            <w:tcBorders>
              <w:top w:val="single" w:sz="6" w:space="0" w:color="231F20"/>
              <w:left w:val="single" w:sz="6" w:space="0" w:color="231F20"/>
              <w:bottom w:val="single" w:sz="6" w:space="0" w:color="231F20"/>
              <w:right w:val="single" w:sz="6" w:space="0" w:color="231F20"/>
            </w:tcBorders>
          </w:tcPr>
          <w:p w14:paraId="17A6F507" w14:textId="77777777" w:rsidR="009948F1" w:rsidRDefault="00BC0563">
            <w:pPr>
              <w:pStyle w:val="TableParagraph"/>
              <w:spacing w:before="93"/>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7B12D10D" w14:textId="77777777" w:rsidR="009948F1" w:rsidRDefault="00BC0563">
            <w:pPr>
              <w:pStyle w:val="TableParagraph"/>
              <w:spacing w:before="4"/>
              <w:ind w:left="23"/>
              <w:rPr>
                <w:sz w:val="14"/>
              </w:rPr>
            </w:pPr>
            <w:r>
              <w:rPr>
                <w:color w:val="231F20"/>
                <w:w w:val="95"/>
                <w:sz w:val="14"/>
              </w:rPr>
              <w:t>Conduct public</w:t>
            </w:r>
          </w:p>
          <w:p w14:paraId="1BEAD2D1" w14:textId="4F4809E8" w:rsidR="009948F1" w:rsidRDefault="00B94D6C">
            <w:pPr>
              <w:pStyle w:val="TableParagraph"/>
              <w:spacing w:before="15" w:line="153" w:lineRule="exact"/>
              <w:ind w:left="23"/>
              <w:rPr>
                <w:sz w:val="14"/>
              </w:rPr>
            </w:pPr>
            <w:r>
              <w:rPr>
                <w:color w:val="231F20"/>
                <w:w w:val="95"/>
                <w:sz w:val="14"/>
              </w:rPr>
              <w:t>enlightenment</w:t>
            </w:r>
          </w:p>
        </w:tc>
      </w:tr>
      <w:tr w:rsidR="009948F1" w14:paraId="246D680A" w14:textId="77777777">
        <w:trPr>
          <w:trHeight w:val="690"/>
        </w:trPr>
        <w:tc>
          <w:tcPr>
            <w:tcW w:w="411" w:type="dxa"/>
            <w:tcBorders>
              <w:top w:val="nil"/>
              <w:bottom w:val="nil"/>
              <w:right w:val="single" w:sz="6" w:space="0" w:color="231F20"/>
            </w:tcBorders>
          </w:tcPr>
          <w:p w14:paraId="7940F416" w14:textId="77777777" w:rsidR="009948F1" w:rsidRDefault="009948F1">
            <w:pPr>
              <w:pStyle w:val="TableParagraph"/>
              <w:rPr>
                <w:rFonts w:ascii="Times New Roman"/>
                <w:sz w:val="10"/>
              </w:rPr>
            </w:pPr>
          </w:p>
        </w:tc>
        <w:tc>
          <w:tcPr>
            <w:tcW w:w="456" w:type="dxa"/>
            <w:tcBorders>
              <w:top w:val="single" w:sz="6" w:space="0" w:color="231F20"/>
              <w:left w:val="single" w:sz="6" w:space="0" w:color="231F20"/>
              <w:bottom w:val="single" w:sz="6" w:space="0" w:color="231F20"/>
              <w:right w:val="single" w:sz="6" w:space="0" w:color="231F20"/>
            </w:tcBorders>
            <w:shd w:val="clear" w:color="auto" w:fill="CCE7D3"/>
          </w:tcPr>
          <w:p w14:paraId="4BE0EFBF" w14:textId="77777777" w:rsidR="009948F1" w:rsidRDefault="009948F1">
            <w:pPr>
              <w:pStyle w:val="TableParagraph"/>
              <w:rPr>
                <w:sz w:val="14"/>
              </w:rPr>
            </w:pPr>
          </w:p>
          <w:p w14:paraId="0F5A40B1" w14:textId="77777777" w:rsidR="009948F1" w:rsidRDefault="00BC0563">
            <w:pPr>
              <w:pStyle w:val="TableParagraph"/>
              <w:spacing w:before="101"/>
              <w:ind w:left="57"/>
              <w:rPr>
                <w:sz w:val="14"/>
              </w:rPr>
            </w:pPr>
            <w:r>
              <w:rPr>
                <w:color w:val="231F20"/>
                <w:w w:val="95"/>
                <w:sz w:val="14"/>
              </w:rPr>
              <w:t>4.3.5</w:t>
            </w:r>
          </w:p>
        </w:tc>
        <w:tc>
          <w:tcPr>
            <w:tcW w:w="3043" w:type="dxa"/>
            <w:gridSpan w:val="2"/>
            <w:tcBorders>
              <w:top w:val="single" w:sz="6" w:space="0" w:color="231F20"/>
              <w:left w:val="single" w:sz="6" w:space="0" w:color="231F20"/>
              <w:bottom w:val="single" w:sz="6" w:space="0" w:color="231F20"/>
              <w:right w:val="single" w:sz="6" w:space="0" w:color="231F20"/>
            </w:tcBorders>
            <w:shd w:val="clear" w:color="auto" w:fill="CCE7D3"/>
          </w:tcPr>
          <w:p w14:paraId="147072A9" w14:textId="77777777" w:rsidR="009948F1" w:rsidRDefault="009948F1">
            <w:pPr>
              <w:pStyle w:val="TableParagraph"/>
              <w:spacing w:before="6"/>
              <w:rPr>
                <w:sz w:val="14"/>
              </w:rPr>
            </w:pPr>
          </w:p>
          <w:p w14:paraId="38EB8540" w14:textId="77777777" w:rsidR="009948F1" w:rsidRDefault="00BC0563">
            <w:pPr>
              <w:pStyle w:val="TableParagraph"/>
              <w:spacing w:line="261" w:lineRule="auto"/>
              <w:ind w:left="24" w:right="79" w:firstLine="33"/>
              <w:rPr>
                <w:sz w:val="14"/>
              </w:rPr>
            </w:pPr>
            <w:r>
              <w:rPr>
                <w:color w:val="231F20"/>
                <w:w w:val="85"/>
                <w:sz w:val="14"/>
              </w:rPr>
              <w:t xml:space="preserve">Promote prevention of harmful traditional practices and </w:t>
            </w:r>
            <w:r>
              <w:rPr>
                <w:color w:val="231F20"/>
                <w:w w:val="95"/>
                <w:sz w:val="14"/>
              </w:rPr>
              <w:t>gender-based violence</w:t>
            </w:r>
          </w:p>
        </w:tc>
        <w:tc>
          <w:tcPr>
            <w:tcW w:w="2389" w:type="dxa"/>
            <w:tcBorders>
              <w:top w:val="single" w:sz="6" w:space="0" w:color="231F20"/>
              <w:left w:val="single" w:sz="6" w:space="0" w:color="231F20"/>
              <w:bottom w:val="single" w:sz="6" w:space="0" w:color="231F20"/>
              <w:right w:val="single" w:sz="6" w:space="0" w:color="231F20"/>
            </w:tcBorders>
            <w:shd w:val="clear" w:color="auto" w:fill="CCE7D3"/>
          </w:tcPr>
          <w:p w14:paraId="3E63C982" w14:textId="77777777" w:rsidR="009948F1" w:rsidRDefault="00BC0563">
            <w:pPr>
              <w:pStyle w:val="TableParagraph"/>
              <w:numPr>
                <w:ilvl w:val="0"/>
                <w:numId w:val="193"/>
              </w:numPr>
              <w:tabs>
                <w:tab w:val="left" w:pos="100"/>
              </w:tabs>
              <w:spacing w:line="261" w:lineRule="auto"/>
              <w:ind w:right="147" w:firstLine="0"/>
              <w:rPr>
                <w:sz w:val="14"/>
              </w:rPr>
            </w:pPr>
            <w:r>
              <w:rPr>
                <w:color w:val="231F20"/>
                <w:w w:val="95"/>
                <w:sz w:val="14"/>
              </w:rPr>
              <w:t xml:space="preserve">Public education and community </w:t>
            </w:r>
            <w:r>
              <w:rPr>
                <w:color w:val="231F20"/>
                <w:w w:val="90"/>
                <w:sz w:val="14"/>
              </w:rPr>
              <w:t>sensitization</w:t>
            </w:r>
            <w:r>
              <w:rPr>
                <w:color w:val="231F20"/>
                <w:spacing w:val="-21"/>
                <w:w w:val="90"/>
                <w:sz w:val="14"/>
              </w:rPr>
              <w:t xml:space="preserve"> </w:t>
            </w:r>
            <w:r>
              <w:rPr>
                <w:color w:val="231F20"/>
                <w:w w:val="90"/>
                <w:sz w:val="14"/>
              </w:rPr>
              <w:t>on</w:t>
            </w:r>
            <w:r>
              <w:rPr>
                <w:color w:val="231F20"/>
                <w:spacing w:val="-21"/>
                <w:w w:val="90"/>
                <w:sz w:val="14"/>
              </w:rPr>
              <w:t xml:space="preserve"> </w:t>
            </w:r>
            <w:r>
              <w:rPr>
                <w:color w:val="231F20"/>
                <w:w w:val="90"/>
                <w:sz w:val="14"/>
              </w:rPr>
              <w:t>HTP</w:t>
            </w:r>
            <w:r>
              <w:rPr>
                <w:color w:val="231F20"/>
                <w:spacing w:val="-22"/>
                <w:w w:val="90"/>
                <w:sz w:val="14"/>
              </w:rPr>
              <w:t xml:space="preserve"> </w:t>
            </w:r>
            <w:r>
              <w:rPr>
                <w:color w:val="231F20"/>
                <w:w w:val="90"/>
                <w:sz w:val="14"/>
              </w:rPr>
              <w:t>and</w:t>
            </w:r>
            <w:r>
              <w:rPr>
                <w:color w:val="231F20"/>
                <w:spacing w:val="-21"/>
                <w:w w:val="90"/>
                <w:sz w:val="14"/>
              </w:rPr>
              <w:t xml:space="preserve"> </w:t>
            </w:r>
            <w:r>
              <w:rPr>
                <w:color w:val="231F20"/>
                <w:w w:val="90"/>
                <w:sz w:val="14"/>
              </w:rPr>
              <w:t>GBV</w:t>
            </w:r>
            <w:r>
              <w:rPr>
                <w:color w:val="231F20"/>
                <w:spacing w:val="-20"/>
                <w:w w:val="90"/>
                <w:sz w:val="14"/>
              </w:rPr>
              <w:t xml:space="preserve"> </w:t>
            </w:r>
            <w:r>
              <w:rPr>
                <w:color w:val="231F20"/>
                <w:w w:val="90"/>
                <w:sz w:val="14"/>
              </w:rPr>
              <w:t>carried</w:t>
            </w:r>
            <w:r>
              <w:rPr>
                <w:color w:val="231F20"/>
                <w:spacing w:val="-21"/>
                <w:w w:val="90"/>
                <w:sz w:val="14"/>
              </w:rPr>
              <w:t xml:space="preserve"> </w:t>
            </w:r>
            <w:r>
              <w:rPr>
                <w:color w:val="231F20"/>
                <w:spacing w:val="-4"/>
                <w:w w:val="90"/>
                <w:sz w:val="14"/>
              </w:rPr>
              <w:t>out</w:t>
            </w:r>
          </w:p>
          <w:p w14:paraId="1536513A" w14:textId="77777777" w:rsidR="009948F1" w:rsidRDefault="00BC0563">
            <w:pPr>
              <w:pStyle w:val="TableParagraph"/>
              <w:ind w:left="24"/>
              <w:rPr>
                <w:sz w:val="14"/>
              </w:rPr>
            </w:pPr>
            <w:r>
              <w:rPr>
                <w:color w:val="231F20"/>
                <w:w w:val="84"/>
                <w:sz w:val="14"/>
              </w:rPr>
              <w:t>•</w:t>
            </w:r>
          </w:p>
          <w:p w14:paraId="5FD6DF1B" w14:textId="77777777" w:rsidR="009948F1" w:rsidRDefault="00BC0563">
            <w:pPr>
              <w:pStyle w:val="TableParagraph"/>
              <w:spacing w:before="13" w:line="145" w:lineRule="exact"/>
              <w:ind w:left="24"/>
              <w:rPr>
                <w:sz w:val="14"/>
              </w:rPr>
            </w:pPr>
            <w:r>
              <w:rPr>
                <w:color w:val="231F20"/>
                <w:w w:val="84"/>
                <w:sz w:val="14"/>
              </w:rPr>
              <w:t>•</w:t>
            </w:r>
          </w:p>
        </w:tc>
        <w:tc>
          <w:tcPr>
            <w:tcW w:w="1431" w:type="dxa"/>
            <w:tcBorders>
              <w:top w:val="single" w:sz="6" w:space="0" w:color="231F20"/>
              <w:left w:val="single" w:sz="6" w:space="0" w:color="231F20"/>
              <w:bottom w:val="single" w:sz="6" w:space="0" w:color="231F20"/>
            </w:tcBorders>
            <w:shd w:val="clear" w:color="auto" w:fill="CCE7D3"/>
          </w:tcPr>
          <w:p w14:paraId="513A021F"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CCE7D3"/>
          </w:tcPr>
          <w:p w14:paraId="39704E02" w14:textId="77777777" w:rsidR="009948F1" w:rsidRDefault="009948F1">
            <w:pPr>
              <w:pStyle w:val="TableParagraph"/>
              <w:rPr>
                <w:rFonts w:ascii="Times New Roman"/>
                <w:sz w:val="10"/>
              </w:rPr>
            </w:pPr>
          </w:p>
        </w:tc>
      </w:tr>
      <w:tr w:rsidR="009948F1" w14:paraId="70A344FF" w14:textId="77777777">
        <w:trPr>
          <w:trHeight w:val="573"/>
        </w:trPr>
        <w:tc>
          <w:tcPr>
            <w:tcW w:w="867" w:type="dxa"/>
            <w:gridSpan w:val="2"/>
            <w:tcBorders>
              <w:top w:val="nil"/>
              <w:bottom w:val="nil"/>
              <w:right w:val="single" w:sz="6" w:space="0" w:color="231F20"/>
            </w:tcBorders>
          </w:tcPr>
          <w:p w14:paraId="143CFBC9" w14:textId="77777777" w:rsidR="009948F1" w:rsidRDefault="009948F1">
            <w:pPr>
              <w:pStyle w:val="TableParagraph"/>
              <w:rPr>
                <w:rFonts w:ascii="Times New Roman"/>
                <w:sz w:val="10"/>
              </w:rPr>
            </w:pPr>
          </w:p>
        </w:tc>
        <w:tc>
          <w:tcPr>
            <w:tcW w:w="527" w:type="dxa"/>
            <w:tcBorders>
              <w:top w:val="single" w:sz="6" w:space="0" w:color="231F20"/>
              <w:left w:val="single" w:sz="6" w:space="0" w:color="231F20"/>
              <w:bottom w:val="single" w:sz="6" w:space="0" w:color="231F20"/>
              <w:right w:val="single" w:sz="6" w:space="0" w:color="231F20"/>
            </w:tcBorders>
          </w:tcPr>
          <w:p w14:paraId="029411AF" w14:textId="77777777" w:rsidR="009948F1" w:rsidRDefault="009948F1">
            <w:pPr>
              <w:pStyle w:val="TableParagraph"/>
              <w:spacing w:before="7"/>
              <w:rPr>
                <w:sz w:val="17"/>
              </w:rPr>
            </w:pPr>
          </w:p>
          <w:p w14:paraId="05771AE1" w14:textId="77777777" w:rsidR="009948F1" w:rsidRDefault="00BC0563">
            <w:pPr>
              <w:pStyle w:val="TableParagraph"/>
              <w:ind w:left="24" w:right="5"/>
              <w:jc w:val="center"/>
              <w:rPr>
                <w:sz w:val="14"/>
              </w:rPr>
            </w:pPr>
            <w:r>
              <w:rPr>
                <w:color w:val="231F20"/>
                <w:w w:val="90"/>
                <w:sz w:val="14"/>
              </w:rPr>
              <w:t>4.3.5.a</w:t>
            </w:r>
          </w:p>
        </w:tc>
        <w:tc>
          <w:tcPr>
            <w:tcW w:w="4905" w:type="dxa"/>
            <w:gridSpan w:val="2"/>
            <w:tcBorders>
              <w:top w:val="single" w:sz="6" w:space="0" w:color="231F20"/>
              <w:left w:val="single" w:sz="6" w:space="0" w:color="231F20"/>
              <w:bottom w:val="single" w:sz="6" w:space="0" w:color="231F20"/>
              <w:right w:val="single" w:sz="6" w:space="0" w:color="231F20"/>
            </w:tcBorders>
          </w:tcPr>
          <w:p w14:paraId="454ED4F9" w14:textId="77777777" w:rsidR="009948F1" w:rsidRDefault="009948F1">
            <w:pPr>
              <w:pStyle w:val="TableParagraph"/>
              <w:spacing w:before="1"/>
              <w:rPr>
                <w:sz w:val="17"/>
              </w:rPr>
            </w:pPr>
          </w:p>
          <w:p w14:paraId="7C4D3DDE" w14:textId="77777777" w:rsidR="009948F1" w:rsidRDefault="00BC0563">
            <w:pPr>
              <w:pStyle w:val="TableParagraph"/>
              <w:spacing w:before="1"/>
              <w:ind w:left="24"/>
              <w:rPr>
                <w:sz w:val="14"/>
              </w:rPr>
            </w:pPr>
            <w:r>
              <w:rPr>
                <w:color w:val="231F20"/>
                <w:w w:val="95"/>
                <w:sz w:val="14"/>
              </w:rPr>
              <w:t>Conduct public education and community sensitization on HTP and GBV</w:t>
            </w:r>
          </w:p>
        </w:tc>
        <w:tc>
          <w:tcPr>
            <w:tcW w:w="1431" w:type="dxa"/>
            <w:tcBorders>
              <w:top w:val="single" w:sz="6" w:space="0" w:color="231F20"/>
              <w:left w:val="single" w:sz="6" w:space="0" w:color="231F20"/>
              <w:bottom w:val="single" w:sz="6" w:space="0" w:color="231F20"/>
              <w:right w:val="single" w:sz="6" w:space="0" w:color="231F20"/>
            </w:tcBorders>
          </w:tcPr>
          <w:p w14:paraId="3A4B745F" w14:textId="77777777" w:rsidR="009948F1" w:rsidRDefault="009948F1">
            <w:pPr>
              <w:pStyle w:val="TableParagraph"/>
              <w:spacing w:before="7"/>
              <w:rPr>
                <w:sz w:val="17"/>
              </w:rPr>
            </w:pPr>
          </w:p>
          <w:p w14:paraId="7BBC2AC3" w14:textId="77777777" w:rsidR="009948F1" w:rsidRDefault="00BC0563">
            <w:pPr>
              <w:pStyle w:val="TableParagraph"/>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7CC17B43" w14:textId="77777777" w:rsidR="009948F1" w:rsidRDefault="009948F1">
            <w:pPr>
              <w:pStyle w:val="TableParagraph"/>
              <w:spacing w:before="7"/>
              <w:rPr>
                <w:sz w:val="17"/>
              </w:rPr>
            </w:pPr>
          </w:p>
          <w:p w14:paraId="25A2C66F" w14:textId="77777777" w:rsidR="009948F1" w:rsidRDefault="00BC0563">
            <w:pPr>
              <w:pStyle w:val="TableParagraph"/>
              <w:ind w:left="23"/>
              <w:rPr>
                <w:sz w:val="14"/>
              </w:rPr>
            </w:pPr>
            <w:r>
              <w:rPr>
                <w:color w:val="231F20"/>
                <w:w w:val="90"/>
                <w:sz w:val="14"/>
              </w:rPr>
              <w:t>Conduct public education</w:t>
            </w:r>
          </w:p>
        </w:tc>
      </w:tr>
      <w:tr w:rsidR="009948F1" w14:paraId="07401EE7" w14:textId="77777777">
        <w:trPr>
          <w:trHeight w:val="962"/>
        </w:trPr>
        <w:tc>
          <w:tcPr>
            <w:tcW w:w="411" w:type="dxa"/>
            <w:tcBorders>
              <w:top w:val="nil"/>
              <w:bottom w:val="nil"/>
              <w:right w:val="single" w:sz="6" w:space="0" w:color="231F20"/>
            </w:tcBorders>
          </w:tcPr>
          <w:p w14:paraId="429ADF13" w14:textId="77777777" w:rsidR="009948F1" w:rsidRDefault="009948F1">
            <w:pPr>
              <w:pStyle w:val="TableParagraph"/>
              <w:rPr>
                <w:rFonts w:ascii="Times New Roman"/>
                <w:sz w:val="10"/>
              </w:rPr>
            </w:pPr>
          </w:p>
        </w:tc>
        <w:tc>
          <w:tcPr>
            <w:tcW w:w="456" w:type="dxa"/>
            <w:tcBorders>
              <w:top w:val="single" w:sz="6" w:space="0" w:color="231F20"/>
              <w:left w:val="single" w:sz="6" w:space="0" w:color="231F20"/>
              <w:bottom w:val="single" w:sz="6" w:space="0" w:color="231F20"/>
              <w:right w:val="single" w:sz="6" w:space="0" w:color="231F20"/>
            </w:tcBorders>
            <w:shd w:val="clear" w:color="auto" w:fill="CCE7D3"/>
          </w:tcPr>
          <w:p w14:paraId="4A6CC03B" w14:textId="77777777" w:rsidR="009948F1" w:rsidRDefault="009948F1">
            <w:pPr>
              <w:pStyle w:val="TableParagraph"/>
              <w:rPr>
                <w:sz w:val="14"/>
              </w:rPr>
            </w:pPr>
          </w:p>
          <w:p w14:paraId="49177997" w14:textId="77777777" w:rsidR="009948F1" w:rsidRDefault="009948F1">
            <w:pPr>
              <w:pStyle w:val="TableParagraph"/>
              <w:spacing w:before="6"/>
              <w:rPr>
                <w:sz w:val="20"/>
              </w:rPr>
            </w:pPr>
          </w:p>
          <w:p w14:paraId="24A06DC0" w14:textId="77777777" w:rsidR="009948F1" w:rsidRDefault="00BC0563">
            <w:pPr>
              <w:pStyle w:val="TableParagraph"/>
              <w:ind w:left="57"/>
              <w:rPr>
                <w:sz w:val="14"/>
              </w:rPr>
            </w:pPr>
            <w:r>
              <w:rPr>
                <w:color w:val="231F20"/>
                <w:w w:val="95"/>
                <w:sz w:val="14"/>
              </w:rPr>
              <w:t>4.3.6</w:t>
            </w:r>
          </w:p>
        </w:tc>
        <w:tc>
          <w:tcPr>
            <w:tcW w:w="3043" w:type="dxa"/>
            <w:gridSpan w:val="2"/>
            <w:tcBorders>
              <w:top w:val="single" w:sz="6" w:space="0" w:color="231F20"/>
              <w:left w:val="single" w:sz="6" w:space="0" w:color="231F20"/>
              <w:bottom w:val="single" w:sz="6" w:space="0" w:color="231F20"/>
              <w:right w:val="single" w:sz="6" w:space="0" w:color="231F20"/>
            </w:tcBorders>
            <w:shd w:val="clear" w:color="auto" w:fill="CCE7D3"/>
          </w:tcPr>
          <w:p w14:paraId="399F14B3" w14:textId="77777777" w:rsidR="009948F1" w:rsidRDefault="009948F1">
            <w:pPr>
              <w:pStyle w:val="TableParagraph"/>
              <w:spacing w:before="9"/>
              <w:rPr>
                <w:sz w:val="18"/>
              </w:rPr>
            </w:pPr>
          </w:p>
          <w:p w14:paraId="26E9E87A" w14:textId="31061972" w:rsidR="009948F1" w:rsidRDefault="00BC0563">
            <w:pPr>
              <w:pStyle w:val="TableParagraph"/>
              <w:spacing w:line="261" w:lineRule="auto"/>
              <w:ind w:left="24" w:right="9" w:firstLine="33"/>
              <w:rPr>
                <w:sz w:val="14"/>
              </w:rPr>
            </w:pPr>
            <w:r>
              <w:rPr>
                <w:color w:val="231F20"/>
                <w:w w:val="90"/>
                <w:sz w:val="14"/>
              </w:rPr>
              <w:t>Scale</w:t>
            </w:r>
            <w:r>
              <w:rPr>
                <w:color w:val="231F20"/>
                <w:spacing w:val="-20"/>
                <w:w w:val="90"/>
                <w:sz w:val="14"/>
              </w:rPr>
              <w:t xml:space="preserve"> </w:t>
            </w:r>
            <w:r>
              <w:rPr>
                <w:color w:val="231F20"/>
                <w:w w:val="90"/>
                <w:sz w:val="14"/>
              </w:rPr>
              <w:t>up</w:t>
            </w:r>
            <w:r>
              <w:rPr>
                <w:color w:val="231F20"/>
                <w:spacing w:val="-19"/>
                <w:w w:val="90"/>
                <w:sz w:val="14"/>
              </w:rPr>
              <w:t xml:space="preserve"> </w:t>
            </w:r>
            <w:r>
              <w:rPr>
                <w:color w:val="231F20"/>
                <w:w w:val="90"/>
                <w:sz w:val="14"/>
              </w:rPr>
              <w:t>Prevention,</w:t>
            </w:r>
            <w:r>
              <w:rPr>
                <w:color w:val="231F20"/>
                <w:spacing w:val="-19"/>
                <w:w w:val="90"/>
                <w:sz w:val="14"/>
              </w:rPr>
              <w:t xml:space="preserve"> </w:t>
            </w:r>
            <w:r>
              <w:rPr>
                <w:color w:val="231F20"/>
                <w:w w:val="90"/>
                <w:sz w:val="14"/>
              </w:rPr>
              <w:t>counseling</w:t>
            </w:r>
            <w:r>
              <w:rPr>
                <w:color w:val="231F20"/>
                <w:spacing w:val="-19"/>
                <w:w w:val="90"/>
                <w:sz w:val="14"/>
              </w:rPr>
              <w:t xml:space="preserve"> </w:t>
            </w:r>
            <w:r>
              <w:rPr>
                <w:color w:val="231F20"/>
                <w:w w:val="90"/>
                <w:sz w:val="14"/>
              </w:rPr>
              <w:t>and</w:t>
            </w:r>
            <w:r>
              <w:rPr>
                <w:color w:val="231F20"/>
                <w:spacing w:val="-19"/>
                <w:w w:val="90"/>
                <w:sz w:val="14"/>
              </w:rPr>
              <w:t xml:space="preserve"> </w:t>
            </w:r>
            <w:r>
              <w:rPr>
                <w:color w:val="231F20"/>
                <w:w w:val="90"/>
                <w:sz w:val="14"/>
              </w:rPr>
              <w:t>treatment</w:t>
            </w:r>
            <w:r>
              <w:rPr>
                <w:color w:val="231F20"/>
                <w:spacing w:val="-19"/>
                <w:w w:val="90"/>
                <w:sz w:val="14"/>
              </w:rPr>
              <w:t xml:space="preserve"> </w:t>
            </w:r>
            <w:r>
              <w:rPr>
                <w:color w:val="231F20"/>
                <w:w w:val="90"/>
                <w:sz w:val="14"/>
              </w:rPr>
              <w:t>of</w:t>
            </w:r>
            <w:r>
              <w:rPr>
                <w:color w:val="231F20"/>
                <w:spacing w:val="-19"/>
                <w:w w:val="90"/>
                <w:sz w:val="14"/>
              </w:rPr>
              <w:t xml:space="preserve"> </w:t>
            </w:r>
            <w:r>
              <w:rPr>
                <w:color w:val="231F20"/>
                <w:w w:val="90"/>
                <w:sz w:val="14"/>
              </w:rPr>
              <w:t>rape and</w:t>
            </w:r>
            <w:r>
              <w:rPr>
                <w:color w:val="231F20"/>
                <w:spacing w:val="-23"/>
                <w:w w:val="90"/>
                <w:sz w:val="14"/>
              </w:rPr>
              <w:t xml:space="preserve"> </w:t>
            </w:r>
            <w:r>
              <w:rPr>
                <w:color w:val="231F20"/>
                <w:w w:val="90"/>
                <w:sz w:val="14"/>
              </w:rPr>
              <w:t>other</w:t>
            </w:r>
            <w:r>
              <w:rPr>
                <w:color w:val="231F20"/>
                <w:spacing w:val="-22"/>
                <w:w w:val="90"/>
                <w:sz w:val="14"/>
              </w:rPr>
              <w:t xml:space="preserve"> </w:t>
            </w:r>
            <w:r>
              <w:rPr>
                <w:color w:val="231F20"/>
                <w:w w:val="90"/>
                <w:sz w:val="14"/>
              </w:rPr>
              <w:t>gender</w:t>
            </w:r>
            <w:r>
              <w:rPr>
                <w:color w:val="231F20"/>
                <w:spacing w:val="-22"/>
                <w:w w:val="90"/>
                <w:sz w:val="14"/>
              </w:rPr>
              <w:t xml:space="preserve"> </w:t>
            </w:r>
            <w:r>
              <w:rPr>
                <w:color w:val="231F20"/>
                <w:w w:val="90"/>
                <w:sz w:val="14"/>
              </w:rPr>
              <w:t>based</w:t>
            </w:r>
            <w:r>
              <w:rPr>
                <w:color w:val="231F20"/>
                <w:spacing w:val="-22"/>
                <w:w w:val="90"/>
                <w:sz w:val="14"/>
              </w:rPr>
              <w:t xml:space="preserve"> </w:t>
            </w:r>
            <w:r>
              <w:rPr>
                <w:color w:val="231F20"/>
                <w:w w:val="90"/>
                <w:sz w:val="14"/>
              </w:rPr>
              <w:t>violence</w:t>
            </w:r>
            <w:r>
              <w:rPr>
                <w:color w:val="231F20"/>
                <w:spacing w:val="-22"/>
                <w:w w:val="90"/>
                <w:sz w:val="14"/>
              </w:rPr>
              <w:t xml:space="preserve"> </w:t>
            </w:r>
            <w:r>
              <w:rPr>
                <w:color w:val="231F20"/>
                <w:w w:val="90"/>
                <w:sz w:val="14"/>
              </w:rPr>
              <w:t>such</w:t>
            </w:r>
            <w:r>
              <w:rPr>
                <w:color w:val="231F20"/>
                <w:spacing w:val="-22"/>
                <w:w w:val="90"/>
                <w:sz w:val="14"/>
              </w:rPr>
              <w:t xml:space="preserve"> </w:t>
            </w:r>
            <w:r>
              <w:rPr>
                <w:color w:val="231F20"/>
                <w:w w:val="90"/>
                <w:sz w:val="14"/>
              </w:rPr>
              <w:t>as</w:t>
            </w:r>
            <w:r>
              <w:rPr>
                <w:color w:val="231F20"/>
                <w:spacing w:val="-22"/>
                <w:w w:val="90"/>
                <w:sz w:val="14"/>
              </w:rPr>
              <w:t xml:space="preserve"> </w:t>
            </w:r>
            <w:r>
              <w:rPr>
                <w:color w:val="231F20"/>
                <w:w w:val="90"/>
                <w:sz w:val="14"/>
              </w:rPr>
              <w:t>Rape,</w:t>
            </w:r>
            <w:r>
              <w:rPr>
                <w:color w:val="231F20"/>
                <w:spacing w:val="-23"/>
                <w:w w:val="90"/>
                <w:sz w:val="14"/>
              </w:rPr>
              <w:t xml:space="preserve"> </w:t>
            </w:r>
            <w:r>
              <w:rPr>
                <w:color w:val="231F20"/>
                <w:w w:val="90"/>
                <w:sz w:val="14"/>
              </w:rPr>
              <w:t xml:space="preserve">intimate </w:t>
            </w:r>
            <w:r>
              <w:rPr>
                <w:color w:val="231F20"/>
                <w:w w:val="95"/>
                <w:sz w:val="14"/>
              </w:rPr>
              <w:t>partner violence</w:t>
            </w:r>
            <w:r>
              <w:rPr>
                <w:color w:val="231F20"/>
                <w:spacing w:val="-13"/>
                <w:w w:val="95"/>
                <w:sz w:val="14"/>
              </w:rPr>
              <w:t xml:space="preserve"> </w:t>
            </w:r>
            <w:r w:rsidR="00B94D6C">
              <w:rPr>
                <w:color w:val="231F20"/>
                <w:w w:val="95"/>
                <w:sz w:val="14"/>
              </w:rPr>
              <w:t>etc.</w:t>
            </w:r>
          </w:p>
        </w:tc>
        <w:tc>
          <w:tcPr>
            <w:tcW w:w="2389" w:type="dxa"/>
            <w:tcBorders>
              <w:top w:val="single" w:sz="6" w:space="0" w:color="231F20"/>
              <w:left w:val="single" w:sz="6" w:space="0" w:color="231F20"/>
              <w:bottom w:val="single" w:sz="6" w:space="0" w:color="231F20"/>
              <w:right w:val="single" w:sz="6" w:space="0" w:color="231F20"/>
            </w:tcBorders>
            <w:shd w:val="clear" w:color="auto" w:fill="CCE7D3"/>
          </w:tcPr>
          <w:p w14:paraId="768854CD" w14:textId="77777777" w:rsidR="009948F1" w:rsidRDefault="00BC0563">
            <w:pPr>
              <w:pStyle w:val="TableParagraph"/>
              <w:numPr>
                <w:ilvl w:val="0"/>
                <w:numId w:val="192"/>
              </w:numPr>
              <w:tabs>
                <w:tab w:val="left" w:pos="93"/>
              </w:tabs>
              <w:spacing w:before="45" w:line="261" w:lineRule="auto"/>
              <w:ind w:right="92" w:firstLine="0"/>
              <w:jc w:val="both"/>
              <w:rPr>
                <w:sz w:val="14"/>
              </w:rPr>
            </w:pPr>
            <w:r>
              <w:rPr>
                <w:color w:val="231F20"/>
                <w:w w:val="90"/>
                <w:sz w:val="14"/>
              </w:rPr>
              <w:t>At</w:t>
            </w:r>
            <w:r>
              <w:rPr>
                <w:color w:val="231F20"/>
                <w:spacing w:val="-20"/>
                <w:w w:val="90"/>
                <w:sz w:val="14"/>
              </w:rPr>
              <w:t xml:space="preserve"> </w:t>
            </w:r>
            <w:r>
              <w:rPr>
                <w:color w:val="231F20"/>
                <w:w w:val="90"/>
                <w:sz w:val="14"/>
              </w:rPr>
              <w:t>least</w:t>
            </w:r>
            <w:r>
              <w:rPr>
                <w:color w:val="231F20"/>
                <w:spacing w:val="-20"/>
                <w:w w:val="90"/>
                <w:sz w:val="14"/>
              </w:rPr>
              <w:t xml:space="preserve"> </w:t>
            </w:r>
            <w:r>
              <w:rPr>
                <w:color w:val="231F20"/>
                <w:w w:val="90"/>
                <w:sz w:val="14"/>
              </w:rPr>
              <w:t>360</w:t>
            </w:r>
            <w:r>
              <w:rPr>
                <w:color w:val="231F20"/>
                <w:spacing w:val="-20"/>
                <w:w w:val="90"/>
                <w:sz w:val="14"/>
              </w:rPr>
              <w:t xml:space="preserve"> </w:t>
            </w:r>
            <w:r>
              <w:rPr>
                <w:color w:val="231F20"/>
                <w:w w:val="90"/>
                <w:sz w:val="14"/>
              </w:rPr>
              <w:t>health</w:t>
            </w:r>
            <w:r>
              <w:rPr>
                <w:color w:val="231F20"/>
                <w:spacing w:val="-19"/>
                <w:w w:val="90"/>
                <w:sz w:val="14"/>
              </w:rPr>
              <w:t xml:space="preserve"> </w:t>
            </w:r>
            <w:r>
              <w:rPr>
                <w:color w:val="231F20"/>
                <w:w w:val="90"/>
                <w:sz w:val="14"/>
              </w:rPr>
              <w:t>care</w:t>
            </w:r>
            <w:r>
              <w:rPr>
                <w:color w:val="231F20"/>
                <w:spacing w:val="-20"/>
                <w:w w:val="90"/>
                <w:sz w:val="14"/>
              </w:rPr>
              <w:t xml:space="preserve"> </w:t>
            </w:r>
            <w:r>
              <w:rPr>
                <w:color w:val="231F20"/>
                <w:w w:val="90"/>
                <w:sz w:val="14"/>
              </w:rPr>
              <w:t>providers</w:t>
            </w:r>
            <w:r>
              <w:rPr>
                <w:color w:val="231F20"/>
                <w:spacing w:val="-20"/>
                <w:w w:val="90"/>
                <w:sz w:val="14"/>
              </w:rPr>
              <w:t xml:space="preserve"> </w:t>
            </w:r>
            <w:r>
              <w:rPr>
                <w:color w:val="231F20"/>
                <w:w w:val="90"/>
                <w:sz w:val="14"/>
              </w:rPr>
              <w:t>trained on</w:t>
            </w:r>
            <w:r>
              <w:rPr>
                <w:color w:val="231F20"/>
                <w:spacing w:val="-21"/>
                <w:w w:val="90"/>
                <w:sz w:val="14"/>
              </w:rPr>
              <w:t xml:space="preserve"> </w:t>
            </w:r>
            <w:r>
              <w:rPr>
                <w:color w:val="231F20"/>
                <w:w w:val="90"/>
                <w:sz w:val="14"/>
              </w:rPr>
              <w:t>detection</w:t>
            </w:r>
            <w:r>
              <w:rPr>
                <w:color w:val="231F20"/>
                <w:spacing w:val="-21"/>
                <w:w w:val="90"/>
                <w:sz w:val="14"/>
              </w:rPr>
              <w:t xml:space="preserve"> </w:t>
            </w:r>
            <w:r>
              <w:rPr>
                <w:color w:val="231F20"/>
                <w:w w:val="90"/>
                <w:sz w:val="14"/>
              </w:rPr>
              <w:t>and</w:t>
            </w:r>
            <w:r>
              <w:rPr>
                <w:color w:val="231F20"/>
                <w:spacing w:val="-21"/>
                <w:w w:val="90"/>
                <w:sz w:val="14"/>
              </w:rPr>
              <w:t xml:space="preserve"> </w:t>
            </w:r>
            <w:r>
              <w:rPr>
                <w:color w:val="231F20"/>
                <w:w w:val="90"/>
                <w:sz w:val="14"/>
              </w:rPr>
              <w:t>management</w:t>
            </w:r>
            <w:r>
              <w:rPr>
                <w:color w:val="231F20"/>
                <w:spacing w:val="-20"/>
                <w:w w:val="90"/>
                <w:sz w:val="14"/>
              </w:rPr>
              <w:t xml:space="preserve"> </w:t>
            </w:r>
            <w:r>
              <w:rPr>
                <w:color w:val="231F20"/>
                <w:w w:val="90"/>
                <w:sz w:val="14"/>
              </w:rPr>
              <w:t>of</w:t>
            </w:r>
            <w:r>
              <w:rPr>
                <w:color w:val="231F20"/>
                <w:spacing w:val="-21"/>
                <w:w w:val="90"/>
                <w:sz w:val="14"/>
              </w:rPr>
              <w:t xml:space="preserve"> </w:t>
            </w:r>
            <w:r>
              <w:rPr>
                <w:color w:val="231F20"/>
                <w:w w:val="90"/>
                <w:sz w:val="14"/>
              </w:rPr>
              <w:t>GBV</w:t>
            </w:r>
            <w:r>
              <w:rPr>
                <w:color w:val="231F20"/>
                <w:spacing w:val="-21"/>
                <w:w w:val="90"/>
                <w:sz w:val="14"/>
              </w:rPr>
              <w:t xml:space="preserve"> </w:t>
            </w:r>
            <w:r>
              <w:rPr>
                <w:color w:val="231F20"/>
                <w:spacing w:val="-5"/>
                <w:w w:val="90"/>
                <w:sz w:val="14"/>
              </w:rPr>
              <w:t xml:space="preserve">and </w:t>
            </w:r>
            <w:r>
              <w:rPr>
                <w:color w:val="231F20"/>
                <w:w w:val="95"/>
                <w:sz w:val="14"/>
              </w:rPr>
              <w:t>rape/intimate partner</w:t>
            </w:r>
            <w:r>
              <w:rPr>
                <w:color w:val="231F20"/>
                <w:spacing w:val="-24"/>
                <w:w w:val="95"/>
                <w:sz w:val="14"/>
              </w:rPr>
              <w:t xml:space="preserve"> </w:t>
            </w:r>
            <w:r>
              <w:rPr>
                <w:color w:val="231F20"/>
                <w:w w:val="95"/>
                <w:sz w:val="14"/>
              </w:rPr>
              <w:t>violence</w:t>
            </w:r>
          </w:p>
          <w:p w14:paraId="672A3D6C" w14:textId="77777777" w:rsidR="009948F1" w:rsidRDefault="00BC0563">
            <w:pPr>
              <w:pStyle w:val="TableParagraph"/>
              <w:numPr>
                <w:ilvl w:val="0"/>
                <w:numId w:val="192"/>
              </w:numPr>
              <w:tabs>
                <w:tab w:val="left" w:pos="98"/>
              </w:tabs>
              <w:spacing w:before="2" w:line="261" w:lineRule="auto"/>
              <w:ind w:right="105" w:firstLine="0"/>
              <w:jc w:val="both"/>
              <w:rPr>
                <w:sz w:val="14"/>
              </w:rPr>
            </w:pPr>
            <w:r>
              <w:rPr>
                <w:color w:val="231F20"/>
                <w:w w:val="85"/>
                <w:sz w:val="14"/>
              </w:rPr>
              <w:t xml:space="preserve">Treatment and reporting protocols HTP </w:t>
            </w:r>
            <w:r>
              <w:rPr>
                <w:color w:val="231F20"/>
                <w:spacing w:val="-12"/>
                <w:w w:val="85"/>
                <w:sz w:val="14"/>
              </w:rPr>
              <w:t xml:space="preserve">&amp; </w:t>
            </w:r>
            <w:r>
              <w:rPr>
                <w:color w:val="231F20"/>
                <w:w w:val="95"/>
                <w:sz w:val="14"/>
              </w:rPr>
              <w:t>GBV</w:t>
            </w:r>
            <w:r>
              <w:rPr>
                <w:color w:val="231F20"/>
                <w:spacing w:val="-7"/>
                <w:w w:val="95"/>
                <w:sz w:val="14"/>
              </w:rPr>
              <w:t xml:space="preserve"> </w:t>
            </w:r>
            <w:r>
              <w:rPr>
                <w:color w:val="231F20"/>
                <w:w w:val="95"/>
                <w:sz w:val="14"/>
              </w:rPr>
              <w:t>established</w:t>
            </w:r>
          </w:p>
        </w:tc>
        <w:tc>
          <w:tcPr>
            <w:tcW w:w="1431" w:type="dxa"/>
            <w:tcBorders>
              <w:top w:val="single" w:sz="6" w:space="0" w:color="231F20"/>
              <w:left w:val="single" w:sz="6" w:space="0" w:color="231F20"/>
              <w:bottom w:val="single" w:sz="6" w:space="0" w:color="231F20"/>
            </w:tcBorders>
            <w:shd w:val="clear" w:color="auto" w:fill="CCE7D3"/>
          </w:tcPr>
          <w:p w14:paraId="5A83494D"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CCE7D3"/>
          </w:tcPr>
          <w:p w14:paraId="799FEC7B" w14:textId="77777777" w:rsidR="009948F1" w:rsidRDefault="009948F1">
            <w:pPr>
              <w:pStyle w:val="TableParagraph"/>
              <w:rPr>
                <w:rFonts w:ascii="Times New Roman"/>
                <w:sz w:val="10"/>
              </w:rPr>
            </w:pPr>
          </w:p>
        </w:tc>
      </w:tr>
      <w:tr w:rsidR="009948F1" w14:paraId="0B4CD29C" w14:textId="77777777">
        <w:trPr>
          <w:trHeight w:val="339"/>
        </w:trPr>
        <w:tc>
          <w:tcPr>
            <w:tcW w:w="867" w:type="dxa"/>
            <w:gridSpan w:val="2"/>
            <w:vMerge w:val="restart"/>
            <w:tcBorders>
              <w:top w:val="nil"/>
              <w:bottom w:val="single" w:sz="6" w:space="0" w:color="231F20"/>
              <w:right w:val="single" w:sz="6" w:space="0" w:color="231F20"/>
            </w:tcBorders>
          </w:tcPr>
          <w:p w14:paraId="41EE2CE7" w14:textId="77777777" w:rsidR="009948F1" w:rsidRDefault="009948F1">
            <w:pPr>
              <w:pStyle w:val="TableParagraph"/>
              <w:rPr>
                <w:rFonts w:ascii="Times New Roman"/>
                <w:sz w:val="10"/>
              </w:rPr>
            </w:pPr>
          </w:p>
        </w:tc>
        <w:tc>
          <w:tcPr>
            <w:tcW w:w="527" w:type="dxa"/>
            <w:tcBorders>
              <w:top w:val="single" w:sz="6" w:space="0" w:color="231F20"/>
              <w:left w:val="single" w:sz="6" w:space="0" w:color="231F20"/>
              <w:bottom w:val="single" w:sz="6" w:space="0" w:color="231F20"/>
              <w:right w:val="single" w:sz="6" w:space="0" w:color="231F20"/>
            </w:tcBorders>
          </w:tcPr>
          <w:p w14:paraId="693D8177" w14:textId="77777777" w:rsidR="009948F1" w:rsidRDefault="00BC0563">
            <w:pPr>
              <w:pStyle w:val="TableParagraph"/>
              <w:spacing w:before="86"/>
              <w:ind w:left="24" w:right="5"/>
              <w:jc w:val="center"/>
              <w:rPr>
                <w:sz w:val="14"/>
              </w:rPr>
            </w:pPr>
            <w:r>
              <w:rPr>
                <w:color w:val="231F20"/>
                <w:w w:val="90"/>
                <w:sz w:val="14"/>
              </w:rPr>
              <w:t>4.3.6.a</w:t>
            </w:r>
          </w:p>
        </w:tc>
        <w:tc>
          <w:tcPr>
            <w:tcW w:w="4905" w:type="dxa"/>
            <w:gridSpan w:val="2"/>
            <w:tcBorders>
              <w:top w:val="single" w:sz="6" w:space="0" w:color="231F20"/>
              <w:left w:val="single" w:sz="6" w:space="0" w:color="231F20"/>
              <w:bottom w:val="single" w:sz="6" w:space="0" w:color="231F20"/>
              <w:right w:val="single" w:sz="6" w:space="0" w:color="231F20"/>
            </w:tcBorders>
          </w:tcPr>
          <w:p w14:paraId="779CB37B" w14:textId="77777777" w:rsidR="009948F1" w:rsidRDefault="00BC0563">
            <w:pPr>
              <w:pStyle w:val="TableParagraph"/>
              <w:spacing w:before="80"/>
              <w:ind w:left="24"/>
              <w:rPr>
                <w:sz w:val="14"/>
              </w:rPr>
            </w:pPr>
            <w:r>
              <w:rPr>
                <w:color w:val="231F20"/>
                <w:w w:val="95"/>
                <w:sz w:val="14"/>
              </w:rPr>
              <w:t>Develop training manuals, treatment guidelines and job aids for HTP and GBV</w:t>
            </w:r>
          </w:p>
        </w:tc>
        <w:tc>
          <w:tcPr>
            <w:tcW w:w="1431" w:type="dxa"/>
            <w:tcBorders>
              <w:top w:val="single" w:sz="6" w:space="0" w:color="231F20"/>
              <w:left w:val="single" w:sz="6" w:space="0" w:color="231F20"/>
              <w:bottom w:val="single" w:sz="6" w:space="0" w:color="231F20"/>
              <w:right w:val="single" w:sz="6" w:space="0" w:color="231F20"/>
            </w:tcBorders>
          </w:tcPr>
          <w:p w14:paraId="519E5C2F" w14:textId="77777777" w:rsidR="009948F1" w:rsidRDefault="00BC0563">
            <w:pPr>
              <w:pStyle w:val="TableParagraph"/>
              <w:spacing w:before="86"/>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4343637F" w14:textId="77777777" w:rsidR="009948F1" w:rsidRDefault="00BC0563">
            <w:pPr>
              <w:pStyle w:val="TableParagraph"/>
              <w:spacing w:before="86"/>
              <w:ind w:left="23"/>
              <w:rPr>
                <w:sz w:val="14"/>
              </w:rPr>
            </w:pPr>
            <w:r>
              <w:rPr>
                <w:color w:val="231F20"/>
                <w:w w:val="90"/>
                <w:sz w:val="14"/>
              </w:rPr>
              <w:t>Develop training manuals</w:t>
            </w:r>
          </w:p>
        </w:tc>
      </w:tr>
      <w:tr w:rsidR="009948F1" w14:paraId="18FEB574" w14:textId="77777777">
        <w:trPr>
          <w:trHeight w:val="327"/>
        </w:trPr>
        <w:tc>
          <w:tcPr>
            <w:tcW w:w="867" w:type="dxa"/>
            <w:gridSpan w:val="2"/>
            <w:vMerge/>
            <w:tcBorders>
              <w:top w:val="nil"/>
              <w:bottom w:val="single" w:sz="6" w:space="0" w:color="231F20"/>
              <w:right w:val="single" w:sz="6" w:space="0" w:color="231F20"/>
            </w:tcBorders>
          </w:tcPr>
          <w:p w14:paraId="1D386B7D"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18805276" w14:textId="77777777" w:rsidR="009948F1" w:rsidRDefault="00BC0563">
            <w:pPr>
              <w:pStyle w:val="TableParagraph"/>
              <w:spacing w:before="80"/>
              <w:ind w:left="24" w:right="5"/>
              <w:jc w:val="center"/>
              <w:rPr>
                <w:sz w:val="14"/>
              </w:rPr>
            </w:pPr>
            <w:r>
              <w:rPr>
                <w:color w:val="231F20"/>
                <w:w w:val="90"/>
                <w:sz w:val="14"/>
              </w:rPr>
              <w:t>4.3.6.b</w:t>
            </w:r>
          </w:p>
        </w:tc>
        <w:tc>
          <w:tcPr>
            <w:tcW w:w="4905" w:type="dxa"/>
            <w:gridSpan w:val="2"/>
            <w:tcBorders>
              <w:top w:val="single" w:sz="6" w:space="0" w:color="231F20"/>
              <w:left w:val="single" w:sz="6" w:space="0" w:color="231F20"/>
              <w:bottom w:val="single" w:sz="6" w:space="0" w:color="231F20"/>
              <w:right w:val="single" w:sz="6" w:space="0" w:color="231F20"/>
            </w:tcBorders>
          </w:tcPr>
          <w:p w14:paraId="0DE82740" w14:textId="77777777" w:rsidR="009948F1" w:rsidRDefault="00BC0563">
            <w:pPr>
              <w:pStyle w:val="TableParagraph"/>
              <w:spacing w:line="158" w:lineRule="exact"/>
              <w:ind w:left="24"/>
              <w:rPr>
                <w:sz w:val="14"/>
              </w:rPr>
            </w:pPr>
            <w:r>
              <w:rPr>
                <w:color w:val="231F20"/>
                <w:w w:val="90"/>
                <w:sz w:val="14"/>
              </w:rPr>
              <w:t>Train health care providers in the detection and management of GBV and rape/intimate</w:t>
            </w:r>
          </w:p>
          <w:p w14:paraId="1E368670" w14:textId="77777777" w:rsidR="009948F1" w:rsidRDefault="00BC0563">
            <w:pPr>
              <w:pStyle w:val="TableParagraph"/>
              <w:spacing w:before="15" w:line="134" w:lineRule="exact"/>
              <w:ind w:left="24"/>
              <w:rPr>
                <w:sz w:val="14"/>
              </w:rPr>
            </w:pPr>
            <w:r>
              <w:rPr>
                <w:color w:val="231F20"/>
                <w:w w:val="95"/>
                <w:sz w:val="14"/>
              </w:rPr>
              <w:t>partner violence</w:t>
            </w:r>
          </w:p>
        </w:tc>
        <w:tc>
          <w:tcPr>
            <w:tcW w:w="1431" w:type="dxa"/>
            <w:tcBorders>
              <w:top w:val="single" w:sz="6" w:space="0" w:color="231F20"/>
              <w:left w:val="single" w:sz="6" w:space="0" w:color="231F20"/>
              <w:bottom w:val="single" w:sz="6" w:space="0" w:color="231F20"/>
              <w:right w:val="single" w:sz="6" w:space="0" w:color="231F20"/>
            </w:tcBorders>
          </w:tcPr>
          <w:p w14:paraId="2CD03567" w14:textId="77777777" w:rsidR="009948F1" w:rsidRDefault="00BC0563">
            <w:pPr>
              <w:pStyle w:val="TableParagraph"/>
              <w:spacing w:before="80"/>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4A9D8B88" w14:textId="77777777" w:rsidR="009948F1" w:rsidRDefault="00BC0563">
            <w:pPr>
              <w:pStyle w:val="TableParagraph"/>
              <w:spacing w:before="80"/>
              <w:ind w:left="23"/>
              <w:rPr>
                <w:sz w:val="14"/>
              </w:rPr>
            </w:pPr>
            <w:r>
              <w:rPr>
                <w:color w:val="231F20"/>
                <w:w w:val="90"/>
                <w:sz w:val="14"/>
              </w:rPr>
              <w:t>Train</w:t>
            </w:r>
            <w:r>
              <w:rPr>
                <w:color w:val="231F20"/>
                <w:spacing w:val="-23"/>
                <w:w w:val="90"/>
                <w:sz w:val="14"/>
              </w:rPr>
              <w:t xml:space="preserve"> </w:t>
            </w:r>
            <w:r>
              <w:rPr>
                <w:color w:val="231F20"/>
                <w:w w:val="90"/>
                <w:sz w:val="14"/>
              </w:rPr>
              <w:t>Health</w:t>
            </w:r>
            <w:r>
              <w:rPr>
                <w:color w:val="231F20"/>
                <w:spacing w:val="-22"/>
                <w:w w:val="90"/>
                <w:sz w:val="14"/>
              </w:rPr>
              <w:t xml:space="preserve"> </w:t>
            </w:r>
            <w:r>
              <w:rPr>
                <w:color w:val="231F20"/>
                <w:w w:val="90"/>
                <w:sz w:val="14"/>
              </w:rPr>
              <w:t>care</w:t>
            </w:r>
            <w:r>
              <w:rPr>
                <w:color w:val="231F20"/>
                <w:spacing w:val="-22"/>
                <w:w w:val="90"/>
                <w:sz w:val="14"/>
              </w:rPr>
              <w:t xml:space="preserve"> </w:t>
            </w:r>
            <w:r>
              <w:rPr>
                <w:color w:val="231F20"/>
                <w:w w:val="90"/>
                <w:sz w:val="14"/>
              </w:rPr>
              <w:t>providers</w:t>
            </w:r>
          </w:p>
        </w:tc>
      </w:tr>
      <w:tr w:rsidR="009948F1" w14:paraId="48DDAEB7" w14:textId="77777777">
        <w:trPr>
          <w:trHeight w:val="344"/>
        </w:trPr>
        <w:tc>
          <w:tcPr>
            <w:tcW w:w="867" w:type="dxa"/>
            <w:gridSpan w:val="2"/>
            <w:vMerge/>
            <w:tcBorders>
              <w:top w:val="nil"/>
              <w:bottom w:val="single" w:sz="6" w:space="0" w:color="231F20"/>
              <w:right w:val="single" w:sz="6" w:space="0" w:color="231F20"/>
            </w:tcBorders>
          </w:tcPr>
          <w:p w14:paraId="7E83DCD5"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23BBD257" w14:textId="77777777" w:rsidR="009948F1" w:rsidRDefault="00BC0563">
            <w:pPr>
              <w:pStyle w:val="TableParagraph"/>
              <w:spacing w:before="88"/>
              <w:ind w:left="24" w:right="5"/>
              <w:jc w:val="center"/>
              <w:rPr>
                <w:sz w:val="14"/>
              </w:rPr>
            </w:pPr>
            <w:r>
              <w:rPr>
                <w:color w:val="231F20"/>
                <w:w w:val="95"/>
                <w:sz w:val="14"/>
              </w:rPr>
              <w:t>4.3.6.c</w:t>
            </w:r>
          </w:p>
        </w:tc>
        <w:tc>
          <w:tcPr>
            <w:tcW w:w="4905" w:type="dxa"/>
            <w:gridSpan w:val="2"/>
            <w:tcBorders>
              <w:top w:val="single" w:sz="6" w:space="0" w:color="231F20"/>
              <w:left w:val="single" w:sz="6" w:space="0" w:color="231F20"/>
              <w:bottom w:val="single" w:sz="6" w:space="0" w:color="231F20"/>
              <w:right w:val="single" w:sz="6" w:space="0" w:color="231F20"/>
            </w:tcBorders>
          </w:tcPr>
          <w:p w14:paraId="778109ED" w14:textId="77777777" w:rsidR="009948F1" w:rsidRDefault="00BC0563">
            <w:pPr>
              <w:pStyle w:val="TableParagraph"/>
              <w:spacing w:before="83"/>
              <w:ind w:left="24"/>
              <w:rPr>
                <w:sz w:val="14"/>
              </w:rPr>
            </w:pPr>
            <w:r>
              <w:rPr>
                <w:color w:val="231F20"/>
                <w:w w:val="95"/>
                <w:sz w:val="14"/>
              </w:rPr>
              <w:t>Establish treatment and reporting protocols</w:t>
            </w:r>
          </w:p>
        </w:tc>
        <w:tc>
          <w:tcPr>
            <w:tcW w:w="1431" w:type="dxa"/>
            <w:tcBorders>
              <w:top w:val="single" w:sz="6" w:space="0" w:color="231F20"/>
              <w:left w:val="single" w:sz="6" w:space="0" w:color="231F20"/>
              <w:bottom w:val="single" w:sz="6" w:space="0" w:color="231F20"/>
              <w:right w:val="single" w:sz="6" w:space="0" w:color="231F20"/>
            </w:tcBorders>
          </w:tcPr>
          <w:p w14:paraId="2C66BD63" w14:textId="77777777" w:rsidR="009948F1" w:rsidRDefault="00BC0563">
            <w:pPr>
              <w:pStyle w:val="TableParagraph"/>
              <w:spacing w:before="88"/>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7C7C5534" w14:textId="77777777" w:rsidR="009948F1" w:rsidRDefault="00BC0563">
            <w:pPr>
              <w:pStyle w:val="TableParagraph"/>
              <w:spacing w:before="88"/>
              <w:ind w:left="23"/>
              <w:rPr>
                <w:sz w:val="14"/>
              </w:rPr>
            </w:pPr>
            <w:r>
              <w:rPr>
                <w:color w:val="231F20"/>
                <w:w w:val="95"/>
                <w:sz w:val="14"/>
              </w:rPr>
              <w:t>No cost</w:t>
            </w:r>
          </w:p>
        </w:tc>
      </w:tr>
      <w:tr w:rsidR="009948F1" w14:paraId="66CA86BA" w14:textId="77777777">
        <w:trPr>
          <w:trHeight w:val="352"/>
        </w:trPr>
        <w:tc>
          <w:tcPr>
            <w:tcW w:w="867" w:type="dxa"/>
            <w:gridSpan w:val="2"/>
            <w:vMerge/>
            <w:tcBorders>
              <w:top w:val="nil"/>
              <w:bottom w:val="single" w:sz="6" w:space="0" w:color="231F20"/>
              <w:right w:val="single" w:sz="6" w:space="0" w:color="231F20"/>
            </w:tcBorders>
          </w:tcPr>
          <w:p w14:paraId="7B848203" w14:textId="77777777" w:rsidR="009948F1" w:rsidRDefault="009948F1">
            <w:pPr>
              <w:rPr>
                <w:sz w:val="2"/>
                <w:szCs w:val="2"/>
              </w:rPr>
            </w:pPr>
          </w:p>
        </w:tc>
        <w:tc>
          <w:tcPr>
            <w:tcW w:w="527" w:type="dxa"/>
            <w:tcBorders>
              <w:top w:val="single" w:sz="6" w:space="0" w:color="231F20"/>
              <w:left w:val="single" w:sz="6" w:space="0" w:color="231F20"/>
              <w:bottom w:val="single" w:sz="6" w:space="0" w:color="231F20"/>
              <w:right w:val="single" w:sz="6" w:space="0" w:color="231F20"/>
            </w:tcBorders>
          </w:tcPr>
          <w:p w14:paraId="257C9DA2" w14:textId="77777777" w:rsidR="009948F1" w:rsidRDefault="00BC0563">
            <w:pPr>
              <w:pStyle w:val="TableParagraph"/>
              <w:spacing w:before="93"/>
              <w:ind w:left="24" w:right="5"/>
              <w:jc w:val="center"/>
              <w:rPr>
                <w:sz w:val="14"/>
              </w:rPr>
            </w:pPr>
            <w:r>
              <w:rPr>
                <w:color w:val="231F20"/>
                <w:w w:val="90"/>
                <w:sz w:val="14"/>
              </w:rPr>
              <w:t>4.3.6.d</w:t>
            </w:r>
          </w:p>
        </w:tc>
        <w:tc>
          <w:tcPr>
            <w:tcW w:w="4905" w:type="dxa"/>
            <w:gridSpan w:val="2"/>
            <w:tcBorders>
              <w:top w:val="single" w:sz="6" w:space="0" w:color="231F20"/>
              <w:left w:val="single" w:sz="6" w:space="0" w:color="231F20"/>
              <w:bottom w:val="single" w:sz="6" w:space="0" w:color="231F20"/>
              <w:right w:val="single" w:sz="6" w:space="0" w:color="231F20"/>
            </w:tcBorders>
          </w:tcPr>
          <w:p w14:paraId="38B82319" w14:textId="77777777" w:rsidR="009948F1" w:rsidRDefault="00BC0563">
            <w:pPr>
              <w:pStyle w:val="TableParagraph"/>
              <w:spacing w:line="160" w:lineRule="exact"/>
              <w:ind w:left="24"/>
              <w:rPr>
                <w:sz w:val="14"/>
              </w:rPr>
            </w:pPr>
            <w:r>
              <w:rPr>
                <w:color w:val="231F20"/>
                <w:w w:val="95"/>
                <w:sz w:val="14"/>
              </w:rPr>
              <w:t>Establish</w:t>
            </w:r>
            <w:r>
              <w:rPr>
                <w:color w:val="231F20"/>
                <w:spacing w:val="-25"/>
                <w:w w:val="95"/>
                <w:sz w:val="14"/>
              </w:rPr>
              <w:t xml:space="preserve"> </w:t>
            </w:r>
            <w:r>
              <w:rPr>
                <w:color w:val="231F20"/>
                <w:w w:val="95"/>
                <w:sz w:val="14"/>
              </w:rPr>
              <w:t>linkages</w:t>
            </w:r>
            <w:r>
              <w:rPr>
                <w:color w:val="231F20"/>
                <w:spacing w:val="-25"/>
                <w:w w:val="95"/>
                <w:sz w:val="14"/>
              </w:rPr>
              <w:t xml:space="preserve"> </w:t>
            </w:r>
            <w:r>
              <w:rPr>
                <w:color w:val="231F20"/>
                <w:w w:val="95"/>
                <w:sz w:val="14"/>
              </w:rPr>
              <w:t>between</w:t>
            </w:r>
            <w:r>
              <w:rPr>
                <w:color w:val="231F20"/>
                <w:spacing w:val="-25"/>
                <w:w w:val="95"/>
                <w:sz w:val="14"/>
              </w:rPr>
              <w:t xml:space="preserve"> </w:t>
            </w:r>
            <w:r>
              <w:rPr>
                <w:color w:val="231F20"/>
                <w:w w:val="95"/>
                <w:sz w:val="14"/>
              </w:rPr>
              <w:t>health</w:t>
            </w:r>
            <w:r>
              <w:rPr>
                <w:color w:val="231F20"/>
                <w:spacing w:val="-25"/>
                <w:w w:val="95"/>
                <w:sz w:val="14"/>
              </w:rPr>
              <w:t xml:space="preserve"> </w:t>
            </w:r>
            <w:r>
              <w:rPr>
                <w:color w:val="231F20"/>
                <w:w w:val="95"/>
                <w:sz w:val="14"/>
              </w:rPr>
              <w:t>care</w:t>
            </w:r>
            <w:r>
              <w:rPr>
                <w:color w:val="231F20"/>
                <w:spacing w:val="-25"/>
                <w:w w:val="95"/>
                <w:sz w:val="14"/>
              </w:rPr>
              <w:t xml:space="preserve"> </w:t>
            </w:r>
            <w:r>
              <w:rPr>
                <w:color w:val="231F20"/>
                <w:w w:val="95"/>
                <w:sz w:val="14"/>
              </w:rPr>
              <w:t>providers,</w:t>
            </w:r>
            <w:r>
              <w:rPr>
                <w:color w:val="231F20"/>
                <w:spacing w:val="-25"/>
                <w:w w:val="95"/>
                <w:sz w:val="14"/>
              </w:rPr>
              <w:t xml:space="preserve"> </w:t>
            </w:r>
            <w:r>
              <w:rPr>
                <w:color w:val="231F20"/>
                <w:w w:val="95"/>
                <w:sz w:val="14"/>
              </w:rPr>
              <w:t>law</w:t>
            </w:r>
            <w:r>
              <w:rPr>
                <w:color w:val="231F20"/>
                <w:spacing w:val="-25"/>
                <w:w w:val="95"/>
                <w:sz w:val="14"/>
              </w:rPr>
              <w:t xml:space="preserve"> </w:t>
            </w:r>
            <w:r>
              <w:rPr>
                <w:color w:val="231F20"/>
                <w:w w:val="95"/>
                <w:sz w:val="14"/>
              </w:rPr>
              <w:t>enforcement</w:t>
            </w:r>
            <w:r>
              <w:rPr>
                <w:color w:val="231F20"/>
                <w:spacing w:val="-25"/>
                <w:w w:val="95"/>
                <w:sz w:val="14"/>
              </w:rPr>
              <w:t xml:space="preserve"> </w:t>
            </w:r>
            <w:r>
              <w:rPr>
                <w:color w:val="231F20"/>
                <w:w w:val="95"/>
                <w:sz w:val="14"/>
              </w:rPr>
              <w:t>agencies,</w:t>
            </w:r>
            <w:r>
              <w:rPr>
                <w:color w:val="231F20"/>
                <w:spacing w:val="-25"/>
                <w:w w:val="95"/>
                <w:sz w:val="14"/>
              </w:rPr>
              <w:t xml:space="preserve"> </w:t>
            </w:r>
            <w:r>
              <w:rPr>
                <w:color w:val="231F20"/>
                <w:w w:val="95"/>
                <w:sz w:val="14"/>
              </w:rPr>
              <w:t>social</w:t>
            </w:r>
          </w:p>
          <w:p w14:paraId="0B27485B" w14:textId="77777777" w:rsidR="009948F1" w:rsidRDefault="00BC0563">
            <w:pPr>
              <w:pStyle w:val="TableParagraph"/>
              <w:spacing w:before="15" w:line="158" w:lineRule="exact"/>
              <w:ind w:left="24"/>
              <w:rPr>
                <w:sz w:val="14"/>
              </w:rPr>
            </w:pPr>
            <w:r>
              <w:rPr>
                <w:color w:val="231F20"/>
                <w:w w:val="95"/>
                <w:sz w:val="14"/>
              </w:rPr>
              <w:t xml:space="preserve">services </w:t>
            </w:r>
            <w:proofErr w:type="spellStart"/>
            <w:r>
              <w:rPr>
                <w:color w:val="231F20"/>
                <w:w w:val="95"/>
                <w:sz w:val="14"/>
              </w:rPr>
              <w:t>etc</w:t>
            </w:r>
            <w:proofErr w:type="spellEnd"/>
            <w:r>
              <w:rPr>
                <w:color w:val="231F20"/>
                <w:w w:val="95"/>
                <w:sz w:val="14"/>
              </w:rPr>
              <w:t xml:space="preserve"> for comprehensive service provision for GBV</w:t>
            </w:r>
          </w:p>
        </w:tc>
        <w:tc>
          <w:tcPr>
            <w:tcW w:w="1431" w:type="dxa"/>
            <w:tcBorders>
              <w:top w:val="single" w:sz="6" w:space="0" w:color="231F20"/>
              <w:left w:val="single" w:sz="6" w:space="0" w:color="231F20"/>
              <w:bottom w:val="single" w:sz="6" w:space="0" w:color="231F20"/>
              <w:right w:val="single" w:sz="6" w:space="0" w:color="231F20"/>
            </w:tcBorders>
          </w:tcPr>
          <w:p w14:paraId="7D0F8F77" w14:textId="77777777" w:rsidR="009948F1" w:rsidRDefault="00BC0563">
            <w:pPr>
              <w:pStyle w:val="TableParagraph"/>
              <w:spacing w:before="93"/>
              <w:ind w:left="24"/>
              <w:rPr>
                <w:sz w:val="14"/>
              </w:rPr>
            </w:pPr>
            <w:r>
              <w:rPr>
                <w:color w:val="231F20"/>
                <w:w w:val="95"/>
                <w:sz w:val="14"/>
              </w:rPr>
              <w:t>Lack of funds</w:t>
            </w:r>
          </w:p>
        </w:tc>
        <w:tc>
          <w:tcPr>
            <w:tcW w:w="1507" w:type="dxa"/>
            <w:tcBorders>
              <w:top w:val="single" w:sz="6" w:space="0" w:color="231F20"/>
              <w:left w:val="single" w:sz="6" w:space="0" w:color="231F20"/>
              <w:bottom w:val="single" w:sz="6" w:space="0" w:color="231F20"/>
              <w:right w:val="single" w:sz="6" w:space="0" w:color="231F20"/>
            </w:tcBorders>
          </w:tcPr>
          <w:p w14:paraId="58FFC236" w14:textId="77777777" w:rsidR="009948F1" w:rsidRDefault="00BC0563">
            <w:pPr>
              <w:pStyle w:val="TableParagraph"/>
              <w:spacing w:before="93"/>
              <w:ind w:left="23"/>
              <w:rPr>
                <w:sz w:val="14"/>
              </w:rPr>
            </w:pPr>
            <w:r>
              <w:rPr>
                <w:color w:val="231F20"/>
                <w:w w:val="95"/>
                <w:sz w:val="14"/>
              </w:rPr>
              <w:t>No cost</w:t>
            </w:r>
          </w:p>
        </w:tc>
      </w:tr>
      <w:tr w:rsidR="009948F1" w14:paraId="66022743" w14:textId="77777777">
        <w:trPr>
          <w:trHeight w:val="716"/>
        </w:trPr>
        <w:tc>
          <w:tcPr>
            <w:tcW w:w="411" w:type="dxa"/>
            <w:tcBorders>
              <w:top w:val="single" w:sz="6" w:space="0" w:color="231F20"/>
              <w:bottom w:val="single" w:sz="6" w:space="0" w:color="231F20"/>
              <w:right w:val="single" w:sz="6" w:space="0" w:color="231F20"/>
            </w:tcBorders>
            <w:shd w:val="clear" w:color="auto" w:fill="FFF200"/>
          </w:tcPr>
          <w:p w14:paraId="029F8A1B" w14:textId="77777777" w:rsidR="009948F1" w:rsidRDefault="009948F1">
            <w:pPr>
              <w:pStyle w:val="TableParagraph"/>
              <w:rPr>
                <w:sz w:val="14"/>
              </w:rPr>
            </w:pPr>
          </w:p>
          <w:p w14:paraId="3D81DCF0" w14:textId="77777777" w:rsidR="009948F1" w:rsidRDefault="00BC0563">
            <w:pPr>
              <w:pStyle w:val="TableParagraph"/>
              <w:spacing w:before="115"/>
              <w:ind w:left="191"/>
              <w:rPr>
                <w:b/>
                <w:sz w:val="14"/>
              </w:rPr>
            </w:pPr>
            <w:r>
              <w:rPr>
                <w:b/>
                <w:color w:val="231F20"/>
                <w:w w:val="95"/>
                <w:sz w:val="14"/>
              </w:rPr>
              <w:t>4.4</w:t>
            </w:r>
          </w:p>
        </w:tc>
        <w:tc>
          <w:tcPr>
            <w:tcW w:w="5888" w:type="dxa"/>
            <w:gridSpan w:val="4"/>
            <w:tcBorders>
              <w:top w:val="single" w:sz="6" w:space="0" w:color="231F20"/>
              <w:left w:val="single" w:sz="6" w:space="0" w:color="231F20"/>
              <w:bottom w:val="single" w:sz="6" w:space="0" w:color="231F20"/>
            </w:tcBorders>
            <w:shd w:val="clear" w:color="auto" w:fill="FFF200"/>
          </w:tcPr>
          <w:p w14:paraId="3A05C6B2" w14:textId="77777777" w:rsidR="009948F1" w:rsidRDefault="009948F1">
            <w:pPr>
              <w:pStyle w:val="TableParagraph"/>
              <w:spacing w:before="7"/>
              <w:rPr>
                <w:sz w:val="15"/>
              </w:rPr>
            </w:pPr>
          </w:p>
          <w:p w14:paraId="0AA46D8A" w14:textId="77777777" w:rsidR="009948F1" w:rsidRDefault="00BC0563">
            <w:pPr>
              <w:pStyle w:val="TableParagraph"/>
              <w:spacing w:line="268" w:lineRule="auto"/>
              <w:ind w:left="24" w:right="15" w:firstLine="33"/>
              <w:rPr>
                <w:b/>
                <w:sz w:val="14"/>
              </w:rPr>
            </w:pPr>
            <w:r>
              <w:rPr>
                <w:b/>
                <w:color w:val="231F20"/>
                <w:w w:val="85"/>
                <w:sz w:val="14"/>
              </w:rPr>
              <w:t xml:space="preserve">Reduce neonatal and childhood mortality and promote optimal growth, protection and development of </w:t>
            </w:r>
            <w:r>
              <w:rPr>
                <w:b/>
                <w:color w:val="231F20"/>
                <w:w w:val="95"/>
                <w:sz w:val="14"/>
              </w:rPr>
              <w:t>all newborns and children under five years of age.</w:t>
            </w:r>
          </w:p>
        </w:tc>
        <w:tc>
          <w:tcPr>
            <w:tcW w:w="1431" w:type="dxa"/>
            <w:tcBorders>
              <w:top w:val="single" w:sz="6" w:space="0" w:color="231F20"/>
              <w:bottom w:val="single" w:sz="6" w:space="0" w:color="231F20"/>
            </w:tcBorders>
            <w:shd w:val="clear" w:color="auto" w:fill="FFF200"/>
          </w:tcPr>
          <w:p w14:paraId="610AF690"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FFF200"/>
          </w:tcPr>
          <w:p w14:paraId="7CA1CB53" w14:textId="77777777" w:rsidR="009948F1" w:rsidRDefault="009948F1">
            <w:pPr>
              <w:pStyle w:val="TableParagraph"/>
              <w:rPr>
                <w:rFonts w:ascii="Times New Roman"/>
                <w:sz w:val="10"/>
              </w:rPr>
            </w:pPr>
          </w:p>
        </w:tc>
      </w:tr>
      <w:tr w:rsidR="009948F1" w14:paraId="2FAEA888" w14:textId="77777777">
        <w:trPr>
          <w:trHeight w:val="1481"/>
        </w:trPr>
        <w:tc>
          <w:tcPr>
            <w:tcW w:w="411" w:type="dxa"/>
            <w:tcBorders>
              <w:top w:val="single" w:sz="6" w:space="0" w:color="231F20"/>
              <w:bottom w:val="single" w:sz="6" w:space="0" w:color="231F20"/>
              <w:right w:val="single" w:sz="6" w:space="0" w:color="231F20"/>
            </w:tcBorders>
          </w:tcPr>
          <w:p w14:paraId="7BA915C5" w14:textId="77777777" w:rsidR="009948F1" w:rsidRDefault="009948F1">
            <w:pPr>
              <w:pStyle w:val="TableParagraph"/>
              <w:rPr>
                <w:rFonts w:ascii="Times New Roman"/>
                <w:sz w:val="10"/>
              </w:rPr>
            </w:pPr>
          </w:p>
        </w:tc>
        <w:tc>
          <w:tcPr>
            <w:tcW w:w="456" w:type="dxa"/>
            <w:tcBorders>
              <w:top w:val="single" w:sz="6" w:space="0" w:color="231F20"/>
              <w:left w:val="single" w:sz="6" w:space="0" w:color="231F20"/>
              <w:bottom w:val="single" w:sz="6" w:space="0" w:color="231F20"/>
              <w:right w:val="single" w:sz="6" w:space="0" w:color="231F20"/>
            </w:tcBorders>
            <w:shd w:val="clear" w:color="auto" w:fill="CCE7D3"/>
          </w:tcPr>
          <w:p w14:paraId="20B51E01" w14:textId="77777777" w:rsidR="009948F1" w:rsidRDefault="009948F1">
            <w:pPr>
              <w:pStyle w:val="TableParagraph"/>
              <w:rPr>
                <w:sz w:val="14"/>
              </w:rPr>
            </w:pPr>
          </w:p>
          <w:p w14:paraId="5F4CD485" w14:textId="77777777" w:rsidR="009948F1" w:rsidRDefault="009948F1">
            <w:pPr>
              <w:pStyle w:val="TableParagraph"/>
              <w:rPr>
                <w:sz w:val="14"/>
              </w:rPr>
            </w:pPr>
          </w:p>
          <w:p w14:paraId="2181C916" w14:textId="77777777" w:rsidR="009948F1" w:rsidRDefault="009948F1">
            <w:pPr>
              <w:pStyle w:val="TableParagraph"/>
              <w:rPr>
                <w:sz w:val="14"/>
              </w:rPr>
            </w:pPr>
          </w:p>
          <w:p w14:paraId="0B0C1182" w14:textId="77777777" w:rsidR="009948F1" w:rsidRDefault="009948F1">
            <w:pPr>
              <w:pStyle w:val="TableParagraph"/>
              <w:spacing w:before="1"/>
              <w:rPr>
                <w:sz w:val="15"/>
              </w:rPr>
            </w:pPr>
          </w:p>
          <w:p w14:paraId="69086AC3" w14:textId="77777777" w:rsidR="009948F1" w:rsidRDefault="00BC0563">
            <w:pPr>
              <w:pStyle w:val="TableParagraph"/>
              <w:ind w:left="57"/>
              <w:rPr>
                <w:sz w:val="14"/>
              </w:rPr>
            </w:pPr>
            <w:r>
              <w:rPr>
                <w:color w:val="231F20"/>
                <w:w w:val="95"/>
                <w:sz w:val="14"/>
              </w:rPr>
              <w:t>4.4.1</w:t>
            </w:r>
          </w:p>
        </w:tc>
        <w:tc>
          <w:tcPr>
            <w:tcW w:w="3043" w:type="dxa"/>
            <w:gridSpan w:val="2"/>
            <w:tcBorders>
              <w:top w:val="single" w:sz="6" w:space="0" w:color="231F20"/>
              <w:left w:val="single" w:sz="6" w:space="0" w:color="231F20"/>
              <w:bottom w:val="single" w:sz="6" w:space="0" w:color="231F20"/>
              <w:right w:val="single" w:sz="6" w:space="0" w:color="231F20"/>
            </w:tcBorders>
            <w:shd w:val="clear" w:color="auto" w:fill="CCE7D3"/>
          </w:tcPr>
          <w:p w14:paraId="02F4A012" w14:textId="77777777" w:rsidR="009948F1" w:rsidRDefault="009948F1">
            <w:pPr>
              <w:pStyle w:val="TableParagraph"/>
              <w:rPr>
                <w:sz w:val="14"/>
              </w:rPr>
            </w:pPr>
          </w:p>
          <w:p w14:paraId="7DAD9539" w14:textId="77777777" w:rsidR="009948F1" w:rsidRDefault="009948F1">
            <w:pPr>
              <w:pStyle w:val="TableParagraph"/>
              <w:rPr>
                <w:sz w:val="14"/>
              </w:rPr>
            </w:pPr>
          </w:p>
          <w:p w14:paraId="07429EE1" w14:textId="77777777" w:rsidR="009948F1" w:rsidRDefault="009948F1">
            <w:pPr>
              <w:pStyle w:val="TableParagraph"/>
              <w:rPr>
                <w:sz w:val="14"/>
              </w:rPr>
            </w:pPr>
          </w:p>
          <w:p w14:paraId="21D5C8D3" w14:textId="77777777" w:rsidR="009948F1" w:rsidRDefault="009948F1">
            <w:pPr>
              <w:pStyle w:val="TableParagraph"/>
              <w:spacing w:before="7"/>
              <w:rPr>
                <w:sz w:val="14"/>
              </w:rPr>
            </w:pPr>
          </w:p>
          <w:p w14:paraId="21860B24" w14:textId="77777777" w:rsidR="009948F1" w:rsidRDefault="00BC0563">
            <w:pPr>
              <w:pStyle w:val="TableParagraph"/>
              <w:ind w:left="57"/>
              <w:rPr>
                <w:sz w:val="14"/>
              </w:rPr>
            </w:pPr>
            <w:r>
              <w:rPr>
                <w:color w:val="231F20"/>
                <w:w w:val="95"/>
                <w:sz w:val="14"/>
              </w:rPr>
              <w:t>Strengthen postnatal and newborn care</w:t>
            </w:r>
          </w:p>
        </w:tc>
        <w:tc>
          <w:tcPr>
            <w:tcW w:w="2389" w:type="dxa"/>
            <w:tcBorders>
              <w:top w:val="single" w:sz="6" w:space="0" w:color="231F20"/>
              <w:left w:val="single" w:sz="6" w:space="0" w:color="231F20"/>
              <w:bottom w:val="single" w:sz="6" w:space="0" w:color="231F20"/>
              <w:right w:val="single" w:sz="6" w:space="0" w:color="231F20"/>
            </w:tcBorders>
            <w:shd w:val="clear" w:color="auto" w:fill="CCE7D3"/>
          </w:tcPr>
          <w:p w14:paraId="2E66184E" w14:textId="77777777" w:rsidR="009948F1" w:rsidRDefault="00BC0563">
            <w:pPr>
              <w:pStyle w:val="TableParagraph"/>
              <w:numPr>
                <w:ilvl w:val="0"/>
                <w:numId w:val="191"/>
              </w:numPr>
              <w:tabs>
                <w:tab w:val="left" w:pos="93"/>
              </w:tabs>
              <w:spacing w:before="41" w:line="261" w:lineRule="auto"/>
              <w:ind w:right="63" w:firstLine="0"/>
              <w:rPr>
                <w:sz w:val="14"/>
              </w:rPr>
            </w:pPr>
            <w:r>
              <w:rPr>
                <w:color w:val="231F20"/>
                <w:w w:val="90"/>
                <w:sz w:val="14"/>
              </w:rPr>
              <w:t>At</w:t>
            </w:r>
            <w:r>
              <w:rPr>
                <w:color w:val="231F20"/>
                <w:spacing w:val="-18"/>
                <w:w w:val="90"/>
                <w:sz w:val="14"/>
              </w:rPr>
              <w:t xml:space="preserve"> </w:t>
            </w:r>
            <w:r>
              <w:rPr>
                <w:color w:val="231F20"/>
                <w:w w:val="90"/>
                <w:sz w:val="14"/>
              </w:rPr>
              <w:t>least</w:t>
            </w:r>
            <w:r>
              <w:rPr>
                <w:color w:val="231F20"/>
                <w:spacing w:val="-18"/>
                <w:w w:val="90"/>
                <w:sz w:val="14"/>
              </w:rPr>
              <w:t xml:space="preserve"> </w:t>
            </w:r>
            <w:r>
              <w:rPr>
                <w:color w:val="231F20"/>
                <w:w w:val="90"/>
                <w:sz w:val="14"/>
              </w:rPr>
              <w:t>385</w:t>
            </w:r>
            <w:r>
              <w:rPr>
                <w:color w:val="231F20"/>
                <w:spacing w:val="-17"/>
                <w:w w:val="90"/>
                <w:sz w:val="14"/>
              </w:rPr>
              <w:t xml:space="preserve"> </w:t>
            </w:r>
            <w:r>
              <w:rPr>
                <w:color w:val="231F20"/>
                <w:w w:val="90"/>
                <w:sz w:val="14"/>
              </w:rPr>
              <w:t>Midwives</w:t>
            </w:r>
            <w:r>
              <w:rPr>
                <w:color w:val="231F20"/>
                <w:spacing w:val="-18"/>
                <w:w w:val="90"/>
                <w:sz w:val="14"/>
              </w:rPr>
              <w:t xml:space="preserve"> </w:t>
            </w:r>
            <w:r>
              <w:rPr>
                <w:color w:val="231F20"/>
                <w:w w:val="90"/>
                <w:sz w:val="14"/>
              </w:rPr>
              <w:t>trained</w:t>
            </w:r>
            <w:r>
              <w:rPr>
                <w:color w:val="231F20"/>
                <w:spacing w:val="-18"/>
                <w:w w:val="90"/>
                <w:sz w:val="14"/>
              </w:rPr>
              <w:t xml:space="preserve"> </w:t>
            </w:r>
            <w:r>
              <w:rPr>
                <w:color w:val="231F20"/>
                <w:w w:val="90"/>
                <w:sz w:val="14"/>
              </w:rPr>
              <w:t>on</w:t>
            </w:r>
            <w:r>
              <w:rPr>
                <w:color w:val="231F20"/>
                <w:spacing w:val="-17"/>
                <w:w w:val="90"/>
                <w:sz w:val="14"/>
              </w:rPr>
              <w:t xml:space="preserve"> </w:t>
            </w:r>
            <w:r>
              <w:rPr>
                <w:color w:val="231F20"/>
                <w:w w:val="90"/>
                <w:sz w:val="14"/>
              </w:rPr>
              <w:t>follow</w:t>
            </w:r>
            <w:r>
              <w:rPr>
                <w:color w:val="231F20"/>
                <w:spacing w:val="-18"/>
                <w:w w:val="90"/>
                <w:sz w:val="14"/>
              </w:rPr>
              <w:t xml:space="preserve"> </w:t>
            </w:r>
            <w:r>
              <w:rPr>
                <w:color w:val="231F20"/>
                <w:spacing w:val="-7"/>
                <w:w w:val="90"/>
                <w:sz w:val="14"/>
              </w:rPr>
              <w:t xml:space="preserve">up </w:t>
            </w:r>
            <w:r>
              <w:rPr>
                <w:color w:val="231F20"/>
                <w:w w:val="95"/>
                <w:sz w:val="14"/>
              </w:rPr>
              <w:t>care of Postnatal</w:t>
            </w:r>
            <w:r>
              <w:rPr>
                <w:color w:val="231F20"/>
                <w:spacing w:val="-27"/>
                <w:w w:val="95"/>
                <w:sz w:val="14"/>
              </w:rPr>
              <w:t xml:space="preserve"> </w:t>
            </w:r>
            <w:r>
              <w:rPr>
                <w:color w:val="231F20"/>
                <w:w w:val="95"/>
                <w:sz w:val="14"/>
              </w:rPr>
              <w:t>mothers</w:t>
            </w:r>
          </w:p>
          <w:p w14:paraId="1DBF32F8" w14:textId="5294542A" w:rsidR="009948F1" w:rsidRDefault="00BC0563">
            <w:pPr>
              <w:pStyle w:val="TableParagraph"/>
              <w:numPr>
                <w:ilvl w:val="0"/>
                <w:numId w:val="191"/>
              </w:numPr>
              <w:tabs>
                <w:tab w:val="left" w:pos="100"/>
              </w:tabs>
              <w:spacing w:before="1" w:line="261" w:lineRule="auto"/>
              <w:ind w:right="17" w:firstLine="0"/>
              <w:rPr>
                <w:sz w:val="14"/>
              </w:rPr>
            </w:pPr>
            <w:r>
              <w:rPr>
                <w:color w:val="231F20"/>
                <w:w w:val="90"/>
                <w:sz w:val="14"/>
              </w:rPr>
              <w:t>4%</w:t>
            </w:r>
            <w:r>
              <w:rPr>
                <w:color w:val="231F20"/>
                <w:spacing w:val="-22"/>
                <w:w w:val="90"/>
                <w:sz w:val="14"/>
              </w:rPr>
              <w:t xml:space="preserve"> </w:t>
            </w:r>
            <w:r w:rsidR="00B94D6C">
              <w:rPr>
                <w:color w:val="231F20"/>
                <w:w w:val="90"/>
                <w:sz w:val="14"/>
              </w:rPr>
              <w:t>chlorhexidine</w:t>
            </w:r>
            <w:r>
              <w:rPr>
                <w:color w:val="231F20"/>
                <w:spacing w:val="-21"/>
                <w:w w:val="90"/>
                <w:sz w:val="14"/>
              </w:rPr>
              <w:t xml:space="preserve"> </w:t>
            </w:r>
            <w:r>
              <w:rPr>
                <w:color w:val="231F20"/>
                <w:w w:val="90"/>
                <w:sz w:val="14"/>
              </w:rPr>
              <w:t>gel</w:t>
            </w:r>
            <w:r>
              <w:rPr>
                <w:color w:val="231F20"/>
                <w:spacing w:val="-21"/>
                <w:w w:val="90"/>
                <w:sz w:val="14"/>
              </w:rPr>
              <w:t xml:space="preserve"> </w:t>
            </w:r>
            <w:r>
              <w:rPr>
                <w:color w:val="231F20"/>
                <w:w w:val="90"/>
                <w:sz w:val="14"/>
              </w:rPr>
              <w:t>procured</w:t>
            </w:r>
            <w:r>
              <w:rPr>
                <w:color w:val="231F20"/>
                <w:spacing w:val="-21"/>
                <w:w w:val="90"/>
                <w:sz w:val="14"/>
              </w:rPr>
              <w:t xml:space="preserve"> </w:t>
            </w:r>
            <w:r>
              <w:rPr>
                <w:color w:val="231F20"/>
                <w:w w:val="90"/>
                <w:sz w:val="14"/>
              </w:rPr>
              <w:t>&amp;</w:t>
            </w:r>
            <w:r>
              <w:rPr>
                <w:color w:val="231F20"/>
                <w:spacing w:val="-21"/>
                <w:w w:val="90"/>
                <w:sz w:val="14"/>
              </w:rPr>
              <w:t xml:space="preserve"> </w:t>
            </w:r>
            <w:r>
              <w:rPr>
                <w:color w:val="231F20"/>
                <w:spacing w:val="-3"/>
                <w:w w:val="90"/>
                <w:sz w:val="14"/>
              </w:rPr>
              <w:t xml:space="preserve">distributed </w:t>
            </w:r>
            <w:r>
              <w:rPr>
                <w:color w:val="231F20"/>
                <w:w w:val="95"/>
                <w:sz w:val="14"/>
              </w:rPr>
              <w:t>to 385</w:t>
            </w:r>
            <w:r>
              <w:rPr>
                <w:color w:val="231F20"/>
                <w:spacing w:val="-9"/>
                <w:w w:val="95"/>
                <w:sz w:val="14"/>
              </w:rPr>
              <w:t xml:space="preserve"> </w:t>
            </w:r>
            <w:r>
              <w:rPr>
                <w:color w:val="231F20"/>
                <w:w w:val="95"/>
                <w:sz w:val="14"/>
              </w:rPr>
              <w:t>HFs</w:t>
            </w:r>
          </w:p>
          <w:p w14:paraId="4B130446" w14:textId="799641CA" w:rsidR="009948F1" w:rsidRDefault="00BC0563">
            <w:pPr>
              <w:pStyle w:val="TableParagraph"/>
              <w:numPr>
                <w:ilvl w:val="0"/>
                <w:numId w:val="191"/>
              </w:numPr>
              <w:tabs>
                <w:tab w:val="left" w:pos="100"/>
              </w:tabs>
              <w:spacing w:before="1" w:line="261" w:lineRule="auto"/>
              <w:ind w:right="65" w:firstLine="0"/>
              <w:rPr>
                <w:sz w:val="14"/>
              </w:rPr>
            </w:pPr>
            <w:r>
              <w:rPr>
                <w:color w:val="231F20"/>
                <w:w w:val="95"/>
                <w:sz w:val="14"/>
              </w:rPr>
              <w:t xml:space="preserve">200 HWs trained on proper use of </w:t>
            </w:r>
            <w:r w:rsidR="00B94D6C">
              <w:rPr>
                <w:color w:val="231F20"/>
                <w:w w:val="95"/>
                <w:sz w:val="14"/>
              </w:rPr>
              <w:t>Chlorhexidine</w:t>
            </w:r>
            <w:r>
              <w:rPr>
                <w:color w:val="231F20"/>
                <w:w w:val="95"/>
                <w:sz w:val="14"/>
              </w:rPr>
              <w:t xml:space="preserve"> gel for Cord care and </w:t>
            </w:r>
            <w:r>
              <w:rPr>
                <w:color w:val="231F20"/>
                <w:w w:val="90"/>
                <w:sz w:val="14"/>
              </w:rPr>
              <w:t>prevention</w:t>
            </w:r>
            <w:r>
              <w:rPr>
                <w:color w:val="231F20"/>
                <w:spacing w:val="-23"/>
                <w:w w:val="90"/>
                <w:sz w:val="14"/>
              </w:rPr>
              <w:t xml:space="preserve"> </w:t>
            </w:r>
            <w:r>
              <w:rPr>
                <w:color w:val="231F20"/>
                <w:w w:val="90"/>
                <w:sz w:val="14"/>
              </w:rPr>
              <w:t>of</w:t>
            </w:r>
            <w:r>
              <w:rPr>
                <w:color w:val="231F20"/>
                <w:spacing w:val="-22"/>
                <w:w w:val="90"/>
                <w:sz w:val="14"/>
              </w:rPr>
              <w:t xml:space="preserve"> </w:t>
            </w:r>
            <w:r>
              <w:rPr>
                <w:color w:val="231F20"/>
                <w:w w:val="90"/>
                <w:sz w:val="14"/>
              </w:rPr>
              <w:t>neonatal</w:t>
            </w:r>
            <w:r>
              <w:rPr>
                <w:color w:val="231F20"/>
                <w:spacing w:val="-23"/>
                <w:w w:val="90"/>
                <w:sz w:val="14"/>
              </w:rPr>
              <w:t xml:space="preserve"> </w:t>
            </w:r>
            <w:r>
              <w:rPr>
                <w:color w:val="231F20"/>
                <w:w w:val="90"/>
                <w:sz w:val="14"/>
              </w:rPr>
              <w:t>sepsis</w:t>
            </w:r>
            <w:r>
              <w:rPr>
                <w:color w:val="231F20"/>
                <w:spacing w:val="-22"/>
                <w:w w:val="90"/>
                <w:sz w:val="14"/>
              </w:rPr>
              <w:t xml:space="preserve"> </w:t>
            </w:r>
            <w:r>
              <w:rPr>
                <w:color w:val="231F20"/>
                <w:w w:val="90"/>
                <w:sz w:val="14"/>
              </w:rPr>
              <w:t>RI</w:t>
            </w:r>
            <w:r>
              <w:rPr>
                <w:color w:val="231F20"/>
                <w:spacing w:val="-23"/>
                <w:w w:val="90"/>
                <w:sz w:val="14"/>
              </w:rPr>
              <w:t xml:space="preserve"> </w:t>
            </w:r>
            <w:r>
              <w:rPr>
                <w:color w:val="231F20"/>
                <w:spacing w:val="-3"/>
                <w:w w:val="90"/>
                <w:sz w:val="14"/>
              </w:rPr>
              <w:t xml:space="preserve">conducted </w:t>
            </w:r>
            <w:r>
              <w:rPr>
                <w:color w:val="231F20"/>
                <w:w w:val="95"/>
                <w:sz w:val="14"/>
              </w:rPr>
              <w:t>in all HFs</w:t>
            </w:r>
            <w:r>
              <w:rPr>
                <w:color w:val="231F20"/>
                <w:spacing w:val="-20"/>
                <w:w w:val="95"/>
                <w:sz w:val="14"/>
              </w:rPr>
              <w:t xml:space="preserve"> </w:t>
            </w:r>
            <w:r>
              <w:rPr>
                <w:color w:val="231F20"/>
                <w:w w:val="95"/>
                <w:sz w:val="14"/>
              </w:rPr>
              <w:t>annually</w:t>
            </w:r>
          </w:p>
        </w:tc>
        <w:tc>
          <w:tcPr>
            <w:tcW w:w="1431" w:type="dxa"/>
            <w:tcBorders>
              <w:top w:val="single" w:sz="6" w:space="0" w:color="231F20"/>
              <w:left w:val="single" w:sz="6" w:space="0" w:color="231F20"/>
              <w:bottom w:val="single" w:sz="6" w:space="0" w:color="231F20"/>
            </w:tcBorders>
            <w:shd w:val="clear" w:color="auto" w:fill="CCE7D3"/>
          </w:tcPr>
          <w:p w14:paraId="3397C367" w14:textId="77777777" w:rsidR="009948F1" w:rsidRDefault="009948F1">
            <w:pPr>
              <w:pStyle w:val="TableParagraph"/>
              <w:rPr>
                <w:rFonts w:ascii="Times New Roman"/>
                <w:sz w:val="10"/>
              </w:rPr>
            </w:pPr>
          </w:p>
        </w:tc>
        <w:tc>
          <w:tcPr>
            <w:tcW w:w="1507" w:type="dxa"/>
            <w:tcBorders>
              <w:top w:val="single" w:sz="6" w:space="0" w:color="231F20"/>
              <w:bottom w:val="single" w:sz="6" w:space="0" w:color="231F20"/>
              <w:right w:val="single" w:sz="6" w:space="0" w:color="231F20"/>
            </w:tcBorders>
            <w:shd w:val="clear" w:color="auto" w:fill="CCE7D3"/>
          </w:tcPr>
          <w:p w14:paraId="60301551" w14:textId="77777777" w:rsidR="009948F1" w:rsidRDefault="009948F1">
            <w:pPr>
              <w:pStyle w:val="TableParagraph"/>
              <w:rPr>
                <w:rFonts w:ascii="Times New Roman"/>
                <w:sz w:val="10"/>
              </w:rPr>
            </w:pPr>
          </w:p>
        </w:tc>
      </w:tr>
    </w:tbl>
    <w:p w14:paraId="5A8436A8" w14:textId="77777777" w:rsidR="009948F1" w:rsidRDefault="009948F1">
      <w:pPr>
        <w:rPr>
          <w:rFonts w:ascii="Times New Roman"/>
          <w:sz w:val="10"/>
        </w:rPr>
        <w:sectPr w:rsidR="009948F1">
          <w:pgSz w:w="11910" w:h="16840"/>
          <w:pgMar w:top="1220" w:right="1080" w:bottom="1340" w:left="1120" w:header="0" w:footer="1155" w:gutter="0"/>
          <w:cols w:space="720"/>
        </w:sectPr>
      </w:pPr>
    </w:p>
    <w:tbl>
      <w:tblPr>
        <w:tblW w:w="0" w:type="auto"/>
        <w:tblInd w:w="22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2"/>
        <w:gridCol w:w="553"/>
        <w:gridCol w:w="2642"/>
        <w:gridCol w:w="2508"/>
        <w:gridCol w:w="1502"/>
        <w:gridCol w:w="1582"/>
      </w:tblGrid>
      <w:tr w:rsidR="009948F1" w14:paraId="0BC0A792" w14:textId="77777777">
        <w:trPr>
          <w:trHeight w:val="325"/>
        </w:trPr>
        <w:tc>
          <w:tcPr>
            <w:tcW w:w="472" w:type="dxa"/>
            <w:vMerge w:val="restart"/>
            <w:tcBorders>
              <w:bottom w:val="single" w:sz="6" w:space="0" w:color="231F20"/>
              <w:right w:val="single" w:sz="6" w:space="0" w:color="231F20"/>
            </w:tcBorders>
          </w:tcPr>
          <w:p w14:paraId="1D31AF4A" w14:textId="77777777" w:rsidR="009948F1" w:rsidRDefault="009948F1">
            <w:pPr>
              <w:pStyle w:val="TableParagraph"/>
              <w:rPr>
                <w:rFonts w:ascii="Times New Roman"/>
                <w:sz w:val="12"/>
              </w:rPr>
            </w:pPr>
          </w:p>
        </w:tc>
        <w:tc>
          <w:tcPr>
            <w:tcW w:w="553" w:type="dxa"/>
            <w:tcBorders>
              <w:left w:val="single" w:sz="6" w:space="0" w:color="231F20"/>
              <w:bottom w:val="single" w:sz="6" w:space="0" w:color="231F20"/>
              <w:right w:val="single" w:sz="6" w:space="0" w:color="231F20"/>
            </w:tcBorders>
          </w:tcPr>
          <w:p w14:paraId="161E5EB6" w14:textId="77777777" w:rsidR="009948F1" w:rsidRDefault="00BC0563">
            <w:pPr>
              <w:pStyle w:val="TableParagraph"/>
              <w:spacing w:before="72"/>
              <w:ind w:right="63"/>
              <w:jc w:val="right"/>
              <w:rPr>
                <w:sz w:val="14"/>
              </w:rPr>
            </w:pPr>
            <w:bookmarkStart w:id="158" w:name="Page_132"/>
            <w:bookmarkEnd w:id="158"/>
            <w:r>
              <w:rPr>
                <w:color w:val="231F20"/>
                <w:w w:val="90"/>
                <w:sz w:val="14"/>
              </w:rPr>
              <w:t>4.4.1.a</w:t>
            </w:r>
          </w:p>
        </w:tc>
        <w:tc>
          <w:tcPr>
            <w:tcW w:w="5150" w:type="dxa"/>
            <w:gridSpan w:val="2"/>
            <w:tcBorders>
              <w:left w:val="single" w:sz="6" w:space="0" w:color="231F20"/>
              <w:bottom w:val="single" w:sz="6" w:space="0" w:color="231F20"/>
              <w:right w:val="single" w:sz="6" w:space="0" w:color="231F20"/>
            </w:tcBorders>
          </w:tcPr>
          <w:p w14:paraId="262421C5" w14:textId="77777777" w:rsidR="009948F1" w:rsidRDefault="00BC0563">
            <w:pPr>
              <w:pStyle w:val="TableParagraph"/>
              <w:spacing w:line="147" w:lineRule="exact"/>
              <w:ind w:left="28"/>
              <w:rPr>
                <w:sz w:val="14"/>
              </w:rPr>
            </w:pPr>
            <w:r>
              <w:rPr>
                <w:color w:val="231F20"/>
                <w:w w:val="95"/>
                <w:sz w:val="14"/>
              </w:rPr>
              <w:t>Conduct</w:t>
            </w:r>
            <w:r>
              <w:rPr>
                <w:color w:val="231F20"/>
                <w:spacing w:val="-17"/>
                <w:w w:val="95"/>
                <w:sz w:val="14"/>
              </w:rPr>
              <w:t xml:space="preserve"> </w:t>
            </w:r>
            <w:r>
              <w:rPr>
                <w:color w:val="231F20"/>
                <w:w w:val="95"/>
                <w:sz w:val="14"/>
              </w:rPr>
              <w:t>training</w:t>
            </w:r>
            <w:r>
              <w:rPr>
                <w:color w:val="231F20"/>
                <w:spacing w:val="-17"/>
                <w:w w:val="95"/>
                <w:sz w:val="14"/>
              </w:rPr>
              <w:t xml:space="preserve"> </w:t>
            </w:r>
            <w:r>
              <w:rPr>
                <w:color w:val="231F20"/>
                <w:w w:val="95"/>
                <w:sz w:val="14"/>
              </w:rPr>
              <w:t>for</w:t>
            </w:r>
            <w:r>
              <w:rPr>
                <w:color w:val="231F20"/>
                <w:spacing w:val="-17"/>
                <w:w w:val="95"/>
                <w:sz w:val="14"/>
              </w:rPr>
              <w:t xml:space="preserve"> </w:t>
            </w:r>
            <w:r>
              <w:rPr>
                <w:color w:val="231F20"/>
                <w:w w:val="95"/>
                <w:sz w:val="14"/>
              </w:rPr>
              <w:t>Midwives</w:t>
            </w:r>
            <w:r>
              <w:rPr>
                <w:color w:val="231F20"/>
                <w:spacing w:val="-17"/>
                <w:w w:val="95"/>
                <w:sz w:val="14"/>
              </w:rPr>
              <w:t xml:space="preserve"> </w:t>
            </w:r>
            <w:r>
              <w:rPr>
                <w:color w:val="231F20"/>
                <w:w w:val="95"/>
                <w:sz w:val="14"/>
              </w:rPr>
              <w:t>in</w:t>
            </w:r>
            <w:r>
              <w:rPr>
                <w:color w:val="231F20"/>
                <w:spacing w:val="-17"/>
                <w:w w:val="95"/>
                <w:sz w:val="14"/>
              </w:rPr>
              <w:t xml:space="preserve"> </w:t>
            </w:r>
            <w:r>
              <w:rPr>
                <w:color w:val="231F20"/>
                <w:w w:val="95"/>
                <w:sz w:val="14"/>
              </w:rPr>
              <w:t>all</w:t>
            </w:r>
            <w:r>
              <w:rPr>
                <w:color w:val="231F20"/>
                <w:spacing w:val="-17"/>
                <w:w w:val="95"/>
                <w:sz w:val="14"/>
              </w:rPr>
              <w:t xml:space="preserve"> </w:t>
            </w:r>
            <w:r>
              <w:rPr>
                <w:color w:val="231F20"/>
                <w:w w:val="95"/>
                <w:sz w:val="14"/>
              </w:rPr>
              <w:t>HFs</w:t>
            </w:r>
            <w:r>
              <w:rPr>
                <w:color w:val="231F20"/>
                <w:spacing w:val="-17"/>
                <w:w w:val="95"/>
                <w:sz w:val="14"/>
              </w:rPr>
              <w:t xml:space="preserve"> </w:t>
            </w:r>
            <w:r>
              <w:rPr>
                <w:color w:val="231F20"/>
                <w:w w:val="95"/>
                <w:sz w:val="14"/>
              </w:rPr>
              <w:t>on</w:t>
            </w:r>
            <w:r>
              <w:rPr>
                <w:color w:val="231F20"/>
                <w:spacing w:val="-17"/>
                <w:w w:val="95"/>
                <w:sz w:val="14"/>
              </w:rPr>
              <w:t xml:space="preserve"> </w:t>
            </w:r>
            <w:r>
              <w:rPr>
                <w:color w:val="231F20"/>
                <w:w w:val="95"/>
                <w:sz w:val="14"/>
              </w:rPr>
              <w:t>follow</w:t>
            </w:r>
            <w:r>
              <w:rPr>
                <w:color w:val="231F20"/>
                <w:spacing w:val="-16"/>
                <w:w w:val="95"/>
                <w:sz w:val="14"/>
              </w:rPr>
              <w:t xml:space="preserve"> </w:t>
            </w:r>
            <w:r>
              <w:rPr>
                <w:color w:val="231F20"/>
                <w:w w:val="95"/>
                <w:sz w:val="14"/>
              </w:rPr>
              <w:t>up</w:t>
            </w:r>
            <w:r>
              <w:rPr>
                <w:color w:val="231F20"/>
                <w:spacing w:val="-17"/>
                <w:w w:val="95"/>
                <w:sz w:val="14"/>
              </w:rPr>
              <w:t xml:space="preserve"> </w:t>
            </w:r>
            <w:r>
              <w:rPr>
                <w:color w:val="231F20"/>
                <w:w w:val="95"/>
                <w:sz w:val="14"/>
              </w:rPr>
              <w:t>care</w:t>
            </w:r>
            <w:r>
              <w:rPr>
                <w:color w:val="231F20"/>
                <w:spacing w:val="-17"/>
                <w:w w:val="95"/>
                <w:sz w:val="14"/>
              </w:rPr>
              <w:t xml:space="preserve"> </w:t>
            </w:r>
            <w:r>
              <w:rPr>
                <w:color w:val="231F20"/>
                <w:w w:val="95"/>
                <w:sz w:val="14"/>
              </w:rPr>
              <w:t>of</w:t>
            </w:r>
            <w:r>
              <w:rPr>
                <w:color w:val="231F20"/>
                <w:spacing w:val="-17"/>
                <w:w w:val="95"/>
                <w:sz w:val="14"/>
              </w:rPr>
              <w:t xml:space="preserve"> </w:t>
            </w:r>
            <w:r>
              <w:rPr>
                <w:color w:val="231F20"/>
                <w:w w:val="95"/>
                <w:sz w:val="14"/>
              </w:rPr>
              <w:t>Postnatal</w:t>
            </w:r>
            <w:r>
              <w:rPr>
                <w:color w:val="231F20"/>
                <w:spacing w:val="-17"/>
                <w:w w:val="95"/>
                <w:sz w:val="14"/>
              </w:rPr>
              <w:t xml:space="preserve"> </w:t>
            </w:r>
            <w:r>
              <w:rPr>
                <w:color w:val="231F20"/>
                <w:w w:val="95"/>
                <w:sz w:val="14"/>
              </w:rPr>
              <w:t>mothers</w:t>
            </w:r>
            <w:r>
              <w:rPr>
                <w:color w:val="231F20"/>
                <w:spacing w:val="-17"/>
                <w:w w:val="95"/>
                <w:sz w:val="14"/>
              </w:rPr>
              <w:t xml:space="preserve"> </w:t>
            </w:r>
            <w:r>
              <w:rPr>
                <w:color w:val="231F20"/>
                <w:w w:val="95"/>
                <w:sz w:val="14"/>
              </w:rPr>
              <w:t>within</w:t>
            </w:r>
            <w:r>
              <w:rPr>
                <w:color w:val="231F20"/>
                <w:spacing w:val="-17"/>
                <w:w w:val="95"/>
                <w:sz w:val="14"/>
              </w:rPr>
              <w:t xml:space="preserve"> </w:t>
            </w:r>
            <w:r>
              <w:rPr>
                <w:color w:val="231F20"/>
                <w:w w:val="95"/>
                <w:sz w:val="14"/>
              </w:rPr>
              <w:t>the</w:t>
            </w:r>
          </w:p>
          <w:p w14:paraId="53303824" w14:textId="77777777" w:rsidR="009948F1" w:rsidRDefault="00BC0563">
            <w:pPr>
              <w:pStyle w:val="TableParagraph"/>
              <w:spacing w:before="10" w:line="149" w:lineRule="exact"/>
              <w:ind w:left="28"/>
              <w:rPr>
                <w:sz w:val="14"/>
              </w:rPr>
            </w:pPr>
            <w:r>
              <w:rPr>
                <w:color w:val="231F20"/>
                <w:sz w:val="14"/>
              </w:rPr>
              <w:t xml:space="preserve">first 24 </w:t>
            </w:r>
            <w:proofErr w:type="spellStart"/>
            <w:r>
              <w:rPr>
                <w:color w:val="231F20"/>
                <w:sz w:val="14"/>
              </w:rPr>
              <w:t>hrs</w:t>
            </w:r>
            <w:proofErr w:type="spellEnd"/>
            <w:r>
              <w:rPr>
                <w:color w:val="231F20"/>
                <w:sz w:val="14"/>
              </w:rPr>
              <w:t>, then 3rd and 7th day after delivery</w:t>
            </w:r>
          </w:p>
        </w:tc>
        <w:tc>
          <w:tcPr>
            <w:tcW w:w="1502" w:type="dxa"/>
            <w:tcBorders>
              <w:left w:val="single" w:sz="6" w:space="0" w:color="231F20"/>
              <w:bottom w:val="single" w:sz="6" w:space="0" w:color="231F20"/>
              <w:right w:val="single" w:sz="6" w:space="0" w:color="231F20"/>
            </w:tcBorders>
          </w:tcPr>
          <w:p w14:paraId="7BE6920B" w14:textId="77777777" w:rsidR="009948F1" w:rsidRDefault="00BC0563">
            <w:pPr>
              <w:pStyle w:val="TableParagraph"/>
              <w:spacing w:before="72"/>
              <w:ind w:left="29"/>
              <w:rPr>
                <w:sz w:val="14"/>
              </w:rPr>
            </w:pPr>
            <w:r>
              <w:rPr>
                <w:color w:val="231F20"/>
                <w:sz w:val="14"/>
              </w:rPr>
              <w:t>Lack of funds</w:t>
            </w:r>
          </w:p>
        </w:tc>
        <w:tc>
          <w:tcPr>
            <w:tcW w:w="1582" w:type="dxa"/>
            <w:tcBorders>
              <w:left w:val="single" w:sz="6" w:space="0" w:color="231F20"/>
              <w:bottom w:val="single" w:sz="6" w:space="0" w:color="231F20"/>
              <w:right w:val="single" w:sz="6" w:space="0" w:color="231F20"/>
            </w:tcBorders>
          </w:tcPr>
          <w:p w14:paraId="577DAF73" w14:textId="77777777" w:rsidR="009948F1" w:rsidRDefault="00BC0563">
            <w:pPr>
              <w:pStyle w:val="TableParagraph"/>
              <w:spacing w:before="72"/>
              <w:ind w:left="29"/>
              <w:rPr>
                <w:sz w:val="14"/>
              </w:rPr>
            </w:pPr>
            <w:r>
              <w:rPr>
                <w:color w:val="231F20"/>
                <w:sz w:val="14"/>
              </w:rPr>
              <w:t>Conduct training</w:t>
            </w:r>
          </w:p>
        </w:tc>
      </w:tr>
      <w:tr w:rsidR="009948F1" w14:paraId="37A80B53" w14:textId="77777777">
        <w:trPr>
          <w:trHeight w:val="497"/>
        </w:trPr>
        <w:tc>
          <w:tcPr>
            <w:tcW w:w="472" w:type="dxa"/>
            <w:vMerge/>
            <w:tcBorders>
              <w:top w:val="nil"/>
              <w:bottom w:val="single" w:sz="6" w:space="0" w:color="231F20"/>
              <w:right w:val="single" w:sz="6" w:space="0" w:color="231F20"/>
            </w:tcBorders>
          </w:tcPr>
          <w:p w14:paraId="78E948E1"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289DCC76" w14:textId="77777777" w:rsidR="009948F1" w:rsidRDefault="009948F1">
            <w:pPr>
              <w:pStyle w:val="TableParagraph"/>
              <w:spacing w:before="10"/>
              <w:rPr>
                <w:sz w:val="13"/>
              </w:rPr>
            </w:pPr>
          </w:p>
          <w:p w14:paraId="48B993EC" w14:textId="77777777" w:rsidR="009948F1" w:rsidRDefault="00BC0563">
            <w:pPr>
              <w:pStyle w:val="TableParagraph"/>
              <w:spacing w:before="1"/>
              <w:ind w:right="63"/>
              <w:jc w:val="right"/>
              <w:rPr>
                <w:sz w:val="14"/>
              </w:rPr>
            </w:pPr>
            <w:r>
              <w:rPr>
                <w:color w:val="231F20"/>
                <w:w w:val="90"/>
                <w:sz w:val="14"/>
              </w:rPr>
              <w:t>4.4.1.b</w:t>
            </w:r>
          </w:p>
        </w:tc>
        <w:tc>
          <w:tcPr>
            <w:tcW w:w="5150" w:type="dxa"/>
            <w:gridSpan w:val="2"/>
            <w:tcBorders>
              <w:top w:val="single" w:sz="6" w:space="0" w:color="231F20"/>
              <w:left w:val="single" w:sz="6" w:space="0" w:color="231F20"/>
              <w:bottom w:val="single" w:sz="6" w:space="0" w:color="231F20"/>
              <w:right w:val="single" w:sz="6" w:space="0" w:color="231F20"/>
            </w:tcBorders>
          </w:tcPr>
          <w:p w14:paraId="126CA266" w14:textId="70E4339E" w:rsidR="009948F1" w:rsidRDefault="00BC0563">
            <w:pPr>
              <w:pStyle w:val="TableParagraph"/>
              <w:spacing w:before="69" w:line="254" w:lineRule="auto"/>
              <w:ind w:left="28" w:right="13"/>
              <w:rPr>
                <w:sz w:val="14"/>
              </w:rPr>
            </w:pPr>
            <w:r>
              <w:rPr>
                <w:color w:val="231F20"/>
                <w:w w:val="95"/>
                <w:sz w:val="14"/>
              </w:rPr>
              <w:t>Print</w:t>
            </w:r>
            <w:r>
              <w:rPr>
                <w:color w:val="231F20"/>
                <w:spacing w:val="-26"/>
                <w:w w:val="95"/>
                <w:sz w:val="14"/>
              </w:rPr>
              <w:t xml:space="preserve"> </w:t>
            </w:r>
            <w:r>
              <w:rPr>
                <w:color w:val="231F20"/>
                <w:w w:val="95"/>
                <w:sz w:val="14"/>
              </w:rPr>
              <w:t>&amp;</w:t>
            </w:r>
            <w:r>
              <w:rPr>
                <w:color w:val="231F20"/>
                <w:spacing w:val="-25"/>
                <w:w w:val="95"/>
                <w:sz w:val="14"/>
              </w:rPr>
              <w:t xml:space="preserve"> </w:t>
            </w:r>
            <w:r>
              <w:rPr>
                <w:color w:val="231F20"/>
                <w:w w:val="95"/>
                <w:sz w:val="14"/>
              </w:rPr>
              <w:t>distribute</w:t>
            </w:r>
            <w:r>
              <w:rPr>
                <w:color w:val="231F20"/>
                <w:spacing w:val="-26"/>
                <w:w w:val="95"/>
                <w:sz w:val="14"/>
              </w:rPr>
              <w:t xml:space="preserve"> </w:t>
            </w:r>
            <w:r>
              <w:rPr>
                <w:color w:val="231F20"/>
                <w:w w:val="95"/>
                <w:sz w:val="14"/>
              </w:rPr>
              <w:t>posters</w:t>
            </w:r>
            <w:r>
              <w:rPr>
                <w:color w:val="231F20"/>
                <w:spacing w:val="-25"/>
                <w:w w:val="95"/>
                <w:sz w:val="14"/>
              </w:rPr>
              <w:t xml:space="preserve"> </w:t>
            </w:r>
            <w:r>
              <w:rPr>
                <w:color w:val="231F20"/>
                <w:w w:val="95"/>
                <w:sz w:val="14"/>
              </w:rPr>
              <w:t>on</w:t>
            </w:r>
            <w:r>
              <w:rPr>
                <w:color w:val="231F20"/>
                <w:spacing w:val="-26"/>
                <w:w w:val="95"/>
                <w:sz w:val="14"/>
              </w:rPr>
              <w:t xml:space="preserve"> </w:t>
            </w:r>
            <w:r>
              <w:rPr>
                <w:color w:val="231F20"/>
                <w:w w:val="95"/>
                <w:sz w:val="14"/>
              </w:rPr>
              <w:t>Danger</w:t>
            </w:r>
            <w:r>
              <w:rPr>
                <w:color w:val="231F20"/>
                <w:spacing w:val="-25"/>
                <w:w w:val="95"/>
                <w:sz w:val="14"/>
              </w:rPr>
              <w:t xml:space="preserve"> </w:t>
            </w:r>
            <w:r>
              <w:rPr>
                <w:color w:val="231F20"/>
                <w:w w:val="95"/>
                <w:sz w:val="14"/>
              </w:rPr>
              <w:t>signs</w:t>
            </w:r>
            <w:r>
              <w:rPr>
                <w:color w:val="231F20"/>
                <w:spacing w:val="-26"/>
                <w:w w:val="95"/>
                <w:sz w:val="14"/>
              </w:rPr>
              <w:t xml:space="preserve"> </w:t>
            </w:r>
            <w:r>
              <w:rPr>
                <w:color w:val="231F20"/>
                <w:w w:val="95"/>
                <w:sz w:val="14"/>
              </w:rPr>
              <w:t>of</w:t>
            </w:r>
            <w:r>
              <w:rPr>
                <w:color w:val="231F20"/>
                <w:spacing w:val="-25"/>
                <w:w w:val="95"/>
                <w:sz w:val="14"/>
              </w:rPr>
              <w:t xml:space="preserve"> </w:t>
            </w:r>
            <w:r>
              <w:rPr>
                <w:color w:val="231F20"/>
                <w:w w:val="95"/>
                <w:sz w:val="14"/>
              </w:rPr>
              <w:t>heavy</w:t>
            </w:r>
            <w:r>
              <w:rPr>
                <w:color w:val="231F20"/>
                <w:spacing w:val="-26"/>
                <w:w w:val="95"/>
                <w:sz w:val="14"/>
              </w:rPr>
              <w:t xml:space="preserve"> </w:t>
            </w:r>
            <w:r>
              <w:rPr>
                <w:color w:val="231F20"/>
                <w:w w:val="95"/>
                <w:sz w:val="14"/>
              </w:rPr>
              <w:t>bleeding,</w:t>
            </w:r>
            <w:r>
              <w:rPr>
                <w:color w:val="231F20"/>
                <w:spacing w:val="-25"/>
                <w:w w:val="95"/>
                <w:sz w:val="14"/>
              </w:rPr>
              <w:t xml:space="preserve"> </w:t>
            </w:r>
            <w:r>
              <w:rPr>
                <w:color w:val="231F20"/>
                <w:w w:val="95"/>
                <w:sz w:val="14"/>
              </w:rPr>
              <w:t>smelly</w:t>
            </w:r>
            <w:r>
              <w:rPr>
                <w:color w:val="231F20"/>
                <w:spacing w:val="-26"/>
                <w:w w:val="95"/>
                <w:sz w:val="14"/>
              </w:rPr>
              <w:t xml:space="preserve"> </w:t>
            </w:r>
            <w:r>
              <w:rPr>
                <w:color w:val="231F20"/>
                <w:w w:val="95"/>
                <w:sz w:val="14"/>
              </w:rPr>
              <w:t>discharge</w:t>
            </w:r>
            <w:r>
              <w:rPr>
                <w:color w:val="231F20"/>
                <w:spacing w:val="-25"/>
                <w:w w:val="95"/>
                <w:sz w:val="14"/>
              </w:rPr>
              <w:t xml:space="preserve"> </w:t>
            </w:r>
            <w:r>
              <w:rPr>
                <w:color w:val="231F20"/>
                <w:w w:val="95"/>
                <w:sz w:val="14"/>
              </w:rPr>
              <w:t>per</w:t>
            </w:r>
            <w:r>
              <w:rPr>
                <w:color w:val="231F20"/>
                <w:spacing w:val="-25"/>
                <w:w w:val="95"/>
                <w:sz w:val="14"/>
              </w:rPr>
              <w:t xml:space="preserve"> </w:t>
            </w:r>
            <w:r w:rsidR="00683F0D">
              <w:rPr>
                <w:color w:val="231F20"/>
                <w:w w:val="95"/>
                <w:sz w:val="14"/>
              </w:rPr>
              <w:t>vagina</w:t>
            </w:r>
            <w:r>
              <w:rPr>
                <w:color w:val="231F20"/>
                <w:w w:val="95"/>
                <w:sz w:val="14"/>
              </w:rPr>
              <w:t xml:space="preserve">, </w:t>
            </w:r>
            <w:r>
              <w:rPr>
                <w:color w:val="231F20"/>
                <w:sz w:val="14"/>
              </w:rPr>
              <w:t>fever,</w:t>
            </w:r>
            <w:r>
              <w:rPr>
                <w:color w:val="231F20"/>
                <w:spacing w:val="-11"/>
                <w:sz w:val="14"/>
              </w:rPr>
              <w:t xml:space="preserve"> </w:t>
            </w:r>
            <w:r>
              <w:rPr>
                <w:color w:val="231F20"/>
                <w:sz w:val="14"/>
              </w:rPr>
              <w:t>weakness</w:t>
            </w:r>
            <w:r>
              <w:rPr>
                <w:color w:val="231F20"/>
                <w:spacing w:val="-11"/>
                <w:sz w:val="14"/>
              </w:rPr>
              <w:t xml:space="preserve"> </w:t>
            </w:r>
            <w:r>
              <w:rPr>
                <w:color w:val="231F20"/>
                <w:sz w:val="14"/>
              </w:rPr>
              <w:t>&amp;</w:t>
            </w:r>
            <w:r>
              <w:rPr>
                <w:color w:val="231F20"/>
                <w:spacing w:val="-11"/>
                <w:sz w:val="14"/>
              </w:rPr>
              <w:t xml:space="preserve"> </w:t>
            </w:r>
            <w:r>
              <w:rPr>
                <w:color w:val="231F20"/>
                <w:sz w:val="14"/>
              </w:rPr>
              <w:t>dizziness</w:t>
            </w:r>
            <w:r>
              <w:rPr>
                <w:color w:val="231F20"/>
                <w:spacing w:val="-11"/>
                <w:sz w:val="14"/>
              </w:rPr>
              <w:t xml:space="preserve"> </w:t>
            </w:r>
            <w:r>
              <w:rPr>
                <w:color w:val="231F20"/>
                <w:sz w:val="14"/>
              </w:rPr>
              <w:t>to</w:t>
            </w:r>
            <w:r>
              <w:rPr>
                <w:color w:val="231F20"/>
                <w:spacing w:val="-11"/>
                <w:sz w:val="14"/>
              </w:rPr>
              <w:t xml:space="preserve"> </w:t>
            </w:r>
            <w:r>
              <w:rPr>
                <w:color w:val="231F20"/>
                <w:sz w:val="14"/>
              </w:rPr>
              <w:t>all</w:t>
            </w:r>
            <w:r>
              <w:rPr>
                <w:color w:val="231F20"/>
                <w:spacing w:val="-11"/>
                <w:sz w:val="14"/>
              </w:rPr>
              <w:t xml:space="preserve"> </w:t>
            </w:r>
            <w:r>
              <w:rPr>
                <w:color w:val="231F20"/>
                <w:sz w:val="14"/>
              </w:rPr>
              <w:t>HFs</w:t>
            </w:r>
            <w:r>
              <w:rPr>
                <w:color w:val="231F20"/>
                <w:spacing w:val="-11"/>
                <w:sz w:val="14"/>
              </w:rPr>
              <w:t xml:space="preserve"> </w:t>
            </w:r>
            <w:r>
              <w:rPr>
                <w:color w:val="231F20"/>
                <w:sz w:val="14"/>
              </w:rPr>
              <w:t>to</w:t>
            </w:r>
            <w:r>
              <w:rPr>
                <w:color w:val="231F20"/>
                <w:spacing w:val="-11"/>
                <w:sz w:val="14"/>
              </w:rPr>
              <w:t xml:space="preserve"> </w:t>
            </w:r>
            <w:r>
              <w:rPr>
                <w:color w:val="231F20"/>
                <w:sz w:val="14"/>
              </w:rPr>
              <w:t>create</w:t>
            </w:r>
            <w:r>
              <w:rPr>
                <w:color w:val="231F20"/>
                <w:spacing w:val="-11"/>
                <w:sz w:val="14"/>
              </w:rPr>
              <w:t xml:space="preserve"> </w:t>
            </w:r>
            <w:r>
              <w:rPr>
                <w:color w:val="231F20"/>
                <w:sz w:val="14"/>
              </w:rPr>
              <w:t>awareness</w:t>
            </w:r>
          </w:p>
        </w:tc>
        <w:tc>
          <w:tcPr>
            <w:tcW w:w="1502" w:type="dxa"/>
            <w:tcBorders>
              <w:top w:val="single" w:sz="6" w:space="0" w:color="231F20"/>
              <w:left w:val="single" w:sz="6" w:space="0" w:color="231F20"/>
              <w:bottom w:val="single" w:sz="6" w:space="0" w:color="231F20"/>
              <w:right w:val="single" w:sz="6" w:space="0" w:color="231F20"/>
            </w:tcBorders>
          </w:tcPr>
          <w:p w14:paraId="6C9ED87A" w14:textId="77777777" w:rsidR="009948F1" w:rsidRDefault="009948F1">
            <w:pPr>
              <w:pStyle w:val="TableParagraph"/>
              <w:spacing w:before="10"/>
              <w:rPr>
                <w:sz w:val="13"/>
              </w:rPr>
            </w:pPr>
          </w:p>
          <w:p w14:paraId="24E3ADB8" w14:textId="77777777" w:rsidR="009948F1" w:rsidRDefault="00BC0563">
            <w:pPr>
              <w:pStyle w:val="TableParagraph"/>
              <w:spacing w:before="1"/>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4D8C26D0" w14:textId="77777777" w:rsidR="009948F1" w:rsidRDefault="009948F1">
            <w:pPr>
              <w:pStyle w:val="TableParagraph"/>
              <w:spacing w:before="10"/>
              <w:rPr>
                <w:sz w:val="13"/>
              </w:rPr>
            </w:pPr>
          </w:p>
          <w:p w14:paraId="14B9D188" w14:textId="77777777" w:rsidR="009948F1" w:rsidRDefault="00BC0563">
            <w:pPr>
              <w:pStyle w:val="TableParagraph"/>
              <w:spacing w:before="1"/>
              <w:ind w:left="29"/>
              <w:rPr>
                <w:sz w:val="14"/>
              </w:rPr>
            </w:pPr>
            <w:r>
              <w:rPr>
                <w:color w:val="231F20"/>
                <w:sz w:val="14"/>
              </w:rPr>
              <w:t>Print &amp; distribute posters</w:t>
            </w:r>
          </w:p>
        </w:tc>
      </w:tr>
      <w:tr w:rsidR="009948F1" w14:paraId="464A9926" w14:textId="77777777">
        <w:trPr>
          <w:trHeight w:val="321"/>
        </w:trPr>
        <w:tc>
          <w:tcPr>
            <w:tcW w:w="472" w:type="dxa"/>
            <w:vMerge/>
            <w:tcBorders>
              <w:top w:val="nil"/>
              <w:bottom w:val="single" w:sz="6" w:space="0" w:color="231F20"/>
              <w:right w:val="single" w:sz="6" w:space="0" w:color="231F20"/>
            </w:tcBorders>
          </w:tcPr>
          <w:p w14:paraId="44C73C7A"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2A67FF8B" w14:textId="77777777" w:rsidR="009948F1" w:rsidRDefault="00BC0563">
            <w:pPr>
              <w:pStyle w:val="TableParagraph"/>
              <w:spacing w:before="71"/>
              <w:ind w:right="67"/>
              <w:jc w:val="right"/>
              <w:rPr>
                <w:sz w:val="14"/>
              </w:rPr>
            </w:pPr>
            <w:r>
              <w:rPr>
                <w:color w:val="231F20"/>
                <w:w w:val="90"/>
                <w:sz w:val="14"/>
              </w:rPr>
              <w:t>4.4.1.c</w:t>
            </w:r>
          </w:p>
        </w:tc>
        <w:tc>
          <w:tcPr>
            <w:tcW w:w="5150" w:type="dxa"/>
            <w:gridSpan w:val="2"/>
            <w:tcBorders>
              <w:top w:val="single" w:sz="6" w:space="0" w:color="231F20"/>
              <w:left w:val="single" w:sz="6" w:space="0" w:color="231F20"/>
              <w:bottom w:val="single" w:sz="6" w:space="0" w:color="231F20"/>
              <w:right w:val="single" w:sz="6" w:space="0" w:color="231F20"/>
            </w:tcBorders>
          </w:tcPr>
          <w:p w14:paraId="72C34E8F" w14:textId="09886DCE" w:rsidR="009948F1" w:rsidRDefault="00BC0563">
            <w:pPr>
              <w:pStyle w:val="TableParagraph"/>
              <w:spacing w:line="151" w:lineRule="exact"/>
              <w:ind w:left="28"/>
              <w:rPr>
                <w:sz w:val="14"/>
              </w:rPr>
            </w:pPr>
            <w:r>
              <w:rPr>
                <w:color w:val="231F20"/>
                <w:w w:val="95"/>
                <w:sz w:val="14"/>
              </w:rPr>
              <w:t>Procure</w:t>
            </w:r>
            <w:r>
              <w:rPr>
                <w:color w:val="231F20"/>
                <w:spacing w:val="-20"/>
                <w:w w:val="95"/>
                <w:sz w:val="14"/>
              </w:rPr>
              <w:t xml:space="preserve"> </w:t>
            </w:r>
            <w:r>
              <w:rPr>
                <w:color w:val="231F20"/>
                <w:w w:val="95"/>
                <w:sz w:val="14"/>
              </w:rPr>
              <w:t>&amp;</w:t>
            </w:r>
            <w:r>
              <w:rPr>
                <w:color w:val="231F20"/>
                <w:spacing w:val="-19"/>
                <w:w w:val="95"/>
                <w:sz w:val="14"/>
              </w:rPr>
              <w:t xml:space="preserve"> </w:t>
            </w:r>
            <w:r>
              <w:rPr>
                <w:color w:val="231F20"/>
                <w:w w:val="95"/>
                <w:sz w:val="14"/>
              </w:rPr>
              <w:t>distribute</w:t>
            </w:r>
            <w:r>
              <w:rPr>
                <w:color w:val="231F20"/>
                <w:spacing w:val="-19"/>
                <w:w w:val="95"/>
                <w:sz w:val="14"/>
              </w:rPr>
              <w:t xml:space="preserve"> </w:t>
            </w:r>
            <w:r>
              <w:rPr>
                <w:color w:val="231F20"/>
                <w:w w:val="95"/>
                <w:sz w:val="14"/>
              </w:rPr>
              <w:t>4%</w:t>
            </w:r>
            <w:r>
              <w:rPr>
                <w:color w:val="231F20"/>
                <w:spacing w:val="-20"/>
                <w:w w:val="95"/>
                <w:sz w:val="14"/>
              </w:rPr>
              <w:t xml:space="preserve"> </w:t>
            </w:r>
            <w:r w:rsidR="009B6708">
              <w:rPr>
                <w:color w:val="231F20"/>
                <w:w w:val="95"/>
                <w:sz w:val="14"/>
              </w:rPr>
              <w:t>chlorhexidine</w:t>
            </w:r>
            <w:r>
              <w:rPr>
                <w:color w:val="231F20"/>
                <w:spacing w:val="-19"/>
                <w:w w:val="95"/>
                <w:sz w:val="14"/>
              </w:rPr>
              <w:t xml:space="preserve"> </w:t>
            </w:r>
            <w:r>
              <w:rPr>
                <w:color w:val="231F20"/>
                <w:w w:val="95"/>
                <w:sz w:val="14"/>
              </w:rPr>
              <w:t>gel</w:t>
            </w:r>
            <w:r>
              <w:rPr>
                <w:color w:val="231F20"/>
                <w:spacing w:val="-19"/>
                <w:w w:val="95"/>
                <w:sz w:val="14"/>
              </w:rPr>
              <w:t xml:space="preserve"> </w:t>
            </w:r>
            <w:r>
              <w:rPr>
                <w:color w:val="231F20"/>
                <w:w w:val="95"/>
                <w:sz w:val="14"/>
              </w:rPr>
              <w:t>(CHX)</w:t>
            </w:r>
            <w:r>
              <w:rPr>
                <w:color w:val="231F20"/>
                <w:spacing w:val="-20"/>
                <w:w w:val="95"/>
                <w:sz w:val="14"/>
              </w:rPr>
              <w:t xml:space="preserve"> </w:t>
            </w:r>
            <w:r>
              <w:rPr>
                <w:color w:val="231F20"/>
                <w:w w:val="95"/>
                <w:sz w:val="14"/>
              </w:rPr>
              <w:t>for</w:t>
            </w:r>
            <w:r>
              <w:rPr>
                <w:color w:val="231F20"/>
                <w:spacing w:val="-19"/>
                <w:w w:val="95"/>
                <w:sz w:val="14"/>
              </w:rPr>
              <w:t xml:space="preserve"> </w:t>
            </w:r>
            <w:r>
              <w:rPr>
                <w:color w:val="231F20"/>
                <w:w w:val="95"/>
                <w:sz w:val="14"/>
              </w:rPr>
              <w:t>cord</w:t>
            </w:r>
            <w:r>
              <w:rPr>
                <w:color w:val="231F20"/>
                <w:spacing w:val="-19"/>
                <w:w w:val="95"/>
                <w:sz w:val="14"/>
              </w:rPr>
              <w:t xml:space="preserve"> </w:t>
            </w:r>
            <w:r>
              <w:rPr>
                <w:color w:val="231F20"/>
                <w:w w:val="95"/>
                <w:sz w:val="14"/>
              </w:rPr>
              <w:t>care</w:t>
            </w:r>
            <w:r>
              <w:rPr>
                <w:color w:val="231F20"/>
                <w:spacing w:val="-19"/>
                <w:w w:val="95"/>
                <w:sz w:val="14"/>
              </w:rPr>
              <w:t xml:space="preserve"> </w:t>
            </w:r>
            <w:r>
              <w:rPr>
                <w:color w:val="231F20"/>
                <w:w w:val="95"/>
                <w:sz w:val="14"/>
              </w:rPr>
              <w:t>to</w:t>
            </w:r>
            <w:r>
              <w:rPr>
                <w:color w:val="231F20"/>
                <w:spacing w:val="-20"/>
                <w:w w:val="95"/>
                <w:sz w:val="14"/>
              </w:rPr>
              <w:t xml:space="preserve"> </w:t>
            </w:r>
            <w:r>
              <w:rPr>
                <w:color w:val="231F20"/>
                <w:w w:val="95"/>
                <w:sz w:val="14"/>
              </w:rPr>
              <w:t>all</w:t>
            </w:r>
            <w:r>
              <w:rPr>
                <w:color w:val="231F20"/>
                <w:spacing w:val="-19"/>
                <w:w w:val="95"/>
                <w:sz w:val="14"/>
              </w:rPr>
              <w:t xml:space="preserve"> </w:t>
            </w:r>
            <w:r>
              <w:rPr>
                <w:color w:val="231F20"/>
                <w:w w:val="95"/>
                <w:sz w:val="14"/>
              </w:rPr>
              <w:t>385</w:t>
            </w:r>
            <w:r>
              <w:rPr>
                <w:color w:val="231F20"/>
                <w:spacing w:val="-19"/>
                <w:w w:val="95"/>
                <w:sz w:val="14"/>
              </w:rPr>
              <w:t xml:space="preserve"> </w:t>
            </w:r>
            <w:r>
              <w:rPr>
                <w:color w:val="231F20"/>
                <w:w w:val="95"/>
                <w:sz w:val="14"/>
              </w:rPr>
              <w:t>HFs</w:t>
            </w:r>
            <w:r>
              <w:rPr>
                <w:color w:val="231F20"/>
                <w:spacing w:val="-20"/>
                <w:w w:val="95"/>
                <w:sz w:val="14"/>
              </w:rPr>
              <w:t xml:space="preserve"> </w:t>
            </w:r>
            <w:r>
              <w:rPr>
                <w:color w:val="231F20"/>
                <w:w w:val="95"/>
                <w:sz w:val="14"/>
              </w:rPr>
              <w:t>for</w:t>
            </w:r>
            <w:r>
              <w:rPr>
                <w:color w:val="231F20"/>
                <w:spacing w:val="-19"/>
                <w:w w:val="95"/>
                <w:sz w:val="14"/>
              </w:rPr>
              <w:t xml:space="preserve"> </w:t>
            </w:r>
            <w:r>
              <w:rPr>
                <w:color w:val="231F20"/>
                <w:w w:val="95"/>
                <w:sz w:val="14"/>
              </w:rPr>
              <w:t>prevention</w:t>
            </w:r>
            <w:r>
              <w:rPr>
                <w:color w:val="231F20"/>
                <w:spacing w:val="-19"/>
                <w:w w:val="95"/>
                <w:sz w:val="14"/>
              </w:rPr>
              <w:t xml:space="preserve"> </w:t>
            </w:r>
            <w:r>
              <w:rPr>
                <w:color w:val="231F20"/>
                <w:w w:val="95"/>
                <w:sz w:val="14"/>
              </w:rPr>
              <w:t>of</w:t>
            </w:r>
          </w:p>
          <w:p w14:paraId="49A9C6B3" w14:textId="77777777" w:rsidR="009948F1" w:rsidRDefault="00BC0563">
            <w:pPr>
              <w:pStyle w:val="TableParagraph"/>
              <w:spacing w:before="10" w:line="141" w:lineRule="exact"/>
              <w:ind w:left="28"/>
              <w:rPr>
                <w:sz w:val="14"/>
              </w:rPr>
            </w:pPr>
            <w:r>
              <w:rPr>
                <w:color w:val="231F20"/>
                <w:sz w:val="14"/>
              </w:rPr>
              <w:t>cord infection</w:t>
            </w:r>
          </w:p>
        </w:tc>
        <w:tc>
          <w:tcPr>
            <w:tcW w:w="1502" w:type="dxa"/>
            <w:tcBorders>
              <w:top w:val="single" w:sz="6" w:space="0" w:color="231F20"/>
              <w:left w:val="single" w:sz="6" w:space="0" w:color="231F20"/>
              <w:bottom w:val="single" w:sz="6" w:space="0" w:color="231F20"/>
              <w:right w:val="single" w:sz="6" w:space="0" w:color="231F20"/>
            </w:tcBorders>
          </w:tcPr>
          <w:p w14:paraId="11389985" w14:textId="77777777" w:rsidR="009948F1" w:rsidRDefault="00BC0563">
            <w:pPr>
              <w:pStyle w:val="TableParagraph"/>
              <w:spacing w:before="71"/>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43664AA6" w14:textId="77777777" w:rsidR="009948F1" w:rsidRDefault="00BC0563">
            <w:pPr>
              <w:pStyle w:val="TableParagraph"/>
              <w:spacing w:before="71"/>
              <w:ind w:left="29"/>
              <w:rPr>
                <w:sz w:val="14"/>
              </w:rPr>
            </w:pPr>
            <w:r>
              <w:rPr>
                <w:color w:val="231F20"/>
                <w:sz w:val="14"/>
              </w:rPr>
              <w:t>Costed in OHT</w:t>
            </w:r>
          </w:p>
        </w:tc>
      </w:tr>
      <w:tr w:rsidR="009948F1" w14:paraId="2F88019E" w14:textId="77777777">
        <w:trPr>
          <w:trHeight w:val="648"/>
        </w:trPr>
        <w:tc>
          <w:tcPr>
            <w:tcW w:w="472" w:type="dxa"/>
            <w:vMerge/>
            <w:tcBorders>
              <w:top w:val="nil"/>
              <w:bottom w:val="single" w:sz="6" w:space="0" w:color="231F20"/>
              <w:right w:val="single" w:sz="6" w:space="0" w:color="231F20"/>
            </w:tcBorders>
          </w:tcPr>
          <w:p w14:paraId="36E20E4A"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194AEB4D" w14:textId="77777777" w:rsidR="009948F1" w:rsidRDefault="009948F1">
            <w:pPr>
              <w:pStyle w:val="TableParagraph"/>
              <w:spacing w:before="5"/>
              <w:rPr>
                <w:sz w:val="20"/>
              </w:rPr>
            </w:pPr>
          </w:p>
          <w:p w14:paraId="6A31A836" w14:textId="77777777" w:rsidR="009948F1" w:rsidRDefault="00BC0563">
            <w:pPr>
              <w:pStyle w:val="TableParagraph"/>
              <w:ind w:right="63"/>
              <w:jc w:val="right"/>
              <w:rPr>
                <w:sz w:val="14"/>
              </w:rPr>
            </w:pPr>
            <w:r>
              <w:rPr>
                <w:color w:val="231F20"/>
                <w:w w:val="90"/>
                <w:sz w:val="14"/>
              </w:rPr>
              <w:t>4.4.1.d</w:t>
            </w:r>
          </w:p>
        </w:tc>
        <w:tc>
          <w:tcPr>
            <w:tcW w:w="5150" w:type="dxa"/>
            <w:gridSpan w:val="2"/>
            <w:tcBorders>
              <w:top w:val="single" w:sz="6" w:space="0" w:color="231F20"/>
              <w:left w:val="single" w:sz="6" w:space="0" w:color="231F20"/>
              <w:bottom w:val="single" w:sz="6" w:space="0" w:color="231F20"/>
            </w:tcBorders>
          </w:tcPr>
          <w:p w14:paraId="0E0F0526" w14:textId="7DE14F81" w:rsidR="009948F1" w:rsidRDefault="00BC0563">
            <w:pPr>
              <w:pStyle w:val="TableParagraph"/>
              <w:spacing w:before="59" w:line="254" w:lineRule="auto"/>
              <w:ind w:left="28" w:right="90"/>
              <w:rPr>
                <w:sz w:val="14"/>
              </w:rPr>
            </w:pPr>
            <w:r>
              <w:rPr>
                <w:color w:val="231F20"/>
                <w:w w:val="95"/>
                <w:sz w:val="14"/>
              </w:rPr>
              <w:t>Conduct</w:t>
            </w:r>
            <w:r>
              <w:rPr>
                <w:color w:val="231F20"/>
                <w:spacing w:val="-24"/>
                <w:w w:val="95"/>
                <w:sz w:val="14"/>
              </w:rPr>
              <w:t xml:space="preserve"> </w:t>
            </w:r>
            <w:r>
              <w:rPr>
                <w:color w:val="231F20"/>
                <w:w w:val="95"/>
                <w:sz w:val="14"/>
              </w:rPr>
              <w:t>sensitization</w:t>
            </w:r>
            <w:r>
              <w:rPr>
                <w:color w:val="231F20"/>
                <w:spacing w:val="-23"/>
                <w:w w:val="95"/>
                <w:sz w:val="14"/>
              </w:rPr>
              <w:t xml:space="preserve"> </w:t>
            </w:r>
            <w:r>
              <w:rPr>
                <w:color w:val="231F20"/>
                <w:w w:val="95"/>
                <w:sz w:val="14"/>
              </w:rPr>
              <w:t>meeting</w:t>
            </w:r>
            <w:r>
              <w:rPr>
                <w:color w:val="231F20"/>
                <w:spacing w:val="-24"/>
                <w:w w:val="95"/>
                <w:sz w:val="14"/>
              </w:rPr>
              <w:t xml:space="preserve"> </w:t>
            </w:r>
            <w:r>
              <w:rPr>
                <w:color w:val="231F20"/>
                <w:w w:val="95"/>
                <w:sz w:val="14"/>
              </w:rPr>
              <w:t>for</w:t>
            </w:r>
            <w:r>
              <w:rPr>
                <w:color w:val="231F20"/>
                <w:spacing w:val="-23"/>
                <w:w w:val="95"/>
                <w:sz w:val="14"/>
              </w:rPr>
              <w:t xml:space="preserve"> </w:t>
            </w:r>
            <w:r>
              <w:rPr>
                <w:color w:val="231F20"/>
                <w:w w:val="95"/>
                <w:sz w:val="14"/>
              </w:rPr>
              <w:t>HWs</w:t>
            </w:r>
            <w:r>
              <w:rPr>
                <w:color w:val="231F20"/>
                <w:spacing w:val="-24"/>
                <w:w w:val="95"/>
                <w:sz w:val="14"/>
              </w:rPr>
              <w:t xml:space="preserve"> </w:t>
            </w:r>
            <w:r>
              <w:rPr>
                <w:color w:val="231F20"/>
                <w:w w:val="95"/>
                <w:sz w:val="14"/>
              </w:rPr>
              <w:t>on</w:t>
            </w:r>
            <w:r>
              <w:rPr>
                <w:color w:val="231F20"/>
                <w:spacing w:val="-23"/>
                <w:w w:val="95"/>
                <w:sz w:val="14"/>
              </w:rPr>
              <w:t xml:space="preserve"> </w:t>
            </w:r>
            <w:r>
              <w:rPr>
                <w:color w:val="231F20"/>
                <w:w w:val="95"/>
                <w:sz w:val="14"/>
              </w:rPr>
              <w:t>proper</w:t>
            </w:r>
            <w:r>
              <w:rPr>
                <w:color w:val="231F20"/>
                <w:spacing w:val="-24"/>
                <w:w w:val="95"/>
                <w:sz w:val="14"/>
              </w:rPr>
              <w:t xml:space="preserve"> </w:t>
            </w:r>
            <w:r>
              <w:rPr>
                <w:color w:val="231F20"/>
                <w:w w:val="95"/>
                <w:sz w:val="14"/>
              </w:rPr>
              <w:t>use</w:t>
            </w:r>
            <w:r>
              <w:rPr>
                <w:color w:val="231F20"/>
                <w:spacing w:val="-23"/>
                <w:w w:val="95"/>
                <w:sz w:val="14"/>
              </w:rPr>
              <w:t xml:space="preserve"> </w:t>
            </w:r>
            <w:r>
              <w:rPr>
                <w:color w:val="231F20"/>
                <w:w w:val="95"/>
                <w:sz w:val="14"/>
              </w:rPr>
              <w:t>of</w:t>
            </w:r>
            <w:r>
              <w:rPr>
                <w:color w:val="231F20"/>
                <w:spacing w:val="-24"/>
                <w:w w:val="95"/>
                <w:sz w:val="14"/>
              </w:rPr>
              <w:t xml:space="preserve"> </w:t>
            </w:r>
            <w:r w:rsidR="009B6708">
              <w:rPr>
                <w:color w:val="231F20"/>
                <w:w w:val="95"/>
                <w:sz w:val="14"/>
              </w:rPr>
              <w:t>Chlorhexidine</w:t>
            </w:r>
            <w:r>
              <w:rPr>
                <w:color w:val="231F20"/>
                <w:spacing w:val="-23"/>
                <w:w w:val="95"/>
                <w:sz w:val="14"/>
              </w:rPr>
              <w:t xml:space="preserve"> </w:t>
            </w:r>
            <w:r>
              <w:rPr>
                <w:color w:val="231F20"/>
                <w:w w:val="95"/>
                <w:sz w:val="14"/>
              </w:rPr>
              <w:t>gel</w:t>
            </w:r>
            <w:r>
              <w:rPr>
                <w:color w:val="231F20"/>
                <w:spacing w:val="-24"/>
                <w:w w:val="95"/>
                <w:sz w:val="14"/>
              </w:rPr>
              <w:t xml:space="preserve"> </w:t>
            </w:r>
            <w:r>
              <w:rPr>
                <w:color w:val="231F20"/>
                <w:w w:val="95"/>
                <w:sz w:val="14"/>
              </w:rPr>
              <w:t>for</w:t>
            </w:r>
            <w:r>
              <w:rPr>
                <w:color w:val="231F20"/>
                <w:spacing w:val="-23"/>
                <w:w w:val="95"/>
                <w:sz w:val="14"/>
              </w:rPr>
              <w:t xml:space="preserve"> </w:t>
            </w:r>
            <w:r>
              <w:rPr>
                <w:color w:val="231F20"/>
                <w:w w:val="95"/>
                <w:sz w:val="14"/>
              </w:rPr>
              <w:t>Cord</w:t>
            </w:r>
            <w:r>
              <w:rPr>
                <w:color w:val="231F20"/>
                <w:spacing w:val="-24"/>
                <w:w w:val="95"/>
                <w:sz w:val="14"/>
              </w:rPr>
              <w:t xml:space="preserve"> </w:t>
            </w:r>
            <w:r>
              <w:rPr>
                <w:color w:val="231F20"/>
                <w:w w:val="95"/>
                <w:sz w:val="14"/>
              </w:rPr>
              <w:t>care</w:t>
            </w:r>
            <w:r>
              <w:rPr>
                <w:color w:val="231F20"/>
                <w:spacing w:val="-23"/>
                <w:w w:val="95"/>
                <w:sz w:val="14"/>
              </w:rPr>
              <w:t xml:space="preserve"> </w:t>
            </w:r>
            <w:r>
              <w:rPr>
                <w:color w:val="231F20"/>
                <w:w w:val="95"/>
                <w:sz w:val="14"/>
              </w:rPr>
              <w:t>for prevention</w:t>
            </w:r>
            <w:r>
              <w:rPr>
                <w:color w:val="231F20"/>
                <w:spacing w:val="-20"/>
                <w:w w:val="95"/>
                <w:sz w:val="14"/>
              </w:rPr>
              <w:t xml:space="preserve"> </w:t>
            </w:r>
            <w:r>
              <w:rPr>
                <w:color w:val="231F20"/>
                <w:w w:val="95"/>
                <w:sz w:val="14"/>
              </w:rPr>
              <w:t>of</w:t>
            </w:r>
            <w:r>
              <w:rPr>
                <w:color w:val="231F20"/>
                <w:spacing w:val="-19"/>
                <w:w w:val="95"/>
                <w:sz w:val="14"/>
              </w:rPr>
              <w:t xml:space="preserve"> </w:t>
            </w:r>
            <w:r>
              <w:rPr>
                <w:color w:val="231F20"/>
                <w:w w:val="95"/>
                <w:sz w:val="14"/>
              </w:rPr>
              <w:t>neonatal</w:t>
            </w:r>
            <w:r>
              <w:rPr>
                <w:color w:val="231F20"/>
                <w:spacing w:val="-19"/>
                <w:w w:val="95"/>
                <w:sz w:val="14"/>
              </w:rPr>
              <w:t xml:space="preserve"> </w:t>
            </w:r>
            <w:r>
              <w:rPr>
                <w:color w:val="231F20"/>
                <w:w w:val="95"/>
                <w:sz w:val="14"/>
              </w:rPr>
              <w:t>sepsis</w:t>
            </w:r>
            <w:r>
              <w:rPr>
                <w:color w:val="231F20"/>
                <w:spacing w:val="-20"/>
                <w:w w:val="95"/>
                <w:sz w:val="14"/>
              </w:rPr>
              <w:t xml:space="preserve"> </w:t>
            </w:r>
            <w:r>
              <w:rPr>
                <w:color w:val="231F20"/>
                <w:w w:val="95"/>
                <w:sz w:val="14"/>
              </w:rPr>
              <w:t>and</w:t>
            </w:r>
            <w:r>
              <w:rPr>
                <w:color w:val="231F20"/>
                <w:spacing w:val="-19"/>
                <w:w w:val="95"/>
                <w:sz w:val="14"/>
              </w:rPr>
              <w:t xml:space="preserve"> </w:t>
            </w:r>
            <w:r>
              <w:rPr>
                <w:color w:val="231F20"/>
                <w:w w:val="95"/>
                <w:sz w:val="14"/>
              </w:rPr>
              <w:t>provide</w:t>
            </w:r>
            <w:r>
              <w:rPr>
                <w:color w:val="231F20"/>
                <w:spacing w:val="-19"/>
                <w:w w:val="95"/>
                <w:sz w:val="14"/>
              </w:rPr>
              <w:t xml:space="preserve"> </w:t>
            </w:r>
            <w:r>
              <w:rPr>
                <w:color w:val="231F20"/>
                <w:w w:val="95"/>
                <w:sz w:val="14"/>
              </w:rPr>
              <w:t>essential</w:t>
            </w:r>
            <w:r>
              <w:rPr>
                <w:color w:val="231F20"/>
                <w:spacing w:val="-19"/>
                <w:w w:val="95"/>
                <w:sz w:val="14"/>
              </w:rPr>
              <w:t xml:space="preserve"> </w:t>
            </w:r>
            <w:r>
              <w:rPr>
                <w:color w:val="231F20"/>
                <w:w w:val="95"/>
                <w:sz w:val="14"/>
              </w:rPr>
              <w:t>newborn</w:t>
            </w:r>
            <w:r>
              <w:rPr>
                <w:color w:val="231F20"/>
                <w:spacing w:val="-20"/>
                <w:w w:val="95"/>
                <w:sz w:val="14"/>
              </w:rPr>
              <w:t xml:space="preserve"> </w:t>
            </w:r>
            <w:r>
              <w:rPr>
                <w:color w:val="231F20"/>
                <w:w w:val="95"/>
                <w:sz w:val="14"/>
              </w:rPr>
              <w:t>care</w:t>
            </w:r>
            <w:r>
              <w:rPr>
                <w:color w:val="231F20"/>
                <w:spacing w:val="-19"/>
                <w:w w:val="95"/>
                <w:sz w:val="14"/>
              </w:rPr>
              <w:t xml:space="preserve"> </w:t>
            </w:r>
            <w:r>
              <w:rPr>
                <w:color w:val="231F20"/>
                <w:w w:val="95"/>
                <w:sz w:val="14"/>
              </w:rPr>
              <w:t>in</w:t>
            </w:r>
            <w:r>
              <w:rPr>
                <w:color w:val="231F20"/>
                <w:spacing w:val="-19"/>
                <w:w w:val="95"/>
                <w:sz w:val="14"/>
              </w:rPr>
              <w:t xml:space="preserve"> </w:t>
            </w:r>
            <w:r>
              <w:rPr>
                <w:color w:val="231F20"/>
                <w:w w:val="95"/>
                <w:sz w:val="14"/>
              </w:rPr>
              <w:t>all</w:t>
            </w:r>
            <w:r>
              <w:rPr>
                <w:color w:val="231F20"/>
                <w:spacing w:val="-19"/>
                <w:w w:val="95"/>
                <w:sz w:val="14"/>
              </w:rPr>
              <w:t xml:space="preserve"> </w:t>
            </w:r>
            <w:r>
              <w:rPr>
                <w:color w:val="231F20"/>
                <w:w w:val="95"/>
                <w:sz w:val="14"/>
              </w:rPr>
              <w:t>delivery</w:t>
            </w:r>
            <w:r>
              <w:rPr>
                <w:color w:val="231F20"/>
                <w:spacing w:val="-20"/>
                <w:w w:val="95"/>
                <w:sz w:val="14"/>
              </w:rPr>
              <w:t xml:space="preserve"> </w:t>
            </w:r>
            <w:r>
              <w:rPr>
                <w:color w:val="231F20"/>
                <w:w w:val="95"/>
                <w:sz w:val="14"/>
              </w:rPr>
              <w:t xml:space="preserve">service </w:t>
            </w:r>
            <w:r>
              <w:rPr>
                <w:color w:val="231F20"/>
                <w:sz w:val="14"/>
              </w:rPr>
              <w:t>points</w:t>
            </w:r>
            <w:r>
              <w:rPr>
                <w:color w:val="231F20"/>
                <w:spacing w:val="-20"/>
                <w:sz w:val="14"/>
              </w:rPr>
              <w:t xml:space="preserve"> </w:t>
            </w:r>
            <w:r>
              <w:rPr>
                <w:color w:val="231F20"/>
                <w:sz w:val="14"/>
              </w:rPr>
              <w:t>(thermal</w:t>
            </w:r>
            <w:r>
              <w:rPr>
                <w:color w:val="231F20"/>
                <w:spacing w:val="-20"/>
                <w:sz w:val="14"/>
              </w:rPr>
              <w:t xml:space="preserve"> </w:t>
            </w:r>
            <w:r>
              <w:rPr>
                <w:color w:val="231F20"/>
                <w:sz w:val="14"/>
              </w:rPr>
              <w:t>care,</w:t>
            </w:r>
            <w:r>
              <w:rPr>
                <w:color w:val="231F20"/>
                <w:spacing w:val="-19"/>
                <w:sz w:val="14"/>
              </w:rPr>
              <w:t xml:space="preserve"> </w:t>
            </w:r>
            <w:r>
              <w:rPr>
                <w:color w:val="231F20"/>
                <w:sz w:val="14"/>
              </w:rPr>
              <w:t>including</w:t>
            </w:r>
            <w:r>
              <w:rPr>
                <w:color w:val="231F20"/>
                <w:spacing w:val="-20"/>
                <w:sz w:val="14"/>
              </w:rPr>
              <w:t xml:space="preserve"> </w:t>
            </w:r>
            <w:r w:rsidR="009B6708">
              <w:rPr>
                <w:color w:val="231F20"/>
                <w:sz w:val="14"/>
              </w:rPr>
              <w:t>kangaroo</w:t>
            </w:r>
            <w:r>
              <w:rPr>
                <w:color w:val="231F20"/>
                <w:spacing w:val="-20"/>
                <w:sz w:val="14"/>
              </w:rPr>
              <w:t xml:space="preserve"> </w:t>
            </w:r>
            <w:r>
              <w:rPr>
                <w:color w:val="231F20"/>
                <w:sz w:val="14"/>
              </w:rPr>
              <w:t>mother</w:t>
            </w:r>
            <w:r>
              <w:rPr>
                <w:color w:val="231F20"/>
                <w:spacing w:val="-19"/>
                <w:sz w:val="14"/>
              </w:rPr>
              <w:t xml:space="preserve"> </w:t>
            </w:r>
            <w:r>
              <w:rPr>
                <w:color w:val="231F20"/>
                <w:sz w:val="14"/>
              </w:rPr>
              <w:t>care,</w:t>
            </w:r>
            <w:r>
              <w:rPr>
                <w:color w:val="231F20"/>
                <w:spacing w:val="-20"/>
                <w:sz w:val="14"/>
              </w:rPr>
              <w:t xml:space="preserve"> </w:t>
            </w:r>
            <w:r>
              <w:rPr>
                <w:color w:val="231F20"/>
                <w:sz w:val="14"/>
              </w:rPr>
              <w:t>neonatal</w:t>
            </w:r>
            <w:r>
              <w:rPr>
                <w:color w:val="231F20"/>
                <w:spacing w:val="-20"/>
                <w:sz w:val="14"/>
              </w:rPr>
              <w:t xml:space="preserve"> </w:t>
            </w:r>
            <w:r>
              <w:rPr>
                <w:color w:val="231F20"/>
                <w:sz w:val="14"/>
              </w:rPr>
              <w:t>resuscitation)</w:t>
            </w:r>
          </w:p>
        </w:tc>
        <w:tc>
          <w:tcPr>
            <w:tcW w:w="1502" w:type="dxa"/>
            <w:tcBorders>
              <w:top w:val="single" w:sz="6" w:space="0" w:color="231F20"/>
              <w:bottom w:val="single" w:sz="6" w:space="0" w:color="231F20"/>
              <w:right w:val="single" w:sz="6" w:space="0" w:color="231F20"/>
            </w:tcBorders>
          </w:tcPr>
          <w:p w14:paraId="71453B00" w14:textId="77777777" w:rsidR="009948F1" w:rsidRDefault="009948F1">
            <w:pPr>
              <w:pStyle w:val="TableParagraph"/>
              <w:spacing w:before="5"/>
              <w:rPr>
                <w:sz w:val="20"/>
              </w:rPr>
            </w:pPr>
          </w:p>
          <w:p w14:paraId="07F551AF" w14:textId="77777777" w:rsidR="009948F1" w:rsidRDefault="00BC0563">
            <w:pPr>
              <w:pStyle w:val="TableParagraph"/>
              <w:ind w:left="27"/>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694B6297" w14:textId="77777777" w:rsidR="009948F1" w:rsidRDefault="009948F1">
            <w:pPr>
              <w:pStyle w:val="TableParagraph"/>
              <w:spacing w:before="5"/>
              <w:rPr>
                <w:sz w:val="20"/>
              </w:rPr>
            </w:pPr>
          </w:p>
          <w:p w14:paraId="0C1227A8" w14:textId="77777777" w:rsidR="009948F1" w:rsidRDefault="00BC0563">
            <w:pPr>
              <w:pStyle w:val="TableParagraph"/>
              <w:ind w:left="29"/>
              <w:rPr>
                <w:sz w:val="14"/>
              </w:rPr>
            </w:pPr>
            <w:r>
              <w:rPr>
                <w:color w:val="231F20"/>
                <w:sz w:val="14"/>
              </w:rPr>
              <w:t>No cost</w:t>
            </w:r>
          </w:p>
        </w:tc>
      </w:tr>
      <w:tr w:rsidR="009948F1" w14:paraId="7BAE3678" w14:textId="77777777">
        <w:trPr>
          <w:trHeight w:val="1613"/>
        </w:trPr>
        <w:tc>
          <w:tcPr>
            <w:tcW w:w="472" w:type="dxa"/>
            <w:tcBorders>
              <w:top w:val="single" w:sz="6" w:space="0" w:color="231F20"/>
              <w:left w:val="single" w:sz="12" w:space="0" w:color="231F20"/>
              <w:bottom w:val="single" w:sz="6" w:space="0" w:color="231F20"/>
              <w:right w:val="single" w:sz="6" w:space="0" w:color="231F20"/>
            </w:tcBorders>
            <w:shd w:val="clear" w:color="auto" w:fill="CCE7D3"/>
          </w:tcPr>
          <w:p w14:paraId="0FB2DCF9" w14:textId="77777777" w:rsidR="009948F1" w:rsidRDefault="009948F1">
            <w:pPr>
              <w:pStyle w:val="TableParagraph"/>
              <w:rPr>
                <w:sz w:val="14"/>
              </w:rPr>
            </w:pPr>
          </w:p>
          <w:p w14:paraId="5BD3F660" w14:textId="77777777" w:rsidR="009948F1" w:rsidRDefault="009948F1">
            <w:pPr>
              <w:pStyle w:val="TableParagraph"/>
              <w:rPr>
                <w:sz w:val="14"/>
              </w:rPr>
            </w:pPr>
          </w:p>
          <w:p w14:paraId="6D9FAA5F" w14:textId="77777777" w:rsidR="009948F1" w:rsidRDefault="009948F1">
            <w:pPr>
              <w:pStyle w:val="TableParagraph"/>
              <w:rPr>
                <w:sz w:val="14"/>
              </w:rPr>
            </w:pPr>
          </w:p>
          <w:p w14:paraId="2157F520" w14:textId="77777777" w:rsidR="009948F1" w:rsidRDefault="009948F1">
            <w:pPr>
              <w:pStyle w:val="TableParagraph"/>
              <w:spacing w:before="5"/>
              <w:rPr>
                <w:sz w:val="20"/>
              </w:rPr>
            </w:pPr>
          </w:p>
          <w:p w14:paraId="466394C8" w14:textId="77777777" w:rsidR="009948F1" w:rsidRDefault="00BC0563">
            <w:pPr>
              <w:pStyle w:val="TableParagraph"/>
              <w:ind w:left="48"/>
              <w:rPr>
                <w:sz w:val="14"/>
              </w:rPr>
            </w:pPr>
            <w:r>
              <w:rPr>
                <w:color w:val="231F20"/>
                <w:sz w:val="14"/>
              </w:rPr>
              <w:t>4.4.2</w:t>
            </w:r>
          </w:p>
        </w:tc>
        <w:tc>
          <w:tcPr>
            <w:tcW w:w="3195" w:type="dxa"/>
            <w:gridSpan w:val="2"/>
            <w:tcBorders>
              <w:top w:val="single" w:sz="6" w:space="0" w:color="231F20"/>
              <w:left w:val="single" w:sz="6" w:space="0" w:color="231F20"/>
              <w:bottom w:val="single" w:sz="6" w:space="0" w:color="231F20"/>
              <w:right w:val="single" w:sz="6" w:space="0" w:color="231F20"/>
            </w:tcBorders>
            <w:shd w:val="clear" w:color="auto" w:fill="CCE7D3"/>
          </w:tcPr>
          <w:p w14:paraId="754F936C" w14:textId="77777777" w:rsidR="009948F1" w:rsidRDefault="009948F1">
            <w:pPr>
              <w:pStyle w:val="TableParagraph"/>
              <w:rPr>
                <w:sz w:val="14"/>
              </w:rPr>
            </w:pPr>
          </w:p>
          <w:p w14:paraId="08D77D1D" w14:textId="77777777" w:rsidR="009948F1" w:rsidRDefault="009948F1">
            <w:pPr>
              <w:pStyle w:val="TableParagraph"/>
              <w:rPr>
                <w:sz w:val="14"/>
              </w:rPr>
            </w:pPr>
          </w:p>
          <w:p w14:paraId="4DE78425" w14:textId="77777777" w:rsidR="009948F1" w:rsidRDefault="009948F1">
            <w:pPr>
              <w:pStyle w:val="TableParagraph"/>
              <w:rPr>
                <w:sz w:val="14"/>
              </w:rPr>
            </w:pPr>
          </w:p>
          <w:p w14:paraId="45C56BA3" w14:textId="77777777" w:rsidR="009948F1" w:rsidRDefault="009948F1">
            <w:pPr>
              <w:pStyle w:val="TableParagraph"/>
              <w:spacing w:before="6"/>
              <w:rPr>
                <w:sz w:val="12"/>
              </w:rPr>
            </w:pPr>
          </w:p>
          <w:p w14:paraId="41BF3125" w14:textId="77777777" w:rsidR="009948F1" w:rsidRDefault="00BC0563">
            <w:pPr>
              <w:pStyle w:val="TableParagraph"/>
              <w:spacing w:line="254" w:lineRule="auto"/>
              <w:ind w:left="27" w:firstLine="34"/>
              <w:rPr>
                <w:sz w:val="14"/>
              </w:rPr>
            </w:pPr>
            <w:r>
              <w:rPr>
                <w:color w:val="231F20"/>
                <w:w w:val="90"/>
                <w:sz w:val="14"/>
              </w:rPr>
              <w:t xml:space="preserve">Strengthen emergency obstetric, newborn and </w:t>
            </w:r>
            <w:r>
              <w:rPr>
                <w:color w:val="231F20"/>
                <w:sz w:val="14"/>
              </w:rPr>
              <w:t>childhood care.</w:t>
            </w:r>
          </w:p>
        </w:tc>
        <w:tc>
          <w:tcPr>
            <w:tcW w:w="2508" w:type="dxa"/>
            <w:tcBorders>
              <w:top w:val="single" w:sz="6" w:space="0" w:color="231F20"/>
              <w:left w:val="single" w:sz="6" w:space="0" w:color="231F20"/>
              <w:bottom w:val="single" w:sz="6" w:space="0" w:color="231F20"/>
              <w:right w:val="single" w:sz="6" w:space="0" w:color="231F20"/>
            </w:tcBorders>
            <w:shd w:val="clear" w:color="auto" w:fill="CCE7D3"/>
          </w:tcPr>
          <w:p w14:paraId="5ECD259E" w14:textId="77777777" w:rsidR="009948F1" w:rsidRDefault="00BC0563">
            <w:pPr>
              <w:pStyle w:val="TableParagraph"/>
              <w:numPr>
                <w:ilvl w:val="0"/>
                <w:numId w:val="190"/>
              </w:numPr>
              <w:tabs>
                <w:tab w:val="left" w:pos="108"/>
              </w:tabs>
              <w:spacing w:before="120" w:line="254" w:lineRule="auto"/>
              <w:ind w:right="258" w:firstLine="0"/>
              <w:rPr>
                <w:sz w:val="14"/>
              </w:rPr>
            </w:pPr>
            <w:r>
              <w:rPr>
                <w:color w:val="231F20"/>
                <w:w w:val="90"/>
                <w:sz w:val="14"/>
              </w:rPr>
              <w:t>Special care baby units for</w:t>
            </w:r>
            <w:r>
              <w:rPr>
                <w:color w:val="231F20"/>
                <w:spacing w:val="-24"/>
                <w:w w:val="90"/>
                <w:sz w:val="14"/>
              </w:rPr>
              <w:t xml:space="preserve"> </w:t>
            </w:r>
            <w:r>
              <w:rPr>
                <w:color w:val="231F20"/>
                <w:w w:val="90"/>
                <w:sz w:val="14"/>
              </w:rPr>
              <w:t xml:space="preserve">emergency </w:t>
            </w:r>
            <w:r>
              <w:rPr>
                <w:color w:val="231F20"/>
                <w:w w:val="95"/>
                <w:sz w:val="14"/>
              </w:rPr>
              <w:t>newborn</w:t>
            </w:r>
            <w:r>
              <w:rPr>
                <w:color w:val="231F20"/>
                <w:spacing w:val="-23"/>
                <w:w w:val="95"/>
                <w:sz w:val="14"/>
              </w:rPr>
              <w:t xml:space="preserve"> </w:t>
            </w:r>
            <w:r>
              <w:rPr>
                <w:color w:val="231F20"/>
                <w:w w:val="95"/>
                <w:sz w:val="14"/>
              </w:rPr>
              <w:t>care</w:t>
            </w:r>
            <w:r>
              <w:rPr>
                <w:color w:val="231F20"/>
                <w:spacing w:val="-22"/>
                <w:w w:val="95"/>
                <w:sz w:val="14"/>
              </w:rPr>
              <w:t xml:space="preserve"> </w:t>
            </w:r>
            <w:r>
              <w:rPr>
                <w:color w:val="231F20"/>
                <w:w w:val="95"/>
                <w:sz w:val="14"/>
              </w:rPr>
              <w:t>in</w:t>
            </w:r>
            <w:r>
              <w:rPr>
                <w:color w:val="231F20"/>
                <w:spacing w:val="-22"/>
                <w:w w:val="95"/>
                <w:sz w:val="14"/>
              </w:rPr>
              <w:t xml:space="preserve"> </w:t>
            </w:r>
            <w:r>
              <w:rPr>
                <w:color w:val="231F20"/>
                <w:w w:val="95"/>
                <w:sz w:val="14"/>
              </w:rPr>
              <w:t>LGA</w:t>
            </w:r>
            <w:r>
              <w:rPr>
                <w:color w:val="231F20"/>
                <w:spacing w:val="-26"/>
                <w:w w:val="95"/>
                <w:sz w:val="14"/>
              </w:rPr>
              <w:t xml:space="preserve"> </w:t>
            </w:r>
            <w:r>
              <w:rPr>
                <w:color w:val="231F20"/>
                <w:w w:val="95"/>
                <w:sz w:val="14"/>
              </w:rPr>
              <w:t>general</w:t>
            </w:r>
            <w:r>
              <w:rPr>
                <w:color w:val="231F20"/>
                <w:spacing w:val="-22"/>
                <w:w w:val="95"/>
                <w:sz w:val="14"/>
              </w:rPr>
              <w:t xml:space="preserve"> </w:t>
            </w:r>
            <w:r>
              <w:rPr>
                <w:color w:val="231F20"/>
                <w:w w:val="95"/>
                <w:sz w:val="14"/>
              </w:rPr>
              <w:t xml:space="preserve">hospitals </w:t>
            </w:r>
            <w:r>
              <w:rPr>
                <w:color w:val="231F20"/>
                <w:sz w:val="14"/>
              </w:rPr>
              <w:t>upgraded</w:t>
            </w:r>
            <w:r>
              <w:rPr>
                <w:color w:val="231F20"/>
                <w:spacing w:val="-14"/>
                <w:sz w:val="14"/>
              </w:rPr>
              <w:t xml:space="preserve"> </w:t>
            </w:r>
            <w:r>
              <w:rPr>
                <w:color w:val="231F20"/>
                <w:sz w:val="14"/>
              </w:rPr>
              <w:t>to</w:t>
            </w:r>
            <w:r>
              <w:rPr>
                <w:color w:val="231F20"/>
                <w:spacing w:val="-14"/>
                <w:sz w:val="14"/>
              </w:rPr>
              <w:t xml:space="preserve"> </w:t>
            </w:r>
            <w:r>
              <w:rPr>
                <w:color w:val="231F20"/>
                <w:sz w:val="14"/>
              </w:rPr>
              <w:t>include</w:t>
            </w:r>
            <w:r>
              <w:rPr>
                <w:color w:val="231F20"/>
                <w:spacing w:val="-13"/>
                <w:sz w:val="14"/>
              </w:rPr>
              <w:t xml:space="preserve"> </w:t>
            </w:r>
            <w:proofErr w:type="spellStart"/>
            <w:r>
              <w:rPr>
                <w:color w:val="231F20"/>
                <w:sz w:val="14"/>
              </w:rPr>
              <w:t>CEmOC</w:t>
            </w:r>
            <w:proofErr w:type="spellEnd"/>
          </w:p>
          <w:p w14:paraId="7F28FBAE" w14:textId="77777777" w:rsidR="009948F1" w:rsidRDefault="00BC0563">
            <w:pPr>
              <w:pStyle w:val="TableParagraph"/>
              <w:numPr>
                <w:ilvl w:val="0"/>
                <w:numId w:val="190"/>
              </w:numPr>
              <w:tabs>
                <w:tab w:val="left" w:pos="74"/>
              </w:tabs>
              <w:spacing w:line="254" w:lineRule="auto"/>
              <w:ind w:right="31" w:firstLine="0"/>
              <w:rPr>
                <w:sz w:val="14"/>
              </w:rPr>
            </w:pPr>
            <w:r>
              <w:rPr>
                <w:color w:val="231F20"/>
                <w:sz w:val="14"/>
              </w:rPr>
              <w:t>300</w:t>
            </w:r>
            <w:r>
              <w:rPr>
                <w:color w:val="231F20"/>
                <w:spacing w:val="-26"/>
                <w:sz w:val="14"/>
              </w:rPr>
              <w:t xml:space="preserve"> </w:t>
            </w:r>
            <w:r>
              <w:rPr>
                <w:color w:val="231F20"/>
                <w:sz w:val="14"/>
              </w:rPr>
              <w:t>HWs</w:t>
            </w:r>
            <w:r>
              <w:rPr>
                <w:color w:val="231F20"/>
                <w:spacing w:val="-26"/>
                <w:sz w:val="14"/>
              </w:rPr>
              <w:t xml:space="preserve"> </w:t>
            </w:r>
            <w:r>
              <w:rPr>
                <w:color w:val="231F20"/>
                <w:sz w:val="14"/>
              </w:rPr>
              <w:t>trained</w:t>
            </w:r>
            <w:r>
              <w:rPr>
                <w:color w:val="231F20"/>
                <w:spacing w:val="-26"/>
                <w:sz w:val="14"/>
              </w:rPr>
              <w:t xml:space="preserve"> </w:t>
            </w:r>
            <w:r>
              <w:rPr>
                <w:color w:val="231F20"/>
                <w:sz w:val="14"/>
              </w:rPr>
              <w:t>on</w:t>
            </w:r>
            <w:r>
              <w:rPr>
                <w:color w:val="231F20"/>
                <w:spacing w:val="-25"/>
                <w:sz w:val="14"/>
              </w:rPr>
              <w:t xml:space="preserve"> </w:t>
            </w:r>
            <w:r>
              <w:rPr>
                <w:color w:val="231F20"/>
                <w:sz w:val="14"/>
              </w:rPr>
              <w:t>Essential</w:t>
            </w:r>
            <w:r>
              <w:rPr>
                <w:color w:val="231F20"/>
                <w:spacing w:val="-26"/>
                <w:sz w:val="14"/>
              </w:rPr>
              <w:t xml:space="preserve"> </w:t>
            </w:r>
            <w:r>
              <w:rPr>
                <w:color w:val="231F20"/>
                <w:sz w:val="14"/>
              </w:rPr>
              <w:t xml:space="preserve">Maternal </w:t>
            </w:r>
            <w:r>
              <w:rPr>
                <w:color w:val="231F20"/>
                <w:w w:val="95"/>
                <w:sz w:val="14"/>
              </w:rPr>
              <w:t>Newborn</w:t>
            </w:r>
            <w:r>
              <w:rPr>
                <w:color w:val="231F20"/>
                <w:spacing w:val="-24"/>
                <w:w w:val="95"/>
                <w:sz w:val="14"/>
              </w:rPr>
              <w:t xml:space="preserve"> </w:t>
            </w:r>
            <w:r>
              <w:rPr>
                <w:color w:val="231F20"/>
                <w:w w:val="95"/>
                <w:sz w:val="14"/>
              </w:rPr>
              <w:t>Care</w:t>
            </w:r>
            <w:r>
              <w:rPr>
                <w:color w:val="231F20"/>
                <w:spacing w:val="-10"/>
                <w:w w:val="95"/>
                <w:sz w:val="14"/>
              </w:rPr>
              <w:t xml:space="preserve"> </w:t>
            </w:r>
            <w:r>
              <w:rPr>
                <w:color w:val="231F20"/>
                <w:w w:val="95"/>
                <w:sz w:val="14"/>
              </w:rPr>
              <w:t>and</w:t>
            </w:r>
            <w:r>
              <w:rPr>
                <w:color w:val="231F20"/>
                <w:spacing w:val="-23"/>
                <w:w w:val="95"/>
                <w:sz w:val="14"/>
              </w:rPr>
              <w:t xml:space="preserve"> </w:t>
            </w:r>
            <w:r>
              <w:rPr>
                <w:color w:val="231F20"/>
                <w:w w:val="95"/>
                <w:sz w:val="14"/>
              </w:rPr>
              <w:t>Helping</w:t>
            </w:r>
            <w:r>
              <w:rPr>
                <w:color w:val="231F20"/>
                <w:spacing w:val="-24"/>
                <w:w w:val="95"/>
                <w:sz w:val="14"/>
              </w:rPr>
              <w:t xml:space="preserve"> </w:t>
            </w:r>
            <w:r>
              <w:rPr>
                <w:color w:val="231F20"/>
                <w:w w:val="95"/>
                <w:sz w:val="14"/>
              </w:rPr>
              <w:t>Babies</w:t>
            </w:r>
            <w:r>
              <w:rPr>
                <w:color w:val="231F20"/>
                <w:spacing w:val="-23"/>
                <w:w w:val="95"/>
                <w:sz w:val="14"/>
              </w:rPr>
              <w:t xml:space="preserve"> </w:t>
            </w:r>
            <w:r>
              <w:rPr>
                <w:color w:val="231F20"/>
                <w:spacing w:val="-3"/>
                <w:w w:val="95"/>
                <w:sz w:val="14"/>
              </w:rPr>
              <w:t xml:space="preserve">Breathe </w:t>
            </w:r>
            <w:r>
              <w:rPr>
                <w:color w:val="231F20"/>
                <w:sz w:val="14"/>
              </w:rPr>
              <w:t>(HBB)</w:t>
            </w:r>
          </w:p>
          <w:p w14:paraId="624C47E2" w14:textId="77777777" w:rsidR="009948F1" w:rsidRDefault="00BC0563">
            <w:pPr>
              <w:pStyle w:val="TableParagraph"/>
              <w:numPr>
                <w:ilvl w:val="0"/>
                <w:numId w:val="190"/>
              </w:numPr>
              <w:tabs>
                <w:tab w:val="left" w:pos="108"/>
              </w:tabs>
              <w:spacing w:before="1" w:line="254" w:lineRule="auto"/>
              <w:ind w:right="154" w:firstLine="0"/>
              <w:rPr>
                <w:sz w:val="14"/>
              </w:rPr>
            </w:pPr>
            <w:r>
              <w:rPr>
                <w:color w:val="231F20"/>
                <w:w w:val="90"/>
                <w:sz w:val="14"/>
              </w:rPr>
              <w:t>Emergency Obstetric and Neonatal</w:t>
            </w:r>
            <w:r>
              <w:rPr>
                <w:color w:val="231F20"/>
                <w:spacing w:val="-26"/>
                <w:w w:val="90"/>
                <w:sz w:val="14"/>
              </w:rPr>
              <w:t xml:space="preserve"> </w:t>
            </w:r>
            <w:r>
              <w:rPr>
                <w:color w:val="231F20"/>
                <w:w w:val="90"/>
                <w:sz w:val="14"/>
              </w:rPr>
              <w:t xml:space="preserve">drug </w:t>
            </w:r>
            <w:r>
              <w:rPr>
                <w:color w:val="231F20"/>
                <w:sz w:val="14"/>
              </w:rPr>
              <w:t>and</w:t>
            </w:r>
            <w:r>
              <w:rPr>
                <w:color w:val="231F20"/>
                <w:spacing w:val="-28"/>
                <w:sz w:val="14"/>
              </w:rPr>
              <w:t xml:space="preserve"> </w:t>
            </w:r>
            <w:r>
              <w:rPr>
                <w:color w:val="231F20"/>
                <w:sz w:val="14"/>
              </w:rPr>
              <w:t>commodities</w:t>
            </w:r>
            <w:r>
              <w:rPr>
                <w:color w:val="231F20"/>
                <w:spacing w:val="-27"/>
                <w:sz w:val="14"/>
              </w:rPr>
              <w:t xml:space="preserve"> </w:t>
            </w:r>
            <w:r>
              <w:rPr>
                <w:color w:val="231F20"/>
                <w:sz w:val="14"/>
              </w:rPr>
              <w:t>procured</w:t>
            </w:r>
            <w:r>
              <w:rPr>
                <w:color w:val="231F20"/>
                <w:spacing w:val="-27"/>
                <w:sz w:val="14"/>
              </w:rPr>
              <w:t xml:space="preserve"> </w:t>
            </w:r>
            <w:r>
              <w:rPr>
                <w:color w:val="231F20"/>
                <w:sz w:val="14"/>
              </w:rPr>
              <w:t>&amp;</w:t>
            </w:r>
            <w:r>
              <w:rPr>
                <w:color w:val="231F20"/>
                <w:spacing w:val="-28"/>
                <w:sz w:val="14"/>
              </w:rPr>
              <w:t xml:space="preserve"> </w:t>
            </w:r>
            <w:r>
              <w:rPr>
                <w:color w:val="231F20"/>
                <w:sz w:val="14"/>
              </w:rPr>
              <w:t>supplied</w:t>
            </w:r>
          </w:p>
        </w:tc>
        <w:tc>
          <w:tcPr>
            <w:tcW w:w="1502" w:type="dxa"/>
            <w:tcBorders>
              <w:top w:val="single" w:sz="6" w:space="0" w:color="231F20"/>
              <w:left w:val="single" w:sz="6" w:space="0" w:color="231F20"/>
              <w:bottom w:val="single" w:sz="6" w:space="0" w:color="231F20"/>
            </w:tcBorders>
            <w:shd w:val="clear" w:color="auto" w:fill="CCE7D3"/>
          </w:tcPr>
          <w:p w14:paraId="236E84BE" w14:textId="77777777" w:rsidR="009948F1" w:rsidRDefault="009948F1">
            <w:pPr>
              <w:pStyle w:val="TableParagraph"/>
              <w:rPr>
                <w:rFonts w:ascii="Times New Roman"/>
                <w:sz w:val="12"/>
              </w:rPr>
            </w:pPr>
          </w:p>
        </w:tc>
        <w:tc>
          <w:tcPr>
            <w:tcW w:w="1582" w:type="dxa"/>
            <w:tcBorders>
              <w:top w:val="single" w:sz="6" w:space="0" w:color="231F20"/>
              <w:bottom w:val="single" w:sz="6" w:space="0" w:color="231F20"/>
              <w:right w:val="single" w:sz="6" w:space="0" w:color="231F20"/>
            </w:tcBorders>
            <w:shd w:val="clear" w:color="auto" w:fill="CCE7D3"/>
          </w:tcPr>
          <w:p w14:paraId="61E7261E" w14:textId="77777777" w:rsidR="009948F1" w:rsidRDefault="009948F1">
            <w:pPr>
              <w:pStyle w:val="TableParagraph"/>
              <w:rPr>
                <w:rFonts w:ascii="Times New Roman"/>
                <w:sz w:val="12"/>
              </w:rPr>
            </w:pPr>
          </w:p>
        </w:tc>
      </w:tr>
      <w:tr w:rsidR="009948F1" w14:paraId="7E2CFAC6" w14:textId="77777777">
        <w:trPr>
          <w:trHeight w:val="564"/>
        </w:trPr>
        <w:tc>
          <w:tcPr>
            <w:tcW w:w="472" w:type="dxa"/>
            <w:vMerge w:val="restart"/>
            <w:tcBorders>
              <w:top w:val="single" w:sz="6" w:space="0" w:color="231F20"/>
              <w:bottom w:val="single" w:sz="6" w:space="0" w:color="231F20"/>
              <w:right w:val="single" w:sz="6" w:space="0" w:color="231F20"/>
            </w:tcBorders>
          </w:tcPr>
          <w:p w14:paraId="656C972C" w14:textId="77777777" w:rsidR="009948F1" w:rsidRDefault="009948F1">
            <w:pPr>
              <w:pStyle w:val="TableParagraph"/>
              <w:rPr>
                <w:rFonts w:ascii="Times New Roman"/>
                <w:sz w:val="12"/>
              </w:rPr>
            </w:pPr>
          </w:p>
        </w:tc>
        <w:tc>
          <w:tcPr>
            <w:tcW w:w="553" w:type="dxa"/>
            <w:tcBorders>
              <w:top w:val="single" w:sz="6" w:space="0" w:color="231F20"/>
              <w:left w:val="single" w:sz="6" w:space="0" w:color="231F20"/>
              <w:bottom w:val="single" w:sz="6" w:space="0" w:color="231F20"/>
              <w:right w:val="single" w:sz="6" w:space="0" w:color="231F20"/>
            </w:tcBorders>
          </w:tcPr>
          <w:p w14:paraId="11F05D50" w14:textId="77777777" w:rsidR="009948F1" w:rsidRDefault="009948F1">
            <w:pPr>
              <w:pStyle w:val="TableParagraph"/>
              <w:spacing w:before="9"/>
              <w:rPr>
                <w:sz w:val="16"/>
              </w:rPr>
            </w:pPr>
          </w:p>
          <w:p w14:paraId="4D386FDF" w14:textId="77777777" w:rsidR="009948F1" w:rsidRDefault="00BC0563">
            <w:pPr>
              <w:pStyle w:val="TableParagraph"/>
              <w:ind w:right="63"/>
              <w:jc w:val="right"/>
              <w:rPr>
                <w:sz w:val="14"/>
              </w:rPr>
            </w:pPr>
            <w:r>
              <w:rPr>
                <w:color w:val="231F20"/>
                <w:w w:val="90"/>
                <w:sz w:val="14"/>
              </w:rPr>
              <w:t>4.4.2.a</w:t>
            </w:r>
          </w:p>
        </w:tc>
        <w:tc>
          <w:tcPr>
            <w:tcW w:w="5150" w:type="dxa"/>
            <w:gridSpan w:val="2"/>
            <w:tcBorders>
              <w:top w:val="single" w:sz="6" w:space="0" w:color="231F20"/>
              <w:left w:val="single" w:sz="6" w:space="0" w:color="231F20"/>
              <w:bottom w:val="single" w:sz="6" w:space="0" w:color="231F20"/>
            </w:tcBorders>
          </w:tcPr>
          <w:p w14:paraId="0928A57E" w14:textId="77777777" w:rsidR="009948F1" w:rsidRDefault="00BC0563">
            <w:pPr>
              <w:pStyle w:val="TableParagraph"/>
              <w:spacing w:before="17" w:line="254" w:lineRule="auto"/>
              <w:ind w:left="28" w:right="76"/>
              <w:rPr>
                <w:sz w:val="14"/>
              </w:rPr>
            </w:pPr>
            <w:r>
              <w:rPr>
                <w:color w:val="231F20"/>
                <w:w w:val="95"/>
                <w:sz w:val="14"/>
              </w:rPr>
              <w:t xml:space="preserve">Develop and implement emergency obstetrics, newborn and child health treatment </w:t>
            </w:r>
            <w:r>
              <w:rPr>
                <w:color w:val="231F20"/>
                <w:w w:val="90"/>
                <w:sz w:val="14"/>
              </w:rPr>
              <w:t xml:space="preserve">guidelines and protocols along the different levels of care, from community level, including </w:t>
            </w:r>
            <w:r>
              <w:rPr>
                <w:color w:val="231F20"/>
                <w:sz w:val="14"/>
              </w:rPr>
              <w:t>effective referral systems</w:t>
            </w:r>
          </w:p>
        </w:tc>
        <w:tc>
          <w:tcPr>
            <w:tcW w:w="1502" w:type="dxa"/>
            <w:tcBorders>
              <w:top w:val="single" w:sz="6" w:space="0" w:color="231F20"/>
              <w:bottom w:val="single" w:sz="6" w:space="0" w:color="231F20"/>
              <w:right w:val="single" w:sz="6" w:space="0" w:color="231F20"/>
            </w:tcBorders>
          </w:tcPr>
          <w:p w14:paraId="77618054" w14:textId="77777777" w:rsidR="009948F1" w:rsidRDefault="009948F1">
            <w:pPr>
              <w:pStyle w:val="TableParagraph"/>
              <w:spacing w:before="9"/>
              <w:rPr>
                <w:sz w:val="16"/>
              </w:rPr>
            </w:pPr>
          </w:p>
          <w:p w14:paraId="72850123" w14:textId="77777777" w:rsidR="009948F1" w:rsidRDefault="00BC0563">
            <w:pPr>
              <w:pStyle w:val="TableParagraph"/>
              <w:ind w:left="27"/>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738987D5" w14:textId="77777777" w:rsidR="009948F1" w:rsidRDefault="00BC0563">
            <w:pPr>
              <w:pStyle w:val="TableParagraph"/>
              <w:spacing w:before="107" w:line="254" w:lineRule="auto"/>
              <w:ind w:left="29"/>
              <w:rPr>
                <w:sz w:val="14"/>
              </w:rPr>
            </w:pPr>
            <w:r>
              <w:rPr>
                <w:color w:val="231F20"/>
                <w:w w:val="85"/>
                <w:sz w:val="14"/>
              </w:rPr>
              <w:t xml:space="preserve">Develop/implement </w:t>
            </w:r>
            <w:r>
              <w:rPr>
                <w:color w:val="231F20"/>
                <w:sz w:val="14"/>
              </w:rPr>
              <w:t>guideline</w:t>
            </w:r>
          </w:p>
        </w:tc>
      </w:tr>
      <w:tr w:rsidR="009948F1" w14:paraId="6EDCBCF5" w14:textId="77777777">
        <w:trPr>
          <w:trHeight w:val="580"/>
        </w:trPr>
        <w:tc>
          <w:tcPr>
            <w:tcW w:w="472" w:type="dxa"/>
            <w:vMerge/>
            <w:tcBorders>
              <w:top w:val="nil"/>
              <w:bottom w:val="single" w:sz="6" w:space="0" w:color="231F20"/>
              <w:right w:val="single" w:sz="6" w:space="0" w:color="231F20"/>
            </w:tcBorders>
          </w:tcPr>
          <w:p w14:paraId="1E9D7CA3"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1AC332B0" w14:textId="77777777" w:rsidR="009948F1" w:rsidRDefault="009948F1">
            <w:pPr>
              <w:pStyle w:val="TableParagraph"/>
              <w:spacing w:before="6"/>
              <w:rPr>
                <w:sz w:val="17"/>
              </w:rPr>
            </w:pPr>
          </w:p>
          <w:p w14:paraId="4D7C49A0" w14:textId="77777777" w:rsidR="009948F1" w:rsidRDefault="00BC0563">
            <w:pPr>
              <w:pStyle w:val="TableParagraph"/>
              <w:ind w:right="63"/>
              <w:jc w:val="right"/>
              <w:rPr>
                <w:sz w:val="14"/>
              </w:rPr>
            </w:pPr>
            <w:r>
              <w:rPr>
                <w:color w:val="231F20"/>
                <w:w w:val="90"/>
                <w:sz w:val="14"/>
              </w:rPr>
              <w:t>4.4.2.b</w:t>
            </w:r>
          </w:p>
        </w:tc>
        <w:tc>
          <w:tcPr>
            <w:tcW w:w="5150" w:type="dxa"/>
            <w:gridSpan w:val="2"/>
            <w:tcBorders>
              <w:top w:val="single" w:sz="6" w:space="0" w:color="231F20"/>
              <w:left w:val="single" w:sz="6" w:space="0" w:color="231F20"/>
              <w:bottom w:val="single" w:sz="6" w:space="0" w:color="231F20"/>
              <w:right w:val="single" w:sz="6" w:space="0" w:color="231F20"/>
            </w:tcBorders>
          </w:tcPr>
          <w:p w14:paraId="3421681A" w14:textId="77777777" w:rsidR="009948F1" w:rsidRDefault="00BC0563">
            <w:pPr>
              <w:pStyle w:val="TableParagraph"/>
              <w:spacing w:before="110" w:line="254" w:lineRule="auto"/>
              <w:ind w:left="28" w:right="154"/>
              <w:rPr>
                <w:sz w:val="14"/>
              </w:rPr>
            </w:pPr>
            <w:r>
              <w:rPr>
                <w:color w:val="231F20"/>
                <w:w w:val="95"/>
                <w:sz w:val="14"/>
              </w:rPr>
              <w:t>Upgrade</w:t>
            </w:r>
            <w:r>
              <w:rPr>
                <w:color w:val="231F20"/>
                <w:spacing w:val="-26"/>
                <w:w w:val="95"/>
                <w:sz w:val="14"/>
              </w:rPr>
              <w:t xml:space="preserve"> </w:t>
            </w:r>
            <w:r>
              <w:rPr>
                <w:color w:val="231F20"/>
                <w:w w:val="95"/>
                <w:sz w:val="14"/>
              </w:rPr>
              <w:t>special</w:t>
            </w:r>
            <w:r>
              <w:rPr>
                <w:color w:val="231F20"/>
                <w:spacing w:val="-25"/>
                <w:w w:val="95"/>
                <w:sz w:val="14"/>
              </w:rPr>
              <w:t xml:space="preserve"> </w:t>
            </w:r>
            <w:r>
              <w:rPr>
                <w:color w:val="231F20"/>
                <w:w w:val="95"/>
                <w:sz w:val="14"/>
              </w:rPr>
              <w:t>care</w:t>
            </w:r>
            <w:r>
              <w:rPr>
                <w:color w:val="231F20"/>
                <w:spacing w:val="-25"/>
                <w:w w:val="95"/>
                <w:sz w:val="14"/>
              </w:rPr>
              <w:t xml:space="preserve"> </w:t>
            </w:r>
            <w:r>
              <w:rPr>
                <w:color w:val="231F20"/>
                <w:w w:val="95"/>
                <w:sz w:val="14"/>
              </w:rPr>
              <w:t>baby</w:t>
            </w:r>
            <w:r>
              <w:rPr>
                <w:color w:val="231F20"/>
                <w:spacing w:val="-26"/>
                <w:w w:val="95"/>
                <w:sz w:val="14"/>
              </w:rPr>
              <w:t xml:space="preserve"> </w:t>
            </w:r>
            <w:r>
              <w:rPr>
                <w:color w:val="231F20"/>
                <w:w w:val="95"/>
                <w:sz w:val="14"/>
              </w:rPr>
              <w:t>units</w:t>
            </w:r>
            <w:r>
              <w:rPr>
                <w:color w:val="231F20"/>
                <w:spacing w:val="-25"/>
                <w:w w:val="95"/>
                <w:sz w:val="14"/>
              </w:rPr>
              <w:t xml:space="preserve"> </w:t>
            </w:r>
            <w:r>
              <w:rPr>
                <w:color w:val="231F20"/>
                <w:w w:val="95"/>
                <w:sz w:val="14"/>
              </w:rPr>
              <w:t>for</w:t>
            </w:r>
            <w:r>
              <w:rPr>
                <w:color w:val="231F20"/>
                <w:spacing w:val="-25"/>
                <w:w w:val="95"/>
                <w:sz w:val="14"/>
              </w:rPr>
              <w:t xml:space="preserve"> </w:t>
            </w:r>
            <w:r>
              <w:rPr>
                <w:color w:val="231F20"/>
                <w:w w:val="95"/>
                <w:sz w:val="14"/>
              </w:rPr>
              <w:t>emergency</w:t>
            </w:r>
            <w:r>
              <w:rPr>
                <w:color w:val="231F20"/>
                <w:spacing w:val="-25"/>
                <w:w w:val="95"/>
                <w:sz w:val="14"/>
              </w:rPr>
              <w:t xml:space="preserve"> </w:t>
            </w:r>
            <w:r>
              <w:rPr>
                <w:color w:val="231F20"/>
                <w:w w:val="95"/>
                <w:sz w:val="14"/>
              </w:rPr>
              <w:t>newborn</w:t>
            </w:r>
            <w:r>
              <w:rPr>
                <w:color w:val="231F20"/>
                <w:spacing w:val="-26"/>
                <w:w w:val="95"/>
                <w:sz w:val="14"/>
              </w:rPr>
              <w:t xml:space="preserve"> </w:t>
            </w:r>
            <w:r>
              <w:rPr>
                <w:color w:val="231F20"/>
                <w:w w:val="95"/>
                <w:sz w:val="14"/>
              </w:rPr>
              <w:t>care</w:t>
            </w:r>
            <w:r>
              <w:rPr>
                <w:color w:val="231F20"/>
                <w:spacing w:val="-25"/>
                <w:w w:val="95"/>
                <w:sz w:val="14"/>
              </w:rPr>
              <w:t xml:space="preserve"> </w:t>
            </w:r>
            <w:r>
              <w:rPr>
                <w:color w:val="231F20"/>
                <w:w w:val="95"/>
                <w:sz w:val="14"/>
              </w:rPr>
              <w:t>in</w:t>
            </w:r>
            <w:r>
              <w:rPr>
                <w:color w:val="231F20"/>
                <w:spacing w:val="-25"/>
                <w:w w:val="95"/>
                <w:sz w:val="14"/>
              </w:rPr>
              <w:t xml:space="preserve"> </w:t>
            </w:r>
            <w:r>
              <w:rPr>
                <w:color w:val="231F20"/>
                <w:w w:val="95"/>
                <w:sz w:val="14"/>
              </w:rPr>
              <w:t>LGA</w:t>
            </w:r>
            <w:r>
              <w:rPr>
                <w:color w:val="231F20"/>
                <w:spacing w:val="-28"/>
                <w:w w:val="95"/>
                <w:sz w:val="14"/>
              </w:rPr>
              <w:t xml:space="preserve"> </w:t>
            </w:r>
            <w:r>
              <w:rPr>
                <w:color w:val="231F20"/>
                <w:w w:val="95"/>
                <w:sz w:val="14"/>
              </w:rPr>
              <w:t>general</w:t>
            </w:r>
            <w:r>
              <w:rPr>
                <w:color w:val="231F20"/>
                <w:spacing w:val="-25"/>
                <w:w w:val="95"/>
                <w:sz w:val="14"/>
              </w:rPr>
              <w:t xml:space="preserve"> </w:t>
            </w:r>
            <w:r>
              <w:rPr>
                <w:color w:val="231F20"/>
                <w:w w:val="95"/>
                <w:sz w:val="14"/>
              </w:rPr>
              <w:t>hospitals</w:t>
            </w:r>
            <w:r>
              <w:rPr>
                <w:color w:val="231F20"/>
                <w:spacing w:val="-25"/>
                <w:w w:val="95"/>
                <w:sz w:val="14"/>
              </w:rPr>
              <w:t xml:space="preserve"> </w:t>
            </w:r>
            <w:r>
              <w:rPr>
                <w:color w:val="231F20"/>
                <w:w w:val="95"/>
                <w:sz w:val="14"/>
              </w:rPr>
              <w:t xml:space="preserve">to </w:t>
            </w:r>
            <w:r>
              <w:rPr>
                <w:color w:val="231F20"/>
                <w:sz w:val="14"/>
              </w:rPr>
              <w:t>include</w:t>
            </w:r>
            <w:r>
              <w:rPr>
                <w:color w:val="231F20"/>
                <w:spacing w:val="-6"/>
                <w:sz w:val="14"/>
              </w:rPr>
              <w:t xml:space="preserve"> </w:t>
            </w:r>
            <w:proofErr w:type="spellStart"/>
            <w:r>
              <w:rPr>
                <w:color w:val="231F20"/>
                <w:sz w:val="14"/>
              </w:rPr>
              <w:t>CEmOC</w:t>
            </w:r>
            <w:proofErr w:type="spellEnd"/>
          </w:p>
        </w:tc>
        <w:tc>
          <w:tcPr>
            <w:tcW w:w="1502" w:type="dxa"/>
            <w:tcBorders>
              <w:top w:val="single" w:sz="6" w:space="0" w:color="231F20"/>
              <w:left w:val="single" w:sz="6" w:space="0" w:color="231F20"/>
              <w:bottom w:val="single" w:sz="6" w:space="0" w:color="231F20"/>
              <w:right w:val="single" w:sz="6" w:space="0" w:color="231F20"/>
            </w:tcBorders>
          </w:tcPr>
          <w:p w14:paraId="00A37348" w14:textId="77777777" w:rsidR="009948F1" w:rsidRDefault="009948F1">
            <w:pPr>
              <w:pStyle w:val="TableParagraph"/>
              <w:spacing w:before="6"/>
              <w:rPr>
                <w:sz w:val="17"/>
              </w:rPr>
            </w:pPr>
          </w:p>
          <w:p w14:paraId="198A4FB9" w14:textId="77777777" w:rsidR="009948F1" w:rsidRDefault="00BC0563">
            <w:pPr>
              <w:pStyle w:val="TableParagraph"/>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6A213962" w14:textId="77777777" w:rsidR="009948F1" w:rsidRDefault="009948F1">
            <w:pPr>
              <w:pStyle w:val="TableParagraph"/>
              <w:spacing w:before="6"/>
              <w:rPr>
                <w:sz w:val="17"/>
              </w:rPr>
            </w:pPr>
          </w:p>
          <w:p w14:paraId="17A34D64" w14:textId="77777777" w:rsidR="009948F1" w:rsidRDefault="00BC0563">
            <w:pPr>
              <w:pStyle w:val="TableParagraph"/>
              <w:ind w:left="29"/>
              <w:rPr>
                <w:sz w:val="14"/>
              </w:rPr>
            </w:pPr>
            <w:r>
              <w:rPr>
                <w:color w:val="231F20"/>
                <w:sz w:val="14"/>
              </w:rPr>
              <w:t>Costed in OHT</w:t>
            </w:r>
          </w:p>
        </w:tc>
      </w:tr>
      <w:tr w:rsidR="009948F1" w14:paraId="067C59D1" w14:textId="77777777">
        <w:trPr>
          <w:trHeight w:val="614"/>
        </w:trPr>
        <w:tc>
          <w:tcPr>
            <w:tcW w:w="472" w:type="dxa"/>
            <w:vMerge/>
            <w:tcBorders>
              <w:top w:val="nil"/>
              <w:bottom w:val="single" w:sz="6" w:space="0" w:color="231F20"/>
              <w:right w:val="single" w:sz="6" w:space="0" w:color="231F20"/>
            </w:tcBorders>
          </w:tcPr>
          <w:p w14:paraId="2549F5B9"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21647148" w14:textId="77777777" w:rsidR="009948F1" w:rsidRDefault="009948F1">
            <w:pPr>
              <w:pStyle w:val="TableParagraph"/>
              <w:rPr>
                <w:sz w:val="19"/>
              </w:rPr>
            </w:pPr>
          </w:p>
          <w:p w14:paraId="255A9E0A" w14:textId="77777777" w:rsidR="009948F1" w:rsidRDefault="00BC0563">
            <w:pPr>
              <w:pStyle w:val="TableParagraph"/>
              <w:ind w:right="67"/>
              <w:jc w:val="right"/>
              <w:rPr>
                <w:sz w:val="14"/>
              </w:rPr>
            </w:pPr>
            <w:r>
              <w:rPr>
                <w:color w:val="231F20"/>
                <w:w w:val="90"/>
                <w:sz w:val="14"/>
              </w:rPr>
              <w:t>4.4.2.c</w:t>
            </w:r>
          </w:p>
        </w:tc>
        <w:tc>
          <w:tcPr>
            <w:tcW w:w="5150" w:type="dxa"/>
            <w:gridSpan w:val="2"/>
            <w:tcBorders>
              <w:top w:val="single" w:sz="6" w:space="0" w:color="231F20"/>
              <w:left w:val="single" w:sz="6" w:space="0" w:color="231F20"/>
              <w:bottom w:val="single" w:sz="6" w:space="0" w:color="231F20"/>
              <w:right w:val="single" w:sz="6" w:space="0" w:color="231F20"/>
            </w:tcBorders>
          </w:tcPr>
          <w:p w14:paraId="206DB908" w14:textId="77777777" w:rsidR="009948F1" w:rsidRDefault="009948F1">
            <w:pPr>
              <w:pStyle w:val="TableParagraph"/>
              <w:rPr>
                <w:sz w:val="11"/>
              </w:rPr>
            </w:pPr>
          </w:p>
          <w:p w14:paraId="2C6021C1" w14:textId="77777777" w:rsidR="009948F1" w:rsidRDefault="00BC0563">
            <w:pPr>
              <w:pStyle w:val="TableParagraph"/>
              <w:spacing w:line="254" w:lineRule="auto"/>
              <w:ind w:left="28"/>
              <w:rPr>
                <w:sz w:val="14"/>
              </w:rPr>
            </w:pPr>
            <w:r>
              <w:rPr>
                <w:color w:val="231F20"/>
                <w:w w:val="90"/>
                <w:sz w:val="14"/>
              </w:rPr>
              <w:t xml:space="preserve">Conduct training and re-training workshop for HWs on Essential Maternal Newborn Care </w:t>
            </w:r>
            <w:r>
              <w:rPr>
                <w:color w:val="231F20"/>
                <w:sz w:val="14"/>
              </w:rPr>
              <w:t>and Helping Babies Breathe (HBB)</w:t>
            </w:r>
          </w:p>
        </w:tc>
        <w:tc>
          <w:tcPr>
            <w:tcW w:w="1502" w:type="dxa"/>
            <w:tcBorders>
              <w:top w:val="single" w:sz="6" w:space="0" w:color="231F20"/>
              <w:left w:val="single" w:sz="6" w:space="0" w:color="231F20"/>
              <w:bottom w:val="single" w:sz="6" w:space="0" w:color="231F20"/>
              <w:right w:val="single" w:sz="6" w:space="0" w:color="231F20"/>
            </w:tcBorders>
          </w:tcPr>
          <w:p w14:paraId="7EFBA547" w14:textId="77777777" w:rsidR="009948F1" w:rsidRDefault="009948F1">
            <w:pPr>
              <w:pStyle w:val="TableParagraph"/>
              <w:rPr>
                <w:sz w:val="19"/>
              </w:rPr>
            </w:pPr>
          </w:p>
          <w:p w14:paraId="17008F87" w14:textId="77777777" w:rsidR="009948F1" w:rsidRDefault="00BC0563">
            <w:pPr>
              <w:pStyle w:val="TableParagraph"/>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0B8EF5E7" w14:textId="77777777" w:rsidR="009948F1" w:rsidRDefault="00BC0563">
            <w:pPr>
              <w:pStyle w:val="TableParagraph"/>
              <w:spacing w:before="48" w:line="254" w:lineRule="auto"/>
              <w:ind w:left="29"/>
              <w:rPr>
                <w:sz w:val="14"/>
              </w:rPr>
            </w:pPr>
            <w:r>
              <w:rPr>
                <w:color w:val="231F20"/>
                <w:sz w:val="14"/>
              </w:rPr>
              <w:t xml:space="preserve">Train HWs on Essential </w:t>
            </w:r>
            <w:r>
              <w:rPr>
                <w:color w:val="231F20"/>
                <w:w w:val="90"/>
                <w:sz w:val="14"/>
              </w:rPr>
              <w:t xml:space="preserve">Maternal/Newborn Care &amp; </w:t>
            </w:r>
            <w:r>
              <w:rPr>
                <w:color w:val="231F20"/>
                <w:sz w:val="14"/>
              </w:rPr>
              <w:t>HBB</w:t>
            </w:r>
          </w:p>
        </w:tc>
      </w:tr>
      <w:tr w:rsidR="009948F1" w14:paraId="34688A67" w14:textId="77777777">
        <w:trPr>
          <w:trHeight w:val="404"/>
        </w:trPr>
        <w:tc>
          <w:tcPr>
            <w:tcW w:w="472" w:type="dxa"/>
            <w:vMerge/>
            <w:tcBorders>
              <w:top w:val="nil"/>
              <w:bottom w:val="single" w:sz="6" w:space="0" w:color="231F20"/>
              <w:right w:val="single" w:sz="6" w:space="0" w:color="231F20"/>
            </w:tcBorders>
          </w:tcPr>
          <w:p w14:paraId="6B8E518F"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4DDBC25A" w14:textId="77777777" w:rsidR="009948F1" w:rsidRDefault="00BC0563">
            <w:pPr>
              <w:pStyle w:val="TableParagraph"/>
              <w:spacing w:before="113"/>
              <w:ind w:right="63"/>
              <w:jc w:val="right"/>
              <w:rPr>
                <w:sz w:val="14"/>
              </w:rPr>
            </w:pPr>
            <w:r>
              <w:rPr>
                <w:color w:val="231F20"/>
                <w:w w:val="90"/>
                <w:sz w:val="14"/>
              </w:rPr>
              <w:t>4.4.2.d</w:t>
            </w:r>
          </w:p>
        </w:tc>
        <w:tc>
          <w:tcPr>
            <w:tcW w:w="5150" w:type="dxa"/>
            <w:gridSpan w:val="2"/>
            <w:tcBorders>
              <w:top w:val="single" w:sz="6" w:space="0" w:color="231F20"/>
              <w:left w:val="single" w:sz="6" w:space="0" w:color="231F20"/>
              <w:bottom w:val="single" w:sz="6" w:space="0" w:color="231F20"/>
              <w:right w:val="single" w:sz="6" w:space="0" w:color="231F20"/>
            </w:tcBorders>
          </w:tcPr>
          <w:p w14:paraId="02BBC3A7" w14:textId="77777777" w:rsidR="009948F1" w:rsidRDefault="00BC0563">
            <w:pPr>
              <w:pStyle w:val="TableParagraph"/>
              <w:spacing w:before="23" w:line="254" w:lineRule="auto"/>
              <w:ind w:left="28" w:right="78"/>
              <w:rPr>
                <w:sz w:val="14"/>
              </w:rPr>
            </w:pPr>
            <w:r>
              <w:rPr>
                <w:color w:val="231F20"/>
                <w:w w:val="95"/>
                <w:sz w:val="14"/>
              </w:rPr>
              <w:t>Procure</w:t>
            </w:r>
            <w:r>
              <w:rPr>
                <w:color w:val="231F20"/>
                <w:spacing w:val="-26"/>
                <w:w w:val="95"/>
                <w:sz w:val="14"/>
              </w:rPr>
              <w:t xml:space="preserve"> </w:t>
            </w:r>
            <w:r>
              <w:rPr>
                <w:color w:val="231F20"/>
                <w:w w:val="95"/>
                <w:sz w:val="14"/>
              </w:rPr>
              <w:t>and</w:t>
            </w:r>
            <w:r>
              <w:rPr>
                <w:color w:val="231F20"/>
                <w:spacing w:val="-25"/>
                <w:w w:val="95"/>
                <w:sz w:val="14"/>
              </w:rPr>
              <w:t xml:space="preserve"> </w:t>
            </w:r>
            <w:r>
              <w:rPr>
                <w:color w:val="231F20"/>
                <w:w w:val="95"/>
                <w:sz w:val="14"/>
              </w:rPr>
              <w:t>supply</w:t>
            </w:r>
            <w:r>
              <w:rPr>
                <w:color w:val="231F20"/>
                <w:spacing w:val="-25"/>
                <w:w w:val="95"/>
                <w:sz w:val="14"/>
              </w:rPr>
              <w:t xml:space="preserve"> </w:t>
            </w:r>
            <w:r>
              <w:rPr>
                <w:color w:val="231F20"/>
                <w:w w:val="95"/>
                <w:sz w:val="14"/>
              </w:rPr>
              <w:t>Emergency</w:t>
            </w:r>
            <w:r>
              <w:rPr>
                <w:color w:val="231F20"/>
                <w:spacing w:val="-26"/>
                <w:w w:val="95"/>
                <w:sz w:val="14"/>
              </w:rPr>
              <w:t xml:space="preserve"> </w:t>
            </w:r>
            <w:r>
              <w:rPr>
                <w:color w:val="231F20"/>
                <w:w w:val="95"/>
                <w:sz w:val="14"/>
              </w:rPr>
              <w:t>Obstetric</w:t>
            </w:r>
            <w:r>
              <w:rPr>
                <w:color w:val="231F20"/>
                <w:spacing w:val="-25"/>
                <w:w w:val="95"/>
                <w:sz w:val="14"/>
              </w:rPr>
              <w:t xml:space="preserve"> </w:t>
            </w:r>
            <w:r>
              <w:rPr>
                <w:color w:val="231F20"/>
                <w:w w:val="95"/>
                <w:sz w:val="14"/>
              </w:rPr>
              <w:t>and</w:t>
            </w:r>
            <w:r>
              <w:rPr>
                <w:color w:val="231F20"/>
                <w:spacing w:val="-25"/>
                <w:w w:val="95"/>
                <w:sz w:val="14"/>
              </w:rPr>
              <w:t xml:space="preserve"> </w:t>
            </w:r>
            <w:r>
              <w:rPr>
                <w:color w:val="231F20"/>
                <w:w w:val="95"/>
                <w:sz w:val="14"/>
              </w:rPr>
              <w:t>Neonatal</w:t>
            </w:r>
            <w:r>
              <w:rPr>
                <w:color w:val="231F20"/>
                <w:spacing w:val="-25"/>
                <w:w w:val="95"/>
                <w:sz w:val="14"/>
              </w:rPr>
              <w:t xml:space="preserve"> </w:t>
            </w:r>
            <w:r>
              <w:rPr>
                <w:color w:val="231F20"/>
                <w:w w:val="95"/>
                <w:sz w:val="14"/>
              </w:rPr>
              <w:t>drug</w:t>
            </w:r>
            <w:r>
              <w:rPr>
                <w:color w:val="231F20"/>
                <w:spacing w:val="-26"/>
                <w:w w:val="95"/>
                <w:sz w:val="14"/>
              </w:rPr>
              <w:t xml:space="preserve"> </w:t>
            </w:r>
            <w:r>
              <w:rPr>
                <w:color w:val="231F20"/>
                <w:w w:val="95"/>
                <w:sz w:val="14"/>
              </w:rPr>
              <w:t>and</w:t>
            </w:r>
            <w:r>
              <w:rPr>
                <w:color w:val="231F20"/>
                <w:spacing w:val="-25"/>
                <w:w w:val="95"/>
                <w:sz w:val="14"/>
              </w:rPr>
              <w:t xml:space="preserve"> </w:t>
            </w:r>
            <w:r>
              <w:rPr>
                <w:color w:val="231F20"/>
                <w:w w:val="95"/>
                <w:sz w:val="14"/>
              </w:rPr>
              <w:t>commodities</w:t>
            </w:r>
            <w:r>
              <w:rPr>
                <w:color w:val="231F20"/>
                <w:spacing w:val="-25"/>
                <w:w w:val="95"/>
                <w:sz w:val="14"/>
              </w:rPr>
              <w:t xml:space="preserve"> </w:t>
            </w:r>
            <w:r>
              <w:rPr>
                <w:color w:val="231F20"/>
                <w:w w:val="95"/>
                <w:sz w:val="14"/>
              </w:rPr>
              <w:t>to</w:t>
            </w:r>
            <w:r>
              <w:rPr>
                <w:color w:val="231F20"/>
                <w:spacing w:val="-26"/>
                <w:w w:val="95"/>
                <w:sz w:val="14"/>
              </w:rPr>
              <w:t xml:space="preserve"> </w:t>
            </w:r>
            <w:r>
              <w:rPr>
                <w:color w:val="231F20"/>
                <w:w w:val="95"/>
                <w:sz w:val="14"/>
              </w:rPr>
              <w:t>all</w:t>
            </w:r>
            <w:r>
              <w:rPr>
                <w:color w:val="231F20"/>
                <w:spacing w:val="-25"/>
                <w:w w:val="95"/>
                <w:sz w:val="14"/>
              </w:rPr>
              <w:t xml:space="preserve"> </w:t>
            </w:r>
            <w:r>
              <w:rPr>
                <w:color w:val="231F20"/>
                <w:w w:val="95"/>
                <w:sz w:val="14"/>
              </w:rPr>
              <w:t>HFs</w:t>
            </w:r>
            <w:r>
              <w:rPr>
                <w:color w:val="231F20"/>
                <w:spacing w:val="-25"/>
                <w:w w:val="95"/>
                <w:sz w:val="14"/>
              </w:rPr>
              <w:t xml:space="preserve"> </w:t>
            </w:r>
            <w:r>
              <w:rPr>
                <w:color w:val="231F20"/>
                <w:w w:val="95"/>
                <w:sz w:val="14"/>
              </w:rPr>
              <w:t xml:space="preserve">in </w:t>
            </w:r>
            <w:r>
              <w:rPr>
                <w:color w:val="231F20"/>
                <w:sz w:val="14"/>
              </w:rPr>
              <w:t>the</w:t>
            </w:r>
            <w:r>
              <w:rPr>
                <w:color w:val="231F20"/>
                <w:spacing w:val="-6"/>
                <w:sz w:val="14"/>
              </w:rPr>
              <w:t xml:space="preserve"> </w:t>
            </w:r>
            <w:r>
              <w:rPr>
                <w:color w:val="231F20"/>
                <w:sz w:val="14"/>
              </w:rPr>
              <w:t>state</w:t>
            </w:r>
          </w:p>
        </w:tc>
        <w:tc>
          <w:tcPr>
            <w:tcW w:w="1502" w:type="dxa"/>
            <w:tcBorders>
              <w:top w:val="single" w:sz="6" w:space="0" w:color="231F20"/>
              <w:left w:val="single" w:sz="6" w:space="0" w:color="231F20"/>
              <w:bottom w:val="single" w:sz="6" w:space="0" w:color="231F20"/>
              <w:right w:val="single" w:sz="6" w:space="0" w:color="231F20"/>
            </w:tcBorders>
          </w:tcPr>
          <w:p w14:paraId="784D7FAF" w14:textId="77777777" w:rsidR="009948F1" w:rsidRDefault="00BC0563">
            <w:pPr>
              <w:pStyle w:val="TableParagraph"/>
              <w:spacing w:before="113"/>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5028483F" w14:textId="77777777" w:rsidR="009948F1" w:rsidRDefault="00BC0563">
            <w:pPr>
              <w:pStyle w:val="TableParagraph"/>
              <w:spacing w:before="113"/>
              <w:ind w:left="29"/>
              <w:rPr>
                <w:sz w:val="14"/>
              </w:rPr>
            </w:pPr>
            <w:r>
              <w:rPr>
                <w:color w:val="231F20"/>
                <w:sz w:val="14"/>
              </w:rPr>
              <w:t>Costed in OHT</w:t>
            </w:r>
          </w:p>
        </w:tc>
      </w:tr>
      <w:tr w:rsidR="009948F1" w14:paraId="40ED663E" w14:textId="77777777">
        <w:trPr>
          <w:trHeight w:val="1420"/>
        </w:trPr>
        <w:tc>
          <w:tcPr>
            <w:tcW w:w="472" w:type="dxa"/>
            <w:tcBorders>
              <w:top w:val="single" w:sz="6" w:space="0" w:color="231F20"/>
              <w:left w:val="single" w:sz="12" w:space="0" w:color="231F20"/>
              <w:bottom w:val="single" w:sz="6" w:space="0" w:color="231F20"/>
              <w:right w:val="single" w:sz="6" w:space="0" w:color="231F20"/>
            </w:tcBorders>
            <w:shd w:val="clear" w:color="auto" w:fill="CCE7D3"/>
          </w:tcPr>
          <w:p w14:paraId="29927260" w14:textId="77777777" w:rsidR="009948F1" w:rsidRDefault="009948F1">
            <w:pPr>
              <w:pStyle w:val="TableParagraph"/>
              <w:rPr>
                <w:sz w:val="14"/>
              </w:rPr>
            </w:pPr>
          </w:p>
          <w:p w14:paraId="723AA85C" w14:textId="77777777" w:rsidR="009948F1" w:rsidRDefault="009948F1">
            <w:pPr>
              <w:pStyle w:val="TableParagraph"/>
              <w:rPr>
                <w:sz w:val="14"/>
              </w:rPr>
            </w:pPr>
          </w:p>
          <w:p w14:paraId="4F59C94E" w14:textId="77777777" w:rsidR="009948F1" w:rsidRDefault="009948F1">
            <w:pPr>
              <w:pStyle w:val="TableParagraph"/>
              <w:rPr>
                <w:sz w:val="14"/>
              </w:rPr>
            </w:pPr>
          </w:p>
          <w:p w14:paraId="428CA727" w14:textId="77777777" w:rsidR="009948F1" w:rsidRDefault="009948F1">
            <w:pPr>
              <w:pStyle w:val="TableParagraph"/>
              <w:rPr>
                <w:sz w:val="12"/>
              </w:rPr>
            </w:pPr>
          </w:p>
          <w:p w14:paraId="28F559A3" w14:textId="77777777" w:rsidR="009948F1" w:rsidRDefault="00BC0563">
            <w:pPr>
              <w:pStyle w:val="TableParagraph"/>
              <w:ind w:left="48"/>
              <w:rPr>
                <w:sz w:val="14"/>
              </w:rPr>
            </w:pPr>
            <w:r>
              <w:rPr>
                <w:color w:val="231F20"/>
                <w:sz w:val="14"/>
              </w:rPr>
              <w:t>4.4.3</w:t>
            </w:r>
          </w:p>
        </w:tc>
        <w:tc>
          <w:tcPr>
            <w:tcW w:w="3195" w:type="dxa"/>
            <w:gridSpan w:val="2"/>
            <w:tcBorders>
              <w:top w:val="single" w:sz="6" w:space="0" w:color="231F20"/>
              <w:left w:val="single" w:sz="6" w:space="0" w:color="231F20"/>
              <w:bottom w:val="single" w:sz="6" w:space="0" w:color="231F20"/>
              <w:right w:val="single" w:sz="6" w:space="0" w:color="231F20"/>
            </w:tcBorders>
            <w:shd w:val="clear" w:color="auto" w:fill="CCE7D3"/>
          </w:tcPr>
          <w:p w14:paraId="677C8D37" w14:textId="77777777" w:rsidR="009948F1" w:rsidRDefault="009948F1">
            <w:pPr>
              <w:pStyle w:val="TableParagraph"/>
              <w:rPr>
                <w:sz w:val="14"/>
              </w:rPr>
            </w:pPr>
          </w:p>
          <w:p w14:paraId="3042705E" w14:textId="77777777" w:rsidR="009948F1" w:rsidRDefault="009948F1">
            <w:pPr>
              <w:pStyle w:val="TableParagraph"/>
              <w:rPr>
                <w:sz w:val="14"/>
              </w:rPr>
            </w:pPr>
          </w:p>
          <w:p w14:paraId="7FDD8383" w14:textId="77777777" w:rsidR="009948F1" w:rsidRDefault="00BC0563">
            <w:pPr>
              <w:pStyle w:val="TableParagraph"/>
              <w:spacing w:before="123" w:line="254" w:lineRule="auto"/>
              <w:ind w:left="27" w:right="4" w:firstLine="34"/>
              <w:rPr>
                <w:sz w:val="14"/>
              </w:rPr>
            </w:pPr>
            <w:r>
              <w:rPr>
                <w:color w:val="231F20"/>
                <w:w w:val="95"/>
                <w:sz w:val="14"/>
              </w:rPr>
              <w:t>Intensify</w:t>
            </w:r>
            <w:r>
              <w:rPr>
                <w:color w:val="231F20"/>
                <w:spacing w:val="-19"/>
                <w:w w:val="95"/>
                <w:sz w:val="14"/>
              </w:rPr>
              <w:t xml:space="preserve"> </w:t>
            </w:r>
            <w:r>
              <w:rPr>
                <w:color w:val="231F20"/>
                <w:w w:val="95"/>
                <w:sz w:val="14"/>
              </w:rPr>
              <w:t>the</w:t>
            </w:r>
            <w:r>
              <w:rPr>
                <w:color w:val="231F20"/>
                <w:spacing w:val="-19"/>
                <w:w w:val="95"/>
                <w:sz w:val="14"/>
              </w:rPr>
              <w:t xml:space="preserve"> </w:t>
            </w:r>
            <w:r>
              <w:rPr>
                <w:color w:val="231F20"/>
                <w:w w:val="95"/>
                <w:sz w:val="14"/>
              </w:rPr>
              <w:t>promotion</w:t>
            </w:r>
            <w:r>
              <w:rPr>
                <w:color w:val="231F20"/>
                <w:spacing w:val="-19"/>
                <w:w w:val="95"/>
                <w:sz w:val="14"/>
              </w:rPr>
              <w:t xml:space="preserve"> </w:t>
            </w:r>
            <w:r>
              <w:rPr>
                <w:color w:val="231F20"/>
                <w:w w:val="95"/>
                <w:sz w:val="14"/>
              </w:rPr>
              <w:t>of</w:t>
            </w:r>
            <w:r>
              <w:rPr>
                <w:color w:val="231F20"/>
                <w:spacing w:val="-19"/>
                <w:w w:val="95"/>
                <w:sz w:val="14"/>
              </w:rPr>
              <w:t xml:space="preserve"> </w:t>
            </w:r>
            <w:r>
              <w:rPr>
                <w:color w:val="231F20"/>
                <w:w w:val="95"/>
                <w:sz w:val="14"/>
              </w:rPr>
              <w:t>exclusive</w:t>
            </w:r>
            <w:r>
              <w:rPr>
                <w:color w:val="231F20"/>
                <w:spacing w:val="-19"/>
                <w:w w:val="95"/>
                <w:sz w:val="14"/>
              </w:rPr>
              <w:t xml:space="preserve"> </w:t>
            </w:r>
            <w:r>
              <w:rPr>
                <w:color w:val="231F20"/>
                <w:w w:val="95"/>
                <w:sz w:val="14"/>
              </w:rPr>
              <w:t>breastfeeding</w:t>
            </w:r>
            <w:r>
              <w:rPr>
                <w:color w:val="231F20"/>
                <w:spacing w:val="-19"/>
                <w:w w:val="95"/>
                <w:sz w:val="14"/>
              </w:rPr>
              <w:t xml:space="preserve"> </w:t>
            </w:r>
            <w:r>
              <w:rPr>
                <w:color w:val="231F20"/>
                <w:w w:val="95"/>
                <w:sz w:val="14"/>
              </w:rPr>
              <w:t>for the</w:t>
            </w:r>
            <w:r>
              <w:rPr>
                <w:color w:val="231F20"/>
                <w:spacing w:val="-26"/>
                <w:w w:val="95"/>
                <w:sz w:val="14"/>
              </w:rPr>
              <w:t xml:space="preserve"> </w:t>
            </w:r>
            <w:r>
              <w:rPr>
                <w:color w:val="231F20"/>
                <w:w w:val="95"/>
                <w:sz w:val="14"/>
              </w:rPr>
              <w:t>first</w:t>
            </w:r>
            <w:r>
              <w:rPr>
                <w:color w:val="231F20"/>
                <w:spacing w:val="-26"/>
                <w:w w:val="95"/>
                <w:sz w:val="14"/>
              </w:rPr>
              <w:t xml:space="preserve"> </w:t>
            </w:r>
            <w:r>
              <w:rPr>
                <w:color w:val="231F20"/>
                <w:w w:val="95"/>
                <w:sz w:val="14"/>
              </w:rPr>
              <w:t>six</w:t>
            </w:r>
            <w:r>
              <w:rPr>
                <w:color w:val="231F20"/>
                <w:spacing w:val="-25"/>
                <w:w w:val="95"/>
                <w:sz w:val="14"/>
              </w:rPr>
              <w:t xml:space="preserve"> </w:t>
            </w:r>
            <w:r>
              <w:rPr>
                <w:color w:val="231F20"/>
                <w:w w:val="95"/>
                <w:sz w:val="14"/>
              </w:rPr>
              <w:t>months</w:t>
            </w:r>
            <w:r>
              <w:rPr>
                <w:color w:val="231F20"/>
                <w:spacing w:val="-26"/>
                <w:w w:val="95"/>
                <w:sz w:val="14"/>
              </w:rPr>
              <w:t xml:space="preserve"> </w:t>
            </w:r>
            <w:r>
              <w:rPr>
                <w:color w:val="231F20"/>
                <w:w w:val="95"/>
                <w:sz w:val="14"/>
              </w:rPr>
              <w:t>of</w:t>
            </w:r>
            <w:r>
              <w:rPr>
                <w:color w:val="231F20"/>
                <w:spacing w:val="-25"/>
                <w:w w:val="95"/>
                <w:sz w:val="14"/>
              </w:rPr>
              <w:t xml:space="preserve"> </w:t>
            </w:r>
            <w:r>
              <w:rPr>
                <w:color w:val="231F20"/>
                <w:w w:val="95"/>
                <w:sz w:val="14"/>
              </w:rPr>
              <w:t>life</w:t>
            </w:r>
            <w:r>
              <w:rPr>
                <w:color w:val="231F20"/>
                <w:spacing w:val="-26"/>
                <w:w w:val="95"/>
                <w:sz w:val="14"/>
              </w:rPr>
              <w:t xml:space="preserve"> </w:t>
            </w:r>
            <w:r>
              <w:rPr>
                <w:color w:val="231F20"/>
                <w:w w:val="95"/>
                <w:sz w:val="14"/>
              </w:rPr>
              <w:t>and</w:t>
            </w:r>
            <w:r>
              <w:rPr>
                <w:color w:val="231F20"/>
                <w:spacing w:val="-25"/>
                <w:w w:val="95"/>
                <w:sz w:val="14"/>
              </w:rPr>
              <w:t xml:space="preserve"> </w:t>
            </w:r>
            <w:r>
              <w:rPr>
                <w:color w:val="231F20"/>
                <w:w w:val="95"/>
                <w:sz w:val="14"/>
              </w:rPr>
              <w:t>appropriate</w:t>
            </w:r>
            <w:r>
              <w:rPr>
                <w:color w:val="231F20"/>
                <w:spacing w:val="-26"/>
                <w:w w:val="95"/>
                <w:sz w:val="14"/>
              </w:rPr>
              <w:t xml:space="preserve"> </w:t>
            </w:r>
            <w:r>
              <w:rPr>
                <w:color w:val="231F20"/>
                <w:w w:val="95"/>
                <w:sz w:val="14"/>
              </w:rPr>
              <w:t xml:space="preserve">complimentary </w:t>
            </w:r>
            <w:r>
              <w:rPr>
                <w:color w:val="231F20"/>
                <w:sz w:val="14"/>
              </w:rPr>
              <w:t>feeding</w:t>
            </w:r>
          </w:p>
        </w:tc>
        <w:tc>
          <w:tcPr>
            <w:tcW w:w="2508" w:type="dxa"/>
            <w:tcBorders>
              <w:top w:val="single" w:sz="6" w:space="0" w:color="231F20"/>
              <w:left w:val="single" w:sz="6" w:space="0" w:color="231F20"/>
              <w:bottom w:val="single" w:sz="6" w:space="0" w:color="231F20"/>
              <w:right w:val="single" w:sz="6" w:space="0" w:color="231F20"/>
            </w:tcBorders>
            <w:shd w:val="clear" w:color="auto" w:fill="CCE7D3"/>
          </w:tcPr>
          <w:p w14:paraId="700B2FB9" w14:textId="77777777" w:rsidR="009948F1" w:rsidRDefault="00BC0563">
            <w:pPr>
              <w:pStyle w:val="TableParagraph"/>
              <w:numPr>
                <w:ilvl w:val="0"/>
                <w:numId w:val="189"/>
              </w:numPr>
              <w:tabs>
                <w:tab w:val="left" w:pos="74"/>
              </w:tabs>
              <w:spacing w:before="109" w:line="254" w:lineRule="auto"/>
              <w:ind w:right="113" w:firstLine="0"/>
              <w:rPr>
                <w:sz w:val="14"/>
              </w:rPr>
            </w:pPr>
            <w:r>
              <w:rPr>
                <w:color w:val="231F20"/>
                <w:w w:val="95"/>
                <w:sz w:val="14"/>
              </w:rPr>
              <w:t>The</w:t>
            </w:r>
            <w:r>
              <w:rPr>
                <w:color w:val="231F20"/>
                <w:spacing w:val="-26"/>
                <w:w w:val="95"/>
                <w:sz w:val="14"/>
              </w:rPr>
              <w:t xml:space="preserve"> </w:t>
            </w:r>
            <w:r>
              <w:rPr>
                <w:color w:val="231F20"/>
                <w:w w:val="95"/>
                <w:sz w:val="14"/>
              </w:rPr>
              <w:t>10</w:t>
            </w:r>
            <w:r>
              <w:rPr>
                <w:color w:val="231F20"/>
                <w:spacing w:val="-25"/>
                <w:w w:val="95"/>
                <w:sz w:val="14"/>
              </w:rPr>
              <w:t xml:space="preserve"> </w:t>
            </w:r>
            <w:r>
              <w:rPr>
                <w:color w:val="231F20"/>
                <w:w w:val="95"/>
                <w:sz w:val="14"/>
              </w:rPr>
              <w:t>steps</w:t>
            </w:r>
            <w:r>
              <w:rPr>
                <w:color w:val="231F20"/>
                <w:spacing w:val="-25"/>
                <w:w w:val="95"/>
                <w:sz w:val="14"/>
              </w:rPr>
              <w:t xml:space="preserve"> </w:t>
            </w:r>
            <w:r>
              <w:rPr>
                <w:color w:val="231F20"/>
                <w:w w:val="95"/>
                <w:sz w:val="14"/>
              </w:rPr>
              <w:t>to</w:t>
            </w:r>
            <w:r>
              <w:rPr>
                <w:color w:val="231F20"/>
                <w:spacing w:val="-26"/>
                <w:w w:val="95"/>
                <w:sz w:val="14"/>
              </w:rPr>
              <w:t xml:space="preserve"> </w:t>
            </w:r>
            <w:r>
              <w:rPr>
                <w:color w:val="231F20"/>
                <w:w w:val="95"/>
                <w:sz w:val="14"/>
              </w:rPr>
              <w:t>successful</w:t>
            </w:r>
            <w:r>
              <w:rPr>
                <w:color w:val="231F20"/>
                <w:spacing w:val="-25"/>
                <w:w w:val="95"/>
                <w:sz w:val="14"/>
              </w:rPr>
              <w:t xml:space="preserve"> </w:t>
            </w:r>
            <w:r>
              <w:rPr>
                <w:color w:val="231F20"/>
                <w:w w:val="95"/>
                <w:sz w:val="14"/>
              </w:rPr>
              <w:t>breast</w:t>
            </w:r>
            <w:r>
              <w:rPr>
                <w:color w:val="231F20"/>
                <w:spacing w:val="-25"/>
                <w:w w:val="95"/>
                <w:sz w:val="14"/>
              </w:rPr>
              <w:t xml:space="preserve"> </w:t>
            </w:r>
            <w:r>
              <w:rPr>
                <w:color w:val="231F20"/>
                <w:w w:val="95"/>
                <w:sz w:val="14"/>
              </w:rPr>
              <w:t xml:space="preserve">feeding </w:t>
            </w:r>
            <w:r>
              <w:rPr>
                <w:color w:val="231F20"/>
                <w:w w:val="90"/>
                <w:sz w:val="14"/>
              </w:rPr>
              <w:t>initiated</w:t>
            </w:r>
            <w:r>
              <w:rPr>
                <w:color w:val="231F20"/>
                <w:spacing w:val="-6"/>
                <w:w w:val="90"/>
                <w:sz w:val="14"/>
              </w:rPr>
              <w:t xml:space="preserve"> </w:t>
            </w:r>
            <w:r>
              <w:rPr>
                <w:color w:val="231F20"/>
                <w:w w:val="90"/>
                <w:sz w:val="14"/>
              </w:rPr>
              <w:t>in</w:t>
            </w:r>
            <w:r>
              <w:rPr>
                <w:color w:val="231F20"/>
                <w:spacing w:val="-5"/>
                <w:w w:val="90"/>
                <w:sz w:val="14"/>
              </w:rPr>
              <w:t xml:space="preserve"> </w:t>
            </w:r>
            <w:r>
              <w:rPr>
                <w:color w:val="231F20"/>
                <w:w w:val="90"/>
                <w:sz w:val="14"/>
              </w:rPr>
              <w:t>every</w:t>
            </w:r>
            <w:r>
              <w:rPr>
                <w:color w:val="231F20"/>
                <w:spacing w:val="-6"/>
                <w:w w:val="90"/>
                <w:sz w:val="14"/>
              </w:rPr>
              <w:t xml:space="preserve"> </w:t>
            </w:r>
            <w:r>
              <w:rPr>
                <w:color w:val="231F20"/>
                <w:w w:val="90"/>
                <w:sz w:val="14"/>
              </w:rPr>
              <w:t>maternity</w:t>
            </w:r>
            <w:r>
              <w:rPr>
                <w:color w:val="231F20"/>
                <w:spacing w:val="-5"/>
                <w:w w:val="90"/>
                <w:sz w:val="14"/>
              </w:rPr>
              <w:t xml:space="preserve"> </w:t>
            </w:r>
            <w:r>
              <w:rPr>
                <w:color w:val="231F20"/>
                <w:w w:val="90"/>
                <w:sz w:val="14"/>
              </w:rPr>
              <w:t>home</w:t>
            </w:r>
            <w:r>
              <w:rPr>
                <w:color w:val="231F20"/>
                <w:spacing w:val="-5"/>
                <w:w w:val="90"/>
                <w:sz w:val="14"/>
              </w:rPr>
              <w:t xml:space="preserve"> </w:t>
            </w:r>
            <w:r>
              <w:rPr>
                <w:color w:val="231F20"/>
                <w:w w:val="90"/>
                <w:sz w:val="14"/>
              </w:rPr>
              <w:t>practices</w:t>
            </w:r>
          </w:p>
          <w:p w14:paraId="7832C537" w14:textId="77777777" w:rsidR="009948F1" w:rsidRDefault="00BC0563">
            <w:pPr>
              <w:pStyle w:val="TableParagraph"/>
              <w:numPr>
                <w:ilvl w:val="0"/>
                <w:numId w:val="189"/>
              </w:numPr>
              <w:tabs>
                <w:tab w:val="left" w:pos="108"/>
              </w:tabs>
              <w:spacing w:line="254" w:lineRule="auto"/>
              <w:ind w:right="106" w:firstLine="0"/>
              <w:rPr>
                <w:sz w:val="14"/>
              </w:rPr>
            </w:pPr>
            <w:r>
              <w:rPr>
                <w:color w:val="231F20"/>
                <w:w w:val="90"/>
                <w:sz w:val="14"/>
              </w:rPr>
              <w:t>Mass media edutainment and</w:t>
            </w:r>
            <w:r>
              <w:rPr>
                <w:color w:val="231F20"/>
                <w:spacing w:val="-26"/>
                <w:w w:val="90"/>
                <w:sz w:val="14"/>
              </w:rPr>
              <w:t xml:space="preserve"> </w:t>
            </w:r>
            <w:r>
              <w:rPr>
                <w:color w:val="231F20"/>
                <w:w w:val="90"/>
                <w:sz w:val="14"/>
              </w:rPr>
              <w:t xml:space="preserve">community </w:t>
            </w:r>
            <w:r>
              <w:rPr>
                <w:color w:val="231F20"/>
                <w:w w:val="95"/>
                <w:sz w:val="14"/>
              </w:rPr>
              <w:t xml:space="preserve">engagement/sensitization on Exclusive </w:t>
            </w:r>
            <w:r>
              <w:rPr>
                <w:color w:val="231F20"/>
                <w:sz w:val="14"/>
              </w:rPr>
              <w:t>Breast Feeding (EBF)</w:t>
            </w:r>
            <w:r>
              <w:rPr>
                <w:color w:val="231F20"/>
                <w:spacing w:val="-24"/>
                <w:sz w:val="14"/>
              </w:rPr>
              <w:t xml:space="preserve"> </w:t>
            </w:r>
            <w:r>
              <w:rPr>
                <w:color w:val="231F20"/>
                <w:sz w:val="14"/>
              </w:rPr>
              <w:t>intensified</w:t>
            </w:r>
          </w:p>
          <w:p w14:paraId="4EC4B64E" w14:textId="77777777" w:rsidR="009948F1" w:rsidRDefault="00BC0563">
            <w:pPr>
              <w:pStyle w:val="TableParagraph"/>
              <w:numPr>
                <w:ilvl w:val="0"/>
                <w:numId w:val="189"/>
              </w:numPr>
              <w:tabs>
                <w:tab w:val="left" w:pos="101"/>
              </w:tabs>
              <w:spacing w:line="254" w:lineRule="auto"/>
              <w:ind w:right="238" w:firstLine="0"/>
              <w:rPr>
                <w:sz w:val="14"/>
              </w:rPr>
            </w:pPr>
            <w:r>
              <w:rPr>
                <w:color w:val="231F20"/>
                <w:w w:val="95"/>
                <w:sz w:val="14"/>
              </w:rPr>
              <w:t>At</w:t>
            </w:r>
            <w:r>
              <w:rPr>
                <w:color w:val="231F20"/>
                <w:spacing w:val="-21"/>
                <w:w w:val="95"/>
                <w:sz w:val="14"/>
              </w:rPr>
              <w:t xml:space="preserve"> </w:t>
            </w:r>
            <w:r>
              <w:rPr>
                <w:color w:val="231F20"/>
                <w:w w:val="95"/>
                <w:sz w:val="14"/>
              </w:rPr>
              <w:t>least</w:t>
            </w:r>
            <w:r>
              <w:rPr>
                <w:color w:val="231F20"/>
                <w:spacing w:val="-20"/>
                <w:w w:val="95"/>
                <w:sz w:val="14"/>
              </w:rPr>
              <w:t xml:space="preserve"> </w:t>
            </w:r>
            <w:r>
              <w:rPr>
                <w:color w:val="231F20"/>
                <w:w w:val="95"/>
                <w:sz w:val="14"/>
              </w:rPr>
              <w:t>750</w:t>
            </w:r>
            <w:r>
              <w:rPr>
                <w:color w:val="231F20"/>
                <w:spacing w:val="-20"/>
                <w:w w:val="95"/>
                <w:sz w:val="14"/>
              </w:rPr>
              <w:t xml:space="preserve"> </w:t>
            </w:r>
            <w:r>
              <w:rPr>
                <w:color w:val="231F20"/>
                <w:w w:val="95"/>
                <w:sz w:val="14"/>
              </w:rPr>
              <w:t>copies</w:t>
            </w:r>
            <w:r>
              <w:rPr>
                <w:color w:val="231F20"/>
                <w:spacing w:val="-21"/>
                <w:w w:val="95"/>
                <w:sz w:val="14"/>
              </w:rPr>
              <w:t xml:space="preserve"> </w:t>
            </w:r>
            <w:r>
              <w:rPr>
                <w:color w:val="231F20"/>
                <w:w w:val="95"/>
                <w:sz w:val="14"/>
              </w:rPr>
              <w:t>of</w:t>
            </w:r>
            <w:r>
              <w:rPr>
                <w:color w:val="231F20"/>
                <w:spacing w:val="-20"/>
                <w:w w:val="95"/>
                <w:sz w:val="14"/>
              </w:rPr>
              <w:t xml:space="preserve"> </w:t>
            </w:r>
            <w:r>
              <w:rPr>
                <w:color w:val="231F20"/>
                <w:w w:val="95"/>
                <w:sz w:val="14"/>
              </w:rPr>
              <w:t>IEC</w:t>
            </w:r>
            <w:r>
              <w:rPr>
                <w:color w:val="231F20"/>
                <w:spacing w:val="-20"/>
                <w:w w:val="95"/>
                <w:sz w:val="14"/>
              </w:rPr>
              <w:t xml:space="preserve"> </w:t>
            </w:r>
            <w:r>
              <w:rPr>
                <w:color w:val="231F20"/>
                <w:w w:val="95"/>
                <w:sz w:val="14"/>
              </w:rPr>
              <w:t>materials</w:t>
            </w:r>
            <w:r>
              <w:rPr>
                <w:color w:val="231F20"/>
                <w:spacing w:val="-20"/>
                <w:w w:val="95"/>
                <w:sz w:val="14"/>
              </w:rPr>
              <w:t xml:space="preserve"> </w:t>
            </w:r>
            <w:r>
              <w:rPr>
                <w:color w:val="231F20"/>
                <w:w w:val="95"/>
                <w:sz w:val="14"/>
              </w:rPr>
              <w:t>on EBF</w:t>
            </w:r>
            <w:r>
              <w:rPr>
                <w:color w:val="231F20"/>
                <w:spacing w:val="-16"/>
                <w:w w:val="95"/>
                <w:sz w:val="14"/>
              </w:rPr>
              <w:t xml:space="preserve"> </w:t>
            </w:r>
            <w:r>
              <w:rPr>
                <w:color w:val="231F20"/>
                <w:w w:val="95"/>
                <w:sz w:val="14"/>
              </w:rPr>
              <w:t>developed,</w:t>
            </w:r>
            <w:r>
              <w:rPr>
                <w:color w:val="231F20"/>
                <w:spacing w:val="-16"/>
                <w:w w:val="95"/>
                <w:sz w:val="14"/>
              </w:rPr>
              <w:t xml:space="preserve"> </w:t>
            </w:r>
            <w:r>
              <w:rPr>
                <w:color w:val="231F20"/>
                <w:w w:val="95"/>
                <w:sz w:val="14"/>
              </w:rPr>
              <w:t>printed</w:t>
            </w:r>
            <w:r>
              <w:rPr>
                <w:color w:val="231F20"/>
                <w:spacing w:val="-16"/>
                <w:w w:val="95"/>
                <w:sz w:val="14"/>
              </w:rPr>
              <w:t xml:space="preserve"> </w:t>
            </w:r>
            <w:r>
              <w:rPr>
                <w:color w:val="231F20"/>
                <w:w w:val="95"/>
                <w:sz w:val="14"/>
              </w:rPr>
              <w:t>&amp;</w:t>
            </w:r>
            <w:r>
              <w:rPr>
                <w:color w:val="231F20"/>
                <w:spacing w:val="-16"/>
                <w:w w:val="95"/>
                <w:sz w:val="14"/>
              </w:rPr>
              <w:t xml:space="preserve"> </w:t>
            </w:r>
            <w:r>
              <w:rPr>
                <w:color w:val="231F20"/>
                <w:w w:val="95"/>
                <w:sz w:val="14"/>
              </w:rPr>
              <w:t>distributed</w:t>
            </w:r>
          </w:p>
        </w:tc>
        <w:tc>
          <w:tcPr>
            <w:tcW w:w="1502" w:type="dxa"/>
            <w:tcBorders>
              <w:top w:val="single" w:sz="6" w:space="0" w:color="231F20"/>
              <w:left w:val="single" w:sz="6" w:space="0" w:color="231F20"/>
              <w:bottom w:val="single" w:sz="6" w:space="0" w:color="231F20"/>
            </w:tcBorders>
            <w:shd w:val="clear" w:color="auto" w:fill="CCE7D3"/>
          </w:tcPr>
          <w:p w14:paraId="6B92BAC1" w14:textId="77777777" w:rsidR="009948F1" w:rsidRDefault="009948F1">
            <w:pPr>
              <w:pStyle w:val="TableParagraph"/>
              <w:rPr>
                <w:rFonts w:ascii="Times New Roman"/>
                <w:sz w:val="12"/>
              </w:rPr>
            </w:pPr>
          </w:p>
        </w:tc>
        <w:tc>
          <w:tcPr>
            <w:tcW w:w="1582" w:type="dxa"/>
            <w:tcBorders>
              <w:top w:val="single" w:sz="6" w:space="0" w:color="231F20"/>
              <w:bottom w:val="single" w:sz="6" w:space="0" w:color="231F20"/>
              <w:right w:val="single" w:sz="6" w:space="0" w:color="231F20"/>
            </w:tcBorders>
            <w:shd w:val="clear" w:color="auto" w:fill="CCE7D3"/>
          </w:tcPr>
          <w:p w14:paraId="771377F2" w14:textId="77777777" w:rsidR="009948F1" w:rsidRDefault="009948F1">
            <w:pPr>
              <w:pStyle w:val="TableParagraph"/>
              <w:rPr>
                <w:rFonts w:ascii="Times New Roman"/>
                <w:sz w:val="12"/>
              </w:rPr>
            </w:pPr>
          </w:p>
        </w:tc>
      </w:tr>
      <w:tr w:rsidR="009948F1" w14:paraId="7B141D54" w14:textId="77777777">
        <w:trPr>
          <w:trHeight w:val="640"/>
        </w:trPr>
        <w:tc>
          <w:tcPr>
            <w:tcW w:w="472" w:type="dxa"/>
            <w:vMerge w:val="restart"/>
            <w:tcBorders>
              <w:top w:val="single" w:sz="6" w:space="0" w:color="231F20"/>
              <w:bottom w:val="single" w:sz="6" w:space="0" w:color="231F20"/>
              <w:right w:val="single" w:sz="6" w:space="0" w:color="231F20"/>
            </w:tcBorders>
          </w:tcPr>
          <w:p w14:paraId="6E781E94" w14:textId="77777777" w:rsidR="009948F1" w:rsidRDefault="009948F1">
            <w:pPr>
              <w:pStyle w:val="TableParagraph"/>
              <w:rPr>
                <w:rFonts w:ascii="Times New Roman"/>
                <w:sz w:val="12"/>
              </w:rPr>
            </w:pPr>
          </w:p>
        </w:tc>
        <w:tc>
          <w:tcPr>
            <w:tcW w:w="553" w:type="dxa"/>
            <w:tcBorders>
              <w:top w:val="single" w:sz="6" w:space="0" w:color="231F20"/>
              <w:left w:val="single" w:sz="6" w:space="0" w:color="231F20"/>
              <w:bottom w:val="single" w:sz="6" w:space="0" w:color="231F20"/>
              <w:right w:val="single" w:sz="6" w:space="0" w:color="231F20"/>
            </w:tcBorders>
          </w:tcPr>
          <w:p w14:paraId="113A0D9A" w14:textId="77777777" w:rsidR="009948F1" w:rsidRDefault="009948F1">
            <w:pPr>
              <w:pStyle w:val="TableParagraph"/>
              <w:spacing w:before="1"/>
              <w:rPr>
                <w:sz w:val="20"/>
              </w:rPr>
            </w:pPr>
          </w:p>
          <w:p w14:paraId="7B288DE8" w14:textId="77777777" w:rsidR="009948F1" w:rsidRDefault="00BC0563">
            <w:pPr>
              <w:pStyle w:val="TableParagraph"/>
              <w:ind w:right="63"/>
              <w:jc w:val="right"/>
              <w:rPr>
                <w:sz w:val="14"/>
              </w:rPr>
            </w:pPr>
            <w:r>
              <w:rPr>
                <w:color w:val="231F20"/>
                <w:w w:val="90"/>
                <w:sz w:val="14"/>
              </w:rPr>
              <w:t>4.4.3.a</w:t>
            </w:r>
          </w:p>
        </w:tc>
        <w:tc>
          <w:tcPr>
            <w:tcW w:w="5150" w:type="dxa"/>
            <w:gridSpan w:val="2"/>
            <w:tcBorders>
              <w:top w:val="single" w:sz="6" w:space="0" w:color="231F20"/>
              <w:left w:val="single" w:sz="6" w:space="0" w:color="231F20"/>
              <w:bottom w:val="single" w:sz="6" w:space="0" w:color="231F20"/>
              <w:right w:val="single" w:sz="6" w:space="0" w:color="231F20"/>
            </w:tcBorders>
          </w:tcPr>
          <w:p w14:paraId="5DD8E9A0" w14:textId="77777777" w:rsidR="009948F1" w:rsidRDefault="00BC0563">
            <w:pPr>
              <w:pStyle w:val="TableParagraph"/>
              <w:spacing w:before="55" w:line="254" w:lineRule="auto"/>
              <w:ind w:left="28" w:right="130"/>
              <w:rPr>
                <w:sz w:val="14"/>
              </w:rPr>
            </w:pPr>
            <w:r>
              <w:rPr>
                <w:color w:val="231F20"/>
                <w:w w:val="95"/>
                <w:sz w:val="14"/>
              </w:rPr>
              <w:t>Promote</w:t>
            </w:r>
            <w:r>
              <w:rPr>
                <w:color w:val="231F20"/>
                <w:spacing w:val="-21"/>
                <w:w w:val="95"/>
                <w:sz w:val="14"/>
              </w:rPr>
              <w:t xml:space="preserve"> </w:t>
            </w:r>
            <w:r>
              <w:rPr>
                <w:color w:val="231F20"/>
                <w:w w:val="95"/>
                <w:sz w:val="14"/>
              </w:rPr>
              <w:t>early</w:t>
            </w:r>
            <w:r>
              <w:rPr>
                <w:color w:val="231F20"/>
                <w:spacing w:val="-20"/>
                <w:w w:val="95"/>
                <w:sz w:val="14"/>
              </w:rPr>
              <w:t xml:space="preserve"> </w:t>
            </w:r>
            <w:r>
              <w:rPr>
                <w:color w:val="231F20"/>
                <w:w w:val="95"/>
                <w:sz w:val="14"/>
              </w:rPr>
              <w:t>initiation</w:t>
            </w:r>
            <w:r>
              <w:rPr>
                <w:color w:val="231F20"/>
                <w:spacing w:val="-20"/>
                <w:w w:val="95"/>
                <w:sz w:val="14"/>
              </w:rPr>
              <w:t xml:space="preserve"> </w:t>
            </w:r>
            <w:r>
              <w:rPr>
                <w:color w:val="231F20"/>
                <w:w w:val="95"/>
                <w:sz w:val="14"/>
              </w:rPr>
              <w:t>of</w:t>
            </w:r>
            <w:r>
              <w:rPr>
                <w:color w:val="231F20"/>
                <w:spacing w:val="-20"/>
                <w:w w:val="95"/>
                <w:sz w:val="14"/>
              </w:rPr>
              <w:t xml:space="preserve"> </w:t>
            </w:r>
            <w:r>
              <w:rPr>
                <w:color w:val="231F20"/>
                <w:w w:val="95"/>
                <w:sz w:val="14"/>
              </w:rPr>
              <w:t>breastfeeding</w:t>
            </w:r>
            <w:r>
              <w:rPr>
                <w:color w:val="231F20"/>
                <w:spacing w:val="-20"/>
                <w:w w:val="95"/>
                <w:sz w:val="14"/>
              </w:rPr>
              <w:t xml:space="preserve"> </w:t>
            </w:r>
            <w:r>
              <w:rPr>
                <w:color w:val="231F20"/>
                <w:w w:val="95"/>
                <w:sz w:val="14"/>
              </w:rPr>
              <w:t>including</w:t>
            </w:r>
            <w:r>
              <w:rPr>
                <w:color w:val="231F20"/>
                <w:spacing w:val="-20"/>
                <w:w w:val="95"/>
                <w:sz w:val="14"/>
              </w:rPr>
              <w:t xml:space="preserve"> </w:t>
            </w:r>
            <w:r>
              <w:rPr>
                <w:color w:val="231F20"/>
                <w:w w:val="95"/>
                <w:sz w:val="14"/>
              </w:rPr>
              <w:t>promotion</w:t>
            </w:r>
            <w:r>
              <w:rPr>
                <w:color w:val="231F20"/>
                <w:spacing w:val="-21"/>
                <w:w w:val="95"/>
                <w:sz w:val="14"/>
              </w:rPr>
              <w:t xml:space="preserve"> </w:t>
            </w:r>
            <w:r>
              <w:rPr>
                <w:color w:val="231F20"/>
                <w:w w:val="95"/>
                <w:sz w:val="14"/>
              </w:rPr>
              <w:t>of</w:t>
            </w:r>
            <w:r>
              <w:rPr>
                <w:color w:val="231F20"/>
                <w:spacing w:val="-20"/>
                <w:w w:val="95"/>
                <w:sz w:val="14"/>
              </w:rPr>
              <w:t xml:space="preserve"> </w:t>
            </w:r>
            <w:r>
              <w:rPr>
                <w:color w:val="231F20"/>
                <w:w w:val="95"/>
                <w:sz w:val="14"/>
              </w:rPr>
              <w:t>Hospital</w:t>
            </w:r>
            <w:r>
              <w:rPr>
                <w:color w:val="231F20"/>
                <w:spacing w:val="-20"/>
                <w:w w:val="95"/>
                <w:sz w:val="14"/>
              </w:rPr>
              <w:t xml:space="preserve"> </w:t>
            </w:r>
            <w:r>
              <w:rPr>
                <w:color w:val="231F20"/>
                <w:w w:val="95"/>
                <w:sz w:val="14"/>
              </w:rPr>
              <w:t>Baby</w:t>
            </w:r>
            <w:r>
              <w:rPr>
                <w:color w:val="231F20"/>
                <w:spacing w:val="-20"/>
                <w:w w:val="95"/>
                <w:sz w:val="14"/>
              </w:rPr>
              <w:t xml:space="preserve"> </w:t>
            </w:r>
            <w:r>
              <w:rPr>
                <w:color w:val="231F20"/>
                <w:w w:val="95"/>
                <w:sz w:val="14"/>
              </w:rPr>
              <w:t>Friendly Initiative</w:t>
            </w:r>
            <w:r>
              <w:rPr>
                <w:color w:val="231F20"/>
                <w:spacing w:val="-10"/>
                <w:w w:val="95"/>
                <w:sz w:val="14"/>
              </w:rPr>
              <w:t xml:space="preserve"> </w:t>
            </w:r>
            <w:r>
              <w:rPr>
                <w:color w:val="231F20"/>
                <w:w w:val="95"/>
                <w:sz w:val="14"/>
              </w:rPr>
              <w:t>(HBFI),</w:t>
            </w:r>
            <w:r>
              <w:rPr>
                <w:color w:val="231F20"/>
                <w:spacing w:val="-24"/>
                <w:w w:val="95"/>
                <w:sz w:val="14"/>
              </w:rPr>
              <w:t xml:space="preserve"> </w:t>
            </w:r>
            <w:r>
              <w:rPr>
                <w:color w:val="231F20"/>
                <w:w w:val="95"/>
                <w:sz w:val="14"/>
              </w:rPr>
              <w:t>so</w:t>
            </w:r>
            <w:r>
              <w:rPr>
                <w:color w:val="231F20"/>
                <w:spacing w:val="-23"/>
                <w:w w:val="95"/>
                <w:sz w:val="14"/>
              </w:rPr>
              <w:t xml:space="preserve"> </w:t>
            </w:r>
            <w:r>
              <w:rPr>
                <w:color w:val="231F20"/>
                <w:w w:val="95"/>
                <w:sz w:val="14"/>
              </w:rPr>
              <w:t>that</w:t>
            </w:r>
            <w:r>
              <w:rPr>
                <w:color w:val="231F20"/>
                <w:spacing w:val="-24"/>
                <w:w w:val="95"/>
                <w:sz w:val="14"/>
              </w:rPr>
              <w:t xml:space="preserve"> </w:t>
            </w:r>
            <w:r>
              <w:rPr>
                <w:color w:val="231F20"/>
                <w:w w:val="95"/>
                <w:sz w:val="14"/>
              </w:rPr>
              <w:t>every</w:t>
            </w:r>
            <w:r>
              <w:rPr>
                <w:color w:val="231F20"/>
                <w:spacing w:val="-23"/>
                <w:w w:val="95"/>
                <w:sz w:val="14"/>
              </w:rPr>
              <w:t xml:space="preserve"> </w:t>
            </w:r>
            <w:r>
              <w:rPr>
                <w:color w:val="231F20"/>
                <w:w w:val="95"/>
                <w:sz w:val="14"/>
              </w:rPr>
              <w:t>maternity</w:t>
            </w:r>
            <w:r>
              <w:rPr>
                <w:color w:val="231F20"/>
                <w:spacing w:val="-24"/>
                <w:w w:val="95"/>
                <w:sz w:val="14"/>
              </w:rPr>
              <w:t xml:space="preserve"> </w:t>
            </w:r>
            <w:r>
              <w:rPr>
                <w:color w:val="231F20"/>
                <w:w w:val="95"/>
                <w:sz w:val="14"/>
              </w:rPr>
              <w:t>home</w:t>
            </w:r>
            <w:r>
              <w:rPr>
                <w:color w:val="231F20"/>
                <w:spacing w:val="-23"/>
                <w:w w:val="95"/>
                <w:sz w:val="14"/>
              </w:rPr>
              <w:t xml:space="preserve"> </w:t>
            </w:r>
            <w:r>
              <w:rPr>
                <w:color w:val="231F20"/>
                <w:w w:val="95"/>
                <w:sz w:val="14"/>
              </w:rPr>
              <w:t>practices</w:t>
            </w:r>
            <w:r>
              <w:rPr>
                <w:color w:val="231F20"/>
                <w:spacing w:val="-24"/>
                <w:w w:val="95"/>
                <w:sz w:val="14"/>
              </w:rPr>
              <w:t xml:space="preserve"> </w:t>
            </w:r>
            <w:r>
              <w:rPr>
                <w:color w:val="231F20"/>
                <w:w w:val="95"/>
                <w:sz w:val="14"/>
              </w:rPr>
              <w:t>the</w:t>
            </w:r>
            <w:r>
              <w:rPr>
                <w:color w:val="231F20"/>
                <w:spacing w:val="-23"/>
                <w:w w:val="95"/>
                <w:sz w:val="14"/>
              </w:rPr>
              <w:t xml:space="preserve"> </w:t>
            </w:r>
            <w:r>
              <w:rPr>
                <w:color w:val="231F20"/>
                <w:w w:val="95"/>
                <w:sz w:val="14"/>
              </w:rPr>
              <w:t>10</w:t>
            </w:r>
            <w:r>
              <w:rPr>
                <w:color w:val="231F20"/>
                <w:spacing w:val="-24"/>
                <w:w w:val="95"/>
                <w:sz w:val="14"/>
              </w:rPr>
              <w:t xml:space="preserve"> </w:t>
            </w:r>
            <w:r>
              <w:rPr>
                <w:color w:val="231F20"/>
                <w:w w:val="95"/>
                <w:sz w:val="14"/>
              </w:rPr>
              <w:t>steps</w:t>
            </w:r>
            <w:r>
              <w:rPr>
                <w:color w:val="231F20"/>
                <w:spacing w:val="-23"/>
                <w:w w:val="95"/>
                <w:sz w:val="14"/>
              </w:rPr>
              <w:t xml:space="preserve"> </w:t>
            </w:r>
            <w:r>
              <w:rPr>
                <w:color w:val="231F20"/>
                <w:w w:val="95"/>
                <w:sz w:val="14"/>
              </w:rPr>
              <w:t>to</w:t>
            </w:r>
            <w:r>
              <w:rPr>
                <w:color w:val="231F20"/>
                <w:spacing w:val="-24"/>
                <w:w w:val="95"/>
                <w:sz w:val="14"/>
              </w:rPr>
              <w:t xml:space="preserve"> </w:t>
            </w:r>
            <w:r>
              <w:rPr>
                <w:color w:val="231F20"/>
                <w:w w:val="95"/>
                <w:sz w:val="14"/>
              </w:rPr>
              <w:t>successful</w:t>
            </w:r>
            <w:r>
              <w:rPr>
                <w:color w:val="231F20"/>
                <w:spacing w:val="-23"/>
                <w:w w:val="95"/>
                <w:sz w:val="14"/>
              </w:rPr>
              <w:t xml:space="preserve"> </w:t>
            </w:r>
            <w:r>
              <w:rPr>
                <w:color w:val="231F20"/>
                <w:w w:val="95"/>
                <w:sz w:val="14"/>
              </w:rPr>
              <w:t xml:space="preserve">breast </w:t>
            </w:r>
            <w:r>
              <w:rPr>
                <w:color w:val="231F20"/>
                <w:sz w:val="14"/>
              </w:rPr>
              <w:t>feeding</w:t>
            </w:r>
          </w:p>
        </w:tc>
        <w:tc>
          <w:tcPr>
            <w:tcW w:w="1502" w:type="dxa"/>
            <w:tcBorders>
              <w:top w:val="single" w:sz="6" w:space="0" w:color="231F20"/>
              <w:left w:val="single" w:sz="6" w:space="0" w:color="231F20"/>
              <w:bottom w:val="single" w:sz="6" w:space="0" w:color="231F20"/>
              <w:right w:val="single" w:sz="6" w:space="0" w:color="231F20"/>
            </w:tcBorders>
          </w:tcPr>
          <w:p w14:paraId="65879223" w14:textId="77777777" w:rsidR="009948F1" w:rsidRDefault="009948F1">
            <w:pPr>
              <w:pStyle w:val="TableParagraph"/>
              <w:spacing w:before="1"/>
              <w:rPr>
                <w:sz w:val="20"/>
              </w:rPr>
            </w:pPr>
          </w:p>
          <w:p w14:paraId="1CFE41F4" w14:textId="77777777" w:rsidR="009948F1" w:rsidRDefault="00BC0563">
            <w:pPr>
              <w:pStyle w:val="TableParagraph"/>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6134DD12" w14:textId="77777777" w:rsidR="009948F1" w:rsidRDefault="009948F1">
            <w:pPr>
              <w:pStyle w:val="TableParagraph"/>
              <w:spacing w:before="1"/>
              <w:rPr>
                <w:sz w:val="20"/>
              </w:rPr>
            </w:pPr>
          </w:p>
          <w:p w14:paraId="4411D48E" w14:textId="77777777" w:rsidR="009948F1" w:rsidRDefault="00BC0563">
            <w:pPr>
              <w:pStyle w:val="TableParagraph"/>
              <w:ind w:left="29"/>
              <w:rPr>
                <w:sz w:val="14"/>
              </w:rPr>
            </w:pPr>
            <w:r>
              <w:rPr>
                <w:color w:val="231F20"/>
                <w:sz w:val="14"/>
              </w:rPr>
              <w:t>No cost</w:t>
            </w:r>
          </w:p>
        </w:tc>
      </w:tr>
      <w:tr w:rsidR="009948F1" w14:paraId="3BD37477" w14:textId="77777777">
        <w:trPr>
          <w:trHeight w:val="316"/>
        </w:trPr>
        <w:tc>
          <w:tcPr>
            <w:tcW w:w="472" w:type="dxa"/>
            <w:vMerge/>
            <w:tcBorders>
              <w:top w:val="nil"/>
              <w:bottom w:val="single" w:sz="6" w:space="0" w:color="231F20"/>
              <w:right w:val="single" w:sz="6" w:space="0" w:color="231F20"/>
            </w:tcBorders>
          </w:tcPr>
          <w:p w14:paraId="4DB6263C"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5FE5BC6A" w14:textId="77777777" w:rsidR="009948F1" w:rsidRDefault="00BC0563">
            <w:pPr>
              <w:pStyle w:val="TableParagraph"/>
              <w:spacing w:before="70"/>
              <w:ind w:right="63"/>
              <w:jc w:val="right"/>
              <w:rPr>
                <w:sz w:val="14"/>
              </w:rPr>
            </w:pPr>
            <w:r>
              <w:rPr>
                <w:color w:val="231F20"/>
                <w:w w:val="90"/>
                <w:sz w:val="14"/>
              </w:rPr>
              <w:t>4.4.3.b</w:t>
            </w:r>
          </w:p>
        </w:tc>
        <w:tc>
          <w:tcPr>
            <w:tcW w:w="5150" w:type="dxa"/>
            <w:gridSpan w:val="2"/>
            <w:tcBorders>
              <w:top w:val="single" w:sz="6" w:space="0" w:color="231F20"/>
              <w:left w:val="single" w:sz="6" w:space="0" w:color="231F20"/>
              <w:bottom w:val="single" w:sz="6" w:space="0" w:color="231F20"/>
              <w:right w:val="single" w:sz="6" w:space="0" w:color="231F20"/>
            </w:tcBorders>
          </w:tcPr>
          <w:p w14:paraId="0B7A0893" w14:textId="77777777" w:rsidR="009948F1" w:rsidRDefault="00BC0563">
            <w:pPr>
              <w:pStyle w:val="TableParagraph"/>
              <w:spacing w:line="151" w:lineRule="exact"/>
              <w:ind w:left="62"/>
              <w:rPr>
                <w:sz w:val="14"/>
              </w:rPr>
            </w:pPr>
            <w:r>
              <w:rPr>
                <w:color w:val="231F20"/>
                <w:w w:val="90"/>
                <w:sz w:val="14"/>
              </w:rPr>
              <w:t>Intensify mass media edutainment and community engagement/sensitization on Exclusive</w:t>
            </w:r>
          </w:p>
          <w:p w14:paraId="63A7AF9D" w14:textId="77777777" w:rsidR="009948F1" w:rsidRDefault="00BC0563">
            <w:pPr>
              <w:pStyle w:val="TableParagraph"/>
              <w:spacing w:before="10" w:line="136" w:lineRule="exact"/>
              <w:ind w:left="28"/>
              <w:rPr>
                <w:sz w:val="14"/>
              </w:rPr>
            </w:pPr>
            <w:r>
              <w:rPr>
                <w:color w:val="231F20"/>
                <w:sz w:val="14"/>
              </w:rPr>
              <w:t>Breast Feeding (EBF)</w:t>
            </w:r>
          </w:p>
        </w:tc>
        <w:tc>
          <w:tcPr>
            <w:tcW w:w="1502" w:type="dxa"/>
            <w:tcBorders>
              <w:top w:val="single" w:sz="6" w:space="0" w:color="231F20"/>
              <w:left w:val="single" w:sz="6" w:space="0" w:color="231F20"/>
              <w:bottom w:val="single" w:sz="6" w:space="0" w:color="231F20"/>
              <w:right w:val="single" w:sz="6" w:space="0" w:color="231F20"/>
            </w:tcBorders>
          </w:tcPr>
          <w:p w14:paraId="33090D6D" w14:textId="77777777" w:rsidR="009948F1" w:rsidRDefault="00BC0563">
            <w:pPr>
              <w:pStyle w:val="TableParagraph"/>
              <w:spacing w:before="70"/>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7D54DDF1" w14:textId="77777777" w:rsidR="009948F1" w:rsidRDefault="00BC0563">
            <w:pPr>
              <w:pStyle w:val="TableParagraph"/>
              <w:spacing w:before="70"/>
              <w:ind w:left="29"/>
              <w:rPr>
                <w:sz w:val="14"/>
              </w:rPr>
            </w:pPr>
            <w:r>
              <w:rPr>
                <w:color w:val="231F20"/>
                <w:sz w:val="14"/>
              </w:rPr>
              <w:t>Public education</w:t>
            </w:r>
          </w:p>
        </w:tc>
      </w:tr>
      <w:tr w:rsidR="009948F1" w14:paraId="01DBC32D" w14:textId="77777777">
        <w:trPr>
          <w:trHeight w:val="333"/>
        </w:trPr>
        <w:tc>
          <w:tcPr>
            <w:tcW w:w="472" w:type="dxa"/>
            <w:vMerge/>
            <w:tcBorders>
              <w:top w:val="nil"/>
              <w:bottom w:val="single" w:sz="6" w:space="0" w:color="231F20"/>
              <w:right w:val="single" w:sz="6" w:space="0" w:color="231F20"/>
            </w:tcBorders>
          </w:tcPr>
          <w:p w14:paraId="3A27D445"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25072925" w14:textId="77777777" w:rsidR="009948F1" w:rsidRDefault="00BC0563">
            <w:pPr>
              <w:pStyle w:val="TableParagraph"/>
              <w:spacing w:before="78"/>
              <w:ind w:right="67"/>
              <w:jc w:val="right"/>
              <w:rPr>
                <w:sz w:val="14"/>
              </w:rPr>
            </w:pPr>
            <w:r>
              <w:rPr>
                <w:color w:val="231F20"/>
                <w:w w:val="90"/>
                <w:sz w:val="14"/>
              </w:rPr>
              <w:t>4.4.3.c</w:t>
            </w:r>
          </w:p>
        </w:tc>
        <w:tc>
          <w:tcPr>
            <w:tcW w:w="5150" w:type="dxa"/>
            <w:gridSpan w:val="2"/>
            <w:tcBorders>
              <w:top w:val="single" w:sz="6" w:space="0" w:color="231F20"/>
              <w:left w:val="single" w:sz="6" w:space="0" w:color="231F20"/>
              <w:bottom w:val="single" w:sz="6" w:space="0" w:color="231F20"/>
              <w:right w:val="single" w:sz="6" w:space="0" w:color="231F20"/>
            </w:tcBorders>
          </w:tcPr>
          <w:p w14:paraId="1EC22E42" w14:textId="77777777" w:rsidR="009948F1" w:rsidRDefault="00BC0563">
            <w:pPr>
              <w:pStyle w:val="TableParagraph"/>
              <w:spacing w:before="73"/>
              <w:ind w:left="28"/>
              <w:rPr>
                <w:sz w:val="14"/>
              </w:rPr>
            </w:pPr>
            <w:r>
              <w:rPr>
                <w:color w:val="231F20"/>
                <w:sz w:val="14"/>
              </w:rPr>
              <w:t>Develop, print and distribute IEC materials on EBF</w:t>
            </w:r>
          </w:p>
        </w:tc>
        <w:tc>
          <w:tcPr>
            <w:tcW w:w="1502" w:type="dxa"/>
            <w:tcBorders>
              <w:top w:val="single" w:sz="6" w:space="0" w:color="231F20"/>
              <w:left w:val="single" w:sz="6" w:space="0" w:color="231F20"/>
              <w:bottom w:val="single" w:sz="6" w:space="0" w:color="231F20"/>
              <w:right w:val="single" w:sz="6" w:space="0" w:color="231F20"/>
            </w:tcBorders>
          </w:tcPr>
          <w:p w14:paraId="1A756E33" w14:textId="77777777" w:rsidR="009948F1" w:rsidRDefault="00BC0563">
            <w:pPr>
              <w:pStyle w:val="TableParagraph"/>
              <w:spacing w:before="78"/>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2611544D" w14:textId="77777777" w:rsidR="009948F1" w:rsidRDefault="00BC0563">
            <w:pPr>
              <w:pStyle w:val="TableParagraph"/>
              <w:spacing w:before="78"/>
              <w:ind w:left="29"/>
              <w:rPr>
                <w:sz w:val="14"/>
              </w:rPr>
            </w:pPr>
            <w:r>
              <w:rPr>
                <w:color w:val="231F20"/>
                <w:sz w:val="14"/>
              </w:rPr>
              <w:t>Print IEC materials</w:t>
            </w:r>
          </w:p>
        </w:tc>
      </w:tr>
      <w:tr w:rsidR="009948F1" w14:paraId="14F29A93" w14:textId="77777777">
        <w:trPr>
          <w:trHeight w:val="1387"/>
        </w:trPr>
        <w:tc>
          <w:tcPr>
            <w:tcW w:w="472" w:type="dxa"/>
            <w:tcBorders>
              <w:top w:val="single" w:sz="6" w:space="0" w:color="231F20"/>
              <w:left w:val="single" w:sz="12" w:space="0" w:color="231F20"/>
              <w:bottom w:val="single" w:sz="6" w:space="0" w:color="231F20"/>
              <w:right w:val="single" w:sz="6" w:space="0" w:color="231F20"/>
            </w:tcBorders>
            <w:shd w:val="clear" w:color="auto" w:fill="CCE7D3"/>
          </w:tcPr>
          <w:p w14:paraId="66DB4779" w14:textId="77777777" w:rsidR="009948F1" w:rsidRDefault="009948F1">
            <w:pPr>
              <w:pStyle w:val="TableParagraph"/>
              <w:rPr>
                <w:sz w:val="14"/>
              </w:rPr>
            </w:pPr>
          </w:p>
          <w:p w14:paraId="0551DAA9" w14:textId="77777777" w:rsidR="009948F1" w:rsidRDefault="009948F1">
            <w:pPr>
              <w:pStyle w:val="TableParagraph"/>
              <w:rPr>
                <w:sz w:val="14"/>
              </w:rPr>
            </w:pPr>
          </w:p>
          <w:p w14:paraId="303E2684" w14:textId="77777777" w:rsidR="009948F1" w:rsidRDefault="009948F1">
            <w:pPr>
              <w:pStyle w:val="TableParagraph"/>
              <w:rPr>
                <w:sz w:val="14"/>
              </w:rPr>
            </w:pPr>
          </w:p>
          <w:p w14:paraId="5B58545E" w14:textId="77777777" w:rsidR="009948F1" w:rsidRDefault="00BC0563">
            <w:pPr>
              <w:pStyle w:val="TableParagraph"/>
              <w:spacing w:before="122"/>
              <w:ind w:left="48"/>
              <w:rPr>
                <w:sz w:val="14"/>
              </w:rPr>
            </w:pPr>
            <w:r>
              <w:rPr>
                <w:color w:val="231F20"/>
                <w:sz w:val="14"/>
              </w:rPr>
              <w:t>4.4.4</w:t>
            </w:r>
          </w:p>
        </w:tc>
        <w:tc>
          <w:tcPr>
            <w:tcW w:w="3195" w:type="dxa"/>
            <w:gridSpan w:val="2"/>
            <w:tcBorders>
              <w:top w:val="single" w:sz="6" w:space="0" w:color="231F20"/>
              <w:left w:val="single" w:sz="6" w:space="0" w:color="231F20"/>
              <w:bottom w:val="single" w:sz="6" w:space="0" w:color="231F20"/>
              <w:right w:val="single" w:sz="6" w:space="0" w:color="231F20"/>
            </w:tcBorders>
            <w:shd w:val="clear" w:color="auto" w:fill="CCE7D3"/>
          </w:tcPr>
          <w:p w14:paraId="66A97FC0" w14:textId="77777777" w:rsidR="009948F1" w:rsidRDefault="009948F1">
            <w:pPr>
              <w:pStyle w:val="TableParagraph"/>
              <w:rPr>
                <w:sz w:val="14"/>
              </w:rPr>
            </w:pPr>
          </w:p>
          <w:p w14:paraId="0F96CE48" w14:textId="77777777" w:rsidR="009948F1" w:rsidRDefault="009948F1">
            <w:pPr>
              <w:pStyle w:val="TableParagraph"/>
              <w:rPr>
                <w:sz w:val="14"/>
              </w:rPr>
            </w:pPr>
          </w:p>
          <w:p w14:paraId="2774585B" w14:textId="77777777" w:rsidR="009948F1" w:rsidRDefault="009948F1">
            <w:pPr>
              <w:pStyle w:val="TableParagraph"/>
              <w:spacing w:before="8"/>
              <w:rPr>
                <w:sz w:val="16"/>
              </w:rPr>
            </w:pPr>
          </w:p>
          <w:p w14:paraId="356E5760" w14:textId="77777777" w:rsidR="009948F1" w:rsidRDefault="00BC0563">
            <w:pPr>
              <w:pStyle w:val="TableParagraph"/>
              <w:spacing w:line="254" w:lineRule="auto"/>
              <w:ind w:left="27" w:firstLine="34"/>
              <w:rPr>
                <w:sz w:val="14"/>
              </w:rPr>
            </w:pPr>
            <w:r>
              <w:rPr>
                <w:color w:val="231F20"/>
                <w:w w:val="90"/>
                <w:sz w:val="14"/>
              </w:rPr>
              <w:t xml:space="preserve">Strengthen routine child immunization including new </w:t>
            </w:r>
            <w:r>
              <w:rPr>
                <w:color w:val="231F20"/>
                <w:sz w:val="14"/>
              </w:rPr>
              <w:t>antigens</w:t>
            </w:r>
          </w:p>
        </w:tc>
        <w:tc>
          <w:tcPr>
            <w:tcW w:w="2508" w:type="dxa"/>
            <w:tcBorders>
              <w:top w:val="single" w:sz="6" w:space="0" w:color="231F20"/>
              <w:left w:val="single" w:sz="6" w:space="0" w:color="231F20"/>
              <w:bottom w:val="single" w:sz="6" w:space="0" w:color="231F20"/>
              <w:right w:val="single" w:sz="6" w:space="0" w:color="231F20"/>
            </w:tcBorders>
            <w:shd w:val="clear" w:color="auto" w:fill="CCE7D3"/>
          </w:tcPr>
          <w:p w14:paraId="651AE02E" w14:textId="77777777" w:rsidR="009948F1" w:rsidRDefault="00BC0563">
            <w:pPr>
              <w:pStyle w:val="TableParagraph"/>
              <w:numPr>
                <w:ilvl w:val="0"/>
                <w:numId w:val="188"/>
              </w:numPr>
              <w:tabs>
                <w:tab w:val="left" w:pos="108"/>
              </w:tabs>
              <w:spacing w:before="92"/>
              <w:ind w:left="107" w:hanging="80"/>
              <w:rPr>
                <w:sz w:val="14"/>
              </w:rPr>
            </w:pPr>
            <w:r>
              <w:rPr>
                <w:color w:val="231F20"/>
                <w:sz w:val="14"/>
              </w:rPr>
              <w:t>60</w:t>
            </w:r>
            <w:r>
              <w:rPr>
                <w:color w:val="231F20"/>
                <w:spacing w:val="-19"/>
                <w:sz w:val="14"/>
              </w:rPr>
              <w:t xml:space="preserve"> </w:t>
            </w:r>
            <w:r>
              <w:rPr>
                <w:color w:val="231F20"/>
                <w:sz w:val="14"/>
              </w:rPr>
              <w:t>cold</w:t>
            </w:r>
            <w:r>
              <w:rPr>
                <w:color w:val="231F20"/>
                <w:spacing w:val="-18"/>
                <w:sz w:val="14"/>
              </w:rPr>
              <w:t xml:space="preserve"> </w:t>
            </w:r>
            <w:r>
              <w:rPr>
                <w:color w:val="231F20"/>
                <w:sz w:val="14"/>
              </w:rPr>
              <w:t>room</w:t>
            </w:r>
            <w:r>
              <w:rPr>
                <w:color w:val="231F20"/>
                <w:spacing w:val="-18"/>
                <w:sz w:val="14"/>
              </w:rPr>
              <w:t xml:space="preserve"> </w:t>
            </w:r>
            <w:r>
              <w:rPr>
                <w:color w:val="231F20"/>
                <w:sz w:val="14"/>
              </w:rPr>
              <w:t>kit</w:t>
            </w:r>
            <w:r>
              <w:rPr>
                <w:color w:val="231F20"/>
                <w:spacing w:val="-18"/>
                <w:sz w:val="14"/>
              </w:rPr>
              <w:t xml:space="preserve"> </w:t>
            </w:r>
            <w:r>
              <w:rPr>
                <w:color w:val="231F20"/>
                <w:sz w:val="14"/>
              </w:rPr>
              <w:t>procured</w:t>
            </w:r>
            <w:r>
              <w:rPr>
                <w:color w:val="231F20"/>
                <w:spacing w:val="-18"/>
                <w:sz w:val="14"/>
              </w:rPr>
              <w:t xml:space="preserve"> </w:t>
            </w:r>
            <w:r>
              <w:rPr>
                <w:color w:val="231F20"/>
                <w:sz w:val="14"/>
              </w:rPr>
              <w:t>&amp;</w:t>
            </w:r>
            <w:r>
              <w:rPr>
                <w:color w:val="231F20"/>
                <w:spacing w:val="-18"/>
                <w:sz w:val="14"/>
              </w:rPr>
              <w:t xml:space="preserve"> </w:t>
            </w:r>
            <w:r>
              <w:rPr>
                <w:color w:val="231F20"/>
                <w:sz w:val="14"/>
              </w:rPr>
              <w:t>supplied</w:t>
            </w:r>
          </w:p>
          <w:p w14:paraId="53172A8A" w14:textId="77777777" w:rsidR="009948F1" w:rsidRDefault="00BC0563">
            <w:pPr>
              <w:pStyle w:val="TableParagraph"/>
              <w:numPr>
                <w:ilvl w:val="0"/>
                <w:numId w:val="188"/>
              </w:numPr>
              <w:tabs>
                <w:tab w:val="left" w:pos="108"/>
              </w:tabs>
              <w:spacing w:before="10" w:line="254" w:lineRule="auto"/>
              <w:ind w:right="17" w:firstLine="0"/>
              <w:rPr>
                <w:sz w:val="14"/>
              </w:rPr>
            </w:pPr>
            <w:r>
              <w:rPr>
                <w:color w:val="231F20"/>
                <w:w w:val="90"/>
                <w:sz w:val="14"/>
              </w:rPr>
              <w:t>Routine</w:t>
            </w:r>
            <w:r>
              <w:rPr>
                <w:color w:val="231F20"/>
                <w:spacing w:val="-5"/>
                <w:w w:val="90"/>
                <w:sz w:val="14"/>
              </w:rPr>
              <w:t xml:space="preserve"> </w:t>
            </w:r>
            <w:proofErr w:type="spellStart"/>
            <w:r>
              <w:rPr>
                <w:color w:val="231F20"/>
                <w:w w:val="90"/>
                <w:sz w:val="14"/>
              </w:rPr>
              <w:t>Immunisation</w:t>
            </w:r>
            <w:proofErr w:type="spellEnd"/>
            <w:r>
              <w:rPr>
                <w:color w:val="231F20"/>
                <w:spacing w:val="-5"/>
                <w:w w:val="90"/>
                <w:sz w:val="14"/>
              </w:rPr>
              <w:t xml:space="preserve"> </w:t>
            </w:r>
            <w:r>
              <w:rPr>
                <w:color w:val="231F20"/>
                <w:w w:val="90"/>
                <w:sz w:val="14"/>
              </w:rPr>
              <w:t>task</w:t>
            </w:r>
            <w:r>
              <w:rPr>
                <w:color w:val="231F20"/>
                <w:spacing w:val="-5"/>
                <w:w w:val="90"/>
                <w:sz w:val="14"/>
              </w:rPr>
              <w:t xml:space="preserve"> </w:t>
            </w:r>
            <w:r>
              <w:rPr>
                <w:color w:val="231F20"/>
                <w:w w:val="90"/>
                <w:sz w:val="14"/>
              </w:rPr>
              <w:t>force</w:t>
            </w:r>
            <w:r>
              <w:rPr>
                <w:color w:val="231F20"/>
                <w:spacing w:val="-5"/>
                <w:w w:val="90"/>
                <w:sz w:val="14"/>
              </w:rPr>
              <w:t xml:space="preserve"> </w:t>
            </w:r>
            <w:r>
              <w:rPr>
                <w:color w:val="231F20"/>
                <w:w w:val="90"/>
                <w:sz w:val="14"/>
              </w:rPr>
              <w:t>in</w:t>
            </w:r>
            <w:r>
              <w:rPr>
                <w:color w:val="231F20"/>
                <w:spacing w:val="-5"/>
                <w:w w:val="90"/>
                <w:sz w:val="14"/>
              </w:rPr>
              <w:t xml:space="preserve"> </w:t>
            </w:r>
            <w:r>
              <w:rPr>
                <w:color w:val="231F20"/>
                <w:w w:val="90"/>
                <w:sz w:val="14"/>
              </w:rPr>
              <w:t>place</w:t>
            </w:r>
            <w:r>
              <w:rPr>
                <w:color w:val="231F20"/>
                <w:spacing w:val="-5"/>
                <w:w w:val="90"/>
                <w:sz w:val="14"/>
              </w:rPr>
              <w:t xml:space="preserve"> </w:t>
            </w:r>
            <w:r>
              <w:rPr>
                <w:color w:val="231F20"/>
                <w:w w:val="90"/>
                <w:sz w:val="14"/>
              </w:rPr>
              <w:t xml:space="preserve">&amp; </w:t>
            </w:r>
            <w:r>
              <w:rPr>
                <w:color w:val="231F20"/>
                <w:sz w:val="14"/>
              </w:rPr>
              <w:t>MOU on accountability developed &amp; implemented</w:t>
            </w:r>
          </w:p>
          <w:p w14:paraId="3AC7C434" w14:textId="77777777" w:rsidR="009948F1" w:rsidRDefault="00BC0563">
            <w:pPr>
              <w:pStyle w:val="TableParagraph"/>
              <w:numPr>
                <w:ilvl w:val="0"/>
                <w:numId w:val="188"/>
              </w:numPr>
              <w:tabs>
                <w:tab w:val="left" w:pos="108"/>
              </w:tabs>
              <w:ind w:left="107" w:hanging="80"/>
              <w:rPr>
                <w:sz w:val="14"/>
              </w:rPr>
            </w:pPr>
            <w:r>
              <w:rPr>
                <w:color w:val="231F20"/>
                <w:sz w:val="14"/>
              </w:rPr>
              <w:t>RI</w:t>
            </w:r>
            <w:r>
              <w:rPr>
                <w:color w:val="231F20"/>
                <w:spacing w:val="-9"/>
                <w:sz w:val="14"/>
              </w:rPr>
              <w:t xml:space="preserve"> </w:t>
            </w:r>
            <w:r>
              <w:rPr>
                <w:color w:val="231F20"/>
                <w:sz w:val="14"/>
              </w:rPr>
              <w:t>carried</w:t>
            </w:r>
            <w:r>
              <w:rPr>
                <w:color w:val="231F20"/>
                <w:spacing w:val="-9"/>
                <w:sz w:val="14"/>
              </w:rPr>
              <w:t xml:space="preserve"> </w:t>
            </w:r>
            <w:r>
              <w:rPr>
                <w:color w:val="231F20"/>
                <w:sz w:val="14"/>
              </w:rPr>
              <w:t>out</w:t>
            </w:r>
            <w:r>
              <w:rPr>
                <w:color w:val="231F20"/>
                <w:spacing w:val="-9"/>
                <w:sz w:val="14"/>
              </w:rPr>
              <w:t xml:space="preserve"> </w:t>
            </w:r>
            <w:r>
              <w:rPr>
                <w:color w:val="231F20"/>
                <w:sz w:val="14"/>
              </w:rPr>
              <w:t>in</w:t>
            </w:r>
            <w:r>
              <w:rPr>
                <w:color w:val="231F20"/>
                <w:spacing w:val="-8"/>
                <w:sz w:val="14"/>
              </w:rPr>
              <w:t xml:space="preserve"> </w:t>
            </w:r>
            <w:r>
              <w:rPr>
                <w:color w:val="231F20"/>
                <w:sz w:val="14"/>
              </w:rPr>
              <w:t>all</w:t>
            </w:r>
            <w:r>
              <w:rPr>
                <w:color w:val="231F20"/>
                <w:spacing w:val="-9"/>
                <w:sz w:val="14"/>
              </w:rPr>
              <w:t xml:space="preserve"> </w:t>
            </w:r>
            <w:r>
              <w:rPr>
                <w:color w:val="231F20"/>
                <w:sz w:val="14"/>
              </w:rPr>
              <w:t>HFs</w:t>
            </w:r>
          </w:p>
          <w:p w14:paraId="1CBED117" w14:textId="77777777" w:rsidR="009948F1" w:rsidRDefault="00BC0563">
            <w:pPr>
              <w:pStyle w:val="TableParagraph"/>
              <w:numPr>
                <w:ilvl w:val="0"/>
                <w:numId w:val="188"/>
              </w:numPr>
              <w:tabs>
                <w:tab w:val="left" w:pos="108"/>
              </w:tabs>
              <w:spacing w:before="10" w:line="254" w:lineRule="auto"/>
              <w:ind w:right="606" w:firstLine="0"/>
              <w:rPr>
                <w:sz w:val="14"/>
              </w:rPr>
            </w:pPr>
            <w:r>
              <w:rPr>
                <w:color w:val="231F20"/>
                <w:w w:val="90"/>
                <w:sz w:val="14"/>
              </w:rPr>
              <w:t xml:space="preserve">CHIPS </w:t>
            </w:r>
            <w:proofErr w:type="spellStart"/>
            <w:r>
              <w:rPr>
                <w:color w:val="231F20"/>
                <w:w w:val="90"/>
                <w:sz w:val="14"/>
              </w:rPr>
              <w:t>Programme</w:t>
            </w:r>
            <w:proofErr w:type="spellEnd"/>
            <w:r>
              <w:rPr>
                <w:color w:val="231F20"/>
                <w:w w:val="90"/>
                <w:sz w:val="14"/>
              </w:rPr>
              <w:t xml:space="preserve"> initiated</w:t>
            </w:r>
            <w:r>
              <w:rPr>
                <w:color w:val="231F20"/>
                <w:spacing w:val="-17"/>
                <w:w w:val="90"/>
                <w:sz w:val="14"/>
              </w:rPr>
              <w:t xml:space="preserve"> </w:t>
            </w:r>
            <w:r>
              <w:rPr>
                <w:color w:val="231F20"/>
                <w:spacing w:val="-4"/>
                <w:w w:val="90"/>
                <w:sz w:val="14"/>
              </w:rPr>
              <w:t xml:space="preserve">and </w:t>
            </w:r>
            <w:r>
              <w:rPr>
                <w:color w:val="231F20"/>
                <w:sz w:val="14"/>
              </w:rPr>
              <w:t>implemented</w:t>
            </w:r>
          </w:p>
        </w:tc>
        <w:tc>
          <w:tcPr>
            <w:tcW w:w="1502" w:type="dxa"/>
            <w:tcBorders>
              <w:top w:val="single" w:sz="6" w:space="0" w:color="231F20"/>
              <w:left w:val="single" w:sz="6" w:space="0" w:color="231F20"/>
              <w:bottom w:val="single" w:sz="6" w:space="0" w:color="231F20"/>
            </w:tcBorders>
            <w:shd w:val="clear" w:color="auto" w:fill="CCE7D3"/>
          </w:tcPr>
          <w:p w14:paraId="5F681CCC" w14:textId="77777777" w:rsidR="009948F1" w:rsidRDefault="009948F1">
            <w:pPr>
              <w:pStyle w:val="TableParagraph"/>
              <w:rPr>
                <w:rFonts w:ascii="Times New Roman"/>
                <w:sz w:val="12"/>
              </w:rPr>
            </w:pPr>
          </w:p>
        </w:tc>
        <w:tc>
          <w:tcPr>
            <w:tcW w:w="1582" w:type="dxa"/>
            <w:tcBorders>
              <w:top w:val="single" w:sz="6" w:space="0" w:color="231F20"/>
              <w:bottom w:val="single" w:sz="6" w:space="0" w:color="231F20"/>
              <w:right w:val="single" w:sz="6" w:space="0" w:color="231F20"/>
            </w:tcBorders>
            <w:shd w:val="clear" w:color="auto" w:fill="CCE7D3"/>
          </w:tcPr>
          <w:p w14:paraId="382595DA" w14:textId="77777777" w:rsidR="009948F1" w:rsidRDefault="009948F1">
            <w:pPr>
              <w:pStyle w:val="TableParagraph"/>
              <w:rPr>
                <w:rFonts w:ascii="Times New Roman"/>
                <w:sz w:val="12"/>
              </w:rPr>
            </w:pPr>
          </w:p>
        </w:tc>
      </w:tr>
      <w:tr w:rsidR="009948F1" w14:paraId="0C3650EA" w14:textId="77777777">
        <w:trPr>
          <w:trHeight w:val="329"/>
        </w:trPr>
        <w:tc>
          <w:tcPr>
            <w:tcW w:w="472" w:type="dxa"/>
            <w:vMerge w:val="restart"/>
            <w:tcBorders>
              <w:top w:val="single" w:sz="6" w:space="0" w:color="231F20"/>
              <w:bottom w:val="single" w:sz="6" w:space="0" w:color="231F20"/>
              <w:right w:val="single" w:sz="6" w:space="0" w:color="231F20"/>
            </w:tcBorders>
          </w:tcPr>
          <w:p w14:paraId="3A20ACBB" w14:textId="77777777" w:rsidR="009948F1" w:rsidRDefault="009948F1">
            <w:pPr>
              <w:pStyle w:val="TableParagraph"/>
              <w:rPr>
                <w:rFonts w:ascii="Times New Roman"/>
                <w:sz w:val="12"/>
              </w:rPr>
            </w:pPr>
          </w:p>
        </w:tc>
        <w:tc>
          <w:tcPr>
            <w:tcW w:w="553" w:type="dxa"/>
            <w:tcBorders>
              <w:top w:val="single" w:sz="6" w:space="0" w:color="231F20"/>
              <w:left w:val="single" w:sz="6" w:space="0" w:color="231F20"/>
              <w:bottom w:val="single" w:sz="6" w:space="0" w:color="231F20"/>
              <w:right w:val="single" w:sz="6" w:space="0" w:color="231F20"/>
            </w:tcBorders>
          </w:tcPr>
          <w:p w14:paraId="128F45AC" w14:textId="77777777" w:rsidR="009948F1" w:rsidRDefault="00BC0563">
            <w:pPr>
              <w:pStyle w:val="TableParagraph"/>
              <w:spacing w:before="75"/>
              <w:ind w:right="63"/>
              <w:jc w:val="right"/>
              <w:rPr>
                <w:sz w:val="14"/>
              </w:rPr>
            </w:pPr>
            <w:r>
              <w:rPr>
                <w:color w:val="231F20"/>
                <w:w w:val="90"/>
                <w:sz w:val="14"/>
              </w:rPr>
              <w:t>4.4.4.a</w:t>
            </w:r>
          </w:p>
        </w:tc>
        <w:tc>
          <w:tcPr>
            <w:tcW w:w="5150" w:type="dxa"/>
            <w:gridSpan w:val="2"/>
            <w:tcBorders>
              <w:top w:val="single" w:sz="6" w:space="0" w:color="231F20"/>
              <w:left w:val="single" w:sz="6" w:space="0" w:color="231F20"/>
              <w:bottom w:val="single" w:sz="6" w:space="0" w:color="231F20"/>
              <w:right w:val="single" w:sz="6" w:space="0" w:color="231F20"/>
            </w:tcBorders>
          </w:tcPr>
          <w:p w14:paraId="1D7092C1" w14:textId="77777777" w:rsidR="009948F1" w:rsidRDefault="00BC0563">
            <w:pPr>
              <w:pStyle w:val="TableParagraph"/>
              <w:spacing w:line="151" w:lineRule="exact"/>
              <w:ind w:left="28"/>
              <w:rPr>
                <w:sz w:val="14"/>
              </w:rPr>
            </w:pPr>
            <w:r>
              <w:rPr>
                <w:color w:val="231F20"/>
                <w:w w:val="95"/>
                <w:sz w:val="14"/>
              </w:rPr>
              <w:t>Conduct</w:t>
            </w:r>
            <w:r>
              <w:rPr>
                <w:color w:val="231F20"/>
                <w:spacing w:val="-21"/>
                <w:w w:val="95"/>
                <w:sz w:val="14"/>
              </w:rPr>
              <w:t xml:space="preserve"> </w:t>
            </w:r>
            <w:r>
              <w:rPr>
                <w:color w:val="231F20"/>
                <w:w w:val="95"/>
                <w:sz w:val="14"/>
              </w:rPr>
              <w:t>advocacy</w:t>
            </w:r>
            <w:r>
              <w:rPr>
                <w:color w:val="231F20"/>
                <w:spacing w:val="-21"/>
                <w:w w:val="95"/>
                <w:sz w:val="14"/>
              </w:rPr>
              <w:t xml:space="preserve"> </w:t>
            </w:r>
            <w:r>
              <w:rPr>
                <w:color w:val="231F20"/>
                <w:w w:val="95"/>
                <w:sz w:val="14"/>
              </w:rPr>
              <w:t>visit</w:t>
            </w:r>
            <w:r>
              <w:rPr>
                <w:color w:val="231F20"/>
                <w:spacing w:val="-21"/>
                <w:w w:val="95"/>
                <w:sz w:val="14"/>
              </w:rPr>
              <w:t xml:space="preserve"> </w:t>
            </w:r>
            <w:r>
              <w:rPr>
                <w:color w:val="231F20"/>
                <w:w w:val="95"/>
                <w:sz w:val="14"/>
              </w:rPr>
              <w:t>for</w:t>
            </w:r>
            <w:r>
              <w:rPr>
                <w:color w:val="231F20"/>
                <w:spacing w:val="-21"/>
                <w:w w:val="95"/>
                <w:sz w:val="14"/>
              </w:rPr>
              <w:t xml:space="preserve"> </w:t>
            </w:r>
            <w:r>
              <w:rPr>
                <w:color w:val="231F20"/>
                <w:w w:val="95"/>
                <w:sz w:val="14"/>
              </w:rPr>
              <w:t>RI</w:t>
            </w:r>
            <w:r>
              <w:rPr>
                <w:color w:val="231F20"/>
                <w:spacing w:val="-21"/>
                <w:w w:val="95"/>
                <w:sz w:val="14"/>
              </w:rPr>
              <w:t xml:space="preserve"> </w:t>
            </w:r>
            <w:r>
              <w:rPr>
                <w:color w:val="231F20"/>
                <w:w w:val="95"/>
                <w:sz w:val="14"/>
              </w:rPr>
              <w:t>Focal</w:t>
            </w:r>
            <w:r>
              <w:rPr>
                <w:color w:val="231F20"/>
                <w:spacing w:val="-21"/>
                <w:w w:val="95"/>
                <w:sz w:val="14"/>
              </w:rPr>
              <w:t xml:space="preserve"> </w:t>
            </w:r>
            <w:r>
              <w:rPr>
                <w:color w:val="231F20"/>
                <w:w w:val="95"/>
                <w:sz w:val="14"/>
              </w:rPr>
              <w:t>Officers</w:t>
            </w:r>
            <w:r>
              <w:rPr>
                <w:color w:val="231F20"/>
                <w:spacing w:val="-21"/>
                <w:w w:val="95"/>
                <w:sz w:val="14"/>
              </w:rPr>
              <w:t xml:space="preserve"> </w:t>
            </w:r>
            <w:r>
              <w:rPr>
                <w:color w:val="231F20"/>
                <w:w w:val="95"/>
                <w:sz w:val="14"/>
              </w:rPr>
              <w:t>(RIFO)</w:t>
            </w:r>
            <w:r>
              <w:rPr>
                <w:color w:val="231F20"/>
                <w:spacing w:val="-21"/>
                <w:w w:val="95"/>
                <w:sz w:val="14"/>
              </w:rPr>
              <w:t xml:space="preserve"> </w:t>
            </w:r>
            <w:r>
              <w:rPr>
                <w:color w:val="231F20"/>
                <w:w w:val="95"/>
                <w:sz w:val="14"/>
              </w:rPr>
              <w:t>to</w:t>
            </w:r>
            <w:r>
              <w:rPr>
                <w:color w:val="231F20"/>
                <w:spacing w:val="-21"/>
                <w:w w:val="95"/>
                <w:sz w:val="14"/>
              </w:rPr>
              <w:t xml:space="preserve"> </w:t>
            </w:r>
            <w:r>
              <w:rPr>
                <w:color w:val="231F20"/>
                <w:w w:val="95"/>
                <w:sz w:val="14"/>
              </w:rPr>
              <w:t>the</w:t>
            </w:r>
            <w:r>
              <w:rPr>
                <w:color w:val="231F20"/>
                <w:spacing w:val="-21"/>
                <w:w w:val="95"/>
                <w:sz w:val="14"/>
              </w:rPr>
              <w:t xml:space="preserve"> </w:t>
            </w:r>
            <w:r>
              <w:rPr>
                <w:color w:val="231F20"/>
                <w:w w:val="95"/>
                <w:sz w:val="14"/>
              </w:rPr>
              <w:t>23</w:t>
            </w:r>
            <w:r>
              <w:rPr>
                <w:color w:val="231F20"/>
                <w:spacing w:val="-21"/>
                <w:w w:val="95"/>
                <w:sz w:val="14"/>
              </w:rPr>
              <w:t xml:space="preserve"> </w:t>
            </w:r>
            <w:r>
              <w:rPr>
                <w:color w:val="231F20"/>
                <w:w w:val="95"/>
                <w:sz w:val="14"/>
              </w:rPr>
              <w:t>Local</w:t>
            </w:r>
            <w:r>
              <w:rPr>
                <w:color w:val="231F20"/>
                <w:spacing w:val="-21"/>
                <w:w w:val="95"/>
                <w:sz w:val="14"/>
              </w:rPr>
              <w:t xml:space="preserve"> </w:t>
            </w:r>
            <w:r>
              <w:rPr>
                <w:color w:val="231F20"/>
                <w:w w:val="95"/>
                <w:sz w:val="14"/>
              </w:rPr>
              <w:t>Government</w:t>
            </w:r>
            <w:r>
              <w:rPr>
                <w:color w:val="231F20"/>
                <w:spacing w:val="-21"/>
                <w:w w:val="95"/>
                <w:sz w:val="14"/>
              </w:rPr>
              <w:t xml:space="preserve"> </w:t>
            </w:r>
            <w:r>
              <w:rPr>
                <w:color w:val="231F20"/>
                <w:w w:val="95"/>
                <w:sz w:val="14"/>
              </w:rPr>
              <w:t>Chairmen</w:t>
            </w:r>
          </w:p>
          <w:p w14:paraId="02BAC398" w14:textId="77777777" w:rsidR="009948F1" w:rsidRDefault="00BC0563">
            <w:pPr>
              <w:pStyle w:val="TableParagraph"/>
              <w:spacing w:before="10" w:line="149" w:lineRule="exact"/>
              <w:ind w:left="28"/>
              <w:rPr>
                <w:sz w:val="14"/>
              </w:rPr>
            </w:pPr>
            <w:r>
              <w:rPr>
                <w:color w:val="231F20"/>
                <w:sz w:val="14"/>
              </w:rPr>
              <w:t>for timely release of RI funding for the LGAs</w:t>
            </w:r>
          </w:p>
        </w:tc>
        <w:tc>
          <w:tcPr>
            <w:tcW w:w="1502" w:type="dxa"/>
            <w:tcBorders>
              <w:top w:val="single" w:sz="6" w:space="0" w:color="231F20"/>
              <w:left w:val="single" w:sz="6" w:space="0" w:color="231F20"/>
              <w:bottom w:val="single" w:sz="6" w:space="0" w:color="231F20"/>
              <w:right w:val="single" w:sz="6" w:space="0" w:color="231F20"/>
            </w:tcBorders>
          </w:tcPr>
          <w:p w14:paraId="51EE4AA7" w14:textId="77777777" w:rsidR="009948F1" w:rsidRDefault="00BC0563">
            <w:pPr>
              <w:pStyle w:val="TableParagraph"/>
              <w:spacing w:before="75"/>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3DB2B77F" w14:textId="11607FFF" w:rsidR="009948F1" w:rsidRDefault="00BC0563">
            <w:pPr>
              <w:pStyle w:val="TableParagraph"/>
              <w:spacing w:before="75"/>
              <w:ind w:left="29"/>
              <w:rPr>
                <w:sz w:val="14"/>
              </w:rPr>
            </w:pPr>
            <w:r>
              <w:rPr>
                <w:color w:val="231F20"/>
                <w:sz w:val="14"/>
              </w:rPr>
              <w:t xml:space="preserve">Conduct </w:t>
            </w:r>
            <w:r w:rsidR="009B6708">
              <w:rPr>
                <w:color w:val="231F20"/>
                <w:sz w:val="14"/>
              </w:rPr>
              <w:t>advocacy</w:t>
            </w:r>
            <w:r>
              <w:rPr>
                <w:color w:val="231F20"/>
                <w:sz w:val="14"/>
              </w:rPr>
              <w:t xml:space="preserve"> visit</w:t>
            </w:r>
          </w:p>
        </w:tc>
      </w:tr>
      <w:tr w:rsidR="009948F1" w14:paraId="14C8CDB0" w14:textId="77777777">
        <w:trPr>
          <w:trHeight w:val="337"/>
        </w:trPr>
        <w:tc>
          <w:tcPr>
            <w:tcW w:w="472" w:type="dxa"/>
            <w:vMerge/>
            <w:tcBorders>
              <w:top w:val="nil"/>
              <w:bottom w:val="single" w:sz="6" w:space="0" w:color="231F20"/>
              <w:right w:val="single" w:sz="6" w:space="0" w:color="231F20"/>
            </w:tcBorders>
          </w:tcPr>
          <w:p w14:paraId="1ACAE951"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756586C3" w14:textId="77777777" w:rsidR="009948F1" w:rsidRDefault="00BC0563">
            <w:pPr>
              <w:pStyle w:val="TableParagraph"/>
              <w:spacing w:before="80"/>
              <w:ind w:right="63"/>
              <w:jc w:val="right"/>
              <w:rPr>
                <w:sz w:val="14"/>
              </w:rPr>
            </w:pPr>
            <w:r>
              <w:rPr>
                <w:color w:val="231F20"/>
                <w:w w:val="90"/>
                <w:sz w:val="14"/>
              </w:rPr>
              <w:t>4.4.4.b</w:t>
            </w:r>
          </w:p>
        </w:tc>
        <w:tc>
          <w:tcPr>
            <w:tcW w:w="5150" w:type="dxa"/>
            <w:gridSpan w:val="2"/>
            <w:tcBorders>
              <w:top w:val="single" w:sz="6" w:space="0" w:color="231F20"/>
              <w:left w:val="single" w:sz="6" w:space="0" w:color="231F20"/>
              <w:bottom w:val="single" w:sz="6" w:space="0" w:color="231F20"/>
              <w:right w:val="single" w:sz="6" w:space="0" w:color="231F20"/>
            </w:tcBorders>
          </w:tcPr>
          <w:p w14:paraId="52EFEBD6" w14:textId="77777777" w:rsidR="009948F1" w:rsidRDefault="00BC0563">
            <w:pPr>
              <w:pStyle w:val="TableParagraph"/>
              <w:spacing w:before="74"/>
              <w:ind w:left="28"/>
              <w:rPr>
                <w:sz w:val="14"/>
              </w:rPr>
            </w:pPr>
            <w:r>
              <w:rPr>
                <w:color w:val="231F20"/>
                <w:sz w:val="14"/>
              </w:rPr>
              <w:t>Procure and supply cold room kit for SCCO to conduct the temperature mapping.</w:t>
            </w:r>
          </w:p>
        </w:tc>
        <w:tc>
          <w:tcPr>
            <w:tcW w:w="1502" w:type="dxa"/>
            <w:tcBorders>
              <w:top w:val="single" w:sz="6" w:space="0" w:color="231F20"/>
              <w:left w:val="single" w:sz="6" w:space="0" w:color="231F20"/>
              <w:bottom w:val="single" w:sz="6" w:space="0" w:color="231F20"/>
              <w:right w:val="single" w:sz="6" w:space="0" w:color="231F20"/>
            </w:tcBorders>
          </w:tcPr>
          <w:p w14:paraId="59375A77" w14:textId="77777777" w:rsidR="009948F1" w:rsidRDefault="00BC0563">
            <w:pPr>
              <w:pStyle w:val="TableParagraph"/>
              <w:spacing w:before="80"/>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3B966C62" w14:textId="77777777" w:rsidR="009948F1" w:rsidRDefault="00BC0563">
            <w:pPr>
              <w:pStyle w:val="TableParagraph"/>
              <w:spacing w:before="80"/>
              <w:ind w:left="29"/>
              <w:rPr>
                <w:sz w:val="14"/>
              </w:rPr>
            </w:pPr>
            <w:r>
              <w:rPr>
                <w:color w:val="231F20"/>
                <w:sz w:val="14"/>
              </w:rPr>
              <w:t>Costed in OHT</w:t>
            </w:r>
          </w:p>
        </w:tc>
      </w:tr>
      <w:tr w:rsidR="009948F1" w14:paraId="7A804928" w14:textId="77777777">
        <w:trPr>
          <w:trHeight w:val="564"/>
        </w:trPr>
        <w:tc>
          <w:tcPr>
            <w:tcW w:w="472" w:type="dxa"/>
            <w:vMerge/>
            <w:tcBorders>
              <w:top w:val="nil"/>
              <w:bottom w:val="single" w:sz="6" w:space="0" w:color="231F20"/>
              <w:right w:val="single" w:sz="6" w:space="0" w:color="231F20"/>
            </w:tcBorders>
          </w:tcPr>
          <w:p w14:paraId="7687837E"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47CC7F92" w14:textId="77777777" w:rsidR="009948F1" w:rsidRDefault="009948F1">
            <w:pPr>
              <w:pStyle w:val="TableParagraph"/>
              <w:spacing w:before="9"/>
              <w:rPr>
                <w:sz w:val="16"/>
              </w:rPr>
            </w:pPr>
          </w:p>
          <w:p w14:paraId="0B46D531" w14:textId="77777777" w:rsidR="009948F1" w:rsidRDefault="00BC0563">
            <w:pPr>
              <w:pStyle w:val="TableParagraph"/>
              <w:ind w:right="67"/>
              <w:jc w:val="right"/>
              <w:rPr>
                <w:sz w:val="14"/>
              </w:rPr>
            </w:pPr>
            <w:r>
              <w:rPr>
                <w:color w:val="231F20"/>
                <w:w w:val="90"/>
                <w:sz w:val="14"/>
              </w:rPr>
              <w:t>4.4.4.c</w:t>
            </w:r>
          </w:p>
        </w:tc>
        <w:tc>
          <w:tcPr>
            <w:tcW w:w="5150" w:type="dxa"/>
            <w:gridSpan w:val="2"/>
            <w:tcBorders>
              <w:top w:val="single" w:sz="6" w:space="0" w:color="231F20"/>
              <w:left w:val="single" w:sz="6" w:space="0" w:color="231F20"/>
              <w:bottom w:val="single" w:sz="6" w:space="0" w:color="231F20"/>
              <w:right w:val="single" w:sz="6" w:space="0" w:color="231F20"/>
            </w:tcBorders>
          </w:tcPr>
          <w:p w14:paraId="376D616A" w14:textId="77777777" w:rsidR="009948F1" w:rsidRDefault="00BC0563">
            <w:pPr>
              <w:pStyle w:val="TableParagraph"/>
              <w:spacing w:before="102" w:line="254" w:lineRule="auto"/>
              <w:ind w:left="28"/>
              <w:rPr>
                <w:sz w:val="14"/>
              </w:rPr>
            </w:pPr>
            <w:r>
              <w:rPr>
                <w:color w:val="231F20"/>
                <w:w w:val="90"/>
                <w:sz w:val="14"/>
              </w:rPr>
              <w:t xml:space="preserve">Develop and implement MOU on accountability for RI (with all stakeholders, including </w:t>
            </w:r>
            <w:r>
              <w:rPr>
                <w:color w:val="231F20"/>
                <w:sz w:val="14"/>
              </w:rPr>
              <w:t xml:space="preserve">Private Sector) and re-active Routine </w:t>
            </w:r>
            <w:proofErr w:type="spellStart"/>
            <w:r>
              <w:rPr>
                <w:color w:val="231F20"/>
                <w:sz w:val="14"/>
              </w:rPr>
              <w:t>Immunisation</w:t>
            </w:r>
            <w:proofErr w:type="spellEnd"/>
            <w:r>
              <w:rPr>
                <w:color w:val="231F20"/>
                <w:sz w:val="14"/>
              </w:rPr>
              <w:t xml:space="preserve"> task force</w:t>
            </w:r>
          </w:p>
        </w:tc>
        <w:tc>
          <w:tcPr>
            <w:tcW w:w="1502" w:type="dxa"/>
            <w:tcBorders>
              <w:top w:val="single" w:sz="6" w:space="0" w:color="231F20"/>
              <w:left w:val="single" w:sz="6" w:space="0" w:color="231F20"/>
              <w:bottom w:val="single" w:sz="6" w:space="0" w:color="231F20"/>
              <w:right w:val="single" w:sz="6" w:space="0" w:color="231F20"/>
            </w:tcBorders>
          </w:tcPr>
          <w:p w14:paraId="7A3EE437" w14:textId="77777777" w:rsidR="009948F1" w:rsidRDefault="009948F1">
            <w:pPr>
              <w:pStyle w:val="TableParagraph"/>
              <w:spacing w:before="9"/>
              <w:rPr>
                <w:sz w:val="16"/>
              </w:rPr>
            </w:pPr>
          </w:p>
          <w:p w14:paraId="59C60179" w14:textId="77777777" w:rsidR="009948F1" w:rsidRDefault="00BC0563">
            <w:pPr>
              <w:pStyle w:val="TableParagraph"/>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1C336397" w14:textId="77777777" w:rsidR="009948F1" w:rsidRDefault="00BC0563">
            <w:pPr>
              <w:pStyle w:val="TableParagraph"/>
              <w:spacing w:before="107" w:line="254" w:lineRule="auto"/>
              <w:ind w:left="29"/>
              <w:rPr>
                <w:sz w:val="14"/>
              </w:rPr>
            </w:pPr>
            <w:r>
              <w:rPr>
                <w:color w:val="231F20"/>
                <w:w w:val="90"/>
                <w:sz w:val="14"/>
              </w:rPr>
              <w:t xml:space="preserve">Develop and implement </w:t>
            </w:r>
            <w:r>
              <w:rPr>
                <w:color w:val="231F20"/>
                <w:sz w:val="14"/>
              </w:rPr>
              <w:t>MOU</w:t>
            </w:r>
          </w:p>
        </w:tc>
      </w:tr>
      <w:tr w:rsidR="009948F1" w14:paraId="16A6B8B9" w14:textId="77777777">
        <w:trPr>
          <w:trHeight w:val="514"/>
        </w:trPr>
        <w:tc>
          <w:tcPr>
            <w:tcW w:w="472" w:type="dxa"/>
            <w:vMerge/>
            <w:tcBorders>
              <w:top w:val="nil"/>
              <w:bottom w:val="single" w:sz="6" w:space="0" w:color="231F20"/>
              <w:right w:val="single" w:sz="6" w:space="0" w:color="231F20"/>
            </w:tcBorders>
          </w:tcPr>
          <w:p w14:paraId="2683714E"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1B9E74DC" w14:textId="77777777" w:rsidR="009948F1" w:rsidRDefault="009948F1">
            <w:pPr>
              <w:pStyle w:val="TableParagraph"/>
              <w:spacing w:before="7"/>
              <w:rPr>
                <w:sz w:val="14"/>
              </w:rPr>
            </w:pPr>
          </w:p>
          <w:p w14:paraId="28F5E641" w14:textId="77777777" w:rsidR="009948F1" w:rsidRDefault="00BC0563">
            <w:pPr>
              <w:pStyle w:val="TableParagraph"/>
              <w:ind w:right="63"/>
              <w:jc w:val="right"/>
              <w:rPr>
                <w:sz w:val="14"/>
              </w:rPr>
            </w:pPr>
            <w:r>
              <w:rPr>
                <w:color w:val="231F20"/>
                <w:w w:val="90"/>
                <w:sz w:val="14"/>
              </w:rPr>
              <w:t>4.4.4.d</w:t>
            </w:r>
          </w:p>
        </w:tc>
        <w:tc>
          <w:tcPr>
            <w:tcW w:w="5150" w:type="dxa"/>
            <w:gridSpan w:val="2"/>
            <w:tcBorders>
              <w:top w:val="single" w:sz="6" w:space="0" w:color="231F20"/>
              <w:left w:val="single" w:sz="6" w:space="0" w:color="231F20"/>
              <w:bottom w:val="single" w:sz="6" w:space="0" w:color="231F20"/>
              <w:right w:val="single" w:sz="6" w:space="0" w:color="231F20"/>
            </w:tcBorders>
          </w:tcPr>
          <w:p w14:paraId="7C8F0647" w14:textId="77777777" w:rsidR="009948F1" w:rsidRDefault="00BC0563">
            <w:pPr>
              <w:pStyle w:val="TableParagraph"/>
              <w:spacing w:before="77" w:line="254" w:lineRule="auto"/>
              <w:ind w:left="28" w:right="326"/>
              <w:rPr>
                <w:sz w:val="14"/>
              </w:rPr>
            </w:pPr>
            <w:r>
              <w:rPr>
                <w:color w:val="231F20"/>
                <w:w w:val="95"/>
                <w:sz w:val="14"/>
              </w:rPr>
              <w:t>Conduct</w:t>
            </w:r>
            <w:r>
              <w:rPr>
                <w:color w:val="231F20"/>
                <w:spacing w:val="-20"/>
                <w:w w:val="95"/>
                <w:sz w:val="14"/>
              </w:rPr>
              <w:t xml:space="preserve"> </w:t>
            </w:r>
            <w:r>
              <w:rPr>
                <w:color w:val="231F20"/>
                <w:w w:val="95"/>
                <w:sz w:val="14"/>
              </w:rPr>
              <w:t>RI</w:t>
            </w:r>
            <w:r>
              <w:rPr>
                <w:color w:val="231F20"/>
                <w:spacing w:val="-20"/>
                <w:w w:val="95"/>
                <w:sz w:val="14"/>
              </w:rPr>
              <w:t xml:space="preserve"> </w:t>
            </w:r>
            <w:r>
              <w:rPr>
                <w:color w:val="231F20"/>
                <w:w w:val="95"/>
                <w:sz w:val="14"/>
              </w:rPr>
              <w:t>in</w:t>
            </w:r>
            <w:r>
              <w:rPr>
                <w:color w:val="231F20"/>
                <w:spacing w:val="-20"/>
                <w:w w:val="95"/>
                <w:sz w:val="14"/>
              </w:rPr>
              <w:t xml:space="preserve"> </w:t>
            </w:r>
            <w:r>
              <w:rPr>
                <w:color w:val="231F20"/>
                <w:w w:val="95"/>
                <w:sz w:val="14"/>
              </w:rPr>
              <w:t>all</w:t>
            </w:r>
            <w:r>
              <w:rPr>
                <w:color w:val="231F20"/>
                <w:spacing w:val="-20"/>
                <w:w w:val="95"/>
                <w:sz w:val="14"/>
              </w:rPr>
              <w:t xml:space="preserve"> </w:t>
            </w:r>
            <w:r>
              <w:rPr>
                <w:color w:val="231F20"/>
                <w:w w:val="95"/>
                <w:sz w:val="14"/>
              </w:rPr>
              <w:t>HFs</w:t>
            </w:r>
            <w:r>
              <w:rPr>
                <w:color w:val="231F20"/>
                <w:spacing w:val="-20"/>
                <w:w w:val="95"/>
                <w:sz w:val="14"/>
              </w:rPr>
              <w:t xml:space="preserve"> </w:t>
            </w:r>
            <w:r>
              <w:rPr>
                <w:color w:val="231F20"/>
                <w:w w:val="95"/>
                <w:sz w:val="14"/>
              </w:rPr>
              <w:t>to</w:t>
            </w:r>
            <w:r>
              <w:rPr>
                <w:color w:val="231F20"/>
                <w:spacing w:val="-19"/>
                <w:w w:val="95"/>
                <w:sz w:val="14"/>
              </w:rPr>
              <w:t xml:space="preserve"> </w:t>
            </w:r>
            <w:r>
              <w:rPr>
                <w:color w:val="231F20"/>
                <w:w w:val="95"/>
                <w:sz w:val="14"/>
              </w:rPr>
              <w:t>ensure</w:t>
            </w:r>
            <w:r>
              <w:rPr>
                <w:color w:val="231F20"/>
                <w:spacing w:val="-20"/>
                <w:w w:val="95"/>
                <w:sz w:val="14"/>
              </w:rPr>
              <w:t xml:space="preserve"> </w:t>
            </w:r>
            <w:r>
              <w:rPr>
                <w:color w:val="231F20"/>
                <w:w w:val="95"/>
                <w:sz w:val="14"/>
              </w:rPr>
              <w:t>vaccination</w:t>
            </w:r>
            <w:r>
              <w:rPr>
                <w:color w:val="231F20"/>
                <w:spacing w:val="-20"/>
                <w:w w:val="95"/>
                <w:sz w:val="14"/>
              </w:rPr>
              <w:t xml:space="preserve"> </w:t>
            </w:r>
            <w:r>
              <w:rPr>
                <w:color w:val="231F20"/>
                <w:w w:val="95"/>
                <w:sz w:val="14"/>
              </w:rPr>
              <w:t>of</w:t>
            </w:r>
            <w:r>
              <w:rPr>
                <w:color w:val="231F20"/>
                <w:spacing w:val="-20"/>
                <w:w w:val="95"/>
                <w:sz w:val="14"/>
              </w:rPr>
              <w:t xml:space="preserve"> </w:t>
            </w:r>
            <w:r>
              <w:rPr>
                <w:color w:val="231F20"/>
                <w:w w:val="95"/>
                <w:sz w:val="14"/>
              </w:rPr>
              <w:t>newborn</w:t>
            </w:r>
            <w:r>
              <w:rPr>
                <w:color w:val="231F20"/>
                <w:spacing w:val="-20"/>
                <w:w w:val="95"/>
                <w:sz w:val="14"/>
              </w:rPr>
              <w:t xml:space="preserve"> </w:t>
            </w:r>
            <w:r>
              <w:rPr>
                <w:color w:val="231F20"/>
                <w:w w:val="95"/>
                <w:sz w:val="14"/>
              </w:rPr>
              <w:t>with</w:t>
            </w:r>
            <w:r>
              <w:rPr>
                <w:color w:val="231F20"/>
                <w:spacing w:val="-20"/>
                <w:w w:val="95"/>
                <w:sz w:val="14"/>
              </w:rPr>
              <w:t xml:space="preserve"> </w:t>
            </w:r>
            <w:r>
              <w:rPr>
                <w:color w:val="231F20"/>
                <w:w w:val="95"/>
                <w:sz w:val="14"/>
              </w:rPr>
              <w:t>BCG,</w:t>
            </w:r>
            <w:r>
              <w:rPr>
                <w:color w:val="231F20"/>
                <w:spacing w:val="-19"/>
                <w:w w:val="95"/>
                <w:sz w:val="14"/>
              </w:rPr>
              <w:t xml:space="preserve"> </w:t>
            </w:r>
            <w:r>
              <w:rPr>
                <w:color w:val="231F20"/>
                <w:w w:val="95"/>
                <w:sz w:val="14"/>
              </w:rPr>
              <w:t>HBV</w:t>
            </w:r>
            <w:r>
              <w:rPr>
                <w:color w:val="231F20"/>
                <w:spacing w:val="-20"/>
                <w:w w:val="95"/>
                <w:sz w:val="14"/>
              </w:rPr>
              <w:t xml:space="preserve"> </w:t>
            </w:r>
            <w:r>
              <w:rPr>
                <w:color w:val="231F20"/>
                <w:w w:val="95"/>
                <w:sz w:val="14"/>
              </w:rPr>
              <w:t>&amp;</w:t>
            </w:r>
            <w:r>
              <w:rPr>
                <w:color w:val="231F20"/>
                <w:spacing w:val="-20"/>
                <w:w w:val="95"/>
                <w:sz w:val="14"/>
              </w:rPr>
              <w:t xml:space="preserve"> </w:t>
            </w:r>
            <w:r>
              <w:rPr>
                <w:color w:val="231F20"/>
                <w:w w:val="95"/>
                <w:sz w:val="14"/>
              </w:rPr>
              <w:t>OPV</w:t>
            </w:r>
            <w:r>
              <w:rPr>
                <w:color w:val="231F20"/>
                <w:spacing w:val="-20"/>
                <w:w w:val="95"/>
                <w:sz w:val="14"/>
              </w:rPr>
              <w:t xml:space="preserve"> </w:t>
            </w:r>
            <w:r>
              <w:rPr>
                <w:color w:val="231F20"/>
                <w:w w:val="95"/>
                <w:sz w:val="14"/>
              </w:rPr>
              <w:t>at</w:t>
            </w:r>
            <w:r>
              <w:rPr>
                <w:color w:val="231F20"/>
                <w:spacing w:val="-20"/>
                <w:w w:val="95"/>
                <w:sz w:val="14"/>
              </w:rPr>
              <w:t xml:space="preserve"> </w:t>
            </w:r>
            <w:r>
              <w:rPr>
                <w:color w:val="231F20"/>
                <w:w w:val="95"/>
                <w:sz w:val="14"/>
              </w:rPr>
              <w:t xml:space="preserve">birth </w:t>
            </w:r>
            <w:r>
              <w:rPr>
                <w:color w:val="231F20"/>
                <w:sz w:val="14"/>
              </w:rPr>
              <w:t>before</w:t>
            </w:r>
            <w:r>
              <w:rPr>
                <w:color w:val="231F20"/>
                <w:spacing w:val="-6"/>
                <w:sz w:val="14"/>
              </w:rPr>
              <w:t xml:space="preserve"> </w:t>
            </w:r>
            <w:r>
              <w:rPr>
                <w:color w:val="231F20"/>
                <w:sz w:val="14"/>
              </w:rPr>
              <w:t>discharge</w:t>
            </w:r>
          </w:p>
        </w:tc>
        <w:tc>
          <w:tcPr>
            <w:tcW w:w="1502" w:type="dxa"/>
            <w:tcBorders>
              <w:top w:val="single" w:sz="6" w:space="0" w:color="231F20"/>
              <w:left w:val="single" w:sz="6" w:space="0" w:color="231F20"/>
              <w:bottom w:val="single" w:sz="6" w:space="0" w:color="231F20"/>
              <w:right w:val="single" w:sz="6" w:space="0" w:color="231F20"/>
            </w:tcBorders>
          </w:tcPr>
          <w:p w14:paraId="15F0DA9D" w14:textId="77777777" w:rsidR="009948F1" w:rsidRDefault="009948F1">
            <w:pPr>
              <w:pStyle w:val="TableParagraph"/>
              <w:spacing w:before="7"/>
              <w:rPr>
                <w:sz w:val="14"/>
              </w:rPr>
            </w:pPr>
          </w:p>
          <w:p w14:paraId="53FF8696" w14:textId="77777777" w:rsidR="009948F1" w:rsidRDefault="00BC0563">
            <w:pPr>
              <w:pStyle w:val="TableParagraph"/>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0CDB0242" w14:textId="77777777" w:rsidR="009948F1" w:rsidRDefault="009948F1">
            <w:pPr>
              <w:pStyle w:val="TableParagraph"/>
              <w:spacing w:before="7"/>
              <w:rPr>
                <w:sz w:val="14"/>
              </w:rPr>
            </w:pPr>
          </w:p>
          <w:p w14:paraId="48F268AE" w14:textId="77777777" w:rsidR="009948F1" w:rsidRDefault="00BC0563">
            <w:pPr>
              <w:pStyle w:val="TableParagraph"/>
              <w:ind w:left="29"/>
              <w:rPr>
                <w:sz w:val="14"/>
              </w:rPr>
            </w:pPr>
            <w:r>
              <w:rPr>
                <w:color w:val="231F20"/>
                <w:sz w:val="14"/>
              </w:rPr>
              <w:t>No cost</w:t>
            </w:r>
          </w:p>
        </w:tc>
      </w:tr>
      <w:tr w:rsidR="009948F1" w14:paraId="20FC23DB" w14:textId="77777777">
        <w:trPr>
          <w:trHeight w:val="333"/>
        </w:trPr>
        <w:tc>
          <w:tcPr>
            <w:tcW w:w="472" w:type="dxa"/>
            <w:vMerge/>
            <w:tcBorders>
              <w:top w:val="nil"/>
              <w:bottom w:val="single" w:sz="6" w:space="0" w:color="231F20"/>
              <w:right w:val="single" w:sz="6" w:space="0" w:color="231F20"/>
            </w:tcBorders>
          </w:tcPr>
          <w:p w14:paraId="15095F0F" w14:textId="77777777" w:rsidR="009948F1" w:rsidRDefault="009948F1">
            <w:pPr>
              <w:rPr>
                <w:sz w:val="2"/>
                <w:szCs w:val="2"/>
              </w:rPr>
            </w:pPr>
          </w:p>
        </w:tc>
        <w:tc>
          <w:tcPr>
            <w:tcW w:w="553" w:type="dxa"/>
            <w:tcBorders>
              <w:top w:val="single" w:sz="6" w:space="0" w:color="231F20"/>
              <w:left w:val="single" w:sz="6" w:space="0" w:color="231F20"/>
              <w:bottom w:val="single" w:sz="6" w:space="0" w:color="231F20"/>
              <w:right w:val="single" w:sz="6" w:space="0" w:color="231F20"/>
            </w:tcBorders>
          </w:tcPr>
          <w:p w14:paraId="239091BA" w14:textId="77777777" w:rsidR="009948F1" w:rsidRDefault="00BC0563">
            <w:pPr>
              <w:pStyle w:val="TableParagraph"/>
              <w:spacing w:before="78"/>
              <w:ind w:right="63"/>
              <w:jc w:val="right"/>
              <w:rPr>
                <w:sz w:val="14"/>
              </w:rPr>
            </w:pPr>
            <w:r>
              <w:rPr>
                <w:color w:val="231F20"/>
                <w:w w:val="90"/>
                <w:sz w:val="14"/>
              </w:rPr>
              <w:t>4.4.4.e</w:t>
            </w:r>
          </w:p>
        </w:tc>
        <w:tc>
          <w:tcPr>
            <w:tcW w:w="5150" w:type="dxa"/>
            <w:gridSpan w:val="2"/>
            <w:tcBorders>
              <w:top w:val="single" w:sz="6" w:space="0" w:color="231F20"/>
              <w:left w:val="single" w:sz="6" w:space="0" w:color="231F20"/>
              <w:bottom w:val="single" w:sz="6" w:space="0" w:color="231F20"/>
              <w:right w:val="single" w:sz="6" w:space="0" w:color="231F20"/>
            </w:tcBorders>
          </w:tcPr>
          <w:p w14:paraId="7C3346C9" w14:textId="77777777" w:rsidR="009948F1" w:rsidRDefault="00BC0563">
            <w:pPr>
              <w:pStyle w:val="TableParagraph"/>
              <w:spacing w:line="151" w:lineRule="exact"/>
              <w:ind w:left="28"/>
              <w:rPr>
                <w:sz w:val="14"/>
              </w:rPr>
            </w:pPr>
            <w:r>
              <w:rPr>
                <w:color w:val="231F20"/>
                <w:w w:val="95"/>
                <w:sz w:val="14"/>
              </w:rPr>
              <w:t>Initiate and implement Community Health Influencers/Promoters and Service (CHIPS)</w:t>
            </w:r>
          </w:p>
          <w:p w14:paraId="562F9264" w14:textId="77777777" w:rsidR="009948F1" w:rsidRDefault="00BC0563">
            <w:pPr>
              <w:pStyle w:val="TableParagraph"/>
              <w:spacing w:before="10" w:line="153" w:lineRule="exact"/>
              <w:ind w:left="28"/>
              <w:rPr>
                <w:sz w:val="14"/>
              </w:rPr>
            </w:pPr>
            <w:r>
              <w:rPr>
                <w:color w:val="231F20"/>
                <w:sz w:val="14"/>
              </w:rPr>
              <w:t>Program for demand creation</w:t>
            </w:r>
          </w:p>
        </w:tc>
        <w:tc>
          <w:tcPr>
            <w:tcW w:w="1502" w:type="dxa"/>
            <w:tcBorders>
              <w:top w:val="single" w:sz="6" w:space="0" w:color="231F20"/>
              <w:left w:val="single" w:sz="6" w:space="0" w:color="231F20"/>
              <w:bottom w:val="single" w:sz="6" w:space="0" w:color="231F20"/>
              <w:right w:val="single" w:sz="6" w:space="0" w:color="231F20"/>
            </w:tcBorders>
          </w:tcPr>
          <w:p w14:paraId="7A0FEC74" w14:textId="77777777" w:rsidR="009948F1" w:rsidRDefault="00BC0563">
            <w:pPr>
              <w:pStyle w:val="TableParagraph"/>
              <w:spacing w:before="78"/>
              <w:ind w:left="29"/>
              <w:rPr>
                <w:sz w:val="14"/>
              </w:rPr>
            </w:pPr>
            <w:r>
              <w:rPr>
                <w:color w:val="231F20"/>
                <w:sz w:val="14"/>
              </w:rPr>
              <w:t>Lack of funds</w:t>
            </w:r>
          </w:p>
        </w:tc>
        <w:tc>
          <w:tcPr>
            <w:tcW w:w="1582" w:type="dxa"/>
            <w:tcBorders>
              <w:top w:val="single" w:sz="6" w:space="0" w:color="231F20"/>
              <w:left w:val="single" w:sz="6" w:space="0" w:color="231F20"/>
              <w:bottom w:val="single" w:sz="6" w:space="0" w:color="231F20"/>
              <w:right w:val="single" w:sz="6" w:space="0" w:color="231F20"/>
            </w:tcBorders>
          </w:tcPr>
          <w:p w14:paraId="4FEF0E15" w14:textId="77777777" w:rsidR="009948F1" w:rsidRDefault="00BC0563">
            <w:pPr>
              <w:pStyle w:val="TableParagraph"/>
              <w:spacing w:before="78"/>
              <w:ind w:left="29"/>
              <w:rPr>
                <w:sz w:val="14"/>
              </w:rPr>
            </w:pPr>
            <w:r>
              <w:rPr>
                <w:color w:val="231F20"/>
                <w:sz w:val="14"/>
              </w:rPr>
              <w:t>No cost</w:t>
            </w:r>
          </w:p>
        </w:tc>
      </w:tr>
      <w:tr w:rsidR="009948F1" w14:paraId="23F179A5" w14:textId="77777777">
        <w:trPr>
          <w:trHeight w:val="1454"/>
        </w:trPr>
        <w:tc>
          <w:tcPr>
            <w:tcW w:w="472" w:type="dxa"/>
            <w:tcBorders>
              <w:top w:val="single" w:sz="6" w:space="0" w:color="231F20"/>
              <w:left w:val="single" w:sz="12" w:space="0" w:color="231F20"/>
              <w:bottom w:val="single" w:sz="6" w:space="0" w:color="231F20"/>
              <w:right w:val="single" w:sz="6" w:space="0" w:color="231F20"/>
            </w:tcBorders>
            <w:shd w:val="clear" w:color="auto" w:fill="CCE7D3"/>
          </w:tcPr>
          <w:p w14:paraId="03F85570" w14:textId="77777777" w:rsidR="009948F1" w:rsidRDefault="009948F1">
            <w:pPr>
              <w:pStyle w:val="TableParagraph"/>
              <w:rPr>
                <w:sz w:val="14"/>
              </w:rPr>
            </w:pPr>
          </w:p>
          <w:p w14:paraId="68F26B19" w14:textId="77777777" w:rsidR="009948F1" w:rsidRDefault="009948F1">
            <w:pPr>
              <w:pStyle w:val="TableParagraph"/>
              <w:rPr>
                <w:sz w:val="14"/>
              </w:rPr>
            </w:pPr>
          </w:p>
          <w:p w14:paraId="37038DE0" w14:textId="77777777" w:rsidR="009948F1" w:rsidRDefault="009948F1">
            <w:pPr>
              <w:pStyle w:val="TableParagraph"/>
              <w:rPr>
                <w:sz w:val="14"/>
              </w:rPr>
            </w:pPr>
          </w:p>
          <w:p w14:paraId="1E66A484" w14:textId="77777777" w:rsidR="009948F1" w:rsidRDefault="009948F1">
            <w:pPr>
              <w:pStyle w:val="TableParagraph"/>
              <w:spacing w:before="5"/>
              <w:rPr>
                <w:sz w:val="13"/>
              </w:rPr>
            </w:pPr>
          </w:p>
          <w:p w14:paraId="62C22322" w14:textId="77777777" w:rsidR="009948F1" w:rsidRDefault="00BC0563">
            <w:pPr>
              <w:pStyle w:val="TableParagraph"/>
              <w:ind w:left="48"/>
              <w:rPr>
                <w:sz w:val="14"/>
              </w:rPr>
            </w:pPr>
            <w:r>
              <w:rPr>
                <w:color w:val="231F20"/>
                <w:sz w:val="14"/>
              </w:rPr>
              <w:t>4.4.5</w:t>
            </w:r>
          </w:p>
        </w:tc>
        <w:tc>
          <w:tcPr>
            <w:tcW w:w="3195" w:type="dxa"/>
            <w:gridSpan w:val="2"/>
            <w:tcBorders>
              <w:top w:val="single" w:sz="6" w:space="0" w:color="231F20"/>
              <w:left w:val="single" w:sz="6" w:space="0" w:color="231F20"/>
              <w:bottom w:val="single" w:sz="6" w:space="0" w:color="231F20"/>
              <w:right w:val="single" w:sz="6" w:space="0" w:color="231F20"/>
            </w:tcBorders>
            <w:shd w:val="clear" w:color="auto" w:fill="CCE7D3"/>
          </w:tcPr>
          <w:p w14:paraId="4CCABE9F" w14:textId="77777777" w:rsidR="009948F1" w:rsidRDefault="009948F1">
            <w:pPr>
              <w:pStyle w:val="TableParagraph"/>
              <w:rPr>
                <w:sz w:val="14"/>
              </w:rPr>
            </w:pPr>
          </w:p>
          <w:p w14:paraId="18FFA97D" w14:textId="77777777" w:rsidR="009948F1" w:rsidRDefault="009948F1">
            <w:pPr>
              <w:pStyle w:val="TableParagraph"/>
              <w:rPr>
                <w:sz w:val="14"/>
              </w:rPr>
            </w:pPr>
          </w:p>
          <w:p w14:paraId="2315DE14" w14:textId="77777777" w:rsidR="009948F1" w:rsidRDefault="009948F1">
            <w:pPr>
              <w:pStyle w:val="TableParagraph"/>
              <w:spacing w:before="7"/>
              <w:rPr>
                <w:sz w:val="19"/>
              </w:rPr>
            </w:pPr>
          </w:p>
          <w:p w14:paraId="18F56B8D" w14:textId="77777777" w:rsidR="009948F1" w:rsidRDefault="00BC0563">
            <w:pPr>
              <w:pStyle w:val="TableParagraph"/>
              <w:spacing w:line="254" w:lineRule="auto"/>
              <w:ind w:left="27" w:right="378" w:firstLine="34"/>
              <w:rPr>
                <w:sz w:val="14"/>
              </w:rPr>
            </w:pPr>
            <w:r>
              <w:rPr>
                <w:color w:val="231F20"/>
                <w:w w:val="95"/>
                <w:sz w:val="14"/>
              </w:rPr>
              <w:t>Improve</w:t>
            </w:r>
            <w:r>
              <w:rPr>
                <w:color w:val="231F20"/>
                <w:spacing w:val="-23"/>
                <w:w w:val="95"/>
                <w:sz w:val="14"/>
              </w:rPr>
              <w:t xml:space="preserve"> </w:t>
            </w:r>
            <w:r>
              <w:rPr>
                <w:color w:val="231F20"/>
                <w:w w:val="95"/>
                <w:sz w:val="14"/>
              </w:rPr>
              <w:t>quality</w:t>
            </w:r>
            <w:r>
              <w:rPr>
                <w:color w:val="231F20"/>
                <w:spacing w:val="-22"/>
                <w:w w:val="95"/>
                <w:sz w:val="14"/>
              </w:rPr>
              <w:t xml:space="preserve"> </w:t>
            </w:r>
            <w:r>
              <w:rPr>
                <w:color w:val="231F20"/>
                <w:w w:val="95"/>
                <w:sz w:val="14"/>
              </w:rPr>
              <w:t>of</w:t>
            </w:r>
            <w:r>
              <w:rPr>
                <w:color w:val="231F20"/>
                <w:spacing w:val="-22"/>
                <w:w w:val="95"/>
                <w:sz w:val="14"/>
              </w:rPr>
              <w:t xml:space="preserve"> </w:t>
            </w:r>
            <w:r>
              <w:rPr>
                <w:color w:val="231F20"/>
                <w:w w:val="95"/>
                <w:sz w:val="14"/>
              </w:rPr>
              <w:t>newborn</w:t>
            </w:r>
            <w:r>
              <w:rPr>
                <w:color w:val="231F20"/>
                <w:spacing w:val="-7"/>
                <w:w w:val="95"/>
                <w:sz w:val="14"/>
              </w:rPr>
              <w:t xml:space="preserve"> </w:t>
            </w:r>
            <w:r>
              <w:rPr>
                <w:color w:val="231F20"/>
                <w:w w:val="95"/>
                <w:sz w:val="14"/>
              </w:rPr>
              <w:t>and</w:t>
            </w:r>
            <w:r>
              <w:rPr>
                <w:color w:val="231F20"/>
                <w:spacing w:val="-23"/>
                <w:w w:val="95"/>
                <w:sz w:val="14"/>
              </w:rPr>
              <w:t xml:space="preserve"> </w:t>
            </w:r>
            <w:r>
              <w:rPr>
                <w:color w:val="231F20"/>
                <w:w w:val="95"/>
                <w:sz w:val="14"/>
              </w:rPr>
              <w:t>child</w:t>
            </w:r>
            <w:r>
              <w:rPr>
                <w:color w:val="231F20"/>
                <w:spacing w:val="-7"/>
                <w:w w:val="95"/>
                <w:sz w:val="14"/>
              </w:rPr>
              <w:t xml:space="preserve"> </w:t>
            </w:r>
            <w:r>
              <w:rPr>
                <w:color w:val="231F20"/>
                <w:w w:val="95"/>
                <w:sz w:val="14"/>
              </w:rPr>
              <w:t xml:space="preserve">healthcare </w:t>
            </w:r>
            <w:r>
              <w:rPr>
                <w:color w:val="231F20"/>
                <w:sz w:val="14"/>
              </w:rPr>
              <w:t>services</w:t>
            </w:r>
          </w:p>
        </w:tc>
        <w:tc>
          <w:tcPr>
            <w:tcW w:w="2508" w:type="dxa"/>
            <w:tcBorders>
              <w:top w:val="single" w:sz="6" w:space="0" w:color="231F20"/>
              <w:left w:val="single" w:sz="6" w:space="0" w:color="231F20"/>
              <w:bottom w:val="single" w:sz="6" w:space="0" w:color="231F20"/>
              <w:right w:val="single" w:sz="6" w:space="0" w:color="231F20"/>
            </w:tcBorders>
            <w:shd w:val="clear" w:color="auto" w:fill="CCE7D3"/>
          </w:tcPr>
          <w:p w14:paraId="1A2BC23D" w14:textId="77777777" w:rsidR="009948F1" w:rsidRDefault="00BC0563">
            <w:pPr>
              <w:pStyle w:val="TableParagraph"/>
              <w:numPr>
                <w:ilvl w:val="0"/>
                <w:numId w:val="187"/>
              </w:numPr>
              <w:tabs>
                <w:tab w:val="left" w:pos="74"/>
              </w:tabs>
              <w:spacing w:before="41" w:line="254" w:lineRule="auto"/>
              <w:ind w:right="439" w:firstLine="0"/>
              <w:rPr>
                <w:sz w:val="14"/>
              </w:rPr>
            </w:pPr>
            <w:r>
              <w:rPr>
                <w:color w:val="231F20"/>
                <w:w w:val="90"/>
                <w:sz w:val="14"/>
              </w:rPr>
              <w:t>300 HWs trained on updated</w:t>
            </w:r>
            <w:r>
              <w:rPr>
                <w:color w:val="231F20"/>
                <w:spacing w:val="-24"/>
                <w:w w:val="90"/>
                <w:sz w:val="14"/>
              </w:rPr>
              <w:t xml:space="preserve"> </w:t>
            </w:r>
            <w:r>
              <w:rPr>
                <w:color w:val="231F20"/>
                <w:w w:val="90"/>
                <w:sz w:val="14"/>
              </w:rPr>
              <w:t xml:space="preserve">ENCC </w:t>
            </w:r>
            <w:r>
              <w:rPr>
                <w:color w:val="231F20"/>
                <w:sz w:val="14"/>
              </w:rPr>
              <w:t>packages</w:t>
            </w:r>
          </w:p>
          <w:p w14:paraId="1BC7529D" w14:textId="2C71424E" w:rsidR="009948F1" w:rsidRDefault="00BC0563">
            <w:pPr>
              <w:pStyle w:val="TableParagraph"/>
              <w:numPr>
                <w:ilvl w:val="0"/>
                <w:numId w:val="187"/>
              </w:numPr>
              <w:tabs>
                <w:tab w:val="left" w:pos="108"/>
              </w:tabs>
              <w:spacing w:line="254" w:lineRule="auto"/>
              <w:ind w:right="45" w:firstLine="0"/>
              <w:rPr>
                <w:sz w:val="14"/>
              </w:rPr>
            </w:pPr>
            <w:r>
              <w:rPr>
                <w:color w:val="231F20"/>
                <w:sz w:val="14"/>
              </w:rPr>
              <w:t xml:space="preserve">Local </w:t>
            </w:r>
            <w:r w:rsidR="009B6708">
              <w:rPr>
                <w:color w:val="231F20"/>
                <w:sz w:val="14"/>
              </w:rPr>
              <w:t>dialects</w:t>
            </w:r>
            <w:r>
              <w:rPr>
                <w:color w:val="231F20"/>
                <w:sz w:val="14"/>
              </w:rPr>
              <w:t xml:space="preserve"> </w:t>
            </w:r>
            <w:r w:rsidR="009B6708">
              <w:rPr>
                <w:color w:val="231F20"/>
                <w:sz w:val="14"/>
              </w:rPr>
              <w:t>messages</w:t>
            </w:r>
            <w:r>
              <w:rPr>
                <w:color w:val="231F20"/>
                <w:sz w:val="14"/>
              </w:rPr>
              <w:t xml:space="preserve"> on ENCC &amp; </w:t>
            </w:r>
            <w:r w:rsidR="009B6708">
              <w:rPr>
                <w:color w:val="231F20"/>
                <w:w w:val="90"/>
                <w:sz w:val="14"/>
              </w:rPr>
              <w:t>Chlorhexidine</w:t>
            </w:r>
            <w:r>
              <w:rPr>
                <w:color w:val="231F20"/>
                <w:w w:val="90"/>
                <w:sz w:val="14"/>
              </w:rPr>
              <w:t xml:space="preserve"> disseminated through </w:t>
            </w:r>
            <w:r>
              <w:rPr>
                <w:color w:val="231F20"/>
                <w:spacing w:val="-3"/>
                <w:w w:val="90"/>
                <w:sz w:val="14"/>
              </w:rPr>
              <w:t xml:space="preserve">multiple </w:t>
            </w:r>
            <w:r>
              <w:rPr>
                <w:color w:val="231F20"/>
                <w:sz w:val="14"/>
              </w:rPr>
              <w:t>media</w:t>
            </w:r>
            <w:r>
              <w:rPr>
                <w:color w:val="231F20"/>
                <w:spacing w:val="-8"/>
                <w:sz w:val="14"/>
              </w:rPr>
              <w:t xml:space="preserve"> </w:t>
            </w:r>
            <w:r>
              <w:rPr>
                <w:color w:val="231F20"/>
                <w:sz w:val="14"/>
              </w:rPr>
              <w:t>channels</w:t>
            </w:r>
          </w:p>
          <w:p w14:paraId="48B90A35" w14:textId="77777777" w:rsidR="009948F1" w:rsidRDefault="00BC0563">
            <w:pPr>
              <w:pStyle w:val="TableParagraph"/>
              <w:numPr>
                <w:ilvl w:val="0"/>
                <w:numId w:val="187"/>
              </w:numPr>
              <w:tabs>
                <w:tab w:val="left" w:pos="74"/>
              </w:tabs>
              <w:spacing w:line="254" w:lineRule="auto"/>
              <w:ind w:right="108" w:firstLine="0"/>
              <w:rPr>
                <w:sz w:val="14"/>
              </w:rPr>
            </w:pPr>
            <w:r>
              <w:rPr>
                <w:color w:val="231F20"/>
                <w:sz w:val="14"/>
              </w:rPr>
              <w:t xml:space="preserve">Orientation for Private HFs, </w:t>
            </w:r>
            <w:r>
              <w:rPr>
                <w:color w:val="231F20"/>
                <w:w w:val="95"/>
                <w:sz w:val="14"/>
              </w:rPr>
              <w:t xml:space="preserve">PPMVs/Pharmacies on Newborn Care </w:t>
            </w:r>
            <w:r>
              <w:rPr>
                <w:color w:val="231F20"/>
                <w:w w:val="90"/>
                <w:sz w:val="14"/>
              </w:rPr>
              <w:t>including</w:t>
            </w:r>
            <w:r>
              <w:rPr>
                <w:color w:val="231F20"/>
                <w:spacing w:val="-6"/>
                <w:w w:val="90"/>
                <w:sz w:val="14"/>
              </w:rPr>
              <w:t xml:space="preserve"> </w:t>
            </w:r>
            <w:r>
              <w:rPr>
                <w:color w:val="231F20"/>
                <w:w w:val="90"/>
                <w:sz w:val="14"/>
              </w:rPr>
              <w:t>cord</w:t>
            </w:r>
            <w:r>
              <w:rPr>
                <w:color w:val="231F20"/>
                <w:spacing w:val="-5"/>
                <w:w w:val="90"/>
                <w:sz w:val="14"/>
              </w:rPr>
              <w:t xml:space="preserve"> </w:t>
            </w:r>
            <w:r>
              <w:rPr>
                <w:color w:val="231F20"/>
                <w:w w:val="90"/>
                <w:sz w:val="14"/>
              </w:rPr>
              <w:t>care</w:t>
            </w:r>
            <w:r>
              <w:rPr>
                <w:color w:val="231F20"/>
                <w:spacing w:val="-5"/>
                <w:w w:val="90"/>
                <w:sz w:val="14"/>
              </w:rPr>
              <w:t xml:space="preserve"> </w:t>
            </w:r>
            <w:r>
              <w:rPr>
                <w:color w:val="231F20"/>
                <w:w w:val="90"/>
                <w:sz w:val="14"/>
              </w:rPr>
              <w:t>with</w:t>
            </w:r>
            <w:r>
              <w:rPr>
                <w:color w:val="231F20"/>
                <w:spacing w:val="-6"/>
                <w:w w:val="90"/>
                <w:sz w:val="14"/>
              </w:rPr>
              <w:t xml:space="preserve"> </w:t>
            </w:r>
            <w:r>
              <w:rPr>
                <w:color w:val="231F20"/>
                <w:w w:val="90"/>
                <w:sz w:val="14"/>
              </w:rPr>
              <w:t>CHX</w:t>
            </w:r>
            <w:r>
              <w:rPr>
                <w:color w:val="231F20"/>
                <w:spacing w:val="-5"/>
                <w:w w:val="90"/>
                <w:sz w:val="14"/>
              </w:rPr>
              <w:t xml:space="preserve"> </w:t>
            </w:r>
            <w:r>
              <w:rPr>
                <w:color w:val="231F20"/>
                <w:w w:val="90"/>
                <w:sz w:val="14"/>
              </w:rPr>
              <w:t>implemented</w:t>
            </w:r>
          </w:p>
        </w:tc>
        <w:tc>
          <w:tcPr>
            <w:tcW w:w="1502" w:type="dxa"/>
            <w:tcBorders>
              <w:top w:val="single" w:sz="6" w:space="0" w:color="231F20"/>
              <w:left w:val="single" w:sz="6" w:space="0" w:color="231F20"/>
              <w:bottom w:val="single" w:sz="6" w:space="0" w:color="231F20"/>
            </w:tcBorders>
            <w:shd w:val="clear" w:color="auto" w:fill="CCE7D3"/>
          </w:tcPr>
          <w:p w14:paraId="7DC95D6E" w14:textId="77777777" w:rsidR="009948F1" w:rsidRDefault="009948F1">
            <w:pPr>
              <w:pStyle w:val="TableParagraph"/>
              <w:rPr>
                <w:rFonts w:ascii="Times New Roman"/>
                <w:sz w:val="12"/>
              </w:rPr>
            </w:pPr>
          </w:p>
        </w:tc>
        <w:tc>
          <w:tcPr>
            <w:tcW w:w="1582" w:type="dxa"/>
            <w:tcBorders>
              <w:top w:val="single" w:sz="6" w:space="0" w:color="231F20"/>
              <w:bottom w:val="single" w:sz="6" w:space="0" w:color="231F20"/>
              <w:right w:val="single" w:sz="6" w:space="0" w:color="231F20"/>
            </w:tcBorders>
            <w:shd w:val="clear" w:color="auto" w:fill="CCE7D3"/>
          </w:tcPr>
          <w:p w14:paraId="31123E6C" w14:textId="77777777" w:rsidR="009948F1" w:rsidRDefault="009948F1">
            <w:pPr>
              <w:pStyle w:val="TableParagraph"/>
              <w:rPr>
                <w:rFonts w:ascii="Times New Roman"/>
                <w:sz w:val="12"/>
              </w:rPr>
            </w:pPr>
          </w:p>
        </w:tc>
      </w:tr>
    </w:tbl>
    <w:p w14:paraId="01D48291" w14:textId="77777777" w:rsidR="009948F1" w:rsidRDefault="009948F1">
      <w:pPr>
        <w:rPr>
          <w:rFonts w:ascii="Times New Roman"/>
          <w:sz w:val="12"/>
        </w:rPr>
        <w:sectPr w:rsidR="009948F1">
          <w:pgSz w:w="11910" w:h="16840"/>
          <w:pgMar w:top="1340" w:right="1080" w:bottom="1340" w:left="1120" w:header="0" w:footer="1155" w:gutter="0"/>
          <w:cols w:space="720"/>
        </w:sectPr>
      </w:pPr>
    </w:p>
    <w:tbl>
      <w:tblPr>
        <w:tblW w:w="0" w:type="auto"/>
        <w:tblInd w:w="1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
        <w:gridCol w:w="557"/>
        <w:gridCol w:w="2659"/>
        <w:gridCol w:w="2524"/>
        <w:gridCol w:w="1512"/>
        <w:gridCol w:w="1593"/>
      </w:tblGrid>
      <w:tr w:rsidR="009948F1" w14:paraId="1D759578" w14:textId="77777777">
        <w:trPr>
          <w:trHeight w:val="366"/>
        </w:trPr>
        <w:tc>
          <w:tcPr>
            <w:tcW w:w="475" w:type="dxa"/>
            <w:vMerge w:val="restart"/>
            <w:tcBorders>
              <w:bottom w:val="single" w:sz="6" w:space="0" w:color="231F20"/>
              <w:right w:val="single" w:sz="6" w:space="0" w:color="231F20"/>
            </w:tcBorders>
          </w:tcPr>
          <w:p w14:paraId="50A19D10" w14:textId="77777777" w:rsidR="009948F1" w:rsidRDefault="009948F1">
            <w:pPr>
              <w:pStyle w:val="TableParagraph"/>
              <w:rPr>
                <w:rFonts w:ascii="Times New Roman"/>
                <w:sz w:val="12"/>
              </w:rPr>
            </w:pPr>
          </w:p>
        </w:tc>
        <w:tc>
          <w:tcPr>
            <w:tcW w:w="557" w:type="dxa"/>
            <w:tcBorders>
              <w:left w:val="single" w:sz="6" w:space="0" w:color="231F20"/>
              <w:bottom w:val="single" w:sz="6" w:space="0" w:color="231F20"/>
              <w:right w:val="single" w:sz="6" w:space="0" w:color="231F20"/>
            </w:tcBorders>
          </w:tcPr>
          <w:p w14:paraId="631344FB" w14:textId="77777777" w:rsidR="009948F1" w:rsidRDefault="00BC0563">
            <w:pPr>
              <w:pStyle w:val="TableParagraph"/>
              <w:spacing w:before="96"/>
              <w:ind w:left="51" w:right="28"/>
              <w:jc w:val="center"/>
              <w:rPr>
                <w:sz w:val="15"/>
              </w:rPr>
            </w:pPr>
            <w:bookmarkStart w:id="159" w:name="Page_133"/>
            <w:bookmarkEnd w:id="159"/>
            <w:r>
              <w:rPr>
                <w:color w:val="231F20"/>
                <w:w w:val="90"/>
                <w:sz w:val="15"/>
              </w:rPr>
              <w:t>4.4.5.a</w:t>
            </w:r>
          </w:p>
        </w:tc>
        <w:tc>
          <w:tcPr>
            <w:tcW w:w="5183" w:type="dxa"/>
            <w:gridSpan w:val="2"/>
            <w:tcBorders>
              <w:top w:val="single" w:sz="12" w:space="0" w:color="231F20"/>
              <w:left w:val="single" w:sz="6" w:space="0" w:color="231F20"/>
              <w:bottom w:val="single" w:sz="6" w:space="0" w:color="231F20"/>
              <w:right w:val="single" w:sz="12" w:space="0" w:color="231F20"/>
            </w:tcBorders>
          </w:tcPr>
          <w:p w14:paraId="754A3DAD" w14:textId="77777777" w:rsidR="009948F1" w:rsidRDefault="00BC0563">
            <w:pPr>
              <w:pStyle w:val="TableParagraph"/>
              <w:ind w:left="27"/>
              <w:rPr>
                <w:sz w:val="15"/>
              </w:rPr>
            </w:pPr>
            <w:r>
              <w:rPr>
                <w:color w:val="231F20"/>
                <w:w w:val="90"/>
                <w:sz w:val="15"/>
              </w:rPr>
              <w:t>Develop/adapt</w:t>
            </w:r>
            <w:r>
              <w:rPr>
                <w:color w:val="231F20"/>
                <w:spacing w:val="-12"/>
                <w:w w:val="90"/>
                <w:sz w:val="15"/>
              </w:rPr>
              <w:t xml:space="preserve"> </w:t>
            </w:r>
            <w:r>
              <w:rPr>
                <w:color w:val="231F20"/>
                <w:w w:val="90"/>
                <w:sz w:val="15"/>
              </w:rPr>
              <w:t>and</w:t>
            </w:r>
            <w:r>
              <w:rPr>
                <w:color w:val="231F20"/>
                <w:spacing w:val="-24"/>
                <w:w w:val="90"/>
                <w:sz w:val="15"/>
              </w:rPr>
              <w:t xml:space="preserve"> </w:t>
            </w:r>
            <w:r>
              <w:rPr>
                <w:color w:val="231F20"/>
                <w:w w:val="90"/>
                <w:sz w:val="15"/>
              </w:rPr>
              <w:t>produce</w:t>
            </w:r>
            <w:r>
              <w:rPr>
                <w:color w:val="231F20"/>
                <w:spacing w:val="-25"/>
                <w:w w:val="90"/>
                <w:sz w:val="15"/>
              </w:rPr>
              <w:t xml:space="preserve"> </w:t>
            </w:r>
            <w:r>
              <w:rPr>
                <w:color w:val="231F20"/>
                <w:w w:val="90"/>
                <w:sz w:val="15"/>
              </w:rPr>
              <w:t>newborn</w:t>
            </w:r>
            <w:r>
              <w:rPr>
                <w:color w:val="231F20"/>
                <w:spacing w:val="-24"/>
                <w:w w:val="90"/>
                <w:sz w:val="15"/>
              </w:rPr>
              <w:t xml:space="preserve"> </w:t>
            </w:r>
            <w:r>
              <w:rPr>
                <w:color w:val="231F20"/>
                <w:w w:val="90"/>
                <w:sz w:val="15"/>
              </w:rPr>
              <w:t>and</w:t>
            </w:r>
            <w:r>
              <w:rPr>
                <w:color w:val="231F20"/>
                <w:spacing w:val="-24"/>
                <w:w w:val="90"/>
                <w:sz w:val="15"/>
              </w:rPr>
              <w:t xml:space="preserve"> </w:t>
            </w:r>
            <w:r>
              <w:rPr>
                <w:color w:val="231F20"/>
                <w:w w:val="90"/>
                <w:sz w:val="15"/>
              </w:rPr>
              <w:t>child</w:t>
            </w:r>
            <w:r>
              <w:rPr>
                <w:color w:val="231F20"/>
                <w:spacing w:val="-25"/>
                <w:w w:val="90"/>
                <w:sz w:val="15"/>
              </w:rPr>
              <w:t xml:space="preserve"> </w:t>
            </w:r>
            <w:r>
              <w:rPr>
                <w:color w:val="231F20"/>
                <w:w w:val="90"/>
                <w:sz w:val="15"/>
              </w:rPr>
              <w:t>health</w:t>
            </w:r>
            <w:r>
              <w:rPr>
                <w:color w:val="231F20"/>
                <w:spacing w:val="-11"/>
                <w:w w:val="90"/>
                <w:sz w:val="15"/>
              </w:rPr>
              <w:t xml:space="preserve"> </w:t>
            </w:r>
            <w:r>
              <w:rPr>
                <w:color w:val="231F20"/>
                <w:w w:val="90"/>
                <w:sz w:val="15"/>
              </w:rPr>
              <w:t>treatment</w:t>
            </w:r>
            <w:r>
              <w:rPr>
                <w:color w:val="231F20"/>
                <w:spacing w:val="-24"/>
                <w:w w:val="90"/>
                <w:sz w:val="15"/>
              </w:rPr>
              <w:t xml:space="preserve"> </w:t>
            </w:r>
            <w:r>
              <w:rPr>
                <w:color w:val="231F20"/>
                <w:w w:val="90"/>
                <w:sz w:val="15"/>
              </w:rPr>
              <w:t>guidelines</w:t>
            </w:r>
            <w:r>
              <w:rPr>
                <w:color w:val="231F20"/>
                <w:spacing w:val="-25"/>
                <w:w w:val="90"/>
                <w:sz w:val="15"/>
              </w:rPr>
              <w:t xml:space="preserve"> </w:t>
            </w:r>
            <w:r>
              <w:rPr>
                <w:color w:val="231F20"/>
                <w:w w:val="90"/>
                <w:sz w:val="15"/>
              </w:rPr>
              <w:t>and</w:t>
            </w:r>
            <w:r>
              <w:rPr>
                <w:color w:val="231F20"/>
                <w:spacing w:val="-24"/>
                <w:w w:val="90"/>
                <w:sz w:val="15"/>
              </w:rPr>
              <w:t xml:space="preserve"> </w:t>
            </w:r>
            <w:r>
              <w:rPr>
                <w:color w:val="231F20"/>
                <w:w w:val="90"/>
                <w:sz w:val="15"/>
              </w:rPr>
              <w:t>protocols</w:t>
            </w:r>
          </w:p>
          <w:p w14:paraId="3C2D16A6" w14:textId="77777777" w:rsidR="009948F1" w:rsidRDefault="00BC0563">
            <w:pPr>
              <w:pStyle w:val="TableParagraph"/>
              <w:spacing w:before="18" w:line="156" w:lineRule="exact"/>
              <w:ind w:left="27"/>
              <w:rPr>
                <w:sz w:val="15"/>
              </w:rPr>
            </w:pPr>
            <w:r>
              <w:rPr>
                <w:color w:val="231F20"/>
                <w:w w:val="95"/>
                <w:sz w:val="15"/>
              </w:rPr>
              <w:t>for different levels of care</w:t>
            </w:r>
          </w:p>
        </w:tc>
        <w:tc>
          <w:tcPr>
            <w:tcW w:w="1512" w:type="dxa"/>
            <w:tcBorders>
              <w:top w:val="single" w:sz="2" w:space="0" w:color="231F20"/>
              <w:left w:val="single" w:sz="12" w:space="0" w:color="231F20"/>
              <w:bottom w:val="single" w:sz="6" w:space="0" w:color="231F20"/>
              <w:right w:val="single" w:sz="6" w:space="0" w:color="231F20"/>
            </w:tcBorders>
          </w:tcPr>
          <w:p w14:paraId="28CAC170" w14:textId="77777777" w:rsidR="009948F1" w:rsidRDefault="00BC0563">
            <w:pPr>
              <w:pStyle w:val="TableParagraph"/>
              <w:spacing w:before="96"/>
              <w:ind w:left="20"/>
              <w:rPr>
                <w:sz w:val="15"/>
              </w:rPr>
            </w:pPr>
            <w:r>
              <w:rPr>
                <w:color w:val="231F20"/>
                <w:w w:val="95"/>
                <w:sz w:val="15"/>
              </w:rPr>
              <w:t>Lack of funds</w:t>
            </w:r>
          </w:p>
        </w:tc>
        <w:tc>
          <w:tcPr>
            <w:tcW w:w="1593" w:type="dxa"/>
            <w:tcBorders>
              <w:top w:val="single" w:sz="2" w:space="0" w:color="231F20"/>
              <w:left w:val="single" w:sz="6" w:space="0" w:color="231F20"/>
              <w:bottom w:val="single" w:sz="6" w:space="0" w:color="231F20"/>
            </w:tcBorders>
          </w:tcPr>
          <w:p w14:paraId="056BA515" w14:textId="77777777" w:rsidR="009948F1" w:rsidRDefault="00BC0563">
            <w:pPr>
              <w:pStyle w:val="TableParagraph"/>
              <w:spacing w:before="1"/>
              <w:ind w:left="26"/>
              <w:rPr>
                <w:sz w:val="15"/>
              </w:rPr>
            </w:pPr>
            <w:r>
              <w:rPr>
                <w:color w:val="231F20"/>
                <w:w w:val="85"/>
                <w:sz w:val="15"/>
              </w:rPr>
              <w:t>Develop/adapt</w:t>
            </w:r>
            <w:r>
              <w:rPr>
                <w:color w:val="231F20"/>
                <w:spacing w:val="-24"/>
                <w:w w:val="85"/>
                <w:sz w:val="15"/>
              </w:rPr>
              <w:t xml:space="preserve"> </w:t>
            </w:r>
            <w:r>
              <w:rPr>
                <w:color w:val="231F20"/>
                <w:w w:val="85"/>
                <w:sz w:val="15"/>
              </w:rPr>
              <w:t>treatment</w:t>
            </w:r>
          </w:p>
          <w:p w14:paraId="0DA8BD5F" w14:textId="77777777" w:rsidR="009948F1" w:rsidRDefault="00BC0563">
            <w:pPr>
              <w:pStyle w:val="TableParagraph"/>
              <w:spacing w:before="19" w:line="154" w:lineRule="exact"/>
              <w:ind w:left="26"/>
              <w:rPr>
                <w:sz w:val="15"/>
              </w:rPr>
            </w:pPr>
            <w:r>
              <w:rPr>
                <w:color w:val="231F20"/>
                <w:w w:val="85"/>
                <w:sz w:val="15"/>
              </w:rPr>
              <w:t>guidelines and</w:t>
            </w:r>
            <w:r>
              <w:rPr>
                <w:color w:val="231F20"/>
                <w:spacing w:val="-22"/>
                <w:w w:val="85"/>
                <w:sz w:val="15"/>
              </w:rPr>
              <w:t xml:space="preserve"> </w:t>
            </w:r>
            <w:r>
              <w:rPr>
                <w:color w:val="231F20"/>
                <w:w w:val="85"/>
                <w:sz w:val="15"/>
              </w:rPr>
              <w:t>protocols</w:t>
            </w:r>
          </w:p>
        </w:tc>
      </w:tr>
      <w:tr w:rsidR="009948F1" w14:paraId="173E41B2" w14:textId="77777777">
        <w:trPr>
          <w:trHeight w:val="356"/>
        </w:trPr>
        <w:tc>
          <w:tcPr>
            <w:tcW w:w="475" w:type="dxa"/>
            <w:vMerge/>
            <w:tcBorders>
              <w:top w:val="nil"/>
              <w:bottom w:val="single" w:sz="6" w:space="0" w:color="231F20"/>
              <w:right w:val="single" w:sz="6" w:space="0" w:color="231F20"/>
            </w:tcBorders>
          </w:tcPr>
          <w:p w14:paraId="42F3D9A9"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1FF203A9" w14:textId="77777777" w:rsidR="009948F1" w:rsidRDefault="00BC0563">
            <w:pPr>
              <w:pStyle w:val="TableParagraph"/>
              <w:spacing w:before="93"/>
              <w:ind w:left="51" w:right="28"/>
              <w:jc w:val="center"/>
              <w:rPr>
                <w:sz w:val="15"/>
              </w:rPr>
            </w:pPr>
            <w:r>
              <w:rPr>
                <w:color w:val="231F20"/>
                <w:w w:val="90"/>
                <w:sz w:val="15"/>
              </w:rPr>
              <w:t>4.4.5.b</w:t>
            </w:r>
          </w:p>
        </w:tc>
        <w:tc>
          <w:tcPr>
            <w:tcW w:w="5183" w:type="dxa"/>
            <w:gridSpan w:val="2"/>
            <w:tcBorders>
              <w:top w:val="single" w:sz="6" w:space="0" w:color="231F20"/>
              <w:left w:val="single" w:sz="6" w:space="0" w:color="231F20"/>
              <w:bottom w:val="single" w:sz="6" w:space="0" w:color="231F20"/>
              <w:right w:val="single" w:sz="12" w:space="0" w:color="231F20"/>
            </w:tcBorders>
          </w:tcPr>
          <w:p w14:paraId="22832703" w14:textId="77777777" w:rsidR="009948F1" w:rsidRDefault="00BC0563">
            <w:pPr>
              <w:pStyle w:val="TableParagraph"/>
              <w:spacing w:before="87"/>
              <w:ind w:left="27"/>
              <w:rPr>
                <w:sz w:val="15"/>
              </w:rPr>
            </w:pPr>
            <w:r>
              <w:rPr>
                <w:color w:val="231F20"/>
                <w:w w:val="90"/>
                <w:sz w:val="15"/>
              </w:rPr>
              <w:t>Strengthen</w:t>
            </w:r>
            <w:r>
              <w:rPr>
                <w:color w:val="231F20"/>
                <w:spacing w:val="-24"/>
                <w:w w:val="90"/>
                <w:sz w:val="15"/>
              </w:rPr>
              <w:t xml:space="preserve"> </w:t>
            </w:r>
            <w:r>
              <w:rPr>
                <w:color w:val="231F20"/>
                <w:w w:val="90"/>
                <w:sz w:val="15"/>
              </w:rPr>
              <w:t>capacity</w:t>
            </w:r>
            <w:r>
              <w:rPr>
                <w:color w:val="231F20"/>
                <w:spacing w:val="-23"/>
                <w:w w:val="90"/>
                <w:sz w:val="15"/>
              </w:rPr>
              <w:t xml:space="preserve"> </w:t>
            </w:r>
            <w:r>
              <w:rPr>
                <w:color w:val="231F20"/>
                <w:w w:val="90"/>
                <w:sz w:val="15"/>
              </w:rPr>
              <w:t>of</w:t>
            </w:r>
            <w:r>
              <w:rPr>
                <w:color w:val="231F20"/>
                <w:spacing w:val="-23"/>
                <w:w w:val="90"/>
                <w:sz w:val="15"/>
              </w:rPr>
              <w:t xml:space="preserve"> </w:t>
            </w:r>
            <w:r>
              <w:rPr>
                <w:color w:val="231F20"/>
                <w:w w:val="90"/>
                <w:sz w:val="15"/>
              </w:rPr>
              <w:t>health</w:t>
            </w:r>
            <w:r>
              <w:rPr>
                <w:color w:val="231F20"/>
                <w:spacing w:val="-23"/>
                <w:w w:val="90"/>
                <w:sz w:val="15"/>
              </w:rPr>
              <w:t xml:space="preserve"> </w:t>
            </w:r>
            <w:r>
              <w:rPr>
                <w:color w:val="231F20"/>
                <w:w w:val="90"/>
                <w:sz w:val="15"/>
              </w:rPr>
              <w:t>care</w:t>
            </w:r>
            <w:r>
              <w:rPr>
                <w:color w:val="231F20"/>
                <w:spacing w:val="-23"/>
                <w:w w:val="90"/>
                <w:sz w:val="15"/>
              </w:rPr>
              <w:t xml:space="preserve"> </w:t>
            </w:r>
            <w:r>
              <w:rPr>
                <w:color w:val="231F20"/>
                <w:w w:val="90"/>
                <w:sz w:val="15"/>
              </w:rPr>
              <w:t>providers</w:t>
            </w:r>
            <w:r>
              <w:rPr>
                <w:color w:val="231F20"/>
                <w:spacing w:val="-23"/>
                <w:w w:val="90"/>
                <w:sz w:val="15"/>
              </w:rPr>
              <w:t xml:space="preserve"> </w:t>
            </w:r>
            <w:r>
              <w:rPr>
                <w:color w:val="231F20"/>
                <w:w w:val="90"/>
                <w:sz w:val="15"/>
              </w:rPr>
              <w:t>and</w:t>
            </w:r>
            <w:r>
              <w:rPr>
                <w:color w:val="231F20"/>
                <w:spacing w:val="-23"/>
                <w:w w:val="90"/>
                <w:sz w:val="15"/>
              </w:rPr>
              <w:t xml:space="preserve"> </w:t>
            </w:r>
            <w:r>
              <w:rPr>
                <w:color w:val="231F20"/>
                <w:w w:val="90"/>
                <w:sz w:val="15"/>
              </w:rPr>
              <w:t>facilities</w:t>
            </w:r>
            <w:r>
              <w:rPr>
                <w:color w:val="231F20"/>
                <w:spacing w:val="-23"/>
                <w:w w:val="90"/>
                <w:sz w:val="15"/>
              </w:rPr>
              <w:t xml:space="preserve"> </w:t>
            </w:r>
            <w:r>
              <w:rPr>
                <w:color w:val="231F20"/>
                <w:w w:val="90"/>
                <w:sz w:val="15"/>
              </w:rPr>
              <w:t>to</w:t>
            </w:r>
            <w:r>
              <w:rPr>
                <w:color w:val="231F20"/>
                <w:spacing w:val="-23"/>
                <w:w w:val="90"/>
                <w:sz w:val="15"/>
              </w:rPr>
              <w:t xml:space="preserve"> </w:t>
            </w:r>
            <w:r>
              <w:rPr>
                <w:color w:val="231F20"/>
                <w:w w:val="90"/>
                <w:sz w:val="15"/>
              </w:rPr>
              <w:t>provide</w:t>
            </w:r>
            <w:r>
              <w:rPr>
                <w:color w:val="231F20"/>
                <w:spacing w:val="-23"/>
                <w:w w:val="90"/>
                <w:sz w:val="15"/>
              </w:rPr>
              <w:t xml:space="preserve"> </w:t>
            </w:r>
            <w:r>
              <w:rPr>
                <w:color w:val="231F20"/>
                <w:w w:val="90"/>
                <w:sz w:val="15"/>
              </w:rPr>
              <w:t>quality</w:t>
            </w:r>
            <w:r>
              <w:rPr>
                <w:color w:val="231F20"/>
                <w:spacing w:val="-23"/>
                <w:w w:val="90"/>
                <w:sz w:val="15"/>
              </w:rPr>
              <w:t xml:space="preserve"> </w:t>
            </w:r>
            <w:r>
              <w:rPr>
                <w:color w:val="231F20"/>
                <w:w w:val="90"/>
                <w:sz w:val="15"/>
              </w:rPr>
              <w:t>newborn</w:t>
            </w:r>
            <w:r>
              <w:rPr>
                <w:color w:val="231F20"/>
                <w:spacing w:val="-23"/>
                <w:w w:val="90"/>
                <w:sz w:val="15"/>
              </w:rPr>
              <w:t xml:space="preserve"> </w:t>
            </w:r>
            <w:r>
              <w:rPr>
                <w:color w:val="231F20"/>
                <w:w w:val="90"/>
                <w:sz w:val="15"/>
              </w:rPr>
              <w:t>care</w:t>
            </w:r>
          </w:p>
        </w:tc>
        <w:tc>
          <w:tcPr>
            <w:tcW w:w="1512" w:type="dxa"/>
            <w:tcBorders>
              <w:top w:val="single" w:sz="6" w:space="0" w:color="231F20"/>
              <w:left w:val="single" w:sz="12" w:space="0" w:color="231F20"/>
              <w:bottom w:val="single" w:sz="6" w:space="0" w:color="231F20"/>
              <w:right w:val="single" w:sz="6" w:space="0" w:color="231F20"/>
            </w:tcBorders>
          </w:tcPr>
          <w:p w14:paraId="1C7C75E9" w14:textId="77777777" w:rsidR="009948F1" w:rsidRDefault="00BC0563">
            <w:pPr>
              <w:pStyle w:val="TableParagraph"/>
              <w:spacing w:before="93"/>
              <w:ind w:left="20"/>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6DC41A9F" w14:textId="77777777" w:rsidR="009948F1" w:rsidRDefault="00BC0563">
            <w:pPr>
              <w:pStyle w:val="TableParagraph"/>
              <w:spacing w:before="93"/>
              <w:ind w:left="26"/>
              <w:rPr>
                <w:sz w:val="15"/>
              </w:rPr>
            </w:pPr>
            <w:r>
              <w:rPr>
                <w:color w:val="231F20"/>
                <w:w w:val="95"/>
                <w:sz w:val="15"/>
              </w:rPr>
              <w:t>Train HWs</w:t>
            </w:r>
          </w:p>
        </w:tc>
      </w:tr>
      <w:tr w:rsidR="009948F1" w14:paraId="2A8839D3" w14:textId="77777777">
        <w:trPr>
          <w:trHeight w:val="774"/>
        </w:trPr>
        <w:tc>
          <w:tcPr>
            <w:tcW w:w="475" w:type="dxa"/>
            <w:vMerge/>
            <w:tcBorders>
              <w:top w:val="nil"/>
              <w:bottom w:val="single" w:sz="6" w:space="0" w:color="231F20"/>
              <w:right w:val="single" w:sz="6" w:space="0" w:color="231F20"/>
            </w:tcBorders>
          </w:tcPr>
          <w:p w14:paraId="4A6B0DEC"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080202C9" w14:textId="77777777" w:rsidR="009948F1" w:rsidRDefault="009948F1">
            <w:pPr>
              <w:pStyle w:val="TableParagraph"/>
              <w:rPr>
                <w:sz w:val="16"/>
              </w:rPr>
            </w:pPr>
          </w:p>
          <w:p w14:paraId="503189A6" w14:textId="77777777" w:rsidR="009948F1" w:rsidRDefault="00BC0563">
            <w:pPr>
              <w:pStyle w:val="TableParagraph"/>
              <w:spacing w:before="118"/>
              <w:ind w:left="51" w:right="28"/>
              <w:jc w:val="center"/>
              <w:rPr>
                <w:sz w:val="15"/>
              </w:rPr>
            </w:pPr>
            <w:r>
              <w:rPr>
                <w:color w:val="231F20"/>
                <w:w w:val="90"/>
                <w:sz w:val="15"/>
              </w:rPr>
              <w:t>4.4.5.c</w:t>
            </w:r>
          </w:p>
        </w:tc>
        <w:tc>
          <w:tcPr>
            <w:tcW w:w="5183" w:type="dxa"/>
            <w:gridSpan w:val="2"/>
            <w:tcBorders>
              <w:top w:val="single" w:sz="6" w:space="0" w:color="231F20"/>
              <w:left w:val="single" w:sz="6" w:space="0" w:color="231F20"/>
              <w:bottom w:val="single" w:sz="6" w:space="0" w:color="231F20"/>
              <w:right w:val="single" w:sz="6" w:space="0" w:color="231F20"/>
            </w:tcBorders>
          </w:tcPr>
          <w:p w14:paraId="177A7ABA" w14:textId="77777777" w:rsidR="009948F1" w:rsidRDefault="009948F1">
            <w:pPr>
              <w:pStyle w:val="TableParagraph"/>
              <w:spacing w:before="5"/>
              <w:rPr>
                <w:sz w:val="17"/>
              </w:rPr>
            </w:pPr>
          </w:p>
          <w:p w14:paraId="50C2E7BE" w14:textId="6195C2D8" w:rsidR="009948F1" w:rsidRDefault="00BC0563">
            <w:pPr>
              <w:pStyle w:val="TableParagraph"/>
              <w:spacing w:line="266" w:lineRule="auto"/>
              <w:ind w:left="27" w:right="25"/>
              <w:rPr>
                <w:sz w:val="15"/>
              </w:rPr>
            </w:pPr>
            <w:r>
              <w:rPr>
                <w:color w:val="231F20"/>
                <w:w w:val="85"/>
                <w:sz w:val="15"/>
              </w:rPr>
              <w:t xml:space="preserve">Develop and disseminate messages in local </w:t>
            </w:r>
            <w:r w:rsidR="009B6708">
              <w:rPr>
                <w:color w:val="231F20"/>
                <w:w w:val="85"/>
                <w:sz w:val="15"/>
              </w:rPr>
              <w:t>dialects</w:t>
            </w:r>
            <w:r>
              <w:rPr>
                <w:color w:val="231F20"/>
                <w:w w:val="85"/>
                <w:sz w:val="15"/>
              </w:rPr>
              <w:t xml:space="preserve"> through multiple media channels (Print </w:t>
            </w:r>
            <w:r>
              <w:rPr>
                <w:color w:val="231F20"/>
                <w:w w:val="95"/>
                <w:sz w:val="15"/>
              </w:rPr>
              <w:t>and electronic media) on ENCC &amp; chlorhexidine gel use for cord care</w:t>
            </w:r>
          </w:p>
        </w:tc>
        <w:tc>
          <w:tcPr>
            <w:tcW w:w="1512" w:type="dxa"/>
            <w:tcBorders>
              <w:top w:val="single" w:sz="6" w:space="0" w:color="231F20"/>
              <w:left w:val="single" w:sz="6" w:space="0" w:color="231F20"/>
              <w:bottom w:val="single" w:sz="6" w:space="0" w:color="231F20"/>
              <w:right w:val="single" w:sz="6" w:space="0" w:color="231F20"/>
            </w:tcBorders>
          </w:tcPr>
          <w:p w14:paraId="60414A60" w14:textId="77777777" w:rsidR="009948F1" w:rsidRDefault="009948F1">
            <w:pPr>
              <w:pStyle w:val="TableParagraph"/>
              <w:rPr>
                <w:sz w:val="16"/>
              </w:rPr>
            </w:pPr>
          </w:p>
          <w:p w14:paraId="43CF235C" w14:textId="77777777" w:rsidR="009948F1" w:rsidRDefault="00BC0563">
            <w:pPr>
              <w:pStyle w:val="TableParagraph"/>
              <w:spacing w:before="118"/>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7C8C5C21" w14:textId="77777777" w:rsidR="009948F1" w:rsidRDefault="009948F1">
            <w:pPr>
              <w:pStyle w:val="TableParagraph"/>
              <w:rPr>
                <w:sz w:val="18"/>
              </w:rPr>
            </w:pPr>
          </w:p>
          <w:p w14:paraId="2FB76AC8" w14:textId="77777777" w:rsidR="009948F1" w:rsidRDefault="00BC0563">
            <w:pPr>
              <w:pStyle w:val="TableParagraph"/>
              <w:spacing w:line="266" w:lineRule="auto"/>
              <w:ind w:left="26"/>
              <w:rPr>
                <w:sz w:val="15"/>
              </w:rPr>
            </w:pPr>
            <w:r>
              <w:rPr>
                <w:color w:val="231F20"/>
                <w:w w:val="85"/>
                <w:sz w:val="15"/>
              </w:rPr>
              <w:t xml:space="preserve">Develop and disseminate </w:t>
            </w:r>
            <w:r>
              <w:rPr>
                <w:color w:val="231F20"/>
                <w:w w:val="95"/>
                <w:sz w:val="15"/>
              </w:rPr>
              <w:t>messages</w:t>
            </w:r>
          </w:p>
        </w:tc>
      </w:tr>
      <w:tr w:rsidR="009948F1" w14:paraId="27C2B9BE" w14:textId="77777777">
        <w:trPr>
          <w:trHeight w:val="558"/>
        </w:trPr>
        <w:tc>
          <w:tcPr>
            <w:tcW w:w="475" w:type="dxa"/>
            <w:vMerge/>
            <w:tcBorders>
              <w:top w:val="nil"/>
              <w:bottom w:val="single" w:sz="6" w:space="0" w:color="231F20"/>
              <w:right w:val="single" w:sz="6" w:space="0" w:color="231F20"/>
            </w:tcBorders>
          </w:tcPr>
          <w:p w14:paraId="471F0BD9"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0D166684" w14:textId="77777777" w:rsidR="009948F1" w:rsidRDefault="009948F1">
            <w:pPr>
              <w:pStyle w:val="TableParagraph"/>
              <w:spacing w:before="10"/>
              <w:rPr>
                <w:sz w:val="16"/>
              </w:rPr>
            </w:pPr>
          </w:p>
          <w:p w14:paraId="2F6791E6" w14:textId="77777777" w:rsidR="009948F1" w:rsidRDefault="00BC0563">
            <w:pPr>
              <w:pStyle w:val="TableParagraph"/>
              <w:ind w:left="51" w:right="28"/>
              <w:jc w:val="center"/>
              <w:rPr>
                <w:sz w:val="15"/>
              </w:rPr>
            </w:pPr>
            <w:r>
              <w:rPr>
                <w:color w:val="231F20"/>
                <w:w w:val="90"/>
                <w:sz w:val="15"/>
              </w:rPr>
              <w:t>4.4.5.d</w:t>
            </w:r>
          </w:p>
        </w:tc>
        <w:tc>
          <w:tcPr>
            <w:tcW w:w="5183" w:type="dxa"/>
            <w:gridSpan w:val="2"/>
            <w:tcBorders>
              <w:top w:val="single" w:sz="6" w:space="0" w:color="231F20"/>
              <w:left w:val="single" w:sz="6" w:space="0" w:color="231F20"/>
              <w:bottom w:val="single" w:sz="6" w:space="0" w:color="231F20"/>
              <w:right w:val="single" w:sz="6" w:space="0" w:color="231F20"/>
            </w:tcBorders>
          </w:tcPr>
          <w:p w14:paraId="3354E405" w14:textId="77777777" w:rsidR="009948F1" w:rsidRDefault="009948F1">
            <w:pPr>
              <w:pStyle w:val="TableParagraph"/>
              <w:spacing w:before="4"/>
              <w:rPr>
                <w:sz w:val="16"/>
              </w:rPr>
            </w:pPr>
          </w:p>
          <w:p w14:paraId="5ABC67E2" w14:textId="77777777" w:rsidR="009948F1" w:rsidRDefault="00BC0563">
            <w:pPr>
              <w:pStyle w:val="TableParagraph"/>
              <w:ind w:left="27"/>
              <w:rPr>
                <w:sz w:val="15"/>
              </w:rPr>
            </w:pPr>
            <w:r>
              <w:rPr>
                <w:color w:val="231F20"/>
                <w:w w:val="85"/>
                <w:sz w:val="15"/>
              </w:rPr>
              <w:t>Orientate Private HFs, PPMVs/Pharmacies on Newborn Care including cord care with CHX</w:t>
            </w:r>
          </w:p>
        </w:tc>
        <w:tc>
          <w:tcPr>
            <w:tcW w:w="1512" w:type="dxa"/>
            <w:tcBorders>
              <w:top w:val="single" w:sz="6" w:space="0" w:color="231F20"/>
              <w:left w:val="single" w:sz="6" w:space="0" w:color="231F20"/>
              <w:bottom w:val="single" w:sz="6" w:space="0" w:color="231F20"/>
              <w:right w:val="single" w:sz="6" w:space="0" w:color="231F20"/>
            </w:tcBorders>
          </w:tcPr>
          <w:p w14:paraId="08EA41AA" w14:textId="77777777" w:rsidR="009948F1" w:rsidRDefault="009948F1">
            <w:pPr>
              <w:pStyle w:val="TableParagraph"/>
              <w:spacing w:before="10"/>
              <w:rPr>
                <w:sz w:val="16"/>
              </w:rPr>
            </w:pPr>
          </w:p>
          <w:p w14:paraId="1DE5D434"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150A8045" w14:textId="77777777" w:rsidR="009948F1" w:rsidRDefault="009948F1">
            <w:pPr>
              <w:pStyle w:val="TableParagraph"/>
              <w:spacing w:before="10"/>
              <w:rPr>
                <w:sz w:val="16"/>
              </w:rPr>
            </w:pPr>
          </w:p>
          <w:p w14:paraId="4EE7A571" w14:textId="77777777" w:rsidR="009948F1" w:rsidRDefault="00BC0563">
            <w:pPr>
              <w:pStyle w:val="TableParagraph"/>
              <w:ind w:left="26"/>
              <w:rPr>
                <w:sz w:val="15"/>
              </w:rPr>
            </w:pPr>
            <w:r>
              <w:rPr>
                <w:color w:val="231F20"/>
                <w:w w:val="95"/>
                <w:sz w:val="15"/>
              </w:rPr>
              <w:t>Conduct orientation</w:t>
            </w:r>
          </w:p>
        </w:tc>
      </w:tr>
      <w:tr w:rsidR="009948F1" w14:paraId="11CF7E64" w14:textId="77777777">
        <w:trPr>
          <w:trHeight w:val="1319"/>
        </w:trPr>
        <w:tc>
          <w:tcPr>
            <w:tcW w:w="475" w:type="dxa"/>
            <w:tcBorders>
              <w:top w:val="single" w:sz="6" w:space="0" w:color="231F20"/>
              <w:left w:val="single" w:sz="12" w:space="0" w:color="231F20"/>
              <w:bottom w:val="single" w:sz="6" w:space="0" w:color="231F20"/>
              <w:right w:val="single" w:sz="6" w:space="0" w:color="231F20"/>
            </w:tcBorders>
            <w:shd w:val="clear" w:color="auto" w:fill="CCE7D3"/>
          </w:tcPr>
          <w:p w14:paraId="745C71C1" w14:textId="77777777" w:rsidR="009948F1" w:rsidRDefault="009948F1">
            <w:pPr>
              <w:pStyle w:val="TableParagraph"/>
              <w:rPr>
                <w:sz w:val="16"/>
              </w:rPr>
            </w:pPr>
          </w:p>
          <w:p w14:paraId="1985011C" w14:textId="77777777" w:rsidR="009948F1" w:rsidRDefault="009948F1">
            <w:pPr>
              <w:pStyle w:val="TableParagraph"/>
              <w:rPr>
                <w:sz w:val="16"/>
              </w:rPr>
            </w:pPr>
          </w:p>
          <w:p w14:paraId="1E885CBA" w14:textId="77777777" w:rsidR="009948F1" w:rsidRDefault="009948F1">
            <w:pPr>
              <w:pStyle w:val="TableParagraph"/>
              <w:rPr>
                <w:sz w:val="18"/>
              </w:rPr>
            </w:pPr>
          </w:p>
          <w:p w14:paraId="7059FEF8" w14:textId="77777777" w:rsidR="009948F1" w:rsidRDefault="00BC0563">
            <w:pPr>
              <w:pStyle w:val="TableParagraph"/>
              <w:ind w:left="48"/>
              <w:rPr>
                <w:sz w:val="15"/>
              </w:rPr>
            </w:pPr>
            <w:r>
              <w:rPr>
                <w:color w:val="231F20"/>
                <w:w w:val="95"/>
                <w:sz w:val="15"/>
              </w:rPr>
              <w:t>4.4.6</w:t>
            </w:r>
          </w:p>
        </w:tc>
        <w:tc>
          <w:tcPr>
            <w:tcW w:w="3216" w:type="dxa"/>
            <w:gridSpan w:val="2"/>
            <w:tcBorders>
              <w:top w:val="single" w:sz="6" w:space="0" w:color="231F20"/>
              <w:left w:val="single" w:sz="6" w:space="0" w:color="231F20"/>
              <w:bottom w:val="single" w:sz="6" w:space="0" w:color="231F20"/>
              <w:right w:val="single" w:sz="6" w:space="0" w:color="231F20"/>
            </w:tcBorders>
            <w:shd w:val="clear" w:color="auto" w:fill="CCE7D3"/>
          </w:tcPr>
          <w:p w14:paraId="47976129" w14:textId="77777777" w:rsidR="009948F1" w:rsidRDefault="009948F1">
            <w:pPr>
              <w:pStyle w:val="TableParagraph"/>
              <w:rPr>
                <w:sz w:val="16"/>
              </w:rPr>
            </w:pPr>
          </w:p>
          <w:p w14:paraId="15773F7C" w14:textId="77777777" w:rsidR="009948F1" w:rsidRDefault="009948F1">
            <w:pPr>
              <w:pStyle w:val="TableParagraph"/>
              <w:spacing w:before="10"/>
              <w:rPr>
                <w:sz w:val="16"/>
              </w:rPr>
            </w:pPr>
          </w:p>
          <w:p w14:paraId="1ACB2681" w14:textId="77777777" w:rsidR="009948F1" w:rsidRDefault="00BC0563">
            <w:pPr>
              <w:pStyle w:val="TableParagraph"/>
              <w:spacing w:line="266" w:lineRule="auto"/>
              <w:ind w:left="27" w:firstLine="34"/>
              <w:rPr>
                <w:sz w:val="15"/>
              </w:rPr>
            </w:pPr>
            <w:r>
              <w:rPr>
                <w:color w:val="231F20"/>
                <w:w w:val="90"/>
                <w:sz w:val="15"/>
              </w:rPr>
              <w:t xml:space="preserve">Promote advocacy, community </w:t>
            </w:r>
            <w:proofErr w:type="spellStart"/>
            <w:r>
              <w:rPr>
                <w:color w:val="231F20"/>
                <w:w w:val="90"/>
                <w:sz w:val="15"/>
              </w:rPr>
              <w:t>mobilisation</w:t>
            </w:r>
            <w:proofErr w:type="spellEnd"/>
            <w:r>
              <w:rPr>
                <w:color w:val="231F20"/>
                <w:w w:val="90"/>
                <w:sz w:val="15"/>
              </w:rPr>
              <w:t xml:space="preserve"> and </w:t>
            </w:r>
            <w:proofErr w:type="spellStart"/>
            <w:r>
              <w:rPr>
                <w:color w:val="231F20"/>
                <w:w w:val="85"/>
                <w:sz w:val="15"/>
              </w:rPr>
              <w:t>behavioural</w:t>
            </w:r>
            <w:proofErr w:type="spellEnd"/>
            <w:r>
              <w:rPr>
                <w:color w:val="231F20"/>
                <w:w w:val="85"/>
                <w:sz w:val="15"/>
              </w:rPr>
              <w:t xml:space="preserve"> change communication for newborn and </w:t>
            </w:r>
            <w:r>
              <w:rPr>
                <w:color w:val="231F20"/>
                <w:w w:val="95"/>
                <w:sz w:val="15"/>
              </w:rPr>
              <w:t>child healthcare services</w:t>
            </w:r>
          </w:p>
        </w:tc>
        <w:tc>
          <w:tcPr>
            <w:tcW w:w="2524" w:type="dxa"/>
            <w:tcBorders>
              <w:top w:val="single" w:sz="6" w:space="0" w:color="231F20"/>
              <w:left w:val="single" w:sz="6" w:space="0" w:color="231F20"/>
              <w:bottom w:val="single" w:sz="6" w:space="0" w:color="231F20"/>
              <w:right w:val="single" w:sz="6" w:space="0" w:color="231F20"/>
            </w:tcBorders>
            <w:shd w:val="clear" w:color="auto" w:fill="CCE7D3"/>
          </w:tcPr>
          <w:p w14:paraId="7E90EE03" w14:textId="77777777" w:rsidR="009948F1" w:rsidRDefault="00BC0563">
            <w:pPr>
              <w:pStyle w:val="TableParagraph"/>
              <w:numPr>
                <w:ilvl w:val="0"/>
                <w:numId w:val="186"/>
              </w:numPr>
              <w:tabs>
                <w:tab w:val="left" w:pos="100"/>
              </w:tabs>
              <w:spacing w:before="97" w:line="266" w:lineRule="auto"/>
              <w:ind w:right="95" w:firstLine="0"/>
              <w:rPr>
                <w:sz w:val="15"/>
              </w:rPr>
            </w:pPr>
            <w:r>
              <w:rPr>
                <w:color w:val="231F20"/>
                <w:w w:val="85"/>
                <w:sz w:val="15"/>
              </w:rPr>
              <w:t xml:space="preserve">Advocate to policy makers and </w:t>
            </w:r>
            <w:r>
              <w:rPr>
                <w:color w:val="231F20"/>
                <w:spacing w:val="-3"/>
                <w:w w:val="85"/>
                <w:sz w:val="15"/>
              </w:rPr>
              <w:t xml:space="preserve">legislators </w:t>
            </w:r>
            <w:r>
              <w:rPr>
                <w:color w:val="231F20"/>
                <w:w w:val="95"/>
                <w:sz w:val="15"/>
              </w:rPr>
              <w:t>done</w:t>
            </w:r>
          </w:p>
          <w:p w14:paraId="1907F06A" w14:textId="77777777" w:rsidR="009948F1" w:rsidRDefault="00BC0563">
            <w:pPr>
              <w:pStyle w:val="TableParagraph"/>
              <w:numPr>
                <w:ilvl w:val="0"/>
                <w:numId w:val="186"/>
              </w:numPr>
              <w:tabs>
                <w:tab w:val="left" w:pos="100"/>
              </w:tabs>
              <w:spacing w:line="266" w:lineRule="auto"/>
              <w:ind w:right="123" w:firstLine="0"/>
              <w:rPr>
                <w:sz w:val="15"/>
              </w:rPr>
            </w:pPr>
            <w:r>
              <w:rPr>
                <w:color w:val="231F20"/>
                <w:w w:val="85"/>
                <w:sz w:val="15"/>
              </w:rPr>
              <w:t>At least 300 WDC/Community</w:t>
            </w:r>
            <w:r>
              <w:rPr>
                <w:color w:val="231F20"/>
                <w:spacing w:val="-18"/>
                <w:w w:val="85"/>
                <w:sz w:val="15"/>
              </w:rPr>
              <w:t xml:space="preserve"> </w:t>
            </w:r>
            <w:r>
              <w:rPr>
                <w:color w:val="231F20"/>
                <w:spacing w:val="-3"/>
                <w:w w:val="85"/>
                <w:sz w:val="15"/>
              </w:rPr>
              <w:t xml:space="preserve">volunteers </w:t>
            </w:r>
            <w:r>
              <w:rPr>
                <w:color w:val="231F20"/>
                <w:w w:val="95"/>
                <w:sz w:val="15"/>
              </w:rPr>
              <w:t>engaged and</w:t>
            </w:r>
            <w:r>
              <w:rPr>
                <w:color w:val="231F20"/>
                <w:spacing w:val="-18"/>
                <w:w w:val="95"/>
                <w:sz w:val="15"/>
              </w:rPr>
              <w:t xml:space="preserve"> </w:t>
            </w:r>
            <w:r>
              <w:rPr>
                <w:color w:val="231F20"/>
                <w:w w:val="95"/>
                <w:sz w:val="15"/>
              </w:rPr>
              <w:t>trained</w:t>
            </w:r>
          </w:p>
          <w:p w14:paraId="609EC7C8" w14:textId="77777777" w:rsidR="009948F1" w:rsidRDefault="00BC0563">
            <w:pPr>
              <w:pStyle w:val="TableParagraph"/>
              <w:numPr>
                <w:ilvl w:val="0"/>
                <w:numId w:val="186"/>
              </w:numPr>
              <w:tabs>
                <w:tab w:val="left" w:pos="142"/>
              </w:tabs>
              <w:spacing w:line="266" w:lineRule="auto"/>
              <w:ind w:right="67" w:firstLine="0"/>
              <w:rPr>
                <w:sz w:val="15"/>
              </w:rPr>
            </w:pPr>
            <w:r>
              <w:rPr>
                <w:color w:val="231F20"/>
                <w:w w:val="85"/>
                <w:sz w:val="15"/>
              </w:rPr>
              <w:t xml:space="preserve">Newborn and child health </w:t>
            </w:r>
            <w:r>
              <w:rPr>
                <w:color w:val="231F20"/>
                <w:spacing w:val="-3"/>
                <w:w w:val="85"/>
                <w:sz w:val="15"/>
              </w:rPr>
              <w:t xml:space="preserve">communication </w:t>
            </w:r>
            <w:r>
              <w:rPr>
                <w:color w:val="231F20"/>
                <w:w w:val="95"/>
                <w:sz w:val="15"/>
              </w:rPr>
              <w:t>materials</w:t>
            </w:r>
            <w:r>
              <w:rPr>
                <w:color w:val="231F20"/>
                <w:spacing w:val="-22"/>
                <w:w w:val="95"/>
                <w:sz w:val="15"/>
              </w:rPr>
              <w:t xml:space="preserve"> </w:t>
            </w:r>
            <w:r>
              <w:rPr>
                <w:color w:val="231F20"/>
                <w:w w:val="95"/>
                <w:sz w:val="15"/>
              </w:rPr>
              <w:t>developed</w:t>
            </w:r>
            <w:r>
              <w:rPr>
                <w:color w:val="231F20"/>
                <w:spacing w:val="-21"/>
                <w:w w:val="95"/>
                <w:sz w:val="15"/>
              </w:rPr>
              <w:t xml:space="preserve"> </w:t>
            </w:r>
            <w:r>
              <w:rPr>
                <w:color w:val="231F20"/>
                <w:w w:val="95"/>
                <w:sz w:val="15"/>
              </w:rPr>
              <w:t>and</w:t>
            </w:r>
            <w:r>
              <w:rPr>
                <w:color w:val="231F20"/>
                <w:spacing w:val="-21"/>
                <w:w w:val="95"/>
                <w:sz w:val="15"/>
              </w:rPr>
              <w:t xml:space="preserve"> </w:t>
            </w:r>
            <w:r>
              <w:rPr>
                <w:color w:val="231F20"/>
                <w:w w:val="95"/>
                <w:sz w:val="15"/>
              </w:rPr>
              <w:t>distributed</w:t>
            </w:r>
          </w:p>
        </w:tc>
        <w:tc>
          <w:tcPr>
            <w:tcW w:w="1512" w:type="dxa"/>
            <w:tcBorders>
              <w:top w:val="single" w:sz="6" w:space="0" w:color="231F20"/>
              <w:left w:val="single" w:sz="6" w:space="0" w:color="231F20"/>
              <w:bottom w:val="single" w:sz="6" w:space="0" w:color="231F20"/>
              <w:right w:val="single" w:sz="12" w:space="0" w:color="231F20"/>
            </w:tcBorders>
            <w:shd w:val="clear" w:color="auto" w:fill="CCE7D3"/>
          </w:tcPr>
          <w:p w14:paraId="4663231D" w14:textId="77777777" w:rsidR="009948F1" w:rsidRDefault="009948F1">
            <w:pPr>
              <w:pStyle w:val="TableParagraph"/>
              <w:rPr>
                <w:rFonts w:ascii="Times New Roman"/>
                <w:sz w:val="12"/>
              </w:rPr>
            </w:pPr>
          </w:p>
        </w:tc>
        <w:tc>
          <w:tcPr>
            <w:tcW w:w="1593" w:type="dxa"/>
            <w:tcBorders>
              <w:top w:val="single" w:sz="6" w:space="0" w:color="231F20"/>
              <w:left w:val="single" w:sz="12" w:space="0" w:color="231F20"/>
              <w:bottom w:val="single" w:sz="6" w:space="0" w:color="231F20"/>
            </w:tcBorders>
            <w:shd w:val="clear" w:color="auto" w:fill="CCE7D3"/>
          </w:tcPr>
          <w:p w14:paraId="6446F91B" w14:textId="77777777" w:rsidR="009948F1" w:rsidRDefault="009948F1">
            <w:pPr>
              <w:pStyle w:val="TableParagraph"/>
              <w:rPr>
                <w:rFonts w:ascii="Times New Roman"/>
                <w:sz w:val="12"/>
              </w:rPr>
            </w:pPr>
          </w:p>
        </w:tc>
      </w:tr>
      <w:tr w:rsidR="009948F1" w14:paraId="265E2681" w14:textId="77777777">
        <w:trPr>
          <w:trHeight w:val="642"/>
        </w:trPr>
        <w:tc>
          <w:tcPr>
            <w:tcW w:w="475" w:type="dxa"/>
            <w:vMerge w:val="restart"/>
            <w:tcBorders>
              <w:top w:val="single" w:sz="6" w:space="0" w:color="231F20"/>
              <w:bottom w:val="single" w:sz="6" w:space="0" w:color="231F20"/>
              <w:right w:val="single" w:sz="6" w:space="0" w:color="231F20"/>
            </w:tcBorders>
          </w:tcPr>
          <w:p w14:paraId="60308649" w14:textId="77777777" w:rsidR="009948F1" w:rsidRDefault="009948F1">
            <w:pPr>
              <w:pStyle w:val="TableParagraph"/>
              <w:rPr>
                <w:rFonts w:ascii="Times New Roman"/>
                <w:sz w:val="12"/>
              </w:rPr>
            </w:pPr>
          </w:p>
        </w:tc>
        <w:tc>
          <w:tcPr>
            <w:tcW w:w="557" w:type="dxa"/>
            <w:tcBorders>
              <w:top w:val="single" w:sz="6" w:space="0" w:color="231F20"/>
              <w:left w:val="single" w:sz="6" w:space="0" w:color="231F20"/>
              <w:bottom w:val="single" w:sz="6" w:space="0" w:color="231F20"/>
              <w:right w:val="single" w:sz="6" w:space="0" w:color="231F20"/>
            </w:tcBorders>
          </w:tcPr>
          <w:p w14:paraId="409C950E" w14:textId="77777777" w:rsidR="009948F1" w:rsidRDefault="009948F1">
            <w:pPr>
              <w:pStyle w:val="TableParagraph"/>
              <w:spacing w:before="6"/>
              <w:rPr>
                <w:sz w:val="20"/>
              </w:rPr>
            </w:pPr>
          </w:p>
          <w:p w14:paraId="520F2190" w14:textId="77777777" w:rsidR="009948F1" w:rsidRDefault="00BC0563">
            <w:pPr>
              <w:pStyle w:val="TableParagraph"/>
              <w:ind w:left="51" w:right="28"/>
              <w:jc w:val="center"/>
              <w:rPr>
                <w:sz w:val="15"/>
              </w:rPr>
            </w:pPr>
            <w:r>
              <w:rPr>
                <w:color w:val="231F20"/>
                <w:w w:val="90"/>
                <w:sz w:val="15"/>
              </w:rPr>
              <w:t>4.4.6.a</w:t>
            </w:r>
          </w:p>
        </w:tc>
        <w:tc>
          <w:tcPr>
            <w:tcW w:w="5183" w:type="dxa"/>
            <w:gridSpan w:val="2"/>
            <w:tcBorders>
              <w:top w:val="single" w:sz="6" w:space="0" w:color="231F20"/>
              <w:left w:val="single" w:sz="6" w:space="0" w:color="231F20"/>
              <w:bottom w:val="single" w:sz="6" w:space="0" w:color="231F20"/>
              <w:right w:val="single" w:sz="6" w:space="0" w:color="231F20"/>
            </w:tcBorders>
          </w:tcPr>
          <w:p w14:paraId="2987653C" w14:textId="77777777" w:rsidR="009948F1" w:rsidRDefault="00BC0563">
            <w:pPr>
              <w:pStyle w:val="TableParagraph"/>
              <w:spacing w:before="134" w:line="266" w:lineRule="auto"/>
              <w:ind w:left="27" w:right="11"/>
              <w:rPr>
                <w:sz w:val="15"/>
              </w:rPr>
            </w:pPr>
            <w:r>
              <w:rPr>
                <w:color w:val="231F20"/>
                <w:w w:val="85"/>
                <w:sz w:val="15"/>
              </w:rPr>
              <w:t xml:space="preserve">Advocate to policy makers and legislators for enabling policies, funding and prioritization of </w:t>
            </w:r>
            <w:r>
              <w:rPr>
                <w:color w:val="231F20"/>
                <w:w w:val="95"/>
                <w:sz w:val="15"/>
              </w:rPr>
              <w:t>newborn and child health</w:t>
            </w:r>
          </w:p>
        </w:tc>
        <w:tc>
          <w:tcPr>
            <w:tcW w:w="1512" w:type="dxa"/>
            <w:tcBorders>
              <w:top w:val="single" w:sz="6" w:space="0" w:color="231F20"/>
              <w:left w:val="single" w:sz="6" w:space="0" w:color="231F20"/>
              <w:bottom w:val="single" w:sz="6" w:space="0" w:color="231F20"/>
              <w:right w:val="single" w:sz="6" w:space="0" w:color="231F20"/>
            </w:tcBorders>
          </w:tcPr>
          <w:p w14:paraId="4A43730E" w14:textId="77777777" w:rsidR="009948F1" w:rsidRDefault="009948F1">
            <w:pPr>
              <w:pStyle w:val="TableParagraph"/>
              <w:spacing w:before="6"/>
              <w:rPr>
                <w:sz w:val="20"/>
              </w:rPr>
            </w:pPr>
          </w:p>
          <w:p w14:paraId="18A1CC23"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12210B59" w14:textId="77777777" w:rsidR="009948F1" w:rsidRDefault="009948F1">
            <w:pPr>
              <w:pStyle w:val="TableParagraph"/>
              <w:spacing w:before="6"/>
              <w:rPr>
                <w:sz w:val="20"/>
              </w:rPr>
            </w:pPr>
          </w:p>
          <w:p w14:paraId="18BD0464" w14:textId="77777777" w:rsidR="009948F1" w:rsidRDefault="00BC0563">
            <w:pPr>
              <w:pStyle w:val="TableParagraph"/>
              <w:ind w:left="26"/>
              <w:rPr>
                <w:sz w:val="15"/>
              </w:rPr>
            </w:pPr>
            <w:r>
              <w:rPr>
                <w:color w:val="231F20"/>
                <w:w w:val="95"/>
                <w:sz w:val="15"/>
              </w:rPr>
              <w:t>Advocacy visit</w:t>
            </w:r>
          </w:p>
        </w:tc>
      </w:tr>
      <w:tr w:rsidR="009948F1" w14:paraId="2BB03DA2" w14:textId="77777777">
        <w:trPr>
          <w:trHeight w:val="549"/>
        </w:trPr>
        <w:tc>
          <w:tcPr>
            <w:tcW w:w="475" w:type="dxa"/>
            <w:vMerge/>
            <w:tcBorders>
              <w:top w:val="nil"/>
              <w:bottom w:val="single" w:sz="6" w:space="0" w:color="231F20"/>
              <w:right w:val="single" w:sz="6" w:space="0" w:color="231F20"/>
            </w:tcBorders>
          </w:tcPr>
          <w:p w14:paraId="04F7E2DB"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34C6A3AE" w14:textId="77777777" w:rsidR="009948F1" w:rsidRDefault="009948F1">
            <w:pPr>
              <w:pStyle w:val="TableParagraph"/>
              <w:spacing w:before="6"/>
              <w:rPr>
                <w:sz w:val="16"/>
              </w:rPr>
            </w:pPr>
          </w:p>
          <w:p w14:paraId="438225EC" w14:textId="77777777" w:rsidR="009948F1" w:rsidRDefault="00BC0563">
            <w:pPr>
              <w:pStyle w:val="TableParagraph"/>
              <w:ind w:left="51" w:right="28"/>
              <w:jc w:val="center"/>
              <w:rPr>
                <w:sz w:val="15"/>
              </w:rPr>
            </w:pPr>
            <w:r>
              <w:rPr>
                <w:color w:val="231F20"/>
                <w:w w:val="90"/>
                <w:sz w:val="15"/>
              </w:rPr>
              <w:t>4.4.6.b</w:t>
            </w:r>
          </w:p>
        </w:tc>
        <w:tc>
          <w:tcPr>
            <w:tcW w:w="5183" w:type="dxa"/>
            <w:gridSpan w:val="2"/>
            <w:tcBorders>
              <w:top w:val="single" w:sz="6" w:space="0" w:color="231F20"/>
              <w:left w:val="single" w:sz="6" w:space="0" w:color="231F20"/>
              <w:bottom w:val="single" w:sz="6" w:space="0" w:color="231F20"/>
              <w:right w:val="single" w:sz="6" w:space="0" w:color="231F20"/>
            </w:tcBorders>
          </w:tcPr>
          <w:p w14:paraId="72F5B529" w14:textId="1177B725" w:rsidR="009948F1" w:rsidRDefault="00BC0563">
            <w:pPr>
              <w:pStyle w:val="TableParagraph"/>
              <w:spacing w:before="87" w:line="266" w:lineRule="auto"/>
              <w:ind w:left="27" w:right="103"/>
              <w:rPr>
                <w:sz w:val="15"/>
              </w:rPr>
            </w:pPr>
            <w:r>
              <w:rPr>
                <w:color w:val="231F20"/>
                <w:w w:val="85"/>
                <w:sz w:val="15"/>
              </w:rPr>
              <w:t xml:space="preserve">Engage and train WDC/Community volunteers on community sensitization and education </w:t>
            </w:r>
            <w:r>
              <w:rPr>
                <w:color w:val="231F20"/>
                <w:w w:val="95"/>
                <w:sz w:val="15"/>
              </w:rPr>
              <w:t xml:space="preserve">for public promotion of and uptake of newborn and </w:t>
            </w:r>
            <w:r w:rsidR="009B6708">
              <w:rPr>
                <w:color w:val="231F20"/>
                <w:w w:val="95"/>
                <w:sz w:val="15"/>
              </w:rPr>
              <w:t>child health</w:t>
            </w:r>
            <w:r>
              <w:rPr>
                <w:color w:val="231F20"/>
                <w:w w:val="95"/>
                <w:sz w:val="15"/>
              </w:rPr>
              <w:t xml:space="preserve"> services</w:t>
            </w:r>
          </w:p>
        </w:tc>
        <w:tc>
          <w:tcPr>
            <w:tcW w:w="1512" w:type="dxa"/>
            <w:tcBorders>
              <w:top w:val="single" w:sz="6" w:space="0" w:color="231F20"/>
              <w:left w:val="single" w:sz="6" w:space="0" w:color="231F20"/>
              <w:bottom w:val="single" w:sz="6" w:space="0" w:color="231F20"/>
              <w:right w:val="single" w:sz="6" w:space="0" w:color="231F20"/>
            </w:tcBorders>
          </w:tcPr>
          <w:p w14:paraId="5733CB59" w14:textId="77777777" w:rsidR="009948F1" w:rsidRDefault="009948F1">
            <w:pPr>
              <w:pStyle w:val="TableParagraph"/>
              <w:spacing w:before="6"/>
              <w:rPr>
                <w:sz w:val="16"/>
              </w:rPr>
            </w:pPr>
          </w:p>
          <w:p w14:paraId="790CED12"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7FEFC046" w14:textId="77777777" w:rsidR="009948F1" w:rsidRDefault="00BC0563">
            <w:pPr>
              <w:pStyle w:val="TableParagraph"/>
              <w:spacing w:before="93" w:line="266" w:lineRule="auto"/>
              <w:ind w:left="26"/>
              <w:rPr>
                <w:sz w:val="15"/>
              </w:rPr>
            </w:pPr>
            <w:r>
              <w:rPr>
                <w:color w:val="231F20"/>
                <w:w w:val="85"/>
                <w:sz w:val="15"/>
              </w:rPr>
              <w:t xml:space="preserve">Train WDC/Community </w:t>
            </w:r>
            <w:r>
              <w:rPr>
                <w:color w:val="231F20"/>
                <w:w w:val="95"/>
                <w:sz w:val="15"/>
              </w:rPr>
              <w:t>volunteers</w:t>
            </w:r>
          </w:p>
        </w:tc>
      </w:tr>
      <w:tr w:rsidR="009948F1" w14:paraId="2319FC21" w14:textId="77777777">
        <w:trPr>
          <w:trHeight w:val="737"/>
        </w:trPr>
        <w:tc>
          <w:tcPr>
            <w:tcW w:w="475" w:type="dxa"/>
            <w:vMerge/>
            <w:tcBorders>
              <w:top w:val="nil"/>
              <w:bottom w:val="single" w:sz="6" w:space="0" w:color="231F20"/>
              <w:right w:val="single" w:sz="6" w:space="0" w:color="231F20"/>
            </w:tcBorders>
          </w:tcPr>
          <w:p w14:paraId="2339419A"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66966AF0" w14:textId="77777777" w:rsidR="009948F1" w:rsidRDefault="009948F1">
            <w:pPr>
              <w:pStyle w:val="TableParagraph"/>
              <w:rPr>
                <w:sz w:val="16"/>
              </w:rPr>
            </w:pPr>
          </w:p>
          <w:p w14:paraId="339169A8" w14:textId="77777777" w:rsidR="009948F1" w:rsidRDefault="00BC0563">
            <w:pPr>
              <w:pStyle w:val="TableParagraph"/>
              <w:spacing w:before="99"/>
              <w:ind w:left="51" w:right="28"/>
              <w:jc w:val="center"/>
              <w:rPr>
                <w:sz w:val="15"/>
              </w:rPr>
            </w:pPr>
            <w:r>
              <w:rPr>
                <w:color w:val="231F20"/>
                <w:w w:val="90"/>
                <w:sz w:val="15"/>
              </w:rPr>
              <w:t>4.4.6.c</w:t>
            </w:r>
          </w:p>
        </w:tc>
        <w:tc>
          <w:tcPr>
            <w:tcW w:w="5183" w:type="dxa"/>
            <w:gridSpan w:val="2"/>
            <w:tcBorders>
              <w:top w:val="single" w:sz="6" w:space="0" w:color="231F20"/>
              <w:left w:val="single" w:sz="6" w:space="0" w:color="231F20"/>
              <w:bottom w:val="single" w:sz="6" w:space="0" w:color="231F20"/>
              <w:right w:val="single" w:sz="6" w:space="0" w:color="231F20"/>
            </w:tcBorders>
          </w:tcPr>
          <w:p w14:paraId="6C8F1E28" w14:textId="77777777" w:rsidR="009948F1" w:rsidRDefault="009948F1">
            <w:pPr>
              <w:pStyle w:val="TableParagraph"/>
              <w:rPr>
                <w:sz w:val="16"/>
              </w:rPr>
            </w:pPr>
          </w:p>
          <w:p w14:paraId="4984D35A" w14:textId="77777777" w:rsidR="009948F1" w:rsidRDefault="00BC0563">
            <w:pPr>
              <w:pStyle w:val="TableParagraph"/>
              <w:spacing w:before="93"/>
              <w:ind w:left="27"/>
              <w:rPr>
                <w:sz w:val="15"/>
              </w:rPr>
            </w:pPr>
            <w:r>
              <w:rPr>
                <w:color w:val="231F20"/>
                <w:w w:val="95"/>
                <w:sz w:val="15"/>
              </w:rPr>
              <w:t>Develop and distribute newborn and child health communication materials</w:t>
            </w:r>
          </w:p>
        </w:tc>
        <w:tc>
          <w:tcPr>
            <w:tcW w:w="1512" w:type="dxa"/>
            <w:tcBorders>
              <w:top w:val="single" w:sz="6" w:space="0" w:color="231F20"/>
              <w:left w:val="single" w:sz="6" w:space="0" w:color="231F20"/>
              <w:bottom w:val="single" w:sz="6" w:space="0" w:color="231F20"/>
              <w:right w:val="single" w:sz="6" w:space="0" w:color="231F20"/>
            </w:tcBorders>
          </w:tcPr>
          <w:p w14:paraId="07ACF00D" w14:textId="77777777" w:rsidR="009948F1" w:rsidRDefault="009948F1">
            <w:pPr>
              <w:pStyle w:val="TableParagraph"/>
              <w:rPr>
                <w:sz w:val="16"/>
              </w:rPr>
            </w:pPr>
          </w:p>
          <w:p w14:paraId="1081D9B9" w14:textId="77777777" w:rsidR="009948F1" w:rsidRDefault="00BC0563">
            <w:pPr>
              <w:pStyle w:val="TableParagraph"/>
              <w:spacing w:before="99"/>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608A4E1F" w14:textId="77777777" w:rsidR="009948F1" w:rsidRDefault="009948F1">
            <w:pPr>
              <w:pStyle w:val="TableParagraph"/>
              <w:spacing w:before="4"/>
              <w:rPr>
                <w:sz w:val="16"/>
              </w:rPr>
            </w:pPr>
          </w:p>
          <w:p w14:paraId="34E3D2C7" w14:textId="3D725483" w:rsidR="009948F1" w:rsidRDefault="00BC0563">
            <w:pPr>
              <w:pStyle w:val="TableParagraph"/>
              <w:spacing w:line="266" w:lineRule="auto"/>
              <w:ind w:left="26"/>
              <w:rPr>
                <w:sz w:val="15"/>
              </w:rPr>
            </w:pPr>
            <w:r>
              <w:rPr>
                <w:color w:val="231F20"/>
                <w:w w:val="85"/>
                <w:sz w:val="15"/>
              </w:rPr>
              <w:t xml:space="preserve">Print </w:t>
            </w:r>
            <w:r w:rsidR="009B6708">
              <w:rPr>
                <w:color w:val="231F20"/>
                <w:w w:val="85"/>
                <w:sz w:val="15"/>
              </w:rPr>
              <w:t>communication</w:t>
            </w:r>
            <w:r>
              <w:rPr>
                <w:color w:val="231F20"/>
                <w:w w:val="85"/>
                <w:sz w:val="15"/>
              </w:rPr>
              <w:t xml:space="preserve"> </w:t>
            </w:r>
            <w:r>
              <w:rPr>
                <w:color w:val="231F20"/>
                <w:w w:val="95"/>
                <w:sz w:val="15"/>
              </w:rPr>
              <w:t>materials</w:t>
            </w:r>
          </w:p>
        </w:tc>
      </w:tr>
      <w:tr w:rsidR="009948F1" w14:paraId="1BA00D05" w14:textId="77777777">
        <w:trPr>
          <w:trHeight w:val="943"/>
        </w:trPr>
        <w:tc>
          <w:tcPr>
            <w:tcW w:w="475" w:type="dxa"/>
            <w:tcBorders>
              <w:top w:val="single" w:sz="6" w:space="0" w:color="231F20"/>
              <w:left w:val="single" w:sz="12" w:space="0" w:color="231F20"/>
              <w:bottom w:val="single" w:sz="6" w:space="0" w:color="231F20"/>
              <w:right w:val="single" w:sz="6" w:space="0" w:color="231F20"/>
            </w:tcBorders>
            <w:shd w:val="clear" w:color="auto" w:fill="CCE7D3"/>
          </w:tcPr>
          <w:p w14:paraId="36EA3DAE" w14:textId="77777777" w:rsidR="009948F1" w:rsidRDefault="009948F1">
            <w:pPr>
              <w:pStyle w:val="TableParagraph"/>
              <w:rPr>
                <w:sz w:val="16"/>
              </w:rPr>
            </w:pPr>
          </w:p>
          <w:p w14:paraId="534CFED2" w14:textId="77777777" w:rsidR="009948F1" w:rsidRDefault="009948F1">
            <w:pPr>
              <w:pStyle w:val="TableParagraph"/>
              <w:spacing w:before="7"/>
              <w:rPr>
                <w:sz w:val="17"/>
              </w:rPr>
            </w:pPr>
          </w:p>
          <w:p w14:paraId="4BD8AA7C" w14:textId="77777777" w:rsidR="009948F1" w:rsidRDefault="00BC0563">
            <w:pPr>
              <w:pStyle w:val="TableParagraph"/>
              <w:spacing w:before="1"/>
              <w:ind w:left="48"/>
              <w:rPr>
                <w:sz w:val="15"/>
              </w:rPr>
            </w:pPr>
            <w:r>
              <w:rPr>
                <w:color w:val="231F20"/>
                <w:w w:val="95"/>
                <w:sz w:val="15"/>
              </w:rPr>
              <w:t>4.4.8</w:t>
            </w:r>
          </w:p>
        </w:tc>
        <w:tc>
          <w:tcPr>
            <w:tcW w:w="3216" w:type="dxa"/>
            <w:gridSpan w:val="2"/>
            <w:tcBorders>
              <w:top w:val="single" w:sz="6" w:space="0" w:color="231F20"/>
              <w:left w:val="single" w:sz="6" w:space="0" w:color="231F20"/>
              <w:bottom w:val="single" w:sz="6" w:space="0" w:color="231F20"/>
              <w:right w:val="single" w:sz="6" w:space="0" w:color="231F20"/>
            </w:tcBorders>
            <w:shd w:val="clear" w:color="auto" w:fill="CCE7D3"/>
          </w:tcPr>
          <w:p w14:paraId="52113BF9" w14:textId="77777777" w:rsidR="009948F1" w:rsidRDefault="009948F1">
            <w:pPr>
              <w:pStyle w:val="TableParagraph"/>
              <w:rPr>
                <w:sz w:val="16"/>
              </w:rPr>
            </w:pPr>
          </w:p>
          <w:p w14:paraId="7A36B2FE" w14:textId="77777777" w:rsidR="009948F1" w:rsidRDefault="00BC0563">
            <w:pPr>
              <w:pStyle w:val="TableParagraph"/>
              <w:spacing w:before="101" w:line="266" w:lineRule="auto"/>
              <w:ind w:left="27" w:firstLine="34"/>
              <w:rPr>
                <w:sz w:val="15"/>
              </w:rPr>
            </w:pPr>
            <w:r>
              <w:rPr>
                <w:color w:val="231F20"/>
                <w:w w:val="90"/>
                <w:sz w:val="15"/>
              </w:rPr>
              <w:t xml:space="preserve">Expand coverage of IMCI (Community-IMCI, </w:t>
            </w:r>
            <w:r>
              <w:rPr>
                <w:color w:val="231F20"/>
                <w:w w:val="85"/>
                <w:sz w:val="15"/>
              </w:rPr>
              <w:t>Community Case Management (ICCM) &amp; IMCI)</w:t>
            </w:r>
          </w:p>
        </w:tc>
        <w:tc>
          <w:tcPr>
            <w:tcW w:w="2524" w:type="dxa"/>
            <w:tcBorders>
              <w:top w:val="single" w:sz="6" w:space="0" w:color="231F20"/>
              <w:left w:val="single" w:sz="6" w:space="0" w:color="231F20"/>
              <w:bottom w:val="single" w:sz="6" w:space="0" w:color="231F20"/>
              <w:right w:val="single" w:sz="6" w:space="0" w:color="231F20"/>
            </w:tcBorders>
            <w:shd w:val="clear" w:color="auto" w:fill="CCE7D3"/>
          </w:tcPr>
          <w:p w14:paraId="1F7DBDED" w14:textId="77777777" w:rsidR="009948F1" w:rsidRDefault="00BC0563">
            <w:pPr>
              <w:pStyle w:val="TableParagraph"/>
              <w:numPr>
                <w:ilvl w:val="0"/>
                <w:numId w:val="185"/>
              </w:numPr>
              <w:tabs>
                <w:tab w:val="left" w:pos="107"/>
              </w:tabs>
              <w:spacing w:before="5" w:line="266" w:lineRule="auto"/>
              <w:ind w:right="528" w:firstLine="0"/>
              <w:rPr>
                <w:sz w:val="15"/>
              </w:rPr>
            </w:pPr>
            <w:r>
              <w:rPr>
                <w:color w:val="231F20"/>
                <w:w w:val="85"/>
                <w:sz w:val="15"/>
              </w:rPr>
              <w:t>Community Case Management</w:t>
            </w:r>
            <w:r>
              <w:rPr>
                <w:color w:val="231F20"/>
                <w:spacing w:val="-24"/>
                <w:w w:val="85"/>
                <w:sz w:val="15"/>
              </w:rPr>
              <w:t xml:space="preserve"> </w:t>
            </w:r>
            <w:r>
              <w:rPr>
                <w:color w:val="231F20"/>
                <w:spacing w:val="-8"/>
                <w:w w:val="85"/>
                <w:sz w:val="15"/>
              </w:rPr>
              <w:t xml:space="preserve">of </w:t>
            </w:r>
            <w:r>
              <w:rPr>
                <w:color w:val="231F20"/>
                <w:w w:val="90"/>
                <w:sz w:val="15"/>
              </w:rPr>
              <w:t>Childhood</w:t>
            </w:r>
            <w:r>
              <w:rPr>
                <w:color w:val="231F20"/>
                <w:spacing w:val="-17"/>
                <w:w w:val="90"/>
                <w:sz w:val="15"/>
              </w:rPr>
              <w:t xml:space="preserve"> </w:t>
            </w:r>
            <w:r>
              <w:rPr>
                <w:color w:val="231F20"/>
                <w:w w:val="90"/>
                <w:sz w:val="15"/>
              </w:rPr>
              <w:t>Illness</w:t>
            </w:r>
            <w:r>
              <w:rPr>
                <w:color w:val="231F20"/>
                <w:spacing w:val="-17"/>
                <w:w w:val="90"/>
                <w:sz w:val="15"/>
              </w:rPr>
              <w:t xml:space="preserve"> </w:t>
            </w:r>
            <w:r>
              <w:rPr>
                <w:color w:val="231F20"/>
                <w:w w:val="90"/>
                <w:sz w:val="15"/>
              </w:rPr>
              <w:t>(CIMCI)</w:t>
            </w:r>
            <w:r>
              <w:rPr>
                <w:color w:val="231F20"/>
                <w:spacing w:val="-16"/>
                <w:w w:val="90"/>
                <w:sz w:val="15"/>
              </w:rPr>
              <w:t xml:space="preserve"> </w:t>
            </w:r>
            <w:r>
              <w:rPr>
                <w:color w:val="231F20"/>
                <w:w w:val="90"/>
                <w:sz w:val="15"/>
              </w:rPr>
              <w:t>done</w:t>
            </w:r>
          </w:p>
          <w:p w14:paraId="35EBE61E" w14:textId="77777777" w:rsidR="009948F1" w:rsidRDefault="00BC0563">
            <w:pPr>
              <w:pStyle w:val="TableParagraph"/>
              <w:numPr>
                <w:ilvl w:val="0"/>
                <w:numId w:val="185"/>
              </w:numPr>
              <w:tabs>
                <w:tab w:val="left" w:pos="107"/>
              </w:tabs>
              <w:spacing w:line="172" w:lineRule="exact"/>
              <w:ind w:left="106" w:hanging="80"/>
              <w:rPr>
                <w:sz w:val="15"/>
              </w:rPr>
            </w:pPr>
            <w:r>
              <w:rPr>
                <w:color w:val="231F20"/>
                <w:w w:val="95"/>
                <w:sz w:val="15"/>
              </w:rPr>
              <w:t>Community IMCI</w:t>
            </w:r>
            <w:r>
              <w:rPr>
                <w:color w:val="231F20"/>
                <w:spacing w:val="-30"/>
                <w:w w:val="95"/>
                <w:sz w:val="15"/>
              </w:rPr>
              <w:t xml:space="preserve"> </w:t>
            </w:r>
            <w:r>
              <w:rPr>
                <w:color w:val="231F20"/>
                <w:w w:val="95"/>
                <w:sz w:val="15"/>
              </w:rPr>
              <w:t>implemented</w:t>
            </w:r>
          </w:p>
          <w:p w14:paraId="35E7EF81" w14:textId="77777777" w:rsidR="009948F1" w:rsidRDefault="00BC0563">
            <w:pPr>
              <w:pStyle w:val="TableParagraph"/>
              <w:numPr>
                <w:ilvl w:val="0"/>
                <w:numId w:val="185"/>
              </w:numPr>
              <w:tabs>
                <w:tab w:val="left" w:pos="100"/>
              </w:tabs>
              <w:spacing w:before="1" w:line="190" w:lineRule="atLeast"/>
              <w:ind w:right="115" w:firstLine="0"/>
              <w:rPr>
                <w:sz w:val="15"/>
              </w:rPr>
            </w:pPr>
            <w:r>
              <w:rPr>
                <w:color w:val="231F20"/>
                <w:w w:val="90"/>
                <w:sz w:val="15"/>
              </w:rPr>
              <w:t>At</w:t>
            </w:r>
            <w:r>
              <w:rPr>
                <w:color w:val="231F20"/>
                <w:spacing w:val="-26"/>
                <w:w w:val="90"/>
                <w:sz w:val="15"/>
              </w:rPr>
              <w:t xml:space="preserve"> </w:t>
            </w:r>
            <w:r>
              <w:rPr>
                <w:color w:val="231F20"/>
                <w:w w:val="90"/>
                <w:sz w:val="15"/>
              </w:rPr>
              <w:t>least</w:t>
            </w:r>
            <w:r>
              <w:rPr>
                <w:color w:val="231F20"/>
                <w:spacing w:val="-25"/>
                <w:w w:val="90"/>
                <w:sz w:val="15"/>
              </w:rPr>
              <w:t xml:space="preserve"> </w:t>
            </w:r>
            <w:r>
              <w:rPr>
                <w:color w:val="231F20"/>
                <w:w w:val="90"/>
                <w:sz w:val="15"/>
              </w:rPr>
              <w:t>560</w:t>
            </w:r>
            <w:r>
              <w:rPr>
                <w:color w:val="231F20"/>
                <w:spacing w:val="-26"/>
                <w:w w:val="90"/>
                <w:sz w:val="15"/>
              </w:rPr>
              <w:t xml:space="preserve"> </w:t>
            </w:r>
            <w:r>
              <w:rPr>
                <w:color w:val="231F20"/>
                <w:w w:val="90"/>
                <w:sz w:val="15"/>
              </w:rPr>
              <w:t>health</w:t>
            </w:r>
            <w:r>
              <w:rPr>
                <w:color w:val="231F20"/>
                <w:spacing w:val="-25"/>
                <w:w w:val="90"/>
                <w:sz w:val="15"/>
              </w:rPr>
              <w:t xml:space="preserve"> </w:t>
            </w:r>
            <w:r>
              <w:rPr>
                <w:color w:val="231F20"/>
                <w:w w:val="90"/>
                <w:sz w:val="15"/>
              </w:rPr>
              <w:t>care</w:t>
            </w:r>
            <w:r>
              <w:rPr>
                <w:color w:val="231F20"/>
                <w:spacing w:val="-25"/>
                <w:w w:val="90"/>
                <w:sz w:val="15"/>
              </w:rPr>
              <w:t xml:space="preserve"> </w:t>
            </w:r>
            <w:r>
              <w:rPr>
                <w:color w:val="231F20"/>
                <w:w w:val="90"/>
                <w:sz w:val="15"/>
              </w:rPr>
              <w:t>providers</w:t>
            </w:r>
            <w:r>
              <w:rPr>
                <w:color w:val="231F20"/>
                <w:spacing w:val="-26"/>
                <w:w w:val="90"/>
                <w:sz w:val="15"/>
              </w:rPr>
              <w:t xml:space="preserve"> </w:t>
            </w:r>
            <w:r>
              <w:rPr>
                <w:color w:val="231F20"/>
                <w:spacing w:val="-3"/>
                <w:w w:val="90"/>
                <w:sz w:val="15"/>
              </w:rPr>
              <w:t xml:space="preserve">trained </w:t>
            </w:r>
            <w:r>
              <w:rPr>
                <w:color w:val="231F20"/>
                <w:w w:val="95"/>
                <w:sz w:val="15"/>
              </w:rPr>
              <w:t>on IMCI and</w:t>
            </w:r>
            <w:r>
              <w:rPr>
                <w:color w:val="231F20"/>
                <w:spacing w:val="-25"/>
                <w:w w:val="95"/>
                <w:sz w:val="15"/>
              </w:rPr>
              <w:t xml:space="preserve"> </w:t>
            </w:r>
            <w:r>
              <w:rPr>
                <w:color w:val="231F20"/>
                <w:w w:val="95"/>
                <w:sz w:val="15"/>
              </w:rPr>
              <w:t>CIMCI</w:t>
            </w:r>
          </w:p>
        </w:tc>
        <w:tc>
          <w:tcPr>
            <w:tcW w:w="1512" w:type="dxa"/>
            <w:tcBorders>
              <w:top w:val="single" w:sz="6" w:space="0" w:color="231F20"/>
              <w:left w:val="single" w:sz="6" w:space="0" w:color="231F20"/>
              <w:bottom w:val="single" w:sz="6" w:space="0" w:color="231F20"/>
              <w:right w:val="single" w:sz="12" w:space="0" w:color="231F20"/>
            </w:tcBorders>
            <w:shd w:val="clear" w:color="auto" w:fill="CCE7D3"/>
          </w:tcPr>
          <w:p w14:paraId="1DDC0334" w14:textId="77777777" w:rsidR="009948F1" w:rsidRDefault="009948F1">
            <w:pPr>
              <w:pStyle w:val="TableParagraph"/>
              <w:rPr>
                <w:rFonts w:ascii="Times New Roman"/>
                <w:sz w:val="12"/>
              </w:rPr>
            </w:pPr>
          </w:p>
        </w:tc>
        <w:tc>
          <w:tcPr>
            <w:tcW w:w="1593" w:type="dxa"/>
            <w:tcBorders>
              <w:top w:val="single" w:sz="6" w:space="0" w:color="231F20"/>
              <w:left w:val="single" w:sz="12" w:space="0" w:color="231F20"/>
              <w:bottom w:val="single" w:sz="6" w:space="0" w:color="231F20"/>
            </w:tcBorders>
            <w:shd w:val="clear" w:color="auto" w:fill="CCE7D3"/>
          </w:tcPr>
          <w:p w14:paraId="1C73A57A" w14:textId="77777777" w:rsidR="009948F1" w:rsidRDefault="009948F1">
            <w:pPr>
              <w:pStyle w:val="TableParagraph"/>
              <w:rPr>
                <w:rFonts w:ascii="Times New Roman"/>
                <w:sz w:val="12"/>
              </w:rPr>
            </w:pPr>
          </w:p>
        </w:tc>
      </w:tr>
      <w:tr w:rsidR="009948F1" w14:paraId="7E3A7E5D" w14:textId="77777777">
        <w:trPr>
          <w:trHeight w:val="426"/>
        </w:trPr>
        <w:tc>
          <w:tcPr>
            <w:tcW w:w="475" w:type="dxa"/>
            <w:vMerge w:val="restart"/>
            <w:tcBorders>
              <w:top w:val="single" w:sz="6" w:space="0" w:color="231F20"/>
              <w:bottom w:val="single" w:sz="6" w:space="0" w:color="231F20"/>
              <w:right w:val="single" w:sz="6" w:space="0" w:color="231F20"/>
            </w:tcBorders>
          </w:tcPr>
          <w:p w14:paraId="6620282B" w14:textId="77777777" w:rsidR="009948F1" w:rsidRDefault="009948F1">
            <w:pPr>
              <w:pStyle w:val="TableParagraph"/>
              <w:rPr>
                <w:rFonts w:ascii="Times New Roman"/>
                <w:sz w:val="12"/>
              </w:rPr>
            </w:pPr>
          </w:p>
        </w:tc>
        <w:tc>
          <w:tcPr>
            <w:tcW w:w="557" w:type="dxa"/>
            <w:tcBorders>
              <w:top w:val="single" w:sz="6" w:space="0" w:color="231F20"/>
              <w:left w:val="single" w:sz="6" w:space="0" w:color="231F20"/>
              <w:bottom w:val="single" w:sz="6" w:space="0" w:color="231F20"/>
              <w:right w:val="single" w:sz="6" w:space="0" w:color="231F20"/>
            </w:tcBorders>
          </w:tcPr>
          <w:p w14:paraId="7AB1F207" w14:textId="77777777" w:rsidR="009948F1" w:rsidRDefault="00BC0563">
            <w:pPr>
              <w:pStyle w:val="TableParagraph"/>
              <w:spacing w:before="128"/>
              <w:ind w:left="51" w:right="28"/>
              <w:jc w:val="center"/>
              <w:rPr>
                <w:sz w:val="15"/>
              </w:rPr>
            </w:pPr>
            <w:r>
              <w:rPr>
                <w:color w:val="231F20"/>
                <w:w w:val="90"/>
                <w:sz w:val="15"/>
              </w:rPr>
              <w:t>4.4.8.a</w:t>
            </w:r>
          </w:p>
        </w:tc>
        <w:tc>
          <w:tcPr>
            <w:tcW w:w="5183" w:type="dxa"/>
            <w:gridSpan w:val="2"/>
            <w:tcBorders>
              <w:top w:val="single" w:sz="6" w:space="0" w:color="231F20"/>
              <w:left w:val="single" w:sz="6" w:space="0" w:color="231F20"/>
              <w:bottom w:val="single" w:sz="6" w:space="0" w:color="231F20"/>
              <w:right w:val="single" w:sz="6" w:space="0" w:color="231F20"/>
            </w:tcBorders>
          </w:tcPr>
          <w:p w14:paraId="179EF2C7" w14:textId="77777777" w:rsidR="009948F1" w:rsidRDefault="00BC0563">
            <w:pPr>
              <w:pStyle w:val="TableParagraph"/>
              <w:spacing w:before="9" w:line="190" w:lineRule="atLeast"/>
              <w:ind w:left="27" w:right="153"/>
              <w:rPr>
                <w:sz w:val="15"/>
              </w:rPr>
            </w:pPr>
            <w:r>
              <w:rPr>
                <w:color w:val="231F20"/>
                <w:w w:val="85"/>
                <w:sz w:val="15"/>
              </w:rPr>
              <w:t xml:space="preserve">Scale-up implementation of Community Case Management of Childhood Illness (CIMCI) </w:t>
            </w:r>
            <w:r>
              <w:rPr>
                <w:color w:val="231F20"/>
                <w:w w:val="95"/>
                <w:sz w:val="15"/>
              </w:rPr>
              <w:t>using national protocols at all PHC facilities in all LGAs</w:t>
            </w:r>
          </w:p>
        </w:tc>
        <w:tc>
          <w:tcPr>
            <w:tcW w:w="1512" w:type="dxa"/>
            <w:tcBorders>
              <w:top w:val="single" w:sz="6" w:space="0" w:color="231F20"/>
              <w:left w:val="single" w:sz="6" w:space="0" w:color="231F20"/>
              <w:bottom w:val="single" w:sz="6" w:space="0" w:color="231F20"/>
              <w:right w:val="single" w:sz="6" w:space="0" w:color="231F20"/>
            </w:tcBorders>
          </w:tcPr>
          <w:p w14:paraId="47D47610" w14:textId="77777777" w:rsidR="009948F1" w:rsidRDefault="00BC0563">
            <w:pPr>
              <w:pStyle w:val="TableParagraph"/>
              <w:spacing w:before="128"/>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3CC21F60" w14:textId="77777777" w:rsidR="009948F1" w:rsidRDefault="00BC0563">
            <w:pPr>
              <w:pStyle w:val="TableParagraph"/>
              <w:spacing w:before="128"/>
              <w:ind w:left="61"/>
              <w:rPr>
                <w:sz w:val="15"/>
              </w:rPr>
            </w:pPr>
            <w:r>
              <w:rPr>
                <w:color w:val="231F20"/>
                <w:w w:val="95"/>
                <w:sz w:val="15"/>
              </w:rPr>
              <w:t>Implement CIMCI</w:t>
            </w:r>
          </w:p>
        </w:tc>
      </w:tr>
      <w:tr w:rsidR="009948F1" w14:paraId="0DE81FCA" w14:textId="77777777">
        <w:trPr>
          <w:trHeight w:val="718"/>
        </w:trPr>
        <w:tc>
          <w:tcPr>
            <w:tcW w:w="475" w:type="dxa"/>
            <w:vMerge/>
            <w:tcBorders>
              <w:top w:val="nil"/>
              <w:bottom w:val="single" w:sz="6" w:space="0" w:color="231F20"/>
              <w:right w:val="single" w:sz="6" w:space="0" w:color="231F20"/>
            </w:tcBorders>
          </w:tcPr>
          <w:p w14:paraId="250EA37B"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3DA27C87" w14:textId="77777777" w:rsidR="009948F1" w:rsidRDefault="009948F1">
            <w:pPr>
              <w:pStyle w:val="TableParagraph"/>
              <w:spacing w:before="9"/>
              <w:rPr>
                <w:sz w:val="23"/>
              </w:rPr>
            </w:pPr>
          </w:p>
          <w:p w14:paraId="1D900E87" w14:textId="77777777" w:rsidR="009948F1" w:rsidRDefault="00BC0563">
            <w:pPr>
              <w:pStyle w:val="TableParagraph"/>
              <w:ind w:left="51" w:right="28"/>
              <w:jc w:val="center"/>
              <w:rPr>
                <w:sz w:val="15"/>
              </w:rPr>
            </w:pPr>
            <w:r>
              <w:rPr>
                <w:color w:val="231F20"/>
                <w:w w:val="90"/>
                <w:sz w:val="15"/>
              </w:rPr>
              <w:t>4.4.8.b</w:t>
            </w:r>
          </w:p>
        </w:tc>
        <w:tc>
          <w:tcPr>
            <w:tcW w:w="5183" w:type="dxa"/>
            <w:gridSpan w:val="2"/>
            <w:tcBorders>
              <w:top w:val="single" w:sz="6" w:space="0" w:color="231F20"/>
              <w:left w:val="single" w:sz="6" w:space="0" w:color="231F20"/>
              <w:bottom w:val="single" w:sz="6" w:space="0" w:color="231F20"/>
              <w:right w:val="single" w:sz="6" w:space="0" w:color="231F20"/>
            </w:tcBorders>
          </w:tcPr>
          <w:p w14:paraId="3A8A0F75" w14:textId="77777777" w:rsidR="009948F1" w:rsidRDefault="009948F1">
            <w:pPr>
              <w:pStyle w:val="TableParagraph"/>
              <w:rPr>
                <w:sz w:val="15"/>
              </w:rPr>
            </w:pPr>
          </w:p>
          <w:p w14:paraId="5D7FE11B" w14:textId="77777777" w:rsidR="009948F1" w:rsidRDefault="00BC0563">
            <w:pPr>
              <w:pStyle w:val="TableParagraph"/>
              <w:spacing w:line="266" w:lineRule="auto"/>
              <w:ind w:left="27" w:right="25"/>
              <w:rPr>
                <w:sz w:val="15"/>
              </w:rPr>
            </w:pPr>
            <w:r>
              <w:rPr>
                <w:color w:val="231F20"/>
                <w:w w:val="85"/>
                <w:sz w:val="15"/>
              </w:rPr>
              <w:t xml:space="preserve">Scale up implementation of Community IMCI (promotion of key household practices for </w:t>
            </w:r>
            <w:r>
              <w:rPr>
                <w:color w:val="231F20"/>
                <w:w w:val="95"/>
                <w:sz w:val="15"/>
              </w:rPr>
              <w:t>child survival and development)</w:t>
            </w:r>
          </w:p>
        </w:tc>
        <w:tc>
          <w:tcPr>
            <w:tcW w:w="1512" w:type="dxa"/>
            <w:tcBorders>
              <w:top w:val="single" w:sz="6" w:space="0" w:color="231F20"/>
              <w:left w:val="single" w:sz="6" w:space="0" w:color="231F20"/>
              <w:bottom w:val="single" w:sz="6" w:space="0" w:color="231F20"/>
              <w:right w:val="single" w:sz="6" w:space="0" w:color="231F20"/>
            </w:tcBorders>
          </w:tcPr>
          <w:p w14:paraId="0DEBAE57" w14:textId="77777777" w:rsidR="009948F1" w:rsidRDefault="009948F1">
            <w:pPr>
              <w:pStyle w:val="TableParagraph"/>
              <w:spacing w:before="9"/>
              <w:rPr>
                <w:sz w:val="23"/>
              </w:rPr>
            </w:pPr>
          </w:p>
          <w:p w14:paraId="258BF7CE"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05AE5628" w14:textId="77777777" w:rsidR="009948F1" w:rsidRDefault="009948F1">
            <w:pPr>
              <w:pStyle w:val="TableParagraph"/>
              <w:spacing w:before="9"/>
              <w:rPr>
                <w:sz w:val="23"/>
              </w:rPr>
            </w:pPr>
          </w:p>
          <w:p w14:paraId="0C2BF87A" w14:textId="77777777" w:rsidR="009948F1" w:rsidRDefault="00BC0563">
            <w:pPr>
              <w:pStyle w:val="TableParagraph"/>
              <w:ind w:left="26"/>
              <w:rPr>
                <w:sz w:val="15"/>
              </w:rPr>
            </w:pPr>
            <w:r>
              <w:rPr>
                <w:color w:val="231F20"/>
                <w:w w:val="95"/>
                <w:sz w:val="15"/>
              </w:rPr>
              <w:t>Costed in OHT</w:t>
            </w:r>
          </w:p>
        </w:tc>
      </w:tr>
      <w:tr w:rsidR="009948F1" w14:paraId="52ED8BC1" w14:textId="77777777">
        <w:trPr>
          <w:trHeight w:val="567"/>
        </w:trPr>
        <w:tc>
          <w:tcPr>
            <w:tcW w:w="475" w:type="dxa"/>
            <w:vMerge/>
            <w:tcBorders>
              <w:top w:val="nil"/>
              <w:bottom w:val="single" w:sz="6" w:space="0" w:color="231F20"/>
              <w:right w:val="single" w:sz="6" w:space="0" w:color="231F20"/>
            </w:tcBorders>
          </w:tcPr>
          <w:p w14:paraId="1D183617"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44DFE28D" w14:textId="77777777" w:rsidR="009948F1" w:rsidRDefault="009948F1">
            <w:pPr>
              <w:pStyle w:val="TableParagraph"/>
              <w:spacing w:before="3"/>
              <w:rPr>
                <w:sz w:val="17"/>
              </w:rPr>
            </w:pPr>
          </w:p>
          <w:p w14:paraId="5C031F07" w14:textId="77777777" w:rsidR="009948F1" w:rsidRDefault="00BC0563">
            <w:pPr>
              <w:pStyle w:val="TableParagraph"/>
              <w:spacing w:before="1"/>
              <w:ind w:left="51" w:right="28"/>
              <w:jc w:val="center"/>
              <w:rPr>
                <w:sz w:val="15"/>
              </w:rPr>
            </w:pPr>
            <w:r>
              <w:rPr>
                <w:color w:val="231F20"/>
                <w:w w:val="90"/>
                <w:sz w:val="15"/>
              </w:rPr>
              <w:t>4.4.8.c</w:t>
            </w:r>
          </w:p>
        </w:tc>
        <w:tc>
          <w:tcPr>
            <w:tcW w:w="5183" w:type="dxa"/>
            <w:gridSpan w:val="2"/>
            <w:tcBorders>
              <w:top w:val="single" w:sz="6" w:space="0" w:color="231F20"/>
              <w:left w:val="single" w:sz="6" w:space="0" w:color="231F20"/>
              <w:bottom w:val="single" w:sz="6" w:space="0" w:color="231F20"/>
              <w:right w:val="single" w:sz="12" w:space="0" w:color="231F20"/>
            </w:tcBorders>
          </w:tcPr>
          <w:p w14:paraId="7ECA2748" w14:textId="77777777" w:rsidR="009948F1" w:rsidRDefault="00BC0563">
            <w:pPr>
              <w:pStyle w:val="TableParagraph"/>
              <w:spacing w:before="97" w:line="266" w:lineRule="auto"/>
              <w:ind w:left="27" w:right="167"/>
              <w:rPr>
                <w:sz w:val="15"/>
              </w:rPr>
            </w:pPr>
            <w:r>
              <w:rPr>
                <w:color w:val="231F20"/>
                <w:w w:val="85"/>
                <w:sz w:val="15"/>
              </w:rPr>
              <w:t xml:space="preserve">Train health care providers IMCI (case management) and community-based health care </w:t>
            </w:r>
            <w:r>
              <w:rPr>
                <w:color w:val="231F20"/>
                <w:w w:val="95"/>
                <w:sz w:val="15"/>
              </w:rPr>
              <w:t>providers and CHEWs on IMCI and CIMCI)</w:t>
            </w:r>
          </w:p>
        </w:tc>
        <w:tc>
          <w:tcPr>
            <w:tcW w:w="1512" w:type="dxa"/>
            <w:tcBorders>
              <w:top w:val="single" w:sz="6" w:space="0" w:color="231F20"/>
              <w:left w:val="single" w:sz="12" w:space="0" w:color="231F20"/>
              <w:bottom w:val="single" w:sz="6" w:space="0" w:color="231F20"/>
              <w:right w:val="single" w:sz="6" w:space="0" w:color="231F20"/>
            </w:tcBorders>
          </w:tcPr>
          <w:p w14:paraId="2C51E9E5" w14:textId="77777777" w:rsidR="009948F1" w:rsidRDefault="009948F1">
            <w:pPr>
              <w:pStyle w:val="TableParagraph"/>
              <w:spacing w:before="3"/>
              <w:rPr>
                <w:sz w:val="17"/>
              </w:rPr>
            </w:pPr>
          </w:p>
          <w:p w14:paraId="5D86D007" w14:textId="77777777" w:rsidR="009948F1" w:rsidRDefault="00BC0563">
            <w:pPr>
              <w:pStyle w:val="TableParagraph"/>
              <w:spacing w:before="1"/>
              <w:ind w:left="20"/>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17E79495" w14:textId="77777777" w:rsidR="009948F1" w:rsidRDefault="009948F1">
            <w:pPr>
              <w:pStyle w:val="TableParagraph"/>
              <w:spacing w:before="3"/>
              <w:rPr>
                <w:sz w:val="17"/>
              </w:rPr>
            </w:pPr>
          </w:p>
          <w:p w14:paraId="2A3BCB28" w14:textId="77777777" w:rsidR="009948F1" w:rsidRDefault="00BC0563">
            <w:pPr>
              <w:pStyle w:val="TableParagraph"/>
              <w:spacing w:before="1"/>
              <w:ind w:left="26"/>
              <w:rPr>
                <w:sz w:val="15"/>
              </w:rPr>
            </w:pPr>
            <w:r>
              <w:rPr>
                <w:color w:val="231F20"/>
                <w:w w:val="85"/>
                <w:sz w:val="15"/>
              </w:rPr>
              <w:t>Train Health care providers</w:t>
            </w:r>
          </w:p>
        </w:tc>
      </w:tr>
      <w:tr w:rsidR="009948F1" w14:paraId="30B7A8F6" w14:textId="77777777">
        <w:trPr>
          <w:trHeight w:val="577"/>
        </w:trPr>
        <w:tc>
          <w:tcPr>
            <w:tcW w:w="475" w:type="dxa"/>
            <w:vMerge/>
            <w:tcBorders>
              <w:top w:val="nil"/>
              <w:bottom w:val="single" w:sz="6" w:space="0" w:color="231F20"/>
              <w:right w:val="single" w:sz="6" w:space="0" w:color="231F20"/>
            </w:tcBorders>
          </w:tcPr>
          <w:p w14:paraId="7E175D3A"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61606C69" w14:textId="77777777" w:rsidR="009948F1" w:rsidRDefault="009948F1">
            <w:pPr>
              <w:pStyle w:val="TableParagraph"/>
              <w:spacing w:before="8"/>
              <w:rPr>
                <w:sz w:val="17"/>
              </w:rPr>
            </w:pPr>
          </w:p>
          <w:p w14:paraId="4B2BD92D" w14:textId="77777777" w:rsidR="009948F1" w:rsidRDefault="00BC0563">
            <w:pPr>
              <w:pStyle w:val="TableParagraph"/>
              <w:ind w:left="51" w:right="28"/>
              <w:jc w:val="center"/>
              <w:rPr>
                <w:sz w:val="15"/>
              </w:rPr>
            </w:pPr>
            <w:r>
              <w:rPr>
                <w:color w:val="231F20"/>
                <w:w w:val="90"/>
                <w:sz w:val="15"/>
              </w:rPr>
              <w:t>4.4.8.d</w:t>
            </w:r>
          </w:p>
        </w:tc>
        <w:tc>
          <w:tcPr>
            <w:tcW w:w="5183" w:type="dxa"/>
            <w:gridSpan w:val="2"/>
            <w:tcBorders>
              <w:top w:val="single" w:sz="6" w:space="0" w:color="231F20"/>
              <w:left w:val="single" w:sz="6" w:space="0" w:color="231F20"/>
              <w:bottom w:val="single" w:sz="6" w:space="0" w:color="231F20"/>
              <w:right w:val="single" w:sz="6" w:space="0" w:color="231F20"/>
            </w:tcBorders>
          </w:tcPr>
          <w:p w14:paraId="6C3775CD" w14:textId="77777777" w:rsidR="009948F1" w:rsidRDefault="00BC0563">
            <w:pPr>
              <w:pStyle w:val="TableParagraph"/>
              <w:spacing w:before="101" w:line="266" w:lineRule="auto"/>
              <w:ind w:left="27" w:right="16"/>
              <w:rPr>
                <w:sz w:val="15"/>
              </w:rPr>
            </w:pPr>
            <w:r>
              <w:rPr>
                <w:color w:val="231F20"/>
                <w:w w:val="85"/>
                <w:sz w:val="15"/>
              </w:rPr>
              <w:t>Build</w:t>
            </w:r>
            <w:r>
              <w:rPr>
                <w:color w:val="231F20"/>
                <w:spacing w:val="-7"/>
                <w:w w:val="85"/>
                <w:sz w:val="15"/>
              </w:rPr>
              <w:t xml:space="preserve"> </w:t>
            </w:r>
            <w:r>
              <w:rPr>
                <w:color w:val="231F20"/>
                <w:w w:val="85"/>
                <w:sz w:val="15"/>
              </w:rPr>
              <w:t>capacity</w:t>
            </w:r>
            <w:r>
              <w:rPr>
                <w:color w:val="231F20"/>
                <w:spacing w:val="-7"/>
                <w:w w:val="85"/>
                <w:sz w:val="15"/>
              </w:rPr>
              <w:t xml:space="preserve"> </w:t>
            </w:r>
            <w:r>
              <w:rPr>
                <w:color w:val="231F20"/>
                <w:w w:val="85"/>
                <w:sz w:val="15"/>
              </w:rPr>
              <w:t>of</w:t>
            </w:r>
            <w:r>
              <w:rPr>
                <w:color w:val="231F20"/>
                <w:spacing w:val="-7"/>
                <w:w w:val="85"/>
                <w:sz w:val="15"/>
              </w:rPr>
              <w:t xml:space="preserve"> </w:t>
            </w:r>
            <w:r>
              <w:rPr>
                <w:color w:val="231F20"/>
                <w:w w:val="85"/>
                <w:sz w:val="15"/>
              </w:rPr>
              <w:t>community</w:t>
            </w:r>
            <w:r>
              <w:rPr>
                <w:color w:val="231F20"/>
                <w:spacing w:val="-7"/>
                <w:w w:val="85"/>
                <w:sz w:val="15"/>
              </w:rPr>
              <w:t xml:space="preserve"> </w:t>
            </w:r>
            <w:r>
              <w:rPr>
                <w:color w:val="231F20"/>
                <w:w w:val="85"/>
                <w:sz w:val="15"/>
              </w:rPr>
              <w:t>structures</w:t>
            </w:r>
            <w:r>
              <w:rPr>
                <w:color w:val="231F20"/>
                <w:spacing w:val="-7"/>
                <w:w w:val="85"/>
                <w:sz w:val="15"/>
              </w:rPr>
              <w:t xml:space="preserve"> </w:t>
            </w:r>
            <w:r>
              <w:rPr>
                <w:color w:val="231F20"/>
                <w:w w:val="85"/>
                <w:sz w:val="15"/>
              </w:rPr>
              <w:t>(WDC)</w:t>
            </w:r>
            <w:r>
              <w:rPr>
                <w:color w:val="231F20"/>
                <w:spacing w:val="-7"/>
                <w:w w:val="85"/>
                <w:sz w:val="15"/>
              </w:rPr>
              <w:t xml:space="preserve"> </w:t>
            </w:r>
            <w:r>
              <w:rPr>
                <w:color w:val="231F20"/>
                <w:w w:val="85"/>
                <w:sz w:val="15"/>
              </w:rPr>
              <w:t>in</w:t>
            </w:r>
            <w:r>
              <w:rPr>
                <w:color w:val="231F20"/>
                <w:spacing w:val="-6"/>
                <w:w w:val="85"/>
                <w:sz w:val="15"/>
              </w:rPr>
              <w:t xml:space="preserve"> </w:t>
            </w:r>
            <w:r>
              <w:rPr>
                <w:color w:val="231F20"/>
                <w:w w:val="85"/>
                <w:sz w:val="15"/>
              </w:rPr>
              <w:t>planning</w:t>
            </w:r>
            <w:r>
              <w:rPr>
                <w:color w:val="231F20"/>
                <w:spacing w:val="-7"/>
                <w:w w:val="85"/>
                <w:sz w:val="15"/>
              </w:rPr>
              <w:t xml:space="preserve"> </w:t>
            </w:r>
            <w:r>
              <w:rPr>
                <w:color w:val="231F20"/>
                <w:w w:val="85"/>
                <w:sz w:val="15"/>
              </w:rPr>
              <w:t>and</w:t>
            </w:r>
            <w:r>
              <w:rPr>
                <w:color w:val="231F20"/>
                <w:spacing w:val="-7"/>
                <w:w w:val="85"/>
                <w:sz w:val="15"/>
              </w:rPr>
              <w:t xml:space="preserve"> </w:t>
            </w:r>
            <w:r>
              <w:rPr>
                <w:color w:val="231F20"/>
                <w:w w:val="85"/>
                <w:sz w:val="15"/>
              </w:rPr>
              <w:t>implementation</w:t>
            </w:r>
            <w:r>
              <w:rPr>
                <w:color w:val="231F20"/>
                <w:spacing w:val="-7"/>
                <w:w w:val="85"/>
                <w:sz w:val="15"/>
              </w:rPr>
              <w:t xml:space="preserve"> </w:t>
            </w:r>
            <w:r>
              <w:rPr>
                <w:color w:val="231F20"/>
                <w:w w:val="85"/>
                <w:sz w:val="15"/>
              </w:rPr>
              <w:t>of</w:t>
            </w:r>
            <w:r>
              <w:rPr>
                <w:color w:val="231F20"/>
                <w:spacing w:val="-7"/>
                <w:w w:val="85"/>
                <w:sz w:val="15"/>
              </w:rPr>
              <w:t xml:space="preserve"> </w:t>
            </w:r>
            <w:r>
              <w:rPr>
                <w:color w:val="231F20"/>
                <w:w w:val="85"/>
                <w:sz w:val="15"/>
              </w:rPr>
              <w:t>CIMCI</w:t>
            </w:r>
            <w:r>
              <w:rPr>
                <w:color w:val="231F20"/>
                <w:spacing w:val="-7"/>
                <w:w w:val="85"/>
                <w:sz w:val="15"/>
              </w:rPr>
              <w:t xml:space="preserve"> </w:t>
            </w:r>
            <w:r>
              <w:rPr>
                <w:color w:val="231F20"/>
                <w:w w:val="85"/>
                <w:sz w:val="15"/>
              </w:rPr>
              <w:t xml:space="preserve">and </w:t>
            </w:r>
            <w:r>
              <w:rPr>
                <w:color w:val="231F20"/>
                <w:w w:val="95"/>
                <w:sz w:val="15"/>
              </w:rPr>
              <w:t>IMCI</w:t>
            </w:r>
            <w:r>
              <w:rPr>
                <w:color w:val="231F20"/>
                <w:spacing w:val="-7"/>
                <w:w w:val="95"/>
                <w:sz w:val="15"/>
              </w:rPr>
              <w:t xml:space="preserve"> </w:t>
            </w:r>
            <w:r>
              <w:rPr>
                <w:color w:val="231F20"/>
                <w:w w:val="95"/>
                <w:sz w:val="15"/>
              </w:rPr>
              <w:t>interventions</w:t>
            </w:r>
          </w:p>
        </w:tc>
        <w:tc>
          <w:tcPr>
            <w:tcW w:w="1512" w:type="dxa"/>
            <w:tcBorders>
              <w:top w:val="single" w:sz="6" w:space="0" w:color="231F20"/>
              <w:left w:val="single" w:sz="6" w:space="0" w:color="231F20"/>
              <w:bottom w:val="single" w:sz="6" w:space="0" w:color="231F20"/>
              <w:right w:val="single" w:sz="6" w:space="0" w:color="231F20"/>
            </w:tcBorders>
          </w:tcPr>
          <w:p w14:paraId="26AF2D3D" w14:textId="77777777" w:rsidR="009948F1" w:rsidRDefault="009948F1">
            <w:pPr>
              <w:pStyle w:val="TableParagraph"/>
              <w:spacing w:before="8"/>
              <w:rPr>
                <w:sz w:val="17"/>
              </w:rPr>
            </w:pPr>
          </w:p>
          <w:p w14:paraId="29674910"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7A6AC4B9" w14:textId="77777777" w:rsidR="009948F1" w:rsidRDefault="009948F1">
            <w:pPr>
              <w:pStyle w:val="TableParagraph"/>
              <w:spacing w:before="8"/>
              <w:rPr>
                <w:sz w:val="17"/>
              </w:rPr>
            </w:pPr>
          </w:p>
          <w:p w14:paraId="6D09EC35" w14:textId="77777777" w:rsidR="009948F1" w:rsidRDefault="00BC0563">
            <w:pPr>
              <w:pStyle w:val="TableParagraph"/>
              <w:ind w:left="26"/>
              <w:rPr>
                <w:sz w:val="15"/>
              </w:rPr>
            </w:pPr>
            <w:r>
              <w:rPr>
                <w:color w:val="231F20"/>
                <w:w w:val="95"/>
                <w:sz w:val="15"/>
              </w:rPr>
              <w:t>No cost</w:t>
            </w:r>
          </w:p>
        </w:tc>
      </w:tr>
      <w:tr w:rsidR="009948F1" w14:paraId="03F89F4F" w14:textId="77777777">
        <w:trPr>
          <w:trHeight w:val="486"/>
        </w:trPr>
        <w:tc>
          <w:tcPr>
            <w:tcW w:w="6215" w:type="dxa"/>
            <w:gridSpan w:val="4"/>
            <w:tcBorders>
              <w:top w:val="single" w:sz="6" w:space="0" w:color="231F20"/>
              <w:left w:val="single" w:sz="12" w:space="0" w:color="231F20"/>
              <w:bottom w:val="single" w:sz="6" w:space="0" w:color="231F20"/>
              <w:right w:val="single" w:sz="12" w:space="0" w:color="231F20"/>
            </w:tcBorders>
            <w:shd w:val="clear" w:color="auto" w:fill="FFF200"/>
          </w:tcPr>
          <w:p w14:paraId="10D9BB03" w14:textId="77777777" w:rsidR="009948F1" w:rsidRDefault="009948F1">
            <w:pPr>
              <w:pStyle w:val="TableParagraph"/>
              <w:spacing w:before="4"/>
              <w:rPr>
                <w:sz w:val="13"/>
              </w:rPr>
            </w:pPr>
          </w:p>
          <w:p w14:paraId="0BE82D2C" w14:textId="77777777" w:rsidR="009948F1" w:rsidRDefault="00BC0563">
            <w:pPr>
              <w:pStyle w:val="TableParagraph"/>
              <w:spacing w:before="1"/>
              <w:ind w:left="48"/>
              <w:rPr>
                <w:b/>
                <w:sz w:val="15"/>
              </w:rPr>
            </w:pPr>
            <w:r>
              <w:rPr>
                <w:b/>
                <w:color w:val="231F20"/>
                <w:w w:val="95"/>
                <w:sz w:val="15"/>
              </w:rPr>
              <w:t>Improve access to adolescent health and young people information and services</w:t>
            </w:r>
          </w:p>
        </w:tc>
        <w:tc>
          <w:tcPr>
            <w:tcW w:w="1512" w:type="dxa"/>
            <w:tcBorders>
              <w:top w:val="single" w:sz="6" w:space="0" w:color="231F20"/>
              <w:left w:val="single" w:sz="12" w:space="0" w:color="231F20"/>
              <w:bottom w:val="single" w:sz="6" w:space="0" w:color="231F20"/>
              <w:right w:val="single" w:sz="12" w:space="0" w:color="231F20"/>
            </w:tcBorders>
            <w:shd w:val="clear" w:color="auto" w:fill="FFF200"/>
          </w:tcPr>
          <w:p w14:paraId="6519A49C" w14:textId="77777777" w:rsidR="009948F1" w:rsidRDefault="009948F1">
            <w:pPr>
              <w:pStyle w:val="TableParagraph"/>
              <w:rPr>
                <w:rFonts w:ascii="Times New Roman"/>
                <w:sz w:val="12"/>
              </w:rPr>
            </w:pPr>
          </w:p>
        </w:tc>
        <w:tc>
          <w:tcPr>
            <w:tcW w:w="1593" w:type="dxa"/>
            <w:tcBorders>
              <w:top w:val="single" w:sz="6" w:space="0" w:color="231F20"/>
              <w:left w:val="single" w:sz="12" w:space="0" w:color="231F20"/>
              <w:bottom w:val="single" w:sz="6" w:space="0" w:color="231F20"/>
            </w:tcBorders>
            <w:shd w:val="clear" w:color="auto" w:fill="FFF200"/>
          </w:tcPr>
          <w:p w14:paraId="23CCD448" w14:textId="77777777" w:rsidR="009948F1" w:rsidRDefault="009948F1">
            <w:pPr>
              <w:pStyle w:val="TableParagraph"/>
              <w:rPr>
                <w:rFonts w:ascii="Times New Roman"/>
                <w:sz w:val="12"/>
              </w:rPr>
            </w:pPr>
          </w:p>
        </w:tc>
      </w:tr>
      <w:tr w:rsidR="009948F1" w14:paraId="0BB89EE0" w14:textId="77777777">
        <w:trPr>
          <w:trHeight w:val="1403"/>
        </w:trPr>
        <w:tc>
          <w:tcPr>
            <w:tcW w:w="475" w:type="dxa"/>
            <w:tcBorders>
              <w:top w:val="single" w:sz="6" w:space="0" w:color="231F20"/>
              <w:left w:val="single" w:sz="12" w:space="0" w:color="231F20"/>
              <w:bottom w:val="single" w:sz="6" w:space="0" w:color="231F20"/>
              <w:right w:val="single" w:sz="6" w:space="0" w:color="231F20"/>
            </w:tcBorders>
            <w:shd w:val="clear" w:color="auto" w:fill="CCE7D3"/>
          </w:tcPr>
          <w:p w14:paraId="7404424F" w14:textId="77777777" w:rsidR="009948F1" w:rsidRDefault="009948F1">
            <w:pPr>
              <w:pStyle w:val="TableParagraph"/>
              <w:rPr>
                <w:sz w:val="16"/>
              </w:rPr>
            </w:pPr>
          </w:p>
          <w:p w14:paraId="6270BBC5" w14:textId="77777777" w:rsidR="009948F1" w:rsidRDefault="009948F1">
            <w:pPr>
              <w:pStyle w:val="TableParagraph"/>
              <w:rPr>
                <w:sz w:val="16"/>
              </w:rPr>
            </w:pPr>
          </w:p>
          <w:p w14:paraId="19E06423" w14:textId="77777777" w:rsidR="009948F1" w:rsidRDefault="009948F1">
            <w:pPr>
              <w:pStyle w:val="TableParagraph"/>
              <w:spacing w:before="7"/>
              <w:rPr>
                <w:sz w:val="21"/>
              </w:rPr>
            </w:pPr>
          </w:p>
          <w:p w14:paraId="506E57F3" w14:textId="77777777" w:rsidR="009948F1" w:rsidRDefault="00BC0563">
            <w:pPr>
              <w:pStyle w:val="TableParagraph"/>
              <w:spacing w:before="1"/>
              <w:ind w:left="48"/>
              <w:rPr>
                <w:sz w:val="15"/>
              </w:rPr>
            </w:pPr>
            <w:r>
              <w:rPr>
                <w:color w:val="231F20"/>
                <w:w w:val="95"/>
                <w:sz w:val="15"/>
              </w:rPr>
              <w:t>4.5.1</w:t>
            </w:r>
          </w:p>
        </w:tc>
        <w:tc>
          <w:tcPr>
            <w:tcW w:w="3216" w:type="dxa"/>
            <w:gridSpan w:val="2"/>
            <w:tcBorders>
              <w:top w:val="single" w:sz="6" w:space="0" w:color="231F20"/>
              <w:left w:val="single" w:sz="6" w:space="0" w:color="231F20"/>
              <w:bottom w:val="single" w:sz="6" w:space="0" w:color="231F20"/>
              <w:right w:val="single" w:sz="6" w:space="0" w:color="231F20"/>
            </w:tcBorders>
            <w:shd w:val="clear" w:color="auto" w:fill="CCE7D3"/>
          </w:tcPr>
          <w:p w14:paraId="3430D8D3" w14:textId="77777777" w:rsidR="009948F1" w:rsidRDefault="009948F1">
            <w:pPr>
              <w:pStyle w:val="TableParagraph"/>
              <w:rPr>
                <w:sz w:val="16"/>
              </w:rPr>
            </w:pPr>
          </w:p>
          <w:p w14:paraId="50FADE6F" w14:textId="77777777" w:rsidR="009948F1" w:rsidRDefault="009948F1">
            <w:pPr>
              <w:pStyle w:val="TableParagraph"/>
              <w:spacing w:before="6"/>
              <w:rPr>
                <w:sz w:val="20"/>
              </w:rPr>
            </w:pPr>
          </w:p>
          <w:p w14:paraId="4334229D" w14:textId="77777777" w:rsidR="009948F1" w:rsidRDefault="00BC0563">
            <w:pPr>
              <w:pStyle w:val="TableParagraph"/>
              <w:spacing w:line="266" w:lineRule="auto"/>
              <w:ind w:left="27" w:firstLine="34"/>
              <w:rPr>
                <w:sz w:val="15"/>
              </w:rPr>
            </w:pPr>
            <w:r>
              <w:rPr>
                <w:color w:val="231F20"/>
                <w:w w:val="85"/>
                <w:sz w:val="15"/>
              </w:rPr>
              <w:t xml:space="preserve">Intensify advocacy, social mobilization and behavior </w:t>
            </w:r>
            <w:r>
              <w:rPr>
                <w:color w:val="231F20"/>
                <w:w w:val="95"/>
                <w:sz w:val="15"/>
              </w:rPr>
              <w:t xml:space="preserve">change communication for positive adolescent </w:t>
            </w:r>
            <w:proofErr w:type="spellStart"/>
            <w:r>
              <w:rPr>
                <w:color w:val="231F20"/>
                <w:w w:val="95"/>
                <w:sz w:val="15"/>
              </w:rPr>
              <w:t>behaviour</w:t>
            </w:r>
            <w:proofErr w:type="spellEnd"/>
            <w:r>
              <w:rPr>
                <w:color w:val="231F20"/>
                <w:w w:val="95"/>
                <w:sz w:val="15"/>
              </w:rPr>
              <w:t>.</w:t>
            </w:r>
          </w:p>
        </w:tc>
        <w:tc>
          <w:tcPr>
            <w:tcW w:w="2524" w:type="dxa"/>
            <w:tcBorders>
              <w:top w:val="single" w:sz="6" w:space="0" w:color="231F20"/>
              <w:left w:val="single" w:sz="6" w:space="0" w:color="231F20"/>
              <w:bottom w:val="single" w:sz="6" w:space="0" w:color="231F20"/>
              <w:right w:val="single" w:sz="6" w:space="0" w:color="231F20"/>
            </w:tcBorders>
            <w:shd w:val="clear" w:color="auto" w:fill="CCE7D3"/>
          </w:tcPr>
          <w:p w14:paraId="4220B627" w14:textId="11C1BED1" w:rsidR="009948F1" w:rsidRDefault="00BC0563">
            <w:pPr>
              <w:pStyle w:val="TableParagraph"/>
              <w:numPr>
                <w:ilvl w:val="0"/>
                <w:numId w:val="184"/>
              </w:numPr>
              <w:tabs>
                <w:tab w:val="left" w:pos="135"/>
              </w:tabs>
              <w:spacing w:before="44" w:line="266" w:lineRule="auto"/>
              <w:ind w:right="314" w:firstLine="0"/>
              <w:rPr>
                <w:sz w:val="15"/>
              </w:rPr>
            </w:pPr>
            <w:r>
              <w:rPr>
                <w:color w:val="231F20"/>
                <w:w w:val="85"/>
                <w:sz w:val="15"/>
              </w:rPr>
              <w:t>Adolescent</w:t>
            </w:r>
            <w:r>
              <w:rPr>
                <w:color w:val="231F20"/>
                <w:spacing w:val="-10"/>
                <w:w w:val="85"/>
                <w:sz w:val="15"/>
              </w:rPr>
              <w:t xml:space="preserve"> </w:t>
            </w:r>
            <w:r>
              <w:rPr>
                <w:color w:val="231F20"/>
                <w:w w:val="85"/>
                <w:sz w:val="15"/>
              </w:rPr>
              <w:t>Core</w:t>
            </w:r>
            <w:r>
              <w:rPr>
                <w:color w:val="231F20"/>
                <w:spacing w:val="-12"/>
                <w:w w:val="85"/>
                <w:sz w:val="15"/>
              </w:rPr>
              <w:t xml:space="preserve"> </w:t>
            </w:r>
            <w:r w:rsidR="009B6708">
              <w:rPr>
                <w:color w:val="231F20"/>
                <w:w w:val="85"/>
                <w:sz w:val="15"/>
              </w:rPr>
              <w:t>Technical</w:t>
            </w:r>
            <w:r>
              <w:rPr>
                <w:color w:val="231F20"/>
                <w:spacing w:val="-9"/>
                <w:w w:val="85"/>
                <w:sz w:val="15"/>
              </w:rPr>
              <w:t xml:space="preserve"> </w:t>
            </w:r>
            <w:r>
              <w:rPr>
                <w:color w:val="231F20"/>
                <w:spacing w:val="-3"/>
                <w:w w:val="85"/>
                <w:sz w:val="15"/>
              </w:rPr>
              <w:t xml:space="preserve">Committee </w:t>
            </w:r>
            <w:r>
              <w:rPr>
                <w:color w:val="231F20"/>
                <w:w w:val="95"/>
                <w:sz w:val="15"/>
              </w:rPr>
              <w:t>(CTC) set</w:t>
            </w:r>
            <w:r>
              <w:rPr>
                <w:color w:val="231F20"/>
                <w:spacing w:val="-14"/>
                <w:w w:val="95"/>
                <w:sz w:val="15"/>
              </w:rPr>
              <w:t xml:space="preserve"> </w:t>
            </w:r>
            <w:r>
              <w:rPr>
                <w:color w:val="231F20"/>
                <w:w w:val="95"/>
                <w:sz w:val="15"/>
              </w:rPr>
              <w:t>up</w:t>
            </w:r>
          </w:p>
          <w:p w14:paraId="7BF8DD31" w14:textId="77777777" w:rsidR="009948F1" w:rsidRDefault="00BC0563">
            <w:pPr>
              <w:pStyle w:val="TableParagraph"/>
              <w:numPr>
                <w:ilvl w:val="0"/>
                <w:numId w:val="184"/>
              </w:numPr>
              <w:tabs>
                <w:tab w:val="left" w:pos="107"/>
              </w:tabs>
              <w:spacing w:line="172" w:lineRule="exact"/>
              <w:ind w:left="106" w:hanging="80"/>
              <w:rPr>
                <w:sz w:val="15"/>
              </w:rPr>
            </w:pPr>
            <w:r>
              <w:rPr>
                <w:color w:val="231F20"/>
                <w:w w:val="95"/>
                <w:sz w:val="15"/>
              </w:rPr>
              <w:t>Peer</w:t>
            </w:r>
            <w:r>
              <w:rPr>
                <w:color w:val="231F20"/>
                <w:spacing w:val="-29"/>
                <w:w w:val="95"/>
                <w:sz w:val="15"/>
              </w:rPr>
              <w:t xml:space="preserve"> </w:t>
            </w:r>
            <w:r>
              <w:rPr>
                <w:color w:val="231F20"/>
                <w:spacing w:val="-7"/>
                <w:w w:val="95"/>
                <w:sz w:val="15"/>
              </w:rPr>
              <w:t>To</w:t>
            </w:r>
            <w:r>
              <w:rPr>
                <w:color w:val="231F20"/>
                <w:spacing w:val="-28"/>
                <w:w w:val="95"/>
                <w:sz w:val="15"/>
              </w:rPr>
              <w:t xml:space="preserve"> </w:t>
            </w:r>
            <w:r>
              <w:rPr>
                <w:color w:val="231F20"/>
                <w:w w:val="95"/>
                <w:sz w:val="15"/>
              </w:rPr>
              <w:t>Peer</w:t>
            </w:r>
            <w:r>
              <w:rPr>
                <w:color w:val="231F20"/>
                <w:spacing w:val="-27"/>
                <w:w w:val="95"/>
                <w:sz w:val="15"/>
              </w:rPr>
              <w:t xml:space="preserve"> </w:t>
            </w:r>
            <w:r>
              <w:rPr>
                <w:color w:val="231F20"/>
                <w:w w:val="95"/>
                <w:sz w:val="15"/>
              </w:rPr>
              <w:t>Health</w:t>
            </w:r>
            <w:r>
              <w:rPr>
                <w:color w:val="231F20"/>
                <w:spacing w:val="-28"/>
                <w:w w:val="95"/>
                <w:sz w:val="15"/>
              </w:rPr>
              <w:t xml:space="preserve"> </w:t>
            </w:r>
            <w:r>
              <w:rPr>
                <w:color w:val="231F20"/>
                <w:w w:val="95"/>
                <w:sz w:val="15"/>
              </w:rPr>
              <w:t>Education</w:t>
            </w:r>
            <w:r>
              <w:rPr>
                <w:color w:val="231F20"/>
                <w:spacing w:val="-27"/>
                <w:w w:val="95"/>
                <w:sz w:val="15"/>
              </w:rPr>
              <w:t xml:space="preserve"> </w:t>
            </w:r>
            <w:r>
              <w:rPr>
                <w:color w:val="231F20"/>
                <w:w w:val="95"/>
                <w:sz w:val="15"/>
              </w:rPr>
              <w:t>revived</w:t>
            </w:r>
          </w:p>
          <w:p w14:paraId="154A97A4" w14:textId="77777777" w:rsidR="009948F1" w:rsidRDefault="00BC0563">
            <w:pPr>
              <w:pStyle w:val="TableParagraph"/>
              <w:numPr>
                <w:ilvl w:val="0"/>
                <w:numId w:val="184"/>
              </w:numPr>
              <w:tabs>
                <w:tab w:val="left" w:pos="100"/>
              </w:tabs>
              <w:spacing w:before="18" w:line="266" w:lineRule="auto"/>
              <w:ind w:right="81" w:firstLine="0"/>
              <w:rPr>
                <w:sz w:val="15"/>
              </w:rPr>
            </w:pPr>
            <w:r>
              <w:rPr>
                <w:color w:val="231F20"/>
                <w:w w:val="85"/>
                <w:sz w:val="15"/>
              </w:rPr>
              <w:t>Advocacy</w:t>
            </w:r>
            <w:r>
              <w:rPr>
                <w:color w:val="231F20"/>
                <w:spacing w:val="-10"/>
                <w:w w:val="85"/>
                <w:sz w:val="15"/>
              </w:rPr>
              <w:t xml:space="preserve"> </w:t>
            </w:r>
            <w:r>
              <w:rPr>
                <w:color w:val="231F20"/>
                <w:w w:val="85"/>
                <w:sz w:val="15"/>
              </w:rPr>
              <w:t>visits</w:t>
            </w:r>
            <w:r>
              <w:rPr>
                <w:color w:val="231F20"/>
                <w:spacing w:val="-9"/>
                <w:w w:val="85"/>
                <w:sz w:val="15"/>
              </w:rPr>
              <w:t xml:space="preserve"> </w:t>
            </w:r>
            <w:r>
              <w:rPr>
                <w:color w:val="231F20"/>
                <w:w w:val="85"/>
                <w:sz w:val="15"/>
              </w:rPr>
              <w:t>to</w:t>
            </w:r>
            <w:r>
              <w:rPr>
                <w:color w:val="231F20"/>
                <w:spacing w:val="-9"/>
                <w:w w:val="85"/>
                <w:sz w:val="15"/>
              </w:rPr>
              <w:t xml:space="preserve"> </w:t>
            </w:r>
            <w:r>
              <w:rPr>
                <w:color w:val="231F20"/>
                <w:w w:val="85"/>
                <w:sz w:val="15"/>
              </w:rPr>
              <w:t>stakeholders</w:t>
            </w:r>
            <w:r>
              <w:rPr>
                <w:color w:val="231F20"/>
                <w:spacing w:val="-9"/>
                <w:w w:val="85"/>
                <w:sz w:val="15"/>
              </w:rPr>
              <w:t xml:space="preserve"> </w:t>
            </w:r>
            <w:r>
              <w:rPr>
                <w:color w:val="231F20"/>
                <w:w w:val="85"/>
                <w:sz w:val="15"/>
              </w:rPr>
              <w:t>&amp;</w:t>
            </w:r>
            <w:r>
              <w:rPr>
                <w:color w:val="231F20"/>
                <w:spacing w:val="-9"/>
                <w:w w:val="85"/>
                <w:sz w:val="15"/>
              </w:rPr>
              <w:t xml:space="preserve"> </w:t>
            </w:r>
            <w:r>
              <w:rPr>
                <w:color w:val="231F20"/>
                <w:w w:val="85"/>
                <w:sz w:val="15"/>
              </w:rPr>
              <w:t xml:space="preserve">schools </w:t>
            </w:r>
            <w:r>
              <w:rPr>
                <w:color w:val="231F20"/>
                <w:w w:val="95"/>
                <w:sz w:val="15"/>
              </w:rPr>
              <w:t>carried</w:t>
            </w:r>
            <w:r>
              <w:rPr>
                <w:color w:val="231F20"/>
                <w:spacing w:val="-7"/>
                <w:w w:val="95"/>
                <w:sz w:val="15"/>
              </w:rPr>
              <w:t xml:space="preserve"> </w:t>
            </w:r>
            <w:r>
              <w:rPr>
                <w:color w:val="231F20"/>
                <w:w w:val="95"/>
                <w:sz w:val="15"/>
              </w:rPr>
              <w:t>out</w:t>
            </w:r>
          </w:p>
          <w:p w14:paraId="69A82559" w14:textId="77777777" w:rsidR="009948F1" w:rsidRDefault="00BC0563">
            <w:pPr>
              <w:pStyle w:val="TableParagraph"/>
              <w:numPr>
                <w:ilvl w:val="0"/>
                <w:numId w:val="184"/>
              </w:numPr>
              <w:tabs>
                <w:tab w:val="left" w:pos="107"/>
              </w:tabs>
              <w:spacing w:line="266" w:lineRule="auto"/>
              <w:ind w:right="437" w:firstLine="0"/>
              <w:rPr>
                <w:sz w:val="15"/>
              </w:rPr>
            </w:pPr>
            <w:r>
              <w:rPr>
                <w:color w:val="231F20"/>
                <w:w w:val="85"/>
                <w:sz w:val="15"/>
              </w:rPr>
              <w:t>Media engaged to promote</w:t>
            </w:r>
            <w:r>
              <w:rPr>
                <w:color w:val="231F20"/>
                <w:spacing w:val="-20"/>
                <w:w w:val="85"/>
                <w:sz w:val="15"/>
              </w:rPr>
              <w:t xml:space="preserve"> </w:t>
            </w:r>
            <w:r>
              <w:rPr>
                <w:color w:val="231F20"/>
                <w:spacing w:val="-3"/>
                <w:w w:val="85"/>
                <w:sz w:val="15"/>
              </w:rPr>
              <w:t xml:space="preserve">positive </w:t>
            </w:r>
            <w:r>
              <w:rPr>
                <w:color w:val="231F20"/>
                <w:w w:val="95"/>
                <w:sz w:val="15"/>
              </w:rPr>
              <w:t>adolescent</w:t>
            </w:r>
            <w:r>
              <w:rPr>
                <w:color w:val="231F20"/>
                <w:spacing w:val="-21"/>
                <w:w w:val="95"/>
                <w:sz w:val="15"/>
              </w:rPr>
              <w:t xml:space="preserve"> </w:t>
            </w:r>
            <w:proofErr w:type="spellStart"/>
            <w:r>
              <w:rPr>
                <w:color w:val="231F20"/>
                <w:w w:val="95"/>
                <w:sz w:val="15"/>
              </w:rPr>
              <w:t>behaviour</w:t>
            </w:r>
            <w:proofErr w:type="spellEnd"/>
            <w:r>
              <w:rPr>
                <w:color w:val="231F20"/>
                <w:spacing w:val="-20"/>
                <w:w w:val="95"/>
                <w:sz w:val="15"/>
              </w:rPr>
              <w:t xml:space="preserve"> </w:t>
            </w:r>
            <w:r>
              <w:rPr>
                <w:color w:val="231F20"/>
                <w:w w:val="95"/>
                <w:sz w:val="15"/>
              </w:rPr>
              <w:t>change</w:t>
            </w:r>
          </w:p>
        </w:tc>
        <w:tc>
          <w:tcPr>
            <w:tcW w:w="1512" w:type="dxa"/>
            <w:tcBorders>
              <w:top w:val="single" w:sz="6" w:space="0" w:color="231F20"/>
              <w:left w:val="single" w:sz="6" w:space="0" w:color="231F20"/>
              <w:bottom w:val="single" w:sz="6" w:space="0" w:color="231F20"/>
              <w:right w:val="single" w:sz="12" w:space="0" w:color="231F20"/>
            </w:tcBorders>
            <w:shd w:val="clear" w:color="auto" w:fill="CCE7D3"/>
          </w:tcPr>
          <w:p w14:paraId="72ADBF11" w14:textId="77777777" w:rsidR="009948F1" w:rsidRDefault="009948F1">
            <w:pPr>
              <w:pStyle w:val="TableParagraph"/>
              <w:rPr>
                <w:rFonts w:ascii="Times New Roman"/>
                <w:sz w:val="12"/>
              </w:rPr>
            </w:pPr>
          </w:p>
        </w:tc>
        <w:tc>
          <w:tcPr>
            <w:tcW w:w="1593" w:type="dxa"/>
            <w:tcBorders>
              <w:top w:val="single" w:sz="6" w:space="0" w:color="231F20"/>
              <w:left w:val="single" w:sz="12" w:space="0" w:color="231F20"/>
              <w:bottom w:val="single" w:sz="6" w:space="0" w:color="231F20"/>
            </w:tcBorders>
            <w:shd w:val="clear" w:color="auto" w:fill="CCE7D3"/>
          </w:tcPr>
          <w:p w14:paraId="0E87D30F" w14:textId="77777777" w:rsidR="009948F1" w:rsidRDefault="009948F1">
            <w:pPr>
              <w:pStyle w:val="TableParagraph"/>
              <w:rPr>
                <w:rFonts w:ascii="Times New Roman"/>
                <w:sz w:val="12"/>
              </w:rPr>
            </w:pPr>
          </w:p>
        </w:tc>
      </w:tr>
      <w:tr w:rsidR="009948F1" w14:paraId="153FECC7" w14:textId="77777777">
        <w:trPr>
          <w:trHeight w:val="820"/>
        </w:trPr>
        <w:tc>
          <w:tcPr>
            <w:tcW w:w="475" w:type="dxa"/>
            <w:vMerge w:val="restart"/>
            <w:tcBorders>
              <w:top w:val="single" w:sz="6" w:space="0" w:color="231F20"/>
              <w:bottom w:val="single" w:sz="6" w:space="0" w:color="231F20"/>
              <w:right w:val="single" w:sz="6" w:space="0" w:color="231F20"/>
            </w:tcBorders>
          </w:tcPr>
          <w:p w14:paraId="44B3A23C" w14:textId="77777777" w:rsidR="009948F1" w:rsidRDefault="009948F1">
            <w:pPr>
              <w:pStyle w:val="TableParagraph"/>
              <w:rPr>
                <w:rFonts w:ascii="Times New Roman"/>
                <w:sz w:val="12"/>
              </w:rPr>
            </w:pPr>
          </w:p>
        </w:tc>
        <w:tc>
          <w:tcPr>
            <w:tcW w:w="557" w:type="dxa"/>
            <w:tcBorders>
              <w:top w:val="single" w:sz="6" w:space="0" w:color="231F20"/>
              <w:left w:val="single" w:sz="6" w:space="0" w:color="231F20"/>
              <w:bottom w:val="single" w:sz="6" w:space="0" w:color="231F20"/>
              <w:right w:val="single" w:sz="6" w:space="0" w:color="231F20"/>
            </w:tcBorders>
          </w:tcPr>
          <w:p w14:paraId="3A63ADBE" w14:textId="77777777" w:rsidR="009948F1" w:rsidRDefault="009948F1">
            <w:pPr>
              <w:pStyle w:val="TableParagraph"/>
              <w:rPr>
                <w:sz w:val="16"/>
              </w:rPr>
            </w:pPr>
          </w:p>
          <w:p w14:paraId="1D0D129D" w14:textId="77777777" w:rsidR="009948F1" w:rsidRDefault="00BC0563">
            <w:pPr>
              <w:pStyle w:val="TableParagraph"/>
              <w:spacing w:before="141"/>
              <w:ind w:left="51" w:right="28"/>
              <w:jc w:val="center"/>
              <w:rPr>
                <w:sz w:val="15"/>
              </w:rPr>
            </w:pPr>
            <w:r>
              <w:rPr>
                <w:color w:val="231F20"/>
                <w:w w:val="90"/>
                <w:sz w:val="15"/>
              </w:rPr>
              <w:t>4.5.1.a</w:t>
            </w:r>
          </w:p>
        </w:tc>
        <w:tc>
          <w:tcPr>
            <w:tcW w:w="5183" w:type="dxa"/>
            <w:gridSpan w:val="2"/>
            <w:tcBorders>
              <w:top w:val="single" w:sz="6" w:space="0" w:color="231F20"/>
              <w:left w:val="single" w:sz="6" w:space="0" w:color="231F20"/>
              <w:bottom w:val="single" w:sz="6" w:space="0" w:color="231F20"/>
              <w:right w:val="single" w:sz="6" w:space="0" w:color="231F20"/>
            </w:tcBorders>
          </w:tcPr>
          <w:p w14:paraId="198FDA8B" w14:textId="5C31C0C3" w:rsidR="009948F1" w:rsidRDefault="00BC0563">
            <w:pPr>
              <w:pStyle w:val="TableParagraph"/>
              <w:spacing w:before="128" w:line="266" w:lineRule="auto"/>
              <w:ind w:left="27" w:right="317"/>
              <w:rPr>
                <w:sz w:val="15"/>
              </w:rPr>
            </w:pPr>
            <w:r>
              <w:rPr>
                <w:color w:val="231F20"/>
                <w:w w:val="90"/>
                <w:sz w:val="15"/>
              </w:rPr>
              <w:t>Set</w:t>
            </w:r>
            <w:r>
              <w:rPr>
                <w:color w:val="231F20"/>
                <w:spacing w:val="-25"/>
                <w:w w:val="90"/>
                <w:sz w:val="15"/>
              </w:rPr>
              <w:t xml:space="preserve"> </w:t>
            </w:r>
            <w:r>
              <w:rPr>
                <w:color w:val="231F20"/>
                <w:w w:val="90"/>
                <w:sz w:val="15"/>
              </w:rPr>
              <w:t>up</w:t>
            </w:r>
            <w:r>
              <w:rPr>
                <w:color w:val="231F20"/>
                <w:spacing w:val="-25"/>
                <w:w w:val="90"/>
                <w:sz w:val="15"/>
              </w:rPr>
              <w:t xml:space="preserve"> </w:t>
            </w:r>
            <w:r>
              <w:rPr>
                <w:color w:val="231F20"/>
                <w:w w:val="90"/>
                <w:sz w:val="15"/>
              </w:rPr>
              <w:t>Core</w:t>
            </w:r>
            <w:r>
              <w:rPr>
                <w:color w:val="231F20"/>
                <w:spacing w:val="-26"/>
                <w:w w:val="90"/>
                <w:sz w:val="15"/>
              </w:rPr>
              <w:t xml:space="preserve"> </w:t>
            </w:r>
            <w:r w:rsidR="009B6708">
              <w:rPr>
                <w:color w:val="231F20"/>
                <w:w w:val="90"/>
                <w:sz w:val="15"/>
              </w:rPr>
              <w:t>Technical</w:t>
            </w:r>
            <w:r>
              <w:rPr>
                <w:color w:val="231F20"/>
                <w:spacing w:val="-25"/>
                <w:w w:val="90"/>
                <w:sz w:val="15"/>
              </w:rPr>
              <w:t xml:space="preserve"> </w:t>
            </w:r>
            <w:r>
              <w:rPr>
                <w:color w:val="231F20"/>
                <w:w w:val="90"/>
                <w:sz w:val="15"/>
              </w:rPr>
              <w:t>Committee</w:t>
            </w:r>
            <w:r>
              <w:rPr>
                <w:color w:val="231F20"/>
                <w:spacing w:val="-24"/>
                <w:w w:val="90"/>
                <w:sz w:val="15"/>
              </w:rPr>
              <w:t xml:space="preserve"> </w:t>
            </w:r>
            <w:r>
              <w:rPr>
                <w:color w:val="231F20"/>
                <w:w w:val="90"/>
                <w:sz w:val="15"/>
              </w:rPr>
              <w:t>(CTC)</w:t>
            </w:r>
            <w:r>
              <w:rPr>
                <w:color w:val="231F20"/>
                <w:spacing w:val="-25"/>
                <w:w w:val="90"/>
                <w:sz w:val="15"/>
              </w:rPr>
              <w:t xml:space="preserve"> </w:t>
            </w:r>
            <w:r>
              <w:rPr>
                <w:color w:val="231F20"/>
                <w:w w:val="90"/>
                <w:sz w:val="15"/>
              </w:rPr>
              <w:t>with</w:t>
            </w:r>
            <w:r>
              <w:rPr>
                <w:color w:val="231F20"/>
                <w:spacing w:val="-25"/>
                <w:w w:val="90"/>
                <w:sz w:val="15"/>
              </w:rPr>
              <w:t xml:space="preserve"> </w:t>
            </w:r>
            <w:r>
              <w:rPr>
                <w:color w:val="231F20"/>
                <w:w w:val="90"/>
                <w:sz w:val="15"/>
              </w:rPr>
              <w:t>membership</w:t>
            </w:r>
            <w:r>
              <w:rPr>
                <w:color w:val="231F20"/>
                <w:spacing w:val="-25"/>
                <w:w w:val="90"/>
                <w:sz w:val="15"/>
              </w:rPr>
              <w:t xml:space="preserve"> </w:t>
            </w:r>
            <w:r>
              <w:rPr>
                <w:color w:val="231F20"/>
                <w:w w:val="90"/>
                <w:sz w:val="15"/>
              </w:rPr>
              <w:t>from</w:t>
            </w:r>
            <w:r>
              <w:rPr>
                <w:color w:val="231F20"/>
                <w:spacing w:val="-25"/>
                <w:w w:val="90"/>
                <w:sz w:val="15"/>
              </w:rPr>
              <w:t xml:space="preserve"> </w:t>
            </w:r>
            <w:r>
              <w:rPr>
                <w:color w:val="231F20"/>
                <w:w w:val="90"/>
                <w:sz w:val="15"/>
              </w:rPr>
              <w:t>all</w:t>
            </w:r>
            <w:r>
              <w:rPr>
                <w:color w:val="231F20"/>
                <w:spacing w:val="-25"/>
                <w:w w:val="90"/>
                <w:sz w:val="15"/>
              </w:rPr>
              <w:t xml:space="preserve"> </w:t>
            </w:r>
            <w:r>
              <w:rPr>
                <w:color w:val="231F20"/>
                <w:w w:val="90"/>
                <w:sz w:val="15"/>
              </w:rPr>
              <w:t>adolescent</w:t>
            </w:r>
            <w:r>
              <w:rPr>
                <w:color w:val="231F20"/>
                <w:spacing w:val="-24"/>
                <w:w w:val="90"/>
                <w:sz w:val="15"/>
              </w:rPr>
              <w:t xml:space="preserve"> </w:t>
            </w:r>
            <w:r>
              <w:rPr>
                <w:color w:val="231F20"/>
                <w:w w:val="90"/>
                <w:sz w:val="15"/>
              </w:rPr>
              <w:t xml:space="preserve">related </w:t>
            </w:r>
            <w:r>
              <w:rPr>
                <w:color w:val="231F20"/>
                <w:w w:val="85"/>
                <w:sz w:val="15"/>
              </w:rPr>
              <w:t>services</w:t>
            </w:r>
            <w:r>
              <w:rPr>
                <w:color w:val="231F20"/>
                <w:spacing w:val="-11"/>
                <w:w w:val="85"/>
                <w:sz w:val="15"/>
              </w:rPr>
              <w:t xml:space="preserve"> </w:t>
            </w:r>
            <w:r>
              <w:rPr>
                <w:color w:val="231F20"/>
                <w:w w:val="85"/>
                <w:sz w:val="15"/>
              </w:rPr>
              <w:t>(SMOH,</w:t>
            </w:r>
            <w:r>
              <w:rPr>
                <w:color w:val="231F20"/>
                <w:spacing w:val="-10"/>
                <w:w w:val="85"/>
                <w:sz w:val="15"/>
              </w:rPr>
              <w:t xml:space="preserve"> </w:t>
            </w:r>
            <w:r>
              <w:rPr>
                <w:color w:val="231F20"/>
                <w:w w:val="85"/>
                <w:sz w:val="15"/>
              </w:rPr>
              <w:t>Women</w:t>
            </w:r>
            <w:r>
              <w:rPr>
                <w:color w:val="231F20"/>
                <w:spacing w:val="-15"/>
                <w:w w:val="85"/>
                <w:sz w:val="15"/>
              </w:rPr>
              <w:t xml:space="preserve"> </w:t>
            </w:r>
            <w:r>
              <w:rPr>
                <w:color w:val="231F20"/>
                <w:w w:val="85"/>
                <w:sz w:val="15"/>
              </w:rPr>
              <w:t>Affairs,</w:t>
            </w:r>
            <w:r>
              <w:rPr>
                <w:color w:val="231F20"/>
                <w:spacing w:val="-12"/>
                <w:w w:val="85"/>
                <w:sz w:val="15"/>
              </w:rPr>
              <w:t xml:space="preserve"> </w:t>
            </w:r>
            <w:r>
              <w:rPr>
                <w:color w:val="231F20"/>
                <w:spacing w:val="-3"/>
                <w:w w:val="85"/>
                <w:sz w:val="15"/>
              </w:rPr>
              <w:t>Youth</w:t>
            </w:r>
            <w:r>
              <w:rPr>
                <w:color w:val="231F20"/>
                <w:spacing w:val="-10"/>
                <w:w w:val="85"/>
                <w:sz w:val="15"/>
              </w:rPr>
              <w:t xml:space="preserve"> </w:t>
            </w:r>
            <w:r>
              <w:rPr>
                <w:color w:val="231F20"/>
                <w:w w:val="85"/>
                <w:sz w:val="15"/>
              </w:rPr>
              <w:t>&amp;</w:t>
            </w:r>
            <w:r>
              <w:rPr>
                <w:color w:val="231F20"/>
                <w:spacing w:val="-10"/>
                <w:w w:val="85"/>
                <w:sz w:val="15"/>
              </w:rPr>
              <w:t xml:space="preserve"> </w:t>
            </w:r>
            <w:r>
              <w:rPr>
                <w:color w:val="231F20"/>
                <w:w w:val="85"/>
                <w:sz w:val="15"/>
              </w:rPr>
              <w:t>Empowerment,</w:t>
            </w:r>
            <w:r>
              <w:rPr>
                <w:color w:val="231F20"/>
                <w:spacing w:val="-10"/>
                <w:w w:val="85"/>
                <w:sz w:val="15"/>
              </w:rPr>
              <w:t xml:space="preserve"> </w:t>
            </w:r>
            <w:r>
              <w:rPr>
                <w:color w:val="231F20"/>
                <w:w w:val="85"/>
                <w:sz w:val="15"/>
              </w:rPr>
              <w:t>Sports,</w:t>
            </w:r>
            <w:r>
              <w:rPr>
                <w:color w:val="231F20"/>
                <w:spacing w:val="-11"/>
                <w:w w:val="85"/>
                <w:sz w:val="15"/>
              </w:rPr>
              <w:t xml:space="preserve"> </w:t>
            </w:r>
            <w:r>
              <w:rPr>
                <w:color w:val="231F20"/>
                <w:w w:val="85"/>
                <w:sz w:val="15"/>
              </w:rPr>
              <w:t>Finance,</w:t>
            </w:r>
            <w:r>
              <w:rPr>
                <w:color w:val="231F20"/>
                <w:spacing w:val="-10"/>
                <w:w w:val="85"/>
                <w:sz w:val="15"/>
              </w:rPr>
              <w:t xml:space="preserve"> </w:t>
            </w:r>
            <w:r>
              <w:rPr>
                <w:color w:val="231F20"/>
                <w:w w:val="85"/>
                <w:sz w:val="15"/>
              </w:rPr>
              <w:t>Chieftaincy, Justice,</w:t>
            </w:r>
            <w:r>
              <w:rPr>
                <w:color w:val="231F20"/>
                <w:spacing w:val="-14"/>
                <w:w w:val="85"/>
                <w:sz w:val="15"/>
              </w:rPr>
              <w:t xml:space="preserve"> </w:t>
            </w:r>
            <w:r>
              <w:rPr>
                <w:color w:val="231F20"/>
                <w:w w:val="85"/>
                <w:sz w:val="15"/>
              </w:rPr>
              <w:t>Agriculture,</w:t>
            </w:r>
            <w:r>
              <w:rPr>
                <w:color w:val="231F20"/>
                <w:spacing w:val="-7"/>
                <w:w w:val="85"/>
                <w:sz w:val="15"/>
              </w:rPr>
              <w:t xml:space="preserve"> </w:t>
            </w:r>
            <w:r>
              <w:rPr>
                <w:color w:val="231F20"/>
                <w:w w:val="85"/>
                <w:sz w:val="15"/>
              </w:rPr>
              <w:t>Media,</w:t>
            </w:r>
            <w:r>
              <w:rPr>
                <w:color w:val="231F20"/>
                <w:spacing w:val="-7"/>
                <w:w w:val="85"/>
                <w:sz w:val="15"/>
              </w:rPr>
              <w:t xml:space="preserve"> </w:t>
            </w:r>
            <w:r>
              <w:rPr>
                <w:color w:val="231F20"/>
                <w:w w:val="85"/>
                <w:sz w:val="15"/>
              </w:rPr>
              <w:t>CBOs,</w:t>
            </w:r>
            <w:r>
              <w:rPr>
                <w:color w:val="231F20"/>
                <w:spacing w:val="-8"/>
                <w:w w:val="85"/>
                <w:sz w:val="15"/>
              </w:rPr>
              <w:t xml:space="preserve"> </w:t>
            </w:r>
            <w:r>
              <w:rPr>
                <w:color w:val="231F20"/>
                <w:w w:val="85"/>
                <w:sz w:val="15"/>
              </w:rPr>
              <w:t>FBOs</w:t>
            </w:r>
            <w:r>
              <w:rPr>
                <w:color w:val="231F20"/>
                <w:spacing w:val="-7"/>
                <w:w w:val="85"/>
                <w:sz w:val="15"/>
              </w:rPr>
              <w:t xml:space="preserve"> </w:t>
            </w:r>
            <w:r w:rsidR="009B6708">
              <w:rPr>
                <w:color w:val="231F20"/>
                <w:w w:val="85"/>
                <w:sz w:val="15"/>
              </w:rPr>
              <w:t>etc.</w:t>
            </w:r>
            <w:r>
              <w:rPr>
                <w:color w:val="231F20"/>
                <w:w w:val="85"/>
                <w:sz w:val="15"/>
              </w:rPr>
              <w:t>)</w:t>
            </w:r>
            <w:r>
              <w:rPr>
                <w:color w:val="231F20"/>
                <w:spacing w:val="-8"/>
                <w:w w:val="85"/>
                <w:sz w:val="15"/>
              </w:rPr>
              <w:t xml:space="preserve"> </w:t>
            </w:r>
            <w:r>
              <w:rPr>
                <w:color w:val="231F20"/>
                <w:w w:val="85"/>
                <w:sz w:val="15"/>
              </w:rPr>
              <w:t>to</w:t>
            </w:r>
            <w:r>
              <w:rPr>
                <w:color w:val="231F20"/>
                <w:spacing w:val="-7"/>
                <w:w w:val="85"/>
                <w:sz w:val="15"/>
              </w:rPr>
              <w:t xml:space="preserve"> </w:t>
            </w:r>
            <w:r>
              <w:rPr>
                <w:color w:val="231F20"/>
                <w:w w:val="85"/>
                <w:sz w:val="15"/>
              </w:rPr>
              <w:t>ensure</w:t>
            </w:r>
            <w:r>
              <w:rPr>
                <w:color w:val="231F20"/>
                <w:spacing w:val="-7"/>
                <w:w w:val="85"/>
                <w:sz w:val="15"/>
              </w:rPr>
              <w:t xml:space="preserve"> </w:t>
            </w:r>
            <w:r w:rsidR="009B6708">
              <w:rPr>
                <w:color w:val="231F20"/>
                <w:w w:val="85"/>
                <w:sz w:val="15"/>
              </w:rPr>
              <w:t>positive</w:t>
            </w:r>
            <w:r>
              <w:rPr>
                <w:color w:val="231F20"/>
                <w:spacing w:val="-8"/>
                <w:w w:val="85"/>
                <w:sz w:val="15"/>
              </w:rPr>
              <w:t xml:space="preserve"> </w:t>
            </w:r>
            <w:r>
              <w:rPr>
                <w:color w:val="231F20"/>
                <w:w w:val="85"/>
                <w:sz w:val="15"/>
              </w:rPr>
              <w:t>adolescent</w:t>
            </w:r>
            <w:r>
              <w:rPr>
                <w:color w:val="231F20"/>
                <w:spacing w:val="-7"/>
                <w:w w:val="85"/>
                <w:sz w:val="15"/>
              </w:rPr>
              <w:t xml:space="preserve"> </w:t>
            </w:r>
            <w:proofErr w:type="spellStart"/>
            <w:r>
              <w:rPr>
                <w:color w:val="231F20"/>
                <w:w w:val="85"/>
                <w:sz w:val="15"/>
              </w:rPr>
              <w:t>behaviour</w:t>
            </w:r>
            <w:proofErr w:type="spellEnd"/>
            <w:r>
              <w:rPr>
                <w:color w:val="231F20"/>
                <w:w w:val="85"/>
                <w:sz w:val="15"/>
              </w:rPr>
              <w:t>.</w:t>
            </w:r>
          </w:p>
        </w:tc>
        <w:tc>
          <w:tcPr>
            <w:tcW w:w="1512" w:type="dxa"/>
            <w:tcBorders>
              <w:top w:val="single" w:sz="6" w:space="0" w:color="231F20"/>
              <w:left w:val="single" w:sz="6" w:space="0" w:color="231F20"/>
              <w:bottom w:val="single" w:sz="6" w:space="0" w:color="231F20"/>
              <w:right w:val="single" w:sz="6" w:space="0" w:color="231F20"/>
            </w:tcBorders>
          </w:tcPr>
          <w:p w14:paraId="3EBFC13E" w14:textId="77777777" w:rsidR="009948F1" w:rsidRDefault="009948F1">
            <w:pPr>
              <w:pStyle w:val="TableParagraph"/>
              <w:rPr>
                <w:sz w:val="16"/>
              </w:rPr>
            </w:pPr>
          </w:p>
          <w:p w14:paraId="5D652A95" w14:textId="77777777" w:rsidR="009948F1" w:rsidRDefault="00BC0563">
            <w:pPr>
              <w:pStyle w:val="TableParagraph"/>
              <w:spacing w:before="141"/>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0D1F85C7" w14:textId="77777777" w:rsidR="009948F1" w:rsidRDefault="009948F1">
            <w:pPr>
              <w:pStyle w:val="TableParagraph"/>
              <w:rPr>
                <w:sz w:val="16"/>
              </w:rPr>
            </w:pPr>
          </w:p>
          <w:p w14:paraId="0D5BC923" w14:textId="77777777" w:rsidR="009948F1" w:rsidRDefault="00BC0563">
            <w:pPr>
              <w:pStyle w:val="TableParagraph"/>
              <w:spacing w:before="141"/>
              <w:ind w:left="26"/>
              <w:rPr>
                <w:sz w:val="15"/>
              </w:rPr>
            </w:pPr>
            <w:r>
              <w:rPr>
                <w:color w:val="231F20"/>
                <w:w w:val="95"/>
                <w:sz w:val="15"/>
              </w:rPr>
              <w:t>No cost</w:t>
            </w:r>
          </w:p>
        </w:tc>
      </w:tr>
      <w:tr w:rsidR="009948F1" w14:paraId="5C1AA68F" w14:textId="77777777">
        <w:trPr>
          <w:trHeight w:val="407"/>
        </w:trPr>
        <w:tc>
          <w:tcPr>
            <w:tcW w:w="475" w:type="dxa"/>
            <w:vMerge/>
            <w:tcBorders>
              <w:top w:val="nil"/>
              <w:bottom w:val="single" w:sz="6" w:space="0" w:color="231F20"/>
              <w:right w:val="single" w:sz="6" w:space="0" w:color="231F20"/>
            </w:tcBorders>
          </w:tcPr>
          <w:p w14:paraId="506B5673"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40E0508B" w14:textId="77777777" w:rsidR="009948F1" w:rsidRDefault="00BC0563">
            <w:pPr>
              <w:pStyle w:val="TableParagraph"/>
              <w:spacing w:before="118"/>
              <w:ind w:left="51" w:right="28"/>
              <w:jc w:val="center"/>
              <w:rPr>
                <w:sz w:val="15"/>
              </w:rPr>
            </w:pPr>
            <w:r>
              <w:rPr>
                <w:color w:val="231F20"/>
                <w:w w:val="90"/>
                <w:sz w:val="15"/>
              </w:rPr>
              <w:t>4.5.1.b</w:t>
            </w:r>
          </w:p>
        </w:tc>
        <w:tc>
          <w:tcPr>
            <w:tcW w:w="5183" w:type="dxa"/>
            <w:gridSpan w:val="2"/>
            <w:tcBorders>
              <w:top w:val="single" w:sz="6" w:space="0" w:color="231F20"/>
              <w:left w:val="single" w:sz="6" w:space="0" w:color="231F20"/>
              <w:bottom w:val="single" w:sz="6" w:space="0" w:color="231F20"/>
              <w:right w:val="single" w:sz="6" w:space="0" w:color="231F20"/>
            </w:tcBorders>
          </w:tcPr>
          <w:p w14:paraId="787ECB5F" w14:textId="77777777" w:rsidR="009948F1" w:rsidRDefault="00BC0563">
            <w:pPr>
              <w:pStyle w:val="TableParagraph"/>
              <w:spacing w:before="112"/>
              <w:ind w:left="27"/>
              <w:rPr>
                <w:sz w:val="15"/>
              </w:rPr>
            </w:pPr>
            <w:r>
              <w:rPr>
                <w:color w:val="231F20"/>
                <w:w w:val="95"/>
                <w:sz w:val="15"/>
              </w:rPr>
              <w:t>Advocate for revival of Peer To Peer Health Education</w:t>
            </w:r>
          </w:p>
        </w:tc>
        <w:tc>
          <w:tcPr>
            <w:tcW w:w="1512" w:type="dxa"/>
            <w:tcBorders>
              <w:top w:val="single" w:sz="6" w:space="0" w:color="231F20"/>
              <w:left w:val="single" w:sz="6" w:space="0" w:color="231F20"/>
              <w:bottom w:val="single" w:sz="6" w:space="0" w:color="231F20"/>
              <w:right w:val="single" w:sz="6" w:space="0" w:color="231F20"/>
            </w:tcBorders>
          </w:tcPr>
          <w:p w14:paraId="334CE46A" w14:textId="77777777" w:rsidR="009948F1" w:rsidRDefault="00BC0563">
            <w:pPr>
              <w:pStyle w:val="TableParagraph"/>
              <w:spacing w:before="118"/>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27E37560" w14:textId="77777777" w:rsidR="009948F1" w:rsidRDefault="00BC0563">
            <w:pPr>
              <w:pStyle w:val="TableParagraph"/>
              <w:spacing w:before="118"/>
              <w:ind w:left="26"/>
              <w:rPr>
                <w:sz w:val="15"/>
              </w:rPr>
            </w:pPr>
            <w:r>
              <w:rPr>
                <w:color w:val="231F20"/>
                <w:w w:val="95"/>
                <w:sz w:val="15"/>
              </w:rPr>
              <w:t>Advocate for revival</w:t>
            </w:r>
          </w:p>
        </w:tc>
      </w:tr>
      <w:tr w:rsidR="009948F1" w14:paraId="7BE27EDD" w14:textId="77777777">
        <w:trPr>
          <w:trHeight w:val="679"/>
        </w:trPr>
        <w:tc>
          <w:tcPr>
            <w:tcW w:w="475" w:type="dxa"/>
            <w:vMerge/>
            <w:tcBorders>
              <w:top w:val="nil"/>
              <w:bottom w:val="single" w:sz="6" w:space="0" w:color="231F20"/>
              <w:right w:val="single" w:sz="6" w:space="0" w:color="231F20"/>
            </w:tcBorders>
          </w:tcPr>
          <w:p w14:paraId="0574AF1E"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686ECC57" w14:textId="77777777" w:rsidR="009948F1" w:rsidRDefault="009948F1">
            <w:pPr>
              <w:pStyle w:val="TableParagraph"/>
              <w:spacing w:before="2"/>
            </w:pPr>
          </w:p>
          <w:p w14:paraId="7DA21984" w14:textId="77777777" w:rsidR="009948F1" w:rsidRDefault="00BC0563">
            <w:pPr>
              <w:pStyle w:val="TableParagraph"/>
              <w:ind w:left="51" w:right="28"/>
              <w:jc w:val="center"/>
              <w:rPr>
                <w:sz w:val="15"/>
              </w:rPr>
            </w:pPr>
            <w:r>
              <w:rPr>
                <w:color w:val="231F20"/>
                <w:w w:val="90"/>
                <w:sz w:val="15"/>
              </w:rPr>
              <w:t>4.5.1.c</w:t>
            </w:r>
          </w:p>
        </w:tc>
        <w:tc>
          <w:tcPr>
            <w:tcW w:w="5183" w:type="dxa"/>
            <w:gridSpan w:val="2"/>
            <w:tcBorders>
              <w:top w:val="single" w:sz="6" w:space="0" w:color="231F20"/>
              <w:left w:val="single" w:sz="6" w:space="0" w:color="231F20"/>
              <w:bottom w:val="single" w:sz="6" w:space="0" w:color="231F20"/>
              <w:right w:val="single" w:sz="6" w:space="0" w:color="231F20"/>
            </w:tcBorders>
          </w:tcPr>
          <w:p w14:paraId="4EB9DD14" w14:textId="51BDA07D" w:rsidR="009948F1" w:rsidRDefault="00BC0563">
            <w:pPr>
              <w:pStyle w:val="TableParagraph"/>
              <w:spacing w:before="58" w:line="266" w:lineRule="auto"/>
              <w:ind w:left="27" w:right="355"/>
              <w:jc w:val="both"/>
              <w:rPr>
                <w:sz w:val="15"/>
              </w:rPr>
            </w:pPr>
            <w:r>
              <w:rPr>
                <w:color w:val="231F20"/>
                <w:w w:val="85"/>
                <w:sz w:val="15"/>
              </w:rPr>
              <w:t>Conduct</w:t>
            </w:r>
            <w:r>
              <w:rPr>
                <w:color w:val="231F20"/>
                <w:spacing w:val="-8"/>
                <w:w w:val="85"/>
                <w:sz w:val="15"/>
              </w:rPr>
              <w:t xml:space="preserve"> </w:t>
            </w:r>
            <w:r>
              <w:rPr>
                <w:color w:val="231F20"/>
                <w:w w:val="85"/>
                <w:sz w:val="15"/>
              </w:rPr>
              <w:t>advocacy</w:t>
            </w:r>
            <w:r>
              <w:rPr>
                <w:color w:val="231F20"/>
                <w:spacing w:val="-7"/>
                <w:w w:val="85"/>
                <w:sz w:val="15"/>
              </w:rPr>
              <w:t xml:space="preserve"> </w:t>
            </w:r>
            <w:r>
              <w:rPr>
                <w:color w:val="231F20"/>
                <w:w w:val="85"/>
                <w:sz w:val="15"/>
              </w:rPr>
              <w:t>visits</w:t>
            </w:r>
            <w:r>
              <w:rPr>
                <w:color w:val="231F20"/>
                <w:spacing w:val="-8"/>
                <w:w w:val="85"/>
                <w:sz w:val="15"/>
              </w:rPr>
              <w:t xml:space="preserve"> </w:t>
            </w:r>
            <w:r>
              <w:rPr>
                <w:color w:val="231F20"/>
                <w:w w:val="85"/>
                <w:sz w:val="15"/>
              </w:rPr>
              <w:t>to</w:t>
            </w:r>
            <w:r>
              <w:rPr>
                <w:color w:val="231F20"/>
                <w:spacing w:val="-7"/>
                <w:w w:val="85"/>
                <w:sz w:val="15"/>
              </w:rPr>
              <w:t xml:space="preserve"> </w:t>
            </w:r>
            <w:r>
              <w:rPr>
                <w:color w:val="231F20"/>
                <w:w w:val="85"/>
                <w:sz w:val="15"/>
              </w:rPr>
              <w:t>relevant</w:t>
            </w:r>
            <w:r>
              <w:rPr>
                <w:color w:val="231F20"/>
                <w:spacing w:val="-8"/>
                <w:w w:val="85"/>
                <w:sz w:val="15"/>
              </w:rPr>
              <w:t xml:space="preserve"> </w:t>
            </w:r>
            <w:r>
              <w:rPr>
                <w:color w:val="231F20"/>
                <w:w w:val="85"/>
                <w:sz w:val="15"/>
              </w:rPr>
              <w:t>stakeholders</w:t>
            </w:r>
            <w:r>
              <w:rPr>
                <w:color w:val="231F20"/>
                <w:spacing w:val="-7"/>
                <w:w w:val="85"/>
                <w:sz w:val="15"/>
              </w:rPr>
              <w:t xml:space="preserve"> </w:t>
            </w:r>
            <w:r w:rsidR="009B6708">
              <w:rPr>
                <w:color w:val="231F20"/>
                <w:w w:val="85"/>
                <w:sz w:val="15"/>
              </w:rPr>
              <w:t>e.g.</w:t>
            </w:r>
            <w:r>
              <w:rPr>
                <w:color w:val="231F20"/>
                <w:spacing w:val="-7"/>
                <w:w w:val="85"/>
                <w:sz w:val="15"/>
              </w:rPr>
              <w:t xml:space="preserve"> </w:t>
            </w:r>
            <w:r>
              <w:rPr>
                <w:color w:val="231F20"/>
                <w:w w:val="85"/>
                <w:sz w:val="15"/>
              </w:rPr>
              <w:t>SMOH,</w:t>
            </w:r>
            <w:r>
              <w:rPr>
                <w:color w:val="231F20"/>
                <w:spacing w:val="-8"/>
                <w:w w:val="85"/>
                <w:sz w:val="15"/>
              </w:rPr>
              <w:t xml:space="preserve"> </w:t>
            </w:r>
            <w:r>
              <w:rPr>
                <w:color w:val="231F20"/>
                <w:w w:val="85"/>
                <w:sz w:val="15"/>
              </w:rPr>
              <w:t>SMOE,</w:t>
            </w:r>
            <w:r>
              <w:rPr>
                <w:color w:val="231F20"/>
                <w:spacing w:val="-7"/>
                <w:w w:val="85"/>
                <w:sz w:val="15"/>
              </w:rPr>
              <w:t xml:space="preserve"> </w:t>
            </w:r>
            <w:r>
              <w:rPr>
                <w:color w:val="231F20"/>
                <w:w w:val="85"/>
                <w:sz w:val="15"/>
              </w:rPr>
              <w:t>PHCMB,</w:t>
            </w:r>
            <w:r>
              <w:rPr>
                <w:color w:val="231F20"/>
                <w:spacing w:val="-8"/>
                <w:w w:val="85"/>
                <w:sz w:val="15"/>
              </w:rPr>
              <w:t xml:space="preserve"> </w:t>
            </w:r>
            <w:r>
              <w:rPr>
                <w:color w:val="231F20"/>
                <w:w w:val="85"/>
                <w:sz w:val="15"/>
              </w:rPr>
              <w:t>Women Affairs,</w:t>
            </w:r>
            <w:r>
              <w:rPr>
                <w:color w:val="231F20"/>
                <w:spacing w:val="-10"/>
                <w:w w:val="85"/>
                <w:sz w:val="15"/>
              </w:rPr>
              <w:t xml:space="preserve"> </w:t>
            </w:r>
            <w:r>
              <w:rPr>
                <w:color w:val="231F20"/>
                <w:spacing w:val="-3"/>
                <w:w w:val="85"/>
                <w:sz w:val="15"/>
              </w:rPr>
              <w:t>Youth</w:t>
            </w:r>
            <w:r>
              <w:rPr>
                <w:color w:val="231F20"/>
                <w:spacing w:val="-6"/>
                <w:w w:val="85"/>
                <w:sz w:val="15"/>
              </w:rPr>
              <w:t xml:space="preserve"> </w:t>
            </w:r>
            <w:r>
              <w:rPr>
                <w:color w:val="231F20"/>
                <w:w w:val="85"/>
                <w:sz w:val="15"/>
              </w:rPr>
              <w:t>&amp;</w:t>
            </w:r>
            <w:r>
              <w:rPr>
                <w:color w:val="231F20"/>
                <w:spacing w:val="-7"/>
                <w:w w:val="85"/>
                <w:sz w:val="15"/>
              </w:rPr>
              <w:t xml:space="preserve"> </w:t>
            </w:r>
            <w:r>
              <w:rPr>
                <w:color w:val="231F20"/>
                <w:w w:val="85"/>
                <w:sz w:val="15"/>
              </w:rPr>
              <w:t>Empowerment,</w:t>
            </w:r>
            <w:r>
              <w:rPr>
                <w:color w:val="231F20"/>
                <w:spacing w:val="-6"/>
                <w:w w:val="85"/>
                <w:sz w:val="15"/>
              </w:rPr>
              <w:t xml:space="preserve"> </w:t>
            </w:r>
            <w:r>
              <w:rPr>
                <w:color w:val="231F20"/>
                <w:w w:val="85"/>
                <w:sz w:val="15"/>
              </w:rPr>
              <w:t>Sports,</w:t>
            </w:r>
            <w:r>
              <w:rPr>
                <w:color w:val="231F20"/>
                <w:spacing w:val="-7"/>
                <w:w w:val="85"/>
                <w:sz w:val="15"/>
              </w:rPr>
              <w:t xml:space="preserve"> </w:t>
            </w:r>
            <w:r>
              <w:rPr>
                <w:color w:val="231F20"/>
                <w:w w:val="85"/>
                <w:sz w:val="15"/>
              </w:rPr>
              <w:t>NDLEA,</w:t>
            </w:r>
            <w:r>
              <w:rPr>
                <w:color w:val="231F20"/>
                <w:spacing w:val="-6"/>
                <w:w w:val="85"/>
                <w:sz w:val="15"/>
              </w:rPr>
              <w:t xml:space="preserve"> </w:t>
            </w:r>
            <w:r>
              <w:rPr>
                <w:color w:val="231F20"/>
                <w:w w:val="85"/>
                <w:sz w:val="15"/>
              </w:rPr>
              <w:t>FRSC</w:t>
            </w:r>
            <w:r>
              <w:rPr>
                <w:color w:val="231F20"/>
                <w:spacing w:val="-7"/>
                <w:w w:val="85"/>
                <w:sz w:val="15"/>
              </w:rPr>
              <w:t xml:space="preserve"> </w:t>
            </w:r>
            <w:r w:rsidR="009B6708">
              <w:rPr>
                <w:color w:val="231F20"/>
                <w:w w:val="85"/>
                <w:sz w:val="15"/>
              </w:rPr>
              <w:t>etc.</w:t>
            </w:r>
            <w:r>
              <w:rPr>
                <w:color w:val="231F20"/>
                <w:spacing w:val="-6"/>
                <w:w w:val="85"/>
                <w:sz w:val="15"/>
              </w:rPr>
              <w:t xml:space="preserve"> </w:t>
            </w:r>
            <w:r>
              <w:rPr>
                <w:color w:val="231F20"/>
                <w:w w:val="85"/>
                <w:sz w:val="15"/>
              </w:rPr>
              <w:t>to</w:t>
            </w:r>
            <w:r>
              <w:rPr>
                <w:color w:val="231F20"/>
                <w:spacing w:val="-7"/>
                <w:w w:val="85"/>
                <w:sz w:val="15"/>
              </w:rPr>
              <w:t xml:space="preserve"> </w:t>
            </w:r>
            <w:r>
              <w:rPr>
                <w:color w:val="231F20"/>
                <w:w w:val="85"/>
                <w:sz w:val="15"/>
              </w:rPr>
              <w:t>mobilize</w:t>
            </w:r>
            <w:r>
              <w:rPr>
                <w:color w:val="231F20"/>
                <w:spacing w:val="-7"/>
                <w:w w:val="85"/>
                <w:sz w:val="15"/>
              </w:rPr>
              <w:t xml:space="preserve"> </w:t>
            </w:r>
            <w:r>
              <w:rPr>
                <w:color w:val="231F20"/>
                <w:w w:val="85"/>
                <w:sz w:val="15"/>
              </w:rPr>
              <w:t>them</w:t>
            </w:r>
            <w:r>
              <w:rPr>
                <w:color w:val="231F20"/>
                <w:spacing w:val="-6"/>
                <w:w w:val="85"/>
                <w:sz w:val="15"/>
              </w:rPr>
              <w:t xml:space="preserve"> </w:t>
            </w:r>
            <w:r>
              <w:rPr>
                <w:color w:val="231F20"/>
                <w:w w:val="85"/>
                <w:sz w:val="15"/>
              </w:rPr>
              <w:t>to</w:t>
            </w:r>
            <w:r>
              <w:rPr>
                <w:color w:val="231F20"/>
                <w:spacing w:val="-7"/>
                <w:w w:val="85"/>
                <w:sz w:val="15"/>
              </w:rPr>
              <w:t xml:space="preserve"> </w:t>
            </w:r>
            <w:r>
              <w:rPr>
                <w:color w:val="231F20"/>
                <w:w w:val="85"/>
                <w:sz w:val="15"/>
              </w:rPr>
              <w:t xml:space="preserve">support </w:t>
            </w:r>
            <w:r>
              <w:rPr>
                <w:color w:val="231F20"/>
                <w:w w:val="95"/>
                <w:sz w:val="15"/>
              </w:rPr>
              <w:t>promotion</w:t>
            </w:r>
            <w:r>
              <w:rPr>
                <w:color w:val="231F20"/>
                <w:spacing w:val="-15"/>
                <w:w w:val="95"/>
                <w:sz w:val="15"/>
              </w:rPr>
              <w:t xml:space="preserve"> </w:t>
            </w:r>
            <w:r>
              <w:rPr>
                <w:color w:val="231F20"/>
                <w:w w:val="95"/>
                <w:sz w:val="15"/>
              </w:rPr>
              <w:t>of</w:t>
            </w:r>
            <w:r>
              <w:rPr>
                <w:color w:val="231F20"/>
                <w:spacing w:val="-14"/>
                <w:w w:val="95"/>
                <w:sz w:val="15"/>
              </w:rPr>
              <w:t xml:space="preserve"> </w:t>
            </w:r>
            <w:r>
              <w:rPr>
                <w:color w:val="231F20"/>
                <w:w w:val="95"/>
                <w:sz w:val="15"/>
              </w:rPr>
              <w:t>positive</w:t>
            </w:r>
            <w:r>
              <w:rPr>
                <w:color w:val="231F20"/>
                <w:spacing w:val="-15"/>
                <w:w w:val="95"/>
                <w:sz w:val="15"/>
              </w:rPr>
              <w:t xml:space="preserve"> </w:t>
            </w:r>
            <w:r>
              <w:rPr>
                <w:color w:val="231F20"/>
                <w:w w:val="95"/>
                <w:sz w:val="15"/>
              </w:rPr>
              <w:t>adolescent</w:t>
            </w:r>
            <w:r>
              <w:rPr>
                <w:color w:val="231F20"/>
                <w:spacing w:val="-14"/>
                <w:w w:val="95"/>
                <w:sz w:val="15"/>
              </w:rPr>
              <w:t xml:space="preserve"> </w:t>
            </w:r>
            <w:proofErr w:type="spellStart"/>
            <w:r>
              <w:rPr>
                <w:color w:val="231F20"/>
                <w:w w:val="95"/>
                <w:sz w:val="15"/>
              </w:rPr>
              <w:t>behaviour</w:t>
            </w:r>
            <w:proofErr w:type="spellEnd"/>
            <w:r>
              <w:rPr>
                <w:color w:val="231F20"/>
                <w:spacing w:val="-14"/>
                <w:w w:val="95"/>
                <w:sz w:val="15"/>
              </w:rPr>
              <w:t xml:space="preserve"> </w:t>
            </w:r>
            <w:r>
              <w:rPr>
                <w:color w:val="231F20"/>
                <w:w w:val="95"/>
                <w:sz w:val="15"/>
              </w:rPr>
              <w:t>change</w:t>
            </w:r>
            <w:r>
              <w:rPr>
                <w:color w:val="231F20"/>
                <w:spacing w:val="-15"/>
                <w:w w:val="95"/>
                <w:sz w:val="15"/>
              </w:rPr>
              <w:t xml:space="preserve"> </w:t>
            </w:r>
            <w:r>
              <w:rPr>
                <w:color w:val="231F20"/>
                <w:w w:val="95"/>
                <w:sz w:val="15"/>
              </w:rPr>
              <w:t>in</w:t>
            </w:r>
            <w:r>
              <w:rPr>
                <w:color w:val="231F20"/>
                <w:spacing w:val="-14"/>
                <w:w w:val="95"/>
                <w:sz w:val="15"/>
              </w:rPr>
              <w:t xml:space="preserve"> </w:t>
            </w:r>
            <w:r>
              <w:rPr>
                <w:color w:val="231F20"/>
                <w:w w:val="95"/>
                <w:sz w:val="15"/>
              </w:rPr>
              <w:t>Schools</w:t>
            </w:r>
          </w:p>
        </w:tc>
        <w:tc>
          <w:tcPr>
            <w:tcW w:w="1512" w:type="dxa"/>
            <w:tcBorders>
              <w:top w:val="single" w:sz="6" w:space="0" w:color="231F20"/>
              <w:left w:val="single" w:sz="6" w:space="0" w:color="231F20"/>
              <w:bottom w:val="single" w:sz="6" w:space="0" w:color="231F20"/>
              <w:right w:val="single" w:sz="6" w:space="0" w:color="231F20"/>
            </w:tcBorders>
          </w:tcPr>
          <w:p w14:paraId="4B63397B" w14:textId="77777777" w:rsidR="009948F1" w:rsidRDefault="009948F1">
            <w:pPr>
              <w:pStyle w:val="TableParagraph"/>
              <w:spacing w:before="2"/>
            </w:pPr>
          </w:p>
          <w:p w14:paraId="38A10F22"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15CE50F6" w14:textId="77777777" w:rsidR="009948F1" w:rsidRDefault="009948F1">
            <w:pPr>
              <w:pStyle w:val="TableParagraph"/>
              <w:spacing w:before="2"/>
            </w:pPr>
          </w:p>
          <w:p w14:paraId="2704BD64" w14:textId="77777777" w:rsidR="009948F1" w:rsidRDefault="00BC0563">
            <w:pPr>
              <w:pStyle w:val="TableParagraph"/>
              <w:ind w:left="26"/>
              <w:rPr>
                <w:sz w:val="15"/>
              </w:rPr>
            </w:pPr>
            <w:r>
              <w:rPr>
                <w:color w:val="231F20"/>
                <w:w w:val="95"/>
                <w:sz w:val="15"/>
              </w:rPr>
              <w:t>Conduct advocacy visits</w:t>
            </w:r>
          </w:p>
        </w:tc>
      </w:tr>
      <w:tr w:rsidR="009948F1" w14:paraId="4619EF07" w14:textId="77777777">
        <w:trPr>
          <w:trHeight w:val="491"/>
        </w:trPr>
        <w:tc>
          <w:tcPr>
            <w:tcW w:w="475" w:type="dxa"/>
            <w:vMerge/>
            <w:tcBorders>
              <w:top w:val="nil"/>
              <w:bottom w:val="single" w:sz="6" w:space="0" w:color="231F20"/>
              <w:right w:val="single" w:sz="6" w:space="0" w:color="231F20"/>
            </w:tcBorders>
          </w:tcPr>
          <w:p w14:paraId="3B29E6D0"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51887D39" w14:textId="77777777" w:rsidR="009948F1" w:rsidRDefault="009948F1">
            <w:pPr>
              <w:pStyle w:val="TableParagraph"/>
              <w:spacing w:before="11"/>
              <w:rPr>
                <w:sz w:val="13"/>
              </w:rPr>
            </w:pPr>
          </w:p>
          <w:p w14:paraId="7C38CE5E" w14:textId="77777777" w:rsidR="009948F1" w:rsidRDefault="00BC0563">
            <w:pPr>
              <w:pStyle w:val="TableParagraph"/>
              <w:ind w:left="51" w:right="28"/>
              <w:jc w:val="center"/>
              <w:rPr>
                <w:sz w:val="15"/>
              </w:rPr>
            </w:pPr>
            <w:r>
              <w:rPr>
                <w:color w:val="231F20"/>
                <w:w w:val="90"/>
                <w:sz w:val="15"/>
              </w:rPr>
              <w:t>4.5.1.d</w:t>
            </w:r>
          </w:p>
        </w:tc>
        <w:tc>
          <w:tcPr>
            <w:tcW w:w="5183" w:type="dxa"/>
            <w:gridSpan w:val="2"/>
            <w:tcBorders>
              <w:top w:val="single" w:sz="6" w:space="0" w:color="231F20"/>
              <w:left w:val="single" w:sz="6" w:space="0" w:color="231F20"/>
              <w:bottom w:val="single" w:sz="6" w:space="0" w:color="231F20"/>
              <w:right w:val="single" w:sz="6" w:space="0" w:color="231F20"/>
            </w:tcBorders>
          </w:tcPr>
          <w:p w14:paraId="2A51E41C" w14:textId="77777777" w:rsidR="009948F1" w:rsidRDefault="009948F1">
            <w:pPr>
              <w:pStyle w:val="TableParagraph"/>
              <w:spacing w:before="4"/>
              <w:rPr>
                <w:sz w:val="13"/>
              </w:rPr>
            </w:pPr>
          </w:p>
          <w:p w14:paraId="22A8D8AC" w14:textId="77777777" w:rsidR="009948F1" w:rsidRDefault="00BC0563">
            <w:pPr>
              <w:pStyle w:val="TableParagraph"/>
              <w:spacing w:before="1"/>
              <w:ind w:left="27"/>
              <w:rPr>
                <w:sz w:val="15"/>
              </w:rPr>
            </w:pPr>
            <w:r>
              <w:rPr>
                <w:color w:val="231F20"/>
                <w:w w:val="85"/>
                <w:sz w:val="15"/>
              </w:rPr>
              <w:t xml:space="preserve">Conduct sensitization/advocacy visits to schools on positive adolescent </w:t>
            </w:r>
            <w:proofErr w:type="spellStart"/>
            <w:r>
              <w:rPr>
                <w:color w:val="231F20"/>
                <w:w w:val="85"/>
                <w:sz w:val="15"/>
              </w:rPr>
              <w:t>behaviour</w:t>
            </w:r>
            <w:proofErr w:type="spellEnd"/>
            <w:r>
              <w:rPr>
                <w:color w:val="231F20"/>
                <w:w w:val="85"/>
                <w:sz w:val="15"/>
              </w:rPr>
              <w:t xml:space="preserve"> change</w:t>
            </w:r>
          </w:p>
        </w:tc>
        <w:tc>
          <w:tcPr>
            <w:tcW w:w="1512" w:type="dxa"/>
            <w:tcBorders>
              <w:top w:val="single" w:sz="6" w:space="0" w:color="231F20"/>
              <w:left w:val="single" w:sz="6" w:space="0" w:color="231F20"/>
              <w:bottom w:val="single" w:sz="6" w:space="0" w:color="231F20"/>
              <w:right w:val="single" w:sz="6" w:space="0" w:color="231F20"/>
            </w:tcBorders>
          </w:tcPr>
          <w:p w14:paraId="428CF170" w14:textId="77777777" w:rsidR="009948F1" w:rsidRDefault="009948F1">
            <w:pPr>
              <w:pStyle w:val="TableParagraph"/>
              <w:spacing w:before="11"/>
              <w:rPr>
                <w:sz w:val="13"/>
              </w:rPr>
            </w:pPr>
          </w:p>
          <w:p w14:paraId="34171CF2"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75BE3FC9" w14:textId="77777777" w:rsidR="009948F1" w:rsidRDefault="00BC0563">
            <w:pPr>
              <w:pStyle w:val="TableParagraph"/>
              <w:spacing w:before="3" w:line="167" w:lineRule="exact"/>
              <w:ind w:left="26"/>
              <w:rPr>
                <w:sz w:val="15"/>
              </w:rPr>
            </w:pPr>
            <w:r>
              <w:rPr>
                <w:color w:val="231F20"/>
                <w:w w:val="95"/>
                <w:sz w:val="15"/>
              </w:rPr>
              <w:t>Conduct</w:t>
            </w:r>
          </w:p>
          <w:p w14:paraId="1EA1F3FD" w14:textId="77777777" w:rsidR="009948F1" w:rsidRDefault="00BC0563">
            <w:pPr>
              <w:pStyle w:val="TableParagraph"/>
              <w:spacing w:before="12" w:line="154" w:lineRule="exact"/>
              <w:ind w:left="26" w:right="169"/>
              <w:rPr>
                <w:sz w:val="15"/>
              </w:rPr>
            </w:pPr>
            <w:r>
              <w:rPr>
                <w:color w:val="231F20"/>
                <w:w w:val="80"/>
                <w:sz w:val="15"/>
              </w:rPr>
              <w:t xml:space="preserve">sensitization/advocacy </w:t>
            </w:r>
            <w:r>
              <w:rPr>
                <w:color w:val="231F20"/>
                <w:w w:val="95"/>
                <w:sz w:val="15"/>
              </w:rPr>
              <w:t>visits</w:t>
            </w:r>
          </w:p>
        </w:tc>
      </w:tr>
      <w:tr w:rsidR="009948F1" w14:paraId="1BDDAFFE" w14:textId="77777777">
        <w:trPr>
          <w:trHeight w:val="472"/>
        </w:trPr>
        <w:tc>
          <w:tcPr>
            <w:tcW w:w="475" w:type="dxa"/>
            <w:vMerge/>
            <w:tcBorders>
              <w:top w:val="nil"/>
              <w:bottom w:val="single" w:sz="6" w:space="0" w:color="231F20"/>
              <w:right w:val="single" w:sz="6" w:space="0" w:color="231F20"/>
            </w:tcBorders>
          </w:tcPr>
          <w:p w14:paraId="6BF3A945" w14:textId="77777777" w:rsidR="009948F1" w:rsidRDefault="009948F1">
            <w:pPr>
              <w:rPr>
                <w:sz w:val="2"/>
                <w:szCs w:val="2"/>
              </w:rPr>
            </w:pPr>
          </w:p>
        </w:tc>
        <w:tc>
          <w:tcPr>
            <w:tcW w:w="557" w:type="dxa"/>
            <w:tcBorders>
              <w:top w:val="single" w:sz="6" w:space="0" w:color="231F20"/>
              <w:left w:val="single" w:sz="6" w:space="0" w:color="231F20"/>
              <w:bottom w:val="single" w:sz="6" w:space="0" w:color="231F20"/>
              <w:right w:val="single" w:sz="6" w:space="0" w:color="231F20"/>
            </w:tcBorders>
          </w:tcPr>
          <w:p w14:paraId="7DB1B213" w14:textId="77777777" w:rsidR="009948F1" w:rsidRDefault="009948F1">
            <w:pPr>
              <w:pStyle w:val="TableParagraph"/>
              <w:spacing w:before="1"/>
              <w:rPr>
                <w:sz w:val="13"/>
              </w:rPr>
            </w:pPr>
          </w:p>
          <w:p w14:paraId="25098667" w14:textId="77777777" w:rsidR="009948F1" w:rsidRDefault="00BC0563">
            <w:pPr>
              <w:pStyle w:val="TableParagraph"/>
              <w:ind w:left="51" w:right="28"/>
              <w:jc w:val="center"/>
              <w:rPr>
                <w:sz w:val="15"/>
              </w:rPr>
            </w:pPr>
            <w:r>
              <w:rPr>
                <w:color w:val="231F20"/>
                <w:w w:val="90"/>
                <w:sz w:val="15"/>
              </w:rPr>
              <w:t>4.5.1.e</w:t>
            </w:r>
          </w:p>
        </w:tc>
        <w:tc>
          <w:tcPr>
            <w:tcW w:w="5183" w:type="dxa"/>
            <w:gridSpan w:val="2"/>
            <w:tcBorders>
              <w:top w:val="single" w:sz="6" w:space="0" w:color="231F20"/>
              <w:left w:val="single" w:sz="6" w:space="0" w:color="231F20"/>
              <w:bottom w:val="single" w:sz="6" w:space="0" w:color="231F20"/>
              <w:right w:val="single" w:sz="6" w:space="0" w:color="231F20"/>
            </w:tcBorders>
          </w:tcPr>
          <w:p w14:paraId="7975EEDD" w14:textId="77777777" w:rsidR="009948F1" w:rsidRDefault="009948F1">
            <w:pPr>
              <w:pStyle w:val="TableParagraph"/>
              <w:spacing w:before="7"/>
              <w:rPr>
                <w:sz w:val="12"/>
              </w:rPr>
            </w:pPr>
          </w:p>
          <w:p w14:paraId="3C597F22" w14:textId="77777777" w:rsidR="009948F1" w:rsidRDefault="00BC0563">
            <w:pPr>
              <w:pStyle w:val="TableParagraph"/>
              <w:ind w:left="27"/>
              <w:rPr>
                <w:sz w:val="15"/>
              </w:rPr>
            </w:pPr>
            <w:r>
              <w:rPr>
                <w:color w:val="231F20"/>
                <w:w w:val="85"/>
                <w:sz w:val="15"/>
              </w:rPr>
              <w:t>Engage</w:t>
            </w:r>
            <w:r>
              <w:rPr>
                <w:color w:val="231F20"/>
                <w:spacing w:val="-8"/>
                <w:w w:val="85"/>
                <w:sz w:val="15"/>
              </w:rPr>
              <w:t xml:space="preserve"> </w:t>
            </w:r>
            <w:r>
              <w:rPr>
                <w:color w:val="231F20"/>
                <w:w w:val="85"/>
                <w:sz w:val="15"/>
              </w:rPr>
              <w:t>media</w:t>
            </w:r>
            <w:r>
              <w:rPr>
                <w:color w:val="231F20"/>
                <w:spacing w:val="-8"/>
                <w:w w:val="85"/>
                <w:sz w:val="15"/>
              </w:rPr>
              <w:t xml:space="preserve"> </w:t>
            </w:r>
            <w:r>
              <w:rPr>
                <w:color w:val="231F20"/>
                <w:w w:val="85"/>
                <w:sz w:val="15"/>
              </w:rPr>
              <w:t>advocacy</w:t>
            </w:r>
            <w:r>
              <w:rPr>
                <w:color w:val="231F20"/>
                <w:spacing w:val="-7"/>
                <w:w w:val="85"/>
                <w:sz w:val="15"/>
              </w:rPr>
              <w:t xml:space="preserve"> </w:t>
            </w:r>
            <w:r>
              <w:rPr>
                <w:color w:val="231F20"/>
                <w:w w:val="85"/>
                <w:sz w:val="15"/>
              </w:rPr>
              <w:t>and</w:t>
            </w:r>
            <w:r>
              <w:rPr>
                <w:color w:val="231F20"/>
                <w:spacing w:val="-8"/>
                <w:w w:val="85"/>
                <w:sz w:val="15"/>
              </w:rPr>
              <w:t xml:space="preserve"> </w:t>
            </w:r>
            <w:r>
              <w:rPr>
                <w:color w:val="231F20"/>
                <w:w w:val="85"/>
                <w:sz w:val="15"/>
              </w:rPr>
              <w:t>sensitization</w:t>
            </w:r>
            <w:r>
              <w:rPr>
                <w:color w:val="231F20"/>
                <w:spacing w:val="-8"/>
                <w:w w:val="85"/>
                <w:sz w:val="15"/>
              </w:rPr>
              <w:t xml:space="preserve"> </w:t>
            </w:r>
            <w:r>
              <w:rPr>
                <w:color w:val="231F20"/>
                <w:w w:val="85"/>
                <w:sz w:val="15"/>
              </w:rPr>
              <w:t>to</w:t>
            </w:r>
            <w:r>
              <w:rPr>
                <w:color w:val="231F20"/>
                <w:spacing w:val="-7"/>
                <w:w w:val="85"/>
                <w:sz w:val="15"/>
              </w:rPr>
              <w:t xml:space="preserve"> </w:t>
            </w:r>
            <w:r>
              <w:rPr>
                <w:color w:val="231F20"/>
                <w:w w:val="85"/>
                <w:sz w:val="15"/>
              </w:rPr>
              <w:t>promote</w:t>
            </w:r>
            <w:r>
              <w:rPr>
                <w:color w:val="231F20"/>
                <w:spacing w:val="-8"/>
                <w:w w:val="85"/>
                <w:sz w:val="15"/>
              </w:rPr>
              <w:t xml:space="preserve"> </w:t>
            </w:r>
            <w:r>
              <w:rPr>
                <w:color w:val="231F20"/>
                <w:w w:val="85"/>
                <w:sz w:val="15"/>
              </w:rPr>
              <w:t>positive</w:t>
            </w:r>
            <w:r>
              <w:rPr>
                <w:color w:val="231F20"/>
                <w:spacing w:val="-7"/>
                <w:w w:val="85"/>
                <w:sz w:val="15"/>
              </w:rPr>
              <w:t xml:space="preserve"> </w:t>
            </w:r>
            <w:r>
              <w:rPr>
                <w:color w:val="231F20"/>
                <w:w w:val="85"/>
                <w:sz w:val="15"/>
              </w:rPr>
              <w:t>adolescent</w:t>
            </w:r>
            <w:r>
              <w:rPr>
                <w:color w:val="231F20"/>
                <w:spacing w:val="-8"/>
                <w:w w:val="85"/>
                <w:sz w:val="15"/>
              </w:rPr>
              <w:t xml:space="preserve"> </w:t>
            </w:r>
            <w:proofErr w:type="spellStart"/>
            <w:r>
              <w:rPr>
                <w:color w:val="231F20"/>
                <w:w w:val="85"/>
                <w:sz w:val="15"/>
              </w:rPr>
              <w:t>behaviour</w:t>
            </w:r>
            <w:proofErr w:type="spellEnd"/>
            <w:r>
              <w:rPr>
                <w:color w:val="231F20"/>
                <w:spacing w:val="-8"/>
                <w:w w:val="85"/>
                <w:sz w:val="15"/>
              </w:rPr>
              <w:t xml:space="preserve"> </w:t>
            </w:r>
            <w:r>
              <w:rPr>
                <w:color w:val="231F20"/>
                <w:w w:val="85"/>
                <w:sz w:val="15"/>
              </w:rPr>
              <w:t>change</w:t>
            </w:r>
          </w:p>
        </w:tc>
        <w:tc>
          <w:tcPr>
            <w:tcW w:w="1512" w:type="dxa"/>
            <w:tcBorders>
              <w:top w:val="single" w:sz="6" w:space="0" w:color="231F20"/>
              <w:left w:val="single" w:sz="6" w:space="0" w:color="231F20"/>
              <w:bottom w:val="single" w:sz="6" w:space="0" w:color="231F20"/>
              <w:right w:val="single" w:sz="6" w:space="0" w:color="231F20"/>
            </w:tcBorders>
          </w:tcPr>
          <w:p w14:paraId="506F1617" w14:textId="77777777" w:rsidR="009948F1" w:rsidRDefault="009948F1">
            <w:pPr>
              <w:pStyle w:val="TableParagraph"/>
              <w:spacing w:before="1"/>
              <w:rPr>
                <w:sz w:val="13"/>
              </w:rPr>
            </w:pPr>
          </w:p>
          <w:p w14:paraId="50AF48EC" w14:textId="77777777" w:rsidR="009948F1" w:rsidRDefault="00BC0563">
            <w:pPr>
              <w:pStyle w:val="TableParagraph"/>
              <w:ind w:left="27"/>
              <w:rPr>
                <w:sz w:val="15"/>
              </w:rPr>
            </w:pPr>
            <w:r>
              <w:rPr>
                <w:color w:val="231F20"/>
                <w:w w:val="95"/>
                <w:sz w:val="15"/>
              </w:rPr>
              <w:t>Lack of funds</w:t>
            </w:r>
          </w:p>
        </w:tc>
        <w:tc>
          <w:tcPr>
            <w:tcW w:w="1593" w:type="dxa"/>
            <w:tcBorders>
              <w:top w:val="single" w:sz="6" w:space="0" w:color="231F20"/>
              <w:left w:val="single" w:sz="6" w:space="0" w:color="231F20"/>
              <w:bottom w:val="single" w:sz="6" w:space="0" w:color="231F20"/>
            </w:tcBorders>
          </w:tcPr>
          <w:p w14:paraId="6F8D5408" w14:textId="77777777" w:rsidR="009948F1" w:rsidRDefault="00BC0563">
            <w:pPr>
              <w:pStyle w:val="TableParagraph"/>
              <w:spacing w:before="56" w:line="266" w:lineRule="auto"/>
              <w:ind w:left="26"/>
              <w:rPr>
                <w:sz w:val="15"/>
              </w:rPr>
            </w:pPr>
            <w:r>
              <w:rPr>
                <w:color w:val="231F20"/>
                <w:w w:val="85"/>
                <w:sz w:val="15"/>
              </w:rPr>
              <w:t xml:space="preserve">Engage media advocacy </w:t>
            </w:r>
            <w:r>
              <w:rPr>
                <w:color w:val="231F20"/>
                <w:w w:val="95"/>
                <w:sz w:val="15"/>
              </w:rPr>
              <w:t>and sensitization</w:t>
            </w:r>
          </w:p>
        </w:tc>
      </w:tr>
    </w:tbl>
    <w:p w14:paraId="22B56B22" w14:textId="77777777" w:rsidR="009948F1" w:rsidRDefault="009948F1">
      <w:pPr>
        <w:spacing w:line="266" w:lineRule="auto"/>
        <w:rPr>
          <w:sz w:val="15"/>
        </w:rPr>
        <w:sectPr w:rsidR="009948F1">
          <w:pgSz w:w="11910" w:h="16840"/>
          <w:pgMar w:top="1280" w:right="1080" w:bottom="1340" w:left="1120" w:header="0" w:footer="1155" w:gutter="0"/>
          <w:cols w:space="720"/>
        </w:sectPr>
      </w:pPr>
    </w:p>
    <w:tbl>
      <w:tblPr>
        <w:tblW w:w="0" w:type="auto"/>
        <w:tblInd w:w="20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3"/>
        <w:gridCol w:w="554"/>
        <w:gridCol w:w="2646"/>
        <w:gridCol w:w="2512"/>
        <w:gridCol w:w="1504"/>
        <w:gridCol w:w="1584"/>
      </w:tblGrid>
      <w:tr w:rsidR="009948F1" w14:paraId="1072D7AA" w14:textId="77777777">
        <w:trPr>
          <w:trHeight w:val="1445"/>
        </w:trPr>
        <w:tc>
          <w:tcPr>
            <w:tcW w:w="483" w:type="dxa"/>
            <w:tcBorders>
              <w:left w:val="single" w:sz="12" w:space="0" w:color="231F20"/>
            </w:tcBorders>
            <w:shd w:val="clear" w:color="auto" w:fill="CCE7D3"/>
          </w:tcPr>
          <w:p w14:paraId="24DBB23F" w14:textId="77777777" w:rsidR="009948F1" w:rsidRDefault="009948F1">
            <w:pPr>
              <w:pStyle w:val="TableParagraph"/>
              <w:rPr>
                <w:sz w:val="12"/>
              </w:rPr>
            </w:pPr>
          </w:p>
          <w:p w14:paraId="1B51EBE3" w14:textId="77777777" w:rsidR="009948F1" w:rsidRDefault="009948F1">
            <w:pPr>
              <w:pStyle w:val="TableParagraph"/>
              <w:rPr>
                <w:sz w:val="12"/>
              </w:rPr>
            </w:pPr>
          </w:p>
          <w:p w14:paraId="30D32481" w14:textId="77777777" w:rsidR="009948F1" w:rsidRDefault="009948F1">
            <w:pPr>
              <w:pStyle w:val="TableParagraph"/>
              <w:rPr>
                <w:sz w:val="12"/>
              </w:rPr>
            </w:pPr>
          </w:p>
          <w:p w14:paraId="2F2C35D1" w14:textId="77777777" w:rsidR="009948F1" w:rsidRDefault="009948F1">
            <w:pPr>
              <w:pStyle w:val="TableParagraph"/>
              <w:rPr>
                <w:sz w:val="12"/>
              </w:rPr>
            </w:pPr>
          </w:p>
          <w:p w14:paraId="4E195B4E" w14:textId="77777777" w:rsidR="009948F1" w:rsidRDefault="00BC0563">
            <w:pPr>
              <w:pStyle w:val="TableParagraph"/>
              <w:spacing w:before="103"/>
              <w:ind w:left="37" w:right="102"/>
              <w:jc w:val="center"/>
              <w:rPr>
                <w:sz w:val="12"/>
              </w:rPr>
            </w:pPr>
            <w:bookmarkStart w:id="160" w:name="Page_134"/>
            <w:bookmarkEnd w:id="160"/>
            <w:r>
              <w:rPr>
                <w:color w:val="231F20"/>
                <w:w w:val="105"/>
                <w:sz w:val="12"/>
              </w:rPr>
              <w:t>4.5.2</w:t>
            </w:r>
          </w:p>
        </w:tc>
        <w:tc>
          <w:tcPr>
            <w:tcW w:w="3200" w:type="dxa"/>
            <w:gridSpan w:val="2"/>
            <w:shd w:val="clear" w:color="auto" w:fill="CCE7D3"/>
          </w:tcPr>
          <w:p w14:paraId="3DD0AB02" w14:textId="77777777" w:rsidR="009948F1" w:rsidRDefault="009948F1">
            <w:pPr>
              <w:pStyle w:val="TableParagraph"/>
              <w:rPr>
                <w:sz w:val="12"/>
              </w:rPr>
            </w:pPr>
          </w:p>
          <w:p w14:paraId="093D463E" w14:textId="77777777" w:rsidR="009948F1" w:rsidRDefault="009948F1">
            <w:pPr>
              <w:pStyle w:val="TableParagraph"/>
              <w:rPr>
                <w:sz w:val="12"/>
              </w:rPr>
            </w:pPr>
          </w:p>
          <w:p w14:paraId="0EBC7C30" w14:textId="77777777" w:rsidR="009948F1" w:rsidRDefault="009948F1">
            <w:pPr>
              <w:pStyle w:val="TableParagraph"/>
              <w:rPr>
                <w:sz w:val="12"/>
              </w:rPr>
            </w:pPr>
          </w:p>
          <w:p w14:paraId="6FF4F1BC" w14:textId="77777777" w:rsidR="009948F1" w:rsidRDefault="009948F1">
            <w:pPr>
              <w:pStyle w:val="TableParagraph"/>
              <w:spacing w:before="9"/>
              <w:rPr>
                <w:sz w:val="13"/>
              </w:rPr>
            </w:pPr>
          </w:p>
          <w:p w14:paraId="22EAB142" w14:textId="77777777" w:rsidR="009948F1" w:rsidRDefault="00BC0563">
            <w:pPr>
              <w:pStyle w:val="TableParagraph"/>
              <w:spacing w:line="266" w:lineRule="auto"/>
              <w:ind w:left="88" w:right="7"/>
              <w:rPr>
                <w:sz w:val="12"/>
              </w:rPr>
            </w:pPr>
            <w:r>
              <w:rPr>
                <w:color w:val="231F20"/>
                <w:w w:val="105"/>
                <w:sz w:val="12"/>
              </w:rPr>
              <w:t>Expand access to quality adolescent reproductive health services</w:t>
            </w:r>
          </w:p>
        </w:tc>
        <w:tc>
          <w:tcPr>
            <w:tcW w:w="2512" w:type="dxa"/>
            <w:shd w:val="clear" w:color="auto" w:fill="CCE7D3"/>
          </w:tcPr>
          <w:p w14:paraId="209F037A" w14:textId="77777777" w:rsidR="009948F1" w:rsidRDefault="00BC0563">
            <w:pPr>
              <w:pStyle w:val="TableParagraph"/>
              <w:numPr>
                <w:ilvl w:val="0"/>
                <w:numId w:val="183"/>
              </w:numPr>
              <w:tabs>
                <w:tab w:val="left" w:pos="106"/>
              </w:tabs>
              <w:spacing w:before="43" w:line="266" w:lineRule="auto"/>
              <w:ind w:right="54" w:firstLine="0"/>
              <w:rPr>
                <w:sz w:val="12"/>
              </w:rPr>
            </w:pPr>
            <w:r>
              <w:rPr>
                <w:color w:val="231F20"/>
                <w:w w:val="105"/>
                <w:sz w:val="12"/>
              </w:rPr>
              <w:t>Comprehensive sexual and reproductive health</w:t>
            </w:r>
            <w:r>
              <w:rPr>
                <w:color w:val="231F20"/>
                <w:spacing w:val="-8"/>
                <w:w w:val="105"/>
                <w:sz w:val="12"/>
              </w:rPr>
              <w:t xml:space="preserve"> </w:t>
            </w:r>
            <w:r>
              <w:rPr>
                <w:color w:val="231F20"/>
                <w:w w:val="105"/>
                <w:sz w:val="12"/>
              </w:rPr>
              <w:t>education</w:t>
            </w:r>
            <w:r>
              <w:rPr>
                <w:color w:val="231F20"/>
                <w:spacing w:val="-8"/>
                <w:w w:val="105"/>
                <w:sz w:val="12"/>
              </w:rPr>
              <w:t xml:space="preserve"> </w:t>
            </w:r>
            <w:r>
              <w:rPr>
                <w:color w:val="231F20"/>
                <w:w w:val="105"/>
                <w:sz w:val="12"/>
              </w:rPr>
              <w:t>for</w:t>
            </w:r>
            <w:r>
              <w:rPr>
                <w:color w:val="231F20"/>
                <w:spacing w:val="-7"/>
                <w:w w:val="105"/>
                <w:sz w:val="12"/>
              </w:rPr>
              <w:t xml:space="preserve"> </w:t>
            </w:r>
            <w:r>
              <w:rPr>
                <w:color w:val="231F20"/>
                <w:w w:val="105"/>
                <w:sz w:val="12"/>
              </w:rPr>
              <w:t>adolescents</w:t>
            </w:r>
            <w:r>
              <w:rPr>
                <w:color w:val="231F20"/>
                <w:spacing w:val="-8"/>
                <w:w w:val="105"/>
                <w:sz w:val="12"/>
              </w:rPr>
              <w:t xml:space="preserve"> </w:t>
            </w:r>
            <w:r>
              <w:rPr>
                <w:color w:val="231F20"/>
                <w:w w:val="105"/>
                <w:sz w:val="12"/>
              </w:rPr>
              <w:t>conducted</w:t>
            </w:r>
          </w:p>
          <w:p w14:paraId="0F551246" w14:textId="7E114185" w:rsidR="009948F1" w:rsidRDefault="00BC0563">
            <w:pPr>
              <w:pStyle w:val="TableParagraph"/>
              <w:numPr>
                <w:ilvl w:val="0"/>
                <w:numId w:val="183"/>
              </w:numPr>
              <w:tabs>
                <w:tab w:val="left" w:pos="106"/>
              </w:tabs>
              <w:spacing w:line="266" w:lineRule="auto"/>
              <w:ind w:right="172" w:firstLine="0"/>
              <w:rPr>
                <w:sz w:val="12"/>
              </w:rPr>
            </w:pPr>
            <w:r>
              <w:rPr>
                <w:color w:val="231F20"/>
                <w:w w:val="105"/>
                <w:sz w:val="12"/>
              </w:rPr>
              <w:t>Family Planning Services, Health Education on Family Life Education, Nutrition,</w:t>
            </w:r>
            <w:r>
              <w:rPr>
                <w:color w:val="231F20"/>
                <w:spacing w:val="-8"/>
                <w:w w:val="105"/>
                <w:sz w:val="12"/>
              </w:rPr>
              <w:t xml:space="preserve"> </w:t>
            </w:r>
            <w:r>
              <w:rPr>
                <w:color w:val="231F20"/>
                <w:w w:val="105"/>
                <w:sz w:val="12"/>
              </w:rPr>
              <w:t>Sex</w:t>
            </w:r>
            <w:r>
              <w:rPr>
                <w:color w:val="231F20"/>
                <w:spacing w:val="-7"/>
                <w:w w:val="105"/>
                <w:sz w:val="12"/>
              </w:rPr>
              <w:t xml:space="preserve"> </w:t>
            </w:r>
            <w:r>
              <w:rPr>
                <w:color w:val="231F20"/>
                <w:w w:val="105"/>
                <w:sz w:val="12"/>
              </w:rPr>
              <w:t>Education,</w:t>
            </w:r>
            <w:r>
              <w:rPr>
                <w:color w:val="231F20"/>
                <w:spacing w:val="-8"/>
                <w:w w:val="105"/>
                <w:sz w:val="12"/>
              </w:rPr>
              <w:t xml:space="preserve"> </w:t>
            </w:r>
            <w:r>
              <w:rPr>
                <w:color w:val="231F20"/>
                <w:w w:val="105"/>
                <w:sz w:val="12"/>
              </w:rPr>
              <w:t>Gender</w:t>
            </w:r>
            <w:r>
              <w:rPr>
                <w:color w:val="231F20"/>
                <w:spacing w:val="-7"/>
                <w:w w:val="105"/>
                <w:sz w:val="12"/>
              </w:rPr>
              <w:t xml:space="preserve"> </w:t>
            </w:r>
            <w:r>
              <w:rPr>
                <w:color w:val="231F20"/>
                <w:w w:val="105"/>
                <w:sz w:val="12"/>
              </w:rPr>
              <w:t xml:space="preserve">equality </w:t>
            </w:r>
            <w:r w:rsidR="009B6708">
              <w:rPr>
                <w:color w:val="231F20"/>
                <w:w w:val="105"/>
                <w:sz w:val="12"/>
              </w:rPr>
              <w:t>etc.</w:t>
            </w:r>
            <w:r>
              <w:rPr>
                <w:color w:val="231F20"/>
                <w:w w:val="105"/>
                <w:sz w:val="12"/>
              </w:rPr>
              <w:t xml:space="preserve"> &amp; Career Counselling provided in at least 10 secondary schools per</w:t>
            </w:r>
            <w:r>
              <w:rPr>
                <w:color w:val="231F20"/>
                <w:spacing w:val="-9"/>
                <w:w w:val="105"/>
                <w:sz w:val="12"/>
              </w:rPr>
              <w:t xml:space="preserve"> </w:t>
            </w:r>
            <w:r>
              <w:rPr>
                <w:color w:val="231F20"/>
                <w:w w:val="105"/>
                <w:sz w:val="12"/>
              </w:rPr>
              <w:t>LGA</w:t>
            </w:r>
          </w:p>
          <w:p w14:paraId="4DAACEB0" w14:textId="77777777" w:rsidR="009948F1" w:rsidRDefault="00BC0563">
            <w:pPr>
              <w:pStyle w:val="TableParagraph"/>
              <w:numPr>
                <w:ilvl w:val="0"/>
                <w:numId w:val="183"/>
              </w:numPr>
              <w:tabs>
                <w:tab w:val="left" w:pos="106"/>
              </w:tabs>
              <w:spacing w:line="266" w:lineRule="auto"/>
              <w:ind w:right="434" w:firstLine="0"/>
              <w:rPr>
                <w:sz w:val="12"/>
              </w:rPr>
            </w:pPr>
            <w:r>
              <w:rPr>
                <w:color w:val="231F20"/>
                <w:spacing w:val="-3"/>
                <w:w w:val="105"/>
                <w:sz w:val="12"/>
              </w:rPr>
              <w:t xml:space="preserve">Youth </w:t>
            </w:r>
            <w:r>
              <w:rPr>
                <w:color w:val="231F20"/>
                <w:w w:val="105"/>
                <w:sz w:val="12"/>
              </w:rPr>
              <w:t xml:space="preserve">friendly ARHS integrated </w:t>
            </w:r>
            <w:r>
              <w:rPr>
                <w:color w:val="231F20"/>
                <w:spacing w:val="-4"/>
                <w:w w:val="105"/>
                <w:sz w:val="12"/>
              </w:rPr>
              <w:t xml:space="preserve">into </w:t>
            </w:r>
            <w:r>
              <w:rPr>
                <w:color w:val="231F20"/>
                <w:w w:val="105"/>
                <w:sz w:val="12"/>
              </w:rPr>
              <w:t>Primary Health</w:t>
            </w:r>
            <w:r>
              <w:rPr>
                <w:color w:val="231F20"/>
                <w:spacing w:val="-2"/>
                <w:w w:val="105"/>
                <w:sz w:val="12"/>
              </w:rPr>
              <w:t xml:space="preserve"> </w:t>
            </w:r>
            <w:r>
              <w:rPr>
                <w:color w:val="231F20"/>
                <w:w w:val="105"/>
                <w:sz w:val="12"/>
              </w:rPr>
              <w:t>Centre</w:t>
            </w:r>
          </w:p>
        </w:tc>
        <w:tc>
          <w:tcPr>
            <w:tcW w:w="1504" w:type="dxa"/>
            <w:tcBorders>
              <w:right w:val="single" w:sz="12" w:space="0" w:color="231F20"/>
            </w:tcBorders>
            <w:shd w:val="clear" w:color="auto" w:fill="CCE7D3"/>
          </w:tcPr>
          <w:p w14:paraId="2CC805D0" w14:textId="77777777" w:rsidR="009948F1" w:rsidRDefault="009948F1">
            <w:pPr>
              <w:pStyle w:val="TableParagraph"/>
              <w:rPr>
                <w:rFonts w:ascii="Times New Roman"/>
                <w:sz w:val="12"/>
              </w:rPr>
            </w:pPr>
          </w:p>
        </w:tc>
        <w:tc>
          <w:tcPr>
            <w:tcW w:w="1584" w:type="dxa"/>
            <w:tcBorders>
              <w:left w:val="single" w:sz="12" w:space="0" w:color="231F20"/>
              <w:right w:val="single" w:sz="8" w:space="0" w:color="231F20"/>
            </w:tcBorders>
            <w:shd w:val="clear" w:color="auto" w:fill="CCE7D3"/>
          </w:tcPr>
          <w:p w14:paraId="1093C82B" w14:textId="77777777" w:rsidR="009948F1" w:rsidRDefault="009948F1">
            <w:pPr>
              <w:pStyle w:val="TableParagraph"/>
              <w:rPr>
                <w:rFonts w:ascii="Times New Roman"/>
                <w:sz w:val="12"/>
              </w:rPr>
            </w:pPr>
          </w:p>
        </w:tc>
      </w:tr>
      <w:tr w:rsidR="009948F1" w14:paraId="5722411E" w14:textId="77777777">
        <w:trPr>
          <w:trHeight w:val="383"/>
        </w:trPr>
        <w:tc>
          <w:tcPr>
            <w:tcW w:w="483" w:type="dxa"/>
            <w:vMerge w:val="restart"/>
            <w:tcBorders>
              <w:left w:val="single" w:sz="8" w:space="0" w:color="231F20"/>
            </w:tcBorders>
          </w:tcPr>
          <w:p w14:paraId="20C85785" w14:textId="77777777" w:rsidR="009948F1" w:rsidRDefault="009948F1">
            <w:pPr>
              <w:pStyle w:val="TableParagraph"/>
              <w:rPr>
                <w:rFonts w:ascii="Times New Roman"/>
                <w:sz w:val="12"/>
              </w:rPr>
            </w:pPr>
          </w:p>
        </w:tc>
        <w:tc>
          <w:tcPr>
            <w:tcW w:w="554" w:type="dxa"/>
          </w:tcPr>
          <w:p w14:paraId="40D25D16" w14:textId="77777777" w:rsidR="009948F1" w:rsidRDefault="009948F1">
            <w:pPr>
              <w:pStyle w:val="TableParagraph"/>
              <w:spacing w:before="8"/>
              <w:rPr>
                <w:sz w:val="10"/>
              </w:rPr>
            </w:pPr>
          </w:p>
          <w:p w14:paraId="6149F1AD" w14:textId="77777777" w:rsidR="009948F1" w:rsidRDefault="00BC0563">
            <w:pPr>
              <w:pStyle w:val="TableParagraph"/>
              <w:spacing w:before="1"/>
              <w:ind w:left="67" w:right="46"/>
              <w:jc w:val="center"/>
              <w:rPr>
                <w:sz w:val="12"/>
              </w:rPr>
            </w:pPr>
            <w:r>
              <w:rPr>
                <w:color w:val="231F20"/>
                <w:w w:val="105"/>
                <w:sz w:val="12"/>
              </w:rPr>
              <w:t>4.5.2.a</w:t>
            </w:r>
          </w:p>
        </w:tc>
        <w:tc>
          <w:tcPr>
            <w:tcW w:w="5158" w:type="dxa"/>
            <w:gridSpan w:val="2"/>
          </w:tcPr>
          <w:p w14:paraId="6CC96E22" w14:textId="77777777" w:rsidR="009948F1" w:rsidRDefault="00BC0563">
            <w:pPr>
              <w:pStyle w:val="TableParagraph"/>
              <w:spacing w:before="43" w:line="266" w:lineRule="auto"/>
              <w:ind w:left="26"/>
              <w:rPr>
                <w:sz w:val="12"/>
              </w:rPr>
            </w:pPr>
            <w:r>
              <w:rPr>
                <w:color w:val="231F20"/>
                <w:w w:val="105"/>
                <w:sz w:val="12"/>
              </w:rPr>
              <w:t xml:space="preserve">Conduct comprehensive sexual and reproductive health education for in- and </w:t>
            </w:r>
            <w:proofErr w:type="spellStart"/>
            <w:r>
              <w:rPr>
                <w:color w:val="231F20"/>
                <w:w w:val="105"/>
                <w:sz w:val="12"/>
              </w:rPr>
              <w:t>out-of</w:t>
            </w:r>
            <w:proofErr w:type="spellEnd"/>
            <w:r>
              <w:rPr>
                <w:color w:val="231F20"/>
                <w:w w:val="105"/>
                <w:sz w:val="12"/>
              </w:rPr>
              <w:t xml:space="preserve"> school adolescents</w:t>
            </w:r>
          </w:p>
        </w:tc>
        <w:tc>
          <w:tcPr>
            <w:tcW w:w="1504" w:type="dxa"/>
          </w:tcPr>
          <w:p w14:paraId="06930AF6" w14:textId="77777777" w:rsidR="009948F1" w:rsidRDefault="009948F1">
            <w:pPr>
              <w:pStyle w:val="TableParagraph"/>
              <w:spacing w:before="8"/>
              <w:rPr>
                <w:sz w:val="10"/>
              </w:rPr>
            </w:pPr>
          </w:p>
          <w:p w14:paraId="5218358A" w14:textId="77777777" w:rsidR="009948F1" w:rsidRDefault="00BC0563">
            <w:pPr>
              <w:pStyle w:val="TableParagraph"/>
              <w:spacing w:before="1"/>
              <w:ind w:left="27"/>
              <w:rPr>
                <w:sz w:val="12"/>
              </w:rPr>
            </w:pPr>
            <w:r>
              <w:rPr>
                <w:color w:val="231F20"/>
                <w:w w:val="105"/>
                <w:sz w:val="12"/>
              </w:rPr>
              <w:t>Lack of funds</w:t>
            </w:r>
          </w:p>
        </w:tc>
        <w:tc>
          <w:tcPr>
            <w:tcW w:w="1584" w:type="dxa"/>
            <w:tcBorders>
              <w:right w:val="single" w:sz="8" w:space="0" w:color="231F20"/>
            </w:tcBorders>
          </w:tcPr>
          <w:p w14:paraId="05CAD57D" w14:textId="77777777" w:rsidR="009948F1" w:rsidRDefault="009948F1">
            <w:pPr>
              <w:pStyle w:val="TableParagraph"/>
              <w:spacing w:before="8"/>
              <w:rPr>
                <w:sz w:val="10"/>
              </w:rPr>
            </w:pPr>
          </w:p>
          <w:p w14:paraId="516CD488" w14:textId="77777777" w:rsidR="009948F1" w:rsidRDefault="00BC0563">
            <w:pPr>
              <w:pStyle w:val="TableParagraph"/>
              <w:spacing w:before="1"/>
              <w:ind w:left="28"/>
              <w:rPr>
                <w:sz w:val="12"/>
              </w:rPr>
            </w:pPr>
            <w:r>
              <w:rPr>
                <w:color w:val="231F20"/>
                <w:w w:val="105"/>
                <w:sz w:val="12"/>
              </w:rPr>
              <w:t>Conduct health education</w:t>
            </w:r>
          </w:p>
        </w:tc>
      </w:tr>
      <w:tr w:rsidR="009948F1" w14:paraId="1EEB23FE" w14:textId="77777777">
        <w:trPr>
          <w:trHeight w:val="405"/>
        </w:trPr>
        <w:tc>
          <w:tcPr>
            <w:tcW w:w="483" w:type="dxa"/>
            <w:vMerge/>
            <w:tcBorders>
              <w:top w:val="nil"/>
              <w:left w:val="single" w:sz="8" w:space="0" w:color="231F20"/>
            </w:tcBorders>
          </w:tcPr>
          <w:p w14:paraId="58290253" w14:textId="77777777" w:rsidR="009948F1" w:rsidRDefault="009948F1">
            <w:pPr>
              <w:rPr>
                <w:sz w:val="2"/>
                <w:szCs w:val="2"/>
              </w:rPr>
            </w:pPr>
          </w:p>
        </w:tc>
        <w:tc>
          <w:tcPr>
            <w:tcW w:w="554" w:type="dxa"/>
          </w:tcPr>
          <w:p w14:paraId="384B0F9B" w14:textId="77777777" w:rsidR="009948F1" w:rsidRDefault="009948F1">
            <w:pPr>
              <w:pStyle w:val="TableParagraph"/>
              <w:spacing w:before="8"/>
              <w:rPr>
                <w:sz w:val="11"/>
              </w:rPr>
            </w:pPr>
          </w:p>
          <w:p w14:paraId="32A284E7" w14:textId="77777777" w:rsidR="009948F1" w:rsidRDefault="00BC0563">
            <w:pPr>
              <w:pStyle w:val="TableParagraph"/>
              <w:ind w:left="67" w:right="46"/>
              <w:jc w:val="center"/>
              <w:rPr>
                <w:sz w:val="12"/>
              </w:rPr>
            </w:pPr>
            <w:r>
              <w:rPr>
                <w:color w:val="231F20"/>
                <w:w w:val="105"/>
                <w:sz w:val="12"/>
              </w:rPr>
              <w:t>4.5.2.b</w:t>
            </w:r>
          </w:p>
        </w:tc>
        <w:tc>
          <w:tcPr>
            <w:tcW w:w="5158" w:type="dxa"/>
            <w:gridSpan w:val="2"/>
            <w:tcBorders>
              <w:right w:val="single" w:sz="12" w:space="0" w:color="231F20"/>
            </w:tcBorders>
          </w:tcPr>
          <w:p w14:paraId="1FD1525C" w14:textId="7DAA95F7" w:rsidR="009948F1" w:rsidRDefault="00BC0563">
            <w:pPr>
              <w:pStyle w:val="TableParagraph"/>
              <w:spacing w:before="54" w:line="266" w:lineRule="auto"/>
              <w:ind w:left="26"/>
              <w:rPr>
                <w:sz w:val="12"/>
              </w:rPr>
            </w:pPr>
            <w:r>
              <w:rPr>
                <w:color w:val="231F20"/>
                <w:w w:val="105"/>
                <w:sz w:val="12"/>
              </w:rPr>
              <w:t>Provide Family Planning Services in secondary schools (</w:t>
            </w:r>
            <w:r w:rsidR="009B6708">
              <w:rPr>
                <w:color w:val="231F20"/>
                <w:w w:val="105"/>
                <w:sz w:val="12"/>
              </w:rPr>
              <w:t>Include</w:t>
            </w:r>
            <w:r>
              <w:rPr>
                <w:color w:val="231F20"/>
                <w:w w:val="105"/>
                <w:sz w:val="12"/>
              </w:rPr>
              <w:t xml:space="preserve"> HPV vaccine &amp; TT immunization)</w:t>
            </w:r>
          </w:p>
        </w:tc>
        <w:tc>
          <w:tcPr>
            <w:tcW w:w="1504" w:type="dxa"/>
            <w:tcBorders>
              <w:left w:val="single" w:sz="12" w:space="0" w:color="231F20"/>
            </w:tcBorders>
          </w:tcPr>
          <w:p w14:paraId="3C514EFE" w14:textId="77777777" w:rsidR="009948F1" w:rsidRDefault="009948F1">
            <w:pPr>
              <w:pStyle w:val="TableParagraph"/>
              <w:spacing w:before="8"/>
              <w:rPr>
                <w:sz w:val="11"/>
              </w:rPr>
            </w:pPr>
          </w:p>
          <w:p w14:paraId="16502943" w14:textId="77777777" w:rsidR="009948F1" w:rsidRDefault="00BC0563">
            <w:pPr>
              <w:pStyle w:val="TableParagraph"/>
              <w:ind w:left="20"/>
              <w:rPr>
                <w:sz w:val="12"/>
              </w:rPr>
            </w:pPr>
            <w:r>
              <w:rPr>
                <w:color w:val="231F20"/>
                <w:w w:val="105"/>
                <w:sz w:val="12"/>
              </w:rPr>
              <w:t>Lack of funds</w:t>
            </w:r>
          </w:p>
        </w:tc>
        <w:tc>
          <w:tcPr>
            <w:tcW w:w="1584" w:type="dxa"/>
            <w:tcBorders>
              <w:right w:val="single" w:sz="8" w:space="0" w:color="231F20"/>
            </w:tcBorders>
          </w:tcPr>
          <w:p w14:paraId="1C4BB1A7" w14:textId="77777777" w:rsidR="009948F1" w:rsidRDefault="00BC0563">
            <w:pPr>
              <w:pStyle w:val="TableParagraph"/>
              <w:spacing w:before="59" w:line="266" w:lineRule="auto"/>
              <w:ind w:left="28"/>
              <w:rPr>
                <w:sz w:val="12"/>
              </w:rPr>
            </w:pPr>
            <w:r>
              <w:rPr>
                <w:color w:val="231F20"/>
                <w:w w:val="105"/>
                <w:sz w:val="12"/>
              </w:rPr>
              <w:t>Provide Family Planning Services</w:t>
            </w:r>
          </w:p>
        </w:tc>
      </w:tr>
      <w:tr w:rsidR="009948F1" w14:paraId="28072CA6" w14:textId="77777777">
        <w:trPr>
          <w:trHeight w:val="360"/>
        </w:trPr>
        <w:tc>
          <w:tcPr>
            <w:tcW w:w="483" w:type="dxa"/>
            <w:vMerge/>
            <w:tcBorders>
              <w:top w:val="nil"/>
              <w:left w:val="single" w:sz="8" w:space="0" w:color="231F20"/>
            </w:tcBorders>
          </w:tcPr>
          <w:p w14:paraId="3DD09653" w14:textId="77777777" w:rsidR="009948F1" w:rsidRDefault="009948F1">
            <w:pPr>
              <w:rPr>
                <w:sz w:val="2"/>
                <w:szCs w:val="2"/>
              </w:rPr>
            </w:pPr>
          </w:p>
        </w:tc>
        <w:tc>
          <w:tcPr>
            <w:tcW w:w="554" w:type="dxa"/>
          </w:tcPr>
          <w:p w14:paraId="0623B9D5" w14:textId="77777777" w:rsidR="009948F1" w:rsidRDefault="009948F1">
            <w:pPr>
              <w:pStyle w:val="TableParagraph"/>
              <w:spacing w:before="9"/>
              <w:rPr>
                <w:sz w:val="9"/>
              </w:rPr>
            </w:pPr>
          </w:p>
          <w:p w14:paraId="239CE564" w14:textId="77777777" w:rsidR="009948F1" w:rsidRDefault="00BC0563">
            <w:pPr>
              <w:pStyle w:val="TableParagraph"/>
              <w:ind w:left="67" w:right="46"/>
              <w:jc w:val="center"/>
              <w:rPr>
                <w:sz w:val="12"/>
              </w:rPr>
            </w:pPr>
            <w:r>
              <w:rPr>
                <w:color w:val="231F20"/>
                <w:w w:val="105"/>
                <w:sz w:val="12"/>
              </w:rPr>
              <w:t>4.5.2.c</w:t>
            </w:r>
          </w:p>
        </w:tc>
        <w:tc>
          <w:tcPr>
            <w:tcW w:w="5158" w:type="dxa"/>
            <w:gridSpan w:val="2"/>
          </w:tcPr>
          <w:p w14:paraId="5518EBF8" w14:textId="1BFEEA5F" w:rsidR="009948F1" w:rsidRDefault="00BC0563">
            <w:pPr>
              <w:pStyle w:val="TableParagraph"/>
              <w:spacing w:before="31" w:line="266" w:lineRule="auto"/>
              <w:ind w:left="26"/>
              <w:rPr>
                <w:sz w:val="12"/>
              </w:rPr>
            </w:pPr>
            <w:r>
              <w:rPr>
                <w:color w:val="231F20"/>
                <w:w w:val="105"/>
                <w:sz w:val="12"/>
              </w:rPr>
              <w:t xml:space="preserve">Give Health Education on Family Life Education, Nutrition, Sex Education, Gender equality </w:t>
            </w:r>
            <w:r w:rsidR="009B6708">
              <w:rPr>
                <w:color w:val="231F20"/>
                <w:w w:val="105"/>
                <w:sz w:val="12"/>
              </w:rPr>
              <w:t>etc.</w:t>
            </w:r>
            <w:r>
              <w:rPr>
                <w:color w:val="231F20"/>
                <w:w w:val="105"/>
                <w:sz w:val="12"/>
              </w:rPr>
              <w:t xml:space="preserve"> in schools</w:t>
            </w:r>
          </w:p>
        </w:tc>
        <w:tc>
          <w:tcPr>
            <w:tcW w:w="1504" w:type="dxa"/>
          </w:tcPr>
          <w:p w14:paraId="38215D3D" w14:textId="77777777" w:rsidR="009948F1" w:rsidRDefault="009948F1">
            <w:pPr>
              <w:pStyle w:val="TableParagraph"/>
              <w:spacing w:before="9"/>
              <w:rPr>
                <w:sz w:val="9"/>
              </w:rPr>
            </w:pPr>
          </w:p>
          <w:p w14:paraId="7302C652"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4C7F3DD6" w14:textId="77777777" w:rsidR="009948F1" w:rsidRDefault="009948F1">
            <w:pPr>
              <w:pStyle w:val="TableParagraph"/>
              <w:spacing w:before="9"/>
              <w:rPr>
                <w:sz w:val="9"/>
              </w:rPr>
            </w:pPr>
          </w:p>
          <w:p w14:paraId="487412EF" w14:textId="77777777" w:rsidR="009948F1" w:rsidRDefault="00BC0563">
            <w:pPr>
              <w:pStyle w:val="TableParagraph"/>
              <w:ind w:left="28"/>
              <w:rPr>
                <w:sz w:val="12"/>
              </w:rPr>
            </w:pPr>
            <w:r>
              <w:rPr>
                <w:color w:val="231F20"/>
                <w:w w:val="105"/>
                <w:sz w:val="12"/>
              </w:rPr>
              <w:t>Costed in 4.5.2b</w:t>
            </w:r>
          </w:p>
        </w:tc>
      </w:tr>
      <w:tr w:rsidR="009948F1" w14:paraId="070F0EE9" w14:textId="77777777">
        <w:trPr>
          <w:trHeight w:val="375"/>
        </w:trPr>
        <w:tc>
          <w:tcPr>
            <w:tcW w:w="483" w:type="dxa"/>
            <w:vMerge/>
            <w:tcBorders>
              <w:top w:val="nil"/>
              <w:left w:val="single" w:sz="8" w:space="0" w:color="231F20"/>
            </w:tcBorders>
          </w:tcPr>
          <w:p w14:paraId="36489D45" w14:textId="77777777" w:rsidR="009948F1" w:rsidRDefault="009948F1">
            <w:pPr>
              <w:rPr>
                <w:sz w:val="2"/>
                <w:szCs w:val="2"/>
              </w:rPr>
            </w:pPr>
          </w:p>
        </w:tc>
        <w:tc>
          <w:tcPr>
            <w:tcW w:w="554" w:type="dxa"/>
          </w:tcPr>
          <w:p w14:paraId="1AC6260D" w14:textId="77777777" w:rsidR="009948F1" w:rsidRDefault="009948F1">
            <w:pPr>
              <w:pStyle w:val="TableParagraph"/>
              <w:spacing w:before="5"/>
              <w:rPr>
                <w:sz w:val="10"/>
              </w:rPr>
            </w:pPr>
          </w:p>
          <w:p w14:paraId="3EAE8D3A" w14:textId="77777777" w:rsidR="009948F1" w:rsidRDefault="00BC0563">
            <w:pPr>
              <w:pStyle w:val="TableParagraph"/>
              <w:ind w:left="67" w:right="46"/>
              <w:jc w:val="center"/>
              <w:rPr>
                <w:sz w:val="12"/>
              </w:rPr>
            </w:pPr>
            <w:r>
              <w:rPr>
                <w:color w:val="231F20"/>
                <w:w w:val="105"/>
                <w:sz w:val="12"/>
              </w:rPr>
              <w:t>4.5.2.d</w:t>
            </w:r>
          </w:p>
        </w:tc>
        <w:tc>
          <w:tcPr>
            <w:tcW w:w="5158" w:type="dxa"/>
            <w:gridSpan w:val="2"/>
          </w:tcPr>
          <w:p w14:paraId="496CAF01" w14:textId="77777777" w:rsidR="009948F1" w:rsidRDefault="009948F1">
            <w:pPr>
              <w:pStyle w:val="TableParagraph"/>
              <w:rPr>
                <w:sz w:val="10"/>
              </w:rPr>
            </w:pPr>
          </w:p>
          <w:p w14:paraId="69829765" w14:textId="77777777" w:rsidR="009948F1" w:rsidRDefault="00BC0563">
            <w:pPr>
              <w:pStyle w:val="TableParagraph"/>
              <w:ind w:left="26"/>
              <w:rPr>
                <w:sz w:val="12"/>
              </w:rPr>
            </w:pPr>
            <w:r>
              <w:rPr>
                <w:color w:val="231F20"/>
                <w:w w:val="105"/>
                <w:sz w:val="12"/>
              </w:rPr>
              <w:t>Provide Career Counselling</w:t>
            </w:r>
          </w:p>
        </w:tc>
        <w:tc>
          <w:tcPr>
            <w:tcW w:w="1504" w:type="dxa"/>
          </w:tcPr>
          <w:p w14:paraId="51F6FC52" w14:textId="77777777" w:rsidR="009948F1" w:rsidRDefault="009948F1">
            <w:pPr>
              <w:pStyle w:val="TableParagraph"/>
              <w:spacing w:before="5"/>
              <w:rPr>
                <w:sz w:val="10"/>
              </w:rPr>
            </w:pPr>
          </w:p>
          <w:p w14:paraId="0B3AAE95"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654846F8" w14:textId="77777777" w:rsidR="009948F1" w:rsidRDefault="009948F1">
            <w:pPr>
              <w:pStyle w:val="TableParagraph"/>
              <w:spacing w:before="5"/>
              <w:rPr>
                <w:sz w:val="10"/>
              </w:rPr>
            </w:pPr>
          </w:p>
          <w:p w14:paraId="20D784D1" w14:textId="77777777" w:rsidR="009948F1" w:rsidRDefault="00BC0563">
            <w:pPr>
              <w:pStyle w:val="TableParagraph"/>
              <w:ind w:left="28"/>
              <w:rPr>
                <w:sz w:val="12"/>
              </w:rPr>
            </w:pPr>
            <w:r>
              <w:rPr>
                <w:color w:val="231F20"/>
                <w:w w:val="105"/>
                <w:sz w:val="12"/>
              </w:rPr>
              <w:t>Costed in 4.5.2b</w:t>
            </w:r>
          </w:p>
        </w:tc>
      </w:tr>
      <w:tr w:rsidR="009948F1" w14:paraId="213D23EC" w14:textId="77777777">
        <w:trPr>
          <w:trHeight w:val="444"/>
        </w:trPr>
        <w:tc>
          <w:tcPr>
            <w:tcW w:w="483" w:type="dxa"/>
            <w:vMerge/>
            <w:tcBorders>
              <w:top w:val="nil"/>
              <w:left w:val="single" w:sz="8" w:space="0" w:color="231F20"/>
            </w:tcBorders>
          </w:tcPr>
          <w:p w14:paraId="67BBB0F9" w14:textId="77777777" w:rsidR="009948F1" w:rsidRDefault="009948F1">
            <w:pPr>
              <w:rPr>
                <w:sz w:val="2"/>
                <w:szCs w:val="2"/>
              </w:rPr>
            </w:pPr>
          </w:p>
        </w:tc>
        <w:tc>
          <w:tcPr>
            <w:tcW w:w="554" w:type="dxa"/>
          </w:tcPr>
          <w:p w14:paraId="2681205E" w14:textId="77777777" w:rsidR="009948F1" w:rsidRDefault="009948F1">
            <w:pPr>
              <w:pStyle w:val="TableParagraph"/>
              <w:spacing w:before="5"/>
              <w:rPr>
                <w:sz w:val="13"/>
              </w:rPr>
            </w:pPr>
          </w:p>
          <w:p w14:paraId="42C37CCE" w14:textId="77777777" w:rsidR="009948F1" w:rsidRDefault="00BC0563">
            <w:pPr>
              <w:pStyle w:val="TableParagraph"/>
              <w:ind w:left="67" w:right="46"/>
              <w:jc w:val="center"/>
              <w:rPr>
                <w:sz w:val="12"/>
              </w:rPr>
            </w:pPr>
            <w:r>
              <w:rPr>
                <w:color w:val="231F20"/>
                <w:w w:val="105"/>
                <w:sz w:val="12"/>
              </w:rPr>
              <w:t>4.5.2.e</w:t>
            </w:r>
          </w:p>
        </w:tc>
        <w:tc>
          <w:tcPr>
            <w:tcW w:w="5158" w:type="dxa"/>
            <w:gridSpan w:val="2"/>
            <w:tcBorders>
              <w:right w:val="single" w:sz="12" w:space="0" w:color="231F20"/>
            </w:tcBorders>
          </w:tcPr>
          <w:p w14:paraId="6097CFB0" w14:textId="77777777" w:rsidR="009948F1" w:rsidRDefault="009948F1">
            <w:pPr>
              <w:pStyle w:val="TableParagraph"/>
              <w:rPr>
                <w:sz w:val="13"/>
              </w:rPr>
            </w:pPr>
          </w:p>
          <w:p w14:paraId="3B077F82" w14:textId="77777777" w:rsidR="009948F1" w:rsidRDefault="00BC0563">
            <w:pPr>
              <w:pStyle w:val="TableParagraph"/>
              <w:ind w:left="26"/>
              <w:rPr>
                <w:sz w:val="12"/>
              </w:rPr>
            </w:pPr>
            <w:r>
              <w:rPr>
                <w:color w:val="231F20"/>
                <w:w w:val="105"/>
                <w:sz w:val="12"/>
              </w:rPr>
              <w:t>Integrate Youth friendly ARHS into Primary Health Centre</w:t>
            </w:r>
          </w:p>
        </w:tc>
        <w:tc>
          <w:tcPr>
            <w:tcW w:w="1504" w:type="dxa"/>
            <w:tcBorders>
              <w:left w:val="single" w:sz="12" w:space="0" w:color="231F20"/>
            </w:tcBorders>
          </w:tcPr>
          <w:p w14:paraId="29B37FA3" w14:textId="77777777" w:rsidR="009948F1" w:rsidRDefault="009948F1">
            <w:pPr>
              <w:pStyle w:val="TableParagraph"/>
              <w:spacing w:before="5"/>
              <w:rPr>
                <w:sz w:val="13"/>
              </w:rPr>
            </w:pPr>
          </w:p>
          <w:p w14:paraId="663448C9" w14:textId="77777777" w:rsidR="009948F1" w:rsidRDefault="00BC0563">
            <w:pPr>
              <w:pStyle w:val="TableParagraph"/>
              <w:ind w:left="20"/>
              <w:rPr>
                <w:sz w:val="12"/>
              </w:rPr>
            </w:pPr>
            <w:r>
              <w:rPr>
                <w:color w:val="231F20"/>
                <w:w w:val="105"/>
                <w:sz w:val="12"/>
              </w:rPr>
              <w:t>Lack of funds</w:t>
            </w:r>
          </w:p>
        </w:tc>
        <w:tc>
          <w:tcPr>
            <w:tcW w:w="1584" w:type="dxa"/>
            <w:tcBorders>
              <w:right w:val="single" w:sz="8" w:space="0" w:color="231F20"/>
            </w:tcBorders>
          </w:tcPr>
          <w:p w14:paraId="7ED9262D" w14:textId="77777777" w:rsidR="009948F1" w:rsidRDefault="009948F1">
            <w:pPr>
              <w:pStyle w:val="TableParagraph"/>
              <w:spacing w:before="5"/>
              <w:rPr>
                <w:sz w:val="13"/>
              </w:rPr>
            </w:pPr>
          </w:p>
          <w:p w14:paraId="6B9A8069" w14:textId="77777777" w:rsidR="009948F1" w:rsidRDefault="00BC0563">
            <w:pPr>
              <w:pStyle w:val="TableParagraph"/>
              <w:ind w:left="28"/>
              <w:rPr>
                <w:sz w:val="12"/>
              </w:rPr>
            </w:pPr>
            <w:r>
              <w:rPr>
                <w:color w:val="231F20"/>
                <w:w w:val="105"/>
                <w:sz w:val="12"/>
              </w:rPr>
              <w:t>No cost</w:t>
            </w:r>
          </w:p>
        </w:tc>
      </w:tr>
      <w:tr w:rsidR="009948F1" w14:paraId="14EEB288" w14:textId="77777777">
        <w:trPr>
          <w:trHeight w:val="1234"/>
        </w:trPr>
        <w:tc>
          <w:tcPr>
            <w:tcW w:w="483" w:type="dxa"/>
            <w:tcBorders>
              <w:left w:val="single" w:sz="12" w:space="0" w:color="231F20"/>
            </w:tcBorders>
            <w:shd w:val="clear" w:color="auto" w:fill="CCE7D3"/>
          </w:tcPr>
          <w:p w14:paraId="4197DE3D" w14:textId="77777777" w:rsidR="009948F1" w:rsidRDefault="009948F1">
            <w:pPr>
              <w:pStyle w:val="TableParagraph"/>
              <w:rPr>
                <w:sz w:val="12"/>
              </w:rPr>
            </w:pPr>
          </w:p>
          <w:p w14:paraId="7A35AB44" w14:textId="77777777" w:rsidR="009948F1" w:rsidRDefault="009948F1">
            <w:pPr>
              <w:pStyle w:val="TableParagraph"/>
              <w:rPr>
                <w:sz w:val="12"/>
              </w:rPr>
            </w:pPr>
          </w:p>
          <w:p w14:paraId="77F83920" w14:textId="77777777" w:rsidR="009948F1" w:rsidRDefault="009948F1">
            <w:pPr>
              <w:pStyle w:val="TableParagraph"/>
              <w:rPr>
                <w:sz w:val="12"/>
              </w:rPr>
            </w:pPr>
          </w:p>
          <w:p w14:paraId="08B47059" w14:textId="77777777" w:rsidR="009948F1" w:rsidRDefault="009948F1">
            <w:pPr>
              <w:pStyle w:val="TableParagraph"/>
              <w:spacing w:before="9"/>
              <w:rPr>
                <w:sz w:val="11"/>
              </w:rPr>
            </w:pPr>
          </w:p>
          <w:p w14:paraId="0D46B338" w14:textId="77777777" w:rsidR="009948F1" w:rsidRDefault="00BC0563">
            <w:pPr>
              <w:pStyle w:val="TableParagraph"/>
              <w:ind w:left="37" w:right="102"/>
              <w:jc w:val="center"/>
              <w:rPr>
                <w:sz w:val="12"/>
              </w:rPr>
            </w:pPr>
            <w:r>
              <w:rPr>
                <w:color w:val="231F20"/>
                <w:w w:val="105"/>
                <w:sz w:val="12"/>
              </w:rPr>
              <w:t>4.5.3</w:t>
            </w:r>
          </w:p>
        </w:tc>
        <w:tc>
          <w:tcPr>
            <w:tcW w:w="3200" w:type="dxa"/>
            <w:gridSpan w:val="2"/>
            <w:shd w:val="clear" w:color="auto" w:fill="CCE7D3"/>
          </w:tcPr>
          <w:p w14:paraId="6C561740" w14:textId="77777777" w:rsidR="009948F1" w:rsidRDefault="009948F1">
            <w:pPr>
              <w:pStyle w:val="TableParagraph"/>
              <w:rPr>
                <w:sz w:val="12"/>
              </w:rPr>
            </w:pPr>
          </w:p>
          <w:p w14:paraId="3DC6DD06" w14:textId="77777777" w:rsidR="009948F1" w:rsidRDefault="009948F1">
            <w:pPr>
              <w:pStyle w:val="TableParagraph"/>
              <w:rPr>
                <w:sz w:val="12"/>
              </w:rPr>
            </w:pPr>
          </w:p>
          <w:p w14:paraId="111A02E1" w14:textId="77777777" w:rsidR="009948F1" w:rsidRDefault="009948F1">
            <w:pPr>
              <w:pStyle w:val="TableParagraph"/>
              <w:spacing w:before="8"/>
              <w:rPr>
                <w:sz w:val="16"/>
              </w:rPr>
            </w:pPr>
          </w:p>
          <w:p w14:paraId="2DED2118" w14:textId="77777777" w:rsidR="009948F1" w:rsidRDefault="00BC0563">
            <w:pPr>
              <w:pStyle w:val="TableParagraph"/>
              <w:spacing w:line="266" w:lineRule="auto"/>
              <w:ind w:left="26" w:right="7" w:firstLine="34"/>
              <w:rPr>
                <w:sz w:val="12"/>
              </w:rPr>
            </w:pPr>
            <w:r>
              <w:rPr>
                <w:color w:val="231F20"/>
                <w:w w:val="105"/>
                <w:sz w:val="12"/>
              </w:rPr>
              <w:t>Strengthen prevention, detection, and management of HIV and STIs among adolescents</w:t>
            </w:r>
          </w:p>
        </w:tc>
        <w:tc>
          <w:tcPr>
            <w:tcW w:w="2512" w:type="dxa"/>
            <w:shd w:val="clear" w:color="auto" w:fill="CCE7D3"/>
          </w:tcPr>
          <w:p w14:paraId="7D1B67C3" w14:textId="77777777" w:rsidR="009948F1" w:rsidRDefault="00BC0563">
            <w:pPr>
              <w:pStyle w:val="TableParagraph"/>
              <w:numPr>
                <w:ilvl w:val="0"/>
                <w:numId w:val="182"/>
              </w:numPr>
              <w:tabs>
                <w:tab w:val="left" w:pos="99"/>
              </w:tabs>
              <w:spacing w:before="14" w:line="266" w:lineRule="auto"/>
              <w:ind w:right="88" w:firstLine="0"/>
              <w:rPr>
                <w:sz w:val="12"/>
              </w:rPr>
            </w:pPr>
            <w:r>
              <w:rPr>
                <w:color w:val="231F20"/>
                <w:w w:val="105"/>
                <w:sz w:val="12"/>
              </w:rPr>
              <w:t>At least 50 teachers (TOT) &amp; 2,300 students trained on prevention, detection</w:t>
            </w:r>
            <w:r>
              <w:rPr>
                <w:color w:val="231F20"/>
                <w:spacing w:val="-18"/>
                <w:w w:val="105"/>
                <w:sz w:val="12"/>
              </w:rPr>
              <w:t xml:space="preserve"> </w:t>
            </w:r>
            <w:r>
              <w:rPr>
                <w:color w:val="231F20"/>
                <w:spacing w:val="-15"/>
                <w:w w:val="105"/>
                <w:sz w:val="12"/>
              </w:rPr>
              <w:t xml:space="preserve">&amp; </w:t>
            </w:r>
            <w:r>
              <w:rPr>
                <w:color w:val="231F20"/>
                <w:w w:val="105"/>
                <w:sz w:val="12"/>
              </w:rPr>
              <w:t>management of HIV &amp; STIs among adolescents</w:t>
            </w:r>
          </w:p>
          <w:p w14:paraId="1F68A013" w14:textId="77777777" w:rsidR="009948F1" w:rsidRDefault="00BC0563">
            <w:pPr>
              <w:pStyle w:val="TableParagraph"/>
              <w:spacing w:line="266" w:lineRule="auto"/>
              <w:ind w:left="27" w:right="100"/>
              <w:jc w:val="both"/>
              <w:rPr>
                <w:sz w:val="12"/>
              </w:rPr>
            </w:pPr>
            <w:r>
              <w:rPr>
                <w:color w:val="231F20"/>
                <w:w w:val="105"/>
                <w:sz w:val="12"/>
              </w:rPr>
              <w:t>•At least 500 female secondary students</w:t>
            </w:r>
            <w:r>
              <w:rPr>
                <w:color w:val="231F20"/>
                <w:spacing w:val="-19"/>
                <w:w w:val="105"/>
                <w:sz w:val="12"/>
              </w:rPr>
              <w:t xml:space="preserve"> </w:t>
            </w:r>
            <w:r>
              <w:rPr>
                <w:color w:val="231F20"/>
                <w:spacing w:val="-7"/>
                <w:w w:val="105"/>
                <w:sz w:val="12"/>
              </w:rPr>
              <w:t xml:space="preserve">in </w:t>
            </w:r>
            <w:r>
              <w:rPr>
                <w:color w:val="231F20"/>
                <w:w w:val="105"/>
                <w:sz w:val="12"/>
              </w:rPr>
              <w:t>the 23 LGAs on cervical cancer</w:t>
            </w:r>
            <w:r>
              <w:rPr>
                <w:color w:val="231F20"/>
                <w:spacing w:val="-19"/>
                <w:w w:val="105"/>
                <w:sz w:val="12"/>
              </w:rPr>
              <w:t xml:space="preserve"> </w:t>
            </w:r>
            <w:r>
              <w:rPr>
                <w:color w:val="231F20"/>
                <w:w w:val="105"/>
                <w:sz w:val="12"/>
              </w:rPr>
              <w:t>prevention &amp; awareness</w:t>
            </w:r>
            <w:r>
              <w:rPr>
                <w:color w:val="231F20"/>
                <w:spacing w:val="-2"/>
                <w:w w:val="105"/>
                <w:sz w:val="12"/>
              </w:rPr>
              <w:t xml:space="preserve"> </w:t>
            </w:r>
            <w:r>
              <w:rPr>
                <w:color w:val="231F20"/>
                <w:w w:val="105"/>
                <w:sz w:val="12"/>
              </w:rPr>
              <w:t>creation</w:t>
            </w:r>
          </w:p>
          <w:p w14:paraId="0BD1B2AD" w14:textId="77777777" w:rsidR="009948F1" w:rsidRDefault="00BC0563">
            <w:pPr>
              <w:pStyle w:val="TableParagraph"/>
              <w:numPr>
                <w:ilvl w:val="0"/>
                <w:numId w:val="182"/>
              </w:numPr>
              <w:tabs>
                <w:tab w:val="left" w:pos="106"/>
              </w:tabs>
              <w:spacing w:line="129" w:lineRule="exact"/>
              <w:ind w:left="105" w:hanging="79"/>
              <w:jc w:val="both"/>
              <w:rPr>
                <w:sz w:val="12"/>
              </w:rPr>
            </w:pPr>
            <w:r>
              <w:rPr>
                <w:color w:val="231F20"/>
                <w:w w:val="105"/>
                <w:sz w:val="12"/>
              </w:rPr>
              <w:t>Identification exercise</w:t>
            </w:r>
            <w:r>
              <w:rPr>
                <w:color w:val="231F20"/>
                <w:spacing w:val="-3"/>
                <w:w w:val="105"/>
                <w:sz w:val="12"/>
              </w:rPr>
              <w:t xml:space="preserve"> </w:t>
            </w:r>
            <w:r>
              <w:rPr>
                <w:color w:val="231F20"/>
                <w:w w:val="105"/>
                <w:sz w:val="12"/>
              </w:rPr>
              <w:t>conducted</w:t>
            </w:r>
          </w:p>
        </w:tc>
        <w:tc>
          <w:tcPr>
            <w:tcW w:w="1504" w:type="dxa"/>
            <w:tcBorders>
              <w:right w:val="single" w:sz="12" w:space="0" w:color="231F20"/>
            </w:tcBorders>
            <w:shd w:val="clear" w:color="auto" w:fill="CCE7D3"/>
          </w:tcPr>
          <w:p w14:paraId="06C04C0D" w14:textId="77777777" w:rsidR="009948F1" w:rsidRDefault="009948F1">
            <w:pPr>
              <w:pStyle w:val="TableParagraph"/>
              <w:rPr>
                <w:rFonts w:ascii="Times New Roman"/>
                <w:sz w:val="12"/>
              </w:rPr>
            </w:pPr>
          </w:p>
        </w:tc>
        <w:tc>
          <w:tcPr>
            <w:tcW w:w="1584" w:type="dxa"/>
            <w:tcBorders>
              <w:left w:val="single" w:sz="12" w:space="0" w:color="231F20"/>
              <w:right w:val="single" w:sz="8" w:space="0" w:color="231F20"/>
            </w:tcBorders>
            <w:shd w:val="clear" w:color="auto" w:fill="CCE7D3"/>
          </w:tcPr>
          <w:p w14:paraId="1A3240DA" w14:textId="77777777" w:rsidR="009948F1" w:rsidRDefault="009948F1">
            <w:pPr>
              <w:pStyle w:val="TableParagraph"/>
              <w:rPr>
                <w:rFonts w:ascii="Times New Roman"/>
                <w:sz w:val="12"/>
              </w:rPr>
            </w:pPr>
          </w:p>
        </w:tc>
      </w:tr>
      <w:tr w:rsidR="009948F1" w14:paraId="23F94ED7" w14:textId="77777777">
        <w:trPr>
          <w:trHeight w:val="466"/>
        </w:trPr>
        <w:tc>
          <w:tcPr>
            <w:tcW w:w="483" w:type="dxa"/>
            <w:vMerge w:val="restart"/>
            <w:tcBorders>
              <w:left w:val="single" w:sz="8" w:space="0" w:color="231F20"/>
            </w:tcBorders>
          </w:tcPr>
          <w:p w14:paraId="2443BBE3" w14:textId="77777777" w:rsidR="009948F1" w:rsidRDefault="009948F1">
            <w:pPr>
              <w:pStyle w:val="TableParagraph"/>
              <w:rPr>
                <w:rFonts w:ascii="Times New Roman"/>
                <w:sz w:val="12"/>
              </w:rPr>
            </w:pPr>
          </w:p>
        </w:tc>
        <w:tc>
          <w:tcPr>
            <w:tcW w:w="554" w:type="dxa"/>
          </w:tcPr>
          <w:p w14:paraId="558BBAF2" w14:textId="77777777" w:rsidR="009948F1" w:rsidRDefault="009948F1">
            <w:pPr>
              <w:pStyle w:val="TableParagraph"/>
              <w:spacing w:before="5"/>
              <w:rPr>
                <w:sz w:val="14"/>
              </w:rPr>
            </w:pPr>
          </w:p>
          <w:p w14:paraId="6C8FBAB1" w14:textId="77777777" w:rsidR="009948F1" w:rsidRDefault="00BC0563">
            <w:pPr>
              <w:pStyle w:val="TableParagraph"/>
              <w:ind w:left="67" w:right="46"/>
              <w:jc w:val="center"/>
              <w:rPr>
                <w:sz w:val="12"/>
              </w:rPr>
            </w:pPr>
            <w:r>
              <w:rPr>
                <w:color w:val="231F20"/>
                <w:w w:val="105"/>
                <w:sz w:val="12"/>
              </w:rPr>
              <w:t>4.5.3.a</w:t>
            </w:r>
          </w:p>
        </w:tc>
        <w:tc>
          <w:tcPr>
            <w:tcW w:w="5158" w:type="dxa"/>
            <w:gridSpan w:val="2"/>
          </w:tcPr>
          <w:p w14:paraId="60F9FDE7" w14:textId="77777777" w:rsidR="009948F1" w:rsidRDefault="00BC0563">
            <w:pPr>
              <w:pStyle w:val="TableParagraph"/>
              <w:spacing w:before="84" w:line="266" w:lineRule="auto"/>
              <w:ind w:left="26" w:right="510"/>
              <w:rPr>
                <w:sz w:val="12"/>
              </w:rPr>
            </w:pPr>
            <w:r>
              <w:rPr>
                <w:color w:val="231F20"/>
                <w:w w:val="105"/>
                <w:sz w:val="12"/>
              </w:rPr>
              <w:t>Conduct sensitization meeting with MOY, MOE, CBOs, FBOs, YBOs for support in prevention, detection &amp; management of HIV &amp; STIs among adolescents</w:t>
            </w:r>
          </w:p>
        </w:tc>
        <w:tc>
          <w:tcPr>
            <w:tcW w:w="1504" w:type="dxa"/>
          </w:tcPr>
          <w:p w14:paraId="718E6C71" w14:textId="77777777" w:rsidR="009948F1" w:rsidRDefault="009948F1">
            <w:pPr>
              <w:pStyle w:val="TableParagraph"/>
              <w:spacing w:before="5"/>
              <w:rPr>
                <w:sz w:val="14"/>
              </w:rPr>
            </w:pPr>
          </w:p>
          <w:p w14:paraId="7FE32FF8"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49B4464A" w14:textId="77777777" w:rsidR="009948F1" w:rsidRDefault="00BC0563">
            <w:pPr>
              <w:pStyle w:val="TableParagraph"/>
              <w:spacing w:before="89" w:line="266" w:lineRule="auto"/>
              <w:ind w:left="28"/>
              <w:rPr>
                <w:sz w:val="12"/>
              </w:rPr>
            </w:pPr>
            <w:r>
              <w:rPr>
                <w:color w:val="231F20"/>
                <w:w w:val="105"/>
                <w:sz w:val="12"/>
              </w:rPr>
              <w:t>Conduct sensitization meeting</w:t>
            </w:r>
          </w:p>
        </w:tc>
      </w:tr>
      <w:tr w:rsidR="009948F1" w14:paraId="6ACD23B8" w14:textId="77777777">
        <w:trPr>
          <w:trHeight w:val="466"/>
        </w:trPr>
        <w:tc>
          <w:tcPr>
            <w:tcW w:w="483" w:type="dxa"/>
            <w:vMerge/>
            <w:tcBorders>
              <w:top w:val="nil"/>
              <w:left w:val="single" w:sz="8" w:space="0" w:color="231F20"/>
            </w:tcBorders>
          </w:tcPr>
          <w:p w14:paraId="2E524C4C" w14:textId="77777777" w:rsidR="009948F1" w:rsidRDefault="009948F1">
            <w:pPr>
              <w:rPr>
                <w:sz w:val="2"/>
                <w:szCs w:val="2"/>
              </w:rPr>
            </w:pPr>
          </w:p>
        </w:tc>
        <w:tc>
          <w:tcPr>
            <w:tcW w:w="554" w:type="dxa"/>
          </w:tcPr>
          <w:p w14:paraId="2645D04F" w14:textId="77777777" w:rsidR="009948F1" w:rsidRDefault="009948F1">
            <w:pPr>
              <w:pStyle w:val="TableParagraph"/>
              <w:spacing w:before="5"/>
              <w:rPr>
                <w:sz w:val="14"/>
              </w:rPr>
            </w:pPr>
          </w:p>
          <w:p w14:paraId="5F55323A" w14:textId="77777777" w:rsidR="009948F1" w:rsidRDefault="00BC0563">
            <w:pPr>
              <w:pStyle w:val="TableParagraph"/>
              <w:ind w:left="67" w:right="46"/>
              <w:jc w:val="center"/>
              <w:rPr>
                <w:sz w:val="12"/>
              </w:rPr>
            </w:pPr>
            <w:r>
              <w:rPr>
                <w:color w:val="231F20"/>
                <w:w w:val="105"/>
                <w:sz w:val="12"/>
              </w:rPr>
              <w:t>4.5.3.b</w:t>
            </w:r>
          </w:p>
        </w:tc>
        <w:tc>
          <w:tcPr>
            <w:tcW w:w="5158" w:type="dxa"/>
            <w:gridSpan w:val="2"/>
          </w:tcPr>
          <w:p w14:paraId="6274B881" w14:textId="77777777" w:rsidR="009948F1" w:rsidRDefault="00BC0563">
            <w:pPr>
              <w:pStyle w:val="TableParagraph"/>
              <w:spacing w:before="84" w:line="266" w:lineRule="auto"/>
              <w:ind w:left="26"/>
              <w:rPr>
                <w:sz w:val="12"/>
              </w:rPr>
            </w:pPr>
            <w:r>
              <w:rPr>
                <w:color w:val="231F20"/>
                <w:w w:val="105"/>
                <w:sz w:val="12"/>
              </w:rPr>
              <w:t>Conduct TOT for secondary school (JS1 - SS3) teachers in the 23 LGAs on prevention, detection &amp; management of HIV &amp; STIs among adolescents</w:t>
            </w:r>
          </w:p>
        </w:tc>
        <w:tc>
          <w:tcPr>
            <w:tcW w:w="1504" w:type="dxa"/>
          </w:tcPr>
          <w:p w14:paraId="32D71A1C" w14:textId="77777777" w:rsidR="009948F1" w:rsidRDefault="009948F1">
            <w:pPr>
              <w:pStyle w:val="TableParagraph"/>
              <w:spacing w:before="5"/>
              <w:rPr>
                <w:sz w:val="14"/>
              </w:rPr>
            </w:pPr>
          </w:p>
          <w:p w14:paraId="01117792"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1624D5E3" w14:textId="77777777" w:rsidR="009948F1" w:rsidRDefault="009948F1">
            <w:pPr>
              <w:pStyle w:val="TableParagraph"/>
              <w:spacing w:before="5"/>
              <w:rPr>
                <w:sz w:val="14"/>
              </w:rPr>
            </w:pPr>
          </w:p>
          <w:p w14:paraId="1E2E21A3" w14:textId="77777777" w:rsidR="009948F1" w:rsidRDefault="00BC0563">
            <w:pPr>
              <w:pStyle w:val="TableParagraph"/>
              <w:ind w:left="28"/>
              <w:rPr>
                <w:sz w:val="12"/>
              </w:rPr>
            </w:pPr>
            <w:r>
              <w:rPr>
                <w:color w:val="231F20"/>
                <w:w w:val="105"/>
                <w:sz w:val="12"/>
              </w:rPr>
              <w:t>Conduct TOT</w:t>
            </w:r>
          </w:p>
        </w:tc>
      </w:tr>
      <w:tr w:rsidR="009948F1" w14:paraId="61748098" w14:textId="77777777">
        <w:trPr>
          <w:trHeight w:val="297"/>
        </w:trPr>
        <w:tc>
          <w:tcPr>
            <w:tcW w:w="483" w:type="dxa"/>
            <w:vMerge/>
            <w:tcBorders>
              <w:top w:val="nil"/>
              <w:left w:val="single" w:sz="8" w:space="0" w:color="231F20"/>
            </w:tcBorders>
          </w:tcPr>
          <w:p w14:paraId="5AE04690" w14:textId="77777777" w:rsidR="009948F1" w:rsidRDefault="009948F1">
            <w:pPr>
              <w:rPr>
                <w:sz w:val="2"/>
                <w:szCs w:val="2"/>
              </w:rPr>
            </w:pPr>
          </w:p>
        </w:tc>
        <w:tc>
          <w:tcPr>
            <w:tcW w:w="554" w:type="dxa"/>
          </w:tcPr>
          <w:p w14:paraId="68FFD628" w14:textId="77777777" w:rsidR="009948F1" w:rsidRDefault="00BC0563">
            <w:pPr>
              <w:pStyle w:val="TableParagraph"/>
              <w:spacing w:before="81"/>
              <w:ind w:left="67" w:right="46"/>
              <w:jc w:val="center"/>
              <w:rPr>
                <w:sz w:val="12"/>
              </w:rPr>
            </w:pPr>
            <w:r>
              <w:rPr>
                <w:color w:val="231F20"/>
                <w:w w:val="105"/>
                <w:sz w:val="12"/>
              </w:rPr>
              <w:t>4.5.3.c</w:t>
            </w:r>
          </w:p>
        </w:tc>
        <w:tc>
          <w:tcPr>
            <w:tcW w:w="5158" w:type="dxa"/>
            <w:gridSpan w:val="2"/>
          </w:tcPr>
          <w:p w14:paraId="39C7A030" w14:textId="77777777" w:rsidR="009948F1" w:rsidRDefault="00BC0563">
            <w:pPr>
              <w:pStyle w:val="TableParagraph"/>
              <w:spacing w:before="1"/>
              <w:ind w:left="26"/>
              <w:rPr>
                <w:sz w:val="12"/>
              </w:rPr>
            </w:pPr>
            <w:r>
              <w:rPr>
                <w:color w:val="231F20"/>
                <w:w w:val="105"/>
                <w:sz w:val="12"/>
              </w:rPr>
              <w:t>Train JSS1 - SS3 students on prevention, detection &amp; management of HIV &amp; STIs among</w:t>
            </w:r>
          </w:p>
          <w:p w14:paraId="3A591B3E" w14:textId="77777777" w:rsidR="009948F1" w:rsidRDefault="00BC0563">
            <w:pPr>
              <w:pStyle w:val="TableParagraph"/>
              <w:spacing w:before="16" w:line="123" w:lineRule="exact"/>
              <w:ind w:left="26"/>
              <w:rPr>
                <w:sz w:val="12"/>
              </w:rPr>
            </w:pPr>
            <w:r>
              <w:rPr>
                <w:color w:val="231F20"/>
                <w:w w:val="105"/>
                <w:sz w:val="12"/>
              </w:rPr>
              <w:t>adolescents</w:t>
            </w:r>
          </w:p>
        </w:tc>
        <w:tc>
          <w:tcPr>
            <w:tcW w:w="1504" w:type="dxa"/>
          </w:tcPr>
          <w:p w14:paraId="0776F025" w14:textId="77777777" w:rsidR="009948F1" w:rsidRDefault="00BC0563">
            <w:pPr>
              <w:pStyle w:val="TableParagraph"/>
              <w:spacing w:before="81"/>
              <w:ind w:left="27"/>
              <w:rPr>
                <w:sz w:val="12"/>
              </w:rPr>
            </w:pPr>
            <w:r>
              <w:rPr>
                <w:color w:val="231F20"/>
                <w:w w:val="105"/>
                <w:sz w:val="12"/>
              </w:rPr>
              <w:t>Lack of funds</w:t>
            </w:r>
          </w:p>
        </w:tc>
        <w:tc>
          <w:tcPr>
            <w:tcW w:w="1584" w:type="dxa"/>
            <w:tcBorders>
              <w:right w:val="single" w:sz="8" w:space="0" w:color="231F20"/>
            </w:tcBorders>
          </w:tcPr>
          <w:p w14:paraId="78E76E04" w14:textId="77777777" w:rsidR="009948F1" w:rsidRDefault="00BC0563">
            <w:pPr>
              <w:pStyle w:val="TableParagraph"/>
              <w:spacing w:before="81"/>
              <w:ind w:left="28"/>
              <w:rPr>
                <w:sz w:val="12"/>
              </w:rPr>
            </w:pPr>
            <w:r>
              <w:rPr>
                <w:color w:val="231F20"/>
                <w:w w:val="105"/>
                <w:sz w:val="12"/>
              </w:rPr>
              <w:t>Train JSS1 - SS3 students</w:t>
            </w:r>
          </w:p>
        </w:tc>
      </w:tr>
      <w:tr w:rsidR="009948F1" w14:paraId="3E6C3374" w14:textId="77777777">
        <w:trPr>
          <w:trHeight w:val="481"/>
        </w:trPr>
        <w:tc>
          <w:tcPr>
            <w:tcW w:w="483" w:type="dxa"/>
            <w:vMerge/>
            <w:tcBorders>
              <w:top w:val="nil"/>
              <w:left w:val="single" w:sz="8" w:space="0" w:color="231F20"/>
            </w:tcBorders>
          </w:tcPr>
          <w:p w14:paraId="4D762BD9" w14:textId="77777777" w:rsidR="009948F1" w:rsidRDefault="009948F1">
            <w:pPr>
              <w:rPr>
                <w:sz w:val="2"/>
                <w:szCs w:val="2"/>
              </w:rPr>
            </w:pPr>
          </w:p>
        </w:tc>
        <w:tc>
          <w:tcPr>
            <w:tcW w:w="554" w:type="dxa"/>
          </w:tcPr>
          <w:p w14:paraId="497CFB7F" w14:textId="77777777" w:rsidR="009948F1" w:rsidRDefault="009948F1">
            <w:pPr>
              <w:pStyle w:val="TableParagraph"/>
              <w:spacing w:before="1"/>
              <w:rPr>
                <w:sz w:val="15"/>
              </w:rPr>
            </w:pPr>
          </w:p>
          <w:p w14:paraId="5AC924E8" w14:textId="77777777" w:rsidR="009948F1" w:rsidRDefault="00BC0563">
            <w:pPr>
              <w:pStyle w:val="TableParagraph"/>
              <w:ind w:left="67" w:right="46"/>
              <w:jc w:val="center"/>
              <w:rPr>
                <w:sz w:val="12"/>
              </w:rPr>
            </w:pPr>
            <w:r>
              <w:rPr>
                <w:color w:val="231F20"/>
                <w:w w:val="105"/>
                <w:sz w:val="12"/>
              </w:rPr>
              <w:t>4.5.3.d</w:t>
            </w:r>
          </w:p>
        </w:tc>
        <w:tc>
          <w:tcPr>
            <w:tcW w:w="5158" w:type="dxa"/>
            <w:gridSpan w:val="2"/>
          </w:tcPr>
          <w:p w14:paraId="7199B617" w14:textId="77777777" w:rsidR="009948F1" w:rsidRDefault="00BC0563">
            <w:pPr>
              <w:pStyle w:val="TableParagraph"/>
              <w:spacing w:before="91" w:line="266" w:lineRule="auto"/>
              <w:ind w:left="26" w:right="19"/>
              <w:rPr>
                <w:sz w:val="12"/>
              </w:rPr>
            </w:pPr>
            <w:r>
              <w:rPr>
                <w:color w:val="231F20"/>
                <w:w w:val="105"/>
                <w:sz w:val="12"/>
              </w:rPr>
              <w:t>Train</w:t>
            </w:r>
            <w:r>
              <w:rPr>
                <w:color w:val="231F20"/>
                <w:spacing w:val="-5"/>
                <w:w w:val="105"/>
                <w:sz w:val="12"/>
              </w:rPr>
              <w:t xml:space="preserve"> </w:t>
            </w:r>
            <w:r>
              <w:rPr>
                <w:color w:val="231F20"/>
                <w:w w:val="105"/>
                <w:sz w:val="12"/>
              </w:rPr>
              <w:t>female</w:t>
            </w:r>
            <w:r>
              <w:rPr>
                <w:color w:val="231F20"/>
                <w:spacing w:val="-4"/>
                <w:w w:val="105"/>
                <w:sz w:val="12"/>
              </w:rPr>
              <w:t xml:space="preserve"> </w:t>
            </w:r>
            <w:r>
              <w:rPr>
                <w:color w:val="231F20"/>
                <w:w w:val="105"/>
                <w:sz w:val="12"/>
              </w:rPr>
              <w:t>secondary</w:t>
            </w:r>
            <w:r>
              <w:rPr>
                <w:color w:val="231F20"/>
                <w:spacing w:val="-4"/>
                <w:w w:val="105"/>
                <w:sz w:val="12"/>
              </w:rPr>
              <w:t xml:space="preserve"> </w:t>
            </w:r>
            <w:r>
              <w:rPr>
                <w:color w:val="231F20"/>
                <w:w w:val="105"/>
                <w:sz w:val="12"/>
              </w:rPr>
              <w:t>students</w:t>
            </w:r>
            <w:r>
              <w:rPr>
                <w:color w:val="231F20"/>
                <w:spacing w:val="-5"/>
                <w:w w:val="105"/>
                <w:sz w:val="12"/>
              </w:rPr>
              <w:t xml:space="preserve"> </w:t>
            </w:r>
            <w:r>
              <w:rPr>
                <w:color w:val="231F20"/>
                <w:w w:val="105"/>
                <w:sz w:val="12"/>
              </w:rPr>
              <w:t>in</w:t>
            </w:r>
            <w:r>
              <w:rPr>
                <w:color w:val="231F20"/>
                <w:spacing w:val="-4"/>
                <w:w w:val="105"/>
                <w:sz w:val="12"/>
              </w:rPr>
              <w:t xml:space="preserve"> </w:t>
            </w:r>
            <w:r>
              <w:rPr>
                <w:color w:val="231F20"/>
                <w:w w:val="105"/>
                <w:sz w:val="12"/>
              </w:rPr>
              <w:t>the</w:t>
            </w:r>
            <w:r>
              <w:rPr>
                <w:color w:val="231F20"/>
                <w:spacing w:val="-4"/>
                <w:w w:val="105"/>
                <w:sz w:val="12"/>
              </w:rPr>
              <w:t xml:space="preserve"> </w:t>
            </w:r>
            <w:r>
              <w:rPr>
                <w:color w:val="231F20"/>
                <w:w w:val="105"/>
                <w:sz w:val="12"/>
              </w:rPr>
              <w:t>23</w:t>
            </w:r>
            <w:r>
              <w:rPr>
                <w:color w:val="231F20"/>
                <w:spacing w:val="-4"/>
                <w:w w:val="105"/>
                <w:sz w:val="12"/>
              </w:rPr>
              <w:t xml:space="preserve"> </w:t>
            </w:r>
            <w:r>
              <w:rPr>
                <w:color w:val="231F20"/>
                <w:w w:val="105"/>
                <w:sz w:val="12"/>
              </w:rPr>
              <w:t>LGAs</w:t>
            </w:r>
            <w:r>
              <w:rPr>
                <w:color w:val="231F20"/>
                <w:spacing w:val="-5"/>
                <w:w w:val="105"/>
                <w:sz w:val="12"/>
              </w:rPr>
              <w:t xml:space="preserve"> </w:t>
            </w:r>
            <w:r>
              <w:rPr>
                <w:color w:val="231F20"/>
                <w:w w:val="105"/>
                <w:sz w:val="12"/>
              </w:rPr>
              <w:t>on</w:t>
            </w:r>
            <w:r>
              <w:rPr>
                <w:color w:val="231F20"/>
                <w:spacing w:val="-4"/>
                <w:w w:val="105"/>
                <w:sz w:val="12"/>
              </w:rPr>
              <w:t xml:space="preserve"> </w:t>
            </w:r>
            <w:r>
              <w:rPr>
                <w:color w:val="231F20"/>
                <w:w w:val="105"/>
                <w:sz w:val="12"/>
              </w:rPr>
              <w:t>cervical</w:t>
            </w:r>
            <w:r>
              <w:rPr>
                <w:color w:val="231F20"/>
                <w:spacing w:val="-4"/>
                <w:w w:val="105"/>
                <w:sz w:val="12"/>
              </w:rPr>
              <w:t xml:space="preserve"> </w:t>
            </w:r>
            <w:r>
              <w:rPr>
                <w:color w:val="231F20"/>
                <w:w w:val="105"/>
                <w:sz w:val="12"/>
              </w:rPr>
              <w:t>cancer</w:t>
            </w:r>
            <w:r>
              <w:rPr>
                <w:color w:val="231F20"/>
                <w:spacing w:val="-5"/>
                <w:w w:val="105"/>
                <w:sz w:val="12"/>
              </w:rPr>
              <w:t xml:space="preserve"> </w:t>
            </w:r>
            <w:r>
              <w:rPr>
                <w:color w:val="231F20"/>
                <w:w w:val="105"/>
                <w:sz w:val="12"/>
              </w:rPr>
              <w:t>prevention</w:t>
            </w:r>
            <w:r>
              <w:rPr>
                <w:color w:val="231F20"/>
                <w:spacing w:val="-4"/>
                <w:w w:val="105"/>
                <w:sz w:val="12"/>
              </w:rPr>
              <w:t xml:space="preserve"> </w:t>
            </w:r>
            <w:r>
              <w:rPr>
                <w:color w:val="231F20"/>
                <w:w w:val="105"/>
                <w:sz w:val="12"/>
              </w:rPr>
              <w:t>&amp;</w:t>
            </w:r>
            <w:r>
              <w:rPr>
                <w:color w:val="231F20"/>
                <w:spacing w:val="-4"/>
                <w:w w:val="105"/>
                <w:sz w:val="12"/>
              </w:rPr>
              <w:t xml:space="preserve"> </w:t>
            </w:r>
            <w:r>
              <w:rPr>
                <w:color w:val="231F20"/>
                <w:w w:val="105"/>
                <w:sz w:val="12"/>
              </w:rPr>
              <w:t>awareness creation</w:t>
            </w:r>
          </w:p>
        </w:tc>
        <w:tc>
          <w:tcPr>
            <w:tcW w:w="1504" w:type="dxa"/>
          </w:tcPr>
          <w:p w14:paraId="30EB7A15" w14:textId="77777777" w:rsidR="009948F1" w:rsidRDefault="009948F1">
            <w:pPr>
              <w:pStyle w:val="TableParagraph"/>
              <w:spacing w:before="1"/>
              <w:rPr>
                <w:sz w:val="15"/>
              </w:rPr>
            </w:pPr>
          </w:p>
          <w:p w14:paraId="54B7367E"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13B268D3" w14:textId="77777777" w:rsidR="009948F1" w:rsidRDefault="00BC0563">
            <w:pPr>
              <w:pStyle w:val="TableParagraph"/>
              <w:spacing w:before="96" w:line="266" w:lineRule="auto"/>
              <w:ind w:left="28"/>
              <w:rPr>
                <w:sz w:val="12"/>
              </w:rPr>
            </w:pPr>
            <w:r>
              <w:rPr>
                <w:color w:val="231F20"/>
                <w:w w:val="105"/>
                <w:sz w:val="12"/>
              </w:rPr>
              <w:t>Train female secondary students</w:t>
            </w:r>
          </w:p>
        </w:tc>
      </w:tr>
      <w:tr w:rsidR="009948F1" w14:paraId="7A29F98B" w14:textId="77777777">
        <w:trPr>
          <w:trHeight w:val="297"/>
        </w:trPr>
        <w:tc>
          <w:tcPr>
            <w:tcW w:w="483" w:type="dxa"/>
            <w:vMerge/>
            <w:tcBorders>
              <w:top w:val="nil"/>
              <w:left w:val="single" w:sz="8" w:space="0" w:color="231F20"/>
            </w:tcBorders>
          </w:tcPr>
          <w:p w14:paraId="57FEC9F2" w14:textId="77777777" w:rsidR="009948F1" w:rsidRDefault="009948F1">
            <w:pPr>
              <w:rPr>
                <w:sz w:val="2"/>
                <w:szCs w:val="2"/>
              </w:rPr>
            </w:pPr>
          </w:p>
        </w:tc>
        <w:tc>
          <w:tcPr>
            <w:tcW w:w="554" w:type="dxa"/>
          </w:tcPr>
          <w:p w14:paraId="64963CD4" w14:textId="77777777" w:rsidR="009948F1" w:rsidRDefault="00BC0563">
            <w:pPr>
              <w:pStyle w:val="TableParagraph"/>
              <w:spacing w:before="81"/>
              <w:ind w:left="67" w:right="46"/>
              <w:jc w:val="center"/>
              <w:rPr>
                <w:sz w:val="12"/>
              </w:rPr>
            </w:pPr>
            <w:r>
              <w:rPr>
                <w:color w:val="231F20"/>
                <w:w w:val="105"/>
                <w:sz w:val="12"/>
              </w:rPr>
              <w:t>4.5.3.e</w:t>
            </w:r>
          </w:p>
        </w:tc>
        <w:tc>
          <w:tcPr>
            <w:tcW w:w="5158" w:type="dxa"/>
            <w:gridSpan w:val="2"/>
          </w:tcPr>
          <w:p w14:paraId="72A86AC7" w14:textId="77777777" w:rsidR="009948F1" w:rsidRDefault="00BC0563">
            <w:pPr>
              <w:pStyle w:val="TableParagraph"/>
              <w:spacing w:before="76"/>
              <w:ind w:left="26"/>
              <w:rPr>
                <w:sz w:val="12"/>
              </w:rPr>
            </w:pPr>
            <w:r>
              <w:rPr>
                <w:color w:val="231F20"/>
                <w:w w:val="105"/>
                <w:sz w:val="12"/>
              </w:rPr>
              <w:t>Conduct identification exercise in schools in the state</w:t>
            </w:r>
          </w:p>
        </w:tc>
        <w:tc>
          <w:tcPr>
            <w:tcW w:w="1504" w:type="dxa"/>
          </w:tcPr>
          <w:p w14:paraId="4215455C" w14:textId="77777777" w:rsidR="009948F1" w:rsidRDefault="00BC0563">
            <w:pPr>
              <w:pStyle w:val="TableParagraph"/>
              <w:spacing w:before="81"/>
              <w:ind w:left="27"/>
              <w:rPr>
                <w:sz w:val="12"/>
              </w:rPr>
            </w:pPr>
            <w:r>
              <w:rPr>
                <w:color w:val="231F20"/>
                <w:w w:val="105"/>
                <w:sz w:val="12"/>
              </w:rPr>
              <w:t>Lack of funds</w:t>
            </w:r>
          </w:p>
        </w:tc>
        <w:tc>
          <w:tcPr>
            <w:tcW w:w="1584" w:type="dxa"/>
            <w:tcBorders>
              <w:right w:val="single" w:sz="8" w:space="0" w:color="231F20"/>
            </w:tcBorders>
          </w:tcPr>
          <w:p w14:paraId="4512B802" w14:textId="77777777" w:rsidR="009948F1" w:rsidRDefault="00BC0563">
            <w:pPr>
              <w:pStyle w:val="TableParagraph"/>
              <w:spacing w:before="81"/>
              <w:ind w:left="28"/>
              <w:rPr>
                <w:sz w:val="12"/>
              </w:rPr>
            </w:pPr>
            <w:r>
              <w:rPr>
                <w:color w:val="231F20"/>
                <w:w w:val="105"/>
                <w:sz w:val="12"/>
              </w:rPr>
              <w:t>Costed in 4.5.3c</w:t>
            </w:r>
          </w:p>
        </w:tc>
      </w:tr>
      <w:tr w:rsidR="009948F1" w14:paraId="67938764" w14:textId="77777777">
        <w:trPr>
          <w:trHeight w:val="1024"/>
        </w:trPr>
        <w:tc>
          <w:tcPr>
            <w:tcW w:w="483" w:type="dxa"/>
            <w:tcBorders>
              <w:left w:val="single" w:sz="12" w:space="0" w:color="231F20"/>
            </w:tcBorders>
            <w:shd w:val="clear" w:color="auto" w:fill="CCE7D3"/>
          </w:tcPr>
          <w:p w14:paraId="37573B03" w14:textId="77777777" w:rsidR="009948F1" w:rsidRDefault="009948F1">
            <w:pPr>
              <w:pStyle w:val="TableParagraph"/>
              <w:rPr>
                <w:sz w:val="12"/>
              </w:rPr>
            </w:pPr>
          </w:p>
          <w:p w14:paraId="287FC320" w14:textId="77777777" w:rsidR="009948F1" w:rsidRDefault="009948F1">
            <w:pPr>
              <w:pStyle w:val="TableParagraph"/>
              <w:rPr>
                <w:sz w:val="12"/>
              </w:rPr>
            </w:pPr>
          </w:p>
          <w:p w14:paraId="486D5EB8" w14:textId="77777777" w:rsidR="009948F1" w:rsidRDefault="009948F1">
            <w:pPr>
              <w:pStyle w:val="TableParagraph"/>
              <w:spacing w:before="8"/>
              <w:rPr>
                <w:sz w:val="14"/>
              </w:rPr>
            </w:pPr>
          </w:p>
          <w:p w14:paraId="26D7863F" w14:textId="77777777" w:rsidR="009948F1" w:rsidRDefault="00BC0563">
            <w:pPr>
              <w:pStyle w:val="TableParagraph"/>
              <w:ind w:left="37" w:right="102"/>
              <w:jc w:val="center"/>
              <w:rPr>
                <w:sz w:val="12"/>
              </w:rPr>
            </w:pPr>
            <w:r>
              <w:rPr>
                <w:color w:val="231F20"/>
                <w:w w:val="105"/>
                <w:sz w:val="12"/>
              </w:rPr>
              <w:t>4.5.4</w:t>
            </w:r>
          </w:p>
        </w:tc>
        <w:tc>
          <w:tcPr>
            <w:tcW w:w="3200" w:type="dxa"/>
            <w:gridSpan w:val="2"/>
            <w:shd w:val="clear" w:color="auto" w:fill="CCE7D3"/>
          </w:tcPr>
          <w:p w14:paraId="3545EAB7" w14:textId="77777777" w:rsidR="009948F1" w:rsidRDefault="009948F1">
            <w:pPr>
              <w:pStyle w:val="TableParagraph"/>
              <w:rPr>
                <w:sz w:val="12"/>
              </w:rPr>
            </w:pPr>
          </w:p>
          <w:p w14:paraId="564A416D" w14:textId="77777777" w:rsidR="009948F1" w:rsidRDefault="009948F1">
            <w:pPr>
              <w:pStyle w:val="TableParagraph"/>
              <w:rPr>
                <w:sz w:val="12"/>
              </w:rPr>
            </w:pPr>
          </w:p>
          <w:p w14:paraId="79BCCF5B" w14:textId="77777777" w:rsidR="009948F1" w:rsidRDefault="009948F1">
            <w:pPr>
              <w:pStyle w:val="TableParagraph"/>
              <w:spacing w:before="3"/>
              <w:rPr>
                <w:sz w:val="14"/>
              </w:rPr>
            </w:pPr>
          </w:p>
          <w:p w14:paraId="5B6BD150" w14:textId="77777777" w:rsidR="009948F1" w:rsidRDefault="00BC0563">
            <w:pPr>
              <w:pStyle w:val="TableParagraph"/>
              <w:ind w:left="61"/>
              <w:rPr>
                <w:sz w:val="12"/>
              </w:rPr>
            </w:pPr>
            <w:r>
              <w:rPr>
                <w:color w:val="231F20"/>
                <w:w w:val="105"/>
                <w:sz w:val="12"/>
              </w:rPr>
              <w:t>Promote Menstrual hygiene among adolescents</w:t>
            </w:r>
          </w:p>
        </w:tc>
        <w:tc>
          <w:tcPr>
            <w:tcW w:w="2512" w:type="dxa"/>
            <w:shd w:val="clear" w:color="auto" w:fill="CCE7D3"/>
          </w:tcPr>
          <w:p w14:paraId="5249E29F" w14:textId="77777777" w:rsidR="009948F1" w:rsidRDefault="00BC0563">
            <w:pPr>
              <w:pStyle w:val="TableParagraph"/>
              <w:numPr>
                <w:ilvl w:val="0"/>
                <w:numId w:val="181"/>
              </w:numPr>
              <w:tabs>
                <w:tab w:val="left" w:pos="99"/>
              </w:tabs>
              <w:spacing w:before="61" w:line="266" w:lineRule="auto"/>
              <w:ind w:right="186" w:firstLine="0"/>
              <w:rPr>
                <w:sz w:val="12"/>
              </w:rPr>
            </w:pPr>
            <w:r>
              <w:rPr>
                <w:color w:val="231F20"/>
                <w:w w:val="105"/>
                <w:sz w:val="12"/>
              </w:rPr>
              <w:t>At least 100 Health Educators &amp; Counselors trained on menstrual</w:t>
            </w:r>
            <w:r>
              <w:rPr>
                <w:color w:val="231F20"/>
                <w:spacing w:val="-12"/>
                <w:w w:val="105"/>
                <w:sz w:val="12"/>
              </w:rPr>
              <w:t xml:space="preserve"> </w:t>
            </w:r>
            <w:r>
              <w:rPr>
                <w:color w:val="231F20"/>
                <w:spacing w:val="-3"/>
                <w:w w:val="105"/>
                <w:sz w:val="12"/>
              </w:rPr>
              <w:t>hygiene</w:t>
            </w:r>
          </w:p>
          <w:p w14:paraId="7787D190" w14:textId="77777777" w:rsidR="009948F1" w:rsidRDefault="00BC0563">
            <w:pPr>
              <w:pStyle w:val="TableParagraph"/>
              <w:spacing w:line="266" w:lineRule="auto"/>
              <w:ind w:left="27" w:right="3"/>
              <w:rPr>
                <w:sz w:val="12"/>
              </w:rPr>
            </w:pPr>
            <w:r>
              <w:rPr>
                <w:color w:val="231F20"/>
                <w:w w:val="105"/>
                <w:sz w:val="12"/>
              </w:rPr>
              <w:t>•Health Education &amp; Peer to Peer education implemented</w:t>
            </w:r>
          </w:p>
          <w:p w14:paraId="307F7F6B" w14:textId="2F337B97" w:rsidR="009948F1" w:rsidRDefault="00BC0563">
            <w:pPr>
              <w:pStyle w:val="TableParagraph"/>
              <w:numPr>
                <w:ilvl w:val="0"/>
                <w:numId w:val="181"/>
              </w:numPr>
              <w:tabs>
                <w:tab w:val="left" w:pos="106"/>
              </w:tabs>
              <w:spacing w:line="266" w:lineRule="auto"/>
              <w:ind w:right="532" w:firstLine="0"/>
              <w:rPr>
                <w:sz w:val="12"/>
              </w:rPr>
            </w:pPr>
            <w:r>
              <w:rPr>
                <w:color w:val="231F20"/>
                <w:w w:val="105"/>
                <w:sz w:val="12"/>
              </w:rPr>
              <w:t xml:space="preserve">500 </w:t>
            </w:r>
            <w:r w:rsidR="009B6708">
              <w:rPr>
                <w:color w:val="231F20"/>
                <w:w w:val="105"/>
                <w:sz w:val="12"/>
              </w:rPr>
              <w:t>toiletries</w:t>
            </w:r>
            <w:r>
              <w:rPr>
                <w:color w:val="231F20"/>
                <w:w w:val="105"/>
                <w:sz w:val="12"/>
              </w:rPr>
              <w:t xml:space="preserve"> &amp; 500 </w:t>
            </w:r>
            <w:r w:rsidR="009B6708">
              <w:rPr>
                <w:color w:val="231F20"/>
                <w:w w:val="105"/>
                <w:sz w:val="12"/>
              </w:rPr>
              <w:t>sanitary</w:t>
            </w:r>
            <w:r>
              <w:rPr>
                <w:color w:val="231F20"/>
                <w:w w:val="105"/>
                <w:sz w:val="12"/>
              </w:rPr>
              <w:t xml:space="preserve"> </w:t>
            </w:r>
            <w:r>
              <w:rPr>
                <w:color w:val="231F20"/>
                <w:spacing w:val="-5"/>
                <w:w w:val="105"/>
                <w:sz w:val="12"/>
              </w:rPr>
              <w:t xml:space="preserve">pad </w:t>
            </w:r>
            <w:r>
              <w:rPr>
                <w:color w:val="231F20"/>
                <w:w w:val="105"/>
                <w:sz w:val="12"/>
              </w:rPr>
              <w:t>purchased &amp;</w:t>
            </w:r>
            <w:r>
              <w:rPr>
                <w:color w:val="231F20"/>
                <w:spacing w:val="-3"/>
                <w:w w:val="105"/>
                <w:sz w:val="12"/>
              </w:rPr>
              <w:t xml:space="preserve"> </w:t>
            </w:r>
            <w:r>
              <w:rPr>
                <w:color w:val="231F20"/>
                <w:w w:val="105"/>
                <w:sz w:val="12"/>
              </w:rPr>
              <w:t>distributed</w:t>
            </w:r>
          </w:p>
        </w:tc>
        <w:tc>
          <w:tcPr>
            <w:tcW w:w="1504" w:type="dxa"/>
            <w:tcBorders>
              <w:right w:val="single" w:sz="12" w:space="0" w:color="231F20"/>
            </w:tcBorders>
            <w:shd w:val="clear" w:color="auto" w:fill="CCE7D3"/>
          </w:tcPr>
          <w:p w14:paraId="2647FA53" w14:textId="77777777" w:rsidR="009948F1" w:rsidRDefault="009948F1">
            <w:pPr>
              <w:pStyle w:val="TableParagraph"/>
              <w:rPr>
                <w:rFonts w:ascii="Times New Roman"/>
                <w:sz w:val="12"/>
              </w:rPr>
            </w:pPr>
          </w:p>
        </w:tc>
        <w:tc>
          <w:tcPr>
            <w:tcW w:w="1584" w:type="dxa"/>
            <w:tcBorders>
              <w:left w:val="single" w:sz="12" w:space="0" w:color="231F20"/>
              <w:right w:val="single" w:sz="8" w:space="0" w:color="231F20"/>
            </w:tcBorders>
            <w:shd w:val="clear" w:color="auto" w:fill="CCE7D3"/>
          </w:tcPr>
          <w:p w14:paraId="325AFC73" w14:textId="77777777" w:rsidR="009948F1" w:rsidRDefault="009948F1">
            <w:pPr>
              <w:pStyle w:val="TableParagraph"/>
              <w:rPr>
                <w:rFonts w:ascii="Times New Roman"/>
                <w:sz w:val="12"/>
              </w:rPr>
            </w:pPr>
          </w:p>
        </w:tc>
      </w:tr>
      <w:tr w:rsidR="009948F1" w14:paraId="657DC647" w14:textId="77777777">
        <w:trPr>
          <w:trHeight w:val="293"/>
        </w:trPr>
        <w:tc>
          <w:tcPr>
            <w:tcW w:w="483" w:type="dxa"/>
            <w:vMerge w:val="restart"/>
            <w:tcBorders>
              <w:left w:val="single" w:sz="8" w:space="0" w:color="231F20"/>
            </w:tcBorders>
          </w:tcPr>
          <w:p w14:paraId="21BDE956" w14:textId="77777777" w:rsidR="009948F1" w:rsidRDefault="009948F1">
            <w:pPr>
              <w:pStyle w:val="TableParagraph"/>
              <w:rPr>
                <w:rFonts w:ascii="Times New Roman"/>
                <w:sz w:val="12"/>
              </w:rPr>
            </w:pPr>
          </w:p>
        </w:tc>
        <w:tc>
          <w:tcPr>
            <w:tcW w:w="554" w:type="dxa"/>
          </w:tcPr>
          <w:p w14:paraId="0DAD5233" w14:textId="77777777" w:rsidR="009948F1" w:rsidRDefault="00BC0563">
            <w:pPr>
              <w:pStyle w:val="TableParagraph"/>
              <w:spacing w:before="79"/>
              <w:ind w:left="67" w:right="46"/>
              <w:jc w:val="center"/>
              <w:rPr>
                <w:sz w:val="12"/>
              </w:rPr>
            </w:pPr>
            <w:r>
              <w:rPr>
                <w:color w:val="231F20"/>
                <w:w w:val="105"/>
                <w:sz w:val="12"/>
              </w:rPr>
              <w:t>4.5.4.a</w:t>
            </w:r>
          </w:p>
        </w:tc>
        <w:tc>
          <w:tcPr>
            <w:tcW w:w="5158" w:type="dxa"/>
            <w:gridSpan w:val="2"/>
          </w:tcPr>
          <w:p w14:paraId="4D372CB8" w14:textId="77777777" w:rsidR="009948F1" w:rsidRDefault="00BC0563">
            <w:pPr>
              <w:pStyle w:val="TableParagraph"/>
              <w:spacing w:before="1"/>
              <w:ind w:left="26"/>
              <w:rPr>
                <w:sz w:val="12"/>
              </w:rPr>
            </w:pPr>
            <w:r>
              <w:rPr>
                <w:color w:val="231F20"/>
                <w:w w:val="105"/>
                <w:sz w:val="12"/>
              </w:rPr>
              <w:t>Conduct TOT for Health Educators and counselors from concerned NGOs on menstrual</w:t>
            </w:r>
          </w:p>
          <w:p w14:paraId="58BB5F8A" w14:textId="77777777" w:rsidR="009948F1" w:rsidRDefault="00BC0563">
            <w:pPr>
              <w:pStyle w:val="TableParagraph"/>
              <w:spacing w:before="16" w:line="119" w:lineRule="exact"/>
              <w:ind w:left="26"/>
              <w:rPr>
                <w:sz w:val="12"/>
              </w:rPr>
            </w:pPr>
            <w:r>
              <w:rPr>
                <w:color w:val="231F20"/>
                <w:w w:val="105"/>
                <w:sz w:val="12"/>
              </w:rPr>
              <w:t>hygiene in the LGA/State</w:t>
            </w:r>
          </w:p>
        </w:tc>
        <w:tc>
          <w:tcPr>
            <w:tcW w:w="1504" w:type="dxa"/>
          </w:tcPr>
          <w:p w14:paraId="274D2307" w14:textId="77777777" w:rsidR="009948F1" w:rsidRDefault="00BC0563">
            <w:pPr>
              <w:pStyle w:val="TableParagraph"/>
              <w:spacing w:before="79"/>
              <w:ind w:left="27"/>
              <w:rPr>
                <w:sz w:val="12"/>
              </w:rPr>
            </w:pPr>
            <w:r>
              <w:rPr>
                <w:color w:val="231F20"/>
                <w:w w:val="105"/>
                <w:sz w:val="12"/>
              </w:rPr>
              <w:t>Lack of funds</w:t>
            </w:r>
          </w:p>
        </w:tc>
        <w:tc>
          <w:tcPr>
            <w:tcW w:w="1584" w:type="dxa"/>
            <w:tcBorders>
              <w:right w:val="single" w:sz="8" w:space="0" w:color="231F20"/>
            </w:tcBorders>
          </w:tcPr>
          <w:p w14:paraId="55457A9D" w14:textId="77777777" w:rsidR="009948F1" w:rsidRDefault="00BC0563">
            <w:pPr>
              <w:pStyle w:val="TableParagraph"/>
              <w:spacing w:before="79"/>
              <w:ind w:left="28"/>
              <w:rPr>
                <w:sz w:val="12"/>
              </w:rPr>
            </w:pPr>
            <w:r>
              <w:rPr>
                <w:color w:val="231F20"/>
                <w:w w:val="105"/>
                <w:sz w:val="12"/>
              </w:rPr>
              <w:t>Conduct TOT</w:t>
            </w:r>
          </w:p>
        </w:tc>
      </w:tr>
      <w:tr w:rsidR="009948F1" w14:paraId="384EECDE" w14:textId="77777777">
        <w:trPr>
          <w:trHeight w:val="282"/>
        </w:trPr>
        <w:tc>
          <w:tcPr>
            <w:tcW w:w="483" w:type="dxa"/>
            <w:vMerge/>
            <w:tcBorders>
              <w:top w:val="nil"/>
              <w:left w:val="single" w:sz="8" w:space="0" w:color="231F20"/>
            </w:tcBorders>
          </w:tcPr>
          <w:p w14:paraId="252C8B8E" w14:textId="77777777" w:rsidR="009948F1" w:rsidRDefault="009948F1">
            <w:pPr>
              <w:rPr>
                <w:sz w:val="2"/>
                <w:szCs w:val="2"/>
              </w:rPr>
            </w:pPr>
          </w:p>
        </w:tc>
        <w:tc>
          <w:tcPr>
            <w:tcW w:w="554" w:type="dxa"/>
          </w:tcPr>
          <w:p w14:paraId="38F2806E" w14:textId="77777777" w:rsidR="009948F1" w:rsidRDefault="00BC0563">
            <w:pPr>
              <w:pStyle w:val="TableParagraph"/>
              <w:spacing w:before="74"/>
              <w:ind w:left="67" w:right="46"/>
              <w:jc w:val="center"/>
              <w:rPr>
                <w:sz w:val="12"/>
              </w:rPr>
            </w:pPr>
            <w:r>
              <w:rPr>
                <w:color w:val="231F20"/>
                <w:w w:val="105"/>
                <w:sz w:val="12"/>
              </w:rPr>
              <w:t>4.5.4.b</w:t>
            </w:r>
          </w:p>
        </w:tc>
        <w:tc>
          <w:tcPr>
            <w:tcW w:w="5158" w:type="dxa"/>
            <w:gridSpan w:val="2"/>
          </w:tcPr>
          <w:p w14:paraId="4A35DE7E" w14:textId="77777777" w:rsidR="009948F1" w:rsidRDefault="00BC0563">
            <w:pPr>
              <w:pStyle w:val="TableParagraph"/>
              <w:spacing w:before="1"/>
              <w:ind w:left="26"/>
              <w:rPr>
                <w:sz w:val="12"/>
              </w:rPr>
            </w:pPr>
            <w:r>
              <w:rPr>
                <w:color w:val="231F20"/>
                <w:w w:val="105"/>
                <w:sz w:val="12"/>
              </w:rPr>
              <w:t>Conduct Health Education for secondary school girls in the state on Menstrual hygiene</w:t>
            </w:r>
          </w:p>
          <w:p w14:paraId="0FA55C25" w14:textId="77777777" w:rsidR="009948F1" w:rsidRDefault="00BC0563">
            <w:pPr>
              <w:pStyle w:val="TableParagraph"/>
              <w:spacing w:before="16" w:line="108" w:lineRule="exact"/>
              <w:ind w:left="26"/>
              <w:rPr>
                <w:sz w:val="12"/>
              </w:rPr>
            </w:pPr>
            <w:r>
              <w:rPr>
                <w:color w:val="231F20"/>
                <w:w w:val="105"/>
                <w:sz w:val="12"/>
              </w:rPr>
              <w:t>among adolescents</w:t>
            </w:r>
          </w:p>
        </w:tc>
        <w:tc>
          <w:tcPr>
            <w:tcW w:w="1504" w:type="dxa"/>
          </w:tcPr>
          <w:p w14:paraId="55CCBF26" w14:textId="77777777" w:rsidR="009948F1" w:rsidRDefault="00BC0563">
            <w:pPr>
              <w:pStyle w:val="TableParagraph"/>
              <w:spacing w:before="74"/>
              <w:ind w:left="27"/>
              <w:rPr>
                <w:sz w:val="12"/>
              </w:rPr>
            </w:pPr>
            <w:r>
              <w:rPr>
                <w:color w:val="231F20"/>
                <w:w w:val="105"/>
                <w:sz w:val="12"/>
              </w:rPr>
              <w:t>Lack of funds</w:t>
            </w:r>
          </w:p>
        </w:tc>
        <w:tc>
          <w:tcPr>
            <w:tcW w:w="1584" w:type="dxa"/>
            <w:tcBorders>
              <w:right w:val="single" w:sz="8" w:space="0" w:color="231F20"/>
            </w:tcBorders>
          </w:tcPr>
          <w:p w14:paraId="2ACDE820" w14:textId="77777777" w:rsidR="009948F1" w:rsidRDefault="00BC0563">
            <w:pPr>
              <w:pStyle w:val="TableParagraph"/>
              <w:spacing w:before="74"/>
              <w:ind w:left="28"/>
              <w:rPr>
                <w:sz w:val="12"/>
              </w:rPr>
            </w:pPr>
            <w:r>
              <w:rPr>
                <w:color w:val="231F20"/>
                <w:w w:val="105"/>
                <w:sz w:val="12"/>
              </w:rPr>
              <w:t>Costed in 4.5.3d</w:t>
            </w:r>
          </w:p>
        </w:tc>
      </w:tr>
      <w:tr w:rsidR="009948F1" w14:paraId="3677DD99" w14:textId="77777777">
        <w:trPr>
          <w:trHeight w:val="444"/>
        </w:trPr>
        <w:tc>
          <w:tcPr>
            <w:tcW w:w="483" w:type="dxa"/>
            <w:vMerge/>
            <w:tcBorders>
              <w:top w:val="nil"/>
              <w:left w:val="single" w:sz="8" w:space="0" w:color="231F20"/>
            </w:tcBorders>
          </w:tcPr>
          <w:p w14:paraId="46E1C0F0" w14:textId="77777777" w:rsidR="009948F1" w:rsidRDefault="009948F1">
            <w:pPr>
              <w:rPr>
                <w:sz w:val="2"/>
                <w:szCs w:val="2"/>
              </w:rPr>
            </w:pPr>
          </w:p>
        </w:tc>
        <w:tc>
          <w:tcPr>
            <w:tcW w:w="554" w:type="dxa"/>
          </w:tcPr>
          <w:p w14:paraId="5DB38B2E" w14:textId="77777777" w:rsidR="009948F1" w:rsidRDefault="009948F1">
            <w:pPr>
              <w:pStyle w:val="TableParagraph"/>
              <w:spacing w:before="5"/>
              <w:rPr>
                <w:sz w:val="13"/>
              </w:rPr>
            </w:pPr>
          </w:p>
          <w:p w14:paraId="4BEF554D" w14:textId="77777777" w:rsidR="009948F1" w:rsidRDefault="00BC0563">
            <w:pPr>
              <w:pStyle w:val="TableParagraph"/>
              <w:ind w:left="67" w:right="46"/>
              <w:jc w:val="center"/>
              <w:rPr>
                <w:sz w:val="12"/>
              </w:rPr>
            </w:pPr>
            <w:r>
              <w:rPr>
                <w:color w:val="231F20"/>
                <w:w w:val="105"/>
                <w:sz w:val="12"/>
              </w:rPr>
              <w:t>4.5.4.c</w:t>
            </w:r>
          </w:p>
        </w:tc>
        <w:tc>
          <w:tcPr>
            <w:tcW w:w="5158" w:type="dxa"/>
            <w:gridSpan w:val="2"/>
          </w:tcPr>
          <w:p w14:paraId="37A852E6" w14:textId="77777777" w:rsidR="009948F1" w:rsidRDefault="009948F1">
            <w:pPr>
              <w:pStyle w:val="TableParagraph"/>
              <w:rPr>
                <w:sz w:val="13"/>
              </w:rPr>
            </w:pPr>
          </w:p>
          <w:p w14:paraId="4F8118EC" w14:textId="13CFE938" w:rsidR="009948F1" w:rsidRDefault="00BC0563">
            <w:pPr>
              <w:pStyle w:val="TableParagraph"/>
              <w:ind w:left="26"/>
              <w:rPr>
                <w:sz w:val="12"/>
              </w:rPr>
            </w:pPr>
            <w:r>
              <w:rPr>
                <w:color w:val="231F20"/>
                <w:w w:val="105"/>
                <w:sz w:val="12"/>
              </w:rPr>
              <w:t xml:space="preserve">Conduct peer to peer education in </w:t>
            </w:r>
            <w:r w:rsidR="009B6708">
              <w:rPr>
                <w:color w:val="231F20"/>
                <w:w w:val="105"/>
                <w:sz w:val="12"/>
              </w:rPr>
              <w:t>girls’</w:t>
            </w:r>
            <w:r>
              <w:rPr>
                <w:color w:val="231F20"/>
                <w:w w:val="105"/>
                <w:sz w:val="12"/>
              </w:rPr>
              <w:t xml:space="preserve"> schools in the 23 LGAs</w:t>
            </w:r>
          </w:p>
        </w:tc>
        <w:tc>
          <w:tcPr>
            <w:tcW w:w="1504" w:type="dxa"/>
          </w:tcPr>
          <w:p w14:paraId="26A5E7A2" w14:textId="77777777" w:rsidR="009948F1" w:rsidRDefault="009948F1">
            <w:pPr>
              <w:pStyle w:val="TableParagraph"/>
              <w:spacing w:before="5"/>
              <w:rPr>
                <w:sz w:val="13"/>
              </w:rPr>
            </w:pPr>
          </w:p>
          <w:p w14:paraId="45B3F9C8"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248255E2" w14:textId="77777777" w:rsidR="009948F1" w:rsidRDefault="009948F1">
            <w:pPr>
              <w:pStyle w:val="TableParagraph"/>
              <w:spacing w:before="5"/>
              <w:rPr>
                <w:sz w:val="13"/>
              </w:rPr>
            </w:pPr>
          </w:p>
          <w:p w14:paraId="37258BFB" w14:textId="77777777" w:rsidR="009948F1" w:rsidRDefault="00BC0563">
            <w:pPr>
              <w:pStyle w:val="TableParagraph"/>
              <w:ind w:left="28"/>
              <w:rPr>
                <w:sz w:val="12"/>
              </w:rPr>
            </w:pPr>
            <w:r>
              <w:rPr>
                <w:color w:val="231F20"/>
                <w:w w:val="105"/>
                <w:sz w:val="12"/>
              </w:rPr>
              <w:t>Costed in 4.5.3d</w:t>
            </w:r>
          </w:p>
        </w:tc>
      </w:tr>
      <w:tr w:rsidR="009948F1" w14:paraId="7DC9E6F6" w14:textId="77777777">
        <w:trPr>
          <w:trHeight w:val="738"/>
        </w:trPr>
        <w:tc>
          <w:tcPr>
            <w:tcW w:w="483" w:type="dxa"/>
            <w:vMerge/>
            <w:tcBorders>
              <w:top w:val="nil"/>
              <w:left w:val="single" w:sz="8" w:space="0" w:color="231F20"/>
            </w:tcBorders>
          </w:tcPr>
          <w:p w14:paraId="2F7D0003" w14:textId="77777777" w:rsidR="009948F1" w:rsidRDefault="009948F1">
            <w:pPr>
              <w:rPr>
                <w:sz w:val="2"/>
                <w:szCs w:val="2"/>
              </w:rPr>
            </w:pPr>
          </w:p>
        </w:tc>
        <w:tc>
          <w:tcPr>
            <w:tcW w:w="554" w:type="dxa"/>
          </w:tcPr>
          <w:p w14:paraId="69764D3A" w14:textId="77777777" w:rsidR="009948F1" w:rsidRDefault="009948F1">
            <w:pPr>
              <w:pStyle w:val="TableParagraph"/>
              <w:rPr>
                <w:sz w:val="12"/>
              </w:rPr>
            </w:pPr>
          </w:p>
          <w:p w14:paraId="7A7D979D" w14:textId="77777777" w:rsidR="009948F1" w:rsidRDefault="009948F1">
            <w:pPr>
              <w:pStyle w:val="TableParagraph"/>
              <w:spacing w:before="2"/>
              <w:rPr>
                <w:sz w:val="14"/>
              </w:rPr>
            </w:pPr>
          </w:p>
          <w:p w14:paraId="3F2E514E" w14:textId="77777777" w:rsidR="009948F1" w:rsidRDefault="00BC0563">
            <w:pPr>
              <w:pStyle w:val="TableParagraph"/>
              <w:spacing w:before="1"/>
              <w:ind w:left="67" w:right="46"/>
              <w:jc w:val="center"/>
              <w:rPr>
                <w:sz w:val="12"/>
              </w:rPr>
            </w:pPr>
            <w:r>
              <w:rPr>
                <w:color w:val="231F20"/>
                <w:w w:val="105"/>
                <w:sz w:val="12"/>
              </w:rPr>
              <w:t>4.5.4.d</w:t>
            </w:r>
          </w:p>
        </w:tc>
        <w:tc>
          <w:tcPr>
            <w:tcW w:w="5158" w:type="dxa"/>
            <w:gridSpan w:val="2"/>
          </w:tcPr>
          <w:p w14:paraId="6EF1ED22" w14:textId="77777777" w:rsidR="009948F1" w:rsidRDefault="009948F1">
            <w:pPr>
              <w:pStyle w:val="TableParagraph"/>
              <w:rPr>
                <w:sz w:val="12"/>
              </w:rPr>
            </w:pPr>
          </w:p>
          <w:p w14:paraId="52231C59" w14:textId="77777777" w:rsidR="009948F1" w:rsidRDefault="009948F1">
            <w:pPr>
              <w:pStyle w:val="TableParagraph"/>
              <w:spacing w:before="9"/>
              <w:rPr>
                <w:sz w:val="13"/>
              </w:rPr>
            </w:pPr>
          </w:p>
          <w:p w14:paraId="28036ADC" w14:textId="644ABAC4" w:rsidR="009948F1" w:rsidRDefault="00BC0563">
            <w:pPr>
              <w:pStyle w:val="TableParagraph"/>
              <w:ind w:left="26"/>
              <w:rPr>
                <w:sz w:val="12"/>
              </w:rPr>
            </w:pPr>
            <w:r>
              <w:rPr>
                <w:color w:val="231F20"/>
                <w:w w:val="105"/>
                <w:sz w:val="12"/>
              </w:rPr>
              <w:t xml:space="preserve">Purchase &amp; distribute toiletries &amp; sanitary pad to secondary </w:t>
            </w:r>
            <w:r w:rsidR="00683F0D">
              <w:rPr>
                <w:color w:val="231F20"/>
                <w:w w:val="105"/>
                <w:sz w:val="12"/>
              </w:rPr>
              <w:t>school</w:t>
            </w:r>
            <w:r>
              <w:rPr>
                <w:color w:val="231F20"/>
                <w:w w:val="105"/>
                <w:sz w:val="12"/>
              </w:rPr>
              <w:t xml:space="preserve"> females in the 23 LGA</w:t>
            </w:r>
          </w:p>
        </w:tc>
        <w:tc>
          <w:tcPr>
            <w:tcW w:w="1504" w:type="dxa"/>
          </w:tcPr>
          <w:p w14:paraId="26273C4F" w14:textId="77777777" w:rsidR="009948F1" w:rsidRDefault="009948F1">
            <w:pPr>
              <w:pStyle w:val="TableParagraph"/>
              <w:rPr>
                <w:sz w:val="12"/>
              </w:rPr>
            </w:pPr>
          </w:p>
          <w:p w14:paraId="4A4179FE" w14:textId="77777777" w:rsidR="009948F1" w:rsidRDefault="009948F1">
            <w:pPr>
              <w:pStyle w:val="TableParagraph"/>
              <w:spacing w:before="2"/>
              <w:rPr>
                <w:sz w:val="14"/>
              </w:rPr>
            </w:pPr>
          </w:p>
          <w:p w14:paraId="4CF1D034" w14:textId="77777777" w:rsidR="009948F1" w:rsidRDefault="00BC0563">
            <w:pPr>
              <w:pStyle w:val="TableParagraph"/>
              <w:spacing w:before="1"/>
              <w:ind w:left="27"/>
              <w:rPr>
                <w:sz w:val="12"/>
              </w:rPr>
            </w:pPr>
            <w:r>
              <w:rPr>
                <w:color w:val="231F20"/>
                <w:w w:val="105"/>
                <w:sz w:val="12"/>
              </w:rPr>
              <w:t>Lack of funds</w:t>
            </w:r>
          </w:p>
        </w:tc>
        <w:tc>
          <w:tcPr>
            <w:tcW w:w="1584" w:type="dxa"/>
            <w:tcBorders>
              <w:right w:val="single" w:sz="8" w:space="0" w:color="231F20"/>
            </w:tcBorders>
          </w:tcPr>
          <w:p w14:paraId="73CD26F1" w14:textId="77777777" w:rsidR="009948F1" w:rsidRDefault="009948F1">
            <w:pPr>
              <w:pStyle w:val="TableParagraph"/>
              <w:rPr>
                <w:sz w:val="12"/>
              </w:rPr>
            </w:pPr>
          </w:p>
          <w:p w14:paraId="205BD367" w14:textId="7DAB167B" w:rsidR="009948F1" w:rsidRDefault="00BC0563">
            <w:pPr>
              <w:pStyle w:val="TableParagraph"/>
              <w:spacing w:before="86" w:line="266" w:lineRule="auto"/>
              <w:ind w:left="28"/>
              <w:rPr>
                <w:sz w:val="12"/>
              </w:rPr>
            </w:pPr>
            <w:r>
              <w:rPr>
                <w:color w:val="231F20"/>
                <w:w w:val="105"/>
                <w:sz w:val="12"/>
              </w:rPr>
              <w:t xml:space="preserve">Purchase &amp; distribute </w:t>
            </w:r>
            <w:r w:rsidR="009B6708">
              <w:rPr>
                <w:color w:val="231F20"/>
                <w:w w:val="105"/>
                <w:sz w:val="12"/>
              </w:rPr>
              <w:t>toiletries</w:t>
            </w:r>
            <w:r>
              <w:rPr>
                <w:color w:val="231F20"/>
                <w:w w:val="105"/>
                <w:sz w:val="12"/>
              </w:rPr>
              <w:t xml:space="preserve"> &amp; </w:t>
            </w:r>
            <w:r w:rsidR="009B6708">
              <w:rPr>
                <w:color w:val="231F20"/>
                <w:w w:val="105"/>
                <w:sz w:val="12"/>
              </w:rPr>
              <w:t>sanitary</w:t>
            </w:r>
            <w:r>
              <w:rPr>
                <w:color w:val="231F20"/>
                <w:w w:val="105"/>
                <w:sz w:val="12"/>
              </w:rPr>
              <w:t xml:space="preserve"> pads</w:t>
            </w:r>
          </w:p>
        </w:tc>
      </w:tr>
      <w:tr w:rsidR="009948F1" w14:paraId="5BB8492A" w14:textId="77777777">
        <w:trPr>
          <w:trHeight w:val="873"/>
        </w:trPr>
        <w:tc>
          <w:tcPr>
            <w:tcW w:w="483" w:type="dxa"/>
            <w:tcBorders>
              <w:left w:val="single" w:sz="12" w:space="0" w:color="231F20"/>
            </w:tcBorders>
            <w:shd w:val="clear" w:color="auto" w:fill="CCE7D3"/>
          </w:tcPr>
          <w:p w14:paraId="45AE75AF" w14:textId="77777777" w:rsidR="009948F1" w:rsidRDefault="009948F1">
            <w:pPr>
              <w:pStyle w:val="TableParagraph"/>
              <w:rPr>
                <w:sz w:val="12"/>
              </w:rPr>
            </w:pPr>
          </w:p>
          <w:p w14:paraId="50E5A067" w14:textId="77777777" w:rsidR="009948F1" w:rsidRDefault="009948F1">
            <w:pPr>
              <w:pStyle w:val="TableParagraph"/>
              <w:rPr>
                <w:sz w:val="12"/>
              </w:rPr>
            </w:pPr>
          </w:p>
          <w:p w14:paraId="1447637E" w14:textId="77777777" w:rsidR="009948F1" w:rsidRDefault="00BC0563">
            <w:pPr>
              <w:pStyle w:val="TableParagraph"/>
              <w:spacing w:before="93"/>
              <w:ind w:left="37" w:right="102"/>
              <w:jc w:val="center"/>
              <w:rPr>
                <w:sz w:val="12"/>
              </w:rPr>
            </w:pPr>
            <w:r>
              <w:rPr>
                <w:color w:val="231F20"/>
                <w:w w:val="105"/>
                <w:sz w:val="12"/>
              </w:rPr>
              <w:t>4.5.5</w:t>
            </w:r>
          </w:p>
        </w:tc>
        <w:tc>
          <w:tcPr>
            <w:tcW w:w="3200" w:type="dxa"/>
            <w:gridSpan w:val="2"/>
            <w:shd w:val="clear" w:color="auto" w:fill="CCE7D3"/>
          </w:tcPr>
          <w:p w14:paraId="11C0849C" w14:textId="77777777" w:rsidR="009948F1" w:rsidRDefault="009948F1">
            <w:pPr>
              <w:pStyle w:val="TableParagraph"/>
              <w:rPr>
                <w:sz w:val="12"/>
              </w:rPr>
            </w:pPr>
          </w:p>
          <w:p w14:paraId="21AC121E" w14:textId="77777777" w:rsidR="009948F1" w:rsidRDefault="009948F1">
            <w:pPr>
              <w:pStyle w:val="TableParagraph"/>
              <w:rPr>
                <w:sz w:val="13"/>
              </w:rPr>
            </w:pPr>
          </w:p>
          <w:p w14:paraId="613FBA46" w14:textId="77777777" w:rsidR="009948F1" w:rsidRDefault="00BC0563">
            <w:pPr>
              <w:pStyle w:val="TableParagraph"/>
              <w:spacing w:line="266" w:lineRule="auto"/>
              <w:ind w:left="26" w:right="7" w:firstLine="34"/>
              <w:rPr>
                <w:sz w:val="12"/>
              </w:rPr>
            </w:pPr>
            <w:r>
              <w:rPr>
                <w:color w:val="231F20"/>
                <w:w w:val="105"/>
                <w:sz w:val="12"/>
              </w:rPr>
              <w:t>Scale-up implementation of adolescent sexual and reproductive health education in the school curriculum</w:t>
            </w:r>
          </w:p>
        </w:tc>
        <w:tc>
          <w:tcPr>
            <w:tcW w:w="2512" w:type="dxa"/>
            <w:shd w:val="clear" w:color="auto" w:fill="CCE7D3"/>
          </w:tcPr>
          <w:p w14:paraId="64DA042B" w14:textId="77777777" w:rsidR="009948F1" w:rsidRDefault="00BC0563">
            <w:pPr>
              <w:pStyle w:val="TableParagraph"/>
              <w:numPr>
                <w:ilvl w:val="0"/>
                <w:numId w:val="180"/>
              </w:numPr>
              <w:tabs>
                <w:tab w:val="left" w:pos="99"/>
              </w:tabs>
              <w:spacing w:before="62" w:line="266" w:lineRule="auto"/>
              <w:ind w:right="38" w:firstLine="0"/>
              <w:jc w:val="both"/>
              <w:rPr>
                <w:sz w:val="12"/>
              </w:rPr>
            </w:pPr>
            <w:r>
              <w:rPr>
                <w:color w:val="231F20"/>
                <w:w w:val="105"/>
                <w:sz w:val="12"/>
              </w:rPr>
              <w:t xml:space="preserve">Adolescent sexual and reproductive </w:t>
            </w:r>
            <w:r>
              <w:rPr>
                <w:color w:val="231F20"/>
                <w:spacing w:val="-3"/>
                <w:w w:val="105"/>
                <w:sz w:val="12"/>
              </w:rPr>
              <w:t xml:space="preserve">health </w:t>
            </w:r>
            <w:r>
              <w:rPr>
                <w:color w:val="231F20"/>
                <w:w w:val="105"/>
                <w:sz w:val="12"/>
              </w:rPr>
              <w:t xml:space="preserve">education included in school curriculum </w:t>
            </w:r>
            <w:r>
              <w:rPr>
                <w:color w:val="231F20"/>
                <w:spacing w:val="-5"/>
                <w:w w:val="105"/>
                <w:sz w:val="12"/>
              </w:rPr>
              <w:t xml:space="preserve">and </w:t>
            </w:r>
            <w:r>
              <w:rPr>
                <w:color w:val="231F20"/>
                <w:w w:val="105"/>
                <w:sz w:val="12"/>
              </w:rPr>
              <w:t>implemented</w:t>
            </w:r>
          </w:p>
          <w:p w14:paraId="1ADEBF50" w14:textId="77777777" w:rsidR="009948F1" w:rsidRDefault="00BC0563">
            <w:pPr>
              <w:pStyle w:val="TableParagraph"/>
              <w:numPr>
                <w:ilvl w:val="0"/>
                <w:numId w:val="180"/>
              </w:numPr>
              <w:tabs>
                <w:tab w:val="left" w:pos="106"/>
              </w:tabs>
              <w:ind w:left="105" w:hanging="79"/>
              <w:jc w:val="both"/>
              <w:rPr>
                <w:sz w:val="12"/>
              </w:rPr>
            </w:pPr>
            <w:r>
              <w:rPr>
                <w:color w:val="231F20"/>
                <w:w w:val="105"/>
                <w:sz w:val="12"/>
              </w:rPr>
              <w:t>! Hilux &amp; 1 bus</w:t>
            </w:r>
            <w:r>
              <w:rPr>
                <w:color w:val="231F20"/>
                <w:spacing w:val="-5"/>
                <w:w w:val="105"/>
                <w:sz w:val="12"/>
              </w:rPr>
              <w:t xml:space="preserve"> </w:t>
            </w:r>
            <w:r>
              <w:rPr>
                <w:color w:val="231F20"/>
                <w:w w:val="105"/>
                <w:sz w:val="12"/>
              </w:rPr>
              <w:t>purchased</w:t>
            </w:r>
          </w:p>
          <w:p w14:paraId="6E5E23CC" w14:textId="77777777" w:rsidR="009948F1" w:rsidRDefault="00BC0563">
            <w:pPr>
              <w:pStyle w:val="TableParagraph"/>
              <w:spacing w:before="16"/>
              <w:ind w:left="27"/>
              <w:rPr>
                <w:sz w:val="12"/>
              </w:rPr>
            </w:pPr>
            <w:r>
              <w:rPr>
                <w:color w:val="231F20"/>
                <w:w w:val="104"/>
                <w:sz w:val="12"/>
              </w:rPr>
              <w:t>•</w:t>
            </w:r>
          </w:p>
        </w:tc>
        <w:tc>
          <w:tcPr>
            <w:tcW w:w="1504" w:type="dxa"/>
            <w:tcBorders>
              <w:right w:val="single" w:sz="12" w:space="0" w:color="231F20"/>
            </w:tcBorders>
            <w:shd w:val="clear" w:color="auto" w:fill="CCE7D3"/>
          </w:tcPr>
          <w:p w14:paraId="2C902ABE" w14:textId="77777777" w:rsidR="009948F1" w:rsidRDefault="009948F1">
            <w:pPr>
              <w:pStyle w:val="TableParagraph"/>
              <w:rPr>
                <w:rFonts w:ascii="Times New Roman"/>
                <w:sz w:val="12"/>
              </w:rPr>
            </w:pPr>
          </w:p>
        </w:tc>
        <w:tc>
          <w:tcPr>
            <w:tcW w:w="1584" w:type="dxa"/>
            <w:tcBorders>
              <w:left w:val="single" w:sz="12" w:space="0" w:color="231F20"/>
              <w:right w:val="single" w:sz="8" w:space="0" w:color="231F20"/>
            </w:tcBorders>
            <w:shd w:val="clear" w:color="auto" w:fill="CCE7D3"/>
          </w:tcPr>
          <w:p w14:paraId="31C48893" w14:textId="77777777" w:rsidR="009948F1" w:rsidRDefault="009948F1">
            <w:pPr>
              <w:pStyle w:val="TableParagraph"/>
              <w:rPr>
                <w:rFonts w:ascii="Times New Roman"/>
                <w:sz w:val="12"/>
              </w:rPr>
            </w:pPr>
          </w:p>
        </w:tc>
      </w:tr>
      <w:tr w:rsidR="009948F1" w14:paraId="105BE1E1" w14:textId="77777777">
        <w:trPr>
          <w:trHeight w:val="496"/>
        </w:trPr>
        <w:tc>
          <w:tcPr>
            <w:tcW w:w="483" w:type="dxa"/>
            <w:vMerge w:val="restart"/>
            <w:tcBorders>
              <w:left w:val="single" w:sz="8" w:space="0" w:color="231F20"/>
            </w:tcBorders>
          </w:tcPr>
          <w:p w14:paraId="47DBC153" w14:textId="77777777" w:rsidR="009948F1" w:rsidRDefault="009948F1">
            <w:pPr>
              <w:pStyle w:val="TableParagraph"/>
              <w:rPr>
                <w:rFonts w:ascii="Times New Roman"/>
                <w:sz w:val="12"/>
              </w:rPr>
            </w:pPr>
          </w:p>
        </w:tc>
        <w:tc>
          <w:tcPr>
            <w:tcW w:w="554" w:type="dxa"/>
          </w:tcPr>
          <w:p w14:paraId="54946AA9" w14:textId="77777777" w:rsidR="009948F1" w:rsidRDefault="009948F1">
            <w:pPr>
              <w:pStyle w:val="TableParagraph"/>
              <w:spacing w:before="8"/>
              <w:rPr>
                <w:sz w:val="15"/>
              </w:rPr>
            </w:pPr>
          </w:p>
          <w:p w14:paraId="5CCCC99B" w14:textId="77777777" w:rsidR="009948F1" w:rsidRDefault="00BC0563">
            <w:pPr>
              <w:pStyle w:val="TableParagraph"/>
              <w:ind w:left="67" w:right="46"/>
              <w:jc w:val="center"/>
              <w:rPr>
                <w:sz w:val="12"/>
              </w:rPr>
            </w:pPr>
            <w:r>
              <w:rPr>
                <w:color w:val="231F20"/>
                <w:w w:val="105"/>
                <w:sz w:val="12"/>
              </w:rPr>
              <w:t>4.5.5.a</w:t>
            </w:r>
          </w:p>
        </w:tc>
        <w:tc>
          <w:tcPr>
            <w:tcW w:w="5158" w:type="dxa"/>
            <w:gridSpan w:val="2"/>
          </w:tcPr>
          <w:p w14:paraId="375F34F2" w14:textId="77777777" w:rsidR="009948F1" w:rsidRDefault="009948F1">
            <w:pPr>
              <w:pStyle w:val="TableParagraph"/>
              <w:spacing w:before="3"/>
              <w:rPr>
                <w:sz w:val="15"/>
              </w:rPr>
            </w:pPr>
          </w:p>
          <w:p w14:paraId="5A7F087F" w14:textId="77777777" w:rsidR="009948F1" w:rsidRDefault="00BC0563">
            <w:pPr>
              <w:pStyle w:val="TableParagraph"/>
              <w:ind w:left="26"/>
              <w:rPr>
                <w:sz w:val="12"/>
              </w:rPr>
            </w:pPr>
            <w:r>
              <w:rPr>
                <w:color w:val="231F20"/>
                <w:w w:val="105"/>
                <w:sz w:val="12"/>
              </w:rPr>
              <w:t>Advocate for inclusion of adolescent sexual reproductive health in the school curriculum</w:t>
            </w:r>
          </w:p>
        </w:tc>
        <w:tc>
          <w:tcPr>
            <w:tcW w:w="1504" w:type="dxa"/>
          </w:tcPr>
          <w:p w14:paraId="5675CF25" w14:textId="77777777" w:rsidR="009948F1" w:rsidRDefault="009948F1">
            <w:pPr>
              <w:pStyle w:val="TableParagraph"/>
              <w:spacing w:before="8"/>
              <w:rPr>
                <w:sz w:val="15"/>
              </w:rPr>
            </w:pPr>
          </w:p>
          <w:p w14:paraId="0098A493" w14:textId="77777777" w:rsidR="009948F1" w:rsidRDefault="00BC0563">
            <w:pPr>
              <w:pStyle w:val="TableParagraph"/>
              <w:ind w:left="27"/>
              <w:rPr>
                <w:sz w:val="12"/>
              </w:rPr>
            </w:pPr>
            <w:r>
              <w:rPr>
                <w:color w:val="231F20"/>
                <w:w w:val="105"/>
                <w:sz w:val="12"/>
              </w:rPr>
              <w:t>Lack of funds</w:t>
            </w:r>
          </w:p>
        </w:tc>
        <w:tc>
          <w:tcPr>
            <w:tcW w:w="1584" w:type="dxa"/>
            <w:tcBorders>
              <w:right w:val="single" w:sz="8" w:space="0" w:color="231F20"/>
            </w:tcBorders>
          </w:tcPr>
          <w:p w14:paraId="7AEE3E9E" w14:textId="77777777" w:rsidR="009948F1" w:rsidRDefault="009948F1">
            <w:pPr>
              <w:pStyle w:val="TableParagraph"/>
              <w:spacing w:before="8"/>
              <w:rPr>
                <w:sz w:val="15"/>
              </w:rPr>
            </w:pPr>
          </w:p>
          <w:p w14:paraId="20E51B7A" w14:textId="77777777" w:rsidR="009948F1" w:rsidRDefault="00BC0563">
            <w:pPr>
              <w:pStyle w:val="TableParagraph"/>
              <w:ind w:left="28"/>
              <w:rPr>
                <w:sz w:val="12"/>
              </w:rPr>
            </w:pPr>
            <w:r>
              <w:rPr>
                <w:color w:val="231F20"/>
                <w:w w:val="105"/>
                <w:sz w:val="12"/>
              </w:rPr>
              <w:t>Costed in 4.5.1c</w:t>
            </w:r>
          </w:p>
        </w:tc>
      </w:tr>
      <w:tr w:rsidR="009948F1" w14:paraId="1AB03267" w14:textId="77777777">
        <w:trPr>
          <w:trHeight w:val="580"/>
        </w:trPr>
        <w:tc>
          <w:tcPr>
            <w:tcW w:w="483" w:type="dxa"/>
            <w:vMerge/>
            <w:tcBorders>
              <w:top w:val="nil"/>
              <w:left w:val="single" w:sz="8" w:space="0" w:color="231F20"/>
            </w:tcBorders>
          </w:tcPr>
          <w:p w14:paraId="2FF51DF3" w14:textId="77777777" w:rsidR="009948F1" w:rsidRDefault="009948F1">
            <w:pPr>
              <w:rPr>
                <w:sz w:val="2"/>
                <w:szCs w:val="2"/>
              </w:rPr>
            </w:pPr>
          </w:p>
        </w:tc>
        <w:tc>
          <w:tcPr>
            <w:tcW w:w="554" w:type="dxa"/>
          </w:tcPr>
          <w:p w14:paraId="698AC95E" w14:textId="77777777" w:rsidR="009948F1" w:rsidRDefault="009948F1">
            <w:pPr>
              <w:pStyle w:val="TableParagraph"/>
              <w:rPr>
                <w:sz w:val="12"/>
              </w:rPr>
            </w:pPr>
          </w:p>
          <w:p w14:paraId="0C5C100A" w14:textId="77777777" w:rsidR="009948F1" w:rsidRDefault="00BC0563">
            <w:pPr>
              <w:pStyle w:val="TableParagraph"/>
              <w:spacing w:before="84"/>
              <w:ind w:left="67" w:right="46"/>
              <w:jc w:val="center"/>
              <w:rPr>
                <w:sz w:val="12"/>
              </w:rPr>
            </w:pPr>
            <w:r>
              <w:rPr>
                <w:color w:val="231F20"/>
                <w:w w:val="105"/>
                <w:sz w:val="12"/>
              </w:rPr>
              <w:t>4.5.5.b</w:t>
            </w:r>
          </w:p>
        </w:tc>
        <w:tc>
          <w:tcPr>
            <w:tcW w:w="5158" w:type="dxa"/>
            <w:gridSpan w:val="2"/>
          </w:tcPr>
          <w:p w14:paraId="42E010E5" w14:textId="77777777" w:rsidR="009948F1" w:rsidRDefault="009948F1">
            <w:pPr>
              <w:pStyle w:val="TableParagraph"/>
              <w:spacing w:before="3"/>
              <w:rPr>
                <w:sz w:val="12"/>
              </w:rPr>
            </w:pPr>
          </w:p>
          <w:p w14:paraId="28F5030D" w14:textId="77777777" w:rsidR="009948F1" w:rsidRDefault="00BC0563">
            <w:pPr>
              <w:pStyle w:val="TableParagraph"/>
              <w:spacing w:line="266" w:lineRule="auto"/>
              <w:ind w:left="26" w:firstLine="34"/>
              <w:rPr>
                <w:sz w:val="12"/>
              </w:rPr>
            </w:pPr>
            <w:r>
              <w:rPr>
                <w:color w:val="231F20"/>
                <w:w w:val="105"/>
                <w:sz w:val="12"/>
              </w:rPr>
              <w:t>Operating cost for engaging and supervising the contractor to purchase vehicle (Hilux &amp; Bus) for supervision &amp; monitoring of sex education in primary &amp; secondary schools.</w:t>
            </w:r>
          </w:p>
        </w:tc>
        <w:tc>
          <w:tcPr>
            <w:tcW w:w="1504" w:type="dxa"/>
          </w:tcPr>
          <w:p w14:paraId="5A82C5BD" w14:textId="77777777" w:rsidR="009948F1" w:rsidRDefault="009948F1">
            <w:pPr>
              <w:pStyle w:val="TableParagraph"/>
              <w:rPr>
                <w:sz w:val="12"/>
              </w:rPr>
            </w:pPr>
          </w:p>
          <w:p w14:paraId="65E8D074" w14:textId="77777777" w:rsidR="009948F1" w:rsidRDefault="00BC0563">
            <w:pPr>
              <w:pStyle w:val="TableParagraph"/>
              <w:spacing w:before="84"/>
              <w:ind w:left="27"/>
              <w:rPr>
                <w:sz w:val="12"/>
              </w:rPr>
            </w:pPr>
            <w:r>
              <w:rPr>
                <w:color w:val="231F20"/>
                <w:w w:val="105"/>
                <w:sz w:val="12"/>
              </w:rPr>
              <w:t>Lack of funds</w:t>
            </w:r>
          </w:p>
        </w:tc>
        <w:tc>
          <w:tcPr>
            <w:tcW w:w="1584" w:type="dxa"/>
            <w:tcBorders>
              <w:right w:val="single" w:sz="8" w:space="0" w:color="231F20"/>
            </w:tcBorders>
          </w:tcPr>
          <w:p w14:paraId="2F91E874" w14:textId="77777777" w:rsidR="009948F1" w:rsidRDefault="009948F1">
            <w:pPr>
              <w:pStyle w:val="TableParagraph"/>
              <w:rPr>
                <w:sz w:val="12"/>
              </w:rPr>
            </w:pPr>
          </w:p>
          <w:p w14:paraId="0B8F7CB7" w14:textId="77777777" w:rsidR="009948F1" w:rsidRDefault="00BC0563">
            <w:pPr>
              <w:pStyle w:val="TableParagraph"/>
              <w:spacing w:before="84"/>
              <w:ind w:left="28"/>
              <w:rPr>
                <w:sz w:val="12"/>
              </w:rPr>
            </w:pPr>
            <w:r>
              <w:rPr>
                <w:color w:val="231F20"/>
                <w:w w:val="105"/>
                <w:sz w:val="12"/>
              </w:rPr>
              <w:t>Operating cost</w:t>
            </w:r>
          </w:p>
        </w:tc>
      </w:tr>
      <w:tr w:rsidR="009948F1" w14:paraId="60AB6234" w14:textId="77777777">
        <w:trPr>
          <w:trHeight w:val="297"/>
        </w:trPr>
        <w:tc>
          <w:tcPr>
            <w:tcW w:w="483" w:type="dxa"/>
            <w:vMerge/>
            <w:tcBorders>
              <w:top w:val="nil"/>
              <w:left w:val="single" w:sz="8" w:space="0" w:color="231F20"/>
            </w:tcBorders>
          </w:tcPr>
          <w:p w14:paraId="748A5C8D" w14:textId="77777777" w:rsidR="009948F1" w:rsidRDefault="009948F1">
            <w:pPr>
              <w:rPr>
                <w:sz w:val="2"/>
                <w:szCs w:val="2"/>
              </w:rPr>
            </w:pPr>
          </w:p>
        </w:tc>
        <w:tc>
          <w:tcPr>
            <w:tcW w:w="554" w:type="dxa"/>
          </w:tcPr>
          <w:p w14:paraId="7B0D83D5" w14:textId="77777777" w:rsidR="009948F1" w:rsidRDefault="00BC0563">
            <w:pPr>
              <w:pStyle w:val="TableParagraph"/>
              <w:spacing w:before="81"/>
              <w:ind w:left="67" w:right="46"/>
              <w:jc w:val="center"/>
              <w:rPr>
                <w:sz w:val="12"/>
              </w:rPr>
            </w:pPr>
            <w:r>
              <w:rPr>
                <w:color w:val="231F20"/>
                <w:w w:val="105"/>
                <w:sz w:val="12"/>
              </w:rPr>
              <w:t>4.5.5.c</w:t>
            </w:r>
          </w:p>
        </w:tc>
        <w:tc>
          <w:tcPr>
            <w:tcW w:w="5158" w:type="dxa"/>
            <w:gridSpan w:val="2"/>
          </w:tcPr>
          <w:p w14:paraId="508770E6" w14:textId="77777777" w:rsidR="009948F1" w:rsidRDefault="00BC0563">
            <w:pPr>
              <w:pStyle w:val="TableParagraph"/>
              <w:spacing w:before="1"/>
              <w:ind w:left="26"/>
              <w:rPr>
                <w:sz w:val="12"/>
              </w:rPr>
            </w:pPr>
            <w:r>
              <w:rPr>
                <w:color w:val="231F20"/>
                <w:w w:val="105"/>
                <w:sz w:val="12"/>
              </w:rPr>
              <w:t>Conduct periodic supportive supervision &amp; monitoring of implementation of adolescent</w:t>
            </w:r>
          </w:p>
          <w:p w14:paraId="7702FE65" w14:textId="77777777" w:rsidR="009948F1" w:rsidRDefault="00BC0563">
            <w:pPr>
              <w:pStyle w:val="TableParagraph"/>
              <w:spacing w:before="16" w:line="123" w:lineRule="exact"/>
              <w:ind w:left="26"/>
              <w:rPr>
                <w:sz w:val="12"/>
              </w:rPr>
            </w:pPr>
            <w:r>
              <w:rPr>
                <w:color w:val="231F20"/>
                <w:w w:val="105"/>
                <w:sz w:val="12"/>
              </w:rPr>
              <w:t>sexual and reproductive health education in schools in the state</w:t>
            </w:r>
          </w:p>
        </w:tc>
        <w:tc>
          <w:tcPr>
            <w:tcW w:w="1504" w:type="dxa"/>
          </w:tcPr>
          <w:p w14:paraId="48E65689" w14:textId="77777777" w:rsidR="009948F1" w:rsidRDefault="00BC0563">
            <w:pPr>
              <w:pStyle w:val="TableParagraph"/>
              <w:spacing w:before="81"/>
              <w:ind w:left="27"/>
              <w:rPr>
                <w:sz w:val="12"/>
              </w:rPr>
            </w:pPr>
            <w:r>
              <w:rPr>
                <w:color w:val="231F20"/>
                <w:w w:val="105"/>
                <w:sz w:val="12"/>
              </w:rPr>
              <w:t>Lack of funds</w:t>
            </w:r>
          </w:p>
        </w:tc>
        <w:tc>
          <w:tcPr>
            <w:tcW w:w="1584" w:type="dxa"/>
            <w:tcBorders>
              <w:right w:val="single" w:sz="8" w:space="0" w:color="231F20"/>
            </w:tcBorders>
          </w:tcPr>
          <w:p w14:paraId="4792AAB3" w14:textId="676C3915" w:rsidR="009948F1" w:rsidRDefault="00BC0563">
            <w:pPr>
              <w:pStyle w:val="TableParagraph"/>
              <w:spacing w:before="81"/>
              <w:ind w:left="28"/>
              <w:rPr>
                <w:sz w:val="12"/>
              </w:rPr>
            </w:pPr>
            <w:r>
              <w:rPr>
                <w:color w:val="231F20"/>
                <w:w w:val="105"/>
                <w:sz w:val="12"/>
              </w:rPr>
              <w:t xml:space="preserve">Conduct </w:t>
            </w:r>
            <w:r w:rsidR="009B6708">
              <w:rPr>
                <w:color w:val="231F20"/>
                <w:w w:val="105"/>
                <w:sz w:val="12"/>
              </w:rPr>
              <w:t>supportive</w:t>
            </w:r>
            <w:r>
              <w:rPr>
                <w:color w:val="231F20"/>
                <w:w w:val="105"/>
                <w:sz w:val="12"/>
              </w:rPr>
              <w:t xml:space="preserve"> visits</w:t>
            </w:r>
          </w:p>
        </w:tc>
      </w:tr>
      <w:tr w:rsidR="009948F1" w14:paraId="01FA1C74" w14:textId="77777777">
        <w:trPr>
          <w:trHeight w:val="1498"/>
        </w:trPr>
        <w:tc>
          <w:tcPr>
            <w:tcW w:w="483" w:type="dxa"/>
            <w:tcBorders>
              <w:left w:val="single" w:sz="12" w:space="0" w:color="231F20"/>
            </w:tcBorders>
            <w:shd w:val="clear" w:color="auto" w:fill="CCE7D3"/>
          </w:tcPr>
          <w:p w14:paraId="29E3422E" w14:textId="77777777" w:rsidR="009948F1" w:rsidRDefault="009948F1">
            <w:pPr>
              <w:pStyle w:val="TableParagraph"/>
              <w:rPr>
                <w:sz w:val="12"/>
              </w:rPr>
            </w:pPr>
          </w:p>
          <w:p w14:paraId="0E6E97A9" w14:textId="77777777" w:rsidR="009948F1" w:rsidRDefault="009948F1">
            <w:pPr>
              <w:pStyle w:val="TableParagraph"/>
              <w:rPr>
                <w:sz w:val="12"/>
              </w:rPr>
            </w:pPr>
          </w:p>
          <w:p w14:paraId="43BCE3AB" w14:textId="77777777" w:rsidR="009948F1" w:rsidRDefault="009948F1">
            <w:pPr>
              <w:pStyle w:val="TableParagraph"/>
              <w:rPr>
                <w:sz w:val="12"/>
              </w:rPr>
            </w:pPr>
          </w:p>
          <w:p w14:paraId="4076F694" w14:textId="77777777" w:rsidR="009948F1" w:rsidRDefault="009948F1">
            <w:pPr>
              <w:pStyle w:val="TableParagraph"/>
              <w:rPr>
                <w:sz w:val="12"/>
              </w:rPr>
            </w:pPr>
          </w:p>
          <w:p w14:paraId="2EDE7557" w14:textId="77777777" w:rsidR="009948F1" w:rsidRDefault="009948F1">
            <w:pPr>
              <w:pStyle w:val="TableParagraph"/>
              <w:spacing w:before="3"/>
              <w:rPr>
                <w:sz w:val="11"/>
              </w:rPr>
            </w:pPr>
          </w:p>
          <w:p w14:paraId="274861D3" w14:textId="77777777" w:rsidR="009948F1" w:rsidRDefault="00BC0563">
            <w:pPr>
              <w:pStyle w:val="TableParagraph"/>
              <w:ind w:left="37" w:right="102"/>
              <w:jc w:val="center"/>
              <w:rPr>
                <w:sz w:val="12"/>
              </w:rPr>
            </w:pPr>
            <w:r>
              <w:rPr>
                <w:color w:val="231F20"/>
                <w:w w:val="105"/>
                <w:sz w:val="12"/>
              </w:rPr>
              <w:t>4.5.6</w:t>
            </w:r>
          </w:p>
        </w:tc>
        <w:tc>
          <w:tcPr>
            <w:tcW w:w="3200" w:type="dxa"/>
            <w:gridSpan w:val="2"/>
            <w:shd w:val="clear" w:color="auto" w:fill="CCE7D3"/>
          </w:tcPr>
          <w:p w14:paraId="1EDD9F9D" w14:textId="77777777" w:rsidR="009948F1" w:rsidRDefault="009948F1">
            <w:pPr>
              <w:pStyle w:val="TableParagraph"/>
              <w:rPr>
                <w:sz w:val="12"/>
              </w:rPr>
            </w:pPr>
          </w:p>
          <w:p w14:paraId="37411A36" w14:textId="77777777" w:rsidR="009948F1" w:rsidRDefault="009948F1">
            <w:pPr>
              <w:pStyle w:val="TableParagraph"/>
              <w:rPr>
                <w:sz w:val="12"/>
              </w:rPr>
            </w:pPr>
          </w:p>
          <w:p w14:paraId="57974ABB" w14:textId="77777777" w:rsidR="009948F1" w:rsidRDefault="009948F1">
            <w:pPr>
              <w:pStyle w:val="TableParagraph"/>
              <w:rPr>
                <w:sz w:val="12"/>
              </w:rPr>
            </w:pPr>
          </w:p>
          <w:p w14:paraId="621ABBDA" w14:textId="77777777" w:rsidR="009948F1" w:rsidRDefault="009948F1">
            <w:pPr>
              <w:pStyle w:val="TableParagraph"/>
              <w:spacing w:before="5"/>
              <w:rPr>
                <w:sz w:val="9"/>
              </w:rPr>
            </w:pPr>
          </w:p>
          <w:p w14:paraId="36A584D2" w14:textId="7570BC3D" w:rsidR="009948F1" w:rsidRDefault="00BC0563">
            <w:pPr>
              <w:pStyle w:val="TableParagraph"/>
              <w:spacing w:before="1" w:line="266" w:lineRule="auto"/>
              <w:ind w:left="26" w:right="7" w:firstLine="34"/>
              <w:rPr>
                <w:sz w:val="12"/>
              </w:rPr>
            </w:pPr>
            <w:r>
              <w:rPr>
                <w:color w:val="231F20"/>
                <w:w w:val="105"/>
                <w:sz w:val="12"/>
              </w:rPr>
              <w:t xml:space="preserve">Scale up screening and management of drug use, internet addiction, </w:t>
            </w:r>
            <w:r w:rsidR="009B6708">
              <w:rPr>
                <w:color w:val="231F20"/>
                <w:w w:val="105"/>
                <w:sz w:val="12"/>
              </w:rPr>
              <w:t>self-harm</w:t>
            </w:r>
            <w:r>
              <w:rPr>
                <w:color w:val="231F20"/>
                <w:w w:val="105"/>
                <w:sz w:val="12"/>
              </w:rPr>
              <w:t>, mental health, nutrition disorders and other leading adolescent health problems</w:t>
            </w:r>
          </w:p>
        </w:tc>
        <w:tc>
          <w:tcPr>
            <w:tcW w:w="2512" w:type="dxa"/>
            <w:shd w:val="clear" w:color="auto" w:fill="CCE7D3"/>
          </w:tcPr>
          <w:p w14:paraId="06E531FA" w14:textId="77777777" w:rsidR="009948F1" w:rsidRDefault="009948F1">
            <w:pPr>
              <w:pStyle w:val="TableParagraph"/>
              <w:spacing w:before="8"/>
              <w:rPr>
                <w:sz w:val="12"/>
              </w:rPr>
            </w:pPr>
          </w:p>
          <w:p w14:paraId="21BAF473" w14:textId="77777777" w:rsidR="009948F1" w:rsidRDefault="00BC0563">
            <w:pPr>
              <w:pStyle w:val="TableParagraph"/>
              <w:numPr>
                <w:ilvl w:val="0"/>
                <w:numId w:val="179"/>
              </w:numPr>
              <w:tabs>
                <w:tab w:val="left" w:pos="106"/>
              </w:tabs>
              <w:spacing w:line="266" w:lineRule="auto"/>
              <w:ind w:right="121" w:firstLine="0"/>
              <w:rPr>
                <w:sz w:val="12"/>
              </w:rPr>
            </w:pPr>
            <w:r>
              <w:rPr>
                <w:color w:val="231F20"/>
                <w:w w:val="105"/>
                <w:sz w:val="12"/>
              </w:rPr>
              <w:t xml:space="preserve">1,200 teachers trained on identification </w:t>
            </w:r>
            <w:r>
              <w:rPr>
                <w:color w:val="231F20"/>
                <w:spacing w:val="-15"/>
                <w:w w:val="105"/>
                <w:sz w:val="12"/>
              </w:rPr>
              <w:t xml:space="preserve">&amp; </w:t>
            </w:r>
            <w:r>
              <w:rPr>
                <w:color w:val="231F20"/>
                <w:w w:val="105"/>
                <w:sz w:val="12"/>
              </w:rPr>
              <w:t>management of adolescent health problems</w:t>
            </w:r>
          </w:p>
          <w:p w14:paraId="1C40B533" w14:textId="77777777" w:rsidR="009948F1" w:rsidRDefault="00BC0563">
            <w:pPr>
              <w:pStyle w:val="TableParagraph"/>
              <w:numPr>
                <w:ilvl w:val="0"/>
                <w:numId w:val="179"/>
              </w:numPr>
              <w:tabs>
                <w:tab w:val="left" w:pos="106"/>
              </w:tabs>
              <w:spacing w:line="266" w:lineRule="auto"/>
              <w:ind w:right="469" w:firstLine="0"/>
              <w:rPr>
                <w:sz w:val="12"/>
              </w:rPr>
            </w:pPr>
            <w:r>
              <w:rPr>
                <w:color w:val="231F20"/>
                <w:w w:val="105"/>
                <w:sz w:val="12"/>
              </w:rPr>
              <w:t xml:space="preserve">150 HWs trained on Drug </w:t>
            </w:r>
            <w:r>
              <w:rPr>
                <w:color w:val="231F20"/>
                <w:spacing w:val="-3"/>
                <w:w w:val="105"/>
                <w:sz w:val="12"/>
              </w:rPr>
              <w:t xml:space="preserve">Demand </w:t>
            </w:r>
            <w:r>
              <w:rPr>
                <w:color w:val="231F20"/>
                <w:w w:val="105"/>
                <w:sz w:val="12"/>
              </w:rPr>
              <w:t>Reduction</w:t>
            </w:r>
          </w:p>
          <w:p w14:paraId="79741BB3" w14:textId="77777777" w:rsidR="009948F1" w:rsidRDefault="00BC0563">
            <w:pPr>
              <w:pStyle w:val="TableParagraph"/>
              <w:numPr>
                <w:ilvl w:val="0"/>
                <w:numId w:val="179"/>
              </w:numPr>
              <w:tabs>
                <w:tab w:val="left" w:pos="106"/>
              </w:tabs>
              <w:ind w:left="105"/>
              <w:rPr>
                <w:sz w:val="12"/>
              </w:rPr>
            </w:pPr>
            <w:r>
              <w:rPr>
                <w:color w:val="231F20"/>
                <w:w w:val="105"/>
                <w:sz w:val="12"/>
              </w:rPr>
              <w:t xml:space="preserve">Drug rehabilitation </w:t>
            </w:r>
            <w:proofErr w:type="spellStart"/>
            <w:r>
              <w:rPr>
                <w:color w:val="231F20"/>
                <w:w w:val="105"/>
                <w:sz w:val="12"/>
              </w:rPr>
              <w:t>centre</w:t>
            </w:r>
            <w:proofErr w:type="spellEnd"/>
            <w:r>
              <w:rPr>
                <w:color w:val="231F20"/>
                <w:spacing w:val="-6"/>
                <w:w w:val="105"/>
                <w:sz w:val="12"/>
              </w:rPr>
              <w:t xml:space="preserve"> </w:t>
            </w:r>
            <w:r>
              <w:rPr>
                <w:color w:val="231F20"/>
                <w:w w:val="105"/>
                <w:sz w:val="12"/>
              </w:rPr>
              <w:t>established</w:t>
            </w:r>
          </w:p>
          <w:p w14:paraId="76578860" w14:textId="77777777" w:rsidR="009948F1" w:rsidRDefault="00BC0563">
            <w:pPr>
              <w:pStyle w:val="TableParagraph"/>
              <w:numPr>
                <w:ilvl w:val="0"/>
                <w:numId w:val="179"/>
              </w:numPr>
              <w:tabs>
                <w:tab w:val="left" w:pos="141"/>
              </w:tabs>
              <w:spacing w:before="15" w:line="266" w:lineRule="auto"/>
              <w:ind w:right="135" w:firstLine="34"/>
              <w:rPr>
                <w:sz w:val="12"/>
              </w:rPr>
            </w:pPr>
            <w:r>
              <w:rPr>
                <w:color w:val="231F20"/>
                <w:spacing w:val="-3"/>
                <w:w w:val="105"/>
                <w:sz w:val="12"/>
              </w:rPr>
              <w:t>Youth</w:t>
            </w:r>
            <w:r>
              <w:rPr>
                <w:color w:val="231F20"/>
                <w:spacing w:val="-4"/>
                <w:w w:val="105"/>
                <w:sz w:val="12"/>
              </w:rPr>
              <w:t xml:space="preserve"> </w:t>
            </w:r>
            <w:r>
              <w:rPr>
                <w:color w:val="231F20"/>
                <w:w w:val="105"/>
                <w:sz w:val="12"/>
              </w:rPr>
              <w:t>clubs</w:t>
            </w:r>
            <w:r>
              <w:rPr>
                <w:color w:val="231F20"/>
                <w:spacing w:val="-4"/>
                <w:w w:val="105"/>
                <w:sz w:val="12"/>
              </w:rPr>
              <w:t xml:space="preserve"> </w:t>
            </w:r>
            <w:r>
              <w:rPr>
                <w:color w:val="231F20"/>
                <w:w w:val="105"/>
                <w:sz w:val="12"/>
              </w:rPr>
              <w:t>set</w:t>
            </w:r>
            <w:r>
              <w:rPr>
                <w:color w:val="231F20"/>
                <w:spacing w:val="-3"/>
                <w:w w:val="105"/>
                <w:sz w:val="12"/>
              </w:rPr>
              <w:t xml:space="preserve"> </w:t>
            </w:r>
            <w:r>
              <w:rPr>
                <w:color w:val="231F20"/>
                <w:w w:val="105"/>
                <w:sz w:val="12"/>
              </w:rPr>
              <w:t>up</w:t>
            </w:r>
            <w:r>
              <w:rPr>
                <w:color w:val="231F20"/>
                <w:spacing w:val="-4"/>
                <w:w w:val="105"/>
                <w:sz w:val="12"/>
              </w:rPr>
              <w:t xml:space="preserve"> </w:t>
            </w:r>
            <w:r>
              <w:rPr>
                <w:color w:val="231F20"/>
                <w:w w:val="105"/>
                <w:sz w:val="12"/>
              </w:rPr>
              <w:t>in</w:t>
            </w:r>
            <w:r>
              <w:rPr>
                <w:color w:val="231F20"/>
                <w:spacing w:val="-4"/>
                <w:w w:val="105"/>
                <w:sz w:val="12"/>
              </w:rPr>
              <w:t xml:space="preserve"> </w:t>
            </w:r>
            <w:r>
              <w:rPr>
                <w:color w:val="231F20"/>
                <w:w w:val="105"/>
                <w:sz w:val="12"/>
              </w:rPr>
              <w:t>at</w:t>
            </w:r>
            <w:r>
              <w:rPr>
                <w:color w:val="231F20"/>
                <w:spacing w:val="-3"/>
                <w:w w:val="105"/>
                <w:sz w:val="12"/>
              </w:rPr>
              <w:t xml:space="preserve"> </w:t>
            </w:r>
            <w:r>
              <w:rPr>
                <w:color w:val="231F20"/>
                <w:w w:val="105"/>
                <w:sz w:val="12"/>
              </w:rPr>
              <w:t>least</w:t>
            </w:r>
            <w:r>
              <w:rPr>
                <w:color w:val="231F20"/>
                <w:spacing w:val="-4"/>
                <w:w w:val="105"/>
                <w:sz w:val="12"/>
              </w:rPr>
              <w:t xml:space="preserve"> </w:t>
            </w:r>
            <w:r>
              <w:rPr>
                <w:color w:val="231F20"/>
                <w:w w:val="105"/>
                <w:sz w:val="12"/>
              </w:rPr>
              <w:t>50</w:t>
            </w:r>
            <w:r>
              <w:rPr>
                <w:color w:val="231F20"/>
                <w:spacing w:val="-3"/>
                <w:w w:val="105"/>
                <w:sz w:val="12"/>
              </w:rPr>
              <w:t xml:space="preserve"> </w:t>
            </w:r>
            <w:r>
              <w:rPr>
                <w:color w:val="231F20"/>
                <w:w w:val="105"/>
                <w:sz w:val="12"/>
              </w:rPr>
              <w:t>schools per LGAs &amp; Peer to peer education</w:t>
            </w:r>
            <w:r>
              <w:rPr>
                <w:color w:val="231F20"/>
                <w:spacing w:val="-16"/>
                <w:w w:val="105"/>
                <w:sz w:val="12"/>
              </w:rPr>
              <w:t xml:space="preserve"> </w:t>
            </w:r>
            <w:r>
              <w:rPr>
                <w:color w:val="231F20"/>
                <w:w w:val="105"/>
                <w:sz w:val="12"/>
              </w:rPr>
              <w:t>done</w:t>
            </w:r>
          </w:p>
        </w:tc>
        <w:tc>
          <w:tcPr>
            <w:tcW w:w="1504" w:type="dxa"/>
            <w:tcBorders>
              <w:right w:val="single" w:sz="12" w:space="0" w:color="231F20"/>
            </w:tcBorders>
            <w:shd w:val="clear" w:color="auto" w:fill="CCE7D3"/>
          </w:tcPr>
          <w:p w14:paraId="1717CFE0" w14:textId="77777777" w:rsidR="009948F1" w:rsidRDefault="009948F1">
            <w:pPr>
              <w:pStyle w:val="TableParagraph"/>
              <w:rPr>
                <w:rFonts w:ascii="Times New Roman"/>
                <w:sz w:val="12"/>
              </w:rPr>
            </w:pPr>
          </w:p>
        </w:tc>
        <w:tc>
          <w:tcPr>
            <w:tcW w:w="1584" w:type="dxa"/>
            <w:tcBorders>
              <w:left w:val="single" w:sz="12" w:space="0" w:color="231F20"/>
              <w:right w:val="single" w:sz="8" w:space="0" w:color="231F20"/>
            </w:tcBorders>
            <w:shd w:val="clear" w:color="auto" w:fill="CCE7D3"/>
          </w:tcPr>
          <w:p w14:paraId="078E87BD" w14:textId="77777777" w:rsidR="009948F1" w:rsidRDefault="009948F1">
            <w:pPr>
              <w:pStyle w:val="TableParagraph"/>
              <w:rPr>
                <w:rFonts w:ascii="Times New Roman"/>
                <w:sz w:val="12"/>
              </w:rPr>
            </w:pPr>
          </w:p>
        </w:tc>
      </w:tr>
    </w:tbl>
    <w:p w14:paraId="732249DB" w14:textId="77777777" w:rsidR="009948F1" w:rsidRDefault="009948F1">
      <w:pPr>
        <w:rPr>
          <w:rFonts w:ascii="Times New Roman"/>
          <w:sz w:val="12"/>
        </w:rPr>
        <w:sectPr w:rsidR="009948F1">
          <w:pgSz w:w="11910" w:h="16840"/>
          <w:pgMar w:top="1260" w:right="1080" w:bottom="1340" w:left="1120" w:header="0" w:footer="1155" w:gutter="0"/>
          <w:cols w:space="720"/>
        </w:sectPr>
      </w:pPr>
    </w:p>
    <w:tbl>
      <w:tblPr>
        <w:tblW w:w="0" w:type="auto"/>
        <w:tblInd w:w="1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0"/>
        <w:gridCol w:w="562"/>
        <w:gridCol w:w="2682"/>
        <w:gridCol w:w="2546"/>
        <w:gridCol w:w="1524"/>
        <w:gridCol w:w="1607"/>
      </w:tblGrid>
      <w:tr w:rsidR="009948F1" w14:paraId="67FBFB44" w14:textId="77777777">
        <w:trPr>
          <w:trHeight w:val="650"/>
        </w:trPr>
        <w:tc>
          <w:tcPr>
            <w:tcW w:w="490" w:type="dxa"/>
            <w:vMerge w:val="restart"/>
            <w:tcBorders>
              <w:bottom w:val="single" w:sz="6" w:space="0" w:color="231F20"/>
              <w:right w:val="single" w:sz="6" w:space="0" w:color="231F20"/>
            </w:tcBorders>
          </w:tcPr>
          <w:p w14:paraId="05784DDA" w14:textId="77777777" w:rsidR="009948F1" w:rsidRDefault="009948F1">
            <w:pPr>
              <w:pStyle w:val="TableParagraph"/>
              <w:rPr>
                <w:rFonts w:ascii="Times New Roman"/>
                <w:sz w:val="12"/>
              </w:rPr>
            </w:pPr>
          </w:p>
        </w:tc>
        <w:tc>
          <w:tcPr>
            <w:tcW w:w="562" w:type="dxa"/>
            <w:tcBorders>
              <w:left w:val="single" w:sz="6" w:space="0" w:color="231F20"/>
              <w:bottom w:val="single" w:sz="6" w:space="0" w:color="231F20"/>
              <w:right w:val="single" w:sz="6" w:space="0" w:color="231F20"/>
            </w:tcBorders>
          </w:tcPr>
          <w:p w14:paraId="734F4EFA" w14:textId="77777777" w:rsidR="009948F1" w:rsidRDefault="009948F1">
            <w:pPr>
              <w:pStyle w:val="TableParagraph"/>
              <w:rPr>
                <w:sz w:val="12"/>
              </w:rPr>
            </w:pPr>
          </w:p>
          <w:p w14:paraId="4495C228" w14:textId="77777777" w:rsidR="009948F1" w:rsidRDefault="009948F1">
            <w:pPr>
              <w:pStyle w:val="TableParagraph"/>
              <w:spacing w:before="3"/>
              <w:rPr>
                <w:sz w:val="10"/>
              </w:rPr>
            </w:pPr>
          </w:p>
          <w:p w14:paraId="404663C1" w14:textId="77777777" w:rsidR="009948F1" w:rsidRDefault="00BC0563">
            <w:pPr>
              <w:pStyle w:val="TableParagraph"/>
              <w:ind w:left="70" w:right="51"/>
              <w:jc w:val="center"/>
              <w:rPr>
                <w:sz w:val="12"/>
              </w:rPr>
            </w:pPr>
            <w:bookmarkStart w:id="161" w:name="Page_135"/>
            <w:bookmarkEnd w:id="161"/>
            <w:r>
              <w:rPr>
                <w:color w:val="231F20"/>
                <w:w w:val="105"/>
                <w:sz w:val="12"/>
              </w:rPr>
              <w:t>4.5.6.a</w:t>
            </w:r>
          </w:p>
        </w:tc>
        <w:tc>
          <w:tcPr>
            <w:tcW w:w="5228" w:type="dxa"/>
            <w:gridSpan w:val="2"/>
            <w:tcBorders>
              <w:left w:val="single" w:sz="6" w:space="0" w:color="231F20"/>
              <w:bottom w:val="single" w:sz="6" w:space="0" w:color="231F20"/>
              <w:right w:val="single" w:sz="6" w:space="0" w:color="231F20"/>
            </w:tcBorders>
          </w:tcPr>
          <w:p w14:paraId="676DBA2E" w14:textId="27D5B9D4" w:rsidR="009948F1" w:rsidRDefault="00BC0563">
            <w:pPr>
              <w:pStyle w:val="TableParagraph"/>
              <w:spacing w:before="103" w:line="259" w:lineRule="auto"/>
              <w:ind w:left="25" w:right="195"/>
              <w:rPr>
                <w:sz w:val="12"/>
              </w:rPr>
            </w:pPr>
            <w:r>
              <w:rPr>
                <w:color w:val="231F20"/>
                <w:w w:val="105"/>
                <w:sz w:val="12"/>
              </w:rPr>
              <w:t xml:space="preserve">Conduct Training of Trainers (TOT) workshop for teachers on identification of substance use, internet addiction, self, mental health, nutrition disorders &amp; other leading adolescent health problems &amp; </w:t>
            </w:r>
            <w:r w:rsidR="009B6708">
              <w:rPr>
                <w:color w:val="231F20"/>
                <w:w w:val="105"/>
                <w:sz w:val="12"/>
              </w:rPr>
              <w:t>management</w:t>
            </w:r>
            <w:r>
              <w:rPr>
                <w:color w:val="231F20"/>
                <w:w w:val="105"/>
                <w:sz w:val="12"/>
              </w:rPr>
              <w:t xml:space="preserve"> in schools</w:t>
            </w:r>
          </w:p>
        </w:tc>
        <w:tc>
          <w:tcPr>
            <w:tcW w:w="1524" w:type="dxa"/>
            <w:tcBorders>
              <w:left w:val="single" w:sz="6" w:space="0" w:color="231F20"/>
              <w:bottom w:val="single" w:sz="6" w:space="0" w:color="231F20"/>
              <w:right w:val="single" w:sz="6" w:space="0" w:color="231F20"/>
            </w:tcBorders>
          </w:tcPr>
          <w:p w14:paraId="778C5318" w14:textId="77777777" w:rsidR="009948F1" w:rsidRDefault="009948F1">
            <w:pPr>
              <w:pStyle w:val="TableParagraph"/>
              <w:rPr>
                <w:sz w:val="12"/>
              </w:rPr>
            </w:pPr>
          </w:p>
          <w:p w14:paraId="5D5CBE7F" w14:textId="77777777" w:rsidR="009948F1" w:rsidRDefault="009948F1">
            <w:pPr>
              <w:pStyle w:val="TableParagraph"/>
              <w:spacing w:before="3"/>
              <w:rPr>
                <w:sz w:val="10"/>
              </w:rPr>
            </w:pPr>
          </w:p>
          <w:p w14:paraId="4A04F4DD" w14:textId="77777777" w:rsidR="009948F1" w:rsidRDefault="00BC0563">
            <w:pPr>
              <w:pStyle w:val="TableParagraph"/>
              <w:ind w:left="25"/>
              <w:rPr>
                <w:sz w:val="12"/>
              </w:rPr>
            </w:pPr>
            <w:r>
              <w:rPr>
                <w:color w:val="231F20"/>
                <w:w w:val="105"/>
                <w:sz w:val="12"/>
              </w:rPr>
              <w:t>Lack of funds</w:t>
            </w:r>
          </w:p>
        </w:tc>
        <w:tc>
          <w:tcPr>
            <w:tcW w:w="1607" w:type="dxa"/>
            <w:tcBorders>
              <w:left w:val="single" w:sz="6" w:space="0" w:color="231F20"/>
              <w:bottom w:val="single" w:sz="6" w:space="0" w:color="231F20"/>
            </w:tcBorders>
          </w:tcPr>
          <w:p w14:paraId="3B329D40" w14:textId="77777777" w:rsidR="009948F1" w:rsidRDefault="009948F1">
            <w:pPr>
              <w:pStyle w:val="TableParagraph"/>
              <w:rPr>
                <w:sz w:val="12"/>
              </w:rPr>
            </w:pPr>
          </w:p>
          <w:p w14:paraId="1FC7675C" w14:textId="77777777" w:rsidR="009948F1" w:rsidRDefault="009948F1">
            <w:pPr>
              <w:pStyle w:val="TableParagraph"/>
              <w:spacing w:before="3"/>
              <w:rPr>
                <w:sz w:val="10"/>
              </w:rPr>
            </w:pPr>
          </w:p>
          <w:p w14:paraId="3FD4F65C" w14:textId="77777777" w:rsidR="009948F1" w:rsidRDefault="00BC0563">
            <w:pPr>
              <w:pStyle w:val="TableParagraph"/>
              <w:ind w:left="25"/>
              <w:rPr>
                <w:sz w:val="12"/>
              </w:rPr>
            </w:pPr>
            <w:r>
              <w:rPr>
                <w:color w:val="231F20"/>
                <w:w w:val="105"/>
                <w:sz w:val="12"/>
              </w:rPr>
              <w:t>Training of Trainers</w:t>
            </w:r>
          </w:p>
        </w:tc>
      </w:tr>
      <w:tr w:rsidR="009948F1" w14:paraId="64DE279A" w14:textId="77777777">
        <w:trPr>
          <w:trHeight w:val="437"/>
        </w:trPr>
        <w:tc>
          <w:tcPr>
            <w:tcW w:w="490" w:type="dxa"/>
            <w:vMerge/>
            <w:tcBorders>
              <w:top w:val="nil"/>
              <w:bottom w:val="single" w:sz="6" w:space="0" w:color="231F20"/>
              <w:right w:val="single" w:sz="6" w:space="0" w:color="231F20"/>
            </w:tcBorders>
          </w:tcPr>
          <w:p w14:paraId="48E3435C"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519BEA3A" w14:textId="77777777" w:rsidR="009948F1" w:rsidRDefault="009948F1">
            <w:pPr>
              <w:pStyle w:val="TableParagraph"/>
              <w:rPr>
                <w:sz w:val="13"/>
              </w:rPr>
            </w:pPr>
          </w:p>
          <w:p w14:paraId="657589AF" w14:textId="77777777" w:rsidR="009948F1" w:rsidRDefault="00BC0563">
            <w:pPr>
              <w:pStyle w:val="TableParagraph"/>
              <w:ind w:left="70" w:right="51"/>
              <w:jc w:val="center"/>
              <w:rPr>
                <w:sz w:val="12"/>
              </w:rPr>
            </w:pPr>
            <w:r>
              <w:rPr>
                <w:color w:val="231F20"/>
                <w:w w:val="105"/>
                <w:sz w:val="12"/>
              </w:rPr>
              <w:t>4.5.6.b</w:t>
            </w:r>
          </w:p>
        </w:tc>
        <w:tc>
          <w:tcPr>
            <w:tcW w:w="5228" w:type="dxa"/>
            <w:gridSpan w:val="2"/>
            <w:tcBorders>
              <w:top w:val="single" w:sz="6" w:space="0" w:color="231F20"/>
              <w:left w:val="single" w:sz="6" w:space="0" w:color="231F20"/>
              <w:bottom w:val="single" w:sz="6" w:space="0" w:color="231F20"/>
              <w:right w:val="single" w:sz="6" w:space="0" w:color="231F20"/>
            </w:tcBorders>
          </w:tcPr>
          <w:p w14:paraId="692FFDE0" w14:textId="36558041" w:rsidR="009948F1" w:rsidRDefault="00BC0563">
            <w:pPr>
              <w:pStyle w:val="TableParagraph"/>
              <w:spacing w:before="70" w:line="259" w:lineRule="auto"/>
              <w:ind w:left="25" w:right="195"/>
              <w:rPr>
                <w:sz w:val="12"/>
              </w:rPr>
            </w:pPr>
            <w:r>
              <w:rPr>
                <w:color w:val="231F20"/>
                <w:w w:val="105"/>
                <w:sz w:val="12"/>
              </w:rPr>
              <w:t xml:space="preserve">Conduct training Doctors, Nurses, Psychologists, Counsellors </w:t>
            </w:r>
            <w:r w:rsidR="009B6708">
              <w:rPr>
                <w:color w:val="231F20"/>
                <w:w w:val="105"/>
                <w:sz w:val="12"/>
              </w:rPr>
              <w:t>etc.</w:t>
            </w:r>
            <w:r>
              <w:rPr>
                <w:color w:val="231F20"/>
                <w:w w:val="105"/>
                <w:sz w:val="12"/>
              </w:rPr>
              <w:t xml:space="preserve"> on Drug Demand Reduction in the 23 LGAs</w:t>
            </w:r>
          </w:p>
        </w:tc>
        <w:tc>
          <w:tcPr>
            <w:tcW w:w="1524" w:type="dxa"/>
            <w:tcBorders>
              <w:top w:val="single" w:sz="6" w:space="0" w:color="231F20"/>
              <w:left w:val="single" w:sz="6" w:space="0" w:color="231F20"/>
              <w:bottom w:val="single" w:sz="6" w:space="0" w:color="231F20"/>
              <w:right w:val="single" w:sz="6" w:space="0" w:color="231F20"/>
            </w:tcBorders>
          </w:tcPr>
          <w:p w14:paraId="712B6B84" w14:textId="77777777" w:rsidR="009948F1" w:rsidRDefault="009948F1">
            <w:pPr>
              <w:pStyle w:val="TableParagraph"/>
              <w:rPr>
                <w:sz w:val="13"/>
              </w:rPr>
            </w:pPr>
          </w:p>
          <w:p w14:paraId="29C88B6F"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0D99EB22" w14:textId="77777777" w:rsidR="009948F1" w:rsidRDefault="00BC0563">
            <w:pPr>
              <w:pStyle w:val="TableParagraph"/>
              <w:spacing w:before="75" w:line="259" w:lineRule="auto"/>
              <w:ind w:left="25" w:right="185"/>
              <w:rPr>
                <w:sz w:val="12"/>
              </w:rPr>
            </w:pPr>
            <w:r>
              <w:rPr>
                <w:color w:val="231F20"/>
                <w:w w:val="105"/>
                <w:sz w:val="12"/>
              </w:rPr>
              <w:t>Conduct 1wk training for 150 persons</w:t>
            </w:r>
          </w:p>
        </w:tc>
      </w:tr>
      <w:tr w:rsidR="009948F1" w14:paraId="7C37C5BF" w14:textId="77777777">
        <w:trPr>
          <w:trHeight w:val="576"/>
        </w:trPr>
        <w:tc>
          <w:tcPr>
            <w:tcW w:w="490" w:type="dxa"/>
            <w:vMerge/>
            <w:tcBorders>
              <w:top w:val="nil"/>
              <w:bottom w:val="single" w:sz="6" w:space="0" w:color="231F20"/>
              <w:right w:val="single" w:sz="6" w:space="0" w:color="231F20"/>
            </w:tcBorders>
          </w:tcPr>
          <w:p w14:paraId="39A23E40"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203AE808" w14:textId="77777777" w:rsidR="009948F1" w:rsidRDefault="009948F1">
            <w:pPr>
              <w:pStyle w:val="TableParagraph"/>
              <w:rPr>
                <w:sz w:val="12"/>
              </w:rPr>
            </w:pPr>
          </w:p>
          <w:p w14:paraId="0EE43906" w14:textId="77777777" w:rsidR="009948F1" w:rsidRDefault="00BC0563">
            <w:pPr>
              <w:pStyle w:val="TableParagraph"/>
              <w:spacing w:before="81"/>
              <w:ind w:left="70" w:right="50"/>
              <w:jc w:val="center"/>
              <w:rPr>
                <w:sz w:val="12"/>
              </w:rPr>
            </w:pPr>
            <w:r>
              <w:rPr>
                <w:color w:val="231F20"/>
                <w:w w:val="105"/>
                <w:sz w:val="12"/>
              </w:rPr>
              <w:t>4.5.6.c</w:t>
            </w:r>
          </w:p>
        </w:tc>
        <w:tc>
          <w:tcPr>
            <w:tcW w:w="5228" w:type="dxa"/>
            <w:gridSpan w:val="2"/>
            <w:tcBorders>
              <w:top w:val="single" w:sz="6" w:space="0" w:color="231F20"/>
              <w:left w:val="single" w:sz="6" w:space="0" w:color="231F20"/>
              <w:bottom w:val="single" w:sz="6" w:space="0" w:color="231F20"/>
              <w:right w:val="single" w:sz="6" w:space="0" w:color="231F20"/>
            </w:tcBorders>
          </w:tcPr>
          <w:p w14:paraId="646C64E8" w14:textId="149FBE72" w:rsidR="009948F1" w:rsidRDefault="00BC0563">
            <w:pPr>
              <w:pStyle w:val="TableParagraph"/>
              <w:spacing w:before="65" w:line="259" w:lineRule="auto"/>
              <w:ind w:left="25" w:right="195"/>
              <w:rPr>
                <w:sz w:val="12"/>
              </w:rPr>
            </w:pPr>
            <w:r>
              <w:rPr>
                <w:color w:val="231F20"/>
                <w:w w:val="105"/>
                <w:sz w:val="12"/>
              </w:rPr>
              <w:t xml:space="preserve">Operating cost for engaging and supervising the contractor to establish drug treatment/rehabilitation </w:t>
            </w:r>
            <w:proofErr w:type="spellStart"/>
            <w:r>
              <w:rPr>
                <w:color w:val="231F20"/>
                <w:w w:val="105"/>
                <w:sz w:val="12"/>
              </w:rPr>
              <w:t>centre</w:t>
            </w:r>
            <w:proofErr w:type="spellEnd"/>
            <w:r>
              <w:rPr>
                <w:color w:val="231F20"/>
                <w:w w:val="105"/>
                <w:sz w:val="12"/>
              </w:rPr>
              <w:t xml:space="preserve"> for males &amp; females in the </w:t>
            </w:r>
            <w:r w:rsidR="009B6708">
              <w:rPr>
                <w:color w:val="231F20"/>
                <w:w w:val="105"/>
                <w:sz w:val="12"/>
              </w:rPr>
              <w:t>state. Provide</w:t>
            </w:r>
            <w:r>
              <w:rPr>
                <w:color w:val="231F20"/>
                <w:w w:val="105"/>
                <w:sz w:val="12"/>
              </w:rPr>
              <w:t xml:space="preserve"> skill </w:t>
            </w:r>
            <w:r w:rsidR="009B6708">
              <w:rPr>
                <w:color w:val="231F20"/>
                <w:w w:val="105"/>
                <w:sz w:val="12"/>
              </w:rPr>
              <w:t>acquisition</w:t>
            </w:r>
            <w:r>
              <w:rPr>
                <w:color w:val="231F20"/>
                <w:w w:val="105"/>
                <w:sz w:val="12"/>
              </w:rPr>
              <w:t xml:space="preserve"> </w:t>
            </w:r>
            <w:proofErr w:type="spellStart"/>
            <w:r>
              <w:rPr>
                <w:color w:val="231F20"/>
                <w:w w:val="105"/>
                <w:sz w:val="12"/>
              </w:rPr>
              <w:t>centres</w:t>
            </w:r>
            <w:proofErr w:type="spellEnd"/>
            <w:r>
              <w:rPr>
                <w:color w:val="231F20"/>
                <w:w w:val="105"/>
                <w:sz w:val="12"/>
              </w:rPr>
              <w:t xml:space="preserve"> for; paint making, tailoring, shoe making, computer training &amp; fabrication.</w:t>
            </w:r>
          </w:p>
        </w:tc>
        <w:tc>
          <w:tcPr>
            <w:tcW w:w="1524" w:type="dxa"/>
            <w:tcBorders>
              <w:top w:val="single" w:sz="6" w:space="0" w:color="231F20"/>
              <w:left w:val="single" w:sz="6" w:space="0" w:color="231F20"/>
              <w:bottom w:val="single" w:sz="6" w:space="0" w:color="231F20"/>
              <w:right w:val="single" w:sz="6" w:space="0" w:color="231F20"/>
            </w:tcBorders>
          </w:tcPr>
          <w:p w14:paraId="2D680E4B" w14:textId="77777777" w:rsidR="009948F1" w:rsidRDefault="009948F1">
            <w:pPr>
              <w:pStyle w:val="TableParagraph"/>
              <w:rPr>
                <w:sz w:val="12"/>
              </w:rPr>
            </w:pPr>
          </w:p>
          <w:p w14:paraId="0BF9304F" w14:textId="77777777" w:rsidR="009948F1" w:rsidRDefault="00BC0563">
            <w:pPr>
              <w:pStyle w:val="TableParagraph"/>
              <w:spacing w:before="81"/>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71BF111A" w14:textId="77777777" w:rsidR="009948F1" w:rsidRDefault="009948F1">
            <w:pPr>
              <w:pStyle w:val="TableParagraph"/>
              <w:spacing w:before="7"/>
              <w:rPr>
                <w:sz w:val="12"/>
              </w:rPr>
            </w:pPr>
          </w:p>
          <w:p w14:paraId="49FFFA72" w14:textId="77777777" w:rsidR="009948F1" w:rsidRDefault="00BC0563">
            <w:pPr>
              <w:pStyle w:val="TableParagraph"/>
              <w:spacing w:line="259" w:lineRule="auto"/>
              <w:ind w:left="25" w:right="122"/>
              <w:rPr>
                <w:sz w:val="12"/>
              </w:rPr>
            </w:pPr>
            <w:r>
              <w:rPr>
                <w:color w:val="231F20"/>
                <w:w w:val="105"/>
                <w:sz w:val="12"/>
              </w:rPr>
              <w:t>Operating cost. Costed in OHT</w:t>
            </w:r>
          </w:p>
        </w:tc>
      </w:tr>
      <w:tr w:rsidR="009948F1" w14:paraId="78BD3747" w14:textId="77777777">
        <w:trPr>
          <w:trHeight w:val="700"/>
        </w:trPr>
        <w:tc>
          <w:tcPr>
            <w:tcW w:w="490" w:type="dxa"/>
            <w:vMerge/>
            <w:tcBorders>
              <w:top w:val="nil"/>
              <w:bottom w:val="single" w:sz="6" w:space="0" w:color="231F20"/>
              <w:right w:val="single" w:sz="6" w:space="0" w:color="231F20"/>
            </w:tcBorders>
          </w:tcPr>
          <w:p w14:paraId="02AA2488"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5448177F" w14:textId="77777777" w:rsidR="009948F1" w:rsidRDefault="009948F1">
            <w:pPr>
              <w:pStyle w:val="TableParagraph"/>
              <w:rPr>
                <w:sz w:val="12"/>
              </w:rPr>
            </w:pPr>
          </w:p>
          <w:p w14:paraId="6CBA55C7" w14:textId="77777777" w:rsidR="009948F1" w:rsidRDefault="009948F1">
            <w:pPr>
              <w:pStyle w:val="TableParagraph"/>
              <w:spacing w:before="5"/>
              <w:rPr>
                <w:sz w:val="12"/>
              </w:rPr>
            </w:pPr>
          </w:p>
          <w:p w14:paraId="4379A0B0" w14:textId="77777777" w:rsidR="009948F1" w:rsidRDefault="00BC0563">
            <w:pPr>
              <w:pStyle w:val="TableParagraph"/>
              <w:ind w:left="70" w:right="51"/>
              <w:jc w:val="center"/>
              <w:rPr>
                <w:sz w:val="12"/>
              </w:rPr>
            </w:pPr>
            <w:r>
              <w:rPr>
                <w:color w:val="231F20"/>
                <w:w w:val="105"/>
                <w:sz w:val="12"/>
              </w:rPr>
              <w:t>4.5.6.d</w:t>
            </w:r>
          </w:p>
        </w:tc>
        <w:tc>
          <w:tcPr>
            <w:tcW w:w="5228" w:type="dxa"/>
            <w:gridSpan w:val="2"/>
            <w:tcBorders>
              <w:top w:val="single" w:sz="6" w:space="0" w:color="231F20"/>
              <w:left w:val="single" w:sz="6" w:space="0" w:color="231F20"/>
              <w:bottom w:val="single" w:sz="6" w:space="0" w:color="231F20"/>
              <w:right w:val="single" w:sz="6" w:space="0" w:color="231F20"/>
            </w:tcBorders>
          </w:tcPr>
          <w:p w14:paraId="2C166145" w14:textId="77777777" w:rsidR="009948F1" w:rsidRDefault="009948F1">
            <w:pPr>
              <w:pStyle w:val="TableParagraph"/>
              <w:spacing w:before="6"/>
              <w:rPr>
                <w:sz w:val="17"/>
              </w:rPr>
            </w:pPr>
          </w:p>
          <w:p w14:paraId="719E6C08" w14:textId="77777777" w:rsidR="009948F1" w:rsidRDefault="00BC0563">
            <w:pPr>
              <w:pStyle w:val="TableParagraph"/>
              <w:spacing w:line="259" w:lineRule="auto"/>
              <w:ind w:left="25" w:right="195"/>
              <w:rPr>
                <w:sz w:val="12"/>
              </w:rPr>
            </w:pPr>
            <w:r>
              <w:rPr>
                <w:color w:val="231F20"/>
                <w:w w:val="105"/>
                <w:sz w:val="12"/>
              </w:rPr>
              <w:t xml:space="preserve">Operating cost for engaging and supervising the contractor to equip drug treatment/rehabilitation </w:t>
            </w:r>
            <w:proofErr w:type="spellStart"/>
            <w:r>
              <w:rPr>
                <w:color w:val="231F20"/>
                <w:w w:val="105"/>
                <w:sz w:val="12"/>
              </w:rPr>
              <w:t>centre</w:t>
            </w:r>
            <w:proofErr w:type="spellEnd"/>
            <w:r>
              <w:rPr>
                <w:color w:val="231F20"/>
                <w:w w:val="105"/>
                <w:sz w:val="12"/>
              </w:rPr>
              <w:t xml:space="preserve"> for males &amp; females in the state</w:t>
            </w:r>
          </w:p>
        </w:tc>
        <w:tc>
          <w:tcPr>
            <w:tcW w:w="1524" w:type="dxa"/>
            <w:tcBorders>
              <w:top w:val="single" w:sz="6" w:space="0" w:color="231F20"/>
              <w:left w:val="single" w:sz="6" w:space="0" w:color="231F20"/>
              <w:bottom w:val="single" w:sz="6" w:space="0" w:color="231F20"/>
              <w:right w:val="single" w:sz="6" w:space="0" w:color="231F20"/>
            </w:tcBorders>
          </w:tcPr>
          <w:p w14:paraId="65A3522F" w14:textId="77777777" w:rsidR="009948F1" w:rsidRDefault="009948F1">
            <w:pPr>
              <w:pStyle w:val="TableParagraph"/>
              <w:rPr>
                <w:sz w:val="12"/>
              </w:rPr>
            </w:pPr>
          </w:p>
          <w:p w14:paraId="4594C8D7" w14:textId="77777777" w:rsidR="009948F1" w:rsidRDefault="009948F1">
            <w:pPr>
              <w:pStyle w:val="TableParagraph"/>
              <w:spacing w:before="5"/>
              <w:rPr>
                <w:sz w:val="12"/>
              </w:rPr>
            </w:pPr>
          </w:p>
          <w:p w14:paraId="77E9ABEE"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5A75C2C5" w14:textId="77777777" w:rsidR="009948F1" w:rsidRDefault="009948F1">
            <w:pPr>
              <w:pStyle w:val="TableParagraph"/>
              <w:spacing w:before="11"/>
              <w:rPr>
                <w:sz w:val="17"/>
              </w:rPr>
            </w:pPr>
          </w:p>
          <w:p w14:paraId="72BDDC66" w14:textId="77777777" w:rsidR="009948F1" w:rsidRDefault="00BC0563">
            <w:pPr>
              <w:pStyle w:val="TableParagraph"/>
              <w:spacing w:line="259" w:lineRule="auto"/>
              <w:ind w:left="25" w:right="122"/>
              <w:rPr>
                <w:sz w:val="12"/>
              </w:rPr>
            </w:pPr>
            <w:r>
              <w:rPr>
                <w:color w:val="231F20"/>
                <w:w w:val="105"/>
                <w:sz w:val="12"/>
              </w:rPr>
              <w:t>Operating cost. Costed in OHT</w:t>
            </w:r>
          </w:p>
        </w:tc>
      </w:tr>
      <w:tr w:rsidR="009948F1" w14:paraId="4EE5D9DE" w14:textId="77777777">
        <w:trPr>
          <w:trHeight w:val="459"/>
        </w:trPr>
        <w:tc>
          <w:tcPr>
            <w:tcW w:w="490" w:type="dxa"/>
            <w:vMerge/>
            <w:tcBorders>
              <w:top w:val="nil"/>
              <w:bottom w:val="single" w:sz="6" w:space="0" w:color="231F20"/>
              <w:right w:val="single" w:sz="6" w:space="0" w:color="231F20"/>
            </w:tcBorders>
          </w:tcPr>
          <w:p w14:paraId="0DFE934F"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7A66028E" w14:textId="77777777" w:rsidR="009948F1" w:rsidRDefault="009948F1">
            <w:pPr>
              <w:pStyle w:val="TableParagraph"/>
              <w:rPr>
                <w:sz w:val="14"/>
              </w:rPr>
            </w:pPr>
          </w:p>
          <w:p w14:paraId="367CFF04" w14:textId="77777777" w:rsidR="009948F1" w:rsidRDefault="00BC0563">
            <w:pPr>
              <w:pStyle w:val="TableParagraph"/>
              <w:ind w:left="70" w:right="51"/>
              <w:jc w:val="center"/>
              <w:rPr>
                <w:sz w:val="12"/>
              </w:rPr>
            </w:pPr>
            <w:r>
              <w:rPr>
                <w:color w:val="231F20"/>
                <w:w w:val="105"/>
                <w:sz w:val="12"/>
              </w:rPr>
              <w:t>4.5.6.e</w:t>
            </w:r>
          </w:p>
        </w:tc>
        <w:tc>
          <w:tcPr>
            <w:tcW w:w="5228" w:type="dxa"/>
            <w:gridSpan w:val="2"/>
            <w:tcBorders>
              <w:top w:val="single" w:sz="6" w:space="0" w:color="231F20"/>
              <w:left w:val="single" w:sz="6" w:space="0" w:color="231F20"/>
              <w:bottom w:val="single" w:sz="6" w:space="0" w:color="231F20"/>
              <w:right w:val="single" w:sz="6" w:space="0" w:color="231F20"/>
            </w:tcBorders>
          </w:tcPr>
          <w:p w14:paraId="745018FD" w14:textId="77777777" w:rsidR="009948F1" w:rsidRDefault="009948F1">
            <w:pPr>
              <w:pStyle w:val="TableParagraph"/>
              <w:spacing w:before="6"/>
              <w:rPr>
                <w:sz w:val="13"/>
              </w:rPr>
            </w:pPr>
          </w:p>
          <w:p w14:paraId="3FDB8843" w14:textId="1F226DCF" w:rsidR="009948F1" w:rsidRDefault="00BC0563">
            <w:pPr>
              <w:pStyle w:val="TableParagraph"/>
              <w:ind w:left="25"/>
              <w:rPr>
                <w:sz w:val="12"/>
              </w:rPr>
            </w:pPr>
            <w:r>
              <w:rPr>
                <w:color w:val="231F20"/>
                <w:w w:val="105"/>
                <w:sz w:val="12"/>
              </w:rPr>
              <w:t xml:space="preserve">Advocacy for integration of </w:t>
            </w:r>
            <w:r w:rsidR="009B6708">
              <w:rPr>
                <w:color w:val="231F20"/>
                <w:w w:val="105"/>
                <w:sz w:val="12"/>
              </w:rPr>
              <w:t>adolescent</w:t>
            </w:r>
            <w:r>
              <w:rPr>
                <w:color w:val="231F20"/>
                <w:w w:val="105"/>
                <w:sz w:val="12"/>
              </w:rPr>
              <w:t xml:space="preserve"> drug </w:t>
            </w:r>
            <w:r w:rsidR="009B6708">
              <w:rPr>
                <w:color w:val="231F20"/>
                <w:w w:val="105"/>
                <w:sz w:val="12"/>
              </w:rPr>
              <w:t>addiction</w:t>
            </w:r>
            <w:r>
              <w:rPr>
                <w:color w:val="231F20"/>
                <w:w w:val="105"/>
                <w:sz w:val="12"/>
              </w:rPr>
              <w:t xml:space="preserve"> into mental health</w:t>
            </w:r>
          </w:p>
        </w:tc>
        <w:tc>
          <w:tcPr>
            <w:tcW w:w="1524" w:type="dxa"/>
            <w:tcBorders>
              <w:top w:val="single" w:sz="6" w:space="0" w:color="231F20"/>
              <w:left w:val="single" w:sz="6" w:space="0" w:color="231F20"/>
              <w:bottom w:val="single" w:sz="6" w:space="0" w:color="231F20"/>
              <w:right w:val="single" w:sz="6" w:space="0" w:color="231F20"/>
            </w:tcBorders>
          </w:tcPr>
          <w:p w14:paraId="640750F9" w14:textId="77777777" w:rsidR="009948F1" w:rsidRDefault="009948F1">
            <w:pPr>
              <w:pStyle w:val="TableParagraph"/>
              <w:rPr>
                <w:sz w:val="14"/>
              </w:rPr>
            </w:pPr>
          </w:p>
          <w:p w14:paraId="07BA4A1C"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10B9CBFF" w14:textId="77777777" w:rsidR="009948F1" w:rsidRDefault="009948F1">
            <w:pPr>
              <w:pStyle w:val="TableParagraph"/>
              <w:rPr>
                <w:sz w:val="14"/>
              </w:rPr>
            </w:pPr>
          </w:p>
          <w:p w14:paraId="42D3B57A" w14:textId="77777777" w:rsidR="009948F1" w:rsidRDefault="00BC0563">
            <w:pPr>
              <w:pStyle w:val="TableParagraph"/>
              <w:ind w:left="25"/>
              <w:rPr>
                <w:sz w:val="12"/>
              </w:rPr>
            </w:pPr>
            <w:r>
              <w:rPr>
                <w:color w:val="231F20"/>
                <w:w w:val="105"/>
                <w:sz w:val="12"/>
              </w:rPr>
              <w:t>Advocacy for integration</w:t>
            </w:r>
          </w:p>
        </w:tc>
      </w:tr>
      <w:tr w:rsidR="009948F1" w14:paraId="3B9C28EF" w14:textId="77777777">
        <w:trPr>
          <w:trHeight w:val="1306"/>
        </w:trPr>
        <w:tc>
          <w:tcPr>
            <w:tcW w:w="490" w:type="dxa"/>
            <w:tcBorders>
              <w:top w:val="single" w:sz="6" w:space="0" w:color="231F20"/>
              <w:left w:val="single" w:sz="12" w:space="0" w:color="231F20"/>
              <w:bottom w:val="single" w:sz="6" w:space="0" w:color="231F20"/>
              <w:right w:val="single" w:sz="6" w:space="0" w:color="231F20"/>
            </w:tcBorders>
            <w:shd w:val="clear" w:color="auto" w:fill="CCE7D3"/>
          </w:tcPr>
          <w:p w14:paraId="62E3FD9A" w14:textId="77777777" w:rsidR="009948F1" w:rsidRDefault="009948F1">
            <w:pPr>
              <w:pStyle w:val="TableParagraph"/>
              <w:rPr>
                <w:sz w:val="12"/>
              </w:rPr>
            </w:pPr>
          </w:p>
          <w:p w14:paraId="5F84E29F" w14:textId="77777777" w:rsidR="009948F1" w:rsidRDefault="009948F1">
            <w:pPr>
              <w:pStyle w:val="TableParagraph"/>
              <w:rPr>
                <w:sz w:val="12"/>
              </w:rPr>
            </w:pPr>
          </w:p>
          <w:p w14:paraId="07F6DA43" w14:textId="77777777" w:rsidR="009948F1" w:rsidRDefault="009948F1">
            <w:pPr>
              <w:pStyle w:val="TableParagraph"/>
              <w:rPr>
                <w:sz w:val="12"/>
              </w:rPr>
            </w:pPr>
          </w:p>
          <w:p w14:paraId="241FF06B" w14:textId="77777777" w:rsidR="009948F1" w:rsidRDefault="009948F1">
            <w:pPr>
              <w:pStyle w:val="TableParagraph"/>
              <w:spacing w:before="9"/>
              <w:rPr>
                <w:sz w:val="14"/>
              </w:rPr>
            </w:pPr>
          </w:p>
          <w:p w14:paraId="7856F58F" w14:textId="77777777" w:rsidR="009948F1" w:rsidRDefault="00BC0563">
            <w:pPr>
              <w:pStyle w:val="TableParagraph"/>
              <w:ind w:left="58"/>
              <w:rPr>
                <w:sz w:val="12"/>
              </w:rPr>
            </w:pPr>
            <w:r>
              <w:rPr>
                <w:color w:val="231F20"/>
                <w:w w:val="105"/>
                <w:sz w:val="12"/>
              </w:rPr>
              <w:t>4.5.7</w:t>
            </w:r>
          </w:p>
        </w:tc>
        <w:tc>
          <w:tcPr>
            <w:tcW w:w="3244" w:type="dxa"/>
            <w:gridSpan w:val="2"/>
            <w:tcBorders>
              <w:top w:val="single" w:sz="6" w:space="0" w:color="231F20"/>
              <w:left w:val="single" w:sz="6" w:space="0" w:color="231F20"/>
              <w:bottom w:val="single" w:sz="6" w:space="0" w:color="231F20"/>
              <w:right w:val="single" w:sz="6" w:space="0" w:color="231F20"/>
            </w:tcBorders>
            <w:shd w:val="clear" w:color="auto" w:fill="CCE7D3"/>
          </w:tcPr>
          <w:p w14:paraId="3B177419" w14:textId="77777777" w:rsidR="009948F1" w:rsidRDefault="009948F1">
            <w:pPr>
              <w:pStyle w:val="TableParagraph"/>
              <w:rPr>
                <w:sz w:val="12"/>
              </w:rPr>
            </w:pPr>
          </w:p>
          <w:p w14:paraId="0DCDB462" w14:textId="77777777" w:rsidR="009948F1" w:rsidRDefault="009948F1">
            <w:pPr>
              <w:pStyle w:val="TableParagraph"/>
              <w:rPr>
                <w:sz w:val="12"/>
              </w:rPr>
            </w:pPr>
          </w:p>
          <w:p w14:paraId="278DCA27" w14:textId="77777777" w:rsidR="009948F1" w:rsidRDefault="009948F1">
            <w:pPr>
              <w:pStyle w:val="TableParagraph"/>
              <w:rPr>
                <w:sz w:val="12"/>
              </w:rPr>
            </w:pPr>
          </w:p>
          <w:p w14:paraId="0590F6A4" w14:textId="77777777" w:rsidR="009948F1" w:rsidRDefault="009948F1">
            <w:pPr>
              <w:pStyle w:val="TableParagraph"/>
              <w:spacing w:before="4"/>
              <w:rPr>
                <w:sz w:val="14"/>
              </w:rPr>
            </w:pPr>
          </w:p>
          <w:p w14:paraId="25529519" w14:textId="77777777" w:rsidR="009948F1" w:rsidRDefault="00BC0563">
            <w:pPr>
              <w:pStyle w:val="TableParagraph"/>
              <w:spacing w:before="1"/>
              <w:ind w:left="61"/>
              <w:rPr>
                <w:sz w:val="12"/>
              </w:rPr>
            </w:pPr>
            <w:r>
              <w:rPr>
                <w:color w:val="231F20"/>
                <w:w w:val="105"/>
                <w:sz w:val="12"/>
              </w:rPr>
              <w:t>Promote school health services including deworming</w:t>
            </w:r>
          </w:p>
        </w:tc>
        <w:tc>
          <w:tcPr>
            <w:tcW w:w="2546" w:type="dxa"/>
            <w:tcBorders>
              <w:top w:val="single" w:sz="6" w:space="0" w:color="231F20"/>
              <w:left w:val="single" w:sz="6" w:space="0" w:color="231F20"/>
              <w:bottom w:val="single" w:sz="6" w:space="0" w:color="231F20"/>
              <w:right w:val="single" w:sz="6" w:space="0" w:color="231F20"/>
            </w:tcBorders>
            <w:shd w:val="clear" w:color="auto" w:fill="CCE7D3"/>
          </w:tcPr>
          <w:p w14:paraId="6C2E974D" w14:textId="2B8215DA" w:rsidR="009948F1" w:rsidRDefault="00BC0563">
            <w:pPr>
              <w:pStyle w:val="TableParagraph"/>
              <w:numPr>
                <w:ilvl w:val="0"/>
                <w:numId w:val="178"/>
              </w:numPr>
              <w:tabs>
                <w:tab w:val="left" w:pos="106"/>
              </w:tabs>
              <w:spacing w:before="64" w:line="259" w:lineRule="auto"/>
              <w:ind w:right="36" w:firstLine="0"/>
              <w:rPr>
                <w:sz w:val="12"/>
              </w:rPr>
            </w:pPr>
            <w:r>
              <w:rPr>
                <w:color w:val="231F20"/>
                <w:w w:val="105"/>
                <w:sz w:val="12"/>
              </w:rPr>
              <w:t xml:space="preserve">Biannual deworming of school age children conducted &amp; at least 100 cartons of worm </w:t>
            </w:r>
            <w:r w:rsidR="009B6708">
              <w:rPr>
                <w:color w:val="231F20"/>
                <w:w w:val="105"/>
                <w:sz w:val="12"/>
              </w:rPr>
              <w:t>expellant</w:t>
            </w:r>
            <w:r>
              <w:rPr>
                <w:color w:val="231F20"/>
                <w:w w:val="105"/>
                <w:sz w:val="12"/>
              </w:rPr>
              <w:t xml:space="preserve"> to schools purchased &amp; distributed</w:t>
            </w:r>
          </w:p>
          <w:p w14:paraId="526F6027" w14:textId="77777777" w:rsidR="009948F1" w:rsidRDefault="00BC0563">
            <w:pPr>
              <w:pStyle w:val="TableParagraph"/>
              <w:numPr>
                <w:ilvl w:val="0"/>
                <w:numId w:val="178"/>
              </w:numPr>
              <w:tabs>
                <w:tab w:val="left" w:pos="106"/>
              </w:tabs>
              <w:spacing w:line="259" w:lineRule="auto"/>
              <w:ind w:right="34" w:firstLine="0"/>
              <w:rPr>
                <w:sz w:val="12"/>
              </w:rPr>
            </w:pPr>
            <w:r>
              <w:rPr>
                <w:color w:val="231F20"/>
                <w:w w:val="105"/>
                <w:sz w:val="12"/>
              </w:rPr>
              <w:t>Orientation workshop on the importance of deworming</w:t>
            </w:r>
            <w:r>
              <w:rPr>
                <w:color w:val="231F20"/>
                <w:spacing w:val="-1"/>
                <w:w w:val="105"/>
                <w:sz w:val="12"/>
              </w:rPr>
              <w:t xml:space="preserve"> </w:t>
            </w:r>
            <w:r>
              <w:rPr>
                <w:color w:val="231F20"/>
                <w:w w:val="105"/>
                <w:sz w:val="12"/>
              </w:rPr>
              <w:t>done</w:t>
            </w:r>
          </w:p>
          <w:p w14:paraId="15C8A9B0" w14:textId="77777777" w:rsidR="009948F1" w:rsidRDefault="00BC0563">
            <w:pPr>
              <w:pStyle w:val="TableParagraph"/>
              <w:numPr>
                <w:ilvl w:val="0"/>
                <w:numId w:val="178"/>
              </w:numPr>
              <w:tabs>
                <w:tab w:val="left" w:pos="106"/>
              </w:tabs>
              <w:spacing w:line="137" w:lineRule="exact"/>
              <w:ind w:left="105" w:hanging="81"/>
              <w:rPr>
                <w:sz w:val="12"/>
              </w:rPr>
            </w:pPr>
            <w:r>
              <w:rPr>
                <w:color w:val="231F20"/>
                <w:w w:val="105"/>
                <w:sz w:val="12"/>
              </w:rPr>
              <w:t>Media talk</w:t>
            </w:r>
            <w:r>
              <w:rPr>
                <w:color w:val="231F20"/>
                <w:spacing w:val="-2"/>
                <w:w w:val="105"/>
                <w:sz w:val="12"/>
              </w:rPr>
              <w:t xml:space="preserve"> </w:t>
            </w:r>
            <w:r>
              <w:rPr>
                <w:color w:val="231F20"/>
                <w:w w:val="105"/>
                <w:sz w:val="12"/>
              </w:rPr>
              <w:t>implemented</w:t>
            </w:r>
          </w:p>
          <w:p w14:paraId="4E227F88" w14:textId="77777777" w:rsidR="009948F1" w:rsidRDefault="00BC0563">
            <w:pPr>
              <w:pStyle w:val="TableParagraph"/>
              <w:numPr>
                <w:ilvl w:val="0"/>
                <w:numId w:val="178"/>
              </w:numPr>
              <w:tabs>
                <w:tab w:val="left" w:pos="106"/>
              </w:tabs>
              <w:spacing w:before="8"/>
              <w:ind w:left="105" w:hanging="81"/>
              <w:rPr>
                <w:sz w:val="12"/>
              </w:rPr>
            </w:pPr>
            <w:r>
              <w:rPr>
                <w:color w:val="231F20"/>
                <w:w w:val="105"/>
                <w:sz w:val="12"/>
              </w:rPr>
              <w:t>1 bus</w:t>
            </w:r>
            <w:r>
              <w:rPr>
                <w:color w:val="231F20"/>
                <w:spacing w:val="-2"/>
                <w:w w:val="105"/>
                <w:sz w:val="12"/>
              </w:rPr>
              <w:t xml:space="preserve"> </w:t>
            </w:r>
            <w:r>
              <w:rPr>
                <w:color w:val="231F20"/>
                <w:w w:val="105"/>
                <w:sz w:val="12"/>
              </w:rPr>
              <w:t>purchased</w:t>
            </w:r>
          </w:p>
        </w:tc>
        <w:tc>
          <w:tcPr>
            <w:tcW w:w="1524" w:type="dxa"/>
            <w:tcBorders>
              <w:top w:val="single" w:sz="6" w:space="0" w:color="231F20"/>
              <w:left w:val="single" w:sz="6" w:space="0" w:color="231F20"/>
              <w:bottom w:val="single" w:sz="6" w:space="0" w:color="231F20"/>
              <w:right w:val="single" w:sz="12" w:space="0" w:color="231F20"/>
            </w:tcBorders>
            <w:shd w:val="clear" w:color="auto" w:fill="CCE7D3"/>
          </w:tcPr>
          <w:p w14:paraId="1C835FE5" w14:textId="77777777" w:rsidR="009948F1" w:rsidRDefault="009948F1">
            <w:pPr>
              <w:pStyle w:val="TableParagraph"/>
              <w:rPr>
                <w:rFonts w:ascii="Times New Roman"/>
                <w:sz w:val="12"/>
              </w:rPr>
            </w:pPr>
          </w:p>
        </w:tc>
        <w:tc>
          <w:tcPr>
            <w:tcW w:w="1607" w:type="dxa"/>
            <w:tcBorders>
              <w:top w:val="single" w:sz="6" w:space="0" w:color="231F20"/>
              <w:left w:val="single" w:sz="12" w:space="0" w:color="231F20"/>
              <w:bottom w:val="single" w:sz="6" w:space="0" w:color="231F20"/>
            </w:tcBorders>
            <w:shd w:val="clear" w:color="auto" w:fill="CCE7D3"/>
          </w:tcPr>
          <w:p w14:paraId="7702A5B6" w14:textId="77777777" w:rsidR="009948F1" w:rsidRDefault="009948F1">
            <w:pPr>
              <w:pStyle w:val="TableParagraph"/>
              <w:rPr>
                <w:rFonts w:ascii="Times New Roman"/>
                <w:sz w:val="12"/>
              </w:rPr>
            </w:pPr>
          </w:p>
        </w:tc>
      </w:tr>
      <w:tr w:rsidR="009948F1" w14:paraId="001594BB" w14:textId="77777777">
        <w:trPr>
          <w:trHeight w:val="284"/>
        </w:trPr>
        <w:tc>
          <w:tcPr>
            <w:tcW w:w="490" w:type="dxa"/>
            <w:vMerge w:val="restart"/>
            <w:tcBorders>
              <w:top w:val="single" w:sz="6" w:space="0" w:color="231F20"/>
              <w:bottom w:val="single" w:sz="6" w:space="0" w:color="231F20"/>
              <w:right w:val="single" w:sz="6" w:space="0" w:color="231F20"/>
            </w:tcBorders>
          </w:tcPr>
          <w:p w14:paraId="70DB2F5D" w14:textId="77777777" w:rsidR="009948F1" w:rsidRDefault="009948F1">
            <w:pPr>
              <w:pStyle w:val="TableParagraph"/>
              <w:rPr>
                <w:rFonts w:ascii="Times New Roman"/>
                <w:sz w:val="12"/>
              </w:rPr>
            </w:pPr>
          </w:p>
        </w:tc>
        <w:tc>
          <w:tcPr>
            <w:tcW w:w="562" w:type="dxa"/>
            <w:tcBorders>
              <w:top w:val="single" w:sz="6" w:space="0" w:color="231F20"/>
              <w:left w:val="single" w:sz="6" w:space="0" w:color="231F20"/>
              <w:bottom w:val="single" w:sz="6" w:space="0" w:color="231F20"/>
              <w:right w:val="single" w:sz="6" w:space="0" w:color="231F20"/>
            </w:tcBorders>
          </w:tcPr>
          <w:p w14:paraId="23B4FB1F" w14:textId="77777777" w:rsidR="009948F1" w:rsidRDefault="00BC0563">
            <w:pPr>
              <w:pStyle w:val="TableParagraph"/>
              <w:spacing w:before="73"/>
              <w:ind w:left="70" w:right="51"/>
              <w:jc w:val="center"/>
              <w:rPr>
                <w:sz w:val="12"/>
              </w:rPr>
            </w:pPr>
            <w:r>
              <w:rPr>
                <w:color w:val="231F20"/>
                <w:w w:val="105"/>
                <w:sz w:val="12"/>
              </w:rPr>
              <w:t>4.5.7.a</w:t>
            </w:r>
          </w:p>
        </w:tc>
        <w:tc>
          <w:tcPr>
            <w:tcW w:w="5228" w:type="dxa"/>
            <w:gridSpan w:val="2"/>
            <w:tcBorders>
              <w:top w:val="single" w:sz="6" w:space="0" w:color="231F20"/>
              <w:left w:val="single" w:sz="6" w:space="0" w:color="231F20"/>
              <w:bottom w:val="single" w:sz="6" w:space="0" w:color="231F20"/>
              <w:right w:val="single" w:sz="6" w:space="0" w:color="231F20"/>
            </w:tcBorders>
          </w:tcPr>
          <w:p w14:paraId="7112A34F" w14:textId="77777777" w:rsidR="009948F1" w:rsidRDefault="00BC0563">
            <w:pPr>
              <w:pStyle w:val="TableParagraph"/>
              <w:spacing w:before="68"/>
              <w:ind w:left="25"/>
              <w:rPr>
                <w:sz w:val="12"/>
              </w:rPr>
            </w:pPr>
            <w:r>
              <w:rPr>
                <w:color w:val="231F20"/>
                <w:w w:val="105"/>
                <w:sz w:val="12"/>
              </w:rPr>
              <w:t>Conduct biannual deworming of school age children</w:t>
            </w:r>
          </w:p>
        </w:tc>
        <w:tc>
          <w:tcPr>
            <w:tcW w:w="1524" w:type="dxa"/>
            <w:tcBorders>
              <w:top w:val="single" w:sz="6" w:space="0" w:color="231F20"/>
              <w:left w:val="single" w:sz="6" w:space="0" w:color="231F20"/>
              <w:bottom w:val="single" w:sz="6" w:space="0" w:color="231F20"/>
              <w:right w:val="single" w:sz="6" w:space="0" w:color="231F20"/>
            </w:tcBorders>
          </w:tcPr>
          <w:p w14:paraId="730FFFBD" w14:textId="77777777" w:rsidR="009948F1" w:rsidRDefault="00BC0563">
            <w:pPr>
              <w:pStyle w:val="TableParagraph"/>
              <w:spacing w:before="73"/>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47D2E12F" w14:textId="77777777" w:rsidR="009948F1" w:rsidRDefault="00BC0563">
            <w:pPr>
              <w:pStyle w:val="TableParagraph"/>
              <w:spacing w:before="73"/>
              <w:ind w:left="25"/>
              <w:rPr>
                <w:sz w:val="12"/>
              </w:rPr>
            </w:pPr>
            <w:r>
              <w:rPr>
                <w:color w:val="231F20"/>
                <w:w w:val="105"/>
                <w:sz w:val="12"/>
              </w:rPr>
              <w:t>No cost</w:t>
            </w:r>
          </w:p>
        </w:tc>
      </w:tr>
      <w:tr w:rsidR="009948F1" w14:paraId="6EB1CC5A" w14:textId="77777777">
        <w:trPr>
          <w:trHeight w:val="488"/>
        </w:trPr>
        <w:tc>
          <w:tcPr>
            <w:tcW w:w="490" w:type="dxa"/>
            <w:vMerge/>
            <w:tcBorders>
              <w:top w:val="nil"/>
              <w:bottom w:val="single" w:sz="6" w:space="0" w:color="231F20"/>
              <w:right w:val="single" w:sz="6" w:space="0" w:color="231F20"/>
            </w:tcBorders>
          </w:tcPr>
          <w:p w14:paraId="56F77671"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6E87A2D8" w14:textId="77777777" w:rsidR="009948F1" w:rsidRDefault="009948F1">
            <w:pPr>
              <w:pStyle w:val="TableParagraph"/>
              <w:spacing w:before="3"/>
              <w:rPr>
                <w:sz w:val="15"/>
              </w:rPr>
            </w:pPr>
          </w:p>
          <w:p w14:paraId="647F1F1E" w14:textId="77777777" w:rsidR="009948F1" w:rsidRDefault="00BC0563">
            <w:pPr>
              <w:pStyle w:val="TableParagraph"/>
              <w:ind w:left="70" w:right="51"/>
              <w:jc w:val="center"/>
              <w:rPr>
                <w:sz w:val="12"/>
              </w:rPr>
            </w:pPr>
            <w:r>
              <w:rPr>
                <w:color w:val="231F20"/>
                <w:w w:val="105"/>
                <w:sz w:val="12"/>
              </w:rPr>
              <w:t>4.5.7.b</w:t>
            </w:r>
          </w:p>
        </w:tc>
        <w:tc>
          <w:tcPr>
            <w:tcW w:w="5228" w:type="dxa"/>
            <w:gridSpan w:val="2"/>
            <w:tcBorders>
              <w:top w:val="single" w:sz="6" w:space="0" w:color="231F20"/>
              <w:left w:val="single" w:sz="6" w:space="0" w:color="231F20"/>
              <w:bottom w:val="single" w:sz="6" w:space="0" w:color="231F20"/>
              <w:right w:val="single" w:sz="6" w:space="0" w:color="231F20"/>
            </w:tcBorders>
          </w:tcPr>
          <w:p w14:paraId="7BD9BC67" w14:textId="77777777" w:rsidR="009948F1" w:rsidRDefault="009948F1">
            <w:pPr>
              <w:pStyle w:val="TableParagraph"/>
              <w:spacing w:before="9"/>
              <w:rPr>
                <w:sz w:val="14"/>
              </w:rPr>
            </w:pPr>
          </w:p>
          <w:p w14:paraId="6B1DBAF2" w14:textId="106B46A7" w:rsidR="009948F1" w:rsidRDefault="00BC0563">
            <w:pPr>
              <w:pStyle w:val="TableParagraph"/>
              <w:ind w:left="25"/>
              <w:rPr>
                <w:sz w:val="12"/>
              </w:rPr>
            </w:pPr>
            <w:r>
              <w:rPr>
                <w:color w:val="231F20"/>
                <w:w w:val="105"/>
                <w:sz w:val="12"/>
              </w:rPr>
              <w:t xml:space="preserve">Purchase &amp; distribute worm </w:t>
            </w:r>
            <w:r w:rsidR="00DA4239">
              <w:rPr>
                <w:color w:val="231F20"/>
                <w:w w:val="105"/>
                <w:sz w:val="12"/>
              </w:rPr>
              <w:t>expellant</w:t>
            </w:r>
            <w:r>
              <w:rPr>
                <w:color w:val="231F20"/>
                <w:w w:val="105"/>
                <w:sz w:val="12"/>
              </w:rPr>
              <w:t xml:space="preserve"> to schools in the state according to target population</w:t>
            </w:r>
          </w:p>
        </w:tc>
        <w:tc>
          <w:tcPr>
            <w:tcW w:w="1524" w:type="dxa"/>
            <w:tcBorders>
              <w:top w:val="single" w:sz="6" w:space="0" w:color="231F20"/>
              <w:left w:val="single" w:sz="6" w:space="0" w:color="231F20"/>
              <w:bottom w:val="single" w:sz="6" w:space="0" w:color="231F20"/>
              <w:right w:val="single" w:sz="6" w:space="0" w:color="231F20"/>
            </w:tcBorders>
          </w:tcPr>
          <w:p w14:paraId="6E99B5BF" w14:textId="77777777" w:rsidR="009948F1" w:rsidRDefault="009948F1">
            <w:pPr>
              <w:pStyle w:val="TableParagraph"/>
              <w:spacing w:before="3"/>
              <w:rPr>
                <w:sz w:val="15"/>
              </w:rPr>
            </w:pPr>
          </w:p>
          <w:p w14:paraId="19DE4684"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7F43FF9B" w14:textId="61790E8D" w:rsidR="009948F1" w:rsidRDefault="00BC0563">
            <w:pPr>
              <w:pStyle w:val="TableParagraph"/>
              <w:spacing w:before="100" w:line="259" w:lineRule="auto"/>
              <w:ind w:left="25" w:right="122"/>
              <w:rPr>
                <w:sz w:val="12"/>
              </w:rPr>
            </w:pPr>
            <w:r>
              <w:rPr>
                <w:color w:val="231F20"/>
                <w:w w:val="105"/>
                <w:sz w:val="12"/>
              </w:rPr>
              <w:t xml:space="preserve">Purchase/distribute worm </w:t>
            </w:r>
            <w:r w:rsidR="00DA4239">
              <w:rPr>
                <w:color w:val="231F20"/>
                <w:w w:val="105"/>
                <w:sz w:val="12"/>
              </w:rPr>
              <w:t>expellant</w:t>
            </w:r>
          </w:p>
        </w:tc>
      </w:tr>
      <w:tr w:rsidR="009948F1" w14:paraId="6F5532B0" w14:textId="77777777">
        <w:trPr>
          <w:trHeight w:val="524"/>
        </w:trPr>
        <w:tc>
          <w:tcPr>
            <w:tcW w:w="490" w:type="dxa"/>
            <w:vMerge/>
            <w:tcBorders>
              <w:top w:val="nil"/>
              <w:bottom w:val="single" w:sz="6" w:space="0" w:color="231F20"/>
              <w:right w:val="single" w:sz="6" w:space="0" w:color="231F20"/>
            </w:tcBorders>
          </w:tcPr>
          <w:p w14:paraId="35F97A07"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3ECB3696" w14:textId="77777777" w:rsidR="009948F1" w:rsidRDefault="009948F1">
            <w:pPr>
              <w:pStyle w:val="TableParagraph"/>
              <w:spacing w:before="9"/>
              <w:rPr>
                <w:sz w:val="16"/>
              </w:rPr>
            </w:pPr>
          </w:p>
          <w:p w14:paraId="14F9DC61" w14:textId="77777777" w:rsidR="009948F1" w:rsidRDefault="00BC0563">
            <w:pPr>
              <w:pStyle w:val="TableParagraph"/>
              <w:ind w:left="70" w:right="50"/>
              <w:jc w:val="center"/>
              <w:rPr>
                <w:sz w:val="12"/>
              </w:rPr>
            </w:pPr>
            <w:r>
              <w:rPr>
                <w:color w:val="231F20"/>
                <w:w w:val="105"/>
                <w:sz w:val="12"/>
              </w:rPr>
              <w:t>4.5.7.c</w:t>
            </w:r>
          </w:p>
        </w:tc>
        <w:tc>
          <w:tcPr>
            <w:tcW w:w="5228" w:type="dxa"/>
            <w:gridSpan w:val="2"/>
            <w:tcBorders>
              <w:top w:val="single" w:sz="6" w:space="0" w:color="231F20"/>
              <w:left w:val="single" w:sz="6" w:space="0" w:color="231F20"/>
              <w:bottom w:val="single" w:sz="6" w:space="0" w:color="231F20"/>
              <w:right w:val="single" w:sz="6" w:space="0" w:color="231F20"/>
            </w:tcBorders>
          </w:tcPr>
          <w:p w14:paraId="50883E71" w14:textId="77777777" w:rsidR="009948F1" w:rsidRDefault="009948F1">
            <w:pPr>
              <w:pStyle w:val="TableParagraph"/>
              <w:spacing w:before="10"/>
              <w:rPr>
                <w:sz w:val="9"/>
              </w:rPr>
            </w:pPr>
          </w:p>
          <w:p w14:paraId="15D060A7" w14:textId="77777777" w:rsidR="009948F1" w:rsidRDefault="00BC0563">
            <w:pPr>
              <w:pStyle w:val="TableParagraph"/>
              <w:spacing w:line="259" w:lineRule="auto"/>
              <w:ind w:left="25" w:right="426"/>
              <w:rPr>
                <w:sz w:val="12"/>
              </w:rPr>
            </w:pPr>
            <w:r>
              <w:rPr>
                <w:color w:val="231F20"/>
                <w:w w:val="105"/>
                <w:sz w:val="12"/>
              </w:rPr>
              <w:t>Conduct orientation workshop for secondary school students &amp; PTA Chairmen on the importance of deworming in children and adolescents</w:t>
            </w:r>
          </w:p>
        </w:tc>
        <w:tc>
          <w:tcPr>
            <w:tcW w:w="1524" w:type="dxa"/>
            <w:tcBorders>
              <w:top w:val="single" w:sz="6" w:space="0" w:color="231F20"/>
              <w:left w:val="single" w:sz="6" w:space="0" w:color="231F20"/>
              <w:bottom w:val="single" w:sz="6" w:space="0" w:color="231F20"/>
              <w:right w:val="single" w:sz="6" w:space="0" w:color="231F20"/>
            </w:tcBorders>
          </w:tcPr>
          <w:p w14:paraId="761893D9" w14:textId="77777777" w:rsidR="009948F1" w:rsidRDefault="009948F1">
            <w:pPr>
              <w:pStyle w:val="TableParagraph"/>
              <w:spacing w:before="9"/>
              <w:rPr>
                <w:sz w:val="16"/>
              </w:rPr>
            </w:pPr>
          </w:p>
          <w:p w14:paraId="27ECD9FA"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44732642" w14:textId="77777777" w:rsidR="009948F1" w:rsidRDefault="009948F1">
            <w:pPr>
              <w:pStyle w:val="TableParagraph"/>
              <w:spacing w:before="9"/>
              <w:rPr>
                <w:sz w:val="16"/>
              </w:rPr>
            </w:pPr>
          </w:p>
          <w:p w14:paraId="108F9509" w14:textId="77777777" w:rsidR="009948F1" w:rsidRDefault="00BC0563">
            <w:pPr>
              <w:pStyle w:val="TableParagraph"/>
              <w:ind w:left="25"/>
              <w:rPr>
                <w:sz w:val="12"/>
              </w:rPr>
            </w:pPr>
            <w:r>
              <w:rPr>
                <w:color w:val="231F20"/>
                <w:w w:val="105"/>
                <w:sz w:val="12"/>
              </w:rPr>
              <w:t>Conduct workshop</w:t>
            </w:r>
          </w:p>
        </w:tc>
      </w:tr>
      <w:tr w:rsidR="009948F1" w14:paraId="4163F089" w14:textId="77777777">
        <w:trPr>
          <w:trHeight w:val="466"/>
        </w:trPr>
        <w:tc>
          <w:tcPr>
            <w:tcW w:w="490" w:type="dxa"/>
            <w:vMerge/>
            <w:tcBorders>
              <w:top w:val="nil"/>
              <w:bottom w:val="single" w:sz="6" w:space="0" w:color="231F20"/>
              <w:right w:val="single" w:sz="6" w:space="0" w:color="231F20"/>
            </w:tcBorders>
          </w:tcPr>
          <w:p w14:paraId="32868186"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6D23C79F" w14:textId="77777777" w:rsidR="009948F1" w:rsidRDefault="009948F1">
            <w:pPr>
              <w:pStyle w:val="TableParagraph"/>
              <w:spacing w:before="3"/>
              <w:rPr>
                <w:sz w:val="14"/>
              </w:rPr>
            </w:pPr>
          </w:p>
          <w:p w14:paraId="10AE05B7" w14:textId="77777777" w:rsidR="009948F1" w:rsidRDefault="00BC0563">
            <w:pPr>
              <w:pStyle w:val="TableParagraph"/>
              <w:ind w:left="70" w:right="51"/>
              <w:jc w:val="center"/>
              <w:rPr>
                <w:sz w:val="12"/>
              </w:rPr>
            </w:pPr>
            <w:r>
              <w:rPr>
                <w:color w:val="231F20"/>
                <w:w w:val="105"/>
                <w:sz w:val="12"/>
              </w:rPr>
              <w:t>4.5.7.d</w:t>
            </w:r>
          </w:p>
        </w:tc>
        <w:tc>
          <w:tcPr>
            <w:tcW w:w="5228" w:type="dxa"/>
            <w:gridSpan w:val="2"/>
            <w:tcBorders>
              <w:top w:val="single" w:sz="6" w:space="0" w:color="231F20"/>
              <w:left w:val="single" w:sz="6" w:space="0" w:color="231F20"/>
              <w:bottom w:val="single" w:sz="6" w:space="0" w:color="231F20"/>
              <w:right w:val="single" w:sz="6" w:space="0" w:color="231F20"/>
            </w:tcBorders>
          </w:tcPr>
          <w:p w14:paraId="7F1E0722" w14:textId="77777777" w:rsidR="009948F1" w:rsidRDefault="00BC0563">
            <w:pPr>
              <w:pStyle w:val="TableParagraph"/>
              <w:spacing w:before="85" w:line="259" w:lineRule="auto"/>
              <w:ind w:left="25" w:right="195"/>
              <w:rPr>
                <w:sz w:val="12"/>
              </w:rPr>
            </w:pPr>
            <w:r>
              <w:rPr>
                <w:color w:val="231F20"/>
                <w:w w:val="105"/>
                <w:sz w:val="12"/>
              </w:rPr>
              <w:t>Conduct media (Radio &amp; Television) talk on deworming exercise in schools during MNCH Week</w:t>
            </w:r>
          </w:p>
        </w:tc>
        <w:tc>
          <w:tcPr>
            <w:tcW w:w="1524" w:type="dxa"/>
            <w:tcBorders>
              <w:top w:val="single" w:sz="6" w:space="0" w:color="231F20"/>
              <w:left w:val="single" w:sz="6" w:space="0" w:color="231F20"/>
              <w:bottom w:val="single" w:sz="6" w:space="0" w:color="231F20"/>
              <w:right w:val="single" w:sz="6" w:space="0" w:color="231F20"/>
            </w:tcBorders>
          </w:tcPr>
          <w:p w14:paraId="3E049265" w14:textId="77777777" w:rsidR="009948F1" w:rsidRDefault="009948F1">
            <w:pPr>
              <w:pStyle w:val="TableParagraph"/>
              <w:spacing w:before="3"/>
              <w:rPr>
                <w:sz w:val="14"/>
              </w:rPr>
            </w:pPr>
          </w:p>
          <w:p w14:paraId="50710E06"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1C33D426" w14:textId="77777777" w:rsidR="009948F1" w:rsidRDefault="009948F1">
            <w:pPr>
              <w:pStyle w:val="TableParagraph"/>
              <w:spacing w:before="3"/>
              <w:rPr>
                <w:sz w:val="14"/>
              </w:rPr>
            </w:pPr>
          </w:p>
          <w:p w14:paraId="0B5E72BA" w14:textId="77777777" w:rsidR="009948F1" w:rsidRDefault="00BC0563">
            <w:pPr>
              <w:pStyle w:val="TableParagraph"/>
              <w:ind w:left="25"/>
              <w:rPr>
                <w:sz w:val="12"/>
              </w:rPr>
            </w:pPr>
            <w:r>
              <w:rPr>
                <w:color w:val="231F20"/>
                <w:w w:val="105"/>
                <w:sz w:val="12"/>
              </w:rPr>
              <w:t>Conduct media talk</w:t>
            </w:r>
          </w:p>
        </w:tc>
      </w:tr>
      <w:tr w:rsidR="009948F1" w14:paraId="740120BB" w14:textId="77777777">
        <w:trPr>
          <w:trHeight w:val="291"/>
        </w:trPr>
        <w:tc>
          <w:tcPr>
            <w:tcW w:w="490" w:type="dxa"/>
            <w:vMerge/>
            <w:tcBorders>
              <w:top w:val="nil"/>
              <w:bottom w:val="single" w:sz="6" w:space="0" w:color="231F20"/>
              <w:right w:val="single" w:sz="6" w:space="0" w:color="231F20"/>
            </w:tcBorders>
          </w:tcPr>
          <w:p w14:paraId="320F7CA1"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172D038F" w14:textId="77777777" w:rsidR="009948F1" w:rsidRDefault="00BC0563">
            <w:pPr>
              <w:pStyle w:val="TableParagraph"/>
              <w:spacing w:before="76"/>
              <w:ind w:left="70" w:right="51"/>
              <w:jc w:val="center"/>
              <w:rPr>
                <w:sz w:val="12"/>
              </w:rPr>
            </w:pPr>
            <w:r>
              <w:rPr>
                <w:color w:val="231F20"/>
                <w:w w:val="105"/>
                <w:sz w:val="12"/>
              </w:rPr>
              <w:t>4.5.7.e</w:t>
            </w:r>
          </w:p>
        </w:tc>
        <w:tc>
          <w:tcPr>
            <w:tcW w:w="5228" w:type="dxa"/>
            <w:gridSpan w:val="2"/>
            <w:tcBorders>
              <w:top w:val="single" w:sz="6" w:space="0" w:color="231F20"/>
              <w:left w:val="single" w:sz="6" w:space="0" w:color="231F20"/>
              <w:bottom w:val="single" w:sz="6" w:space="0" w:color="231F20"/>
              <w:right w:val="single" w:sz="6" w:space="0" w:color="231F20"/>
            </w:tcBorders>
          </w:tcPr>
          <w:p w14:paraId="34EE3AF9" w14:textId="77777777" w:rsidR="009948F1" w:rsidRDefault="00BC0563">
            <w:pPr>
              <w:pStyle w:val="TableParagraph"/>
              <w:spacing w:line="136" w:lineRule="exact"/>
              <w:ind w:left="25"/>
              <w:rPr>
                <w:sz w:val="12"/>
              </w:rPr>
            </w:pPr>
            <w:r>
              <w:rPr>
                <w:color w:val="231F20"/>
                <w:w w:val="105"/>
                <w:sz w:val="12"/>
              </w:rPr>
              <w:t>Operating cost for engaging and supervising the contractor to provide vehicle for School</w:t>
            </w:r>
          </w:p>
          <w:p w14:paraId="32593AE0" w14:textId="77777777" w:rsidR="009948F1" w:rsidRDefault="00BC0563">
            <w:pPr>
              <w:pStyle w:val="TableParagraph"/>
              <w:spacing w:before="10" w:line="125" w:lineRule="exact"/>
              <w:ind w:left="25"/>
              <w:rPr>
                <w:sz w:val="12"/>
              </w:rPr>
            </w:pPr>
            <w:r>
              <w:rPr>
                <w:color w:val="231F20"/>
                <w:w w:val="105"/>
                <w:sz w:val="12"/>
              </w:rPr>
              <w:t>Health activities in the LGAs</w:t>
            </w:r>
          </w:p>
        </w:tc>
        <w:tc>
          <w:tcPr>
            <w:tcW w:w="1524" w:type="dxa"/>
            <w:tcBorders>
              <w:top w:val="single" w:sz="6" w:space="0" w:color="231F20"/>
              <w:left w:val="single" w:sz="6" w:space="0" w:color="231F20"/>
              <w:bottom w:val="single" w:sz="6" w:space="0" w:color="231F20"/>
              <w:right w:val="single" w:sz="6" w:space="0" w:color="231F20"/>
            </w:tcBorders>
          </w:tcPr>
          <w:p w14:paraId="243463BE" w14:textId="77777777" w:rsidR="009948F1" w:rsidRDefault="00BC0563">
            <w:pPr>
              <w:pStyle w:val="TableParagraph"/>
              <w:spacing w:before="76"/>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08E324A0" w14:textId="77777777" w:rsidR="009948F1" w:rsidRDefault="00BC0563">
            <w:pPr>
              <w:pStyle w:val="TableParagraph"/>
              <w:spacing w:before="3"/>
              <w:ind w:left="25"/>
              <w:rPr>
                <w:sz w:val="12"/>
              </w:rPr>
            </w:pPr>
            <w:r>
              <w:rPr>
                <w:color w:val="231F20"/>
                <w:w w:val="105"/>
                <w:sz w:val="12"/>
              </w:rPr>
              <w:t>Operating cost. Costed in</w:t>
            </w:r>
          </w:p>
          <w:p w14:paraId="0D00D53C" w14:textId="77777777" w:rsidR="009948F1" w:rsidRDefault="00BC0563">
            <w:pPr>
              <w:pStyle w:val="TableParagraph"/>
              <w:spacing w:before="10" w:line="120" w:lineRule="exact"/>
              <w:ind w:left="25"/>
              <w:rPr>
                <w:sz w:val="12"/>
              </w:rPr>
            </w:pPr>
            <w:r>
              <w:rPr>
                <w:color w:val="231F20"/>
                <w:w w:val="105"/>
                <w:sz w:val="12"/>
              </w:rPr>
              <w:t>OHT</w:t>
            </w:r>
          </w:p>
        </w:tc>
      </w:tr>
      <w:tr w:rsidR="009948F1" w14:paraId="55BE08F4" w14:textId="77777777">
        <w:trPr>
          <w:trHeight w:val="758"/>
        </w:trPr>
        <w:tc>
          <w:tcPr>
            <w:tcW w:w="6280" w:type="dxa"/>
            <w:gridSpan w:val="4"/>
            <w:tcBorders>
              <w:top w:val="single" w:sz="6" w:space="0" w:color="231F20"/>
              <w:left w:val="single" w:sz="6" w:space="0" w:color="231F20"/>
              <w:bottom w:val="single" w:sz="6" w:space="0" w:color="231F20"/>
              <w:right w:val="single" w:sz="12" w:space="0" w:color="231F20"/>
            </w:tcBorders>
            <w:shd w:val="clear" w:color="auto" w:fill="FFF200"/>
          </w:tcPr>
          <w:p w14:paraId="6A51A024" w14:textId="77777777" w:rsidR="009948F1" w:rsidRDefault="009948F1">
            <w:pPr>
              <w:pStyle w:val="TableParagraph"/>
              <w:spacing w:before="5"/>
              <w:rPr>
                <w:sz w:val="13"/>
              </w:rPr>
            </w:pPr>
          </w:p>
          <w:p w14:paraId="587968CE" w14:textId="7D01EA30" w:rsidR="009948F1" w:rsidRDefault="00BC0563">
            <w:pPr>
              <w:pStyle w:val="TableParagraph"/>
              <w:spacing w:line="264" w:lineRule="auto"/>
              <w:ind w:left="30" w:firstLine="35"/>
              <w:rPr>
                <w:b/>
                <w:sz w:val="12"/>
              </w:rPr>
            </w:pPr>
            <w:r>
              <w:rPr>
                <w:b/>
                <w:color w:val="231F20"/>
                <w:w w:val="105"/>
                <w:sz w:val="12"/>
              </w:rPr>
              <w:t xml:space="preserve">Improve the nutritional status of Nigerians throughout their life cycle with a particular focus on vulnerable groups especially children under five years, </w:t>
            </w:r>
            <w:r w:rsidR="000225DB">
              <w:rPr>
                <w:b/>
                <w:color w:val="231F20"/>
                <w:w w:val="105"/>
                <w:sz w:val="12"/>
              </w:rPr>
              <w:t>adolescents</w:t>
            </w:r>
            <w:r>
              <w:rPr>
                <w:b/>
                <w:color w:val="231F20"/>
                <w:w w:val="105"/>
                <w:sz w:val="12"/>
              </w:rPr>
              <w:t>, women of reproductive age and the elderly</w:t>
            </w:r>
          </w:p>
        </w:tc>
        <w:tc>
          <w:tcPr>
            <w:tcW w:w="1524" w:type="dxa"/>
            <w:tcBorders>
              <w:top w:val="single" w:sz="6" w:space="0" w:color="231F20"/>
              <w:left w:val="single" w:sz="12" w:space="0" w:color="231F20"/>
              <w:bottom w:val="single" w:sz="6" w:space="0" w:color="231F20"/>
              <w:right w:val="single" w:sz="12" w:space="0" w:color="231F20"/>
            </w:tcBorders>
            <w:shd w:val="clear" w:color="auto" w:fill="FFF200"/>
          </w:tcPr>
          <w:p w14:paraId="44B69DF9" w14:textId="77777777" w:rsidR="009948F1" w:rsidRDefault="009948F1">
            <w:pPr>
              <w:pStyle w:val="TableParagraph"/>
              <w:rPr>
                <w:rFonts w:ascii="Times New Roman"/>
                <w:sz w:val="12"/>
              </w:rPr>
            </w:pPr>
          </w:p>
        </w:tc>
        <w:tc>
          <w:tcPr>
            <w:tcW w:w="1607" w:type="dxa"/>
            <w:tcBorders>
              <w:top w:val="single" w:sz="6" w:space="0" w:color="231F20"/>
              <w:left w:val="single" w:sz="12" w:space="0" w:color="231F20"/>
              <w:bottom w:val="single" w:sz="6" w:space="0" w:color="231F20"/>
            </w:tcBorders>
            <w:shd w:val="clear" w:color="auto" w:fill="FFF200"/>
          </w:tcPr>
          <w:p w14:paraId="2CD72BF4" w14:textId="77777777" w:rsidR="009948F1" w:rsidRDefault="009948F1">
            <w:pPr>
              <w:pStyle w:val="TableParagraph"/>
              <w:rPr>
                <w:rFonts w:ascii="Times New Roman"/>
                <w:sz w:val="12"/>
              </w:rPr>
            </w:pPr>
          </w:p>
        </w:tc>
      </w:tr>
      <w:tr w:rsidR="009948F1" w14:paraId="2E16470B" w14:textId="77777777">
        <w:trPr>
          <w:trHeight w:val="423"/>
        </w:trPr>
        <w:tc>
          <w:tcPr>
            <w:tcW w:w="490" w:type="dxa"/>
            <w:tcBorders>
              <w:top w:val="single" w:sz="6" w:space="0" w:color="231F20"/>
              <w:left w:val="single" w:sz="12" w:space="0" w:color="231F20"/>
              <w:bottom w:val="single" w:sz="6" w:space="0" w:color="231F20"/>
              <w:right w:val="single" w:sz="6" w:space="0" w:color="231F20"/>
            </w:tcBorders>
            <w:shd w:val="clear" w:color="auto" w:fill="CCE7D3"/>
          </w:tcPr>
          <w:p w14:paraId="766A6642" w14:textId="77777777" w:rsidR="009948F1" w:rsidRDefault="009948F1">
            <w:pPr>
              <w:pStyle w:val="TableParagraph"/>
              <w:spacing w:before="4"/>
              <w:rPr>
                <w:sz w:val="12"/>
              </w:rPr>
            </w:pPr>
          </w:p>
          <w:p w14:paraId="6AE1E836" w14:textId="77777777" w:rsidR="009948F1" w:rsidRDefault="00BC0563">
            <w:pPr>
              <w:pStyle w:val="TableParagraph"/>
              <w:spacing w:before="1"/>
              <w:ind w:left="58"/>
              <w:rPr>
                <w:sz w:val="12"/>
              </w:rPr>
            </w:pPr>
            <w:r>
              <w:rPr>
                <w:color w:val="231F20"/>
                <w:w w:val="105"/>
                <w:sz w:val="12"/>
              </w:rPr>
              <w:t>4.6.1</w:t>
            </w:r>
          </w:p>
        </w:tc>
        <w:tc>
          <w:tcPr>
            <w:tcW w:w="3244" w:type="dxa"/>
            <w:gridSpan w:val="2"/>
            <w:tcBorders>
              <w:top w:val="single" w:sz="6" w:space="0" w:color="231F20"/>
              <w:left w:val="single" w:sz="6" w:space="0" w:color="231F20"/>
              <w:bottom w:val="single" w:sz="6" w:space="0" w:color="231F20"/>
              <w:right w:val="single" w:sz="6" w:space="0" w:color="231F20"/>
            </w:tcBorders>
            <w:shd w:val="clear" w:color="auto" w:fill="CCE7D3"/>
          </w:tcPr>
          <w:p w14:paraId="779651BB" w14:textId="77777777" w:rsidR="009948F1" w:rsidRDefault="009948F1">
            <w:pPr>
              <w:pStyle w:val="TableParagraph"/>
              <w:rPr>
                <w:sz w:val="12"/>
              </w:rPr>
            </w:pPr>
          </w:p>
          <w:p w14:paraId="5CCA6559" w14:textId="77777777" w:rsidR="009948F1" w:rsidRDefault="00BC0563">
            <w:pPr>
              <w:pStyle w:val="TableParagraph"/>
              <w:ind w:left="61"/>
              <w:rPr>
                <w:sz w:val="12"/>
              </w:rPr>
            </w:pPr>
            <w:r>
              <w:rPr>
                <w:color w:val="231F20"/>
                <w:w w:val="105"/>
                <w:sz w:val="12"/>
              </w:rPr>
              <w:t>Promote hospital baby friendly initiative</w:t>
            </w:r>
          </w:p>
        </w:tc>
        <w:tc>
          <w:tcPr>
            <w:tcW w:w="2546" w:type="dxa"/>
            <w:tcBorders>
              <w:top w:val="single" w:sz="6" w:space="0" w:color="231F20"/>
              <w:left w:val="single" w:sz="6" w:space="0" w:color="231F20"/>
              <w:bottom w:val="single" w:sz="6" w:space="0" w:color="231F20"/>
              <w:right w:val="single" w:sz="6" w:space="0" w:color="231F20"/>
            </w:tcBorders>
            <w:shd w:val="clear" w:color="auto" w:fill="CCE7D3"/>
          </w:tcPr>
          <w:p w14:paraId="5B9EEF42" w14:textId="77777777" w:rsidR="009948F1" w:rsidRDefault="00BC0563">
            <w:pPr>
              <w:pStyle w:val="TableParagraph"/>
              <w:numPr>
                <w:ilvl w:val="0"/>
                <w:numId w:val="177"/>
              </w:numPr>
              <w:tabs>
                <w:tab w:val="left" w:pos="99"/>
              </w:tabs>
              <w:spacing w:line="136" w:lineRule="exact"/>
              <w:ind w:hanging="74"/>
              <w:rPr>
                <w:sz w:val="12"/>
              </w:rPr>
            </w:pPr>
            <w:r>
              <w:rPr>
                <w:color w:val="231F20"/>
                <w:w w:val="105"/>
                <w:sz w:val="12"/>
              </w:rPr>
              <w:t>At least 744 posters printed &amp; distributed</w:t>
            </w:r>
          </w:p>
          <w:p w14:paraId="7B4D8E57" w14:textId="77777777" w:rsidR="009948F1" w:rsidRDefault="00BC0563">
            <w:pPr>
              <w:pStyle w:val="TableParagraph"/>
              <w:numPr>
                <w:ilvl w:val="0"/>
                <w:numId w:val="177"/>
              </w:numPr>
              <w:tabs>
                <w:tab w:val="left" w:pos="71"/>
              </w:tabs>
              <w:spacing w:before="10"/>
              <w:ind w:left="70" w:hanging="46"/>
              <w:rPr>
                <w:sz w:val="12"/>
              </w:rPr>
            </w:pPr>
            <w:r>
              <w:rPr>
                <w:color w:val="231F20"/>
                <w:w w:val="105"/>
                <w:sz w:val="12"/>
              </w:rPr>
              <w:t>Campaigns through media</w:t>
            </w:r>
            <w:r>
              <w:rPr>
                <w:color w:val="231F20"/>
                <w:spacing w:val="1"/>
                <w:w w:val="105"/>
                <w:sz w:val="12"/>
              </w:rPr>
              <w:t xml:space="preserve"> </w:t>
            </w:r>
            <w:r>
              <w:rPr>
                <w:color w:val="231F20"/>
                <w:w w:val="105"/>
                <w:sz w:val="12"/>
              </w:rPr>
              <w:t>implemented</w:t>
            </w:r>
          </w:p>
          <w:p w14:paraId="695A97DD" w14:textId="77777777" w:rsidR="009948F1" w:rsidRDefault="00BC0563">
            <w:pPr>
              <w:pStyle w:val="TableParagraph"/>
              <w:spacing w:before="11" w:line="108" w:lineRule="exact"/>
              <w:ind w:left="25"/>
              <w:rPr>
                <w:sz w:val="12"/>
              </w:rPr>
            </w:pPr>
            <w:r>
              <w:rPr>
                <w:color w:val="231F20"/>
                <w:w w:val="105"/>
                <w:sz w:val="12"/>
              </w:rPr>
              <w:t>•</w:t>
            </w:r>
          </w:p>
        </w:tc>
        <w:tc>
          <w:tcPr>
            <w:tcW w:w="1524" w:type="dxa"/>
            <w:tcBorders>
              <w:top w:val="single" w:sz="6" w:space="0" w:color="231F20"/>
              <w:left w:val="single" w:sz="6" w:space="0" w:color="231F20"/>
              <w:bottom w:val="single" w:sz="6" w:space="0" w:color="231F20"/>
              <w:right w:val="single" w:sz="12" w:space="0" w:color="231F20"/>
            </w:tcBorders>
            <w:shd w:val="clear" w:color="auto" w:fill="CCE7D3"/>
          </w:tcPr>
          <w:p w14:paraId="5380E7A7" w14:textId="77777777" w:rsidR="009948F1" w:rsidRDefault="009948F1">
            <w:pPr>
              <w:pStyle w:val="TableParagraph"/>
              <w:rPr>
                <w:rFonts w:ascii="Times New Roman"/>
                <w:sz w:val="12"/>
              </w:rPr>
            </w:pPr>
          </w:p>
        </w:tc>
        <w:tc>
          <w:tcPr>
            <w:tcW w:w="1607" w:type="dxa"/>
            <w:tcBorders>
              <w:top w:val="single" w:sz="6" w:space="0" w:color="231F20"/>
              <w:left w:val="single" w:sz="12" w:space="0" w:color="231F20"/>
              <w:bottom w:val="single" w:sz="6" w:space="0" w:color="231F20"/>
            </w:tcBorders>
            <w:shd w:val="clear" w:color="auto" w:fill="CCE7D3"/>
          </w:tcPr>
          <w:p w14:paraId="1343E0DD" w14:textId="77777777" w:rsidR="009948F1" w:rsidRDefault="009948F1">
            <w:pPr>
              <w:pStyle w:val="TableParagraph"/>
              <w:rPr>
                <w:rFonts w:ascii="Times New Roman"/>
                <w:sz w:val="12"/>
              </w:rPr>
            </w:pPr>
          </w:p>
        </w:tc>
      </w:tr>
      <w:tr w:rsidR="009948F1" w14:paraId="418CF38B" w14:textId="77777777">
        <w:trPr>
          <w:trHeight w:val="531"/>
        </w:trPr>
        <w:tc>
          <w:tcPr>
            <w:tcW w:w="490" w:type="dxa"/>
            <w:vMerge w:val="restart"/>
            <w:tcBorders>
              <w:top w:val="single" w:sz="6" w:space="0" w:color="231F20"/>
              <w:bottom w:val="single" w:sz="6" w:space="0" w:color="231F20"/>
              <w:right w:val="single" w:sz="6" w:space="0" w:color="231F20"/>
            </w:tcBorders>
          </w:tcPr>
          <w:p w14:paraId="27B032C9" w14:textId="77777777" w:rsidR="009948F1" w:rsidRDefault="009948F1">
            <w:pPr>
              <w:pStyle w:val="TableParagraph"/>
              <w:rPr>
                <w:rFonts w:ascii="Times New Roman"/>
                <w:sz w:val="12"/>
              </w:rPr>
            </w:pPr>
          </w:p>
        </w:tc>
        <w:tc>
          <w:tcPr>
            <w:tcW w:w="562" w:type="dxa"/>
            <w:tcBorders>
              <w:top w:val="single" w:sz="6" w:space="0" w:color="231F20"/>
              <w:left w:val="single" w:sz="6" w:space="0" w:color="231F20"/>
              <w:bottom w:val="single" w:sz="6" w:space="0" w:color="231F20"/>
              <w:right w:val="single" w:sz="6" w:space="0" w:color="231F20"/>
            </w:tcBorders>
          </w:tcPr>
          <w:p w14:paraId="2D990EEE" w14:textId="77777777" w:rsidR="009948F1" w:rsidRDefault="009948F1">
            <w:pPr>
              <w:pStyle w:val="TableParagraph"/>
              <w:spacing w:before="1"/>
              <w:rPr>
                <w:sz w:val="17"/>
              </w:rPr>
            </w:pPr>
          </w:p>
          <w:p w14:paraId="63DE85FE" w14:textId="77777777" w:rsidR="009948F1" w:rsidRDefault="00BC0563">
            <w:pPr>
              <w:pStyle w:val="TableParagraph"/>
              <w:ind w:left="70" w:right="51"/>
              <w:jc w:val="center"/>
              <w:rPr>
                <w:sz w:val="12"/>
              </w:rPr>
            </w:pPr>
            <w:r>
              <w:rPr>
                <w:color w:val="231F20"/>
                <w:w w:val="105"/>
                <w:sz w:val="12"/>
              </w:rPr>
              <w:t>4.6.1.a</w:t>
            </w:r>
          </w:p>
        </w:tc>
        <w:tc>
          <w:tcPr>
            <w:tcW w:w="5228" w:type="dxa"/>
            <w:gridSpan w:val="2"/>
            <w:tcBorders>
              <w:top w:val="single" w:sz="6" w:space="0" w:color="231F20"/>
              <w:left w:val="single" w:sz="6" w:space="0" w:color="231F20"/>
              <w:bottom w:val="single" w:sz="6" w:space="0" w:color="231F20"/>
              <w:right w:val="single" w:sz="6" w:space="0" w:color="231F20"/>
            </w:tcBorders>
          </w:tcPr>
          <w:p w14:paraId="6AC750B1" w14:textId="77777777" w:rsidR="009948F1" w:rsidRDefault="009948F1">
            <w:pPr>
              <w:pStyle w:val="TableParagraph"/>
              <w:spacing w:before="2"/>
              <w:rPr>
                <w:sz w:val="10"/>
              </w:rPr>
            </w:pPr>
          </w:p>
          <w:p w14:paraId="7B6F73F5" w14:textId="77777777" w:rsidR="009948F1" w:rsidRDefault="00BC0563">
            <w:pPr>
              <w:pStyle w:val="TableParagraph"/>
              <w:spacing w:line="259" w:lineRule="auto"/>
              <w:ind w:left="25" w:right="4"/>
              <w:rPr>
                <w:sz w:val="12"/>
              </w:rPr>
            </w:pPr>
            <w:r>
              <w:rPr>
                <w:color w:val="231F20"/>
                <w:w w:val="105"/>
                <w:sz w:val="12"/>
              </w:rPr>
              <w:t xml:space="preserve">Print &amp; distribute posters on baby friendly initiative to promote awareness on IYCF in all health facilities (PHC </w:t>
            </w:r>
            <w:proofErr w:type="spellStart"/>
            <w:r>
              <w:rPr>
                <w:color w:val="231F20"/>
                <w:w w:val="105"/>
                <w:sz w:val="12"/>
              </w:rPr>
              <w:t>centres</w:t>
            </w:r>
            <w:proofErr w:type="spellEnd"/>
            <w:r>
              <w:rPr>
                <w:color w:val="231F20"/>
                <w:w w:val="105"/>
                <w:sz w:val="12"/>
              </w:rPr>
              <w:t>, ANC clinics, OTP and CMAM sites, and child welfare clinics)</w:t>
            </w:r>
          </w:p>
        </w:tc>
        <w:tc>
          <w:tcPr>
            <w:tcW w:w="1524" w:type="dxa"/>
            <w:tcBorders>
              <w:top w:val="single" w:sz="6" w:space="0" w:color="231F20"/>
              <w:left w:val="single" w:sz="6" w:space="0" w:color="231F20"/>
              <w:bottom w:val="single" w:sz="6" w:space="0" w:color="231F20"/>
              <w:right w:val="single" w:sz="6" w:space="0" w:color="231F20"/>
            </w:tcBorders>
          </w:tcPr>
          <w:p w14:paraId="7DC0804D" w14:textId="77777777" w:rsidR="009948F1" w:rsidRDefault="009948F1">
            <w:pPr>
              <w:pStyle w:val="TableParagraph"/>
              <w:spacing w:before="1"/>
              <w:rPr>
                <w:sz w:val="17"/>
              </w:rPr>
            </w:pPr>
          </w:p>
          <w:p w14:paraId="5D070561"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71663A5E" w14:textId="77777777" w:rsidR="009948F1" w:rsidRDefault="009948F1">
            <w:pPr>
              <w:pStyle w:val="TableParagraph"/>
              <w:spacing w:before="1"/>
              <w:rPr>
                <w:sz w:val="17"/>
              </w:rPr>
            </w:pPr>
          </w:p>
          <w:p w14:paraId="79DA2A12" w14:textId="77777777" w:rsidR="009948F1" w:rsidRDefault="00BC0563">
            <w:pPr>
              <w:pStyle w:val="TableParagraph"/>
              <w:ind w:left="25"/>
              <w:rPr>
                <w:sz w:val="12"/>
              </w:rPr>
            </w:pPr>
            <w:r>
              <w:rPr>
                <w:color w:val="231F20"/>
                <w:w w:val="105"/>
                <w:sz w:val="12"/>
              </w:rPr>
              <w:t>Print &amp; distribute posters</w:t>
            </w:r>
          </w:p>
        </w:tc>
      </w:tr>
      <w:tr w:rsidR="009948F1" w14:paraId="1C8CC3A5" w14:textId="77777777">
        <w:trPr>
          <w:trHeight w:val="495"/>
        </w:trPr>
        <w:tc>
          <w:tcPr>
            <w:tcW w:w="490" w:type="dxa"/>
            <w:vMerge/>
            <w:tcBorders>
              <w:top w:val="nil"/>
              <w:bottom w:val="single" w:sz="6" w:space="0" w:color="231F20"/>
              <w:right w:val="single" w:sz="6" w:space="0" w:color="231F20"/>
            </w:tcBorders>
          </w:tcPr>
          <w:p w14:paraId="5767F0D7"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498F3DAC" w14:textId="77777777" w:rsidR="009948F1" w:rsidRDefault="009948F1">
            <w:pPr>
              <w:pStyle w:val="TableParagraph"/>
              <w:spacing w:before="6"/>
              <w:rPr>
                <w:sz w:val="15"/>
              </w:rPr>
            </w:pPr>
          </w:p>
          <w:p w14:paraId="173DD9F6" w14:textId="77777777" w:rsidR="009948F1" w:rsidRDefault="00BC0563">
            <w:pPr>
              <w:pStyle w:val="TableParagraph"/>
              <w:ind w:left="70" w:right="51"/>
              <w:jc w:val="center"/>
              <w:rPr>
                <w:sz w:val="12"/>
              </w:rPr>
            </w:pPr>
            <w:r>
              <w:rPr>
                <w:color w:val="231F20"/>
                <w:w w:val="105"/>
                <w:sz w:val="12"/>
              </w:rPr>
              <w:t>4.6.1.b</w:t>
            </w:r>
          </w:p>
        </w:tc>
        <w:tc>
          <w:tcPr>
            <w:tcW w:w="5228" w:type="dxa"/>
            <w:gridSpan w:val="2"/>
            <w:tcBorders>
              <w:top w:val="single" w:sz="6" w:space="0" w:color="231F20"/>
              <w:left w:val="single" w:sz="6" w:space="0" w:color="231F20"/>
              <w:bottom w:val="single" w:sz="6" w:space="0" w:color="231F20"/>
              <w:right w:val="single" w:sz="6" w:space="0" w:color="231F20"/>
            </w:tcBorders>
          </w:tcPr>
          <w:p w14:paraId="3ADF6A1D" w14:textId="164B0097" w:rsidR="009948F1" w:rsidRDefault="00BC0563">
            <w:pPr>
              <w:pStyle w:val="TableParagraph"/>
              <w:spacing w:before="99" w:line="259" w:lineRule="auto"/>
              <w:ind w:left="25" w:right="195"/>
              <w:rPr>
                <w:sz w:val="12"/>
              </w:rPr>
            </w:pPr>
            <w:r>
              <w:rPr>
                <w:color w:val="231F20"/>
                <w:w w:val="105"/>
                <w:sz w:val="12"/>
              </w:rPr>
              <w:t xml:space="preserve">Conduct periodic campaigns through the media to the general </w:t>
            </w:r>
            <w:r w:rsidR="000225DB">
              <w:rPr>
                <w:color w:val="231F20"/>
                <w:w w:val="105"/>
                <w:sz w:val="12"/>
              </w:rPr>
              <w:t>public</w:t>
            </w:r>
            <w:r>
              <w:rPr>
                <w:color w:val="231F20"/>
                <w:w w:val="105"/>
                <w:sz w:val="12"/>
              </w:rPr>
              <w:t xml:space="preserve"> to promote baby friendly hospitals</w:t>
            </w:r>
          </w:p>
        </w:tc>
        <w:tc>
          <w:tcPr>
            <w:tcW w:w="1524" w:type="dxa"/>
            <w:tcBorders>
              <w:top w:val="single" w:sz="6" w:space="0" w:color="231F20"/>
              <w:left w:val="single" w:sz="6" w:space="0" w:color="231F20"/>
              <w:bottom w:val="single" w:sz="6" w:space="0" w:color="231F20"/>
              <w:right w:val="single" w:sz="6" w:space="0" w:color="231F20"/>
            </w:tcBorders>
          </w:tcPr>
          <w:p w14:paraId="27F6B9C5" w14:textId="77777777" w:rsidR="009948F1" w:rsidRDefault="009948F1">
            <w:pPr>
              <w:pStyle w:val="TableParagraph"/>
              <w:spacing w:before="6"/>
              <w:rPr>
                <w:sz w:val="15"/>
              </w:rPr>
            </w:pPr>
          </w:p>
          <w:p w14:paraId="3F418F3C"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5120D460" w14:textId="77777777" w:rsidR="009948F1" w:rsidRDefault="009948F1">
            <w:pPr>
              <w:pStyle w:val="TableParagraph"/>
              <w:spacing w:before="6"/>
              <w:rPr>
                <w:sz w:val="15"/>
              </w:rPr>
            </w:pPr>
          </w:p>
          <w:p w14:paraId="73805012" w14:textId="77777777" w:rsidR="009948F1" w:rsidRDefault="00BC0563">
            <w:pPr>
              <w:pStyle w:val="TableParagraph"/>
              <w:ind w:left="25"/>
              <w:rPr>
                <w:sz w:val="12"/>
              </w:rPr>
            </w:pPr>
            <w:r>
              <w:rPr>
                <w:color w:val="231F20"/>
                <w:w w:val="105"/>
                <w:sz w:val="12"/>
              </w:rPr>
              <w:t>Conduct campaigns</w:t>
            </w:r>
          </w:p>
        </w:tc>
      </w:tr>
      <w:tr w:rsidR="009948F1" w14:paraId="5F2301ED" w14:textId="77777777">
        <w:trPr>
          <w:trHeight w:val="1218"/>
        </w:trPr>
        <w:tc>
          <w:tcPr>
            <w:tcW w:w="490" w:type="dxa"/>
            <w:tcBorders>
              <w:top w:val="single" w:sz="6" w:space="0" w:color="231F20"/>
              <w:left w:val="single" w:sz="12" w:space="0" w:color="231F20"/>
              <w:bottom w:val="single" w:sz="6" w:space="0" w:color="231F20"/>
              <w:right w:val="single" w:sz="6" w:space="0" w:color="231F20"/>
            </w:tcBorders>
            <w:shd w:val="clear" w:color="auto" w:fill="CCE7D3"/>
          </w:tcPr>
          <w:p w14:paraId="5F3A4337" w14:textId="77777777" w:rsidR="009948F1" w:rsidRDefault="009948F1">
            <w:pPr>
              <w:pStyle w:val="TableParagraph"/>
              <w:rPr>
                <w:sz w:val="12"/>
              </w:rPr>
            </w:pPr>
          </w:p>
          <w:p w14:paraId="5931909C" w14:textId="77777777" w:rsidR="009948F1" w:rsidRDefault="009948F1">
            <w:pPr>
              <w:pStyle w:val="TableParagraph"/>
              <w:rPr>
                <w:sz w:val="12"/>
              </w:rPr>
            </w:pPr>
          </w:p>
          <w:p w14:paraId="5D85A5A2" w14:textId="77777777" w:rsidR="009948F1" w:rsidRDefault="009948F1">
            <w:pPr>
              <w:pStyle w:val="TableParagraph"/>
              <w:rPr>
                <w:sz w:val="12"/>
              </w:rPr>
            </w:pPr>
          </w:p>
          <w:p w14:paraId="6B302672" w14:textId="77777777" w:rsidR="009948F1" w:rsidRDefault="009948F1">
            <w:pPr>
              <w:pStyle w:val="TableParagraph"/>
              <w:spacing w:before="11"/>
              <w:rPr>
                <w:sz w:val="10"/>
              </w:rPr>
            </w:pPr>
          </w:p>
          <w:p w14:paraId="313FC127" w14:textId="77777777" w:rsidR="009948F1" w:rsidRDefault="00BC0563">
            <w:pPr>
              <w:pStyle w:val="TableParagraph"/>
              <w:ind w:left="58"/>
              <w:rPr>
                <w:sz w:val="12"/>
              </w:rPr>
            </w:pPr>
            <w:r>
              <w:rPr>
                <w:color w:val="231F20"/>
                <w:w w:val="105"/>
                <w:sz w:val="12"/>
              </w:rPr>
              <w:t>4.6.2</w:t>
            </w:r>
          </w:p>
        </w:tc>
        <w:tc>
          <w:tcPr>
            <w:tcW w:w="3244" w:type="dxa"/>
            <w:gridSpan w:val="2"/>
            <w:tcBorders>
              <w:top w:val="single" w:sz="6" w:space="0" w:color="231F20"/>
              <w:left w:val="single" w:sz="6" w:space="0" w:color="231F20"/>
              <w:bottom w:val="single" w:sz="6" w:space="0" w:color="231F20"/>
              <w:right w:val="single" w:sz="6" w:space="0" w:color="231F20"/>
            </w:tcBorders>
            <w:shd w:val="clear" w:color="auto" w:fill="CCE7D3"/>
          </w:tcPr>
          <w:p w14:paraId="75E1B1A2" w14:textId="77777777" w:rsidR="009948F1" w:rsidRDefault="009948F1">
            <w:pPr>
              <w:pStyle w:val="TableParagraph"/>
              <w:rPr>
                <w:sz w:val="12"/>
              </w:rPr>
            </w:pPr>
          </w:p>
          <w:p w14:paraId="6E688417" w14:textId="77777777" w:rsidR="009948F1" w:rsidRDefault="009948F1">
            <w:pPr>
              <w:pStyle w:val="TableParagraph"/>
              <w:rPr>
                <w:sz w:val="12"/>
              </w:rPr>
            </w:pPr>
          </w:p>
          <w:p w14:paraId="3AA06A74" w14:textId="77777777" w:rsidR="009948F1" w:rsidRDefault="009948F1">
            <w:pPr>
              <w:pStyle w:val="TableParagraph"/>
              <w:spacing w:before="1"/>
              <w:rPr>
                <w:sz w:val="16"/>
              </w:rPr>
            </w:pPr>
          </w:p>
          <w:p w14:paraId="3720C6F9" w14:textId="77777777" w:rsidR="009948F1" w:rsidRDefault="00BC0563">
            <w:pPr>
              <w:pStyle w:val="TableParagraph"/>
              <w:spacing w:line="259" w:lineRule="auto"/>
              <w:ind w:left="26" w:firstLine="35"/>
              <w:rPr>
                <w:sz w:val="12"/>
              </w:rPr>
            </w:pPr>
            <w:r>
              <w:rPr>
                <w:color w:val="231F20"/>
                <w:w w:val="105"/>
                <w:sz w:val="12"/>
              </w:rPr>
              <w:t>Promote exclusive breastfeeding for the first six months of life</w:t>
            </w:r>
          </w:p>
        </w:tc>
        <w:tc>
          <w:tcPr>
            <w:tcW w:w="2546" w:type="dxa"/>
            <w:tcBorders>
              <w:top w:val="single" w:sz="6" w:space="0" w:color="231F20"/>
              <w:left w:val="single" w:sz="6" w:space="0" w:color="231F20"/>
              <w:bottom w:val="single" w:sz="6" w:space="0" w:color="231F20"/>
              <w:right w:val="single" w:sz="6" w:space="0" w:color="231F20"/>
            </w:tcBorders>
            <w:shd w:val="clear" w:color="auto" w:fill="CCE7D3"/>
          </w:tcPr>
          <w:p w14:paraId="7F7E0855" w14:textId="77777777" w:rsidR="009948F1" w:rsidRDefault="00BC0563">
            <w:pPr>
              <w:pStyle w:val="TableParagraph"/>
              <w:numPr>
                <w:ilvl w:val="0"/>
                <w:numId w:val="176"/>
              </w:numPr>
              <w:tabs>
                <w:tab w:val="left" w:pos="71"/>
              </w:tabs>
              <w:spacing w:before="21" w:line="259" w:lineRule="auto"/>
              <w:ind w:right="48" w:firstLine="0"/>
              <w:rPr>
                <w:sz w:val="12"/>
              </w:rPr>
            </w:pPr>
            <w:r>
              <w:rPr>
                <w:color w:val="231F20"/>
                <w:w w:val="105"/>
                <w:sz w:val="12"/>
              </w:rPr>
              <w:t>Breastfeeding within 30 minutes of delivery initiated in all</w:t>
            </w:r>
            <w:r>
              <w:rPr>
                <w:color w:val="231F20"/>
                <w:spacing w:val="-2"/>
                <w:w w:val="105"/>
                <w:sz w:val="12"/>
              </w:rPr>
              <w:t xml:space="preserve"> </w:t>
            </w:r>
            <w:r>
              <w:rPr>
                <w:color w:val="231F20"/>
                <w:w w:val="105"/>
                <w:sz w:val="12"/>
              </w:rPr>
              <w:t>HFs</w:t>
            </w:r>
          </w:p>
          <w:p w14:paraId="2112A8D4" w14:textId="77777777" w:rsidR="009948F1" w:rsidRDefault="00BC0563">
            <w:pPr>
              <w:pStyle w:val="TableParagraph"/>
              <w:numPr>
                <w:ilvl w:val="0"/>
                <w:numId w:val="176"/>
              </w:numPr>
              <w:tabs>
                <w:tab w:val="left" w:pos="71"/>
              </w:tabs>
              <w:spacing w:line="259" w:lineRule="auto"/>
              <w:ind w:right="128" w:firstLine="0"/>
              <w:rPr>
                <w:sz w:val="12"/>
              </w:rPr>
            </w:pPr>
            <w:r>
              <w:rPr>
                <w:color w:val="231F20"/>
                <w:w w:val="105"/>
                <w:sz w:val="12"/>
              </w:rPr>
              <w:t>Health talk on exclusive breastfeeding given in all health facilities in the 23</w:t>
            </w:r>
            <w:r>
              <w:rPr>
                <w:color w:val="231F20"/>
                <w:spacing w:val="2"/>
                <w:w w:val="105"/>
                <w:sz w:val="12"/>
              </w:rPr>
              <w:t xml:space="preserve"> </w:t>
            </w:r>
            <w:r>
              <w:rPr>
                <w:color w:val="231F20"/>
                <w:w w:val="105"/>
                <w:sz w:val="12"/>
              </w:rPr>
              <w:t>LGAs</w:t>
            </w:r>
          </w:p>
          <w:p w14:paraId="63E3A1E8" w14:textId="77777777" w:rsidR="009948F1" w:rsidRDefault="00BC0563">
            <w:pPr>
              <w:pStyle w:val="TableParagraph"/>
              <w:numPr>
                <w:ilvl w:val="0"/>
                <w:numId w:val="176"/>
              </w:numPr>
              <w:tabs>
                <w:tab w:val="left" w:pos="106"/>
              </w:tabs>
              <w:spacing w:line="259" w:lineRule="auto"/>
              <w:ind w:right="60" w:firstLine="0"/>
              <w:rPr>
                <w:sz w:val="12"/>
              </w:rPr>
            </w:pPr>
            <w:r>
              <w:rPr>
                <w:color w:val="231F20"/>
                <w:w w:val="105"/>
                <w:sz w:val="12"/>
              </w:rPr>
              <w:t>World Breast Feeding Week at the state &amp; LGA levels</w:t>
            </w:r>
            <w:r>
              <w:rPr>
                <w:color w:val="231F20"/>
                <w:spacing w:val="-9"/>
                <w:w w:val="105"/>
                <w:sz w:val="12"/>
              </w:rPr>
              <w:t xml:space="preserve"> </w:t>
            </w:r>
            <w:r>
              <w:rPr>
                <w:color w:val="231F20"/>
                <w:w w:val="105"/>
                <w:sz w:val="12"/>
              </w:rPr>
              <w:t>observed</w:t>
            </w:r>
          </w:p>
          <w:p w14:paraId="2EC739C4" w14:textId="18E2002C" w:rsidR="009948F1" w:rsidRDefault="000225DB">
            <w:pPr>
              <w:pStyle w:val="TableParagraph"/>
              <w:numPr>
                <w:ilvl w:val="1"/>
                <w:numId w:val="176"/>
              </w:numPr>
              <w:tabs>
                <w:tab w:val="left" w:pos="142"/>
              </w:tabs>
              <w:spacing w:line="137" w:lineRule="exact"/>
              <w:ind w:hanging="47"/>
              <w:rPr>
                <w:sz w:val="12"/>
              </w:rPr>
            </w:pPr>
            <w:r>
              <w:rPr>
                <w:color w:val="231F20"/>
                <w:w w:val="105"/>
                <w:sz w:val="12"/>
              </w:rPr>
              <w:t>Breastfeeding</w:t>
            </w:r>
            <w:r w:rsidR="00BC0563">
              <w:rPr>
                <w:color w:val="231F20"/>
                <w:w w:val="105"/>
                <w:sz w:val="12"/>
              </w:rPr>
              <w:t xml:space="preserve"> Support Group</w:t>
            </w:r>
            <w:r w:rsidR="00BC0563">
              <w:rPr>
                <w:color w:val="231F20"/>
                <w:spacing w:val="-1"/>
                <w:w w:val="105"/>
                <w:sz w:val="12"/>
              </w:rPr>
              <w:t xml:space="preserve"> </w:t>
            </w:r>
            <w:r w:rsidR="00BC0563">
              <w:rPr>
                <w:color w:val="231F20"/>
                <w:w w:val="105"/>
                <w:sz w:val="12"/>
              </w:rPr>
              <w:t>(BSG)</w:t>
            </w:r>
          </w:p>
          <w:p w14:paraId="2BFFF10A" w14:textId="77777777" w:rsidR="009948F1" w:rsidRDefault="00BC0563">
            <w:pPr>
              <w:pStyle w:val="TableParagraph"/>
              <w:spacing w:before="8"/>
              <w:ind w:left="25"/>
              <w:rPr>
                <w:sz w:val="12"/>
              </w:rPr>
            </w:pPr>
            <w:r>
              <w:rPr>
                <w:color w:val="231F20"/>
                <w:w w:val="105"/>
                <w:sz w:val="12"/>
              </w:rPr>
              <w:t>established</w:t>
            </w:r>
          </w:p>
        </w:tc>
        <w:tc>
          <w:tcPr>
            <w:tcW w:w="1524" w:type="dxa"/>
            <w:tcBorders>
              <w:top w:val="single" w:sz="6" w:space="0" w:color="231F20"/>
              <w:left w:val="single" w:sz="6" w:space="0" w:color="231F20"/>
              <w:bottom w:val="single" w:sz="6" w:space="0" w:color="231F20"/>
              <w:right w:val="single" w:sz="12" w:space="0" w:color="231F20"/>
            </w:tcBorders>
            <w:shd w:val="clear" w:color="auto" w:fill="CCE7D3"/>
          </w:tcPr>
          <w:p w14:paraId="14CEE87F" w14:textId="77777777" w:rsidR="009948F1" w:rsidRDefault="009948F1">
            <w:pPr>
              <w:pStyle w:val="TableParagraph"/>
              <w:rPr>
                <w:rFonts w:ascii="Times New Roman"/>
                <w:sz w:val="12"/>
              </w:rPr>
            </w:pPr>
          </w:p>
        </w:tc>
        <w:tc>
          <w:tcPr>
            <w:tcW w:w="1607" w:type="dxa"/>
            <w:tcBorders>
              <w:top w:val="single" w:sz="6" w:space="0" w:color="231F20"/>
              <w:left w:val="single" w:sz="12" w:space="0" w:color="231F20"/>
              <w:bottom w:val="single" w:sz="6" w:space="0" w:color="231F20"/>
            </w:tcBorders>
            <w:shd w:val="clear" w:color="auto" w:fill="CCE7D3"/>
          </w:tcPr>
          <w:p w14:paraId="60BA1E23" w14:textId="77777777" w:rsidR="009948F1" w:rsidRDefault="009948F1">
            <w:pPr>
              <w:pStyle w:val="TableParagraph"/>
              <w:rPr>
                <w:rFonts w:ascii="Times New Roman"/>
                <w:sz w:val="12"/>
              </w:rPr>
            </w:pPr>
          </w:p>
        </w:tc>
      </w:tr>
      <w:tr w:rsidR="009948F1" w14:paraId="225632B7" w14:textId="77777777">
        <w:trPr>
          <w:trHeight w:val="415"/>
        </w:trPr>
        <w:tc>
          <w:tcPr>
            <w:tcW w:w="490" w:type="dxa"/>
            <w:vMerge w:val="restart"/>
            <w:tcBorders>
              <w:top w:val="single" w:sz="6" w:space="0" w:color="231F20"/>
              <w:bottom w:val="single" w:sz="6" w:space="0" w:color="231F20"/>
              <w:right w:val="single" w:sz="6" w:space="0" w:color="231F20"/>
            </w:tcBorders>
          </w:tcPr>
          <w:p w14:paraId="5D0DB970" w14:textId="77777777" w:rsidR="009948F1" w:rsidRDefault="009948F1">
            <w:pPr>
              <w:pStyle w:val="TableParagraph"/>
              <w:rPr>
                <w:rFonts w:ascii="Times New Roman"/>
                <w:sz w:val="12"/>
              </w:rPr>
            </w:pPr>
          </w:p>
        </w:tc>
        <w:tc>
          <w:tcPr>
            <w:tcW w:w="562" w:type="dxa"/>
            <w:tcBorders>
              <w:top w:val="single" w:sz="6" w:space="0" w:color="231F20"/>
              <w:left w:val="single" w:sz="6" w:space="0" w:color="231F20"/>
              <w:bottom w:val="single" w:sz="6" w:space="0" w:color="231F20"/>
              <w:right w:val="single" w:sz="6" w:space="0" w:color="231F20"/>
            </w:tcBorders>
          </w:tcPr>
          <w:p w14:paraId="728FDD71" w14:textId="77777777" w:rsidR="009948F1" w:rsidRDefault="009948F1">
            <w:pPr>
              <w:pStyle w:val="TableParagraph"/>
              <w:spacing w:before="1"/>
              <w:rPr>
                <w:sz w:val="12"/>
              </w:rPr>
            </w:pPr>
          </w:p>
          <w:p w14:paraId="142F3D80" w14:textId="77777777" w:rsidR="009948F1" w:rsidRDefault="00BC0563">
            <w:pPr>
              <w:pStyle w:val="TableParagraph"/>
              <w:ind w:left="70" w:right="51"/>
              <w:jc w:val="center"/>
              <w:rPr>
                <w:sz w:val="12"/>
              </w:rPr>
            </w:pPr>
            <w:r>
              <w:rPr>
                <w:color w:val="231F20"/>
                <w:w w:val="105"/>
                <w:sz w:val="12"/>
              </w:rPr>
              <w:t>4.6.2.a</w:t>
            </w:r>
          </w:p>
        </w:tc>
        <w:tc>
          <w:tcPr>
            <w:tcW w:w="5228" w:type="dxa"/>
            <w:gridSpan w:val="2"/>
            <w:tcBorders>
              <w:top w:val="single" w:sz="6" w:space="0" w:color="231F20"/>
              <w:left w:val="single" w:sz="6" w:space="0" w:color="231F20"/>
              <w:bottom w:val="single" w:sz="6" w:space="0" w:color="231F20"/>
              <w:right w:val="single" w:sz="6" w:space="0" w:color="231F20"/>
            </w:tcBorders>
          </w:tcPr>
          <w:p w14:paraId="73571E4E" w14:textId="77777777" w:rsidR="009948F1" w:rsidRDefault="009948F1">
            <w:pPr>
              <w:pStyle w:val="TableParagraph"/>
              <w:spacing w:before="8"/>
              <w:rPr>
                <w:sz w:val="11"/>
              </w:rPr>
            </w:pPr>
          </w:p>
          <w:p w14:paraId="70328920" w14:textId="77777777" w:rsidR="009948F1" w:rsidRDefault="00BC0563">
            <w:pPr>
              <w:pStyle w:val="TableParagraph"/>
              <w:ind w:left="25"/>
              <w:rPr>
                <w:sz w:val="12"/>
              </w:rPr>
            </w:pPr>
            <w:r>
              <w:rPr>
                <w:color w:val="231F20"/>
                <w:w w:val="105"/>
                <w:sz w:val="12"/>
              </w:rPr>
              <w:t>Ensure initiation of breastfeeding within 30 minutes of delivery</w:t>
            </w:r>
          </w:p>
        </w:tc>
        <w:tc>
          <w:tcPr>
            <w:tcW w:w="1524" w:type="dxa"/>
            <w:tcBorders>
              <w:top w:val="single" w:sz="6" w:space="0" w:color="231F20"/>
              <w:left w:val="single" w:sz="6" w:space="0" w:color="231F20"/>
              <w:bottom w:val="single" w:sz="6" w:space="0" w:color="231F20"/>
              <w:right w:val="single" w:sz="6" w:space="0" w:color="231F20"/>
            </w:tcBorders>
          </w:tcPr>
          <w:p w14:paraId="5DC374F4" w14:textId="77777777" w:rsidR="009948F1" w:rsidRDefault="009948F1">
            <w:pPr>
              <w:pStyle w:val="TableParagraph"/>
              <w:spacing w:before="1"/>
              <w:rPr>
                <w:sz w:val="12"/>
              </w:rPr>
            </w:pPr>
          </w:p>
          <w:p w14:paraId="2E6A96DF"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4A2AC7DF" w14:textId="77777777" w:rsidR="009948F1" w:rsidRDefault="009948F1">
            <w:pPr>
              <w:pStyle w:val="TableParagraph"/>
              <w:spacing w:before="1"/>
              <w:rPr>
                <w:sz w:val="12"/>
              </w:rPr>
            </w:pPr>
          </w:p>
          <w:p w14:paraId="66428E33" w14:textId="77777777" w:rsidR="009948F1" w:rsidRDefault="00BC0563">
            <w:pPr>
              <w:pStyle w:val="TableParagraph"/>
              <w:ind w:left="25"/>
              <w:rPr>
                <w:sz w:val="12"/>
              </w:rPr>
            </w:pPr>
            <w:r>
              <w:rPr>
                <w:color w:val="231F20"/>
                <w:w w:val="105"/>
                <w:sz w:val="12"/>
              </w:rPr>
              <w:t>No Cost</w:t>
            </w:r>
          </w:p>
        </w:tc>
      </w:tr>
      <w:tr w:rsidR="009948F1" w14:paraId="7552AEE0" w14:textId="77777777">
        <w:trPr>
          <w:trHeight w:val="452"/>
        </w:trPr>
        <w:tc>
          <w:tcPr>
            <w:tcW w:w="490" w:type="dxa"/>
            <w:vMerge/>
            <w:tcBorders>
              <w:top w:val="nil"/>
              <w:bottom w:val="single" w:sz="6" w:space="0" w:color="231F20"/>
              <w:right w:val="single" w:sz="6" w:space="0" w:color="231F20"/>
            </w:tcBorders>
          </w:tcPr>
          <w:p w14:paraId="5FE45771"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55FB7665" w14:textId="77777777" w:rsidR="009948F1" w:rsidRDefault="009948F1">
            <w:pPr>
              <w:pStyle w:val="TableParagraph"/>
              <w:spacing w:before="7"/>
              <w:rPr>
                <w:sz w:val="13"/>
              </w:rPr>
            </w:pPr>
          </w:p>
          <w:p w14:paraId="2AF9F38F" w14:textId="77777777" w:rsidR="009948F1" w:rsidRDefault="00BC0563">
            <w:pPr>
              <w:pStyle w:val="TableParagraph"/>
              <w:spacing w:before="1"/>
              <w:ind w:left="70" w:right="51"/>
              <w:jc w:val="center"/>
              <w:rPr>
                <w:sz w:val="12"/>
              </w:rPr>
            </w:pPr>
            <w:r>
              <w:rPr>
                <w:color w:val="231F20"/>
                <w:w w:val="105"/>
                <w:sz w:val="12"/>
              </w:rPr>
              <w:t>4.6.2.b</w:t>
            </w:r>
          </w:p>
        </w:tc>
        <w:tc>
          <w:tcPr>
            <w:tcW w:w="5228" w:type="dxa"/>
            <w:gridSpan w:val="2"/>
            <w:tcBorders>
              <w:top w:val="single" w:sz="6" w:space="0" w:color="231F20"/>
              <w:left w:val="single" w:sz="6" w:space="0" w:color="231F20"/>
              <w:bottom w:val="single" w:sz="6" w:space="0" w:color="231F20"/>
              <w:right w:val="single" w:sz="6" w:space="0" w:color="231F20"/>
            </w:tcBorders>
          </w:tcPr>
          <w:p w14:paraId="520179E2" w14:textId="77777777" w:rsidR="009948F1" w:rsidRDefault="00BC0563">
            <w:pPr>
              <w:pStyle w:val="TableParagraph"/>
              <w:spacing w:before="4" w:line="259" w:lineRule="auto"/>
              <w:ind w:left="25"/>
              <w:rPr>
                <w:sz w:val="12"/>
              </w:rPr>
            </w:pPr>
            <w:r>
              <w:rPr>
                <w:color w:val="231F20"/>
                <w:w w:val="105"/>
                <w:sz w:val="12"/>
              </w:rPr>
              <w:t>Give health talk on exclusive breastfeeding to pregnant women and parents of infants under 6months of age pregnant/lactation women, adolescents &amp; women of reproductive age at the</w:t>
            </w:r>
          </w:p>
          <w:p w14:paraId="1DADB124" w14:textId="77777777" w:rsidR="009948F1" w:rsidRDefault="00BC0563">
            <w:pPr>
              <w:pStyle w:val="TableParagraph"/>
              <w:spacing w:line="130" w:lineRule="exact"/>
              <w:ind w:left="25"/>
              <w:rPr>
                <w:sz w:val="12"/>
              </w:rPr>
            </w:pPr>
            <w:r>
              <w:rPr>
                <w:color w:val="231F20"/>
                <w:w w:val="105"/>
                <w:sz w:val="12"/>
              </w:rPr>
              <w:t>health facilities in the 23 LGAs</w:t>
            </w:r>
          </w:p>
        </w:tc>
        <w:tc>
          <w:tcPr>
            <w:tcW w:w="1524" w:type="dxa"/>
            <w:tcBorders>
              <w:top w:val="single" w:sz="6" w:space="0" w:color="231F20"/>
              <w:left w:val="single" w:sz="6" w:space="0" w:color="231F20"/>
              <w:bottom w:val="single" w:sz="6" w:space="0" w:color="231F20"/>
              <w:right w:val="single" w:sz="6" w:space="0" w:color="231F20"/>
            </w:tcBorders>
          </w:tcPr>
          <w:p w14:paraId="2B7163FB" w14:textId="77777777" w:rsidR="009948F1" w:rsidRDefault="009948F1">
            <w:pPr>
              <w:pStyle w:val="TableParagraph"/>
              <w:spacing w:before="7"/>
              <w:rPr>
                <w:sz w:val="13"/>
              </w:rPr>
            </w:pPr>
          </w:p>
          <w:p w14:paraId="38156CF9" w14:textId="77777777" w:rsidR="009948F1" w:rsidRDefault="00BC0563">
            <w:pPr>
              <w:pStyle w:val="TableParagraph"/>
              <w:spacing w:before="1"/>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29026FAA" w14:textId="77777777" w:rsidR="009948F1" w:rsidRDefault="009948F1">
            <w:pPr>
              <w:pStyle w:val="TableParagraph"/>
              <w:spacing w:before="7"/>
              <w:rPr>
                <w:sz w:val="13"/>
              </w:rPr>
            </w:pPr>
          </w:p>
          <w:p w14:paraId="5D82931D" w14:textId="77777777" w:rsidR="009948F1" w:rsidRDefault="00BC0563">
            <w:pPr>
              <w:pStyle w:val="TableParagraph"/>
              <w:spacing w:before="1"/>
              <w:ind w:left="25"/>
              <w:rPr>
                <w:sz w:val="12"/>
              </w:rPr>
            </w:pPr>
            <w:r>
              <w:rPr>
                <w:color w:val="231F20"/>
                <w:w w:val="105"/>
                <w:sz w:val="12"/>
              </w:rPr>
              <w:t>No cost</w:t>
            </w:r>
          </w:p>
        </w:tc>
      </w:tr>
      <w:tr w:rsidR="009948F1" w14:paraId="67181CC7" w14:textId="77777777">
        <w:trPr>
          <w:trHeight w:val="466"/>
        </w:trPr>
        <w:tc>
          <w:tcPr>
            <w:tcW w:w="490" w:type="dxa"/>
            <w:vMerge/>
            <w:tcBorders>
              <w:top w:val="nil"/>
              <w:bottom w:val="single" w:sz="6" w:space="0" w:color="231F20"/>
              <w:right w:val="single" w:sz="6" w:space="0" w:color="231F20"/>
            </w:tcBorders>
          </w:tcPr>
          <w:p w14:paraId="000BC46F"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5E7B8FF1" w14:textId="77777777" w:rsidR="009948F1" w:rsidRDefault="009948F1">
            <w:pPr>
              <w:pStyle w:val="TableParagraph"/>
              <w:spacing w:before="3"/>
              <w:rPr>
                <w:sz w:val="14"/>
              </w:rPr>
            </w:pPr>
          </w:p>
          <w:p w14:paraId="454E048B" w14:textId="77777777" w:rsidR="009948F1" w:rsidRDefault="00BC0563">
            <w:pPr>
              <w:pStyle w:val="TableParagraph"/>
              <w:ind w:left="70" w:right="50"/>
              <w:jc w:val="center"/>
              <w:rPr>
                <w:sz w:val="12"/>
              </w:rPr>
            </w:pPr>
            <w:r>
              <w:rPr>
                <w:color w:val="231F20"/>
                <w:w w:val="105"/>
                <w:sz w:val="12"/>
              </w:rPr>
              <w:t>4.6.2.c</w:t>
            </w:r>
          </w:p>
        </w:tc>
        <w:tc>
          <w:tcPr>
            <w:tcW w:w="5228" w:type="dxa"/>
            <w:gridSpan w:val="2"/>
            <w:tcBorders>
              <w:top w:val="single" w:sz="6" w:space="0" w:color="231F20"/>
              <w:left w:val="single" w:sz="6" w:space="0" w:color="231F20"/>
              <w:bottom w:val="single" w:sz="6" w:space="0" w:color="231F20"/>
              <w:right w:val="single" w:sz="12" w:space="0" w:color="231F20"/>
            </w:tcBorders>
          </w:tcPr>
          <w:p w14:paraId="5D111080" w14:textId="213ABF6C" w:rsidR="009948F1" w:rsidRDefault="00BC0563">
            <w:pPr>
              <w:pStyle w:val="TableParagraph"/>
              <w:spacing w:line="150" w:lineRule="atLeast"/>
              <w:ind w:left="25" w:right="73"/>
              <w:rPr>
                <w:sz w:val="12"/>
              </w:rPr>
            </w:pPr>
            <w:r>
              <w:rPr>
                <w:color w:val="231F20"/>
                <w:w w:val="105"/>
                <w:sz w:val="12"/>
              </w:rPr>
              <w:t xml:space="preserve">Conduct advocacy meeting with high level stakeholders (Traditional ruler, Legislators, Health Workers </w:t>
            </w:r>
            <w:r w:rsidR="000225DB">
              <w:rPr>
                <w:color w:val="231F20"/>
                <w:w w:val="105"/>
                <w:sz w:val="12"/>
              </w:rPr>
              <w:t>etc.</w:t>
            </w:r>
            <w:r>
              <w:rPr>
                <w:color w:val="231F20"/>
                <w:w w:val="105"/>
                <w:sz w:val="12"/>
              </w:rPr>
              <w:t>) to promote, support &amp; protect exclusive breast feeding at state &amp; LGA levels</w:t>
            </w:r>
          </w:p>
        </w:tc>
        <w:tc>
          <w:tcPr>
            <w:tcW w:w="1524" w:type="dxa"/>
            <w:tcBorders>
              <w:top w:val="single" w:sz="6" w:space="0" w:color="231F20"/>
              <w:left w:val="single" w:sz="12" w:space="0" w:color="231F20"/>
              <w:bottom w:val="single" w:sz="6" w:space="0" w:color="231F20"/>
              <w:right w:val="single" w:sz="6" w:space="0" w:color="231F20"/>
            </w:tcBorders>
          </w:tcPr>
          <w:p w14:paraId="72B2EDB1" w14:textId="77777777" w:rsidR="009948F1" w:rsidRDefault="009948F1">
            <w:pPr>
              <w:pStyle w:val="TableParagraph"/>
              <w:spacing w:before="3"/>
              <w:rPr>
                <w:sz w:val="14"/>
              </w:rPr>
            </w:pPr>
          </w:p>
          <w:p w14:paraId="55558E6B" w14:textId="77777777" w:rsidR="009948F1" w:rsidRDefault="00BC0563">
            <w:pPr>
              <w:pStyle w:val="TableParagraph"/>
              <w:ind w:left="17"/>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4E458719" w14:textId="77777777" w:rsidR="009948F1" w:rsidRDefault="009948F1">
            <w:pPr>
              <w:pStyle w:val="TableParagraph"/>
              <w:spacing w:before="3"/>
              <w:rPr>
                <w:sz w:val="14"/>
              </w:rPr>
            </w:pPr>
          </w:p>
          <w:p w14:paraId="5C5C96F5" w14:textId="77777777" w:rsidR="009948F1" w:rsidRDefault="00BC0563">
            <w:pPr>
              <w:pStyle w:val="TableParagraph"/>
              <w:ind w:left="25"/>
              <w:rPr>
                <w:sz w:val="12"/>
              </w:rPr>
            </w:pPr>
            <w:r>
              <w:rPr>
                <w:color w:val="231F20"/>
                <w:w w:val="105"/>
                <w:sz w:val="12"/>
              </w:rPr>
              <w:t>No cost</w:t>
            </w:r>
          </w:p>
        </w:tc>
      </w:tr>
      <w:tr w:rsidR="009948F1" w14:paraId="63C19150" w14:textId="77777777">
        <w:trPr>
          <w:trHeight w:val="605"/>
        </w:trPr>
        <w:tc>
          <w:tcPr>
            <w:tcW w:w="490" w:type="dxa"/>
            <w:vMerge/>
            <w:tcBorders>
              <w:top w:val="nil"/>
              <w:bottom w:val="single" w:sz="6" w:space="0" w:color="231F20"/>
              <w:right w:val="single" w:sz="6" w:space="0" w:color="231F20"/>
            </w:tcBorders>
          </w:tcPr>
          <w:p w14:paraId="2314EE17"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74FE9C21" w14:textId="77777777" w:rsidR="009948F1" w:rsidRDefault="009948F1">
            <w:pPr>
              <w:pStyle w:val="TableParagraph"/>
              <w:rPr>
                <w:sz w:val="12"/>
              </w:rPr>
            </w:pPr>
          </w:p>
          <w:p w14:paraId="66B88B88" w14:textId="77777777" w:rsidR="009948F1" w:rsidRDefault="00BC0563">
            <w:pPr>
              <w:pStyle w:val="TableParagraph"/>
              <w:spacing w:before="95"/>
              <w:ind w:left="70" w:right="51"/>
              <w:jc w:val="center"/>
              <w:rPr>
                <w:sz w:val="12"/>
              </w:rPr>
            </w:pPr>
            <w:r>
              <w:rPr>
                <w:color w:val="231F20"/>
                <w:w w:val="105"/>
                <w:sz w:val="12"/>
              </w:rPr>
              <w:t>4.6.2.d</w:t>
            </w:r>
          </w:p>
        </w:tc>
        <w:tc>
          <w:tcPr>
            <w:tcW w:w="5228" w:type="dxa"/>
            <w:gridSpan w:val="2"/>
            <w:tcBorders>
              <w:top w:val="single" w:sz="6" w:space="0" w:color="231F20"/>
              <w:left w:val="single" w:sz="6" w:space="0" w:color="231F20"/>
              <w:bottom w:val="single" w:sz="6" w:space="0" w:color="231F20"/>
              <w:right w:val="single" w:sz="6" w:space="0" w:color="231F20"/>
            </w:tcBorders>
          </w:tcPr>
          <w:p w14:paraId="50CDCFD3" w14:textId="77777777" w:rsidR="009948F1" w:rsidRDefault="009948F1">
            <w:pPr>
              <w:pStyle w:val="TableParagraph"/>
              <w:rPr>
                <w:sz w:val="12"/>
              </w:rPr>
            </w:pPr>
          </w:p>
          <w:p w14:paraId="02AAAF51" w14:textId="77777777" w:rsidR="009948F1" w:rsidRDefault="00BC0563">
            <w:pPr>
              <w:pStyle w:val="TableParagraph"/>
              <w:spacing w:before="90"/>
              <w:ind w:left="25"/>
              <w:rPr>
                <w:sz w:val="12"/>
              </w:rPr>
            </w:pPr>
            <w:r>
              <w:rPr>
                <w:color w:val="231F20"/>
                <w:w w:val="105"/>
                <w:sz w:val="12"/>
              </w:rPr>
              <w:t>Observe World Breast Feeding Week at the state &amp; LGA levels</w:t>
            </w:r>
          </w:p>
        </w:tc>
        <w:tc>
          <w:tcPr>
            <w:tcW w:w="1524" w:type="dxa"/>
            <w:tcBorders>
              <w:top w:val="single" w:sz="6" w:space="0" w:color="231F20"/>
              <w:left w:val="single" w:sz="6" w:space="0" w:color="231F20"/>
              <w:bottom w:val="single" w:sz="6" w:space="0" w:color="231F20"/>
              <w:right w:val="single" w:sz="6" w:space="0" w:color="231F20"/>
            </w:tcBorders>
          </w:tcPr>
          <w:p w14:paraId="69146BD9" w14:textId="77777777" w:rsidR="009948F1" w:rsidRDefault="009948F1">
            <w:pPr>
              <w:pStyle w:val="TableParagraph"/>
              <w:rPr>
                <w:sz w:val="12"/>
              </w:rPr>
            </w:pPr>
          </w:p>
          <w:p w14:paraId="4F7A513B" w14:textId="77777777" w:rsidR="009948F1" w:rsidRDefault="00BC0563">
            <w:pPr>
              <w:pStyle w:val="TableParagraph"/>
              <w:spacing w:before="95"/>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228B1668" w14:textId="77777777" w:rsidR="009948F1" w:rsidRDefault="009948F1">
            <w:pPr>
              <w:pStyle w:val="TableParagraph"/>
              <w:spacing w:before="10"/>
              <w:rPr>
                <w:sz w:val="13"/>
              </w:rPr>
            </w:pPr>
          </w:p>
          <w:p w14:paraId="4CE762AE" w14:textId="77777777" w:rsidR="009948F1" w:rsidRDefault="00BC0563">
            <w:pPr>
              <w:pStyle w:val="TableParagraph"/>
              <w:spacing w:line="259" w:lineRule="auto"/>
              <w:ind w:left="25" w:right="305"/>
              <w:rPr>
                <w:sz w:val="12"/>
              </w:rPr>
            </w:pPr>
            <w:r>
              <w:rPr>
                <w:color w:val="231F20"/>
                <w:w w:val="105"/>
                <w:sz w:val="12"/>
              </w:rPr>
              <w:t>Observe World Breast Feeding Week</w:t>
            </w:r>
          </w:p>
        </w:tc>
      </w:tr>
      <w:tr w:rsidR="009948F1" w14:paraId="78BC6B27" w14:textId="77777777">
        <w:trPr>
          <w:trHeight w:val="510"/>
        </w:trPr>
        <w:tc>
          <w:tcPr>
            <w:tcW w:w="490" w:type="dxa"/>
            <w:vMerge/>
            <w:tcBorders>
              <w:top w:val="nil"/>
              <w:bottom w:val="single" w:sz="6" w:space="0" w:color="231F20"/>
              <w:right w:val="single" w:sz="6" w:space="0" w:color="231F20"/>
            </w:tcBorders>
          </w:tcPr>
          <w:p w14:paraId="13F09DAE" w14:textId="77777777" w:rsidR="009948F1" w:rsidRDefault="009948F1">
            <w:pPr>
              <w:rPr>
                <w:sz w:val="2"/>
                <w:szCs w:val="2"/>
              </w:rPr>
            </w:pPr>
          </w:p>
        </w:tc>
        <w:tc>
          <w:tcPr>
            <w:tcW w:w="562" w:type="dxa"/>
            <w:tcBorders>
              <w:top w:val="single" w:sz="6" w:space="0" w:color="231F20"/>
              <w:left w:val="single" w:sz="6" w:space="0" w:color="231F20"/>
              <w:bottom w:val="single" w:sz="6" w:space="0" w:color="231F20"/>
              <w:right w:val="single" w:sz="6" w:space="0" w:color="231F20"/>
            </w:tcBorders>
          </w:tcPr>
          <w:p w14:paraId="10DDDA1B" w14:textId="77777777" w:rsidR="009948F1" w:rsidRDefault="009948F1">
            <w:pPr>
              <w:pStyle w:val="TableParagraph"/>
              <w:spacing w:before="2"/>
              <w:rPr>
                <w:sz w:val="16"/>
              </w:rPr>
            </w:pPr>
          </w:p>
          <w:p w14:paraId="2A04F2A2" w14:textId="77777777" w:rsidR="009948F1" w:rsidRDefault="00BC0563">
            <w:pPr>
              <w:pStyle w:val="TableParagraph"/>
              <w:ind w:left="70" w:right="51"/>
              <w:jc w:val="center"/>
              <w:rPr>
                <w:sz w:val="12"/>
              </w:rPr>
            </w:pPr>
            <w:r>
              <w:rPr>
                <w:color w:val="231F20"/>
                <w:w w:val="105"/>
                <w:sz w:val="12"/>
              </w:rPr>
              <w:t>4.6.2.e</w:t>
            </w:r>
          </w:p>
        </w:tc>
        <w:tc>
          <w:tcPr>
            <w:tcW w:w="5228" w:type="dxa"/>
            <w:gridSpan w:val="2"/>
            <w:tcBorders>
              <w:top w:val="single" w:sz="6" w:space="0" w:color="231F20"/>
              <w:left w:val="single" w:sz="6" w:space="0" w:color="231F20"/>
              <w:bottom w:val="single" w:sz="6" w:space="0" w:color="231F20"/>
              <w:right w:val="single" w:sz="6" w:space="0" w:color="231F20"/>
            </w:tcBorders>
          </w:tcPr>
          <w:p w14:paraId="1ADD0CDE" w14:textId="77777777" w:rsidR="009948F1" w:rsidRDefault="00BC0563">
            <w:pPr>
              <w:pStyle w:val="TableParagraph"/>
              <w:spacing w:before="106" w:line="259" w:lineRule="auto"/>
              <w:ind w:left="25"/>
              <w:rPr>
                <w:sz w:val="12"/>
              </w:rPr>
            </w:pPr>
            <w:r>
              <w:rPr>
                <w:color w:val="231F20"/>
                <w:w w:val="105"/>
                <w:sz w:val="12"/>
              </w:rPr>
              <w:t>Establishment of Breastfeeding Support Group (BSG) during Breastfeeding Week at LGA level</w:t>
            </w:r>
          </w:p>
        </w:tc>
        <w:tc>
          <w:tcPr>
            <w:tcW w:w="1524" w:type="dxa"/>
            <w:tcBorders>
              <w:top w:val="single" w:sz="6" w:space="0" w:color="231F20"/>
              <w:left w:val="single" w:sz="6" w:space="0" w:color="231F20"/>
              <w:bottom w:val="single" w:sz="6" w:space="0" w:color="231F20"/>
              <w:right w:val="single" w:sz="6" w:space="0" w:color="231F20"/>
            </w:tcBorders>
          </w:tcPr>
          <w:p w14:paraId="2D435639" w14:textId="77777777" w:rsidR="009948F1" w:rsidRDefault="009948F1">
            <w:pPr>
              <w:pStyle w:val="TableParagraph"/>
              <w:spacing w:before="2"/>
              <w:rPr>
                <w:sz w:val="16"/>
              </w:rPr>
            </w:pPr>
          </w:p>
          <w:p w14:paraId="0B4F9DAE" w14:textId="77777777" w:rsidR="009948F1" w:rsidRDefault="00BC0563">
            <w:pPr>
              <w:pStyle w:val="TableParagraph"/>
              <w:ind w:left="25"/>
              <w:rPr>
                <w:sz w:val="12"/>
              </w:rPr>
            </w:pPr>
            <w:r>
              <w:rPr>
                <w:color w:val="231F20"/>
                <w:w w:val="105"/>
                <w:sz w:val="12"/>
              </w:rPr>
              <w:t>Lack of funds</w:t>
            </w:r>
          </w:p>
        </w:tc>
        <w:tc>
          <w:tcPr>
            <w:tcW w:w="1607" w:type="dxa"/>
            <w:tcBorders>
              <w:top w:val="single" w:sz="6" w:space="0" w:color="231F20"/>
              <w:left w:val="single" w:sz="6" w:space="0" w:color="231F20"/>
              <w:bottom w:val="single" w:sz="6" w:space="0" w:color="231F20"/>
            </w:tcBorders>
          </w:tcPr>
          <w:p w14:paraId="0860CEF1" w14:textId="77777777" w:rsidR="009948F1" w:rsidRDefault="009948F1">
            <w:pPr>
              <w:pStyle w:val="TableParagraph"/>
              <w:spacing w:before="2"/>
              <w:rPr>
                <w:sz w:val="16"/>
              </w:rPr>
            </w:pPr>
          </w:p>
          <w:p w14:paraId="04EFA5E8" w14:textId="77777777" w:rsidR="009948F1" w:rsidRDefault="00BC0563">
            <w:pPr>
              <w:pStyle w:val="TableParagraph"/>
              <w:ind w:left="25"/>
              <w:rPr>
                <w:sz w:val="12"/>
              </w:rPr>
            </w:pPr>
            <w:r>
              <w:rPr>
                <w:color w:val="231F20"/>
                <w:w w:val="105"/>
                <w:sz w:val="12"/>
              </w:rPr>
              <w:t>No Cost</w:t>
            </w:r>
          </w:p>
        </w:tc>
      </w:tr>
      <w:tr w:rsidR="009948F1" w14:paraId="594D0425" w14:textId="77777777">
        <w:trPr>
          <w:trHeight w:val="1240"/>
        </w:trPr>
        <w:tc>
          <w:tcPr>
            <w:tcW w:w="490" w:type="dxa"/>
            <w:tcBorders>
              <w:top w:val="single" w:sz="6" w:space="0" w:color="231F20"/>
              <w:left w:val="single" w:sz="12" w:space="0" w:color="231F20"/>
              <w:bottom w:val="single" w:sz="6" w:space="0" w:color="231F20"/>
              <w:right w:val="single" w:sz="6" w:space="0" w:color="231F20"/>
            </w:tcBorders>
            <w:shd w:val="clear" w:color="auto" w:fill="CCE7D3"/>
          </w:tcPr>
          <w:p w14:paraId="6F67A802" w14:textId="77777777" w:rsidR="009948F1" w:rsidRDefault="009948F1">
            <w:pPr>
              <w:pStyle w:val="TableParagraph"/>
              <w:rPr>
                <w:sz w:val="12"/>
              </w:rPr>
            </w:pPr>
          </w:p>
          <w:p w14:paraId="76A543D8" w14:textId="77777777" w:rsidR="009948F1" w:rsidRDefault="009948F1">
            <w:pPr>
              <w:pStyle w:val="TableParagraph"/>
              <w:rPr>
                <w:sz w:val="12"/>
              </w:rPr>
            </w:pPr>
          </w:p>
          <w:p w14:paraId="3D289DB2" w14:textId="77777777" w:rsidR="009948F1" w:rsidRDefault="009948F1">
            <w:pPr>
              <w:pStyle w:val="TableParagraph"/>
              <w:rPr>
                <w:sz w:val="12"/>
              </w:rPr>
            </w:pPr>
          </w:p>
          <w:p w14:paraId="5A36829D" w14:textId="77777777" w:rsidR="009948F1" w:rsidRDefault="009948F1">
            <w:pPr>
              <w:pStyle w:val="TableParagraph"/>
              <w:spacing w:before="10"/>
              <w:rPr>
                <w:sz w:val="11"/>
              </w:rPr>
            </w:pPr>
          </w:p>
          <w:p w14:paraId="783DAFC7" w14:textId="77777777" w:rsidR="009948F1" w:rsidRDefault="00BC0563">
            <w:pPr>
              <w:pStyle w:val="TableParagraph"/>
              <w:ind w:left="58"/>
              <w:rPr>
                <w:sz w:val="12"/>
              </w:rPr>
            </w:pPr>
            <w:r>
              <w:rPr>
                <w:color w:val="231F20"/>
                <w:w w:val="105"/>
                <w:sz w:val="12"/>
              </w:rPr>
              <w:t>4.6.3</w:t>
            </w:r>
          </w:p>
        </w:tc>
        <w:tc>
          <w:tcPr>
            <w:tcW w:w="3244" w:type="dxa"/>
            <w:gridSpan w:val="2"/>
            <w:tcBorders>
              <w:top w:val="single" w:sz="6" w:space="0" w:color="231F20"/>
              <w:left w:val="single" w:sz="6" w:space="0" w:color="231F20"/>
              <w:bottom w:val="single" w:sz="6" w:space="0" w:color="231F20"/>
              <w:right w:val="single" w:sz="6" w:space="0" w:color="231F20"/>
            </w:tcBorders>
            <w:shd w:val="clear" w:color="auto" w:fill="CCE7D3"/>
          </w:tcPr>
          <w:p w14:paraId="718D50F6" w14:textId="77777777" w:rsidR="009948F1" w:rsidRDefault="009948F1">
            <w:pPr>
              <w:pStyle w:val="TableParagraph"/>
              <w:rPr>
                <w:sz w:val="12"/>
              </w:rPr>
            </w:pPr>
          </w:p>
          <w:p w14:paraId="5567EE51" w14:textId="77777777" w:rsidR="009948F1" w:rsidRDefault="009948F1">
            <w:pPr>
              <w:pStyle w:val="TableParagraph"/>
              <w:rPr>
                <w:sz w:val="12"/>
              </w:rPr>
            </w:pPr>
          </w:p>
          <w:p w14:paraId="0F2E8A7F" w14:textId="77777777" w:rsidR="009948F1" w:rsidRDefault="009948F1">
            <w:pPr>
              <w:pStyle w:val="TableParagraph"/>
              <w:spacing w:before="1"/>
              <w:rPr>
                <w:sz w:val="17"/>
              </w:rPr>
            </w:pPr>
          </w:p>
          <w:p w14:paraId="0783E14A" w14:textId="77777777" w:rsidR="009948F1" w:rsidRDefault="00BC0563">
            <w:pPr>
              <w:pStyle w:val="TableParagraph"/>
              <w:spacing w:line="259" w:lineRule="auto"/>
              <w:ind w:left="26" w:right="353" w:firstLine="35"/>
              <w:rPr>
                <w:sz w:val="12"/>
              </w:rPr>
            </w:pPr>
            <w:r>
              <w:rPr>
                <w:color w:val="231F20"/>
                <w:w w:val="105"/>
                <w:sz w:val="12"/>
              </w:rPr>
              <w:t>Scale-up continued breastfeeding and appropriate complementary feeding from six months</w:t>
            </w:r>
          </w:p>
        </w:tc>
        <w:tc>
          <w:tcPr>
            <w:tcW w:w="2546" w:type="dxa"/>
            <w:tcBorders>
              <w:top w:val="single" w:sz="6" w:space="0" w:color="231F20"/>
              <w:left w:val="single" w:sz="6" w:space="0" w:color="231F20"/>
              <w:bottom w:val="single" w:sz="6" w:space="0" w:color="231F20"/>
              <w:right w:val="single" w:sz="6" w:space="0" w:color="231F20"/>
            </w:tcBorders>
            <w:shd w:val="clear" w:color="auto" w:fill="CCE7D3"/>
          </w:tcPr>
          <w:p w14:paraId="69667B5E" w14:textId="14C22666" w:rsidR="009948F1" w:rsidRDefault="00BC0563">
            <w:pPr>
              <w:pStyle w:val="TableParagraph"/>
              <w:numPr>
                <w:ilvl w:val="0"/>
                <w:numId w:val="175"/>
              </w:numPr>
              <w:tabs>
                <w:tab w:val="left" w:pos="99"/>
              </w:tabs>
              <w:spacing w:before="105" w:line="259" w:lineRule="auto"/>
              <w:ind w:right="13" w:firstLine="0"/>
              <w:jc w:val="both"/>
              <w:rPr>
                <w:sz w:val="12"/>
              </w:rPr>
            </w:pPr>
            <w:r>
              <w:rPr>
                <w:color w:val="231F20"/>
                <w:w w:val="105"/>
                <w:sz w:val="12"/>
              </w:rPr>
              <w:t xml:space="preserve">Advocacy visit to workplace for provision of </w:t>
            </w:r>
            <w:r w:rsidR="000225DB">
              <w:rPr>
                <w:color w:val="231F20"/>
                <w:w w:val="105"/>
                <w:sz w:val="12"/>
              </w:rPr>
              <w:t>crèche</w:t>
            </w:r>
            <w:r>
              <w:rPr>
                <w:color w:val="231F20"/>
                <w:w w:val="105"/>
                <w:sz w:val="12"/>
              </w:rPr>
              <w:t xml:space="preserve"> in work environment</w:t>
            </w:r>
            <w:r>
              <w:rPr>
                <w:color w:val="231F20"/>
                <w:spacing w:val="-1"/>
                <w:w w:val="105"/>
                <w:sz w:val="12"/>
              </w:rPr>
              <w:t xml:space="preserve"> </w:t>
            </w:r>
            <w:r>
              <w:rPr>
                <w:color w:val="231F20"/>
                <w:w w:val="105"/>
                <w:sz w:val="12"/>
              </w:rPr>
              <w:t>done</w:t>
            </w:r>
          </w:p>
          <w:p w14:paraId="1B97BACA" w14:textId="77777777" w:rsidR="009948F1" w:rsidRDefault="00BC0563">
            <w:pPr>
              <w:pStyle w:val="TableParagraph"/>
              <w:numPr>
                <w:ilvl w:val="0"/>
                <w:numId w:val="175"/>
              </w:numPr>
              <w:tabs>
                <w:tab w:val="left" w:pos="71"/>
              </w:tabs>
              <w:spacing w:line="259" w:lineRule="auto"/>
              <w:ind w:right="34" w:firstLine="0"/>
              <w:jc w:val="both"/>
              <w:rPr>
                <w:sz w:val="12"/>
              </w:rPr>
            </w:pPr>
            <w:r>
              <w:rPr>
                <w:color w:val="231F20"/>
                <w:w w:val="105"/>
                <w:sz w:val="12"/>
              </w:rPr>
              <w:t>Health Education (HE) to promote adoption of principles of FADUS given in at least 385 HFs</w:t>
            </w:r>
          </w:p>
          <w:p w14:paraId="26E5919B" w14:textId="77777777" w:rsidR="009948F1" w:rsidRDefault="00BC0563">
            <w:pPr>
              <w:pStyle w:val="TableParagraph"/>
              <w:numPr>
                <w:ilvl w:val="0"/>
                <w:numId w:val="175"/>
              </w:numPr>
              <w:tabs>
                <w:tab w:val="left" w:pos="99"/>
              </w:tabs>
              <w:spacing w:line="259" w:lineRule="auto"/>
              <w:ind w:right="261" w:firstLine="0"/>
              <w:rPr>
                <w:sz w:val="12"/>
              </w:rPr>
            </w:pPr>
            <w:r>
              <w:rPr>
                <w:color w:val="231F20"/>
                <w:w w:val="105"/>
                <w:sz w:val="12"/>
              </w:rPr>
              <w:t xml:space="preserve">At least 100 Community Counselors trained on Infant &amp; </w:t>
            </w:r>
            <w:r>
              <w:rPr>
                <w:color w:val="231F20"/>
                <w:spacing w:val="-3"/>
                <w:w w:val="105"/>
                <w:sz w:val="12"/>
              </w:rPr>
              <w:t xml:space="preserve">Young </w:t>
            </w:r>
            <w:r>
              <w:rPr>
                <w:color w:val="231F20"/>
                <w:w w:val="105"/>
                <w:sz w:val="12"/>
              </w:rPr>
              <w:t>Child</w:t>
            </w:r>
            <w:r>
              <w:rPr>
                <w:color w:val="231F20"/>
                <w:spacing w:val="7"/>
                <w:w w:val="105"/>
                <w:sz w:val="12"/>
              </w:rPr>
              <w:t xml:space="preserve"> </w:t>
            </w:r>
            <w:r>
              <w:rPr>
                <w:color w:val="231F20"/>
                <w:w w:val="105"/>
                <w:sz w:val="12"/>
              </w:rPr>
              <w:t>Feeding</w:t>
            </w:r>
          </w:p>
        </w:tc>
        <w:tc>
          <w:tcPr>
            <w:tcW w:w="1524" w:type="dxa"/>
            <w:tcBorders>
              <w:top w:val="single" w:sz="6" w:space="0" w:color="231F20"/>
              <w:left w:val="single" w:sz="6" w:space="0" w:color="231F20"/>
              <w:bottom w:val="single" w:sz="6" w:space="0" w:color="231F20"/>
              <w:right w:val="single" w:sz="12" w:space="0" w:color="231F20"/>
            </w:tcBorders>
            <w:shd w:val="clear" w:color="auto" w:fill="CCE7D3"/>
          </w:tcPr>
          <w:p w14:paraId="500F9FF4" w14:textId="77777777" w:rsidR="009948F1" w:rsidRDefault="009948F1">
            <w:pPr>
              <w:pStyle w:val="TableParagraph"/>
              <w:rPr>
                <w:rFonts w:ascii="Times New Roman"/>
                <w:sz w:val="12"/>
              </w:rPr>
            </w:pPr>
          </w:p>
        </w:tc>
        <w:tc>
          <w:tcPr>
            <w:tcW w:w="1607" w:type="dxa"/>
            <w:tcBorders>
              <w:top w:val="single" w:sz="6" w:space="0" w:color="231F20"/>
              <w:left w:val="single" w:sz="12" w:space="0" w:color="231F20"/>
              <w:bottom w:val="single" w:sz="6" w:space="0" w:color="231F20"/>
            </w:tcBorders>
            <w:shd w:val="clear" w:color="auto" w:fill="CCE7D3"/>
          </w:tcPr>
          <w:p w14:paraId="027839C6" w14:textId="77777777" w:rsidR="009948F1" w:rsidRDefault="009948F1">
            <w:pPr>
              <w:pStyle w:val="TableParagraph"/>
              <w:rPr>
                <w:rFonts w:ascii="Times New Roman"/>
                <w:sz w:val="12"/>
              </w:rPr>
            </w:pPr>
          </w:p>
        </w:tc>
      </w:tr>
    </w:tbl>
    <w:p w14:paraId="7AA4E784" w14:textId="77777777" w:rsidR="009948F1" w:rsidRDefault="009948F1">
      <w:pPr>
        <w:rPr>
          <w:rFonts w:ascii="Times New Roman"/>
          <w:sz w:val="12"/>
        </w:rPr>
        <w:sectPr w:rsidR="009948F1">
          <w:pgSz w:w="11910" w:h="16840"/>
          <w:pgMar w:top="1280" w:right="1080" w:bottom="1340" w:left="1120" w:header="0" w:footer="1155" w:gutter="0"/>
          <w:cols w:space="720"/>
        </w:sectPr>
      </w:pPr>
    </w:p>
    <w:tbl>
      <w:tblPr>
        <w:tblW w:w="0" w:type="auto"/>
        <w:tblInd w:w="1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6"/>
        <w:gridCol w:w="558"/>
        <w:gridCol w:w="2663"/>
        <w:gridCol w:w="2528"/>
        <w:gridCol w:w="1514"/>
        <w:gridCol w:w="1595"/>
      </w:tblGrid>
      <w:tr w:rsidR="009948F1" w14:paraId="65503004" w14:textId="77777777">
        <w:trPr>
          <w:trHeight w:val="493"/>
        </w:trPr>
        <w:tc>
          <w:tcPr>
            <w:tcW w:w="486" w:type="dxa"/>
            <w:vMerge w:val="restart"/>
            <w:tcBorders>
              <w:bottom w:val="single" w:sz="6" w:space="0" w:color="231F20"/>
              <w:right w:val="single" w:sz="6" w:space="0" w:color="231F20"/>
            </w:tcBorders>
          </w:tcPr>
          <w:p w14:paraId="2352AF43" w14:textId="77777777" w:rsidR="009948F1" w:rsidRDefault="009948F1">
            <w:pPr>
              <w:pStyle w:val="TableParagraph"/>
              <w:rPr>
                <w:rFonts w:ascii="Times New Roman"/>
                <w:sz w:val="12"/>
              </w:rPr>
            </w:pPr>
          </w:p>
        </w:tc>
        <w:tc>
          <w:tcPr>
            <w:tcW w:w="558" w:type="dxa"/>
            <w:tcBorders>
              <w:left w:val="single" w:sz="6" w:space="0" w:color="231F20"/>
              <w:bottom w:val="single" w:sz="6" w:space="0" w:color="231F20"/>
              <w:right w:val="single" w:sz="6" w:space="0" w:color="231F20"/>
            </w:tcBorders>
          </w:tcPr>
          <w:p w14:paraId="361A5E01" w14:textId="77777777" w:rsidR="009948F1" w:rsidRDefault="009948F1">
            <w:pPr>
              <w:pStyle w:val="TableParagraph"/>
              <w:spacing w:before="10"/>
              <w:rPr>
                <w:sz w:val="14"/>
              </w:rPr>
            </w:pPr>
          </w:p>
          <w:p w14:paraId="2C951CD6" w14:textId="77777777" w:rsidR="009948F1" w:rsidRDefault="00BC0563">
            <w:pPr>
              <w:pStyle w:val="TableParagraph"/>
              <w:ind w:left="63" w:right="42"/>
              <w:jc w:val="center"/>
              <w:rPr>
                <w:sz w:val="13"/>
              </w:rPr>
            </w:pPr>
            <w:bookmarkStart w:id="162" w:name="Page_136"/>
            <w:bookmarkEnd w:id="162"/>
            <w:r>
              <w:rPr>
                <w:color w:val="231F20"/>
                <w:sz w:val="13"/>
              </w:rPr>
              <w:t>4.6.3.a</w:t>
            </w:r>
          </w:p>
        </w:tc>
        <w:tc>
          <w:tcPr>
            <w:tcW w:w="5191" w:type="dxa"/>
            <w:gridSpan w:val="2"/>
            <w:tcBorders>
              <w:left w:val="single" w:sz="6" w:space="0" w:color="231F20"/>
              <w:bottom w:val="single" w:sz="6" w:space="0" w:color="231F20"/>
              <w:right w:val="single" w:sz="6" w:space="0" w:color="231F20"/>
            </w:tcBorders>
          </w:tcPr>
          <w:p w14:paraId="6F801ABA" w14:textId="4336FAE7" w:rsidR="009948F1" w:rsidRDefault="00BC0563">
            <w:pPr>
              <w:pStyle w:val="TableParagraph"/>
              <w:spacing w:before="83" w:line="261" w:lineRule="auto"/>
              <w:ind w:left="26" w:right="62"/>
              <w:rPr>
                <w:sz w:val="13"/>
              </w:rPr>
            </w:pPr>
            <w:r>
              <w:rPr>
                <w:color w:val="231F20"/>
                <w:sz w:val="13"/>
              </w:rPr>
              <w:t>Media</w:t>
            </w:r>
            <w:r>
              <w:rPr>
                <w:color w:val="231F20"/>
                <w:spacing w:val="-18"/>
                <w:sz w:val="13"/>
              </w:rPr>
              <w:t xml:space="preserve"> </w:t>
            </w:r>
            <w:r>
              <w:rPr>
                <w:color w:val="231F20"/>
                <w:sz w:val="13"/>
              </w:rPr>
              <w:t>awareness</w:t>
            </w:r>
            <w:r>
              <w:rPr>
                <w:color w:val="231F20"/>
                <w:spacing w:val="-17"/>
                <w:sz w:val="13"/>
              </w:rPr>
              <w:t xml:space="preserve"> </w:t>
            </w:r>
            <w:r>
              <w:rPr>
                <w:color w:val="231F20"/>
                <w:sz w:val="13"/>
              </w:rPr>
              <w:t>campaign</w:t>
            </w:r>
            <w:r>
              <w:rPr>
                <w:color w:val="231F20"/>
                <w:spacing w:val="-17"/>
                <w:sz w:val="13"/>
              </w:rPr>
              <w:t xml:space="preserve"> </w:t>
            </w:r>
            <w:r>
              <w:rPr>
                <w:color w:val="231F20"/>
                <w:sz w:val="13"/>
              </w:rPr>
              <w:t>on</w:t>
            </w:r>
            <w:r>
              <w:rPr>
                <w:color w:val="231F20"/>
                <w:spacing w:val="-17"/>
                <w:sz w:val="13"/>
              </w:rPr>
              <w:t xml:space="preserve"> </w:t>
            </w:r>
            <w:r>
              <w:rPr>
                <w:color w:val="231F20"/>
                <w:sz w:val="13"/>
              </w:rPr>
              <w:t>the</w:t>
            </w:r>
            <w:r>
              <w:rPr>
                <w:color w:val="231F20"/>
                <w:spacing w:val="-17"/>
                <w:sz w:val="13"/>
              </w:rPr>
              <w:t xml:space="preserve"> </w:t>
            </w:r>
            <w:r>
              <w:rPr>
                <w:color w:val="231F20"/>
                <w:sz w:val="13"/>
              </w:rPr>
              <w:t>importance</w:t>
            </w:r>
            <w:r>
              <w:rPr>
                <w:color w:val="231F20"/>
                <w:spacing w:val="-17"/>
                <w:sz w:val="13"/>
              </w:rPr>
              <w:t xml:space="preserve"> </w:t>
            </w:r>
            <w:r>
              <w:rPr>
                <w:color w:val="231F20"/>
                <w:sz w:val="13"/>
              </w:rPr>
              <w:t>of</w:t>
            </w:r>
            <w:r>
              <w:rPr>
                <w:color w:val="231F20"/>
                <w:spacing w:val="-17"/>
                <w:sz w:val="13"/>
              </w:rPr>
              <w:t xml:space="preserve"> </w:t>
            </w:r>
            <w:r>
              <w:rPr>
                <w:color w:val="231F20"/>
                <w:sz w:val="13"/>
              </w:rPr>
              <w:t>continued</w:t>
            </w:r>
            <w:r>
              <w:rPr>
                <w:color w:val="231F20"/>
                <w:spacing w:val="-17"/>
                <w:sz w:val="13"/>
              </w:rPr>
              <w:t xml:space="preserve"> </w:t>
            </w:r>
            <w:r w:rsidR="000225DB">
              <w:rPr>
                <w:color w:val="231F20"/>
                <w:sz w:val="13"/>
              </w:rPr>
              <w:t>breastfeeding</w:t>
            </w:r>
            <w:r>
              <w:rPr>
                <w:color w:val="231F20"/>
                <w:spacing w:val="-17"/>
                <w:sz w:val="13"/>
              </w:rPr>
              <w:t xml:space="preserve"> </w:t>
            </w:r>
            <w:r>
              <w:rPr>
                <w:color w:val="231F20"/>
                <w:sz w:val="13"/>
              </w:rPr>
              <w:t>&amp;</w:t>
            </w:r>
            <w:r>
              <w:rPr>
                <w:color w:val="231F20"/>
                <w:spacing w:val="-18"/>
                <w:sz w:val="13"/>
              </w:rPr>
              <w:t xml:space="preserve"> </w:t>
            </w:r>
            <w:r>
              <w:rPr>
                <w:color w:val="231F20"/>
                <w:sz w:val="13"/>
              </w:rPr>
              <w:t>complementary feeding</w:t>
            </w:r>
          </w:p>
        </w:tc>
        <w:tc>
          <w:tcPr>
            <w:tcW w:w="1514" w:type="dxa"/>
            <w:tcBorders>
              <w:left w:val="single" w:sz="6" w:space="0" w:color="231F20"/>
              <w:bottom w:val="single" w:sz="6" w:space="0" w:color="231F20"/>
              <w:right w:val="single" w:sz="6" w:space="0" w:color="231F20"/>
            </w:tcBorders>
          </w:tcPr>
          <w:p w14:paraId="208E3B5F" w14:textId="77777777" w:rsidR="009948F1" w:rsidRDefault="009948F1">
            <w:pPr>
              <w:pStyle w:val="TableParagraph"/>
              <w:spacing w:before="10"/>
              <w:rPr>
                <w:sz w:val="14"/>
              </w:rPr>
            </w:pPr>
          </w:p>
          <w:p w14:paraId="0B887146" w14:textId="77777777" w:rsidR="009948F1" w:rsidRDefault="00BC0563">
            <w:pPr>
              <w:pStyle w:val="TableParagraph"/>
              <w:ind w:left="27"/>
              <w:rPr>
                <w:sz w:val="13"/>
              </w:rPr>
            </w:pPr>
            <w:r>
              <w:rPr>
                <w:color w:val="231F20"/>
                <w:sz w:val="13"/>
              </w:rPr>
              <w:t>Lack of funds</w:t>
            </w:r>
          </w:p>
        </w:tc>
        <w:tc>
          <w:tcPr>
            <w:tcW w:w="1595" w:type="dxa"/>
            <w:tcBorders>
              <w:left w:val="single" w:sz="6" w:space="0" w:color="231F20"/>
              <w:bottom w:val="single" w:sz="6" w:space="0" w:color="231F20"/>
            </w:tcBorders>
          </w:tcPr>
          <w:p w14:paraId="0C6E4208" w14:textId="77777777" w:rsidR="009948F1" w:rsidRDefault="009948F1">
            <w:pPr>
              <w:pStyle w:val="TableParagraph"/>
              <w:spacing w:before="10"/>
              <w:rPr>
                <w:sz w:val="14"/>
              </w:rPr>
            </w:pPr>
          </w:p>
          <w:p w14:paraId="7CE7D7D6" w14:textId="77777777" w:rsidR="009948F1" w:rsidRDefault="00BC0563">
            <w:pPr>
              <w:pStyle w:val="TableParagraph"/>
              <w:ind w:left="26"/>
              <w:rPr>
                <w:sz w:val="13"/>
              </w:rPr>
            </w:pPr>
            <w:r>
              <w:rPr>
                <w:color w:val="231F20"/>
                <w:sz w:val="13"/>
              </w:rPr>
              <w:t>Media campaign</w:t>
            </w:r>
          </w:p>
        </w:tc>
      </w:tr>
      <w:tr w:rsidR="009948F1" w14:paraId="4D73F93D" w14:textId="77777777">
        <w:trPr>
          <w:trHeight w:val="512"/>
        </w:trPr>
        <w:tc>
          <w:tcPr>
            <w:tcW w:w="486" w:type="dxa"/>
            <w:vMerge/>
            <w:tcBorders>
              <w:top w:val="nil"/>
              <w:bottom w:val="single" w:sz="6" w:space="0" w:color="231F20"/>
              <w:right w:val="single" w:sz="6" w:space="0" w:color="231F20"/>
            </w:tcBorders>
          </w:tcPr>
          <w:p w14:paraId="504EEC48"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7ECB7665" w14:textId="77777777" w:rsidR="009948F1" w:rsidRDefault="009948F1">
            <w:pPr>
              <w:pStyle w:val="TableParagraph"/>
              <w:spacing w:before="10"/>
              <w:rPr>
                <w:sz w:val="15"/>
              </w:rPr>
            </w:pPr>
          </w:p>
          <w:p w14:paraId="5E8A04A3" w14:textId="77777777" w:rsidR="009948F1" w:rsidRDefault="00BC0563">
            <w:pPr>
              <w:pStyle w:val="TableParagraph"/>
              <w:ind w:left="63" w:right="42"/>
              <w:jc w:val="center"/>
              <w:rPr>
                <w:sz w:val="13"/>
              </w:rPr>
            </w:pPr>
            <w:r>
              <w:rPr>
                <w:color w:val="231F20"/>
                <w:sz w:val="13"/>
              </w:rPr>
              <w:t>4.6.3.b</w:t>
            </w:r>
          </w:p>
        </w:tc>
        <w:tc>
          <w:tcPr>
            <w:tcW w:w="5191" w:type="dxa"/>
            <w:gridSpan w:val="2"/>
            <w:tcBorders>
              <w:top w:val="single" w:sz="6" w:space="0" w:color="231F20"/>
              <w:left w:val="single" w:sz="6" w:space="0" w:color="231F20"/>
              <w:bottom w:val="single" w:sz="6" w:space="0" w:color="231F20"/>
              <w:right w:val="single" w:sz="6" w:space="0" w:color="231F20"/>
            </w:tcBorders>
          </w:tcPr>
          <w:p w14:paraId="6FE0DC78" w14:textId="677B63EB" w:rsidR="009948F1" w:rsidRDefault="00BC0563">
            <w:pPr>
              <w:pStyle w:val="TableParagraph"/>
              <w:spacing w:before="95" w:line="261" w:lineRule="auto"/>
              <w:ind w:left="26" w:right="392"/>
              <w:rPr>
                <w:sz w:val="13"/>
              </w:rPr>
            </w:pPr>
            <w:r>
              <w:rPr>
                <w:color w:val="231F20"/>
                <w:sz w:val="13"/>
              </w:rPr>
              <w:t>Advocacy</w:t>
            </w:r>
            <w:r>
              <w:rPr>
                <w:color w:val="231F20"/>
                <w:spacing w:val="-14"/>
                <w:sz w:val="13"/>
              </w:rPr>
              <w:t xml:space="preserve"> </w:t>
            </w:r>
            <w:r>
              <w:rPr>
                <w:color w:val="231F20"/>
                <w:sz w:val="13"/>
              </w:rPr>
              <w:t>to</w:t>
            </w:r>
            <w:r>
              <w:rPr>
                <w:color w:val="231F20"/>
                <w:spacing w:val="-13"/>
                <w:sz w:val="13"/>
              </w:rPr>
              <w:t xml:space="preserve"> </w:t>
            </w:r>
            <w:r>
              <w:rPr>
                <w:color w:val="231F20"/>
                <w:sz w:val="13"/>
              </w:rPr>
              <w:t>workplace</w:t>
            </w:r>
            <w:r>
              <w:rPr>
                <w:color w:val="231F20"/>
                <w:spacing w:val="-14"/>
                <w:sz w:val="13"/>
              </w:rPr>
              <w:t xml:space="preserve"> </w:t>
            </w:r>
            <w:r>
              <w:rPr>
                <w:color w:val="231F20"/>
                <w:sz w:val="13"/>
              </w:rPr>
              <w:t>for</w:t>
            </w:r>
            <w:r>
              <w:rPr>
                <w:color w:val="231F20"/>
                <w:spacing w:val="-13"/>
                <w:sz w:val="13"/>
              </w:rPr>
              <w:t xml:space="preserve"> </w:t>
            </w:r>
            <w:r>
              <w:rPr>
                <w:color w:val="231F20"/>
                <w:sz w:val="13"/>
              </w:rPr>
              <w:t>provision</w:t>
            </w:r>
            <w:r>
              <w:rPr>
                <w:color w:val="231F20"/>
                <w:spacing w:val="-14"/>
                <w:sz w:val="13"/>
              </w:rPr>
              <w:t xml:space="preserve"> </w:t>
            </w:r>
            <w:r>
              <w:rPr>
                <w:color w:val="231F20"/>
                <w:sz w:val="13"/>
              </w:rPr>
              <w:t>of</w:t>
            </w:r>
            <w:r>
              <w:rPr>
                <w:color w:val="231F20"/>
                <w:spacing w:val="-13"/>
                <w:sz w:val="13"/>
              </w:rPr>
              <w:t xml:space="preserve"> </w:t>
            </w:r>
            <w:r w:rsidR="000225DB">
              <w:rPr>
                <w:color w:val="231F20"/>
                <w:sz w:val="13"/>
              </w:rPr>
              <w:t>crèche</w:t>
            </w:r>
            <w:r>
              <w:rPr>
                <w:color w:val="231F20"/>
                <w:spacing w:val="-14"/>
                <w:sz w:val="13"/>
              </w:rPr>
              <w:t xml:space="preserve"> </w:t>
            </w:r>
            <w:r>
              <w:rPr>
                <w:color w:val="231F20"/>
                <w:sz w:val="13"/>
              </w:rPr>
              <w:t>in</w:t>
            </w:r>
            <w:r>
              <w:rPr>
                <w:color w:val="231F20"/>
                <w:spacing w:val="-13"/>
                <w:sz w:val="13"/>
              </w:rPr>
              <w:t xml:space="preserve"> </w:t>
            </w:r>
            <w:r>
              <w:rPr>
                <w:color w:val="231F20"/>
                <w:sz w:val="13"/>
              </w:rPr>
              <w:t>work</w:t>
            </w:r>
            <w:r>
              <w:rPr>
                <w:color w:val="231F20"/>
                <w:spacing w:val="-14"/>
                <w:sz w:val="13"/>
              </w:rPr>
              <w:t xml:space="preserve"> </w:t>
            </w:r>
            <w:r>
              <w:rPr>
                <w:color w:val="231F20"/>
                <w:sz w:val="13"/>
              </w:rPr>
              <w:t>environment</w:t>
            </w:r>
            <w:r>
              <w:rPr>
                <w:color w:val="231F20"/>
                <w:spacing w:val="-13"/>
                <w:sz w:val="13"/>
              </w:rPr>
              <w:t xml:space="preserve"> </w:t>
            </w:r>
            <w:r>
              <w:rPr>
                <w:color w:val="231F20"/>
                <w:sz w:val="13"/>
              </w:rPr>
              <w:t>to</w:t>
            </w:r>
            <w:r>
              <w:rPr>
                <w:color w:val="231F20"/>
                <w:spacing w:val="-14"/>
                <w:sz w:val="13"/>
              </w:rPr>
              <w:t xml:space="preserve"> </w:t>
            </w:r>
            <w:r>
              <w:rPr>
                <w:color w:val="231F20"/>
                <w:sz w:val="13"/>
              </w:rPr>
              <w:t>enable</w:t>
            </w:r>
            <w:r>
              <w:rPr>
                <w:color w:val="231F20"/>
                <w:spacing w:val="-13"/>
                <w:sz w:val="13"/>
              </w:rPr>
              <w:t xml:space="preserve"> </w:t>
            </w:r>
            <w:r>
              <w:rPr>
                <w:color w:val="231F20"/>
                <w:sz w:val="13"/>
              </w:rPr>
              <w:t>working nursing mothers continue</w:t>
            </w:r>
            <w:r>
              <w:rPr>
                <w:color w:val="231F20"/>
                <w:spacing w:val="-9"/>
                <w:sz w:val="13"/>
              </w:rPr>
              <w:t xml:space="preserve"> </w:t>
            </w:r>
            <w:r>
              <w:rPr>
                <w:color w:val="231F20"/>
                <w:sz w:val="13"/>
              </w:rPr>
              <w:t>breastfeeding</w:t>
            </w:r>
          </w:p>
        </w:tc>
        <w:tc>
          <w:tcPr>
            <w:tcW w:w="1514" w:type="dxa"/>
            <w:tcBorders>
              <w:top w:val="single" w:sz="6" w:space="0" w:color="231F20"/>
              <w:left w:val="single" w:sz="6" w:space="0" w:color="231F20"/>
              <w:bottom w:val="single" w:sz="6" w:space="0" w:color="231F20"/>
              <w:right w:val="single" w:sz="6" w:space="0" w:color="231F20"/>
            </w:tcBorders>
          </w:tcPr>
          <w:p w14:paraId="2076E015" w14:textId="77777777" w:rsidR="009948F1" w:rsidRDefault="009948F1">
            <w:pPr>
              <w:pStyle w:val="TableParagraph"/>
              <w:spacing w:before="10"/>
              <w:rPr>
                <w:sz w:val="15"/>
              </w:rPr>
            </w:pPr>
          </w:p>
          <w:p w14:paraId="0B7F3C1B"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2B318D4F" w14:textId="77777777" w:rsidR="009948F1" w:rsidRDefault="009948F1">
            <w:pPr>
              <w:pStyle w:val="TableParagraph"/>
              <w:spacing w:before="10"/>
              <w:rPr>
                <w:sz w:val="15"/>
              </w:rPr>
            </w:pPr>
          </w:p>
          <w:p w14:paraId="2706DDB4" w14:textId="77777777" w:rsidR="009948F1" w:rsidRDefault="00BC0563">
            <w:pPr>
              <w:pStyle w:val="TableParagraph"/>
              <w:ind w:left="26"/>
              <w:rPr>
                <w:sz w:val="13"/>
              </w:rPr>
            </w:pPr>
            <w:r>
              <w:rPr>
                <w:color w:val="231F20"/>
                <w:sz w:val="13"/>
              </w:rPr>
              <w:t>Advocacy visit</w:t>
            </w:r>
          </w:p>
        </w:tc>
      </w:tr>
      <w:tr w:rsidR="009948F1" w14:paraId="569F9C2B" w14:textId="77777777">
        <w:trPr>
          <w:trHeight w:val="512"/>
        </w:trPr>
        <w:tc>
          <w:tcPr>
            <w:tcW w:w="486" w:type="dxa"/>
            <w:vMerge/>
            <w:tcBorders>
              <w:top w:val="nil"/>
              <w:bottom w:val="single" w:sz="6" w:space="0" w:color="231F20"/>
              <w:right w:val="single" w:sz="6" w:space="0" w:color="231F20"/>
            </w:tcBorders>
          </w:tcPr>
          <w:p w14:paraId="752D717F"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6B681B42" w14:textId="77777777" w:rsidR="009948F1" w:rsidRDefault="009948F1">
            <w:pPr>
              <w:pStyle w:val="TableParagraph"/>
              <w:spacing w:before="10"/>
              <w:rPr>
                <w:sz w:val="15"/>
              </w:rPr>
            </w:pPr>
          </w:p>
          <w:p w14:paraId="13EA9237" w14:textId="77777777" w:rsidR="009948F1" w:rsidRDefault="00BC0563">
            <w:pPr>
              <w:pStyle w:val="TableParagraph"/>
              <w:ind w:left="63" w:right="42"/>
              <w:jc w:val="center"/>
              <w:rPr>
                <w:sz w:val="13"/>
              </w:rPr>
            </w:pPr>
            <w:r>
              <w:rPr>
                <w:color w:val="231F20"/>
                <w:sz w:val="13"/>
              </w:rPr>
              <w:t>4.6.3.c</w:t>
            </w:r>
          </w:p>
        </w:tc>
        <w:tc>
          <w:tcPr>
            <w:tcW w:w="5191" w:type="dxa"/>
            <w:gridSpan w:val="2"/>
            <w:tcBorders>
              <w:top w:val="single" w:sz="6" w:space="0" w:color="231F20"/>
              <w:left w:val="single" w:sz="6" w:space="0" w:color="231F20"/>
              <w:bottom w:val="single" w:sz="6" w:space="0" w:color="231F20"/>
              <w:right w:val="single" w:sz="6" w:space="0" w:color="231F20"/>
            </w:tcBorders>
          </w:tcPr>
          <w:p w14:paraId="28F7F65D" w14:textId="77777777" w:rsidR="009948F1" w:rsidRDefault="00BC0563">
            <w:pPr>
              <w:pStyle w:val="TableParagraph"/>
              <w:spacing w:before="4" w:line="204" w:lineRule="auto"/>
              <w:ind w:left="26" w:right="176"/>
              <w:jc w:val="both"/>
              <w:rPr>
                <w:sz w:val="13"/>
              </w:rPr>
            </w:pPr>
            <w:r>
              <w:rPr>
                <w:color w:val="231F20"/>
                <w:sz w:val="13"/>
              </w:rPr>
              <w:t>Health</w:t>
            </w:r>
            <w:r>
              <w:rPr>
                <w:color w:val="231F20"/>
                <w:spacing w:val="-18"/>
                <w:sz w:val="13"/>
              </w:rPr>
              <w:t xml:space="preserve"> </w:t>
            </w:r>
            <w:r>
              <w:rPr>
                <w:color w:val="231F20"/>
                <w:sz w:val="13"/>
              </w:rPr>
              <w:t>Education</w:t>
            </w:r>
            <w:r>
              <w:rPr>
                <w:color w:val="231F20"/>
                <w:spacing w:val="-18"/>
                <w:sz w:val="13"/>
              </w:rPr>
              <w:t xml:space="preserve"> </w:t>
            </w:r>
            <w:r>
              <w:rPr>
                <w:color w:val="231F20"/>
                <w:sz w:val="13"/>
              </w:rPr>
              <w:t>(HE)</w:t>
            </w:r>
            <w:r>
              <w:rPr>
                <w:color w:val="231F20"/>
                <w:spacing w:val="-18"/>
                <w:sz w:val="13"/>
              </w:rPr>
              <w:t xml:space="preserve"> </w:t>
            </w:r>
            <w:r>
              <w:rPr>
                <w:color w:val="231F20"/>
                <w:sz w:val="13"/>
              </w:rPr>
              <w:t>to</w:t>
            </w:r>
            <w:r>
              <w:rPr>
                <w:color w:val="231F20"/>
                <w:spacing w:val="-18"/>
                <w:sz w:val="13"/>
              </w:rPr>
              <w:t xml:space="preserve"> </w:t>
            </w:r>
            <w:r>
              <w:rPr>
                <w:color w:val="231F20"/>
                <w:sz w:val="13"/>
              </w:rPr>
              <w:t>promote</w:t>
            </w:r>
            <w:r>
              <w:rPr>
                <w:color w:val="231F20"/>
                <w:spacing w:val="-17"/>
                <w:sz w:val="13"/>
              </w:rPr>
              <w:t xml:space="preserve"> </w:t>
            </w:r>
            <w:r>
              <w:rPr>
                <w:color w:val="231F20"/>
                <w:sz w:val="13"/>
              </w:rPr>
              <w:t>adoption</w:t>
            </w:r>
            <w:r>
              <w:rPr>
                <w:color w:val="231F20"/>
                <w:spacing w:val="-18"/>
                <w:sz w:val="13"/>
              </w:rPr>
              <w:t xml:space="preserve"> </w:t>
            </w:r>
            <w:r>
              <w:rPr>
                <w:color w:val="231F20"/>
                <w:sz w:val="13"/>
              </w:rPr>
              <w:t>of</w:t>
            </w:r>
            <w:r>
              <w:rPr>
                <w:color w:val="231F20"/>
                <w:spacing w:val="-18"/>
                <w:sz w:val="13"/>
              </w:rPr>
              <w:t xml:space="preserve"> </w:t>
            </w:r>
            <w:r>
              <w:rPr>
                <w:color w:val="231F20"/>
                <w:sz w:val="13"/>
              </w:rPr>
              <w:t>principles</w:t>
            </w:r>
            <w:r>
              <w:rPr>
                <w:color w:val="231F20"/>
                <w:spacing w:val="-18"/>
                <w:sz w:val="13"/>
              </w:rPr>
              <w:t xml:space="preserve"> </w:t>
            </w:r>
            <w:r>
              <w:rPr>
                <w:color w:val="231F20"/>
                <w:sz w:val="13"/>
              </w:rPr>
              <w:t>of</w:t>
            </w:r>
            <w:r>
              <w:rPr>
                <w:color w:val="231F20"/>
                <w:spacing w:val="-18"/>
                <w:sz w:val="13"/>
              </w:rPr>
              <w:t xml:space="preserve"> </w:t>
            </w:r>
            <w:r>
              <w:rPr>
                <w:color w:val="231F20"/>
                <w:sz w:val="13"/>
              </w:rPr>
              <w:t>FADUS</w:t>
            </w:r>
            <w:r>
              <w:rPr>
                <w:color w:val="231F20"/>
                <w:spacing w:val="-17"/>
                <w:sz w:val="13"/>
              </w:rPr>
              <w:t xml:space="preserve"> </w:t>
            </w:r>
            <w:r>
              <w:rPr>
                <w:color w:val="231F20"/>
                <w:sz w:val="13"/>
              </w:rPr>
              <w:t>(frequency,</w:t>
            </w:r>
            <w:r>
              <w:rPr>
                <w:color w:val="231F20"/>
                <w:spacing w:val="-18"/>
                <w:sz w:val="13"/>
              </w:rPr>
              <w:t xml:space="preserve"> </w:t>
            </w:r>
            <w:r>
              <w:rPr>
                <w:color w:val="231F20"/>
                <w:sz w:val="13"/>
              </w:rPr>
              <w:t>adequacy, density,</w:t>
            </w:r>
            <w:r>
              <w:rPr>
                <w:color w:val="231F20"/>
                <w:spacing w:val="-18"/>
                <w:sz w:val="13"/>
              </w:rPr>
              <w:t xml:space="preserve"> </w:t>
            </w:r>
            <w:r>
              <w:rPr>
                <w:color w:val="231F20"/>
                <w:sz w:val="13"/>
              </w:rPr>
              <w:t>utilization</w:t>
            </w:r>
            <w:r>
              <w:rPr>
                <w:color w:val="231F20"/>
                <w:spacing w:val="-17"/>
                <w:sz w:val="13"/>
              </w:rPr>
              <w:t xml:space="preserve"> </w:t>
            </w:r>
            <w:r>
              <w:rPr>
                <w:color w:val="231F20"/>
                <w:sz w:val="13"/>
              </w:rPr>
              <w:t>and</w:t>
            </w:r>
            <w:r>
              <w:rPr>
                <w:color w:val="231F20"/>
                <w:spacing w:val="-17"/>
                <w:sz w:val="13"/>
              </w:rPr>
              <w:t xml:space="preserve"> </w:t>
            </w:r>
            <w:r>
              <w:rPr>
                <w:color w:val="231F20"/>
                <w:sz w:val="13"/>
              </w:rPr>
              <w:t>safety)</w:t>
            </w:r>
            <w:r>
              <w:rPr>
                <w:color w:val="231F20"/>
                <w:spacing w:val="-18"/>
                <w:sz w:val="13"/>
              </w:rPr>
              <w:t xml:space="preserve"> </w:t>
            </w:r>
            <w:r>
              <w:rPr>
                <w:color w:val="231F20"/>
                <w:sz w:val="13"/>
              </w:rPr>
              <w:t>of</w:t>
            </w:r>
            <w:r>
              <w:rPr>
                <w:color w:val="231F20"/>
                <w:spacing w:val="-17"/>
                <w:sz w:val="13"/>
              </w:rPr>
              <w:t xml:space="preserve"> </w:t>
            </w:r>
            <w:r>
              <w:rPr>
                <w:color w:val="231F20"/>
                <w:sz w:val="13"/>
              </w:rPr>
              <w:t>complementary</w:t>
            </w:r>
            <w:r>
              <w:rPr>
                <w:color w:val="231F20"/>
                <w:spacing w:val="-17"/>
                <w:sz w:val="13"/>
              </w:rPr>
              <w:t xml:space="preserve"> </w:t>
            </w:r>
            <w:r>
              <w:rPr>
                <w:color w:val="231F20"/>
                <w:sz w:val="13"/>
              </w:rPr>
              <w:t>feeds</w:t>
            </w:r>
            <w:r>
              <w:rPr>
                <w:color w:val="231F20"/>
                <w:spacing w:val="-17"/>
                <w:sz w:val="13"/>
              </w:rPr>
              <w:t xml:space="preserve"> </w:t>
            </w:r>
            <w:r>
              <w:rPr>
                <w:color w:val="231F20"/>
                <w:sz w:val="13"/>
              </w:rPr>
              <w:t>and</w:t>
            </w:r>
            <w:r>
              <w:rPr>
                <w:color w:val="231F20"/>
                <w:spacing w:val="-18"/>
                <w:sz w:val="13"/>
              </w:rPr>
              <w:t xml:space="preserve"> </w:t>
            </w:r>
            <w:r>
              <w:rPr>
                <w:color w:val="231F20"/>
                <w:sz w:val="13"/>
              </w:rPr>
              <w:t>counselling</w:t>
            </w:r>
            <w:r>
              <w:rPr>
                <w:color w:val="231F20"/>
                <w:spacing w:val="-17"/>
                <w:sz w:val="13"/>
              </w:rPr>
              <w:t xml:space="preserve"> </w:t>
            </w:r>
            <w:r>
              <w:rPr>
                <w:color w:val="231F20"/>
                <w:sz w:val="13"/>
              </w:rPr>
              <w:t>on</w:t>
            </w:r>
            <w:r>
              <w:rPr>
                <w:color w:val="231F20"/>
                <w:spacing w:val="-17"/>
                <w:sz w:val="13"/>
              </w:rPr>
              <w:t xml:space="preserve"> </w:t>
            </w:r>
            <w:r>
              <w:rPr>
                <w:color w:val="231F20"/>
                <w:sz w:val="13"/>
              </w:rPr>
              <w:t>complimentary feeding</w:t>
            </w:r>
            <w:r>
              <w:rPr>
                <w:color w:val="231F20"/>
                <w:spacing w:val="-12"/>
                <w:sz w:val="13"/>
              </w:rPr>
              <w:t xml:space="preserve"> </w:t>
            </w:r>
            <w:r>
              <w:rPr>
                <w:color w:val="231F20"/>
                <w:sz w:val="13"/>
              </w:rPr>
              <w:t>promotion</w:t>
            </w:r>
            <w:r>
              <w:rPr>
                <w:color w:val="231F20"/>
                <w:spacing w:val="-12"/>
                <w:sz w:val="13"/>
              </w:rPr>
              <w:t xml:space="preserve"> </w:t>
            </w:r>
            <w:r>
              <w:rPr>
                <w:color w:val="231F20"/>
                <w:sz w:val="13"/>
              </w:rPr>
              <w:t>to</w:t>
            </w:r>
            <w:r>
              <w:rPr>
                <w:color w:val="231F20"/>
                <w:spacing w:val="-11"/>
                <w:sz w:val="13"/>
              </w:rPr>
              <w:t xml:space="preserve"> </w:t>
            </w:r>
            <w:r>
              <w:rPr>
                <w:color w:val="231F20"/>
                <w:sz w:val="13"/>
              </w:rPr>
              <w:t>parents</w:t>
            </w:r>
            <w:r>
              <w:rPr>
                <w:color w:val="231F20"/>
                <w:spacing w:val="-12"/>
                <w:sz w:val="13"/>
              </w:rPr>
              <w:t xml:space="preserve"> </w:t>
            </w:r>
            <w:r>
              <w:rPr>
                <w:color w:val="231F20"/>
                <w:sz w:val="13"/>
              </w:rPr>
              <w:t>of</w:t>
            </w:r>
            <w:r>
              <w:rPr>
                <w:color w:val="231F20"/>
                <w:spacing w:val="-12"/>
                <w:sz w:val="13"/>
              </w:rPr>
              <w:t xml:space="preserve"> </w:t>
            </w:r>
            <w:r>
              <w:rPr>
                <w:color w:val="231F20"/>
                <w:sz w:val="13"/>
              </w:rPr>
              <w:t>infants</w:t>
            </w:r>
            <w:r>
              <w:rPr>
                <w:color w:val="231F20"/>
                <w:spacing w:val="-11"/>
                <w:sz w:val="13"/>
              </w:rPr>
              <w:t xml:space="preserve"> </w:t>
            </w:r>
            <w:r>
              <w:rPr>
                <w:color w:val="231F20"/>
                <w:sz w:val="13"/>
              </w:rPr>
              <w:t>from</w:t>
            </w:r>
            <w:r>
              <w:rPr>
                <w:color w:val="231F20"/>
                <w:spacing w:val="-12"/>
                <w:sz w:val="13"/>
              </w:rPr>
              <w:t xml:space="preserve"> </w:t>
            </w:r>
            <w:r>
              <w:rPr>
                <w:color w:val="231F20"/>
                <w:sz w:val="13"/>
              </w:rPr>
              <w:t>6</w:t>
            </w:r>
            <w:r>
              <w:rPr>
                <w:color w:val="231F20"/>
                <w:spacing w:val="-12"/>
                <w:sz w:val="13"/>
              </w:rPr>
              <w:t xml:space="preserve"> </w:t>
            </w:r>
            <w:r>
              <w:rPr>
                <w:color w:val="231F20"/>
                <w:sz w:val="13"/>
              </w:rPr>
              <w:t>months</w:t>
            </w:r>
            <w:r>
              <w:rPr>
                <w:color w:val="231F20"/>
                <w:spacing w:val="-11"/>
                <w:sz w:val="13"/>
              </w:rPr>
              <w:t xml:space="preserve"> </w:t>
            </w:r>
            <w:r>
              <w:rPr>
                <w:color w:val="231F20"/>
                <w:sz w:val="13"/>
              </w:rPr>
              <w:t>&amp;</w:t>
            </w:r>
            <w:r>
              <w:rPr>
                <w:color w:val="231F20"/>
                <w:spacing w:val="-12"/>
                <w:sz w:val="13"/>
              </w:rPr>
              <w:t xml:space="preserve"> </w:t>
            </w:r>
            <w:r>
              <w:rPr>
                <w:color w:val="231F20"/>
                <w:sz w:val="13"/>
              </w:rPr>
              <w:t>pregnant</w:t>
            </w:r>
            <w:r>
              <w:rPr>
                <w:color w:val="231F20"/>
                <w:spacing w:val="-12"/>
                <w:sz w:val="13"/>
              </w:rPr>
              <w:t xml:space="preserve"> </w:t>
            </w:r>
            <w:r>
              <w:rPr>
                <w:color w:val="231F20"/>
                <w:sz w:val="13"/>
              </w:rPr>
              <w:t>women</w:t>
            </w:r>
            <w:r>
              <w:rPr>
                <w:color w:val="231F20"/>
                <w:spacing w:val="-11"/>
                <w:sz w:val="13"/>
              </w:rPr>
              <w:t xml:space="preserve"> </w:t>
            </w:r>
            <w:r>
              <w:rPr>
                <w:color w:val="231F20"/>
                <w:sz w:val="13"/>
              </w:rPr>
              <w:t>routinely</w:t>
            </w:r>
            <w:r>
              <w:rPr>
                <w:color w:val="231F20"/>
                <w:spacing w:val="-12"/>
                <w:sz w:val="13"/>
              </w:rPr>
              <w:t xml:space="preserve"> </w:t>
            </w:r>
            <w:r>
              <w:rPr>
                <w:color w:val="231F20"/>
                <w:sz w:val="13"/>
              </w:rPr>
              <w:t>at</w:t>
            </w:r>
            <w:r>
              <w:rPr>
                <w:color w:val="231F20"/>
                <w:spacing w:val="-12"/>
                <w:sz w:val="13"/>
              </w:rPr>
              <w:t xml:space="preserve"> </w:t>
            </w:r>
            <w:r>
              <w:rPr>
                <w:color w:val="231F20"/>
                <w:sz w:val="13"/>
              </w:rPr>
              <w:t>the</w:t>
            </w:r>
          </w:p>
          <w:p w14:paraId="4BB311F8" w14:textId="77777777" w:rsidR="009948F1" w:rsidRDefault="00BC0563">
            <w:pPr>
              <w:pStyle w:val="TableParagraph"/>
              <w:spacing w:line="107" w:lineRule="exact"/>
              <w:ind w:left="26"/>
              <w:jc w:val="both"/>
              <w:rPr>
                <w:sz w:val="13"/>
              </w:rPr>
            </w:pPr>
            <w:r>
              <w:rPr>
                <w:color w:val="231F20"/>
                <w:sz w:val="13"/>
              </w:rPr>
              <w:t>primary, secondary &amp; tertiary levels</w:t>
            </w:r>
          </w:p>
        </w:tc>
        <w:tc>
          <w:tcPr>
            <w:tcW w:w="1514" w:type="dxa"/>
            <w:tcBorders>
              <w:top w:val="single" w:sz="6" w:space="0" w:color="231F20"/>
              <w:left w:val="single" w:sz="6" w:space="0" w:color="231F20"/>
              <w:bottom w:val="single" w:sz="6" w:space="0" w:color="231F20"/>
              <w:right w:val="single" w:sz="6" w:space="0" w:color="231F20"/>
            </w:tcBorders>
          </w:tcPr>
          <w:p w14:paraId="2FC53C2C" w14:textId="77777777" w:rsidR="009948F1" w:rsidRDefault="009948F1">
            <w:pPr>
              <w:pStyle w:val="TableParagraph"/>
              <w:spacing w:before="10"/>
              <w:rPr>
                <w:sz w:val="15"/>
              </w:rPr>
            </w:pPr>
          </w:p>
          <w:p w14:paraId="3CA23F19"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375B7720" w14:textId="77777777" w:rsidR="009948F1" w:rsidRDefault="009948F1">
            <w:pPr>
              <w:pStyle w:val="TableParagraph"/>
              <w:spacing w:before="10"/>
              <w:rPr>
                <w:sz w:val="15"/>
              </w:rPr>
            </w:pPr>
          </w:p>
          <w:p w14:paraId="4AF5E6AF" w14:textId="77777777" w:rsidR="009948F1" w:rsidRDefault="00BC0563">
            <w:pPr>
              <w:pStyle w:val="TableParagraph"/>
              <w:ind w:left="26"/>
              <w:rPr>
                <w:sz w:val="13"/>
              </w:rPr>
            </w:pPr>
            <w:r>
              <w:rPr>
                <w:color w:val="231F20"/>
                <w:sz w:val="13"/>
              </w:rPr>
              <w:t>No cost</w:t>
            </w:r>
          </w:p>
        </w:tc>
      </w:tr>
      <w:tr w:rsidR="009948F1" w14:paraId="0CDB379F" w14:textId="77777777">
        <w:trPr>
          <w:trHeight w:val="512"/>
        </w:trPr>
        <w:tc>
          <w:tcPr>
            <w:tcW w:w="486" w:type="dxa"/>
            <w:vMerge/>
            <w:tcBorders>
              <w:top w:val="nil"/>
              <w:bottom w:val="single" w:sz="6" w:space="0" w:color="231F20"/>
              <w:right w:val="single" w:sz="6" w:space="0" w:color="231F20"/>
            </w:tcBorders>
          </w:tcPr>
          <w:p w14:paraId="4436FA3C"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0C2A96C2" w14:textId="77777777" w:rsidR="009948F1" w:rsidRDefault="009948F1">
            <w:pPr>
              <w:pStyle w:val="TableParagraph"/>
              <w:spacing w:before="10"/>
              <w:rPr>
                <w:sz w:val="15"/>
              </w:rPr>
            </w:pPr>
          </w:p>
          <w:p w14:paraId="58E6447A" w14:textId="77777777" w:rsidR="009948F1" w:rsidRDefault="00BC0563">
            <w:pPr>
              <w:pStyle w:val="TableParagraph"/>
              <w:ind w:left="63" w:right="42"/>
              <w:jc w:val="center"/>
              <w:rPr>
                <w:sz w:val="13"/>
              </w:rPr>
            </w:pPr>
            <w:r>
              <w:rPr>
                <w:color w:val="231F20"/>
                <w:sz w:val="13"/>
              </w:rPr>
              <w:t>4.6.3.d</w:t>
            </w:r>
          </w:p>
        </w:tc>
        <w:tc>
          <w:tcPr>
            <w:tcW w:w="5191" w:type="dxa"/>
            <w:gridSpan w:val="2"/>
            <w:tcBorders>
              <w:top w:val="single" w:sz="6" w:space="0" w:color="231F20"/>
              <w:left w:val="single" w:sz="6" w:space="0" w:color="231F20"/>
              <w:bottom w:val="single" w:sz="6" w:space="0" w:color="231F20"/>
              <w:right w:val="single" w:sz="6" w:space="0" w:color="231F20"/>
            </w:tcBorders>
          </w:tcPr>
          <w:p w14:paraId="14DDD869" w14:textId="77777777" w:rsidR="009948F1" w:rsidRDefault="00BC0563">
            <w:pPr>
              <w:pStyle w:val="TableParagraph"/>
              <w:spacing w:before="4" w:line="160" w:lineRule="atLeast"/>
              <w:ind w:left="26" w:right="31"/>
              <w:rPr>
                <w:sz w:val="13"/>
              </w:rPr>
            </w:pPr>
            <w:r>
              <w:rPr>
                <w:color w:val="231F20"/>
                <w:sz w:val="13"/>
              </w:rPr>
              <w:t>Conduct routine food demonstration at the health facilities on provision &amp; preparation of nutrient</w:t>
            </w:r>
            <w:r>
              <w:rPr>
                <w:color w:val="231F20"/>
                <w:spacing w:val="-14"/>
                <w:sz w:val="13"/>
              </w:rPr>
              <w:t xml:space="preserve"> </w:t>
            </w:r>
            <w:r>
              <w:rPr>
                <w:color w:val="231F20"/>
                <w:sz w:val="13"/>
              </w:rPr>
              <w:t>dense</w:t>
            </w:r>
            <w:r>
              <w:rPr>
                <w:color w:val="231F20"/>
                <w:spacing w:val="-14"/>
                <w:sz w:val="13"/>
              </w:rPr>
              <w:t xml:space="preserve"> </w:t>
            </w:r>
            <w:r>
              <w:rPr>
                <w:color w:val="231F20"/>
                <w:sz w:val="13"/>
              </w:rPr>
              <w:t>complimentary</w:t>
            </w:r>
            <w:r>
              <w:rPr>
                <w:color w:val="231F20"/>
                <w:spacing w:val="-13"/>
                <w:sz w:val="13"/>
              </w:rPr>
              <w:t xml:space="preserve"> </w:t>
            </w:r>
            <w:r>
              <w:rPr>
                <w:color w:val="231F20"/>
                <w:sz w:val="13"/>
              </w:rPr>
              <w:t>food</w:t>
            </w:r>
            <w:r>
              <w:rPr>
                <w:color w:val="231F20"/>
                <w:spacing w:val="-14"/>
                <w:sz w:val="13"/>
              </w:rPr>
              <w:t xml:space="preserve"> </w:t>
            </w:r>
            <w:r>
              <w:rPr>
                <w:color w:val="231F20"/>
                <w:sz w:val="13"/>
              </w:rPr>
              <w:t>to</w:t>
            </w:r>
            <w:r>
              <w:rPr>
                <w:color w:val="231F20"/>
                <w:spacing w:val="-13"/>
                <w:sz w:val="13"/>
              </w:rPr>
              <w:t xml:space="preserve"> </w:t>
            </w:r>
            <w:r>
              <w:rPr>
                <w:color w:val="231F20"/>
                <w:sz w:val="13"/>
              </w:rPr>
              <w:t>pregnant</w:t>
            </w:r>
            <w:r>
              <w:rPr>
                <w:color w:val="231F20"/>
                <w:spacing w:val="-14"/>
                <w:sz w:val="13"/>
              </w:rPr>
              <w:t xml:space="preserve"> </w:t>
            </w:r>
            <w:r>
              <w:rPr>
                <w:color w:val="231F20"/>
                <w:sz w:val="13"/>
              </w:rPr>
              <w:t>women</w:t>
            </w:r>
            <w:r>
              <w:rPr>
                <w:color w:val="231F20"/>
                <w:spacing w:val="-13"/>
                <w:sz w:val="13"/>
              </w:rPr>
              <w:t xml:space="preserve"> </w:t>
            </w:r>
            <w:r>
              <w:rPr>
                <w:color w:val="231F20"/>
                <w:sz w:val="13"/>
              </w:rPr>
              <w:t>&amp;</w:t>
            </w:r>
            <w:r>
              <w:rPr>
                <w:color w:val="231F20"/>
                <w:spacing w:val="-14"/>
                <w:sz w:val="13"/>
              </w:rPr>
              <w:t xml:space="preserve"> </w:t>
            </w:r>
            <w:r>
              <w:rPr>
                <w:color w:val="231F20"/>
                <w:sz w:val="13"/>
              </w:rPr>
              <w:t>parents</w:t>
            </w:r>
            <w:r>
              <w:rPr>
                <w:color w:val="231F20"/>
                <w:spacing w:val="-13"/>
                <w:sz w:val="13"/>
              </w:rPr>
              <w:t xml:space="preserve"> </w:t>
            </w:r>
            <w:r>
              <w:rPr>
                <w:color w:val="231F20"/>
                <w:sz w:val="13"/>
              </w:rPr>
              <w:t>of</w:t>
            </w:r>
            <w:r>
              <w:rPr>
                <w:color w:val="231F20"/>
                <w:spacing w:val="-14"/>
                <w:sz w:val="13"/>
              </w:rPr>
              <w:t xml:space="preserve"> </w:t>
            </w:r>
            <w:r>
              <w:rPr>
                <w:color w:val="231F20"/>
                <w:sz w:val="13"/>
              </w:rPr>
              <w:t>infants</w:t>
            </w:r>
            <w:r>
              <w:rPr>
                <w:color w:val="231F20"/>
                <w:spacing w:val="-14"/>
                <w:sz w:val="13"/>
              </w:rPr>
              <w:t xml:space="preserve"> </w:t>
            </w:r>
            <w:r>
              <w:rPr>
                <w:color w:val="231F20"/>
                <w:sz w:val="13"/>
              </w:rPr>
              <w:t>from</w:t>
            </w:r>
            <w:r>
              <w:rPr>
                <w:color w:val="231F20"/>
                <w:spacing w:val="-13"/>
                <w:sz w:val="13"/>
              </w:rPr>
              <w:t xml:space="preserve"> </w:t>
            </w:r>
            <w:r>
              <w:rPr>
                <w:color w:val="231F20"/>
                <w:sz w:val="13"/>
              </w:rPr>
              <w:t>6months</w:t>
            </w:r>
            <w:r>
              <w:rPr>
                <w:color w:val="231F20"/>
                <w:spacing w:val="-14"/>
                <w:sz w:val="13"/>
              </w:rPr>
              <w:t xml:space="preserve"> </w:t>
            </w:r>
            <w:r>
              <w:rPr>
                <w:color w:val="231F20"/>
                <w:sz w:val="13"/>
              </w:rPr>
              <w:t>at LGA &amp; State</w:t>
            </w:r>
            <w:r>
              <w:rPr>
                <w:color w:val="231F20"/>
                <w:spacing w:val="-14"/>
                <w:sz w:val="13"/>
              </w:rPr>
              <w:t xml:space="preserve"> </w:t>
            </w:r>
            <w:r>
              <w:rPr>
                <w:color w:val="231F20"/>
                <w:sz w:val="13"/>
              </w:rPr>
              <w:t>levels</w:t>
            </w:r>
          </w:p>
        </w:tc>
        <w:tc>
          <w:tcPr>
            <w:tcW w:w="1514" w:type="dxa"/>
            <w:tcBorders>
              <w:top w:val="single" w:sz="6" w:space="0" w:color="231F20"/>
              <w:left w:val="single" w:sz="6" w:space="0" w:color="231F20"/>
              <w:bottom w:val="single" w:sz="6" w:space="0" w:color="231F20"/>
              <w:right w:val="single" w:sz="6" w:space="0" w:color="231F20"/>
            </w:tcBorders>
          </w:tcPr>
          <w:p w14:paraId="1DC3F0B0" w14:textId="77777777" w:rsidR="009948F1" w:rsidRDefault="009948F1">
            <w:pPr>
              <w:pStyle w:val="TableParagraph"/>
              <w:spacing w:before="10"/>
              <w:rPr>
                <w:sz w:val="15"/>
              </w:rPr>
            </w:pPr>
          </w:p>
          <w:p w14:paraId="00F560CA"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608ED87B" w14:textId="77777777" w:rsidR="009948F1" w:rsidRDefault="009948F1">
            <w:pPr>
              <w:pStyle w:val="TableParagraph"/>
              <w:spacing w:before="10"/>
              <w:rPr>
                <w:sz w:val="15"/>
              </w:rPr>
            </w:pPr>
          </w:p>
          <w:p w14:paraId="6313E23D" w14:textId="77777777" w:rsidR="009948F1" w:rsidRDefault="00BC0563">
            <w:pPr>
              <w:pStyle w:val="TableParagraph"/>
              <w:ind w:left="26"/>
              <w:rPr>
                <w:sz w:val="13"/>
              </w:rPr>
            </w:pPr>
            <w:r>
              <w:rPr>
                <w:color w:val="231F20"/>
                <w:sz w:val="13"/>
              </w:rPr>
              <w:t>No cost</w:t>
            </w:r>
          </w:p>
        </w:tc>
      </w:tr>
      <w:tr w:rsidR="009948F1" w14:paraId="364CF4AB" w14:textId="77777777">
        <w:trPr>
          <w:trHeight w:val="512"/>
        </w:trPr>
        <w:tc>
          <w:tcPr>
            <w:tcW w:w="486" w:type="dxa"/>
            <w:vMerge/>
            <w:tcBorders>
              <w:top w:val="nil"/>
              <w:bottom w:val="single" w:sz="6" w:space="0" w:color="231F20"/>
              <w:right w:val="single" w:sz="6" w:space="0" w:color="231F20"/>
            </w:tcBorders>
          </w:tcPr>
          <w:p w14:paraId="50F19318"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5EA4F2BB" w14:textId="77777777" w:rsidR="009948F1" w:rsidRDefault="009948F1">
            <w:pPr>
              <w:pStyle w:val="TableParagraph"/>
              <w:spacing w:before="10"/>
              <w:rPr>
                <w:sz w:val="15"/>
              </w:rPr>
            </w:pPr>
          </w:p>
          <w:p w14:paraId="7900E92A" w14:textId="77777777" w:rsidR="009948F1" w:rsidRDefault="00BC0563">
            <w:pPr>
              <w:pStyle w:val="TableParagraph"/>
              <w:ind w:left="63" w:right="42"/>
              <w:jc w:val="center"/>
              <w:rPr>
                <w:sz w:val="13"/>
              </w:rPr>
            </w:pPr>
            <w:r>
              <w:rPr>
                <w:color w:val="231F20"/>
                <w:sz w:val="13"/>
              </w:rPr>
              <w:t>4.6.3.e</w:t>
            </w:r>
          </w:p>
        </w:tc>
        <w:tc>
          <w:tcPr>
            <w:tcW w:w="5191" w:type="dxa"/>
            <w:gridSpan w:val="2"/>
            <w:tcBorders>
              <w:top w:val="single" w:sz="6" w:space="0" w:color="231F20"/>
              <w:left w:val="single" w:sz="6" w:space="0" w:color="231F20"/>
              <w:bottom w:val="single" w:sz="6" w:space="0" w:color="231F20"/>
              <w:right w:val="single" w:sz="6" w:space="0" w:color="231F20"/>
            </w:tcBorders>
          </w:tcPr>
          <w:p w14:paraId="32FDEC6A" w14:textId="77777777" w:rsidR="009948F1" w:rsidRDefault="00BC0563">
            <w:pPr>
              <w:pStyle w:val="TableParagraph"/>
              <w:spacing w:before="95" w:line="261" w:lineRule="auto"/>
              <w:ind w:left="26" w:right="73"/>
              <w:rPr>
                <w:sz w:val="13"/>
              </w:rPr>
            </w:pPr>
            <w:r>
              <w:rPr>
                <w:color w:val="231F20"/>
                <w:sz w:val="13"/>
              </w:rPr>
              <w:t>Conduct</w:t>
            </w:r>
            <w:r>
              <w:rPr>
                <w:color w:val="231F20"/>
                <w:spacing w:val="-15"/>
                <w:sz w:val="13"/>
              </w:rPr>
              <w:t xml:space="preserve"> </w:t>
            </w:r>
            <w:r>
              <w:rPr>
                <w:color w:val="231F20"/>
                <w:sz w:val="13"/>
              </w:rPr>
              <w:t>training</w:t>
            </w:r>
            <w:r>
              <w:rPr>
                <w:color w:val="231F20"/>
                <w:spacing w:val="-14"/>
                <w:sz w:val="13"/>
              </w:rPr>
              <w:t xml:space="preserve"> </w:t>
            </w:r>
            <w:r>
              <w:rPr>
                <w:color w:val="231F20"/>
                <w:sz w:val="13"/>
              </w:rPr>
              <w:t>and</w:t>
            </w:r>
            <w:r>
              <w:rPr>
                <w:color w:val="231F20"/>
                <w:spacing w:val="-15"/>
                <w:sz w:val="13"/>
              </w:rPr>
              <w:t xml:space="preserve"> </w:t>
            </w:r>
            <w:r>
              <w:rPr>
                <w:color w:val="231F20"/>
                <w:sz w:val="13"/>
              </w:rPr>
              <w:t>re-training</w:t>
            </w:r>
            <w:r>
              <w:rPr>
                <w:color w:val="231F20"/>
                <w:spacing w:val="-14"/>
                <w:sz w:val="13"/>
              </w:rPr>
              <w:t xml:space="preserve"> </w:t>
            </w:r>
            <w:r>
              <w:rPr>
                <w:color w:val="231F20"/>
                <w:sz w:val="13"/>
              </w:rPr>
              <w:t>for</w:t>
            </w:r>
            <w:r>
              <w:rPr>
                <w:color w:val="231F20"/>
                <w:spacing w:val="-14"/>
                <w:sz w:val="13"/>
              </w:rPr>
              <w:t xml:space="preserve"> </w:t>
            </w:r>
            <w:r>
              <w:rPr>
                <w:color w:val="231F20"/>
                <w:sz w:val="13"/>
              </w:rPr>
              <w:t>Community</w:t>
            </w:r>
            <w:r>
              <w:rPr>
                <w:color w:val="231F20"/>
                <w:spacing w:val="-15"/>
                <w:sz w:val="13"/>
              </w:rPr>
              <w:t xml:space="preserve"> </w:t>
            </w:r>
            <w:r>
              <w:rPr>
                <w:color w:val="231F20"/>
                <w:sz w:val="13"/>
              </w:rPr>
              <w:t>Counselor</w:t>
            </w:r>
            <w:r>
              <w:rPr>
                <w:color w:val="231F20"/>
                <w:spacing w:val="-14"/>
                <w:sz w:val="13"/>
              </w:rPr>
              <w:t xml:space="preserve"> </w:t>
            </w:r>
            <w:r>
              <w:rPr>
                <w:color w:val="231F20"/>
                <w:sz w:val="13"/>
              </w:rPr>
              <w:t>on</w:t>
            </w:r>
            <w:r>
              <w:rPr>
                <w:color w:val="231F20"/>
                <w:spacing w:val="-15"/>
                <w:sz w:val="13"/>
              </w:rPr>
              <w:t xml:space="preserve"> </w:t>
            </w:r>
            <w:r>
              <w:rPr>
                <w:color w:val="231F20"/>
                <w:sz w:val="13"/>
              </w:rPr>
              <w:t>Infant</w:t>
            </w:r>
            <w:r>
              <w:rPr>
                <w:color w:val="231F20"/>
                <w:spacing w:val="-14"/>
                <w:sz w:val="13"/>
              </w:rPr>
              <w:t xml:space="preserve"> </w:t>
            </w:r>
            <w:r>
              <w:rPr>
                <w:color w:val="231F20"/>
                <w:sz w:val="13"/>
              </w:rPr>
              <w:t>&amp;</w:t>
            </w:r>
            <w:r>
              <w:rPr>
                <w:color w:val="231F20"/>
                <w:spacing w:val="-16"/>
                <w:sz w:val="13"/>
              </w:rPr>
              <w:t xml:space="preserve"> </w:t>
            </w:r>
            <w:r>
              <w:rPr>
                <w:color w:val="231F20"/>
                <w:spacing w:val="-3"/>
                <w:sz w:val="13"/>
              </w:rPr>
              <w:t>Young</w:t>
            </w:r>
            <w:r>
              <w:rPr>
                <w:color w:val="231F20"/>
                <w:spacing w:val="-14"/>
                <w:sz w:val="13"/>
              </w:rPr>
              <w:t xml:space="preserve"> </w:t>
            </w:r>
            <w:r>
              <w:rPr>
                <w:color w:val="231F20"/>
                <w:sz w:val="13"/>
              </w:rPr>
              <w:t>Child</w:t>
            </w:r>
            <w:r>
              <w:rPr>
                <w:color w:val="231F20"/>
                <w:spacing w:val="-15"/>
                <w:sz w:val="13"/>
              </w:rPr>
              <w:t xml:space="preserve"> </w:t>
            </w:r>
            <w:r>
              <w:rPr>
                <w:color w:val="231F20"/>
                <w:sz w:val="13"/>
              </w:rPr>
              <w:t>Feeding (IYCF)</w:t>
            </w:r>
          </w:p>
        </w:tc>
        <w:tc>
          <w:tcPr>
            <w:tcW w:w="1514" w:type="dxa"/>
            <w:tcBorders>
              <w:top w:val="single" w:sz="6" w:space="0" w:color="231F20"/>
              <w:left w:val="single" w:sz="6" w:space="0" w:color="231F20"/>
              <w:bottom w:val="single" w:sz="6" w:space="0" w:color="231F20"/>
              <w:right w:val="single" w:sz="6" w:space="0" w:color="231F20"/>
            </w:tcBorders>
          </w:tcPr>
          <w:p w14:paraId="52637799" w14:textId="77777777" w:rsidR="009948F1" w:rsidRDefault="009948F1">
            <w:pPr>
              <w:pStyle w:val="TableParagraph"/>
              <w:spacing w:before="10"/>
              <w:rPr>
                <w:sz w:val="15"/>
              </w:rPr>
            </w:pPr>
          </w:p>
          <w:p w14:paraId="4CF0014C"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2E6E9CD9" w14:textId="77777777" w:rsidR="009948F1" w:rsidRDefault="009948F1">
            <w:pPr>
              <w:pStyle w:val="TableParagraph"/>
              <w:spacing w:before="10"/>
              <w:rPr>
                <w:sz w:val="15"/>
              </w:rPr>
            </w:pPr>
          </w:p>
          <w:p w14:paraId="6483FB4F" w14:textId="77777777" w:rsidR="009948F1" w:rsidRDefault="00BC0563">
            <w:pPr>
              <w:pStyle w:val="TableParagraph"/>
              <w:ind w:left="26"/>
              <w:rPr>
                <w:sz w:val="13"/>
              </w:rPr>
            </w:pPr>
            <w:r>
              <w:rPr>
                <w:color w:val="231F20"/>
                <w:sz w:val="13"/>
              </w:rPr>
              <w:t>Conduct training</w:t>
            </w:r>
          </w:p>
        </w:tc>
      </w:tr>
      <w:tr w:rsidR="009948F1" w14:paraId="7C1EDBFE" w14:textId="77777777">
        <w:trPr>
          <w:trHeight w:val="1601"/>
        </w:trPr>
        <w:tc>
          <w:tcPr>
            <w:tcW w:w="486" w:type="dxa"/>
            <w:tcBorders>
              <w:top w:val="single" w:sz="6" w:space="0" w:color="231F20"/>
              <w:left w:val="single" w:sz="12" w:space="0" w:color="231F20"/>
              <w:bottom w:val="single" w:sz="6" w:space="0" w:color="231F20"/>
              <w:right w:val="single" w:sz="6" w:space="0" w:color="231F20"/>
            </w:tcBorders>
            <w:shd w:val="clear" w:color="auto" w:fill="CCE7D3"/>
          </w:tcPr>
          <w:p w14:paraId="41531E56" w14:textId="77777777" w:rsidR="009948F1" w:rsidRDefault="009948F1">
            <w:pPr>
              <w:pStyle w:val="TableParagraph"/>
              <w:rPr>
                <w:sz w:val="12"/>
              </w:rPr>
            </w:pPr>
          </w:p>
          <w:p w14:paraId="2CBF9765" w14:textId="77777777" w:rsidR="009948F1" w:rsidRDefault="009948F1">
            <w:pPr>
              <w:pStyle w:val="TableParagraph"/>
              <w:rPr>
                <w:sz w:val="12"/>
              </w:rPr>
            </w:pPr>
          </w:p>
          <w:p w14:paraId="4D1FC27A" w14:textId="77777777" w:rsidR="009948F1" w:rsidRDefault="009948F1">
            <w:pPr>
              <w:pStyle w:val="TableParagraph"/>
              <w:rPr>
                <w:sz w:val="12"/>
              </w:rPr>
            </w:pPr>
          </w:p>
          <w:p w14:paraId="5674926B" w14:textId="77777777" w:rsidR="009948F1" w:rsidRDefault="009948F1">
            <w:pPr>
              <w:pStyle w:val="TableParagraph"/>
              <w:rPr>
                <w:sz w:val="12"/>
              </w:rPr>
            </w:pPr>
          </w:p>
          <w:p w14:paraId="5121F361" w14:textId="77777777" w:rsidR="009948F1" w:rsidRDefault="009948F1">
            <w:pPr>
              <w:pStyle w:val="TableParagraph"/>
              <w:spacing w:before="2"/>
              <w:rPr>
                <w:sz w:val="15"/>
              </w:rPr>
            </w:pPr>
          </w:p>
          <w:p w14:paraId="1E82A848" w14:textId="77777777" w:rsidR="009948F1" w:rsidRDefault="00BC0563">
            <w:pPr>
              <w:pStyle w:val="TableParagraph"/>
              <w:ind w:left="57"/>
              <w:rPr>
                <w:sz w:val="13"/>
              </w:rPr>
            </w:pPr>
            <w:r>
              <w:rPr>
                <w:color w:val="231F20"/>
                <w:sz w:val="13"/>
              </w:rPr>
              <w:t>4.6.4</w:t>
            </w:r>
          </w:p>
        </w:tc>
        <w:tc>
          <w:tcPr>
            <w:tcW w:w="3221" w:type="dxa"/>
            <w:gridSpan w:val="2"/>
            <w:tcBorders>
              <w:top w:val="single" w:sz="6" w:space="0" w:color="231F20"/>
              <w:left w:val="single" w:sz="6" w:space="0" w:color="231F20"/>
              <w:bottom w:val="single" w:sz="6" w:space="0" w:color="231F20"/>
              <w:right w:val="single" w:sz="6" w:space="0" w:color="231F20"/>
            </w:tcBorders>
            <w:shd w:val="clear" w:color="auto" w:fill="CCE7D3"/>
          </w:tcPr>
          <w:p w14:paraId="157E960B" w14:textId="77777777" w:rsidR="009948F1" w:rsidRDefault="009948F1">
            <w:pPr>
              <w:pStyle w:val="TableParagraph"/>
              <w:rPr>
                <w:sz w:val="12"/>
              </w:rPr>
            </w:pPr>
          </w:p>
          <w:p w14:paraId="344EED34" w14:textId="77777777" w:rsidR="009948F1" w:rsidRDefault="009948F1">
            <w:pPr>
              <w:pStyle w:val="TableParagraph"/>
              <w:rPr>
                <w:sz w:val="12"/>
              </w:rPr>
            </w:pPr>
          </w:p>
          <w:p w14:paraId="52EEA920" w14:textId="77777777" w:rsidR="009948F1" w:rsidRDefault="009948F1">
            <w:pPr>
              <w:pStyle w:val="TableParagraph"/>
              <w:rPr>
                <w:sz w:val="12"/>
              </w:rPr>
            </w:pPr>
          </w:p>
          <w:p w14:paraId="28DB042C" w14:textId="77777777" w:rsidR="009948F1" w:rsidRDefault="009948F1">
            <w:pPr>
              <w:pStyle w:val="TableParagraph"/>
              <w:rPr>
                <w:sz w:val="12"/>
              </w:rPr>
            </w:pPr>
          </w:p>
          <w:p w14:paraId="753BD3C3" w14:textId="77777777" w:rsidR="009948F1" w:rsidRDefault="00BC0563">
            <w:pPr>
              <w:pStyle w:val="TableParagraph"/>
              <w:spacing w:before="88" w:line="261" w:lineRule="auto"/>
              <w:ind w:left="26" w:right="595" w:firstLine="35"/>
              <w:rPr>
                <w:sz w:val="13"/>
              </w:rPr>
            </w:pPr>
            <w:r>
              <w:rPr>
                <w:color w:val="231F20"/>
                <w:sz w:val="13"/>
              </w:rPr>
              <w:t>Expand coverage with micronutrient powder supplementation</w:t>
            </w:r>
          </w:p>
        </w:tc>
        <w:tc>
          <w:tcPr>
            <w:tcW w:w="2528" w:type="dxa"/>
            <w:tcBorders>
              <w:top w:val="single" w:sz="6" w:space="0" w:color="231F20"/>
              <w:left w:val="single" w:sz="6" w:space="0" w:color="231F20"/>
              <w:bottom w:val="single" w:sz="6" w:space="0" w:color="231F20"/>
              <w:right w:val="single" w:sz="6" w:space="0" w:color="231F20"/>
            </w:tcBorders>
            <w:shd w:val="clear" w:color="auto" w:fill="CCE7D3"/>
          </w:tcPr>
          <w:p w14:paraId="1337E07F" w14:textId="77777777" w:rsidR="009948F1" w:rsidRDefault="00BC0563">
            <w:pPr>
              <w:pStyle w:val="TableParagraph"/>
              <w:numPr>
                <w:ilvl w:val="0"/>
                <w:numId w:val="174"/>
              </w:numPr>
              <w:tabs>
                <w:tab w:val="left" w:pos="106"/>
              </w:tabs>
              <w:spacing w:before="75" w:line="261" w:lineRule="auto"/>
              <w:ind w:right="40" w:firstLine="0"/>
              <w:rPr>
                <w:sz w:val="13"/>
              </w:rPr>
            </w:pPr>
            <w:r>
              <w:rPr>
                <w:color w:val="231F20"/>
                <w:sz w:val="13"/>
              </w:rPr>
              <w:t>Multi</w:t>
            </w:r>
            <w:r>
              <w:rPr>
                <w:color w:val="231F20"/>
                <w:spacing w:val="-20"/>
                <w:sz w:val="13"/>
              </w:rPr>
              <w:t xml:space="preserve"> </w:t>
            </w:r>
            <w:r>
              <w:rPr>
                <w:color w:val="231F20"/>
                <w:sz w:val="13"/>
              </w:rPr>
              <w:t>Micronutrient</w:t>
            </w:r>
            <w:r>
              <w:rPr>
                <w:color w:val="231F20"/>
                <w:spacing w:val="-20"/>
                <w:sz w:val="13"/>
              </w:rPr>
              <w:t xml:space="preserve"> </w:t>
            </w:r>
            <w:r>
              <w:rPr>
                <w:color w:val="231F20"/>
                <w:sz w:val="13"/>
              </w:rPr>
              <w:t>powders</w:t>
            </w:r>
            <w:r>
              <w:rPr>
                <w:color w:val="231F20"/>
                <w:spacing w:val="-20"/>
                <w:sz w:val="13"/>
              </w:rPr>
              <w:t xml:space="preserve"> </w:t>
            </w:r>
            <w:r>
              <w:rPr>
                <w:color w:val="231F20"/>
                <w:sz w:val="13"/>
              </w:rPr>
              <w:t>for</w:t>
            </w:r>
            <w:r>
              <w:rPr>
                <w:color w:val="231F20"/>
                <w:spacing w:val="-20"/>
                <w:sz w:val="13"/>
              </w:rPr>
              <w:t xml:space="preserve"> </w:t>
            </w:r>
            <w:r>
              <w:rPr>
                <w:color w:val="231F20"/>
                <w:sz w:val="13"/>
              </w:rPr>
              <w:t>fortification of home feeds for children aged 6- 23months introduced &amp;</w:t>
            </w:r>
            <w:r>
              <w:rPr>
                <w:color w:val="231F20"/>
                <w:spacing w:val="-16"/>
                <w:sz w:val="13"/>
              </w:rPr>
              <w:t xml:space="preserve"> </w:t>
            </w:r>
            <w:r>
              <w:rPr>
                <w:color w:val="231F20"/>
                <w:sz w:val="13"/>
              </w:rPr>
              <w:t>distributed</w:t>
            </w:r>
          </w:p>
          <w:p w14:paraId="61AC16F7" w14:textId="77777777" w:rsidR="009948F1" w:rsidRDefault="00BC0563">
            <w:pPr>
              <w:pStyle w:val="TableParagraph"/>
              <w:numPr>
                <w:ilvl w:val="0"/>
                <w:numId w:val="174"/>
              </w:numPr>
              <w:tabs>
                <w:tab w:val="left" w:pos="106"/>
              </w:tabs>
              <w:spacing w:line="261" w:lineRule="auto"/>
              <w:ind w:right="195" w:firstLine="0"/>
              <w:rPr>
                <w:sz w:val="13"/>
              </w:rPr>
            </w:pPr>
            <w:r>
              <w:rPr>
                <w:color w:val="231F20"/>
                <w:sz w:val="13"/>
              </w:rPr>
              <w:t>Doses</w:t>
            </w:r>
            <w:r>
              <w:rPr>
                <w:color w:val="231F20"/>
                <w:spacing w:val="-11"/>
                <w:sz w:val="13"/>
              </w:rPr>
              <w:t xml:space="preserve"> </w:t>
            </w:r>
            <w:r>
              <w:rPr>
                <w:color w:val="231F20"/>
                <w:sz w:val="13"/>
              </w:rPr>
              <w:t>of</w:t>
            </w:r>
            <w:r>
              <w:rPr>
                <w:color w:val="231F20"/>
                <w:spacing w:val="-11"/>
                <w:sz w:val="13"/>
              </w:rPr>
              <w:t xml:space="preserve"> </w:t>
            </w:r>
            <w:r>
              <w:rPr>
                <w:color w:val="231F20"/>
                <w:sz w:val="13"/>
              </w:rPr>
              <w:t>Vitamin</w:t>
            </w:r>
            <w:r>
              <w:rPr>
                <w:color w:val="231F20"/>
                <w:spacing w:val="-15"/>
                <w:sz w:val="13"/>
              </w:rPr>
              <w:t xml:space="preserve"> </w:t>
            </w:r>
            <w:r>
              <w:rPr>
                <w:color w:val="231F20"/>
                <w:sz w:val="13"/>
              </w:rPr>
              <w:t>A</w:t>
            </w:r>
            <w:r>
              <w:rPr>
                <w:color w:val="231F20"/>
                <w:spacing w:val="-16"/>
                <w:sz w:val="13"/>
              </w:rPr>
              <w:t xml:space="preserve"> </w:t>
            </w:r>
            <w:r>
              <w:rPr>
                <w:color w:val="231F20"/>
                <w:sz w:val="13"/>
              </w:rPr>
              <w:t>for</w:t>
            </w:r>
            <w:r>
              <w:rPr>
                <w:color w:val="231F20"/>
                <w:spacing w:val="-11"/>
                <w:sz w:val="13"/>
              </w:rPr>
              <w:t xml:space="preserve"> </w:t>
            </w:r>
            <w:r>
              <w:rPr>
                <w:color w:val="231F20"/>
                <w:sz w:val="13"/>
              </w:rPr>
              <w:t>children</w:t>
            </w:r>
            <w:r>
              <w:rPr>
                <w:color w:val="231F20"/>
                <w:spacing w:val="-10"/>
                <w:sz w:val="13"/>
              </w:rPr>
              <w:t xml:space="preserve"> </w:t>
            </w:r>
            <w:r>
              <w:rPr>
                <w:color w:val="231F20"/>
                <w:sz w:val="13"/>
              </w:rPr>
              <w:t>aged</w:t>
            </w:r>
            <w:r>
              <w:rPr>
                <w:color w:val="231F20"/>
                <w:spacing w:val="-11"/>
                <w:sz w:val="13"/>
              </w:rPr>
              <w:t xml:space="preserve"> </w:t>
            </w:r>
            <w:r>
              <w:rPr>
                <w:color w:val="231F20"/>
                <w:sz w:val="13"/>
              </w:rPr>
              <w:t>6</w:t>
            </w:r>
            <w:r>
              <w:rPr>
                <w:color w:val="231F20"/>
                <w:spacing w:val="-11"/>
                <w:sz w:val="13"/>
              </w:rPr>
              <w:t xml:space="preserve"> </w:t>
            </w:r>
            <w:r>
              <w:rPr>
                <w:color w:val="231F20"/>
                <w:sz w:val="13"/>
              </w:rPr>
              <w:t>- 59 months, integrated distributed with measles</w:t>
            </w:r>
            <w:r>
              <w:rPr>
                <w:color w:val="231F20"/>
                <w:spacing w:val="-7"/>
                <w:sz w:val="13"/>
              </w:rPr>
              <w:t xml:space="preserve"> </w:t>
            </w:r>
            <w:r>
              <w:rPr>
                <w:color w:val="231F20"/>
                <w:sz w:val="13"/>
              </w:rPr>
              <w:t>campaign,</w:t>
            </w:r>
            <w:r>
              <w:rPr>
                <w:color w:val="231F20"/>
                <w:spacing w:val="-6"/>
                <w:sz w:val="13"/>
              </w:rPr>
              <w:t xml:space="preserve"> </w:t>
            </w:r>
            <w:r>
              <w:rPr>
                <w:color w:val="231F20"/>
                <w:sz w:val="13"/>
              </w:rPr>
              <w:t>RI</w:t>
            </w:r>
            <w:r>
              <w:rPr>
                <w:color w:val="231F20"/>
                <w:spacing w:val="-6"/>
                <w:sz w:val="13"/>
              </w:rPr>
              <w:t xml:space="preserve"> </w:t>
            </w:r>
            <w:r>
              <w:rPr>
                <w:color w:val="231F20"/>
                <w:sz w:val="13"/>
              </w:rPr>
              <w:t>and</w:t>
            </w:r>
            <w:r>
              <w:rPr>
                <w:color w:val="231F20"/>
                <w:spacing w:val="-6"/>
                <w:sz w:val="13"/>
              </w:rPr>
              <w:t xml:space="preserve"> </w:t>
            </w:r>
            <w:r>
              <w:rPr>
                <w:color w:val="231F20"/>
                <w:sz w:val="13"/>
              </w:rPr>
              <w:t>in</w:t>
            </w:r>
            <w:r>
              <w:rPr>
                <w:color w:val="231F20"/>
                <w:spacing w:val="-6"/>
                <w:sz w:val="13"/>
              </w:rPr>
              <w:t xml:space="preserve"> </w:t>
            </w:r>
            <w:r>
              <w:rPr>
                <w:color w:val="231F20"/>
                <w:sz w:val="13"/>
              </w:rPr>
              <w:t>CWC</w:t>
            </w:r>
          </w:p>
          <w:p w14:paraId="21F9EFBA" w14:textId="77777777" w:rsidR="009948F1" w:rsidRDefault="00BC0563">
            <w:pPr>
              <w:pStyle w:val="TableParagraph"/>
              <w:numPr>
                <w:ilvl w:val="0"/>
                <w:numId w:val="174"/>
              </w:numPr>
              <w:tabs>
                <w:tab w:val="left" w:pos="106"/>
              </w:tabs>
              <w:spacing w:line="261" w:lineRule="auto"/>
              <w:ind w:right="286" w:firstLine="0"/>
              <w:jc w:val="both"/>
              <w:rPr>
                <w:sz w:val="13"/>
              </w:rPr>
            </w:pPr>
            <w:r>
              <w:rPr>
                <w:color w:val="231F20"/>
                <w:sz w:val="13"/>
              </w:rPr>
              <w:t>Zinc</w:t>
            </w:r>
            <w:r>
              <w:rPr>
                <w:color w:val="231F20"/>
                <w:spacing w:val="-16"/>
                <w:sz w:val="13"/>
              </w:rPr>
              <w:t xml:space="preserve"> </w:t>
            </w:r>
            <w:r>
              <w:rPr>
                <w:color w:val="231F20"/>
                <w:sz w:val="13"/>
              </w:rPr>
              <w:t>supplements</w:t>
            </w:r>
            <w:r>
              <w:rPr>
                <w:color w:val="231F20"/>
                <w:spacing w:val="-15"/>
                <w:sz w:val="13"/>
              </w:rPr>
              <w:t xml:space="preserve"> </w:t>
            </w:r>
            <w:r>
              <w:rPr>
                <w:color w:val="231F20"/>
                <w:sz w:val="13"/>
              </w:rPr>
              <w:t>provided</w:t>
            </w:r>
            <w:r>
              <w:rPr>
                <w:color w:val="231F20"/>
                <w:spacing w:val="-15"/>
                <w:sz w:val="13"/>
              </w:rPr>
              <w:t xml:space="preserve"> </w:t>
            </w:r>
            <w:r>
              <w:rPr>
                <w:color w:val="231F20"/>
                <w:sz w:val="13"/>
              </w:rPr>
              <w:t>as</w:t>
            </w:r>
            <w:r>
              <w:rPr>
                <w:color w:val="231F20"/>
                <w:spacing w:val="-15"/>
                <w:sz w:val="13"/>
              </w:rPr>
              <w:t xml:space="preserve"> </w:t>
            </w:r>
            <w:r>
              <w:rPr>
                <w:color w:val="231F20"/>
                <w:sz w:val="13"/>
              </w:rPr>
              <w:t>routine constituent</w:t>
            </w:r>
            <w:r>
              <w:rPr>
                <w:color w:val="231F20"/>
                <w:spacing w:val="-17"/>
                <w:sz w:val="13"/>
              </w:rPr>
              <w:t xml:space="preserve"> </w:t>
            </w:r>
            <w:r>
              <w:rPr>
                <w:color w:val="231F20"/>
                <w:sz w:val="13"/>
              </w:rPr>
              <w:t>of</w:t>
            </w:r>
            <w:r>
              <w:rPr>
                <w:color w:val="231F20"/>
                <w:spacing w:val="-17"/>
                <w:sz w:val="13"/>
              </w:rPr>
              <w:t xml:space="preserve"> </w:t>
            </w:r>
            <w:r>
              <w:rPr>
                <w:color w:val="231F20"/>
                <w:sz w:val="13"/>
              </w:rPr>
              <w:t>diarrhea</w:t>
            </w:r>
            <w:r>
              <w:rPr>
                <w:color w:val="231F20"/>
                <w:spacing w:val="-17"/>
                <w:sz w:val="13"/>
              </w:rPr>
              <w:t xml:space="preserve"> </w:t>
            </w:r>
            <w:r>
              <w:rPr>
                <w:color w:val="231F20"/>
                <w:sz w:val="13"/>
              </w:rPr>
              <w:t>management</w:t>
            </w:r>
            <w:r>
              <w:rPr>
                <w:color w:val="231F20"/>
                <w:spacing w:val="-17"/>
                <w:sz w:val="13"/>
              </w:rPr>
              <w:t xml:space="preserve"> </w:t>
            </w:r>
            <w:r>
              <w:rPr>
                <w:color w:val="231F20"/>
                <w:spacing w:val="-4"/>
                <w:sz w:val="13"/>
              </w:rPr>
              <w:t xml:space="preserve">for </w:t>
            </w:r>
            <w:r>
              <w:rPr>
                <w:color w:val="231F20"/>
                <w:sz w:val="13"/>
              </w:rPr>
              <w:t>children aged 6 - 59</w:t>
            </w:r>
            <w:r>
              <w:rPr>
                <w:color w:val="231F20"/>
                <w:spacing w:val="-20"/>
                <w:sz w:val="13"/>
              </w:rPr>
              <w:t xml:space="preserve"> </w:t>
            </w:r>
            <w:r>
              <w:rPr>
                <w:color w:val="231F20"/>
                <w:sz w:val="13"/>
              </w:rPr>
              <w:t>months</w:t>
            </w:r>
          </w:p>
        </w:tc>
        <w:tc>
          <w:tcPr>
            <w:tcW w:w="1514" w:type="dxa"/>
            <w:tcBorders>
              <w:top w:val="single" w:sz="6" w:space="0" w:color="231F20"/>
              <w:left w:val="single" w:sz="6" w:space="0" w:color="231F20"/>
              <w:bottom w:val="single" w:sz="6" w:space="0" w:color="231F20"/>
              <w:right w:val="single" w:sz="12" w:space="0" w:color="231F20"/>
            </w:tcBorders>
            <w:shd w:val="clear" w:color="auto" w:fill="CCE7D3"/>
          </w:tcPr>
          <w:p w14:paraId="0C6E7EED" w14:textId="77777777" w:rsidR="009948F1" w:rsidRDefault="009948F1">
            <w:pPr>
              <w:pStyle w:val="TableParagraph"/>
              <w:rPr>
                <w:rFonts w:ascii="Times New Roman"/>
                <w:sz w:val="12"/>
              </w:rPr>
            </w:pPr>
          </w:p>
        </w:tc>
        <w:tc>
          <w:tcPr>
            <w:tcW w:w="1595" w:type="dxa"/>
            <w:tcBorders>
              <w:top w:val="single" w:sz="6" w:space="0" w:color="231F20"/>
              <w:left w:val="single" w:sz="12" w:space="0" w:color="231F20"/>
              <w:bottom w:val="single" w:sz="6" w:space="0" w:color="231F20"/>
            </w:tcBorders>
            <w:shd w:val="clear" w:color="auto" w:fill="CCE7D3"/>
          </w:tcPr>
          <w:p w14:paraId="06080119" w14:textId="77777777" w:rsidR="009948F1" w:rsidRDefault="009948F1">
            <w:pPr>
              <w:pStyle w:val="TableParagraph"/>
              <w:rPr>
                <w:rFonts w:ascii="Times New Roman"/>
                <w:sz w:val="12"/>
              </w:rPr>
            </w:pPr>
          </w:p>
        </w:tc>
      </w:tr>
      <w:tr w:rsidR="009948F1" w14:paraId="4257EC29" w14:textId="77777777">
        <w:trPr>
          <w:trHeight w:val="489"/>
        </w:trPr>
        <w:tc>
          <w:tcPr>
            <w:tcW w:w="486" w:type="dxa"/>
            <w:vMerge w:val="restart"/>
            <w:tcBorders>
              <w:top w:val="single" w:sz="6" w:space="0" w:color="231F20"/>
              <w:bottom w:val="single" w:sz="6" w:space="0" w:color="231F20"/>
              <w:right w:val="single" w:sz="6" w:space="0" w:color="231F20"/>
            </w:tcBorders>
          </w:tcPr>
          <w:p w14:paraId="46EA9D27" w14:textId="77777777" w:rsidR="009948F1" w:rsidRDefault="009948F1">
            <w:pPr>
              <w:pStyle w:val="TableParagraph"/>
              <w:rPr>
                <w:rFonts w:ascii="Times New Roman"/>
                <w:sz w:val="12"/>
              </w:rPr>
            </w:pPr>
          </w:p>
        </w:tc>
        <w:tc>
          <w:tcPr>
            <w:tcW w:w="558" w:type="dxa"/>
            <w:tcBorders>
              <w:top w:val="single" w:sz="6" w:space="0" w:color="231F20"/>
              <w:left w:val="single" w:sz="6" w:space="0" w:color="231F20"/>
              <w:bottom w:val="single" w:sz="6" w:space="0" w:color="231F20"/>
              <w:right w:val="single" w:sz="6" w:space="0" w:color="231F20"/>
            </w:tcBorders>
          </w:tcPr>
          <w:p w14:paraId="319BC101" w14:textId="77777777" w:rsidR="009948F1" w:rsidRDefault="009948F1">
            <w:pPr>
              <w:pStyle w:val="TableParagraph"/>
              <w:spacing w:before="9"/>
              <w:rPr>
                <w:sz w:val="14"/>
              </w:rPr>
            </w:pPr>
          </w:p>
          <w:p w14:paraId="3F48030D" w14:textId="77777777" w:rsidR="009948F1" w:rsidRDefault="00BC0563">
            <w:pPr>
              <w:pStyle w:val="TableParagraph"/>
              <w:ind w:left="63" w:right="42"/>
              <w:jc w:val="center"/>
              <w:rPr>
                <w:sz w:val="13"/>
              </w:rPr>
            </w:pPr>
            <w:r>
              <w:rPr>
                <w:color w:val="231F20"/>
                <w:sz w:val="13"/>
              </w:rPr>
              <w:t>4.6.4.a</w:t>
            </w:r>
          </w:p>
        </w:tc>
        <w:tc>
          <w:tcPr>
            <w:tcW w:w="5191" w:type="dxa"/>
            <w:gridSpan w:val="2"/>
            <w:tcBorders>
              <w:top w:val="single" w:sz="6" w:space="0" w:color="231F20"/>
              <w:left w:val="single" w:sz="6" w:space="0" w:color="231F20"/>
              <w:bottom w:val="single" w:sz="6" w:space="0" w:color="231F20"/>
              <w:right w:val="single" w:sz="6" w:space="0" w:color="231F20"/>
            </w:tcBorders>
          </w:tcPr>
          <w:p w14:paraId="48A9F2B2" w14:textId="1DF36EB3" w:rsidR="009948F1" w:rsidRDefault="00BC0563">
            <w:pPr>
              <w:pStyle w:val="TableParagraph"/>
              <w:spacing w:before="83" w:line="261" w:lineRule="auto"/>
              <w:ind w:left="26" w:right="104"/>
              <w:rPr>
                <w:sz w:val="13"/>
              </w:rPr>
            </w:pPr>
            <w:r>
              <w:rPr>
                <w:color w:val="231F20"/>
                <w:sz w:val="13"/>
              </w:rPr>
              <w:t>Introduce</w:t>
            </w:r>
            <w:r>
              <w:rPr>
                <w:color w:val="231F20"/>
                <w:spacing w:val="-14"/>
                <w:sz w:val="13"/>
              </w:rPr>
              <w:t xml:space="preserve"> </w:t>
            </w:r>
            <w:r>
              <w:rPr>
                <w:color w:val="231F20"/>
                <w:sz w:val="13"/>
              </w:rPr>
              <w:t>&amp;</w:t>
            </w:r>
            <w:r>
              <w:rPr>
                <w:color w:val="231F20"/>
                <w:spacing w:val="-14"/>
                <w:sz w:val="13"/>
              </w:rPr>
              <w:t xml:space="preserve"> </w:t>
            </w:r>
            <w:r>
              <w:rPr>
                <w:color w:val="231F20"/>
                <w:sz w:val="13"/>
              </w:rPr>
              <w:t>distribute</w:t>
            </w:r>
            <w:r>
              <w:rPr>
                <w:color w:val="231F20"/>
                <w:spacing w:val="-13"/>
                <w:sz w:val="13"/>
              </w:rPr>
              <w:t xml:space="preserve"> </w:t>
            </w:r>
            <w:r>
              <w:rPr>
                <w:color w:val="231F20"/>
                <w:sz w:val="13"/>
              </w:rPr>
              <w:t>Multi</w:t>
            </w:r>
            <w:r>
              <w:rPr>
                <w:color w:val="231F20"/>
                <w:spacing w:val="-14"/>
                <w:sz w:val="13"/>
              </w:rPr>
              <w:t xml:space="preserve"> </w:t>
            </w:r>
            <w:r>
              <w:rPr>
                <w:color w:val="231F20"/>
                <w:sz w:val="13"/>
              </w:rPr>
              <w:t>Micronutrient</w:t>
            </w:r>
            <w:r>
              <w:rPr>
                <w:color w:val="231F20"/>
                <w:spacing w:val="-14"/>
                <w:sz w:val="13"/>
              </w:rPr>
              <w:t xml:space="preserve"> </w:t>
            </w:r>
            <w:r>
              <w:rPr>
                <w:color w:val="231F20"/>
                <w:sz w:val="13"/>
              </w:rPr>
              <w:t>Powder</w:t>
            </w:r>
            <w:r>
              <w:rPr>
                <w:color w:val="231F20"/>
                <w:spacing w:val="-13"/>
                <w:sz w:val="13"/>
              </w:rPr>
              <w:t xml:space="preserve"> </w:t>
            </w:r>
            <w:r>
              <w:rPr>
                <w:color w:val="231F20"/>
                <w:sz w:val="13"/>
              </w:rPr>
              <w:t>for</w:t>
            </w:r>
            <w:r>
              <w:rPr>
                <w:color w:val="231F20"/>
                <w:spacing w:val="-14"/>
                <w:sz w:val="13"/>
              </w:rPr>
              <w:t xml:space="preserve"> </w:t>
            </w:r>
            <w:r w:rsidR="000225DB">
              <w:rPr>
                <w:color w:val="231F20"/>
                <w:sz w:val="13"/>
              </w:rPr>
              <w:t>fortification</w:t>
            </w:r>
            <w:r>
              <w:rPr>
                <w:color w:val="231F20"/>
                <w:spacing w:val="10"/>
                <w:sz w:val="13"/>
              </w:rPr>
              <w:t xml:space="preserve"> </w:t>
            </w:r>
            <w:r>
              <w:rPr>
                <w:color w:val="231F20"/>
                <w:sz w:val="13"/>
              </w:rPr>
              <w:t>of</w:t>
            </w:r>
            <w:r>
              <w:rPr>
                <w:color w:val="231F20"/>
                <w:spacing w:val="-14"/>
                <w:sz w:val="13"/>
              </w:rPr>
              <w:t xml:space="preserve"> </w:t>
            </w:r>
            <w:r>
              <w:rPr>
                <w:color w:val="231F20"/>
                <w:sz w:val="13"/>
              </w:rPr>
              <w:t>home</w:t>
            </w:r>
            <w:r>
              <w:rPr>
                <w:color w:val="231F20"/>
                <w:spacing w:val="-13"/>
                <w:sz w:val="13"/>
              </w:rPr>
              <w:t xml:space="preserve"> </w:t>
            </w:r>
            <w:r>
              <w:rPr>
                <w:color w:val="231F20"/>
                <w:sz w:val="13"/>
              </w:rPr>
              <w:t>feeds</w:t>
            </w:r>
            <w:r>
              <w:rPr>
                <w:color w:val="231F20"/>
                <w:spacing w:val="-14"/>
                <w:sz w:val="13"/>
              </w:rPr>
              <w:t xml:space="preserve"> </w:t>
            </w:r>
            <w:r>
              <w:rPr>
                <w:color w:val="231F20"/>
                <w:sz w:val="13"/>
              </w:rPr>
              <w:t>for</w:t>
            </w:r>
            <w:r>
              <w:rPr>
                <w:color w:val="231F20"/>
                <w:spacing w:val="-14"/>
                <w:sz w:val="13"/>
              </w:rPr>
              <w:t xml:space="preserve"> </w:t>
            </w:r>
            <w:r>
              <w:rPr>
                <w:color w:val="231F20"/>
                <w:sz w:val="13"/>
              </w:rPr>
              <w:t>children aged 6 to 23</w:t>
            </w:r>
            <w:r>
              <w:rPr>
                <w:color w:val="231F20"/>
                <w:spacing w:val="-10"/>
                <w:sz w:val="13"/>
              </w:rPr>
              <w:t xml:space="preserve"> </w:t>
            </w:r>
            <w:r>
              <w:rPr>
                <w:color w:val="231F20"/>
                <w:sz w:val="13"/>
              </w:rPr>
              <w:t>months</w:t>
            </w:r>
          </w:p>
        </w:tc>
        <w:tc>
          <w:tcPr>
            <w:tcW w:w="1514" w:type="dxa"/>
            <w:tcBorders>
              <w:top w:val="single" w:sz="6" w:space="0" w:color="231F20"/>
              <w:left w:val="single" w:sz="6" w:space="0" w:color="231F20"/>
              <w:bottom w:val="single" w:sz="6" w:space="0" w:color="231F20"/>
              <w:right w:val="single" w:sz="6" w:space="0" w:color="231F20"/>
            </w:tcBorders>
          </w:tcPr>
          <w:p w14:paraId="3AD082DC" w14:textId="77777777" w:rsidR="009948F1" w:rsidRDefault="009948F1">
            <w:pPr>
              <w:pStyle w:val="TableParagraph"/>
              <w:spacing w:before="9"/>
              <w:rPr>
                <w:sz w:val="14"/>
              </w:rPr>
            </w:pPr>
          </w:p>
          <w:p w14:paraId="6C3916D9"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652E765F" w14:textId="77777777" w:rsidR="009948F1" w:rsidRDefault="009948F1">
            <w:pPr>
              <w:pStyle w:val="TableParagraph"/>
              <w:spacing w:before="9"/>
              <w:rPr>
                <w:sz w:val="14"/>
              </w:rPr>
            </w:pPr>
          </w:p>
          <w:p w14:paraId="427FF7F3" w14:textId="77777777" w:rsidR="009948F1" w:rsidRDefault="00BC0563">
            <w:pPr>
              <w:pStyle w:val="TableParagraph"/>
              <w:ind w:left="26"/>
              <w:rPr>
                <w:sz w:val="13"/>
              </w:rPr>
            </w:pPr>
            <w:r>
              <w:rPr>
                <w:color w:val="231F20"/>
                <w:sz w:val="13"/>
              </w:rPr>
              <w:t>No cost</w:t>
            </w:r>
          </w:p>
        </w:tc>
      </w:tr>
      <w:tr w:rsidR="009948F1" w14:paraId="363BDB7B" w14:textId="77777777">
        <w:trPr>
          <w:trHeight w:val="576"/>
        </w:trPr>
        <w:tc>
          <w:tcPr>
            <w:tcW w:w="486" w:type="dxa"/>
            <w:vMerge/>
            <w:tcBorders>
              <w:top w:val="nil"/>
              <w:bottom w:val="single" w:sz="6" w:space="0" w:color="231F20"/>
              <w:right w:val="single" w:sz="6" w:space="0" w:color="231F20"/>
            </w:tcBorders>
          </w:tcPr>
          <w:p w14:paraId="420BB44A"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56105B17" w14:textId="77777777" w:rsidR="009948F1" w:rsidRDefault="009948F1">
            <w:pPr>
              <w:pStyle w:val="TableParagraph"/>
              <w:rPr>
                <w:sz w:val="12"/>
              </w:rPr>
            </w:pPr>
          </w:p>
          <w:p w14:paraId="4C8363E3" w14:textId="77777777" w:rsidR="009948F1" w:rsidRDefault="00BC0563">
            <w:pPr>
              <w:pStyle w:val="TableParagraph"/>
              <w:spacing w:before="76"/>
              <w:ind w:left="63" w:right="42"/>
              <w:jc w:val="center"/>
              <w:rPr>
                <w:sz w:val="13"/>
              </w:rPr>
            </w:pPr>
            <w:r>
              <w:rPr>
                <w:color w:val="231F20"/>
                <w:sz w:val="13"/>
              </w:rPr>
              <w:t>4.6.4.b</w:t>
            </w:r>
          </w:p>
        </w:tc>
        <w:tc>
          <w:tcPr>
            <w:tcW w:w="5191" w:type="dxa"/>
            <w:gridSpan w:val="2"/>
            <w:tcBorders>
              <w:top w:val="single" w:sz="6" w:space="0" w:color="231F20"/>
              <w:left w:val="single" w:sz="6" w:space="0" w:color="231F20"/>
              <w:bottom w:val="single" w:sz="6" w:space="0" w:color="231F20"/>
              <w:right w:val="single" w:sz="6" w:space="0" w:color="231F20"/>
            </w:tcBorders>
          </w:tcPr>
          <w:p w14:paraId="679BCFD5" w14:textId="77777777" w:rsidR="009948F1" w:rsidRDefault="009948F1">
            <w:pPr>
              <w:pStyle w:val="TableParagraph"/>
              <w:rPr>
                <w:sz w:val="11"/>
              </w:rPr>
            </w:pPr>
          </w:p>
          <w:p w14:paraId="5F810C72" w14:textId="77777777" w:rsidR="009948F1" w:rsidRDefault="00BC0563">
            <w:pPr>
              <w:pStyle w:val="TableParagraph"/>
              <w:spacing w:line="261" w:lineRule="auto"/>
              <w:ind w:left="26" w:right="153"/>
              <w:rPr>
                <w:sz w:val="13"/>
              </w:rPr>
            </w:pPr>
            <w:r>
              <w:rPr>
                <w:color w:val="231F20"/>
                <w:sz w:val="13"/>
              </w:rPr>
              <w:t>Provide</w:t>
            </w:r>
            <w:r>
              <w:rPr>
                <w:color w:val="231F20"/>
                <w:spacing w:val="-13"/>
                <w:sz w:val="13"/>
              </w:rPr>
              <w:t xml:space="preserve"> </w:t>
            </w:r>
            <w:r>
              <w:rPr>
                <w:color w:val="231F20"/>
                <w:sz w:val="13"/>
              </w:rPr>
              <w:t>biannual</w:t>
            </w:r>
            <w:r>
              <w:rPr>
                <w:color w:val="231F20"/>
                <w:spacing w:val="-13"/>
                <w:sz w:val="13"/>
              </w:rPr>
              <w:t xml:space="preserve"> </w:t>
            </w:r>
            <w:r>
              <w:rPr>
                <w:color w:val="231F20"/>
                <w:sz w:val="13"/>
              </w:rPr>
              <w:t>doses</w:t>
            </w:r>
            <w:r>
              <w:rPr>
                <w:color w:val="231F20"/>
                <w:spacing w:val="-13"/>
                <w:sz w:val="13"/>
              </w:rPr>
              <w:t xml:space="preserve"> </w:t>
            </w:r>
            <w:r>
              <w:rPr>
                <w:color w:val="231F20"/>
                <w:sz w:val="13"/>
              </w:rPr>
              <w:t>of</w:t>
            </w:r>
            <w:r>
              <w:rPr>
                <w:color w:val="231F20"/>
                <w:spacing w:val="-13"/>
                <w:sz w:val="13"/>
              </w:rPr>
              <w:t xml:space="preserve"> </w:t>
            </w:r>
            <w:r>
              <w:rPr>
                <w:color w:val="231F20"/>
                <w:sz w:val="13"/>
              </w:rPr>
              <w:t>Vitamin</w:t>
            </w:r>
            <w:r>
              <w:rPr>
                <w:color w:val="231F20"/>
                <w:spacing w:val="-18"/>
                <w:sz w:val="13"/>
              </w:rPr>
              <w:t xml:space="preserve"> </w:t>
            </w:r>
            <w:r>
              <w:rPr>
                <w:color w:val="231F20"/>
                <w:sz w:val="13"/>
              </w:rPr>
              <w:t>A</w:t>
            </w:r>
            <w:r>
              <w:rPr>
                <w:color w:val="231F20"/>
                <w:spacing w:val="-17"/>
                <w:sz w:val="13"/>
              </w:rPr>
              <w:t xml:space="preserve"> </w:t>
            </w:r>
            <w:r>
              <w:rPr>
                <w:color w:val="231F20"/>
                <w:sz w:val="13"/>
              </w:rPr>
              <w:t>for</w:t>
            </w:r>
            <w:r>
              <w:rPr>
                <w:color w:val="231F20"/>
                <w:spacing w:val="-13"/>
                <w:sz w:val="13"/>
              </w:rPr>
              <w:t xml:space="preserve"> </w:t>
            </w:r>
            <w:r>
              <w:rPr>
                <w:color w:val="231F20"/>
                <w:sz w:val="13"/>
              </w:rPr>
              <w:t>children</w:t>
            </w:r>
            <w:r>
              <w:rPr>
                <w:color w:val="231F20"/>
                <w:spacing w:val="-13"/>
                <w:sz w:val="13"/>
              </w:rPr>
              <w:t xml:space="preserve"> </w:t>
            </w:r>
            <w:r>
              <w:rPr>
                <w:color w:val="231F20"/>
                <w:sz w:val="13"/>
              </w:rPr>
              <w:t>aged</w:t>
            </w:r>
            <w:r>
              <w:rPr>
                <w:color w:val="231F20"/>
                <w:spacing w:val="-13"/>
                <w:sz w:val="13"/>
              </w:rPr>
              <w:t xml:space="preserve"> </w:t>
            </w:r>
            <w:r>
              <w:rPr>
                <w:color w:val="231F20"/>
                <w:sz w:val="13"/>
              </w:rPr>
              <w:t>6</w:t>
            </w:r>
            <w:r>
              <w:rPr>
                <w:color w:val="231F20"/>
                <w:spacing w:val="-13"/>
                <w:sz w:val="13"/>
              </w:rPr>
              <w:t xml:space="preserve"> </w:t>
            </w:r>
            <w:r>
              <w:rPr>
                <w:color w:val="231F20"/>
                <w:sz w:val="13"/>
              </w:rPr>
              <w:t>-</w:t>
            </w:r>
            <w:r>
              <w:rPr>
                <w:color w:val="231F20"/>
                <w:spacing w:val="-13"/>
                <w:sz w:val="13"/>
              </w:rPr>
              <w:t xml:space="preserve"> </w:t>
            </w:r>
            <w:r>
              <w:rPr>
                <w:color w:val="231F20"/>
                <w:sz w:val="13"/>
              </w:rPr>
              <w:t>59</w:t>
            </w:r>
            <w:r>
              <w:rPr>
                <w:color w:val="231F20"/>
                <w:spacing w:val="-13"/>
                <w:sz w:val="13"/>
              </w:rPr>
              <w:t xml:space="preserve"> </w:t>
            </w:r>
            <w:r>
              <w:rPr>
                <w:color w:val="231F20"/>
                <w:sz w:val="13"/>
              </w:rPr>
              <w:t>months,</w:t>
            </w:r>
            <w:r>
              <w:rPr>
                <w:color w:val="231F20"/>
                <w:spacing w:val="-13"/>
                <w:sz w:val="13"/>
              </w:rPr>
              <w:t xml:space="preserve"> </w:t>
            </w:r>
            <w:r>
              <w:rPr>
                <w:color w:val="231F20"/>
                <w:sz w:val="13"/>
              </w:rPr>
              <w:t>integrate</w:t>
            </w:r>
            <w:r>
              <w:rPr>
                <w:color w:val="231F20"/>
                <w:spacing w:val="-12"/>
                <w:sz w:val="13"/>
              </w:rPr>
              <w:t xml:space="preserve"> </w:t>
            </w:r>
            <w:r>
              <w:rPr>
                <w:color w:val="231F20"/>
                <w:sz w:val="13"/>
              </w:rPr>
              <w:t>distribution with measles campaign, RI and in</w:t>
            </w:r>
            <w:r>
              <w:rPr>
                <w:color w:val="231F20"/>
                <w:spacing w:val="-17"/>
                <w:sz w:val="13"/>
              </w:rPr>
              <w:t xml:space="preserve"> </w:t>
            </w:r>
            <w:r>
              <w:rPr>
                <w:color w:val="231F20"/>
                <w:sz w:val="13"/>
              </w:rPr>
              <w:t>CWC</w:t>
            </w:r>
          </w:p>
        </w:tc>
        <w:tc>
          <w:tcPr>
            <w:tcW w:w="1514" w:type="dxa"/>
            <w:tcBorders>
              <w:top w:val="single" w:sz="6" w:space="0" w:color="231F20"/>
              <w:left w:val="single" w:sz="6" w:space="0" w:color="231F20"/>
              <w:bottom w:val="single" w:sz="6" w:space="0" w:color="231F20"/>
              <w:right w:val="single" w:sz="6" w:space="0" w:color="231F20"/>
            </w:tcBorders>
          </w:tcPr>
          <w:p w14:paraId="74C76B18" w14:textId="77777777" w:rsidR="009948F1" w:rsidRDefault="009948F1">
            <w:pPr>
              <w:pStyle w:val="TableParagraph"/>
              <w:rPr>
                <w:sz w:val="12"/>
              </w:rPr>
            </w:pPr>
          </w:p>
          <w:p w14:paraId="21647753" w14:textId="77777777" w:rsidR="009948F1" w:rsidRDefault="00BC0563">
            <w:pPr>
              <w:pStyle w:val="TableParagraph"/>
              <w:spacing w:before="76"/>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26426B85" w14:textId="77777777" w:rsidR="009948F1" w:rsidRDefault="009948F1">
            <w:pPr>
              <w:pStyle w:val="TableParagraph"/>
              <w:rPr>
                <w:sz w:val="12"/>
              </w:rPr>
            </w:pPr>
          </w:p>
          <w:p w14:paraId="5D2381EA" w14:textId="77777777" w:rsidR="009948F1" w:rsidRDefault="00BC0563">
            <w:pPr>
              <w:pStyle w:val="TableParagraph"/>
              <w:spacing w:before="76"/>
              <w:ind w:left="26"/>
              <w:rPr>
                <w:sz w:val="13"/>
              </w:rPr>
            </w:pPr>
            <w:r>
              <w:rPr>
                <w:color w:val="231F20"/>
                <w:sz w:val="13"/>
              </w:rPr>
              <w:t>Costed in OHT</w:t>
            </w:r>
          </w:p>
        </w:tc>
      </w:tr>
      <w:tr w:rsidR="009948F1" w14:paraId="28559EB9" w14:textId="77777777">
        <w:trPr>
          <w:trHeight w:val="576"/>
        </w:trPr>
        <w:tc>
          <w:tcPr>
            <w:tcW w:w="486" w:type="dxa"/>
            <w:vMerge/>
            <w:tcBorders>
              <w:top w:val="nil"/>
              <w:bottom w:val="single" w:sz="6" w:space="0" w:color="231F20"/>
              <w:right w:val="single" w:sz="6" w:space="0" w:color="231F20"/>
            </w:tcBorders>
          </w:tcPr>
          <w:p w14:paraId="315FBF9F"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41470A9B" w14:textId="77777777" w:rsidR="009948F1" w:rsidRDefault="009948F1">
            <w:pPr>
              <w:pStyle w:val="TableParagraph"/>
              <w:rPr>
                <w:sz w:val="12"/>
              </w:rPr>
            </w:pPr>
          </w:p>
          <w:p w14:paraId="5D6EBFF6" w14:textId="77777777" w:rsidR="009948F1" w:rsidRDefault="00BC0563">
            <w:pPr>
              <w:pStyle w:val="TableParagraph"/>
              <w:spacing w:before="76"/>
              <w:ind w:left="63" w:right="42"/>
              <w:jc w:val="center"/>
              <w:rPr>
                <w:sz w:val="13"/>
              </w:rPr>
            </w:pPr>
            <w:r>
              <w:rPr>
                <w:color w:val="231F20"/>
                <w:sz w:val="13"/>
              </w:rPr>
              <w:t>4.6.4.c</w:t>
            </w:r>
          </w:p>
        </w:tc>
        <w:tc>
          <w:tcPr>
            <w:tcW w:w="5191" w:type="dxa"/>
            <w:gridSpan w:val="2"/>
            <w:tcBorders>
              <w:top w:val="single" w:sz="6" w:space="0" w:color="231F20"/>
              <w:left w:val="single" w:sz="6" w:space="0" w:color="231F20"/>
              <w:bottom w:val="single" w:sz="6" w:space="0" w:color="231F20"/>
              <w:right w:val="single" w:sz="6" w:space="0" w:color="231F20"/>
            </w:tcBorders>
          </w:tcPr>
          <w:p w14:paraId="7CC73088" w14:textId="77777777" w:rsidR="009948F1" w:rsidRDefault="009948F1">
            <w:pPr>
              <w:pStyle w:val="TableParagraph"/>
              <w:rPr>
                <w:sz w:val="11"/>
              </w:rPr>
            </w:pPr>
          </w:p>
          <w:p w14:paraId="009DCE64" w14:textId="77777777" w:rsidR="009948F1" w:rsidRDefault="00BC0563">
            <w:pPr>
              <w:pStyle w:val="TableParagraph"/>
              <w:spacing w:line="261" w:lineRule="auto"/>
              <w:ind w:left="26" w:right="79"/>
              <w:rPr>
                <w:sz w:val="13"/>
              </w:rPr>
            </w:pPr>
            <w:r>
              <w:rPr>
                <w:color w:val="231F20"/>
                <w:sz w:val="13"/>
              </w:rPr>
              <w:t>Provide</w:t>
            </w:r>
            <w:r>
              <w:rPr>
                <w:color w:val="231F20"/>
                <w:spacing w:val="-16"/>
                <w:sz w:val="13"/>
              </w:rPr>
              <w:t xml:space="preserve"> </w:t>
            </w:r>
            <w:r>
              <w:rPr>
                <w:color w:val="231F20"/>
                <w:sz w:val="13"/>
              </w:rPr>
              <w:t>Zinc</w:t>
            </w:r>
            <w:r>
              <w:rPr>
                <w:color w:val="231F20"/>
                <w:spacing w:val="-16"/>
                <w:sz w:val="13"/>
              </w:rPr>
              <w:t xml:space="preserve"> </w:t>
            </w:r>
            <w:r>
              <w:rPr>
                <w:color w:val="231F20"/>
                <w:sz w:val="13"/>
              </w:rPr>
              <w:t>supplements</w:t>
            </w:r>
            <w:r>
              <w:rPr>
                <w:color w:val="231F20"/>
                <w:spacing w:val="-16"/>
                <w:sz w:val="13"/>
              </w:rPr>
              <w:t xml:space="preserve"> </w:t>
            </w:r>
            <w:r>
              <w:rPr>
                <w:color w:val="231F20"/>
                <w:sz w:val="13"/>
              </w:rPr>
              <w:t>as</w:t>
            </w:r>
            <w:r>
              <w:rPr>
                <w:color w:val="231F20"/>
                <w:spacing w:val="-15"/>
                <w:sz w:val="13"/>
              </w:rPr>
              <w:t xml:space="preserve"> </w:t>
            </w:r>
            <w:r>
              <w:rPr>
                <w:color w:val="231F20"/>
                <w:sz w:val="13"/>
              </w:rPr>
              <w:t>routine</w:t>
            </w:r>
            <w:r>
              <w:rPr>
                <w:color w:val="231F20"/>
                <w:spacing w:val="-16"/>
                <w:sz w:val="13"/>
              </w:rPr>
              <w:t xml:space="preserve"> </w:t>
            </w:r>
            <w:r>
              <w:rPr>
                <w:color w:val="231F20"/>
                <w:sz w:val="13"/>
              </w:rPr>
              <w:t>constituent</w:t>
            </w:r>
            <w:r>
              <w:rPr>
                <w:color w:val="231F20"/>
                <w:spacing w:val="-16"/>
                <w:sz w:val="13"/>
              </w:rPr>
              <w:t xml:space="preserve"> </w:t>
            </w:r>
            <w:r>
              <w:rPr>
                <w:color w:val="231F20"/>
                <w:sz w:val="13"/>
              </w:rPr>
              <w:t>of</w:t>
            </w:r>
            <w:r>
              <w:rPr>
                <w:color w:val="231F20"/>
                <w:spacing w:val="-16"/>
                <w:sz w:val="13"/>
              </w:rPr>
              <w:t xml:space="preserve"> </w:t>
            </w:r>
            <w:r>
              <w:rPr>
                <w:color w:val="231F20"/>
                <w:sz w:val="13"/>
              </w:rPr>
              <w:t>diarrhea</w:t>
            </w:r>
            <w:r>
              <w:rPr>
                <w:color w:val="231F20"/>
                <w:spacing w:val="-15"/>
                <w:sz w:val="13"/>
              </w:rPr>
              <w:t xml:space="preserve"> </w:t>
            </w:r>
            <w:r>
              <w:rPr>
                <w:color w:val="231F20"/>
                <w:sz w:val="13"/>
              </w:rPr>
              <w:t>management</w:t>
            </w:r>
            <w:r>
              <w:rPr>
                <w:color w:val="231F20"/>
                <w:spacing w:val="-16"/>
                <w:sz w:val="13"/>
              </w:rPr>
              <w:t xml:space="preserve"> </w:t>
            </w:r>
            <w:r>
              <w:rPr>
                <w:color w:val="231F20"/>
                <w:sz w:val="13"/>
              </w:rPr>
              <w:t>for</w:t>
            </w:r>
            <w:r>
              <w:rPr>
                <w:color w:val="231F20"/>
                <w:spacing w:val="-16"/>
                <w:sz w:val="13"/>
              </w:rPr>
              <w:t xml:space="preserve"> </w:t>
            </w:r>
            <w:r>
              <w:rPr>
                <w:color w:val="231F20"/>
                <w:sz w:val="13"/>
              </w:rPr>
              <w:t>children</w:t>
            </w:r>
            <w:r>
              <w:rPr>
                <w:color w:val="231F20"/>
                <w:spacing w:val="-16"/>
                <w:sz w:val="13"/>
              </w:rPr>
              <w:t xml:space="preserve"> </w:t>
            </w:r>
            <w:r>
              <w:rPr>
                <w:color w:val="231F20"/>
                <w:sz w:val="13"/>
              </w:rPr>
              <w:t>aged 6 - 59</w:t>
            </w:r>
            <w:r>
              <w:rPr>
                <w:color w:val="231F20"/>
                <w:spacing w:val="-7"/>
                <w:sz w:val="13"/>
              </w:rPr>
              <w:t xml:space="preserve"> </w:t>
            </w:r>
            <w:r>
              <w:rPr>
                <w:color w:val="231F20"/>
                <w:sz w:val="13"/>
              </w:rPr>
              <w:t>months</w:t>
            </w:r>
          </w:p>
        </w:tc>
        <w:tc>
          <w:tcPr>
            <w:tcW w:w="1514" w:type="dxa"/>
            <w:tcBorders>
              <w:top w:val="single" w:sz="6" w:space="0" w:color="231F20"/>
              <w:left w:val="single" w:sz="6" w:space="0" w:color="231F20"/>
              <w:bottom w:val="single" w:sz="6" w:space="0" w:color="231F20"/>
              <w:right w:val="single" w:sz="6" w:space="0" w:color="231F20"/>
            </w:tcBorders>
          </w:tcPr>
          <w:p w14:paraId="410384E8" w14:textId="77777777" w:rsidR="009948F1" w:rsidRDefault="009948F1">
            <w:pPr>
              <w:pStyle w:val="TableParagraph"/>
              <w:rPr>
                <w:sz w:val="12"/>
              </w:rPr>
            </w:pPr>
          </w:p>
          <w:p w14:paraId="3F0E8310" w14:textId="77777777" w:rsidR="009948F1" w:rsidRDefault="00BC0563">
            <w:pPr>
              <w:pStyle w:val="TableParagraph"/>
              <w:spacing w:before="76"/>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2AC6C665" w14:textId="77777777" w:rsidR="009948F1" w:rsidRDefault="009948F1">
            <w:pPr>
              <w:pStyle w:val="TableParagraph"/>
              <w:rPr>
                <w:sz w:val="12"/>
              </w:rPr>
            </w:pPr>
          </w:p>
          <w:p w14:paraId="26B5D268" w14:textId="77777777" w:rsidR="009948F1" w:rsidRDefault="00BC0563">
            <w:pPr>
              <w:pStyle w:val="TableParagraph"/>
              <w:spacing w:before="76"/>
              <w:ind w:left="26"/>
              <w:rPr>
                <w:sz w:val="13"/>
              </w:rPr>
            </w:pPr>
            <w:r>
              <w:rPr>
                <w:color w:val="231F20"/>
                <w:sz w:val="13"/>
              </w:rPr>
              <w:t>No cost</w:t>
            </w:r>
          </w:p>
        </w:tc>
      </w:tr>
      <w:tr w:rsidR="009948F1" w14:paraId="2BC60757" w14:textId="77777777">
        <w:trPr>
          <w:trHeight w:val="368"/>
        </w:trPr>
        <w:tc>
          <w:tcPr>
            <w:tcW w:w="486" w:type="dxa"/>
            <w:vMerge/>
            <w:tcBorders>
              <w:top w:val="nil"/>
              <w:bottom w:val="single" w:sz="6" w:space="0" w:color="231F20"/>
              <w:right w:val="single" w:sz="6" w:space="0" w:color="231F20"/>
            </w:tcBorders>
          </w:tcPr>
          <w:p w14:paraId="77B6E8DC"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3F102EF7" w14:textId="77777777" w:rsidR="009948F1" w:rsidRDefault="009948F1">
            <w:pPr>
              <w:pStyle w:val="TableParagraph"/>
              <w:spacing w:before="6"/>
              <w:rPr>
                <w:sz w:val="9"/>
              </w:rPr>
            </w:pPr>
          </w:p>
          <w:p w14:paraId="6AE69B0F" w14:textId="77777777" w:rsidR="009948F1" w:rsidRDefault="00BC0563">
            <w:pPr>
              <w:pStyle w:val="TableParagraph"/>
              <w:ind w:left="63" w:right="42"/>
              <w:jc w:val="center"/>
              <w:rPr>
                <w:sz w:val="13"/>
              </w:rPr>
            </w:pPr>
            <w:r>
              <w:rPr>
                <w:color w:val="231F20"/>
                <w:sz w:val="13"/>
              </w:rPr>
              <w:t>4.6.4.d</w:t>
            </w:r>
          </w:p>
        </w:tc>
        <w:tc>
          <w:tcPr>
            <w:tcW w:w="5191" w:type="dxa"/>
            <w:gridSpan w:val="2"/>
            <w:tcBorders>
              <w:top w:val="single" w:sz="6" w:space="0" w:color="231F20"/>
              <w:left w:val="single" w:sz="6" w:space="0" w:color="231F20"/>
              <w:bottom w:val="single" w:sz="6" w:space="0" w:color="231F20"/>
              <w:right w:val="single" w:sz="12" w:space="0" w:color="231F20"/>
            </w:tcBorders>
          </w:tcPr>
          <w:p w14:paraId="2BD78CC8" w14:textId="77777777" w:rsidR="009948F1" w:rsidRDefault="00BC0563">
            <w:pPr>
              <w:pStyle w:val="TableParagraph"/>
              <w:spacing w:line="123" w:lineRule="exact"/>
              <w:ind w:left="26"/>
              <w:rPr>
                <w:sz w:val="13"/>
              </w:rPr>
            </w:pPr>
            <w:r>
              <w:rPr>
                <w:color w:val="231F20"/>
                <w:sz w:val="13"/>
              </w:rPr>
              <w:t>Conduct</w:t>
            </w:r>
            <w:r>
              <w:rPr>
                <w:color w:val="231F20"/>
                <w:spacing w:val="-16"/>
                <w:sz w:val="13"/>
              </w:rPr>
              <w:t xml:space="preserve"> </w:t>
            </w:r>
            <w:r>
              <w:rPr>
                <w:color w:val="231F20"/>
                <w:sz w:val="13"/>
              </w:rPr>
              <w:t>demonstration</w:t>
            </w:r>
            <w:r>
              <w:rPr>
                <w:color w:val="231F20"/>
                <w:spacing w:val="-16"/>
                <w:sz w:val="13"/>
              </w:rPr>
              <w:t xml:space="preserve"> </w:t>
            </w:r>
            <w:r>
              <w:rPr>
                <w:color w:val="231F20"/>
                <w:sz w:val="13"/>
              </w:rPr>
              <w:t>of</w:t>
            </w:r>
            <w:r>
              <w:rPr>
                <w:color w:val="231F20"/>
                <w:spacing w:val="-15"/>
                <w:sz w:val="13"/>
              </w:rPr>
              <w:t xml:space="preserve"> </w:t>
            </w:r>
            <w:r>
              <w:rPr>
                <w:color w:val="231F20"/>
                <w:sz w:val="13"/>
              </w:rPr>
              <w:t>the</w:t>
            </w:r>
            <w:r>
              <w:rPr>
                <w:color w:val="231F20"/>
                <w:spacing w:val="-16"/>
                <w:sz w:val="13"/>
              </w:rPr>
              <w:t xml:space="preserve"> </w:t>
            </w:r>
            <w:r>
              <w:rPr>
                <w:color w:val="231F20"/>
                <w:sz w:val="13"/>
              </w:rPr>
              <w:t>use</w:t>
            </w:r>
            <w:r>
              <w:rPr>
                <w:color w:val="231F20"/>
                <w:spacing w:val="-15"/>
                <w:sz w:val="13"/>
              </w:rPr>
              <w:t xml:space="preserve"> </w:t>
            </w:r>
            <w:r>
              <w:rPr>
                <w:color w:val="231F20"/>
                <w:sz w:val="13"/>
              </w:rPr>
              <w:t>of</w:t>
            </w:r>
            <w:r>
              <w:rPr>
                <w:color w:val="231F20"/>
                <w:spacing w:val="-16"/>
                <w:sz w:val="13"/>
              </w:rPr>
              <w:t xml:space="preserve"> </w:t>
            </w:r>
            <w:r>
              <w:rPr>
                <w:color w:val="231F20"/>
                <w:sz w:val="13"/>
              </w:rPr>
              <w:t>micronutrients</w:t>
            </w:r>
            <w:r>
              <w:rPr>
                <w:color w:val="231F20"/>
                <w:spacing w:val="-15"/>
                <w:sz w:val="13"/>
              </w:rPr>
              <w:t xml:space="preserve"> </w:t>
            </w:r>
            <w:r>
              <w:rPr>
                <w:color w:val="231F20"/>
                <w:sz w:val="13"/>
              </w:rPr>
              <w:t>powders</w:t>
            </w:r>
            <w:r>
              <w:rPr>
                <w:color w:val="231F20"/>
                <w:spacing w:val="-16"/>
                <w:sz w:val="13"/>
              </w:rPr>
              <w:t xml:space="preserve"> </w:t>
            </w:r>
            <w:r>
              <w:rPr>
                <w:color w:val="231F20"/>
                <w:sz w:val="13"/>
              </w:rPr>
              <w:t>for</w:t>
            </w:r>
            <w:r>
              <w:rPr>
                <w:color w:val="231F20"/>
                <w:spacing w:val="-15"/>
                <w:sz w:val="13"/>
              </w:rPr>
              <w:t xml:space="preserve"> </w:t>
            </w:r>
            <w:r>
              <w:rPr>
                <w:color w:val="231F20"/>
                <w:sz w:val="13"/>
              </w:rPr>
              <w:t>in-home</w:t>
            </w:r>
            <w:r>
              <w:rPr>
                <w:color w:val="231F20"/>
                <w:spacing w:val="-16"/>
                <w:sz w:val="13"/>
              </w:rPr>
              <w:t xml:space="preserve"> </w:t>
            </w:r>
            <w:r>
              <w:rPr>
                <w:color w:val="231F20"/>
                <w:sz w:val="13"/>
              </w:rPr>
              <w:t>fortification</w:t>
            </w:r>
            <w:r>
              <w:rPr>
                <w:color w:val="231F20"/>
                <w:spacing w:val="-15"/>
                <w:sz w:val="13"/>
              </w:rPr>
              <w:t xml:space="preserve"> </w:t>
            </w:r>
            <w:r>
              <w:rPr>
                <w:color w:val="231F20"/>
                <w:sz w:val="13"/>
              </w:rPr>
              <w:t>of</w:t>
            </w:r>
          </w:p>
          <w:p w14:paraId="074091BA" w14:textId="77777777" w:rsidR="009948F1" w:rsidRDefault="00BC0563">
            <w:pPr>
              <w:pStyle w:val="TableParagraph"/>
              <w:spacing w:line="130" w:lineRule="exact"/>
              <w:ind w:left="26"/>
              <w:rPr>
                <w:sz w:val="13"/>
              </w:rPr>
            </w:pPr>
            <w:r>
              <w:rPr>
                <w:color w:val="231F20"/>
                <w:sz w:val="13"/>
              </w:rPr>
              <w:t>complimentary</w:t>
            </w:r>
            <w:r>
              <w:rPr>
                <w:color w:val="231F20"/>
                <w:spacing w:val="-13"/>
                <w:sz w:val="13"/>
              </w:rPr>
              <w:t xml:space="preserve"> </w:t>
            </w:r>
            <w:r>
              <w:rPr>
                <w:color w:val="231F20"/>
                <w:sz w:val="13"/>
              </w:rPr>
              <w:t>foods</w:t>
            </w:r>
            <w:r>
              <w:rPr>
                <w:color w:val="231F20"/>
                <w:spacing w:val="-12"/>
                <w:sz w:val="13"/>
              </w:rPr>
              <w:t xml:space="preserve"> </w:t>
            </w:r>
            <w:r>
              <w:rPr>
                <w:color w:val="231F20"/>
                <w:sz w:val="13"/>
              </w:rPr>
              <w:t>to</w:t>
            </w:r>
            <w:r>
              <w:rPr>
                <w:color w:val="231F20"/>
                <w:spacing w:val="-13"/>
                <w:sz w:val="13"/>
              </w:rPr>
              <w:t xml:space="preserve"> </w:t>
            </w:r>
            <w:r>
              <w:rPr>
                <w:color w:val="231F20"/>
                <w:sz w:val="13"/>
              </w:rPr>
              <w:t>parents</w:t>
            </w:r>
            <w:r>
              <w:rPr>
                <w:color w:val="231F20"/>
                <w:spacing w:val="-12"/>
                <w:sz w:val="13"/>
              </w:rPr>
              <w:t xml:space="preserve"> </w:t>
            </w:r>
            <w:r>
              <w:rPr>
                <w:color w:val="231F20"/>
                <w:sz w:val="13"/>
              </w:rPr>
              <w:t>of</w:t>
            </w:r>
            <w:r>
              <w:rPr>
                <w:color w:val="231F20"/>
                <w:spacing w:val="-12"/>
                <w:sz w:val="13"/>
              </w:rPr>
              <w:t xml:space="preserve"> </w:t>
            </w:r>
            <w:r>
              <w:rPr>
                <w:color w:val="231F20"/>
                <w:sz w:val="13"/>
              </w:rPr>
              <w:t>infants</w:t>
            </w:r>
            <w:r>
              <w:rPr>
                <w:color w:val="231F20"/>
                <w:spacing w:val="-13"/>
                <w:sz w:val="13"/>
              </w:rPr>
              <w:t xml:space="preserve"> </w:t>
            </w:r>
            <w:r>
              <w:rPr>
                <w:color w:val="231F20"/>
                <w:sz w:val="13"/>
              </w:rPr>
              <w:t>&amp;</w:t>
            </w:r>
            <w:r>
              <w:rPr>
                <w:color w:val="231F20"/>
                <w:spacing w:val="-12"/>
                <w:sz w:val="13"/>
              </w:rPr>
              <w:t xml:space="preserve"> </w:t>
            </w:r>
            <w:r>
              <w:rPr>
                <w:color w:val="231F20"/>
                <w:sz w:val="13"/>
              </w:rPr>
              <w:t>children</w:t>
            </w:r>
            <w:r>
              <w:rPr>
                <w:color w:val="231F20"/>
                <w:spacing w:val="-12"/>
                <w:sz w:val="13"/>
              </w:rPr>
              <w:t xml:space="preserve"> </w:t>
            </w:r>
            <w:r>
              <w:rPr>
                <w:color w:val="231F20"/>
                <w:sz w:val="13"/>
              </w:rPr>
              <w:t>of</w:t>
            </w:r>
            <w:r>
              <w:rPr>
                <w:color w:val="231F20"/>
                <w:spacing w:val="-13"/>
                <w:sz w:val="13"/>
              </w:rPr>
              <w:t xml:space="preserve"> </w:t>
            </w:r>
            <w:r>
              <w:rPr>
                <w:color w:val="231F20"/>
                <w:sz w:val="13"/>
              </w:rPr>
              <w:t>6-23months</w:t>
            </w:r>
            <w:r>
              <w:rPr>
                <w:color w:val="231F20"/>
                <w:spacing w:val="-12"/>
                <w:sz w:val="13"/>
              </w:rPr>
              <w:t xml:space="preserve"> </w:t>
            </w:r>
            <w:r>
              <w:rPr>
                <w:color w:val="231F20"/>
                <w:sz w:val="13"/>
              </w:rPr>
              <w:t>of</w:t>
            </w:r>
            <w:r>
              <w:rPr>
                <w:color w:val="231F20"/>
                <w:spacing w:val="-13"/>
                <w:sz w:val="13"/>
              </w:rPr>
              <w:t xml:space="preserve"> </w:t>
            </w:r>
            <w:r>
              <w:rPr>
                <w:color w:val="231F20"/>
                <w:sz w:val="13"/>
              </w:rPr>
              <w:t>age</w:t>
            </w:r>
            <w:r>
              <w:rPr>
                <w:color w:val="231F20"/>
                <w:spacing w:val="-12"/>
                <w:sz w:val="13"/>
              </w:rPr>
              <w:t xml:space="preserve"> </w:t>
            </w:r>
            <w:r>
              <w:rPr>
                <w:color w:val="231F20"/>
                <w:sz w:val="13"/>
              </w:rPr>
              <w:t>at</w:t>
            </w:r>
            <w:r>
              <w:rPr>
                <w:color w:val="231F20"/>
                <w:spacing w:val="-12"/>
                <w:sz w:val="13"/>
              </w:rPr>
              <w:t xml:space="preserve"> </w:t>
            </w:r>
            <w:r>
              <w:rPr>
                <w:color w:val="231F20"/>
                <w:sz w:val="13"/>
              </w:rPr>
              <w:t>the</w:t>
            </w:r>
            <w:r>
              <w:rPr>
                <w:color w:val="231F20"/>
                <w:spacing w:val="-13"/>
                <w:sz w:val="13"/>
              </w:rPr>
              <w:t xml:space="preserve"> </w:t>
            </w:r>
            <w:r>
              <w:rPr>
                <w:color w:val="231F20"/>
                <w:sz w:val="13"/>
              </w:rPr>
              <w:t>health</w:t>
            </w:r>
          </w:p>
          <w:p w14:paraId="53234178" w14:textId="77777777" w:rsidR="009948F1" w:rsidRDefault="00BC0563">
            <w:pPr>
              <w:pStyle w:val="TableParagraph"/>
              <w:spacing w:line="95" w:lineRule="exact"/>
              <w:ind w:left="26"/>
              <w:rPr>
                <w:sz w:val="13"/>
              </w:rPr>
            </w:pPr>
            <w:r>
              <w:rPr>
                <w:color w:val="231F20"/>
                <w:sz w:val="13"/>
              </w:rPr>
              <w:t>facilities routinely</w:t>
            </w:r>
          </w:p>
        </w:tc>
        <w:tc>
          <w:tcPr>
            <w:tcW w:w="1514" w:type="dxa"/>
            <w:tcBorders>
              <w:top w:val="single" w:sz="6" w:space="0" w:color="231F20"/>
              <w:left w:val="single" w:sz="12" w:space="0" w:color="231F20"/>
              <w:bottom w:val="single" w:sz="6" w:space="0" w:color="231F20"/>
              <w:right w:val="single" w:sz="6" w:space="0" w:color="231F20"/>
            </w:tcBorders>
          </w:tcPr>
          <w:p w14:paraId="0A937B94" w14:textId="77777777" w:rsidR="009948F1" w:rsidRDefault="009948F1">
            <w:pPr>
              <w:pStyle w:val="TableParagraph"/>
              <w:spacing w:before="6"/>
              <w:rPr>
                <w:sz w:val="9"/>
              </w:rPr>
            </w:pPr>
          </w:p>
          <w:p w14:paraId="56F88E38" w14:textId="77777777" w:rsidR="009948F1" w:rsidRDefault="00BC0563">
            <w:pPr>
              <w:pStyle w:val="TableParagraph"/>
              <w:ind w:left="19"/>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1874CFB1" w14:textId="77777777" w:rsidR="009948F1" w:rsidRDefault="009948F1">
            <w:pPr>
              <w:pStyle w:val="TableParagraph"/>
              <w:spacing w:before="6"/>
              <w:rPr>
                <w:sz w:val="9"/>
              </w:rPr>
            </w:pPr>
          </w:p>
          <w:p w14:paraId="54506881" w14:textId="77777777" w:rsidR="009948F1" w:rsidRDefault="00BC0563">
            <w:pPr>
              <w:pStyle w:val="TableParagraph"/>
              <w:ind w:left="26"/>
              <w:rPr>
                <w:sz w:val="13"/>
              </w:rPr>
            </w:pPr>
            <w:r>
              <w:rPr>
                <w:color w:val="231F20"/>
                <w:sz w:val="13"/>
              </w:rPr>
              <w:t>No cost</w:t>
            </w:r>
          </w:p>
        </w:tc>
      </w:tr>
      <w:tr w:rsidR="009948F1" w14:paraId="1F9DBCCA" w14:textId="77777777">
        <w:trPr>
          <w:trHeight w:val="1369"/>
        </w:trPr>
        <w:tc>
          <w:tcPr>
            <w:tcW w:w="486" w:type="dxa"/>
            <w:tcBorders>
              <w:top w:val="single" w:sz="6" w:space="0" w:color="231F20"/>
              <w:left w:val="single" w:sz="12" w:space="0" w:color="231F20"/>
              <w:bottom w:val="single" w:sz="6" w:space="0" w:color="231F20"/>
              <w:right w:val="single" w:sz="6" w:space="0" w:color="231F20"/>
            </w:tcBorders>
            <w:shd w:val="clear" w:color="auto" w:fill="CCE7D3"/>
          </w:tcPr>
          <w:p w14:paraId="67144C5A" w14:textId="77777777" w:rsidR="009948F1" w:rsidRDefault="009948F1">
            <w:pPr>
              <w:pStyle w:val="TableParagraph"/>
              <w:rPr>
                <w:sz w:val="12"/>
              </w:rPr>
            </w:pPr>
          </w:p>
          <w:p w14:paraId="10C1F7EF" w14:textId="77777777" w:rsidR="009948F1" w:rsidRDefault="009948F1">
            <w:pPr>
              <w:pStyle w:val="TableParagraph"/>
              <w:rPr>
                <w:sz w:val="12"/>
              </w:rPr>
            </w:pPr>
          </w:p>
          <w:p w14:paraId="7C513A20" w14:textId="77777777" w:rsidR="009948F1" w:rsidRDefault="009948F1">
            <w:pPr>
              <w:pStyle w:val="TableParagraph"/>
              <w:rPr>
                <w:sz w:val="12"/>
              </w:rPr>
            </w:pPr>
          </w:p>
          <w:p w14:paraId="532FE791" w14:textId="77777777" w:rsidR="009948F1" w:rsidRDefault="009948F1">
            <w:pPr>
              <w:pStyle w:val="TableParagraph"/>
              <w:rPr>
                <w:sz w:val="17"/>
              </w:rPr>
            </w:pPr>
          </w:p>
          <w:p w14:paraId="6FD38EF3" w14:textId="77777777" w:rsidR="009948F1" w:rsidRDefault="00BC0563">
            <w:pPr>
              <w:pStyle w:val="TableParagraph"/>
              <w:ind w:left="57"/>
              <w:rPr>
                <w:sz w:val="13"/>
              </w:rPr>
            </w:pPr>
            <w:r>
              <w:rPr>
                <w:color w:val="231F20"/>
                <w:sz w:val="13"/>
              </w:rPr>
              <w:t>4.6.5</w:t>
            </w:r>
          </w:p>
        </w:tc>
        <w:tc>
          <w:tcPr>
            <w:tcW w:w="3221" w:type="dxa"/>
            <w:gridSpan w:val="2"/>
            <w:tcBorders>
              <w:top w:val="single" w:sz="6" w:space="0" w:color="231F20"/>
              <w:left w:val="single" w:sz="6" w:space="0" w:color="231F20"/>
              <w:bottom w:val="single" w:sz="6" w:space="0" w:color="231F20"/>
              <w:right w:val="single" w:sz="6" w:space="0" w:color="231F20"/>
            </w:tcBorders>
            <w:shd w:val="clear" w:color="auto" w:fill="CCE7D3"/>
          </w:tcPr>
          <w:p w14:paraId="221FE1FC" w14:textId="77777777" w:rsidR="009948F1" w:rsidRDefault="009948F1">
            <w:pPr>
              <w:pStyle w:val="TableParagraph"/>
              <w:rPr>
                <w:sz w:val="12"/>
              </w:rPr>
            </w:pPr>
          </w:p>
          <w:p w14:paraId="3C2D54FE" w14:textId="77777777" w:rsidR="009948F1" w:rsidRDefault="009948F1">
            <w:pPr>
              <w:pStyle w:val="TableParagraph"/>
              <w:rPr>
                <w:sz w:val="12"/>
              </w:rPr>
            </w:pPr>
          </w:p>
          <w:p w14:paraId="322262F3" w14:textId="77777777" w:rsidR="009948F1" w:rsidRDefault="009948F1">
            <w:pPr>
              <w:pStyle w:val="TableParagraph"/>
              <w:rPr>
                <w:sz w:val="12"/>
              </w:rPr>
            </w:pPr>
          </w:p>
          <w:p w14:paraId="6C3AD379" w14:textId="77777777" w:rsidR="009948F1" w:rsidRDefault="009948F1">
            <w:pPr>
              <w:pStyle w:val="TableParagraph"/>
              <w:spacing w:before="6"/>
              <w:rPr>
                <w:sz w:val="9"/>
              </w:rPr>
            </w:pPr>
          </w:p>
          <w:p w14:paraId="27CFC8F0" w14:textId="77777777" w:rsidR="009948F1" w:rsidRDefault="00BC0563">
            <w:pPr>
              <w:pStyle w:val="TableParagraph"/>
              <w:spacing w:line="261" w:lineRule="auto"/>
              <w:ind w:left="26" w:right="653" w:firstLine="35"/>
              <w:rPr>
                <w:sz w:val="13"/>
              </w:rPr>
            </w:pPr>
            <w:r>
              <w:rPr>
                <w:color w:val="231F20"/>
                <w:sz w:val="13"/>
              </w:rPr>
              <w:t>Scale-up prevention, detection, control and management of acute malnutrition</w:t>
            </w:r>
          </w:p>
        </w:tc>
        <w:tc>
          <w:tcPr>
            <w:tcW w:w="2528" w:type="dxa"/>
            <w:tcBorders>
              <w:top w:val="single" w:sz="6" w:space="0" w:color="231F20"/>
              <w:left w:val="single" w:sz="6" w:space="0" w:color="231F20"/>
              <w:bottom w:val="single" w:sz="6" w:space="0" w:color="231F20"/>
              <w:right w:val="single" w:sz="6" w:space="0" w:color="231F20"/>
            </w:tcBorders>
            <w:shd w:val="clear" w:color="auto" w:fill="CCE7D3"/>
          </w:tcPr>
          <w:p w14:paraId="695C5BF4" w14:textId="296E7C38" w:rsidR="009948F1" w:rsidRDefault="00BC0563">
            <w:pPr>
              <w:pStyle w:val="TableParagraph"/>
              <w:numPr>
                <w:ilvl w:val="0"/>
                <w:numId w:val="173"/>
              </w:numPr>
              <w:tabs>
                <w:tab w:val="left" w:pos="106"/>
              </w:tabs>
              <w:spacing w:before="41" w:line="261" w:lineRule="auto"/>
              <w:ind w:right="118" w:firstLine="0"/>
              <w:rPr>
                <w:sz w:val="13"/>
              </w:rPr>
            </w:pPr>
            <w:r>
              <w:rPr>
                <w:color w:val="231F20"/>
                <w:sz w:val="13"/>
              </w:rPr>
              <w:t xml:space="preserve">Mothers/caregivers within communities </w:t>
            </w:r>
            <w:r w:rsidR="000225DB">
              <w:rPr>
                <w:color w:val="231F20"/>
                <w:sz w:val="13"/>
              </w:rPr>
              <w:t>sensitized</w:t>
            </w:r>
            <w:r>
              <w:rPr>
                <w:color w:val="231F20"/>
                <w:spacing w:val="-17"/>
                <w:sz w:val="13"/>
              </w:rPr>
              <w:t xml:space="preserve"> </w:t>
            </w:r>
            <w:r>
              <w:rPr>
                <w:color w:val="231F20"/>
                <w:sz w:val="13"/>
              </w:rPr>
              <w:t>on</w:t>
            </w:r>
            <w:r>
              <w:rPr>
                <w:color w:val="231F20"/>
                <w:spacing w:val="-17"/>
                <w:sz w:val="13"/>
              </w:rPr>
              <w:t xml:space="preserve"> </w:t>
            </w:r>
            <w:r>
              <w:rPr>
                <w:color w:val="231F20"/>
                <w:sz w:val="13"/>
              </w:rPr>
              <w:t>adequate</w:t>
            </w:r>
            <w:r>
              <w:rPr>
                <w:color w:val="231F20"/>
                <w:spacing w:val="-17"/>
                <w:sz w:val="13"/>
              </w:rPr>
              <w:t xml:space="preserve"> </w:t>
            </w:r>
            <w:r>
              <w:rPr>
                <w:color w:val="231F20"/>
                <w:sz w:val="13"/>
              </w:rPr>
              <w:t>nutrition</w:t>
            </w:r>
            <w:r>
              <w:rPr>
                <w:color w:val="231F20"/>
                <w:spacing w:val="-17"/>
                <w:sz w:val="13"/>
              </w:rPr>
              <w:t xml:space="preserve"> </w:t>
            </w:r>
            <w:r>
              <w:rPr>
                <w:color w:val="231F20"/>
                <w:sz w:val="13"/>
              </w:rPr>
              <w:t>for</w:t>
            </w:r>
            <w:r>
              <w:rPr>
                <w:color w:val="231F20"/>
                <w:spacing w:val="-17"/>
                <w:sz w:val="13"/>
              </w:rPr>
              <w:t xml:space="preserve"> </w:t>
            </w:r>
            <w:r>
              <w:rPr>
                <w:color w:val="231F20"/>
                <w:sz w:val="13"/>
              </w:rPr>
              <w:t>infants and young</w:t>
            </w:r>
            <w:r>
              <w:rPr>
                <w:color w:val="231F20"/>
                <w:spacing w:val="-6"/>
                <w:sz w:val="13"/>
              </w:rPr>
              <w:t xml:space="preserve"> </w:t>
            </w:r>
            <w:r>
              <w:rPr>
                <w:color w:val="231F20"/>
                <w:sz w:val="13"/>
              </w:rPr>
              <w:t>children</w:t>
            </w:r>
          </w:p>
          <w:p w14:paraId="17408565" w14:textId="77777777" w:rsidR="009948F1" w:rsidRDefault="00BC0563">
            <w:pPr>
              <w:pStyle w:val="TableParagraph"/>
              <w:numPr>
                <w:ilvl w:val="0"/>
                <w:numId w:val="173"/>
              </w:numPr>
              <w:tabs>
                <w:tab w:val="left" w:pos="72"/>
              </w:tabs>
              <w:spacing w:line="261" w:lineRule="auto"/>
              <w:ind w:right="257" w:firstLine="0"/>
              <w:rPr>
                <w:sz w:val="13"/>
              </w:rPr>
            </w:pPr>
            <w:r>
              <w:rPr>
                <w:color w:val="231F20"/>
                <w:sz w:val="13"/>
              </w:rPr>
              <w:t>CMAM</w:t>
            </w:r>
            <w:r>
              <w:rPr>
                <w:color w:val="231F20"/>
                <w:spacing w:val="-14"/>
                <w:sz w:val="13"/>
              </w:rPr>
              <w:t xml:space="preserve"> </w:t>
            </w:r>
            <w:r>
              <w:rPr>
                <w:color w:val="231F20"/>
                <w:sz w:val="13"/>
              </w:rPr>
              <w:t>sites</w:t>
            </w:r>
            <w:r>
              <w:rPr>
                <w:color w:val="231F20"/>
                <w:spacing w:val="-14"/>
                <w:sz w:val="13"/>
              </w:rPr>
              <w:t xml:space="preserve"> </w:t>
            </w:r>
            <w:r>
              <w:rPr>
                <w:color w:val="231F20"/>
                <w:sz w:val="13"/>
              </w:rPr>
              <w:t>established</w:t>
            </w:r>
            <w:r>
              <w:rPr>
                <w:color w:val="231F20"/>
                <w:spacing w:val="-14"/>
                <w:sz w:val="13"/>
              </w:rPr>
              <w:t xml:space="preserve"> </w:t>
            </w:r>
            <w:r>
              <w:rPr>
                <w:color w:val="231F20"/>
                <w:sz w:val="13"/>
              </w:rPr>
              <w:t>in</w:t>
            </w:r>
            <w:r>
              <w:rPr>
                <w:color w:val="231F20"/>
                <w:spacing w:val="-14"/>
                <w:sz w:val="13"/>
              </w:rPr>
              <w:t xml:space="preserve"> </w:t>
            </w:r>
            <w:r>
              <w:rPr>
                <w:color w:val="231F20"/>
                <w:sz w:val="13"/>
              </w:rPr>
              <w:t>primary</w:t>
            </w:r>
            <w:r>
              <w:rPr>
                <w:color w:val="231F20"/>
                <w:spacing w:val="-14"/>
                <w:sz w:val="13"/>
              </w:rPr>
              <w:t xml:space="preserve"> </w:t>
            </w:r>
            <w:r>
              <w:rPr>
                <w:color w:val="231F20"/>
                <w:spacing w:val="-4"/>
                <w:sz w:val="13"/>
              </w:rPr>
              <w:t xml:space="preserve">and </w:t>
            </w:r>
            <w:r>
              <w:rPr>
                <w:color w:val="231F20"/>
                <w:sz w:val="13"/>
              </w:rPr>
              <w:t>secondary health</w:t>
            </w:r>
            <w:r>
              <w:rPr>
                <w:color w:val="231F20"/>
                <w:spacing w:val="-8"/>
                <w:sz w:val="13"/>
              </w:rPr>
              <w:t xml:space="preserve"> </w:t>
            </w:r>
            <w:r>
              <w:rPr>
                <w:color w:val="231F20"/>
                <w:sz w:val="13"/>
              </w:rPr>
              <w:t>facilities</w:t>
            </w:r>
          </w:p>
          <w:p w14:paraId="214A40CB" w14:textId="77777777" w:rsidR="009948F1" w:rsidRDefault="00BC0563">
            <w:pPr>
              <w:pStyle w:val="TableParagraph"/>
              <w:numPr>
                <w:ilvl w:val="0"/>
                <w:numId w:val="173"/>
              </w:numPr>
              <w:tabs>
                <w:tab w:val="left" w:pos="106"/>
              </w:tabs>
              <w:spacing w:line="261" w:lineRule="auto"/>
              <w:ind w:right="146" w:firstLine="0"/>
              <w:rPr>
                <w:sz w:val="13"/>
              </w:rPr>
            </w:pPr>
            <w:r>
              <w:rPr>
                <w:color w:val="231F20"/>
                <w:sz w:val="13"/>
              </w:rPr>
              <w:t>Essential drugs &amp; food for the management</w:t>
            </w:r>
            <w:r>
              <w:rPr>
                <w:color w:val="231F20"/>
                <w:spacing w:val="-18"/>
                <w:sz w:val="13"/>
              </w:rPr>
              <w:t xml:space="preserve"> </w:t>
            </w:r>
            <w:r>
              <w:rPr>
                <w:color w:val="231F20"/>
                <w:sz w:val="13"/>
              </w:rPr>
              <w:t>of</w:t>
            </w:r>
            <w:r>
              <w:rPr>
                <w:color w:val="231F20"/>
                <w:spacing w:val="-18"/>
                <w:sz w:val="13"/>
              </w:rPr>
              <w:t xml:space="preserve"> </w:t>
            </w:r>
            <w:r>
              <w:rPr>
                <w:color w:val="231F20"/>
                <w:sz w:val="13"/>
              </w:rPr>
              <w:t>malnutrition</w:t>
            </w:r>
            <w:r>
              <w:rPr>
                <w:color w:val="231F20"/>
                <w:spacing w:val="-18"/>
                <w:sz w:val="13"/>
              </w:rPr>
              <w:t xml:space="preserve"> </w:t>
            </w:r>
            <w:r>
              <w:rPr>
                <w:color w:val="231F20"/>
                <w:sz w:val="13"/>
              </w:rPr>
              <w:t>procured</w:t>
            </w:r>
            <w:r>
              <w:rPr>
                <w:color w:val="231F20"/>
                <w:spacing w:val="-18"/>
                <w:sz w:val="13"/>
              </w:rPr>
              <w:t xml:space="preserve"> </w:t>
            </w:r>
            <w:r>
              <w:rPr>
                <w:color w:val="231F20"/>
                <w:spacing w:val="-4"/>
                <w:sz w:val="13"/>
              </w:rPr>
              <w:t xml:space="preserve">and </w:t>
            </w:r>
            <w:r>
              <w:rPr>
                <w:color w:val="231F20"/>
                <w:sz w:val="13"/>
              </w:rPr>
              <w:t>distributed</w:t>
            </w:r>
            <w:r>
              <w:rPr>
                <w:color w:val="231F20"/>
                <w:spacing w:val="-9"/>
                <w:sz w:val="13"/>
              </w:rPr>
              <w:t xml:space="preserve"> </w:t>
            </w:r>
            <w:r>
              <w:rPr>
                <w:color w:val="231F20"/>
                <w:sz w:val="13"/>
              </w:rPr>
              <w:t>to</w:t>
            </w:r>
            <w:r>
              <w:rPr>
                <w:color w:val="231F20"/>
                <w:spacing w:val="-9"/>
                <w:sz w:val="13"/>
              </w:rPr>
              <w:t xml:space="preserve"> </w:t>
            </w:r>
            <w:r>
              <w:rPr>
                <w:color w:val="231F20"/>
                <w:sz w:val="13"/>
              </w:rPr>
              <w:t>primary</w:t>
            </w:r>
            <w:r>
              <w:rPr>
                <w:color w:val="231F20"/>
                <w:spacing w:val="-9"/>
                <w:sz w:val="13"/>
              </w:rPr>
              <w:t xml:space="preserve"> </w:t>
            </w:r>
            <w:r>
              <w:rPr>
                <w:color w:val="231F20"/>
                <w:sz w:val="13"/>
              </w:rPr>
              <w:t>&amp;</w:t>
            </w:r>
            <w:r>
              <w:rPr>
                <w:color w:val="231F20"/>
                <w:spacing w:val="-9"/>
                <w:sz w:val="13"/>
              </w:rPr>
              <w:t xml:space="preserve"> </w:t>
            </w:r>
            <w:r>
              <w:rPr>
                <w:color w:val="231F20"/>
                <w:sz w:val="13"/>
              </w:rPr>
              <w:t>secondary</w:t>
            </w:r>
            <w:r>
              <w:rPr>
                <w:color w:val="231F20"/>
                <w:spacing w:val="-9"/>
                <w:sz w:val="13"/>
              </w:rPr>
              <w:t xml:space="preserve"> </w:t>
            </w:r>
            <w:r>
              <w:rPr>
                <w:color w:val="231F20"/>
                <w:sz w:val="13"/>
              </w:rPr>
              <w:t>HFs</w:t>
            </w:r>
          </w:p>
        </w:tc>
        <w:tc>
          <w:tcPr>
            <w:tcW w:w="1514" w:type="dxa"/>
            <w:tcBorders>
              <w:top w:val="single" w:sz="6" w:space="0" w:color="231F20"/>
              <w:left w:val="single" w:sz="6" w:space="0" w:color="231F20"/>
              <w:bottom w:val="single" w:sz="6" w:space="0" w:color="231F20"/>
              <w:right w:val="single" w:sz="12" w:space="0" w:color="231F20"/>
            </w:tcBorders>
            <w:shd w:val="clear" w:color="auto" w:fill="CCE7D3"/>
          </w:tcPr>
          <w:p w14:paraId="38A48210" w14:textId="77777777" w:rsidR="009948F1" w:rsidRDefault="009948F1">
            <w:pPr>
              <w:pStyle w:val="TableParagraph"/>
              <w:rPr>
                <w:rFonts w:ascii="Times New Roman"/>
                <w:sz w:val="12"/>
              </w:rPr>
            </w:pPr>
          </w:p>
        </w:tc>
        <w:tc>
          <w:tcPr>
            <w:tcW w:w="1595" w:type="dxa"/>
            <w:tcBorders>
              <w:top w:val="single" w:sz="6" w:space="0" w:color="231F20"/>
              <w:left w:val="single" w:sz="12" w:space="0" w:color="231F20"/>
              <w:bottom w:val="single" w:sz="6" w:space="0" w:color="231F20"/>
            </w:tcBorders>
            <w:shd w:val="clear" w:color="auto" w:fill="CCE7D3"/>
          </w:tcPr>
          <w:p w14:paraId="1A1E833F" w14:textId="77777777" w:rsidR="009948F1" w:rsidRDefault="009948F1">
            <w:pPr>
              <w:pStyle w:val="TableParagraph"/>
              <w:rPr>
                <w:rFonts w:ascii="Times New Roman"/>
                <w:sz w:val="12"/>
              </w:rPr>
            </w:pPr>
          </w:p>
        </w:tc>
      </w:tr>
      <w:tr w:rsidR="009948F1" w14:paraId="2A858D7D" w14:textId="77777777">
        <w:trPr>
          <w:trHeight w:val="641"/>
        </w:trPr>
        <w:tc>
          <w:tcPr>
            <w:tcW w:w="486" w:type="dxa"/>
            <w:vMerge w:val="restart"/>
            <w:tcBorders>
              <w:top w:val="single" w:sz="6" w:space="0" w:color="231F20"/>
              <w:bottom w:val="single" w:sz="6" w:space="0" w:color="231F20"/>
              <w:right w:val="single" w:sz="6" w:space="0" w:color="231F20"/>
            </w:tcBorders>
          </w:tcPr>
          <w:p w14:paraId="01604E01" w14:textId="77777777" w:rsidR="009948F1" w:rsidRDefault="009948F1">
            <w:pPr>
              <w:pStyle w:val="TableParagraph"/>
              <w:rPr>
                <w:rFonts w:ascii="Times New Roman"/>
                <w:sz w:val="12"/>
              </w:rPr>
            </w:pPr>
          </w:p>
        </w:tc>
        <w:tc>
          <w:tcPr>
            <w:tcW w:w="558" w:type="dxa"/>
            <w:tcBorders>
              <w:top w:val="single" w:sz="6" w:space="0" w:color="231F20"/>
              <w:left w:val="single" w:sz="6" w:space="0" w:color="231F20"/>
              <w:bottom w:val="single" w:sz="6" w:space="0" w:color="231F20"/>
              <w:right w:val="single" w:sz="6" w:space="0" w:color="231F20"/>
            </w:tcBorders>
          </w:tcPr>
          <w:p w14:paraId="669D2DD0" w14:textId="77777777" w:rsidR="009948F1" w:rsidRDefault="009948F1">
            <w:pPr>
              <w:pStyle w:val="TableParagraph"/>
              <w:rPr>
                <w:sz w:val="12"/>
              </w:rPr>
            </w:pPr>
          </w:p>
          <w:p w14:paraId="36F38045" w14:textId="77777777" w:rsidR="009948F1" w:rsidRDefault="009948F1">
            <w:pPr>
              <w:pStyle w:val="TableParagraph"/>
              <w:spacing w:before="4"/>
              <w:rPr>
                <w:sz w:val="9"/>
              </w:rPr>
            </w:pPr>
          </w:p>
          <w:p w14:paraId="368CB819" w14:textId="77777777" w:rsidR="009948F1" w:rsidRDefault="00BC0563">
            <w:pPr>
              <w:pStyle w:val="TableParagraph"/>
              <w:ind w:left="63" w:right="42"/>
              <w:jc w:val="center"/>
              <w:rPr>
                <w:sz w:val="13"/>
              </w:rPr>
            </w:pPr>
            <w:r>
              <w:rPr>
                <w:color w:val="231F20"/>
                <w:sz w:val="13"/>
              </w:rPr>
              <w:t>4.6.5.a</w:t>
            </w:r>
          </w:p>
        </w:tc>
        <w:tc>
          <w:tcPr>
            <w:tcW w:w="5191" w:type="dxa"/>
            <w:gridSpan w:val="2"/>
            <w:tcBorders>
              <w:top w:val="single" w:sz="6" w:space="0" w:color="231F20"/>
              <w:left w:val="single" w:sz="6" w:space="0" w:color="231F20"/>
              <w:bottom w:val="single" w:sz="6" w:space="0" w:color="231F20"/>
              <w:right w:val="single" w:sz="6" w:space="0" w:color="231F20"/>
            </w:tcBorders>
          </w:tcPr>
          <w:p w14:paraId="4F7F798A" w14:textId="77777777" w:rsidR="009948F1" w:rsidRDefault="009948F1">
            <w:pPr>
              <w:pStyle w:val="TableParagraph"/>
              <w:spacing w:before="10"/>
              <w:rPr>
                <w:sz w:val="13"/>
              </w:rPr>
            </w:pPr>
          </w:p>
          <w:p w14:paraId="68667088" w14:textId="358D0748" w:rsidR="009948F1" w:rsidRDefault="000225DB">
            <w:pPr>
              <w:pStyle w:val="TableParagraph"/>
              <w:spacing w:line="261" w:lineRule="auto"/>
              <w:ind w:left="26" w:right="371"/>
              <w:rPr>
                <w:sz w:val="13"/>
              </w:rPr>
            </w:pPr>
            <w:r>
              <w:rPr>
                <w:color w:val="231F20"/>
                <w:sz w:val="13"/>
              </w:rPr>
              <w:t>Sensitize</w:t>
            </w:r>
            <w:r w:rsidR="00BC0563">
              <w:rPr>
                <w:color w:val="231F20"/>
                <w:spacing w:val="-18"/>
                <w:sz w:val="13"/>
              </w:rPr>
              <w:t xml:space="preserve"> </w:t>
            </w:r>
            <w:r w:rsidR="00BC0563">
              <w:rPr>
                <w:color w:val="231F20"/>
                <w:sz w:val="13"/>
              </w:rPr>
              <w:t>mothers/caregivers</w:t>
            </w:r>
            <w:r w:rsidR="00BC0563">
              <w:rPr>
                <w:color w:val="231F20"/>
                <w:spacing w:val="-18"/>
                <w:sz w:val="13"/>
              </w:rPr>
              <w:t xml:space="preserve"> </w:t>
            </w:r>
            <w:r w:rsidR="00BC0563">
              <w:rPr>
                <w:color w:val="231F20"/>
                <w:sz w:val="13"/>
              </w:rPr>
              <w:t>within</w:t>
            </w:r>
            <w:r w:rsidR="00BC0563">
              <w:rPr>
                <w:color w:val="231F20"/>
                <w:spacing w:val="-18"/>
                <w:sz w:val="13"/>
              </w:rPr>
              <w:t xml:space="preserve"> </w:t>
            </w:r>
            <w:r w:rsidR="00BC0563">
              <w:rPr>
                <w:color w:val="231F20"/>
                <w:sz w:val="13"/>
              </w:rPr>
              <w:t>communities</w:t>
            </w:r>
            <w:r w:rsidR="00BC0563">
              <w:rPr>
                <w:color w:val="231F20"/>
                <w:spacing w:val="-18"/>
                <w:sz w:val="13"/>
              </w:rPr>
              <w:t xml:space="preserve"> </w:t>
            </w:r>
            <w:r w:rsidR="00BC0563">
              <w:rPr>
                <w:color w:val="231F20"/>
                <w:sz w:val="13"/>
              </w:rPr>
              <w:t>on</w:t>
            </w:r>
            <w:r w:rsidR="00BC0563">
              <w:rPr>
                <w:color w:val="231F20"/>
                <w:spacing w:val="-18"/>
                <w:sz w:val="13"/>
              </w:rPr>
              <w:t xml:space="preserve"> </w:t>
            </w:r>
            <w:r w:rsidR="00BC0563">
              <w:rPr>
                <w:color w:val="231F20"/>
                <w:sz w:val="13"/>
              </w:rPr>
              <w:t>adequate</w:t>
            </w:r>
            <w:r w:rsidR="00BC0563">
              <w:rPr>
                <w:color w:val="231F20"/>
                <w:spacing w:val="-18"/>
                <w:sz w:val="13"/>
              </w:rPr>
              <w:t xml:space="preserve"> </w:t>
            </w:r>
            <w:r w:rsidR="00BC0563">
              <w:rPr>
                <w:color w:val="231F20"/>
                <w:sz w:val="13"/>
              </w:rPr>
              <w:t>nutrition</w:t>
            </w:r>
            <w:r w:rsidR="00BC0563">
              <w:rPr>
                <w:color w:val="231F20"/>
                <w:spacing w:val="-18"/>
                <w:sz w:val="13"/>
              </w:rPr>
              <w:t xml:space="preserve"> </w:t>
            </w:r>
            <w:r w:rsidR="00BC0563">
              <w:rPr>
                <w:color w:val="231F20"/>
                <w:sz w:val="13"/>
              </w:rPr>
              <w:t>for</w:t>
            </w:r>
            <w:r w:rsidR="00BC0563">
              <w:rPr>
                <w:color w:val="231F20"/>
                <w:spacing w:val="-18"/>
                <w:sz w:val="13"/>
              </w:rPr>
              <w:t xml:space="preserve"> </w:t>
            </w:r>
            <w:r w:rsidR="00BC0563">
              <w:rPr>
                <w:color w:val="231F20"/>
                <w:sz w:val="13"/>
              </w:rPr>
              <w:t>infants</w:t>
            </w:r>
            <w:r w:rsidR="00BC0563">
              <w:rPr>
                <w:color w:val="231F20"/>
                <w:spacing w:val="-18"/>
                <w:sz w:val="13"/>
              </w:rPr>
              <w:t xml:space="preserve"> </w:t>
            </w:r>
            <w:r w:rsidR="00BC0563">
              <w:rPr>
                <w:color w:val="231F20"/>
                <w:sz w:val="13"/>
              </w:rPr>
              <w:t>and young</w:t>
            </w:r>
            <w:r w:rsidR="00BC0563">
              <w:rPr>
                <w:color w:val="231F20"/>
                <w:spacing w:val="-3"/>
                <w:sz w:val="13"/>
              </w:rPr>
              <w:t xml:space="preserve"> </w:t>
            </w:r>
            <w:r w:rsidR="00BC0563">
              <w:rPr>
                <w:color w:val="231F20"/>
                <w:sz w:val="13"/>
              </w:rPr>
              <w:t>children</w:t>
            </w:r>
          </w:p>
        </w:tc>
        <w:tc>
          <w:tcPr>
            <w:tcW w:w="1514" w:type="dxa"/>
            <w:tcBorders>
              <w:top w:val="single" w:sz="6" w:space="0" w:color="231F20"/>
              <w:left w:val="single" w:sz="6" w:space="0" w:color="231F20"/>
              <w:bottom w:val="single" w:sz="6" w:space="0" w:color="231F20"/>
              <w:right w:val="single" w:sz="6" w:space="0" w:color="231F20"/>
            </w:tcBorders>
          </w:tcPr>
          <w:p w14:paraId="3CF80399" w14:textId="77777777" w:rsidR="009948F1" w:rsidRDefault="009948F1">
            <w:pPr>
              <w:pStyle w:val="TableParagraph"/>
              <w:rPr>
                <w:sz w:val="12"/>
              </w:rPr>
            </w:pPr>
          </w:p>
          <w:p w14:paraId="11AED788" w14:textId="77777777" w:rsidR="009948F1" w:rsidRDefault="009948F1">
            <w:pPr>
              <w:pStyle w:val="TableParagraph"/>
              <w:spacing w:before="4"/>
              <w:rPr>
                <w:sz w:val="9"/>
              </w:rPr>
            </w:pPr>
          </w:p>
          <w:p w14:paraId="7B8F32CD"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3F9CDDBB" w14:textId="77777777" w:rsidR="009948F1" w:rsidRDefault="009948F1">
            <w:pPr>
              <w:pStyle w:val="TableParagraph"/>
              <w:rPr>
                <w:sz w:val="12"/>
              </w:rPr>
            </w:pPr>
          </w:p>
          <w:p w14:paraId="7FF32120" w14:textId="77777777" w:rsidR="009948F1" w:rsidRDefault="009948F1">
            <w:pPr>
              <w:pStyle w:val="TableParagraph"/>
              <w:spacing w:before="4"/>
              <w:rPr>
                <w:sz w:val="9"/>
              </w:rPr>
            </w:pPr>
          </w:p>
          <w:p w14:paraId="2D4AD2CB" w14:textId="1EF241DE" w:rsidR="009948F1" w:rsidRDefault="000225DB">
            <w:pPr>
              <w:pStyle w:val="TableParagraph"/>
              <w:ind w:left="26"/>
              <w:rPr>
                <w:sz w:val="13"/>
              </w:rPr>
            </w:pPr>
            <w:r>
              <w:rPr>
                <w:color w:val="231F20"/>
                <w:sz w:val="13"/>
              </w:rPr>
              <w:t>Sensitize</w:t>
            </w:r>
            <w:r w:rsidR="00BC0563">
              <w:rPr>
                <w:color w:val="231F20"/>
                <w:sz w:val="13"/>
              </w:rPr>
              <w:t xml:space="preserve"> mothers</w:t>
            </w:r>
          </w:p>
        </w:tc>
      </w:tr>
      <w:tr w:rsidR="009948F1" w14:paraId="147E3A9D" w14:textId="77777777">
        <w:trPr>
          <w:trHeight w:val="528"/>
        </w:trPr>
        <w:tc>
          <w:tcPr>
            <w:tcW w:w="486" w:type="dxa"/>
            <w:vMerge/>
            <w:tcBorders>
              <w:top w:val="nil"/>
              <w:bottom w:val="single" w:sz="6" w:space="0" w:color="231F20"/>
              <w:right w:val="single" w:sz="6" w:space="0" w:color="231F20"/>
            </w:tcBorders>
          </w:tcPr>
          <w:p w14:paraId="6091C2C9"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52EA72B5" w14:textId="77777777" w:rsidR="009948F1" w:rsidRDefault="009948F1">
            <w:pPr>
              <w:pStyle w:val="TableParagraph"/>
              <w:spacing w:before="6"/>
              <w:rPr>
                <w:sz w:val="16"/>
              </w:rPr>
            </w:pPr>
          </w:p>
          <w:p w14:paraId="073F73DB" w14:textId="77777777" w:rsidR="009948F1" w:rsidRDefault="00BC0563">
            <w:pPr>
              <w:pStyle w:val="TableParagraph"/>
              <w:ind w:left="63" w:right="42"/>
              <w:jc w:val="center"/>
              <w:rPr>
                <w:sz w:val="13"/>
              </w:rPr>
            </w:pPr>
            <w:r>
              <w:rPr>
                <w:color w:val="231F20"/>
                <w:sz w:val="13"/>
              </w:rPr>
              <w:t>4.6.5.b</w:t>
            </w:r>
          </w:p>
        </w:tc>
        <w:tc>
          <w:tcPr>
            <w:tcW w:w="5191" w:type="dxa"/>
            <w:gridSpan w:val="2"/>
            <w:tcBorders>
              <w:top w:val="single" w:sz="6" w:space="0" w:color="231F20"/>
              <w:left w:val="single" w:sz="6" w:space="0" w:color="231F20"/>
              <w:bottom w:val="single" w:sz="6" w:space="0" w:color="231F20"/>
              <w:right w:val="single" w:sz="6" w:space="0" w:color="231F20"/>
            </w:tcBorders>
          </w:tcPr>
          <w:p w14:paraId="284C53D4" w14:textId="77777777" w:rsidR="009948F1" w:rsidRDefault="00BC0563">
            <w:pPr>
              <w:pStyle w:val="TableParagraph"/>
              <w:spacing w:before="12" w:line="160" w:lineRule="atLeast"/>
              <w:ind w:left="26" w:right="164" w:firstLine="35"/>
              <w:rPr>
                <w:sz w:val="13"/>
              </w:rPr>
            </w:pPr>
            <w:r>
              <w:rPr>
                <w:color w:val="231F20"/>
                <w:sz w:val="13"/>
              </w:rPr>
              <w:t>Mass</w:t>
            </w:r>
            <w:r>
              <w:rPr>
                <w:color w:val="231F20"/>
                <w:spacing w:val="-14"/>
                <w:sz w:val="13"/>
              </w:rPr>
              <w:t xml:space="preserve"> </w:t>
            </w:r>
            <w:r>
              <w:rPr>
                <w:color w:val="231F20"/>
                <w:sz w:val="13"/>
              </w:rPr>
              <w:t>media</w:t>
            </w:r>
            <w:r>
              <w:rPr>
                <w:color w:val="231F20"/>
                <w:spacing w:val="-13"/>
                <w:sz w:val="13"/>
              </w:rPr>
              <w:t xml:space="preserve"> </w:t>
            </w:r>
            <w:r>
              <w:rPr>
                <w:color w:val="231F20"/>
                <w:sz w:val="13"/>
              </w:rPr>
              <w:t>(special</w:t>
            </w:r>
            <w:r>
              <w:rPr>
                <w:color w:val="231F20"/>
                <w:spacing w:val="-14"/>
                <w:sz w:val="13"/>
              </w:rPr>
              <w:t xml:space="preserve"> </w:t>
            </w:r>
            <w:r>
              <w:rPr>
                <w:color w:val="231F20"/>
                <w:sz w:val="13"/>
              </w:rPr>
              <w:t>regular</w:t>
            </w:r>
            <w:r>
              <w:rPr>
                <w:color w:val="231F20"/>
                <w:spacing w:val="-13"/>
                <w:sz w:val="13"/>
              </w:rPr>
              <w:t xml:space="preserve"> </w:t>
            </w:r>
            <w:r>
              <w:rPr>
                <w:color w:val="231F20"/>
                <w:sz w:val="13"/>
              </w:rPr>
              <w:t>nutrition</w:t>
            </w:r>
            <w:r>
              <w:rPr>
                <w:color w:val="231F20"/>
                <w:spacing w:val="-14"/>
                <w:sz w:val="13"/>
              </w:rPr>
              <w:t xml:space="preserve"> </w:t>
            </w:r>
            <w:proofErr w:type="spellStart"/>
            <w:r>
              <w:rPr>
                <w:color w:val="231F20"/>
                <w:sz w:val="13"/>
              </w:rPr>
              <w:t>programmes</w:t>
            </w:r>
            <w:proofErr w:type="spellEnd"/>
            <w:r>
              <w:rPr>
                <w:color w:val="231F20"/>
                <w:spacing w:val="-13"/>
                <w:sz w:val="13"/>
              </w:rPr>
              <w:t xml:space="preserve"> </w:t>
            </w:r>
            <w:r>
              <w:rPr>
                <w:color w:val="231F20"/>
                <w:sz w:val="13"/>
              </w:rPr>
              <w:t>on</w:t>
            </w:r>
            <w:r>
              <w:rPr>
                <w:color w:val="231F20"/>
                <w:spacing w:val="-14"/>
                <w:sz w:val="13"/>
              </w:rPr>
              <w:t xml:space="preserve"> </w:t>
            </w:r>
            <w:r>
              <w:rPr>
                <w:color w:val="231F20"/>
                <w:sz w:val="13"/>
              </w:rPr>
              <w:t>radio</w:t>
            </w:r>
            <w:r>
              <w:rPr>
                <w:color w:val="231F20"/>
                <w:spacing w:val="-13"/>
                <w:sz w:val="13"/>
              </w:rPr>
              <w:t xml:space="preserve"> </w:t>
            </w:r>
            <w:r>
              <w:rPr>
                <w:color w:val="231F20"/>
                <w:sz w:val="13"/>
              </w:rPr>
              <w:t>and</w:t>
            </w:r>
            <w:r>
              <w:rPr>
                <w:color w:val="231F20"/>
                <w:spacing w:val="-15"/>
                <w:sz w:val="13"/>
              </w:rPr>
              <w:t xml:space="preserve"> </w:t>
            </w:r>
            <w:r>
              <w:rPr>
                <w:color w:val="231F20"/>
                <w:sz w:val="13"/>
              </w:rPr>
              <w:t>TV)</w:t>
            </w:r>
            <w:r>
              <w:rPr>
                <w:color w:val="231F20"/>
                <w:spacing w:val="-14"/>
                <w:sz w:val="13"/>
              </w:rPr>
              <w:t xml:space="preserve"> </w:t>
            </w:r>
            <w:r>
              <w:rPr>
                <w:color w:val="231F20"/>
                <w:sz w:val="13"/>
              </w:rPr>
              <w:t>and</w:t>
            </w:r>
            <w:r>
              <w:rPr>
                <w:color w:val="231F20"/>
                <w:spacing w:val="-13"/>
                <w:sz w:val="13"/>
              </w:rPr>
              <w:t xml:space="preserve"> </w:t>
            </w:r>
            <w:r>
              <w:rPr>
                <w:color w:val="231F20"/>
                <w:sz w:val="13"/>
              </w:rPr>
              <w:t>ICT</w:t>
            </w:r>
            <w:r>
              <w:rPr>
                <w:color w:val="231F20"/>
                <w:spacing w:val="-15"/>
                <w:sz w:val="13"/>
              </w:rPr>
              <w:t xml:space="preserve"> </w:t>
            </w:r>
            <w:r>
              <w:rPr>
                <w:color w:val="231F20"/>
                <w:sz w:val="13"/>
              </w:rPr>
              <w:t>platforms</w:t>
            </w:r>
            <w:r>
              <w:rPr>
                <w:color w:val="231F20"/>
                <w:spacing w:val="-13"/>
                <w:sz w:val="13"/>
              </w:rPr>
              <w:t xml:space="preserve"> </w:t>
            </w:r>
            <w:r>
              <w:rPr>
                <w:color w:val="231F20"/>
                <w:sz w:val="13"/>
              </w:rPr>
              <w:t>to provide general information on Community-Based Management of Acute Malnutrition (CMAM)</w:t>
            </w:r>
          </w:p>
        </w:tc>
        <w:tc>
          <w:tcPr>
            <w:tcW w:w="1514" w:type="dxa"/>
            <w:tcBorders>
              <w:top w:val="single" w:sz="6" w:space="0" w:color="231F20"/>
              <w:left w:val="single" w:sz="6" w:space="0" w:color="231F20"/>
              <w:bottom w:val="single" w:sz="6" w:space="0" w:color="231F20"/>
              <w:right w:val="single" w:sz="6" w:space="0" w:color="231F20"/>
            </w:tcBorders>
          </w:tcPr>
          <w:p w14:paraId="1338B97F" w14:textId="77777777" w:rsidR="009948F1" w:rsidRDefault="009948F1">
            <w:pPr>
              <w:pStyle w:val="TableParagraph"/>
              <w:spacing w:before="6"/>
              <w:rPr>
                <w:sz w:val="16"/>
              </w:rPr>
            </w:pPr>
          </w:p>
          <w:p w14:paraId="0230E993"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297D54DE" w14:textId="77777777" w:rsidR="009948F1" w:rsidRDefault="009948F1">
            <w:pPr>
              <w:pStyle w:val="TableParagraph"/>
              <w:spacing w:before="6"/>
              <w:rPr>
                <w:sz w:val="16"/>
              </w:rPr>
            </w:pPr>
          </w:p>
          <w:p w14:paraId="482D7F6C" w14:textId="77777777" w:rsidR="009948F1" w:rsidRDefault="00BC0563">
            <w:pPr>
              <w:pStyle w:val="TableParagraph"/>
              <w:ind w:left="61"/>
              <w:rPr>
                <w:sz w:val="13"/>
              </w:rPr>
            </w:pPr>
            <w:r>
              <w:rPr>
                <w:color w:val="231F20"/>
                <w:sz w:val="13"/>
              </w:rPr>
              <w:t>Mass media campaign</w:t>
            </w:r>
          </w:p>
        </w:tc>
      </w:tr>
      <w:tr w:rsidR="009948F1" w14:paraId="748CD5FF" w14:textId="77777777">
        <w:trPr>
          <w:trHeight w:val="392"/>
        </w:trPr>
        <w:tc>
          <w:tcPr>
            <w:tcW w:w="486" w:type="dxa"/>
            <w:vMerge/>
            <w:tcBorders>
              <w:top w:val="nil"/>
              <w:bottom w:val="single" w:sz="6" w:space="0" w:color="231F20"/>
              <w:right w:val="single" w:sz="6" w:space="0" w:color="231F20"/>
            </w:tcBorders>
          </w:tcPr>
          <w:p w14:paraId="499B4D7C"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65F86D94" w14:textId="77777777" w:rsidR="009948F1" w:rsidRDefault="009948F1">
            <w:pPr>
              <w:pStyle w:val="TableParagraph"/>
              <w:spacing w:before="6"/>
              <w:rPr>
                <w:sz w:val="10"/>
              </w:rPr>
            </w:pPr>
          </w:p>
          <w:p w14:paraId="0690B750" w14:textId="77777777" w:rsidR="009948F1" w:rsidRDefault="00BC0563">
            <w:pPr>
              <w:pStyle w:val="TableParagraph"/>
              <w:ind w:left="63" w:right="42"/>
              <w:jc w:val="center"/>
              <w:rPr>
                <w:sz w:val="13"/>
              </w:rPr>
            </w:pPr>
            <w:r>
              <w:rPr>
                <w:color w:val="231F20"/>
                <w:sz w:val="13"/>
              </w:rPr>
              <w:t>4.6.5.c</w:t>
            </w:r>
          </w:p>
        </w:tc>
        <w:tc>
          <w:tcPr>
            <w:tcW w:w="5191" w:type="dxa"/>
            <w:gridSpan w:val="2"/>
            <w:tcBorders>
              <w:top w:val="single" w:sz="6" w:space="0" w:color="231F20"/>
              <w:left w:val="single" w:sz="6" w:space="0" w:color="231F20"/>
              <w:bottom w:val="single" w:sz="6" w:space="0" w:color="231F20"/>
              <w:right w:val="single" w:sz="6" w:space="0" w:color="231F20"/>
            </w:tcBorders>
          </w:tcPr>
          <w:p w14:paraId="78D524CB" w14:textId="77777777" w:rsidR="009948F1" w:rsidRDefault="00BC0563">
            <w:pPr>
              <w:pStyle w:val="TableParagraph"/>
              <w:spacing w:before="35" w:line="261" w:lineRule="auto"/>
              <w:ind w:left="26" w:right="230"/>
              <w:rPr>
                <w:sz w:val="13"/>
              </w:rPr>
            </w:pPr>
            <w:r>
              <w:rPr>
                <w:color w:val="231F20"/>
                <w:sz w:val="13"/>
              </w:rPr>
              <w:t>Observe</w:t>
            </w:r>
            <w:r>
              <w:rPr>
                <w:color w:val="231F20"/>
                <w:spacing w:val="-15"/>
                <w:sz w:val="13"/>
              </w:rPr>
              <w:t xml:space="preserve"> </w:t>
            </w:r>
            <w:r>
              <w:rPr>
                <w:color w:val="231F20"/>
                <w:sz w:val="13"/>
              </w:rPr>
              <w:t>Nutrition</w:t>
            </w:r>
            <w:r>
              <w:rPr>
                <w:color w:val="231F20"/>
                <w:spacing w:val="-14"/>
                <w:sz w:val="13"/>
              </w:rPr>
              <w:t xml:space="preserve"> </w:t>
            </w:r>
            <w:r>
              <w:rPr>
                <w:color w:val="231F20"/>
                <w:sz w:val="13"/>
              </w:rPr>
              <w:t>Week</w:t>
            </w:r>
            <w:r>
              <w:rPr>
                <w:color w:val="231F20"/>
                <w:spacing w:val="-15"/>
                <w:sz w:val="13"/>
              </w:rPr>
              <w:t xml:space="preserve"> </w:t>
            </w:r>
            <w:r>
              <w:rPr>
                <w:color w:val="231F20"/>
                <w:sz w:val="13"/>
              </w:rPr>
              <w:t>and</w:t>
            </w:r>
            <w:r>
              <w:rPr>
                <w:color w:val="231F20"/>
                <w:spacing w:val="-14"/>
                <w:sz w:val="13"/>
              </w:rPr>
              <w:t xml:space="preserve"> </w:t>
            </w:r>
            <w:r>
              <w:rPr>
                <w:color w:val="231F20"/>
                <w:sz w:val="13"/>
              </w:rPr>
              <w:t>conduct</w:t>
            </w:r>
            <w:r>
              <w:rPr>
                <w:color w:val="231F20"/>
                <w:spacing w:val="-15"/>
                <w:sz w:val="13"/>
              </w:rPr>
              <w:t xml:space="preserve"> </w:t>
            </w:r>
            <w:r>
              <w:rPr>
                <w:color w:val="231F20"/>
                <w:sz w:val="13"/>
              </w:rPr>
              <w:t>active</w:t>
            </w:r>
            <w:r>
              <w:rPr>
                <w:color w:val="231F20"/>
                <w:spacing w:val="-14"/>
                <w:sz w:val="13"/>
              </w:rPr>
              <w:t xml:space="preserve"> </w:t>
            </w:r>
            <w:r>
              <w:rPr>
                <w:color w:val="231F20"/>
                <w:sz w:val="13"/>
              </w:rPr>
              <w:t>community</w:t>
            </w:r>
            <w:r>
              <w:rPr>
                <w:color w:val="231F20"/>
                <w:spacing w:val="-14"/>
                <w:sz w:val="13"/>
              </w:rPr>
              <w:t xml:space="preserve"> </w:t>
            </w:r>
            <w:r>
              <w:rPr>
                <w:color w:val="231F20"/>
                <w:sz w:val="13"/>
              </w:rPr>
              <w:t>screening</w:t>
            </w:r>
            <w:r>
              <w:rPr>
                <w:color w:val="231F20"/>
                <w:spacing w:val="-15"/>
                <w:sz w:val="13"/>
              </w:rPr>
              <w:t xml:space="preserve"> </w:t>
            </w:r>
            <w:r>
              <w:rPr>
                <w:color w:val="231F20"/>
                <w:sz w:val="13"/>
              </w:rPr>
              <w:t>of</w:t>
            </w:r>
            <w:r>
              <w:rPr>
                <w:color w:val="231F20"/>
                <w:spacing w:val="-14"/>
                <w:sz w:val="13"/>
              </w:rPr>
              <w:t xml:space="preserve"> </w:t>
            </w:r>
            <w:r>
              <w:rPr>
                <w:color w:val="231F20"/>
                <w:sz w:val="13"/>
              </w:rPr>
              <w:t>children</w:t>
            </w:r>
            <w:r>
              <w:rPr>
                <w:color w:val="231F20"/>
                <w:spacing w:val="-15"/>
                <w:sz w:val="13"/>
              </w:rPr>
              <w:t xml:space="preserve"> </w:t>
            </w:r>
            <w:r>
              <w:rPr>
                <w:color w:val="231F20"/>
                <w:sz w:val="13"/>
              </w:rPr>
              <w:t>for</w:t>
            </w:r>
            <w:r>
              <w:rPr>
                <w:color w:val="231F20"/>
                <w:spacing w:val="-14"/>
                <w:sz w:val="13"/>
              </w:rPr>
              <w:t xml:space="preserve"> </w:t>
            </w:r>
            <w:r>
              <w:rPr>
                <w:color w:val="231F20"/>
                <w:sz w:val="13"/>
              </w:rPr>
              <w:t>signs</w:t>
            </w:r>
            <w:r>
              <w:rPr>
                <w:color w:val="231F20"/>
                <w:spacing w:val="-14"/>
                <w:sz w:val="13"/>
              </w:rPr>
              <w:t xml:space="preserve"> </w:t>
            </w:r>
            <w:r>
              <w:rPr>
                <w:color w:val="231F20"/>
                <w:sz w:val="13"/>
              </w:rPr>
              <w:t>of undernutrition</w:t>
            </w:r>
          </w:p>
        </w:tc>
        <w:tc>
          <w:tcPr>
            <w:tcW w:w="1514" w:type="dxa"/>
            <w:tcBorders>
              <w:top w:val="single" w:sz="6" w:space="0" w:color="231F20"/>
              <w:left w:val="single" w:sz="6" w:space="0" w:color="231F20"/>
              <w:bottom w:val="single" w:sz="6" w:space="0" w:color="231F20"/>
              <w:right w:val="single" w:sz="6" w:space="0" w:color="231F20"/>
            </w:tcBorders>
          </w:tcPr>
          <w:p w14:paraId="23F16A72" w14:textId="77777777" w:rsidR="009948F1" w:rsidRDefault="009948F1">
            <w:pPr>
              <w:pStyle w:val="TableParagraph"/>
              <w:spacing w:before="6"/>
              <w:rPr>
                <w:sz w:val="10"/>
              </w:rPr>
            </w:pPr>
          </w:p>
          <w:p w14:paraId="7F8D6410"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6E44B30B" w14:textId="77777777" w:rsidR="009948F1" w:rsidRDefault="009948F1">
            <w:pPr>
              <w:pStyle w:val="TableParagraph"/>
              <w:spacing w:before="6"/>
              <w:rPr>
                <w:sz w:val="10"/>
              </w:rPr>
            </w:pPr>
          </w:p>
          <w:p w14:paraId="5C95A94D" w14:textId="77777777" w:rsidR="009948F1" w:rsidRDefault="00BC0563">
            <w:pPr>
              <w:pStyle w:val="TableParagraph"/>
              <w:ind w:left="26"/>
              <w:rPr>
                <w:sz w:val="13"/>
              </w:rPr>
            </w:pPr>
            <w:r>
              <w:rPr>
                <w:color w:val="231F20"/>
                <w:sz w:val="13"/>
              </w:rPr>
              <w:t>Observe Nutrition Week</w:t>
            </w:r>
          </w:p>
        </w:tc>
      </w:tr>
      <w:tr w:rsidR="009948F1" w14:paraId="09105593" w14:textId="77777777">
        <w:trPr>
          <w:trHeight w:val="400"/>
        </w:trPr>
        <w:tc>
          <w:tcPr>
            <w:tcW w:w="486" w:type="dxa"/>
            <w:vMerge/>
            <w:tcBorders>
              <w:top w:val="nil"/>
              <w:bottom w:val="single" w:sz="6" w:space="0" w:color="231F20"/>
              <w:right w:val="single" w:sz="6" w:space="0" w:color="231F20"/>
            </w:tcBorders>
          </w:tcPr>
          <w:p w14:paraId="59FA8E79"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7C389517" w14:textId="77777777" w:rsidR="009948F1" w:rsidRDefault="009948F1">
            <w:pPr>
              <w:pStyle w:val="TableParagraph"/>
              <w:spacing w:before="10"/>
              <w:rPr>
                <w:sz w:val="10"/>
              </w:rPr>
            </w:pPr>
          </w:p>
          <w:p w14:paraId="21BC8B18" w14:textId="77777777" w:rsidR="009948F1" w:rsidRDefault="00BC0563">
            <w:pPr>
              <w:pStyle w:val="TableParagraph"/>
              <w:ind w:left="63" w:right="42"/>
              <w:jc w:val="center"/>
              <w:rPr>
                <w:sz w:val="13"/>
              </w:rPr>
            </w:pPr>
            <w:r>
              <w:rPr>
                <w:color w:val="231F20"/>
                <w:sz w:val="13"/>
              </w:rPr>
              <w:t>4.6.5.d</w:t>
            </w:r>
          </w:p>
        </w:tc>
        <w:tc>
          <w:tcPr>
            <w:tcW w:w="5191" w:type="dxa"/>
            <w:gridSpan w:val="2"/>
            <w:tcBorders>
              <w:top w:val="single" w:sz="6" w:space="0" w:color="231F20"/>
              <w:left w:val="single" w:sz="6" w:space="0" w:color="231F20"/>
              <w:bottom w:val="single" w:sz="6" w:space="0" w:color="231F20"/>
              <w:right w:val="single" w:sz="6" w:space="0" w:color="231F20"/>
            </w:tcBorders>
          </w:tcPr>
          <w:p w14:paraId="5930D562" w14:textId="77777777" w:rsidR="009948F1" w:rsidRDefault="00BC0563">
            <w:pPr>
              <w:pStyle w:val="TableParagraph"/>
              <w:spacing w:before="39" w:line="261" w:lineRule="auto"/>
              <w:ind w:left="26" w:right="390"/>
              <w:rPr>
                <w:sz w:val="13"/>
              </w:rPr>
            </w:pPr>
            <w:r>
              <w:rPr>
                <w:color w:val="231F20"/>
                <w:sz w:val="13"/>
              </w:rPr>
              <w:t>Establish</w:t>
            </w:r>
            <w:r>
              <w:rPr>
                <w:color w:val="231F20"/>
                <w:spacing w:val="-14"/>
                <w:sz w:val="13"/>
              </w:rPr>
              <w:t xml:space="preserve"> </w:t>
            </w:r>
            <w:r>
              <w:rPr>
                <w:color w:val="231F20"/>
                <w:sz w:val="13"/>
              </w:rPr>
              <w:t>CMAM</w:t>
            </w:r>
            <w:r>
              <w:rPr>
                <w:color w:val="231F20"/>
                <w:spacing w:val="-14"/>
                <w:sz w:val="13"/>
              </w:rPr>
              <w:t xml:space="preserve"> </w:t>
            </w:r>
            <w:r>
              <w:rPr>
                <w:color w:val="231F20"/>
                <w:sz w:val="13"/>
              </w:rPr>
              <w:t>sites</w:t>
            </w:r>
            <w:r>
              <w:rPr>
                <w:color w:val="231F20"/>
                <w:spacing w:val="-14"/>
                <w:sz w:val="13"/>
              </w:rPr>
              <w:t xml:space="preserve"> </w:t>
            </w:r>
            <w:r>
              <w:rPr>
                <w:color w:val="231F20"/>
                <w:sz w:val="13"/>
              </w:rPr>
              <w:t>in</w:t>
            </w:r>
            <w:r>
              <w:rPr>
                <w:color w:val="231F20"/>
                <w:spacing w:val="-14"/>
                <w:sz w:val="13"/>
              </w:rPr>
              <w:t xml:space="preserve"> </w:t>
            </w:r>
            <w:r>
              <w:rPr>
                <w:color w:val="231F20"/>
                <w:sz w:val="13"/>
              </w:rPr>
              <w:t>primary</w:t>
            </w:r>
            <w:r>
              <w:rPr>
                <w:color w:val="231F20"/>
                <w:spacing w:val="-13"/>
                <w:sz w:val="13"/>
              </w:rPr>
              <w:t xml:space="preserve"> </w:t>
            </w:r>
            <w:r>
              <w:rPr>
                <w:color w:val="231F20"/>
                <w:sz w:val="13"/>
              </w:rPr>
              <w:t>and</w:t>
            </w:r>
            <w:r>
              <w:rPr>
                <w:color w:val="231F20"/>
                <w:spacing w:val="-14"/>
                <w:sz w:val="13"/>
              </w:rPr>
              <w:t xml:space="preserve"> </w:t>
            </w:r>
            <w:r>
              <w:rPr>
                <w:color w:val="231F20"/>
                <w:sz w:val="13"/>
              </w:rPr>
              <w:t>secondary</w:t>
            </w:r>
            <w:r>
              <w:rPr>
                <w:color w:val="231F20"/>
                <w:spacing w:val="-14"/>
                <w:sz w:val="13"/>
              </w:rPr>
              <w:t xml:space="preserve"> </w:t>
            </w:r>
            <w:r>
              <w:rPr>
                <w:color w:val="231F20"/>
                <w:sz w:val="13"/>
              </w:rPr>
              <w:t>health</w:t>
            </w:r>
            <w:r>
              <w:rPr>
                <w:color w:val="231F20"/>
                <w:spacing w:val="-14"/>
                <w:sz w:val="13"/>
              </w:rPr>
              <w:t xml:space="preserve"> </w:t>
            </w:r>
            <w:r>
              <w:rPr>
                <w:color w:val="231F20"/>
                <w:sz w:val="13"/>
              </w:rPr>
              <w:t>facilities</w:t>
            </w:r>
            <w:r>
              <w:rPr>
                <w:color w:val="231F20"/>
                <w:spacing w:val="-13"/>
                <w:sz w:val="13"/>
              </w:rPr>
              <w:t xml:space="preserve"> </w:t>
            </w:r>
            <w:r>
              <w:rPr>
                <w:color w:val="231F20"/>
                <w:sz w:val="13"/>
              </w:rPr>
              <w:t>to</w:t>
            </w:r>
            <w:r>
              <w:rPr>
                <w:color w:val="231F20"/>
                <w:spacing w:val="-14"/>
                <w:sz w:val="13"/>
              </w:rPr>
              <w:t xml:space="preserve"> </w:t>
            </w:r>
            <w:r>
              <w:rPr>
                <w:color w:val="231F20"/>
                <w:sz w:val="13"/>
              </w:rPr>
              <w:t>increase</w:t>
            </w:r>
            <w:r>
              <w:rPr>
                <w:color w:val="231F20"/>
                <w:spacing w:val="-14"/>
                <w:sz w:val="13"/>
              </w:rPr>
              <w:t xml:space="preserve"> </w:t>
            </w:r>
            <w:r>
              <w:rPr>
                <w:color w:val="231F20"/>
                <w:sz w:val="13"/>
              </w:rPr>
              <w:t>access</w:t>
            </w:r>
            <w:r>
              <w:rPr>
                <w:color w:val="231F20"/>
                <w:spacing w:val="-14"/>
                <w:sz w:val="13"/>
              </w:rPr>
              <w:t xml:space="preserve"> </w:t>
            </w:r>
            <w:r>
              <w:rPr>
                <w:color w:val="231F20"/>
                <w:sz w:val="13"/>
              </w:rPr>
              <w:t>to CMAM</w:t>
            </w:r>
            <w:r>
              <w:rPr>
                <w:color w:val="231F20"/>
                <w:spacing w:val="-3"/>
                <w:sz w:val="13"/>
              </w:rPr>
              <w:t xml:space="preserve"> </w:t>
            </w:r>
            <w:r>
              <w:rPr>
                <w:color w:val="231F20"/>
                <w:sz w:val="13"/>
              </w:rPr>
              <w:t>services</w:t>
            </w:r>
          </w:p>
        </w:tc>
        <w:tc>
          <w:tcPr>
            <w:tcW w:w="1514" w:type="dxa"/>
            <w:tcBorders>
              <w:top w:val="single" w:sz="6" w:space="0" w:color="231F20"/>
              <w:left w:val="single" w:sz="6" w:space="0" w:color="231F20"/>
              <w:bottom w:val="single" w:sz="6" w:space="0" w:color="231F20"/>
              <w:right w:val="single" w:sz="6" w:space="0" w:color="231F20"/>
            </w:tcBorders>
          </w:tcPr>
          <w:p w14:paraId="4176FD3F" w14:textId="77777777" w:rsidR="009948F1" w:rsidRDefault="009948F1">
            <w:pPr>
              <w:pStyle w:val="TableParagraph"/>
              <w:spacing w:before="10"/>
              <w:rPr>
                <w:sz w:val="10"/>
              </w:rPr>
            </w:pPr>
          </w:p>
          <w:p w14:paraId="0CDE4244"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45A0DF27" w14:textId="77777777" w:rsidR="009948F1" w:rsidRDefault="009948F1">
            <w:pPr>
              <w:pStyle w:val="TableParagraph"/>
              <w:spacing w:before="10"/>
              <w:rPr>
                <w:sz w:val="10"/>
              </w:rPr>
            </w:pPr>
          </w:p>
          <w:p w14:paraId="479DBAB4" w14:textId="77777777" w:rsidR="009948F1" w:rsidRDefault="00BC0563">
            <w:pPr>
              <w:pStyle w:val="TableParagraph"/>
              <w:ind w:left="26"/>
              <w:rPr>
                <w:sz w:val="13"/>
              </w:rPr>
            </w:pPr>
            <w:r>
              <w:rPr>
                <w:color w:val="231F20"/>
                <w:sz w:val="13"/>
              </w:rPr>
              <w:t>No Cost</w:t>
            </w:r>
          </w:p>
        </w:tc>
      </w:tr>
      <w:tr w:rsidR="009948F1" w14:paraId="2067EB71" w14:textId="77777777">
        <w:trPr>
          <w:trHeight w:val="825"/>
        </w:trPr>
        <w:tc>
          <w:tcPr>
            <w:tcW w:w="486" w:type="dxa"/>
            <w:vMerge/>
            <w:tcBorders>
              <w:top w:val="nil"/>
              <w:bottom w:val="single" w:sz="6" w:space="0" w:color="231F20"/>
              <w:right w:val="single" w:sz="6" w:space="0" w:color="231F20"/>
            </w:tcBorders>
          </w:tcPr>
          <w:p w14:paraId="52AF9522"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34F9240D" w14:textId="77777777" w:rsidR="009948F1" w:rsidRDefault="009948F1">
            <w:pPr>
              <w:pStyle w:val="TableParagraph"/>
              <w:rPr>
                <w:sz w:val="12"/>
              </w:rPr>
            </w:pPr>
          </w:p>
          <w:p w14:paraId="54E8D360" w14:textId="77777777" w:rsidR="009948F1" w:rsidRDefault="009948F1">
            <w:pPr>
              <w:pStyle w:val="TableParagraph"/>
              <w:spacing w:before="5"/>
              <w:rPr>
                <w:sz w:val="17"/>
              </w:rPr>
            </w:pPr>
          </w:p>
          <w:p w14:paraId="0301DCC0" w14:textId="77777777" w:rsidR="009948F1" w:rsidRDefault="00BC0563">
            <w:pPr>
              <w:pStyle w:val="TableParagraph"/>
              <w:ind w:left="63" w:right="42"/>
              <w:jc w:val="center"/>
              <w:rPr>
                <w:sz w:val="13"/>
              </w:rPr>
            </w:pPr>
            <w:r>
              <w:rPr>
                <w:color w:val="231F20"/>
                <w:sz w:val="13"/>
              </w:rPr>
              <w:t>4.6.5.e</w:t>
            </w:r>
          </w:p>
        </w:tc>
        <w:tc>
          <w:tcPr>
            <w:tcW w:w="5191" w:type="dxa"/>
            <w:gridSpan w:val="2"/>
            <w:tcBorders>
              <w:top w:val="single" w:sz="6" w:space="0" w:color="231F20"/>
              <w:left w:val="single" w:sz="6" w:space="0" w:color="231F20"/>
              <w:bottom w:val="single" w:sz="6" w:space="0" w:color="231F20"/>
              <w:right w:val="single" w:sz="6" w:space="0" w:color="231F20"/>
            </w:tcBorders>
          </w:tcPr>
          <w:p w14:paraId="797E612D" w14:textId="77777777" w:rsidR="009948F1" w:rsidRDefault="009948F1">
            <w:pPr>
              <w:pStyle w:val="TableParagraph"/>
              <w:spacing w:before="9"/>
              <w:rPr>
                <w:sz w:val="14"/>
              </w:rPr>
            </w:pPr>
          </w:p>
          <w:p w14:paraId="0062FABB" w14:textId="77777777" w:rsidR="009948F1" w:rsidRDefault="00BC0563">
            <w:pPr>
              <w:pStyle w:val="TableParagraph"/>
              <w:spacing w:line="261" w:lineRule="auto"/>
              <w:ind w:left="26" w:right="53"/>
              <w:rPr>
                <w:sz w:val="13"/>
              </w:rPr>
            </w:pPr>
            <w:r>
              <w:rPr>
                <w:color w:val="231F20"/>
                <w:sz w:val="13"/>
              </w:rPr>
              <w:t>Procure</w:t>
            </w:r>
            <w:r>
              <w:rPr>
                <w:color w:val="231F20"/>
                <w:spacing w:val="-14"/>
                <w:sz w:val="13"/>
              </w:rPr>
              <w:t xml:space="preserve"> </w:t>
            </w:r>
            <w:r>
              <w:rPr>
                <w:color w:val="231F20"/>
                <w:sz w:val="13"/>
              </w:rPr>
              <w:t>and</w:t>
            </w:r>
            <w:r>
              <w:rPr>
                <w:color w:val="231F20"/>
                <w:spacing w:val="-14"/>
                <w:sz w:val="13"/>
              </w:rPr>
              <w:t xml:space="preserve"> </w:t>
            </w:r>
            <w:r>
              <w:rPr>
                <w:color w:val="231F20"/>
                <w:sz w:val="13"/>
              </w:rPr>
              <w:t>distribute</w:t>
            </w:r>
            <w:r>
              <w:rPr>
                <w:color w:val="231F20"/>
                <w:spacing w:val="-13"/>
                <w:sz w:val="13"/>
              </w:rPr>
              <w:t xml:space="preserve"> </w:t>
            </w:r>
            <w:r>
              <w:rPr>
                <w:color w:val="231F20"/>
                <w:sz w:val="13"/>
              </w:rPr>
              <w:t>to</w:t>
            </w:r>
            <w:r>
              <w:rPr>
                <w:color w:val="231F20"/>
                <w:spacing w:val="-14"/>
                <w:sz w:val="13"/>
              </w:rPr>
              <w:t xml:space="preserve"> </w:t>
            </w:r>
            <w:r>
              <w:rPr>
                <w:color w:val="231F20"/>
                <w:sz w:val="13"/>
              </w:rPr>
              <w:t>all</w:t>
            </w:r>
            <w:r>
              <w:rPr>
                <w:color w:val="231F20"/>
                <w:spacing w:val="-13"/>
                <w:sz w:val="13"/>
              </w:rPr>
              <w:t xml:space="preserve"> </w:t>
            </w:r>
            <w:r>
              <w:rPr>
                <w:color w:val="231F20"/>
                <w:sz w:val="13"/>
              </w:rPr>
              <w:t>primary</w:t>
            </w:r>
            <w:r>
              <w:rPr>
                <w:color w:val="231F20"/>
                <w:spacing w:val="-14"/>
                <w:sz w:val="13"/>
              </w:rPr>
              <w:t xml:space="preserve"> </w:t>
            </w:r>
            <w:r>
              <w:rPr>
                <w:color w:val="231F20"/>
                <w:sz w:val="13"/>
              </w:rPr>
              <w:t>and</w:t>
            </w:r>
            <w:r>
              <w:rPr>
                <w:color w:val="231F20"/>
                <w:spacing w:val="-13"/>
                <w:sz w:val="13"/>
              </w:rPr>
              <w:t xml:space="preserve"> </w:t>
            </w:r>
            <w:r>
              <w:rPr>
                <w:color w:val="231F20"/>
                <w:sz w:val="13"/>
              </w:rPr>
              <w:t>secondary</w:t>
            </w:r>
            <w:r>
              <w:rPr>
                <w:color w:val="231F20"/>
                <w:spacing w:val="-14"/>
                <w:sz w:val="13"/>
              </w:rPr>
              <w:t xml:space="preserve"> </w:t>
            </w:r>
            <w:r>
              <w:rPr>
                <w:color w:val="231F20"/>
                <w:sz w:val="13"/>
              </w:rPr>
              <w:t>health</w:t>
            </w:r>
            <w:r>
              <w:rPr>
                <w:color w:val="231F20"/>
                <w:spacing w:val="-13"/>
                <w:sz w:val="13"/>
              </w:rPr>
              <w:t xml:space="preserve"> </w:t>
            </w:r>
            <w:r>
              <w:rPr>
                <w:color w:val="231F20"/>
                <w:sz w:val="13"/>
              </w:rPr>
              <w:t>care</w:t>
            </w:r>
            <w:r>
              <w:rPr>
                <w:color w:val="231F20"/>
                <w:spacing w:val="-14"/>
                <w:sz w:val="13"/>
              </w:rPr>
              <w:t xml:space="preserve"> </w:t>
            </w:r>
            <w:r>
              <w:rPr>
                <w:color w:val="231F20"/>
                <w:sz w:val="13"/>
              </w:rPr>
              <w:t>facilities,</w:t>
            </w:r>
            <w:r>
              <w:rPr>
                <w:color w:val="231F20"/>
                <w:spacing w:val="-14"/>
                <w:sz w:val="13"/>
              </w:rPr>
              <w:t xml:space="preserve"> </w:t>
            </w:r>
            <w:r>
              <w:rPr>
                <w:color w:val="231F20"/>
                <w:sz w:val="13"/>
              </w:rPr>
              <w:t>essential</w:t>
            </w:r>
            <w:r>
              <w:rPr>
                <w:color w:val="231F20"/>
                <w:spacing w:val="-13"/>
                <w:sz w:val="13"/>
              </w:rPr>
              <w:t xml:space="preserve"> </w:t>
            </w:r>
            <w:r>
              <w:rPr>
                <w:color w:val="231F20"/>
                <w:sz w:val="13"/>
              </w:rPr>
              <w:t>drugs</w:t>
            </w:r>
            <w:r>
              <w:rPr>
                <w:color w:val="231F20"/>
                <w:spacing w:val="-14"/>
                <w:sz w:val="13"/>
              </w:rPr>
              <w:t xml:space="preserve"> </w:t>
            </w:r>
            <w:r>
              <w:rPr>
                <w:color w:val="231F20"/>
                <w:sz w:val="13"/>
              </w:rPr>
              <w:t>for the management of malnutrition and nutrition commodities for management of severe acute</w:t>
            </w:r>
            <w:r>
              <w:rPr>
                <w:color w:val="231F20"/>
                <w:spacing w:val="-5"/>
                <w:sz w:val="13"/>
              </w:rPr>
              <w:t xml:space="preserve"> </w:t>
            </w:r>
            <w:r>
              <w:rPr>
                <w:color w:val="231F20"/>
                <w:sz w:val="13"/>
              </w:rPr>
              <w:t>malnutrition</w:t>
            </w:r>
            <w:r>
              <w:rPr>
                <w:color w:val="231F20"/>
                <w:spacing w:val="-5"/>
                <w:sz w:val="13"/>
              </w:rPr>
              <w:t xml:space="preserve"> </w:t>
            </w:r>
            <w:r>
              <w:rPr>
                <w:color w:val="231F20"/>
                <w:sz w:val="13"/>
              </w:rPr>
              <w:t>including</w:t>
            </w:r>
            <w:r>
              <w:rPr>
                <w:color w:val="231F20"/>
                <w:spacing w:val="-5"/>
                <w:sz w:val="13"/>
              </w:rPr>
              <w:t xml:space="preserve"> </w:t>
            </w:r>
            <w:r>
              <w:rPr>
                <w:color w:val="231F20"/>
                <w:sz w:val="13"/>
              </w:rPr>
              <w:t>Ready</w:t>
            </w:r>
            <w:r>
              <w:rPr>
                <w:color w:val="231F20"/>
                <w:spacing w:val="-5"/>
                <w:sz w:val="13"/>
              </w:rPr>
              <w:t xml:space="preserve"> </w:t>
            </w:r>
            <w:r>
              <w:rPr>
                <w:color w:val="231F20"/>
                <w:sz w:val="13"/>
              </w:rPr>
              <w:t>to</w:t>
            </w:r>
            <w:r>
              <w:rPr>
                <w:color w:val="231F20"/>
                <w:spacing w:val="-5"/>
                <w:sz w:val="13"/>
              </w:rPr>
              <w:t xml:space="preserve"> </w:t>
            </w:r>
            <w:r>
              <w:rPr>
                <w:color w:val="231F20"/>
                <w:sz w:val="13"/>
              </w:rPr>
              <w:t>Use</w:t>
            </w:r>
            <w:r>
              <w:rPr>
                <w:color w:val="231F20"/>
                <w:spacing w:val="-6"/>
                <w:sz w:val="13"/>
              </w:rPr>
              <w:t xml:space="preserve"> </w:t>
            </w:r>
            <w:r>
              <w:rPr>
                <w:color w:val="231F20"/>
                <w:sz w:val="13"/>
              </w:rPr>
              <w:t>Therapeutic</w:t>
            </w:r>
            <w:r>
              <w:rPr>
                <w:color w:val="231F20"/>
                <w:spacing w:val="-5"/>
                <w:sz w:val="13"/>
              </w:rPr>
              <w:t xml:space="preserve"> </w:t>
            </w:r>
            <w:r>
              <w:rPr>
                <w:color w:val="231F20"/>
                <w:sz w:val="13"/>
              </w:rPr>
              <w:t>Foods</w:t>
            </w:r>
            <w:r>
              <w:rPr>
                <w:color w:val="231F20"/>
                <w:spacing w:val="-5"/>
                <w:sz w:val="13"/>
              </w:rPr>
              <w:t xml:space="preserve"> </w:t>
            </w:r>
            <w:r>
              <w:rPr>
                <w:color w:val="231F20"/>
                <w:sz w:val="13"/>
              </w:rPr>
              <w:t>(RUTF)</w:t>
            </w:r>
          </w:p>
        </w:tc>
        <w:tc>
          <w:tcPr>
            <w:tcW w:w="1514" w:type="dxa"/>
            <w:tcBorders>
              <w:top w:val="single" w:sz="6" w:space="0" w:color="231F20"/>
              <w:left w:val="single" w:sz="6" w:space="0" w:color="231F20"/>
              <w:bottom w:val="single" w:sz="6" w:space="0" w:color="231F20"/>
              <w:right w:val="single" w:sz="6" w:space="0" w:color="231F20"/>
            </w:tcBorders>
          </w:tcPr>
          <w:p w14:paraId="70399A64" w14:textId="77777777" w:rsidR="009948F1" w:rsidRDefault="009948F1">
            <w:pPr>
              <w:pStyle w:val="TableParagraph"/>
              <w:rPr>
                <w:sz w:val="12"/>
              </w:rPr>
            </w:pPr>
          </w:p>
          <w:p w14:paraId="6CE4F2F3" w14:textId="77777777" w:rsidR="009948F1" w:rsidRDefault="009948F1">
            <w:pPr>
              <w:pStyle w:val="TableParagraph"/>
              <w:spacing w:before="5"/>
              <w:rPr>
                <w:sz w:val="17"/>
              </w:rPr>
            </w:pPr>
          </w:p>
          <w:p w14:paraId="26494FD6"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65888C72" w14:textId="77777777" w:rsidR="009948F1" w:rsidRDefault="009948F1">
            <w:pPr>
              <w:pStyle w:val="TableParagraph"/>
              <w:rPr>
                <w:sz w:val="12"/>
              </w:rPr>
            </w:pPr>
          </w:p>
          <w:p w14:paraId="4280EB19" w14:textId="77777777" w:rsidR="009948F1" w:rsidRDefault="009948F1">
            <w:pPr>
              <w:pStyle w:val="TableParagraph"/>
              <w:spacing w:before="5"/>
              <w:rPr>
                <w:sz w:val="17"/>
              </w:rPr>
            </w:pPr>
          </w:p>
          <w:p w14:paraId="66C7F752" w14:textId="77777777" w:rsidR="009948F1" w:rsidRDefault="00BC0563">
            <w:pPr>
              <w:pStyle w:val="TableParagraph"/>
              <w:ind w:left="26"/>
              <w:rPr>
                <w:sz w:val="13"/>
              </w:rPr>
            </w:pPr>
            <w:r>
              <w:rPr>
                <w:color w:val="231F20"/>
                <w:sz w:val="13"/>
              </w:rPr>
              <w:t>Costed in OHT</w:t>
            </w:r>
          </w:p>
        </w:tc>
      </w:tr>
      <w:tr w:rsidR="009948F1" w14:paraId="248EC2DB" w14:textId="77777777">
        <w:trPr>
          <w:trHeight w:val="1169"/>
        </w:trPr>
        <w:tc>
          <w:tcPr>
            <w:tcW w:w="486" w:type="dxa"/>
            <w:tcBorders>
              <w:top w:val="single" w:sz="6" w:space="0" w:color="231F20"/>
              <w:left w:val="single" w:sz="12" w:space="0" w:color="231F20"/>
              <w:bottom w:val="single" w:sz="6" w:space="0" w:color="231F20"/>
              <w:right w:val="single" w:sz="6" w:space="0" w:color="231F20"/>
            </w:tcBorders>
            <w:shd w:val="clear" w:color="auto" w:fill="CCE7D3"/>
          </w:tcPr>
          <w:p w14:paraId="4DC0220B" w14:textId="77777777" w:rsidR="009948F1" w:rsidRDefault="009948F1">
            <w:pPr>
              <w:pStyle w:val="TableParagraph"/>
              <w:rPr>
                <w:sz w:val="12"/>
              </w:rPr>
            </w:pPr>
          </w:p>
          <w:p w14:paraId="5EE6F196" w14:textId="77777777" w:rsidR="009948F1" w:rsidRDefault="009948F1">
            <w:pPr>
              <w:pStyle w:val="TableParagraph"/>
              <w:rPr>
                <w:sz w:val="12"/>
              </w:rPr>
            </w:pPr>
          </w:p>
          <w:p w14:paraId="5CCEEF6B" w14:textId="77777777" w:rsidR="009948F1" w:rsidRDefault="009948F1">
            <w:pPr>
              <w:pStyle w:val="TableParagraph"/>
              <w:rPr>
                <w:sz w:val="12"/>
              </w:rPr>
            </w:pPr>
          </w:p>
          <w:p w14:paraId="09C3B33E" w14:textId="77777777" w:rsidR="009948F1" w:rsidRDefault="00BC0563">
            <w:pPr>
              <w:pStyle w:val="TableParagraph"/>
              <w:spacing w:before="96"/>
              <w:ind w:left="57"/>
              <w:rPr>
                <w:sz w:val="13"/>
              </w:rPr>
            </w:pPr>
            <w:r>
              <w:rPr>
                <w:color w:val="231F20"/>
                <w:sz w:val="13"/>
              </w:rPr>
              <w:t>4.6.6</w:t>
            </w:r>
          </w:p>
        </w:tc>
        <w:tc>
          <w:tcPr>
            <w:tcW w:w="3221" w:type="dxa"/>
            <w:gridSpan w:val="2"/>
            <w:tcBorders>
              <w:top w:val="single" w:sz="6" w:space="0" w:color="231F20"/>
              <w:left w:val="single" w:sz="6" w:space="0" w:color="231F20"/>
              <w:bottom w:val="single" w:sz="6" w:space="0" w:color="231F20"/>
              <w:right w:val="single" w:sz="6" w:space="0" w:color="231F20"/>
            </w:tcBorders>
            <w:shd w:val="clear" w:color="auto" w:fill="CCE7D3"/>
          </w:tcPr>
          <w:p w14:paraId="33BFFD0F" w14:textId="77777777" w:rsidR="009948F1" w:rsidRDefault="009948F1">
            <w:pPr>
              <w:pStyle w:val="TableParagraph"/>
              <w:rPr>
                <w:sz w:val="12"/>
              </w:rPr>
            </w:pPr>
          </w:p>
          <w:p w14:paraId="675BF061" w14:textId="77777777" w:rsidR="009948F1" w:rsidRDefault="009948F1">
            <w:pPr>
              <w:pStyle w:val="TableParagraph"/>
              <w:spacing w:before="7"/>
              <w:rPr>
                <w:sz w:val="10"/>
              </w:rPr>
            </w:pPr>
          </w:p>
          <w:p w14:paraId="4D21A177" w14:textId="77777777" w:rsidR="009948F1" w:rsidRDefault="00BC0563">
            <w:pPr>
              <w:pStyle w:val="TableParagraph"/>
              <w:spacing w:line="261" w:lineRule="auto"/>
              <w:ind w:left="26" w:right="114" w:firstLine="35"/>
              <w:rPr>
                <w:sz w:val="13"/>
              </w:rPr>
            </w:pPr>
            <w:r>
              <w:rPr>
                <w:color w:val="231F20"/>
                <w:sz w:val="13"/>
              </w:rPr>
              <w:t>Scale up nutrition for children with special nutritional needs</w:t>
            </w:r>
            <w:r>
              <w:rPr>
                <w:color w:val="231F20"/>
                <w:spacing w:val="-15"/>
                <w:sz w:val="13"/>
              </w:rPr>
              <w:t xml:space="preserve"> </w:t>
            </w:r>
            <w:r>
              <w:rPr>
                <w:color w:val="231F20"/>
                <w:sz w:val="13"/>
              </w:rPr>
              <w:t>including</w:t>
            </w:r>
            <w:r>
              <w:rPr>
                <w:color w:val="231F20"/>
                <w:spacing w:val="-15"/>
                <w:sz w:val="13"/>
              </w:rPr>
              <w:t xml:space="preserve"> </w:t>
            </w:r>
            <w:r>
              <w:rPr>
                <w:color w:val="231F20"/>
                <w:sz w:val="13"/>
              </w:rPr>
              <w:t>(children</w:t>
            </w:r>
            <w:r>
              <w:rPr>
                <w:color w:val="231F20"/>
                <w:spacing w:val="-15"/>
                <w:sz w:val="13"/>
              </w:rPr>
              <w:t xml:space="preserve"> </w:t>
            </w:r>
            <w:r>
              <w:rPr>
                <w:color w:val="231F20"/>
                <w:sz w:val="13"/>
              </w:rPr>
              <w:t>born</w:t>
            </w:r>
            <w:r>
              <w:rPr>
                <w:color w:val="231F20"/>
                <w:spacing w:val="-15"/>
                <w:sz w:val="13"/>
              </w:rPr>
              <w:t xml:space="preserve"> </w:t>
            </w:r>
            <w:r>
              <w:rPr>
                <w:color w:val="231F20"/>
                <w:sz w:val="13"/>
              </w:rPr>
              <w:t>to</w:t>
            </w:r>
            <w:r>
              <w:rPr>
                <w:color w:val="231F20"/>
                <w:spacing w:val="-15"/>
                <w:sz w:val="13"/>
              </w:rPr>
              <w:t xml:space="preserve"> </w:t>
            </w:r>
            <w:r>
              <w:rPr>
                <w:color w:val="231F20"/>
                <w:sz w:val="13"/>
              </w:rPr>
              <w:t>HIV</w:t>
            </w:r>
            <w:r>
              <w:rPr>
                <w:color w:val="231F20"/>
                <w:spacing w:val="-15"/>
                <w:sz w:val="13"/>
              </w:rPr>
              <w:t xml:space="preserve"> </w:t>
            </w:r>
            <w:r>
              <w:rPr>
                <w:color w:val="231F20"/>
                <w:sz w:val="13"/>
              </w:rPr>
              <w:t>positive</w:t>
            </w:r>
            <w:r>
              <w:rPr>
                <w:color w:val="231F20"/>
                <w:spacing w:val="-15"/>
                <w:sz w:val="13"/>
              </w:rPr>
              <w:t xml:space="preserve"> </w:t>
            </w:r>
            <w:r>
              <w:rPr>
                <w:color w:val="231F20"/>
                <w:sz w:val="13"/>
              </w:rPr>
              <w:t xml:space="preserve">mothers; infants and young children in emergencies with persistent </w:t>
            </w:r>
            <w:proofErr w:type="spellStart"/>
            <w:r>
              <w:rPr>
                <w:color w:val="231F20"/>
                <w:sz w:val="13"/>
              </w:rPr>
              <w:t>diarrhoea</w:t>
            </w:r>
            <w:proofErr w:type="spellEnd"/>
            <w:r>
              <w:rPr>
                <w:color w:val="231F20"/>
                <w:spacing w:val="-6"/>
                <w:sz w:val="13"/>
              </w:rPr>
              <w:t xml:space="preserve"> </w:t>
            </w:r>
            <w:r>
              <w:rPr>
                <w:color w:val="231F20"/>
                <w:sz w:val="13"/>
              </w:rPr>
              <w:t>etc.</w:t>
            </w:r>
          </w:p>
        </w:tc>
        <w:tc>
          <w:tcPr>
            <w:tcW w:w="2528" w:type="dxa"/>
            <w:tcBorders>
              <w:top w:val="single" w:sz="6" w:space="0" w:color="231F20"/>
              <w:left w:val="single" w:sz="6" w:space="0" w:color="231F20"/>
              <w:bottom w:val="single" w:sz="6" w:space="0" w:color="231F20"/>
              <w:right w:val="single" w:sz="6" w:space="0" w:color="231F20"/>
            </w:tcBorders>
            <w:shd w:val="clear" w:color="auto" w:fill="CCE7D3"/>
          </w:tcPr>
          <w:p w14:paraId="1E3C1F1C" w14:textId="77777777" w:rsidR="009948F1" w:rsidRDefault="00BC0563">
            <w:pPr>
              <w:pStyle w:val="TableParagraph"/>
              <w:numPr>
                <w:ilvl w:val="0"/>
                <w:numId w:val="172"/>
              </w:numPr>
              <w:tabs>
                <w:tab w:val="left" w:pos="106"/>
              </w:tabs>
              <w:spacing w:before="103" w:line="261" w:lineRule="auto"/>
              <w:ind w:right="102" w:firstLine="0"/>
              <w:rPr>
                <w:sz w:val="13"/>
              </w:rPr>
            </w:pPr>
            <w:r>
              <w:rPr>
                <w:color w:val="231F20"/>
                <w:sz w:val="13"/>
              </w:rPr>
              <w:t>Health</w:t>
            </w:r>
            <w:r>
              <w:rPr>
                <w:color w:val="231F20"/>
                <w:spacing w:val="-12"/>
                <w:sz w:val="13"/>
              </w:rPr>
              <w:t xml:space="preserve"> </w:t>
            </w:r>
            <w:r>
              <w:rPr>
                <w:color w:val="231F20"/>
                <w:sz w:val="13"/>
              </w:rPr>
              <w:t>talk</w:t>
            </w:r>
            <w:r>
              <w:rPr>
                <w:color w:val="231F20"/>
                <w:spacing w:val="-12"/>
                <w:sz w:val="13"/>
              </w:rPr>
              <w:t xml:space="preserve"> </w:t>
            </w:r>
            <w:r>
              <w:rPr>
                <w:color w:val="231F20"/>
                <w:sz w:val="13"/>
              </w:rPr>
              <w:t>on</w:t>
            </w:r>
            <w:r>
              <w:rPr>
                <w:color w:val="231F20"/>
                <w:spacing w:val="-11"/>
                <w:sz w:val="13"/>
              </w:rPr>
              <w:t xml:space="preserve"> </w:t>
            </w:r>
            <w:r>
              <w:rPr>
                <w:color w:val="231F20"/>
                <w:sz w:val="13"/>
              </w:rPr>
              <w:t>the</w:t>
            </w:r>
            <w:r>
              <w:rPr>
                <w:color w:val="231F20"/>
                <w:spacing w:val="-12"/>
                <w:sz w:val="13"/>
              </w:rPr>
              <w:t xml:space="preserve"> </w:t>
            </w:r>
            <w:r>
              <w:rPr>
                <w:color w:val="231F20"/>
                <w:sz w:val="13"/>
              </w:rPr>
              <w:t>use</w:t>
            </w:r>
            <w:r>
              <w:rPr>
                <w:color w:val="231F20"/>
                <w:spacing w:val="-11"/>
                <w:sz w:val="13"/>
              </w:rPr>
              <w:t xml:space="preserve"> </w:t>
            </w:r>
            <w:r>
              <w:rPr>
                <w:color w:val="231F20"/>
                <w:sz w:val="13"/>
              </w:rPr>
              <w:t>of</w:t>
            </w:r>
            <w:r>
              <w:rPr>
                <w:color w:val="231F20"/>
                <w:spacing w:val="-12"/>
                <w:sz w:val="13"/>
              </w:rPr>
              <w:t xml:space="preserve"> </w:t>
            </w:r>
            <w:r>
              <w:rPr>
                <w:color w:val="231F20"/>
                <w:sz w:val="13"/>
              </w:rPr>
              <w:t>zinc</w:t>
            </w:r>
            <w:r>
              <w:rPr>
                <w:color w:val="231F20"/>
                <w:spacing w:val="-11"/>
                <w:sz w:val="13"/>
              </w:rPr>
              <w:t xml:space="preserve"> </w:t>
            </w:r>
            <w:r>
              <w:rPr>
                <w:color w:val="231F20"/>
                <w:sz w:val="13"/>
              </w:rPr>
              <w:t>supplement for</w:t>
            </w:r>
            <w:r>
              <w:rPr>
                <w:color w:val="231F20"/>
                <w:spacing w:val="-9"/>
                <w:sz w:val="13"/>
              </w:rPr>
              <w:t xml:space="preserve"> </w:t>
            </w:r>
            <w:proofErr w:type="spellStart"/>
            <w:r>
              <w:rPr>
                <w:color w:val="231F20"/>
                <w:sz w:val="13"/>
              </w:rPr>
              <w:t>diarrhoea</w:t>
            </w:r>
            <w:proofErr w:type="spellEnd"/>
            <w:r>
              <w:rPr>
                <w:color w:val="231F20"/>
                <w:spacing w:val="-9"/>
                <w:sz w:val="13"/>
              </w:rPr>
              <w:t xml:space="preserve"> </w:t>
            </w:r>
            <w:r>
              <w:rPr>
                <w:color w:val="231F20"/>
                <w:sz w:val="13"/>
              </w:rPr>
              <w:t>management</w:t>
            </w:r>
            <w:r>
              <w:rPr>
                <w:color w:val="231F20"/>
                <w:spacing w:val="-9"/>
                <w:sz w:val="13"/>
              </w:rPr>
              <w:t xml:space="preserve"> </w:t>
            </w:r>
            <w:r>
              <w:rPr>
                <w:color w:val="231F20"/>
                <w:sz w:val="13"/>
              </w:rPr>
              <w:t>given</w:t>
            </w:r>
            <w:r>
              <w:rPr>
                <w:color w:val="231F20"/>
                <w:spacing w:val="-9"/>
                <w:sz w:val="13"/>
              </w:rPr>
              <w:t xml:space="preserve"> </w:t>
            </w:r>
            <w:r>
              <w:rPr>
                <w:color w:val="231F20"/>
                <w:sz w:val="13"/>
              </w:rPr>
              <w:t>in</w:t>
            </w:r>
            <w:r>
              <w:rPr>
                <w:color w:val="231F20"/>
                <w:spacing w:val="-9"/>
                <w:sz w:val="13"/>
              </w:rPr>
              <w:t xml:space="preserve"> </w:t>
            </w:r>
            <w:r>
              <w:rPr>
                <w:color w:val="231F20"/>
                <w:sz w:val="13"/>
              </w:rPr>
              <w:t>HFs</w:t>
            </w:r>
          </w:p>
          <w:p w14:paraId="03823697" w14:textId="77777777" w:rsidR="009948F1" w:rsidRDefault="00BC0563">
            <w:pPr>
              <w:pStyle w:val="TableParagraph"/>
              <w:numPr>
                <w:ilvl w:val="0"/>
                <w:numId w:val="172"/>
              </w:numPr>
              <w:tabs>
                <w:tab w:val="left" w:pos="72"/>
              </w:tabs>
              <w:spacing w:line="261" w:lineRule="auto"/>
              <w:ind w:right="767" w:firstLine="0"/>
              <w:rPr>
                <w:sz w:val="13"/>
              </w:rPr>
            </w:pPr>
            <w:r>
              <w:rPr>
                <w:color w:val="231F20"/>
                <w:sz w:val="13"/>
              </w:rPr>
              <w:t>100</w:t>
            </w:r>
            <w:r>
              <w:rPr>
                <w:color w:val="231F20"/>
                <w:spacing w:val="-11"/>
                <w:sz w:val="13"/>
              </w:rPr>
              <w:t xml:space="preserve"> </w:t>
            </w:r>
            <w:r>
              <w:rPr>
                <w:color w:val="231F20"/>
                <w:sz w:val="13"/>
              </w:rPr>
              <w:t>mothers</w:t>
            </w:r>
            <w:r>
              <w:rPr>
                <w:color w:val="231F20"/>
                <w:spacing w:val="-11"/>
                <w:sz w:val="13"/>
              </w:rPr>
              <w:t xml:space="preserve"> </w:t>
            </w:r>
            <w:r>
              <w:rPr>
                <w:color w:val="231F20"/>
                <w:sz w:val="13"/>
              </w:rPr>
              <w:t>trained</w:t>
            </w:r>
            <w:r>
              <w:rPr>
                <w:color w:val="231F20"/>
                <w:spacing w:val="-11"/>
                <w:sz w:val="13"/>
              </w:rPr>
              <w:t xml:space="preserve"> </w:t>
            </w:r>
            <w:r>
              <w:rPr>
                <w:color w:val="231F20"/>
                <w:sz w:val="13"/>
              </w:rPr>
              <w:t>on</w:t>
            </w:r>
            <w:r>
              <w:rPr>
                <w:color w:val="231F20"/>
                <w:spacing w:val="-11"/>
                <w:sz w:val="13"/>
              </w:rPr>
              <w:t xml:space="preserve"> </w:t>
            </w:r>
            <w:r>
              <w:rPr>
                <w:color w:val="231F20"/>
                <w:sz w:val="13"/>
              </w:rPr>
              <w:t>use</w:t>
            </w:r>
            <w:r>
              <w:rPr>
                <w:color w:val="231F20"/>
                <w:spacing w:val="-11"/>
                <w:sz w:val="13"/>
              </w:rPr>
              <w:t xml:space="preserve"> </w:t>
            </w:r>
            <w:r>
              <w:rPr>
                <w:color w:val="231F20"/>
                <w:spacing w:val="-6"/>
                <w:sz w:val="13"/>
              </w:rPr>
              <w:t xml:space="preserve">of </w:t>
            </w:r>
            <w:r>
              <w:rPr>
                <w:color w:val="231F20"/>
                <w:sz w:val="13"/>
              </w:rPr>
              <w:t>micronutrients</w:t>
            </w:r>
            <w:r>
              <w:rPr>
                <w:color w:val="231F20"/>
                <w:spacing w:val="-5"/>
                <w:sz w:val="13"/>
              </w:rPr>
              <w:t xml:space="preserve"> </w:t>
            </w:r>
            <w:r>
              <w:rPr>
                <w:color w:val="231F20"/>
                <w:sz w:val="13"/>
              </w:rPr>
              <w:t>powder</w:t>
            </w:r>
          </w:p>
          <w:p w14:paraId="3574E1EC" w14:textId="77777777" w:rsidR="009948F1" w:rsidRDefault="00BC0563">
            <w:pPr>
              <w:pStyle w:val="TableParagraph"/>
              <w:numPr>
                <w:ilvl w:val="0"/>
                <w:numId w:val="172"/>
              </w:numPr>
              <w:tabs>
                <w:tab w:val="left" w:pos="106"/>
              </w:tabs>
              <w:spacing w:line="261" w:lineRule="auto"/>
              <w:ind w:right="552" w:firstLine="0"/>
              <w:rPr>
                <w:sz w:val="13"/>
              </w:rPr>
            </w:pPr>
            <w:r>
              <w:rPr>
                <w:color w:val="231F20"/>
                <w:sz w:val="13"/>
              </w:rPr>
              <w:t>Demonstration on the use of micronutrients</w:t>
            </w:r>
            <w:r>
              <w:rPr>
                <w:color w:val="231F20"/>
                <w:spacing w:val="-20"/>
                <w:sz w:val="13"/>
              </w:rPr>
              <w:t xml:space="preserve"> </w:t>
            </w:r>
            <w:r>
              <w:rPr>
                <w:color w:val="231F20"/>
                <w:sz w:val="13"/>
              </w:rPr>
              <w:t>powders</w:t>
            </w:r>
            <w:r>
              <w:rPr>
                <w:color w:val="231F20"/>
                <w:spacing w:val="-19"/>
                <w:sz w:val="13"/>
              </w:rPr>
              <w:t xml:space="preserve"> </w:t>
            </w:r>
            <w:r>
              <w:rPr>
                <w:color w:val="231F20"/>
                <w:sz w:val="13"/>
              </w:rPr>
              <w:t>carried</w:t>
            </w:r>
            <w:r>
              <w:rPr>
                <w:color w:val="231F20"/>
                <w:spacing w:val="-19"/>
                <w:sz w:val="13"/>
              </w:rPr>
              <w:t xml:space="preserve"> </w:t>
            </w:r>
            <w:r>
              <w:rPr>
                <w:color w:val="231F20"/>
                <w:spacing w:val="-4"/>
                <w:sz w:val="13"/>
              </w:rPr>
              <w:t>out</w:t>
            </w:r>
          </w:p>
        </w:tc>
        <w:tc>
          <w:tcPr>
            <w:tcW w:w="1514" w:type="dxa"/>
            <w:tcBorders>
              <w:top w:val="single" w:sz="6" w:space="0" w:color="231F20"/>
              <w:left w:val="single" w:sz="6" w:space="0" w:color="231F20"/>
              <w:bottom w:val="single" w:sz="6" w:space="0" w:color="231F20"/>
              <w:right w:val="single" w:sz="12" w:space="0" w:color="231F20"/>
            </w:tcBorders>
            <w:shd w:val="clear" w:color="auto" w:fill="CCE7D3"/>
          </w:tcPr>
          <w:p w14:paraId="600BF4DF" w14:textId="77777777" w:rsidR="009948F1" w:rsidRDefault="009948F1">
            <w:pPr>
              <w:pStyle w:val="TableParagraph"/>
              <w:rPr>
                <w:rFonts w:ascii="Times New Roman"/>
                <w:sz w:val="12"/>
              </w:rPr>
            </w:pPr>
          </w:p>
        </w:tc>
        <w:tc>
          <w:tcPr>
            <w:tcW w:w="1595" w:type="dxa"/>
            <w:tcBorders>
              <w:top w:val="single" w:sz="6" w:space="0" w:color="231F20"/>
              <w:left w:val="single" w:sz="12" w:space="0" w:color="231F20"/>
              <w:bottom w:val="single" w:sz="6" w:space="0" w:color="231F20"/>
            </w:tcBorders>
            <w:shd w:val="clear" w:color="auto" w:fill="CCE7D3"/>
          </w:tcPr>
          <w:p w14:paraId="45BDFC8F" w14:textId="77777777" w:rsidR="009948F1" w:rsidRDefault="009948F1">
            <w:pPr>
              <w:pStyle w:val="TableParagraph"/>
              <w:rPr>
                <w:rFonts w:ascii="Times New Roman"/>
                <w:sz w:val="12"/>
              </w:rPr>
            </w:pPr>
          </w:p>
        </w:tc>
      </w:tr>
      <w:tr w:rsidR="009948F1" w14:paraId="070594C3" w14:textId="77777777">
        <w:trPr>
          <w:trHeight w:val="502"/>
        </w:trPr>
        <w:tc>
          <w:tcPr>
            <w:tcW w:w="486" w:type="dxa"/>
            <w:vMerge w:val="restart"/>
            <w:tcBorders>
              <w:top w:val="single" w:sz="6" w:space="0" w:color="231F20"/>
              <w:right w:val="single" w:sz="6" w:space="0" w:color="231F20"/>
            </w:tcBorders>
          </w:tcPr>
          <w:p w14:paraId="13D61B49" w14:textId="77777777" w:rsidR="009948F1" w:rsidRDefault="009948F1">
            <w:pPr>
              <w:pStyle w:val="TableParagraph"/>
              <w:rPr>
                <w:rFonts w:ascii="Times New Roman"/>
                <w:sz w:val="12"/>
              </w:rPr>
            </w:pPr>
          </w:p>
        </w:tc>
        <w:tc>
          <w:tcPr>
            <w:tcW w:w="558" w:type="dxa"/>
            <w:tcBorders>
              <w:top w:val="single" w:sz="6" w:space="0" w:color="231F20"/>
              <w:left w:val="single" w:sz="6" w:space="0" w:color="231F20"/>
              <w:bottom w:val="single" w:sz="6" w:space="0" w:color="231F20"/>
              <w:right w:val="single" w:sz="6" w:space="0" w:color="231F20"/>
            </w:tcBorders>
          </w:tcPr>
          <w:p w14:paraId="17E17D30" w14:textId="77777777" w:rsidR="009948F1" w:rsidRDefault="009948F1">
            <w:pPr>
              <w:pStyle w:val="TableParagraph"/>
              <w:spacing w:before="6"/>
              <w:rPr>
                <w:sz w:val="15"/>
              </w:rPr>
            </w:pPr>
          </w:p>
          <w:p w14:paraId="408C60B8" w14:textId="77777777" w:rsidR="009948F1" w:rsidRDefault="00BC0563">
            <w:pPr>
              <w:pStyle w:val="TableParagraph"/>
              <w:ind w:left="63" w:right="42"/>
              <w:jc w:val="center"/>
              <w:rPr>
                <w:sz w:val="13"/>
              </w:rPr>
            </w:pPr>
            <w:r>
              <w:rPr>
                <w:color w:val="231F20"/>
                <w:sz w:val="13"/>
              </w:rPr>
              <w:t>4.6.6.a</w:t>
            </w:r>
          </w:p>
        </w:tc>
        <w:tc>
          <w:tcPr>
            <w:tcW w:w="5191" w:type="dxa"/>
            <w:gridSpan w:val="2"/>
            <w:tcBorders>
              <w:top w:val="single" w:sz="6" w:space="0" w:color="231F20"/>
              <w:left w:val="single" w:sz="6" w:space="0" w:color="231F20"/>
              <w:bottom w:val="single" w:sz="6" w:space="0" w:color="231F20"/>
              <w:right w:val="single" w:sz="6" w:space="0" w:color="231F20"/>
            </w:tcBorders>
          </w:tcPr>
          <w:p w14:paraId="64675B38" w14:textId="77777777" w:rsidR="009948F1" w:rsidRDefault="00BC0563">
            <w:pPr>
              <w:pStyle w:val="TableParagraph"/>
              <w:spacing w:before="91" w:line="261" w:lineRule="auto"/>
              <w:ind w:left="26" w:right="131"/>
              <w:rPr>
                <w:sz w:val="13"/>
              </w:rPr>
            </w:pPr>
            <w:r>
              <w:rPr>
                <w:color w:val="231F20"/>
                <w:sz w:val="13"/>
              </w:rPr>
              <w:t>Adhere</w:t>
            </w:r>
            <w:r>
              <w:rPr>
                <w:color w:val="231F20"/>
                <w:spacing w:val="-14"/>
                <w:sz w:val="13"/>
              </w:rPr>
              <w:t xml:space="preserve"> </w:t>
            </w:r>
            <w:r>
              <w:rPr>
                <w:color w:val="231F20"/>
                <w:sz w:val="13"/>
              </w:rPr>
              <w:t>to</w:t>
            </w:r>
            <w:r>
              <w:rPr>
                <w:color w:val="231F20"/>
                <w:spacing w:val="-13"/>
                <w:sz w:val="13"/>
              </w:rPr>
              <w:t xml:space="preserve"> </w:t>
            </w:r>
            <w:r>
              <w:rPr>
                <w:color w:val="231F20"/>
                <w:sz w:val="13"/>
              </w:rPr>
              <w:t>national</w:t>
            </w:r>
            <w:r>
              <w:rPr>
                <w:color w:val="231F20"/>
                <w:spacing w:val="-14"/>
                <w:sz w:val="13"/>
              </w:rPr>
              <w:t xml:space="preserve"> </w:t>
            </w:r>
            <w:r>
              <w:rPr>
                <w:color w:val="231F20"/>
                <w:sz w:val="13"/>
              </w:rPr>
              <w:t>guidelines</w:t>
            </w:r>
            <w:r>
              <w:rPr>
                <w:color w:val="231F20"/>
                <w:spacing w:val="-13"/>
                <w:sz w:val="13"/>
              </w:rPr>
              <w:t xml:space="preserve"> </w:t>
            </w:r>
            <w:r>
              <w:rPr>
                <w:color w:val="231F20"/>
                <w:sz w:val="13"/>
              </w:rPr>
              <w:t>in</w:t>
            </w:r>
            <w:r>
              <w:rPr>
                <w:color w:val="231F20"/>
                <w:spacing w:val="-14"/>
                <w:sz w:val="13"/>
              </w:rPr>
              <w:t xml:space="preserve"> </w:t>
            </w:r>
            <w:r>
              <w:rPr>
                <w:color w:val="231F20"/>
                <w:sz w:val="13"/>
              </w:rPr>
              <w:t>the</w:t>
            </w:r>
            <w:r>
              <w:rPr>
                <w:color w:val="231F20"/>
                <w:spacing w:val="-13"/>
                <w:sz w:val="13"/>
              </w:rPr>
              <w:t xml:space="preserve"> </w:t>
            </w:r>
            <w:r>
              <w:rPr>
                <w:color w:val="231F20"/>
                <w:sz w:val="13"/>
              </w:rPr>
              <w:t>management</w:t>
            </w:r>
            <w:r>
              <w:rPr>
                <w:color w:val="231F20"/>
                <w:spacing w:val="-14"/>
                <w:sz w:val="13"/>
              </w:rPr>
              <w:t xml:space="preserve"> </w:t>
            </w:r>
            <w:r>
              <w:rPr>
                <w:color w:val="231F20"/>
                <w:sz w:val="13"/>
              </w:rPr>
              <w:t>of</w:t>
            </w:r>
            <w:r>
              <w:rPr>
                <w:color w:val="231F20"/>
                <w:spacing w:val="-13"/>
                <w:sz w:val="13"/>
              </w:rPr>
              <w:t xml:space="preserve"> </w:t>
            </w:r>
            <w:r>
              <w:rPr>
                <w:color w:val="231F20"/>
                <w:sz w:val="13"/>
              </w:rPr>
              <w:t>nutritional</w:t>
            </w:r>
            <w:r>
              <w:rPr>
                <w:color w:val="231F20"/>
                <w:spacing w:val="-14"/>
                <w:sz w:val="13"/>
              </w:rPr>
              <w:t xml:space="preserve"> </w:t>
            </w:r>
            <w:r>
              <w:rPr>
                <w:color w:val="231F20"/>
                <w:sz w:val="13"/>
              </w:rPr>
              <w:t>needs</w:t>
            </w:r>
            <w:r>
              <w:rPr>
                <w:color w:val="231F20"/>
                <w:spacing w:val="-13"/>
                <w:sz w:val="13"/>
              </w:rPr>
              <w:t xml:space="preserve"> </w:t>
            </w:r>
            <w:r>
              <w:rPr>
                <w:color w:val="231F20"/>
                <w:sz w:val="13"/>
              </w:rPr>
              <w:t>of</w:t>
            </w:r>
            <w:r>
              <w:rPr>
                <w:color w:val="231F20"/>
                <w:spacing w:val="-14"/>
                <w:sz w:val="13"/>
              </w:rPr>
              <w:t xml:space="preserve"> </w:t>
            </w:r>
            <w:r>
              <w:rPr>
                <w:color w:val="231F20"/>
                <w:sz w:val="13"/>
              </w:rPr>
              <w:t>children</w:t>
            </w:r>
            <w:r>
              <w:rPr>
                <w:color w:val="231F20"/>
                <w:spacing w:val="-13"/>
                <w:sz w:val="13"/>
              </w:rPr>
              <w:t xml:space="preserve"> </w:t>
            </w:r>
            <w:r>
              <w:rPr>
                <w:color w:val="231F20"/>
                <w:sz w:val="13"/>
              </w:rPr>
              <w:t>in</w:t>
            </w:r>
            <w:r>
              <w:rPr>
                <w:color w:val="231F20"/>
                <w:spacing w:val="-14"/>
                <w:sz w:val="13"/>
              </w:rPr>
              <w:t xml:space="preserve"> </w:t>
            </w:r>
            <w:r>
              <w:rPr>
                <w:color w:val="231F20"/>
                <w:sz w:val="13"/>
              </w:rPr>
              <w:t>difficult situations</w:t>
            </w:r>
          </w:p>
        </w:tc>
        <w:tc>
          <w:tcPr>
            <w:tcW w:w="1514" w:type="dxa"/>
            <w:tcBorders>
              <w:top w:val="single" w:sz="6" w:space="0" w:color="231F20"/>
              <w:left w:val="single" w:sz="6" w:space="0" w:color="231F20"/>
              <w:bottom w:val="single" w:sz="6" w:space="0" w:color="231F20"/>
              <w:right w:val="single" w:sz="6" w:space="0" w:color="231F20"/>
            </w:tcBorders>
          </w:tcPr>
          <w:p w14:paraId="6C234E28" w14:textId="77777777" w:rsidR="009948F1" w:rsidRDefault="009948F1">
            <w:pPr>
              <w:pStyle w:val="TableParagraph"/>
              <w:spacing w:before="6"/>
              <w:rPr>
                <w:sz w:val="15"/>
              </w:rPr>
            </w:pPr>
          </w:p>
          <w:p w14:paraId="217A3411"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682C3A6D" w14:textId="77777777" w:rsidR="009948F1" w:rsidRDefault="009948F1">
            <w:pPr>
              <w:pStyle w:val="TableParagraph"/>
              <w:spacing w:before="6"/>
              <w:rPr>
                <w:sz w:val="15"/>
              </w:rPr>
            </w:pPr>
          </w:p>
          <w:p w14:paraId="03CA6807" w14:textId="77777777" w:rsidR="009948F1" w:rsidRDefault="00BC0563">
            <w:pPr>
              <w:pStyle w:val="TableParagraph"/>
              <w:ind w:left="26"/>
              <w:rPr>
                <w:sz w:val="13"/>
              </w:rPr>
            </w:pPr>
            <w:r>
              <w:rPr>
                <w:color w:val="231F20"/>
                <w:sz w:val="13"/>
              </w:rPr>
              <w:t>No Cost</w:t>
            </w:r>
          </w:p>
        </w:tc>
      </w:tr>
      <w:tr w:rsidR="009948F1" w14:paraId="2BE2904C" w14:textId="77777777">
        <w:trPr>
          <w:trHeight w:val="515"/>
        </w:trPr>
        <w:tc>
          <w:tcPr>
            <w:tcW w:w="486" w:type="dxa"/>
            <w:vMerge/>
            <w:tcBorders>
              <w:top w:val="nil"/>
              <w:right w:val="single" w:sz="6" w:space="0" w:color="231F20"/>
            </w:tcBorders>
          </w:tcPr>
          <w:p w14:paraId="7C28A380" w14:textId="77777777" w:rsidR="009948F1" w:rsidRDefault="009948F1">
            <w:pPr>
              <w:rPr>
                <w:sz w:val="2"/>
                <w:szCs w:val="2"/>
              </w:rPr>
            </w:pPr>
          </w:p>
        </w:tc>
        <w:tc>
          <w:tcPr>
            <w:tcW w:w="558" w:type="dxa"/>
            <w:tcBorders>
              <w:top w:val="single" w:sz="6" w:space="0" w:color="231F20"/>
              <w:left w:val="single" w:sz="6" w:space="0" w:color="231F20"/>
              <w:bottom w:val="single" w:sz="6" w:space="0" w:color="231F20"/>
              <w:right w:val="single" w:sz="6" w:space="0" w:color="231F20"/>
            </w:tcBorders>
          </w:tcPr>
          <w:p w14:paraId="3E155B36" w14:textId="77777777" w:rsidR="009948F1" w:rsidRDefault="009948F1">
            <w:pPr>
              <w:pStyle w:val="TableParagraph"/>
              <w:rPr>
                <w:sz w:val="16"/>
              </w:rPr>
            </w:pPr>
          </w:p>
          <w:p w14:paraId="54590E3E" w14:textId="77777777" w:rsidR="009948F1" w:rsidRDefault="00BC0563">
            <w:pPr>
              <w:pStyle w:val="TableParagraph"/>
              <w:ind w:left="63" w:right="42"/>
              <w:jc w:val="center"/>
              <w:rPr>
                <w:sz w:val="13"/>
              </w:rPr>
            </w:pPr>
            <w:r>
              <w:rPr>
                <w:color w:val="231F20"/>
                <w:sz w:val="13"/>
              </w:rPr>
              <w:t>4.6.6.b</w:t>
            </w:r>
          </w:p>
        </w:tc>
        <w:tc>
          <w:tcPr>
            <w:tcW w:w="5191" w:type="dxa"/>
            <w:gridSpan w:val="2"/>
            <w:tcBorders>
              <w:top w:val="single" w:sz="6" w:space="0" w:color="231F20"/>
              <w:left w:val="single" w:sz="6" w:space="0" w:color="231F20"/>
              <w:bottom w:val="single" w:sz="6" w:space="0" w:color="231F20"/>
              <w:right w:val="single" w:sz="6" w:space="0" w:color="231F20"/>
            </w:tcBorders>
          </w:tcPr>
          <w:p w14:paraId="77844260" w14:textId="77777777" w:rsidR="009948F1" w:rsidRDefault="00BC0563">
            <w:pPr>
              <w:pStyle w:val="TableParagraph"/>
              <w:spacing w:before="96" w:line="261" w:lineRule="auto"/>
              <w:ind w:left="26" w:right="258"/>
              <w:rPr>
                <w:sz w:val="13"/>
              </w:rPr>
            </w:pPr>
            <w:r>
              <w:rPr>
                <w:color w:val="231F20"/>
                <w:sz w:val="13"/>
              </w:rPr>
              <w:t>Give</w:t>
            </w:r>
            <w:r>
              <w:rPr>
                <w:color w:val="231F20"/>
                <w:spacing w:val="-12"/>
                <w:sz w:val="13"/>
              </w:rPr>
              <w:t xml:space="preserve"> </w:t>
            </w:r>
            <w:r>
              <w:rPr>
                <w:color w:val="231F20"/>
                <w:sz w:val="13"/>
              </w:rPr>
              <w:t>health</w:t>
            </w:r>
            <w:r>
              <w:rPr>
                <w:color w:val="231F20"/>
                <w:spacing w:val="-11"/>
                <w:sz w:val="13"/>
              </w:rPr>
              <w:t xml:space="preserve"> </w:t>
            </w:r>
            <w:r>
              <w:rPr>
                <w:color w:val="231F20"/>
                <w:sz w:val="13"/>
              </w:rPr>
              <w:t>talk</w:t>
            </w:r>
            <w:r>
              <w:rPr>
                <w:color w:val="231F20"/>
                <w:spacing w:val="-12"/>
                <w:sz w:val="13"/>
              </w:rPr>
              <w:t xml:space="preserve"> </w:t>
            </w:r>
            <w:r>
              <w:rPr>
                <w:color w:val="231F20"/>
                <w:sz w:val="13"/>
              </w:rPr>
              <w:t>to</w:t>
            </w:r>
            <w:r>
              <w:rPr>
                <w:color w:val="231F20"/>
                <w:spacing w:val="-11"/>
                <w:sz w:val="13"/>
              </w:rPr>
              <w:t xml:space="preserve"> </w:t>
            </w:r>
            <w:r>
              <w:rPr>
                <w:color w:val="231F20"/>
                <w:sz w:val="13"/>
              </w:rPr>
              <w:t>HIV</w:t>
            </w:r>
            <w:r>
              <w:rPr>
                <w:color w:val="231F20"/>
                <w:spacing w:val="-12"/>
                <w:sz w:val="13"/>
              </w:rPr>
              <w:t xml:space="preserve"> </w:t>
            </w:r>
            <w:r>
              <w:rPr>
                <w:color w:val="231F20"/>
                <w:sz w:val="13"/>
              </w:rPr>
              <w:t>positive</w:t>
            </w:r>
            <w:r>
              <w:rPr>
                <w:color w:val="231F20"/>
                <w:spacing w:val="-11"/>
                <w:sz w:val="13"/>
              </w:rPr>
              <w:t xml:space="preserve"> </w:t>
            </w:r>
            <w:r>
              <w:rPr>
                <w:color w:val="231F20"/>
                <w:sz w:val="13"/>
              </w:rPr>
              <w:t>mothers</w:t>
            </w:r>
            <w:r>
              <w:rPr>
                <w:color w:val="231F20"/>
                <w:spacing w:val="-12"/>
                <w:sz w:val="13"/>
              </w:rPr>
              <w:t xml:space="preserve"> </w:t>
            </w:r>
            <w:r>
              <w:rPr>
                <w:color w:val="231F20"/>
                <w:sz w:val="13"/>
              </w:rPr>
              <w:t>and</w:t>
            </w:r>
            <w:r>
              <w:rPr>
                <w:color w:val="231F20"/>
                <w:spacing w:val="-11"/>
                <w:sz w:val="13"/>
              </w:rPr>
              <w:t xml:space="preserve"> </w:t>
            </w:r>
            <w:r>
              <w:rPr>
                <w:color w:val="231F20"/>
                <w:sz w:val="13"/>
              </w:rPr>
              <w:t>caregivers</w:t>
            </w:r>
            <w:r>
              <w:rPr>
                <w:color w:val="231F20"/>
                <w:spacing w:val="-12"/>
                <w:sz w:val="13"/>
              </w:rPr>
              <w:t xml:space="preserve"> </w:t>
            </w:r>
            <w:r>
              <w:rPr>
                <w:color w:val="231F20"/>
                <w:sz w:val="13"/>
              </w:rPr>
              <w:t>of</w:t>
            </w:r>
            <w:r>
              <w:rPr>
                <w:color w:val="231F20"/>
                <w:spacing w:val="-11"/>
                <w:sz w:val="13"/>
              </w:rPr>
              <w:t xml:space="preserve"> </w:t>
            </w:r>
            <w:r>
              <w:rPr>
                <w:color w:val="231F20"/>
                <w:sz w:val="13"/>
              </w:rPr>
              <w:t>under-fives</w:t>
            </w:r>
            <w:r>
              <w:rPr>
                <w:color w:val="231F20"/>
                <w:spacing w:val="-12"/>
                <w:sz w:val="13"/>
              </w:rPr>
              <w:t xml:space="preserve"> </w:t>
            </w:r>
            <w:r>
              <w:rPr>
                <w:color w:val="231F20"/>
                <w:sz w:val="13"/>
              </w:rPr>
              <w:t>on</w:t>
            </w:r>
            <w:r>
              <w:rPr>
                <w:color w:val="231F20"/>
                <w:spacing w:val="-11"/>
                <w:sz w:val="13"/>
              </w:rPr>
              <w:t xml:space="preserve"> </w:t>
            </w:r>
            <w:r>
              <w:rPr>
                <w:color w:val="231F20"/>
                <w:sz w:val="13"/>
              </w:rPr>
              <w:t>the</w:t>
            </w:r>
            <w:r>
              <w:rPr>
                <w:color w:val="231F20"/>
                <w:spacing w:val="-12"/>
                <w:sz w:val="13"/>
              </w:rPr>
              <w:t xml:space="preserve"> </w:t>
            </w:r>
            <w:r>
              <w:rPr>
                <w:color w:val="231F20"/>
                <w:sz w:val="13"/>
              </w:rPr>
              <w:t>use</w:t>
            </w:r>
            <w:r>
              <w:rPr>
                <w:color w:val="231F20"/>
                <w:spacing w:val="-11"/>
                <w:sz w:val="13"/>
              </w:rPr>
              <w:t xml:space="preserve"> </w:t>
            </w:r>
            <w:r>
              <w:rPr>
                <w:color w:val="231F20"/>
                <w:sz w:val="13"/>
              </w:rPr>
              <w:t>of</w:t>
            </w:r>
            <w:r>
              <w:rPr>
                <w:color w:val="231F20"/>
                <w:spacing w:val="-11"/>
                <w:sz w:val="13"/>
              </w:rPr>
              <w:t xml:space="preserve"> </w:t>
            </w:r>
            <w:r>
              <w:rPr>
                <w:color w:val="231F20"/>
                <w:sz w:val="13"/>
              </w:rPr>
              <w:t>zinc supplement</w:t>
            </w:r>
            <w:r>
              <w:rPr>
                <w:color w:val="231F20"/>
                <w:spacing w:val="-5"/>
                <w:sz w:val="13"/>
              </w:rPr>
              <w:t xml:space="preserve"> </w:t>
            </w:r>
            <w:r>
              <w:rPr>
                <w:color w:val="231F20"/>
                <w:sz w:val="13"/>
              </w:rPr>
              <w:t>as</w:t>
            </w:r>
            <w:r>
              <w:rPr>
                <w:color w:val="231F20"/>
                <w:spacing w:val="-5"/>
                <w:sz w:val="13"/>
              </w:rPr>
              <w:t xml:space="preserve"> </w:t>
            </w:r>
            <w:r>
              <w:rPr>
                <w:color w:val="231F20"/>
                <w:sz w:val="13"/>
              </w:rPr>
              <w:t>part</w:t>
            </w:r>
            <w:r>
              <w:rPr>
                <w:color w:val="231F20"/>
                <w:spacing w:val="-4"/>
                <w:sz w:val="13"/>
              </w:rPr>
              <w:t xml:space="preserve"> </w:t>
            </w:r>
            <w:proofErr w:type="spellStart"/>
            <w:r>
              <w:rPr>
                <w:color w:val="231F20"/>
                <w:sz w:val="13"/>
              </w:rPr>
              <w:t>diarrhoea</w:t>
            </w:r>
            <w:proofErr w:type="spellEnd"/>
            <w:r>
              <w:rPr>
                <w:color w:val="231F20"/>
                <w:spacing w:val="-5"/>
                <w:sz w:val="13"/>
              </w:rPr>
              <w:t xml:space="preserve"> </w:t>
            </w:r>
            <w:r>
              <w:rPr>
                <w:color w:val="231F20"/>
                <w:sz w:val="13"/>
              </w:rPr>
              <w:t>management</w:t>
            </w:r>
            <w:r>
              <w:rPr>
                <w:color w:val="231F20"/>
                <w:spacing w:val="-5"/>
                <w:sz w:val="13"/>
              </w:rPr>
              <w:t xml:space="preserve"> </w:t>
            </w:r>
            <w:r>
              <w:rPr>
                <w:color w:val="231F20"/>
                <w:sz w:val="13"/>
              </w:rPr>
              <w:t>in</w:t>
            </w:r>
            <w:r>
              <w:rPr>
                <w:color w:val="231F20"/>
                <w:spacing w:val="-4"/>
                <w:sz w:val="13"/>
              </w:rPr>
              <w:t xml:space="preserve"> </w:t>
            </w:r>
            <w:r>
              <w:rPr>
                <w:color w:val="231F20"/>
                <w:sz w:val="13"/>
              </w:rPr>
              <w:t>all</w:t>
            </w:r>
            <w:r>
              <w:rPr>
                <w:color w:val="231F20"/>
                <w:spacing w:val="-5"/>
                <w:sz w:val="13"/>
              </w:rPr>
              <w:t xml:space="preserve"> </w:t>
            </w:r>
            <w:r>
              <w:rPr>
                <w:color w:val="231F20"/>
                <w:sz w:val="13"/>
              </w:rPr>
              <w:t>facilities</w:t>
            </w:r>
            <w:r>
              <w:rPr>
                <w:color w:val="231F20"/>
                <w:spacing w:val="-5"/>
                <w:sz w:val="13"/>
              </w:rPr>
              <w:t xml:space="preserve"> </w:t>
            </w:r>
            <w:r>
              <w:rPr>
                <w:color w:val="231F20"/>
                <w:sz w:val="13"/>
              </w:rPr>
              <w:t>routinely</w:t>
            </w:r>
          </w:p>
        </w:tc>
        <w:tc>
          <w:tcPr>
            <w:tcW w:w="1514" w:type="dxa"/>
            <w:tcBorders>
              <w:top w:val="single" w:sz="6" w:space="0" w:color="231F20"/>
              <w:left w:val="single" w:sz="6" w:space="0" w:color="231F20"/>
              <w:bottom w:val="single" w:sz="6" w:space="0" w:color="231F20"/>
              <w:right w:val="single" w:sz="6" w:space="0" w:color="231F20"/>
            </w:tcBorders>
          </w:tcPr>
          <w:p w14:paraId="27F3659F" w14:textId="77777777" w:rsidR="009948F1" w:rsidRDefault="009948F1">
            <w:pPr>
              <w:pStyle w:val="TableParagraph"/>
              <w:rPr>
                <w:sz w:val="16"/>
              </w:rPr>
            </w:pPr>
          </w:p>
          <w:p w14:paraId="3F8E4B45"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6" w:space="0" w:color="231F20"/>
            </w:tcBorders>
          </w:tcPr>
          <w:p w14:paraId="50EA6CFC" w14:textId="77777777" w:rsidR="009948F1" w:rsidRDefault="009948F1">
            <w:pPr>
              <w:pStyle w:val="TableParagraph"/>
              <w:rPr>
                <w:sz w:val="16"/>
              </w:rPr>
            </w:pPr>
          </w:p>
          <w:p w14:paraId="4C63CDFF" w14:textId="77777777" w:rsidR="009948F1" w:rsidRDefault="00BC0563">
            <w:pPr>
              <w:pStyle w:val="TableParagraph"/>
              <w:ind w:left="26"/>
              <w:rPr>
                <w:sz w:val="13"/>
              </w:rPr>
            </w:pPr>
            <w:r>
              <w:rPr>
                <w:color w:val="231F20"/>
                <w:sz w:val="13"/>
              </w:rPr>
              <w:t>No Cost</w:t>
            </w:r>
          </w:p>
        </w:tc>
      </w:tr>
      <w:tr w:rsidR="009948F1" w14:paraId="476FDE72" w14:textId="77777777">
        <w:trPr>
          <w:trHeight w:val="746"/>
        </w:trPr>
        <w:tc>
          <w:tcPr>
            <w:tcW w:w="486" w:type="dxa"/>
            <w:vMerge/>
            <w:tcBorders>
              <w:top w:val="nil"/>
              <w:right w:val="single" w:sz="6" w:space="0" w:color="231F20"/>
            </w:tcBorders>
          </w:tcPr>
          <w:p w14:paraId="2DC6733A" w14:textId="77777777" w:rsidR="009948F1" w:rsidRDefault="009948F1">
            <w:pPr>
              <w:rPr>
                <w:sz w:val="2"/>
                <w:szCs w:val="2"/>
              </w:rPr>
            </w:pPr>
          </w:p>
        </w:tc>
        <w:tc>
          <w:tcPr>
            <w:tcW w:w="558" w:type="dxa"/>
            <w:tcBorders>
              <w:top w:val="single" w:sz="6" w:space="0" w:color="231F20"/>
              <w:left w:val="single" w:sz="6" w:space="0" w:color="231F20"/>
              <w:bottom w:val="single" w:sz="12" w:space="0" w:color="231F20"/>
              <w:right w:val="single" w:sz="6" w:space="0" w:color="231F20"/>
            </w:tcBorders>
          </w:tcPr>
          <w:p w14:paraId="313F33B7" w14:textId="77777777" w:rsidR="009948F1" w:rsidRDefault="009948F1">
            <w:pPr>
              <w:pStyle w:val="TableParagraph"/>
              <w:rPr>
                <w:sz w:val="12"/>
              </w:rPr>
            </w:pPr>
          </w:p>
          <w:p w14:paraId="60AFBD6F" w14:textId="77777777" w:rsidR="009948F1" w:rsidRDefault="009948F1">
            <w:pPr>
              <w:pStyle w:val="TableParagraph"/>
              <w:spacing w:before="4"/>
              <w:rPr>
                <w:sz w:val="14"/>
              </w:rPr>
            </w:pPr>
          </w:p>
          <w:p w14:paraId="51032FE1" w14:textId="77777777" w:rsidR="009948F1" w:rsidRDefault="00BC0563">
            <w:pPr>
              <w:pStyle w:val="TableParagraph"/>
              <w:ind w:left="63" w:right="42"/>
              <w:jc w:val="center"/>
              <w:rPr>
                <w:sz w:val="13"/>
              </w:rPr>
            </w:pPr>
            <w:r>
              <w:rPr>
                <w:color w:val="231F20"/>
                <w:sz w:val="13"/>
              </w:rPr>
              <w:t>4.6.6.c</w:t>
            </w:r>
          </w:p>
        </w:tc>
        <w:tc>
          <w:tcPr>
            <w:tcW w:w="5191" w:type="dxa"/>
            <w:gridSpan w:val="2"/>
            <w:tcBorders>
              <w:top w:val="single" w:sz="6" w:space="0" w:color="231F20"/>
              <w:left w:val="single" w:sz="6" w:space="0" w:color="231F20"/>
              <w:bottom w:val="single" w:sz="12" w:space="0" w:color="231F20"/>
              <w:right w:val="single" w:sz="6" w:space="0" w:color="231F20"/>
            </w:tcBorders>
          </w:tcPr>
          <w:p w14:paraId="02509B71" w14:textId="77777777" w:rsidR="009948F1" w:rsidRDefault="009948F1">
            <w:pPr>
              <w:pStyle w:val="TableParagraph"/>
              <w:spacing w:before="8"/>
              <w:rPr>
                <w:sz w:val="11"/>
              </w:rPr>
            </w:pPr>
          </w:p>
          <w:p w14:paraId="6967E337" w14:textId="77777777" w:rsidR="009948F1" w:rsidRDefault="00BC0563">
            <w:pPr>
              <w:pStyle w:val="TableParagraph"/>
              <w:spacing w:line="261" w:lineRule="auto"/>
              <w:ind w:left="26" w:right="177"/>
              <w:rPr>
                <w:sz w:val="13"/>
              </w:rPr>
            </w:pPr>
            <w:r>
              <w:rPr>
                <w:color w:val="231F20"/>
                <w:sz w:val="13"/>
              </w:rPr>
              <w:t>Conduct</w:t>
            </w:r>
            <w:r>
              <w:rPr>
                <w:color w:val="231F20"/>
                <w:spacing w:val="-13"/>
                <w:sz w:val="13"/>
              </w:rPr>
              <w:t xml:space="preserve"> </w:t>
            </w:r>
            <w:r>
              <w:rPr>
                <w:color w:val="231F20"/>
                <w:sz w:val="13"/>
              </w:rPr>
              <w:t>demonstration</w:t>
            </w:r>
            <w:r>
              <w:rPr>
                <w:color w:val="231F20"/>
                <w:spacing w:val="-12"/>
                <w:sz w:val="13"/>
              </w:rPr>
              <w:t xml:space="preserve"> </w:t>
            </w:r>
            <w:r>
              <w:rPr>
                <w:color w:val="231F20"/>
                <w:sz w:val="13"/>
              </w:rPr>
              <w:t>on</w:t>
            </w:r>
            <w:r>
              <w:rPr>
                <w:color w:val="231F20"/>
                <w:spacing w:val="-12"/>
                <w:sz w:val="13"/>
              </w:rPr>
              <w:t xml:space="preserve"> </w:t>
            </w:r>
            <w:r>
              <w:rPr>
                <w:color w:val="231F20"/>
                <w:sz w:val="13"/>
              </w:rPr>
              <w:t>the</w:t>
            </w:r>
            <w:r>
              <w:rPr>
                <w:color w:val="231F20"/>
                <w:spacing w:val="-13"/>
                <w:sz w:val="13"/>
              </w:rPr>
              <w:t xml:space="preserve"> </w:t>
            </w:r>
            <w:r>
              <w:rPr>
                <w:color w:val="231F20"/>
                <w:sz w:val="13"/>
              </w:rPr>
              <w:t>use</w:t>
            </w:r>
            <w:r>
              <w:rPr>
                <w:color w:val="231F20"/>
                <w:spacing w:val="-12"/>
                <w:sz w:val="13"/>
              </w:rPr>
              <w:t xml:space="preserve"> </w:t>
            </w:r>
            <w:r>
              <w:rPr>
                <w:color w:val="231F20"/>
                <w:sz w:val="13"/>
              </w:rPr>
              <w:t>of</w:t>
            </w:r>
            <w:r>
              <w:rPr>
                <w:color w:val="231F20"/>
                <w:spacing w:val="-12"/>
                <w:sz w:val="13"/>
              </w:rPr>
              <w:t xml:space="preserve"> </w:t>
            </w:r>
            <w:r>
              <w:rPr>
                <w:color w:val="231F20"/>
                <w:sz w:val="13"/>
              </w:rPr>
              <w:t>micronutrients</w:t>
            </w:r>
            <w:r>
              <w:rPr>
                <w:color w:val="231F20"/>
                <w:spacing w:val="-13"/>
                <w:sz w:val="13"/>
              </w:rPr>
              <w:t xml:space="preserve"> </w:t>
            </w:r>
            <w:r>
              <w:rPr>
                <w:color w:val="231F20"/>
                <w:sz w:val="13"/>
              </w:rPr>
              <w:t>powders</w:t>
            </w:r>
            <w:r>
              <w:rPr>
                <w:color w:val="231F20"/>
                <w:spacing w:val="-12"/>
                <w:sz w:val="13"/>
              </w:rPr>
              <w:t xml:space="preserve"> </w:t>
            </w:r>
            <w:r>
              <w:rPr>
                <w:color w:val="231F20"/>
                <w:sz w:val="13"/>
              </w:rPr>
              <w:t>for</w:t>
            </w:r>
            <w:r>
              <w:rPr>
                <w:color w:val="231F20"/>
                <w:spacing w:val="-12"/>
                <w:sz w:val="13"/>
              </w:rPr>
              <w:t xml:space="preserve"> </w:t>
            </w:r>
            <w:r>
              <w:rPr>
                <w:color w:val="231F20"/>
                <w:sz w:val="13"/>
              </w:rPr>
              <w:t>in-home</w:t>
            </w:r>
            <w:r>
              <w:rPr>
                <w:color w:val="231F20"/>
                <w:spacing w:val="-13"/>
                <w:sz w:val="13"/>
              </w:rPr>
              <w:t xml:space="preserve"> </w:t>
            </w:r>
            <w:r>
              <w:rPr>
                <w:color w:val="231F20"/>
                <w:sz w:val="13"/>
              </w:rPr>
              <w:t>fortification</w:t>
            </w:r>
            <w:r>
              <w:rPr>
                <w:color w:val="231F20"/>
                <w:spacing w:val="-12"/>
                <w:sz w:val="13"/>
              </w:rPr>
              <w:t xml:space="preserve"> </w:t>
            </w:r>
            <w:r>
              <w:rPr>
                <w:color w:val="231F20"/>
                <w:sz w:val="13"/>
              </w:rPr>
              <w:t>of complimentary</w:t>
            </w:r>
            <w:r>
              <w:rPr>
                <w:color w:val="231F20"/>
                <w:spacing w:val="-14"/>
                <w:sz w:val="13"/>
              </w:rPr>
              <w:t xml:space="preserve"> </w:t>
            </w:r>
            <w:r>
              <w:rPr>
                <w:color w:val="231F20"/>
                <w:sz w:val="13"/>
              </w:rPr>
              <w:t>foods</w:t>
            </w:r>
            <w:r>
              <w:rPr>
                <w:color w:val="231F20"/>
                <w:spacing w:val="-13"/>
                <w:sz w:val="13"/>
              </w:rPr>
              <w:t xml:space="preserve"> </w:t>
            </w:r>
            <w:r>
              <w:rPr>
                <w:color w:val="231F20"/>
                <w:sz w:val="13"/>
              </w:rPr>
              <w:t>to</w:t>
            </w:r>
            <w:r>
              <w:rPr>
                <w:color w:val="231F20"/>
                <w:spacing w:val="-13"/>
                <w:sz w:val="13"/>
              </w:rPr>
              <w:t xml:space="preserve"> </w:t>
            </w:r>
            <w:r>
              <w:rPr>
                <w:color w:val="231F20"/>
                <w:sz w:val="13"/>
              </w:rPr>
              <w:t>parents</w:t>
            </w:r>
            <w:r>
              <w:rPr>
                <w:color w:val="231F20"/>
                <w:spacing w:val="-13"/>
                <w:sz w:val="13"/>
              </w:rPr>
              <w:t xml:space="preserve"> </w:t>
            </w:r>
            <w:r>
              <w:rPr>
                <w:color w:val="231F20"/>
                <w:sz w:val="13"/>
              </w:rPr>
              <w:t>of</w:t>
            </w:r>
            <w:r>
              <w:rPr>
                <w:color w:val="231F20"/>
                <w:spacing w:val="-13"/>
                <w:sz w:val="13"/>
              </w:rPr>
              <w:t xml:space="preserve"> </w:t>
            </w:r>
            <w:r>
              <w:rPr>
                <w:color w:val="231F20"/>
                <w:sz w:val="13"/>
              </w:rPr>
              <w:t>HIV</w:t>
            </w:r>
            <w:r>
              <w:rPr>
                <w:color w:val="231F20"/>
                <w:spacing w:val="-13"/>
                <w:sz w:val="13"/>
              </w:rPr>
              <w:t xml:space="preserve"> </w:t>
            </w:r>
            <w:r>
              <w:rPr>
                <w:color w:val="231F20"/>
                <w:sz w:val="13"/>
              </w:rPr>
              <w:t>positive</w:t>
            </w:r>
            <w:r>
              <w:rPr>
                <w:color w:val="231F20"/>
                <w:spacing w:val="-14"/>
                <w:sz w:val="13"/>
              </w:rPr>
              <w:t xml:space="preserve"> </w:t>
            </w:r>
            <w:r>
              <w:rPr>
                <w:color w:val="231F20"/>
                <w:sz w:val="13"/>
              </w:rPr>
              <w:t>under-five</w:t>
            </w:r>
            <w:r>
              <w:rPr>
                <w:color w:val="231F20"/>
                <w:spacing w:val="-13"/>
                <w:sz w:val="13"/>
              </w:rPr>
              <w:t xml:space="preserve"> </w:t>
            </w:r>
            <w:r>
              <w:rPr>
                <w:color w:val="231F20"/>
                <w:sz w:val="13"/>
              </w:rPr>
              <w:t>children</w:t>
            </w:r>
            <w:r>
              <w:rPr>
                <w:color w:val="231F20"/>
                <w:spacing w:val="-13"/>
                <w:sz w:val="13"/>
              </w:rPr>
              <w:t xml:space="preserve"> </w:t>
            </w:r>
            <w:r>
              <w:rPr>
                <w:color w:val="231F20"/>
                <w:sz w:val="13"/>
              </w:rPr>
              <w:t>in</w:t>
            </w:r>
            <w:r>
              <w:rPr>
                <w:color w:val="231F20"/>
                <w:spacing w:val="-13"/>
                <w:sz w:val="13"/>
              </w:rPr>
              <w:t xml:space="preserve"> </w:t>
            </w:r>
            <w:r>
              <w:rPr>
                <w:color w:val="231F20"/>
                <w:sz w:val="13"/>
              </w:rPr>
              <w:t>all</w:t>
            </w:r>
            <w:r>
              <w:rPr>
                <w:color w:val="231F20"/>
                <w:spacing w:val="-13"/>
                <w:sz w:val="13"/>
              </w:rPr>
              <w:t xml:space="preserve"> </w:t>
            </w:r>
            <w:r>
              <w:rPr>
                <w:color w:val="231F20"/>
                <w:sz w:val="13"/>
              </w:rPr>
              <w:t>health</w:t>
            </w:r>
            <w:r>
              <w:rPr>
                <w:color w:val="231F20"/>
                <w:spacing w:val="-13"/>
                <w:sz w:val="13"/>
              </w:rPr>
              <w:t xml:space="preserve"> </w:t>
            </w:r>
            <w:r>
              <w:rPr>
                <w:color w:val="231F20"/>
                <w:sz w:val="13"/>
              </w:rPr>
              <w:t>facilities</w:t>
            </w:r>
            <w:r>
              <w:rPr>
                <w:color w:val="231F20"/>
                <w:spacing w:val="-13"/>
                <w:sz w:val="13"/>
              </w:rPr>
              <w:t xml:space="preserve"> </w:t>
            </w:r>
            <w:r>
              <w:rPr>
                <w:color w:val="231F20"/>
                <w:sz w:val="13"/>
              </w:rPr>
              <w:t>in the state</w:t>
            </w:r>
            <w:r>
              <w:rPr>
                <w:color w:val="231F20"/>
                <w:spacing w:val="-5"/>
                <w:sz w:val="13"/>
              </w:rPr>
              <w:t xml:space="preserve"> </w:t>
            </w:r>
            <w:r>
              <w:rPr>
                <w:color w:val="231F20"/>
                <w:sz w:val="13"/>
              </w:rPr>
              <w:t>routinely</w:t>
            </w:r>
          </w:p>
        </w:tc>
        <w:tc>
          <w:tcPr>
            <w:tcW w:w="1514" w:type="dxa"/>
            <w:tcBorders>
              <w:top w:val="single" w:sz="6" w:space="0" w:color="231F20"/>
              <w:left w:val="single" w:sz="6" w:space="0" w:color="231F20"/>
              <w:bottom w:val="single" w:sz="12" w:space="0" w:color="231F20"/>
              <w:right w:val="single" w:sz="6" w:space="0" w:color="231F20"/>
            </w:tcBorders>
          </w:tcPr>
          <w:p w14:paraId="5184926B" w14:textId="77777777" w:rsidR="009948F1" w:rsidRDefault="009948F1">
            <w:pPr>
              <w:pStyle w:val="TableParagraph"/>
              <w:rPr>
                <w:sz w:val="12"/>
              </w:rPr>
            </w:pPr>
          </w:p>
          <w:p w14:paraId="65F1F0C1" w14:textId="77777777" w:rsidR="009948F1" w:rsidRDefault="009948F1">
            <w:pPr>
              <w:pStyle w:val="TableParagraph"/>
              <w:spacing w:before="4"/>
              <w:rPr>
                <w:sz w:val="14"/>
              </w:rPr>
            </w:pPr>
          </w:p>
          <w:p w14:paraId="0DAE0CCF" w14:textId="77777777" w:rsidR="009948F1" w:rsidRDefault="00BC0563">
            <w:pPr>
              <w:pStyle w:val="TableParagraph"/>
              <w:ind w:left="27"/>
              <w:rPr>
                <w:sz w:val="13"/>
              </w:rPr>
            </w:pPr>
            <w:r>
              <w:rPr>
                <w:color w:val="231F20"/>
                <w:sz w:val="13"/>
              </w:rPr>
              <w:t>Lack of funds</w:t>
            </w:r>
          </w:p>
        </w:tc>
        <w:tc>
          <w:tcPr>
            <w:tcW w:w="1595" w:type="dxa"/>
            <w:tcBorders>
              <w:top w:val="single" w:sz="6" w:space="0" w:color="231F20"/>
              <w:left w:val="single" w:sz="6" w:space="0" w:color="231F20"/>
              <w:bottom w:val="single" w:sz="12" w:space="0" w:color="231F20"/>
            </w:tcBorders>
          </w:tcPr>
          <w:p w14:paraId="692E1BDE" w14:textId="77777777" w:rsidR="009948F1" w:rsidRDefault="009948F1">
            <w:pPr>
              <w:pStyle w:val="TableParagraph"/>
              <w:rPr>
                <w:sz w:val="12"/>
              </w:rPr>
            </w:pPr>
          </w:p>
          <w:p w14:paraId="28EFF61B" w14:textId="77777777" w:rsidR="009948F1" w:rsidRDefault="009948F1">
            <w:pPr>
              <w:pStyle w:val="TableParagraph"/>
              <w:spacing w:before="4"/>
              <w:rPr>
                <w:sz w:val="14"/>
              </w:rPr>
            </w:pPr>
          </w:p>
          <w:p w14:paraId="18C13736" w14:textId="77777777" w:rsidR="009948F1" w:rsidRDefault="00BC0563">
            <w:pPr>
              <w:pStyle w:val="TableParagraph"/>
              <w:ind w:left="26"/>
              <w:rPr>
                <w:sz w:val="13"/>
              </w:rPr>
            </w:pPr>
            <w:r>
              <w:rPr>
                <w:color w:val="231F20"/>
                <w:sz w:val="13"/>
              </w:rPr>
              <w:t>No cost</w:t>
            </w:r>
          </w:p>
        </w:tc>
      </w:tr>
    </w:tbl>
    <w:p w14:paraId="29B58E5D" w14:textId="77777777" w:rsidR="009948F1" w:rsidRDefault="009948F1">
      <w:pPr>
        <w:rPr>
          <w:sz w:val="13"/>
        </w:rPr>
        <w:sectPr w:rsidR="009948F1">
          <w:pgSz w:w="11910" w:h="16840"/>
          <w:pgMar w:top="1260" w:right="1080" w:bottom="1340" w:left="1120" w:header="0" w:footer="1155" w:gutter="0"/>
          <w:cols w:space="720"/>
        </w:sectPr>
      </w:pPr>
    </w:p>
    <w:tbl>
      <w:tblPr>
        <w:tblW w:w="0" w:type="auto"/>
        <w:tblInd w:w="18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8"/>
        <w:gridCol w:w="560"/>
        <w:gridCol w:w="2673"/>
        <w:gridCol w:w="2538"/>
        <w:gridCol w:w="1521"/>
        <w:gridCol w:w="1602"/>
      </w:tblGrid>
      <w:tr w:rsidR="009948F1" w14:paraId="0AB3C44A" w14:textId="77777777">
        <w:trPr>
          <w:trHeight w:val="1314"/>
        </w:trPr>
        <w:tc>
          <w:tcPr>
            <w:tcW w:w="488" w:type="dxa"/>
            <w:tcBorders>
              <w:left w:val="single" w:sz="12" w:space="0" w:color="231F20"/>
            </w:tcBorders>
            <w:shd w:val="clear" w:color="auto" w:fill="CCE7D3"/>
          </w:tcPr>
          <w:p w14:paraId="35233C2F" w14:textId="77777777" w:rsidR="009948F1" w:rsidRDefault="009948F1">
            <w:pPr>
              <w:pStyle w:val="TableParagraph"/>
              <w:rPr>
                <w:sz w:val="14"/>
              </w:rPr>
            </w:pPr>
          </w:p>
          <w:p w14:paraId="23C8ABF8" w14:textId="77777777" w:rsidR="009948F1" w:rsidRDefault="009948F1">
            <w:pPr>
              <w:pStyle w:val="TableParagraph"/>
              <w:rPr>
                <w:sz w:val="14"/>
              </w:rPr>
            </w:pPr>
          </w:p>
          <w:p w14:paraId="647A1B37" w14:textId="77777777" w:rsidR="009948F1" w:rsidRDefault="009948F1">
            <w:pPr>
              <w:pStyle w:val="TableParagraph"/>
              <w:rPr>
                <w:sz w:val="14"/>
              </w:rPr>
            </w:pPr>
          </w:p>
          <w:p w14:paraId="3B72E9D1" w14:textId="77777777" w:rsidR="009948F1" w:rsidRDefault="00BC0563">
            <w:pPr>
              <w:pStyle w:val="TableParagraph"/>
              <w:spacing w:before="96"/>
              <w:ind w:left="24" w:right="90"/>
              <w:jc w:val="center"/>
              <w:rPr>
                <w:sz w:val="14"/>
              </w:rPr>
            </w:pPr>
            <w:bookmarkStart w:id="163" w:name="Page_137"/>
            <w:bookmarkEnd w:id="163"/>
            <w:r>
              <w:rPr>
                <w:color w:val="231F20"/>
                <w:sz w:val="14"/>
              </w:rPr>
              <w:t>4.6.7</w:t>
            </w:r>
          </w:p>
        </w:tc>
        <w:tc>
          <w:tcPr>
            <w:tcW w:w="3233" w:type="dxa"/>
            <w:gridSpan w:val="2"/>
            <w:shd w:val="clear" w:color="auto" w:fill="CCE7D3"/>
          </w:tcPr>
          <w:p w14:paraId="4280D2CA" w14:textId="77777777" w:rsidR="009948F1" w:rsidRDefault="009948F1">
            <w:pPr>
              <w:pStyle w:val="TableParagraph"/>
              <w:rPr>
                <w:sz w:val="14"/>
              </w:rPr>
            </w:pPr>
          </w:p>
          <w:p w14:paraId="63235D62" w14:textId="77777777" w:rsidR="009948F1" w:rsidRDefault="009948F1">
            <w:pPr>
              <w:pStyle w:val="TableParagraph"/>
              <w:rPr>
                <w:sz w:val="14"/>
              </w:rPr>
            </w:pPr>
          </w:p>
          <w:p w14:paraId="5EC255D0" w14:textId="77777777" w:rsidR="009948F1" w:rsidRDefault="009948F1">
            <w:pPr>
              <w:pStyle w:val="TableParagraph"/>
              <w:rPr>
                <w:sz w:val="14"/>
              </w:rPr>
            </w:pPr>
          </w:p>
          <w:p w14:paraId="6062E4E7" w14:textId="77777777" w:rsidR="009948F1" w:rsidRDefault="00BC0563">
            <w:pPr>
              <w:pStyle w:val="TableParagraph"/>
              <w:spacing w:before="90"/>
              <w:ind w:left="61"/>
              <w:rPr>
                <w:sz w:val="14"/>
              </w:rPr>
            </w:pPr>
            <w:r>
              <w:rPr>
                <w:color w:val="231F20"/>
                <w:w w:val="95"/>
                <w:sz w:val="14"/>
              </w:rPr>
              <w:t>Promote</w:t>
            </w:r>
            <w:r>
              <w:rPr>
                <w:color w:val="231F20"/>
                <w:spacing w:val="-21"/>
                <w:w w:val="95"/>
                <w:sz w:val="14"/>
              </w:rPr>
              <w:t xml:space="preserve"> </w:t>
            </w:r>
            <w:r>
              <w:rPr>
                <w:color w:val="231F20"/>
                <w:w w:val="95"/>
                <w:sz w:val="14"/>
              </w:rPr>
              <w:t>implementation</w:t>
            </w:r>
            <w:r>
              <w:rPr>
                <w:color w:val="231F20"/>
                <w:spacing w:val="-20"/>
                <w:w w:val="95"/>
                <w:sz w:val="14"/>
              </w:rPr>
              <w:t xml:space="preserve"> </w:t>
            </w:r>
            <w:r>
              <w:rPr>
                <w:color w:val="231F20"/>
                <w:w w:val="95"/>
                <w:sz w:val="14"/>
              </w:rPr>
              <w:t>of</w:t>
            </w:r>
            <w:r>
              <w:rPr>
                <w:color w:val="231F20"/>
                <w:spacing w:val="-21"/>
                <w:w w:val="95"/>
                <w:sz w:val="14"/>
              </w:rPr>
              <w:t xml:space="preserve"> </w:t>
            </w:r>
            <w:r>
              <w:rPr>
                <w:color w:val="231F20"/>
                <w:w w:val="95"/>
                <w:sz w:val="14"/>
              </w:rPr>
              <w:t>school</w:t>
            </w:r>
            <w:r>
              <w:rPr>
                <w:color w:val="231F20"/>
                <w:spacing w:val="-20"/>
                <w:w w:val="95"/>
                <w:sz w:val="14"/>
              </w:rPr>
              <w:t xml:space="preserve"> </w:t>
            </w:r>
            <w:r>
              <w:rPr>
                <w:color w:val="231F20"/>
                <w:w w:val="95"/>
                <w:sz w:val="14"/>
              </w:rPr>
              <w:t>feeding</w:t>
            </w:r>
            <w:r>
              <w:rPr>
                <w:color w:val="231F20"/>
                <w:spacing w:val="-21"/>
                <w:w w:val="95"/>
                <w:sz w:val="14"/>
              </w:rPr>
              <w:t xml:space="preserve"> </w:t>
            </w:r>
            <w:proofErr w:type="spellStart"/>
            <w:r>
              <w:rPr>
                <w:color w:val="231F20"/>
                <w:w w:val="95"/>
                <w:sz w:val="14"/>
              </w:rPr>
              <w:t>programme</w:t>
            </w:r>
            <w:proofErr w:type="spellEnd"/>
          </w:p>
        </w:tc>
        <w:tc>
          <w:tcPr>
            <w:tcW w:w="2538" w:type="dxa"/>
            <w:shd w:val="clear" w:color="auto" w:fill="CCE7D3"/>
          </w:tcPr>
          <w:p w14:paraId="4CF451AD" w14:textId="77777777" w:rsidR="009948F1" w:rsidRDefault="00BC0563">
            <w:pPr>
              <w:pStyle w:val="TableParagraph"/>
              <w:numPr>
                <w:ilvl w:val="0"/>
                <w:numId w:val="171"/>
              </w:numPr>
              <w:tabs>
                <w:tab w:val="left" w:pos="98"/>
              </w:tabs>
              <w:spacing w:before="38" w:line="268" w:lineRule="auto"/>
              <w:ind w:right="24" w:firstLine="0"/>
              <w:rPr>
                <w:sz w:val="14"/>
              </w:rPr>
            </w:pPr>
            <w:r>
              <w:rPr>
                <w:color w:val="231F20"/>
                <w:sz w:val="14"/>
              </w:rPr>
              <w:t xml:space="preserve">Advocacy meeting with Ministry of </w:t>
            </w:r>
            <w:r>
              <w:rPr>
                <w:color w:val="231F20"/>
                <w:w w:val="90"/>
                <w:sz w:val="14"/>
              </w:rPr>
              <w:t xml:space="preserve">Education on promotion and implementation </w:t>
            </w:r>
            <w:r>
              <w:rPr>
                <w:color w:val="231F20"/>
                <w:sz w:val="14"/>
              </w:rPr>
              <w:t>of school feeding</w:t>
            </w:r>
            <w:r>
              <w:rPr>
                <w:color w:val="231F20"/>
                <w:spacing w:val="9"/>
                <w:sz w:val="14"/>
              </w:rPr>
              <w:t xml:space="preserve"> </w:t>
            </w:r>
            <w:r>
              <w:rPr>
                <w:color w:val="231F20"/>
                <w:sz w:val="14"/>
              </w:rPr>
              <w:t>done</w:t>
            </w:r>
          </w:p>
          <w:p w14:paraId="53EE38EE" w14:textId="77777777" w:rsidR="009948F1" w:rsidRDefault="00BC0563">
            <w:pPr>
              <w:pStyle w:val="TableParagraph"/>
              <w:numPr>
                <w:ilvl w:val="0"/>
                <w:numId w:val="171"/>
              </w:numPr>
              <w:tabs>
                <w:tab w:val="left" w:pos="71"/>
              </w:tabs>
              <w:spacing w:line="268" w:lineRule="auto"/>
              <w:ind w:right="252" w:firstLine="0"/>
              <w:rPr>
                <w:sz w:val="14"/>
              </w:rPr>
            </w:pPr>
            <w:r>
              <w:rPr>
                <w:color w:val="231F20"/>
                <w:w w:val="95"/>
                <w:sz w:val="14"/>
              </w:rPr>
              <w:t>At</w:t>
            </w:r>
            <w:r>
              <w:rPr>
                <w:color w:val="231F20"/>
                <w:spacing w:val="-16"/>
                <w:w w:val="95"/>
                <w:sz w:val="14"/>
              </w:rPr>
              <w:t xml:space="preserve"> </w:t>
            </w:r>
            <w:r>
              <w:rPr>
                <w:color w:val="231F20"/>
                <w:w w:val="95"/>
                <w:sz w:val="14"/>
              </w:rPr>
              <w:t>least</w:t>
            </w:r>
            <w:r>
              <w:rPr>
                <w:color w:val="231F20"/>
                <w:spacing w:val="-16"/>
                <w:w w:val="95"/>
                <w:sz w:val="14"/>
              </w:rPr>
              <w:t xml:space="preserve"> </w:t>
            </w:r>
            <w:r>
              <w:rPr>
                <w:color w:val="231F20"/>
                <w:w w:val="95"/>
                <w:sz w:val="14"/>
              </w:rPr>
              <w:t>500</w:t>
            </w:r>
            <w:r>
              <w:rPr>
                <w:color w:val="231F20"/>
                <w:spacing w:val="-16"/>
                <w:w w:val="95"/>
                <w:sz w:val="14"/>
              </w:rPr>
              <w:t xml:space="preserve"> </w:t>
            </w:r>
            <w:r>
              <w:rPr>
                <w:color w:val="231F20"/>
                <w:w w:val="95"/>
                <w:sz w:val="14"/>
              </w:rPr>
              <w:t>teachers</w:t>
            </w:r>
            <w:r>
              <w:rPr>
                <w:color w:val="231F20"/>
                <w:spacing w:val="-15"/>
                <w:w w:val="95"/>
                <w:sz w:val="14"/>
              </w:rPr>
              <w:t xml:space="preserve"> </w:t>
            </w:r>
            <w:r>
              <w:rPr>
                <w:color w:val="231F20"/>
                <w:w w:val="95"/>
                <w:sz w:val="14"/>
              </w:rPr>
              <w:t>trained</w:t>
            </w:r>
            <w:r>
              <w:rPr>
                <w:color w:val="231F20"/>
                <w:spacing w:val="-16"/>
                <w:w w:val="95"/>
                <w:sz w:val="14"/>
              </w:rPr>
              <w:t xml:space="preserve"> </w:t>
            </w:r>
            <w:r>
              <w:rPr>
                <w:color w:val="231F20"/>
                <w:w w:val="95"/>
                <w:sz w:val="14"/>
              </w:rPr>
              <w:t>on</w:t>
            </w:r>
            <w:r>
              <w:rPr>
                <w:color w:val="231F20"/>
                <w:spacing w:val="-16"/>
                <w:w w:val="95"/>
                <w:sz w:val="14"/>
              </w:rPr>
              <w:t xml:space="preserve"> </w:t>
            </w:r>
            <w:r>
              <w:rPr>
                <w:color w:val="231F20"/>
                <w:w w:val="95"/>
                <w:sz w:val="14"/>
              </w:rPr>
              <w:t>salt</w:t>
            </w:r>
            <w:r>
              <w:rPr>
                <w:color w:val="231F20"/>
                <w:spacing w:val="-15"/>
                <w:w w:val="95"/>
                <w:sz w:val="14"/>
              </w:rPr>
              <w:t xml:space="preserve"> </w:t>
            </w:r>
            <w:r>
              <w:rPr>
                <w:color w:val="231F20"/>
                <w:spacing w:val="-5"/>
                <w:w w:val="95"/>
                <w:sz w:val="14"/>
              </w:rPr>
              <w:t xml:space="preserve">for </w:t>
            </w:r>
            <w:r>
              <w:rPr>
                <w:color w:val="231F20"/>
                <w:sz w:val="14"/>
              </w:rPr>
              <w:t>presence of</w:t>
            </w:r>
            <w:r>
              <w:rPr>
                <w:color w:val="231F20"/>
                <w:spacing w:val="-14"/>
                <w:sz w:val="14"/>
              </w:rPr>
              <w:t xml:space="preserve"> </w:t>
            </w:r>
            <w:r>
              <w:rPr>
                <w:color w:val="231F20"/>
                <w:sz w:val="14"/>
              </w:rPr>
              <w:t>Iodine</w:t>
            </w:r>
          </w:p>
          <w:p w14:paraId="750AEF8E" w14:textId="77777777" w:rsidR="009948F1" w:rsidRDefault="00BC0563">
            <w:pPr>
              <w:pStyle w:val="TableParagraph"/>
              <w:numPr>
                <w:ilvl w:val="0"/>
                <w:numId w:val="171"/>
              </w:numPr>
              <w:tabs>
                <w:tab w:val="left" w:pos="140"/>
              </w:tabs>
              <w:ind w:left="139" w:hanging="115"/>
              <w:rPr>
                <w:sz w:val="14"/>
              </w:rPr>
            </w:pPr>
            <w:r>
              <w:rPr>
                <w:color w:val="231F20"/>
                <w:w w:val="95"/>
                <w:sz w:val="14"/>
              </w:rPr>
              <w:t>Media</w:t>
            </w:r>
            <w:r>
              <w:rPr>
                <w:color w:val="231F20"/>
                <w:spacing w:val="-20"/>
                <w:w w:val="95"/>
                <w:sz w:val="14"/>
              </w:rPr>
              <w:t xml:space="preserve"> </w:t>
            </w:r>
            <w:r>
              <w:rPr>
                <w:color w:val="231F20"/>
                <w:w w:val="95"/>
                <w:sz w:val="14"/>
              </w:rPr>
              <w:t>engaged</w:t>
            </w:r>
            <w:r>
              <w:rPr>
                <w:color w:val="231F20"/>
                <w:spacing w:val="-1"/>
                <w:w w:val="95"/>
                <w:sz w:val="14"/>
              </w:rPr>
              <w:t xml:space="preserve"> </w:t>
            </w:r>
            <w:r>
              <w:rPr>
                <w:color w:val="231F20"/>
                <w:w w:val="95"/>
                <w:sz w:val="14"/>
              </w:rPr>
              <w:t>to</w:t>
            </w:r>
            <w:r>
              <w:rPr>
                <w:color w:val="231F20"/>
                <w:spacing w:val="-19"/>
                <w:w w:val="95"/>
                <w:sz w:val="14"/>
              </w:rPr>
              <w:t xml:space="preserve"> </w:t>
            </w:r>
            <w:r>
              <w:rPr>
                <w:color w:val="231F20"/>
                <w:w w:val="95"/>
                <w:sz w:val="14"/>
              </w:rPr>
              <w:t>promote</w:t>
            </w:r>
            <w:r>
              <w:rPr>
                <w:color w:val="231F20"/>
                <w:spacing w:val="-19"/>
                <w:w w:val="95"/>
                <w:sz w:val="14"/>
              </w:rPr>
              <w:t xml:space="preserve"> </w:t>
            </w:r>
            <w:r>
              <w:rPr>
                <w:color w:val="231F20"/>
                <w:w w:val="95"/>
                <w:sz w:val="14"/>
              </w:rPr>
              <w:t>handwashing</w:t>
            </w:r>
          </w:p>
          <w:p w14:paraId="3F950668" w14:textId="77777777" w:rsidR="009948F1" w:rsidRDefault="00BC0563">
            <w:pPr>
              <w:pStyle w:val="TableParagraph"/>
              <w:spacing w:before="20"/>
              <w:ind w:left="25"/>
              <w:rPr>
                <w:sz w:val="14"/>
              </w:rPr>
            </w:pPr>
            <w:r>
              <w:rPr>
                <w:color w:val="231F20"/>
                <w:sz w:val="14"/>
              </w:rPr>
              <w:t>and sanitation</w:t>
            </w:r>
          </w:p>
        </w:tc>
        <w:tc>
          <w:tcPr>
            <w:tcW w:w="1521" w:type="dxa"/>
            <w:tcBorders>
              <w:right w:val="single" w:sz="12" w:space="0" w:color="231F20"/>
            </w:tcBorders>
            <w:shd w:val="clear" w:color="auto" w:fill="CCE7D3"/>
          </w:tcPr>
          <w:p w14:paraId="5323AC4E" w14:textId="77777777" w:rsidR="009948F1" w:rsidRDefault="009948F1">
            <w:pPr>
              <w:pStyle w:val="TableParagraph"/>
              <w:rPr>
                <w:rFonts w:ascii="Times New Roman"/>
                <w:sz w:val="12"/>
              </w:rPr>
            </w:pPr>
          </w:p>
        </w:tc>
        <w:tc>
          <w:tcPr>
            <w:tcW w:w="1602" w:type="dxa"/>
            <w:tcBorders>
              <w:left w:val="single" w:sz="12" w:space="0" w:color="231F20"/>
              <w:right w:val="single" w:sz="8" w:space="0" w:color="231F20"/>
            </w:tcBorders>
            <w:shd w:val="clear" w:color="auto" w:fill="CCE7D3"/>
          </w:tcPr>
          <w:p w14:paraId="1A961517" w14:textId="77777777" w:rsidR="009948F1" w:rsidRDefault="009948F1">
            <w:pPr>
              <w:pStyle w:val="TableParagraph"/>
              <w:rPr>
                <w:rFonts w:ascii="Times New Roman"/>
                <w:sz w:val="12"/>
              </w:rPr>
            </w:pPr>
          </w:p>
        </w:tc>
      </w:tr>
      <w:tr w:rsidR="009948F1" w14:paraId="014E71C2" w14:textId="77777777">
        <w:trPr>
          <w:trHeight w:val="445"/>
        </w:trPr>
        <w:tc>
          <w:tcPr>
            <w:tcW w:w="488" w:type="dxa"/>
            <w:vMerge w:val="restart"/>
            <w:tcBorders>
              <w:left w:val="single" w:sz="8" w:space="0" w:color="231F20"/>
            </w:tcBorders>
          </w:tcPr>
          <w:p w14:paraId="2D7DEF73" w14:textId="77777777" w:rsidR="009948F1" w:rsidRDefault="009948F1">
            <w:pPr>
              <w:pStyle w:val="TableParagraph"/>
              <w:rPr>
                <w:rFonts w:ascii="Times New Roman"/>
                <w:sz w:val="12"/>
              </w:rPr>
            </w:pPr>
          </w:p>
        </w:tc>
        <w:tc>
          <w:tcPr>
            <w:tcW w:w="560" w:type="dxa"/>
          </w:tcPr>
          <w:p w14:paraId="5357DAD4" w14:textId="77777777" w:rsidR="009948F1" w:rsidRDefault="009948F1">
            <w:pPr>
              <w:pStyle w:val="TableParagraph"/>
              <w:spacing w:before="5"/>
              <w:rPr>
                <w:sz w:val="12"/>
              </w:rPr>
            </w:pPr>
          </w:p>
          <w:p w14:paraId="6C72DEDD" w14:textId="77777777" w:rsidR="009948F1" w:rsidRDefault="00BC0563">
            <w:pPr>
              <w:pStyle w:val="TableParagraph"/>
              <w:spacing w:before="1"/>
              <w:ind w:left="34" w:right="14"/>
              <w:jc w:val="center"/>
              <w:rPr>
                <w:sz w:val="14"/>
              </w:rPr>
            </w:pPr>
            <w:r>
              <w:rPr>
                <w:color w:val="231F20"/>
                <w:sz w:val="14"/>
              </w:rPr>
              <w:t>4.6.7.a</w:t>
            </w:r>
          </w:p>
        </w:tc>
        <w:tc>
          <w:tcPr>
            <w:tcW w:w="5211" w:type="dxa"/>
            <w:gridSpan w:val="2"/>
          </w:tcPr>
          <w:p w14:paraId="0DDCBB0D" w14:textId="77777777" w:rsidR="009948F1" w:rsidRDefault="00BC0563">
            <w:pPr>
              <w:pStyle w:val="TableParagraph"/>
              <w:spacing w:before="48" w:line="268" w:lineRule="auto"/>
              <w:ind w:left="26" w:right="110"/>
              <w:rPr>
                <w:sz w:val="14"/>
              </w:rPr>
            </w:pPr>
            <w:r>
              <w:rPr>
                <w:color w:val="231F20"/>
                <w:w w:val="95"/>
                <w:sz w:val="14"/>
              </w:rPr>
              <w:t>Conduct</w:t>
            </w:r>
            <w:r>
              <w:rPr>
                <w:color w:val="231F20"/>
                <w:spacing w:val="-25"/>
                <w:w w:val="95"/>
                <w:sz w:val="14"/>
              </w:rPr>
              <w:t xml:space="preserve"> </w:t>
            </w:r>
            <w:r>
              <w:rPr>
                <w:color w:val="231F20"/>
                <w:w w:val="95"/>
                <w:sz w:val="14"/>
              </w:rPr>
              <w:t>advocacy</w:t>
            </w:r>
            <w:r>
              <w:rPr>
                <w:color w:val="231F20"/>
                <w:spacing w:val="-24"/>
                <w:w w:val="95"/>
                <w:sz w:val="14"/>
              </w:rPr>
              <w:t xml:space="preserve"> </w:t>
            </w:r>
            <w:r>
              <w:rPr>
                <w:color w:val="231F20"/>
                <w:w w:val="95"/>
                <w:sz w:val="14"/>
              </w:rPr>
              <w:t>meeting</w:t>
            </w:r>
            <w:r>
              <w:rPr>
                <w:color w:val="231F20"/>
                <w:spacing w:val="-25"/>
                <w:w w:val="95"/>
                <w:sz w:val="14"/>
              </w:rPr>
              <w:t xml:space="preserve"> </w:t>
            </w:r>
            <w:r>
              <w:rPr>
                <w:color w:val="231F20"/>
                <w:w w:val="95"/>
                <w:sz w:val="14"/>
              </w:rPr>
              <w:t>with</w:t>
            </w:r>
            <w:r>
              <w:rPr>
                <w:color w:val="231F20"/>
                <w:spacing w:val="-24"/>
                <w:w w:val="95"/>
                <w:sz w:val="14"/>
              </w:rPr>
              <w:t xml:space="preserve"> </w:t>
            </w:r>
            <w:r>
              <w:rPr>
                <w:color w:val="231F20"/>
                <w:w w:val="95"/>
                <w:sz w:val="14"/>
              </w:rPr>
              <w:t>Ministry</w:t>
            </w:r>
            <w:r>
              <w:rPr>
                <w:color w:val="231F20"/>
                <w:spacing w:val="-25"/>
                <w:w w:val="95"/>
                <w:sz w:val="14"/>
              </w:rPr>
              <w:t xml:space="preserve"> </w:t>
            </w:r>
            <w:r>
              <w:rPr>
                <w:color w:val="231F20"/>
                <w:w w:val="95"/>
                <w:sz w:val="14"/>
              </w:rPr>
              <w:t>of</w:t>
            </w:r>
            <w:r>
              <w:rPr>
                <w:color w:val="231F20"/>
                <w:spacing w:val="-24"/>
                <w:w w:val="95"/>
                <w:sz w:val="14"/>
              </w:rPr>
              <w:t xml:space="preserve"> </w:t>
            </w:r>
            <w:r>
              <w:rPr>
                <w:color w:val="231F20"/>
                <w:w w:val="95"/>
                <w:sz w:val="14"/>
              </w:rPr>
              <w:t>Education</w:t>
            </w:r>
            <w:r>
              <w:rPr>
                <w:color w:val="231F20"/>
                <w:spacing w:val="-24"/>
                <w:w w:val="95"/>
                <w:sz w:val="14"/>
              </w:rPr>
              <w:t xml:space="preserve"> </w:t>
            </w:r>
            <w:r>
              <w:rPr>
                <w:color w:val="231F20"/>
                <w:w w:val="95"/>
                <w:sz w:val="14"/>
              </w:rPr>
              <w:t>on</w:t>
            </w:r>
            <w:r>
              <w:rPr>
                <w:color w:val="231F20"/>
                <w:spacing w:val="-25"/>
                <w:w w:val="95"/>
                <w:sz w:val="14"/>
              </w:rPr>
              <w:t xml:space="preserve"> </w:t>
            </w:r>
            <w:r>
              <w:rPr>
                <w:color w:val="231F20"/>
                <w:w w:val="95"/>
                <w:sz w:val="14"/>
              </w:rPr>
              <w:t>promotion</w:t>
            </w:r>
            <w:r>
              <w:rPr>
                <w:color w:val="231F20"/>
                <w:spacing w:val="-24"/>
                <w:w w:val="95"/>
                <w:sz w:val="14"/>
              </w:rPr>
              <w:t xml:space="preserve"> </w:t>
            </w:r>
            <w:r>
              <w:rPr>
                <w:color w:val="231F20"/>
                <w:w w:val="95"/>
                <w:sz w:val="14"/>
              </w:rPr>
              <w:t>and</w:t>
            </w:r>
            <w:r>
              <w:rPr>
                <w:color w:val="231F20"/>
                <w:spacing w:val="-25"/>
                <w:w w:val="95"/>
                <w:sz w:val="14"/>
              </w:rPr>
              <w:t xml:space="preserve"> </w:t>
            </w:r>
            <w:r>
              <w:rPr>
                <w:color w:val="231F20"/>
                <w:w w:val="95"/>
                <w:sz w:val="14"/>
              </w:rPr>
              <w:t>implementation</w:t>
            </w:r>
            <w:r>
              <w:rPr>
                <w:color w:val="231F20"/>
                <w:spacing w:val="-24"/>
                <w:w w:val="95"/>
                <w:sz w:val="14"/>
              </w:rPr>
              <w:t xml:space="preserve"> </w:t>
            </w:r>
            <w:r>
              <w:rPr>
                <w:color w:val="231F20"/>
                <w:w w:val="95"/>
                <w:sz w:val="14"/>
              </w:rPr>
              <w:t xml:space="preserve">of </w:t>
            </w:r>
            <w:r>
              <w:rPr>
                <w:color w:val="231F20"/>
                <w:sz w:val="14"/>
              </w:rPr>
              <w:t>school</w:t>
            </w:r>
            <w:r>
              <w:rPr>
                <w:color w:val="231F20"/>
                <w:spacing w:val="-5"/>
                <w:sz w:val="14"/>
              </w:rPr>
              <w:t xml:space="preserve"> </w:t>
            </w:r>
            <w:r>
              <w:rPr>
                <w:color w:val="231F20"/>
                <w:sz w:val="14"/>
              </w:rPr>
              <w:t>feeding</w:t>
            </w:r>
          </w:p>
        </w:tc>
        <w:tc>
          <w:tcPr>
            <w:tcW w:w="1521" w:type="dxa"/>
          </w:tcPr>
          <w:p w14:paraId="68009173" w14:textId="77777777" w:rsidR="009948F1" w:rsidRDefault="009948F1">
            <w:pPr>
              <w:pStyle w:val="TableParagraph"/>
              <w:spacing w:before="5"/>
              <w:rPr>
                <w:sz w:val="12"/>
              </w:rPr>
            </w:pPr>
          </w:p>
          <w:p w14:paraId="78D8DDAA" w14:textId="77777777" w:rsidR="009948F1" w:rsidRDefault="00BC0563">
            <w:pPr>
              <w:pStyle w:val="TableParagraph"/>
              <w:spacing w:before="1"/>
              <w:ind w:left="24"/>
              <w:rPr>
                <w:sz w:val="14"/>
              </w:rPr>
            </w:pPr>
            <w:r>
              <w:rPr>
                <w:color w:val="231F20"/>
                <w:sz w:val="14"/>
              </w:rPr>
              <w:t>Lack of funds</w:t>
            </w:r>
          </w:p>
        </w:tc>
        <w:tc>
          <w:tcPr>
            <w:tcW w:w="1602" w:type="dxa"/>
            <w:tcBorders>
              <w:right w:val="single" w:sz="8" w:space="0" w:color="231F20"/>
            </w:tcBorders>
          </w:tcPr>
          <w:p w14:paraId="32BCAA63" w14:textId="77777777" w:rsidR="009948F1" w:rsidRDefault="009948F1">
            <w:pPr>
              <w:pStyle w:val="TableParagraph"/>
              <w:spacing w:before="5"/>
              <w:rPr>
                <w:sz w:val="12"/>
              </w:rPr>
            </w:pPr>
          </w:p>
          <w:p w14:paraId="0AE15389" w14:textId="4F08CFBE" w:rsidR="009948F1" w:rsidRDefault="00BC0563">
            <w:pPr>
              <w:pStyle w:val="TableParagraph"/>
              <w:spacing w:before="1"/>
              <w:ind w:left="22"/>
              <w:rPr>
                <w:sz w:val="14"/>
              </w:rPr>
            </w:pPr>
            <w:r>
              <w:rPr>
                <w:color w:val="231F20"/>
                <w:sz w:val="14"/>
              </w:rPr>
              <w:t xml:space="preserve">Conduct </w:t>
            </w:r>
            <w:r w:rsidR="000225DB">
              <w:rPr>
                <w:color w:val="231F20"/>
                <w:sz w:val="14"/>
              </w:rPr>
              <w:t>advocacy</w:t>
            </w:r>
            <w:r>
              <w:rPr>
                <w:color w:val="231F20"/>
                <w:sz w:val="14"/>
              </w:rPr>
              <w:t xml:space="preserve"> visit</w:t>
            </w:r>
          </w:p>
        </w:tc>
      </w:tr>
      <w:tr w:rsidR="009948F1" w14:paraId="3A56B52F" w14:textId="77777777">
        <w:trPr>
          <w:trHeight w:val="445"/>
        </w:trPr>
        <w:tc>
          <w:tcPr>
            <w:tcW w:w="488" w:type="dxa"/>
            <w:vMerge/>
            <w:tcBorders>
              <w:top w:val="nil"/>
              <w:left w:val="single" w:sz="8" w:space="0" w:color="231F20"/>
            </w:tcBorders>
          </w:tcPr>
          <w:p w14:paraId="396EE1CA" w14:textId="77777777" w:rsidR="009948F1" w:rsidRDefault="009948F1">
            <w:pPr>
              <w:rPr>
                <w:sz w:val="2"/>
                <w:szCs w:val="2"/>
              </w:rPr>
            </w:pPr>
          </w:p>
        </w:tc>
        <w:tc>
          <w:tcPr>
            <w:tcW w:w="560" w:type="dxa"/>
          </w:tcPr>
          <w:p w14:paraId="6DD8D2B4" w14:textId="77777777" w:rsidR="009948F1" w:rsidRDefault="009948F1">
            <w:pPr>
              <w:pStyle w:val="TableParagraph"/>
              <w:spacing w:before="5"/>
              <w:rPr>
                <w:sz w:val="12"/>
              </w:rPr>
            </w:pPr>
          </w:p>
          <w:p w14:paraId="32184445" w14:textId="77777777" w:rsidR="009948F1" w:rsidRDefault="00BC0563">
            <w:pPr>
              <w:pStyle w:val="TableParagraph"/>
              <w:spacing w:before="1"/>
              <w:ind w:left="34" w:right="14"/>
              <w:jc w:val="center"/>
              <w:rPr>
                <w:sz w:val="14"/>
              </w:rPr>
            </w:pPr>
            <w:r>
              <w:rPr>
                <w:color w:val="231F20"/>
                <w:sz w:val="14"/>
              </w:rPr>
              <w:t>4.6.7.b</w:t>
            </w:r>
          </w:p>
        </w:tc>
        <w:tc>
          <w:tcPr>
            <w:tcW w:w="5211" w:type="dxa"/>
            <w:gridSpan w:val="2"/>
          </w:tcPr>
          <w:p w14:paraId="67FFCEB9" w14:textId="77777777" w:rsidR="009948F1" w:rsidRDefault="009948F1">
            <w:pPr>
              <w:pStyle w:val="TableParagraph"/>
              <w:spacing w:before="11"/>
              <w:rPr>
                <w:sz w:val="11"/>
              </w:rPr>
            </w:pPr>
          </w:p>
          <w:p w14:paraId="5BAA903B" w14:textId="77777777" w:rsidR="009948F1" w:rsidRDefault="00BC0563">
            <w:pPr>
              <w:pStyle w:val="TableParagraph"/>
              <w:ind w:left="26"/>
              <w:rPr>
                <w:sz w:val="14"/>
              </w:rPr>
            </w:pPr>
            <w:r>
              <w:rPr>
                <w:color w:val="231F20"/>
                <w:sz w:val="14"/>
              </w:rPr>
              <w:t>Train Primary School Teachers on salt testing for presence of Iodine</w:t>
            </w:r>
          </w:p>
        </w:tc>
        <w:tc>
          <w:tcPr>
            <w:tcW w:w="1521" w:type="dxa"/>
          </w:tcPr>
          <w:p w14:paraId="396C1F65" w14:textId="77777777" w:rsidR="009948F1" w:rsidRDefault="009948F1">
            <w:pPr>
              <w:pStyle w:val="TableParagraph"/>
              <w:spacing w:before="5"/>
              <w:rPr>
                <w:sz w:val="12"/>
              </w:rPr>
            </w:pPr>
          </w:p>
          <w:p w14:paraId="03FD381E" w14:textId="77777777" w:rsidR="009948F1" w:rsidRDefault="00BC0563">
            <w:pPr>
              <w:pStyle w:val="TableParagraph"/>
              <w:spacing w:before="1"/>
              <w:ind w:left="24"/>
              <w:rPr>
                <w:sz w:val="14"/>
              </w:rPr>
            </w:pPr>
            <w:r>
              <w:rPr>
                <w:color w:val="231F20"/>
                <w:sz w:val="14"/>
              </w:rPr>
              <w:t>Lack of funds</w:t>
            </w:r>
          </w:p>
        </w:tc>
        <w:tc>
          <w:tcPr>
            <w:tcW w:w="1602" w:type="dxa"/>
            <w:tcBorders>
              <w:right w:val="single" w:sz="8" w:space="0" w:color="231F20"/>
            </w:tcBorders>
          </w:tcPr>
          <w:p w14:paraId="245E82E2" w14:textId="77777777" w:rsidR="009948F1" w:rsidRDefault="009948F1">
            <w:pPr>
              <w:pStyle w:val="TableParagraph"/>
              <w:spacing w:before="5"/>
              <w:rPr>
                <w:sz w:val="12"/>
              </w:rPr>
            </w:pPr>
          </w:p>
          <w:p w14:paraId="58CFE37A" w14:textId="77777777" w:rsidR="009948F1" w:rsidRDefault="00BC0563">
            <w:pPr>
              <w:pStyle w:val="TableParagraph"/>
              <w:spacing w:before="1"/>
              <w:ind w:left="22"/>
              <w:rPr>
                <w:sz w:val="14"/>
              </w:rPr>
            </w:pPr>
            <w:r>
              <w:rPr>
                <w:color w:val="231F20"/>
                <w:sz w:val="14"/>
              </w:rPr>
              <w:t>Conduct training</w:t>
            </w:r>
          </w:p>
        </w:tc>
      </w:tr>
      <w:tr w:rsidR="009948F1" w14:paraId="01E60FF4" w14:textId="77777777">
        <w:trPr>
          <w:trHeight w:val="445"/>
        </w:trPr>
        <w:tc>
          <w:tcPr>
            <w:tcW w:w="488" w:type="dxa"/>
            <w:vMerge/>
            <w:tcBorders>
              <w:top w:val="nil"/>
              <w:left w:val="single" w:sz="8" w:space="0" w:color="231F20"/>
            </w:tcBorders>
          </w:tcPr>
          <w:p w14:paraId="2B719B33" w14:textId="77777777" w:rsidR="009948F1" w:rsidRDefault="009948F1">
            <w:pPr>
              <w:rPr>
                <w:sz w:val="2"/>
                <w:szCs w:val="2"/>
              </w:rPr>
            </w:pPr>
          </w:p>
        </w:tc>
        <w:tc>
          <w:tcPr>
            <w:tcW w:w="560" w:type="dxa"/>
          </w:tcPr>
          <w:p w14:paraId="405BC62C" w14:textId="77777777" w:rsidR="009948F1" w:rsidRDefault="009948F1">
            <w:pPr>
              <w:pStyle w:val="TableParagraph"/>
              <w:spacing w:before="5"/>
              <w:rPr>
                <w:sz w:val="12"/>
              </w:rPr>
            </w:pPr>
          </w:p>
          <w:p w14:paraId="1BCE6D3D" w14:textId="77777777" w:rsidR="009948F1" w:rsidRDefault="00BC0563">
            <w:pPr>
              <w:pStyle w:val="TableParagraph"/>
              <w:spacing w:before="1"/>
              <w:ind w:left="34" w:right="14"/>
              <w:jc w:val="center"/>
              <w:rPr>
                <w:sz w:val="14"/>
              </w:rPr>
            </w:pPr>
            <w:r>
              <w:rPr>
                <w:color w:val="231F20"/>
                <w:sz w:val="14"/>
              </w:rPr>
              <w:t>4.6.7.c</w:t>
            </w:r>
          </w:p>
        </w:tc>
        <w:tc>
          <w:tcPr>
            <w:tcW w:w="5211" w:type="dxa"/>
            <w:gridSpan w:val="2"/>
          </w:tcPr>
          <w:p w14:paraId="59417C2C" w14:textId="77777777" w:rsidR="009948F1" w:rsidRDefault="009948F1">
            <w:pPr>
              <w:pStyle w:val="TableParagraph"/>
              <w:spacing w:before="11"/>
              <w:rPr>
                <w:sz w:val="11"/>
              </w:rPr>
            </w:pPr>
          </w:p>
          <w:p w14:paraId="40459AF9" w14:textId="77777777" w:rsidR="009948F1" w:rsidRDefault="00BC0563">
            <w:pPr>
              <w:pStyle w:val="TableParagraph"/>
              <w:ind w:left="26"/>
              <w:rPr>
                <w:sz w:val="14"/>
              </w:rPr>
            </w:pPr>
            <w:r>
              <w:rPr>
                <w:color w:val="231F20"/>
                <w:sz w:val="14"/>
              </w:rPr>
              <w:t>Community outreaches through the media to promote handwashing and sanitation</w:t>
            </w:r>
          </w:p>
        </w:tc>
        <w:tc>
          <w:tcPr>
            <w:tcW w:w="1521" w:type="dxa"/>
          </w:tcPr>
          <w:p w14:paraId="49570704" w14:textId="77777777" w:rsidR="009948F1" w:rsidRDefault="009948F1">
            <w:pPr>
              <w:pStyle w:val="TableParagraph"/>
              <w:spacing w:before="5"/>
              <w:rPr>
                <w:sz w:val="12"/>
              </w:rPr>
            </w:pPr>
          </w:p>
          <w:p w14:paraId="2AB50603" w14:textId="77777777" w:rsidR="009948F1" w:rsidRDefault="00BC0563">
            <w:pPr>
              <w:pStyle w:val="TableParagraph"/>
              <w:spacing w:before="1"/>
              <w:ind w:left="24"/>
              <w:rPr>
                <w:sz w:val="14"/>
              </w:rPr>
            </w:pPr>
            <w:r>
              <w:rPr>
                <w:color w:val="231F20"/>
                <w:sz w:val="14"/>
              </w:rPr>
              <w:t>Lack of funds</w:t>
            </w:r>
          </w:p>
        </w:tc>
        <w:tc>
          <w:tcPr>
            <w:tcW w:w="1602" w:type="dxa"/>
            <w:tcBorders>
              <w:right w:val="single" w:sz="8" w:space="0" w:color="231F20"/>
            </w:tcBorders>
          </w:tcPr>
          <w:p w14:paraId="7DB46798" w14:textId="77777777" w:rsidR="009948F1" w:rsidRDefault="009948F1">
            <w:pPr>
              <w:pStyle w:val="TableParagraph"/>
              <w:spacing w:before="5"/>
              <w:rPr>
                <w:sz w:val="12"/>
              </w:rPr>
            </w:pPr>
          </w:p>
          <w:p w14:paraId="0CF72F81" w14:textId="77777777" w:rsidR="009948F1" w:rsidRDefault="00BC0563">
            <w:pPr>
              <w:pStyle w:val="TableParagraph"/>
              <w:spacing w:before="1"/>
              <w:ind w:left="22"/>
              <w:rPr>
                <w:sz w:val="14"/>
              </w:rPr>
            </w:pPr>
            <w:r>
              <w:rPr>
                <w:color w:val="231F20"/>
                <w:sz w:val="14"/>
              </w:rPr>
              <w:t>Media outreach</w:t>
            </w:r>
          </w:p>
        </w:tc>
      </w:tr>
      <w:tr w:rsidR="009948F1" w14:paraId="14C37E6B" w14:textId="77777777">
        <w:trPr>
          <w:trHeight w:val="1465"/>
        </w:trPr>
        <w:tc>
          <w:tcPr>
            <w:tcW w:w="488" w:type="dxa"/>
            <w:tcBorders>
              <w:left w:val="single" w:sz="12" w:space="0" w:color="231F20"/>
            </w:tcBorders>
            <w:shd w:val="clear" w:color="auto" w:fill="CCE7D3"/>
          </w:tcPr>
          <w:p w14:paraId="71FEBDEF" w14:textId="77777777" w:rsidR="009948F1" w:rsidRDefault="009948F1">
            <w:pPr>
              <w:pStyle w:val="TableParagraph"/>
              <w:rPr>
                <w:sz w:val="14"/>
              </w:rPr>
            </w:pPr>
          </w:p>
          <w:p w14:paraId="54C95FCE" w14:textId="77777777" w:rsidR="009948F1" w:rsidRDefault="009948F1">
            <w:pPr>
              <w:pStyle w:val="TableParagraph"/>
              <w:rPr>
                <w:sz w:val="14"/>
              </w:rPr>
            </w:pPr>
          </w:p>
          <w:p w14:paraId="4C6D347B" w14:textId="77777777" w:rsidR="009948F1" w:rsidRDefault="009948F1">
            <w:pPr>
              <w:pStyle w:val="TableParagraph"/>
              <w:rPr>
                <w:sz w:val="14"/>
              </w:rPr>
            </w:pPr>
          </w:p>
          <w:p w14:paraId="148339F0" w14:textId="77777777" w:rsidR="009948F1" w:rsidRDefault="009948F1">
            <w:pPr>
              <w:pStyle w:val="TableParagraph"/>
              <w:spacing w:before="10"/>
              <w:rPr>
                <w:sz w:val="14"/>
              </w:rPr>
            </w:pPr>
          </w:p>
          <w:p w14:paraId="09526B35" w14:textId="77777777" w:rsidR="009948F1" w:rsidRDefault="00BC0563">
            <w:pPr>
              <w:pStyle w:val="TableParagraph"/>
              <w:ind w:left="24" w:right="90"/>
              <w:jc w:val="center"/>
              <w:rPr>
                <w:sz w:val="14"/>
              </w:rPr>
            </w:pPr>
            <w:r>
              <w:rPr>
                <w:color w:val="231F20"/>
                <w:sz w:val="14"/>
              </w:rPr>
              <w:t>4.6.8</w:t>
            </w:r>
          </w:p>
        </w:tc>
        <w:tc>
          <w:tcPr>
            <w:tcW w:w="3233" w:type="dxa"/>
            <w:gridSpan w:val="2"/>
            <w:shd w:val="clear" w:color="auto" w:fill="CCE7D3"/>
          </w:tcPr>
          <w:p w14:paraId="39E77A84" w14:textId="77777777" w:rsidR="009948F1" w:rsidRDefault="009948F1">
            <w:pPr>
              <w:pStyle w:val="TableParagraph"/>
              <w:rPr>
                <w:sz w:val="14"/>
              </w:rPr>
            </w:pPr>
          </w:p>
          <w:p w14:paraId="0053DE84" w14:textId="77777777" w:rsidR="009948F1" w:rsidRDefault="009948F1">
            <w:pPr>
              <w:pStyle w:val="TableParagraph"/>
              <w:rPr>
                <w:sz w:val="14"/>
              </w:rPr>
            </w:pPr>
          </w:p>
          <w:p w14:paraId="2C8C2926" w14:textId="77777777" w:rsidR="009948F1" w:rsidRDefault="009948F1">
            <w:pPr>
              <w:pStyle w:val="TableParagraph"/>
              <w:spacing w:before="6"/>
              <w:rPr>
                <w:sz w:val="20"/>
              </w:rPr>
            </w:pPr>
          </w:p>
          <w:p w14:paraId="18135D51" w14:textId="77777777" w:rsidR="009948F1" w:rsidRDefault="00BC0563">
            <w:pPr>
              <w:pStyle w:val="TableParagraph"/>
              <w:spacing w:line="268" w:lineRule="auto"/>
              <w:ind w:left="26" w:right="42" w:firstLine="35"/>
              <w:rPr>
                <w:sz w:val="14"/>
              </w:rPr>
            </w:pPr>
            <w:r>
              <w:rPr>
                <w:color w:val="231F20"/>
                <w:w w:val="95"/>
                <w:sz w:val="14"/>
              </w:rPr>
              <w:t>Foster</w:t>
            </w:r>
            <w:r>
              <w:rPr>
                <w:color w:val="231F20"/>
                <w:spacing w:val="-6"/>
                <w:w w:val="95"/>
                <w:sz w:val="14"/>
              </w:rPr>
              <w:t xml:space="preserve"> </w:t>
            </w:r>
            <w:r>
              <w:rPr>
                <w:color w:val="231F20"/>
                <w:w w:val="95"/>
                <w:sz w:val="14"/>
              </w:rPr>
              <w:t>Iron</w:t>
            </w:r>
            <w:r>
              <w:rPr>
                <w:color w:val="231F20"/>
                <w:spacing w:val="-21"/>
                <w:w w:val="95"/>
                <w:sz w:val="14"/>
              </w:rPr>
              <w:t xml:space="preserve"> </w:t>
            </w:r>
            <w:r>
              <w:rPr>
                <w:color w:val="231F20"/>
                <w:w w:val="95"/>
                <w:sz w:val="14"/>
              </w:rPr>
              <w:t>and</w:t>
            </w:r>
            <w:r>
              <w:rPr>
                <w:color w:val="231F20"/>
                <w:spacing w:val="-21"/>
                <w:w w:val="95"/>
                <w:sz w:val="14"/>
              </w:rPr>
              <w:t xml:space="preserve"> </w:t>
            </w:r>
            <w:r>
              <w:rPr>
                <w:color w:val="231F20"/>
                <w:w w:val="95"/>
                <w:sz w:val="14"/>
              </w:rPr>
              <w:t>Folic</w:t>
            </w:r>
            <w:r>
              <w:rPr>
                <w:color w:val="231F20"/>
                <w:spacing w:val="-25"/>
                <w:w w:val="95"/>
                <w:sz w:val="14"/>
              </w:rPr>
              <w:t xml:space="preserve"> </w:t>
            </w:r>
            <w:r>
              <w:rPr>
                <w:color w:val="231F20"/>
                <w:w w:val="95"/>
                <w:sz w:val="14"/>
              </w:rPr>
              <w:t>Acid</w:t>
            </w:r>
            <w:r>
              <w:rPr>
                <w:color w:val="231F20"/>
                <w:spacing w:val="-21"/>
                <w:w w:val="95"/>
                <w:sz w:val="14"/>
              </w:rPr>
              <w:t xml:space="preserve"> </w:t>
            </w:r>
            <w:r>
              <w:rPr>
                <w:color w:val="231F20"/>
                <w:w w:val="95"/>
                <w:sz w:val="14"/>
              </w:rPr>
              <w:t>supplementation</w:t>
            </w:r>
            <w:r>
              <w:rPr>
                <w:color w:val="231F20"/>
                <w:spacing w:val="-21"/>
                <w:w w:val="95"/>
                <w:sz w:val="14"/>
              </w:rPr>
              <w:t xml:space="preserve"> </w:t>
            </w:r>
            <w:r>
              <w:rPr>
                <w:color w:val="231F20"/>
                <w:w w:val="95"/>
                <w:sz w:val="14"/>
              </w:rPr>
              <w:t>in</w:t>
            </w:r>
            <w:r>
              <w:rPr>
                <w:color w:val="231F20"/>
                <w:spacing w:val="-21"/>
                <w:w w:val="95"/>
                <w:sz w:val="14"/>
              </w:rPr>
              <w:t xml:space="preserve"> </w:t>
            </w:r>
            <w:r>
              <w:rPr>
                <w:color w:val="231F20"/>
                <w:w w:val="95"/>
                <w:sz w:val="14"/>
              </w:rPr>
              <w:t>pregnant women;</w:t>
            </w:r>
            <w:r>
              <w:rPr>
                <w:color w:val="231F20"/>
                <w:spacing w:val="-20"/>
                <w:w w:val="95"/>
                <w:sz w:val="14"/>
              </w:rPr>
              <w:t xml:space="preserve"> </w:t>
            </w:r>
            <w:r>
              <w:rPr>
                <w:color w:val="231F20"/>
                <w:w w:val="95"/>
                <w:sz w:val="14"/>
              </w:rPr>
              <w:t>and</w:t>
            </w:r>
            <w:r>
              <w:rPr>
                <w:color w:val="231F20"/>
                <w:spacing w:val="-19"/>
                <w:w w:val="95"/>
                <w:sz w:val="14"/>
              </w:rPr>
              <w:t xml:space="preserve"> </w:t>
            </w:r>
            <w:r>
              <w:rPr>
                <w:color w:val="231F20"/>
                <w:w w:val="95"/>
                <w:sz w:val="14"/>
              </w:rPr>
              <w:t>Vit</w:t>
            </w:r>
            <w:r>
              <w:rPr>
                <w:color w:val="231F20"/>
                <w:spacing w:val="-23"/>
                <w:w w:val="95"/>
                <w:sz w:val="14"/>
              </w:rPr>
              <w:t xml:space="preserve"> </w:t>
            </w:r>
            <w:r>
              <w:rPr>
                <w:color w:val="231F20"/>
                <w:w w:val="95"/>
                <w:sz w:val="14"/>
              </w:rPr>
              <w:t>A</w:t>
            </w:r>
            <w:r>
              <w:rPr>
                <w:color w:val="231F20"/>
                <w:spacing w:val="-22"/>
                <w:w w:val="95"/>
                <w:sz w:val="14"/>
              </w:rPr>
              <w:t xml:space="preserve"> </w:t>
            </w:r>
            <w:r>
              <w:rPr>
                <w:color w:val="231F20"/>
                <w:w w:val="95"/>
                <w:sz w:val="14"/>
              </w:rPr>
              <w:t>supplementation</w:t>
            </w:r>
            <w:r>
              <w:rPr>
                <w:color w:val="231F20"/>
                <w:spacing w:val="-20"/>
                <w:w w:val="95"/>
                <w:sz w:val="14"/>
              </w:rPr>
              <w:t xml:space="preserve"> </w:t>
            </w:r>
            <w:r>
              <w:rPr>
                <w:color w:val="231F20"/>
                <w:w w:val="95"/>
                <w:sz w:val="14"/>
              </w:rPr>
              <w:t>in</w:t>
            </w:r>
            <w:r>
              <w:rPr>
                <w:color w:val="231F20"/>
                <w:spacing w:val="-19"/>
                <w:w w:val="95"/>
                <w:sz w:val="14"/>
              </w:rPr>
              <w:t xml:space="preserve"> </w:t>
            </w:r>
            <w:r>
              <w:rPr>
                <w:color w:val="231F20"/>
                <w:w w:val="95"/>
                <w:sz w:val="14"/>
              </w:rPr>
              <w:t>lactating</w:t>
            </w:r>
            <w:r>
              <w:rPr>
                <w:color w:val="231F20"/>
                <w:spacing w:val="-19"/>
                <w:w w:val="95"/>
                <w:sz w:val="14"/>
              </w:rPr>
              <w:t xml:space="preserve"> </w:t>
            </w:r>
            <w:r>
              <w:rPr>
                <w:color w:val="231F20"/>
                <w:w w:val="95"/>
                <w:sz w:val="14"/>
              </w:rPr>
              <w:t>women.</w:t>
            </w:r>
          </w:p>
        </w:tc>
        <w:tc>
          <w:tcPr>
            <w:tcW w:w="2538" w:type="dxa"/>
            <w:shd w:val="clear" w:color="auto" w:fill="CCE7D3"/>
          </w:tcPr>
          <w:p w14:paraId="39EFAB5E" w14:textId="77777777" w:rsidR="009948F1" w:rsidRDefault="00BC0563">
            <w:pPr>
              <w:pStyle w:val="TableParagraph"/>
              <w:numPr>
                <w:ilvl w:val="0"/>
                <w:numId w:val="170"/>
              </w:numPr>
              <w:tabs>
                <w:tab w:val="left" w:pos="140"/>
              </w:tabs>
              <w:spacing w:before="4" w:line="268" w:lineRule="auto"/>
              <w:ind w:right="119" w:firstLine="0"/>
              <w:rPr>
                <w:sz w:val="14"/>
              </w:rPr>
            </w:pPr>
            <w:r>
              <w:rPr>
                <w:color w:val="231F20"/>
                <w:w w:val="95"/>
                <w:sz w:val="14"/>
              </w:rPr>
              <w:t>Provision</w:t>
            </w:r>
            <w:r>
              <w:rPr>
                <w:color w:val="231F20"/>
                <w:spacing w:val="-17"/>
                <w:w w:val="95"/>
                <w:sz w:val="14"/>
              </w:rPr>
              <w:t xml:space="preserve"> </w:t>
            </w:r>
            <w:r>
              <w:rPr>
                <w:color w:val="231F20"/>
                <w:w w:val="95"/>
                <w:sz w:val="14"/>
              </w:rPr>
              <w:t>of</w:t>
            </w:r>
            <w:r>
              <w:rPr>
                <w:color w:val="231F20"/>
                <w:spacing w:val="-17"/>
                <w:w w:val="95"/>
                <w:sz w:val="14"/>
              </w:rPr>
              <w:t xml:space="preserve"> </w:t>
            </w:r>
            <w:r>
              <w:rPr>
                <w:color w:val="231F20"/>
                <w:w w:val="95"/>
                <w:sz w:val="14"/>
              </w:rPr>
              <w:t>iron,</w:t>
            </w:r>
            <w:r>
              <w:rPr>
                <w:color w:val="231F20"/>
                <w:spacing w:val="-17"/>
                <w:w w:val="95"/>
                <w:sz w:val="14"/>
              </w:rPr>
              <w:t xml:space="preserve"> </w:t>
            </w:r>
            <w:r>
              <w:rPr>
                <w:color w:val="231F20"/>
                <w:w w:val="95"/>
                <w:sz w:val="14"/>
              </w:rPr>
              <w:t>folic</w:t>
            </w:r>
            <w:r>
              <w:rPr>
                <w:color w:val="231F20"/>
                <w:spacing w:val="-17"/>
                <w:w w:val="95"/>
                <w:sz w:val="14"/>
              </w:rPr>
              <w:t xml:space="preserve"> </w:t>
            </w:r>
            <w:r>
              <w:rPr>
                <w:color w:val="231F20"/>
                <w:w w:val="95"/>
                <w:sz w:val="14"/>
              </w:rPr>
              <w:t>acid</w:t>
            </w:r>
            <w:r>
              <w:rPr>
                <w:color w:val="231F20"/>
                <w:spacing w:val="-17"/>
                <w:w w:val="95"/>
                <w:sz w:val="14"/>
              </w:rPr>
              <w:t xml:space="preserve"> </w:t>
            </w:r>
            <w:r>
              <w:rPr>
                <w:color w:val="231F20"/>
                <w:w w:val="95"/>
                <w:sz w:val="14"/>
              </w:rPr>
              <w:t>and</w:t>
            </w:r>
            <w:r>
              <w:rPr>
                <w:color w:val="231F20"/>
                <w:spacing w:val="-17"/>
                <w:w w:val="95"/>
                <w:sz w:val="14"/>
              </w:rPr>
              <w:t xml:space="preserve"> </w:t>
            </w:r>
            <w:r>
              <w:rPr>
                <w:color w:val="231F20"/>
                <w:w w:val="95"/>
                <w:sz w:val="14"/>
              </w:rPr>
              <w:t>vitamin</w:t>
            </w:r>
            <w:r>
              <w:rPr>
                <w:color w:val="231F20"/>
                <w:spacing w:val="-21"/>
                <w:w w:val="95"/>
                <w:sz w:val="14"/>
              </w:rPr>
              <w:t xml:space="preserve"> </w:t>
            </w:r>
            <w:r>
              <w:rPr>
                <w:color w:val="231F20"/>
                <w:spacing w:val="-12"/>
                <w:w w:val="95"/>
                <w:sz w:val="14"/>
              </w:rPr>
              <w:t xml:space="preserve">A </w:t>
            </w:r>
            <w:r>
              <w:rPr>
                <w:color w:val="231F20"/>
                <w:sz w:val="14"/>
              </w:rPr>
              <w:t>supplementation integrated into ANC package including vit. A for lactating mothers</w:t>
            </w:r>
          </w:p>
          <w:p w14:paraId="3A8DFECE" w14:textId="1AD54410" w:rsidR="009948F1" w:rsidRDefault="00BC0563">
            <w:pPr>
              <w:pStyle w:val="TableParagraph"/>
              <w:numPr>
                <w:ilvl w:val="0"/>
                <w:numId w:val="170"/>
              </w:numPr>
              <w:tabs>
                <w:tab w:val="left" w:pos="105"/>
              </w:tabs>
              <w:spacing w:line="268" w:lineRule="auto"/>
              <w:ind w:right="231" w:firstLine="0"/>
              <w:jc w:val="both"/>
              <w:rPr>
                <w:sz w:val="14"/>
              </w:rPr>
            </w:pPr>
            <w:r>
              <w:rPr>
                <w:color w:val="231F20"/>
                <w:w w:val="95"/>
                <w:sz w:val="14"/>
              </w:rPr>
              <w:t>Media</w:t>
            </w:r>
            <w:r>
              <w:rPr>
                <w:color w:val="231F20"/>
                <w:spacing w:val="-19"/>
                <w:w w:val="95"/>
                <w:sz w:val="14"/>
              </w:rPr>
              <w:t xml:space="preserve"> </w:t>
            </w:r>
            <w:r>
              <w:rPr>
                <w:color w:val="231F20"/>
                <w:w w:val="95"/>
                <w:sz w:val="14"/>
              </w:rPr>
              <w:t>campaign</w:t>
            </w:r>
            <w:r>
              <w:rPr>
                <w:color w:val="231F20"/>
                <w:spacing w:val="-18"/>
                <w:w w:val="95"/>
                <w:sz w:val="14"/>
              </w:rPr>
              <w:t xml:space="preserve"> </w:t>
            </w:r>
            <w:r>
              <w:rPr>
                <w:color w:val="231F20"/>
                <w:w w:val="95"/>
                <w:sz w:val="14"/>
              </w:rPr>
              <w:t>on</w:t>
            </w:r>
            <w:r>
              <w:rPr>
                <w:color w:val="231F20"/>
                <w:spacing w:val="-19"/>
                <w:w w:val="95"/>
                <w:sz w:val="14"/>
              </w:rPr>
              <w:t xml:space="preserve"> </w:t>
            </w:r>
            <w:r>
              <w:rPr>
                <w:color w:val="231F20"/>
                <w:w w:val="95"/>
                <w:sz w:val="14"/>
              </w:rPr>
              <w:t>the</w:t>
            </w:r>
            <w:r>
              <w:rPr>
                <w:color w:val="231F20"/>
                <w:spacing w:val="-19"/>
                <w:w w:val="95"/>
                <w:sz w:val="14"/>
              </w:rPr>
              <w:t xml:space="preserve"> </w:t>
            </w:r>
            <w:r>
              <w:rPr>
                <w:color w:val="231F20"/>
                <w:spacing w:val="-3"/>
                <w:w w:val="95"/>
                <w:sz w:val="14"/>
              </w:rPr>
              <w:t xml:space="preserve">importance </w:t>
            </w:r>
            <w:r>
              <w:rPr>
                <w:color w:val="231F20"/>
                <w:w w:val="95"/>
                <w:sz w:val="14"/>
              </w:rPr>
              <w:t>and</w:t>
            </w:r>
            <w:r>
              <w:rPr>
                <w:color w:val="231F20"/>
                <w:spacing w:val="-17"/>
                <w:w w:val="95"/>
                <w:sz w:val="14"/>
              </w:rPr>
              <w:t xml:space="preserve"> </w:t>
            </w:r>
            <w:r>
              <w:rPr>
                <w:color w:val="231F20"/>
                <w:w w:val="95"/>
                <w:sz w:val="14"/>
              </w:rPr>
              <w:t>use</w:t>
            </w:r>
            <w:r>
              <w:rPr>
                <w:color w:val="231F20"/>
                <w:spacing w:val="-16"/>
                <w:w w:val="95"/>
                <w:sz w:val="14"/>
              </w:rPr>
              <w:t xml:space="preserve"> </w:t>
            </w:r>
            <w:r>
              <w:rPr>
                <w:color w:val="231F20"/>
                <w:w w:val="95"/>
                <w:sz w:val="14"/>
              </w:rPr>
              <w:t>of</w:t>
            </w:r>
            <w:r>
              <w:rPr>
                <w:color w:val="231F20"/>
                <w:spacing w:val="-16"/>
                <w:w w:val="95"/>
                <w:sz w:val="14"/>
              </w:rPr>
              <w:t xml:space="preserve"> </w:t>
            </w:r>
            <w:r>
              <w:rPr>
                <w:color w:val="231F20"/>
                <w:w w:val="95"/>
                <w:sz w:val="14"/>
              </w:rPr>
              <w:t>iron-folic</w:t>
            </w:r>
            <w:r>
              <w:rPr>
                <w:color w:val="231F20"/>
                <w:spacing w:val="-16"/>
                <w:w w:val="95"/>
                <w:sz w:val="14"/>
              </w:rPr>
              <w:t xml:space="preserve"> </w:t>
            </w:r>
            <w:r>
              <w:rPr>
                <w:color w:val="231F20"/>
                <w:w w:val="95"/>
                <w:sz w:val="14"/>
              </w:rPr>
              <w:t>acid</w:t>
            </w:r>
            <w:r>
              <w:rPr>
                <w:color w:val="231F20"/>
                <w:spacing w:val="-16"/>
                <w:w w:val="95"/>
                <w:sz w:val="14"/>
              </w:rPr>
              <w:t xml:space="preserve"> </w:t>
            </w:r>
            <w:r>
              <w:rPr>
                <w:color w:val="231F20"/>
                <w:w w:val="95"/>
                <w:sz w:val="14"/>
              </w:rPr>
              <w:t>in</w:t>
            </w:r>
            <w:r>
              <w:rPr>
                <w:color w:val="231F20"/>
                <w:spacing w:val="-16"/>
                <w:w w:val="95"/>
                <w:sz w:val="14"/>
              </w:rPr>
              <w:t xml:space="preserve"> </w:t>
            </w:r>
            <w:r>
              <w:rPr>
                <w:color w:val="231F20"/>
                <w:w w:val="95"/>
                <w:sz w:val="14"/>
              </w:rPr>
              <w:t>pregnancy</w:t>
            </w:r>
            <w:r>
              <w:rPr>
                <w:color w:val="231F20"/>
                <w:spacing w:val="-16"/>
                <w:w w:val="95"/>
                <w:sz w:val="14"/>
              </w:rPr>
              <w:t xml:space="preserve"> </w:t>
            </w:r>
            <w:r>
              <w:rPr>
                <w:color w:val="231F20"/>
                <w:w w:val="95"/>
                <w:sz w:val="14"/>
              </w:rPr>
              <w:t>&amp; vitamin</w:t>
            </w:r>
            <w:r>
              <w:rPr>
                <w:color w:val="231F20"/>
                <w:spacing w:val="-20"/>
                <w:w w:val="95"/>
                <w:sz w:val="14"/>
              </w:rPr>
              <w:t xml:space="preserve"> </w:t>
            </w:r>
            <w:r>
              <w:rPr>
                <w:color w:val="231F20"/>
                <w:w w:val="95"/>
                <w:sz w:val="14"/>
              </w:rPr>
              <w:t>A</w:t>
            </w:r>
            <w:r>
              <w:rPr>
                <w:color w:val="231F20"/>
                <w:spacing w:val="-20"/>
                <w:w w:val="95"/>
                <w:sz w:val="14"/>
              </w:rPr>
              <w:t xml:space="preserve"> </w:t>
            </w:r>
            <w:r>
              <w:rPr>
                <w:color w:val="231F20"/>
                <w:w w:val="95"/>
                <w:sz w:val="14"/>
              </w:rPr>
              <w:t>supplementation</w:t>
            </w:r>
            <w:r>
              <w:rPr>
                <w:color w:val="231F20"/>
                <w:spacing w:val="-15"/>
                <w:w w:val="95"/>
                <w:sz w:val="14"/>
              </w:rPr>
              <w:t xml:space="preserve"> </w:t>
            </w:r>
            <w:r>
              <w:rPr>
                <w:color w:val="231F20"/>
                <w:w w:val="95"/>
                <w:sz w:val="14"/>
              </w:rPr>
              <w:t>in</w:t>
            </w:r>
            <w:r>
              <w:rPr>
                <w:color w:val="231F20"/>
                <w:spacing w:val="-15"/>
                <w:w w:val="95"/>
                <w:sz w:val="14"/>
              </w:rPr>
              <w:t xml:space="preserve"> </w:t>
            </w:r>
            <w:r>
              <w:rPr>
                <w:color w:val="231F20"/>
                <w:w w:val="95"/>
                <w:sz w:val="14"/>
              </w:rPr>
              <w:t>lactating</w:t>
            </w:r>
          </w:p>
          <w:p w14:paraId="7474ED83" w14:textId="77777777" w:rsidR="009948F1" w:rsidRDefault="00BC0563">
            <w:pPr>
              <w:pStyle w:val="TableParagraph"/>
              <w:ind w:left="25"/>
              <w:jc w:val="both"/>
              <w:rPr>
                <w:sz w:val="14"/>
              </w:rPr>
            </w:pPr>
            <w:r>
              <w:rPr>
                <w:color w:val="231F20"/>
                <w:sz w:val="14"/>
              </w:rPr>
              <w:t>women conducted</w:t>
            </w:r>
          </w:p>
        </w:tc>
        <w:tc>
          <w:tcPr>
            <w:tcW w:w="1521" w:type="dxa"/>
            <w:tcBorders>
              <w:right w:val="single" w:sz="12" w:space="0" w:color="231F20"/>
            </w:tcBorders>
            <w:shd w:val="clear" w:color="auto" w:fill="CCE7D3"/>
          </w:tcPr>
          <w:p w14:paraId="44C8C223" w14:textId="77777777" w:rsidR="009948F1" w:rsidRDefault="009948F1">
            <w:pPr>
              <w:pStyle w:val="TableParagraph"/>
              <w:rPr>
                <w:rFonts w:ascii="Times New Roman"/>
                <w:sz w:val="12"/>
              </w:rPr>
            </w:pPr>
          </w:p>
        </w:tc>
        <w:tc>
          <w:tcPr>
            <w:tcW w:w="1602" w:type="dxa"/>
            <w:tcBorders>
              <w:left w:val="single" w:sz="12" w:space="0" w:color="231F20"/>
              <w:right w:val="single" w:sz="8" w:space="0" w:color="231F20"/>
            </w:tcBorders>
            <w:shd w:val="clear" w:color="auto" w:fill="CCE7D3"/>
          </w:tcPr>
          <w:p w14:paraId="64CC82D1" w14:textId="77777777" w:rsidR="009948F1" w:rsidRDefault="009948F1">
            <w:pPr>
              <w:pStyle w:val="TableParagraph"/>
              <w:rPr>
                <w:rFonts w:ascii="Times New Roman"/>
                <w:sz w:val="12"/>
              </w:rPr>
            </w:pPr>
          </w:p>
        </w:tc>
      </w:tr>
      <w:tr w:rsidR="009948F1" w14:paraId="7CF1960F" w14:textId="77777777">
        <w:trPr>
          <w:trHeight w:val="462"/>
        </w:trPr>
        <w:tc>
          <w:tcPr>
            <w:tcW w:w="488" w:type="dxa"/>
            <w:vMerge w:val="restart"/>
            <w:tcBorders>
              <w:left w:val="single" w:sz="8" w:space="0" w:color="231F20"/>
            </w:tcBorders>
          </w:tcPr>
          <w:p w14:paraId="2AD59754" w14:textId="77777777" w:rsidR="009948F1" w:rsidRDefault="009948F1">
            <w:pPr>
              <w:pStyle w:val="TableParagraph"/>
              <w:rPr>
                <w:rFonts w:ascii="Times New Roman"/>
                <w:sz w:val="12"/>
              </w:rPr>
            </w:pPr>
          </w:p>
        </w:tc>
        <w:tc>
          <w:tcPr>
            <w:tcW w:w="560" w:type="dxa"/>
          </w:tcPr>
          <w:p w14:paraId="5F1B3DCB" w14:textId="77777777" w:rsidR="009948F1" w:rsidRDefault="009948F1">
            <w:pPr>
              <w:pStyle w:val="TableParagraph"/>
              <w:spacing w:before="3"/>
              <w:rPr>
                <w:sz w:val="13"/>
              </w:rPr>
            </w:pPr>
          </w:p>
          <w:p w14:paraId="331E6B24" w14:textId="77777777" w:rsidR="009948F1" w:rsidRDefault="00BC0563">
            <w:pPr>
              <w:pStyle w:val="TableParagraph"/>
              <w:ind w:left="34" w:right="14"/>
              <w:jc w:val="center"/>
              <w:rPr>
                <w:sz w:val="14"/>
              </w:rPr>
            </w:pPr>
            <w:r>
              <w:rPr>
                <w:color w:val="231F20"/>
                <w:sz w:val="14"/>
              </w:rPr>
              <w:t>4.6.8.a</w:t>
            </w:r>
          </w:p>
        </w:tc>
        <w:tc>
          <w:tcPr>
            <w:tcW w:w="5211" w:type="dxa"/>
            <w:gridSpan w:val="2"/>
          </w:tcPr>
          <w:p w14:paraId="3101081D" w14:textId="77777777" w:rsidR="009948F1" w:rsidRDefault="00BC0563">
            <w:pPr>
              <w:pStyle w:val="TableParagraph"/>
              <w:spacing w:line="138" w:lineRule="exact"/>
              <w:ind w:left="26"/>
              <w:rPr>
                <w:sz w:val="14"/>
              </w:rPr>
            </w:pPr>
            <w:r>
              <w:rPr>
                <w:color w:val="231F20"/>
                <w:w w:val="95"/>
                <w:sz w:val="14"/>
              </w:rPr>
              <w:t>Integrate</w:t>
            </w:r>
            <w:r>
              <w:rPr>
                <w:color w:val="231F20"/>
                <w:spacing w:val="-16"/>
                <w:w w:val="95"/>
                <w:sz w:val="14"/>
              </w:rPr>
              <w:t xml:space="preserve"> </w:t>
            </w:r>
            <w:r>
              <w:rPr>
                <w:color w:val="231F20"/>
                <w:w w:val="95"/>
                <w:sz w:val="14"/>
              </w:rPr>
              <w:t>provision</w:t>
            </w:r>
            <w:r>
              <w:rPr>
                <w:color w:val="231F20"/>
                <w:spacing w:val="-16"/>
                <w:w w:val="95"/>
                <w:sz w:val="14"/>
              </w:rPr>
              <w:t xml:space="preserve"> </w:t>
            </w:r>
            <w:r>
              <w:rPr>
                <w:color w:val="231F20"/>
                <w:w w:val="95"/>
                <w:sz w:val="14"/>
              </w:rPr>
              <w:t>of</w:t>
            </w:r>
            <w:r>
              <w:rPr>
                <w:color w:val="231F20"/>
                <w:spacing w:val="-16"/>
                <w:w w:val="95"/>
                <w:sz w:val="14"/>
              </w:rPr>
              <w:t xml:space="preserve"> </w:t>
            </w:r>
            <w:r>
              <w:rPr>
                <w:color w:val="231F20"/>
                <w:w w:val="95"/>
                <w:sz w:val="14"/>
              </w:rPr>
              <w:t>iron,</w:t>
            </w:r>
            <w:r>
              <w:rPr>
                <w:color w:val="231F20"/>
                <w:spacing w:val="-16"/>
                <w:w w:val="95"/>
                <w:sz w:val="14"/>
              </w:rPr>
              <w:t xml:space="preserve"> </w:t>
            </w:r>
            <w:r>
              <w:rPr>
                <w:color w:val="231F20"/>
                <w:w w:val="95"/>
                <w:sz w:val="14"/>
              </w:rPr>
              <w:t>folic</w:t>
            </w:r>
            <w:r>
              <w:rPr>
                <w:color w:val="231F20"/>
                <w:spacing w:val="-16"/>
                <w:w w:val="95"/>
                <w:sz w:val="14"/>
              </w:rPr>
              <w:t xml:space="preserve"> </w:t>
            </w:r>
            <w:r>
              <w:rPr>
                <w:color w:val="231F20"/>
                <w:w w:val="95"/>
                <w:sz w:val="14"/>
              </w:rPr>
              <w:t>acid</w:t>
            </w:r>
            <w:r>
              <w:rPr>
                <w:color w:val="231F20"/>
                <w:spacing w:val="-16"/>
                <w:w w:val="95"/>
                <w:sz w:val="14"/>
              </w:rPr>
              <w:t xml:space="preserve"> </w:t>
            </w:r>
            <w:r>
              <w:rPr>
                <w:color w:val="231F20"/>
                <w:w w:val="95"/>
                <w:sz w:val="14"/>
              </w:rPr>
              <w:t>and</w:t>
            </w:r>
            <w:r>
              <w:rPr>
                <w:color w:val="231F20"/>
                <w:spacing w:val="-16"/>
                <w:w w:val="95"/>
                <w:sz w:val="14"/>
              </w:rPr>
              <w:t xml:space="preserve"> </w:t>
            </w:r>
            <w:r>
              <w:rPr>
                <w:color w:val="231F20"/>
                <w:w w:val="95"/>
                <w:sz w:val="14"/>
              </w:rPr>
              <w:t>vitamin</w:t>
            </w:r>
            <w:r>
              <w:rPr>
                <w:color w:val="231F20"/>
                <w:w w:val="95"/>
                <w:position w:val="9"/>
                <w:sz w:val="14"/>
              </w:rPr>
              <w:t>•</w:t>
            </w:r>
            <w:r>
              <w:rPr>
                <w:color w:val="231F20"/>
                <w:spacing w:val="18"/>
                <w:w w:val="95"/>
                <w:position w:val="9"/>
                <w:sz w:val="14"/>
              </w:rPr>
              <w:t xml:space="preserve"> </w:t>
            </w:r>
            <w:r>
              <w:rPr>
                <w:color w:val="231F20"/>
                <w:w w:val="95"/>
                <w:sz w:val="14"/>
              </w:rPr>
              <w:t>supplementation</w:t>
            </w:r>
            <w:r>
              <w:rPr>
                <w:color w:val="231F20"/>
                <w:spacing w:val="-16"/>
                <w:w w:val="95"/>
                <w:sz w:val="14"/>
              </w:rPr>
              <w:t xml:space="preserve"> </w:t>
            </w:r>
            <w:r>
              <w:rPr>
                <w:color w:val="231F20"/>
                <w:w w:val="95"/>
                <w:sz w:val="14"/>
              </w:rPr>
              <w:t>into</w:t>
            </w:r>
            <w:r>
              <w:rPr>
                <w:color w:val="231F20"/>
                <w:spacing w:val="-20"/>
                <w:w w:val="95"/>
                <w:sz w:val="14"/>
              </w:rPr>
              <w:t xml:space="preserve"> </w:t>
            </w:r>
            <w:r>
              <w:rPr>
                <w:color w:val="231F20"/>
                <w:w w:val="95"/>
                <w:sz w:val="14"/>
              </w:rPr>
              <w:t>ANC</w:t>
            </w:r>
            <w:r>
              <w:rPr>
                <w:color w:val="231F20"/>
                <w:spacing w:val="-16"/>
                <w:w w:val="95"/>
                <w:sz w:val="14"/>
              </w:rPr>
              <w:t xml:space="preserve"> </w:t>
            </w:r>
            <w:r>
              <w:rPr>
                <w:color w:val="231F20"/>
                <w:w w:val="95"/>
                <w:sz w:val="14"/>
              </w:rPr>
              <w:t>package</w:t>
            </w:r>
            <w:r>
              <w:rPr>
                <w:color w:val="231F20"/>
                <w:spacing w:val="-16"/>
                <w:w w:val="95"/>
                <w:sz w:val="14"/>
              </w:rPr>
              <w:t xml:space="preserve"> </w:t>
            </w:r>
            <w:r>
              <w:rPr>
                <w:color w:val="231F20"/>
                <w:w w:val="95"/>
                <w:sz w:val="14"/>
              </w:rPr>
              <w:t>and</w:t>
            </w:r>
          </w:p>
          <w:p w14:paraId="0FA117AE" w14:textId="77777777" w:rsidR="009948F1" w:rsidRDefault="00BC0563">
            <w:pPr>
              <w:pStyle w:val="TableParagraph"/>
              <w:spacing w:line="80" w:lineRule="exact"/>
              <w:ind w:left="334"/>
              <w:jc w:val="center"/>
              <w:rPr>
                <w:sz w:val="14"/>
              </w:rPr>
            </w:pPr>
            <w:r>
              <w:rPr>
                <w:color w:val="231F20"/>
                <w:w w:val="90"/>
                <w:sz w:val="14"/>
              </w:rPr>
              <w:t>A</w:t>
            </w:r>
          </w:p>
          <w:p w14:paraId="32162B34" w14:textId="77777777" w:rsidR="009948F1" w:rsidRDefault="00BC0563">
            <w:pPr>
              <w:pStyle w:val="TableParagraph"/>
              <w:spacing w:before="19"/>
              <w:ind w:left="26"/>
              <w:rPr>
                <w:sz w:val="14"/>
              </w:rPr>
            </w:pPr>
            <w:r>
              <w:rPr>
                <w:color w:val="231F20"/>
                <w:sz w:val="14"/>
              </w:rPr>
              <w:t>vit A for lactating mothers --- Link to ANC</w:t>
            </w:r>
          </w:p>
        </w:tc>
        <w:tc>
          <w:tcPr>
            <w:tcW w:w="1521" w:type="dxa"/>
          </w:tcPr>
          <w:p w14:paraId="17843E30" w14:textId="77777777" w:rsidR="009948F1" w:rsidRDefault="009948F1">
            <w:pPr>
              <w:pStyle w:val="TableParagraph"/>
              <w:spacing w:before="3"/>
              <w:rPr>
                <w:sz w:val="13"/>
              </w:rPr>
            </w:pPr>
          </w:p>
          <w:p w14:paraId="4752782D" w14:textId="77777777" w:rsidR="009948F1" w:rsidRDefault="00BC0563">
            <w:pPr>
              <w:pStyle w:val="TableParagraph"/>
              <w:ind w:left="24"/>
              <w:rPr>
                <w:sz w:val="14"/>
              </w:rPr>
            </w:pPr>
            <w:r>
              <w:rPr>
                <w:color w:val="231F20"/>
                <w:sz w:val="14"/>
              </w:rPr>
              <w:t>Lack of funds</w:t>
            </w:r>
          </w:p>
        </w:tc>
        <w:tc>
          <w:tcPr>
            <w:tcW w:w="1602" w:type="dxa"/>
            <w:tcBorders>
              <w:right w:val="single" w:sz="8" w:space="0" w:color="231F20"/>
            </w:tcBorders>
          </w:tcPr>
          <w:p w14:paraId="41D92DCA" w14:textId="77777777" w:rsidR="009948F1" w:rsidRDefault="009948F1">
            <w:pPr>
              <w:pStyle w:val="TableParagraph"/>
              <w:spacing w:before="3"/>
              <w:rPr>
                <w:sz w:val="13"/>
              </w:rPr>
            </w:pPr>
          </w:p>
          <w:p w14:paraId="43BE773F" w14:textId="77777777" w:rsidR="009948F1" w:rsidRDefault="00BC0563">
            <w:pPr>
              <w:pStyle w:val="TableParagraph"/>
              <w:ind w:left="22"/>
              <w:rPr>
                <w:sz w:val="14"/>
              </w:rPr>
            </w:pPr>
            <w:r>
              <w:rPr>
                <w:color w:val="231F20"/>
                <w:sz w:val="14"/>
              </w:rPr>
              <w:t>No cost</w:t>
            </w:r>
          </w:p>
        </w:tc>
      </w:tr>
      <w:tr w:rsidR="009948F1" w14:paraId="151D3023" w14:textId="77777777">
        <w:trPr>
          <w:trHeight w:val="526"/>
        </w:trPr>
        <w:tc>
          <w:tcPr>
            <w:tcW w:w="488" w:type="dxa"/>
            <w:vMerge/>
            <w:tcBorders>
              <w:top w:val="nil"/>
              <w:left w:val="single" w:sz="8" w:space="0" w:color="231F20"/>
            </w:tcBorders>
          </w:tcPr>
          <w:p w14:paraId="5B16A60C" w14:textId="77777777" w:rsidR="009948F1" w:rsidRDefault="009948F1">
            <w:pPr>
              <w:rPr>
                <w:sz w:val="2"/>
                <w:szCs w:val="2"/>
              </w:rPr>
            </w:pPr>
          </w:p>
        </w:tc>
        <w:tc>
          <w:tcPr>
            <w:tcW w:w="560" w:type="dxa"/>
          </w:tcPr>
          <w:p w14:paraId="0EED0A15" w14:textId="77777777" w:rsidR="009948F1" w:rsidRDefault="009948F1">
            <w:pPr>
              <w:pStyle w:val="TableParagraph"/>
              <w:rPr>
                <w:sz w:val="16"/>
              </w:rPr>
            </w:pPr>
          </w:p>
          <w:p w14:paraId="36A87470" w14:textId="77777777" w:rsidR="009948F1" w:rsidRDefault="00BC0563">
            <w:pPr>
              <w:pStyle w:val="TableParagraph"/>
              <w:spacing w:before="1"/>
              <w:ind w:left="34" w:right="14"/>
              <w:jc w:val="center"/>
              <w:rPr>
                <w:sz w:val="14"/>
              </w:rPr>
            </w:pPr>
            <w:r>
              <w:rPr>
                <w:color w:val="231F20"/>
                <w:sz w:val="14"/>
              </w:rPr>
              <w:t>4.6.8.b</w:t>
            </w:r>
          </w:p>
        </w:tc>
        <w:tc>
          <w:tcPr>
            <w:tcW w:w="5211" w:type="dxa"/>
            <w:gridSpan w:val="2"/>
          </w:tcPr>
          <w:p w14:paraId="7787B7FD" w14:textId="77777777" w:rsidR="009948F1" w:rsidRDefault="00BC0563">
            <w:pPr>
              <w:pStyle w:val="TableParagraph"/>
              <w:spacing w:before="88" w:line="268" w:lineRule="auto"/>
              <w:ind w:left="26" w:right="391"/>
              <w:rPr>
                <w:sz w:val="14"/>
              </w:rPr>
            </w:pPr>
            <w:r>
              <w:rPr>
                <w:color w:val="231F20"/>
                <w:w w:val="95"/>
                <w:sz w:val="14"/>
              </w:rPr>
              <w:t>Conduct</w:t>
            </w:r>
            <w:r>
              <w:rPr>
                <w:color w:val="231F20"/>
                <w:spacing w:val="-20"/>
                <w:w w:val="95"/>
                <w:sz w:val="14"/>
              </w:rPr>
              <w:t xml:space="preserve"> </w:t>
            </w:r>
            <w:r>
              <w:rPr>
                <w:color w:val="231F20"/>
                <w:w w:val="95"/>
                <w:sz w:val="14"/>
              </w:rPr>
              <w:t>media</w:t>
            </w:r>
            <w:r>
              <w:rPr>
                <w:color w:val="231F20"/>
                <w:spacing w:val="-19"/>
                <w:w w:val="95"/>
                <w:sz w:val="14"/>
              </w:rPr>
              <w:t xml:space="preserve"> </w:t>
            </w:r>
            <w:r>
              <w:rPr>
                <w:color w:val="231F20"/>
                <w:w w:val="95"/>
                <w:sz w:val="14"/>
              </w:rPr>
              <w:t>campaign</w:t>
            </w:r>
            <w:r>
              <w:rPr>
                <w:color w:val="231F20"/>
                <w:spacing w:val="-20"/>
                <w:w w:val="95"/>
                <w:sz w:val="14"/>
              </w:rPr>
              <w:t xml:space="preserve"> </w:t>
            </w:r>
            <w:r>
              <w:rPr>
                <w:color w:val="231F20"/>
                <w:w w:val="95"/>
                <w:sz w:val="14"/>
              </w:rPr>
              <w:t>on</w:t>
            </w:r>
            <w:r>
              <w:rPr>
                <w:color w:val="231F20"/>
                <w:spacing w:val="-19"/>
                <w:w w:val="95"/>
                <w:sz w:val="14"/>
              </w:rPr>
              <w:t xml:space="preserve"> </w:t>
            </w:r>
            <w:r>
              <w:rPr>
                <w:color w:val="231F20"/>
                <w:w w:val="95"/>
                <w:sz w:val="14"/>
              </w:rPr>
              <w:t>the</w:t>
            </w:r>
            <w:r>
              <w:rPr>
                <w:color w:val="231F20"/>
                <w:spacing w:val="-20"/>
                <w:w w:val="95"/>
                <w:sz w:val="14"/>
              </w:rPr>
              <w:t xml:space="preserve"> </w:t>
            </w:r>
            <w:r>
              <w:rPr>
                <w:color w:val="231F20"/>
                <w:w w:val="95"/>
                <w:sz w:val="14"/>
              </w:rPr>
              <w:t>importance</w:t>
            </w:r>
            <w:r>
              <w:rPr>
                <w:color w:val="231F20"/>
                <w:spacing w:val="-19"/>
                <w:w w:val="95"/>
                <w:sz w:val="14"/>
              </w:rPr>
              <w:t xml:space="preserve"> </w:t>
            </w:r>
            <w:r>
              <w:rPr>
                <w:color w:val="231F20"/>
                <w:w w:val="95"/>
                <w:sz w:val="14"/>
              </w:rPr>
              <w:t>and</w:t>
            </w:r>
            <w:r>
              <w:rPr>
                <w:color w:val="231F20"/>
                <w:spacing w:val="-20"/>
                <w:w w:val="95"/>
                <w:sz w:val="14"/>
              </w:rPr>
              <w:t xml:space="preserve"> </w:t>
            </w:r>
            <w:r>
              <w:rPr>
                <w:color w:val="231F20"/>
                <w:w w:val="95"/>
                <w:sz w:val="14"/>
              </w:rPr>
              <w:t>use</w:t>
            </w:r>
            <w:r>
              <w:rPr>
                <w:color w:val="231F20"/>
                <w:spacing w:val="-19"/>
                <w:w w:val="95"/>
                <w:sz w:val="14"/>
              </w:rPr>
              <w:t xml:space="preserve"> </w:t>
            </w:r>
            <w:r>
              <w:rPr>
                <w:color w:val="231F20"/>
                <w:w w:val="95"/>
                <w:sz w:val="14"/>
              </w:rPr>
              <w:t>of</w:t>
            </w:r>
            <w:r>
              <w:rPr>
                <w:color w:val="231F20"/>
                <w:spacing w:val="-20"/>
                <w:w w:val="95"/>
                <w:sz w:val="14"/>
              </w:rPr>
              <w:t xml:space="preserve"> </w:t>
            </w:r>
            <w:r>
              <w:rPr>
                <w:color w:val="231F20"/>
                <w:w w:val="95"/>
                <w:sz w:val="14"/>
              </w:rPr>
              <w:t>iron-folic</w:t>
            </w:r>
            <w:r>
              <w:rPr>
                <w:color w:val="231F20"/>
                <w:spacing w:val="-19"/>
                <w:w w:val="95"/>
                <w:sz w:val="14"/>
              </w:rPr>
              <w:t xml:space="preserve"> </w:t>
            </w:r>
            <w:r>
              <w:rPr>
                <w:color w:val="231F20"/>
                <w:w w:val="95"/>
                <w:sz w:val="14"/>
              </w:rPr>
              <w:t>acid</w:t>
            </w:r>
            <w:r>
              <w:rPr>
                <w:color w:val="231F20"/>
                <w:spacing w:val="-20"/>
                <w:w w:val="95"/>
                <w:sz w:val="14"/>
              </w:rPr>
              <w:t xml:space="preserve"> </w:t>
            </w:r>
            <w:r>
              <w:rPr>
                <w:color w:val="231F20"/>
                <w:w w:val="95"/>
                <w:sz w:val="14"/>
              </w:rPr>
              <w:t>in</w:t>
            </w:r>
            <w:r>
              <w:rPr>
                <w:color w:val="231F20"/>
                <w:spacing w:val="-19"/>
                <w:w w:val="95"/>
                <w:sz w:val="14"/>
              </w:rPr>
              <w:t xml:space="preserve"> </w:t>
            </w:r>
            <w:r>
              <w:rPr>
                <w:color w:val="231F20"/>
                <w:w w:val="95"/>
                <w:sz w:val="14"/>
              </w:rPr>
              <w:t>pregnancy</w:t>
            </w:r>
            <w:r>
              <w:rPr>
                <w:color w:val="231F20"/>
                <w:spacing w:val="-20"/>
                <w:w w:val="95"/>
                <w:sz w:val="14"/>
              </w:rPr>
              <w:t xml:space="preserve"> </w:t>
            </w:r>
            <w:r>
              <w:rPr>
                <w:color w:val="231F20"/>
                <w:w w:val="95"/>
                <w:sz w:val="14"/>
              </w:rPr>
              <w:t xml:space="preserve">&amp; </w:t>
            </w:r>
            <w:r>
              <w:rPr>
                <w:color w:val="231F20"/>
                <w:sz w:val="14"/>
              </w:rPr>
              <w:t>vitamin</w:t>
            </w:r>
            <w:r>
              <w:rPr>
                <w:color w:val="231F20"/>
                <w:spacing w:val="-15"/>
                <w:sz w:val="14"/>
              </w:rPr>
              <w:t xml:space="preserve"> </w:t>
            </w:r>
            <w:r>
              <w:rPr>
                <w:color w:val="231F20"/>
                <w:sz w:val="14"/>
              </w:rPr>
              <w:t>A</w:t>
            </w:r>
            <w:r>
              <w:rPr>
                <w:color w:val="231F20"/>
                <w:spacing w:val="-14"/>
                <w:sz w:val="14"/>
              </w:rPr>
              <w:t xml:space="preserve"> </w:t>
            </w:r>
            <w:r>
              <w:rPr>
                <w:color w:val="231F20"/>
                <w:sz w:val="14"/>
              </w:rPr>
              <w:t>supplementation</w:t>
            </w:r>
            <w:r>
              <w:rPr>
                <w:color w:val="231F20"/>
                <w:spacing w:val="-8"/>
                <w:sz w:val="14"/>
              </w:rPr>
              <w:t xml:space="preserve"> </w:t>
            </w:r>
            <w:r>
              <w:rPr>
                <w:color w:val="231F20"/>
                <w:sz w:val="14"/>
              </w:rPr>
              <w:t>in</w:t>
            </w:r>
            <w:r>
              <w:rPr>
                <w:color w:val="231F20"/>
                <w:spacing w:val="-7"/>
                <w:sz w:val="14"/>
              </w:rPr>
              <w:t xml:space="preserve"> </w:t>
            </w:r>
            <w:r>
              <w:rPr>
                <w:color w:val="231F20"/>
                <w:sz w:val="14"/>
              </w:rPr>
              <w:t>lactating</w:t>
            </w:r>
            <w:r>
              <w:rPr>
                <w:color w:val="231F20"/>
                <w:spacing w:val="-8"/>
                <w:sz w:val="14"/>
              </w:rPr>
              <w:t xml:space="preserve"> </w:t>
            </w:r>
            <w:r>
              <w:rPr>
                <w:color w:val="231F20"/>
                <w:sz w:val="14"/>
              </w:rPr>
              <w:t>women</w:t>
            </w:r>
          </w:p>
        </w:tc>
        <w:tc>
          <w:tcPr>
            <w:tcW w:w="1521" w:type="dxa"/>
          </w:tcPr>
          <w:p w14:paraId="2CAA53CE" w14:textId="77777777" w:rsidR="009948F1" w:rsidRDefault="009948F1">
            <w:pPr>
              <w:pStyle w:val="TableParagraph"/>
              <w:rPr>
                <w:sz w:val="16"/>
              </w:rPr>
            </w:pPr>
          </w:p>
          <w:p w14:paraId="1D5DD915" w14:textId="77777777" w:rsidR="009948F1" w:rsidRDefault="00BC0563">
            <w:pPr>
              <w:pStyle w:val="TableParagraph"/>
              <w:spacing w:before="1"/>
              <w:ind w:left="24"/>
              <w:rPr>
                <w:sz w:val="14"/>
              </w:rPr>
            </w:pPr>
            <w:r>
              <w:rPr>
                <w:color w:val="231F20"/>
                <w:sz w:val="14"/>
              </w:rPr>
              <w:t>Lack of funds</w:t>
            </w:r>
          </w:p>
        </w:tc>
        <w:tc>
          <w:tcPr>
            <w:tcW w:w="1602" w:type="dxa"/>
            <w:tcBorders>
              <w:right w:val="single" w:sz="8" w:space="0" w:color="231F20"/>
            </w:tcBorders>
          </w:tcPr>
          <w:p w14:paraId="345DCCE7" w14:textId="77777777" w:rsidR="009948F1" w:rsidRDefault="009948F1">
            <w:pPr>
              <w:pStyle w:val="TableParagraph"/>
              <w:rPr>
                <w:sz w:val="16"/>
              </w:rPr>
            </w:pPr>
          </w:p>
          <w:p w14:paraId="0D8A7E55" w14:textId="77777777" w:rsidR="009948F1" w:rsidRDefault="00BC0563">
            <w:pPr>
              <w:pStyle w:val="TableParagraph"/>
              <w:spacing w:before="1"/>
              <w:ind w:left="22"/>
              <w:rPr>
                <w:sz w:val="14"/>
              </w:rPr>
            </w:pPr>
            <w:r>
              <w:rPr>
                <w:color w:val="231F20"/>
                <w:w w:val="95"/>
                <w:sz w:val="14"/>
              </w:rPr>
              <w:t>Conduct media campaign</w:t>
            </w:r>
          </w:p>
        </w:tc>
      </w:tr>
      <w:tr w:rsidR="009948F1" w14:paraId="19C9D86D" w14:textId="77777777">
        <w:trPr>
          <w:trHeight w:val="1341"/>
        </w:trPr>
        <w:tc>
          <w:tcPr>
            <w:tcW w:w="488" w:type="dxa"/>
            <w:tcBorders>
              <w:left w:val="single" w:sz="12" w:space="0" w:color="231F20"/>
            </w:tcBorders>
            <w:shd w:val="clear" w:color="auto" w:fill="CCE7D3"/>
          </w:tcPr>
          <w:p w14:paraId="1BCC7D78" w14:textId="77777777" w:rsidR="009948F1" w:rsidRDefault="009948F1">
            <w:pPr>
              <w:pStyle w:val="TableParagraph"/>
              <w:rPr>
                <w:sz w:val="14"/>
              </w:rPr>
            </w:pPr>
          </w:p>
          <w:p w14:paraId="0EF61467" w14:textId="77777777" w:rsidR="009948F1" w:rsidRDefault="009948F1">
            <w:pPr>
              <w:pStyle w:val="TableParagraph"/>
              <w:rPr>
                <w:sz w:val="14"/>
              </w:rPr>
            </w:pPr>
          </w:p>
          <w:p w14:paraId="1179628D" w14:textId="77777777" w:rsidR="009948F1" w:rsidRDefault="009948F1">
            <w:pPr>
              <w:pStyle w:val="TableParagraph"/>
              <w:rPr>
                <w:sz w:val="14"/>
              </w:rPr>
            </w:pPr>
          </w:p>
          <w:p w14:paraId="78C6785C" w14:textId="77777777" w:rsidR="009948F1" w:rsidRDefault="00BC0563">
            <w:pPr>
              <w:pStyle w:val="TableParagraph"/>
              <w:spacing w:before="109"/>
              <w:ind w:left="24" w:right="90"/>
              <w:jc w:val="center"/>
              <w:rPr>
                <w:sz w:val="14"/>
              </w:rPr>
            </w:pPr>
            <w:r>
              <w:rPr>
                <w:color w:val="231F20"/>
                <w:sz w:val="14"/>
              </w:rPr>
              <w:t>4.6.9</w:t>
            </w:r>
          </w:p>
        </w:tc>
        <w:tc>
          <w:tcPr>
            <w:tcW w:w="3233" w:type="dxa"/>
            <w:gridSpan w:val="2"/>
            <w:shd w:val="clear" w:color="auto" w:fill="CCE7D3"/>
          </w:tcPr>
          <w:p w14:paraId="71046A03" w14:textId="77777777" w:rsidR="009948F1" w:rsidRDefault="009948F1">
            <w:pPr>
              <w:pStyle w:val="TableParagraph"/>
              <w:rPr>
                <w:sz w:val="14"/>
              </w:rPr>
            </w:pPr>
          </w:p>
          <w:p w14:paraId="5163FA63" w14:textId="77777777" w:rsidR="009948F1" w:rsidRDefault="009948F1">
            <w:pPr>
              <w:pStyle w:val="TableParagraph"/>
              <w:rPr>
                <w:sz w:val="14"/>
              </w:rPr>
            </w:pPr>
          </w:p>
          <w:p w14:paraId="03898734" w14:textId="77777777" w:rsidR="009948F1" w:rsidRDefault="009948F1">
            <w:pPr>
              <w:pStyle w:val="TableParagraph"/>
              <w:spacing w:before="1"/>
              <w:rPr>
                <w:sz w:val="15"/>
              </w:rPr>
            </w:pPr>
          </w:p>
          <w:p w14:paraId="4E148432" w14:textId="77777777" w:rsidR="009948F1" w:rsidRDefault="00BC0563">
            <w:pPr>
              <w:pStyle w:val="TableParagraph"/>
              <w:spacing w:line="268" w:lineRule="auto"/>
              <w:ind w:left="26" w:right="30" w:firstLine="35"/>
              <w:rPr>
                <w:sz w:val="14"/>
              </w:rPr>
            </w:pPr>
            <w:r>
              <w:rPr>
                <w:color w:val="231F20"/>
                <w:w w:val="95"/>
                <w:sz w:val="14"/>
              </w:rPr>
              <w:t>Promote</w:t>
            </w:r>
            <w:r>
              <w:rPr>
                <w:color w:val="231F20"/>
                <w:spacing w:val="-24"/>
                <w:w w:val="95"/>
                <w:sz w:val="14"/>
              </w:rPr>
              <w:t xml:space="preserve"> </w:t>
            </w:r>
            <w:r>
              <w:rPr>
                <w:color w:val="231F20"/>
                <w:w w:val="95"/>
                <w:sz w:val="14"/>
              </w:rPr>
              <w:t>optimal</w:t>
            </w:r>
            <w:r>
              <w:rPr>
                <w:color w:val="231F20"/>
                <w:spacing w:val="-24"/>
                <w:w w:val="95"/>
                <w:sz w:val="14"/>
              </w:rPr>
              <w:t xml:space="preserve"> </w:t>
            </w:r>
            <w:r>
              <w:rPr>
                <w:color w:val="231F20"/>
                <w:w w:val="95"/>
                <w:sz w:val="14"/>
              </w:rPr>
              <w:t>nutrition</w:t>
            </w:r>
            <w:r>
              <w:rPr>
                <w:color w:val="231F20"/>
                <w:spacing w:val="-24"/>
                <w:w w:val="95"/>
                <w:sz w:val="14"/>
              </w:rPr>
              <w:t xml:space="preserve"> </w:t>
            </w:r>
            <w:r>
              <w:rPr>
                <w:color w:val="231F20"/>
                <w:w w:val="95"/>
                <w:sz w:val="14"/>
              </w:rPr>
              <w:t>of</w:t>
            </w:r>
            <w:r>
              <w:rPr>
                <w:color w:val="231F20"/>
                <w:spacing w:val="-24"/>
                <w:w w:val="95"/>
                <w:sz w:val="14"/>
              </w:rPr>
              <w:t xml:space="preserve"> </w:t>
            </w:r>
            <w:r>
              <w:rPr>
                <w:color w:val="231F20"/>
                <w:w w:val="95"/>
                <w:sz w:val="14"/>
              </w:rPr>
              <w:t>adolescents</w:t>
            </w:r>
            <w:r>
              <w:rPr>
                <w:color w:val="231F20"/>
                <w:spacing w:val="-24"/>
                <w:w w:val="95"/>
                <w:sz w:val="14"/>
              </w:rPr>
              <w:t xml:space="preserve"> </w:t>
            </w:r>
            <w:r>
              <w:rPr>
                <w:color w:val="231F20"/>
                <w:w w:val="95"/>
                <w:sz w:val="14"/>
              </w:rPr>
              <w:t>and</w:t>
            </w:r>
            <w:r>
              <w:rPr>
                <w:color w:val="231F20"/>
                <w:spacing w:val="-24"/>
                <w:w w:val="95"/>
                <w:sz w:val="14"/>
              </w:rPr>
              <w:t xml:space="preserve"> </w:t>
            </w:r>
            <w:r>
              <w:rPr>
                <w:color w:val="231F20"/>
                <w:w w:val="95"/>
                <w:sz w:val="14"/>
              </w:rPr>
              <w:t>Women</w:t>
            </w:r>
            <w:r>
              <w:rPr>
                <w:color w:val="231F20"/>
                <w:spacing w:val="-24"/>
                <w:w w:val="95"/>
                <w:sz w:val="14"/>
              </w:rPr>
              <w:t xml:space="preserve"> </w:t>
            </w:r>
            <w:r>
              <w:rPr>
                <w:color w:val="231F20"/>
                <w:w w:val="95"/>
                <w:sz w:val="14"/>
              </w:rPr>
              <w:t xml:space="preserve">of </w:t>
            </w:r>
            <w:r>
              <w:rPr>
                <w:color w:val="231F20"/>
                <w:sz w:val="14"/>
              </w:rPr>
              <w:t>Reproductive Age</w:t>
            </w:r>
            <w:r>
              <w:rPr>
                <w:color w:val="231F20"/>
                <w:spacing w:val="-21"/>
                <w:sz w:val="14"/>
              </w:rPr>
              <w:t xml:space="preserve"> </w:t>
            </w:r>
            <w:r>
              <w:rPr>
                <w:color w:val="231F20"/>
                <w:sz w:val="14"/>
              </w:rPr>
              <w:t>(WRA)</w:t>
            </w:r>
          </w:p>
        </w:tc>
        <w:tc>
          <w:tcPr>
            <w:tcW w:w="2538" w:type="dxa"/>
            <w:shd w:val="clear" w:color="auto" w:fill="CCE7D3"/>
          </w:tcPr>
          <w:p w14:paraId="042055BF" w14:textId="77777777" w:rsidR="009948F1" w:rsidRDefault="009948F1">
            <w:pPr>
              <w:pStyle w:val="TableParagraph"/>
              <w:spacing w:before="2"/>
              <w:rPr>
                <w:sz w:val="12"/>
              </w:rPr>
            </w:pPr>
          </w:p>
          <w:p w14:paraId="67864338" w14:textId="259F5246" w:rsidR="009948F1" w:rsidRDefault="00BC0563">
            <w:pPr>
              <w:pStyle w:val="TableParagraph"/>
              <w:numPr>
                <w:ilvl w:val="0"/>
                <w:numId w:val="169"/>
              </w:numPr>
              <w:tabs>
                <w:tab w:val="left" w:pos="105"/>
              </w:tabs>
              <w:spacing w:before="1" w:line="268" w:lineRule="auto"/>
              <w:ind w:right="63" w:firstLine="0"/>
              <w:rPr>
                <w:sz w:val="14"/>
              </w:rPr>
            </w:pPr>
            <w:r>
              <w:rPr>
                <w:color w:val="231F20"/>
                <w:w w:val="90"/>
                <w:sz w:val="14"/>
              </w:rPr>
              <w:t xml:space="preserve">Dietary </w:t>
            </w:r>
            <w:r w:rsidR="000225DB">
              <w:rPr>
                <w:color w:val="231F20"/>
                <w:w w:val="90"/>
                <w:sz w:val="14"/>
              </w:rPr>
              <w:t>counselling</w:t>
            </w:r>
            <w:r>
              <w:rPr>
                <w:color w:val="231F20"/>
                <w:w w:val="90"/>
                <w:sz w:val="14"/>
              </w:rPr>
              <w:t xml:space="preserve"> sessions for adolescent </w:t>
            </w:r>
            <w:r>
              <w:rPr>
                <w:color w:val="231F20"/>
                <w:sz w:val="14"/>
              </w:rPr>
              <w:t>&amp;</w:t>
            </w:r>
            <w:r>
              <w:rPr>
                <w:color w:val="231F20"/>
                <w:spacing w:val="-23"/>
                <w:sz w:val="14"/>
              </w:rPr>
              <w:t xml:space="preserve"> </w:t>
            </w:r>
            <w:r>
              <w:rPr>
                <w:color w:val="231F20"/>
                <w:sz w:val="14"/>
              </w:rPr>
              <w:t>WRA</w:t>
            </w:r>
            <w:r>
              <w:rPr>
                <w:color w:val="231F20"/>
                <w:spacing w:val="-26"/>
                <w:sz w:val="14"/>
              </w:rPr>
              <w:t xml:space="preserve"> </w:t>
            </w:r>
            <w:r>
              <w:rPr>
                <w:color w:val="231F20"/>
                <w:sz w:val="14"/>
              </w:rPr>
              <w:t>conducted</w:t>
            </w:r>
            <w:r>
              <w:rPr>
                <w:color w:val="231F20"/>
                <w:spacing w:val="-23"/>
                <w:sz w:val="14"/>
              </w:rPr>
              <w:t xml:space="preserve"> </w:t>
            </w:r>
            <w:r>
              <w:rPr>
                <w:color w:val="231F20"/>
                <w:sz w:val="14"/>
              </w:rPr>
              <w:t>in</w:t>
            </w:r>
            <w:r>
              <w:rPr>
                <w:color w:val="231F20"/>
                <w:spacing w:val="-22"/>
                <w:sz w:val="14"/>
              </w:rPr>
              <w:t xml:space="preserve"> </w:t>
            </w:r>
            <w:r>
              <w:rPr>
                <w:color w:val="231F20"/>
                <w:sz w:val="14"/>
              </w:rPr>
              <w:t>at</w:t>
            </w:r>
            <w:r>
              <w:rPr>
                <w:color w:val="231F20"/>
                <w:spacing w:val="-23"/>
                <w:sz w:val="14"/>
              </w:rPr>
              <w:t xml:space="preserve"> </w:t>
            </w:r>
            <w:r>
              <w:rPr>
                <w:color w:val="231F20"/>
                <w:sz w:val="14"/>
              </w:rPr>
              <w:t>least</w:t>
            </w:r>
            <w:r>
              <w:rPr>
                <w:color w:val="231F20"/>
                <w:spacing w:val="-22"/>
                <w:sz w:val="14"/>
              </w:rPr>
              <w:t xml:space="preserve"> </w:t>
            </w:r>
            <w:r>
              <w:rPr>
                <w:color w:val="231F20"/>
                <w:sz w:val="14"/>
              </w:rPr>
              <w:t>50%</w:t>
            </w:r>
            <w:r>
              <w:rPr>
                <w:color w:val="231F20"/>
                <w:spacing w:val="-23"/>
                <w:sz w:val="14"/>
              </w:rPr>
              <w:t xml:space="preserve"> </w:t>
            </w:r>
            <w:r>
              <w:rPr>
                <w:color w:val="231F20"/>
                <w:sz w:val="14"/>
              </w:rPr>
              <w:t>of</w:t>
            </w:r>
            <w:r>
              <w:rPr>
                <w:color w:val="231F20"/>
                <w:spacing w:val="-23"/>
                <w:sz w:val="14"/>
              </w:rPr>
              <w:t xml:space="preserve"> </w:t>
            </w:r>
            <w:r>
              <w:rPr>
                <w:color w:val="231F20"/>
                <w:sz w:val="14"/>
              </w:rPr>
              <w:t>HFs</w:t>
            </w:r>
          </w:p>
          <w:p w14:paraId="24CDBC72" w14:textId="77777777" w:rsidR="009948F1" w:rsidRDefault="00BC0563">
            <w:pPr>
              <w:pStyle w:val="TableParagraph"/>
              <w:numPr>
                <w:ilvl w:val="0"/>
                <w:numId w:val="169"/>
              </w:numPr>
              <w:tabs>
                <w:tab w:val="left" w:pos="98"/>
              </w:tabs>
              <w:spacing w:line="268" w:lineRule="auto"/>
              <w:ind w:right="77" w:firstLine="0"/>
              <w:rPr>
                <w:sz w:val="14"/>
              </w:rPr>
            </w:pPr>
            <w:r>
              <w:rPr>
                <w:color w:val="231F20"/>
                <w:w w:val="95"/>
                <w:sz w:val="14"/>
              </w:rPr>
              <w:t>At</w:t>
            </w:r>
            <w:r>
              <w:rPr>
                <w:color w:val="231F20"/>
                <w:spacing w:val="-15"/>
                <w:w w:val="95"/>
                <w:sz w:val="14"/>
              </w:rPr>
              <w:t xml:space="preserve"> </w:t>
            </w:r>
            <w:r>
              <w:rPr>
                <w:color w:val="231F20"/>
                <w:w w:val="95"/>
                <w:sz w:val="14"/>
              </w:rPr>
              <w:t>least</w:t>
            </w:r>
            <w:r>
              <w:rPr>
                <w:color w:val="231F20"/>
                <w:spacing w:val="-15"/>
                <w:w w:val="95"/>
                <w:sz w:val="14"/>
              </w:rPr>
              <w:t xml:space="preserve"> </w:t>
            </w:r>
            <w:r>
              <w:rPr>
                <w:color w:val="231F20"/>
                <w:w w:val="95"/>
                <w:sz w:val="14"/>
              </w:rPr>
              <w:t>600</w:t>
            </w:r>
            <w:r>
              <w:rPr>
                <w:color w:val="231F20"/>
                <w:spacing w:val="-14"/>
                <w:w w:val="95"/>
                <w:sz w:val="14"/>
              </w:rPr>
              <w:t xml:space="preserve"> </w:t>
            </w:r>
            <w:r>
              <w:rPr>
                <w:color w:val="231F20"/>
                <w:w w:val="95"/>
                <w:sz w:val="14"/>
              </w:rPr>
              <w:t>girls</w:t>
            </w:r>
            <w:r>
              <w:rPr>
                <w:color w:val="231F20"/>
                <w:spacing w:val="-15"/>
                <w:w w:val="95"/>
                <w:sz w:val="14"/>
              </w:rPr>
              <w:t xml:space="preserve"> </w:t>
            </w:r>
            <w:r>
              <w:rPr>
                <w:color w:val="231F20"/>
                <w:w w:val="95"/>
                <w:sz w:val="14"/>
              </w:rPr>
              <w:t>trained</w:t>
            </w:r>
            <w:r>
              <w:rPr>
                <w:color w:val="231F20"/>
                <w:spacing w:val="-15"/>
                <w:w w:val="95"/>
                <w:sz w:val="14"/>
              </w:rPr>
              <w:t xml:space="preserve"> </w:t>
            </w:r>
            <w:r>
              <w:rPr>
                <w:color w:val="231F20"/>
                <w:w w:val="95"/>
                <w:sz w:val="14"/>
              </w:rPr>
              <w:t>in</w:t>
            </w:r>
            <w:r>
              <w:rPr>
                <w:color w:val="231F20"/>
                <w:spacing w:val="-14"/>
                <w:w w:val="95"/>
                <w:sz w:val="14"/>
              </w:rPr>
              <w:t xml:space="preserve"> </w:t>
            </w:r>
            <w:r>
              <w:rPr>
                <w:color w:val="231F20"/>
                <w:w w:val="95"/>
                <w:sz w:val="14"/>
              </w:rPr>
              <w:t>6</w:t>
            </w:r>
            <w:r>
              <w:rPr>
                <w:color w:val="231F20"/>
                <w:spacing w:val="-15"/>
                <w:w w:val="95"/>
                <w:sz w:val="14"/>
              </w:rPr>
              <w:t xml:space="preserve"> </w:t>
            </w:r>
            <w:r>
              <w:rPr>
                <w:color w:val="231F20"/>
                <w:w w:val="95"/>
                <w:sz w:val="14"/>
              </w:rPr>
              <w:t>schools</w:t>
            </w:r>
            <w:r>
              <w:rPr>
                <w:color w:val="231F20"/>
                <w:spacing w:val="-15"/>
                <w:w w:val="95"/>
                <w:sz w:val="14"/>
              </w:rPr>
              <w:t xml:space="preserve"> </w:t>
            </w:r>
            <w:r>
              <w:rPr>
                <w:color w:val="231F20"/>
                <w:spacing w:val="-4"/>
                <w:w w:val="95"/>
                <w:sz w:val="14"/>
              </w:rPr>
              <w:t xml:space="preserve">(100 </w:t>
            </w:r>
            <w:r>
              <w:rPr>
                <w:color w:val="231F20"/>
                <w:w w:val="95"/>
                <w:sz w:val="14"/>
              </w:rPr>
              <w:t>per</w:t>
            </w:r>
            <w:r>
              <w:rPr>
                <w:color w:val="231F20"/>
                <w:spacing w:val="-21"/>
                <w:w w:val="95"/>
                <w:sz w:val="14"/>
              </w:rPr>
              <w:t xml:space="preserve"> </w:t>
            </w:r>
            <w:r>
              <w:rPr>
                <w:color w:val="231F20"/>
                <w:w w:val="95"/>
                <w:sz w:val="14"/>
              </w:rPr>
              <w:t>school)</w:t>
            </w:r>
            <w:r>
              <w:rPr>
                <w:color w:val="231F20"/>
                <w:spacing w:val="-20"/>
                <w:w w:val="95"/>
                <w:sz w:val="14"/>
              </w:rPr>
              <w:t xml:space="preserve"> </w:t>
            </w:r>
            <w:r>
              <w:rPr>
                <w:color w:val="231F20"/>
                <w:w w:val="95"/>
                <w:sz w:val="14"/>
              </w:rPr>
              <w:t>annually</w:t>
            </w:r>
            <w:r>
              <w:rPr>
                <w:color w:val="231F20"/>
                <w:spacing w:val="-21"/>
                <w:w w:val="95"/>
                <w:sz w:val="14"/>
              </w:rPr>
              <w:t xml:space="preserve"> </w:t>
            </w:r>
            <w:r>
              <w:rPr>
                <w:color w:val="231F20"/>
                <w:w w:val="95"/>
                <w:sz w:val="14"/>
              </w:rPr>
              <w:t>on</w:t>
            </w:r>
            <w:r>
              <w:rPr>
                <w:color w:val="231F20"/>
                <w:spacing w:val="-20"/>
                <w:w w:val="95"/>
                <w:sz w:val="14"/>
              </w:rPr>
              <w:t xml:space="preserve"> </w:t>
            </w:r>
            <w:r>
              <w:rPr>
                <w:color w:val="231F20"/>
                <w:w w:val="95"/>
                <w:sz w:val="14"/>
              </w:rPr>
              <w:t>Improved</w:t>
            </w:r>
            <w:r>
              <w:rPr>
                <w:color w:val="231F20"/>
                <w:spacing w:val="-21"/>
                <w:w w:val="95"/>
                <w:sz w:val="14"/>
              </w:rPr>
              <w:t xml:space="preserve"> </w:t>
            </w:r>
            <w:r>
              <w:rPr>
                <w:color w:val="231F20"/>
                <w:w w:val="95"/>
                <w:sz w:val="14"/>
              </w:rPr>
              <w:t xml:space="preserve">Nutrition </w:t>
            </w:r>
            <w:r>
              <w:rPr>
                <w:color w:val="231F20"/>
                <w:sz w:val="14"/>
              </w:rPr>
              <w:t>for Adolescent</w:t>
            </w:r>
            <w:r>
              <w:rPr>
                <w:color w:val="231F20"/>
                <w:spacing w:val="-21"/>
                <w:sz w:val="14"/>
              </w:rPr>
              <w:t xml:space="preserve"> </w:t>
            </w:r>
            <w:r>
              <w:rPr>
                <w:color w:val="231F20"/>
                <w:sz w:val="14"/>
              </w:rPr>
              <w:t>Girls</w:t>
            </w:r>
          </w:p>
          <w:p w14:paraId="03C339FC" w14:textId="77777777" w:rsidR="009948F1" w:rsidRDefault="00BC0563">
            <w:pPr>
              <w:pStyle w:val="TableParagraph"/>
              <w:numPr>
                <w:ilvl w:val="0"/>
                <w:numId w:val="169"/>
              </w:numPr>
              <w:tabs>
                <w:tab w:val="left" w:pos="105"/>
              </w:tabs>
              <w:ind w:left="104"/>
              <w:rPr>
                <w:sz w:val="14"/>
              </w:rPr>
            </w:pPr>
            <w:r>
              <w:rPr>
                <w:color w:val="231F20"/>
                <w:sz w:val="14"/>
              </w:rPr>
              <w:t>Seminar</w:t>
            </w:r>
            <w:r>
              <w:rPr>
                <w:color w:val="231F20"/>
                <w:spacing w:val="-18"/>
                <w:sz w:val="14"/>
              </w:rPr>
              <w:t xml:space="preserve"> </w:t>
            </w:r>
            <w:r>
              <w:rPr>
                <w:color w:val="231F20"/>
                <w:sz w:val="14"/>
              </w:rPr>
              <w:t>on</w:t>
            </w:r>
            <w:r>
              <w:rPr>
                <w:color w:val="231F20"/>
                <w:spacing w:val="-18"/>
                <w:sz w:val="14"/>
              </w:rPr>
              <w:t xml:space="preserve"> </w:t>
            </w:r>
            <w:r>
              <w:rPr>
                <w:color w:val="231F20"/>
                <w:sz w:val="14"/>
              </w:rPr>
              <w:t>nutrition</w:t>
            </w:r>
            <w:r>
              <w:rPr>
                <w:color w:val="231F20"/>
                <w:spacing w:val="-17"/>
                <w:sz w:val="14"/>
              </w:rPr>
              <w:t xml:space="preserve"> </w:t>
            </w:r>
            <w:r>
              <w:rPr>
                <w:color w:val="231F20"/>
                <w:sz w:val="14"/>
              </w:rPr>
              <w:t>education</w:t>
            </w:r>
            <w:r>
              <w:rPr>
                <w:color w:val="231F20"/>
                <w:spacing w:val="-18"/>
                <w:sz w:val="14"/>
              </w:rPr>
              <w:t xml:space="preserve"> </w:t>
            </w:r>
            <w:r>
              <w:rPr>
                <w:color w:val="231F20"/>
                <w:sz w:val="14"/>
              </w:rPr>
              <w:t>done</w:t>
            </w:r>
          </w:p>
        </w:tc>
        <w:tc>
          <w:tcPr>
            <w:tcW w:w="1521" w:type="dxa"/>
            <w:tcBorders>
              <w:right w:val="single" w:sz="12" w:space="0" w:color="231F20"/>
            </w:tcBorders>
            <w:shd w:val="clear" w:color="auto" w:fill="CCE7D3"/>
          </w:tcPr>
          <w:p w14:paraId="7394207B" w14:textId="77777777" w:rsidR="009948F1" w:rsidRDefault="009948F1">
            <w:pPr>
              <w:pStyle w:val="TableParagraph"/>
              <w:rPr>
                <w:rFonts w:ascii="Times New Roman"/>
                <w:sz w:val="12"/>
              </w:rPr>
            </w:pPr>
          </w:p>
        </w:tc>
        <w:tc>
          <w:tcPr>
            <w:tcW w:w="1602" w:type="dxa"/>
            <w:tcBorders>
              <w:left w:val="single" w:sz="12" w:space="0" w:color="231F20"/>
              <w:right w:val="single" w:sz="8" w:space="0" w:color="231F20"/>
            </w:tcBorders>
            <w:shd w:val="clear" w:color="auto" w:fill="CCE7D3"/>
          </w:tcPr>
          <w:p w14:paraId="14AF07C5" w14:textId="77777777" w:rsidR="009948F1" w:rsidRDefault="009948F1">
            <w:pPr>
              <w:pStyle w:val="TableParagraph"/>
              <w:rPr>
                <w:rFonts w:ascii="Times New Roman"/>
                <w:sz w:val="12"/>
              </w:rPr>
            </w:pPr>
          </w:p>
        </w:tc>
      </w:tr>
      <w:tr w:rsidR="009948F1" w14:paraId="0D5BDA89" w14:textId="77777777">
        <w:trPr>
          <w:trHeight w:val="817"/>
        </w:trPr>
        <w:tc>
          <w:tcPr>
            <w:tcW w:w="488" w:type="dxa"/>
            <w:vMerge w:val="restart"/>
            <w:tcBorders>
              <w:left w:val="single" w:sz="8" w:space="0" w:color="231F20"/>
            </w:tcBorders>
          </w:tcPr>
          <w:p w14:paraId="6F80887D" w14:textId="77777777" w:rsidR="009948F1" w:rsidRDefault="009948F1">
            <w:pPr>
              <w:pStyle w:val="TableParagraph"/>
              <w:rPr>
                <w:rFonts w:ascii="Times New Roman"/>
                <w:sz w:val="12"/>
              </w:rPr>
            </w:pPr>
          </w:p>
        </w:tc>
        <w:tc>
          <w:tcPr>
            <w:tcW w:w="560" w:type="dxa"/>
          </w:tcPr>
          <w:p w14:paraId="31011AC6" w14:textId="77777777" w:rsidR="009948F1" w:rsidRDefault="009948F1">
            <w:pPr>
              <w:pStyle w:val="TableParagraph"/>
              <w:rPr>
                <w:sz w:val="14"/>
              </w:rPr>
            </w:pPr>
          </w:p>
          <w:p w14:paraId="126CDF0C" w14:textId="77777777" w:rsidR="009948F1" w:rsidRDefault="009948F1">
            <w:pPr>
              <w:pStyle w:val="TableParagraph"/>
              <w:spacing w:before="8"/>
              <w:rPr>
                <w:sz w:val="14"/>
              </w:rPr>
            </w:pPr>
          </w:p>
          <w:p w14:paraId="75B57CEA" w14:textId="77777777" w:rsidR="009948F1" w:rsidRDefault="00BC0563">
            <w:pPr>
              <w:pStyle w:val="TableParagraph"/>
              <w:ind w:left="34" w:right="14"/>
              <w:jc w:val="center"/>
              <w:rPr>
                <w:sz w:val="14"/>
              </w:rPr>
            </w:pPr>
            <w:r>
              <w:rPr>
                <w:color w:val="231F20"/>
                <w:sz w:val="14"/>
              </w:rPr>
              <w:t>4.6.9.a</w:t>
            </w:r>
          </w:p>
        </w:tc>
        <w:tc>
          <w:tcPr>
            <w:tcW w:w="5211" w:type="dxa"/>
            <w:gridSpan w:val="2"/>
          </w:tcPr>
          <w:p w14:paraId="4E8607A1" w14:textId="77777777" w:rsidR="009948F1" w:rsidRDefault="009948F1">
            <w:pPr>
              <w:pStyle w:val="TableParagraph"/>
              <w:spacing w:before="4"/>
              <w:rPr>
                <w:sz w:val="20"/>
              </w:rPr>
            </w:pPr>
          </w:p>
          <w:p w14:paraId="06DF979D" w14:textId="779121D0" w:rsidR="009948F1" w:rsidRDefault="00BC0563">
            <w:pPr>
              <w:pStyle w:val="TableParagraph"/>
              <w:spacing w:line="268" w:lineRule="auto"/>
              <w:ind w:left="26" w:right="393"/>
              <w:rPr>
                <w:sz w:val="14"/>
              </w:rPr>
            </w:pPr>
            <w:r>
              <w:rPr>
                <w:color w:val="231F20"/>
                <w:w w:val="95"/>
                <w:sz w:val="14"/>
              </w:rPr>
              <w:t>Conduct</w:t>
            </w:r>
            <w:r>
              <w:rPr>
                <w:color w:val="231F20"/>
                <w:spacing w:val="-22"/>
                <w:w w:val="95"/>
                <w:sz w:val="14"/>
              </w:rPr>
              <w:t xml:space="preserve"> </w:t>
            </w:r>
            <w:r>
              <w:rPr>
                <w:color w:val="231F20"/>
                <w:w w:val="95"/>
                <w:sz w:val="14"/>
              </w:rPr>
              <w:t>dietary</w:t>
            </w:r>
            <w:r>
              <w:rPr>
                <w:color w:val="231F20"/>
                <w:spacing w:val="-22"/>
                <w:w w:val="95"/>
                <w:sz w:val="14"/>
              </w:rPr>
              <w:t xml:space="preserve"> </w:t>
            </w:r>
            <w:r>
              <w:rPr>
                <w:color w:val="231F20"/>
                <w:w w:val="95"/>
                <w:sz w:val="14"/>
              </w:rPr>
              <w:t>counselling</w:t>
            </w:r>
            <w:r>
              <w:rPr>
                <w:color w:val="231F20"/>
                <w:spacing w:val="-21"/>
                <w:w w:val="95"/>
                <w:sz w:val="14"/>
              </w:rPr>
              <w:t xml:space="preserve"> </w:t>
            </w:r>
            <w:r>
              <w:rPr>
                <w:color w:val="231F20"/>
                <w:w w:val="95"/>
                <w:sz w:val="14"/>
              </w:rPr>
              <w:t>sessions</w:t>
            </w:r>
            <w:r>
              <w:rPr>
                <w:color w:val="231F20"/>
                <w:spacing w:val="-22"/>
                <w:w w:val="95"/>
                <w:sz w:val="14"/>
              </w:rPr>
              <w:t xml:space="preserve"> </w:t>
            </w:r>
            <w:r>
              <w:rPr>
                <w:color w:val="231F20"/>
                <w:w w:val="95"/>
                <w:sz w:val="14"/>
              </w:rPr>
              <w:t>to</w:t>
            </w:r>
            <w:r>
              <w:rPr>
                <w:color w:val="231F20"/>
                <w:spacing w:val="-21"/>
                <w:w w:val="95"/>
                <w:sz w:val="14"/>
              </w:rPr>
              <w:t xml:space="preserve"> </w:t>
            </w:r>
            <w:r>
              <w:rPr>
                <w:color w:val="231F20"/>
                <w:w w:val="95"/>
                <w:sz w:val="14"/>
              </w:rPr>
              <w:t>adolescents</w:t>
            </w:r>
            <w:r>
              <w:rPr>
                <w:color w:val="231F20"/>
                <w:spacing w:val="-22"/>
                <w:w w:val="95"/>
                <w:sz w:val="14"/>
              </w:rPr>
              <w:t xml:space="preserve"> </w:t>
            </w:r>
            <w:r>
              <w:rPr>
                <w:color w:val="231F20"/>
                <w:w w:val="95"/>
                <w:sz w:val="14"/>
              </w:rPr>
              <w:t>&amp;</w:t>
            </w:r>
            <w:r>
              <w:rPr>
                <w:color w:val="231F20"/>
                <w:spacing w:val="-22"/>
                <w:w w:val="95"/>
                <w:sz w:val="14"/>
              </w:rPr>
              <w:t xml:space="preserve"> </w:t>
            </w:r>
            <w:r>
              <w:rPr>
                <w:color w:val="231F20"/>
                <w:w w:val="95"/>
                <w:sz w:val="14"/>
              </w:rPr>
              <w:t>WRA</w:t>
            </w:r>
            <w:r>
              <w:rPr>
                <w:color w:val="231F20"/>
                <w:spacing w:val="-24"/>
                <w:w w:val="95"/>
                <w:sz w:val="14"/>
              </w:rPr>
              <w:t xml:space="preserve"> </w:t>
            </w:r>
            <w:r>
              <w:rPr>
                <w:color w:val="231F20"/>
                <w:w w:val="95"/>
                <w:sz w:val="14"/>
              </w:rPr>
              <w:t>at</w:t>
            </w:r>
            <w:r>
              <w:rPr>
                <w:color w:val="231F20"/>
                <w:spacing w:val="-22"/>
                <w:w w:val="95"/>
                <w:sz w:val="14"/>
              </w:rPr>
              <w:t xml:space="preserve"> </w:t>
            </w:r>
            <w:r>
              <w:rPr>
                <w:color w:val="231F20"/>
                <w:w w:val="95"/>
                <w:sz w:val="14"/>
              </w:rPr>
              <w:t>the</w:t>
            </w:r>
            <w:r>
              <w:rPr>
                <w:color w:val="231F20"/>
                <w:spacing w:val="-21"/>
                <w:w w:val="95"/>
                <w:sz w:val="14"/>
              </w:rPr>
              <w:t xml:space="preserve"> </w:t>
            </w:r>
            <w:r>
              <w:rPr>
                <w:color w:val="231F20"/>
                <w:w w:val="95"/>
                <w:sz w:val="14"/>
              </w:rPr>
              <w:t>health</w:t>
            </w:r>
            <w:r>
              <w:rPr>
                <w:color w:val="231F20"/>
                <w:spacing w:val="-22"/>
                <w:w w:val="95"/>
                <w:sz w:val="14"/>
              </w:rPr>
              <w:t xml:space="preserve"> </w:t>
            </w:r>
            <w:r>
              <w:rPr>
                <w:color w:val="231F20"/>
                <w:w w:val="95"/>
                <w:sz w:val="14"/>
              </w:rPr>
              <w:t>facilities</w:t>
            </w:r>
            <w:r>
              <w:rPr>
                <w:color w:val="231F20"/>
                <w:spacing w:val="-22"/>
                <w:w w:val="95"/>
                <w:sz w:val="14"/>
              </w:rPr>
              <w:t xml:space="preserve"> </w:t>
            </w:r>
            <w:r>
              <w:rPr>
                <w:color w:val="231F20"/>
                <w:w w:val="95"/>
                <w:sz w:val="14"/>
              </w:rPr>
              <w:t xml:space="preserve">on </w:t>
            </w:r>
            <w:r>
              <w:rPr>
                <w:color w:val="231F20"/>
                <w:sz w:val="14"/>
              </w:rPr>
              <w:t>promotion</w:t>
            </w:r>
            <w:r>
              <w:rPr>
                <w:color w:val="231F20"/>
                <w:spacing w:val="-16"/>
                <w:sz w:val="14"/>
              </w:rPr>
              <w:t xml:space="preserve"> </w:t>
            </w:r>
            <w:r>
              <w:rPr>
                <w:color w:val="231F20"/>
                <w:sz w:val="14"/>
              </w:rPr>
              <w:t>&amp;</w:t>
            </w:r>
            <w:r>
              <w:rPr>
                <w:color w:val="231F20"/>
                <w:spacing w:val="-15"/>
                <w:sz w:val="14"/>
              </w:rPr>
              <w:t xml:space="preserve"> </w:t>
            </w:r>
            <w:r>
              <w:rPr>
                <w:color w:val="231F20"/>
                <w:sz w:val="14"/>
              </w:rPr>
              <w:t>importance</w:t>
            </w:r>
            <w:r>
              <w:rPr>
                <w:color w:val="231F20"/>
                <w:spacing w:val="-15"/>
                <w:sz w:val="14"/>
              </w:rPr>
              <w:t xml:space="preserve"> </w:t>
            </w:r>
            <w:r>
              <w:rPr>
                <w:color w:val="231F20"/>
                <w:sz w:val="14"/>
              </w:rPr>
              <w:t>of</w:t>
            </w:r>
            <w:r>
              <w:rPr>
                <w:color w:val="231F20"/>
                <w:spacing w:val="-15"/>
                <w:sz w:val="14"/>
              </w:rPr>
              <w:t xml:space="preserve"> </w:t>
            </w:r>
            <w:r>
              <w:rPr>
                <w:color w:val="231F20"/>
                <w:sz w:val="14"/>
              </w:rPr>
              <w:t>good</w:t>
            </w:r>
            <w:r>
              <w:rPr>
                <w:color w:val="231F20"/>
                <w:spacing w:val="-15"/>
                <w:sz w:val="14"/>
              </w:rPr>
              <w:t xml:space="preserve"> </w:t>
            </w:r>
            <w:r>
              <w:rPr>
                <w:color w:val="231F20"/>
                <w:sz w:val="14"/>
              </w:rPr>
              <w:t>nutrition</w:t>
            </w:r>
            <w:r>
              <w:rPr>
                <w:color w:val="231F20"/>
                <w:spacing w:val="-15"/>
                <w:sz w:val="14"/>
              </w:rPr>
              <w:t xml:space="preserve"> </w:t>
            </w:r>
            <w:r>
              <w:rPr>
                <w:color w:val="231F20"/>
                <w:sz w:val="14"/>
              </w:rPr>
              <w:t>during</w:t>
            </w:r>
            <w:r>
              <w:rPr>
                <w:color w:val="231F20"/>
                <w:spacing w:val="-15"/>
                <w:sz w:val="14"/>
              </w:rPr>
              <w:t xml:space="preserve"> </w:t>
            </w:r>
            <w:r w:rsidR="000225DB">
              <w:rPr>
                <w:color w:val="231F20"/>
                <w:sz w:val="14"/>
              </w:rPr>
              <w:t>pregnancy</w:t>
            </w:r>
            <w:r>
              <w:rPr>
                <w:color w:val="231F20"/>
                <w:spacing w:val="-15"/>
                <w:sz w:val="14"/>
              </w:rPr>
              <w:t xml:space="preserve"> </w:t>
            </w:r>
            <w:r>
              <w:rPr>
                <w:color w:val="231F20"/>
                <w:sz w:val="14"/>
              </w:rPr>
              <w:t>&amp;</w:t>
            </w:r>
            <w:r>
              <w:rPr>
                <w:color w:val="231F20"/>
                <w:spacing w:val="-15"/>
                <w:sz w:val="14"/>
              </w:rPr>
              <w:t xml:space="preserve"> </w:t>
            </w:r>
            <w:r>
              <w:rPr>
                <w:color w:val="231F20"/>
                <w:sz w:val="14"/>
              </w:rPr>
              <w:t>lactation</w:t>
            </w:r>
          </w:p>
        </w:tc>
        <w:tc>
          <w:tcPr>
            <w:tcW w:w="1521" w:type="dxa"/>
          </w:tcPr>
          <w:p w14:paraId="4AC819A2" w14:textId="77777777" w:rsidR="009948F1" w:rsidRDefault="009948F1">
            <w:pPr>
              <w:pStyle w:val="TableParagraph"/>
              <w:rPr>
                <w:sz w:val="14"/>
              </w:rPr>
            </w:pPr>
          </w:p>
          <w:p w14:paraId="798C2D25" w14:textId="77777777" w:rsidR="009948F1" w:rsidRDefault="009948F1">
            <w:pPr>
              <w:pStyle w:val="TableParagraph"/>
              <w:spacing w:before="8"/>
              <w:rPr>
                <w:sz w:val="14"/>
              </w:rPr>
            </w:pPr>
          </w:p>
          <w:p w14:paraId="11ACE7B8" w14:textId="77777777" w:rsidR="009948F1" w:rsidRDefault="00BC0563">
            <w:pPr>
              <w:pStyle w:val="TableParagraph"/>
              <w:ind w:left="24"/>
              <w:rPr>
                <w:sz w:val="14"/>
              </w:rPr>
            </w:pPr>
            <w:r>
              <w:rPr>
                <w:color w:val="231F20"/>
                <w:sz w:val="14"/>
              </w:rPr>
              <w:t>Lack of funds</w:t>
            </w:r>
          </w:p>
        </w:tc>
        <w:tc>
          <w:tcPr>
            <w:tcW w:w="1602" w:type="dxa"/>
            <w:tcBorders>
              <w:right w:val="single" w:sz="8" w:space="0" w:color="231F20"/>
            </w:tcBorders>
          </w:tcPr>
          <w:p w14:paraId="31423A50" w14:textId="77777777" w:rsidR="009948F1" w:rsidRDefault="009948F1">
            <w:pPr>
              <w:pStyle w:val="TableParagraph"/>
              <w:rPr>
                <w:sz w:val="14"/>
              </w:rPr>
            </w:pPr>
          </w:p>
          <w:p w14:paraId="54C3D8F1" w14:textId="77777777" w:rsidR="009948F1" w:rsidRDefault="009948F1">
            <w:pPr>
              <w:pStyle w:val="TableParagraph"/>
              <w:spacing w:before="8"/>
              <w:rPr>
                <w:sz w:val="14"/>
              </w:rPr>
            </w:pPr>
          </w:p>
          <w:p w14:paraId="78667322" w14:textId="77777777" w:rsidR="009948F1" w:rsidRDefault="00BC0563">
            <w:pPr>
              <w:pStyle w:val="TableParagraph"/>
              <w:ind w:left="22"/>
              <w:rPr>
                <w:sz w:val="14"/>
              </w:rPr>
            </w:pPr>
            <w:r>
              <w:rPr>
                <w:color w:val="231F20"/>
                <w:sz w:val="14"/>
              </w:rPr>
              <w:t>No Cost</w:t>
            </w:r>
          </w:p>
        </w:tc>
      </w:tr>
      <w:tr w:rsidR="009948F1" w14:paraId="41CA4929" w14:textId="77777777">
        <w:trPr>
          <w:trHeight w:val="462"/>
        </w:trPr>
        <w:tc>
          <w:tcPr>
            <w:tcW w:w="488" w:type="dxa"/>
            <w:vMerge/>
            <w:tcBorders>
              <w:top w:val="nil"/>
              <w:left w:val="single" w:sz="8" w:space="0" w:color="231F20"/>
            </w:tcBorders>
          </w:tcPr>
          <w:p w14:paraId="17DB84ED" w14:textId="77777777" w:rsidR="009948F1" w:rsidRDefault="009948F1">
            <w:pPr>
              <w:rPr>
                <w:sz w:val="2"/>
                <w:szCs w:val="2"/>
              </w:rPr>
            </w:pPr>
          </w:p>
        </w:tc>
        <w:tc>
          <w:tcPr>
            <w:tcW w:w="560" w:type="dxa"/>
          </w:tcPr>
          <w:p w14:paraId="5B8732B1" w14:textId="77777777" w:rsidR="009948F1" w:rsidRDefault="009948F1">
            <w:pPr>
              <w:pStyle w:val="TableParagraph"/>
              <w:spacing w:before="3"/>
              <w:rPr>
                <w:sz w:val="13"/>
              </w:rPr>
            </w:pPr>
          </w:p>
          <w:p w14:paraId="6CB08BC9" w14:textId="77777777" w:rsidR="009948F1" w:rsidRDefault="00BC0563">
            <w:pPr>
              <w:pStyle w:val="TableParagraph"/>
              <w:ind w:left="34" w:right="14"/>
              <w:jc w:val="center"/>
              <w:rPr>
                <w:sz w:val="14"/>
              </w:rPr>
            </w:pPr>
            <w:r>
              <w:rPr>
                <w:color w:val="231F20"/>
                <w:sz w:val="14"/>
              </w:rPr>
              <w:t>4.6.9.b</w:t>
            </w:r>
          </w:p>
        </w:tc>
        <w:tc>
          <w:tcPr>
            <w:tcW w:w="5211" w:type="dxa"/>
            <w:gridSpan w:val="2"/>
          </w:tcPr>
          <w:p w14:paraId="4BEF95E8" w14:textId="77777777" w:rsidR="009948F1" w:rsidRDefault="00BC0563">
            <w:pPr>
              <w:pStyle w:val="TableParagraph"/>
              <w:spacing w:before="57" w:line="268" w:lineRule="auto"/>
              <w:ind w:left="26" w:right="310"/>
              <w:rPr>
                <w:sz w:val="14"/>
              </w:rPr>
            </w:pPr>
            <w:r>
              <w:rPr>
                <w:color w:val="231F20"/>
                <w:w w:val="90"/>
                <w:sz w:val="14"/>
              </w:rPr>
              <w:t xml:space="preserve">Conduct sensitization training on Improved Nutrition for Adolescent Girls for Secondary </w:t>
            </w:r>
            <w:r>
              <w:rPr>
                <w:color w:val="231F20"/>
                <w:sz w:val="14"/>
              </w:rPr>
              <w:t>Schools girls in the 23 LGAs</w:t>
            </w:r>
          </w:p>
        </w:tc>
        <w:tc>
          <w:tcPr>
            <w:tcW w:w="1521" w:type="dxa"/>
          </w:tcPr>
          <w:p w14:paraId="4156B0BC" w14:textId="77777777" w:rsidR="009948F1" w:rsidRDefault="009948F1">
            <w:pPr>
              <w:pStyle w:val="TableParagraph"/>
              <w:spacing w:before="3"/>
              <w:rPr>
                <w:sz w:val="13"/>
              </w:rPr>
            </w:pPr>
          </w:p>
          <w:p w14:paraId="35C6F2C4" w14:textId="77777777" w:rsidR="009948F1" w:rsidRDefault="00BC0563">
            <w:pPr>
              <w:pStyle w:val="TableParagraph"/>
              <w:ind w:left="24"/>
              <w:rPr>
                <w:sz w:val="14"/>
              </w:rPr>
            </w:pPr>
            <w:r>
              <w:rPr>
                <w:color w:val="231F20"/>
                <w:sz w:val="14"/>
              </w:rPr>
              <w:t>Lack of funds</w:t>
            </w:r>
          </w:p>
        </w:tc>
        <w:tc>
          <w:tcPr>
            <w:tcW w:w="1602" w:type="dxa"/>
            <w:tcBorders>
              <w:right w:val="single" w:sz="8" w:space="0" w:color="231F20"/>
            </w:tcBorders>
          </w:tcPr>
          <w:p w14:paraId="2C5C1435" w14:textId="77777777" w:rsidR="009948F1" w:rsidRDefault="009948F1">
            <w:pPr>
              <w:pStyle w:val="TableParagraph"/>
              <w:spacing w:before="3"/>
              <w:rPr>
                <w:sz w:val="13"/>
              </w:rPr>
            </w:pPr>
          </w:p>
          <w:p w14:paraId="63800846" w14:textId="77777777" w:rsidR="009948F1" w:rsidRDefault="00BC0563">
            <w:pPr>
              <w:pStyle w:val="TableParagraph"/>
              <w:ind w:left="22"/>
              <w:rPr>
                <w:sz w:val="14"/>
              </w:rPr>
            </w:pPr>
            <w:r>
              <w:rPr>
                <w:color w:val="231F20"/>
                <w:sz w:val="14"/>
              </w:rPr>
              <w:t>Conduct training</w:t>
            </w:r>
          </w:p>
        </w:tc>
      </w:tr>
      <w:tr w:rsidR="009948F1" w14:paraId="697CA01F" w14:textId="77777777">
        <w:trPr>
          <w:trHeight w:val="649"/>
        </w:trPr>
        <w:tc>
          <w:tcPr>
            <w:tcW w:w="488" w:type="dxa"/>
            <w:vMerge/>
            <w:tcBorders>
              <w:top w:val="nil"/>
              <w:left w:val="single" w:sz="8" w:space="0" w:color="231F20"/>
            </w:tcBorders>
          </w:tcPr>
          <w:p w14:paraId="08657AAC" w14:textId="77777777" w:rsidR="009948F1" w:rsidRDefault="009948F1">
            <w:pPr>
              <w:rPr>
                <w:sz w:val="2"/>
                <w:szCs w:val="2"/>
              </w:rPr>
            </w:pPr>
          </w:p>
        </w:tc>
        <w:tc>
          <w:tcPr>
            <w:tcW w:w="560" w:type="dxa"/>
          </w:tcPr>
          <w:p w14:paraId="381FC49E" w14:textId="77777777" w:rsidR="009948F1" w:rsidRDefault="009948F1">
            <w:pPr>
              <w:pStyle w:val="TableParagraph"/>
              <w:rPr>
                <w:sz w:val="14"/>
              </w:rPr>
            </w:pPr>
          </w:p>
          <w:p w14:paraId="35C6BAB7" w14:textId="77777777" w:rsidR="009948F1" w:rsidRDefault="00BC0563">
            <w:pPr>
              <w:pStyle w:val="TableParagraph"/>
              <w:spacing w:before="85"/>
              <w:ind w:left="34" w:right="14"/>
              <w:jc w:val="center"/>
              <w:rPr>
                <w:sz w:val="14"/>
              </w:rPr>
            </w:pPr>
            <w:r>
              <w:rPr>
                <w:color w:val="231F20"/>
                <w:sz w:val="14"/>
              </w:rPr>
              <w:t>4.6.9.c</w:t>
            </w:r>
          </w:p>
        </w:tc>
        <w:tc>
          <w:tcPr>
            <w:tcW w:w="5211" w:type="dxa"/>
            <w:gridSpan w:val="2"/>
          </w:tcPr>
          <w:p w14:paraId="23F5C5BD" w14:textId="77777777" w:rsidR="009948F1" w:rsidRDefault="00BC0563">
            <w:pPr>
              <w:pStyle w:val="TableParagraph"/>
              <w:spacing w:before="60" w:line="268" w:lineRule="auto"/>
              <w:ind w:left="26" w:right="170"/>
              <w:rPr>
                <w:sz w:val="14"/>
              </w:rPr>
            </w:pPr>
            <w:r>
              <w:rPr>
                <w:color w:val="231F20"/>
                <w:sz w:val="14"/>
              </w:rPr>
              <w:t>Conduct</w:t>
            </w:r>
            <w:r>
              <w:rPr>
                <w:color w:val="231F20"/>
                <w:spacing w:val="-27"/>
                <w:sz w:val="14"/>
              </w:rPr>
              <w:t xml:space="preserve"> </w:t>
            </w:r>
            <w:r>
              <w:rPr>
                <w:color w:val="231F20"/>
                <w:sz w:val="14"/>
              </w:rPr>
              <w:t>seminar</w:t>
            </w:r>
            <w:r>
              <w:rPr>
                <w:color w:val="231F20"/>
                <w:spacing w:val="-26"/>
                <w:sz w:val="14"/>
              </w:rPr>
              <w:t xml:space="preserve"> </w:t>
            </w:r>
            <w:r>
              <w:rPr>
                <w:color w:val="231F20"/>
                <w:sz w:val="14"/>
              </w:rPr>
              <w:t>on</w:t>
            </w:r>
            <w:r>
              <w:rPr>
                <w:color w:val="231F20"/>
                <w:spacing w:val="-26"/>
                <w:sz w:val="14"/>
              </w:rPr>
              <w:t xml:space="preserve"> </w:t>
            </w:r>
            <w:r>
              <w:rPr>
                <w:color w:val="231F20"/>
                <w:sz w:val="14"/>
              </w:rPr>
              <w:t>nutrition</w:t>
            </w:r>
            <w:r>
              <w:rPr>
                <w:color w:val="231F20"/>
                <w:spacing w:val="-26"/>
                <w:sz w:val="14"/>
              </w:rPr>
              <w:t xml:space="preserve"> </w:t>
            </w:r>
            <w:r>
              <w:rPr>
                <w:color w:val="231F20"/>
                <w:sz w:val="14"/>
              </w:rPr>
              <w:t>education</w:t>
            </w:r>
            <w:r>
              <w:rPr>
                <w:color w:val="231F20"/>
                <w:spacing w:val="-26"/>
                <w:sz w:val="14"/>
              </w:rPr>
              <w:t xml:space="preserve"> </w:t>
            </w:r>
            <w:r>
              <w:rPr>
                <w:color w:val="231F20"/>
                <w:sz w:val="14"/>
              </w:rPr>
              <w:t>and</w:t>
            </w:r>
            <w:r>
              <w:rPr>
                <w:color w:val="231F20"/>
                <w:spacing w:val="-27"/>
                <w:sz w:val="14"/>
              </w:rPr>
              <w:t xml:space="preserve"> </w:t>
            </w:r>
            <w:r>
              <w:rPr>
                <w:color w:val="231F20"/>
                <w:sz w:val="14"/>
              </w:rPr>
              <w:t>the</w:t>
            </w:r>
            <w:r>
              <w:rPr>
                <w:color w:val="231F20"/>
                <w:spacing w:val="-26"/>
                <w:sz w:val="14"/>
              </w:rPr>
              <w:t xml:space="preserve"> </w:t>
            </w:r>
            <w:r>
              <w:rPr>
                <w:color w:val="231F20"/>
                <w:sz w:val="14"/>
              </w:rPr>
              <w:t>importance</w:t>
            </w:r>
            <w:r>
              <w:rPr>
                <w:color w:val="231F20"/>
                <w:spacing w:val="-26"/>
                <w:sz w:val="14"/>
              </w:rPr>
              <w:t xml:space="preserve"> </w:t>
            </w:r>
            <w:r>
              <w:rPr>
                <w:color w:val="231F20"/>
                <w:sz w:val="14"/>
              </w:rPr>
              <w:t>of</w:t>
            </w:r>
            <w:r>
              <w:rPr>
                <w:color w:val="231F20"/>
                <w:spacing w:val="-26"/>
                <w:sz w:val="14"/>
              </w:rPr>
              <w:t xml:space="preserve"> </w:t>
            </w:r>
            <w:r>
              <w:rPr>
                <w:color w:val="231F20"/>
                <w:sz w:val="14"/>
              </w:rPr>
              <w:t>adequate</w:t>
            </w:r>
            <w:r>
              <w:rPr>
                <w:color w:val="231F20"/>
                <w:spacing w:val="-26"/>
                <w:sz w:val="14"/>
              </w:rPr>
              <w:t xml:space="preserve"> </w:t>
            </w:r>
            <w:r>
              <w:rPr>
                <w:color w:val="231F20"/>
                <w:sz w:val="14"/>
              </w:rPr>
              <w:t>nutrition</w:t>
            </w:r>
            <w:r>
              <w:rPr>
                <w:color w:val="231F20"/>
                <w:spacing w:val="-26"/>
                <w:sz w:val="14"/>
              </w:rPr>
              <w:t xml:space="preserve"> </w:t>
            </w:r>
            <w:r>
              <w:rPr>
                <w:color w:val="231F20"/>
                <w:sz w:val="14"/>
              </w:rPr>
              <w:t xml:space="preserve">to </w:t>
            </w:r>
            <w:r>
              <w:rPr>
                <w:color w:val="231F20"/>
                <w:w w:val="95"/>
                <w:sz w:val="14"/>
              </w:rPr>
              <w:t>adolescents</w:t>
            </w:r>
            <w:r>
              <w:rPr>
                <w:color w:val="231F20"/>
                <w:spacing w:val="-25"/>
                <w:w w:val="95"/>
                <w:sz w:val="14"/>
              </w:rPr>
              <w:t xml:space="preserve"> </w:t>
            </w:r>
            <w:r>
              <w:rPr>
                <w:color w:val="231F20"/>
                <w:w w:val="95"/>
                <w:sz w:val="14"/>
              </w:rPr>
              <w:t>&amp;</w:t>
            </w:r>
            <w:r>
              <w:rPr>
                <w:color w:val="231F20"/>
                <w:spacing w:val="-25"/>
                <w:w w:val="95"/>
                <w:sz w:val="14"/>
              </w:rPr>
              <w:t xml:space="preserve"> </w:t>
            </w:r>
            <w:r>
              <w:rPr>
                <w:color w:val="231F20"/>
                <w:w w:val="95"/>
                <w:sz w:val="14"/>
              </w:rPr>
              <w:t>Women</w:t>
            </w:r>
            <w:r>
              <w:rPr>
                <w:color w:val="231F20"/>
                <w:spacing w:val="-25"/>
                <w:w w:val="95"/>
                <w:sz w:val="14"/>
              </w:rPr>
              <w:t xml:space="preserve"> </w:t>
            </w:r>
            <w:r>
              <w:rPr>
                <w:color w:val="231F20"/>
                <w:w w:val="95"/>
                <w:sz w:val="14"/>
              </w:rPr>
              <w:t>of</w:t>
            </w:r>
            <w:r>
              <w:rPr>
                <w:color w:val="231F20"/>
                <w:spacing w:val="-25"/>
                <w:w w:val="95"/>
                <w:sz w:val="14"/>
              </w:rPr>
              <w:t xml:space="preserve"> </w:t>
            </w:r>
            <w:r>
              <w:rPr>
                <w:color w:val="231F20"/>
                <w:w w:val="95"/>
                <w:sz w:val="14"/>
              </w:rPr>
              <w:t>Reproductive</w:t>
            </w:r>
            <w:r>
              <w:rPr>
                <w:color w:val="231F20"/>
                <w:spacing w:val="-27"/>
                <w:w w:val="95"/>
                <w:sz w:val="14"/>
              </w:rPr>
              <w:t xml:space="preserve"> </w:t>
            </w:r>
            <w:r>
              <w:rPr>
                <w:color w:val="231F20"/>
                <w:w w:val="95"/>
                <w:sz w:val="14"/>
              </w:rPr>
              <w:t>Age</w:t>
            </w:r>
            <w:r>
              <w:rPr>
                <w:color w:val="231F20"/>
                <w:spacing w:val="-25"/>
                <w:w w:val="95"/>
                <w:sz w:val="14"/>
              </w:rPr>
              <w:t xml:space="preserve"> </w:t>
            </w:r>
            <w:r>
              <w:rPr>
                <w:color w:val="231F20"/>
                <w:w w:val="95"/>
                <w:sz w:val="14"/>
              </w:rPr>
              <w:t>(WRA)</w:t>
            </w:r>
            <w:r>
              <w:rPr>
                <w:color w:val="231F20"/>
                <w:spacing w:val="-24"/>
                <w:w w:val="95"/>
                <w:sz w:val="14"/>
              </w:rPr>
              <w:t xml:space="preserve"> </w:t>
            </w:r>
            <w:r>
              <w:rPr>
                <w:color w:val="231F20"/>
                <w:w w:val="95"/>
                <w:sz w:val="14"/>
              </w:rPr>
              <w:t>in</w:t>
            </w:r>
            <w:r>
              <w:rPr>
                <w:color w:val="231F20"/>
                <w:spacing w:val="-25"/>
                <w:w w:val="95"/>
                <w:sz w:val="14"/>
              </w:rPr>
              <w:t xml:space="preserve"> </w:t>
            </w:r>
            <w:r>
              <w:rPr>
                <w:color w:val="231F20"/>
                <w:w w:val="95"/>
                <w:sz w:val="14"/>
              </w:rPr>
              <w:t>Faith</w:t>
            </w:r>
            <w:r>
              <w:rPr>
                <w:color w:val="231F20"/>
                <w:spacing w:val="-25"/>
                <w:w w:val="95"/>
                <w:sz w:val="14"/>
              </w:rPr>
              <w:t xml:space="preserve"> </w:t>
            </w:r>
            <w:r>
              <w:rPr>
                <w:color w:val="231F20"/>
                <w:w w:val="95"/>
                <w:sz w:val="14"/>
              </w:rPr>
              <w:t>Based</w:t>
            </w:r>
            <w:r>
              <w:rPr>
                <w:color w:val="231F20"/>
                <w:spacing w:val="-25"/>
                <w:w w:val="95"/>
                <w:sz w:val="14"/>
              </w:rPr>
              <w:t xml:space="preserve"> </w:t>
            </w:r>
            <w:proofErr w:type="spellStart"/>
            <w:r>
              <w:rPr>
                <w:color w:val="231F20"/>
                <w:w w:val="95"/>
                <w:sz w:val="14"/>
              </w:rPr>
              <w:t>Organisations</w:t>
            </w:r>
            <w:proofErr w:type="spellEnd"/>
            <w:r>
              <w:rPr>
                <w:color w:val="231F20"/>
                <w:spacing w:val="-25"/>
                <w:w w:val="95"/>
                <w:sz w:val="14"/>
              </w:rPr>
              <w:t xml:space="preserve"> </w:t>
            </w:r>
            <w:r>
              <w:rPr>
                <w:color w:val="231F20"/>
                <w:w w:val="95"/>
                <w:sz w:val="14"/>
              </w:rPr>
              <w:t xml:space="preserve">(FBOs), </w:t>
            </w:r>
            <w:r>
              <w:rPr>
                <w:color w:val="231F20"/>
                <w:sz w:val="14"/>
              </w:rPr>
              <w:t>CBOs</w:t>
            </w:r>
            <w:r>
              <w:rPr>
                <w:color w:val="231F20"/>
                <w:spacing w:val="-11"/>
                <w:sz w:val="14"/>
              </w:rPr>
              <w:t xml:space="preserve"> </w:t>
            </w:r>
            <w:r>
              <w:rPr>
                <w:color w:val="231F20"/>
                <w:sz w:val="14"/>
              </w:rPr>
              <w:t>&amp;</w:t>
            </w:r>
            <w:r>
              <w:rPr>
                <w:color w:val="231F20"/>
                <w:spacing w:val="-11"/>
                <w:sz w:val="14"/>
              </w:rPr>
              <w:t xml:space="preserve"> </w:t>
            </w:r>
            <w:r>
              <w:rPr>
                <w:color w:val="231F20"/>
                <w:sz w:val="14"/>
              </w:rPr>
              <w:t>the</w:t>
            </w:r>
            <w:r>
              <w:rPr>
                <w:color w:val="231F20"/>
                <w:spacing w:val="-11"/>
                <w:sz w:val="14"/>
              </w:rPr>
              <w:t xml:space="preserve"> </w:t>
            </w:r>
            <w:r>
              <w:rPr>
                <w:color w:val="231F20"/>
                <w:sz w:val="14"/>
              </w:rPr>
              <w:t>general</w:t>
            </w:r>
            <w:r>
              <w:rPr>
                <w:color w:val="231F20"/>
                <w:spacing w:val="-11"/>
                <w:sz w:val="14"/>
              </w:rPr>
              <w:t xml:space="preserve"> </w:t>
            </w:r>
            <w:r>
              <w:rPr>
                <w:color w:val="231F20"/>
                <w:sz w:val="14"/>
              </w:rPr>
              <w:t>public</w:t>
            </w:r>
            <w:r>
              <w:rPr>
                <w:color w:val="231F20"/>
                <w:spacing w:val="-11"/>
                <w:sz w:val="14"/>
              </w:rPr>
              <w:t xml:space="preserve"> </w:t>
            </w:r>
            <w:r>
              <w:rPr>
                <w:color w:val="231F20"/>
                <w:sz w:val="14"/>
              </w:rPr>
              <w:t>to</w:t>
            </w:r>
            <w:r>
              <w:rPr>
                <w:color w:val="231F20"/>
                <w:spacing w:val="-11"/>
                <w:sz w:val="14"/>
              </w:rPr>
              <w:t xml:space="preserve"> </w:t>
            </w:r>
            <w:r>
              <w:rPr>
                <w:color w:val="231F20"/>
                <w:sz w:val="14"/>
              </w:rPr>
              <w:t>promote</w:t>
            </w:r>
            <w:r>
              <w:rPr>
                <w:color w:val="231F20"/>
                <w:spacing w:val="-11"/>
                <w:sz w:val="14"/>
              </w:rPr>
              <w:t xml:space="preserve"> </w:t>
            </w:r>
            <w:r>
              <w:rPr>
                <w:color w:val="231F20"/>
                <w:sz w:val="14"/>
              </w:rPr>
              <w:t>women</w:t>
            </w:r>
            <w:r>
              <w:rPr>
                <w:color w:val="231F20"/>
                <w:spacing w:val="-11"/>
                <w:sz w:val="14"/>
              </w:rPr>
              <w:t xml:space="preserve"> </w:t>
            </w:r>
            <w:r>
              <w:rPr>
                <w:color w:val="231F20"/>
                <w:sz w:val="14"/>
              </w:rPr>
              <w:t>nutritional</w:t>
            </w:r>
            <w:r>
              <w:rPr>
                <w:color w:val="231F20"/>
                <w:spacing w:val="-11"/>
                <w:sz w:val="14"/>
              </w:rPr>
              <w:t xml:space="preserve"> </w:t>
            </w:r>
            <w:r>
              <w:rPr>
                <w:color w:val="231F20"/>
                <w:sz w:val="14"/>
              </w:rPr>
              <w:t>status</w:t>
            </w:r>
          </w:p>
        </w:tc>
        <w:tc>
          <w:tcPr>
            <w:tcW w:w="1521" w:type="dxa"/>
          </w:tcPr>
          <w:p w14:paraId="26AFB389" w14:textId="77777777" w:rsidR="009948F1" w:rsidRDefault="009948F1">
            <w:pPr>
              <w:pStyle w:val="TableParagraph"/>
              <w:rPr>
                <w:sz w:val="14"/>
              </w:rPr>
            </w:pPr>
          </w:p>
          <w:p w14:paraId="3D875A5F" w14:textId="77777777" w:rsidR="009948F1" w:rsidRDefault="00BC0563">
            <w:pPr>
              <w:pStyle w:val="TableParagraph"/>
              <w:spacing w:before="85"/>
              <w:ind w:left="24"/>
              <w:rPr>
                <w:sz w:val="14"/>
              </w:rPr>
            </w:pPr>
            <w:r>
              <w:rPr>
                <w:color w:val="231F20"/>
                <w:sz w:val="14"/>
              </w:rPr>
              <w:t>Lack of funds</w:t>
            </w:r>
          </w:p>
        </w:tc>
        <w:tc>
          <w:tcPr>
            <w:tcW w:w="1602" w:type="dxa"/>
            <w:tcBorders>
              <w:right w:val="single" w:sz="8" w:space="0" w:color="231F20"/>
            </w:tcBorders>
          </w:tcPr>
          <w:p w14:paraId="0CA2D2EB" w14:textId="77777777" w:rsidR="009948F1" w:rsidRDefault="009948F1">
            <w:pPr>
              <w:pStyle w:val="TableParagraph"/>
              <w:spacing w:before="6"/>
              <w:rPr>
                <w:sz w:val="13"/>
              </w:rPr>
            </w:pPr>
          </w:p>
          <w:p w14:paraId="5D824421" w14:textId="77777777" w:rsidR="009948F1" w:rsidRDefault="00BC0563">
            <w:pPr>
              <w:pStyle w:val="TableParagraph"/>
              <w:spacing w:line="268" w:lineRule="auto"/>
              <w:ind w:left="22" w:right="300"/>
              <w:rPr>
                <w:sz w:val="14"/>
              </w:rPr>
            </w:pPr>
            <w:r>
              <w:rPr>
                <w:color w:val="231F20"/>
                <w:w w:val="95"/>
                <w:sz w:val="14"/>
              </w:rPr>
              <w:t xml:space="preserve">1 day seminar foe 50 </w:t>
            </w:r>
            <w:r>
              <w:rPr>
                <w:color w:val="231F20"/>
                <w:sz w:val="14"/>
              </w:rPr>
              <w:t>persons</w:t>
            </w:r>
          </w:p>
        </w:tc>
      </w:tr>
      <w:tr w:rsidR="009948F1" w14:paraId="323F14B8" w14:textId="77777777">
        <w:trPr>
          <w:trHeight w:val="471"/>
        </w:trPr>
        <w:tc>
          <w:tcPr>
            <w:tcW w:w="488" w:type="dxa"/>
            <w:vMerge/>
            <w:tcBorders>
              <w:top w:val="nil"/>
              <w:left w:val="single" w:sz="8" w:space="0" w:color="231F20"/>
            </w:tcBorders>
          </w:tcPr>
          <w:p w14:paraId="6D17A1F2" w14:textId="77777777" w:rsidR="009948F1" w:rsidRDefault="009948F1">
            <w:pPr>
              <w:rPr>
                <w:sz w:val="2"/>
                <w:szCs w:val="2"/>
              </w:rPr>
            </w:pPr>
          </w:p>
        </w:tc>
        <w:tc>
          <w:tcPr>
            <w:tcW w:w="560" w:type="dxa"/>
          </w:tcPr>
          <w:p w14:paraId="3EACB534" w14:textId="77777777" w:rsidR="009948F1" w:rsidRDefault="009948F1">
            <w:pPr>
              <w:pStyle w:val="TableParagraph"/>
              <w:spacing w:before="7"/>
              <w:rPr>
                <w:sz w:val="13"/>
              </w:rPr>
            </w:pPr>
          </w:p>
          <w:p w14:paraId="02B06223" w14:textId="77777777" w:rsidR="009948F1" w:rsidRDefault="00BC0563">
            <w:pPr>
              <w:pStyle w:val="TableParagraph"/>
              <w:ind w:left="34" w:right="14"/>
              <w:jc w:val="center"/>
              <w:rPr>
                <w:sz w:val="14"/>
              </w:rPr>
            </w:pPr>
            <w:r>
              <w:rPr>
                <w:color w:val="231F20"/>
                <w:sz w:val="14"/>
              </w:rPr>
              <w:t>4.6.9.d</w:t>
            </w:r>
          </w:p>
        </w:tc>
        <w:tc>
          <w:tcPr>
            <w:tcW w:w="5211" w:type="dxa"/>
            <w:gridSpan w:val="2"/>
          </w:tcPr>
          <w:p w14:paraId="43B18ED0" w14:textId="77777777" w:rsidR="009948F1" w:rsidRDefault="009948F1">
            <w:pPr>
              <w:pStyle w:val="TableParagraph"/>
              <w:spacing w:before="1"/>
              <w:rPr>
                <w:sz w:val="13"/>
              </w:rPr>
            </w:pPr>
          </w:p>
          <w:p w14:paraId="0DC0A0F4" w14:textId="77777777" w:rsidR="009948F1" w:rsidRDefault="00BC0563">
            <w:pPr>
              <w:pStyle w:val="TableParagraph"/>
              <w:ind w:left="26"/>
              <w:rPr>
                <w:sz w:val="14"/>
              </w:rPr>
            </w:pPr>
            <w:r>
              <w:rPr>
                <w:color w:val="231F20"/>
                <w:sz w:val="14"/>
              </w:rPr>
              <w:t>Observe International Women's Day (IWD) celebration</w:t>
            </w:r>
          </w:p>
        </w:tc>
        <w:tc>
          <w:tcPr>
            <w:tcW w:w="1521" w:type="dxa"/>
          </w:tcPr>
          <w:p w14:paraId="31EB5D86" w14:textId="77777777" w:rsidR="009948F1" w:rsidRDefault="009948F1">
            <w:pPr>
              <w:pStyle w:val="TableParagraph"/>
              <w:spacing w:before="7"/>
              <w:rPr>
                <w:sz w:val="13"/>
              </w:rPr>
            </w:pPr>
          </w:p>
          <w:p w14:paraId="2D6FAFF4" w14:textId="77777777" w:rsidR="009948F1" w:rsidRDefault="00BC0563">
            <w:pPr>
              <w:pStyle w:val="TableParagraph"/>
              <w:ind w:left="24"/>
              <w:rPr>
                <w:sz w:val="14"/>
              </w:rPr>
            </w:pPr>
            <w:r>
              <w:rPr>
                <w:color w:val="231F20"/>
                <w:sz w:val="14"/>
              </w:rPr>
              <w:t>Lack of funds</w:t>
            </w:r>
          </w:p>
        </w:tc>
        <w:tc>
          <w:tcPr>
            <w:tcW w:w="1602" w:type="dxa"/>
            <w:tcBorders>
              <w:right w:val="single" w:sz="8" w:space="0" w:color="231F20"/>
            </w:tcBorders>
          </w:tcPr>
          <w:p w14:paraId="30BDE80D" w14:textId="77777777" w:rsidR="009948F1" w:rsidRDefault="009948F1">
            <w:pPr>
              <w:pStyle w:val="TableParagraph"/>
              <w:spacing w:before="7"/>
              <w:rPr>
                <w:sz w:val="13"/>
              </w:rPr>
            </w:pPr>
          </w:p>
          <w:p w14:paraId="007C0E59" w14:textId="77777777" w:rsidR="009948F1" w:rsidRDefault="00BC0563">
            <w:pPr>
              <w:pStyle w:val="TableParagraph"/>
              <w:ind w:left="22"/>
              <w:rPr>
                <w:sz w:val="14"/>
              </w:rPr>
            </w:pPr>
            <w:r>
              <w:rPr>
                <w:color w:val="231F20"/>
                <w:sz w:val="14"/>
              </w:rPr>
              <w:t>Observe</w:t>
            </w:r>
            <w:r>
              <w:rPr>
                <w:color w:val="231F20"/>
                <w:spacing w:val="-28"/>
                <w:sz w:val="14"/>
              </w:rPr>
              <w:t xml:space="preserve"> </w:t>
            </w:r>
            <w:r>
              <w:rPr>
                <w:color w:val="231F20"/>
                <w:sz w:val="14"/>
              </w:rPr>
              <w:t>IWD</w:t>
            </w:r>
            <w:r>
              <w:rPr>
                <w:color w:val="231F20"/>
                <w:spacing w:val="-27"/>
                <w:sz w:val="14"/>
              </w:rPr>
              <w:t xml:space="preserve"> </w:t>
            </w:r>
            <w:r>
              <w:rPr>
                <w:color w:val="231F20"/>
                <w:sz w:val="14"/>
              </w:rPr>
              <w:t>celebration</w:t>
            </w:r>
          </w:p>
        </w:tc>
      </w:tr>
      <w:tr w:rsidR="009948F1" w14:paraId="0A003B98" w14:textId="77777777">
        <w:trPr>
          <w:trHeight w:val="353"/>
        </w:trPr>
        <w:tc>
          <w:tcPr>
            <w:tcW w:w="488" w:type="dxa"/>
            <w:vMerge/>
            <w:tcBorders>
              <w:top w:val="nil"/>
              <w:left w:val="single" w:sz="8" w:space="0" w:color="231F20"/>
            </w:tcBorders>
          </w:tcPr>
          <w:p w14:paraId="390AAD03" w14:textId="77777777" w:rsidR="009948F1" w:rsidRDefault="009948F1">
            <w:pPr>
              <w:rPr>
                <w:sz w:val="2"/>
                <w:szCs w:val="2"/>
              </w:rPr>
            </w:pPr>
          </w:p>
        </w:tc>
        <w:tc>
          <w:tcPr>
            <w:tcW w:w="560" w:type="dxa"/>
          </w:tcPr>
          <w:p w14:paraId="699C2D15" w14:textId="77777777" w:rsidR="009948F1" w:rsidRDefault="00BC0563">
            <w:pPr>
              <w:pStyle w:val="TableParagraph"/>
              <w:spacing w:before="98"/>
              <w:ind w:left="34" w:right="14"/>
              <w:jc w:val="center"/>
              <w:rPr>
                <w:sz w:val="14"/>
              </w:rPr>
            </w:pPr>
            <w:r>
              <w:rPr>
                <w:color w:val="231F20"/>
                <w:sz w:val="14"/>
              </w:rPr>
              <w:t>4.6.9.e</w:t>
            </w:r>
          </w:p>
        </w:tc>
        <w:tc>
          <w:tcPr>
            <w:tcW w:w="5211" w:type="dxa"/>
            <w:gridSpan w:val="2"/>
          </w:tcPr>
          <w:p w14:paraId="277A70D2" w14:textId="77777777" w:rsidR="009948F1" w:rsidRDefault="00BC0563">
            <w:pPr>
              <w:pStyle w:val="TableParagraph"/>
              <w:spacing w:before="4"/>
              <w:ind w:left="26"/>
              <w:rPr>
                <w:sz w:val="14"/>
              </w:rPr>
            </w:pPr>
            <w:r>
              <w:rPr>
                <w:color w:val="231F20"/>
                <w:w w:val="95"/>
                <w:sz w:val="14"/>
              </w:rPr>
              <w:t>Baseline</w:t>
            </w:r>
            <w:r>
              <w:rPr>
                <w:color w:val="231F20"/>
                <w:spacing w:val="-22"/>
                <w:w w:val="95"/>
                <w:sz w:val="14"/>
              </w:rPr>
              <w:t xml:space="preserve"> </w:t>
            </w:r>
            <w:r>
              <w:rPr>
                <w:color w:val="231F20"/>
                <w:w w:val="95"/>
                <w:sz w:val="14"/>
              </w:rPr>
              <w:t>survey</w:t>
            </w:r>
            <w:r>
              <w:rPr>
                <w:color w:val="231F20"/>
                <w:spacing w:val="-22"/>
                <w:w w:val="95"/>
                <w:sz w:val="14"/>
              </w:rPr>
              <w:t xml:space="preserve"> </w:t>
            </w:r>
            <w:r>
              <w:rPr>
                <w:color w:val="231F20"/>
                <w:w w:val="95"/>
                <w:sz w:val="14"/>
              </w:rPr>
              <w:t>on</w:t>
            </w:r>
            <w:r>
              <w:rPr>
                <w:color w:val="231F20"/>
                <w:spacing w:val="-22"/>
                <w:w w:val="95"/>
                <w:sz w:val="14"/>
              </w:rPr>
              <w:t xml:space="preserve"> </w:t>
            </w:r>
            <w:r>
              <w:rPr>
                <w:color w:val="231F20"/>
                <w:w w:val="95"/>
                <w:sz w:val="14"/>
              </w:rPr>
              <w:t>nutritional</w:t>
            </w:r>
            <w:r>
              <w:rPr>
                <w:color w:val="231F20"/>
                <w:spacing w:val="-21"/>
                <w:w w:val="95"/>
                <w:sz w:val="14"/>
              </w:rPr>
              <w:t xml:space="preserve"> </w:t>
            </w:r>
            <w:r>
              <w:rPr>
                <w:color w:val="231F20"/>
                <w:w w:val="95"/>
                <w:sz w:val="14"/>
              </w:rPr>
              <w:t>status</w:t>
            </w:r>
            <w:r>
              <w:rPr>
                <w:color w:val="231F20"/>
                <w:spacing w:val="-22"/>
                <w:w w:val="95"/>
                <w:sz w:val="14"/>
              </w:rPr>
              <w:t xml:space="preserve"> </w:t>
            </w:r>
            <w:r>
              <w:rPr>
                <w:color w:val="231F20"/>
                <w:w w:val="95"/>
                <w:sz w:val="14"/>
              </w:rPr>
              <w:t>of</w:t>
            </w:r>
            <w:r>
              <w:rPr>
                <w:color w:val="231F20"/>
                <w:spacing w:val="-25"/>
                <w:w w:val="95"/>
                <w:sz w:val="14"/>
              </w:rPr>
              <w:t xml:space="preserve"> </w:t>
            </w:r>
            <w:r>
              <w:rPr>
                <w:color w:val="231F20"/>
                <w:w w:val="95"/>
                <w:sz w:val="14"/>
              </w:rPr>
              <w:t>Adolescent</w:t>
            </w:r>
            <w:r>
              <w:rPr>
                <w:color w:val="231F20"/>
                <w:spacing w:val="-22"/>
                <w:w w:val="95"/>
                <w:sz w:val="14"/>
              </w:rPr>
              <w:t xml:space="preserve"> </w:t>
            </w:r>
            <w:r>
              <w:rPr>
                <w:color w:val="231F20"/>
                <w:w w:val="95"/>
                <w:sz w:val="14"/>
              </w:rPr>
              <w:t>girls</w:t>
            </w:r>
            <w:r>
              <w:rPr>
                <w:color w:val="231F20"/>
                <w:spacing w:val="-21"/>
                <w:w w:val="95"/>
                <w:sz w:val="14"/>
              </w:rPr>
              <w:t xml:space="preserve"> </w:t>
            </w:r>
            <w:r>
              <w:rPr>
                <w:color w:val="231F20"/>
                <w:w w:val="95"/>
                <w:sz w:val="14"/>
              </w:rPr>
              <w:t>in</w:t>
            </w:r>
            <w:r>
              <w:rPr>
                <w:color w:val="231F20"/>
                <w:spacing w:val="-22"/>
                <w:w w:val="95"/>
                <w:sz w:val="14"/>
              </w:rPr>
              <w:t xml:space="preserve"> </w:t>
            </w:r>
            <w:r>
              <w:rPr>
                <w:color w:val="231F20"/>
                <w:w w:val="95"/>
                <w:sz w:val="14"/>
              </w:rPr>
              <w:t>secondary</w:t>
            </w:r>
            <w:r>
              <w:rPr>
                <w:color w:val="231F20"/>
                <w:spacing w:val="-22"/>
                <w:w w:val="95"/>
                <w:sz w:val="14"/>
              </w:rPr>
              <w:t xml:space="preserve"> </w:t>
            </w:r>
            <w:r>
              <w:rPr>
                <w:color w:val="231F20"/>
                <w:w w:val="95"/>
                <w:sz w:val="14"/>
              </w:rPr>
              <w:t>and</w:t>
            </w:r>
            <w:r>
              <w:rPr>
                <w:color w:val="231F20"/>
                <w:spacing w:val="-22"/>
                <w:w w:val="95"/>
                <w:sz w:val="14"/>
              </w:rPr>
              <w:t xml:space="preserve"> </w:t>
            </w:r>
            <w:r>
              <w:rPr>
                <w:color w:val="231F20"/>
                <w:w w:val="95"/>
                <w:sz w:val="14"/>
              </w:rPr>
              <w:t>tertiary</w:t>
            </w:r>
            <w:r>
              <w:rPr>
                <w:color w:val="231F20"/>
                <w:spacing w:val="-21"/>
                <w:w w:val="95"/>
                <w:sz w:val="14"/>
              </w:rPr>
              <w:t xml:space="preserve"> </w:t>
            </w:r>
            <w:r>
              <w:rPr>
                <w:color w:val="231F20"/>
                <w:w w:val="95"/>
                <w:sz w:val="14"/>
              </w:rPr>
              <w:t>institutions</w:t>
            </w:r>
          </w:p>
          <w:p w14:paraId="1F46FB3D" w14:textId="77777777" w:rsidR="009948F1" w:rsidRDefault="00BC0563">
            <w:pPr>
              <w:pStyle w:val="TableParagraph"/>
              <w:spacing w:before="20" w:line="148" w:lineRule="exact"/>
              <w:ind w:left="26"/>
              <w:rPr>
                <w:sz w:val="14"/>
              </w:rPr>
            </w:pPr>
            <w:r>
              <w:rPr>
                <w:color w:val="231F20"/>
                <w:sz w:val="14"/>
              </w:rPr>
              <w:t>in the State.</w:t>
            </w:r>
          </w:p>
        </w:tc>
        <w:tc>
          <w:tcPr>
            <w:tcW w:w="1521" w:type="dxa"/>
          </w:tcPr>
          <w:p w14:paraId="01210990" w14:textId="77777777" w:rsidR="009948F1" w:rsidRDefault="00BC0563">
            <w:pPr>
              <w:pStyle w:val="TableParagraph"/>
              <w:spacing w:before="98"/>
              <w:ind w:left="24"/>
              <w:rPr>
                <w:sz w:val="14"/>
              </w:rPr>
            </w:pPr>
            <w:r>
              <w:rPr>
                <w:color w:val="231F20"/>
                <w:sz w:val="14"/>
              </w:rPr>
              <w:t>Lack of funds</w:t>
            </w:r>
          </w:p>
        </w:tc>
        <w:tc>
          <w:tcPr>
            <w:tcW w:w="1602" w:type="dxa"/>
            <w:tcBorders>
              <w:right w:val="single" w:sz="8" w:space="0" w:color="231F20"/>
            </w:tcBorders>
          </w:tcPr>
          <w:p w14:paraId="6B7887D7" w14:textId="77777777" w:rsidR="009948F1" w:rsidRDefault="00BC0563">
            <w:pPr>
              <w:pStyle w:val="TableParagraph"/>
              <w:spacing w:before="98"/>
              <w:ind w:left="22"/>
              <w:rPr>
                <w:sz w:val="14"/>
              </w:rPr>
            </w:pPr>
            <w:r>
              <w:rPr>
                <w:color w:val="231F20"/>
                <w:sz w:val="14"/>
              </w:rPr>
              <w:t>Conduct baseline survey</w:t>
            </w:r>
          </w:p>
        </w:tc>
      </w:tr>
      <w:tr w:rsidR="009948F1" w14:paraId="36BF4225" w14:textId="77777777">
        <w:trPr>
          <w:trHeight w:val="2050"/>
        </w:trPr>
        <w:tc>
          <w:tcPr>
            <w:tcW w:w="488" w:type="dxa"/>
            <w:tcBorders>
              <w:left w:val="single" w:sz="12" w:space="0" w:color="231F20"/>
            </w:tcBorders>
            <w:shd w:val="clear" w:color="auto" w:fill="CCE7D3"/>
          </w:tcPr>
          <w:p w14:paraId="45FAF83B" w14:textId="77777777" w:rsidR="009948F1" w:rsidRDefault="009948F1">
            <w:pPr>
              <w:pStyle w:val="TableParagraph"/>
              <w:rPr>
                <w:sz w:val="14"/>
              </w:rPr>
            </w:pPr>
          </w:p>
          <w:p w14:paraId="4811CA3F" w14:textId="77777777" w:rsidR="009948F1" w:rsidRDefault="009948F1">
            <w:pPr>
              <w:pStyle w:val="TableParagraph"/>
              <w:rPr>
                <w:sz w:val="14"/>
              </w:rPr>
            </w:pPr>
          </w:p>
          <w:p w14:paraId="6D88B26B" w14:textId="77777777" w:rsidR="009948F1" w:rsidRDefault="009948F1">
            <w:pPr>
              <w:pStyle w:val="TableParagraph"/>
              <w:rPr>
                <w:sz w:val="14"/>
              </w:rPr>
            </w:pPr>
          </w:p>
          <w:p w14:paraId="3031A36A" w14:textId="77777777" w:rsidR="009948F1" w:rsidRDefault="009948F1">
            <w:pPr>
              <w:pStyle w:val="TableParagraph"/>
              <w:rPr>
                <w:sz w:val="14"/>
              </w:rPr>
            </w:pPr>
          </w:p>
          <w:p w14:paraId="7B56ECC0" w14:textId="77777777" w:rsidR="009948F1" w:rsidRDefault="009948F1">
            <w:pPr>
              <w:pStyle w:val="TableParagraph"/>
              <w:rPr>
                <w:sz w:val="14"/>
              </w:rPr>
            </w:pPr>
          </w:p>
          <w:p w14:paraId="50C57A62" w14:textId="77777777" w:rsidR="009948F1" w:rsidRDefault="009948F1">
            <w:pPr>
              <w:pStyle w:val="TableParagraph"/>
              <w:spacing w:before="4"/>
              <w:rPr>
                <w:sz w:val="12"/>
              </w:rPr>
            </w:pPr>
          </w:p>
          <w:p w14:paraId="42F4EC86" w14:textId="77777777" w:rsidR="009948F1" w:rsidRDefault="00BC0563">
            <w:pPr>
              <w:pStyle w:val="TableParagraph"/>
              <w:ind w:left="24" w:right="23"/>
              <w:jc w:val="center"/>
              <w:rPr>
                <w:sz w:val="14"/>
              </w:rPr>
            </w:pPr>
            <w:r>
              <w:rPr>
                <w:color w:val="231F20"/>
                <w:w w:val="95"/>
                <w:sz w:val="14"/>
              </w:rPr>
              <w:t>4.6.10</w:t>
            </w:r>
          </w:p>
        </w:tc>
        <w:tc>
          <w:tcPr>
            <w:tcW w:w="3233" w:type="dxa"/>
            <w:gridSpan w:val="2"/>
            <w:shd w:val="clear" w:color="auto" w:fill="CCE7D3"/>
          </w:tcPr>
          <w:p w14:paraId="4922B23C" w14:textId="77777777" w:rsidR="009948F1" w:rsidRDefault="009948F1">
            <w:pPr>
              <w:pStyle w:val="TableParagraph"/>
              <w:rPr>
                <w:sz w:val="14"/>
              </w:rPr>
            </w:pPr>
          </w:p>
          <w:p w14:paraId="531C94AB" w14:textId="77777777" w:rsidR="009948F1" w:rsidRDefault="009948F1">
            <w:pPr>
              <w:pStyle w:val="TableParagraph"/>
              <w:rPr>
                <w:sz w:val="14"/>
              </w:rPr>
            </w:pPr>
          </w:p>
          <w:p w14:paraId="0A803B0B" w14:textId="77777777" w:rsidR="009948F1" w:rsidRDefault="009948F1">
            <w:pPr>
              <w:pStyle w:val="TableParagraph"/>
              <w:rPr>
                <w:sz w:val="14"/>
              </w:rPr>
            </w:pPr>
          </w:p>
          <w:p w14:paraId="7465BD14" w14:textId="77777777" w:rsidR="009948F1" w:rsidRDefault="009948F1">
            <w:pPr>
              <w:pStyle w:val="TableParagraph"/>
              <w:rPr>
                <w:sz w:val="14"/>
              </w:rPr>
            </w:pPr>
          </w:p>
          <w:p w14:paraId="7E13AF48" w14:textId="77777777" w:rsidR="009948F1" w:rsidRDefault="009948F1">
            <w:pPr>
              <w:pStyle w:val="TableParagraph"/>
              <w:rPr>
                <w:sz w:val="14"/>
              </w:rPr>
            </w:pPr>
          </w:p>
          <w:p w14:paraId="543869A5" w14:textId="77777777" w:rsidR="009948F1" w:rsidRDefault="009948F1">
            <w:pPr>
              <w:pStyle w:val="TableParagraph"/>
              <w:spacing w:before="10"/>
              <w:rPr>
                <w:sz w:val="11"/>
              </w:rPr>
            </w:pPr>
          </w:p>
          <w:p w14:paraId="1339CEF6" w14:textId="77777777" w:rsidR="009948F1" w:rsidRDefault="00BC0563">
            <w:pPr>
              <w:pStyle w:val="TableParagraph"/>
              <w:ind w:left="61"/>
              <w:rPr>
                <w:sz w:val="14"/>
              </w:rPr>
            </w:pPr>
            <w:r>
              <w:rPr>
                <w:color w:val="231F20"/>
                <w:sz w:val="14"/>
              </w:rPr>
              <w:t>Promote healthy diets for the elderly</w:t>
            </w:r>
          </w:p>
        </w:tc>
        <w:tc>
          <w:tcPr>
            <w:tcW w:w="2538" w:type="dxa"/>
            <w:shd w:val="clear" w:color="auto" w:fill="CCE7D3"/>
          </w:tcPr>
          <w:p w14:paraId="2BC57C0D" w14:textId="77777777" w:rsidR="009948F1" w:rsidRDefault="009948F1">
            <w:pPr>
              <w:pStyle w:val="TableParagraph"/>
              <w:spacing w:before="7"/>
              <w:rPr>
                <w:sz w:val="19"/>
              </w:rPr>
            </w:pPr>
          </w:p>
          <w:p w14:paraId="5234B98A" w14:textId="77777777" w:rsidR="009948F1" w:rsidRDefault="00BC0563">
            <w:pPr>
              <w:pStyle w:val="TableParagraph"/>
              <w:numPr>
                <w:ilvl w:val="0"/>
                <w:numId w:val="168"/>
              </w:numPr>
              <w:tabs>
                <w:tab w:val="left" w:pos="105"/>
              </w:tabs>
              <w:spacing w:line="268" w:lineRule="auto"/>
              <w:ind w:right="37" w:firstLine="0"/>
              <w:rPr>
                <w:sz w:val="14"/>
              </w:rPr>
            </w:pPr>
            <w:r>
              <w:rPr>
                <w:color w:val="231F20"/>
                <w:w w:val="95"/>
                <w:sz w:val="14"/>
              </w:rPr>
              <w:t>Guidelines</w:t>
            </w:r>
            <w:r>
              <w:rPr>
                <w:color w:val="231F20"/>
                <w:spacing w:val="-19"/>
                <w:w w:val="95"/>
                <w:sz w:val="14"/>
              </w:rPr>
              <w:t xml:space="preserve"> </w:t>
            </w:r>
            <w:r>
              <w:rPr>
                <w:color w:val="231F20"/>
                <w:w w:val="95"/>
                <w:sz w:val="14"/>
              </w:rPr>
              <w:t>/</w:t>
            </w:r>
            <w:r>
              <w:rPr>
                <w:color w:val="231F20"/>
                <w:spacing w:val="-18"/>
                <w:w w:val="95"/>
                <w:sz w:val="14"/>
              </w:rPr>
              <w:t xml:space="preserve"> </w:t>
            </w:r>
            <w:r>
              <w:rPr>
                <w:color w:val="231F20"/>
                <w:w w:val="95"/>
                <w:sz w:val="14"/>
              </w:rPr>
              <w:t>SOP</w:t>
            </w:r>
            <w:r>
              <w:rPr>
                <w:color w:val="231F20"/>
                <w:spacing w:val="-20"/>
                <w:w w:val="95"/>
                <w:sz w:val="14"/>
              </w:rPr>
              <w:t xml:space="preserve"> </w:t>
            </w:r>
            <w:r>
              <w:rPr>
                <w:color w:val="231F20"/>
                <w:w w:val="95"/>
                <w:sz w:val="14"/>
              </w:rPr>
              <w:t>on</w:t>
            </w:r>
            <w:r>
              <w:rPr>
                <w:color w:val="231F20"/>
                <w:spacing w:val="-18"/>
                <w:w w:val="95"/>
                <w:sz w:val="14"/>
              </w:rPr>
              <w:t xml:space="preserve"> </w:t>
            </w:r>
            <w:r>
              <w:rPr>
                <w:color w:val="231F20"/>
                <w:w w:val="95"/>
                <w:sz w:val="14"/>
              </w:rPr>
              <w:t>the</w:t>
            </w:r>
            <w:r>
              <w:rPr>
                <w:color w:val="231F20"/>
                <w:spacing w:val="-19"/>
                <w:w w:val="95"/>
                <w:sz w:val="14"/>
              </w:rPr>
              <w:t xml:space="preserve"> </w:t>
            </w:r>
            <w:r>
              <w:rPr>
                <w:color w:val="231F20"/>
                <w:w w:val="95"/>
                <w:sz w:val="14"/>
              </w:rPr>
              <w:t>Nutritional</w:t>
            </w:r>
            <w:r>
              <w:rPr>
                <w:color w:val="231F20"/>
                <w:spacing w:val="-18"/>
                <w:w w:val="95"/>
                <w:sz w:val="14"/>
              </w:rPr>
              <w:t xml:space="preserve"> </w:t>
            </w:r>
            <w:r>
              <w:rPr>
                <w:color w:val="231F20"/>
                <w:w w:val="95"/>
                <w:sz w:val="14"/>
              </w:rPr>
              <w:t>care</w:t>
            </w:r>
            <w:r>
              <w:rPr>
                <w:color w:val="231F20"/>
                <w:spacing w:val="-18"/>
                <w:w w:val="95"/>
                <w:sz w:val="14"/>
              </w:rPr>
              <w:t xml:space="preserve"> </w:t>
            </w:r>
            <w:r>
              <w:rPr>
                <w:color w:val="231F20"/>
                <w:w w:val="95"/>
                <w:sz w:val="14"/>
              </w:rPr>
              <w:t xml:space="preserve">of </w:t>
            </w:r>
            <w:r>
              <w:rPr>
                <w:color w:val="231F20"/>
                <w:sz w:val="14"/>
              </w:rPr>
              <w:t>the elderly</w:t>
            </w:r>
            <w:r>
              <w:rPr>
                <w:color w:val="231F20"/>
                <w:spacing w:val="-15"/>
                <w:sz w:val="14"/>
              </w:rPr>
              <w:t xml:space="preserve"> </w:t>
            </w:r>
            <w:r>
              <w:rPr>
                <w:color w:val="231F20"/>
                <w:sz w:val="14"/>
              </w:rPr>
              <w:t>developed</w:t>
            </w:r>
          </w:p>
          <w:p w14:paraId="4BBED386" w14:textId="77777777" w:rsidR="009948F1" w:rsidRDefault="00BC0563">
            <w:pPr>
              <w:pStyle w:val="TableParagraph"/>
              <w:numPr>
                <w:ilvl w:val="0"/>
                <w:numId w:val="168"/>
              </w:numPr>
              <w:tabs>
                <w:tab w:val="left" w:pos="98"/>
              </w:tabs>
              <w:spacing w:line="268" w:lineRule="auto"/>
              <w:ind w:right="166" w:firstLine="0"/>
              <w:rPr>
                <w:sz w:val="14"/>
              </w:rPr>
            </w:pPr>
            <w:r>
              <w:rPr>
                <w:color w:val="231F20"/>
                <w:sz w:val="14"/>
              </w:rPr>
              <w:t>At</w:t>
            </w:r>
            <w:r>
              <w:rPr>
                <w:color w:val="231F20"/>
                <w:spacing w:val="-25"/>
                <w:sz w:val="14"/>
              </w:rPr>
              <w:t xml:space="preserve"> </w:t>
            </w:r>
            <w:r>
              <w:rPr>
                <w:color w:val="231F20"/>
                <w:sz w:val="14"/>
              </w:rPr>
              <w:t>least</w:t>
            </w:r>
            <w:r>
              <w:rPr>
                <w:color w:val="231F20"/>
                <w:spacing w:val="-24"/>
                <w:sz w:val="14"/>
              </w:rPr>
              <w:t xml:space="preserve"> </w:t>
            </w:r>
            <w:r>
              <w:rPr>
                <w:color w:val="231F20"/>
                <w:sz w:val="14"/>
              </w:rPr>
              <w:t>23</w:t>
            </w:r>
            <w:r>
              <w:rPr>
                <w:color w:val="231F20"/>
                <w:spacing w:val="-24"/>
                <w:sz w:val="14"/>
              </w:rPr>
              <w:t xml:space="preserve"> </w:t>
            </w:r>
            <w:r>
              <w:rPr>
                <w:color w:val="231F20"/>
                <w:sz w:val="14"/>
              </w:rPr>
              <w:t>LGA</w:t>
            </w:r>
            <w:r>
              <w:rPr>
                <w:color w:val="231F20"/>
                <w:spacing w:val="-27"/>
                <w:sz w:val="14"/>
              </w:rPr>
              <w:t xml:space="preserve"> </w:t>
            </w:r>
            <w:r>
              <w:rPr>
                <w:color w:val="231F20"/>
                <w:sz w:val="14"/>
              </w:rPr>
              <w:t>Nutrition</w:t>
            </w:r>
            <w:r>
              <w:rPr>
                <w:color w:val="231F20"/>
                <w:spacing w:val="-24"/>
                <w:sz w:val="14"/>
              </w:rPr>
              <w:t xml:space="preserve"> </w:t>
            </w:r>
            <w:r>
              <w:rPr>
                <w:color w:val="231F20"/>
                <w:sz w:val="14"/>
              </w:rPr>
              <w:t>Officers</w:t>
            </w:r>
            <w:r>
              <w:rPr>
                <w:color w:val="231F20"/>
                <w:spacing w:val="-24"/>
                <w:sz w:val="14"/>
              </w:rPr>
              <w:t xml:space="preserve"> </w:t>
            </w:r>
            <w:r>
              <w:rPr>
                <w:color w:val="231F20"/>
                <w:sz w:val="14"/>
              </w:rPr>
              <w:t xml:space="preserve">and </w:t>
            </w:r>
            <w:r>
              <w:rPr>
                <w:color w:val="231F20"/>
                <w:w w:val="95"/>
                <w:sz w:val="14"/>
              </w:rPr>
              <w:t>State</w:t>
            </w:r>
            <w:r>
              <w:rPr>
                <w:color w:val="231F20"/>
                <w:spacing w:val="-26"/>
                <w:w w:val="95"/>
                <w:sz w:val="14"/>
              </w:rPr>
              <w:t xml:space="preserve"> </w:t>
            </w:r>
            <w:r>
              <w:rPr>
                <w:color w:val="231F20"/>
                <w:w w:val="95"/>
                <w:sz w:val="14"/>
              </w:rPr>
              <w:t>officers</w:t>
            </w:r>
            <w:r>
              <w:rPr>
                <w:color w:val="231F20"/>
                <w:spacing w:val="-25"/>
                <w:w w:val="95"/>
                <w:sz w:val="14"/>
              </w:rPr>
              <w:t xml:space="preserve"> </w:t>
            </w:r>
            <w:r>
              <w:rPr>
                <w:color w:val="231F20"/>
                <w:w w:val="95"/>
                <w:sz w:val="14"/>
              </w:rPr>
              <w:t>trained</w:t>
            </w:r>
            <w:r>
              <w:rPr>
                <w:color w:val="231F20"/>
                <w:spacing w:val="-25"/>
                <w:w w:val="95"/>
                <w:sz w:val="14"/>
              </w:rPr>
              <w:t xml:space="preserve"> </w:t>
            </w:r>
            <w:r>
              <w:rPr>
                <w:color w:val="231F20"/>
                <w:w w:val="95"/>
                <w:sz w:val="14"/>
              </w:rPr>
              <w:t>on</w:t>
            </w:r>
            <w:r>
              <w:rPr>
                <w:color w:val="231F20"/>
                <w:spacing w:val="-26"/>
                <w:w w:val="95"/>
                <w:sz w:val="14"/>
              </w:rPr>
              <w:t xml:space="preserve"> </w:t>
            </w:r>
            <w:r>
              <w:rPr>
                <w:color w:val="231F20"/>
                <w:w w:val="95"/>
                <w:sz w:val="14"/>
              </w:rPr>
              <w:t>Geriatric</w:t>
            </w:r>
            <w:r>
              <w:rPr>
                <w:color w:val="231F20"/>
                <w:spacing w:val="-25"/>
                <w:w w:val="95"/>
                <w:sz w:val="14"/>
              </w:rPr>
              <w:t xml:space="preserve"> </w:t>
            </w:r>
            <w:r>
              <w:rPr>
                <w:color w:val="231F20"/>
                <w:w w:val="95"/>
                <w:sz w:val="14"/>
              </w:rPr>
              <w:t xml:space="preserve">nutrition </w:t>
            </w:r>
            <w:r>
              <w:rPr>
                <w:color w:val="231F20"/>
                <w:sz w:val="14"/>
              </w:rPr>
              <w:t>and</w:t>
            </w:r>
            <w:r>
              <w:rPr>
                <w:color w:val="231F20"/>
                <w:spacing w:val="-5"/>
                <w:sz w:val="14"/>
              </w:rPr>
              <w:t xml:space="preserve"> </w:t>
            </w:r>
            <w:r>
              <w:rPr>
                <w:color w:val="231F20"/>
                <w:sz w:val="14"/>
              </w:rPr>
              <w:t>care.</w:t>
            </w:r>
          </w:p>
          <w:p w14:paraId="72C5A733" w14:textId="77777777" w:rsidR="009948F1" w:rsidRDefault="00BC0563">
            <w:pPr>
              <w:pStyle w:val="TableParagraph"/>
              <w:numPr>
                <w:ilvl w:val="0"/>
                <w:numId w:val="168"/>
              </w:numPr>
              <w:tabs>
                <w:tab w:val="left" w:pos="105"/>
              </w:tabs>
              <w:spacing w:line="268" w:lineRule="auto"/>
              <w:ind w:right="135" w:firstLine="0"/>
              <w:rPr>
                <w:sz w:val="14"/>
              </w:rPr>
            </w:pPr>
            <w:r>
              <w:rPr>
                <w:color w:val="231F20"/>
                <w:w w:val="95"/>
                <w:sz w:val="14"/>
              </w:rPr>
              <w:t>200</w:t>
            </w:r>
            <w:r>
              <w:rPr>
                <w:color w:val="231F20"/>
                <w:spacing w:val="-25"/>
                <w:w w:val="95"/>
                <w:sz w:val="14"/>
              </w:rPr>
              <w:t xml:space="preserve"> </w:t>
            </w:r>
            <w:r>
              <w:rPr>
                <w:color w:val="231F20"/>
                <w:w w:val="95"/>
                <w:sz w:val="14"/>
              </w:rPr>
              <w:t>Volunteer</w:t>
            </w:r>
            <w:r>
              <w:rPr>
                <w:color w:val="231F20"/>
                <w:spacing w:val="-24"/>
                <w:w w:val="95"/>
                <w:sz w:val="14"/>
              </w:rPr>
              <w:t xml:space="preserve"> </w:t>
            </w:r>
            <w:r>
              <w:rPr>
                <w:color w:val="231F20"/>
                <w:w w:val="95"/>
                <w:sz w:val="14"/>
              </w:rPr>
              <w:t>Health</w:t>
            </w:r>
            <w:r>
              <w:rPr>
                <w:color w:val="231F20"/>
                <w:spacing w:val="-24"/>
                <w:w w:val="95"/>
                <w:sz w:val="14"/>
              </w:rPr>
              <w:t xml:space="preserve"> </w:t>
            </w:r>
            <w:r>
              <w:rPr>
                <w:color w:val="231F20"/>
                <w:w w:val="95"/>
                <w:sz w:val="14"/>
              </w:rPr>
              <w:t>Workers</w:t>
            </w:r>
            <w:r>
              <w:rPr>
                <w:color w:val="231F20"/>
                <w:spacing w:val="-25"/>
                <w:w w:val="95"/>
                <w:sz w:val="14"/>
              </w:rPr>
              <w:t xml:space="preserve"> </w:t>
            </w:r>
            <w:r>
              <w:rPr>
                <w:color w:val="231F20"/>
                <w:w w:val="95"/>
                <w:sz w:val="14"/>
              </w:rPr>
              <w:t>trained</w:t>
            </w:r>
            <w:r>
              <w:rPr>
                <w:color w:val="231F20"/>
                <w:spacing w:val="-24"/>
                <w:w w:val="95"/>
                <w:sz w:val="14"/>
              </w:rPr>
              <w:t xml:space="preserve"> </w:t>
            </w:r>
            <w:r>
              <w:rPr>
                <w:color w:val="231F20"/>
                <w:spacing w:val="-6"/>
                <w:w w:val="95"/>
                <w:sz w:val="14"/>
              </w:rPr>
              <w:t xml:space="preserve">on </w:t>
            </w:r>
            <w:r>
              <w:rPr>
                <w:color w:val="231F20"/>
                <w:sz w:val="14"/>
              </w:rPr>
              <w:t>Nutritional</w:t>
            </w:r>
            <w:r>
              <w:rPr>
                <w:color w:val="231F20"/>
                <w:spacing w:val="-12"/>
                <w:sz w:val="14"/>
              </w:rPr>
              <w:t xml:space="preserve"> </w:t>
            </w:r>
            <w:r>
              <w:rPr>
                <w:color w:val="231F20"/>
                <w:sz w:val="14"/>
              </w:rPr>
              <w:t>Care</w:t>
            </w:r>
            <w:r>
              <w:rPr>
                <w:color w:val="231F20"/>
                <w:spacing w:val="-11"/>
                <w:sz w:val="14"/>
              </w:rPr>
              <w:t xml:space="preserve"> </w:t>
            </w:r>
            <w:r>
              <w:rPr>
                <w:color w:val="231F20"/>
                <w:sz w:val="14"/>
              </w:rPr>
              <w:t>of</w:t>
            </w:r>
            <w:r>
              <w:rPr>
                <w:color w:val="231F20"/>
                <w:spacing w:val="-12"/>
                <w:sz w:val="14"/>
              </w:rPr>
              <w:t xml:space="preserve"> </w:t>
            </w:r>
            <w:r>
              <w:rPr>
                <w:color w:val="231F20"/>
                <w:sz w:val="14"/>
              </w:rPr>
              <w:t>the</w:t>
            </w:r>
            <w:r>
              <w:rPr>
                <w:color w:val="231F20"/>
                <w:spacing w:val="-11"/>
                <w:sz w:val="14"/>
              </w:rPr>
              <w:t xml:space="preserve"> </w:t>
            </w:r>
            <w:r>
              <w:rPr>
                <w:color w:val="231F20"/>
                <w:sz w:val="14"/>
              </w:rPr>
              <w:t>elderly.</w:t>
            </w:r>
          </w:p>
          <w:p w14:paraId="23AC4278" w14:textId="77777777" w:rsidR="009948F1" w:rsidRDefault="00BC0563">
            <w:pPr>
              <w:pStyle w:val="TableParagraph"/>
              <w:numPr>
                <w:ilvl w:val="0"/>
                <w:numId w:val="168"/>
              </w:numPr>
              <w:tabs>
                <w:tab w:val="left" w:pos="105"/>
              </w:tabs>
              <w:spacing w:line="268" w:lineRule="auto"/>
              <w:ind w:right="28" w:firstLine="0"/>
              <w:rPr>
                <w:sz w:val="14"/>
              </w:rPr>
            </w:pPr>
            <w:r>
              <w:rPr>
                <w:color w:val="231F20"/>
                <w:w w:val="90"/>
                <w:sz w:val="14"/>
              </w:rPr>
              <w:t xml:space="preserve">Orientation/Sensitization on healthy choice </w:t>
            </w:r>
            <w:r>
              <w:rPr>
                <w:color w:val="231F20"/>
                <w:w w:val="95"/>
                <w:sz w:val="14"/>
              </w:rPr>
              <w:t>of</w:t>
            </w:r>
            <w:r>
              <w:rPr>
                <w:color w:val="231F20"/>
                <w:spacing w:val="-16"/>
                <w:w w:val="95"/>
                <w:sz w:val="14"/>
              </w:rPr>
              <w:t xml:space="preserve"> </w:t>
            </w:r>
            <w:r>
              <w:rPr>
                <w:color w:val="231F20"/>
                <w:w w:val="95"/>
                <w:sz w:val="14"/>
              </w:rPr>
              <w:t>foods</w:t>
            </w:r>
            <w:r>
              <w:rPr>
                <w:color w:val="231F20"/>
                <w:spacing w:val="-15"/>
                <w:w w:val="95"/>
                <w:sz w:val="14"/>
              </w:rPr>
              <w:t xml:space="preserve"> </w:t>
            </w:r>
            <w:r>
              <w:rPr>
                <w:color w:val="231F20"/>
                <w:w w:val="95"/>
                <w:sz w:val="14"/>
              </w:rPr>
              <w:t>for</w:t>
            </w:r>
            <w:r>
              <w:rPr>
                <w:color w:val="231F20"/>
                <w:spacing w:val="-15"/>
                <w:w w:val="95"/>
                <w:sz w:val="14"/>
              </w:rPr>
              <w:t xml:space="preserve"> </w:t>
            </w:r>
            <w:r>
              <w:rPr>
                <w:color w:val="231F20"/>
                <w:w w:val="95"/>
                <w:sz w:val="14"/>
              </w:rPr>
              <w:t>the</w:t>
            </w:r>
            <w:r>
              <w:rPr>
                <w:color w:val="231F20"/>
                <w:spacing w:val="-16"/>
                <w:w w:val="95"/>
                <w:sz w:val="14"/>
              </w:rPr>
              <w:t xml:space="preserve"> </w:t>
            </w:r>
            <w:r>
              <w:rPr>
                <w:color w:val="231F20"/>
                <w:w w:val="95"/>
                <w:sz w:val="14"/>
              </w:rPr>
              <w:t>elderly</w:t>
            </w:r>
            <w:r>
              <w:rPr>
                <w:color w:val="231F20"/>
                <w:spacing w:val="-15"/>
                <w:w w:val="95"/>
                <w:sz w:val="14"/>
              </w:rPr>
              <w:t xml:space="preserve"> </w:t>
            </w:r>
            <w:r>
              <w:rPr>
                <w:color w:val="231F20"/>
                <w:w w:val="95"/>
                <w:sz w:val="14"/>
              </w:rPr>
              <w:t>carried</w:t>
            </w:r>
            <w:r>
              <w:rPr>
                <w:color w:val="231F20"/>
                <w:spacing w:val="-15"/>
                <w:w w:val="95"/>
                <w:sz w:val="14"/>
              </w:rPr>
              <w:t xml:space="preserve"> </w:t>
            </w:r>
            <w:r>
              <w:rPr>
                <w:color w:val="231F20"/>
                <w:w w:val="95"/>
                <w:sz w:val="14"/>
              </w:rPr>
              <w:t>out</w:t>
            </w:r>
            <w:r>
              <w:rPr>
                <w:color w:val="231F20"/>
                <w:spacing w:val="-16"/>
                <w:w w:val="95"/>
                <w:sz w:val="14"/>
              </w:rPr>
              <w:t xml:space="preserve"> </w:t>
            </w:r>
            <w:r>
              <w:rPr>
                <w:color w:val="231F20"/>
                <w:w w:val="95"/>
                <w:sz w:val="14"/>
              </w:rPr>
              <w:t>quarterly</w:t>
            </w:r>
          </w:p>
        </w:tc>
        <w:tc>
          <w:tcPr>
            <w:tcW w:w="1521" w:type="dxa"/>
            <w:tcBorders>
              <w:right w:val="single" w:sz="12" w:space="0" w:color="231F20"/>
            </w:tcBorders>
            <w:shd w:val="clear" w:color="auto" w:fill="CCE7D3"/>
          </w:tcPr>
          <w:p w14:paraId="227EC1A6" w14:textId="77777777" w:rsidR="009948F1" w:rsidRDefault="009948F1">
            <w:pPr>
              <w:pStyle w:val="TableParagraph"/>
              <w:rPr>
                <w:rFonts w:ascii="Times New Roman"/>
                <w:sz w:val="12"/>
              </w:rPr>
            </w:pPr>
          </w:p>
        </w:tc>
        <w:tc>
          <w:tcPr>
            <w:tcW w:w="1602" w:type="dxa"/>
            <w:tcBorders>
              <w:left w:val="single" w:sz="12" w:space="0" w:color="231F20"/>
              <w:right w:val="single" w:sz="8" w:space="0" w:color="231F20"/>
            </w:tcBorders>
            <w:shd w:val="clear" w:color="auto" w:fill="CCE7D3"/>
          </w:tcPr>
          <w:p w14:paraId="73D7BECA" w14:textId="77777777" w:rsidR="009948F1" w:rsidRDefault="009948F1">
            <w:pPr>
              <w:pStyle w:val="TableParagraph"/>
              <w:rPr>
                <w:rFonts w:ascii="Times New Roman"/>
                <w:sz w:val="12"/>
              </w:rPr>
            </w:pPr>
          </w:p>
        </w:tc>
      </w:tr>
      <w:tr w:rsidR="009948F1" w14:paraId="53CC1D6C" w14:textId="77777777">
        <w:trPr>
          <w:trHeight w:val="561"/>
        </w:trPr>
        <w:tc>
          <w:tcPr>
            <w:tcW w:w="488" w:type="dxa"/>
            <w:vMerge w:val="restart"/>
            <w:tcBorders>
              <w:left w:val="single" w:sz="8" w:space="0" w:color="231F20"/>
            </w:tcBorders>
          </w:tcPr>
          <w:p w14:paraId="62595B88" w14:textId="77777777" w:rsidR="009948F1" w:rsidRDefault="009948F1">
            <w:pPr>
              <w:pStyle w:val="TableParagraph"/>
              <w:rPr>
                <w:rFonts w:ascii="Times New Roman"/>
                <w:sz w:val="12"/>
              </w:rPr>
            </w:pPr>
          </w:p>
        </w:tc>
        <w:tc>
          <w:tcPr>
            <w:tcW w:w="560" w:type="dxa"/>
          </w:tcPr>
          <w:p w14:paraId="1919654C" w14:textId="77777777" w:rsidR="009948F1" w:rsidRDefault="009948F1">
            <w:pPr>
              <w:pStyle w:val="TableParagraph"/>
              <w:spacing w:before="6"/>
              <w:rPr>
                <w:sz w:val="17"/>
              </w:rPr>
            </w:pPr>
          </w:p>
          <w:p w14:paraId="7E4FD5DE" w14:textId="77777777" w:rsidR="009948F1" w:rsidRDefault="00BC0563">
            <w:pPr>
              <w:pStyle w:val="TableParagraph"/>
              <w:spacing w:before="1"/>
              <w:ind w:left="34" w:right="15"/>
              <w:jc w:val="center"/>
              <w:rPr>
                <w:sz w:val="14"/>
              </w:rPr>
            </w:pPr>
            <w:r>
              <w:rPr>
                <w:color w:val="231F20"/>
                <w:w w:val="90"/>
                <w:sz w:val="14"/>
              </w:rPr>
              <w:t>4.6.10.a</w:t>
            </w:r>
          </w:p>
        </w:tc>
        <w:tc>
          <w:tcPr>
            <w:tcW w:w="5211" w:type="dxa"/>
            <w:gridSpan w:val="2"/>
          </w:tcPr>
          <w:p w14:paraId="57CCADDE" w14:textId="77777777" w:rsidR="009948F1" w:rsidRDefault="00BC0563">
            <w:pPr>
              <w:pStyle w:val="TableParagraph"/>
              <w:spacing w:before="105" w:line="268" w:lineRule="auto"/>
              <w:ind w:left="26" w:right="370"/>
              <w:rPr>
                <w:sz w:val="14"/>
              </w:rPr>
            </w:pPr>
            <w:r>
              <w:rPr>
                <w:color w:val="231F20"/>
                <w:w w:val="95"/>
                <w:sz w:val="14"/>
              </w:rPr>
              <w:t>Baseline</w:t>
            </w:r>
            <w:r>
              <w:rPr>
                <w:color w:val="231F20"/>
                <w:spacing w:val="-24"/>
                <w:w w:val="95"/>
                <w:sz w:val="14"/>
              </w:rPr>
              <w:t xml:space="preserve"> </w:t>
            </w:r>
            <w:r>
              <w:rPr>
                <w:color w:val="231F20"/>
                <w:w w:val="95"/>
                <w:sz w:val="14"/>
              </w:rPr>
              <w:t>Survey</w:t>
            </w:r>
            <w:r>
              <w:rPr>
                <w:color w:val="231F20"/>
                <w:spacing w:val="-23"/>
                <w:w w:val="95"/>
                <w:sz w:val="14"/>
              </w:rPr>
              <w:t xml:space="preserve"> </w:t>
            </w:r>
            <w:r>
              <w:rPr>
                <w:color w:val="231F20"/>
                <w:w w:val="95"/>
                <w:sz w:val="14"/>
              </w:rPr>
              <w:t>on</w:t>
            </w:r>
            <w:r>
              <w:rPr>
                <w:color w:val="231F20"/>
                <w:spacing w:val="-23"/>
                <w:w w:val="95"/>
                <w:sz w:val="14"/>
              </w:rPr>
              <w:t xml:space="preserve"> </w:t>
            </w:r>
            <w:r>
              <w:rPr>
                <w:color w:val="231F20"/>
                <w:w w:val="95"/>
                <w:sz w:val="14"/>
              </w:rPr>
              <w:t>number</w:t>
            </w:r>
            <w:r>
              <w:rPr>
                <w:color w:val="231F20"/>
                <w:spacing w:val="-23"/>
                <w:w w:val="95"/>
                <w:sz w:val="14"/>
              </w:rPr>
              <w:t xml:space="preserve"> </w:t>
            </w:r>
            <w:r>
              <w:rPr>
                <w:color w:val="231F20"/>
                <w:w w:val="95"/>
                <w:sz w:val="14"/>
              </w:rPr>
              <w:t>and</w:t>
            </w:r>
            <w:r>
              <w:rPr>
                <w:color w:val="231F20"/>
                <w:spacing w:val="-23"/>
                <w:w w:val="95"/>
                <w:sz w:val="14"/>
              </w:rPr>
              <w:t xml:space="preserve"> </w:t>
            </w:r>
            <w:r>
              <w:rPr>
                <w:color w:val="231F20"/>
                <w:w w:val="95"/>
                <w:sz w:val="14"/>
              </w:rPr>
              <w:t>health/nutritional</w:t>
            </w:r>
            <w:r>
              <w:rPr>
                <w:color w:val="231F20"/>
                <w:spacing w:val="-23"/>
                <w:w w:val="95"/>
                <w:sz w:val="14"/>
              </w:rPr>
              <w:t xml:space="preserve"> </w:t>
            </w:r>
            <w:r>
              <w:rPr>
                <w:color w:val="231F20"/>
                <w:w w:val="95"/>
                <w:sz w:val="14"/>
              </w:rPr>
              <w:t>status</w:t>
            </w:r>
            <w:r>
              <w:rPr>
                <w:color w:val="231F20"/>
                <w:spacing w:val="-23"/>
                <w:w w:val="95"/>
                <w:sz w:val="14"/>
              </w:rPr>
              <w:t xml:space="preserve"> </w:t>
            </w:r>
            <w:r>
              <w:rPr>
                <w:color w:val="231F20"/>
                <w:w w:val="95"/>
                <w:sz w:val="14"/>
              </w:rPr>
              <w:t>of</w:t>
            </w:r>
            <w:r>
              <w:rPr>
                <w:color w:val="231F20"/>
                <w:spacing w:val="-23"/>
                <w:w w:val="95"/>
                <w:sz w:val="14"/>
              </w:rPr>
              <w:t xml:space="preserve"> </w:t>
            </w:r>
            <w:r>
              <w:rPr>
                <w:color w:val="231F20"/>
                <w:w w:val="95"/>
                <w:sz w:val="14"/>
              </w:rPr>
              <w:t>elderly</w:t>
            </w:r>
            <w:r>
              <w:rPr>
                <w:color w:val="231F20"/>
                <w:spacing w:val="-24"/>
                <w:w w:val="95"/>
                <w:sz w:val="14"/>
              </w:rPr>
              <w:t xml:space="preserve"> </w:t>
            </w:r>
            <w:r>
              <w:rPr>
                <w:color w:val="231F20"/>
                <w:w w:val="95"/>
                <w:sz w:val="14"/>
              </w:rPr>
              <w:t>men/women</w:t>
            </w:r>
            <w:r>
              <w:rPr>
                <w:color w:val="231F20"/>
                <w:spacing w:val="-23"/>
                <w:w w:val="95"/>
                <w:sz w:val="14"/>
              </w:rPr>
              <w:t xml:space="preserve"> </w:t>
            </w:r>
            <w:r>
              <w:rPr>
                <w:color w:val="231F20"/>
                <w:w w:val="95"/>
                <w:sz w:val="14"/>
              </w:rPr>
              <w:t>in</w:t>
            </w:r>
            <w:r>
              <w:rPr>
                <w:color w:val="231F20"/>
                <w:spacing w:val="-23"/>
                <w:w w:val="95"/>
                <w:sz w:val="14"/>
              </w:rPr>
              <w:t xml:space="preserve"> </w:t>
            </w:r>
            <w:r>
              <w:rPr>
                <w:color w:val="231F20"/>
                <w:w w:val="95"/>
                <w:sz w:val="14"/>
              </w:rPr>
              <w:t xml:space="preserve">319 </w:t>
            </w:r>
            <w:r>
              <w:rPr>
                <w:color w:val="231F20"/>
                <w:sz w:val="14"/>
              </w:rPr>
              <w:t>wards of the</w:t>
            </w:r>
            <w:r>
              <w:rPr>
                <w:color w:val="231F20"/>
                <w:spacing w:val="-15"/>
                <w:sz w:val="14"/>
              </w:rPr>
              <w:t xml:space="preserve"> </w:t>
            </w:r>
            <w:r>
              <w:rPr>
                <w:color w:val="231F20"/>
                <w:sz w:val="14"/>
              </w:rPr>
              <w:t>State</w:t>
            </w:r>
          </w:p>
        </w:tc>
        <w:tc>
          <w:tcPr>
            <w:tcW w:w="1521" w:type="dxa"/>
          </w:tcPr>
          <w:p w14:paraId="6237002D" w14:textId="77777777" w:rsidR="009948F1" w:rsidRDefault="009948F1">
            <w:pPr>
              <w:pStyle w:val="TableParagraph"/>
              <w:spacing w:before="6"/>
              <w:rPr>
                <w:sz w:val="17"/>
              </w:rPr>
            </w:pPr>
          </w:p>
          <w:p w14:paraId="730EB914" w14:textId="77777777" w:rsidR="009948F1" w:rsidRDefault="00BC0563">
            <w:pPr>
              <w:pStyle w:val="TableParagraph"/>
              <w:spacing w:before="1"/>
              <w:ind w:left="24"/>
              <w:rPr>
                <w:sz w:val="14"/>
              </w:rPr>
            </w:pPr>
            <w:r>
              <w:rPr>
                <w:color w:val="231F20"/>
                <w:sz w:val="14"/>
              </w:rPr>
              <w:t>Lack of funds</w:t>
            </w:r>
          </w:p>
        </w:tc>
        <w:tc>
          <w:tcPr>
            <w:tcW w:w="1602" w:type="dxa"/>
            <w:tcBorders>
              <w:right w:val="single" w:sz="8" w:space="0" w:color="231F20"/>
            </w:tcBorders>
          </w:tcPr>
          <w:p w14:paraId="16DF2257" w14:textId="77777777" w:rsidR="009948F1" w:rsidRDefault="009948F1">
            <w:pPr>
              <w:pStyle w:val="TableParagraph"/>
              <w:spacing w:before="6"/>
              <w:rPr>
                <w:sz w:val="17"/>
              </w:rPr>
            </w:pPr>
          </w:p>
          <w:p w14:paraId="093510A4" w14:textId="77777777" w:rsidR="009948F1" w:rsidRDefault="00BC0563">
            <w:pPr>
              <w:pStyle w:val="TableParagraph"/>
              <w:spacing w:before="1"/>
              <w:ind w:left="22"/>
              <w:rPr>
                <w:sz w:val="14"/>
              </w:rPr>
            </w:pPr>
            <w:r>
              <w:rPr>
                <w:color w:val="231F20"/>
                <w:sz w:val="14"/>
              </w:rPr>
              <w:t>Conduct baseline survey</w:t>
            </w:r>
          </w:p>
        </w:tc>
      </w:tr>
      <w:tr w:rsidR="009948F1" w14:paraId="2DA675BE" w14:textId="77777777">
        <w:trPr>
          <w:trHeight w:val="335"/>
        </w:trPr>
        <w:tc>
          <w:tcPr>
            <w:tcW w:w="488" w:type="dxa"/>
            <w:vMerge/>
            <w:tcBorders>
              <w:top w:val="nil"/>
              <w:left w:val="single" w:sz="8" w:space="0" w:color="231F20"/>
            </w:tcBorders>
          </w:tcPr>
          <w:p w14:paraId="58919AC4" w14:textId="77777777" w:rsidR="009948F1" w:rsidRDefault="009948F1">
            <w:pPr>
              <w:rPr>
                <w:sz w:val="2"/>
                <w:szCs w:val="2"/>
              </w:rPr>
            </w:pPr>
          </w:p>
        </w:tc>
        <w:tc>
          <w:tcPr>
            <w:tcW w:w="560" w:type="dxa"/>
          </w:tcPr>
          <w:p w14:paraId="64EB2592" w14:textId="77777777" w:rsidR="009948F1" w:rsidRDefault="00BC0563">
            <w:pPr>
              <w:pStyle w:val="TableParagraph"/>
              <w:spacing w:before="89"/>
              <w:ind w:left="34" w:right="15"/>
              <w:jc w:val="center"/>
              <w:rPr>
                <w:sz w:val="14"/>
              </w:rPr>
            </w:pPr>
            <w:r>
              <w:rPr>
                <w:color w:val="231F20"/>
                <w:w w:val="90"/>
                <w:sz w:val="14"/>
              </w:rPr>
              <w:t>4.6.10.b</w:t>
            </w:r>
          </w:p>
        </w:tc>
        <w:tc>
          <w:tcPr>
            <w:tcW w:w="5211" w:type="dxa"/>
            <w:gridSpan w:val="2"/>
          </w:tcPr>
          <w:p w14:paraId="2C0D401C" w14:textId="77777777" w:rsidR="009948F1" w:rsidRDefault="00BC0563">
            <w:pPr>
              <w:pStyle w:val="TableParagraph"/>
              <w:spacing w:before="83"/>
              <w:ind w:left="26"/>
              <w:rPr>
                <w:sz w:val="14"/>
              </w:rPr>
            </w:pPr>
            <w:r>
              <w:rPr>
                <w:color w:val="231F20"/>
                <w:sz w:val="14"/>
              </w:rPr>
              <w:t>Development of Guidelines / SOP on the Nutritional care of the elderly</w:t>
            </w:r>
          </w:p>
        </w:tc>
        <w:tc>
          <w:tcPr>
            <w:tcW w:w="1521" w:type="dxa"/>
          </w:tcPr>
          <w:p w14:paraId="1361457F" w14:textId="77777777" w:rsidR="009948F1" w:rsidRDefault="00BC0563">
            <w:pPr>
              <w:pStyle w:val="TableParagraph"/>
              <w:spacing w:before="89"/>
              <w:ind w:left="24"/>
              <w:rPr>
                <w:sz w:val="14"/>
              </w:rPr>
            </w:pPr>
            <w:r>
              <w:rPr>
                <w:color w:val="231F20"/>
                <w:sz w:val="14"/>
              </w:rPr>
              <w:t>Lack of funds</w:t>
            </w:r>
          </w:p>
        </w:tc>
        <w:tc>
          <w:tcPr>
            <w:tcW w:w="1602" w:type="dxa"/>
            <w:tcBorders>
              <w:right w:val="single" w:sz="8" w:space="0" w:color="231F20"/>
            </w:tcBorders>
          </w:tcPr>
          <w:p w14:paraId="15B3CC04" w14:textId="77777777" w:rsidR="009948F1" w:rsidRDefault="00BC0563">
            <w:pPr>
              <w:pStyle w:val="TableParagraph"/>
              <w:spacing w:before="89"/>
              <w:ind w:left="22"/>
              <w:rPr>
                <w:sz w:val="14"/>
              </w:rPr>
            </w:pPr>
            <w:r>
              <w:rPr>
                <w:color w:val="231F20"/>
                <w:sz w:val="14"/>
              </w:rPr>
              <w:t>Develop SOP</w:t>
            </w:r>
          </w:p>
        </w:tc>
      </w:tr>
      <w:tr w:rsidR="009948F1" w14:paraId="38D701E7" w14:textId="77777777">
        <w:trPr>
          <w:trHeight w:val="353"/>
        </w:trPr>
        <w:tc>
          <w:tcPr>
            <w:tcW w:w="488" w:type="dxa"/>
            <w:vMerge/>
            <w:tcBorders>
              <w:top w:val="nil"/>
              <w:left w:val="single" w:sz="8" w:space="0" w:color="231F20"/>
            </w:tcBorders>
          </w:tcPr>
          <w:p w14:paraId="65FFCE04" w14:textId="77777777" w:rsidR="009948F1" w:rsidRDefault="009948F1">
            <w:pPr>
              <w:rPr>
                <w:sz w:val="2"/>
                <w:szCs w:val="2"/>
              </w:rPr>
            </w:pPr>
          </w:p>
        </w:tc>
        <w:tc>
          <w:tcPr>
            <w:tcW w:w="560" w:type="dxa"/>
          </w:tcPr>
          <w:p w14:paraId="218F610C" w14:textId="77777777" w:rsidR="009948F1" w:rsidRDefault="00BC0563">
            <w:pPr>
              <w:pStyle w:val="TableParagraph"/>
              <w:spacing w:before="98"/>
              <w:ind w:left="34" w:right="14"/>
              <w:jc w:val="center"/>
              <w:rPr>
                <w:sz w:val="14"/>
              </w:rPr>
            </w:pPr>
            <w:r>
              <w:rPr>
                <w:color w:val="231F20"/>
                <w:w w:val="90"/>
                <w:sz w:val="14"/>
              </w:rPr>
              <w:t>4.6.10.c</w:t>
            </w:r>
          </w:p>
        </w:tc>
        <w:tc>
          <w:tcPr>
            <w:tcW w:w="5211" w:type="dxa"/>
            <w:gridSpan w:val="2"/>
          </w:tcPr>
          <w:p w14:paraId="148ACAED" w14:textId="77777777" w:rsidR="009948F1" w:rsidRDefault="00BC0563">
            <w:pPr>
              <w:pStyle w:val="TableParagraph"/>
              <w:spacing w:before="92"/>
              <w:ind w:left="26"/>
              <w:rPr>
                <w:sz w:val="14"/>
              </w:rPr>
            </w:pPr>
            <w:r>
              <w:rPr>
                <w:color w:val="231F20"/>
                <w:w w:val="95"/>
                <w:sz w:val="14"/>
              </w:rPr>
              <w:t>Build</w:t>
            </w:r>
            <w:r>
              <w:rPr>
                <w:color w:val="231F20"/>
                <w:spacing w:val="-15"/>
                <w:w w:val="95"/>
                <w:sz w:val="14"/>
              </w:rPr>
              <w:t xml:space="preserve"> </w:t>
            </w:r>
            <w:r>
              <w:rPr>
                <w:color w:val="231F20"/>
                <w:w w:val="95"/>
                <w:sz w:val="14"/>
              </w:rPr>
              <w:t>capacity</w:t>
            </w:r>
            <w:r>
              <w:rPr>
                <w:color w:val="231F20"/>
                <w:spacing w:val="-15"/>
                <w:w w:val="95"/>
                <w:sz w:val="14"/>
              </w:rPr>
              <w:t xml:space="preserve"> </w:t>
            </w:r>
            <w:r>
              <w:rPr>
                <w:color w:val="231F20"/>
                <w:w w:val="95"/>
                <w:sz w:val="14"/>
              </w:rPr>
              <w:t>of</w:t>
            </w:r>
            <w:r>
              <w:rPr>
                <w:color w:val="231F20"/>
                <w:spacing w:val="-15"/>
                <w:w w:val="95"/>
                <w:sz w:val="14"/>
              </w:rPr>
              <w:t xml:space="preserve"> </w:t>
            </w:r>
            <w:r>
              <w:rPr>
                <w:color w:val="231F20"/>
                <w:w w:val="95"/>
                <w:sz w:val="14"/>
              </w:rPr>
              <w:t>LGA</w:t>
            </w:r>
            <w:r>
              <w:rPr>
                <w:color w:val="231F20"/>
                <w:spacing w:val="-19"/>
                <w:w w:val="95"/>
                <w:sz w:val="14"/>
              </w:rPr>
              <w:t xml:space="preserve"> </w:t>
            </w:r>
            <w:r>
              <w:rPr>
                <w:color w:val="231F20"/>
                <w:w w:val="95"/>
                <w:sz w:val="14"/>
              </w:rPr>
              <w:t>Nutrition</w:t>
            </w:r>
            <w:r>
              <w:rPr>
                <w:color w:val="231F20"/>
                <w:spacing w:val="-15"/>
                <w:w w:val="95"/>
                <w:sz w:val="14"/>
              </w:rPr>
              <w:t xml:space="preserve"> </w:t>
            </w:r>
            <w:r>
              <w:rPr>
                <w:color w:val="231F20"/>
                <w:w w:val="95"/>
                <w:sz w:val="14"/>
              </w:rPr>
              <w:t>Officers</w:t>
            </w:r>
            <w:r>
              <w:rPr>
                <w:color w:val="231F20"/>
                <w:spacing w:val="-14"/>
                <w:w w:val="95"/>
                <w:sz w:val="14"/>
              </w:rPr>
              <w:t xml:space="preserve"> </w:t>
            </w:r>
            <w:r>
              <w:rPr>
                <w:color w:val="231F20"/>
                <w:w w:val="95"/>
                <w:sz w:val="14"/>
              </w:rPr>
              <w:t>and</w:t>
            </w:r>
            <w:r>
              <w:rPr>
                <w:color w:val="231F20"/>
                <w:spacing w:val="-15"/>
                <w:w w:val="95"/>
                <w:sz w:val="14"/>
              </w:rPr>
              <w:t xml:space="preserve"> </w:t>
            </w:r>
            <w:r>
              <w:rPr>
                <w:color w:val="231F20"/>
                <w:w w:val="95"/>
                <w:sz w:val="14"/>
              </w:rPr>
              <w:t>State</w:t>
            </w:r>
            <w:r>
              <w:rPr>
                <w:color w:val="231F20"/>
                <w:spacing w:val="-15"/>
                <w:w w:val="95"/>
                <w:sz w:val="14"/>
              </w:rPr>
              <w:t xml:space="preserve"> </w:t>
            </w:r>
            <w:r>
              <w:rPr>
                <w:color w:val="231F20"/>
                <w:w w:val="95"/>
                <w:sz w:val="14"/>
              </w:rPr>
              <w:t>officers</w:t>
            </w:r>
            <w:r>
              <w:rPr>
                <w:color w:val="231F20"/>
                <w:spacing w:val="-14"/>
                <w:w w:val="95"/>
                <w:sz w:val="14"/>
              </w:rPr>
              <w:t xml:space="preserve"> </w:t>
            </w:r>
            <w:r>
              <w:rPr>
                <w:color w:val="231F20"/>
                <w:w w:val="95"/>
                <w:sz w:val="14"/>
              </w:rPr>
              <w:t>on</w:t>
            </w:r>
            <w:r>
              <w:rPr>
                <w:color w:val="231F20"/>
                <w:spacing w:val="7"/>
                <w:w w:val="95"/>
                <w:sz w:val="14"/>
              </w:rPr>
              <w:t xml:space="preserve"> </w:t>
            </w:r>
            <w:r>
              <w:rPr>
                <w:color w:val="231F20"/>
                <w:w w:val="95"/>
                <w:sz w:val="14"/>
              </w:rPr>
              <w:t>Geriatric</w:t>
            </w:r>
            <w:r>
              <w:rPr>
                <w:color w:val="231F20"/>
                <w:spacing w:val="-15"/>
                <w:w w:val="95"/>
                <w:sz w:val="14"/>
              </w:rPr>
              <w:t xml:space="preserve"> </w:t>
            </w:r>
            <w:r>
              <w:rPr>
                <w:color w:val="231F20"/>
                <w:w w:val="95"/>
                <w:sz w:val="14"/>
              </w:rPr>
              <w:t>nutrition</w:t>
            </w:r>
            <w:r>
              <w:rPr>
                <w:color w:val="231F20"/>
                <w:spacing w:val="-14"/>
                <w:w w:val="95"/>
                <w:sz w:val="14"/>
              </w:rPr>
              <w:t xml:space="preserve"> </w:t>
            </w:r>
            <w:r>
              <w:rPr>
                <w:color w:val="231F20"/>
                <w:w w:val="95"/>
                <w:sz w:val="14"/>
              </w:rPr>
              <w:t>and</w:t>
            </w:r>
            <w:r>
              <w:rPr>
                <w:color w:val="231F20"/>
                <w:spacing w:val="-15"/>
                <w:w w:val="95"/>
                <w:sz w:val="14"/>
              </w:rPr>
              <w:t xml:space="preserve"> </w:t>
            </w:r>
            <w:r>
              <w:rPr>
                <w:color w:val="231F20"/>
                <w:w w:val="95"/>
                <w:sz w:val="14"/>
              </w:rPr>
              <w:t>care.</w:t>
            </w:r>
          </w:p>
        </w:tc>
        <w:tc>
          <w:tcPr>
            <w:tcW w:w="1521" w:type="dxa"/>
          </w:tcPr>
          <w:p w14:paraId="2B97971A" w14:textId="77777777" w:rsidR="009948F1" w:rsidRDefault="00BC0563">
            <w:pPr>
              <w:pStyle w:val="TableParagraph"/>
              <w:spacing w:before="98"/>
              <w:ind w:left="24"/>
              <w:rPr>
                <w:sz w:val="14"/>
              </w:rPr>
            </w:pPr>
            <w:r>
              <w:rPr>
                <w:color w:val="231F20"/>
                <w:sz w:val="14"/>
              </w:rPr>
              <w:t>Lack of funds</w:t>
            </w:r>
          </w:p>
        </w:tc>
        <w:tc>
          <w:tcPr>
            <w:tcW w:w="1602" w:type="dxa"/>
            <w:tcBorders>
              <w:right w:val="single" w:sz="8" w:space="0" w:color="231F20"/>
            </w:tcBorders>
          </w:tcPr>
          <w:p w14:paraId="718C9257" w14:textId="77777777" w:rsidR="009948F1" w:rsidRDefault="00BC0563">
            <w:pPr>
              <w:pStyle w:val="TableParagraph"/>
              <w:spacing w:before="98"/>
              <w:ind w:left="22"/>
              <w:rPr>
                <w:sz w:val="14"/>
              </w:rPr>
            </w:pPr>
            <w:r>
              <w:rPr>
                <w:color w:val="231F20"/>
                <w:sz w:val="14"/>
              </w:rPr>
              <w:t>Build capacity</w:t>
            </w:r>
          </w:p>
        </w:tc>
      </w:tr>
      <w:tr w:rsidR="009948F1" w14:paraId="5D8F3DC3" w14:textId="77777777">
        <w:trPr>
          <w:trHeight w:val="361"/>
        </w:trPr>
        <w:tc>
          <w:tcPr>
            <w:tcW w:w="488" w:type="dxa"/>
            <w:vMerge/>
            <w:tcBorders>
              <w:top w:val="nil"/>
              <w:left w:val="single" w:sz="8" w:space="0" w:color="231F20"/>
            </w:tcBorders>
          </w:tcPr>
          <w:p w14:paraId="2B70BCC8" w14:textId="77777777" w:rsidR="009948F1" w:rsidRDefault="009948F1">
            <w:pPr>
              <w:rPr>
                <w:sz w:val="2"/>
                <w:szCs w:val="2"/>
              </w:rPr>
            </w:pPr>
          </w:p>
        </w:tc>
        <w:tc>
          <w:tcPr>
            <w:tcW w:w="560" w:type="dxa"/>
          </w:tcPr>
          <w:p w14:paraId="1F071189" w14:textId="77777777" w:rsidR="009948F1" w:rsidRDefault="00BC0563">
            <w:pPr>
              <w:pStyle w:val="TableParagraph"/>
              <w:spacing w:before="102"/>
              <w:ind w:left="34" w:right="15"/>
              <w:jc w:val="center"/>
              <w:rPr>
                <w:sz w:val="14"/>
              </w:rPr>
            </w:pPr>
            <w:r>
              <w:rPr>
                <w:color w:val="231F20"/>
                <w:w w:val="90"/>
                <w:sz w:val="14"/>
              </w:rPr>
              <w:t>4.6.10.d</w:t>
            </w:r>
          </w:p>
        </w:tc>
        <w:tc>
          <w:tcPr>
            <w:tcW w:w="5211" w:type="dxa"/>
            <w:gridSpan w:val="2"/>
          </w:tcPr>
          <w:p w14:paraId="6D38762E" w14:textId="77777777" w:rsidR="009948F1" w:rsidRDefault="00BC0563">
            <w:pPr>
              <w:pStyle w:val="TableParagraph"/>
              <w:spacing w:before="97"/>
              <w:ind w:left="26"/>
              <w:rPr>
                <w:sz w:val="14"/>
              </w:rPr>
            </w:pPr>
            <w:r>
              <w:rPr>
                <w:color w:val="231F20"/>
                <w:sz w:val="14"/>
              </w:rPr>
              <w:t>Train Volunteer Health Workers per ward on Nutritional Care of the elderly.</w:t>
            </w:r>
          </w:p>
        </w:tc>
        <w:tc>
          <w:tcPr>
            <w:tcW w:w="1521" w:type="dxa"/>
          </w:tcPr>
          <w:p w14:paraId="2A1AB281" w14:textId="77777777" w:rsidR="009948F1" w:rsidRDefault="00BC0563">
            <w:pPr>
              <w:pStyle w:val="TableParagraph"/>
              <w:spacing w:before="102"/>
              <w:ind w:left="24"/>
              <w:rPr>
                <w:sz w:val="14"/>
              </w:rPr>
            </w:pPr>
            <w:r>
              <w:rPr>
                <w:color w:val="231F20"/>
                <w:sz w:val="14"/>
              </w:rPr>
              <w:t>Lack of funds</w:t>
            </w:r>
          </w:p>
        </w:tc>
        <w:tc>
          <w:tcPr>
            <w:tcW w:w="1602" w:type="dxa"/>
            <w:tcBorders>
              <w:right w:val="single" w:sz="8" w:space="0" w:color="231F20"/>
            </w:tcBorders>
          </w:tcPr>
          <w:p w14:paraId="5D3ED900" w14:textId="4FF48FC5" w:rsidR="009948F1" w:rsidRDefault="00BC0563">
            <w:pPr>
              <w:pStyle w:val="TableParagraph"/>
              <w:spacing w:before="12"/>
              <w:ind w:left="22"/>
              <w:rPr>
                <w:sz w:val="14"/>
              </w:rPr>
            </w:pPr>
            <w:r>
              <w:rPr>
                <w:color w:val="231F20"/>
                <w:sz w:val="14"/>
              </w:rPr>
              <w:t xml:space="preserve">Train Volunteer </w:t>
            </w:r>
            <w:r w:rsidR="000225DB">
              <w:rPr>
                <w:color w:val="231F20"/>
                <w:sz w:val="14"/>
              </w:rPr>
              <w:t>Health</w:t>
            </w:r>
          </w:p>
          <w:p w14:paraId="4F17C28B" w14:textId="77777777" w:rsidR="009948F1" w:rsidRDefault="00BC0563">
            <w:pPr>
              <w:pStyle w:val="TableParagraph"/>
              <w:spacing w:before="19" w:line="150" w:lineRule="exact"/>
              <w:ind w:left="22"/>
              <w:rPr>
                <w:sz w:val="14"/>
              </w:rPr>
            </w:pPr>
            <w:r>
              <w:rPr>
                <w:color w:val="231F20"/>
                <w:sz w:val="14"/>
              </w:rPr>
              <w:t>Workers</w:t>
            </w:r>
          </w:p>
        </w:tc>
      </w:tr>
      <w:tr w:rsidR="009948F1" w14:paraId="758340C3" w14:textId="77777777">
        <w:trPr>
          <w:trHeight w:val="361"/>
        </w:trPr>
        <w:tc>
          <w:tcPr>
            <w:tcW w:w="488" w:type="dxa"/>
            <w:vMerge/>
            <w:tcBorders>
              <w:top w:val="nil"/>
              <w:left w:val="single" w:sz="8" w:space="0" w:color="231F20"/>
            </w:tcBorders>
          </w:tcPr>
          <w:p w14:paraId="5B4157ED" w14:textId="77777777" w:rsidR="009948F1" w:rsidRDefault="009948F1">
            <w:pPr>
              <w:rPr>
                <w:sz w:val="2"/>
                <w:szCs w:val="2"/>
              </w:rPr>
            </w:pPr>
          </w:p>
        </w:tc>
        <w:tc>
          <w:tcPr>
            <w:tcW w:w="560" w:type="dxa"/>
          </w:tcPr>
          <w:p w14:paraId="74D70320" w14:textId="77777777" w:rsidR="009948F1" w:rsidRDefault="00BC0563">
            <w:pPr>
              <w:pStyle w:val="TableParagraph"/>
              <w:spacing w:before="102"/>
              <w:ind w:left="34" w:right="15"/>
              <w:jc w:val="center"/>
              <w:rPr>
                <w:sz w:val="14"/>
              </w:rPr>
            </w:pPr>
            <w:r>
              <w:rPr>
                <w:color w:val="231F20"/>
                <w:w w:val="90"/>
                <w:sz w:val="14"/>
              </w:rPr>
              <w:t>4.6.10.e</w:t>
            </w:r>
          </w:p>
        </w:tc>
        <w:tc>
          <w:tcPr>
            <w:tcW w:w="5211" w:type="dxa"/>
            <w:gridSpan w:val="2"/>
          </w:tcPr>
          <w:p w14:paraId="779FCF45" w14:textId="2A1F049C" w:rsidR="009948F1" w:rsidRDefault="00BC0563">
            <w:pPr>
              <w:pStyle w:val="TableParagraph"/>
              <w:spacing w:before="6"/>
              <w:ind w:left="26"/>
              <w:rPr>
                <w:sz w:val="14"/>
              </w:rPr>
            </w:pPr>
            <w:r>
              <w:rPr>
                <w:color w:val="231F20"/>
                <w:w w:val="95"/>
                <w:sz w:val="14"/>
              </w:rPr>
              <w:t xml:space="preserve">Conduct quarterly orientation/sensitization per </w:t>
            </w:r>
            <w:r w:rsidR="000225DB">
              <w:rPr>
                <w:color w:val="231F20"/>
                <w:w w:val="95"/>
                <w:sz w:val="14"/>
              </w:rPr>
              <w:t>senatorial</w:t>
            </w:r>
            <w:r>
              <w:rPr>
                <w:color w:val="231F20"/>
                <w:w w:val="95"/>
                <w:sz w:val="14"/>
              </w:rPr>
              <w:t xml:space="preserve"> zone for the Elderly on healthy</w:t>
            </w:r>
          </w:p>
          <w:p w14:paraId="48DF7297" w14:textId="77777777" w:rsidR="009948F1" w:rsidRDefault="00BC0563">
            <w:pPr>
              <w:pStyle w:val="TableParagraph"/>
              <w:spacing w:before="19" w:line="156" w:lineRule="exact"/>
              <w:ind w:left="26"/>
              <w:rPr>
                <w:sz w:val="14"/>
              </w:rPr>
            </w:pPr>
            <w:r>
              <w:rPr>
                <w:color w:val="231F20"/>
                <w:sz w:val="14"/>
              </w:rPr>
              <w:t>choice of foods for improved life</w:t>
            </w:r>
          </w:p>
        </w:tc>
        <w:tc>
          <w:tcPr>
            <w:tcW w:w="1521" w:type="dxa"/>
          </w:tcPr>
          <w:p w14:paraId="3F3BF3AE" w14:textId="77777777" w:rsidR="009948F1" w:rsidRDefault="00BC0563">
            <w:pPr>
              <w:pStyle w:val="TableParagraph"/>
              <w:spacing w:before="102"/>
              <w:ind w:left="24"/>
              <w:rPr>
                <w:sz w:val="14"/>
              </w:rPr>
            </w:pPr>
            <w:r>
              <w:rPr>
                <w:color w:val="231F20"/>
                <w:sz w:val="14"/>
              </w:rPr>
              <w:t>Lack of funds</w:t>
            </w:r>
          </w:p>
        </w:tc>
        <w:tc>
          <w:tcPr>
            <w:tcW w:w="1602" w:type="dxa"/>
            <w:tcBorders>
              <w:right w:val="single" w:sz="8" w:space="0" w:color="231F20"/>
            </w:tcBorders>
          </w:tcPr>
          <w:p w14:paraId="7A003878" w14:textId="77777777" w:rsidR="009948F1" w:rsidRDefault="00BC0563">
            <w:pPr>
              <w:pStyle w:val="TableParagraph"/>
              <w:spacing w:before="102"/>
              <w:ind w:left="22"/>
              <w:rPr>
                <w:sz w:val="14"/>
              </w:rPr>
            </w:pPr>
            <w:r>
              <w:rPr>
                <w:color w:val="231F20"/>
                <w:sz w:val="14"/>
              </w:rPr>
              <w:t>Conduct orientation</w:t>
            </w:r>
          </w:p>
        </w:tc>
      </w:tr>
    </w:tbl>
    <w:p w14:paraId="47586BB4" w14:textId="77777777" w:rsidR="009948F1" w:rsidRDefault="009948F1">
      <w:pPr>
        <w:rPr>
          <w:sz w:val="14"/>
        </w:rPr>
        <w:sectPr w:rsidR="009948F1">
          <w:pgSz w:w="11910" w:h="16840"/>
          <w:pgMar w:top="1260" w:right="1080" w:bottom="1340" w:left="1120" w:header="0" w:footer="1155" w:gutter="0"/>
          <w:cols w:space="720"/>
        </w:sectPr>
      </w:pPr>
    </w:p>
    <w:tbl>
      <w:tblPr>
        <w:tblW w:w="0" w:type="auto"/>
        <w:tblInd w:w="15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9"/>
        <w:gridCol w:w="405"/>
        <w:gridCol w:w="454"/>
        <w:gridCol w:w="525"/>
        <w:gridCol w:w="2508"/>
        <w:gridCol w:w="2381"/>
        <w:gridCol w:w="1425"/>
        <w:gridCol w:w="1503"/>
      </w:tblGrid>
      <w:tr w:rsidR="009948F1" w14:paraId="04EAF4D9" w14:textId="77777777">
        <w:trPr>
          <w:trHeight w:val="169"/>
        </w:trPr>
        <w:tc>
          <w:tcPr>
            <w:tcW w:w="9380" w:type="dxa"/>
            <w:gridSpan w:val="8"/>
            <w:tcBorders>
              <w:right w:val="nil"/>
            </w:tcBorders>
            <w:shd w:val="clear" w:color="auto" w:fill="A6CE39"/>
          </w:tcPr>
          <w:p w14:paraId="2628C3C4" w14:textId="77777777" w:rsidR="009948F1" w:rsidRDefault="00BC0563">
            <w:pPr>
              <w:pStyle w:val="TableParagraph"/>
              <w:spacing w:before="3" w:line="146" w:lineRule="exact"/>
              <w:ind w:left="1362" w:right="1326"/>
              <w:jc w:val="center"/>
              <w:rPr>
                <w:b/>
                <w:sz w:val="15"/>
              </w:rPr>
            </w:pPr>
            <w:bookmarkStart w:id="164" w:name="Page_138"/>
            <w:bookmarkEnd w:id="164"/>
            <w:r>
              <w:rPr>
                <w:b/>
                <w:color w:val="231F20"/>
                <w:sz w:val="15"/>
              </w:rPr>
              <w:lastRenderedPageBreak/>
              <w:t>5.Communicable Diseases (Malaria, TB, Leprosy, HIV/AIDS) And Neglected Tropical Diseases</w:t>
            </w:r>
          </w:p>
        </w:tc>
      </w:tr>
      <w:tr w:rsidR="009948F1" w14:paraId="0E991E34" w14:textId="77777777">
        <w:trPr>
          <w:trHeight w:val="169"/>
        </w:trPr>
        <w:tc>
          <w:tcPr>
            <w:tcW w:w="9380" w:type="dxa"/>
            <w:gridSpan w:val="8"/>
            <w:tcBorders>
              <w:right w:val="nil"/>
            </w:tcBorders>
            <w:shd w:val="clear" w:color="auto" w:fill="F6ADCD"/>
          </w:tcPr>
          <w:p w14:paraId="44BFD69D" w14:textId="77777777" w:rsidR="009948F1" w:rsidRDefault="00BC0563">
            <w:pPr>
              <w:pStyle w:val="TableParagraph"/>
              <w:spacing w:before="6" w:line="143" w:lineRule="exact"/>
              <w:ind w:left="471"/>
              <w:rPr>
                <w:b/>
                <w:sz w:val="13"/>
              </w:rPr>
            </w:pPr>
            <w:r>
              <w:rPr>
                <w:b/>
                <w:color w:val="231F20"/>
                <w:w w:val="95"/>
                <w:sz w:val="13"/>
              </w:rPr>
              <w:t>5. To improve prevention, case detection and coordinated response for the prevention, control and management of communicable diseases and NTDs</w:t>
            </w:r>
          </w:p>
        </w:tc>
      </w:tr>
      <w:tr w:rsidR="009948F1" w14:paraId="38824ABB" w14:textId="77777777">
        <w:trPr>
          <w:trHeight w:val="141"/>
        </w:trPr>
        <w:tc>
          <w:tcPr>
            <w:tcW w:w="179" w:type="dxa"/>
            <w:tcBorders>
              <w:bottom w:val="nil"/>
            </w:tcBorders>
          </w:tcPr>
          <w:p w14:paraId="23286A36" w14:textId="77777777" w:rsidR="009948F1" w:rsidRDefault="009948F1">
            <w:pPr>
              <w:pStyle w:val="TableParagraph"/>
              <w:rPr>
                <w:rFonts w:ascii="Times New Roman"/>
                <w:sz w:val="8"/>
              </w:rPr>
            </w:pPr>
          </w:p>
        </w:tc>
        <w:tc>
          <w:tcPr>
            <w:tcW w:w="405" w:type="dxa"/>
            <w:shd w:val="clear" w:color="auto" w:fill="FFF200"/>
          </w:tcPr>
          <w:p w14:paraId="607F71BB" w14:textId="77777777" w:rsidR="009948F1" w:rsidRDefault="00BC0563">
            <w:pPr>
              <w:pStyle w:val="TableParagraph"/>
              <w:spacing w:before="1" w:line="121" w:lineRule="exact"/>
              <w:ind w:left="187"/>
              <w:rPr>
                <w:b/>
                <w:sz w:val="13"/>
              </w:rPr>
            </w:pPr>
            <w:r>
              <w:rPr>
                <w:b/>
                <w:color w:val="231F20"/>
                <w:sz w:val="13"/>
              </w:rPr>
              <w:t>5.1</w:t>
            </w:r>
          </w:p>
        </w:tc>
        <w:tc>
          <w:tcPr>
            <w:tcW w:w="5868" w:type="dxa"/>
            <w:gridSpan w:val="4"/>
            <w:tcBorders>
              <w:right w:val="single" w:sz="8" w:space="0" w:color="231F20"/>
            </w:tcBorders>
            <w:shd w:val="clear" w:color="auto" w:fill="FFF200"/>
          </w:tcPr>
          <w:p w14:paraId="143B0427" w14:textId="77777777" w:rsidR="009948F1" w:rsidRDefault="00BC0563">
            <w:pPr>
              <w:pStyle w:val="TableParagraph"/>
              <w:spacing w:before="1" w:line="121" w:lineRule="exact"/>
              <w:ind w:left="55"/>
              <w:rPr>
                <w:b/>
                <w:sz w:val="13"/>
              </w:rPr>
            </w:pPr>
            <w:r>
              <w:rPr>
                <w:b/>
                <w:color w:val="231F20"/>
                <w:w w:val="95"/>
                <w:sz w:val="13"/>
              </w:rPr>
              <w:t>Reduce</w:t>
            </w:r>
            <w:r>
              <w:rPr>
                <w:b/>
                <w:color w:val="231F20"/>
                <w:spacing w:val="-17"/>
                <w:w w:val="95"/>
                <w:sz w:val="13"/>
              </w:rPr>
              <w:t xml:space="preserve"> </w:t>
            </w:r>
            <w:r>
              <w:rPr>
                <w:b/>
                <w:color w:val="231F20"/>
                <w:w w:val="95"/>
                <w:sz w:val="13"/>
              </w:rPr>
              <w:t>significantly</w:t>
            </w:r>
            <w:r>
              <w:rPr>
                <w:b/>
                <w:color w:val="231F20"/>
                <w:spacing w:val="-16"/>
                <w:w w:val="95"/>
                <w:sz w:val="13"/>
              </w:rPr>
              <w:t xml:space="preserve"> </w:t>
            </w:r>
            <w:r>
              <w:rPr>
                <w:b/>
                <w:color w:val="231F20"/>
                <w:w w:val="95"/>
                <w:sz w:val="13"/>
              </w:rPr>
              <w:t>morbidity</w:t>
            </w:r>
            <w:r>
              <w:rPr>
                <w:b/>
                <w:color w:val="231F20"/>
                <w:spacing w:val="-17"/>
                <w:w w:val="95"/>
                <w:sz w:val="13"/>
              </w:rPr>
              <w:t xml:space="preserve"> </w:t>
            </w:r>
            <w:r>
              <w:rPr>
                <w:b/>
                <w:color w:val="231F20"/>
                <w:w w:val="95"/>
                <w:sz w:val="13"/>
              </w:rPr>
              <w:t>and</w:t>
            </w:r>
            <w:r>
              <w:rPr>
                <w:b/>
                <w:color w:val="231F20"/>
                <w:spacing w:val="-16"/>
                <w:w w:val="95"/>
                <w:sz w:val="13"/>
              </w:rPr>
              <w:t xml:space="preserve"> </w:t>
            </w:r>
            <w:r>
              <w:rPr>
                <w:b/>
                <w:color w:val="231F20"/>
                <w:w w:val="95"/>
                <w:sz w:val="13"/>
              </w:rPr>
              <w:t>mortality</w:t>
            </w:r>
            <w:r>
              <w:rPr>
                <w:b/>
                <w:color w:val="231F20"/>
                <w:spacing w:val="-16"/>
                <w:w w:val="95"/>
                <w:sz w:val="13"/>
              </w:rPr>
              <w:t xml:space="preserve"> </w:t>
            </w:r>
            <w:r>
              <w:rPr>
                <w:b/>
                <w:color w:val="231F20"/>
                <w:w w:val="95"/>
                <w:sz w:val="13"/>
              </w:rPr>
              <w:t>due</w:t>
            </w:r>
            <w:r>
              <w:rPr>
                <w:b/>
                <w:color w:val="231F20"/>
                <w:spacing w:val="-17"/>
                <w:w w:val="95"/>
                <w:sz w:val="13"/>
              </w:rPr>
              <w:t xml:space="preserve"> </w:t>
            </w:r>
            <w:r>
              <w:rPr>
                <w:b/>
                <w:color w:val="231F20"/>
                <w:w w:val="95"/>
                <w:sz w:val="13"/>
              </w:rPr>
              <w:t>to</w:t>
            </w:r>
            <w:r>
              <w:rPr>
                <w:b/>
                <w:color w:val="231F20"/>
                <w:spacing w:val="2"/>
                <w:w w:val="95"/>
                <w:sz w:val="13"/>
              </w:rPr>
              <w:t xml:space="preserve"> </w:t>
            </w:r>
            <w:r>
              <w:rPr>
                <w:b/>
                <w:color w:val="231F20"/>
                <w:w w:val="95"/>
                <w:sz w:val="13"/>
              </w:rPr>
              <w:t>Malaria</w:t>
            </w:r>
            <w:r>
              <w:rPr>
                <w:b/>
                <w:color w:val="231F20"/>
                <w:spacing w:val="-16"/>
                <w:w w:val="95"/>
                <w:sz w:val="13"/>
              </w:rPr>
              <w:t xml:space="preserve"> </w:t>
            </w:r>
            <w:r>
              <w:rPr>
                <w:b/>
                <w:color w:val="231F20"/>
                <w:w w:val="95"/>
                <w:sz w:val="13"/>
              </w:rPr>
              <w:t>and</w:t>
            </w:r>
            <w:r>
              <w:rPr>
                <w:b/>
                <w:color w:val="231F20"/>
                <w:spacing w:val="-17"/>
                <w:w w:val="95"/>
                <w:sz w:val="13"/>
              </w:rPr>
              <w:t xml:space="preserve"> </w:t>
            </w:r>
            <w:r>
              <w:rPr>
                <w:b/>
                <w:color w:val="231F20"/>
                <w:w w:val="95"/>
                <w:sz w:val="13"/>
              </w:rPr>
              <w:t>move</w:t>
            </w:r>
            <w:r>
              <w:rPr>
                <w:b/>
                <w:color w:val="231F20"/>
                <w:spacing w:val="-16"/>
                <w:w w:val="95"/>
                <w:sz w:val="13"/>
              </w:rPr>
              <w:t xml:space="preserve"> </w:t>
            </w:r>
            <w:r>
              <w:rPr>
                <w:b/>
                <w:color w:val="231F20"/>
                <w:w w:val="95"/>
                <w:sz w:val="13"/>
              </w:rPr>
              <w:t>towards</w:t>
            </w:r>
            <w:r>
              <w:rPr>
                <w:b/>
                <w:color w:val="231F20"/>
                <w:spacing w:val="2"/>
                <w:w w:val="95"/>
                <w:sz w:val="13"/>
              </w:rPr>
              <w:t xml:space="preserve"> </w:t>
            </w:r>
            <w:r>
              <w:rPr>
                <w:b/>
                <w:color w:val="231F20"/>
                <w:w w:val="95"/>
                <w:sz w:val="13"/>
              </w:rPr>
              <w:t>pre-elimination</w:t>
            </w:r>
            <w:r>
              <w:rPr>
                <w:b/>
                <w:color w:val="231F20"/>
                <w:spacing w:val="-16"/>
                <w:w w:val="95"/>
                <w:sz w:val="13"/>
              </w:rPr>
              <w:t xml:space="preserve"> </w:t>
            </w:r>
            <w:r>
              <w:rPr>
                <w:b/>
                <w:color w:val="231F20"/>
                <w:w w:val="95"/>
                <w:sz w:val="13"/>
              </w:rPr>
              <w:t>levels</w:t>
            </w:r>
          </w:p>
        </w:tc>
        <w:tc>
          <w:tcPr>
            <w:tcW w:w="1425" w:type="dxa"/>
            <w:tcBorders>
              <w:left w:val="single" w:sz="8" w:space="0" w:color="231F20"/>
              <w:right w:val="single" w:sz="8" w:space="0" w:color="231F20"/>
            </w:tcBorders>
            <w:shd w:val="clear" w:color="auto" w:fill="FFF200"/>
          </w:tcPr>
          <w:p w14:paraId="371B1141" w14:textId="77777777" w:rsidR="009948F1" w:rsidRDefault="009948F1">
            <w:pPr>
              <w:pStyle w:val="TableParagraph"/>
              <w:rPr>
                <w:rFonts w:ascii="Times New Roman"/>
                <w:sz w:val="8"/>
              </w:rPr>
            </w:pPr>
          </w:p>
        </w:tc>
        <w:tc>
          <w:tcPr>
            <w:tcW w:w="1503" w:type="dxa"/>
            <w:tcBorders>
              <w:left w:val="single" w:sz="8" w:space="0" w:color="231F20"/>
            </w:tcBorders>
            <w:shd w:val="clear" w:color="auto" w:fill="FFF200"/>
          </w:tcPr>
          <w:p w14:paraId="2471B039" w14:textId="77777777" w:rsidR="009948F1" w:rsidRDefault="009948F1">
            <w:pPr>
              <w:pStyle w:val="TableParagraph"/>
              <w:rPr>
                <w:rFonts w:ascii="Times New Roman"/>
                <w:sz w:val="8"/>
              </w:rPr>
            </w:pPr>
          </w:p>
        </w:tc>
      </w:tr>
      <w:tr w:rsidR="009948F1" w14:paraId="7596D888" w14:textId="77777777">
        <w:trPr>
          <w:trHeight w:val="1826"/>
        </w:trPr>
        <w:tc>
          <w:tcPr>
            <w:tcW w:w="584" w:type="dxa"/>
            <w:gridSpan w:val="2"/>
            <w:tcBorders>
              <w:top w:val="nil"/>
              <w:bottom w:val="nil"/>
            </w:tcBorders>
          </w:tcPr>
          <w:p w14:paraId="7979C178" w14:textId="77777777" w:rsidR="009948F1" w:rsidRDefault="009948F1">
            <w:pPr>
              <w:pStyle w:val="TableParagraph"/>
              <w:rPr>
                <w:rFonts w:ascii="Times New Roman"/>
                <w:sz w:val="10"/>
              </w:rPr>
            </w:pPr>
          </w:p>
        </w:tc>
        <w:tc>
          <w:tcPr>
            <w:tcW w:w="454" w:type="dxa"/>
            <w:shd w:val="clear" w:color="auto" w:fill="CCE7D3"/>
          </w:tcPr>
          <w:p w14:paraId="4F001B1E" w14:textId="77777777" w:rsidR="009948F1" w:rsidRDefault="009948F1">
            <w:pPr>
              <w:pStyle w:val="TableParagraph"/>
              <w:rPr>
                <w:sz w:val="12"/>
              </w:rPr>
            </w:pPr>
          </w:p>
          <w:p w14:paraId="521D37EC" w14:textId="77777777" w:rsidR="009948F1" w:rsidRDefault="009948F1">
            <w:pPr>
              <w:pStyle w:val="TableParagraph"/>
              <w:rPr>
                <w:sz w:val="12"/>
              </w:rPr>
            </w:pPr>
          </w:p>
          <w:p w14:paraId="45F73366" w14:textId="77777777" w:rsidR="009948F1" w:rsidRDefault="009948F1">
            <w:pPr>
              <w:pStyle w:val="TableParagraph"/>
              <w:rPr>
                <w:sz w:val="12"/>
              </w:rPr>
            </w:pPr>
          </w:p>
          <w:p w14:paraId="377BA1A7" w14:textId="77777777" w:rsidR="009948F1" w:rsidRDefault="009948F1">
            <w:pPr>
              <w:pStyle w:val="TableParagraph"/>
              <w:rPr>
                <w:sz w:val="12"/>
              </w:rPr>
            </w:pPr>
          </w:p>
          <w:p w14:paraId="1CF55617" w14:textId="77777777" w:rsidR="009948F1" w:rsidRDefault="009948F1">
            <w:pPr>
              <w:pStyle w:val="TableParagraph"/>
              <w:rPr>
                <w:sz w:val="12"/>
              </w:rPr>
            </w:pPr>
          </w:p>
          <w:p w14:paraId="0AF482B5" w14:textId="77777777" w:rsidR="009948F1" w:rsidRDefault="009948F1">
            <w:pPr>
              <w:pStyle w:val="TableParagraph"/>
              <w:spacing w:before="10"/>
              <w:rPr>
                <w:sz w:val="12"/>
              </w:rPr>
            </w:pPr>
          </w:p>
          <w:p w14:paraId="6146FEC4" w14:textId="77777777" w:rsidR="009948F1" w:rsidRDefault="00BC0563">
            <w:pPr>
              <w:pStyle w:val="TableParagraph"/>
              <w:ind w:left="55"/>
              <w:rPr>
                <w:sz w:val="13"/>
              </w:rPr>
            </w:pPr>
            <w:r>
              <w:rPr>
                <w:color w:val="231F20"/>
                <w:sz w:val="13"/>
              </w:rPr>
              <w:t>5.1.1</w:t>
            </w:r>
          </w:p>
        </w:tc>
        <w:tc>
          <w:tcPr>
            <w:tcW w:w="3033" w:type="dxa"/>
            <w:gridSpan w:val="2"/>
            <w:shd w:val="clear" w:color="auto" w:fill="CCE7D3"/>
          </w:tcPr>
          <w:p w14:paraId="7BA89B10" w14:textId="77777777" w:rsidR="009948F1" w:rsidRDefault="009948F1">
            <w:pPr>
              <w:pStyle w:val="TableParagraph"/>
              <w:rPr>
                <w:sz w:val="12"/>
              </w:rPr>
            </w:pPr>
          </w:p>
          <w:p w14:paraId="0E51AA4E" w14:textId="77777777" w:rsidR="009948F1" w:rsidRDefault="009948F1">
            <w:pPr>
              <w:pStyle w:val="TableParagraph"/>
              <w:rPr>
                <w:sz w:val="12"/>
              </w:rPr>
            </w:pPr>
          </w:p>
          <w:p w14:paraId="6DFF1E9E" w14:textId="77777777" w:rsidR="009948F1" w:rsidRDefault="009948F1">
            <w:pPr>
              <w:pStyle w:val="TableParagraph"/>
              <w:rPr>
                <w:sz w:val="12"/>
              </w:rPr>
            </w:pPr>
          </w:p>
          <w:p w14:paraId="6F467AA6" w14:textId="77777777" w:rsidR="009948F1" w:rsidRDefault="009948F1">
            <w:pPr>
              <w:pStyle w:val="TableParagraph"/>
              <w:rPr>
                <w:sz w:val="12"/>
              </w:rPr>
            </w:pPr>
          </w:p>
          <w:p w14:paraId="7DDC17D4" w14:textId="77777777" w:rsidR="009948F1" w:rsidRDefault="009948F1">
            <w:pPr>
              <w:pStyle w:val="TableParagraph"/>
              <w:rPr>
                <w:sz w:val="12"/>
              </w:rPr>
            </w:pPr>
          </w:p>
          <w:p w14:paraId="7F8B2503" w14:textId="77777777" w:rsidR="009948F1" w:rsidRDefault="009948F1">
            <w:pPr>
              <w:pStyle w:val="TableParagraph"/>
              <w:spacing w:before="5"/>
              <w:rPr>
                <w:sz w:val="12"/>
              </w:rPr>
            </w:pPr>
          </w:p>
          <w:p w14:paraId="1817CDD1" w14:textId="77777777" w:rsidR="009948F1" w:rsidRDefault="00BC0563">
            <w:pPr>
              <w:pStyle w:val="TableParagraph"/>
              <w:ind w:left="56"/>
              <w:rPr>
                <w:sz w:val="13"/>
              </w:rPr>
            </w:pPr>
            <w:r>
              <w:rPr>
                <w:color w:val="231F20"/>
                <w:w w:val="95"/>
                <w:sz w:val="13"/>
              </w:rPr>
              <w:t>Expand</w:t>
            </w:r>
            <w:r>
              <w:rPr>
                <w:color w:val="231F20"/>
                <w:spacing w:val="-20"/>
                <w:w w:val="95"/>
                <w:sz w:val="13"/>
              </w:rPr>
              <w:t xml:space="preserve"> </w:t>
            </w:r>
            <w:r>
              <w:rPr>
                <w:color w:val="231F20"/>
                <w:w w:val="95"/>
                <w:sz w:val="13"/>
              </w:rPr>
              <w:t>access</w:t>
            </w:r>
            <w:r>
              <w:rPr>
                <w:color w:val="231F20"/>
                <w:spacing w:val="-20"/>
                <w:w w:val="95"/>
                <w:sz w:val="13"/>
              </w:rPr>
              <w:t xml:space="preserve"> </w:t>
            </w:r>
            <w:r>
              <w:rPr>
                <w:color w:val="231F20"/>
                <w:w w:val="95"/>
                <w:sz w:val="13"/>
              </w:rPr>
              <w:t>to</w:t>
            </w:r>
            <w:r>
              <w:rPr>
                <w:color w:val="231F20"/>
                <w:spacing w:val="-20"/>
                <w:w w:val="95"/>
                <w:sz w:val="13"/>
              </w:rPr>
              <w:t xml:space="preserve"> </w:t>
            </w:r>
            <w:r>
              <w:rPr>
                <w:color w:val="231F20"/>
                <w:w w:val="95"/>
                <w:sz w:val="13"/>
              </w:rPr>
              <w:t>integrated</w:t>
            </w:r>
            <w:r>
              <w:rPr>
                <w:color w:val="231F20"/>
                <w:spacing w:val="-20"/>
                <w:w w:val="95"/>
                <w:sz w:val="13"/>
              </w:rPr>
              <w:t xml:space="preserve"> </w:t>
            </w:r>
            <w:r>
              <w:rPr>
                <w:color w:val="231F20"/>
                <w:w w:val="95"/>
                <w:sz w:val="13"/>
              </w:rPr>
              <w:t>vector</w:t>
            </w:r>
            <w:r>
              <w:rPr>
                <w:color w:val="231F20"/>
                <w:spacing w:val="-20"/>
                <w:w w:val="95"/>
                <w:sz w:val="13"/>
              </w:rPr>
              <w:t xml:space="preserve"> </w:t>
            </w:r>
            <w:r>
              <w:rPr>
                <w:color w:val="231F20"/>
                <w:w w:val="95"/>
                <w:sz w:val="13"/>
              </w:rPr>
              <w:t>control</w:t>
            </w:r>
            <w:r>
              <w:rPr>
                <w:color w:val="231F20"/>
                <w:spacing w:val="-19"/>
                <w:w w:val="95"/>
                <w:sz w:val="13"/>
              </w:rPr>
              <w:t xml:space="preserve"> </w:t>
            </w:r>
            <w:r>
              <w:rPr>
                <w:color w:val="231F20"/>
                <w:w w:val="95"/>
                <w:sz w:val="13"/>
              </w:rPr>
              <w:t>interventions</w:t>
            </w:r>
          </w:p>
        </w:tc>
        <w:tc>
          <w:tcPr>
            <w:tcW w:w="2381" w:type="dxa"/>
            <w:shd w:val="clear" w:color="auto" w:fill="CCE7D3"/>
          </w:tcPr>
          <w:p w14:paraId="643F89CA" w14:textId="77777777" w:rsidR="009948F1" w:rsidRDefault="009948F1">
            <w:pPr>
              <w:pStyle w:val="TableParagraph"/>
              <w:spacing w:before="5"/>
              <w:rPr>
                <w:sz w:val="10"/>
              </w:rPr>
            </w:pPr>
          </w:p>
          <w:p w14:paraId="7495F36E" w14:textId="77777777" w:rsidR="009948F1" w:rsidRDefault="00BC0563">
            <w:pPr>
              <w:pStyle w:val="TableParagraph"/>
              <w:numPr>
                <w:ilvl w:val="0"/>
                <w:numId w:val="167"/>
              </w:numPr>
              <w:tabs>
                <w:tab w:val="left" w:pos="99"/>
              </w:tabs>
              <w:spacing w:line="256" w:lineRule="auto"/>
              <w:ind w:right="289" w:firstLine="0"/>
              <w:rPr>
                <w:sz w:val="13"/>
              </w:rPr>
            </w:pPr>
            <w:r>
              <w:rPr>
                <w:color w:val="231F20"/>
                <w:w w:val="95"/>
                <w:sz w:val="13"/>
              </w:rPr>
              <w:t>LLIN/L,</w:t>
            </w:r>
            <w:r>
              <w:rPr>
                <w:color w:val="231F20"/>
                <w:spacing w:val="-13"/>
                <w:w w:val="95"/>
                <w:sz w:val="13"/>
              </w:rPr>
              <w:t xml:space="preserve"> </w:t>
            </w:r>
            <w:r>
              <w:rPr>
                <w:color w:val="231F20"/>
                <w:w w:val="95"/>
                <w:sz w:val="13"/>
              </w:rPr>
              <w:t>Larvicides</w:t>
            </w:r>
            <w:r>
              <w:rPr>
                <w:color w:val="231F20"/>
                <w:spacing w:val="-12"/>
                <w:w w:val="95"/>
                <w:sz w:val="13"/>
              </w:rPr>
              <w:t xml:space="preserve"> </w:t>
            </w:r>
            <w:r>
              <w:rPr>
                <w:color w:val="231F20"/>
                <w:w w:val="95"/>
                <w:sz w:val="13"/>
              </w:rPr>
              <w:t>&amp;</w:t>
            </w:r>
            <w:r>
              <w:rPr>
                <w:color w:val="231F20"/>
                <w:spacing w:val="-12"/>
                <w:w w:val="95"/>
                <w:sz w:val="13"/>
              </w:rPr>
              <w:t xml:space="preserve"> </w:t>
            </w:r>
            <w:r>
              <w:rPr>
                <w:color w:val="231F20"/>
                <w:w w:val="95"/>
                <w:sz w:val="13"/>
              </w:rPr>
              <w:t>IRS</w:t>
            </w:r>
            <w:r>
              <w:rPr>
                <w:color w:val="231F20"/>
                <w:spacing w:val="11"/>
                <w:w w:val="95"/>
                <w:sz w:val="13"/>
              </w:rPr>
              <w:t xml:space="preserve"> </w:t>
            </w:r>
            <w:r>
              <w:rPr>
                <w:color w:val="231F20"/>
                <w:w w:val="95"/>
                <w:sz w:val="13"/>
              </w:rPr>
              <w:t>procured</w:t>
            </w:r>
            <w:r>
              <w:rPr>
                <w:color w:val="231F20"/>
                <w:spacing w:val="-12"/>
                <w:w w:val="95"/>
                <w:sz w:val="13"/>
              </w:rPr>
              <w:t xml:space="preserve"> </w:t>
            </w:r>
            <w:r>
              <w:rPr>
                <w:color w:val="231F20"/>
                <w:w w:val="95"/>
                <w:sz w:val="13"/>
              </w:rPr>
              <w:t>&amp; distributed</w:t>
            </w:r>
            <w:r>
              <w:rPr>
                <w:color w:val="231F20"/>
                <w:spacing w:val="-18"/>
                <w:w w:val="95"/>
                <w:sz w:val="13"/>
              </w:rPr>
              <w:t xml:space="preserve"> </w:t>
            </w:r>
            <w:r>
              <w:rPr>
                <w:color w:val="231F20"/>
                <w:w w:val="95"/>
                <w:sz w:val="13"/>
              </w:rPr>
              <w:t>to</w:t>
            </w:r>
            <w:r>
              <w:rPr>
                <w:color w:val="231F20"/>
                <w:spacing w:val="-18"/>
                <w:w w:val="95"/>
                <w:sz w:val="13"/>
              </w:rPr>
              <w:t xml:space="preserve"> </w:t>
            </w:r>
            <w:r>
              <w:rPr>
                <w:color w:val="231F20"/>
                <w:w w:val="95"/>
                <w:sz w:val="13"/>
              </w:rPr>
              <w:t>primary</w:t>
            </w:r>
            <w:r>
              <w:rPr>
                <w:color w:val="231F20"/>
                <w:spacing w:val="-17"/>
                <w:w w:val="95"/>
                <w:sz w:val="13"/>
              </w:rPr>
              <w:t xml:space="preserve"> </w:t>
            </w:r>
            <w:r>
              <w:rPr>
                <w:color w:val="231F20"/>
                <w:w w:val="95"/>
                <w:sz w:val="13"/>
              </w:rPr>
              <w:t>&amp;</w:t>
            </w:r>
            <w:r>
              <w:rPr>
                <w:color w:val="231F20"/>
                <w:spacing w:val="-18"/>
                <w:w w:val="95"/>
                <w:sz w:val="13"/>
              </w:rPr>
              <w:t xml:space="preserve"> </w:t>
            </w:r>
            <w:r>
              <w:rPr>
                <w:color w:val="231F20"/>
                <w:w w:val="95"/>
                <w:sz w:val="13"/>
              </w:rPr>
              <w:t>secondary</w:t>
            </w:r>
            <w:r>
              <w:rPr>
                <w:color w:val="231F20"/>
                <w:spacing w:val="-17"/>
                <w:w w:val="95"/>
                <w:sz w:val="13"/>
              </w:rPr>
              <w:t xml:space="preserve"> </w:t>
            </w:r>
            <w:r>
              <w:rPr>
                <w:color w:val="231F20"/>
                <w:w w:val="95"/>
                <w:sz w:val="13"/>
              </w:rPr>
              <w:t>HFs</w:t>
            </w:r>
          </w:p>
          <w:p w14:paraId="37A8B620" w14:textId="77777777" w:rsidR="009948F1" w:rsidRDefault="00BC0563">
            <w:pPr>
              <w:pStyle w:val="TableParagraph"/>
              <w:numPr>
                <w:ilvl w:val="0"/>
                <w:numId w:val="167"/>
              </w:numPr>
              <w:tabs>
                <w:tab w:val="left" w:pos="99"/>
              </w:tabs>
              <w:spacing w:line="256" w:lineRule="auto"/>
              <w:ind w:right="144" w:firstLine="0"/>
              <w:rPr>
                <w:sz w:val="13"/>
              </w:rPr>
            </w:pPr>
            <w:r>
              <w:rPr>
                <w:color w:val="231F20"/>
                <w:w w:val="95"/>
                <w:sz w:val="13"/>
              </w:rPr>
              <w:t>Indoor</w:t>
            </w:r>
            <w:r>
              <w:rPr>
                <w:color w:val="231F20"/>
                <w:spacing w:val="-14"/>
                <w:w w:val="95"/>
                <w:sz w:val="13"/>
              </w:rPr>
              <w:t xml:space="preserve"> </w:t>
            </w:r>
            <w:r>
              <w:rPr>
                <w:color w:val="231F20"/>
                <w:w w:val="95"/>
                <w:sz w:val="13"/>
              </w:rPr>
              <w:t>residual</w:t>
            </w:r>
            <w:r>
              <w:rPr>
                <w:color w:val="231F20"/>
                <w:spacing w:val="-14"/>
                <w:w w:val="95"/>
                <w:sz w:val="13"/>
              </w:rPr>
              <w:t xml:space="preserve"> </w:t>
            </w:r>
            <w:r>
              <w:rPr>
                <w:color w:val="231F20"/>
                <w:w w:val="95"/>
                <w:sz w:val="13"/>
              </w:rPr>
              <w:t>spray</w:t>
            </w:r>
            <w:r>
              <w:rPr>
                <w:color w:val="231F20"/>
                <w:spacing w:val="-13"/>
                <w:w w:val="95"/>
                <w:sz w:val="13"/>
              </w:rPr>
              <w:t xml:space="preserve"> </w:t>
            </w:r>
            <w:r>
              <w:rPr>
                <w:color w:val="231F20"/>
                <w:w w:val="95"/>
                <w:sz w:val="13"/>
              </w:rPr>
              <w:t>conducted</w:t>
            </w:r>
            <w:r>
              <w:rPr>
                <w:color w:val="231F20"/>
                <w:spacing w:val="-14"/>
                <w:w w:val="95"/>
                <w:sz w:val="13"/>
              </w:rPr>
              <w:t xml:space="preserve"> </w:t>
            </w:r>
            <w:r>
              <w:rPr>
                <w:color w:val="231F20"/>
                <w:w w:val="95"/>
                <w:sz w:val="13"/>
              </w:rPr>
              <w:t>in</w:t>
            </w:r>
            <w:r>
              <w:rPr>
                <w:color w:val="231F20"/>
                <w:spacing w:val="-13"/>
                <w:w w:val="95"/>
                <w:sz w:val="13"/>
              </w:rPr>
              <w:t xml:space="preserve"> </w:t>
            </w:r>
            <w:r>
              <w:rPr>
                <w:color w:val="231F20"/>
                <w:w w:val="95"/>
                <w:sz w:val="13"/>
              </w:rPr>
              <w:t>Port Harcourt</w:t>
            </w:r>
            <w:r>
              <w:rPr>
                <w:color w:val="231F20"/>
                <w:spacing w:val="-18"/>
                <w:w w:val="95"/>
                <w:sz w:val="13"/>
              </w:rPr>
              <w:t xml:space="preserve"> </w:t>
            </w:r>
            <w:r>
              <w:rPr>
                <w:color w:val="231F20"/>
                <w:w w:val="95"/>
                <w:sz w:val="13"/>
              </w:rPr>
              <w:t>watersides,</w:t>
            </w:r>
            <w:r>
              <w:rPr>
                <w:color w:val="231F20"/>
                <w:spacing w:val="-17"/>
                <w:w w:val="95"/>
                <w:sz w:val="13"/>
              </w:rPr>
              <w:t xml:space="preserve"> </w:t>
            </w:r>
            <w:r>
              <w:rPr>
                <w:color w:val="231F20"/>
                <w:w w:val="95"/>
                <w:sz w:val="13"/>
              </w:rPr>
              <w:t>high</w:t>
            </w:r>
            <w:r>
              <w:rPr>
                <w:color w:val="231F20"/>
                <w:spacing w:val="-18"/>
                <w:w w:val="95"/>
                <w:sz w:val="13"/>
              </w:rPr>
              <w:t xml:space="preserve"> </w:t>
            </w:r>
            <w:r>
              <w:rPr>
                <w:color w:val="231F20"/>
                <w:w w:val="95"/>
                <w:sz w:val="13"/>
              </w:rPr>
              <w:t>density</w:t>
            </w:r>
            <w:r>
              <w:rPr>
                <w:color w:val="231F20"/>
                <w:spacing w:val="-17"/>
                <w:w w:val="95"/>
                <w:sz w:val="13"/>
              </w:rPr>
              <w:t xml:space="preserve"> </w:t>
            </w:r>
            <w:r>
              <w:rPr>
                <w:color w:val="231F20"/>
                <w:w w:val="95"/>
                <w:sz w:val="13"/>
              </w:rPr>
              <w:t>areas</w:t>
            </w:r>
            <w:r>
              <w:rPr>
                <w:color w:val="231F20"/>
                <w:spacing w:val="-18"/>
                <w:w w:val="95"/>
                <w:sz w:val="13"/>
              </w:rPr>
              <w:t xml:space="preserve"> </w:t>
            </w:r>
            <w:r>
              <w:rPr>
                <w:color w:val="231F20"/>
                <w:spacing w:val="-11"/>
                <w:w w:val="95"/>
                <w:sz w:val="13"/>
              </w:rPr>
              <w:t xml:space="preserve">&amp; </w:t>
            </w:r>
            <w:r>
              <w:rPr>
                <w:color w:val="231F20"/>
                <w:sz w:val="13"/>
              </w:rPr>
              <w:t>23 LGA</w:t>
            </w:r>
            <w:r>
              <w:rPr>
                <w:color w:val="231F20"/>
                <w:spacing w:val="-17"/>
                <w:sz w:val="13"/>
              </w:rPr>
              <w:t xml:space="preserve"> </w:t>
            </w:r>
            <w:r>
              <w:rPr>
                <w:color w:val="231F20"/>
                <w:sz w:val="13"/>
              </w:rPr>
              <w:t>HQs</w:t>
            </w:r>
          </w:p>
          <w:p w14:paraId="5E5FCA81" w14:textId="77777777" w:rsidR="009948F1" w:rsidRDefault="00BC0563">
            <w:pPr>
              <w:pStyle w:val="TableParagraph"/>
              <w:numPr>
                <w:ilvl w:val="0"/>
                <w:numId w:val="167"/>
              </w:numPr>
              <w:tabs>
                <w:tab w:val="left" w:pos="132"/>
              </w:tabs>
              <w:spacing w:line="256" w:lineRule="auto"/>
              <w:ind w:right="170" w:firstLine="32"/>
              <w:rPr>
                <w:sz w:val="13"/>
              </w:rPr>
            </w:pPr>
            <w:r>
              <w:rPr>
                <w:color w:val="231F20"/>
                <w:w w:val="95"/>
                <w:sz w:val="13"/>
              </w:rPr>
              <w:t>Jingles in electronic media on malaria prevention</w:t>
            </w:r>
            <w:r>
              <w:rPr>
                <w:color w:val="231F20"/>
                <w:spacing w:val="-19"/>
                <w:w w:val="95"/>
                <w:sz w:val="13"/>
              </w:rPr>
              <w:t xml:space="preserve"> </w:t>
            </w:r>
            <w:r>
              <w:rPr>
                <w:color w:val="231F20"/>
                <w:w w:val="95"/>
                <w:sz w:val="13"/>
              </w:rPr>
              <w:t>and</w:t>
            </w:r>
            <w:r>
              <w:rPr>
                <w:color w:val="231F20"/>
                <w:spacing w:val="-18"/>
                <w:w w:val="95"/>
                <w:sz w:val="13"/>
              </w:rPr>
              <w:t xml:space="preserve"> </w:t>
            </w:r>
            <w:r>
              <w:rPr>
                <w:color w:val="231F20"/>
                <w:w w:val="95"/>
                <w:sz w:val="13"/>
              </w:rPr>
              <w:t>vector</w:t>
            </w:r>
            <w:r>
              <w:rPr>
                <w:color w:val="231F20"/>
                <w:spacing w:val="-19"/>
                <w:w w:val="95"/>
                <w:sz w:val="13"/>
              </w:rPr>
              <w:t xml:space="preserve"> </w:t>
            </w:r>
            <w:r>
              <w:rPr>
                <w:color w:val="231F20"/>
                <w:w w:val="95"/>
                <w:sz w:val="13"/>
              </w:rPr>
              <w:t>control</w:t>
            </w:r>
            <w:r>
              <w:rPr>
                <w:color w:val="231F20"/>
                <w:spacing w:val="-18"/>
                <w:w w:val="95"/>
                <w:sz w:val="13"/>
              </w:rPr>
              <w:t xml:space="preserve"> </w:t>
            </w:r>
            <w:r>
              <w:rPr>
                <w:color w:val="231F20"/>
                <w:w w:val="95"/>
                <w:sz w:val="13"/>
              </w:rPr>
              <w:t>produced</w:t>
            </w:r>
            <w:r>
              <w:rPr>
                <w:color w:val="231F20"/>
                <w:spacing w:val="-18"/>
                <w:w w:val="95"/>
                <w:sz w:val="13"/>
              </w:rPr>
              <w:t xml:space="preserve"> </w:t>
            </w:r>
            <w:r>
              <w:rPr>
                <w:color w:val="231F20"/>
                <w:w w:val="95"/>
                <w:sz w:val="13"/>
              </w:rPr>
              <w:t xml:space="preserve">&amp; </w:t>
            </w:r>
            <w:r>
              <w:rPr>
                <w:color w:val="231F20"/>
                <w:sz w:val="13"/>
              </w:rPr>
              <w:t>aired</w:t>
            </w:r>
          </w:p>
          <w:p w14:paraId="1BE8B1C0" w14:textId="77777777" w:rsidR="009948F1" w:rsidRDefault="00BC0563">
            <w:pPr>
              <w:pStyle w:val="TableParagraph"/>
              <w:numPr>
                <w:ilvl w:val="0"/>
                <w:numId w:val="167"/>
              </w:numPr>
              <w:tabs>
                <w:tab w:val="left" w:pos="99"/>
              </w:tabs>
              <w:spacing w:line="256" w:lineRule="auto"/>
              <w:ind w:right="307" w:firstLine="0"/>
              <w:rPr>
                <w:sz w:val="13"/>
              </w:rPr>
            </w:pPr>
            <w:r>
              <w:rPr>
                <w:color w:val="231F20"/>
                <w:w w:val="95"/>
                <w:sz w:val="13"/>
              </w:rPr>
              <w:t>Bill</w:t>
            </w:r>
            <w:r>
              <w:rPr>
                <w:color w:val="231F20"/>
                <w:spacing w:val="-16"/>
                <w:w w:val="95"/>
                <w:sz w:val="13"/>
              </w:rPr>
              <w:t xml:space="preserve"> </w:t>
            </w:r>
            <w:r>
              <w:rPr>
                <w:color w:val="231F20"/>
                <w:w w:val="95"/>
                <w:sz w:val="13"/>
              </w:rPr>
              <w:t>boards</w:t>
            </w:r>
            <w:r>
              <w:rPr>
                <w:color w:val="231F20"/>
                <w:spacing w:val="-15"/>
                <w:w w:val="95"/>
                <w:sz w:val="13"/>
              </w:rPr>
              <w:t xml:space="preserve"> </w:t>
            </w:r>
            <w:r>
              <w:rPr>
                <w:color w:val="231F20"/>
                <w:w w:val="95"/>
                <w:sz w:val="13"/>
              </w:rPr>
              <w:t>on</w:t>
            </w:r>
            <w:r>
              <w:rPr>
                <w:color w:val="231F20"/>
                <w:spacing w:val="-16"/>
                <w:w w:val="95"/>
                <w:sz w:val="13"/>
              </w:rPr>
              <w:t xml:space="preserve"> </w:t>
            </w:r>
            <w:r>
              <w:rPr>
                <w:color w:val="231F20"/>
                <w:w w:val="95"/>
                <w:sz w:val="13"/>
              </w:rPr>
              <w:t>Malaria</w:t>
            </w:r>
            <w:r>
              <w:rPr>
                <w:color w:val="231F20"/>
                <w:spacing w:val="-15"/>
                <w:w w:val="95"/>
                <w:sz w:val="13"/>
              </w:rPr>
              <w:t xml:space="preserve"> </w:t>
            </w:r>
            <w:r>
              <w:rPr>
                <w:color w:val="231F20"/>
                <w:w w:val="95"/>
                <w:sz w:val="13"/>
              </w:rPr>
              <w:t>prevention</w:t>
            </w:r>
            <w:r>
              <w:rPr>
                <w:color w:val="231F20"/>
                <w:spacing w:val="-16"/>
                <w:w w:val="95"/>
                <w:sz w:val="13"/>
              </w:rPr>
              <w:t xml:space="preserve"> </w:t>
            </w:r>
            <w:r>
              <w:rPr>
                <w:color w:val="231F20"/>
                <w:spacing w:val="-4"/>
                <w:w w:val="95"/>
                <w:sz w:val="13"/>
              </w:rPr>
              <w:t xml:space="preserve">and </w:t>
            </w:r>
            <w:r>
              <w:rPr>
                <w:color w:val="231F20"/>
                <w:sz w:val="13"/>
              </w:rPr>
              <w:t>vector control</w:t>
            </w:r>
            <w:r>
              <w:rPr>
                <w:color w:val="231F20"/>
                <w:spacing w:val="-17"/>
                <w:sz w:val="13"/>
              </w:rPr>
              <w:t xml:space="preserve"> </w:t>
            </w:r>
            <w:r>
              <w:rPr>
                <w:color w:val="231F20"/>
                <w:sz w:val="13"/>
              </w:rPr>
              <w:t>mounted</w:t>
            </w:r>
          </w:p>
        </w:tc>
        <w:tc>
          <w:tcPr>
            <w:tcW w:w="1425" w:type="dxa"/>
            <w:shd w:val="clear" w:color="auto" w:fill="CCE7D3"/>
          </w:tcPr>
          <w:p w14:paraId="48F7C208" w14:textId="77777777" w:rsidR="009948F1" w:rsidRDefault="009948F1">
            <w:pPr>
              <w:pStyle w:val="TableParagraph"/>
              <w:rPr>
                <w:rFonts w:ascii="Times New Roman"/>
                <w:sz w:val="10"/>
              </w:rPr>
            </w:pPr>
          </w:p>
        </w:tc>
        <w:tc>
          <w:tcPr>
            <w:tcW w:w="1503" w:type="dxa"/>
            <w:tcBorders>
              <w:right w:val="nil"/>
            </w:tcBorders>
            <w:shd w:val="clear" w:color="auto" w:fill="CCE7D3"/>
          </w:tcPr>
          <w:p w14:paraId="63DB77FC" w14:textId="77777777" w:rsidR="009948F1" w:rsidRDefault="009948F1">
            <w:pPr>
              <w:pStyle w:val="TableParagraph"/>
              <w:rPr>
                <w:rFonts w:ascii="Times New Roman"/>
                <w:sz w:val="10"/>
              </w:rPr>
            </w:pPr>
          </w:p>
        </w:tc>
      </w:tr>
      <w:tr w:rsidR="009948F1" w14:paraId="0BC36341" w14:textId="77777777">
        <w:trPr>
          <w:trHeight w:val="463"/>
        </w:trPr>
        <w:tc>
          <w:tcPr>
            <w:tcW w:w="1038" w:type="dxa"/>
            <w:gridSpan w:val="3"/>
            <w:vMerge w:val="restart"/>
            <w:tcBorders>
              <w:top w:val="nil"/>
              <w:bottom w:val="nil"/>
            </w:tcBorders>
          </w:tcPr>
          <w:p w14:paraId="36FDDF61" w14:textId="77777777" w:rsidR="009948F1" w:rsidRDefault="009948F1">
            <w:pPr>
              <w:pStyle w:val="TableParagraph"/>
              <w:rPr>
                <w:rFonts w:ascii="Times New Roman"/>
                <w:sz w:val="10"/>
              </w:rPr>
            </w:pPr>
          </w:p>
        </w:tc>
        <w:tc>
          <w:tcPr>
            <w:tcW w:w="525" w:type="dxa"/>
          </w:tcPr>
          <w:p w14:paraId="446F5D63" w14:textId="77777777" w:rsidR="009948F1" w:rsidRDefault="009948F1">
            <w:pPr>
              <w:pStyle w:val="TableParagraph"/>
              <w:spacing w:before="7"/>
              <w:rPr>
                <w:sz w:val="13"/>
              </w:rPr>
            </w:pPr>
          </w:p>
          <w:p w14:paraId="7F5E6DF0" w14:textId="77777777" w:rsidR="009948F1" w:rsidRDefault="00BC0563">
            <w:pPr>
              <w:pStyle w:val="TableParagraph"/>
              <w:ind w:left="26" w:right="9"/>
              <w:jc w:val="center"/>
              <w:rPr>
                <w:sz w:val="13"/>
              </w:rPr>
            </w:pPr>
            <w:r>
              <w:rPr>
                <w:color w:val="231F20"/>
                <w:sz w:val="13"/>
              </w:rPr>
              <w:t>5.1.1.a</w:t>
            </w:r>
          </w:p>
        </w:tc>
        <w:tc>
          <w:tcPr>
            <w:tcW w:w="4889" w:type="dxa"/>
            <w:gridSpan w:val="2"/>
          </w:tcPr>
          <w:p w14:paraId="64AC7B42" w14:textId="77777777" w:rsidR="009948F1" w:rsidRDefault="009948F1">
            <w:pPr>
              <w:pStyle w:val="TableParagraph"/>
              <w:spacing w:before="2"/>
              <w:rPr>
                <w:sz w:val="13"/>
              </w:rPr>
            </w:pPr>
          </w:p>
          <w:p w14:paraId="4801828B" w14:textId="760876D9" w:rsidR="009948F1" w:rsidRDefault="00BC0563">
            <w:pPr>
              <w:pStyle w:val="TableParagraph"/>
              <w:ind w:left="23"/>
              <w:rPr>
                <w:sz w:val="13"/>
              </w:rPr>
            </w:pPr>
            <w:r>
              <w:rPr>
                <w:color w:val="231F20"/>
                <w:sz w:val="13"/>
              </w:rPr>
              <w:t xml:space="preserve">Conduct </w:t>
            </w:r>
            <w:r w:rsidR="00FB089D">
              <w:rPr>
                <w:color w:val="231F20"/>
                <w:sz w:val="13"/>
              </w:rPr>
              <w:t>micro plan</w:t>
            </w:r>
            <w:r>
              <w:rPr>
                <w:color w:val="231F20"/>
                <w:sz w:val="13"/>
              </w:rPr>
              <w:t xml:space="preserve"> for LLIN mass campaign</w:t>
            </w:r>
          </w:p>
        </w:tc>
        <w:tc>
          <w:tcPr>
            <w:tcW w:w="1425" w:type="dxa"/>
          </w:tcPr>
          <w:p w14:paraId="7CF9FA17" w14:textId="77777777" w:rsidR="009948F1" w:rsidRDefault="009948F1">
            <w:pPr>
              <w:pStyle w:val="TableParagraph"/>
              <w:spacing w:before="7"/>
              <w:rPr>
                <w:sz w:val="13"/>
              </w:rPr>
            </w:pPr>
          </w:p>
          <w:p w14:paraId="1CFC3E44" w14:textId="77777777" w:rsidR="009948F1" w:rsidRDefault="00BC0563">
            <w:pPr>
              <w:pStyle w:val="TableParagraph"/>
              <w:ind w:left="25"/>
              <w:rPr>
                <w:sz w:val="13"/>
              </w:rPr>
            </w:pPr>
            <w:r>
              <w:rPr>
                <w:color w:val="231F20"/>
                <w:sz w:val="13"/>
              </w:rPr>
              <w:t>Lack of funds</w:t>
            </w:r>
          </w:p>
        </w:tc>
        <w:tc>
          <w:tcPr>
            <w:tcW w:w="1503" w:type="dxa"/>
          </w:tcPr>
          <w:p w14:paraId="13ED7E90" w14:textId="77777777" w:rsidR="009948F1" w:rsidRDefault="009948F1">
            <w:pPr>
              <w:pStyle w:val="TableParagraph"/>
              <w:spacing w:before="7"/>
              <w:rPr>
                <w:sz w:val="13"/>
              </w:rPr>
            </w:pPr>
          </w:p>
          <w:p w14:paraId="191D1535" w14:textId="77777777" w:rsidR="009948F1" w:rsidRDefault="00BC0563">
            <w:pPr>
              <w:pStyle w:val="TableParagraph"/>
              <w:ind w:left="25"/>
              <w:rPr>
                <w:sz w:val="13"/>
              </w:rPr>
            </w:pPr>
            <w:r>
              <w:rPr>
                <w:color w:val="231F20"/>
                <w:sz w:val="13"/>
              </w:rPr>
              <w:t>Costed in OHT</w:t>
            </w:r>
          </w:p>
        </w:tc>
      </w:tr>
      <w:tr w:rsidR="009948F1" w14:paraId="26A6643C" w14:textId="77777777">
        <w:trPr>
          <w:trHeight w:val="321"/>
        </w:trPr>
        <w:tc>
          <w:tcPr>
            <w:tcW w:w="1038" w:type="dxa"/>
            <w:gridSpan w:val="3"/>
            <w:vMerge/>
            <w:tcBorders>
              <w:top w:val="nil"/>
              <w:bottom w:val="nil"/>
            </w:tcBorders>
          </w:tcPr>
          <w:p w14:paraId="61C375A6" w14:textId="77777777" w:rsidR="009948F1" w:rsidRDefault="009948F1">
            <w:pPr>
              <w:rPr>
                <w:sz w:val="2"/>
                <w:szCs w:val="2"/>
              </w:rPr>
            </w:pPr>
          </w:p>
        </w:tc>
        <w:tc>
          <w:tcPr>
            <w:tcW w:w="525" w:type="dxa"/>
          </w:tcPr>
          <w:p w14:paraId="2285549F" w14:textId="77777777" w:rsidR="009948F1" w:rsidRDefault="00BC0563">
            <w:pPr>
              <w:pStyle w:val="TableParagraph"/>
              <w:spacing w:before="85"/>
              <w:ind w:left="26" w:right="9"/>
              <w:jc w:val="center"/>
              <w:rPr>
                <w:sz w:val="13"/>
              </w:rPr>
            </w:pPr>
            <w:r>
              <w:rPr>
                <w:color w:val="231F20"/>
                <w:sz w:val="13"/>
              </w:rPr>
              <w:t>5.1.1.b</w:t>
            </w:r>
          </w:p>
        </w:tc>
        <w:tc>
          <w:tcPr>
            <w:tcW w:w="4889" w:type="dxa"/>
            <w:gridSpan w:val="2"/>
          </w:tcPr>
          <w:p w14:paraId="700C2024" w14:textId="77777777" w:rsidR="009948F1" w:rsidRDefault="00BC0563">
            <w:pPr>
              <w:pStyle w:val="TableParagraph"/>
              <w:spacing w:before="80"/>
              <w:ind w:left="56"/>
              <w:rPr>
                <w:sz w:val="13"/>
              </w:rPr>
            </w:pPr>
            <w:r>
              <w:rPr>
                <w:color w:val="231F20"/>
                <w:w w:val="95"/>
                <w:sz w:val="13"/>
              </w:rPr>
              <w:t>Procure and distribute LLIN/L, Larvicides, IRS for health facilities (Primary &amp; Secondary)</w:t>
            </w:r>
          </w:p>
        </w:tc>
        <w:tc>
          <w:tcPr>
            <w:tcW w:w="1425" w:type="dxa"/>
          </w:tcPr>
          <w:p w14:paraId="1C39F0C1" w14:textId="77777777" w:rsidR="009948F1" w:rsidRDefault="00BC0563">
            <w:pPr>
              <w:pStyle w:val="TableParagraph"/>
              <w:spacing w:before="85"/>
              <w:ind w:left="25"/>
              <w:rPr>
                <w:sz w:val="13"/>
              </w:rPr>
            </w:pPr>
            <w:r>
              <w:rPr>
                <w:color w:val="231F20"/>
                <w:sz w:val="13"/>
              </w:rPr>
              <w:t>Lack of funds</w:t>
            </w:r>
          </w:p>
        </w:tc>
        <w:tc>
          <w:tcPr>
            <w:tcW w:w="1503" w:type="dxa"/>
          </w:tcPr>
          <w:p w14:paraId="75D5D056" w14:textId="77777777" w:rsidR="009948F1" w:rsidRDefault="00BC0563">
            <w:pPr>
              <w:pStyle w:val="TableParagraph"/>
              <w:spacing w:before="85"/>
              <w:ind w:left="25"/>
              <w:rPr>
                <w:sz w:val="13"/>
              </w:rPr>
            </w:pPr>
            <w:r>
              <w:rPr>
                <w:color w:val="231F20"/>
                <w:sz w:val="13"/>
              </w:rPr>
              <w:t>Costed in OHT</w:t>
            </w:r>
          </w:p>
        </w:tc>
      </w:tr>
      <w:tr w:rsidR="009948F1" w14:paraId="1CF5AFFD" w14:textId="77777777">
        <w:trPr>
          <w:trHeight w:val="376"/>
        </w:trPr>
        <w:tc>
          <w:tcPr>
            <w:tcW w:w="1038" w:type="dxa"/>
            <w:gridSpan w:val="3"/>
            <w:vMerge/>
            <w:tcBorders>
              <w:top w:val="nil"/>
              <w:bottom w:val="nil"/>
            </w:tcBorders>
          </w:tcPr>
          <w:p w14:paraId="58602856" w14:textId="77777777" w:rsidR="009948F1" w:rsidRDefault="009948F1">
            <w:pPr>
              <w:rPr>
                <w:sz w:val="2"/>
                <w:szCs w:val="2"/>
              </w:rPr>
            </w:pPr>
          </w:p>
        </w:tc>
        <w:tc>
          <w:tcPr>
            <w:tcW w:w="525" w:type="dxa"/>
          </w:tcPr>
          <w:p w14:paraId="7BF86393" w14:textId="77777777" w:rsidR="009948F1" w:rsidRDefault="009948F1">
            <w:pPr>
              <w:pStyle w:val="TableParagraph"/>
              <w:spacing w:before="9"/>
              <w:rPr>
                <w:sz w:val="9"/>
              </w:rPr>
            </w:pPr>
          </w:p>
          <w:p w14:paraId="0310F3AB" w14:textId="77777777" w:rsidR="009948F1" w:rsidRDefault="00BC0563">
            <w:pPr>
              <w:pStyle w:val="TableParagraph"/>
              <w:ind w:left="27" w:right="9"/>
              <w:jc w:val="center"/>
              <w:rPr>
                <w:sz w:val="13"/>
              </w:rPr>
            </w:pPr>
            <w:r>
              <w:rPr>
                <w:color w:val="231F20"/>
                <w:sz w:val="13"/>
              </w:rPr>
              <w:t>5.1.1.c</w:t>
            </w:r>
          </w:p>
        </w:tc>
        <w:tc>
          <w:tcPr>
            <w:tcW w:w="4889" w:type="dxa"/>
            <w:gridSpan w:val="2"/>
          </w:tcPr>
          <w:p w14:paraId="3C60A4F0" w14:textId="77777777" w:rsidR="009948F1" w:rsidRDefault="00BC0563">
            <w:pPr>
              <w:pStyle w:val="TableParagraph"/>
              <w:spacing w:before="28" w:line="256" w:lineRule="auto"/>
              <w:ind w:left="23" w:right="100"/>
              <w:rPr>
                <w:sz w:val="13"/>
              </w:rPr>
            </w:pPr>
            <w:r>
              <w:rPr>
                <w:color w:val="231F20"/>
                <w:w w:val="95"/>
                <w:sz w:val="13"/>
              </w:rPr>
              <w:t>Conduct</w:t>
            </w:r>
            <w:r>
              <w:rPr>
                <w:color w:val="231F20"/>
                <w:spacing w:val="-15"/>
                <w:w w:val="95"/>
                <w:sz w:val="13"/>
              </w:rPr>
              <w:t xml:space="preserve"> </w:t>
            </w:r>
            <w:r>
              <w:rPr>
                <w:color w:val="231F20"/>
                <w:w w:val="95"/>
                <w:sz w:val="13"/>
              </w:rPr>
              <w:t>indoor</w:t>
            </w:r>
            <w:r>
              <w:rPr>
                <w:color w:val="231F20"/>
                <w:spacing w:val="-15"/>
                <w:w w:val="95"/>
                <w:sz w:val="13"/>
              </w:rPr>
              <w:t xml:space="preserve"> </w:t>
            </w:r>
            <w:r>
              <w:rPr>
                <w:color w:val="231F20"/>
                <w:w w:val="95"/>
                <w:sz w:val="13"/>
              </w:rPr>
              <w:t>residual</w:t>
            </w:r>
            <w:r>
              <w:rPr>
                <w:color w:val="231F20"/>
                <w:spacing w:val="-14"/>
                <w:w w:val="95"/>
                <w:sz w:val="13"/>
              </w:rPr>
              <w:t xml:space="preserve"> </w:t>
            </w:r>
            <w:r>
              <w:rPr>
                <w:color w:val="231F20"/>
                <w:w w:val="95"/>
                <w:sz w:val="13"/>
              </w:rPr>
              <w:t>spray</w:t>
            </w:r>
            <w:r>
              <w:rPr>
                <w:color w:val="231F20"/>
                <w:spacing w:val="-15"/>
                <w:w w:val="95"/>
                <w:sz w:val="13"/>
              </w:rPr>
              <w:t xml:space="preserve"> </w:t>
            </w:r>
            <w:r>
              <w:rPr>
                <w:color w:val="231F20"/>
                <w:w w:val="95"/>
                <w:sz w:val="13"/>
              </w:rPr>
              <w:t>in</w:t>
            </w:r>
            <w:r>
              <w:rPr>
                <w:color w:val="231F20"/>
                <w:spacing w:val="-14"/>
                <w:w w:val="95"/>
                <w:sz w:val="13"/>
              </w:rPr>
              <w:t xml:space="preserve"> </w:t>
            </w:r>
            <w:r>
              <w:rPr>
                <w:color w:val="231F20"/>
                <w:w w:val="95"/>
                <w:sz w:val="13"/>
              </w:rPr>
              <w:t>Port</w:t>
            </w:r>
            <w:r>
              <w:rPr>
                <w:color w:val="231F20"/>
                <w:spacing w:val="-15"/>
                <w:w w:val="95"/>
                <w:sz w:val="13"/>
              </w:rPr>
              <w:t xml:space="preserve"> </w:t>
            </w:r>
            <w:r>
              <w:rPr>
                <w:color w:val="231F20"/>
                <w:w w:val="95"/>
                <w:sz w:val="13"/>
              </w:rPr>
              <w:t>Harcourt</w:t>
            </w:r>
            <w:r>
              <w:rPr>
                <w:color w:val="231F20"/>
                <w:spacing w:val="-15"/>
                <w:w w:val="95"/>
                <w:sz w:val="13"/>
              </w:rPr>
              <w:t xml:space="preserve"> </w:t>
            </w:r>
            <w:r>
              <w:rPr>
                <w:color w:val="231F20"/>
                <w:w w:val="95"/>
                <w:sz w:val="13"/>
              </w:rPr>
              <w:t>watersides</w:t>
            </w:r>
            <w:r>
              <w:rPr>
                <w:color w:val="231F20"/>
                <w:spacing w:val="-14"/>
                <w:w w:val="95"/>
                <w:sz w:val="13"/>
              </w:rPr>
              <w:t xml:space="preserve"> </w:t>
            </w:r>
            <w:r>
              <w:rPr>
                <w:color w:val="231F20"/>
                <w:w w:val="95"/>
                <w:sz w:val="13"/>
              </w:rPr>
              <w:t>&amp;</w:t>
            </w:r>
            <w:r>
              <w:rPr>
                <w:color w:val="231F20"/>
                <w:spacing w:val="-15"/>
                <w:w w:val="95"/>
                <w:sz w:val="13"/>
              </w:rPr>
              <w:t xml:space="preserve"> </w:t>
            </w:r>
            <w:r>
              <w:rPr>
                <w:color w:val="231F20"/>
                <w:w w:val="95"/>
                <w:sz w:val="13"/>
              </w:rPr>
              <w:t>high</w:t>
            </w:r>
            <w:r>
              <w:rPr>
                <w:color w:val="231F20"/>
                <w:spacing w:val="-14"/>
                <w:w w:val="95"/>
                <w:sz w:val="13"/>
              </w:rPr>
              <w:t xml:space="preserve"> </w:t>
            </w:r>
            <w:r>
              <w:rPr>
                <w:color w:val="231F20"/>
                <w:w w:val="95"/>
                <w:sz w:val="13"/>
              </w:rPr>
              <w:t>density</w:t>
            </w:r>
            <w:r>
              <w:rPr>
                <w:color w:val="231F20"/>
                <w:spacing w:val="-15"/>
                <w:w w:val="95"/>
                <w:sz w:val="13"/>
              </w:rPr>
              <w:t xml:space="preserve"> </w:t>
            </w:r>
            <w:r>
              <w:rPr>
                <w:color w:val="231F20"/>
                <w:w w:val="95"/>
                <w:sz w:val="13"/>
              </w:rPr>
              <w:t>areas</w:t>
            </w:r>
            <w:r>
              <w:rPr>
                <w:color w:val="231F20"/>
                <w:spacing w:val="-14"/>
                <w:w w:val="95"/>
                <w:sz w:val="13"/>
              </w:rPr>
              <w:t xml:space="preserve"> </w:t>
            </w:r>
            <w:r>
              <w:rPr>
                <w:color w:val="231F20"/>
                <w:w w:val="95"/>
                <w:sz w:val="13"/>
              </w:rPr>
              <w:t>and</w:t>
            </w:r>
            <w:r>
              <w:rPr>
                <w:color w:val="231F20"/>
                <w:spacing w:val="-15"/>
                <w:w w:val="95"/>
                <w:sz w:val="13"/>
              </w:rPr>
              <w:t xml:space="preserve"> </w:t>
            </w:r>
            <w:r>
              <w:rPr>
                <w:color w:val="231F20"/>
                <w:w w:val="95"/>
                <w:sz w:val="13"/>
              </w:rPr>
              <w:t>the</w:t>
            </w:r>
            <w:r>
              <w:rPr>
                <w:color w:val="231F20"/>
                <w:spacing w:val="-15"/>
                <w:w w:val="95"/>
                <w:sz w:val="13"/>
              </w:rPr>
              <w:t xml:space="preserve"> </w:t>
            </w:r>
            <w:r>
              <w:rPr>
                <w:color w:val="231F20"/>
                <w:w w:val="95"/>
                <w:sz w:val="13"/>
              </w:rPr>
              <w:t xml:space="preserve">23 </w:t>
            </w:r>
            <w:r>
              <w:rPr>
                <w:color w:val="231F20"/>
                <w:sz w:val="13"/>
              </w:rPr>
              <w:t>LGAs</w:t>
            </w:r>
            <w:r>
              <w:rPr>
                <w:color w:val="231F20"/>
                <w:spacing w:val="-5"/>
                <w:sz w:val="13"/>
              </w:rPr>
              <w:t xml:space="preserve"> </w:t>
            </w:r>
            <w:r>
              <w:rPr>
                <w:color w:val="231F20"/>
                <w:sz w:val="13"/>
              </w:rPr>
              <w:t>Headquarters</w:t>
            </w:r>
          </w:p>
        </w:tc>
        <w:tc>
          <w:tcPr>
            <w:tcW w:w="1425" w:type="dxa"/>
          </w:tcPr>
          <w:p w14:paraId="62A45F68" w14:textId="77777777" w:rsidR="009948F1" w:rsidRDefault="009948F1">
            <w:pPr>
              <w:pStyle w:val="TableParagraph"/>
              <w:spacing w:before="9"/>
              <w:rPr>
                <w:sz w:val="9"/>
              </w:rPr>
            </w:pPr>
          </w:p>
          <w:p w14:paraId="56ED0FEB" w14:textId="77777777" w:rsidR="009948F1" w:rsidRDefault="00BC0563">
            <w:pPr>
              <w:pStyle w:val="TableParagraph"/>
              <w:ind w:left="25"/>
              <w:rPr>
                <w:sz w:val="13"/>
              </w:rPr>
            </w:pPr>
            <w:r>
              <w:rPr>
                <w:color w:val="231F20"/>
                <w:sz w:val="13"/>
              </w:rPr>
              <w:t>Lack of funds</w:t>
            </w:r>
          </w:p>
        </w:tc>
        <w:tc>
          <w:tcPr>
            <w:tcW w:w="1503" w:type="dxa"/>
          </w:tcPr>
          <w:p w14:paraId="5F887CDE" w14:textId="77777777" w:rsidR="009948F1" w:rsidRDefault="009948F1">
            <w:pPr>
              <w:pStyle w:val="TableParagraph"/>
              <w:spacing w:before="9"/>
              <w:rPr>
                <w:sz w:val="9"/>
              </w:rPr>
            </w:pPr>
          </w:p>
          <w:p w14:paraId="122B29F7" w14:textId="77777777" w:rsidR="009948F1" w:rsidRDefault="00BC0563">
            <w:pPr>
              <w:pStyle w:val="TableParagraph"/>
              <w:ind w:left="25"/>
              <w:rPr>
                <w:sz w:val="13"/>
              </w:rPr>
            </w:pPr>
            <w:r>
              <w:rPr>
                <w:color w:val="231F20"/>
                <w:sz w:val="13"/>
              </w:rPr>
              <w:t>Costed in OHT</w:t>
            </w:r>
          </w:p>
        </w:tc>
      </w:tr>
      <w:tr w:rsidR="009948F1" w14:paraId="3878B81A" w14:textId="77777777">
        <w:trPr>
          <w:trHeight w:val="572"/>
        </w:trPr>
        <w:tc>
          <w:tcPr>
            <w:tcW w:w="1038" w:type="dxa"/>
            <w:gridSpan w:val="3"/>
            <w:vMerge/>
            <w:tcBorders>
              <w:top w:val="nil"/>
              <w:bottom w:val="nil"/>
            </w:tcBorders>
          </w:tcPr>
          <w:p w14:paraId="186D4CC9" w14:textId="77777777" w:rsidR="009948F1" w:rsidRDefault="009948F1">
            <w:pPr>
              <w:rPr>
                <w:sz w:val="2"/>
                <w:szCs w:val="2"/>
              </w:rPr>
            </w:pPr>
          </w:p>
        </w:tc>
        <w:tc>
          <w:tcPr>
            <w:tcW w:w="525" w:type="dxa"/>
          </w:tcPr>
          <w:p w14:paraId="342786A0" w14:textId="77777777" w:rsidR="009948F1" w:rsidRDefault="009948F1">
            <w:pPr>
              <w:pStyle w:val="TableParagraph"/>
              <w:rPr>
                <w:sz w:val="12"/>
              </w:rPr>
            </w:pPr>
          </w:p>
          <w:p w14:paraId="6B64662A" w14:textId="77777777" w:rsidR="009948F1" w:rsidRDefault="00BC0563">
            <w:pPr>
              <w:pStyle w:val="TableParagraph"/>
              <w:spacing w:before="73"/>
              <w:ind w:left="26" w:right="9"/>
              <w:jc w:val="center"/>
              <w:rPr>
                <w:sz w:val="13"/>
              </w:rPr>
            </w:pPr>
            <w:r>
              <w:rPr>
                <w:color w:val="231F20"/>
                <w:sz w:val="13"/>
              </w:rPr>
              <w:t>5.1.1.d</w:t>
            </w:r>
          </w:p>
        </w:tc>
        <w:tc>
          <w:tcPr>
            <w:tcW w:w="4889" w:type="dxa"/>
            <w:gridSpan w:val="2"/>
          </w:tcPr>
          <w:p w14:paraId="05B04263" w14:textId="77777777" w:rsidR="009948F1" w:rsidRDefault="009948F1">
            <w:pPr>
              <w:pStyle w:val="TableParagraph"/>
              <w:spacing w:before="10"/>
              <w:rPr>
                <w:sz w:val="17"/>
              </w:rPr>
            </w:pPr>
          </w:p>
          <w:p w14:paraId="55EF7D72" w14:textId="77777777" w:rsidR="009948F1" w:rsidRDefault="00BC0563">
            <w:pPr>
              <w:pStyle w:val="TableParagraph"/>
              <w:ind w:left="23"/>
              <w:rPr>
                <w:sz w:val="13"/>
              </w:rPr>
            </w:pPr>
            <w:r>
              <w:rPr>
                <w:color w:val="231F20"/>
                <w:sz w:val="13"/>
              </w:rPr>
              <w:t>Produce and air jingles in electronic media on malaria prevention and vector control</w:t>
            </w:r>
          </w:p>
        </w:tc>
        <w:tc>
          <w:tcPr>
            <w:tcW w:w="1425" w:type="dxa"/>
          </w:tcPr>
          <w:p w14:paraId="5FAC6211" w14:textId="77777777" w:rsidR="009948F1" w:rsidRDefault="009948F1">
            <w:pPr>
              <w:pStyle w:val="TableParagraph"/>
              <w:rPr>
                <w:sz w:val="12"/>
              </w:rPr>
            </w:pPr>
          </w:p>
          <w:p w14:paraId="733B1657" w14:textId="77777777" w:rsidR="009948F1" w:rsidRDefault="00BC0563">
            <w:pPr>
              <w:pStyle w:val="TableParagraph"/>
              <w:spacing w:before="73"/>
              <w:ind w:left="25"/>
              <w:rPr>
                <w:sz w:val="13"/>
              </w:rPr>
            </w:pPr>
            <w:r>
              <w:rPr>
                <w:color w:val="231F20"/>
                <w:sz w:val="13"/>
              </w:rPr>
              <w:t>Lack of funds</w:t>
            </w:r>
          </w:p>
        </w:tc>
        <w:tc>
          <w:tcPr>
            <w:tcW w:w="1503" w:type="dxa"/>
          </w:tcPr>
          <w:p w14:paraId="3CD50496" w14:textId="77777777" w:rsidR="009948F1" w:rsidRDefault="009948F1">
            <w:pPr>
              <w:pStyle w:val="TableParagraph"/>
              <w:rPr>
                <w:sz w:val="12"/>
              </w:rPr>
            </w:pPr>
          </w:p>
          <w:p w14:paraId="531DC76E" w14:textId="77777777" w:rsidR="009948F1" w:rsidRDefault="00BC0563">
            <w:pPr>
              <w:pStyle w:val="TableParagraph"/>
              <w:spacing w:before="73"/>
              <w:ind w:left="25"/>
              <w:rPr>
                <w:sz w:val="13"/>
              </w:rPr>
            </w:pPr>
            <w:r>
              <w:rPr>
                <w:color w:val="231F20"/>
                <w:sz w:val="13"/>
              </w:rPr>
              <w:t>Media campaign</w:t>
            </w:r>
          </w:p>
        </w:tc>
      </w:tr>
      <w:tr w:rsidR="009948F1" w14:paraId="1812F8A1" w14:textId="77777777">
        <w:trPr>
          <w:trHeight w:val="525"/>
        </w:trPr>
        <w:tc>
          <w:tcPr>
            <w:tcW w:w="1038" w:type="dxa"/>
            <w:gridSpan w:val="3"/>
            <w:vMerge/>
            <w:tcBorders>
              <w:top w:val="nil"/>
              <w:bottom w:val="nil"/>
            </w:tcBorders>
          </w:tcPr>
          <w:p w14:paraId="0A3BA1EE" w14:textId="77777777" w:rsidR="009948F1" w:rsidRDefault="009948F1">
            <w:pPr>
              <w:rPr>
                <w:sz w:val="2"/>
                <w:szCs w:val="2"/>
              </w:rPr>
            </w:pPr>
          </w:p>
        </w:tc>
        <w:tc>
          <w:tcPr>
            <w:tcW w:w="525" w:type="dxa"/>
          </w:tcPr>
          <w:p w14:paraId="2CBFCAD4" w14:textId="77777777" w:rsidR="009948F1" w:rsidRDefault="009948F1">
            <w:pPr>
              <w:pStyle w:val="TableParagraph"/>
              <w:spacing w:before="3"/>
              <w:rPr>
                <w:sz w:val="16"/>
              </w:rPr>
            </w:pPr>
          </w:p>
          <w:p w14:paraId="54D4F6AA" w14:textId="77777777" w:rsidR="009948F1" w:rsidRDefault="00BC0563">
            <w:pPr>
              <w:pStyle w:val="TableParagraph"/>
              <w:spacing w:before="1"/>
              <w:ind w:left="26" w:right="9"/>
              <w:jc w:val="center"/>
              <w:rPr>
                <w:sz w:val="13"/>
              </w:rPr>
            </w:pPr>
            <w:r>
              <w:rPr>
                <w:color w:val="231F20"/>
                <w:sz w:val="13"/>
              </w:rPr>
              <w:t>5.1.1.e</w:t>
            </w:r>
          </w:p>
        </w:tc>
        <w:tc>
          <w:tcPr>
            <w:tcW w:w="4889" w:type="dxa"/>
            <w:gridSpan w:val="2"/>
          </w:tcPr>
          <w:p w14:paraId="0907B4D3" w14:textId="77777777" w:rsidR="009948F1" w:rsidRDefault="00BC0563">
            <w:pPr>
              <w:pStyle w:val="TableParagraph"/>
              <w:spacing w:before="102" w:line="256" w:lineRule="auto"/>
              <w:ind w:left="23" w:right="324"/>
              <w:rPr>
                <w:sz w:val="13"/>
              </w:rPr>
            </w:pPr>
            <w:r>
              <w:rPr>
                <w:color w:val="231F20"/>
                <w:w w:val="95"/>
                <w:sz w:val="13"/>
              </w:rPr>
              <w:t>Operating</w:t>
            </w:r>
            <w:r>
              <w:rPr>
                <w:color w:val="231F20"/>
                <w:spacing w:val="-17"/>
                <w:w w:val="95"/>
                <w:sz w:val="13"/>
              </w:rPr>
              <w:t xml:space="preserve"> </w:t>
            </w:r>
            <w:r>
              <w:rPr>
                <w:color w:val="231F20"/>
                <w:w w:val="95"/>
                <w:sz w:val="13"/>
              </w:rPr>
              <w:t>cost</w:t>
            </w:r>
            <w:r>
              <w:rPr>
                <w:color w:val="231F20"/>
                <w:spacing w:val="-16"/>
                <w:w w:val="95"/>
                <w:sz w:val="13"/>
              </w:rPr>
              <w:t xml:space="preserve"> </w:t>
            </w:r>
            <w:r>
              <w:rPr>
                <w:color w:val="231F20"/>
                <w:w w:val="95"/>
                <w:sz w:val="13"/>
              </w:rPr>
              <w:t>for</w:t>
            </w:r>
            <w:r>
              <w:rPr>
                <w:color w:val="231F20"/>
                <w:spacing w:val="-16"/>
                <w:w w:val="95"/>
                <w:sz w:val="13"/>
              </w:rPr>
              <w:t xml:space="preserve"> </w:t>
            </w:r>
            <w:r>
              <w:rPr>
                <w:color w:val="231F20"/>
                <w:w w:val="95"/>
                <w:sz w:val="13"/>
              </w:rPr>
              <w:t>engaging</w:t>
            </w:r>
            <w:r>
              <w:rPr>
                <w:color w:val="231F20"/>
                <w:spacing w:val="-17"/>
                <w:w w:val="95"/>
                <w:sz w:val="13"/>
              </w:rPr>
              <w:t xml:space="preserve"> </w:t>
            </w:r>
            <w:r>
              <w:rPr>
                <w:color w:val="231F20"/>
                <w:w w:val="95"/>
                <w:sz w:val="13"/>
              </w:rPr>
              <w:t>and</w:t>
            </w:r>
            <w:r>
              <w:rPr>
                <w:color w:val="231F20"/>
                <w:spacing w:val="-16"/>
                <w:w w:val="95"/>
                <w:sz w:val="13"/>
              </w:rPr>
              <w:t xml:space="preserve"> </w:t>
            </w:r>
            <w:r>
              <w:rPr>
                <w:color w:val="231F20"/>
                <w:w w:val="95"/>
                <w:sz w:val="13"/>
              </w:rPr>
              <w:t>supervising</w:t>
            </w:r>
            <w:r>
              <w:rPr>
                <w:color w:val="231F20"/>
                <w:spacing w:val="-16"/>
                <w:w w:val="95"/>
                <w:sz w:val="13"/>
              </w:rPr>
              <w:t xml:space="preserve"> </w:t>
            </w:r>
            <w:r>
              <w:rPr>
                <w:color w:val="231F20"/>
                <w:w w:val="95"/>
                <w:sz w:val="13"/>
              </w:rPr>
              <w:t>the</w:t>
            </w:r>
            <w:r>
              <w:rPr>
                <w:color w:val="231F20"/>
                <w:spacing w:val="-17"/>
                <w:w w:val="95"/>
                <w:sz w:val="13"/>
              </w:rPr>
              <w:t xml:space="preserve"> </w:t>
            </w:r>
            <w:r>
              <w:rPr>
                <w:color w:val="231F20"/>
                <w:w w:val="95"/>
                <w:sz w:val="13"/>
              </w:rPr>
              <w:t>contractor</w:t>
            </w:r>
            <w:r>
              <w:rPr>
                <w:color w:val="231F20"/>
                <w:spacing w:val="-16"/>
                <w:w w:val="95"/>
                <w:sz w:val="13"/>
              </w:rPr>
              <w:t xml:space="preserve"> </w:t>
            </w:r>
            <w:r>
              <w:rPr>
                <w:color w:val="231F20"/>
                <w:w w:val="95"/>
                <w:sz w:val="13"/>
              </w:rPr>
              <w:t>to</w:t>
            </w:r>
            <w:r>
              <w:rPr>
                <w:color w:val="231F20"/>
                <w:spacing w:val="-16"/>
                <w:w w:val="95"/>
                <w:sz w:val="13"/>
              </w:rPr>
              <w:t xml:space="preserve"> </w:t>
            </w:r>
            <w:r>
              <w:rPr>
                <w:color w:val="231F20"/>
                <w:w w:val="95"/>
                <w:sz w:val="13"/>
              </w:rPr>
              <w:t>construct</w:t>
            </w:r>
            <w:r>
              <w:rPr>
                <w:color w:val="231F20"/>
                <w:spacing w:val="-16"/>
                <w:w w:val="95"/>
                <w:sz w:val="13"/>
              </w:rPr>
              <w:t xml:space="preserve"> </w:t>
            </w:r>
            <w:r>
              <w:rPr>
                <w:color w:val="231F20"/>
                <w:w w:val="95"/>
                <w:sz w:val="13"/>
              </w:rPr>
              <w:t>and</w:t>
            </w:r>
            <w:r>
              <w:rPr>
                <w:color w:val="231F20"/>
                <w:spacing w:val="-17"/>
                <w:w w:val="95"/>
                <w:sz w:val="13"/>
              </w:rPr>
              <w:t xml:space="preserve"> </w:t>
            </w:r>
            <w:r>
              <w:rPr>
                <w:color w:val="231F20"/>
                <w:w w:val="95"/>
                <w:sz w:val="13"/>
              </w:rPr>
              <w:t>mount</w:t>
            </w:r>
            <w:r>
              <w:rPr>
                <w:color w:val="231F20"/>
                <w:spacing w:val="-16"/>
                <w:w w:val="95"/>
                <w:sz w:val="13"/>
              </w:rPr>
              <w:t xml:space="preserve"> </w:t>
            </w:r>
            <w:r>
              <w:rPr>
                <w:color w:val="231F20"/>
                <w:w w:val="95"/>
                <w:sz w:val="13"/>
              </w:rPr>
              <w:t xml:space="preserve">Bill </w:t>
            </w:r>
            <w:r>
              <w:rPr>
                <w:color w:val="231F20"/>
                <w:sz w:val="13"/>
              </w:rPr>
              <w:t>boards</w:t>
            </w:r>
            <w:r>
              <w:rPr>
                <w:color w:val="231F20"/>
                <w:spacing w:val="-8"/>
                <w:sz w:val="13"/>
              </w:rPr>
              <w:t xml:space="preserve"> </w:t>
            </w:r>
            <w:r>
              <w:rPr>
                <w:color w:val="231F20"/>
                <w:sz w:val="13"/>
              </w:rPr>
              <w:t>on</w:t>
            </w:r>
            <w:r>
              <w:rPr>
                <w:color w:val="231F20"/>
                <w:spacing w:val="-7"/>
                <w:sz w:val="13"/>
              </w:rPr>
              <w:t xml:space="preserve"> </w:t>
            </w:r>
            <w:r>
              <w:rPr>
                <w:color w:val="231F20"/>
                <w:sz w:val="13"/>
              </w:rPr>
              <w:t>Malaria</w:t>
            </w:r>
            <w:r>
              <w:rPr>
                <w:color w:val="231F20"/>
                <w:spacing w:val="-7"/>
                <w:sz w:val="13"/>
              </w:rPr>
              <w:t xml:space="preserve"> </w:t>
            </w:r>
            <w:r>
              <w:rPr>
                <w:color w:val="231F20"/>
                <w:sz w:val="13"/>
              </w:rPr>
              <w:t>prevention</w:t>
            </w:r>
            <w:r>
              <w:rPr>
                <w:color w:val="231F20"/>
                <w:spacing w:val="-8"/>
                <w:sz w:val="13"/>
              </w:rPr>
              <w:t xml:space="preserve"> </w:t>
            </w:r>
            <w:r>
              <w:rPr>
                <w:color w:val="231F20"/>
                <w:sz w:val="13"/>
              </w:rPr>
              <w:t>and</w:t>
            </w:r>
            <w:r>
              <w:rPr>
                <w:color w:val="231F20"/>
                <w:spacing w:val="-7"/>
                <w:sz w:val="13"/>
              </w:rPr>
              <w:t xml:space="preserve"> </w:t>
            </w:r>
            <w:r>
              <w:rPr>
                <w:color w:val="231F20"/>
                <w:sz w:val="13"/>
              </w:rPr>
              <w:t>vector</w:t>
            </w:r>
            <w:r>
              <w:rPr>
                <w:color w:val="231F20"/>
                <w:spacing w:val="-7"/>
                <w:sz w:val="13"/>
              </w:rPr>
              <w:t xml:space="preserve"> </w:t>
            </w:r>
            <w:r>
              <w:rPr>
                <w:color w:val="231F20"/>
                <w:sz w:val="13"/>
              </w:rPr>
              <w:t>control</w:t>
            </w:r>
          </w:p>
        </w:tc>
        <w:tc>
          <w:tcPr>
            <w:tcW w:w="1425" w:type="dxa"/>
          </w:tcPr>
          <w:p w14:paraId="07B0A6B2" w14:textId="77777777" w:rsidR="009948F1" w:rsidRDefault="009948F1">
            <w:pPr>
              <w:pStyle w:val="TableParagraph"/>
              <w:spacing w:before="3"/>
              <w:rPr>
                <w:sz w:val="16"/>
              </w:rPr>
            </w:pPr>
          </w:p>
          <w:p w14:paraId="1EF7BC4E" w14:textId="77777777" w:rsidR="009948F1" w:rsidRDefault="00BC0563">
            <w:pPr>
              <w:pStyle w:val="TableParagraph"/>
              <w:spacing w:before="1"/>
              <w:ind w:left="25"/>
              <w:rPr>
                <w:sz w:val="13"/>
              </w:rPr>
            </w:pPr>
            <w:r>
              <w:rPr>
                <w:color w:val="231F20"/>
                <w:sz w:val="13"/>
              </w:rPr>
              <w:t>Lack of funds</w:t>
            </w:r>
          </w:p>
        </w:tc>
        <w:tc>
          <w:tcPr>
            <w:tcW w:w="1503" w:type="dxa"/>
          </w:tcPr>
          <w:p w14:paraId="20FFB44F" w14:textId="77777777" w:rsidR="009948F1" w:rsidRDefault="009948F1">
            <w:pPr>
              <w:pStyle w:val="TableParagraph"/>
              <w:spacing w:before="3"/>
              <w:rPr>
                <w:sz w:val="16"/>
              </w:rPr>
            </w:pPr>
          </w:p>
          <w:p w14:paraId="0CB5087A" w14:textId="77777777" w:rsidR="009948F1" w:rsidRDefault="00BC0563">
            <w:pPr>
              <w:pStyle w:val="TableParagraph"/>
              <w:spacing w:before="1"/>
              <w:ind w:left="25"/>
              <w:rPr>
                <w:sz w:val="13"/>
              </w:rPr>
            </w:pPr>
            <w:r>
              <w:rPr>
                <w:color w:val="231F20"/>
                <w:sz w:val="13"/>
              </w:rPr>
              <w:t>Costed in OHT</w:t>
            </w:r>
          </w:p>
        </w:tc>
      </w:tr>
      <w:tr w:rsidR="009948F1" w14:paraId="44465D1F" w14:textId="77777777">
        <w:trPr>
          <w:trHeight w:val="1388"/>
        </w:trPr>
        <w:tc>
          <w:tcPr>
            <w:tcW w:w="584" w:type="dxa"/>
            <w:gridSpan w:val="2"/>
            <w:tcBorders>
              <w:top w:val="nil"/>
              <w:bottom w:val="nil"/>
            </w:tcBorders>
          </w:tcPr>
          <w:p w14:paraId="2AD8F6D5" w14:textId="77777777" w:rsidR="009948F1" w:rsidRDefault="009948F1">
            <w:pPr>
              <w:pStyle w:val="TableParagraph"/>
              <w:rPr>
                <w:rFonts w:ascii="Times New Roman"/>
                <w:sz w:val="10"/>
              </w:rPr>
            </w:pPr>
          </w:p>
        </w:tc>
        <w:tc>
          <w:tcPr>
            <w:tcW w:w="454" w:type="dxa"/>
            <w:shd w:val="clear" w:color="auto" w:fill="CCE7D3"/>
          </w:tcPr>
          <w:p w14:paraId="608201A6" w14:textId="77777777" w:rsidR="009948F1" w:rsidRDefault="009948F1">
            <w:pPr>
              <w:pStyle w:val="TableParagraph"/>
              <w:rPr>
                <w:sz w:val="12"/>
              </w:rPr>
            </w:pPr>
          </w:p>
          <w:p w14:paraId="768626F3" w14:textId="77777777" w:rsidR="009948F1" w:rsidRDefault="009948F1">
            <w:pPr>
              <w:pStyle w:val="TableParagraph"/>
              <w:rPr>
                <w:sz w:val="12"/>
              </w:rPr>
            </w:pPr>
          </w:p>
          <w:p w14:paraId="13913CD4" w14:textId="77777777" w:rsidR="009948F1" w:rsidRDefault="009948F1">
            <w:pPr>
              <w:pStyle w:val="TableParagraph"/>
              <w:rPr>
                <w:sz w:val="12"/>
              </w:rPr>
            </w:pPr>
          </w:p>
          <w:p w14:paraId="45D750EE" w14:textId="77777777" w:rsidR="009948F1" w:rsidRDefault="009948F1">
            <w:pPr>
              <w:pStyle w:val="TableParagraph"/>
              <w:spacing w:before="9"/>
              <w:rPr>
                <w:sz w:val="17"/>
              </w:rPr>
            </w:pPr>
          </w:p>
          <w:p w14:paraId="704891F9" w14:textId="77777777" w:rsidR="009948F1" w:rsidRDefault="00BC0563">
            <w:pPr>
              <w:pStyle w:val="TableParagraph"/>
              <w:spacing w:before="1"/>
              <w:ind w:left="55"/>
              <w:rPr>
                <w:sz w:val="13"/>
              </w:rPr>
            </w:pPr>
            <w:r>
              <w:rPr>
                <w:color w:val="231F20"/>
                <w:sz w:val="13"/>
              </w:rPr>
              <w:t>5.1.2</w:t>
            </w:r>
          </w:p>
        </w:tc>
        <w:tc>
          <w:tcPr>
            <w:tcW w:w="3033" w:type="dxa"/>
            <w:gridSpan w:val="2"/>
            <w:shd w:val="clear" w:color="auto" w:fill="CCE7D3"/>
          </w:tcPr>
          <w:p w14:paraId="2B1503A8" w14:textId="77777777" w:rsidR="009948F1" w:rsidRDefault="009948F1">
            <w:pPr>
              <w:pStyle w:val="TableParagraph"/>
              <w:rPr>
                <w:sz w:val="12"/>
              </w:rPr>
            </w:pPr>
          </w:p>
          <w:p w14:paraId="603A03CB" w14:textId="77777777" w:rsidR="009948F1" w:rsidRDefault="009948F1">
            <w:pPr>
              <w:pStyle w:val="TableParagraph"/>
              <w:rPr>
                <w:sz w:val="12"/>
              </w:rPr>
            </w:pPr>
          </w:p>
          <w:p w14:paraId="2CB072B1" w14:textId="77777777" w:rsidR="009948F1" w:rsidRDefault="009948F1">
            <w:pPr>
              <w:pStyle w:val="TableParagraph"/>
              <w:rPr>
                <w:sz w:val="12"/>
              </w:rPr>
            </w:pPr>
          </w:p>
          <w:p w14:paraId="082CB204" w14:textId="77777777" w:rsidR="009948F1" w:rsidRDefault="009948F1">
            <w:pPr>
              <w:pStyle w:val="TableParagraph"/>
              <w:spacing w:before="4"/>
              <w:rPr>
                <w:sz w:val="10"/>
              </w:rPr>
            </w:pPr>
          </w:p>
          <w:p w14:paraId="35B60265" w14:textId="77777777" w:rsidR="009948F1" w:rsidRDefault="00BC0563">
            <w:pPr>
              <w:pStyle w:val="TableParagraph"/>
              <w:spacing w:before="1" w:line="256" w:lineRule="auto"/>
              <w:ind w:left="23" w:right="77" w:firstLine="32"/>
              <w:rPr>
                <w:sz w:val="13"/>
              </w:rPr>
            </w:pPr>
            <w:r>
              <w:rPr>
                <w:color w:val="231F20"/>
                <w:w w:val="95"/>
                <w:sz w:val="13"/>
              </w:rPr>
              <w:t>Strengthen</w:t>
            </w:r>
            <w:r>
              <w:rPr>
                <w:color w:val="231F20"/>
                <w:spacing w:val="-21"/>
                <w:w w:val="95"/>
                <w:sz w:val="13"/>
              </w:rPr>
              <w:t xml:space="preserve"> </w:t>
            </w:r>
            <w:r>
              <w:rPr>
                <w:color w:val="231F20"/>
                <w:w w:val="95"/>
                <w:sz w:val="13"/>
              </w:rPr>
              <w:t>laboratory</w:t>
            </w:r>
            <w:r>
              <w:rPr>
                <w:color w:val="231F20"/>
                <w:spacing w:val="-20"/>
                <w:w w:val="95"/>
                <w:sz w:val="13"/>
              </w:rPr>
              <w:t xml:space="preserve"> </w:t>
            </w:r>
            <w:r>
              <w:rPr>
                <w:color w:val="231F20"/>
                <w:w w:val="95"/>
                <w:sz w:val="13"/>
              </w:rPr>
              <w:t>services</w:t>
            </w:r>
            <w:r>
              <w:rPr>
                <w:color w:val="231F20"/>
                <w:spacing w:val="-20"/>
                <w:w w:val="95"/>
                <w:sz w:val="13"/>
              </w:rPr>
              <w:t xml:space="preserve"> </w:t>
            </w:r>
            <w:r>
              <w:rPr>
                <w:color w:val="231F20"/>
                <w:w w:val="95"/>
                <w:sz w:val="13"/>
              </w:rPr>
              <w:t>for</w:t>
            </w:r>
            <w:r>
              <w:rPr>
                <w:color w:val="231F20"/>
                <w:spacing w:val="-20"/>
                <w:w w:val="95"/>
                <w:sz w:val="13"/>
              </w:rPr>
              <w:t xml:space="preserve"> </w:t>
            </w:r>
            <w:r>
              <w:rPr>
                <w:color w:val="231F20"/>
                <w:w w:val="95"/>
                <w:sz w:val="13"/>
              </w:rPr>
              <w:t>diagnosis</w:t>
            </w:r>
            <w:r>
              <w:rPr>
                <w:color w:val="231F20"/>
                <w:spacing w:val="-20"/>
                <w:w w:val="95"/>
                <w:sz w:val="13"/>
              </w:rPr>
              <w:t xml:space="preserve"> </w:t>
            </w:r>
            <w:r>
              <w:rPr>
                <w:color w:val="231F20"/>
                <w:w w:val="95"/>
                <w:sz w:val="13"/>
              </w:rPr>
              <w:t>of</w:t>
            </w:r>
            <w:r>
              <w:rPr>
                <w:color w:val="231F20"/>
                <w:spacing w:val="-20"/>
                <w:w w:val="95"/>
                <w:sz w:val="13"/>
              </w:rPr>
              <w:t xml:space="preserve"> </w:t>
            </w:r>
            <w:r>
              <w:rPr>
                <w:color w:val="231F20"/>
                <w:w w:val="95"/>
                <w:sz w:val="13"/>
              </w:rPr>
              <w:t xml:space="preserve">malaria </w:t>
            </w:r>
            <w:r>
              <w:rPr>
                <w:color w:val="231F20"/>
                <w:sz w:val="13"/>
              </w:rPr>
              <w:t>at all</w:t>
            </w:r>
            <w:r>
              <w:rPr>
                <w:color w:val="231F20"/>
                <w:spacing w:val="-10"/>
                <w:sz w:val="13"/>
              </w:rPr>
              <w:t xml:space="preserve"> </w:t>
            </w:r>
            <w:r>
              <w:rPr>
                <w:color w:val="231F20"/>
                <w:sz w:val="13"/>
              </w:rPr>
              <w:t>levels</w:t>
            </w:r>
          </w:p>
        </w:tc>
        <w:tc>
          <w:tcPr>
            <w:tcW w:w="2381" w:type="dxa"/>
            <w:shd w:val="clear" w:color="auto" w:fill="CCE7D3"/>
          </w:tcPr>
          <w:p w14:paraId="2286A659" w14:textId="77777777" w:rsidR="009948F1" w:rsidRDefault="00BC0563">
            <w:pPr>
              <w:pStyle w:val="TableParagraph"/>
              <w:numPr>
                <w:ilvl w:val="0"/>
                <w:numId w:val="166"/>
              </w:numPr>
              <w:tabs>
                <w:tab w:val="left" w:pos="93"/>
              </w:tabs>
              <w:spacing w:before="61" w:line="256" w:lineRule="auto"/>
              <w:ind w:right="509" w:firstLine="0"/>
              <w:rPr>
                <w:sz w:val="13"/>
              </w:rPr>
            </w:pPr>
            <w:r>
              <w:rPr>
                <w:color w:val="231F20"/>
                <w:w w:val="95"/>
                <w:sz w:val="13"/>
              </w:rPr>
              <w:t>At</w:t>
            </w:r>
            <w:r>
              <w:rPr>
                <w:color w:val="231F20"/>
                <w:spacing w:val="-17"/>
                <w:w w:val="95"/>
                <w:sz w:val="13"/>
              </w:rPr>
              <w:t xml:space="preserve"> </w:t>
            </w:r>
            <w:r>
              <w:rPr>
                <w:color w:val="231F20"/>
                <w:w w:val="95"/>
                <w:sz w:val="13"/>
              </w:rPr>
              <w:t>least</w:t>
            </w:r>
            <w:r>
              <w:rPr>
                <w:color w:val="231F20"/>
                <w:spacing w:val="-16"/>
                <w:w w:val="95"/>
                <w:sz w:val="13"/>
              </w:rPr>
              <w:t xml:space="preserve"> </w:t>
            </w:r>
            <w:r>
              <w:rPr>
                <w:color w:val="231F20"/>
                <w:w w:val="95"/>
                <w:sz w:val="13"/>
              </w:rPr>
              <w:t>200</w:t>
            </w:r>
            <w:r>
              <w:rPr>
                <w:color w:val="231F20"/>
                <w:spacing w:val="-16"/>
                <w:w w:val="95"/>
                <w:sz w:val="13"/>
              </w:rPr>
              <w:t xml:space="preserve"> </w:t>
            </w:r>
            <w:r>
              <w:rPr>
                <w:color w:val="231F20"/>
                <w:w w:val="95"/>
                <w:sz w:val="13"/>
              </w:rPr>
              <w:t>Ward</w:t>
            </w:r>
            <w:r>
              <w:rPr>
                <w:color w:val="231F20"/>
                <w:spacing w:val="-16"/>
                <w:w w:val="95"/>
                <w:sz w:val="13"/>
              </w:rPr>
              <w:t xml:space="preserve"> </w:t>
            </w:r>
            <w:r>
              <w:rPr>
                <w:color w:val="231F20"/>
                <w:w w:val="95"/>
                <w:sz w:val="13"/>
              </w:rPr>
              <w:t>Health</w:t>
            </w:r>
            <w:r>
              <w:rPr>
                <w:color w:val="231F20"/>
                <w:spacing w:val="-16"/>
                <w:w w:val="95"/>
                <w:sz w:val="13"/>
              </w:rPr>
              <w:t xml:space="preserve"> </w:t>
            </w:r>
            <w:proofErr w:type="spellStart"/>
            <w:r>
              <w:rPr>
                <w:color w:val="231F20"/>
                <w:w w:val="95"/>
                <w:sz w:val="13"/>
              </w:rPr>
              <w:t>Centres</w:t>
            </w:r>
            <w:proofErr w:type="spellEnd"/>
            <w:r>
              <w:rPr>
                <w:color w:val="231F20"/>
                <w:w w:val="95"/>
                <w:sz w:val="13"/>
              </w:rPr>
              <w:t xml:space="preserve"> upgraded</w:t>
            </w:r>
            <w:r>
              <w:rPr>
                <w:color w:val="231F20"/>
                <w:spacing w:val="-12"/>
                <w:w w:val="95"/>
                <w:sz w:val="13"/>
              </w:rPr>
              <w:t xml:space="preserve"> </w:t>
            </w:r>
            <w:r>
              <w:rPr>
                <w:color w:val="231F20"/>
                <w:w w:val="95"/>
                <w:sz w:val="13"/>
              </w:rPr>
              <w:t>for</w:t>
            </w:r>
            <w:r>
              <w:rPr>
                <w:color w:val="231F20"/>
                <w:spacing w:val="-12"/>
                <w:w w:val="95"/>
                <w:sz w:val="13"/>
              </w:rPr>
              <w:t xml:space="preserve"> </w:t>
            </w:r>
            <w:r>
              <w:rPr>
                <w:color w:val="231F20"/>
                <w:w w:val="95"/>
                <w:sz w:val="13"/>
              </w:rPr>
              <w:t>laboratory</w:t>
            </w:r>
            <w:r>
              <w:rPr>
                <w:color w:val="231F20"/>
                <w:spacing w:val="-11"/>
                <w:w w:val="95"/>
                <w:sz w:val="13"/>
              </w:rPr>
              <w:t xml:space="preserve"> </w:t>
            </w:r>
            <w:r>
              <w:rPr>
                <w:color w:val="231F20"/>
                <w:w w:val="95"/>
                <w:sz w:val="13"/>
              </w:rPr>
              <w:t>services</w:t>
            </w:r>
          </w:p>
          <w:p w14:paraId="22A86D04" w14:textId="77777777" w:rsidR="009948F1" w:rsidRDefault="00BC0563">
            <w:pPr>
              <w:pStyle w:val="TableParagraph"/>
              <w:numPr>
                <w:ilvl w:val="0"/>
                <w:numId w:val="166"/>
              </w:numPr>
              <w:tabs>
                <w:tab w:val="left" w:pos="67"/>
              </w:tabs>
              <w:spacing w:line="256" w:lineRule="auto"/>
              <w:ind w:right="56" w:firstLine="0"/>
              <w:rPr>
                <w:sz w:val="13"/>
              </w:rPr>
            </w:pPr>
            <w:r>
              <w:rPr>
                <w:color w:val="231F20"/>
                <w:w w:val="95"/>
                <w:sz w:val="13"/>
              </w:rPr>
              <w:t>Microscopes</w:t>
            </w:r>
            <w:r>
              <w:rPr>
                <w:color w:val="231F20"/>
                <w:spacing w:val="-21"/>
                <w:w w:val="95"/>
                <w:sz w:val="13"/>
              </w:rPr>
              <w:t xml:space="preserve"> </w:t>
            </w:r>
            <w:r>
              <w:rPr>
                <w:color w:val="231F20"/>
                <w:w w:val="95"/>
                <w:sz w:val="13"/>
              </w:rPr>
              <w:t>&amp;</w:t>
            </w:r>
            <w:r>
              <w:rPr>
                <w:color w:val="231F20"/>
                <w:spacing w:val="-21"/>
                <w:w w:val="95"/>
                <w:sz w:val="13"/>
              </w:rPr>
              <w:t xml:space="preserve"> </w:t>
            </w:r>
            <w:r>
              <w:rPr>
                <w:color w:val="231F20"/>
                <w:w w:val="95"/>
                <w:sz w:val="13"/>
              </w:rPr>
              <w:t>consumables</w:t>
            </w:r>
            <w:r>
              <w:rPr>
                <w:color w:val="231F20"/>
                <w:spacing w:val="-21"/>
                <w:w w:val="95"/>
                <w:sz w:val="13"/>
              </w:rPr>
              <w:t xml:space="preserve"> </w:t>
            </w:r>
            <w:r>
              <w:rPr>
                <w:color w:val="231F20"/>
                <w:w w:val="95"/>
                <w:sz w:val="13"/>
              </w:rPr>
              <w:t>procured</w:t>
            </w:r>
            <w:r>
              <w:rPr>
                <w:color w:val="231F20"/>
                <w:spacing w:val="-21"/>
                <w:w w:val="95"/>
                <w:sz w:val="13"/>
              </w:rPr>
              <w:t xml:space="preserve"> </w:t>
            </w:r>
            <w:r>
              <w:rPr>
                <w:color w:val="231F20"/>
                <w:spacing w:val="-5"/>
                <w:w w:val="95"/>
                <w:sz w:val="13"/>
              </w:rPr>
              <w:t xml:space="preserve">and </w:t>
            </w:r>
            <w:r>
              <w:rPr>
                <w:color w:val="231F20"/>
                <w:sz w:val="13"/>
              </w:rPr>
              <w:t>distributed to at least 200 Ward Health Centre</w:t>
            </w:r>
            <w:r>
              <w:rPr>
                <w:color w:val="231F20"/>
                <w:spacing w:val="-7"/>
                <w:sz w:val="13"/>
              </w:rPr>
              <w:t xml:space="preserve"> </w:t>
            </w:r>
            <w:r>
              <w:rPr>
                <w:color w:val="231F20"/>
                <w:sz w:val="13"/>
              </w:rPr>
              <w:t>laboratories</w:t>
            </w:r>
          </w:p>
          <w:p w14:paraId="326AED46" w14:textId="77777777" w:rsidR="009948F1" w:rsidRDefault="00BC0563">
            <w:pPr>
              <w:pStyle w:val="TableParagraph"/>
              <w:numPr>
                <w:ilvl w:val="0"/>
                <w:numId w:val="166"/>
              </w:numPr>
              <w:tabs>
                <w:tab w:val="left" w:pos="99"/>
              </w:tabs>
              <w:spacing w:line="256" w:lineRule="auto"/>
              <w:ind w:right="46" w:firstLine="0"/>
              <w:rPr>
                <w:sz w:val="13"/>
              </w:rPr>
            </w:pPr>
            <w:r>
              <w:rPr>
                <w:color w:val="231F20"/>
                <w:w w:val="95"/>
                <w:sz w:val="13"/>
              </w:rPr>
              <w:t>Malaria</w:t>
            </w:r>
            <w:r>
              <w:rPr>
                <w:color w:val="231F20"/>
                <w:spacing w:val="-17"/>
                <w:w w:val="95"/>
                <w:sz w:val="13"/>
              </w:rPr>
              <w:t xml:space="preserve"> </w:t>
            </w:r>
            <w:r>
              <w:rPr>
                <w:color w:val="231F20"/>
                <w:w w:val="95"/>
                <w:sz w:val="13"/>
              </w:rPr>
              <w:t>RDT</w:t>
            </w:r>
            <w:r>
              <w:rPr>
                <w:color w:val="231F20"/>
                <w:spacing w:val="-17"/>
                <w:w w:val="95"/>
                <w:sz w:val="13"/>
              </w:rPr>
              <w:t xml:space="preserve"> </w:t>
            </w:r>
            <w:r>
              <w:rPr>
                <w:color w:val="231F20"/>
                <w:w w:val="95"/>
                <w:sz w:val="13"/>
              </w:rPr>
              <w:t>Kits</w:t>
            </w:r>
            <w:r>
              <w:rPr>
                <w:color w:val="231F20"/>
                <w:spacing w:val="-16"/>
                <w:w w:val="95"/>
                <w:sz w:val="13"/>
              </w:rPr>
              <w:t xml:space="preserve"> </w:t>
            </w:r>
            <w:r>
              <w:rPr>
                <w:color w:val="231F20"/>
                <w:w w:val="95"/>
                <w:sz w:val="13"/>
              </w:rPr>
              <w:t>procured</w:t>
            </w:r>
            <w:r>
              <w:rPr>
                <w:color w:val="231F20"/>
                <w:spacing w:val="-16"/>
                <w:w w:val="95"/>
                <w:sz w:val="13"/>
              </w:rPr>
              <w:t xml:space="preserve"> </w:t>
            </w:r>
            <w:r>
              <w:rPr>
                <w:color w:val="231F20"/>
                <w:w w:val="95"/>
                <w:sz w:val="13"/>
              </w:rPr>
              <w:t>&amp;</w:t>
            </w:r>
            <w:r>
              <w:rPr>
                <w:color w:val="231F20"/>
                <w:spacing w:val="-16"/>
                <w:w w:val="95"/>
                <w:sz w:val="13"/>
              </w:rPr>
              <w:t xml:space="preserve"> </w:t>
            </w:r>
            <w:r>
              <w:rPr>
                <w:color w:val="231F20"/>
                <w:w w:val="95"/>
                <w:sz w:val="13"/>
              </w:rPr>
              <w:t>distributed</w:t>
            </w:r>
            <w:r>
              <w:rPr>
                <w:color w:val="231F20"/>
                <w:spacing w:val="-16"/>
                <w:w w:val="95"/>
                <w:sz w:val="13"/>
              </w:rPr>
              <w:t xml:space="preserve"> </w:t>
            </w:r>
            <w:r>
              <w:rPr>
                <w:color w:val="231F20"/>
                <w:w w:val="95"/>
                <w:sz w:val="13"/>
              </w:rPr>
              <w:t xml:space="preserve">to </w:t>
            </w:r>
            <w:r>
              <w:rPr>
                <w:color w:val="231F20"/>
                <w:sz w:val="13"/>
              </w:rPr>
              <w:t>at</w:t>
            </w:r>
            <w:r>
              <w:rPr>
                <w:color w:val="231F20"/>
                <w:spacing w:val="-22"/>
                <w:sz w:val="13"/>
              </w:rPr>
              <w:t xml:space="preserve"> </w:t>
            </w:r>
            <w:r>
              <w:rPr>
                <w:color w:val="231F20"/>
                <w:sz w:val="13"/>
              </w:rPr>
              <w:t>least</w:t>
            </w:r>
            <w:r>
              <w:rPr>
                <w:color w:val="231F20"/>
                <w:spacing w:val="-21"/>
                <w:sz w:val="13"/>
              </w:rPr>
              <w:t xml:space="preserve"> </w:t>
            </w:r>
            <w:r>
              <w:rPr>
                <w:color w:val="231F20"/>
                <w:sz w:val="13"/>
              </w:rPr>
              <w:t>200</w:t>
            </w:r>
            <w:r>
              <w:rPr>
                <w:color w:val="231F20"/>
                <w:spacing w:val="-21"/>
                <w:sz w:val="13"/>
              </w:rPr>
              <w:t xml:space="preserve"> </w:t>
            </w:r>
            <w:r>
              <w:rPr>
                <w:color w:val="231F20"/>
                <w:sz w:val="13"/>
              </w:rPr>
              <w:t>Primary</w:t>
            </w:r>
            <w:r>
              <w:rPr>
                <w:color w:val="231F20"/>
                <w:spacing w:val="-21"/>
                <w:sz w:val="13"/>
              </w:rPr>
              <w:t xml:space="preserve"> </w:t>
            </w:r>
            <w:r>
              <w:rPr>
                <w:color w:val="231F20"/>
                <w:sz w:val="13"/>
              </w:rPr>
              <w:t>&amp;</w:t>
            </w:r>
            <w:r>
              <w:rPr>
                <w:color w:val="231F20"/>
                <w:spacing w:val="-21"/>
                <w:sz w:val="13"/>
              </w:rPr>
              <w:t xml:space="preserve"> </w:t>
            </w:r>
            <w:r>
              <w:rPr>
                <w:color w:val="231F20"/>
                <w:sz w:val="13"/>
              </w:rPr>
              <w:t>Secondary</w:t>
            </w:r>
            <w:r>
              <w:rPr>
                <w:color w:val="231F20"/>
                <w:spacing w:val="-21"/>
                <w:sz w:val="13"/>
              </w:rPr>
              <w:t xml:space="preserve"> </w:t>
            </w:r>
            <w:r>
              <w:rPr>
                <w:color w:val="231F20"/>
                <w:sz w:val="13"/>
              </w:rPr>
              <w:t>Health facilities</w:t>
            </w:r>
          </w:p>
        </w:tc>
        <w:tc>
          <w:tcPr>
            <w:tcW w:w="1425" w:type="dxa"/>
            <w:tcBorders>
              <w:right w:val="single" w:sz="8" w:space="0" w:color="231F20"/>
            </w:tcBorders>
            <w:shd w:val="clear" w:color="auto" w:fill="CCE7D3"/>
          </w:tcPr>
          <w:p w14:paraId="4B1D6075" w14:textId="77777777" w:rsidR="009948F1" w:rsidRDefault="009948F1">
            <w:pPr>
              <w:pStyle w:val="TableParagraph"/>
              <w:rPr>
                <w:rFonts w:ascii="Times New Roman"/>
                <w:sz w:val="10"/>
              </w:rPr>
            </w:pPr>
          </w:p>
        </w:tc>
        <w:tc>
          <w:tcPr>
            <w:tcW w:w="1503" w:type="dxa"/>
            <w:tcBorders>
              <w:left w:val="single" w:sz="8" w:space="0" w:color="231F20"/>
            </w:tcBorders>
            <w:shd w:val="clear" w:color="auto" w:fill="CCE7D3"/>
          </w:tcPr>
          <w:p w14:paraId="410A5407" w14:textId="77777777" w:rsidR="009948F1" w:rsidRDefault="009948F1">
            <w:pPr>
              <w:pStyle w:val="TableParagraph"/>
              <w:rPr>
                <w:rFonts w:ascii="Times New Roman"/>
                <w:sz w:val="10"/>
              </w:rPr>
            </w:pPr>
          </w:p>
        </w:tc>
      </w:tr>
      <w:tr w:rsidR="009948F1" w14:paraId="4D442919" w14:textId="77777777">
        <w:trPr>
          <w:trHeight w:val="556"/>
        </w:trPr>
        <w:tc>
          <w:tcPr>
            <w:tcW w:w="1038" w:type="dxa"/>
            <w:gridSpan w:val="3"/>
            <w:vMerge w:val="restart"/>
            <w:tcBorders>
              <w:top w:val="nil"/>
              <w:bottom w:val="nil"/>
            </w:tcBorders>
          </w:tcPr>
          <w:p w14:paraId="5A6F3A2A" w14:textId="77777777" w:rsidR="009948F1" w:rsidRDefault="009948F1">
            <w:pPr>
              <w:pStyle w:val="TableParagraph"/>
              <w:rPr>
                <w:rFonts w:ascii="Times New Roman"/>
                <w:sz w:val="10"/>
              </w:rPr>
            </w:pPr>
          </w:p>
        </w:tc>
        <w:tc>
          <w:tcPr>
            <w:tcW w:w="525" w:type="dxa"/>
          </w:tcPr>
          <w:p w14:paraId="7817372B" w14:textId="77777777" w:rsidR="009948F1" w:rsidRDefault="009948F1">
            <w:pPr>
              <w:pStyle w:val="TableParagraph"/>
              <w:spacing w:before="7"/>
              <w:rPr>
                <w:sz w:val="17"/>
              </w:rPr>
            </w:pPr>
          </w:p>
          <w:p w14:paraId="2DAC6BA0" w14:textId="77777777" w:rsidR="009948F1" w:rsidRDefault="00BC0563">
            <w:pPr>
              <w:pStyle w:val="TableParagraph"/>
              <w:spacing w:before="1"/>
              <w:ind w:left="26" w:right="9"/>
              <w:jc w:val="center"/>
              <w:rPr>
                <w:sz w:val="13"/>
              </w:rPr>
            </w:pPr>
            <w:r>
              <w:rPr>
                <w:color w:val="231F20"/>
                <w:sz w:val="13"/>
              </w:rPr>
              <w:t>5.1.2.a</w:t>
            </w:r>
          </w:p>
        </w:tc>
        <w:tc>
          <w:tcPr>
            <w:tcW w:w="4889" w:type="dxa"/>
            <w:gridSpan w:val="2"/>
          </w:tcPr>
          <w:p w14:paraId="4AA9AE78" w14:textId="77777777" w:rsidR="009948F1" w:rsidRDefault="009948F1">
            <w:pPr>
              <w:pStyle w:val="TableParagraph"/>
              <w:spacing w:before="2"/>
              <w:rPr>
                <w:sz w:val="17"/>
              </w:rPr>
            </w:pPr>
          </w:p>
          <w:p w14:paraId="6A970729" w14:textId="77777777" w:rsidR="009948F1" w:rsidRDefault="00BC0563">
            <w:pPr>
              <w:pStyle w:val="TableParagraph"/>
              <w:ind w:left="23"/>
              <w:rPr>
                <w:sz w:val="13"/>
              </w:rPr>
            </w:pPr>
            <w:r>
              <w:rPr>
                <w:color w:val="231F20"/>
                <w:sz w:val="13"/>
              </w:rPr>
              <w:t xml:space="preserve">Upgrade Ward Health </w:t>
            </w:r>
            <w:proofErr w:type="spellStart"/>
            <w:r>
              <w:rPr>
                <w:color w:val="231F20"/>
                <w:sz w:val="13"/>
              </w:rPr>
              <w:t>Centres</w:t>
            </w:r>
            <w:proofErr w:type="spellEnd"/>
            <w:r>
              <w:rPr>
                <w:color w:val="231F20"/>
                <w:sz w:val="13"/>
              </w:rPr>
              <w:t xml:space="preserve"> for laboratory services</w:t>
            </w:r>
          </w:p>
        </w:tc>
        <w:tc>
          <w:tcPr>
            <w:tcW w:w="1425" w:type="dxa"/>
          </w:tcPr>
          <w:p w14:paraId="3EFA9A5E" w14:textId="77777777" w:rsidR="009948F1" w:rsidRDefault="009948F1">
            <w:pPr>
              <w:pStyle w:val="TableParagraph"/>
              <w:spacing w:before="7"/>
              <w:rPr>
                <w:sz w:val="17"/>
              </w:rPr>
            </w:pPr>
          </w:p>
          <w:p w14:paraId="2F00E642" w14:textId="77777777" w:rsidR="009948F1" w:rsidRDefault="00BC0563">
            <w:pPr>
              <w:pStyle w:val="TableParagraph"/>
              <w:spacing w:before="1"/>
              <w:ind w:left="25"/>
              <w:rPr>
                <w:sz w:val="13"/>
              </w:rPr>
            </w:pPr>
            <w:r>
              <w:rPr>
                <w:color w:val="231F20"/>
                <w:sz w:val="13"/>
              </w:rPr>
              <w:t>Lack of funds</w:t>
            </w:r>
          </w:p>
        </w:tc>
        <w:tc>
          <w:tcPr>
            <w:tcW w:w="1503" w:type="dxa"/>
          </w:tcPr>
          <w:p w14:paraId="508E5136" w14:textId="77777777" w:rsidR="009948F1" w:rsidRDefault="009948F1">
            <w:pPr>
              <w:pStyle w:val="TableParagraph"/>
              <w:spacing w:before="8"/>
              <w:rPr>
                <w:sz w:val="10"/>
              </w:rPr>
            </w:pPr>
          </w:p>
          <w:p w14:paraId="7ECE5948" w14:textId="77777777" w:rsidR="009948F1" w:rsidRDefault="00BC0563">
            <w:pPr>
              <w:pStyle w:val="TableParagraph"/>
              <w:spacing w:line="256" w:lineRule="auto"/>
              <w:ind w:left="25" w:right="248"/>
              <w:rPr>
                <w:sz w:val="13"/>
              </w:rPr>
            </w:pPr>
            <w:r>
              <w:rPr>
                <w:color w:val="231F20"/>
                <w:w w:val="95"/>
                <w:sz w:val="13"/>
              </w:rPr>
              <w:t xml:space="preserve">Upgrade Ward Health </w:t>
            </w:r>
            <w:proofErr w:type="spellStart"/>
            <w:r>
              <w:rPr>
                <w:color w:val="231F20"/>
                <w:sz w:val="13"/>
              </w:rPr>
              <w:t>Centres</w:t>
            </w:r>
            <w:proofErr w:type="spellEnd"/>
          </w:p>
        </w:tc>
      </w:tr>
      <w:tr w:rsidR="009948F1" w14:paraId="4B55431B" w14:textId="77777777">
        <w:trPr>
          <w:trHeight w:val="572"/>
        </w:trPr>
        <w:tc>
          <w:tcPr>
            <w:tcW w:w="1038" w:type="dxa"/>
            <w:gridSpan w:val="3"/>
            <w:vMerge/>
            <w:tcBorders>
              <w:top w:val="nil"/>
              <w:bottom w:val="nil"/>
            </w:tcBorders>
          </w:tcPr>
          <w:p w14:paraId="4AE98D5B" w14:textId="77777777" w:rsidR="009948F1" w:rsidRDefault="009948F1">
            <w:pPr>
              <w:rPr>
                <w:sz w:val="2"/>
                <w:szCs w:val="2"/>
              </w:rPr>
            </w:pPr>
          </w:p>
        </w:tc>
        <w:tc>
          <w:tcPr>
            <w:tcW w:w="525" w:type="dxa"/>
          </w:tcPr>
          <w:p w14:paraId="7CE0BDC3" w14:textId="77777777" w:rsidR="009948F1" w:rsidRDefault="009948F1">
            <w:pPr>
              <w:pStyle w:val="TableParagraph"/>
              <w:rPr>
                <w:sz w:val="12"/>
              </w:rPr>
            </w:pPr>
          </w:p>
          <w:p w14:paraId="54DCDCA5" w14:textId="77777777" w:rsidR="009948F1" w:rsidRDefault="00BC0563">
            <w:pPr>
              <w:pStyle w:val="TableParagraph"/>
              <w:spacing w:before="73"/>
              <w:ind w:left="26" w:right="9"/>
              <w:jc w:val="center"/>
              <w:rPr>
                <w:sz w:val="13"/>
              </w:rPr>
            </w:pPr>
            <w:r>
              <w:rPr>
                <w:color w:val="231F20"/>
                <w:sz w:val="13"/>
              </w:rPr>
              <w:t>5.1.2.b</w:t>
            </w:r>
          </w:p>
        </w:tc>
        <w:tc>
          <w:tcPr>
            <w:tcW w:w="4889" w:type="dxa"/>
            <w:gridSpan w:val="2"/>
          </w:tcPr>
          <w:p w14:paraId="38099B0E" w14:textId="77777777" w:rsidR="009948F1" w:rsidRDefault="009948F1">
            <w:pPr>
              <w:pStyle w:val="TableParagraph"/>
              <w:spacing w:before="10"/>
              <w:rPr>
                <w:sz w:val="17"/>
              </w:rPr>
            </w:pPr>
          </w:p>
          <w:p w14:paraId="638E3E40" w14:textId="77777777" w:rsidR="009948F1" w:rsidRDefault="00BC0563">
            <w:pPr>
              <w:pStyle w:val="TableParagraph"/>
              <w:ind w:left="56"/>
              <w:rPr>
                <w:sz w:val="13"/>
              </w:rPr>
            </w:pPr>
            <w:r>
              <w:rPr>
                <w:color w:val="231F20"/>
                <w:sz w:val="13"/>
              </w:rPr>
              <w:t>Procure &amp; distribute microscopes for 319 Ward Health Centre laboratories</w:t>
            </w:r>
          </w:p>
        </w:tc>
        <w:tc>
          <w:tcPr>
            <w:tcW w:w="1425" w:type="dxa"/>
          </w:tcPr>
          <w:p w14:paraId="62F7191B" w14:textId="77777777" w:rsidR="009948F1" w:rsidRDefault="009948F1">
            <w:pPr>
              <w:pStyle w:val="TableParagraph"/>
              <w:rPr>
                <w:sz w:val="12"/>
              </w:rPr>
            </w:pPr>
          </w:p>
          <w:p w14:paraId="3C8B0450" w14:textId="77777777" w:rsidR="009948F1" w:rsidRDefault="00BC0563">
            <w:pPr>
              <w:pStyle w:val="TableParagraph"/>
              <w:spacing w:before="73"/>
              <w:ind w:left="25"/>
              <w:rPr>
                <w:sz w:val="13"/>
              </w:rPr>
            </w:pPr>
            <w:r>
              <w:rPr>
                <w:color w:val="231F20"/>
                <w:sz w:val="13"/>
              </w:rPr>
              <w:t>Lack of funds</w:t>
            </w:r>
          </w:p>
        </w:tc>
        <w:tc>
          <w:tcPr>
            <w:tcW w:w="1503" w:type="dxa"/>
          </w:tcPr>
          <w:p w14:paraId="3C31534B" w14:textId="77777777" w:rsidR="009948F1" w:rsidRDefault="00BC0563">
            <w:pPr>
              <w:pStyle w:val="TableParagraph"/>
              <w:spacing w:before="51" w:line="256" w:lineRule="auto"/>
              <w:ind w:left="25" w:right="159"/>
              <w:rPr>
                <w:sz w:val="13"/>
              </w:rPr>
            </w:pPr>
            <w:r>
              <w:rPr>
                <w:color w:val="231F20"/>
                <w:sz w:val="13"/>
              </w:rPr>
              <w:t xml:space="preserve">Procure/distribute </w:t>
            </w:r>
            <w:r>
              <w:rPr>
                <w:color w:val="231F20"/>
                <w:w w:val="95"/>
                <w:sz w:val="13"/>
              </w:rPr>
              <w:t xml:space="preserve">microscopes. Costed in </w:t>
            </w:r>
            <w:r>
              <w:rPr>
                <w:color w:val="231F20"/>
                <w:sz w:val="13"/>
              </w:rPr>
              <w:t>OHT</w:t>
            </w:r>
          </w:p>
        </w:tc>
      </w:tr>
      <w:tr w:rsidR="009948F1" w14:paraId="497A027C" w14:textId="77777777">
        <w:trPr>
          <w:trHeight w:val="360"/>
        </w:trPr>
        <w:tc>
          <w:tcPr>
            <w:tcW w:w="1038" w:type="dxa"/>
            <w:gridSpan w:val="3"/>
            <w:vMerge/>
            <w:tcBorders>
              <w:top w:val="nil"/>
              <w:bottom w:val="nil"/>
            </w:tcBorders>
          </w:tcPr>
          <w:p w14:paraId="20FC3B00" w14:textId="77777777" w:rsidR="009948F1" w:rsidRDefault="009948F1">
            <w:pPr>
              <w:rPr>
                <w:sz w:val="2"/>
                <w:szCs w:val="2"/>
              </w:rPr>
            </w:pPr>
          </w:p>
        </w:tc>
        <w:tc>
          <w:tcPr>
            <w:tcW w:w="525" w:type="dxa"/>
          </w:tcPr>
          <w:p w14:paraId="077040D3" w14:textId="77777777" w:rsidR="009948F1" w:rsidRDefault="00BC0563">
            <w:pPr>
              <w:pStyle w:val="TableParagraph"/>
              <w:spacing w:before="105"/>
              <w:ind w:left="27" w:right="9"/>
              <w:jc w:val="center"/>
              <w:rPr>
                <w:sz w:val="13"/>
              </w:rPr>
            </w:pPr>
            <w:r>
              <w:rPr>
                <w:color w:val="231F20"/>
                <w:sz w:val="13"/>
              </w:rPr>
              <w:t>5.1.2.c</w:t>
            </w:r>
          </w:p>
        </w:tc>
        <w:tc>
          <w:tcPr>
            <w:tcW w:w="4889" w:type="dxa"/>
            <w:gridSpan w:val="2"/>
          </w:tcPr>
          <w:p w14:paraId="78739F9D" w14:textId="77777777" w:rsidR="009948F1" w:rsidRDefault="00BC0563">
            <w:pPr>
              <w:pStyle w:val="TableParagraph"/>
              <w:spacing w:before="99"/>
              <w:ind w:left="23"/>
              <w:rPr>
                <w:sz w:val="13"/>
              </w:rPr>
            </w:pPr>
            <w:r>
              <w:rPr>
                <w:color w:val="231F20"/>
                <w:sz w:val="13"/>
              </w:rPr>
              <w:t>Procure and distribute malaria RDT Kits to Primary &amp; Secondary Health facilities</w:t>
            </w:r>
          </w:p>
        </w:tc>
        <w:tc>
          <w:tcPr>
            <w:tcW w:w="1425" w:type="dxa"/>
          </w:tcPr>
          <w:p w14:paraId="06BF3663" w14:textId="77777777" w:rsidR="009948F1" w:rsidRDefault="00BC0563">
            <w:pPr>
              <w:pStyle w:val="TableParagraph"/>
              <w:spacing w:before="105"/>
              <w:ind w:left="25"/>
              <w:rPr>
                <w:sz w:val="13"/>
              </w:rPr>
            </w:pPr>
            <w:r>
              <w:rPr>
                <w:color w:val="231F20"/>
                <w:sz w:val="13"/>
              </w:rPr>
              <w:t>Lack of funds</w:t>
            </w:r>
          </w:p>
        </w:tc>
        <w:tc>
          <w:tcPr>
            <w:tcW w:w="1503" w:type="dxa"/>
          </w:tcPr>
          <w:p w14:paraId="70961A40" w14:textId="77777777" w:rsidR="009948F1" w:rsidRDefault="00BC0563">
            <w:pPr>
              <w:pStyle w:val="TableParagraph"/>
              <w:spacing w:line="256" w:lineRule="auto"/>
              <w:ind w:left="25" w:right="49" w:firstLine="32"/>
              <w:rPr>
                <w:sz w:val="13"/>
              </w:rPr>
            </w:pPr>
            <w:r>
              <w:rPr>
                <w:color w:val="231F20"/>
                <w:sz w:val="13"/>
              </w:rPr>
              <w:t xml:space="preserve">Procure and distribute </w:t>
            </w:r>
            <w:r>
              <w:rPr>
                <w:color w:val="231F20"/>
                <w:w w:val="95"/>
                <w:sz w:val="13"/>
              </w:rPr>
              <w:t>Malaria RDT Kits. Costed</w:t>
            </w:r>
          </w:p>
        </w:tc>
      </w:tr>
      <w:tr w:rsidR="009948F1" w14:paraId="630BADF9" w14:textId="77777777">
        <w:trPr>
          <w:trHeight w:val="430"/>
        </w:trPr>
        <w:tc>
          <w:tcPr>
            <w:tcW w:w="1038" w:type="dxa"/>
            <w:gridSpan w:val="3"/>
            <w:vMerge/>
            <w:tcBorders>
              <w:top w:val="nil"/>
              <w:bottom w:val="nil"/>
            </w:tcBorders>
          </w:tcPr>
          <w:p w14:paraId="68BE24FD" w14:textId="77777777" w:rsidR="009948F1" w:rsidRDefault="009948F1">
            <w:pPr>
              <w:rPr>
                <w:sz w:val="2"/>
                <w:szCs w:val="2"/>
              </w:rPr>
            </w:pPr>
          </w:p>
        </w:tc>
        <w:tc>
          <w:tcPr>
            <w:tcW w:w="525" w:type="dxa"/>
          </w:tcPr>
          <w:p w14:paraId="619DE4DC" w14:textId="77777777" w:rsidR="009948F1" w:rsidRDefault="009948F1">
            <w:pPr>
              <w:pStyle w:val="TableParagraph"/>
              <w:spacing w:before="1"/>
              <w:rPr>
                <w:sz w:val="12"/>
              </w:rPr>
            </w:pPr>
          </w:p>
          <w:p w14:paraId="0161BBCB" w14:textId="77777777" w:rsidR="009948F1" w:rsidRDefault="00BC0563">
            <w:pPr>
              <w:pStyle w:val="TableParagraph"/>
              <w:spacing w:before="1"/>
              <w:ind w:left="26" w:right="9"/>
              <w:jc w:val="center"/>
              <w:rPr>
                <w:sz w:val="13"/>
              </w:rPr>
            </w:pPr>
            <w:r>
              <w:rPr>
                <w:color w:val="231F20"/>
                <w:sz w:val="13"/>
              </w:rPr>
              <w:t>5.1.2.d</w:t>
            </w:r>
          </w:p>
        </w:tc>
        <w:tc>
          <w:tcPr>
            <w:tcW w:w="4889" w:type="dxa"/>
            <w:gridSpan w:val="2"/>
          </w:tcPr>
          <w:p w14:paraId="1D6E157E" w14:textId="77777777" w:rsidR="009948F1" w:rsidRDefault="009948F1">
            <w:pPr>
              <w:pStyle w:val="TableParagraph"/>
              <w:spacing w:before="8"/>
              <w:rPr>
                <w:sz w:val="11"/>
              </w:rPr>
            </w:pPr>
          </w:p>
          <w:p w14:paraId="233B45D6" w14:textId="77777777" w:rsidR="009948F1" w:rsidRDefault="00BC0563">
            <w:pPr>
              <w:pStyle w:val="TableParagraph"/>
              <w:ind w:left="56"/>
              <w:rPr>
                <w:sz w:val="13"/>
              </w:rPr>
            </w:pPr>
            <w:r>
              <w:rPr>
                <w:color w:val="231F20"/>
                <w:sz w:val="13"/>
              </w:rPr>
              <w:t xml:space="preserve">Procure consumables for Ward Health </w:t>
            </w:r>
            <w:proofErr w:type="spellStart"/>
            <w:r>
              <w:rPr>
                <w:color w:val="231F20"/>
                <w:sz w:val="13"/>
              </w:rPr>
              <w:t>Centres</w:t>
            </w:r>
            <w:proofErr w:type="spellEnd"/>
            <w:r>
              <w:rPr>
                <w:color w:val="231F20"/>
                <w:sz w:val="13"/>
              </w:rPr>
              <w:t xml:space="preserve"> laboratories</w:t>
            </w:r>
          </w:p>
        </w:tc>
        <w:tc>
          <w:tcPr>
            <w:tcW w:w="1425" w:type="dxa"/>
          </w:tcPr>
          <w:p w14:paraId="33F2F786" w14:textId="77777777" w:rsidR="009948F1" w:rsidRDefault="009948F1">
            <w:pPr>
              <w:pStyle w:val="TableParagraph"/>
              <w:spacing w:before="1"/>
              <w:rPr>
                <w:sz w:val="12"/>
              </w:rPr>
            </w:pPr>
          </w:p>
          <w:p w14:paraId="0B0EAA89" w14:textId="77777777" w:rsidR="009948F1" w:rsidRDefault="00BC0563">
            <w:pPr>
              <w:pStyle w:val="TableParagraph"/>
              <w:spacing w:before="1"/>
              <w:ind w:left="25"/>
              <w:rPr>
                <w:sz w:val="13"/>
              </w:rPr>
            </w:pPr>
            <w:r>
              <w:rPr>
                <w:color w:val="231F20"/>
                <w:sz w:val="13"/>
              </w:rPr>
              <w:t>Lack of funds</w:t>
            </w:r>
          </w:p>
        </w:tc>
        <w:tc>
          <w:tcPr>
            <w:tcW w:w="1503" w:type="dxa"/>
          </w:tcPr>
          <w:p w14:paraId="4CB0F33E" w14:textId="77777777" w:rsidR="009948F1" w:rsidRDefault="00BC0563">
            <w:pPr>
              <w:pStyle w:val="TableParagraph"/>
              <w:spacing w:line="147" w:lineRule="exact"/>
              <w:ind w:left="25"/>
              <w:rPr>
                <w:sz w:val="13"/>
              </w:rPr>
            </w:pPr>
            <w:proofErr w:type="spellStart"/>
            <w:r>
              <w:rPr>
                <w:color w:val="231F20"/>
                <w:spacing w:val="-27"/>
                <w:w w:val="91"/>
                <w:position w:val="6"/>
                <w:sz w:val="13"/>
              </w:rPr>
              <w:t>i</w:t>
            </w:r>
            <w:proofErr w:type="spellEnd"/>
            <w:r>
              <w:rPr>
                <w:color w:val="231F20"/>
                <w:spacing w:val="-53"/>
                <w:w w:val="91"/>
                <w:sz w:val="13"/>
              </w:rPr>
              <w:t>P</w:t>
            </w:r>
            <w:r>
              <w:rPr>
                <w:color w:val="231F20"/>
                <w:spacing w:val="-14"/>
                <w:w w:val="91"/>
                <w:position w:val="6"/>
                <w:sz w:val="13"/>
              </w:rPr>
              <w:t>n</w:t>
            </w:r>
            <w:proofErr w:type="spellStart"/>
            <w:r>
              <w:rPr>
                <w:color w:val="231F20"/>
                <w:w w:val="91"/>
                <w:sz w:val="13"/>
              </w:rPr>
              <w:t>r</w:t>
            </w:r>
            <w:r>
              <w:rPr>
                <w:color w:val="231F20"/>
                <w:spacing w:val="-60"/>
                <w:w w:val="91"/>
                <w:sz w:val="13"/>
              </w:rPr>
              <w:t>o</w:t>
            </w:r>
            <w:proofErr w:type="spellEnd"/>
            <w:r>
              <w:rPr>
                <w:color w:val="231F20"/>
                <w:spacing w:val="-20"/>
                <w:w w:val="91"/>
                <w:position w:val="6"/>
                <w:sz w:val="13"/>
              </w:rPr>
              <w:t>P</w:t>
            </w:r>
            <w:r>
              <w:rPr>
                <w:color w:val="231F20"/>
                <w:spacing w:val="-40"/>
                <w:w w:val="91"/>
                <w:sz w:val="13"/>
              </w:rPr>
              <w:t>c</w:t>
            </w:r>
            <w:r>
              <w:rPr>
                <w:color w:val="231F20"/>
                <w:spacing w:val="-47"/>
                <w:w w:val="91"/>
                <w:position w:val="6"/>
                <w:sz w:val="13"/>
              </w:rPr>
              <w:t>H</w:t>
            </w:r>
            <w:r>
              <w:rPr>
                <w:color w:val="231F20"/>
                <w:spacing w:val="-20"/>
                <w:w w:val="91"/>
                <w:sz w:val="13"/>
              </w:rPr>
              <w:t>u</w:t>
            </w:r>
            <w:r>
              <w:rPr>
                <w:color w:val="231F20"/>
                <w:spacing w:val="-53"/>
                <w:w w:val="91"/>
                <w:position w:val="6"/>
                <w:sz w:val="13"/>
              </w:rPr>
              <w:t>T</w:t>
            </w:r>
            <w:r>
              <w:rPr>
                <w:color w:val="231F20"/>
                <w:w w:val="91"/>
                <w:sz w:val="13"/>
              </w:rPr>
              <w:t>re</w:t>
            </w:r>
            <w:r>
              <w:rPr>
                <w:color w:val="231F20"/>
                <w:spacing w:val="-4"/>
                <w:sz w:val="13"/>
              </w:rPr>
              <w:t xml:space="preserve"> </w:t>
            </w:r>
            <w:r>
              <w:rPr>
                <w:color w:val="231F20"/>
                <w:w w:val="91"/>
                <w:sz w:val="13"/>
              </w:rPr>
              <w:t>&amp;</w:t>
            </w:r>
            <w:r>
              <w:rPr>
                <w:color w:val="231F20"/>
                <w:spacing w:val="-4"/>
                <w:sz w:val="13"/>
              </w:rPr>
              <w:t xml:space="preserve"> </w:t>
            </w:r>
            <w:r>
              <w:rPr>
                <w:color w:val="231F20"/>
                <w:w w:val="91"/>
                <w:sz w:val="13"/>
              </w:rPr>
              <w:t>dis</w:t>
            </w:r>
            <w:r>
              <w:rPr>
                <w:color w:val="231F20"/>
                <w:spacing w:val="-1"/>
                <w:w w:val="91"/>
                <w:sz w:val="13"/>
              </w:rPr>
              <w:t>t</w:t>
            </w:r>
            <w:r>
              <w:rPr>
                <w:color w:val="231F20"/>
                <w:w w:val="91"/>
                <w:sz w:val="13"/>
              </w:rPr>
              <w:t>ribu</w:t>
            </w:r>
            <w:r>
              <w:rPr>
                <w:color w:val="231F20"/>
                <w:spacing w:val="-1"/>
                <w:w w:val="91"/>
                <w:sz w:val="13"/>
              </w:rPr>
              <w:t>t</w:t>
            </w:r>
            <w:r>
              <w:rPr>
                <w:color w:val="231F20"/>
                <w:w w:val="91"/>
                <w:sz w:val="13"/>
              </w:rPr>
              <w:t>e</w:t>
            </w:r>
          </w:p>
          <w:p w14:paraId="3B706CD3" w14:textId="2F1B846B" w:rsidR="009948F1" w:rsidRDefault="00FB089D">
            <w:pPr>
              <w:pStyle w:val="TableParagraph"/>
              <w:spacing w:line="160" w:lineRule="atLeast"/>
              <w:ind w:left="25" w:right="305"/>
              <w:rPr>
                <w:sz w:val="13"/>
              </w:rPr>
            </w:pPr>
            <w:r>
              <w:rPr>
                <w:color w:val="231F20"/>
                <w:w w:val="90"/>
                <w:sz w:val="13"/>
              </w:rPr>
              <w:t>Malaria</w:t>
            </w:r>
            <w:r w:rsidR="00BC0563">
              <w:rPr>
                <w:color w:val="231F20"/>
                <w:w w:val="90"/>
                <w:sz w:val="13"/>
              </w:rPr>
              <w:t xml:space="preserve"> consumables. </w:t>
            </w:r>
            <w:r w:rsidR="00BC0563">
              <w:rPr>
                <w:color w:val="231F20"/>
                <w:sz w:val="13"/>
              </w:rPr>
              <w:t>Costed in OHT</w:t>
            </w:r>
          </w:p>
        </w:tc>
      </w:tr>
      <w:tr w:rsidR="009948F1" w14:paraId="3406BB1D" w14:textId="77777777">
        <w:trPr>
          <w:trHeight w:val="317"/>
        </w:trPr>
        <w:tc>
          <w:tcPr>
            <w:tcW w:w="1038" w:type="dxa"/>
            <w:gridSpan w:val="3"/>
            <w:vMerge/>
            <w:tcBorders>
              <w:top w:val="nil"/>
              <w:bottom w:val="nil"/>
            </w:tcBorders>
          </w:tcPr>
          <w:p w14:paraId="521E02B2" w14:textId="77777777" w:rsidR="009948F1" w:rsidRDefault="009948F1">
            <w:pPr>
              <w:rPr>
                <w:sz w:val="2"/>
                <w:szCs w:val="2"/>
              </w:rPr>
            </w:pPr>
          </w:p>
        </w:tc>
        <w:tc>
          <w:tcPr>
            <w:tcW w:w="525" w:type="dxa"/>
          </w:tcPr>
          <w:p w14:paraId="645A4D50" w14:textId="77777777" w:rsidR="009948F1" w:rsidRDefault="00BC0563">
            <w:pPr>
              <w:pStyle w:val="TableParagraph"/>
              <w:spacing w:before="65"/>
              <w:ind w:left="26" w:right="9"/>
              <w:jc w:val="center"/>
              <w:rPr>
                <w:sz w:val="13"/>
              </w:rPr>
            </w:pPr>
            <w:r>
              <w:rPr>
                <w:color w:val="231F20"/>
                <w:sz w:val="13"/>
              </w:rPr>
              <w:t>5.1.2.e</w:t>
            </w:r>
          </w:p>
        </w:tc>
        <w:tc>
          <w:tcPr>
            <w:tcW w:w="4889" w:type="dxa"/>
            <w:gridSpan w:val="2"/>
          </w:tcPr>
          <w:p w14:paraId="7754F06B" w14:textId="77777777" w:rsidR="009948F1" w:rsidRDefault="00BC0563">
            <w:pPr>
              <w:pStyle w:val="TableParagraph"/>
              <w:spacing w:before="59"/>
              <w:ind w:left="23"/>
              <w:rPr>
                <w:sz w:val="13"/>
              </w:rPr>
            </w:pPr>
            <w:r>
              <w:rPr>
                <w:color w:val="231F20"/>
                <w:sz w:val="13"/>
              </w:rPr>
              <w:t>Conduct parasitological diagnosis</w:t>
            </w:r>
          </w:p>
        </w:tc>
        <w:tc>
          <w:tcPr>
            <w:tcW w:w="1425" w:type="dxa"/>
          </w:tcPr>
          <w:p w14:paraId="10982A77" w14:textId="77777777" w:rsidR="009948F1" w:rsidRDefault="00BC0563">
            <w:pPr>
              <w:pStyle w:val="TableParagraph"/>
              <w:spacing w:before="65"/>
              <w:ind w:left="25"/>
              <w:rPr>
                <w:sz w:val="13"/>
              </w:rPr>
            </w:pPr>
            <w:r>
              <w:rPr>
                <w:color w:val="231F20"/>
                <w:sz w:val="13"/>
              </w:rPr>
              <w:t>Lack of funds</w:t>
            </w:r>
          </w:p>
        </w:tc>
        <w:tc>
          <w:tcPr>
            <w:tcW w:w="1503" w:type="dxa"/>
          </w:tcPr>
          <w:p w14:paraId="38A1D8CB" w14:textId="77777777" w:rsidR="009948F1" w:rsidRDefault="00BC0563">
            <w:pPr>
              <w:pStyle w:val="TableParagraph"/>
              <w:spacing w:before="65"/>
              <w:ind w:left="25"/>
              <w:rPr>
                <w:sz w:val="13"/>
              </w:rPr>
            </w:pPr>
            <w:r>
              <w:rPr>
                <w:color w:val="231F20"/>
                <w:sz w:val="13"/>
              </w:rPr>
              <w:t>No cost</w:t>
            </w:r>
          </w:p>
        </w:tc>
      </w:tr>
      <w:tr w:rsidR="009948F1" w14:paraId="00C6F222" w14:textId="77777777">
        <w:trPr>
          <w:trHeight w:val="1473"/>
        </w:trPr>
        <w:tc>
          <w:tcPr>
            <w:tcW w:w="584" w:type="dxa"/>
            <w:gridSpan w:val="2"/>
            <w:tcBorders>
              <w:top w:val="nil"/>
              <w:bottom w:val="nil"/>
            </w:tcBorders>
          </w:tcPr>
          <w:p w14:paraId="01451970" w14:textId="77777777" w:rsidR="009948F1" w:rsidRDefault="009948F1">
            <w:pPr>
              <w:pStyle w:val="TableParagraph"/>
              <w:rPr>
                <w:rFonts w:ascii="Times New Roman"/>
                <w:sz w:val="10"/>
              </w:rPr>
            </w:pPr>
          </w:p>
        </w:tc>
        <w:tc>
          <w:tcPr>
            <w:tcW w:w="454" w:type="dxa"/>
            <w:shd w:val="clear" w:color="auto" w:fill="CCE7D3"/>
          </w:tcPr>
          <w:p w14:paraId="52ED7F41" w14:textId="77777777" w:rsidR="009948F1" w:rsidRDefault="009948F1">
            <w:pPr>
              <w:pStyle w:val="TableParagraph"/>
              <w:rPr>
                <w:sz w:val="12"/>
              </w:rPr>
            </w:pPr>
          </w:p>
          <w:p w14:paraId="7C37C8D6" w14:textId="77777777" w:rsidR="009948F1" w:rsidRDefault="009948F1">
            <w:pPr>
              <w:pStyle w:val="TableParagraph"/>
              <w:rPr>
                <w:sz w:val="12"/>
              </w:rPr>
            </w:pPr>
          </w:p>
          <w:p w14:paraId="0320B873" w14:textId="77777777" w:rsidR="009948F1" w:rsidRDefault="009948F1">
            <w:pPr>
              <w:pStyle w:val="TableParagraph"/>
              <w:rPr>
                <w:sz w:val="12"/>
              </w:rPr>
            </w:pPr>
          </w:p>
          <w:p w14:paraId="1950CD40" w14:textId="77777777" w:rsidR="009948F1" w:rsidRDefault="009948F1">
            <w:pPr>
              <w:pStyle w:val="TableParagraph"/>
              <w:rPr>
                <w:sz w:val="12"/>
              </w:rPr>
            </w:pPr>
          </w:p>
          <w:p w14:paraId="4BDECFF1" w14:textId="77777777" w:rsidR="009948F1" w:rsidRDefault="009948F1">
            <w:pPr>
              <w:pStyle w:val="TableParagraph"/>
              <w:spacing w:before="6"/>
              <w:rPr>
                <w:sz w:val="9"/>
              </w:rPr>
            </w:pPr>
          </w:p>
          <w:p w14:paraId="3DDC2A2A" w14:textId="77777777" w:rsidR="009948F1" w:rsidRDefault="00BC0563">
            <w:pPr>
              <w:pStyle w:val="TableParagraph"/>
              <w:ind w:left="55"/>
              <w:rPr>
                <w:sz w:val="13"/>
              </w:rPr>
            </w:pPr>
            <w:r>
              <w:rPr>
                <w:color w:val="231F20"/>
                <w:sz w:val="13"/>
              </w:rPr>
              <w:t>5.1.3</w:t>
            </w:r>
          </w:p>
        </w:tc>
        <w:tc>
          <w:tcPr>
            <w:tcW w:w="3033" w:type="dxa"/>
            <w:gridSpan w:val="2"/>
            <w:shd w:val="clear" w:color="auto" w:fill="CCE7D3"/>
          </w:tcPr>
          <w:p w14:paraId="424A7063" w14:textId="77777777" w:rsidR="009948F1" w:rsidRDefault="009948F1">
            <w:pPr>
              <w:pStyle w:val="TableParagraph"/>
              <w:rPr>
                <w:sz w:val="12"/>
              </w:rPr>
            </w:pPr>
          </w:p>
          <w:p w14:paraId="3CC66BB8" w14:textId="77777777" w:rsidR="009948F1" w:rsidRDefault="009948F1">
            <w:pPr>
              <w:pStyle w:val="TableParagraph"/>
              <w:rPr>
                <w:sz w:val="12"/>
              </w:rPr>
            </w:pPr>
          </w:p>
          <w:p w14:paraId="231F3EF2" w14:textId="77777777" w:rsidR="009948F1" w:rsidRDefault="009948F1">
            <w:pPr>
              <w:pStyle w:val="TableParagraph"/>
              <w:rPr>
                <w:sz w:val="12"/>
              </w:rPr>
            </w:pPr>
          </w:p>
          <w:p w14:paraId="00BEA03C" w14:textId="77777777" w:rsidR="009948F1" w:rsidRDefault="009948F1">
            <w:pPr>
              <w:pStyle w:val="TableParagraph"/>
              <w:spacing w:before="1"/>
              <w:rPr>
                <w:sz w:val="14"/>
              </w:rPr>
            </w:pPr>
          </w:p>
          <w:p w14:paraId="2C15DADD" w14:textId="77777777" w:rsidR="009948F1" w:rsidRDefault="00BC0563">
            <w:pPr>
              <w:pStyle w:val="TableParagraph"/>
              <w:spacing w:line="256" w:lineRule="auto"/>
              <w:ind w:left="23" w:right="86" w:firstLine="32"/>
              <w:rPr>
                <w:sz w:val="13"/>
              </w:rPr>
            </w:pPr>
            <w:r>
              <w:rPr>
                <w:color w:val="231F20"/>
                <w:w w:val="95"/>
                <w:sz w:val="13"/>
              </w:rPr>
              <w:t>Build</w:t>
            </w:r>
            <w:r>
              <w:rPr>
                <w:color w:val="231F20"/>
                <w:spacing w:val="-16"/>
                <w:w w:val="95"/>
                <w:sz w:val="13"/>
              </w:rPr>
              <w:t xml:space="preserve"> </w:t>
            </w:r>
            <w:r>
              <w:rPr>
                <w:color w:val="231F20"/>
                <w:w w:val="95"/>
                <w:sz w:val="13"/>
              </w:rPr>
              <w:t>capacity</w:t>
            </w:r>
            <w:r>
              <w:rPr>
                <w:color w:val="231F20"/>
                <w:spacing w:val="-15"/>
                <w:w w:val="95"/>
                <w:sz w:val="13"/>
              </w:rPr>
              <w:t xml:space="preserve"> </w:t>
            </w:r>
            <w:r>
              <w:rPr>
                <w:color w:val="231F20"/>
                <w:w w:val="95"/>
                <w:sz w:val="13"/>
              </w:rPr>
              <w:t>of</w:t>
            </w:r>
            <w:r>
              <w:rPr>
                <w:color w:val="231F20"/>
                <w:spacing w:val="-16"/>
                <w:w w:val="95"/>
                <w:sz w:val="13"/>
              </w:rPr>
              <w:t xml:space="preserve"> </w:t>
            </w:r>
            <w:r>
              <w:rPr>
                <w:color w:val="231F20"/>
                <w:w w:val="95"/>
                <w:sz w:val="13"/>
              </w:rPr>
              <w:t>personnel</w:t>
            </w:r>
            <w:r>
              <w:rPr>
                <w:color w:val="231F20"/>
                <w:spacing w:val="-15"/>
                <w:w w:val="95"/>
                <w:sz w:val="13"/>
              </w:rPr>
              <w:t xml:space="preserve"> </w:t>
            </w:r>
            <w:r>
              <w:rPr>
                <w:color w:val="231F20"/>
                <w:w w:val="95"/>
                <w:sz w:val="13"/>
              </w:rPr>
              <w:t>in</w:t>
            </w:r>
            <w:r>
              <w:rPr>
                <w:color w:val="231F20"/>
                <w:spacing w:val="-15"/>
                <w:w w:val="95"/>
                <w:sz w:val="13"/>
              </w:rPr>
              <w:t xml:space="preserve"> </w:t>
            </w:r>
            <w:r>
              <w:rPr>
                <w:color w:val="231F20"/>
                <w:w w:val="95"/>
                <w:sz w:val="13"/>
              </w:rPr>
              <w:t>public</w:t>
            </w:r>
            <w:r>
              <w:rPr>
                <w:color w:val="231F20"/>
                <w:spacing w:val="-16"/>
                <w:w w:val="95"/>
                <w:sz w:val="13"/>
              </w:rPr>
              <w:t xml:space="preserve"> </w:t>
            </w:r>
            <w:r>
              <w:rPr>
                <w:color w:val="231F20"/>
                <w:w w:val="95"/>
                <w:sz w:val="13"/>
              </w:rPr>
              <w:t>and</w:t>
            </w:r>
            <w:r>
              <w:rPr>
                <w:color w:val="231F20"/>
                <w:spacing w:val="-15"/>
                <w:w w:val="95"/>
                <w:sz w:val="13"/>
              </w:rPr>
              <w:t xml:space="preserve"> </w:t>
            </w:r>
            <w:r>
              <w:rPr>
                <w:color w:val="231F20"/>
                <w:w w:val="95"/>
                <w:sz w:val="13"/>
              </w:rPr>
              <w:t>private</w:t>
            </w:r>
            <w:r>
              <w:rPr>
                <w:color w:val="231F20"/>
                <w:spacing w:val="-15"/>
                <w:w w:val="95"/>
                <w:sz w:val="13"/>
              </w:rPr>
              <w:t xml:space="preserve"> </w:t>
            </w:r>
            <w:r>
              <w:rPr>
                <w:color w:val="231F20"/>
                <w:w w:val="95"/>
                <w:sz w:val="13"/>
              </w:rPr>
              <w:t xml:space="preserve">health </w:t>
            </w:r>
            <w:r>
              <w:rPr>
                <w:color w:val="231F20"/>
                <w:sz w:val="13"/>
              </w:rPr>
              <w:t>facilities</w:t>
            </w:r>
            <w:r>
              <w:rPr>
                <w:color w:val="231F20"/>
                <w:spacing w:val="-23"/>
                <w:sz w:val="13"/>
              </w:rPr>
              <w:t xml:space="preserve"> </w:t>
            </w:r>
            <w:r>
              <w:rPr>
                <w:color w:val="231F20"/>
                <w:sz w:val="13"/>
              </w:rPr>
              <w:t>for</w:t>
            </w:r>
            <w:r>
              <w:rPr>
                <w:color w:val="231F20"/>
                <w:spacing w:val="-23"/>
                <w:sz w:val="13"/>
              </w:rPr>
              <w:t xml:space="preserve"> </w:t>
            </w:r>
            <w:r>
              <w:rPr>
                <w:color w:val="231F20"/>
                <w:sz w:val="13"/>
              </w:rPr>
              <w:t>parasitological</w:t>
            </w:r>
            <w:r>
              <w:rPr>
                <w:color w:val="231F20"/>
                <w:spacing w:val="-23"/>
                <w:sz w:val="13"/>
              </w:rPr>
              <w:t xml:space="preserve"> </w:t>
            </w:r>
            <w:r>
              <w:rPr>
                <w:color w:val="231F20"/>
                <w:sz w:val="13"/>
              </w:rPr>
              <w:t>confirmation</w:t>
            </w:r>
            <w:r>
              <w:rPr>
                <w:color w:val="231F20"/>
                <w:spacing w:val="-23"/>
                <w:sz w:val="13"/>
              </w:rPr>
              <w:t xml:space="preserve"> </w:t>
            </w:r>
            <w:r>
              <w:rPr>
                <w:color w:val="231F20"/>
                <w:sz w:val="13"/>
              </w:rPr>
              <w:t>of</w:t>
            </w:r>
            <w:r>
              <w:rPr>
                <w:color w:val="231F20"/>
                <w:spacing w:val="-23"/>
                <w:sz w:val="13"/>
              </w:rPr>
              <w:t xml:space="preserve"> </w:t>
            </w:r>
            <w:r>
              <w:rPr>
                <w:color w:val="231F20"/>
                <w:sz w:val="13"/>
              </w:rPr>
              <w:t>malaria.</w:t>
            </w:r>
          </w:p>
        </w:tc>
        <w:tc>
          <w:tcPr>
            <w:tcW w:w="2381" w:type="dxa"/>
            <w:shd w:val="clear" w:color="auto" w:fill="CCE7D3"/>
          </w:tcPr>
          <w:p w14:paraId="5D7A2B8C" w14:textId="77777777" w:rsidR="009948F1" w:rsidRDefault="00BC0563">
            <w:pPr>
              <w:pStyle w:val="TableParagraph"/>
              <w:numPr>
                <w:ilvl w:val="0"/>
                <w:numId w:val="165"/>
              </w:numPr>
              <w:tabs>
                <w:tab w:val="left" w:pos="93"/>
              </w:tabs>
              <w:spacing w:before="24" w:line="256" w:lineRule="auto"/>
              <w:ind w:right="216" w:firstLine="0"/>
              <w:rPr>
                <w:sz w:val="13"/>
              </w:rPr>
            </w:pPr>
            <w:r>
              <w:rPr>
                <w:color w:val="231F20"/>
                <w:sz w:val="13"/>
              </w:rPr>
              <w:t xml:space="preserve">At least 50 Med. Lab scientists, </w:t>
            </w:r>
            <w:r>
              <w:rPr>
                <w:color w:val="231F20"/>
                <w:w w:val="90"/>
                <w:sz w:val="13"/>
              </w:rPr>
              <w:t xml:space="preserve">Technicians and Assistants re-trained on </w:t>
            </w:r>
            <w:r>
              <w:rPr>
                <w:color w:val="231F20"/>
                <w:sz w:val="13"/>
              </w:rPr>
              <w:t>malaria</w:t>
            </w:r>
            <w:r>
              <w:rPr>
                <w:color w:val="231F20"/>
                <w:spacing w:val="-23"/>
                <w:sz w:val="13"/>
              </w:rPr>
              <w:t xml:space="preserve"> </w:t>
            </w:r>
            <w:r>
              <w:rPr>
                <w:color w:val="231F20"/>
                <w:sz w:val="13"/>
              </w:rPr>
              <w:t>parasitological</w:t>
            </w:r>
            <w:r>
              <w:rPr>
                <w:color w:val="231F20"/>
                <w:spacing w:val="-23"/>
                <w:sz w:val="13"/>
              </w:rPr>
              <w:t xml:space="preserve"> </w:t>
            </w:r>
            <w:r>
              <w:rPr>
                <w:color w:val="231F20"/>
                <w:sz w:val="13"/>
              </w:rPr>
              <w:t>confirmation.</w:t>
            </w:r>
          </w:p>
          <w:p w14:paraId="32E58858" w14:textId="05C846BC" w:rsidR="009948F1" w:rsidRDefault="00BC0563">
            <w:pPr>
              <w:pStyle w:val="TableParagraph"/>
              <w:numPr>
                <w:ilvl w:val="0"/>
                <w:numId w:val="165"/>
              </w:numPr>
              <w:tabs>
                <w:tab w:val="left" w:pos="93"/>
              </w:tabs>
              <w:spacing w:line="256" w:lineRule="auto"/>
              <w:ind w:right="274" w:firstLine="0"/>
              <w:jc w:val="both"/>
              <w:rPr>
                <w:sz w:val="13"/>
              </w:rPr>
            </w:pPr>
            <w:r>
              <w:rPr>
                <w:color w:val="231F20"/>
                <w:w w:val="95"/>
                <w:sz w:val="13"/>
              </w:rPr>
              <w:t>At</w:t>
            </w:r>
            <w:r>
              <w:rPr>
                <w:color w:val="231F20"/>
                <w:spacing w:val="-22"/>
                <w:w w:val="95"/>
                <w:sz w:val="13"/>
              </w:rPr>
              <w:t xml:space="preserve"> </w:t>
            </w:r>
            <w:r>
              <w:rPr>
                <w:color w:val="231F20"/>
                <w:w w:val="95"/>
                <w:sz w:val="13"/>
              </w:rPr>
              <w:t>least</w:t>
            </w:r>
            <w:r>
              <w:rPr>
                <w:color w:val="231F20"/>
                <w:spacing w:val="-22"/>
                <w:w w:val="95"/>
                <w:sz w:val="13"/>
              </w:rPr>
              <w:t xml:space="preserve"> </w:t>
            </w:r>
            <w:r>
              <w:rPr>
                <w:color w:val="231F20"/>
                <w:w w:val="95"/>
                <w:sz w:val="13"/>
              </w:rPr>
              <w:t>200</w:t>
            </w:r>
            <w:r>
              <w:rPr>
                <w:color w:val="231F20"/>
                <w:spacing w:val="-22"/>
                <w:w w:val="95"/>
                <w:sz w:val="13"/>
              </w:rPr>
              <w:t xml:space="preserve"> </w:t>
            </w:r>
            <w:r>
              <w:rPr>
                <w:color w:val="231F20"/>
                <w:w w:val="95"/>
                <w:sz w:val="13"/>
              </w:rPr>
              <w:t>laboratory</w:t>
            </w:r>
            <w:r>
              <w:rPr>
                <w:color w:val="231F20"/>
                <w:spacing w:val="-22"/>
                <w:w w:val="95"/>
                <w:sz w:val="13"/>
              </w:rPr>
              <w:t xml:space="preserve"> </w:t>
            </w:r>
            <w:proofErr w:type="spellStart"/>
            <w:r>
              <w:rPr>
                <w:color w:val="231F20"/>
                <w:w w:val="95"/>
                <w:sz w:val="13"/>
              </w:rPr>
              <w:t>miscroscopists</w:t>
            </w:r>
            <w:proofErr w:type="spellEnd"/>
            <w:r>
              <w:rPr>
                <w:color w:val="231F20"/>
                <w:w w:val="95"/>
                <w:sz w:val="13"/>
              </w:rPr>
              <w:t xml:space="preserve"> trained</w:t>
            </w:r>
            <w:r>
              <w:rPr>
                <w:color w:val="231F20"/>
                <w:spacing w:val="-18"/>
                <w:w w:val="95"/>
                <w:sz w:val="13"/>
              </w:rPr>
              <w:t xml:space="preserve"> </w:t>
            </w:r>
            <w:r>
              <w:rPr>
                <w:color w:val="231F20"/>
                <w:w w:val="95"/>
                <w:sz w:val="13"/>
              </w:rPr>
              <w:t>on</w:t>
            </w:r>
            <w:r>
              <w:rPr>
                <w:color w:val="231F20"/>
                <w:spacing w:val="-17"/>
                <w:w w:val="95"/>
                <w:sz w:val="13"/>
              </w:rPr>
              <w:t xml:space="preserve"> </w:t>
            </w:r>
            <w:r>
              <w:rPr>
                <w:color w:val="231F20"/>
                <w:w w:val="95"/>
                <w:sz w:val="13"/>
              </w:rPr>
              <w:t>basic</w:t>
            </w:r>
            <w:r>
              <w:rPr>
                <w:color w:val="231F20"/>
                <w:spacing w:val="-17"/>
                <w:w w:val="95"/>
                <w:sz w:val="13"/>
              </w:rPr>
              <w:t xml:space="preserve"> </w:t>
            </w:r>
            <w:r>
              <w:rPr>
                <w:color w:val="231F20"/>
                <w:w w:val="95"/>
                <w:sz w:val="13"/>
              </w:rPr>
              <w:t>malaria</w:t>
            </w:r>
            <w:r>
              <w:rPr>
                <w:color w:val="231F20"/>
                <w:spacing w:val="-17"/>
                <w:w w:val="95"/>
                <w:sz w:val="13"/>
              </w:rPr>
              <w:t xml:space="preserve"> </w:t>
            </w:r>
            <w:r w:rsidR="00FB089D">
              <w:rPr>
                <w:color w:val="231F20"/>
                <w:w w:val="95"/>
                <w:sz w:val="13"/>
              </w:rPr>
              <w:t>microscopy</w:t>
            </w:r>
            <w:r>
              <w:rPr>
                <w:color w:val="231F20"/>
                <w:spacing w:val="-17"/>
                <w:w w:val="95"/>
                <w:sz w:val="13"/>
              </w:rPr>
              <w:t xml:space="preserve"> </w:t>
            </w:r>
            <w:r>
              <w:rPr>
                <w:color w:val="231F20"/>
                <w:w w:val="95"/>
                <w:sz w:val="13"/>
              </w:rPr>
              <w:t>&amp; deployed</w:t>
            </w:r>
            <w:r>
              <w:rPr>
                <w:color w:val="231F20"/>
                <w:spacing w:val="-13"/>
                <w:w w:val="95"/>
                <w:sz w:val="13"/>
              </w:rPr>
              <w:t xml:space="preserve"> </w:t>
            </w:r>
            <w:r>
              <w:rPr>
                <w:color w:val="231F20"/>
                <w:w w:val="95"/>
                <w:sz w:val="13"/>
              </w:rPr>
              <w:t>to</w:t>
            </w:r>
            <w:r>
              <w:rPr>
                <w:color w:val="231F20"/>
                <w:spacing w:val="-13"/>
                <w:w w:val="95"/>
                <w:sz w:val="13"/>
              </w:rPr>
              <w:t xml:space="preserve"> </w:t>
            </w:r>
            <w:r>
              <w:rPr>
                <w:color w:val="231F20"/>
                <w:w w:val="95"/>
                <w:sz w:val="13"/>
              </w:rPr>
              <w:t>200</w:t>
            </w:r>
            <w:r>
              <w:rPr>
                <w:color w:val="231F20"/>
                <w:spacing w:val="-12"/>
                <w:w w:val="95"/>
                <w:sz w:val="13"/>
              </w:rPr>
              <w:t xml:space="preserve"> </w:t>
            </w:r>
            <w:r>
              <w:rPr>
                <w:color w:val="231F20"/>
                <w:w w:val="95"/>
                <w:sz w:val="13"/>
              </w:rPr>
              <w:t>Ward</w:t>
            </w:r>
            <w:r>
              <w:rPr>
                <w:color w:val="231F20"/>
                <w:spacing w:val="-13"/>
                <w:w w:val="95"/>
                <w:sz w:val="13"/>
              </w:rPr>
              <w:t xml:space="preserve"> </w:t>
            </w:r>
            <w:r>
              <w:rPr>
                <w:color w:val="231F20"/>
                <w:w w:val="95"/>
                <w:sz w:val="13"/>
              </w:rPr>
              <w:t>Health</w:t>
            </w:r>
            <w:r>
              <w:rPr>
                <w:color w:val="231F20"/>
                <w:spacing w:val="-13"/>
                <w:w w:val="95"/>
                <w:sz w:val="13"/>
              </w:rPr>
              <w:t xml:space="preserve"> </w:t>
            </w:r>
            <w:proofErr w:type="spellStart"/>
            <w:r>
              <w:rPr>
                <w:color w:val="231F20"/>
                <w:w w:val="95"/>
                <w:sz w:val="13"/>
              </w:rPr>
              <w:t>Centres</w:t>
            </w:r>
            <w:proofErr w:type="spellEnd"/>
          </w:p>
          <w:p w14:paraId="2AAC581C" w14:textId="77777777" w:rsidR="009948F1" w:rsidRDefault="00BC0563">
            <w:pPr>
              <w:pStyle w:val="TableParagraph"/>
              <w:numPr>
                <w:ilvl w:val="0"/>
                <w:numId w:val="165"/>
              </w:numPr>
              <w:tabs>
                <w:tab w:val="left" w:pos="67"/>
              </w:tabs>
              <w:spacing w:line="256" w:lineRule="auto"/>
              <w:ind w:right="166" w:firstLine="0"/>
              <w:jc w:val="both"/>
              <w:rPr>
                <w:sz w:val="13"/>
              </w:rPr>
            </w:pPr>
            <w:r>
              <w:rPr>
                <w:color w:val="231F20"/>
                <w:sz w:val="13"/>
              </w:rPr>
              <w:t>At</w:t>
            </w:r>
            <w:r>
              <w:rPr>
                <w:color w:val="231F20"/>
                <w:spacing w:val="-21"/>
                <w:sz w:val="13"/>
              </w:rPr>
              <w:t xml:space="preserve"> </w:t>
            </w:r>
            <w:r>
              <w:rPr>
                <w:color w:val="231F20"/>
                <w:sz w:val="13"/>
              </w:rPr>
              <w:t>least</w:t>
            </w:r>
            <w:r>
              <w:rPr>
                <w:color w:val="231F20"/>
                <w:spacing w:val="-20"/>
                <w:sz w:val="13"/>
              </w:rPr>
              <w:t xml:space="preserve"> </w:t>
            </w:r>
            <w:r>
              <w:rPr>
                <w:color w:val="231F20"/>
                <w:sz w:val="13"/>
              </w:rPr>
              <w:t>30</w:t>
            </w:r>
            <w:r>
              <w:rPr>
                <w:color w:val="231F20"/>
                <w:spacing w:val="-20"/>
                <w:sz w:val="13"/>
              </w:rPr>
              <w:t xml:space="preserve"> </w:t>
            </w:r>
            <w:r>
              <w:rPr>
                <w:color w:val="231F20"/>
                <w:sz w:val="13"/>
              </w:rPr>
              <w:t>Malaria</w:t>
            </w:r>
            <w:r>
              <w:rPr>
                <w:color w:val="231F20"/>
                <w:spacing w:val="-21"/>
                <w:sz w:val="13"/>
              </w:rPr>
              <w:t xml:space="preserve"> </w:t>
            </w:r>
            <w:r>
              <w:rPr>
                <w:color w:val="231F20"/>
                <w:sz w:val="13"/>
              </w:rPr>
              <w:t>Focal</w:t>
            </w:r>
            <w:r>
              <w:rPr>
                <w:color w:val="231F20"/>
                <w:spacing w:val="-20"/>
                <w:sz w:val="13"/>
              </w:rPr>
              <w:t xml:space="preserve"> </w:t>
            </w:r>
            <w:r>
              <w:rPr>
                <w:color w:val="231F20"/>
                <w:sz w:val="13"/>
              </w:rPr>
              <w:t>persons</w:t>
            </w:r>
            <w:r>
              <w:rPr>
                <w:color w:val="231F20"/>
                <w:spacing w:val="-20"/>
                <w:sz w:val="13"/>
              </w:rPr>
              <w:t xml:space="preserve"> </w:t>
            </w:r>
            <w:r>
              <w:rPr>
                <w:color w:val="231F20"/>
                <w:sz w:val="13"/>
              </w:rPr>
              <w:t xml:space="preserve">and </w:t>
            </w:r>
            <w:r>
              <w:rPr>
                <w:color w:val="231F20"/>
                <w:w w:val="95"/>
                <w:sz w:val="13"/>
              </w:rPr>
              <w:t>State</w:t>
            </w:r>
            <w:r>
              <w:rPr>
                <w:color w:val="231F20"/>
                <w:spacing w:val="-21"/>
                <w:w w:val="95"/>
                <w:sz w:val="13"/>
              </w:rPr>
              <w:t xml:space="preserve"> </w:t>
            </w:r>
            <w:r>
              <w:rPr>
                <w:color w:val="231F20"/>
                <w:spacing w:val="-4"/>
                <w:w w:val="95"/>
                <w:sz w:val="13"/>
              </w:rPr>
              <w:t>Team</w:t>
            </w:r>
            <w:r>
              <w:rPr>
                <w:color w:val="231F20"/>
                <w:spacing w:val="-20"/>
                <w:w w:val="95"/>
                <w:sz w:val="13"/>
              </w:rPr>
              <w:t xml:space="preserve"> </w:t>
            </w:r>
            <w:r>
              <w:rPr>
                <w:color w:val="231F20"/>
                <w:w w:val="95"/>
                <w:sz w:val="13"/>
              </w:rPr>
              <w:t>Members</w:t>
            </w:r>
            <w:r>
              <w:rPr>
                <w:color w:val="231F20"/>
                <w:spacing w:val="-19"/>
                <w:w w:val="95"/>
                <w:sz w:val="13"/>
              </w:rPr>
              <w:t xml:space="preserve"> </w:t>
            </w:r>
            <w:r>
              <w:rPr>
                <w:color w:val="231F20"/>
                <w:w w:val="95"/>
                <w:sz w:val="13"/>
              </w:rPr>
              <w:t>trained</w:t>
            </w:r>
            <w:r>
              <w:rPr>
                <w:color w:val="231F20"/>
                <w:spacing w:val="-20"/>
                <w:w w:val="95"/>
                <w:sz w:val="13"/>
              </w:rPr>
              <w:t xml:space="preserve"> </w:t>
            </w:r>
            <w:r>
              <w:rPr>
                <w:color w:val="231F20"/>
                <w:w w:val="95"/>
                <w:sz w:val="13"/>
              </w:rPr>
              <w:t>&amp;</w:t>
            </w:r>
            <w:r>
              <w:rPr>
                <w:color w:val="231F20"/>
                <w:spacing w:val="-19"/>
                <w:w w:val="95"/>
                <w:sz w:val="13"/>
              </w:rPr>
              <w:t xml:space="preserve"> </w:t>
            </w:r>
            <w:r>
              <w:rPr>
                <w:color w:val="231F20"/>
                <w:w w:val="95"/>
                <w:sz w:val="13"/>
              </w:rPr>
              <w:t>re-trained</w:t>
            </w:r>
          </w:p>
          <w:p w14:paraId="30BCF03B" w14:textId="77777777" w:rsidR="009948F1" w:rsidRDefault="00BC0563">
            <w:pPr>
              <w:pStyle w:val="TableParagraph"/>
              <w:spacing w:line="148" w:lineRule="exact"/>
              <w:ind w:left="24"/>
              <w:jc w:val="both"/>
              <w:rPr>
                <w:sz w:val="13"/>
              </w:rPr>
            </w:pPr>
            <w:r>
              <w:rPr>
                <w:color w:val="231F20"/>
                <w:w w:val="95"/>
                <w:sz w:val="13"/>
              </w:rPr>
              <w:t>on</w:t>
            </w:r>
            <w:r>
              <w:rPr>
                <w:color w:val="231F20"/>
                <w:spacing w:val="-14"/>
                <w:w w:val="95"/>
                <w:sz w:val="13"/>
              </w:rPr>
              <w:t xml:space="preserve"> </w:t>
            </w:r>
            <w:r>
              <w:rPr>
                <w:color w:val="231F20"/>
                <w:w w:val="95"/>
                <w:sz w:val="13"/>
              </w:rPr>
              <w:t>the</w:t>
            </w:r>
            <w:r>
              <w:rPr>
                <w:color w:val="231F20"/>
                <w:spacing w:val="-14"/>
                <w:w w:val="95"/>
                <w:sz w:val="13"/>
              </w:rPr>
              <w:t xml:space="preserve"> </w:t>
            </w:r>
            <w:r>
              <w:rPr>
                <w:color w:val="231F20"/>
                <w:w w:val="95"/>
                <w:sz w:val="13"/>
              </w:rPr>
              <w:t>use</w:t>
            </w:r>
            <w:r>
              <w:rPr>
                <w:color w:val="231F20"/>
                <w:spacing w:val="-13"/>
                <w:w w:val="95"/>
                <w:sz w:val="13"/>
              </w:rPr>
              <w:t xml:space="preserve"> </w:t>
            </w:r>
            <w:r>
              <w:rPr>
                <w:color w:val="231F20"/>
                <w:w w:val="95"/>
                <w:sz w:val="13"/>
              </w:rPr>
              <w:t>of</w:t>
            </w:r>
            <w:r>
              <w:rPr>
                <w:color w:val="231F20"/>
                <w:spacing w:val="-14"/>
                <w:w w:val="95"/>
                <w:sz w:val="13"/>
              </w:rPr>
              <w:t xml:space="preserve"> </w:t>
            </w:r>
            <w:r>
              <w:rPr>
                <w:color w:val="231F20"/>
                <w:spacing w:val="-4"/>
                <w:w w:val="95"/>
                <w:sz w:val="13"/>
              </w:rPr>
              <w:t>RDTs</w:t>
            </w:r>
            <w:r>
              <w:rPr>
                <w:color w:val="231F20"/>
                <w:spacing w:val="-13"/>
                <w:w w:val="95"/>
                <w:sz w:val="13"/>
              </w:rPr>
              <w:t xml:space="preserve"> </w:t>
            </w:r>
            <w:r>
              <w:rPr>
                <w:color w:val="231F20"/>
                <w:w w:val="95"/>
                <w:sz w:val="13"/>
              </w:rPr>
              <w:t>for</w:t>
            </w:r>
            <w:r>
              <w:rPr>
                <w:color w:val="231F20"/>
                <w:spacing w:val="-14"/>
                <w:w w:val="95"/>
                <w:sz w:val="13"/>
              </w:rPr>
              <w:t xml:space="preserve"> </w:t>
            </w:r>
            <w:r>
              <w:rPr>
                <w:color w:val="231F20"/>
                <w:w w:val="95"/>
                <w:sz w:val="13"/>
              </w:rPr>
              <w:t>malaria</w:t>
            </w:r>
            <w:r>
              <w:rPr>
                <w:color w:val="231F20"/>
                <w:spacing w:val="-13"/>
                <w:w w:val="95"/>
                <w:sz w:val="13"/>
              </w:rPr>
              <w:t xml:space="preserve"> </w:t>
            </w:r>
            <w:r>
              <w:rPr>
                <w:color w:val="231F20"/>
                <w:w w:val="95"/>
                <w:sz w:val="13"/>
              </w:rPr>
              <w:t>diagnosis</w:t>
            </w:r>
          </w:p>
        </w:tc>
        <w:tc>
          <w:tcPr>
            <w:tcW w:w="1425" w:type="dxa"/>
            <w:tcBorders>
              <w:right w:val="single" w:sz="8" w:space="0" w:color="231F20"/>
            </w:tcBorders>
            <w:shd w:val="clear" w:color="auto" w:fill="CCE7D3"/>
          </w:tcPr>
          <w:p w14:paraId="5B58DAE7" w14:textId="77777777" w:rsidR="009948F1" w:rsidRDefault="009948F1">
            <w:pPr>
              <w:pStyle w:val="TableParagraph"/>
              <w:rPr>
                <w:rFonts w:ascii="Times New Roman"/>
                <w:sz w:val="10"/>
              </w:rPr>
            </w:pPr>
          </w:p>
        </w:tc>
        <w:tc>
          <w:tcPr>
            <w:tcW w:w="1503" w:type="dxa"/>
            <w:tcBorders>
              <w:left w:val="single" w:sz="8" w:space="0" w:color="231F20"/>
            </w:tcBorders>
            <w:shd w:val="clear" w:color="auto" w:fill="CCE7D3"/>
          </w:tcPr>
          <w:p w14:paraId="7AD2B717" w14:textId="77777777" w:rsidR="009948F1" w:rsidRDefault="009948F1">
            <w:pPr>
              <w:pStyle w:val="TableParagraph"/>
              <w:rPr>
                <w:rFonts w:ascii="Times New Roman"/>
                <w:sz w:val="10"/>
              </w:rPr>
            </w:pPr>
          </w:p>
        </w:tc>
      </w:tr>
      <w:tr w:rsidR="009948F1" w14:paraId="464BB305" w14:textId="77777777">
        <w:trPr>
          <w:trHeight w:val="540"/>
        </w:trPr>
        <w:tc>
          <w:tcPr>
            <w:tcW w:w="1038" w:type="dxa"/>
            <w:gridSpan w:val="3"/>
            <w:vMerge w:val="restart"/>
            <w:tcBorders>
              <w:top w:val="nil"/>
              <w:bottom w:val="nil"/>
            </w:tcBorders>
          </w:tcPr>
          <w:p w14:paraId="6B43B0BB" w14:textId="77777777" w:rsidR="009948F1" w:rsidRDefault="009948F1">
            <w:pPr>
              <w:pStyle w:val="TableParagraph"/>
              <w:rPr>
                <w:rFonts w:ascii="Times New Roman"/>
                <w:sz w:val="10"/>
              </w:rPr>
            </w:pPr>
          </w:p>
        </w:tc>
        <w:tc>
          <w:tcPr>
            <w:tcW w:w="525" w:type="dxa"/>
          </w:tcPr>
          <w:p w14:paraId="1EDFE07C" w14:textId="77777777" w:rsidR="009948F1" w:rsidRDefault="009948F1">
            <w:pPr>
              <w:pStyle w:val="TableParagraph"/>
              <w:rPr>
                <w:sz w:val="17"/>
              </w:rPr>
            </w:pPr>
          </w:p>
          <w:p w14:paraId="0DB3BF4E" w14:textId="77777777" w:rsidR="009948F1" w:rsidRDefault="00BC0563">
            <w:pPr>
              <w:pStyle w:val="TableParagraph"/>
              <w:ind w:left="26" w:right="9"/>
              <w:jc w:val="center"/>
              <w:rPr>
                <w:sz w:val="13"/>
              </w:rPr>
            </w:pPr>
            <w:r>
              <w:rPr>
                <w:color w:val="231F20"/>
                <w:sz w:val="13"/>
              </w:rPr>
              <w:t>5.1.3.a</w:t>
            </w:r>
          </w:p>
        </w:tc>
        <w:tc>
          <w:tcPr>
            <w:tcW w:w="4889" w:type="dxa"/>
            <w:gridSpan w:val="2"/>
          </w:tcPr>
          <w:p w14:paraId="43BEC709" w14:textId="77777777" w:rsidR="009948F1" w:rsidRDefault="009948F1">
            <w:pPr>
              <w:pStyle w:val="TableParagraph"/>
              <w:spacing w:before="6"/>
              <w:rPr>
                <w:sz w:val="9"/>
              </w:rPr>
            </w:pPr>
          </w:p>
          <w:p w14:paraId="08E68ADA" w14:textId="77777777" w:rsidR="009948F1" w:rsidRDefault="00BC0563">
            <w:pPr>
              <w:pStyle w:val="TableParagraph"/>
              <w:spacing w:line="256" w:lineRule="auto"/>
              <w:ind w:left="23" w:right="421"/>
              <w:rPr>
                <w:sz w:val="13"/>
              </w:rPr>
            </w:pPr>
            <w:r>
              <w:rPr>
                <w:color w:val="231F20"/>
                <w:w w:val="95"/>
                <w:sz w:val="13"/>
              </w:rPr>
              <w:t>Conduct</w:t>
            </w:r>
            <w:r>
              <w:rPr>
                <w:color w:val="231F20"/>
                <w:spacing w:val="-21"/>
                <w:w w:val="95"/>
                <w:sz w:val="13"/>
              </w:rPr>
              <w:t xml:space="preserve"> </w:t>
            </w:r>
            <w:r>
              <w:rPr>
                <w:color w:val="231F20"/>
                <w:w w:val="95"/>
                <w:sz w:val="13"/>
              </w:rPr>
              <w:t>re-training</w:t>
            </w:r>
            <w:r>
              <w:rPr>
                <w:color w:val="231F20"/>
                <w:spacing w:val="-21"/>
                <w:w w:val="95"/>
                <w:sz w:val="13"/>
              </w:rPr>
              <w:t xml:space="preserve"> </w:t>
            </w:r>
            <w:r>
              <w:rPr>
                <w:color w:val="231F20"/>
                <w:w w:val="95"/>
                <w:sz w:val="13"/>
              </w:rPr>
              <w:t>workshop</w:t>
            </w:r>
            <w:r>
              <w:rPr>
                <w:color w:val="231F20"/>
                <w:spacing w:val="-20"/>
                <w:w w:val="95"/>
                <w:sz w:val="13"/>
              </w:rPr>
              <w:t xml:space="preserve"> </w:t>
            </w:r>
            <w:r>
              <w:rPr>
                <w:color w:val="231F20"/>
                <w:w w:val="95"/>
                <w:sz w:val="13"/>
              </w:rPr>
              <w:t>for</w:t>
            </w:r>
            <w:r>
              <w:rPr>
                <w:color w:val="231F20"/>
                <w:spacing w:val="-21"/>
                <w:w w:val="95"/>
                <w:sz w:val="13"/>
              </w:rPr>
              <w:t xml:space="preserve"> </w:t>
            </w:r>
            <w:r>
              <w:rPr>
                <w:color w:val="231F20"/>
                <w:w w:val="95"/>
                <w:sz w:val="13"/>
              </w:rPr>
              <w:t>Med.</w:t>
            </w:r>
            <w:r>
              <w:rPr>
                <w:color w:val="231F20"/>
                <w:spacing w:val="-21"/>
                <w:w w:val="95"/>
                <w:sz w:val="13"/>
              </w:rPr>
              <w:t xml:space="preserve"> </w:t>
            </w:r>
            <w:r>
              <w:rPr>
                <w:color w:val="231F20"/>
                <w:w w:val="95"/>
                <w:sz w:val="13"/>
              </w:rPr>
              <w:t>Lab</w:t>
            </w:r>
            <w:r>
              <w:rPr>
                <w:color w:val="231F20"/>
                <w:spacing w:val="-20"/>
                <w:w w:val="95"/>
                <w:sz w:val="13"/>
              </w:rPr>
              <w:t xml:space="preserve"> </w:t>
            </w:r>
            <w:r>
              <w:rPr>
                <w:color w:val="231F20"/>
                <w:w w:val="95"/>
                <w:sz w:val="13"/>
              </w:rPr>
              <w:t>scientists,</w:t>
            </w:r>
            <w:r>
              <w:rPr>
                <w:color w:val="231F20"/>
                <w:spacing w:val="-22"/>
                <w:w w:val="95"/>
                <w:sz w:val="13"/>
              </w:rPr>
              <w:t xml:space="preserve"> </w:t>
            </w:r>
            <w:r>
              <w:rPr>
                <w:color w:val="231F20"/>
                <w:w w:val="95"/>
                <w:sz w:val="13"/>
              </w:rPr>
              <w:t>Technicians</w:t>
            </w:r>
            <w:r>
              <w:rPr>
                <w:color w:val="231F20"/>
                <w:spacing w:val="-20"/>
                <w:w w:val="95"/>
                <w:sz w:val="13"/>
              </w:rPr>
              <w:t xml:space="preserve"> </w:t>
            </w:r>
            <w:r>
              <w:rPr>
                <w:color w:val="231F20"/>
                <w:w w:val="95"/>
                <w:sz w:val="13"/>
              </w:rPr>
              <w:t>and</w:t>
            </w:r>
            <w:r>
              <w:rPr>
                <w:color w:val="231F20"/>
                <w:spacing w:val="-23"/>
                <w:w w:val="95"/>
                <w:sz w:val="13"/>
              </w:rPr>
              <w:t xml:space="preserve"> </w:t>
            </w:r>
            <w:r>
              <w:rPr>
                <w:color w:val="231F20"/>
                <w:w w:val="95"/>
                <w:sz w:val="13"/>
              </w:rPr>
              <w:t>Assistants</w:t>
            </w:r>
            <w:r>
              <w:rPr>
                <w:color w:val="231F20"/>
                <w:spacing w:val="-21"/>
                <w:w w:val="95"/>
                <w:sz w:val="13"/>
              </w:rPr>
              <w:t xml:space="preserve"> </w:t>
            </w:r>
            <w:r>
              <w:rPr>
                <w:color w:val="231F20"/>
                <w:w w:val="95"/>
                <w:sz w:val="13"/>
              </w:rPr>
              <w:t xml:space="preserve">on </w:t>
            </w:r>
            <w:r>
              <w:rPr>
                <w:color w:val="231F20"/>
                <w:sz w:val="13"/>
              </w:rPr>
              <w:t>malaria parasitological</w:t>
            </w:r>
            <w:r>
              <w:rPr>
                <w:color w:val="231F20"/>
                <w:spacing w:val="-13"/>
                <w:sz w:val="13"/>
              </w:rPr>
              <w:t xml:space="preserve"> </w:t>
            </w:r>
            <w:r>
              <w:rPr>
                <w:color w:val="231F20"/>
                <w:sz w:val="13"/>
              </w:rPr>
              <w:t>confirmation.</w:t>
            </w:r>
          </w:p>
        </w:tc>
        <w:tc>
          <w:tcPr>
            <w:tcW w:w="1425" w:type="dxa"/>
          </w:tcPr>
          <w:p w14:paraId="0F6973DD" w14:textId="77777777" w:rsidR="009948F1" w:rsidRDefault="009948F1">
            <w:pPr>
              <w:pStyle w:val="TableParagraph"/>
              <w:rPr>
                <w:sz w:val="17"/>
              </w:rPr>
            </w:pPr>
          </w:p>
          <w:p w14:paraId="5B8E8E45" w14:textId="77777777" w:rsidR="009948F1" w:rsidRDefault="00BC0563">
            <w:pPr>
              <w:pStyle w:val="TableParagraph"/>
              <w:ind w:left="25"/>
              <w:rPr>
                <w:sz w:val="13"/>
              </w:rPr>
            </w:pPr>
            <w:r>
              <w:rPr>
                <w:color w:val="231F20"/>
                <w:sz w:val="13"/>
              </w:rPr>
              <w:t>Lack of funds</w:t>
            </w:r>
          </w:p>
        </w:tc>
        <w:tc>
          <w:tcPr>
            <w:tcW w:w="1503" w:type="dxa"/>
          </w:tcPr>
          <w:p w14:paraId="06F4D49F" w14:textId="77777777" w:rsidR="009948F1" w:rsidRDefault="009948F1">
            <w:pPr>
              <w:pStyle w:val="TableParagraph"/>
              <w:rPr>
                <w:sz w:val="17"/>
              </w:rPr>
            </w:pPr>
          </w:p>
          <w:p w14:paraId="798D8C49" w14:textId="77777777" w:rsidR="009948F1" w:rsidRDefault="00BC0563">
            <w:pPr>
              <w:pStyle w:val="TableParagraph"/>
              <w:ind w:left="25"/>
              <w:rPr>
                <w:sz w:val="13"/>
              </w:rPr>
            </w:pPr>
            <w:r>
              <w:rPr>
                <w:color w:val="231F20"/>
                <w:sz w:val="13"/>
              </w:rPr>
              <w:t>Conduct workshop</w:t>
            </w:r>
          </w:p>
        </w:tc>
      </w:tr>
      <w:tr w:rsidR="009948F1" w14:paraId="02353BF7" w14:textId="77777777">
        <w:trPr>
          <w:trHeight w:val="447"/>
        </w:trPr>
        <w:tc>
          <w:tcPr>
            <w:tcW w:w="1038" w:type="dxa"/>
            <w:gridSpan w:val="3"/>
            <w:vMerge/>
            <w:tcBorders>
              <w:top w:val="nil"/>
              <w:bottom w:val="nil"/>
            </w:tcBorders>
          </w:tcPr>
          <w:p w14:paraId="611FB33C" w14:textId="77777777" w:rsidR="009948F1" w:rsidRDefault="009948F1">
            <w:pPr>
              <w:rPr>
                <w:sz w:val="2"/>
                <w:szCs w:val="2"/>
              </w:rPr>
            </w:pPr>
          </w:p>
        </w:tc>
        <w:tc>
          <w:tcPr>
            <w:tcW w:w="525" w:type="dxa"/>
          </w:tcPr>
          <w:p w14:paraId="182BFEA2" w14:textId="77777777" w:rsidR="009948F1" w:rsidRDefault="009948F1">
            <w:pPr>
              <w:pStyle w:val="TableParagraph"/>
              <w:spacing w:before="10"/>
              <w:rPr>
                <w:sz w:val="12"/>
              </w:rPr>
            </w:pPr>
          </w:p>
          <w:p w14:paraId="6AD44DAA" w14:textId="77777777" w:rsidR="009948F1" w:rsidRDefault="00BC0563">
            <w:pPr>
              <w:pStyle w:val="TableParagraph"/>
              <w:spacing w:before="1"/>
              <w:ind w:left="26" w:right="9"/>
              <w:jc w:val="center"/>
              <w:rPr>
                <w:sz w:val="13"/>
              </w:rPr>
            </w:pPr>
            <w:r>
              <w:rPr>
                <w:color w:val="231F20"/>
                <w:sz w:val="13"/>
              </w:rPr>
              <w:t>5.1.3.b</w:t>
            </w:r>
          </w:p>
        </w:tc>
        <w:tc>
          <w:tcPr>
            <w:tcW w:w="4889" w:type="dxa"/>
            <w:gridSpan w:val="2"/>
          </w:tcPr>
          <w:p w14:paraId="6DB4512A" w14:textId="77777777" w:rsidR="009948F1" w:rsidRDefault="00BC0563">
            <w:pPr>
              <w:pStyle w:val="TableParagraph"/>
              <w:spacing w:before="63" w:line="256" w:lineRule="auto"/>
              <w:ind w:left="23" w:right="12"/>
              <w:rPr>
                <w:sz w:val="13"/>
              </w:rPr>
            </w:pPr>
            <w:r>
              <w:rPr>
                <w:color w:val="231F20"/>
                <w:w w:val="95"/>
                <w:sz w:val="13"/>
              </w:rPr>
              <w:t>Conduct</w:t>
            </w:r>
            <w:r>
              <w:rPr>
                <w:color w:val="231F20"/>
                <w:spacing w:val="-19"/>
                <w:w w:val="95"/>
                <w:sz w:val="13"/>
              </w:rPr>
              <w:t xml:space="preserve"> </w:t>
            </w:r>
            <w:r>
              <w:rPr>
                <w:color w:val="231F20"/>
                <w:w w:val="95"/>
                <w:sz w:val="13"/>
              </w:rPr>
              <w:t>training</w:t>
            </w:r>
            <w:r>
              <w:rPr>
                <w:color w:val="231F20"/>
                <w:spacing w:val="-19"/>
                <w:w w:val="95"/>
                <w:sz w:val="13"/>
              </w:rPr>
              <w:t xml:space="preserve"> </w:t>
            </w:r>
            <w:r>
              <w:rPr>
                <w:color w:val="231F20"/>
                <w:w w:val="95"/>
                <w:sz w:val="13"/>
              </w:rPr>
              <w:t>for</w:t>
            </w:r>
            <w:r>
              <w:rPr>
                <w:color w:val="231F20"/>
                <w:spacing w:val="-19"/>
                <w:w w:val="95"/>
                <w:sz w:val="13"/>
              </w:rPr>
              <w:t xml:space="preserve"> </w:t>
            </w:r>
            <w:r>
              <w:rPr>
                <w:color w:val="231F20"/>
                <w:w w:val="95"/>
                <w:sz w:val="13"/>
              </w:rPr>
              <w:t>laboratory</w:t>
            </w:r>
            <w:r>
              <w:rPr>
                <w:color w:val="231F20"/>
                <w:spacing w:val="-18"/>
                <w:w w:val="95"/>
                <w:sz w:val="13"/>
              </w:rPr>
              <w:t xml:space="preserve"> </w:t>
            </w:r>
            <w:r>
              <w:rPr>
                <w:color w:val="231F20"/>
                <w:w w:val="95"/>
                <w:sz w:val="13"/>
              </w:rPr>
              <w:t>microscopists</w:t>
            </w:r>
            <w:r>
              <w:rPr>
                <w:color w:val="231F20"/>
                <w:spacing w:val="-19"/>
                <w:w w:val="95"/>
                <w:sz w:val="13"/>
              </w:rPr>
              <w:t xml:space="preserve"> </w:t>
            </w:r>
            <w:r>
              <w:rPr>
                <w:color w:val="231F20"/>
                <w:w w:val="95"/>
                <w:sz w:val="13"/>
              </w:rPr>
              <w:t>on</w:t>
            </w:r>
            <w:r>
              <w:rPr>
                <w:color w:val="231F20"/>
                <w:spacing w:val="-19"/>
                <w:w w:val="95"/>
                <w:sz w:val="13"/>
              </w:rPr>
              <w:t xml:space="preserve"> </w:t>
            </w:r>
            <w:r>
              <w:rPr>
                <w:color w:val="231F20"/>
                <w:w w:val="95"/>
                <w:sz w:val="13"/>
              </w:rPr>
              <w:t>basic</w:t>
            </w:r>
            <w:r>
              <w:rPr>
                <w:color w:val="231F20"/>
                <w:spacing w:val="-18"/>
                <w:w w:val="95"/>
                <w:sz w:val="13"/>
              </w:rPr>
              <w:t xml:space="preserve"> </w:t>
            </w:r>
            <w:r>
              <w:rPr>
                <w:color w:val="231F20"/>
                <w:w w:val="95"/>
                <w:sz w:val="13"/>
              </w:rPr>
              <w:t>malaria</w:t>
            </w:r>
            <w:r>
              <w:rPr>
                <w:color w:val="231F20"/>
                <w:spacing w:val="-19"/>
                <w:w w:val="95"/>
                <w:sz w:val="13"/>
              </w:rPr>
              <w:t xml:space="preserve"> </w:t>
            </w:r>
            <w:r>
              <w:rPr>
                <w:color w:val="231F20"/>
                <w:w w:val="95"/>
                <w:sz w:val="13"/>
              </w:rPr>
              <w:t>microscopy</w:t>
            </w:r>
            <w:r>
              <w:rPr>
                <w:color w:val="231F20"/>
                <w:spacing w:val="-19"/>
                <w:w w:val="95"/>
                <w:sz w:val="13"/>
              </w:rPr>
              <w:t xml:space="preserve"> </w:t>
            </w:r>
            <w:r>
              <w:rPr>
                <w:color w:val="231F20"/>
                <w:w w:val="95"/>
                <w:sz w:val="13"/>
              </w:rPr>
              <w:t>for</w:t>
            </w:r>
            <w:r>
              <w:rPr>
                <w:color w:val="231F20"/>
                <w:spacing w:val="-18"/>
                <w:w w:val="95"/>
                <w:sz w:val="13"/>
              </w:rPr>
              <w:t xml:space="preserve"> </w:t>
            </w:r>
            <w:r>
              <w:rPr>
                <w:color w:val="231F20"/>
                <w:w w:val="95"/>
                <w:sz w:val="13"/>
              </w:rPr>
              <w:t>deployment</w:t>
            </w:r>
            <w:r>
              <w:rPr>
                <w:color w:val="231F20"/>
                <w:spacing w:val="-19"/>
                <w:w w:val="95"/>
                <w:sz w:val="13"/>
              </w:rPr>
              <w:t xml:space="preserve"> </w:t>
            </w:r>
            <w:r>
              <w:rPr>
                <w:color w:val="231F20"/>
                <w:w w:val="95"/>
                <w:sz w:val="13"/>
              </w:rPr>
              <w:t xml:space="preserve">to </w:t>
            </w:r>
            <w:r>
              <w:rPr>
                <w:color w:val="231F20"/>
                <w:sz w:val="13"/>
              </w:rPr>
              <w:t>Ward Health</w:t>
            </w:r>
            <w:r>
              <w:rPr>
                <w:color w:val="231F20"/>
                <w:spacing w:val="-10"/>
                <w:sz w:val="13"/>
              </w:rPr>
              <w:t xml:space="preserve"> </w:t>
            </w:r>
            <w:proofErr w:type="spellStart"/>
            <w:r>
              <w:rPr>
                <w:color w:val="231F20"/>
                <w:sz w:val="13"/>
              </w:rPr>
              <w:t>Centres</w:t>
            </w:r>
            <w:proofErr w:type="spellEnd"/>
          </w:p>
        </w:tc>
        <w:tc>
          <w:tcPr>
            <w:tcW w:w="1425" w:type="dxa"/>
          </w:tcPr>
          <w:p w14:paraId="399AB35E" w14:textId="77777777" w:rsidR="009948F1" w:rsidRDefault="009948F1">
            <w:pPr>
              <w:pStyle w:val="TableParagraph"/>
              <w:spacing w:before="10"/>
              <w:rPr>
                <w:sz w:val="12"/>
              </w:rPr>
            </w:pPr>
          </w:p>
          <w:p w14:paraId="7EDFE168" w14:textId="77777777" w:rsidR="009948F1" w:rsidRDefault="00BC0563">
            <w:pPr>
              <w:pStyle w:val="TableParagraph"/>
              <w:spacing w:before="1"/>
              <w:ind w:left="25"/>
              <w:rPr>
                <w:sz w:val="13"/>
              </w:rPr>
            </w:pPr>
            <w:r>
              <w:rPr>
                <w:color w:val="231F20"/>
                <w:sz w:val="13"/>
              </w:rPr>
              <w:t>Lack of funds</w:t>
            </w:r>
          </w:p>
        </w:tc>
        <w:tc>
          <w:tcPr>
            <w:tcW w:w="1503" w:type="dxa"/>
          </w:tcPr>
          <w:p w14:paraId="6DD73ED3" w14:textId="77777777" w:rsidR="009948F1" w:rsidRDefault="009948F1">
            <w:pPr>
              <w:pStyle w:val="TableParagraph"/>
              <w:spacing w:before="10"/>
              <w:rPr>
                <w:sz w:val="12"/>
              </w:rPr>
            </w:pPr>
          </w:p>
          <w:p w14:paraId="75922227" w14:textId="77777777" w:rsidR="009948F1" w:rsidRDefault="00BC0563">
            <w:pPr>
              <w:pStyle w:val="TableParagraph"/>
              <w:spacing w:before="1"/>
              <w:ind w:left="25"/>
              <w:rPr>
                <w:sz w:val="13"/>
              </w:rPr>
            </w:pPr>
            <w:r>
              <w:rPr>
                <w:color w:val="231F20"/>
                <w:sz w:val="13"/>
              </w:rPr>
              <w:t>Costed in 5.1.3a</w:t>
            </w:r>
          </w:p>
        </w:tc>
      </w:tr>
      <w:tr w:rsidR="009948F1" w14:paraId="171BBE81" w14:textId="77777777">
        <w:trPr>
          <w:trHeight w:val="447"/>
        </w:trPr>
        <w:tc>
          <w:tcPr>
            <w:tcW w:w="1038" w:type="dxa"/>
            <w:gridSpan w:val="3"/>
            <w:vMerge/>
            <w:tcBorders>
              <w:top w:val="nil"/>
              <w:bottom w:val="nil"/>
            </w:tcBorders>
          </w:tcPr>
          <w:p w14:paraId="4F4A27B4" w14:textId="77777777" w:rsidR="009948F1" w:rsidRDefault="009948F1">
            <w:pPr>
              <w:rPr>
                <w:sz w:val="2"/>
                <w:szCs w:val="2"/>
              </w:rPr>
            </w:pPr>
          </w:p>
        </w:tc>
        <w:tc>
          <w:tcPr>
            <w:tcW w:w="525" w:type="dxa"/>
          </w:tcPr>
          <w:p w14:paraId="6AE20E57" w14:textId="77777777" w:rsidR="009948F1" w:rsidRDefault="009948F1">
            <w:pPr>
              <w:pStyle w:val="TableParagraph"/>
              <w:spacing w:before="10"/>
              <w:rPr>
                <w:sz w:val="12"/>
              </w:rPr>
            </w:pPr>
          </w:p>
          <w:p w14:paraId="7D4D0A4D" w14:textId="77777777" w:rsidR="009948F1" w:rsidRDefault="00BC0563">
            <w:pPr>
              <w:pStyle w:val="TableParagraph"/>
              <w:spacing w:before="1"/>
              <w:ind w:left="27" w:right="9"/>
              <w:jc w:val="center"/>
              <w:rPr>
                <w:sz w:val="13"/>
              </w:rPr>
            </w:pPr>
            <w:r>
              <w:rPr>
                <w:color w:val="231F20"/>
                <w:sz w:val="13"/>
              </w:rPr>
              <w:t>5.1.3.c</w:t>
            </w:r>
          </w:p>
        </w:tc>
        <w:tc>
          <w:tcPr>
            <w:tcW w:w="4889" w:type="dxa"/>
            <w:gridSpan w:val="2"/>
          </w:tcPr>
          <w:p w14:paraId="0F911EFE" w14:textId="77777777" w:rsidR="009948F1" w:rsidRDefault="00BC0563">
            <w:pPr>
              <w:pStyle w:val="TableParagraph"/>
              <w:spacing w:before="63" w:line="256" w:lineRule="auto"/>
              <w:ind w:left="23" w:right="228"/>
              <w:rPr>
                <w:sz w:val="13"/>
              </w:rPr>
            </w:pPr>
            <w:r>
              <w:rPr>
                <w:color w:val="231F20"/>
                <w:w w:val="95"/>
                <w:sz w:val="13"/>
              </w:rPr>
              <w:t>Conduct</w:t>
            </w:r>
            <w:r>
              <w:rPr>
                <w:color w:val="231F20"/>
                <w:spacing w:val="-17"/>
                <w:w w:val="95"/>
                <w:sz w:val="13"/>
              </w:rPr>
              <w:t xml:space="preserve"> </w:t>
            </w:r>
            <w:r>
              <w:rPr>
                <w:color w:val="231F20"/>
                <w:w w:val="95"/>
                <w:sz w:val="13"/>
              </w:rPr>
              <w:t>a</w:t>
            </w:r>
            <w:r>
              <w:rPr>
                <w:color w:val="231F20"/>
                <w:spacing w:val="-17"/>
                <w:w w:val="95"/>
                <w:sz w:val="13"/>
              </w:rPr>
              <w:t xml:space="preserve"> </w:t>
            </w:r>
            <w:r>
              <w:rPr>
                <w:color w:val="231F20"/>
                <w:w w:val="95"/>
                <w:sz w:val="13"/>
              </w:rPr>
              <w:t>training/retraining</w:t>
            </w:r>
            <w:r>
              <w:rPr>
                <w:color w:val="231F20"/>
                <w:spacing w:val="-16"/>
                <w:w w:val="95"/>
                <w:sz w:val="13"/>
              </w:rPr>
              <w:t xml:space="preserve"> </w:t>
            </w:r>
            <w:r>
              <w:rPr>
                <w:color w:val="231F20"/>
                <w:w w:val="95"/>
                <w:sz w:val="13"/>
              </w:rPr>
              <w:t>for</w:t>
            </w:r>
            <w:r>
              <w:rPr>
                <w:color w:val="231F20"/>
                <w:spacing w:val="-17"/>
                <w:w w:val="95"/>
                <w:sz w:val="13"/>
              </w:rPr>
              <w:t xml:space="preserve"> </w:t>
            </w:r>
            <w:r>
              <w:rPr>
                <w:color w:val="231F20"/>
                <w:w w:val="95"/>
                <w:sz w:val="13"/>
              </w:rPr>
              <w:t>Malaria</w:t>
            </w:r>
            <w:r>
              <w:rPr>
                <w:color w:val="231F20"/>
                <w:spacing w:val="-16"/>
                <w:w w:val="95"/>
                <w:sz w:val="13"/>
              </w:rPr>
              <w:t xml:space="preserve"> </w:t>
            </w:r>
            <w:r>
              <w:rPr>
                <w:color w:val="231F20"/>
                <w:w w:val="95"/>
                <w:sz w:val="13"/>
              </w:rPr>
              <w:t>Focal</w:t>
            </w:r>
            <w:r>
              <w:rPr>
                <w:color w:val="231F20"/>
                <w:spacing w:val="-17"/>
                <w:w w:val="95"/>
                <w:sz w:val="13"/>
              </w:rPr>
              <w:t xml:space="preserve"> </w:t>
            </w:r>
            <w:r>
              <w:rPr>
                <w:color w:val="231F20"/>
                <w:w w:val="95"/>
                <w:sz w:val="13"/>
              </w:rPr>
              <w:t>persons</w:t>
            </w:r>
            <w:r>
              <w:rPr>
                <w:color w:val="231F20"/>
                <w:spacing w:val="-16"/>
                <w:w w:val="95"/>
                <w:sz w:val="13"/>
              </w:rPr>
              <w:t xml:space="preserve"> </w:t>
            </w:r>
            <w:r>
              <w:rPr>
                <w:color w:val="231F20"/>
                <w:w w:val="95"/>
                <w:sz w:val="13"/>
              </w:rPr>
              <w:t>and</w:t>
            </w:r>
            <w:r>
              <w:rPr>
                <w:color w:val="231F20"/>
                <w:spacing w:val="-17"/>
                <w:w w:val="95"/>
                <w:sz w:val="13"/>
              </w:rPr>
              <w:t xml:space="preserve"> </w:t>
            </w:r>
            <w:r>
              <w:rPr>
                <w:color w:val="231F20"/>
                <w:w w:val="95"/>
                <w:sz w:val="13"/>
              </w:rPr>
              <w:t>State</w:t>
            </w:r>
            <w:r>
              <w:rPr>
                <w:color w:val="231F20"/>
                <w:spacing w:val="-17"/>
                <w:w w:val="95"/>
                <w:sz w:val="13"/>
              </w:rPr>
              <w:t xml:space="preserve"> </w:t>
            </w:r>
            <w:r>
              <w:rPr>
                <w:color w:val="231F20"/>
                <w:spacing w:val="-4"/>
                <w:w w:val="95"/>
                <w:sz w:val="13"/>
              </w:rPr>
              <w:t>Team</w:t>
            </w:r>
            <w:r>
              <w:rPr>
                <w:color w:val="231F20"/>
                <w:spacing w:val="-17"/>
                <w:w w:val="95"/>
                <w:sz w:val="13"/>
              </w:rPr>
              <w:t xml:space="preserve"> </w:t>
            </w:r>
            <w:r>
              <w:rPr>
                <w:color w:val="231F20"/>
                <w:w w:val="95"/>
                <w:sz w:val="13"/>
              </w:rPr>
              <w:t>Members</w:t>
            </w:r>
            <w:r>
              <w:rPr>
                <w:color w:val="231F20"/>
                <w:spacing w:val="-16"/>
                <w:w w:val="95"/>
                <w:sz w:val="13"/>
              </w:rPr>
              <w:t xml:space="preserve"> </w:t>
            </w:r>
            <w:r>
              <w:rPr>
                <w:color w:val="231F20"/>
                <w:w w:val="95"/>
                <w:sz w:val="13"/>
              </w:rPr>
              <w:t>on</w:t>
            </w:r>
            <w:r>
              <w:rPr>
                <w:color w:val="231F20"/>
                <w:spacing w:val="-17"/>
                <w:w w:val="95"/>
                <w:sz w:val="13"/>
              </w:rPr>
              <w:t xml:space="preserve"> </w:t>
            </w:r>
            <w:r>
              <w:rPr>
                <w:color w:val="231F20"/>
                <w:w w:val="95"/>
                <w:sz w:val="13"/>
              </w:rPr>
              <w:t xml:space="preserve">the </w:t>
            </w:r>
            <w:r>
              <w:rPr>
                <w:color w:val="231F20"/>
                <w:sz w:val="13"/>
              </w:rPr>
              <w:t xml:space="preserve">use of </w:t>
            </w:r>
            <w:r>
              <w:rPr>
                <w:color w:val="231F20"/>
                <w:spacing w:val="-4"/>
                <w:sz w:val="13"/>
              </w:rPr>
              <w:t xml:space="preserve">RDTs </w:t>
            </w:r>
            <w:r>
              <w:rPr>
                <w:color w:val="231F20"/>
                <w:sz w:val="13"/>
              </w:rPr>
              <w:t>for malaria</w:t>
            </w:r>
            <w:r>
              <w:rPr>
                <w:color w:val="231F20"/>
                <w:spacing w:val="-25"/>
                <w:sz w:val="13"/>
              </w:rPr>
              <w:t xml:space="preserve"> </w:t>
            </w:r>
            <w:r>
              <w:rPr>
                <w:color w:val="231F20"/>
                <w:sz w:val="13"/>
              </w:rPr>
              <w:t>diagnosis</w:t>
            </w:r>
          </w:p>
        </w:tc>
        <w:tc>
          <w:tcPr>
            <w:tcW w:w="1425" w:type="dxa"/>
          </w:tcPr>
          <w:p w14:paraId="4D5EA2DB" w14:textId="77777777" w:rsidR="009948F1" w:rsidRDefault="009948F1">
            <w:pPr>
              <w:pStyle w:val="TableParagraph"/>
              <w:spacing w:before="10"/>
              <w:rPr>
                <w:sz w:val="12"/>
              </w:rPr>
            </w:pPr>
          </w:p>
          <w:p w14:paraId="429A8852" w14:textId="77777777" w:rsidR="009948F1" w:rsidRDefault="00BC0563">
            <w:pPr>
              <w:pStyle w:val="TableParagraph"/>
              <w:spacing w:before="1"/>
              <w:ind w:left="25"/>
              <w:rPr>
                <w:sz w:val="13"/>
              </w:rPr>
            </w:pPr>
            <w:r>
              <w:rPr>
                <w:color w:val="231F20"/>
                <w:sz w:val="13"/>
              </w:rPr>
              <w:t>Lack of funds</w:t>
            </w:r>
          </w:p>
        </w:tc>
        <w:tc>
          <w:tcPr>
            <w:tcW w:w="1503" w:type="dxa"/>
          </w:tcPr>
          <w:p w14:paraId="3D6C86AF" w14:textId="77777777" w:rsidR="009948F1" w:rsidRDefault="009948F1">
            <w:pPr>
              <w:pStyle w:val="TableParagraph"/>
              <w:spacing w:before="10"/>
              <w:rPr>
                <w:sz w:val="12"/>
              </w:rPr>
            </w:pPr>
          </w:p>
          <w:p w14:paraId="0777B9B3" w14:textId="77777777" w:rsidR="009948F1" w:rsidRDefault="00BC0563">
            <w:pPr>
              <w:pStyle w:val="TableParagraph"/>
              <w:spacing w:before="1"/>
              <w:ind w:left="25"/>
              <w:rPr>
                <w:sz w:val="13"/>
              </w:rPr>
            </w:pPr>
            <w:r>
              <w:rPr>
                <w:color w:val="231F20"/>
                <w:w w:val="90"/>
                <w:sz w:val="13"/>
              </w:rPr>
              <w:t>Conduct training/re-training</w:t>
            </w:r>
          </w:p>
        </w:tc>
      </w:tr>
      <w:tr w:rsidR="009948F1" w14:paraId="62E11C99" w14:textId="77777777">
        <w:trPr>
          <w:trHeight w:val="447"/>
        </w:trPr>
        <w:tc>
          <w:tcPr>
            <w:tcW w:w="1038" w:type="dxa"/>
            <w:gridSpan w:val="3"/>
            <w:vMerge/>
            <w:tcBorders>
              <w:top w:val="nil"/>
              <w:bottom w:val="nil"/>
            </w:tcBorders>
          </w:tcPr>
          <w:p w14:paraId="1E68105D" w14:textId="77777777" w:rsidR="009948F1" w:rsidRDefault="009948F1">
            <w:pPr>
              <w:rPr>
                <w:sz w:val="2"/>
                <w:szCs w:val="2"/>
              </w:rPr>
            </w:pPr>
          </w:p>
        </w:tc>
        <w:tc>
          <w:tcPr>
            <w:tcW w:w="525" w:type="dxa"/>
          </w:tcPr>
          <w:p w14:paraId="19488DCA" w14:textId="77777777" w:rsidR="009948F1" w:rsidRDefault="009948F1">
            <w:pPr>
              <w:pStyle w:val="TableParagraph"/>
              <w:spacing w:before="10"/>
              <w:rPr>
                <w:sz w:val="12"/>
              </w:rPr>
            </w:pPr>
          </w:p>
          <w:p w14:paraId="0F74353C" w14:textId="77777777" w:rsidR="009948F1" w:rsidRDefault="00BC0563">
            <w:pPr>
              <w:pStyle w:val="TableParagraph"/>
              <w:spacing w:before="1"/>
              <w:ind w:left="26" w:right="9"/>
              <w:jc w:val="center"/>
              <w:rPr>
                <w:sz w:val="13"/>
              </w:rPr>
            </w:pPr>
            <w:r>
              <w:rPr>
                <w:color w:val="231F20"/>
                <w:sz w:val="13"/>
              </w:rPr>
              <w:t>5.1.3.d</w:t>
            </w:r>
          </w:p>
        </w:tc>
        <w:tc>
          <w:tcPr>
            <w:tcW w:w="4889" w:type="dxa"/>
            <w:gridSpan w:val="2"/>
          </w:tcPr>
          <w:p w14:paraId="782AF0C5" w14:textId="77777777" w:rsidR="009948F1" w:rsidRDefault="009948F1">
            <w:pPr>
              <w:pStyle w:val="TableParagraph"/>
              <w:spacing w:before="5"/>
              <w:rPr>
                <w:sz w:val="12"/>
              </w:rPr>
            </w:pPr>
          </w:p>
          <w:p w14:paraId="2263BBB1" w14:textId="77777777" w:rsidR="009948F1" w:rsidRDefault="00BC0563">
            <w:pPr>
              <w:pStyle w:val="TableParagraph"/>
              <w:ind w:left="23"/>
              <w:rPr>
                <w:sz w:val="13"/>
              </w:rPr>
            </w:pPr>
            <w:r>
              <w:rPr>
                <w:color w:val="231F20"/>
                <w:sz w:val="13"/>
              </w:rPr>
              <w:t>Distribute SOPs on parasitological confirmation to Health Facilities</w:t>
            </w:r>
          </w:p>
        </w:tc>
        <w:tc>
          <w:tcPr>
            <w:tcW w:w="1425" w:type="dxa"/>
          </w:tcPr>
          <w:p w14:paraId="67242E2B" w14:textId="77777777" w:rsidR="009948F1" w:rsidRDefault="009948F1">
            <w:pPr>
              <w:pStyle w:val="TableParagraph"/>
              <w:spacing w:before="10"/>
              <w:rPr>
                <w:sz w:val="12"/>
              </w:rPr>
            </w:pPr>
          </w:p>
          <w:p w14:paraId="720C22A7" w14:textId="77777777" w:rsidR="009948F1" w:rsidRDefault="00BC0563">
            <w:pPr>
              <w:pStyle w:val="TableParagraph"/>
              <w:spacing w:before="1"/>
              <w:ind w:left="25"/>
              <w:rPr>
                <w:sz w:val="13"/>
              </w:rPr>
            </w:pPr>
            <w:r>
              <w:rPr>
                <w:color w:val="231F20"/>
                <w:sz w:val="13"/>
              </w:rPr>
              <w:t>Lack of funds</w:t>
            </w:r>
          </w:p>
        </w:tc>
        <w:tc>
          <w:tcPr>
            <w:tcW w:w="1503" w:type="dxa"/>
          </w:tcPr>
          <w:p w14:paraId="569A443F" w14:textId="77777777" w:rsidR="009948F1" w:rsidRDefault="009948F1">
            <w:pPr>
              <w:pStyle w:val="TableParagraph"/>
              <w:spacing w:before="10"/>
              <w:rPr>
                <w:sz w:val="12"/>
              </w:rPr>
            </w:pPr>
          </w:p>
          <w:p w14:paraId="77390E28" w14:textId="77777777" w:rsidR="009948F1" w:rsidRDefault="00BC0563">
            <w:pPr>
              <w:pStyle w:val="TableParagraph"/>
              <w:spacing w:before="1"/>
              <w:ind w:left="25"/>
              <w:rPr>
                <w:sz w:val="13"/>
              </w:rPr>
            </w:pPr>
            <w:r>
              <w:rPr>
                <w:color w:val="231F20"/>
                <w:sz w:val="13"/>
              </w:rPr>
              <w:t>Distribute SOPs</w:t>
            </w:r>
          </w:p>
        </w:tc>
      </w:tr>
      <w:tr w:rsidR="009948F1" w14:paraId="0F5A353F" w14:textId="77777777">
        <w:trPr>
          <w:trHeight w:val="447"/>
        </w:trPr>
        <w:tc>
          <w:tcPr>
            <w:tcW w:w="1038" w:type="dxa"/>
            <w:gridSpan w:val="3"/>
            <w:vMerge/>
            <w:tcBorders>
              <w:top w:val="nil"/>
              <w:bottom w:val="nil"/>
            </w:tcBorders>
          </w:tcPr>
          <w:p w14:paraId="71131463" w14:textId="77777777" w:rsidR="009948F1" w:rsidRDefault="009948F1">
            <w:pPr>
              <w:rPr>
                <w:sz w:val="2"/>
                <w:szCs w:val="2"/>
              </w:rPr>
            </w:pPr>
          </w:p>
        </w:tc>
        <w:tc>
          <w:tcPr>
            <w:tcW w:w="525" w:type="dxa"/>
          </w:tcPr>
          <w:p w14:paraId="04020F02" w14:textId="77777777" w:rsidR="009948F1" w:rsidRDefault="009948F1">
            <w:pPr>
              <w:pStyle w:val="TableParagraph"/>
              <w:spacing w:before="10"/>
              <w:rPr>
                <w:sz w:val="12"/>
              </w:rPr>
            </w:pPr>
          </w:p>
          <w:p w14:paraId="5E0668B6" w14:textId="77777777" w:rsidR="009948F1" w:rsidRDefault="00BC0563">
            <w:pPr>
              <w:pStyle w:val="TableParagraph"/>
              <w:spacing w:before="1"/>
              <w:ind w:left="26" w:right="9"/>
              <w:jc w:val="center"/>
              <w:rPr>
                <w:sz w:val="13"/>
              </w:rPr>
            </w:pPr>
            <w:r>
              <w:rPr>
                <w:color w:val="231F20"/>
                <w:sz w:val="13"/>
              </w:rPr>
              <w:t>5.1.3.e</w:t>
            </w:r>
          </w:p>
        </w:tc>
        <w:tc>
          <w:tcPr>
            <w:tcW w:w="4889" w:type="dxa"/>
            <w:gridSpan w:val="2"/>
          </w:tcPr>
          <w:p w14:paraId="36EBF5AB" w14:textId="362A40C5" w:rsidR="009948F1" w:rsidRDefault="00CD5963">
            <w:pPr>
              <w:pStyle w:val="TableParagraph"/>
              <w:spacing w:before="63" w:line="256" w:lineRule="auto"/>
              <w:ind w:left="23" w:right="79"/>
              <w:rPr>
                <w:sz w:val="13"/>
              </w:rPr>
            </w:pPr>
            <w:r>
              <w:rPr>
                <w:color w:val="231F20"/>
                <w:sz w:val="13"/>
              </w:rPr>
              <w:t>Distribute SOPs on parasitological confirmation to Health Facilities</w:t>
            </w:r>
          </w:p>
        </w:tc>
        <w:tc>
          <w:tcPr>
            <w:tcW w:w="1425" w:type="dxa"/>
          </w:tcPr>
          <w:p w14:paraId="153C7C03" w14:textId="77777777" w:rsidR="009948F1" w:rsidRDefault="009948F1">
            <w:pPr>
              <w:pStyle w:val="TableParagraph"/>
              <w:spacing w:before="10"/>
              <w:rPr>
                <w:sz w:val="12"/>
              </w:rPr>
            </w:pPr>
          </w:p>
          <w:p w14:paraId="4C6E3F3A" w14:textId="77777777" w:rsidR="009948F1" w:rsidRDefault="00BC0563">
            <w:pPr>
              <w:pStyle w:val="TableParagraph"/>
              <w:spacing w:before="1"/>
              <w:ind w:left="25"/>
              <w:rPr>
                <w:sz w:val="13"/>
              </w:rPr>
            </w:pPr>
            <w:r>
              <w:rPr>
                <w:color w:val="231F20"/>
                <w:sz w:val="13"/>
              </w:rPr>
              <w:t>Lack of funds</w:t>
            </w:r>
          </w:p>
        </w:tc>
        <w:tc>
          <w:tcPr>
            <w:tcW w:w="1503" w:type="dxa"/>
          </w:tcPr>
          <w:p w14:paraId="3C7C807E" w14:textId="77777777" w:rsidR="009948F1" w:rsidRDefault="00BC0563">
            <w:pPr>
              <w:pStyle w:val="TableParagraph"/>
              <w:spacing w:before="68" w:line="256" w:lineRule="auto"/>
              <w:ind w:left="25" w:right="321"/>
              <w:rPr>
                <w:sz w:val="13"/>
              </w:rPr>
            </w:pPr>
            <w:r>
              <w:rPr>
                <w:color w:val="231F20"/>
                <w:w w:val="90"/>
                <w:sz w:val="13"/>
              </w:rPr>
              <w:t xml:space="preserve">Stakeholders' Review </w:t>
            </w:r>
            <w:r>
              <w:rPr>
                <w:color w:val="231F20"/>
                <w:sz w:val="13"/>
              </w:rPr>
              <w:t>Meeting</w:t>
            </w:r>
          </w:p>
        </w:tc>
      </w:tr>
      <w:tr w:rsidR="009948F1" w14:paraId="5C523007" w14:textId="77777777">
        <w:trPr>
          <w:trHeight w:val="1282"/>
        </w:trPr>
        <w:tc>
          <w:tcPr>
            <w:tcW w:w="584" w:type="dxa"/>
            <w:gridSpan w:val="2"/>
            <w:tcBorders>
              <w:top w:val="nil"/>
              <w:bottom w:val="single" w:sz="8" w:space="0" w:color="231F20"/>
            </w:tcBorders>
          </w:tcPr>
          <w:p w14:paraId="12B972B4" w14:textId="77777777" w:rsidR="009948F1" w:rsidRDefault="009948F1">
            <w:pPr>
              <w:pStyle w:val="TableParagraph"/>
              <w:rPr>
                <w:rFonts w:ascii="Times New Roman"/>
                <w:sz w:val="10"/>
              </w:rPr>
            </w:pPr>
          </w:p>
        </w:tc>
        <w:tc>
          <w:tcPr>
            <w:tcW w:w="454" w:type="dxa"/>
            <w:tcBorders>
              <w:bottom w:val="single" w:sz="12" w:space="0" w:color="231F20"/>
            </w:tcBorders>
            <w:shd w:val="clear" w:color="auto" w:fill="CCE7D3"/>
          </w:tcPr>
          <w:p w14:paraId="6F721B6F" w14:textId="77777777" w:rsidR="009948F1" w:rsidRDefault="009948F1">
            <w:pPr>
              <w:pStyle w:val="TableParagraph"/>
              <w:rPr>
                <w:sz w:val="12"/>
              </w:rPr>
            </w:pPr>
          </w:p>
          <w:p w14:paraId="07936C6F" w14:textId="77777777" w:rsidR="009948F1" w:rsidRDefault="009948F1">
            <w:pPr>
              <w:pStyle w:val="TableParagraph"/>
              <w:rPr>
                <w:sz w:val="12"/>
              </w:rPr>
            </w:pPr>
          </w:p>
          <w:p w14:paraId="3DB3A296" w14:textId="77777777" w:rsidR="009948F1" w:rsidRDefault="009948F1">
            <w:pPr>
              <w:pStyle w:val="TableParagraph"/>
              <w:rPr>
                <w:sz w:val="12"/>
              </w:rPr>
            </w:pPr>
          </w:p>
          <w:p w14:paraId="2F711A2D" w14:textId="77777777" w:rsidR="009948F1" w:rsidRDefault="009948F1">
            <w:pPr>
              <w:pStyle w:val="TableParagraph"/>
              <w:spacing w:before="7"/>
              <w:rPr>
                <w:sz w:val="13"/>
              </w:rPr>
            </w:pPr>
          </w:p>
          <w:p w14:paraId="21060757" w14:textId="77777777" w:rsidR="009948F1" w:rsidRDefault="00BC0563">
            <w:pPr>
              <w:pStyle w:val="TableParagraph"/>
              <w:spacing w:before="1"/>
              <w:ind w:left="55"/>
              <w:rPr>
                <w:sz w:val="13"/>
              </w:rPr>
            </w:pPr>
            <w:r>
              <w:rPr>
                <w:color w:val="231F20"/>
                <w:sz w:val="13"/>
              </w:rPr>
              <w:t>5.1.5</w:t>
            </w:r>
          </w:p>
        </w:tc>
        <w:tc>
          <w:tcPr>
            <w:tcW w:w="3033" w:type="dxa"/>
            <w:gridSpan w:val="2"/>
            <w:tcBorders>
              <w:bottom w:val="single" w:sz="12" w:space="0" w:color="231F20"/>
            </w:tcBorders>
            <w:shd w:val="clear" w:color="auto" w:fill="CCE7D3"/>
          </w:tcPr>
          <w:p w14:paraId="7F546A05" w14:textId="77777777" w:rsidR="009948F1" w:rsidRDefault="009948F1">
            <w:pPr>
              <w:pStyle w:val="TableParagraph"/>
              <w:rPr>
                <w:sz w:val="12"/>
              </w:rPr>
            </w:pPr>
          </w:p>
          <w:p w14:paraId="647444B7" w14:textId="77777777" w:rsidR="009948F1" w:rsidRDefault="009948F1">
            <w:pPr>
              <w:pStyle w:val="TableParagraph"/>
              <w:rPr>
                <w:sz w:val="12"/>
              </w:rPr>
            </w:pPr>
          </w:p>
          <w:p w14:paraId="5B7D06E8" w14:textId="77777777" w:rsidR="009948F1" w:rsidRDefault="009948F1">
            <w:pPr>
              <w:pStyle w:val="TableParagraph"/>
              <w:spacing w:before="4"/>
              <w:rPr>
                <w:sz w:val="11"/>
              </w:rPr>
            </w:pPr>
          </w:p>
          <w:p w14:paraId="667ED7BB" w14:textId="77777777" w:rsidR="009948F1" w:rsidRDefault="00BC0563">
            <w:pPr>
              <w:pStyle w:val="TableParagraph"/>
              <w:spacing w:line="256" w:lineRule="auto"/>
              <w:ind w:left="23" w:right="112" w:firstLine="32"/>
              <w:rPr>
                <w:sz w:val="13"/>
              </w:rPr>
            </w:pPr>
            <w:r>
              <w:rPr>
                <w:color w:val="231F20"/>
                <w:w w:val="95"/>
                <w:sz w:val="13"/>
              </w:rPr>
              <w:t>Improve</w:t>
            </w:r>
            <w:r>
              <w:rPr>
                <w:color w:val="231F20"/>
                <w:spacing w:val="-18"/>
                <w:w w:val="95"/>
                <w:sz w:val="13"/>
              </w:rPr>
              <w:t xml:space="preserve"> </w:t>
            </w:r>
            <w:r>
              <w:rPr>
                <w:color w:val="231F20"/>
                <w:w w:val="95"/>
                <w:sz w:val="13"/>
              </w:rPr>
              <w:t>availability</w:t>
            </w:r>
            <w:r>
              <w:rPr>
                <w:color w:val="231F20"/>
                <w:spacing w:val="-17"/>
                <w:w w:val="95"/>
                <w:sz w:val="13"/>
              </w:rPr>
              <w:t xml:space="preserve"> </w:t>
            </w:r>
            <w:r>
              <w:rPr>
                <w:color w:val="231F20"/>
                <w:w w:val="95"/>
                <w:sz w:val="13"/>
              </w:rPr>
              <w:t>of</w:t>
            </w:r>
            <w:r>
              <w:rPr>
                <w:color w:val="231F20"/>
                <w:spacing w:val="-17"/>
                <w:w w:val="95"/>
                <w:sz w:val="13"/>
              </w:rPr>
              <w:t xml:space="preserve"> </w:t>
            </w:r>
            <w:r>
              <w:rPr>
                <w:color w:val="231F20"/>
                <w:w w:val="95"/>
                <w:sz w:val="13"/>
              </w:rPr>
              <w:t>and</w:t>
            </w:r>
            <w:r>
              <w:rPr>
                <w:color w:val="231F20"/>
                <w:spacing w:val="-18"/>
                <w:w w:val="95"/>
                <w:sz w:val="13"/>
              </w:rPr>
              <w:t xml:space="preserve"> </w:t>
            </w:r>
            <w:r>
              <w:rPr>
                <w:color w:val="231F20"/>
                <w:w w:val="95"/>
                <w:sz w:val="13"/>
              </w:rPr>
              <w:t>access</w:t>
            </w:r>
            <w:r>
              <w:rPr>
                <w:color w:val="231F20"/>
                <w:spacing w:val="-17"/>
                <w:w w:val="95"/>
                <w:sz w:val="13"/>
              </w:rPr>
              <w:t xml:space="preserve"> </w:t>
            </w:r>
            <w:r>
              <w:rPr>
                <w:color w:val="231F20"/>
                <w:w w:val="95"/>
                <w:sz w:val="13"/>
              </w:rPr>
              <w:t>to</w:t>
            </w:r>
            <w:r>
              <w:rPr>
                <w:color w:val="231F20"/>
                <w:spacing w:val="-17"/>
                <w:w w:val="95"/>
                <w:sz w:val="13"/>
              </w:rPr>
              <w:t xml:space="preserve"> </w:t>
            </w:r>
            <w:r>
              <w:rPr>
                <w:color w:val="231F20"/>
                <w:w w:val="95"/>
                <w:sz w:val="13"/>
              </w:rPr>
              <w:t>commodities</w:t>
            </w:r>
            <w:r>
              <w:rPr>
                <w:color w:val="231F20"/>
                <w:spacing w:val="-17"/>
                <w:w w:val="95"/>
                <w:sz w:val="13"/>
              </w:rPr>
              <w:t xml:space="preserve"> </w:t>
            </w:r>
            <w:r>
              <w:rPr>
                <w:color w:val="231F20"/>
                <w:w w:val="95"/>
                <w:sz w:val="13"/>
              </w:rPr>
              <w:t xml:space="preserve">and </w:t>
            </w:r>
            <w:r>
              <w:rPr>
                <w:color w:val="231F20"/>
                <w:sz w:val="13"/>
              </w:rPr>
              <w:t>supplies</w:t>
            </w:r>
            <w:r>
              <w:rPr>
                <w:color w:val="231F20"/>
                <w:spacing w:val="-25"/>
                <w:sz w:val="13"/>
              </w:rPr>
              <w:t xml:space="preserve"> </w:t>
            </w:r>
            <w:r>
              <w:rPr>
                <w:color w:val="231F20"/>
                <w:sz w:val="13"/>
              </w:rPr>
              <w:t>for</w:t>
            </w:r>
            <w:r>
              <w:rPr>
                <w:color w:val="231F20"/>
                <w:spacing w:val="-24"/>
                <w:sz w:val="13"/>
              </w:rPr>
              <w:t xml:space="preserve"> </w:t>
            </w:r>
            <w:r>
              <w:rPr>
                <w:color w:val="231F20"/>
                <w:sz w:val="13"/>
              </w:rPr>
              <w:t>treatment</w:t>
            </w:r>
            <w:r>
              <w:rPr>
                <w:color w:val="231F20"/>
                <w:spacing w:val="-25"/>
                <w:sz w:val="13"/>
              </w:rPr>
              <w:t xml:space="preserve"> </w:t>
            </w:r>
            <w:r>
              <w:rPr>
                <w:color w:val="231F20"/>
                <w:sz w:val="13"/>
              </w:rPr>
              <w:t>of</w:t>
            </w:r>
            <w:r>
              <w:rPr>
                <w:color w:val="231F20"/>
                <w:spacing w:val="-24"/>
                <w:sz w:val="13"/>
              </w:rPr>
              <w:t xml:space="preserve"> </w:t>
            </w:r>
            <w:r>
              <w:rPr>
                <w:color w:val="231F20"/>
                <w:sz w:val="13"/>
              </w:rPr>
              <w:t>uncomplicated</w:t>
            </w:r>
            <w:r>
              <w:rPr>
                <w:color w:val="231F20"/>
                <w:spacing w:val="-25"/>
                <w:sz w:val="13"/>
              </w:rPr>
              <w:t xml:space="preserve"> </w:t>
            </w:r>
            <w:r>
              <w:rPr>
                <w:color w:val="231F20"/>
                <w:sz w:val="13"/>
              </w:rPr>
              <w:t>and</w:t>
            </w:r>
            <w:r>
              <w:rPr>
                <w:color w:val="231F20"/>
                <w:spacing w:val="-24"/>
                <w:sz w:val="13"/>
              </w:rPr>
              <w:t xml:space="preserve"> </w:t>
            </w:r>
            <w:r>
              <w:rPr>
                <w:color w:val="231F20"/>
                <w:sz w:val="13"/>
              </w:rPr>
              <w:t>severe malaria</w:t>
            </w:r>
          </w:p>
        </w:tc>
        <w:tc>
          <w:tcPr>
            <w:tcW w:w="2381" w:type="dxa"/>
            <w:tcBorders>
              <w:bottom w:val="single" w:sz="12" w:space="0" w:color="231F20"/>
            </w:tcBorders>
            <w:shd w:val="clear" w:color="auto" w:fill="CCE7D3"/>
          </w:tcPr>
          <w:p w14:paraId="2B271EE4" w14:textId="77777777" w:rsidR="009948F1" w:rsidRDefault="00BC0563">
            <w:pPr>
              <w:pStyle w:val="TableParagraph"/>
              <w:numPr>
                <w:ilvl w:val="0"/>
                <w:numId w:val="164"/>
              </w:numPr>
              <w:tabs>
                <w:tab w:val="left" w:pos="93"/>
              </w:tabs>
              <w:spacing w:before="14" w:line="256" w:lineRule="auto"/>
              <w:ind w:right="98" w:firstLine="0"/>
              <w:rPr>
                <w:sz w:val="13"/>
              </w:rPr>
            </w:pPr>
            <w:r>
              <w:rPr>
                <w:color w:val="231F20"/>
                <w:w w:val="90"/>
                <w:sz w:val="13"/>
              </w:rPr>
              <w:t xml:space="preserve">ACT and artesunate injections purchased </w:t>
            </w:r>
            <w:r>
              <w:rPr>
                <w:color w:val="231F20"/>
                <w:sz w:val="13"/>
              </w:rPr>
              <w:t>&amp;</w:t>
            </w:r>
            <w:r>
              <w:rPr>
                <w:color w:val="231F20"/>
                <w:spacing w:val="-25"/>
                <w:sz w:val="13"/>
              </w:rPr>
              <w:t xml:space="preserve"> </w:t>
            </w:r>
            <w:r>
              <w:rPr>
                <w:color w:val="231F20"/>
                <w:sz w:val="13"/>
              </w:rPr>
              <w:t>distributed</w:t>
            </w:r>
            <w:r>
              <w:rPr>
                <w:color w:val="231F20"/>
                <w:spacing w:val="-24"/>
                <w:sz w:val="13"/>
              </w:rPr>
              <w:t xml:space="preserve"> </w:t>
            </w:r>
            <w:r>
              <w:rPr>
                <w:color w:val="231F20"/>
                <w:sz w:val="13"/>
              </w:rPr>
              <w:t>to</w:t>
            </w:r>
            <w:r>
              <w:rPr>
                <w:color w:val="231F20"/>
                <w:spacing w:val="-24"/>
                <w:sz w:val="13"/>
              </w:rPr>
              <w:t xml:space="preserve"> </w:t>
            </w:r>
            <w:r>
              <w:rPr>
                <w:color w:val="231F20"/>
                <w:sz w:val="13"/>
              </w:rPr>
              <w:t>407</w:t>
            </w:r>
            <w:r>
              <w:rPr>
                <w:color w:val="231F20"/>
                <w:spacing w:val="-24"/>
                <w:sz w:val="13"/>
              </w:rPr>
              <w:t xml:space="preserve"> </w:t>
            </w:r>
            <w:r>
              <w:rPr>
                <w:color w:val="231F20"/>
                <w:sz w:val="13"/>
              </w:rPr>
              <w:t>primary</w:t>
            </w:r>
            <w:r>
              <w:rPr>
                <w:color w:val="231F20"/>
                <w:spacing w:val="-24"/>
                <w:sz w:val="13"/>
              </w:rPr>
              <w:t xml:space="preserve"> </w:t>
            </w:r>
            <w:r>
              <w:rPr>
                <w:color w:val="231F20"/>
                <w:sz w:val="13"/>
              </w:rPr>
              <w:t>&amp;</w:t>
            </w:r>
            <w:r>
              <w:rPr>
                <w:color w:val="231F20"/>
                <w:spacing w:val="-25"/>
                <w:sz w:val="13"/>
              </w:rPr>
              <w:t xml:space="preserve"> </w:t>
            </w:r>
            <w:r>
              <w:rPr>
                <w:color w:val="231F20"/>
                <w:sz w:val="13"/>
              </w:rPr>
              <w:t>secondary HFs</w:t>
            </w:r>
          </w:p>
          <w:p w14:paraId="16D8D145" w14:textId="77777777" w:rsidR="009948F1" w:rsidRDefault="00BC0563">
            <w:pPr>
              <w:pStyle w:val="TableParagraph"/>
              <w:numPr>
                <w:ilvl w:val="0"/>
                <w:numId w:val="164"/>
              </w:numPr>
              <w:tabs>
                <w:tab w:val="left" w:pos="99"/>
              </w:tabs>
              <w:spacing w:line="256" w:lineRule="auto"/>
              <w:ind w:right="49" w:firstLine="0"/>
              <w:rPr>
                <w:sz w:val="13"/>
              </w:rPr>
            </w:pPr>
            <w:r>
              <w:rPr>
                <w:color w:val="231F20"/>
                <w:w w:val="95"/>
                <w:sz w:val="13"/>
              </w:rPr>
              <w:t>Hand</w:t>
            </w:r>
            <w:r>
              <w:rPr>
                <w:color w:val="231F20"/>
                <w:spacing w:val="-16"/>
                <w:w w:val="95"/>
                <w:sz w:val="13"/>
              </w:rPr>
              <w:t xml:space="preserve"> </w:t>
            </w:r>
            <w:r>
              <w:rPr>
                <w:color w:val="231F20"/>
                <w:w w:val="95"/>
                <w:sz w:val="13"/>
              </w:rPr>
              <w:t>gloves</w:t>
            </w:r>
            <w:r>
              <w:rPr>
                <w:color w:val="231F20"/>
                <w:spacing w:val="-16"/>
                <w:w w:val="95"/>
                <w:sz w:val="13"/>
              </w:rPr>
              <w:t xml:space="preserve"> </w:t>
            </w:r>
            <w:r>
              <w:rPr>
                <w:color w:val="231F20"/>
                <w:w w:val="95"/>
                <w:sz w:val="13"/>
              </w:rPr>
              <w:t>procured</w:t>
            </w:r>
            <w:r>
              <w:rPr>
                <w:color w:val="231F20"/>
                <w:spacing w:val="-16"/>
                <w:w w:val="95"/>
                <w:sz w:val="13"/>
              </w:rPr>
              <w:t xml:space="preserve"> </w:t>
            </w:r>
            <w:r>
              <w:rPr>
                <w:color w:val="231F20"/>
                <w:w w:val="95"/>
                <w:sz w:val="13"/>
              </w:rPr>
              <w:t>&amp;</w:t>
            </w:r>
            <w:r>
              <w:rPr>
                <w:color w:val="231F20"/>
                <w:spacing w:val="-16"/>
                <w:w w:val="95"/>
                <w:sz w:val="13"/>
              </w:rPr>
              <w:t xml:space="preserve"> </w:t>
            </w:r>
            <w:r>
              <w:rPr>
                <w:color w:val="231F20"/>
                <w:w w:val="95"/>
                <w:sz w:val="13"/>
              </w:rPr>
              <w:t>distributed</w:t>
            </w:r>
            <w:r>
              <w:rPr>
                <w:color w:val="231F20"/>
                <w:spacing w:val="-15"/>
                <w:w w:val="95"/>
                <w:sz w:val="13"/>
              </w:rPr>
              <w:t xml:space="preserve"> </w:t>
            </w:r>
            <w:r>
              <w:rPr>
                <w:color w:val="231F20"/>
                <w:w w:val="95"/>
                <w:sz w:val="13"/>
              </w:rPr>
              <w:t>to</w:t>
            </w:r>
            <w:r>
              <w:rPr>
                <w:color w:val="231F20"/>
                <w:spacing w:val="-16"/>
                <w:w w:val="95"/>
                <w:sz w:val="13"/>
              </w:rPr>
              <w:t xml:space="preserve"> </w:t>
            </w:r>
            <w:r>
              <w:rPr>
                <w:color w:val="231F20"/>
                <w:w w:val="95"/>
                <w:sz w:val="13"/>
              </w:rPr>
              <w:t xml:space="preserve">407 </w:t>
            </w:r>
            <w:r>
              <w:rPr>
                <w:color w:val="231F20"/>
                <w:sz w:val="13"/>
              </w:rPr>
              <w:t>Primary</w:t>
            </w:r>
            <w:r>
              <w:rPr>
                <w:color w:val="231F20"/>
                <w:spacing w:val="-16"/>
                <w:sz w:val="13"/>
              </w:rPr>
              <w:t xml:space="preserve"> </w:t>
            </w:r>
            <w:r>
              <w:rPr>
                <w:color w:val="231F20"/>
                <w:sz w:val="13"/>
              </w:rPr>
              <w:t>&amp;</w:t>
            </w:r>
            <w:r>
              <w:rPr>
                <w:color w:val="231F20"/>
                <w:spacing w:val="-16"/>
                <w:sz w:val="13"/>
              </w:rPr>
              <w:t xml:space="preserve"> </w:t>
            </w:r>
            <w:r>
              <w:rPr>
                <w:color w:val="231F20"/>
                <w:sz w:val="13"/>
              </w:rPr>
              <w:t>Secondary</w:t>
            </w:r>
            <w:r>
              <w:rPr>
                <w:color w:val="231F20"/>
                <w:spacing w:val="-16"/>
                <w:sz w:val="13"/>
              </w:rPr>
              <w:t xml:space="preserve"> </w:t>
            </w:r>
            <w:r>
              <w:rPr>
                <w:color w:val="231F20"/>
                <w:sz w:val="13"/>
              </w:rPr>
              <w:t>Health</w:t>
            </w:r>
            <w:r>
              <w:rPr>
                <w:color w:val="231F20"/>
                <w:spacing w:val="-16"/>
                <w:sz w:val="13"/>
              </w:rPr>
              <w:t xml:space="preserve"> </w:t>
            </w:r>
            <w:r>
              <w:rPr>
                <w:color w:val="231F20"/>
                <w:sz w:val="13"/>
              </w:rPr>
              <w:t>facilities</w:t>
            </w:r>
          </w:p>
          <w:p w14:paraId="16E0FFA3" w14:textId="77777777" w:rsidR="009948F1" w:rsidRDefault="00BC0563">
            <w:pPr>
              <w:pStyle w:val="TableParagraph"/>
              <w:numPr>
                <w:ilvl w:val="0"/>
                <w:numId w:val="164"/>
              </w:numPr>
              <w:tabs>
                <w:tab w:val="left" w:pos="67"/>
              </w:tabs>
              <w:spacing w:line="148" w:lineRule="exact"/>
              <w:ind w:left="66" w:hanging="43"/>
              <w:rPr>
                <w:sz w:val="13"/>
              </w:rPr>
            </w:pPr>
            <w:r>
              <w:rPr>
                <w:color w:val="231F20"/>
                <w:sz w:val="13"/>
              </w:rPr>
              <w:t>RBM</w:t>
            </w:r>
            <w:r>
              <w:rPr>
                <w:color w:val="231F20"/>
                <w:spacing w:val="-18"/>
                <w:sz w:val="13"/>
              </w:rPr>
              <w:t xml:space="preserve"> </w:t>
            </w:r>
            <w:r>
              <w:rPr>
                <w:color w:val="231F20"/>
                <w:sz w:val="13"/>
              </w:rPr>
              <w:t>manager,</w:t>
            </w:r>
            <w:r>
              <w:rPr>
                <w:color w:val="231F20"/>
                <w:spacing w:val="-17"/>
                <w:sz w:val="13"/>
              </w:rPr>
              <w:t xml:space="preserve"> </w:t>
            </w:r>
            <w:r>
              <w:rPr>
                <w:color w:val="231F20"/>
                <w:sz w:val="13"/>
              </w:rPr>
              <w:t>State</w:t>
            </w:r>
            <w:r>
              <w:rPr>
                <w:color w:val="231F20"/>
                <w:spacing w:val="-17"/>
                <w:sz w:val="13"/>
              </w:rPr>
              <w:t xml:space="preserve"> </w:t>
            </w:r>
            <w:r>
              <w:rPr>
                <w:color w:val="231F20"/>
                <w:sz w:val="13"/>
              </w:rPr>
              <w:t>Malaria</w:t>
            </w:r>
            <w:r>
              <w:rPr>
                <w:color w:val="231F20"/>
                <w:spacing w:val="-17"/>
                <w:sz w:val="13"/>
              </w:rPr>
              <w:t xml:space="preserve"> </w:t>
            </w:r>
            <w:r>
              <w:rPr>
                <w:color w:val="231F20"/>
                <w:sz w:val="13"/>
              </w:rPr>
              <w:t>logistics</w:t>
            </w:r>
          </w:p>
          <w:p w14:paraId="50BBD333" w14:textId="77777777" w:rsidR="009948F1" w:rsidRDefault="00BC0563">
            <w:pPr>
              <w:pStyle w:val="TableParagraph"/>
              <w:spacing w:line="160" w:lineRule="atLeast"/>
              <w:ind w:left="24" w:right="100"/>
              <w:rPr>
                <w:sz w:val="13"/>
              </w:rPr>
            </w:pPr>
            <w:r>
              <w:rPr>
                <w:color w:val="231F20"/>
                <w:w w:val="95"/>
                <w:sz w:val="13"/>
              </w:rPr>
              <w:t>officer</w:t>
            </w:r>
            <w:r>
              <w:rPr>
                <w:color w:val="231F20"/>
                <w:spacing w:val="-17"/>
                <w:w w:val="95"/>
                <w:sz w:val="13"/>
              </w:rPr>
              <w:t xml:space="preserve"> </w:t>
            </w:r>
            <w:r>
              <w:rPr>
                <w:color w:val="231F20"/>
                <w:w w:val="95"/>
                <w:sz w:val="13"/>
              </w:rPr>
              <w:t>and</w:t>
            </w:r>
            <w:r>
              <w:rPr>
                <w:color w:val="231F20"/>
                <w:spacing w:val="-16"/>
                <w:w w:val="95"/>
                <w:sz w:val="13"/>
              </w:rPr>
              <w:t xml:space="preserve"> </w:t>
            </w:r>
            <w:r>
              <w:rPr>
                <w:color w:val="231F20"/>
                <w:w w:val="95"/>
                <w:sz w:val="13"/>
              </w:rPr>
              <w:t>23</w:t>
            </w:r>
            <w:r>
              <w:rPr>
                <w:color w:val="231F20"/>
                <w:spacing w:val="-17"/>
                <w:w w:val="95"/>
                <w:sz w:val="13"/>
              </w:rPr>
              <w:t xml:space="preserve"> </w:t>
            </w:r>
            <w:r>
              <w:rPr>
                <w:color w:val="231F20"/>
                <w:w w:val="95"/>
                <w:sz w:val="13"/>
              </w:rPr>
              <w:t>MFPs</w:t>
            </w:r>
            <w:r>
              <w:rPr>
                <w:color w:val="231F20"/>
                <w:spacing w:val="-16"/>
                <w:w w:val="95"/>
                <w:sz w:val="13"/>
              </w:rPr>
              <w:t xml:space="preserve"> </w:t>
            </w:r>
            <w:r>
              <w:rPr>
                <w:color w:val="231F20"/>
                <w:w w:val="95"/>
                <w:sz w:val="13"/>
              </w:rPr>
              <w:t>trained</w:t>
            </w:r>
            <w:r>
              <w:rPr>
                <w:color w:val="231F20"/>
                <w:spacing w:val="-17"/>
                <w:w w:val="95"/>
                <w:sz w:val="13"/>
              </w:rPr>
              <w:t xml:space="preserve"> </w:t>
            </w:r>
            <w:r>
              <w:rPr>
                <w:color w:val="231F20"/>
                <w:w w:val="95"/>
                <w:sz w:val="13"/>
              </w:rPr>
              <w:t>on</w:t>
            </w:r>
            <w:r>
              <w:rPr>
                <w:color w:val="231F20"/>
                <w:spacing w:val="-16"/>
                <w:w w:val="95"/>
                <w:sz w:val="13"/>
              </w:rPr>
              <w:t xml:space="preserve"> </w:t>
            </w:r>
            <w:r>
              <w:rPr>
                <w:color w:val="231F20"/>
                <w:w w:val="95"/>
                <w:sz w:val="13"/>
              </w:rPr>
              <w:t xml:space="preserve">commodity </w:t>
            </w:r>
            <w:r>
              <w:rPr>
                <w:color w:val="231F20"/>
                <w:sz w:val="13"/>
              </w:rPr>
              <w:t>management</w:t>
            </w:r>
          </w:p>
        </w:tc>
        <w:tc>
          <w:tcPr>
            <w:tcW w:w="1425" w:type="dxa"/>
            <w:tcBorders>
              <w:bottom w:val="single" w:sz="12" w:space="0" w:color="231F20"/>
              <w:right w:val="single" w:sz="8" w:space="0" w:color="231F20"/>
            </w:tcBorders>
            <w:shd w:val="clear" w:color="auto" w:fill="CCE7D3"/>
          </w:tcPr>
          <w:p w14:paraId="50A23434" w14:textId="77777777" w:rsidR="009948F1" w:rsidRDefault="009948F1">
            <w:pPr>
              <w:pStyle w:val="TableParagraph"/>
              <w:rPr>
                <w:rFonts w:ascii="Times New Roman"/>
                <w:sz w:val="10"/>
              </w:rPr>
            </w:pPr>
          </w:p>
        </w:tc>
        <w:tc>
          <w:tcPr>
            <w:tcW w:w="1503" w:type="dxa"/>
            <w:tcBorders>
              <w:left w:val="single" w:sz="8" w:space="0" w:color="231F20"/>
            </w:tcBorders>
            <w:shd w:val="clear" w:color="auto" w:fill="CCE7D3"/>
          </w:tcPr>
          <w:p w14:paraId="79B97F36" w14:textId="77777777" w:rsidR="009948F1" w:rsidRDefault="009948F1">
            <w:pPr>
              <w:pStyle w:val="TableParagraph"/>
              <w:rPr>
                <w:rFonts w:ascii="Times New Roman"/>
                <w:sz w:val="10"/>
              </w:rPr>
            </w:pPr>
          </w:p>
        </w:tc>
      </w:tr>
    </w:tbl>
    <w:p w14:paraId="58096EA8" w14:textId="77777777" w:rsidR="009948F1" w:rsidRDefault="009948F1">
      <w:pPr>
        <w:rPr>
          <w:rFonts w:ascii="Times New Roman"/>
          <w:sz w:val="10"/>
        </w:rPr>
        <w:sectPr w:rsidR="009948F1">
          <w:pgSz w:w="11910" w:h="16840"/>
          <w:pgMar w:top="1240" w:right="1080" w:bottom="1340" w:left="1120" w:header="0" w:footer="1155" w:gutter="0"/>
          <w:cols w:space="720"/>
        </w:sectPr>
      </w:pPr>
    </w:p>
    <w:tbl>
      <w:tblPr>
        <w:tblW w:w="0" w:type="auto"/>
        <w:tblInd w:w="1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9"/>
        <w:gridCol w:w="561"/>
        <w:gridCol w:w="2676"/>
        <w:gridCol w:w="2541"/>
        <w:gridCol w:w="1522"/>
        <w:gridCol w:w="1603"/>
      </w:tblGrid>
      <w:tr w:rsidR="009948F1" w14:paraId="15B311F3" w14:textId="77777777">
        <w:trPr>
          <w:trHeight w:val="905"/>
        </w:trPr>
        <w:tc>
          <w:tcPr>
            <w:tcW w:w="489" w:type="dxa"/>
            <w:vMerge w:val="restart"/>
            <w:tcBorders>
              <w:right w:val="single" w:sz="6" w:space="0" w:color="231F20"/>
            </w:tcBorders>
          </w:tcPr>
          <w:p w14:paraId="7CE7155E" w14:textId="77777777" w:rsidR="009948F1" w:rsidRDefault="009948F1">
            <w:pPr>
              <w:pStyle w:val="TableParagraph"/>
              <w:rPr>
                <w:rFonts w:ascii="Times New Roman"/>
                <w:sz w:val="12"/>
              </w:rPr>
            </w:pPr>
          </w:p>
        </w:tc>
        <w:tc>
          <w:tcPr>
            <w:tcW w:w="561" w:type="dxa"/>
            <w:tcBorders>
              <w:left w:val="single" w:sz="6" w:space="0" w:color="231F20"/>
              <w:right w:val="single" w:sz="6" w:space="0" w:color="231F20"/>
            </w:tcBorders>
          </w:tcPr>
          <w:p w14:paraId="482BBE65" w14:textId="77777777" w:rsidR="009948F1" w:rsidRDefault="009948F1">
            <w:pPr>
              <w:pStyle w:val="TableParagraph"/>
              <w:rPr>
                <w:sz w:val="18"/>
              </w:rPr>
            </w:pPr>
          </w:p>
          <w:p w14:paraId="5133FD49" w14:textId="77777777" w:rsidR="009948F1" w:rsidRDefault="00BC0563">
            <w:pPr>
              <w:pStyle w:val="TableParagraph"/>
              <w:spacing w:before="144"/>
              <w:ind w:left="54" w:right="35"/>
              <w:jc w:val="center"/>
              <w:rPr>
                <w:sz w:val="17"/>
              </w:rPr>
            </w:pPr>
            <w:bookmarkStart w:id="165" w:name="Page_139"/>
            <w:bookmarkEnd w:id="165"/>
            <w:r>
              <w:rPr>
                <w:color w:val="231F20"/>
                <w:w w:val="80"/>
                <w:sz w:val="17"/>
              </w:rPr>
              <w:t>5.1.5.a</w:t>
            </w:r>
          </w:p>
        </w:tc>
        <w:tc>
          <w:tcPr>
            <w:tcW w:w="5217" w:type="dxa"/>
            <w:gridSpan w:val="2"/>
            <w:tcBorders>
              <w:left w:val="single" w:sz="6" w:space="0" w:color="231F20"/>
              <w:right w:val="single" w:sz="6" w:space="0" w:color="231F20"/>
            </w:tcBorders>
          </w:tcPr>
          <w:p w14:paraId="5288B621" w14:textId="77777777" w:rsidR="009948F1" w:rsidRDefault="009948F1">
            <w:pPr>
              <w:pStyle w:val="TableParagraph"/>
              <w:spacing w:before="6"/>
              <w:rPr>
                <w:sz w:val="20"/>
              </w:rPr>
            </w:pPr>
          </w:p>
          <w:p w14:paraId="61BFFD4F" w14:textId="77777777" w:rsidR="009948F1" w:rsidRDefault="00BC0563">
            <w:pPr>
              <w:pStyle w:val="TableParagraph"/>
              <w:spacing w:before="1" w:line="266" w:lineRule="auto"/>
              <w:ind w:left="25" w:right="32"/>
              <w:rPr>
                <w:sz w:val="17"/>
              </w:rPr>
            </w:pPr>
            <w:r>
              <w:rPr>
                <w:color w:val="231F20"/>
                <w:w w:val="75"/>
                <w:sz w:val="17"/>
              </w:rPr>
              <w:t xml:space="preserve">Strengthen malaria treatment by purchasing and distributing ACT and artesunate injections </w:t>
            </w:r>
            <w:r>
              <w:rPr>
                <w:color w:val="231F20"/>
                <w:w w:val="85"/>
                <w:sz w:val="17"/>
              </w:rPr>
              <w:t>and ensuring successful treatment using approved protocol.</w:t>
            </w:r>
          </w:p>
        </w:tc>
        <w:tc>
          <w:tcPr>
            <w:tcW w:w="1522" w:type="dxa"/>
            <w:tcBorders>
              <w:left w:val="single" w:sz="6" w:space="0" w:color="231F20"/>
              <w:right w:val="single" w:sz="6" w:space="0" w:color="231F20"/>
            </w:tcBorders>
          </w:tcPr>
          <w:p w14:paraId="1D659A11" w14:textId="77777777" w:rsidR="009948F1" w:rsidRDefault="009948F1">
            <w:pPr>
              <w:pStyle w:val="TableParagraph"/>
              <w:rPr>
                <w:sz w:val="18"/>
              </w:rPr>
            </w:pPr>
          </w:p>
          <w:p w14:paraId="5DD433E6" w14:textId="77777777" w:rsidR="009948F1" w:rsidRDefault="00BC0563">
            <w:pPr>
              <w:pStyle w:val="TableParagraph"/>
              <w:spacing w:before="144"/>
              <w:ind w:left="24"/>
              <w:rPr>
                <w:sz w:val="17"/>
              </w:rPr>
            </w:pPr>
            <w:r>
              <w:rPr>
                <w:color w:val="231F20"/>
                <w:w w:val="85"/>
                <w:sz w:val="17"/>
              </w:rPr>
              <w:t>Lack of funds</w:t>
            </w:r>
          </w:p>
        </w:tc>
        <w:tc>
          <w:tcPr>
            <w:tcW w:w="1603" w:type="dxa"/>
            <w:tcBorders>
              <w:left w:val="single" w:sz="6" w:space="0" w:color="231F20"/>
            </w:tcBorders>
          </w:tcPr>
          <w:p w14:paraId="30D7E176" w14:textId="77777777" w:rsidR="009948F1" w:rsidRDefault="009948F1">
            <w:pPr>
              <w:pStyle w:val="TableParagraph"/>
              <w:spacing w:before="2"/>
              <w:rPr>
                <w:sz w:val="21"/>
              </w:rPr>
            </w:pPr>
          </w:p>
          <w:p w14:paraId="64F13CB6" w14:textId="77777777" w:rsidR="009948F1" w:rsidRDefault="00BC0563">
            <w:pPr>
              <w:pStyle w:val="TableParagraph"/>
              <w:spacing w:line="266" w:lineRule="auto"/>
              <w:ind w:left="22" w:right="74"/>
              <w:rPr>
                <w:sz w:val="17"/>
              </w:rPr>
            </w:pPr>
            <w:r>
              <w:rPr>
                <w:color w:val="231F20"/>
                <w:w w:val="75"/>
                <w:sz w:val="17"/>
              </w:rPr>
              <w:t xml:space="preserve">Procure and distribute </w:t>
            </w:r>
            <w:r>
              <w:rPr>
                <w:color w:val="231F20"/>
                <w:w w:val="80"/>
                <w:sz w:val="17"/>
              </w:rPr>
              <w:t>ACT. Costed in OHT</w:t>
            </w:r>
          </w:p>
        </w:tc>
      </w:tr>
      <w:tr w:rsidR="009948F1" w14:paraId="7DCFFD01" w14:textId="77777777">
        <w:trPr>
          <w:trHeight w:val="427"/>
        </w:trPr>
        <w:tc>
          <w:tcPr>
            <w:tcW w:w="489" w:type="dxa"/>
            <w:vMerge/>
            <w:tcBorders>
              <w:top w:val="nil"/>
              <w:right w:val="single" w:sz="6" w:space="0" w:color="231F20"/>
            </w:tcBorders>
          </w:tcPr>
          <w:p w14:paraId="11C4461C" w14:textId="77777777" w:rsidR="009948F1" w:rsidRDefault="009948F1">
            <w:pPr>
              <w:rPr>
                <w:sz w:val="2"/>
                <w:szCs w:val="2"/>
              </w:rPr>
            </w:pPr>
          </w:p>
        </w:tc>
        <w:tc>
          <w:tcPr>
            <w:tcW w:w="561" w:type="dxa"/>
            <w:tcBorders>
              <w:left w:val="single" w:sz="6" w:space="0" w:color="231F20"/>
              <w:right w:val="single" w:sz="6" w:space="0" w:color="231F20"/>
            </w:tcBorders>
          </w:tcPr>
          <w:p w14:paraId="31C267CE" w14:textId="77777777" w:rsidR="009948F1" w:rsidRDefault="00BC0563">
            <w:pPr>
              <w:pStyle w:val="TableParagraph"/>
              <w:spacing w:before="113"/>
              <w:ind w:left="54" w:right="35"/>
              <w:jc w:val="center"/>
              <w:rPr>
                <w:sz w:val="17"/>
              </w:rPr>
            </w:pPr>
            <w:r>
              <w:rPr>
                <w:color w:val="231F20"/>
                <w:w w:val="80"/>
                <w:sz w:val="17"/>
              </w:rPr>
              <w:t>5.1.5.b</w:t>
            </w:r>
          </w:p>
        </w:tc>
        <w:tc>
          <w:tcPr>
            <w:tcW w:w="5217" w:type="dxa"/>
            <w:gridSpan w:val="2"/>
            <w:tcBorders>
              <w:left w:val="single" w:sz="6" w:space="0" w:color="231F20"/>
              <w:right w:val="single" w:sz="6" w:space="0" w:color="231F20"/>
            </w:tcBorders>
          </w:tcPr>
          <w:p w14:paraId="0A151631" w14:textId="77777777" w:rsidR="009948F1" w:rsidRDefault="00BC0563">
            <w:pPr>
              <w:pStyle w:val="TableParagraph"/>
              <w:spacing w:line="194" w:lineRule="exact"/>
              <w:ind w:left="25"/>
              <w:rPr>
                <w:sz w:val="17"/>
              </w:rPr>
            </w:pPr>
            <w:r>
              <w:rPr>
                <w:color w:val="231F20"/>
                <w:w w:val="80"/>
                <w:sz w:val="17"/>
              </w:rPr>
              <w:t>Procure</w:t>
            </w:r>
            <w:r>
              <w:rPr>
                <w:color w:val="231F20"/>
                <w:spacing w:val="-21"/>
                <w:w w:val="80"/>
                <w:sz w:val="17"/>
              </w:rPr>
              <w:t xml:space="preserve"> </w:t>
            </w:r>
            <w:r>
              <w:rPr>
                <w:color w:val="231F20"/>
                <w:w w:val="80"/>
                <w:sz w:val="17"/>
              </w:rPr>
              <w:t>and</w:t>
            </w:r>
            <w:r>
              <w:rPr>
                <w:color w:val="231F20"/>
                <w:spacing w:val="-20"/>
                <w:w w:val="80"/>
                <w:sz w:val="17"/>
              </w:rPr>
              <w:t xml:space="preserve"> </w:t>
            </w:r>
            <w:r>
              <w:rPr>
                <w:color w:val="231F20"/>
                <w:w w:val="80"/>
                <w:sz w:val="17"/>
              </w:rPr>
              <w:t>distribute</w:t>
            </w:r>
            <w:r>
              <w:rPr>
                <w:color w:val="231F20"/>
                <w:spacing w:val="-21"/>
                <w:w w:val="80"/>
                <w:sz w:val="17"/>
              </w:rPr>
              <w:t xml:space="preserve"> </w:t>
            </w:r>
            <w:r>
              <w:rPr>
                <w:color w:val="231F20"/>
                <w:w w:val="80"/>
                <w:sz w:val="17"/>
              </w:rPr>
              <w:t>hand</w:t>
            </w:r>
            <w:r>
              <w:rPr>
                <w:color w:val="231F20"/>
                <w:spacing w:val="-20"/>
                <w:w w:val="80"/>
                <w:sz w:val="17"/>
              </w:rPr>
              <w:t xml:space="preserve"> </w:t>
            </w:r>
            <w:r>
              <w:rPr>
                <w:color w:val="231F20"/>
                <w:w w:val="80"/>
                <w:sz w:val="17"/>
              </w:rPr>
              <w:t>gloves</w:t>
            </w:r>
            <w:r>
              <w:rPr>
                <w:color w:val="231F20"/>
                <w:spacing w:val="-2"/>
                <w:w w:val="80"/>
                <w:sz w:val="17"/>
              </w:rPr>
              <w:t xml:space="preserve"> </w:t>
            </w:r>
            <w:r>
              <w:rPr>
                <w:color w:val="231F20"/>
                <w:w w:val="80"/>
                <w:sz w:val="17"/>
              </w:rPr>
              <w:t>to</w:t>
            </w:r>
            <w:r>
              <w:rPr>
                <w:color w:val="231F20"/>
                <w:spacing w:val="-2"/>
                <w:w w:val="80"/>
                <w:sz w:val="17"/>
              </w:rPr>
              <w:t xml:space="preserve"> </w:t>
            </w:r>
            <w:r>
              <w:rPr>
                <w:color w:val="231F20"/>
                <w:w w:val="80"/>
                <w:sz w:val="17"/>
              </w:rPr>
              <w:t>Primary</w:t>
            </w:r>
            <w:r>
              <w:rPr>
                <w:color w:val="231F20"/>
                <w:spacing w:val="-20"/>
                <w:w w:val="80"/>
                <w:sz w:val="17"/>
              </w:rPr>
              <w:t xml:space="preserve"> </w:t>
            </w:r>
            <w:r>
              <w:rPr>
                <w:color w:val="231F20"/>
                <w:w w:val="80"/>
                <w:sz w:val="17"/>
              </w:rPr>
              <w:t>&amp;</w:t>
            </w:r>
            <w:r>
              <w:rPr>
                <w:color w:val="231F20"/>
                <w:spacing w:val="-21"/>
                <w:w w:val="80"/>
                <w:sz w:val="17"/>
              </w:rPr>
              <w:t xml:space="preserve"> </w:t>
            </w:r>
            <w:r>
              <w:rPr>
                <w:color w:val="231F20"/>
                <w:w w:val="80"/>
                <w:sz w:val="17"/>
              </w:rPr>
              <w:t>Secondary</w:t>
            </w:r>
            <w:r>
              <w:rPr>
                <w:color w:val="231F20"/>
                <w:spacing w:val="-20"/>
                <w:w w:val="80"/>
                <w:sz w:val="17"/>
              </w:rPr>
              <w:t xml:space="preserve"> </w:t>
            </w:r>
            <w:r>
              <w:rPr>
                <w:color w:val="231F20"/>
                <w:w w:val="80"/>
                <w:sz w:val="17"/>
              </w:rPr>
              <w:t>Health</w:t>
            </w:r>
            <w:r>
              <w:rPr>
                <w:color w:val="231F20"/>
                <w:spacing w:val="-2"/>
                <w:w w:val="80"/>
                <w:sz w:val="17"/>
              </w:rPr>
              <w:t xml:space="preserve"> </w:t>
            </w:r>
            <w:r>
              <w:rPr>
                <w:color w:val="231F20"/>
                <w:w w:val="80"/>
                <w:sz w:val="17"/>
              </w:rPr>
              <w:t>facilities</w:t>
            </w:r>
            <w:r>
              <w:rPr>
                <w:color w:val="231F20"/>
                <w:spacing w:val="-21"/>
                <w:w w:val="80"/>
                <w:sz w:val="17"/>
              </w:rPr>
              <w:t xml:space="preserve"> </w:t>
            </w:r>
            <w:r>
              <w:rPr>
                <w:color w:val="231F20"/>
                <w:w w:val="80"/>
                <w:sz w:val="17"/>
              </w:rPr>
              <w:t>for</w:t>
            </w:r>
            <w:r>
              <w:rPr>
                <w:color w:val="231F20"/>
                <w:spacing w:val="-20"/>
                <w:w w:val="80"/>
                <w:sz w:val="17"/>
              </w:rPr>
              <w:t xml:space="preserve"> </w:t>
            </w:r>
            <w:r>
              <w:rPr>
                <w:color w:val="231F20"/>
                <w:w w:val="80"/>
                <w:sz w:val="17"/>
              </w:rPr>
              <w:t>effective</w:t>
            </w:r>
          </w:p>
          <w:p w14:paraId="66010CCC" w14:textId="77777777" w:rsidR="009948F1" w:rsidRDefault="00BC0563">
            <w:pPr>
              <w:pStyle w:val="TableParagraph"/>
              <w:spacing w:before="21" w:line="192" w:lineRule="exact"/>
              <w:ind w:left="25"/>
              <w:rPr>
                <w:sz w:val="17"/>
              </w:rPr>
            </w:pPr>
            <w:r>
              <w:rPr>
                <w:color w:val="231F20"/>
                <w:w w:val="85"/>
                <w:sz w:val="17"/>
              </w:rPr>
              <w:t>Lab use</w:t>
            </w:r>
          </w:p>
        </w:tc>
        <w:tc>
          <w:tcPr>
            <w:tcW w:w="1522" w:type="dxa"/>
            <w:tcBorders>
              <w:left w:val="single" w:sz="6" w:space="0" w:color="231F20"/>
              <w:right w:val="single" w:sz="6" w:space="0" w:color="231F20"/>
            </w:tcBorders>
          </w:tcPr>
          <w:p w14:paraId="5154D463" w14:textId="77777777" w:rsidR="009948F1" w:rsidRDefault="00BC0563">
            <w:pPr>
              <w:pStyle w:val="TableParagraph"/>
              <w:spacing w:before="113"/>
              <w:ind w:left="24"/>
              <w:rPr>
                <w:sz w:val="17"/>
              </w:rPr>
            </w:pPr>
            <w:r>
              <w:rPr>
                <w:color w:val="231F20"/>
                <w:w w:val="85"/>
                <w:sz w:val="17"/>
              </w:rPr>
              <w:t>Lack of funds</w:t>
            </w:r>
          </w:p>
        </w:tc>
        <w:tc>
          <w:tcPr>
            <w:tcW w:w="1603" w:type="dxa"/>
            <w:tcBorders>
              <w:left w:val="single" w:sz="6" w:space="0" w:color="231F20"/>
            </w:tcBorders>
          </w:tcPr>
          <w:p w14:paraId="3E64B17B" w14:textId="77777777" w:rsidR="009948F1" w:rsidRDefault="00BC0563">
            <w:pPr>
              <w:pStyle w:val="TableParagraph"/>
              <w:spacing w:before="5"/>
              <w:ind w:left="22"/>
              <w:rPr>
                <w:sz w:val="17"/>
              </w:rPr>
            </w:pPr>
            <w:r>
              <w:rPr>
                <w:color w:val="231F20"/>
                <w:w w:val="75"/>
                <w:sz w:val="17"/>
              </w:rPr>
              <w:t>Procure and distribute</w:t>
            </w:r>
            <w:r>
              <w:rPr>
                <w:color w:val="231F20"/>
                <w:spacing w:val="-16"/>
                <w:w w:val="75"/>
                <w:sz w:val="17"/>
              </w:rPr>
              <w:t xml:space="preserve"> </w:t>
            </w:r>
            <w:r>
              <w:rPr>
                <w:color w:val="231F20"/>
                <w:w w:val="75"/>
                <w:sz w:val="17"/>
              </w:rPr>
              <w:t>hand</w:t>
            </w:r>
          </w:p>
          <w:p w14:paraId="37F99B85" w14:textId="77777777" w:rsidR="009948F1" w:rsidRDefault="00BC0563">
            <w:pPr>
              <w:pStyle w:val="TableParagraph"/>
              <w:spacing w:before="21" w:line="185" w:lineRule="exact"/>
              <w:ind w:left="22"/>
              <w:rPr>
                <w:sz w:val="17"/>
              </w:rPr>
            </w:pPr>
            <w:r>
              <w:rPr>
                <w:color w:val="231F20"/>
                <w:w w:val="85"/>
                <w:sz w:val="17"/>
              </w:rPr>
              <w:t>gloves. Costed in OHT</w:t>
            </w:r>
          </w:p>
        </w:tc>
      </w:tr>
      <w:tr w:rsidR="009948F1" w14:paraId="532EF06E" w14:textId="77777777">
        <w:trPr>
          <w:trHeight w:val="416"/>
        </w:trPr>
        <w:tc>
          <w:tcPr>
            <w:tcW w:w="489" w:type="dxa"/>
            <w:vMerge/>
            <w:tcBorders>
              <w:top w:val="nil"/>
              <w:right w:val="single" w:sz="6" w:space="0" w:color="231F20"/>
            </w:tcBorders>
          </w:tcPr>
          <w:p w14:paraId="2F29F857" w14:textId="77777777" w:rsidR="009948F1" w:rsidRDefault="009948F1">
            <w:pPr>
              <w:rPr>
                <w:sz w:val="2"/>
                <w:szCs w:val="2"/>
              </w:rPr>
            </w:pPr>
          </w:p>
        </w:tc>
        <w:tc>
          <w:tcPr>
            <w:tcW w:w="561" w:type="dxa"/>
            <w:tcBorders>
              <w:left w:val="single" w:sz="6" w:space="0" w:color="231F20"/>
              <w:right w:val="single" w:sz="6" w:space="0" w:color="231F20"/>
            </w:tcBorders>
          </w:tcPr>
          <w:p w14:paraId="7828E783" w14:textId="77777777" w:rsidR="009948F1" w:rsidRDefault="00BC0563">
            <w:pPr>
              <w:pStyle w:val="TableParagraph"/>
              <w:spacing w:before="107"/>
              <w:ind w:left="54" w:right="35"/>
              <w:jc w:val="center"/>
              <w:rPr>
                <w:sz w:val="17"/>
              </w:rPr>
            </w:pPr>
            <w:r>
              <w:rPr>
                <w:color w:val="231F20"/>
                <w:w w:val="80"/>
                <w:sz w:val="17"/>
              </w:rPr>
              <w:t>5.1.5.c</w:t>
            </w:r>
          </w:p>
        </w:tc>
        <w:tc>
          <w:tcPr>
            <w:tcW w:w="5217" w:type="dxa"/>
            <w:gridSpan w:val="2"/>
            <w:tcBorders>
              <w:left w:val="single" w:sz="6" w:space="0" w:color="231F20"/>
              <w:right w:val="single" w:sz="6" w:space="0" w:color="231F20"/>
            </w:tcBorders>
          </w:tcPr>
          <w:p w14:paraId="5446787C" w14:textId="77777777" w:rsidR="009948F1" w:rsidRDefault="00BC0563">
            <w:pPr>
              <w:pStyle w:val="TableParagraph"/>
              <w:spacing w:line="194" w:lineRule="exact"/>
              <w:ind w:left="25"/>
              <w:rPr>
                <w:sz w:val="17"/>
              </w:rPr>
            </w:pPr>
            <w:r>
              <w:rPr>
                <w:color w:val="231F20"/>
                <w:w w:val="85"/>
                <w:sz w:val="17"/>
              </w:rPr>
              <w:t>Conduct</w:t>
            </w:r>
            <w:r>
              <w:rPr>
                <w:color w:val="231F20"/>
                <w:spacing w:val="-27"/>
                <w:w w:val="85"/>
                <w:sz w:val="17"/>
              </w:rPr>
              <w:t xml:space="preserve"> </w:t>
            </w:r>
            <w:r>
              <w:rPr>
                <w:color w:val="231F20"/>
                <w:w w:val="85"/>
                <w:sz w:val="17"/>
              </w:rPr>
              <w:t>training</w:t>
            </w:r>
            <w:r>
              <w:rPr>
                <w:color w:val="231F20"/>
                <w:spacing w:val="-26"/>
                <w:w w:val="85"/>
                <w:sz w:val="17"/>
              </w:rPr>
              <w:t xml:space="preserve"> </w:t>
            </w:r>
            <w:r>
              <w:rPr>
                <w:color w:val="231F20"/>
                <w:w w:val="85"/>
                <w:sz w:val="17"/>
              </w:rPr>
              <w:t>for</w:t>
            </w:r>
            <w:r>
              <w:rPr>
                <w:color w:val="231F20"/>
                <w:spacing w:val="-27"/>
                <w:w w:val="85"/>
                <w:sz w:val="17"/>
              </w:rPr>
              <w:t xml:space="preserve"> </w:t>
            </w:r>
            <w:r>
              <w:rPr>
                <w:color w:val="231F20"/>
                <w:w w:val="85"/>
                <w:sz w:val="17"/>
              </w:rPr>
              <w:t>RBM</w:t>
            </w:r>
            <w:r>
              <w:rPr>
                <w:color w:val="231F20"/>
                <w:spacing w:val="-26"/>
                <w:w w:val="85"/>
                <w:sz w:val="17"/>
              </w:rPr>
              <w:t xml:space="preserve"> </w:t>
            </w:r>
            <w:r>
              <w:rPr>
                <w:color w:val="231F20"/>
                <w:w w:val="85"/>
                <w:sz w:val="17"/>
              </w:rPr>
              <w:t>manager,</w:t>
            </w:r>
            <w:r>
              <w:rPr>
                <w:color w:val="231F20"/>
                <w:spacing w:val="-27"/>
                <w:w w:val="85"/>
                <w:sz w:val="17"/>
              </w:rPr>
              <w:t xml:space="preserve"> </w:t>
            </w:r>
            <w:r>
              <w:rPr>
                <w:color w:val="231F20"/>
                <w:w w:val="85"/>
                <w:sz w:val="17"/>
              </w:rPr>
              <w:t>State</w:t>
            </w:r>
            <w:r>
              <w:rPr>
                <w:color w:val="231F20"/>
                <w:spacing w:val="-26"/>
                <w:w w:val="85"/>
                <w:sz w:val="17"/>
              </w:rPr>
              <w:t xml:space="preserve"> </w:t>
            </w:r>
            <w:r>
              <w:rPr>
                <w:color w:val="231F20"/>
                <w:w w:val="85"/>
                <w:sz w:val="17"/>
              </w:rPr>
              <w:t>Malaria</w:t>
            </w:r>
            <w:r>
              <w:rPr>
                <w:color w:val="231F20"/>
                <w:spacing w:val="-27"/>
                <w:w w:val="85"/>
                <w:sz w:val="17"/>
              </w:rPr>
              <w:t xml:space="preserve"> </w:t>
            </w:r>
            <w:r>
              <w:rPr>
                <w:color w:val="231F20"/>
                <w:w w:val="85"/>
                <w:sz w:val="17"/>
              </w:rPr>
              <w:t>logistics</w:t>
            </w:r>
            <w:r>
              <w:rPr>
                <w:color w:val="231F20"/>
                <w:spacing w:val="-26"/>
                <w:w w:val="85"/>
                <w:sz w:val="17"/>
              </w:rPr>
              <w:t xml:space="preserve"> </w:t>
            </w:r>
            <w:r>
              <w:rPr>
                <w:color w:val="231F20"/>
                <w:w w:val="85"/>
                <w:sz w:val="17"/>
              </w:rPr>
              <w:t>officer</w:t>
            </w:r>
            <w:r>
              <w:rPr>
                <w:color w:val="231F20"/>
                <w:spacing w:val="-27"/>
                <w:w w:val="85"/>
                <w:sz w:val="17"/>
              </w:rPr>
              <w:t xml:space="preserve"> </w:t>
            </w:r>
            <w:r>
              <w:rPr>
                <w:color w:val="231F20"/>
                <w:w w:val="85"/>
                <w:sz w:val="17"/>
              </w:rPr>
              <w:t>and</w:t>
            </w:r>
            <w:r>
              <w:rPr>
                <w:color w:val="231F20"/>
                <w:spacing w:val="-26"/>
                <w:w w:val="85"/>
                <w:sz w:val="17"/>
              </w:rPr>
              <w:t xml:space="preserve"> </w:t>
            </w:r>
            <w:r>
              <w:rPr>
                <w:color w:val="231F20"/>
                <w:w w:val="85"/>
                <w:sz w:val="17"/>
              </w:rPr>
              <w:t>23</w:t>
            </w:r>
            <w:r>
              <w:rPr>
                <w:color w:val="231F20"/>
                <w:spacing w:val="-27"/>
                <w:w w:val="85"/>
                <w:sz w:val="17"/>
              </w:rPr>
              <w:t xml:space="preserve"> </w:t>
            </w:r>
            <w:r>
              <w:rPr>
                <w:color w:val="231F20"/>
                <w:w w:val="85"/>
                <w:sz w:val="17"/>
              </w:rPr>
              <w:t>MFPs</w:t>
            </w:r>
            <w:r>
              <w:rPr>
                <w:color w:val="231F20"/>
                <w:spacing w:val="-26"/>
                <w:w w:val="85"/>
                <w:sz w:val="17"/>
              </w:rPr>
              <w:t xml:space="preserve"> </w:t>
            </w:r>
            <w:r>
              <w:rPr>
                <w:color w:val="231F20"/>
                <w:w w:val="85"/>
                <w:sz w:val="17"/>
              </w:rPr>
              <w:t>on</w:t>
            </w:r>
          </w:p>
          <w:p w14:paraId="2E891C77" w14:textId="77777777" w:rsidR="009948F1" w:rsidRDefault="00BC0563">
            <w:pPr>
              <w:pStyle w:val="TableParagraph"/>
              <w:spacing w:before="21" w:line="182" w:lineRule="exact"/>
              <w:ind w:left="25"/>
              <w:rPr>
                <w:sz w:val="17"/>
              </w:rPr>
            </w:pPr>
            <w:r>
              <w:rPr>
                <w:color w:val="231F20"/>
                <w:w w:val="85"/>
                <w:sz w:val="17"/>
              </w:rPr>
              <w:t>commodity management</w:t>
            </w:r>
          </w:p>
        </w:tc>
        <w:tc>
          <w:tcPr>
            <w:tcW w:w="1522" w:type="dxa"/>
            <w:tcBorders>
              <w:left w:val="single" w:sz="6" w:space="0" w:color="231F20"/>
              <w:right w:val="single" w:sz="6" w:space="0" w:color="231F20"/>
            </w:tcBorders>
          </w:tcPr>
          <w:p w14:paraId="5D15DEE4" w14:textId="77777777" w:rsidR="009948F1" w:rsidRDefault="00BC0563">
            <w:pPr>
              <w:pStyle w:val="TableParagraph"/>
              <w:spacing w:before="107"/>
              <w:ind w:left="24"/>
              <w:rPr>
                <w:sz w:val="17"/>
              </w:rPr>
            </w:pPr>
            <w:r>
              <w:rPr>
                <w:color w:val="231F20"/>
                <w:w w:val="85"/>
                <w:sz w:val="17"/>
              </w:rPr>
              <w:t>Lack of funds</w:t>
            </w:r>
          </w:p>
        </w:tc>
        <w:tc>
          <w:tcPr>
            <w:tcW w:w="1603" w:type="dxa"/>
            <w:tcBorders>
              <w:left w:val="single" w:sz="6" w:space="0" w:color="231F20"/>
            </w:tcBorders>
          </w:tcPr>
          <w:p w14:paraId="2B14AC9E" w14:textId="77777777" w:rsidR="009948F1" w:rsidRDefault="00BC0563">
            <w:pPr>
              <w:pStyle w:val="TableParagraph"/>
              <w:spacing w:before="107"/>
              <w:ind w:left="22"/>
              <w:rPr>
                <w:sz w:val="17"/>
              </w:rPr>
            </w:pPr>
            <w:r>
              <w:rPr>
                <w:color w:val="231F20"/>
                <w:w w:val="85"/>
                <w:sz w:val="17"/>
              </w:rPr>
              <w:t>Conduct training</w:t>
            </w:r>
          </w:p>
        </w:tc>
      </w:tr>
      <w:tr w:rsidR="009948F1" w14:paraId="32DE4151" w14:textId="77777777">
        <w:trPr>
          <w:trHeight w:val="1151"/>
        </w:trPr>
        <w:tc>
          <w:tcPr>
            <w:tcW w:w="489" w:type="dxa"/>
            <w:tcBorders>
              <w:left w:val="single" w:sz="12" w:space="0" w:color="231F20"/>
              <w:right w:val="single" w:sz="6" w:space="0" w:color="231F20"/>
            </w:tcBorders>
            <w:shd w:val="clear" w:color="auto" w:fill="CCE7D3"/>
          </w:tcPr>
          <w:p w14:paraId="4ACA8D4B" w14:textId="77777777" w:rsidR="009948F1" w:rsidRDefault="009948F1">
            <w:pPr>
              <w:pStyle w:val="TableParagraph"/>
              <w:rPr>
                <w:sz w:val="18"/>
              </w:rPr>
            </w:pPr>
          </w:p>
          <w:p w14:paraId="579B4E36" w14:textId="77777777" w:rsidR="009948F1" w:rsidRDefault="009948F1">
            <w:pPr>
              <w:pStyle w:val="TableParagraph"/>
              <w:spacing w:before="4"/>
              <w:rPr>
                <w:sz w:val="23"/>
              </w:rPr>
            </w:pPr>
          </w:p>
          <w:p w14:paraId="7C1450E5" w14:textId="77777777" w:rsidR="009948F1" w:rsidRDefault="00BC0563">
            <w:pPr>
              <w:pStyle w:val="TableParagraph"/>
              <w:ind w:left="58"/>
              <w:rPr>
                <w:sz w:val="17"/>
              </w:rPr>
            </w:pPr>
            <w:r>
              <w:rPr>
                <w:color w:val="231F20"/>
                <w:w w:val="85"/>
                <w:sz w:val="17"/>
              </w:rPr>
              <w:t>5.1.6</w:t>
            </w:r>
          </w:p>
        </w:tc>
        <w:tc>
          <w:tcPr>
            <w:tcW w:w="3237" w:type="dxa"/>
            <w:gridSpan w:val="2"/>
            <w:tcBorders>
              <w:left w:val="single" w:sz="6" w:space="0" w:color="231F20"/>
              <w:right w:val="single" w:sz="6" w:space="0" w:color="231F20"/>
            </w:tcBorders>
            <w:shd w:val="clear" w:color="auto" w:fill="CCE7D3"/>
          </w:tcPr>
          <w:p w14:paraId="327054E2" w14:textId="77777777" w:rsidR="009948F1" w:rsidRDefault="009948F1">
            <w:pPr>
              <w:pStyle w:val="TableParagraph"/>
              <w:rPr>
                <w:sz w:val="18"/>
              </w:rPr>
            </w:pPr>
          </w:p>
          <w:p w14:paraId="1A7526F7" w14:textId="77777777" w:rsidR="009948F1" w:rsidRDefault="00BC0563">
            <w:pPr>
              <w:pStyle w:val="TableParagraph"/>
              <w:spacing w:before="152" w:line="266" w:lineRule="auto"/>
              <w:ind w:left="25" w:right="51" w:firstLine="35"/>
              <w:rPr>
                <w:sz w:val="17"/>
              </w:rPr>
            </w:pPr>
            <w:r>
              <w:rPr>
                <w:color w:val="231F20"/>
                <w:w w:val="75"/>
                <w:sz w:val="17"/>
              </w:rPr>
              <w:t xml:space="preserve">Expand use of IPTp among pregnant women attending </w:t>
            </w:r>
            <w:r>
              <w:rPr>
                <w:color w:val="231F20"/>
                <w:w w:val="85"/>
                <w:sz w:val="17"/>
              </w:rPr>
              <w:t>ANC</w:t>
            </w:r>
          </w:p>
        </w:tc>
        <w:tc>
          <w:tcPr>
            <w:tcW w:w="2541" w:type="dxa"/>
            <w:tcBorders>
              <w:left w:val="single" w:sz="6" w:space="0" w:color="231F20"/>
              <w:right w:val="single" w:sz="6" w:space="0" w:color="231F20"/>
            </w:tcBorders>
            <w:shd w:val="clear" w:color="auto" w:fill="CCE7D3"/>
          </w:tcPr>
          <w:p w14:paraId="1B648270" w14:textId="48FB9E05" w:rsidR="009948F1" w:rsidRDefault="00BC0563">
            <w:pPr>
              <w:pStyle w:val="TableParagraph"/>
              <w:numPr>
                <w:ilvl w:val="0"/>
                <w:numId w:val="163"/>
              </w:numPr>
              <w:tabs>
                <w:tab w:val="left" w:pos="105"/>
              </w:tabs>
              <w:spacing w:line="266" w:lineRule="auto"/>
              <w:ind w:right="31" w:firstLine="0"/>
              <w:rPr>
                <w:sz w:val="17"/>
              </w:rPr>
            </w:pPr>
            <w:r>
              <w:rPr>
                <w:color w:val="231F20"/>
                <w:w w:val="80"/>
                <w:sz w:val="17"/>
              </w:rPr>
              <w:t>SP</w:t>
            </w:r>
            <w:r>
              <w:rPr>
                <w:color w:val="231F20"/>
                <w:spacing w:val="-27"/>
                <w:w w:val="80"/>
                <w:sz w:val="17"/>
              </w:rPr>
              <w:t xml:space="preserve"> </w:t>
            </w:r>
            <w:r>
              <w:rPr>
                <w:color w:val="231F20"/>
                <w:w w:val="80"/>
                <w:sz w:val="17"/>
              </w:rPr>
              <w:t>provided</w:t>
            </w:r>
            <w:r>
              <w:rPr>
                <w:color w:val="231F20"/>
                <w:spacing w:val="-26"/>
                <w:w w:val="80"/>
                <w:sz w:val="17"/>
              </w:rPr>
              <w:t xml:space="preserve"> </w:t>
            </w:r>
            <w:r>
              <w:rPr>
                <w:color w:val="231F20"/>
                <w:w w:val="80"/>
                <w:sz w:val="17"/>
              </w:rPr>
              <w:t>&amp;</w:t>
            </w:r>
            <w:r>
              <w:rPr>
                <w:color w:val="231F20"/>
                <w:spacing w:val="-26"/>
                <w:w w:val="80"/>
                <w:sz w:val="17"/>
              </w:rPr>
              <w:t xml:space="preserve"> </w:t>
            </w:r>
            <w:r>
              <w:rPr>
                <w:color w:val="231F20"/>
                <w:w w:val="80"/>
                <w:sz w:val="17"/>
              </w:rPr>
              <w:t>distributed</w:t>
            </w:r>
            <w:r>
              <w:rPr>
                <w:color w:val="231F20"/>
                <w:spacing w:val="-27"/>
                <w:w w:val="80"/>
                <w:sz w:val="17"/>
              </w:rPr>
              <w:t xml:space="preserve"> </w:t>
            </w:r>
            <w:r>
              <w:rPr>
                <w:color w:val="231F20"/>
                <w:w w:val="80"/>
                <w:sz w:val="17"/>
              </w:rPr>
              <w:t>to</w:t>
            </w:r>
            <w:r>
              <w:rPr>
                <w:color w:val="231F20"/>
                <w:spacing w:val="-26"/>
                <w:w w:val="80"/>
                <w:sz w:val="17"/>
              </w:rPr>
              <w:t xml:space="preserve"> </w:t>
            </w:r>
            <w:r>
              <w:rPr>
                <w:color w:val="231F20"/>
                <w:w w:val="80"/>
                <w:sz w:val="17"/>
              </w:rPr>
              <w:t>407</w:t>
            </w:r>
            <w:r>
              <w:rPr>
                <w:color w:val="231F20"/>
                <w:spacing w:val="-26"/>
                <w:w w:val="80"/>
                <w:sz w:val="17"/>
              </w:rPr>
              <w:t xml:space="preserve"> </w:t>
            </w:r>
            <w:r>
              <w:rPr>
                <w:color w:val="231F20"/>
                <w:w w:val="80"/>
                <w:sz w:val="17"/>
              </w:rPr>
              <w:t>primary</w:t>
            </w:r>
            <w:r>
              <w:rPr>
                <w:color w:val="231F20"/>
                <w:spacing w:val="-26"/>
                <w:w w:val="80"/>
                <w:sz w:val="17"/>
              </w:rPr>
              <w:t xml:space="preserve"> </w:t>
            </w:r>
            <w:r>
              <w:rPr>
                <w:color w:val="231F20"/>
                <w:w w:val="80"/>
                <w:sz w:val="17"/>
              </w:rPr>
              <w:t xml:space="preserve">&amp; </w:t>
            </w:r>
            <w:r w:rsidR="00FB089D">
              <w:rPr>
                <w:color w:val="231F20"/>
                <w:w w:val="85"/>
                <w:sz w:val="17"/>
              </w:rPr>
              <w:t>secondary</w:t>
            </w:r>
            <w:r>
              <w:rPr>
                <w:color w:val="231F20"/>
                <w:spacing w:val="-9"/>
                <w:w w:val="85"/>
                <w:sz w:val="17"/>
              </w:rPr>
              <w:t xml:space="preserve"> </w:t>
            </w:r>
            <w:r>
              <w:rPr>
                <w:color w:val="231F20"/>
                <w:w w:val="85"/>
                <w:sz w:val="17"/>
              </w:rPr>
              <w:t>HFs</w:t>
            </w:r>
          </w:p>
          <w:p w14:paraId="79ECB8B5" w14:textId="77777777" w:rsidR="009948F1" w:rsidRDefault="00BC0563">
            <w:pPr>
              <w:pStyle w:val="TableParagraph"/>
              <w:numPr>
                <w:ilvl w:val="0"/>
                <w:numId w:val="163"/>
              </w:numPr>
              <w:tabs>
                <w:tab w:val="left" w:pos="105"/>
              </w:tabs>
              <w:spacing w:line="266" w:lineRule="auto"/>
              <w:ind w:right="129" w:firstLine="0"/>
              <w:rPr>
                <w:sz w:val="17"/>
              </w:rPr>
            </w:pPr>
            <w:r>
              <w:rPr>
                <w:color w:val="231F20"/>
                <w:w w:val="75"/>
                <w:sz w:val="17"/>
              </w:rPr>
              <w:t>Malaria</w:t>
            </w:r>
            <w:r>
              <w:rPr>
                <w:color w:val="231F20"/>
                <w:spacing w:val="-5"/>
                <w:w w:val="75"/>
                <w:sz w:val="17"/>
              </w:rPr>
              <w:t xml:space="preserve"> </w:t>
            </w:r>
            <w:r>
              <w:rPr>
                <w:color w:val="231F20"/>
                <w:w w:val="75"/>
                <w:sz w:val="17"/>
              </w:rPr>
              <w:t>posters</w:t>
            </w:r>
            <w:r>
              <w:rPr>
                <w:color w:val="231F20"/>
                <w:spacing w:val="-4"/>
                <w:w w:val="75"/>
                <w:sz w:val="17"/>
              </w:rPr>
              <w:t xml:space="preserve"> </w:t>
            </w:r>
            <w:r>
              <w:rPr>
                <w:color w:val="231F20"/>
                <w:w w:val="75"/>
                <w:sz w:val="17"/>
              </w:rPr>
              <w:t>&amp;</w:t>
            </w:r>
            <w:r>
              <w:rPr>
                <w:color w:val="231F20"/>
                <w:spacing w:val="-5"/>
                <w:w w:val="75"/>
                <w:sz w:val="17"/>
              </w:rPr>
              <w:t xml:space="preserve"> </w:t>
            </w:r>
            <w:r>
              <w:rPr>
                <w:color w:val="231F20"/>
                <w:w w:val="75"/>
                <w:sz w:val="17"/>
              </w:rPr>
              <w:t>flyers</w:t>
            </w:r>
            <w:r>
              <w:rPr>
                <w:color w:val="231F20"/>
                <w:spacing w:val="-4"/>
                <w:w w:val="75"/>
                <w:sz w:val="17"/>
              </w:rPr>
              <w:t xml:space="preserve"> </w:t>
            </w:r>
            <w:r>
              <w:rPr>
                <w:color w:val="231F20"/>
                <w:w w:val="75"/>
                <w:sz w:val="17"/>
              </w:rPr>
              <w:t>on</w:t>
            </w:r>
            <w:r>
              <w:rPr>
                <w:color w:val="231F20"/>
                <w:spacing w:val="-4"/>
                <w:w w:val="75"/>
                <w:sz w:val="17"/>
              </w:rPr>
              <w:t xml:space="preserve"> </w:t>
            </w:r>
            <w:r>
              <w:rPr>
                <w:color w:val="231F20"/>
                <w:w w:val="75"/>
                <w:sz w:val="17"/>
              </w:rPr>
              <w:t>IPT</w:t>
            </w:r>
            <w:r>
              <w:rPr>
                <w:color w:val="231F20"/>
                <w:spacing w:val="-6"/>
                <w:w w:val="75"/>
                <w:sz w:val="17"/>
              </w:rPr>
              <w:t xml:space="preserve"> </w:t>
            </w:r>
            <w:r>
              <w:rPr>
                <w:color w:val="231F20"/>
                <w:w w:val="75"/>
                <w:sz w:val="17"/>
              </w:rPr>
              <w:t xml:space="preserve">produced </w:t>
            </w:r>
            <w:r>
              <w:rPr>
                <w:color w:val="231F20"/>
                <w:w w:val="80"/>
                <w:sz w:val="17"/>
              </w:rPr>
              <w:t>&amp;</w:t>
            </w:r>
            <w:r>
              <w:rPr>
                <w:color w:val="231F20"/>
                <w:spacing w:val="-22"/>
                <w:w w:val="80"/>
                <w:sz w:val="17"/>
              </w:rPr>
              <w:t xml:space="preserve"> </w:t>
            </w:r>
            <w:r>
              <w:rPr>
                <w:color w:val="231F20"/>
                <w:w w:val="80"/>
                <w:sz w:val="17"/>
              </w:rPr>
              <w:t>distributed</w:t>
            </w:r>
            <w:r>
              <w:rPr>
                <w:color w:val="231F20"/>
                <w:spacing w:val="-22"/>
                <w:w w:val="80"/>
                <w:sz w:val="17"/>
              </w:rPr>
              <w:t xml:space="preserve"> </w:t>
            </w:r>
            <w:r>
              <w:rPr>
                <w:color w:val="231F20"/>
                <w:w w:val="80"/>
                <w:sz w:val="17"/>
              </w:rPr>
              <w:t>to</w:t>
            </w:r>
            <w:r>
              <w:rPr>
                <w:color w:val="231F20"/>
                <w:spacing w:val="-21"/>
                <w:w w:val="80"/>
                <w:sz w:val="17"/>
              </w:rPr>
              <w:t xml:space="preserve"> </w:t>
            </w:r>
            <w:r>
              <w:rPr>
                <w:color w:val="231F20"/>
                <w:w w:val="80"/>
                <w:sz w:val="17"/>
              </w:rPr>
              <w:t>407</w:t>
            </w:r>
            <w:r>
              <w:rPr>
                <w:color w:val="231F20"/>
                <w:spacing w:val="-22"/>
                <w:w w:val="80"/>
                <w:sz w:val="17"/>
              </w:rPr>
              <w:t xml:space="preserve"> </w:t>
            </w:r>
            <w:r>
              <w:rPr>
                <w:color w:val="231F20"/>
                <w:w w:val="80"/>
                <w:sz w:val="17"/>
              </w:rPr>
              <w:t>primary</w:t>
            </w:r>
            <w:r>
              <w:rPr>
                <w:color w:val="231F20"/>
                <w:spacing w:val="-22"/>
                <w:w w:val="80"/>
                <w:sz w:val="17"/>
              </w:rPr>
              <w:t xml:space="preserve"> </w:t>
            </w:r>
            <w:r>
              <w:rPr>
                <w:color w:val="231F20"/>
                <w:w w:val="80"/>
                <w:sz w:val="17"/>
              </w:rPr>
              <w:t>&amp;</w:t>
            </w:r>
            <w:r>
              <w:rPr>
                <w:color w:val="231F20"/>
                <w:spacing w:val="-21"/>
                <w:w w:val="80"/>
                <w:sz w:val="17"/>
              </w:rPr>
              <w:t xml:space="preserve"> </w:t>
            </w:r>
            <w:r>
              <w:rPr>
                <w:color w:val="231F20"/>
                <w:w w:val="80"/>
                <w:sz w:val="17"/>
              </w:rPr>
              <w:t xml:space="preserve">secondary </w:t>
            </w:r>
            <w:r>
              <w:rPr>
                <w:color w:val="231F20"/>
                <w:w w:val="85"/>
                <w:sz w:val="17"/>
              </w:rPr>
              <w:t>HFs</w:t>
            </w:r>
          </w:p>
        </w:tc>
        <w:tc>
          <w:tcPr>
            <w:tcW w:w="1522" w:type="dxa"/>
            <w:tcBorders>
              <w:left w:val="single" w:sz="6" w:space="0" w:color="231F20"/>
              <w:right w:val="single" w:sz="12" w:space="0" w:color="231F20"/>
            </w:tcBorders>
            <w:shd w:val="clear" w:color="auto" w:fill="CCE7D3"/>
          </w:tcPr>
          <w:p w14:paraId="0976F689" w14:textId="77777777" w:rsidR="009948F1" w:rsidRDefault="009948F1">
            <w:pPr>
              <w:pStyle w:val="TableParagraph"/>
              <w:rPr>
                <w:rFonts w:ascii="Times New Roman"/>
                <w:sz w:val="12"/>
              </w:rPr>
            </w:pPr>
          </w:p>
        </w:tc>
        <w:tc>
          <w:tcPr>
            <w:tcW w:w="1603" w:type="dxa"/>
            <w:tcBorders>
              <w:left w:val="single" w:sz="12" w:space="0" w:color="231F20"/>
            </w:tcBorders>
            <w:shd w:val="clear" w:color="auto" w:fill="CCE7D3"/>
          </w:tcPr>
          <w:p w14:paraId="33DCA622" w14:textId="77777777" w:rsidR="009948F1" w:rsidRDefault="009948F1">
            <w:pPr>
              <w:pStyle w:val="TableParagraph"/>
              <w:rPr>
                <w:rFonts w:ascii="Times New Roman"/>
                <w:sz w:val="12"/>
              </w:rPr>
            </w:pPr>
          </w:p>
        </w:tc>
      </w:tr>
      <w:tr w:rsidR="009948F1" w14:paraId="20DA18C5" w14:textId="77777777">
        <w:trPr>
          <w:trHeight w:val="767"/>
        </w:trPr>
        <w:tc>
          <w:tcPr>
            <w:tcW w:w="489" w:type="dxa"/>
            <w:vMerge w:val="restart"/>
            <w:tcBorders>
              <w:right w:val="single" w:sz="6" w:space="0" w:color="231F20"/>
            </w:tcBorders>
          </w:tcPr>
          <w:p w14:paraId="137C8789" w14:textId="77777777" w:rsidR="009948F1" w:rsidRDefault="009948F1">
            <w:pPr>
              <w:pStyle w:val="TableParagraph"/>
              <w:rPr>
                <w:rFonts w:ascii="Times New Roman"/>
                <w:sz w:val="12"/>
              </w:rPr>
            </w:pPr>
          </w:p>
        </w:tc>
        <w:tc>
          <w:tcPr>
            <w:tcW w:w="561" w:type="dxa"/>
            <w:tcBorders>
              <w:left w:val="single" w:sz="6" w:space="0" w:color="231F20"/>
              <w:right w:val="single" w:sz="6" w:space="0" w:color="231F20"/>
            </w:tcBorders>
          </w:tcPr>
          <w:p w14:paraId="2B6854B5" w14:textId="77777777" w:rsidR="009948F1" w:rsidRDefault="009948F1">
            <w:pPr>
              <w:pStyle w:val="TableParagraph"/>
              <w:spacing w:before="7"/>
              <w:rPr>
                <w:sz w:val="24"/>
              </w:rPr>
            </w:pPr>
          </w:p>
          <w:p w14:paraId="5C867799" w14:textId="77777777" w:rsidR="009948F1" w:rsidRDefault="00BC0563">
            <w:pPr>
              <w:pStyle w:val="TableParagraph"/>
              <w:spacing w:before="1"/>
              <w:ind w:left="54" w:right="35"/>
              <w:jc w:val="center"/>
              <w:rPr>
                <w:sz w:val="17"/>
              </w:rPr>
            </w:pPr>
            <w:r>
              <w:rPr>
                <w:color w:val="231F20"/>
                <w:w w:val="80"/>
                <w:sz w:val="17"/>
              </w:rPr>
              <w:t>5.1.6.a</w:t>
            </w:r>
          </w:p>
        </w:tc>
        <w:tc>
          <w:tcPr>
            <w:tcW w:w="5217" w:type="dxa"/>
            <w:gridSpan w:val="2"/>
            <w:tcBorders>
              <w:left w:val="single" w:sz="6" w:space="0" w:color="231F20"/>
              <w:right w:val="single" w:sz="6" w:space="0" w:color="231F20"/>
            </w:tcBorders>
          </w:tcPr>
          <w:p w14:paraId="2DA70C3D" w14:textId="77777777" w:rsidR="009948F1" w:rsidRDefault="00BC0563">
            <w:pPr>
              <w:pStyle w:val="TableParagraph"/>
              <w:spacing w:line="106" w:lineRule="exact"/>
              <w:ind w:left="244"/>
              <w:jc w:val="center"/>
              <w:rPr>
                <w:sz w:val="17"/>
              </w:rPr>
            </w:pPr>
            <w:r>
              <w:rPr>
                <w:color w:val="231F20"/>
                <w:w w:val="74"/>
                <w:sz w:val="17"/>
              </w:rPr>
              <w:t>•</w:t>
            </w:r>
          </w:p>
          <w:p w14:paraId="7C8D49F6" w14:textId="77777777" w:rsidR="009948F1" w:rsidRDefault="00BC0563">
            <w:pPr>
              <w:pStyle w:val="TableParagraph"/>
              <w:spacing w:before="61" w:line="266" w:lineRule="auto"/>
              <w:ind w:left="25" w:right="202"/>
              <w:rPr>
                <w:sz w:val="17"/>
              </w:rPr>
            </w:pPr>
            <w:r>
              <w:rPr>
                <w:color w:val="231F20"/>
                <w:w w:val="75"/>
                <w:sz w:val="17"/>
              </w:rPr>
              <w:t xml:space="preserve">Strengthen malaria prevention among pregnant women attending ANC by providing and </w:t>
            </w:r>
            <w:r>
              <w:rPr>
                <w:color w:val="231F20"/>
                <w:w w:val="85"/>
                <w:sz w:val="17"/>
              </w:rPr>
              <w:t>distributing SP to all Primary &amp; Secondary Health Facilities in the State.</w:t>
            </w:r>
          </w:p>
        </w:tc>
        <w:tc>
          <w:tcPr>
            <w:tcW w:w="1522" w:type="dxa"/>
            <w:tcBorders>
              <w:left w:val="single" w:sz="6" w:space="0" w:color="231F20"/>
              <w:right w:val="single" w:sz="6" w:space="0" w:color="231F20"/>
            </w:tcBorders>
          </w:tcPr>
          <w:p w14:paraId="535B5F59" w14:textId="77777777" w:rsidR="009948F1" w:rsidRDefault="009948F1">
            <w:pPr>
              <w:pStyle w:val="TableParagraph"/>
              <w:spacing w:before="7"/>
              <w:rPr>
                <w:sz w:val="24"/>
              </w:rPr>
            </w:pPr>
          </w:p>
          <w:p w14:paraId="7365B245" w14:textId="77777777" w:rsidR="009948F1" w:rsidRDefault="00BC0563">
            <w:pPr>
              <w:pStyle w:val="TableParagraph"/>
              <w:spacing w:before="1"/>
              <w:ind w:left="24"/>
              <w:rPr>
                <w:sz w:val="17"/>
              </w:rPr>
            </w:pPr>
            <w:r>
              <w:rPr>
                <w:color w:val="231F20"/>
                <w:w w:val="85"/>
                <w:sz w:val="17"/>
              </w:rPr>
              <w:t>Lack of funds</w:t>
            </w:r>
          </w:p>
        </w:tc>
        <w:tc>
          <w:tcPr>
            <w:tcW w:w="1603" w:type="dxa"/>
            <w:tcBorders>
              <w:left w:val="single" w:sz="6" w:space="0" w:color="231F20"/>
            </w:tcBorders>
          </w:tcPr>
          <w:p w14:paraId="1F74F236" w14:textId="77777777" w:rsidR="009948F1" w:rsidRDefault="009948F1">
            <w:pPr>
              <w:pStyle w:val="TableParagraph"/>
              <w:spacing w:before="2"/>
              <w:rPr>
                <w:sz w:val="15"/>
              </w:rPr>
            </w:pPr>
          </w:p>
          <w:p w14:paraId="647CBFE1" w14:textId="77777777" w:rsidR="009948F1" w:rsidRDefault="00BC0563">
            <w:pPr>
              <w:pStyle w:val="TableParagraph"/>
              <w:spacing w:line="266" w:lineRule="auto"/>
              <w:ind w:left="22" w:right="74"/>
              <w:rPr>
                <w:sz w:val="17"/>
              </w:rPr>
            </w:pPr>
            <w:r>
              <w:rPr>
                <w:color w:val="231F20"/>
                <w:w w:val="75"/>
                <w:sz w:val="17"/>
              </w:rPr>
              <w:t xml:space="preserve">Procure and distribute SP </w:t>
            </w:r>
            <w:r>
              <w:rPr>
                <w:color w:val="231F20"/>
                <w:w w:val="85"/>
                <w:sz w:val="17"/>
              </w:rPr>
              <w:t>Anti-Malaria drugs</w:t>
            </w:r>
          </w:p>
        </w:tc>
      </w:tr>
      <w:tr w:rsidR="009948F1" w14:paraId="6FD39C7E" w14:textId="77777777">
        <w:trPr>
          <w:trHeight w:val="682"/>
        </w:trPr>
        <w:tc>
          <w:tcPr>
            <w:tcW w:w="489" w:type="dxa"/>
            <w:vMerge/>
            <w:tcBorders>
              <w:top w:val="nil"/>
              <w:right w:val="single" w:sz="6" w:space="0" w:color="231F20"/>
            </w:tcBorders>
          </w:tcPr>
          <w:p w14:paraId="69F504F9" w14:textId="77777777" w:rsidR="009948F1" w:rsidRDefault="009948F1">
            <w:pPr>
              <w:rPr>
                <w:sz w:val="2"/>
                <w:szCs w:val="2"/>
              </w:rPr>
            </w:pPr>
          </w:p>
        </w:tc>
        <w:tc>
          <w:tcPr>
            <w:tcW w:w="561" w:type="dxa"/>
            <w:tcBorders>
              <w:left w:val="single" w:sz="6" w:space="0" w:color="231F20"/>
              <w:right w:val="single" w:sz="6" w:space="0" w:color="231F20"/>
            </w:tcBorders>
          </w:tcPr>
          <w:p w14:paraId="77CCA244" w14:textId="77777777" w:rsidR="009948F1" w:rsidRDefault="009948F1">
            <w:pPr>
              <w:pStyle w:val="TableParagraph"/>
              <w:rPr>
                <w:sz w:val="21"/>
              </w:rPr>
            </w:pPr>
          </w:p>
          <w:p w14:paraId="0079F46E" w14:textId="77777777" w:rsidR="009948F1" w:rsidRDefault="00BC0563">
            <w:pPr>
              <w:pStyle w:val="TableParagraph"/>
              <w:ind w:left="54" w:right="35"/>
              <w:jc w:val="center"/>
              <w:rPr>
                <w:sz w:val="17"/>
              </w:rPr>
            </w:pPr>
            <w:r>
              <w:rPr>
                <w:color w:val="231F20"/>
                <w:w w:val="80"/>
                <w:sz w:val="17"/>
              </w:rPr>
              <w:t>5.1.6.b</w:t>
            </w:r>
          </w:p>
        </w:tc>
        <w:tc>
          <w:tcPr>
            <w:tcW w:w="5217" w:type="dxa"/>
            <w:gridSpan w:val="2"/>
            <w:tcBorders>
              <w:left w:val="single" w:sz="6" w:space="0" w:color="231F20"/>
              <w:right w:val="single" w:sz="6" w:space="0" w:color="231F20"/>
            </w:tcBorders>
          </w:tcPr>
          <w:p w14:paraId="61A2DED3" w14:textId="680CF5AC" w:rsidR="009948F1" w:rsidRDefault="00BC0563">
            <w:pPr>
              <w:pStyle w:val="TableParagraph"/>
              <w:spacing w:before="125" w:line="266" w:lineRule="auto"/>
              <w:ind w:left="25"/>
              <w:rPr>
                <w:sz w:val="17"/>
              </w:rPr>
            </w:pPr>
            <w:r>
              <w:rPr>
                <w:color w:val="231F20"/>
                <w:w w:val="75"/>
                <w:sz w:val="17"/>
              </w:rPr>
              <w:t xml:space="preserve">Production and distribution of malaria IEC materials (posters &amp; flyers) on IPT annually to all </w:t>
            </w:r>
            <w:r>
              <w:rPr>
                <w:color w:val="231F20"/>
                <w:w w:val="85"/>
                <w:sz w:val="17"/>
              </w:rPr>
              <w:t xml:space="preserve">primary and secondary health </w:t>
            </w:r>
            <w:r w:rsidR="00FB089D">
              <w:rPr>
                <w:color w:val="231F20"/>
                <w:w w:val="85"/>
                <w:sz w:val="17"/>
              </w:rPr>
              <w:t>facilities.</w:t>
            </w:r>
          </w:p>
        </w:tc>
        <w:tc>
          <w:tcPr>
            <w:tcW w:w="1522" w:type="dxa"/>
            <w:tcBorders>
              <w:left w:val="single" w:sz="6" w:space="0" w:color="231F20"/>
              <w:right w:val="single" w:sz="6" w:space="0" w:color="231F20"/>
            </w:tcBorders>
          </w:tcPr>
          <w:p w14:paraId="404B2DB4" w14:textId="77777777" w:rsidR="009948F1" w:rsidRDefault="009948F1">
            <w:pPr>
              <w:pStyle w:val="TableParagraph"/>
              <w:rPr>
                <w:sz w:val="21"/>
              </w:rPr>
            </w:pPr>
          </w:p>
          <w:p w14:paraId="1F252AA9" w14:textId="77777777" w:rsidR="009948F1" w:rsidRDefault="00BC0563">
            <w:pPr>
              <w:pStyle w:val="TableParagraph"/>
              <w:ind w:left="24"/>
              <w:rPr>
                <w:sz w:val="17"/>
              </w:rPr>
            </w:pPr>
            <w:r>
              <w:rPr>
                <w:color w:val="231F20"/>
                <w:w w:val="85"/>
                <w:sz w:val="17"/>
              </w:rPr>
              <w:t>Lack of funds</w:t>
            </w:r>
          </w:p>
        </w:tc>
        <w:tc>
          <w:tcPr>
            <w:tcW w:w="1603" w:type="dxa"/>
            <w:tcBorders>
              <w:left w:val="single" w:sz="6" w:space="0" w:color="231F20"/>
            </w:tcBorders>
          </w:tcPr>
          <w:p w14:paraId="6FE247D2" w14:textId="77777777" w:rsidR="009948F1" w:rsidRDefault="009948F1">
            <w:pPr>
              <w:pStyle w:val="TableParagraph"/>
              <w:rPr>
                <w:sz w:val="21"/>
              </w:rPr>
            </w:pPr>
          </w:p>
          <w:p w14:paraId="56EA267E" w14:textId="77777777" w:rsidR="009948F1" w:rsidRDefault="00BC0563">
            <w:pPr>
              <w:pStyle w:val="TableParagraph"/>
              <w:ind w:left="22"/>
              <w:rPr>
                <w:sz w:val="17"/>
              </w:rPr>
            </w:pPr>
            <w:r>
              <w:rPr>
                <w:color w:val="231F20"/>
                <w:w w:val="75"/>
                <w:sz w:val="17"/>
              </w:rPr>
              <w:t>Produce and distribute IEC</w:t>
            </w:r>
          </w:p>
        </w:tc>
      </w:tr>
      <w:tr w:rsidR="009948F1" w14:paraId="77B0DC8E" w14:textId="77777777">
        <w:trPr>
          <w:trHeight w:val="1406"/>
        </w:trPr>
        <w:tc>
          <w:tcPr>
            <w:tcW w:w="489" w:type="dxa"/>
            <w:tcBorders>
              <w:left w:val="single" w:sz="12" w:space="0" w:color="231F20"/>
              <w:right w:val="single" w:sz="6" w:space="0" w:color="231F20"/>
            </w:tcBorders>
            <w:shd w:val="clear" w:color="auto" w:fill="CCE7D3"/>
          </w:tcPr>
          <w:p w14:paraId="24277D1E" w14:textId="77777777" w:rsidR="009948F1" w:rsidRDefault="009948F1">
            <w:pPr>
              <w:pStyle w:val="TableParagraph"/>
              <w:rPr>
                <w:sz w:val="18"/>
              </w:rPr>
            </w:pPr>
          </w:p>
          <w:p w14:paraId="19F7BEBE" w14:textId="77777777" w:rsidR="009948F1" w:rsidRDefault="009948F1">
            <w:pPr>
              <w:pStyle w:val="TableParagraph"/>
              <w:rPr>
                <w:sz w:val="18"/>
              </w:rPr>
            </w:pPr>
          </w:p>
          <w:p w14:paraId="505D4681" w14:textId="77777777" w:rsidR="009948F1" w:rsidRDefault="009948F1">
            <w:pPr>
              <w:pStyle w:val="TableParagraph"/>
              <w:spacing w:before="4"/>
              <w:rPr>
                <w:sz w:val="16"/>
              </w:rPr>
            </w:pPr>
          </w:p>
          <w:p w14:paraId="2566A7A5" w14:textId="77777777" w:rsidR="009948F1" w:rsidRDefault="00BC0563">
            <w:pPr>
              <w:pStyle w:val="TableParagraph"/>
              <w:ind w:left="58"/>
              <w:rPr>
                <w:sz w:val="17"/>
              </w:rPr>
            </w:pPr>
            <w:r>
              <w:rPr>
                <w:color w:val="231F20"/>
                <w:w w:val="85"/>
                <w:sz w:val="17"/>
              </w:rPr>
              <w:t>5.1.8</w:t>
            </w:r>
          </w:p>
        </w:tc>
        <w:tc>
          <w:tcPr>
            <w:tcW w:w="3237" w:type="dxa"/>
            <w:gridSpan w:val="2"/>
            <w:tcBorders>
              <w:left w:val="single" w:sz="6" w:space="0" w:color="231F20"/>
              <w:right w:val="single" w:sz="6" w:space="0" w:color="231F20"/>
            </w:tcBorders>
            <w:shd w:val="clear" w:color="auto" w:fill="CCE7D3"/>
          </w:tcPr>
          <w:p w14:paraId="6E3A242E" w14:textId="77777777" w:rsidR="009948F1" w:rsidRDefault="009948F1">
            <w:pPr>
              <w:pStyle w:val="TableParagraph"/>
              <w:rPr>
                <w:sz w:val="18"/>
              </w:rPr>
            </w:pPr>
          </w:p>
          <w:p w14:paraId="478ADE3D" w14:textId="77777777" w:rsidR="009948F1" w:rsidRDefault="009948F1">
            <w:pPr>
              <w:pStyle w:val="TableParagraph"/>
              <w:spacing w:before="5"/>
              <w:rPr>
                <w:sz w:val="24"/>
              </w:rPr>
            </w:pPr>
          </w:p>
          <w:p w14:paraId="357CA8CC" w14:textId="77777777" w:rsidR="009948F1" w:rsidRDefault="00BC0563">
            <w:pPr>
              <w:pStyle w:val="TableParagraph"/>
              <w:spacing w:line="266" w:lineRule="auto"/>
              <w:ind w:left="25" w:right="51" w:firstLine="35"/>
              <w:rPr>
                <w:sz w:val="17"/>
              </w:rPr>
            </w:pPr>
            <w:r>
              <w:rPr>
                <w:color w:val="231F20"/>
                <w:w w:val="75"/>
                <w:sz w:val="17"/>
              </w:rPr>
              <w:t xml:space="preserve">Promote active community participation in malaria </w:t>
            </w:r>
            <w:r>
              <w:rPr>
                <w:color w:val="231F20"/>
                <w:w w:val="85"/>
                <w:sz w:val="17"/>
              </w:rPr>
              <w:t>control initiative</w:t>
            </w:r>
          </w:p>
        </w:tc>
        <w:tc>
          <w:tcPr>
            <w:tcW w:w="2541" w:type="dxa"/>
            <w:tcBorders>
              <w:left w:val="single" w:sz="6" w:space="0" w:color="231F20"/>
              <w:right w:val="single" w:sz="6" w:space="0" w:color="231F20"/>
            </w:tcBorders>
            <w:shd w:val="clear" w:color="auto" w:fill="CCE7D3"/>
          </w:tcPr>
          <w:p w14:paraId="0A645D66" w14:textId="77777777" w:rsidR="009948F1" w:rsidRDefault="009948F1">
            <w:pPr>
              <w:pStyle w:val="TableParagraph"/>
              <w:spacing w:before="8"/>
              <w:rPr>
                <w:sz w:val="14"/>
              </w:rPr>
            </w:pPr>
          </w:p>
          <w:p w14:paraId="475FC9E0" w14:textId="77777777" w:rsidR="009948F1" w:rsidRDefault="00BC0563">
            <w:pPr>
              <w:pStyle w:val="TableParagraph"/>
              <w:numPr>
                <w:ilvl w:val="0"/>
                <w:numId w:val="162"/>
              </w:numPr>
              <w:tabs>
                <w:tab w:val="left" w:pos="105"/>
              </w:tabs>
              <w:spacing w:line="266" w:lineRule="auto"/>
              <w:ind w:right="52" w:firstLine="0"/>
              <w:rPr>
                <w:sz w:val="17"/>
              </w:rPr>
            </w:pPr>
            <w:r>
              <w:rPr>
                <w:color w:val="231F20"/>
                <w:w w:val="75"/>
                <w:sz w:val="17"/>
              </w:rPr>
              <w:t>Workshop</w:t>
            </w:r>
            <w:r>
              <w:rPr>
                <w:color w:val="231F20"/>
                <w:spacing w:val="-7"/>
                <w:w w:val="75"/>
                <w:sz w:val="17"/>
              </w:rPr>
              <w:t xml:space="preserve"> </w:t>
            </w:r>
            <w:r>
              <w:rPr>
                <w:color w:val="231F20"/>
                <w:w w:val="75"/>
                <w:sz w:val="17"/>
              </w:rPr>
              <w:t>with</w:t>
            </w:r>
            <w:r>
              <w:rPr>
                <w:color w:val="231F20"/>
                <w:spacing w:val="-7"/>
                <w:w w:val="75"/>
                <w:sz w:val="17"/>
              </w:rPr>
              <w:t xml:space="preserve"> </w:t>
            </w:r>
            <w:r>
              <w:rPr>
                <w:color w:val="231F20"/>
                <w:w w:val="75"/>
                <w:sz w:val="17"/>
              </w:rPr>
              <w:t>community</w:t>
            </w:r>
            <w:r>
              <w:rPr>
                <w:color w:val="231F20"/>
                <w:spacing w:val="-7"/>
                <w:w w:val="75"/>
                <w:sz w:val="17"/>
              </w:rPr>
              <w:t xml:space="preserve"> </w:t>
            </w:r>
            <w:r>
              <w:rPr>
                <w:color w:val="231F20"/>
                <w:w w:val="75"/>
                <w:sz w:val="17"/>
              </w:rPr>
              <w:t>stakeholders</w:t>
            </w:r>
            <w:r>
              <w:rPr>
                <w:color w:val="231F20"/>
                <w:spacing w:val="-7"/>
                <w:w w:val="75"/>
                <w:sz w:val="17"/>
              </w:rPr>
              <w:t xml:space="preserve"> </w:t>
            </w:r>
            <w:r>
              <w:rPr>
                <w:color w:val="231F20"/>
                <w:w w:val="75"/>
                <w:sz w:val="17"/>
              </w:rPr>
              <w:t xml:space="preserve">to </w:t>
            </w:r>
            <w:r>
              <w:rPr>
                <w:color w:val="231F20"/>
                <w:w w:val="80"/>
                <w:sz w:val="17"/>
              </w:rPr>
              <w:t>plan</w:t>
            </w:r>
            <w:r>
              <w:rPr>
                <w:color w:val="231F20"/>
                <w:spacing w:val="-16"/>
                <w:w w:val="80"/>
                <w:sz w:val="17"/>
              </w:rPr>
              <w:t xml:space="preserve"> </w:t>
            </w:r>
            <w:r>
              <w:rPr>
                <w:color w:val="231F20"/>
                <w:w w:val="80"/>
                <w:sz w:val="17"/>
              </w:rPr>
              <w:t>malaria</w:t>
            </w:r>
            <w:r>
              <w:rPr>
                <w:color w:val="231F20"/>
                <w:spacing w:val="-16"/>
                <w:w w:val="80"/>
                <w:sz w:val="17"/>
              </w:rPr>
              <w:t xml:space="preserve"> </w:t>
            </w:r>
            <w:r>
              <w:rPr>
                <w:color w:val="231F20"/>
                <w:w w:val="80"/>
                <w:sz w:val="17"/>
              </w:rPr>
              <w:t>control</w:t>
            </w:r>
            <w:r>
              <w:rPr>
                <w:color w:val="231F20"/>
                <w:spacing w:val="-16"/>
                <w:w w:val="80"/>
                <w:sz w:val="17"/>
              </w:rPr>
              <w:t xml:space="preserve"> </w:t>
            </w:r>
            <w:proofErr w:type="spellStart"/>
            <w:r>
              <w:rPr>
                <w:color w:val="231F20"/>
                <w:w w:val="80"/>
                <w:sz w:val="17"/>
              </w:rPr>
              <w:t>programmes</w:t>
            </w:r>
            <w:proofErr w:type="spellEnd"/>
            <w:r>
              <w:rPr>
                <w:color w:val="231F20"/>
                <w:spacing w:val="-16"/>
                <w:w w:val="80"/>
                <w:sz w:val="17"/>
              </w:rPr>
              <w:t xml:space="preserve"> </w:t>
            </w:r>
            <w:r>
              <w:rPr>
                <w:color w:val="231F20"/>
                <w:w w:val="80"/>
                <w:sz w:val="17"/>
              </w:rPr>
              <w:t>done</w:t>
            </w:r>
          </w:p>
          <w:p w14:paraId="40D07C94" w14:textId="77777777" w:rsidR="009948F1" w:rsidRDefault="00BC0563">
            <w:pPr>
              <w:pStyle w:val="TableParagraph"/>
              <w:numPr>
                <w:ilvl w:val="0"/>
                <w:numId w:val="162"/>
              </w:numPr>
              <w:tabs>
                <w:tab w:val="left" w:pos="105"/>
              </w:tabs>
              <w:spacing w:line="266" w:lineRule="auto"/>
              <w:ind w:right="28" w:firstLine="0"/>
              <w:rPr>
                <w:sz w:val="17"/>
              </w:rPr>
            </w:pPr>
            <w:r>
              <w:rPr>
                <w:color w:val="231F20"/>
                <w:w w:val="75"/>
                <w:sz w:val="17"/>
              </w:rPr>
              <w:t>Community dialogue meeting conducted</w:t>
            </w:r>
            <w:r>
              <w:rPr>
                <w:color w:val="231F20"/>
                <w:spacing w:val="-25"/>
                <w:w w:val="75"/>
                <w:sz w:val="17"/>
              </w:rPr>
              <w:t xml:space="preserve"> </w:t>
            </w:r>
            <w:r>
              <w:rPr>
                <w:color w:val="231F20"/>
                <w:w w:val="75"/>
                <w:sz w:val="17"/>
              </w:rPr>
              <w:t xml:space="preserve">in </w:t>
            </w:r>
            <w:r>
              <w:rPr>
                <w:color w:val="231F20"/>
                <w:w w:val="85"/>
                <w:sz w:val="17"/>
              </w:rPr>
              <w:t>the 23</w:t>
            </w:r>
            <w:r>
              <w:rPr>
                <w:color w:val="231F20"/>
                <w:spacing w:val="-16"/>
                <w:w w:val="85"/>
                <w:sz w:val="17"/>
              </w:rPr>
              <w:t xml:space="preserve"> </w:t>
            </w:r>
            <w:r>
              <w:rPr>
                <w:color w:val="231F20"/>
                <w:w w:val="85"/>
                <w:sz w:val="17"/>
              </w:rPr>
              <w:t>LGAs</w:t>
            </w:r>
          </w:p>
          <w:p w14:paraId="19480A51" w14:textId="77777777" w:rsidR="009948F1" w:rsidRDefault="00BC0563">
            <w:pPr>
              <w:pStyle w:val="TableParagraph"/>
              <w:numPr>
                <w:ilvl w:val="0"/>
                <w:numId w:val="162"/>
              </w:numPr>
              <w:tabs>
                <w:tab w:val="left" w:pos="105"/>
              </w:tabs>
              <w:spacing w:line="195" w:lineRule="exact"/>
              <w:ind w:left="104"/>
              <w:rPr>
                <w:sz w:val="17"/>
              </w:rPr>
            </w:pPr>
            <w:r>
              <w:rPr>
                <w:color w:val="231F20"/>
                <w:w w:val="80"/>
                <w:sz w:val="17"/>
              </w:rPr>
              <w:t>World</w:t>
            </w:r>
            <w:r>
              <w:rPr>
                <w:color w:val="231F20"/>
                <w:spacing w:val="-24"/>
                <w:w w:val="80"/>
                <w:sz w:val="17"/>
              </w:rPr>
              <w:t xml:space="preserve"> </w:t>
            </w:r>
            <w:r>
              <w:rPr>
                <w:color w:val="231F20"/>
                <w:w w:val="80"/>
                <w:sz w:val="17"/>
              </w:rPr>
              <w:t>Malaria</w:t>
            </w:r>
            <w:r>
              <w:rPr>
                <w:color w:val="231F20"/>
                <w:spacing w:val="-23"/>
                <w:w w:val="80"/>
                <w:sz w:val="17"/>
              </w:rPr>
              <w:t xml:space="preserve"> </w:t>
            </w:r>
            <w:r>
              <w:rPr>
                <w:color w:val="231F20"/>
                <w:w w:val="80"/>
                <w:sz w:val="17"/>
              </w:rPr>
              <w:t>Day</w:t>
            </w:r>
            <w:r>
              <w:rPr>
                <w:color w:val="231F20"/>
                <w:spacing w:val="-23"/>
                <w:w w:val="80"/>
                <w:sz w:val="17"/>
              </w:rPr>
              <w:t xml:space="preserve"> </w:t>
            </w:r>
            <w:r>
              <w:rPr>
                <w:color w:val="231F20"/>
                <w:w w:val="80"/>
                <w:sz w:val="17"/>
              </w:rPr>
              <w:t>Celebration</w:t>
            </w:r>
            <w:r>
              <w:rPr>
                <w:color w:val="231F20"/>
                <w:spacing w:val="-23"/>
                <w:w w:val="80"/>
                <w:sz w:val="17"/>
              </w:rPr>
              <w:t xml:space="preserve"> </w:t>
            </w:r>
            <w:r>
              <w:rPr>
                <w:color w:val="231F20"/>
                <w:w w:val="80"/>
                <w:sz w:val="17"/>
              </w:rPr>
              <w:t>observed</w:t>
            </w:r>
          </w:p>
        </w:tc>
        <w:tc>
          <w:tcPr>
            <w:tcW w:w="1522" w:type="dxa"/>
            <w:tcBorders>
              <w:left w:val="single" w:sz="6" w:space="0" w:color="231F20"/>
              <w:right w:val="single" w:sz="12" w:space="0" w:color="231F20"/>
            </w:tcBorders>
            <w:shd w:val="clear" w:color="auto" w:fill="CCE7D3"/>
          </w:tcPr>
          <w:p w14:paraId="7BC08303" w14:textId="77777777" w:rsidR="009948F1" w:rsidRDefault="009948F1">
            <w:pPr>
              <w:pStyle w:val="TableParagraph"/>
              <w:rPr>
                <w:rFonts w:ascii="Times New Roman"/>
                <w:sz w:val="12"/>
              </w:rPr>
            </w:pPr>
          </w:p>
        </w:tc>
        <w:tc>
          <w:tcPr>
            <w:tcW w:w="1603" w:type="dxa"/>
            <w:tcBorders>
              <w:left w:val="single" w:sz="12" w:space="0" w:color="231F20"/>
            </w:tcBorders>
            <w:shd w:val="clear" w:color="auto" w:fill="CCE7D3"/>
          </w:tcPr>
          <w:p w14:paraId="236F1622" w14:textId="77777777" w:rsidR="009948F1" w:rsidRDefault="009948F1">
            <w:pPr>
              <w:pStyle w:val="TableParagraph"/>
              <w:rPr>
                <w:rFonts w:ascii="Times New Roman"/>
                <w:sz w:val="12"/>
              </w:rPr>
            </w:pPr>
          </w:p>
        </w:tc>
      </w:tr>
      <w:tr w:rsidR="009948F1" w14:paraId="7D7AA48F" w14:textId="77777777">
        <w:trPr>
          <w:trHeight w:val="469"/>
        </w:trPr>
        <w:tc>
          <w:tcPr>
            <w:tcW w:w="489" w:type="dxa"/>
            <w:vMerge w:val="restart"/>
            <w:tcBorders>
              <w:right w:val="single" w:sz="6" w:space="0" w:color="231F20"/>
            </w:tcBorders>
          </w:tcPr>
          <w:p w14:paraId="570A3B5B" w14:textId="77777777" w:rsidR="009948F1" w:rsidRDefault="009948F1">
            <w:pPr>
              <w:pStyle w:val="TableParagraph"/>
              <w:rPr>
                <w:rFonts w:ascii="Times New Roman"/>
                <w:sz w:val="12"/>
              </w:rPr>
            </w:pPr>
          </w:p>
        </w:tc>
        <w:tc>
          <w:tcPr>
            <w:tcW w:w="561" w:type="dxa"/>
            <w:tcBorders>
              <w:left w:val="single" w:sz="6" w:space="0" w:color="231F20"/>
              <w:right w:val="single" w:sz="6" w:space="0" w:color="231F20"/>
            </w:tcBorders>
          </w:tcPr>
          <w:p w14:paraId="3E93F0FE" w14:textId="77777777" w:rsidR="009948F1" w:rsidRDefault="00BC0563">
            <w:pPr>
              <w:pStyle w:val="TableParagraph"/>
              <w:spacing w:before="134"/>
              <w:ind w:left="54" w:right="35"/>
              <w:jc w:val="center"/>
              <w:rPr>
                <w:sz w:val="17"/>
              </w:rPr>
            </w:pPr>
            <w:r>
              <w:rPr>
                <w:color w:val="231F20"/>
                <w:w w:val="80"/>
                <w:sz w:val="17"/>
              </w:rPr>
              <w:t>5.1.8.a</w:t>
            </w:r>
          </w:p>
        </w:tc>
        <w:tc>
          <w:tcPr>
            <w:tcW w:w="5217" w:type="dxa"/>
            <w:gridSpan w:val="2"/>
            <w:tcBorders>
              <w:left w:val="single" w:sz="6" w:space="0" w:color="231F20"/>
              <w:right w:val="single" w:sz="6" w:space="0" w:color="231F20"/>
            </w:tcBorders>
          </w:tcPr>
          <w:p w14:paraId="4C911F6F" w14:textId="23915F53" w:rsidR="009948F1" w:rsidRDefault="0036682E">
            <w:pPr>
              <w:pStyle w:val="TableParagraph"/>
              <w:spacing w:before="127"/>
              <w:ind w:left="25"/>
              <w:rPr>
                <w:sz w:val="17"/>
              </w:rPr>
            </w:pPr>
            <w:r>
              <w:rPr>
                <w:color w:val="231F20"/>
                <w:w w:val="75"/>
                <w:sz w:val="17"/>
              </w:rPr>
              <w:t xml:space="preserve">Increase advocacy visits to community chiefs &amp; compound heads for initiating community </w:t>
            </w:r>
            <w:r>
              <w:rPr>
                <w:color w:val="231F20"/>
                <w:w w:val="85"/>
                <w:sz w:val="17"/>
              </w:rPr>
              <w:t>sensitizations</w:t>
            </w:r>
            <w:r>
              <w:rPr>
                <w:color w:val="231F20"/>
                <w:w w:val="80"/>
                <w:sz w:val="17"/>
              </w:rPr>
              <w:t xml:space="preserve"> </w:t>
            </w:r>
            <w:r w:rsidR="00BC0563">
              <w:rPr>
                <w:color w:val="231F20"/>
                <w:w w:val="80"/>
                <w:sz w:val="17"/>
              </w:rPr>
              <w:t xml:space="preserve">malaria </w:t>
            </w:r>
            <w:r>
              <w:rPr>
                <w:color w:val="231F20"/>
                <w:w w:val="80"/>
                <w:sz w:val="17"/>
              </w:rPr>
              <w:t xml:space="preserve">                                                                                                                                                                                                                                                                                                                                                                                                                                                                                                                                                                                                                                                                                                                                                                                                                                                                                                                                                                                                                                                                               </w:t>
            </w:r>
          </w:p>
        </w:tc>
        <w:tc>
          <w:tcPr>
            <w:tcW w:w="1522" w:type="dxa"/>
            <w:tcBorders>
              <w:left w:val="single" w:sz="6" w:space="0" w:color="231F20"/>
              <w:right w:val="single" w:sz="6" w:space="0" w:color="231F20"/>
            </w:tcBorders>
          </w:tcPr>
          <w:p w14:paraId="766FB306" w14:textId="77777777" w:rsidR="009948F1" w:rsidRDefault="00BC0563">
            <w:pPr>
              <w:pStyle w:val="TableParagraph"/>
              <w:spacing w:before="134"/>
              <w:ind w:left="24"/>
              <w:rPr>
                <w:sz w:val="17"/>
              </w:rPr>
            </w:pPr>
            <w:r>
              <w:rPr>
                <w:color w:val="231F20"/>
                <w:w w:val="85"/>
                <w:sz w:val="17"/>
              </w:rPr>
              <w:t>Lack of funds</w:t>
            </w:r>
          </w:p>
        </w:tc>
        <w:tc>
          <w:tcPr>
            <w:tcW w:w="1603" w:type="dxa"/>
            <w:tcBorders>
              <w:left w:val="single" w:sz="6" w:space="0" w:color="231F20"/>
            </w:tcBorders>
          </w:tcPr>
          <w:p w14:paraId="3633D4E2" w14:textId="77777777" w:rsidR="009948F1" w:rsidRDefault="00BC0563">
            <w:pPr>
              <w:pStyle w:val="TableParagraph"/>
              <w:spacing w:before="134"/>
              <w:ind w:left="22"/>
              <w:rPr>
                <w:sz w:val="17"/>
              </w:rPr>
            </w:pPr>
            <w:r>
              <w:rPr>
                <w:color w:val="231F20"/>
                <w:w w:val="85"/>
                <w:sz w:val="17"/>
              </w:rPr>
              <w:t>Conduct workshop</w:t>
            </w:r>
          </w:p>
        </w:tc>
      </w:tr>
      <w:tr w:rsidR="009948F1" w14:paraId="3E3C851C" w14:textId="77777777">
        <w:trPr>
          <w:trHeight w:val="511"/>
        </w:trPr>
        <w:tc>
          <w:tcPr>
            <w:tcW w:w="489" w:type="dxa"/>
            <w:vMerge/>
            <w:tcBorders>
              <w:top w:val="nil"/>
              <w:right w:val="single" w:sz="6" w:space="0" w:color="231F20"/>
            </w:tcBorders>
          </w:tcPr>
          <w:p w14:paraId="65080692" w14:textId="77777777" w:rsidR="009948F1" w:rsidRDefault="009948F1">
            <w:pPr>
              <w:rPr>
                <w:sz w:val="2"/>
                <w:szCs w:val="2"/>
              </w:rPr>
            </w:pPr>
          </w:p>
        </w:tc>
        <w:tc>
          <w:tcPr>
            <w:tcW w:w="561" w:type="dxa"/>
            <w:tcBorders>
              <w:left w:val="single" w:sz="6" w:space="0" w:color="231F20"/>
              <w:right w:val="single" w:sz="6" w:space="0" w:color="231F20"/>
            </w:tcBorders>
          </w:tcPr>
          <w:p w14:paraId="7FF0FC5B" w14:textId="77777777" w:rsidR="009948F1" w:rsidRDefault="00BC0563">
            <w:pPr>
              <w:pStyle w:val="TableParagraph"/>
              <w:spacing w:before="155"/>
              <w:ind w:left="54" w:right="35"/>
              <w:jc w:val="center"/>
              <w:rPr>
                <w:sz w:val="17"/>
              </w:rPr>
            </w:pPr>
            <w:r>
              <w:rPr>
                <w:color w:val="231F20"/>
                <w:w w:val="80"/>
                <w:sz w:val="17"/>
              </w:rPr>
              <w:t>5.1.8.b</w:t>
            </w:r>
          </w:p>
        </w:tc>
        <w:tc>
          <w:tcPr>
            <w:tcW w:w="5217" w:type="dxa"/>
            <w:gridSpan w:val="2"/>
            <w:tcBorders>
              <w:left w:val="single" w:sz="6" w:space="0" w:color="231F20"/>
              <w:right w:val="single" w:sz="6" w:space="0" w:color="231F20"/>
            </w:tcBorders>
          </w:tcPr>
          <w:p w14:paraId="5B0E2FC9" w14:textId="77777777" w:rsidR="009948F1" w:rsidRDefault="00BC0563">
            <w:pPr>
              <w:pStyle w:val="TableParagraph"/>
              <w:spacing w:before="148"/>
              <w:ind w:left="25"/>
              <w:rPr>
                <w:sz w:val="17"/>
              </w:rPr>
            </w:pPr>
            <w:r>
              <w:rPr>
                <w:color w:val="231F20"/>
                <w:w w:val="85"/>
                <w:sz w:val="17"/>
              </w:rPr>
              <w:t>Conduct community dialogue meetings in the 23 LGAs</w:t>
            </w:r>
          </w:p>
        </w:tc>
        <w:tc>
          <w:tcPr>
            <w:tcW w:w="1522" w:type="dxa"/>
            <w:tcBorders>
              <w:left w:val="single" w:sz="6" w:space="0" w:color="231F20"/>
              <w:right w:val="single" w:sz="6" w:space="0" w:color="231F20"/>
            </w:tcBorders>
          </w:tcPr>
          <w:p w14:paraId="4A4C0E42" w14:textId="77777777" w:rsidR="009948F1" w:rsidRDefault="00BC0563">
            <w:pPr>
              <w:pStyle w:val="TableParagraph"/>
              <w:spacing w:before="155"/>
              <w:ind w:left="24"/>
              <w:rPr>
                <w:sz w:val="17"/>
              </w:rPr>
            </w:pPr>
            <w:r>
              <w:rPr>
                <w:color w:val="231F20"/>
                <w:w w:val="85"/>
                <w:sz w:val="17"/>
              </w:rPr>
              <w:t>Lack of funds</w:t>
            </w:r>
          </w:p>
        </w:tc>
        <w:tc>
          <w:tcPr>
            <w:tcW w:w="1603" w:type="dxa"/>
            <w:tcBorders>
              <w:left w:val="single" w:sz="6" w:space="0" w:color="231F20"/>
            </w:tcBorders>
          </w:tcPr>
          <w:p w14:paraId="62CBC474" w14:textId="77777777" w:rsidR="009948F1" w:rsidRDefault="00BC0563">
            <w:pPr>
              <w:pStyle w:val="TableParagraph"/>
              <w:spacing w:before="155"/>
              <w:ind w:left="22"/>
              <w:rPr>
                <w:sz w:val="17"/>
              </w:rPr>
            </w:pPr>
            <w:r>
              <w:rPr>
                <w:color w:val="231F20"/>
                <w:w w:val="85"/>
                <w:sz w:val="17"/>
              </w:rPr>
              <w:t>Conduct meetings</w:t>
            </w:r>
          </w:p>
        </w:tc>
      </w:tr>
      <w:tr w:rsidR="009948F1" w14:paraId="29E71FAC" w14:textId="77777777">
        <w:trPr>
          <w:trHeight w:val="554"/>
        </w:trPr>
        <w:tc>
          <w:tcPr>
            <w:tcW w:w="489" w:type="dxa"/>
            <w:vMerge/>
            <w:tcBorders>
              <w:top w:val="nil"/>
              <w:right w:val="single" w:sz="6" w:space="0" w:color="231F20"/>
            </w:tcBorders>
          </w:tcPr>
          <w:p w14:paraId="32CB5D63" w14:textId="77777777" w:rsidR="009948F1" w:rsidRDefault="009948F1">
            <w:pPr>
              <w:rPr>
                <w:sz w:val="2"/>
                <w:szCs w:val="2"/>
              </w:rPr>
            </w:pPr>
          </w:p>
        </w:tc>
        <w:tc>
          <w:tcPr>
            <w:tcW w:w="561" w:type="dxa"/>
            <w:tcBorders>
              <w:left w:val="single" w:sz="6" w:space="0" w:color="231F20"/>
              <w:right w:val="single" w:sz="6" w:space="0" w:color="231F20"/>
            </w:tcBorders>
          </w:tcPr>
          <w:p w14:paraId="3ECA6D1E" w14:textId="77777777" w:rsidR="009948F1" w:rsidRDefault="009948F1">
            <w:pPr>
              <w:pStyle w:val="TableParagraph"/>
              <w:spacing w:before="3"/>
              <w:rPr>
                <w:sz w:val="15"/>
              </w:rPr>
            </w:pPr>
          </w:p>
          <w:p w14:paraId="76C8DCAE" w14:textId="77777777" w:rsidR="009948F1" w:rsidRDefault="00BC0563">
            <w:pPr>
              <w:pStyle w:val="TableParagraph"/>
              <w:spacing w:before="1"/>
              <w:ind w:left="54" w:right="35"/>
              <w:jc w:val="center"/>
              <w:rPr>
                <w:sz w:val="17"/>
              </w:rPr>
            </w:pPr>
            <w:r>
              <w:rPr>
                <w:color w:val="231F20"/>
                <w:w w:val="80"/>
                <w:sz w:val="17"/>
              </w:rPr>
              <w:t>5.1.8.c</w:t>
            </w:r>
          </w:p>
        </w:tc>
        <w:tc>
          <w:tcPr>
            <w:tcW w:w="5217" w:type="dxa"/>
            <w:gridSpan w:val="2"/>
            <w:tcBorders>
              <w:left w:val="single" w:sz="6" w:space="0" w:color="231F20"/>
              <w:right w:val="single" w:sz="6" w:space="0" w:color="231F20"/>
            </w:tcBorders>
          </w:tcPr>
          <w:p w14:paraId="12C6F5AD" w14:textId="77777777" w:rsidR="009948F1" w:rsidRDefault="00BC0563">
            <w:pPr>
              <w:pStyle w:val="TableParagraph"/>
              <w:spacing w:before="62" w:line="266" w:lineRule="auto"/>
              <w:ind w:left="25" w:right="32"/>
              <w:rPr>
                <w:sz w:val="17"/>
              </w:rPr>
            </w:pPr>
            <w:r>
              <w:rPr>
                <w:color w:val="231F20"/>
                <w:w w:val="75"/>
                <w:sz w:val="17"/>
              </w:rPr>
              <w:t xml:space="preserve">Increase advocacy visits to community chiefs &amp; compound heads for initiating community </w:t>
            </w:r>
            <w:r>
              <w:rPr>
                <w:color w:val="231F20"/>
                <w:w w:val="85"/>
                <w:sz w:val="17"/>
              </w:rPr>
              <w:t>sensitizations</w:t>
            </w:r>
          </w:p>
        </w:tc>
        <w:tc>
          <w:tcPr>
            <w:tcW w:w="1522" w:type="dxa"/>
            <w:tcBorders>
              <w:left w:val="single" w:sz="6" w:space="0" w:color="231F20"/>
              <w:right w:val="single" w:sz="6" w:space="0" w:color="231F20"/>
            </w:tcBorders>
          </w:tcPr>
          <w:p w14:paraId="75CBA810" w14:textId="77777777" w:rsidR="009948F1" w:rsidRDefault="009948F1">
            <w:pPr>
              <w:pStyle w:val="TableParagraph"/>
              <w:spacing w:before="3"/>
              <w:rPr>
                <w:sz w:val="15"/>
              </w:rPr>
            </w:pPr>
          </w:p>
          <w:p w14:paraId="20FB7330" w14:textId="77777777" w:rsidR="009948F1" w:rsidRDefault="00BC0563">
            <w:pPr>
              <w:pStyle w:val="TableParagraph"/>
              <w:spacing w:before="1"/>
              <w:ind w:left="24"/>
              <w:rPr>
                <w:sz w:val="17"/>
              </w:rPr>
            </w:pPr>
            <w:r>
              <w:rPr>
                <w:color w:val="231F20"/>
                <w:w w:val="85"/>
                <w:sz w:val="17"/>
              </w:rPr>
              <w:t>Lack of funds</w:t>
            </w:r>
          </w:p>
        </w:tc>
        <w:tc>
          <w:tcPr>
            <w:tcW w:w="1603" w:type="dxa"/>
            <w:tcBorders>
              <w:left w:val="single" w:sz="6" w:space="0" w:color="231F20"/>
            </w:tcBorders>
          </w:tcPr>
          <w:p w14:paraId="697EB833" w14:textId="77777777" w:rsidR="009948F1" w:rsidRDefault="009948F1">
            <w:pPr>
              <w:pStyle w:val="TableParagraph"/>
              <w:spacing w:before="3"/>
              <w:rPr>
                <w:sz w:val="15"/>
              </w:rPr>
            </w:pPr>
          </w:p>
          <w:p w14:paraId="3D6D6C78" w14:textId="77777777" w:rsidR="009948F1" w:rsidRDefault="00BC0563">
            <w:pPr>
              <w:pStyle w:val="TableParagraph"/>
              <w:spacing w:before="1"/>
              <w:ind w:left="22"/>
              <w:rPr>
                <w:sz w:val="17"/>
              </w:rPr>
            </w:pPr>
            <w:r>
              <w:rPr>
                <w:color w:val="231F20"/>
                <w:w w:val="85"/>
                <w:sz w:val="17"/>
              </w:rPr>
              <w:t>Advocacy visits</w:t>
            </w:r>
          </w:p>
        </w:tc>
      </w:tr>
      <w:tr w:rsidR="009948F1" w14:paraId="2CF9DD88" w14:textId="77777777">
        <w:trPr>
          <w:trHeight w:val="598"/>
        </w:trPr>
        <w:tc>
          <w:tcPr>
            <w:tcW w:w="489" w:type="dxa"/>
            <w:vMerge/>
            <w:tcBorders>
              <w:top w:val="nil"/>
              <w:right w:val="single" w:sz="6" w:space="0" w:color="231F20"/>
            </w:tcBorders>
          </w:tcPr>
          <w:p w14:paraId="22B6C86D" w14:textId="77777777" w:rsidR="009948F1" w:rsidRDefault="009948F1">
            <w:pPr>
              <w:rPr>
                <w:sz w:val="2"/>
                <w:szCs w:val="2"/>
              </w:rPr>
            </w:pPr>
          </w:p>
        </w:tc>
        <w:tc>
          <w:tcPr>
            <w:tcW w:w="561" w:type="dxa"/>
            <w:tcBorders>
              <w:left w:val="single" w:sz="6" w:space="0" w:color="231F20"/>
              <w:right w:val="single" w:sz="6" w:space="0" w:color="231F20"/>
            </w:tcBorders>
          </w:tcPr>
          <w:p w14:paraId="5933C740" w14:textId="77777777" w:rsidR="009948F1" w:rsidRDefault="009948F1">
            <w:pPr>
              <w:pStyle w:val="TableParagraph"/>
              <w:spacing w:before="3"/>
              <w:rPr>
                <w:sz w:val="17"/>
              </w:rPr>
            </w:pPr>
          </w:p>
          <w:p w14:paraId="326FD14B" w14:textId="77777777" w:rsidR="009948F1" w:rsidRDefault="00BC0563">
            <w:pPr>
              <w:pStyle w:val="TableParagraph"/>
              <w:spacing w:before="1"/>
              <w:ind w:left="54" w:right="35"/>
              <w:jc w:val="center"/>
              <w:rPr>
                <w:sz w:val="17"/>
              </w:rPr>
            </w:pPr>
            <w:r>
              <w:rPr>
                <w:color w:val="231F20"/>
                <w:w w:val="80"/>
                <w:sz w:val="17"/>
              </w:rPr>
              <w:t>5.1.8.d</w:t>
            </w:r>
          </w:p>
        </w:tc>
        <w:tc>
          <w:tcPr>
            <w:tcW w:w="5217" w:type="dxa"/>
            <w:gridSpan w:val="2"/>
            <w:tcBorders>
              <w:left w:val="single" w:sz="6" w:space="0" w:color="231F20"/>
              <w:right w:val="single" w:sz="6" w:space="0" w:color="231F20"/>
            </w:tcBorders>
          </w:tcPr>
          <w:p w14:paraId="06BD0B6F" w14:textId="77777777" w:rsidR="009948F1" w:rsidRDefault="009948F1">
            <w:pPr>
              <w:pStyle w:val="TableParagraph"/>
              <w:spacing w:before="8"/>
              <w:rPr>
                <w:sz w:val="16"/>
              </w:rPr>
            </w:pPr>
          </w:p>
          <w:p w14:paraId="1D6C44FE" w14:textId="77777777" w:rsidR="009948F1" w:rsidRDefault="00BC0563">
            <w:pPr>
              <w:pStyle w:val="TableParagraph"/>
              <w:ind w:left="25"/>
              <w:rPr>
                <w:sz w:val="17"/>
              </w:rPr>
            </w:pPr>
            <w:r>
              <w:rPr>
                <w:color w:val="231F20"/>
                <w:w w:val="85"/>
                <w:sz w:val="17"/>
              </w:rPr>
              <w:t>Conduct quarterly meetings to review M&amp;E conducted</w:t>
            </w:r>
          </w:p>
        </w:tc>
        <w:tc>
          <w:tcPr>
            <w:tcW w:w="1522" w:type="dxa"/>
            <w:tcBorders>
              <w:left w:val="single" w:sz="6" w:space="0" w:color="231F20"/>
              <w:right w:val="single" w:sz="6" w:space="0" w:color="231F20"/>
            </w:tcBorders>
          </w:tcPr>
          <w:p w14:paraId="5D9F896E" w14:textId="77777777" w:rsidR="009948F1" w:rsidRDefault="009948F1">
            <w:pPr>
              <w:pStyle w:val="TableParagraph"/>
              <w:spacing w:before="3"/>
              <w:rPr>
                <w:sz w:val="17"/>
              </w:rPr>
            </w:pPr>
          </w:p>
          <w:p w14:paraId="4C6833E7" w14:textId="77777777" w:rsidR="009948F1" w:rsidRDefault="00BC0563">
            <w:pPr>
              <w:pStyle w:val="TableParagraph"/>
              <w:spacing w:before="1"/>
              <w:ind w:left="24"/>
              <w:rPr>
                <w:sz w:val="17"/>
              </w:rPr>
            </w:pPr>
            <w:r>
              <w:rPr>
                <w:color w:val="231F20"/>
                <w:w w:val="85"/>
                <w:sz w:val="17"/>
              </w:rPr>
              <w:t>Lack of funds</w:t>
            </w:r>
          </w:p>
        </w:tc>
        <w:tc>
          <w:tcPr>
            <w:tcW w:w="1603" w:type="dxa"/>
            <w:tcBorders>
              <w:left w:val="single" w:sz="6" w:space="0" w:color="231F20"/>
            </w:tcBorders>
          </w:tcPr>
          <w:p w14:paraId="549BF0D2" w14:textId="77777777" w:rsidR="009948F1" w:rsidRDefault="009948F1">
            <w:pPr>
              <w:pStyle w:val="TableParagraph"/>
              <w:spacing w:before="3"/>
              <w:rPr>
                <w:sz w:val="17"/>
              </w:rPr>
            </w:pPr>
          </w:p>
          <w:p w14:paraId="7D728233" w14:textId="77777777" w:rsidR="009948F1" w:rsidRDefault="00BC0563">
            <w:pPr>
              <w:pStyle w:val="TableParagraph"/>
              <w:spacing w:before="1"/>
              <w:ind w:left="22"/>
              <w:rPr>
                <w:sz w:val="17"/>
              </w:rPr>
            </w:pPr>
            <w:r>
              <w:rPr>
                <w:color w:val="231F20"/>
                <w:w w:val="85"/>
                <w:sz w:val="17"/>
              </w:rPr>
              <w:t>Conduct meetings</w:t>
            </w:r>
          </w:p>
        </w:tc>
      </w:tr>
      <w:tr w:rsidR="009948F1" w14:paraId="6772F8F1" w14:textId="77777777">
        <w:trPr>
          <w:trHeight w:val="459"/>
        </w:trPr>
        <w:tc>
          <w:tcPr>
            <w:tcW w:w="489" w:type="dxa"/>
            <w:vMerge/>
            <w:tcBorders>
              <w:top w:val="nil"/>
              <w:right w:val="single" w:sz="6" w:space="0" w:color="231F20"/>
            </w:tcBorders>
          </w:tcPr>
          <w:p w14:paraId="08B47FC1" w14:textId="77777777" w:rsidR="009948F1" w:rsidRDefault="009948F1">
            <w:pPr>
              <w:rPr>
                <w:sz w:val="2"/>
                <w:szCs w:val="2"/>
              </w:rPr>
            </w:pPr>
          </w:p>
        </w:tc>
        <w:tc>
          <w:tcPr>
            <w:tcW w:w="561" w:type="dxa"/>
            <w:tcBorders>
              <w:left w:val="single" w:sz="6" w:space="0" w:color="231F20"/>
              <w:right w:val="single" w:sz="6" w:space="0" w:color="231F20"/>
            </w:tcBorders>
          </w:tcPr>
          <w:p w14:paraId="0F95BE52" w14:textId="77777777" w:rsidR="009948F1" w:rsidRDefault="00BC0563">
            <w:pPr>
              <w:pStyle w:val="TableParagraph"/>
              <w:spacing w:before="129"/>
              <w:ind w:left="54" w:right="35"/>
              <w:jc w:val="center"/>
              <w:rPr>
                <w:sz w:val="17"/>
              </w:rPr>
            </w:pPr>
            <w:r>
              <w:rPr>
                <w:color w:val="231F20"/>
                <w:w w:val="80"/>
                <w:sz w:val="17"/>
              </w:rPr>
              <w:t>5.1.8.e</w:t>
            </w:r>
          </w:p>
        </w:tc>
        <w:tc>
          <w:tcPr>
            <w:tcW w:w="5217" w:type="dxa"/>
            <w:gridSpan w:val="2"/>
            <w:tcBorders>
              <w:left w:val="single" w:sz="6" w:space="0" w:color="231F20"/>
              <w:right w:val="single" w:sz="6" w:space="0" w:color="231F20"/>
            </w:tcBorders>
          </w:tcPr>
          <w:p w14:paraId="7EB313E5" w14:textId="77777777" w:rsidR="009948F1" w:rsidRDefault="00BC0563">
            <w:pPr>
              <w:pStyle w:val="TableParagraph"/>
              <w:spacing w:before="121"/>
              <w:ind w:left="25"/>
              <w:rPr>
                <w:sz w:val="17"/>
              </w:rPr>
            </w:pPr>
            <w:r>
              <w:rPr>
                <w:color w:val="231F20"/>
                <w:w w:val="85"/>
                <w:sz w:val="17"/>
              </w:rPr>
              <w:t>Observe World Malaria Day Celebration</w:t>
            </w:r>
          </w:p>
        </w:tc>
        <w:tc>
          <w:tcPr>
            <w:tcW w:w="1522" w:type="dxa"/>
            <w:tcBorders>
              <w:left w:val="single" w:sz="6" w:space="0" w:color="231F20"/>
              <w:right w:val="single" w:sz="6" w:space="0" w:color="231F20"/>
            </w:tcBorders>
          </w:tcPr>
          <w:p w14:paraId="370F3CAA" w14:textId="77777777" w:rsidR="009948F1" w:rsidRDefault="00BC0563">
            <w:pPr>
              <w:pStyle w:val="TableParagraph"/>
              <w:spacing w:before="129"/>
              <w:ind w:left="24"/>
              <w:rPr>
                <w:sz w:val="17"/>
              </w:rPr>
            </w:pPr>
            <w:r>
              <w:rPr>
                <w:color w:val="231F20"/>
                <w:w w:val="85"/>
                <w:sz w:val="17"/>
              </w:rPr>
              <w:t>Lack of funds</w:t>
            </w:r>
          </w:p>
        </w:tc>
        <w:tc>
          <w:tcPr>
            <w:tcW w:w="1603" w:type="dxa"/>
            <w:tcBorders>
              <w:left w:val="single" w:sz="6" w:space="0" w:color="231F20"/>
            </w:tcBorders>
          </w:tcPr>
          <w:p w14:paraId="5E9724FD" w14:textId="77777777" w:rsidR="009948F1" w:rsidRDefault="00BC0563">
            <w:pPr>
              <w:pStyle w:val="TableParagraph"/>
              <w:spacing w:before="7" w:line="210" w:lineRule="atLeast"/>
              <w:ind w:left="22" w:right="74"/>
              <w:rPr>
                <w:sz w:val="17"/>
              </w:rPr>
            </w:pPr>
            <w:r>
              <w:rPr>
                <w:color w:val="231F20"/>
                <w:w w:val="75"/>
                <w:sz w:val="17"/>
              </w:rPr>
              <w:t xml:space="preserve">World Malaria Day </w:t>
            </w:r>
            <w:r>
              <w:rPr>
                <w:color w:val="231F20"/>
                <w:w w:val="85"/>
                <w:sz w:val="17"/>
              </w:rPr>
              <w:t>Celebration</w:t>
            </w:r>
          </w:p>
        </w:tc>
      </w:tr>
      <w:tr w:rsidR="009948F1" w14:paraId="2694794F" w14:textId="77777777">
        <w:trPr>
          <w:trHeight w:val="927"/>
        </w:trPr>
        <w:tc>
          <w:tcPr>
            <w:tcW w:w="6267" w:type="dxa"/>
            <w:gridSpan w:val="4"/>
            <w:tcBorders>
              <w:left w:val="single" w:sz="6" w:space="0" w:color="231F20"/>
              <w:right w:val="single" w:sz="12" w:space="0" w:color="231F20"/>
            </w:tcBorders>
            <w:shd w:val="clear" w:color="auto" w:fill="FFF200"/>
          </w:tcPr>
          <w:p w14:paraId="40C51921" w14:textId="77777777" w:rsidR="009948F1" w:rsidRDefault="009948F1">
            <w:pPr>
              <w:pStyle w:val="TableParagraph"/>
              <w:spacing w:before="7"/>
              <w:rPr>
                <w:sz w:val="21"/>
              </w:rPr>
            </w:pPr>
          </w:p>
          <w:p w14:paraId="6461F030" w14:textId="77777777" w:rsidR="009948F1" w:rsidRDefault="00BC0563">
            <w:pPr>
              <w:pStyle w:val="TableParagraph"/>
              <w:spacing w:line="273" w:lineRule="auto"/>
              <w:ind w:left="30" w:right="65" w:firstLine="35"/>
              <w:rPr>
                <w:b/>
                <w:sz w:val="17"/>
              </w:rPr>
            </w:pPr>
            <w:r>
              <w:rPr>
                <w:b/>
                <w:color w:val="231F20"/>
                <w:w w:val="75"/>
                <w:sz w:val="17"/>
              </w:rPr>
              <w:t>Ensure universal access to high quality, client-</w:t>
            </w:r>
            <w:proofErr w:type="spellStart"/>
            <w:r>
              <w:rPr>
                <w:b/>
                <w:color w:val="231F20"/>
                <w:w w:val="75"/>
                <w:sz w:val="17"/>
              </w:rPr>
              <w:t>centred</w:t>
            </w:r>
            <w:proofErr w:type="spellEnd"/>
            <w:r>
              <w:rPr>
                <w:b/>
                <w:color w:val="231F20"/>
                <w:w w:val="75"/>
                <w:sz w:val="17"/>
              </w:rPr>
              <w:t xml:space="preserve"> TB/Leprosy diagnosis and treatment services </w:t>
            </w:r>
            <w:r>
              <w:rPr>
                <w:b/>
                <w:color w:val="231F20"/>
                <w:w w:val="85"/>
                <w:sz w:val="17"/>
              </w:rPr>
              <w:t>for the reduction in the incidence and prevalence of tuberculosis/leprosy in Nigeria.</w:t>
            </w:r>
          </w:p>
        </w:tc>
        <w:tc>
          <w:tcPr>
            <w:tcW w:w="1522" w:type="dxa"/>
            <w:tcBorders>
              <w:left w:val="single" w:sz="12" w:space="0" w:color="231F20"/>
              <w:right w:val="single" w:sz="12" w:space="0" w:color="231F20"/>
            </w:tcBorders>
            <w:shd w:val="clear" w:color="auto" w:fill="FFF200"/>
          </w:tcPr>
          <w:p w14:paraId="1C483C2E" w14:textId="77777777" w:rsidR="009948F1" w:rsidRDefault="009948F1">
            <w:pPr>
              <w:pStyle w:val="TableParagraph"/>
              <w:rPr>
                <w:rFonts w:ascii="Times New Roman"/>
                <w:sz w:val="12"/>
              </w:rPr>
            </w:pPr>
          </w:p>
        </w:tc>
        <w:tc>
          <w:tcPr>
            <w:tcW w:w="1603" w:type="dxa"/>
            <w:tcBorders>
              <w:left w:val="single" w:sz="12" w:space="0" w:color="231F20"/>
            </w:tcBorders>
            <w:shd w:val="clear" w:color="auto" w:fill="FFF200"/>
          </w:tcPr>
          <w:p w14:paraId="1A3962EA" w14:textId="77777777" w:rsidR="009948F1" w:rsidRDefault="009948F1">
            <w:pPr>
              <w:pStyle w:val="TableParagraph"/>
              <w:rPr>
                <w:rFonts w:ascii="Times New Roman"/>
                <w:sz w:val="12"/>
              </w:rPr>
            </w:pPr>
          </w:p>
        </w:tc>
      </w:tr>
      <w:tr w:rsidR="009948F1" w14:paraId="0D2AFAA9" w14:textId="77777777">
        <w:trPr>
          <w:trHeight w:val="1024"/>
        </w:trPr>
        <w:tc>
          <w:tcPr>
            <w:tcW w:w="489" w:type="dxa"/>
            <w:tcBorders>
              <w:left w:val="single" w:sz="12" w:space="0" w:color="231F20"/>
              <w:right w:val="single" w:sz="6" w:space="0" w:color="231F20"/>
            </w:tcBorders>
            <w:shd w:val="clear" w:color="auto" w:fill="CCE7D3"/>
          </w:tcPr>
          <w:p w14:paraId="28FE9E6C" w14:textId="77777777" w:rsidR="009948F1" w:rsidRDefault="009948F1">
            <w:pPr>
              <w:pStyle w:val="TableParagraph"/>
              <w:rPr>
                <w:sz w:val="18"/>
              </w:rPr>
            </w:pPr>
          </w:p>
          <w:p w14:paraId="4B105D17" w14:textId="77777777" w:rsidR="009948F1" w:rsidRDefault="009948F1">
            <w:pPr>
              <w:pStyle w:val="TableParagraph"/>
              <w:spacing w:before="9"/>
              <w:rPr>
                <w:sz w:val="17"/>
              </w:rPr>
            </w:pPr>
          </w:p>
          <w:p w14:paraId="4DD01C9D" w14:textId="77777777" w:rsidR="009948F1" w:rsidRDefault="00BC0563">
            <w:pPr>
              <w:pStyle w:val="TableParagraph"/>
              <w:spacing w:before="1"/>
              <w:ind w:left="58"/>
              <w:rPr>
                <w:sz w:val="17"/>
              </w:rPr>
            </w:pPr>
            <w:r>
              <w:rPr>
                <w:color w:val="231F20"/>
                <w:w w:val="85"/>
                <w:sz w:val="17"/>
              </w:rPr>
              <w:t>5.2.1</w:t>
            </w:r>
          </w:p>
        </w:tc>
        <w:tc>
          <w:tcPr>
            <w:tcW w:w="3237" w:type="dxa"/>
            <w:gridSpan w:val="2"/>
            <w:tcBorders>
              <w:left w:val="single" w:sz="6" w:space="0" w:color="231F20"/>
              <w:right w:val="single" w:sz="6" w:space="0" w:color="231F20"/>
            </w:tcBorders>
            <w:shd w:val="clear" w:color="auto" w:fill="CCE7D3"/>
          </w:tcPr>
          <w:p w14:paraId="43E68408" w14:textId="77777777" w:rsidR="009948F1" w:rsidRDefault="009948F1">
            <w:pPr>
              <w:pStyle w:val="TableParagraph"/>
              <w:spacing w:before="8"/>
              <w:rPr>
                <w:sz w:val="25"/>
              </w:rPr>
            </w:pPr>
          </w:p>
          <w:p w14:paraId="7D640E4E" w14:textId="47AE7C9C" w:rsidR="009948F1" w:rsidRDefault="00BC0563">
            <w:pPr>
              <w:pStyle w:val="TableParagraph"/>
              <w:spacing w:line="266" w:lineRule="auto"/>
              <w:ind w:left="25" w:right="51" w:firstLine="35"/>
              <w:rPr>
                <w:sz w:val="17"/>
              </w:rPr>
            </w:pPr>
            <w:r>
              <w:rPr>
                <w:color w:val="231F20"/>
                <w:w w:val="75"/>
                <w:sz w:val="17"/>
              </w:rPr>
              <w:t xml:space="preserve">Strengthen TB case detection, diagnostic capacity and </w:t>
            </w:r>
            <w:r>
              <w:rPr>
                <w:color w:val="231F20"/>
                <w:w w:val="85"/>
                <w:sz w:val="17"/>
              </w:rPr>
              <w:t xml:space="preserve">access to quality </w:t>
            </w:r>
            <w:r w:rsidR="00FB089D">
              <w:rPr>
                <w:color w:val="231F20"/>
                <w:w w:val="85"/>
                <w:sz w:val="17"/>
              </w:rPr>
              <w:t>treatment</w:t>
            </w:r>
            <w:r>
              <w:rPr>
                <w:color w:val="231F20"/>
                <w:w w:val="85"/>
                <w:sz w:val="17"/>
              </w:rPr>
              <w:t xml:space="preserve"> </w:t>
            </w:r>
            <w:proofErr w:type="gramStart"/>
            <w:r>
              <w:rPr>
                <w:color w:val="231F20"/>
                <w:w w:val="85"/>
                <w:sz w:val="17"/>
              </w:rPr>
              <w:t>services .</w:t>
            </w:r>
            <w:proofErr w:type="gramEnd"/>
          </w:p>
        </w:tc>
        <w:tc>
          <w:tcPr>
            <w:tcW w:w="2541" w:type="dxa"/>
            <w:tcBorders>
              <w:left w:val="single" w:sz="6" w:space="0" w:color="231F20"/>
              <w:right w:val="single" w:sz="6" w:space="0" w:color="231F20"/>
            </w:tcBorders>
            <w:shd w:val="clear" w:color="auto" w:fill="CCE7D3"/>
          </w:tcPr>
          <w:p w14:paraId="0285B9A8" w14:textId="77777777" w:rsidR="009948F1" w:rsidRDefault="00BC0563">
            <w:pPr>
              <w:pStyle w:val="TableParagraph"/>
              <w:numPr>
                <w:ilvl w:val="0"/>
                <w:numId w:val="161"/>
              </w:numPr>
              <w:tabs>
                <w:tab w:val="left" w:pos="105"/>
              </w:tabs>
              <w:spacing w:line="266" w:lineRule="auto"/>
              <w:ind w:right="176" w:firstLine="0"/>
              <w:rPr>
                <w:sz w:val="17"/>
              </w:rPr>
            </w:pPr>
            <w:r>
              <w:rPr>
                <w:color w:val="231F20"/>
                <w:w w:val="75"/>
                <w:sz w:val="17"/>
              </w:rPr>
              <w:t>Diagnostic capacity scaled up in at</w:t>
            </w:r>
            <w:r>
              <w:rPr>
                <w:color w:val="231F20"/>
                <w:spacing w:val="-25"/>
                <w:w w:val="75"/>
                <w:sz w:val="17"/>
              </w:rPr>
              <w:t xml:space="preserve"> </w:t>
            </w:r>
            <w:r>
              <w:rPr>
                <w:color w:val="231F20"/>
                <w:w w:val="75"/>
                <w:sz w:val="17"/>
              </w:rPr>
              <w:t xml:space="preserve">least </w:t>
            </w:r>
            <w:r>
              <w:rPr>
                <w:color w:val="231F20"/>
                <w:w w:val="85"/>
                <w:sz w:val="17"/>
              </w:rPr>
              <w:t>50</w:t>
            </w:r>
            <w:r>
              <w:rPr>
                <w:color w:val="231F20"/>
                <w:spacing w:val="-7"/>
                <w:w w:val="85"/>
                <w:sz w:val="17"/>
              </w:rPr>
              <w:t xml:space="preserve"> </w:t>
            </w:r>
            <w:r>
              <w:rPr>
                <w:color w:val="231F20"/>
                <w:w w:val="85"/>
                <w:sz w:val="17"/>
              </w:rPr>
              <w:t>HFs</w:t>
            </w:r>
          </w:p>
          <w:p w14:paraId="5F30041F" w14:textId="77777777" w:rsidR="009948F1" w:rsidRDefault="00BC0563">
            <w:pPr>
              <w:pStyle w:val="TableParagraph"/>
              <w:numPr>
                <w:ilvl w:val="0"/>
                <w:numId w:val="161"/>
              </w:numPr>
              <w:tabs>
                <w:tab w:val="left" w:pos="71"/>
              </w:tabs>
              <w:spacing w:line="266" w:lineRule="auto"/>
              <w:ind w:right="148" w:firstLine="0"/>
              <w:rPr>
                <w:sz w:val="17"/>
              </w:rPr>
            </w:pPr>
            <w:r>
              <w:rPr>
                <w:color w:val="231F20"/>
                <w:w w:val="75"/>
                <w:sz w:val="17"/>
              </w:rPr>
              <w:t>TB case finding through presumptive</w:t>
            </w:r>
            <w:r>
              <w:rPr>
                <w:color w:val="231F20"/>
                <w:spacing w:val="-26"/>
                <w:w w:val="75"/>
                <w:sz w:val="17"/>
              </w:rPr>
              <w:t xml:space="preserve"> </w:t>
            </w:r>
            <w:r>
              <w:rPr>
                <w:color w:val="231F20"/>
                <w:w w:val="75"/>
                <w:sz w:val="17"/>
              </w:rPr>
              <w:t xml:space="preserve">and </w:t>
            </w:r>
            <w:r>
              <w:rPr>
                <w:color w:val="231F20"/>
                <w:w w:val="85"/>
                <w:sz w:val="17"/>
              </w:rPr>
              <w:t>referral</w:t>
            </w:r>
            <w:r>
              <w:rPr>
                <w:color w:val="231F20"/>
                <w:spacing w:val="-23"/>
                <w:w w:val="85"/>
                <w:sz w:val="17"/>
              </w:rPr>
              <w:t xml:space="preserve"> </w:t>
            </w:r>
            <w:r>
              <w:rPr>
                <w:color w:val="231F20"/>
                <w:w w:val="85"/>
                <w:sz w:val="17"/>
              </w:rPr>
              <w:t>intensified</w:t>
            </w:r>
            <w:r>
              <w:rPr>
                <w:color w:val="231F20"/>
                <w:spacing w:val="-22"/>
                <w:w w:val="85"/>
                <w:sz w:val="17"/>
              </w:rPr>
              <w:t xml:space="preserve"> </w:t>
            </w:r>
            <w:r>
              <w:rPr>
                <w:color w:val="231F20"/>
                <w:w w:val="85"/>
                <w:sz w:val="17"/>
              </w:rPr>
              <w:t>in</w:t>
            </w:r>
            <w:r>
              <w:rPr>
                <w:color w:val="231F20"/>
                <w:spacing w:val="-23"/>
                <w:w w:val="85"/>
                <w:sz w:val="17"/>
              </w:rPr>
              <w:t xml:space="preserve"> </w:t>
            </w:r>
            <w:r>
              <w:rPr>
                <w:color w:val="231F20"/>
                <w:w w:val="85"/>
                <w:sz w:val="17"/>
              </w:rPr>
              <w:t>at</w:t>
            </w:r>
            <w:r>
              <w:rPr>
                <w:color w:val="231F20"/>
                <w:spacing w:val="-22"/>
                <w:w w:val="85"/>
                <w:sz w:val="17"/>
              </w:rPr>
              <w:t xml:space="preserve"> </w:t>
            </w:r>
            <w:r>
              <w:rPr>
                <w:color w:val="231F20"/>
                <w:w w:val="85"/>
                <w:sz w:val="17"/>
              </w:rPr>
              <w:t>least</w:t>
            </w:r>
            <w:r>
              <w:rPr>
                <w:color w:val="231F20"/>
                <w:spacing w:val="-23"/>
                <w:w w:val="85"/>
                <w:sz w:val="17"/>
              </w:rPr>
              <w:t xml:space="preserve"> </w:t>
            </w:r>
            <w:r>
              <w:rPr>
                <w:color w:val="231F20"/>
                <w:w w:val="85"/>
                <w:sz w:val="17"/>
              </w:rPr>
              <w:t>50</w:t>
            </w:r>
            <w:r>
              <w:rPr>
                <w:color w:val="231F20"/>
                <w:spacing w:val="-22"/>
                <w:w w:val="85"/>
                <w:sz w:val="17"/>
              </w:rPr>
              <w:t xml:space="preserve"> </w:t>
            </w:r>
            <w:r>
              <w:rPr>
                <w:color w:val="231F20"/>
                <w:w w:val="85"/>
                <w:sz w:val="17"/>
              </w:rPr>
              <w:t>HFs</w:t>
            </w:r>
          </w:p>
          <w:p w14:paraId="501B0BE7" w14:textId="77777777" w:rsidR="009948F1" w:rsidRDefault="00BC0563">
            <w:pPr>
              <w:pStyle w:val="TableParagraph"/>
              <w:spacing w:line="139" w:lineRule="exact"/>
              <w:ind w:left="25"/>
              <w:rPr>
                <w:sz w:val="17"/>
              </w:rPr>
            </w:pPr>
            <w:r>
              <w:rPr>
                <w:color w:val="231F20"/>
                <w:w w:val="74"/>
                <w:sz w:val="17"/>
              </w:rPr>
              <w:t>•</w:t>
            </w:r>
          </w:p>
        </w:tc>
        <w:tc>
          <w:tcPr>
            <w:tcW w:w="1522" w:type="dxa"/>
            <w:tcBorders>
              <w:left w:val="single" w:sz="6" w:space="0" w:color="231F20"/>
              <w:right w:val="single" w:sz="12" w:space="0" w:color="231F20"/>
            </w:tcBorders>
            <w:shd w:val="clear" w:color="auto" w:fill="CCE7D3"/>
          </w:tcPr>
          <w:p w14:paraId="38A48A50" w14:textId="77777777" w:rsidR="009948F1" w:rsidRDefault="009948F1">
            <w:pPr>
              <w:pStyle w:val="TableParagraph"/>
              <w:rPr>
                <w:rFonts w:ascii="Times New Roman"/>
                <w:sz w:val="12"/>
              </w:rPr>
            </w:pPr>
          </w:p>
        </w:tc>
        <w:tc>
          <w:tcPr>
            <w:tcW w:w="1603" w:type="dxa"/>
            <w:tcBorders>
              <w:left w:val="single" w:sz="12" w:space="0" w:color="231F20"/>
            </w:tcBorders>
            <w:shd w:val="clear" w:color="auto" w:fill="CCE7D3"/>
          </w:tcPr>
          <w:p w14:paraId="1B5B0066" w14:textId="77777777" w:rsidR="009948F1" w:rsidRDefault="009948F1">
            <w:pPr>
              <w:pStyle w:val="TableParagraph"/>
              <w:rPr>
                <w:rFonts w:ascii="Times New Roman"/>
                <w:sz w:val="12"/>
              </w:rPr>
            </w:pPr>
          </w:p>
        </w:tc>
      </w:tr>
      <w:tr w:rsidR="009948F1" w14:paraId="5D5BE515" w14:textId="77777777">
        <w:trPr>
          <w:trHeight w:val="703"/>
        </w:trPr>
        <w:tc>
          <w:tcPr>
            <w:tcW w:w="489" w:type="dxa"/>
            <w:vMerge w:val="restart"/>
            <w:tcBorders>
              <w:right w:val="single" w:sz="6" w:space="0" w:color="231F20"/>
            </w:tcBorders>
          </w:tcPr>
          <w:p w14:paraId="44DEE250" w14:textId="77777777" w:rsidR="009948F1" w:rsidRDefault="009948F1">
            <w:pPr>
              <w:pStyle w:val="TableParagraph"/>
              <w:rPr>
                <w:rFonts w:ascii="Times New Roman"/>
                <w:sz w:val="12"/>
              </w:rPr>
            </w:pPr>
          </w:p>
        </w:tc>
        <w:tc>
          <w:tcPr>
            <w:tcW w:w="561" w:type="dxa"/>
            <w:tcBorders>
              <w:left w:val="single" w:sz="6" w:space="0" w:color="231F20"/>
              <w:right w:val="single" w:sz="6" w:space="0" w:color="231F20"/>
            </w:tcBorders>
          </w:tcPr>
          <w:p w14:paraId="359CE464" w14:textId="77777777" w:rsidR="009948F1" w:rsidRDefault="009948F1">
            <w:pPr>
              <w:pStyle w:val="TableParagraph"/>
              <w:spacing w:before="10"/>
              <w:rPr>
                <w:sz w:val="21"/>
              </w:rPr>
            </w:pPr>
          </w:p>
          <w:p w14:paraId="5EF29530" w14:textId="77777777" w:rsidR="009948F1" w:rsidRDefault="00BC0563">
            <w:pPr>
              <w:pStyle w:val="TableParagraph"/>
              <w:ind w:left="54" w:right="35"/>
              <w:jc w:val="center"/>
              <w:rPr>
                <w:sz w:val="17"/>
              </w:rPr>
            </w:pPr>
            <w:r>
              <w:rPr>
                <w:color w:val="231F20"/>
                <w:w w:val="80"/>
                <w:sz w:val="17"/>
              </w:rPr>
              <w:t>5.2.1.a</w:t>
            </w:r>
          </w:p>
        </w:tc>
        <w:tc>
          <w:tcPr>
            <w:tcW w:w="5217" w:type="dxa"/>
            <w:gridSpan w:val="2"/>
            <w:tcBorders>
              <w:left w:val="single" w:sz="6" w:space="0" w:color="231F20"/>
              <w:right w:val="single" w:sz="6" w:space="0" w:color="231F20"/>
            </w:tcBorders>
          </w:tcPr>
          <w:p w14:paraId="1B522982" w14:textId="77777777" w:rsidR="009948F1" w:rsidRDefault="00BC0563">
            <w:pPr>
              <w:pStyle w:val="TableParagraph"/>
              <w:spacing w:before="136" w:line="266" w:lineRule="auto"/>
              <w:ind w:left="25" w:right="160"/>
              <w:rPr>
                <w:sz w:val="17"/>
              </w:rPr>
            </w:pPr>
            <w:r>
              <w:rPr>
                <w:color w:val="231F20"/>
                <w:w w:val="75"/>
                <w:sz w:val="17"/>
              </w:rPr>
              <w:t xml:space="preserve">Strengthen and scale up diagnostic capacity strategically, focusing on high-burden areas </w:t>
            </w:r>
            <w:r>
              <w:rPr>
                <w:color w:val="231F20"/>
                <w:w w:val="80"/>
                <w:sz w:val="17"/>
              </w:rPr>
              <w:t>and areas of poor coverage and maintain quality throughout the laboratory network</w:t>
            </w:r>
          </w:p>
        </w:tc>
        <w:tc>
          <w:tcPr>
            <w:tcW w:w="1522" w:type="dxa"/>
            <w:tcBorders>
              <w:left w:val="single" w:sz="6" w:space="0" w:color="231F20"/>
              <w:right w:val="single" w:sz="6" w:space="0" w:color="231F20"/>
            </w:tcBorders>
          </w:tcPr>
          <w:p w14:paraId="3A0F1640" w14:textId="77777777" w:rsidR="009948F1" w:rsidRDefault="009948F1">
            <w:pPr>
              <w:pStyle w:val="TableParagraph"/>
              <w:spacing w:before="10"/>
              <w:rPr>
                <w:sz w:val="21"/>
              </w:rPr>
            </w:pPr>
          </w:p>
          <w:p w14:paraId="6FD56DAA" w14:textId="77777777" w:rsidR="009948F1" w:rsidRDefault="00BC0563">
            <w:pPr>
              <w:pStyle w:val="TableParagraph"/>
              <w:ind w:left="24"/>
              <w:rPr>
                <w:sz w:val="17"/>
              </w:rPr>
            </w:pPr>
            <w:r>
              <w:rPr>
                <w:color w:val="231F20"/>
                <w:w w:val="85"/>
                <w:sz w:val="17"/>
              </w:rPr>
              <w:t>Lack of funds</w:t>
            </w:r>
          </w:p>
        </w:tc>
        <w:tc>
          <w:tcPr>
            <w:tcW w:w="1603" w:type="dxa"/>
            <w:tcBorders>
              <w:left w:val="single" w:sz="6" w:space="0" w:color="231F20"/>
            </w:tcBorders>
          </w:tcPr>
          <w:p w14:paraId="69DCF97B" w14:textId="77777777" w:rsidR="009948F1" w:rsidRDefault="00BC0563">
            <w:pPr>
              <w:pStyle w:val="TableParagraph"/>
              <w:spacing w:before="143" w:line="266" w:lineRule="auto"/>
              <w:ind w:left="22" w:right="74"/>
              <w:rPr>
                <w:sz w:val="17"/>
              </w:rPr>
            </w:pPr>
            <w:r>
              <w:rPr>
                <w:color w:val="231F20"/>
                <w:w w:val="75"/>
                <w:sz w:val="17"/>
              </w:rPr>
              <w:t xml:space="preserve">Strengthen and scale up </w:t>
            </w:r>
            <w:r>
              <w:rPr>
                <w:color w:val="231F20"/>
                <w:w w:val="85"/>
                <w:sz w:val="17"/>
              </w:rPr>
              <w:t>diagnostic capacity</w:t>
            </w:r>
          </w:p>
        </w:tc>
      </w:tr>
      <w:tr w:rsidR="009948F1" w14:paraId="57A78A45" w14:textId="77777777">
        <w:trPr>
          <w:trHeight w:val="735"/>
        </w:trPr>
        <w:tc>
          <w:tcPr>
            <w:tcW w:w="489" w:type="dxa"/>
            <w:vMerge/>
            <w:tcBorders>
              <w:top w:val="nil"/>
              <w:right w:val="single" w:sz="6" w:space="0" w:color="231F20"/>
            </w:tcBorders>
          </w:tcPr>
          <w:p w14:paraId="29704B12" w14:textId="77777777" w:rsidR="009948F1" w:rsidRDefault="009948F1">
            <w:pPr>
              <w:rPr>
                <w:sz w:val="2"/>
                <w:szCs w:val="2"/>
              </w:rPr>
            </w:pPr>
          </w:p>
        </w:tc>
        <w:tc>
          <w:tcPr>
            <w:tcW w:w="561" w:type="dxa"/>
            <w:tcBorders>
              <w:left w:val="single" w:sz="6" w:space="0" w:color="231F20"/>
              <w:right w:val="single" w:sz="6" w:space="0" w:color="231F20"/>
            </w:tcBorders>
          </w:tcPr>
          <w:p w14:paraId="53FCAF5B" w14:textId="77777777" w:rsidR="009948F1" w:rsidRDefault="009948F1">
            <w:pPr>
              <w:pStyle w:val="TableParagraph"/>
              <w:spacing w:before="3"/>
              <w:rPr>
                <w:sz w:val="23"/>
              </w:rPr>
            </w:pPr>
          </w:p>
          <w:p w14:paraId="1FE00A48" w14:textId="77777777" w:rsidR="009948F1" w:rsidRDefault="00BC0563">
            <w:pPr>
              <w:pStyle w:val="TableParagraph"/>
              <w:ind w:left="54" w:right="35"/>
              <w:jc w:val="center"/>
              <w:rPr>
                <w:sz w:val="17"/>
              </w:rPr>
            </w:pPr>
            <w:r>
              <w:rPr>
                <w:color w:val="231F20"/>
                <w:w w:val="80"/>
                <w:sz w:val="17"/>
              </w:rPr>
              <w:t>5.2.1.b</w:t>
            </w:r>
          </w:p>
        </w:tc>
        <w:tc>
          <w:tcPr>
            <w:tcW w:w="5217" w:type="dxa"/>
            <w:gridSpan w:val="2"/>
            <w:tcBorders>
              <w:left w:val="single" w:sz="6" w:space="0" w:color="231F20"/>
              <w:right w:val="single" w:sz="6" w:space="0" w:color="231F20"/>
            </w:tcBorders>
          </w:tcPr>
          <w:p w14:paraId="70F725EC" w14:textId="77777777" w:rsidR="009948F1" w:rsidRDefault="00BC0563">
            <w:pPr>
              <w:pStyle w:val="TableParagraph"/>
              <w:spacing w:before="151" w:line="266" w:lineRule="auto"/>
              <w:ind w:left="25" w:right="32"/>
              <w:rPr>
                <w:sz w:val="17"/>
              </w:rPr>
            </w:pPr>
            <w:r>
              <w:rPr>
                <w:color w:val="231F20"/>
                <w:w w:val="75"/>
                <w:sz w:val="17"/>
              </w:rPr>
              <w:t xml:space="preserve">Engage all health facilities in intensified case finding through presumptive and referral to </w:t>
            </w:r>
            <w:r>
              <w:rPr>
                <w:color w:val="231F20"/>
                <w:w w:val="85"/>
                <w:sz w:val="17"/>
              </w:rPr>
              <w:t>ensure universal access to TB services</w:t>
            </w:r>
          </w:p>
        </w:tc>
        <w:tc>
          <w:tcPr>
            <w:tcW w:w="1522" w:type="dxa"/>
            <w:tcBorders>
              <w:left w:val="single" w:sz="6" w:space="0" w:color="231F20"/>
              <w:right w:val="single" w:sz="6" w:space="0" w:color="231F20"/>
            </w:tcBorders>
          </w:tcPr>
          <w:p w14:paraId="5476D0A9" w14:textId="77777777" w:rsidR="009948F1" w:rsidRDefault="009948F1">
            <w:pPr>
              <w:pStyle w:val="TableParagraph"/>
              <w:spacing w:before="3"/>
              <w:rPr>
                <w:sz w:val="23"/>
              </w:rPr>
            </w:pPr>
          </w:p>
          <w:p w14:paraId="6D2FBC08" w14:textId="77777777" w:rsidR="009948F1" w:rsidRDefault="00BC0563">
            <w:pPr>
              <w:pStyle w:val="TableParagraph"/>
              <w:ind w:left="24"/>
              <w:rPr>
                <w:sz w:val="17"/>
              </w:rPr>
            </w:pPr>
            <w:r>
              <w:rPr>
                <w:color w:val="231F20"/>
                <w:w w:val="85"/>
                <w:sz w:val="17"/>
              </w:rPr>
              <w:t>Lack of funds</w:t>
            </w:r>
          </w:p>
        </w:tc>
        <w:tc>
          <w:tcPr>
            <w:tcW w:w="1603" w:type="dxa"/>
            <w:tcBorders>
              <w:left w:val="single" w:sz="6" w:space="0" w:color="231F20"/>
            </w:tcBorders>
          </w:tcPr>
          <w:p w14:paraId="5B4D7A89" w14:textId="77777777" w:rsidR="009948F1" w:rsidRDefault="009948F1">
            <w:pPr>
              <w:pStyle w:val="TableParagraph"/>
              <w:spacing w:before="3"/>
              <w:rPr>
                <w:sz w:val="23"/>
              </w:rPr>
            </w:pPr>
          </w:p>
          <w:p w14:paraId="4662CEE2" w14:textId="77777777" w:rsidR="009948F1" w:rsidRDefault="00BC0563">
            <w:pPr>
              <w:pStyle w:val="TableParagraph"/>
              <w:ind w:left="22"/>
              <w:rPr>
                <w:sz w:val="17"/>
              </w:rPr>
            </w:pPr>
            <w:r>
              <w:rPr>
                <w:color w:val="231F20"/>
                <w:w w:val="80"/>
                <w:sz w:val="17"/>
              </w:rPr>
              <w:t>Engage</w:t>
            </w:r>
            <w:r>
              <w:rPr>
                <w:color w:val="231F20"/>
                <w:spacing w:val="-21"/>
                <w:w w:val="80"/>
                <w:sz w:val="17"/>
              </w:rPr>
              <w:t xml:space="preserve"> </w:t>
            </w:r>
            <w:r>
              <w:rPr>
                <w:color w:val="231F20"/>
                <w:w w:val="80"/>
                <w:sz w:val="17"/>
              </w:rPr>
              <w:t>all</w:t>
            </w:r>
            <w:r>
              <w:rPr>
                <w:color w:val="231F20"/>
                <w:spacing w:val="-21"/>
                <w:w w:val="80"/>
                <w:sz w:val="17"/>
              </w:rPr>
              <w:t xml:space="preserve"> </w:t>
            </w:r>
            <w:r>
              <w:rPr>
                <w:color w:val="231F20"/>
                <w:w w:val="80"/>
                <w:sz w:val="17"/>
              </w:rPr>
              <w:t>health</w:t>
            </w:r>
            <w:r>
              <w:rPr>
                <w:color w:val="231F20"/>
                <w:spacing w:val="-21"/>
                <w:w w:val="80"/>
                <w:sz w:val="17"/>
              </w:rPr>
              <w:t xml:space="preserve"> </w:t>
            </w:r>
            <w:r>
              <w:rPr>
                <w:color w:val="231F20"/>
                <w:w w:val="80"/>
                <w:sz w:val="17"/>
              </w:rPr>
              <w:t>facilities</w:t>
            </w:r>
          </w:p>
        </w:tc>
      </w:tr>
      <w:tr w:rsidR="009948F1" w14:paraId="4C882413" w14:textId="77777777">
        <w:trPr>
          <w:trHeight w:val="1513"/>
        </w:trPr>
        <w:tc>
          <w:tcPr>
            <w:tcW w:w="489" w:type="dxa"/>
            <w:tcBorders>
              <w:left w:val="single" w:sz="12" w:space="0" w:color="231F20"/>
              <w:right w:val="single" w:sz="6" w:space="0" w:color="231F20"/>
            </w:tcBorders>
            <w:shd w:val="clear" w:color="auto" w:fill="CCE7D3"/>
          </w:tcPr>
          <w:p w14:paraId="51704E8F" w14:textId="77777777" w:rsidR="009948F1" w:rsidRDefault="009948F1">
            <w:pPr>
              <w:pStyle w:val="TableParagraph"/>
              <w:rPr>
                <w:sz w:val="18"/>
              </w:rPr>
            </w:pPr>
          </w:p>
          <w:p w14:paraId="5C82A774" w14:textId="77777777" w:rsidR="009948F1" w:rsidRDefault="009948F1">
            <w:pPr>
              <w:pStyle w:val="TableParagraph"/>
              <w:rPr>
                <w:sz w:val="18"/>
              </w:rPr>
            </w:pPr>
          </w:p>
          <w:p w14:paraId="1B5EEF60" w14:textId="77777777" w:rsidR="009948F1" w:rsidRDefault="009948F1">
            <w:pPr>
              <w:pStyle w:val="TableParagraph"/>
              <w:spacing w:before="1"/>
              <w:rPr>
                <w:sz w:val="21"/>
              </w:rPr>
            </w:pPr>
          </w:p>
          <w:p w14:paraId="2411EE5F" w14:textId="77777777" w:rsidR="009948F1" w:rsidRDefault="00BC0563">
            <w:pPr>
              <w:pStyle w:val="TableParagraph"/>
              <w:ind w:left="58"/>
              <w:rPr>
                <w:sz w:val="17"/>
              </w:rPr>
            </w:pPr>
            <w:r>
              <w:rPr>
                <w:color w:val="231F20"/>
                <w:w w:val="85"/>
                <w:sz w:val="17"/>
              </w:rPr>
              <w:t>5.2.2</w:t>
            </w:r>
          </w:p>
        </w:tc>
        <w:tc>
          <w:tcPr>
            <w:tcW w:w="3237" w:type="dxa"/>
            <w:gridSpan w:val="2"/>
            <w:tcBorders>
              <w:left w:val="single" w:sz="6" w:space="0" w:color="231F20"/>
              <w:right w:val="single" w:sz="6" w:space="0" w:color="231F20"/>
            </w:tcBorders>
            <w:shd w:val="clear" w:color="auto" w:fill="CCE7D3"/>
          </w:tcPr>
          <w:p w14:paraId="5EF28AB3" w14:textId="77777777" w:rsidR="009948F1" w:rsidRDefault="009948F1">
            <w:pPr>
              <w:pStyle w:val="TableParagraph"/>
              <w:rPr>
                <w:sz w:val="18"/>
              </w:rPr>
            </w:pPr>
          </w:p>
          <w:p w14:paraId="19BFED37" w14:textId="77777777" w:rsidR="009948F1" w:rsidRDefault="009948F1">
            <w:pPr>
              <w:pStyle w:val="TableParagraph"/>
              <w:rPr>
                <w:sz w:val="18"/>
              </w:rPr>
            </w:pPr>
          </w:p>
          <w:p w14:paraId="72FC17F1" w14:textId="77777777" w:rsidR="009948F1" w:rsidRDefault="009948F1">
            <w:pPr>
              <w:pStyle w:val="TableParagraph"/>
              <w:spacing w:before="6"/>
              <w:rPr>
                <w:sz w:val="20"/>
              </w:rPr>
            </w:pPr>
          </w:p>
          <w:p w14:paraId="4C2F64E6" w14:textId="77777777" w:rsidR="009948F1" w:rsidRDefault="00BC0563">
            <w:pPr>
              <w:pStyle w:val="TableParagraph"/>
              <w:ind w:left="61"/>
              <w:rPr>
                <w:sz w:val="17"/>
              </w:rPr>
            </w:pPr>
            <w:r>
              <w:rPr>
                <w:color w:val="231F20"/>
                <w:w w:val="85"/>
                <w:sz w:val="17"/>
              </w:rPr>
              <w:t>Promote demand for TB services</w:t>
            </w:r>
          </w:p>
        </w:tc>
        <w:tc>
          <w:tcPr>
            <w:tcW w:w="2541" w:type="dxa"/>
            <w:tcBorders>
              <w:left w:val="single" w:sz="6" w:space="0" w:color="231F20"/>
              <w:right w:val="single" w:sz="6" w:space="0" w:color="231F20"/>
            </w:tcBorders>
            <w:shd w:val="clear" w:color="auto" w:fill="CCE7D3"/>
          </w:tcPr>
          <w:p w14:paraId="513E9835" w14:textId="77777777" w:rsidR="009948F1" w:rsidRDefault="00BC0563">
            <w:pPr>
              <w:pStyle w:val="TableParagraph"/>
              <w:numPr>
                <w:ilvl w:val="0"/>
                <w:numId w:val="160"/>
              </w:numPr>
              <w:tabs>
                <w:tab w:val="left" w:pos="105"/>
              </w:tabs>
              <w:spacing w:before="7" w:line="266" w:lineRule="auto"/>
              <w:ind w:right="422" w:firstLine="0"/>
              <w:rPr>
                <w:sz w:val="17"/>
              </w:rPr>
            </w:pPr>
            <w:r>
              <w:rPr>
                <w:color w:val="231F20"/>
                <w:w w:val="75"/>
                <w:sz w:val="17"/>
              </w:rPr>
              <w:t>Mass media edutainment on how</w:t>
            </w:r>
            <w:r>
              <w:rPr>
                <w:color w:val="231F20"/>
                <w:spacing w:val="-22"/>
                <w:w w:val="75"/>
                <w:sz w:val="17"/>
              </w:rPr>
              <w:t xml:space="preserve"> </w:t>
            </w:r>
            <w:r>
              <w:rPr>
                <w:color w:val="231F20"/>
                <w:w w:val="75"/>
                <w:sz w:val="17"/>
              </w:rPr>
              <w:t xml:space="preserve">to </w:t>
            </w:r>
            <w:r>
              <w:rPr>
                <w:color w:val="231F20"/>
                <w:w w:val="85"/>
                <w:sz w:val="17"/>
              </w:rPr>
              <w:t>access</w:t>
            </w:r>
            <w:r>
              <w:rPr>
                <w:color w:val="231F20"/>
                <w:spacing w:val="-24"/>
                <w:w w:val="85"/>
                <w:sz w:val="17"/>
              </w:rPr>
              <w:t xml:space="preserve"> </w:t>
            </w:r>
            <w:r>
              <w:rPr>
                <w:color w:val="231F20"/>
                <w:w w:val="85"/>
                <w:sz w:val="17"/>
              </w:rPr>
              <w:t>TB</w:t>
            </w:r>
            <w:r>
              <w:rPr>
                <w:color w:val="231F20"/>
                <w:spacing w:val="-22"/>
                <w:w w:val="85"/>
                <w:sz w:val="17"/>
              </w:rPr>
              <w:t xml:space="preserve"> </w:t>
            </w:r>
            <w:r>
              <w:rPr>
                <w:color w:val="231F20"/>
                <w:w w:val="85"/>
                <w:sz w:val="17"/>
              </w:rPr>
              <w:t>services</w:t>
            </w:r>
            <w:r>
              <w:rPr>
                <w:color w:val="231F20"/>
                <w:spacing w:val="-23"/>
                <w:w w:val="85"/>
                <w:sz w:val="17"/>
              </w:rPr>
              <w:t xml:space="preserve"> </w:t>
            </w:r>
            <w:r>
              <w:rPr>
                <w:color w:val="231F20"/>
                <w:w w:val="85"/>
                <w:sz w:val="17"/>
              </w:rPr>
              <w:t>conducted</w:t>
            </w:r>
          </w:p>
          <w:p w14:paraId="6961FC1F" w14:textId="77777777" w:rsidR="009948F1" w:rsidRDefault="00BC0563">
            <w:pPr>
              <w:pStyle w:val="TableParagraph"/>
              <w:numPr>
                <w:ilvl w:val="0"/>
                <w:numId w:val="160"/>
              </w:numPr>
              <w:tabs>
                <w:tab w:val="left" w:pos="98"/>
              </w:tabs>
              <w:spacing w:line="266" w:lineRule="auto"/>
              <w:ind w:right="136" w:firstLine="0"/>
              <w:rPr>
                <w:sz w:val="17"/>
              </w:rPr>
            </w:pPr>
            <w:r>
              <w:rPr>
                <w:color w:val="231F20"/>
                <w:w w:val="85"/>
                <w:sz w:val="17"/>
              </w:rPr>
              <w:t xml:space="preserve">Advocacy visits to Government &amp; </w:t>
            </w:r>
            <w:r>
              <w:rPr>
                <w:color w:val="231F20"/>
                <w:w w:val="75"/>
                <w:sz w:val="17"/>
              </w:rPr>
              <w:t>Development</w:t>
            </w:r>
            <w:r>
              <w:rPr>
                <w:color w:val="231F20"/>
                <w:spacing w:val="-11"/>
                <w:w w:val="75"/>
                <w:sz w:val="17"/>
              </w:rPr>
              <w:t xml:space="preserve"> </w:t>
            </w:r>
            <w:r>
              <w:rPr>
                <w:color w:val="231F20"/>
                <w:w w:val="75"/>
                <w:sz w:val="17"/>
              </w:rPr>
              <w:t>Partners</w:t>
            </w:r>
            <w:r>
              <w:rPr>
                <w:color w:val="231F20"/>
                <w:spacing w:val="-10"/>
                <w:w w:val="75"/>
                <w:sz w:val="17"/>
              </w:rPr>
              <w:t xml:space="preserve"> </w:t>
            </w:r>
            <w:r>
              <w:rPr>
                <w:color w:val="231F20"/>
                <w:w w:val="75"/>
                <w:sz w:val="17"/>
              </w:rPr>
              <w:t>to</w:t>
            </w:r>
            <w:r>
              <w:rPr>
                <w:color w:val="231F20"/>
                <w:spacing w:val="-10"/>
                <w:w w:val="75"/>
                <w:sz w:val="17"/>
              </w:rPr>
              <w:t xml:space="preserve"> </w:t>
            </w:r>
            <w:r>
              <w:rPr>
                <w:color w:val="231F20"/>
                <w:w w:val="75"/>
                <w:sz w:val="17"/>
              </w:rPr>
              <w:t xml:space="preserve">provide/increase </w:t>
            </w:r>
            <w:r>
              <w:rPr>
                <w:color w:val="231F20"/>
                <w:w w:val="85"/>
                <w:sz w:val="17"/>
              </w:rPr>
              <w:t>funding</w:t>
            </w:r>
            <w:r>
              <w:rPr>
                <w:color w:val="231F20"/>
                <w:spacing w:val="-18"/>
                <w:w w:val="85"/>
                <w:sz w:val="17"/>
              </w:rPr>
              <w:t xml:space="preserve"> </w:t>
            </w:r>
            <w:r>
              <w:rPr>
                <w:color w:val="231F20"/>
                <w:w w:val="85"/>
                <w:sz w:val="17"/>
              </w:rPr>
              <w:t>of</w:t>
            </w:r>
            <w:r>
              <w:rPr>
                <w:color w:val="231F20"/>
                <w:spacing w:val="-18"/>
                <w:w w:val="85"/>
                <w:sz w:val="17"/>
              </w:rPr>
              <w:t xml:space="preserve"> </w:t>
            </w:r>
            <w:r>
              <w:rPr>
                <w:color w:val="231F20"/>
                <w:w w:val="85"/>
                <w:sz w:val="17"/>
              </w:rPr>
              <w:t>the</w:t>
            </w:r>
            <w:r>
              <w:rPr>
                <w:color w:val="231F20"/>
                <w:spacing w:val="-19"/>
                <w:w w:val="85"/>
                <w:sz w:val="17"/>
              </w:rPr>
              <w:t xml:space="preserve"> </w:t>
            </w:r>
            <w:r>
              <w:rPr>
                <w:color w:val="231F20"/>
                <w:w w:val="85"/>
                <w:sz w:val="17"/>
              </w:rPr>
              <w:t>TB</w:t>
            </w:r>
            <w:r>
              <w:rPr>
                <w:color w:val="231F20"/>
                <w:spacing w:val="-18"/>
                <w:w w:val="85"/>
                <w:sz w:val="17"/>
              </w:rPr>
              <w:t xml:space="preserve"> </w:t>
            </w:r>
            <w:r>
              <w:rPr>
                <w:color w:val="231F20"/>
                <w:w w:val="85"/>
                <w:sz w:val="17"/>
              </w:rPr>
              <w:t>programs</w:t>
            </w:r>
            <w:r>
              <w:rPr>
                <w:color w:val="231F20"/>
                <w:spacing w:val="-18"/>
                <w:w w:val="85"/>
                <w:sz w:val="17"/>
              </w:rPr>
              <w:t xml:space="preserve"> </w:t>
            </w:r>
            <w:r>
              <w:rPr>
                <w:color w:val="231F20"/>
                <w:w w:val="85"/>
                <w:sz w:val="17"/>
              </w:rPr>
              <w:t>done</w:t>
            </w:r>
          </w:p>
          <w:p w14:paraId="6F122D6A" w14:textId="77777777" w:rsidR="009948F1" w:rsidRDefault="00BC0563">
            <w:pPr>
              <w:pStyle w:val="TableParagraph"/>
              <w:numPr>
                <w:ilvl w:val="0"/>
                <w:numId w:val="160"/>
              </w:numPr>
              <w:tabs>
                <w:tab w:val="left" w:pos="105"/>
              </w:tabs>
              <w:spacing w:line="194" w:lineRule="exact"/>
              <w:ind w:left="104"/>
              <w:rPr>
                <w:sz w:val="17"/>
              </w:rPr>
            </w:pPr>
            <w:r>
              <w:rPr>
                <w:color w:val="231F20"/>
                <w:w w:val="85"/>
                <w:sz w:val="17"/>
              </w:rPr>
              <w:t>World</w:t>
            </w:r>
            <w:r>
              <w:rPr>
                <w:color w:val="231F20"/>
                <w:spacing w:val="-30"/>
                <w:w w:val="85"/>
                <w:sz w:val="17"/>
              </w:rPr>
              <w:t xml:space="preserve"> </w:t>
            </w:r>
            <w:r>
              <w:rPr>
                <w:color w:val="231F20"/>
                <w:w w:val="85"/>
                <w:sz w:val="17"/>
              </w:rPr>
              <w:t>TB</w:t>
            </w:r>
            <w:r>
              <w:rPr>
                <w:color w:val="231F20"/>
                <w:spacing w:val="-28"/>
                <w:w w:val="85"/>
                <w:sz w:val="17"/>
              </w:rPr>
              <w:t xml:space="preserve"> </w:t>
            </w:r>
            <w:r>
              <w:rPr>
                <w:color w:val="231F20"/>
                <w:w w:val="85"/>
                <w:sz w:val="17"/>
              </w:rPr>
              <w:t>day</w:t>
            </w:r>
            <w:r>
              <w:rPr>
                <w:color w:val="231F20"/>
                <w:spacing w:val="-29"/>
                <w:w w:val="85"/>
                <w:sz w:val="17"/>
              </w:rPr>
              <w:t xml:space="preserve"> </w:t>
            </w:r>
            <w:r>
              <w:rPr>
                <w:color w:val="231F20"/>
                <w:w w:val="85"/>
                <w:sz w:val="17"/>
              </w:rPr>
              <w:t>observed</w:t>
            </w:r>
            <w:r>
              <w:rPr>
                <w:color w:val="231F20"/>
                <w:spacing w:val="-28"/>
                <w:w w:val="85"/>
                <w:sz w:val="17"/>
              </w:rPr>
              <w:t xml:space="preserve"> </w:t>
            </w:r>
            <w:r>
              <w:rPr>
                <w:color w:val="231F20"/>
                <w:w w:val="85"/>
                <w:sz w:val="17"/>
              </w:rPr>
              <w:t>in</w:t>
            </w:r>
            <w:r>
              <w:rPr>
                <w:color w:val="231F20"/>
                <w:spacing w:val="-29"/>
                <w:w w:val="85"/>
                <w:sz w:val="17"/>
              </w:rPr>
              <w:t xml:space="preserve"> </w:t>
            </w:r>
            <w:r>
              <w:rPr>
                <w:color w:val="231F20"/>
                <w:w w:val="85"/>
                <w:sz w:val="17"/>
              </w:rPr>
              <w:t>the</w:t>
            </w:r>
            <w:r>
              <w:rPr>
                <w:color w:val="231F20"/>
                <w:spacing w:val="-28"/>
                <w:w w:val="85"/>
                <w:sz w:val="17"/>
              </w:rPr>
              <w:t xml:space="preserve"> </w:t>
            </w:r>
            <w:r>
              <w:rPr>
                <w:color w:val="231F20"/>
                <w:w w:val="85"/>
                <w:sz w:val="17"/>
              </w:rPr>
              <w:t>state</w:t>
            </w:r>
            <w:r>
              <w:rPr>
                <w:color w:val="231F20"/>
                <w:spacing w:val="-29"/>
                <w:w w:val="85"/>
                <w:sz w:val="17"/>
              </w:rPr>
              <w:t xml:space="preserve"> </w:t>
            </w:r>
            <w:r>
              <w:rPr>
                <w:color w:val="231F20"/>
                <w:w w:val="85"/>
                <w:sz w:val="17"/>
              </w:rPr>
              <w:t>&amp;</w:t>
            </w:r>
            <w:r>
              <w:rPr>
                <w:color w:val="231F20"/>
                <w:spacing w:val="-29"/>
                <w:w w:val="85"/>
                <w:sz w:val="17"/>
              </w:rPr>
              <w:t xml:space="preserve"> </w:t>
            </w:r>
            <w:r>
              <w:rPr>
                <w:color w:val="231F20"/>
                <w:w w:val="85"/>
                <w:sz w:val="17"/>
              </w:rPr>
              <w:t>23</w:t>
            </w:r>
          </w:p>
          <w:p w14:paraId="27653AE3" w14:textId="77777777" w:rsidR="009948F1" w:rsidRDefault="00BC0563">
            <w:pPr>
              <w:pStyle w:val="TableParagraph"/>
              <w:spacing w:before="20" w:line="187" w:lineRule="exact"/>
              <w:ind w:left="25"/>
              <w:rPr>
                <w:sz w:val="17"/>
              </w:rPr>
            </w:pPr>
            <w:r>
              <w:rPr>
                <w:color w:val="231F20"/>
                <w:w w:val="85"/>
                <w:sz w:val="17"/>
              </w:rPr>
              <w:t>LGAs</w:t>
            </w:r>
          </w:p>
        </w:tc>
        <w:tc>
          <w:tcPr>
            <w:tcW w:w="1522" w:type="dxa"/>
            <w:tcBorders>
              <w:left w:val="single" w:sz="6" w:space="0" w:color="231F20"/>
              <w:right w:val="single" w:sz="12" w:space="0" w:color="231F20"/>
            </w:tcBorders>
            <w:shd w:val="clear" w:color="auto" w:fill="CCE7D3"/>
          </w:tcPr>
          <w:p w14:paraId="7190E835" w14:textId="77777777" w:rsidR="009948F1" w:rsidRDefault="009948F1">
            <w:pPr>
              <w:pStyle w:val="TableParagraph"/>
              <w:rPr>
                <w:rFonts w:ascii="Times New Roman"/>
                <w:sz w:val="12"/>
              </w:rPr>
            </w:pPr>
          </w:p>
        </w:tc>
        <w:tc>
          <w:tcPr>
            <w:tcW w:w="1603" w:type="dxa"/>
            <w:tcBorders>
              <w:left w:val="single" w:sz="12" w:space="0" w:color="231F20"/>
            </w:tcBorders>
            <w:shd w:val="clear" w:color="auto" w:fill="CCE7D3"/>
          </w:tcPr>
          <w:p w14:paraId="5F293FF9" w14:textId="77777777" w:rsidR="009948F1" w:rsidRDefault="009948F1">
            <w:pPr>
              <w:pStyle w:val="TableParagraph"/>
              <w:rPr>
                <w:rFonts w:ascii="Times New Roman"/>
                <w:sz w:val="12"/>
              </w:rPr>
            </w:pPr>
          </w:p>
        </w:tc>
      </w:tr>
    </w:tbl>
    <w:p w14:paraId="1DDCC6F8" w14:textId="77777777" w:rsidR="009948F1" w:rsidRDefault="009948F1">
      <w:pPr>
        <w:rPr>
          <w:rFonts w:ascii="Times New Roman"/>
          <w:sz w:val="12"/>
        </w:rPr>
        <w:sectPr w:rsidR="009948F1">
          <w:pgSz w:w="11910" w:h="16840"/>
          <w:pgMar w:top="1280" w:right="1080" w:bottom="1340" w:left="1120" w:header="0" w:footer="1155" w:gutter="0"/>
          <w:cols w:space="720"/>
        </w:sectPr>
      </w:pPr>
    </w:p>
    <w:tbl>
      <w:tblPr>
        <w:tblW w:w="0" w:type="auto"/>
        <w:tblInd w:w="16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8"/>
        <w:gridCol w:w="560"/>
        <w:gridCol w:w="2673"/>
        <w:gridCol w:w="2538"/>
        <w:gridCol w:w="1521"/>
        <w:gridCol w:w="1602"/>
      </w:tblGrid>
      <w:tr w:rsidR="009948F1" w14:paraId="4EFF2D33" w14:textId="77777777">
        <w:trPr>
          <w:trHeight w:val="655"/>
        </w:trPr>
        <w:tc>
          <w:tcPr>
            <w:tcW w:w="488" w:type="dxa"/>
            <w:vMerge w:val="restart"/>
            <w:tcBorders>
              <w:right w:val="single" w:sz="6" w:space="0" w:color="231F20"/>
            </w:tcBorders>
          </w:tcPr>
          <w:p w14:paraId="39C9D84F" w14:textId="77777777" w:rsidR="009948F1" w:rsidRDefault="009948F1">
            <w:pPr>
              <w:pStyle w:val="TableParagraph"/>
              <w:rPr>
                <w:rFonts w:ascii="Times New Roman"/>
                <w:sz w:val="12"/>
              </w:rPr>
            </w:pPr>
          </w:p>
        </w:tc>
        <w:tc>
          <w:tcPr>
            <w:tcW w:w="560" w:type="dxa"/>
            <w:tcBorders>
              <w:left w:val="single" w:sz="6" w:space="0" w:color="231F20"/>
              <w:right w:val="single" w:sz="6" w:space="0" w:color="231F20"/>
            </w:tcBorders>
          </w:tcPr>
          <w:p w14:paraId="0F7C1BBB" w14:textId="77777777" w:rsidR="009948F1" w:rsidRDefault="009948F1">
            <w:pPr>
              <w:pStyle w:val="TableParagraph"/>
              <w:spacing w:before="5"/>
              <w:rPr>
                <w:sz w:val="20"/>
              </w:rPr>
            </w:pPr>
          </w:p>
          <w:p w14:paraId="27407DEC" w14:textId="77777777" w:rsidR="009948F1" w:rsidRDefault="00BC0563">
            <w:pPr>
              <w:pStyle w:val="TableParagraph"/>
              <w:ind w:left="34" w:right="14"/>
              <w:jc w:val="center"/>
              <w:rPr>
                <w:sz w:val="16"/>
              </w:rPr>
            </w:pPr>
            <w:bookmarkStart w:id="166" w:name="Page_140"/>
            <w:bookmarkEnd w:id="166"/>
            <w:r>
              <w:rPr>
                <w:color w:val="231F20"/>
                <w:w w:val="85"/>
                <w:sz w:val="16"/>
              </w:rPr>
              <w:t>5.2.2.a</w:t>
            </w:r>
          </w:p>
        </w:tc>
        <w:tc>
          <w:tcPr>
            <w:tcW w:w="5211" w:type="dxa"/>
            <w:gridSpan w:val="2"/>
            <w:tcBorders>
              <w:top w:val="single" w:sz="12" w:space="0" w:color="231F20"/>
              <w:left w:val="single" w:sz="6" w:space="0" w:color="231F20"/>
              <w:right w:val="single" w:sz="6" w:space="0" w:color="231F20"/>
            </w:tcBorders>
          </w:tcPr>
          <w:p w14:paraId="702B87EB" w14:textId="77777777" w:rsidR="009948F1" w:rsidRDefault="00BC0563">
            <w:pPr>
              <w:pStyle w:val="TableParagraph"/>
              <w:spacing w:before="26" w:line="264" w:lineRule="auto"/>
              <w:ind w:left="26" w:right="111"/>
              <w:jc w:val="both"/>
              <w:rPr>
                <w:sz w:val="16"/>
              </w:rPr>
            </w:pPr>
            <w:r>
              <w:rPr>
                <w:color w:val="231F20"/>
                <w:w w:val="80"/>
                <w:sz w:val="16"/>
              </w:rPr>
              <w:t>Conduct</w:t>
            </w:r>
            <w:r>
              <w:rPr>
                <w:color w:val="231F20"/>
                <w:spacing w:val="-6"/>
                <w:w w:val="80"/>
                <w:sz w:val="16"/>
              </w:rPr>
              <w:t xml:space="preserve"> </w:t>
            </w:r>
            <w:r>
              <w:rPr>
                <w:color w:val="231F20"/>
                <w:w w:val="80"/>
                <w:sz w:val="16"/>
              </w:rPr>
              <w:t>mass</w:t>
            </w:r>
            <w:r>
              <w:rPr>
                <w:color w:val="231F20"/>
                <w:spacing w:val="-6"/>
                <w:w w:val="80"/>
                <w:sz w:val="16"/>
              </w:rPr>
              <w:t xml:space="preserve"> </w:t>
            </w:r>
            <w:r>
              <w:rPr>
                <w:color w:val="231F20"/>
                <w:w w:val="80"/>
                <w:sz w:val="16"/>
              </w:rPr>
              <w:t>media</w:t>
            </w:r>
            <w:r>
              <w:rPr>
                <w:color w:val="231F20"/>
                <w:spacing w:val="-6"/>
                <w:w w:val="80"/>
                <w:sz w:val="16"/>
              </w:rPr>
              <w:t xml:space="preserve"> </w:t>
            </w:r>
            <w:r>
              <w:rPr>
                <w:color w:val="231F20"/>
                <w:w w:val="80"/>
                <w:sz w:val="16"/>
              </w:rPr>
              <w:t>edutainment</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create</w:t>
            </w:r>
            <w:r>
              <w:rPr>
                <w:color w:val="231F20"/>
                <w:spacing w:val="-6"/>
                <w:w w:val="80"/>
                <w:sz w:val="16"/>
              </w:rPr>
              <w:t xml:space="preserve"> </w:t>
            </w:r>
            <w:r>
              <w:rPr>
                <w:color w:val="231F20"/>
                <w:w w:val="80"/>
                <w:sz w:val="16"/>
              </w:rPr>
              <w:t>awareness</w:t>
            </w:r>
            <w:r>
              <w:rPr>
                <w:color w:val="231F20"/>
                <w:spacing w:val="-5"/>
                <w:w w:val="80"/>
                <w:sz w:val="16"/>
              </w:rPr>
              <w:t xml:space="preserve"> </w:t>
            </w:r>
            <w:r>
              <w:rPr>
                <w:color w:val="231F20"/>
                <w:w w:val="80"/>
                <w:sz w:val="16"/>
              </w:rPr>
              <w:t>on</w:t>
            </w:r>
            <w:r>
              <w:rPr>
                <w:color w:val="231F20"/>
                <w:spacing w:val="-6"/>
                <w:w w:val="80"/>
                <w:sz w:val="16"/>
              </w:rPr>
              <w:t xml:space="preserve"> </w:t>
            </w:r>
            <w:r>
              <w:rPr>
                <w:color w:val="231F20"/>
                <w:w w:val="80"/>
                <w:sz w:val="16"/>
              </w:rPr>
              <w:t>how</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access</w:t>
            </w:r>
            <w:r>
              <w:rPr>
                <w:color w:val="231F20"/>
                <w:spacing w:val="-7"/>
                <w:w w:val="80"/>
                <w:sz w:val="16"/>
              </w:rPr>
              <w:t xml:space="preserve"> </w:t>
            </w:r>
            <w:r>
              <w:rPr>
                <w:color w:val="231F20"/>
                <w:w w:val="80"/>
                <w:sz w:val="16"/>
              </w:rPr>
              <w:t>TB</w:t>
            </w:r>
            <w:r>
              <w:rPr>
                <w:color w:val="231F20"/>
                <w:spacing w:val="-6"/>
                <w:w w:val="80"/>
                <w:sz w:val="16"/>
              </w:rPr>
              <w:t xml:space="preserve"> </w:t>
            </w:r>
            <w:r>
              <w:rPr>
                <w:color w:val="231F20"/>
                <w:w w:val="80"/>
                <w:sz w:val="16"/>
              </w:rPr>
              <w:t>services,</w:t>
            </w:r>
            <w:r>
              <w:rPr>
                <w:color w:val="231F20"/>
                <w:spacing w:val="-6"/>
                <w:w w:val="80"/>
                <w:sz w:val="16"/>
              </w:rPr>
              <w:t xml:space="preserve"> </w:t>
            </w:r>
            <w:r>
              <w:rPr>
                <w:color w:val="231F20"/>
                <w:w w:val="80"/>
                <w:sz w:val="16"/>
              </w:rPr>
              <w:t>get cured</w:t>
            </w:r>
            <w:r>
              <w:rPr>
                <w:color w:val="231F20"/>
                <w:spacing w:val="-7"/>
                <w:w w:val="80"/>
                <w:sz w:val="16"/>
              </w:rPr>
              <w:t xml:space="preserve"> </w:t>
            </w:r>
            <w:r>
              <w:rPr>
                <w:color w:val="231F20"/>
                <w:w w:val="80"/>
                <w:sz w:val="16"/>
              </w:rPr>
              <w:t>and</w:t>
            </w:r>
            <w:r>
              <w:rPr>
                <w:color w:val="231F20"/>
                <w:spacing w:val="-6"/>
                <w:w w:val="80"/>
                <w:sz w:val="16"/>
              </w:rPr>
              <w:t xml:space="preserve"> </w:t>
            </w:r>
            <w:r>
              <w:rPr>
                <w:color w:val="231F20"/>
                <w:w w:val="80"/>
                <w:sz w:val="16"/>
              </w:rPr>
              <w:t>what</w:t>
            </w:r>
            <w:r>
              <w:rPr>
                <w:color w:val="231F20"/>
                <w:spacing w:val="-6"/>
                <w:w w:val="80"/>
                <w:sz w:val="16"/>
              </w:rPr>
              <w:t xml:space="preserve"> </w:t>
            </w:r>
            <w:r>
              <w:rPr>
                <w:color w:val="231F20"/>
                <w:w w:val="80"/>
                <w:sz w:val="16"/>
              </w:rPr>
              <w:t>their</w:t>
            </w:r>
            <w:r>
              <w:rPr>
                <w:color w:val="231F20"/>
                <w:spacing w:val="-6"/>
                <w:w w:val="80"/>
                <w:sz w:val="16"/>
              </w:rPr>
              <w:t xml:space="preserve"> </w:t>
            </w:r>
            <w:r>
              <w:rPr>
                <w:color w:val="231F20"/>
                <w:w w:val="80"/>
                <w:sz w:val="16"/>
              </w:rPr>
              <w:t>rights</w:t>
            </w:r>
            <w:r>
              <w:rPr>
                <w:color w:val="231F20"/>
                <w:spacing w:val="-6"/>
                <w:w w:val="80"/>
                <w:sz w:val="16"/>
              </w:rPr>
              <w:t xml:space="preserve"> </w:t>
            </w:r>
            <w:r>
              <w:rPr>
                <w:color w:val="231F20"/>
                <w:w w:val="80"/>
                <w:sz w:val="16"/>
              </w:rPr>
              <w:t>and</w:t>
            </w:r>
            <w:r>
              <w:rPr>
                <w:color w:val="231F20"/>
                <w:spacing w:val="-6"/>
                <w:w w:val="80"/>
                <w:sz w:val="16"/>
              </w:rPr>
              <w:t xml:space="preserve"> </w:t>
            </w:r>
            <w:r>
              <w:rPr>
                <w:color w:val="231F20"/>
                <w:w w:val="80"/>
                <w:sz w:val="16"/>
              </w:rPr>
              <w:t>responsibilities</w:t>
            </w:r>
            <w:r>
              <w:rPr>
                <w:color w:val="231F20"/>
                <w:spacing w:val="-6"/>
                <w:w w:val="80"/>
                <w:sz w:val="16"/>
              </w:rPr>
              <w:t xml:space="preserve"> </w:t>
            </w:r>
            <w:r>
              <w:rPr>
                <w:color w:val="231F20"/>
                <w:w w:val="80"/>
                <w:sz w:val="16"/>
              </w:rPr>
              <w:t>are</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support</w:t>
            </w:r>
            <w:r>
              <w:rPr>
                <w:color w:val="231F20"/>
                <w:spacing w:val="-6"/>
                <w:w w:val="80"/>
                <w:sz w:val="16"/>
              </w:rPr>
              <w:t xml:space="preserve"> </w:t>
            </w:r>
            <w:r>
              <w:rPr>
                <w:color w:val="231F20"/>
                <w:w w:val="80"/>
                <w:sz w:val="16"/>
              </w:rPr>
              <w:t>demand</w:t>
            </w:r>
            <w:r>
              <w:rPr>
                <w:color w:val="231F20"/>
                <w:spacing w:val="-6"/>
                <w:w w:val="80"/>
                <w:sz w:val="16"/>
              </w:rPr>
              <w:t xml:space="preserve"> </w:t>
            </w:r>
            <w:r>
              <w:rPr>
                <w:color w:val="231F20"/>
                <w:w w:val="80"/>
                <w:sz w:val="16"/>
              </w:rPr>
              <w:t>for</w:t>
            </w:r>
            <w:r>
              <w:rPr>
                <w:color w:val="231F20"/>
                <w:spacing w:val="-6"/>
                <w:w w:val="80"/>
                <w:sz w:val="16"/>
              </w:rPr>
              <w:t xml:space="preserve"> </w:t>
            </w:r>
            <w:r>
              <w:rPr>
                <w:color w:val="231F20"/>
                <w:w w:val="80"/>
                <w:sz w:val="16"/>
              </w:rPr>
              <w:t>universal</w:t>
            </w:r>
            <w:r>
              <w:rPr>
                <w:color w:val="231F20"/>
                <w:spacing w:val="-6"/>
                <w:w w:val="80"/>
                <w:sz w:val="16"/>
              </w:rPr>
              <w:t xml:space="preserve"> </w:t>
            </w:r>
            <w:r>
              <w:rPr>
                <w:color w:val="231F20"/>
                <w:w w:val="80"/>
                <w:sz w:val="16"/>
              </w:rPr>
              <w:t xml:space="preserve">access </w:t>
            </w:r>
            <w:r>
              <w:rPr>
                <w:color w:val="231F20"/>
                <w:w w:val="90"/>
                <w:sz w:val="16"/>
              </w:rPr>
              <w:t>to</w:t>
            </w:r>
            <w:r>
              <w:rPr>
                <w:color w:val="231F20"/>
                <w:spacing w:val="-7"/>
                <w:w w:val="90"/>
                <w:sz w:val="16"/>
              </w:rPr>
              <w:t xml:space="preserve"> </w:t>
            </w:r>
            <w:r>
              <w:rPr>
                <w:color w:val="231F20"/>
                <w:w w:val="90"/>
                <w:sz w:val="16"/>
              </w:rPr>
              <w:t>services</w:t>
            </w:r>
          </w:p>
        </w:tc>
        <w:tc>
          <w:tcPr>
            <w:tcW w:w="1521" w:type="dxa"/>
            <w:tcBorders>
              <w:left w:val="single" w:sz="6" w:space="0" w:color="231F20"/>
              <w:right w:val="single" w:sz="6" w:space="0" w:color="231F20"/>
            </w:tcBorders>
          </w:tcPr>
          <w:p w14:paraId="510A439F" w14:textId="77777777" w:rsidR="009948F1" w:rsidRDefault="009948F1">
            <w:pPr>
              <w:pStyle w:val="TableParagraph"/>
              <w:spacing w:before="5"/>
              <w:rPr>
                <w:sz w:val="20"/>
              </w:rPr>
            </w:pPr>
          </w:p>
          <w:p w14:paraId="11D11157" w14:textId="77777777" w:rsidR="009948F1" w:rsidRDefault="00BC0563">
            <w:pPr>
              <w:pStyle w:val="TableParagraph"/>
              <w:ind w:left="24"/>
              <w:rPr>
                <w:sz w:val="16"/>
              </w:rPr>
            </w:pPr>
            <w:r>
              <w:rPr>
                <w:color w:val="231F20"/>
                <w:w w:val="90"/>
                <w:sz w:val="16"/>
              </w:rPr>
              <w:t>Lack of funds</w:t>
            </w:r>
          </w:p>
        </w:tc>
        <w:tc>
          <w:tcPr>
            <w:tcW w:w="1602" w:type="dxa"/>
            <w:tcBorders>
              <w:top w:val="single" w:sz="12" w:space="0" w:color="231F20"/>
              <w:left w:val="single" w:sz="6" w:space="0" w:color="231F20"/>
            </w:tcBorders>
          </w:tcPr>
          <w:p w14:paraId="1C9303A2" w14:textId="77777777" w:rsidR="009948F1" w:rsidRDefault="00BC0563">
            <w:pPr>
              <w:pStyle w:val="TableParagraph"/>
              <w:spacing w:before="133" w:line="264" w:lineRule="auto"/>
              <w:ind w:left="22"/>
              <w:rPr>
                <w:sz w:val="16"/>
              </w:rPr>
            </w:pPr>
            <w:r>
              <w:rPr>
                <w:color w:val="231F20"/>
                <w:w w:val="80"/>
                <w:sz w:val="16"/>
              </w:rPr>
              <w:t xml:space="preserve">Conduct mass media </w:t>
            </w:r>
            <w:r>
              <w:rPr>
                <w:color w:val="231F20"/>
                <w:w w:val="90"/>
                <w:sz w:val="16"/>
              </w:rPr>
              <w:t>edutainment</w:t>
            </w:r>
          </w:p>
        </w:tc>
      </w:tr>
      <w:tr w:rsidR="009948F1" w14:paraId="3FF4CB8B" w14:textId="77777777">
        <w:trPr>
          <w:trHeight w:val="615"/>
        </w:trPr>
        <w:tc>
          <w:tcPr>
            <w:tcW w:w="488" w:type="dxa"/>
            <w:vMerge/>
            <w:tcBorders>
              <w:top w:val="nil"/>
              <w:right w:val="single" w:sz="6" w:space="0" w:color="231F20"/>
            </w:tcBorders>
          </w:tcPr>
          <w:p w14:paraId="2E75E514" w14:textId="77777777" w:rsidR="009948F1" w:rsidRDefault="009948F1">
            <w:pPr>
              <w:rPr>
                <w:sz w:val="2"/>
                <w:szCs w:val="2"/>
              </w:rPr>
            </w:pPr>
          </w:p>
        </w:tc>
        <w:tc>
          <w:tcPr>
            <w:tcW w:w="560" w:type="dxa"/>
            <w:tcBorders>
              <w:left w:val="single" w:sz="6" w:space="0" w:color="231F20"/>
              <w:right w:val="single" w:sz="6" w:space="0" w:color="231F20"/>
            </w:tcBorders>
          </w:tcPr>
          <w:p w14:paraId="7BE20B26" w14:textId="77777777" w:rsidR="009948F1" w:rsidRDefault="009948F1">
            <w:pPr>
              <w:pStyle w:val="TableParagraph"/>
              <w:spacing w:before="7"/>
              <w:rPr>
                <w:sz w:val="18"/>
              </w:rPr>
            </w:pPr>
          </w:p>
          <w:p w14:paraId="29D2BDAC" w14:textId="77777777" w:rsidR="009948F1" w:rsidRDefault="00BC0563">
            <w:pPr>
              <w:pStyle w:val="TableParagraph"/>
              <w:spacing w:before="1"/>
              <w:ind w:left="34" w:right="14"/>
              <w:jc w:val="center"/>
              <w:rPr>
                <w:sz w:val="16"/>
              </w:rPr>
            </w:pPr>
            <w:r>
              <w:rPr>
                <w:color w:val="231F20"/>
                <w:w w:val="85"/>
                <w:sz w:val="16"/>
              </w:rPr>
              <w:t>5.2.2.b</w:t>
            </w:r>
          </w:p>
        </w:tc>
        <w:tc>
          <w:tcPr>
            <w:tcW w:w="5211" w:type="dxa"/>
            <w:gridSpan w:val="2"/>
            <w:tcBorders>
              <w:left w:val="single" w:sz="6" w:space="0" w:color="231F20"/>
              <w:right w:val="single" w:sz="6" w:space="0" w:color="231F20"/>
            </w:tcBorders>
          </w:tcPr>
          <w:p w14:paraId="14C3358C" w14:textId="001750C7" w:rsidR="009948F1" w:rsidRDefault="00AF7F4E">
            <w:pPr>
              <w:pStyle w:val="TableParagraph"/>
              <w:spacing w:before="106" w:line="264" w:lineRule="auto"/>
              <w:ind w:left="26" w:right="34"/>
              <w:rPr>
                <w:sz w:val="16"/>
              </w:rPr>
            </w:pPr>
            <w:r>
              <w:rPr>
                <w:color w:val="231F20"/>
                <w:w w:val="80"/>
                <w:sz w:val="16"/>
              </w:rPr>
              <w:t>Conduct</w:t>
            </w:r>
            <w:r>
              <w:rPr>
                <w:color w:val="231F20"/>
                <w:spacing w:val="-6"/>
                <w:w w:val="80"/>
                <w:sz w:val="16"/>
              </w:rPr>
              <w:t xml:space="preserve"> </w:t>
            </w:r>
            <w:r>
              <w:rPr>
                <w:color w:val="231F20"/>
                <w:w w:val="80"/>
                <w:sz w:val="16"/>
              </w:rPr>
              <w:t>mass</w:t>
            </w:r>
            <w:r>
              <w:rPr>
                <w:color w:val="231F20"/>
                <w:spacing w:val="-6"/>
                <w:w w:val="80"/>
                <w:sz w:val="16"/>
              </w:rPr>
              <w:t xml:space="preserve"> </w:t>
            </w:r>
            <w:r>
              <w:rPr>
                <w:color w:val="231F20"/>
                <w:w w:val="80"/>
                <w:sz w:val="16"/>
              </w:rPr>
              <w:t>media</w:t>
            </w:r>
            <w:r>
              <w:rPr>
                <w:color w:val="231F20"/>
                <w:spacing w:val="-6"/>
                <w:w w:val="80"/>
                <w:sz w:val="16"/>
              </w:rPr>
              <w:t xml:space="preserve"> </w:t>
            </w:r>
            <w:r>
              <w:rPr>
                <w:color w:val="231F20"/>
                <w:w w:val="80"/>
                <w:sz w:val="16"/>
              </w:rPr>
              <w:t>edutainment</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create</w:t>
            </w:r>
            <w:r>
              <w:rPr>
                <w:color w:val="231F20"/>
                <w:spacing w:val="-6"/>
                <w:w w:val="80"/>
                <w:sz w:val="16"/>
              </w:rPr>
              <w:t xml:space="preserve"> </w:t>
            </w:r>
            <w:r>
              <w:rPr>
                <w:color w:val="231F20"/>
                <w:w w:val="80"/>
                <w:sz w:val="16"/>
              </w:rPr>
              <w:t>awareness</w:t>
            </w:r>
            <w:r>
              <w:rPr>
                <w:color w:val="231F20"/>
                <w:spacing w:val="-5"/>
                <w:w w:val="80"/>
                <w:sz w:val="16"/>
              </w:rPr>
              <w:t xml:space="preserve"> </w:t>
            </w:r>
            <w:r>
              <w:rPr>
                <w:color w:val="231F20"/>
                <w:w w:val="80"/>
                <w:sz w:val="16"/>
              </w:rPr>
              <w:t>on</w:t>
            </w:r>
            <w:r>
              <w:rPr>
                <w:color w:val="231F20"/>
                <w:spacing w:val="-6"/>
                <w:w w:val="80"/>
                <w:sz w:val="16"/>
              </w:rPr>
              <w:t xml:space="preserve"> </w:t>
            </w:r>
            <w:r>
              <w:rPr>
                <w:color w:val="231F20"/>
                <w:w w:val="80"/>
                <w:sz w:val="16"/>
              </w:rPr>
              <w:t>how</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access</w:t>
            </w:r>
            <w:r>
              <w:rPr>
                <w:color w:val="231F20"/>
                <w:spacing w:val="-7"/>
                <w:w w:val="80"/>
                <w:sz w:val="16"/>
              </w:rPr>
              <w:t xml:space="preserve"> </w:t>
            </w:r>
            <w:r>
              <w:rPr>
                <w:color w:val="231F20"/>
                <w:w w:val="80"/>
                <w:sz w:val="16"/>
              </w:rPr>
              <w:t>TB</w:t>
            </w:r>
            <w:r>
              <w:rPr>
                <w:color w:val="231F20"/>
                <w:spacing w:val="-6"/>
                <w:w w:val="80"/>
                <w:sz w:val="16"/>
              </w:rPr>
              <w:t xml:space="preserve"> </w:t>
            </w:r>
            <w:r>
              <w:rPr>
                <w:color w:val="231F20"/>
                <w:w w:val="80"/>
                <w:sz w:val="16"/>
              </w:rPr>
              <w:t>services,</w:t>
            </w:r>
            <w:r>
              <w:rPr>
                <w:color w:val="231F20"/>
                <w:spacing w:val="-6"/>
                <w:w w:val="80"/>
                <w:sz w:val="16"/>
              </w:rPr>
              <w:t xml:space="preserve"> </w:t>
            </w:r>
            <w:r>
              <w:rPr>
                <w:color w:val="231F20"/>
                <w:w w:val="80"/>
                <w:sz w:val="16"/>
              </w:rPr>
              <w:t>get cured</w:t>
            </w:r>
            <w:r>
              <w:rPr>
                <w:color w:val="231F20"/>
                <w:spacing w:val="-7"/>
                <w:w w:val="80"/>
                <w:sz w:val="16"/>
              </w:rPr>
              <w:t xml:space="preserve"> </w:t>
            </w:r>
            <w:r>
              <w:rPr>
                <w:color w:val="231F20"/>
                <w:w w:val="80"/>
                <w:sz w:val="16"/>
              </w:rPr>
              <w:t>and</w:t>
            </w:r>
            <w:r>
              <w:rPr>
                <w:color w:val="231F20"/>
                <w:spacing w:val="-6"/>
                <w:w w:val="80"/>
                <w:sz w:val="16"/>
              </w:rPr>
              <w:t xml:space="preserve"> </w:t>
            </w:r>
            <w:r>
              <w:rPr>
                <w:color w:val="231F20"/>
                <w:w w:val="80"/>
                <w:sz w:val="16"/>
              </w:rPr>
              <w:t>what</w:t>
            </w:r>
            <w:r>
              <w:rPr>
                <w:color w:val="231F20"/>
                <w:spacing w:val="-6"/>
                <w:w w:val="80"/>
                <w:sz w:val="16"/>
              </w:rPr>
              <w:t xml:space="preserve"> </w:t>
            </w:r>
            <w:r>
              <w:rPr>
                <w:color w:val="231F20"/>
                <w:w w:val="80"/>
                <w:sz w:val="16"/>
              </w:rPr>
              <w:t>their</w:t>
            </w:r>
            <w:r>
              <w:rPr>
                <w:color w:val="231F20"/>
                <w:spacing w:val="-6"/>
                <w:w w:val="80"/>
                <w:sz w:val="16"/>
              </w:rPr>
              <w:t xml:space="preserve"> </w:t>
            </w:r>
            <w:r>
              <w:rPr>
                <w:color w:val="231F20"/>
                <w:w w:val="80"/>
                <w:sz w:val="16"/>
              </w:rPr>
              <w:t>rights</w:t>
            </w:r>
            <w:r>
              <w:rPr>
                <w:color w:val="231F20"/>
                <w:spacing w:val="-6"/>
                <w:w w:val="80"/>
                <w:sz w:val="16"/>
              </w:rPr>
              <w:t xml:space="preserve"> </w:t>
            </w:r>
            <w:r>
              <w:rPr>
                <w:color w:val="231F20"/>
                <w:w w:val="80"/>
                <w:sz w:val="16"/>
              </w:rPr>
              <w:t>and</w:t>
            </w:r>
            <w:r>
              <w:rPr>
                <w:color w:val="231F20"/>
                <w:spacing w:val="-6"/>
                <w:w w:val="80"/>
                <w:sz w:val="16"/>
              </w:rPr>
              <w:t xml:space="preserve"> </w:t>
            </w:r>
            <w:r>
              <w:rPr>
                <w:color w:val="231F20"/>
                <w:w w:val="80"/>
                <w:sz w:val="16"/>
              </w:rPr>
              <w:t>responsibilities</w:t>
            </w:r>
            <w:r>
              <w:rPr>
                <w:color w:val="231F20"/>
                <w:spacing w:val="-6"/>
                <w:w w:val="80"/>
                <w:sz w:val="16"/>
              </w:rPr>
              <w:t xml:space="preserve"> </w:t>
            </w:r>
            <w:r>
              <w:rPr>
                <w:color w:val="231F20"/>
                <w:w w:val="80"/>
                <w:sz w:val="16"/>
              </w:rPr>
              <w:t>are</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support</w:t>
            </w:r>
            <w:r>
              <w:rPr>
                <w:color w:val="231F20"/>
                <w:spacing w:val="-6"/>
                <w:w w:val="80"/>
                <w:sz w:val="16"/>
              </w:rPr>
              <w:t xml:space="preserve"> </w:t>
            </w:r>
            <w:r>
              <w:rPr>
                <w:color w:val="231F20"/>
                <w:w w:val="80"/>
                <w:sz w:val="16"/>
              </w:rPr>
              <w:t>demand</w:t>
            </w:r>
            <w:r>
              <w:rPr>
                <w:color w:val="231F20"/>
                <w:spacing w:val="-6"/>
                <w:w w:val="80"/>
                <w:sz w:val="16"/>
              </w:rPr>
              <w:t xml:space="preserve"> </w:t>
            </w:r>
            <w:r>
              <w:rPr>
                <w:color w:val="231F20"/>
                <w:w w:val="80"/>
                <w:sz w:val="16"/>
              </w:rPr>
              <w:t>for</w:t>
            </w:r>
            <w:r>
              <w:rPr>
                <w:color w:val="231F20"/>
                <w:spacing w:val="-6"/>
                <w:w w:val="80"/>
                <w:sz w:val="16"/>
              </w:rPr>
              <w:t xml:space="preserve"> </w:t>
            </w:r>
            <w:r>
              <w:rPr>
                <w:color w:val="231F20"/>
                <w:w w:val="80"/>
                <w:sz w:val="16"/>
              </w:rPr>
              <w:t>universal</w:t>
            </w:r>
            <w:r>
              <w:rPr>
                <w:color w:val="231F20"/>
                <w:spacing w:val="-6"/>
                <w:w w:val="80"/>
                <w:sz w:val="16"/>
              </w:rPr>
              <w:t xml:space="preserve"> </w:t>
            </w:r>
            <w:r>
              <w:rPr>
                <w:color w:val="231F20"/>
                <w:w w:val="80"/>
                <w:sz w:val="16"/>
              </w:rPr>
              <w:t xml:space="preserve">access </w:t>
            </w:r>
            <w:r>
              <w:rPr>
                <w:color w:val="231F20"/>
                <w:w w:val="90"/>
                <w:sz w:val="16"/>
              </w:rPr>
              <w:t>to</w:t>
            </w:r>
            <w:r>
              <w:rPr>
                <w:color w:val="231F20"/>
                <w:spacing w:val="-7"/>
                <w:w w:val="90"/>
                <w:sz w:val="16"/>
              </w:rPr>
              <w:t xml:space="preserve"> </w:t>
            </w:r>
            <w:r>
              <w:rPr>
                <w:color w:val="231F20"/>
                <w:w w:val="90"/>
                <w:sz w:val="16"/>
              </w:rPr>
              <w:t>services</w:t>
            </w:r>
          </w:p>
        </w:tc>
        <w:tc>
          <w:tcPr>
            <w:tcW w:w="1521" w:type="dxa"/>
            <w:tcBorders>
              <w:left w:val="single" w:sz="6" w:space="0" w:color="231F20"/>
              <w:right w:val="single" w:sz="6" w:space="0" w:color="231F20"/>
            </w:tcBorders>
          </w:tcPr>
          <w:p w14:paraId="1FE9E8F8" w14:textId="77777777" w:rsidR="009948F1" w:rsidRDefault="009948F1">
            <w:pPr>
              <w:pStyle w:val="TableParagraph"/>
              <w:spacing w:before="7"/>
              <w:rPr>
                <w:sz w:val="18"/>
              </w:rPr>
            </w:pPr>
          </w:p>
          <w:p w14:paraId="6B9B32E8" w14:textId="77777777" w:rsidR="009948F1" w:rsidRDefault="00BC0563">
            <w:pPr>
              <w:pStyle w:val="TableParagraph"/>
              <w:spacing w:before="1"/>
              <w:ind w:left="24"/>
              <w:rPr>
                <w:sz w:val="16"/>
              </w:rPr>
            </w:pPr>
            <w:r>
              <w:rPr>
                <w:color w:val="231F20"/>
                <w:w w:val="90"/>
                <w:sz w:val="16"/>
              </w:rPr>
              <w:t>Lack of funds</w:t>
            </w:r>
          </w:p>
        </w:tc>
        <w:tc>
          <w:tcPr>
            <w:tcW w:w="1602" w:type="dxa"/>
            <w:tcBorders>
              <w:left w:val="single" w:sz="6" w:space="0" w:color="231F20"/>
            </w:tcBorders>
          </w:tcPr>
          <w:p w14:paraId="3BFCCCB1" w14:textId="77777777" w:rsidR="009948F1" w:rsidRDefault="009948F1">
            <w:pPr>
              <w:pStyle w:val="TableParagraph"/>
              <w:spacing w:before="7"/>
              <w:rPr>
                <w:sz w:val="18"/>
              </w:rPr>
            </w:pPr>
          </w:p>
          <w:p w14:paraId="6C45770B" w14:textId="77777777" w:rsidR="009948F1" w:rsidRDefault="00BC0563">
            <w:pPr>
              <w:pStyle w:val="TableParagraph"/>
              <w:spacing w:before="1"/>
              <w:ind w:left="22"/>
              <w:rPr>
                <w:sz w:val="16"/>
              </w:rPr>
            </w:pPr>
            <w:r>
              <w:rPr>
                <w:color w:val="231F20"/>
                <w:w w:val="90"/>
                <w:sz w:val="16"/>
              </w:rPr>
              <w:t>Advocacy visits</w:t>
            </w:r>
          </w:p>
        </w:tc>
      </w:tr>
      <w:tr w:rsidR="009948F1" w14:paraId="23950F7A" w14:textId="77777777">
        <w:trPr>
          <w:trHeight w:val="407"/>
        </w:trPr>
        <w:tc>
          <w:tcPr>
            <w:tcW w:w="488" w:type="dxa"/>
            <w:vMerge/>
            <w:tcBorders>
              <w:top w:val="nil"/>
              <w:right w:val="single" w:sz="6" w:space="0" w:color="231F20"/>
            </w:tcBorders>
          </w:tcPr>
          <w:p w14:paraId="2D3178BA" w14:textId="77777777" w:rsidR="009948F1" w:rsidRDefault="009948F1">
            <w:pPr>
              <w:rPr>
                <w:sz w:val="2"/>
                <w:szCs w:val="2"/>
              </w:rPr>
            </w:pPr>
          </w:p>
        </w:tc>
        <w:tc>
          <w:tcPr>
            <w:tcW w:w="560" w:type="dxa"/>
            <w:tcBorders>
              <w:left w:val="single" w:sz="6" w:space="0" w:color="231F20"/>
              <w:right w:val="single" w:sz="6" w:space="0" w:color="231F20"/>
            </w:tcBorders>
          </w:tcPr>
          <w:p w14:paraId="5DF13A41" w14:textId="77777777" w:rsidR="009948F1" w:rsidRDefault="00BC0563">
            <w:pPr>
              <w:pStyle w:val="TableParagraph"/>
              <w:spacing w:before="109"/>
              <w:ind w:left="34" w:right="14"/>
              <w:jc w:val="center"/>
              <w:rPr>
                <w:sz w:val="16"/>
              </w:rPr>
            </w:pPr>
            <w:r>
              <w:rPr>
                <w:color w:val="231F20"/>
                <w:w w:val="85"/>
                <w:sz w:val="16"/>
              </w:rPr>
              <w:t>5.2.2.c</w:t>
            </w:r>
          </w:p>
        </w:tc>
        <w:tc>
          <w:tcPr>
            <w:tcW w:w="5211" w:type="dxa"/>
            <w:gridSpan w:val="2"/>
            <w:tcBorders>
              <w:left w:val="single" w:sz="6" w:space="0" w:color="231F20"/>
              <w:right w:val="single" w:sz="6" w:space="0" w:color="231F20"/>
            </w:tcBorders>
          </w:tcPr>
          <w:p w14:paraId="0A54C2C8" w14:textId="77777777" w:rsidR="009948F1" w:rsidRDefault="00BC0563">
            <w:pPr>
              <w:pStyle w:val="TableParagraph"/>
              <w:spacing w:before="103"/>
              <w:ind w:left="26"/>
              <w:rPr>
                <w:sz w:val="16"/>
              </w:rPr>
            </w:pPr>
            <w:r>
              <w:rPr>
                <w:color w:val="231F20"/>
                <w:w w:val="90"/>
                <w:sz w:val="16"/>
              </w:rPr>
              <w:t>Observe world TB day in the state &amp; 23 LGAs annually</w:t>
            </w:r>
          </w:p>
        </w:tc>
        <w:tc>
          <w:tcPr>
            <w:tcW w:w="1521" w:type="dxa"/>
            <w:tcBorders>
              <w:left w:val="single" w:sz="6" w:space="0" w:color="231F20"/>
              <w:right w:val="single" w:sz="6" w:space="0" w:color="231F20"/>
            </w:tcBorders>
          </w:tcPr>
          <w:p w14:paraId="70C12D19" w14:textId="77777777" w:rsidR="009948F1" w:rsidRDefault="00BC0563">
            <w:pPr>
              <w:pStyle w:val="TableParagraph"/>
              <w:spacing w:before="109"/>
              <w:ind w:left="24"/>
              <w:rPr>
                <w:sz w:val="16"/>
              </w:rPr>
            </w:pPr>
            <w:r>
              <w:rPr>
                <w:color w:val="231F20"/>
                <w:w w:val="90"/>
                <w:sz w:val="16"/>
              </w:rPr>
              <w:t>Lack of funds</w:t>
            </w:r>
          </w:p>
        </w:tc>
        <w:tc>
          <w:tcPr>
            <w:tcW w:w="1602" w:type="dxa"/>
            <w:tcBorders>
              <w:left w:val="single" w:sz="6" w:space="0" w:color="231F20"/>
            </w:tcBorders>
          </w:tcPr>
          <w:p w14:paraId="3DEC0BFF" w14:textId="77777777" w:rsidR="009948F1" w:rsidRDefault="00BC0563">
            <w:pPr>
              <w:pStyle w:val="TableParagraph"/>
              <w:spacing w:before="109"/>
              <w:ind w:left="22"/>
              <w:rPr>
                <w:sz w:val="16"/>
              </w:rPr>
            </w:pPr>
            <w:r>
              <w:rPr>
                <w:color w:val="231F20"/>
                <w:w w:val="90"/>
                <w:sz w:val="16"/>
              </w:rPr>
              <w:t>Observe world TB day</w:t>
            </w:r>
          </w:p>
        </w:tc>
      </w:tr>
      <w:tr w:rsidR="009948F1" w14:paraId="096778C4" w14:textId="77777777">
        <w:trPr>
          <w:trHeight w:val="1381"/>
        </w:trPr>
        <w:tc>
          <w:tcPr>
            <w:tcW w:w="488" w:type="dxa"/>
            <w:tcBorders>
              <w:left w:val="single" w:sz="12" w:space="0" w:color="231F20"/>
              <w:right w:val="single" w:sz="6" w:space="0" w:color="231F20"/>
            </w:tcBorders>
            <w:shd w:val="clear" w:color="auto" w:fill="CCE7D3"/>
          </w:tcPr>
          <w:p w14:paraId="287F8CFE" w14:textId="77777777" w:rsidR="009948F1" w:rsidRDefault="009948F1">
            <w:pPr>
              <w:pStyle w:val="TableParagraph"/>
              <w:rPr>
                <w:sz w:val="16"/>
              </w:rPr>
            </w:pPr>
          </w:p>
          <w:p w14:paraId="4050C5AA" w14:textId="77777777" w:rsidR="009948F1" w:rsidRDefault="009948F1">
            <w:pPr>
              <w:pStyle w:val="TableParagraph"/>
              <w:rPr>
                <w:sz w:val="16"/>
              </w:rPr>
            </w:pPr>
          </w:p>
          <w:p w14:paraId="75BBD8FB" w14:textId="77777777" w:rsidR="009948F1" w:rsidRDefault="009948F1">
            <w:pPr>
              <w:pStyle w:val="TableParagraph"/>
              <w:spacing w:before="11"/>
              <w:rPr>
                <w:sz w:val="19"/>
              </w:rPr>
            </w:pPr>
          </w:p>
          <w:p w14:paraId="4280074D" w14:textId="77777777" w:rsidR="009948F1" w:rsidRDefault="00BC0563">
            <w:pPr>
              <w:pStyle w:val="TableParagraph"/>
              <w:ind w:left="57"/>
              <w:rPr>
                <w:sz w:val="16"/>
              </w:rPr>
            </w:pPr>
            <w:r>
              <w:rPr>
                <w:color w:val="231F20"/>
                <w:w w:val="90"/>
                <w:sz w:val="16"/>
              </w:rPr>
              <w:t>5.2.3</w:t>
            </w:r>
          </w:p>
        </w:tc>
        <w:tc>
          <w:tcPr>
            <w:tcW w:w="3233" w:type="dxa"/>
            <w:gridSpan w:val="2"/>
            <w:tcBorders>
              <w:left w:val="single" w:sz="6" w:space="0" w:color="231F20"/>
              <w:right w:val="single" w:sz="6" w:space="0" w:color="231F20"/>
            </w:tcBorders>
            <w:shd w:val="clear" w:color="auto" w:fill="CCE7D3"/>
          </w:tcPr>
          <w:p w14:paraId="44A4E106" w14:textId="77777777" w:rsidR="009948F1" w:rsidRDefault="009948F1">
            <w:pPr>
              <w:pStyle w:val="TableParagraph"/>
              <w:rPr>
                <w:sz w:val="16"/>
              </w:rPr>
            </w:pPr>
          </w:p>
          <w:p w14:paraId="04598B09" w14:textId="77777777" w:rsidR="009948F1" w:rsidRDefault="009948F1">
            <w:pPr>
              <w:pStyle w:val="TableParagraph"/>
              <w:rPr>
                <w:sz w:val="16"/>
              </w:rPr>
            </w:pPr>
          </w:p>
          <w:p w14:paraId="7A37824D" w14:textId="77777777" w:rsidR="009948F1" w:rsidRDefault="00BC0563">
            <w:pPr>
              <w:pStyle w:val="TableParagraph"/>
              <w:spacing w:before="121" w:line="264" w:lineRule="auto"/>
              <w:ind w:left="26" w:firstLine="35"/>
              <w:rPr>
                <w:sz w:val="16"/>
              </w:rPr>
            </w:pPr>
            <w:r>
              <w:rPr>
                <w:color w:val="231F20"/>
                <w:w w:val="80"/>
                <w:sz w:val="16"/>
              </w:rPr>
              <w:t xml:space="preserve">Expand access to TB diagnosis and treatment services </w:t>
            </w:r>
            <w:r>
              <w:rPr>
                <w:color w:val="231F20"/>
                <w:w w:val="90"/>
                <w:sz w:val="16"/>
              </w:rPr>
              <w:t>for persons co-infected by TB and HIV</w:t>
            </w:r>
          </w:p>
        </w:tc>
        <w:tc>
          <w:tcPr>
            <w:tcW w:w="2538" w:type="dxa"/>
            <w:tcBorders>
              <w:left w:val="single" w:sz="6" w:space="0" w:color="231F20"/>
              <w:right w:val="single" w:sz="6" w:space="0" w:color="231F20"/>
            </w:tcBorders>
            <w:shd w:val="clear" w:color="auto" w:fill="CCE7D3"/>
          </w:tcPr>
          <w:p w14:paraId="3E8EC05B" w14:textId="77777777" w:rsidR="009948F1" w:rsidRDefault="00BC0563">
            <w:pPr>
              <w:pStyle w:val="TableParagraph"/>
              <w:numPr>
                <w:ilvl w:val="0"/>
                <w:numId w:val="159"/>
              </w:numPr>
              <w:tabs>
                <w:tab w:val="left" w:pos="103"/>
              </w:tabs>
              <w:spacing w:line="264" w:lineRule="auto"/>
              <w:ind w:right="129" w:firstLine="0"/>
              <w:jc w:val="both"/>
              <w:rPr>
                <w:sz w:val="16"/>
              </w:rPr>
            </w:pPr>
            <w:r>
              <w:rPr>
                <w:color w:val="231F20"/>
                <w:w w:val="80"/>
                <w:sz w:val="16"/>
              </w:rPr>
              <w:t>TB</w:t>
            </w:r>
            <w:r>
              <w:rPr>
                <w:color w:val="231F20"/>
                <w:spacing w:val="-8"/>
                <w:w w:val="80"/>
                <w:sz w:val="16"/>
              </w:rPr>
              <w:t xml:space="preserve"> </w:t>
            </w:r>
            <w:r>
              <w:rPr>
                <w:color w:val="231F20"/>
                <w:w w:val="80"/>
                <w:sz w:val="16"/>
              </w:rPr>
              <w:t>equipment</w:t>
            </w:r>
            <w:r>
              <w:rPr>
                <w:color w:val="231F20"/>
                <w:spacing w:val="-7"/>
                <w:w w:val="80"/>
                <w:sz w:val="16"/>
              </w:rPr>
              <w:t xml:space="preserve"> </w:t>
            </w:r>
            <w:r>
              <w:rPr>
                <w:color w:val="231F20"/>
                <w:w w:val="80"/>
                <w:sz w:val="16"/>
              </w:rPr>
              <w:t>purchased</w:t>
            </w:r>
            <w:r>
              <w:rPr>
                <w:color w:val="231F20"/>
                <w:spacing w:val="-7"/>
                <w:w w:val="80"/>
                <w:sz w:val="16"/>
              </w:rPr>
              <w:t xml:space="preserve"> </w:t>
            </w:r>
            <w:r>
              <w:rPr>
                <w:color w:val="231F20"/>
                <w:w w:val="80"/>
                <w:sz w:val="16"/>
              </w:rPr>
              <w:t>&amp;</w:t>
            </w:r>
            <w:r>
              <w:rPr>
                <w:color w:val="231F20"/>
                <w:spacing w:val="-7"/>
                <w:w w:val="80"/>
                <w:sz w:val="16"/>
              </w:rPr>
              <w:t xml:space="preserve"> </w:t>
            </w:r>
            <w:r>
              <w:rPr>
                <w:color w:val="231F20"/>
                <w:w w:val="80"/>
                <w:sz w:val="16"/>
              </w:rPr>
              <w:t>distributed</w:t>
            </w:r>
            <w:r>
              <w:rPr>
                <w:color w:val="231F20"/>
                <w:spacing w:val="-7"/>
                <w:w w:val="80"/>
                <w:sz w:val="16"/>
              </w:rPr>
              <w:t xml:space="preserve"> </w:t>
            </w:r>
            <w:r>
              <w:rPr>
                <w:color w:val="231F20"/>
                <w:w w:val="80"/>
                <w:sz w:val="16"/>
              </w:rPr>
              <w:t xml:space="preserve">to </w:t>
            </w:r>
            <w:r>
              <w:rPr>
                <w:color w:val="231F20"/>
                <w:w w:val="85"/>
                <w:sz w:val="16"/>
              </w:rPr>
              <w:t>upgrade</w:t>
            </w:r>
            <w:r>
              <w:rPr>
                <w:color w:val="231F20"/>
                <w:spacing w:val="-23"/>
                <w:w w:val="85"/>
                <w:sz w:val="16"/>
              </w:rPr>
              <w:t xml:space="preserve"> </w:t>
            </w:r>
            <w:r>
              <w:rPr>
                <w:color w:val="231F20"/>
                <w:w w:val="85"/>
                <w:sz w:val="16"/>
              </w:rPr>
              <w:t>at</w:t>
            </w:r>
            <w:r>
              <w:rPr>
                <w:color w:val="231F20"/>
                <w:spacing w:val="-22"/>
                <w:w w:val="85"/>
                <w:sz w:val="16"/>
              </w:rPr>
              <w:t xml:space="preserve"> </w:t>
            </w:r>
            <w:r>
              <w:rPr>
                <w:color w:val="231F20"/>
                <w:w w:val="85"/>
                <w:sz w:val="16"/>
              </w:rPr>
              <w:t>least</w:t>
            </w:r>
            <w:r>
              <w:rPr>
                <w:color w:val="231F20"/>
                <w:spacing w:val="-23"/>
                <w:w w:val="85"/>
                <w:sz w:val="16"/>
              </w:rPr>
              <w:t xml:space="preserve"> </w:t>
            </w:r>
            <w:r>
              <w:rPr>
                <w:color w:val="231F20"/>
                <w:w w:val="85"/>
                <w:sz w:val="16"/>
              </w:rPr>
              <w:t>50</w:t>
            </w:r>
            <w:r>
              <w:rPr>
                <w:color w:val="231F20"/>
                <w:spacing w:val="-22"/>
                <w:w w:val="85"/>
                <w:sz w:val="16"/>
              </w:rPr>
              <w:t xml:space="preserve"> </w:t>
            </w:r>
            <w:r>
              <w:rPr>
                <w:color w:val="231F20"/>
                <w:w w:val="85"/>
                <w:sz w:val="16"/>
              </w:rPr>
              <w:t>health</w:t>
            </w:r>
            <w:r>
              <w:rPr>
                <w:color w:val="231F20"/>
                <w:spacing w:val="-23"/>
                <w:w w:val="85"/>
                <w:sz w:val="16"/>
              </w:rPr>
              <w:t xml:space="preserve"> </w:t>
            </w:r>
            <w:r>
              <w:rPr>
                <w:color w:val="231F20"/>
                <w:w w:val="85"/>
                <w:sz w:val="16"/>
              </w:rPr>
              <w:t>facilities</w:t>
            </w:r>
            <w:r>
              <w:rPr>
                <w:color w:val="231F20"/>
                <w:spacing w:val="-22"/>
                <w:w w:val="85"/>
                <w:sz w:val="16"/>
              </w:rPr>
              <w:t xml:space="preserve"> </w:t>
            </w:r>
            <w:r>
              <w:rPr>
                <w:color w:val="231F20"/>
                <w:w w:val="85"/>
                <w:sz w:val="16"/>
              </w:rPr>
              <w:t>for</w:t>
            </w:r>
            <w:r>
              <w:rPr>
                <w:color w:val="231F20"/>
                <w:spacing w:val="-24"/>
                <w:w w:val="85"/>
                <w:sz w:val="16"/>
              </w:rPr>
              <w:t xml:space="preserve"> </w:t>
            </w:r>
            <w:r>
              <w:rPr>
                <w:color w:val="231F20"/>
                <w:w w:val="85"/>
                <w:sz w:val="16"/>
              </w:rPr>
              <w:t xml:space="preserve">TB </w:t>
            </w:r>
            <w:r>
              <w:rPr>
                <w:color w:val="231F20"/>
                <w:w w:val="90"/>
                <w:sz w:val="16"/>
              </w:rPr>
              <w:t>microscopy</w:t>
            </w:r>
            <w:r>
              <w:rPr>
                <w:color w:val="231F20"/>
                <w:spacing w:val="-13"/>
                <w:w w:val="90"/>
                <w:sz w:val="16"/>
              </w:rPr>
              <w:t xml:space="preserve"> </w:t>
            </w:r>
            <w:r>
              <w:rPr>
                <w:color w:val="231F20"/>
                <w:w w:val="90"/>
                <w:sz w:val="16"/>
              </w:rPr>
              <w:t>in</w:t>
            </w:r>
            <w:r>
              <w:rPr>
                <w:color w:val="231F20"/>
                <w:spacing w:val="-12"/>
                <w:w w:val="90"/>
                <w:sz w:val="16"/>
              </w:rPr>
              <w:t xml:space="preserve"> </w:t>
            </w:r>
            <w:r>
              <w:rPr>
                <w:color w:val="231F20"/>
                <w:w w:val="90"/>
                <w:sz w:val="16"/>
              </w:rPr>
              <w:t>the</w:t>
            </w:r>
            <w:r>
              <w:rPr>
                <w:color w:val="231F20"/>
                <w:spacing w:val="-12"/>
                <w:w w:val="90"/>
                <w:sz w:val="16"/>
              </w:rPr>
              <w:t xml:space="preserve"> </w:t>
            </w:r>
            <w:r>
              <w:rPr>
                <w:color w:val="231F20"/>
                <w:w w:val="90"/>
                <w:sz w:val="16"/>
              </w:rPr>
              <w:t>23</w:t>
            </w:r>
            <w:r>
              <w:rPr>
                <w:color w:val="231F20"/>
                <w:spacing w:val="-12"/>
                <w:w w:val="90"/>
                <w:sz w:val="16"/>
              </w:rPr>
              <w:t xml:space="preserve"> </w:t>
            </w:r>
            <w:r>
              <w:rPr>
                <w:color w:val="231F20"/>
                <w:w w:val="90"/>
                <w:sz w:val="16"/>
              </w:rPr>
              <w:t>LGAs</w:t>
            </w:r>
          </w:p>
          <w:p w14:paraId="05762A9E" w14:textId="77777777" w:rsidR="009948F1" w:rsidRDefault="00BC0563">
            <w:pPr>
              <w:pStyle w:val="TableParagraph"/>
              <w:numPr>
                <w:ilvl w:val="0"/>
                <w:numId w:val="159"/>
              </w:numPr>
              <w:tabs>
                <w:tab w:val="left" w:pos="71"/>
              </w:tabs>
              <w:spacing w:line="264" w:lineRule="auto"/>
              <w:ind w:right="14" w:firstLine="0"/>
              <w:jc w:val="both"/>
              <w:rPr>
                <w:sz w:val="16"/>
              </w:rPr>
            </w:pPr>
            <w:r>
              <w:rPr>
                <w:color w:val="231F20"/>
                <w:w w:val="85"/>
                <w:sz w:val="16"/>
              </w:rPr>
              <w:t>At</w:t>
            </w:r>
            <w:r>
              <w:rPr>
                <w:color w:val="231F20"/>
                <w:spacing w:val="-26"/>
                <w:w w:val="85"/>
                <w:sz w:val="16"/>
              </w:rPr>
              <w:t xml:space="preserve"> </w:t>
            </w:r>
            <w:r>
              <w:rPr>
                <w:color w:val="231F20"/>
                <w:w w:val="85"/>
                <w:sz w:val="16"/>
              </w:rPr>
              <w:t>least</w:t>
            </w:r>
            <w:r>
              <w:rPr>
                <w:color w:val="231F20"/>
                <w:spacing w:val="-26"/>
                <w:w w:val="85"/>
                <w:sz w:val="16"/>
              </w:rPr>
              <w:t xml:space="preserve"> </w:t>
            </w:r>
            <w:r>
              <w:rPr>
                <w:color w:val="231F20"/>
                <w:w w:val="85"/>
                <w:sz w:val="16"/>
              </w:rPr>
              <w:t>100</w:t>
            </w:r>
            <w:r>
              <w:rPr>
                <w:color w:val="231F20"/>
                <w:spacing w:val="-25"/>
                <w:w w:val="85"/>
                <w:sz w:val="16"/>
              </w:rPr>
              <w:t xml:space="preserve"> </w:t>
            </w:r>
            <w:r>
              <w:rPr>
                <w:color w:val="231F20"/>
                <w:w w:val="85"/>
                <w:sz w:val="16"/>
              </w:rPr>
              <w:t>Health</w:t>
            </w:r>
            <w:r>
              <w:rPr>
                <w:color w:val="231F20"/>
                <w:spacing w:val="-26"/>
                <w:w w:val="85"/>
                <w:sz w:val="16"/>
              </w:rPr>
              <w:t xml:space="preserve"> </w:t>
            </w:r>
            <w:r>
              <w:rPr>
                <w:color w:val="231F20"/>
                <w:w w:val="85"/>
                <w:sz w:val="16"/>
              </w:rPr>
              <w:t>workers</w:t>
            </w:r>
            <w:r>
              <w:rPr>
                <w:color w:val="231F20"/>
                <w:spacing w:val="-25"/>
                <w:w w:val="85"/>
                <w:sz w:val="16"/>
              </w:rPr>
              <w:t xml:space="preserve"> </w:t>
            </w:r>
            <w:r>
              <w:rPr>
                <w:color w:val="231F20"/>
                <w:w w:val="85"/>
                <w:sz w:val="16"/>
              </w:rPr>
              <w:t>trained</w:t>
            </w:r>
            <w:r>
              <w:rPr>
                <w:color w:val="231F20"/>
                <w:spacing w:val="-26"/>
                <w:w w:val="85"/>
                <w:sz w:val="16"/>
              </w:rPr>
              <w:t xml:space="preserve"> </w:t>
            </w:r>
            <w:r>
              <w:rPr>
                <w:color w:val="231F20"/>
                <w:w w:val="85"/>
                <w:sz w:val="16"/>
              </w:rPr>
              <w:t>on</w:t>
            </w:r>
            <w:r>
              <w:rPr>
                <w:color w:val="231F20"/>
                <w:spacing w:val="-25"/>
                <w:w w:val="85"/>
                <w:sz w:val="16"/>
              </w:rPr>
              <w:t xml:space="preserve"> </w:t>
            </w:r>
            <w:r>
              <w:rPr>
                <w:color w:val="231F20"/>
                <w:spacing w:val="-4"/>
                <w:w w:val="85"/>
                <w:sz w:val="16"/>
              </w:rPr>
              <w:t xml:space="preserve">HCT </w:t>
            </w:r>
            <w:r>
              <w:rPr>
                <w:color w:val="231F20"/>
                <w:w w:val="90"/>
                <w:sz w:val="16"/>
              </w:rPr>
              <w:t>in new Dots</w:t>
            </w:r>
            <w:r>
              <w:rPr>
                <w:color w:val="231F20"/>
                <w:spacing w:val="-25"/>
                <w:w w:val="90"/>
                <w:sz w:val="16"/>
              </w:rPr>
              <w:t xml:space="preserve"> </w:t>
            </w:r>
            <w:r>
              <w:rPr>
                <w:color w:val="231F20"/>
                <w:w w:val="90"/>
                <w:sz w:val="16"/>
              </w:rPr>
              <w:t>sites</w:t>
            </w:r>
          </w:p>
          <w:p w14:paraId="214DB4C9" w14:textId="77777777" w:rsidR="009948F1" w:rsidRDefault="00BC0563">
            <w:pPr>
              <w:pStyle w:val="TableParagraph"/>
              <w:numPr>
                <w:ilvl w:val="0"/>
                <w:numId w:val="159"/>
              </w:numPr>
              <w:tabs>
                <w:tab w:val="left" w:pos="105"/>
              </w:tabs>
              <w:spacing w:line="183" w:lineRule="exact"/>
              <w:ind w:left="104" w:hanging="80"/>
              <w:jc w:val="both"/>
              <w:rPr>
                <w:sz w:val="16"/>
              </w:rPr>
            </w:pPr>
            <w:r>
              <w:rPr>
                <w:color w:val="231F20"/>
                <w:w w:val="90"/>
                <w:sz w:val="16"/>
              </w:rPr>
              <w:t>HIV</w:t>
            </w:r>
            <w:r>
              <w:rPr>
                <w:color w:val="231F20"/>
                <w:spacing w:val="-28"/>
                <w:w w:val="90"/>
                <w:sz w:val="16"/>
              </w:rPr>
              <w:t xml:space="preserve"> </w:t>
            </w:r>
            <w:r>
              <w:rPr>
                <w:color w:val="231F20"/>
                <w:w w:val="90"/>
                <w:sz w:val="16"/>
              </w:rPr>
              <w:t>services</w:t>
            </w:r>
            <w:r>
              <w:rPr>
                <w:color w:val="231F20"/>
                <w:spacing w:val="-28"/>
                <w:w w:val="90"/>
                <w:sz w:val="16"/>
              </w:rPr>
              <w:t xml:space="preserve"> </w:t>
            </w:r>
            <w:r>
              <w:rPr>
                <w:color w:val="231F20"/>
                <w:w w:val="90"/>
                <w:sz w:val="16"/>
              </w:rPr>
              <w:t>provided</w:t>
            </w:r>
            <w:r>
              <w:rPr>
                <w:color w:val="231F20"/>
                <w:spacing w:val="-28"/>
                <w:w w:val="90"/>
                <w:sz w:val="16"/>
              </w:rPr>
              <w:t xml:space="preserve"> </w:t>
            </w:r>
            <w:r>
              <w:rPr>
                <w:color w:val="231F20"/>
                <w:w w:val="90"/>
                <w:sz w:val="16"/>
              </w:rPr>
              <w:t>in</w:t>
            </w:r>
            <w:r>
              <w:rPr>
                <w:color w:val="231F20"/>
                <w:spacing w:val="-28"/>
                <w:w w:val="90"/>
                <w:sz w:val="16"/>
              </w:rPr>
              <w:t xml:space="preserve"> </w:t>
            </w:r>
            <w:r>
              <w:rPr>
                <w:color w:val="231F20"/>
                <w:w w:val="90"/>
                <w:sz w:val="16"/>
              </w:rPr>
              <w:t>at</w:t>
            </w:r>
            <w:r>
              <w:rPr>
                <w:color w:val="231F20"/>
                <w:spacing w:val="-27"/>
                <w:w w:val="90"/>
                <w:sz w:val="16"/>
              </w:rPr>
              <w:t xml:space="preserve"> </w:t>
            </w:r>
            <w:r>
              <w:rPr>
                <w:color w:val="231F20"/>
                <w:w w:val="90"/>
                <w:sz w:val="16"/>
              </w:rPr>
              <w:t>least</w:t>
            </w:r>
            <w:r>
              <w:rPr>
                <w:color w:val="231F20"/>
                <w:spacing w:val="-28"/>
                <w:w w:val="90"/>
                <w:sz w:val="16"/>
              </w:rPr>
              <w:t xml:space="preserve"> </w:t>
            </w:r>
            <w:r>
              <w:rPr>
                <w:color w:val="231F20"/>
                <w:w w:val="90"/>
                <w:sz w:val="16"/>
              </w:rPr>
              <w:t>50%</w:t>
            </w:r>
            <w:r>
              <w:rPr>
                <w:color w:val="231F20"/>
                <w:spacing w:val="-28"/>
                <w:w w:val="90"/>
                <w:sz w:val="16"/>
              </w:rPr>
              <w:t xml:space="preserve"> </w:t>
            </w:r>
            <w:r>
              <w:rPr>
                <w:color w:val="231F20"/>
                <w:w w:val="90"/>
                <w:sz w:val="16"/>
              </w:rPr>
              <w:t>of</w:t>
            </w:r>
          </w:p>
          <w:p w14:paraId="3D1D3E23" w14:textId="77777777" w:rsidR="009948F1" w:rsidRDefault="00BC0563">
            <w:pPr>
              <w:pStyle w:val="TableParagraph"/>
              <w:spacing w:before="15" w:line="151" w:lineRule="exact"/>
              <w:ind w:left="25"/>
              <w:rPr>
                <w:sz w:val="16"/>
              </w:rPr>
            </w:pPr>
            <w:r>
              <w:rPr>
                <w:color w:val="231F20"/>
                <w:w w:val="90"/>
                <w:sz w:val="16"/>
              </w:rPr>
              <w:t>DOTs sites</w:t>
            </w:r>
          </w:p>
        </w:tc>
        <w:tc>
          <w:tcPr>
            <w:tcW w:w="1521" w:type="dxa"/>
            <w:tcBorders>
              <w:left w:val="single" w:sz="6" w:space="0" w:color="231F20"/>
              <w:right w:val="single" w:sz="12" w:space="0" w:color="231F20"/>
            </w:tcBorders>
            <w:shd w:val="clear" w:color="auto" w:fill="CCE7D3"/>
          </w:tcPr>
          <w:p w14:paraId="25E5AA9F" w14:textId="77777777" w:rsidR="009948F1" w:rsidRDefault="009948F1">
            <w:pPr>
              <w:pStyle w:val="TableParagraph"/>
              <w:rPr>
                <w:rFonts w:ascii="Times New Roman"/>
                <w:sz w:val="12"/>
              </w:rPr>
            </w:pPr>
          </w:p>
        </w:tc>
        <w:tc>
          <w:tcPr>
            <w:tcW w:w="1602" w:type="dxa"/>
            <w:tcBorders>
              <w:left w:val="single" w:sz="12" w:space="0" w:color="231F20"/>
            </w:tcBorders>
            <w:shd w:val="clear" w:color="auto" w:fill="CCE7D3"/>
          </w:tcPr>
          <w:p w14:paraId="76CF4A6F" w14:textId="77777777" w:rsidR="009948F1" w:rsidRDefault="009948F1">
            <w:pPr>
              <w:pStyle w:val="TableParagraph"/>
              <w:rPr>
                <w:rFonts w:ascii="Times New Roman"/>
                <w:sz w:val="12"/>
              </w:rPr>
            </w:pPr>
          </w:p>
        </w:tc>
      </w:tr>
      <w:tr w:rsidR="009948F1" w14:paraId="6946CE31" w14:textId="77777777">
        <w:trPr>
          <w:trHeight w:val="734"/>
        </w:trPr>
        <w:tc>
          <w:tcPr>
            <w:tcW w:w="488" w:type="dxa"/>
            <w:vMerge w:val="restart"/>
            <w:tcBorders>
              <w:right w:val="single" w:sz="6" w:space="0" w:color="231F20"/>
            </w:tcBorders>
          </w:tcPr>
          <w:p w14:paraId="6190B52B" w14:textId="77777777" w:rsidR="009948F1" w:rsidRDefault="009948F1">
            <w:pPr>
              <w:pStyle w:val="TableParagraph"/>
              <w:rPr>
                <w:rFonts w:ascii="Times New Roman"/>
                <w:sz w:val="12"/>
              </w:rPr>
            </w:pPr>
          </w:p>
        </w:tc>
        <w:tc>
          <w:tcPr>
            <w:tcW w:w="560" w:type="dxa"/>
            <w:tcBorders>
              <w:left w:val="single" w:sz="6" w:space="0" w:color="231F20"/>
              <w:right w:val="single" w:sz="6" w:space="0" w:color="231F20"/>
            </w:tcBorders>
          </w:tcPr>
          <w:p w14:paraId="078314C8" w14:textId="77777777" w:rsidR="009948F1" w:rsidRDefault="009948F1">
            <w:pPr>
              <w:pStyle w:val="TableParagraph"/>
              <w:spacing w:before="9"/>
              <w:rPr>
                <w:sz w:val="23"/>
              </w:rPr>
            </w:pPr>
          </w:p>
          <w:p w14:paraId="4AC0EE2F" w14:textId="77777777" w:rsidR="009948F1" w:rsidRDefault="00BC0563">
            <w:pPr>
              <w:pStyle w:val="TableParagraph"/>
              <w:ind w:left="34" w:right="14"/>
              <w:jc w:val="center"/>
              <w:rPr>
                <w:sz w:val="16"/>
              </w:rPr>
            </w:pPr>
            <w:r>
              <w:rPr>
                <w:color w:val="231F20"/>
                <w:w w:val="85"/>
                <w:sz w:val="16"/>
              </w:rPr>
              <w:t>5.2.3.a</w:t>
            </w:r>
          </w:p>
        </w:tc>
        <w:tc>
          <w:tcPr>
            <w:tcW w:w="5211" w:type="dxa"/>
            <w:gridSpan w:val="2"/>
            <w:tcBorders>
              <w:left w:val="single" w:sz="6" w:space="0" w:color="231F20"/>
              <w:right w:val="single" w:sz="6" w:space="0" w:color="231F20"/>
            </w:tcBorders>
          </w:tcPr>
          <w:p w14:paraId="667E5D62" w14:textId="77777777" w:rsidR="009948F1" w:rsidRDefault="009948F1">
            <w:pPr>
              <w:pStyle w:val="TableParagraph"/>
              <w:spacing w:before="4"/>
              <w:rPr>
                <w:sz w:val="14"/>
              </w:rPr>
            </w:pPr>
          </w:p>
          <w:p w14:paraId="18D1706A" w14:textId="77777777" w:rsidR="009948F1" w:rsidRDefault="00BC0563">
            <w:pPr>
              <w:pStyle w:val="TableParagraph"/>
              <w:spacing w:line="264" w:lineRule="auto"/>
              <w:ind w:left="26" w:right="233"/>
              <w:rPr>
                <w:sz w:val="16"/>
              </w:rPr>
            </w:pPr>
            <w:r>
              <w:rPr>
                <w:color w:val="231F20"/>
                <w:w w:val="80"/>
                <w:sz w:val="16"/>
              </w:rPr>
              <w:t xml:space="preserve">Operating cost for engaging and supervising the contractor to procure TB equipment to </w:t>
            </w:r>
            <w:r>
              <w:rPr>
                <w:color w:val="231F20"/>
                <w:w w:val="90"/>
                <w:sz w:val="16"/>
              </w:rPr>
              <w:t>upgrade health facilities for TB microscopy in the 23 LGAs</w:t>
            </w:r>
          </w:p>
        </w:tc>
        <w:tc>
          <w:tcPr>
            <w:tcW w:w="1521" w:type="dxa"/>
            <w:tcBorders>
              <w:left w:val="single" w:sz="6" w:space="0" w:color="231F20"/>
              <w:right w:val="single" w:sz="6" w:space="0" w:color="231F20"/>
            </w:tcBorders>
          </w:tcPr>
          <w:p w14:paraId="35D256FE" w14:textId="77777777" w:rsidR="009948F1" w:rsidRDefault="009948F1">
            <w:pPr>
              <w:pStyle w:val="TableParagraph"/>
              <w:spacing w:before="9"/>
              <w:rPr>
                <w:sz w:val="23"/>
              </w:rPr>
            </w:pPr>
          </w:p>
          <w:p w14:paraId="616028DC"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410C70EA" w14:textId="77777777" w:rsidR="009948F1" w:rsidRDefault="009948F1">
            <w:pPr>
              <w:pStyle w:val="TableParagraph"/>
              <w:spacing w:before="9"/>
              <w:rPr>
                <w:sz w:val="23"/>
              </w:rPr>
            </w:pPr>
          </w:p>
          <w:p w14:paraId="1554978E" w14:textId="77777777" w:rsidR="009948F1" w:rsidRDefault="00BC0563">
            <w:pPr>
              <w:pStyle w:val="TableParagraph"/>
              <w:ind w:left="22"/>
              <w:rPr>
                <w:sz w:val="16"/>
              </w:rPr>
            </w:pPr>
            <w:r>
              <w:rPr>
                <w:color w:val="231F20"/>
                <w:w w:val="90"/>
                <w:sz w:val="16"/>
              </w:rPr>
              <w:t>Costed in OHT</w:t>
            </w:r>
          </w:p>
        </w:tc>
      </w:tr>
      <w:tr w:rsidR="009948F1" w14:paraId="2B992FA5" w14:textId="77777777">
        <w:trPr>
          <w:trHeight w:val="665"/>
        </w:trPr>
        <w:tc>
          <w:tcPr>
            <w:tcW w:w="488" w:type="dxa"/>
            <w:vMerge/>
            <w:tcBorders>
              <w:top w:val="nil"/>
              <w:right w:val="single" w:sz="6" w:space="0" w:color="231F20"/>
            </w:tcBorders>
          </w:tcPr>
          <w:p w14:paraId="5C612310" w14:textId="77777777" w:rsidR="009948F1" w:rsidRDefault="009948F1">
            <w:pPr>
              <w:rPr>
                <w:sz w:val="2"/>
                <w:szCs w:val="2"/>
              </w:rPr>
            </w:pPr>
          </w:p>
        </w:tc>
        <w:tc>
          <w:tcPr>
            <w:tcW w:w="560" w:type="dxa"/>
            <w:tcBorders>
              <w:left w:val="single" w:sz="6" w:space="0" w:color="231F20"/>
              <w:right w:val="single" w:sz="6" w:space="0" w:color="231F20"/>
            </w:tcBorders>
          </w:tcPr>
          <w:p w14:paraId="158B00EB" w14:textId="77777777" w:rsidR="009948F1" w:rsidRDefault="009948F1">
            <w:pPr>
              <w:pStyle w:val="TableParagraph"/>
              <w:spacing w:before="9"/>
              <w:rPr>
                <w:sz w:val="20"/>
              </w:rPr>
            </w:pPr>
          </w:p>
          <w:p w14:paraId="10AF04A0" w14:textId="77777777" w:rsidR="009948F1" w:rsidRDefault="00BC0563">
            <w:pPr>
              <w:pStyle w:val="TableParagraph"/>
              <w:ind w:left="34" w:right="14"/>
              <w:jc w:val="center"/>
              <w:rPr>
                <w:sz w:val="16"/>
              </w:rPr>
            </w:pPr>
            <w:r>
              <w:rPr>
                <w:color w:val="231F20"/>
                <w:w w:val="85"/>
                <w:sz w:val="16"/>
              </w:rPr>
              <w:t>5.2.3.b</w:t>
            </w:r>
          </w:p>
        </w:tc>
        <w:tc>
          <w:tcPr>
            <w:tcW w:w="5211" w:type="dxa"/>
            <w:gridSpan w:val="2"/>
            <w:tcBorders>
              <w:left w:val="single" w:sz="6" w:space="0" w:color="231F20"/>
              <w:right w:val="single" w:sz="6" w:space="0" w:color="231F20"/>
            </w:tcBorders>
          </w:tcPr>
          <w:p w14:paraId="25512C05" w14:textId="77777777" w:rsidR="009948F1" w:rsidRDefault="009948F1">
            <w:pPr>
              <w:pStyle w:val="TableParagraph"/>
              <w:spacing w:before="2"/>
              <w:rPr>
                <w:sz w:val="20"/>
              </w:rPr>
            </w:pPr>
          </w:p>
          <w:p w14:paraId="361270A4" w14:textId="77777777" w:rsidR="009948F1" w:rsidRDefault="00BC0563">
            <w:pPr>
              <w:pStyle w:val="TableParagraph"/>
              <w:spacing w:before="1"/>
              <w:ind w:left="26"/>
              <w:rPr>
                <w:sz w:val="16"/>
              </w:rPr>
            </w:pPr>
            <w:r>
              <w:rPr>
                <w:color w:val="231F20"/>
                <w:w w:val="90"/>
                <w:sz w:val="16"/>
              </w:rPr>
              <w:t>Conduct training for Health workers on HCT in new Dots sites</w:t>
            </w:r>
          </w:p>
        </w:tc>
        <w:tc>
          <w:tcPr>
            <w:tcW w:w="1521" w:type="dxa"/>
            <w:tcBorders>
              <w:left w:val="single" w:sz="6" w:space="0" w:color="231F20"/>
              <w:right w:val="single" w:sz="6" w:space="0" w:color="231F20"/>
            </w:tcBorders>
          </w:tcPr>
          <w:p w14:paraId="7C781F96" w14:textId="77777777" w:rsidR="009948F1" w:rsidRDefault="009948F1">
            <w:pPr>
              <w:pStyle w:val="TableParagraph"/>
              <w:spacing w:before="9"/>
              <w:rPr>
                <w:sz w:val="20"/>
              </w:rPr>
            </w:pPr>
          </w:p>
          <w:p w14:paraId="2760BFCB"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45AAA3CA" w14:textId="77777777" w:rsidR="009948F1" w:rsidRDefault="009948F1">
            <w:pPr>
              <w:pStyle w:val="TableParagraph"/>
              <w:spacing w:before="9"/>
              <w:rPr>
                <w:sz w:val="20"/>
              </w:rPr>
            </w:pPr>
          </w:p>
          <w:p w14:paraId="3E5A5C71" w14:textId="77777777" w:rsidR="009948F1" w:rsidRDefault="00BC0563">
            <w:pPr>
              <w:pStyle w:val="TableParagraph"/>
              <w:ind w:left="22"/>
              <w:rPr>
                <w:sz w:val="16"/>
              </w:rPr>
            </w:pPr>
            <w:r>
              <w:rPr>
                <w:color w:val="231F20"/>
                <w:w w:val="90"/>
                <w:sz w:val="16"/>
              </w:rPr>
              <w:t>Conduct training</w:t>
            </w:r>
          </w:p>
        </w:tc>
      </w:tr>
      <w:tr w:rsidR="009948F1" w14:paraId="6D6BC4F1" w14:textId="77777777">
        <w:trPr>
          <w:trHeight w:val="625"/>
        </w:trPr>
        <w:tc>
          <w:tcPr>
            <w:tcW w:w="488" w:type="dxa"/>
            <w:vMerge/>
            <w:tcBorders>
              <w:top w:val="nil"/>
              <w:right w:val="single" w:sz="6" w:space="0" w:color="231F20"/>
            </w:tcBorders>
          </w:tcPr>
          <w:p w14:paraId="2EC5A98E" w14:textId="77777777" w:rsidR="009948F1" w:rsidRDefault="009948F1">
            <w:pPr>
              <w:rPr>
                <w:sz w:val="2"/>
                <w:szCs w:val="2"/>
              </w:rPr>
            </w:pPr>
          </w:p>
        </w:tc>
        <w:tc>
          <w:tcPr>
            <w:tcW w:w="560" w:type="dxa"/>
            <w:tcBorders>
              <w:left w:val="single" w:sz="6" w:space="0" w:color="231F20"/>
              <w:right w:val="single" w:sz="6" w:space="0" w:color="231F20"/>
            </w:tcBorders>
          </w:tcPr>
          <w:p w14:paraId="7006738A" w14:textId="77777777" w:rsidR="009948F1" w:rsidRDefault="009948F1">
            <w:pPr>
              <w:pStyle w:val="TableParagraph"/>
              <w:spacing w:before="1"/>
              <w:rPr>
                <w:sz w:val="19"/>
              </w:rPr>
            </w:pPr>
          </w:p>
          <w:p w14:paraId="428B75DC" w14:textId="77777777" w:rsidR="009948F1" w:rsidRDefault="00BC0563">
            <w:pPr>
              <w:pStyle w:val="TableParagraph"/>
              <w:ind w:left="34" w:right="14"/>
              <w:jc w:val="center"/>
              <w:rPr>
                <w:sz w:val="16"/>
              </w:rPr>
            </w:pPr>
            <w:r>
              <w:rPr>
                <w:color w:val="231F20"/>
                <w:w w:val="85"/>
                <w:sz w:val="16"/>
              </w:rPr>
              <w:t>5.2.3.c</w:t>
            </w:r>
          </w:p>
        </w:tc>
        <w:tc>
          <w:tcPr>
            <w:tcW w:w="5211" w:type="dxa"/>
            <w:gridSpan w:val="2"/>
            <w:tcBorders>
              <w:left w:val="single" w:sz="6" w:space="0" w:color="231F20"/>
              <w:right w:val="single" w:sz="6" w:space="0" w:color="231F20"/>
            </w:tcBorders>
          </w:tcPr>
          <w:p w14:paraId="7B355528" w14:textId="77777777" w:rsidR="009948F1" w:rsidRDefault="00BC0563">
            <w:pPr>
              <w:pStyle w:val="TableParagraph"/>
              <w:spacing w:before="111" w:line="264" w:lineRule="auto"/>
              <w:ind w:left="26" w:right="198"/>
              <w:rPr>
                <w:sz w:val="16"/>
              </w:rPr>
            </w:pPr>
            <w:r>
              <w:rPr>
                <w:color w:val="231F20"/>
                <w:w w:val="80"/>
                <w:sz w:val="16"/>
              </w:rPr>
              <w:t>Provide HIV services in all DOTs sites in the state to enhance patient-</w:t>
            </w:r>
            <w:proofErr w:type="spellStart"/>
            <w:r>
              <w:rPr>
                <w:color w:val="231F20"/>
                <w:w w:val="80"/>
                <w:sz w:val="16"/>
              </w:rPr>
              <w:t>centred</w:t>
            </w:r>
            <w:proofErr w:type="spellEnd"/>
            <w:r>
              <w:rPr>
                <w:color w:val="231F20"/>
                <w:w w:val="80"/>
                <w:sz w:val="16"/>
              </w:rPr>
              <w:t xml:space="preserve"> treatment </w:t>
            </w:r>
            <w:r>
              <w:rPr>
                <w:color w:val="231F20"/>
                <w:w w:val="90"/>
                <w:sz w:val="16"/>
              </w:rPr>
              <w:t>(one stop shop)</w:t>
            </w:r>
          </w:p>
        </w:tc>
        <w:tc>
          <w:tcPr>
            <w:tcW w:w="1521" w:type="dxa"/>
            <w:tcBorders>
              <w:left w:val="single" w:sz="6" w:space="0" w:color="231F20"/>
              <w:right w:val="single" w:sz="6" w:space="0" w:color="231F20"/>
            </w:tcBorders>
          </w:tcPr>
          <w:p w14:paraId="4810D060" w14:textId="77777777" w:rsidR="009948F1" w:rsidRDefault="009948F1">
            <w:pPr>
              <w:pStyle w:val="TableParagraph"/>
              <w:spacing w:before="1"/>
              <w:rPr>
                <w:sz w:val="19"/>
              </w:rPr>
            </w:pPr>
          </w:p>
          <w:p w14:paraId="4816BBA1"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2B28F7A4" w14:textId="77777777" w:rsidR="009948F1" w:rsidRDefault="009948F1">
            <w:pPr>
              <w:pStyle w:val="TableParagraph"/>
              <w:spacing w:before="1"/>
              <w:rPr>
                <w:sz w:val="19"/>
              </w:rPr>
            </w:pPr>
          </w:p>
          <w:p w14:paraId="5DB1147C" w14:textId="77777777" w:rsidR="009948F1" w:rsidRDefault="00BC0563">
            <w:pPr>
              <w:pStyle w:val="TableParagraph"/>
              <w:ind w:left="22"/>
              <w:rPr>
                <w:sz w:val="16"/>
              </w:rPr>
            </w:pPr>
            <w:r>
              <w:rPr>
                <w:color w:val="231F20"/>
                <w:w w:val="90"/>
                <w:sz w:val="16"/>
              </w:rPr>
              <w:t>Provide HIV services</w:t>
            </w:r>
          </w:p>
        </w:tc>
      </w:tr>
      <w:tr w:rsidR="009948F1" w14:paraId="0D8B4AF2" w14:textId="77777777">
        <w:trPr>
          <w:trHeight w:val="1043"/>
        </w:trPr>
        <w:tc>
          <w:tcPr>
            <w:tcW w:w="488" w:type="dxa"/>
            <w:tcBorders>
              <w:left w:val="single" w:sz="12" w:space="0" w:color="231F20"/>
              <w:right w:val="single" w:sz="6" w:space="0" w:color="231F20"/>
            </w:tcBorders>
            <w:shd w:val="clear" w:color="auto" w:fill="CCE7D3"/>
          </w:tcPr>
          <w:p w14:paraId="5A6F40F8" w14:textId="77777777" w:rsidR="009948F1" w:rsidRDefault="009948F1">
            <w:pPr>
              <w:pStyle w:val="TableParagraph"/>
              <w:rPr>
                <w:sz w:val="16"/>
              </w:rPr>
            </w:pPr>
          </w:p>
          <w:p w14:paraId="791C47D3" w14:textId="77777777" w:rsidR="009948F1" w:rsidRDefault="009948F1">
            <w:pPr>
              <w:pStyle w:val="TableParagraph"/>
              <w:spacing w:before="2"/>
              <w:rPr>
                <w:sz w:val="21"/>
              </w:rPr>
            </w:pPr>
          </w:p>
          <w:p w14:paraId="4CFC72C5" w14:textId="77777777" w:rsidR="009948F1" w:rsidRDefault="00BC0563">
            <w:pPr>
              <w:pStyle w:val="TableParagraph"/>
              <w:spacing w:before="1"/>
              <w:ind w:left="57"/>
              <w:rPr>
                <w:sz w:val="16"/>
              </w:rPr>
            </w:pPr>
            <w:r>
              <w:rPr>
                <w:color w:val="231F20"/>
                <w:w w:val="90"/>
                <w:sz w:val="16"/>
              </w:rPr>
              <w:t>5.2.4</w:t>
            </w:r>
          </w:p>
        </w:tc>
        <w:tc>
          <w:tcPr>
            <w:tcW w:w="3233" w:type="dxa"/>
            <w:gridSpan w:val="2"/>
            <w:tcBorders>
              <w:left w:val="single" w:sz="6" w:space="0" w:color="231F20"/>
              <w:right w:val="single" w:sz="6" w:space="0" w:color="231F20"/>
            </w:tcBorders>
            <w:shd w:val="clear" w:color="auto" w:fill="CCE7D3"/>
          </w:tcPr>
          <w:p w14:paraId="0BCBD8FE" w14:textId="77777777" w:rsidR="009948F1" w:rsidRDefault="009948F1">
            <w:pPr>
              <w:pStyle w:val="TableParagraph"/>
              <w:rPr>
                <w:sz w:val="16"/>
              </w:rPr>
            </w:pPr>
          </w:p>
          <w:p w14:paraId="2650518E" w14:textId="77777777" w:rsidR="009948F1" w:rsidRDefault="00BC0563">
            <w:pPr>
              <w:pStyle w:val="TableParagraph"/>
              <w:spacing w:before="136" w:line="264" w:lineRule="auto"/>
              <w:ind w:left="26" w:firstLine="35"/>
              <w:rPr>
                <w:sz w:val="16"/>
              </w:rPr>
            </w:pPr>
            <w:r>
              <w:rPr>
                <w:color w:val="231F20"/>
                <w:w w:val="80"/>
                <w:sz w:val="16"/>
              </w:rPr>
              <w:t xml:space="preserve">Scale up </w:t>
            </w:r>
            <w:proofErr w:type="spellStart"/>
            <w:r>
              <w:rPr>
                <w:color w:val="231F20"/>
                <w:w w:val="80"/>
                <w:sz w:val="16"/>
              </w:rPr>
              <w:t>paediatric</w:t>
            </w:r>
            <w:proofErr w:type="spellEnd"/>
            <w:r>
              <w:rPr>
                <w:color w:val="231F20"/>
                <w:w w:val="80"/>
                <w:sz w:val="16"/>
              </w:rPr>
              <w:t xml:space="preserve"> TB diagnosis and treatment </w:t>
            </w:r>
            <w:r>
              <w:rPr>
                <w:color w:val="231F20"/>
                <w:w w:val="90"/>
                <w:sz w:val="16"/>
              </w:rPr>
              <w:t>services</w:t>
            </w:r>
          </w:p>
        </w:tc>
        <w:tc>
          <w:tcPr>
            <w:tcW w:w="2538" w:type="dxa"/>
            <w:tcBorders>
              <w:left w:val="single" w:sz="6" w:space="0" w:color="231F20"/>
              <w:right w:val="single" w:sz="6" w:space="0" w:color="231F20"/>
            </w:tcBorders>
            <w:shd w:val="clear" w:color="auto" w:fill="CCE7D3"/>
          </w:tcPr>
          <w:p w14:paraId="725580C9" w14:textId="77777777" w:rsidR="009948F1" w:rsidRDefault="00BC0563">
            <w:pPr>
              <w:pStyle w:val="TableParagraph"/>
              <w:numPr>
                <w:ilvl w:val="0"/>
                <w:numId w:val="158"/>
              </w:numPr>
              <w:tabs>
                <w:tab w:val="left" w:pos="98"/>
              </w:tabs>
              <w:spacing w:before="24" w:line="264" w:lineRule="auto"/>
              <w:ind w:right="44" w:firstLine="0"/>
              <w:rPr>
                <w:sz w:val="16"/>
              </w:rPr>
            </w:pPr>
            <w:r>
              <w:rPr>
                <w:color w:val="231F20"/>
                <w:w w:val="85"/>
                <w:sz w:val="16"/>
              </w:rPr>
              <w:t>Active</w:t>
            </w:r>
            <w:r>
              <w:rPr>
                <w:color w:val="231F20"/>
                <w:spacing w:val="-23"/>
                <w:w w:val="85"/>
                <w:sz w:val="16"/>
              </w:rPr>
              <w:t xml:space="preserve"> </w:t>
            </w:r>
            <w:r>
              <w:rPr>
                <w:color w:val="231F20"/>
                <w:w w:val="85"/>
                <w:sz w:val="16"/>
              </w:rPr>
              <w:t>TB</w:t>
            </w:r>
            <w:r>
              <w:rPr>
                <w:color w:val="231F20"/>
                <w:spacing w:val="-21"/>
                <w:w w:val="85"/>
                <w:sz w:val="16"/>
              </w:rPr>
              <w:t xml:space="preserve"> </w:t>
            </w:r>
            <w:r>
              <w:rPr>
                <w:color w:val="231F20"/>
                <w:w w:val="85"/>
                <w:sz w:val="16"/>
              </w:rPr>
              <w:t>case</w:t>
            </w:r>
            <w:r>
              <w:rPr>
                <w:color w:val="231F20"/>
                <w:spacing w:val="-21"/>
                <w:w w:val="85"/>
                <w:sz w:val="16"/>
              </w:rPr>
              <w:t xml:space="preserve"> </w:t>
            </w:r>
            <w:r>
              <w:rPr>
                <w:color w:val="231F20"/>
                <w:w w:val="85"/>
                <w:sz w:val="16"/>
              </w:rPr>
              <w:t>finding</w:t>
            </w:r>
            <w:r>
              <w:rPr>
                <w:color w:val="231F20"/>
                <w:spacing w:val="-21"/>
                <w:w w:val="85"/>
                <w:sz w:val="16"/>
              </w:rPr>
              <w:t xml:space="preserve"> </w:t>
            </w:r>
            <w:r>
              <w:rPr>
                <w:color w:val="231F20"/>
                <w:w w:val="85"/>
                <w:sz w:val="16"/>
              </w:rPr>
              <w:t>implemented</w:t>
            </w:r>
            <w:r>
              <w:rPr>
                <w:color w:val="231F20"/>
                <w:spacing w:val="-21"/>
                <w:w w:val="85"/>
                <w:sz w:val="16"/>
              </w:rPr>
              <w:t xml:space="preserve"> </w:t>
            </w:r>
            <w:r>
              <w:rPr>
                <w:color w:val="231F20"/>
                <w:w w:val="85"/>
                <w:sz w:val="16"/>
              </w:rPr>
              <w:t>in</w:t>
            </w:r>
            <w:r>
              <w:rPr>
                <w:color w:val="231F20"/>
                <w:spacing w:val="-22"/>
                <w:w w:val="85"/>
                <w:sz w:val="16"/>
              </w:rPr>
              <w:t xml:space="preserve"> </w:t>
            </w:r>
            <w:r>
              <w:rPr>
                <w:color w:val="231F20"/>
                <w:w w:val="85"/>
                <w:sz w:val="16"/>
              </w:rPr>
              <w:t xml:space="preserve">at </w:t>
            </w:r>
            <w:r>
              <w:rPr>
                <w:color w:val="231F20"/>
                <w:w w:val="80"/>
                <w:sz w:val="16"/>
              </w:rPr>
              <w:t>least 50% of specific vulnerable</w:t>
            </w:r>
            <w:r>
              <w:rPr>
                <w:color w:val="231F20"/>
                <w:spacing w:val="-16"/>
                <w:w w:val="80"/>
                <w:sz w:val="16"/>
              </w:rPr>
              <w:t xml:space="preserve"> </w:t>
            </w:r>
            <w:r>
              <w:rPr>
                <w:color w:val="231F20"/>
                <w:spacing w:val="-3"/>
                <w:w w:val="80"/>
                <w:sz w:val="16"/>
              </w:rPr>
              <w:t>populations</w:t>
            </w:r>
          </w:p>
          <w:p w14:paraId="553A94CE" w14:textId="77777777" w:rsidR="009948F1" w:rsidRDefault="00BC0563">
            <w:pPr>
              <w:pStyle w:val="TableParagraph"/>
              <w:numPr>
                <w:ilvl w:val="0"/>
                <w:numId w:val="158"/>
              </w:numPr>
              <w:tabs>
                <w:tab w:val="left" w:pos="71"/>
              </w:tabs>
              <w:spacing w:line="264" w:lineRule="auto"/>
              <w:ind w:right="414" w:firstLine="0"/>
              <w:rPr>
                <w:sz w:val="16"/>
              </w:rPr>
            </w:pPr>
            <w:r>
              <w:rPr>
                <w:color w:val="231F20"/>
                <w:w w:val="80"/>
                <w:sz w:val="16"/>
              </w:rPr>
              <w:t>Advocacy</w:t>
            </w:r>
            <w:r>
              <w:rPr>
                <w:color w:val="231F20"/>
                <w:spacing w:val="-6"/>
                <w:w w:val="80"/>
                <w:sz w:val="16"/>
              </w:rPr>
              <w:t xml:space="preserve"> </w:t>
            </w:r>
            <w:r>
              <w:rPr>
                <w:color w:val="231F20"/>
                <w:w w:val="80"/>
                <w:sz w:val="16"/>
              </w:rPr>
              <w:t>conducted</w:t>
            </w:r>
            <w:r>
              <w:rPr>
                <w:color w:val="231F20"/>
                <w:spacing w:val="-6"/>
                <w:w w:val="80"/>
                <w:sz w:val="16"/>
              </w:rPr>
              <w:t xml:space="preserve"> </w:t>
            </w:r>
            <w:r>
              <w:rPr>
                <w:color w:val="231F20"/>
                <w:w w:val="80"/>
                <w:sz w:val="16"/>
              </w:rPr>
              <w:t>to</w:t>
            </w:r>
            <w:r>
              <w:rPr>
                <w:color w:val="231F20"/>
                <w:spacing w:val="-6"/>
                <w:w w:val="80"/>
                <w:sz w:val="16"/>
              </w:rPr>
              <w:t xml:space="preserve"> </w:t>
            </w:r>
            <w:r>
              <w:rPr>
                <w:color w:val="231F20"/>
                <w:w w:val="80"/>
                <w:sz w:val="16"/>
              </w:rPr>
              <w:t>at</w:t>
            </w:r>
            <w:r>
              <w:rPr>
                <w:color w:val="231F20"/>
                <w:spacing w:val="-6"/>
                <w:w w:val="80"/>
                <w:sz w:val="16"/>
              </w:rPr>
              <w:t xml:space="preserve"> </w:t>
            </w:r>
            <w:r>
              <w:rPr>
                <w:color w:val="231F20"/>
                <w:w w:val="80"/>
                <w:sz w:val="16"/>
              </w:rPr>
              <w:t>least</w:t>
            </w:r>
            <w:r>
              <w:rPr>
                <w:color w:val="231F20"/>
                <w:spacing w:val="-6"/>
                <w:w w:val="80"/>
                <w:sz w:val="16"/>
              </w:rPr>
              <w:t xml:space="preserve"> </w:t>
            </w:r>
            <w:r>
              <w:rPr>
                <w:color w:val="231F20"/>
                <w:spacing w:val="-4"/>
                <w:w w:val="80"/>
                <w:sz w:val="16"/>
              </w:rPr>
              <w:t xml:space="preserve">80% </w:t>
            </w:r>
            <w:proofErr w:type="spellStart"/>
            <w:r>
              <w:rPr>
                <w:color w:val="231F20"/>
                <w:w w:val="90"/>
                <w:sz w:val="16"/>
              </w:rPr>
              <w:t>paediatric</w:t>
            </w:r>
            <w:proofErr w:type="spellEnd"/>
            <w:r>
              <w:rPr>
                <w:color w:val="231F20"/>
                <w:w w:val="90"/>
                <w:sz w:val="16"/>
              </w:rPr>
              <w:t xml:space="preserve"> related</w:t>
            </w:r>
            <w:r>
              <w:rPr>
                <w:color w:val="231F20"/>
                <w:spacing w:val="-28"/>
                <w:w w:val="90"/>
                <w:sz w:val="16"/>
              </w:rPr>
              <w:t xml:space="preserve"> </w:t>
            </w:r>
            <w:r>
              <w:rPr>
                <w:color w:val="231F20"/>
                <w:w w:val="90"/>
                <w:sz w:val="16"/>
              </w:rPr>
              <w:t>bodies</w:t>
            </w:r>
          </w:p>
          <w:p w14:paraId="436B915B" w14:textId="77777777" w:rsidR="009948F1" w:rsidRDefault="00BC0563">
            <w:pPr>
              <w:pStyle w:val="TableParagraph"/>
              <w:spacing w:line="183" w:lineRule="exact"/>
              <w:ind w:left="25"/>
              <w:rPr>
                <w:sz w:val="16"/>
              </w:rPr>
            </w:pPr>
            <w:r>
              <w:rPr>
                <w:color w:val="231F20"/>
                <w:w w:val="78"/>
                <w:sz w:val="16"/>
              </w:rPr>
              <w:t>•</w:t>
            </w:r>
          </w:p>
        </w:tc>
        <w:tc>
          <w:tcPr>
            <w:tcW w:w="1521" w:type="dxa"/>
            <w:tcBorders>
              <w:left w:val="single" w:sz="6" w:space="0" w:color="231F20"/>
              <w:right w:val="single" w:sz="12" w:space="0" w:color="231F20"/>
            </w:tcBorders>
            <w:shd w:val="clear" w:color="auto" w:fill="CCE7D3"/>
          </w:tcPr>
          <w:p w14:paraId="10B426D4" w14:textId="77777777" w:rsidR="009948F1" w:rsidRDefault="009948F1">
            <w:pPr>
              <w:pStyle w:val="TableParagraph"/>
              <w:rPr>
                <w:rFonts w:ascii="Times New Roman"/>
                <w:sz w:val="12"/>
              </w:rPr>
            </w:pPr>
          </w:p>
        </w:tc>
        <w:tc>
          <w:tcPr>
            <w:tcW w:w="1602" w:type="dxa"/>
            <w:tcBorders>
              <w:left w:val="single" w:sz="12" w:space="0" w:color="231F20"/>
            </w:tcBorders>
            <w:shd w:val="clear" w:color="auto" w:fill="CCE7D3"/>
          </w:tcPr>
          <w:p w14:paraId="6A425387" w14:textId="77777777" w:rsidR="009948F1" w:rsidRDefault="009948F1">
            <w:pPr>
              <w:pStyle w:val="TableParagraph"/>
              <w:rPr>
                <w:rFonts w:ascii="Times New Roman"/>
                <w:sz w:val="12"/>
              </w:rPr>
            </w:pPr>
          </w:p>
        </w:tc>
      </w:tr>
      <w:tr w:rsidR="009948F1" w14:paraId="4791B27E" w14:textId="77777777">
        <w:trPr>
          <w:trHeight w:val="586"/>
        </w:trPr>
        <w:tc>
          <w:tcPr>
            <w:tcW w:w="488" w:type="dxa"/>
            <w:vMerge w:val="restart"/>
            <w:tcBorders>
              <w:right w:val="single" w:sz="6" w:space="0" w:color="231F20"/>
            </w:tcBorders>
          </w:tcPr>
          <w:p w14:paraId="33C6E4C8" w14:textId="77777777" w:rsidR="009948F1" w:rsidRDefault="009948F1">
            <w:pPr>
              <w:pStyle w:val="TableParagraph"/>
              <w:rPr>
                <w:rFonts w:ascii="Times New Roman"/>
                <w:sz w:val="12"/>
              </w:rPr>
            </w:pPr>
          </w:p>
        </w:tc>
        <w:tc>
          <w:tcPr>
            <w:tcW w:w="560" w:type="dxa"/>
            <w:tcBorders>
              <w:left w:val="single" w:sz="6" w:space="0" w:color="231F20"/>
              <w:right w:val="single" w:sz="6" w:space="0" w:color="231F20"/>
            </w:tcBorders>
          </w:tcPr>
          <w:p w14:paraId="70438F57" w14:textId="77777777" w:rsidR="009948F1" w:rsidRDefault="009948F1">
            <w:pPr>
              <w:pStyle w:val="TableParagraph"/>
              <w:spacing w:before="4"/>
              <w:rPr>
                <w:sz w:val="17"/>
              </w:rPr>
            </w:pPr>
          </w:p>
          <w:p w14:paraId="6ADEEFC5" w14:textId="77777777" w:rsidR="009948F1" w:rsidRDefault="00BC0563">
            <w:pPr>
              <w:pStyle w:val="TableParagraph"/>
              <w:ind w:left="34" w:right="14"/>
              <w:jc w:val="center"/>
              <w:rPr>
                <w:sz w:val="16"/>
              </w:rPr>
            </w:pPr>
            <w:r>
              <w:rPr>
                <w:color w:val="231F20"/>
                <w:w w:val="85"/>
                <w:sz w:val="16"/>
              </w:rPr>
              <w:t>5.2.4.a</w:t>
            </w:r>
          </w:p>
        </w:tc>
        <w:tc>
          <w:tcPr>
            <w:tcW w:w="5211" w:type="dxa"/>
            <w:gridSpan w:val="2"/>
            <w:tcBorders>
              <w:left w:val="single" w:sz="6" w:space="0" w:color="231F20"/>
              <w:right w:val="single" w:sz="6" w:space="0" w:color="231F20"/>
            </w:tcBorders>
          </w:tcPr>
          <w:p w14:paraId="05A13974" w14:textId="77777777" w:rsidR="009948F1" w:rsidRDefault="00BC0563">
            <w:pPr>
              <w:pStyle w:val="TableParagraph"/>
              <w:spacing w:before="91" w:line="264" w:lineRule="auto"/>
              <w:ind w:left="26" w:right="34"/>
              <w:rPr>
                <w:sz w:val="16"/>
              </w:rPr>
            </w:pPr>
            <w:r>
              <w:rPr>
                <w:color w:val="231F20"/>
                <w:w w:val="80"/>
                <w:sz w:val="16"/>
              </w:rPr>
              <w:t xml:space="preserve">Implement active TB case finding in specific vulnerable populations (e.g. contacts to active </w:t>
            </w:r>
            <w:r>
              <w:rPr>
                <w:color w:val="231F20"/>
                <w:w w:val="90"/>
                <w:sz w:val="16"/>
              </w:rPr>
              <w:t>TB cases, migrants, prisoners and slum dwellers )</w:t>
            </w:r>
          </w:p>
        </w:tc>
        <w:tc>
          <w:tcPr>
            <w:tcW w:w="1521" w:type="dxa"/>
            <w:tcBorders>
              <w:left w:val="single" w:sz="6" w:space="0" w:color="231F20"/>
              <w:right w:val="single" w:sz="6" w:space="0" w:color="231F20"/>
            </w:tcBorders>
          </w:tcPr>
          <w:p w14:paraId="1525C560" w14:textId="77777777" w:rsidR="009948F1" w:rsidRDefault="009948F1">
            <w:pPr>
              <w:pStyle w:val="TableParagraph"/>
              <w:spacing w:before="4"/>
              <w:rPr>
                <w:sz w:val="17"/>
              </w:rPr>
            </w:pPr>
          </w:p>
          <w:p w14:paraId="6511AA1F"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71B85494" w14:textId="77777777" w:rsidR="009948F1" w:rsidRDefault="00BC0563">
            <w:pPr>
              <w:pStyle w:val="TableParagraph"/>
              <w:spacing w:before="98" w:line="264" w:lineRule="auto"/>
              <w:ind w:left="22"/>
              <w:rPr>
                <w:sz w:val="16"/>
              </w:rPr>
            </w:pPr>
            <w:r>
              <w:rPr>
                <w:color w:val="231F20"/>
                <w:w w:val="80"/>
                <w:sz w:val="16"/>
              </w:rPr>
              <w:t xml:space="preserve">Implement active TB case </w:t>
            </w:r>
            <w:r>
              <w:rPr>
                <w:color w:val="231F20"/>
                <w:w w:val="90"/>
                <w:sz w:val="16"/>
              </w:rPr>
              <w:t>finding</w:t>
            </w:r>
          </w:p>
        </w:tc>
      </w:tr>
      <w:tr w:rsidR="009948F1" w14:paraId="2551DDB2" w14:textId="77777777">
        <w:trPr>
          <w:trHeight w:val="785"/>
        </w:trPr>
        <w:tc>
          <w:tcPr>
            <w:tcW w:w="488" w:type="dxa"/>
            <w:vMerge/>
            <w:tcBorders>
              <w:top w:val="nil"/>
              <w:right w:val="single" w:sz="6" w:space="0" w:color="231F20"/>
            </w:tcBorders>
          </w:tcPr>
          <w:p w14:paraId="3B796803" w14:textId="77777777" w:rsidR="009948F1" w:rsidRDefault="009948F1">
            <w:pPr>
              <w:rPr>
                <w:sz w:val="2"/>
                <w:szCs w:val="2"/>
              </w:rPr>
            </w:pPr>
          </w:p>
        </w:tc>
        <w:tc>
          <w:tcPr>
            <w:tcW w:w="560" w:type="dxa"/>
            <w:tcBorders>
              <w:left w:val="single" w:sz="6" w:space="0" w:color="231F20"/>
              <w:right w:val="single" w:sz="6" w:space="0" w:color="231F20"/>
            </w:tcBorders>
          </w:tcPr>
          <w:p w14:paraId="3B980592" w14:textId="77777777" w:rsidR="009948F1" w:rsidRDefault="009948F1">
            <w:pPr>
              <w:pStyle w:val="TableParagraph"/>
              <w:rPr>
                <w:sz w:val="16"/>
              </w:rPr>
            </w:pPr>
          </w:p>
          <w:p w14:paraId="521A7AA5" w14:textId="77777777" w:rsidR="009948F1" w:rsidRDefault="00BC0563">
            <w:pPr>
              <w:pStyle w:val="TableParagraph"/>
              <w:spacing w:before="114"/>
              <w:ind w:left="34" w:right="14"/>
              <w:jc w:val="center"/>
              <w:rPr>
                <w:sz w:val="16"/>
              </w:rPr>
            </w:pPr>
            <w:r>
              <w:rPr>
                <w:color w:val="231F20"/>
                <w:w w:val="85"/>
                <w:sz w:val="16"/>
              </w:rPr>
              <w:t>5.2.4.b</w:t>
            </w:r>
          </w:p>
        </w:tc>
        <w:tc>
          <w:tcPr>
            <w:tcW w:w="5211" w:type="dxa"/>
            <w:gridSpan w:val="2"/>
            <w:tcBorders>
              <w:left w:val="single" w:sz="6" w:space="0" w:color="231F20"/>
              <w:right w:val="single" w:sz="6" w:space="0" w:color="231F20"/>
            </w:tcBorders>
          </w:tcPr>
          <w:p w14:paraId="5CDFE627" w14:textId="77777777" w:rsidR="009948F1" w:rsidRDefault="00BC0563">
            <w:pPr>
              <w:pStyle w:val="TableParagraph"/>
              <w:spacing w:line="264" w:lineRule="auto"/>
              <w:ind w:left="26" w:right="94"/>
              <w:rPr>
                <w:sz w:val="16"/>
              </w:rPr>
            </w:pPr>
            <w:r>
              <w:rPr>
                <w:color w:val="231F20"/>
                <w:w w:val="85"/>
                <w:sz w:val="16"/>
              </w:rPr>
              <w:t>Conduct</w:t>
            </w:r>
            <w:r>
              <w:rPr>
                <w:color w:val="231F20"/>
                <w:spacing w:val="-24"/>
                <w:w w:val="85"/>
                <w:sz w:val="16"/>
              </w:rPr>
              <w:t xml:space="preserve"> </w:t>
            </w:r>
            <w:r>
              <w:rPr>
                <w:color w:val="231F20"/>
                <w:w w:val="85"/>
                <w:sz w:val="16"/>
              </w:rPr>
              <w:t>advocacy</w:t>
            </w:r>
            <w:r>
              <w:rPr>
                <w:color w:val="231F20"/>
                <w:spacing w:val="-24"/>
                <w:w w:val="85"/>
                <w:sz w:val="16"/>
              </w:rPr>
              <w:t xml:space="preserve"> </w:t>
            </w:r>
            <w:r>
              <w:rPr>
                <w:color w:val="231F20"/>
                <w:w w:val="85"/>
                <w:sz w:val="16"/>
              </w:rPr>
              <w:t>to</w:t>
            </w:r>
            <w:r>
              <w:rPr>
                <w:color w:val="231F20"/>
                <w:spacing w:val="-24"/>
                <w:w w:val="85"/>
                <w:sz w:val="16"/>
              </w:rPr>
              <w:t xml:space="preserve"> </w:t>
            </w:r>
            <w:proofErr w:type="spellStart"/>
            <w:r>
              <w:rPr>
                <w:color w:val="231F20"/>
                <w:w w:val="85"/>
                <w:sz w:val="16"/>
              </w:rPr>
              <w:t>paediatric</w:t>
            </w:r>
            <w:proofErr w:type="spellEnd"/>
            <w:r>
              <w:rPr>
                <w:color w:val="231F20"/>
                <w:spacing w:val="-24"/>
                <w:w w:val="85"/>
                <w:sz w:val="16"/>
              </w:rPr>
              <w:t xml:space="preserve"> </w:t>
            </w:r>
            <w:r>
              <w:rPr>
                <w:color w:val="231F20"/>
                <w:w w:val="85"/>
                <w:sz w:val="16"/>
              </w:rPr>
              <w:t>related</w:t>
            </w:r>
            <w:r>
              <w:rPr>
                <w:color w:val="231F20"/>
                <w:spacing w:val="-24"/>
                <w:w w:val="85"/>
                <w:sz w:val="16"/>
              </w:rPr>
              <w:t xml:space="preserve"> </w:t>
            </w:r>
            <w:r>
              <w:rPr>
                <w:color w:val="231F20"/>
                <w:w w:val="85"/>
                <w:sz w:val="16"/>
              </w:rPr>
              <w:t>bodies</w:t>
            </w:r>
            <w:r>
              <w:rPr>
                <w:color w:val="231F20"/>
                <w:spacing w:val="-24"/>
                <w:w w:val="85"/>
                <w:sz w:val="16"/>
              </w:rPr>
              <w:t xml:space="preserve"> </w:t>
            </w:r>
            <w:r>
              <w:rPr>
                <w:color w:val="231F20"/>
                <w:w w:val="85"/>
                <w:sz w:val="16"/>
              </w:rPr>
              <w:t>(</w:t>
            </w:r>
            <w:proofErr w:type="spellStart"/>
            <w:r>
              <w:rPr>
                <w:color w:val="231F20"/>
                <w:w w:val="85"/>
                <w:sz w:val="16"/>
              </w:rPr>
              <w:t>Paediatric</w:t>
            </w:r>
            <w:proofErr w:type="spellEnd"/>
            <w:r>
              <w:rPr>
                <w:color w:val="231F20"/>
                <w:spacing w:val="-24"/>
                <w:w w:val="85"/>
                <w:sz w:val="16"/>
              </w:rPr>
              <w:t xml:space="preserve"> </w:t>
            </w:r>
            <w:r>
              <w:rPr>
                <w:color w:val="231F20"/>
                <w:w w:val="85"/>
                <w:sz w:val="16"/>
              </w:rPr>
              <w:t>associations,</w:t>
            </w:r>
            <w:r>
              <w:rPr>
                <w:color w:val="231F20"/>
                <w:spacing w:val="-24"/>
                <w:w w:val="85"/>
                <w:sz w:val="16"/>
              </w:rPr>
              <w:t xml:space="preserve"> </w:t>
            </w:r>
            <w:r>
              <w:rPr>
                <w:color w:val="231F20"/>
                <w:w w:val="85"/>
                <w:sz w:val="16"/>
              </w:rPr>
              <w:t>department</w:t>
            </w:r>
            <w:r>
              <w:rPr>
                <w:color w:val="231F20"/>
                <w:spacing w:val="-24"/>
                <w:w w:val="85"/>
                <w:sz w:val="16"/>
              </w:rPr>
              <w:t xml:space="preserve"> </w:t>
            </w:r>
            <w:r>
              <w:rPr>
                <w:color w:val="231F20"/>
                <w:w w:val="85"/>
                <w:sz w:val="16"/>
              </w:rPr>
              <w:t xml:space="preserve">of </w:t>
            </w:r>
            <w:r>
              <w:rPr>
                <w:color w:val="231F20"/>
                <w:w w:val="80"/>
                <w:sz w:val="16"/>
              </w:rPr>
              <w:t>IMCI,</w:t>
            </w:r>
            <w:r>
              <w:rPr>
                <w:color w:val="231F20"/>
                <w:spacing w:val="-8"/>
                <w:w w:val="80"/>
                <w:sz w:val="16"/>
              </w:rPr>
              <w:t xml:space="preserve"> </w:t>
            </w:r>
            <w:r>
              <w:rPr>
                <w:color w:val="231F20"/>
                <w:w w:val="80"/>
                <w:sz w:val="16"/>
              </w:rPr>
              <w:t>thoracic</w:t>
            </w:r>
            <w:r>
              <w:rPr>
                <w:color w:val="231F20"/>
                <w:spacing w:val="-7"/>
                <w:w w:val="80"/>
                <w:sz w:val="16"/>
              </w:rPr>
              <w:t xml:space="preserve"> </w:t>
            </w:r>
            <w:r>
              <w:rPr>
                <w:color w:val="231F20"/>
                <w:w w:val="80"/>
                <w:sz w:val="16"/>
              </w:rPr>
              <w:t>associations,</w:t>
            </w:r>
            <w:r>
              <w:rPr>
                <w:color w:val="231F20"/>
                <w:spacing w:val="-7"/>
                <w:w w:val="80"/>
                <w:sz w:val="16"/>
              </w:rPr>
              <w:t xml:space="preserve"> </w:t>
            </w:r>
            <w:r>
              <w:rPr>
                <w:color w:val="231F20"/>
                <w:w w:val="80"/>
                <w:sz w:val="16"/>
              </w:rPr>
              <w:t>UNICEF</w:t>
            </w:r>
            <w:r>
              <w:rPr>
                <w:color w:val="231F20"/>
                <w:spacing w:val="-8"/>
                <w:w w:val="80"/>
                <w:sz w:val="16"/>
              </w:rPr>
              <w:t xml:space="preserve"> </w:t>
            </w:r>
            <w:r>
              <w:rPr>
                <w:color w:val="231F20"/>
                <w:w w:val="80"/>
                <w:sz w:val="16"/>
              </w:rPr>
              <w:t>and</w:t>
            </w:r>
            <w:r>
              <w:rPr>
                <w:color w:val="231F20"/>
                <w:spacing w:val="-7"/>
                <w:w w:val="80"/>
                <w:sz w:val="16"/>
              </w:rPr>
              <w:t xml:space="preserve"> </w:t>
            </w:r>
            <w:r>
              <w:rPr>
                <w:color w:val="231F20"/>
                <w:w w:val="80"/>
                <w:sz w:val="16"/>
              </w:rPr>
              <w:t>other</w:t>
            </w:r>
            <w:r>
              <w:rPr>
                <w:color w:val="231F20"/>
                <w:spacing w:val="-7"/>
                <w:w w:val="80"/>
                <w:sz w:val="16"/>
              </w:rPr>
              <w:t xml:space="preserve"> </w:t>
            </w:r>
            <w:r>
              <w:rPr>
                <w:color w:val="231F20"/>
                <w:w w:val="80"/>
                <w:sz w:val="16"/>
              </w:rPr>
              <w:t>bi-</w:t>
            </w:r>
            <w:r>
              <w:rPr>
                <w:color w:val="231F20"/>
                <w:spacing w:val="-8"/>
                <w:w w:val="80"/>
                <w:sz w:val="16"/>
              </w:rPr>
              <w:t xml:space="preserve"> </w:t>
            </w:r>
            <w:r>
              <w:rPr>
                <w:color w:val="231F20"/>
                <w:w w:val="80"/>
                <w:sz w:val="16"/>
              </w:rPr>
              <w:t>and</w:t>
            </w:r>
            <w:r>
              <w:rPr>
                <w:color w:val="231F20"/>
                <w:spacing w:val="-7"/>
                <w:w w:val="80"/>
                <w:sz w:val="16"/>
              </w:rPr>
              <w:t xml:space="preserve"> </w:t>
            </w:r>
            <w:r>
              <w:rPr>
                <w:color w:val="231F20"/>
                <w:w w:val="80"/>
                <w:sz w:val="16"/>
              </w:rPr>
              <w:t>multilateral</w:t>
            </w:r>
            <w:r>
              <w:rPr>
                <w:color w:val="231F20"/>
                <w:spacing w:val="-7"/>
                <w:w w:val="80"/>
                <w:sz w:val="16"/>
              </w:rPr>
              <w:t xml:space="preserve"> </w:t>
            </w:r>
            <w:r>
              <w:rPr>
                <w:color w:val="231F20"/>
                <w:w w:val="80"/>
                <w:sz w:val="16"/>
              </w:rPr>
              <w:t>agencies)</w:t>
            </w:r>
            <w:r>
              <w:rPr>
                <w:color w:val="231F20"/>
                <w:spacing w:val="-8"/>
                <w:w w:val="80"/>
                <w:sz w:val="16"/>
              </w:rPr>
              <w:t xml:space="preserve"> </w:t>
            </w:r>
            <w:r>
              <w:rPr>
                <w:color w:val="231F20"/>
                <w:w w:val="80"/>
                <w:sz w:val="16"/>
              </w:rPr>
              <w:t>on</w:t>
            </w:r>
            <w:r>
              <w:rPr>
                <w:color w:val="231F20"/>
                <w:spacing w:val="-7"/>
                <w:w w:val="80"/>
                <w:sz w:val="16"/>
              </w:rPr>
              <w:t xml:space="preserve"> </w:t>
            </w:r>
            <w:r>
              <w:rPr>
                <w:color w:val="231F20"/>
                <w:w w:val="80"/>
                <w:sz w:val="16"/>
              </w:rPr>
              <w:t xml:space="preserve">integration </w:t>
            </w:r>
            <w:r>
              <w:rPr>
                <w:color w:val="231F20"/>
                <w:w w:val="90"/>
                <w:sz w:val="16"/>
              </w:rPr>
              <w:t>of</w:t>
            </w:r>
            <w:r>
              <w:rPr>
                <w:color w:val="231F20"/>
                <w:spacing w:val="-12"/>
                <w:w w:val="90"/>
                <w:sz w:val="16"/>
              </w:rPr>
              <w:t xml:space="preserve"> </w:t>
            </w:r>
            <w:r>
              <w:rPr>
                <w:color w:val="231F20"/>
                <w:w w:val="90"/>
                <w:sz w:val="16"/>
              </w:rPr>
              <w:t>TB</w:t>
            </w:r>
            <w:r>
              <w:rPr>
                <w:color w:val="231F20"/>
                <w:spacing w:val="-11"/>
                <w:w w:val="90"/>
                <w:sz w:val="16"/>
              </w:rPr>
              <w:t xml:space="preserve"> </w:t>
            </w:r>
            <w:r>
              <w:rPr>
                <w:color w:val="231F20"/>
                <w:w w:val="90"/>
                <w:sz w:val="16"/>
              </w:rPr>
              <w:t>services</w:t>
            </w:r>
            <w:r>
              <w:rPr>
                <w:color w:val="231F20"/>
                <w:spacing w:val="-10"/>
                <w:w w:val="90"/>
                <w:sz w:val="16"/>
              </w:rPr>
              <w:t xml:space="preserve"> </w:t>
            </w:r>
            <w:r>
              <w:rPr>
                <w:color w:val="231F20"/>
                <w:w w:val="90"/>
                <w:sz w:val="16"/>
              </w:rPr>
              <w:t>into</w:t>
            </w:r>
            <w:r>
              <w:rPr>
                <w:color w:val="231F20"/>
                <w:spacing w:val="-10"/>
                <w:w w:val="90"/>
                <w:sz w:val="16"/>
              </w:rPr>
              <w:t xml:space="preserve"> </w:t>
            </w:r>
            <w:r>
              <w:rPr>
                <w:color w:val="231F20"/>
                <w:w w:val="90"/>
                <w:sz w:val="16"/>
              </w:rPr>
              <w:t>other</w:t>
            </w:r>
            <w:r>
              <w:rPr>
                <w:color w:val="231F20"/>
                <w:spacing w:val="-10"/>
                <w:w w:val="90"/>
                <w:sz w:val="16"/>
              </w:rPr>
              <w:t xml:space="preserve"> </w:t>
            </w:r>
            <w:r>
              <w:rPr>
                <w:color w:val="231F20"/>
                <w:w w:val="90"/>
                <w:sz w:val="16"/>
              </w:rPr>
              <w:t>child</w:t>
            </w:r>
            <w:r>
              <w:rPr>
                <w:color w:val="231F20"/>
                <w:spacing w:val="-10"/>
                <w:w w:val="90"/>
                <w:sz w:val="16"/>
              </w:rPr>
              <w:t xml:space="preserve"> </w:t>
            </w:r>
            <w:r>
              <w:rPr>
                <w:color w:val="231F20"/>
                <w:w w:val="90"/>
                <w:sz w:val="16"/>
              </w:rPr>
              <w:t>survival</w:t>
            </w:r>
            <w:r>
              <w:rPr>
                <w:color w:val="231F20"/>
                <w:spacing w:val="-10"/>
                <w:w w:val="90"/>
                <w:sz w:val="16"/>
              </w:rPr>
              <w:t xml:space="preserve"> </w:t>
            </w:r>
            <w:r>
              <w:rPr>
                <w:color w:val="231F20"/>
                <w:w w:val="90"/>
                <w:sz w:val="16"/>
              </w:rPr>
              <w:t>strategies</w:t>
            </w:r>
          </w:p>
        </w:tc>
        <w:tc>
          <w:tcPr>
            <w:tcW w:w="1521" w:type="dxa"/>
            <w:tcBorders>
              <w:left w:val="single" w:sz="6" w:space="0" w:color="231F20"/>
              <w:right w:val="single" w:sz="6" w:space="0" w:color="231F20"/>
            </w:tcBorders>
          </w:tcPr>
          <w:p w14:paraId="148D5AAF" w14:textId="77777777" w:rsidR="009948F1" w:rsidRDefault="009948F1">
            <w:pPr>
              <w:pStyle w:val="TableParagraph"/>
              <w:rPr>
                <w:sz w:val="16"/>
              </w:rPr>
            </w:pPr>
          </w:p>
          <w:p w14:paraId="0DDCB05D" w14:textId="77777777" w:rsidR="009948F1" w:rsidRDefault="00BC0563">
            <w:pPr>
              <w:pStyle w:val="TableParagraph"/>
              <w:spacing w:before="114"/>
              <w:ind w:left="24"/>
              <w:rPr>
                <w:sz w:val="16"/>
              </w:rPr>
            </w:pPr>
            <w:r>
              <w:rPr>
                <w:color w:val="231F20"/>
                <w:w w:val="90"/>
                <w:sz w:val="16"/>
              </w:rPr>
              <w:t>Lack of funds</w:t>
            </w:r>
          </w:p>
        </w:tc>
        <w:tc>
          <w:tcPr>
            <w:tcW w:w="1602" w:type="dxa"/>
            <w:tcBorders>
              <w:left w:val="single" w:sz="6" w:space="0" w:color="231F20"/>
            </w:tcBorders>
          </w:tcPr>
          <w:p w14:paraId="66668985" w14:textId="77777777" w:rsidR="009948F1" w:rsidRDefault="009948F1">
            <w:pPr>
              <w:pStyle w:val="TableParagraph"/>
              <w:rPr>
                <w:sz w:val="16"/>
              </w:rPr>
            </w:pPr>
          </w:p>
          <w:p w14:paraId="06B693D4" w14:textId="77777777" w:rsidR="009948F1" w:rsidRDefault="00BC0563">
            <w:pPr>
              <w:pStyle w:val="TableParagraph"/>
              <w:spacing w:before="114"/>
              <w:ind w:left="22"/>
              <w:rPr>
                <w:sz w:val="16"/>
              </w:rPr>
            </w:pPr>
            <w:r>
              <w:rPr>
                <w:color w:val="231F20"/>
                <w:w w:val="90"/>
                <w:sz w:val="16"/>
              </w:rPr>
              <w:t>Conduct advocacy</w:t>
            </w:r>
          </w:p>
        </w:tc>
      </w:tr>
      <w:tr w:rsidR="009948F1" w14:paraId="27331785" w14:textId="77777777">
        <w:trPr>
          <w:trHeight w:val="515"/>
        </w:trPr>
        <w:tc>
          <w:tcPr>
            <w:tcW w:w="488" w:type="dxa"/>
            <w:tcBorders>
              <w:left w:val="single" w:sz="12" w:space="0" w:color="231F20"/>
              <w:right w:val="single" w:sz="6" w:space="0" w:color="231F20"/>
            </w:tcBorders>
            <w:shd w:val="clear" w:color="auto" w:fill="CCE7D3"/>
          </w:tcPr>
          <w:p w14:paraId="50B2B98C" w14:textId="77777777" w:rsidR="009948F1" w:rsidRDefault="009948F1">
            <w:pPr>
              <w:pStyle w:val="TableParagraph"/>
              <w:spacing w:before="2"/>
              <w:rPr>
                <w:sz w:val="14"/>
              </w:rPr>
            </w:pPr>
          </w:p>
          <w:p w14:paraId="73851F6D" w14:textId="77777777" w:rsidR="009948F1" w:rsidRDefault="00BC0563">
            <w:pPr>
              <w:pStyle w:val="TableParagraph"/>
              <w:spacing w:before="1"/>
              <w:ind w:left="57"/>
              <w:rPr>
                <w:sz w:val="16"/>
              </w:rPr>
            </w:pPr>
            <w:r>
              <w:rPr>
                <w:color w:val="231F20"/>
                <w:w w:val="90"/>
                <w:sz w:val="16"/>
              </w:rPr>
              <w:t>5.2.5</w:t>
            </w:r>
          </w:p>
        </w:tc>
        <w:tc>
          <w:tcPr>
            <w:tcW w:w="3233" w:type="dxa"/>
            <w:gridSpan w:val="2"/>
            <w:tcBorders>
              <w:left w:val="single" w:sz="6" w:space="0" w:color="231F20"/>
              <w:right w:val="single" w:sz="6" w:space="0" w:color="231F20"/>
            </w:tcBorders>
            <w:shd w:val="clear" w:color="auto" w:fill="CCE7D3"/>
          </w:tcPr>
          <w:p w14:paraId="55138432" w14:textId="77777777" w:rsidR="009948F1" w:rsidRDefault="00BC0563">
            <w:pPr>
              <w:pStyle w:val="TableParagraph"/>
              <w:spacing w:before="57" w:line="264" w:lineRule="auto"/>
              <w:ind w:left="26" w:right="3" w:firstLine="35"/>
              <w:rPr>
                <w:sz w:val="16"/>
              </w:rPr>
            </w:pPr>
            <w:r>
              <w:rPr>
                <w:color w:val="231F20"/>
                <w:w w:val="80"/>
                <w:sz w:val="16"/>
              </w:rPr>
              <w:t>Increase</w:t>
            </w:r>
            <w:r>
              <w:rPr>
                <w:color w:val="231F20"/>
                <w:spacing w:val="-8"/>
                <w:w w:val="80"/>
                <w:sz w:val="16"/>
              </w:rPr>
              <w:t xml:space="preserve"> </w:t>
            </w:r>
            <w:r>
              <w:rPr>
                <w:color w:val="231F20"/>
                <w:w w:val="80"/>
                <w:sz w:val="16"/>
              </w:rPr>
              <w:t>access</w:t>
            </w:r>
            <w:r>
              <w:rPr>
                <w:color w:val="231F20"/>
                <w:spacing w:val="-8"/>
                <w:w w:val="80"/>
                <w:sz w:val="16"/>
              </w:rPr>
              <w:t xml:space="preserve"> </w:t>
            </w:r>
            <w:r>
              <w:rPr>
                <w:color w:val="231F20"/>
                <w:w w:val="80"/>
                <w:sz w:val="16"/>
              </w:rPr>
              <w:t>to</w:t>
            </w:r>
            <w:r>
              <w:rPr>
                <w:color w:val="231F20"/>
                <w:spacing w:val="-8"/>
                <w:w w:val="80"/>
                <w:sz w:val="16"/>
              </w:rPr>
              <w:t xml:space="preserve"> </w:t>
            </w:r>
            <w:r>
              <w:rPr>
                <w:color w:val="231F20"/>
                <w:w w:val="80"/>
                <w:sz w:val="16"/>
              </w:rPr>
              <w:t>diagnosis</w:t>
            </w:r>
            <w:r>
              <w:rPr>
                <w:color w:val="231F20"/>
                <w:spacing w:val="-8"/>
                <w:w w:val="80"/>
                <w:sz w:val="16"/>
              </w:rPr>
              <w:t xml:space="preserve"> </w:t>
            </w:r>
            <w:r>
              <w:rPr>
                <w:color w:val="231F20"/>
                <w:w w:val="80"/>
                <w:sz w:val="16"/>
              </w:rPr>
              <w:t>and</w:t>
            </w:r>
            <w:r>
              <w:rPr>
                <w:color w:val="231F20"/>
                <w:spacing w:val="-7"/>
                <w:w w:val="80"/>
                <w:sz w:val="16"/>
              </w:rPr>
              <w:t xml:space="preserve"> </w:t>
            </w:r>
            <w:r>
              <w:rPr>
                <w:color w:val="231F20"/>
                <w:w w:val="80"/>
                <w:sz w:val="16"/>
              </w:rPr>
              <w:t>management</w:t>
            </w:r>
            <w:r>
              <w:rPr>
                <w:color w:val="231F20"/>
                <w:spacing w:val="-8"/>
                <w:w w:val="80"/>
                <w:sz w:val="16"/>
              </w:rPr>
              <w:t xml:space="preserve"> </w:t>
            </w:r>
            <w:r>
              <w:rPr>
                <w:color w:val="231F20"/>
                <w:w w:val="80"/>
                <w:sz w:val="16"/>
              </w:rPr>
              <w:t xml:space="preserve">services </w:t>
            </w:r>
            <w:r>
              <w:rPr>
                <w:color w:val="231F20"/>
                <w:w w:val="90"/>
                <w:sz w:val="16"/>
              </w:rPr>
              <w:t>for</w:t>
            </w:r>
            <w:r>
              <w:rPr>
                <w:color w:val="231F20"/>
                <w:spacing w:val="-7"/>
                <w:w w:val="90"/>
                <w:sz w:val="16"/>
              </w:rPr>
              <w:t xml:space="preserve"> </w:t>
            </w:r>
            <w:r>
              <w:rPr>
                <w:color w:val="231F20"/>
                <w:w w:val="90"/>
                <w:sz w:val="16"/>
              </w:rPr>
              <w:t>DR-TB</w:t>
            </w:r>
          </w:p>
        </w:tc>
        <w:tc>
          <w:tcPr>
            <w:tcW w:w="2538" w:type="dxa"/>
            <w:tcBorders>
              <w:left w:val="single" w:sz="6" w:space="0" w:color="231F20"/>
              <w:right w:val="single" w:sz="6" w:space="0" w:color="231F20"/>
            </w:tcBorders>
            <w:shd w:val="clear" w:color="auto" w:fill="CCE7D3"/>
          </w:tcPr>
          <w:p w14:paraId="68C345B5" w14:textId="77777777" w:rsidR="009948F1" w:rsidRDefault="00BC0563">
            <w:pPr>
              <w:pStyle w:val="TableParagraph"/>
              <w:numPr>
                <w:ilvl w:val="0"/>
                <w:numId w:val="157"/>
              </w:numPr>
              <w:tabs>
                <w:tab w:val="left" w:pos="105"/>
              </w:tabs>
              <w:spacing w:line="264" w:lineRule="auto"/>
              <w:ind w:right="176" w:firstLine="0"/>
              <w:rPr>
                <w:sz w:val="16"/>
              </w:rPr>
            </w:pPr>
            <w:r>
              <w:rPr>
                <w:color w:val="231F20"/>
                <w:w w:val="80"/>
                <w:sz w:val="16"/>
              </w:rPr>
              <w:t>Robust</w:t>
            </w:r>
            <w:r>
              <w:rPr>
                <w:color w:val="231F20"/>
                <w:spacing w:val="-9"/>
                <w:w w:val="80"/>
                <w:sz w:val="16"/>
              </w:rPr>
              <w:t xml:space="preserve"> </w:t>
            </w:r>
            <w:r>
              <w:rPr>
                <w:color w:val="231F20"/>
                <w:w w:val="80"/>
                <w:sz w:val="16"/>
              </w:rPr>
              <w:t>DR-TB</w:t>
            </w:r>
            <w:r>
              <w:rPr>
                <w:color w:val="231F20"/>
                <w:spacing w:val="-9"/>
                <w:w w:val="80"/>
                <w:sz w:val="16"/>
              </w:rPr>
              <w:t xml:space="preserve"> </w:t>
            </w:r>
            <w:r>
              <w:rPr>
                <w:color w:val="231F20"/>
                <w:w w:val="80"/>
                <w:sz w:val="16"/>
              </w:rPr>
              <w:t>diagnosis,</w:t>
            </w:r>
            <w:r>
              <w:rPr>
                <w:color w:val="231F20"/>
                <w:spacing w:val="-8"/>
                <w:w w:val="80"/>
                <w:sz w:val="16"/>
              </w:rPr>
              <w:t xml:space="preserve"> </w:t>
            </w:r>
            <w:r>
              <w:rPr>
                <w:color w:val="231F20"/>
                <w:w w:val="80"/>
                <w:sz w:val="16"/>
              </w:rPr>
              <w:t>treatment</w:t>
            </w:r>
            <w:r>
              <w:rPr>
                <w:color w:val="231F20"/>
                <w:spacing w:val="-9"/>
                <w:w w:val="80"/>
                <w:sz w:val="16"/>
              </w:rPr>
              <w:t xml:space="preserve"> </w:t>
            </w:r>
            <w:r>
              <w:rPr>
                <w:color w:val="231F20"/>
                <w:w w:val="80"/>
                <w:sz w:val="16"/>
              </w:rPr>
              <w:t xml:space="preserve">and </w:t>
            </w:r>
            <w:r>
              <w:rPr>
                <w:color w:val="231F20"/>
                <w:w w:val="90"/>
                <w:sz w:val="16"/>
              </w:rPr>
              <w:t>care services</w:t>
            </w:r>
            <w:r>
              <w:rPr>
                <w:color w:val="231F20"/>
                <w:spacing w:val="-25"/>
                <w:w w:val="90"/>
                <w:sz w:val="16"/>
              </w:rPr>
              <w:t xml:space="preserve"> </w:t>
            </w:r>
            <w:r>
              <w:rPr>
                <w:color w:val="231F20"/>
                <w:w w:val="90"/>
                <w:sz w:val="16"/>
              </w:rPr>
              <w:t>established</w:t>
            </w:r>
          </w:p>
          <w:p w14:paraId="26561EE6" w14:textId="77777777" w:rsidR="009948F1" w:rsidRDefault="00BC0563">
            <w:pPr>
              <w:pStyle w:val="TableParagraph"/>
              <w:spacing w:line="93" w:lineRule="exact"/>
              <w:ind w:left="25"/>
              <w:rPr>
                <w:sz w:val="16"/>
              </w:rPr>
            </w:pPr>
            <w:r>
              <w:rPr>
                <w:color w:val="231F20"/>
                <w:w w:val="78"/>
                <w:sz w:val="16"/>
              </w:rPr>
              <w:t>•</w:t>
            </w:r>
          </w:p>
        </w:tc>
        <w:tc>
          <w:tcPr>
            <w:tcW w:w="1521" w:type="dxa"/>
            <w:tcBorders>
              <w:left w:val="single" w:sz="6" w:space="0" w:color="231F20"/>
              <w:right w:val="single" w:sz="12" w:space="0" w:color="231F20"/>
            </w:tcBorders>
            <w:shd w:val="clear" w:color="auto" w:fill="CCE7D3"/>
          </w:tcPr>
          <w:p w14:paraId="50EC37D8" w14:textId="77777777" w:rsidR="009948F1" w:rsidRDefault="009948F1">
            <w:pPr>
              <w:pStyle w:val="TableParagraph"/>
              <w:rPr>
                <w:rFonts w:ascii="Times New Roman"/>
                <w:sz w:val="12"/>
              </w:rPr>
            </w:pPr>
          </w:p>
        </w:tc>
        <w:tc>
          <w:tcPr>
            <w:tcW w:w="1602" w:type="dxa"/>
            <w:tcBorders>
              <w:left w:val="single" w:sz="12" w:space="0" w:color="231F20"/>
            </w:tcBorders>
            <w:shd w:val="clear" w:color="auto" w:fill="CCE7D3"/>
          </w:tcPr>
          <w:p w14:paraId="11272E97" w14:textId="77777777" w:rsidR="009948F1" w:rsidRDefault="009948F1">
            <w:pPr>
              <w:pStyle w:val="TableParagraph"/>
              <w:rPr>
                <w:rFonts w:ascii="Times New Roman"/>
                <w:sz w:val="12"/>
              </w:rPr>
            </w:pPr>
          </w:p>
        </w:tc>
      </w:tr>
      <w:tr w:rsidR="009948F1" w14:paraId="1771D8CE" w14:textId="77777777">
        <w:trPr>
          <w:trHeight w:val="606"/>
        </w:trPr>
        <w:tc>
          <w:tcPr>
            <w:tcW w:w="488" w:type="dxa"/>
            <w:tcBorders>
              <w:right w:val="single" w:sz="6" w:space="0" w:color="231F20"/>
            </w:tcBorders>
          </w:tcPr>
          <w:p w14:paraId="6E1A19C9" w14:textId="77777777" w:rsidR="009948F1" w:rsidRDefault="009948F1">
            <w:pPr>
              <w:pStyle w:val="TableParagraph"/>
              <w:rPr>
                <w:rFonts w:ascii="Times New Roman"/>
                <w:sz w:val="12"/>
              </w:rPr>
            </w:pPr>
          </w:p>
        </w:tc>
        <w:tc>
          <w:tcPr>
            <w:tcW w:w="560" w:type="dxa"/>
            <w:tcBorders>
              <w:left w:val="single" w:sz="6" w:space="0" w:color="231F20"/>
              <w:right w:val="single" w:sz="6" w:space="0" w:color="231F20"/>
            </w:tcBorders>
          </w:tcPr>
          <w:p w14:paraId="7A5C375E" w14:textId="77777777" w:rsidR="009948F1" w:rsidRDefault="009948F1">
            <w:pPr>
              <w:pStyle w:val="TableParagraph"/>
              <w:spacing w:before="2"/>
              <w:rPr>
                <w:sz w:val="18"/>
              </w:rPr>
            </w:pPr>
          </w:p>
          <w:p w14:paraId="3EC4FB06" w14:textId="77777777" w:rsidR="009948F1" w:rsidRDefault="00BC0563">
            <w:pPr>
              <w:pStyle w:val="TableParagraph"/>
              <w:spacing w:before="1"/>
              <w:ind w:left="34" w:right="14"/>
              <w:jc w:val="center"/>
              <w:rPr>
                <w:sz w:val="16"/>
              </w:rPr>
            </w:pPr>
            <w:r>
              <w:rPr>
                <w:color w:val="231F20"/>
                <w:w w:val="85"/>
                <w:sz w:val="16"/>
              </w:rPr>
              <w:t>5.2.5.a</w:t>
            </w:r>
          </w:p>
        </w:tc>
        <w:tc>
          <w:tcPr>
            <w:tcW w:w="5211" w:type="dxa"/>
            <w:gridSpan w:val="2"/>
            <w:tcBorders>
              <w:left w:val="single" w:sz="6" w:space="0" w:color="231F20"/>
              <w:right w:val="single" w:sz="12" w:space="0" w:color="231F20"/>
            </w:tcBorders>
          </w:tcPr>
          <w:p w14:paraId="25DEE1FC" w14:textId="77777777" w:rsidR="009948F1" w:rsidRDefault="00BC0563">
            <w:pPr>
              <w:pStyle w:val="TableParagraph"/>
              <w:spacing w:before="101" w:line="264" w:lineRule="auto"/>
              <w:ind w:left="26" w:right="204"/>
              <w:rPr>
                <w:sz w:val="16"/>
              </w:rPr>
            </w:pPr>
            <w:r>
              <w:rPr>
                <w:color w:val="231F20"/>
                <w:w w:val="80"/>
                <w:sz w:val="16"/>
              </w:rPr>
              <w:t xml:space="preserve">Operating cost for engaging and supervising the contractor to establish a robust DR-TB </w:t>
            </w:r>
            <w:r>
              <w:rPr>
                <w:color w:val="231F20"/>
                <w:w w:val="90"/>
                <w:sz w:val="16"/>
              </w:rPr>
              <w:t>diagnosis, treatment and care services</w:t>
            </w:r>
          </w:p>
        </w:tc>
        <w:tc>
          <w:tcPr>
            <w:tcW w:w="1521" w:type="dxa"/>
            <w:tcBorders>
              <w:left w:val="single" w:sz="12" w:space="0" w:color="231F20"/>
              <w:right w:val="single" w:sz="6" w:space="0" w:color="231F20"/>
            </w:tcBorders>
          </w:tcPr>
          <w:p w14:paraId="72903AFD" w14:textId="77777777" w:rsidR="009948F1" w:rsidRDefault="009948F1">
            <w:pPr>
              <w:pStyle w:val="TableParagraph"/>
              <w:spacing w:before="2"/>
              <w:rPr>
                <w:sz w:val="18"/>
              </w:rPr>
            </w:pPr>
          </w:p>
          <w:p w14:paraId="2233EFD4" w14:textId="77777777" w:rsidR="009948F1" w:rsidRDefault="00BC0563">
            <w:pPr>
              <w:pStyle w:val="TableParagraph"/>
              <w:spacing w:before="1"/>
              <w:ind w:left="17"/>
              <w:rPr>
                <w:sz w:val="16"/>
              </w:rPr>
            </w:pPr>
            <w:r>
              <w:rPr>
                <w:color w:val="231F20"/>
                <w:w w:val="90"/>
                <w:sz w:val="16"/>
              </w:rPr>
              <w:t>Lack of funds</w:t>
            </w:r>
          </w:p>
        </w:tc>
        <w:tc>
          <w:tcPr>
            <w:tcW w:w="1602" w:type="dxa"/>
            <w:tcBorders>
              <w:left w:val="single" w:sz="6" w:space="0" w:color="231F20"/>
            </w:tcBorders>
          </w:tcPr>
          <w:p w14:paraId="3D844B7E" w14:textId="77777777" w:rsidR="009948F1" w:rsidRDefault="009948F1">
            <w:pPr>
              <w:pStyle w:val="TableParagraph"/>
              <w:spacing w:before="2"/>
              <w:rPr>
                <w:sz w:val="18"/>
              </w:rPr>
            </w:pPr>
          </w:p>
          <w:p w14:paraId="1750F273" w14:textId="77777777" w:rsidR="009948F1" w:rsidRDefault="00BC0563">
            <w:pPr>
              <w:pStyle w:val="TableParagraph"/>
              <w:spacing w:before="1"/>
              <w:ind w:left="22"/>
              <w:rPr>
                <w:sz w:val="16"/>
              </w:rPr>
            </w:pPr>
            <w:r>
              <w:rPr>
                <w:color w:val="231F20"/>
                <w:w w:val="90"/>
                <w:sz w:val="16"/>
              </w:rPr>
              <w:t>Costed in OHT</w:t>
            </w:r>
          </w:p>
        </w:tc>
      </w:tr>
      <w:tr w:rsidR="009948F1" w14:paraId="19562699" w14:textId="77777777">
        <w:trPr>
          <w:trHeight w:val="1927"/>
        </w:trPr>
        <w:tc>
          <w:tcPr>
            <w:tcW w:w="488" w:type="dxa"/>
            <w:tcBorders>
              <w:left w:val="single" w:sz="12" w:space="0" w:color="231F20"/>
              <w:right w:val="single" w:sz="6" w:space="0" w:color="231F20"/>
            </w:tcBorders>
            <w:shd w:val="clear" w:color="auto" w:fill="CCE7D3"/>
          </w:tcPr>
          <w:p w14:paraId="05972511" w14:textId="77777777" w:rsidR="009948F1" w:rsidRDefault="009948F1">
            <w:pPr>
              <w:pStyle w:val="TableParagraph"/>
              <w:rPr>
                <w:sz w:val="16"/>
              </w:rPr>
            </w:pPr>
          </w:p>
          <w:p w14:paraId="1275A291" w14:textId="77777777" w:rsidR="009948F1" w:rsidRDefault="009948F1">
            <w:pPr>
              <w:pStyle w:val="TableParagraph"/>
              <w:rPr>
                <w:sz w:val="16"/>
              </w:rPr>
            </w:pPr>
          </w:p>
          <w:p w14:paraId="45EA60A7" w14:textId="77777777" w:rsidR="009948F1" w:rsidRDefault="009948F1">
            <w:pPr>
              <w:pStyle w:val="TableParagraph"/>
              <w:rPr>
                <w:sz w:val="16"/>
              </w:rPr>
            </w:pPr>
          </w:p>
          <w:p w14:paraId="4B8AC78D" w14:textId="77777777" w:rsidR="009948F1" w:rsidRDefault="009948F1">
            <w:pPr>
              <w:pStyle w:val="TableParagraph"/>
              <w:rPr>
                <w:sz w:val="16"/>
              </w:rPr>
            </w:pPr>
          </w:p>
          <w:p w14:paraId="261640BE" w14:textId="77777777" w:rsidR="009948F1" w:rsidRDefault="00BC0563">
            <w:pPr>
              <w:pStyle w:val="TableParagraph"/>
              <w:spacing w:before="134"/>
              <w:ind w:left="57"/>
              <w:rPr>
                <w:sz w:val="16"/>
              </w:rPr>
            </w:pPr>
            <w:r>
              <w:rPr>
                <w:color w:val="231F20"/>
                <w:w w:val="90"/>
                <w:sz w:val="16"/>
              </w:rPr>
              <w:t>5.2.6</w:t>
            </w:r>
          </w:p>
        </w:tc>
        <w:tc>
          <w:tcPr>
            <w:tcW w:w="3233" w:type="dxa"/>
            <w:gridSpan w:val="2"/>
            <w:tcBorders>
              <w:left w:val="single" w:sz="6" w:space="0" w:color="231F20"/>
              <w:right w:val="single" w:sz="6" w:space="0" w:color="231F20"/>
            </w:tcBorders>
            <w:shd w:val="clear" w:color="auto" w:fill="CCE7D3"/>
          </w:tcPr>
          <w:p w14:paraId="3EBE8EAB" w14:textId="77777777" w:rsidR="009948F1" w:rsidRDefault="009948F1">
            <w:pPr>
              <w:pStyle w:val="TableParagraph"/>
              <w:rPr>
                <w:sz w:val="16"/>
              </w:rPr>
            </w:pPr>
          </w:p>
          <w:p w14:paraId="2F740133" w14:textId="77777777" w:rsidR="009948F1" w:rsidRDefault="009948F1">
            <w:pPr>
              <w:pStyle w:val="TableParagraph"/>
              <w:rPr>
                <w:sz w:val="16"/>
              </w:rPr>
            </w:pPr>
          </w:p>
          <w:p w14:paraId="105EDB85" w14:textId="77777777" w:rsidR="009948F1" w:rsidRDefault="009948F1">
            <w:pPr>
              <w:pStyle w:val="TableParagraph"/>
              <w:rPr>
                <w:sz w:val="16"/>
              </w:rPr>
            </w:pPr>
          </w:p>
          <w:p w14:paraId="22183690" w14:textId="77777777" w:rsidR="009948F1" w:rsidRDefault="009948F1">
            <w:pPr>
              <w:pStyle w:val="TableParagraph"/>
              <w:spacing w:before="3"/>
              <w:rPr>
                <w:sz w:val="18"/>
              </w:rPr>
            </w:pPr>
          </w:p>
          <w:p w14:paraId="15F20376" w14:textId="77777777" w:rsidR="009948F1" w:rsidRDefault="00BC0563">
            <w:pPr>
              <w:pStyle w:val="TableParagraph"/>
              <w:spacing w:line="264" w:lineRule="auto"/>
              <w:ind w:left="26" w:firstLine="35"/>
              <w:rPr>
                <w:sz w:val="16"/>
              </w:rPr>
            </w:pPr>
            <w:r>
              <w:rPr>
                <w:color w:val="231F20"/>
                <w:w w:val="80"/>
                <w:sz w:val="16"/>
              </w:rPr>
              <w:t xml:space="preserve">Strengthen collaboration with and capacity of CBOs to </w:t>
            </w:r>
            <w:r>
              <w:rPr>
                <w:color w:val="231F20"/>
                <w:w w:val="90"/>
                <w:sz w:val="16"/>
              </w:rPr>
              <w:t>support TB programming.</w:t>
            </w:r>
          </w:p>
        </w:tc>
        <w:tc>
          <w:tcPr>
            <w:tcW w:w="2538" w:type="dxa"/>
            <w:tcBorders>
              <w:left w:val="single" w:sz="6" w:space="0" w:color="231F20"/>
              <w:right w:val="single" w:sz="6" w:space="0" w:color="231F20"/>
            </w:tcBorders>
            <w:shd w:val="clear" w:color="auto" w:fill="CCE7D3"/>
          </w:tcPr>
          <w:p w14:paraId="007B94D9" w14:textId="77777777" w:rsidR="009948F1" w:rsidRDefault="009948F1">
            <w:pPr>
              <w:pStyle w:val="TableParagraph"/>
              <w:spacing w:before="1"/>
              <w:rPr>
                <w:sz w:val="14"/>
              </w:rPr>
            </w:pPr>
          </w:p>
          <w:p w14:paraId="2009E72E" w14:textId="77777777" w:rsidR="009948F1" w:rsidRDefault="00BC0563">
            <w:pPr>
              <w:pStyle w:val="TableParagraph"/>
              <w:numPr>
                <w:ilvl w:val="0"/>
                <w:numId w:val="156"/>
              </w:numPr>
              <w:tabs>
                <w:tab w:val="left" w:pos="105"/>
              </w:tabs>
              <w:spacing w:line="264" w:lineRule="auto"/>
              <w:ind w:right="98" w:firstLine="0"/>
              <w:rPr>
                <w:sz w:val="16"/>
              </w:rPr>
            </w:pPr>
            <w:r>
              <w:rPr>
                <w:color w:val="231F20"/>
                <w:w w:val="80"/>
                <w:sz w:val="16"/>
              </w:rPr>
              <w:t>CBOs</w:t>
            </w:r>
            <w:r>
              <w:rPr>
                <w:color w:val="231F20"/>
                <w:spacing w:val="-8"/>
                <w:w w:val="80"/>
                <w:sz w:val="16"/>
              </w:rPr>
              <w:t xml:space="preserve"> </w:t>
            </w:r>
            <w:r>
              <w:rPr>
                <w:color w:val="231F20"/>
                <w:w w:val="80"/>
                <w:sz w:val="16"/>
              </w:rPr>
              <w:t>engaged</w:t>
            </w:r>
            <w:r>
              <w:rPr>
                <w:color w:val="231F20"/>
                <w:spacing w:val="-7"/>
                <w:w w:val="80"/>
                <w:sz w:val="16"/>
              </w:rPr>
              <w:t xml:space="preserve"> </w:t>
            </w:r>
            <w:r>
              <w:rPr>
                <w:color w:val="231F20"/>
                <w:w w:val="80"/>
                <w:sz w:val="16"/>
              </w:rPr>
              <w:t>&amp;</w:t>
            </w:r>
            <w:r>
              <w:rPr>
                <w:color w:val="231F20"/>
                <w:spacing w:val="-8"/>
                <w:w w:val="80"/>
                <w:sz w:val="16"/>
              </w:rPr>
              <w:t xml:space="preserve"> </w:t>
            </w:r>
            <w:r>
              <w:rPr>
                <w:color w:val="231F20"/>
                <w:w w:val="80"/>
                <w:sz w:val="16"/>
              </w:rPr>
              <w:t>trained</w:t>
            </w:r>
            <w:r>
              <w:rPr>
                <w:color w:val="231F20"/>
                <w:spacing w:val="-7"/>
                <w:w w:val="80"/>
                <w:sz w:val="16"/>
              </w:rPr>
              <w:t xml:space="preserve"> </w:t>
            </w:r>
            <w:r>
              <w:rPr>
                <w:color w:val="231F20"/>
                <w:w w:val="80"/>
                <w:sz w:val="16"/>
              </w:rPr>
              <w:t>on</w:t>
            </w:r>
            <w:r>
              <w:rPr>
                <w:color w:val="231F20"/>
                <w:spacing w:val="-7"/>
                <w:w w:val="80"/>
                <w:sz w:val="16"/>
              </w:rPr>
              <w:t xml:space="preserve"> </w:t>
            </w:r>
            <w:r>
              <w:rPr>
                <w:color w:val="231F20"/>
                <w:w w:val="80"/>
                <w:sz w:val="16"/>
              </w:rPr>
              <w:t xml:space="preserve">identification </w:t>
            </w:r>
            <w:r>
              <w:rPr>
                <w:color w:val="231F20"/>
                <w:w w:val="85"/>
                <w:sz w:val="16"/>
              </w:rPr>
              <w:t>of</w:t>
            </w:r>
            <w:r>
              <w:rPr>
                <w:color w:val="231F20"/>
                <w:spacing w:val="-20"/>
                <w:w w:val="85"/>
                <w:sz w:val="16"/>
              </w:rPr>
              <w:t xml:space="preserve"> </w:t>
            </w:r>
            <w:r>
              <w:rPr>
                <w:color w:val="231F20"/>
                <w:w w:val="85"/>
                <w:sz w:val="16"/>
              </w:rPr>
              <w:t>people</w:t>
            </w:r>
            <w:r>
              <w:rPr>
                <w:color w:val="231F20"/>
                <w:spacing w:val="-19"/>
                <w:w w:val="85"/>
                <w:sz w:val="16"/>
              </w:rPr>
              <w:t xml:space="preserve"> </w:t>
            </w:r>
            <w:r>
              <w:rPr>
                <w:color w:val="231F20"/>
                <w:w w:val="85"/>
                <w:sz w:val="16"/>
              </w:rPr>
              <w:t>with</w:t>
            </w:r>
            <w:r>
              <w:rPr>
                <w:color w:val="231F20"/>
                <w:spacing w:val="-21"/>
                <w:w w:val="85"/>
                <w:sz w:val="16"/>
              </w:rPr>
              <w:t xml:space="preserve"> </w:t>
            </w:r>
            <w:r>
              <w:rPr>
                <w:color w:val="231F20"/>
                <w:w w:val="85"/>
                <w:sz w:val="16"/>
              </w:rPr>
              <w:t>TB</w:t>
            </w:r>
            <w:r>
              <w:rPr>
                <w:color w:val="231F20"/>
                <w:spacing w:val="-19"/>
                <w:w w:val="85"/>
                <w:sz w:val="16"/>
              </w:rPr>
              <w:t xml:space="preserve"> </w:t>
            </w:r>
            <w:r>
              <w:rPr>
                <w:color w:val="231F20"/>
                <w:w w:val="85"/>
                <w:sz w:val="16"/>
              </w:rPr>
              <w:t>symptoms</w:t>
            </w:r>
            <w:r>
              <w:rPr>
                <w:color w:val="231F20"/>
                <w:spacing w:val="-20"/>
                <w:w w:val="85"/>
                <w:sz w:val="16"/>
              </w:rPr>
              <w:t xml:space="preserve"> </w:t>
            </w:r>
            <w:r>
              <w:rPr>
                <w:color w:val="231F20"/>
                <w:w w:val="85"/>
                <w:sz w:val="16"/>
              </w:rPr>
              <w:t>and</w:t>
            </w:r>
            <w:r>
              <w:rPr>
                <w:color w:val="231F20"/>
                <w:spacing w:val="-19"/>
                <w:w w:val="85"/>
                <w:sz w:val="16"/>
              </w:rPr>
              <w:t xml:space="preserve"> </w:t>
            </w:r>
            <w:r>
              <w:rPr>
                <w:color w:val="231F20"/>
                <w:w w:val="85"/>
                <w:sz w:val="16"/>
              </w:rPr>
              <w:t>referral</w:t>
            </w:r>
          </w:p>
          <w:p w14:paraId="36F698D8" w14:textId="77777777" w:rsidR="009948F1" w:rsidRDefault="00BC0563">
            <w:pPr>
              <w:pStyle w:val="TableParagraph"/>
              <w:numPr>
                <w:ilvl w:val="0"/>
                <w:numId w:val="156"/>
              </w:numPr>
              <w:tabs>
                <w:tab w:val="left" w:pos="105"/>
              </w:tabs>
              <w:spacing w:line="264" w:lineRule="auto"/>
              <w:ind w:right="39" w:firstLine="0"/>
              <w:rPr>
                <w:sz w:val="16"/>
              </w:rPr>
            </w:pPr>
            <w:r>
              <w:rPr>
                <w:color w:val="231F20"/>
                <w:w w:val="85"/>
                <w:sz w:val="16"/>
              </w:rPr>
              <w:t xml:space="preserve">FBO health facilities and private health </w:t>
            </w:r>
            <w:r>
              <w:rPr>
                <w:color w:val="231F20"/>
                <w:w w:val="80"/>
                <w:sz w:val="16"/>
              </w:rPr>
              <w:t>facilities</w:t>
            </w:r>
            <w:r>
              <w:rPr>
                <w:color w:val="231F20"/>
                <w:spacing w:val="-8"/>
                <w:w w:val="80"/>
                <w:sz w:val="16"/>
              </w:rPr>
              <w:t xml:space="preserve"> </w:t>
            </w:r>
            <w:r>
              <w:rPr>
                <w:color w:val="231F20"/>
                <w:w w:val="80"/>
                <w:sz w:val="16"/>
              </w:rPr>
              <w:t>engaged</w:t>
            </w:r>
            <w:r>
              <w:rPr>
                <w:color w:val="231F20"/>
                <w:spacing w:val="-8"/>
                <w:w w:val="80"/>
                <w:sz w:val="16"/>
              </w:rPr>
              <w:t xml:space="preserve"> </w:t>
            </w:r>
            <w:r>
              <w:rPr>
                <w:color w:val="231F20"/>
                <w:w w:val="80"/>
                <w:sz w:val="16"/>
              </w:rPr>
              <w:t>in</w:t>
            </w:r>
            <w:r>
              <w:rPr>
                <w:color w:val="231F20"/>
                <w:spacing w:val="-7"/>
                <w:w w:val="80"/>
                <w:sz w:val="16"/>
              </w:rPr>
              <w:t xml:space="preserve"> </w:t>
            </w:r>
            <w:r>
              <w:rPr>
                <w:color w:val="231F20"/>
                <w:w w:val="80"/>
                <w:sz w:val="16"/>
              </w:rPr>
              <w:t>providing</w:t>
            </w:r>
            <w:r>
              <w:rPr>
                <w:color w:val="231F20"/>
                <w:spacing w:val="-10"/>
                <w:w w:val="80"/>
                <w:sz w:val="16"/>
              </w:rPr>
              <w:t xml:space="preserve"> </w:t>
            </w:r>
            <w:r>
              <w:rPr>
                <w:color w:val="231F20"/>
                <w:w w:val="80"/>
                <w:sz w:val="16"/>
              </w:rPr>
              <w:t>TB</w:t>
            </w:r>
            <w:r>
              <w:rPr>
                <w:color w:val="231F20"/>
                <w:spacing w:val="-7"/>
                <w:w w:val="80"/>
                <w:sz w:val="16"/>
              </w:rPr>
              <w:t xml:space="preserve"> </w:t>
            </w:r>
            <w:r>
              <w:rPr>
                <w:color w:val="231F20"/>
                <w:w w:val="80"/>
                <w:sz w:val="16"/>
              </w:rPr>
              <w:t xml:space="preserve">diagnostic </w:t>
            </w:r>
            <w:r>
              <w:rPr>
                <w:color w:val="231F20"/>
                <w:w w:val="90"/>
                <w:sz w:val="16"/>
              </w:rPr>
              <w:t>services</w:t>
            </w:r>
          </w:p>
          <w:p w14:paraId="2D52603D" w14:textId="77777777" w:rsidR="009948F1" w:rsidRDefault="00BC0563">
            <w:pPr>
              <w:pStyle w:val="TableParagraph"/>
              <w:numPr>
                <w:ilvl w:val="0"/>
                <w:numId w:val="156"/>
              </w:numPr>
              <w:tabs>
                <w:tab w:val="left" w:pos="71"/>
              </w:tabs>
              <w:spacing w:line="264" w:lineRule="auto"/>
              <w:ind w:right="174" w:firstLine="0"/>
              <w:rPr>
                <w:sz w:val="16"/>
              </w:rPr>
            </w:pPr>
            <w:r>
              <w:rPr>
                <w:color w:val="231F20"/>
                <w:w w:val="85"/>
                <w:sz w:val="16"/>
              </w:rPr>
              <w:t xml:space="preserve">Education &amp; Sensitization meeting for </w:t>
            </w:r>
            <w:r>
              <w:rPr>
                <w:color w:val="231F20"/>
                <w:w w:val="80"/>
                <w:sz w:val="16"/>
              </w:rPr>
              <w:t>community</w:t>
            </w:r>
            <w:r>
              <w:rPr>
                <w:color w:val="231F20"/>
                <w:spacing w:val="-11"/>
                <w:w w:val="80"/>
                <w:sz w:val="16"/>
              </w:rPr>
              <w:t xml:space="preserve"> </w:t>
            </w:r>
            <w:r>
              <w:rPr>
                <w:color w:val="231F20"/>
                <w:w w:val="80"/>
                <w:sz w:val="16"/>
              </w:rPr>
              <w:t>members</w:t>
            </w:r>
            <w:r>
              <w:rPr>
                <w:color w:val="231F20"/>
                <w:spacing w:val="-11"/>
                <w:w w:val="80"/>
                <w:sz w:val="16"/>
              </w:rPr>
              <w:t xml:space="preserve"> </w:t>
            </w:r>
            <w:r>
              <w:rPr>
                <w:color w:val="231F20"/>
                <w:w w:val="80"/>
                <w:sz w:val="16"/>
              </w:rPr>
              <w:t>on</w:t>
            </w:r>
            <w:r>
              <w:rPr>
                <w:color w:val="231F20"/>
                <w:spacing w:val="-13"/>
                <w:w w:val="80"/>
                <w:sz w:val="16"/>
              </w:rPr>
              <w:t xml:space="preserve"> </w:t>
            </w:r>
            <w:r>
              <w:rPr>
                <w:color w:val="231F20"/>
                <w:w w:val="80"/>
                <w:sz w:val="16"/>
              </w:rPr>
              <w:t>TB</w:t>
            </w:r>
            <w:r>
              <w:rPr>
                <w:color w:val="231F20"/>
                <w:spacing w:val="-10"/>
                <w:w w:val="80"/>
                <w:sz w:val="16"/>
              </w:rPr>
              <w:t xml:space="preserve"> </w:t>
            </w:r>
            <w:r>
              <w:rPr>
                <w:color w:val="231F20"/>
                <w:w w:val="80"/>
                <w:sz w:val="16"/>
              </w:rPr>
              <w:t xml:space="preserve">programming </w:t>
            </w:r>
            <w:r>
              <w:rPr>
                <w:color w:val="231F20"/>
                <w:w w:val="90"/>
                <w:sz w:val="16"/>
              </w:rPr>
              <w:t>held</w:t>
            </w:r>
            <w:r>
              <w:rPr>
                <w:color w:val="231F20"/>
                <w:spacing w:val="-10"/>
                <w:w w:val="90"/>
                <w:sz w:val="16"/>
              </w:rPr>
              <w:t xml:space="preserve"> </w:t>
            </w:r>
            <w:r>
              <w:rPr>
                <w:color w:val="231F20"/>
                <w:w w:val="90"/>
                <w:sz w:val="16"/>
              </w:rPr>
              <w:t>in</w:t>
            </w:r>
            <w:r>
              <w:rPr>
                <w:color w:val="231F20"/>
                <w:spacing w:val="-9"/>
                <w:w w:val="90"/>
                <w:sz w:val="16"/>
              </w:rPr>
              <w:t xml:space="preserve"> </w:t>
            </w:r>
            <w:r>
              <w:rPr>
                <w:color w:val="231F20"/>
                <w:w w:val="90"/>
                <w:sz w:val="16"/>
              </w:rPr>
              <w:t>the</w:t>
            </w:r>
            <w:r>
              <w:rPr>
                <w:color w:val="231F20"/>
                <w:spacing w:val="-9"/>
                <w:w w:val="90"/>
                <w:sz w:val="16"/>
              </w:rPr>
              <w:t xml:space="preserve"> </w:t>
            </w:r>
            <w:r>
              <w:rPr>
                <w:color w:val="231F20"/>
                <w:w w:val="90"/>
                <w:sz w:val="16"/>
              </w:rPr>
              <w:t>23</w:t>
            </w:r>
            <w:r>
              <w:rPr>
                <w:color w:val="231F20"/>
                <w:spacing w:val="-9"/>
                <w:w w:val="90"/>
                <w:sz w:val="16"/>
              </w:rPr>
              <w:t xml:space="preserve"> </w:t>
            </w:r>
            <w:r>
              <w:rPr>
                <w:color w:val="231F20"/>
                <w:w w:val="90"/>
                <w:sz w:val="16"/>
              </w:rPr>
              <w:t>LGAs</w:t>
            </w:r>
          </w:p>
        </w:tc>
        <w:tc>
          <w:tcPr>
            <w:tcW w:w="1521" w:type="dxa"/>
            <w:tcBorders>
              <w:left w:val="single" w:sz="6" w:space="0" w:color="231F20"/>
              <w:right w:val="single" w:sz="12" w:space="0" w:color="231F20"/>
            </w:tcBorders>
            <w:shd w:val="clear" w:color="auto" w:fill="CCE7D3"/>
          </w:tcPr>
          <w:p w14:paraId="4C42C426" w14:textId="77777777" w:rsidR="009948F1" w:rsidRDefault="009948F1">
            <w:pPr>
              <w:pStyle w:val="TableParagraph"/>
              <w:rPr>
                <w:rFonts w:ascii="Times New Roman"/>
                <w:sz w:val="12"/>
              </w:rPr>
            </w:pPr>
          </w:p>
        </w:tc>
        <w:tc>
          <w:tcPr>
            <w:tcW w:w="1602" w:type="dxa"/>
            <w:tcBorders>
              <w:left w:val="single" w:sz="12" w:space="0" w:color="231F20"/>
            </w:tcBorders>
            <w:shd w:val="clear" w:color="auto" w:fill="CCE7D3"/>
          </w:tcPr>
          <w:p w14:paraId="386BC44A" w14:textId="77777777" w:rsidR="009948F1" w:rsidRDefault="009948F1">
            <w:pPr>
              <w:pStyle w:val="TableParagraph"/>
              <w:rPr>
                <w:rFonts w:ascii="Times New Roman"/>
                <w:sz w:val="12"/>
              </w:rPr>
            </w:pPr>
          </w:p>
        </w:tc>
      </w:tr>
      <w:tr w:rsidR="009948F1" w14:paraId="032612E6" w14:textId="77777777">
        <w:trPr>
          <w:trHeight w:val="704"/>
        </w:trPr>
        <w:tc>
          <w:tcPr>
            <w:tcW w:w="488" w:type="dxa"/>
            <w:vMerge w:val="restart"/>
            <w:tcBorders>
              <w:right w:val="single" w:sz="6" w:space="0" w:color="231F20"/>
            </w:tcBorders>
          </w:tcPr>
          <w:p w14:paraId="19137BA6" w14:textId="77777777" w:rsidR="009948F1" w:rsidRDefault="009948F1">
            <w:pPr>
              <w:pStyle w:val="TableParagraph"/>
              <w:rPr>
                <w:rFonts w:ascii="Times New Roman"/>
                <w:sz w:val="12"/>
              </w:rPr>
            </w:pPr>
          </w:p>
        </w:tc>
        <w:tc>
          <w:tcPr>
            <w:tcW w:w="560" w:type="dxa"/>
            <w:tcBorders>
              <w:left w:val="single" w:sz="6" w:space="0" w:color="231F20"/>
              <w:right w:val="single" w:sz="6" w:space="0" w:color="231F20"/>
            </w:tcBorders>
          </w:tcPr>
          <w:p w14:paraId="1B7B4E66" w14:textId="77777777" w:rsidR="009948F1" w:rsidRDefault="009948F1">
            <w:pPr>
              <w:pStyle w:val="TableParagraph"/>
              <w:spacing w:before="6"/>
            </w:pPr>
          </w:p>
          <w:p w14:paraId="647B5048" w14:textId="77777777" w:rsidR="009948F1" w:rsidRDefault="00BC0563">
            <w:pPr>
              <w:pStyle w:val="TableParagraph"/>
              <w:ind w:left="34" w:right="14"/>
              <w:jc w:val="center"/>
              <w:rPr>
                <w:sz w:val="16"/>
              </w:rPr>
            </w:pPr>
            <w:r>
              <w:rPr>
                <w:color w:val="231F20"/>
                <w:w w:val="85"/>
                <w:sz w:val="16"/>
              </w:rPr>
              <w:t>5.2.6.a</w:t>
            </w:r>
          </w:p>
        </w:tc>
        <w:tc>
          <w:tcPr>
            <w:tcW w:w="5211" w:type="dxa"/>
            <w:gridSpan w:val="2"/>
            <w:tcBorders>
              <w:left w:val="single" w:sz="6" w:space="0" w:color="231F20"/>
              <w:right w:val="single" w:sz="6" w:space="0" w:color="231F20"/>
            </w:tcBorders>
          </w:tcPr>
          <w:p w14:paraId="69C3C0F5" w14:textId="77777777" w:rsidR="009948F1" w:rsidRDefault="00BC0563">
            <w:pPr>
              <w:pStyle w:val="TableParagraph"/>
              <w:spacing w:before="50" w:line="264" w:lineRule="auto"/>
              <w:ind w:left="26" w:right="20"/>
              <w:rPr>
                <w:sz w:val="16"/>
              </w:rPr>
            </w:pPr>
            <w:r>
              <w:rPr>
                <w:color w:val="231F20"/>
                <w:w w:val="80"/>
                <w:sz w:val="16"/>
              </w:rPr>
              <w:t xml:space="preserve">Engage patent medicine vendors and community pharmacists, traditional healers, religious leaders and other first-points-of-contact in identification of people with TB symptoms and </w:t>
            </w:r>
            <w:r>
              <w:rPr>
                <w:color w:val="231F20"/>
                <w:w w:val="90"/>
                <w:sz w:val="16"/>
              </w:rPr>
              <w:t>referral for evaluation</w:t>
            </w:r>
          </w:p>
        </w:tc>
        <w:tc>
          <w:tcPr>
            <w:tcW w:w="1521" w:type="dxa"/>
            <w:tcBorders>
              <w:left w:val="single" w:sz="6" w:space="0" w:color="231F20"/>
              <w:right w:val="single" w:sz="6" w:space="0" w:color="231F20"/>
            </w:tcBorders>
          </w:tcPr>
          <w:p w14:paraId="15CE58F0" w14:textId="77777777" w:rsidR="009948F1" w:rsidRDefault="009948F1">
            <w:pPr>
              <w:pStyle w:val="TableParagraph"/>
              <w:spacing w:before="6"/>
            </w:pPr>
          </w:p>
          <w:p w14:paraId="2836B22D"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555E2AA9" w14:textId="77777777" w:rsidR="009948F1" w:rsidRDefault="009948F1">
            <w:pPr>
              <w:pStyle w:val="TableParagraph"/>
              <w:spacing w:before="6"/>
            </w:pPr>
          </w:p>
          <w:p w14:paraId="189765B8" w14:textId="77777777" w:rsidR="009948F1" w:rsidRDefault="00BC0563">
            <w:pPr>
              <w:pStyle w:val="TableParagraph"/>
              <w:ind w:left="22"/>
              <w:rPr>
                <w:sz w:val="16"/>
              </w:rPr>
            </w:pPr>
            <w:r>
              <w:rPr>
                <w:color w:val="231F20"/>
                <w:w w:val="90"/>
                <w:sz w:val="16"/>
              </w:rPr>
              <w:t>No cost</w:t>
            </w:r>
          </w:p>
        </w:tc>
      </w:tr>
      <w:tr w:rsidR="009948F1" w14:paraId="79B6801A" w14:textId="77777777">
        <w:trPr>
          <w:trHeight w:val="387"/>
        </w:trPr>
        <w:tc>
          <w:tcPr>
            <w:tcW w:w="488" w:type="dxa"/>
            <w:vMerge/>
            <w:tcBorders>
              <w:top w:val="nil"/>
              <w:right w:val="single" w:sz="6" w:space="0" w:color="231F20"/>
            </w:tcBorders>
          </w:tcPr>
          <w:p w14:paraId="66AFA6DE" w14:textId="77777777" w:rsidR="009948F1" w:rsidRDefault="009948F1">
            <w:pPr>
              <w:rPr>
                <w:sz w:val="2"/>
                <w:szCs w:val="2"/>
              </w:rPr>
            </w:pPr>
          </w:p>
        </w:tc>
        <w:tc>
          <w:tcPr>
            <w:tcW w:w="560" w:type="dxa"/>
            <w:tcBorders>
              <w:left w:val="single" w:sz="6" w:space="0" w:color="231F20"/>
              <w:right w:val="single" w:sz="6" w:space="0" w:color="231F20"/>
            </w:tcBorders>
          </w:tcPr>
          <w:p w14:paraId="7BA17E05" w14:textId="77777777" w:rsidR="009948F1" w:rsidRDefault="00BC0563">
            <w:pPr>
              <w:pStyle w:val="TableParagraph"/>
              <w:spacing w:before="99"/>
              <w:ind w:left="34" w:right="14"/>
              <w:jc w:val="center"/>
              <w:rPr>
                <w:sz w:val="16"/>
              </w:rPr>
            </w:pPr>
            <w:r>
              <w:rPr>
                <w:color w:val="231F20"/>
                <w:w w:val="85"/>
                <w:sz w:val="16"/>
              </w:rPr>
              <w:t>5.2.6.b</w:t>
            </w:r>
          </w:p>
        </w:tc>
        <w:tc>
          <w:tcPr>
            <w:tcW w:w="5211" w:type="dxa"/>
            <w:gridSpan w:val="2"/>
            <w:tcBorders>
              <w:left w:val="single" w:sz="6" w:space="0" w:color="231F20"/>
              <w:right w:val="single" w:sz="6" w:space="0" w:color="231F20"/>
            </w:tcBorders>
          </w:tcPr>
          <w:p w14:paraId="7D6C81D2" w14:textId="77777777" w:rsidR="009948F1" w:rsidRDefault="00BC0563">
            <w:pPr>
              <w:pStyle w:val="TableParagraph"/>
              <w:spacing w:before="93"/>
              <w:ind w:left="26"/>
              <w:rPr>
                <w:sz w:val="16"/>
              </w:rPr>
            </w:pPr>
            <w:r>
              <w:rPr>
                <w:color w:val="231F20"/>
                <w:w w:val="80"/>
                <w:sz w:val="16"/>
              </w:rPr>
              <w:t>Engage FBO health facilities and private health facilities in providing TB diagnostic services</w:t>
            </w:r>
          </w:p>
        </w:tc>
        <w:tc>
          <w:tcPr>
            <w:tcW w:w="1521" w:type="dxa"/>
            <w:tcBorders>
              <w:left w:val="single" w:sz="6" w:space="0" w:color="231F20"/>
              <w:right w:val="single" w:sz="6" w:space="0" w:color="231F20"/>
            </w:tcBorders>
          </w:tcPr>
          <w:p w14:paraId="46BD46CE" w14:textId="77777777" w:rsidR="009948F1" w:rsidRDefault="00BC0563">
            <w:pPr>
              <w:pStyle w:val="TableParagraph"/>
              <w:spacing w:before="99"/>
              <w:ind w:left="24"/>
              <w:rPr>
                <w:sz w:val="16"/>
              </w:rPr>
            </w:pPr>
            <w:r>
              <w:rPr>
                <w:color w:val="231F20"/>
                <w:w w:val="90"/>
                <w:sz w:val="16"/>
              </w:rPr>
              <w:t>Lack of funds</w:t>
            </w:r>
          </w:p>
        </w:tc>
        <w:tc>
          <w:tcPr>
            <w:tcW w:w="1602" w:type="dxa"/>
            <w:tcBorders>
              <w:left w:val="single" w:sz="6" w:space="0" w:color="231F20"/>
            </w:tcBorders>
          </w:tcPr>
          <w:p w14:paraId="66522DDE" w14:textId="77777777" w:rsidR="009948F1" w:rsidRDefault="00BC0563">
            <w:pPr>
              <w:pStyle w:val="TableParagraph"/>
              <w:spacing w:before="99"/>
              <w:ind w:left="22"/>
              <w:rPr>
                <w:sz w:val="16"/>
              </w:rPr>
            </w:pPr>
            <w:r>
              <w:rPr>
                <w:color w:val="231F20"/>
                <w:w w:val="90"/>
                <w:sz w:val="16"/>
              </w:rPr>
              <w:t>No cost</w:t>
            </w:r>
          </w:p>
        </w:tc>
      </w:tr>
      <w:tr w:rsidR="009948F1" w14:paraId="509E6C95" w14:textId="77777777">
        <w:trPr>
          <w:trHeight w:val="417"/>
        </w:trPr>
        <w:tc>
          <w:tcPr>
            <w:tcW w:w="488" w:type="dxa"/>
            <w:vMerge/>
            <w:tcBorders>
              <w:top w:val="nil"/>
              <w:right w:val="single" w:sz="6" w:space="0" w:color="231F20"/>
            </w:tcBorders>
          </w:tcPr>
          <w:p w14:paraId="695D5935" w14:textId="77777777" w:rsidR="009948F1" w:rsidRDefault="009948F1">
            <w:pPr>
              <w:rPr>
                <w:sz w:val="2"/>
                <w:szCs w:val="2"/>
              </w:rPr>
            </w:pPr>
          </w:p>
        </w:tc>
        <w:tc>
          <w:tcPr>
            <w:tcW w:w="560" w:type="dxa"/>
            <w:tcBorders>
              <w:left w:val="single" w:sz="6" w:space="0" w:color="231F20"/>
              <w:right w:val="single" w:sz="6" w:space="0" w:color="231F20"/>
            </w:tcBorders>
          </w:tcPr>
          <w:p w14:paraId="3D343885" w14:textId="77777777" w:rsidR="009948F1" w:rsidRDefault="00BC0563">
            <w:pPr>
              <w:pStyle w:val="TableParagraph"/>
              <w:spacing w:before="114"/>
              <w:ind w:left="34" w:right="14"/>
              <w:jc w:val="center"/>
              <w:rPr>
                <w:sz w:val="16"/>
              </w:rPr>
            </w:pPr>
            <w:r>
              <w:rPr>
                <w:color w:val="231F20"/>
                <w:w w:val="85"/>
                <w:sz w:val="16"/>
              </w:rPr>
              <w:t>5.2.6.c</w:t>
            </w:r>
          </w:p>
        </w:tc>
        <w:tc>
          <w:tcPr>
            <w:tcW w:w="5211" w:type="dxa"/>
            <w:gridSpan w:val="2"/>
            <w:tcBorders>
              <w:left w:val="single" w:sz="6" w:space="0" w:color="231F20"/>
              <w:right w:val="single" w:sz="6" w:space="0" w:color="231F20"/>
            </w:tcBorders>
          </w:tcPr>
          <w:p w14:paraId="1769203C" w14:textId="77777777" w:rsidR="009948F1" w:rsidRDefault="00BC0563">
            <w:pPr>
              <w:pStyle w:val="TableParagraph"/>
              <w:spacing w:before="108"/>
              <w:ind w:left="26"/>
              <w:rPr>
                <w:sz w:val="16"/>
              </w:rPr>
            </w:pPr>
            <w:r>
              <w:rPr>
                <w:color w:val="231F20"/>
                <w:w w:val="90"/>
                <w:sz w:val="16"/>
              </w:rPr>
              <w:t>Conduct training to increase capacity of CBOs for PMV in the 23 LGAs</w:t>
            </w:r>
          </w:p>
        </w:tc>
        <w:tc>
          <w:tcPr>
            <w:tcW w:w="1521" w:type="dxa"/>
            <w:tcBorders>
              <w:left w:val="single" w:sz="6" w:space="0" w:color="231F20"/>
              <w:right w:val="single" w:sz="6" w:space="0" w:color="231F20"/>
            </w:tcBorders>
          </w:tcPr>
          <w:p w14:paraId="37065013" w14:textId="77777777" w:rsidR="009948F1" w:rsidRDefault="00BC0563">
            <w:pPr>
              <w:pStyle w:val="TableParagraph"/>
              <w:spacing w:before="114"/>
              <w:ind w:left="24"/>
              <w:rPr>
                <w:sz w:val="16"/>
              </w:rPr>
            </w:pPr>
            <w:r>
              <w:rPr>
                <w:color w:val="231F20"/>
                <w:w w:val="90"/>
                <w:sz w:val="16"/>
              </w:rPr>
              <w:t>Lack of funds</w:t>
            </w:r>
          </w:p>
        </w:tc>
        <w:tc>
          <w:tcPr>
            <w:tcW w:w="1602" w:type="dxa"/>
            <w:tcBorders>
              <w:left w:val="single" w:sz="6" w:space="0" w:color="231F20"/>
            </w:tcBorders>
          </w:tcPr>
          <w:p w14:paraId="083ABE2D" w14:textId="77777777" w:rsidR="009948F1" w:rsidRDefault="00BC0563">
            <w:pPr>
              <w:pStyle w:val="TableParagraph"/>
              <w:spacing w:before="114"/>
              <w:ind w:left="22"/>
              <w:rPr>
                <w:sz w:val="16"/>
              </w:rPr>
            </w:pPr>
            <w:r>
              <w:rPr>
                <w:color w:val="231F20"/>
                <w:w w:val="90"/>
                <w:sz w:val="16"/>
              </w:rPr>
              <w:t>Conduct training</w:t>
            </w:r>
          </w:p>
        </w:tc>
      </w:tr>
      <w:tr w:rsidR="009948F1" w14:paraId="2DE4FCF0" w14:textId="77777777">
        <w:trPr>
          <w:trHeight w:val="556"/>
        </w:trPr>
        <w:tc>
          <w:tcPr>
            <w:tcW w:w="488" w:type="dxa"/>
            <w:vMerge/>
            <w:tcBorders>
              <w:top w:val="nil"/>
              <w:right w:val="single" w:sz="6" w:space="0" w:color="231F20"/>
            </w:tcBorders>
          </w:tcPr>
          <w:p w14:paraId="68B87EB9" w14:textId="77777777" w:rsidR="009948F1" w:rsidRDefault="009948F1">
            <w:pPr>
              <w:rPr>
                <w:sz w:val="2"/>
                <w:szCs w:val="2"/>
              </w:rPr>
            </w:pPr>
          </w:p>
        </w:tc>
        <w:tc>
          <w:tcPr>
            <w:tcW w:w="560" w:type="dxa"/>
            <w:tcBorders>
              <w:left w:val="single" w:sz="6" w:space="0" w:color="231F20"/>
              <w:right w:val="single" w:sz="6" w:space="0" w:color="231F20"/>
            </w:tcBorders>
          </w:tcPr>
          <w:p w14:paraId="08E25CF2" w14:textId="77777777" w:rsidR="009948F1" w:rsidRDefault="009948F1">
            <w:pPr>
              <w:pStyle w:val="TableParagraph"/>
              <w:spacing w:before="1"/>
              <w:rPr>
                <w:sz w:val="16"/>
              </w:rPr>
            </w:pPr>
          </w:p>
          <w:p w14:paraId="6F146C4E" w14:textId="77777777" w:rsidR="009948F1" w:rsidRDefault="00BC0563">
            <w:pPr>
              <w:pStyle w:val="TableParagraph"/>
              <w:ind w:left="34" w:right="14"/>
              <w:jc w:val="center"/>
              <w:rPr>
                <w:sz w:val="16"/>
              </w:rPr>
            </w:pPr>
            <w:r>
              <w:rPr>
                <w:color w:val="231F20"/>
                <w:w w:val="85"/>
                <w:sz w:val="16"/>
              </w:rPr>
              <w:t>5.2.6.d</w:t>
            </w:r>
          </w:p>
        </w:tc>
        <w:tc>
          <w:tcPr>
            <w:tcW w:w="5211" w:type="dxa"/>
            <w:gridSpan w:val="2"/>
            <w:tcBorders>
              <w:left w:val="single" w:sz="6" w:space="0" w:color="231F20"/>
              <w:right w:val="single" w:sz="6" w:space="0" w:color="231F20"/>
            </w:tcBorders>
          </w:tcPr>
          <w:p w14:paraId="7D8BD59B" w14:textId="77777777" w:rsidR="009948F1" w:rsidRDefault="009948F1">
            <w:pPr>
              <w:pStyle w:val="TableParagraph"/>
              <w:spacing w:before="6"/>
              <w:rPr>
                <w:sz w:val="15"/>
              </w:rPr>
            </w:pPr>
          </w:p>
          <w:p w14:paraId="788EA373" w14:textId="77777777" w:rsidR="009948F1" w:rsidRDefault="00BC0563">
            <w:pPr>
              <w:pStyle w:val="TableParagraph"/>
              <w:ind w:left="26"/>
              <w:rPr>
                <w:sz w:val="16"/>
              </w:rPr>
            </w:pPr>
            <w:r>
              <w:rPr>
                <w:color w:val="231F20"/>
                <w:w w:val="90"/>
                <w:sz w:val="16"/>
              </w:rPr>
              <w:t>Conduct re-training for PMV and Health providers in the 23 LGAs</w:t>
            </w:r>
          </w:p>
        </w:tc>
        <w:tc>
          <w:tcPr>
            <w:tcW w:w="1521" w:type="dxa"/>
            <w:tcBorders>
              <w:left w:val="single" w:sz="6" w:space="0" w:color="231F20"/>
              <w:right w:val="single" w:sz="6" w:space="0" w:color="231F20"/>
            </w:tcBorders>
          </w:tcPr>
          <w:p w14:paraId="132174A2" w14:textId="77777777" w:rsidR="009948F1" w:rsidRDefault="009948F1">
            <w:pPr>
              <w:pStyle w:val="TableParagraph"/>
              <w:spacing w:before="1"/>
              <w:rPr>
                <w:sz w:val="16"/>
              </w:rPr>
            </w:pPr>
          </w:p>
          <w:p w14:paraId="05841617"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tcBorders>
          </w:tcPr>
          <w:p w14:paraId="37501C6A" w14:textId="77777777" w:rsidR="009948F1" w:rsidRDefault="009948F1">
            <w:pPr>
              <w:pStyle w:val="TableParagraph"/>
              <w:spacing w:before="1"/>
              <w:rPr>
                <w:sz w:val="16"/>
              </w:rPr>
            </w:pPr>
          </w:p>
          <w:p w14:paraId="175EE0DB" w14:textId="77777777" w:rsidR="009948F1" w:rsidRDefault="00BC0563">
            <w:pPr>
              <w:pStyle w:val="TableParagraph"/>
              <w:ind w:left="22"/>
              <w:rPr>
                <w:sz w:val="16"/>
              </w:rPr>
            </w:pPr>
            <w:r>
              <w:rPr>
                <w:color w:val="231F20"/>
                <w:w w:val="90"/>
                <w:sz w:val="16"/>
              </w:rPr>
              <w:t>Conduct training</w:t>
            </w:r>
          </w:p>
        </w:tc>
      </w:tr>
      <w:tr w:rsidR="009948F1" w14:paraId="50329DEE" w14:textId="77777777">
        <w:trPr>
          <w:trHeight w:val="577"/>
        </w:trPr>
        <w:tc>
          <w:tcPr>
            <w:tcW w:w="488" w:type="dxa"/>
            <w:vMerge/>
            <w:tcBorders>
              <w:top w:val="nil"/>
              <w:right w:val="single" w:sz="6" w:space="0" w:color="231F20"/>
            </w:tcBorders>
          </w:tcPr>
          <w:p w14:paraId="44C852B0" w14:textId="77777777" w:rsidR="009948F1" w:rsidRDefault="009948F1">
            <w:pPr>
              <w:rPr>
                <w:sz w:val="2"/>
                <w:szCs w:val="2"/>
              </w:rPr>
            </w:pPr>
          </w:p>
        </w:tc>
        <w:tc>
          <w:tcPr>
            <w:tcW w:w="560" w:type="dxa"/>
            <w:tcBorders>
              <w:left w:val="single" w:sz="6" w:space="0" w:color="231F20"/>
              <w:bottom w:val="single" w:sz="12" w:space="0" w:color="231F20"/>
              <w:right w:val="single" w:sz="6" w:space="0" w:color="231F20"/>
            </w:tcBorders>
          </w:tcPr>
          <w:p w14:paraId="5418F910" w14:textId="77777777" w:rsidR="009948F1" w:rsidRDefault="009948F1">
            <w:pPr>
              <w:pStyle w:val="TableParagraph"/>
              <w:spacing w:before="4"/>
              <w:rPr>
                <w:sz w:val="17"/>
              </w:rPr>
            </w:pPr>
          </w:p>
          <w:p w14:paraId="5D17AD75" w14:textId="77777777" w:rsidR="009948F1" w:rsidRDefault="00BC0563">
            <w:pPr>
              <w:pStyle w:val="TableParagraph"/>
              <w:ind w:left="34" w:right="14"/>
              <w:jc w:val="center"/>
              <w:rPr>
                <w:sz w:val="16"/>
              </w:rPr>
            </w:pPr>
            <w:r>
              <w:rPr>
                <w:color w:val="231F20"/>
                <w:w w:val="85"/>
                <w:sz w:val="16"/>
              </w:rPr>
              <w:t>5.2.6.e</w:t>
            </w:r>
          </w:p>
        </w:tc>
        <w:tc>
          <w:tcPr>
            <w:tcW w:w="5211" w:type="dxa"/>
            <w:gridSpan w:val="2"/>
            <w:tcBorders>
              <w:left w:val="single" w:sz="6" w:space="0" w:color="231F20"/>
              <w:bottom w:val="single" w:sz="12" w:space="0" w:color="231F20"/>
              <w:right w:val="single" w:sz="6" w:space="0" w:color="231F20"/>
            </w:tcBorders>
          </w:tcPr>
          <w:p w14:paraId="706648C1" w14:textId="77777777" w:rsidR="009948F1" w:rsidRDefault="00BC0563">
            <w:pPr>
              <w:pStyle w:val="TableParagraph"/>
              <w:spacing w:before="91" w:line="264" w:lineRule="auto"/>
              <w:ind w:left="26" w:right="-15"/>
              <w:rPr>
                <w:sz w:val="16"/>
              </w:rPr>
            </w:pPr>
            <w:r>
              <w:rPr>
                <w:color w:val="231F20"/>
                <w:w w:val="80"/>
                <w:sz w:val="16"/>
              </w:rPr>
              <w:t xml:space="preserve">Hold Education &amp; Sensitization meeting for community members on TB programming in the </w:t>
            </w:r>
            <w:r>
              <w:rPr>
                <w:color w:val="231F20"/>
                <w:w w:val="90"/>
                <w:sz w:val="16"/>
              </w:rPr>
              <w:t>23 LGAs</w:t>
            </w:r>
          </w:p>
        </w:tc>
        <w:tc>
          <w:tcPr>
            <w:tcW w:w="1521" w:type="dxa"/>
            <w:tcBorders>
              <w:left w:val="single" w:sz="6" w:space="0" w:color="231F20"/>
              <w:bottom w:val="single" w:sz="12" w:space="0" w:color="231F20"/>
              <w:right w:val="single" w:sz="6" w:space="0" w:color="231F20"/>
            </w:tcBorders>
          </w:tcPr>
          <w:p w14:paraId="1F01F97E" w14:textId="77777777" w:rsidR="009948F1" w:rsidRDefault="009948F1">
            <w:pPr>
              <w:pStyle w:val="TableParagraph"/>
              <w:spacing w:before="4"/>
              <w:rPr>
                <w:sz w:val="17"/>
              </w:rPr>
            </w:pPr>
          </w:p>
          <w:p w14:paraId="29CD2779" w14:textId="77777777" w:rsidR="009948F1" w:rsidRDefault="00BC0563">
            <w:pPr>
              <w:pStyle w:val="TableParagraph"/>
              <w:ind w:left="24"/>
              <w:rPr>
                <w:sz w:val="16"/>
              </w:rPr>
            </w:pPr>
            <w:r>
              <w:rPr>
                <w:color w:val="231F20"/>
                <w:w w:val="90"/>
                <w:sz w:val="16"/>
              </w:rPr>
              <w:t>Lack of funds</w:t>
            </w:r>
          </w:p>
        </w:tc>
        <w:tc>
          <w:tcPr>
            <w:tcW w:w="1602" w:type="dxa"/>
            <w:tcBorders>
              <w:left w:val="single" w:sz="6" w:space="0" w:color="231F20"/>
              <w:bottom w:val="single" w:sz="12" w:space="0" w:color="231F20"/>
            </w:tcBorders>
          </w:tcPr>
          <w:p w14:paraId="3E70187C" w14:textId="77777777" w:rsidR="009948F1" w:rsidRDefault="009948F1">
            <w:pPr>
              <w:pStyle w:val="TableParagraph"/>
              <w:spacing w:before="4"/>
              <w:rPr>
                <w:sz w:val="17"/>
              </w:rPr>
            </w:pPr>
          </w:p>
          <w:p w14:paraId="6D682A7B" w14:textId="77777777" w:rsidR="009948F1" w:rsidRDefault="00BC0563">
            <w:pPr>
              <w:pStyle w:val="TableParagraph"/>
              <w:ind w:left="22"/>
              <w:rPr>
                <w:sz w:val="16"/>
              </w:rPr>
            </w:pPr>
            <w:r>
              <w:rPr>
                <w:color w:val="231F20"/>
                <w:w w:val="90"/>
                <w:sz w:val="16"/>
              </w:rPr>
              <w:t>Conduct meeting</w:t>
            </w:r>
          </w:p>
        </w:tc>
      </w:tr>
    </w:tbl>
    <w:p w14:paraId="40E18702" w14:textId="77777777" w:rsidR="009948F1" w:rsidRDefault="009948F1">
      <w:pPr>
        <w:rPr>
          <w:sz w:val="16"/>
        </w:rPr>
        <w:sectPr w:rsidR="009948F1">
          <w:pgSz w:w="11910" w:h="16840"/>
          <w:pgMar w:top="1300" w:right="1080" w:bottom="1340" w:left="1120" w:header="0" w:footer="1155" w:gutter="0"/>
          <w:cols w:space="720"/>
        </w:sectPr>
      </w:pPr>
    </w:p>
    <w:tbl>
      <w:tblPr>
        <w:tblW w:w="0" w:type="auto"/>
        <w:tblInd w:w="1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5"/>
        <w:gridCol w:w="556"/>
        <w:gridCol w:w="2656"/>
        <w:gridCol w:w="2522"/>
        <w:gridCol w:w="1511"/>
        <w:gridCol w:w="1592"/>
      </w:tblGrid>
      <w:tr w:rsidR="009948F1" w14:paraId="00A30932" w14:textId="77777777">
        <w:trPr>
          <w:trHeight w:val="1397"/>
        </w:trPr>
        <w:tc>
          <w:tcPr>
            <w:tcW w:w="485" w:type="dxa"/>
            <w:tcBorders>
              <w:left w:val="single" w:sz="12" w:space="0" w:color="231F20"/>
              <w:right w:val="single" w:sz="6" w:space="0" w:color="231F20"/>
            </w:tcBorders>
            <w:shd w:val="clear" w:color="auto" w:fill="CCE7D3"/>
          </w:tcPr>
          <w:p w14:paraId="27051F82" w14:textId="77777777" w:rsidR="009948F1" w:rsidRDefault="009948F1">
            <w:pPr>
              <w:pStyle w:val="TableParagraph"/>
              <w:rPr>
                <w:sz w:val="16"/>
              </w:rPr>
            </w:pPr>
          </w:p>
          <w:p w14:paraId="0A969885" w14:textId="77777777" w:rsidR="009948F1" w:rsidRDefault="009948F1">
            <w:pPr>
              <w:pStyle w:val="TableParagraph"/>
              <w:rPr>
                <w:sz w:val="16"/>
              </w:rPr>
            </w:pPr>
          </w:p>
          <w:p w14:paraId="4E65D512" w14:textId="77777777" w:rsidR="009948F1" w:rsidRDefault="009948F1">
            <w:pPr>
              <w:pStyle w:val="TableParagraph"/>
              <w:spacing w:before="3"/>
              <w:rPr>
                <w:sz w:val="20"/>
              </w:rPr>
            </w:pPr>
          </w:p>
          <w:p w14:paraId="33ABFA91" w14:textId="77777777" w:rsidR="009948F1" w:rsidRDefault="00BC0563">
            <w:pPr>
              <w:pStyle w:val="TableParagraph"/>
              <w:ind w:left="22" w:right="88"/>
              <w:jc w:val="center"/>
              <w:rPr>
                <w:sz w:val="17"/>
              </w:rPr>
            </w:pPr>
            <w:bookmarkStart w:id="167" w:name="Page_141"/>
            <w:bookmarkEnd w:id="167"/>
            <w:r>
              <w:rPr>
                <w:color w:val="231F20"/>
                <w:w w:val="80"/>
                <w:sz w:val="17"/>
              </w:rPr>
              <w:t>5.2.7</w:t>
            </w:r>
          </w:p>
        </w:tc>
        <w:tc>
          <w:tcPr>
            <w:tcW w:w="3212" w:type="dxa"/>
            <w:gridSpan w:val="2"/>
            <w:tcBorders>
              <w:left w:val="single" w:sz="6" w:space="0" w:color="231F20"/>
              <w:right w:val="single" w:sz="6" w:space="0" w:color="231F20"/>
            </w:tcBorders>
            <w:shd w:val="clear" w:color="auto" w:fill="CCE7D3"/>
          </w:tcPr>
          <w:p w14:paraId="67B85D26" w14:textId="77777777" w:rsidR="009948F1" w:rsidRDefault="009948F1">
            <w:pPr>
              <w:pStyle w:val="TableParagraph"/>
              <w:rPr>
                <w:sz w:val="16"/>
              </w:rPr>
            </w:pPr>
          </w:p>
          <w:p w14:paraId="26DA57CB" w14:textId="77777777" w:rsidR="009948F1" w:rsidRDefault="009948F1">
            <w:pPr>
              <w:pStyle w:val="TableParagraph"/>
              <w:rPr>
                <w:sz w:val="16"/>
              </w:rPr>
            </w:pPr>
          </w:p>
          <w:p w14:paraId="2166CA2F" w14:textId="77777777" w:rsidR="009948F1" w:rsidRDefault="00BC0563">
            <w:pPr>
              <w:pStyle w:val="TableParagraph"/>
              <w:spacing w:before="120" w:line="261" w:lineRule="auto"/>
              <w:ind w:left="26" w:right="354" w:firstLine="34"/>
              <w:rPr>
                <w:sz w:val="17"/>
              </w:rPr>
            </w:pPr>
            <w:r>
              <w:rPr>
                <w:color w:val="231F20"/>
                <w:w w:val="75"/>
                <w:sz w:val="17"/>
              </w:rPr>
              <w:t>Strengthen</w:t>
            </w:r>
            <w:r>
              <w:rPr>
                <w:color w:val="231F20"/>
                <w:spacing w:val="-10"/>
                <w:w w:val="75"/>
                <w:sz w:val="17"/>
              </w:rPr>
              <w:t xml:space="preserve"> </w:t>
            </w:r>
            <w:r>
              <w:rPr>
                <w:color w:val="231F20"/>
                <w:w w:val="75"/>
                <w:sz w:val="17"/>
              </w:rPr>
              <w:t>mechanism</w:t>
            </w:r>
            <w:r>
              <w:rPr>
                <w:color w:val="231F20"/>
                <w:spacing w:val="-10"/>
                <w:w w:val="75"/>
                <w:sz w:val="17"/>
              </w:rPr>
              <w:t xml:space="preserve"> </w:t>
            </w:r>
            <w:r>
              <w:rPr>
                <w:color w:val="231F20"/>
                <w:w w:val="75"/>
                <w:sz w:val="17"/>
              </w:rPr>
              <w:t>for</w:t>
            </w:r>
            <w:r>
              <w:rPr>
                <w:color w:val="231F20"/>
                <w:spacing w:val="-10"/>
                <w:w w:val="75"/>
                <w:sz w:val="17"/>
              </w:rPr>
              <w:t xml:space="preserve"> </w:t>
            </w:r>
            <w:r>
              <w:rPr>
                <w:color w:val="231F20"/>
                <w:w w:val="75"/>
                <w:sz w:val="17"/>
              </w:rPr>
              <w:t>coordination</w:t>
            </w:r>
            <w:r>
              <w:rPr>
                <w:color w:val="231F20"/>
                <w:spacing w:val="-10"/>
                <w:w w:val="75"/>
                <w:sz w:val="17"/>
              </w:rPr>
              <w:t xml:space="preserve"> </w:t>
            </w:r>
            <w:r>
              <w:rPr>
                <w:color w:val="231F20"/>
                <w:w w:val="75"/>
                <w:sz w:val="17"/>
              </w:rPr>
              <w:t>of</w:t>
            </w:r>
            <w:r>
              <w:rPr>
                <w:color w:val="231F20"/>
                <w:spacing w:val="-11"/>
                <w:w w:val="75"/>
                <w:sz w:val="17"/>
              </w:rPr>
              <w:t xml:space="preserve"> </w:t>
            </w:r>
            <w:r>
              <w:rPr>
                <w:color w:val="231F20"/>
                <w:w w:val="75"/>
                <w:sz w:val="17"/>
              </w:rPr>
              <w:t xml:space="preserve">TB/HIV </w:t>
            </w:r>
            <w:r>
              <w:rPr>
                <w:color w:val="231F20"/>
                <w:w w:val="80"/>
                <w:sz w:val="17"/>
              </w:rPr>
              <w:t>collaborative</w:t>
            </w:r>
            <w:r>
              <w:rPr>
                <w:color w:val="231F20"/>
                <w:spacing w:val="-25"/>
                <w:w w:val="80"/>
                <w:sz w:val="17"/>
              </w:rPr>
              <w:t xml:space="preserve"> </w:t>
            </w:r>
            <w:r>
              <w:rPr>
                <w:color w:val="231F20"/>
                <w:w w:val="80"/>
                <w:sz w:val="17"/>
              </w:rPr>
              <w:t>activities</w:t>
            </w:r>
            <w:r>
              <w:rPr>
                <w:color w:val="231F20"/>
                <w:spacing w:val="-24"/>
                <w:w w:val="80"/>
                <w:sz w:val="17"/>
              </w:rPr>
              <w:t xml:space="preserve"> </w:t>
            </w:r>
            <w:r>
              <w:rPr>
                <w:color w:val="231F20"/>
                <w:w w:val="80"/>
                <w:sz w:val="17"/>
              </w:rPr>
              <w:t>at</w:t>
            </w:r>
            <w:r>
              <w:rPr>
                <w:color w:val="231F20"/>
                <w:spacing w:val="-24"/>
                <w:w w:val="80"/>
                <w:sz w:val="17"/>
              </w:rPr>
              <w:t xml:space="preserve"> </w:t>
            </w:r>
            <w:r>
              <w:rPr>
                <w:color w:val="231F20"/>
                <w:w w:val="80"/>
                <w:sz w:val="17"/>
              </w:rPr>
              <w:t>all</w:t>
            </w:r>
            <w:r>
              <w:rPr>
                <w:color w:val="231F20"/>
                <w:spacing w:val="-24"/>
                <w:w w:val="80"/>
                <w:sz w:val="17"/>
              </w:rPr>
              <w:t xml:space="preserve"> </w:t>
            </w:r>
            <w:r>
              <w:rPr>
                <w:color w:val="231F20"/>
                <w:w w:val="80"/>
                <w:sz w:val="17"/>
              </w:rPr>
              <w:t>levels</w:t>
            </w:r>
            <w:r>
              <w:rPr>
                <w:color w:val="231F20"/>
                <w:spacing w:val="-24"/>
                <w:w w:val="80"/>
                <w:sz w:val="17"/>
              </w:rPr>
              <w:t xml:space="preserve"> </w:t>
            </w:r>
            <w:r>
              <w:rPr>
                <w:color w:val="231F20"/>
                <w:w w:val="80"/>
                <w:sz w:val="17"/>
              </w:rPr>
              <w:t>of</w:t>
            </w:r>
            <w:r>
              <w:rPr>
                <w:color w:val="231F20"/>
                <w:spacing w:val="-24"/>
                <w:w w:val="80"/>
                <w:sz w:val="17"/>
              </w:rPr>
              <w:t xml:space="preserve"> </w:t>
            </w:r>
            <w:r>
              <w:rPr>
                <w:color w:val="231F20"/>
                <w:w w:val="80"/>
                <w:sz w:val="17"/>
              </w:rPr>
              <w:t>health</w:t>
            </w:r>
            <w:r>
              <w:rPr>
                <w:color w:val="231F20"/>
                <w:spacing w:val="-24"/>
                <w:w w:val="80"/>
                <w:sz w:val="17"/>
              </w:rPr>
              <w:t xml:space="preserve"> </w:t>
            </w:r>
            <w:r>
              <w:rPr>
                <w:color w:val="231F20"/>
                <w:w w:val="80"/>
                <w:sz w:val="17"/>
              </w:rPr>
              <w:t>care.</w:t>
            </w:r>
          </w:p>
        </w:tc>
        <w:tc>
          <w:tcPr>
            <w:tcW w:w="2522" w:type="dxa"/>
            <w:tcBorders>
              <w:left w:val="single" w:sz="6" w:space="0" w:color="231F20"/>
              <w:right w:val="single" w:sz="6" w:space="0" w:color="231F20"/>
            </w:tcBorders>
            <w:shd w:val="clear" w:color="auto" w:fill="CCE7D3"/>
          </w:tcPr>
          <w:p w14:paraId="7F6732D4" w14:textId="77777777" w:rsidR="009948F1" w:rsidRDefault="00BC0563">
            <w:pPr>
              <w:pStyle w:val="TableParagraph"/>
              <w:numPr>
                <w:ilvl w:val="0"/>
                <w:numId w:val="155"/>
              </w:numPr>
              <w:tabs>
                <w:tab w:val="left" w:pos="107"/>
              </w:tabs>
              <w:spacing w:before="68" w:line="261" w:lineRule="auto"/>
              <w:ind w:right="39" w:firstLine="0"/>
              <w:rPr>
                <w:sz w:val="17"/>
              </w:rPr>
            </w:pPr>
            <w:r>
              <w:rPr>
                <w:color w:val="231F20"/>
                <w:w w:val="75"/>
                <w:sz w:val="17"/>
              </w:rPr>
              <w:t>Existing</w:t>
            </w:r>
            <w:r>
              <w:rPr>
                <w:color w:val="231F20"/>
                <w:spacing w:val="-11"/>
                <w:w w:val="75"/>
                <w:sz w:val="17"/>
              </w:rPr>
              <w:t xml:space="preserve"> </w:t>
            </w:r>
            <w:r>
              <w:rPr>
                <w:color w:val="231F20"/>
                <w:w w:val="75"/>
                <w:sz w:val="17"/>
              </w:rPr>
              <w:t>Monitoring</w:t>
            </w:r>
            <w:r>
              <w:rPr>
                <w:color w:val="231F20"/>
                <w:spacing w:val="-10"/>
                <w:w w:val="75"/>
                <w:sz w:val="17"/>
              </w:rPr>
              <w:t xml:space="preserve"> </w:t>
            </w:r>
            <w:r>
              <w:rPr>
                <w:color w:val="231F20"/>
                <w:w w:val="75"/>
                <w:sz w:val="17"/>
              </w:rPr>
              <w:t>and</w:t>
            </w:r>
            <w:r>
              <w:rPr>
                <w:color w:val="231F20"/>
                <w:spacing w:val="-10"/>
                <w:w w:val="75"/>
                <w:sz w:val="17"/>
              </w:rPr>
              <w:t xml:space="preserve"> </w:t>
            </w:r>
            <w:r>
              <w:rPr>
                <w:color w:val="231F20"/>
                <w:w w:val="75"/>
                <w:sz w:val="17"/>
              </w:rPr>
              <w:t>Evaluation</w:t>
            </w:r>
            <w:r>
              <w:rPr>
                <w:color w:val="231F20"/>
                <w:spacing w:val="-10"/>
                <w:w w:val="75"/>
                <w:sz w:val="17"/>
              </w:rPr>
              <w:t xml:space="preserve"> </w:t>
            </w:r>
            <w:r>
              <w:rPr>
                <w:color w:val="231F20"/>
                <w:w w:val="75"/>
                <w:sz w:val="17"/>
              </w:rPr>
              <w:t xml:space="preserve">system </w:t>
            </w:r>
            <w:r>
              <w:rPr>
                <w:color w:val="231F20"/>
                <w:w w:val="85"/>
                <w:sz w:val="17"/>
              </w:rPr>
              <w:t xml:space="preserve">upgraded to meet demand for TBL </w:t>
            </w:r>
            <w:proofErr w:type="spellStart"/>
            <w:r>
              <w:rPr>
                <w:color w:val="231F20"/>
                <w:w w:val="85"/>
                <w:sz w:val="17"/>
              </w:rPr>
              <w:t>programmes</w:t>
            </w:r>
            <w:proofErr w:type="spellEnd"/>
          </w:p>
          <w:p w14:paraId="3515F357" w14:textId="77777777" w:rsidR="009948F1" w:rsidRDefault="00BC0563">
            <w:pPr>
              <w:pStyle w:val="TableParagraph"/>
              <w:numPr>
                <w:ilvl w:val="0"/>
                <w:numId w:val="155"/>
              </w:numPr>
              <w:tabs>
                <w:tab w:val="left" w:pos="100"/>
              </w:tabs>
              <w:spacing w:before="2" w:line="261" w:lineRule="auto"/>
              <w:ind w:right="53" w:firstLine="0"/>
              <w:rPr>
                <w:sz w:val="17"/>
              </w:rPr>
            </w:pPr>
            <w:r>
              <w:rPr>
                <w:color w:val="231F20"/>
                <w:w w:val="75"/>
                <w:sz w:val="17"/>
              </w:rPr>
              <w:t>At</w:t>
            </w:r>
            <w:r>
              <w:rPr>
                <w:color w:val="231F20"/>
                <w:spacing w:val="-7"/>
                <w:w w:val="75"/>
                <w:sz w:val="17"/>
              </w:rPr>
              <w:t xml:space="preserve"> </w:t>
            </w:r>
            <w:r>
              <w:rPr>
                <w:color w:val="231F20"/>
                <w:w w:val="75"/>
                <w:sz w:val="17"/>
              </w:rPr>
              <w:t>least</w:t>
            </w:r>
            <w:r>
              <w:rPr>
                <w:color w:val="231F20"/>
                <w:spacing w:val="-6"/>
                <w:w w:val="75"/>
                <w:sz w:val="17"/>
              </w:rPr>
              <w:t xml:space="preserve"> </w:t>
            </w:r>
            <w:r>
              <w:rPr>
                <w:color w:val="231F20"/>
                <w:w w:val="75"/>
                <w:sz w:val="17"/>
              </w:rPr>
              <w:t>100</w:t>
            </w:r>
            <w:r>
              <w:rPr>
                <w:color w:val="231F20"/>
                <w:spacing w:val="-6"/>
                <w:w w:val="75"/>
                <w:sz w:val="17"/>
              </w:rPr>
              <w:t xml:space="preserve"> </w:t>
            </w:r>
            <w:r>
              <w:rPr>
                <w:color w:val="231F20"/>
                <w:w w:val="75"/>
                <w:sz w:val="17"/>
              </w:rPr>
              <w:t>health</w:t>
            </w:r>
            <w:r>
              <w:rPr>
                <w:color w:val="231F20"/>
                <w:spacing w:val="-6"/>
                <w:w w:val="75"/>
                <w:sz w:val="17"/>
              </w:rPr>
              <w:t xml:space="preserve"> </w:t>
            </w:r>
            <w:r>
              <w:rPr>
                <w:color w:val="231F20"/>
                <w:w w:val="75"/>
                <w:sz w:val="17"/>
              </w:rPr>
              <w:t>care</w:t>
            </w:r>
            <w:r>
              <w:rPr>
                <w:color w:val="231F20"/>
                <w:spacing w:val="-6"/>
                <w:w w:val="75"/>
                <w:sz w:val="17"/>
              </w:rPr>
              <w:t xml:space="preserve"> </w:t>
            </w:r>
            <w:r>
              <w:rPr>
                <w:color w:val="231F20"/>
                <w:w w:val="75"/>
                <w:sz w:val="17"/>
              </w:rPr>
              <w:t>workers</w:t>
            </w:r>
            <w:r>
              <w:rPr>
                <w:color w:val="231F20"/>
                <w:spacing w:val="-6"/>
                <w:w w:val="75"/>
                <w:sz w:val="17"/>
              </w:rPr>
              <w:t xml:space="preserve"> </w:t>
            </w:r>
            <w:r>
              <w:rPr>
                <w:color w:val="231F20"/>
                <w:w w:val="75"/>
                <w:sz w:val="17"/>
              </w:rPr>
              <w:t>trained</w:t>
            </w:r>
            <w:r>
              <w:rPr>
                <w:color w:val="231F20"/>
                <w:spacing w:val="-6"/>
                <w:w w:val="75"/>
                <w:sz w:val="17"/>
              </w:rPr>
              <w:t xml:space="preserve"> </w:t>
            </w:r>
            <w:r>
              <w:rPr>
                <w:color w:val="231F20"/>
                <w:w w:val="75"/>
                <w:sz w:val="17"/>
              </w:rPr>
              <w:t xml:space="preserve">to </w:t>
            </w:r>
            <w:r>
              <w:rPr>
                <w:color w:val="231F20"/>
                <w:w w:val="85"/>
                <w:sz w:val="17"/>
              </w:rPr>
              <w:t>deliver</w:t>
            </w:r>
            <w:r>
              <w:rPr>
                <w:color w:val="231F20"/>
                <w:spacing w:val="-21"/>
                <w:w w:val="85"/>
                <w:sz w:val="17"/>
              </w:rPr>
              <w:t xml:space="preserve"> </w:t>
            </w:r>
            <w:r>
              <w:rPr>
                <w:color w:val="231F20"/>
                <w:w w:val="85"/>
                <w:sz w:val="17"/>
              </w:rPr>
              <w:t>integrated</w:t>
            </w:r>
            <w:r>
              <w:rPr>
                <w:color w:val="231F20"/>
                <w:spacing w:val="-22"/>
                <w:w w:val="85"/>
                <w:sz w:val="17"/>
              </w:rPr>
              <w:t xml:space="preserve"> </w:t>
            </w:r>
            <w:r>
              <w:rPr>
                <w:color w:val="231F20"/>
                <w:w w:val="85"/>
                <w:sz w:val="17"/>
              </w:rPr>
              <w:t>TB/HIV</w:t>
            </w:r>
            <w:r>
              <w:rPr>
                <w:color w:val="231F20"/>
                <w:spacing w:val="-21"/>
                <w:w w:val="85"/>
                <w:sz w:val="17"/>
              </w:rPr>
              <w:t xml:space="preserve"> </w:t>
            </w:r>
            <w:r>
              <w:rPr>
                <w:color w:val="231F20"/>
                <w:w w:val="85"/>
                <w:sz w:val="17"/>
              </w:rPr>
              <w:t>services</w:t>
            </w:r>
          </w:p>
          <w:p w14:paraId="2625220E" w14:textId="77777777" w:rsidR="009948F1" w:rsidRDefault="00BC0563">
            <w:pPr>
              <w:pStyle w:val="TableParagraph"/>
              <w:spacing w:before="1"/>
              <w:ind w:left="27"/>
              <w:rPr>
                <w:sz w:val="17"/>
              </w:rPr>
            </w:pPr>
            <w:r>
              <w:rPr>
                <w:color w:val="231F20"/>
                <w:w w:val="73"/>
                <w:sz w:val="17"/>
              </w:rPr>
              <w:t>•</w:t>
            </w:r>
          </w:p>
        </w:tc>
        <w:tc>
          <w:tcPr>
            <w:tcW w:w="1511" w:type="dxa"/>
            <w:tcBorders>
              <w:left w:val="single" w:sz="6" w:space="0" w:color="231F20"/>
              <w:right w:val="single" w:sz="12" w:space="0" w:color="231F20"/>
            </w:tcBorders>
            <w:shd w:val="clear" w:color="auto" w:fill="CCE7D3"/>
          </w:tcPr>
          <w:p w14:paraId="79983791"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5F98B6A0" w14:textId="77777777" w:rsidR="009948F1" w:rsidRDefault="009948F1">
            <w:pPr>
              <w:pStyle w:val="TableParagraph"/>
              <w:rPr>
                <w:rFonts w:ascii="Times New Roman"/>
                <w:sz w:val="12"/>
              </w:rPr>
            </w:pPr>
          </w:p>
        </w:tc>
      </w:tr>
      <w:tr w:rsidR="009948F1" w14:paraId="78052AB0" w14:textId="77777777">
        <w:trPr>
          <w:trHeight w:val="787"/>
        </w:trPr>
        <w:tc>
          <w:tcPr>
            <w:tcW w:w="485" w:type="dxa"/>
            <w:vMerge w:val="restart"/>
            <w:tcBorders>
              <w:right w:val="single" w:sz="6" w:space="0" w:color="231F20"/>
            </w:tcBorders>
          </w:tcPr>
          <w:p w14:paraId="09A47A51" w14:textId="77777777" w:rsidR="009948F1" w:rsidRDefault="009948F1">
            <w:pPr>
              <w:pStyle w:val="TableParagraph"/>
              <w:rPr>
                <w:rFonts w:ascii="Times New Roman"/>
                <w:sz w:val="12"/>
              </w:rPr>
            </w:pPr>
          </w:p>
        </w:tc>
        <w:tc>
          <w:tcPr>
            <w:tcW w:w="556" w:type="dxa"/>
            <w:tcBorders>
              <w:left w:val="single" w:sz="6" w:space="0" w:color="231F20"/>
              <w:right w:val="single" w:sz="6" w:space="0" w:color="231F20"/>
            </w:tcBorders>
          </w:tcPr>
          <w:p w14:paraId="05F51CEB" w14:textId="77777777" w:rsidR="009948F1" w:rsidRDefault="009948F1">
            <w:pPr>
              <w:pStyle w:val="TableParagraph"/>
              <w:rPr>
                <w:sz w:val="16"/>
              </w:rPr>
            </w:pPr>
          </w:p>
          <w:p w14:paraId="276317C9" w14:textId="77777777" w:rsidR="009948F1" w:rsidRDefault="00BC0563">
            <w:pPr>
              <w:pStyle w:val="TableParagraph"/>
              <w:spacing w:before="113"/>
              <w:ind w:left="30" w:right="9"/>
              <w:jc w:val="center"/>
              <w:rPr>
                <w:sz w:val="17"/>
              </w:rPr>
            </w:pPr>
            <w:r>
              <w:rPr>
                <w:color w:val="231F20"/>
                <w:w w:val="80"/>
                <w:sz w:val="17"/>
              </w:rPr>
              <w:t>5.2.7.a</w:t>
            </w:r>
          </w:p>
        </w:tc>
        <w:tc>
          <w:tcPr>
            <w:tcW w:w="5178" w:type="dxa"/>
            <w:gridSpan w:val="2"/>
            <w:tcBorders>
              <w:left w:val="single" w:sz="6" w:space="0" w:color="231F20"/>
              <w:right w:val="single" w:sz="6" w:space="0" w:color="231F20"/>
            </w:tcBorders>
          </w:tcPr>
          <w:p w14:paraId="1F9442E4" w14:textId="77777777" w:rsidR="009948F1" w:rsidRDefault="009948F1">
            <w:pPr>
              <w:pStyle w:val="TableParagraph"/>
              <w:spacing w:before="10"/>
              <w:rPr>
                <w:sz w:val="15"/>
              </w:rPr>
            </w:pPr>
          </w:p>
          <w:p w14:paraId="15D6DDE4" w14:textId="77777777" w:rsidR="009948F1" w:rsidRDefault="00BC0563">
            <w:pPr>
              <w:pStyle w:val="TableParagraph"/>
              <w:spacing w:line="261" w:lineRule="auto"/>
              <w:ind w:left="26"/>
              <w:rPr>
                <w:sz w:val="17"/>
              </w:rPr>
            </w:pPr>
            <w:r>
              <w:rPr>
                <w:color w:val="231F20"/>
                <w:w w:val="75"/>
                <w:sz w:val="17"/>
              </w:rPr>
              <w:t xml:space="preserve">Upgrade the existing Monitoring and Evaluation system to be more robust and be able to </w:t>
            </w:r>
            <w:r>
              <w:rPr>
                <w:color w:val="231F20"/>
                <w:w w:val="85"/>
                <w:sz w:val="17"/>
              </w:rPr>
              <w:t xml:space="preserve">meet up with the increasing demand for the TBL </w:t>
            </w:r>
            <w:proofErr w:type="spellStart"/>
            <w:r>
              <w:rPr>
                <w:color w:val="231F20"/>
                <w:w w:val="85"/>
                <w:sz w:val="17"/>
              </w:rPr>
              <w:t>programme</w:t>
            </w:r>
            <w:proofErr w:type="spellEnd"/>
            <w:r>
              <w:rPr>
                <w:color w:val="231F20"/>
                <w:w w:val="85"/>
                <w:sz w:val="17"/>
              </w:rPr>
              <w:t xml:space="preserve"> at all level</w:t>
            </w:r>
          </w:p>
        </w:tc>
        <w:tc>
          <w:tcPr>
            <w:tcW w:w="1511" w:type="dxa"/>
            <w:tcBorders>
              <w:left w:val="single" w:sz="6" w:space="0" w:color="231F20"/>
              <w:right w:val="single" w:sz="6" w:space="0" w:color="231F20"/>
            </w:tcBorders>
          </w:tcPr>
          <w:p w14:paraId="6F0B205F" w14:textId="77777777" w:rsidR="009948F1" w:rsidRDefault="009948F1">
            <w:pPr>
              <w:pStyle w:val="TableParagraph"/>
              <w:rPr>
                <w:sz w:val="16"/>
              </w:rPr>
            </w:pPr>
          </w:p>
          <w:p w14:paraId="18E5C8F9" w14:textId="77777777" w:rsidR="009948F1" w:rsidRDefault="00BC0563">
            <w:pPr>
              <w:pStyle w:val="TableParagraph"/>
              <w:spacing w:before="113"/>
              <w:ind w:left="27"/>
              <w:rPr>
                <w:sz w:val="17"/>
              </w:rPr>
            </w:pPr>
            <w:r>
              <w:rPr>
                <w:color w:val="231F20"/>
                <w:w w:val="85"/>
                <w:sz w:val="17"/>
              </w:rPr>
              <w:t>Lack of funds</w:t>
            </w:r>
          </w:p>
        </w:tc>
        <w:tc>
          <w:tcPr>
            <w:tcW w:w="1592" w:type="dxa"/>
            <w:tcBorders>
              <w:left w:val="single" w:sz="6" w:space="0" w:color="231F20"/>
            </w:tcBorders>
          </w:tcPr>
          <w:p w14:paraId="425BBC44" w14:textId="77777777" w:rsidR="009948F1" w:rsidRDefault="009948F1">
            <w:pPr>
              <w:pStyle w:val="TableParagraph"/>
              <w:spacing w:before="5"/>
              <w:rPr>
                <w:sz w:val="16"/>
              </w:rPr>
            </w:pPr>
          </w:p>
          <w:p w14:paraId="5452654D" w14:textId="77777777" w:rsidR="009948F1" w:rsidRDefault="00BC0563">
            <w:pPr>
              <w:pStyle w:val="TableParagraph"/>
              <w:spacing w:line="261" w:lineRule="auto"/>
              <w:ind w:left="26"/>
              <w:rPr>
                <w:sz w:val="17"/>
              </w:rPr>
            </w:pPr>
            <w:r>
              <w:rPr>
                <w:color w:val="231F20"/>
                <w:w w:val="75"/>
                <w:sz w:val="17"/>
              </w:rPr>
              <w:t xml:space="preserve">Upgrade Monitoring and </w:t>
            </w:r>
            <w:r>
              <w:rPr>
                <w:color w:val="231F20"/>
                <w:w w:val="85"/>
                <w:sz w:val="17"/>
              </w:rPr>
              <w:t>Evaluation system</w:t>
            </w:r>
          </w:p>
        </w:tc>
      </w:tr>
      <w:tr w:rsidR="009948F1" w14:paraId="15CE5310" w14:textId="77777777">
        <w:trPr>
          <w:trHeight w:val="494"/>
        </w:trPr>
        <w:tc>
          <w:tcPr>
            <w:tcW w:w="485" w:type="dxa"/>
            <w:vMerge/>
            <w:tcBorders>
              <w:top w:val="nil"/>
              <w:right w:val="single" w:sz="6" w:space="0" w:color="231F20"/>
            </w:tcBorders>
          </w:tcPr>
          <w:p w14:paraId="79439B78" w14:textId="77777777" w:rsidR="009948F1" w:rsidRDefault="009948F1">
            <w:pPr>
              <w:rPr>
                <w:sz w:val="2"/>
                <w:szCs w:val="2"/>
              </w:rPr>
            </w:pPr>
          </w:p>
        </w:tc>
        <w:tc>
          <w:tcPr>
            <w:tcW w:w="556" w:type="dxa"/>
            <w:tcBorders>
              <w:left w:val="single" w:sz="6" w:space="0" w:color="231F20"/>
              <w:right w:val="single" w:sz="6" w:space="0" w:color="231F20"/>
            </w:tcBorders>
          </w:tcPr>
          <w:p w14:paraId="31B03C69" w14:textId="77777777" w:rsidR="009948F1" w:rsidRDefault="009948F1">
            <w:pPr>
              <w:pStyle w:val="TableParagraph"/>
              <w:rPr>
                <w:sz w:val="13"/>
              </w:rPr>
            </w:pPr>
          </w:p>
          <w:p w14:paraId="510A5EB0" w14:textId="77777777" w:rsidR="009948F1" w:rsidRDefault="00BC0563">
            <w:pPr>
              <w:pStyle w:val="TableParagraph"/>
              <w:ind w:left="30" w:right="9"/>
              <w:jc w:val="center"/>
              <w:rPr>
                <w:sz w:val="17"/>
              </w:rPr>
            </w:pPr>
            <w:r>
              <w:rPr>
                <w:color w:val="231F20"/>
                <w:w w:val="80"/>
                <w:sz w:val="17"/>
              </w:rPr>
              <w:t>5.2.7.b</w:t>
            </w:r>
          </w:p>
        </w:tc>
        <w:tc>
          <w:tcPr>
            <w:tcW w:w="5178" w:type="dxa"/>
            <w:gridSpan w:val="2"/>
            <w:tcBorders>
              <w:left w:val="single" w:sz="6" w:space="0" w:color="231F20"/>
              <w:right w:val="single" w:sz="6" w:space="0" w:color="231F20"/>
            </w:tcBorders>
          </w:tcPr>
          <w:p w14:paraId="15DF57E9" w14:textId="77777777" w:rsidR="009948F1" w:rsidRDefault="00BC0563">
            <w:pPr>
              <w:pStyle w:val="TableParagraph"/>
              <w:spacing w:before="142"/>
              <w:ind w:left="26"/>
              <w:rPr>
                <w:sz w:val="17"/>
              </w:rPr>
            </w:pPr>
            <w:r>
              <w:rPr>
                <w:color w:val="231F20"/>
                <w:w w:val="85"/>
                <w:sz w:val="17"/>
              </w:rPr>
              <w:t>Build the capacity of health care workers to deliver integrated TB/HIV services</w:t>
            </w:r>
          </w:p>
        </w:tc>
        <w:tc>
          <w:tcPr>
            <w:tcW w:w="1511" w:type="dxa"/>
            <w:tcBorders>
              <w:left w:val="single" w:sz="6" w:space="0" w:color="231F20"/>
              <w:right w:val="single" w:sz="6" w:space="0" w:color="231F20"/>
            </w:tcBorders>
          </w:tcPr>
          <w:p w14:paraId="343C548C" w14:textId="77777777" w:rsidR="009948F1" w:rsidRDefault="009948F1">
            <w:pPr>
              <w:pStyle w:val="TableParagraph"/>
              <w:rPr>
                <w:sz w:val="13"/>
              </w:rPr>
            </w:pPr>
          </w:p>
          <w:p w14:paraId="09843C9B" w14:textId="77777777" w:rsidR="009948F1" w:rsidRDefault="00BC0563">
            <w:pPr>
              <w:pStyle w:val="TableParagraph"/>
              <w:ind w:left="27"/>
              <w:rPr>
                <w:sz w:val="17"/>
              </w:rPr>
            </w:pPr>
            <w:r>
              <w:rPr>
                <w:color w:val="231F20"/>
                <w:w w:val="85"/>
                <w:sz w:val="17"/>
              </w:rPr>
              <w:t>Lack of funds</w:t>
            </w:r>
          </w:p>
        </w:tc>
        <w:tc>
          <w:tcPr>
            <w:tcW w:w="1592" w:type="dxa"/>
            <w:tcBorders>
              <w:left w:val="single" w:sz="6" w:space="0" w:color="231F20"/>
            </w:tcBorders>
          </w:tcPr>
          <w:p w14:paraId="3115AD33" w14:textId="77777777" w:rsidR="009948F1" w:rsidRDefault="009948F1">
            <w:pPr>
              <w:pStyle w:val="TableParagraph"/>
              <w:rPr>
                <w:sz w:val="13"/>
              </w:rPr>
            </w:pPr>
          </w:p>
          <w:p w14:paraId="27A23B6C" w14:textId="77777777" w:rsidR="009948F1" w:rsidRDefault="00BC0563">
            <w:pPr>
              <w:pStyle w:val="TableParagraph"/>
              <w:ind w:left="26"/>
              <w:rPr>
                <w:sz w:val="17"/>
              </w:rPr>
            </w:pPr>
            <w:r>
              <w:rPr>
                <w:color w:val="231F20"/>
                <w:w w:val="85"/>
                <w:sz w:val="17"/>
              </w:rPr>
              <w:t>Train HWs</w:t>
            </w:r>
          </w:p>
        </w:tc>
      </w:tr>
      <w:tr w:rsidR="009948F1" w14:paraId="2B26AB1A" w14:textId="77777777">
        <w:trPr>
          <w:trHeight w:val="610"/>
        </w:trPr>
        <w:tc>
          <w:tcPr>
            <w:tcW w:w="485" w:type="dxa"/>
            <w:vMerge/>
            <w:tcBorders>
              <w:top w:val="nil"/>
              <w:right w:val="single" w:sz="6" w:space="0" w:color="231F20"/>
            </w:tcBorders>
          </w:tcPr>
          <w:p w14:paraId="27554277" w14:textId="77777777" w:rsidR="009948F1" w:rsidRDefault="009948F1">
            <w:pPr>
              <w:rPr>
                <w:sz w:val="2"/>
                <w:szCs w:val="2"/>
              </w:rPr>
            </w:pPr>
          </w:p>
        </w:tc>
        <w:tc>
          <w:tcPr>
            <w:tcW w:w="556" w:type="dxa"/>
            <w:tcBorders>
              <w:left w:val="single" w:sz="6" w:space="0" w:color="231F20"/>
              <w:right w:val="single" w:sz="6" w:space="0" w:color="231F20"/>
            </w:tcBorders>
          </w:tcPr>
          <w:p w14:paraId="0CE384CF" w14:textId="77777777" w:rsidR="009948F1" w:rsidRDefault="009948F1">
            <w:pPr>
              <w:pStyle w:val="TableParagraph"/>
              <w:spacing w:before="1"/>
              <w:rPr>
                <w:sz w:val="18"/>
              </w:rPr>
            </w:pPr>
          </w:p>
          <w:p w14:paraId="0F6AA7CF" w14:textId="77777777" w:rsidR="009948F1" w:rsidRDefault="00BC0563">
            <w:pPr>
              <w:pStyle w:val="TableParagraph"/>
              <w:ind w:left="30" w:right="9"/>
              <w:jc w:val="center"/>
              <w:rPr>
                <w:sz w:val="17"/>
              </w:rPr>
            </w:pPr>
            <w:r>
              <w:rPr>
                <w:color w:val="231F20"/>
                <w:w w:val="80"/>
                <w:sz w:val="17"/>
              </w:rPr>
              <w:t>5.2.7.c</w:t>
            </w:r>
          </w:p>
        </w:tc>
        <w:tc>
          <w:tcPr>
            <w:tcW w:w="5178" w:type="dxa"/>
            <w:gridSpan w:val="2"/>
            <w:tcBorders>
              <w:left w:val="single" w:sz="6" w:space="0" w:color="231F20"/>
              <w:right w:val="single" w:sz="6" w:space="0" w:color="231F20"/>
            </w:tcBorders>
          </w:tcPr>
          <w:p w14:paraId="09B462EE" w14:textId="77777777" w:rsidR="009948F1" w:rsidRDefault="00BC0563">
            <w:pPr>
              <w:pStyle w:val="TableParagraph"/>
              <w:spacing w:before="94" w:line="261" w:lineRule="auto"/>
              <w:ind w:left="26" w:right="120"/>
              <w:rPr>
                <w:sz w:val="17"/>
              </w:rPr>
            </w:pPr>
            <w:r>
              <w:rPr>
                <w:color w:val="231F20"/>
                <w:w w:val="75"/>
                <w:sz w:val="17"/>
              </w:rPr>
              <w:t xml:space="preserve">Conduct periodic review meetings for coordination of TB/HIV collaborative activities at all </w:t>
            </w:r>
            <w:r>
              <w:rPr>
                <w:color w:val="231F20"/>
                <w:w w:val="85"/>
                <w:sz w:val="17"/>
              </w:rPr>
              <w:t>levels</w:t>
            </w:r>
          </w:p>
        </w:tc>
        <w:tc>
          <w:tcPr>
            <w:tcW w:w="1511" w:type="dxa"/>
            <w:tcBorders>
              <w:left w:val="single" w:sz="6" w:space="0" w:color="231F20"/>
              <w:right w:val="single" w:sz="6" w:space="0" w:color="231F20"/>
            </w:tcBorders>
          </w:tcPr>
          <w:p w14:paraId="6843F6D0" w14:textId="77777777" w:rsidR="009948F1" w:rsidRDefault="009948F1">
            <w:pPr>
              <w:pStyle w:val="TableParagraph"/>
              <w:spacing w:before="1"/>
              <w:rPr>
                <w:sz w:val="18"/>
              </w:rPr>
            </w:pPr>
          </w:p>
          <w:p w14:paraId="126065CD" w14:textId="77777777" w:rsidR="009948F1" w:rsidRDefault="00BC0563">
            <w:pPr>
              <w:pStyle w:val="TableParagraph"/>
              <w:ind w:left="27"/>
              <w:rPr>
                <w:sz w:val="17"/>
              </w:rPr>
            </w:pPr>
            <w:r>
              <w:rPr>
                <w:color w:val="231F20"/>
                <w:w w:val="85"/>
                <w:sz w:val="17"/>
              </w:rPr>
              <w:t>Lack of funds</w:t>
            </w:r>
          </w:p>
        </w:tc>
        <w:tc>
          <w:tcPr>
            <w:tcW w:w="1592" w:type="dxa"/>
            <w:tcBorders>
              <w:left w:val="single" w:sz="6" w:space="0" w:color="231F20"/>
            </w:tcBorders>
          </w:tcPr>
          <w:p w14:paraId="172E33F4" w14:textId="77777777" w:rsidR="009948F1" w:rsidRDefault="009948F1">
            <w:pPr>
              <w:pStyle w:val="TableParagraph"/>
              <w:spacing w:before="1"/>
              <w:rPr>
                <w:sz w:val="18"/>
              </w:rPr>
            </w:pPr>
          </w:p>
          <w:p w14:paraId="628BE03F" w14:textId="77777777" w:rsidR="009948F1" w:rsidRDefault="00BC0563">
            <w:pPr>
              <w:pStyle w:val="TableParagraph"/>
              <w:ind w:left="26"/>
              <w:rPr>
                <w:sz w:val="17"/>
              </w:rPr>
            </w:pPr>
            <w:r>
              <w:rPr>
                <w:color w:val="231F20"/>
                <w:w w:val="80"/>
                <w:sz w:val="17"/>
              </w:rPr>
              <w:t>Conduct review meeting</w:t>
            </w:r>
          </w:p>
        </w:tc>
      </w:tr>
      <w:tr w:rsidR="009948F1" w14:paraId="0B0F9BA3" w14:textId="77777777">
        <w:trPr>
          <w:trHeight w:val="1010"/>
        </w:trPr>
        <w:tc>
          <w:tcPr>
            <w:tcW w:w="485" w:type="dxa"/>
            <w:tcBorders>
              <w:left w:val="single" w:sz="12" w:space="0" w:color="231F20"/>
              <w:right w:val="single" w:sz="6" w:space="0" w:color="231F20"/>
            </w:tcBorders>
            <w:shd w:val="clear" w:color="auto" w:fill="CCE7D3"/>
          </w:tcPr>
          <w:p w14:paraId="057ED299" w14:textId="77777777" w:rsidR="009948F1" w:rsidRDefault="009948F1">
            <w:pPr>
              <w:pStyle w:val="TableParagraph"/>
              <w:rPr>
                <w:sz w:val="16"/>
              </w:rPr>
            </w:pPr>
          </w:p>
          <w:p w14:paraId="6D61FC5D" w14:textId="77777777" w:rsidR="009948F1" w:rsidRDefault="009948F1">
            <w:pPr>
              <w:pStyle w:val="TableParagraph"/>
              <w:spacing w:before="6"/>
              <w:rPr>
                <w:sz w:val="19"/>
              </w:rPr>
            </w:pPr>
          </w:p>
          <w:p w14:paraId="631B723F" w14:textId="77777777" w:rsidR="009948F1" w:rsidRDefault="00BC0563">
            <w:pPr>
              <w:pStyle w:val="TableParagraph"/>
              <w:ind w:left="22" w:right="88"/>
              <w:jc w:val="center"/>
              <w:rPr>
                <w:sz w:val="17"/>
              </w:rPr>
            </w:pPr>
            <w:r>
              <w:rPr>
                <w:color w:val="231F20"/>
                <w:w w:val="80"/>
                <w:sz w:val="17"/>
              </w:rPr>
              <w:t>5.2.8</w:t>
            </w:r>
          </w:p>
        </w:tc>
        <w:tc>
          <w:tcPr>
            <w:tcW w:w="3212" w:type="dxa"/>
            <w:gridSpan w:val="2"/>
            <w:tcBorders>
              <w:left w:val="single" w:sz="6" w:space="0" w:color="231F20"/>
              <w:right w:val="single" w:sz="6" w:space="0" w:color="231F20"/>
            </w:tcBorders>
            <w:shd w:val="clear" w:color="auto" w:fill="CCE7D3"/>
          </w:tcPr>
          <w:p w14:paraId="2EFABB78" w14:textId="77777777" w:rsidR="009948F1" w:rsidRDefault="009948F1">
            <w:pPr>
              <w:pStyle w:val="TableParagraph"/>
              <w:spacing w:before="3"/>
              <w:rPr>
                <w:sz w:val="16"/>
              </w:rPr>
            </w:pPr>
          </w:p>
          <w:p w14:paraId="63F6C99A" w14:textId="77777777" w:rsidR="009948F1" w:rsidRDefault="00BC0563">
            <w:pPr>
              <w:pStyle w:val="TableParagraph"/>
              <w:spacing w:before="1" w:line="261" w:lineRule="auto"/>
              <w:ind w:left="26" w:right="97" w:firstLine="34"/>
              <w:rPr>
                <w:sz w:val="17"/>
              </w:rPr>
            </w:pPr>
            <w:r>
              <w:rPr>
                <w:color w:val="231F20"/>
                <w:w w:val="75"/>
                <w:sz w:val="17"/>
              </w:rPr>
              <w:t xml:space="preserve">Promote innovative advocacy, social mobilization and </w:t>
            </w:r>
            <w:proofErr w:type="spellStart"/>
            <w:r>
              <w:rPr>
                <w:color w:val="231F20"/>
                <w:w w:val="75"/>
                <w:sz w:val="17"/>
              </w:rPr>
              <w:t>behaviour</w:t>
            </w:r>
            <w:proofErr w:type="spellEnd"/>
            <w:r>
              <w:rPr>
                <w:color w:val="231F20"/>
                <w:w w:val="75"/>
                <w:sz w:val="17"/>
              </w:rPr>
              <w:t xml:space="preserve"> change intervention for the prevention and </w:t>
            </w:r>
            <w:r>
              <w:rPr>
                <w:color w:val="231F20"/>
                <w:w w:val="85"/>
                <w:sz w:val="17"/>
              </w:rPr>
              <w:t>control of TB</w:t>
            </w:r>
          </w:p>
        </w:tc>
        <w:tc>
          <w:tcPr>
            <w:tcW w:w="2522" w:type="dxa"/>
            <w:tcBorders>
              <w:left w:val="single" w:sz="6" w:space="0" w:color="231F20"/>
              <w:right w:val="single" w:sz="6" w:space="0" w:color="231F20"/>
            </w:tcBorders>
            <w:shd w:val="clear" w:color="auto" w:fill="CCE7D3"/>
          </w:tcPr>
          <w:p w14:paraId="0DA0FF13" w14:textId="77777777" w:rsidR="009948F1" w:rsidRDefault="00BC0563">
            <w:pPr>
              <w:pStyle w:val="TableParagraph"/>
              <w:numPr>
                <w:ilvl w:val="0"/>
                <w:numId w:val="154"/>
              </w:numPr>
              <w:tabs>
                <w:tab w:val="left" w:pos="107"/>
              </w:tabs>
              <w:spacing w:line="261" w:lineRule="auto"/>
              <w:ind w:right="36" w:firstLine="0"/>
              <w:rPr>
                <w:sz w:val="17"/>
              </w:rPr>
            </w:pPr>
            <w:r>
              <w:rPr>
                <w:color w:val="231F20"/>
                <w:w w:val="75"/>
                <w:sz w:val="17"/>
              </w:rPr>
              <w:t xml:space="preserve">Effective advocacy, communication and </w:t>
            </w:r>
            <w:r>
              <w:rPr>
                <w:color w:val="231F20"/>
                <w:w w:val="80"/>
                <w:sz w:val="17"/>
              </w:rPr>
              <w:t xml:space="preserve">social mobilization system for prevention </w:t>
            </w:r>
            <w:r>
              <w:rPr>
                <w:color w:val="231F20"/>
                <w:w w:val="75"/>
                <w:sz w:val="17"/>
              </w:rPr>
              <w:t>and</w:t>
            </w:r>
            <w:r>
              <w:rPr>
                <w:color w:val="231F20"/>
                <w:spacing w:val="-9"/>
                <w:w w:val="75"/>
                <w:sz w:val="17"/>
              </w:rPr>
              <w:t xml:space="preserve"> </w:t>
            </w:r>
            <w:r>
              <w:rPr>
                <w:color w:val="231F20"/>
                <w:w w:val="75"/>
                <w:sz w:val="17"/>
              </w:rPr>
              <w:t>control</w:t>
            </w:r>
            <w:r>
              <w:rPr>
                <w:color w:val="231F20"/>
                <w:spacing w:val="-8"/>
                <w:w w:val="75"/>
                <w:sz w:val="17"/>
              </w:rPr>
              <w:t xml:space="preserve"> </w:t>
            </w:r>
            <w:r>
              <w:rPr>
                <w:color w:val="231F20"/>
                <w:w w:val="75"/>
                <w:sz w:val="17"/>
              </w:rPr>
              <w:t>of</w:t>
            </w:r>
            <w:r>
              <w:rPr>
                <w:color w:val="231F20"/>
                <w:spacing w:val="-11"/>
                <w:w w:val="75"/>
                <w:sz w:val="17"/>
              </w:rPr>
              <w:t xml:space="preserve"> </w:t>
            </w:r>
            <w:r>
              <w:rPr>
                <w:color w:val="231F20"/>
                <w:w w:val="75"/>
                <w:sz w:val="17"/>
              </w:rPr>
              <w:t>TB</w:t>
            </w:r>
            <w:r>
              <w:rPr>
                <w:color w:val="231F20"/>
                <w:spacing w:val="-8"/>
                <w:w w:val="75"/>
                <w:sz w:val="17"/>
              </w:rPr>
              <w:t xml:space="preserve"> </w:t>
            </w:r>
            <w:r>
              <w:rPr>
                <w:color w:val="231F20"/>
                <w:w w:val="75"/>
                <w:sz w:val="17"/>
              </w:rPr>
              <w:t>developed</w:t>
            </w:r>
            <w:r>
              <w:rPr>
                <w:color w:val="231F20"/>
                <w:spacing w:val="-8"/>
                <w:w w:val="75"/>
                <w:sz w:val="17"/>
              </w:rPr>
              <w:t xml:space="preserve"> </w:t>
            </w:r>
            <w:r>
              <w:rPr>
                <w:color w:val="231F20"/>
                <w:w w:val="75"/>
                <w:sz w:val="17"/>
              </w:rPr>
              <w:t>&amp;</w:t>
            </w:r>
            <w:r>
              <w:rPr>
                <w:color w:val="231F20"/>
                <w:spacing w:val="-9"/>
                <w:w w:val="75"/>
                <w:sz w:val="17"/>
              </w:rPr>
              <w:t xml:space="preserve"> </w:t>
            </w:r>
            <w:r>
              <w:rPr>
                <w:color w:val="231F20"/>
                <w:w w:val="75"/>
                <w:sz w:val="17"/>
              </w:rPr>
              <w:t>implemented</w:t>
            </w:r>
          </w:p>
          <w:p w14:paraId="7466457B" w14:textId="77777777" w:rsidR="009948F1" w:rsidRDefault="00BC0563">
            <w:pPr>
              <w:pStyle w:val="TableParagraph"/>
              <w:spacing w:before="2"/>
              <w:ind w:left="27"/>
              <w:rPr>
                <w:sz w:val="17"/>
              </w:rPr>
            </w:pPr>
            <w:r>
              <w:rPr>
                <w:color w:val="231F20"/>
                <w:w w:val="73"/>
                <w:sz w:val="17"/>
              </w:rPr>
              <w:t>•</w:t>
            </w:r>
          </w:p>
          <w:p w14:paraId="128467C3" w14:textId="77777777" w:rsidR="009948F1" w:rsidRDefault="00BC0563">
            <w:pPr>
              <w:pStyle w:val="TableParagraph"/>
              <w:spacing w:before="18" w:line="135" w:lineRule="exact"/>
              <w:ind w:left="27"/>
              <w:rPr>
                <w:sz w:val="17"/>
              </w:rPr>
            </w:pPr>
            <w:r>
              <w:rPr>
                <w:color w:val="231F20"/>
                <w:w w:val="73"/>
                <w:sz w:val="17"/>
              </w:rPr>
              <w:t>•</w:t>
            </w:r>
          </w:p>
        </w:tc>
        <w:tc>
          <w:tcPr>
            <w:tcW w:w="1511" w:type="dxa"/>
            <w:tcBorders>
              <w:left w:val="single" w:sz="6" w:space="0" w:color="231F20"/>
              <w:right w:val="single" w:sz="12" w:space="0" w:color="231F20"/>
            </w:tcBorders>
            <w:shd w:val="clear" w:color="auto" w:fill="CCE7D3"/>
          </w:tcPr>
          <w:p w14:paraId="7C8D62DA"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57163C2E" w14:textId="77777777" w:rsidR="009948F1" w:rsidRDefault="009948F1">
            <w:pPr>
              <w:pStyle w:val="TableParagraph"/>
              <w:rPr>
                <w:rFonts w:ascii="Times New Roman"/>
                <w:sz w:val="12"/>
              </w:rPr>
            </w:pPr>
          </w:p>
        </w:tc>
      </w:tr>
      <w:tr w:rsidR="009948F1" w14:paraId="4A0EE7CF" w14:textId="77777777">
        <w:trPr>
          <w:trHeight w:val="400"/>
        </w:trPr>
        <w:tc>
          <w:tcPr>
            <w:tcW w:w="485" w:type="dxa"/>
            <w:vMerge w:val="restart"/>
            <w:tcBorders>
              <w:right w:val="single" w:sz="6" w:space="0" w:color="231F20"/>
            </w:tcBorders>
          </w:tcPr>
          <w:p w14:paraId="70D27768" w14:textId="77777777" w:rsidR="009948F1" w:rsidRDefault="009948F1">
            <w:pPr>
              <w:pStyle w:val="TableParagraph"/>
              <w:rPr>
                <w:rFonts w:ascii="Times New Roman"/>
                <w:sz w:val="12"/>
              </w:rPr>
            </w:pPr>
          </w:p>
        </w:tc>
        <w:tc>
          <w:tcPr>
            <w:tcW w:w="556" w:type="dxa"/>
            <w:tcBorders>
              <w:left w:val="single" w:sz="6" w:space="0" w:color="231F20"/>
              <w:right w:val="single" w:sz="6" w:space="0" w:color="231F20"/>
            </w:tcBorders>
          </w:tcPr>
          <w:p w14:paraId="553BBDA7" w14:textId="77777777" w:rsidR="009948F1" w:rsidRDefault="00BC0563">
            <w:pPr>
              <w:pStyle w:val="TableParagraph"/>
              <w:spacing w:before="102"/>
              <w:ind w:left="30" w:right="9"/>
              <w:jc w:val="center"/>
              <w:rPr>
                <w:sz w:val="17"/>
              </w:rPr>
            </w:pPr>
            <w:r>
              <w:rPr>
                <w:color w:val="231F20"/>
                <w:w w:val="80"/>
                <w:sz w:val="17"/>
              </w:rPr>
              <w:t>5.2.8.a</w:t>
            </w:r>
          </w:p>
        </w:tc>
        <w:tc>
          <w:tcPr>
            <w:tcW w:w="5178" w:type="dxa"/>
            <w:gridSpan w:val="2"/>
            <w:tcBorders>
              <w:left w:val="single" w:sz="6" w:space="0" w:color="231F20"/>
              <w:right w:val="single" w:sz="6" w:space="0" w:color="231F20"/>
            </w:tcBorders>
          </w:tcPr>
          <w:p w14:paraId="6FE786A8" w14:textId="77777777" w:rsidR="009948F1" w:rsidRDefault="00BC0563">
            <w:pPr>
              <w:pStyle w:val="TableParagraph"/>
              <w:ind w:left="26"/>
              <w:rPr>
                <w:sz w:val="17"/>
              </w:rPr>
            </w:pPr>
            <w:r>
              <w:rPr>
                <w:color w:val="231F20"/>
                <w:w w:val="80"/>
                <w:sz w:val="17"/>
              </w:rPr>
              <w:t>Develop</w:t>
            </w:r>
            <w:r>
              <w:rPr>
                <w:color w:val="231F20"/>
                <w:spacing w:val="-27"/>
                <w:w w:val="80"/>
                <w:sz w:val="17"/>
              </w:rPr>
              <w:t xml:space="preserve"> </w:t>
            </w:r>
            <w:r>
              <w:rPr>
                <w:color w:val="231F20"/>
                <w:w w:val="80"/>
                <w:sz w:val="17"/>
              </w:rPr>
              <w:t>an</w:t>
            </w:r>
            <w:r>
              <w:rPr>
                <w:color w:val="231F20"/>
                <w:spacing w:val="-26"/>
                <w:w w:val="80"/>
                <w:sz w:val="17"/>
              </w:rPr>
              <w:t xml:space="preserve"> </w:t>
            </w:r>
            <w:r>
              <w:rPr>
                <w:color w:val="231F20"/>
                <w:w w:val="80"/>
                <w:sz w:val="17"/>
              </w:rPr>
              <w:t>effective</w:t>
            </w:r>
            <w:r>
              <w:rPr>
                <w:color w:val="231F20"/>
                <w:spacing w:val="-26"/>
                <w:w w:val="80"/>
                <w:sz w:val="17"/>
              </w:rPr>
              <w:t xml:space="preserve"> </w:t>
            </w:r>
            <w:r>
              <w:rPr>
                <w:color w:val="231F20"/>
                <w:w w:val="80"/>
                <w:sz w:val="17"/>
              </w:rPr>
              <w:t>advocacy,</w:t>
            </w:r>
            <w:r>
              <w:rPr>
                <w:color w:val="231F20"/>
                <w:spacing w:val="-27"/>
                <w:w w:val="80"/>
                <w:sz w:val="17"/>
              </w:rPr>
              <w:t xml:space="preserve"> </w:t>
            </w:r>
            <w:r>
              <w:rPr>
                <w:color w:val="231F20"/>
                <w:w w:val="80"/>
                <w:sz w:val="17"/>
              </w:rPr>
              <w:t>communication</w:t>
            </w:r>
            <w:r>
              <w:rPr>
                <w:color w:val="231F20"/>
                <w:spacing w:val="-26"/>
                <w:w w:val="80"/>
                <w:sz w:val="17"/>
              </w:rPr>
              <w:t xml:space="preserve"> </w:t>
            </w:r>
            <w:r>
              <w:rPr>
                <w:color w:val="231F20"/>
                <w:w w:val="80"/>
                <w:sz w:val="17"/>
              </w:rPr>
              <w:t>and</w:t>
            </w:r>
            <w:r>
              <w:rPr>
                <w:color w:val="231F20"/>
                <w:spacing w:val="-26"/>
                <w:w w:val="80"/>
                <w:sz w:val="17"/>
              </w:rPr>
              <w:t xml:space="preserve"> </w:t>
            </w:r>
            <w:r>
              <w:rPr>
                <w:color w:val="231F20"/>
                <w:w w:val="80"/>
                <w:sz w:val="17"/>
              </w:rPr>
              <w:t>social</w:t>
            </w:r>
            <w:r>
              <w:rPr>
                <w:color w:val="231F20"/>
                <w:spacing w:val="-27"/>
                <w:w w:val="80"/>
                <w:sz w:val="17"/>
              </w:rPr>
              <w:t xml:space="preserve"> </w:t>
            </w:r>
            <w:r>
              <w:rPr>
                <w:color w:val="231F20"/>
                <w:w w:val="80"/>
                <w:sz w:val="17"/>
              </w:rPr>
              <w:t>mobilization</w:t>
            </w:r>
            <w:r>
              <w:rPr>
                <w:color w:val="231F20"/>
                <w:spacing w:val="-26"/>
                <w:w w:val="80"/>
                <w:sz w:val="17"/>
              </w:rPr>
              <w:t xml:space="preserve"> </w:t>
            </w:r>
            <w:r>
              <w:rPr>
                <w:color w:val="231F20"/>
                <w:w w:val="80"/>
                <w:sz w:val="17"/>
              </w:rPr>
              <w:t>system</w:t>
            </w:r>
            <w:r>
              <w:rPr>
                <w:color w:val="231F20"/>
                <w:spacing w:val="-26"/>
                <w:w w:val="80"/>
                <w:sz w:val="17"/>
              </w:rPr>
              <w:t xml:space="preserve"> </w:t>
            </w:r>
            <w:r>
              <w:rPr>
                <w:color w:val="231F20"/>
                <w:w w:val="80"/>
                <w:sz w:val="17"/>
              </w:rPr>
              <w:t>to</w:t>
            </w:r>
            <w:r>
              <w:rPr>
                <w:color w:val="231F20"/>
                <w:spacing w:val="-26"/>
                <w:w w:val="80"/>
                <w:sz w:val="17"/>
              </w:rPr>
              <w:t xml:space="preserve"> </w:t>
            </w:r>
            <w:r>
              <w:rPr>
                <w:color w:val="231F20"/>
                <w:w w:val="80"/>
                <w:sz w:val="17"/>
              </w:rPr>
              <w:t>ensure</w:t>
            </w:r>
          </w:p>
          <w:p w14:paraId="2025D6D1" w14:textId="77777777" w:rsidR="009948F1" w:rsidRDefault="00BC0563">
            <w:pPr>
              <w:pStyle w:val="TableParagraph"/>
              <w:spacing w:before="18" w:line="167" w:lineRule="exact"/>
              <w:ind w:left="26"/>
              <w:rPr>
                <w:sz w:val="17"/>
              </w:rPr>
            </w:pPr>
            <w:r>
              <w:rPr>
                <w:color w:val="231F20"/>
                <w:w w:val="85"/>
                <w:sz w:val="17"/>
              </w:rPr>
              <w:t>prevention and control of TB</w:t>
            </w:r>
          </w:p>
        </w:tc>
        <w:tc>
          <w:tcPr>
            <w:tcW w:w="1511" w:type="dxa"/>
            <w:tcBorders>
              <w:left w:val="single" w:sz="6" w:space="0" w:color="231F20"/>
              <w:right w:val="single" w:sz="6" w:space="0" w:color="231F20"/>
            </w:tcBorders>
          </w:tcPr>
          <w:p w14:paraId="66AEC619" w14:textId="77777777" w:rsidR="009948F1" w:rsidRDefault="00BC0563">
            <w:pPr>
              <w:pStyle w:val="TableParagraph"/>
              <w:spacing w:before="102"/>
              <w:ind w:left="27"/>
              <w:rPr>
                <w:sz w:val="17"/>
              </w:rPr>
            </w:pPr>
            <w:r>
              <w:rPr>
                <w:color w:val="231F20"/>
                <w:w w:val="85"/>
                <w:sz w:val="17"/>
              </w:rPr>
              <w:t>Lack of funds</w:t>
            </w:r>
          </w:p>
        </w:tc>
        <w:tc>
          <w:tcPr>
            <w:tcW w:w="1592" w:type="dxa"/>
            <w:tcBorders>
              <w:left w:val="single" w:sz="6" w:space="0" w:color="231F20"/>
            </w:tcBorders>
          </w:tcPr>
          <w:p w14:paraId="59F2936F" w14:textId="77777777" w:rsidR="009948F1" w:rsidRDefault="00BC0563">
            <w:pPr>
              <w:pStyle w:val="TableParagraph"/>
              <w:spacing w:before="102"/>
              <w:ind w:left="26"/>
              <w:rPr>
                <w:sz w:val="17"/>
              </w:rPr>
            </w:pPr>
            <w:r>
              <w:rPr>
                <w:color w:val="231F20"/>
                <w:w w:val="80"/>
                <w:sz w:val="17"/>
              </w:rPr>
              <w:t>Develop effective system</w:t>
            </w:r>
          </w:p>
        </w:tc>
      </w:tr>
      <w:tr w:rsidR="009948F1" w14:paraId="3D34B3F5" w14:textId="77777777">
        <w:trPr>
          <w:trHeight w:val="631"/>
        </w:trPr>
        <w:tc>
          <w:tcPr>
            <w:tcW w:w="485" w:type="dxa"/>
            <w:vMerge/>
            <w:tcBorders>
              <w:top w:val="nil"/>
              <w:right w:val="single" w:sz="6" w:space="0" w:color="231F20"/>
            </w:tcBorders>
          </w:tcPr>
          <w:p w14:paraId="38DFCBEA" w14:textId="77777777" w:rsidR="009948F1" w:rsidRDefault="009948F1">
            <w:pPr>
              <w:rPr>
                <w:sz w:val="2"/>
                <w:szCs w:val="2"/>
              </w:rPr>
            </w:pPr>
          </w:p>
        </w:tc>
        <w:tc>
          <w:tcPr>
            <w:tcW w:w="556" w:type="dxa"/>
            <w:tcBorders>
              <w:left w:val="single" w:sz="6" w:space="0" w:color="231F20"/>
              <w:right w:val="single" w:sz="6" w:space="0" w:color="231F20"/>
            </w:tcBorders>
          </w:tcPr>
          <w:p w14:paraId="7C9E9011" w14:textId="77777777" w:rsidR="009948F1" w:rsidRDefault="009948F1">
            <w:pPr>
              <w:pStyle w:val="TableParagraph"/>
              <w:rPr>
                <w:sz w:val="19"/>
              </w:rPr>
            </w:pPr>
          </w:p>
          <w:p w14:paraId="6A09E7FD" w14:textId="77777777" w:rsidR="009948F1" w:rsidRDefault="00BC0563">
            <w:pPr>
              <w:pStyle w:val="TableParagraph"/>
              <w:ind w:left="30" w:right="9"/>
              <w:jc w:val="center"/>
              <w:rPr>
                <w:sz w:val="17"/>
              </w:rPr>
            </w:pPr>
            <w:r>
              <w:rPr>
                <w:color w:val="231F20"/>
                <w:w w:val="80"/>
                <w:sz w:val="17"/>
              </w:rPr>
              <w:t>5.2.8.b</w:t>
            </w:r>
          </w:p>
        </w:tc>
        <w:tc>
          <w:tcPr>
            <w:tcW w:w="5178" w:type="dxa"/>
            <w:gridSpan w:val="2"/>
            <w:tcBorders>
              <w:left w:val="single" w:sz="6" w:space="0" w:color="231F20"/>
              <w:right w:val="single" w:sz="6" w:space="0" w:color="231F20"/>
            </w:tcBorders>
          </w:tcPr>
          <w:p w14:paraId="1915D304" w14:textId="77777777" w:rsidR="009948F1" w:rsidRDefault="009948F1">
            <w:pPr>
              <w:pStyle w:val="TableParagraph"/>
              <w:spacing w:before="5"/>
              <w:rPr>
                <w:sz w:val="18"/>
              </w:rPr>
            </w:pPr>
          </w:p>
          <w:p w14:paraId="754D0ED3" w14:textId="5FD3ED64" w:rsidR="009948F1" w:rsidRDefault="00BC0563">
            <w:pPr>
              <w:pStyle w:val="TableParagraph"/>
              <w:ind w:left="26"/>
              <w:rPr>
                <w:sz w:val="17"/>
              </w:rPr>
            </w:pPr>
            <w:r>
              <w:rPr>
                <w:color w:val="231F20"/>
                <w:w w:val="75"/>
                <w:sz w:val="17"/>
              </w:rPr>
              <w:t>Conduct</w:t>
            </w:r>
            <w:r>
              <w:rPr>
                <w:color w:val="231F20"/>
                <w:spacing w:val="-7"/>
                <w:w w:val="75"/>
                <w:sz w:val="17"/>
              </w:rPr>
              <w:t xml:space="preserve"> </w:t>
            </w:r>
            <w:r>
              <w:rPr>
                <w:color w:val="231F20"/>
                <w:w w:val="75"/>
                <w:sz w:val="17"/>
              </w:rPr>
              <w:t>advocacy</w:t>
            </w:r>
            <w:r>
              <w:rPr>
                <w:color w:val="231F20"/>
                <w:spacing w:val="-7"/>
                <w:w w:val="75"/>
                <w:sz w:val="17"/>
              </w:rPr>
              <w:t xml:space="preserve"> </w:t>
            </w:r>
            <w:r>
              <w:rPr>
                <w:color w:val="231F20"/>
                <w:w w:val="75"/>
                <w:sz w:val="17"/>
              </w:rPr>
              <w:t>visit</w:t>
            </w:r>
            <w:r>
              <w:rPr>
                <w:color w:val="231F20"/>
                <w:spacing w:val="-7"/>
                <w:w w:val="75"/>
                <w:sz w:val="17"/>
              </w:rPr>
              <w:t xml:space="preserve"> </w:t>
            </w:r>
            <w:r>
              <w:rPr>
                <w:color w:val="231F20"/>
                <w:w w:val="75"/>
                <w:sz w:val="17"/>
              </w:rPr>
              <w:t>to</w:t>
            </w:r>
            <w:r>
              <w:rPr>
                <w:color w:val="231F20"/>
                <w:spacing w:val="-7"/>
                <w:w w:val="75"/>
                <w:sz w:val="17"/>
              </w:rPr>
              <w:t xml:space="preserve"> </w:t>
            </w:r>
            <w:r>
              <w:rPr>
                <w:color w:val="231F20"/>
                <w:w w:val="75"/>
                <w:sz w:val="17"/>
              </w:rPr>
              <w:t>Chiefs,</w:t>
            </w:r>
            <w:r>
              <w:rPr>
                <w:color w:val="231F20"/>
                <w:spacing w:val="-6"/>
                <w:w w:val="75"/>
                <w:sz w:val="17"/>
              </w:rPr>
              <w:t xml:space="preserve"> </w:t>
            </w:r>
            <w:r>
              <w:rPr>
                <w:color w:val="231F20"/>
                <w:w w:val="75"/>
                <w:sz w:val="17"/>
              </w:rPr>
              <w:t>Elders,</w:t>
            </w:r>
            <w:r>
              <w:rPr>
                <w:color w:val="231F20"/>
                <w:spacing w:val="-7"/>
                <w:w w:val="75"/>
                <w:sz w:val="17"/>
              </w:rPr>
              <w:t xml:space="preserve"> </w:t>
            </w:r>
            <w:r>
              <w:rPr>
                <w:color w:val="231F20"/>
                <w:w w:val="75"/>
                <w:sz w:val="17"/>
              </w:rPr>
              <w:t>Community</w:t>
            </w:r>
            <w:r>
              <w:rPr>
                <w:color w:val="231F20"/>
                <w:spacing w:val="-7"/>
                <w:w w:val="75"/>
                <w:sz w:val="17"/>
              </w:rPr>
              <w:t xml:space="preserve"> </w:t>
            </w:r>
            <w:r>
              <w:rPr>
                <w:color w:val="231F20"/>
                <w:w w:val="75"/>
                <w:sz w:val="17"/>
              </w:rPr>
              <w:t>leaders</w:t>
            </w:r>
            <w:r>
              <w:rPr>
                <w:color w:val="231F20"/>
                <w:spacing w:val="-7"/>
                <w:w w:val="75"/>
                <w:sz w:val="17"/>
              </w:rPr>
              <w:t xml:space="preserve"> </w:t>
            </w:r>
            <w:r>
              <w:rPr>
                <w:color w:val="231F20"/>
                <w:w w:val="75"/>
                <w:sz w:val="17"/>
              </w:rPr>
              <w:t>on</w:t>
            </w:r>
            <w:r>
              <w:rPr>
                <w:color w:val="231F20"/>
                <w:spacing w:val="-8"/>
                <w:w w:val="75"/>
                <w:sz w:val="17"/>
              </w:rPr>
              <w:t xml:space="preserve"> </w:t>
            </w:r>
            <w:r>
              <w:rPr>
                <w:color w:val="231F20"/>
                <w:w w:val="75"/>
                <w:sz w:val="17"/>
              </w:rPr>
              <w:t>TB</w:t>
            </w:r>
            <w:r>
              <w:rPr>
                <w:color w:val="231F20"/>
                <w:spacing w:val="-7"/>
                <w:w w:val="75"/>
                <w:sz w:val="17"/>
              </w:rPr>
              <w:t xml:space="preserve"> </w:t>
            </w:r>
            <w:r>
              <w:rPr>
                <w:color w:val="231F20"/>
                <w:w w:val="75"/>
                <w:sz w:val="17"/>
              </w:rPr>
              <w:t>&amp;</w:t>
            </w:r>
            <w:r>
              <w:rPr>
                <w:color w:val="231F20"/>
                <w:spacing w:val="-7"/>
                <w:w w:val="75"/>
                <w:sz w:val="17"/>
              </w:rPr>
              <w:t xml:space="preserve"> </w:t>
            </w:r>
            <w:r>
              <w:rPr>
                <w:color w:val="231F20"/>
                <w:w w:val="75"/>
                <w:sz w:val="17"/>
              </w:rPr>
              <w:t>Leprosy</w:t>
            </w:r>
            <w:r>
              <w:rPr>
                <w:color w:val="231F20"/>
                <w:spacing w:val="-7"/>
                <w:w w:val="75"/>
                <w:sz w:val="17"/>
              </w:rPr>
              <w:t xml:space="preserve"> </w:t>
            </w:r>
            <w:r w:rsidR="00DA4239">
              <w:rPr>
                <w:color w:val="231F20"/>
                <w:w w:val="75"/>
                <w:sz w:val="17"/>
              </w:rPr>
              <w:t>sensitization</w:t>
            </w:r>
          </w:p>
        </w:tc>
        <w:tc>
          <w:tcPr>
            <w:tcW w:w="1511" w:type="dxa"/>
            <w:tcBorders>
              <w:left w:val="single" w:sz="6" w:space="0" w:color="231F20"/>
              <w:right w:val="single" w:sz="6" w:space="0" w:color="231F20"/>
            </w:tcBorders>
          </w:tcPr>
          <w:p w14:paraId="283EB4B5" w14:textId="77777777" w:rsidR="009948F1" w:rsidRDefault="009948F1">
            <w:pPr>
              <w:pStyle w:val="TableParagraph"/>
              <w:rPr>
                <w:sz w:val="19"/>
              </w:rPr>
            </w:pPr>
          </w:p>
          <w:p w14:paraId="08A74791" w14:textId="77777777" w:rsidR="009948F1" w:rsidRDefault="00BC0563">
            <w:pPr>
              <w:pStyle w:val="TableParagraph"/>
              <w:ind w:left="27"/>
              <w:rPr>
                <w:sz w:val="17"/>
              </w:rPr>
            </w:pPr>
            <w:r>
              <w:rPr>
                <w:color w:val="231F20"/>
                <w:w w:val="85"/>
                <w:sz w:val="17"/>
              </w:rPr>
              <w:t>Lack of funds</w:t>
            </w:r>
          </w:p>
        </w:tc>
        <w:tc>
          <w:tcPr>
            <w:tcW w:w="1592" w:type="dxa"/>
            <w:tcBorders>
              <w:left w:val="single" w:sz="6" w:space="0" w:color="231F20"/>
            </w:tcBorders>
          </w:tcPr>
          <w:p w14:paraId="147147EA" w14:textId="77777777" w:rsidR="009948F1" w:rsidRDefault="009948F1">
            <w:pPr>
              <w:pStyle w:val="TableParagraph"/>
              <w:rPr>
                <w:sz w:val="19"/>
              </w:rPr>
            </w:pPr>
          </w:p>
          <w:p w14:paraId="58E0A55D" w14:textId="77777777" w:rsidR="009948F1" w:rsidRDefault="00BC0563">
            <w:pPr>
              <w:pStyle w:val="TableParagraph"/>
              <w:ind w:left="26"/>
              <w:rPr>
                <w:sz w:val="17"/>
              </w:rPr>
            </w:pPr>
            <w:r>
              <w:rPr>
                <w:color w:val="231F20"/>
                <w:w w:val="85"/>
                <w:sz w:val="17"/>
              </w:rPr>
              <w:t>Conduct advocacy visit</w:t>
            </w:r>
          </w:p>
        </w:tc>
      </w:tr>
      <w:tr w:rsidR="009948F1" w14:paraId="129584A9" w14:textId="77777777">
        <w:trPr>
          <w:trHeight w:val="621"/>
        </w:trPr>
        <w:tc>
          <w:tcPr>
            <w:tcW w:w="485" w:type="dxa"/>
            <w:vMerge/>
            <w:tcBorders>
              <w:top w:val="nil"/>
              <w:right w:val="single" w:sz="6" w:space="0" w:color="231F20"/>
            </w:tcBorders>
          </w:tcPr>
          <w:p w14:paraId="29E8894F" w14:textId="77777777" w:rsidR="009948F1" w:rsidRDefault="009948F1">
            <w:pPr>
              <w:rPr>
                <w:sz w:val="2"/>
                <w:szCs w:val="2"/>
              </w:rPr>
            </w:pPr>
          </w:p>
        </w:tc>
        <w:tc>
          <w:tcPr>
            <w:tcW w:w="556" w:type="dxa"/>
            <w:tcBorders>
              <w:left w:val="single" w:sz="6" w:space="0" w:color="231F20"/>
              <w:right w:val="single" w:sz="6" w:space="0" w:color="231F20"/>
            </w:tcBorders>
          </w:tcPr>
          <w:p w14:paraId="58E8643B" w14:textId="77777777" w:rsidR="009948F1" w:rsidRDefault="009948F1">
            <w:pPr>
              <w:pStyle w:val="TableParagraph"/>
              <w:spacing w:before="6"/>
              <w:rPr>
                <w:sz w:val="18"/>
              </w:rPr>
            </w:pPr>
          </w:p>
          <w:p w14:paraId="6659FEAD" w14:textId="77777777" w:rsidR="009948F1" w:rsidRDefault="00BC0563">
            <w:pPr>
              <w:pStyle w:val="TableParagraph"/>
              <w:spacing w:before="1"/>
              <w:ind w:left="30" w:right="9"/>
              <w:jc w:val="center"/>
              <w:rPr>
                <w:sz w:val="17"/>
              </w:rPr>
            </w:pPr>
            <w:r>
              <w:rPr>
                <w:color w:val="231F20"/>
                <w:w w:val="80"/>
                <w:sz w:val="17"/>
              </w:rPr>
              <w:t>5.2.8.c</w:t>
            </w:r>
          </w:p>
        </w:tc>
        <w:tc>
          <w:tcPr>
            <w:tcW w:w="5178" w:type="dxa"/>
            <w:gridSpan w:val="2"/>
            <w:tcBorders>
              <w:left w:val="single" w:sz="6" w:space="0" w:color="231F20"/>
              <w:right w:val="single" w:sz="6" w:space="0" w:color="231F20"/>
            </w:tcBorders>
          </w:tcPr>
          <w:p w14:paraId="258C2B7C" w14:textId="77777777" w:rsidR="009948F1" w:rsidRDefault="009948F1">
            <w:pPr>
              <w:pStyle w:val="TableParagraph"/>
              <w:spacing w:before="11"/>
              <w:rPr>
                <w:sz w:val="17"/>
              </w:rPr>
            </w:pPr>
          </w:p>
          <w:p w14:paraId="0D6CF876" w14:textId="77777777" w:rsidR="009948F1" w:rsidRDefault="00BC0563">
            <w:pPr>
              <w:pStyle w:val="TableParagraph"/>
              <w:ind w:left="26"/>
              <w:rPr>
                <w:sz w:val="17"/>
              </w:rPr>
            </w:pPr>
            <w:r>
              <w:rPr>
                <w:color w:val="231F20"/>
                <w:w w:val="85"/>
                <w:sz w:val="17"/>
              </w:rPr>
              <w:t>Conduct training for GHW on M&amp;E and ICT Data management</w:t>
            </w:r>
          </w:p>
        </w:tc>
        <w:tc>
          <w:tcPr>
            <w:tcW w:w="1511" w:type="dxa"/>
            <w:tcBorders>
              <w:left w:val="single" w:sz="6" w:space="0" w:color="231F20"/>
              <w:right w:val="single" w:sz="6" w:space="0" w:color="231F20"/>
            </w:tcBorders>
          </w:tcPr>
          <w:p w14:paraId="28847420" w14:textId="77777777" w:rsidR="009948F1" w:rsidRDefault="009948F1">
            <w:pPr>
              <w:pStyle w:val="TableParagraph"/>
              <w:spacing w:before="6"/>
              <w:rPr>
                <w:sz w:val="18"/>
              </w:rPr>
            </w:pPr>
          </w:p>
          <w:p w14:paraId="7C67BE5F" w14:textId="77777777" w:rsidR="009948F1" w:rsidRDefault="00BC0563">
            <w:pPr>
              <w:pStyle w:val="TableParagraph"/>
              <w:spacing w:before="1"/>
              <w:ind w:left="27"/>
              <w:rPr>
                <w:sz w:val="17"/>
              </w:rPr>
            </w:pPr>
            <w:r>
              <w:rPr>
                <w:color w:val="231F20"/>
                <w:w w:val="85"/>
                <w:sz w:val="17"/>
              </w:rPr>
              <w:t>Lack of funds</w:t>
            </w:r>
          </w:p>
        </w:tc>
        <w:tc>
          <w:tcPr>
            <w:tcW w:w="1592" w:type="dxa"/>
            <w:tcBorders>
              <w:left w:val="single" w:sz="6" w:space="0" w:color="231F20"/>
            </w:tcBorders>
          </w:tcPr>
          <w:p w14:paraId="32FF3F0B" w14:textId="77777777" w:rsidR="009948F1" w:rsidRDefault="009948F1">
            <w:pPr>
              <w:pStyle w:val="TableParagraph"/>
              <w:spacing w:before="6"/>
              <w:rPr>
                <w:sz w:val="18"/>
              </w:rPr>
            </w:pPr>
          </w:p>
          <w:p w14:paraId="05225EA5" w14:textId="77777777" w:rsidR="009948F1" w:rsidRDefault="00BC0563">
            <w:pPr>
              <w:pStyle w:val="TableParagraph"/>
              <w:spacing w:before="1"/>
              <w:ind w:left="26"/>
              <w:rPr>
                <w:sz w:val="17"/>
              </w:rPr>
            </w:pPr>
            <w:r>
              <w:rPr>
                <w:color w:val="231F20"/>
                <w:w w:val="85"/>
                <w:sz w:val="17"/>
              </w:rPr>
              <w:t>Conduct training</w:t>
            </w:r>
          </w:p>
        </w:tc>
      </w:tr>
      <w:tr w:rsidR="009948F1" w14:paraId="125ED538" w14:textId="77777777">
        <w:trPr>
          <w:trHeight w:val="1272"/>
        </w:trPr>
        <w:tc>
          <w:tcPr>
            <w:tcW w:w="485" w:type="dxa"/>
            <w:tcBorders>
              <w:left w:val="single" w:sz="12" w:space="0" w:color="231F20"/>
              <w:right w:val="single" w:sz="6" w:space="0" w:color="231F20"/>
            </w:tcBorders>
            <w:shd w:val="clear" w:color="auto" w:fill="CCE7D3"/>
          </w:tcPr>
          <w:p w14:paraId="0D0EFB06" w14:textId="77777777" w:rsidR="009948F1" w:rsidRDefault="009948F1">
            <w:pPr>
              <w:pStyle w:val="TableParagraph"/>
              <w:rPr>
                <w:sz w:val="16"/>
              </w:rPr>
            </w:pPr>
          </w:p>
          <w:p w14:paraId="12C0CE6E" w14:textId="77777777" w:rsidR="009948F1" w:rsidRDefault="009948F1">
            <w:pPr>
              <w:pStyle w:val="TableParagraph"/>
              <w:rPr>
                <w:sz w:val="16"/>
              </w:rPr>
            </w:pPr>
          </w:p>
          <w:p w14:paraId="09BBFCC0" w14:textId="77777777" w:rsidR="009948F1" w:rsidRDefault="009948F1">
            <w:pPr>
              <w:pStyle w:val="TableParagraph"/>
              <w:spacing w:before="9"/>
              <w:rPr>
                <w:sz w:val="14"/>
              </w:rPr>
            </w:pPr>
          </w:p>
          <w:p w14:paraId="0BDBFA5D" w14:textId="77777777" w:rsidR="009948F1" w:rsidRDefault="00BC0563">
            <w:pPr>
              <w:pStyle w:val="TableParagraph"/>
              <w:spacing w:before="1"/>
              <w:ind w:left="22" w:right="21"/>
              <w:jc w:val="center"/>
              <w:rPr>
                <w:sz w:val="17"/>
              </w:rPr>
            </w:pPr>
            <w:r>
              <w:rPr>
                <w:color w:val="231F20"/>
                <w:w w:val="80"/>
                <w:sz w:val="17"/>
              </w:rPr>
              <w:t>5.2.10</w:t>
            </w:r>
          </w:p>
        </w:tc>
        <w:tc>
          <w:tcPr>
            <w:tcW w:w="3212" w:type="dxa"/>
            <w:gridSpan w:val="2"/>
            <w:tcBorders>
              <w:left w:val="single" w:sz="6" w:space="0" w:color="231F20"/>
              <w:right w:val="single" w:sz="6" w:space="0" w:color="231F20"/>
            </w:tcBorders>
            <w:shd w:val="clear" w:color="auto" w:fill="CCE7D3"/>
          </w:tcPr>
          <w:p w14:paraId="1120867F" w14:textId="77777777" w:rsidR="009948F1" w:rsidRDefault="009948F1">
            <w:pPr>
              <w:pStyle w:val="TableParagraph"/>
              <w:rPr>
                <w:sz w:val="16"/>
              </w:rPr>
            </w:pPr>
          </w:p>
          <w:p w14:paraId="27D47F45" w14:textId="77777777" w:rsidR="009948F1" w:rsidRDefault="00BC0563">
            <w:pPr>
              <w:pStyle w:val="TableParagraph"/>
              <w:spacing w:before="134" w:line="261" w:lineRule="auto"/>
              <w:ind w:left="26" w:right="11" w:firstLine="34"/>
              <w:rPr>
                <w:sz w:val="17"/>
              </w:rPr>
            </w:pPr>
            <w:r>
              <w:rPr>
                <w:color w:val="231F20"/>
                <w:w w:val="85"/>
                <w:sz w:val="17"/>
              </w:rPr>
              <w:t xml:space="preserve">Build capacity of all cadres of health staff (GHW, </w:t>
            </w:r>
            <w:r>
              <w:rPr>
                <w:color w:val="231F20"/>
                <w:w w:val="75"/>
                <w:sz w:val="17"/>
              </w:rPr>
              <w:t xml:space="preserve">Physicians, and specialist) and community members on </w:t>
            </w:r>
            <w:r>
              <w:rPr>
                <w:color w:val="231F20"/>
                <w:w w:val="85"/>
                <w:sz w:val="17"/>
              </w:rPr>
              <w:t>Leprosy case finding and case management</w:t>
            </w:r>
          </w:p>
        </w:tc>
        <w:tc>
          <w:tcPr>
            <w:tcW w:w="2522" w:type="dxa"/>
            <w:tcBorders>
              <w:left w:val="single" w:sz="6" w:space="0" w:color="231F20"/>
              <w:right w:val="single" w:sz="6" w:space="0" w:color="231F20"/>
            </w:tcBorders>
            <w:shd w:val="clear" w:color="auto" w:fill="CCE7D3"/>
          </w:tcPr>
          <w:p w14:paraId="1E233856" w14:textId="77777777" w:rsidR="009948F1" w:rsidRDefault="00BC0563">
            <w:pPr>
              <w:pStyle w:val="TableParagraph"/>
              <w:numPr>
                <w:ilvl w:val="0"/>
                <w:numId w:val="153"/>
              </w:numPr>
              <w:tabs>
                <w:tab w:val="left" w:pos="100"/>
              </w:tabs>
              <w:spacing w:before="5" w:line="261" w:lineRule="auto"/>
              <w:ind w:right="85" w:firstLine="0"/>
              <w:rPr>
                <w:sz w:val="17"/>
              </w:rPr>
            </w:pPr>
            <w:r>
              <w:rPr>
                <w:color w:val="231F20"/>
                <w:w w:val="75"/>
                <w:sz w:val="17"/>
              </w:rPr>
              <w:t>At</w:t>
            </w:r>
            <w:r>
              <w:rPr>
                <w:color w:val="231F20"/>
                <w:spacing w:val="-7"/>
                <w:w w:val="75"/>
                <w:sz w:val="17"/>
              </w:rPr>
              <w:t xml:space="preserve"> </w:t>
            </w:r>
            <w:r>
              <w:rPr>
                <w:color w:val="231F20"/>
                <w:w w:val="75"/>
                <w:sz w:val="17"/>
              </w:rPr>
              <w:t>least</w:t>
            </w:r>
            <w:r>
              <w:rPr>
                <w:color w:val="231F20"/>
                <w:spacing w:val="-6"/>
                <w:w w:val="75"/>
                <w:sz w:val="17"/>
              </w:rPr>
              <w:t xml:space="preserve"> </w:t>
            </w:r>
            <w:r>
              <w:rPr>
                <w:color w:val="231F20"/>
                <w:w w:val="75"/>
                <w:sz w:val="17"/>
              </w:rPr>
              <w:t>50</w:t>
            </w:r>
            <w:r>
              <w:rPr>
                <w:color w:val="231F20"/>
                <w:spacing w:val="-7"/>
                <w:w w:val="75"/>
                <w:sz w:val="17"/>
              </w:rPr>
              <w:t xml:space="preserve"> </w:t>
            </w:r>
            <w:r>
              <w:rPr>
                <w:color w:val="231F20"/>
                <w:w w:val="75"/>
                <w:sz w:val="17"/>
              </w:rPr>
              <w:t>Medical</w:t>
            </w:r>
            <w:r>
              <w:rPr>
                <w:color w:val="231F20"/>
                <w:spacing w:val="-6"/>
                <w:w w:val="75"/>
                <w:sz w:val="17"/>
              </w:rPr>
              <w:t xml:space="preserve"> </w:t>
            </w:r>
            <w:r>
              <w:rPr>
                <w:color w:val="231F20"/>
                <w:w w:val="75"/>
                <w:sz w:val="17"/>
              </w:rPr>
              <w:t>officers</w:t>
            </w:r>
            <w:r>
              <w:rPr>
                <w:color w:val="231F20"/>
                <w:spacing w:val="-6"/>
                <w:w w:val="75"/>
                <w:sz w:val="17"/>
              </w:rPr>
              <w:t xml:space="preserve"> </w:t>
            </w:r>
            <w:r>
              <w:rPr>
                <w:color w:val="231F20"/>
                <w:w w:val="75"/>
                <w:sz w:val="17"/>
              </w:rPr>
              <w:t>trained</w:t>
            </w:r>
            <w:r>
              <w:rPr>
                <w:color w:val="231F20"/>
                <w:spacing w:val="-7"/>
                <w:w w:val="75"/>
                <w:sz w:val="17"/>
              </w:rPr>
              <w:t xml:space="preserve"> </w:t>
            </w:r>
            <w:r>
              <w:rPr>
                <w:color w:val="231F20"/>
                <w:w w:val="75"/>
                <w:sz w:val="17"/>
              </w:rPr>
              <w:t>on</w:t>
            </w:r>
            <w:r>
              <w:rPr>
                <w:color w:val="231F20"/>
                <w:spacing w:val="-8"/>
                <w:w w:val="75"/>
                <w:sz w:val="17"/>
              </w:rPr>
              <w:t xml:space="preserve"> </w:t>
            </w:r>
            <w:r>
              <w:rPr>
                <w:color w:val="231F20"/>
                <w:w w:val="75"/>
                <w:sz w:val="17"/>
              </w:rPr>
              <w:t xml:space="preserve">TB, </w:t>
            </w:r>
            <w:r>
              <w:rPr>
                <w:color w:val="231F20"/>
                <w:w w:val="85"/>
                <w:sz w:val="17"/>
              </w:rPr>
              <w:t>Leprosy,</w:t>
            </w:r>
            <w:r>
              <w:rPr>
                <w:color w:val="231F20"/>
                <w:spacing w:val="-29"/>
                <w:w w:val="85"/>
                <w:sz w:val="17"/>
              </w:rPr>
              <w:t xml:space="preserve"> </w:t>
            </w:r>
            <w:r>
              <w:rPr>
                <w:color w:val="231F20"/>
                <w:w w:val="85"/>
                <w:sz w:val="17"/>
              </w:rPr>
              <w:t>Buruli</w:t>
            </w:r>
            <w:r>
              <w:rPr>
                <w:color w:val="231F20"/>
                <w:spacing w:val="-28"/>
                <w:w w:val="85"/>
                <w:sz w:val="17"/>
              </w:rPr>
              <w:t xml:space="preserve"> </w:t>
            </w:r>
            <w:r>
              <w:rPr>
                <w:color w:val="231F20"/>
                <w:w w:val="85"/>
                <w:sz w:val="17"/>
              </w:rPr>
              <w:t>Ulcer</w:t>
            </w:r>
            <w:r>
              <w:rPr>
                <w:color w:val="231F20"/>
                <w:spacing w:val="-28"/>
                <w:w w:val="85"/>
                <w:sz w:val="17"/>
              </w:rPr>
              <w:t xml:space="preserve"> </w:t>
            </w:r>
            <w:r>
              <w:rPr>
                <w:color w:val="231F20"/>
                <w:w w:val="85"/>
                <w:sz w:val="17"/>
              </w:rPr>
              <w:t>case</w:t>
            </w:r>
            <w:r>
              <w:rPr>
                <w:color w:val="231F20"/>
                <w:spacing w:val="-28"/>
                <w:w w:val="85"/>
                <w:sz w:val="17"/>
              </w:rPr>
              <w:t xml:space="preserve"> </w:t>
            </w:r>
            <w:r>
              <w:rPr>
                <w:color w:val="231F20"/>
                <w:w w:val="85"/>
                <w:sz w:val="17"/>
              </w:rPr>
              <w:t>finding</w:t>
            </w:r>
            <w:r>
              <w:rPr>
                <w:color w:val="231F20"/>
                <w:spacing w:val="-29"/>
                <w:w w:val="85"/>
                <w:sz w:val="17"/>
              </w:rPr>
              <w:t xml:space="preserve"> </w:t>
            </w:r>
            <w:r>
              <w:rPr>
                <w:color w:val="231F20"/>
                <w:w w:val="85"/>
                <w:sz w:val="17"/>
              </w:rPr>
              <w:t>and management</w:t>
            </w:r>
          </w:p>
          <w:p w14:paraId="4834EC8B" w14:textId="77777777" w:rsidR="009948F1" w:rsidRDefault="00BC0563">
            <w:pPr>
              <w:pStyle w:val="TableParagraph"/>
              <w:numPr>
                <w:ilvl w:val="0"/>
                <w:numId w:val="153"/>
              </w:numPr>
              <w:tabs>
                <w:tab w:val="left" w:pos="100"/>
              </w:tabs>
              <w:spacing w:before="2" w:line="261" w:lineRule="auto"/>
              <w:ind w:right="102" w:firstLine="0"/>
              <w:rPr>
                <w:sz w:val="17"/>
              </w:rPr>
            </w:pPr>
            <w:r>
              <w:rPr>
                <w:color w:val="231F20"/>
                <w:w w:val="75"/>
                <w:sz w:val="17"/>
              </w:rPr>
              <w:t>At</w:t>
            </w:r>
            <w:r>
              <w:rPr>
                <w:color w:val="231F20"/>
                <w:spacing w:val="-6"/>
                <w:w w:val="75"/>
                <w:sz w:val="17"/>
              </w:rPr>
              <w:t xml:space="preserve"> </w:t>
            </w:r>
            <w:r>
              <w:rPr>
                <w:color w:val="231F20"/>
                <w:w w:val="75"/>
                <w:sz w:val="17"/>
              </w:rPr>
              <w:t>least</w:t>
            </w:r>
            <w:r>
              <w:rPr>
                <w:color w:val="231F20"/>
                <w:spacing w:val="-6"/>
                <w:w w:val="75"/>
                <w:sz w:val="17"/>
              </w:rPr>
              <w:t xml:space="preserve"> </w:t>
            </w:r>
            <w:r>
              <w:rPr>
                <w:color w:val="231F20"/>
                <w:w w:val="75"/>
                <w:sz w:val="17"/>
              </w:rPr>
              <w:t>100</w:t>
            </w:r>
            <w:r>
              <w:rPr>
                <w:color w:val="231F20"/>
                <w:spacing w:val="-6"/>
                <w:w w:val="75"/>
                <w:sz w:val="17"/>
              </w:rPr>
              <w:t xml:space="preserve"> </w:t>
            </w:r>
            <w:r>
              <w:rPr>
                <w:color w:val="231F20"/>
                <w:w w:val="75"/>
                <w:sz w:val="17"/>
              </w:rPr>
              <w:t>GHW</w:t>
            </w:r>
            <w:r>
              <w:rPr>
                <w:color w:val="231F20"/>
                <w:spacing w:val="-6"/>
                <w:w w:val="75"/>
                <w:sz w:val="17"/>
              </w:rPr>
              <w:t xml:space="preserve"> </w:t>
            </w:r>
            <w:r>
              <w:rPr>
                <w:color w:val="231F20"/>
                <w:w w:val="75"/>
                <w:sz w:val="17"/>
              </w:rPr>
              <w:t>trained</w:t>
            </w:r>
            <w:r>
              <w:rPr>
                <w:color w:val="231F20"/>
                <w:spacing w:val="-6"/>
                <w:w w:val="75"/>
                <w:sz w:val="17"/>
              </w:rPr>
              <w:t xml:space="preserve"> </w:t>
            </w:r>
            <w:r>
              <w:rPr>
                <w:color w:val="231F20"/>
                <w:w w:val="75"/>
                <w:sz w:val="17"/>
              </w:rPr>
              <w:t>on</w:t>
            </w:r>
            <w:r>
              <w:rPr>
                <w:color w:val="231F20"/>
                <w:spacing w:val="-6"/>
                <w:w w:val="75"/>
                <w:sz w:val="17"/>
              </w:rPr>
              <w:t xml:space="preserve"> </w:t>
            </w:r>
            <w:r>
              <w:rPr>
                <w:color w:val="231F20"/>
                <w:w w:val="75"/>
                <w:sz w:val="17"/>
              </w:rPr>
              <w:t>case</w:t>
            </w:r>
            <w:r>
              <w:rPr>
                <w:color w:val="231F20"/>
                <w:spacing w:val="-6"/>
                <w:w w:val="75"/>
                <w:sz w:val="17"/>
              </w:rPr>
              <w:t xml:space="preserve"> </w:t>
            </w:r>
            <w:r>
              <w:rPr>
                <w:color w:val="231F20"/>
                <w:w w:val="75"/>
                <w:sz w:val="17"/>
              </w:rPr>
              <w:t xml:space="preserve">finding </w:t>
            </w:r>
            <w:r>
              <w:rPr>
                <w:color w:val="231F20"/>
                <w:w w:val="85"/>
                <w:sz w:val="17"/>
              </w:rPr>
              <w:t>and</w:t>
            </w:r>
            <w:r>
              <w:rPr>
                <w:color w:val="231F20"/>
                <w:spacing w:val="-10"/>
                <w:w w:val="85"/>
                <w:sz w:val="17"/>
              </w:rPr>
              <w:t xml:space="preserve"> </w:t>
            </w:r>
            <w:r>
              <w:rPr>
                <w:color w:val="231F20"/>
                <w:w w:val="85"/>
                <w:sz w:val="17"/>
              </w:rPr>
              <w:t>management</w:t>
            </w:r>
          </w:p>
          <w:p w14:paraId="31637E44" w14:textId="77777777" w:rsidR="009948F1" w:rsidRDefault="00BC0563">
            <w:pPr>
              <w:pStyle w:val="TableParagraph"/>
              <w:spacing w:before="1" w:line="179" w:lineRule="exact"/>
              <w:ind w:left="27"/>
              <w:rPr>
                <w:sz w:val="17"/>
              </w:rPr>
            </w:pPr>
            <w:r>
              <w:rPr>
                <w:color w:val="231F20"/>
                <w:w w:val="73"/>
                <w:sz w:val="17"/>
              </w:rPr>
              <w:t>•</w:t>
            </w:r>
          </w:p>
        </w:tc>
        <w:tc>
          <w:tcPr>
            <w:tcW w:w="1511" w:type="dxa"/>
            <w:tcBorders>
              <w:left w:val="single" w:sz="6" w:space="0" w:color="231F20"/>
              <w:right w:val="single" w:sz="12" w:space="0" w:color="231F20"/>
            </w:tcBorders>
            <w:shd w:val="clear" w:color="auto" w:fill="CCE7D3"/>
          </w:tcPr>
          <w:p w14:paraId="50EFD483"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1BB88F51" w14:textId="77777777" w:rsidR="009948F1" w:rsidRDefault="009948F1">
            <w:pPr>
              <w:pStyle w:val="TableParagraph"/>
              <w:rPr>
                <w:rFonts w:ascii="Times New Roman"/>
                <w:sz w:val="12"/>
              </w:rPr>
            </w:pPr>
          </w:p>
        </w:tc>
      </w:tr>
      <w:tr w:rsidR="009948F1" w14:paraId="6D24A866" w14:textId="77777777">
        <w:trPr>
          <w:trHeight w:val="556"/>
        </w:trPr>
        <w:tc>
          <w:tcPr>
            <w:tcW w:w="485" w:type="dxa"/>
            <w:vMerge w:val="restart"/>
            <w:tcBorders>
              <w:right w:val="single" w:sz="6" w:space="0" w:color="231F20"/>
            </w:tcBorders>
          </w:tcPr>
          <w:p w14:paraId="5B26810F" w14:textId="77777777" w:rsidR="009948F1" w:rsidRDefault="009948F1">
            <w:pPr>
              <w:pStyle w:val="TableParagraph"/>
              <w:rPr>
                <w:rFonts w:ascii="Times New Roman"/>
                <w:sz w:val="12"/>
              </w:rPr>
            </w:pPr>
          </w:p>
        </w:tc>
        <w:tc>
          <w:tcPr>
            <w:tcW w:w="556" w:type="dxa"/>
            <w:tcBorders>
              <w:left w:val="single" w:sz="6" w:space="0" w:color="231F20"/>
              <w:right w:val="single" w:sz="6" w:space="0" w:color="231F20"/>
            </w:tcBorders>
          </w:tcPr>
          <w:p w14:paraId="6F3213BC" w14:textId="77777777" w:rsidR="009948F1" w:rsidRDefault="009948F1">
            <w:pPr>
              <w:pStyle w:val="TableParagraph"/>
              <w:spacing w:before="8"/>
              <w:rPr>
                <w:sz w:val="15"/>
              </w:rPr>
            </w:pPr>
          </w:p>
          <w:p w14:paraId="6F2BF3BA" w14:textId="77777777" w:rsidR="009948F1" w:rsidRDefault="00BC0563">
            <w:pPr>
              <w:pStyle w:val="TableParagraph"/>
              <w:ind w:left="30" w:right="10"/>
              <w:jc w:val="center"/>
              <w:rPr>
                <w:sz w:val="17"/>
              </w:rPr>
            </w:pPr>
            <w:r>
              <w:rPr>
                <w:color w:val="231F20"/>
                <w:w w:val="75"/>
                <w:sz w:val="17"/>
              </w:rPr>
              <w:t>5.2.10.a</w:t>
            </w:r>
          </w:p>
        </w:tc>
        <w:tc>
          <w:tcPr>
            <w:tcW w:w="5178" w:type="dxa"/>
            <w:gridSpan w:val="2"/>
            <w:tcBorders>
              <w:left w:val="single" w:sz="6" w:space="0" w:color="231F20"/>
              <w:right w:val="single" w:sz="6" w:space="0" w:color="231F20"/>
            </w:tcBorders>
          </w:tcPr>
          <w:p w14:paraId="04321E16" w14:textId="77777777" w:rsidR="009948F1" w:rsidRDefault="00BC0563">
            <w:pPr>
              <w:pStyle w:val="TableParagraph"/>
              <w:spacing w:before="68" w:line="261" w:lineRule="auto"/>
              <w:ind w:left="26" w:right="489"/>
              <w:rPr>
                <w:sz w:val="17"/>
              </w:rPr>
            </w:pPr>
            <w:r>
              <w:rPr>
                <w:color w:val="231F20"/>
                <w:w w:val="75"/>
                <w:sz w:val="17"/>
              </w:rPr>
              <w:t xml:space="preserve">Conduct training for medical officers on TB, Leprosy, Buruli Ulcer case finding and </w:t>
            </w:r>
            <w:r>
              <w:rPr>
                <w:color w:val="231F20"/>
                <w:w w:val="85"/>
                <w:sz w:val="17"/>
              </w:rPr>
              <w:t>management in the 23 LGA.</w:t>
            </w:r>
          </w:p>
        </w:tc>
        <w:tc>
          <w:tcPr>
            <w:tcW w:w="1511" w:type="dxa"/>
            <w:tcBorders>
              <w:left w:val="single" w:sz="6" w:space="0" w:color="231F20"/>
              <w:right w:val="single" w:sz="6" w:space="0" w:color="231F20"/>
            </w:tcBorders>
          </w:tcPr>
          <w:p w14:paraId="11B8DAAE" w14:textId="77777777" w:rsidR="009948F1" w:rsidRDefault="009948F1">
            <w:pPr>
              <w:pStyle w:val="TableParagraph"/>
              <w:spacing w:before="8"/>
              <w:rPr>
                <w:sz w:val="15"/>
              </w:rPr>
            </w:pPr>
          </w:p>
          <w:p w14:paraId="7BAA10E3" w14:textId="77777777" w:rsidR="009948F1" w:rsidRDefault="00BC0563">
            <w:pPr>
              <w:pStyle w:val="TableParagraph"/>
              <w:ind w:left="27"/>
              <w:rPr>
                <w:sz w:val="17"/>
              </w:rPr>
            </w:pPr>
            <w:r>
              <w:rPr>
                <w:color w:val="231F20"/>
                <w:w w:val="85"/>
                <w:sz w:val="17"/>
              </w:rPr>
              <w:t>Lack of funds</w:t>
            </w:r>
          </w:p>
        </w:tc>
        <w:tc>
          <w:tcPr>
            <w:tcW w:w="1592" w:type="dxa"/>
            <w:tcBorders>
              <w:left w:val="single" w:sz="6" w:space="0" w:color="231F20"/>
            </w:tcBorders>
          </w:tcPr>
          <w:p w14:paraId="4656BFD6" w14:textId="77777777" w:rsidR="009948F1" w:rsidRDefault="009948F1">
            <w:pPr>
              <w:pStyle w:val="TableParagraph"/>
              <w:spacing w:before="8"/>
              <w:rPr>
                <w:sz w:val="15"/>
              </w:rPr>
            </w:pPr>
          </w:p>
          <w:p w14:paraId="090A59D3" w14:textId="77777777" w:rsidR="009948F1" w:rsidRDefault="00BC0563">
            <w:pPr>
              <w:pStyle w:val="TableParagraph"/>
              <w:ind w:left="26"/>
              <w:rPr>
                <w:sz w:val="17"/>
              </w:rPr>
            </w:pPr>
            <w:r>
              <w:rPr>
                <w:color w:val="231F20"/>
                <w:w w:val="85"/>
                <w:sz w:val="17"/>
              </w:rPr>
              <w:t>Conduct training</w:t>
            </w:r>
          </w:p>
        </w:tc>
      </w:tr>
      <w:tr w:rsidR="009948F1" w14:paraId="4D3ACD0E" w14:textId="77777777">
        <w:trPr>
          <w:trHeight w:val="756"/>
        </w:trPr>
        <w:tc>
          <w:tcPr>
            <w:tcW w:w="485" w:type="dxa"/>
            <w:vMerge/>
            <w:tcBorders>
              <w:top w:val="nil"/>
              <w:right w:val="single" w:sz="6" w:space="0" w:color="231F20"/>
            </w:tcBorders>
          </w:tcPr>
          <w:p w14:paraId="325D4C76" w14:textId="77777777" w:rsidR="009948F1" w:rsidRDefault="009948F1">
            <w:pPr>
              <w:rPr>
                <w:sz w:val="2"/>
                <w:szCs w:val="2"/>
              </w:rPr>
            </w:pPr>
          </w:p>
        </w:tc>
        <w:tc>
          <w:tcPr>
            <w:tcW w:w="556" w:type="dxa"/>
            <w:tcBorders>
              <w:left w:val="single" w:sz="6" w:space="0" w:color="231F20"/>
              <w:right w:val="single" w:sz="6" w:space="0" w:color="231F20"/>
            </w:tcBorders>
          </w:tcPr>
          <w:p w14:paraId="404B2B00" w14:textId="77777777" w:rsidR="009948F1" w:rsidRDefault="009948F1">
            <w:pPr>
              <w:pStyle w:val="TableParagraph"/>
              <w:rPr>
                <w:sz w:val="16"/>
              </w:rPr>
            </w:pPr>
          </w:p>
          <w:p w14:paraId="1EBD7A91" w14:textId="77777777" w:rsidR="009948F1" w:rsidRDefault="00BC0563">
            <w:pPr>
              <w:pStyle w:val="TableParagraph"/>
              <w:spacing w:before="97"/>
              <w:ind w:left="30" w:right="10"/>
              <w:jc w:val="center"/>
              <w:rPr>
                <w:sz w:val="17"/>
              </w:rPr>
            </w:pPr>
            <w:r>
              <w:rPr>
                <w:color w:val="231F20"/>
                <w:w w:val="75"/>
                <w:sz w:val="17"/>
              </w:rPr>
              <w:t>5.2.10.b</w:t>
            </w:r>
          </w:p>
        </w:tc>
        <w:tc>
          <w:tcPr>
            <w:tcW w:w="5178" w:type="dxa"/>
            <w:gridSpan w:val="2"/>
            <w:tcBorders>
              <w:left w:val="single" w:sz="6" w:space="0" w:color="231F20"/>
              <w:right w:val="single" w:sz="12" w:space="0" w:color="231F20"/>
            </w:tcBorders>
          </w:tcPr>
          <w:p w14:paraId="6613BECD" w14:textId="77777777" w:rsidR="009948F1" w:rsidRDefault="009948F1">
            <w:pPr>
              <w:pStyle w:val="TableParagraph"/>
              <w:spacing w:before="10"/>
              <w:rPr>
                <w:sz w:val="23"/>
              </w:rPr>
            </w:pPr>
          </w:p>
          <w:p w14:paraId="1E8BAC2C" w14:textId="77777777" w:rsidR="009948F1" w:rsidRDefault="00BC0563">
            <w:pPr>
              <w:pStyle w:val="TableParagraph"/>
              <w:ind w:left="26"/>
              <w:rPr>
                <w:sz w:val="17"/>
              </w:rPr>
            </w:pPr>
            <w:r>
              <w:rPr>
                <w:color w:val="231F20"/>
                <w:w w:val="85"/>
                <w:sz w:val="17"/>
              </w:rPr>
              <w:t>Conduct training for GHW on case finding and management in the 23 LGA</w:t>
            </w:r>
          </w:p>
        </w:tc>
        <w:tc>
          <w:tcPr>
            <w:tcW w:w="1511" w:type="dxa"/>
            <w:tcBorders>
              <w:left w:val="single" w:sz="12" w:space="0" w:color="231F20"/>
              <w:right w:val="single" w:sz="6" w:space="0" w:color="231F20"/>
            </w:tcBorders>
          </w:tcPr>
          <w:p w14:paraId="6F58C476" w14:textId="77777777" w:rsidR="009948F1" w:rsidRDefault="009948F1">
            <w:pPr>
              <w:pStyle w:val="TableParagraph"/>
              <w:rPr>
                <w:sz w:val="16"/>
              </w:rPr>
            </w:pPr>
          </w:p>
          <w:p w14:paraId="3B75D0B6" w14:textId="77777777" w:rsidR="009948F1" w:rsidRDefault="00BC0563">
            <w:pPr>
              <w:pStyle w:val="TableParagraph"/>
              <w:spacing w:before="97"/>
              <w:ind w:left="19"/>
              <w:rPr>
                <w:sz w:val="17"/>
              </w:rPr>
            </w:pPr>
            <w:r>
              <w:rPr>
                <w:color w:val="231F20"/>
                <w:w w:val="85"/>
                <w:sz w:val="17"/>
              </w:rPr>
              <w:t>Lack of funds</w:t>
            </w:r>
          </w:p>
        </w:tc>
        <w:tc>
          <w:tcPr>
            <w:tcW w:w="1592" w:type="dxa"/>
            <w:tcBorders>
              <w:left w:val="single" w:sz="6" w:space="0" w:color="231F20"/>
            </w:tcBorders>
          </w:tcPr>
          <w:p w14:paraId="31D4BB0C" w14:textId="77777777" w:rsidR="009948F1" w:rsidRDefault="009948F1">
            <w:pPr>
              <w:pStyle w:val="TableParagraph"/>
              <w:rPr>
                <w:sz w:val="16"/>
              </w:rPr>
            </w:pPr>
          </w:p>
          <w:p w14:paraId="49188889" w14:textId="77777777" w:rsidR="009948F1" w:rsidRDefault="00BC0563">
            <w:pPr>
              <w:pStyle w:val="TableParagraph"/>
              <w:spacing w:before="97"/>
              <w:ind w:left="26"/>
              <w:rPr>
                <w:sz w:val="17"/>
              </w:rPr>
            </w:pPr>
            <w:r>
              <w:rPr>
                <w:color w:val="231F20"/>
                <w:w w:val="85"/>
                <w:sz w:val="17"/>
              </w:rPr>
              <w:t>Conduct training</w:t>
            </w:r>
          </w:p>
        </w:tc>
      </w:tr>
      <w:tr w:rsidR="009948F1" w14:paraId="57BA23B7" w14:textId="77777777">
        <w:trPr>
          <w:trHeight w:val="756"/>
        </w:trPr>
        <w:tc>
          <w:tcPr>
            <w:tcW w:w="485" w:type="dxa"/>
            <w:tcBorders>
              <w:left w:val="single" w:sz="12" w:space="0" w:color="231F20"/>
              <w:right w:val="single" w:sz="6" w:space="0" w:color="231F20"/>
            </w:tcBorders>
            <w:shd w:val="clear" w:color="auto" w:fill="CCE7D3"/>
          </w:tcPr>
          <w:p w14:paraId="63D97165" w14:textId="77777777" w:rsidR="009948F1" w:rsidRDefault="009948F1">
            <w:pPr>
              <w:pStyle w:val="TableParagraph"/>
              <w:rPr>
                <w:sz w:val="16"/>
              </w:rPr>
            </w:pPr>
          </w:p>
          <w:p w14:paraId="27E00B55" w14:textId="77777777" w:rsidR="009948F1" w:rsidRDefault="00BC0563">
            <w:pPr>
              <w:pStyle w:val="TableParagraph"/>
              <w:spacing w:before="97"/>
              <w:ind w:left="22" w:right="21"/>
              <w:jc w:val="center"/>
              <w:rPr>
                <w:sz w:val="17"/>
              </w:rPr>
            </w:pPr>
            <w:r>
              <w:rPr>
                <w:color w:val="231F20"/>
                <w:w w:val="80"/>
                <w:sz w:val="17"/>
              </w:rPr>
              <w:t>5.2.12</w:t>
            </w:r>
          </w:p>
        </w:tc>
        <w:tc>
          <w:tcPr>
            <w:tcW w:w="3212" w:type="dxa"/>
            <w:gridSpan w:val="2"/>
            <w:tcBorders>
              <w:left w:val="single" w:sz="6" w:space="0" w:color="231F20"/>
              <w:right w:val="single" w:sz="6" w:space="0" w:color="231F20"/>
            </w:tcBorders>
            <w:shd w:val="clear" w:color="auto" w:fill="CCE7D3"/>
          </w:tcPr>
          <w:p w14:paraId="591F74F9" w14:textId="77777777" w:rsidR="009948F1" w:rsidRDefault="009948F1">
            <w:pPr>
              <w:pStyle w:val="TableParagraph"/>
              <w:spacing w:before="5"/>
              <w:rPr>
                <w:sz w:val="14"/>
              </w:rPr>
            </w:pPr>
          </w:p>
          <w:p w14:paraId="26D75E08" w14:textId="77777777" w:rsidR="009948F1" w:rsidRDefault="00BC0563">
            <w:pPr>
              <w:pStyle w:val="TableParagraph"/>
              <w:spacing w:before="1" w:line="261" w:lineRule="auto"/>
              <w:ind w:left="26" w:right="354" w:firstLine="34"/>
              <w:rPr>
                <w:sz w:val="17"/>
              </w:rPr>
            </w:pPr>
            <w:r>
              <w:rPr>
                <w:color w:val="231F20"/>
                <w:w w:val="75"/>
                <w:sz w:val="17"/>
              </w:rPr>
              <w:t xml:space="preserve">Promote community based TB/Leprosy control </w:t>
            </w:r>
            <w:r>
              <w:rPr>
                <w:color w:val="231F20"/>
                <w:w w:val="85"/>
                <w:sz w:val="17"/>
              </w:rPr>
              <w:t>initiatives</w:t>
            </w:r>
          </w:p>
        </w:tc>
        <w:tc>
          <w:tcPr>
            <w:tcW w:w="2522" w:type="dxa"/>
            <w:tcBorders>
              <w:left w:val="single" w:sz="6" w:space="0" w:color="231F20"/>
              <w:right w:val="single" w:sz="6" w:space="0" w:color="231F20"/>
            </w:tcBorders>
            <w:shd w:val="clear" w:color="auto" w:fill="CCE7D3"/>
          </w:tcPr>
          <w:p w14:paraId="2F3F3020" w14:textId="77777777" w:rsidR="009948F1" w:rsidRDefault="00BC0563">
            <w:pPr>
              <w:pStyle w:val="TableParagraph"/>
              <w:numPr>
                <w:ilvl w:val="0"/>
                <w:numId w:val="152"/>
              </w:numPr>
              <w:tabs>
                <w:tab w:val="left" w:pos="107"/>
              </w:tabs>
              <w:spacing w:line="261" w:lineRule="auto"/>
              <w:ind w:right="74" w:firstLine="0"/>
              <w:rPr>
                <w:sz w:val="17"/>
              </w:rPr>
            </w:pPr>
            <w:r>
              <w:rPr>
                <w:color w:val="231F20"/>
                <w:w w:val="85"/>
                <w:sz w:val="17"/>
              </w:rPr>
              <w:t>Consensus</w:t>
            </w:r>
            <w:r>
              <w:rPr>
                <w:color w:val="231F20"/>
                <w:spacing w:val="-28"/>
                <w:w w:val="85"/>
                <w:sz w:val="17"/>
              </w:rPr>
              <w:t xml:space="preserve"> </w:t>
            </w:r>
            <w:r>
              <w:rPr>
                <w:color w:val="231F20"/>
                <w:w w:val="85"/>
                <w:sz w:val="17"/>
              </w:rPr>
              <w:t>building</w:t>
            </w:r>
            <w:r>
              <w:rPr>
                <w:color w:val="231F20"/>
                <w:spacing w:val="-28"/>
                <w:w w:val="85"/>
                <w:sz w:val="17"/>
              </w:rPr>
              <w:t xml:space="preserve"> </w:t>
            </w:r>
            <w:r>
              <w:rPr>
                <w:color w:val="231F20"/>
                <w:w w:val="85"/>
                <w:sz w:val="17"/>
              </w:rPr>
              <w:t>meeting</w:t>
            </w:r>
            <w:r>
              <w:rPr>
                <w:color w:val="231F20"/>
                <w:spacing w:val="-28"/>
                <w:w w:val="85"/>
                <w:sz w:val="17"/>
              </w:rPr>
              <w:t xml:space="preserve"> </w:t>
            </w:r>
            <w:r>
              <w:rPr>
                <w:color w:val="231F20"/>
                <w:w w:val="85"/>
                <w:sz w:val="17"/>
              </w:rPr>
              <w:t>for</w:t>
            </w:r>
            <w:r>
              <w:rPr>
                <w:color w:val="231F20"/>
                <w:spacing w:val="-29"/>
                <w:w w:val="85"/>
                <w:sz w:val="17"/>
              </w:rPr>
              <w:t xml:space="preserve"> </w:t>
            </w:r>
            <w:r>
              <w:rPr>
                <w:color w:val="231F20"/>
                <w:w w:val="85"/>
                <w:sz w:val="17"/>
              </w:rPr>
              <w:t xml:space="preserve">TBL </w:t>
            </w:r>
            <w:r>
              <w:rPr>
                <w:color w:val="231F20"/>
                <w:w w:val="75"/>
                <w:sz w:val="17"/>
              </w:rPr>
              <w:t>Officers</w:t>
            </w:r>
            <w:r>
              <w:rPr>
                <w:color w:val="231F20"/>
                <w:spacing w:val="-8"/>
                <w:w w:val="75"/>
                <w:sz w:val="17"/>
              </w:rPr>
              <w:t xml:space="preserve"> </w:t>
            </w:r>
            <w:r>
              <w:rPr>
                <w:color w:val="231F20"/>
                <w:w w:val="75"/>
                <w:sz w:val="17"/>
              </w:rPr>
              <w:t>on</w:t>
            </w:r>
            <w:r>
              <w:rPr>
                <w:color w:val="231F20"/>
                <w:spacing w:val="-8"/>
                <w:w w:val="75"/>
                <w:sz w:val="17"/>
              </w:rPr>
              <w:t xml:space="preserve"> </w:t>
            </w:r>
            <w:r>
              <w:rPr>
                <w:color w:val="231F20"/>
                <w:w w:val="75"/>
                <w:sz w:val="17"/>
              </w:rPr>
              <w:t>community</w:t>
            </w:r>
            <w:r>
              <w:rPr>
                <w:color w:val="231F20"/>
                <w:spacing w:val="-9"/>
                <w:w w:val="75"/>
                <w:sz w:val="17"/>
              </w:rPr>
              <w:t xml:space="preserve"> </w:t>
            </w:r>
            <w:r>
              <w:rPr>
                <w:color w:val="231F20"/>
                <w:w w:val="75"/>
                <w:sz w:val="17"/>
              </w:rPr>
              <w:t>TB</w:t>
            </w:r>
            <w:r>
              <w:rPr>
                <w:color w:val="231F20"/>
                <w:spacing w:val="-8"/>
                <w:w w:val="75"/>
                <w:sz w:val="17"/>
              </w:rPr>
              <w:t xml:space="preserve"> </w:t>
            </w:r>
            <w:r>
              <w:rPr>
                <w:color w:val="231F20"/>
                <w:w w:val="75"/>
                <w:sz w:val="17"/>
              </w:rPr>
              <w:t>/</w:t>
            </w:r>
            <w:r>
              <w:rPr>
                <w:color w:val="231F20"/>
                <w:spacing w:val="-8"/>
                <w:w w:val="75"/>
                <w:sz w:val="17"/>
              </w:rPr>
              <w:t xml:space="preserve"> </w:t>
            </w:r>
            <w:r>
              <w:rPr>
                <w:color w:val="231F20"/>
                <w:w w:val="75"/>
                <w:sz w:val="17"/>
              </w:rPr>
              <w:t>Leprosy</w:t>
            </w:r>
            <w:r>
              <w:rPr>
                <w:color w:val="231F20"/>
                <w:spacing w:val="-8"/>
                <w:w w:val="75"/>
                <w:sz w:val="17"/>
              </w:rPr>
              <w:t xml:space="preserve"> </w:t>
            </w:r>
            <w:r>
              <w:rPr>
                <w:color w:val="231F20"/>
                <w:w w:val="75"/>
                <w:sz w:val="17"/>
              </w:rPr>
              <w:t xml:space="preserve">control </w:t>
            </w:r>
            <w:r>
              <w:rPr>
                <w:color w:val="231F20"/>
                <w:w w:val="85"/>
                <w:sz w:val="17"/>
              </w:rPr>
              <w:t>held</w:t>
            </w:r>
          </w:p>
          <w:p w14:paraId="2625FF96" w14:textId="77777777" w:rsidR="009948F1" w:rsidRDefault="00BC0563">
            <w:pPr>
              <w:pStyle w:val="TableParagraph"/>
              <w:spacing w:before="2" w:line="95" w:lineRule="exact"/>
              <w:ind w:left="27"/>
              <w:rPr>
                <w:sz w:val="17"/>
              </w:rPr>
            </w:pPr>
            <w:r>
              <w:rPr>
                <w:color w:val="231F20"/>
                <w:w w:val="73"/>
                <w:sz w:val="17"/>
              </w:rPr>
              <w:t>•</w:t>
            </w:r>
          </w:p>
        </w:tc>
        <w:tc>
          <w:tcPr>
            <w:tcW w:w="1511" w:type="dxa"/>
            <w:tcBorders>
              <w:left w:val="single" w:sz="6" w:space="0" w:color="231F20"/>
              <w:right w:val="single" w:sz="12" w:space="0" w:color="231F20"/>
            </w:tcBorders>
            <w:shd w:val="clear" w:color="auto" w:fill="CCE7D3"/>
          </w:tcPr>
          <w:p w14:paraId="1ACAEDAB"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760C7A3B" w14:textId="77777777" w:rsidR="009948F1" w:rsidRDefault="009948F1">
            <w:pPr>
              <w:pStyle w:val="TableParagraph"/>
              <w:rPr>
                <w:rFonts w:ascii="Times New Roman"/>
                <w:sz w:val="12"/>
              </w:rPr>
            </w:pPr>
          </w:p>
        </w:tc>
      </w:tr>
      <w:tr w:rsidR="009948F1" w14:paraId="3273A035" w14:textId="77777777">
        <w:trPr>
          <w:trHeight w:val="621"/>
        </w:trPr>
        <w:tc>
          <w:tcPr>
            <w:tcW w:w="485" w:type="dxa"/>
            <w:vMerge w:val="restart"/>
            <w:tcBorders>
              <w:right w:val="single" w:sz="6" w:space="0" w:color="231F20"/>
            </w:tcBorders>
          </w:tcPr>
          <w:p w14:paraId="1AF90E1B" w14:textId="77777777" w:rsidR="009948F1" w:rsidRDefault="009948F1">
            <w:pPr>
              <w:pStyle w:val="TableParagraph"/>
              <w:rPr>
                <w:rFonts w:ascii="Times New Roman"/>
                <w:sz w:val="12"/>
              </w:rPr>
            </w:pPr>
          </w:p>
        </w:tc>
        <w:tc>
          <w:tcPr>
            <w:tcW w:w="556" w:type="dxa"/>
            <w:tcBorders>
              <w:left w:val="single" w:sz="6" w:space="0" w:color="231F20"/>
              <w:right w:val="single" w:sz="6" w:space="0" w:color="231F20"/>
            </w:tcBorders>
          </w:tcPr>
          <w:p w14:paraId="5F9EE77E" w14:textId="77777777" w:rsidR="009948F1" w:rsidRDefault="009948F1">
            <w:pPr>
              <w:pStyle w:val="TableParagraph"/>
              <w:spacing w:before="6"/>
              <w:rPr>
                <w:sz w:val="18"/>
              </w:rPr>
            </w:pPr>
          </w:p>
          <w:p w14:paraId="6E23A3C3" w14:textId="77777777" w:rsidR="009948F1" w:rsidRDefault="00BC0563">
            <w:pPr>
              <w:pStyle w:val="TableParagraph"/>
              <w:spacing w:before="1"/>
              <w:ind w:left="30" w:right="10"/>
              <w:jc w:val="center"/>
              <w:rPr>
                <w:sz w:val="17"/>
              </w:rPr>
            </w:pPr>
            <w:r>
              <w:rPr>
                <w:color w:val="231F20"/>
                <w:w w:val="75"/>
                <w:sz w:val="17"/>
              </w:rPr>
              <w:t>5.2.12.a</w:t>
            </w:r>
          </w:p>
        </w:tc>
        <w:tc>
          <w:tcPr>
            <w:tcW w:w="5178" w:type="dxa"/>
            <w:gridSpan w:val="2"/>
            <w:tcBorders>
              <w:left w:val="single" w:sz="6" w:space="0" w:color="231F20"/>
              <w:right w:val="single" w:sz="6" w:space="0" w:color="231F20"/>
            </w:tcBorders>
          </w:tcPr>
          <w:p w14:paraId="684E6B9F" w14:textId="77777777" w:rsidR="009948F1" w:rsidRDefault="009948F1">
            <w:pPr>
              <w:pStyle w:val="TableParagraph"/>
              <w:spacing w:before="11"/>
              <w:rPr>
                <w:sz w:val="17"/>
              </w:rPr>
            </w:pPr>
          </w:p>
          <w:p w14:paraId="23838F4D" w14:textId="77777777" w:rsidR="009948F1" w:rsidRDefault="00BC0563">
            <w:pPr>
              <w:pStyle w:val="TableParagraph"/>
              <w:ind w:left="26"/>
              <w:rPr>
                <w:sz w:val="17"/>
              </w:rPr>
            </w:pPr>
            <w:r>
              <w:rPr>
                <w:color w:val="231F20"/>
                <w:w w:val="80"/>
                <w:sz w:val="17"/>
              </w:rPr>
              <w:t>Conduct</w:t>
            </w:r>
            <w:r>
              <w:rPr>
                <w:color w:val="231F20"/>
                <w:spacing w:val="-25"/>
                <w:w w:val="80"/>
                <w:sz w:val="17"/>
              </w:rPr>
              <w:t xml:space="preserve"> </w:t>
            </w:r>
            <w:r>
              <w:rPr>
                <w:color w:val="231F20"/>
                <w:w w:val="80"/>
                <w:sz w:val="17"/>
              </w:rPr>
              <w:t>consensus</w:t>
            </w:r>
            <w:r>
              <w:rPr>
                <w:color w:val="231F20"/>
                <w:spacing w:val="-25"/>
                <w:w w:val="80"/>
                <w:sz w:val="17"/>
              </w:rPr>
              <w:t xml:space="preserve"> </w:t>
            </w:r>
            <w:r>
              <w:rPr>
                <w:color w:val="231F20"/>
                <w:w w:val="80"/>
                <w:sz w:val="17"/>
              </w:rPr>
              <w:t>building</w:t>
            </w:r>
            <w:r>
              <w:rPr>
                <w:color w:val="231F20"/>
                <w:spacing w:val="-25"/>
                <w:w w:val="80"/>
                <w:sz w:val="17"/>
              </w:rPr>
              <w:t xml:space="preserve"> </w:t>
            </w:r>
            <w:r>
              <w:rPr>
                <w:color w:val="231F20"/>
                <w:w w:val="80"/>
                <w:sz w:val="17"/>
              </w:rPr>
              <w:t>meeting</w:t>
            </w:r>
            <w:r>
              <w:rPr>
                <w:color w:val="231F20"/>
                <w:spacing w:val="-24"/>
                <w:w w:val="80"/>
                <w:sz w:val="17"/>
              </w:rPr>
              <w:t xml:space="preserve"> </w:t>
            </w:r>
            <w:r>
              <w:rPr>
                <w:color w:val="231F20"/>
                <w:w w:val="80"/>
                <w:sz w:val="17"/>
              </w:rPr>
              <w:t>for</w:t>
            </w:r>
            <w:r>
              <w:rPr>
                <w:color w:val="231F20"/>
                <w:spacing w:val="-26"/>
                <w:w w:val="80"/>
                <w:sz w:val="17"/>
              </w:rPr>
              <w:t xml:space="preserve"> </w:t>
            </w:r>
            <w:r>
              <w:rPr>
                <w:color w:val="231F20"/>
                <w:w w:val="80"/>
                <w:sz w:val="17"/>
              </w:rPr>
              <w:t>TBL</w:t>
            </w:r>
            <w:r>
              <w:rPr>
                <w:color w:val="231F20"/>
                <w:spacing w:val="-26"/>
                <w:w w:val="80"/>
                <w:sz w:val="17"/>
              </w:rPr>
              <w:t xml:space="preserve"> </w:t>
            </w:r>
            <w:r>
              <w:rPr>
                <w:color w:val="231F20"/>
                <w:w w:val="80"/>
                <w:sz w:val="17"/>
              </w:rPr>
              <w:t>Officers</w:t>
            </w:r>
            <w:r>
              <w:rPr>
                <w:color w:val="231F20"/>
                <w:spacing w:val="-25"/>
                <w:w w:val="80"/>
                <w:sz w:val="17"/>
              </w:rPr>
              <w:t xml:space="preserve"> </w:t>
            </w:r>
            <w:r>
              <w:rPr>
                <w:color w:val="231F20"/>
                <w:w w:val="80"/>
                <w:sz w:val="17"/>
              </w:rPr>
              <w:t>on</w:t>
            </w:r>
            <w:r>
              <w:rPr>
                <w:color w:val="231F20"/>
                <w:spacing w:val="-24"/>
                <w:w w:val="80"/>
                <w:sz w:val="17"/>
              </w:rPr>
              <w:t xml:space="preserve"> </w:t>
            </w:r>
            <w:r>
              <w:rPr>
                <w:color w:val="231F20"/>
                <w:w w:val="80"/>
                <w:sz w:val="17"/>
              </w:rPr>
              <w:t>community</w:t>
            </w:r>
            <w:r>
              <w:rPr>
                <w:color w:val="231F20"/>
                <w:spacing w:val="-26"/>
                <w:w w:val="80"/>
                <w:sz w:val="17"/>
              </w:rPr>
              <w:t xml:space="preserve"> </w:t>
            </w:r>
            <w:r>
              <w:rPr>
                <w:color w:val="231F20"/>
                <w:w w:val="80"/>
                <w:sz w:val="17"/>
              </w:rPr>
              <w:t>TB</w:t>
            </w:r>
            <w:r>
              <w:rPr>
                <w:color w:val="231F20"/>
                <w:spacing w:val="-25"/>
                <w:w w:val="80"/>
                <w:sz w:val="17"/>
              </w:rPr>
              <w:t xml:space="preserve"> </w:t>
            </w:r>
            <w:r>
              <w:rPr>
                <w:color w:val="231F20"/>
                <w:w w:val="80"/>
                <w:sz w:val="17"/>
              </w:rPr>
              <w:t>/</w:t>
            </w:r>
            <w:r>
              <w:rPr>
                <w:color w:val="231F20"/>
                <w:spacing w:val="-24"/>
                <w:w w:val="80"/>
                <w:sz w:val="17"/>
              </w:rPr>
              <w:t xml:space="preserve"> </w:t>
            </w:r>
            <w:r>
              <w:rPr>
                <w:color w:val="231F20"/>
                <w:w w:val="80"/>
                <w:sz w:val="17"/>
              </w:rPr>
              <w:t>Leprosy</w:t>
            </w:r>
            <w:r>
              <w:rPr>
                <w:color w:val="231F20"/>
                <w:spacing w:val="-25"/>
                <w:w w:val="80"/>
                <w:sz w:val="17"/>
              </w:rPr>
              <w:t xml:space="preserve"> </w:t>
            </w:r>
            <w:r>
              <w:rPr>
                <w:color w:val="231F20"/>
                <w:w w:val="80"/>
                <w:sz w:val="17"/>
              </w:rPr>
              <w:t>control</w:t>
            </w:r>
          </w:p>
        </w:tc>
        <w:tc>
          <w:tcPr>
            <w:tcW w:w="1511" w:type="dxa"/>
            <w:tcBorders>
              <w:left w:val="single" w:sz="6" w:space="0" w:color="231F20"/>
              <w:right w:val="single" w:sz="6" w:space="0" w:color="231F20"/>
            </w:tcBorders>
          </w:tcPr>
          <w:p w14:paraId="091D3CF7" w14:textId="77777777" w:rsidR="009948F1" w:rsidRDefault="009948F1">
            <w:pPr>
              <w:pStyle w:val="TableParagraph"/>
              <w:spacing w:before="6"/>
              <w:rPr>
                <w:sz w:val="18"/>
              </w:rPr>
            </w:pPr>
          </w:p>
          <w:p w14:paraId="41B887DA" w14:textId="77777777" w:rsidR="009948F1" w:rsidRDefault="00BC0563">
            <w:pPr>
              <w:pStyle w:val="TableParagraph"/>
              <w:spacing w:before="1"/>
              <w:ind w:left="27"/>
              <w:rPr>
                <w:sz w:val="17"/>
              </w:rPr>
            </w:pPr>
            <w:r>
              <w:rPr>
                <w:color w:val="231F20"/>
                <w:w w:val="85"/>
                <w:sz w:val="17"/>
              </w:rPr>
              <w:t>Lack of funds</w:t>
            </w:r>
          </w:p>
        </w:tc>
        <w:tc>
          <w:tcPr>
            <w:tcW w:w="1592" w:type="dxa"/>
            <w:tcBorders>
              <w:left w:val="single" w:sz="6" w:space="0" w:color="231F20"/>
            </w:tcBorders>
          </w:tcPr>
          <w:p w14:paraId="5F4091E8" w14:textId="77777777" w:rsidR="009948F1" w:rsidRDefault="009948F1">
            <w:pPr>
              <w:pStyle w:val="TableParagraph"/>
              <w:spacing w:before="6"/>
              <w:rPr>
                <w:sz w:val="18"/>
              </w:rPr>
            </w:pPr>
          </w:p>
          <w:p w14:paraId="4B2A57B5" w14:textId="77777777" w:rsidR="009948F1" w:rsidRDefault="00BC0563">
            <w:pPr>
              <w:pStyle w:val="TableParagraph"/>
              <w:spacing w:before="1"/>
              <w:ind w:left="26"/>
              <w:rPr>
                <w:sz w:val="17"/>
              </w:rPr>
            </w:pPr>
            <w:r>
              <w:rPr>
                <w:color w:val="231F20"/>
                <w:w w:val="85"/>
                <w:sz w:val="17"/>
              </w:rPr>
              <w:t>Conduct training</w:t>
            </w:r>
          </w:p>
        </w:tc>
      </w:tr>
      <w:tr w:rsidR="009948F1" w14:paraId="5A60631B" w14:textId="77777777">
        <w:trPr>
          <w:trHeight w:val="463"/>
        </w:trPr>
        <w:tc>
          <w:tcPr>
            <w:tcW w:w="485" w:type="dxa"/>
            <w:vMerge/>
            <w:tcBorders>
              <w:top w:val="nil"/>
              <w:right w:val="single" w:sz="6" w:space="0" w:color="231F20"/>
            </w:tcBorders>
          </w:tcPr>
          <w:p w14:paraId="18D5E8D9" w14:textId="77777777" w:rsidR="009948F1" w:rsidRDefault="009948F1">
            <w:pPr>
              <w:rPr>
                <w:sz w:val="2"/>
                <w:szCs w:val="2"/>
              </w:rPr>
            </w:pPr>
          </w:p>
        </w:tc>
        <w:tc>
          <w:tcPr>
            <w:tcW w:w="556" w:type="dxa"/>
            <w:tcBorders>
              <w:left w:val="single" w:sz="6" w:space="0" w:color="231F20"/>
              <w:right w:val="single" w:sz="6" w:space="0" w:color="231F20"/>
            </w:tcBorders>
          </w:tcPr>
          <w:p w14:paraId="61528D45" w14:textId="77777777" w:rsidR="009948F1" w:rsidRDefault="00BC0563">
            <w:pPr>
              <w:pStyle w:val="TableParagraph"/>
              <w:spacing w:before="134"/>
              <w:ind w:left="30" w:right="10"/>
              <w:jc w:val="center"/>
              <w:rPr>
                <w:sz w:val="17"/>
              </w:rPr>
            </w:pPr>
            <w:r>
              <w:rPr>
                <w:color w:val="231F20"/>
                <w:w w:val="75"/>
                <w:sz w:val="17"/>
              </w:rPr>
              <w:t>5.2.12.b</w:t>
            </w:r>
          </w:p>
        </w:tc>
        <w:tc>
          <w:tcPr>
            <w:tcW w:w="5178" w:type="dxa"/>
            <w:gridSpan w:val="2"/>
            <w:tcBorders>
              <w:left w:val="single" w:sz="6" w:space="0" w:color="231F20"/>
              <w:right w:val="single" w:sz="6" w:space="0" w:color="231F20"/>
            </w:tcBorders>
          </w:tcPr>
          <w:p w14:paraId="37027200" w14:textId="77777777" w:rsidR="009948F1" w:rsidRDefault="00BC0563">
            <w:pPr>
              <w:pStyle w:val="TableParagraph"/>
              <w:spacing w:before="127"/>
              <w:ind w:left="26"/>
              <w:rPr>
                <w:sz w:val="17"/>
              </w:rPr>
            </w:pPr>
            <w:r>
              <w:rPr>
                <w:color w:val="231F20"/>
                <w:w w:val="85"/>
                <w:sz w:val="17"/>
              </w:rPr>
              <w:t>Conduct training for community volunteers on TB management</w:t>
            </w:r>
          </w:p>
        </w:tc>
        <w:tc>
          <w:tcPr>
            <w:tcW w:w="1511" w:type="dxa"/>
            <w:tcBorders>
              <w:left w:val="single" w:sz="6" w:space="0" w:color="231F20"/>
              <w:right w:val="single" w:sz="6" w:space="0" w:color="231F20"/>
            </w:tcBorders>
          </w:tcPr>
          <w:p w14:paraId="73DC2CFC" w14:textId="77777777" w:rsidR="009948F1" w:rsidRDefault="00BC0563">
            <w:pPr>
              <w:pStyle w:val="TableParagraph"/>
              <w:spacing w:before="134"/>
              <w:ind w:left="27"/>
              <w:rPr>
                <w:sz w:val="17"/>
              </w:rPr>
            </w:pPr>
            <w:r>
              <w:rPr>
                <w:color w:val="231F20"/>
                <w:w w:val="85"/>
                <w:sz w:val="17"/>
              </w:rPr>
              <w:t>Lack of funds</w:t>
            </w:r>
          </w:p>
        </w:tc>
        <w:tc>
          <w:tcPr>
            <w:tcW w:w="1592" w:type="dxa"/>
            <w:tcBorders>
              <w:left w:val="single" w:sz="6" w:space="0" w:color="231F20"/>
            </w:tcBorders>
          </w:tcPr>
          <w:p w14:paraId="60B6A838" w14:textId="77777777" w:rsidR="009948F1" w:rsidRDefault="00BC0563">
            <w:pPr>
              <w:pStyle w:val="TableParagraph"/>
              <w:spacing w:before="134"/>
              <w:ind w:left="26"/>
              <w:rPr>
                <w:sz w:val="17"/>
              </w:rPr>
            </w:pPr>
            <w:r>
              <w:rPr>
                <w:color w:val="231F20"/>
                <w:w w:val="85"/>
                <w:sz w:val="17"/>
              </w:rPr>
              <w:t>Conduct meeting</w:t>
            </w:r>
          </w:p>
        </w:tc>
      </w:tr>
      <w:tr w:rsidR="009948F1" w14:paraId="6079BCAE" w14:textId="77777777">
        <w:trPr>
          <w:trHeight w:val="546"/>
        </w:trPr>
        <w:tc>
          <w:tcPr>
            <w:tcW w:w="485" w:type="dxa"/>
            <w:tcBorders>
              <w:left w:val="single" w:sz="12" w:space="0" w:color="231F20"/>
              <w:right w:val="single" w:sz="6" w:space="0" w:color="231F20"/>
            </w:tcBorders>
            <w:shd w:val="clear" w:color="auto" w:fill="CCE7D3"/>
          </w:tcPr>
          <w:p w14:paraId="3EC6D8D4" w14:textId="77777777" w:rsidR="009948F1" w:rsidRDefault="009948F1">
            <w:pPr>
              <w:pStyle w:val="TableParagraph"/>
              <w:spacing w:before="3"/>
              <w:rPr>
                <w:sz w:val="15"/>
              </w:rPr>
            </w:pPr>
          </w:p>
          <w:p w14:paraId="6D790492" w14:textId="77777777" w:rsidR="009948F1" w:rsidRDefault="00BC0563">
            <w:pPr>
              <w:pStyle w:val="TableParagraph"/>
              <w:ind w:left="22" w:right="21"/>
              <w:jc w:val="center"/>
              <w:rPr>
                <w:sz w:val="17"/>
              </w:rPr>
            </w:pPr>
            <w:r>
              <w:rPr>
                <w:color w:val="231F20"/>
                <w:w w:val="80"/>
                <w:sz w:val="17"/>
              </w:rPr>
              <w:t>5.2.13</w:t>
            </w:r>
          </w:p>
        </w:tc>
        <w:tc>
          <w:tcPr>
            <w:tcW w:w="3212" w:type="dxa"/>
            <w:gridSpan w:val="2"/>
            <w:tcBorders>
              <w:left w:val="single" w:sz="6" w:space="0" w:color="231F20"/>
              <w:right w:val="single" w:sz="6" w:space="0" w:color="231F20"/>
            </w:tcBorders>
            <w:shd w:val="clear" w:color="auto" w:fill="CCE7D3"/>
          </w:tcPr>
          <w:p w14:paraId="56B140C9" w14:textId="77777777" w:rsidR="009948F1" w:rsidRDefault="00BC0563">
            <w:pPr>
              <w:pStyle w:val="TableParagraph"/>
              <w:spacing w:before="62" w:line="261" w:lineRule="auto"/>
              <w:ind w:left="26" w:right="69" w:firstLine="34"/>
              <w:rPr>
                <w:sz w:val="17"/>
              </w:rPr>
            </w:pPr>
            <w:r>
              <w:rPr>
                <w:color w:val="231F20"/>
                <w:w w:val="75"/>
                <w:sz w:val="17"/>
              </w:rPr>
              <w:t xml:space="preserve">Strengthen physical and socio-economic rehabilitation </w:t>
            </w:r>
            <w:r>
              <w:rPr>
                <w:color w:val="231F20"/>
                <w:w w:val="85"/>
                <w:sz w:val="17"/>
              </w:rPr>
              <w:t>for leprosy</w:t>
            </w:r>
          </w:p>
        </w:tc>
        <w:tc>
          <w:tcPr>
            <w:tcW w:w="2522" w:type="dxa"/>
            <w:tcBorders>
              <w:left w:val="single" w:sz="6" w:space="0" w:color="231F20"/>
              <w:right w:val="single" w:sz="6" w:space="0" w:color="231F20"/>
            </w:tcBorders>
            <w:shd w:val="clear" w:color="auto" w:fill="CCE7D3"/>
          </w:tcPr>
          <w:p w14:paraId="690F40A6" w14:textId="77777777" w:rsidR="009948F1" w:rsidRDefault="00BC0563">
            <w:pPr>
              <w:pStyle w:val="TableParagraph"/>
              <w:numPr>
                <w:ilvl w:val="0"/>
                <w:numId w:val="151"/>
              </w:numPr>
              <w:tabs>
                <w:tab w:val="left" w:pos="107"/>
              </w:tabs>
              <w:spacing w:line="261" w:lineRule="auto"/>
              <w:ind w:right="185" w:firstLine="0"/>
              <w:rPr>
                <w:sz w:val="17"/>
              </w:rPr>
            </w:pPr>
            <w:r>
              <w:rPr>
                <w:color w:val="231F20"/>
                <w:w w:val="75"/>
                <w:sz w:val="17"/>
              </w:rPr>
              <w:t>Leprosy</w:t>
            </w:r>
            <w:r>
              <w:rPr>
                <w:color w:val="231F20"/>
                <w:spacing w:val="-9"/>
                <w:w w:val="75"/>
                <w:sz w:val="17"/>
              </w:rPr>
              <w:t xml:space="preserve"> </w:t>
            </w:r>
            <w:r>
              <w:rPr>
                <w:color w:val="231F20"/>
                <w:w w:val="75"/>
                <w:sz w:val="17"/>
              </w:rPr>
              <w:t>rehabilitation</w:t>
            </w:r>
            <w:r>
              <w:rPr>
                <w:color w:val="231F20"/>
                <w:spacing w:val="-9"/>
                <w:w w:val="75"/>
                <w:sz w:val="17"/>
              </w:rPr>
              <w:t xml:space="preserve"> </w:t>
            </w:r>
            <w:r>
              <w:rPr>
                <w:color w:val="231F20"/>
                <w:w w:val="75"/>
                <w:sz w:val="17"/>
              </w:rPr>
              <w:t>center</w:t>
            </w:r>
            <w:r>
              <w:rPr>
                <w:color w:val="231F20"/>
                <w:spacing w:val="-9"/>
                <w:w w:val="75"/>
                <w:sz w:val="17"/>
              </w:rPr>
              <w:t xml:space="preserve"> </w:t>
            </w:r>
            <w:r>
              <w:rPr>
                <w:color w:val="231F20"/>
                <w:w w:val="75"/>
                <w:sz w:val="17"/>
              </w:rPr>
              <w:t>provided</w:t>
            </w:r>
            <w:r>
              <w:rPr>
                <w:color w:val="231F20"/>
                <w:spacing w:val="-8"/>
                <w:w w:val="75"/>
                <w:sz w:val="17"/>
              </w:rPr>
              <w:t xml:space="preserve"> </w:t>
            </w:r>
            <w:r>
              <w:rPr>
                <w:color w:val="231F20"/>
                <w:spacing w:val="-11"/>
                <w:w w:val="75"/>
                <w:sz w:val="17"/>
              </w:rPr>
              <w:t xml:space="preserve">&amp; </w:t>
            </w:r>
            <w:r>
              <w:rPr>
                <w:color w:val="231F20"/>
                <w:w w:val="85"/>
                <w:sz w:val="17"/>
              </w:rPr>
              <w:t>equipped</w:t>
            </w:r>
          </w:p>
          <w:p w14:paraId="09301426" w14:textId="77777777" w:rsidR="009948F1" w:rsidRDefault="00BC0563">
            <w:pPr>
              <w:pStyle w:val="TableParagraph"/>
              <w:spacing w:before="1" w:line="99" w:lineRule="exact"/>
              <w:ind w:left="27"/>
              <w:rPr>
                <w:sz w:val="17"/>
              </w:rPr>
            </w:pPr>
            <w:r>
              <w:rPr>
                <w:color w:val="231F20"/>
                <w:w w:val="73"/>
                <w:sz w:val="17"/>
              </w:rPr>
              <w:t>•</w:t>
            </w:r>
          </w:p>
        </w:tc>
        <w:tc>
          <w:tcPr>
            <w:tcW w:w="1511" w:type="dxa"/>
            <w:tcBorders>
              <w:left w:val="single" w:sz="6" w:space="0" w:color="231F20"/>
              <w:right w:val="single" w:sz="12" w:space="0" w:color="231F20"/>
            </w:tcBorders>
            <w:shd w:val="clear" w:color="auto" w:fill="CCE7D3"/>
          </w:tcPr>
          <w:p w14:paraId="1481A23D"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4C39CCFC" w14:textId="77777777" w:rsidR="009948F1" w:rsidRDefault="009948F1">
            <w:pPr>
              <w:pStyle w:val="TableParagraph"/>
              <w:rPr>
                <w:rFonts w:ascii="Times New Roman"/>
                <w:sz w:val="12"/>
              </w:rPr>
            </w:pPr>
          </w:p>
        </w:tc>
      </w:tr>
      <w:tr w:rsidR="009948F1" w14:paraId="45E8C6EF" w14:textId="77777777">
        <w:trPr>
          <w:trHeight w:val="577"/>
        </w:trPr>
        <w:tc>
          <w:tcPr>
            <w:tcW w:w="485" w:type="dxa"/>
            <w:tcBorders>
              <w:right w:val="single" w:sz="6" w:space="0" w:color="231F20"/>
            </w:tcBorders>
          </w:tcPr>
          <w:p w14:paraId="394856F2" w14:textId="77777777" w:rsidR="009948F1" w:rsidRDefault="009948F1">
            <w:pPr>
              <w:pStyle w:val="TableParagraph"/>
              <w:rPr>
                <w:rFonts w:ascii="Times New Roman"/>
                <w:sz w:val="12"/>
              </w:rPr>
            </w:pPr>
          </w:p>
        </w:tc>
        <w:tc>
          <w:tcPr>
            <w:tcW w:w="556" w:type="dxa"/>
            <w:tcBorders>
              <w:left w:val="single" w:sz="6" w:space="0" w:color="231F20"/>
              <w:bottom w:val="single" w:sz="12" w:space="0" w:color="231F20"/>
              <w:right w:val="single" w:sz="6" w:space="0" w:color="231F20"/>
            </w:tcBorders>
          </w:tcPr>
          <w:p w14:paraId="273C65CC" w14:textId="77777777" w:rsidR="009948F1" w:rsidRDefault="009948F1">
            <w:pPr>
              <w:pStyle w:val="TableParagraph"/>
              <w:spacing w:before="7"/>
              <w:rPr>
                <w:sz w:val="16"/>
              </w:rPr>
            </w:pPr>
          </w:p>
          <w:p w14:paraId="5319FB74" w14:textId="77777777" w:rsidR="009948F1" w:rsidRDefault="00BC0563">
            <w:pPr>
              <w:pStyle w:val="TableParagraph"/>
              <w:ind w:left="30" w:right="10"/>
              <w:jc w:val="center"/>
              <w:rPr>
                <w:sz w:val="17"/>
              </w:rPr>
            </w:pPr>
            <w:r>
              <w:rPr>
                <w:color w:val="231F20"/>
                <w:w w:val="75"/>
                <w:sz w:val="17"/>
              </w:rPr>
              <w:t>5.2.13.a</w:t>
            </w:r>
          </w:p>
        </w:tc>
        <w:tc>
          <w:tcPr>
            <w:tcW w:w="5178" w:type="dxa"/>
            <w:gridSpan w:val="2"/>
            <w:tcBorders>
              <w:left w:val="single" w:sz="6" w:space="0" w:color="231F20"/>
              <w:bottom w:val="single" w:sz="12" w:space="0" w:color="231F20"/>
              <w:right w:val="single" w:sz="6" w:space="0" w:color="231F20"/>
            </w:tcBorders>
          </w:tcPr>
          <w:p w14:paraId="26D081C2" w14:textId="77777777" w:rsidR="009948F1" w:rsidRDefault="00BC0563">
            <w:pPr>
              <w:pStyle w:val="TableParagraph"/>
              <w:spacing w:line="261" w:lineRule="auto"/>
              <w:ind w:left="26" w:right="290"/>
              <w:rPr>
                <w:sz w:val="17"/>
              </w:rPr>
            </w:pPr>
            <w:r>
              <w:rPr>
                <w:color w:val="231F20"/>
                <w:w w:val="75"/>
                <w:sz w:val="17"/>
              </w:rPr>
              <w:t xml:space="preserve">Operating cost for engaging and supervising the contractor to provide &amp; equip leprosy </w:t>
            </w:r>
            <w:r>
              <w:rPr>
                <w:color w:val="231F20"/>
                <w:w w:val="85"/>
                <w:sz w:val="17"/>
              </w:rPr>
              <w:t>rehabilitation center in the state.</w:t>
            </w:r>
          </w:p>
        </w:tc>
        <w:tc>
          <w:tcPr>
            <w:tcW w:w="1511" w:type="dxa"/>
            <w:tcBorders>
              <w:left w:val="single" w:sz="6" w:space="0" w:color="231F20"/>
              <w:bottom w:val="single" w:sz="12" w:space="0" w:color="231F20"/>
              <w:right w:val="single" w:sz="6" w:space="0" w:color="231F20"/>
            </w:tcBorders>
          </w:tcPr>
          <w:p w14:paraId="280EC98B" w14:textId="77777777" w:rsidR="009948F1" w:rsidRDefault="009948F1">
            <w:pPr>
              <w:pStyle w:val="TableParagraph"/>
              <w:spacing w:before="7"/>
              <w:rPr>
                <w:sz w:val="16"/>
              </w:rPr>
            </w:pPr>
          </w:p>
          <w:p w14:paraId="5A5699B5" w14:textId="77777777" w:rsidR="009948F1" w:rsidRDefault="00BC0563">
            <w:pPr>
              <w:pStyle w:val="TableParagraph"/>
              <w:ind w:left="27"/>
              <w:rPr>
                <w:sz w:val="17"/>
              </w:rPr>
            </w:pPr>
            <w:r>
              <w:rPr>
                <w:color w:val="231F20"/>
                <w:w w:val="85"/>
                <w:sz w:val="17"/>
              </w:rPr>
              <w:t>Lack of funds</w:t>
            </w:r>
          </w:p>
        </w:tc>
        <w:tc>
          <w:tcPr>
            <w:tcW w:w="1592" w:type="dxa"/>
            <w:tcBorders>
              <w:left w:val="single" w:sz="6" w:space="0" w:color="231F20"/>
              <w:bottom w:val="single" w:sz="12" w:space="0" w:color="231F20"/>
            </w:tcBorders>
          </w:tcPr>
          <w:p w14:paraId="4753A825" w14:textId="77777777" w:rsidR="009948F1" w:rsidRDefault="009948F1">
            <w:pPr>
              <w:pStyle w:val="TableParagraph"/>
              <w:spacing w:before="7"/>
              <w:rPr>
                <w:sz w:val="16"/>
              </w:rPr>
            </w:pPr>
          </w:p>
          <w:p w14:paraId="6F6662CA" w14:textId="77777777" w:rsidR="009948F1" w:rsidRDefault="00BC0563">
            <w:pPr>
              <w:pStyle w:val="TableParagraph"/>
              <w:ind w:left="26"/>
              <w:rPr>
                <w:sz w:val="17"/>
              </w:rPr>
            </w:pPr>
            <w:r>
              <w:rPr>
                <w:color w:val="231F20"/>
                <w:w w:val="85"/>
                <w:sz w:val="17"/>
              </w:rPr>
              <w:t>Costed in OHT</w:t>
            </w:r>
          </w:p>
        </w:tc>
      </w:tr>
      <w:tr w:rsidR="009948F1" w14:paraId="350C0A2A" w14:textId="77777777">
        <w:trPr>
          <w:trHeight w:val="452"/>
        </w:trPr>
        <w:tc>
          <w:tcPr>
            <w:tcW w:w="6219" w:type="dxa"/>
            <w:gridSpan w:val="4"/>
            <w:tcBorders>
              <w:top w:val="single" w:sz="12" w:space="0" w:color="231F20"/>
              <w:left w:val="single" w:sz="12" w:space="0" w:color="231F20"/>
              <w:right w:val="single" w:sz="12" w:space="0" w:color="231F20"/>
            </w:tcBorders>
            <w:shd w:val="clear" w:color="auto" w:fill="FFF200"/>
          </w:tcPr>
          <w:p w14:paraId="0E2499DE" w14:textId="77777777" w:rsidR="009948F1" w:rsidRDefault="00BC0563">
            <w:pPr>
              <w:pStyle w:val="TableParagraph"/>
              <w:spacing w:before="125"/>
              <w:ind w:left="57"/>
              <w:rPr>
                <w:b/>
                <w:sz w:val="17"/>
              </w:rPr>
            </w:pPr>
            <w:r>
              <w:rPr>
                <w:b/>
                <w:color w:val="231F20"/>
                <w:w w:val="85"/>
                <w:sz w:val="17"/>
              </w:rPr>
              <w:t>Significantly reduce the incidence and prevalence of HIV/AIDS in Nigeria by 2022</w:t>
            </w:r>
          </w:p>
        </w:tc>
        <w:tc>
          <w:tcPr>
            <w:tcW w:w="1511" w:type="dxa"/>
            <w:tcBorders>
              <w:top w:val="single" w:sz="12" w:space="0" w:color="231F20"/>
              <w:left w:val="single" w:sz="12" w:space="0" w:color="231F20"/>
              <w:right w:val="single" w:sz="12" w:space="0" w:color="231F20"/>
            </w:tcBorders>
            <w:shd w:val="clear" w:color="auto" w:fill="FFF200"/>
          </w:tcPr>
          <w:p w14:paraId="2D2F815D" w14:textId="77777777" w:rsidR="009948F1" w:rsidRDefault="009948F1">
            <w:pPr>
              <w:pStyle w:val="TableParagraph"/>
              <w:rPr>
                <w:rFonts w:ascii="Times New Roman"/>
                <w:sz w:val="12"/>
              </w:rPr>
            </w:pPr>
          </w:p>
        </w:tc>
        <w:tc>
          <w:tcPr>
            <w:tcW w:w="1592" w:type="dxa"/>
            <w:tcBorders>
              <w:top w:val="single" w:sz="12" w:space="0" w:color="231F20"/>
              <w:left w:val="single" w:sz="12" w:space="0" w:color="231F20"/>
            </w:tcBorders>
            <w:shd w:val="clear" w:color="auto" w:fill="FFF200"/>
          </w:tcPr>
          <w:p w14:paraId="12828A9B" w14:textId="77777777" w:rsidR="009948F1" w:rsidRDefault="009948F1">
            <w:pPr>
              <w:pStyle w:val="TableParagraph"/>
              <w:rPr>
                <w:rFonts w:ascii="Times New Roman"/>
                <w:sz w:val="12"/>
              </w:rPr>
            </w:pPr>
          </w:p>
        </w:tc>
      </w:tr>
      <w:tr w:rsidR="009948F1" w14:paraId="4E82E56D" w14:textId="77777777">
        <w:trPr>
          <w:trHeight w:val="1314"/>
        </w:trPr>
        <w:tc>
          <w:tcPr>
            <w:tcW w:w="485" w:type="dxa"/>
            <w:tcBorders>
              <w:left w:val="single" w:sz="12" w:space="0" w:color="231F20"/>
              <w:right w:val="single" w:sz="6" w:space="0" w:color="231F20"/>
            </w:tcBorders>
            <w:shd w:val="clear" w:color="auto" w:fill="CCE7D3"/>
          </w:tcPr>
          <w:p w14:paraId="29EECD64" w14:textId="77777777" w:rsidR="009948F1" w:rsidRDefault="009948F1">
            <w:pPr>
              <w:pStyle w:val="TableParagraph"/>
              <w:rPr>
                <w:sz w:val="16"/>
              </w:rPr>
            </w:pPr>
          </w:p>
          <w:p w14:paraId="494A50E4" w14:textId="77777777" w:rsidR="009948F1" w:rsidRDefault="009948F1">
            <w:pPr>
              <w:pStyle w:val="TableParagraph"/>
              <w:rPr>
                <w:sz w:val="16"/>
              </w:rPr>
            </w:pPr>
          </w:p>
          <w:p w14:paraId="430E1352" w14:textId="77777777" w:rsidR="009948F1" w:rsidRDefault="009948F1">
            <w:pPr>
              <w:pStyle w:val="TableParagraph"/>
              <w:spacing w:before="7"/>
              <w:rPr>
                <w:sz w:val="16"/>
              </w:rPr>
            </w:pPr>
          </w:p>
          <w:p w14:paraId="0E07F820" w14:textId="77777777" w:rsidR="009948F1" w:rsidRDefault="00BC0563">
            <w:pPr>
              <w:pStyle w:val="TableParagraph"/>
              <w:ind w:left="22" w:right="88"/>
              <w:jc w:val="center"/>
              <w:rPr>
                <w:sz w:val="17"/>
              </w:rPr>
            </w:pPr>
            <w:r>
              <w:rPr>
                <w:color w:val="231F20"/>
                <w:w w:val="80"/>
                <w:sz w:val="17"/>
              </w:rPr>
              <w:t>5.3.1</w:t>
            </w:r>
          </w:p>
        </w:tc>
        <w:tc>
          <w:tcPr>
            <w:tcW w:w="3212" w:type="dxa"/>
            <w:gridSpan w:val="2"/>
            <w:tcBorders>
              <w:left w:val="single" w:sz="6" w:space="0" w:color="231F20"/>
              <w:right w:val="single" w:sz="6" w:space="0" w:color="231F20"/>
            </w:tcBorders>
            <w:shd w:val="clear" w:color="auto" w:fill="CCE7D3"/>
          </w:tcPr>
          <w:p w14:paraId="62C6941A" w14:textId="77777777" w:rsidR="009948F1" w:rsidRDefault="009948F1">
            <w:pPr>
              <w:pStyle w:val="TableParagraph"/>
              <w:rPr>
                <w:sz w:val="16"/>
              </w:rPr>
            </w:pPr>
          </w:p>
          <w:p w14:paraId="772C974A" w14:textId="77777777" w:rsidR="009948F1" w:rsidRDefault="009948F1">
            <w:pPr>
              <w:pStyle w:val="TableParagraph"/>
              <w:spacing w:before="5"/>
              <w:rPr>
                <w:sz w:val="13"/>
              </w:rPr>
            </w:pPr>
          </w:p>
          <w:p w14:paraId="04B4D6AA" w14:textId="77777777" w:rsidR="009948F1" w:rsidRDefault="00BC0563">
            <w:pPr>
              <w:pStyle w:val="TableParagraph"/>
              <w:spacing w:line="261" w:lineRule="auto"/>
              <w:ind w:left="26" w:right="11" w:firstLine="34"/>
              <w:rPr>
                <w:sz w:val="17"/>
              </w:rPr>
            </w:pPr>
            <w:r>
              <w:rPr>
                <w:color w:val="231F20"/>
                <w:w w:val="80"/>
                <w:sz w:val="17"/>
              </w:rPr>
              <w:t xml:space="preserve">Expand access to Minimum Package of Preventive </w:t>
            </w:r>
            <w:r>
              <w:rPr>
                <w:color w:val="231F20"/>
                <w:w w:val="75"/>
                <w:sz w:val="17"/>
              </w:rPr>
              <w:t xml:space="preserve">Interventions (MPPI) for HIV targeting key and general </w:t>
            </w:r>
            <w:r>
              <w:rPr>
                <w:color w:val="231F20"/>
                <w:w w:val="85"/>
                <w:sz w:val="17"/>
              </w:rPr>
              <w:t>populations</w:t>
            </w:r>
          </w:p>
        </w:tc>
        <w:tc>
          <w:tcPr>
            <w:tcW w:w="2522" w:type="dxa"/>
            <w:tcBorders>
              <w:left w:val="single" w:sz="6" w:space="0" w:color="231F20"/>
              <w:right w:val="single" w:sz="6" w:space="0" w:color="231F20"/>
            </w:tcBorders>
            <w:shd w:val="clear" w:color="auto" w:fill="CCE7D3"/>
          </w:tcPr>
          <w:p w14:paraId="289BF713" w14:textId="77777777" w:rsidR="009948F1" w:rsidRDefault="00BC0563">
            <w:pPr>
              <w:pStyle w:val="TableParagraph"/>
              <w:numPr>
                <w:ilvl w:val="0"/>
                <w:numId w:val="150"/>
              </w:numPr>
              <w:tabs>
                <w:tab w:val="left" w:pos="100"/>
              </w:tabs>
              <w:spacing w:before="26"/>
              <w:ind w:left="99" w:hanging="73"/>
              <w:rPr>
                <w:sz w:val="17"/>
              </w:rPr>
            </w:pPr>
            <w:r>
              <w:rPr>
                <w:color w:val="231F20"/>
                <w:w w:val="75"/>
                <w:sz w:val="17"/>
              </w:rPr>
              <w:t>At</w:t>
            </w:r>
            <w:r>
              <w:rPr>
                <w:color w:val="231F20"/>
                <w:spacing w:val="-6"/>
                <w:w w:val="75"/>
                <w:sz w:val="17"/>
              </w:rPr>
              <w:t xml:space="preserve"> </w:t>
            </w:r>
            <w:r>
              <w:rPr>
                <w:color w:val="231F20"/>
                <w:w w:val="75"/>
                <w:sz w:val="17"/>
              </w:rPr>
              <w:t>least</w:t>
            </w:r>
            <w:r>
              <w:rPr>
                <w:color w:val="231F20"/>
                <w:spacing w:val="-6"/>
                <w:w w:val="75"/>
                <w:sz w:val="17"/>
              </w:rPr>
              <w:t xml:space="preserve"> </w:t>
            </w:r>
            <w:r>
              <w:rPr>
                <w:color w:val="231F20"/>
                <w:w w:val="75"/>
                <w:sz w:val="17"/>
              </w:rPr>
              <w:t>80%</w:t>
            </w:r>
            <w:r>
              <w:rPr>
                <w:color w:val="231F20"/>
                <w:spacing w:val="-6"/>
                <w:w w:val="75"/>
                <w:sz w:val="17"/>
              </w:rPr>
              <w:t xml:space="preserve"> </w:t>
            </w:r>
            <w:r>
              <w:rPr>
                <w:color w:val="231F20"/>
                <w:w w:val="75"/>
                <w:sz w:val="17"/>
              </w:rPr>
              <w:t>of</w:t>
            </w:r>
            <w:r>
              <w:rPr>
                <w:color w:val="231F20"/>
                <w:spacing w:val="-6"/>
                <w:w w:val="75"/>
                <w:sz w:val="17"/>
              </w:rPr>
              <w:t xml:space="preserve"> </w:t>
            </w:r>
            <w:r>
              <w:rPr>
                <w:color w:val="231F20"/>
                <w:w w:val="75"/>
                <w:sz w:val="17"/>
              </w:rPr>
              <w:t>PHC</w:t>
            </w:r>
            <w:r>
              <w:rPr>
                <w:color w:val="231F20"/>
                <w:spacing w:val="-5"/>
                <w:w w:val="75"/>
                <w:sz w:val="17"/>
              </w:rPr>
              <w:t xml:space="preserve"> </w:t>
            </w:r>
            <w:r>
              <w:rPr>
                <w:color w:val="231F20"/>
                <w:w w:val="75"/>
                <w:sz w:val="17"/>
              </w:rPr>
              <w:t>facilities</w:t>
            </w:r>
            <w:r>
              <w:rPr>
                <w:color w:val="231F20"/>
                <w:spacing w:val="-6"/>
                <w:w w:val="75"/>
                <w:sz w:val="17"/>
              </w:rPr>
              <w:t xml:space="preserve"> </w:t>
            </w:r>
            <w:r>
              <w:rPr>
                <w:color w:val="231F20"/>
                <w:w w:val="75"/>
                <w:sz w:val="17"/>
              </w:rPr>
              <w:t>conduct</w:t>
            </w:r>
            <w:r>
              <w:rPr>
                <w:color w:val="231F20"/>
                <w:spacing w:val="-6"/>
                <w:w w:val="75"/>
                <w:sz w:val="17"/>
              </w:rPr>
              <w:t xml:space="preserve"> </w:t>
            </w:r>
            <w:r>
              <w:rPr>
                <w:color w:val="231F20"/>
                <w:w w:val="75"/>
                <w:sz w:val="17"/>
              </w:rPr>
              <w:t>HTS</w:t>
            </w:r>
          </w:p>
          <w:p w14:paraId="02625A0A" w14:textId="77777777" w:rsidR="009948F1" w:rsidRDefault="00BC0563">
            <w:pPr>
              <w:pStyle w:val="TableParagraph"/>
              <w:spacing w:before="18"/>
              <w:ind w:left="27"/>
              <w:rPr>
                <w:sz w:val="17"/>
              </w:rPr>
            </w:pPr>
            <w:r>
              <w:rPr>
                <w:color w:val="231F20"/>
                <w:w w:val="85"/>
                <w:sz w:val="17"/>
              </w:rPr>
              <w:t>/ PMTCT at ANC clinics</w:t>
            </w:r>
          </w:p>
          <w:p w14:paraId="1224E5B6" w14:textId="77777777" w:rsidR="009948F1" w:rsidRDefault="00BC0563">
            <w:pPr>
              <w:pStyle w:val="TableParagraph"/>
              <w:numPr>
                <w:ilvl w:val="0"/>
                <w:numId w:val="150"/>
              </w:numPr>
              <w:tabs>
                <w:tab w:val="left" w:pos="100"/>
              </w:tabs>
              <w:spacing w:before="18" w:line="261" w:lineRule="auto"/>
              <w:ind w:right="85" w:firstLine="0"/>
              <w:rPr>
                <w:sz w:val="17"/>
              </w:rPr>
            </w:pPr>
            <w:r>
              <w:rPr>
                <w:color w:val="231F20"/>
                <w:w w:val="80"/>
                <w:sz w:val="17"/>
              </w:rPr>
              <w:t xml:space="preserve">At least 50 TBA/private health facilities </w:t>
            </w:r>
            <w:r>
              <w:rPr>
                <w:color w:val="231F20"/>
                <w:w w:val="75"/>
                <w:sz w:val="17"/>
              </w:rPr>
              <w:t>engaged</w:t>
            </w:r>
            <w:r>
              <w:rPr>
                <w:color w:val="231F20"/>
                <w:spacing w:val="-9"/>
                <w:w w:val="75"/>
                <w:sz w:val="17"/>
              </w:rPr>
              <w:t xml:space="preserve"> </w:t>
            </w:r>
            <w:r>
              <w:rPr>
                <w:color w:val="231F20"/>
                <w:w w:val="75"/>
                <w:sz w:val="17"/>
              </w:rPr>
              <w:t>to</w:t>
            </w:r>
            <w:r>
              <w:rPr>
                <w:color w:val="231F20"/>
                <w:spacing w:val="-8"/>
                <w:w w:val="75"/>
                <w:sz w:val="17"/>
              </w:rPr>
              <w:t xml:space="preserve"> </w:t>
            </w:r>
            <w:r>
              <w:rPr>
                <w:color w:val="231F20"/>
                <w:w w:val="75"/>
                <w:sz w:val="17"/>
              </w:rPr>
              <w:t>provide</w:t>
            </w:r>
            <w:r>
              <w:rPr>
                <w:color w:val="231F20"/>
                <w:spacing w:val="-8"/>
                <w:w w:val="75"/>
                <w:sz w:val="17"/>
              </w:rPr>
              <w:t xml:space="preserve"> </w:t>
            </w:r>
            <w:r>
              <w:rPr>
                <w:color w:val="231F20"/>
                <w:w w:val="75"/>
                <w:sz w:val="17"/>
              </w:rPr>
              <w:t>PMTCT</w:t>
            </w:r>
            <w:r>
              <w:rPr>
                <w:color w:val="231F20"/>
                <w:spacing w:val="-10"/>
                <w:w w:val="75"/>
                <w:sz w:val="17"/>
              </w:rPr>
              <w:t xml:space="preserve"> </w:t>
            </w:r>
            <w:r>
              <w:rPr>
                <w:color w:val="231F20"/>
                <w:w w:val="75"/>
                <w:sz w:val="17"/>
              </w:rPr>
              <w:t>/</w:t>
            </w:r>
            <w:r>
              <w:rPr>
                <w:color w:val="231F20"/>
                <w:spacing w:val="-9"/>
                <w:w w:val="75"/>
                <w:sz w:val="17"/>
              </w:rPr>
              <w:t xml:space="preserve"> </w:t>
            </w:r>
            <w:r>
              <w:rPr>
                <w:color w:val="231F20"/>
                <w:w w:val="75"/>
                <w:sz w:val="17"/>
              </w:rPr>
              <w:t>HTS</w:t>
            </w:r>
            <w:r>
              <w:rPr>
                <w:color w:val="231F20"/>
                <w:spacing w:val="-8"/>
                <w:w w:val="75"/>
                <w:sz w:val="17"/>
              </w:rPr>
              <w:t xml:space="preserve"> </w:t>
            </w:r>
            <w:r>
              <w:rPr>
                <w:color w:val="231F20"/>
                <w:w w:val="75"/>
                <w:sz w:val="17"/>
              </w:rPr>
              <w:t>services</w:t>
            </w:r>
          </w:p>
          <w:p w14:paraId="2C8D33D0" w14:textId="77777777" w:rsidR="009948F1" w:rsidRDefault="00BC0563">
            <w:pPr>
              <w:pStyle w:val="TableParagraph"/>
              <w:numPr>
                <w:ilvl w:val="0"/>
                <w:numId w:val="150"/>
              </w:numPr>
              <w:tabs>
                <w:tab w:val="left" w:pos="107"/>
              </w:tabs>
              <w:spacing w:before="2"/>
              <w:ind w:left="106" w:hanging="80"/>
              <w:rPr>
                <w:sz w:val="17"/>
              </w:rPr>
            </w:pPr>
            <w:r>
              <w:rPr>
                <w:color w:val="231F20"/>
                <w:w w:val="85"/>
                <w:sz w:val="17"/>
              </w:rPr>
              <w:t>HTS</w:t>
            </w:r>
            <w:r>
              <w:rPr>
                <w:color w:val="231F20"/>
                <w:spacing w:val="-16"/>
                <w:w w:val="85"/>
                <w:sz w:val="17"/>
              </w:rPr>
              <w:t xml:space="preserve"> </w:t>
            </w:r>
            <w:r>
              <w:rPr>
                <w:color w:val="231F20"/>
                <w:w w:val="85"/>
                <w:sz w:val="17"/>
              </w:rPr>
              <w:t>is</w:t>
            </w:r>
            <w:r>
              <w:rPr>
                <w:color w:val="231F20"/>
                <w:spacing w:val="-16"/>
                <w:w w:val="85"/>
                <w:sz w:val="17"/>
              </w:rPr>
              <w:t xml:space="preserve"> </w:t>
            </w:r>
            <w:r>
              <w:rPr>
                <w:color w:val="231F20"/>
                <w:w w:val="85"/>
                <w:sz w:val="17"/>
              </w:rPr>
              <w:t>carried</w:t>
            </w:r>
            <w:r>
              <w:rPr>
                <w:color w:val="231F20"/>
                <w:spacing w:val="-16"/>
                <w:w w:val="85"/>
                <w:sz w:val="17"/>
              </w:rPr>
              <w:t xml:space="preserve"> </w:t>
            </w:r>
            <w:r>
              <w:rPr>
                <w:color w:val="231F20"/>
                <w:w w:val="85"/>
                <w:sz w:val="17"/>
              </w:rPr>
              <w:t>out</w:t>
            </w:r>
            <w:r>
              <w:rPr>
                <w:color w:val="231F20"/>
                <w:spacing w:val="-16"/>
                <w:w w:val="85"/>
                <w:sz w:val="17"/>
              </w:rPr>
              <w:t xml:space="preserve"> </w:t>
            </w:r>
            <w:r>
              <w:rPr>
                <w:color w:val="231F20"/>
                <w:w w:val="85"/>
                <w:sz w:val="17"/>
              </w:rPr>
              <w:t>in</w:t>
            </w:r>
            <w:r>
              <w:rPr>
                <w:color w:val="231F20"/>
                <w:spacing w:val="-16"/>
                <w:w w:val="85"/>
                <w:sz w:val="17"/>
              </w:rPr>
              <w:t xml:space="preserve"> </w:t>
            </w:r>
            <w:r>
              <w:rPr>
                <w:color w:val="231F20"/>
                <w:w w:val="85"/>
                <w:sz w:val="17"/>
              </w:rPr>
              <w:t>at</w:t>
            </w:r>
            <w:r>
              <w:rPr>
                <w:color w:val="231F20"/>
                <w:spacing w:val="-15"/>
                <w:w w:val="85"/>
                <w:sz w:val="17"/>
              </w:rPr>
              <w:t xml:space="preserve"> </w:t>
            </w:r>
            <w:r>
              <w:rPr>
                <w:color w:val="231F20"/>
                <w:w w:val="85"/>
                <w:sz w:val="17"/>
              </w:rPr>
              <w:t>least</w:t>
            </w:r>
            <w:r>
              <w:rPr>
                <w:color w:val="231F20"/>
                <w:spacing w:val="-16"/>
                <w:w w:val="85"/>
                <w:sz w:val="17"/>
              </w:rPr>
              <w:t xml:space="preserve"> </w:t>
            </w:r>
            <w:r>
              <w:rPr>
                <w:color w:val="231F20"/>
                <w:w w:val="85"/>
                <w:sz w:val="17"/>
              </w:rPr>
              <w:t>350</w:t>
            </w:r>
          </w:p>
          <w:p w14:paraId="400981FD" w14:textId="77777777" w:rsidR="009948F1" w:rsidRDefault="00BC0563">
            <w:pPr>
              <w:pStyle w:val="TableParagraph"/>
              <w:spacing w:before="18"/>
              <w:ind w:left="27"/>
              <w:rPr>
                <w:sz w:val="17"/>
              </w:rPr>
            </w:pPr>
            <w:r>
              <w:rPr>
                <w:color w:val="231F20"/>
                <w:w w:val="85"/>
                <w:sz w:val="17"/>
              </w:rPr>
              <w:t>communities in 23 LGAs</w:t>
            </w:r>
          </w:p>
        </w:tc>
        <w:tc>
          <w:tcPr>
            <w:tcW w:w="1511" w:type="dxa"/>
            <w:tcBorders>
              <w:left w:val="single" w:sz="6" w:space="0" w:color="231F20"/>
              <w:right w:val="single" w:sz="12" w:space="0" w:color="231F20"/>
            </w:tcBorders>
            <w:shd w:val="clear" w:color="auto" w:fill="CCE7D3"/>
          </w:tcPr>
          <w:p w14:paraId="47CC8F11" w14:textId="77777777" w:rsidR="009948F1" w:rsidRDefault="009948F1">
            <w:pPr>
              <w:pStyle w:val="TableParagraph"/>
              <w:rPr>
                <w:rFonts w:ascii="Times New Roman"/>
                <w:sz w:val="12"/>
              </w:rPr>
            </w:pPr>
          </w:p>
        </w:tc>
        <w:tc>
          <w:tcPr>
            <w:tcW w:w="1592" w:type="dxa"/>
            <w:tcBorders>
              <w:left w:val="single" w:sz="12" w:space="0" w:color="231F20"/>
            </w:tcBorders>
            <w:shd w:val="clear" w:color="auto" w:fill="CCE7D3"/>
          </w:tcPr>
          <w:p w14:paraId="0D9955F2" w14:textId="77777777" w:rsidR="009948F1" w:rsidRDefault="009948F1">
            <w:pPr>
              <w:pStyle w:val="TableParagraph"/>
              <w:rPr>
                <w:rFonts w:ascii="Times New Roman"/>
                <w:sz w:val="12"/>
              </w:rPr>
            </w:pPr>
          </w:p>
        </w:tc>
      </w:tr>
    </w:tbl>
    <w:p w14:paraId="0EA86F80" w14:textId="77777777" w:rsidR="009948F1" w:rsidRDefault="009948F1">
      <w:pPr>
        <w:rPr>
          <w:rFonts w:ascii="Times New Roman"/>
          <w:sz w:val="12"/>
        </w:rPr>
        <w:sectPr w:rsidR="009948F1">
          <w:pgSz w:w="11910" w:h="16840"/>
          <w:pgMar w:top="1260" w:right="1080" w:bottom="1340" w:left="1120" w:header="0" w:footer="1155" w:gutter="0"/>
          <w:cols w:space="720"/>
        </w:sectPr>
      </w:pPr>
    </w:p>
    <w:p w14:paraId="6ECA405D" w14:textId="77777777" w:rsidR="009948F1" w:rsidRDefault="009948F1">
      <w:pPr>
        <w:pStyle w:val="BodyText"/>
        <w:spacing w:before="8"/>
        <w:rPr>
          <w:sz w:val="14"/>
        </w:rPr>
      </w:pPr>
    </w:p>
    <w:tbl>
      <w:tblPr>
        <w:tblW w:w="0" w:type="auto"/>
        <w:tblInd w:w="17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9"/>
        <w:gridCol w:w="471"/>
        <w:gridCol w:w="545"/>
        <w:gridCol w:w="2603"/>
        <w:gridCol w:w="2471"/>
        <w:gridCol w:w="1479"/>
        <w:gridCol w:w="1560"/>
      </w:tblGrid>
      <w:tr w:rsidR="009948F1" w14:paraId="049FEEA9" w14:textId="77777777">
        <w:trPr>
          <w:trHeight w:val="382"/>
        </w:trPr>
        <w:tc>
          <w:tcPr>
            <w:tcW w:w="720" w:type="dxa"/>
            <w:gridSpan w:val="2"/>
            <w:vMerge w:val="restart"/>
            <w:tcBorders>
              <w:bottom w:val="nil"/>
              <w:right w:val="single" w:sz="6" w:space="0" w:color="231F20"/>
            </w:tcBorders>
          </w:tcPr>
          <w:p w14:paraId="601418D5" w14:textId="77777777" w:rsidR="009948F1" w:rsidRDefault="009948F1">
            <w:pPr>
              <w:pStyle w:val="TableParagraph"/>
              <w:rPr>
                <w:rFonts w:ascii="Times New Roman"/>
                <w:sz w:val="12"/>
              </w:rPr>
            </w:pPr>
          </w:p>
        </w:tc>
        <w:tc>
          <w:tcPr>
            <w:tcW w:w="545" w:type="dxa"/>
            <w:tcBorders>
              <w:left w:val="single" w:sz="6" w:space="0" w:color="231F20"/>
              <w:bottom w:val="single" w:sz="6" w:space="0" w:color="231F20"/>
              <w:right w:val="single" w:sz="6" w:space="0" w:color="231F20"/>
            </w:tcBorders>
          </w:tcPr>
          <w:p w14:paraId="7E0996B1" w14:textId="77777777" w:rsidR="009948F1" w:rsidRDefault="00BC0563">
            <w:pPr>
              <w:pStyle w:val="TableParagraph"/>
              <w:spacing w:before="111"/>
              <w:ind w:left="52" w:right="30"/>
              <w:jc w:val="center"/>
              <w:rPr>
                <w:sz w:val="14"/>
              </w:rPr>
            </w:pPr>
            <w:bookmarkStart w:id="168" w:name="Page_142"/>
            <w:bookmarkEnd w:id="168"/>
            <w:r>
              <w:rPr>
                <w:color w:val="231F20"/>
                <w:w w:val="95"/>
                <w:sz w:val="14"/>
              </w:rPr>
              <w:t>5.3.1.a</w:t>
            </w:r>
          </w:p>
        </w:tc>
        <w:tc>
          <w:tcPr>
            <w:tcW w:w="5074" w:type="dxa"/>
            <w:gridSpan w:val="2"/>
            <w:tcBorders>
              <w:left w:val="single" w:sz="6" w:space="0" w:color="231F20"/>
              <w:bottom w:val="single" w:sz="6" w:space="0" w:color="231F20"/>
              <w:right w:val="single" w:sz="6" w:space="0" w:color="231F20"/>
            </w:tcBorders>
          </w:tcPr>
          <w:p w14:paraId="50E6F30B" w14:textId="77777777" w:rsidR="009948F1" w:rsidRDefault="00BC0563">
            <w:pPr>
              <w:pStyle w:val="TableParagraph"/>
              <w:spacing w:before="105"/>
              <w:ind w:left="27"/>
              <w:rPr>
                <w:sz w:val="14"/>
              </w:rPr>
            </w:pPr>
            <w:r>
              <w:rPr>
                <w:color w:val="231F20"/>
                <w:sz w:val="14"/>
              </w:rPr>
              <w:t>Conduct HTS / PMTCT in PHC facilities at ANC clinics in 23 LGAs</w:t>
            </w:r>
          </w:p>
        </w:tc>
        <w:tc>
          <w:tcPr>
            <w:tcW w:w="1479" w:type="dxa"/>
            <w:tcBorders>
              <w:left w:val="single" w:sz="6" w:space="0" w:color="231F20"/>
              <w:bottom w:val="single" w:sz="6" w:space="0" w:color="231F20"/>
              <w:right w:val="single" w:sz="6" w:space="0" w:color="231F20"/>
            </w:tcBorders>
          </w:tcPr>
          <w:p w14:paraId="4706D8D1" w14:textId="77777777" w:rsidR="009948F1" w:rsidRDefault="00BC0563">
            <w:pPr>
              <w:pStyle w:val="TableParagraph"/>
              <w:spacing w:before="111"/>
              <w:ind w:left="28"/>
              <w:rPr>
                <w:sz w:val="14"/>
              </w:rPr>
            </w:pPr>
            <w:r>
              <w:rPr>
                <w:color w:val="231F20"/>
                <w:sz w:val="14"/>
              </w:rPr>
              <w:t>Lack of funds</w:t>
            </w:r>
          </w:p>
        </w:tc>
        <w:tc>
          <w:tcPr>
            <w:tcW w:w="1560" w:type="dxa"/>
            <w:tcBorders>
              <w:left w:val="single" w:sz="6" w:space="0" w:color="231F20"/>
              <w:bottom w:val="single" w:sz="6" w:space="0" w:color="231F20"/>
              <w:right w:val="single" w:sz="6" w:space="0" w:color="231F20"/>
            </w:tcBorders>
          </w:tcPr>
          <w:p w14:paraId="6CB8B260" w14:textId="77777777" w:rsidR="009948F1" w:rsidRDefault="00BC0563">
            <w:pPr>
              <w:pStyle w:val="TableParagraph"/>
              <w:spacing w:before="111"/>
              <w:ind w:left="29"/>
              <w:rPr>
                <w:sz w:val="14"/>
              </w:rPr>
            </w:pPr>
            <w:r>
              <w:rPr>
                <w:color w:val="231F20"/>
                <w:sz w:val="14"/>
              </w:rPr>
              <w:t>No cost</w:t>
            </w:r>
          </w:p>
        </w:tc>
      </w:tr>
      <w:tr w:rsidR="009948F1" w14:paraId="7AF61364" w14:textId="77777777">
        <w:trPr>
          <w:trHeight w:val="324"/>
        </w:trPr>
        <w:tc>
          <w:tcPr>
            <w:tcW w:w="720" w:type="dxa"/>
            <w:gridSpan w:val="2"/>
            <w:vMerge/>
            <w:tcBorders>
              <w:top w:val="nil"/>
              <w:bottom w:val="nil"/>
              <w:right w:val="single" w:sz="6" w:space="0" w:color="231F20"/>
            </w:tcBorders>
          </w:tcPr>
          <w:p w14:paraId="06937E86"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636985D6" w14:textId="77777777" w:rsidR="009948F1" w:rsidRDefault="00BC0563">
            <w:pPr>
              <w:pStyle w:val="TableParagraph"/>
              <w:spacing w:before="83"/>
              <w:ind w:left="52" w:right="30"/>
              <w:jc w:val="center"/>
              <w:rPr>
                <w:sz w:val="14"/>
              </w:rPr>
            </w:pPr>
            <w:r>
              <w:rPr>
                <w:color w:val="231F20"/>
                <w:w w:val="95"/>
                <w:sz w:val="14"/>
              </w:rPr>
              <w:t>5.3.1.b</w:t>
            </w:r>
          </w:p>
        </w:tc>
        <w:tc>
          <w:tcPr>
            <w:tcW w:w="5074" w:type="dxa"/>
            <w:gridSpan w:val="2"/>
            <w:tcBorders>
              <w:top w:val="single" w:sz="6" w:space="0" w:color="231F20"/>
              <w:left w:val="single" w:sz="6" w:space="0" w:color="231F20"/>
              <w:bottom w:val="single" w:sz="6" w:space="0" w:color="231F20"/>
              <w:right w:val="single" w:sz="6" w:space="0" w:color="231F20"/>
            </w:tcBorders>
          </w:tcPr>
          <w:p w14:paraId="6240548E" w14:textId="77777777" w:rsidR="009948F1" w:rsidRDefault="00BC0563">
            <w:pPr>
              <w:pStyle w:val="TableParagraph"/>
              <w:spacing w:before="77"/>
              <w:ind w:left="27"/>
              <w:rPr>
                <w:sz w:val="14"/>
              </w:rPr>
            </w:pPr>
            <w:r>
              <w:rPr>
                <w:color w:val="231F20"/>
                <w:sz w:val="14"/>
              </w:rPr>
              <w:t>Engage</w:t>
            </w:r>
            <w:r>
              <w:rPr>
                <w:color w:val="231F20"/>
                <w:spacing w:val="-26"/>
                <w:sz w:val="14"/>
              </w:rPr>
              <w:t xml:space="preserve"> </w:t>
            </w:r>
            <w:r>
              <w:rPr>
                <w:color w:val="231F20"/>
                <w:sz w:val="14"/>
              </w:rPr>
              <w:t>TBA</w:t>
            </w:r>
            <w:r>
              <w:rPr>
                <w:color w:val="231F20"/>
                <w:spacing w:val="-27"/>
                <w:sz w:val="14"/>
              </w:rPr>
              <w:t xml:space="preserve"> </w:t>
            </w:r>
            <w:r>
              <w:rPr>
                <w:color w:val="231F20"/>
                <w:sz w:val="14"/>
              </w:rPr>
              <w:t>/</w:t>
            </w:r>
            <w:r>
              <w:rPr>
                <w:color w:val="231F20"/>
                <w:spacing w:val="-24"/>
                <w:sz w:val="14"/>
              </w:rPr>
              <w:t xml:space="preserve"> </w:t>
            </w:r>
            <w:r>
              <w:rPr>
                <w:color w:val="231F20"/>
                <w:sz w:val="14"/>
              </w:rPr>
              <w:t>private</w:t>
            </w:r>
            <w:r>
              <w:rPr>
                <w:color w:val="231F20"/>
                <w:spacing w:val="-24"/>
                <w:sz w:val="14"/>
              </w:rPr>
              <w:t xml:space="preserve"> </w:t>
            </w:r>
            <w:r>
              <w:rPr>
                <w:color w:val="231F20"/>
                <w:sz w:val="14"/>
              </w:rPr>
              <w:t>health</w:t>
            </w:r>
            <w:r>
              <w:rPr>
                <w:color w:val="231F20"/>
                <w:spacing w:val="-24"/>
                <w:sz w:val="14"/>
              </w:rPr>
              <w:t xml:space="preserve"> </w:t>
            </w:r>
            <w:r>
              <w:rPr>
                <w:color w:val="231F20"/>
                <w:sz w:val="14"/>
              </w:rPr>
              <w:t>facilities</w:t>
            </w:r>
            <w:r>
              <w:rPr>
                <w:color w:val="231F20"/>
                <w:spacing w:val="-24"/>
                <w:sz w:val="14"/>
              </w:rPr>
              <w:t xml:space="preserve"> </w:t>
            </w:r>
            <w:r>
              <w:rPr>
                <w:color w:val="231F20"/>
                <w:sz w:val="14"/>
              </w:rPr>
              <w:t>to</w:t>
            </w:r>
            <w:r>
              <w:rPr>
                <w:color w:val="231F20"/>
                <w:spacing w:val="-25"/>
                <w:sz w:val="14"/>
              </w:rPr>
              <w:t xml:space="preserve"> </w:t>
            </w:r>
            <w:r>
              <w:rPr>
                <w:color w:val="231F20"/>
                <w:sz w:val="14"/>
              </w:rPr>
              <w:t>provide</w:t>
            </w:r>
            <w:r>
              <w:rPr>
                <w:color w:val="231F20"/>
                <w:spacing w:val="-24"/>
                <w:sz w:val="14"/>
              </w:rPr>
              <w:t xml:space="preserve"> </w:t>
            </w:r>
            <w:r>
              <w:rPr>
                <w:color w:val="231F20"/>
                <w:sz w:val="14"/>
              </w:rPr>
              <w:t>PMTCT</w:t>
            </w:r>
            <w:r>
              <w:rPr>
                <w:color w:val="231F20"/>
                <w:spacing w:val="-25"/>
                <w:sz w:val="14"/>
              </w:rPr>
              <w:t xml:space="preserve"> </w:t>
            </w:r>
            <w:r>
              <w:rPr>
                <w:color w:val="231F20"/>
                <w:sz w:val="14"/>
              </w:rPr>
              <w:t>/</w:t>
            </w:r>
            <w:r>
              <w:rPr>
                <w:color w:val="231F20"/>
                <w:spacing w:val="-24"/>
                <w:sz w:val="14"/>
              </w:rPr>
              <w:t xml:space="preserve"> </w:t>
            </w:r>
            <w:r>
              <w:rPr>
                <w:color w:val="231F20"/>
                <w:sz w:val="14"/>
              </w:rPr>
              <w:t>HTS</w:t>
            </w:r>
            <w:r>
              <w:rPr>
                <w:color w:val="231F20"/>
                <w:spacing w:val="-24"/>
                <w:sz w:val="14"/>
              </w:rPr>
              <w:t xml:space="preserve"> </w:t>
            </w:r>
            <w:r>
              <w:rPr>
                <w:color w:val="231F20"/>
                <w:sz w:val="14"/>
              </w:rPr>
              <w:t>services</w:t>
            </w:r>
            <w:r>
              <w:rPr>
                <w:color w:val="231F20"/>
                <w:spacing w:val="-24"/>
                <w:sz w:val="14"/>
              </w:rPr>
              <w:t xml:space="preserve"> </w:t>
            </w:r>
            <w:r>
              <w:rPr>
                <w:color w:val="231F20"/>
                <w:sz w:val="14"/>
              </w:rPr>
              <w:t>in</w:t>
            </w:r>
            <w:r>
              <w:rPr>
                <w:color w:val="231F20"/>
                <w:spacing w:val="-25"/>
                <w:sz w:val="14"/>
              </w:rPr>
              <w:t xml:space="preserve"> </w:t>
            </w:r>
            <w:r>
              <w:rPr>
                <w:color w:val="231F20"/>
                <w:sz w:val="14"/>
              </w:rPr>
              <w:t>23</w:t>
            </w:r>
            <w:r>
              <w:rPr>
                <w:color w:val="231F20"/>
                <w:spacing w:val="-24"/>
                <w:sz w:val="14"/>
              </w:rPr>
              <w:t xml:space="preserve"> </w:t>
            </w:r>
            <w:r>
              <w:rPr>
                <w:color w:val="231F20"/>
                <w:sz w:val="14"/>
              </w:rPr>
              <w:t>LGAs</w:t>
            </w:r>
          </w:p>
        </w:tc>
        <w:tc>
          <w:tcPr>
            <w:tcW w:w="1479" w:type="dxa"/>
            <w:tcBorders>
              <w:top w:val="single" w:sz="6" w:space="0" w:color="231F20"/>
              <w:left w:val="single" w:sz="6" w:space="0" w:color="231F20"/>
              <w:bottom w:val="single" w:sz="6" w:space="0" w:color="231F20"/>
              <w:right w:val="single" w:sz="6" w:space="0" w:color="231F20"/>
            </w:tcBorders>
          </w:tcPr>
          <w:p w14:paraId="58F8C86A" w14:textId="77777777" w:rsidR="009948F1" w:rsidRDefault="00BC0563">
            <w:pPr>
              <w:pStyle w:val="TableParagraph"/>
              <w:spacing w:before="83"/>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5B2D7BDF" w14:textId="77777777" w:rsidR="009948F1" w:rsidRDefault="00BC0563">
            <w:pPr>
              <w:pStyle w:val="TableParagraph"/>
              <w:spacing w:line="170" w:lineRule="exact"/>
              <w:ind w:left="29" w:right="259"/>
              <w:rPr>
                <w:sz w:val="14"/>
              </w:rPr>
            </w:pPr>
            <w:r>
              <w:rPr>
                <w:color w:val="231F20"/>
                <w:w w:val="95"/>
                <w:sz w:val="14"/>
              </w:rPr>
              <w:t xml:space="preserve">Engage TBA / </w:t>
            </w:r>
            <w:r>
              <w:rPr>
                <w:color w:val="231F20"/>
                <w:spacing w:val="-4"/>
                <w:w w:val="95"/>
                <w:sz w:val="14"/>
              </w:rPr>
              <w:t xml:space="preserve">private </w:t>
            </w:r>
            <w:r>
              <w:rPr>
                <w:color w:val="231F20"/>
                <w:sz w:val="14"/>
              </w:rPr>
              <w:t>health facilities</w:t>
            </w:r>
          </w:p>
        </w:tc>
      </w:tr>
      <w:tr w:rsidR="009948F1" w14:paraId="22372CD3" w14:textId="77777777">
        <w:trPr>
          <w:trHeight w:val="432"/>
        </w:trPr>
        <w:tc>
          <w:tcPr>
            <w:tcW w:w="720" w:type="dxa"/>
            <w:gridSpan w:val="2"/>
            <w:vMerge/>
            <w:tcBorders>
              <w:top w:val="nil"/>
              <w:bottom w:val="nil"/>
              <w:right w:val="single" w:sz="6" w:space="0" w:color="231F20"/>
            </w:tcBorders>
          </w:tcPr>
          <w:p w14:paraId="4D52ED6C"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016B1916" w14:textId="77777777" w:rsidR="009948F1" w:rsidRDefault="009948F1">
            <w:pPr>
              <w:pStyle w:val="TableParagraph"/>
              <w:spacing w:before="3"/>
              <w:rPr>
                <w:sz w:val="11"/>
              </w:rPr>
            </w:pPr>
          </w:p>
          <w:p w14:paraId="04AE1419" w14:textId="77777777" w:rsidR="009948F1" w:rsidRDefault="00BC0563">
            <w:pPr>
              <w:pStyle w:val="TableParagraph"/>
              <w:ind w:left="52" w:right="29"/>
              <w:jc w:val="center"/>
              <w:rPr>
                <w:sz w:val="14"/>
              </w:rPr>
            </w:pPr>
            <w:r>
              <w:rPr>
                <w:color w:val="231F20"/>
                <w:w w:val="95"/>
                <w:sz w:val="14"/>
              </w:rPr>
              <w:t>5.3.1.c</w:t>
            </w:r>
          </w:p>
        </w:tc>
        <w:tc>
          <w:tcPr>
            <w:tcW w:w="5074" w:type="dxa"/>
            <w:gridSpan w:val="2"/>
            <w:tcBorders>
              <w:top w:val="single" w:sz="6" w:space="0" w:color="231F20"/>
              <w:left w:val="single" w:sz="6" w:space="0" w:color="231F20"/>
              <w:bottom w:val="single" w:sz="6" w:space="0" w:color="231F20"/>
              <w:right w:val="single" w:sz="6" w:space="0" w:color="231F20"/>
            </w:tcBorders>
          </w:tcPr>
          <w:p w14:paraId="2545B1EA" w14:textId="77777777" w:rsidR="009948F1" w:rsidRDefault="00BC0563">
            <w:pPr>
              <w:pStyle w:val="TableParagraph"/>
              <w:spacing w:before="123"/>
              <w:ind w:left="27"/>
              <w:rPr>
                <w:sz w:val="14"/>
              </w:rPr>
            </w:pPr>
            <w:r>
              <w:rPr>
                <w:color w:val="231F20"/>
                <w:sz w:val="14"/>
              </w:rPr>
              <w:t>Conduct HTS in communities in 23 LGAs</w:t>
            </w:r>
          </w:p>
        </w:tc>
        <w:tc>
          <w:tcPr>
            <w:tcW w:w="1479" w:type="dxa"/>
            <w:tcBorders>
              <w:top w:val="single" w:sz="6" w:space="0" w:color="231F20"/>
              <w:left w:val="single" w:sz="6" w:space="0" w:color="231F20"/>
              <w:bottom w:val="single" w:sz="6" w:space="0" w:color="231F20"/>
              <w:right w:val="single" w:sz="6" w:space="0" w:color="231F20"/>
            </w:tcBorders>
          </w:tcPr>
          <w:p w14:paraId="7DC73122" w14:textId="77777777" w:rsidR="009948F1" w:rsidRDefault="009948F1">
            <w:pPr>
              <w:pStyle w:val="TableParagraph"/>
              <w:spacing w:before="3"/>
              <w:rPr>
                <w:sz w:val="11"/>
              </w:rPr>
            </w:pPr>
          </w:p>
          <w:p w14:paraId="5DB4DF12"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7EDEA58E" w14:textId="77777777" w:rsidR="009948F1" w:rsidRDefault="009948F1">
            <w:pPr>
              <w:pStyle w:val="TableParagraph"/>
              <w:spacing w:before="3"/>
              <w:rPr>
                <w:sz w:val="11"/>
              </w:rPr>
            </w:pPr>
          </w:p>
          <w:p w14:paraId="3E8227A1" w14:textId="77777777" w:rsidR="009948F1" w:rsidRDefault="00BC0563">
            <w:pPr>
              <w:pStyle w:val="TableParagraph"/>
              <w:ind w:left="29"/>
              <w:rPr>
                <w:sz w:val="14"/>
              </w:rPr>
            </w:pPr>
            <w:r>
              <w:rPr>
                <w:color w:val="231F20"/>
                <w:sz w:val="14"/>
              </w:rPr>
              <w:t>Conduct HTS</w:t>
            </w:r>
          </w:p>
        </w:tc>
      </w:tr>
      <w:tr w:rsidR="009948F1" w14:paraId="1D1AB59C" w14:textId="77777777">
        <w:trPr>
          <w:trHeight w:val="341"/>
        </w:trPr>
        <w:tc>
          <w:tcPr>
            <w:tcW w:w="720" w:type="dxa"/>
            <w:gridSpan w:val="2"/>
            <w:vMerge/>
            <w:tcBorders>
              <w:top w:val="nil"/>
              <w:bottom w:val="nil"/>
              <w:right w:val="single" w:sz="6" w:space="0" w:color="231F20"/>
            </w:tcBorders>
          </w:tcPr>
          <w:p w14:paraId="39BF4C41"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7ADD3CE4" w14:textId="77777777" w:rsidR="009948F1" w:rsidRDefault="00BC0563">
            <w:pPr>
              <w:pStyle w:val="TableParagraph"/>
              <w:spacing w:before="92"/>
              <w:ind w:left="52" w:right="30"/>
              <w:jc w:val="center"/>
              <w:rPr>
                <w:sz w:val="14"/>
              </w:rPr>
            </w:pPr>
            <w:r>
              <w:rPr>
                <w:color w:val="231F20"/>
                <w:w w:val="95"/>
                <w:sz w:val="14"/>
              </w:rPr>
              <w:t>5.3.1.d</w:t>
            </w:r>
          </w:p>
        </w:tc>
        <w:tc>
          <w:tcPr>
            <w:tcW w:w="5074" w:type="dxa"/>
            <w:gridSpan w:val="2"/>
            <w:tcBorders>
              <w:top w:val="single" w:sz="6" w:space="0" w:color="231F20"/>
              <w:left w:val="single" w:sz="6" w:space="0" w:color="231F20"/>
              <w:bottom w:val="single" w:sz="6" w:space="0" w:color="231F20"/>
              <w:right w:val="single" w:sz="6" w:space="0" w:color="231F20"/>
            </w:tcBorders>
          </w:tcPr>
          <w:p w14:paraId="1475EA85" w14:textId="77777777" w:rsidR="009948F1" w:rsidRDefault="00BC0563">
            <w:pPr>
              <w:pStyle w:val="TableParagraph"/>
              <w:spacing w:before="5"/>
              <w:ind w:left="27"/>
              <w:rPr>
                <w:sz w:val="14"/>
              </w:rPr>
            </w:pPr>
            <w:r>
              <w:rPr>
                <w:color w:val="231F20"/>
                <w:w w:val="95"/>
                <w:sz w:val="14"/>
              </w:rPr>
              <w:t>Carry</w:t>
            </w:r>
            <w:r>
              <w:rPr>
                <w:color w:val="231F20"/>
                <w:spacing w:val="-21"/>
                <w:w w:val="95"/>
                <w:sz w:val="14"/>
              </w:rPr>
              <w:t xml:space="preserve"> </w:t>
            </w:r>
            <w:r>
              <w:rPr>
                <w:color w:val="231F20"/>
                <w:w w:val="95"/>
                <w:sz w:val="14"/>
              </w:rPr>
              <w:t>out</w:t>
            </w:r>
            <w:r>
              <w:rPr>
                <w:color w:val="231F20"/>
                <w:spacing w:val="-21"/>
                <w:w w:val="95"/>
                <w:sz w:val="14"/>
              </w:rPr>
              <w:t xml:space="preserve"> </w:t>
            </w:r>
            <w:r>
              <w:rPr>
                <w:color w:val="231F20"/>
                <w:w w:val="95"/>
                <w:sz w:val="14"/>
              </w:rPr>
              <w:t>advocacy</w:t>
            </w:r>
            <w:r>
              <w:rPr>
                <w:color w:val="231F20"/>
                <w:spacing w:val="-20"/>
                <w:w w:val="95"/>
                <w:sz w:val="14"/>
              </w:rPr>
              <w:t xml:space="preserve"> </w:t>
            </w:r>
            <w:r>
              <w:rPr>
                <w:color w:val="231F20"/>
                <w:w w:val="95"/>
                <w:sz w:val="14"/>
              </w:rPr>
              <w:t>visit</w:t>
            </w:r>
            <w:r>
              <w:rPr>
                <w:color w:val="231F20"/>
                <w:spacing w:val="-21"/>
                <w:w w:val="95"/>
                <w:sz w:val="14"/>
              </w:rPr>
              <w:t xml:space="preserve"> </w:t>
            </w:r>
            <w:r>
              <w:rPr>
                <w:color w:val="231F20"/>
                <w:w w:val="95"/>
                <w:sz w:val="14"/>
              </w:rPr>
              <w:t>to</w:t>
            </w:r>
            <w:r>
              <w:rPr>
                <w:color w:val="231F20"/>
                <w:spacing w:val="-20"/>
                <w:w w:val="95"/>
                <w:sz w:val="14"/>
              </w:rPr>
              <w:t xml:space="preserve"> </w:t>
            </w:r>
            <w:r>
              <w:rPr>
                <w:color w:val="231F20"/>
                <w:w w:val="95"/>
                <w:sz w:val="14"/>
              </w:rPr>
              <w:t>CBO</w:t>
            </w:r>
            <w:r>
              <w:rPr>
                <w:color w:val="231F20"/>
                <w:spacing w:val="-21"/>
                <w:w w:val="95"/>
                <w:sz w:val="14"/>
              </w:rPr>
              <w:t xml:space="preserve"> </w:t>
            </w:r>
            <w:r>
              <w:rPr>
                <w:color w:val="231F20"/>
                <w:w w:val="95"/>
                <w:sz w:val="14"/>
              </w:rPr>
              <w:t>to</w:t>
            </w:r>
            <w:r>
              <w:rPr>
                <w:color w:val="231F20"/>
                <w:spacing w:val="-20"/>
                <w:w w:val="95"/>
                <w:sz w:val="14"/>
              </w:rPr>
              <w:t xml:space="preserve"> </w:t>
            </w:r>
            <w:r>
              <w:rPr>
                <w:color w:val="231F20"/>
                <w:w w:val="95"/>
                <w:sz w:val="14"/>
              </w:rPr>
              <w:t>link</w:t>
            </w:r>
            <w:r>
              <w:rPr>
                <w:color w:val="231F20"/>
                <w:spacing w:val="-21"/>
                <w:w w:val="95"/>
                <w:sz w:val="14"/>
              </w:rPr>
              <w:t xml:space="preserve"> </w:t>
            </w:r>
            <w:r>
              <w:rPr>
                <w:color w:val="231F20"/>
                <w:w w:val="95"/>
                <w:sz w:val="14"/>
              </w:rPr>
              <w:t>with</w:t>
            </w:r>
            <w:r>
              <w:rPr>
                <w:color w:val="231F20"/>
                <w:spacing w:val="-20"/>
                <w:w w:val="95"/>
                <w:sz w:val="14"/>
              </w:rPr>
              <w:t xml:space="preserve"> </w:t>
            </w:r>
            <w:r>
              <w:rPr>
                <w:color w:val="231F20"/>
                <w:w w:val="95"/>
                <w:sz w:val="14"/>
              </w:rPr>
              <w:t>health</w:t>
            </w:r>
            <w:r>
              <w:rPr>
                <w:color w:val="231F20"/>
                <w:spacing w:val="-21"/>
                <w:w w:val="95"/>
                <w:sz w:val="14"/>
              </w:rPr>
              <w:t xml:space="preserve"> </w:t>
            </w:r>
            <w:r>
              <w:rPr>
                <w:color w:val="231F20"/>
                <w:w w:val="95"/>
                <w:sz w:val="14"/>
              </w:rPr>
              <w:t>facilities</w:t>
            </w:r>
            <w:r>
              <w:rPr>
                <w:color w:val="231F20"/>
                <w:spacing w:val="-20"/>
                <w:w w:val="95"/>
                <w:sz w:val="14"/>
              </w:rPr>
              <w:t xml:space="preserve"> </w:t>
            </w:r>
            <w:r>
              <w:rPr>
                <w:color w:val="231F20"/>
                <w:w w:val="95"/>
                <w:sz w:val="14"/>
              </w:rPr>
              <w:t>to</w:t>
            </w:r>
            <w:r>
              <w:rPr>
                <w:color w:val="231F20"/>
                <w:spacing w:val="-21"/>
                <w:w w:val="95"/>
                <w:sz w:val="14"/>
              </w:rPr>
              <w:t xml:space="preserve"> </w:t>
            </w:r>
            <w:r>
              <w:rPr>
                <w:color w:val="231F20"/>
                <w:w w:val="95"/>
                <w:sz w:val="14"/>
              </w:rPr>
              <w:t>promote</w:t>
            </w:r>
            <w:r>
              <w:rPr>
                <w:color w:val="231F20"/>
                <w:spacing w:val="-20"/>
                <w:w w:val="95"/>
                <w:sz w:val="14"/>
              </w:rPr>
              <w:t xml:space="preserve"> </w:t>
            </w:r>
            <w:r>
              <w:rPr>
                <w:color w:val="231F20"/>
                <w:w w:val="95"/>
                <w:sz w:val="14"/>
              </w:rPr>
              <w:t>client</w:t>
            </w:r>
            <w:r>
              <w:rPr>
                <w:color w:val="231F20"/>
                <w:spacing w:val="-21"/>
                <w:w w:val="95"/>
                <w:sz w:val="14"/>
              </w:rPr>
              <w:t xml:space="preserve"> </w:t>
            </w:r>
            <w:r>
              <w:rPr>
                <w:color w:val="231F20"/>
                <w:w w:val="95"/>
                <w:sz w:val="14"/>
              </w:rPr>
              <w:t>tracking</w:t>
            </w:r>
            <w:r>
              <w:rPr>
                <w:color w:val="231F20"/>
                <w:spacing w:val="-20"/>
                <w:w w:val="95"/>
                <w:sz w:val="14"/>
              </w:rPr>
              <w:t xml:space="preserve"> </w:t>
            </w:r>
            <w:r>
              <w:rPr>
                <w:color w:val="231F20"/>
                <w:w w:val="95"/>
                <w:sz w:val="14"/>
              </w:rPr>
              <w:t>in</w:t>
            </w:r>
            <w:r>
              <w:rPr>
                <w:color w:val="231F20"/>
                <w:spacing w:val="-21"/>
                <w:w w:val="95"/>
                <w:sz w:val="14"/>
              </w:rPr>
              <w:t xml:space="preserve"> </w:t>
            </w:r>
            <w:r>
              <w:rPr>
                <w:color w:val="231F20"/>
                <w:w w:val="95"/>
                <w:sz w:val="14"/>
              </w:rPr>
              <w:t>all</w:t>
            </w:r>
          </w:p>
          <w:p w14:paraId="0AB2B52E" w14:textId="77777777" w:rsidR="009948F1" w:rsidRDefault="00BC0563">
            <w:pPr>
              <w:pStyle w:val="TableParagraph"/>
              <w:spacing w:before="20" w:line="135" w:lineRule="exact"/>
              <w:ind w:left="27"/>
              <w:rPr>
                <w:sz w:val="14"/>
              </w:rPr>
            </w:pPr>
            <w:r>
              <w:rPr>
                <w:color w:val="231F20"/>
                <w:sz w:val="14"/>
              </w:rPr>
              <w:t>PHC</w:t>
            </w:r>
          </w:p>
        </w:tc>
        <w:tc>
          <w:tcPr>
            <w:tcW w:w="1479" w:type="dxa"/>
            <w:tcBorders>
              <w:top w:val="single" w:sz="6" w:space="0" w:color="231F20"/>
              <w:left w:val="single" w:sz="6" w:space="0" w:color="231F20"/>
              <w:bottom w:val="single" w:sz="6" w:space="0" w:color="231F20"/>
              <w:right w:val="single" w:sz="6" w:space="0" w:color="231F20"/>
            </w:tcBorders>
          </w:tcPr>
          <w:p w14:paraId="04DD566B" w14:textId="77777777" w:rsidR="009948F1" w:rsidRDefault="00BC0563">
            <w:pPr>
              <w:pStyle w:val="TableParagraph"/>
              <w:spacing w:before="92"/>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3A48FCE5" w14:textId="77777777" w:rsidR="009948F1" w:rsidRDefault="00BC0563">
            <w:pPr>
              <w:pStyle w:val="TableParagraph"/>
              <w:spacing w:before="92"/>
              <w:ind w:left="29"/>
              <w:rPr>
                <w:sz w:val="14"/>
              </w:rPr>
            </w:pPr>
            <w:r>
              <w:rPr>
                <w:color w:val="231F20"/>
                <w:sz w:val="14"/>
              </w:rPr>
              <w:t>Conduct advocacy visit</w:t>
            </w:r>
          </w:p>
        </w:tc>
      </w:tr>
      <w:tr w:rsidR="009948F1" w14:paraId="13EFB67D" w14:textId="77777777">
        <w:trPr>
          <w:trHeight w:val="886"/>
        </w:trPr>
        <w:tc>
          <w:tcPr>
            <w:tcW w:w="249" w:type="dxa"/>
            <w:tcBorders>
              <w:top w:val="nil"/>
              <w:bottom w:val="nil"/>
              <w:right w:val="single" w:sz="6" w:space="0" w:color="231F20"/>
            </w:tcBorders>
          </w:tcPr>
          <w:p w14:paraId="24B5E20A" w14:textId="77777777" w:rsidR="009948F1" w:rsidRDefault="009948F1">
            <w:pPr>
              <w:pStyle w:val="TableParagraph"/>
              <w:rPr>
                <w:rFonts w:ascii="Times New Roman"/>
                <w:sz w:val="12"/>
              </w:rPr>
            </w:pPr>
          </w:p>
        </w:tc>
        <w:tc>
          <w:tcPr>
            <w:tcW w:w="471" w:type="dxa"/>
            <w:tcBorders>
              <w:top w:val="single" w:sz="6" w:space="0" w:color="231F20"/>
              <w:left w:val="single" w:sz="6" w:space="0" w:color="231F20"/>
              <w:bottom w:val="single" w:sz="6" w:space="0" w:color="231F20"/>
              <w:right w:val="single" w:sz="6" w:space="0" w:color="231F20"/>
            </w:tcBorders>
            <w:shd w:val="clear" w:color="auto" w:fill="CCE7D3"/>
          </w:tcPr>
          <w:p w14:paraId="70AD4E3B" w14:textId="77777777" w:rsidR="009948F1" w:rsidRDefault="009948F1">
            <w:pPr>
              <w:pStyle w:val="TableParagraph"/>
              <w:rPr>
                <w:sz w:val="14"/>
              </w:rPr>
            </w:pPr>
          </w:p>
          <w:p w14:paraId="439F1AE7" w14:textId="77777777" w:rsidR="009948F1" w:rsidRDefault="009948F1">
            <w:pPr>
              <w:pStyle w:val="TableParagraph"/>
              <w:spacing w:before="8"/>
              <w:rPr>
                <w:sz w:val="17"/>
              </w:rPr>
            </w:pPr>
          </w:p>
          <w:p w14:paraId="49D7F84B" w14:textId="77777777" w:rsidR="009948F1" w:rsidRDefault="00BC0563">
            <w:pPr>
              <w:pStyle w:val="TableParagraph"/>
              <w:ind w:left="60"/>
              <w:rPr>
                <w:sz w:val="14"/>
              </w:rPr>
            </w:pPr>
            <w:r>
              <w:rPr>
                <w:color w:val="231F20"/>
                <w:sz w:val="14"/>
              </w:rPr>
              <w:t>5.3.2</w:t>
            </w:r>
          </w:p>
        </w:tc>
        <w:tc>
          <w:tcPr>
            <w:tcW w:w="3148" w:type="dxa"/>
            <w:gridSpan w:val="2"/>
            <w:tcBorders>
              <w:top w:val="single" w:sz="6" w:space="0" w:color="231F20"/>
              <w:left w:val="single" w:sz="6" w:space="0" w:color="231F20"/>
              <w:bottom w:val="single" w:sz="6" w:space="0" w:color="231F20"/>
              <w:right w:val="single" w:sz="6" w:space="0" w:color="231F20"/>
            </w:tcBorders>
            <w:shd w:val="clear" w:color="auto" w:fill="CCE7D3"/>
          </w:tcPr>
          <w:p w14:paraId="7D5D300E" w14:textId="77777777" w:rsidR="009948F1" w:rsidRDefault="009948F1">
            <w:pPr>
              <w:pStyle w:val="TableParagraph"/>
              <w:rPr>
                <w:sz w:val="14"/>
              </w:rPr>
            </w:pPr>
          </w:p>
          <w:p w14:paraId="7B098EFB" w14:textId="77777777" w:rsidR="009948F1" w:rsidRDefault="00BC0563">
            <w:pPr>
              <w:pStyle w:val="TableParagraph"/>
              <w:spacing w:before="107" w:line="271" w:lineRule="auto"/>
              <w:ind w:left="26" w:right="104" w:firstLine="34"/>
              <w:rPr>
                <w:sz w:val="14"/>
              </w:rPr>
            </w:pPr>
            <w:r>
              <w:rPr>
                <w:color w:val="231F20"/>
                <w:w w:val="90"/>
                <w:sz w:val="14"/>
              </w:rPr>
              <w:t xml:space="preserve">Expand access of people living with HIV and AIDS to </w:t>
            </w:r>
            <w:r>
              <w:rPr>
                <w:color w:val="231F20"/>
                <w:sz w:val="14"/>
              </w:rPr>
              <w:t>ART and co-infection management services.</w:t>
            </w:r>
          </w:p>
        </w:tc>
        <w:tc>
          <w:tcPr>
            <w:tcW w:w="2471" w:type="dxa"/>
            <w:tcBorders>
              <w:top w:val="single" w:sz="6" w:space="0" w:color="231F20"/>
              <w:left w:val="single" w:sz="6" w:space="0" w:color="231F20"/>
              <w:bottom w:val="single" w:sz="6" w:space="0" w:color="231F20"/>
              <w:right w:val="single" w:sz="6" w:space="0" w:color="231F20"/>
            </w:tcBorders>
            <w:shd w:val="clear" w:color="auto" w:fill="CCE7D3"/>
          </w:tcPr>
          <w:p w14:paraId="38BF23CD" w14:textId="77777777" w:rsidR="009948F1" w:rsidRDefault="00BC0563">
            <w:pPr>
              <w:pStyle w:val="TableParagraph"/>
              <w:numPr>
                <w:ilvl w:val="0"/>
                <w:numId w:val="149"/>
              </w:numPr>
              <w:tabs>
                <w:tab w:val="left" w:pos="106"/>
              </w:tabs>
              <w:spacing w:before="5" w:line="271" w:lineRule="auto"/>
              <w:ind w:right="170" w:firstLine="0"/>
              <w:rPr>
                <w:sz w:val="14"/>
              </w:rPr>
            </w:pPr>
            <w:r>
              <w:rPr>
                <w:color w:val="231F20"/>
                <w:w w:val="90"/>
                <w:sz w:val="14"/>
              </w:rPr>
              <w:t>Inactive</w:t>
            </w:r>
            <w:r>
              <w:rPr>
                <w:color w:val="231F20"/>
                <w:spacing w:val="-15"/>
                <w:w w:val="90"/>
                <w:sz w:val="14"/>
              </w:rPr>
              <w:t xml:space="preserve"> </w:t>
            </w:r>
            <w:r>
              <w:rPr>
                <w:color w:val="231F20"/>
                <w:w w:val="90"/>
                <w:sz w:val="14"/>
              </w:rPr>
              <w:t>ART</w:t>
            </w:r>
            <w:r>
              <w:rPr>
                <w:color w:val="231F20"/>
                <w:spacing w:val="-10"/>
                <w:w w:val="90"/>
                <w:sz w:val="14"/>
              </w:rPr>
              <w:t xml:space="preserve"> </w:t>
            </w:r>
            <w:r>
              <w:rPr>
                <w:color w:val="231F20"/>
                <w:w w:val="90"/>
                <w:sz w:val="14"/>
              </w:rPr>
              <w:t>sites</w:t>
            </w:r>
            <w:r>
              <w:rPr>
                <w:color w:val="231F20"/>
                <w:spacing w:val="-9"/>
                <w:w w:val="90"/>
                <w:sz w:val="14"/>
              </w:rPr>
              <w:t xml:space="preserve"> </w:t>
            </w:r>
            <w:r>
              <w:rPr>
                <w:color w:val="231F20"/>
                <w:w w:val="90"/>
                <w:sz w:val="14"/>
              </w:rPr>
              <w:t>in</w:t>
            </w:r>
            <w:r>
              <w:rPr>
                <w:color w:val="231F20"/>
                <w:spacing w:val="-9"/>
                <w:w w:val="90"/>
                <w:sz w:val="14"/>
              </w:rPr>
              <w:t xml:space="preserve"> </w:t>
            </w:r>
            <w:r>
              <w:rPr>
                <w:color w:val="231F20"/>
                <w:w w:val="90"/>
                <w:sz w:val="14"/>
              </w:rPr>
              <w:t>PHC</w:t>
            </w:r>
            <w:r>
              <w:rPr>
                <w:color w:val="231F20"/>
                <w:spacing w:val="-8"/>
                <w:w w:val="90"/>
                <w:sz w:val="14"/>
              </w:rPr>
              <w:t xml:space="preserve"> </w:t>
            </w:r>
            <w:r>
              <w:rPr>
                <w:color w:val="231F20"/>
                <w:w w:val="90"/>
                <w:sz w:val="14"/>
              </w:rPr>
              <w:t>facilities</w:t>
            </w:r>
            <w:r>
              <w:rPr>
                <w:color w:val="231F20"/>
                <w:spacing w:val="-9"/>
                <w:w w:val="90"/>
                <w:sz w:val="14"/>
              </w:rPr>
              <w:t xml:space="preserve"> </w:t>
            </w:r>
            <w:r>
              <w:rPr>
                <w:color w:val="231F20"/>
                <w:w w:val="90"/>
                <w:sz w:val="14"/>
              </w:rPr>
              <w:t>in</w:t>
            </w:r>
            <w:r>
              <w:rPr>
                <w:color w:val="231F20"/>
                <w:spacing w:val="-9"/>
                <w:w w:val="90"/>
                <w:sz w:val="14"/>
              </w:rPr>
              <w:t xml:space="preserve"> </w:t>
            </w:r>
            <w:r>
              <w:rPr>
                <w:color w:val="231F20"/>
                <w:w w:val="90"/>
                <w:sz w:val="14"/>
              </w:rPr>
              <w:t xml:space="preserve">23 </w:t>
            </w:r>
            <w:r>
              <w:rPr>
                <w:color w:val="231F20"/>
                <w:sz w:val="14"/>
              </w:rPr>
              <w:t>LGAs</w:t>
            </w:r>
            <w:r>
              <w:rPr>
                <w:color w:val="231F20"/>
                <w:spacing w:val="-27"/>
                <w:sz w:val="14"/>
              </w:rPr>
              <w:t xml:space="preserve"> </w:t>
            </w:r>
            <w:r>
              <w:rPr>
                <w:color w:val="231F20"/>
                <w:sz w:val="14"/>
              </w:rPr>
              <w:t>activated</w:t>
            </w:r>
            <w:r>
              <w:rPr>
                <w:color w:val="231F20"/>
                <w:spacing w:val="-26"/>
                <w:sz w:val="14"/>
              </w:rPr>
              <w:t xml:space="preserve"> </w:t>
            </w:r>
            <w:r>
              <w:rPr>
                <w:color w:val="231F20"/>
                <w:sz w:val="14"/>
              </w:rPr>
              <w:t>and</w:t>
            </w:r>
            <w:r>
              <w:rPr>
                <w:color w:val="231F20"/>
                <w:spacing w:val="-27"/>
                <w:sz w:val="14"/>
              </w:rPr>
              <w:t xml:space="preserve"> </w:t>
            </w:r>
            <w:r>
              <w:rPr>
                <w:color w:val="231F20"/>
                <w:sz w:val="14"/>
              </w:rPr>
              <w:t>250</w:t>
            </w:r>
            <w:r>
              <w:rPr>
                <w:color w:val="231F20"/>
                <w:spacing w:val="-26"/>
                <w:sz w:val="14"/>
              </w:rPr>
              <w:t xml:space="preserve"> </w:t>
            </w:r>
            <w:r>
              <w:rPr>
                <w:color w:val="231F20"/>
                <w:sz w:val="14"/>
              </w:rPr>
              <w:t>HWs</w:t>
            </w:r>
            <w:r>
              <w:rPr>
                <w:color w:val="231F20"/>
                <w:spacing w:val="-27"/>
                <w:sz w:val="14"/>
              </w:rPr>
              <w:t xml:space="preserve"> </w:t>
            </w:r>
            <w:r>
              <w:rPr>
                <w:color w:val="231F20"/>
                <w:sz w:val="14"/>
              </w:rPr>
              <w:t>trained</w:t>
            </w:r>
          </w:p>
          <w:p w14:paraId="17CD499D" w14:textId="77777777" w:rsidR="009948F1" w:rsidRDefault="00BC0563">
            <w:pPr>
              <w:pStyle w:val="TableParagraph"/>
              <w:numPr>
                <w:ilvl w:val="0"/>
                <w:numId w:val="149"/>
              </w:numPr>
              <w:tabs>
                <w:tab w:val="left" w:pos="72"/>
              </w:tabs>
              <w:spacing w:line="271" w:lineRule="auto"/>
              <w:ind w:right="152" w:firstLine="0"/>
              <w:rPr>
                <w:sz w:val="14"/>
              </w:rPr>
            </w:pPr>
            <w:r>
              <w:rPr>
                <w:color w:val="231F20"/>
                <w:w w:val="90"/>
                <w:sz w:val="14"/>
              </w:rPr>
              <w:t>Inactive</w:t>
            </w:r>
            <w:r>
              <w:rPr>
                <w:color w:val="231F20"/>
                <w:spacing w:val="-12"/>
                <w:w w:val="90"/>
                <w:sz w:val="14"/>
              </w:rPr>
              <w:t xml:space="preserve"> </w:t>
            </w:r>
            <w:r>
              <w:rPr>
                <w:color w:val="231F20"/>
                <w:w w:val="90"/>
                <w:sz w:val="14"/>
              </w:rPr>
              <w:t>PMTCT/HTS</w:t>
            </w:r>
            <w:r>
              <w:rPr>
                <w:color w:val="231F20"/>
                <w:spacing w:val="-12"/>
                <w:w w:val="90"/>
                <w:sz w:val="14"/>
              </w:rPr>
              <w:t xml:space="preserve"> </w:t>
            </w:r>
            <w:r>
              <w:rPr>
                <w:color w:val="231F20"/>
                <w:w w:val="90"/>
                <w:sz w:val="14"/>
              </w:rPr>
              <w:t>sites</w:t>
            </w:r>
            <w:r>
              <w:rPr>
                <w:color w:val="231F20"/>
                <w:spacing w:val="-12"/>
                <w:w w:val="90"/>
                <w:sz w:val="14"/>
              </w:rPr>
              <w:t xml:space="preserve"> </w:t>
            </w:r>
            <w:r>
              <w:rPr>
                <w:color w:val="231F20"/>
                <w:w w:val="90"/>
                <w:sz w:val="14"/>
              </w:rPr>
              <w:t>activated</w:t>
            </w:r>
            <w:r>
              <w:rPr>
                <w:color w:val="231F20"/>
                <w:spacing w:val="-12"/>
                <w:w w:val="90"/>
                <w:sz w:val="14"/>
              </w:rPr>
              <w:t xml:space="preserve"> </w:t>
            </w:r>
            <w:r>
              <w:rPr>
                <w:color w:val="231F20"/>
                <w:w w:val="90"/>
                <w:sz w:val="14"/>
              </w:rPr>
              <w:t>&amp;</w:t>
            </w:r>
            <w:r>
              <w:rPr>
                <w:color w:val="231F20"/>
                <w:spacing w:val="-11"/>
                <w:w w:val="90"/>
                <w:sz w:val="14"/>
              </w:rPr>
              <w:t xml:space="preserve"> </w:t>
            </w:r>
            <w:r>
              <w:rPr>
                <w:color w:val="231F20"/>
                <w:w w:val="90"/>
                <w:sz w:val="14"/>
              </w:rPr>
              <w:t xml:space="preserve">at </w:t>
            </w:r>
            <w:r>
              <w:rPr>
                <w:color w:val="231F20"/>
                <w:sz w:val="14"/>
              </w:rPr>
              <w:t>least 250 HWs</w:t>
            </w:r>
            <w:r>
              <w:rPr>
                <w:color w:val="231F20"/>
                <w:spacing w:val="-29"/>
                <w:sz w:val="14"/>
              </w:rPr>
              <w:t xml:space="preserve"> </w:t>
            </w:r>
            <w:r>
              <w:rPr>
                <w:color w:val="231F20"/>
                <w:sz w:val="14"/>
              </w:rPr>
              <w:t>trained</w:t>
            </w:r>
          </w:p>
          <w:p w14:paraId="398DD338" w14:textId="77777777" w:rsidR="009948F1" w:rsidRDefault="00BC0563">
            <w:pPr>
              <w:pStyle w:val="TableParagraph"/>
              <w:spacing w:line="134" w:lineRule="exact"/>
              <w:ind w:left="27"/>
              <w:rPr>
                <w:sz w:val="14"/>
              </w:rPr>
            </w:pPr>
            <w:r>
              <w:rPr>
                <w:color w:val="231F20"/>
                <w:w w:val="87"/>
                <w:sz w:val="14"/>
              </w:rPr>
              <w:t>•</w:t>
            </w:r>
          </w:p>
        </w:tc>
        <w:tc>
          <w:tcPr>
            <w:tcW w:w="1479" w:type="dxa"/>
            <w:tcBorders>
              <w:top w:val="single" w:sz="6" w:space="0" w:color="231F20"/>
              <w:left w:val="single" w:sz="6" w:space="0" w:color="231F20"/>
              <w:bottom w:val="single" w:sz="6" w:space="0" w:color="231F20"/>
            </w:tcBorders>
            <w:shd w:val="clear" w:color="auto" w:fill="CCE7D3"/>
          </w:tcPr>
          <w:p w14:paraId="10ECD441" w14:textId="77777777" w:rsidR="009948F1" w:rsidRDefault="009948F1">
            <w:pPr>
              <w:pStyle w:val="TableParagraph"/>
              <w:rPr>
                <w:rFonts w:ascii="Times New Roman"/>
                <w:sz w:val="12"/>
              </w:rPr>
            </w:pPr>
          </w:p>
        </w:tc>
        <w:tc>
          <w:tcPr>
            <w:tcW w:w="1560" w:type="dxa"/>
            <w:tcBorders>
              <w:top w:val="single" w:sz="6" w:space="0" w:color="231F20"/>
              <w:bottom w:val="single" w:sz="6" w:space="0" w:color="231F20"/>
              <w:right w:val="single" w:sz="6" w:space="0" w:color="231F20"/>
            </w:tcBorders>
            <w:shd w:val="clear" w:color="auto" w:fill="CCE7D3"/>
          </w:tcPr>
          <w:p w14:paraId="68976AF9" w14:textId="77777777" w:rsidR="009948F1" w:rsidRDefault="009948F1">
            <w:pPr>
              <w:pStyle w:val="TableParagraph"/>
              <w:rPr>
                <w:rFonts w:ascii="Times New Roman"/>
                <w:sz w:val="12"/>
              </w:rPr>
            </w:pPr>
          </w:p>
        </w:tc>
      </w:tr>
      <w:tr w:rsidR="009948F1" w14:paraId="540700E0" w14:textId="77777777">
        <w:trPr>
          <w:trHeight w:val="403"/>
        </w:trPr>
        <w:tc>
          <w:tcPr>
            <w:tcW w:w="720" w:type="dxa"/>
            <w:gridSpan w:val="2"/>
            <w:vMerge w:val="restart"/>
            <w:tcBorders>
              <w:top w:val="nil"/>
              <w:bottom w:val="nil"/>
              <w:right w:val="single" w:sz="6" w:space="0" w:color="231F20"/>
            </w:tcBorders>
          </w:tcPr>
          <w:p w14:paraId="6E389FB1" w14:textId="77777777" w:rsidR="009948F1" w:rsidRDefault="009948F1">
            <w:pPr>
              <w:pStyle w:val="TableParagraph"/>
              <w:rPr>
                <w:rFonts w:ascii="Times New Roman"/>
                <w:sz w:val="12"/>
              </w:rPr>
            </w:pPr>
          </w:p>
        </w:tc>
        <w:tc>
          <w:tcPr>
            <w:tcW w:w="545" w:type="dxa"/>
            <w:tcBorders>
              <w:top w:val="single" w:sz="6" w:space="0" w:color="231F20"/>
              <w:left w:val="single" w:sz="6" w:space="0" w:color="231F20"/>
              <w:bottom w:val="single" w:sz="6" w:space="0" w:color="231F20"/>
              <w:right w:val="single" w:sz="6" w:space="0" w:color="231F20"/>
            </w:tcBorders>
          </w:tcPr>
          <w:p w14:paraId="0D5331AE" w14:textId="77777777" w:rsidR="009948F1" w:rsidRDefault="00BC0563">
            <w:pPr>
              <w:pStyle w:val="TableParagraph"/>
              <w:spacing w:before="123"/>
              <w:ind w:left="52" w:right="30"/>
              <w:jc w:val="center"/>
              <w:rPr>
                <w:sz w:val="14"/>
              </w:rPr>
            </w:pPr>
            <w:r>
              <w:rPr>
                <w:color w:val="231F20"/>
                <w:w w:val="95"/>
                <w:sz w:val="14"/>
              </w:rPr>
              <w:t>5.3.2.a</w:t>
            </w:r>
          </w:p>
        </w:tc>
        <w:tc>
          <w:tcPr>
            <w:tcW w:w="5074" w:type="dxa"/>
            <w:gridSpan w:val="2"/>
            <w:tcBorders>
              <w:top w:val="single" w:sz="6" w:space="0" w:color="231F20"/>
              <w:left w:val="single" w:sz="6" w:space="0" w:color="231F20"/>
              <w:bottom w:val="single" w:sz="6" w:space="0" w:color="231F20"/>
              <w:right w:val="single" w:sz="6" w:space="0" w:color="231F20"/>
            </w:tcBorders>
          </w:tcPr>
          <w:p w14:paraId="4BA594BC" w14:textId="77777777" w:rsidR="009948F1" w:rsidRDefault="00BC0563">
            <w:pPr>
              <w:pStyle w:val="TableParagraph"/>
              <w:spacing w:before="117"/>
              <w:ind w:left="27"/>
              <w:rPr>
                <w:sz w:val="14"/>
              </w:rPr>
            </w:pPr>
            <w:r>
              <w:rPr>
                <w:color w:val="231F20"/>
                <w:sz w:val="14"/>
              </w:rPr>
              <w:t>Activate inactive ART sites in PHC facilities in 23 LGAs and train Health workers</w:t>
            </w:r>
          </w:p>
        </w:tc>
        <w:tc>
          <w:tcPr>
            <w:tcW w:w="1479" w:type="dxa"/>
            <w:tcBorders>
              <w:top w:val="single" w:sz="6" w:space="0" w:color="231F20"/>
              <w:left w:val="single" w:sz="6" w:space="0" w:color="231F20"/>
              <w:bottom w:val="single" w:sz="6" w:space="0" w:color="231F20"/>
              <w:right w:val="single" w:sz="6" w:space="0" w:color="231F20"/>
            </w:tcBorders>
          </w:tcPr>
          <w:p w14:paraId="2A47D6CD" w14:textId="77777777" w:rsidR="009948F1" w:rsidRDefault="00BC0563">
            <w:pPr>
              <w:pStyle w:val="TableParagraph"/>
              <w:spacing w:before="123"/>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21083C88" w14:textId="77777777" w:rsidR="009948F1" w:rsidRDefault="00BC0563">
            <w:pPr>
              <w:pStyle w:val="TableParagraph"/>
              <w:spacing w:before="123"/>
              <w:ind w:left="29"/>
              <w:rPr>
                <w:sz w:val="14"/>
              </w:rPr>
            </w:pPr>
            <w:r>
              <w:rPr>
                <w:color w:val="231F20"/>
                <w:sz w:val="14"/>
              </w:rPr>
              <w:t>Conduct training</w:t>
            </w:r>
          </w:p>
        </w:tc>
      </w:tr>
      <w:tr w:rsidR="009948F1" w14:paraId="3FD46207" w14:textId="77777777">
        <w:trPr>
          <w:trHeight w:val="412"/>
        </w:trPr>
        <w:tc>
          <w:tcPr>
            <w:tcW w:w="720" w:type="dxa"/>
            <w:gridSpan w:val="2"/>
            <w:vMerge/>
            <w:tcBorders>
              <w:top w:val="nil"/>
              <w:bottom w:val="nil"/>
              <w:right w:val="single" w:sz="6" w:space="0" w:color="231F20"/>
            </w:tcBorders>
          </w:tcPr>
          <w:p w14:paraId="2BB9788E"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055297A3" w14:textId="77777777" w:rsidR="009948F1" w:rsidRDefault="009948F1">
            <w:pPr>
              <w:pStyle w:val="TableParagraph"/>
              <w:spacing w:before="1"/>
              <w:rPr>
                <w:sz w:val="11"/>
              </w:rPr>
            </w:pPr>
          </w:p>
          <w:p w14:paraId="4C8FF698" w14:textId="77777777" w:rsidR="009948F1" w:rsidRDefault="00BC0563">
            <w:pPr>
              <w:pStyle w:val="TableParagraph"/>
              <w:ind w:left="52" w:right="30"/>
              <w:jc w:val="center"/>
              <w:rPr>
                <w:sz w:val="14"/>
              </w:rPr>
            </w:pPr>
            <w:r>
              <w:rPr>
                <w:color w:val="231F20"/>
                <w:w w:val="95"/>
                <w:sz w:val="14"/>
              </w:rPr>
              <w:t>5.3.2.b</w:t>
            </w:r>
          </w:p>
        </w:tc>
        <w:tc>
          <w:tcPr>
            <w:tcW w:w="5074" w:type="dxa"/>
            <w:gridSpan w:val="2"/>
            <w:tcBorders>
              <w:top w:val="single" w:sz="6" w:space="0" w:color="231F20"/>
              <w:left w:val="single" w:sz="6" w:space="0" w:color="231F20"/>
              <w:bottom w:val="single" w:sz="6" w:space="0" w:color="231F20"/>
              <w:right w:val="single" w:sz="6" w:space="0" w:color="231F20"/>
            </w:tcBorders>
          </w:tcPr>
          <w:p w14:paraId="49F40FC4" w14:textId="77777777" w:rsidR="009948F1" w:rsidRDefault="00BC0563">
            <w:pPr>
              <w:pStyle w:val="TableParagraph"/>
              <w:spacing w:before="122"/>
              <w:ind w:left="27"/>
              <w:rPr>
                <w:sz w:val="14"/>
              </w:rPr>
            </w:pPr>
            <w:r>
              <w:rPr>
                <w:color w:val="231F20"/>
                <w:sz w:val="14"/>
              </w:rPr>
              <w:t>Activate inactive PMTCT/HTS sites &amp; train Health workers</w:t>
            </w:r>
          </w:p>
        </w:tc>
        <w:tc>
          <w:tcPr>
            <w:tcW w:w="1479" w:type="dxa"/>
            <w:tcBorders>
              <w:top w:val="single" w:sz="6" w:space="0" w:color="231F20"/>
              <w:left w:val="single" w:sz="6" w:space="0" w:color="231F20"/>
              <w:bottom w:val="single" w:sz="6" w:space="0" w:color="231F20"/>
              <w:right w:val="single" w:sz="6" w:space="0" w:color="231F20"/>
            </w:tcBorders>
          </w:tcPr>
          <w:p w14:paraId="330DB748" w14:textId="77777777" w:rsidR="009948F1" w:rsidRDefault="009948F1">
            <w:pPr>
              <w:pStyle w:val="TableParagraph"/>
              <w:spacing w:before="1"/>
              <w:rPr>
                <w:sz w:val="11"/>
              </w:rPr>
            </w:pPr>
          </w:p>
          <w:p w14:paraId="303D2045"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340BCC1C" w14:textId="77777777" w:rsidR="009948F1" w:rsidRDefault="009948F1">
            <w:pPr>
              <w:pStyle w:val="TableParagraph"/>
              <w:spacing w:before="1"/>
              <w:rPr>
                <w:sz w:val="11"/>
              </w:rPr>
            </w:pPr>
          </w:p>
          <w:p w14:paraId="43A22E3B" w14:textId="77777777" w:rsidR="009948F1" w:rsidRDefault="00BC0563">
            <w:pPr>
              <w:pStyle w:val="TableParagraph"/>
              <w:ind w:left="29"/>
              <w:rPr>
                <w:sz w:val="14"/>
              </w:rPr>
            </w:pPr>
            <w:r>
              <w:rPr>
                <w:color w:val="231F20"/>
                <w:sz w:val="14"/>
              </w:rPr>
              <w:t>Conduct training</w:t>
            </w:r>
          </w:p>
        </w:tc>
      </w:tr>
      <w:tr w:rsidR="009948F1" w14:paraId="432B7345" w14:textId="77777777">
        <w:trPr>
          <w:trHeight w:val="324"/>
        </w:trPr>
        <w:tc>
          <w:tcPr>
            <w:tcW w:w="720" w:type="dxa"/>
            <w:gridSpan w:val="2"/>
            <w:vMerge/>
            <w:tcBorders>
              <w:top w:val="nil"/>
              <w:bottom w:val="nil"/>
              <w:right w:val="single" w:sz="6" w:space="0" w:color="231F20"/>
            </w:tcBorders>
          </w:tcPr>
          <w:p w14:paraId="51C18327"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07D15C7E" w14:textId="77777777" w:rsidR="009948F1" w:rsidRDefault="00BC0563">
            <w:pPr>
              <w:pStyle w:val="TableParagraph"/>
              <w:spacing w:before="83"/>
              <w:ind w:left="52" w:right="29"/>
              <w:jc w:val="center"/>
              <w:rPr>
                <w:sz w:val="14"/>
              </w:rPr>
            </w:pPr>
            <w:r>
              <w:rPr>
                <w:color w:val="231F20"/>
                <w:w w:val="95"/>
                <w:sz w:val="14"/>
              </w:rPr>
              <w:t>5.3.2.c</w:t>
            </w:r>
          </w:p>
        </w:tc>
        <w:tc>
          <w:tcPr>
            <w:tcW w:w="5074" w:type="dxa"/>
            <w:gridSpan w:val="2"/>
            <w:tcBorders>
              <w:top w:val="single" w:sz="6" w:space="0" w:color="231F20"/>
              <w:left w:val="single" w:sz="6" w:space="0" w:color="231F20"/>
              <w:bottom w:val="single" w:sz="6" w:space="0" w:color="231F20"/>
              <w:right w:val="single" w:sz="6" w:space="0" w:color="231F20"/>
            </w:tcBorders>
          </w:tcPr>
          <w:p w14:paraId="05D601C7" w14:textId="77777777" w:rsidR="009948F1" w:rsidRDefault="00BC0563">
            <w:pPr>
              <w:pStyle w:val="TableParagraph"/>
              <w:spacing w:before="77"/>
              <w:ind w:left="27"/>
              <w:rPr>
                <w:sz w:val="14"/>
              </w:rPr>
            </w:pPr>
            <w:r>
              <w:rPr>
                <w:color w:val="231F20"/>
                <w:sz w:val="14"/>
              </w:rPr>
              <w:t>Conduct supportive supervisory visits to PHC facilities in 23 LGAs</w:t>
            </w:r>
          </w:p>
        </w:tc>
        <w:tc>
          <w:tcPr>
            <w:tcW w:w="1479" w:type="dxa"/>
            <w:tcBorders>
              <w:top w:val="single" w:sz="6" w:space="0" w:color="231F20"/>
              <w:left w:val="single" w:sz="6" w:space="0" w:color="231F20"/>
              <w:bottom w:val="single" w:sz="6" w:space="0" w:color="231F20"/>
              <w:right w:val="single" w:sz="6" w:space="0" w:color="231F20"/>
            </w:tcBorders>
          </w:tcPr>
          <w:p w14:paraId="7E0EE503" w14:textId="77777777" w:rsidR="009948F1" w:rsidRDefault="00BC0563">
            <w:pPr>
              <w:pStyle w:val="TableParagraph"/>
              <w:spacing w:before="83"/>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1C74AD5C" w14:textId="77777777" w:rsidR="009948F1" w:rsidRDefault="00BC0563">
            <w:pPr>
              <w:pStyle w:val="TableParagraph"/>
              <w:spacing w:before="20" w:line="146" w:lineRule="exact"/>
              <w:ind w:left="29"/>
              <w:rPr>
                <w:sz w:val="14"/>
              </w:rPr>
            </w:pPr>
            <w:r>
              <w:rPr>
                <w:color w:val="231F20"/>
                <w:w w:val="90"/>
                <w:sz w:val="14"/>
              </w:rPr>
              <w:t xml:space="preserve">Conduct supportive </w:t>
            </w:r>
            <w:r>
              <w:rPr>
                <w:color w:val="231F20"/>
                <w:w w:val="95"/>
                <w:sz w:val="14"/>
              </w:rPr>
              <w:t>supervisory visits</w:t>
            </w:r>
          </w:p>
        </w:tc>
      </w:tr>
      <w:tr w:rsidR="009948F1" w14:paraId="57DC50C1" w14:textId="77777777">
        <w:trPr>
          <w:trHeight w:val="350"/>
        </w:trPr>
        <w:tc>
          <w:tcPr>
            <w:tcW w:w="720" w:type="dxa"/>
            <w:gridSpan w:val="2"/>
            <w:vMerge/>
            <w:tcBorders>
              <w:top w:val="nil"/>
              <w:bottom w:val="nil"/>
              <w:right w:val="single" w:sz="6" w:space="0" w:color="231F20"/>
            </w:tcBorders>
          </w:tcPr>
          <w:p w14:paraId="74F1F787"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01B1F19B" w14:textId="77777777" w:rsidR="009948F1" w:rsidRDefault="00BC0563">
            <w:pPr>
              <w:pStyle w:val="TableParagraph"/>
              <w:spacing w:before="96"/>
              <w:ind w:left="52" w:right="30"/>
              <w:jc w:val="center"/>
              <w:rPr>
                <w:sz w:val="14"/>
              </w:rPr>
            </w:pPr>
            <w:r>
              <w:rPr>
                <w:color w:val="231F20"/>
                <w:w w:val="95"/>
                <w:sz w:val="14"/>
              </w:rPr>
              <w:t>5.3.2.d</w:t>
            </w:r>
          </w:p>
        </w:tc>
        <w:tc>
          <w:tcPr>
            <w:tcW w:w="5074" w:type="dxa"/>
            <w:gridSpan w:val="2"/>
            <w:tcBorders>
              <w:top w:val="single" w:sz="6" w:space="0" w:color="231F20"/>
              <w:left w:val="single" w:sz="6" w:space="0" w:color="231F20"/>
              <w:bottom w:val="single" w:sz="6" w:space="0" w:color="231F20"/>
              <w:right w:val="single" w:sz="6" w:space="0" w:color="231F20"/>
            </w:tcBorders>
          </w:tcPr>
          <w:p w14:paraId="228E68A7" w14:textId="77777777" w:rsidR="009948F1" w:rsidRDefault="00BC0563">
            <w:pPr>
              <w:pStyle w:val="TableParagraph"/>
              <w:spacing w:before="91"/>
              <w:ind w:left="27"/>
              <w:rPr>
                <w:sz w:val="14"/>
              </w:rPr>
            </w:pPr>
            <w:r>
              <w:rPr>
                <w:color w:val="231F20"/>
                <w:sz w:val="14"/>
              </w:rPr>
              <w:t>Conduct DQA to PMTCT/HTS/ART in PHC in 23 LGAs</w:t>
            </w:r>
          </w:p>
        </w:tc>
        <w:tc>
          <w:tcPr>
            <w:tcW w:w="1479" w:type="dxa"/>
            <w:tcBorders>
              <w:top w:val="single" w:sz="6" w:space="0" w:color="231F20"/>
              <w:left w:val="single" w:sz="6" w:space="0" w:color="231F20"/>
              <w:bottom w:val="single" w:sz="6" w:space="0" w:color="231F20"/>
              <w:right w:val="single" w:sz="6" w:space="0" w:color="231F20"/>
            </w:tcBorders>
          </w:tcPr>
          <w:p w14:paraId="4C51A1FD" w14:textId="77777777" w:rsidR="009948F1" w:rsidRDefault="00BC0563">
            <w:pPr>
              <w:pStyle w:val="TableParagraph"/>
              <w:spacing w:before="96"/>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72C05726" w14:textId="77777777" w:rsidR="009948F1" w:rsidRDefault="00BC0563">
            <w:pPr>
              <w:pStyle w:val="TableParagraph"/>
              <w:spacing w:before="96"/>
              <w:ind w:left="29"/>
              <w:rPr>
                <w:sz w:val="14"/>
              </w:rPr>
            </w:pPr>
            <w:r>
              <w:rPr>
                <w:color w:val="231F20"/>
                <w:sz w:val="14"/>
              </w:rPr>
              <w:t>Conduct DQA</w:t>
            </w:r>
          </w:p>
        </w:tc>
      </w:tr>
      <w:tr w:rsidR="009948F1" w14:paraId="5A620243" w14:textId="77777777">
        <w:trPr>
          <w:trHeight w:val="849"/>
        </w:trPr>
        <w:tc>
          <w:tcPr>
            <w:tcW w:w="249" w:type="dxa"/>
            <w:tcBorders>
              <w:top w:val="nil"/>
              <w:bottom w:val="nil"/>
              <w:right w:val="single" w:sz="6" w:space="0" w:color="231F20"/>
            </w:tcBorders>
          </w:tcPr>
          <w:p w14:paraId="3A12D102" w14:textId="77777777" w:rsidR="009948F1" w:rsidRDefault="009948F1">
            <w:pPr>
              <w:pStyle w:val="TableParagraph"/>
              <w:rPr>
                <w:rFonts w:ascii="Times New Roman"/>
                <w:sz w:val="12"/>
              </w:rPr>
            </w:pPr>
          </w:p>
        </w:tc>
        <w:tc>
          <w:tcPr>
            <w:tcW w:w="471" w:type="dxa"/>
            <w:tcBorders>
              <w:top w:val="single" w:sz="6" w:space="0" w:color="231F20"/>
              <w:left w:val="single" w:sz="6" w:space="0" w:color="231F20"/>
              <w:bottom w:val="single" w:sz="6" w:space="0" w:color="231F20"/>
              <w:right w:val="single" w:sz="6" w:space="0" w:color="231F20"/>
            </w:tcBorders>
            <w:shd w:val="clear" w:color="auto" w:fill="CCE7D3"/>
          </w:tcPr>
          <w:p w14:paraId="7EE90BD8" w14:textId="77777777" w:rsidR="009948F1" w:rsidRDefault="009948F1">
            <w:pPr>
              <w:pStyle w:val="TableParagraph"/>
              <w:rPr>
                <w:sz w:val="14"/>
              </w:rPr>
            </w:pPr>
          </w:p>
          <w:p w14:paraId="4D7860AB" w14:textId="77777777" w:rsidR="009948F1" w:rsidRDefault="009948F1">
            <w:pPr>
              <w:pStyle w:val="TableParagraph"/>
              <w:spacing w:before="1"/>
              <w:rPr>
                <w:sz w:val="16"/>
              </w:rPr>
            </w:pPr>
          </w:p>
          <w:p w14:paraId="1E215C0F" w14:textId="77777777" w:rsidR="009948F1" w:rsidRDefault="00BC0563">
            <w:pPr>
              <w:pStyle w:val="TableParagraph"/>
              <w:ind w:left="60"/>
              <w:rPr>
                <w:sz w:val="14"/>
              </w:rPr>
            </w:pPr>
            <w:r>
              <w:rPr>
                <w:color w:val="231F20"/>
                <w:sz w:val="14"/>
              </w:rPr>
              <w:t>5.3.3</w:t>
            </w:r>
          </w:p>
        </w:tc>
        <w:tc>
          <w:tcPr>
            <w:tcW w:w="3148" w:type="dxa"/>
            <w:gridSpan w:val="2"/>
            <w:tcBorders>
              <w:top w:val="single" w:sz="6" w:space="0" w:color="231F20"/>
              <w:left w:val="single" w:sz="6" w:space="0" w:color="231F20"/>
              <w:bottom w:val="single" w:sz="6" w:space="0" w:color="231F20"/>
              <w:right w:val="single" w:sz="6" w:space="0" w:color="231F20"/>
            </w:tcBorders>
            <w:shd w:val="clear" w:color="auto" w:fill="CCE7D3"/>
          </w:tcPr>
          <w:p w14:paraId="00D5806C" w14:textId="77777777" w:rsidR="009948F1" w:rsidRDefault="009948F1">
            <w:pPr>
              <w:pStyle w:val="TableParagraph"/>
              <w:rPr>
                <w:sz w:val="14"/>
              </w:rPr>
            </w:pPr>
          </w:p>
          <w:p w14:paraId="19AC61F7" w14:textId="77777777" w:rsidR="009948F1" w:rsidRDefault="009948F1">
            <w:pPr>
              <w:pStyle w:val="TableParagraph"/>
              <w:spacing w:before="6"/>
              <w:rPr>
                <w:sz w:val="15"/>
              </w:rPr>
            </w:pPr>
          </w:p>
          <w:p w14:paraId="0536F316" w14:textId="77777777" w:rsidR="009948F1" w:rsidRDefault="00BC0563">
            <w:pPr>
              <w:pStyle w:val="TableParagraph"/>
              <w:ind w:left="60"/>
              <w:rPr>
                <w:sz w:val="14"/>
              </w:rPr>
            </w:pPr>
            <w:r>
              <w:rPr>
                <w:color w:val="231F20"/>
                <w:w w:val="95"/>
                <w:sz w:val="14"/>
              </w:rPr>
              <w:t>Promote</w:t>
            </w:r>
            <w:r>
              <w:rPr>
                <w:color w:val="231F20"/>
                <w:spacing w:val="-22"/>
                <w:w w:val="95"/>
                <w:sz w:val="14"/>
              </w:rPr>
              <w:t xml:space="preserve"> </w:t>
            </w:r>
            <w:r>
              <w:rPr>
                <w:color w:val="231F20"/>
                <w:w w:val="95"/>
                <w:sz w:val="14"/>
              </w:rPr>
              <w:t>universal</w:t>
            </w:r>
            <w:r>
              <w:rPr>
                <w:color w:val="231F20"/>
                <w:spacing w:val="-22"/>
                <w:w w:val="95"/>
                <w:sz w:val="14"/>
              </w:rPr>
              <w:t xml:space="preserve"> </w:t>
            </w:r>
            <w:r>
              <w:rPr>
                <w:color w:val="231F20"/>
                <w:w w:val="95"/>
                <w:sz w:val="14"/>
              </w:rPr>
              <w:t>access</w:t>
            </w:r>
            <w:r>
              <w:rPr>
                <w:color w:val="231F20"/>
                <w:spacing w:val="-21"/>
                <w:w w:val="95"/>
                <w:sz w:val="14"/>
              </w:rPr>
              <w:t xml:space="preserve"> </w:t>
            </w:r>
            <w:r>
              <w:rPr>
                <w:color w:val="231F20"/>
                <w:w w:val="95"/>
                <w:sz w:val="14"/>
              </w:rPr>
              <w:t>to</w:t>
            </w:r>
            <w:r>
              <w:rPr>
                <w:color w:val="231F20"/>
                <w:spacing w:val="-22"/>
                <w:w w:val="95"/>
                <w:sz w:val="14"/>
              </w:rPr>
              <w:t xml:space="preserve"> </w:t>
            </w:r>
            <w:r>
              <w:rPr>
                <w:color w:val="231F20"/>
                <w:w w:val="95"/>
                <w:sz w:val="14"/>
              </w:rPr>
              <w:t>quality</w:t>
            </w:r>
            <w:r>
              <w:rPr>
                <w:color w:val="231F20"/>
                <w:spacing w:val="-21"/>
                <w:w w:val="95"/>
                <w:sz w:val="14"/>
              </w:rPr>
              <w:t xml:space="preserve"> </w:t>
            </w:r>
            <w:r>
              <w:rPr>
                <w:color w:val="231F20"/>
                <w:w w:val="95"/>
                <w:sz w:val="14"/>
              </w:rPr>
              <w:t>PMTCT</w:t>
            </w:r>
            <w:r>
              <w:rPr>
                <w:color w:val="231F20"/>
                <w:spacing w:val="-23"/>
                <w:w w:val="95"/>
                <w:sz w:val="14"/>
              </w:rPr>
              <w:t xml:space="preserve"> </w:t>
            </w:r>
            <w:r>
              <w:rPr>
                <w:color w:val="231F20"/>
                <w:w w:val="95"/>
                <w:sz w:val="14"/>
              </w:rPr>
              <w:t>services</w:t>
            </w:r>
          </w:p>
        </w:tc>
        <w:tc>
          <w:tcPr>
            <w:tcW w:w="2471" w:type="dxa"/>
            <w:tcBorders>
              <w:top w:val="single" w:sz="6" w:space="0" w:color="231F20"/>
              <w:left w:val="single" w:sz="6" w:space="0" w:color="231F20"/>
              <w:bottom w:val="single" w:sz="6" w:space="0" w:color="231F20"/>
              <w:right w:val="single" w:sz="6" w:space="0" w:color="231F20"/>
            </w:tcBorders>
            <w:shd w:val="clear" w:color="auto" w:fill="CCE7D3"/>
          </w:tcPr>
          <w:p w14:paraId="2818545E" w14:textId="77777777" w:rsidR="009948F1" w:rsidRDefault="00BC0563">
            <w:pPr>
              <w:pStyle w:val="TableParagraph"/>
              <w:numPr>
                <w:ilvl w:val="0"/>
                <w:numId w:val="148"/>
              </w:numPr>
              <w:tabs>
                <w:tab w:val="left" w:pos="99"/>
              </w:tabs>
              <w:spacing w:before="5" w:line="271" w:lineRule="auto"/>
              <w:ind w:right="27" w:firstLine="0"/>
              <w:rPr>
                <w:sz w:val="14"/>
              </w:rPr>
            </w:pPr>
            <w:r>
              <w:rPr>
                <w:color w:val="231F20"/>
                <w:sz w:val="14"/>
              </w:rPr>
              <w:t xml:space="preserve">At least 250 HWs trained on the </w:t>
            </w:r>
            <w:r>
              <w:rPr>
                <w:color w:val="231F20"/>
                <w:w w:val="90"/>
                <w:sz w:val="14"/>
              </w:rPr>
              <w:t>implementation</w:t>
            </w:r>
            <w:r>
              <w:rPr>
                <w:color w:val="231F20"/>
                <w:spacing w:val="-14"/>
                <w:w w:val="90"/>
                <w:sz w:val="14"/>
              </w:rPr>
              <w:t xml:space="preserve"> </w:t>
            </w:r>
            <w:r>
              <w:rPr>
                <w:color w:val="231F20"/>
                <w:w w:val="90"/>
                <w:sz w:val="14"/>
              </w:rPr>
              <w:t>of</w:t>
            </w:r>
            <w:r>
              <w:rPr>
                <w:color w:val="231F20"/>
                <w:spacing w:val="-13"/>
                <w:w w:val="90"/>
                <w:sz w:val="14"/>
              </w:rPr>
              <w:t xml:space="preserve"> </w:t>
            </w:r>
            <w:r>
              <w:rPr>
                <w:color w:val="231F20"/>
                <w:w w:val="90"/>
                <w:sz w:val="14"/>
              </w:rPr>
              <w:t>HTS</w:t>
            </w:r>
            <w:r>
              <w:rPr>
                <w:color w:val="231F20"/>
                <w:spacing w:val="-14"/>
                <w:w w:val="90"/>
                <w:sz w:val="14"/>
              </w:rPr>
              <w:t xml:space="preserve"> </w:t>
            </w:r>
            <w:r>
              <w:rPr>
                <w:color w:val="231F20"/>
                <w:w w:val="90"/>
                <w:sz w:val="14"/>
              </w:rPr>
              <w:t>/</w:t>
            </w:r>
            <w:r>
              <w:rPr>
                <w:color w:val="231F20"/>
                <w:spacing w:val="-13"/>
                <w:w w:val="90"/>
                <w:sz w:val="14"/>
              </w:rPr>
              <w:t xml:space="preserve"> </w:t>
            </w:r>
            <w:r>
              <w:rPr>
                <w:color w:val="231F20"/>
                <w:w w:val="90"/>
                <w:sz w:val="14"/>
              </w:rPr>
              <w:t>PMTCT</w:t>
            </w:r>
            <w:r>
              <w:rPr>
                <w:color w:val="231F20"/>
                <w:spacing w:val="-15"/>
                <w:w w:val="90"/>
                <w:sz w:val="14"/>
              </w:rPr>
              <w:t xml:space="preserve"> </w:t>
            </w:r>
            <w:r>
              <w:rPr>
                <w:color w:val="231F20"/>
                <w:w w:val="90"/>
                <w:sz w:val="14"/>
              </w:rPr>
              <w:t>(</w:t>
            </w:r>
            <w:proofErr w:type="spellStart"/>
            <w:r>
              <w:rPr>
                <w:color w:val="231F20"/>
                <w:w w:val="90"/>
                <w:sz w:val="14"/>
              </w:rPr>
              <w:t>Paediatric</w:t>
            </w:r>
            <w:proofErr w:type="spellEnd"/>
            <w:r>
              <w:rPr>
                <w:color w:val="231F20"/>
                <w:w w:val="90"/>
                <w:sz w:val="14"/>
              </w:rPr>
              <w:t xml:space="preserve"> </w:t>
            </w:r>
            <w:r>
              <w:rPr>
                <w:color w:val="231F20"/>
                <w:sz w:val="14"/>
              </w:rPr>
              <w:t>diagnosis</w:t>
            </w:r>
            <w:r>
              <w:rPr>
                <w:color w:val="231F20"/>
                <w:spacing w:val="-8"/>
                <w:sz w:val="14"/>
              </w:rPr>
              <w:t xml:space="preserve"> </w:t>
            </w:r>
            <w:r>
              <w:rPr>
                <w:color w:val="231F20"/>
                <w:sz w:val="14"/>
              </w:rPr>
              <w:t>(EID)</w:t>
            </w:r>
          </w:p>
          <w:p w14:paraId="48697347" w14:textId="77777777" w:rsidR="009948F1" w:rsidRDefault="00BC0563">
            <w:pPr>
              <w:pStyle w:val="TableParagraph"/>
              <w:numPr>
                <w:ilvl w:val="0"/>
                <w:numId w:val="148"/>
              </w:numPr>
              <w:tabs>
                <w:tab w:val="left" w:pos="99"/>
              </w:tabs>
              <w:spacing w:line="159" w:lineRule="exact"/>
              <w:ind w:left="98" w:hanging="72"/>
              <w:rPr>
                <w:sz w:val="14"/>
              </w:rPr>
            </w:pPr>
            <w:r>
              <w:rPr>
                <w:color w:val="231F20"/>
                <w:sz w:val="14"/>
              </w:rPr>
              <w:t>At</w:t>
            </w:r>
            <w:r>
              <w:rPr>
                <w:color w:val="231F20"/>
                <w:spacing w:val="-20"/>
                <w:sz w:val="14"/>
              </w:rPr>
              <w:t xml:space="preserve"> </w:t>
            </w:r>
            <w:r>
              <w:rPr>
                <w:color w:val="231F20"/>
                <w:sz w:val="14"/>
              </w:rPr>
              <w:t>least</w:t>
            </w:r>
            <w:r>
              <w:rPr>
                <w:color w:val="231F20"/>
                <w:spacing w:val="-19"/>
                <w:sz w:val="14"/>
              </w:rPr>
              <w:t xml:space="preserve"> </w:t>
            </w:r>
            <w:r>
              <w:rPr>
                <w:color w:val="231F20"/>
                <w:sz w:val="14"/>
              </w:rPr>
              <w:t>23</w:t>
            </w:r>
            <w:r>
              <w:rPr>
                <w:color w:val="231F20"/>
                <w:spacing w:val="-19"/>
                <w:sz w:val="14"/>
              </w:rPr>
              <w:t xml:space="preserve"> </w:t>
            </w:r>
            <w:r>
              <w:rPr>
                <w:color w:val="231F20"/>
                <w:sz w:val="14"/>
              </w:rPr>
              <w:t>HIV</w:t>
            </w:r>
            <w:r>
              <w:rPr>
                <w:color w:val="231F20"/>
                <w:spacing w:val="-20"/>
                <w:sz w:val="14"/>
              </w:rPr>
              <w:t xml:space="preserve"> </w:t>
            </w:r>
            <w:r>
              <w:rPr>
                <w:color w:val="231F20"/>
                <w:sz w:val="14"/>
              </w:rPr>
              <w:t>Desk</w:t>
            </w:r>
            <w:r>
              <w:rPr>
                <w:color w:val="231F20"/>
                <w:spacing w:val="-19"/>
                <w:sz w:val="14"/>
              </w:rPr>
              <w:t xml:space="preserve"> </w:t>
            </w:r>
            <w:r>
              <w:rPr>
                <w:color w:val="231F20"/>
                <w:sz w:val="14"/>
              </w:rPr>
              <w:t>officers</w:t>
            </w:r>
            <w:r>
              <w:rPr>
                <w:color w:val="231F20"/>
                <w:spacing w:val="-19"/>
                <w:sz w:val="14"/>
              </w:rPr>
              <w:t xml:space="preserve"> </w:t>
            </w:r>
            <w:r>
              <w:rPr>
                <w:color w:val="231F20"/>
                <w:sz w:val="14"/>
              </w:rPr>
              <w:t>trained</w:t>
            </w:r>
          </w:p>
          <w:p w14:paraId="107833D0" w14:textId="77777777" w:rsidR="009948F1" w:rsidRDefault="00BC0563">
            <w:pPr>
              <w:pStyle w:val="TableParagraph"/>
              <w:spacing w:before="20" w:line="98" w:lineRule="exact"/>
              <w:ind w:left="27"/>
              <w:rPr>
                <w:sz w:val="14"/>
              </w:rPr>
            </w:pPr>
            <w:r>
              <w:rPr>
                <w:color w:val="231F20"/>
                <w:w w:val="87"/>
                <w:sz w:val="14"/>
              </w:rPr>
              <w:t>•</w:t>
            </w:r>
          </w:p>
        </w:tc>
        <w:tc>
          <w:tcPr>
            <w:tcW w:w="1479" w:type="dxa"/>
            <w:tcBorders>
              <w:top w:val="single" w:sz="6" w:space="0" w:color="231F20"/>
              <w:left w:val="single" w:sz="6" w:space="0" w:color="231F20"/>
              <w:bottom w:val="single" w:sz="6" w:space="0" w:color="231F20"/>
            </w:tcBorders>
            <w:shd w:val="clear" w:color="auto" w:fill="CCE7D3"/>
          </w:tcPr>
          <w:p w14:paraId="6E687998" w14:textId="77777777" w:rsidR="009948F1" w:rsidRDefault="009948F1">
            <w:pPr>
              <w:pStyle w:val="TableParagraph"/>
              <w:rPr>
                <w:rFonts w:ascii="Times New Roman"/>
                <w:sz w:val="12"/>
              </w:rPr>
            </w:pPr>
          </w:p>
        </w:tc>
        <w:tc>
          <w:tcPr>
            <w:tcW w:w="1560" w:type="dxa"/>
            <w:tcBorders>
              <w:top w:val="single" w:sz="6" w:space="0" w:color="231F20"/>
              <w:bottom w:val="single" w:sz="6" w:space="0" w:color="231F20"/>
              <w:right w:val="single" w:sz="6" w:space="0" w:color="231F20"/>
            </w:tcBorders>
            <w:shd w:val="clear" w:color="auto" w:fill="CCE7D3"/>
          </w:tcPr>
          <w:p w14:paraId="390D9D8D" w14:textId="77777777" w:rsidR="009948F1" w:rsidRDefault="009948F1">
            <w:pPr>
              <w:pStyle w:val="TableParagraph"/>
              <w:rPr>
                <w:rFonts w:ascii="Times New Roman"/>
                <w:sz w:val="12"/>
              </w:rPr>
            </w:pPr>
          </w:p>
        </w:tc>
      </w:tr>
      <w:tr w:rsidR="009948F1" w14:paraId="461D18E3" w14:textId="77777777">
        <w:trPr>
          <w:trHeight w:val="439"/>
        </w:trPr>
        <w:tc>
          <w:tcPr>
            <w:tcW w:w="720" w:type="dxa"/>
            <w:gridSpan w:val="2"/>
            <w:vMerge w:val="restart"/>
            <w:tcBorders>
              <w:top w:val="nil"/>
              <w:bottom w:val="nil"/>
              <w:right w:val="single" w:sz="6" w:space="0" w:color="231F20"/>
            </w:tcBorders>
          </w:tcPr>
          <w:p w14:paraId="7CFDAE96" w14:textId="77777777" w:rsidR="009948F1" w:rsidRDefault="009948F1">
            <w:pPr>
              <w:pStyle w:val="TableParagraph"/>
              <w:rPr>
                <w:rFonts w:ascii="Times New Roman"/>
                <w:sz w:val="12"/>
              </w:rPr>
            </w:pPr>
          </w:p>
        </w:tc>
        <w:tc>
          <w:tcPr>
            <w:tcW w:w="545" w:type="dxa"/>
            <w:tcBorders>
              <w:top w:val="single" w:sz="6" w:space="0" w:color="231F20"/>
              <w:left w:val="single" w:sz="6" w:space="0" w:color="231F20"/>
              <w:bottom w:val="single" w:sz="6" w:space="0" w:color="231F20"/>
              <w:right w:val="single" w:sz="6" w:space="0" w:color="231F20"/>
            </w:tcBorders>
          </w:tcPr>
          <w:p w14:paraId="2B1FA010" w14:textId="77777777" w:rsidR="009948F1" w:rsidRDefault="009948F1">
            <w:pPr>
              <w:pStyle w:val="TableParagraph"/>
              <w:spacing w:before="3"/>
              <w:rPr>
                <w:sz w:val="12"/>
              </w:rPr>
            </w:pPr>
          </w:p>
          <w:p w14:paraId="774C4B1E" w14:textId="77777777" w:rsidR="009948F1" w:rsidRDefault="00BC0563">
            <w:pPr>
              <w:pStyle w:val="TableParagraph"/>
              <w:ind w:left="52" w:right="30"/>
              <w:jc w:val="center"/>
              <w:rPr>
                <w:sz w:val="14"/>
              </w:rPr>
            </w:pPr>
            <w:r>
              <w:rPr>
                <w:color w:val="231F20"/>
                <w:w w:val="95"/>
                <w:sz w:val="14"/>
              </w:rPr>
              <w:t>5.3.3.a</w:t>
            </w:r>
          </w:p>
        </w:tc>
        <w:tc>
          <w:tcPr>
            <w:tcW w:w="5074" w:type="dxa"/>
            <w:gridSpan w:val="2"/>
            <w:tcBorders>
              <w:top w:val="single" w:sz="6" w:space="0" w:color="231F20"/>
              <w:left w:val="single" w:sz="6" w:space="0" w:color="231F20"/>
              <w:bottom w:val="single" w:sz="6" w:space="0" w:color="231F20"/>
              <w:right w:val="single" w:sz="6" w:space="0" w:color="231F20"/>
            </w:tcBorders>
          </w:tcPr>
          <w:p w14:paraId="44EABEC6" w14:textId="77777777" w:rsidR="009948F1" w:rsidRDefault="00BC0563">
            <w:pPr>
              <w:pStyle w:val="TableParagraph"/>
              <w:spacing w:before="45" w:line="271" w:lineRule="auto"/>
              <w:ind w:left="27" w:right="183"/>
              <w:rPr>
                <w:sz w:val="14"/>
              </w:rPr>
            </w:pPr>
            <w:r>
              <w:rPr>
                <w:color w:val="231F20"/>
                <w:w w:val="90"/>
                <w:sz w:val="14"/>
              </w:rPr>
              <w:t>Train/build</w:t>
            </w:r>
            <w:r>
              <w:rPr>
                <w:color w:val="231F20"/>
                <w:spacing w:val="-11"/>
                <w:w w:val="90"/>
                <w:sz w:val="14"/>
              </w:rPr>
              <w:t xml:space="preserve"> </w:t>
            </w:r>
            <w:r>
              <w:rPr>
                <w:color w:val="231F20"/>
                <w:w w:val="90"/>
                <w:sz w:val="14"/>
              </w:rPr>
              <w:t>capacity</w:t>
            </w:r>
            <w:r>
              <w:rPr>
                <w:color w:val="231F20"/>
                <w:spacing w:val="-11"/>
                <w:w w:val="90"/>
                <w:sz w:val="14"/>
              </w:rPr>
              <w:t xml:space="preserve"> </w:t>
            </w:r>
            <w:r>
              <w:rPr>
                <w:color w:val="231F20"/>
                <w:w w:val="90"/>
                <w:sz w:val="14"/>
              </w:rPr>
              <w:t>of</w:t>
            </w:r>
            <w:r>
              <w:rPr>
                <w:color w:val="231F20"/>
                <w:spacing w:val="-11"/>
                <w:w w:val="90"/>
                <w:sz w:val="14"/>
              </w:rPr>
              <w:t xml:space="preserve"> </w:t>
            </w:r>
            <w:r>
              <w:rPr>
                <w:color w:val="231F20"/>
                <w:w w:val="90"/>
                <w:sz w:val="14"/>
              </w:rPr>
              <w:t>health</w:t>
            </w:r>
            <w:r>
              <w:rPr>
                <w:color w:val="231F20"/>
                <w:spacing w:val="-10"/>
                <w:w w:val="90"/>
                <w:sz w:val="14"/>
              </w:rPr>
              <w:t xml:space="preserve"> </w:t>
            </w:r>
            <w:r>
              <w:rPr>
                <w:color w:val="231F20"/>
                <w:w w:val="90"/>
                <w:sz w:val="14"/>
              </w:rPr>
              <w:t>workers</w:t>
            </w:r>
            <w:r>
              <w:rPr>
                <w:color w:val="231F20"/>
                <w:spacing w:val="-11"/>
                <w:w w:val="90"/>
                <w:sz w:val="14"/>
              </w:rPr>
              <w:t xml:space="preserve"> </w:t>
            </w:r>
            <w:r>
              <w:rPr>
                <w:color w:val="231F20"/>
                <w:w w:val="90"/>
                <w:sz w:val="14"/>
              </w:rPr>
              <w:t>on</w:t>
            </w:r>
            <w:r>
              <w:rPr>
                <w:color w:val="231F20"/>
                <w:spacing w:val="-11"/>
                <w:w w:val="90"/>
                <w:sz w:val="14"/>
              </w:rPr>
              <w:t xml:space="preserve"> </w:t>
            </w:r>
            <w:r>
              <w:rPr>
                <w:color w:val="231F20"/>
                <w:w w:val="90"/>
                <w:sz w:val="14"/>
              </w:rPr>
              <w:t>the</w:t>
            </w:r>
            <w:r>
              <w:rPr>
                <w:color w:val="231F20"/>
                <w:spacing w:val="-10"/>
                <w:w w:val="90"/>
                <w:sz w:val="14"/>
              </w:rPr>
              <w:t xml:space="preserve"> </w:t>
            </w:r>
            <w:r>
              <w:rPr>
                <w:color w:val="231F20"/>
                <w:w w:val="90"/>
                <w:sz w:val="14"/>
              </w:rPr>
              <w:t>implementation</w:t>
            </w:r>
            <w:r>
              <w:rPr>
                <w:color w:val="231F20"/>
                <w:spacing w:val="-11"/>
                <w:w w:val="90"/>
                <w:sz w:val="14"/>
              </w:rPr>
              <w:t xml:space="preserve"> </w:t>
            </w:r>
            <w:r>
              <w:rPr>
                <w:color w:val="231F20"/>
                <w:w w:val="90"/>
                <w:sz w:val="14"/>
              </w:rPr>
              <w:t>of</w:t>
            </w:r>
            <w:r>
              <w:rPr>
                <w:color w:val="231F20"/>
                <w:spacing w:val="-11"/>
                <w:w w:val="90"/>
                <w:sz w:val="14"/>
              </w:rPr>
              <w:t xml:space="preserve"> </w:t>
            </w:r>
            <w:r>
              <w:rPr>
                <w:color w:val="231F20"/>
                <w:w w:val="90"/>
                <w:sz w:val="14"/>
              </w:rPr>
              <w:t>HTS</w:t>
            </w:r>
            <w:r>
              <w:rPr>
                <w:color w:val="231F20"/>
                <w:spacing w:val="-10"/>
                <w:w w:val="90"/>
                <w:sz w:val="14"/>
              </w:rPr>
              <w:t xml:space="preserve"> </w:t>
            </w:r>
            <w:r>
              <w:rPr>
                <w:color w:val="231F20"/>
                <w:w w:val="90"/>
                <w:sz w:val="14"/>
              </w:rPr>
              <w:t>/</w:t>
            </w:r>
            <w:r>
              <w:rPr>
                <w:color w:val="231F20"/>
                <w:spacing w:val="-11"/>
                <w:w w:val="90"/>
                <w:sz w:val="14"/>
              </w:rPr>
              <w:t xml:space="preserve"> </w:t>
            </w:r>
            <w:r>
              <w:rPr>
                <w:color w:val="231F20"/>
                <w:w w:val="90"/>
                <w:sz w:val="14"/>
              </w:rPr>
              <w:t>PMTCT</w:t>
            </w:r>
            <w:r>
              <w:rPr>
                <w:color w:val="231F20"/>
                <w:spacing w:val="-12"/>
                <w:w w:val="90"/>
                <w:sz w:val="14"/>
              </w:rPr>
              <w:t xml:space="preserve"> </w:t>
            </w:r>
            <w:r>
              <w:rPr>
                <w:color w:val="231F20"/>
                <w:w w:val="90"/>
                <w:sz w:val="14"/>
              </w:rPr>
              <w:t>(</w:t>
            </w:r>
            <w:proofErr w:type="spellStart"/>
            <w:r>
              <w:rPr>
                <w:color w:val="231F20"/>
                <w:w w:val="90"/>
                <w:sz w:val="14"/>
              </w:rPr>
              <w:t>Paediatric</w:t>
            </w:r>
            <w:proofErr w:type="spellEnd"/>
            <w:r>
              <w:rPr>
                <w:color w:val="231F20"/>
                <w:w w:val="90"/>
                <w:sz w:val="14"/>
              </w:rPr>
              <w:t xml:space="preserve"> </w:t>
            </w:r>
            <w:r>
              <w:rPr>
                <w:color w:val="231F20"/>
                <w:sz w:val="14"/>
              </w:rPr>
              <w:t>diagnosis</w:t>
            </w:r>
            <w:r>
              <w:rPr>
                <w:color w:val="231F20"/>
                <w:spacing w:val="-6"/>
                <w:sz w:val="14"/>
              </w:rPr>
              <w:t xml:space="preserve"> </w:t>
            </w:r>
            <w:r>
              <w:rPr>
                <w:color w:val="231F20"/>
                <w:sz w:val="14"/>
              </w:rPr>
              <w:t>(EID)</w:t>
            </w:r>
          </w:p>
        </w:tc>
        <w:tc>
          <w:tcPr>
            <w:tcW w:w="1479" w:type="dxa"/>
            <w:tcBorders>
              <w:top w:val="single" w:sz="6" w:space="0" w:color="231F20"/>
              <w:left w:val="single" w:sz="6" w:space="0" w:color="231F20"/>
              <w:bottom w:val="single" w:sz="6" w:space="0" w:color="231F20"/>
              <w:right w:val="single" w:sz="6" w:space="0" w:color="231F20"/>
            </w:tcBorders>
          </w:tcPr>
          <w:p w14:paraId="7CA59BF3" w14:textId="77777777" w:rsidR="009948F1" w:rsidRDefault="009948F1">
            <w:pPr>
              <w:pStyle w:val="TableParagraph"/>
              <w:spacing w:before="3"/>
              <w:rPr>
                <w:sz w:val="12"/>
              </w:rPr>
            </w:pPr>
          </w:p>
          <w:p w14:paraId="785CBA4D"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18641416" w14:textId="77777777" w:rsidR="009948F1" w:rsidRDefault="009948F1">
            <w:pPr>
              <w:pStyle w:val="TableParagraph"/>
              <w:spacing w:before="3"/>
              <w:rPr>
                <w:sz w:val="12"/>
              </w:rPr>
            </w:pPr>
          </w:p>
          <w:p w14:paraId="52634A10" w14:textId="77777777" w:rsidR="009948F1" w:rsidRDefault="00BC0563">
            <w:pPr>
              <w:pStyle w:val="TableParagraph"/>
              <w:ind w:left="29"/>
              <w:rPr>
                <w:sz w:val="14"/>
              </w:rPr>
            </w:pPr>
            <w:r>
              <w:rPr>
                <w:color w:val="231F20"/>
                <w:sz w:val="14"/>
              </w:rPr>
              <w:t>Train health workers</w:t>
            </w:r>
          </w:p>
        </w:tc>
      </w:tr>
      <w:tr w:rsidR="009948F1" w14:paraId="7F4A2F7B" w14:textId="77777777">
        <w:trPr>
          <w:trHeight w:val="324"/>
        </w:trPr>
        <w:tc>
          <w:tcPr>
            <w:tcW w:w="720" w:type="dxa"/>
            <w:gridSpan w:val="2"/>
            <w:vMerge/>
            <w:tcBorders>
              <w:top w:val="nil"/>
              <w:bottom w:val="nil"/>
              <w:right w:val="single" w:sz="6" w:space="0" w:color="231F20"/>
            </w:tcBorders>
          </w:tcPr>
          <w:p w14:paraId="65508478"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5CF6DEC9" w14:textId="77777777" w:rsidR="009948F1" w:rsidRDefault="00BC0563">
            <w:pPr>
              <w:pStyle w:val="TableParagraph"/>
              <w:spacing w:before="83"/>
              <w:ind w:left="52" w:right="30"/>
              <w:jc w:val="center"/>
              <w:rPr>
                <w:sz w:val="14"/>
              </w:rPr>
            </w:pPr>
            <w:r>
              <w:rPr>
                <w:color w:val="231F20"/>
                <w:w w:val="95"/>
                <w:sz w:val="14"/>
              </w:rPr>
              <w:t>5.3.3.b</w:t>
            </w:r>
          </w:p>
        </w:tc>
        <w:tc>
          <w:tcPr>
            <w:tcW w:w="5074" w:type="dxa"/>
            <w:gridSpan w:val="2"/>
            <w:tcBorders>
              <w:top w:val="single" w:sz="6" w:space="0" w:color="231F20"/>
              <w:left w:val="single" w:sz="6" w:space="0" w:color="231F20"/>
              <w:bottom w:val="single" w:sz="6" w:space="0" w:color="231F20"/>
              <w:right w:val="single" w:sz="6" w:space="0" w:color="231F20"/>
            </w:tcBorders>
          </w:tcPr>
          <w:p w14:paraId="05CDB424" w14:textId="77777777" w:rsidR="009948F1" w:rsidRDefault="00BC0563">
            <w:pPr>
              <w:pStyle w:val="TableParagraph"/>
              <w:spacing w:before="77"/>
              <w:ind w:left="27"/>
              <w:rPr>
                <w:sz w:val="14"/>
              </w:rPr>
            </w:pPr>
            <w:r>
              <w:rPr>
                <w:color w:val="231F20"/>
                <w:sz w:val="14"/>
              </w:rPr>
              <w:t>Conduct training/capacity building for HIV Desk officers in 23 LGAs</w:t>
            </w:r>
          </w:p>
        </w:tc>
        <w:tc>
          <w:tcPr>
            <w:tcW w:w="1479" w:type="dxa"/>
            <w:tcBorders>
              <w:top w:val="single" w:sz="6" w:space="0" w:color="231F20"/>
              <w:left w:val="single" w:sz="6" w:space="0" w:color="231F20"/>
              <w:bottom w:val="single" w:sz="6" w:space="0" w:color="231F20"/>
              <w:right w:val="single" w:sz="6" w:space="0" w:color="231F20"/>
            </w:tcBorders>
          </w:tcPr>
          <w:p w14:paraId="3F848ADE" w14:textId="77777777" w:rsidR="009948F1" w:rsidRDefault="00BC0563">
            <w:pPr>
              <w:pStyle w:val="TableParagraph"/>
              <w:spacing w:before="83"/>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5AD02C8E" w14:textId="77777777" w:rsidR="009948F1" w:rsidRDefault="00BC0563">
            <w:pPr>
              <w:pStyle w:val="TableParagraph"/>
              <w:spacing w:before="83"/>
              <w:ind w:left="29"/>
              <w:rPr>
                <w:sz w:val="14"/>
              </w:rPr>
            </w:pPr>
            <w:r>
              <w:rPr>
                <w:color w:val="231F20"/>
                <w:sz w:val="14"/>
              </w:rPr>
              <w:t>Conduct training</w:t>
            </w:r>
          </w:p>
        </w:tc>
      </w:tr>
      <w:tr w:rsidR="009948F1" w14:paraId="52AFD406" w14:textId="77777777">
        <w:trPr>
          <w:trHeight w:val="511"/>
        </w:trPr>
        <w:tc>
          <w:tcPr>
            <w:tcW w:w="720" w:type="dxa"/>
            <w:gridSpan w:val="2"/>
            <w:vMerge/>
            <w:tcBorders>
              <w:top w:val="nil"/>
              <w:bottom w:val="nil"/>
              <w:right w:val="single" w:sz="6" w:space="0" w:color="231F20"/>
            </w:tcBorders>
          </w:tcPr>
          <w:p w14:paraId="5C0C711A"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645BD02E" w14:textId="77777777" w:rsidR="009948F1" w:rsidRDefault="009948F1">
            <w:pPr>
              <w:pStyle w:val="TableParagraph"/>
              <w:spacing w:before="5"/>
              <w:rPr>
                <w:sz w:val="15"/>
              </w:rPr>
            </w:pPr>
          </w:p>
          <w:p w14:paraId="314E5778" w14:textId="77777777" w:rsidR="009948F1" w:rsidRDefault="00BC0563">
            <w:pPr>
              <w:pStyle w:val="TableParagraph"/>
              <w:ind w:left="52" w:right="29"/>
              <w:jc w:val="center"/>
              <w:rPr>
                <w:sz w:val="14"/>
              </w:rPr>
            </w:pPr>
            <w:r>
              <w:rPr>
                <w:color w:val="231F20"/>
                <w:w w:val="95"/>
                <w:sz w:val="14"/>
              </w:rPr>
              <w:t>5.3.3.c</w:t>
            </w:r>
          </w:p>
        </w:tc>
        <w:tc>
          <w:tcPr>
            <w:tcW w:w="5074" w:type="dxa"/>
            <w:gridSpan w:val="2"/>
            <w:tcBorders>
              <w:top w:val="single" w:sz="6" w:space="0" w:color="231F20"/>
              <w:left w:val="single" w:sz="6" w:space="0" w:color="231F20"/>
              <w:bottom w:val="single" w:sz="6" w:space="0" w:color="231F20"/>
              <w:right w:val="single" w:sz="6" w:space="0" w:color="231F20"/>
            </w:tcBorders>
          </w:tcPr>
          <w:p w14:paraId="257E5982" w14:textId="77777777" w:rsidR="009948F1" w:rsidRDefault="00BC0563">
            <w:pPr>
              <w:pStyle w:val="TableParagraph"/>
              <w:spacing w:before="5" w:line="271" w:lineRule="auto"/>
              <w:ind w:left="27" w:right="393"/>
              <w:rPr>
                <w:sz w:val="14"/>
              </w:rPr>
            </w:pPr>
            <w:r>
              <w:rPr>
                <w:color w:val="231F20"/>
                <w:w w:val="95"/>
                <w:sz w:val="14"/>
              </w:rPr>
              <w:t xml:space="preserve">Conduct regular review meeting of HIV desk officers and stakeholders on data </w:t>
            </w:r>
            <w:r>
              <w:rPr>
                <w:color w:val="231F20"/>
                <w:w w:val="90"/>
                <w:sz w:val="14"/>
              </w:rPr>
              <w:t>harmonization</w:t>
            </w:r>
            <w:r>
              <w:rPr>
                <w:color w:val="231F20"/>
                <w:spacing w:val="-10"/>
                <w:w w:val="90"/>
                <w:sz w:val="14"/>
              </w:rPr>
              <w:t xml:space="preserve"> </w:t>
            </w:r>
            <w:r>
              <w:rPr>
                <w:color w:val="231F20"/>
                <w:w w:val="90"/>
                <w:sz w:val="14"/>
              </w:rPr>
              <w:t>in</w:t>
            </w:r>
            <w:r>
              <w:rPr>
                <w:color w:val="231F20"/>
                <w:spacing w:val="-9"/>
                <w:w w:val="90"/>
                <w:sz w:val="14"/>
              </w:rPr>
              <w:t xml:space="preserve"> </w:t>
            </w:r>
            <w:r>
              <w:rPr>
                <w:color w:val="231F20"/>
                <w:w w:val="90"/>
                <w:sz w:val="14"/>
              </w:rPr>
              <w:t>the</w:t>
            </w:r>
            <w:r>
              <w:rPr>
                <w:color w:val="231F20"/>
                <w:spacing w:val="-10"/>
                <w:w w:val="90"/>
                <w:sz w:val="14"/>
              </w:rPr>
              <w:t xml:space="preserve"> </w:t>
            </w:r>
            <w:r>
              <w:rPr>
                <w:color w:val="231F20"/>
                <w:w w:val="90"/>
                <w:sz w:val="14"/>
              </w:rPr>
              <w:t>state</w:t>
            </w:r>
            <w:r>
              <w:rPr>
                <w:color w:val="231F20"/>
                <w:spacing w:val="-9"/>
                <w:w w:val="90"/>
                <w:sz w:val="14"/>
              </w:rPr>
              <w:t xml:space="preserve"> </w:t>
            </w:r>
            <w:r>
              <w:rPr>
                <w:color w:val="231F20"/>
                <w:w w:val="90"/>
                <w:sz w:val="14"/>
              </w:rPr>
              <w:t>(Expand</w:t>
            </w:r>
            <w:r>
              <w:rPr>
                <w:color w:val="231F20"/>
                <w:spacing w:val="-10"/>
                <w:w w:val="90"/>
                <w:sz w:val="14"/>
              </w:rPr>
              <w:t xml:space="preserve"> </w:t>
            </w:r>
            <w:r>
              <w:rPr>
                <w:color w:val="231F20"/>
                <w:w w:val="90"/>
                <w:sz w:val="14"/>
              </w:rPr>
              <w:t>access</w:t>
            </w:r>
            <w:r>
              <w:rPr>
                <w:color w:val="231F20"/>
                <w:spacing w:val="-9"/>
                <w:w w:val="90"/>
                <w:sz w:val="14"/>
              </w:rPr>
              <w:t xml:space="preserve"> </w:t>
            </w:r>
            <w:r>
              <w:rPr>
                <w:color w:val="231F20"/>
                <w:w w:val="90"/>
                <w:sz w:val="14"/>
              </w:rPr>
              <w:t>of</w:t>
            </w:r>
            <w:r>
              <w:rPr>
                <w:color w:val="231F20"/>
                <w:spacing w:val="-10"/>
                <w:w w:val="90"/>
                <w:sz w:val="14"/>
              </w:rPr>
              <w:t xml:space="preserve"> </w:t>
            </w:r>
            <w:r>
              <w:rPr>
                <w:color w:val="231F20"/>
                <w:w w:val="90"/>
                <w:sz w:val="14"/>
              </w:rPr>
              <w:t>pregnant</w:t>
            </w:r>
            <w:r>
              <w:rPr>
                <w:color w:val="231F20"/>
                <w:spacing w:val="-9"/>
                <w:w w:val="90"/>
                <w:sz w:val="14"/>
              </w:rPr>
              <w:t xml:space="preserve"> </w:t>
            </w:r>
            <w:r>
              <w:rPr>
                <w:color w:val="231F20"/>
                <w:w w:val="90"/>
                <w:sz w:val="14"/>
              </w:rPr>
              <w:t>women</w:t>
            </w:r>
            <w:r>
              <w:rPr>
                <w:color w:val="231F20"/>
                <w:spacing w:val="-10"/>
                <w:w w:val="90"/>
                <w:sz w:val="14"/>
              </w:rPr>
              <w:t xml:space="preserve"> </w:t>
            </w:r>
            <w:r>
              <w:rPr>
                <w:color w:val="231F20"/>
                <w:w w:val="90"/>
                <w:sz w:val="14"/>
              </w:rPr>
              <w:t>to</w:t>
            </w:r>
            <w:r>
              <w:rPr>
                <w:color w:val="231F20"/>
                <w:spacing w:val="-9"/>
                <w:w w:val="90"/>
                <w:sz w:val="14"/>
              </w:rPr>
              <w:t xml:space="preserve"> </w:t>
            </w:r>
            <w:r>
              <w:rPr>
                <w:color w:val="231F20"/>
                <w:w w:val="90"/>
                <w:sz w:val="14"/>
              </w:rPr>
              <w:t>testing</w:t>
            </w:r>
            <w:r>
              <w:rPr>
                <w:color w:val="231F20"/>
                <w:spacing w:val="-10"/>
                <w:w w:val="90"/>
                <w:sz w:val="14"/>
              </w:rPr>
              <w:t xml:space="preserve"> </w:t>
            </w:r>
            <w:r>
              <w:rPr>
                <w:color w:val="231F20"/>
                <w:w w:val="90"/>
                <w:sz w:val="14"/>
              </w:rPr>
              <w:t>and</w:t>
            </w:r>
            <w:r>
              <w:rPr>
                <w:color w:val="231F20"/>
                <w:spacing w:val="-14"/>
                <w:w w:val="90"/>
                <w:sz w:val="14"/>
              </w:rPr>
              <w:t xml:space="preserve"> </w:t>
            </w:r>
            <w:r>
              <w:rPr>
                <w:color w:val="231F20"/>
                <w:w w:val="90"/>
                <w:sz w:val="14"/>
              </w:rPr>
              <w:t>ART</w:t>
            </w:r>
            <w:r>
              <w:rPr>
                <w:color w:val="231F20"/>
                <w:spacing w:val="-11"/>
                <w:w w:val="90"/>
                <w:sz w:val="14"/>
              </w:rPr>
              <w:t xml:space="preserve"> </w:t>
            </w:r>
            <w:r>
              <w:rPr>
                <w:color w:val="231F20"/>
                <w:w w:val="90"/>
                <w:sz w:val="14"/>
              </w:rPr>
              <w:t>for</w:t>
            </w:r>
          </w:p>
          <w:p w14:paraId="7B3C8B91" w14:textId="77777777" w:rsidR="009948F1" w:rsidRDefault="00BC0563">
            <w:pPr>
              <w:pStyle w:val="TableParagraph"/>
              <w:spacing w:line="122" w:lineRule="exact"/>
              <w:ind w:left="27"/>
              <w:rPr>
                <w:sz w:val="14"/>
              </w:rPr>
            </w:pPr>
            <w:r>
              <w:rPr>
                <w:color w:val="231F20"/>
                <w:sz w:val="14"/>
              </w:rPr>
              <w:t>pregnant women exposed infants to diagnosis)</w:t>
            </w:r>
          </w:p>
        </w:tc>
        <w:tc>
          <w:tcPr>
            <w:tcW w:w="1479" w:type="dxa"/>
            <w:tcBorders>
              <w:top w:val="single" w:sz="6" w:space="0" w:color="231F20"/>
              <w:left w:val="single" w:sz="6" w:space="0" w:color="231F20"/>
              <w:bottom w:val="single" w:sz="6" w:space="0" w:color="231F20"/>
              <w:right w:val="single" w:sz="6" w:space="0" w:color="231F20"/>
            </w:tcBorders>
          </w:tcPr>
          <w:p w14:paraId="5CC3347B" w14:textId="77777777" w:rsidR="009948F1" w:rsidRDefault="009948F1">
            <w:pPr>
              <w:pStyle w:val="TableParagraph"/>
              <w:spacing w:before="5"/>
              <w:rPr>
                <w:sz w:val="15"/>
              </w:rPr>
            </w:pPr>
          </w:p>
          <w:p w14:paraId="47C147CC"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5CEC3347" w14:textId="77777777" w:rsidR="009948F1" w:rsidRDefault="009948F1">
            <w:pPr>
              <w:pStyle w:val="TableParagraph"/>
              <w:spacing w:before="5"/>
              <w:rPr>
                <w:sz w:val="15"/>
              </w:rPr>
            </w:pPr>
          </w:p>
          <w:p w14:paraId="6C780049" w14:textId="77777777" w:rsidR="009948F1" w:rsidRDefault="00BC0563">
            <w:pPr>
              <w:pStyle w:val="TableParagraph"/>
              <w:ind w:left="63"/>
              <w:rPr>
                <w:sz w:val="14"/>
              </w:rPr>
            </w:pPr>
            <w:r>
              <w:rPr>
                <w:color w:val="231F20"/>
                <w:sz w:val="14"/>
              </w:rPr>
              <w:t>Conduct meeting</w:t>
            </w:r>
          </w:p>
        </w:tc>
      </w:tr>
      <w:tr w:rsidR="009948F1" w14:paraId="72D0CCEC" w14:textId="77777777">
        <w:trPr>
          <w:trHeight w:val="439"/>
        </w:trPr>
        <w:tc>
          <w:tcPr>
            <w:tcW w:w="720" w:type="dxa"/>
            <w:gridSpan w:val="2"/>
            <w:vMerge/>
            <w:tcBorders>
              <w:top w:val="nil"/>
              <w:bottom w:val="nil"/>
              <w:right w:val="single" w:sz="6" w:space="0" w:color="231F20"/>
            </w:tcBorders>
          </w:tcPr>
          <w:p w14:paraId="3E65CC69"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625FB701" w14:textId="77777777" w:rsidR="009948F1" w:rsidRDefault="009948F1">
            <w:pPr>
              <w:pStyle w:val="TableParagraph"/>
              <w:spacing w:before="3"/>
              <w:rPr>
                <w:sz w:val="12"/>
              </w:rPr>
            </w:pPr>
          </w:p>
          <w:p w14:paraId="0CFC798F" w14:textId="77777777" w:rsidR="009948F1" w:rsidRDefault="00BC0563">
            <w:pPr>
              <w:pStyle w:val="TableParagraph"/>
              <w:ind w:left="52" w:right="30"/>
              <w:jc w:val="center"/>
              <w:rPr>
                <w:sz w:val="14"/>
              </w:rPr>
            </w:pPr>
            <w:r>
              <w:rPr>
                <w:color w:val="231F20"/>
                <w:w w:val="95"/>
                <w:sz w:val="14"/>
              </w:rPr>
              <w:t>5.3.3.d</w:t>
            </w:r>
          </w:p>
        </w:tc>
        <w:tc>
          <w:tcPr>
            <w:tcW w:w="5074" w:type="dxa"/>
            <w:gridSpan w:val="2"/>
            <w:tcBorders>
              <w:top w:val="single" w:sz="6" w:space="0" w:color="231F20"/>
              <w:left w:val="single" w:sz="6" w:space="0" w:color="231F20"/>
              <w:bottom w:val="single" w:sz="6" w:space="0" w:color="231F20"/>
              <w:right w:val="single" w:sz="6" w:space="0" w:color="231F20"/>
            </w:tcBorders>
          </w:tcPr>
          <w:p w14:paraId="4CD00E68" w14:textId="77777777" w:rsidR="009948F1" w:rsidRDefault="00BC0563">
            <w:pPr>
              <w:pStyle w:val="TableParagraph"/>
              <w:spacing w:before="45" w:line="271" w:lineRule="auto"/>
              <w:ind w:left="27" w:right="136"/>
              <w:rPr>
                <w:sz w:val="14"/>
              </w:rPr>
            </w:pPr>
            <w:r>
              <w:rPr>
                <w:color w:val="231F20"/>
                <w:w w:val="90"/>
                <w:sz w:val="14"/>
              </w:rPr>
              <w:t>Conduct</w:t>
            </w:r>
            <w:r>
              <w:rPr>
                <w:color w:val="231F20"/>
                <w:spacing w:val="-12"/>
                <w:w w:val="90"/>
                <w:sz w:val="14"/>
              </w:rPr>
              <w:t xml:space="preserve"> </w:t>
            </w:r>
            <w:r>
              <w:rPr>
                <w:color w:val="231F20"/>
                <w:w w:val="90"/>
                <w:sz w:val="14"/>
              </w:rPr>
              <w:t>enlightenment</w:t>
            </w:r>
            <w:r>
              <w:rPr>
                <w:color w:val="231F20"/>
                <w:spacing w:val="-12"/>
                <w:w w:val="90"/>
                <w:sz w:val="14"/>
              </w:rPr>
              <w:t xml:space="preserve"> </w:t>
            </w:r>
            <w:r>
              <w:rPr>
                <w:color w:val="231F20"/>
                <w:w w:val="90"/>
                <w:sz w:val="14"/>
              </w:rPr>
              <w:t>and</w:t>
            </w:r>
            <w:r>
              <w:rPr>
                <w:color w:val="231F20"/>
                <w:spacing w:val="-11"/>
                <w:w w:val="90"/>
                <w:sz w:val="14"/>
              </w:rPr>
              <w:t xml:space="preserve"> </w:t>
            </w:r>
            <w:r>
              <w:rPr>
                <w:color w:val="231F20"/>
                <w:w w:val="90"/>
                <w:sz w:val="14"/>
              </w:rPr>
              <w:t>orientation</w:t>
            </w:r>
            <w:r>
              <w:rPr>
                <w:color w:val="231F20"/>
                <w:spacing w:val="-12"/>
                <w:w w:val="90"/>
                <w:sz w:val="14"/>
              </w:rPr>
              <w:t xml:space="preserve"> </w:t>
            </w:r>
            <w:r>
              <w:rPr>
                <w:color w:val="231F20"/>
                <w:w w:val="90"/>
                <w:sz w:val="14"/>
              </w:rPr>
              <w:t>activities</w:t>
            </w:r>
            <w:r>
              <w:rPr>
                <w:color w:val="231F20"/>
                <w:spacing w:val="-11"/>
                <w:w w:val="90"/>
                <w:sz w:val="14"/>
              </w:rPr>
              <w:t xml:space="preserve"> </w:t>
            </w:r>
            <w:r>
              <w:rPr>
                <w:color w:val="231F20"/>
                <w:w w:val="90"/>
                <w:sz w:val="14"/>
              </w:rPr>
              <w:t>on</w:t>
            </w:r>
            <w:r>
              <w:rPr>
                <w:color w:val="231F20"/>
                <w:spacing w:val="-12"/>
                <w:w w:val="90"/>
                <w:sz w:val="14"/>
              </w:rPr>
              <w:t xml:space="preserve"> </w:t>
            </w:r>
            <w:r>
              <w:rPr>
                <w:color w:val="231F20"/>
                <w:w w:val="90"/>
                <w:sz w:val="14"/>
              </w:rPr>
              <w:t>PMTCT</w:t>
            </w:r>
            <w:r>
              <w:rPr>
                <w:color w:val="231F20"/>
                <w:spacing w:val="-13"/>
                <w:w w:val="90"/>
                <w:sz w:val="14"/>
              </w:rPr>
              <w:t xml:space="preserve"> </w:t>
            </w:r>
            <w:r>
              <w:rPr>
                <w:color w:val="231F20"/>
                <w:w w:val="90"/>
                <w:sz w:val="14"/>
              </w:rPr>
              <w:t>in</w:t>
            </w:r>
            <w:r>
              <w:rPr>
                <w:color w:val="231F20"/>
                <w:spacing w:val="-17"/>
                <w:w w:val="90"/>
                <w:sz w:val="14"/>
              </w:rPr>
              <w:t xml:space="preserve"> </w:t>
            </w:r>
            <w:r>
              <w:rPr>
                <w:color w:val="231F20"/>
                <w:w w:val="90"/>
                <w:sz w:val="14"/>
              </w:rPr>
              <w:t>ANCs</w:t>
            </w:r>
            <w:r>
              <w:rPr>
                <w:color w:val="231F20"/>
                <w:spacing w:val="12"/>
                <w:w w:val="90"/>
                <w:sz w:val="14"/>
              </w:rPr>
              <w:t xml:space="preserve"> </w:t>
            </w:r>
            <w:r>
              <w:rPr>
                <w:color w:val="231F20"/>
                <w:w w:val="90"/>
                <w:sz w:val="14"/>
              </w:rPr>
              <w:t>(Testing</w:t>
            </w:r>
            <w:r>
              <w:rPr>
                <w:color w:val="231F20"/>
                <w:spacing w:val="-11"/>
                <w:w w:val="90"/>
                <w:sz w:val="14"/>
              </w:rPr>
              <w:t xml:space="preserve"> </w:t>
            </w:r>
            <w:r>
              <w:rPr>
                <w:color w:val="231F20"/>
                <w:w w:val="90"/>
                <w:sz w:val="14"/>
              </w:rPr>
              <w:t>of</w:t>
            </w:r>
            <w:r>
              <w:rPr>
                <w:color w:val="231F20"/>
                <w:spacing w:val="-12"/>
                <w:w w:val="90"/>
                <w:sz w:val="14"/>
              </w:rPr>
              <w:t xml:space="preserve"> </w:t>
            </w:r>
            <w:r>
              <w:rPr>
                <w:color w:val="231F20"/>
                <w:w w:val="90"/>
                <w:sz w:val="14"/>
              </w:rPr>
              <w:t xml:space="preserve">pregnant </w:t>
            </w:r>
            <w:r>
              <w:rPr>
                <w:color w:val="231F20"/>
                <w:sz w:val="14"/>
              </w:rPr>
              <w:t>women)</w:t>
            </w:r>
          </w:p>
        </w:tc>
        <w:tc>
          <w:tcPr>
            <w:tcW w:w="1479" w:type="dxa"/>
            <w:tcBorders>
              <w:top w:val="single" w:sz="6" w:space="0" w:color="231F20"/>
              <w:left w:val="single" w:sz="6" w:space="0" w:color="231F20"/>
              <w:bottom w:val="single" w:sz="6" w:space="0" w:color="231F20"/>
              <w:right w:val="single" w:sz="6" w:space="0" w:color="231F20"/>
            </w:tcBorders>
          </w:tcPr>
          <w:p w14:paraId="64C5931B" w14:textId="77777777" w:rsidR="009948F1" w:rsidRDefault="009948F1">
            <w:pPr>
              <w:pStyle w:val="TableParagraph"/>
              <w:spacing w:before="3"/>
              <w:rPr>
                <w:sz w:val="12"/>
              </w:rPr>
            </w:pPr>
          </w:p>
          <w:p w14:paraId="0AA95F29"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1EB44E09" w14:textId="77777777" w:rsidR="009948F1" w:rsidRDefault="009948F1">
            <w:pPr>
              <w:pStyle w:val="TableParagraph"/>
              <w:spacing w:before="3"/>
              <w:rPr>
                <w:sz w:val="12"/>
              </w:rPr>
            </w:pPr>
          </w:p>
          <w:p w14:paraId="06227435" w14:textId="77777777" w:rsidR="009948F1" w:rsidRDefault="00BC0563">
            <w:pPr>
              <w:pStyle w:val="TableParagraph"/>
              <w:ind w:left="29"/>
              <w:rPr>
                <w:sz w:val="14"/>
              </w:rPr>
            </w:pPr>
            <w:r>
              <w:rPr>
                <w:color w:val="231F20"/>
                <w:sz w:val="14"/>
              </w:rPr>
              <w:t>Conduct enlightenment</w:t>
            </w:r>
          </w:p>
        </w:tc>
      </w:tr>
      <w:tr w:rsidR="009948F1" w14:paraId="72BC7487" w14:textId="77777777">
        <w:trPr>
          <w:trHeight w:val="448"/>
        </w:trPr>
        <w:tc>
          <w:tcPr>
            <w:tcW w:w="720" w:type="dxa"/>
            <w:gridSpan w:val="2"/>
            <w:vMerge/>
            <w:tcBorders>
              <w:top w:val="nil"/>
              <w:bottom w:val="nil"/>
              <w:right w:val="single" w:sz="6" w:space="0" w:color="231F20"/>
            </w:tcBorders>
          </w:tcPr>
          <w:p w14:paraId="4F52785D"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29E060BA" w14:textId="77777777" w:rsidR="009948F1" w:rsidRDefault="009948F1">
            <w:pPr>
              <w:pStyle w:val="TableParagraph"/>
              <w:spacing w:before="7"/>
              <w:rPr>
                <w:sz w:val="12"/>
              </w:rPr>
            </w:pPr>
          </w:p>
          <w:p w14:paraId="1FEB8A5A" w14:textId="77777777" w:rsidR="009948F1" w:rsidRDefault="00BC0563">
            <w:pPr>
              <w:pStyle w:val="TableParagraph"/>
              <w:ind w:left="52" w:right="30"/>
              <w:jc w:val="center"/>
              <w:rPr>
                <w:sz w:val="14"/>
              </w:rPr>
            </w:pPr>
            <w:r>
              <w:rPr>
                <w:color w:val="231F20"/>
                <w:w w:val="95"/>
                <w:sz w:val="14"/>
              </w:rPr>
              <w:t>5.3.3.e</w:t>
            </w:r>
          </w:p>
        </w:tc>
        <w:tc>
          <w:tcPr>
            <w:tcW w:w="5074" w:type="dxa"/>
            <w:gridSpan w:val="2"/>
            <w:tcBorders>
              <w:top w:val="single" w:sz="6" w:space="0" w:color="231F20"/>
              <w:left w:val="single" w:sz="6" w:space="0" w:color="231F20"/>
              <w:bottom w:val="single" w:sz="6" w:space="0" w:color="231F20"/>
              <w:right w:val="single" w:sz="6" w:space="0" w:color="231F20"/>
            </w:tcBorders>
          </w:tcPr>
          <w:p w14:paraId="2A275CD0" w14:textId="77777777" w:rsidR="009948F1" w:rsidRDefault="009948F1">
            <w:pPr>
              <w:pStyle w:val="TableParagraph"/>
              <w:spacing w:before="1"/>
              <w:rPr>
                <w:sz w:val="12"/>
              </w:rPr>
            </w:pPr>
          </w:p>
          <w:p w14:paraId="4320614B" w14:textId="77777777" w:rsidR="009948F1" w:rsidRDefault="00BC0563">
            <w:pPr>
              <w:pStyle w:val="TableParagraph"/>
              <w:ind w:left="27"/>
              <w:rPr>
                <w:sz w:val="14"/>
              </w:rPr>
            </w:pPr>
            <w:r>
              <w:rPr>
                <w:color w:val="231F20"/>
                <w:w w:val="95"/>
                <w:sz w:val="14"/>
              </w:rPr>
              <w:t>Conduct HIV awareness campaign for adolescents in secondary schools in 23 LGAs</w:t>
            </w:r>
          </w:p>
        </w:tc>
        <w:tc>
          <w:tcPr>
            <w:tcW w:w="1479" w:type="dxa"/>
            <w:tcBorders>
              <w:top w:val="single" w:sz="6" w:space="0" w:color="231F20"/>
              <w:left w:val="single" w:sz="6" w:space="0" w:color="231F20"/>
              <w:bottom w:val="single" w:sz="6" w:space="0" w:color="231F20"/>
              <w:right w:val="single" w:sz="6" w:space="0" w:color="231F20"/>
            </w:tcBorders>
          </w:tcPr>
          <w:p w14:paraId="4C4149E5" w14:textId="77777777" w:rsidR="009948F1" w:rsidRDefault="009948F1">
            <w:pPr>
              <w:pStyle w:val="TableParagraph"/>
              <w:spacing w:before="7"/>
              <w:rPr>
                <w:sz w:val="12"/>
              </w:rPr>
            </w:pPr>
          </w:p>
          <w:p w14:paraId="7FBCB340"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05358F05" w14:textId="77777777" w:rsidR="009948F1" w:rsidRDefault="00BC0563">
            <w:pPr>
              <w:pStyle w:val="TableParagraph"/>
              <w:spacing w:before="55" w:line="271" w:lineRule="auto"/>
              <w:ind w:left="29"/>
              <w:rPr>
                <w:sz w:val="14"/>
              </w:rPr>
            </w:pPr>
            <w:r>
              <w:rPr>
                <w:color w:val="231F20"/>
                <w:w w:val="85"/>
                <w:sz w:val="14"/>
              </w:rPr>
              <w:t xml:space="preserve">Conduct awareness </w:t>
            </w:r>
            <w:r>
              <w:rPr>
                <w:color w:val="231F20"/>
                <w:sz w:val="14"/>
              </w:rPr>
              <w:t>campaign</w:t>
            </w:r>
          </w:p>
        </w:tc>
      </w:tr>
      <w:tr w:rsidR="009948F1" w14:paraId="6755668A" w14:textId="77777777">
        <w:trPr>
          <w:trHeight w:val="1367"/>
        </w:trPr>
        <w:tc>
          <w:tcPr>
            <w:tcW w:w="249" w:type="dxa"/>
            <w:tcBorders>
              <w:top w:val="nil"/>
              <w:bottom w:val="nil"/>
              <w:right w:val="single" w:sz="6" w:space="0" w:color="231F20"/>
            </w:tcBorders>
          </w:tcPr>
          <w:p w14:paraId="42CF4459" w14:textId="77777777" w:rsidR="009948F1" w:rsidRDefault="009948F1">
            <w:pPr>
              <w:pStyle w:val="TableParagraph"/>
              <w:rPr>
                <w:rFonts w:ascii="Times New Roman"/>
                <w:sz w:val="12"/>
              </w:rPr>
            </w:pPr>
          </w:p>
        </w:tc>
        <w:tc>
          <w:tcPr>
            <w:tcW w:w="471" w:type="dxa"/>
            <w:tcBorders>
              <w:top w:val="single" w:sz="6" w:space="0" w:color="231F20"/>
              <w:left w:val="single" w:sz="6" w:space="0" w:color="231F20"/>
              <w:bottom w:val="single" w:sz="6" w:space="0" w:color="231F20"/>
              <w:right w:val="single" w:sz="6" w:space="0" w:color="231F20"/>
            </w:tcBorders>
            <w:shd w:val="clear" w:color="auto" w:fill="CCE7D3"/>
          </w:tcPr>
          <w:p w14:paraId="247DD3FD" w14:textId="77777777" w:rsidR="009948F1" w:rsidRDefault="009948F1">
            <w:pPr>
              <w:pStyle w:val="TableParagraph"/>
              <w:rPr>
                <w:sz w:val="14"/>
              </w:rPr>
            </w:pPr>
          </w:p>
          <w:p w14:paraId="0A3A5998" w14:textId="77777777" w:rsidR="009948F1" w:rsidRDefault="009948F1">
            <w:pPr>
              <w:pStyle w:val="TableParagraph"/>
              <w:rPr>
                <w:sz w:val="14"/>
              </w:rPr>
            </w:pPr>
          </w:p>
          <w:p w14:paraId="7B8BD709" w14:textId="77777777" w:rsidR="009948F1" w:rsidRDefault="009948F1">
            <w:pPr>
              <w:pStyle w:val="TableParagraph"/>
              <w:rPr>
                <w:sz w:val="14"/>
              </w:rPr>
            </w:pPr>
          </w:p>
          <w:p w14:paraId="3EC564AA" w14:textId="77777777" w:rsidR="009948F1" w:rsidRDefault="00BC0563">
            <w:pPr>
              <w:pStyle w:val="TableParagraph"/>
              <w:spacing w:before="122"/>
              <w:ind w:left="60"/>
              <w:rPr>
                <w:sz w:val="14"/>
              </w:rPr>
            </w:pPr>
            <w:r>
              <w:rPr>
                <w:color w:val="231F20"/>
                <w:sz w:val="14"/>
              </w:rPr>
              <w:t>5.3.4</w:t>
            </w:r>
          </w:p>
        </w:tc>
        <w:tc>
          <w:tcPr>
            <w:tcW w:w="3148" w:type="dxa"/>
            <w:gridSpan w:val="2"/>
            <w:tcBorders>
              <w:top w:val="single" w:sz="6" w:space="0" w:color="231F20"/>
              <w:left w:val="single" w:sz="6" w:space="0" w:color="231F20"/>
              <w:bottom w:val="single" w:sz="6" w:space="0" w:color="231F20"/>
              <w:right w:val="single" w:sz="6" w:space="0" w:color="231F20"/>
            </w:tcBorders>
            <w:shd w:val="clear" w:color="auto" w:fill="CCE7D3"/>
          </w:tcPr>
          <w:p w14:paraId="35B392EB" w14:textId="77777777" w:rsidR="009948F1" w:rsidRDefault="009948F1">
            <w:pPr>
              <w:pStyle w:val="TableParagraph"/>
              <w:rPr>
                <w:sz w:val="14"/>
              </w:rPr>
            </w:pPr>
          </w:p>
          <w:p w14:paraId="45180DF3" w14:textId="77777777" w:rsidR="009948F1" w:rsidRDefault="009948F1">
            <w:pPr>
              <w:pStyle w:val="TableParagraph"/>
              <w:rPr>
                <w:sz w:val="14"/>
              </w:rPr>
            </w:pPr>
          </w:p>
          <w:p w14:paraId="46DBEF2E" w14:textId="77777777" w:rsidR="009948F1" w:rsidRDefault="009948F1">
            <w:pPr>
              <w:pStyle w:val="TableParagraph"/>
              <w:spacing w:before="2"/>
              <w:rPr>
                <w:sz w:val="16"/>
              </w:rPr>
            </w:pPr>
          </w:p>
          <w:p w14:paraId="7E73919F" w14:textId="77777777" w:rsidR="009948F1" w:rsidRDefault="00BC0563">
            <w:pPr>
              <w:pStyle w:val="TableParagraph"/>
              <w:spacing w:line="271" w:lineRule="auto"/>
              <w:ind w:left="26" w:right="174" w:firstLine="34"/>
              <w:rPr>
                <w:sz w:val="14"/>
              </w:rPr>
            </w:pPr>
            <w:r>
              <w:rPr>
                <w:color w:val="231F20"/>
                <w:w w:val="90"/>
                <w:sz w:val="14"/>
              </w:rPr>
              <w:t xml:space="preserve">Strengthen referral and linkages between HIV/AIDS </w:t>
            </w:r>
            <w:r>
              <w:rPr>
                <w:color w:val="231F20"/>
                <w:sz w:val="14"/>
              </w:rPr>
              <w:t>services and other health and social services</w:t>
            </w:r>
          </w:p>
        </w:tc>
        <w:tc>
          <w:tcPr>
            <w:tcW w:w="2471" w:type="dxa"/>
            <w:tcBorders>
              <w:top w:val="single" w:sz="6" w:space="0" w:color="231F20"/>
              <w:left w:val="single" w:sz="6" w:space="0" w:color="231F20"/>
              <w:bottom w:val="single" w:sz="6" w:space="0" w:color="231F20"/>
              <w:right w:val="single" w:sz="6" w:space="0" w:color="231F20"/>
            </w:tcBorders>
            <w:shd w:val="clear" w:color="auto" w:fill="CCE7D3"/>
          </w:tcPr>
          <w:p w14:paraId="32A67FC4" w14:textId="77777777" w:rsidR="009948F1" w:rsidRDefault="00BC0563">
            <w:pPr>
              <w:pStyle w:val="TableParagraph"/>
              <w:numPr>
                <w:ilvl w:val="0"/>
                <w:numId w:val="147"/>
              </w:numPr>
              <w:tabs>
                <w:tab w:val="left" w:pos="103"/>
              </w:tabs>
              <w:spacing w:before="61" w:line="271" w:lineRule="auto"/>
              <w:ind w:right="102" w:firstLine="0"/>
              <w:jc w:val="both"/>
              <w:rPr>
                <w:sz w:val="14"/>
              </w:rPr>
            </w:pPr>
            <w:r>
              <w:rPr>
                <w:color w:val="231F20"/>
                <w:w w:val="95"/>
                <w:sz w:val="14"/>
              </w:rPr>
              <w:t>TBA</w:t>
            </w:r>
            <w:r>
              <w:rPr>
                <w:color w:val="231F20"/>
                <w:spacing w:val="-28"/>
                <w:w w:val="95"/>
                <w:sz w:val="14"/>
              </w:rPr>
              <w:t xml:space="preserve"> </w:t>
            </w:r>
            <w:r>
              <w:rPr>
                <w:color w:val="231F20"/>
                <w:w w:val="95"/>
                <w:sz w:val="14"/>
              </w:rPr>
              <w:t>/</w:t>
            </w:r>
            <w:r>
              <w:rPr>
                <w:color w:val="231F20"/>
                <w:spacing w:val="-25"/>
                <w:w w:val="95"/>
                <w:sz w:val="14"/>
              </w:rPr>
              <w:t xml:space="preserve"> </w:t>
            </w:r>
            <w:r>
              <w:rPr>
                <w:color w:val="231F20"/>
                <w:w w:val="95"/>
                <w:sz w:val="14"/>
              </w:rPr>
              <w:t>private</w:t>
            </w:r>
            <w:r>
              <w:rPr>
                <w:color w:val="231F20"/>
                <w:spacing w:val="-24"/>
                <w:w w:val="95"/>
                <w:sz w:val="14"/>
              </w:rPr>
              <w:t xml:space="preserve"> </w:t>
            </w:r>
            <w:r>
              <w:rPr>
                <w:color w:val="231F20"/>
                <w:w w:val="95"/>
                <w:sz w:val="14"/>
              </w:rPr>
              <w:t>health</w:t>
            </w:r>
            <w:r>
              <w:rPr>
                <w:color w:val="231F20"/>
                <w:spacing w:val="-25"/>
                <w:w w:val="95"/>
                <w:sz w:val="14"/>
              </w:rPr>
              <w:t xml:space="preserve"> </w:t>
            </w:r>
            <w:r>
              <w:rPr>
                <w:color w:val="231F20"/>
                <w:w w:val="95"/>
                <w:sz w:val="14"/>
              </w:rPr>
              <w:t>facilities</w:t>
            </w:r>
            <w:r>
              <w:rPr>
                <w:color w:val="231F20"/>
                <w:spacing w:val="-13"/>
                <w:w w:val="95"/>
                <w:sz w:val="14"/>
              </w:rPr>
              <w:t xml:space="preserve"> </w:t>
            </w:r>
            <w:r>
              <w:rPr>
                <w:color w:val="231F20"/>
                <w:w w:val="95"/>
                <w:sz w:val="14"/>
              </w:rPr>
              <w:t>engaged</w:t>
            </w:r>
            <w:r>
              <w:rPr>
                <w:color w:val="231F20"/>
                <w:spacing w:val="-25"/>
                <w:w w:val="95"/>
                <w:sz w:val="14"/>
              </w:rPr>
              <w:t xml:space="preserve"> </w:t>
            </w:r>
            <w:r>
              <w:rPr>
                <w:color w:val="231F20"/>
                <w:w w:val="95"/>
                <w:sz w:val="14"/>
              </w:rPr>
              <w:t xml:space="preserve">to </w:t>
            </w:r>
            <w:r>
              <w:rPr>
                <w:color w:val="231F20"/>
                <w:w w:val="90"/>
                <w:sz w:val="14"/>
              </w:rPr>
              <w:t>provide</w:t>
            </w:r>
            <w:r>
              <w:rPr>
                <w:color w:val="231F20"/>
                <w:spacing w:val="-9"/>
                <w:w w:val="90"/>
                <w:sz w:val="14"/>
              </w:rPr>
              <w:t xml:space="preserve"> </w:t>
            </w:r>
            <w:r>
              <w:rPr>
                <w:color w:val="231F20"/>
                <w:w w:val="90"/>
                <w:sz w:val="14"/>
              </w:rPr>
              <w:t>PMTCT</w:t>
            </w:r>
            <w:r>
              <w:rPr>
                <w:color w:val="231F20"/>
                <w:spacing w:val="-11"/>
                <w:w w:val="90"/>
                <w:sz w:val="14"/>
              </w:rPr>
              <w:t xml:space="preserve"> </w:t>
            </w:r>
            <w:r>
              <w:rPr>
                <w:color w:val="231F20"/>
                <w:w w:val="90"/>
                <w:sz w:val="14"/>
              </w:rPr>
              <w:t>service</w:t>
            </w:r>
            <w:r>
              <w:rPr>
                <w:color w:val="231F20"/>
                <w:spacing w:val="-9"/>
                <w:w w:val="90"/>
                <w:sz w:val="14"/>
              </w:rPr>
              <w:t xml:space="preserve"> </w:t>
            </w:r>
            <w:r>
              <w:rPr>
                <w:color w:val="231F20"/>
                <w:w w:val="90"/>
                <w:sz w:val="14"/>
              </w:rPr>
              <w:t>or</w:t>
            </w:r>
            <w:r>
              <w:rPr>
                <w:color w:val="231F20"/>
                <w:spacing w:val="-9"/>
                <w:w w:val="90"/>
                <w:sz w:val="14"/>
              </w:rPr>
              <w:t xml:space="preserve"> </w:t>
            </w:r>
            <w:r>
              <w:rPr>
                <w:color w:val="231F20"/>
                <w:w w:val="90"/>
                <w:sz w:val="14"/>
              </w:rPr>
              <w:t>make</w:t>
            </w:r>
            <w:r>
              <w:rPr>
                <w:color w:val="231F20"/>
                <w:spacing w:val="-9"/>
                <w:w w:val="90"/>
                <w:sz w:val="14"/>
              </w:rPr>
              <w:t xml:space="preserve"> </w:t>
            </w:r>
            <w:r>
              <w:rPr>
                <w:color w:val="231F20"/>
                <w:w w:val="90"/>
                <w:sz w:val="14"/>
              </w:rPr>
              <w:t>referral</w:t>
            </w:r>
            <w:r>
              <w:rPr>
                <w:color w:val="231F20"/>
                <w:spacing w:val="-9"/>
                <w:w w:val="90"/>
                <w:sz w:val="14"/>
              </w:rPr>
              <w:t xml:space="preserve"> </w:t>
            </w:r>
            <w:r>
              <w:rPr>
                <w:color w:val="231F20"/>
                <w:spacing w:val="-7"/>
                <w:w w:val="90"/>
                <w:sz w:val="14"/>
              </w:rPr>
              <w:t xml:space="preserve">to </w:t>
            </w:r>
            <w:r>
              <w:rPr>
                <w:color w:val="231F20"/>
                <w:sz w:val="14"/>
              </w:rPr>
              <w:t>PHC</w:t>
            </w:r>
          </w:p>
          <w:p w14:paraId="3880578C" w14:textId="77777777" w:rsidR="009948F1" w:rsidRDefault="00BC0563">
            <w:pPr>
              <w:pStyle w:val="TableParagraph"/>
              <w:numPr>
                <w:ilvl w:val="0"/>
                <w:numId w:val="147"/>
              </w:numPr>
              <w:tabs>
                <w:tab w:val="left" w:pos="72"/>
              </w:tabs>
              <w:spacing w:line="271" w:lineRule="auto"/>
              <w:ind w:right="70" w:firstLine="0"/>
              <w:jc w:val="both"/>
              <w:rPr>
                <w:sz w:val="14"/>
              </w:rPr>
            </w:pPr>
            <w:r>
              <w:rPr>
                <w:color w:val="231F20"/>
                <w:w w:val="90"/>
                <w:sz w:val="14"/>
              </w:rPr>
              <w:t>HIV</w:t>
            </w:r>
            <w:r>
              <w:rPr>
                <w:color w:val="231F20"/>
                <w:spacing w:val="-12"/>
                <w:w w:val="90"/>
                <w:sz w:val="14"/>
              </w:rPr>
              <w:t xml:space="preserve"> </w:t>
            </w:r>
            <w:r>
              <w:rPr>
                <w:color w:val="231F20"/>
                <w:w w:val="90"/>
                <w:sz w:val="14"/>
              </w:rPr>
              <w:t>testing</w:t>
            </w:r>
            <w:r>
              <w:rPr>
                <w:color w:val="231F20"/>
                <w:spacing w:val="-12"/>
                <w:w w:val="90"/>
                <w:sz w:val="14"/>
              </w:rPr>
              <w:t xml:space="preserve"> </w:t>
            </w:r>
            <w:r>
              <w:rPr>
                <w:color w:val="231F20"/>
                <w:w w:val="90"/>
                <w:sz w:val="14"/>
              </w:rPr>
              <w:t>supervises</w:t>
            </w:r>
            <w:r>
              <w:rPr>
                <w:color w:val="231F20"/>
                <w:spacing w:val="-12"/>
                <w:w w:val="90"/>
                <w:sz w:val="14"/>
              </w:rPr>
              <w:t xml:space="preserve"> </w:t>
            </w:r>
            <w:r>
              <w:rPr>
                <w:color w:val="231F20"/>
                <w:w w:val="90"/>
                <w:sz w:val="14"/>
              </w:rPr>
              <w:t>and</w:t>
            </w:r>
            <w:r>
              <w:rPr>
                <w:color w:val="231F20"/>
                <w:spacing w:val="-12"/>
                <w:w w:val="90"/>
                <w:sz w:val="14"/>
              </w:rPr>
              <w:t xml:space="preserve"> </w:t>
            </w:r>
            <w:r>
              <w:rPr>
                <w:color w:val="231F20"/>
                <w:w w:val="90"/>
                <w:sz w:val="14"/>
              </w:rPr>
              <w:t>positive</w:t>
            </w:r>
            <w:r>
              <w:rPr>
                <w:color w:val="231F20"/>
                <w:spacing w:val="-12"/>
                <w:w w:val="90"/>
                <w:sz w:val="14"/>
              </w:rPr>
              <w:t xml:space="preserve"> </w:t>
            </w:r>
            <w:r>
              <w:rPr>
                <w:color w:val="231F20"/>
                <w:w w:val="90"/>
                <w:sz w:val="14"/>
              </w:rPr>
              <w:t xml:space="preserve">infants </w:t>
            </w:r>
            <w:r>
              <w:rPr>
                <w:color w:val="231F20"/>
                <w:sz w:val="14"/>
              </w:rPr>
              <w:t>linked</w:t>
            </w:r>
            <w:r>
              <w:rPr>
                <w:color w:val="231F20"/>
                <w:spacing w:val="-17"/>
                <w:sz w:val="14"/>
              </w:rPr>
              <w:t xml:space="preserve"> </w:t>
            </w:r>
            <w:r>
              <w:rPr>
                <w:color w:val="231F20"/>
                <w:sz w:val="14"/>
              </w:rPr>
              <w:t>to</w:t>
            </w:r>
            <w:r>
              <w:rPr>
                <w:color w:val="231F20"/>
                <w:spacing w:val="-16"/>
                <w:sz w:val="14"/>
              </w:rPr>
              <w:t xml:space="preserve"> </w:t>
            </w:r>
            <w:r>
              <w:rPr>
                <w:color w:val="231F20"/>
                <w:sz w:val="14"/>
              </w:rPr>
              <w:t>treatment</w:t>
            </w:r>
            <w:r>
              <w:rPr>
                <w:color w:val="231F20"/>
                <w:spacing w:val="-16"/>
                <w:sz w:val="14"/>
              </w:rPr>
              <w:t xml:space="preserve"> </w:t>
            </w:r>
            <w:r>
              <w:rPr>
                <w:color w:val="231F20"/>
                <w:sz w:val="14"/>
              </w:rPr>
              <w:t>in</w:t>
            </w:r>
            <w:r>
              <w:rPr>
                <w:color w:val="231F20"/>
                <w:spacing w:val="-16"/>
                <w:sz w:val="14"/>
              </w:rPr>
              <w:t xml:space="preserve"> </w:t>
            </w:r>
            <w:r>
              <w:rPr>
                <w:color w:val="231F20"/>
                <w:sz w:val="14"/>
              </w:rPr>
              <w:t>the</w:t>
            </w:r>
            <w:r>
              <w:rPr>
                <w:color w:val="231F20"/>
                <w:spacing w:val="-16"/>
                <w:sz w:val="14"/>
              </w:rPr>
              <w:t xml:space="preserve"> </w:t>
            </w:r>
            <w:r>
              <w:rPr>
                <w:color w:val="231F20"/>
                <w:sz w:val="14"/>
              </w:rPr>
              <w:t>23</w:t>
            </w:r>
            <w:r>
              <w:rPr>
                <w:color w:val="231F20"/>
                <w:spacing w:val="-16"/>
                <w:sz w:val="14"/>
              </w:rPr>
              <w:t xml:space="preserve"> </w:t>
            </w:r>
            <w:r>
              <w:rPr>
                <w:color w:val="231F20"/>
                <w:sz w:val="14"/>
              </w:rPr>
              <w:t>LGAs</w:t>
            </w:r>
          </w:p>
          <w:p w14:paraId="2EAB6B6E" w14:textId="77777777" w:rsidR="009948F1" w:rsidRDefault="00BC0563">
            <w:pPr>
              <w:pStyle w:val="TableParagraph"/>
              <w:numPr>
                <w:ilvl w:val="0"/>
                <w:numId w:val="147"/>
              </w:numPr>
              <w:tabs>
                <w:tab w:val="left" w:pos="106"/>
              </w:tabs>
              <w:spacing w:line="271" w:lineRule="auto"/>
              <w:ind w:right="22" w:firstLine="0"/>
              <w:jc w:val="both"/>
              <w:rPr>
                <w:sz w:val="14"/>
              </w:rPr>
            </w:pPr>
            <w:r>
              <w:rPr>
                <w:color w:val="231F20"/>
                <w:w w:val="90"/>
                <w:sz w:val="14"/>
              </w:rPr>
              <w:t>Expert</w:t>
            </w:r>
            <w:r>
              <w:rPr>
                <w:color w:val="231F20"/>
                <w:spacing w:val="-10"/>
                <w:w w:val="90"/>
                <w:sz w:val="14"/>
              </w:rPr>
              <w:t xml:space="preserve"> </w:t>
            </w:r>
            <w:r>
              <w:rPr>
                <w:color w:val="231F20"/>
                <w:w w:val="90"/>
                <w:sz w:val="14"/>
              </w:rPr>
              <w:t>clients/</w:t>
            </w:r>
            <w:r>
              <w:rPr>
                <w:color w:val="231F20"/>
                <w:spacing w:val="-9"/>
                <w:w w:val="90"/>
                <w:sz w:val="14"/>
              </w:rPr>
              <w:t xml:space="preserve"> </w:t>
            </w:r>
            <w:r>
              <w:rPr>
                <w:color w:val="231F20"/>
                <w:w w:val="90"/>
                <w:sz w:val="14"/>
              </w:rPr>
              <w:t>volunteers</w:t>
            </w:r>
            <w:r>
              <w:rPr>
                <w:color w:val="231F20"/>
                <w:spacing w:val="-9"/>
                <w:w w:val="90"/>
                <w:sz w:val="14"/>
              </w:rPr>
              <w:t xml:space="preserve"> </w:t>
            </w:r>
            <w:r>
              <w:rPr>
                <w:color w:val="231F20"/>
                <w:w w:val="90"/>
                <w:sz w:val="14"/>
              </w:rPr>
              <w:t>engaged</w:t>
            </w:r>
            <w:r>
              <w:rPr>
                <w:color w:val="231F20"/>
                <w:spacing w:val="-10"/>
                <w:w w:val="90"/>
                <w:sz w:val="14"/>
              </w:rPr>
              <w:t xml:space="preserve"> </w:t>
            </w:r>
            <w:r>
              <w:rPr>
                <w:color w:val="231F20"/>
                <w:w w:val="90"/>
                <w:sz w:val="14"/>
              </w:rPr>
              <w:t>to</w:t>
            </w:r>
            <w:r>
              <w:rPr>
                <w:color w:val="231F20"/>
                <w:spacing w:val="-9"/>
                <w:w w:val="90"/>
                <w:sz w:val="14"/>
              </w:rPr>
              <w:t xml:space="preserve"> </w:t>
            </w:r>
            <w:r>
              <w:rPr>
                <w:color w:val="231F20"/>
                <w:spacing w:val="-4"/>
                <w:w w:val="90"/>
                <w:sz w:val="14"/>
              </w:rPr>
              <w:t xml:space="preserve">track </w:t>
            </w:r>
            <w:r>
              <w:rPr>
                <w:color w:val="231F20"/>
                <w:sz w:val="14"/>
              </w:rPr>
              <w:t>HIV positive</w:t>
            </w:r>
            <w:r>
              <w:rPr>
                <w:color w:val="231F20"/>
                <w:spacing w:val="-18"/>
                <w:sz w:val="14"/>
              </w:rPr>
              <w:t xml:space="preserve"> </w:t>
            </w:r>
            <w:r>
              <w:rPr>
                <w:color w:val="231F20"/>
                <w:sz w:val="14"/>
              </w:rPr>
              <w:t>mothers</w:t>
            </w:r>
          </w:p>
        </w:tc>
        <w:tc>
          <w:tcPr>
            <w:tcW w:w="1479" w:type="dxa"/>
            <w:tcBorders>
              <w:top w:val="single" w:sz="6" w:space="0" w:color="231F20"/>
              <w:left w:val="single" w:sz="6" w:space="0" w:color="231F20"/>
              <w:bottom w:val="single" w:sz="6" w:space="0" w:color="231F20"/>
            </w:tcBorders>
            <w:shd w:val="clear" w:color="auto" w:fill="CCE7D3"/>
          </w:tcPr>
          <w:p w14:paraId="01451F13" w14:textId="77777777" w:rsidR="009948F1" w:rsidRDefault="009948F1">
            <w:pPr>
              <w:pStyle w:val="TableParagraph"/>
              <w:rPr>
                <w:rFonts w:ascii="Times New Roman"/>
                <w:sz w:val="12"/>
              </w:rPr>
            </w:pPr>
          </w:p>
        </w:tc>
        <w:tc>
          <w:tcPr>
            <w:tcW w:w="1560" w:type="dxa"/>
            <w:tcBorders>
              <w:top w:val="single" w:sz="6" w:space="0" w:color="231F20"/>
              <w:bottom w:val="single" w:sz="6" w:space="0" w:color="231F20"/>
              <w:right w:val="single" w:sz="6" w:space="0" w:color="231F20"/>
            </w:tcBorders>
            <w:shd w:val="clear" w:color="auto" w:fill="CCE7D3"/>
          </w:tcPr>
          <w:p w14:paraId="53C5D3A6" w14:textId="77777777" w:rsidR="009948F1" w:rsidRDefault="009948F1">
            <w:pPr>
              <w:pStyle w:val="TableParagraph"/>
              <w:rPr>
                <w:rFonts w:ascii="Times New Roman"/>
                <w:sz w:val="12"/>
              </w:rPr>
            </w:pPr>
          </w:p>
        </w:tc>
      </w:tr>
      <w:tr w:rsidR="009948F1" w14:paraId="548389A3" w14:textId="77777777">
        <w:trPr>
          <w:trHeight w:val="546"/>
        </w:trPr>
        <w:tc>
          <w:tcPr>
            <w:tcW w:w="720" w:type="dxa"/>
            <w:gridSpan w:val="2"/>
            <w:vMerge w:val="restart"/>
            <w:tcBorders>
              <w:top w:val="nil"/>
              <w:bottom w:val="nil"/>
              <w:right w:val="single" w:sz="6" w:space="0" w:color="231F20"/>
            </w:tcBorders>
          </w:tcPr>
          <w:p w14:paraId="524B9C44" w14:textId="77777777" w:rsidR="009948F1" w:rsidRDefault="009948F1">
            <w:pPr>
              <w:pStyle w:val="TableParagraph"/>
              <w:rPr>
                <w:rFonts w:ascii="Times New Roman"/>
                <w:sz w:val="12"/>
              </w:rPr>
            </w:pPr>
          </w:p>
        </w:tc>
        <w:tc>
          <w:tcPr>
            <w:tcW w:w="545" w:type="dxa"/>
            <w:tcBorders>
              <w:top w:val="single" w:sz="6" w:space="0" w:color="231F20"/>
              <w:left w:val="single" w:sz="6" w:space="0" w:color="231F20"/>
              <w:bottom w:val="single" w:sz="6" w:space="0" w:color="231F20"/>
              <w:right w:val="single" w:sz="6" w:space="0" w:color="231F20"/>
            </w:tcBorders>
          </w:tcPr>
          <w:p w14:paraId="39B6B844" w14:textId="77777777" w:rsidR="009948F1" w:rsidRDefault="009948F1">
            <w:pPr>
              <w:pStyle w:val="TableParagraph"/>
              <w:rPr>
                <w:sz w:val="17"/>
              </w:rPr>
            </w:pPr>
          </w:p>
          <w:p w14:paraId="31C7E132" w14:textId="77777777" w:rsidR="009948F1" w:rsidRDefault="00BC0563">
            <w:pPr>
              <w:pStyle w:val="TableParagraph"/>
              <w:ind w:left="52" w:right="30"/>
              <w:jc w:val="center"/>
              <w:rPr>
                <w:sz w:val="14"/>
              </w:rPr>
            </w:pPr>
            <w:r>
              <w:rPr>
                <w:color w:val="231F20"/>
                <w:w w:val="95"/>
                <w:sz w:val="14"/>
              </w:rPr>
              <w:t>5.3.4.a</w:t>
            </w:r>
          </w:p>
        </w:tc>
        <w:tc>
          <w:tcPr>
            <w:tcW w:w="5074" w:type="dxa"/>
            <w:gridSpan w:val="2"/>
            <w:tcBorders>
              <w:top w:val="single" w:sz="6" w:space="0" w:color="231F20"/>
              <w:left w:val="single" w:sz="6" w:space="0" w:color="231F20"/>
              <w:bottom w:val="single" w:sz="6" w:space="0" w:color="231F20"/>
              <w:right w:val="single" w:sz="6" w:space="0" w:color="231F20"/>
            </w:tcBorders>
          </w:tcPr>
          <w:p w14:paraId="5C17027F" w14:textId="77777777" w:rsidR="009948F1" w:rsidRDefault="009948F1">
            <w:pPr>
              <w:pStyle w:val="TableParagraph"/>
              <w:spacing w:before="5"/>
              <w:rPr>
                <w:sz w:val="16"/>
              </w:rPr>
            </w:pPr>
          </w:p>
          <w:p w14:paraId="79C798FA" w14:textId="77777777" w:rsidR="009948F1" w:rsidRDefault="00BC0563">
            <w:pPr>
              <w:pStyle w:val="TableParagraph"/>
              <w:ind w:left="27"/>
              <w:rPr>
                <w:sz w:val="14"/>
              </w:rPr>
            </w:pPr>
            <w:r>
              <w:rPr>
                <w:color w:val="231F20"/>
                <w:w w:val="95"/>
                <w:sz w:val="14"/>
              </w:rPr>
              <w:t>Engage</w:t>
            </w:r>
            <w:r>
              <w:rPr>
                <w:color w:val="231F20"/>
                <w:spacing w:val="-21"/>
                <w:w w:val="95"/>
                <w:sz w:val="14"/>
              </w:rPr>
              <w:t xml:space="preserve"> </w:t>
            </w:r>
            <w:r>
              <w:rPr>
                <w:color w:val="231F20"/>
                <w:w w:val="95"/>
                <w:sz w:val="14"/>
              </w:rPr>
              <w:t>TBA</w:t>
            </w:r>
            <w:r>
              <w:rPr>
                <w:color w:val="231F20"/>
                <w:spacing w:val="-24"/>
                <w:w w:val="95"/>
                <w:sz w:val="14"/>
              </w:rPr>
              <w:t xml:space="preserve"> </w:t>
            </w:r>
            <w:r>
              <w:rPr>
                <w:color w:val="231F20"/>
                <w:w w:val="95"/>
                <w:sz w:val="14"/>
              </w:rPr>
              <w:t>/</w:t>
            </w:r>
            <w:r>
              <w:rPr>
                <w:color w:val="231F20"/>
                <w:spacing w:val="-20"/>
                <w:w w:val="95"/>
                <w:sz w:val="14"/>
              </w:rPr>
              <w:t xml:space="preserve"> </w:t>
            </w:r>
            <w:r>
              <w:rPr>
                <w:color w:val="231F20"/>
                <w:w w:val="95"/>
                <w:sz w:val="14"/>
              </w:rPr>
              <w:t>private</w:t>
            </w:r>
            <w:r>
              <w:rPr>
                <w:color w:val="231F20"/>
                <w:spacing w:val="-20"/>
                <w:w w:val="95"/>
                <w:sz w:val="14"/>
              </w:rPr>
              <w:t xml:space="preserve"> </w:t>
            </w:r>
            <w:r>
              <w:rPr>
                <w:color w:val="231F20"/>
                <w:w w:val="95"/>
                <w:sz w:val="14"/>
              </w:rPr>
              <w:t>health</w:t>
            </w:r>
            <w:r>
              <w:rPr>
                <w:color w:val="231F20"/>
                <w:spacing w:val="-20"/>
                <w:w w:val="95"/>
                <w:sz w:val="14"/>
              </w:rPr>
              <w:t xml:space="preserve"> </w:t>
            </w:r>
            <w:r>
              <w:rPr>
                <w:color w:val="231F20"/>
                <w:w w:val="95"/>
                <w:sz w:val="14"/>
              </w:rPr>
              <w:t>facilities</w:t>
            </w:r>
            <w:r>
              <w:rPr>
                <w:color w:val="231F20"/>
                <w:spacing w:val="-20"/>
                <w:w w:val="95"/>
                <w:sz w:val="14"/>
              </w:rPr>
              <w:t xml:space="preserve"> </w:t>
            </w:r>
            <w:r>
              <w:rPr>
                <w:color w:val="231F20"/>
                <w:w w:val="95"/>
                <w:sz w:val="14"/>
              </w:rPr>
              <w:t>to</w:t>
            </w:r>
            <w:r>
              <w:rPr>
                <w:color w:val="231F20"/>
                <w:spacing w:val="-20"/>
                <w:w w:val="95"/>
                <w:sz w:val="14"/>
              </w:rPr>
              <w:t xml:space="preserve"> </w:t>
            </w:r>
            <w:r>
              <w:rPr>
                <w:color w:val="231F20"/>
                <w:w w:val="95"/>
                <w:sz w:val="14"/>
              </w:rPr>
              <w:t>provide</w:t>
            </w:r>
            <w:r>
              <w:rPr>
                <w:color w:val="231F20"/>
                <w:spacing w:val="-19"/>
                <w:w w:val="95"/>
                <w:sz w:val="14"/>
              </w:rPr>
              <w:t xml:space="preserve"> </w:t>
            </w:r>
            <w:r>
              <w:rPr>
                <w:color w:val="231F20"/>
                <w:w w:val="95"/>
                <w:sz w:val="14"/>
              </w:rPr>
              <w:t>PMTCT</w:t>
            </w:r>
            <w:r>
              <w:rPr>
                <w:color w:val="231F20"/>
                <w:spacing w:val="-21"/>
                <w:w w:val="95"/>
                <w:sz w:val="14"/>
              </w:rPr>
              <w:t xml:space="preserve"> </w:t>
            </w:r>
            <w:r>
              <w:rPr>
                <w:color w:val="231F20"/>
                <w:w w:val="95"/>
                <w:sz w:val="14"/>
              </w:rPr>
              <w:t>service</w:t>
            </w:r>
            <w:r>
              <w:rPr>
                <w:color w:val="231F20"/>
                <w:spacing w:val="-20"/>
                <w:w w:val="95"/>
                <w:sz w:val="14"/>
              </w:rPr>
              <w:t xml:space="preserve"> </w:t>
            </w:r>
            <w:r>
              <w:rPr>
                <w:color w:val="231F20"/>
                <w:w w:val="95"/>
                <w:sz w:val="14"/>
              </w:rPr>
              <w:t>or</w:t>
            </w:r>
            <w:r>
              <w:rPr>
                <w:color w:val="231F20"/>
                <w:spacing w:val="-20"/>
                <w:w w:val="95"/>
                <w:sz w:val="14"/>
              </w:rPr>
              <w:t xml:space="preserve"> </w:t>
            </w:r>
            <w:r>
              <w:rPr>
                <w:color w:val="231F20"/>
                <w:w w:val="95"/>
                <w:sz w:val="14"/>
              </w:rPr>
              <w:t>make</w:t>
            </w:r>
            <w:r>
              <w:rPr>
                <w:color w:val="231F20"/>
                <w:spacing w:val="-20"/>
                <w:w w:val="95"/>
                <w:sz w:val="14"/>
              </w:rPr>
              <w:t xml:space="preserve"> </w:t>
            </w:r>
            <w:r>
              <w:rPr>
                <w:color w:val="231F20"/>
                <w:w w:val="95"/>
                <w:sz w:val="14"/>
              </w:rPr>
              <w:t>referral</w:t>
            </w:r>
            <w:r>
              <w:rPr>
                <w:color w:val="231F20"/>
                <w:spacing w:val="-20"/>
                <w:w w:val="95"/>
                <w:sz w:val="14"/>
              </w:rPr>
              <w:t xml:space="preserve"> </w:t>
            </w:r>
            <w:r>
              <w:rPr>
                <w:color w:val="231F20"/>
                <w:w w:val="95"/>
                <w:sz w:val="14"/>
              </w:rPr>
              <w:t>to</w:t>
            </w:r>
            <w:r>
              <w:rPr>
                <w:color w:val="231F20"/>
                <w:spacing w:val="-20"/>
                <w:w w:val="95"/>
                <w:sz w:val="14"/>
              </w:rPr>
              <w:t xml:space="preserve"> </w:t>
            </w:r>
            <w:r>
              <w:rPr>
                <w:color w:val="231F20"/>
                <w:w w:val="95"/>
                <w:sz w:val="14"/>
              </w:rPr>
              <w:t>PHC</w:t>
            </w:r>
          </w:p>
        </w:tc>
        <w:tc>
          <w:tcPr>
            <w:tcW w:w="1479" w:type="dxa"/>
            <w:tcBorders>
              <w:top w:val="single" w:sz="6" w:space="0" w:color="231F20"/>
              <w:left w:val="single" w:sz="6" w:space="0" w:color="231F20"/>
              <w:bottom w:val="single" w:sz="6" w:space="0" w:color="231F20"/>
              <w:right w:val="single" w:sz="6" w:space="0" w:color="231F20"/>
            </w:tcBorders>
          </w:tcPr>
          <w:p w14:paraId="79449CA9" w14:textId="77777777" w:rsidR="009948F1" w:rsidRDefault="009948F1">
            <w:pPr>
              <w:pStyle w:val="TableParagraph"/>
              <w:rPr>
                <w:sz w:val="17"/>
              </w:rPr>
            </w:pPr>
          </w:p>
          <w:p w14:paraId="583B0AAF"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6C15CF30" w14:textId="77777777" w:rsidR="009948F1" w:rsidRDefault="009948F1">
            <w:pPr>
              <w:pStyle w:val="TableParagraph"/>
              <w:rPr>
                <w:sz w:val="17"/>
              </w:rPr>
            </w:pPr>
          </w:p>
          <w:p w14:paraId="1BBA48B2" w14:textId="77777777" w:rsidR="009948F1" w:rsidRDefault="00BC0563">
            <w:pPr>
              <w:pStyle w:val="TableParagraph"/>
              <w:ind w:left="29"/>
              <w:rPr>
                <w:sz w:val="14"/>
              </w:rPr>
            </w:pPr>
            <w:r>
              <w:rPr>
                <w:color w:val="231F20"/>
                <w:sz w:val="14"/>
              </w:rPr>
              <w:t>Provide PMTCT service</w:t>
            </w:r>
          </w:p>
        </w:tc>
      </w:tr>
      <w:tr w:rsidR="009948F1" w14:paraId="539B96D9" w14:textId="77777777">
        <w:trPr>
          <w:trHeight w:val="359"/>
        </w:trPr>
        <w:tc>
          <w:tcPr>
            <w:tcW w:w="720" w:type="dxa"/>
            <w:gridSpan w:val="2"/>
            <w:vMerge/>
            <w:tcBorders>
              <w:top w:val="nil"/>
              <w:bottom w:val="nil"/>
              <w:right w:val="single" w:sz="6" w:space="0" w:color="231F20"/>
            </w:tcBorders>
          </w:tcPr>
          <w:p w14:paraId="55441C2A"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30F94AF4" w14:textId="77777777" w:rsidR="009948F1" w:rsidRDefault="00BC0563">
            <w:pPr>
              <w:pStyle w:val="TableParagraph"/>
              <w:spacing w:before="101"/>
              <w:ind w:left="52" w:right="30"/>
              <w:jc w:val="center"/>
              <w:rPr>
                <w:sz w:val="14"/>
              </w:rPr>
            </w:pPr>
            <w:r>
              <w:rPr>
                <w:color w:val="231F20"/>
                <w:w w:val="95"/>
                <w:sz w:val="14"/>
              </w:rPr>
              <w:t>5.3.4.b</w:t>
            </w:r>
          </w:p>
        </w:tc>
        <w:tc>
          <w:tcPr>
            <w:tcW w:w="5074" w:type="dxa"/>
            <w:gridSpan w:val="2"/>
            <w:tcBorders>
              <w:top w:val="single" w:sz="6" w:space="0" w:color="231F20"/>
              <w:left w:val="single" w:sz="6" w:space="0" w:color="231F20"/>
              <w:bottom w:val="single" w:sz="6" w:space="0" w:color="231F20"/>
              <w:right w:val="single" w:sz="6" w:space="0" w:color="231F20"/>
            </w:tcBorders>
          </w:tcPr>
          <w:p w14:paraId="66BD485B" w14:textId="77777777" w:rsidR="009948F1" w:rsidRDefault="00BC0563">
            <w:pPr>
              <w:pStyle w:val="TableParagraph"/>
              <w:spacing w:before="95"/>
              <w:ind w:left="27"/>
              <w:rPr>
                <w:sz w:val="14"/>
              </w:rPr>
            </w:pPr>
            <w:r>
              <w:rPr>
                <w:color w:val="231F20"/>
                <w:sz w:val="14"/>
              </w:rPr>
              <w:t>Supervise testing and link HIV positive infants to treatment in 23 LGAs</w:t>
            </w:r>
          </w:p>
        </w:tc>
        <w:tc>
          <w:tcPr>
            <w:tcW w:w="1479" w:type="dxa"/>
            <w:tcBorders>
              <w:top w:val="single" w:sz="6" w:space="0" w:color="231F20"/>
              <w:left w:val="single" w:sz="6" w:space="0" w:color="231F20"/>
              <w:bottom w:val="single" w:sz="6" w:space="0" w:color="231F20"/>
              <w:right w:val="single" w:sz="6" w:space="0" w:color="231F20"/>
            </w:tcBorders>
          </w:tcPr>
          <w:p w14:paraId="068DC379" w14:textId="77777777" w:rsidR="009948F1" w:rsidRDefault="00BC0563">
            <w:pPr>
              <w:pStyle w:val="TableParagraph"/>
              <w:spacing w:before="101"/>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0790A877" w14:textId="755FA209" w:rsidR="009948F1" w:rsidRDefault="00FB089D">
            <w:pPr>
              <w:pStyle w:val="TableParagraph"/>
              <w:spacing w:before="101"/>
              <w:ind w:left="29"/>
              <w:rPr>
                <w:sz w:val="14"/>
              </w:rPr>
            </w:pPr>
            <w:r>
              <w:rPr>
                <w:color w:val="231F20"/>
                <w:sz w:val="14"/>
              </w:rPr>
              <w:t>Supervise</w:t>
            </w:r>
            <w:r w:rsidR="00BC0563">
              <w:rPr>
                <w:color w:val="231F20"/>
                <w:sz w:val="14"/>
              </w:rPr>
              <w:t xml:space="preserve"> testing</w:t>
            </w:r>
          </w:p>
        </w:tc>
      </w:tr>
      <w:tr w:rsidR="009948F1" w14:paraId="1245C698" w14:textId="77777777">
        <w:trPr>
          <w:trHeight w:val="287"/>
        </w:trPr>
        <w:tc>
          <w:tcPr>
            <w:tcW w:w="720" w:type="dxa"/>
            <w:gridSpan w:val="2"/>
            <w:vMerge/>
            <w:tcBorders>
              <w:top w:val="nil"/>
              <w:bottom w:val="nil"/>
              <w:right w:val="single" w:sz="6" w:space="0" w:color="231F20"/>
            </w:tcBorders>
          </w:tcPr>
          <w:p w14:paraId="12F6F6D3"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2767B706" w14:textId="77777777" w:rsidR="009948F1" w:rsidRDefault="00BC0563">
            <w:pPr>
              <w:pStyle w:val="TableParagraph"/>
              <w:spacing w:before="66"/>
              <w:ind w:left="52" w:right="29"/>
              <w:jc w:val="center"/>
              <w:rPr>
                <w:sz w:val="14"/>
              </w:rPr>
            </w:pPr>
            <w:r>
              <w:rPr>
                <w:color w:val="231F20"/>
                <w:w w:val="95"/>
                <w:sz w:val="14"/>
              </w:rPr>
              <w:t>5.3.4.c</w:t>
            </w:r>
          </w:p>
        </w:tc>
        <w:tc>
          <w:tcPr>
            <w:tcW w:w="5074" w:type="dxa"/>
            <w:gridSpan w:val="2"/>
            <w:tcBorders>
              <w:top w:val="single" w:sz="6" w:space="0" w:color="231F20"/>
              <w:left w:val="single" w:sz="6" w:space="0" w:color="231F20"/>
              <w:bottom w:val="single" w:sz="6" w:space="0" w:color="231F20"/>
              <w:right w:val="single" w:sz="6" w:space="0" w:color="231F20"/>
            </w:tcBorders>
          </w:tcPr>
          <w:p w14:paraId="50E527C3" w14:textId="77777777" w:rsidR="009948F1" w:rsidRDefault="00BC0563">
            <w:pPr>
              <w:pStyle w:val="TableParagraph"/>
              <w:spacing w:before="60"/>
              <w:ind w:left="27"/>
              <w:rPr>
                <w:sz w:val="14"/>
              </w:rPr>
            </w:pPr>
            <w:r>
              <w:rPr>
                <w:color w:val="231F20"/>
                <w:sz w:val="14"/>
              </w:rPr>
              <w:t>Engage expert clients/ volunteers to track HIV positive mothers</w:t>
            </w:r>
          </w:p>
        </w:tc>
        <w:tc>
          <w:tcPr>
            <w:tcW w:w="1479" w:type="dxa"/>
            <w:tcBorders>
              <w:top w:val="single" w:sz="6" w:space="0" w:color="231F20"/>
              <w:left w:val="single" w:sz="6" w:space="0" w:color="231F20"/>
              <w:bottom w:val="single" w:sz="6" w:space="0" w:color="231F20"/>
              <w:right w:val="single" w:sz="6" w:space="0" w:color="231F20"/>
            </w:tcBorders>
          </w:tcPr>
          <w:p w14:paraId="023341BB" w14:textId="77777777" w:rsidR="009948F1" w:rsidRDefault="00BC0563">
            <w:pPr>
              <w:pStyle w:val="TableParagraph"/>
              <w:spacing w:before="66"/>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036D46E7" w14:textId="77777777" w:rsidR="009948F1" w:rsidRDefault="00BC0563">
            <w:pPr>
              <w:pStyle w:val="TableParagraph"/>
              <w:spacing w:before="6" w:line="146" w:lineRule="exact"/>
              <w:ind w:left="29"/>
              <w:rPr>
                <w:sz w:val="14"/>
              </w:rPr>
            </w:pPr>
            <w:r>
              <w:rPr>
                <w:color w:val="231F20"/>
                <w:w w:val="90"/>
                <w:sz w:val="14"/>
              </w:rPr>
              <w:t xml:space="preserve">Engage expert clients/ </w:t>
            </w:r>
            <w:r>
              <w:rPr>
                <w:color w:val="231F20"/>
                <w:sz w:val="14"/>
              </w:rPr>
              <w:t>volunteers</w:t>
            </w:r>
          </w:p>
        </w:tc>
      </w:tr>
      <w:tr w:rsidR="009948F1" w14:paraId="35C667C0" w14:textId="77777777">
        <w:trPr>
          <w:trHeight w:val="1071"/>
        </w:trPr>
        <w:tc>
          <w:tcPr>
            <w:tcW w:w="249" w:type="dxa"/>
            <w:tcBorders>
              <w:top w:val="nil"/>
              <w:bottom w:val="nil"/>
              <w:right w:val="single" w:sz="6" w:space="0" w:color="231F20"/>
            </w:tcBorders>
          </w:tcPr>
          <w:p w14:paraId="19E061F2" w14:textId="77777777" w:rsidR="009948F1" w:rsidRDefault="009948F1">
            <w:pPr>
              <w:pStyle w:val="TableParagraph"/>
              <w:rPr>
                <w:rFonts w:ascii="Times New Roman"/>
                <w:sz w:val="12"/>
              </w:rPr>
            </w:pPr>
          </w:p>
        </w:tc>
        <w:tc>
          <w:tcPr>
            <w:tcW w:w="471" w:type="dxa"/>
            <w:tcBorders>
              <w:top w:val="single" w:sz="6" w:space="0" w:color="231F20"/>
              <w:left w:val="single" w:sz="6" w:space="0" w:color="231F20"/>
              <w:bottom w:val="single" w:sz="6" w:space="0" w:color="231F20"/>
              <w:right w:val="single" w:sz="6" w:space="0" w:color="231F20"/>
            </w:tcBorders>
            <w:shd w:val="clear" w:color="auto" w:fill="CCE7D3"/>
          </w:tcPr>
          <w:p w14:paraId="501A3600" w14:textId="77777777" w:rsidR="009948F1" w:rsidRDefault="009948F1">
            <w:pPr>
              <w:pStyle w:val="TableParagraph"/>
              <w:rPr>
                <w:sz w:val="14"/>
              </w:rPr>
            </w:pPr>
          </w:p>
          <w:p w14:paraId="18967F39" w14:textId="77777777" w:rsidR="009948F1" w:rsidRDefault="009948F1">
            <w:pPr>
              <w:pStyle w:val="TableParagraph"/>
              <w:rPr>
                <w:sz w:val="14"/>
              </w:rPr>
            </w:pPr>
          </w:p>
          <w:p w14:paraId="609B6800" w14:textId="77777777" w:rsidR="009948F1" w:rsidRDefault="009948F1">
            <w:pPr>
              <w:pStyle w:val="TableParagraph"/>
              <w:spacing w:before="3"/>
              <w:rPr>
                <w:sz w:val="11"/>
              </w:rPr>
            </w:pPr>
          </w:p>
          <w:p w14:paraId="44F1ADFA" w14:textId="77777777" w:rsidR="009948F1" w:rsidRDefault="00BC0563">
            <w:pPr>
              <w:pStyle w:val="TableParagraph"/>
              <w:ind w:left="60"/>
              <w:rPr>
                <w:sz w:val="14"/>
              </w:rPr>
            </w:pPr>
            <w:r>
              <w:rPr>
                <w:color w:val="231F20"/>
                <w:sz w:val="14"/>
              </w:rPr>
              <w:t>5.3.5</w:t>
            </w:r>
          </w:p>
        </w:tc>
        <w:tc>
          <w:tcPr>
            <w:tcW w:w="3148" w:type="dxa"/>
            <w:gridSpan w:val="2"/>
            <w:tcBorders>
              <w:top w:val="single" w:sz="6" w:space="0" w:color="231F20"/>
              <w:left w:val="single" w:sz="6" w:space="0" w:color="231F20"/>
              <w:bottom w:val="single" w:sz="6" w:space="0" w:color="231F20"/>
              <w:right w:val="single" w:sz="6" w:space="0" w:color="231F20"/>
            </w:tcBorders>
            <w:shd w:val="clear" w:color="auto" w:fill="CCE7D3"/>
          </w:tcPr>
          <w:p w14:paraId="06AC31D5" w14:textId="77777777" w:rsidR="009948F1" w:rsidRDefault="009948F1">
            <w:pPr>
              <w:pStyle w:val="TableParagraph"/>
              <w:rPr>
                <w:sz w:val="14"/>
              </w:rPr>
            </w:pPr>
          </w:p>
          <w:p w14:paraId="17005BF9" w14:textId="77777777" w:rsidR="009948F1" w:rsidRDefault="009948F1">
            <w:pPr>
              <w:pStyle w:val="TableParagraph"/>
              <w:rPr>
                <w:sz w:val="14"/>
              </w:rPr>
            </w:pPr>
          </w:p>
          <w:p w14:paraId="03D51DA7" w14:textId="77777777" w:rsidR="009948F1" w:rsidRDefault="00BC0563">
            <w:pPr>
              <w:pStyle w:val="TableParagraph"/>
              <w:spacing w:before="124"/>
              <w:ind w:left="60"/>
              <w:rPr>
                <w:sz w:val="14"/>
              </w:rPr>
            </w:pPr>
            <w:r>
              <w:rPr>
                <w:color w:val="231F20"/>
                <w:sz w:val="14"/>
              </w:rPr>
              <w:t>Improve access to safe blood and blood products</w:t>
            </w:r>
          </w:p>
        </w:tc>
        <w:tc>
          <w:tcPr>
            <w:tcW w:w="2471" w:type="dxa"/>
            <w:tcBorders>
              <w:top w:val="single" w:sz="6" w:space="0" w:color="231F20"/>
              <w:left w:val="single" w:sz="6" w:space="0" w:color="231F20"/>
              <w:bottom w:val="single" w:sz="6" w:space="0" w:color="231F20"/>
              <w:right w:val="single" w:sz="6" w:space="0" w:color="231F20"/>
            </w:tcBorders>
            <w:shd w:val="clear" w:color="auto" w:fill="CCE7D3"/>
          </w:tcPr>
          <w:p w14:paraId="21DF3A01" w14:textId="77777777" w:rsidR="009948F1" w:rsidRDefault="00BC0563">
            <w:pPr>
              <w:pStyle w:val="TableParagraph"/>
              <w:numPr>
                <w:ilvl w:val="0"/>
                <w:numId w:val="146"/>
              </w:numPr>
              <w:tabs>
                <w:tab w:val="left" w:pos="99"/>
              </w:tabs>
              <w:spacing w:line="271" w:lineRule="auto"/>
              <w:ind w:right="147" w:firstLine="0"/>
              <w:rPr>
                <w:sz w:val="14"/>
              </w:rPr>
            </w:pPr>
            <w:r>
              <w:rPr>
                <w:color w:val="231F20"/>
                <w:sz w:val="14"/>
              </w:rPr>
              <w:t>At</w:t>
            </w:r>
            <w:r>
              <w:rPr>
                <w:color w:val="231F20"/>
                <w:spacing w:val="-23"/>
                <w:sz w:val="14"/>
              </w:rPr>
              <w:t xml:space="preserve"> </w:t>
            </w:r>
            <w:r>
              <w:rPr>
                <w:color w:val="231F20"/>
                <w:sz w:val="14"/>
              </w:rPr>
              <w:t>least</w:t>
            </w:r>
            <w:r>
              <w:rPr>
                <w:color w:val="231F20"/>
                <w:spacing w:val="-23"/>
                <w:sz w:val="14"/>
              </w:rPr>
              <w:t xml:space="preserve"> </w:t>
            </w:r>
            <w:r>
              <w:rPr>
                <w:color w:val="231F20"/>
                <w:sz w:val="14"/>
              </w:rPr>
              <w:t>250</w:t>
            </w:r>
            <w:r>
              <w:rPr>
                <w:color w:val="231F20"/>
                <w:spacing w:val="-23"/>
                <w:sz w:val="14"/>
              </w:rPr>
              <w:t xml:space="preserve"> </w:t>
            </w:r>
            <w:r>
              <w:rPr>
                <w:color w:val="231F20"/>
                <w:sz w:val="14"/>
              </w:rPr>
              <w:t>Health</w:t>
            </w:r>
            <w:r>
              <w:rPr>
                <w:color w:val="231F20"/>
                <w:spacing w:val="-23"/>
                <w:sz w:val="14"/>
              </w:rPr>
              <w:t xml:space="preserve"> </w:t>
            </w:r>
            <w:r>
              <w:rPr>
                <w:color w:val="231F20"/>
                <w:sz w:val="14"/>
              </w:rPr>
              <w:t>Workers</w:t>
            </w:r>
            <w:r>
              <w:rPr>
                <w:color w:val="231F20"/>
                <w:spacing w:val="-23"/>
                <w:sz w:val="14"/>
              </w:rPr>
              <w:t xml:space="preserve"> </w:t>
            </w:r>
            <w:r>
              <w:rPr>
                <w:color w:val="231F20"/>
                <w:sz w:val="14"/>
              </w:rPr>
              <w:t>in</w:t>
            </w:r>
            <w:r>
              <w:rPr>
                <w:color w:val="231F20"/>
                <w:spacing w:val="-23"/>
                <w:sz w:val="14"/>
              </w:rPr>
              <w:t xml:space="preserve"> </w:t>
            </w:r>
            <w:r>
              <w:rPr>
                <w:color w:val="231F20"/>
                <w:sz w:val="14"/>
              </w:rPr>
              <w:t xml:space="preserve">PHC </w:t>
            </w:r>
            <w:r>
              <w:rPr>
                <w:color w:val="231F20"/>
                <w:w w:val="90"/>
                <w:sz w:val="14"/>
              </w:rPr>
              <w:t>facilities</w:t>
            </w:r>
            <w:r>
              <w:rPr>
                <w:color w:val="231F20"/>
                <w:spacing w:val="-10"/>
                <w:w w:val="90"/>
                <w:sz w:val="14"/>
              </w:rPr>
              <w:t xml:space="preserve"> </w:t>
            </w:r>
            <w:r>
              <w:rPr>
                <w:color w:val="231F20"/>
                <w:w w:val="90"/>
                <w:sz w:val="14"/>
              </w:rPr>
              <w:t>trained</w:t>
            </w:r>
            <w:r>
              <w:rPr>
                <w:color w:val="231F20"/>
                <w:spacing w:val="-10"/>
                <w:w w:val="90"/>
                <w:sz w:val="14"/>
              </w:rPr>
              <w:t xml:space="preserve"> </w:t>
            </w:r>
            <w:r>
              <w:rPr>
                <w:color w:val="231F20"/>
                <w:w w:val="90"/>
                <w:sz w:val="14"/>
              </w:rPr>
              <w:t>to</w:t>
            </w:r>
            <w:r>
              <w:rPr>
                <w:color w:val="231F20"/>
                <w:spacing w:val="-10"/>
                <w:w w:val="90"/>
                <w:sz w:val="14"/>
              </w:rPr>
              <w:t xml:space="preserve"> </w:t>
            </w:r>
            <w:r>
              <w:rPr>
                <w:color w:val="231F20"/>
                <w:w w:val="90"/>
                <w:sz w:val="14"/>
              </w:rPr>
              <w:t>improve</w:t>
            </w:r>
            <w:r>
              <w:rPr>
                <w:color w:val="231F20"/>
                <w:spacing w:val="-10"/>
                <w:w w:val="90"/>
                <w:sz w:val="14"/>
              </w:rPr>
              <w:t xml:space="preserve"> </w:t>
            </w:r>
            <w:r>
              <w:rPr>
                <w:color w:val="231F20"/>
                <w:w w:val="90"/>
                <w:sz w:val="14"/>
              </w:rPr>
              <w:t>access</w:t>
            </w:r>
            <w:r>
              <w:rPr>
                <w:color w:val="231F20"/>
                <w:spacing w:val="-9"/>
                <w:w w:val="90"/>
                <w:sz w:val="14"/>
              </w:rPr>
              <w:t xml:space="preserve"> </w:t>
            </w:r>
            <w:r>
              <w:rPr>
                <w:color w:val="231F20"/>
                <w:w w:val="90"/>
                <w:sz w:val="14"/>
              </w:rPr>
              <w:t>to</w:t>
            </w:r>
            <w:r>
              <w:rPr>
                <w:color w:val="231F20"/>
                <w:spacing w:val="-10"/>
                <w:w w:val="90"/>
                <w:sz w:val="14"/>
              </w:rPr>
              <w:t xml:space="preserve"> </w:t>
            </w:r>
            <w:r>
              <w:rPr>
                <w:color w:val="231F20"/>
                <w:w w:val="90"/>
                <w:sz w:val="14"/>
              </w:rPr>
              <w:t xml:space="preserve">safe </w:t>
            </w:r>
            <w:r>
              <w:rPr>
                <w:color w:val="231F20"/>
                <w:sz w:val="14"/>
              </w:rPr>
              <w:t>blood</w:t>
            </w:r>
            <w:r>
              <w:rPr>
                <w:color w:val="231F20"/>
                <w:spacing w:val="24"/>
                <w:sz w:val="14"/>
              </w:rPr>
              <w:t xml:space="preserve"> </w:t>
            </w:r>
            <w:r>
              <w:rPr>
                <w:color w:val="231F20"/>
                <w:sz w:val="14"/>
              </w:rPr>
              <w:t>products</w:t>
            </w:r>
          </w:p>
          <w:p w14:paraId="0BC103E5" w14:textId="77777777" w:rsidR="009948F1" w:rsidRDefault="00BC0563">
            <w:pPr>
              <w:pStyle w:val="TableParagraph"/>
              <w:numPr>
                <w:ilvl w:val="0"/>
                <w:numId w:val="146"/>
              </w:numPr>
              <w:tabs>
                <w:tab w:val="left" w:pos="106"/>
              </w:tabs>
              <w:spacing w:line="271" w:lineRule="auto"/>
              <w:ind w:right="15" w:firstLine="0"/>
              <w:rPr>
                <w:sz w:val="14"/>
              </w:rPr>
            </w:pPr>
            <w:r>
              <w:rPr>
                <w:color w:val="231F20"/>
                <w:w w:val="90"/>
                <w:sz w:val="14"/>
              </w:rPr>
              <w:t>Blood</w:t>
            </w:r>
            <w:r>
              <w:rPr>
                <w:color w:val="231F20"/>
                <w:spacing w:val="-9"/>
                <w:w w:val="90"/>
                <w:sz w:val="14"/>
              </w:rPr>
              <w:t xml:space="preserve"> </w:t>
            </w:r>
            <w:r>
              <w:rPr>
                <w:color w:val="231F20"/>
                <w:w w:val="90"/>
                <w:sz w:val="14"/>
              </w:rPr>
              <w:t>banking</w:t>
            </w:r>
            <w:r>
              <w:rPr>
                <w:color w:val="231F20"/>
                <w:spacing w:val="-9"/>
                <w:w w:val="90"/>
                <w:sz w:val="14"/>
              </w:rPr>
              <w:t xml:space="preserve"> </w:t>
            </w:r>
            <w:r>
              <w:rPr>
                <w:color w:val="231F20"/>
                <w:w w:val="90"/>
                <w:sz w:val="14"/>
              </w:rPr>
              <w:t>services</w:t>
            </w:r>
            <w:r>
              <w:rPr>
                <w:color w:val="231F20"/>
                <w:spacing w:val="-9"/>
                <w:w w:val="90"/>
                <w:sz w:val="14"/>
              </w:rPr>
              <w:t xml:space="preserve"> </w:t>
            </w:r>
            <w:r>
              <w:rPr>
                <w:color w:val="231F20"/>
                <w:w w:val="90"/>
                <w:sz w:val="14"/>
              </w:rPr>
              <w:t>provided</w:t>
            </w:r>
            <w:r>
              <w:rPr>
                <w:color w:val="231F20"/>
                <w:spacing w:val="-8"/>
                <w:w w:val="90"/>
                <w:sz w:val="14"/>
              </w:rPr>
              <w:t xml:space="preserve"> </w:t>
            </w:r>
            <w:r>
              <w:rPr>
                <w:color w:val="231F20"/>
                <w:w w:val="90"/>
                <w:sz w:val="14"/>
              </w:rPr>
              <w:t>in</w:t>
            </w:r>
            <w:r>
              <w:rPr>
                <w:color w:val="231F20"/>
                <w:spacing w:val="-9"/>
                <w:w w:val="90"/>
                <w:sz w:val="14"/>
              </w:rPr>
              <w:t xml:space="preserve"> </w:t>
            </w:r>
            <w:r>
              <w:rPr>
                <w:color w:val="231F20"/>
                <w:w w:val="90"/>
                <w:sz w:val="14"/>
              </w:rPr>
              <w:t>at</w:t>
            </w:r>
            <w:r>
              <w:rPr>
                <w:color w:val="231F20"/>
                <w:spacing w:val="-9"/>
                <w:w w:val="90"/>
                <w:sz w:val="14"/>
              </w:rPr>
              <w:t xml:space="preserve"> </w:t>
            </w:r>
            <w:r>
              <w:rPr>
                <w:color w:val="231F20"/>
                <w:spacing w:val="-3"/>
                <w:w w:val="90"/>
                <w:sz w:val="14"/>
              </w:rPr>
              <w:t xml:space="preserve">least </w:t>
            </w:r>
            <w:r>
              <w:rPr>
                <w:color w:val="231F20"/>
                <w:sz w:val="14"/>
              </w:rPr>
              <w:t>46</w:t>
            </w:r>
            <w:r>
              <w:rPr>
                <w:color w:val="231F20"/>
                <w:spacing w:val="-7"/>
                <w:sz w:val="14"/>
              </w:rPr>
              <w:t xml:space="preserve"> </w:t>
            </w:r>
            <w:r>
              <w:rPr>
                <w:color w:val="231F20"/>
                <w:sz w:val="14"/>
              </w:rPr>
              <w:t>facilities</w:t>
            </w:r>
          </w:p>
          <w:p w14:paraId="06BF1F44" w14:textId="77777777" w:rsidR="009948F1" w:rsidRDefault="00BC0563">
            <w:pPr>
              <w:pStyle w:val="TableParagraph"/>
              <w:spacing w:line="145" w:lineRule="exact"/>
              <w:ind w:left="27"/>
              <w:rPr>
                <w:sz w:val="14"/>
              </w:rPr>
            </w:pPr>
            <w:r>
              <w:rPr>
                <w:color w:val="231F20"/>
                <w:w w:val="87"/>
                <w:sz w:val="14"/>
              </w:rPr>
              <w:t>•</w:t>
            </w:r>
          </w:p>
        </w:tc>
        <w:tc>
          <w:tcPr>
            <w:tcW w:w="1479" w:type="dxa"/>
            <w:tcBorders>
              <w:top w:val="single" w:sz="6" w:space="0" w:color="231F20"/>
              <w:left w:val="single" w:sz="6" w:space="0" w:color="231F20"/>
              <w:bottom w:val="single" w:sz="6" w:space="0" w:color="231F20"/>
            </w:tcBorders>
            <w:shd w:val="clear" w:color="auto" w:fill="CCE7D3"/>
          </w:tcPr>
          <w:p w14:paraId="6D1F3A95" w14:textId="77777777" w:rsidR="009948F1" w:rsidRDefault="009948F1">
            <w:pPr>
              <w:pStyle w:val="TableParagraph"/>
              <w:rPr>
                <w:rFonts w:ascii="Times New Roman"/>
                <w:sz w:val="12"/>
              </w:rPr>
            </w:pPr>
          </w:p>
        </w:tc>
        <w:tc>
          <w:tcPr>
            <w:tcW w:w="1560" w:type="dxa"/>
            <w:tcBorders>
              <w:top w:val="single" w:sz="6" w:space="0" w:color="231F20"/>
              <w:bottom w:val="single" w:sz="6" w:space="0" w:color="231F20"/>
              <w:right w:val="single" w:sz="6" w:space="0" w:color="231F20"/>
            </w:tcBorders>
            <w:shd w:val="clear" w:color="auto" w:fill="CCE7D3"/>
          </w:tcPr>
          <w:p w14:paraId="62175FE3" w14:textId="77777777" w:rsidR="009948F1" w:rsidRDefault="009948F1">
            <w:pPr>
              <w:pStyle w:val="TableParagraph"/>
              <w:rPr>
                <w:rFonts w:ascii="Times New Roman"/>
                <w:sz w:val="12"/>
              </w:rPr>
            </w:pPr>
          </w:p>
        </w:tc>
      </w:tr>
      <w:tr w:rsidR="009948F1" w14:paraId="6CEE245B" w14:textId="77777777">
        <w:trPr>
          <w:trHeight w:val="483"/>
        </w:trPr>
        <w:tc>
          <w:tcPr>
            <w:tcW w:w="720" w:type="dxa"/>
            <w:gridSpan w:val="2"/>
            <w:vMerge w:val="restart"/>
            <w:tcBorders>
              <w:top w:val="nil"/>
              <w:bottom w:val="nil"/>
              <w:right w:val="single" w:sz="6" w:space="0" w:color="231F20"/>
            </w:tcBorders>
          </w:tcPr>
          <w:p w14:paraId="1786F3E3" w14:textId="77777777" w:rsidR="009948F1" w:rsidRDefault="009948F1">
            <w:pPr>
              <w:pStyle w:val="TableParagraph"/>
              <w:rPr>
                <w:rFonts w:ascii="Times New Roman"/>
                <w:sz w:val="12"/>
              </w:rPr>
            </w:pPr>
          </w:p>
        </w:tc>
        <w:tc>
          <w:tcPr>
            <w:tcW w:w="545" w:type="dxa"/>
            <w:tcBorders>
              <w:top w:val="single" w:sz="6" w:space="0" w:color="231F20"/>
              <w:left w:val="single" w:sz="6" w:space="0" w:color="231F20"/>
              <w:bottom w:val="single" w:sz="6" w:space="0" w:color="231F20"/>
              <w:right w:val="single" w:sz="6" w:space="0" w:color="231F20"/>
            </w:tcBorders>
          </w:tcPr>
          <w:p w14:paraId="2F471BB7" w14:textId="77777777" w:rsidR="009948F1" w:rsidRDefault="009948F1">
            <w:pPr>
              <w:pStyle w:val="TableParagraph"/>
              <w:spacing w:before="2"/>
              <w:rPr>
                <w:sz w:val="14"/>
              </w:rPr>
            </w:pPr>
          </w:p>
          <w:p w14:paraId="55FF038F" w14:textId="77777777" w:rsidR="009948F1" w:rsidRDefault="00BC0563">
            <w:pPr>
              <w:pStyle w:val="TableParagraph"/>
              <w:ind w:left="52" w:right="30"/>
              <w:jc w:val="center"/>
              <w:rPr>
                <w:sz w:val="14"/>
              </w:rPr>
            </w:pPr>
            <w:r>
              <w:rPr>
                <w:color w:val="231F20"/>
                <w:w w:val="95"/>
                <w:sz w:val="14"/>
              </w:rPr>
              <w:t>5.3.5.a</w:t>
            </w:r>
          </w:p>
        </w:tc>
        <w:tc>
          <w:tcPr>
            <w:tcW w:w="5074" w:type="dxa"/>
            <w:gridSpan w:val="2"/>
            <w:tcBorders>
              <w:top w:val="single" w:sz="6" w:space="0" w:color="231F20"/>
              <w:left w:val="single" w:sz="6" w:space="0" w:color="231F20"/>
              <w:bottom w:val="single" w:sz="6" w:space="0" w:color="231F20"/>
              <w:right w:val="single" w:sz="6" w:space="0" w:color="231F20"/>
            </w:tcBorders>
          </w:tcPr>
          <w:p w14:paraId="33387B1D" w14:textId="77777777" w:rsidR="009948F1" w:rsidRDefault="009948F1">
            <w:pPr>
              <w:pStyle w:val="TableParagraph"/>
              <w:spacing w:before="7"/>
              <w:rPr>
                <w:sz w:val="13"/>
              </w:rPr>
            </w:pPr>
          </w:p>
          <w:p w14:paraId="18D7CC2C" w14:textId="77777777" w:rsidR="009948F1" w:rsidRDefault="00BC0563">
            <w:pPr>
              <w:pStyle w:val="TableParagraph"/>
              <w:ind w:left="27"/>
              <w:rPr>
                <w:sz w:val="14"/>
              </w:rPr>
            </w:pPr>
            <w:r>
              <w:rPr>
                <w:color w:val="231F20"/>
                <w:w w:val="95"/>
                <w:sz w:val="14"/>
              </w:rPr>
              <w:t>Train</w:t>
            </w:r>
            <w:r>
              <w:rPr>
                <w:color w:val="231F20"/>
                <w:spacing w:val="-25"/>
                <w:w w:val="95"/>
                <w:sz w:val="14"/>
              </w:rPr>
              <w:t xml:space="preserve"> </w:t>
            </w:r>
            <w:r>
              <w:rPr>
                <w:color w:val="231F20"/>
                <w:w w:val="95"/>
                <w:sz w:val="14"/>
              </w:rPr>
              <w:t>Health</w:t>
            </w:r>
            <w:r>
              <w:rPr>
                <w:color w:val="231F20"/>
                <w:spacing w:val="-24"/>
                <w:w w:val="95"/>
                <w:sz w:val="14"/>
              </w:rPr>
              <w:t xml:space="preserve"> </w:t>
            </w:r>
            <w:r>
              <w:rPr>
                <w:color w:val="231F20"/>
                <w:w w:val="95"/>
                <w:sz w:val="14"/>
              </w:rPr>
              <w:t>Workers</w:t>
            </w:r>
            <w:r>
              <w:rPr>
                <w:color w:val="231F20"/>
                <w:spacing w:val="-25"/>
                <w:w w:val="95"/>
                <w:sz w:val="14"/>
              </w:rPr>
              <w:t xml:space="preserve"> </w:t>
            </w:r>
            <w:r>
              <w:rPr>
                <w:color w:val="231F20"/>
                <w:w w:val="95"/>
                <w:sz w:val="14"/>
              </w:rPr>
              <w:t>in</w:t>
            </w:r>
            <w:r>
              <w:rPr>
                <w:color w:val="231F20"/>
                <w:spacing w:val="-24"/>
                <w:w w:val="95"/>
                <w:sz w:val="14"/>
              </w:rPr>
              <w:t xml:space="preserve"> </w:t>
            </w:r>
            <w:r>
              <w:rPr>
                <w:color w:val="231F20"/>
                <w:w w:val="95"/>
                <w:sz w:val="14"/>
              </w:rPr>
              <w:t>PHC</w:t>
            </w:r>
            <w:r>
              <w:rPr>
                <w:color w:val="231F20"/>
                <w:spacing w:val="-25"/>
                <w:w w:val="95"/>
                <w:sz w:val="14"/>
              </w:rPr>
              <w:t xml:space="preserve"> </w:t>
            </w:r>
            <w:r>
              <w:rPr>
                <w:color w:val="231F20"/>
                <w:w w:val="95"/>
                <w:sz w:val="14"/>
              </w:rPr>
              <w:t>facilities</w:t>
            </w:r>
            <w:r>
              <w:rPr>
                <w:color w:val="231F20"/>
                <w:spacing w:val="-24"/>
                <w:w w:val="95"/>
                <w:sz w:val="14"/>
              </w:rPr>
              <w:t xml:space="preserve"> </w:t>
            </w:r>
            <w:r>
              <w:rPr>
                <w:color w:val="231F20"/>
                <w:w w:val="95"/>
                <w:sz w:val="14"/>
              </w:rPr>
              <w:t>in</w:t>
            </w:r>
            <w:r>
              <w:rPr>
                <w:color w:val="231F20"/>
                <w:spacing w:val="-25"/>
                <w:w w:val="95"/>
                <w:sz w:val="14"/>
              </w:rPr>
              <w:t xml:space="preserve"> </w:t>
            </w:r>
            <w:r>
              <w:rPr>
                <w:color w:val="231F20"/>
                <w:w w:val="95"/>
                <w:sz w:val="14"/>
              </w:rPr>
              <w:t>the</w:t>
            </w:r>
            <w:r>
              <w:rPr>
                <w:color w:val="231F20"/>
                <w:spacing w:val="-24"/>
                <w:w w:val="95"/>
                <w:sz w:val="14"/>
              </w:rPr>
              <w:t xml:space="preserve"> </w:t>
            </w:r>
            <w:r>
              <w:rPr>
                <w:color w:val="231F20"/>
                <w:w w:val="95"/>
                <w:sz w:val="14"/>
              </w:rPr>
              <w:t>state</w:t>
            </w:r>
            <w:r>
              <w:rPr>
                <w:color w:val="231F20"/>
                <w:spacing w:val="-25"/>
                <w:w w:val="95"/>
                <w:sz w:val="14"/>
              </w:rPr>
              <w:t xml:space="preserve"> </w:t>
            </w:r>
            <w:r>
              <w:rPr>
                <w:color w:val="231F20"/>
                <w:w w:val="95"/>
                <w:sz w:val="14"/>
              </w:rPr>
              <w:t>to</w:t>
            </w:r>
            <w:r>
              <w:rPr>
                <w:color w:val="231F20"/>
                <w:spacing w:val="-24"/>
                <w:w w:val="95"/>
                <w:sz w:val="14"/>
              </w:rPr>
              <w:t xml:space="preserve"> </w:t>
            </w:r>
            <w:r>
              <w:rPr>
                <w:color w:val="231F20"/>
                <w:w w:val="95"/>
                <w:sz w:val="14"/>
              </w:rPr>
              <w:t>improve</w:t>
            </w:r>
            <w:r>
              <w:rPr>
                <w:color w:val="231F20"/>
                <w:spacing w:val="-25"/>
                <w:w w:val="95"/>
                <w:sz w:val="14"/>
              </w:rPr>
              <w:t xml:space="preserve"> </w:t>
            </w:r>
            <w:r>
              <w:rPr>
                <w:color w:val="231F20"/>
                <w:w w:val="95"/>
                <w:sz w:val="14"/>
              </w:rPr>
              <w:t>access</w:t>
            </w:r>
            <w:r>
              <w:rPr>
                <w:color w:val="231F20"/>
                <w:spacing w:val="-24"/>
                <w:w w:val="95"/>
                <w:sz w:val="14"/>
              </w:rPr>
              <w:t xml:space="preserve"> </w:t>
            </w:r>
            <w:r>
              <w:rPr>
                <w:color w:val="231F20"/>
                <w:w w:val="95"/>
                <w:sz w:val="14"/>
              </w:rPr>
              <w:t>to</w:t>
            </w:r>
            <w:r>
              <w:rPr>
                <w:color w:val="231F20"/>
                <w:spacing w:val="-25"/>
                <w:w w:val="95"/>
                <w:sz w:val="14"/>
              </w:rPr>
              <w:t xml:space="preserve"> </w:t>
            </w:r>
            <w:r>
              <w:rPr>
                <w:color w:val="231F20"/>
                <w:w w:val="95"/>
                <w:sz w:val="14"/>
              </w:rPr>
              <w:t>safe</w:t>
            </w:r>
            <w:r>
              <w:rPr>
                <w:color w:val="231F20"/>
                <w:spacing w:val="-24"/>
                <w:w w:val="95"/>
                <w:sz w:val="14"/>
              </w:rPr>
              <w:t xml:space="preserve"> </w:t>
            </w:r>
            <w:r>
              <w:rPr>
                <w:color w:val="231F20"/>
                <w:w w:val="95"/>
                <w:sz w:val="14"/>
              </w:rPr>
              <w:t>blood</w:t>
            </w:r>
            <w:r>
              <w:rPr>
                <w:color w:val="231F20"/>
                <w:spacing w:val="-12"/>
                <w:w w:val="95"/>
                <w:sz w:val="14"/>
              </w:rPr>
              <w:t xml:space="preserve"> </w:t>
            </w:r>
            <w:r>
              <w:rPr>
                <w:color w:val="231F20"/>
                <w:w w:val="95"/>
                <w:sz w:val="14"/>
              </w:rPr>
              <w:t>products</w:t>
            </w:r>
          </w:p>
        </w:tc>
        <w:tc>
          <w:tcPr>
            <w:tcW w:w="1479" w:type="dxa"/>
            <w:tcBorders>
              <w:top w:val="single" w:sz="6" w:space="0" w:color="231F20"/>
              <w:left w:val="single" w:sz="6" w:space="0" w:color="231F20"/>
              <w:bottom w:val="single" w:sz="6" w:space="0" w:color="231F20"/>
              <w:right w:val="single" w:sz="6" w:space="0" w:color="231F20"/>
            </w:tcBorders>
          </w:tcPr>
          <w:p w14:paraId="29C07626" w14:textId="77777777" w:rsidR="009948F1" w:rsidRDefault="009948F1">
            <w:pPr>
              <w:pStyle w:val="TableParagraph"/>
              <w:spacing w:before="2"/>
              <w:rPr>
                <w:sz w:val="14"/>
              </w:rPr>
            </w:pPr>
          </w:p>
          <w:p w14:paraId="57815231" w14:textId="77777777" w:rsidR="009948F1" w:rsidRDefault="00BC0563">
            <w:pPr>
              <w:pStyle w:val="TableParagraph"/>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173AF918" w14:textId="77777777" w:rsidR="009948F1" w:rsidRDefault="009948F1">
            <w:pPr>
              <w:pStyle w:val="TableParagraph"/>
              <w:spacing w:before="2"/>
              <w:rPr>
                <w:sz w:val="14"/>
              </w:rPr>
            </w:pPr>
          </w:p>
          <w:p w14:paraId="4C72D8A6" w14:textId="77777777" w:rsidR="009948F1" w:rsidRDefault="00BC0563">
            <w:pPr>
              <w:pStyle w:val="TableParagraph"/>
              <w:ind w:left="29"/>
              <w:rPr>
                <w:sz w:val="14"/>
              </w:rPr>
            </w:pPr>
            <w:r>
              <w:rPr>
                <w:color w:val="231F20"/>
                <w:sz w:val="14"/>
              </w:rPr>
              <w:t>Training HWs</w:t>
            </w:r>
          </w:p>
        </w:tc>
      </w:tr>
      <w:tr w:rsidR="009948F1" w14:paraId="67FBF167" w14:textId="77777777">
        <w:trPr>
          <w:trHeight w:val="341"/>
        </w:trPr>
        <w:tc>
          <w:tcPr>
            <w:tcW w:w="720" w:type="dxa"/>
            <w:gridSpan w:val="2"/>
            <w:vMerge/>
            <w:tcBorders>
              <w:top w:val="nil"/>
              <w:bottom w:val="nil"/>
              <w:right w:val="single" w:sz="6" w:space="0" w:color="231F20"/>
            </w:tcBorders>
          </w:tcPr>
          <w:p w14:paraId="06F59EEA" w14:textId="77777777" w:rsidR="009948F1" w:rsidRDefault="009948F1">
            <w:pPr>
              <w:rPr>
                <w:sz w:val="2"/>
                <w:szCs w:val="2"/>
              </w:rPr>
            </w:pPr>
          </w:p>
        </w:tc>
        <w:tc>
          <w:tcPr>
            <w:tcW w:w="545" w:type="dxa"/>
            <w:tcBorders>
              <w:top w:val="single" w:sz="6" w:space="0" w:color="231F20"/>
              <w:left w:val="single" w:sz="6" w:space="0" w:color="231F20"/>
              <w:bottom w:val="single" w:sz="6" w:space="0" w:color="231F20"/>
              <w:right w:val="single" w:sz="6" w:space="0" w:color="231F20"/>
            </w:tcBorders>
          </w:tcPr>
          <w:p w14:paraId="17DE2132" w14:textId="77777777" w:rsidR="009948F1" w:rsidRDefault="00BC0563">
            <w:pPr>
              <w:pStyle w:val="TableParagraph"/>
              <w:spacing w:before="92"/>
              <w:ind w:left="52" w:right="30"/>
              <w:jc w:val="center"/>
              <w:rPr>
                <w:sz w:val="14"/>
              </w:rPr>
            </w:pPr>
            <w:r>
              <w:rPr>
                <w:color w:val="231F20"/>
                <w:w w:val="95"/>
                <w:sz w:val="14"/>
              </w:rPr>
              <w:t>5.3.5.b</w:t>
            </w:r>
          </w:p>
        </w:tc>
        <w:tc>
          <w:tcPr>
            <w:tcW w:w="5074" w:type="dxa"/>
            <w:gridSpan w:val="2"/>
            <w:tcBorders>
              <w:top w:val="single" w:sz="6" w:space="0" w:color="231F20"/>
              <w:left w:val="single" w:sz="6" w:space="0" w:color="231F20"/>
              <w:bottom w:val="single" w:sz="6" w:space="0" w:color="231F20"/>
              <w:right w:val="single" w:sz="6" w:space="0" w:color="231F20"/>
            </w:tcBorders>
          </w:tcPr>
          <w:p w14:paraId="3FAC38C1" w14:textId="77777777" w:rsidR="009948F1" w:rsidRDefault="00BC0563">
            <w:pPr>
              <w:pStyle w:val="TableParagraph"/>
              <w:spacing w:before="86"/>
              <w:ind w:left="27"/>
              <w:rPr>
                <w:sz w:val="14"/>
              </w:rPr>
            </w:pPr>
            <w:r>
              <w:rPr>
                <w:color w:val="231F20"/>
                <w:sz w:val="14"/>
              </w:rPr>
              <w:t>Provide blood banking services in 2 facilities each for 23 LGAs</w:t>
            </w:r>
          </w:p>
        </w:tc>
        <w:tc>
          <w:tcPr>
            <w:tcW w:w="1479" w:type="dxa"/>
            <w:tcBorders>
              <w:top w:val="single" w:sz="6" w:space="0" w:color="231F20"/>
              <w:left w:val="single" w:sz="6" w:space="0" w:color="231F20"/>
              <w:bottom w:val="single" w:sz="6" w:space="0" w:color="231F20"/>
              <w:right w:val="single" w:sz="6" w:space="0" w:color="231F20"/>
            </w:tcBorders>
          </w:tcPr>
          <w:p w14:paraId="4D0A29CA" w14:textId="77777777" w:rsidR="009948F1" w:rsidRDefault="00BC0563">
            <w:pPr>
              <w:pStyle w:val="TableParagraph"/>
              <w:spacing w:before="92"/>
              <w:ind w:left="28"/>
              <w:rPr>
                <w:sz w:val="14"/>
              </w:rPr>
            </w:pPr>
            <w:r>
              <w:rPr>
                <w:color w:val="231F20"/>
                <w:sz w:val="14"/>
              </w:rPr>
              <w:t>Lack of funds</w:t>
            </w:r>
          </w:p>
        </w:tc>
        <w:tc>
          <w:tcPr>
            <w:tcW w:w="1560" w:type="dxa"/>
            <w:tcBorders>
              <w:top w:val="single" w:sz="6" w:space="0" w:color="231F20"/>
              <w:left w:val="single" w:sz="6" w:space="0" w:color="231F20"/>
              <w:bottom w:val="single" w:sz="6" w:space="0" w:color="231F20"/>
              <w:right w:val="single" w:sz="6" w:space="0" w:color="231F20"/>
            </w:tcBorders>
          </w:tcPr>
          <w:p w14:paraId="19F216E2" w14:textId="77777777" w:rsidR="009948F1" w:rsidRDefault="00BC0563">
            <w:pPr>
              <w:pStyle w:val="TableParagraph"/>
              <w:spacing w:before="5"/>
              <w:ind w:left="29"/>
              <w:rPr>
                <w:sz w:val="14"/>
              </w:rPr>
            </w:pPr>
            <w:r>
              <w:rPr>
                <w:color w:val="231F20"/>
                <w:sz w:val="14"/>
              </w:rPr>
              <w:t>Provide blood banking</w:t>
            </w:r>
          </w:p>
          <w:p w14:paraId="7764902C" w14:textId="77777777" w:rsidR="009948F1" w:rsidRDefault="00BC0563">
            <w:pPr>
              <w:pStyle w:val="TableParagraph"/>
              <w:spacing w:before="20" w:line="135" w:lineRule="exact"/>
              <w:ind w:left="29"/>
              <w:rPr>
                <w:sz w:val="14"/>
              </w:rPr>
            </w:pPr>
            <w:r>
              <w:rPr>
                <w:color w:val="231F20"/>
                <w:sz w:val="14"/>
              </w:rPr>
              <w:t>services</w:t>
            </w:r>
          </w:p>
        </w:tc>
      </w:tr>
      <w:tr w:rsidR="009948F1" w14:paraId="317D693F" w14:textId="77777777">
        <w:trPr>
          <w:trHeight w:val="1340"/>
        </w:trPr>
        <w:tc>
          <w:tcPr>
            <w:tcW w:w="249" w:type="dxa"/>
            <w:tcBorders>
              <w:top w:val="nil"/>
              <w:bottom w:val="single" w:sz="6" w:space="0" w:color="231F20"/>
              <w:right w:val="single" w:sz="6" w:space="0" w:color="231F20"/>
            </w:tcBorders>
          </w:tcPr>
          <w:p w14:paraId="4768DB5A" w14:textId="77777777" w:rsidR="009948F1" w:rsidRDefault="009948F1">
            <w:pPr>
              <w:pStyle w:val="TableParagraph"/>
              <w:rPr>
                <w:rFonts w:ascii="Times New Roman"/>
                <w:sz w:val="12"/>
              </w:rPr>
            </w:pPr>
          </w:p>
        </w:tc>
        <w:tc>
          <w:tcPr>
            <w:tcW w:w="471" w:type="dxa"/>
            <w:tcBorders>
              <w:top w:val="single" w:sz="6" w:space="0" w:color="231F20"/>
              <w:left w:val="single" w:sz="6" w:space="0" w:color="231F20"/>
              <w:bottom w:val="single" w:sz="6" w:space="0" w:color="231F20"/>
              <w:right w:val="single" w:sz="6" w:space="0" w:color="231F20"/>
            </w:tcBorders>
            <w:shd w:val="clear" w:color="auto" w:fill="CCE7D3"/>
          </w:tcPr>
          <w:p w14:paraId="1CB3EADB" w14:textId="77777777" w:rsidR="009948F1" w:rsidRDefault="009948F1">
            <w:pPr>
              <w:pStyle w:val="TableParagraph"/>
              <w:rPr>
                <w:sz w:val="14"/>
              </w:rPr>
            </w:pPr>
          </w:p>
          <w:p w14:paraId="3D45A142" w14:textId="77777777" w:rsidR="009948F1" w:rsidRDefault="009948F1">
            <w:pPr>
              <w:pStyle w:val="TableParagraph"/>
              <w:rPr>
                <w:sz w:val="14"/>
              </w:rPr>
            </w:pPr>
          </w:p>
          <w:p w14:paraId="334848AE" w14:textId="77777777" w:rsidR="009948F1" w:rsidRDefault="009948F1">
            <w:pPr>
              <w:pStyle w:val="TableParagraph"/>
              <w:rPr>
                <w:sz w:val="14"/>
              </w:rPr>
            </w:pPr>
          </w:p>
          <w:p w14:paraId="7718FDAB" w14:textId="77777777" w:rsidR="009948F1" w:rsidRDefault="00BC0563">
            <w:pPr>
              <w:pStyle w:val="TableParagraph"/>
              <w:spacing w:before="109"/>
              <w:ind w:left="60"/>
              <w:rPr>
                <w:sz w:val="14"/>
              </w:rPr>
            </w:pPr>
            <w:r>
              <w:rPr>
                <w:color w:val="231F20"/>
                <w:sz w:val="14"/>
              </w:rPr>
              <w:t>5.3.6</w:t>
            </w:r>
          </w:p>
        </w:tc>
        <w:tc>
          <w:tcPr>
            <w:tcW w:w="3148" w:type="dxa"/>
            <w:gridSpan w:val="2"/>
            <w:tcBorders>
              <w:top w:val="single" w:sz="6" w:space="0" w:color="231F20"/>
              <w:left w:val="single" w:sz="6" w:space="0" w:color="231F20"/>
              <w:bottom w:val="single" w:sz="6" w:space="0" w:color="231F20"/>
              <w:right w:val="single" w:sz="6" w:space="0" w:color="231F20"/>
            </w:tcBorders>
            <w:shd w:val="clear" w:color="auto" w:fill="CCE7D3"/>
          </w:tcPr>
          <w:p w14:paraId="14C88DBF" w14:textId="77777777" w:rsidR="009948F1" w:rsidRDefault="009948F1">
            <w:pPr>
              <w:pStyle w:val="TableParagraph"/>
              <w:rPr>
                <w:sz w:val="14"/>
              </w:rPr>
            </w:pPr>
          </w:p>
          <w:p w14:paraId="6CF29F57" w14:textId="77777777" w:rsidR="009948F1" w:rsidRDefault="009948F1">
            <w:pPr>
              <w:pStyle w:val="TableParagraph"/>
              <w:rPr>
                <w:sz w:val="14"/>
              </w:rPr>
            </w:pPr>
          </w:p>
          <w:p w14:paraId="32D7CD55" w14:textId="77777777" w:rsidR="009948F1" w:rsidRDefault="009948F1">
            <w:pPr>
              <w:pStyle w:val="TableParagraph"/>
              <w:rPr>
                <w:sz w:val="15"/>
              </w:rPr>
            </w:pPr>
          </w:p>
          <w:p w14:paraId="1BED121E" w14:textId="77777777" w:rsidR="009948F1" w:rsidRDefault="00BC0563">
            <w:pPr>
              <w:pStyle w:val="TableParagraph"/>
              <w:spacing w:line="271" w:lineRule="auto"/>
              <w:ind w:left="26" w:right="440" w:firstLine="34"/>
              <w:rPr>
                <w:sz w:val="14"/>
              </w:rPr>
            </w:pPr>
            <w:r>
              <w:rPr>
                <w:color w:val="231F20"/>
                <w:w w:val="90"/>
                <w:sz w:val="14"/>
              </w:rPr>
              <w:t xml:space="preserve">Promote injection safety and health care waste </w:t>
            </w:r>
            <w:r>
              <w:rPr>
                <w:color w:val="231F20"/>
                <w:sz w:val="14"/>
              </w:rPr>
              <w:t>management practices</w:t>
            </w:r>
          </w:p>
        </w:tc>
        <w:tc>
          <w:tcPr>
            <w:tcW w:w="2471" w:type="dxa"/>
            <w:tcBorders>
              <w:top w:val="single" w:sz="6" w:space="0" w:color="231F20"/>
              <w:left w:val="single" w:sz="6" w:space="0" w:color="231F20"/>
              <w:bottom w:val="single" w:sz="6" w:space="0" w:color="231F20"/>
              <w:right w:val="single" w:sz="6" w:space="0" w:color="231F20"/>
            </w:tcBorders>
            <w:shd w:val="clear" w:color="auto" w:fill="CCE7D3"/>
          </w:tcPr>
          <w:p w14:paraId="70DCD360" w14:textId="77777777" w:rsidR="009948F1" w:rsidRDefault="00BC0563">
            <w:pPr>
              <w:pStyle w:val="TableParagraph"/>
              <w:numPr>
                <w:ilvl w:val="0"/>
                <w:numId w:val="145"/>
              </w:numPr>
              <w:tabs>
                <w:tab w:val="left" w:pos="99"/>
              </w:tabs>
              <w:spacing w:before="5" w:line="271" w:lineRule="auto"/>
              <w:ind w:right="42" w:firstLine="0"/>
              <w:rPr>
                <w:sz w:val="14"/>
              </w:rPr>
            </w:pPr>
            <w:r>
              <w:rPr>
                <w:color w:val="231F20"/>
                <w:w w:val="95"/>
                <w:sz w:val="14"/>
              </w:rPr>
              <w:t>At</w:t>
            </w:r>
            <w:r>
              <w:rPr>
                <w:color w:val="231F20"/>
                <w:spacing w:val="-22"/>
                <w:w w:val="95"/>
                <w:sz w:val="14"/>
              </w:rPr>
              <w:t xml:space="preserve"> </w:t>
            </w:r>
            <w:r>
              <w:rPr>
                <w:color w:val="231F20"/>
                <w:w w:val="95"/>
                <w:sz w:val="14"/>
              </w:rPr>
              <w:t>least</w:t>
            </w:r>
            <w:r>
              <w:rPr>
                <w:color w:val="231F20"/>
                <w:spacing w:val="-22"/>
                <w:w w:val="95"/>
                <w:sz w:val="14"/>
              </w:rPr>
              <w:t xml:space="preserve"> </w:t>
            </w:r>
            <w:r>
              <w:rPr>
                <w:color w:val="231F20"/>
                <w:w w:val="95"/>
                <w:sz w:val="14"/>
              </w:rPr>
              <w:t>250</w:t>
            </w:r>
            <w:r>
              <w:rPr>
                <w:color w:val="231F20"/>
                <w:spacing w:val="-22"/>
                <w:w w:val="95"/>
                <w:sz w:val="14"/>
              </w:rPr>
              <w:t xml:space="preserve"> </w:t>
            </w:r>
            <w:r>
              <w:rPr>
                <w:color w:val="231F20"/>
                <w:w w:val="95"/>
                <w:sz w:val="14"/>
              </w:rPr>
              <w:t>HWs</w:t>
            </w:r>
            <w:r>
              <w:rPr>
                <w:color w:val="231F20"/>
                <w:spacing w:val="-22"/>
                <w:w w:val="95"/>
                <w:sz w:val="14"/>
              </w:rPr>
              <w:t xml:space="preserve"> </w:t>
            </w:r>
            <w:r>
              <w:rPr>
                <w:color w:val="231F20"/>
                <w:w w:val="95"/>
                <w:sz w:val="14"/>
              </w:rPr>
              <w:t>in</w:t>
            </w:r>
            <w:r>
              <w:rPr>
                <w:color w:val="231F20"/>
                <w:spacing w:val="-21"/>
                <w:w w:val="95"/>
                <w:sz w:val="14"/>
              </w:rPr>
              <w:t xml:space="preserve"> </w:t>
            </w:r>
            <w:r>
              <w:rPr>
                <w:color w:val="231F20"/>
                <w:w w:val="95"/>
                <w:sz w:val="14"/>
              </w:rPr>
              <w:t>PHC</w:t>
            </w:r>
            <w:r>
              <w:rPr>
                <w:color w:val="231F20"/>
                <w:spacing w:val="-22"/>
                <w:w w:val="95"/>
                <w:sz w:val="14"/>
              </w:rPr>
              <w:t xml:space="preserve"> </w:t>
            </w:r>
            <w:r>
              <w:rPr>
                <w:color w:val="231F20"/>
                <w:w w:val="95"/>
                <w:sz w:val="14"/>
              </w:rPr>
              <w:t>facilities</w:t>
            </w:r>
            <w:r>
              <w:rPr>
                <w:color w:val="231F20"/>
                <w:spacing w:val="-22"/>
                <w:w w:val="95"/>
                <w:sz w:val="14"/>
              </w:rPr>
              <w:t xml:space="preserve"> </w:t>
            </w:r>
            <w:r>
              <w:rPr>
                <w:color w:val="231F20"/>
                <w:w w:val="95"/>
                <w:sz w:val="14"/>
              </w:rPr>
              <w:t xml:space="preserve">trained </w:t>
            </w:r>
            <w:r>
              <w:rPr>
                <w:color w:val="231F20"/>
                <w:w w:val="90"/>
                <w:sz w:val="14"/>
              </w:rPr>
              <w:t>annually</w:t>
            </w:r>
            <w:r>
              <w:rPr>
                <w:color w:val="231F20"/>
                <w:spacing w:val="-14"/>
                <w:w w:val="90"/>
                <w:sz w:val="14"/>
              </w:rPr>
              <w:t xml:space="preserve"> </w:t>
            </w:r>
            <w:r>
              <w:rPr>
                <w:color w:val="231F20"/>
                <w:w w:val="90"/>
                <w:sz w:val="14"/>
              </w:rPr>
              <w:t>on</w:t>
            </w:r>
            <w:r>
              <w:rPr>
                <w:color w:val="231F20"/>
                <w:spacing w:val="-14"/>
                <w:w w:val="90"/>
                <w:sz w:val="14"/>
              </w:rPr>
              <w:t xml:space="preserve"> </w:t>
            </w:r>
            <w:r>
              <w:rPr>
                <w:color w:val="231F20"/>
                <w:w w:val="90"/>
                <w:sz w:val="14"/>
              </w:rPr>
              <w:t>Safety</w:t>
            </w:r>
            <w:r>
              <w:rPr>
                <w:color w:val="231F20"/>
                <w:spacing w:val="-14"/>
                <w:w w:val="90"/>
                <w:sz w:val="14"/>
              </w:rPr>
              <w:t xml:space="preserve"> </w:t>
            </w:r>
            <w:r>
              <w:rPr>
                <w:color w:val="231F20"/>
                <w:w w:val="90"/>
                <w:sz w:val="14"/>
              </w:rPr>
              <w:t>and</w:t>
            </w:r>
            <w:r>
              <w:rPr>
                <w:color w:val="231F20"/>
                <w:spacing w:val="-14"/>
                <w:w w:val="90"/>
                <w:sz w:val="14"/>
              </w:rPr>
              <w:t xml:space="preserve"> </w:t>
            </w:r>
            <w:r>
              <w:rPr>
                <w:color w:val="231F20"/>
                <w:w w:val="90"/>
                <w:sz w:val="14"/>
              </w:rPr>
              <w:t>Waste</w:t>
            </w:r>
            <w:r>
              <w:rPr>
                <w:color w:val="231F20"/>
                <w:spacing w:val="-14"/>
                <w:w w:val="90"/>
                <w:sz w:val="14"/>
              </w:rPr>
              <w:t xml:space="preserve"> </w:t>
            </w:r>
            <w:r>
              <w:rPr>
                <w:color w:val="231F20"/>
                <w:w w:val="90"/>
                <w:sz w:val="14"/>
              </w:rPr>
              <w:t xml:space="preserve">management </w:t>
            </w:r>
            <w:r>
              <w:rPr>
                <w:color w:val="231F20"/>
                <w:sz w:val="14"/>
              </w:rPr>
              <w:t>practices</w:t>
            </w:r>
          </w:p>
          <w:p w14:paraId="62A5F8D8" w14:textId="77777777" w:rsidR="009948F1" w:rsidRDefault="00BC0563">
            <w:pPr>
              <w:pStyle w:val="TableParagraph"/>
              <w:numPr>
                <w:ilvl w:val="0"/>
                <w:numId w:val="145"/>
              </w:numPr>
              <w:tabs>
                <w:tab w:val="left" w:pos="99"/>
              </w:tabs>
              <w:spacing w:line="271" w:lineRule="auto"/>
              <w:ind w:right="215" w:firstLine="0"/>
              <w:rPr>
                <w:sz w:val="14"/>
              </w:rPr>
            </w:pPr>
            <w:r>
              <w:rPr>
                <w:color w:val="231F20"/>
                <w:sz w:val="14"/>
              </w:rPr>
              <w:t>At</w:t>
            </w:r>
            <w:r>
              <w:rPr>
                <w:color w:val="231F20"/>
                <w:spacing w:val="-26"/>
                <w:sz w:val="14"/>
              </w:rPr>
              <w:t xml:space="preserve"> </w:t>
            </w:r>
            <w:r>
              <w:rPr>
                <w:color w:val="231F20"/>
                <w:sz w:val="14"/>
              </w:rPr>
              <w:t>least</w:t>
            </w:r>
            <w:r>
              <w:rPr>
                <w:color w:val="231F20"/>
                <w:spacing w:val="-26"/>
                <w:sz w:val="14"/>
              </w:rPr>
              <w:t xml:space="preserve"> </w:t>
            </w:r>
            <w:r>
              <w:rPr>
                <w:color w:val="231F20"/>
                <w:sz w:val="14"/>
              </w:rPr>
              <w:t>20</w:t>
            </w:r>
            <w:r>
              <w:rPr>
                <w:color w:val="231F20"/>
                <w:spacing w:val="-26"/>
                <w:sz w:val="14"/>
              </w:rPr>
              <w:t xml:space="preserve"> </w:t>
            </w:r>
            <w:r>
              <w:rPr>
                <w:color w:val="231F20"/>
                <w:sz w:val="14"/>
              </w:rPr>
              <w:t>CBOs</w:t>
            </w:r>
            <w:r>
              <w:rPr>
                <w:color w:val="231F20"/>
                <w:spacing w:val="-26"/>
                <w:sz w:val="14"/>
              </w:rPr>
              <w:t xml:space="preserve"> </w:t>
            </w:r>
            <w:r>
              <w:rPr>
                <w:color w:val="231F20"/>
                <w:sz w:val="14"/>
              </w:rPr>
              <w:t>and</w:t>
            </w:r>
            <w:r>
              <w:rPr>
                <w:color w:val="231F20"/>
                <w:spacing w:val="-13"/>
                <w:sz w:val="14"/>
              </w:rPr>
              <w:t xml:space="preserve"> </w:t>
            </w:r>
            <w:r>
              <w:rPr>
                <w:color w:val="231F20"/>
                <w:sz w:val="14"/>
              </w:rPr>
              <w:t>private</w:t>
            </w:r>
            <w:r>
              <w:rPr>
                <w:color w:val="231F20"/>
                <w:spacing w:val="-26"/>
                <w:sz w:val="14"/>
              </w:rPr>
              <w:t xml:space="preserve"> </w:t>
            </w:r>
            <w:r>
              <w:rPr>
                <w:color w:val="231F20"/>
                <w:sz w:val="14"/>
              </w:rPr>
              <w:t>health workers</w:t>
            </w:r>
            <w:r>
              <w:rPr>
                <w:color w:val="231F20"/>
                <w:spacing w:val="-26"/>
                <w:sz w:val="14"/>
              </w:rPr>
              <w:t xml:space="preserve"> </w:t>
            </w:r>
            <w:r>
              <w:rPr>
                <w:color w:val="231F20"/>
                <w:sz w:val="14"/>
              </w:rPr>
              <w:t>trained</w:t>
            </w:r>
            <w:r>
              <w:rPr>
                <w:color w:val="231F20"/>
                <w:spacing w:val="-26"/>
                <w:sz w:val="14"/>
              </w:rPr>
              <w:t xml:space="preserve"> </w:t>
            </w:r>
            <w:r>
              <w:rPr>
                <w:color w:val="231F20"/>
                <w:sz w:val="14"/>
              </w:rPr>
              <w:t>on</w:t>
            </w:r>
            <w:r>
              <w:rPr>
                <w:color w:val="231F20"/>
                <w:spacing w:val="-26"/>
                <w:sz w:val="14"/>
              </w:rPr>
              <w:t xml:space="preserve"> </w:t>
            </w:r>
            <w:r>
              <w:rPr>
                <w:color w:val="231F20"/>
                <w:sz w:val="14"/>
              </w:rPr>
              <w:t>injection</w:t>
            </w:r>
            <w:r>
              <w:rPr>
                <w:color w:val="231F20"/>
                <w:spacing w:val="-26"/>
                <w:sz w:val="14"/>
              </w:rPr>
              <w:t xml:space="preserve"> </w:t>
            </w:r>
            <w:r>
              <w:rPr>
                <w:color w:val="231F20"/>
                <w:sz w:val="14"/>
              </w:rPr>
              <w:t>safety</w:t>
            </w:r>
            <w:r>
              <w:rPr>
                <w:color w:val="231F20"/>
                <w:spacing w:val="-25"/>
                <w:sz w:val="14"/>
              </w:rPr>
              <w:t xml:space="preserve"> </w:t>
            </w:r>
            <w:r>
              <w:rPr>
                <w:color w:val="231F20"/>
                <w:sz w:val="14"/>
              </w:rPr>
              <w:t xml:space="preserve">&amp; </w:t>
            </w:r>
            <w:r>
              <w:rPr>
                <w:color w:val="231F20"/>
                <w:w w:val="90"/>
                <w:sz w:val="14"/>
              </w:rPr>
              <w:t>healthcare</w:t>
            </w:r>
            <w:r>
              <w:rPr>
                <w:color w:val="231F20"/>
                <w:spacing w:val="-12"/>
                <w:w w:val="90"/>
                <w:sz w:val="14"/>
              </w:rPr>
              <w:t xml:space="preserve"> </w:t>
            </w:r>
            <w:r>
              <w:rPr>
                <w:color w:val="231F20"/>
                <w:w w:val="90"/>
                <w:sz w:val="14"/>
              </w:rPr>
              <w:t>waste</w:t>
            </w:r>
            <w:r>
              <w:rPr>
                <w:color w:val="231F20"/>
                <w:spacing w:val="-12"/>
                <w:w w:val="90"/>
                <w:sz w:val="14"/>
              </w:rPr>
              <w:t xml:space="preserve"> </w:t>
            </w:r>
            <w:r>
              <w:rPr>
                <w:color w:val="231F20"/>
                <w:w w:val="90"/>
                <w:sz w:val="14"/>
              </w:rPr>
              <w:t>management</w:t>
            </w:r>
            <w:r>
              <w:rPr>
                <w:color w:val="231F20"/>
                <w:spacing w:val="-11"/>
                <w:w w:val="90"/>
                <w:sz w:val="14"/>
              </w:rPr>
              <w:t xml:space="preserve"> </w:t>
            </w:r>
            <w:r>
              <w:rPr>
                <w:color w:val="231F20"/>
                <w:spacing w:val="-3"/>
                <w:w w:val="90"/>
                <w:sz w:val="14"/>
              </w:rPr>
              <w:t xml:space="preserve">practices </w:t>
            </w:r>
            <w:r>
              <w:rPr>
                <w:color w:val="231F20"/>
                <w:sz w:val="14"/>
              </w:rPr>
              <w:t>annually</w:t>
            </w:r>
          </w:p>
        </w:tc>
        <w:tc>
          <w:tcPr>
            <w:tcW w:w="1479" w:type="dxa"/>
            <w:tcBorders>
              <w:top w:val="single" w:sz="6" w:space="0" w:color="231F20"/>
              <w:left w:val="single" w:sz="6" w:space="0" w:color="231F20"/>
              <w:bottom w:val="single" w:sz="6" w:space="0" w:color="231F20"/>
            </w:tcBorders>
            <w:shd w:val="clear" w:color="auto" w:fill="CCE7D3"/>
          </w:tcPr>
          <w:p w14:paraId="144850C3" w14:textId="77777777" w:rsidR="009948F1" w:rsidRDefault="009948F1">
            <w:pPr>
              <w:pStyle w:val="TableParagraph"/>
              <w:rPr>
                <w:rFonts w:ascii="Times New Roman"/>
                <w:sz w:val="12"/>
              </w:rPr>
            </w:pPr>
          </w:p>
        </w:tc>
        <w:tc>
          <w:tcPr>
            <w:tcW w:w="1560" w:type="dxa"/>
            <w:tcBorders>
              <w:top w:val="single" w:sz="6" w:space="0" w:color="231F20"/>
              <w:bottom w:val="single" w:sz="6" w:space="0" w:color="231F20"/>
              <w:right w:val="single" w:sz="6" w:space="0" w:color="231F20"/>
            </w:tcBorders>
            <w:shd w:val="clear" w:color="auto" w:fill="CCE7D3"/>
          </w:tcPr>
          <w:p w14:paraId="354EF799" w14:textId="77777777" w:rsidR="009948F1" w:rsidRDefault="009948F1">
            <w:pPr>
              <w:pStyle w:val="TableParagraph"/>
              <w:rPr>
                <w:rFonts w:ascii="Times New Roman"/>
                <w:sz w:val="12"/>
              </w:rPr>
            </w:pPr>
          </w:p>
        </w:tc>
      </w:tr>
    </w:tbl>
    <w:p w14:paraId="333B665C" w14:textId="77777777" w:rsidR="009948F1" w:rsidRDefault="009948F1">
      <w:pPr>
        <w:rPr>
          <w:rFonts w:ascii="Times New Roman"/>
          <w:sz w:val="12"/>
        </w:rPr>
        <w:sectPr w:rsidR="009948F1">
          <w:pgSz w:w="11910" w:h="16840"/>
          <w:pgMar w:top="1580" w:right="1080" w:bottom="1340" w:left="1120" w:header="0" w:footer="1155" w:gutter="0"/>
          <w:cols w:space="720"/>
        </w:sectPr>
      </w:pPr>
    </w:p>
    <w:tbl>
      <w:tblPr>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0"/>
        <w:gridCol w:w="551"/>
        <w:gridCol w:w="2630"/>
        <w:gridCol w:w="2497"/>
        <w:gridCol w:w="1496"/>
        <w:gridCol w:w="1576"/>
      </w:tblGrid>
      <w:tr w:rsidR="009948F1" w14:paraId="043BBC2D" w14:textId="77777777">
        <w:trPr>
          <w:trHeight w:val="583"/>
        </w:trPr>
        <w:tc>
          <w:tcPr>
            <w:tcW w:w="480" w:type="dxa"/>
            <w:vMerge w:val="restart"/>
            <w:tcBorders>
              <w:bottom w:val="single" w:sz="6" w:space="0" w:color="231F20"/>
              <w:right w:val="single" w:sz="6" w:space="0" w:color="231F20"/>
            </w:tcBorders>
          </w:tcPr>
          <w:p w14:paraId="08D2B469" w14:textId="77777777" w:rsidR="009948F1" w:rsidRDefault="009948F1">
            <w:pPr>
              <w:pStyle w:val="TableParagraph"/>
              <w:rPr>
                <w:rFonts w:ascii="Times New Roman"/>
                <w:sz w:val="12"/>
              </w:rPr>
            </w:pPr>
          </w:p>
        </w:tc>
        <w:tc>
          <w:tcPr>
            <w:tcW w:w="551" w:type="dxa"/>
            <w:tcBorders>
              <w:left w:val="single" w:sz="6" w:space="0" w:color="231F20"/>
              <w:bottom w:val="single" w:sz="6" w:space="0" w:color="231F20"/>
              <w:right w:val="single" w:sz="6" w:space="0" w:color="231F20"/>
            </w:tcBorders>
          </w:tcPr>
          <w:p w14:paraId="165FE395" w14:textId="77777777" w:rsidR="009948F1" w:rsidRDefault="009948F1">
            <w:pPr>
              <w:pStyle w:val="TableParagraph"/>
              <w:spacing w:before="6"/>
              <w:rPr>
                <w:sz w:val="17"/>
              </w:rPr>
            </w:pPr>
          </w:p>
          <w:p w14:paraId="77AA90E2" w14:textId="77777777" w:rsidR="009948F1" w:rsidRDefault="00BC0563">
            <w:pPr>
              <w:pStyle w:val="TableParagraph"/>
              <w:ind w:left="88"/>
              <w:rPr>
                <w:sz w:val="14"/>
              </w:rPr>
            </w:pPr>
            <w:bookmarkStart w:id="169" w:name="Page_143"/>
            <w:bookmarkEnd w:id="169"/>
            <w:r>
              <w:rPr>
                <w:color w:val="231F20"/>
                <w:w w:val="95"/>
                <w:sz w:val="14"/>
              </w:rPr>
              <w:t>5.3.6.a</w:t>
            </w:r>
          </w:p>
        </w:tc>
        <w:tc>
          <w:tcPr>
            <w:tcW w:w="5127" w:type="dxa"/>
            <w:gridSpan w:val="2"/>
            <w:tcBorders>
              <w:left w:val="single" w:sz="6" w:space="0" w:color="231F20"/>
              <w:bottom w:val="single" w:sz="6" w:space="0" w:color="231F20"/>
              <w:right w:val="single" w:sz="6" w:space="0" w:color="231F20"/>
            </w:tcBorders>
          </w:tcPr>
          <w:p w14:paraId="6585326C" w14:textId="77777777" w:rsidR="009948F1" w:rsidRDefault="009948F1">
            <w:pPr>
              <w:pStyle w:val="TableParagraph"/>
              <w:rPr>
                <w:sz w:val="17"/>
              </w:rPr>
            </w:pPr>
          </w:p>
          <w:p w14:paraId="41EC510B" w14:textId="77777777" w:rsidR="009948F1" w:rsidRDefault="00BC0563">
            <w:pPr>
              <w:pStyle w:val="TableParagraph"/>
              <w:ind w:left="25"/>
              <w:rPr>
                <w:sz w:val="14"/>
              </w:rPr>
            </w:pPr>
            <w:r>
              <w:rPr>
                <w:color w:val="231F20"/>
                <w:sz w:val="14"/>
              </w:rPr>
              <w:t>Train HWs in PHC facilities on Safety and Waste management practices</w:t>
            </w:r>
          </w:p>
        </w:tc>
        <w:tc>
          <w:tcPr>
            <w:tcW w:w="1496" w:type="dxa"/>
            <w:tcBorders>
              <w:left w:val="single" w:sz="6" w:space="0" w:color="231F20"/>
              <w:bottom w:val="single" w:sz="6" w:space="0" w:color="231F20"/>
              <w:right w:val="single" w:sz="6" w:space="0" w:color="231F20"/>
            </w:tcBorders>
          </w:tcPr>
          <w:p w14:paraId="21EDFDD9" w14:textId="77777777" w:rsidR="009948F1" w:rsidRDefault="009948F1">
            <w:pPr>
              <w:pStyle w:val="TableParagraph"/>
              <w:spacing w:before="6"/>
              <w:rPr>
                <w:sz w:val="17"/>
              </w:rPr>
            </w:pPr>
          </w:p>
          <w:p w14:paraId="4230220F" w14:textId="77777777" w:rsidR="009948F1" w:rsidRDefault="00BC0563">
            <w:pPr>
              <w:pStyle w:val="TableParagraph"/>
              <w:ind w:left="24"/>
              <w:rPr>
                <w:sz w:val="14"/>
              </w:rPr>
            </w:pPr>
            <w:r>
              <w:rPr>
                <w:color w:val="231F20"/>
                <w:sz w:val="14"/>
              </w:rPr>
              <w:t>Lack of funds</w:t>
            </w:r>
          </w:p>
        </w:tc>
        <w:tc>
          <w:tcPr>
            <w:tcW w:w="1576" w:type="dxa"/>
            <w:tcBorders>
              <w:left w:val="single" w:sz="6" w:space="0" w:color="231F20"/>
              <w:bottom w:val="single" w:sz="6" w:space="0" w:color="231F20"/>
              <w:right w:val="single" w:sz="6" w:space="0" w:color="231F20"/>
            </w:tcBorders>
          </w:tcPr>
          <w:p w14:paraId="4B976414" w14:textId="77777777" w:rsidR="009948F1" w:rsidRDefault="009948F1">
            <w:pPr>
              <w:pStyle w:val="TableParagraph"/>
              <w:spacing w:before="6"/>
              <w:rPr>
                <w:sz w:val="17"/>
              </w:rPr>
            </w:pPr>
          </w:p>
          <w:p w14:paraId="09E729D0" w14:textId="77777777" w:rsidR="009948F1" w:rsidRDefault="00BC0563">
            <w:pPr>
              <w:pStyle w:val="TableParagraph"/>
              <w:ind w:left="22"/>
              <w:rPr>
                <w:sz w:val="14"/>
              </w:rPr>
            </w:pPr>
            <w:r>
              <w:rPr>
                <w:color w:val="231F20"/>
                <w:sz w:val="14"/>
              </w:rPr>
              <w:t>Train HWs</w:t>
            </w:r>
          </w:p>
        </w:tc>
      </w:tr>
      <w:tr w:rsidR="009948F1" w14:paraId="2157CF6E" w14:textId="77777777">
        <w:trPr>
          <w:trHeight w:val="444"/>
        </w:trPr>
        <w:tc>
          <w:tcPr>
            <w:tcW w:w="480" w:type="dxa"/>
            <w:vMerge/>
            <w:tcBorders>
              <w:top w:val="nil"/>
              <w:bottom w:val="single" w:sz="6" w:space="0" w:color="231F20"/>
              <w:right w:val="single" w:sz="6" w:space="0" w:color="231F20"/>
            </w:tcBorders>
          </w:tcPr>
          <w:p w14:paraId="02AEB2E3"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03116C36" w14:textId="77777777" w:rsidR="009948F1" w:rsidRDefault="009948F1">
            <w:pPr>
              <w:pStyle w:val="TableParagraph"/>
              <w:spacing w:before="7"/>
              <w:rPr>
                <w:sz w:val="11"/>
              </w:rPr>
            </w:pPr>
          </w:p>
          <w:p w14:paraId="4E70FA82" w14:textId="77777777" w:rsidR="009948F1" w:rsidRDefault="00BC0563">
            <w:pPr>
              <w:pStyle w:val="TableParagraph"/>
              <w:ind w:left="88"/>
              <w:rPr>
                <w:sz w:val="14"/>
              </w:rPr>
            </w:pPr>
            <w:r>
              <w:rPr>
                <w:color w:val="231F20"/>
                <w:w w:val="95"/>
                <w:sz w:val="14"/>
              </w:rPr>
              <w:t>5.3.6.b</w:t>
            </w:r>
          </w:p>
        </w:tc>
        <w:tc>
          <w:tcPr>
            <w:tcW w:w="5127" w:type="dxa"/>
            <w:gridSpan w:val="2"/>
            <w:tcBorders>
              <w:top w:val="single" w:sz="6" w:space="0" w:color="231F20"/>
              <w:left w:val="single" w:sz="6" w:space="0" w:color="231F20"/>
              <w:bottom w:val="single" w:sz="6" w:space="0" w:color="231F20"/>
              <w:right w:val="single" w:sz="6" w:space="0" w:color="231F20"/>
            </w:tcBorders>
          </w:tcPr>
          <w:p w14:paraId="5F47221D" w14:textId="77777777" w:rsidR="009948F1" w:rsidRDefault="00BC0563">
            <w:pPr>
              <w:pStyle w:val="TableParagraph"/>
              <w:spacing w:before="38" w:line="268" w:lineRule="auto"/>
              <w:ind w:left="25" w:right="351"/>
              <w:rPr>
                <w:sz w:val="14"/>
              </w:rPr>
            </w:pPr>
            <w:r>
              <w:rPr>
                <w:color w:val="231F20"/>
                <w:w w:val="95"/>
                <w:sz w:val="14"/>
              </w:rPr>
              <w:t>Train</w:t>
            </w:r>
            <w:r>
              <w:rPr>
                <w:color w:val="231F20"/>
                <w:spacing w:val="-24"/>
                <w:w w:val="95"/>
                <w:sz w:val="14"/>
              </w:rPr>
              <w:t xml:space="preserve"> </w:t>
            </w:r>
            <w:r>
              <w:rPr>
                <w:color w:val="231F20"/>
                <w:w w:val="95"/>
                <w:sz w:val="14"/>
              </w:rPr>
              <w:t>CBOs</w:t>
            </w:r>
            <w:r>
              <w:rPr>
                <w:color w:val="231F20"/>
                <w:spacing w:val="-23"/>
                <w:w w:val="95"/>
                <w:sz w:val="14"/>
              </w:rPr>
              <w:t xml:space="preserve"> </w:t>
            </w:r>
            <w:r>
              <w:rPr>
                <w:color w:val="231F20"/>
                <w:w w:val="95"/>
                <w:sz w:val="14"/>
              </w:rPr>
              <w:t>and</w:t>
            </w:r>
            <w:r>
              <w:rPr>
                <w:color w:val="231F20"/>
                <w:spacing w:val="-8"/>
                <w:w w:val="95"/>
                <w:sz w:val="14"/>
              </w:rPr>
              <w:t xml:space="preserve"> </w:t>
            </w:r>
            <w:r>
              <w:rPr>
                <w:color w:val="231F20"/>
                <w:w w:val="95"/>
                <w:sz w:val="14"/>
              </w:rPr>
              <w:t>private</w:t>
            </w:r>
            <w:r>
              <w:rPr>
                <w:color w:val="231F20"/>
                <w:spacing w:val="-23"/>
                <w:w w:val="95"/>
                <w:sz w:val="14"/>
              </w:rPr>
              <w:t xml:space="preserve"> </w:t>
            </w:r>
            <w:r>
              <w:rPr>
                <w:color w:val="231F20"/>
                <w:w w:val="95"/>
                <w:sz w:val="14"/>
              </w:rPr>
              <w:t>health</w:t>
            </w:r>
            <w:r>
              <w:rPr>
                <w:color w:val="231F20"/>
                <w:spacing w:val="-23"/>
                <w:w w:val="95"/>
                <w:sz w:val="14"/>
              </w:rPr>
              <w:t xml:space="preserve"> </w:t>
            </w:r>
            <w:r>
              <w:rPr>
                <w:color w:val="231F20"/>
                <w:w w:val="95"/>
                <w:sz w:val="14"/>
              </w:rPr>
              <w:t>workers</w:t>
            </w:r>
            <w:r>
              <w:rPr>
                <w:color w:val="231F20"/>
                <w:spacing w:val="-23"/>
                <w:w w:val="95"/>
                <w:sz w:val="14"/>
              </w:rPr>
              <w:t xml:space="preserve"> </w:t>
            </w:r>
            <w:r>
              <w:rPr>
                <w:color w:val="231F20"/>
                <w:w w:val="95"/>
                <w:sz w:val="14"/>
              </w:rPr>
              <w:t>in</w:t>
            </w:r>
            <w:r>
              <w:rPr>
                <w:color w:val="231F20"/>
                <w:spacing w:val="-23"/>
                <w:w w:val="95"/>
                <w:sz w:val="14"/>
              </w:rPr>
              <w:t xml:space="preserve"> </w:t>
            </w:r>
            <w:r>
              <w:rPr>
                <w:color w:val="231F20"/>
                <w:w w:val="95"/>
                <w:sz w:val="14"/>
              </w:rPr>
              <w:t>the</w:t>
            </w:r>
            <w:r>
              <w:rPr>
                <w:color w:val="231F20"/>
                <w:spacing w:val="-24"/>
                <w:w w:val="95"/>
                <w:sz w:val="14"/>
              </w:rPr>
              <w:t xml:space="preserve"> </w:t>
            </w:r>
            <w:r>
              <w:rPr>
                <w:color w:val="231F20"/>
                <w:w w:val="95"/>
                <w:sz w:val="14"/>
              </w:rPr>
              <w:t>23</w:t>
            </w:r>
            <w:r>
              <w:rPr>
                <w:color w:val="231F20"/>
                <w:spacing w:val="-23"/>
                <w:w w:val="95"/>
                <w:sz w:val="14"/>
              </w:rPr>
              <w:t xml:space="preserve"> </w:t>
            </w:r>
            <w:r>
              <w:rPr>
                <w:color w:val="231F20"/>
                <w:w w:val="95"/>
                <w:sz w:val="14"/>
              </w:rPr>
              <w:t>LGA</w:t>
            </w:r>
            <w:r>
              <w:rPr>
                <w:color w:val="231F20"/>
                <w:spacing w:val="-26"/>
                <w:w w:val="95"/>
                <w:sz w:val="14"/>
              </w:rPr>
              <w:t xml:space="preserve"> </w:t>
            </w:r>
            <w:r>
              <w:rPr>
                <w:color w:val="231F20"/>
                <w:w w:val="95"/>
                <w:sz w:val="14"/>
              </w:rPr>
              <w:t>on</w:t>
            </w:r>
            <w:r>
              <w:rPr>
                <w:color w:val="231F20"/>
                <w:spacing w:val="-23"/>
                <w:w w:val="95"/>
                <w:sz w:val="14"/>
              </w:rPr>
              <w:t xml:space="preserve"> </w:t>
            </w:r>
            <w:r>
              <w:rPr>
                <w:color w:val="231F20"/>
                <w:w w:val="95"/>
                <w:sz w:val="14"/>
              </w:rPr>
              <w:t>injection</w:t>
            </w:r>
            <w:r>
              <w:rPr>
                <w:color w:val="231F20"/>
                <w:spacing w:val="-23"/>
                <w:w w:val="95"/>
                <w:sz w:val="14"/>
              </w:rPr>
              <w:t xml:space="preserve"> </w:t>
            </w:r>
            <w:r>
              <w:rPr>
                <w:color w:val="231F20"/>
                <w:w w:val="95"/>
                <w:sz w:val="14"/>
              </w:rPr>
              <w:t>safety</w:t>
            </w:r>
            <w:r>
              <w:rPr>
                <w:color w:val="231F20"/>
                <w:spacing w:val="-23"/>
                <w:w w:val="95"/>
                <w:sz w:val="14"/>
              </w:rPr>
              <w:t xml:space="preserve"> </w:t>
            </w:r>
            <w:r>
              <w:rPr>
                <w:color w:val="231F20"/>
                <w:w w:val="95"/>
                <w:sz w:val="14"/>
              </w:rPr>
              <w:t>&amp;</w:t>
            </w:r>
            <w:r>
              <w:rPr>
                <w:color w:val="231F20"/>
                <w:spacing w:val="-23"/>
                <w:w w:val="95"/>
                <w:sz w:val="14"/>
              </w:rPr>
              <w:t xml:space="preserve"> </w:t>
            </w:r>
            <w:r>
              <w:rPr>
                <w:color w:val="231F20"/>
                <w:w w:val="95"/>
                <w:sz w:val="14"/>
              </w:rPr>
              <w:t xml:space="preserve">healthcare </w:t>
            </w:r>
            <w:r>
              <w:rPr>
                <w:color w:val="231F20"/>
                <w:sz w:val="14"/>
              </w:rPr>
              <w:t>waste management</w:t>
            </w:r>
            <w:r>
              <w:rPr>
                <w:color w:val="231F20"/>
                <w:spacing w:val="-15"/>
                <w:sz w:val="14"/>
              </w:rPr>
              <w:t xml:space="preserve"> </w:t>
            </w:r>
            <w:r>
              <w:rPr>
                <w:color w:val="231F20"/>
                <w:sz w:val="14"/>
              </w:rPr>
              <w:t>practices</w:t>
            </w:r>
          </w:p>
        </w:tc>
        <w:tc>
          <w:tcPr>
            <w:tcW w:w="1496" w:type="dxa"/>
            <w:tcBorders>
              <w:top w:val="single" w:sz="6" w:space="0" w:color="231F20"/>
              <w:left w:val="single" w:sz="6" w:space="0" w:color="231F20"/>
              <w:bottom w:val="single" w:sz="6" w:space="0" w:color="231F20"/>
              <w:right w:val="single" w:sz="6" w:space="0" w:color="231F20"/>
            </w:tcBorders>
          </w:tcPr>
          <w:p w14:paraId="46F4A361" w14:textId="77777777" w:rsidR="009948F1" w:rsidRDefault="009948F1">
            <w:pPr>
              <w:pStyle w:val="TableParagraph"/>
              <w:spacing w:before="7"/>
              <w:rPr>
                <w:sz w:val="11"/>
              </w:rPr>
            </w:pPr>
          </w:p>
          <w:p w14:paraId="322C88D8" w14:textId="77777777" w:rsidR="009948F1" w:rsidRDefault="00BC0563">
            <w:pPr>
              <w:pStyle w:val="TableParagraph"/>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718AA0AE" w14:textId="77777777" w:rsidR="009948F1" w:rsidRDefault="009948F1">
            <w:pPr>
              <w:pStyle w:val="TableParagraph"/>
              <w:spacing w:before="7"/>
              <w:rPr>
                <w:sz w:val="11"/>
              </w:rPr>
            </w:pPr>
          </w:p>
          <w:p w14:paraId="6E4327B9" w14:textId="77777777" w:rsidR="009948F1" w:rsidRDefault="00BC0563">
            <w:pPr>
              <w:pStyle w:val="TableParagraph"/>
              <w:ind w:left="22"/>
              <w:rPr>
                <w:sz w:val="14"/>
              </w:rPr>
            </w:pPr>
            <w:r>
              <w:rPr>
                <w:color w:val="231F20"/>
                <w:w w:val="95"/>
                <w:sz w:val="14"/>
              </w:rPr>
              <w:t>Train</w:t>
            </w:r>
            <w:r>
              <w:rPr>
                <w:color w:val="231F20"/>
                <w:spacing w:val="-20"/>
                <w:w w:val="95"/>
                <w:sz w:val="14"/>
              </w:rPr>
              <w:t xml:space="preserve"> </w:t>
            </w:r>
            <w:r>
              <w:rPr>
                <w:color w:val="231F20"/>
                <w:w w:val="95"/>
                <w:sz w:val="14"/>
              </w:rPr>
              <w:t>CBOs</w:t>
            </w:r>
            <w:r>
              <w:rPr>
                <w:color w:val="231F20"/>
                <w:spacing w:val="-20"/>
                <w:w w:val="95"/>
                <w:sz w:val="14"/>
              </w:rPr>
              <w:t xml:space="preserve"> </w:t>
            </w:r>
            <w:r>
              <w:rPr>
                <w:color w:val="231F20"/>
                <w:w w:val="95"/>
                <w:sz w:val="14"/>
              </w:rPr>
              <w:t>&amp;</w:t>
            </w:r>
            <w:r>
              <w:rPr>
                <w:color w:val="231F20"/>
                <w:spacing w:val="-20"/>
                <w:w w:val="95"/>
                <w:sz w:val="14"/>
              </w:rPr>
              <w:t xml:space="preserve"> </w:t>
            </w:r>
            <w:r>
              <w:rPr>
                <w:color w:val="231F20"/>
                <w:w w:val="95"/>
                <w:sz w:val="14"/>
              </w:rPr>
              <w:t>private</w:t>
            </w:r>
            <w:r>
              <w:rPr>
                <w:color w:val="231F20"/>
                <w:spacing w:val="-19"/>
                <w:w w:val="95"/>
                <w:sz w:val="14"/>
              </w:rPr>
              <w:t xml:space="preserve"> </w:t>
            </w:r>
            <w:r>
              <w:rPr>
                <w:color w:val="231F20"/>
                <w:w w:val="95"/>
                <w:sz w:val="14"/>
              </w:rPr>
              <w:t>HWs</w:t>
            </w:r>
          </w:p>
        </w:tc>
      </w:tr>
      <w:tr w:rsidR="009948F1" w14:paraId="14BA79B3" w14:textId="77777777">
        <w:trPr>
          <w:trHeight w:val="914"/>
        </w:trPr>
        <w:tc>
          <w:tcPr>
            <w:tcW w:w="480" w:type="dxa"/>
            <w:tcBorders>
              <w:top w:val="single" w:sz="6" w:space="0" w:color="231F20"/>
              <w:bottom w:val="single" w:sz="6" w:space="0" w:color="231F20"/>
              <w:right w:val="single" w:sz="6" w:space="0" w:color="231F20"/>
            </w:tcBorders>
            <w:shd w:val="clear" w:color="auto" w:fill="CCE7D3"/>
          </w:tcPr>
          <w:p w14:paraId="40BD861A" w14:textId="77777777" w:rsidR="009948F1" w:rsidRDefault="009948F1">
            <w:pPr>
              <w:pStyle w:val="TableParagraph"/>
              <w:rPr>
                <w:sz w:val="14"/>
              </w:rPr>
            </w:pPr>
          </w:p>
          <w:p w14:paraId="41CE76CD" w14:textId="77777777" w:rsidR="009948F1" w:rsidRDefault="009948F1">
            <w:pPr>
              <w:pStyle w:val="TableParagraph"/>
              <w:spacing w:before="1"/>
              <w:rPr>
                <w:sz w:val="18"/>
              </w:rPr>
            </w:pPr>
          </w:p>
          <w:p w14:paraId="28B06AC5" w14:textId="77777777" w:rsidR="009948F1" w:rsidRDefault="00BC0563">
            <w:pPr>
              <w:pStyle w:val="TableParagraph"/>
              <w:ind w:left="61"/>
              <w:rPr>
                <w:sz w:val="14"/>
              </w:rPr>
            </w:pPr>
            <w:r>
              <w:rPr>
                <w:color w:val="231F20"/>
                <w:sz w:val="14"/>
              </w:rPr>
              <w:t>5.3.7</w:t>
            </w:r>
          </w:p>
        </w:tc>
        <w:tc>
          <w:tcPr>
            <w:tcW w:w="3181" w:type="dxa"/>
            <w:gridSpan w:val="2"/>
            <w:tcBorders>
              <w:top w:val="single" w:sz="6" w:space="0" w:color="231F20"/>
              <w:left w:val="single" w:sz="6" w:space="0" w:color="231F20"/>
              <w:bottom w:val="single" w:sz="6" w:space="0" w:color="231F20"/>
              <w:right w:val="single" w:sz="6" w:space="0" w:color="231F20"/>
            </w:tcBorders>
            <w:shd w:val="clear" w:color="auto" w:fill="CCE7D3"/>
          </w:tcPr>
          <w:p w14:paraId="12FCC84F" w14:textId="77777777" w:rsidR="009948F1" w:rsidRDefault="009948F1">
            <w:pPr>
              <w:pStyle w:val="TableParagraph"/>
              <w:rPr>
                <w:sz w:val="14"/>
              </w:rPr>
            </w:pPr>
          </w:p>
          <w:p w14:paraId="069D2FC8" w14:textId="77777777" w:rsidR="009948F1" w:rsidRDefault="00BC0563">
            <w:pPr>
              <w:pStyle w:val="TableParagraph"/>
              <w:spacing w:before="112" w:line="268" w:lineRule="auto"/>
              <w:ind w:left="25" w:right="5" w:firstLine="34"/>
              <w:rPr>
                <w:sz w:val="14"/>
              </w:rPr>
            </w:pPr>
            <w:r>
              <w:rPr>
                <w:color w:val="231F20"/>
                <w:w w:val="90"/>
                <w:sz w:val="14"/>
              </w:rPr>
              <w:t xml:space="preserve">Strengthen community systems to support HIV/AIDS </w:t>
            </w:r>
            <w:r>
              <w:rPr>
                <w:color w:val="231F20"/>
                <w:sz w:val="14"/>
              </w:rPr>
              <w:t>programming for key and general populations</w:t>
            </w:r>
          </w:p>
        </w:tc>
        <w:tc>
          <w:tcPr>
            <w:tcW w:w="2497" w:type="dxa"/>
            <w:tcBorders>
              <w:top w:val="single" w:sz="6" w:space="0" w:color="231F20"/>
              <w:left w:val="single" w:sz="6" w:space="0" w:color="231F20"/>
              <w:bottom w:val="single" w:sz="6" w:space="0" w:color="231F20"/>
              <w:right w:val="single" w:sz="6" w:space="0" w:color="231F20"/>
            </w:tcBorders>
            <w:shd w:val="clear" w:color="auto" w:fill="CCE7D3"/>
          </w:tcPr>
          <w:p w14:paraId="573EBE28" w14:textId="2F1F1305" w:rsidR="009948F1" w:rsidRDefault="00BC0563">
            <w:pPr>
              <w:pStyle w:val="TableParagraph"/>
              <w:numPr>
                <w:ilvl w:val="0"/>
                <w:numId w:val="144"/>
              </w:numPr>
              <w:tabs>
                <w:tab w:val="left" w:pos="97"/>
              </w:tabs>
              <w:spacing w:before="9" w:line="268" w:lineRule="auto"/>
              <w:ind w:right="227" w:firstLine="0"/>
              <w:rPr>
                <w:sz w:val="14"/>
              </w:rPr>
            </w:pPr>
            <w:r>
              <w:rPr>
                <w:color w:val="231F20"/>
                <w:w w:val="90"/>
                <w:sz w:val="14"/>
              </w:rPr>
              <w:t>At</w:t>
            </w:r>
            <w:r>
              <w:rPr>
                <w:color w:val="231F20"/>
                <w:spacing w:val="-8"/>
                <w:w w:val="90"/>
                <w:sz w:val="14"/>
              </w:rPr>
              <w:t xml:space="preserve"> </w:t>
            </w:r>
            <w:r>
              <w:rPr>
                <w:color w:val="231F20"/>
                <w:w w:val="90"/>
                <w:sz w:val="14"/>
              </w:rPr>
              <w:t>least</w:t>
            </w:r>
            <w:r>
              <w:rPr>
                <w:color w:val="231F20"/>
                <w:spacing w:val="-7"/>
                <w:w w:val="90"/>
                <w:sz w:val="14"/>
              </w:rPr>
              <w:t xml:space="preserve"> </w:t>
            </w:r>
            <w:r>
              <w:rPr>
                <w:color w:val="231F20"/>
                <w:w w:val="90"/>
                <w:sz w:val="14"/>
              </w:rPr>
              <w:t>200</w:t>
            </w:r>
            <w:r>
              <w:rPr>
                <w:color w:val="231F20"/>
                <w:spacing w:val="-7"/>
                <w:w w:val="90"/>
                <w:sz w:val="14"/>
              </w:rPr>
              <w:t xml:space="preserve"> </w:t>
            </w:r>
            <w:r>
              <w:rPr>
                <w:color w:val="231F20"/>
                <w:w w:val="90"/>
                <w:sz w:val="14"/>
              </w:rPr>
              <w:t>WDCs</w:t>
            </w:r>
            <w:r>
              <w:rPr>
                <w:color w:val="231F20"/>
                <w:spacing w:val="-7"/>
                <w:w w:val="90"/>
                <w:sz w:val="14"/>
              </w:rPr>
              <w:t xml:space="preserve"> </w:t>
            </w:r>
            <w:r>
              <w:rPr>
                <w:color w:val="231F20"/>
                <w:w w:val="90"/>
                <w:sz w:val="14"/>
              </w:rPr>
              <w:t>engaged</w:t>
            </w:r>
            <w:r>
              <w:rPr>
                <w:color w:val="231F20"/>
                <w:spacing w:val="-7"/>
                <w:w w:val="90"/>
                <w:sz w:val="14"/>
              </w:rPr>
              <w:t xml:space="preserve"> </w:t>
            </w:r>
            <w:r>
              <w:rPr>
                <w:color w:val="231F20"/>
                <w:w w:val="90"/>
                <w:sz w:val="14"/>
              </w:rPr>
              <w:t>to</w:t>
            </w:r>
            <w:r>
              <w:rPr>
                <w:color w:val="231F20"/>
                <w:spacing w:val="-7"/>
                <w:w w:val="90"/>
                <w:sz w:val="14"/>
              </w:rPr>
              <w:t xml:space="preserve"> </w:t>
            </w:r>
            <w:r>
              <w:rPr>
                <w:color w:val="231F20"/>
                <w:w w:val="90"/>
                <w:sz w:val="14"/>
              </w:rPr>
              <w:t xml:space="preserve">support </w:t>
            </w:r>
            <w:r>
              <w:rPr>
                <w:color w:val="231F20"/>
                <w:sz w:val="14"/>
              </w:rPr>
              <w:t>HIV/AIDs</w:t>
            </w:r>
            <w:r>
              <w:rPr>
                <w:color w:val="231F20"/>
                <w:spacing w:val="-21"/>
                <w:sz w:val="14"/>
              </w:rPr>
              <w:t xml:space="preserve"> </w:t>
            </w:r>
            <w:r w:rsidR="00FB089D">
              <w:rPr>
                <w:color w:val="231F20"/>
                <w:sz w:val="14"/>
              </w:rPr>
              <w:t>Program</w:t>
            </w:r>
            <w:r>
              <w:rPr>
                <w:color w:val="231F20"/>
                <w:spacing w:val="-21"/>
                <w:sz w:val="14"/>
              </w:rPr>
              <w:t xml:space="preserve"> </w:t>
            </w:r>
            <w:r>
              <w:rPr>
                <w:color w:val="231F20"/>
                <w:sz w:val="14"/>
              </w:rPr>
              <w:t>mobilization</w:t>
            </w:r>
          </w:p>
          <w:p w14:paraId="1D11EEB5" w14:textId="0D96289C" w:rsidR="009948F1" w:rsidRDefault="00BC0563">
            <w:pPr>
              <w:pStyle w:val="TableParagraph"/>
              <w:numPr>
                <w:ilvl w:val="0"/>
                <w:numId w:val="144"/>
              </w:numPr>
              <w:tabs>
                <w:tab w:val="left" w:pos="70"/>
              </w:tabs>
              <w:spacing w:line="268" w:lineRule="auto"/>
              <w:ind w:right="248" w:firstLine="0"/>
              <w:rPr>
                <w:sz w:val="14"/>
              </w:rPr>
            </w:pPr>
            <w:r>
              <w:rPr>
                <w:color w:val="231F20"/>
                <w:w w:val="90"/>
                <w:sz w:val="14"/>
              </w:rPr>
              <w:t>Community</w:t>
            </w:r>
            <w:r>
              <w:rPr>
                <w:color w:val="231F20"/>
                <w:spacing w:val="-7"/>
                <w:w w:val="90"/>
                <w:sz w:val="14"/>
              </w:rPr>
              <w:t xml:space="preserve"> </w:t>
            </w:r>
            <w:r>
              <w:rPr>
                <w:color w:val="231F20"/>
                <w:w w:val="90"/>
                <w:sz w:val="14"/>
              </w:rPr>
              <w:t>outreach</w:t>
            </w:r>
            <w:r>
              <w:rPr>
                <w:color w:val="231F20"/>
                <w:spacing w:val="-7"/>
                <w:w w:val="90"/>
                <w:sz w:val="14"/>
              </w:rPr>
              <w:t xml:space="preserve"> </w:t>
            </w:r>
            <w:r w:rsidR="00FB089D">
              <w:rPr>
                <w:color w:val="231F20"/>
                <w:w w:val="90"/>
                <w:sz w:val="14"/>
              </w:rPr>
              <w:t>program</w:t>
            </w:r>
            <w:r>
              <w:rPr>
                <w:color w:val="231F20"/>
                <w:spacing w:val="-7"/>
                <w:w w:val="90"/>
                <w:sz w:val="14"/>
              </w:rPr>
              <w:t xml:space="preserve"> </w:t>
            </w:r>
            <w:r>
              <w:rPr>
                <w:color w:val="231F20"/>
                <w:w w:val="90"/>
                <w:sz w:val="14"/>
              </w:rPr>
              <w:t>on</w:t>
            </w:r>
            <w:r>
              <w:rPr>
                <w:color w:val="231F20"/>
                <w:spacing w:val="-7"/>
                <w:w w:val="90"/>
                <w:sz w:val="14"/>
              </w:rPr>
              <w:t xml:space="preserve"> </w:t>
            </w:r>
            <w:r>
              <w:rPr>
                <w:color w:val="231F20"/>
                <w:spacing w:val="-5"/>
                <w:w w:val="90"/>
                <w:sz w:val="14"/>
              </w:rPr>
              <w:t xml:space="preserve">HIV </w:t>
            </w:r>
            <w:r>
              <w:rPr>
                <w:color w:val="231F20"/>
                <w:sz w:val="14"/>
              </w:rPr>
              <w:t>done</w:t>
            </w:r>
          </w:p>
          <w:p w14:paraId="53FF57FD" w14:textId="77777777" w:rsidR="009948F1" w:rsidRDefault="00BC0563">
            <w:pPr>
              <w:pStyle w:val="TableParagraph"/>
              <w:spacing w:line="161" w:lineRule="exact"/>
              <w:ind w:left="25"/>
              <w:rPr>
                <w:sz w:val="14"/>
              </w:rPr>
            </w:pPr>
            <w:r>
              <w:rPr>
                <w:color w:val="231F20"/>
                <w:w w:val="88"/>
                <w:sz w:val="14"/>
              </w:rPr>
              <w:t>•</w:t>
            </w:r>
          </w:p>
        </w:tc>
        <w:tc>
          <w:tcPr>
            <w:tcW w:w="1496" w:type="dxa"/>
            <w:tcBorders>
              <w:top w:val="single" w:sz="6" w:space="0" w:color="231F20"/>
              <w:left w:val="single" w:sz="6" w:space="0" w:color="231F20"/>
              <w:bottom w:val="single" w:sz="6" w:space="0" w:color="231F20"/>
            </w:tcBorders>
            <w:shd w:val="clear" w:color="auto" w:fill="CCE7D3"/>
          </w:tcPr>
          <w:p w14:paraId="05DF74A2"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CCE7D3"/>
          </w:tcPr>
          <w:p w14:paraId="688A17A8" w14:textId="77777777" w:rsidR="009948F1" w:rsidRDefault="009948F1">
            <w:pPr>
              <w:pStyle w:val="TableParagraph"/>
              <w:rPr>
                <w:rFonts w:ascii="Times New Roman"/>
                <w:sz w:val="12"/>
              </w:rPr>
            </w:pPr>
          </w:p>
        </w:tc>
      </w:tr>
      <w:tr w:rsidR="009948F1" w14:paraId="122D7825" w14:textId="77777777">
        <w:trPr>
          <w:trHeight w:val="409"/>
        </w:trPr>
        <w:tc>
          <w:tcPr>
            <w:tcW w:w="480" w:type="dxa"/>
            <w:vMerge w:val="restart"/>
            <w:tcBorders>
              <w:top w:val="single" w:sz="6" w:space="0" w:color="231F20"/>
              <w:bottom w:val="single" w:sz="6" w:space="0" w:color="231F20"/>
              <w:right w:val="single" w:sz="6" w:space="0" w:color="231F20"/>
            </w:tcBorders>
          </w:tcPr>
          <w:p w14:paraId="50DB908F" w14:textId="77777777" w:rsidR="009948F1" w:rsidRDefault="009948F1">
            <w:pPr>
              <w:pStyle w:val="TableParagraph"/>
              <w:rPr>
                <w:rFonts w:ascii="Times New Roman"/>
                <w:sz w:val="12"/>
              </w:rPr>
            </w:pPr>
          </w:p>
        </w:tc>
        <w:tc>
          <w:tcPr>
            <w:tcW w:w="551" w:type="dxa"/>
            <w:tcBorders>
              <w:top w:val="single" w:sz="6" w:space="0" w:color="231F20"/>
              <w:left w:val="single" w:sz="6" w:space="0" w:color="231F20"/>
              <w:bottom w:val="single" w:sz="6" w:space="0" w:color="231F20"/>
              <w:right w:val="single" w:sz="6" w:space="0" w:color="231F20"/>
            </w:tcBorders>
          </w:tcPr>
          <w:p w14:paraId="12459133" w14:textId="77777777" w:rsidR="009948F1" w:rsidRDefault="00BC0563">
            <w:pPr>
              <w:pStyle w:val="TableParagraph"/>
              <w:spacing w:before="116"/>
              <w:ind w:left="88"/>
              <w:rPr>
                <w:sz w:val="14"/>
              </w:rPr>
            </w:pPr>
            <w:r>
              <w:rPr>
                <w:color w:val="231F20"/>
                <w:w w:val="95"/>
                <w:sz w:val="14"/>
              </w:rPr>
              <w:t>5.3.7.a</w:t>
            </w:r>
          </w:p>
        </w:tc>
        <w:tc>
          <w:tcPr>
            <w:tcW w:w="5127" w:type="dxa"/>
            <w:gridSpan w:val="2"/>
            <w:tcBorders>
              <w:top w:val="single" w:sz="6" w:space="0" w:color="231F20"/>
              <w:left w:val="single" w:sz="6" w:space="0" w:color="231F20"/>
              <w:bottom w:val="single" w:sz="6" w:space="0" w:color="231F20"/>
              <w:right w:val="single" w:sz="6" w:space="0" w:color="231F20"/>
            </w:tcBorders>
          </w:tcPr>
          <w:p w14:paraId="11DFFD70" w14:textId="77777777" w:rsidR="009948F1" w:rsidRDefault="00BC0563">
            <w:pPr>
              <w:pStyle w:val="TableParagraph"/>
              <w:spacing w:before="110"/>
              <w:ind w:left="25"/>
              <w:rPr>
                <w:sz w:val="14"/>
              </w:rPr>
            </w:pPr>
            <w:r>
              <w:rPr>
                <w:color w:val="231F20"/>
                <w:sz w:val="14"/>
              </w:rPr>
              <w:t xml:space="preserve">Engage WDC to support HIV/AIDs </w:t>
            </w:r>
            <w:proofErr w:type="spellStart"/>
            <w:r>
              <w:rPr>
                <w:color w:val="231F20"/>
                <w:sz w:val="14"/>
              </w:rPr>
              <w:t>Programme</w:t>
            </w:r>
            <w:proofErr w:type="spellEnd"/>
            <w:r>
              <w:rPr>
                <w:color w:val="231F20"/>
                <w:sz w:val="14"/>
              </w:rPr>
              <w:t xml:space="preserve"> mobilization in 23 LGAs</w:t>
            </w:r>
          </w:p>
        </w:tc>
        <w:tc>
          <w:tcPr>
            <w:tcW w:w="1496" w:type="dxa"/>
            <w:tcBorders>
              <w:top w:val="single" w:sz="6" w:space="0" w:color="231F20"/>
              <w:left w:val="single" w:sz="6" w:space="0" w:color="231F20"/>
              <w:bottom w:val="single" w:sz="6" w:space="0" w:color="231F20"/>
              <w:right w:val="single" w:sz="6" w:space="0" w:color="231F20"/>
            </w:tcBorders>
          </w:tcPr>
          <w:p w14:paraId="590A7619" w14:textId="77777777" w:rsidR="009948F1" w:rsidRDefault="00BC0563">
            <w:pPr>
              <w:pStyle w:val="TableParagraph"/>
              <w:spacing w:before="116"/>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016170B5" w14:textId="77777777" w:rsidR="009948F1" w:rsidRDefault="00BC0563">
            <w:pPr>
              <w:pStyle w:val="TableParagraph"/>
              <w:spacing w:before="116"/>
              <w:ind w:left="22"/>
              <w:rPr>
                <w:sz w:val="14"/>
              </w:rPr>
            </w:pPr>
            <w:r>
              <w:rPr>
                <w:color w:val="231F20"/>
                <w:sz w:val="14"/>
              </w:rPr>
              <w:t>Engage WDC</w:t>
            </w:r>
          </w:p>
        </w:tc>
      </w:tr>
      <w:tr w:rsidR="009948F1" w14:paraId="34F04D98" w14:textId="77777777">
        <w:trPr>
          <w:trHeight w:val="418"/>
        </w:trPr>
        <w:tc>
          <w:tcPr>
            <w:tcW w:w="480" w:type="dxa"/>
            <w:vMerge/>
            <w:tcBorders>
              <w:top w:val="nil"/>
              <w:bottom w:val="single" w:sz="6" w:space="0" w:color="231F20"/>
              <w:right w:val="single" w:sz="6" w:space="0" w:color="231F20"/>
            </w:tcBorders>
          </w:tcPr>
          <w:p w14:paraId="7566D33E"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04C2F8E3" w14:textId="77777777" w:rsidR="009948F1" w:rsidRDefault="00BC0563">
            <w:pPr>
              <w:pStyle w:val="TableParagraph"/>
              <w:spacing w:before="120"/>
              <w:ind w:left="88"/>
              <w:rPr>
                <w:sz w:val="14"/>
              </w:rPr>
            </w:pPr>
            <w:r>
              <w:rPr>
                <w:color w:val="231F20"/>
                <w:w w:val="95"/>
                <w:sz w:val="14"/>
              </w:rPr>
              <w:t>5.3.7.b</w:t>
            </w:r>
          </w:p>
        </w:tc>
        <w:tc>
          <w:tcPr>
            <w:tcW w:w="5127" w:type="dxa"/>
            <w:gridSpan w:val="2"/>
            <w:tcBorders>
              <w:top w:val="single" w:sz="6" w:space="0" w:color="231F20"/>
              <w:left w:val="single" w:sz="6" w:space="0" w:color="231F20"/>
              <w:bottom w:val="single" w:sz="6" w:space="0" w:color="231F20"/>
              <w:right w:val="single" w:sz="6" w:space="0" w:color="231F20"/>
            </w:tcBorders>
          </w:tcPr>
          <w:p w14:paraId="46D2C201" w14:textId="77777777" w:rsidR="009948F1" w:rsidRDefault="00BC0563">
            <w:pPr>
              <w:pStyle w:val="TableParagraph"/>
              <w:spacing w:before="115"/>
              <w:ind w:left="25"/>
              <w:rPr>
                <w:sz w:val="14"/>
              </w:rPr>
            </w:pPr>
            <w:r>
              <w:rPr>
                <w:color w:val="231F20"/>
                <w:sz w:val="14"/>
              </w:rPr>
              <w:t xml:space="preserve">Conduct community outreach </w:t>
            </w:r>
            <w:proofErr w:type="spellStart"/>
            <w:r>
              <w:rPr>
                <w:color w:val="231F20"/>
                <w:sz w:val="14"/>
              </w:rPr>
              <w:t>programmes</w:t>
            </w:r>
            <w:proofErr w:type="spellEnd"/>
            <w:r>
              <w:rPr>
                <w:color w:val="231F20"/>
                <w:sz w:val="14"/>
              </w:rPr>
              <w:t xml:space="preserve"> on HIV in the 23 LGAs</w:t>
            </w:r>
          </w:p>
        </w:tc>
        <w:tc>
          <w:tcPr>
            <w:tcW w:w="1496" w:type="dxa"/>
            <w:tcBorders>
              <w:top w:val="single" w:sz="6" w:space="0" w:color="231F20"/>
              <w:left w:val="single" w:sz="6" w:space="0" w:color="231F20"/>
              <w:bottom w:val="single" w:sz="6" w:space="0" w:color="231F20"/>
              <w:right w:val="single" w:sz="6" w:space="0" w:color="231F20"/>
            </w:tcBorders>
          </w:tcPr>
          <w:p w14:paraId="1E697A48" w14:textId="77777777" w:rsidR="009948F1" w:rsidRDefault="00BC0563">
            <w:pPr>
              <w:pStyle w:val="TableParagraph"/>
              <w:spacing w:before="120"/>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4F84CE6F" w14:textId="70695C4C" w:rsidR="009948F1" w:rsidRDefault="00BC0563">
            <w:pPr>
              <w:pStyle w:val="TableParagraph"/>
              <w:spacing w:before="31" w:line="268" w:lineRule="auto"/>
              <w:ind w:left="22"/>
              <w:rPr>
                <w:sz w:val="14"/>
              </w:rPr>
            </w:pPr>
            <w:r>
              <w:rPr>
                <w:color w:val="231F20"/>
                <w:w w:val="90"/>
                <w:sz w:val="14"/>
              </w:rPr>
              <w:t xml:space="preserve">Conduct </w:t>
            </w:r>
            <w:r w:rsidR="00FB089D">
              <w:rPr>
                <w:color w:val="231F20"/>
                <w:w w:val="90"/>
                <w:sz w:val="14"/>
              </w:rPr>
              <w:t>community</w:t>
            </w:r>
            <w:r>
              <w:rPr>
                <w:color w:val="231F20"/>
                <w:w w:val="90"/>
                <w:sz w:val="14"/>
              </w:rPr>
              <w:t xml:space="preserve"> </w:t>
            </w:r>
            <w:r>
              <w:rPr>
                <w:color w:val="231F20"/>
                <w:sz w:val="14"/>
              </w:rPr>
              <w:t>outreach</w:t>
            </w:r>
          </w:p>
        </w:tc>
      </w:tr>
      <w:tr w:rsidR="009948F1" w14:paraId="6AD139C9" w14:textId="77777777">
        <w:trPr>
          <w:trHeight w:val="1109"/>
        </w:trPr>
        <w:tc>
          <w:tcPr>
            <w:tcW w:w="480" w:type="dxa"/>
            <w:tcBorders>
              <w:top w:val="single" w:sz="6" w:space="0" w:color="231F20"/>
              <w:bottom w:val="single" w:sz="6" w:space="0" w:color="231F20"/>
              <w:right w:val="single" w:sz="6" w:space="0" w:color="231F20"/>
            </w:tcBorders>
            <w:shd w:val="clear" w:color="auto" w:fill="CCE7D3"/>
          </w:tcPr>
          <w:p w14:paraId="01DD8ED3" w14:textId="77777777" w:rsidR="009948F1" w:rsidRDefault="009948F1">
            <w:pPr>
              <w:pStyle w:val="TableParagraph"/>
              <w:rPr>
                <w:sz w:val="14"/>
              </w:rPr>
            </w:pPr>
          </w:p>
          <w:p w14:paraId="2BBCD686" w14:textId="77777777" w:rsidR="009948F1" w:rsidRDefault="009948F1">
            <w:pPr>
              <w:pStyle w:val="TableParagraph"/>
              <w:rPr>
                <w:sz w:val="14"/>
              </w:rPr>
            </w:pPr>
          </w:p>
          <w:p w14:paraId="067E8A0F" w14:textId="77777777" w:rsidR="009948F1" w:rsidRDefault="009948F1">
            <w:pPr>
              <w:pStyle w:val="TableParagraph"/>
              <w:spacing w:before="6"/>
              <w:rPr>
                <w:sz w:val="12"/>
              </w:rPr>
            </w:pPr>
          </w:p>
          <w:p w14:paraId="3F830E7B" w14:textId="77777777" w:rsidR="009948F1" w:rsidRDefault="00BC0563">
            <w:pPr>
              <w:pStyle w:val="TableParagraph"/>
              <w:ind w:left="61"/>
              <w:rPr>
                <w:sz w:val="14"/>
              </w:rPr>
            </w:pPr>
            <w:r>
              <w:rPr>
                <w:color w:val="231F20"/>
                <w:sz w:val="14"/>
              </w:rPr>
              <w:t>5.3.8</w:t>
            </w:r>
          </w:p>
        </w:tc>
        <w:tc>
          <w:tcPr>
            <w:tcW w:w="3181" w:type="dxa"/>
            <w:gridSpan w:val="2"/>
            <w:tcBorders>
              <w:top w:val="single" w:sz="6" w:space="0" w:color="231F20"/>
              <w:left w:val="single" w:sz="6" w:space="0" w:color="231F20"/>
              <w:bottom w:val="single" w:sz="6" w:space="0" w:color="231F20"/>
              <w:right w:val="single" w:sz="6" w:space="0" w:color="231F20"/>
            </w:tcBorders>
            <w:shd w:val="clear" w:color="auto" w:fill="CCE7D3"/>
          </w:tcPr>
          <w:p w14:paraId="21CF64E5" w14:textId="77777777" w:rsidR="009948F1" w:rsidRDefault="009948F1">
            <w:pPr>
              <w:pStyle w:val="TableParagraph"/>
              <w:rPr>
                <w:sz w:val="14"/>
              </w:rPr>
            </w:pPr>
          </w:p>
          <w:p w14:paraId="2C5E615C" w14:textId="77777777" w:rsidR="009948F1" w:rsidRDefault="009948F1">
            <w:pPr>
              <w:pStyle w:val="TableParagraph"/>
              <w:spacing w:before="3"/>
              <w:rPr>
                <w:sz w:val="18"/>
              </w:rPr>
            </w:pPr>
          </w:p>
          <w:p w14:paraId="3BC9DACB" w14:textId="77777777" w:rsidR="009948F1" w:rsidRDefault="00BC0563">
            <w:pPr>
              <w:pStyle w:val="TableParagraph"/>
              <w:spacing w:line="268" w:lineRule="auto"/>
              <w:ind w:left="25" w:right="5" w:firstLine="34"/>
              <w:rPr>
                <w:sz w:val="14"/>
              </w:rPr>
            </w:pPr>
            <w:r>
              <w:rPr>
                <w:color w:val="231F20"/>
                <w:w w:val="90"/>
                <w:sz w:val="14"/>
              </w:rPr>
              <w:t xml:space="preserve">Improve the logistics and supply chain management for </w:t>
            </w:r>
            <w:r>
              <w:rPr>
                <w:color w:val="231F20"/>
                <w:sz w:val="14"/>
              </w:rPr>
              <w:t>all HIVAIDS- related drugs and commodities.</w:t>
            </w:r>
          </w:p>
        </w:tc>
        <w:tc>
          <w:tcPr>
            <w:tcW w:w="2497" w:type="dxa"/>
            <w:tcBorders>
              <w:top w:val="single" w:sz="6" w:space="0" w:color="231F20"/>
              <w:left w:val="single" w:sz="6" w:space="0" w:color="231F20"/>
              <w:bottom w:val="single" w:sz="6" w:space="0" w:color="231F20"/>
              <w:right w:val="single" w:sz="6" w:space="0" w:color="231F20"/>
            </w:tcBorders>
            <w:shd w:val="clear" w:color="auto" w:fill="CCE7D3"/>
          </w:tcPr>
          <w:p w14:paraId="49DB6574" w14:textId="77777777" w:rsidR="009948F1" w:rsidRDefault="00BC0563">
            <w:pPr>
              <w:pStyle w:val="TableParagraph"/>
              <w:numPr>
                <w:ilvl w:val="0"/>
                <w:numId w:val="143"/>
              </w:numPr>
              <w:tabs>
                <w:tab w:val="left" w:pos="97"/>
              </w:tabs>
              <w:spacing w:line="256" w:lineRule="auto"/>
              <w:ind w:right="20" w:firstLine="0"/>
              <w:rPr>
                <w:sz w:val="13"/>
              </w:rPr>
            </w:pPr>
            <w:r>
              <w:rPr>
                <w:color w:val="231F20"/>
                <w:sz w:val="13"/>
              </w:rPr>
              <w:t>At</w:t>
            </w:r>
            <w:r>
              <w:rPr>
                <w:color w:val="231F20"/>
                <w:spacing w:val="-16"/>
                <w:sz w:val="13"/>
              </w:rPr>
              <w:t xml:space="preserve"> </w:t>
            </w:r>
            <w:r>
              <w:rPr>
                <w:color w:val="231F20"/>
                <w:sz w:val="13"/>
              </w:rPr>
              <w:t>least</w:t>
            </w:r>
            <w:r>
              <w:rPr>
                <w:color w:val="231F20"/>
                <w:spacing w:val="-16"/>
                <w:sz w:val="13"/>
              </w:rPr>
              <w:t xml:space="preserve"> </w:t>
            </w:r>
            <w:r>
              <w:rPr>
                <w:color w:val="231F20"/>
                <w:sz w:val="13"/>
              </w:rPr>
              <w:t>1000</w:t>
            </w:r>
            <w:r>
              <w:rPr>
                <w:color w:val="231F20"/>
                <w:spacing w:val="-16"/>
                <w:sz w:val="13"/>
              </w:rPr>
              <w:t xml:space="preserve"> </w:t>
            </w:r>
            <w:r>
              <w:rPr>
                <w:color w:val="231F20"/>
                <w:sz w:val="13"/>
              </w:rPr>
              <w:t>Rapid</w:t>
            </w:r>
            <w:r>
              <w:rPr>
                <w:color w:val="231F20"/>
                <w:spacing w:val="-16"/>
                <w:sz w:val="13"/>
              </w:rPr>
              <w:t xml:space="preserve"> </w:t>
            </w:r>
            <w:r>
              <w:rPr>
                <w:color w:val="231F20"/>
                <w:sz w:val="13"/>
              </w:rPr>
              <w:t>test</w:t>
            </w:r>
            <w:r>
              <w:rPr>
                <w:color w:val="231F20"/>
                <w:spacing w:val="-16"/>
                <w:sz w:val="13"/>
              </w:rPr>
              <w:t xml:space="preserve"> </w:t>
            </w:r>
            <w:r>
              <w:rPr>
                <w:color w:val="231F20"/>
                <w:sz w:val="13"/>
              </w:rPr>
              <w:t>kits</w:t>
            </w:r>
            <w:r>
              <w:rPr>
                <w:color w:val="231F20"/>
                <w:spacing w:val="-16"/>
                <w:sz w:val="13"/>
              </w:rPr>
              <w:t xml:space="preserve"> </w:t>
            </w:r>
            <w:r>
              <w:rPr>
                <w:color w:val="231F20"/>
                <w:sz w:val="13"/>
              </w:rPr>
              <w:t>pack</w:t>
            </w:r>
            <w:r>
              <w:rPr>
                <w:color w:val="231F20"/>
                <w:spacing w:val="-16"/>
                <w:sz w:val="13"/>
              </w:rPr>
              <w:t xml:space="preserve"> </w:t>
            </w:r>
            <w:r>
              <w:rPr>
                <w:color w:val="231F20"/>
                <w:sz w:val="13"/>
              </w:rPr>
              <w:t>procured &amp; distributed</w:t>
            </w:r>
            <w:r>
              <w:rPr>
                <w:color w:val="231F20"/>
                <w:spacing w:val="-7"/>
                <w:sz w:val="13"/>
              </w:rPr>
              <w:t xml:space="preserve"> </w:t>
            </w:r>
            <w:r>
              <w:rPr>
                <w:color w:val="231F20"/>
                <w:sz w:val="13"/>
              </w:rPr>
              <w:t>quarterly</w:t>
            </w:r>
          </w:p>
          <w:p w14:paraId="00CFE677" w14:textId="77777777" w:rsidR="009948F1" w:rsidRDefault="00BC0563">
            <w:pPr>
              <w:pStyle w:val="TableParagraph"/>
              <w:numPr>
                <w:ilvl w:val="0"/>
                <w:numId w:val="143"/>
              </w:numPr>
              <w:tabs>
                <w:tab w:val="left" w:pos="97"/>
              </w:tabs>
              <w:spacing w:line="256" w:lineRule="auto"/>
              <w:ind w:right="108" w:firstLine="0"/>
              <w:rPr>
                <w:sz w:val="13"/>
              </w:rPr>
            </w:pPr>
            <w:r>
              <w:rPr>
                <w:color w:val="231F20"/>
                <w:sz w:val="13"/>
              </w:rPr>
              <w:t>At</w:t>
            </w:r>
            <w:r>
              <w:rPr>
                <w:color w:val="231F20"/>
                <w:spacing w:val="-20"/>
                <w:sz w:val="13"/>
              </w:rPr>
              <w:t xml:space="preserve"> </w:t>
            </w:r>
            <w:r>
              <w:rPr>
                <w:color w:val="231F20"/>
                <w:sz w:val="13"/>
              </w:rPr>
              <w:t>least</w:t>
            </w:r>
            <w:r>
              <w:rPr>
                <w:color w:val="231F20"/>
                <w:spacing w:val="-20"/>
                <w:sz w:val="13"/>
              </w:rPr>
              <w:t xml:space="preserve"> </w:t>
            </w:r>
            <w:r>
              <w:rPr>
                <w:color w:val="231F20"/>
                <w:sz w:val="13"/>
              </w:rPr>
              <w:t>1,000,000</w:t>
            </w:r>
            <w:r>
              <w:rPr>
                <w:color w:val="231F20"/>
                <w:spacing w:val="-23"/>
                <w:sz w:val="13"/>
              </w:rPr>
              <w:t xml:space="preserve"> </w:t>
            </w:r>
            <w:r>
              <w:rPr>
                <w:color w:val="231F20"/>
                <w:sz w:val="13"/>
              </w:rPr>
              <w:t>ART</w:t>
            </w:r>
            <w:r>
              <w:rPr>
                <w:color w:val="231F20"/>
                <w:spacing w:val="-21"/>
                <w:sz w:val="13"/>
              </w:rPr>
              <w:t xml:space="preserve"> </w:t>
            </w:r>
            <w:r>
              <w:rPr>
                <w:color w:val="231F20"/>
                <w:sz w:val="13"/>
              </w:rPr>
              <w:t>Drugs</w:t>
            </w:r>
            <w:r>
              <w:rPr>
                <w:color w:val="231F20"/>
                <w:spacing w:val="-20"/>
                <w:sz w:val="13"/>
              </w:rPr>
              <w:t xml:space="preserve"> </w:t>
            </w:r>
            <w:r>
              <w:rPr>
                <w:color w:val="231F20"/>
                <w:sz w:val="13"/>
              </w:rPr>
              <w:t>for</w:t>
            </w:r>
            <w:r>
              <w:rPr>
                <w:color w:val="231F20"/>
                <w:spacing w:val="-20"/>
                <w:sz w:val="13"/>
              </w:rPr>
              <w:t xml:space="preserve"> </w:t>
            </w:r>
            <w:r>
              <w:rPr>
                <w:color w:val="231F20"/>
                <w:sz w:val="13"/>
              </w:rPr>
              <w:t>positive client</w:t>
            </w:r>
            <w:r>
              <w:rPr>
                <w:color w:val="231F20"/>
                <w:spacing w:val="-10"/>
                <w:sz w:val="13"/>
              </w:rPr>
              <w:t xml:space="preserve"> </w:t>
            </w:r>
            <w:r>
              <w:rPr>
                <w:color w:val="231F20"/>
                <w:sz w:val="13"/>
              </w:rPr>
              <w:t>procured</w:t>
            </w:r>
            <w:r>
              <w:rPr>
                <w:color w:val="231F20"/>
                <w:spacing w:val="-9"/>
                <w:sz w:val="13"/>
              </w:rPr>
              <w:t xml:space="preserve"> </w:t>
            </w:r>
            <w:r>
              <w:rPr>
                <w:color w:val="231F20"/>
                <w:sz w:val="13"/>
              </w:rPr>
              <w:t>&amp;</w:t>
            </w:r>
            <w:r>
              <w:rPr>
                <w:color w:val="231F20"/>
                <w:spacing w:val="-9"/>
                <w:sz w:val="13"/>
              </w:rPr>
              <w:t xml:space="preserve"> </w:t>
            </w:r>
            <w:r>
              <w:rPr>
                <w:color w:val="231F20"/>
                <w:sz w:val="13"/>
              </w:rPr>
              <w:t>distributed</w:t>
            </w:r>
            <w:r>
              <w:rPr>
                <w:color w:val="231F20"/>
                <w:spacing w:val="-10"/>
                <w:sz w:val="13"/>
              </w:rPr>
              <w:t xml:space="preserve"> </w:t>
            </w:r>
            <w:r>
              <w:rPr>
                <w:color w:val="231F20"/>
                <w:sz w:val="13"/>
              </w:rPr>
              <w:t>quarterly</w:t>
            </w:r>
          </w:p>
          <w:p w14:paraId="42C9161B" w14:textId="77777777" w:rsidR="009948F1" w:rsidRDefault="00BC0563">
            <w:pPr>
              <w:pStyle w:val="TableParagraph"/>
              <w:numPr>
                <w:ilvl w:val="0"/>
                <w:numId w:val="143"/>
              </w:numPr>
              <w:tabs>
                <w:tab w:val="left" w:pos="104"/>
              </w:tabs>
              <w:ind w:left="103" w:hanging="79"/>
              <w:rPr>
                <w:sz w:val="13"/>
              </w:rPr>
            </w:pPr>
            <w:r>
              <w:rPr>
                <w:color w:val="231F20"/>
                <w:sz w:val="13"/>
              </w:rPr>
              <w:t>PMTCT collection tools printed</w:t>
            </w:r>
            <w:r>
              <w:rPr>
                <w:color w:val="231F20"/>
                <w:spacing w:val="-26"/>
                <w:sz w:val="13"/>
              </w:rPr>
              <w:t xml:space="preserve"> </w:t>
            </w:r>
            <w:r>
              <w:rPr>
                <w:color w:val="231F20"/>
                <w:sz w:val="13"/>
              </w:rPr>
              <w:t>&amp;</w:t>
            </w:r>
          </w:p>
          <w:p w14:paraId="3761F076" w14:textId="77777777" w:rsidR="009948F1" w:rsidRDefault="00BC0563">
            <w:pPr>
              <w:pStyle w:val="TableParagraph"/>
              <w:spacing w:line="160" w:lineRule="atLeast"/>
              <w:ind w:left="25" w:right="203"/>
              <w:rPr>
                <w:sz w:val="13"/>
              </w:rPr>
            </w:pPr>
            <w:r>
              <w:rPr>
                <w:color w:val="231F20"/>
                <w:sz w:val="13"/>
              </w:rPr>
              <w:t>distributed to at least 200 Secondary &amp; PHC facilities</w:t>
            </w:r>
          </w:p>
        </w:tc>
        <w:tc>
          <w:tcPr>
            <w:tcW w:w="1496" w:type="dxa"/>
            <w:tcBorders>
              <w:top w:val="single" w:sz="6" w:space="0" w:color="231F20"/>
              <w:left w:val="single" w:sz="6" w:space="0" w:color="231F20"/>
              <w:bottom w:val="single" w:sz="6" w:space="0" w:color="231F20"/>
            </w:tcBorders>
            <w:shd w:val="clear" w:color="auto" w:fill="CCE7D3"/>
          </w:tcPr>
          <w:p w14:paraId="4352BE53"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CCE7D3"/>
          </w:tcPr>
          <w:p w14:paraId="585C5FBA" w14:textId="77777777" w:rsidR="009948F1" w:rsidRDefault="009948F1">
            <w:pPr>
              <w:pStyle w:val="TableParagraph"/>
              <w:rPr>
                <w:rFonts w:ascii="Times New Roman"/>
                <w:sz w:val="12"/>
              </w:rPr>
            </w:pPr>
          </w:p>
        </w:tc>
      </w:tr>
      <w:tr w:rsidR="009948F1" w14:paraId="5FFB20AA" w14:textId="77777777">
        <w:trPr>
          <w:trHeight w:val="285"/>
        </w:trPr>
        <w:tc>
          <w:tcPr>
            <w:tcW w:w="480" w:type="dxa"/>
            <w:vMerge w:val="restart"/>
            <w:tcBorders>
              <w:top w:val="single" w:sz="6" w:space="0" w:color="231F20"/>
              <w:bottom w:val="single" w:sz="6" w:space="0" w:color="231F20"/>
              <w:right w:val="single" w:sz="6" w:space="0" w:color="231F20"/>
            </w:tcBorders>
          </w:tcPr>
          <w:p w14:paraId="77A2BE57" w14:textId="77777777" w:rsidR="009948F1" w:rsidRDefault="009948F1">
            <w:pPr>
              <w:pStyle w:val="TableParagraph"/>
              <w:rPr>
                <w:rFonts w:ascii="Times New Roman"/>
                <w:sz w:val="12"/>
              </w:rPr>
            </w:pPr>
          </w:p>
        </w:tc>
        <w:tc>
          <w:tcPr>
            <w:tcW w:w="551" w:type="dxa"/>
            <w:tcBorders>
              <w:top w:val="single" w:sz="6" w:space="0" w:color="231F20"/>
              <w:left w:val="single" w:sz="6" w:space="0" w:color="231F20"/>
              <w:bottom w:val="single" w:sz="6" w:space="0" w:color="231F20"/>
              <w:right w:val="single" w:sz="6" w:space="0" w:color="231F20"/>
            </w:tcBorders>
          </w:tcPr>
          <w:p w14:paraId="396D0638" w14:textId="77777777" w:rsidR="009948F1" w:rsidRDefault="00BC0563">
            <w:pPr>
              <w:pStyle w:val="TableParagraph"/>
              <w:spacing w:before="55"/>
              <w:ind w:left="88"/>
              <w:rPr>
                <w:sz w:val="14"/>
              </w:rPr>
            </w:pPr>
            <w:r>
              <w:rPr>
                <w:color w:val="231F20"/>
                <w:w w:val="95"/>
                <w:sz w:val="14"/>
              </w:rPr>
              <w:t>5.3.8.a</w:t>
            </w:r>
          </w:p>
        </w:tc>
        <w:tc>
          <w:tcPr>
            <w:tcW w:w="5127" w:type="dxa"/>
            <w:gridSpan w:val="2"/>
            <w:tcBorders>
              <w:top w:val="single" w:sz="6" w:space="0" w:color="231F20"/>
              <w:left w:val="single" w:sz="6" w:space="0" w:color="231F20"/>
              <w:bottom w:val="single" w:sz="6" w:space="0" w:color="231F20"/>
              <w:right w:val="single" w:sz="6" w:space="0" w:color="231F20"/>
            </w:tcBorders>
          </w:tcPr>
          <w:p w14:paraId="26945A80" w14:textId="77777777" w:rsidR="009948F1" w:rsidRDefault="00BC0563">
            <w:pPr>
              <w:pStyle w:val="TableParagraph"/>
              <w:spacing w:before="49"/>
              <w:ind w:left="25"/>
              <w:rPr>
                <w:sz w:val="14"/>
              </w:rPr>
            </w:pPr>
            <w:r>
              <w:rPr>
                <w:color w:val="231F20"/>
                <w:sz w:val="14"/>
              </w:rPr>
              <w:t>Procure and distribute Rapid test kits pack in the 23 LGAs</w:t>
            </w:r>
          </w:p>
        </w:tc>
        <w:tc>
          <w:tcPr>
            <w:tcW w:w="1496" w:type="dxa"/>
            <w:tcBorders>
              <w:top w:val="single" w:sz="6" w:space="0" w:color="231F20"/>
              <w:left w:val="single" w:sz="6" w:space="0" w:color="231F20"/>
              <w:bottom w:val="single" w:sz="6" w:space="0" w:color="231F20"/>
              <w:right w:val="single" w:sz="6" w:space="0" w:color="231F20"/>
            </w:tcBorders>
          </w:tcPr>
          <w:p w14:paraId="2460B745" w14:textId="77777777" w:rsidR="009948F1" w:rsidRDefault="00BC0563">
            <w:pPr>
              <w:pStyle w:val="TableParagraph"/>
              <w:spacing w:before="55"/>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2D639295" w14:textId="77777777" w:rsidR="009948F1" w:rsidRDefault="00BC0563">
            <w:pPr>
              <w:pStyle w:val="TableParagraph"/>
              <w:spacing w:before="19" w:line="134" w:lineRule="exact"/>
              <w:ind w:left="22"/>
              <w:rPr>
                <w:sz w:val="14"/>
              </w:rPr>
            </w:pPr>
            <w:r>
              <w:rPr>
                <w:color w:val="231F20"/>
                <w:w w:val="90"/>
                <w:sz w:val="14"/>
              </w:rPr>
              <w:t xml:space="preserve">Procure and distribute </w:t>
            </w:r>
            <w:r>
              <w:rPr>
                <w:color w:val="231F20"/>
                <w:w w:val="95"/>
                <w:sz w:val="14"/>
              </w:rPr>
              <w:t>Rapid test kits (OHT)</w:t>
            </w:r>
          </w:p>
        </w:tc>
      </w:tr>
      <w:tr w:rsidR="009948F1" w14:paraId="3EA680EB" w14:textId="77777777">
        <w:trPr>
          <w:trHeight w:val="575"/>
        </w:trPr>
        <w:tc>
          <w:tcPr>
            <w:tcW w:w="480" w:type="dxa"/>
            <w:vMerge/>
            <w:tcBorders>
              <w:top w:val="nil"/>
              <w:bottom w:val="single" w:sz="6" w:space="0" w:color="231F20"/>
              <w:right w:val="single" w:sz="6" w:space="0" w:color="231F20"/>
            </w:tcBorders>
          </w:tcPr>
          <w:p w14:paraId="4020FEFC"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4CE2F299" w14:textId="77777777" w:rsidR="009948F1" w:rsidRDefault="009948F1">
            <w:pPr>
              <w:pStyle w:val="TableParagraph"/>
              <w:spacing w:before="3"/>
              <w:rPr>
                <w:sz w:val="17"/>
              </w:rPr>
            </w:pPr>
          </w:p>
          <w:p w14:paraId="3981A462" w14:textId="77777777" w:rsidR="009948F1" w:rsidRDefault="00BC0563">
            <w:pPr>
              <w:pStyle w:val="TableParagraph"/>
              <w:spacing w:before="1"/>
              <w:ind w:left="88"/>
              <w:rPr>
                <w:sz w:val="14"/>
              </w:rPr>
            </w:pPr>
            <w:r>
              <w:rPr>
                <w:color w:val="231F20"/>
                <w:w w:val="95"/>
                <w:sz w:val="14"/>
              </w:rPr>
              <w:t>5.3.8.b</w:t>
            </w:r>
          </w:p>
        </w:tc>
        <w:tc>
          <w:tcPr>
            <w:tcW w:w="5127" w:type="dxa"/>
            <w:gridSpan w:val="2"/>
            <w:tcBorders>
              <w:top w:val="single" w:sz="6" w:space="0" w:color="231F20"/>
              <w:left w:val="single" w:sz="6" w:space="0" w:color="231F20"/>
              <w:bottom w:val="single" w:sz="6" w:space="0" w:color="231F20"/>
              <w:right w:val="single" w:sz="6" w:space="0" w:color="231F20"/>
            </w:tcBorders>
          </w:tcPr>
          <w:p w14:paraId="3D8C2469" w14:textId="77777777" w:rsidR="009948F1" w:rsidRDefault="009948F1">
            <w:pPr>
              <w:pStyle w:val="TableParagraph"/>
              <w:spacing w:before="9"/>
              <w:rPr>
                <w:sz w:val="16"/>
              </w:rPr>
            </w:pPr>
          </w:p>
          <w:p w14:paraId="445D9DB2" w14:textId="3F6DE6C2" w:rsidR="009948F1" w:rsidRDefault="00BC0563">
            <w:pPr>
              <w:pStyle w:val="TableParagraph"/>
              <w:ind w:left="25"/>
              <w:rPr>
                <w:sz w:val="14"/>
              </w:rPr>
            </w:pPr>
            <w:r>
              <w:rPr>
                <w:color w:val="231F20"/>
                <w:sz w:val="14"/>
              </w:rPr>
              <w:t xml:space="preserve">Procure and distribute ART Drugs for positive client in the 23 </w:t>
            </w:r>
            <w:r w:rsidR="00FB089D">
              <w:rPr>
                <w:color w:val="231F20"/>
                <w:sz w:val="14"/>
              </w:rPr>
              <w:t>LGAs.</w:t>
            </w:r>
          </w:p>
        </w:tc>
        <w:tc>
          <w:tcPr>
            <w:tcW w:w="1496" w:type="dxa"/>
            <w:tcBorders>
              <w:top w:val="single" w:sz="6" w:space="0" w:color="231F20"/>
              <w:left w:val="single" w:sz="6" w:space="0" w:color="231F20"/>
              <w:bottom w:val="single" w:sz="6" w:space="0" w:color="231F20"/>
              <w:right w:val="single" w:sz="6" w:space="0" w:color="231F20"/>
            </w:tcBorders>
          </w:tcPr>
          <w:p w14:paraId="56778F6D" w14:textId="77777777" w:rsidR="009948F1" w:rsidRDefault="009948F1">
            <w:pPr>
              <w:pStyle w:val="TableParagraph"/>
              <w:spacing w:before="3"/>
              <w:rPr>
                <w:sz w:val="17"/>
              </w:rPr>
            </w:pPr>
          </w:p>
          <w:p w14:paraId="43C639AA" w14:textId="77777777" w:rsidR="009948F1" w:rsidRDefault="00BC0563">
            <w:pPr>
              <w:pStyle w:val="TableParagraph"/>
              <w:spacing w:before="1"/>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269F0C45" w14:textId="77777777" w:rsidR="009948F1" w:rsidRDefault="00BC0563">
            <w:pPr>
              <w:pStyle w:val="TableParagraph"/>
              <w:spacing w:before="108" w:line="268" w:lineRule="auto"/>
              <w:ind w:left="22" w:right="-1"/>
              <w:rPr>
                <w:sz w:val="14"/>
              </w:rPr>
            </w:pPr>
            <w:r>
              <w:rPr>
                <w:color w:val="231F20"/>
                <w:w w:val="90"/>
                <w:sz w:val="14"/>
              </w:rPr>
              <w:t xml:space="preserve">Procure and distribute ART </w:t>
            </w:r>
            <w:r>
              <w:rPr>
                <w:color w:val="231F20"/>
                <w:sz w:val="14"/>
              </w:rPr>
              <w:t>Drugs (OHT)</w:t>
            </w:r>
          </w:p>
        </w:tc>
      </w:tr>
      <w:tr w:rsidR="009948F1" w14:paraId="154F007C" w14:textId="77777777">
        <w:trPr>
          <w:trHeight w:val="321"/>
        </w:trPr>
        <w:tc>
          <w:tcPr>
            <w:tcW w:w="480" w:type="dxa"/>
            <w:vMerge/>
            <w:tcBorders>
              <w:top w:val="nil"/>
              <w:bottom w:val="single" w:sz="6" w:space="0" w:color="231F20"/>
              <w:right w:val="single" w:sz="6" w:space="0" w:color="231F20"/>
            </w:tcBorders>
          </w:tcPr>
          <w:p w14:paraId="14AC86A6"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39B64886" w14:textId="77777777" w:rsidR="009948F1" w:rsidRDefault="00BC0563">
            <w:pPr>
              <w:pStyle w:val="TableParagraph"/>
              <w:spacing w:before="72"/>
              <w:ind w:left="91"/>
              <w:rPr>
                <w:sz w:val="14"/>
              </w:rPr>
            </w:pPr>
            <w:r>
              <w:rPr>
                <w:color w:val="231F20"/>
                <w:w w:val="95"/>
                <w:sz w:val="14"/>
              </w:rPr>
              <w:t>5.3.8.c</w:t>
            </w:r>
          </w:p>
        </w:tc>
        <w:tc>
          <w:tcPr>
            <w:tcW w:w="5127" w:type="dxa"/>
            <w:gridSpan w:val="2"/>
            <w:tcBorders>
              <w:top w:val="single" w:sz="6" w:space="0" w:color="231F20"/>
              <w:left w:val="single" w:sz="6" w:space="0" w:color="231F20"/>
              <w:bottom w:val="single" w:sz="6" w:space="0" w:color="231F20"/>
              <w:right w:val="single" w:sz="6" w:space="0" w:color="231F20"/>
            </w:tcBorders>
          </w:tcPr>
          <w:p w14:paraId="21091BB1" w14:textId="7667BD27" w:rsidR="009948F1" w:rsidRDefault="00BC0563">
            <w:pPr>
              <w:pStyle w:val="TableParagraph"/>
              <w:spacing w:before="66"/>
              <w:ind w:left="25"/>
              <w:rPr>
                <w:sz w:val="14"/>
              </w:rPr>
            </w:pPr>
            <w:r>
              <w:rPr>
                <w:color w:val="231F20"/>
                <w:w w:val="95"/>
                <w:sz w:val="14"/>
              </w:rPr>
              <w:t>Print</w:t>
            </w:r>
            <w:r>
              <w:rPr>
                <w:color w:val="231F20"/>
                <w:spacing w:val="-18"/>
                <w:w w:val="95"/>
                <w:sz w:val="14"/>
              </w:rPr>
              <w:t xml:space="preserve"> </w:t>
            </w:r>
            <w:r>
              <w:rPr>
                <w:color w:val="231F20"/>
                <w:w w:val="95"/>
                <w:sz w:val="14"/>
              </w:rPr>
              <w:t>and</w:t>
            </w:r>
            <w:r>
              <w:rPr>
                <w:color w:val="231F20"/>
                <w:spacing w:val="-17"/>
                <w:w w:val="95"/>
                <w:sz w:val="14"/>
              </w:rPr>
              <w:t xml:space="preserve"> </w:t>
            </w:r>
            <w:r>
              <w:rPr>
                <w:color w:val="231F20"/>
                <w:w w:val="95"/>
                <w:sz w:val="14"/>
              </w:rPr>
              <w:t>distribution</w:t>
            </w:r>
            <w:r>
              <w:rPr>
                <w:color w:val="231F20"/>
                <w:spacing w:val="-18"/>
                <w:w w:val="95"/>
                <w:sz w:val="14"/>
              </w:rPr>
              <w:t xml:space="preserve"> </w:t>
            </w:r>
            <w:r>
              <w:rPr>
                <w:color w:val="231F20"/>
                <w:w w:val="95"/>
                <w:sz w:val="14"/>
              </w:rPr>
              <w:t>PMTCT</w:t>
            </w:r>
            <w:r>
              <w:rPr>
                <w:color w:val="231F20"/>
                <w:spacing w:val="-18"/>
                <w:w w:val="95"/>
                <w:sz w:val="14"/>
              </w:rPr>
              <w:t xml:space="preserve"> </w:t>
            </w:r>
            <w:r>
              <w:rPr>
                <w:color w:val="231F20"/>
                <w:w w:val="95"/>
                <w:sz w:val="14"/>
              </w:rPr>
              <w:t>collection</w:t>
            </w:r>
            <w:r>
              <w:rPr>
                <w:color w:val="231F20"/>
                <w:spacing w:val="-18"/>
                <w:w w:val="95"/>
                <w:sz w:val="14"/>
              </w:rPr>
              <w:t xml:space="preserve"> </w:t>
            </w:r>
            <w:r>
              <w:rPr>
                <w:color w:val="231F20"/>
                <w:w w:val="95"/>
                <w:sz w:val="14"/>
              </w:rPr>
              <w:t>tools</w:t>
            </w:r>
            <w:r>
              <w:rPr>
                <w:color w:val="231F20"/>
                <w:spacing w:val="-17"/>
                <w:w w:val="95"/>
                <w:sz w:val="14"/>
              </w:rPr>
              <w:t xml:space="preserve"> </w:t>
            </w:r>
            <w:r>
              <w:rPr>
                <w:color w:val="231F20"/>
                <w:w w:val="95"/>
                <w:sz w:val="14"/>
              </w:rPr>
              <w:t>to</w:t>
            </w:r>
            <w:r>
              <w:rPr>
                <w:color w:val="231F20"/>
                <w:spacing w:val="-18"/>
                <w:w w:val="95"/>
                <w:sz w:val="14"/>
              </w:rPr>
              <w:t xml:space="preserve"> </w:t>
            </w:r>
            <w:r>
              <w:rPr>
                <w:color w:val="231F20"/>
                <w:w w:val="95"/>
                <w:sz w:val="14"/>
              </w:rPr>
              <w:t>Secondary</w:t>
            </w:r>
            <w:r>
              <w:rPr>
                <w:color w:val="231F20"/>
                <w:spacing w:val="-17"/>
                <w:w w:val="95"/>
                <w:sz w:val="14"/>
              </w:rPr>
              <w:t xml:space="preserve"> </w:t>
            </w:r>
            <w:r>
              <w:rPr>
                <w:color w:val="231F20"/>
                <w:w w:val="95"/>
                <w:sz w:val="14"/>
              </w:rPr>
              <w:t>&amp;</w:t>
            </w:r>
            <w:r>
              <w:rPr>
                <w:color w:val="231F20"/>
                <w:spacing w:val="-17"/>
                <w:w w:val="95"/>
                <w:sz w:val="14"/>
              </w:rPr>
              <w:t xml:space="preserve"> </w:t>
            </w:r>
            <w:r>
              <w:rPr>
                <w:color w:val="231F20"/>
                <w:w w:val="95"/>
                <w:sz w:val="14"/>
              </w:rPr>
              <w:t>PHC</w:t>
            </w:r>
            <w:r>
              <w:rPr>
                <w:color w:val="231F20"/>
                <w:spacing w:val="-18"/>
                <w:w w:val="95"/>
                <w:sz w:val="14"/>
              </w:rPr>
              <w:t xml:space="preserve"> </w:t>
            </w:r>
            <w:r>
              <w:rPr>
                <w:color w:val="231F20"/>
                <w:w w:val="95"/>
                <w:sz w:val="14"/>
              </w:rPr>
              <w:t>facilities</w:t>
            </w:r>
            <w:r>
              <w:rPr>
                <w:color w:val="231F20"/>
                <w:spacing w:val="-17"/>
                <w:w w:val="95"/>
                <w:sz w:val="14"/>
              </w:rPr>
              <w:t xml:space="preserve"> </w:t>
            </w:r>
            <w:r>
              <w:rPr>
                <w:color w:val="231F20"/>
                <w:w w:val="95"/>
                <w:sz w:val="14"/>
              </w:rPr>
              <w:t>in</w:t>
            </w:r>
            <w:r>
              <w:rPr>
                <w:color w:val="231F20"/>
                <w:spacing w:val="-18"/>
                <w:w w:val="95"/>
                <w:sz w:val="14"/>
              </w:rPr>
              <w:t xml:space="preserve"> </w:t>
            </w:r>
            <w:r>
              <w:rPr>
                <w:color w:val="231F20"/>
                <w:w w:val="95"/>
                <w:sz w:val="14"/>
              </w:rPr>
              <w:t>the</w:t>
            </w:r>
            <w:r>
              <w:rPr>
                <w:color w:val="231F20"/>
                <w:spacing w:val="-17"/>
                <w:w w:val="95"/>
                <w:sz w:val="14"/>
              </w:rPr>
              <w:t xml:space="preserve"> </w:t>
            </w:r>
            <w:r w:rsidR="00FB089D">
              <w:rPr>
                <w:color w:val="231F20"/>
                <w:w w:val="95"/>
                <w:sz w:val="14"/>
              </w:rPr>
              <w:t>State</w:t>
            </w:r>
            <w:r w:rsidR="00FB089D">
              <w:rPr>
                <w:color w:val="231F20"/>
                <w:spacing w:val="-17"/>
                <w:w w:val="95"/>
                <w:sz w:val="14"/>
              </w:rPr>
              <w:t>.</w:t>
            </w:r>
          </w:p>
        </w:tc>
        <w:tc>
          <w:tcPr>
            <w:tcW w:w="1496" w:type="dxa"/>
            <w:tcBorders>
              <w:top w:val="single" w:sz="6" w:space="0" w:color="231F20"/>
              <w:left w:val="single" w:sz="6" w:space="0" w:color="231F20"/>
              <w:bottom w:val="single" w:sz="6" w:space="0" w:color="231F20"/>
              <w:right w:val="single" w:sz="6" w:space="0" w:color="231F20"/>
            </w:tcBorders>
          </w:tcPr>
          <w:p w14:paraId="75781510" w14:textId="77777777" w:rsidR="009948F1" w:rsidRDefault="00BC0563">
            <w:pPr>
              <w:pStyle w:val="TableParagraph"/>
              <w:spacing w:before="72"/>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1ACCF6C2" w14:textId="77777777" w:rsidR="009948F1" w:rsidRDefault="00BC0563">
            <w:pPr>
              <w:pStyle w:val="TableParagraph"/>
              <w:spacing w:line="156" w:lineRule="exact"/>
              <w:ind w:left="22"/>
              <w:rPr>
                <w:sz w:val="14"/>
              </w:rPr>
            </w:pPr>
            <w:r>
              <w:rPr>
                <w:color w:val="231F20"/>
                <w:sz w:val="14"/>
              </w:rPr>
              <w:t>Print and distribution</w:t>
            </w:r>
          </w:p>
          <w:p w14:paraId="44233257" w14:textId="77777777" w:rsidR="009948F1" w:rsidRDefault="00BC0563">
            <w:pPr>
              <w:pStyle w:val="TableParagraph"/>
              <w:spacing w:before="19" w:line="127" w:lineRule="exact"/>
              <w:ind w:left="22"/>
              <w:rPr>
                <w:sz w:val="14"/>
              </w:rPr>
            </w:pPr>
            <w:r>
              <w:rPr>
                <w:color w:val="231F20"/>
                <w:sz w:val="14"/>
              </w:rPr>
              <w:t>PMTCT collection tools</w:t>
            </w:r>
          </w:p>
        </w:tc>
      </w:tr>
      <w:tr w:rsidR="009948F1" w14:paraId="4DCBE8BB" w14:textId="77777777">
        <w:trPr>
          <w:trHeight w:val="370"/>
        </w:trPr>
        <w:tc>
          <w:tcPr>
            <w:tcW w:w="6158" w:type="dxa"/>
            <w:gridSpan w:val="4"/>
            <w:tcBorders>
              <w:top w:val="single" w:sz="6" w:space="0" w:color="231F20"/>
              <w:bottom w:val="single" w:sz="6" w:space="0" w:color="231F20"/>
            </w:tcBorders>
            <w:shd w:val="clear" w:color="auto" w:fill="FFF200"/>
          </w:tcPr>
          <w:p w14:paraId="12D25676" w14:textId="77777777" w:rsidR="009948F1" w:rsidRDefault="00BC0563">
            <w:pPr>
              <w:pStyle w:val="TableParagraph"/>
              <w:ind w:left="61"/>
              <w:rPr>
                <w:b/>
                <w:sz w:val="14"/>
              </w:rPr>
            </w:pPr>
            <w:r>
              <w:rPr>
                <w:b/>
                <w:color w:val="231F20"/>
                <w:w w:val="95"/>
                <w:sz w:val="14"/>
              </w:rPr>
              <w:t>Reduce</w:t>
            </w:r>
            <w:r>
              <w:rPr>
                <w:b/>
                <w:color w:val="231F20"/>
                <w:spacing w:val="-24"/>
                <w:w w:val="95"/>
                <w:sz w:val="14"/>
              </w:rPr>
              <w:t xml:space="preserve"> </w:t>
            </w:r>
            <w:r>
              <w:rPr>
                <w:b/>
                <w:color w:val="231F20"/>
                <w:w w:val="95"/>
                <w:sz w:val="14"/>
              </w:rPr>
              <w:t>morbidity,</w:t>
            </w:r>
            <w:r>
              <w:rPr>
                <w:b/>
                <w:color w:val="231F20"/>
                <w:spacing w:val="-23"/>
                <w:w w:val="95"/>
                <w:sz w:val="14"/>
              </w:rPr>
              <w:t xml:space="preserve"> </w:t>
            </w:r>
            <w:r>
              <w:rPr>
                <w:b/>
                <w:color w:val="231F20"/>
                <w:w w:val="95"/>
                <w:sz w:val="14"/>
              </w:rPr>
              <w:t>disability</w:t>
            </w:r>
            <w:r>
              <w:rPr>
                <w:b/>
                <w:color w:val="231F20"/>
                <w:spacing w:val="-23"/>
                <w:w w:val="95"/>
                <w:sz w:val="14"/>
              </w:rPr>
              <w:t xml:space="preserve"> </w:t>
            </w:r>
            <w:r>
              <w:rPr>
                <w:b/>
                <w:color w:val="231F20"/>
                <w:w w:val="95"/>
                <w:sz w:val="14"/>
              </w:rPr>
              <w:t>and</w:t>
            </w:r>
            <w:r>
              <w:rPr>
                <w:b/>
                <w:color w:val="231F20"/>
                <w:spacing w:val="-23"/>
                <w:w w:val="95"/>
                <w:sz w:val="14"/>
              </w:rPr>
              <w:t xml:space="preserve"> </w:t>
            </w:r>
            <w:r>
              <w:rPr>
                <w:b/>
                <w:color w:val="231F20"/>
                <w:w w:val="95"/>
                <w:sz w:val="14"/>
              </w:rPr>
              <w:t>mortality</w:t>
            </w:r>
            <w:r>
              <w:rPr>
                <w:b/>
                <w:color w:val="231F20"/>
                <w:spacing w:val="-23"/>
                <w:w w:val="95"/>
                <w:sz w:val="14"/>
              </w:rPr>
              <w:t xml:space="preserve"> </w:t>
            </w:r>
            <w:r>
              <w:rPr>
                <w:b/>
                <w:color w:val="231F20"/>
                <w:w w:val="95"/>
                <w:sz w:val="14"/>
              </w:rPr>
              <w:t>due</w:t>
            </w:r>
            <w:r>
              <w:rPr>
                <w:b/>
                <w:color w:val="231F20"/>
                <w:spacing w:val="-23"/>
                <w:w w:val="95"/>
                <w:sz w:val="14"/>
              </w:rPr>
              <w:t xml:space="preserve"> </w:t>
            </w:r>
            <w:r>
              <w:rPr>
                <w:b/>
                <w:color w:val="231F20"/>
                <w:w w:val="95"/>
                <w:sz w:val="14"/>
              </w:rPr>
              <w:t>to</w:t>
            </w:r>
            <w:r>
              <w:rPr>
                <w:b/>
                <w:color w:val="231F20"/>
                <w:spacing w:val="-24"/>
                <w:w w:val="95"/>
                <w:sz w:val="14"/>
              </w:rPr>
              <w:t xml:space="preserve"> </w:t>
            </w:r>
            <w:r>
              <w:rPr>
                <w:b/>
                <w:color w:val="231F20"/>
                <w:w w:val="95"/>
                <w:sz w:val="14"/>
              </w:rPr>
              <w:t>targeted</w:t>
            </w:r>
            <w:r>
              <w:rPr>
                <w:b/>
                <w:color w:val="231F20"/>
                <w:spacing w:val="-23"/>
                <w:w w:val="95"/>
                <w:sz w:val="14"/>
              </w:rPr>
              <w:t xml:space="preserve"> </w:t>
            </w:r>
            <w:r>
              <w:rPr>
                <w:b/>
                <w:color w:val="231F20"/>
                <w:w w:val="95"/>
                <w:sz w:val="14"/>
              </w:rPr>
              <w:t>Neglected</w:t>
            </w:r>
            <w:r>
              <w:rPr>
                <w:b/>
                <w:color w:val="231F20"/>
                <w:spacing w:val="-23"/>
                <w:w w:val="95"/>
                <w:sz w:val="14"/>
              </w:rPr>
              <w:t xml:space="preserve"> </w:t>
            </w:r>
            <w:r>
              <w:rPr>
                <w:b/>
                <w:color w:val="231F20"/>
                <w:w w:val="95"/>
                <w:sz w:val="14"/>
              </w:rPr>
              <w:t>Tropical</w:t>
            </w:r>
            <w:r>
              <w:rPr>
                <w:b/>
                <w:color w:val="231F20"/>
                <w:spacing w:val="-23"/>
                <w:w w:val="95"/>
                <w:sz w:val="14"/>
              </w:rPr>
              <w:t xml:space="preserve"> </w:t>
            </w:r>
            <w:r>
              <w:rPr>
                <w:b/>
                <w:color w:val="231F20"/>
                <w:w w:val="95"/>
                <w:sz w:val="14"/>
              </w:rPr>
              <w:t>Diseases</w:t>
            </w:r>
            <w:r>
              <w:rPr>
                <w:b/>
                <w:color w:val="231F20"/>
                <w:spacing w:val="-9"/>
                <w:w w:val="95"/>
                <w:sz w:val="14"/>
              </w:rPr>
              <w:t xml:space="preserve"> </w:t>
            </w:r>
            <w:r>
              <w:rPr>
                <w:b/>
                <w:color w:val="231F20"/>
                <w:w w:val="95"/>
                <w:sz w:val="14"/>
              </w:rPr>
              <w:t>(NTDs)</w:t>
            </w:r>
            <w:r>
              <w:rPr>
                <w:b/>
                <w:color w:val="231F20"/>
                <w:spacing w:val="-23"/>
                <w:w w:val="95"/>
                <w:sz w:val="14"/>
              </w:rPr>
              <w:t xml:space="preserve"> </w:t>
            </w:r>
            <w:r>
              <w:rPr>
                <w:b/>
                <w:color w:val="231F20"/>
                <w:w w:val="95"/>
                <w:sz w:val="14"/>
              </w:rPr>
              <w:t>and</w:t>
            </w:r>
          </w:p>
          <w:p w14:paraId="2A4BB64C" w14:textId="77777777" w:rsidR="009948F1" w:rsidRDefault="00BC0563">
            <w:pPr>
              <w:pStyle w:val="TableParagraph"/>
              <w:spacing w:before="24"/>
              <w:ind w:left="27"/>
              <w:rPr>
                <w:b/>
                <w:sz w:val="14"/>
              </w:rPr>
            </w:pPr>
            <w:r>
              <w:rPr>
                <w:b/>
                <w:color w:val="231F20"/>
                <w:sz w:val="14"/>
              </w:rPr>
              <w:t>improve quality of life of those affected.</w:t>
            </w:r>
          </w:p>
        </w:tc>
        <w:tc>
          <w:tcPr>
            <w:tcW w:w="1496" w:type="dxa"/>
            <w:tcBorders>
              <w:top w:val="single" w:sz="6" w:space="0" w:color="231F20"/>
              <w:bottom w:val="single" w:sz="6" w:space="0" w:color="231F20"/>
            </w:tcBorders>
            <w:shd w:val="clear" w:color="auto" w:fill="FFF200"/>
          </w:tcPr>
          <w:p w14:paraId="359D5BC0"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FFF200"/>
          </w:tcPr>
          <w:p w14:paraId="70D59BEE" w14:textId="77777777" w:rsidR="009948F1" w:rsidRDefault="009948F1">
            <w:pPr>
              <w:pStyle w:val="TableParagraph"/>
              <w:rPr>
                <w:rFonts w:ascii="Times New Roman"/>
                <w:sz w:val="12"/>
              </w:rPr>
            </w:pPr>
          </w:p>
        </w:tc>
      </w:tr>
      <w:tr w:rsidR="009948F1" w14:paraId="70FA801D" w14:textId="77777777">
        <w:trPr>
          <w:trHeight w:val="1809"/>
        </w:trPr>
        <w:tc>
          <w:tcPr>
            <w:tcW w:w="480" w:type="dxa"/>
            <w:tcBorders>
              <w:top w:val="single" w:sz="6" w:space="0" w:color="231F20"/>
              <w:bottom w:val="single" w:sz="6" w:space="0" w:color="231F20"/>
              <w:right w:val="single" w:sz="6" w:space="0" w:color="231F20"/>
            </w:tcBorders>
            <w:shd w:val="clear" w:color="auto" w:fill="CCE7D3"/>
          </w:tcPr>
          <w:p w14:paraId="22AC1DBC" w14:textId="77777777" w:rsidR="009948F1" w:rsidRDefault="009948F1">
            <w:pPr>
              <w:pStyle w:val="TableParagraph"/>
              <w:rPr>
                <w:sz w:val="14"/>
              </w:rPr>
            </w:pPr>
          </w:p>
          <w:p w14:paraId="3FFD79EE" w14:textId="77777777" w:rsidR="009948F1" w:rsidRDefault="009948F1">
            <w:pPr>
              <w:pStyle w:val="TableParagraph"/>
              <w:rPr>
                <w:sz w:val="14"/>
              </w:rPr>
            </w:pPr>
          </w:p>
          <w:p w14:paraId="7A3B87FC" w14:textId="77777777" w:rsidR="009948F1" w:rsidRDefault="009948F1">
            <w:pPr>
              <w:pStyle w:val="TableParagraph"/>
              <w:rPr>
                <w:sz w:val="14"/>
              </w:rPr>
            </w:pPr>
          </w:p>
          <w:p w14:paraId="58DCB74C" w14:textId="77777777" w:rsidR="009948F1" w:rsidRDefault="009948F1">
            <w:pPr>
              <w:pStyle w:val="TableParagraph"/>
              <w:rPr>
                <w:sz w:val="14"/>
              </w:rPr>
            </w:pPr>
          </w:p>
          <w:p w14:paraId="2670B60D" w14:textId="77777777" w:rsidR="009948F1" w:rsidRDefault="009948F1">
            <w:pPr>
              <w:pStyle w:val="TableParagraph"/>
              <w:spacing w:before="11"/>
              <w:rPr>
                <w:sz w:val="14"/>
              </w:rPr>
            </w:pPr>
          </w:p>
          <w:p w14:paraId="4D04E996" w14:textId="77777777" w:rsidR="009948F1" w:rsidRDefault="00BC0563">
            <w:pPr>
              <w:pStyle w:val="TableParagraph"/>
              <w:ind w:left="61"/>
              <w:rPr>
                <w:sz w:val="14"/>
              </w:rPr>
            </w:pPr>
            <w:r>
              <w:rPr>
                <w:color w:val="231F20"/>
                <w:sz w:val="14"/>
              </w:rPr>
              <w:t>5.5.1</w:t>
            </w:r>
          </w:p>
        </w:tc>
        <w:tc>
          <w:tcPr>
            <w:tcW w:w="3181" w:type="dxa"/>
            <w:gridSpan w:val="2"/>
            <w:tcBorders>
              <w:top w:val="single" w:sz="6" w:space="0" w:color="231F20"/>
              <w:left w:val="single" w:sz="6" w:space="0" w:color="231F20"/>
              <w:bottom w:val="single" w:sz="6" w:space="0" w:color="231F20"/>
              <w:right w:val="single" w:sz="6" w:space="0" w:color="231F20"/>
            </w:tcBorders>
            <w:shd w:val="clear" w:color="auto" w:fill="CCE7D3"/>
          </w:tcPr>
          <w:p w14:paraId="508209AA" w14:textId="77777777" w:rsidR="009948F1" w:rsidRDefault="009948F1">
            <w:pPr>
              <w:pStyle w:val="TableParagraph"/>
              <w:rPr>
                <w:sz w:val="14"/>
              </w:rPr>
            </w:pPr>
          </w:p>
          <w:p w14:paraId="27B9A75C" w14:textId="77777777" w:rsidR="009948F1" w:rsidRDefault="009948F1">
            <w:pPr>
              <w:pStyle w:val="TableParagraph"/>
              <w:rPr>
                <w:sz w:val="14"/>
              </w:rPr>
            </w:pPr>
          </w:p>
          <w:p w14:paraId="18563DC8" w14:textId="77777777" w:rsidR="009948F1" w:rsidRDefault="009948F1">
            <w:pPr>
              <w:pStyle w:val="TableParagraph"/>
              <w:rPr>
                <w:sz w:val="14"/>
              </w:rPr>
            </w:pPr>
          </w:p>
          <w:p w14:paraId="3F8CCE77" w14:textId="77777777" w:rsidR="009948F1" w:rsidRDefault="009948F1">
            <w:pPr>
              <w:pStyle w:val="TableParagraph"/>
              <w:spacing w:before="8"/>
              <w:rPr>
                <w:sz w:val="20"/>
              </w:rPr>
            </w:pPr>
          </w:p>
          <w:p w14:paraId="17D97689" w14:textId="77777777" w:rsidR="009948F1" w:rsidRDefault="00BC0563">
            <w:pPr>
              <w:pStyle w:val="TableParagraph"/>
              <w:spacing w:line="268" w:lineRule="auto"/>
              <w:ind w:left="25" w:right="33" w:firstLine="34"/>
              <w:rPr>
                <w:sz w:val="14"/>
              </w:rPr>
            </w:pPr>
            <w:r>
              <w:rPr>
                <w:color w:val="231F20"/>
                <w:w w:val="90"/>
                <w:sz w:val="14"/>
              </w:rPr>
              <w:t>Strengthen</w:t>
            </w:r>
            <w:r>
              <w:rPr>
                <w:color w:val="231F20"/>
                <w:spacing w:val="-12"/>
                <w:w w:val="90"/>
                <w:sz w:val="14"/>
              </w:rPr>
              <w:t xml:space="preserve"> </w:t>
            </w:r>
            <w:r>
              <w:rPr>
                <w:color w:val="231F20"/>
                <w:w w:val="90"/>
                <w:sz w:val="14"/>
              </w:rPr>
              <w:t>advocacy,</w:t>
            </w:r>
            <w:r>
              <w:rPr>
                <w:color w:val="231F20"/>
                <w:spacing w:val="-11"/>
                <w:w w:val="90"/>
                <w:sz w:val="14"/>
              </w:rPr>
              <w:t xml:space="preserve"> </w:t>
            </w:r>
            <w:r>
              <w:rPr>
                <w:color w:val="231F20"/>
                <w:w w:val="90"/>
                <w:sz w:val="14"/>
              </w:rPr>
              <w:t>social</w:t>
            </w:r>
            <w:r>
              <w:rPr>
                <w:color w:val="231F20"/>
                <w:spacing w:val="-11"/>
                <w:w w:val="90"/>
                <w:sz w:val="14"/>
              </w:rPr>
              <w:t xml:space="preserve"> </w:t>
            </w:r>
            <w:r>
              <w:rPr>
                <w:color w:val="231F20"/>
                <w:w w:val="90"/>
                <w:sz w:val="14"/>
              </w:rPr>
              <w:t>mobilization</w:t>
            </w:r>
            <w:r>
              <w:rPr>
                <w:color w:val="231F20"/>
                <w:spacing w:val="-11"/>
                <w:w w:val="90"/>
                <w:sz w:val="14"/>
              </w:rPr>
              <w:t xml:space="preserve"> </w:t>
            </w:r>
            <w:r>
              <w:rPr>
                <w:color w:val="231F20"/>
                <w:w w:val="90"/>
                <w:sz w:val="14"/>
              </w:rPr>
              <w:t>and</w:t>
            </w:r>
            <w:r>
              <w:rPr>
                <w:color w:val="231F20"/>
                <w:spacing w:val="-11"/>
                <w:w w:val="90"/>
                <w:sz w:val="14"/>
              </w:rPr>
              <w:t xml:space="preserve"> </w:t>
            </w:r>
            <w:proofErr w:type="spellStart"/>
            <w:r>
              <w:rPr>
                <w:color w:val="231F20"/>
                <w:w w:val="90"/>
                <w:sz w:val="14"/>
              </w:rPr>
              <w:t>behaviour</w:t>
            </w:r>
            <w:proofErr w:type="spellEnd"/>
            <w:r>
              <w:rPr>
                <w:color w:val="231F20"/>
                <w:w w:val="90"/>
                <w:sz w:val="14"/>
              </w:rPr>
              <w:t xml:space="preserve"> </w:t>
            </w:r>
            <w:r>
              <w:rPr>
                <w:color w:val="231F20"/>
                <w:sz w:val="14"/>
              </w:rPr>
              <w:t>change</w:t>
            </w:r>
            <w:r>
              <w:rPr>
                <w:color w:val="231F20"/>
                <w:spacing w:val="-11"/>
                <w:sz w:val="14"/>
              </w:rPr>
              <w:t xml:space="preserve"> </w:t>
            </w:r>
            <w:r>
              <w:rPr>
                <w:color w:val="231F20"/>
                <w:sz w:val="14"/>
              </w:rPr>
              <w:t>communication</w:t>
            </w:r>
            <w:r>
              <w:rPr>
                <w:color w:val="231F20"/>
                <w:spacing w:val="-10"/>
                <w:sz w:val="14"/>
              </w:rPr>
              <w:t xml:space="preserve"> </w:t>
            </w:r>
            <w:r>
              <w:rPr>
                <w:color w:val="231F20"/>
                <w:sz w:val="14"/>
              </w:rPr>
              <w:t>for</w:t>
            </w:r>
            <w:r>
              <w:rPr>
                <w:color w:val="231F20"/>
                <w:spacing w:val="-10"/>
                <w:sz w:val="14"/>
              </w:rPr>
              <w:t xml:space="preserve"> </w:t>
            </w:r>
            <w:r>
              <w:rPr>
                <w:color w:val="231F20"/>
                <w:sz w:val="14"/>
              </w:rPr>
              <w:t>NTDs</w:t>
            </w:r>
          </w:p>
        </w:tc>
        <w:tc>
          <w:tcPr>
            <w:tcW w:w="2497" w:type="dxa"/>
            <w:tcBorders>
              <w:top w:val="single" w:sz="6" w:space="0" w:color="231F20"/>
              <w:left w:val="single" w:sz="6" w:space="0" w:color="231F20"/>
              <w:bottom w:val="single" w:sz="6" w:space="0" w:color="231F20"/>
              <w:right w:val="single" w:sz="6" w:space="0" w:color="231F20"/>
            </w:tcBorders>
            <w:shd w:val="clear" w:color="auto" w:fill="CCE7D3"/>
          </w:tcPr>
          <w:p w14:paraId="0CA52E4E" w14:textId="77777777" w:rsidR="009948F1" w:rsidRDefault="00BC0563">
            <w:pPr>
              <w:pStyle w:val="TableParagraph"/>
              <w:numPr>
                <w:ilvl w:val="0"/>
                <w:numId w:val="142"/>
              </w:numPr>
              <w:tabs>
                <w:tab w:val="left" w:pos="97"/>
              </w:tabs>
              <w:spacing w:before="6" w:line="268" w:lineRule="auto"/>
              <w:ind w:right="27" w:firstLine="0"/>
              <w:rPr>
                <w:sz w:val="14"/>
              </w:rPr>
            </w:pPr>
            <w:r>
              <w:rPr>
                <w:color w:val="231F20"/>
                <w:w w:val="90"/>
                <w:sz w:val="14"/>
              </w:rPr>
              <w:t>Advocacy</w:t>
            </w:r>
            <w:r>
              <w:rPr>
                <w:color w:val="231F20"/>
                <w:spacing w:val="-8"/>
                <w:w w:val="90"/>
                <w:sz w:val="14"/>
              </w:rPr>
              <w:t xml:space="preserve"> </w:t>
            </w:r>
            <w:r>
              <w:rPr>
                <w:color w:val="231F20"/>
                <w:w w:val="90"/>
                <w:sz w:val="14"/>
              </w:rPr>
              <w:t>visit</w:t>
            </w:r>
            <w:r>
              <w:rPr>
                <w:color w:val="231F20"/>
                <w:spacing w:val="-8"/>
                <w:w w:val="90"/>
                <w:sz w:val="14"/>
              </w:rPr>
              <w:t xml:space="preserve"> </w:t>
            </w:r>
            <w:r>
              <w:rPr>
                <w:color w:val="231F20"/>
                <w:w w:val="90"/>
                <w:sz w:val="14"/>
              </w:rPr>
              <w:t>to</w:t>
            </w:r>
            <w:r>
              <w:rPr>
                <w:color w:val="231F20"/>
                <w:spacing w:val="-7"/>
                <w:w w:val="90"/>
                <w:sz w:val="14"/>
              </w:rPr>
              <w:t xml:space="preserve"> </w:t>
            </w:r>
            <w:r>
              <w:rPr>
                <w:color w:val="231F20"/>
                <w:w w:val="90"/>
                <w:sz w:val="14"/>
              </w:rPr>
              <w:t>community</w:t>
            </w:r>
            <w:r>
              <w:rPr>
                <w:color w:val="231F20"/>
                <w:spacing w:val="-8"/>
                <w:w w:val="90"/>
                <w:sz w:val="14"/>
              </w:rPr>
              <w:t xml:space="preserve"> </w:t>
            </w:r>
            <w:r>
              <w:rPr>
                <w:color w:val="231F20"/>
                <w:w w:val="90"/>
                <w:sz w:val="14"/>
              </w:rPr>
              <w:t>institutions</w:t>
            </w:r>
            <w:r>
              <w:rPr>
                <w:color w:val="231F20"/>
                <w:spacing w:val="-8"/>
                <w:w w:val="90"/>
                <w:sz w:val="14"/>
              </w:rPr>
              <w:t xml:space="preserve"> </w:t>
            </w:r>
            <w:r>
              <w:rPr>
                <w:color w:val="231F20"/>
                <w:w w:val="90"/>
                <w:sz w:val="14"/>
              </w:rPr>
              <w:t xml:space="preserve">on </w:t>
            </w:r>
            <w:r>
              <w:rPr>
                <w:color w:val="231F20"/>
                <w:sz w:val="14"/>
              </w:rPr>
              <w:t>Community Mobilization on NTDs recognition,</w:t>
            </w:r>
            <w:r>
              <w:rPr>
                <w:color w:val="231F20"/>
                <w:spacing w:val="-25"/>
                <w:sz w:val="14"/>
              </w:rPr>
              <w:t xml:space="preserve"> </w:t>
            </w:r>
            <w:r>
              <w:rPr>
                <w:color w:val="231F20"/>
                <w:sz w:val="14"/>
              </w:rPr>
              <w:t>reporting</w:t>
            </w:r>
            <w:r>
              <w:rPr>
                <w:color w:val="231F20"/>
                <w:spacing w:val="-24"/>
                <w:sz w:val="14"/>
              </w:rPr>
              <w:t xml:space="preserve"> </w:t>
            </w:r>
            <w:r>
              <w:rPr>
                <w:color w:val="231F20"/>
                <w:sz w:val="14"/>
              </w:rPr>
              <w:t>and</w:t>
            </w:r>
            <w:r>
              <w:rPr>
                <w:color w:val="231F20"/>
                <w:spacing w:val="-25"/>
                <w:sz w:val="14"/>
              </w:rPr>
              <w:t xml:space="preserve"> </w:t>
            </w:r>
            <w:r>
              <w:rPr>
                <w:color w:val="231F20"/>
                <w:sz w:val="14"/>
              </w:rPr>
              <w:t>control</w:t>
            </w:r>
            <w:r>
              <w:rPr>
                <w:color w:val="231F20"/>
                <w:spacing w:val="-24"/>
                <w:sz w:val="14"/>
              </w:rPr>
              <w:t xml:space="preserve"> </w:t>
            </w:r>
            <w:r>
              <w:rPr>
                <w:color w:val="231F20"/>
                <w:sz w:val="14"/>
              </w:rPr>
              <w:t>done</w:t>
            </w:r>
          </w:p>
          <w:p w14:paraId="37EE1338" w14:textId="77777777" w:rsidR="009948F1" w:rsidRDefault="00BC0563">
            <w:pPr>
              <w:pStyle w:val="TableParagraph"/>
              <w:numPr>
                <w:ilvl w:val="0"/>
                <w:numId w:val="142"/>
              </w:numPr>
              <w:tabs>
                <w:tab w:val="left" w:pos="70"/>
              </w:tabs>
              <w:spacing w:line="268" w:lineRule="auto"/>
              <w:ind w:right="17" w:firstLine="0"/>
              <w:rPr>
                <w:sz w:val="14"/>
              </w:rPr>
            </w:pPr>
            <w:r>
              <w:rPr>
                <w:color w:val="231F20"/>
                <w:sz w:val="14"/>
              </w:rPr>
              <w:t xml:space="preserve">Advocacy visit to the Commissioner of </w:t>
            </w:r>
            <w:r>
              <w:rPr>
                <w:color w:val="231F20"/>
                <w:w w:val="95"/>
                <w:sz w:val="14"/>
              </w:rPr>
              <w:t>Education</w:t>
            </w:r>
            <w:r>
              <w:rPr>
                <w:color w:val="231F20"/>
                <w:spacing w:val="-24"/>
                <w:w w:val="95"/>
                <w:sz w:val="14"/>
              </w:rPr>
              <w:t xml:space="preserve"> </w:t>
            </w:r>
            <w:r>
              <w:rPr>
                <w:color w:val="231F20"/>
                <w:w w:val="95"/>
                <w:sz w:val="14"/>
              </w:rPr>
              <w:t>for</w:t>
            </w:r>
            <w:r>
              <w:rPr>
                <w:color w:val="231F20"/>
                <w:spacing w:val="-24"/>
                <w:w w:val="95"/>
                <w:sz w:val="14"/>
              </w:rPr>
              <w:t xml:space="preserve"> </w:t>
            </w:r>
            <w:r>
              <w:rPr>
                <w:color w:val="231F20"/>
                <w:w w:val="95"/>
                <w:sz w:val="14"/>
              </w:rPr>
              <w:t>inclusion</w:t>
            </w:r>
            <w:r>
              <w:rPr>
                <w:color w:val="231F20"/>
                <w:spacing w:val="-23"/>
                <w:w w:val="95"/>
                <w:sz w:val="14"/>
              </w:rPr>
              <w:t xml:space="preserve"> </w:t>
            </w:r>
            <w:r>
              <w:rPr>
                <w:color w:val="231F20"/>
                <w:w w:val="95"/>
                <w:sz w:val="14"/>
              </w:rPr>
              <w:t>of</w:t>
            </w:r>
            <w:r>
              <w:rPr>
                <w:color w:val="231F20"/>
                <w:spacing w:val="-24"/>
                <w:w w:val="95"/>
                <w:sz w:val="14"/>
              </w:rPr>
              <w:t xml:space="preserve"> </w:t>
            </w:r>
            <w:r>
              <w:rPr>
                <w:color w:val="231F20"/>
                <w:w w:val="95"/>
                <w:sz w:val="14"/>
              </w:rPr>
              <w:t>all</w:t>
            </w:r>
            <w:r>
              <w:rPr>
                <w:color w:val="231F20"/>
                <w:spacing w:val="-24"/>
                <w:w w:val="95"/>
                <w:sz w:val="14"/>
              </w:rPr>
              <w:t xml:space="preserve"> </w:t>
            </w:r>
            <w:r>
              <w:rPr>
                <w:color w:val="231F20"/>
                <w:w w:val="95"/>
                <w:sz w:val="14"/>
              </w:rPr>
              <w:t>NTDs</w:t>
            </w:r>
            <w:r>
              <w:rPr>
                <w:color w:val="231F20"/>
                <w:spacing w:val="-23"/>
                <w:w w:val="95"/>
                <w:sz w:val="14"/>
              </w:rPr>
              <w:t xml:space="preserve"> </w:t>
            </w:r>
            <w:r>
              <w:rPr>
                <w:color w:val="231F20"/>
                <w:w w:val="95"/>
                <w:sz w:val="14"/>
              </w:rPr>
              <w:t>control</w:t>
            </w:r>
            <w:r>
              <w:rPr>
                <w:color w:val="231F20"/>
                <w:spacing w:val="-24"/>
                <w:w w:val="95"/>
                <w:sz w:val="14"/>
              </w:rPr>
              <w:t xml:space="preserve"> </w:t>
            </w:r>
            <w:r>
              <w:rPr>
                <w:color w:val="231F20"/>
                <w:spacing w:val="-6"/>
                <w:w w:val="95"/>
                <w:sz w:val="14"/>
              </w:rPr>
              <w:t xml:space="preserve">in </w:t>
            </w:r>
            <w:r>
              <w:rPr>
                <w:color w:val="231F20"/>
                <w:sz w:val="14"/>
              </w:rPr>
              <w:t>curricula</w:t>
            </w:r>
            <w:r>
              <w:rPr>
                <w:color w:val="231F20"/>
                <w:spacing w:val="-26"/>
                <w:sz w:val="14"/>
              </w:rPr>
              <w:t xml:space="preserve"> </w:t>
            </w:r>
            <w:r>
              <w:rPr>
                <w:color w:val="231F20"/>
                <w:sz w:val="14"/>
              </w:rPr>
              <w:t>of</w:t>
            </w:r>
            <w:r>
              <w:rPr>
                <w:color w:val="231F20"/>
                <w:spacing w:val="-26"/>
                <w:sz w:val="14"/>
              </w:rPr>
              <w:t xml:space="preserve"> </w:t>
            </w:r>
            <w:r>
              <w:rPr>
                <w:color w:val="231F20"/>
                <w:sz w:val="14"/>
              </w:rPr>
              <w:t>health</w:t>
            </w:r>
            <w:r>
              <w:rPr>
                <w:color w:val="231F20"/>
                <w:spacing w:val="-25"/>
                <w:sz w:val="14"/>
              </w:rPr>
              <w:t xml:space="preserve"> </w:t>
            </w:r>
            <w:r>
              <w:rPr>
                <w:color w:val="231F20"/>
                <w:sz w:val="14"/>
              </w:rPr>
              <w:t>training</w:t>
            </w:r>
            <w:r>
              <w:rPr>
                <w:color w:val="231F20"/>
                <w:spacing w:val="-26"/>
                <w:sz w:val="14"/>
              </w:rPr>
              <w:t xml:space="preserve"> </w:t>
            </w:r>
            <w:r>
              <w:rPr>
                <w:color w:val="231F20"/>
                <w:sz w:val="14"/>
              </w:rPr>
              <w:t>schools</w:t>
            </w:r>
            <w:r>
              <w:rPr>
                <w:color w:val="231F20"/>
                <w:spacing w:val="-25"/>
                <w:sz w:val="14"/>
              </w:rPr>
              <w:t xml:space="preserve"> </w:t>
            </w:r>
            <w:r>
              <w:rPr>
                <w:color w:val="231F20"/>
                <w:sz w:val="14"/>
              </w:rPr>
              <w:t>done</w:t>
            </w:r>
          </w:p>
          <w:p w14:paraId="43641D9D" w14:textId="77777777" w:rsidR="009948F1" w:rsidRDefault="00BC0563">
            <w:pPr>
              <w:pStyle w:val="TableParagraph"/>
              <w:numPr>
                <w:ilvl w:val="0"/>
                <w:numId w:val="142"/>
              </w:numPr>
              <w:tabs>
                <w:tab w:val="left" w:pos="97"/>
              </w:tabs>
              <w:spacing w:line="268" w:lineRule="auto"/>
              <w:ind w:right="462" w:firstLine="0"/>
              <w:rPr>
                <w:sz w:val="14"/>
              </w:rPr>
            </w:pPr>
            <w:r>
              <w:rPr>
                <w:color w:val="231F20"/>
                <w:w w:val="95"/>
                <w:sz w:val="14"/>
              </w:rPr>
              <w:t>At</w:t>
            </w:r>
            <w:r>
              <w:rPr>
                <w:color w:val="231F20"/>
                <w:spacing w:val="-22"/>
                <w:w w:val="95"/>
                <w:sz w:val="14"/>
              </w:rPr>
              <w:t xml:space="preserve"> </w:t>
            </w:r>
            <w:r>
              <w:rPr>
                <w:color w:val="231F20"/>
                <w:w w:val="95"/>
                <w:sz w:val="14"/>
              </w:rPr>
              <w:t>least</w:t>
            </w:r>
            <w:r>
              <w:rPr>
                <w:color w:val="231F20"/>
                <w:spacing w:val="-21"/>
                <w:w w:val="95"/>
                <w:sz w:val="14"/>
              </w:rPr>
              <w:t xml:space="preserve"> </w:t>
            </w:r>
            <w:r>
              <w:rPr>
                <w:color w:val="231F20"/>
                <w:w w:val="95"/>
                <w:sz w:val="14"/>
              </w:rPr>
              <w:t>850</w:t>
            </w:r>
            <w:r>
              <w:rPr>
                <w:color w:val="231F20"/>
                <w:spacing w:val="-22"/>
                <w:w w:val="95"/>
                <w:sz w:val="14"/>
              </w:rPr>
              <w:t xml:space="preserve"> </w:t>
            </w:r>
            <w:r>
              <w:rPr>
                <w:color w:val="231F20"/>
                <w:w w:val="95"/>
                <w:sz w:val="14"/>
              </w:rPr>
              <w:t>IEC</w:t>
            </w:r>
            <w:r>
              <w:rPr>
                <w:color w:val="231F20"/>
                <w:spacing w:val="-21"/>
                <w:w w:val="95"/>
                <w:sz w:val="14"/>
              </w:rPr>
              <w:t xml:space="preserve"> </w:t>
            </w:r>
            <w:r>
              <w:rPr>
                <w:color w:val="231F20"/>
                <w:w w:val="95"/>
                <w:sz w:val="14"/>
              </w:rPr>
              <w:t>materials</w:t>
            </w:r>
            <w:r>
              <w:rPr>
                <w:color w:val="231F20"/>
                <w:spacing w:val="-21"/>
                <w:w w:val="95"/>
                <w:sz w:val="14"/>
              </w:rPr>
              <w:t xml:space="preserve"> </w:t>
            </w:r>
            <w:r>
              <w:rPr>
                <w:color w:val="231F20"/>
                <w:w w:val="95"/>
                <w:sz w:val="14"/>
              </w:rPr>
              <w:t>and</w:t>
            </w:r>
            <w:r>
              <w:rPr>
                <w:color w:val="231F20"/>
                <w:spacing w:val="-22"/>
                <w:w w:val="95"/>
                <w:sz w:val="14"/>
              </w:rPr>
              <w:t xml:space="preserve"> </w:t>
            </w:r>
            <w:r>
              <w:rPr>
                <w:color w:val="231F20"/>
                <w:spacing w:val="-4"/>
                <w:w w:val="95"/>
                <w:sz w:val="14"/>
              </w:rPr>
              <w:t xml:space="preserve">407 </w:t>
            </w:r>
            <w:r>
              <w:rPr>
                <w:color w:val="231F20"/>
                <w:sz w:val="14"/>
              </w:rPr>
              <w:t>advocacy kits</w:t>
            </w:r>
            <w:r>
              <w:rPr>
                <w:color w:val="231F20"/>
                <w:spacing w:val="-26"/>
                <w:sz w:val="14"/>
              </w:rPr>
              <w:t xml:space="preserve"> </w:t>
            </w:r>
            <w:r>
              <w:rPr>
                <w:color w:val="231F20"/>
                <w:sz w:val="14"/>
              </w:rPr>
              <w:t>distributed</w:t>
            </w:r>
          </w:p>
          <w:p w14:paraId="72D0FACE" w14:textId="77777777" w:rsidR="009948F1" w:rsidRDefault="00BC0563">
            <w:pPr>
              <w:pStyle w:val="TableParagraph"/>
              <w:numPr>
                <w:ilvl w:val="0"/>
                <w:numId w:val="142"/>
              </w:numPr>
              <w:tabs>
                <w:tab w:val="left" w:pos="138"/>
              </w:tabs>
              <w:spacing w:line="161" w:lineRule="exact"/>
              <w:ind w:left="137" w:hanging="79"/>
              <w:rPr>
                <w:sz w:val="14"/>
              </w:rPr>
            </w:pPr>
            <w:r>
              <w:rPr>
                <w:color w:val="231F20"/>
                <w:sz w:val="14"/>
              </w:rPr>
              <w:t>Media</w:t>
            </w:r>
            <w:r>
              <w:rPr>
                <w:color w:val="231F20"/>
                <w:spacing w:val="-24"/>
                <w:sz w:val="14"/>
              </w:rPr>
              <w:t xml:space="preserve"> </w:t>
            </w:r>
            <w:r>
              <w:rPr>
                <w:color w:val="231F20"/>
                <w:sz w:val="14"/>
              </w:rPr>
              <w:t>advocacy</w:t>
            </w:r>
            <w:r>
              <w:rPr>
                <w:color w:val="231F20"/>
                <w:spacing w:val="-23"/>
                <w:sz w:val="14"/>
              </w:rPr>
              <w:t xml:space="preserve"> </w:t>
            </w:r>
            <w:r>
              <w:rPr>
                <w:color w:val="231F20"/>
                <w:sz w:val="14"/>
              </w:rPr>
              <w:t>and</w:t>
            </w:r>
            <w:r>
              <w:rPr>
                <w:color w:val="231F20"/>
                <w:spacing w:val="-23"/>
                <w:sz w:val="14"/>
              </w:rPr>
              <w:t xml:space="preserve"> </w:t>
            </w:r>
            <w:r>
              <w:rPr>
                <w:color w:val="231F20"/>
                <w:sz w:val="14"/>
              </w:rPr>
              <w:t>sensitization</w:t>
            </w:r>
            <w:r>
              <w:rPr>
                <w:color w:val="231F20"/>
                <w:spacing w:val="-23"/>
                <w:sz w:val="14"/>
              </w:rPr>
              <w:t xml:space="preserve"> </w:t>
            </w:r>
            <w:r>
              <w:rPr>
                <w:color w:val="231F20"/>
                <w:sz w:val="14"/>
              </w:rPr>
              <w:t>on</w:t>
            </w:r>
          </w:p>
          <w:p w14:paraId="5632AAD1" w14:textId="77777777" w:rsidR="009948F1" w:rsidRDefault="00BC0563">
            <w:pPr>
              <w:pStyle w:val="TableParagraph"/>
              <w:spacing w:before="18"/>
              <w:ind w:left="25"/>
              <w:rPr>
                <w:sz w:val="14"/>
              </w:rPr>
            </w:pPr>
            <w:r>
              <w:rPr>
                <w:color w:val="231F20"/>
                <w:sz w:val="14"/>
              </w:rPr>
              <w:t>NTDs done</w:t>
            </w:r>
          </w:p>
        </w:tc>
        <w:tc>
          <w:tcPr>
            <w:tcW w:w="1496" w:type="dxa"/>
            <w:tcBorders>
              <w:top w:val="single" w:sz="6" w:space="0" w:color="231F20"/>
              <w:left w:val="single" w:sz="6" w:space="0" w:color="231F20"/>
              <w:bottom w:val="single" w:sz="6" w:space="0" w:color="231F20"/>
            </w:tcBorders>
            <w:shd w:val="clear" w:color="auto" w:fill="CCE7D3"/>
          </w:tcPr>
          <w:p w14:paraId="70D00909"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CCE7D3"/>
          </w:tcPr>
          <w:p w14:paraId="77F79ACC" w14:textId="77777777" w:rsidR="009948F1" w:rsidRDefault="009948F1">
            <w:pPr>
              <w:pStyle w:val="TableParagraph"/>
              <w:rPr>
                <w:rFonts w:ascii="Times New Roman"/>
                <w:sz w:val="12"/>
              </w:rPr>
            </w:pPr>
          </w:p>
        </w:tc>
      </w:tr>
      <w:tr w:rsidR="009948F1" w14:paraId="1FD805B0" w14:textId="77777777">
        <w:trPr>
          <w:trHeight w:val="427"/>
        </w:trPr>
        <w:tc>
          <w:tcPr>
            <w:tcW w:w="480" w:type="dxa"/>
            <w:vMerge w:val="restart"/>
            <w:tcBorders>
              <w:top w:val="single" w:sz="6" w:space="0" w:color="231F20"/>
              <w:bottom w:val="single" w:sz="6" w:space="0" w:color="231F20"/>
              <w:right w:val="single" w:sz="6" w:space="0" w:color="231F20"/>
            </w:tcBorders>
          </w:tcPr>
          <w:p w14:paraId="5511CA0D" w14:textId="77777777" w:rsidR="009948F1" w:rsidRDefault="009948F1">
            <w:pPr>
              <w:pStyle w:val="TableParagraph"/>
              <w:rPr>
                <w:rFonts w:ascii="Times New Roman"/>
                <w:sz w:val="12"/>
              </w:rPr>
            </w:pPr>
          </w:p>
        </w:tc>
        <w:tc>
          <w:tcPr>
            <w:tcW w:w="551" w:type="dxa"/>
            <w:tcBorders>
              <w:top w:val="single" w:sz="6" w:space="0" w:color="231F20"/>
              <w:left w:val="single" w:sz="6" w:space="0" w:color="231F20"/>
              <w:bottom w:val="single" w:sz="6" w:space="0" w:color="231F20"/>
              <w:right w:val="single" w:sz="6" w:space="0" w:color="231F20"/>
            </w:tcBorders>
          </w:tcPr>
          <w:p w14:paraId="268135C2" w14:textId="77777777" w:rsidR="009948F1" w:rsidRDefault="00BC0563">
            <w:pPr>
              <w:pStyle w:val="TableParagraph"/>
              <w:spacing w:before="125"/>
              <w:ind w:left="88"/>
              <w:rPr>
                <w:sz w:val="14"/>
              </w:rPr>
            </w:pPr>
            <w:r>
              <w:rPr>
                <w:color w:val="231F20"/>
                <w:w w:val="95"/>
                <w:sz w:val="14"/>
              </w:rPr>
              <w:t>5.5.1.a</w:t>
            </w:r>
          </w:p>
        </w:tc>
        <w:tc>
          <w:tcPr>
            <w:tcW w:w="5127" w:type="dxa"/>
            <w:gridSpan w:val="2"/>
            <w:tcBorders>
              <w:top w:val="single" w:sz="6" w:space="0" w:color="231F20"/>
              <w:left w:val="single" w:sz="6" w:space="0" w:color="231F20"/>
              <w:bottom w:val="single" w:sz="6" w:space="0" w:color="231F20"/>
              <w:right w:val="single" w:sz="6" w:space="0" w:color="231F20"/>
            </w:tcBorders>
          </w:tcPr>
          <w:p w14:paraId="45F80F92" w14:textId="77777777" w:rsidR="009948F1" w:rsidRDefault="00BC0563">
            <w:pPr>
              <w:pStyle w:val="TableParagraph"/>
              <w:spacing w:before="30" w:line="268" w:lineRule="auto"/>
              <w:ind w:left="25" w:right="284"/>
              <w:rPr>
                <w:sz w:val="14"/>
              </w:rPr>
            </w:pPr>
            <w:r>
              <w:rPr>
                <w:color w:val="231F20"/>
                <w:w w:val="90"/>
                <w:sz w:val="14"/>
              </w:rPr>
              <w:t xml:space="preserve">Conduct advocacy visit to community institutions on Community Mobilization on NTDs </w:t>
            </w:r>
            <w:r>
              <w:rPr>
                <w:color w:val="231F20"/>
                <w:sz w:val="14"/>
              </w:rPr>
              <w:t>recognition, reporting and control in the 23 LGAs</w:t>
            </w:r>
          </w:p>
        </w:tc>
        <w:tc>
          <w:tcPr>
            <w:tcW w:w="1496" w:type="dxa"/>
            <w:tcBorders>
              <w:top w:val="single" w:sz="6" w:space="0" w:color="231F20"/>
              <w:left w:val="single" w:sz="6" w:space="0" w:color="231F20"/>
              <w:bottom w:val="single" w:sz="6" w:space="0" w:color="231F20"/>
              <w:right w:val="single" w:sz="6" w:space="0" w:color="231F20"/>
            </w:tcBorders>
          </w:tcPr>
          <w:p w14:paraId="587A2170" w14:textId="77777777" w:rsidR="009948F1" w:rsidRDefault="00BC0563">
            <w:pPr>
              <w:pStyle w:val="TableParagraph"/>
              <w:spacing w:before="125"/>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6061B7E0" w14:textId="77777777" w:rsidR="009948F1" w:rsidRDefault="00BC0563">
            <w:pPr>
              <w:pStyle w:val="TableParagraph"/>
              <w:spacing w:before="125"/>
              <w:ind w:left="22"/>
              <w:rPr>
                <w:sz w:val="14"/>
              </w:rPr>
            </w:pPr>
            <w:r>
              <w:rPr>
                <w:color w:val="231F20"/>
                <w:sz w:val="14"/>
              </w:rPr>
              <w:t>Conduct advocacy visit</w:t>
            </w:r>
          </w:p>
        </w:tc>
      </w:tr>
      <w:tr w:rsidR="009948F1" w14:paraId="0F93747E" w14:textId="77777777">
        <w:trPr>
          <w:trHeight w:val="409"/>
        </w:trPr>
        <w:tc>
          <w:tcPr>
            <w:tcW w:w="480" w:type="dxa"/>
            <w:vMerge/>
            <w:tcBorders>
              <w:top w:val="nil"/>
              <w:bottom w:val="single" w:sz="6" w:space="0" w:color="231F20"/>
              <w:right w:val="single" w:sz="6" w:space="0" w:color="231F20"/>
            </w:tcBorders>
          </w:tcPr>
          <w:p w14:paraId="3D5EE756"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7CDDA322" w14:textId="77777777" w:rsidR="009948F1" w:rsidRDefault="00BC0563">
            <w:pPr>
              <w:pStyle w:val="TableParagraph"/>
              <w:spacing w:before="116"/>
              <w:ind w:left="88"/>
              <w:rPr>
                <w:sz w:val="14"/>
              </w:rPr>
            </w:pPr>
            <w:r>
              <w:rPr>
                <w:color w:val="231F20"/>
                <w:w w:val="95"/>
                <w:sz w:val="14"/>
              </w:rPr>
              <w:t>5.5.1.b</w:t>
            </w:r>
          </w:p>
        </w:tc>
        <w:tc>
          <w:tcPr>
            <w:tcW w:w="5127" w:type="dxa"/>
            <w:gridSpan w:val="2"/>
            <w:tcBorders>
              <w:top w:val="single" w:sz="6" w:space="0" w:color="231F20"/>
              <w:left w:val="single" w:sz="6" w:space="0" w:color="231F20"/>
              <w:bottom w:val="single" w:sz="6" w:space="0" w:color="231F20"/>
              <w:right w:val="single" w:sz="6" w:space="0" w:color="231F20"/>
            </w:tcBorders>
          </w:tcPr>
          <w:p w14:paraId="5DC847D6" w14:textId="77777777" w:rsidR="009948F1" w:rsidRDefault="00BC0563">
            <w:pPr>
              <w:pStyle w:val="TableParagraph"/>
              <w:spacing w:before="21" w:line="268" w:lineRule="auto"/>
              <w:ind w:left="25" w:right="12"/>
              <w:rPr>
                <w:sz w:val="14"/>
              </w:rPr>
            </w:pPr>
            <w:r>
              <w:rPr>
                <w:color w:val="231F20"/>
                <w:w w:val="95"/>
                <w:sz w:val="14"/>
              </w:rPr>
              <w:t>Conduct</w:t>
            </w:r>
            <w:r>
              <w:rPr>
                <w:color w:val="231F20"/>
                <w:spacing w:val="-26"/>
                <w:w w:val="95"/>
                <w:sz w:val="14"/>
              </w:rPr>
              <w:t xml:space="preserve"> </w:t>
            </w:r>
            <w:r>
              <w:rPr>
                <w:color w:val="231F20"/>
                <w:w w:val="95"/>
                <w:sz w:val="14"/>
              </w:rPr>
              <w:t>advocacy</w:t>
            </w:r>
            <w:r>
              <w:rPr>
                <w:color w:val="231F20"/>
                <w:spacing w:val="-25"/>
                <w:w w:val="95"/>
                <w:sz w:val="14"/>
              </w:rPr>
              <w:t xml:space="preserve"> </w:t>
            </w:r>
            <w:r>
              <w:rPr>
                <w:color w:val="231F20"/>
                <w:w w:val="95"/>
                <w:sz w:val="14"/>
              </w:rPr>
              <w:t>visit</w:t>
            </w:r>
            <w:r>
              <w:rPr>
                <w:color w:val="231F20"/>
                <w:spacing w:val="-26"/>
                <w:w w:val="95"/>
                <w:sz w:val="14"/>
              </w:rPr>
              <w:t xml:space="preserve"> </w:t>
            </w:r>
            <w:r>
              <w:rPr>
                <w:color w:val="231F20"/>
                <w:w w:val="95"/>
                <w:sz w:val="14"/>
              </w:rPr>
              <w:t>to</w:t>
            </w:r>
            <w:r>
              <w:rPr>
                <w:color w:val="231F20"/>
                <w:spacing w:val="-25"/>
                <w:w w:val="95"/>
                <w:sz w:val="14"/>
              </w:rPr>
              <w:t xml:space="preserve"> </w:t>
            </w:r>
            <w:r>
              <w:rPr>
                <w:color w:val="231F20"/>
                <w:w w:val="95"/>
                <w:sz w:val="14"/>
              </w:rPr>
              <w:t>the</w:t>
            </w:r>
            <w:r>
              <w:rPr>
                <w:color w:val="231F20"/>
                <w:spacing w:val="-26"/>
                <w:w w:val="95"/>
                <w:sz w:val="14"/>
              </w:rPr>
              <w:t xml:space="preserve"> </w:t>
            </w:r>
            <w:r>
              <w:rPr>
                <w:color w:val="231F20"/>
                <w:w w:val="95"/>
                <w:sz w:val="14"/>
              </w:rPr>
              <w:t>Commissioner</w:t>
            </w:r>
            <w:r>
              <w:rPr>
                <w:color w:val="231F20"/>
                <w:spacing w:val="-25"/>
                <w:w w:val="95"/>
                <w:sz w:val="14"/>
              </w:rPr>
              <w:t xml:space="preserve"> </w:t>
            </w:r>
            <w:r>
              <w:rPr>
                <w:color w:val="231F20"/>
                <w:w w:val="95"/>
                <w:sz w:val="14"/>
              </w:rPr>
              <w:t>of</w:t>
            </w:r>
            <w:r>
              <w:rPr>
                <w:color w:val="231F20"/>
                <w:spacing w:val="-26"/>
                <w:w w:val="95"/>
                <w:sz w:val="14"/>
              </w:rPr>
              <w:t xml:space="preserve"> </w:t>
            </w:r>
            <w:r>
              <w:rPr>
                <w:color w:val="231F20"/>
                <w:w w:val="95"/>
                <w:sz w:val="14"/>
              </w:rPr>
              <w:t>Education</w:t>
            </w:r>
            <w:r>
              <w:rPr>
                <w:color w:val="231F20"/>
                <w:spacing w:val="-25"/>
                <w:w w:val="95"/>
                <w:sz w:val="14"/>
              </w:rPr>
              <w:t xml:space="preserve"> </w:t>
            </w:r>
            <w:r>
              <w:rPr>
                <w:color w:val="231F20"/>
                <w:w w:val="95"/>
                <w:sz w:val="14"/>
              </w:rPr>
              <w:t>for</w:t>
            </w:r>
            <w:r>
              <w:rPr>
                <w:color w:val="231F20"/>
                <w:spacing w:val="-26"/>
                <w:w w:val="95"/>
                <w:sz w:val="14"/>
              </w:rPr>
              <w:t xml:space="preserve"> </w:t>
            </w:r>
            <w:r>
              <w:rPr>
                <w:color w:val="231F20"/>
                <w:w w:val="95"/>
                <w:sz w:val="14"/>
              </w:rPr>
              <w:t>inclusion</w:t>
            </w:r>
            <w:r>
              <w:rPr>
                <w:color w:val="231F20"/>
                <w:spacing w:val="-25"/>
                <w:w w:val="95"/>
                <w:sz w:val="14"/>
              </w:rPr>
              <w:t xml:space="preserve"> </w:t>
            </w:r>
            <w:r>
              <w:rPr>
                <w:color w:val="231F20"/>
                <w:w w:val="95"/>
                <w:sz w:val="14"/>
              </w:rPr>
              <w:t>of</w:t>
            </w:r>
            <w:r>
              <w:rPr>
                <w:color w:val="231F20"/>
                <w:spacing w:val="-26"/>
                <w:w w:val="95"/>
                <w:sz w:val="14"/>
              </w:rPr>
              <w:t xml:space="preserve"> </w:t>
            </w:r>
            <w:r>
              <w:rPr>
                <w:color w:val="231F20"/>
                <w:w w:val="95"/>
                <w:sz w:val="14"/>
              </w:rPr>
              <w:t>all</w:t>
            </w:r>
            <w:r>
              <w:rPr>
                <w:color w:val="231F20"/>
                <w:spacing w:val="-25"/>
                <w:w w:val="95"/>
                <w:sz w:val="14"/>
              </w:rPr>
              <w:t xml:space="preserve"> </w:t>
            </w:r>
            <w:r>
              <w:rPr>
                <w:color w:val="231F20"/>
                <w:w w:val="95"/>
                <w:sz w:val="14"/>
              </w:rPr>
              <w:t>NTDs</w:t>
            </w:r>
            <w:r>
              <w:rPr>
                <w:color w:val="231F20"/>
                <w:spacing w:val="-26"/>
                <w:w w:val="95"/>
                <w:sz w:val="14"/>
              </w:rPr>
              <w:t xml:space="preserve"> </w:t>
            </w:r>
            <w:r>
              <w:rPr>
                <w:color w:val="231F20"/>
                <w:w w:val="95"/>
                <w:sz w:val="14"/>
              </w:rPr>
              <w:t>control</w:t>
            </w:r>
            <w:r>
              <w:rPr>
                <w:color w:val="231F20"/>
                <w:spacing w:val="-25"/>
                <w:w w:val="95"/>
                <w:sz w:val="14"/>
              </w:rPr>
              <w:t xml:space="preserve"> </w:t>
            </w:r>
            <w:r>
              <w:rPr>
                <w:color w:val="231F20"/>
                <w:w w:val="95"/>
                <w:sz w:val="14"/>
              </w:rPr>
              <w:t xml:space="preserve">in </w:t>
            </w:r>
            <w:r>
              <w:rPr>
                <w:color w:val="231F20"/>
                <w:sz w:val="14"/>
              </w:rPr>
              <w:t>curricula of health training</w:t>
            </w:r>
            <w:r>
              <w:rPr>
                <w:color w:val="231F20"/>
                <w:spacing w:val="-30"/>
                <w:sz w:val="14"/>
              </w:rPr>
              <w:t xml:space="preserve"> </w:t>
            </w:r>
            <w:r>
              <w:rPr>
                <w:color w:val="231F20"/>
                <w:sz w:val="14"/>
              </w:rPr>
              <w:t>schools</w:t>
            </w:r>
          </w:p>
        </w:tc>
        <w:tc>
          <w:tcPr>
            <w:tcW w:w="1496" w:type="dxa"/>
            <w:tcBorders>
              <w:top w:val="single" w:sz="6" w:space="0" w:color="231F20"/>
              <w:left w:val="single" w:sz="6" w:space="0" w:color="231F20"/>
              <w:bottom w:val="single" w:sz="6" w:space="0" w:color="231F20"/>
              <w:right w:val="single" w:sz="6" w:space="0" w:color="231F20"/>
            </w:tcBorders>
          </w:tcPr>
          <w:p w14:paraId="6778B994" w14:textId="77777777" w:rsidR="009948F1" w:rsidRDefault="00BC0563">
            <w:pPr>
              <w:pStyle w:val="TableParagraph"/>
              <w:spacing w:before="116"/>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1D743EA1" w14:textId="77777777" w:rsidR="009948F1" w:rsidRDefault="00BC0563">
            <w:pPr>
              <w:pStyle w:val="TableParagraph"/>
              <w:spacing w:before="116"/>
              <w:ind w:left="22"/>
              <w:rPr>
                <w:sz w:val="14"/>
              </w:rPr>
            </w:pPr>
            <w:r>
              <w:rPr>
                <w:color w:val="231F20"/>
                <w:sz w:val="14"/>
              </w:rPr>
              <w:t>Conduct advocacy visit</w:t>
            </w:r>
          </w:p>
        </w:tc>
      </w:tr>
      <w:tr w:rsidR="009948F1" w14:paraId="2E54380C" w14:textId="77777777">
        <w:trPr>
          <w:trHeight w:val="383"/>
        </w:trPr>
        <w:tc>
          <w:tcPr>
            <w:tcW w:w="480" w:type="dxa"/>
            <w:vMerge/>
            <w:tcBorders>
              <w:top w:val="nil"/>
              <w:bottom w:val="single" w:sz="6" w:space="0" w:color="231F20"/>
              <w:right w:val="single" w:sz="6" w:space="0" w:color="231F20"/>
            </w:tcBorders>
          </w:tcPr>
          <w:p w14:paraId="26E8BC9F"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4998F81A" w14:textId="77777777" w:rsidR="009948F1" w:rsidRDefault="00BC0563">
            <w:pPr>
              <w:pStyle w:val="TableParagraph"/>
              <w:spacing w:before="103"/>
              <w:ind w:left="91"/>
              <w:rPr>
                <w:sz w:val="14"/>
              </w:rPr>
            </w:pPr>
            <w:r>
              <w:rPr>
                <w:color w:val="231F20"/>
                <w:w w:val="95"/>
                <w:sz w:val="14"/>
              </w:rPr>
              <w:t>5.5.1.c</w:t>
            </w:r>
          </w:p>
        </w:tc>
        <w:tc>
          <w:tcPr>
            <w:tcW w:w="5127" w:type="dxa"/>
            <w:gridSpan w:val="2"/>
            <w:tcBorders>
              <w:top w:val="single" w:sz="6" w:space="0" w:color="231F20"/>
              <w:left w:val="single" w:sz="6" w:space="0" w:color="231F20"/>
              <w:bottom w:val="single" w:sz="6" w:space="0" w:color="231F20"/>
              <w:right w:val="single" w:sz="6" w:space="0" w:color="231F20"/>
            </w:tcBorders>
          </w:tcPr>
          <w:p w14:paraId="0C72DD35" w14:textId="77777777" w:rsidR="009948F1" w:rsidRDefault="00BC0563">
            <w:pPr>
              <w:pStyle w:val="TableParagraph"/>
              <w:spacing w:before="97"/>
              <w:ind w:left="25"/>
              <w:rPr>
                <w:sz w:val="14"/>
              </w:rPr>
            </w:pPr>
            <w:r>
              <w:rPr>
                <w:color w:val="231F20"/>
                <w:sz w:val="14"/>
              </w:rPr>
              <w:t>Design, print and distribute IEC materials and advocacy kits</w:t>
            </w:r>
          </w:p>
        </w:tc>
        <w:tc>
          <w:tcPr>
            <w:tcW w:w="1496" w:type="dxa"/>
            <w:tcBorders>
              <w:top w:val="single" w:sz="6" w:space="0" w:color="231F20"/>
              <w:left w:val="single" w:sz="6" w:space="0" w:color="231F20"/>
              <w:bottom w:val="single" w:sz="6" w:space="0" w:color="231F20"/>
              <w:right w:val="single" w:sz="6" w:space="0" w:color="231F20"/>
            </w:tcBorders>
          </w:tcPr>
          <w:p w14:paraId="2D9CF2FA" w14:textId="77777777" w:rsidR="009948F1" w:rsidRDefault="00BC0563">
            <w:pPr>
              <w:pStyle w:val="TableParagraph"/>
              <w:spacing w:before="103"/>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7922278D" w14:textId="77777777" w:rsidR="009948F1" w:rsidRDefault="00BC0563">
            <w:pPr>
              <w:pStyle w:val="TableParagraph"/>
              <w:spacing w:before="1" w:line="180" w:lineRule="exact"/>
              <w:ind w:left="22" w:right="100"/>
              <w:rPr>
                <w:sz w:val="14"/>
              </w:rPr>
            </w:pPr>
            <w:r>
              <w:rPr>
                <w:color w:val="231F20"/>
                <w:w w:val="95"/>
                <w:sz w:val="14"/>
              </w:rPr>
              <w:t xml:space="preserve">Design, print &amp; </w:t>
            </w:r>
            <w:r>
              <w:rPr>
                <w:color w:val="231F20"/>
                <w:spacing w:val="-3"/>
                <w:w w:val="95"/>
                <w:sz w:val="14"/>
              </w:rPr>
              <w:t xml:space="preserve">distribute </w:t>
            </w:r>
            <w:r>
              <w:rPr>
                <w:color w:val="231F20"/>
                <w:sz w:val="14"/>
              </w:rPr>
              <w:t>IEC materials</w:t>
            </w:r>
          </w:p>
        </w:tc>
      </w:tr>
      <w:tr w:rsidR="009948F1" w14:paraId="777AC599" w14:textId="77777777">
        <w:trPr>
          <w:trHeight w:val="507"/>
        </w:trPr>
        <w:tc>
          <w:tcPr>
            <w:tcW w:w="480" w:type="dxa"/>
            <w:vMerge/>
            <w:tcBorders>
              <w:top w:val="nil"/>
              <w:bottom w:val="single" w:sz="6" w:space="0" w:color="231F20"/>
              <w:right w:val="single" w:sz="6" w:space="0" w:color="231F20"/>
            </w:tcBorders>
          </w:tcPr>
          <w:p w14:paraId="6FF6E685"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6DF66510" w14:textId="77777777" w:rsidR="009948F1" w:rsidRDefault="009948F1">
            <w:pPr>
              <w:pStyle w:val="TableParagraph"/>
              <w:spacing w:before="5"/>
              <w:rPr>
                <w:sz w:val="14"/>
              </w:rPr>
            </w:pPr>
          </w:p>
          <w:p w14:paraId="2090149F" w14:textId="77777777" w:rsidR="009948F1" w:rsidRDefault="00BC0563">
            <w:pPr>
              <w:pStyle w:val="TableParagraph"/>
              <w:ind w:left="88"/>
              <w:rPr>
                <w:sz w:val="14"/>
              </w:rPr>
            </w:pPr>
            <w:r>
              <w:rPr>
                <w:color w:val="231F20"/>
                <w:w w:val="95"/>
                <w:sz w:val="14"/>
              </w:rPr>
              <w:t>5.5.1.d</w:t>
            </w:r>
          </w:p>
        </w:tc>
        <w:tc>
          <w:tcPr>
            <w:tcW w:w="5127" w:type="dxa"/>
            <w:gridSpan w:val="2"/>
            <w:tcBorders>
              <w:top w:val="single" w:sz="6" w:space="0" w:color="231F20"/>
              <w:left w:val="single" w:sz="6" w:space="0" w:color="231F20"/>
              <w:bottom w:val="single" w:sz="6" w:space="0" w:color="231F20"/>
              <w:right w:val="single" w:sz="6" w:space="0" w:color="231F20"/>
            </w:tcBorders>
          </w:tcPr>
          <w:p w14:paraId="5273CA56" w14:textId="77777777" w:rsidR="009948F1" w:rsidRDefault="00BC0563">
            <w:pPr>
              <w:pStyle w:val="TableParagraph"/>
              <w:spacing w:before="69" w:line="268" w:lineRule="auto"/>
              <w:ind w:left="25" w:right="358"/>
              <w:rPr>
                <w:sz w:val="14"/>
              </w:rPr>
            </w:pPr>
            <w:r>
              <w:rPr>
                <w:color w:val="231F20"/>
                <w:w w:val="95"/>
                <w:sz w:val="14"/>
              </w:rPr>
              <w:t>Engage</w:t>
            </w:r>
            <w:r>
              <w:rPr>
                <w:color w:val="231F20"/>
                <w:spacing w:val="-26"/>
                <w:w w:val="95"/>
                <w:sz w:val="14"/>
              </w:rPr>
              <w:t xml:space="preserve"> </w:t>
            </w:r>
            <w:r>
              <w:rPr>
                <w:color w:val="231F20"/>
                <w:w w:val="95"/>
                <w:sz w:val="14"/>
              </w:rPr>
              <w:t>media</w:t>
            </w:r>
            <w:r>
              <w:rPr>
                <w:color w:val="231F20"/>
                <w:spacing w:val="-26"/>
                <w:w w:val="95"/>
                <w:sz w:val="14"/>
              </w:rPr>
              <w:t xml:space="preserve"> </w:t>
            </w:r>
            <w:r>
              <w:rPr>
                <w:color w:val="231F20"/>
                <w:w w:val="95"/>
                <w:sz w:val="14"/>
              </w:rPr>
              <w:t>advocacy</w:t>
            </w:r>
            <w:r>
              <w:rPr>
                <w:color w:val="231F20"/>
                <w:spacing w:val="-25"/>
                <w:w w:val="95"/>
                <w:sz w:val="14"/>
              </w:rPr>
              <w:t xml:space="preserve"> </w:t>
            </w:r>
            <w:r>
              <w:rPr>
                <w:color w:val="231F20"/>
                <w:w w:val="95"/>
                <w:sz w:val="14"/>
              </w:rPr>
              <w:t>and</w:t>
            </w:r>
            <w:r>
              <w:rPr>
                <w:color w:val="231F20"/>
                <w:spacing w:val="-26"/>
                <w:w w:val="95"/>
                <w:sz w:val="14"/>
              </w:rPr>
              <w:t xml:space="preserve"> </w:t>
            </w:r>
            <w:r>
              <w:rPr>
                <w:color w:val="231F20"/>
                <w:w w:val="95"/>
                <w:sz w:val="14"/>
              </w:rPr>
              <w:t>sensitization</w:t>
            </w:r>
            <w:r>
              <w:rPr>
                <w:color w:val="231F20"/>
                <w:spacing w:val="-25"/>
                <w:w w:val="95"/>
                <w:sz w:val="14"/>
              </w:rPr>
              <w:t xml:space="preserve"> </w:t>
            </w:r>
            <w:r>
              <w:rPr>
                <w:color w:val="231F20"/>
                <w:w w:val="95"/>
                <w:sz w:val="14"/>
              </w:rPr>
              <w:t>:</w:t>
            </w:r>
            <w:r>
              <w:rPr>
                <w:color w:val="231F20"/>
                <w:spacing w:val="-26"/>
                <w:w w:val="95"/>
                <w:sz w:val="14"/>
              </w:rPr>
              <w:t xml:space="preserve"> </w:t>
            </w:r>
            <w:r>
              <w:rPr>
                <w:color w:val="231F20"/>
                <w:w w:val="95"/>
                <w:sz w:val="14"/>
              </w:rPr>
              <w:t>Press</w:t>
            </w:r>
            <w:r>
              <w:rPr>
                <w:color w:val="231F20"/>
                <w:spacing w:val="-26"/>
                <w:w w:val="95"/>
                <w:sz w:val="14"/>
              </w:rPr>
              <w:t xml:space="preserve"> </w:t>
            </w:r>
            <w:r>
              <w:rPr>
                <w:color w:val="231F20"/>
                <w:w w:val="95"/>
                <w:sz w:val="14"/>
              </w:rPr>
              <w:t>briefing,</w:t>
            </w:r>
            <w:r>
              <w:rPr>
                <w:color w:val="231F20"/>
                <w:spacing w:val="-25"/>
                <w:w w:val="95"/>
                <w:sz w:val="14"/>
              </w:rPr>
              <w:t xml:space="preserve"> </w:t>
            </w:r>
            <w:r>
              <w:rPr>
                <w:color w:val="231F20"/>
                <w:w w:val="95"/>
                <w:sz w:val="14"/>
              </w:rPr>
              <w:t>talk</w:t>
            </w:r>
            <w:r>
              <w:rPr>
                <w:color w:val="231F20"/>
                <w:spacing w:val="-26"/>
                <w:w w:val="95"/>
                <w:sz w:val="14"/>
              </w:rPr>
              <w:t xml:space="preserve"> </w:t>
            </w:r>
            <w:r>
              <w:rPr>
                <w:color w:val="231F20"/>
                <w:w w:val="95"/>
                <w:sz w:val="14"/>
              </w:rPr>
              <w:t>shows</w:t>
            </w:r>
            <w:r>
              <w:rPr>
                <w:color w:val="231F20"/>
                <w:spacing w:val="-25"/>
                <w:w w:val="95"/>
                <w:sz w:val="14"/>
              </w:rPr>
              <w:t xml:space="preserve"> </w:t>
            </w:r>
            <w:r>
              <w:rPr>
                <w:color w:val="231F20"/>
                <w:w w:val="95"/>
                <w:sz w:val="14"/>
              </w:rPr>
              <w:t>on</w:t>
            </w:r>
            <w:r>
              <w:rPr>
                <w:color w:val="231F20"/>
                <w:spacing w:val="-26"/>
                <w:w w:val="95"/>
                <w:sz w:val="14"/>
              </w:rPr>
              <w:t xml:space="preserve"> </w:t>
            </w:r>
            <w:r>
              <w:rPr>
                <w:color w:val="231F20"/>
                <w:w w:val="95"/>
                <w:sz w:val="14"/>
              </w:rPr>
              <w:t>NTDs</w:t>
            </w:r>
            <w:r>
              <w:rPr>
                <w:color w:val="231F20"/>
                <w:spacing w:val="-25"/>
                <w:w w:val="95"/>
                <w:sz w:val="14"/>
              </w:rPr>
              <w:t xml:space="preserve"> </w:t>
            </w:r>
            <w:r>
              <w:rPr>
                <w:color w:val="231F20"/>
                <w:w w:val="95"/>
                <w:sz w:val="14"/>
              </w:rPr>
              <w:t>(TV</w:t>
            </w:r>
            <w:r>
              <w:rPr>
                <w:color w:val="231F20"/>
                <w:spacing w:val="-26"/>
                <w:w w:val="95"/>
                <w:sz w:val="14"/>
              </w:rPr>
              <w:t xml:space="preserve"> </w:t>
            </w:r>
            <w:r>
              <w:rPr>
                <w:color w:val="231F20"/>
                <w:w w:val="95"/>
                <w:sz w:val="14"/>
              </w:rPr>
              <w:t xml:space="preserve">&amp; </w:t>
            </w:r>
            <w:r>
              <w:rPr>
                <w:color w:val="231F20"/>
                <w:sz w:val="14"/>
              </w:rPr>
              <w:t>Radio)</w:t>
            </w:r>
          </w:p>
        </w:tc>
        <w:tc>
          <w:tcPr>
            <w:tcW w:w="1496" w:type="dxa"/>
            <w:tcBorders>
              <w:top w:val="single" w:sz="6" w:space="0" w:color="231F20"/>
              <w:left w:val="single" w:sz="6" w:space="0" w:color="231F20"/>
              <w:bottom w:val="single" w:sz="6" w:space="0" w:color="231F20"/>
              <w:right w:val="single" w:sz="6" w:space="0" w:color="231F20"/>
            </w:tcBorders>
          </w:tcPr>
          <w:p w14:paraId="3F263662" w14:textId="77777777" w:rsidR="009948F1" w:rsidRDefault="009948F1">
            <w:pPr>
              <w:pStyle w:val="TableParagraph"/>
              <w:spacing w:before="5"/>
              <w:rPr>
                <w:sz w:val="14"/>
              </w:rPr>
            </w:pPr>
          </w:p>
          <w:p w14:paraId="38013215" w14:textId="77777777" w:rsidR="009948F1" w:rsidRDefault="00BC0563">
            <w:pPr>
              <w:pStyle w:val="TableParagraph"/>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20EB195C" w14:textId="77777777" w:rsidR="009948F1" w:rsidRDefault="009948F1">
            <w:pPr>
              <w:pStyle w:val="TableParagraph"/>
              <w:spacing w:before="5"/>
              <w:rPr>
                <w:sz w:val="14"/>
              </w:rPr>
            </w:pPr>
          </w:p>
          <w:p w14:paraId="7638AE11" w14:textId="77777777" w:rsidR="009948F1" w:rsidRDefault="00BC0563">
            <w:pPr>
              <w:pStyle w:val="TableParagraph"/>
              <w:ind w:left="22"/>
              <w:rPr>
                <w:sz w:val="14"/>
              </w:rPr>
            </w:pPr>
            <w:r>
              <w:rPr>
                <w:color w:val="231F20"/>
                <w:sz w:val="14"/>
              </w:rPr>
              <w:t>Engage media advocacy</w:t>
            </w:r>
          </w:p>
        </w:tc>
      </w:tr>
      <w:tr w:rsidR="009948F1" w14:paraId="210D778B" w14:textId="77777777">
        <w:trPr>
          <w:trHeight w:val="348"/>
        </w:trPr>
        <w:tc>
          <w:tcPr>
            <w:tcW w:w="480" w:type="dxa"/>
            <w:vMerge/>
            <w:tcBorders>
              <w:top w:val="nil"/>
              <w:bottom w:val="single" w:sz="6" w:space="0" w:color="231F20"/>
              <w:right w:val="single" w:sz="6" w:space="0" w:color="231F20"/>
            </w:tcBorders>
          </w:tcPr>
          <w:p w14:paraId="3BFB6F80"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37F15126" w14:textId="77777777" w:rsidR="009948F1" w:rsidRDefault="00BC0563">
            <w:pPr>
              <w:pStyle w:val="TableParagraph"/>
              <w:spacing w:before="85"/>
              <w:ind w:left="88"/>
              <w:rPr>
                <w:sz w:val="14"/>
              </w:rPr>
            </w:pPr>
            <w:r>
              <w:rPr>
                <w:color w:val="231F20"/>
                <w:w w:val="95"/>
                <w:sz w:val="14"/>
              </w:rPr>
              <w:t>5.5.1.e</w:t>
            </w:r>
          </w:p>
        </w:tc>
        <w:tc>
          <w:tcPr>
            <w:tcW w:w="5127" w:type="dxa"/>
            <w:gridSpan w:val="2"/>
            <w:tcBorders>
              <w:top w:val="single" w:sz="6" w:space="0" w:color="231F20"/>
              <w:left w:val="single" w:sz="6" w:space="0" w:color="231F20"/>
              <w:bottom w:val="single" w:sz="6" w:space="0" w:color="231F20"/>
              <w:right w:val="single" w:sz="6" w:space="0" w:color="231F20"/>
            </w:tcBorders>
          </w:tcPr>
          <w:p w14:paraId="3FC2FBDE" w14:textId="77777777" w:rsidR="009948F1" w:rsidRDefault="00BC0563">
            <w:pPr>
              <w:pStyle w:val="TableParagraph"/>
              <w:spacing w:before="79"/>
              <w:ind w:left="25"/>
              <w:rPr>
                <w:sz w:val="14"/>
              </w:rPr>
            </w:pPr>
            <w:r>
              <w:rPr>
                <w:color w:val="231F20"/>
                <w:sz w:val="14"/>
              </w:rPr>
              <w:t>Production of newsletter on NTDs</w:t>
            </w:r>
          </w:p>
        </w:tc>
        <w:tc>
          <w:tcPr>
            <w:tcW w:w="1496" w:type="dxa"/>
            <w:tcBorders>
              <w:top w:val="single" w:sz="6" w:space="0" w:color="231F20"/>
              <w:left w:val="single" w:sz="6" w:space="0" w:color="231F20"/>
              <w:bottom w:val="single" w:sz="6" w:space="0" w:color="231F20"/>
              <w:right w:val="single" w:sz="6" w:space="0" w:color="231F20"/>
            </w:tcBorders>
          </w:tcPr>
          <w:p w14:paraId="36453E0E" w14:textId="77777777" w:rsidR="009948F1" w:rsidRDefault="00BC0563">
            <w:pPr>
              <w:pStyle w:val="TableParagraph"/>
              <w:spacing w:before="85"/>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196A60BA" w14:textId="77777777" w:rsidR="009948F1" w:rsidRDefault="00BC0563">
            <w:pPr>
              <w:pStyle w:val="TableParagraph"/>
              <w:spacing w:before="85"/>
              <w:ind w:left="22"/>
              <w:rPr>
                <w:sz w:val="14"/>
              </w:rPr>
            </w:pPr>
            <w:r>
              <w:rPr>
                <w:color w:val="231F20"/>
                <w:sz w:val="14"/>
              </w:rPr>
              <w:t>Produce newsletter</w:t>
            </w:r>
          </w:p>
        </w:tc>
      </w:tr>
      <w:tr w:rsidR="009948F1" w14:paraId="39B03E5D" w14:textId="77777777">
        <w:trPr>
          <w:trHeight w:val="1091"/>
        </w:trPr>
        <w:tc>
          <w:tcPr>
            <w:tcW w:w="480" w:type="dxa"/>
            <w:tcBorders>
              <w:top w:val="single" w:sz="6" w:space="0" w:color="231F20"/>
              <w:bottom w:val="single" w:sz="6" w:space="0" w:color="231F20"/>
              <w:right w:val="single" w:sz="6" w:space="0" w:color="231F20"/>
            </w:tcBorders>
            <w:shd w:val="clear" w:color="auto" w:fill="CCE7D3"/>
          </w:tcPr>
          <w:p w14:paraId="1CAFDD46" w14:textId="77777777" w:rsidR="009948F1" w:rsidRDefault="009948F1">
            <w:pPr>
              <w:pStyle w:val="TableParagraph"/>
              <w:rPr>
                <w:sz w:val="14"/>
              </w:rPr>
            </w:pPr>
          </w:p>
          <w:p w14:paraId="21C88EBD" w14:textId="77777777" w:rsidR="009948F1" w:rsidRDefault="009948F1">
            <w:pPr>
              <w:pStyle w:val="TableParagraph"/>
              <w:rPr>
                <w:sz w:val="14"/>
              </w:rPr>
            </w:pPr>
          </w:p>
          <w:p w14:paraId="2618A701" w14:textId="77777777" w:rsidR="009948F1" w:rsidRDefault="009948F1">
            <w:pPr>
              <w:pStyle w:val="TableParagraph"/>
              <w:spacing w:before="8"/>
              <w:rPr>
                <w:sz w:val="11"/>
              </w:rPr>
            </w:pPr>
          </w:p>
          <w:p w14:paraId="1ACB89A3" w14:textId="77777777" w:rsidR="009948F1" w:rsidRDefault="00BC0563">
            <w:pPr>
              <w:pStyle w:val="TableParagraph"/>
              <w:spacing w:before="1"/>
              <w:ind w:left="61"/>
              <w:rPr>
                <w:sz w:val="14"/>
              </w:rPr>
            </w:pPr>
            <w:r>
              <w:rPr>
                <w:color w:val="231F20"/>
                <w:sz w:val="14"/>
              </w:rPr>
              <w:t>5.5.2</w:t>
            </w:r>
          </w:p>
        </w:tc>
        <w:tc>
          <w:tcPr>
            <w:tcW w:w="3181" w:type="dxa"/>
            <w:gridSpan w:val="2"/>
            <w:tcBorders>
              <w:top w:val="single" w:sz="6" w:space="0" w:color="231F20"/>
              <w:left w:val="single" w:sz="6" w:space="0" w:color="231F20"/>
              <w:bottom w:val="single" w:sz="6" w:space="0" w:color="231F20"/>
              <w:right w:val="single" w:sz="6" w:space="0" w:color="231F20"/>
            </w:tcBorders>
            <w:shd w:val="clear" w:color="auto" w:fill="CCE7D3"/>
          </w:tcPr>
          <w:p w14:paraId="0D6BF581" w14:textId="77777777" w:rsidR="009948F1" w:rsidRDefault="009948F1">
            <w:pPr>
              <w:pStyle w:val="TableParagraph"/>
              <w:rPr>
                <w:sz w:val="14"/>
              </w:rPr>
            </w:pPr>
          </w:p>
          <w:p w14:paraId="01B60DB0" w14:textId="77777777" w:rsidR="009948F1" w:rsidRDefault="009948F1">
            <w:pPr>
              <w:pStyle w:val="TableParagraph"/>
              <w:spacing w:before="5"/>
              <w:rPr>
                <w:sz w:val="17"/>
              </w:rPr>
            </w:pPr>
          </w:p>
          <w:p w14:paraId="4037D8C7" w14:textId="77777777" w:rsidR="009948F1" w:rsidRDefault="00BC0563">
            <w:pPr>
              <w:pStyle w:val="TableParagraph"/>
              <w:spacing w:line="268" w:lineRule="auto"/>
              <w:ind w:left="25" w:right="5" w:firstLine="34"/>
              <w:rPr>
                <w:sz w:val="14"/>
              </w:rPr>
            </w:pPr>
            <w:r>
              <w:rPr>
                <w:color w:val="231F20"/>
                <w:w w:val="95"/>
                <w:sz w:val="14"/>
              </w:rPr>
              <w:t xml:space="preserve">Scale up delivery of integrated preventive </w:t>
            </w:r>
            <w:r>
              <w:rPr>
                <w:color w:val="231F20"/>
                <w:w w:val="90"/>
                <w:sz w:val="14"/>
              </w:rPr>
              <w:t>chemotherapy packages and other packages.</w:t>
            </w:r>
          </w:p>
        </w:tc>
        <w:tc>
          <w:tcPr>
            <w:tcW w:w="2497" w:type="dxa"/>
            <w:tcBorders>
              <w:top w:val="single" w:sz="6" w:space="0" w:color="231F20"/>
              <w:left w:val="single" w:sz="6" w:space="0" w:color="231F20"/>
              <w:bottom w:val="single" w:sz="6" w:space="0" w:color="231F20"/>
              <w:right w:val="single" w:sz="6" w:space="0" w:color="231F20"/>
            </w:tcBorders>
            <w:shd w:val="clear" w:color="auto" w:fill="CCE7D3"/>
          </w:tcPr>
          <w:p w14:paraId="39841AD8" w14:textId="77777777" w:rsidR="009948F1" w:rsidRDefault="00BC0563">
            <w:pPr>
              <w:pStyle w:val="TableParagraph"/>
              <w:numPr>
                <w:ilvl w:val="0"/>
                <w:numId w:val="141"/>
              </w:numPr>
              <w:tabs>
                <w:tab w:val="left" w:pos="138"/>
              </w:tabs>
              <w:spacing w:before="8" w:line="268" w:lineRule="auto"/>
              <w:ind w:right="103" w:firstLine="0"/>
              <w:rPr>
                <w:sz w:val="14"/>
              </w:rPr>
            </w:pPr>
            <w:r>
              <w:rPr>
                <w:color w:val="231F20"/>
                <w:w w:val="90"/>
                <w:sz w:val="14"/>
              </w:rPr>
              <w:t>FMOH</w:t>
            </w:r>
            <w:r>
              <w:rPr>
                <w:color w:val="231F20"/>
                <w:spacing w:val="-8"/>
                <w:w w:val="90"/>
                <w:sz w:val="14"/>
              </w:rPr>
              <w:t xml:space="preserve"> </w:t>
            </w:r>
            <w:r>
              <w:rPr>
                <w:color w:val="231F20"/>
                <w:w w:val="90"/>
                <w:sz w:val="14"/>
              </w:rPr>
              <w:t>allocation</w:t>
            </w:r>
            <w:r>
              <w:rPr>
                <w:color w:val="231F20"/>
                <w:spacing w:val="-7"/>
                <w:w w:val="90"/>
                <w:sz w:val="14"/>
              </w:rPr>
              <w:t xml:space="preserve"> </w:t>
            </w:r>
            <w:r>
              <w:rPr>
                <w:color w:val="231F20"/>
                <w:w w:val="90"/>
                <w:sz w:val="14"/>
              </w:rPr>
              <w:t>of</w:t>
            </w:r>
            <w:r>
              <w:rPr>
                <w:color w:val="231F20"/>
                <w:spacing w:val="-7"/>
                <w:w w:val="90"/>
                <w:sz w:val="14"/>
              </w:rPr>
              <w:t xml:space="preserve"> </w:t>
            </w:r>
            <w:r>
              <w:rPr>
                <w:color w:val="231F20"/>
                <w:w w:val="90"/>
                <w:sz w:val="14"/>
              </w:rPr>
              <w:t>medicine</w:t>
            </w:r>
            <w:r>
              <w:rPr>
                <w:color w:val="231F20"/>
                <w:spacing w:val="-7"/>
                <w:w w:val="90"/>
                <w:sz w:val="14"/>
              </w:rPr>
              <w:t xml:space="preserve"> </w:t>
            </w:r>
            <w:r>
              <w:rPr>
                <w:color w:val="231F20"/>
                <w:w w:val="90"/>
                <w:sz w:val="14"/>
              </w:rPr>
              <w:t>collected</w:t>
            </w:r>
            <w:r>
              <w:rPr>
                <w:color w:val="231F20"/>
                <w:spacing w:val="-8"/>
                <w:w w:val="90"/>
                <w:sz w:val="14"/>
              </w:rPr>
              <w:t xml:space="preserve"> </w:t>
            </w:r>
            <w:r>
              <w:rPr>
                <w:color w:val="231F20"/>
                <w:w w:val="90"/>
                <w:sz w:val="14"/>
              </w:rPr>
              <w:t xml:space="preserve">&amp; </w:t>
            </w:r>
            <w:r>
              <w:rPr>
                <w:color w:val="231F20"/>
                <w:w w:val="95"/>
                <w:sz w:val="14"/>
              </w:rPr>
              <w:t xml:space="preserve">delivery of chemotherapy packages and </w:t>
            </w:r>
            <w:r>
              <w:rPr>
                <w:color w:val="231F20"/>
                <w:sz w:val="14"/>
              </w:rPr>
              <w:t>others done</w:t>
            </w:r>
            <w:r>
              <w:rPr>
                <w:color w:val="231F20"/>
                <w:spacing w:val="-20"/>
                <w:sz w:val="14"/>
              </w:rPr>
              <w:t xml:space="preserve"> </w:t>
            </w:r>
            <w:r>
              <w:rPr>
                <w:color w:val="231F20"/>
                <w:sz w:val="14"/>
              </w:rPr>
              <w:t>bi-annually</w:t>
            </w:r>
          </w:p>
          <w:p w14:paraId="1C06A511" w14:textId="77777777" w:rsidR="009948F1" w:rsidRDefault="00BC0563">
            <w:pPr>
              <w:pStyle w:val="TableParagraph"/>
              <w:numPr>
                <w:ilvl w:val="0"/>
                <w:numId w:val="141"/>
              </w:numPr>
              <w:tabs>
                <w:tab w:val="left" w:pos="70"/>
              </w:tabs>
              <w:spacing w:line="268" w:lineRule="auto"/>
              <w:ind w:right="50" w:firstLine="0"/>
              <w:rPr>
                <w:sz w:val="14"/>
              </w:rPr>
            </w:pPr>
            <w:r>
              <w:rPr>
                <w:color w:val="231F20"/>
                <w:w w:val="95"/>
                <w:sz w:val="14"/>
              </w:rPr>
              <w:t>State</w:t>
            </w:r>
            <w:r>
              <w:rPr>
                <w:color w:val="231F20"/>
                <w:spacing w:val="-26"/>
                <w:w w:val="95"/>
                <w:sz w:val="14"/>
              </w:rPr>
              <w:t xml:space="preserve"> </w:t>
            </w:r>
            <w:r>
              <w:rPr>
                <w:color w:val="231F20"/>
                <w:w w:val="95"/>
                <w:sz w:val="14"/>
              </w:rPr>
              <w:t>&amp;</w:t>
            </w:r>
            <w:r>
              <w:rPr>
                <w:color w:val="231F20"/>
                <w:spacing w:val="-25"/>
                <w:w w:val="95"/>
                <w:sz w:val="14"/>
              </w:rPr>
              <w:t xml:space="preserve"> </w:t>
            </w:r>
            <w:r>
              <w:rPr>
                <w:color w:val="231F20"/>
                <w:w w:val="95"/>
                <w:sz w:val="14"/>
              </w:rPr>
              <w:t>23</w:t>
            </w:r>
            <w:r>
              <w:rPr>
                <w:color w:val="231F20"/>
                <w:spacing w:val="-25"/>
                <w:w w:val="95"/>
                <w:sz w:val="14"/>
              </w:rPr>
              <w:t xml:space="preserve"> </w:t>
            </w:r>
            <w:r>
              <w:rPr>
                <w:color w:val="231F20"/>
                <w:w w:val="95"/>
                <w:sz w:val="14"/>
              </w:rPr>
              <w:t>LGA</w:t>
            </w:r>
            <w:r>
              <w:rPr>
                <w:color w:val="231F20"/>
                <w:spacing w:val="-27"/>
                <w:w w:val="95"/>
                <w:sz w:val="14"/>
              </w:rPr>
              <w:t xml:space="preserve"> </w:t>
            </w:r>
            <w:r>
              <w:rPr>
                <w:color w:val="231F20"/>
                <w:w w:val="95"/>
                <w:sz w:val="14"/>
              </w:rPr>
              <w:t>Officers</w:t>
            </w:r>
            <w:r>
              <w:rPr>
                <w:color w:val="231F20"/>
                <w:spacing w:val="-25"/>
                <w:w w:val="95"/>
                <w:sz w:val="14"/>
              </w:rPr>
              <w:t xml:space="preserve"> </w:t>
            </w:r>
            <w:r>
              <w:rPr>
                <w:color w:val="231F20"/>
                <w:w w:val="95"/>
                <w:sz w:val="14"/>
              </w:rPr>
              <w:t>trained</w:t>
            </w:r>
            <w:r>
              <w:rPr>
                <w:color w:val="231F20"/>
                <w:spacing w:val="-25"/>
                <w:w w:val="95"/>
                <w:sz w:val="14"/>
              </w:rPr>
              <w:t xml:space="preserve"> </w:t>
            </w:r>
            <w:r>
              <w:rPr>
                <w:color w:val="231F20"/>
                <w:w w:val="95"/>
                <w:sz w:val="14"/>
              </w:rPr>
              <w:t>on</w:t>
            </w:r>
            <w:r>
              <w:rPr>
                <w:color w:val="231F20"/>
                <w:spacing w:val="-25"/>
                <w:w w:val="95"/>
                <w:sz w:val="14"/>
              </w:rPr>
              <w:t xml:space="preserve"> </w:t>
            </w:r>
            <w:r>
              <w:rPr>
                <w:color w:val="231F20"/>
                <w:w w:val="95"/>
                <w:sz w:val="14"/>
              </w:rPr>
              <w:t xml:space="preserve">Logistic </w:t>
            </w:r>
            <w:r>
              <w:rPr>
                <w:color w:val="231F20"/>
                <w:sz w:val="14"/>
              </w:rPr>
              <w:t>Management</w:t>
            </w:r>
            <w:r>
              <w:rPr>
                <w:color w:val="231F20"/>
                <w:spacing w:val="-17"/>
                <w:sz w:val="14"/>
              </w:rPr>
              <w:t xml:space="preserve"> </w:t>
            </w:r>
            <w:r>
              <w:rPr>
                <w:color w:val="231F20"/>
                <w:sz w:val="14"/>
              </w:rPr>
              <w:t>Information</w:t>
            </w:r>
            <w:r>
              <w:rPr>
                <w:color w:val="231F20"/>
                <w:spacing w:val="-17"/>
                <w:sz w:val="14"/>
              </w:rPr>
              <w:t xml:space="preserve"> </w:t>
            </w:r>
            <w:r>
              <w:rPr>
                <w:color w:val="231F20"/>
                <w:sz w:val="14"/>
              </w:rPr>
              <w:t>System</w:t>
            </w:r>
          </w:p>
          <w:p w14:paraId="45F7336D" w14:textId="77777777" w:rsidR="009948F1" w:rsidRDefault="00BC0563">
            <w:pPr>
              <w:pStyle w:val="TableParagraph"/>
              <w:spacing w:line="161" w:lineRule="exact"/>
              <w:ind w:left="25"/>
              <w:rPr>
                <w:sz w:val="14"/>
              </w:rPr>
            </w:pPr>
            <w:r>
              <w:rPr>
                <w:color w:val="231F20"/>
                <w:w w:val="88"/>
                <w:sz w:val="14"/>
              </w:rPr>
              <w:t>•</w:t>
            </w:r>
          </w:p>
        </w:tc>
        <w:tc>
          <w:tcPr>
            <w:tcW w:w="1496" w:type="dxa"/>
            <w:tcBorders>
              <w:top w:val="single" w:sz="6" w:space="0" w:color="231F20"/>
              <w:left w:val="single" w:sz="6" w:space="0" w:color="231F20"/>
              <w:bottom w:val="single" w:sz="6" w:space="0" w:color="231F20"/>
            </w:tcBorders>
            <w:shd w:val="clear" w:color="auto" w:fill="CCE7D3"/>
          </w:tcPr>
          <w:p w14:paraId="377CA38E"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CCE7D3"/>
          </w:tcPr>
          <w:p w14:paraId="439B58F3" w14:textId="77777777" w:rsidR="009948F1" w:rsidRDefault="009948F1">
            <w:pPr>
              <w:pStyle w:val="TableParagraph"/>
              <w:rPr>
                <w:rFonts w:ascii="Times New Roman"/>
                <w:sz w:val="12"/>
              </w:rPr>
            </w:pPr>
          </w:p>
        </w:tc>
      </w:tr>
      <w:tr w:rsidR="009948F1" w14:paraId="53371E3B" w14:textId="77777777">
        <w:trPr>
          <w:trHeight w:val="711"/>
        </w:trPr>
        <w:tc>
          <w:tcPr>
            <w:tcW w:w="480" w:type="dxa"/>
            <w:vMerge w:val="restart"/>
            <w:tcBorders>
              <w:top w:val="single" w:sz="6" w:space="0" w:color="231F20"/>
              <w:bottom w:val="single" w:sz="6" w:space="0" w:color="231F20"/>
              <w:right w:val="single" w:sz="6" w:space="0" w:color="231F20"/>
            </w:tcBorders>
          </w:tcPr>
          <w:p w14:paraId="395558B1" w14:textId="77777777" w:rsidR="009948F1" w:rsidRDefault="009948F1">
            <w:pPr>
              <w:pStyle w:val="TableParagraph"/>
              <w:rPr>
                <w:rFonts w:ascii="Times New Roman"/>
                <w:sz w:val="12"/>
              </w:rPr>
            </w:pPr>
          </w:p>
        </w:tc>
        <w:tc>
          <w:tcPr>
            <w:tcW w:w="551" w:type="dxa"/>
            <w:tcBorders>
              <w:top w:val="single" w:sz="6" w:space="0" w:color="231F20"/>
              <w:left w:val="single" w:sz="6" w:space="0" w:color="231F20"/>
              <w:bottom w:val="single" w:sz="6" w:space="0" w:color="231F20"/>
              <w:right w:val="single" w:sz="6" w:space="0" w:color="231F20"/>
            </w:tcBorders>
          </w:tcPr>
          <w:p w14:paraId="1A384F27" w14:textId="77777777" w:rsidR="009948F1" w:rsidRDefault="009948F1">
            <w:pPr>
              <w:pStyle w:val="TableParagraph"/>
              <w:rPr>
                <w:sz w:val="14"/>
              </w:rPr>
            </w:pPr>
          </w:p>
          <w:p w14:paraId="7D413E44" w14:textId="77777777" w:rsidR="009948F1" w:rsidRDefault="00BC0563">
            <w:pPr>
              <w:pStyle w:val="TableParagraph"/>
              <w:spacing w:before="106"/>
              <w:ind w:left="88"/>
              <w:rPr>
                <w:sz w:val="14"/>
              </w:rPr>
            </w:pPr>
            <w:r>
              <w:rPr>
                <w:color w:val="231F20"/>
                <w:w w:val="95"/>
                <w:sz w:val="14"/>
              </w:rPr>
              <w:t>5.5.2.a</w:t>
            </w:r>
          </w:p>
        </w:tc>
        <w:tc>
          <w:tcPr>
            <w:tcW w:w="5127" w:type="dxa"/>
            <w:gridSpan w:val="2"/>
            <w:tcBorders>
              <w:top w:val="single" w:sz="6" w:space="0" w:color="231F20"/>
              <w:left w:val="single" w:sz="6" w:space="0" w:color="231F20"/>
              <w:bottom w:val="single" w:sz="6" w:space="0" w:color="231F20"/>
              <w:right w:val="single" w:sz="6" w:space="0" w:color="231F20"/>
            </w:tcBorders>
          </w:tcPr>
          <w:p w14:paraId="4AFEB242" w14:textId="77777777" w:rsidR="009948F1" w:rsidRDefault="009948F1">
            <w:pPr>
              <w:pStyle w:val="TableParagraph"/>
              <w:rPr>
                <w:sz w:val="14"/>
              </w:rPr>
            </w:pPr>
          </w:p>
          <w:p w14:paraId="28097C0C" w14:textId="77777777" w:rsidR="009948F1" w:rsidRDefault="00BC0563">
            <w:pPr>
              <w:pStyle w:val="TableParagraph"/>
              <w:spacing w:before="100"/>
              <w:ind w:left="25"/>
              <w:rPr>
                <w:sz w:val="14"/>
              </w:rPr>
            </w:pPr>
            <w:r>
              <w:rPr>
                <w:color w:val="231F20"/>
                <w:sz w:val="14"/>
              </w:rPr>
              <w:t>Collection of FMOH allocation of medicine from CMS, Oshodi, Lagos State</w:t>
            </w:r>
          </w:p>
        </w:tc>
        <w:tc>
          <w:tcPr>
            <w:tcW w:w="1496" w:type="dxa"/>
            <w:tcBorders>
              <w:top w:val="single" w:sz="6" w:space="0" w:color="231F20"/>
              <w:left w:val="single" w:sz="6" w:space="0" w:color="231F20"/>
              <w:bottom w:val="single" w:sz="6" w:space="0" w:color="231F20"/>
              <w:right w:val="single" w:sz="6" w:space="0" w:color="231F20"/>
            </w:tcBorders>
          </w:tcPr>
          <w:p w14:paraId="0EE8ABAF" w14:textId="77777777" w:rsidR="009948F1" w:rsidRDefault="009948F1">
            <w:pPr>
              <w:pStyle w:val="TableParagraph"/>
              <w:rPr>
                <w:sz w:val="14"/>
              </w:rPr>
            </w:pPr>
          </w:p>
          <w:p w14:paraId="0F0F0B74" w14:textId="77777777" w:rsidR="009948F1" w:rsidRDefault="00BC0563">
            <w:pPr>
              <w:pStyle w:val="TableParagraph"/>
              <w:spacing w:before="106"/>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4F37216E" w14:textId="77777777" w:rsidR="009948F1" w:rsidRDefault="009948F1">
            <w:pPr>
              <w:pStyle w:val="TableParagraph"/>
              <w:rPr>
                <w:sz w:val="14"/>
              </w:rPr>
            </w:pPr>
          </w:p>
          <w:p w14:paraId="110A4CF5" w14:textId="77777777" w:rsidR="009948F1" w:rsidRDefault="00BC0563">
            <w:pPr>
              <w:pStyle w:val="TableParagraph"/>
              <w:spacing w:before="106"/>
              <w:ind w:left="22"/>
              <w:rPr>
                <w:sz w:val="14"/>
              </w:rPr>
            </w:pPr>
            <w:r>
              <w:rPr>
                <w:color w:val="231F20"/>
                <w:sz w:val="14"/>
              </w:rPr>
              <w:t>Collect allocation</w:t>
            </w:r>
          </w:p>
        </w:tc>
      </w:tr>
      <w:tr w:rsidR="009948F1" w14:paraId="1099C29B" w14:textId="77777777">
        <w:trPr>
          <w:trHeight w:val="471"/>
        </w:trPr>
        <w:tc>
          <w:tcPr>
            <w:tcW w:w="480" w:type="dxa"/>
            <w:vMerge/>
            <w:tcBorders>
              <w:top w:val="nil"/>
              <w:bottom w:val="single" w:sz="6" w:space="0" w:color="231F20"/>
              <w:right w:val="single" w:sz="6" w:space="0" w:color="231F20"/>
            </w:tcBorders>
          </w:tcPr>
          <w:p w14:paraId="048FA55D"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15C791CB" w14:textId="77777777" w:rsidR="009948F1" w:rsidRDefault="009948F1">
            <w:pPr>
              <w:pStyle w:val="TableParagraph"/>
              <w:spacing w:before="9"/>
              <w:rPr>
                <w:sz w:val="12"/>
              </w:rPr>
            </w:pPr>
          </w:p>
          <w:p w14:paraId="2430C448" w14:textId="77777777" w:rsidR="009948F1" w:rsidRDefault="00BC0563">
            <w:pPr>
              <w:pStyle w:val="TableParagraph"/>
              <w:ind w:left="88"/>
              <w:rPr>
                <w:sz w:val="14"/>
              </w:rPr>
            </w:pPr>
            <w:r>
              <w:rPr>
                <w:color w:val="231F20"/>
                <w:w w:val="95"/>
                <w:sz w:val="14"/>
              </w:rPr>
              <w:t>5.5.2.b</w:t>
            </w:r>
          </w:p>
        </w:tc>
        <w:tc>
          <w:tcPr>
            <w:tcW w:w="5127" w:type="dxa"/>
            <w:gridSpan w:val="2"/>
            <w:tcBorders>
              <w:top w:val="single" w:sz="6" w:space="0" w:color="231F20"/>
              <w:left w:val="single" w:sz="6" w:space="0" w:color="231F20"/>
              <w:bottom w:val="single" w:sz="6" w:space="0" w:color="231F20"/>
              <w:right w:val="single" w:sz="6" w:space="0" w:color="231F20"/>
            </w:tcBorders>
          </w:tcPr>
          <w:p w14:paraId="7DE6C615" w14:textId="77777777" w:rsidR="009948F1" w:rsidRDefault="009948F1">
            <w:pPr>
              <w:pStyle w:val="TableParagraph"/>
              <w:spacing w:before="3"/>
              <w:rPr>
                <w:sz w:val="12"/>
              </w:rPr>
            </w:pPr>
          </w:p>
          <w:p w14:paraId="194A2238" w14:textId="77777777" w:rsidR="009948F1" w:rsidRDefault="00BC0563">
            <w:pPr>
              <w:pStyle w:val="TableParagraph"/>
              <w:ind w:left="25"/>
              <w:rPr>
                <w:sz w:val="14"/>
              </w:rPr>
            </w:pPr>
            <w:r>
              <w:rPr>
                <w:color w:val="231F20"/>
                <w:w w:val="95"/>
                <w:sz w:val="14"/>
              </w:rPr>
              <w:t>Conduct</w:t>
            </w:r>
            <w:r>
              <w:rPr>
                <w:color w:val="231F20"/>
                <w:spacing w:val="-22"/>
                <w:w w:val="95"/>
                <w:sz w:val="14"/>
              </w:rPr>
              <w:t xml:space="preserve"> </w:t>
            </w:r>
            <w:r>
              <w:rPr>
                <w:color w:val="231F20"/>
                <w:w w:val="95"/>
                <w:sz w:val="14"/>
              </w:rPr>
              <w:t>training</w:t>
            </w:r>
            <w:r>
              <w:rPr>
                <w:color w:val="231F20"/>
                <w:spacing w:val="-22"/>
                <w:w w:val="95"/>
                <w:sz w:val="14"/>
              </w:rPr>
              <w:t xml:space="preserve"> </w:t>
            </w:r>
            <w:r>
              <w:rPr>
                <w:color w:val="231F20"/>
                <w:w w:val="95"/>
                <w:sz w:val="14"/>
              </w:rPr>
              <w:t>for</w:t>
            </w:r>
            <w:r>
              <w:rPr>
                <w:color w:val="231F20"/>
                <w:spacing w:val="-22"/>
                <w:w w:val="95"/>
                <w:sz w:val="14"/>
              </w:rPr>
              <w:t xml:space="preserve"> </w:t>
            </w:r>
            <w:r>
              <w:rPr>
                <w:color w:val="231F20"/>
                <w:w w:val="95"/>
                <w:sz w:val="14"/>
              </w:rPr>
              <w:t>state</w:t>
            </w:r>
            <w:r>
              <w:rPr>
                <w:color w:val="231F20"/>
                <w:spacing w:val="-22"/>
                <w:w w:val="95"/>
                <w:sz w:val="14"/>
              </w:rPr>
              <w:t xml:space="preserve"> </w:t>
            </w:r>
            <w:r>
              <w:rPr>
                <w:color w:val="231F20"/>
                <w:w w:val="95"/>
                <w:sz w:val="14"/>
              </w:rPr>
              <w:t>&amp;</w:t>
            </w:r>
            <w:r>
              <w:rPr>
                <w:color w:val="231F20"/>
                <w:spacing w:val="-22"/>
                <w:w w:val="95"/>
                <w:sz w:val="14"/>
              </w:rPr>
              <w:t xml:space="preserve"> </w:t>
            </w:r>
            <w:r>
              <w:rPr>
                <w:color w:val="231F20"/>
                <w:w w:val="95"/>
                <w:sz w:val="14"/>
              </w:rPr>
              <w:t>23</w:t>
            </w:r>
            <w:r>
              <w:rPr>
                <w:color w:val="231F20"/>
                <w:spacing w:val="-21"/>
                <w:w w:val="95"/>
                <w:sz w:val="14"/>
              </w:rPr>
              <w:t xml:space="preserve"> </w:t>
            </w:r>
            <w:r>
              <w:rPr>
                <w:color w:val="231F20"/>
                <w:w w:val="95"/>
                <w:sz w:val="14"/>
              </w:rPr>
              <w:t>LGA</w:t>
            </w:r>
            <w:r>
              <w:rPr>
                <w:color w:val="231F20"/>
                <w:spacing w:val="-25"/>
                <w:w w:val="95"/>
                <w:sz w:val="14"/>
              </w:rPr>
              <w:t xml:space="preserve"> </w:t>
            </w:r>
            <w:r>
              <w:rPr>
                <w:color w:val="231F20"/>
                <w:w w:val="95"/>
                <w:sz w:val="14"/>
              </w:rPr>
              <w:t>Officers</w:t>
            </w:r>
            <w:r>
              <w:rPr>
                <w:color w:val="231F20"/>
                <w:spacing w:val="-22"/>
                <w:w w:val="95"/>
                <w:sz w:val="14"/>
              </w:rPr>
              <w:t xml:space="preserve"> </w:t>
            </w:r>
            <w:r>
              <w:rPr>
                <w:color w:val="231F20"/>
                <w:w w:val="95"/>
                <w:sz w:val="14"/>
              </w:rPr>
              <w:t>on</w:t>
            </w:r>
            <w:r>
              <w:rPr>
                <w:color w:val="231F20"/>
                <w:spacing w:val="-22"/>
                <w:w w:val="95"/>
                <w:sz w:val="14"/>
              </w:rPr>
              <w:t xml:space="preserve"> </w:t>
            </w:r>
            <w:r>
              <w:rPr>
                <w:color w:val="231F20"/>
                <w:w w:val="95"/>
                <w:sz w:val="14"/>
              </w:rPr>
              <w:t>Logistic</w:t>
            </w:r>
            <w:r>
              <w:rPr>
                <w:color w:val="231F20"/>
                <w:spacing w:val="-22"/>
                <w:w w:val="95"/>
                <w:sz w:val="14"/>
              </w:rPr>
              <w:t xml:space="preserve"> </w:t>
            </w:r>
            <w:r>
              <w:rPr>
                <w:color w:val="231F20"/>
                <w:w w:val="95"/>
                <w:sz w:val="14"/>
              </w:rPr>
              <w:t>Management</w:t>
            </w:r>
            <w:r>
              <w:rPr>
                <w:color w:val="231F20"/>
                <w:spacing w:val="-21"/>
                <w:w w:val="95"/>
                <w:sz w:val="14"/>
              </w:rPr>
              <w:t xml:space="preserve"> </w:t>
            </w:r>
            <w:r>
              <w:rPr>
                <w:color w:val="231F20"/>
                <w:w w:val="95"/>
                <w:sz w:val="14"/>
              </w:rPr>
              <w:t>Information</w:t>
            </w:r>
            <w:r>
              <w:rPr>
                <w:color w:val="231F20"/>
                <w:spacing w:val="-22"/>
                <w:w w:val="95"/>
                <w:sz w:val="14"/>
              </w:rPr>
              <w:t xml:space="preserve"> </w:t>
            </w:r>
            <w:r>
              <w:rPr>
                <w:color w:val="231F20"/>
                <w:w w:val="95"/>
                <w:sz w:val="14"/>
              </w:rPr>
              <w:t>System</w:t>
            </w:r>
          </w:p>
        </w:tc>
        <w:tc>
          <w:tcPr>
            <w:tcW w:w="1496" w:type="dxa"/>
            <w:tcBorders>
              <w:top w:val="single" w:sz="6" w:space="0" w:color="231F20"/>
              <w:left w:val="single" w:sz="6" w:space="0" w:color="231F20"/>
              <w:bottom w:val="single" w:sz="6" w:space="0" w:color="231F20"/>
              <w:right w:val="single" w:sz="6" w:space="0" w:color="231F20"/>
            </w:tcBorders>
          </w:tcPr>
          <w:p w14:paraId="4C0F8B4B" w14:textId="77777777" w:rsidR="009948F1" w:rsidRDefault="009948F1">
            <w:pPr>
              <w:pStyle w:val="TableParagraph"/>
              <w:spacing w:before="9"/>
              <w:rPr>
                <w:sz w:val="12"/>
              </w:rPr>
            </w:pPr>
          </w:p>
          <w:p w14:paraId="0B5FAAFE" w14:textId="77777777" w:rsidR="009948F1" w:rsidRDefault="00BC0563">
            <w:pPr>
              <w:pStyle w:val="TableParagraph"/>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702F9794" w14:textId="77777777" w:rsidR="009948F1" w:rsidRDefault="009948F1">
            <w:pPr>
              <w:pStyle w:val="TableParagraph"/>
              <w:spacing w:before="9"/>
              <w:rPr>
                <w:sz w:val="12"/>
              </w:rPr>
            </w:pPr>
          </w:p>
          <w:p w14:paraId="6CD709A4" w14:textId="77777777" w:rsidR="009948F1" w:rsidRDefault="00BC0563">
            <w:pPr>
              <w:pStyle w:val="TableParagraph"/>
              <w:ind w:left="22"/>
              <w:rPr>
                <w:sz w:val="14"/>
              </w:rPr>
            </w:pPr>
            <w:r>
              <w:rPr>
                <w:color w:val="231F20"/>
                <w:sz w:val="14"/>
              </w:rPr>
              <w:t>Conduct training</w:t>
            </w:r>
          </w:p>
        </w:tc>
      </w:tr>
      <w:tr w:rsidR="009948F1" w14:paraId="73AF58C8" w14:textId="77777777">
        <w:trPr>
          <w:trHeight w:val="348"/>
        </w:trPr>
        <w:tc>
          <w:tcPr>
            <w:tcW w:w="480" w:type="dxa"/>
            <w:vMerge/>
            <w:tcBorders>
              <w:top w:val="nil"/>
              <w:bottom w:val="single" w:sz="6" w:space="0" w:color="231F20"/>
              <w:right w:val="single" w:sz="6" w:space="0" w:color="231F20"/>
            </w:tcBorders>
          </w:tcPr>
          <w:p w14:paraId="75CB68AE" w14:textId="77777777" w:rsidR="009948F1" w:rsidRDefault="009948F1">
            <w:pPr>
              <w:rPr>
                <w:sz w:val="2"/>
                <w:szCs w:val="2"/>
              </w:rPr>
            </w:pPr>
          </w:p>
        </w:tc>
        <w:tc>
          <w:tcPr>
            <w:tcW w:w="551" w:type="dxa"/>
            <w:tcBorders>
              <w:top w:val="single" w:sz="6" w:space="0" w:color="231F20"/>
              <w:left w:val="single" w:sz="6" w:space="0" w:color="231F20"/>
              <w:bottom w:val="single" w:sz="6" w:space="0" w:color="231F20"/>
              <w:right w:val="single" w:sz="6" w:space="0" w:color="231F20"/>
            </w:tcBorders>
          </w:tcPr>
          <w:p w14:paraId="177BDA24" w14:textId="77777777" w:rsidR="009948F1" w:rsidRDefault="00BC0563">
            <w:pPr>
              <w:pStyle w:val="TableParagraph"/>
              <w:spacing w:before="85"/>
              <w:ind w:left="91"/>
              <w:rPr>
                <w:sz w:val="14"/>
              </w:rPr>
            </w:pPr>
            <w:r>
              <w:rPr>
                <w:color w:val="231F20"/>
                <w:w w:val="95"/>
                <w:sz w:val="14"/>
              </w:rPr>
              <w:t>5.5.2.c</w:t>
            </w:r>
          </w:p>
        </w:tc>
        <w:tc>
          <w:tcPr>
            <w:tcW w:w="5127" w:type="dxa"/>
            <w:gridSpan w:val="2"/>
            <w:tcBorders>
              <w:top w:val="single" w:sz="6" w:space="0" w:color="231F20"/>
              <w:left w:val="single" w:sz="6" w:space="0" w:color="231F20"/>
              <w:bottom w:val="single" w:sz="6" w:space="0" w:color="231F20"/>
              <w:right w:val="single" w:sz="6" w:space="0" w:color="231F20"/>
            </w:tcBorders>
          </w:tcPr>
          <w:p w14:paraId="056C6588" w14:textId="77777777" w:rsidR="009948F1" w:rsidRDefault="00BC0563">
            <w:pPr>
              <w:pStyle w:val="TableParagraph"/>
              <w:spacing w:line="156" w:lineRule="exact"/>
              <w:ind w:left="25"/>
              <w:rPr>
                <w:sz w:val="14"/>
              </w:rPr>
            </w:pPr>
            <w:r>
              <w:rPr>
                <w:color w:val="231F20"/>
                <w:w w:val="90"/>
                <w:sz w:val="14"/>
              </w:rPr>
              <w:t>Conduct</w:t>
            </w:r>
            <w:r>
              <w:rPr>
                <w:color w:val="231F20"/>
                <w:spacing w:val="-7"/>
                <w:w w:val="90"/>
                <w:sz w:val="14"/>
              </w:rPr>
              <w:t xml:space="preserve"> </w:t>
            </w:r>
            <w:r>
              <w:rPr>
                <w:color w:val="231F20"/>
                <w:w w:val="90"/>
                <w:sz w:val="14"/>
              </w:rPr>
              <w:t>delivery</w:t>
            </w:r>
            <w:r>
              <w:rPr>
                <w:color w:val="231F20"/>
                <w:spacing w:val="-6"/>
                <w:w w:val="90"/>
                <w:sz w:val="14"/>
              </w:rPr>
              <w:t xml:space="preserve"> </w:t>
            </w:r>
            <w:r>
              <w:rPr>
                <w:color w:val="231F20"/>
                <w:w w:val="90"/>
                <w:sz w:val="14"/>
              </w:rPr>
              <w:t>of</w:t>
            </w:r>
            <w:r>
              <w:rPr>
                <w:color w:val="231F20"/>
                <w:spacing w:val="-6"/>
                <w:w w:val="90"/>
                <w:sz w:val="14"/>
              </w:rPr>
              <w:t xml:space="preserve"> </w:t>
            </w:r>
            <w:r>
              <w:rPr>
                <w:color w:val="231F20"/>
                <w:w w:val="90"/>
                <w:sz w:val="14"/>
              </w:rPr>
              <w:t>chemotherapy</w:t>
            </w:r>
            <w:r>
              <w:rPr>
                <w:color w:val="231F20"/>
                <w:spacing w:val="-7"/>
                <w:w w:val="90"/>
                <w:sz w:val="14"/>
              </w:rPr>
              <w:t xml:space="preserve"> </w:t>
            </w:r>
            <w:r>
              <w:rPr>
                <w:color w:val="231F20"/>
                <w:w w:val="90"/>
                <w:sz w:val="14"/>
              </w:rPr>
              <w:t>packages</w:t>
            </w:r>
            <w:r>
              <w:rPr>
                <w:color w:val="231F20"/>
                <w:spacing w:val="-6"/>
                <w:w w:val="90"/>
                <w:sz w:val="14"/>
              </w:rPr>
              <w:t xml:space="preserve"> </w:t>
            </w:r>
            <w:r>
              <w:rPr>
                <w:color w:val="231F20"/>
                <w:w w:val="90"/>
                <w:sz w:val="14"/>
              </w:rPr>
              <w:t>and</w:t>
            </w:r>
            <w:r>
              <w:rPr>
                <w:color w:val="231F20"/>
                <w:spacing w:val="-6"/>
                <w:w w:val="90"/>
                <w:sz w:val="14"/>
              </w:rPr>
              <w:t xml:space="preserve"> </w:t>
            </w:r>
            <w:r>
              <w:rPr>
                <w:color w:val="231F20"/>
                <w:w w:val="90"/>
                <w:sz w:val="14"/>
              </w:rPr>
              <w:t>others</w:t>
            </w:r>
            <w:r>
              <w:rPr>
                <w:color w:val="231F20"/>
                <w:spacing w:val="-7"/>
                <w:w w:val="90"/>
                <w:sz w:val="14"/>
              </w:rPr>
              <w:t xml:space="preserve"> </w:t>
            </w:r>
            <w:r>
              <w:rPr>
                <w:color w:val="231F20"/>
                <w:w w:val="90"/>
                <w:sz w:val="14"/>
              </w:rPr>
              <w:t>to</w:t>
            </w:r>
            <w:r>
              <w:rPr>
                <w:color w:val="231F20"/>
                <w:spacing w:val="-6"/>
                <w:w w:val="90"/>
                <w:sz w:val="14"/>
              </w:rPr>
              <w:t xml:space="preserve"> </w:t>
            </w:r>
            <w:r>
              <w:rPr>
                <w:color w:val="231F20"/>
                <w:w w:val="90"/>
                <w:sz w:val="14"/>
              </w:rPr>
              <w:t>LGAs,</w:t>
            </w:r>
            <w:r>
              <w:rPr>
                <w:color w:val="231F20"/>
                <w:spacing w:val="-6"/>
                <w:w w:val="90"/>
                <w:sz w:val="14"/>
              </w:rPr>
              <w:t xml:space="preserve"> </w:t>
            </w:r>
            <w:r>
              <w:rPr>
                <w:color w:val="231F20"/>
                <w:w w:val="90"/>
                <w:sz w:val="14"/>
              </w:rPr>
              <w:t>communities</w:t>
            </w:r>
            <w:r>
              <w:rPr>
                <w:color w:val="231F20"/>
                <w:spacing w:val="-7"/>
                <w:w w:val="90"/>
                <w:sz w:val="14"/>
              </w:rPr>
              <w:t xml:space="preserve"> </w:t>
            </w:r>
            <w:r>
              <w:rPr>
                <w:color w:val="231F20"/>
                <w:w w:val="90"/>
                <w:sz w:val="14"/>
              </w:rPr>
              <w:t>and</w:t>
            </w:r>
            <w:r>
              <w:rPr>
                <w:color w:val="231F20"/>
                <w:spacing w:val="-6"/>
                <w:w w:val="90"/>
                <w:sz w:val="14"/>
              </w:rPr>
              <w:t xml:space="preserve"> </w:t>
            </w:r>
            <w:r>
              <w:rPr>
                <w:color w:val="231F20"/>
                <w:w w:val="90"/>
                <w:sz w:val="14"/>
              </w:rPr>
              <w:t>schools</w:t>
            </w:r>
          </w:p>
          <w:p w14:paraId="2A7FCCB4" w14:textId="77777777" w:rsidR="009948F1" w:rsidRDefault="00BC0563">
            <w:pPr>
              <w:pStyle w:val="TableParagraph"/>
              <w:spacing w:before="19" w:line="153" w:lineRule="exact"/>
              <w:ind w:left="25"/>
              <w:rPr>
                <w:sz w:val="14"/>
              </w:rPr>
            </w:pPr>
            <w:r>
              <w:rPr>
                <w:color w:val="231F20"/>
                <w:sz w:val="14"/>
              </w:rPr>
              <w:t>and retrieval of left over</w:t>
            </w:r>
          </w:p>
        </w:tc>
        <w:tc>
          <w:tcPr>
            <w:tcW w:w="1496" w:type="dxa"/>
            <w:tcBorders>
              <w:top w:val="single" w:sz="6" w:space="0" w:color="231F20"/>
              <w:left w:val="single" w:sz="6" w:space="0" w:color="231F20"/>
              <w:bottom w:val="single" w:sz="6" w:space="0" w:color="231F20"/>
              <w:right w:val="single" w:sz="6" w:space="0" w:color="231F20"/>
            </w:tcBorders>
          </w:tcPr>
          <w:p w14:paraId="03DCD502" w14:textId="77777777" w:rsidR="009948F1" w:rsidRDefault="00BC0563">
            <w:pPr>
              <w:pStyle w:val="TableParagraph"/>
              <w:spacing w:before="85"/>
              <w:ind w:left="24"/>
              <w:rPr>
                <w:sz w:val="14"/>
              </w:rPr>
            </w:pPr>
            <w:r>
              <w:rPr>
                <w:color w:val="231F20"/>
                <w:sz w:val="14"/>
              </w:rPr>
              <w:t>Lack of funds</w:t>
            </w:r>
          </w:p>
        </w:tc>
        <w:tc>
          <w:tcPr>
            <w:tcW w:w="1576" w:type="dxa"/>
            <w:tcBorders>
              <w:top w:val="single" w:sz="6" w:space="0" w:color="231F20"/>
              <w:left w:val="single" w:sz="6" w:space="0" w:color="231F20"/>
              <w:bottom w:val="single" w:sz="6" w:space="0" w:color="231F20"/>
              <w:right w:val="single" w:sz="6" w:space="0" w:color="231F20"/>
            </w:tcBorders>
          </w:tcPr>
          <w:p w14:paraId="49E4695F" w14:textId="77777777" w:rsidR="009948F1" w:rsidRDefault="00BC0563">
            <w:pPr>
              <w:pStyle w:val="TableParagraph"/>
              <w:spacing w:line="157" w:lineRule="exact"/>
              <w:ind w:left="22"/>
              <w:rPr>
                <w:sz w:val="14"/>
              </w:rPr>
            </w:pPr>
            <w:r>
              <w:rPr>
                <w:color w:val="231F20"/>
                <w:sz w:val="14"/>
              </w:rPr>
              <w:t>Conduct delivery of</w:t>
            </w:r>
          </w:p>
          <w:p w14:paraId="5AAB2B77" w14:textId="77777777" w:rsidR="009948F1" w:rsidRDefault="00BC0563">
            <w:pPr>
              <w:pStyle w:val="TableParagraph"/>
              <w:spacing w:before="19" w:line="152" w:lineRule="exact"/>
              <w:ind w:left="22"/>
              <w:rPr>
                <w:sz w:val="14"/>
              </w:rPr>
            </w:pPr>
            <w:r>
              <w:rPr>
                <w:color w:val="231F20"/>
                <w:sz w:val="14"/>
              </w:rPr>
              <w:t>medicine</w:t>
            </w:r>
          </w:p>
        </w:tc>
      </w:tr>
      <w:tr w:rsidR="009948F1" w14:paraId="4E798EAB" w14:textId="77777777">
        <w:trPr>
          <w:trHeight w:val="1356"/>
        </w:trPr>
        <w:tc>
          <w:tcPr>
            <w:tcW w:w="480" w:type="dxa"/>
            <w:tcBorders>
              <w:top w:val="single" w:sz="6" w:space="0" w:color="231F20"/>
              <w:bottom w:val="single" w:sz="6" w:space="0" w:color="231F20"/>
              <w:right w:val="single" w:sz="6" w:space="0" w:color="231F20"/>
            </w:tcBorders>
            <w:shd w:val="clear" w:color="auto" w:fill="CCE7D3"/>
          </w:tcPr>
          <w:p w14:paraId="28EDE7B8" w14:textId="77777777" w:rsidR="009948F1" w:rsidRDefault="009948F1">
            <w:pPr>
              <w:pStyle w:val="TableParagraph"/>
              <w:rPr>
                <w:sz w:val="14"/>
              </w:rPr>
            </w:pPr>
          </w:p>
          <w:p w14:paraId="49DF4972" w14:textId="77777777" w:rsidR="009948F1" w:rsidRDefault="009948F1">
            <w:pPr>
              <w:pStyle w:val="TableParagraph"/>
              <w:rPr>
                <w:sz w:val="14"/>
              </w:rPr>
            </w:pPr>
          </w:p>
          <w:p w14:paraId="16117ED2" w14:textId="77777777" w:rsidR="009948F1" w:rsidRDefault="009948F1">
            <w:pPr>
              <w:pStyle w:val="TableParagraph"/>
              <w:rPr>
                <w:sz w:val="14"/>
              </w:rPr>
            </w:pPr>
          </w:p>
          <w:p w14:paraId="383B010D" w14:textId="77777777" w:rsidR="009948F1" w:rsidRDefault="00BC0563">
            <w:pPr>
              <w:pStyle w:val="TableParagraph"/>
              <w:spacing w:before="107"/>
              <w:ind w:left="61"/>
              <w:rPr>
                <w:sz w:val="14"/>
              </w:rPr>
            </w:pPr>
            <w:r>
              <w:rPr>
                <w:color w:val="231F20"/>
                <w:sz w:val="14"/>
              </w:rPr>
              <w:t>5.5.3</w:t>
            </w:r>
          </w:p>
        </w:tc>
        <w:tc>
          <w:tcPr>
            <w:tcW w:w="318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AA4237E" w14:textId="77777777" w:rsidR="009948F1" w:rsidRDefault="009948F1">
            <w:pPr>
              <w:pStyle w:val="TableParagraph"/>
              <w:rPr>
                <w:sz w:val="14"/>
              </w:rPr>
            </w:pPr>
          </w:p>
          <w:p w14:paraId="15F27576" w14:textId="77777777" w:rsidR="009948F1" w:rsidRDefault="009948F1">
            <w:pPr>
              <w:pStyle w:val="TableParagraph"/>
              <w:spacing w:before="3"/>
              <w:rPr>
                <w:sz w:val="13"/>
              </w:rPr>
            </w:pPr>
          </w:p>
          <w:p w14:paraId="1190FDCC" w14:textId="77777777" w:rsidR="009948F1" w:rsidRDefault="00BC0563">
            <w:pPr>
              <w:pStyle w:val="TableParagraph"/>
              <w:spacing w:line="268" w:lineRule="auto"/>
              <w:ind w:left="25" w:right="16" w:firstLine="34"/>
              <w:rPr>
                <w:sz w:val="14"/>
              </w:rPr>
            </w:pPr>
            <w:r>
              <w:rPr>
                <w:color w:val="231F20"/>
                <w:w w:val="95"/>
                <w:sz w:val="14"/>
              </w:rPr>
              <w:t xml:space="preserve">Strengthen integrated vector and management and activities for health education, access to clean water, </w:t>
            </w:r>
            <w:r>
              <w:rPr>
                <w:color w:val="231F20"/>
                <w:w w:val="90"/>
                <w:sz w:val="14"/>
              </w:rPr>
              <w:t xml:space="preserve">sanitation, and environmental improvement for targeted </w:t>
            </w:r>
            <w:r>
              <w:rPr>
                <w:color w:val="231F20"/>
                <w:sz w:val="14"/>
              </w:rPr>
              <w:t>NTDs.</w:t>
            </w:r>
          </w:p>
        </w:tc>
        <w:tc>
          <w:tcPr>
            <w:tcW w:w="2497" w:type="dxa"/>
            <w:tcBorders>
              <w:top w:val="single" w:sz="6" w:space="0" w:color="231F20"/>
              <w:left w:val="single" w:sz="6" w:space="0" w:color="231F20"/>
              <w:bottom w:val="single" w:sz="6" w:space="0" w:color="231F20"/>
              <w:right w:val="single" w:sz="6" w:space="0" w:color="231F20"/>
            </w:tcBorders>
            <w:shd w:val="clear" w:color="auto" w:fill="CCE7D3"/>
          </w:tcPr>
          <w:p w14:paraId="02652AFE" w14:textId="77777777" w:rsidR="009948F1" w:rsidRDefault="00BC0563">
            <w:pPr>
              <w:pStyle w:val="TableParagraph"/>
              <w:numPr>
                <w:ilvl w:val="0"/>
                <w:numId w:val="140"/>
              </w:numPr>
              <w:tabs>
                <w:tab w:val="left" w:pos="97"/>
              </w:tabs>
              <w:spacing w:before="50" w:line="268" w:lineRule="auto"/>
              <w:ind w:right="50" w:firstLine="0"/>
              <w:rPr>
                <w:sz w:val="14"/>
              </w:rPr>
            </w:pPr>
            <w:r>
              <w:rPr>
                <w:color w:val="231F20"/>
                <w:w w:val="95"/>
                <w:sz w:val="14"/>
              </w:rPr>
              <w:t>Advocacy</w:t>
            </w:r>
            <w:r>
              <w:rPr>
                <w:color w:val="231F20"/>
                <w:spacing w:val="-23"/>
                <w:w w:val="95"/>
                <w:sz w:val="14"/>
              </w:rPr>
              <w:t xml:space="preserve"> </w:t>
            </w:r>
            <w:r>
              <w:rPr>
                <w:color w:val="231F20"/>
                <w:w w:val="95"/>
                <w:sz w:val="14"/>
              </w:rPr>
              <w:t>visit</w:t>
            </w:r>
            <w:r>
              <w:rPr>
                <w:color w:val="231F20"/>
                <w:spacing w:val="-23"/>
                <w:w w:val="95"/>
                <w:sz w:val="14"/>
              </w:rPr>
              <w:t xml:space="preserve"> </w:t>
            </w:r>
            <w:r>
              <w:rPr>
                <w:color w:val="231F20"/>
                <w:w w:val="95"/>
                <w:sz w:val="14"/>
              </w:rPr>
              <w:t>to</w:t>
            </w:r>
            <w:r>
              <w:rPr>
                <w:color w:val="231F20"/>
                <w:spacing w:val="-23"/>
                <w:w w:val="95"/>
                <w:sz w:val="14"/>
              </w:rPr>
              <w:t xml:space="preserve"> </w:t>
            </w:r>
            <w:r>
              <w:rPr>
                <w:color w:val="231F20"/>
                <w:w w:val="95"/>
                <w:sz w:val="14"/>
              </w:rPr>
              <w:t>Ministry</w:t>
            </w:r>
            <w:r>
              <w:rPr>
                <w:color w:val="231F20"/>
                <w:spacing w:val="-23"/>
                <w:w w:val="95"/>
                <w:sz w:val="14"/>
              </w:rPr>
              <w:t xml:space="preserve"> </w:t>
            </w:r>
            <w:r>
              <w:rPr>
                <w:color w:val="231F20"/>
                <w:w w:val="95"/>
                <w:sz w:val="14"/>
              </w:rPr>
              <w:t>of</w:t>
            </w:r>
            <w:r>
              <w:rPr>
                <w:color w:val="231F20"/>
                <w:spacing w:val="-23"/>
                <w:w w:val="95"/>
                <w:sz w:val="14"/>
              </w:rPr>
              <w:t xml:space="preserve"> </w:t>
            </w:r>
            <w:r>
              <w:rPr>
                <w:color w:val="231F20"/>
                <w:w w:val="95"/>
                <w:sz w:val="14"/>
              </w:rPr>
              <w:t xml:space="preserve">Environment </w:t>
            </w:r>
            <w:r>
              <w:rPr>
                <w:color w:val="231F20"/>
                <w:w w:val="90"/>
                <w:sz w:val="14"/>
              </w:rPr>
              <w:t>for</w:t>
            </w:r>
            <w:r>
              <w:rPr>
                <w:color w:val="231F20"/>
                <w:spacing w:val="-8"/>
                <w:w w:val="90"/>
                <w:sz w:val="14"/>
              </w:rPr>
              <w:t xml:space="preserve"> </w:t>
            </w:r>
            <w:r>
              <w:rPr>
                <w:color w:val="231F20"/>
                <w:w w:val="90"/>
                <w:sz w:val="14"/>
              </w:rPr>
              <w:t>increased</w:t>
            </w:r>
            <w:r>
              <w:rPr>
                <w:color w:val="231F20"/>
                <w:spacing w:val="-8"/>
                <w:w w:val="90"/>
                <w:sz w:val="14"/>
              </w:rPr>
              <w:t xml:space="preserve"> </w:t>
            </w:r>
            <w:r>
              <w:rPr>
                <w:color w:val="231F20"/>
                <w:w w:val="90"/>
                <w:sz w:val="14"/>
              </w:rPr>
              <w:t>coverage</w:t>
            </w:r>
            <w:r>
              <w:rPr>
                <w:color w:val="231F20"/>
                <w:spacing w:val="-8"/>
                <w:w w:val="90"/>
                <w:sz w:val="14"/>
              </w:rPr>
              <w:t xml:space="preserve"> </w:t>
            </w:r>
            <w:r>
              <w:rPr>
                <w:color w:val="231F20"/>
                <w:w w:val="90"/>
                <w:sz w:val="14"/>
              </w:rPr>
              <w:t>of</w:t>
            </w:r>
            <w:r>
              <w:rPr>
                <w:color w:val="231F20"/>
                <w:spacing w:val="-7"/>
                <w:w w:val="90"/>
                <w:sz w:val="14"/>
              </w:rPr>
              <w:t xml:space="preserve"> </w:t>
            </w:r>
            <w:r>
              <w:rPr>
                <w:color w:val="231F20"/>
                <w:w w:val="90"/>
                <w:sz w:val="14"/>
              </w:rPr>
              <w:t>safe</w:t>
            </w:r>
            <w:r>
              <w:rPr>
                <w:color w:val="231F20"/>
                <w:spacing w:val="-8"/>
                <w:w w:val="90"/>
                <w:sz w:val="14"/>
              </w:rPr>
              <w:t xml:space="preserve"> </w:t>
            </w:r>
            <w:r>
              <w:rPr>
                <w:color w:val="231F20"/>
                <w:w w:val="90"/>
                <w:sz w:val="14"/>
              </w:rPr>
              <w:t>water</w:t>
            </w:r>
            <w:r>
              <w:rPr>
                <w:color w:val="231F20"/>
                <w:spacing w:val="-8"/>
                <w:w w:val="90"/>
                <w:sz w:val="14"/>
              </w:rPr>
              <w:t xml:space="preserve"> </w:t>
            </w:r>
            <w:r>
              <w:rPr>
                <w:color w:val="231F20"/>
                <w:w w:val="90"/>
                <w:sz w:val="14"/>
              </w:rPr>
              <w:t xml:space="preserve">supply </w:t>
            </w:r>
            <w:r>
              <w:rPr>
                <w:color w:val="231F20"/>
                <w:sz w:val="14"/>
              </w:rPr>
              <w:t>and sanitation</w:t>
            </w:r>
            <w:r>
              <w:rPr>
                <w:color w:val="231F20"/>
                <w:spacing w:val="-17"/>
                <w:sz w:val="14"/>
              </w:rPr>
              <w:t xml:space="preserve"> </w:t>
            </w:r>
            <w:r>
              <w:rPr>
                <w:color w:val="231F20"/>
                <w:sz w:val="14"/>
              </w:rPr>
              <w:t>done</w:t>
            </w:r>
          </w:p>
          <w:p w14:paraId="7E2F085E" w14:textId="77777777" w:rsidR="009948F1" w:rsidRDefault="00BC0563">
            <w:pPr>
              <w:pStyle w:val="TableParagraph"/>
              <w:numPr>
                <w:ilvl w:val="0"/>
                <w:numId w:val="140"/>
              </w:numPr>
              <w:tabs>
                <w:tab w:val="left" w:pos="104"/>
              </w:tabs>
              <w:spacing w:line="268" w:lineRule="auto"/>
              <w:ind w:right="305" w:firstLine="0"/>
              <w:rPr>
                <w:sz w:val="14"/>
              </w:rPr>
            </w:pPr>
            <w:r>
              <w:rPr>
                <w:color w:val="231F20"/>
                <w:w w:val="90"/>
                <w:sz w:val="14"/>
              </w:rPr>
              <w:t>Meeting</w:t>
            </w:r>
            <w:r>
              <w:rPr>
                <w:color w:val="231F20"/>
                <w:spacing w:val="-14"/>
                <w:w w:val="90"/>
                <w:sz w:val="14"/>
              </w:rPr>
              <w:t xml:space="preserve"> </w:t>
            </w:r>
            <w:r>
              <w:rPr>
                <w:color w:val="231F20"/>
                <w:w w:val="90"/>
                <w:sz w:val="14"/>
              </w:rPr>
              <w:t>for</w:t>
            </w:r>
            <w:r>
              <w:rPr>
                <w:color w:val="231F20"/>
                <w:spacing w:val="-13"/>
                <w:w w:val="90"/>
                <w:sz w:val="14"/>
              </w:rPr>
              <w:t xml:space="preserve"> </w:t>
            </w:r>
            <w:r>
              <w:rPr>
                <w:color w:val="231F20"/>
                <w:w w:val="90"/>
                <w:sz w:val="14"/>
              </w:rPr>
              <w:t>intersectoral</w:t>
            </w:r>
            <w:r>
              <w:rPr>
                <w:color w:val="231F20"/>
                <w:spacing w:val="-13"/>
                <w:w w:val="90"/>
                <w:sz w:val="14"/>
              </w:rPr>
              <w:t xml:space="preserve"> </w:t>
            </w:r>
            <w:r>
              <w:rPr>
                <w:color w:val="231F20"/>
                <w:w w:val="90"/>
                <w:sz w:val="14"/>
              </w:rPr>
              <w:t xml:space="preserve">collaboration </w:t>
            </w:r>
            <w:r>
              <w:rPr>
                <w:color w:val="231F20"/>
                <w:sz w:val="14"/>
              </w:rPr>
              <w:t>forum</w:t>
            </w:r>
            <w:r>
              <w:rPr>
                <w:color w:val="231F20"/>
                <w:spacing w:val="-14"/>
                <w:sz w:val="14"/>
              </w:rPr>
              <w:t xml:space="preserve"> </w:t>
            </w:r>
            <w:r>
              <w:rPr>
                <w:color w:val="231F20"/>
                <w:sz w:val="14"/>
              </w:rPr>
              <w:t>for</w:t>
            </w:r>
            <w:r>
              <w:rPr>
                <w:color w:val="231F20"/>
                <w:spacing w:val="-13"/>
                <w:sz w:val="14"/>
              </w:rPr>
              <w:t xml:space="preserve"> </w:t>
            </w:r>
            <w:r>
              <w:rPr>
                <w:color w:val="231F20"/>
                <w:sz w:val="14"/>
              </w:rPr>
              <w:t>water</w:t>
            </w:r>
            <w:r>
              <w:rPr>
                <w:color w:val="231F20"/>
                <w:spacing w:val="-13"/>
                <w:sz w:val="14"/>
              </w:rPr>
              <w:t xml:space="preserve"> </w:t>
            </w:r>
            <w:r>
              <w:rPr>
                <w:color w:val="231F20"/>
                <w:sz w:val="14"/>
              </w:rPr>
              <w:t>supply</w:t>
            </w:r>
            <w:r>
              <w:rPr>
                <w:color w:val="231F20"/>
                <w:spacing w:val="-13"/>
                <w:sz w:val="14"/>
              </w:rPr>
              <w:t xml:space="preserve"> </w:t>
            </w:r>
            <w:r>
              <w:rPr>
                <w:color w:val="231F20"/>
                <w:sz w:val="14"/>
              </w:rPr>
              <w:t>done</w:t>
            </w:r>
          </w:p>
          <w:p w14:paraId="6D6103E5" w14:textId="77777777" w:rsidR="009948F1" w:rsidRDefault="00BC0563">
            <w:pPr>
              <w:pStyle w:val="TableParagraph"/>
              <w:numPr>
                <w:ilvl w:val="0"/>
                <w:numId w:val="140"/>
              </w:numPr>
              <w:tabs>
                <w:tab w:val="left" w:pos="70"/>
              </w:tabs>
              <w:spacing w:line="268" w:lineRule="auto"/>
              <w:ind w:right="21" w:firstLine="0"/>
              <w:rPr>
                <w:sz w:val="14"/>
              </w:rPr>
            </w:pPr>
            <w:r>
              <w:rPr>
                <w:color w:val="231F20"/>
                <w:w w:val="90"/>
                <w:sz w:val="14"/>
              </w:rPr>
              <w:t>Meeting</w:t>
            </w:r>
            <w:r>
              <w:rPr>
                <w:color w:val="231F20"/>
                <w:spacing w:val="-8"/>
                <w:w w:val="90"/>
                <w:sz w:val="14"/>
              </w:rPr>
              <w:t xml:space="preserve"> </w:t>
            </w:r>
            <w:r>
              <w:rPr>
                <w:color w:val="231F20"/>
                <w:w w:val="90"/>
                <w:sz w:val="14"/>
              </w:rPr>
              <w:t>with</w:t>
            </w:r>
            <w:r>
              <w:rPr>
                <w:color w:val="231F20"/>
                <w:spacing w:val="-8"/>
                <w:w w:val="90"/>
                <w:sz w:val="14"/>
              </w:rPr>
              <w:t xml:space="preserve"> </w:t>
            </w:r>
            <w:r>
              <w:rPr>
                <w:color w:val="231F20"/>
                <w:w w:val="90"/>
                <w:sz w:val="14"/>
              </w:rPr>
              <w:t>WDC</w:t>
            </w:r>
            <w:r>
              <w:rPr>
                <w:color w:val="231F20"/>
                <w:spacing w:val="-8"/>
                <w:w w:val="90"/>
                <w:sz w:val="14"/>
              </w:rPr>
              <w:t xml:space="preserve"> </w:t>
            </w:r>
            <w:r>
              <w:rPr>
                <w:color w:val="231F20"/>
                <w:w w:val="90"/>
                <w:sz w:val="14"/>
              </w:rPr>
              <w:t>to</w:t>
            </w:r>
            <w:r>
              <w:rPr>
                <w:color w:val="231F20"/>
                <w:spacing w:val="-8"/>
                <w:w w:val="90"/>
                <w:sz w:val="14"/>
              </w:rPr>
              <w:t xml:space="preserve"> </w:t>
            </w:r>
            <w:r>
              <w:rPr>
                <w:color w:val="231F20"/>
                <w:w w:val="90"/>
                <w:sz w:val="14"/>
              </w:rPr>
              <w:t>mobilize</w:t>
            </w:r>
            <w:r>
              <w:rPr>
                <w:color w:val="231F20"/>
                <w:spacing w:val="-8"/>
                <w:w w:val="90"/>
                <w:sz w:val="14"/>
              </w:rPr>
              <w:t xml:space="preserve"> </w:t>
            </w:r>
            <w:r>
              <w:rPr>
                <w:color w:val="231F20"/>
                <w:w w:val="90"/>
                <w:sz w:val="14"/>
              </w:rPr>
              <w:t xml:space="preserve">communities </w:t>
            </w:r>
            <w:r>
              <w:rPr>
                <w:color w:val="231F20"/>
                <w:sz w:val="14"/>
              </w:rPr>
              <w:t>to</w:t>
            </w:r>
            <w:r>
              <w:rPr>
                <w:color w:val="231F20"/>
                <w:spacing w:val="-15"/>
                <w:sz w:val="14"/>
              </w:rPr>
              <w:t xml:space="preserve"> </w:t>
            </w:r>
            <w:r>
              <w:rPr>
                <w:color w:val="231F20"/>
                <w:sz w:val="14"/>
              </w:rPr>
              <w:t>undertake</w:t>
            </w:r>
            <w:r>
              <w:rPr>
                <w:color w:val="231F20"/>
                <w:spacing w:val="-15"/>
                <w:sz w:val="14"/>
              </w:rPr>
              <w:t xml:space="preserve"> </w:t>
            </w:r>
            <w:r>
              <w:rPr>
                <w:color w:val="231F20"/>
                <w:sz w:val="14"/>
              </w:rPr>
              <w:t>IVM</w:t>
            </w:r>
            <w:r>
              <w:rPr>
                <w:color w:val="231F20"/>
                <w:spacing w:val="-15"/>
                <w:sz w:val="14"/>
              </w:rPr>
              <w:t xml:space="preserve"> </w:t>
            </w:r>
            <w:r>
              <w:rPr>
                <w:color w:val="231F20"/>
                <w:sz w:val="14"/>
              </w:rPr>
              <w:t>measures</w:t>
            </w:r>
            <w:r>
              <w:rPr>
                <w:color w:val="231F20"/>
                <w:spacing w:val="-15"/>
                <w:sz w:val="14"/>
              </w:rPr>
              <w:t xml:space="preserve"> </w:t>
            </w:r>
            <w:r>
              <w:rPr>
                <w:color w:val="231F20"/>
                <w:sz w:val="14"/>
              </w:rPr>
              <w:t>done</w:t>
            </w:r>
          </w:p>
        </w:tc>
        <w:tc>
          <w:tcPr>
            <w:tcW w:w="1496" w:type="dxa"/>
            <w:tcBorders>
              <w:top w:val="single" w:sz="6" w:space="0" w:color="231F20"/>
              <w:left w:val="single" w:sz="6" w:space="0" w:color="231F20"/>
              <w:bottom w:val="single" w:sz="6" w:space="0" w:color="231F20"/>
            </w:tcBorders>
            <w:shd w:val="clear" w:color="auto" w:fill="CCE7D3"/>
          </w:tcPr>
          <w:p w14:paraId="3DDF61CD" w14:textId="77777777" w:rsidR="009948F1" w:rsidRDefault="009948F1">
            <w:pPr>
              <w:pStyle w:val="TableParagraph"/>
              <w:rPr>
                <w:rFonts w:ascii="Times New Roman"/>
                <w:sz w:val="12"/>
              </w:rPr>
            </w:pPr>
          </w:p>
        </w:tc>
        <w:tc>
          <w:tcPr>
            <w:tcW w:w="1576" w:type="dxa"/>
            <w:tcBorders>
              <w:top w:val="single" w:sz="6" w:space="0" w:color="231F20"/>
              <w:bottom w:val="single" w:sz="6" w:space="0" w:color="231F20"/>
              <w:right w:val="single" w:sz="6" w:space="0" w:color="231F20"/>
            </w:tcBorders>
            <w:shd w:val="clear" w:color="auto" w:fill="CCE7D3"/>
          </w:tcPr>
          <w:p w14:paraId="3DB7C7D2" w14:textId="77777777" w:rsidR="009948F1" w:rsidRDefault="009948F1">
            <w:pPr>
              <w:pStyle w:val="TableParagraph"/>
              <w:rPr>
                <w:rFonts w:ascii="Times New Roman"/>
                <w:sz w:val="12"/>
              </w:rPr>
            </w:pPr>
          </w:p>
        </w:tc>
      </w:tr>
    </w:tbl>
    <w:p w14:paraId="2863059F" w14:textId="77777777" w:rsidR="009948F1" w:rsidRDefault="009948F1">
      <w:pPr>
        <w:rPr>
          <w:rFonts w:ascii="Times New Roman"/>
          <w:sz w:val="12"/>
        </w:rPr>
        <w:sectPr w:rsidR="009948F1">
          <w:pgSz w:w="11910" w:h="16840"/>
          <w:pgMar w:top="1280" w:right="1080" w:bottom="1340" w:left="1120" w:header="0" w:footer="1155" w:gutter="0"/>
          <w:cols w:space="720"/>
        </w:sectPr>
      </w:pPr>
    </w:p>
    <w:tbl>
      <w:tblPr>
        <w:tblW w:w="0" w:type="auto"/>
        <w:tblInd w:w="16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0"/>
        <w:gridCol w:w="557"/>
        <w:gridCol w:w="2660"/>
        <w:gridCol w:w="2525"/>
        <w:gridCol w:w="1511"/>
        <w:gridCol w:w="1594"/>
      </w:tblGrid>
      <w:tr w:rsidR="009948F1" w14:paraId="1EF520D2" w14:textId="77777777">
        <w:trPr>
          <w:trHeight w:val="618"/>
        </w:trPr>
        <w:tc>
          <w:tcPr>
            <w:tcW w:w="490" w:type="dxa"/>
            <w:vMerge w:val="restart"/>
            <w:tcBorders>
              <w:left w:val="single" w:sz="6" w:space="0" w:color="231F20"/>
              <w:right w:val="single" w:sz="6" w:space="0" w:color="231F20"/>
            </w:tcBorders>
          </w:tcPr>
          <w:p w14:paraId="79DB73E2" w14:textId="77777777" w:rsidR="009948F1" w:rsidRDefault="009948F1">
            <w:pPr>
              <w:pStyle w:val="TableParagraph"/>
              <w:rPr>
                <w:rFonts w:ascii="Times New Roman"/>
                <w:sz w:val="12"/>
              </w:rPr>
            </w:pPr>
          </w:p>
        </w:tc>
        <w:tc>
          <w:tcPr>
            <w:tcW w:w="557" w:type="dxa"/>
            <w:tcBorders>
              <w:left w:val="single" w:sz="6" w:space="0" w:color="231F20"/>
              <w:right w:val="single" w:sz="6" w:space="0" w:color="231F20"/>
            </w:tcBorders>
          </w:tcPr>
          <w:p w14:paraId="72F99E1C" w14:textId="77777777" w:rsidR="009948F1" w:rsidRDefault="009948F1">
            <w:pPr>
              <w:pStyle w:val="TableParagraph"/>
              <w:spacing w:before="11"/>
              <w:rPr>
                <w:sz w:val="15"/>
              </w:rPr>
            </w:pPr>
          </w:p>
          <w:p w14:paraId="6D337F7F" w14:textId="77777777" w:rsidR="009948F1" w:rsidRDefault="00BC0563">
            <w:pPr>
              <w:pStyle w:val="TableParagraph"/>
              <w:ind w:left="51" w:right="30"/>
              <w:jc w:val="center"/>
              <w:rPr>
                <w:sz w:val="20"/>
              </w:rPr>
            </w:pPr>
            <w:bookmarkStart w:id="170" w:name="Page_144"/>
            <w:bookmarkEnd w:id="170"/>
            <w:r>
              <w:rPr>
                <w:color w:val="231F20"/>
                <w:w w:val="65"/>
                <w:sz w:val="20"/>
              </w:rPr>
              <w:t>5.5.3.a</w:t>
            </w:r>
          </w:p>
        </w:tc>
        <w:tc>
          <w:tcPr>
            <w:tcW w:w="5185" w:type="dxa"/>
            <w:gridSpan w:val="2"/>
            <w:tcBorders>
              <w:left w:val="single" w:sz="6" w:space="0" w:color="231F20"/>
              <w:right w:val="single" w:sz="6" w:space="0" w:color="231F20"/>
            </w:tcBorders>
          </w:tcPr>
          <w:p w14:paraId="6BAF178E" w14:textId="77777777" w:rsidR="009948F1" w:rsidRDefault="00BC0563">
            <w:pPr>
              <w:pStyle w:val="TableParagraph"/>
              <w:spacing w:before="54" w:line="256" w:lineRule="auto"/>
              <w:ind w:left="26" w:right="285"/>
              <w:rPr>
                <w:sz w:val="20"/>
              </w:rPr>
            </w:pPr>
            <w:r>
              <w:rPr>
                <w:color w:val="231F20"/>
                <w:w w:val="65"/>
                <w:sz w:val="20"/>
              </w:rPr>
              <w:t>Conduct</w:t>
            </w:r>
            <w:r>
              <w:rPr>
                <w:color w:val="231F20"/>
                <w:spacing w:val="-14"/>
                <w:w w:val="65"/>
                <w:sz w:val="20"/>
              </w:rPr>
              <w:t xml:space="preserve"> </w:t>
            </w:r>
            <w:r>
              <w:rPr>
                <w:color w:val="231F20"/>
                <w:w w:val="65"/>
                <w:sz w:val="20"/>
              </w:rPr>
              <w:t>advocacy</w:t>
            </w:r>
            <w:r>
              <w:rPr>
                <w:color w:val="231F20"/>
                <w:spacing w:val="-15"/>
                <w:w w:val="65"/>
                <w:sz w:val="20"/>
              </w:rPr>
              <w:t xml:space="preserve"> </w:t>
            </w:r>
            <w:r>
              <w:rPr>
                <w:color w:val="231F20"/>
                <w:w w:val="65"/>
                <w:sz w:val="20"/>
              </w:rPr>
              <w:t>visit</w:t>
            </w:r>
            <w:r>
              <w:rPr>
                <w:color w:val="231F20"/>
                <w:spacing w:val="-14"/>
                <w:w w:val="65"/>
                <w:sz w:val="20"/>
              </w:rPr>
              <w:t xml:space="preserve"> </w:t>
            </w:r>
            <w:r>
              <w:rPr>
                <w:color w:val="231F20"/>
                <w:w w:val="65"/>
                <w:sz w:val="20"/>
              </w:rPr>
              <w:t>to</w:t>
            </w:r>
            <w:r>
              <w:rPr>
                <w:color w:val="231F20"/>
                <w:spacing w:val="-14"/>
                <w:w w:val="65"/>
                <w:sz w:val="20"/>
              </w:rPr>
              <w:t xml:space="preserve"> </w:t>
            </w:r>
            <w:r>
              <w:rPr>
                <w:color w:val="231F20"/>
                <w:w w:val="65"/>
                <w:sz w:val="20"/>
              </w:rPr>
              <w:t>Ministry</w:t>
            </w:r>
            <w:r>
              <w:rPr>
                <w:color w:val="231F20"/>
                <w:spacing w:val="-14"/>
                <w:w w:val="65"/>
                <w:sz w:val="20"/>
              </w:rPr>
              <w:t xml:space="preserve"> </w:t>
            </w:r>
            <w:r>
              <w:rPr>
                <w:color w:val="231F20"/>
                <w:w w:val="65"/>
                <w:sz w:val="20"/>
              </w:rPr>
              <w:t>of</w:t>
            </w:r>
            <w:r>
              <w:rPr>
                <w:color w:val="231F20"/>
                <w:spacing w:val="-14"/>
                <w:w w:val="65"/>
                <w:sz w:val="20"/>
              </w:rPr>
              <w:t xml:space="preserve"> </w:t>
            </w:r>
            <w:r>
              <w:rPr>
                <w:color w:val="231F20"/>
                <w:w w:val="65"/>
                <w:sz w:val="20"/>
              </w:rPr>
              <w:t>Environment</w:t>
            </w:r>
            <w:r>
              <w:rPr>
                <w:color w:val="231F20"/>
                <w:spacing w:val="-14"/>
                <w:w w:val="65"/>
                <w:sz w:val="20"/>
              </w:rPr>
              <w:t xml:space="preserve"> </w:t>
            </w:r>
            <w:r>
              <w:rPr>
                <w:color w:val="231F20"/>
                <w:w w:val="65"/>
                <w:sz w:val="20"/>
              </w:rPr>
              <w:t>for</w:t>
            </w:r>
            <w:r>
              <w:rPr>
                <w:color w:val="231F20"/>
                <w:spacing w:val="-14"/>
                <w:w w:val="65"/>
                <w:sz w:val="20"/>
              </w:rPr>
              <w:t xml:space="preserve"> </w:t>
            </w:r>
            <w:r>
              <w:rPr>
                <w:color w:val="231F20"/>
                <w:w w:val="65"/>
                <w:sz w:val="20"/>
              </w:rPr>
              <w:t>increased</w:t>
            </w:r>
            <w:r>
              <w:rPr>
                <w:color w:val="231F20"/>
                <w:spacing w:val="-14"/>
                <w:w w:val="65"/>
                <w:sz w:val="20"/>
              </w:rPr>
              <w:t xml:space="preserve"> </w:t>
            </w:r>
            <w:r>
              <w:rPr>
                <w:color w:val="231F20"/>
                <w:w w:val="65"/>
                <w:sz w:val="20"/>
              </w:rPr>
              <w:t>coverage</w:t>
            </w:r>
            <w:r>
              <w:rPr>
                <w:color w:val="231F20"/>
                <w:spacing w:val="-14"/>
                <w:w w:val="65"/>
                <w:sz w:val="20"/>
              </w:rPr>
              <w:t xml:space="preserve"> </w:t>
            </w:r>
            <w:r>
              <w:rPr>
                <w:color w:val="231F20"/>
                <w:w w:val="65"/>
                <w:sz w:val="20"/>
              </w:rPr>
              <w:t>of</w:t>
            </w:r>
            <w:r>
              <w:rPr>
                <w:color w:val="231F20"/>
                <w:spacing w:val="-14"/>
                <w:w w:val="65"/>
                <w:sz w:val="20"/>
              </w:rPr>
              <w:t xml:space="preserve"> </w:t>
            </w:r>
            <w:r>
              <w:rPr>
                <w:color w:val="231F20"/>
                <w:w w:val="65"/>
                <w:sz w:val="20"/>
              </w:rPr>
              <w:t>safe</w:t>
            </w:r>
            <w:r>
              <w:rPr>
                <w:color w:val="231F20"/>
                <w:spacing w:val="-14"/>
                <w:w w:val="65"/>
                <w:sz w:val="20"/>
              </w:rPr>
              <w:t xml:space="preserve"> </w:t>
            </w:r>
            <w:r>
              <w:rPr>
                <w:color w:val="231F20"/>
                <w:w w:val="65"/>
                <w:sz w:val="20"/>
              </w:rPr>
              <w:t xml:space="preserve">water </w:t>
            </w:r>
            <w:r>
              <w:rPr>
                <w:color w:val="231F20"/>
                <w:w w:val="75"/>
                <w:sz w:val="20"/>
              </w:rPr>
              <w:t>supply and</w:t>
            </w:r>
            <w:r>
              <w:rPr>
                <w:color w:val="231F20"/>
                <w:spacing w:val="-19"/>
                <w:w w:val="75"/>
                <w:sz w:val="20"/>
              </w:rPr>
              <w:t xml:space="preserve"> </w:t>
            </w:r>
            <w:r>
              <w:rPr>
                <w:color w:val="231F20"/>
                <w:w w:val="75"/>
                <w:sz w:val="20"/>
              </w:rPr>
              <w:t>sanitation</w:t>
            </w:r>
          </w:p>
        </w:tc>
        <w:tc>
          <w:tcPr>
            <w:tcW w:w="1511" w:type="dxa"/>
            <w:tcBorders>
              <w:left w:val="single" w:sz="6" w:space="0" w:color="231F20"/>
              <w:right w:val="single" w:sz="6" w:space="0" w:color="231F20"/>
            </w:tcBorders>
          </w:tcPr>
          <w:p w14:paraId="37279C7F" w14:textId="77777777" w:rsidR="009948F1" w:rsidRDefault="009948F1">
            <w:pPr>
              <w:pStyle w:val="TableParagraph"/>
              <w:spacing w:before="11"/>
              <w:rPr>
                <w:sz w:val="15"/>
              </w:rPr>
            </w:pPr>
          </w:p>
          <w:p w14:paraId="05AB7BFF" w14:textId="77777777" w:rsidR="009948F1" w:rsidRDefault="00BC0563">
            <w:pPr>
              <w:pStyle w:val="TableParagraph"/>
              <w:ind w:left="26"/>
              <w:rPr>
                <w:sz w:val="20"/>
              </w:rPr>
            </w:pPr>
            <w:r>
              <w:rPr>
                <w:color w:val="231F20"/>
                <w:w w:val="75"/>
                <w:sz w:val="20"/>
              </w:rPr>
              <w:t>Lack of funds</w:t>
            </w:r>
          </w:p>
        </w:tc>
        <w:tc>
          <w:tcPr>
            <w:tcW w:w="1594" w:type="dxa"/>
            <w:tcBorders>
              <w:left w:val="single" w:sz="6" w:space="0" w:color="231F20"/>
            </w:tcBorders>
          </w:tcPr>
          <w:p w14:paraId="1EC0A088" w14:textId="77777777" w:rsidR="009948F1" w:rsidRDefault="009948F1">
            <w:pPr>
              <w:pStyle w:val="TableParagraph"/>
              <w:spacing w:before="11"/>
              <w:rPr>
                <w:sz w:val="15"/>
              </w:rPr>
            </w:pPr>
          </w:p>
          <w:p w14:paraId="5EDB5267" w14:textId="77777777" w:rsidR="009948F1" w:rsidRDefault="00BC0563">
            <w:pPr>
              <w:pStyle w:val="TableParagraph"/>
              <w:ind w:left="26"/>
              <w:rPr>
                <w:sz w:val="20"/>
              </w:rPr>
            </w:pPr>
            <w:r>
              <w:rPr>
                <w:color w:val="231F20"/>
                <w:w w:val="70"/>
                <w:sz w:val="20"/>
              </w:rPr>
              <w:t>Conduct advocacy visit</w:t>
            </w:r>
          </w:p>
        </w:tc>
      </w:tr>
      <w:tr w:rsidR="009948F1" w14:paraId="705D65A5" w14:textId="77777777">
        <w:trPr>
          <w:trHeight w:val="607"/>
        </w:trPr>
        <w:tc>
          <w:tcPr>
            <w:tcW w:w="490" w:type="dxa"/>
            <w:vMerge/>
            <w:tcBorders>
              <w:top w:val="nil"/>
              <w:left w:val="single" w:sz="6" w:space="0" w:color="231F20"/>
              <w:right w:val="single" w:sz="6" w:space="0" w:color="231F20"/>
            </w:tcBorders>
          </w:tcPr>
          <w:p w14:paraId="3CF8E53E" w14:textId="77777777" w:rsidR="009948F1" w:rsidRDefault="009948F1">
            <w:pPr>
              <w:rPr>
                <w:sz w:val="2"/>
                <w:szCs w:val="2"/>
              </w:rPr>
            </w:pPr>
          </w:p>
        </w:tc>
        <w:tc>
          <w:tcPr>
            <w:tcW w:w="557" w:type="dxa"/>
            <w:tcBorders>
              <w:left w:val="single" w:sz="6" w:space="0" w:color="231F20"/>
              <w:right w:val="single" w:sz="6" w:space="0" w:color="231F20"/>
            </w:tcBorders>
          </w:tcPr>
          <w:p w14:paraId="337F43E8" w14:textId="77777777" w:rsidR="009948F1" w:rsidRDefault="00BC0563">
            <w:pPr>
              <w:pStyle w:val="TableParagraph"/>
              <w:spacing w:before="179"/>
              <w:ind w:left="51" w:right="30"/>
              <w:jc w:val="center"/>
              <w:rPr>
                <w:sz w:val="20"/>
              </w:rPr>
            </w:pPr>
            <w:r>
              <w:rPr>
                <w:color w:val="231F20"/>
                <w:w w:val="65"/>
                <w:sz w:val="20"/>
              </w:rPr>
              <w:t>5.5.3.b</w:t>
            </w:r>
          </w:p>
        </w:tc>
        <w:tc>
          <w:tcPr>
            <w:tcW w:w="5185" w:type="dxa"/>
            <w:gridSpan w:val="2"/>
            <w:tcBorders>
              <w:left w:val="single" w:sz="6" w:space="0" w:color="231F20"/>
              <w:right w:val="single" w:sz="6" w:space="0" w:color="231F20"/>
            </w:tcBorders>
          </w:tcPr>
          <w:p w14:paraId="345CE097" w14:textId="77777777" w:rsidR="009948F1" w:rsidRDefault="00BC0563">
            <w:pPr>
              <w:pStyle w:val="TableParagraph"/>
              <w:spacing w:before="171"/>
              <w:ind w:left="26"/>
              <w:rPr>
                <w:sz w:val="20"/>
              </w:rPr>
            </w:pPr>
            <w:r>
              <w:rPr>
                <w:color w:val="231F20"/>
                <w:w w:val="75"/>
                <w:sz w:val="20"/>
              </w:rPr>
              <w:t>Set up intersectoral collaboration forum for water supply in the state</w:t>
            </w:r>
          </w:p>
        </w:tc>
        <w:tc>
          <w:tcPr>
            <w:tcW w:w="1511" w:type="dxa"/>
            <w:tcBorders>
              <w:left w:val="single" w:sz="6" w:space="0" w:color="231F20"/>
              <w:right w:val="single" w:sz="6" w:space="0" w:color="231F20"/>
            </w:tcBorders>
          </w:tcPr>
          <w:p w14:paraId="6A20DB5E" w14:textId="77777777" w:rsidR="009948F1" w:rsidRDefault="00BC0563">
            <w:pPr>
              <w:pStyle w:val="TableParagraph"/>
              <w:spacing w:before="179"/>
              <w:ind w:left="26"/>
              <w:rPr>
                <w:sz w:val="20"/>
              </w:rPr>
            </w:pPr>
            <w:r>
              <w:rPr>
                <w:color w:val="231F20"/>
                <w:w w:val="75"/>
                <w:sz w:val="20"/>
              </w:rPr>
              <w:t>Lack of funds</w:t>
            </w:r>
          </w:p>
        </w:tc>
        <w:tc>
          <w:tcPr>
            <w:tcW w:w="1594" w:type="dxa"/>
            <w:tcBorders>
              <w:left w:val="single" w:sz="6" w:space="0" w:color="231F20"/>
            </w:tcBorders>
          </w:tcPr>
          <w:p w14:paraId="098C8F2D" w14:textId="77777777" w:rsidR="009948F1" w:rsidRDefault="00BC0563">
            <w:pPr>
              <w:pStyle w:val="TableParagraph"/>
              <w:spacing w:before="57" w:line="256" w:lineRule="auto"/>
              <w:ind w:left="26"/>
              <w:rPr>
                <w:sz w:val="20"/>
              </w:rPr>
            </w:pPr>
            <w:r>
              <w:rPr>
                <w:color w:val="231F20"/>
                <w:w w:val="65"/>
                <w:sz w:val="20"/>
              </w:rPr>
              <w:t xml:space="preserve">Set up intersectoral </w:t>
            </w:r>
            <w:r>
              <w:rPr>
                <w:color w:val="231F20"/>
                <w:w w:val="60"/>
                <w:sz w:val="20"/>
              </w:rPr>
              <w:t>collaboration forum</w:t>
            </w:r>
          </w:p>
        </w:tc>
      </w:tr>
      <w:tr w:rsidR="009948F1" w14:paraId="5D016A11" w14:textId="77777777">
        <w:trPr>
          <w:trHeight w:val="571"/>
        </w:trPr>
        <w:tc>
          <w:tcPr>
            <w:tcW w:w="490" w:type="dxa"/>
            <w:vMerge/>
            <w:tcBorders>
              <w:top w:val="nil"/>
              <w:left w:val="single" w:sz="6" w:space="0" w:color="231F20"/>
              <w:right w:val="single" w:sz="6" w:space="0" w:color="231F20"/>
            </w:tcBorders>
          </w:tcPr>
          <w:p w14:paraId="4A1162E7" w14:textId="77777777" w:rsidR="009948F1" w:rsidRDefault="009948F1">
            <w:pPr>
              <w:rPr>
                <w:sz w:val="2"/>
                <w:szCs w:val="2"/>
              </w:rPr>
            </w:pPr>
          </w:p>
        </w:tc>
        <w:tc>
          <w:tcPr>
            <w:tcW w:w="557" w:type="dxa"/>
            <w:tcBorders>
              <w:left w:val="single" w:sz="6" w:space="0" w:color="231F20"/>
              <w:right w:val="single" w:sz="6" w:space="0" w:color="231F20"/>
            </w:tcBorders>
          </w:tcPr>
          <w:p w14:paraId="180C0A6B" w14:textId="77777777" w:rsidR="009948F1" w:rsidRDefault="00BC0563">
            <w:pPr>
              <w:pStyle w:val="TableParagraph"/>
              <w:spacing w:before="161"/>
              <w:ind w:left="51" w:right="30"/>
              <w:jc w:val="center"/>
              <w:rPr>
                <w:sz w:val="20"/>
              </w:rPr>
            </w:pPr>
            <w:r>
              <w:rPr>
                <w:color w:val="231F20"/>
                <w:w w:val="70"/>
                <w:sz w:val="20"/>
              </w:rPr>
              <w:t>5.5.3.c</w:t>
            </w:r>
          </w:p>
        </w:tc>
        <w:tc>
          <w:tcPr>
            <w:tcW w:w="5185" w:type="dxa"/>
            <w:gridSpan w:val="2"/>
            <w:tcBorders>
              <w:left w:val="single" w:sz="6" w:space="0" w:color="231F20"/>
              <w:right w:val="single" w:sz="6" w:space="0" w:color="231F20"/>
            </w:tcBorders>
          </w:tcPr>
          <w:p w14:paraId="20F85DD3" w14:textId="77777777" w:rsidR="009948F1" w:rsidRDefault="00BC0563">
            <w:pPr>
              <w:pStyle w:val="TableParagraph"/>
              <w:spacing w:before="153"/>
              <w:ind w:left="26"/>
              <w:rPr>
                <w:sz w:val="20"/>
              </w:rPr>
            </w:pPr>
            <w:r>
              <w:rPr>
                <w:color w:val="231F20"/>
                <w:w w:val="70"/>
                <w:sz w:val="20"/>
              </w:rPr>
              <w:t>Conduct periodic meeting for intersectoral collaboration forum for water supply</w:t>
            </w:r>
          </w:p>
        </w:tc>
        <w:tc>
          <w:tcPr>
            <w:tcW w:w="1511" w:type="dxa"/>
            <w:tcBorders>
              <w:left w:val="single" w:sz="6" w:space="0" w:color="231F20"/>
              <w:right w:val="single" w:sz="6" w:space="0" w:color="231F20"/>
            </w:tcBorders>
          </w:tcPr>
          <w:p w14:paraId="73342EE8" w14:textId="77777777" w:rsidR="009948F1" w:rsidRDefault="00BC0563">
            <w:pPr>
              <w:pStyle w:val="TableParagraph"/>
              <w:spacing w:before="161"/>
              <w:ind w:left="26"/>
              <w:rPr>
                <w:sz w:val="20"/>
              </w:rPr>
            </w:pPr>
            <w:r>
              <w:rPr>
                <w:color w:val="231F20"/>
                <w:w w:val="75"/>
                <w:sz w:val="20"/>
              </w:rPr>
              <w:t>Lack of funds</w:t>
            </w:r>
          </w:p>
        </w:tc>
        <w:tc>
          <w:tcPr>
            <w:tcW w:w="1594" w:type="dxa"/>
            <w:tcBorders>
              <w:left w:val="single" w:sz="6" w:space="0" w:color="231F20"/>
            </w:tcBorders>
          </w:tcPr>
          <w:p w14:paraId="33F87085" w14:textId="77777777" w:rsidR="009948F1" w:rsidRDefault="00BC0563">
            <w:pPr>
              <w:pStyle w:val="TableParagraph"/>
              <w:spacing w:before="161"/>
              <w:ind w:left="26"/>
              <w:rPr>
                <w:sz w:val="20"/>
              </w:rPr>
            </w:pPr>
            <w:r>
              <w:rPr>
                <w:color w:val="231F20"/>
                <w:w w:val="75"/>
                <w:sz w:val="20"/>
              </w:rPr>
              <w:t>Conduct meeting</w:t>
            </w:r>
          </w:p>
        </w:tc>
      </w:tr>
      <w:tr w:rsidR="009948F1" w14:paraId="5C23271D" w14:textId="77777777">
        <w:trPr>
          <w:trHeight w:val="571"/>
        </w:trPr>
        <w:tc>
          <w:tcPr>
            <w:tcW w:w="490" w:type="dxa"/>
            <w:vMerge/>
            <w:tcBorders>
              <w:top w:val="nil"/>
              <w:left w:val="single" w:sz="6" w:space="0" w:color="231F20"/>
              <w:right w:val="single" w:sz="6" w:space="0" w:color="231F20"/>
            </w:tcBorders>
          </w:tcPr>
          <w:p w14:paraId="1A4F0085" w14:textId="77777777" w:rsidR="009948F1" w:rsidRDefault="009948F1">
            <w:pPr>
              <w:rPr>
                <w:sz w:val="2"/>
                <w:szCs w:val="2"/>
              </w:rPr>
            </w:pPr>
          </w:p>
        </w:tc>
        <w:tc>
          <w:tcPr>
            <w:tcW w:w="557" w:type="dxa"/>
            <w:tcBorders>
              <w:left w:val="single" w:sz="6" w:space="0" w:color="231F20"/>
              <w:right w:val="single" w:sz="6" w:space="0" w:color="231F20"/>
            </w:tcBorders>
          </w:tcPr>
          <w:p w14:paraId="63D3A8D5" w14:textId="77777777" w:rsidR="009948F1" w:rsidRDefault="00BC0563">
            <w:pPr>
              <w:pStyle w:val="TableParagraph"/>
              <w:spacing w:before="161"/>
              <w:ind w:left="51" w:right="30"/>
              <w:jc w:val="center"/>
              <w:rPr>
                <w:sz w:val="20"/>
              </w:rPr>
            </w:pPr>
            <w:r>
              <w:rPr>
                <w:color w:val="231F20"/>
                <w:w w:val="65"/>
                <w:sz w:val="20"/>
              </w:rPr>
              <w:t>5.5.3.d</w:t>
            </w:r>
          </w:p>
        </w:tc>
        <w:tc>
          <w:tcPr>
            <w:tcW w:w="5185" w:type="dxa"/>
            <w:gridSpan w:val="2"/>
            <w:tcBorders>
              <w:left w:val="single" w:sz="6" w:space="0" w:color="231F20"/>
              <w:right w:val="single" w:sz="6" w:space="0" w:color="231F20"/>
            </w:tcBorders>
          </w:tcPr>
          <w:p w14:paraId="4A00EE43" w14:textId="77777777" w:rsidR="009948F1" w:rsidRDefault="00BC0563">
            <w:pPr>
              <w:pStyle w:val="TableParagraph"/>
              <w:spacing w:before="153"/>
              <w:ind w:left="26"/>
              <w:rPr>
                <w:sz w:val="20"/>
              </w:rPr>
            </w:pPr>
            <w:r>
              <w:rPr>
                <w:color w:val="231F20"/>
                <w:w w:val="65"/>
                <w:sz w:val="20"/>
              </w:rPr>
              <w:t>Conduct</w:t>
            </w:r>
            <w:r>
              <w:rPr>
                <w:color w:val="231F20"/>
                <w:spacing w:val="-14"/>
                <w:w w:val="65"/>
                <w:sz w:val="20"/>
              </w:rPr>
              <w:t xml:space="preserve"> </w:t>
            </w:r>
            <w:r>
              <w:rPr>
                <w:color w:val="231F20"/>
                <w:w w:val="65"/>
                <w:sz w:val="20"/>
              </w:rPr>
              <w:t>advocacy</w:t>
            </w:r>
            <w:r>
              <w:rPr>
                <w:color w:val="231F20"/>
                <w:spacing w:val="-14"/>
                <w:w w:val="65"/>
                <w:sz w:val="20"/>
              </w:rPr>
              <w:t xml:space="preserve"> </w:t>
            </w:r>
            <w:r>
              <w:rPr>
                <w:color w:val="231F20"/>
                <w:w w:val="65"/>
                <w:sz w:val="20"/>
              </w:rPr>
              <w:t>meeting</w:t>
            </w:r>
            <w:r>
              <w:rPr>
                <w:color w:val="231F20"/>
                <w:spacing w:val="-14"/>
                <w:w w:val="65"/>
                <w:sz w:val="20"/>
              </w:rPr>
              <w:t xml:space="preserve"> </w:t>
            </w:r>
            <w:r>
              <w:rPr>
                <w:color w:val="231F20"/>
                <w:w w:val="65"/>
                <w:sz w:val="20"/>
              </w:rPr>
              <w:t>with</w:t>
            </w:r>
            <w:r>
              <w:rPr>
                <w:color w:val="231F20"/>
                <w:spacing w:val="-13"/>
                <w:w w:val="65"/>
                <w:sz w:val="20"/>
              </w:rPr>
              <w:t xml:space="preserve"> </w:t>
            </w:r>
            <w:r>
              <w:rPr>
                <w:color w:val="231F20"/>
                <w:w w:val="65"/>
                <w:sz w:val="20"/>
              </w:rPr>
              <w:t>WDC</w:t>
            </w:r>
            <w:r>
              <w:rPr>
                <w:color w:val="231F20"/>
                <w:spacing w:val="-14"/>
                <w:w w:val="65"/>
                <w:sz w:val="20"/>
              </w:rPr>
              <w:t xml:space="preserve"> </w:t>
            </w:r>
            <w:r>
              <w:rPr>
                <w:color w:val="231F20"/>
                <w:w w:val="65"/>
                <w:sz w:val="20"/>
              </w:rPr>
              <w:t>to</w:t>
            </w:r>
            <w:r>
              <w:rPr>
                <w:color w:val="231F20"/>
                <w:spacing w:val="-14"/>
                <w:w w:val="65"/>
                <w:sz w:val="20"/>
              </w:rPr>
              <w:t xml:space="preserve"> </w:t>
            </w:r>
            <w:r>
              <w:rPr>
                <w:color w:val="231F20"/>
                <w:w w:val="65"/>
                <w:sz w:val="20"/>
              </w:rPr>
              <w:t>mobilize</w:t>
            </w:r>
            <w:r>
              <w:rPr>
                <w:color w:val="231F20"/>
                <w:spacing w:val="-14"/>
                <w:w w:val="65"/>
                <w:sz w:val="20"/>
              </w:rPr>
              <w:t xml:space="preserve"> </w:t>
            </w:r>
            <w:r>
              <w:rPr>
                <w:color w:val="231F20"/>
                <w:w w:val="65"/>
                <w:sz w:val="20"/>
              </w:rPr>
              <w:t>communities</w:t>
            </w:r>
            <w:r>
              <w:rPr>
                <w:color w:val="231F20"/>
                <w:spacing w:val="-13"/>
                <w:w w:val="65"/>
                <w:sz w:val="20"/>
              </w:rPr>
              <w:t xml:space="preserve"> </w:t>
            </w:r>
            <w:r>
              <w:rPr>
                <w:color w:val="231F20"/>
                <w:w w:val="65"/>
                <w:sz w:val="20"/>
              </w:rPr>
              <w:t>to</w:t>
            </w:r>
            <w:r>
              <w:rPr>
                <w:color w:val="231F20"/>
                <w:spacing w:val="-14"/>
                <w:w w:val="65"/>
                <w:sz w:val="20"/>
              </w:rPr>
              <w:t xml:space="preserve"> </w:t>
            </w:r>
            <w:r>
              <w:rPr>
                <w:color w:val="231F20"/>
                <w:w w:val="65"/>
                <w:sz w:val="20"/>
              </w:rPr>
              <w:t>undertake</w:t>
            </w:r>
            <w:r>
              <w:rPr>
                <w:color w:val="231F20"/>
                <w:spacing w:val="-14"/>
                <w:w w:val="65"/>
                <w:sz w:val="20"/>
              </w:rPr>
              <w:t xml:space="preserve"> </w:t>
            </w:r>
            <w:r>
              <w:rPr>
                <w:color w:val="231F20"/>
                <w:w w:val="65"/>
                <w:sz w:val="20"/>
              </w:rPr>
              <w:t>IVM</w:t>
            </w:r>
            <w:r>
              <w:rPr>
                <w:color w:val="231F20"/>
                <w:spacing w:val="-14"/>
                <w:w w:val="65"/>
                <w:sz w:val="20"/>
              </w:rPr>
              <w:t xml:space="preserve"> </w:t>
            </w:r>
            <w:r>
              <w:rPr>
                <w:color w:val="231F20"/>
                <w:w w:val="65"/>
                <w:sz w:val="20"/>
              </w:rPr>
              <w:t>measures</w:t>
            </w:r>
          </w:p>
        </w:tc>
        <w:tc>
          <w:tcPr>
            <w:tcW w:w="1511" w:type="dxa"/>
            <w:tcBorders>
              <w:left w:val="single" w:sz="6" w:space="0" w:color="231F20"/>
              <w:right w:val="single" w:sz="6" w:space="0" w:color="231F20"/>
            </w:tcBorders>
          </w:tcPr>
          <w:p w14:paraId="20C155FC" w14:textId="77777777" w:rsidR="009948F1" w:rsidRDefault="00BC0563">
            <w:pPr>
              <w:pStyle w:val="TableParagraph"/>
              <w:spacing w:before="161"/>
              <w:ind w:left="26"/>
              <w:rPr>
                <w:sz w:val="20"/>
              </w:rPr>
            </w:pPr>
            <w:r>
              <w:rPr>
                <w:color w:val="231F20"/>
                <w:w w:val="75"/>
                <w:sz w:val="20"/>
              </w:rPr>
              <w:t>Lack of funds</w:t>
            </w:r>
          </w:p>
        </w:tc>
        <w:tc>
          <w:tcPr>
            <w:tcW w:w="1594" w:type="dxa"/>
            <w:tcBorders>
              <w:left w:val="single" w:sz="6" w:space="0" w:color="231F20"/>
            </w:tcBorders>
          </w:tcPr>
          <w:p w14:paraId="340C6FA0" w14:textId="77777777" w:rsidR="009948F1" w:rsidRDefault="00BC0563">
            <w:pPr>
              <w:pStyle w:val="TableParagraph"/>
              <w:spacing w:before="161"/>
              <w:ind w:left="26"/>
              <w:rPr>
                <w:sz w:val="20"/>
              </w:rPr>
            </w:pPr>
            <w:r>
              <w:rPr>
                <w:color w:val="231F20"/>
                <w:w w:val="65"/>
                <w:sz w:val="20"/>
              </w:rPr>
              <w:t>Conduct</w:t>
            </w:r>
            <w:r>
              <w:rPr>
                <w:color w:val="231F20"/>
                <w:spacing w:val="-19"/>
                <w:w w:val="65"/>
                <w:sz w:val="20"/>
              </w:rPr>
              <w:t xml:space="preserve"> </w:t>
            </w:r>
            <w:r>
              <w:rPr>
                <w:color w:val="231F20"/>
                <w:w w:val="65"/>
                <w:sz w:val="20"/>
              </w:rPr>
              <w:t>advocacy</w:t>
            </w:r>
            <w:r>
              <w:rPr>
                <w:color w:val="231F20"/>
                <w:spacing w:val="-18"/>
                <w:w w:val="65"/>
                <w:sz w:val="20"/>
              </w:rPr>
              <w:t xml:space="preserve"> </w:t>
            </w:r>
            <w:r>
              <w:rPr>
                <w:color w:val="231F20"/>
                <w:w w:val="65"/>
                <w:sz w:val="20"/>
              </w:rPr>
              <w:t>meeting</w:t>
            </w:r>
          </w:p>
        </w:tc>
      </w:tr>
      <w:tr w:rsidR="009948F1" w14:paraId="07196D29" w14:textId="77777777">
        <w:trPr>
          <w:trHeight w:val="1189"/>
        </w:trPr>
        <w:tc>
          <w:tcPr>
            <w:tcW w:w="490" w:type="dxa"/>
            <w:tcBorders>
              <w:right w:val="single" w:sz="6" w:space="0" w:color="231F20"/>
            </w:tcBorders>
            <w:shd w:val="clear" w:color="auto" w:fill="CCE7D3"/>
          </w:tcPr>
          <w:p w14:paraId="4BA06325" w14:textId="77777777" w:rsidR="009948F1" w:rsidRDefault="009948F1">
            <w:pPr>
              <w:pStyle w:val="TableParagraph"/>
              <w:rPr>
                <w:sz w:val="20"/>
              </w:rPr>
            </w:pPr>
          </w:p>
          <w:p w14:paraId="63085396" w14:textId="77777777" w:rsidR="009948F1" w:rsidRDefault="009948F1">
            <w:pPr>
              <w:pStyle w:val="TableParagraph"/>
              <w:spacing w:before="10"/>
              <w:rPr>
                <w:sz w:val="20"/>
              </w:rPr>
            </w:pPr>
          </w:p>
          <w:p w14:paraId="517B96D4" w14:textId="77777777" w:rsidR="009948F1" w:rsidRDefault="00BC0563">
            <w:pPr>
              <w:pStyle w:val="TableParagraph"/>
              <w:spacing w:before="1"/>
              <w:ind w:left="67"/>
              <w:rPr>
                <w:sz w:val="20"/>
              </w:rPr>
            </w:pPr>
            <w:r>
              <w:rPr>
                <w:color w:val="231F20"/>
                <w:w w:val="75"/>
                <w:sz w:val="20"/>
              </w:rPr>
              <w:t>5.5.4</w:t>
            </w:r>
          </w:p>
        </w:tc>
        <w:tc>
          <w:tcPr>
            <w:tcW w:w="3217" w:type="dxa"/>
            <w:gridSpan w:val="2"/>
            <w:tcBorders>
              <w:left w:val="single" w:sz="6" w:space="0" w:color="231F20"/>
              <w:right w:val="single" w:sz="6" w:space="0" w:color="231F20"/>
            </w:tcBorders>
            <w:shd w:val="clear" w:color="auto" w:fill="CCE7D3"/>
          </w:tcPr>
          <w:p w14:paraId="0D562E17" w14:textId="77777777" w:rsidR="009948F1" w:rsidRDefault="00BC0563">
            <w:pPr>
              <w:pStyle w:val="TableParagraph"/>
              <w:spacing w:before="93" w:line="256" w:lineRule="auto"/>
              <w:ind w:left="26" w:right="129" w:firstLine="34"/>
              <w:rPr>
                <w:sz w:val="20"/>
              </w:rPr>
            </w:pPr>
            <w:r>
              <w:rPr>
                <w:color w:val="231F20"/>
                <w:w w:val="65"/>
                <w:sz w:val="20"/>
              </w:rPr>
              <w:t xml:space="preserve">Increase access to integrated case management for NTDs (Buruli </w:t>
            </w:r>
            <w:proofErr w:type="spellStart"/>
            <w:r>
              <w:rPr>
                <w:color w:val="231F20"/>
                <w:w w:val="65"/>
                <w:sz w:val="20"/>
              </w:rPr>
              <w:t>Ulce</w:t>
            </w:r>
            <w:proofErr w:type="spellEnd"/>
            <w:r>
              <w:rPr>
                <w:color w:val="231F20"/>
                <w:w w:val="65"/>
                <w:sz w:val="20"/>
              </w:rPr>
              <w:t xml:space="preserve">, Leishmaniasis, Trypanosomiasis, </w:t>
            </w:r>
            <w:proofErr w:type="spellStart"/>
            <w:r>
              <w:rPr>
                <w:color w:val="231F20"/>
                <w:w w:val="65"/>
                <w:sz w:val="20"/>
              </w:rPr>
              <w:t>Loasis</w:t>
            </w:r>
            <w:proofErr w:type="spellEnd"/>
            <w:r>
              <w:rPr>
                <w:color w:val="231F20"/>
                <w:w w:val="65"/>
                <w:sz w:val="20"/>
              </w:rPr>
              <w:t xml:space="preserve">, Schistosomiasis, Zoonosis , soil-transmitted </w:t>
            </w:r>
            <w:r>
              <w:rPr>
                <w:color w:val="231F20"/>
                <w:w w:val="70"/>
                <w:sz w:val="20"/>
              </w:rPr>
              <w:t>helminthic infections, onchocerciasis, filariasis)</w:t>
            </w:r>
          </w:p>
        </w:tc>
        <w:tc>
          <w:tcPr>
            <w:tcW w:w="2525" w:type="dxa"/>
            <w:tcBorders>
              <w:left w:val="single" w:sz="6" w:space="0" w:color="231F20"/>
              <w:right w:val="single" w:sz="6" w:space="0" w:color="231F20"/>
            </w:tcBorders>
            <w:shd w:val="clear" w:color="auto" w:fill="CCE7D3"/>
          </w:tcPr>
          <w:p w14:paraId="3E32F17C" w14:textId="77777777" w:rsidR="009948F1" w:rsidRDefault="00BC0563">
            <w:pPr>
              <w:pStyle w:val="TableParagraph"/>
              <w:numPr>
                <w:ilvl w:val="0"/>
                <w:numId w:val="139"/>
              </w:numPr>
              <w:tabs>
                <w:tab w:val="left" w:pos="106"/>
              </w:tabs>
              <w:spacing w:before="101" w:line="256" w:lineRule="auto"/>
              <w:ind w:right="112" w:firstLine="0"/>
              <w:rPr>
                <w:sz w:val="20"/>
              </w:rPr>
            </w:pPr>
            <w:r>
              <w:rPr>
                <w:color w:val="231F20"/>
                <w:w w:val="70"/>
                <w:sz w:val="20"/>
              </w:rPr>
              <w:t xml:space="preserve">Jingles, town announcers and other </w:t>
            </w:r>
            <w:r>
              <w:rPr>
                <w:color w:val="231F20"/>
                <w:w w:val="65"/>
                <w:sz w:val="20"/>
              </w:rPr>
              <w:t>channels</w:t>
            </w:r>
            <w:r>
              <w:rPr>
                <w:color w:val="231F20"/>
                <w:spacing w:val="-15"/>
                <w:w w:val="65"/>
                <w:sz w:val="20"/>
              </w:rPr>
              <w:t xml:space="preserve"> </w:t>
            </w:r>
            <w:r>
              <w:rPr>
                <w:color w:val="231F20"/>
                <w:w w:val="65"/>
                <w:sz w:val="20"/>
              </w:rPr>
              <w:t>of</w:t>
            </w:r>
            <w:r>
              <w:rPr>
                <w:color w:val="231F20"/>
                <w:spacing w:val="-15"/>
                <w:w w:val="65"/>
                <w:sz w:val="20"/>
              </w:rPr>
              <w:t xml:space="preserve"> </w:t>
            </w:r>
            <w:r>
              <w:rPr>
                <w:color w:val="231F20"/>
                <w:w w:val="65"/>
                <w:sz w:val="20"/>
              </w:rPr>
              <w:t>communication</w:t>
            </w:r>
            <w:r>
              <w:rPr>
                <w:color w:val="231F20"/>
                <w:spacing w:val="-15"/>
                <w:w w:val="65"/>
                <w:sz w:val="20"/>
              </w:rPr>
              <w:t xml:space="preserve"> </w:t>
            </w:r>
            <w:r>
              <w:rPr>
                <w:color w:val="231F20"/>
                <w:w w:val="65"/>
                <w:sz w:val="20"/>
              </w:rPr>
              <w:t>on</w:t>
            </w:r>
            <w:r>
              <w:rPr>
                <w:color w:val="231F20"/>
                <w:spacing w:val="-15"/>
                <w:w w:val="65"/>
                <w:sz w:val="20"/>
              </w:rPr>
              <w:t xml:space="preserve"> </w:t>
            </w:r>
            <w:r>
              <w:rPr>
                <w:color w:val="231F20"/>
                <w:w w:val="65"/>
                <w:sz w:val="20"/>
              </w:rPr>
              <w:t>NTDs</w:t>
            </w:r>
            <w:r>
              <w:rPr>
                <w:color w:val="231F20"/>
                <w:spacing w:val="-14"/>
                <w:w w:val="65"/>
                <w:sz w:val="20"/>
              </w:rPr>
              <w:t xml:space="preserve"> </w:t>
            </w:r>
            <w:r>
              <w:rPr>
                <w:color w:val="231F20"/>
                <w:spacing w:val="-4"/>
                <w:w w:val="65"/>
                <w:sz w:val="20"/>
              </w:rPr>
              <w:t>done</w:t>
            </w:r>
          </w:p>
          <w:p w14:paraId="436706AD" w14:textId="77777777" w:rsidR="009948F1" w:rsidRDefault="00BC0563">
            <w:pPr>
              <w:pStyle w:val="TableParagraph"/>
              <w:spacing w:line="230" w:lineRule="exact"/>
              <w:ind w:left="26"/>
              <w:rPr>
                <w:sz w:val="20"/>
              </w:rPr>
            </w:pPr>
            <w:r>
              <w:rPr>
                <w:color w:val="231F20"/>
                <w:w w:val="62"/>
                <w:sz w:val="20"/>
              </w:rPr>
              <w:t>•</w:t>
            </w:r>
          </w:p>
          <w:p w14:paraId="6277F283" w14:textId="77777777" w:rsidR="009948F1" w:rsidRDefault="00BC0563">
            <w:pPr>
              <w:pStyle w:val="TableParagraph"/>
              <w:spacing w:before="16"/>
              <w:ind w:left="26"/>
              <w:rPr>
                <w:sz w:val="20"/>
              </w:rPr>
            </w:pPr>
            <w:r>
              <w:rPr>
                <w:color w:val="231F20"/>
                <w:w w:val="62"/>
                <w:sz w:val="20"/>
              </w:rPr>
              <w:t>•</w:t>
            </w:r>
          </w:p>
        </w:tc>
        <w:tc>
          <w:tcPr>
            <w:tcW w:w="1511" w:type="dxa"/>
            <w:tcBorders>
              <w:left w:val="single" w:sz="6" w:space="0" w:color="231F20"/>
              <w:right w:val="single" w:sz="12" w:space="0" w:color="231F20"/>
            </w:tcBorders>
            <w:shd w:val="clear" w:color="auto" w:fill="CCE7D3"/>
          </w:tcPr>
          <w:p w14:paraId="2E9F795C" w14:textId="77777777" w:rsidR="009948F1" w:rsidRDefault="009948F1">
            <w:pPr>
              <w:pStyle w:val="TableParagraph"/>
              <w:rPr>
                <w:rFonts w:ascii="Times New Roman"/>
                <w:sz w:val="12"/>
              </w:rPr>
            </w:pPr>
          </w:p>
        </w:tc>
        <w:tc>
          <w:tcPr>
            <w:tcW w:w="1594" w:type="dxa"/>
            <w:tcBorders>
              <w:left w:val="single" w:sz="12" w:space="0" w:color="231F20"/>
            </w:tcBorders>
            <w:shd w:val="clear" w:color="auto" w:fill="CCE7D3"/>
          </w:tcPr>
          <w:p w14:paraId="36FF9C3C" w14:textId="77777777" w:rsidR="009948F1" w:rsidRDefault="009948F1">
            <w:pPr>
              <w:pStyle w:val="TableParagraph"/>
              <w:rPr>
                <w:rFonts w:ascii="Times New Roman"/>
                <w:sz w:val="12"/>
              </w:rPr>
            </w:pPr>
          </w:p>
        </w:tc>
      </w:tr>
      <w:tr w:rsidR="009948F1" w14:paraId="71CAD4FF" w14:textId="77777777">
        <w:trPr>
          <w:trHeight w:val="801"/>
        </w:trPr>
        <w:tc>
          <w:tcPr>
            <w:tcW w:w="490" w:type="dxa"/>
            <w:tcBorders>
              <w:left w:val="single" w:sz="6" w:space="0" w:color="231F20"/>
              <w:right w:val="single" w:sz="6" w:space="0" w:color="231F20"/>
            </w:tcBorders>
          </w:tcPr>
          <w:p w14:paraId="757D7CAE" w14:textId="77777777" w:rsidR="009948F1" w:rsidRDefault="009948F1">
            <w:pPr>
              <w:pStyle w:val="TableParagraph"/>
              <w:rPr>
                <w:rFonts w:ascii="Times New Roman"/>
                <w:sz w:val="12"/>
              </w:rPr>
            </w:pPr>
          </w:p>
        </w:tc>
        <w:tc>
          <w:tcPr>
            <w:tcW w:w="557" w:type="dxa"/>
            <w:tcBorders>
              <w:left w:val="single" w:sz="6" w:space="0" w:color="231F20"/>
              <w:right w:val="single" w:sz="6" w:space="0" w:color="231F20"/>
            </w:tcBorders>
          </w:tcPr>
          <w:p w14:paraId="6A2527A7" w14:textId="77777777" w:rsidR="009948F1" w:rsidRDefault="009948F1">
            <w:pPr>
              <w:pStyle w:val="TableParagraph"/>
              <w:rPr>
                <w:sz w:val="24"/>
              </w:rPr>
            </w:pPr>
          </w:p>
          <w:p w14:paraId="2E6F2908" w14:textId="77777777" w:rsidR="009948F1" w:rsidRDefault="00BC0563">
            <w:pPr>
              <w:pStyle w:val="TableParagraph"/>
              <w:spacing w:before="1"/>
              <w:ind w:left="51" w:right="30"/>
              <w:jc w:val="center"/>
              <w:rPr>
                <w:sz w:val="20"/>
              </w:rPr>
            </w:pPr>
            <w:r>
              <w:rPr>
                <w:color w:val="231F20"/>
                <w:w w:val="65"/>
                <w:sz w:val="20"/>
              </w:rPr>
              <w:t>5.5.4.a</w:t>
            </w:r>
          </w:p>
        </w:tc>
        <w:tc>
          <w:tcPr>
            <w:tcW w:w="5185" w:type="dxa"/>
            <w:gridSpan w:val="2"/>
            <w:tcBorders>
              <w:left w:val="single" w:sz="6" w:space="0" w:color="231F20"/>
              <w:right w:val="single" w:sz="6" w:space="0" w:color="231F20"/>
            </w:tcBorders>
          </w:tcPr>
          <w:p w14:paraId="7985D8F1" w14:textId="77777777" w:rsidR="009948F1" w:rsidRDefault="00BC0563">
            <w:pPr>
              <w:pStyle w:val="TableParagraph"/>
              <w:spacing w:before="23" w:line="256" w:lineRule="auto"/>
              <w:ind w:left="26" w:right="20"/>
              <w:rPr>
                <w:sz w:val="20"/>
              </w:rPr>
            </w:pPr>
            <w:r>
              <w:rPr>
                <w:color w:val="231F20"/>
                <w:w w:val="65"/>
                <w:sz w:val="20"/>
              </w:rPr>
              <w:t>Awareness</w:t>
            </w:r>
            <w:r>
              <w:rPr>
                <w:color w:val="231F20"/>
                <w:spacing w:val="-18"/>
                <w:w w:val="65"/>
                <w:sz w:val="20"/>
              </w:rPr>
              <w:t xml:space="preserve"> </w:t>
            </w:r>
            <w:r>
              <w:rPr>
                <w:color w:val="231F20"/>
                <w:w w:val="65"/>
                <w:sz w:val="20"/>
              </w:rPr>
              <w:t>creation</w:t>
            </w:r>
            <w:r>
              <w:rPr>
                <w:color w:val="231F20"/>
                <w:spacing w:val="-18"/>
                <w:w w:val="65"/>
                <w:sz w:val="20"/>
              </w:rPr>
              <w:t xml:space="preserve"> </w:t>
            </w:r>
            <w:r>
              <w:rPr>
                <w:color w:val="231F20"/>
                <w:w w:val="65"/>
                <w:sz w:val="20"/>
              </w:rPr>
              <w:t>through</w:t>
            </w:r>
            <w:r>
              <w:rPr>
                <w:color w:val="231F20"/>
                <w:spacing w:val="-18"/>
                <w:w w:val="65"/>
                <w:sz w:val="20"/>
              </w:rPr>
              <w:t xml:space="preserve"> </w:t>
            </w:r>
            <w:r>
              <w:rPr>
                <w:color w:val="231F20"/>
                <w:w w:val="65"/>
                <w:sz w:val="20"/>
              </w:rPr>
              <w:t>jingles,</w:t>
            </w:r>
            <w:r>
              <w:rPr>
                <w:color w:val="231F20"/>
                <w:spacing w:val="-18"/>
                <w:w w:val="65"/>
                <w:sz w:val="20"/>
              </w:rPr>
              <w:t xml:space="preserve"> </w:t>
            </w:r>
            <w:r>
              <w:rPr>
                <w:color w:val="231F20"/>
                <w:w w:val="65"/>
                <w:sz w:val="20"/>
              </w:rPr>
              <w:t>town</w:t>
            </w:r>
            <w:r>
              <w:rPr>
                <w:color w:val="231F20"/>
                <w:spacing w:val="-18"/>
                <w:w w:val="65"/>
                <w:sz w:val="20"/>
              </w:rPr>
              <w:t xml:space="preserve"> </w:t>
            </w:r>
            <w:r>
              <w:rPr>
                <w:color w:val="231F20"/>
                <w:w w:val="65"/>
                <w:sz w:val="20"/>
              </w:rPr>
              <w:t>announcers</w:t>
            </w:r>
            <w:r>
              <w:rPr>
                <w:color w:val="231F20"/>
                <w:spacing w:val="-17"/>
                <w:w w:val="65"/>
                <w:sz w:val="20"/>
              </w:rPr>
              <w:t xml:space="preserve"> </w:t>
            </w:r>
            <w:r>
              <w:rPr>
                <w:color w:val="231F20"/>
                <w:w w:val="65"/>
                <w:sz w:val="20"/>
              </w:rPr>
              <w:t>and</w:t>
            </w:r>
            <w:r>
              <w:rPr>
                <w:color w:val="231F20"/>
                <w:spacing w:val="-18"/>
                <w:w w:val="65"/>
                <w:sz w:val="20"/>
              </w:rPr>
              <w:t xml:space="preserve"> </w:t>
            </w:r>
            <w:r>
              <w:rPr>
                <w:color w:val="231F20"/>
                <w:w w:val="65"/>
                <w:sz w:val="20"/>
              </w:rPr>
              <w:t>other</w:t>
            </w:r>
            <w:r>
              <w:rPr>
                <w:color w:val="231F20"/>
                <w:spacing w:val="-18"/>
                <w:w w:val="65"/>
                <w:sz w:val="20"/>
              </w:rPr>
              <w:t xml:space="preserve"> </w:t>
            </w:r>
            <w:r>
              <w:rPr>
                <w:color w:val="231F20"/>
                <w:w w:val="65"/>
                <w:sz w:val="20"/>
              </w:rPr>
              <w:t>channels</w:t>
            </w:r>
            <w:r>
              <w:rPr>
                <w:color w:val="231F20"/>
                <w:spacing w:val="-18"/>
                <w:w w:val="65"/>
                <w:sz w:val="20"/>
              </w:rPr>
              <w:t xml:space="preserve"> </w:t>
            </w:r>
            <w:r>
              <w:rPr>
                <w:color w:val="231F20"/>
                <w:w w:val="65"/>
                <w:sz w:val="20"/>
              </w:rPr>
              <w:t>of</w:t>
            </w:r>
            <w:r>
              <w:rPr>
                <w:color w:val="231F20"/>
                <w:spacing w:val="-18"/>
                <w:w w:val="65"/>
                <w:sz w:val="20"/>
              </w:rPr>
              <w:t xml:space="preserve"> </w:t>
            </w:r>
            <w:r>
              <w:rPr>
                <w:color w:val="231F20"/>
                <w:w w:val="65"/>
                <w:sz w:val="20"/>
              </w:rPr>
              <w:t xml:space="preserve">communication </w:t>
            </w:r>
            <w:r>
              <w:rPr>
                <w:color w:val="231F20"/>
                <w:w w:val="75"/>
                <w:sz w:val="20"/>
              </w:rPr>
              <w:t>on</w:t>
            </w:r>
            <w:r>
              <w:rPr>
                <w:color w:val="231F20"/>
                <w:spacing w:val="-8"/>
                <w:w w:val="75"/>
                <w:sz w:val="20"/>
              </w:rPr>
              <w:t xml:space="preserve"> </w:t>
            </w:r>
            <w:r>
              <w:rPr>
                <w:color w:val="231F20"/>
                <w:w w:val="75"/>
                <w:sz w:val="20"/>
              </w:rPr>
              <w:t>NTDs</w:t>
            </w:r>
          </w:p>
        </w:tc>
        <w:tc>
          <w:tcPr>
            <w:tcW w:w="1511" w:type="dxa"/>
            <w:tcBorders>
              <w:left w:val="single" w:sz="6" w:space="0" w:color="231F20"/>
              <w:right w:val="single" w:sz="6" w:space="0" w:color="231F20"/>
            </w:tcBorders>
          </w:tcPr>
          <w:p w14:paraId="1EE088DE" w14:textId="77777777" w:rsidR="009948F1" w:rsidRDefault="009948F1">
            <w:pPr>
              <w:pStyle w:val="TableParagraph"/>
              <w:rPr>
                <w:sz w:val="24"/>
              </w:rPr>
            </w:pPr>
          </w:p>
          <w:p w14:paraId="26EF751B" w14:textId="77777777" w:rsidR="009948F1" w:rsidRDefault="00BC0563">
            <w:pPr>
              <w:pStyle w:val="TableParagraph"/>
              <w:spacing w:before="1"/>
              <w:ind w:left="26"/>
              <w:rPr>
                <w:sz w:val="20"/>
              </w:rPr>
            </w:pPr>
            <w:r>
              <w:rPr>
                <w:color w:val="231F20"/>
                <w:w w:val="75"/>
                <w:sz w:val="20"/>
              </w:rPr>
              <w:t>Lack of funds</w:t>
            </w:r>
          </w:p>
        </w:tc>
        <w:tc>
          <w:tcPr>
            <w:tcW w:w="1594" w:type="dxa"/>
            <w:tcBorders>
              <w:left w:val="single" w:sz="6" w:space="0" w:color="231F20"/>
            </w:tcBorders>
          </w:tcPr>
          <w:p w14:paraId="4B6C5916" w14:textId="77777777" w:rsidR="009948F1" w:rsidRDefault="009948F1">
            <w:pPr>
              <w:pStyle w:val="TableParagraph"/>
              <w:rPr>
                <w:sz w:val="24"/>
              </w:rPr>
            </w:pPr>
          </w:p>
          <w:p w14:paraId="16A27763" w14:textId="77777777" w:rsidR="009948F1" w:rsidRDefault="00BC0563">
            <w:pPr>
              <w:pStyle w:val="TableParagraph"/>
              <w:spacing w:before="1"/>
              <w:ind w:left="26"/>
              <w:rPr>
                <w:sz w:val="20"/>
              </w:rPr>
            </w:pPr>
            <w:r>
              <w:rPr>
                <w:color w:val="231F20"/>
                <w:w w:val="75"/>
                <w:sz w:val="20"/>
              </w:rPr>
              <w:t>Create awareness</w:t>
            </w:r>
          </w:p>
        </w:tc>
      </w:tr>
      <w:tr w:rsidR="009948F1" w14:paraId="5C4C0CED" w14:textId="77777777">
        <w:trPr>
          <w:trHeight w:val="1745"/>
        </w:trPr>
        <w:tc>
          <w:tcPr>
            <w:tcW w:w="490" w:type="dxa"/>
            <w:tcBorders>
              <w:right w:val="single" w:sz="6" w:space="0" w:color="231F20"/>
            </w:tcBorders>
            <w:shd w:val="clear" w:color="auto" w:fill="CCE7D3"/>
          </w:tcPr>
          <w:p w14:paraId="0D5A3825" w14:textId="77777777" w:rsidR="009948F1" w:rsidRDefault="009948F1">
            <w:pPr>
              <w:pStyle w:val="TableParagraph"/>
              <w:rPr>
                <w:sz w:val="20"/>
              </w:rPr>
            </w:pPr>
          </w:p>
          <w:p w14:paraId="5928A082" w14:textId="77777777" w:rsidR="009948F1" w:rsidRDefault="009948F1">
            <w:pPr>
              <w:pStyle w:val="TableParagraph"/>
              <w:rPr>
                <w:sz w:val="20"/>
              </w:rPr>
            </w:pPr>
          </w:p>
          <w:p w14:paraId="06A2767E" w14:textId="77777777" w:rsidR="009948F1" w:rsidRDefault="009948F1">
            <w:pPr>
              <w:pStyle w:val="TableParagraph"/>
              <w:spacing w:before="1"/>
              <w:rPr>
                <w:sz w:val="25"/>
              </w:rPr>
            </w:pPr>
          </w:p>
          <w:p w14:paraId="21A87C65" w14:textId="77777777" w:rsidR="009948F1" w:rsidRDefault="00BC0563">
            <w:pPr>
              <w:pStyle w:val="TableParagraph"/>
              <w:ind w:left="67"/>
              <w:rPr>
                <w:sz w:val="20"/>
              </w:rPr>
            </w:pPr>
            <w:r>
              <w:rPr>
                <w:color w:val="231F20"/>
                <w:w w:val="75"/>
                <w:sz w:val="20"/>
              </w:rPr>
              <w:t>5.5.5</w:t>
            </w:r>
          </w:p>
        </w:tc>
        <w:tc>
          <w:tcPr>
            <w:tcW w:w="3217" w:type="dxa"/>
            <w:gridSpan w:val="2"/>
            <w:tcBorders>
              <w:left w:val="single" w:sz="6" w:space="0" w:color="231F20"/>
              <w:right w:val="single" w:sz="6" w:space="0" w:color="231F20"/>
            </w:tcBorders>
            <w:shd w:val="clear" w:color="auto" w:fill="CCE7D3"/>
          </w:tcPr>
          <w:p w14:paraId="57B8E025" w14:textId="77777777" w:rsidR="009948F1" w:rsidRDefault="009948F1">
            <w:pPr>
              <w:pStyle w:val="TableParagraph"/>
              <w:rPr>
                <w:sz w:val="20"/>
              </w:rPr>
            </w:pPr>
          </w:p>
          <w:p w14:paraId="6A7BC0C8" w14:textId="77777777" w:rsidR="009948F1" w:rsidRDefault="009948F1">
            <w:pPr>
              <w:pStyle w:val="TableParagraph"/>
              <w:rPr>
                <w:sz w:val="20"/>
              </w:rPr>
            </w:pPr>
          </w:p>
          <w:p w14:paraId="289FB497" w14:textId="77777777" w:rsidR="009948F1" w:rsidRDefault="00BC0563">
            <w:pPr>
              <w:pStyle w:val="TableParagraph"/>
              <w:spacing w:before="157" w:line="256" w:lineRule="auto"/>
              <w:ind w:left="26" w:right="516" w:firstLine="34"/>
              <w:rPr>
                <w:sz w:val="20"/>
              </w:rPr>
            </w:pPr>
            <w:r>
              <w:rPr>
                <w:color w:val="231F20"/>
                <w:w w:val="65"/>
                <w:sz w:val="20"/>
              </w:rPr>
              <w:t>Strengthen</w:t>
            </w:r>
            <w:r>
              <w:rPr>
                <w:color w:val="231F20"/>
                <w:spacing w:val="-18"/>
                <w:w w:val="65"/>
                <w:sz w:val="20"/>
              </w:rPr>
              <w:t xml:space="preserve"> </w:t>
            </w:r>
            <w:r>
              <w:rPr>
                <w:color w:val="231F20"/>
                <w:w w:val="65"/>
                <w:sz w:val="20"/>
              </w:rPr>
              <w:t>capacity</w:t>
            </w:r>
            <w:r>
              <w:rPr>
                <w:color w:val="231F20"/>
                <w:spacing w:val="-18"/>
                <w:w w:val="65"/>
                <w:sz w:val="20"/>
              </w:rPr>
              <w:t xml:space="preserve"> </w:t>
            </w:r>
            <w:r>
              <w:rPr>
                <w:color w:val="231F20"/>
                <w:w w:val="65"/>
                <w:sz w:val="20"/>
              </w:rPr>
              <w:t>for</w:t>
            </w:r>
            <w:r>
              <w:rPr>
                <w:color w:val="231F20"/>
                <w:spacing w:val="-18"/>
                <w:w w:val="65"/>
                <w:sz w:val="20"/>
              </w:rPr>
              <w:t xml:space="preserve"> </w:t>
            </w:r>
            <w:r>
              <w:rPr>
                <w:color w:val="231F20"/>
                <w:w w:val="65"/>
                <w:sz w:val="20"/>
              </w:rPr>
              <w:t>NTD</w:t>
            </w:r>
            <w:r>
              <w:rPr>
                <w:color w:val="231F20"/>
                <w:spacing w:val="-18"/>
                <w:w w:val="65"/>
                <w:sz w:val="20"/>
              </w:rPr>
              <w:t xml:space="preserve"> </w:t>
            </w:r>
            <w:r>
              <w:rPr>
                <w:color w:val="231F20"/>
                <w:w w:val="65"/>
                <w:sz w:val="20"/>
              </w:rPr>
              <w:t>programming</w:t>
            </w:r>
            <w:r>
              <w:rPr>
                <w:color w:val="231F20"/>
                <w:spacing w:val="-18"/>
                <w:w w:val="65"/>
                <w:sz w:val="20"/>
              </w:rPr>
              <w:t xml:space="preserve"> </w:t>
            </w:r>
            <w:r>
              <w:rPr>
                <w:color w:val="231F20"/>
                <w:w w:val="65"/>
                <w:sz w:val="20"/>
              </w:rPr>
              <w:t xml:space="preserve">and </w:t>
            </w:r>
            <w:r>
              <w:rPr>
                <w:color w:val="231F20"/>
                <w:w w:val="75"/>
                <w:sz w:val="20"/>
              </w:rPr>
              <w:t>implementation.</w:t>
            </w:r>
          </w:p>
        </w:tc>
        <w:tc>
          <w:tcPr>
            <w:tcW w:w="2525" w:type="dxa"/>
            <w:tcBorders>
              <w:left w:val="single" w:sz="6" w:space="0" w:color="231F20"/>
              <w:right w:val="single" w:sz="6" w:space="0" w:color="231F20"/>
            </w:tcBorders>
            <w:shd w:val="clear" w:color="auto" w:fill="CCE7D3"/>
          </w:tcPr>
          <w:p w14:paraId="11DFC8F8" w14:textId="77777777" w:rsidR="009948F1" w:rsidRDefault="00BC0563">
            <w:pPr>
              <w:pStyle w:val="TableParagraph"/>
              <w:numPr>
                <w:ilvl w:val="0"/>
                <w:numId w:val="138"/>
              </w:numPr>
              <w:tabs>
                <w:tab w:val="left" w:pos="99"/>
              </w:tabs>
              <w:spacing w:before="133" w:line="256" w:lineRule="auto"/>
              <w:ind w:right="138" w:firstLine="0"/>
              <w:rPr>
                <w:sz w:val="20"/>
              </w:rPr>
            </w:pPr>
            <w:r>
              <w:rPr>
                <w:color w:val="231F20"/>
                <w:w w:val="65"/>
                <w:sz w:val="20"/>
              </w:rPr>
              <w:t>At</w:t>
            </w:r>
            <w:r>
              <w:rPr>
                <w:color w:val="231F20"/>
                <w:spacing w:val="-14"/>
                <w:w w:val="65"/>
                <w:sz w:val="20"/>
              </w:rPr>
              <w:t xml:space="preserve"> </w:t>
            </w:r>
            <w:r>
              <w:rPr>
                <w:color w:val="231F20"/>
                <w:w w:val="65"/>
                <w:sz w:val="20"/>
              </w:rPr>
              <w:t>least</w:t>
            </w:r>
            <w:r>
              <w:rPr>
                <w:color w:val="231F20"/>
                <w:spacing w:val="-13"/>
                <w:w w:val="65"/>
                <w:sz w:val="20"/>
              </w:rPr>
              <w:t xml:space="preserve"> </w:t>
            </w:r>
            <w:r>
              <w:rPr>
                <w:color w:val="231F20"/>
                <w:w w:val="65"/>
                <w:sz w:val="20"/>
              </w:rPr>
              <w:t>5</w:t>
            </w:r>
            <w:r>
              <w:rPr>
                <w:color w:val="231F20"/>
                <w:spacing w:val="-14"/>
                <w:w w:val="65"/>
                <w:sz w:val="20"/>
              </w:rPr>
              <w:t xml:space="preserve"> </w:t>
            </w:r>
            <w:r>
              <w:rPr>
                <w:color w:val="231F20"/>
                <w:w w:val="65"/>
                <w:sz w:val="20"/>
              </w:rPr>
              <w:t>state</w:t>
            </w:r>
            <w:r>
              <w:rPr>
                <w:color w:val="231F20"/>
                <w:spacing w:val="-13"/>
                <w:w w:val="65"/>
                <w:sz w:val="20"/>
              </w:rPr>
              <w:t xml:space="preserve"> </w:t>
            </w:r>
            <w:r>
              <w:rPr>
                <w:color w:val="231F20"/>
                <w:w w:val="65"/>
                <w:sz w:val="20"/>
              </w:rPr>
              <w:t>NTD</w:t>
            </w:r>
            <w:r>
              <w:rPr>
                <w:color w:val="231F20"/>
                <w:spacing w:val="-14"/>
                <w:w w:val="65"/>
                <w:sz w:val="20"/>
              </w:rPr>
              <w:t xml:space="preserve"> </w:t>
            </w:r>
            <w:r>
              <w:rPr>
                <w:color w:val="231F20"/>
                <w:w w:val="65"/>
                <w:sz w:val="20"/>
              </w:rPr>
              <w:t>coordinators</w:t>
            </w:r>
            <w:r>
              <w:rPr>
                <w:color w:val="231F20"/>
                <w:spacing w:val="-13"/>
                <w:w w:val="65"/>
                <w:sz w:val="20"/>
              </w:rPr>
              <w:t xml:space="preserve"> </w:t>
            </w:r>
            <w:r>
              <w:rPr>
                <w:color w:val="231F20"/>
                <w:w w:val="65"/>
                <w:sz w:val="20"/>
              </w:rPr>
              <w:t xml:space="preserve">trained </w:t>
            </w:r>
            <w:r>
              <w:rPr>
                <w:color w:val="231F20"/>
                <w:w w:val="75"/>
                <w:sz w:val="20"/>
              </w:rPr>
              <w:t>on</w:t>
            </w:r>
            <w:r>
              <w:rPr>
                <w:color w:val="231F20"/>
                <w:spacing w:val="-28"/>
                <w:w w:val="75"/>
                <w:sz w:val="20"/>
              </w:rPr>
              <w:t xml:space="preserve"> </w:t>
            </w:r>
            <w:r>
              <w:rPr>
                <w:color w:val="231F20"/>
                <w:w w:val="75"/>
                <w:sz w:val="20"/>
              </w:rPr>
              <w:t>disease</w:t>
            </w:r>
            <w:r>
              <w:rPr>
                <w:color w:val="231F20"/>
                <w:spacing w:val="-28"/>
                <w:w w:val="75"/>
                <w:sz w:val="20"/>
              </w:rPr>
              <w:t xml:space="preserve"> </w:t>
            </w:r>
            <w:r>
              <w:rPr>
                <w:color w:val="231F20"/>
                <w:w w:val="75"/>
                <w:sz w:val="20"/>
              </w:rPr>
              <w:t>program</w:t>
            </w:r>
            <w:r>
              <w:rPr>
                <w:color w:val="231F20"/>
                <w:spacing w:val="-28"/>
                <w:w w:val="75"/>
                <w:sz w:val="20"/>
              </w:rPr>
              <w:t xml:space="preserve"> </w:t>
            </w:r>
            <w:r>
              <w:rPr>
                <w:color w:val="231F20"/>
                <w:w w:val="75"/>
                <w:sz w:val="20"/>
              </w:rPr>
              <w:t>management</w:t>
            </w:r>
          </w:p>
          <w:p w14:paraId="512D89D7" w14:textId="77777777" w:rsidR="009948F1" w:rsidRDefault="00BC0563">
            <w:pPr>
              <w:pStyle w:val="TableParagraph"/>
              <w:numPr>
                <w:ilvl w:val="0"/>
                <w:numId w:val="138"/>
              </w:numPr>
              <w:tabs>
                <w:tab w:val="left" w:pos="99"/>
              </w:tabs>
              <w:spacing w:line="256" w:lineRule="auto"/>
              <w:ind w:right="49" w:firstLine="0"/>
              <w:rPr>
                <w:sz w:val="20"/>
              </w:rPr>
            </w:pPr>
            <w:r>
              <w:rPr>
                <w:color w:val="231F20"/>
                <w:w w:val="65"/>
                <w:sz w:val="20"/>
              </w:rPr>
              <w:t>At</w:t>
            </w:r>
            <w:r>
              <w:rPr>
                <w:color w:val="231F20"/>
                <w:spacing w:val="-12"/>
                <w:w w:val="65"/>
                <w:sz w:val="20"/>
              </w:rPr>
              <w:t xml:space="preserve"> </w:t>
            </w:r>
            <w:r>
              <w:rPr>
                <w:color w:val="231F20"/>
                <w:w w:val="65"/>
                <w:sz w:val="20"/>
              </w:rPr>
              <w:t>least</w:t>
            </w:r>
            <w:r>
              <w:rPr>
                <w:color w:val="231F20"/>
                <w:spacing w:val="-11"/>
                <w:w w:val="65"/>
                <w:sz w:val="20"/>
              </w:rPr>
              <w:t xml:space="preserve"> </w:t>
            </w:r>
            <w:r>
              <w:rPr>
                <w:color w:val="231F20"/>
                <w:w w:val="65"/>
                <w:sz w:val="20"/>
              </w:rPr>
              <w:t>10</w:t>
            </w:r>
            <w:r>
              <w:rPr>
                <w:color w:val="231F20"/>
                <w:spacing w:val="-11"/>
                <w:w w:val="65"/>
                <w:sz w:val="20"/>
              </w:rPr>
              <w:t xml:space="preserve"> </w:t>
            </w:r>
            <w:r>
              <w:rPr>
                <w:color w:val="231F20"/>
                <w:w w:val="65"/>
                <w:sz w:val="20"/>
              </w:rPr>
              <w:t>NTDs</w:t>
            </w:r>
            <w:r>
              <w:rPr>
                <w:color w:val="231F20"/>
                <w:spacing w:val="-11"/>
                <w:w w:val="65"/>
                <w:sz w:val="20"/>
              </w:rPr>
              <w:t xml:space="preserve"> </w:t>
            </w:r>
            <w:r>
              <w:rPr>
                <w:color w:val="231F20"/>
                <w:w w:val="65"/>
                <w:sz w:val="20"/>
              </w:rPr>
              <w:t>Desk</w:t>
            </w:r>
            <w:r>
              <w:rPr>
                <w:color w:val="231F20"/>
                <w:spacing w:val="-11"/>
                <w:w w:val="65"/>
                <w:sz w:val="20"/>
              </w:rPr>
              <w:t xml:space="preserve"> </w:t>
            </w:r>
            <w:r>
              <w:rPr>
                <w:color w:val="231F20"/>
                <w:w w:val="65"/>
                <w:sz w:val="20"/>
              </w:rPr>
              <w:t>Officers</w:t>
            </w:r>
            <w:r>
              <w:rPr>
                <w:color w:val="231F20"/>
                <w:spacing w:val="-11"/>
                <w:w w:val="65"/>
                <w:sz w:val="20"/>
              </w:rPr>
              <w:t xml:space="preserve"> </w:t>
            </w:r>
            <w:r>
              <w:rPr>
                <w:color w:val="231F20"/>
                <w:w w:val="65"/>
                <w:sz w:val="20"/>
              </w:rPr>
              <w:t>trained</w:t>
            </w:r>
            <w:r>
              <w:rPr>
                <w:color w:val="231F20"/>
                <w:spacing w:val="-12"/>
                <w:w w:val="65"/>
                <w:sz w:val="20"/>
              </w:rPr>
              <w:t xml:space="preserve"> </w:t>
            </w:r>
            <w:r>
              <w:rPr>
                <w:color w:val="231F20"/>
                <w:w w:val="65"/>
                <w:sz w:val="20"/>
              </w:rPr>
              <w:t>on their</w:t>
            </w:r>
            <w:r>
              <w:rPr>
                <w:color w:val="231F20"/>
                <w:spacing w:val="-22"/>
                <w:w w:val="65"/>
                <w:sz w:val="20"/>
              </w:rPr>
              <w:t xml:space="preserve"> </w:t>
            </w:r>
            <w:r>
              <w:rPr>
                <w:color w:val="231F20"/>
                <w:w w:val="65"/>
                <w:sz w:val="20"/>
              </w:rPr>
              <w:t>respective</w:t>
            </w:r>
            <w:r>
              <w:rPr>
                <w:color w:val="231F20"/>
                <w:spacing w:val="-22"/>
                <w:w w:val="65"/>
                <w:sz w:val="20"/>
              </w:rPr>
              <w:t xml:space="preserve"> </w:t>
            </w:r>
            <w:r>
              <w:rPr>
                <w:color w:val="231F20"/>
                <w:w w:val="65"/>
                <w:sz w:val="20"/>
              </w:rPr>
              <w:t>Desk</w:t>
            </w:r>
            <w:r>
              <w:rPr>
                <w:color w:val="231F20"/>
                <w:spacing w:val="-22"/>
                <w:w w:val="65"/>
                <w:sz w:val="20"/>
              </w:rPr>
              <w:t xml:space="preserve"> </w:t>
            </w:r>
            <w:r>
              <w:rPr>
                <w:color w:val="231F20"/>
                <w:w w:val="65"/>
                <w:sz w:val="20"/>
              </w:rPr>
              <w:t>Disease</w:t>
            </w:r>
            <w:r>
              <w:rPr>
                <w:color w:val="231F20"/>
                <w:spacing w:val="-22"/>
                <w:w w:val="65"/>
                <w:sz w:val="20"/>
              </w:rPr>
              <w:t xml:space="preserve"> </w:t>
            </w:r>
            <w:r>
              <w:rPr>
                <w:color w:val="231F20"/>
                <w:w w:val="65"/>
                <w:sz w:val="20"/>
              </w:rPr>
              <w:t>Management</w:t>
            </w:r>
          </w:p>
          <w:p w14:paraId="5B0DDC57" w14:textId="77777777" w:rsidR="009948F1" w:rsidRDefault="00BC0563">
            <w:pPr>
              <w:pStyle w:val="TableParagraph"/>
              <w:numPr>
                <w:ilvl w:val="0"/>
                <w:numId w:val="138"/>
              </w:numPr>
              <w:tabs>
                <w:tab w:val="left" w:pos="72"/>
              </w:tabs>
              <w:spacing w:line="256" w:lineRule="auto"/>
              <w:ind w:right="271" w:firstLine="0"/>
              <w:rPr>
                <w:sz w:val="20"/>
              </w:rPr>
            </w:pPr>
            <w:r>
              <w:rPr>
                <w:color w:val="231F20"/>
                <w:w w:val="65"/>
                <w:sz w:val="20"/>
              </w:rPr>
              <w:t>At</w:t>
            </w:r>
            <w:r>
              <w:rPr>
                <w:color w:val="231F20"/>
                <w:spacing w:val="-10"/>
                <w:w w:val="65"/>
                <w:sz w:val="20"/>
              </w:rPr>
              <w:t xml:space="preserve"> </w:t>
            </w:r>
            <w:r>
              <w:rPr>
                <w:color w:val="231F20"/>
                <w:w w:val="65"/>
                <w:sz w:val="20"/>
              </w:rPr>
              <w:t>least</w:t>
            </w:r>
            <w:r>
              <w:rPr>
                <w:color w:val="231F20"/>
                <w:spacing w:val="-9"/>
                <w:w w:val="65"/>
                <w:sz w:val="20"/>
              </w:rPr>
              <w:t xml:space="preserve"> </w:t>
            </w:r>
            <w:r>
              <w:rPr>
                <w:color w:val="231F20"/>
                <w:w w:val="65"/>
                <w:sz w:val="20"/>
              </w:rPr>
              <w:t>28</w:t>
            </w:r>
            <w:r>
              <w:rPr>
                <w:color w:val="231F20"/>
                <w:spacing w:val="-10"/>
                <w:w w:val="65"/>
                <w:sz w:val="20"/>
              </w:rPr>
              <w:t xml:space="preserve"> </w:t>
            </w:r>
            <w:r>
              <w:rPr>
                <w:color w:val="231F20"/>
                <w:w w:val="65"/>
                <w:sz w:val="20"/>
              </w:rPr>
              <w:t>state</w:t>
            </w:r>
            <w:r>
              <w:rPr>
                <w:color w:val="231F20"/>
                <w:spacing w:val="-10"/>
                <w:w w:val="65"/>
                <w:sz w:val="20"/>
              </w:rPr>
              <w:t xml:space="preserve"> </w:t>
            </w:r>
            <w:r>
              <w:rPr>
                <w:color w:val="231F20"/>
                <w:w w:val="65"/>
                <w:sz w:val="20"/>
              </w:rPr>
              <w:t>and</w:t>
            </w:r>
            <w:r>
              <w:rPr>
                <w:color w:val="231F20"/>
                <w:spacing w:val="-9"/>
                <w:w w:val="65"/>
                <w:sz w:val="20"/>
              </w:rPr>
              <w:t xml:space="preserve"> </w:t>
            </w:r>
            <w:r>
              <w:rPr>
                <w:color w:val="231F20"/>
                <w:w w:val="65"/>
                <w:sz w:val="20"/>
              </w:rPr>
              <w:t>LGAs</w:t>
            </w:r>
            <w:r>
              <w:rPr>
                <w:color w:val="231F20"/>
                <w:spacing w:val="-10"/>
                <w:w w:val="65"/>
                <w:sz w:val="20"/>
              </w:rPr>
              <w:t xml:space="preserve"> </w:t>
            </w:r>
            <w:r>
              <w:rPr>
                <w:color w:val="231F20"/>
                <w:w w:val="65"/>
                <w:sz w:val="20"/>
              </w:rPr>
              <w:t>NTD</w:t>
            </w:r>
            <w:r>
              <w:rPr>
                <w:color w:val="231F20"/>
                <w:spacing w:val="-9"/>
                <w:w w:val="65"/>
                <w:sz w:val="20"/>
              </w:rPr>
              <w:t xml:space="preserve"> </w:t>
            </w:r>
            <w:r>
              <w:rPr>
                <w:color w:val="231F20"/>
                <w:spacing w:val="-4"/>
                <w:w w:val="65"/>
                <w:sz w:val="20"/>
              </w:rPr>
              <w:t xml:space="preserve">teams </w:t>
            </w:r>
            <w:r>
              <w:rPr>
                <w:color w:val="231F20"/>
                <w:w w:val="75"/>
                <w:sz w:val="20"/>
              </w:rPr>
              <w:t>trained</w:t>
            </w:r>
            <w:r>
              <w:rPr>
                <w:color w:val="231F20"/>
                <w:spacing w:val="-22"/>
                <w:w w:val="75"/>
                <w:sz w:val="20"/>
              </w:rPr>
              <w:t xml:space="preserve"> </w:t>
            </w:r>
            <w:r>
              <w:rPr>
                <w:color w:val="231F20"/>
                <w:w w:val="75"/>
                <w:sz w:val="20"/>
              </w:rPr>
              <w:t>on</w:t>
            </w:r>
            <w:r>
              <w:rPr>
                <w:color w:val="231F20"/>
                <w:spacing w:val="-22"/>
                <w:w w:val="75"/>
                <w:sz w:val="20"/>
              </w:rPr>
              <w:t xml:space="preserve"> </w:t>
            </w:r>
            <w:r>
              <w:rPr>
                <w:color w:val="231F20"/>
                <w:w w:val="75"/>
                <w:sz w:val="20"/>
              </w:rPr>
              <w:t>Data</w:t>
            </w:r>
            <w:r>
              <w:rPr>
                <w:color w:val="231F20"/>
                <w:spacing w:val="-22"/>
                <w:w w:val="75"/>
                <w:sz w:val="20"/>
              </w:rPr>
              <w:t xml:space="preserve"> </w:t>
            </w:r>
            <w:r>
              <w:rPr>
                <w:color w:val="231F20"/>
                <w:w w:val="75"/>
                <w:sz w:val="20"/>
              </w:rPr>
              <w:t>Management</w:t>
            </w:r>
          </w:p>
        </w:tc>
        <w:tc>
          <w:tcPr>
            <w:tcW w:w="1511" w:type="dxa"/>
            <w:tcBorders>
              <w:left w:val="single" w:sz="6" w:space="0" w:color="231F20"/>
              <w:right w:val="single" w:sz="12" w:space="0" w:color="231F20"/>
            </w:tcBorders>
            <w:shd w:val="clear" w:color="auto" w:fill="CCE7D3"/>
          </w:tcPr>
          <w:p w14:paraId="3DCACA46" w14:textId="77777777" w:rsidR="009948F1" w:rsidRDefault="009948F1">
            <w:pPr>
              <w:pStyle w:val="TableParagraph"/>
              <w:rPr>
                <w:rFonts w:ascii="Times New Roman"/>
                <w:sz w:val="12"/>
              </w:rPr>
            </w:pPr>
          </w:p>
        </w:tc>
        <w:tc>
          <w:tcPr>
            <w:tcW w:w="1594" w:type="dxa"/>
            <w:tcBorders>
              <w:left w:val="single" w:sz="12" w:space="0" w:color="231F20"/>
            </w:tcBorders>
            <w:shd w:val="clear" w:color="auto" w:fill="CCE7D3"/>
          </w:tcPr>
          <w:p w14:paraId="27BEC303" w14:textId="77777777" w:rsidR="009948F1" w:rsidRDefault="009948F1">
            <w:pPr>
              <w:pStyle w:val="TableParagraph"/>
              <w:rPr>
                <w:rFonts w:ascii="Times New Roman"/>
                <w:sz w:val="12"/>
              </w:rPr>
            </w:pPr>
          </w:p>
        </w:tc>
      </w:tr>
      <w:tr w:rsidR="009948F1" w14:paraId="767C792F" w14:textId="77777777">
        <w:trPr>
          <w:trHeight w:val="693"/>
        </w:trPr>
        <w:tc>
          <w:tcPr>
            <w:tcW w:w="490" w:type="dxa"/>
            <w:vMerge w:val="restart"/>
            <w:tcBorders>
              <w:left w:val="single" w:sz="6" w:space="0" w:color="231F20"/>
              <w:right w:val="single" w:sz="6" w:space="0" w:color="231F20"/>
            </w:tcBorders>
          </w:tcPr>
          <w:p w14:paraId="6C98BAD5" w14:textId="77777777" w:rsidR="009948F1" w:rsidRDefault="009948F1">
            <w:pPr>
              <w:pStyle w:val="TableParagraph"/>
              <w:rPr>
                <w:rFonts w:ascii="Times New Roman"/>
                <w:sz w:val="12"/>
              </w:rPr>
            </w:pPr>
          </w:p>
        </w:tc>
        <w:tc>
          <w:tcPr>
            <w:tcW w:w="557" w:type="dxa"/>
            <w:tcBorders>
              <w:left w:val="single" w:sz="6" w:space="0" w:color="231F20"/>
              <w:right w:val="single" w:sz="6" w:space="0" w:color="231F20"/>
            </w:tcBorders>
          </w:tcPr>
          <w:p w14:paraId="3A447C4F" w14:textId="77777777" w:rsidR="009948F1" w:rsidRDefault="009948F1">
            <w:pPr>
              <w:pStyle w:val="TableParagraph"/>
              <w:spacing w:before="4"/>
              <w:rPr>
                <w:sz w:val="19"/>
              </w:rPr>
            </w:pPr>
          </w:p>
          <w:p w14:paraId="7061B126" w14:textId="77777777" w:rsidR="009948F1" w:rsidRDefault="00BC0563">
            <w:pPr>
              <w:pStyle w:val="TableParagraph"/>
              <w:ind w:left="51" w:right="30"/>
              <w:jc w:val="center"/>
              <w:rPr>
                <w:sz w:val="20"/>
              </w:rPr>
            </w:pPr>
            <w:r>
              <w:rPr>
                <w:color w:val="231F20"/>
                <w:w w:val="65"/>
                <w:sz w:val="20"/>
              </w:rPr>
              <w:t>5.5.5.a</w:t>
            </w:r>
          </w:p>
        </w:tc>
        <w:tc>
          <w:tcPr>
            <w:tcW w:w="5185" w:type="dxa"/>
            <w:gridSpan w:val="2"/>
            <w:tcBorders>
              <w:left w:val="single" w:sz="6" w:space="0" w:color="231F20"/>
              <w:right w:val="single" w:sz="6" w:space="0" w:color="231F20"/>
            </w:tcBorders>
          </w:tcPr>
          <w:p w14:paraId="6ED5DF76" w14:textId="77777777" w:rsidR="009948F1" w:rsidRDefault="009948F1">
            <w:pPr>
              <w:pStyle w:val="TableParagraph"/>
              <w:spacing w:before="7"/>
              <w:rPr>
                <w:sz w:val="18"/>
              </w:rPr>
            </w:pPr>
          </w:p>
          <w:p w14:paraId="1DEA97FF" w14:textId="77777777" w:rsidR="009948F1" w:rsidRDefault="00BC0563">
            <w:pPr>
              <w:pStyle w:val="TableParagraph"/>
              <w:spacing w:before="1"/>
              <w:ind w:left="26"/>
              <w:rPr>
                <w:sz w:val="20"/>
              </w:rPr>
            </w:pPr>
            <w:r>
              <w:rPr>
                <w:color w:val="231F20"/>
                <w:w w:val="70"/>
                <w:sz w:val="20"/>
              </w:rPr>
              <w:t>Sponsor</w:t>
            </w:r>
            <w:r>
              <w:rPr>
                <w:color w:val="231F20"/>
                <w:spacing w:val="-26"/>
                <w:w w:val="70"/>
                <w:sz w:val="20"/>
              </w:rPr>
              <w:t xml:space="preserve"> </w:t>
            </w:r>
            <w:r>
              <w:rPr>
                <w:color w:val="231F20"/>
                <w:w w:val="70"/>
                <w:sz w:val="20"/>
              </w:rPr>
              <w:t>state</w:t>
            </w:r>
            <w:r>
              <w:rPr>
                <w:color w:val="231F20"/>
                <w:spacing w:val="-25"/>
                <w:w w:val="70"/>
                <w:sz w:val="20"/>
              </w:rPr>
              <w:t xml:space="preserve"> </w:t>
            </w:r>
            <w:r>
              <w:rPr>
                <w:color w:val="231F20"/>
                <w:w w:val="70"/>
                <w:sz w:val="20"/>
              </w:rPr>
              <w:t>NTD</w:t>
            </w:r>
            <w:r>
              <w:rPr>
                <w:color w:val="231F20"/>
                <w:spacing w:val="-25"/>
                <w:w w:val="70"/>
                <w:sz w:val="20"/>
              </w:rPr>
              <w:t xml:space="preserve"> </w:t>
            </w:r>
            <w:r>
              <w:rPr>
                <w:color w:val="231F20"/>
                <w:w w:val="70"/>
                <w:sz w:val="20"/>
              </w:rPr>
              <w:t>Coordinator</w:t>
            </w:r>
            <w:r>
              <w:rPr>
                <w:color w:val="231F20"/>
                <w:spacing w:val="-25"/>
                <w:w w:val="70"/>
                <w:sz w:val="20"/>
              </w:rPr>
              <w:t xml:space="preserve"> </w:t>
            </w:r>
            <w:r>
              <w:rPr>
                <w:color w:val="231F20"/>
                <w:w w:val="70"/>
                <w:sz w:val="20"/>
              </w:rPr>
              <w:t>on</w:t>
            </w:r>
            <w:r>
              <w:rPr>
                <w:color w:val="231F20"/>
                <w:spacing w:val="-25"/>
                <w:w w:val="70"/>
                <w:sz w:val="20"/>
              </w:rPr>
              <w:t xml:space="preserve"> </w:t>
            </w:r>
            <w:r>
              <w:rPr>
                <w:color w:val="231F20"/>
                <w:w w:val="70"/>
                <w:sz w:val="20"/>
              </w:rPr>
              <w:t>disease</w:t>
            </w:r>
            <w:r>
              <w:rPr>
                <w:color w:val="231F20"/>
                <w:spacing w:val="-25"/>
                <w:w w:val="70"/>
                <w:sz w:val="20"/>
              </w:rPr>
              <w:t xml:space="preserve"> </w:t>
            </w:r>
            <w:proofErr w:type="spellStart"/>
            <w:r>
              <w:rPr>
                <w:color w:val="231F20"/>
                <w:w w:val="70"/>
                <w:sz w:val="20"/>
              </w:rPr>
              <w:t>programme</w:t>
            </w:r>
            <w:proofErr w:type="spellEnd"/>
            <w:r>
              <w:rPr>
                <w:color w:val="231F20"/>
                <w:spacing w:val="-26"/>
                <w:w w:val="70"/>
                <w:sz w:val="20"/>
              </w:rPr>
              <w:t xml:space="preserve"> </w:t>
            </w:r>
            <w:r>
              <w:rPr>
                <w:color w:val="231F20"/>
                <w:w w:val="70"/>
                <w:sz w:val="20"/>
              </w:rPr>
              <w:t>management</w:t>
            </w:r>
            <w:r>
              <w:rPr>
                <w:color w:val="231F20"/>
                <w:spacing w:val="-25"/>
                <w:w w:val="70"/>
                <w:sz w:val="20"/>
              </w:rPr>
              <w:t xml:space="preserve"> </w:t>
            </w:r>
            <w:r>
              <w:rPr>
                <w:color w:val="231F20"/>
                <w:w w:val="70"/>
                <w:sz w:val="20"/>
              </w:rPr>
              <w:t>short</w:t>
            </w:r>
            <w:r>
              <w:rPr>
                <w:color w:val="231F20"/>
                <w:spacing w:val="-25"/>
                <w:w w:val="70"/>
                <w:sz w:val="20"/>
              </w:rPr>
              <w:t xml:space="preserve"> </w:t>
            </w:r>
            <w:r>
              <w:rPr>
                <w:color w:val="231F20"/>
                <w:w w:val="70"/>
                <w:sz w:val="20"/>
              </w:rPr>
              <w:t>courses</w:t>
            </w:r>
          </w:p>
        </w:tc>
        <w:tc>
          <w:tcPr>
            <w:tcW w:w="1511" w:type="dxa"/>
            <w:tcBorders>
              <w:left w:val="single" w:sz="6" w:space="0" w:color="231F20"/>
              <w:right w:val="single" w:sz="6" w:space="0" w:color="231F20"/>
            </w:tcBorders>
          </w:tcPr>
          <w:p w14:paraId="4BD5DB4A" w14:textId="77777777" w:rsidR="009948F1" w:rsidRDefault="009948F1">
            <w:pPr>
              <w:pStyle w:val="TableParagraph"/>
              <w:spacing w:before="4"/>
              <w:rPr>
                <w:sz w:val="19"/>
              </w:rPr>
            </w:pPr>
          </w:p>
          <w:p w14:paraId="664A94ED" w14:textId="77777777" w:rsidR="009948F1" w:rsidRDefault="00BC0563">
            <w:pPr>
              <w:pStyle w:val="TableParagraph"/>
              <w:ind w:left="26"/>
              <w:rPr>
                <w:sz w:val="20"/>
              </w:rPr>
            </w:pPr>
            <w:r>
              <w:rPr>
                <w:color w:val="231F20"/>
                <w:w w:val="75"/>
                <w:sz w:val="20"/>
              </w:rPr>
              <w:t>Lack of funds</w:t>
            </w:r>
          </w:p>
        </w:tc>
        <w:tc>
          <w:tcPr>
            <w:tcW w:w="1594" w:type="dxa"/>
            <w:tcBorders>
              <w:left w:val="single" w:sz="6" w:space="0" w:color="231F20"/>
            </w:tcBorders>
          </w:tcPr>
          <w:p w14:paraId="56402947" w14:textId="77777777" w:rsidR="009948F1" w:rsidRDefault="00BC0563">
            <w:pPr>
              <w:pStyle w:val="TableParagraph"/>
              <w:spacing w:before="99" w:line="256" w:lineRule="auto"/>
              <w:ind w:left="26"/>
              <w:rPr>
                <w:sz w:val="20"/>
              </w:rPr>
            </w:pPr>
            <w:r>
              <w:rPr>
                <w:color w:val="231F20"/>
                <w:w w:val="65"/>
                <w:sz w:val="20"/>
              </w:rPr>
              <w:t xml:space="preserve">Sponsor State NTD </w:t>
            </w:r>
            <w:r>
              <w:rPr>
                <w:color w:val="231F20"/>
                <w:w w:val="75"/>
                <w:sz w:val="20"/>
              </w:rPr>
              <w:t>Coordinator</w:t>
            </w:r>
          </w:p>
        </w:tc>
      </w:tr>
      <w:tr w:rsidR="009948F1" w14:paraId="4168D775" w14:textId="77777777">
        <w:trPr>
          <w:trHeight w:val="439"/>
        </w:trPr>
        <w:tc>
          <w:tcPr>
            <w:tcW w:w="490" w:type="dxa"/>
            <w:vMerge/>
            <w:tcBorders>
              <w:top w:val="nil"/>
              <w:left w:val="single" w:sz="6" w:space="0" w:color="231F20"/>
              <w:right w:val="single" w:sz="6" w:space="0" w:color="231F20"/>
            </w:tcBorders>
          </w:tcPr>
          <w:p w14:paraId="2041EB99" w14:textId="77777777" w:rsidR="009948F1" w:rsidRDefault="009948F1">
            <w:pPr>
              <w:rPr>
                <w:sz w:val="2"/>
                <w:szCs w:val="2"/>
              </w:rPr>
            </w:pPr>
          </w:p>
        </w:tc>
        <w:tc>
          <w:tcPr>
            <w:tcW w:w="557" w:type="dxa"/>
            <w:tcBorders>
              <w:left w:val="single" w:sz="6" w:space="0" w:color="231F20"/>
              <w:right w:val="single" w:sz="6" w:space="0" w:color="231F20"/>
            </w:tcBorders>
          </w:tcPr>
          <w:p w14:paraId="1BF8193C" w14:textId="77777777" w:rsidR="009948F1" w:rsidRDefault="00BC0563">
            <w:pPr>
              <w:pStyle w:val="TableParagraph"/>
              <w:spacing w:before="95"/>
              <w:ind w:left="51" w:right="30"/>
              <w:jc w:val="center"/>
              <w:rPr>
                <w:sz w:val="20"/>
              </w:rPr>
            </w:pPr>
            <w:r>
              <w:rPr>
                <w:color w:val="231F20"/>
                <w:w w:val="65"/>
                <w:sz w:val="20"/>
              </w:rPr>
              <w:t>5.5.5.b</w:t>
            </w:r>
          </w:p>
        </w:tc>
        <w:tc>
          <w:tcPr>
            <w:tcW w:w="5185" w:type="dxa"/>
            <w:gridSpan w:val="2"/>
            <w:tcBorders>
              <w:left w:val="single" w:sz="6" w:space="0" w:color="231F20"/>
              <w:right w:val="single" w:sz="6" w:space="0" w:color="231F20"/>
            </w:tcBorders>
          </w:tcPr>
          <w:p w14:paraId="17ECE5AC" w14:textId="77777777" w:rsidR="009948F1" w:rsidRDefault="00BC0563">
            <w:pPr>
              <w:pStyle w:val="TableParagraph"/>
              <w:spacing w:before="87"/>
              <w:ind w:left="26"/>
              <w:rPr>
                <w:sz w:val="20"/>
              </w:rPr>
            </w:pPr>
            <w:r>
              <w:rPr>
                <w:color w:val="231F20"/>
                <w:w w:val="65"/>
                <w:sz w:val="20"/>
              </w:rPr>
              <w:t>Sponsor</w:t>
            </w:r>
            <w:r>
              <w:rPr>
                <w:color w:val="231F20"/>
                <w:spacing w:val="-14"/>
                <w:w w:val="65"/>
                <w:sz w:val="20"/>
              </w:rPr>
              <w:t xml:space="preserve"> </w:t>
            </w:r>
            <w:r>
              <w:rPr>
                <w:color w:val="231F20"/>
                <w:w w:val="65"/>
                <w:sz w:val="20"/>
              </w:rPr>
              <w:t>NTDs</w:t>
            </w:r>
            <w:r>
              <w:rPr>
                <w:color w:val="231F20"/>
                <w:spacing w:val="-13"/>
                <w:w w:val="65"/>
                <w:sz w:val="20"/>
              </w:rPr>
              <w:t xml:space="preserve"> </w:t>
            </w:r>
            <w:r>
              <w:rPr>
                <w:color w:val="231F20"/>
                <w:w w:val="65"/>
                <w:sz w:val="20"/>
              </w:rPr>
              <w:t>Desk</w:t>
            </w:r>
            <w:r>
              <w:rPr>
                <w:color w:val="231F20"/>
                <w:spacing w:val="-13"/>
                <w:w w:val="65"/>
                <w:sz w:val="20"/>
              </w:rPr>
              <w:t xml:space="preserve"> </w:t>
            </w:r>
            <w:r>
              <w:rPr>
                <w:color w:val="231F20"/>
                <w:w w:val="65"/>
                <w:sz w:val="20"/>
              </w:rPr>
              <w:t>Officers</w:t>
            </w:r>
            <w:r>
              <w:rPr>
                <w:color w:val="231F20"/>
                <w:spacing w:val="-13"/>
                <w:w w:val="65"/>
                <w:sz w:val="20"/>
              </w:rPr>
              <w:t xml:space="preserve"> </w:t>
            </w:r>
            <w:r>
              <w:rPr>
                <w:color w:val="231F20"/>
                <w:w w:val="65"/>
                <w:sz w:val="20"/>
              </w:rPr>
              <w:t>on</w:t>
            </w:r>
            <w:r>
              <w:rPr>
                <w:color w:val="231F20"/>
                <w:spacing w:val="-13"/>
                <w:w w:val="65"/>
                <w:sz w:val="20"/>
              </w:rPr>
              <w:t xml:space="preserve"> </w:t>
            </w:r>
            <w:r>
              <w:rPr>
                <w:color w:val="231F20"/>
                <w:w w:val="65"/>
                <w:sz w:val="20"/>
              </w:rPr>
              <w:t>their</w:t>
            </w:r>
            <w:r>
              <w:rPr>
                <w:color w:val="231F20"/>
                <w:spacing w:val="-13"/>
                <w:w w:val="65"/>
                <w:sz w:val="20"/>
              </w:rPr>
              <w:t xml:space="preserve"> </w:t>
            </w:r>
            <w:r>
              <w:rPr>
                <w:color w:val="231F20"/>
                <w:w w:val="65"/>
                <w:sz w:val="20"/>
              </w:rPr>
              <w:t>respective</w:t>
            </w:r>
            <w:r>
              <w:rPr>
                <w:color w:val="231F20"/>
                <w:spacing w:val="-14"/>
                <w:w w:val="65"/>
                <w:sz w:val="20"/>
              </w:rPr>
              <w:t xml:space="preserve"> </w:t>
            </w:r>
            <w:r>
              <w:rPr>
                <w:color w:val="231F20"/>
                <w:w w:val="65"/>
                <w:sz w:val="20"/>
              </w:rPr>
              <w:t>Desk</w:t>
            </w:r>
            <w:r>
              <w:rPr>
                <w:color w:val="231F20"/>
                <w:spacing w:val="-13"/>
                <w:w w:val="65"/>
                <w:sz w:val="20"/>
              </w:rPr>
              <w:t xml:space="preserve"> </w:t>
            </w:r>
            <w:r>
              <w:rPr>
                <w:color w:val="231F20"/>
                <w:w w:val="65"/>
                <w:sz w:val="20"/>
              </w:rPr>
              <w:t>Disease</w:t>
            </w:r>
            <w:r>
              <w:rPr>
                <w:color w:val="231F20"/>
                <w:spacing w:val="-13"/>
                <w:w w:val="65"/>
                <w:sz w:val="20"/>
              </w:rPr>
              <w:t xml:space="preserve"> </w:t>
            </w:r>
            <w:r>
              <w:rPr>
                <w:color w:val="231F20"/>
                <w:w w:val="65"/>
                <w:sz w:val="20"/>
              </w:rPr>
              <w:t>Management</w:t>
            </w:r>
            <w:r>
              <w:rPr>
                <w:color w:val="231F20"/>
                <w:spacing w:val="-13"/>
                <w:w w:val="65"/>
                <w:sz w:val="20"/>
              </w:rPr>
              <w:t xml:space="preserve"> </w:t>
            </w:r>
            <w:r>
              <w:rPr>
                <w:color w:val="231F20"/>
                <w:w w:val="65"/>
                <w:sz w:val="20"/>
              </w:rPr>
              <w:t>short</w:t>
            </w:r>
            <w:r>
              <w:rPr>
                <w:color w:val="231F20"/>
                <w:spacing w:val="-13"/>
                <w:w w:val="65"/>
                <w:sz w:val="20"/>
              </w:rPr>
              <w:t xml:space="preserve"> </w:t>
            </w:r>
            <w:r>
              <w:rPr>
                <w:color w:val="231F20"/>
                <w:w w:val="65"/>
                <w:sz w:val="20"/>
              </w:rPr>
              <w:t>courses</w:t>
            </w:r>
          </w:p>
        </w:tc>
        <w:tc>
          <w:tcPr>
            <w:tcW w:w="1511" w:type="dxa"/>
            <w:tcBorders>
              <w:left w:val="single" w:sz="6" w:space="0" w:color="231F20"/>
              <w:right w:val="single" w:sz="6" w:space="0" w:color="231F20"/>
            </w:tcBorders>
          </w:tcPr>
          <w:p w14:paraId="7633A6E9" w14:textId="77777777" w:rsidR="009948F1" w:rsidRDefault="00BC0563">
            <w:pPr>
              <w:pStyle w:val="TableParagraph"/>
              <w:spacing w:before="95"/>
              <w:ind w:left="26"/>
              <w:rPr>
                <w:sz w:val="20"/>
              </w:rPr>
            </w:pPr>
            <w:r>
              <w:rPr>
                <w:color w:val="231F20"/>
                <w:w w:val="75"/>
                <w:sz w:val="20"/>
              </w:rPr>
              <w:t>Lack of funds</w:t>
            </w:r>
          </w:p>
        </w:tc>
        <w:tc>
          <w:tcPr>
            <w:tcW w:w="1594" w:type="dxa"/>
            <w:tcBorders>
              <w:left w:val="single" w:sz="6" w:space="0" w:color="231F20"/>
            </w:tcBorders>
          </w:tcPr>
          <w:p w14:paraId="36973806" w14:textId="77777777" w:rsidR="009948F1" w:rsidRDefault="00BC0563">
            <w:pPr>
              <w:pStyle w:val="TableParagraph"/>
              <w:spacing w:line="219" w:lineRule="exact"/>
              <w:ind w:left="26"/>
              <w:rPr>
                <w:sz w:val="20"/>
              </w:rPr>
            </w:pPr>
            <w:r>
              <w:rPr>
                <w:color w:val="231F20"/>
                <w:w w:val="70"/>
                <w:sz w:val="20"/>
              </w:rPr>
              <w:t>Sponsor</w:t>
            </w:r>
            <w:r>
              <w:rPr>
                <w:color w:val="231F20"/>
                <w:spacing w:val="-26"/>
                <w:w w:val="70"/>
                <w:sz w:val="20"/>
              </w:rPr>
              <w:t xml:space="preserve"> </w:t>
            </w:r>
            <w:r>
              <w:rPr>
                <w:color w:val="231F20"/>
                <w:w w:val="70"/>
                <w:sz w:val="20"/>
              </w:rPr>
              <w:t>State</w:t>
            </w:r>
            <w:r>
              <w:rPr>
                <w:color w:val="231F20"/>
                <w:spacing w:val="-26"/>
                <w:w w:val="70"/>
                <w:sz w:val="20"/>
              </w:rPr>
              <w:t xml:space="preserve"> </w:t>
            </w:r>
            <w:r>
              <w:rPr>
                <w:color w:val="231F20"/>
                <w:w w:val="70"/>
                <w:sz w:val="20"/>
              </w:rPr>
              <w:t>NTD</w:t>
            </w:r>
            <w:r>
              <w:rPr>
                <w:color w:val="231F20"/>
                <w:spacing w:val="-25"/>
                <w:w w:val="70"/>
                <w:sz w:val="20"/>
              </w:rPr>
              <w:t xml:space="preserve"> </w:t>
            </w:r>
            <w:r>
              <w:rPr>
                <w:color w:val="231F20"/>
                <w:w w:val="70"/>
                <w:sz w:val="20"/>
              </w:rPr>
              <w:t>Desk</w:t>
            </w:r>
          </w:p>
          <w:p w14:paraId="624D0FED" w14:textId="77777777" w:rsidR="009948F1" w:rsidRDefault="00BC0563">
            <w:pPr>
              <w:pStyle w:val="TableParagraph"/>
              <w:spacing w:before="16" w:line="185" w:lineRule="exact"/>
              <w:ind w:left="26"/>
              <w:rPr>
                <w:sz w:val="20"/>
              </w:rPr>
            </w:pPr>
            <w:r>
              <w:rPr>
                <w:color w:val="231F20"/>
                <w:w w:val="75"/>
                <w:sz w:val="20"/>
              </w:rPr>
              <w:t>Officer</w:t>
            </w:r>
          </w:p>
        </w:tc>
      </w:tr>
      <w:tr w:rsidR="009948F1" w14:paraId="7A572566" w14:textId="77777777">
        <w:trPr>
          <w:trHeight w:val="439"/>
        </w:trPr>
        <w:tc>
          <w:tcPr>
            <w:tcW w:w="490" w:type="dxa"/>
            <w:vMerge/>
            <w:tcBorders>
              <w:top w:val="nil"/>
              <w:left w:val="single" w:sz="6" w:space="0" w:color="231F20"/>
              <w:right w:val="single" w:sz="6" w:space="0" w:color="231F20"/>
            </w:tcBorders>
          </w:tcPr>
          <w:p w14:paraId="6E1E6D9B" w14:textId="77777777" w:rsidR="009948F1" w:rsidRDefault="009948F1">
            <w:pPr>
              <w:rPr>
                <w:sz w:val="2"/>
                <w:szCs w:val="2"/>
              </w:rPr>
            </w:pPr>
          </w:p>
        </w:tc>
        <w:tc>
          <w:tcPr>
            <w:tcW w:w="557" w:type="dxa"/>
            <w:tcBorders>
              <w:left w:val="single" w:sz="6" w:space="0" w:color="231F20"/>
              <w:right w:val="single" w:sz="6" w:space="0" w:color="231F20"/>
            </w:tcBorders>
          </w:tcPr>
          <w:p w14:paraId="205FC5CD" w14:textId="77777777" w:rsidR="009948F1" w:rsidRDefault="00BC0563">
            <w:pPr>
              <w:pStyle w:val="TableParagraph"/>
              <w:spacing w:before="95"/>
              <w:ind w:left="51" w:right="30"/>
              <w:jc w:val="center"/>
              <w:rPr>
                <w:sz w:val="20"/>
              </w:rPr>
            </w:pPr>
            <w:r>
              <w:rPr>
                <w:color w:val="231F20"/>
                <w:w w:val="70"/>
                <w:sz w:val="20"/>
              </w:rPr>
              <w:t>5.5.5.c</w:t>
            </w:r>
          </w:p>
        </w:tc>
        <w:tc>
          <w:tcPr>
            <w:tcW w:w="5185" w:type="dxa"/>
            <w:gridSpan w:val="2"/>
            <w:tcBorders>
              <w:left w:val="single" w:sz="6" w:space="0" w:color="231F20"/>
              <w:right w:val="single" w:sz="6" w:space="0" w:color="231F20"/>
            </w:tcBorders>
          </w:tcPr>
          <w:p w14:paraId="153411EE" w14:textId="77777777" w:rsidR="009948F1" w:rsidRDefault="00BC0563">
            <w:pPr>
              <w:pStyle w:val="TableParagraph"/>
              <w:spacing w:before="87"/>
              <w:ind w:left="26"/>
              <w:rPr>
                <w:sz w:val="20"/>
              </w:rPr>
            </w:pPr>
            <w:r>
              <w:rPr>
                <w:color w:val="231F20"/>
                <w:w w:val="75"/>
                <w:sz w:val="20"/>
              </w:rPr>
              <w:t>Sponsor state and LGAs NTD teams on Data Management short courses</w:t>
            </w:r>
          </w:p>
        </w:tc>
        <w:tc>
          <w:tcPr>
            <w:tcW w:w="1511" w:type="dxa"/>
            <w:tcBorders>
              <w:left w:val="single" w:sz="6" w:space="0" w:color="231F20"/>
              <w:right w:val="single" w:sz="6" w:space="0" w:color="231F20"/>
            </w:tcBorders>
          </w:tcPr>
          <w:p w14:paraId="09A0A3BE" w14:textId="77777777" w:rsidR="009948F1" w:rsidRDefault="00BC0563">
            <w:pPr>
              <w:pStyle w:val="TableParagraph"/>
              <w:spacing w:before="95"/>
              <w:ind w:left="26"/>
              <w:rPr>
                <w:sz w:val="20"/>
              </w:rPr>
            </w:pPr>
            <w:r>
              <w:rPr>
                <w:color w:val="231F20"/>
                <w:w w:val="75"/>
                <w:sz w:val="20"/>
              </w:rPr>
              <w:t>Lack of funds</w:t>
            </w:r>
          </w:p>
        </w:tc>
        <w:tc>
          <w:tcPr>
            <w:tcW w:w="1594" w:type="dxa"/>
            <w:tcBorders>
              <w:left w:val="single" w:sz="6" w:space="0" w:color="231F20"/>
            </w:tcBorders>
          </w:tcPr>
          <w:p w14:paraId="72B6600D" w14:textId="77777777" w:rsidR="009948F1" w:rsidRDefault="00BC0563">
            <w:pPr>
              <w:pStyle w:val="TableParagraph"/>
              <w:spacing w:line="219" w:lineRule="exact"/>
              <w:ind w:left="26"/>
              <w:rPr>
                <w:sz w:val="20"/>
              </w:rPr>
            </w:pPr>
            <w:r>
              <w:rPr>
                <w:color w:val="231F20"/>
                <w:w w:val="70"/>
                <w:sz w:val="20"/>
              </w:rPr>
              <w:t>Sponsor State and LGA</w:t>
            </w:r>
          </w:p>
          <w:p w14:paraId="598FBD1F" w14:textId="77777777" w:rsidR="009948F1" w:rsidRDefault="00BC0563">
            <w:pPr>
              <w:pStyle w:val="TableParagraph"/>
              <w:spacing w:before="16" w:line="185" w:lineRule="exact"/>
              <w:ind w:left="26"/>
              <w:rPr>
                <w:sz w:val="20"/>
              </w:rPr>
            </w:pPr>
            <w:r>
              <w:rPr>
                <w:color w:val="231F20"/>
                <w:w w:val="75"/>
                <w:sz w:val="20"/>
              </w:rPr>
              <w:t>NTD Team</w:t>
            </w:r>
          </w:p>
        </w:tc>
      </w:tr>
      <w:tr w:rsidR="009948F1" w14:paraId="2F7AFB88" w14:textId="77777777">
        <w:trPr>
          <w:trHeight w:val="655"/>
        </w:trPr>
        <w:tc>
          <w:tcPr>
            <w:tcW w:w="490" w:type="dxa"/>
            <w:vMerge/>
            <w:tcBorders>
              <w:top w:val="nil"/>
              <w:left w:val="single" w:sz="6" w:space="0" w:color="231F20"/>
              <w:right w:val="single" w:sz="6" w:space="0" w:color="231F20"/>
            </w:tcBorders>
          </w:tcPr>
          <w:p w14:paraId="7C42C3C5" w14:textId="77777777" w:rsidR="009948F1" w:rsidRDefault="009948F1">
            <w:pPr>
              <w:rPr>
                <w:sz w:val="2"/>
                <w:szCs w:val="2"/>
              </w:rPr>
            </w:pPr>
          </w:p>
        </w:tc>
        <w:tc>
          <w:tcPr>
            <w:tcW w:w="557" w:type="dxa"/>
            <w:tcBorders>
              <w:left w:val="single" w:sz="6" w:space="0" w:color="231F20"/>
              <w:right w:val="single" w:sz="6" w:space="0" w:color="231F20"/>
            </w:tcBorders>
          </w:tcPr>
          <w:p w14:paraId="285D5760" w14:textId="77777777" w:rsidR="009948F1" w:rsidRDefault="009948F1">
            <w:pPr>
              <w:pStyle w:val="TableParagraph"/>
              <w:spacing w:before="7"/>
              <w:rPr>
                <w:sz w:val="17"/>
              </w:rPr>
            </w:pPr>
          </w:p>
          <w:p w14:paraId="1FEDCCA0" w14:textId="77777777" w:rsidR="009948F1" w:rsidRDefault="00BC0563">
            <w:pPr>
              <w:pStyle w:val="TableParagraph"/>
              <w:ind w:left="51" w:right="30"/>
              <w:jc w:val="center"/>
              <w:rPr>
                <w:sz w:val="20"/>
              </w:rPr>
            </w:pPr>
            <w:r>
              <w:rPr>
                <w:color w:val="231F20"/>
                <w:w w:val="65"/>
                <w:sz w:val="20"/>
              </w:rPr>
              <w:t>5.5.5.d</w:t>
            </w:r>
          </w:p>
        </w:tc>
        <w:tc>
          <w:tcPr>
            <w:tcW w:w="5185" w:type="dxa"/>
            <w:gridSpan w:val="2"/>
            <w:tcBorders>
              <w:left w:val="single" w:sz="6" w:space="0" w:color="231F20"/>
              <w:right w:val="single" w:sz="12" w:space="0" w:color="231F20"/>
            </w:tcBorders>
          </w:tcPr>
          <w:p w14:paraId="00CFEC4C" w14:textId="77777777" w:rsidR="009948F1" w:rsidRDefault="00BC0563">
            <w:pPr>
              <w:pStyle w:val="TableParagraph"/>
              <w:spacing w:before="73" w:line="256" w:lineRule="auto"/>
              <w:ind w:left="26" w:right="50"/>
              <w:rPr>
                <w:sz w:val="20"/>
              </w:rPr>
            </w:pPr>
            <w:r>
              <w:rPr>
                <w:color w:val="231F20"/>
                <w:w w:val="65"/>
                <w:sz w:val="20"/>
              </w:rPr>
              <w:t>Operating</w:t>
            </w:r>
            <w:r>
              <w:rPr>
                <w:color w:val="231F20"/>
                <w:spacing w:val="-14"/>
                <w:w w:val="65"/>
                <w:sz w:val="20"/>
              </w:rPr>
              <w:t xml:space="preserve"> </w:t>
            </w:r>
            <w:r>
              <w:rPr>
                <w:color w:val="231F20"/>
                <w:w w:val="65"/>
                <w:sz w:val="20"/>
              </w:rPr>
              <w:t>cost</w:t>
            </w:r>
            <w:r>
              <w:rPr>
                <w:color w:val="231F20"/>
                <w:spacing w:val="-13"/>
                <w:w w:val="65"/>
                <w:sz w:val="20"/>
              </w:rPr>
              <w:t xml:space="preserve"> </w:t>
            </w:r>
            <w:r>
              <w:rPr>
                <w:color w:val="231F20"/>
                <w:w w:val="65"/>
                <w:sz w:val="20"/>
              </w:rPr>
              <w:t>for</w:t>
            </w:r>
            <w:r>
              <w:rPr>
                <w:color w:val="231F20"/>
                <w:spacing w:val="-13"/>
                <w:w w:val="65"/>
                <w:sz w:val="20"/>
              </w:rPr>
              <w:t xml:space="preserve"> </w:t>
            </w:r>
            <w:r>
              <w:rPr>
                <w:color w:val="231F20"/>
                <w:w w:val="65"/>
                <w:sz w:val="20"/>
              </w:rPr>
              <w:t>engaging</w:t>
            </w:r>
            <w:r>
              <w:rPr>
                <w:color w:val="231F20"/>
                <w:spacing w:val="-13"/>
                <w:w w:val="65"/>
                <w:sz w:val="20"/>
              </w:rPr>
              <w:t xml:space="preserve"> </w:t>
            </w:r>
            <w:r>
              <w:rPr>
                <w:color w:val="231F20"/>
                <w:w w:val="65"/>
                <w:sz w:val="20"/>
              </w:rPr>
              <w:t>and</w:t>
            </w:r>
            <w:r>
              <w:rPr>
                <w:color w:val="231F20"/>
                <w:spacing w:val="-13"/>
                <w:w w:val="65"/>
                <w:sz w:val="20"/>
              </w:rPr>
              <w:t xml:space="preserve"> </w:t>
            </w:r>
            <w:r>
              <w:rPr>
                <w:color w:val="231F20"/>
                <w:w w:val="65"/>
                <w:sz w:val="20"/>
              </w:rPr>
              <w:t>supervising</w:t>
            </w:r>
            <w:r>
              <w:rPr>
                <w:color w:val="231F20"/>
                <w:spacing w:val="-13"/>
                <w:w w:val="65"/>
                <w:sz w:val="20"/>
              </w:rPr>
              <w:t xml:space="preserve"> </w:t>
            </w:r>
            <w:r>
              <w:rPr>
                <w:color w:val="231F20"/>
                <w:w w:val="65"/>
                <w:sz w:val="20"/>
              </w:rPr>
              <w:t>the</w:t>
            </w:r>
            <w:r>
              <w:rPr>
                <w:color w:val="231F20"/>
                <w:spacing w:val="-13"/>
                <w:w w:val="65"/>
                <w:sz w:val="20"/>
              </w:rPr>
              <w:t xml:space="preserve"> </w:t>
            </w:r>
            <w:r>
              <w:rPr>
                <w:color w:val="231F20"/>
                <w:w w:val="65"/>
                <w:sz w:val="20"/>
              </w:rPr>
              <w:t>contractor</w:t>
            </w:r>
            <w:r>
              <w:rPr>
                <w:color w:val="231F20"/>
                <w:spacing w:val="-13"/>
                <w:w w:val="65"/>
                <w:sz w:val="20"/>
              </w:rPr>
              <w:t xml:space="preserve"> </w:t>
            </w:r>
            <w:r>
              <w:rPr>
                <w:color w:val="231F20"/>
                <w:w w:val="65"/>
                <w:sz w:val="20"/>
              </w:rPr>
              <w:t>to</w:t>
            </w:r>
            <w:r>
              <w:rPr>
                <w:color w:val="231F20"/>
                <w:spacing w:val="-13"/>
                <w:w w:val="65"/>
                <w:sz w:val="20"/>
              </w:rPr>
              <w:t xml:space="preserve"> </w:t>
            </w:r>
            <w:r>
              <w:rPr>
                <w:color w:val="231F20"/>
                <w:w w:val="65"/>
                <w:sz w:val="20"/>
              </w:rPr>
              <w:t>equip</w:t>
            </w:r>
            <w:r>
              <w:rPr>
                <w:color w:val="231F20"/>
                <w:spacing w:val="-13"/>
                <w:w w:val="65"/>
                <w:sz w:val="20"/>
              </w:rPr>
              <w:t xml:space="preserve"> </w:t>
            </w:r>
            <w:r>
              <w:rPr>
                <w:color w:val="231F20"/>
                <w:w w:val="65"/>
                <w:sz w:val="20"/>
              </w:rPr>
              <w:t>State</w:t>
            </w:r>
            <w:r>
              <w:rPr>
                <w:color w:val="231F20"/>
                <w:spacing w:val="-13"/>
                <w:w w:val="65"/>
                <w:sz w:val="20"/>
              </w:rPr>
              <w:t xml:space="preserve"> </w:t>
            </w:r>
            <w:r>
              <w:rPr>
                <w:color w:val="231F20"/>
                <w:w w:val="65"/>
                <w:sz w:val="20"/>
              </w:rPr>
              <w:t>and</w:t>
            </w:r>
            <w:r>
              <w:rPr>
                <w:color w:val="231F20"/>
                <w:spacing w:val="-14"/>
                <w:w w:val="65"/>
                <w:sz w:val="20"/>
              </w:rPr>
              <w:t xml:space="preserve"> </w:t>
            </w:r>
            <w:r>
              <w:rPr>
                <w:color w:val="231F20"/>
                <w:w w:val="65"/>
                <w:sz w:val="20"/>
              </w:rPr>
              <w:t>23</w:t>
            </w:r>
            <w:r>
              <w:rPr>
                <w:color w:val="231F20"/>
                <w:spacing w:val="-13"/>
                <w:w w:val="65"/>
                <w:sz w:val="20"/>
              </w:rPr>
              <w:t xml:space="preserve"> </w:t>
            </w:r>
            <w:r>
              <w:rPr>
                <w:color w:val="231F20"/>
                <w:w w:val="65"/>
                <w:sz w:val="20"/>
              </w:rPr>
              <w:t>LGA</w:t>
            </w:r>
            <w:r>
              <w:rPr>
                <w:color w:val="231F20"/>
                <w:spacing w:val="-17"/>
                <w:w w:val="65"/>
                <w:sz w:val="20"/>
              </w:rPr>
              <w:t xml:space="preserve"> </w:t>
            </w:r>
            <w:r>
              <w:rPr>
                <w:color w:val="231F20"/>
                <w:w w:val="65"/>
                <w:sz w:val="20"/>
              </w:rPr>
              <w:t xml:space="preserve">NTD </w:t>
            </w:r>
            <w:r>
              <w:rPr>
                <w:color w:val="231F20"/>
                <w:w w:val="75"/>
                <w:sz w:val="20"/>
              </w:rPr>
              <w:t>State</w:t>
            </w:r>
            <w:r>
              <w:rPr>
                <w:color w:val="231F20"/>
                <w:spacing w:val="-9"/>
                <w:w w:val="75"/>
                <w:sz w:val="20"/>
              </w:rPr>
              <w:t xml:space="preserve"> </w:t>
            </w:r>
            <w:r>
              <w:rPr>
                <w:color w:val="231F20"/>
                <w:w w:val="75"/>
                <w:sz w:val="20"/>
              </w:rPr>
              <w:t>office</w:t>
            </w:r>
          </w:p>
        </w:tc>
        <w:tc>
          <w:tcPr>
            <w:tcW w:w="1511" w:type="dxa"/>
            <w:tcBorders>
              <w:left w:val="single" w:sz="12" w:space="0" w:color="231F20"/>
              <w:right w:val="single" w:sz="6" w:space="0" w:color="231F20"/>
            </w:tcBorders>
          </w:tcPr>
          <w:p w14:paraId="43A8CEBD" w14:textId="77777777" w:rsidR="009948F1" w:rsidRDefault="009948F1">
            <w:pPr>
              <w:pStyle w:val="TableParagraph"/>
              <w:spacing w:before="7"/>
              <w:rPr>
                <w:sz w:val="17"/>
              </w:rPr>
            </w:pPr>
          </w:p>
          <w:p w14:paraId="3E100C2B" w14:textId="77777777" w:rsidR="009948F1" w:rsidRDefault="00BC0563">
            <w:pPr>
              <w:pStyle w:val="TableParagraph"/>
              <w:ind w:left="18"/>
              <w:rPr>
                <w:sz w:val="20"/>
              </w:rPr>
            </w:pPr>
            <w:r>
              <w:rPr>
                <w:color w:val="231F20"/>
                <w:w w:val="75"/>
                <w:sz w:val="20"/>
              </w:rPr>
              <w:t>Lack of funds</w:t>
            </w:r>
          </w:p>
        </w:tc>
        <w:tc>
          <w:tcPr>
            <w:tcW w:w="1594" w:type="dxa"/>
            <w:tcBorders>
              <w:left w:val="single" w:sz="6" w:space="0" w:color="231F20"/>
            </w:tcBorders>
          </w:tcPr>
          <w:p w14:paraId="08AF94F5" w14:textId="77777777" w:rsidR="009948F1" w:rsidRDefault="009948F1">
            <w:pPr>
              <w:pStyle w:val="TableParagraph"/>
              <w:spacing w:before="7"/>
              <w:rPr>
                <w:sz w:val="17"/>
              </w:rPr>
            </w:pPr>
          </w:p>
          <w:p w14:paraId="52F22B7B" w14:textId="77777777" w:rsidR="009948F1" w:rsidRDefault="00BC0563">
            <w:pPr>
              <w:pStyle w:val="TableParagraph"/>
              <w:ind w:left="26"/>
              <w:rPr>
                <w:sz w:val="20"/>
              </w:rPr>
            </w:pPr>
            <w:r>
              <w:rPr>
                <w:color w:val="231F20"/>
                <w:w w:val="75"/>
                <w:sz w:val="20"/>
              </w:rPr>
              <w:t>Costed in OHT</w:t>
            </w:r>
          </w:p>
        </w:tc>
      </w:tr>
      <w:tr w:rsidR="009948F1" w14:paraId="2A19340B" w14:textId="77777777">
        <w:trPr>
          <w:trHeight w:val="813"/>
        </w:trPr>
        <w:tc>
          <w:tcPr>
            <w:tcW w:w="490" w:type="dxa"/>
            <w:vMerge/>
            <w:tcBorders>
              <w:top w:val="nil"/>
              <w:left w:val="single" w:sz="6" w:space="0" w:color="231F20"/>
              <w:right w:val="single" w:sz="6" w:space="0" w:color="231F20"/>
            </w:tcBorders>
          </w:tcPr>
          <w:p w14:paraId="1C104ED3" w14:textId="77777777" w:rsidR="009948F1" w:rsidRDefault="009948F1">
            <w:pPr>
              <w:rPr>
                <w:sz w:val="2"/>
                <w:szCs w:val="2"/>
              </w:rPr>
            </w:pPr>
          </w:p>
        </w:tc>
        <w:tc>
          <w:tcPr>
            <w:tcW w:w="557" w:type="dxa"/>
            <w:tcBorders>
              <w:left w:val="single" w:sz="6" w:space="0" w:color="231F20"/>
              <w:right w:val="single" w:sz="6" w:space="0" w:color="231F20"/>
            </w:tcBorders>
          </w:tcPr>
          <w:p w14:paraId="38ACB3E5" w14:textId="77777777" w:rsidR="009948F1" w:rsidRDefault="009948F1">
            <w:pPr>
              <w:pStyle w:val="TableParagraph"/>
              <w:spacing w:before="6"/>
              <w:rPr>
                <w:sz w:val="24"/>
              </w:rPr>
            </w:pPr>
          </w:p>
          <w:p w14:paraId="547E175B" w14:textId="77777777" w:rsidR="009948F1" w:rsidRDefault="00BC0563">
            <w:pPr>
              <w:pStyle w:val="TableParagraph"/>
              <w:spacing w:before="1"/>
              <w:ind w:left="51" w:right="30"/>
              <w:jc w:val="center"/>
              <w:rPr>
                <w:sz w:val="20"/>
              </w:rPr>
            </w:pPr>
            <w:r>
              <w:rPr>
                <w:color w:val="231F20"/>
                <w:w w:val="65"/>
                <w:sz w:val="20"/>
              </w:rPr>
              <w:t>5.5.5.e</w:t>
            </w:r>
          </w:p>
        </w:tc>
        <w:tc>
          <w:tcPr>
            <w:tcW w:w="5185" w:type="dxa"/>
            <w:gridSpan w:val="2"/>
            <w:tcBorders>
              <w:left w:val="single" w:sz="6" w:space="0" w:color="231F20"/>
              <w:right w:val="single" w:sz="6" w:space="0" w:color="231F20"/>
            </w:tcBorders>
          </w:tcPr>
          <w:p w14:paraId="0452DC9F" w14:textId="4B73688A" w:rsidR="009948F1" w:rsidRDefault="00BC0563">
            <w:pPr>
              <w:pStyle w:val="TableParagraph"/>
              <w:spacing w:before="29" w:line="256" w:lineRule="auto"/>
              <w:ind w:left="26" w:right="57"/>
              <w:rPr>
                <w:sz w:val="20"/>
              </w:rPr>
            </w:pPr>
            <w:r>
              <w:rPr>
                <w:color w:val="231F20"/>
                <w:w w:val="65"/>
                <w:sz w:val="20"/>
              </w:rPr>
              <w:t>Operating</w:t>
            </w:r>
            <w:r>
              <w:rPr>
                <w:color w:val="231F20"/>
                <w:spacing w:val="-12"/>
                <w:w w:val="65"/>
                <w:sz w:val="20"/>
              </w:rPr>
              <w:t xml:space="preserve"> </w:t>
            </w:r>
            <w:r>
              <w:rPr>
                <w:color w:val="231F20"/>
                <w:w w:val="65"/>
                <w:sz w:val="20"/>
              </w:rPr>
              <w:t>cost</w:t>
            </w:r>
            <w:r>
              <w:rPr>
                <w:color w:val="231F20"/>
                <w:spacing w:val="-12"/>
                <w:w w:val="65"/>
                <w:sz w:val="20"/>
              </w:rPr>
              <w:t xml:space="preserve"> </w:t>
            </w:r>
            <w:r>
              <w:rPr>
                <w:color w:val="231F20"/>
                <w:w w:val="65"/>
                <w:sz w:val="20"/>
              </w:rPr>
              <w:t>for</w:t>
            </w:r>
            <w:r>
              <w:rPr>
                <w:color w:val="231F20"/>
                <w:spacing w:val="-12"/>
                <w:w w:val="65"/>
                <w:sz w:val="20"/>
              </w:rPr>
              <w:t xml:space="preserve"> </w:t>
            </w:r>
            <w:r>
              <w:rPr>
                <w:color w:val="231F20"/>
                <w:w w:val="65"/>
                <w:sz w:val="20"/>
              </w:rPr>
              <w:t>engaging</w:t>
            </w:r>
            <w:r>
              <w:rPr>
                <w:color w:val="231F20"/>
                <w:spacing w:val="-12"/>
                <w:w w:val="65"/>
                <w:sz w:val="20"/>
              </w:rPr>
              <w:t xml:space="preserve"> </w:t>
            </w:r>
            <w:r>
              <w:rPr>
                <w:color w:val="231F20"/>
                <w:w w:val="65"/>
                <w:sz w:val="20"/>
              </w:rPr>
              <w:t>and</w:t>
            </w:r>
            <w:r>
              <w:rPr>
                <w:color w:val="231F20"/>
                <w:spacing w:val="-12"/>
                <w:w w:val="65"/>
                <w:sz w:val="20"/>
              </w:rPr>
              <w:t xml:space="preserve"> </w:t>
            </w:r>
            <w:r>
              <w:rPr>
                <w:color w:val="231F20"/>
                <w:w w:val="65"/>
                <w:sz w:val="20"/>
              </w:rPr>
              <w:t>supervising</w:t>
            </w:r>
            <w:r>
              <w:rPr>
                <w:color w:val="231F20"/>
                <w:spacing w:val="-12"/>
                <w:w w:val="65"/>
                <w:sz w:val="20"/>
              </w:rPr>
              <w:t xml:space="preserve"> </w:t>
            </w:r>
            <w:r>
              <w:rPr>
                <w:color w:val="231F20"/>
                <w:w w:val="65"/>
                <w:sz w:val="20"/>
              </w:rPr>
              <w:t>the</w:t>
            </w:r>
            <w:r>
              <w:rPr>
                <w:color w:val="231F20"/>
                <w:spacing w:val="-12"/>
                <w:w w:val="65"/>
                <w:sz w:val="20"/>
              </w:rPr>
              <w:t xml:space="preserve"> </w:t>
            </w:r>
            <w:r>
              <w:rPr>
                <w:color w:val="231F20"/>
                <w:w w:val="65"/>
                <w:sz w:val="20"/>
              </w:rPr>
              <w:t>contractor</w:t>
            </w:r>
            <w:r>
              <w:rPr>
                <w:color w:val="231F20"/>
                <w:spacing w:val="-12"/>
                <w:w w:val="65"/>
                <w:sz w:val="20"/>
              </w:rPr>
              <w:t xml:space="preserve"> </w:t>
            </w:r>
            <w:r>
              <w:rPr>
                <w:color w:val="231F20"/>
                <w:w w:val="65"/>
                <w:sz w:val="20"/>
              </w:rPr>
              <w:t>to</w:t>
            </w:r>
            <w:r>
              <w:rPr>
                <w:color w:val="231F20"/>
                <w:spacing w:val="-12"/>
                <w:w w:val="65"/>
                <w:sz w:val="20"/>
              </w:rPr>
              <w:t xml:space="preserve"> </w:t>
            </w:r>
            <w:r>
              <w:rPr>
                <w:color w:val="231F20"/>
                <w:w w:val="65"/>
                <w:sz w:val="20"/>
              </w:rPr>
              <w:t>procure</w:t>
            </w:r>
            <w:r>
              <w:rPr>
                <w:color w:val="231F20"/>
                <w:spacing w:val="-12"/>
                <w:w w:val="65"/>
                <w:sz w:val="20"/>
              </w:rPr>
              <w:t xml:space="preserve"> </w:t>
            </w:r>
            <w:r>
              <w:rPr>
                <w:color w:val="231F20"/>
                <w:w w:val="65"/>
                <w:sz w:val="20"/>
              </w:rPr>
              <w:t>a</w:t>
            </w:r>
            <w:r>
              <w:rPr>
                <w:color w:val="231F20"/>
                <w:spacing w:val="-12"/>
                <w:w w:val="65"/>
                <w:sz w:val="20"/>
              </w:rPr>
              <w:t xml:space="preserve"> </w:t>
            </w:r>
            <w:r>
              <w:rPr>
                <w:color w:val="231F20"/>
                <w:w w:val="65"/>
                <w:sz w:val="20"/>
              </w:rPr>
              <w:t>Hilux</w:t>
            </w:r>
            <w:r>
              <w:rPr>
                <w:color w:val="231F20"/>
                <w:spacing w:val="-12"/>
                <w:w w:val="65"/>
                <w:sz w:val="20"/>
              </w:rPr>
              <w:t xml:space="preserve"> </w:t>
            </w:r>
            <w:r>
              <w:rPr>
                <w:color w:val="231F20"/>
                <w:w w:val="65"/>
                <w:sz w:val="20"/>
              </w:rPr>
              <w:t>and</w:t>
            </w:r>
            <w:r>
              <w:rPr>
                <w:color w:val="231F20"/>
                <w:spacing w:val="-12"/>
                <w:w w:val="65"/>
                <w:sz w:val="20"/>
              </w:rPr>
              <w:t xml:space="preserve"> </w:t>
            </w:r>
            <w:r>
              <w:rPr>
                <w:color w:val="231F20"/>
                <w:w w:val="65"/>
                <w:sz w:val="20"/>
              </w:rPr>
              <w:t>a</w:t>
            </w:r>
            <w:r>
              <w:rPr>
                <w:color w:val="231F20"/>
                <w:spacing w:val="-12"/>
                <w:w w:val="65"/>
                <w:sz w:val="20"/>
              </w:rPr>
              <w:t xml:space="preserve"> </w:t>
            </w:r>
            <w:r>
              <w:rPr>
                <w:color w:val="231F20"/>
                <w:w w:val="65"/>
                <w:sz w:val="20"/>
              </w:rPr>
              <w:t>Bus</w:t>
            </w:r>
            <w:r>
              <w:rPr>
                <w:color w:val="231F20"/>
                <w:spacing w:val="-12"/>
                <w:w w:val="65"/>
                <w:sz w:val="20"/>
              </w:rPr>
              <w:t xml:space="preserve"> </w:t>
            </w:r>
            <w:r>
              <w:rPr>
                <w:color w:val="231F20"/>
                <w:w w:val="65"/>
                <w:sz w:val="20"/>
              </w:rPr>
              <w:t xml:space="preserve">for </w:t>
            </w:r>
            <w:r>
              <w:rPr>
                <w:color w:val="231F20"/>
                <w:w w:val="70"/>
                <w:sz w:val="20"/>
              </w:rPr>
              <w:t xml:space="preserve">the State office, and a bike each for the 23 LGAs with annual fund for </w:t>
            </w:r>
            <w:r w:rsidR="00FB089D">
              <w:rPr>
                <w:color w:val="231F20"/>
                <w:w w:val="70"/>
                <w:sz w:val="20"/>
              </w:rPr>
              <w:t>fueling</w:t>
            </w:r>
            <w:r>
              <w:rPr>
                <w:color w:val="231F20"/>
                <w:w w:val="70"/>
                <w:sz w:val="20"/>
              </w:rPr>
              <w:t xml:space="preserve"> and </w:t>
            </w:r>
            <w:r>
              <w:rPr>
                <w:color w:val="231F20"/>
                <w:w w:val="75"/>
                <w:sz w:val="20"/>
              </w:rPr>
              <w:t>maintenance</w:t>
            </w:r>
          </w:p>
        </w:tc>
        <w:tc>
          <w:tcPr>
            <w:tcW w:w="1511" w:type="dxa"/>
            <w:tcBorders>
              <w:left w:val="single" w:sz="6" w:space="0" w:color="231F20"/>
              <w:right w:val="single" w:sz="6" w:space="0" w:color="231F20"/>
            </w:tcBorders>
          </w:tcPr>
          <w:p w14:paraId="79E67C13" w14:textId="77777777" w:rsidR="009948F1" w:rsidRDefault="009948F1">
            <w:pPr>
              <w:pStyle w:val="TableParagraph"/>
              <w:spacing w:before="6"/>
              <w:rPr>
                <w:sz w:val="24"/>
              </w:rPr>
            </w:pPr>
          </w:p>
          <w:p w14:paraId="1A32ED93" w14:textId="77777777" w:rsidR="009948F1" w:rsidRDefault="00BC0563">
            <w:pPr>
              <w:pStyle w:val="TableParagraph"/>
              <w:spacing w:before="1"/>
              <w:ind w:left="26"/>
              <w:rPr>
                <w:sz w:val="20"/>
              </w:rPr>
            </w:pPr>
            <w:r>
              <w:rPr>
                <w:color w:val="231F20"/>
                <w:w w:val="75"/>
                <w:sz w:val="20"/>
              </w:rPr>
              <w:t>Lack of funds</w:t>
            </w:r>
          </w:p>
        </w:tc>
        <w:tc>
          <w:tcPr>
            <w:tcW w:w="1594" w:type="dxa"/>
            <w:tcBorders>
              <w:left w:val="single" w:sz="6" w:space="0" w:color="231F20"/>
            </w:tcBorders>
          </w:tcPr>
          <w:p w14:paraId="2ED0DFDE" w14:textId="77777777" w:rsidR="009948F1" w:rsidRDefault="009948F1">
            <w:pPr>
              <w:pStyle w:val="TableParagraph"/>
              <w:spacing w:before="6"/>
              <w:rPr>
                <w:sz w:val="24"/>
              </w:rPr>
            </w:pPr>
          </w:p>
          <w:p w14:paraId="1E291BB8" w14:textId="77777777" w:rsidR="009948F1" w:rsidRDefault="00BC0563">
            <w:pPr>
              <w:pStyle w:val="TableParagraph"/>
              <w:spacing w:before="1"/>
              <w:ind w:left="26"/>
              <w:rPr>
                <w:sz w:val="20"/>
              </w:rPr>
            </w:pPr>
            <w:r>
              <w:rPr>
                <w:color w:val="231F20"/>
                <w:w w:val="75"/>
                <w:sz w:val="20"/>
              </w:rPr>
              <w:t>Costed in OHT</w:t>
            </w:r>
          </w:p>
        </w:tc>
      </w:tr>
      <w:tr w:rsidR="009948F1" w14:paraId="3FB2C027" w14:textId="77777777">
        <w:trPr>
          <w:trHeight w:val="837"/>
        </w:trPr>
        <w:tc>
          <w:tcPr>
            <w:tcW w:w="490" w:type="dxa"/>
            <w:tcBorders>
              <w:right w:val="single" w:sz="6" w:space="0" w:color="231F20"/>
            </w:tcBorders>
            <w:shd w:val="clear" w:color="auto" w:fill="CCE7D3"/>
          </w:tcPr>
          <w:p w14:paraId="23EE4770" w14:textId="77777777" w:rsidR="009948F1" w:rsidRDefault="009948F1">
            <w:pPr>
              <w:pStyle w:val="TableParagraph"/>
              <w:spacing w:before="7"/>
              <w:rPr>
                <w:sz w:val="25"/>
              </w:rPr>
            </w:pPr>
          </w:p>
          <w:p w14:paraId="07376B6F" w14:textId="77777777" w:rsidR="009948F1" w:rsidRDefault="00BC0563">
            <w:pPr>
              <w:pStyle w:val="TableParagraph"/>
              <w:ind w:left="67"/>
              <w:rPr>
                <w:sz w:val="20"/>
              </w:rPr>
            </w:pPr>
            <w:r>
              <w:rPr>
                <w:color w:val="231F20"/>
                <w:w w:val="75"/>
                <w:sz w:val="20"/>
              </w:rPr>
              <w:t>5.5.6</w:t>
            </w:r>
          </w:p>
        </w:tc>
        <w:tc>
          <w:tcPr>
            <w:tcW w:w="3217" w:type="dxa"/>
            <w:gridSpan w:val="2"/>
            <w:tcBorders>
              <w:left w:val="single" w:sz="6" w:space="0" w:color="231F20"/>
              <w:right w:val="single" w:sz="6" w:space="0" w:color="231F20"/>
            </w:tcBorders>
            <w:shd w:val="clear" w:color="auto" w:fill="CCE7D3"/>
          </w:tcPr>
          <w:p w14:paraId="74212955" w14:textId="77777777" w:rsidR="009948F1" w:rsidRDefault="00BC0563">
            <w:pPr>
              <w:pStyle w:val="TableParagraph"/>
              <w:spacing w:before="41" w:line="256" w:lineRule="auto"/>
              <w:ind w:left="26" w:right="193" w:firstLine="34"/>
              <w:rPr>
                <w:sz w:val="20"/>
              </w:rPr>
            </w:pPr>
            <w:r>
              <w:rPr>
                <w:color w:val="231F20"/>
                <w:w w:val="70"/>
                <w:sz w:val="20"/>
              </w:rPr>
              <w:t xml:space="preserve">Strengthen the integration and linkages of NTD </w:t>
            </w:r>
            <w:proofErr w:type="spellStart"/>
            <w:r>
              <w:rPr>
                <w:color w:val="231F20"/>
                <w:w w:val="65"/>
                <w:sz w:val="20"/>
              </w:rPr>
              <w:t>programme</w:t>
            </w:r>
            <w:proofErr w:type="spellEnd"/>
            <w:r>
              <w:rPr>
                <w:color w:val="231F20"/>
                <w:w w:val="65"/>
                <w:sz w:val="20"/>
              </w:rPr>
              <w:t xml:space="preserve"> and financial plans into sector-wide </w:t>
            </w:r>
            <w:r>
              <w:rPr>
                <w:color w:val="231F20"/>
                <w:spacing w:val="-5"/>
                <w:w w:val="65"/>
                <w:sz w:val="20"/>
              </w:rPr>
              <w:t xml:space="preserve">and </w:t>
            </w:r>
            <w:r>
              <w:rPr>
                <w:color w:val="231F20"/>
                <w:w w:val="70"/>
                <w:sz w:val="20"/>
              </w:rPr>
              <w:t>national budgetary and financing mechanisms.</w:t>
            </w:r>
          </w:p>
        </w:tc>
        <w:tc>
          <w:tcPr>
            <w:tcW w:w="2525" w:type="dxa"/>
            <w:tcBorders>
              <w:left w:val="single" w:sz="6" w:space="0" w:color="231F20"/>
              <w:right w:val="single" w:sz="6" w:space="0" w:color="231F20"/>
            </w:tcBorders>
            <w:shd w:val="clear" w:color="auto" w:fill="CCE7D3"/>
          </w:tcPr>
          <w:p w14:paraId="373BA1EF" w14:textId="77777777" w:rsidR="009948F1" w:rsidRDefault="00BC0563">
            <w:pPr>
              <w:pStyle w:val="TableParagraph"/>
              <w:numPr>
                <w:ilvl w:val="0"/>
                <w:numId w:val="137"/>
              </w:numPr>
              <w:tabs>
                <w:tab w:val="left" w:pos="106"/>
              </w:tabs>
              <w:spacing w:before="49"/>
              <w:ind w:hanging="80"/>
              <w:rPr>
                <w:sz w:val="20"/>
              </w:rPr>
            </w:pPr>
            <w:r>
              <w:rPr>
                <w:color w:val="231F20"/>
                <w:w w:val="75"/>
                <w:sz w:val="20"/>
              </w:rPr>
              <w:t>NTD</w:t>
            </w:r>
            <w:r>
              <w:rPr>
                <w:color w:val="231F20"/>
                <w:spacing w:val="-18"/>
                <w:w w:val="75"/>
                <w:sz w:val="20"/>
              </w:rPr>
              <w:t xml:space="preserve"> </w:t>
            </w:r>
            <w:r>
              <w:rPr>
                <w:color w:val="231F20"/>
                <w:w w:val="75"/>
                <w:sz w:val="20"/>
              </w:rPr>
              <w:t>Work</w:t>
            </w:r>
            <w:r>
              <w:rPr>
                <w:color w:val="231F20"/>
                <w:spacing w:val="-17"/>
                <w:w w:val="75"/>
                <w:sz w:val="20"/>
              </w:rPr>
              <w:t xml:space="preserve"> </w:t>
            </w:r>
            <w:r>
              <w:rPr>
                <w:color w:val="231F20"/>
                <w:w w:val="75"/>
                <w:sz w:val="20"/>
              </w:rPr>
              <w:t>plans</w:t>
            </w:r>
            <w:r>
              <w:rPr>
                <w:color w:val="231F20"/>
                <w:spacing w:val="-17"/>
                <w:w w:val="75"/>
                <w:sz w:val="20"/>
              </w:rPr>
              <w:t xml:space="preserve"> </w:t>
            </w:r>
            <w:r>
              <w:rPr>
                <w:color w:val="231F20"/>
                <w:w w:val="75"/>
                <w:sz w:val="20"/>
              </w:rPr>
              <w:t>developed</w:t>
            </w:r>
          </w:p>
          <w:p w14:paraId="05C011A3" w14:textId="77777777" w:rsidR="009948F1" w:rsidRDefault="00BC0563">
            <w:pPr>
              <w:pStyle w:val="TableParagraph"/>
              <w:spacing w:before="16"/>
              <w:ind w:left="26"/>
              <w:rPr>
                <w:sz w:val="20"/>
              </w:rPr>
            </w:pPr>
            <w:r>
              <w:rPr>
                <w:color w:val="231F20"/>
                <w:w w:val="62"/>
                <w:sz w:val="20"/>
              </w:rPr>
              <w:t>•</w:t>
            </w:r>
          </w:p>
          <w:p w14:paraId="34715C74" w14:textId="77777777" w:rsidR="009948F1" w:rsidRDefault="00BC0563">
            <w:pPr>
              <w:pStyle w:val="TableParagraph"/>
              <w:spacing w:before="16"/>
              <w:ind w:left="26"/>
              <w:rPr>
                <w:sz w:val="20"/>
              </w:rPr>
            </w:pPr>
            <w:r>
              <w:rPr>
                <w:color w:val="231F20"/>
                <w:w w:val="62"/>
                <w:sz w:val="20"/>
              </w:rPr>
              <w:t>•</w:t>
            </w:r>
          </w:p>
        </w:tc>
        <w:tc>
          <w:tcPr>
            <w:tcW w:w="1511" w:type="dxa"/>
            <w:tcBorders>
              <w:left w:val="single" w:sz="6" w:space="0" w:color="231F20"/>
              <w:right w:val="single" w:sz="12" w:space="0" w:color="231F20"/>
            </w:tcBorders>
            <w:shd w:val="clear" w:color="auto" w:fill="CCE7D3"/>
          </w:tcPr>
          <w:p w14:paraId="7BF4977E" w14:textId="77777777" w:rsidR="009948F1" w:rsidRDefault="009948F1">
            <w:pPr>
              <w:pStyle w:val="TableParagraph"/>
              <w:rPr>
                <w:rFonts w:ascii="Times New Roman"/>
                <w:sz w:val="12"/>
              </w:rPr>
            </w:pPr>
          </w:p>
        </w:tc>
        <w:tc>
          <w:tcPr>
            <w:tcW w:w="1594" w:type="dxa"/>
            <w:tcBorders>
              <w:left w:val="single" w:sz="12" w:space="0" w:color="231F20"/>
            </w:tcBorders>
            <w:shd w:val="clear" w:color="auto" w:fill="CCE7D3"/>
          </w:tcPr>
          <w:p w14:paraId="7164B64E" w14:textId="77777777" w:rsidR="009948F1" w:rsidRDefault="009948F1">
            <w:pPr>
              <w:pStyle w:val="TableParagraph"/>
              <w:rPr>
                <w:rFonts w:ascii="Times New Roman"/>
                <w:sz w:val="12"/>
              </w:rPr>
            </w:pPr>
          </w:p>
        </w:tc>
      </w:tr>
      <w:tr w:rsidR="009948F1" w14:paraId="58EAC2BC" w14:textId="77777777">
        <w:trPr>
          <w:trHeight w:val="547"/>
        </w:trPr>
        <w:tc>
          <w:tcPr>
            <w:tcW w:w="490" w:type="dxa"/>
            <w:vMerge w:val="restart"/>
            <w:tcBorders>
              <w:left w:val="single" w:sz="6" w:space="0" w:color="231F20"/>
              <w:right w:val="single" w:sz="6" w:space="0" w:color="231F20"/>
            </w:tcBorders>
          </w:tcPr>
          <w:p w14:paraId="47826EB6" w14:textId="77777777" w:rsidR="009948F1" w:rsidRDefault="009948F1">
            <w:pPr>
              <w:pStyle w:val="TableParagraph"/>
              <w:rPr>
                <w:rFonts w:ascii="Times New Roman"/>
                <w:sz w:val="12"/>
              </w:rPr>
            </w:pPr>
          </w:p>
        </w:tc>
        <w:tc>
          <w:tcPr>
            <w:tcW w:w="557" w:type="dxa"/>
            <w:tcBorders>
              <w:left w:val="single" w:sz="6" w:space="0" w:color="231F20"/>
              <w:right w:val="single" w:sz="6" w:space="0" w:color="231F20"/>
            </w:tcBorders>
          </w:tcPr>
          <w:p w14:paraId="71DE0E16" w14:textId="77777777" w:rsidR="009948F1" w:rsidRDefault="00BC0563">
            <w:pPr>
              <w:pStyle w:val="TableParagraph"/>
              <w:spacing w:before="149"/>
              <w:ind w:left="51" w:right="30"/>
              <w:jc w:val="center"/>
              <w:rPr>
                <w:sz w:val="20"/>
              </w:rPr>
            </w:pPr>
            <w:r>
              <w:rPr>
                <w:color w:val="231F20"/>
                <w:w w:val="65"/>
                <w:sz w:val="20"/>
              </w:rPr>
              <w:t>5.5.6.a</w:t>
            </w:r>
          </w:p>
        </w:tc>
        <w:tc>
          <w:tcPr>
            <w:tcW w:w="5185" w:type="dxa"/>
            <w:gridSpan w:val="2"/>
            <w:tcBorders>
              <w:left w:val="single" w:sz="6" w:space="0" w:color="231F20"/>
              <w:right w:val="single" w:sz="6" w:space="0" w:color="231F20"/>
            </w:tcBorders>
          </w:tcPr>
          <w:p w14:paraId="6ECF5741" w14:textId="77777777" w:rsidR="009948F1" w:rsidRDefault="00BC0563">
            <w:pPr>
              <w:pStyle w:val="TableParagraph"/>
              <w:spacing w:before="141"/>
              <w:ind w:left="26"/>
              <w:rPr>
                <w:sz w:val="20"/>
              </w:rPr>
            </w:pPr>
            <w:r>
              <w:rPr>
                <w:color w:val="231F20"/>
                <w:w w:val="75"/>
                <w:sz w:val="20"/>
              </w:rPr>
              <w:t>Establish/Inaugurate NTD Advisory Committee</w:t>
            </w:r>
          </w:p>
        </w:tc>
        <w:tc>
          <w:tcPr>
            <w:tcW w:w="1511" w:type="dxa"/>
            <w:tcBorders>
              <w:left w:val="single" w:sz="6" w:space="0" w:color="231F20"/>
              <w:right w:val="single" w:sz="6" w:space="0" w:color="231F20"/>
            </w:tcBorders>
          </w:tcPr>
          <w:p w14:paraId="23533CCB" w14:textId="77777777" w:rsidR="009948F1" w:rsidRDefault="00BC0563">
            <w:pPr>
              <w:pStyle w:val="TableParagraph"/>
              <w:spacing w:before="149"/>
              <w:ind w:left="26"/>
              <w:rPr>
                <w:sz w:val="20"/>
              </w:rPr>
            </w:pPr>
            <w:r>
              <w:rPr>
                <w:color w:val="231F20"/>
                <w:w w:val="75"/>
                <w:sz w:val="20"/>
              </w:rPr>
              <w:t>Lack of funds</w:t>
            </w:r>
          </w:p>
        </w:tc>
        <w:tc>
          <w:tcPr>
            <w:tcW w:w="1594" w:type="dxa"/>
            <w:tcBorders>
              <w:left w:val="single" w:sz="6" w:space="0" w:color="231F20"/>
            </w:tcBorders>
          </w:tcPr>
          <w:p w14:paraId="4B500C0A" w14:textId="77777777" w:rsidR="009948F1" w:rsidRDefault="00BC0563">
            <w:pPr>
              <w:pStyle w:val="TableParagraph"/>
              <w:spacing w:before="27" w:line="256" w:lineRule="auto"/>
              <w:ind w:left="26"/>
              <w:rPr>
                <w:sz w:val="20"/>
              </w:rPr>
            </w:pPr>
            <w:r>
              <w:rPr>
                <w:color w:val="231F20"/>
                <w:w w:val="60"/>
                <w:sz w:val="20"/>
              </w:rPr>
              <w:t xml:space="preserve">Establish/Inaugurate </w:t>
            </w:r>
            <w:r>
              <w:rPr>
                <w:color w:val="231F20"/>
                <w:w w:val="75"/>
                <w:sz w:val="20"/>
              </w:rPr>
              <w:t>Committee</w:t>
            </w:r>
          </w:p>
        </w:tc>
      </w:tr>
      <w:tr w:rsidR="009948F1" w14:paraId="429DF922" w14:textId="77777777">
        <w:trPr>
          <w:trHeight w:val="667"/>
        </w:trPr>
        <w:tc>
          <w:tcPr>
            <w:tcW w:w="490" w:type="dxa"/>
            <w:vMerge/>
            <w:tcBorders>
              <w:top w:val="nil"/>
              <w:left w:val="single" w:sz="6" w:space="0" w:color="231F20"/>
              <w:right w:val="single" w:sz="6" w:space="0" w:color="231F20"/>
            </w:tcBorders>
          </w:tcPr>
          <w:p w14:paraId="413D7DBD" w14:textId="77777777" w:rsidR="009948F1" w:rsidRDefault="009948F1">
            <w:pPr>
              <w:rPr>
                <w:sz w:val="2"/>
                <w:szCs w:val="2"/>
              </w:rPr>
            </w:pPr>
          </w:p>
        </w:tc>
        <w:tc>
          <w:tcPr>
            <w:tcW w:w="557" w:type="dxa"/>
            <w:tcBorders>
              <w:left w:val="single" w:sz="6" w:space="0" w:color="231F20"/>
              <w:right w:val="single" w:sz="6" w:space="0" w:color="231F20"/>
            </w:tcBorders>
          </w:tcPr>
          <w:p w14:paraId="6F0D9486" w14:textId="77777777" w:rsidR="009948F1" w:rsidRDefault="009948F1">
            <w:pPr>
              <w:pStyle w:val="TableParagraph"/>
              <w:spacing w:before="1"/>
              <w:rPr>
                <w:sz w:val="18"/>
              </w:rPr>
            </w:pPr>
          </w:p>
          <w:p w14:paraId="7707C2DA" w14:textId="77777777" w:rsidR="009948F1" w:rsidRDefault="00BC0563">
            <w:pPr>
              <w:pStyle w:val="TableParagraph"/>
              <w:spacing w:before="1"/>
              <w:ind w:left="51" w:right="30"/>
              <w:jc w:val="center"/>
              <w:rPr>
                <w:sz w:val="20"/>
              </w:rPr>
            </w:pPr>
            <w:r>
              <w:rPr>
                <w:color w:val="231F20"/>
                <w:w w:val="65"/>
                <w:sz w:val="20"/>
              </w:rPr>
              <w:t>5.5.6.b</w:t>
            </w:r>
          </w:p>
        </w:tc>
        <w:tc>
          <w:tcPr>
            <w:tcW w:w="5185" w:type="dxa"/>
            <w:gridSpan w:val="2"/>
            <w:tcBorders>
              <w:left w:val="single" w:sz="6" w:space="0" w:color="231F20"/>
              <w:right w:val="single" w:sz="6" w:space="0" w:color="231F20"/>
            </w:tcBorders>
          </w:tcPr>
          <w:p w14:paraId="7FCB0DDE" w14:textId="77777777" w:rsidR="009948F1" w:rsidRDefault="009948F1">
            <w:pPr>
              <w:pStyle w:val="TableParagraph"/>
              <w:spacing w:before="5"/>
              <w:rPr>
                <w:sz w:val="17"/>
              </w:rPr>
            </w:pPr>
          </w:p>
          <w:p w14:paraId="2BDFF469" w14:textId="77777777" w:rsidR="009948F1" w:rsidRDefault="00BC0563">
            <w:pPr>
              <w:pStyle w:val="TableParagraph"/>
              <w:ind w:left="26"/>
              <w:rPr>
                <w:sz w:val="20"/>
              </w:rPr>
            </w:pPr>
            <w:r>
              <w:rPr>
                <w:color w:val="231F20"/>
                <w:w w:val="75"/>
                <w:sz w:val="20"/>
              </w:rPr>
              <w:t>Develop annual NTD Work plans with inputs from partners</w:t>
            </w:r>
          </w:p>
        </w:tc>
        <w:tc>
          <w:tcPr>
            <w:tcW w:w="1511" w:type="dxa"/>
            <w:tcBorders>
              <w:left w:val="single" w:sz="6" w:space="0" w:color="231F20"/>
              <w:right w:val="single" w:sz="6" w:space="0" w:color="231F20"/>
            </w:tcBorders>
          </w:tcPr>
          <w:p w14:paraId="49B0363D" w14:textId="77777777" w:rsidR="009948F1" w:rsidRDefault="009948F1">
            <w:pPr>
              <w:pStyle w:val="TableParagraph"/>
              <w:spacing w:before="1"/>
              <w:rPr>
                <w:sz w:val="18"/>
              </w:rPr>
            </w:pPr>
          </w:p>
          <w:p w14:paraId="081D90B0" w14:textId="77777777" w:rsidR="009948F1" w:rsidRDefault="00BC0563">
            <w:pPr>
              <w:pStyle w:val="TableParagraph"/>
              <w:spacing w:before="1"/>
              <w:ind w:left="26"/>
              <w:rPr>
                <w:sz w:val="20"/>
              </w:rPr>
            </w:pPr>
            <w:r>
              <w:rPr>
                <w:color w:val="231F20"/>
                <w:w w:val="75"/>
                <w:sz w:val="20"/>
              </w:rPr>
              <w:t>Lack of funds</w:t>
            </w:r>
          </w:p>
        </w:tc>
        <w:tc>
          <w:tcPr>
            <w:tcW w:w="1594" w:type="dxa"/>
            <w:tcBorders>
              <w:left w:val="single" w:sz="6" w:space="0" w:color="231F20"/>
            </w:tcBorders>
          </w:tcPr>
          <w:p w14:paraId="71447133" w14:textId="77777777" w:rsidR="009948F1" w:rsidRDefault="009948F1">
            <w:pPr>
              <w:pStyle w:val="TableParagraph"/>
              <w:spacing w:before="1"/>
              <w:rPr>
                <w:sz w:val="18"/>
              </w:rPr>
            </w:pPr>
          </w:p>
          <w:p w14:paraId="69B79362" w14:textId="77777777" w:rsidR="009948F1" w:rsidRDefault="00BC0563">
            <w:pPr>
              <w:pStyle w:val="TableParagraph"/>
              <w:spacing w:before="1"/>
              <w:ind w:left="26"/>
              <w:rPr>
                <w:sz w:val="20"/>
              </w:rPr>
            </w:pPr>
            <w:r>
              <w:rPr>
                <w:color w:val="231F20"/>
                <w:w w:val="75"/>
                <w:sz w:val="20"/>
              </w:rPr>
              <w:t>Develop work plans</w:t>
            </w:r>
          </w:p>
        </w:tc>
      </w:tr>
      <w:tr w:rsidR="009948F1" w14:paraId="06670C77" w14:textId="77777777">
        <w:trPr>
          <w:trHeight w:val="813"/>
        </w:trPr>
        <w:tc>
          <w:tcPr>
            <w:tcW w:w="490" w:type="dxa"/>
            <w:vMerge/>
            <w:tcBorders>
              <w:top w:val="nil"/>
              <w:left w:val="single" w:sz="6" w:space="0" w:color="231F20"/>
              <w:right w:val="single" w:sz="6" w:space="0" w:color="231F20"/>
            </w:tcBorders>
          </w:tcPr>
          <w:p w14:paraId="416B61B9" w14:textId="77777777" w:rsidR="009948F1" w:rsidRDefault="009948F1">
            <w:pPr>
              <w:rPr>
                <w:sz w:val="2"/>
                <w:szCs w:val="2"/>
              </w:rPr>
            </w:pPr>
          </w:p>
        </w:tc>
        <w:tc>
          <w:tcPr>
            <w:tcW w:w="557" w:type="dxa"/>
            <w:tcBorders>
              <w:left w:val="single" w:sz="6" w:space="0" w:color="231F20"/>
              <w:right w:val="single" w:sz="6" w:space="0" w:color="231F20"/>
            </w:tcBorders>
          </w:tcPr>
          <w:p w14:paraId="4F90BDEA" w14:textId="77777777" w:rsidR="009948F1" w:rsidRDefault="009948F1">
            <w:pPr>
              <w:pStyle w:val="TableParagraph"/>
              <w:spacing w:before="6"/>
              <w:rPr>
                <w:sz w:val="24"/>
              </w:rPr>
            </w:pPr>
          </w:p>
          <w:p w14:paraId="7ED28D53" w14:textId="77777777" w:rsidR="009948F1" w:rsidRDefault="00BC0563">
            <w:pPr>
              <w:pStyle w:val="TableParagraph"/>
              <w:spacing w:before="1"/>
              <w:ind w:left="51" w:right="30"/>
              <w:jc w:val="center"/>
              <w:rPr>
                <w:sz w:val="20"/>
              </w:rPr>
            </w:pPr>
            <w:r>
              <w:rPr>
                <w:color w:val="231F20"/>
                <w:w w:val="70"/>
                <w:sz w:val="20"/>
              </w:rPr>
              <w:t>5.5.6.c</w:t>
            </w:r>
          </w:p>
        </w:tc>
        <w:tc>
          <w:tcPr>
            <w:tcW w:w="5185" w:type="dxa"/>
            <w:gridSpan w:val="2"/>
            <w:tcBorders>
              <w:left w:val="single" w:sz="6" w:space="0" w:color="231F20"/>
              <w:right w:val="single" w:sz="6" w:space="0" w:color="231F20"/>
            </w:tcBorders>
          </w:tcPr>
          <w:p w14:paraId="6E84A8C1" w14:textId="555C2D7E" w:rsidR="009948F1" w:rsidRDefault="00BC0563">
            <w:pPr>
              <w:pStyle w:val="TableParagraph"/>
              <w:spacing w:before="151" w:line="256" w:lineRule="auto"/>
              <w:ind w:left="26" w:right="377"/>
              <w:rPr>
                <w:sz w:val="20"/>
              </w:rPr>
            </w:pPr>
            <w:r>
              <w:rPr>
                <w:color w:val="231F20"/>
                <w:w w:val="65"/>
                <w:sz w:val="20"/>
              </w:rPr>
              <w:t>Strengthen</w:t>
            </w:r>
            <w:r>
              <w:rPr>
                <w:color w:val="231F20"/>
                <w:spacing w:val="-17"/>
                <w:w w:val="65"/>
                <w:sz w:val="20"/>
              </w:rPr>
              <w:t xml:space="preserve"> </w:t>
            </w:r>
            <w:r>
              <w:rPr>
                <w:color w:val="231F20"/>
                <w:w w:val="65"/>
                <w:sz w:val="20"/>
              </w:rPr>
              <w:t>collaboration</w:t>
            </w:r>
            <w:r>
              <w:rPr>
                <w:color w:val="231F20"/>
                <w:spacing w:val="-17"/>
                <w:w w:val="65"/>
                <w:sz w:val="20"/>
              </w:rPr>
              <w:t xml:space="preserve"> </w:t>
            </w:r>
            <w:r>
              <w:rPr>
                <w:color w:val="231F20"/>
                <w:w w:val="65"/>
                <w:sz w:val="20"/>
              </w:rPr>
              <w:t>with</w:t>
            </w:r>
            <w:r>
              <w:rPr>
                <w:color w:val="231F20"/>
                <w:spacing w:val="-16"/>
                <w:w w:val="65"/>
                <w:sz w:val="20"/>
              </w:rPr>
              <w:t xml:space="preserve"> </w:t>
            </w:r>
            <w:r>
              <w:rPr>
                <w:color w:val="231F20"/>
                <w:w w:val="65"/>
                <w:sz w:val="20"/>
              </w:rPr>
              <w:t>other</w:t>
            </w:r>
            <w:r>
              <w:rPr>
                <w:color w:val="231F20"/>
                <w:spacing w:val="-17"/>
                <w:w w:val="65"/>
                <w:sz w:val="20"/>
              </w:rPr>
              <w:t xml:space="preserve"> </w:t>
            </w:r>
            <w:r>
              <w:rPr>
                <w:color w:val="231F20"/>
                <w:w w:val="65"/>
                <w:sz w:val="20"/>
              </w:rPr>
              <w:t>community</w:t>
            </w:r>
            <w:r>
              <w:rPr>
                <w:color w:val="231F20"/>
                <w:spacing w:val="-17"/>
                <w:w w:val="65"/>
                <w:sz w:val="20"/>
              </w:rPr>
              <w:t xml:space="preserve"> </w:t>
            </w:r>
            <w:r>
              <w:rPr>
                <w:color w:val="231F20"/>
                <w:w w:val="65"/>
                <w:sz w:val="20"/>
              </w:rPr>
              <w:t>based</w:t>
            </w:r>
            <w:r>
              <w:rPr>
                <w:color w:val="231F20"/>
                <w:spacing w:val="-16"/>
                <w:w w:val="65"/>
                <w:sz w:val="20"/>
              </w:rPr>
              <w:t xml:space="preserve"> </w:t>
            </w:r>
            <w:r>
              <w:rPr>
                <w:color w:val="231F20"/>
                <w:w w:val="65"/>
                <w:sz w:val="20"/>
              </w:rPr>
              <w:t>health</w:t>
            </w:r>
            <w:r>
              <w:rPr>
                <w:color w:val="231F20"/>
                <w:spacing w:val="-17"/>
                <w:w w:val="65"/>
                <w:sz w:val="20"/>
              </w:rPr>
              <w:t xml:space="preserve"> </w:t>
            </w:r>
            <w:r>
              <w:rPr>
                <w:color w:val="231F20"/>
                <w:w w:val="65"/>
                <w:sz w:val="20"/>
              </w:rPr>
              <w:t>programs</w:t>
            </w:r>
            <w:r>
              <w:rPr>
                <w:color w:val="231F20"/>
                <w:spacing w:val="-16"/>
                <w:w w:val="65"/>
                <w:sz w:val="20"/>
              </w:rPr>
              <w:t xml:space="preserve"> </w:t>
            </w:r>
            <w:r>
              <w:rPr>
                <w:color w:val="231F20"/>
                <w:w w:val="65"/>
                <w:sz w:val="20"/>
              </w:rPr>
              <w:t>like</w:t>
            </w:r>
            <w:r>
              <w:rPr>
                <w:color w:val="231F20"/>
                <w:spacing w:val="-17"/>
                <w:w w:val="65"/>
                <w:sz w:val="20"/>
              </w:rPr>
              <w:t xml:space="preserve"> </w:t>
            </w:r>
            <w:r>
              <w:rPr>
                <w:color w:val="231F20"/>
                <w:w w:val="65"/>
                <w:sz w:val="20"/>
              </w:rPr>
              <w:t>RBM,</w:t>
            </w:r>
            <w:r>
              <w:rPr>
                <w:color w:val="231F20"/>
                <w:spacing w:val="-17"/>
                <w:w w:val="65"/>
                <w:sz w:val="20"/>
              </w:rPr>
              <w:t xml:space="preserve"> </w:t>
            </w:r>
            <w:r>
              <w:rPr>
                <w:color w:val="231F20"/>
                <w:w w:val="65"/>
                <w:sz w:val="20"/>
              </w:rPr>
              <w:t>EPI, School</w:t>
            </w:r>
            <w:r>
              <w:rPr>
                <w:color w:val="231F20"/>
                <w:spacing w:val="-12"/>
                <w:w w:val="65"/>
                <w:sz w:val="20"/>
              </w:rPr>
              <w:t xml:space="preserve"> </w:t>
            </w:r>
            <w:r>
              <w:rPr>
                <w:color w:val="231F20"/>
                <w:w w:val="65"/>
                <w:sz w:val="20"/>
              </w:rPr>
              <w:t>Feeding</w:t>
            </w:r>
            <w:r>
              <w:rPr>
                <w:color w:val="231F20"/>
                <w:spacing w:val="-11"/>
                <w:w w:val="65"/>
                <w:sz w:val="20"/>
              </w:rPr>
              <w:t xml:space="preserve"> </w:t>
            </w:r>
            <w:r>
              <w:rPr>
                <w:color w:val="231F20"/>
                <w:w w:val="65"/>
                <w:sz w:val="20"/>
              </w:rPr>
              <w:t>programs,</w:t>
            </w:r>
            <w:r>
              <w:rPr>
                <w:color w:val="231F20"/>
                <w:spacing w:val="-11"/>
                <w:w w:val="65"/>
                <w:sz w:val="20"/>
              </w:rPr>
              <w:t xml:space="preserve"> </w:t>
            </w:r>
            <w:r>
              <w:rPr>
                <w:color w:val="231F20"/>
                <w:w w:val="65"/>
                <w:sz w:val="20"/>
              </w:rPr>
              <w:t>WASH,</w:t>
            </w:r>
            <w:r>
              <w:rPr>
                <w:color w:val="231F20"/>
                <w:spacing w:val="-11"/>
                <w:w w:val="65"/>
                <w:sz w:val="20"/>
              </w:rPr>
              <w:t xml:space="preserve"> </w:t>
            </w:r>
            <w:r>
              <w:rPr>
                <w:color w:val="231F20"/>
                <w:w w:val="65"/>
                <w:sz w:val="20"/>
              </w:rPr>
              <w:t>Sanitation</w:t>
            </w:r>
            <w:r>
              <w:rPr>
                <w:color w:val="231F20"/>
                <w:spacing w:val="-16"/>
                <w:w w:val="65"/>
                <w:sz w:val="20"/>
              </w:rPr>
              <w:t xml:space="preserve"> </w:t>
            </w:r>
            <w:r>
              <w:rPr>
                <w:color w:val="231F20"/>
                <w:w w:val="65"/>
                <w:sz w:val="20"/>
              </w:rPr>
              <w:t>Authority,</w:t>
            </w:r>
            <w:r>
              <w:rPr>
                <w:color w:val="231F20"/>
                <w:spacing w:val="-11"/>
                <w:w w:val="65"/>
                <w:sz w:val="20"/>
              </w:rPr>
              <w:t xml:space="preserve"> </w:t>
            </w:r>
            <w:r w:rsidR="00FB089D">
              <w:rPr>
                <w:color w:val="231F20"/>
                <w:w w:val="65"/>
                <w:sz w:val="20"/>
              </w:rPr>
              <w:t>and Ministry</w:t>
            </w:r>
            <w:r>
              <w:rPr>
                <w:color w:val="231F20"/>
                <w:spacing w:val="-11"/>
                <w:w w:val="65"/>
                <w:sz w:val="20"/>
              </w:rPr>
              <w:t xml:space="preserve"> </w:t>
            </w:r>
            <w:r>
              <w:rPr>
                <w:color w:val="231F20"/>
                <w:w w:val="65"/>
                <w:sz w:val="20"/>
              </w:rPr>
              <w:t>of</w:t>
            </w:r>
            <w:r>
              <w:rPr>
                <w:color w:val="231F20"/>
                <w:spacing w:val="-11"/>
                <w:w w:val="65"/>
                <w:sz w:val="20"/>
              </w:rPr>
              <w:t xml:space="preserve"> </w:t>
            </w:r>
            <w:r>
              <w:rPr>
                <w:color w:val="231F20"/>
                <w:w w:val="65"/>
                <w:sz w:val="20"/>
              </w:rPr>
              <w:t>Environment.</w:t>
            </w:r>
          </w:p>
        </w:tc>
        <w:tc>
          <w:tcPr>
            <w:tcW w:w="1511" w:type="dxa"/>
            <w:tcBorders>
              <w:left w:val="single" w:sz="6" w:space="0" w:color="231F20"/>
              <w:right w:val="single" w:sz="6" w:space="0" w:color="231F20"/>
            </w:tcBorders>
          </w:tcPr>
          <w:p w14:paraId="724ADAD6" w14:textId="77777777" w:rsidR="009948F1" w:rsidRDefault="009948F1">
            <w:pPr>
              <w:pStyle w:val="TableParagraph"/>
              <w:spacing w:before="6"/>
              <w:rPr>
                <w:sz w:val="24"/>
              </w:rPr>
            </w:pPr>
          </w:p>
          <w:p w14:paraId="3CBA4525" w14:textId="77777777" w:rsidR="009948F1" w:rsidRDefault="00BC0563">
            <w:pPr>
              <w:pStyle w:val="TableParagraph"/>
              <w:spacing w:before="1"/>
              <w:ind w:left="26"/>
              <w:rPr>
                <w:sz w:val="20"/>
              </w:rPr>
            </w:pPr>
            <w:r>
              <w:rPr>
                <w:color w:val="231F20"/>
                <w:w w:val="75"/>
                <w:sz w:val="20"/>
              </w:rPr>
              <w:t>Lack of funds</w:t>
            </w:r>
          </w:p>
        </w:tc>
        <w:tc>
          <w:tcPr>
            <w:tcW w:w="1594" w:type="dxa"/>
            <w:tcBorders>
              <w:left w:val="single" w:sz="6" w:space="0" w:color="231F20"/>
            </w:tcBorders>
          </w:tcPr>
          <w:p w14:paraId="50FB6A97" w14:textId="77777777" w:rsidR="009948F1" w:rsidRDefault="009948F1">
            <w:pPr>
              <w:pStyle w:val="TableParagraph"/>
              <w:spacing w:before="6"/>
              <w:rPr>
                <w:sz w:val="24"/>
              </w:rPr>
            </w:pPr>
          </w:p>
          <w:p w14:paraId="58350E00" w14:textId="77777777" w:rsidR="009948F1" w:rsidRDefault="00BC0563">
            <w:pPr>
              <w:pStyle w:val="TableParagraph"/>
              <w:spacing w:before="1"/>
              <w:ind w:left="26"/>
              <w:rPr>
                <w:sz w:val="20"/>
              </w:rPr>
            </w:pPr>
            <w:r>
              <w:rPr>
                <w:color w:val="231F20"/>
                <w:w w:val="75"/>
                <w:sz w:val="20"/>
              </w:rPr>
              <w:t>No cost</w:t>
            </w:r>
          </w:p>
        </w:tc>
      </w:tr>
      <w:tr w:rsidR="009948F1" w14:paraId="49CB9DBC" w14:textId="77777777">
        <w:trPr>
          <w:trHeight w:val="655"/>
        </w:trPr>
        <w:tc>
          <w:tcPr>
            <w:tcW w:w="490" w:type="dxa"/>
            <w:vMerge/>
            <w:tcBorders>
              <w:top w:val="nil"/>
              <w:left w:val="single" w:sz="6" w:space="0" w:color="231F20"/>
              <w:right w:val="single" w:sz="6" w:space="0" w:color="231F20"/>
            </w:tcBorders>
          </w:tcPr>
          <w:p w14:paraId="3A55EB60" w14:textId="77777777" w:rsidR="009948F1" w:rsidRDefault="009948F1">
            <w:pPr>
              <w:rPr>
                <w:sz w:val="2"/>
                <w:szCs w:val="2"/>
              </w:rPr>
            </w:pPr>
          </w:p>
        </w:tc>
        <w:tc>
          <w:tcPr>
            <w:tcW w:w="557" w:type="dxa"/>
            <w:tcBorders>
              <w:left w:val="single" w:sz="6" w:space="0" w:color="231F20"/>
              <w:right w:val="single" w:sz="6" w:space="0" w:color="231F20"/>
            </w:tcBorders>
          </w:tcPr>
          <w:p w14:paraId="0D3399EB" w14:textId="77777777" w:rsidR="009948F1" w:rsidRDefault="009948F1">
            <w:pPr>
              <w:pStyle w:val="TableParagraph"/>
              <w:spacing w:before="7"/>
              <w:rPr>
                <w:sz w:val="17"/>
              </w:rPr>
            </w:pPr>
          </w:p>
          <w:p w14:paraId="0FA49042" w14:textId="77777777" w:rsidR="009948F1" w:rsidRDefault="00BC0563">
            <w:pPr>
              <w:pStyle w:val="TableParagraph"/>
              <w:ind w:left="51" w:right="30"/>
              <w:jc w:val="center"/>
              <w:rPr>
                <w:sz w:val="20"/>
              </w:rPr>
            </w:pPr>
            <w:r>
              <w:rPr>
                <w:color w:val="231F20"/>
                <w:w w:val="65"/>
                <w:sz w:val="20"/>
              </w:rPr>
              <w:t>5.5.6.d</w:t>
            </w:r>
          </w:p>
        </w:tc>
        <w:tc>
          <w:tcPr>
            <w:tcW w:w="5185" w:type="dxa"/>
            <w:gridSpan w:val="2"/>
            <w:tcBorders>
              <w:left w:val="single" w:sz="6" w:space="0" w:color="231F20"/>
              <w:right w:val="single" w:sz="6" w:space="0" w:color="231F20"/>
            </w:tcBorders>
          </w:tcPr>
          <w:p w14:paraId="373EFD2F" w14:textId="77777777" w:rsidR="009948F1" w:rsidRDefault="00BC0563">
            <w:pPr>
              <w:pStyle w:val="TableParagraph"/>
              <w:spacing w:before="9" w:line="213" w:lineRule="auto"/>
              <w:ind w:left="26" w:right="86"/>
              <w:rPr>
                <w:sz w:val="20"/>
              </w:rPr>
            </w:pPr>
            <w:r>
              <w:rPr>
                <w:color w:val="231F20"/>
                <w:w w:val="65"/>
                <w:sz w:val="20"/>
              </w:rPr>
              <w:t>Conduct</w:t>
            </w:r>
            <w:r>
              <w:rPr>
                <w:color w:val="231F20"/>
                <w:spacing w:val="-16"/>
                <w:w w:val="65"/>
                <w:sz w:val="20"/>
              </w:rPr>
              <w:t xml:space="preserve"> </w:t>
            </w:r>
            <w:r>
              <w:rPr>
                <w:color w:val="231F20"/>
                <w:w w:val="65"/>
                <w:sz w:val="20"/>
              </w:rPr>
              <w:t>sensitization</w:t>
            </w:r>
            <w:r>
              <w:rPr>
                <w:color w:val="231F20"/>
                <w:spacing w:val="-15"/>
                <w:w w:val="65"/>
                <w:sz w:val="20"/>
              </w:rPr>
              <w:t xml:space="preserve"> </w:t>
            </w:r>
            <w:r>
              <w:rPr>
                <w:color w:val="231F20"/>
                <w:w w:val="65"/>
                <w:sz w:val="20"/>
              </w:rPr>
              <w:t>meetings</w:t>
            </w:r>
            <w:r>
              <w:rPr>
                <w:color w:val="231F20"/>
                <w:spacing w:val="-15"/>
                <w:w w:val="65"/>
                <w:sz w:val="20"/>
              </w:rPr>
              <w:t xml:space="preserve"> </w:t>
            </w:r>
            <w:r>
              <w:rPr>
                <w:color w:val="231F20"/>
                <w:w w:val="65"/>
                <w:sz w:val="20"/>
              </w:rPr>
              <w:t>with</w:t>
            </w:r>
            <w:r>
              <w:rPr>
                <w:color w:val="231F20"/>
                <w:spacing w:val="-15"/>
                <w:w w:val="65"/>
                <w:sz w:val="20"/>
              </w:rPr>
              <w:t xml:space="preserve"> </w:t>
            </w:r>
            <w:r>
              <w:rPr>
                <w:color w:val="231F20"/>
                <w:w w:val="65"/>
                <w:sz w:val="20"/>
              </w:rPr>
              <w:t>policy</w:t>
            </w:r>
            <w:r>
              <w:rPr>
                <w:color w:val="231F20"/>
                <w:spacing w:val="-15"/>
                <w:w w:val="65"/>
                <w:sz w:val="20"/>
              </w:rPr>
              <w:t xml:space="preserve"> </w:t>
            </w:r>
            <w:r>
              <w:rPr>
                <w:color w:val="231F20"/>
                <w:w w:val="65"/>
                <w:sz w:val="20"/>
              </w:rPr>
              <w:t>makers,</w:t>
            </w:r>
            <w:r>
              <w:rPr>
                <w:color w:val="231F20"/>
                <w:spacing w:val="-15"/>
                <w:w w:val="65"/>
                <w:sz w:val="20"/>
              </w:rPr>
              <w:t xml:space="preserve"> </w:t>
            </w:r>
            <w:r>
              <w:rPr>
                <w:color w:val="231F20"/>
                <w:w w:val="65"/>
                <w:sz w:val="20"/>
              </w:rPr>
              <w:t>line</w:t>
            </w:r>
            <w:r>
              <w:rPr>
                <w:color w:val="231F20"/>
                <w:spacing w:val="-15"/>
                <w:w w:val="65"/>
                <w:sz w:val="20"/>
              </w:rPr>
              <w:t xml:space="preserve"> </w:t>
            </w:r>
            <w:r>
              <w:rPr>
                <w:color w:val="231F20"/>
                <w:w w:val="65"/>
                <w:sz w:val="20"/>
              </w:rPr>
              <w:t>ministries,</w:t>
            </w:r>
            <w:r>
              <w:rPr>
                <w:color w:val="231F20"/>
                <w:spacing w:val="-15"/>
                <w:w w:val="65"/>
                <w:sz w:val="20"/>
              </w:rPr>
              <w:t xml:space="preserve"> </w:t>
            </w:r>
            <w:r>
              <w:rPr>
                <w:color w:val="231F20"/>
                <w:w w:val="65"/>
                <w:sz w:val="20"/>
              </w:rPr>
              <w:t>and</w:t>
            </w:r>
            <w:r>
              <w:rPr>
                <w:color w:val="231F20"/>
                <w:spacing w:val="-15"/>
                <w:w w:val="65"/>
                <w:sz w:val="20"/>
              </w:rPr>
              <w:t xml:space="preserve"> </w:t>
            </w:r>
            <w:r>
              <w:rPr>
                <w:color w:val="231F20"/>
                <w:w w:val="65"/>
                <w:sz w:val="20"/>
              </w:rPr>
              <w:t>other</w:t>
            </w:r>
            <w:r>
              <w:rPr>
                <w:color w:val="231F20"/>
                <w:spacing w:val="-15"/>
                <w:w w:val="65"/>
                <w:sz w:val="20"/>
              </w:rPr>
              <w:t xml:space="preserve"> </w:t>
            </w:r>
            <w:r>
              <w:rPr>
                <w:color w:val="231F20"/>
                <w:w w:val="65"/>
                <w:sz w:val="20"/>
              </w:rPr>
              <w:t>stakeholders on</w:t>
            </w:r>
            <w:r>
              <w:rPr>
                <w:color w:val="231F20"/>
                <w:spacing w:val="-13"/>
                <w:w w:val="65"/>
                <w:sz w:val="20"/>
              </w:rPr>
              <w:t xml:space="preserve"> </w:t>
            </w:r>
            <w:r>
              <w:rPr>
                <w:color w:val="231F20"/>
                <w:w w:val="65"/>
                <w:sz w:val="20"/>
              </w:rPr>
              <w:t>the</w:t>
            </w:r>
            <w:r>
              <w:rPr>
                <w:color w:val="231F20"/>
                <w:spacing w:val="-13"/>
                <w:w w:val="65"/>
                <w:sz w:val="20"/>
              </w:rPr>
              <w:t xml:space="preserve"> </w:t>
            </w:r>
            <w:r>
              <w:rPr>
                <w:color w:val="231F20"/>
                <w:w w:val="65"/>
                <w:sz w:val="20"/>
              </w:rPr>
              <w:t>beneficial</w:t>
            </w:r>
            <w:r>
              <w:rPr>
                <w:color w:val="231F20"/>
                <w:spacing w:val="-13"/>
                <w:w w:val="65"/>
                <w:sz w:val="20"/>
              </w:rPr>
              <w:t xml:space="preserve"> </w:t>
            </w:r>
            <w:r>
              <w:rPr>
                <w:color w:val="231F20"/>
                <w:w w:val="65"/>
                <w:sz w:val="20"/>
              </w:rPr>
              <w:t>synergy</w:t>
            </w:r>
            <w:r>
              <w:rPr>
                <w:color w:val="231F20"/>
                <w:spacing w:val="-13"/>
                <w:w w:val="65"/>
                <w:sz w:val="20"/>
              </w:rPr>
              <w:t xml:space="preserve"> </w:t>
            </w:r>
            <w:r>
              <w:rPr>
                <w:color w:val="231F20"/>
                <w:w w:val="65"/>
                <w:sz w:val="20"/>
              </w:rPr>
              <w:t>of</w:t>
            </w:r>
            <w:r>
              <w:rPr>
                <w:color w:val="231F20"/>
                <w:spacing w:val="-13"/>
                <w:w w:val="65"/>
                <w:sz w:val="20"/>
              </w:rPr>
              <w:t xml:space="preserve"> </w:t>
            </w:r>
            <w:r>
              <w:rPr>
                <w:color w:val="231F20"/>
                <w:w w:val="65"/>
                <w:sz w:val="20"/>
              </w:rPr>
              <w:t>integration</w:t>
            </w:r>
            <w:r>
              <w:rPr>
                <w:color w:val="231F20"/>
                <w:spacing w:val="-13"/>
                <w:w w:val="65"/>
                <w:sz w:val="20"/>
              </w:rPr>
              <w:t xml:space="preserve"> </w:t>
            </w:r>
            <w:r>
              <w:rPr>
                <w:color w:val="231F20"/>
                <w:w w:val="65"/>
                <w:sz w:val="20"/>
              </w:rPr>
              <w:t>at</w:t>
            </w:r>
            <w:r>
              <w:rPr>
                <w:color w:val="231F20"/>
                <w:spacing w:val="-12"/>
                <w:w w:val="65"/>
                <w:sz w:val="20"/>
              </w:rPr>
              <w:t xml:space="preserve"> </w:t>
            </w:r>
            <w:r>
              <w:rPr>
                <w:color w:val="231F20"/>
                <w:w w:val="65"/>
                <w:sz w:val="20"/>
              </w:rPr>
              <w:t>the</w:t>
            </w:r>
            <w:r>
              <w:rPr>
                <w:color w:val="231F20"/>
                <w:spacing w:val="10"/>
                <w:w w:val="65"/>
                <w:sz w:val="20"/>
              </w:rPr>
              <w:t xml:space="preserve"> </w:t>
            </w:r>
            <w:r>
              <w:rPr>
                <w:color w:val="231F20"/>
                <w:w w:val="65"/>
                <w:sz w:val="20"/>
              </w:rPr>
              <w:t>state,</w:t>
            </w:r>
            <w:r>
              <w:rPr>
                <w:color w:val="231F20"/>
                <w:spacing w:val="-13"/>
                <w:w w:val="65"/>
                <w:sz w:val="20"/>
              </w:rPr>
              <w:t xml:space="preserve"> </w:t>
            </w:r>
            <w:r>
              <w:rPr>
                <w:color w:val="231F20"/>
                <w:w w:val="65"/>
                <w:sz w:val="20"/>
              </w:rPr>
              <w:t>LGAs</w:t>
            </w:r>
            <w:r>
              <w:rPr>
                <w:color w:val="231F20"/>
                <w:spacing w:val="-12"/>
                <w:w w:val="65"/>
                <w:sz w:val="20"/>
              </w:rPr>
              <w:t xml:space="preserve"> </w:t>
            </w:r>
            <w:r>
              <w:rPr>
                <w:color w:val="231F20"/>
                <w:w w:val="65"/>
                <w:sz w:val="20"/>
              </w:rPr>
              <w:t>and</w:t>
            </w:r>
            <w:r>
              <w:rPr>
                <w:color w:val="231F20"/>
                <w:spacing w:val="-13"/>
                <w:w w:val="65"/>
                <w:sz w:val="20"/>
              </w:rPr>
              <w:t xml:space="preserve"> </w:t>
            </w:r>
            <w:r>
              <w:rPr>
                <w:color w:val="231F20"/>
                <w:w w:val="65"/>
                <w:sz w:val="20"/>
              </w:rPr>
              <w:t>community</w:t>
            </w:r>
            <w:r>
              <w:rPr>
                <w:color w:val="231F20"/>
                <w:spacing w:val="-13"/>
                <w:w w:val="65"/>
                <w:sz w:val="20"/>
              </w:rPr>
              <w:t xml:space="preserve"> </w:t>
            </w:r>
            <w:r>
              <w:rPr>
                <w:color w:val="231F20"/>
                <w:w w:val="65"/>
                <w:sz w:val="20"/>
              </w:rPr>
              <w:t>levels</w:t>
            </w:r>
            <w:r>
              <w:rPr>
                <w:color w:val="231F20"/>
                <w:spacing w:val="-13"/>
                <w:w w:val="65"/>
                <w:sz w:val="20"/>
              </w:rPr>
              <w:t xml:space="preserve"> </w:t>
            </w:r>
            <w:r>
              <w:rPr>
                <w:color w:val="231F20"/>
                <w:w w:val="65"/>
                <w:sz w:val="20"/>
              </w:rPr>
              <w:t>(including</w:t>
            </w:r>
          </w:p>
          <w:p w14:paraId="0683B950" w14:textId="77777777" w:rsidR="009948F1" w:rsidRDefault="00BC0563">
            <w:pPr>
              <w:pStyle w:val="TableParagraph"/>
              <w:spacing w:line="217" w:lineRule="exact"/>
              <w:ind w:left="26"/>
              <w:rPr>
                <w:sz w:val="20"/>
              </w:rPr>
            </w:pPr>
            <w:r>
              <w:rPr>
                <w:color w:val="231F20"/>
                <w:w w:val="75"/>
                <w:sz w:val="20"/>
              </w:rPr>
              <w:t>Village health Committees)</w:t>
            </w:r>
          </w:p>
        </w:tc>
        <w:tc>
          <w:tcPr>
            <w:tcW w:w="1511" w:type="dxa"/>
            <w:tcBorders>
              <w:left w:val="single" w:sz="6" w:space="0" w:color="231F20"/>
              <w:right w:val="single" w:sz="6" w:space="0" w:color="231F20"/>
            </w:tcBorders>
          </w:tcPr>
          <w:p w14:paraId="0668DF40" w14:textId="77777777" w:rsidR="009948F1" w:rsidRDefault="009948F1">
            <w:pPr>
              <w:pStyle w:val="TableParagraph"/>
              <w:spacing w:before="7"/>
              <w:rPr>
                <w:sz w:val="17"/>
              </w:rPr>
            </w:pPr>
          </w:p>
          <w:p w14:paraId="00493BAC" w14:textId="77777777" w:rsidR="009948F1" w:rsidRDefault="00BC0563">
            <w:pPr>
              <w:pStyle w:val="TableParagraph"/>
              <w:ind w:left="26"/>
              <w:rPr>
                <w:sz w:val="20"/>
              </w:rPr>
            </w:pPr>
            <w:r>
              <w:rPr>
                <w:color w:val="231F20"/>
                <w:w w:val="75"/>
                <w:sz w:val="20"/>
              </w:rPr>
              <w:t>Lack of funds</w:t>
            </w:r>
          </w:p>
        </w:tc>
        <w:tc>
          <w:tcPr>
            <w:tcW w:w="1594" w:type="dxa"/>
            <w:tcBorders>
              <w:left w:val="single" w:sz="6" w:space="0" w:color="231F20"/>
            </w:tcBorders>
          </w:tcPr>
          <w:p w14:paraId="1482E96A" w14:textId="77777777" w:rsidR="009948F1" w:rsidRDefault="009948F1">
            <w:pPr>
              <w:pStyle w:val="TableParagraph"/>
              <w:spacing w:before="7"/>
              <w:rPr>
                <w:sz w:val="17"/>
              </w:rPr>
            </w:pPr>
          </w:p>
          <w:p w14:paraId="7D413643" w14:textId="77777777" w:rsidR="009948F1" w:rsidRDefault="00BC0563">
            <w:pPr>
              <w:pStyle w:val="TableParagraph"/>
              <w:ind w:left="26"/>
              <w:rPr>
                <w:sz w:val="20"/>
              </w:rPr>
            </w:pPr>
            <w:r>
              <w:rPr>
                <w:color w:val="231F20"/>
                <w:w w:val="75"/>
                <w:sz w:val="20"/>
              </w:rPr>
              <w:t>Conduct meeting</w:t>
            </w:r>
          </w:p>
        </w:tc>
      </w:tr>
      <w:tr w:rsidR="009948F1" w14:paraId="13D00208" w14:textId="77777777">
        <w:trPr>
          <w:trHeight w:val="583"/>
        </w:trPr>
        <w:tc>
          <w:tcPr>
            <w:tcW w:w="490" w:type="dxa"/>
            <w:vMerge/>
            <w:tcBorders>
              <w:top w:val="nil"/>
              <w:left w:val="single" w:sz="6" w:space="0" w:color="231F20"/>
              <w:right w:val="single" w:sz="6" w:space="0" w:color="231F20"/>
            </w:tcBorders>
          </w:tcPr>
          <w:p w14:paraId="236F08D8" w14:textId="77777777" w:rsidR="009948F1" w:rsidRDefault="009948F1">
            <w:pPr>
              <w:rPr>
                <w:sz w:val="2"/>
                <w:szCs w:val="2"/>
              </w:rPr>
            </w:pPr>
          </w:p>
        </w:tc>
        <w:tc>
          <w:tcPr>
            <w:tcW w:w="557" w:type="dxa"/>
            <w:tcBorders>
              <w:left w:val="single" w:sz="6" w:space="0" w:color="231F20"/>
              <w:right w:val="single" w:sz="6" w:space="0" w:color="231F20"/>
            </w:tcBorders>
          </w:tcPr>
          <w:p w14:paraId="75B30E3F" w14:textId="77777777" w:rsidR="009948F1" w:rsidRDefault="00BC0563">
            <w:pPr>
              <w:pStyle w:val="TableParagraph"/>
              <w:spacing w:before="167"/>
              <w:ind w:left="51" w:right="30"/>
              <w:jc w:val="center"/>
              <w:rPr>
                <w:sz w:val="20"/>
              </w:rPr>
            </w:pPr>
            <w:r>
              <w:rPr>
                <w:color w:val="231F20"/>
                <w:w w:val="65"/>
                <w:sz w:val="20"/>
              </w:rPr>
              <w:t>5.5.6.e</w:t>
            </w:r>
          </w:p>
        </w:tc>
        <w:tc>
          <w:tcPr>
            <w:tcW w:w="5185" w:type="dxa"/>
            <w:gridSpan w:val="2"/>
            <w:tcBorders>
              <w:left w:val="single" w:sz="6" w:space="0" w:color="231F20"/>
              <w:right w:val="single" w:sz="12" w:space="0" w:color="231F20"/>
            </w:tcBorders>
          </w:tcPr>
          <w:p w14:paraId="71368789" w14:textId="77777777" w:rsidR="009948F1" w:rsidRDefault="00BC0563">
            <w:pPr>
              <w:pStyle w:val="TableParagraph"/>
              <w:spacing w:before="159"/>
              <w:ind w:left="26"/>
              <w:rPr>
                <w:sz w:val="20"/>
              </w:rPr>
            </w:pPr>
            <w:r>
              <w:rPr>
                <w:color w:val="231F20"/>
                <w:w w:val="70"/>
                <w:sz w:val="20"/>
              </w:rPr>
              <w:t xml:space="preserve">Conduct periodic meeting for NTDs </w:t>
            </w:r>
            <w:proofErr w:type="spellStart"/>
            <w:r>
              <w:rPr>
                <w:color w:val="231F20"/>
                <w:w w:val="70"/>
                <w:sz w:val="20"/>
              </w:rPr>
              <w:t>programmes</w:t>
            </w:r>
            <w:proofErr w:type="spellEnd"/>
            <w:r>
              <w:rPr>
                <w:color w:val="231F20"/>
                <w:w w:val="70"/>
                <w:sz w:val="20"/>
              </w:rPr>
              <w:t xml:space="preserve"> managers and all stakeholders</w:t>
            </w:r>
          </w:p>
        </w:tc>
        <w:tc>
          <w:tcPr>
            <w:tcW w:w="1511" w:type="dxa"/>
            <w:tcBorders>
              <w:left w:val="single" w:sz="12" w:space="0" w:color="231F20"/>
              <w:right w:val="single" w:sz="6" w:space="0" w:color="231F20"/>
            </w:tcBorders>
          </w:tcPr>
          <w:p w14:paraId="53FA8E53" w14:textId="77777777" w:rsidR="009948F1" w:rsidRDefault="00BC0563">
            <w:pPr>
              <w:pStyle w:val="TableParagraph"/>
              <w:spacing w:before="167"/>
              <w:ind w:left="18"/>
              <w:rPr>
                <w:sz w:val="20"/>
              </w:rPr>
            </w:pPr>
            <w:r>
              <w:rPr>
                <w:color w:val="231F20"/>
                <w:w w:val="75"/>
                <w:sz w:val="20"/>
              </w:rPr>
              <w:t>Lack of funds</w:t>
            </w:r>
          </w:p>
        </w:tc>
        <w:tc>
          <w:tcPr>
            <w:tcW w:w="1594" w:type="dxa"/>
            <w:tcBorders>
              <w:left w:val="single" w:sz="6" w:space="0" w:color="231F20"/>
            </w:tcBorders>
          </w:tcPr>
          <w:p w14:paraId="4E32F439" w14:textId="77777777" w:rsidR="009948F1" w:rsidRDefault="00BC0563">
            <w:pPr>
              <w:pStyle w:val="TableParagraph"/>
              <w:spacing w:before="167"/>
              <w:ind w:left="26"/>
              <w:rPr>
                <w:sz w:val="20"/>
              </w:rPr>
            </w:pPr>
            <w:r>
              <w:rPr>
                <w:color w:val="231F20"/>
                <w:w w:val="75"/>
                <w:sz w:val="20"/>
              </w:rPr>
              <w:t>Conduct meeting</w:t>
            </w:r>
          </w:p>
        </w:tc>
      </w:tr>
    </w:tbl>
    <w:p w14:paraId="2DEA9FC9" w14:textId="77777777" w:rsidR="009948F1" w:rsidRDefault="009948F1">
      <w:pPr>
        <w:rPr>
          <w:sz w:val="20"/>
        </w:rPr>
        <w:sectPr w:rsidR="009948F1">
          <w:pgSz w:w="11910" w:h="16840"/>
          <w:pgMar w:top="1260" w:right="1080" w:bottom="1340" w:left="1120" w:header="0" w:footer="1155" w:gutter="0"/>
          <w:cols w:space="720"/>
        </w:sectPr>
      </w:pPr>
    </w:p>
    <w:tbl>
      <w:tblPr>
        <w:tblW w:w="0" w:type="auto"/>
        <w:tblInd w:w="19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7"/>
        <w:gridCol w:w="401"/>
        <w:gridCol w:w="449"/>
        <w:gridCol w:w="519"/>
        <w:gridCol w:w="2482"/>
        <w:gridCol w:w="2356"/>
        <w:gridCol w:w="1410"/>
        <w:gridCol w:w="1480"/>
      </w:tblGrid>
      <w:tr w:rsidR="009948F1" w14:paraId="3C5F84B2" w14:textId="77777777">
        <w:trPr>
          <w:trHeight w:val="308"/>
        </w:trPr>
        <w:tc>
          <w:tcPr>
            <w:tcW w:w="9274" w:type="dxa"/>
            <w:gridSpan w:val="8"/>
            <w:shd w:val="clear" w:color="auto" w:fill="A6CE39"/>
          </w:tcPr>
          <w:p w14:paraId="1D00A24F" w14:textId="77777777" w:rsidR="009948F1" w:rsidRDefault="00BC0563">
            <w:pPr>
              <w:pStyle w:val="TableParagraph"/>
              <w:spacing w:before="44"/>
              <w:ind w:left="1221" w:right="1160"/>
              <w:jc w:val="center"/>
              <w:rPr>
                <w:b/>
                <w:sz w:val="18"/>
              </w:rPr>
            </w:pPr>
            <w:bookmarkStart w:id="171" w:name="Page_145"/>
            <w:bookmarkEnd w:id="171"/>
            <w:r>
              <w:rPr>
                <w:b/>
                <w:color w:val="231F20"/>
                <w:w w:val="85"/>
                <w:sz w:val="18"/>
              </w:rPr>
              <w:lastRenderedPageBreak/>
              <w:t>6.Non-Communicable Disease, Care of The Elderly, Mental Health, Oral Health, Eye Healthcare</w:t>
            </w:r>
          </w:p>
        </w:tc>
      </w:tr>
      <w:tr w:rsidR="009948F1" w14:paraId="3BA1F1C1" w14:textId="77777777">
        <w:trPr>
          <w:trHeight w:val="212"/>
        </w:trPr>
        <w:tc>
          <w:tcPr>
            <w:tcW w:w="9274" w:type="dxa"/>
            <w:gridSpan w:val="8"/>
            <w:shd w:val="clear" w:color="auto" w:fill="F6ADCD"/>
          </w:tcPr>
          <w:p w14:paraId="37726BE5" w14:textId="462C9825" w:rsidR="009948F1" w:rsidRDefault="00BC0563">
            <w:pPr>
              <w:pStyle w:val="TableParagraph"/>
              <w:spacing w:before="5"/>
              <w:ind w:left="1975"/>
              <w:rPr>
                <w:b/>
                <w:sz w:val="16"/>
              </w:rPr>
            </w:pPr>
            <w:r>
              <w:rPr>
                <w:b/>
                <w:color w:val="231F20"/>
                <w:w w:val="85"/>
                <w:sz w:val="16"/>
              </w:rPr>
              <w:t xml:space="preserve">6. To reduce the burden of morbidity, mortality and disability due to </w:t>
            </w:r>
            <w:r w:rsidR="00FB089D">
              <w:rPr>
                <w:b/>
                <w:color w:val="231F20"/>
                <w:w w:val="85"/>
                <w:sz w:val="16"/>
              </w:rPr>
              <w:t>non-communicable</w:t>
            </w:r>
            <w:r>
              <w:rPr>
                <w:b/>
                <w:color w:val="231F20"/>
                <w:w w:val="85"/>
                <w:sz w:val="16"/>
              </w:rPr>
              <w:t xml:space="preserve"> diseases</w:t>
            </w:r>
          </w:p>
        </w:tc>
      </w:tr>
      <w:tr w:rsidR="009948F1" w14:paraId="0B7C9CFB" w14:textId="77777777">
        <w:trPr>
          <w:trHeight w:val="501"/>
        </w:trPr>
        <w:tc>
          <w:tcPr>
            <w:tcW w:w="177" w:type="dxa"/>
            <w:tcBorders>
              <w:bottom w:val="nil"/>
            </w:tcBorders>
          </w:tcPr>
          <w:p w14:paraId="4EC4507B" w14:textId="77777777" w:rsidR="009948F1" w:rsidRDefault="009948F1">
            <w:pPr>
              <w:pStyle w:val="TableParagraph"/>
              <w:rPr>
                <w:rFonts w:ascii="Times New Roman"/>
                <w:sz w:val="10"/>
              </w:rPr>
            </w:pPr>
          </w:p>
        </w:tc>
        <w:tc>
          <w:tcPr>
            <w:tcW w:w="401" w:type="dxa"/>
            <w:shd w:val="clear" w:color="auto" w:fill="FFF200"/>
          </w:tcPr>
          <w:p w14:paraId="5C505094" w14:textId="77777777" w:rsidR="009948F1" w:rsidRDefault="009948F1">
            <w:pPr>
              <w:pStyle w:val="TableParagraph"/>
              <w:spacing w:before="6"/>
              <w:rPr>
                <w:sz w:val="13"/>
              </w:rPr>
            </w:pPr>
          </w:p>
          <w:p w14:paraId="10302C10" w14:textId="77777777" w:rsidR="009948F1" w:rsidRDefault="00BC0563">
            <w:pPr>
              <w:pStyle w:val="TableParagraph"/>
              <w:ind w:left="185"/>
              <w:rPr>
                <w:b/>
                <w:sz w:val="16"/>
              </w:rPr>
            </w:pPr>
            <w:r>
              <w:rPr>
                <w:b/>
                <w:color w:val="231F20"/>
                <w:w w:val="80"/>
                <w:sz w:val="16"/>
              </w:rPr>
              <w:t>6.1</w:t>
            </w:r>
          </w:p>
        </w:tc>
        <w:tc>
          <w:tcPr>
            <w:tcW w:w="5806" w:type="dxa"/>
            <w:gridSpan w:val="4"/>
            <w:tcBorders>
              <w:right w:val="single" w:sz="8" w:space="0" w:color="231F20"/>
            </w:tcBorders>
            <w:shd w:val="clear" w:color="auto" w:fill="FFF200"/>
          </w:tcPr>
          <w:p w14:paraId="231723AD" w14:textId="77777777" w:rsidR="009948F1" w:rsidRDefault="00BC0563">
            <w:pPr>
              <w:pStyle w:val="TableParagraph"/>
              <w:spacing w:before="48" w:line="264" w:lineRule="auto"/>
              <w:ind w:left="22" w:firstLine="32"/>
              <w:rPr>
                <w:b/>
                <w:sz w:val="16"/>
              </w:rPr>
            </w:pPr>
            <w:r>
              <w:rPr>
                <w:b/>
                <w:color w:val="231F20"/>
                <w:w w:val="75"/>
                <w:sz w:val="16"/>
              </w:rPr>
              <w:t>Reduce</w:t>
            </w:r>
            <w:r>
              <w:rPr>
                <w:b/>
                <w:color w:val="231F20"/>
                <w:spacing w:val="9"/>
                <w:w w:val="75"/>
                <w:sz w:val="16"/>
              </w:rPr>
              <w:t xml:space="preserve"> </w:t>
            </w:r>
            <w:r>
              <w:rPr>
                <w:b/>
                <w:color w:val="231F20"/>
                <w:w w:val="75"/>
                <w:sz w:val="16"/>
              </w:rPr>
              <w:t>morbidity</w:t>
            </w:r>
            <w:r>
              <w:rPr>
                <w:b/>
                <w:color w:val="231F20"/>
                <w:spacing w:val="-12"/>
                <w:w w:val="75"/>
                <w:sz w:val="16"/>
              </w:rPr>
              <w:t xml:space="preserve"> </w:t>
            </w:r>
            <w:r>
              <w:rPr>
                <w:b/>
                <w:color w:val="231F20"/>
                <w:w w:val="75"/>
                <w:sz w:val="16"/>
              </w:rPr>
              <w:t>and</w:t>
            </w:r>
            <w:r>
              <w:rPr>
                <w:b/>
                <w:color w:val="231F20"/>
                <w:spacing w:val="-12"/>
                <w:w w:val="75"/>
                <w:sz w:val="16"/>
              </w:rPr>
              <w:t xml:space="preserve"> </w:t>
            </w:r>
            <w:r>
              <w:rPr>
                <w:b/>
                <w:color w:val="231F20"/>
                <w:w w:val="75"/>
                <w:sz w:val="16"/>
              </w:rPr>
              <w:t>mortality</w:t>
            </w:r>
            <w:r>
              <w:rPr>
                <w:b/>
                <w:color w:val="231F20"/>
                <w:spacing w:val="-12"/>
                <w:w w:val="75"/>
                <w:sz w:val="16"/>
              </w:rPr>
              <w:t xml:space="preserve"> </w:t>
            </w:r>
            <w:r>
              <w:rPr>
                <w:b/>
                <w:color w:val="231F20"/>
                <w:w w:val="75"/>
                <w:sz w:val="16"/>
              </w:rPr>
              <w:t>due</w:t>
            </w:r>
            <w:r>
              <w:rPr>
                <w:b/>
                <w:color w:val="231F20"/>
                <w:spacing w:val="-12"/>
                <w:w w:val="75"/>
                <w:sz w:val="16"/>
              </w:rPr>
              <w:t xml:space="preserve"> </w:t>
            </w:r>
            <w:r>
              <w:rPr>
                <w:b/>
                <w:color w:val="231F20"/>
                <w:w w:val="75"/>
                <w:sz w:val="16"/>
              </w:rPr>
              <w:t>to</w:t>
            </w:r>
            <w:r>
              <w:rPr>
                <w:b/>
                <w:color w:val="231F20"/>
                <w:spacing w:val="-12"/>
                <w:w w:val="75"/>
                <w:sz w:val="16"/>
              </w:rPr>
              <w:t xml:space="preserve"> </w:t>
            </w:r>
            <w:r>
              <w:rPr>
                <w:b/>
                <w:color w:val="231F20"/>
                <w:w w:val="75"/>
                <w:sz w:val="16"/>
              </w:rPr>
              <w:t>NCDs</w:t>
            </w:r>
            <w:r>
              <w:rPr>
                <w:b/>
                <w:color w:val="231F20"/>
                <w:spacing w:val="-12"/>
                <w:w w:val="75"/>
                <w:sz w:val="16"/>
              </w:rPr>
              <w:t xml:space="preserve"> </w:t>
            </w:r>
            <w:r>
              <w:rPr>
                <w:b/>
                <w:color w:val="231F20"/>
                <w:w w:val="75"/>
                <w:sz w:val="16"/>
              </w:rPr>
              <w:t>(Cancers,</w:t>
            </w:r>
            <w:r>
              <w:rPr>
                <w:b/>
                <w:color w:val="231F20"/>
                <w:spacing w:val="-12"/>
                <w:w w:val="75"/>
                <w:sz w:val="16"/>
              </w:rPr>
              <w:t xml:space="preserve"> </w:t>
            </w:r>
            <w:r>
              <w:rPr>
                <w:b/>
                <w:color w:val="231F20"/>
                <w:w w:val="75"/>
                <w:sz w:val="16"/>
              </w:rPr>
              <w:t>Cardiovascular</w:t>
            </w:r>
            <w:r>
              <w:rPr>
                <w:b/>
                <w:color w:val="231F20"/>
                <w:spacing w:val="-12"/>
                <w:w w:val="75"/>
                <w:sz w:val="16"/>
              </w:rPr>
              <w:t xml:space="preserve"> </w:t>
            </w:r>
            <w:r>
              <w:rPr>
                <w:b/>
                <w:color w:val="231F20"/>
                <w:w w:val="75"/>
                <w:sz w:val="16"/>
              </w:rPr>
              <w:t>Diseases,</w:t>
            </w:r>
            <w:r>
              <w:rPr>
                <w:b/>
                <w:color w:val="231F20"/>
                <w:spacing w:val="-12"/>
                <w:w w:val="75"/>
                <w:sz w:val="16"/>
              </w:rPr>
              <w:t xml:space="preserve"> </w:t>
            </w:r>
            <w:r>
              <w:rPr>
                <w:b/>
                <w:color w:val="231F20"/>
                <w:w w:val="75"/>
                <w:sz w:val="16"/>
              </w:rPr>
              <w:t>Chronic</w:t>
            </w:r>
            <w:r>
              <w:rPr>
                <w:b/>
                <w:color w:val="231F20"/>
                <w:spacing w:val="-12"/>
                <w:w w:val="75"/>
                <w:sz w:val="16"/>
              </w:rPr>
              <w:t xml:space="preserve"> </w:t>
            </w:r>
            <w:r>
              <w:rPr>
                <w:b/>
                <w:color w:val="231F20"/>
                <w:w w:val="75"/>
                <w:sz w:val="16"/>
              </w:rPr>
              <w:t xml:space="preserve">Obstructive </w:t>
            </w:r>
            <w:r>
              <w:rPr>
                <w:b/>
                <w:color w:val="231F20"/>
                <w:w w:val="85"/>
                <w:sz w:val="16"/>
              </w:rPr>
              <w:t>Airway</w:t>
            </w:r>
            <w:r>
              <w:rPr>
                <w:b/>
                <w:color w:val="231F20"/>
                <w:spacing w:val="-10"/>
                <w:w w:val="85"/>
                <w:sz w:val="16"/>
              </w:rPr>
              <w:t xml:space="preserve"> </w:t>
            </w:r>
            <w:r>
              <w:rPr>
                <w:b/>
                <w:color w:val="231F20"/>
                <w:w w:val="85"/>
                <w:sz w:val="16"/>
              </w:rPr>
              <w:t>Diseases,</w:t>
            </w:r>
            <w:r>
              <w:rPr>
                <w:b/>
                <w:color w:val="231F20"/>
                <w:spacing w:val="-10"/>
                <w:w w:val="85"/>
                <w:sz w:val="16"/>
              </w:rPr>
              <w:t xml:space="preserve"> </w:t>
            </w:r>
            <w:r>
              <w:rPr>
                <w:b/>
                <w:color w:val="231F20"/>
                <w:w w:val="85"/>
                <w:sz w:val="16"/>
              </w:rPr>
              <w:t>Diabetes</w:t>
            </w:r>
            <w:r>
              <w:rPr>
                <w:b/>
                <w:color w:val="231F20"/>
                <w:spacing w:val="-10"/>
                <w:w w:val="85"/>
                <w:sz w:val="16"/>
              </w:rPr>
              <w:t xml:space="preserve"> </w:t>
            </w:r>
            <w:r>
              <w:rPr>
                <w:b/>
                <w:color w:val="231F20"/>
                <w:w w:val="85"/>
                <w:sz w:val="16"/>
              </w:rPr>
              <w:t>and</w:t>
            </w:r>
            <w:r>
              <w:rPr>
                <w:b/>
                <w:color w:val="231F20"/>
                <w:spacing w:val="-10"/>
                <w:w w:val="85"/>
                <w:sz w:val="16"/>
              </w:rPr>
              <w:t xml:space="preserve"> </w:t>
            </w:r>
            <w:r>
              <w:rPr>
                <w:b/>
                <w:color w:val="231F20"/>
                <w:w w:val="85"/>
                <w:sz w:val="16"/>
              </w:rPr>
              <w:t>Sickle</w:t>
            </w:r>
            <w:r>
              <w:rPr>
                <w:b/>
                <w:color w:val="231F20"/>
                <w:spacing w:val="-10"/>
                <w:w w:val="85"/>
                <w:sz w:val="16"/>
              </w:rPr>
              <w:t xml:space="preserve"> </w:t>
            </w:r>
            <w:r>
              <w:rPr>
                <w:b/>
                <w:color w:val="231F20"/>
                <w:w w:val="85"/>
                <w:sz w:val="16"/>
              </w:rPr>
              <w:t>Cell</w:t>
            </w:r>
            <w:r>
              <w:rPr>
                <w:b/>
                <w:color w:val="231F20"/>
                <w:spacing w:val="-10"/>
                <w:w w:val="85"/>
                <w:sz w:val="16"/>
              </w:rPr>
              <w:t xml:space="preserve"> </w:t>
            </w:r>
            <w:r>
              <w:rPr>
                <w:b/>
                <w:color w:val="231F20"/>
                <w:w w:val="85"/>
                <w:sz w:val="16"/>
              </w:rPr>
              <w:t>Disease)</w:t>
            </w:r>
          </w:p>
        </w:tc>
        <w:tc>
          <w:tcPr>
            <w:tcW w:w="1410" w:type="dxa"/>
            <w:tcBorders>
              <w:left w:val="single" w:sz="8" w:space="0" w:color="231F20"/>
              <w:right w:val="single" w:sz="8" w:space="0" w:color="231F20"/>
            </w:tcBorders>
            <w:shd w:val="clear" w:color="auto" w:fill="FFF200"/>
          </w:tcPr>
          <w:p w14:paraId="49C070B9" w14:textId="77777777" w:rsidR="009948F1" w:rsidRDefault="009948F1">
            <w:pPr>
              <w:pStyle w:val="TableParagraph"/>
              <w:rPr>
                <w:rFonts w:ascii="Times New Roman"/>
                <w:sz w:val="10"/>
              </w:rPr>
            </w:pPr>
          </w:p>
        </w:tc>
        <w:tc>
          <w:tcPr>
            <w:tcW w:w="1480" w:type="dxa"/>
            <w:tcBorders>
              <w:left w:val="single" w:sz="8" w:space="0" w:color="231F20"/>
              <w:right w:val="single" w:sz="12" w:space="0" w:color="231F20"/>
            </w:tcBorders>
            <w:shd w:val="clear" w:color="auto" w:fill="FFF200"/>
          </w:tcPr>
          <w:p w14:paraId="76B150FB" w14:textId="77777777" w:rsidR="009948F1" w:rsidRDefault="009948F1">
            <w:pPr>
              <w:pStyle w:val="TableParagraph"/>
              <w:rPr>
                <w:rFonts w:ascii="Times New Roman"/>
                <w:sz w:val="10"/>
              </w:rPr>
            </w:pPr>
          </w:p>
        </w:tc>
      </w:tr>
      <w:tr w:rsidR="009948F1" w14:paraId="565D06A6" w14:textId="77777777">
        <w:trPr>
          <w:trHeight w:val="1696"/>
        </w:trPr>
        <w:tc>
          <w:tcPr>
            <w:tcW w:w="578" w:type="dxa"/>
            <w:gridSpan w:val="2"/>
            <w:tcBorders>
              <w:top w:val="nil"/>
              <w:bottom w:val="nil"/>
            </w:tcBorders>
          </w:tcPr>
          <w:p w14:paraId="469EFCF5" w14:textId="77777777" w:rsidR="009948F1" w:rsidRDefault="009948F1">
            <w:pPr>
              <w:pStyle w:val="TableParagraph"/>
              <w:rPr>
                <w:rFonts w:ascii="Times New Roman"/>
                <w:sz w:val="10"/>
              </w:rPr>
            </w:pPr>
          </w:p>
        </w:tc>
        <w:tc>
          <w:tcPr>
            <w:tcW w:w="449" w:type="dxa"/>
            <w:shd w:val="clear" w:color="auto" w:fill="CCE7D3"/>
          </w:tcPr>
          <w:p w14:paraId="5C5B308C" w14:textId="77777777" w:rsidR="009948F1" w:rsidRDefault="009948F1">
            <w:pPr>
              <w:pStyle w:val="TableParagraph"/>
              <w:rPr>
                <w:sz w:val="16"/>
              </w:rPr>
            </w:pPr>
          </w:p>
          <w:p w14:paraId="31625A21" w14:textId="77777777" w:rsidR="009948F1" w:rsidRDefault="009948F1">
            <w:pPr>
              <w:pStyle w:val="TableParagraph"/>
              <w:rPr>
                <w:sz w:val="16"/>
              </w:rPr>
            </w:pPr>
          </w:p>
          <w:p w14:paraId="252873B7" w14:textId="77777777" w:rsidR="009948F1" w:rsidRDefault="009948F1">
            <w:pPr>
              <w:pStyle w:val="TableParagraph"/>
              <w:rPr>
                <w:sz w:val="16"/>
              </w:rPr>
            </w:pPr>
          </w:p>
          <w:p w14:paraId="1BEBF126" w14:textId="77777777" w:rsidR="009948F1" w:rsidRDefault="009948F1">
            <w:pPr>
              <w:pStyle w:val="TableParagraph"/>
              <w:spacing w:before="3"/>
              <w:rPr>
                <w:sz w:val="17"/>
              </w:rPr>
            </w:pPr>
          </w:p>
          <w:p w14:paraId="458F0516" w14:textId="77777777" w:rsidR="009948F1" w:rsidRDefault="00BC0563">
            <w:pPr>
              <w:pStyle w:val="TableParagraph"/>
              <w:ind w:left="55"/>
              <w:rPr>
                <w:sz w:val="16"/>
              </w:rPr>
            </w:pPr>
            <w:r>
              <w:rPr>
                <w:color w:val="231F20"/>
                <w:w w:val="85"/>
                <w:sz w:val="16"/>
              </w:rPr>
              <w:t>6.1.1</w:t>
            </w:r>
          </w:p>
        </w:tc>
        <w:tc>
          <w:tcPr>
            <w:tcW w:w="3001" w:type="dxa"/>
            <w:gridSpan w:val="2"/>
            <w:shd w:val="clear" w:color="auto" w:fill="CCE7D3"/>
          </w:tcPr>
          <w:p w14:paraId="1AC3055F" w14:textId="77777777" w:rsidR="009948F1" w:rsidRDefault="009948F1">
            <w:pPr>
              <w:pStyle w:val="TableParagraph"/>
              <w:rPr>
                <w:sz w:val="16"/>
              </w:rPr>
            </w:pPr>
          </w:p>
          <w:p w14:paraId="46B1C1F6" w14:textId="77777777" w:rsidR="009948F1" w:rsidRDefault="009948F1">
            <w:pPr>
              <w:pStyle w:val="TableParagraph"/>
              <w:rPr>
                <w:sz w:val="16"/>
              </w:rPr>
            </w:pPr>
          </w:p>
          <w:p w14:paraId="2C6AD9E7" w14:textId="77777777" w:rsidR="009948F1" w:rsidRDefault="009948F1">
            <w:pPr>
              <w:pStyle w:val="TableParagraph"/>
              <w:rPr>
                <w:sz w:val="16"/>
              </w:rPr>
            </w:pPr>
          </w:p>
          <w:p w14:paraId="1A363D1A" w14:textId="77777777" w:rsidR="009948F1" w:rsidRDefault="00BC0563">
            <w:pPr>
              <w:pStyle w:val="TableParagraph"/>
              <w:spacing w:before="94" w:line="256" w:lineRule="auto"/>
              <w:ind w:left="23" w:right="-20" w:firstLine="32"/>
              <w:rPr>
                <w:sz w:val="16"/>
              </w:rPr>
            </w:pPr>
            <w:r>
              <w:rPr>
                <w:color w:val="231F20"/>
                <w:w w:val="75"/>
                <w:sz w:val="16"/>
              </w:rPr>
              <w:t xml:space="preserve">Promote generation of evidence for decision-making </w:t>
            </w:r>
            <w:r>
              <w:rPr>
                <w:color w:val="231F20"/>
                <w:spacing w:val="-6"/>
                <w:w w:val="75"/>
                <w:sz w:val="16"/>
              </w:rPr>
              <w:t xml:space="preserve">for </w:t>
            </w:r>
            <w:r>
              <w:rPr>
                <w:color w:val="231F20"/>
                <w:w w:val="80"/>
                <w:sz w:val="16"/>
              </w:rPr>
              <w:t>planning and implementation of NCD interventions</w:t>
            </w:r>
          </w:p>
        </w:tc>
        <w:tc>
          <w:tcPr>
            <w:tcW w:w="2356" w:type="dxa"/>
            <w:shd w:val="clear" w:color="auto" w:fill="CCE7D3"/>
          </w:tcPr>
          <w:p w14:paraId="2DD2BB2E" w14:textId="77777777" w:rsidR="009948F1" w:rsidRDefault="00BC0563">
            <w:pPr>
              <w:pStyle w:val="TableParagraph"/>
              <w:numPr>
                <w:ilvl w:val="0"/>
                <w:numId w:val="136"/>
              </w:numPr>
              <w:tabs>
                <w:tab w:val="left" w:pos="100"/>
              </w:tabs>
              <w:spacing w:before="63" w:line="256" w:lineRule="auto"/>
              <w:ind w:right="523" w:firstLine="0"/>
              <w:rPr>
                <w:sz w:val="16"/>
              </w:rPr>
            </w:pPr>
            <w:r>
              <w:rPr>
                <w:color w:val="231F20"/>
                <w:w w:val="75"/>
                <w:sz w:val="16"/>
              </w:rPr>
              <w:t>Population-based cancer</w:t>
            </w:r>
            <w:r>
              <w:rPr>
                <w:color w:val="231F20"/>
                <w:spacing w:val="-25"/>
                <w:w w:val="75"/>
                <w:sz w:val="16"/>
              </w:rPr>
              <w:t xml:space="preserve"> </w:t>
            </w:r>
            <w:r>
              <w:rPr>
                <w:color w:val="231F20"/>
                <w:spacing w:val="-3"/>
                <w:w w:val="75"/>
                <w:sz w:val="16"/>
              </w:rPr>
              <w:t xml:space="preserve">registry </w:t>
            </w:r>
            <w:r>
              <w:rPr>
                <w:color w:val="231F20"/>
                <w:w w:val="85"/>
                <w:sz w:val="16"/>
              </w:rPr>
              <w:t>established</w:t>
            </w:r>
          </w:p>
          <w:p w14:paraId="0863980D" w14:textId="77777777" w:rsidR="009948F1" w:rsidRDefault="00BC0563">
            <w:pPr>
              <w:pStyle w:val="TableParagraph"/>
              <w:numPr>
                <w:ilvl w:val="0"/>
                <w:numId w:val="136"/>
              </w:numPr>
              <w:tabs>
                <w:tab w:val="left" w:pos="68"/>
              </w:tabs>
              <w:spacing w:line="256" w:lineRule="auto"/>
              <w:ind w:right="256" w:firstLine="0"/>
              <w:rPr>
                <w:sz w:val="16"/>
              </w:rPr>
            </w:pPr>
            <w:r>
              <w:rPr>
                <w:color w:val="231F20"/>
                <w:w w:val="75"/>
                <w:sz w:val="16"/>
              </w:rPr>
              <w:t>Continued</w:t>
            </w:r>
            <w:r>
              <w:rPr>
                <w:color w:val="231F20"/>
                <w:spacing w:val="-9"/>
                <w:w w:val="75"/>
                <w:sz w:val="16"/>
              </w:rPr>
              <w:t xml:space="preserve"> </w:t>
            </w:r>
            <w:r>
              <w:rPr>
                <w:color w:val="231F20"/>
                <w:w w:val="75"/>
                <w:sz w:val="16"/>
              </w:rPr>
              <w:t>active</w:t>
            </w:r>
            <w:r>
              <w:rPr>
                <w:color w:val="231F20"/>
                <w:spacing w:val="-8"/>
                <w:w w:val="75"/>
                <w:sz w:val="16"/>
              </w:rPr>
              <w:t xml:space="preserve"> </w:t>
            </w:r>
            <w:r>
              <w:rPr>
                <w:color w:val="231F20"/>
                <w:w w:val="75"/>
                <w:sz w:val="16"/>
              </w:rPr>
              <w:t>case</w:t>
            </w:r>
            <w:r>
              <w:rPr>
                <w:color w:val="231F20"/>
                <w:spacing w:val="-9"/>
                <w:w w:val="75"/>
                <w:sz w:val="16"/>
              </w:rPr>
              <w:t xml:space="preserve"> </w:t>
            </w:r>
            <w:r>
              <w:rPr>
                <w:color w:val="231F20"/>
                <w:w w:val="75"/>
                <w:sz w:val="16"/>
              </w:rPr>
              <w:t>search</w:t>
            </w:r>
            <w:r>
              <w:rPr>
                <w:color w:val="231F20"/>
                <w:spacing w:val="-8"/>
                <w:w w:val="75"/>
                <w:sz w:val="16"/>
              </w:rPr>
              <w:t xml:space="preserve"> </w:t>
            </w:r>
            <w:r>
              <w:rPr>
                <w:color w:val="231F20"/>
                <w:w w:val="75"/>
                <w:sz w:val="16"/>
              </w:rPr>
              <w:t>of</w:t>
            </w:r>
            <w:r>
              <w:rPr>
                <w:color w:val="231F20"/>
                <w:spacing w:val="-8"/>
                <w:w w:val="75"/>
                <w:sz w:val="16"/>
              </w:rPr>
              <w:t xml:space="preserve"> </w:t>
            </w:r>
            <w:r>
              <w:rPr>
                <w:color w:val="231F20"/>
                <w:spacing w:val="-4"/>
                <w:w w:val="75"/>
                <w:sz w:val="16"/>
              </w:rPr>
              <w:t xml:space="preserve">NCDs </w:t>
            </w:r>
            <w:r>
              <w:rPr>
                <w:color w:val="231F20"/>
                <w:w w:val="85"/>
                <w:sz w:val="16"/>
              </w:rPr>
              <w:t>initiated</w:t>
            </w:r>
          </w:p>
          <w:p w14:paraId="6FCCD102" w14:textId="77777777" w:rsidR="009948F1" w:rsidRDefault="00BC0563">
            <w:pPr>
              <w:pStyle w:val="TableParagraph"/>
              <w:numPr>
                <w:ilvl w:val="0"/>
                <w:numId w:val="136"/>
              </w:numPr>
              <w:tabs>
                <w:tab w:val="left" w:pos="68"/>
              </w:tabs>
              <w:spacing w:line="256" w:lineRule="auto"/>
              <w:ind w:right="897" w:firstLine="0"/>
              <w:rPr>
                <w:sz w:val="16"/>
              </w:rPr>
            </w:pPr>
            <w:r>
              <w:rPr>
                <w:color w:val="231F20"/>
                <w:w w:val="75"/>
                <w:sz w:val="16"/>
              </w:rPr>
              <w:t>Accurate report on NCDs prevalence/incidence</w:t>
            </w:r>
            <w:r>
              <w:rPr>
                <w:color w:val="231F20"/>
                <w:spacing w:val="-19"/>
                <w:w w:val="75"/>
                <w:sz w:val="16"/>
              </w:rPr>
              <w:t xml:space="preserve"> </w:t>
            </w:r>
            <w:r>
              <w:rPr>
                <w:color w:val="231F20"/>
                <w:spacing w:val="-4"/>
                <w:w w:val="75"/>
                <w:sz w:val="16"/>
              </w:rPr>
              <w:t>given</w:t>
            </w:r>
          </w:p>
          <w:p w14:paraId="1F7B32F6" w14:textId="77777777" w:rsidR="009948F1" w:rsidRDefault="00BC0563">
            <w:pPr>
              <w:pStyle w:val="TableParagraph"/>
              <w:numPr>
                <w:ilvl w:val="0"/>
                <w:numId w:val="136"/>
              </w:numPr>
              <w:tabs>
                <w:tab w:val="left" w:pos="100"/>
              </w:tabs>
              <w:spacing w:line="256" w:lineRule="auto"/>
              <w:ind w:right="40" w:firstLine="0"/>
              <w:rPr>
                <w:sz w:val="16"/>
              </w:rPr>
            </w:pPr>
            <w:r>
              <w:rPr>
                <w:color w:val="231F20"/>
                <w:w w:val="75"/>
                <w:sz w:val="16"/>
              </w:rPr>
              <w:t>Surveillance</w:t>
            </w:r>
            <w:r>
              <w:rPr>
                <w:color w:val="231F20"/>
                <w:spacing w:val="-9"/>
                <w:w w:val="75"/>
                <w:sz w:val="16"/>
              </w:rPr>
              <w:t xml:space="preserve"> </w:t>
            </w:r>
            <w:r>
              <w:rPr>
                <w:color w:val="231F20"/>
                <w:w w:val="75"/>
                <w:sz w:val="16"/>
              </w:rPr>
              <w:t>activities</w:t>
            </w:r>
            <w:r>
              <w:rPr>
                <w:color w:val="231F20"/>
                <w:spacing w:val="-8"/>
                <w:w w:val="75"/>
                <w:sz w:val="16"/>
              </w:rPr>
              <w:t xml:space="preserve"> </w:t>
            </w:r>
            <w:r>
              <w:rPr>
                <w:color w:val="231F20"/>
                <w:w w:val="75"/>
                <w:sz w:val="16"/>
              </w:rPr>
              <w:t>in</w:t>
            </w:r>
            <w:r>
              <w:rPr>
                <w:color w:val="231F20"/>
                <w:spacing w:val="-8"/>
                <w:w w:val="75"/>
                <w:sz w:val="16"/>
              </w:rPr>
              <w:t xml:space="preserve"> </w:t>
            </w:r>
            <w:r>
              <w:rPr>
                <w:color w:val="231F20"/>
                <w:w w:val="75"/>
                <w:sz w:val="16"/>
              </w:rPr>
              <w:t>public</w:t>
            </w:r>
            <w:r>
              <w:rPr>
                <w:color w:val="231F20"/>
                <w:spacing w:val="-8"/>
                <w:w w:val="75"/>
                <w:sz w:val="16"/>
              </w:rPr>
              <w:t xml:space="preserve"> </w:t>
            </w:r>
            <w:r>
              <w:rPr>
                <w:color w:val="231F20"/>
                <w:w w:val="75"/>
                <w:sz w:val="16"/>
              </w:rPr>
              <w:t>and</w:t>
            </w:r>
            <w:r>
              <w:rPr>
                <w:color w:val="231F20"/>
                <w:spacing w:val="-8"/>
                <w:w w:val="75"/>
                <w:sz w:val="16"/>
              </w:rPr>
              <w:t xml:space="preserve"> </w:t>
            </w:r>
            <w:r>
              <w:rPr>
                <w:color w:val="231F20"/>
                <w:spacing w:val="-3"/>
                <w:w w:val="75"/>
                <w:sz w:val="16"/>
              </w:rPr>
              <w:t xml:space="preserve">private </w:t>
            </w:r>
            <w:r>
              <w:rPr>
                <w:color w:val="231F20"/>
                <w:w w:val="85"/>
                <w:sz w:val="16"/>
              </w:rPr>
              <w:t>health</w:t>
            </w:r>
            <w:r>
              <w:rPr>
                <w:color w:val="231F20"/>
                <w:spacing w:val="-8"/>
                <w:w w:val="85"/>
                <w:sz w:val="16"/>
              </w:rPr>
              <w:t xml:space="preserve"> </w:t>
            </w:r>
            <w:r>
              <w:rPr>
                <w:color w:val="231F20"/>
                <w:w w:val="85"/>
                <w:sz w:val="16"/>
              </w:rPr>
              <w:t>sectors</w:t>
            </w:r>
          </w:p>
        </w:tc>
        <w:tc>
          <w:tcPr>
            <w:tcW w:w="2890" w:type="dxa"/>
            <w:gridSpan w:val="2"/>
            <w:shd w:val="clear" w:color="auto" w:fill="CCE7D3"/>
          </w:tcPr>
          <w:p w14:paraId="545EDD4F" w14:textId="77777777" w:rsidR="009948F1" w:rsidRDefault="009948F1">
            <w:pPr>
              <w:pStyle w:val="TableParagraph"/>
              <w:rPr>
                <w:rFonts w:ascii="Times New Roman"/>
                <w:sz w:val="10"/>
              </w:rPr>
            </w:pPr>
          </w:p>
        </w:tc>
      </w:tr>
      <w:tr w:rsidR="009948F1" w14:paraId="2EA93476" w14:textId="77777777">
        <w:trPr>
          <w:trHeight w:val="640"/>
        </w:trPr>
        <w:tc>
          <w:tcPr>
            <w:tcW w:w="1027" w:type="dxa"/>
            <w:gridSpan w:val="3"/>
            <w:vMerge w:val="restart"/>
            <w:tcBorders>
              <w:top w:val="nil"/>
              <w:bottom w:val="nil"/>
            </w:tcBorders>
          </w:tcPr>
          <w:p w14:paraId="49D4FE2C" w14:textId="77777777" w:rsidR="009948F1" w:rsidRDefault="009948F1">
            <w:pPr>
              <w:pStyle w:val="TableParagraph"/>
              <w:rPr>
                <w:rFonts w:ascii="Times New Roman"/>
                <w:sz w:val="10"/>
              </w:rPr>
            </w:pPr>
          </w:p>
        </w:tc>
        <w:tc>
          <w:tcPr>
            <w:tcW w:w="519" w:type="dxa"/>
          </w:tcPr>
          <w:p w14:paraId="0B27BF18" w14:textId="77777777" w:rsidR="009948F1" w:rsidRDefault="009948F1">
            <w:pPr>
              <w:pStyle w:val="TableParagraph"/>
              <w:spacing w:before="4"/>
              <w:rPr>
                <w:sz w:val="19"/>
              </w:rPr>
            </w:pPr>
          </w:p>
          <w:p w14:paraId="0EDABEC8" w14:textId="77777777" w:rsidR="009948F1" w:rsidRDefault="00BC0563">
            <w:pPr>
              <w:pStyle w:val="TableParagraph"/>
              <w:ind w:left="21" w:right="2"/>
              <w:jc w:val="center"/>
              <w:rPr>
                <w:sz w:val="16"/>
              </w:rPr>
            </w:pPr>
            <w:r>
              <w:rPr>
                <w:color w:val="231F20"/>
                <w:w w:val="80"/>
                <w:sz w:val="16"/>
              </w:rPr>
              <w:t>6.1.1.a</w:t>
            </w:r>
          </w:p>
        </w:tc>
        <w:tc>
          <w:tcPr>
            <w:tcW w:w="4838" w:type="dxa"/>
            <w:gridSpan w:val="2"/>
          </w:tcPr>
          <w:p w14:paraId="78D5C7EF" w14:textId="77777777" w:rsidR="009948F1" w:rsidRDefault="009948F1">
            <w:pPr>
              <w:pStyle w:val="TableParagraph"/>
              <w:spacing w:before="9"/>
              <w:rPr>
                <w:sz w:val="18"/>
              </w:rPr>
            </w:pPr>
          </w:p>
          <w:p w14:paraId="3C640E64" w14:textId="77777777" w:rsidR="009948F1" w:rsidRDefault="00BC0563">
            <w:pPr>
              <w:pStyle w:val="TableParagraph"/>
              <w:ind w:left="24"/>
              <w:rPr>
                <w:sz w:val="16"/>
              </w:rPr>
            </w:pPr>
            <w:r>
              <w:rPr>
                <w:color w:val="231F20"/>
                <w:w w:val="80"/>
                <w:sz w:val="16"/>
              </w:rPr>
              <w:t>Conduct sensitization meeting with DSNOs on collection and collation of NCDs data.</w:t>
            </w:r>
          </w:p>
        </w:tc>
        <w:tc>
          <w:tcPr>
            <w:tcW w:w="1410" w:type="dxa"/>
          </w:tcPr>
          <w:p w14:paraId="6588E1D3" w14:textId="77777777" w:rsidR="009948F1" w:rsidRDefault="009948F1">
            <w:pPr>
              <w:pStyle w:val="TableParagraph"/>
              <w:spacing w:before="4"/>
              <w:rPr>
                <w:sz w:val="19"/>
              </w:rPr>
            </w:pPr>
          </w:p>
          <w:p w14:paraId="4F4C5124"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3DD1A4B9" w14:textId="18B7C810" w:rsidR="009948F1" w:rsidRDefault="00BC0563">
            <w:pPr>
              <w:pStyle w:val="TableParagraph"/>
              <w:spacing w:before="125" w:line="256" w:lineRule="auto"/>
              <w:ind w:left="28"/>
              <w:rPr>
                <w:sz w:val="16"/>
              </w:rPr>
            </w:pPr>
            <w:r>
              <w:rPr>
                <w:color w:val="231F20"/>
                <w:w w:val="75"/>
                <w:sz w:val="16"/>
              </w:rPr>
              <w:t xml:space="preserve">Conduct </w:t>
            </w:r>
            <w:r w:rsidR="00FB089D">
              <w:rPr>
                <w:color w:val="231F20"/>
                <w:w w:val="75"/>
                <w:sz w:val="16"/>
              </w:rPr>
              <w:t>sensitization</w:t>
            </w:r>
            <w:r>
              <w:rPr>
                <w:color w:val="231F20"/>
                <w:w w:val="75"/>
                <w:sz w:val="16"/>
              </w:rPr>
              <w:t xml:space="preserve"> </w:t>
            </w:r>
            <w:r>
              <w:rPr>
                <w:color w:val="231F20"/>
                <w:w w:val="85"/>
                <w:sz w:val="16"/>
              </w:rPr>
              <w:t>meeting</w:t>
            </w:r>
          </w:p>
        </w:tc>
      </w:tr>
      <w:tr w:rsidR="009948F1" w14:paraId="19EDE778" w14:textId="77777777">
        <w:trPr>
          <w:trHeight w:val="584"/>
        </w:trPr>
        <w:tc>
          <w:tcPr>
            <w:tcW w:w="1027" w:type="dxa"/>
            <w:gridSpan w:val="3"/>
            <w:vMerge/>
            <w:tcBorders>
              <w:top w:val="nil"/>
              <w:bottom w:val="nil"/>
            </w:tcBorders>
          </w:tcPr>
          <w:p w14:paraId="2C4E51E2" w14:textId="77777777" w:rsidR="009948F1" w:rsidRDefault="009948F1">
            <w:pPr>
              <w:rPr>
                <w:sz w:val="2"/>
                <w:szCs w:val="2"/>
              </w:rPr>
            </w:pPr>
          </w:p>
        </w:tc>
        <w:tc>
          <w:tcPr>
            <w:tcW w:w="519" w:type="dxa"/>
          </w:tcPr>
          <w:p w14:paraId="53A81BB9" w14:textId="77777777" w:rsidR="009948F1" w:rsidRDefault="009948F1">
            <w:pPr>
              <w:pStyle w:val="TableParagraph"/>
              <w:rPr>
                <w:sz w:val="17"/>
              </w:rPr>
            </w:pPr>
          </w:p>
          <w:p w14:paraId="733C7320" w14:textId="77777777" w:rsidR="009948F1" w:rsidRDefault="00BC0563">
            <w:pPr>
              <w:pStyle w:val="TableParagraph"/>
              <w:ind w:left="21" w:right="2"/>
              <w:jc w:val="center"/>
              <w:rPr>
                <w:sz w:val="16"/>
              </w:rPr>
            </w:pPr>
            <w:r>
              <w:rPr>
                <w:color w:val="231F20"/>
                <w:w w:val="80"/>
                <w:sz w:val="16"/>
              </w:rPr>
              <w:t>6.1.1.b</w:t>
            </w:r>
          </w:p>
        </w:tc>
        <w:tc>
          <w:tcPr>
            <w:tcW w:w="4838" w:type="dxa"/>
            <w:gridSpan w:val="2"/>
          </w:tcPr>
          <w:p w14:paraId="71199A8B" w14:textId="77777777" w:rsidR="009948F1" w:rsidRDefault="00BC0563">
            <w:pPr>
              <w:pStyle w:val="TableParagraph"/>
              <w:spacing w:before="90" w:line="256" w:lineRule="auto"/>
              <w:ind w:left="24" w:right="46"/>
              <w:rPr>
                <w:sz w:val="16"/>
              </w:rPr>
            </w:pPr>
            <w:r>
              <w:rPr>
                <w:color w:val="231F20"/>
                <w:w w:val="75"/>
                <w:sz w:val="16"/>
              </w:rPr>
              <w:t>Operating</w:t>
            </w:r>
            <w:r>
              <w:rPr>
                <w:color w:val="231F20"/>
                <w:spacing w:val="-11"/>
                <w:w w:val="75"/>
                <w:sz w:val="16"/>
              </w:rPr>
              <w:t xml:space="preserve"> </w:t>
            </w:r>
            <w:r>
              <w:rPr>
                <w:color w:val="231F20"/>
                <w:w w:val="75"/>
                <w:sz w:val="16"/>
              </w:rPr>
              <w:t>Cost</w:t>
            </w:r>
            <w:r>
              <w:rPr>
                <w:color w:val="231F20"/>
                <w:spacing w:val="-10"/>
                <w:w w:val="75"/>
                <w:sz w:val="16"/>
              </w:rPr>
              <w:t xml:space="preserve"> </w:t>
            </w:r>
            <w:r>
              <w:rPr>
                <w:color w:val="231F20"/>
                <w:w w:val="75"/>
                <w:sz w:val="16"/>
              </w:rPr>
              <w:t>for</w:t>
            </w:r>
            <w:r>
              <w:rPr>
                <w:color w:val="231F20"/>
                <w:spacing w:val="-10"/>
                <w:w w:val="75"/>
                <w:sz w:val="16"/>
              </w:rPr>
              <w:t xml:space="preserve"> </w:t>
            </w:r>
            <w:r>
              <w:rPr>
                <w:color w:val="231F20"/>
                <w:w w:val="75"/>
                <w:sz w:val="16"/>
              </w:rPr>
              <w:t>engaging</w:t>
            </w:r>
            <w:r>
              <w:rPr>
                <w:color w:val="231F20"/>
                <w:spacing w:val="-10"/>
                <w:w w:val="75"/>
                <w:sz w:val="16"/>
              </w:rPr>
              <w:t xml:space="preserve"> </w:t>
            </w:r>
            <w:r>
              <w:rPr>
                <w:color w:val="231F20"/>
                <w:w w:val="75"/>
                <w:sz w:val="16"/>
              </w:rPr>
              <w:t>and</w:t>
            </w:r>
            <w:r>
              <w:rPr>
                <w:color w:val="231F20"/>
                <w:spacing w:val="-10"/>
                <w:w w:val="75"/>
                <w:sz w:val="16"/>
              </w:rPr>
              <w:t xml:space="preserve"> </w:t>
            </w:r>
            <w:r>
              <w:rPr>
                <w:color w:val="231F20"/>
                <w:w w:val="75"/>
                <w:sz w:val="16"/>
              </w:rPr>
              <w:t>supervising</w:t>
            </w:r>
            <w:r>
              <w:rPr>
                <w:color w:val="231F20"/>
                <w:spacing w:val="-10"/>
                <w:w w:val="75"/>
                <w:sz w:val="16"/>
              </w:rPr>
              <w:t xml:space="preserve"> </w:t>
            </w:r>
            <w:r>
              <w:rPr>
                <w:color w:val="231F20"/>
                <w:w w:val="75"/>
                <w:sz w:val="16"/>
              </w:rPr>
              <w:t>the</w:t>
            </w:r>
            <w:r>
              <w:rPr>
                <w:color w:val="231F20"/>
                <w:spacing w:val="-10"/>
                <w:w w:val="75"/>
                <w:sz w:val="16"/>
              </w:rPr>
              <w:t xml:space="preserve"> </w:t>
            </w:r>
            <w:r>
              <w:rPr>
                <w:color w:val="231F20"/>
                <w:w w:val="75"/>
                <w:sz w:val="16"/>
              </w:rPr>
              <w:t>contractor</w:t>
            </w:r>
            <w:r>
              <w:rPr>
                <w:color w:val="231F20"/>
                <w:spacing w:val="-10"/>
                <w:w w:val="75"/>
                <w:sz w:val="16"/>
              </w:rPr>
              <w:t xml:space="preserve"> </w:t>
            </w:r>
            <w:r>
              <w:rPr>
                <w:color w:val="231F20"/>
                <w:w w:val="75"/>
                <w:sz w:val="16"/>
              </w:rPr>
              <w:t>to</w:t>
            </w:r>
            <w:r>
              <w:rPr>
                <w:color w:val="231F20"/>
                <w:spacing w:val="-10"/>
                <w:w w:val="75"/>
                <w:sz w:val="16"/>
              </w:rPr>
              <w:t xml:space="preserve"> </w:t>
            </w:r>
            <w:r>
              <w:rPr>
                <w:color w:val="231F20"/>
                <w:w w:val="75"/>
                <w:sz w:val="16"/>
              </w:rPr>
              <w:t>establish</w:t>
            </w:r>
            <w:r>
              <w:rPr>
                <w:color w:val="231F20"/>
                <w:spacing w:val="-10"/>
                <w:w w:val="75"/>
                <w:sz w:val="16"/>
              </w:rPr>
              <w:t xml:space="preserve"> </w:t>
            </w:r>
            <w:r>
              <w:rPr>
                <w:color w:val="231F20"/>
                <w:w w:val="75"/>
                <w:sz w:val="16"/>
              </w:rPr>
              <w:t>a</w:t>
            </w:r>
            <w:r>
              <w:rPr>
                <w:color w:val="231F20"/>
                <w:spacing w:val="-10"/>
                <w:w w:val="75"/>
                <w:sz w:val="16"/>
              </w:rPr>
              <w:t xml:space="preserve"> </w:t>
            </w:r>
            <w:r>
              <w:rPr>
                <w:color w:val="231F20"/>
                <w:w w:val="75"/>
                <w:sz w:val="16"/>
              </w:rPr>
              <w:t xml:space="preserve">population-based </w:t>
            </w:r>
            <w:r>
              <w:rPr>
                <w:color w:val="231F20"/>
                <w:w w:val="85"/>
                <w:sz w:val="16"/>
              </w:rPr>
              <w:t>cancer</w:t>
            </w:r>
            <w:r>
              <w:rPr>
                <w:color w:val="231F20"/>
                <w:spacing w:val="-12"/>
                <w:w w:val="85"/>
                <w:sz w:val="16"/>
              </w:rPr>
              <w:t xml:space="preserve"> </w:t>
            </w:r>
            <w:r>
              <w:rPr>
                <w:color w:val="231F20"/>
                <w:w w:val="85"/>
                <w:sz w:val="16"/>
              </w:rPr>
              <w:t>registry</w:t>
            </w:r>
            <w:r>
              <w:rPr>
                <w:color w:val="231F20"/>
                <w:spacing w:val="-12"/>
                <w:w w:val="85"/>
                <w:sz w:val="16"/>
              </w:rPr>
              <w:t xml:space="preserve"> </w:t>
            </w:r>
            <w:r>
              <w:rPr>
                <w:color w:val="231F20"/>
                <w:w w:val="85"/>
                <w:sz w:val="16"/>
              </w:rPr>
              <w:t>for</w:t>
            </w:r>
            <w:r>
              <w:rPr>
                <w:color w:val="231F20"/>
                <w:spacing w:val="-12"/>
                <w:w w:val="85"/>
                <w:sz w:val="16"/>
              </w:rPr>
              <w:t xml:space="preserve"> </w:t>
            </w:r>
            <w:r>
              <w:rPr>
                <w:color w:val="231F20"/>
                <w:w w:val="85"/>
                <w:sz w:val="16"/>
              </w:rPr>
              <w:t>the</w:t>
            </w:r>
            <w:r>
              <w:rPr>
                <w:color w:val="231F20"/>
                <w:spacing w:val="-12"/>
                <w:w w:val="85"/>
                <w:sz w:val="16"/>
              </w:rPr>
              <w:t xml:space="preserve"> </w:t>
            </w:r>
            <w:r>
              <w:rPr>
                <w:color w:val="231F20"/>
                <w:w w:val="85"/>
                <w:sz w:val="16"/>
              </w:rPr>
              <w:t>state</w:t>
            </w:r>
            <w:r>
              <w:rPr>
                <w:color w:val="231F20"/>
                <w:spacing w:val="-12"/>
                <w:w w:val="85"/>
                <w:sz w:val="16"/>
              </w:rPr>
              <w:t xml:space="preserve"> </w:t>
            </w:r>
            <w:r>
              <w:rPr>
                <w:color w:val="231F20"/>
                <w:w w:val="85"/>
                <w:sz w:val="16"/>
              </w:rPr>
              <w:t>in</w:t>
            </w:r>
            <w:r>
              <w:rPr>
                <w:color w:val="231F20"/>
                <w:spacing w:val="-12"/>
                <w:w w:val="85"/>
                <w:sz w:val="16"/>
              </w:rPr>
              <w:t xml:space="preserve"> </w:t>
            </w:r>
            <w:r>
              <w:rPr>
                <w:color w:val="231F20"/>
                <w:w w:val="85"/>
                <w:sz w:val="16"/>
              </w:rPr>
              <w:t>collaboration</w:t>
            </w:r>
            <w:r>
              <w:rPr>
                <w:color w:val="231F20"/>
                <w:spacing w:val="-12"/>
                <w:w w:val="85"/>
                <w:sz w:val="16"/>
              </w:rPr>
              <w:t xml:space="preserve"> </w:t>
            </w:r>
            <w:r>
              <w:rPr>
                <w:color w:val="231F20"/>
                <w:w w:val="85"/>
                <w:sz w:val="16"/>
              </w:rPr>
              <w:t>with</w:t>
            </w:r>
            <w:r>
              <w:rPr>
                <w:color w:val="231F20"/>
                <w:spacing w:val="-12"/>
                <w:w w:val="85"/>
                <w:sz w:val="16"/>
              </w:rPr>
              <w:t xml:space="preserve"> </w:t>
            </w:r>
            <w:r>
              <w:rPr>
                <w:color w:val="231F20"/>
                <w:w w:val="85"/>
                <w:sz w:val="16"/>
              </w:rPr>
              <w:t>FMOH.</w:t>
            </w:r>
          </w:p>
        </w:tc>
        <w:tc>
          <w:tcPr>
            <w:tcW w:w="1410" w:type="dxa"/>
          </w:tcPr>
          <w:p w14:paraId="7E4AB383" w14:textId="77777777" w:rsidR="009948F1" w:rsidRDefault="009948F1">
            <w:pPr>
              <w:pStyle w:val="TableParagraph"/>
              <w:rPr>
                <w:sz w:val="17"/>
              </w:rPr>
            </w:pPr>
          </w:p>
          <w:p w14:paraId="12D5B3E2"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2B62B25B" w14:textId="77777777" w:rsidR="009948F1" w:rsidRDefault="009948F1">
            <w:pPr>
              <w:pStyle w:val="TableParagraph"/>
              <w:rPr>
                <w:sz w:val="17"/>
              </w:rPr>
            </w:pPr>
          </w:p>
          <w:p w14:paraId="04610AF4" w14:textId="77777777" w:rsidR="009948F1" w:rsidRDefault="00BC0563">
            <w:pPr>
              <w:pStyle w:val="TableParagraph"/>
              <w:ind w:left="28"/>
              <w:rPr>
                <w:sz w:val="16"/>
              </w:rPr>
            </w:pPr>
            <w:r>
              <w:rPr>
                <w:color w:val="231F20"/>
                <w:w w:val="85"/>
                <w:sz w:val="16"/>
              </w:rPr>
              <w:t>Costed in OHT</w:t>
            </w:r>
          </w:p>
        </w:tc>
      </w:tr>
      <w:tr w:rsidR="009948F1" w14:paraId="1C127AF6" w14:textId="77777777">
        <w:trPr>
          <w:trHeight w:val="467"/>
        </w:trPr>
        <w:tc>
          <w:tcPr>
            <w:tcW w:w="1027" w:type="dxa"/>
            <w:gridSpan w:val="3"/>
            <w:vMerge/>
            <w:tcBorders>
              <w:top w:val="nil"/>
              <w:bottom w:val="nil"/>
            </w:tcBorders>
          </w:tcPr>
          <w:p w14:paraId="56D59C3E" w14:textId="77777777" w:rsidR="009948F1" w:rsidRDefault="009948F1">
            <w:pPr>
              <w:rPr>
                <w:sz w:val="2"/>
                <w:szCs w:val="2"/>
              </w:rPr>
            </w:pPr>
          </w:p>
        </w:tc>
        <w:tc>
          <w:tcPr>
            <w:tcW w:w="519" w:type="dxa"/>
          </w:tcPr>
          <w:p w14:paraId="5BD7D276" w14:textId="77777777" w:rsidR="009948F1" w:rsidRDefault="00BC0563">
            <w:pPr>
              <w:pStyle w:val="TableParagraph"/>
              <w:spacing w:before="136"/>
              <w:ind w:left="21" w:right="2"/>
              <w:jc w:val="center"/>
              <w:rPr>
                <w:sz w:val="16"/>
              </w:rPr>
            </w:pPr>
            <w:r>
              <w:rPr>
                <w:color w:val="231F20"/>
                <w:w w:val="80"/>
                <w:sz w:val="16"/>
              </w:rPr>
              <w:t>6.1.1.c</w:t>
            </w:r>
          </w:p>
        </w:tc>
        <w:tc>
          <w:tcPr>
            <w:tcW w:w="4838" w:type="dxa"/>
            <w:gridSpan w:val="2"/>
          </w:tcPr>
          <w:p w14:paraId="01B1CDD7" w14:textId="77777777" w:rsidR="009948F1" w:rsidRDefault="00BC0563">
            <w:pPr>
              <w:pStyle w:val="TableParagraph"/>
              <w:spacing w:before="130"/>
              <w:ind w:left="24"/>
              <w:rPr>
                <w:sz w:val="16"/>
              </w:rPr>
            </w:pPr>
            <w:r>
              <w:rPr>
                <w:color w:val="231F20"/>
                <w:w w:val="85"/>
                <w:sz w:val="16"/>
              </w:rPr>
              <w:t>Initiate continued active case search of NCDs cases in the state.</w:t>
            </w:r>
          </w:p>
        </w:tc>
        <w:tc>
          <w:tcPr>
            <w:tcW w:w="1410" w:type="dxa"/>
          </w:tcPr>
          <w:p w14:paraId="1D3263D6" w14:textId="77777777" w:rsidR="009948F1" w:rsidRDefault="00BC0563">
            <w:pPr>
              <w:pStyle w:val="TableParagraph"/>
              <w:spacing w:before="136"/>
              <w:ind w:left="27"/>
              <w:rPr>
                <w:sz w:val="16"/>
              </w:rPr>
            </w:pPr>
            <w:r>
              <w:rPr>
                <w:color w:val="231F20"/>
                <w:w w:val="85"/>
                <w:sz w:val="16"/>
              </w:rPr>
              <w:t>Lack of funds</w:t>
            </w:r>
          </w:p>
        </w:tc>
        <w:tc>
          <w:tcPr>
            <w:tcW w:w="1480" w:type="dxa"/>
            <w:tcBorders>
              <w:right w:val="single" w:sz="12" w:space="0" w:color="231F20"/>
            </w:tcBorders>
          </w:tcPr>
          <w:p w14:paraId="312CBB19" w14:textId="77777777" w:rsidR="009948F1" w:rsidRDefault="00BC0563">
            <w:pPr>
              <w:pStyle w:val="TableParagraph"/>
              <w:spacing w:before="136"/>
              <w:ind w:left="28"/>
              <w:rPr>
                <w:sz w:val="16"/>
              </w:rPr>
            </w:pPr>
            <w:r>
              <w:rPr>
                <w:color w:val="231F20"/>
                <w:w w:val="80"/>
                <w:sz w:val="16"/>
              </w:rPr>
              <w:t>Initiate</w:t>
            </w:r>
            <w:r>
              <w:rPr>
                <w:color w:val="231F20"/>
                <w:spacing w:val="-25"/>
                <w:w w:val="80"/>
                <w:sz w:val="16"/>
              </w:rPr>
              <w:t xml:space="preserve"> </w:t>
            </w:r>
            <w:r>
              <w:rPr>
                <w:color w:val="231F20"/>
                <w:w w:val="80"/>
                <w:sz w:val="16"/>
              </w:rPr>
              <w:t>active</w:t>
            </w:r>
            <w:r>
              <w:rPr>
                <w:color w:val="231F20"/>
                <w:spacing w:val="-24"/>
                <w:w w:val="80"/>
                <w:sz w:val="16"/>
              </w:rPr>
              <w:t xml:space="preserve"> </w:t>
            </w:r>
            <w:r>
              <w:rPr>
                <w:color w:val="231F20"/>
                <w:w w:val="80"/>
                <w:sz w:val="16"/>
              </w:rPr>
              <w:t>case</w:t>
            </w:r>
            <w:r>
              <w:rPr>
                <w:color w:val="231F20"/>
                <w:spacing w:val="-24"/>
                <w:w w:val="80"/>
                <w:sz w:val="16"/>
              </w:rPr>
              <w:t xml:space="preserve"> </w:t>
            </w:r>
            <w:r>
              <w:rPr>
                <w:color w:val="231F20"/>
                <w:w w:val="80"/>
                <w:sz w:val="16"/>
              </w:rPr>
              <w:t>search</w:t>
            </w:r>
          </w:p>
        </w:tc>
      </w:tr>
      <w:tr w:rsidR="009948F1" w14:paraId="7C7C8488" w14:textId="77777777">
        <w:trPr>
          <w:trHeight w:val="640"/>
        </w:trPr>
        <w:tc>
          <w:tcPr>
            <w:tcW w:w="1027" w:type="dxa"/>
            <w:gridSpan w:val="3"/>
            <w:vMerge/>
            <w:tcBorders>
              <w:top w:val="nil"/>
              <w:bottom w:val="nil"/>
            </w:tcBorders>
          </w:tcPr>
          <w:p w14:paraId="0C03F0C8" w14:textId="77777777" w:rsidR="009948F1" w:rsidRDefault="009948F1">
            <w:pPr>
              <w:rPr>
                <w:sz w:val="2"/>
                <w:szCs w:val="2"/>
              </w:rPr>
            </w:pPr>
          </w:p>
        </w:tc>
        <w:tc>
          <w:tcPr>
            <w:tcW w:w="519" w:type="dxa"/>
          </w:tcPr>
          <w:p w14:paraId="0E38F217" w14:textId="77777777" w:rsidR="009948F1" w:rsidRDefault="009948F1">
            <w:pPr>
              <w:pStyle w:val="TableParagraph"/>
              <w:spacing w:before="4"/>
              <w:rPr>
                <w:sz w:val="19"/>
              </w:rPr>
            </w:pPr>
          </w:p>
          <w:p w14:paraId="39AC1022" w14:textId="77777777" w:rsidR="009948F1" w:rsidRDefault="00BC0563">
            <w:pPr>
              <w:pStyle w:val="TableParagraph"/>
              <w:ind w:left="21" w:right="2"/>
              <w:jc w:val="center"/>
              <w:rPr>
                <w:sz w:val="16"/>
              </w:rPr>
            </w:pPr>
            <w:r>
              <w:rPr>
                <w:color w:val="231F20"/>
                <w:w w:val="80"/>
                <w:sz w:val="16"/>
              </w:rPr>
              <w:t>6.1.1.d</w:t>
            </w:r>
          </w:p>
        </w:tc>
        <w:tc>
          <w:tcPr>
            <w:tcW w:w="4838" w:type="dxa"/>
            <w:gridSpan w:val="2"/>
          </w:tcPr>
          <w:p w14:paraId="18F3AF89" w14:textId="77777777" w:rsidR="009948F1" w:rsidRDefault="00BC0563">
            <w:pPr>
              <w:pStyle w:val="TableParagraph"/>
              <w:spacing w:before="119" w:line="256" w:lineRule="auto"/>
              <w:ind w:left="24" w:right="3"/>
              <w:rPr>
                <w:sz w:val="16"/>
              </w:rPr>
            </w:pPr>
            <w:r>
              <w:rPr>
                <w:color w:val="231F20"/>
                <w:w w:val="75"/>
                <w:sz w:val="16"/>
              </w:rPr>
              <w:t xml:space="preserve">Report accurately with use of appropriate tools on NCDs prevalence/incidence in the state </w:t>
            </w:r>
            <w:r>
              <w:rPr>
                <w:color w:val="231F20"/>
                <w:w w:val="85"/>
                <w:sz w:val="16"/>
              </w:rPr>
              <w:t>to FMOH for planning and control.</w:t>
            </w:r>
          </w:p>
        </w:tc>
        <w:tc>
          <w:tcPr>
            <w:tcW w:w="1410" w:type="dxa"/>
          </w:tcPr>
          <w:p w14:paraId="57A1E3AC" w14:textId="77777777" w:rsidR="009948F1" w:rsidRDefault="009948F1">
            <w:pPr>
              <w:pStyle w:val="TableParagraph"/>
              <w:spacing w:before="4"/>
              <w:rPr>
                <w:sz w:val="19"/>
              </w:rPr>
            </w:pPr>
          </w:p>
          <w:p w14:paraId="78A83391"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67CF4C11" w14:textId="77777777" w:rsidR="009948F1" w:rsidRDefault="009948F1">
            <w:pPr>
              <w:pStyle w:val="TableParagraph"/>
              <w:spacing w:before="4"/>
              <w:rPr>
                <w:sz w:val="19"/>
              </w:rPr>
            </w:pPr>
          </w:p>
          <w:p w14:paraId="16A614E6" w14:textId="77777777" w:rsidR="009948F1" w:rsidRDefault="00BC0563">
            <w:pPr>
              <w:pStyle w:val="TableParagraph"/>
              <w:ind w:left="28"/>
              <w:rPr>
                <w:sz w:val="16"/>
              </w:rPr>
            </w:pPr>
            <w:r>
              <w:rPr>
                <w:color w:val="231F20"/>
                <w:w w:val="85"/>
                <w:sz w:val="16"/>
              </w:rPr>
              <w:t>No cost</w:t>
            </w:r>
          </w:p>
        </w:tc>
      </w:tr>
      <w:tr w:rsidR="009948F1" w14:paraId="2A9F4356" w14:textId="77777777">
        <w:trPr>
          <w:trHeight w:val="506"/>
        </w:trPr>
        <w:tc>
          <w:tcPr>
            <w:tcW w:w="1027" w:type="dxa"/>
            <w:gridSpan w:val="3"/>
            <w:vMerge/>
            <w:tcBorders>
              <w:top w:val="nil"/>
              <w:bottom w:val="nil"/>
            </w:tcBorders>
          </w:tcPr>
          <w:p w14:paraId="4FF55276" w14:textId="77777777" w:rsidR="009948F1" w:rsidRDefault="009948F1">
            <w:pPr>
              <w:rPr>
                <w:sz w:val="2"/>
                <w:szCs w:val="2"/>
              </w:rPr>
            </w:pPr>
          </w:p>
        </w:tc>
        <w:tc>
          <w:tcPr>
            <w:tcW w:w="519" w:type="dxa"/>
          </w:tcPr>
          <w:p w14:paraId="116958DA" w14:textId="77777777" w:rsidR="009948F1" w:rsidRDefault="009948F1">
            <w:pPr>
              <w:pStyle w:val="TableParagraph"/>
              <w:spacing w:before="6"/>
              <w:rPr>
                <w:sz w:val="13"/>
              </w:rPr>
            </w:pPr>
          </w:p>
          <w:p w14:paraId="118270D3" w14:textId="77777777" w:rsidR="009948F1" w:rsidRDefault="00BC0563">
            <w:pPr>
              <w:pStyle w:val="TableParagraph"/>
              <w:ind w:left="21" w:right="2"/>
              <w:jc w:val="center"/>
              <w:rPr>
                <w:sz w:val="16"/>
              </w:rPr>
            </w:pPr>
            <w:r>
              <w:rPr>
                <w:color w:val="231F20"/>
                <w:w w:val="80"/>
                <w:sz w:val="16"/>
              </w:rPr>
              <w:t>6.1.1.e</w:t>
            </w:r>
          </w:p>
        </w:tc>
        <w:tc>
          <w:tcPr>
            <w:tcW w:w="4838" w:type="dxa"/>
            <w:gridSpan w:val="2"/>
          </w:tcPr>
          <w:p w14:paraId="542F0905" w14:textId="77777777" w:rsidR="009948F1" w:rsidRDefault="009948F1">
            <w:pPr>
              <w:pStyle w:val="TableParagraph"/>
              <w:spacing w:before="11"/>
              <w:rPr>
                <w:sz w:val="12"/>
              </w:rPr>
            </w:pPr>
          </w:p>
          <w:p w14:paraId="2B79F1C4" w14:textId="77777777" w:rsidR="009948F1" w:rsidRDefault="00BC0563">
            <w:pPr>
              <w:pStyle w:val="TableParagraph"/>
              <w:ind w:left="24"/>
              <w:rPr>
                <w:sz w:val="16"/>
              </w:rPr>
            </w:pPr>
            <w:r>
              <w:rPr>
                <w:color w:val="231F20"/>
                <w:w w:val="85"/>
                <w:sz w:val="16"/>
              </w:rPr>
              <w:t>Implement surveillance activities in all health sectors (public and private).</w:t>
            </w:r>
          </w:p>
        </w:tc>
        <w:tc>
          <w:tcPr>
            <w:tcW w:w="1410" w:type="dxa"/>
          </w:tcPr>
          <w:p w14:paraId="003CA3BB" w14:textId="77777777" w:rsidR="009948F1" w:rsidRDefault="009948F1">
            <w:pPr>
              <w:pStyle w:val="TableParagraph"/>
              <w:spacing w:before="6"/>
              <w:rPr>
                <w:sz w:val="13"/>
              </w:rPr>
            </w:pPr>
          </w:p>
          <w:p w14:paraId="3161E0E7"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12FDB897" w14:textId="77777777" w:rsidR="009948F1" w:rsidRDefault="00BC0563">
            <w:pPr>
              <w:pStyle w:val="TableParagraph"/>
              <w:spacing w:before="58" w:line="256" w:lineRule="auto"/>
              <w:ind w:left="28"/>
              <w:rPr>
                <w:sz w:val="16"/>
              </w:rPr>
            </w:pPr>
            <w:r>
              <w:rPr>
                <w:color w:val="231F20"/>
                <w:w w:val="75"/>
                <w:sz w:val="16"/>
              </w:rPr>
              <w:t xml:space="preserve">Implement surveillance </w:t>
            </w:r>
            <w:r>
              <w:rPr>
                <w:color w:val="231F20"/>
                <w:w w:val="85"/>
                <w:sz w:val="16"/>
              </w:rPr>
              <w:t>activities</w:t>
            </w:r>
          </w:p>
        </w:tc>
      </w:tr>
      <w:tr w:rsidR="009948F1" w14:paraId="18A90E7E" w14:textId="77777777">
        <w:trPr>
          <w:trHeight w:val="1349"/>
        </w:trPr>
        <w:tc>
          <w:tcPr>
            <w:tcW w:w="578" w:type="dxa"/>
            <w:gridSpan w:val="2"/>
            <w:tcBorders>
              <w:top w:val="nil"/>
              <w:bottom w:val="nil"/>
            </w:tcBorders>
          </w:tcPr>
          <w:p w14:paraId="3AE702D9" w14:textId="77777777" w:rsidR="009948F1" w:rsidRDefault="009948F1">
            <w:pPr>
              <w:pStyle w:val="TableParagraph"/>
              <w:rPr>
                <w:rFonts w:ascii="Times New Roman"/>
                <w:sz w:val="10"/>
              </w:rPr>
            </w:pPr>
          </w:p>
        </w:tc>
        <w:tc>
          <w:tcPr>
            <w:tcW w:w="449" w:type="dxa"/>
            <w:shd w:val="clear" w:color="auto" w:fill="CCE7D3"/>
          </w:tcPr>
          <w:p w14:paraId="4B65190C" w14:textId="77777777" w:rsidR="009948F1" w:rsidRDefault="009948F1">
            <w:pPr>
              <w:pStyle w:val="TableParagraph"/>
              <w:rPr>
                <w:sz w:val="16"/>
              </w:rPr>
            </w:pPr>
          </w:p>
          <w:p w14:paraId="007EAF84" w14:textId="77777777" w:rsidR="009948F1" w:rsidRDefault="009948F1">
            <w:pPr>
              <w:pStyle w:val="TableParagraph"/>
              <w:rPr>
                <w:sz w:val="16"/>
              </w:rPr>
            </w:pPr>
          </w:p>
          <w:p w14:paraId="171FF960" w14:textId="77777777" w:rsidR="009948F1" w:rsidRDefault="009948F1">
            <w:pPr>
              <w:pStyle w:val="TableParagraph"/>
              <w:spacing w:before="2"/>
              <w:rPr>
                <w:sz w:val="18"/>
              </w:rPr>
            </w:pPr>
          </w:p>
          <w:p w14:paraId="40AEA7FA" w14:textId="77777777" w:rsidR="009948F1" w:rsidRDefault="00BC0563">
            <w:pPr>
              <w:pStyle w:val="TableParagraph"/>
              <w:spacing w:before="1"/>
              <w:ind w:left="55"/>
              <w:rPr>
                <w:sz w:val="16"/>
              </w:rPr>
            </w:pPr>
            <w:r>
              <w:rPr>
                <w:color w:val="231F20"/>
                <w:w w:val="85"/>
                <w:sz w:val="16"/>
              </w:rPr>
              <w:t>6.1.2</w:t>
            </w:r>
          </w:p>
        </w:tc>
        <w:tc>
          <w:tcPr>
            <w:tcW w:w="3001" w:type="dxa"/>
            <w:gridSpan w:val="2"/>
            <w:shd w:val="clear" w:color="auto" w:fill="CCE7D3"/>
          </w:tcPr>
          <w:p w14:paraId="076EE778" w14:textId="77777777" w:rsidR="009948F1" w:rsidRDefault="009948F1">
            <w:pPr>
              <w:pStyle w:val="TableParagraph"/>
              <w:rPr>
                <w:sz w:val="16"/>
              </w:rPr>
            </w:pPr>
          </w:p>
          <w:p w14:paraId="44B2A6E2" w14:textId="77777777" w:rsidR="009948F1" w:rsidRDefault="009948F1">
            <w:pPr>
              <w:pStyle w:val="TableParagraph"/>
              <w:spacing w:before="6"/>
              <w:rPr>
                <w:sz w:val="16"/>
              </w:rPr>
            </w:pPr>
          </w:p>
          <w:p w14:paraId="14B90019" w14:textId="77777777" w:rsidR="009948F1" w:rsidRDefault="00BC0563">
            <w:pPr>
              <w:pStyle w:val="TableParagraph"/>
              <w:spacing w:before="1" w:line="256" w:lineRule="auto"/>
              <w:ind w:left="23" w:right="137" w:firstLine="32"/>
              <w:jc w:val="both"/>
              <w:rPr>
                <w:sz w:val="16"/>
              </w:rPr>
            </w:pPr>
            <w:r>
              <w:rPr>
                <w:color w:val="231F20"/>
                <w:w w:val="75"/>
                <w:sz w:val="16"/>
              </w:rPr>
              <w:t>Intensify</w:t>
            </w:r>
            <w:r>
              <w:rPr>
                <w:color w:val="231F20"/>
                <w:spacing w:val="-14"/>
                <w:w w:val="75"/>
                <w:sz w:val="16"/>
              </w:rPr>
              <w:t xml:space="preserve"> </w:t>
            </w:r>
            <w:r>
              <w:rPr>
                <w:color w:val="231F20"/>
                <w:w w:val="75"/>
                <w:sz w:val="16"/>
              </w:rPr>
              <w:t>advocacy,</w:t>
            </w:r>
            <w:r>
              <w:rPr>
                <w:color w:val="231F20"/>
                <w:spacing w:val="-14"/>
                <w:w w:val="75"/>
                <w:sz w:val="16"/>
              </w:rPr>
              <w:t xml:space="preserve"> </w:t>
            </w:r>
            <w:r>
              <w:rPr>
                <w:color w:val="231F20"/>
                <w:w w:val="75"/>
                <w:sz w:val="16"/>
              </w:rPr>
              <w:t>legislation,</w:t>
            </w:r>
            <w:r>
              <w:rPr>
                <w:color w:val="231F20"/>
                <w:spacing w:val="-13"/>
                <w:w w:val="75"/>
                <w:sz w:val="16"/>
              </w:rPr>
              <w:t xml:space="preserve"> </w:t>
            </w:r>
            <w:r>
              <w:rPr>
                <w:color w:val="231F20"/>
                <w:w w:val="75"/>
                <w:sz w:val="16"/>
              </w:rPr>
              <w:t>social</w:t>
            </w:r>
            <w:r>
              <w:rPr>
                <w:color w:val="231F20"/>
                <w:spacing w:val="-14"/>
                <w:w w:val="75"/>
                <w:sz w:val="16"/>
              </w:rPr>
              <w:t xml:space="preserve"> </w:t>
            </w:r>
            <w:r>
              <w:rPr>
                <w:color w:val="231F20"/>
                <w:w w:val="75"/>
                <w:sz w:val="16"/>
              </w:rPr>
              <w:t>mobilization</w:t>
            </w:r>
            <w:r>
              <w:rPr>
                <w:color w:val="231F20"/>
                <w:spacing w:val="-13"/>
                <w:w w:val="75"/>
                <w:sz w:val="16"/>
              </w:rPr>
              <w:t xml:space="preserve"> </w:t>
            </w:r>
            <w:r>
              <w:rPr>
                <w:color w:val="231F20"/>
                <w:spacing w:val="-4"/>
                <w:w w:val="75"/>
                <w:sz w:val="16"/>
              </w:rPr>
              <w:t xml:space="preserve">and </w:t>
            </w:r>
            <w:proofErr w:type="spellStart"/>
            <w:r>
              <w:rPr>
                <w:color w:val="231F20"/>
                <w:w w:val="75"/>
                <w:sz w:val="16"/>
              </w:rPr>
              <w:t>behaviour</w:t>
            </w:r>
            <w:proofErr w:type="spellEnd"/>
            <w:r>
              <w:rPr>
                <w:color w:val="231F20"/>
                <w:spacing w:val="-11"/>
                <w:w w:val="75"/>
                <w:sz w:val="16"/>
              </w:rPr>
              <w:t xml:space="preserve"> </w:t>
            </w:r>
            <w:r>
              <w:rPr>
                <w:color w:val="231F20"/>
                <w:w w:val="75"/>
                <w:sz w:val="16"/>
              </w:rPr>
              <w:t>change</w:t>
            </w:r>
            <w:r>
              <w:rPr>
                <w:color w:val="231F20"/>
                <w:spacing w:val="-11"/>
                <w:w w:val="75"/>
                <w:sz w:val="16"/>
              </w:rPr>
              <w:t xml:space="preserve"> </w:t>
            </w:r>
            <w:r>
              <w:rPr>
                <w:color w:val="231F20"/>
                <w:w w:val="75"/>
                <w:sz w:val="16"/>
              </w:rPr>
              <w:t>communication</w:t>
            </w:r>
            <w:r>
              <w:rPr>
                <w:color w:val="231F20"/>
                <w:spacing w:val="-11"/>
                <w:w w:val="75"/>
                <w:sz w:val="16"/>
              </w:rPr>
              <w:t xml:space="preserve"> </w:t>
            </w:r>
            <w:r>
              <w:rPr>
                <w:color w:val="231F20"/>
                <w:w w:val="75"/>
                <w:sz w:val="16"/>
              </w:rPr>
              <w:t>for</w:t>
            </w:r>
            <w:r>
              <w:rPr>
                <w:color w:val="231F20"/>
                <w:spacing w:val="-10"/>
                <w:w w:val="75"/>
                <w:sz w:val="16"/>
              </w:rPr>
              <w:t xml:space="preserve"> </w:t>
            </w:r>
            <w:r>
              <w:rPr>
                <w:color w:val="231F20"/>
                <w:w w:val="75"/>
                <w:sz w:val="16"/>
              </w:rPr>
              <w:t>NCD</w:t>
            </w:r>
            <w:r>
              <w:rPr>
                <w:color w:val="231F20"/>
                <w:spacing w:val="-11"/>
                <w:w w:val="75"/>
                <w:sz w:val="16"/>
              </w:rPr>
              <w:t xml:space="preserve"> </w:t>
            </w:r>
            <w:r>
              <w:rPr>
                <w:color w:val="231F20"/>
                <w:w w:val="75"/>
                <w:sz w:val="16"/>
              </w:rPr>
              <w:t xml:space="preserve">prevention </w:t>
            </w:r>
            <w:r>
              <w:rPr>
                <w:color w:val="231F20"/>
                <w:w w:val="85"/>
                <w:sz w:val="16"/>
              </w:rPr>
              <w:t>and</w:t>
            </w:r>
            <w:r>
              <w:rPr>
                <w:color w:val="231F20"/>
                <w:spacing w:val="-7"/>
                <w:w w:val="85"/>
                <w:sz w:val="16"/>
              </w:rPr>
              <w:t xml:space="preserve"> </w:t>
            </w:r>
            <w:r>
              <w:rPr>
                <w:color w:val="231F20"/>
                <w:w w:val="85"/>
                <w:sz w:val="16"/>
              </w:rPr>
              <w:t>control</w:t>
            </w:r>
          </w:p>
        </w:tc>
        <w:tc>
          <w:tcPr>
            <w:tcW w:w="2356" w:type="dxa"/>
            <w:shd w:val="clear" w:color="auto" w:fill="CCE7D3"/>
          </w:tcPr>
          <w:p w14:paraId="18458A50" w14:textId="77777777" w:rsidR="009948F1" w:rsidRDefault="00BC0563">
            <w:pPr>
              <w:pStyle w:val="TableParagraph"/>
              <w:numPr>
                <w:ilvl w:val="0"/>
                <w:numId w:val="135"/>
              </w:numPr>
              <w:tabs>
                <w:tab w:val="left" w:pos="93"/>
              </w:tabs>
              <w:spacing w:before="85" w:line="256" w:lineRule="auto"/>
              <w:ind w:right="151" w:firstLine="0"/>
              <w:rPr>
                <w:sz w:val="16"/>
              </w:rPr>
            </w:pPr>
            <w:r>
              <w:rPr>
                <w:color w:val="231F20"/>
                <w:w w:val="75"/>
                <w:sz w:val="16"/>
              </w:rPr>
              <w:t>Advocacy</w:t>
            </w:r>
            <w:r>
              <w:rPr>
                <w:color w:val="231F20"/>
                <w:spacing w:val="-7"/>
                <w:w w:val="75"/>
                <w:sz w:val="16"/>
              </w:rPr>
              <w:t xml:space="preserve"> </w:t>
            </w:r>
            <w:r>
              <w:rPr>
                <w:color w:val="231F20"/>
                <w:w w:val="75"/>
                <w:sz w:val="16"/>
              </w:rPr>
              <w:t>on</w:t>
            </w:r>
            <w:r>
              <w:rPr>
                <w:color w:val="231F20"/>
                <w:spacing w:val="-6"/>
                <w:w w:val="75"/>
                <w:sz w:val="16"/>
              </w:rPr>
              <w:t xml:space="preserve"> </w:t>
            </w:r>
            <w:r>
              <w:rPr>
                <w:color w:val="231F20"/>
                <w:w w:val="75"/>
                <w:sz w:val="16"/>
              </w:rPr>
              <w:t>NCDs</w:t>
            </w:r>
            <w:r>
              <w:rPr>
                <w:color w:val="231F20"/>
                <w:spacing w:val="-6"/>
                <w:w w:val="75"/>
                <w:sz w:val="16"/>
              </w:rPr>
              <w:t xml:space="preserve"> </w:t>
            </w:r>
            <w:r>
              <w:rPr>
                <w:color w:val="231F20"/>
                <w:w w:val="75"/>
                <w:sz w:val="16"/>
              </w:rPr>
              <w:t>prevention</w:t>
            </w:r>
            <w:r>
              <w:rPr>
                <w:color w:val="231F20"/>
                <w:spacing w:val="-7"/>
                <w:w w:val="75"/>
                <w:sz w:val="16"/>
              </w:rPr>
              <w:t xml:space="preserve"> </w:t>
            </w:r>
            <w:r>
              <w:rPr>
                <w:color w:val="231F20"/>
                <w:w w:val="75"/>
                <w:sz w:val="16"/>
              </w:rPr>
              <w:t>&amp;</w:t>
            </w:r>
            <w:r>
              <w:rPr>
                <w:color w:val="231F20"/>
                <w:spacing w:val="-6"/>
                <w:w w:val="75"/>
                <w:sz w:val="16"/>
              </w:rPr>
              <w:t xml:space="preserve"> </w:t>
            </w:r>
            <w:r>
              <w:rPr>
                <w:color w:val="231F20"/>
                <w:spacing w:val="-4"/>
                <w:w w:val="75"/>
                <w:sz w:val="16"/>
              </w:rPr>
              <w:t xml:space="preserve">control </w:t>
            </w:r>
            <w:r>
              <w:rPr>
                <w:color w:val="231F20"/>
                <w:w w:val="85"/>
                <w:sz w:val="16"/>
              </w:rPr>
              <w:t>done</w:t>
            </w:r>
          </w:p>
          <w:p w14:paraId="3ED7E0A0" w14:textId="77777777" w:rsidR="009948F1" w:rsidRDefault="00BC0563">
            <w:pPr>
              <w:pStyle w:val="TableParagraph"/>
              <w:numPr>
                <w:ilvl w:val="0"/>
                <w:numId w:val="135"/>
              </w:numPr>
              <w:tabs>
                <w:tab w:val="left" w:pos="68"/>
              </w:tabs>
              <w:spacing w:line="256" w:lineRule="auto"/>
              <w:ind w:right="171" w:firstLine="0"/>
              <w:rPr>
                <w:sz w:val="16"/>
              </w:rPr>
            </w:pPr>
            <w:r>
              <w:rPr>
                <w:color w:val="231F20"/>
                <w:w w:val="75"/>
                <w:sz w:val="16"/>
              </w:rPr>
              <w:t>Sensitization</w:t>
            </w:r>
            <w:r>
              <w:rPr>
                <w:color w:val="231F20"/>
                <w:spacing w:val="-7"/>
                <w:w w:val="75"/>
                <w:sz w:val="16"/>
              </w:rPr>
              <w:t xml:space="preserve"> </w:t>
            </w:r>
            <w:r>
              <w:rPr>
                <w:color w:val="231F20"/>
                <w:w w:val="75"/>
                <w:sz w:val="16"/>
              </w:rPr>
              <w:t>on</w:t>
            </w:r>
            <w:r>
              <w:rPr>
                <w:color w:val="231F20"/>
                <w:spacing w:val="-6"/>
                <w:w w:val="75"/>
                <w:sz w:val="16"/>
              </w:rPr>
              <w:t xml:space="preserve"> </w:t>
            </w:r>
            <w:r>
              <w:rPr>
                <w:color w:val="231F20"/>
                <w:w w:val="75"/>
                <w:sz w:val="16"/>
              </w:rPr>
              <w:t>NCDs</w:t>
            </w:r>
            <w:r>
              <w:rPr>
                <w:color w:val="231F20"/>
                <w:spacing w:val="-7"/>
                <w:w w:val="75"/>
                <w:sz w:val="16"/>
              </w:rPr>
              <w:t xml:space="preserve"> </w:t>
            </w:r>
            <w:r>
              <w:rPr>
                <w:color w:val="231F20"/>
                <w:w w:val="75"/>
                <w:sz w:val="16"/>
              </w:rPr>
              <w:t>for</w:t>
            </w:r>
            <w:r>
              <w:rPr>
                <w:color w:val="231F20"/>
                <w:spacing w:val="-6"/>
                <w:w w:val="75"/>
                <w:sz w:val="16"/>
              </w:rPr>
              <w:t xml:space="preserve"> </w:t>
            </w:r>
            <w:r>
              <w:rPr>
                <w:color w:val="231F20"/>
                <w:w w:val="75"/>
                <w:sz w:val="16"/>
              </w:rPr>
              <w:t>all</w:t>
            </w:r>
            <w:r>
              <w:rPr>
                <w:color w:val="231F20"/>
                <w:spacing w:val="-7"/>
                <w:w w:val="75"/>
                <w:sz w:val="16"/>
              </w:rPr>
              <w:t xml:space="preserve"> </w:t>
            </w:r>
            <w:r>
              <w:rPr>
                <w:color w:val="231F20"/>
                <w:w w:val="75"/>
                <w:sz w:val="16"/>
              </w:rPr>
              <w:t>HWs</w:t>
            </w:r>
            <w:r>
              <w:rPr>
                <w:color w:val="231F20"/>
                <w:spacing w:val="-6"/>
                <w:w w:val="75"/>
                <w:sz w:val="16"/>
              </w:rPr>
              <w:t xml:space="preserve"> </w:t>
            </w:r>
            <w:r>
              <w:rPr>
                <w:color w:val="231F20"/>
                <w:w w:val="75"/>
                <w:sz w:val="16"/>
              </w:rPr>
              <w:t>in</w:t>
            </w:r>
            <w:r>
              <w:rPr>
                <w:color w:val="231F20"/>
                <w:spacing w:val="-7"/>
                <w:w w:val="75"/>
                <w:sz w:val="16"/>
              </w:rPr>
              <w:t xml:space="preserve"> </w:t>
            </w:r>
            <w:r>
              <w:rPr>
                <w:color w:val="231F20"/>
                <w:spacing w:val="-5"/>
                <w:w w:val="75"/>
                <w:sz w:val="16"/>
              </w:rPr>
              <w:t xml:space="preserve">the </w:t>
            </w:r>
            <w:r>
              <w:rPr>
                <w:color w:val="231F20"/>
                <w:w w:val="85"/>
                <w:sz w:val="16"/>
              </w:rPr>
              <w:t>state</w:t>
            </w:r>
            <w:r>
              <w:rPr>
                <w:color w:val="231F20"/>
                <w:spacing w:val="-7"/>
                <w:w w:val="85"/>
                <w:sz w:val="16"/>
              </w:rPr>
              <w:t xml:space="preserve"> </w:t>
            </w:r>
            <w:r>
              <w:rPr>
                <w:color w:val="231F20"/>
                <w:w w:val="85"/>
                <w:sz w:val="16"/>
              </w:rPr>
              <w:t>done</w:t>
            </w:r>
          </w:p>
          <w:p w14:paraId="7AD1317D" w14:textId="77777777" w:rsidR="009948F1" w:rsidRDefault="00BC0563">
            <w:pPr>
              <w:pStyle w:val="TableParagraph"/>
              <w:numPr>
                <w:ilvl w:val="0"/>
                <w:numId w:val="135"/>
              </w:numPr>
              <w:tabs>
                <w:tab w:val="left" w:pos="100"/>
              </w:tabs>
              <w:spacing w:line="256" w:lineRule="auto"/>
              <w:ind w:right="303" w:firstLine="0"/>
              <w:rPr>
                <w:sz w:val="16"/>
              </w:rPr>
            </w:pPr>
            <w:r>
              <w:rPr>
                <w:color w:val="231F20"/>
                <w:w w:val="75"/>
                <w:sz w:val="16"/>
              </w:rPr>
              <w:t>World</w:t>
            </w:r>
            <w:r>
              <w:rPr>
                <w:color w:val="231F20"/>
                <w:spacing w:val="-9"/>
                <w:w w:val="75"/>
                <w:sz w:val="16"/>
              </w:rPr>
              <w:t xml:space="preserve"> </w:t>
            </w:r>
            <w:r>
              <w:rPr>
                <w:color w:val="231F20"/>
                <w:w w:val="75"/>
                <w:sz w:val="16"/>
              </w:rPr>
              <w:t>celebration</w:t>
            </w:r>
            <w:r>
              <w:rPr>
                <w:color w:val="231F20"/>
                <w:spacing w:val="-8"/>
                <w:w w:val="75"/>
                <w:sz w:val="16"/>
              </w:rPr>
              <w:t xml:space="preserve"> </w:t>
            </w:r>
            <w:r>
              <w:rPr>
                <w:color w:val="231F20"/>
                <w:w w:val="75"/>
                <w:sz w:val="16"/>
              </w:rPr>
              <w:t>of</w:t>
            </w:r>
            <w:r>
              <w:rPr>
                <w:color w:val="231F20"/>
                <w:spacing w:val="-9"/>
                <w:w w:val="75"/>
                <w:sz w:val="16"/>
              </w:rPr>
              <w:t xml:space="preserve"> </w:t>
            </w:r>
            <w:r>
              <w:rPr>
                <w:color w:val="231F20"/>
                <w:w w:val="75"/>
                <w:sz w:val="16"/>
              </w:rPr>
              <w:t>the</w:t>
            </w:r>
            <w:r>
              <w:rPr>
                <w:color w:val="231F20"/>
                <w:spacing w:val="-8"/>
                <w:w w:val="75"/>
                <w:sz w:val="16"/>
              </w:rPr>
              <w:t xml:space="preserve"> </w:t>
            </w:r>
            <w:r>
              <w:rPr>
                <w:color w:val="231F20"/>
                <w:w w:val="75"/>
                <w:sz w:val="16"/>
              </w:rPr>
              <w:t>various</w:t>
            </w:r>
            <w:r>
              <w:rPr>
                <w:color w:val="231F20"/>
                <w:spacing w:val="-8"/>
                <w:w w:val="75"/>
                <w:sz w:val="16"/>
              </w:rPr>
              <w:t xml:space="preserve"> </w:t>
            </w:r>
            <w:r>
              <w:rPr>
                <w:color w:val="231F20"/>
                <w:spacing w:val="-5"/>
                <w:w w:val="75"/>
                <w:sz w:val="16"/>
              </w:rPr>
              <w:t xml:space="preserve">NCD </w:t>
            </w:r>
            <w:r>
              <w:rPr>
                <w:color w:val="231F20"/>
                <w:w w:val="85"/>
                <w:sz w:val="16"/>
              </w:rPr>
              <w:t>Days</w:t>
            </w:r>
            <w:r>
              <w:rPr>
                <w:color w:val="231F20"/>
                <w:spacing w:val="-9"/>
                <w:w w:val="85"/>
                <w:sz w:val="16"/>
              </w:rPr>
              <w:t xml:space="preserve"> </w:t>
            </w:r>
            <w:r>
              <w:rPr>
                <w:color w:val="231F20"/>
                <w:w w:val="85"/>
                <w:sz w:val="16"/>
              </w:rPr>
              <w:t>observed</w:t>
            </w:r>
          </w:p>
        </w:tc>
        <w:tc>
          <w:tcPr>
            <w:tcW w:w="2890" w:type="dxa"/>
            <w:gridSpan w:val="2"/>
            <w:tcBorders>
              <w:right w:val="single" w:sz="12" w:space="0" w:color="231F20"/>
            </w:tcBorders>
            <w:shd w:val="clear" w:color="auto" w:fill="CCE7D3"/>
          </w:tcPr>
          <w:p w14:paraId="466480AC" w14:textId="77777777" w:rsidR="009948F1" w:rsidRDefault="009948F1">
            <w:pPr>
              <w:pStyle w:val="TableParagraph"/>
              <w:rPr>
                <w:rFonts w:ascii="Times New Roman"/>
                <w:sz w:val="10"/>
              </w:rPr>
            </w:pPr>
          </w:p>
        </w:tc>
      </w:tr>
      <w:tr w:rsidR="009948F1" w14:paraId="472B7CBE" w14:textId="77777777">
        <w:trPr>
          <w:trHeight w:val="575"/>
        </w:trPr>
        <w:tc>
          <w:tcPr>
            <w:tcW w:w="1027" w:type="dxa"/>
            <w:gridSpan w:val="3"/>
            <w:vMerge w:val="restart"/>
            <w:tcBorders>
              <w:top w:val="nil"/>
              <w:bottom w:val="nil"/>
            </w:tcBorders>
          </w:tcPr>
          <w:p w14:paraId="289DC09B" w14:textId="77777777" w:rsidR="009948F1" w:rsidRDefault="009948F1">
            <w:pPr>
              <w:pStyle w:val="TableParagraph"/>
              <w:rPr>
                <w:rFonts w:ascii="Times New Roman"/>
                <w:sz w:val="10"/>
              </w:rPr>
            </w:pPr>
          </w:p>
        </w:tc>
        <w:tc>
          <w:tcPr>
            <w:tcW w:w="519" w:type="dxa"/>
          </w:tcPr>
          <w:p w14:paraId="46F2C310" w14:textId="77777777" w:rsidR="009948F1" w:rsidRDefault="009948F1">
            <w:pPr>
              <w:pStyle w:val="TableParagraph"/>
              <w:spacing w:before="6"/>
              <w:rPr>
                <w:sz w:val="16"/>
              </w:rPr>
            </w:pPr>
          </w:p>
          <w:p w14:paraId="6A3224F6" w14:textId="77777777" w:rsidR="009948F1" w:rsidRDefault="00BC0563">
            <w:pPr>
              <w:pStyle w:val="TableParagraph"/>
              <w:spacing w:before="1"/>
              <w:ind w:left="21" w:right="2"/>
              <w:jc w:val="center"/>
              <w:rPr>
                <w:sz w:val="16"/>
              </w:rPr>
            </w:pPr>
            <w:r>
              <w:rPr>
                <w:color w:val="231F20"/>
                <w:w w:val="80"/>
                <w:sz w:val="16"/>
              </w:rPr>
              <w:t>6.1.2.a</w:t>
            </w:r>
          </w:p>
        </w:tc>
        <w:tc>
          <w:tcPr>
            <w:tcW w:w="4838" w:type="dxa"/>
            <w:gridSpan w:val="2"/>
          </w:tcPr>
          <w:p w14:paraId="20C0DDA4" w14:textId="77777777" w:rsidR="009948F1" w:rsidRDefault="00BC0563">
            <w:pPr>
              <w:pStyle w:val="TableParagraph"/>
              <w:spacing w:before="85" w:line="256" w:lineRule="auto"/>
              <w:ind w:left="24" w:right="308"/>
              <w:rPr>
                <w:sz w:val="16"/>
              </w:rPr>
            </w:pPr>
            <w:r>
              <w:rPr>
                <w:color w:val="231F20"/>
                <w:w w:val="75"/>
                <w:sz w:val="16"/>
              </w:rPr>
              <w:t>Setting</w:t>
            </w:r>
            <w:r>
              <w:rPr>
                <w:color w:val="231F20"/>
                <w:spacing w:val="-9"/>
                <w:w w:val="75"/>
                <w:sz w:val="16"/>
              </w:rPr>
              <w:t xml:space="preserve"> </w:t>
            </w:r>
            <w:r>
              <w:rPr>
                <w:color w:val="231F20"/>
                <w:w w:val="75"/>
                <w:sz w:val="16"/>
              </w:rPr>
              <w:t>up</w:t>
            </w:r>
            <w:r>
              <w:rPr>
                <w:color w:val="231F20"/>
                <w:spacing w:val="-9"/>
                <w:w w:val="75"/>
                <w:sz w:val="16"/>
              </w:rPr>
              <w:t xml:space="preserve"> </w:t>
            </w:r>
            <w:r>
              <w:rPr>
                <w:color w:val="231F20"/>
                <w:w w:val="75"/>
                <w:sz w:val="16"/>
              </w:rPr>
              <w:t>an</w:t>
            </w:r>
            <w:r>
              <w:rPr>
                <w:color w:val="231F20"/>
                <w:spacing w:val="-9"/>
                <w:w w:val="75"/>
                <w:sz w:val="16"/>
              </w:rPr>
              <w:t xml:space="preserve"> </w:t>
            </w:r>
            <w:r>
              <w:rPr>
                <w:color w:val="231F20"/>
                <w:w w:val="75"/>
                <w:sz w:val="16"/>
              </w:rPr>
              <w:t>NCD</w:t>
            </w:r>
            <w:r>
              <w:rPr>
                <w:color w:val="231F20"/>
                <w:spacing w:val="-8"/>
                <w:w w:val="75"/>
                <w:sz w:val="16"/>
              </w:rPr>
              <w:t xml:space="preserve"> </w:t>
            </w:r>
            <w:r>
              <w:rPr>
                <w:color w:val="231F20"/>
                <w:w w:val="75"/>
                <w:sz w:val="16"/>
              </w:rPr>
              <w:t>stirring/Cancer</w:t>
            </w:r>
            <w:r>
              <w:rPr>
                <w:color w:val="231F20"/>
                <w:spacing w:val="-9"/>
                <w:w w:val="75"/>
                <w:sz w:val="16"/>
              </w:rPr>
              <w:t xml:space="preserve"> </w:t>
            </w:r>
            <w:r>
              <w:rPr>
                <w:color w:val="231F20"/>
                <w:w w:val="75"/>
                <w:sz w:val="16"/>
              </w:rPr>
              <w:t>Control</w:t>
            </w:r>
            <w:r>
              <w:rPr>
                <w:color w:val="231F20"/>
                <w:spacing w:val="-9"/>
                <w:w w:val="75"/>
                <w:sz w:val="16"/>
              </w:rPr>
              <w:t xml:space="preserve"> </w:t>
            </w:r>
            <w:r>
              <w:rPr>
                <w:color w:val="231F20"/>
                <w:w w:val="75"/>
                <w:sz w:val="16"/>
              </w:rPr>
              <w:t>committees</w:t>
            </w:r>
            <w:r>
              <w:rPr>
                <w:color w:val="231F20"/>
                <w:spacing w:val="-8"/>
                <w:w w:val="75"/>
                <w:sz w:val="16"/>
              </w:rPr>
              <w:t xml:space="preserve"> </w:t>
            </w:r>
            <w:r>
              <w:rPr>
                <w:color w:val="231F20"/>
                <w:w w:val="75"/>
                <w:sz w:val="16"/>
              </w:rPr>
              <w:t>to</w:t>
            </w:r>
            <w:r>
              <w:rPr>
                <w:color w:val="231F20"/>
                <w:spacing w:val="-9"/>
                <w:w w:val="75"/>
                <w:sz w:val="16"/>
              </w:rPr>
              <w:t xml:space="preserve"> </w:t>
            </w:r>
            <w:r>
              <w:rPr>
                <w:color w:val="231F20"/>
                <w:w w:val="75"/>
                <w:sz w:val="16"/>
              </w:rPr>
              <w:t>carry</w:t>
            </w:r>
            <w:r>
              <w:rPr>
                <w:color w:val="231F20"/>
                <w:spacing w:val="-9"/>
                <w:w w:val="75"/>
                <w:sz w:val="16"/>
              </w:rPr>
              <w:t xml:space="preserve"> </w:t>
            </w:r>
            <w:r>
              <w:rPr>
                <w:color w:val="231F20"/>
                <w:w w:val="75"/>
                <w:sz w:val="16"/>
              </w:rPr>
              <w:t>out</w:t>
            </w:r>
            <w:r>
              <w:rPr>
                <w:color w:val="231F20"/>
                <w:spacing w:val="-9"/>
                <w:w w:val="75"/>
                <w:sz w:val="16"/>
              </w:rPr>
              <w:t xml:space="preserve"> </w:t>
            </w:r>
            <w:r>
              <w:rPr>
                <w:color w:val="231F20"/>
                <w:w w:val="75"/>
                <w:sz w:val="16"/>
              </w:rPr>
              <w:t>advocacy</w:t>
            </w:r>
            <w:r>
              <w:rPr>
                <w:color w:val="231F20"/>
                <w:spacing w:val="-8"/>
                <w:w w:val="75"/>
                <w:sz w:val="16"/>
              </w:rPr>
              <w:t xml:space="preserve"> </w:t>
            </w:r>
            <w:r>
              <w:rPr>
                <w:color w:val="231F20"/>
                <w:w w:val="75"/>
                <w:sz w:val="16"/>
              </w:rPr>
              <w:t>on</w:t>
            </w:r>
            <w:r>
              <w:rPr>
                <w:color w:val="231F20"/>
                <w:spacing w:val="-9"/>
                <w:w w:val="75"/>
                <w:sz w:val="16"/>
              </w:rPr>
              <w:t xml:space="preserve"> </w:t>
            </w:r>
            <w:r>
              <w:rPr>
                <w:color w:val="231F20"/>
                <w:w w:val="75"/>
                <w:sz w:val="16"/>
              </w:rPr>
              <w:t xml:space="preserve">NCDs </w:t>
            </w:r>
            <w:r>
              <w:rPr>
                <w:color w:val="231F20"/>
                <w:w w:val="85"/>
                <w:sz w:val="16"/>
              </w:rPr>
              <w:t>prevention &amp;</w:t>
            </w:r>
            <w:r>
              <w:rPr>
                <w:color w:val="231F20"/>
                <w:spacing w:val="-14"/>
                <w:w w:val="85"/>
                <w:sz w:val="16"/>
              </w:rPr>
              <w:t xml:space="preserve"> </w:t>
            </w:r>
            <w:r>
              <w:rPr>
                <w:color w:val="231F20"/>
                <w:w w:val="85"/>
                <w:sz w:val="16"/>
              </w:rPr>
              <w:t>control</w:t>
            </w:r>
          </w:p>
        </w:tc>
        <w:tc>
          <w:tcPr>
            <w:tcW w:w="1410" w:type="dxa"/>
          </w:tcPr>
          <w:p w14:paraId="2203A21D" w14:textId="77777777" w:rsidR="009948F1" w:rsidRDefault="009948F1">
            <w:pPr>
              <w:pStyle w:val="TableParagraph"/>
              <w:spacing w:before="6"/>
              <w:rPr>
                <w:sz w:val="16"/>
              </w:rPr>
            </w:pPr>
          </w:p>
          <w:p w14:paraId="006EFB98" w14:textId="77777777" w:rsidR="009948F1" w:rsidRDefault="00BC0563">
            <w:pPr>
              <w:pStyle w:val="TableParagraph"/>
              <w:spacing w:before="1"/>
              <w:ind w:left="27"/>
              <w:rPr>
                <w:sz w:val="16"/>
              </w:rPr>
            </w:pPr>
            <w:r>
              <w:rPr>
                <w:color w:val="231F20"/>
                <w:w w:val="85"/>
                <w:sz w:val="16"/>
              </w:rPr>
              <w:t>Lack of funds</w:t>
            </w:r>
          </w:p>
        </w:tc>
        <w:tc>
          <w:tcPr>
            <w:tcW w:w="1480" w:type="dxa"/>
            <w:tcBorders>
              <w:right w:val="single" w:sz="12" w:space="0" w:color="231F20"/>
            </w:tcBorders>
          </w:tcPr>
          <w:p w14:paraId="3CB6AD84" w14:textId="77777777" w:rsidR="009948F1" w:rsidRDefault="00BC0563">
            <w:pPr>
              <w:pStyle w:val="TableParagraph"/>
              <w:spacing w:before="91" w:line="256" w:lineRule="auto"/>
              <w:ind w:left="28"/>
              <w:rPr>
                <w:sz w:val="16"/>
              </w:rPr>
            </w:pPr>
            <w:r>
              <w:rPr>
                <w:color w:val="231F20"/>
                <w:w w:val="75"/>
                <w:sz w:val="16"/>
              </w:rPr>
              <w:t xml:space="preserve">Setting up NCD </w:t>
            </w:r>
            <w:r>
              <w:rPr>
                <w:color w:val="231F20"/>
                <w:w w:val="85"/>
                <w:sz w:val="16"/>
              </w:rPr>
              <w:t>committees</w:t>
            </w:r>
          </w:p>
        </w:tc>
      </w:tr>
      <w:tr w:rsidR="009948F1" w14:paraId="478776C5" w14:textId="77777777">
        <w:trPr>
          <w:trHeight w:val="467"/>
        </w:trPr>
        <w:tc>
          <w:tcPr>
            <w:tcW w:w="1027" w:type="dxa"/>
            <w:gridSpan w:val="3"/>
            <w:vMerge/>
            <w:tcBorders>
              <w:top w:val="nil"/>
              <w:bottom w:val="nil"/>
            </w:tcBorders>
          </w:tcPr>
          <w:p w14:paraId="6A5D5784" w14:textId="77777777" w:rsidR="009948F1" w:rsidRDefault="009948F1">
            <w:pPr>
              <w:rPr>
                <w:sz w:val="2"/>
                <w:szCs w:val="2"/>
              </w:rPr>
            </w:pPr>
          </w:p>
        </w:tc>
        <w:tc>
          <w:tcPr>
            <w:tcW w:w="519" w:type="dxa"/>
          </w:tcPr>
          <w:p w14:paraId="19F362A2" w14:textId="77777777" w:rsidR="009948F1" w:rsidRDefault="00BC0563">
            <w:pPr>
              <w:pStyle w:val="TableParagraph"/>
              <w:spacing w:before="136"/>
              <w:ind w:left="21" w:right="2"/>
              <w:jc w:val="center"/>
              <w:rPr>
                <w:sz w:val="16"/>
              </w:rPr>
            </w:pPr>
            <w:r>
              <w:rPr>
                <w:color w:val="231F20"/>
                <w:w w:val="80"/>
                <w:sz w:val="16"/>
              </w:rPr>
              <w:t>6.1.2.b</w:t>
            </w:r>
          </w:p>
        </w:tc>
        <w:tc>
          <w:tcPr>
            <w:tcW w:w="4838" w:type="dxa"/>
            <w:gridSpan w:val="2"/>
          </w:tcPr>
          <w:p w14:paraId="291BA81C" w14:textId="77777777" w:rsidR="009948F1" w:rsidRDefault="00BC0563">
            <w:pPr>
              <w:pStyle w:val="TableParagraph"/>
              <w:spacing w:before="130"/>
              <w:ind w:left="24"/>
              <w:rPr>
                <w:sz w:val="16"/>
              </w:rPr>
            </w:pPr>
            <w:r>
              <w:rPr>
                <w:color w:val="231F20"/>
                <w:w w:val="85"/>
                <w:sz w:val="16"/>
              </w:rPr>
              <w:t>Conduct sensitization on NCDs for all HWs in the state</w:t>
            </w:r>
          </w:p>
        </w:tc>
        <w:tc>
          <w:tcPr>
            <w:tcW w:w="1410" w:type="dxa"/>
          </w:tcPr>
          <w:p w14:paraId="250D0A0C" w14:textId="77777777" w:rsidR="009948F1" w:rsidRDefault="00BC0563">
            <w:pPr>
              <w:pStyle w:val="TableParagraph"/>
              <w:spacing w:before="136"/>
              <w:ind w:left="27"/>
              <w:rPr>
                <w:sz w:val="16"/>
              </w:rPr>
            </w:pPr>
            <w:r>
              <w:rPr>
                <w:color w:val="231F20"/>
                <w:w w:val="85"/>
                <w:sz w:val="16"/>
              </w:rPr>
              <w:t>Lack of funds</w:t>
            </w:r>
          </w:p>
        </w:tc>
        <w:tc>
          <w:tcPr>
            <w:tcW w:w="1480" w:type="dxa"/>
            <w:tcBorders>
              <w:right w:val="single" w:sz="12" w:space="0" w:color="231F20"/>
            </w:tcBorders>
          </w:tcPr>
          <w:p w14:paraId="004739F7" w14:textId="77777777" w:rsidR="009948F1" w:rsidRDefault="00BC0563">
            <w:pPr>
              <w:pStyle w:val="TableParagraph"/>
              <w:spacing w:before="136"/>
              <w:ind w:left="28"/>
              <w:rPr>
                <w:sz w:val="16"/>
              </w:rPr>
            </w:pPr>
            <w:r>
              <w:rPr>
                <w:color w:val="231F20"/>
                <w:w w:val="85"/>
                <w:sz w:val="16"/>
              </w:rPr>
              <w:t>Conduct sensitization</w:t>
            </w:r>
          </w:p>
        </w:tc>
      </w:tr>
      <w:tr w:rsidR="009948F1" w14:paraId="28F23EF4" w14:textId="77777777">
        <w:trPr>
          <w:trHeight w:val="1010"/>
        </w:trPr>
        <w:tc>
          <w:tcPr>
            <w:tcW w:w="1027" w:type="dxa"/>
            <w:gridSpan w:val="3"/>
            <w:vMerge/>
            <w:tcBorders>
              <w:top w:val="nil"/>
              <w:bottom w:val="nil"/>
            </w:tcBorders>
          </w:tcPr>
          <w:p w14:paraId="32E44CB2" w14:textId="77777777" w:rsidR="009948F1" w:rsidRDefault="009948F1">
            <w:pPr>
              <w:rPr>
                <w:sz w:val="2"/>
                <w:szCs w:val="2"/>
              </w:rPr>
            </w:pPr>
          </w:p>
        </w:tc>
        <w:tc>
          <w:tcPr>
            <w:tcW w:w="519" w:type="dxa"/>
          </w:tcPr>
          <w:p w14:paraId="7B5F0474" w14:textId="77777777" w:rsidR="009948F1" w:rsidRDefault="009948F1">
            <w:pPr>
              <w:pStyle w:val="TableParagraph"/>
              <w:rPr>
                <w:sz w:val="16"/>
              </w:rPr>
            </w:pPr>
          </w:p>
          <w:p w14:paraId="073AD466" w14:textId="77777777" w:rsidR="009948F1" w:rsidRDefault="009948F1">
            <w:pPr>
              <w:pStyle w:val="TableParagraph"/>
              <w:spacing w:before="5"/>
              <w:rPr>
                <w:sz w:val="19"/>
              </w:rPr>
            </w:pPr>
          </w:p>
          <w:p w14:paraId="76F30313" w14:textId="77777777" w:rsidR="009948F1" w:rsidRDefault="00BC0563">
            <w:pPr>
              <w:pStyle w:val="TableParagraph"/>
              <w:spacing w:before="1"/>
              <w:ind w:left="21" w:right="2"/>
              <w:jc w:val="center"/>
              <w:rPr>
                <w:sz w:val="16"/>
              </w:rPr>
            </w:pPr>
            <w:r>
              <w:rPr>
                <w:color w:val="231F20"/>
                <w:w w:val="80"/>
                <w:sz w:val="16"/>
              </w:rPr>
              <w:t>6.1.2.c</w:t>
            </w:r>
          </w:p>
        </w:tc>
        <w:tc>
          <w:tcPr>
            <w:tcW w:w="4838" w:type="dxa"/>
            <w:gridSpan w:val="2"/>
          </w:tcPr>
          <w:p w14:paraId="63C9EEAE" w14:textId="77777777" w:rsidR="009948F1" w:rsidRDefault="00BC0563">
            <w:pPr>
              <w:pStyle w:val="TableParagraph"/>
              <w:spacing w:before="106" w:line="256" w:lineRule="auto"/>
              <w:ind w:left="24" w:right="103"/>
              <w:rPr>
                <w:sz w:val="16"/>
              </w:rPr>
            </w:pPr>
            <w:r>
              <w:rPr>
                <w:color w:val="231F20"/>
                <w:w w:val="75"/>
                <w:sz w:val="16"/>
              </w:rPr>
              <w:t>Observe</w:t>
            </w:r>
            <w:r>
              <w:rPr>
                <w:color w:val="231F20"/>
                <w:spacing w:val="-9"/>
                <w:w w:val="75"/>
                <w:sz w:val="16"/>
              </w:rPr>
              <w:t xml:space="preserve"> </w:t>
            </w:r>
            <w:r>
              <w:rPr>
                <w:color w:val="231F20"/>
                <w:w w:val="75"/>
                <w:sz w:val="16"/>
              </w:rPr>
              <w:t>Global</w:t>
            </w:r>
            <w:r>
              <w:rPr>
                <w:color w:val="231F20"/>
                <w:spacing w:val="-8"/>
                <w:w w:val="75"/>
                <w:sz w:val="16"/>
              </w:rPr>
              <w:t xml:space="preserve"> </w:t>
            </w:r>
            <w:r>
              <w:rPr>
                <w:color w:val="231F20"/>
                <w:w w:val="75"/>
                <w:sz w:val="16"/>
              </w:rPr>
              <w:t>days</w:t>
            </w:r>
            <w:r>
              <w:rPr>
                <w:color w:val="231F20"/>
                <w:spacing w:val="-8"/>
                <w:w w:val="75"/>
                <w:sz w:val="16"/>
              </w:rPr>
              <w:t xml:space="preserve"> </w:t>
            </w:r>
            <w:r>
              <w:rPr>
                <w:color w:val="231F20"/>
                <w:w w:val="75"/>
                <w:sz w:val="16"/>
              </w:rPr>
              <w:t>marked</w:t>
            </w:r>
            <w:r>
              <w:rPr>
                <w:color w:val="231F20"/>
                <w:spacing w:val="-9"/>
                <w:w w:val="75"/>
                <w:sz w:val="16"/>
              </w:rPr>
              <w:t xml:space="preserve"> </w:t>
            </w:r>
            <w:r>
              <w:rPr>
                <w:color w:val="231F20"/>
                <w:w w:val="75"/>
                <w:sz w:val="16"/>
              </w:rPr>
              <w:t>for</w:t>
            </w:r>
            <w:r>
              <w:rPr>
                <w:color w:val="231F20"/>
                <w:spacing w:val="-8"/>
                <w:w w:val="75"/>
                <w:sz w:val="16"/>
              </w:rPr>
              <w:t xml:space="preserve"> </w:t>
            </w:r>
            <w:r>
              <w:rPr>
                <w:color w:val="231F20"/>
                <w:w w:val="75"/>
                <w:sz w:val="16"/>
              </w:rPr>
              <w:t>celebration</w:t>
            </w:r>
            <w:r>
              <w:rPr>
                <w:color w:val="231F20"/>
                <w:spacing w:val="-8"/>
                <w:w w:val="75"/>
                <w:sz w:val="16"/>
              </w:rPr>
              <w:t xml:space="preserve"> </w:t>
            </w:r>
            <w:proofErr w:type="spellStart"/>
            <w:r>
              <w:rPr>
                <w:color w:val="231F20"/>
                <w:w w:val="75"/>
                <w:sz w:val="16"/>
              </w:rPr>
              <w:t>ie</w:t>
            </w:r>
            <w:proofErr w:type="spellEnd"/>
            <w:r>
              <w:rPr>
                <w:color w:val="231F20"/>
                <w:spacing w:val="-8"/>
                <w:w w:val="75"/>
                <w:sz w:val="16"/>
              </w:rPr>
              <w:t xml:space="preserve"> </w:t>
            </w:r>
            <w:r>
              <w:rPr>
                <w:color w:val="231F20"/>
                <w:w w:val="75"/>
                <w:sz w:val="16"/>
              </w:rPr>
              <w:t>World</w:t>
            </w:r>
            <w:r>
              <w:rPr>
                <w:color w:val="231F20"/>
                <w:spacing w:val="-9"/>
                <w:w w:val="75"/>
                <w:sz w:val="16"/>
              </w:rPr>
              <w:t xml:space="preserve"> </w:t>
            </w:r>
            <w:r>
              <w:rPr>
                <w:color w:val="231F20"/>
                <w:w w:val="75"/>
                <w:sz w:val="16"/>
              </w:rPr>
              <w:t>Hypertension</w:t>
            </w:r>
            <w:r>
              <w:rPr>
                <w:color w:val="231F20"/>
                <w:spacing w:val="-8"/>
                <w:w w:val="75"/>
                <w:sz w:val="16"/>
              </w:rPr>
              <w:t xml:space="preserve"> </w:t>
            </w:r>
            <w:r>
              <w:rPr>
                <w:color w:val="231F20"/>
                <w:spacing w:val="-3"/>
                <w:w w:val="75"/>
                <w:sz w:val="16"/>
              </w:rPr>
              <w:t>day,</w:t>
            </w:r>
            <w:r>
              <w:rPr>
                <w:color w:val="231F20"/>
                <w:spacing w:val="-8"/>
                <w:w w:val="75"/>
                <w:sz w:val="16"/>
              </w:rPr>
              <w:t xml:space="preserve"> </w:t>
            </w:r>
            <w:r>
              <w:rPr>
                <w:color w:val="231F20"/>
                <w:w w:val="75"/>
                <w:sz w:val="16"/>
              </w:rPr>
              <w:t>World</w:t>
            </w:r>
            <w:r>
              <w:rPr>
                <w:color w:val="231F20"/>
                <w:spacing w:val="-8"/>
                <w:w w:val="75"/>
                <w:sz w:val="16"/>
              </w:rPr>
              <w:t xml:space="preserve"> </w:t>
            </w:r>
            <w:r>
              <w:rPr>
                <w:color w:val="231F20"/>
                <w:w w:val="75"/>
                <w:sz w:val="16"/>
              </w:rPr>
              <w:t>Heart</w:t>
            </w:r>
            <w:r>
              <w:rPr>
                <w:color w:val="231F20"/>
                <w:spacing w:val="-9"/>
                <w:w w:val="75"/>
                <w:sz w:val="16"/>
              </w:rPr>
              <w:t xml:space="preserve"> </w:t>
            </w:r>
            <w:r>
              <w:rPr>
                <w:color w:val="231F20"/>
                <w:spacing w:val="-3"/>
                <w:w w:val="75"/>
                <w:sz w:val="16"/>
              </w:rPr>
              <w:t xml:space="preserve">Day, </w:t>
            </w:r>
            <w:r>
              <w:rPr>
                <w:color w:val="231F20"/>
                <w:w w:val="80"/>
                <w:sz w:val="16"/>
              </w:rPr>
              <w:t>World</w:t>
            </w:r>
            <w:r>
              <w:rPr>
                <w:color w:val="231F20"/>
                <w:spacing w:val="-25"/>
                <w:w w:val="80"/>
                <w:sz w:val="16"/>
              </w:rPr>
              <w:t xml:space="preserve"> </w:t>
            </w:r>
            <w:r>
              <w:rPr>
                <w:color w:val="231F20"/>
                <w:w w:val="80"/>
                <w:sz w:val="16"/>
              </w:rPr>
              <w:t>Cancer</w:t>
            </w:r>
            <w:r>
              <w:rPr>
                <w:color w:val="231F20"/>
                <w:spacing w:val="-24"/>
                <w:w w:val="80"/>
                <w:sz w:val="16"/>
              </w:rPr>
              <w:t xml:space="preserve"> </w:t>
            </w:r>
            <w:r>
              <w:rPr>
                <w:color w:val="231F20"/>
                <w:spacing w:val="-3"/>
                <w:w w:val="80"/>
                <w:sz w:val="16"/>
              </w:rPr>
              <w:t>Day,</w:t>
            </w:r>
            <w:r>
              <w:rPr>
                <w:color w:val="231F20"/>
                <w:spacing w:val="-24"/>
                <w:w w:val="80"/>
                <w:sz w:val="16"/>
              </w:rPr>
              <w:t xml:space="preserve"> </w:t>
            </w:r>
            <w:r>
              <w:rPr>
                <w:color w:val="231F20"/>
                <w:w w:val="80"/>
                <w:sz w:val="16"/>
              </w:rPr>
              <w:t>World</w:t>
            </w:r>
            <w:r>
              <w:rPr>
                <w:color w:val="231F20"/>
                <w:spacing w:val="-24"/>
                <w:w w:val="80"/>
                <w:sz w:val="16"/>
              </w:rPr>
              <w:t xml:space="preserve"> </w:t>
            </w:r>
            <w:r>
              <w:rPr>
                <w:color w:val="231F20"/>
                <w:w w:val="80"/>
                <w:sz w:val="16"/>
              </w:rPr>
              <w:t>Diabetes</w:t>
            </w:r>
            <w:r>
              <w:rPr>
                <w:color w:val="231F20"/>
                <w:spacing w:val="-25"/>
                <w:w w:val="80"/>
                <w:sz w:val="16"/>
              </w:rPr>
              <w:t xml:space="preserve"> </w:t>
            </w:r>
            <w:r>
              <w:rPr>
                <w:color w:val="231F20"/>
                <w:spacing w:val="-3"/>
                <w:w w:val="80"/>
                <w:sz w:val="16"/>
              </w:rPr>
              <w:t>Day,</w:t>
            </w:r>
            <w:r>
              <w:rPr>
                <w:color w:val="231F20"/>
                <w:spacing w:val="-13"/>
                <w:w w:val="80"/>
                <w:sz w:val="16"/>
              </w:rPr>
              <w:t xml:space="preserve"> </w:t>
            </w:r>
            <w:r>
              <w:rPr>
                <w:color w:val="231F20"/>
                <w:w w:val="80"/>
                <w:sz w:val="16"/>
              </w:rPr>
              <w:t>World</w:t>
            </w:r>
            <w:r>
              <w:rPr>
                <w:color w:val="231F20"/>
                <w:spacing w:val="-24"/>
                <w:w w:val="80"/>
                <w:sz w:val="16"/>
              </w:rPr>
              <w:t xml:space="preserve"> </w:t>
            </w:r>
            <w:r>
              <w:rPr>
                <w:color w:val="231F20"/>
                <w:w w:val="80"/>
                <w:sz w:val="16"/>
              </w:rPr>
              <w:t>NO</w:t>
            </w:r>
            <w:r>
              <w:rPr>
                <w:color w:val="231F20"/>
                <w:spacing w:val="-25"/>
                <w:w w:val="80"/>
                <w:sz w:val="16"/>
              </w:rPr>
              <w:t xml:space="preserve"> </w:t>
            </w:r>
            <w:r>
              <w:rPr>
                <w:color w:val="231F20"/>
                <w:w w:val="80"/>
                <w:sz w:val="16"/>
              </w:rPr>
              <w:t>Tobacco</w:t>
            </w:r>
            <w:r>
              <w:rPr>
                <w:color w:val="231F20"/>
                <w:spacing w:val="-24"/>
                <w:w w:val="80"/>
                <w:sz w:val="16"/>
              </w:rPr>
              <w:t xml:space="preserve"> </w:t>
            </w:r>
            <w:r>
              <w:rPr>
                <w:color w:val="231F20"/>
                <w:spacing w:val="-3"/>
                <w:w w:val="80"/>
                <w:sz w:val="16"/>
              </w:rPr>
              <w:t>Day,</w:t>
            </w:r>
            <w:r>
              <w:rPr>
                <w:color w:val="231F20"/>
                <w:spacing w:val="-24"/>
                <w:w w:val="80"/>
                <w:sz w:val="16"/>
              </w:rPr>
              <w:t xml:space="preserve"> </w:t>
            </w:r>
            <w:r>
              <w:rPr>
                <w:color w:val="231F20"/>
                <w:w w:val="80"/>
                <w:sz w:val="16"/>
              </w:rPr>
              <w:t>World</w:t>
            </w:r>
            <w:r>
              <w:rPr>
                <w:color w:val="231F20"/>
                <w:spacing w:val="-25"/>
                <w:w w:val="80"/>
                <w:sz w:val="16"/>
              </w:rPr>
              <w:t xml:space="preserve"> </w:t>
            </w:r>
            <w:r>
              <w:rPr>
                <w:color w:val="231F20"/>
                <w:w w:val="80"/>
                <w:sz w:val="16"/>
              </w:rPr>
              <w:t>Sickle</w:t>
            </w:r>
            <w:r>
              <w:rPr>
                <w:color w:val="231F20"/>
                <w:spacing w:val="-24"/>
                <w:w w:val="80"/>
                <w:sz w:val="16"/>
              </w:rPr>
              <w:t xml:space="preserve"> </w:t>
            </w:r>
            <w:r>
              <w:rPr>
                <w:color w:val="231F20"/>
                <w:w w:val="80"/>
                <w:sz w:val="16"/>
              </w:rPr>
              <w:t>cell</w:t>
            </w:r>
            <w:r>
              <w:rPr>
                <w:color w:val="231F20"/>
                <w:spacing w:val="-24"/>
                <w:w w:val="80"/>
                <w:sz w:val="16"/>
              </w:rPr>
              <w:t xml:space="preserve"> </w:t>
            </w:r>
            <w:r>
              <w:rPr>
                <w:color w:val="231F20"/>
                <w:spacing w:val="-3"/>
                <w:w w:val="80"/>
                <w:sz w:val="16"/>
              </w:rPr>
              <w:t xml:space="preserve">Day, </w:t>
            </w:r>
            <w:r>
              <w:rPr>
                <w:color w:val="231F20"/>
                <w:w w:val="75"/>
                <w:sz w:val="16"/>
              </w:rPr>
              <w:t>World</w:t>
            </w:r>
            <w:r>
              <w:rPr>
                <w:color w:val="231F20"/>
                <w:spacing w:val="-10"/>
                <w:w w:val="75"/>
                <w:sz w:val="16"/>
              </w:rPr>
              <w:t xml:space="preserve"> </w:t>
            </w:r>
            <w:r>
              <w:rPr>
                <w:color w:val="231F20"/>
                <w:w w:val="75"/>
                <w:sz w:val="16"/>
              </w:rPr>
              <w:t>Breast</w:t>
            </w:r>
            <w:r>
              <w:rPr>
                <w:color w:val="231F20"/>
                <w:spacing w:val="-10"/>
                <w:w w:val="75"/>
                <w:sz w:val="16"/>
              </w:rPr>
              <w:t xml:space="preserve"> </w:t>
            </w:r>
            <w:r>
              <w:rPr>
                <w:color w:val="231F20"/>
                <w:w w:val="75"/>
                <w:sz w:val="16"/>
              </w:rPr>
              <w:t>and</w:t>
            </w:r>
            <w:r>
              <w:rPr>
                <w:color w:val="231F20"/>
                <w:spacing w:val="-9"/>
                <w:w w:val="75"/>
                <w:sz w:val="16"/>
              </w:rPr>
              <w:t xml:space="preserve"> </w:t>
            </w:r>
            <w:r>
              <w:rPr>
                <w:color w:val="231F20"/>
                <w:w w:val="75"/>
                <w:sz w:val="16"/>
              </w:rPr>
              <w:t>Cervical</w:t>
            </w:r>
            <w:r>
              <w:rPr>
                <w:color w:val="231F20"/>
                <w:spacing w:val="-10"/>
                <w:w w:val="75"/>
                <w:sz w:val="16"/>
              </w:rPr>
              <w:t xml:space="preserve"> </w:t>
            </w:r>
            <w:r>
              <w:rPr>
                <w:color w:val="231F20"/>
                <w:w w:val="75"/>
                <w:sz w:val="16"/>
              </w:rPr>
              <w:t>Cancer</w:t>
            </w:r>
            <w:r>
              <w:rPr>
                <w:color w:val="231F20"/>
                <w:spacing w:val="-9"/>
                <w:w w:val="75"/>
                <w:sz w:val="16"/>
              </w:rPr>
              <w:t xml:space="preserve"> </w:t>
            </w:r>
            <w:r>
              <w:rPr>
                <w:color w:val="231F20"/>
                <w:w w:val="75"/>
                <w:sz w:val="16"/>
              </w:rPr>
              <w:t>Month</w:t>
            </w:r>
            <w:r>
              <w:rPr>
                <w:color w:val="231F20"/>
                <w:spacing w:val="-10"/>
                <w:w w:val="75"/>
                <w:sz w:val="16"/>
              </w:rPr>
              <w:t xml:space="preserve"> </w:t>
            </w:r>
            <w:r>
              <w:rPr>
                <w:color w:val="231F20"/>
                <w:w w:val="75"/>
                <w:sz w:val="16"/>
              </w:rPr>
              <w:t>&amp;</w:t>
            </w:r>
            <w:r>
              <w:rPr>
                <w:color w:val="231F20"/>
                <w:spacing w:val="-9"/>
                <w:w w:val="75"/>
                <w:sz w:val="16"/>
              </w:rPr>
              <w:t xml:space="preserve"> </w:t>
            </w:r>
            <w:r>
              <w:rPr>
                <w:color w:val="231F20"/>
                <w:w w:val="75"/>
                <w:sz w:val="16"/>
              </w:rPr>
              <w:t>World</w:t>
            </w:r>
            <w:r>
              <w:rPr>
                <w:color w:val="231F20"/>
                <w:spacing w:val="-10"/>
                <w:w w:val="75"/>
                <w:sz w:val="16"/>
              </w:rPr>
              <w:t xml:space="preserve"> </w:t>
            </w:r>
            <w:r>
              <w:rPr>
                <w:color w:val="231F20"/>
                <w:w w:val="75"/>
                <w:sz w:val="16"/>
              </w:rPr>
              <w:t>Bronchial</w:t>
            </w:r>
            <w:r>
              <w:rPr>
                <w:color w:val="231F20"/>
                <w:spacing w:val="-15"/>
                <w:w w:val="75"/>
                <w:sz w:val="16"/>
              </w:rPr>
              <w:t xml:space="preserve"> </w:t>
            </w:r>
            <w:r>
              <w:rPr>
                <w:color w:val="231F20"/>
                <w:w w:val="75"/>
                <w:sz w:val="16"/>
              </w:rPr>
              <w:t>Asthma</w:t>
            </w:r>
            <w:r>
              <w:rPr>
                <w:color w:val="231F20"/>
                <w:spacing w:val="-9"/>
                <w:w w:val="75"/>
                <w:sz w:val="16"/>
              </w:rPr>
              <w:t xml:space="preserve"> </w:t>
            </w:r>
            <w:r>
              <w:rPr>
                <w:color w:val="231F20"/>
                <w:w w:val="75"/>
                <w:sz w:val="16"/>
              </w:rPr>
              <w:t>Month</w:t>
            </w:r>
            <w:r>
              <w:rPr>
                <w:color w:val="231F20"/>
                <w:spacing w:val="-10"/>
                <w:w w:val="75"/>
                <w:sz w:val="16"/>
              </w:rPr>
              <w:t xml:space="preserve"> </w:t>
            </w:r>
            <w:r>
              <w:rPr>
                <w:color w:val="231F20"/>
                <w:w w:val="75"/>
                <w:sz w:val="16"/>
              </w:rPr>
              <w:t>for</w:t>
            </w:r>
            <w:r>
              <w:rPr>
                <w:color w:val="231F20"/>
                <w:spacing w:val="-9"/>
                <w:w w:val="75"/>
                <w:sz w:val="16"/>
              </w:rPr>
              <w:t xml:space="preserve"> </w:t>
            </w:r>
            <w:r>
              <w:rPr>
                <w:color w:val="231F20"/>
                <w:w w:val="75"/>
                <w:sz w:val="16"/>
              </w:rPr>
              <w:t xml:space="preserve">highlighting </w:t>
            </w:r>
            <w:r>
              <w:rPr>
                <w:color w:val="231F20"/>
                <w:w w:val="85"/>
                <w:sz w:val="16"/>
              </w:rPr>
              <w:t>problem</w:t>
            </w:r>
            <w:r>
              <w:rPr>
                <w:color w:val="231F20"/>
                <w:spacing w:val="-9"/>
                <w:w w:val="85"/>
                <w:sz w:val="16"/>
              </w:rPr>
              <w:t xml:space="preserve"> </w:t>
            </w:r>
            <w:r>
              <w:rPr>
                <w:color w:val="231F20"/>
                <w:w w:val="85"/>
                <w:sz w:val="16"/>
              </w:rPr>
              <w:t>associated</w:t>
            </w:r>
            <w:r>
              <w:rPr>
                <w:color w:val="231F20"/>
                <w:spacing w:val="-9"/>
                <w:w w:val="85"/>
                <w:sz w:val="16"/>
              </w:rPr>
              <w:t xml:space="preserve"> </w:t>
            </w:r>
            <w:r>
              <w:rPr>
                <w:color w:val="231F20"/>
                <w:w w:val="85"/>
                <w:sz w:val="16"/>
              </w:rPr>
              <w:t>with</w:t>
            </w:r>
            <w:r>
              <w:rPr>
                <w:color w:val="231F20"/>
                <w:spacing w:val="-9"/>
                <w:w w:val="85"/>
                <w:sz w:val="16"/>
              </w:rPr>
              <w:t xml:space="preserve"> </w:t>
            </w:r>
            <w:r>
              <w:rPr>
                <w:color w:val="231F20"/>
                <w:w w:val="85"/>
                <w:sz w:val="16"/>
              </w:rPr>
              <w:t>these</w:t>
            </w:r>
            <w:r>
              <w:rPr>
                <w:color w:val="231F20"/>
                <w:spacing w:val="-9"/>
                <w:w w:val="85"/>
                <w:sz w:val="16"/>
              </w:rPr>
              <w:t xml:space="preserve"> </w:t>
            </w:r>
            <w:r>
              <w:rPr>
                <w:color w:val="231F20"/>
                <w:w w:val="85"/>
                <w:sz w:val="16"/>
              </w:rPr>
              <w:t>disease.</w:t>
            </w:r>
          </w:p>
        </w:tc>
        <w:tc>
          <w:tcPr>
            <w:tcW w:w="1410" w:type="dxa"/>
          </w:tcPr>
          <w:p w14:paraId="54D66FF0" w14:textId="77777777" w:rsidR="009948F1" w:rsidRDefault="009948F1">
            <w:pPr>
              <w:pStyle w:val="TableParagraph"/>
              <w:rPr>
                <w:sz w:val="16"/>
              </w:rPr>
            </w:pPr>
          </w:p>
          <w:p w14:paraId="41912527" w14:textId="77777777" w:rsidR="009948F1" w:rsidRDefault="009948F1">
            <w:pPr>
              <w:pStyle w:val="TableParagraph"/>
              <w:spacing w:before="5"/>
              <w:rPr>
                <w:sz w:val="19"/>
              </w:rPr>
            </w:pPr>
          </w:p>
          <w:p w14:paraId="784B1046" w14:textId="77777777" w:rsidR="009948F1" w:rsidRDefault="00BC0563">
            <w:pPr>
              <w:pStyle w:val="TableParagraph"/>
              <w:spacing w:before="1"/>
              <w:ind w:left="27"/>
              <w:rPr>
                <w:sz w:val="16"/>
              </w:rPr>
            </w:pPr>
            <w:r>
              <w:rPr>
                <w:color w:val="231F20"/>
                <w:w w:val="85"/>
                <w:sz w:val="16"/>
              </w:rPr>
              <w:t>Lack of funds</w:t>
            </w:r>
          </w:p>
        </w:tc>
        <w:tc>
          <w:tcPr>
            <w:tcW w:w="1480" w:type="dxa"/>
            <w:tcBorders>
              <w:right w:val="single" w:sz="12" w:space="0" w:color="231F20"/>
            </w:tcBorders>
          </w:tcPr>
          <w:p w14:paraId="72BC35BA" w14:textId="77777777" w:rsidR="009948F1" w:rsidRDefault="009948F1">
            <w:pPr>
              <w:pStyle w:val="TableParagraph"/>
              <w:rPr>
                <w:sz w:val="16"/>
              </w:rPr>
            </w:pPr>
          </w:p>
          <w:p w14:paraId="39661AC7" w14:textId="77777777" w:rsidR="009948F1" w:rsidRDefault="009948F1">
            <w:pPr>
              <w:pStyle w:val="TableParagraph"/>
              <w:spacing w:before="5"/>
              <w:rPr>
                <w:sz w:val="19"/>
              </w:rPr>
            </w:pPr>
          </w:p>
          <w:p w14:paraId="1D1E2806" w14:textId="77777777" w:rsidR="009948F1" w:rsidRDefault="00BC0563">
            <w:pPr>
              <w:pStyle w:val="TableParagraph"/>
              <w:spacing w:before="1"/>
              <w:ind w:left="28"/>
              <w:rPr>
                <w:sz w:val="16"/>
              </w:rPr>
            </w:pPr>
            <w:r>
              <w:rPr>
                <w:color w:val="231F20"/>
                <w:w w:val="85"/>
                <w:sz w:val="16"/>
              </w:rPr>
              <w:t>Observe Global days</w:t>
            </w:r>
          </w:p>
        </w:tc>
      </w:tr>
      <w:tr w:rsidR="009948F1" w14:paraId="4B5870D2" w14:textId="77777777">
        <w:trPr>
          <w:trHeight w:val="1657"/>
        </w:trPr>
        <w:tc>
          <w:tcPr>
            <w:tcW w:w="578" w:type="dxa"/>
            <w:gridSpan w:val="2"/>
            <w:tcBorders>
              <w:top w:val="nil"/>
              <w:bottom w:val="nil"/>
            </w:tcBorders>
          </w:tcPr>
          <w:p w14:paraId="7065E922" w14:textId="77777777" w:rsidR="009948F1" w:rsidRDefault="009948F1">
            <w:pPr>
              <w:pStyle w:val="TableParagraph"/>
              <w:rPr>
                <w:rFonts w:ascii="Times New Roman"/>
                <w:sz w:val="10"/>
              </w:rPr>
            </w:pPr>
          </w:p>
        </w:tc>
        <w:tc>
          <w:tcPr>
            <w:tcW w:w="449" w:type="dxa"/>
            <w:shd w:val="clear" w:color="auto" w:fill="CCE7D3"/>
          </w:tcPr>
          <w:p w14:paraId="10ADBD08" w14:textId="77777777" w:rsidR="009948F1" w:rsidRDefault="009948F1">
            <w:pPr>
              <w:pStyle w:val="TableParagraph"/>
              <w:rPr>
                <w:sz w:val="16"/>
              </w:rPr>
            </w:pPr>
          </w:p>
          <w:p w14:paraId="7439A329" w14:textId="77777777" w:rsidR="009948F1" w:rsidRDefault="009948F1">
            <w:pPr>
              <w:pStyle w:val="TableParagraph"/>
              <w:rPr>
                <w:sz w:val="16"/>
              </w:rPr>
            </w:pPr>
          </w:p>
          <w:p w14:paraId="62355221" w14:textId="77777777" w:rsidR="009948F1" w:rsidRDefault="009948F1">
            <w:pPr>
              <w:pStyle w:val="TableParagraph"/>
              <w:rPr>
                <w:sz w:val="16"/>
              </w:rPr>
            </w:pPr>
          </w:p>
          <w:p w14:paraId="329CAE1B" w14:textId="77777777" w:rsidR="009948F1" w:rsidRDefault="009948F1">
            <w:pPr>
              <w:pStyle w:val="TableParagraph"/>
              <w:spacing w:before="6"/>
              <w:rPr>
                <w:sz w:val="15"/>
              </w:rPr>
            </w:pPr>
          </w:p>
          <w:p w14:paraId="3FD00DC9" w14:textId="77777777" w:rsidR="009948F1" w:rsidRDefault="00BC0563">
            <w:pPr>
              <w:pStyle w:val="TableParagraph"/>
              <w:spacing w:before="1"/>
              <w:ind w:left="55"/>
              <w:rPr>
                <w:sz w:val="16"/>
              </w:rPr>
            </w:pPr>
            <w:r>
              <w:rPr>
                <w:color w:val="231F20"/>
                <w:w w:val="85"/>
                <w:sz w:val="16"/>
              </w:rPr>
              <w:t>6.1.3</w:t>
            </w:r>
          </w:p>
        </w:tc>
        <w:tc>
          <w:tcPr>
            <w:tcW w:w="3001" w:type="dxa"/>
            <w:gridSpan w:val="2"/>
            <w:shd w:val="clear" w:color="auto" w:fill="CCE7D3"/>
          </w:tcPr>
          <w:p w14:paraId="2BADB8E7" w14:textId="77777777" w:rsidR="009948F1" w:rsidRDefault="009948F1">
            <w:pPr>
              <w:pStyle w:val="TableParagraph"/>
              <w:rPr>
                <w:sz w:val="16"/>
              </w:rPr>
            </w:pPr>
          </w:p>
          <w:p w14:paraId="429B4A70" w14:textId="77777777" w:rsidR="009948F1" w:rsidRDefault="009948F1">
            <w:pPr>
              <w:pStyle w:val="TableParagraph"/>
              <w:rPr>
                <w:sz w:val="16"/>
              </w:rPr>
            </w:pPr>
          </w:p>
          <w:p w14:paraId="5A838054" w14:textId="77777777" w:rsidR="009948F1" w:rsidRDefault="009948F1">
            <w:pPr>
              <w:pStyle w:val="TableParagraph"/>
              <w:spacing w:before="6"/>
            </w:pPr>
          </w:p>
          <w:p w14:paraId="01DF07F6" w14:textId="77777777" w:rsidR="009948F1" w:rsidRDefault="00BC0563">
            <w:pPr>
              <w:pStyle w:val="TableParagraph"/>
              <w:spacing w:line="256" w:lineRule="auto"/>
              <w:ind w:left="23" w:right="382" w:firstLine="32"/>
              <w:rPr>
                <w:sz w:val="16"/>
              </w:rPr>
            </w:pPr>
            <w:r>
              <w:rPr>
                <w:color w:val="231F20"/>
                <w:w w:val="75"/>
                <w:sz w:val="16"/>
              </w:rPr>
              <w:t xml:space="preserve">Promote healthy lifestyles and behaviors for the </w:t>
            </w:r>
            <w:r>
              <w:rPr>
                <w:color w:val="231F20"/>
                <w:w w:val="85"/>
                <w:sz w:val="16"/>
              </w:rPr>
              <w:t>prevention of NCDs</w:t>
            </w:r>
          </w:p>
        </w:tc>
        <w:tc>
          <w:tcPr>
            <w:tcW w:w="2356" w:type="dxa"/>
            <w:shd w:val="clear" w:color="auto" w:fill="CCE7D3"/>
          </w:tcPr>
          <w:p w14:paraId="64411BFE" w14:textId="77777777" w:rsidR="009948F1" w:rsidRDefault="00BC0563">
            <w:pPr>
              <w:pStyle w:val="TableParagraph"/>
              <w:numPr>
                <w:ilvl w:val="0"/>
                <w:numId w:val="134"/>
              </w:numPr>
              <w:tabs>
                <w:tab w:val="left" w:pos="100"/>
              </w:tabs>
              <w:spacing w:before="43" w:line="256" w:lineRule="auto"/>
              <w:ind w:right="34" w:firstLine="0"/>
              <w:rPr>
                <w:sz w:val="16"/>
              </w:rPr>
            </w:pPr>
            <w:r>
              <w:rPr>
                <w:color w:val="231F20"/>
                <w:w w:val="75"/>
                <w:sz w:val="16"/>
              </w:rPr>
              <w:t>Public</w:t>
            </w:r>
            <w:r>
              <w:rPr>
                <w:color w:val="231F20"/>
                <w:spacing w:val="-9"/>
                <w:w w:val="75"/>
                <w:sz w:val="16"/>
              </w:rPr>
              <w:t xml:space="preserve"> </w:t>
            </w:r>
            <w:r>
              <w:rPr>
                <w:color w:val="231F20"/>
                <w:w w:val="75"/>
                <w:sz w:val="16"/>
              </w:rPr>
              <w:t>awareness</w:t>
            </w:r>
            <w:r>
              <w:rPr>
                <w:color w:val="231F20"/>
                <w:spacing w:val="-8"/>
                <w:w w:val="75"/>
                <w:sz w:val="16"/>
              </w:rPr>
              <w:t xml:space="preserve"> </w:t>
            </w:r>
            <w:proofErr w:type="spellStart"/>
            <w:r>
              <w:rPr>
                <w:color w:val="231F20"/>
                <w:w w:val="75"/>
                <w:sz w:val="16"/>
              </w:rPr>
              <w:t>programmes</w:t>
            </w:r>
            <w:proofErr w:type="spellEnd"/>
            <w:r>
              <w:rPr>
                <w:color w:val="231F20"/>
                <w:spacing w:val="-9"/>
                <w:w w:val="75"/>
                <w:sz w:val="16"/>
              </w:rPr>
              <w:t xml:space="preserve"> </w:t>
            </w:r>
            <w:r>
              <w:rPr>
                <w:color w:val="231F20"/>
                <w:w w:val="75"/>
                <w:sz w:val="16"/>
              </w:rPr>
              <w:t>to</w:t>
            </w:r>
            <w:r>
              <w:rPr>
                <w:color w:val="231F20"/>
                <w:spacing w:val="-8"/>
                <w:w w:val="75"/>
                <w:sz w:val="16"/>
              </w:rPr>
              <w:t xml:space="preserve"> </w:t>
            </w:r>
            <w:r>
              <w:rPr>
                <w:color w:val="231F20"/>
                <w:spacing w:val="-4"/>
                <w:w w:val="75"/>
                <w:sz w:val="16"/>
              </w:rPr>
              <w:t xml:space="preserve">promote </w:t>
            </w:r>
            <w:r>
              <w:rPr>
                <w:color w:val="231F20"/>
                <w:w w:val="80"/>
                <w:sz w:val="16"/>
              </w:rPr>
              <w:t xml:space="preserve">healthy lifestyles and increase physical </w:t>
            </w:r>
            <w:r>
              <w:rPr>
                <w:color w:val="231F20"/>
                <w:w w:val="85"/>
                <w:sz w:val="16"/>
              </w:rPr>
              <w:t>activities</w:t>
            </w:r>
            <w:r>
              <w:rPr>
                <w:color w:val="231F20"/>
                <w:spacing w:val="-10"/>
                <w:w w:val="85"/>
                <w:sz w:val="16"/>
              </w:rPr>
              <w:t xml:space="preserve"> </w:t>
            </w:r>
            <w:r>
              <w:rPr>
                <w:color w:val="231F20"/>
                <w:w w:val="85"/>
                <w:sz w:val="16"/>
              </w:rPr>
              <w:t>established</w:t>
            </w:r>
          </w:p>
          <w:p w14:paraId="30DBBEE3" w14:textId="77777777" w:rsidR="009948F1" w:rsidRDefault="00BC0563">
            <w:pPr>
              <w:pStyle w:val="TableParagraph"/>
              <w:numPr>
                <w:ilvl w:val="0"/>
                <w:numId w:val="134"/>
              </w:numPr>
              <w:tabs>
                <w:tab w:val="left" w:pos="68"/>
              </w:tabs>
              <w:spacing w:line="256" w:lineRule="auto"/>
              <w:ind w:right="27" w:firstLine="0"/>
              <w:rPr>
                <w:sz w:val="16"/>
              </w:rPr>
            </w:pPr>
            <w:r>
              <w:rPr>
                <w:color w:val="231F20"/>
                <w:w w:val="75"/>
                <w:sz w:val="16"/>
              </w:rPr>
              <w:t>Screening</w:t>
            </w:r>
            <w:r>
              <w:rPr>
                <w:color w:val="231F20"/>
                <w:spacing w:val="-10"/>
                <w:w w:val="75"/>
                <w:sz w:val="16"/>
              </w:rPr>
              <w:t xml:space="preserve"> </w:t>
            </w:r>
            <w:proofErr w:type="spellStart"/>
            <w:r>
              <w:rPr>
                <w:color w:val="231F20"/>
                <w:w w:val="75"/>
                <w:sz w:val="16"/>
              </w:rPr>
              <w:t>programmes</w:t>
            </w:r>
            <w:proofErr w:type="spellEnd"/>
            <w:r>
              <w:rPr>
                <w:color w:val="231F20"/>
                <w:spacing w:val="-9"/>
                <w:w w:val="75"/>
                <w:sz w:val="16"/>
              </w:rPr>
              <w:t xml:space="preserve"> </w:t>
            </w:r>
            <w:r>
              <w:rPr>
                <w:color w:val="231F20"/>
                <w:w w:val="75"/>
                <w:sz w:val="16"/>
              </w:rPr>
              <w:t>for</w:t>
            </w:r>
            <w:r>
              <w:rPr>
                <w:color w:val="231F20"/>
                <w:spacing w:val="-9"/>
                <w:w w:val="75"/>
                <w:sz w:val="16"/>
              </w:rPr>
              <w:t xml:space="preserve"> </w:t>
            </w:r>
            <w:r>
              <w:rPr>
                <w:color w:val="231F20"/>
                <w:w w:val="75"/>
                <w:sz w:val="16"/>
              </w:rPr>
              <w:t>clinical</w:t>
            </w:r>
            <w:r>
              <w:rPr>
                <w:color w:val="231F20"/>
                <w:spacing w:val="-9"/>
                <w:w w:val="75"/>
                <w:sz w:val="16"/>
              </w:rPr>
              <w:t xml:space="preserve"> </w:t>
            </w:r>
            <w:r>
              <w:rPr>
                <w:color w:val="231F20"/>
                <w:w w:val="75"/>
                <w:sz w:val="16"/>
              </w:rPr>
              <w:t>breast</w:t>
            </w:r>
            <w:r>
              <w:rPr>
                <w:color w:val="231F20"/>
                <w:spacing w:val="-9"/>
                <w:w w:val="75"/>
                <w:sz w:val="16"/>
              </w:rPr>
              <w:t xml:space="preserve"> </w:t>
            </w:r>
            <w:r>
              <w:rPr>
                <w:color w:val="231F20"/>
                <w:spacing w:val="-16"/>
                <w:w w:val="75"/>
                <w:sz w:val="16"/>
              </w:rPr>
              <w:t xml:space="preserve">&amp; </w:t>
            </w:r>
            <w:r>
              <w:rPr>
                <w:color w:val="231F20"/>
                <w:spacing w:val="-3"/>
                <w:w w:val="85"/>
                <w:sz w:val="16"/>
              </w:rPr>
              <w:t xml:space="preserve">PAP </w:t>
            </w:r>
            <w:r>
              <w:rPr>
                <w:color w:val="231F20"/>
                <w:w w:val="85"/>
                <w:sz w:val="16"/>
              </w:rPr>
              <w:t>examination</w:t>
            </w:r>
            <w:r>
              <w:rPr>
                <w:color w:val="231F20"/>
                <w:spacing w:val="-20"/>
                <w:w w:val="85"/>
                <w:sz w:val="16"/>
              </w:rPr>
              <w:t xml:space="preserve"> </w:t>
            </w:r>
            <w:r>
              <w:rPr>
                <w:color w:val="231F20"/>
                <w:w w:val="85"/>
                <w:sz w:val="16"/>
              </w:rPr>
              <w:t>done</w:t>
            </w:r>
          </w:p>
          <w:p w14:paraId="7936CC40" w14:textId="77777777" w:rsidR="009948F1" w:rsidRDefault="00BC0563">
            <w:pPr>
              <w:pStyle w:val="TableParagraph"/>
              <w:numPr>
                <w:ilvl w:val="0"/>
                <w:numId w:val="134"/>
              </w:numPr>
              <w:tabs>
                <w:tab w:val="left" w:pos="93"/>
              </w:tabs>
              <w:spacing w:line="184" w:lineRule="exact"/>
              <w:ind w:left="92" w:hanging="68"/>
              <w:rPr>
                <w:sz w:val="16"/>
              </w:rPr>
            </w:pPr>
            <w:r>
              <w:rPr>
                <w:color w:val="231F20"/>
                <w:w w:val="85"/>
                <w:sz w:val="16"/>
              </w:rPr>
              <w:t>Approved</w:t>
            </w:r>
            <w:r>
              <w:rPr>
                <w:color w:val="231F20"/>
                <w:spacing w:val="-24"/>
                <w:w w:val="85"/>
                <w:sz w:val="16"/>
              </w:rPr>
              <w:t xml:space="preserve"> </w:t>
            </w:r>
            <w:r>
              <w:rPr>
                <w:color w:val="231F20"/>
                <w:w w:val="85"/>
                <w:sz w:val="16"/>
              </w:rPr>
              <w:t>health</w:t>
            </w:r>
            <w:r>
              <w:rPr>
                <w:color w:val="231F20"/>
                <w:spacing w:val="-23"/>
                <w:w w:val="85"/>
                <w:sz w:val="16"/>
              </w:rPr>
              <w:t xml:space="preserve"> </w:t>
            </w:r>
            <w:r>
              <w:rPr>
                <w:color w:val="231F20"/>
                <w:w w:val="85"/>
                <w:sz w:val="16"/>
              </w:rPr>
              <w:t>posters</w:t>
            </w:r>
            <w:r>
              <w:rPr>
                <w:color w:val="231F20"/>
                <w:spacing w:val="-24"/>
                <w:w w:val="85"/>
                <w:sz w:val="16"/>
              </w:rPr>
              <w:t xml:space="preserve"> </w:t>
            </w:r>
            <w:r>
              <w:rPr>
                <w:color w:val="231F20"/>
                <w:w w:val="85"/>
                <w:sz w:val="16"/>
              </w:rPr>
              <w:t>distributed</w:t>
            </w:r>
          </w:p>
          <w:p w14:paraId="46469F85" w14:textId="77777777" w:rsidR="009948F1" w:rsidRDefault="00BC0563">
            <w:pPr>
              <w:pStyle w:val="TableParagraph"/>
              <w:numPr>
                <w:ilvl w:val="0"/>
                <w:numId w:val="134"/>
              </w:numPr>
              <w:tabs>
                <w:tab w:val="left" w:pos="100"/>
              </w:tabs>
              <w:spacing w:before="13" w:line="256" w:lineRule="auto"/>
              <w:ind w:right="99" w:firstLine="0"/>
              <w:rPr>
                <w:sz w:val="16"/>
              </w:rPr>
            </w:pPr>
            <w:proofErr w:type="spellStart"/>
            <w:r>
              <w:rPr>
                <w:color w:val="231F20"/>
                <w:w w:val="75"/>
                <w:sz w:val="16"/>
              </w:rPr>
              <w:t>Programmes</w:t>
            </w:r>
            <w:proofErr w:type="spellEnd"/>
            <w:r>
              <w:rPr>
                <w:color w:val="231F20"/>
                <w:spacing w:val="-8"/>
                <w:w w:val="75"/>
                <w:sz w:val="16"/>
              </w:rPr>
              <w:t xml:space="preserve"> </w:t>
            </w:r>
            <w:r>
              <w:rPr>
                <w:color w:val="231F20"/>
                <w:w w:val="75"/>
                <w:sz w:val="16"/>
              </w:rPr>
              <w:t>to</w:t>
            </w:r>
            <w:r>
              <w:rPr>
                <w:color w:val="231F20"/>
                <w:spacing w:val="-8"/>
                <w:w w:val="75"/>
                <w:sz w:val="16"/>
              </w:rPr>
              <w:t xml:space="preserve"> </w:t>
            </w:r>
            <w:r>
              <w:rPr>
                <w:color w:val="231F20"/>
                <w:w w:val="75"/>
                <w:sz w:val="16"/>
              </w:rPr>
              <w:t>address</w:t>
            </w:r>
            <w:r>
              <w:rPr>
                <w:color w:val="231F20"/>
                <w:spacing w:val="-8"/>
                <w:w w:val="75"/>
                <w:sz w:val="16"/>
              </w:rPr>
              <w:t xml:space="preserve"> </w:t>
            </w:r>
            <w:r>
              <w:rPr>
                <w:color w:val="231F20"/>
                <w:w w:val="75"/>
                <w:sz w:val="16"/>
              </w:rPr>
              <w:t>NCD</w:t>
            </w:r>
            <w:r>
              <w:rPr>
                <w:color w:val="231F20"/>
                <w:spacing w:val="-7"/>
                <w:w w:val="75"/>
                <w:sz w:val="16"/>
              </w:rPr>
              <w:t xml:space="preserve"> </w:t>
            </w:r>
            <w:r>
              <w:rPr>
                <w:color w:val="231F20"/>
                <w:w w:val="75"/>
                <w:sz w:val="16"/>
              </w:rPr>
              <w:t>risk</w:t>
            </w:r>
            <w:r>
              <w:rPr>
                <w:color w:val="231F20"/>
                <w:spacing w:val="-8"/>
                <w:w w:val="75"/>
                <w:sz w:val="16"/>
              </w:rPr>
              <w:t xml:space="preserve"> </w:t>
            </w:r>
            <w:r>
              <w:rPr>
                <w:color w:val="231F20"/>
                <w:spacing w:val="-3"/>
                <w:w w:val="75"/>
                <w:sz w:val="16"/>
              </w:rPr>
              <w:t xml:space="preserve">factors </w:t>
            </w:r>
            <w:r>
              <w:rPr>
                <w:color w:val="231F20"/>
                <w:w w:val="85"/>
                <w:sz w:val="16"/>
              </w:rPr>
              <w:t>established</w:t>
            </w:r>
          </w:p>
        </w:tc>
        <w:tc>
          <w:tcPr>
            <w:tcW w:w="1410" w:type="dxa"/>
            <w:shd w:val="clear" w:color="auto" w:fill="CCE7D3"/>
          </w:tcPr>
          <w:p w14:paraId="1E629D4A" w14:textId="77777777" w:rsidR="009948F1" w:rsidRDefault="009948F1">
            <w:pPr>
              <w:pStyle w:val="TableParagraph"/>
              <w:rPr>
                <w:rFonts w:ascii="Times New Roman"/>
                <w:sz w:val="10"/>
              </w:rPr>
            </w:pPr>
          </w:p>
        </w:tc>
        <w:tc>
          <w:tcPr>
            <w:tcW w:w="1480" w:type="dxa"/>
            <w:tcBorders>
              <w:right w:val="single" w:sz="12" w:space="0" w:color="231F20"/>
            </w:tcBorders>
            <w:shd w:val="clear" w:color="auto" w:fill="CCE7D3"/>
          </w:tcPr>
          <w:p w14:paraId="4838EFE8" w14:textId="77777777" w:rsidR="009948F1" w:rsidRDefault="009948F1">
            <w:pPr>
              <w:pStyle w:val="TableParagraph"/>
              <w:rPr>
                <w:rFonts w:ascii="Times New Roman"/>
                <w:sz w:val="10"/>
              </w:rPr>
            </w:pPr>
          </w:p>
        </w:tc>
      </w:tr>
      <w:tr w:rsidR="009948F1" w14:paraId="236F79BB" w14:textId="77777777">
        <w:trPr>
          <w:trHeight w:val="543"/>
        </w:trPr>
        <w:tc>
          <w:tcPr>
            <w:tcW w:w="1027" w:type="dxa"/>
            <w:gridSpan w:val="3"/>
            <w:vMerge w:val="restart"/>
            <w:tcBorders>
              <w:top w:val="nil"/>
              <w:bottom w:val="single" w:sz="8" w:space="0" w:color="231F20"/>
            </w:tcBorders>
          </w:tcPr>
          <w:p w14:paraId="1AED0474" w14:textId="77777777" w:rsidR="009948F1" w:rsidRDefault="009948F1">
            <w:pPr>
              <w:pStyle w:val="TableParagraph"/>
              <w:rPr>
                <w:rFonts w:ascii="Times New Roman"/>
                <w:sz w:val="10"/>
              </w:rPr>
            </w:pPr>
          </w:p>
        </w:tc>
        <w:tc>
          <w:tcPr>
            <w:tcW w:w="519" w:type="dxa"/>
          </w:tcPr>
          <w:p w14:paraId="11D099A7" w14:textId="77777777" w:rsidR="009948F1" w:rsidRDefault="009948F1">
            <w:pPr>
              <w:pStyle w:val="TableParagraph"/>
              <w:spacing w:before="3"/>
              <w:rPr>
                <w:sz w:val="15"/>
              </w:rPr>
            </w:pPr>
          </w:p>
          <w:p w14:paraId="0AA36866" w14:textId="77777777" w:rsidR="009948F1" w:rsidRDefault="00BC0563">
            <w:pPr>
              <w:pStyle w:val="TableParagraph"/>
              <w:spacing w:before="1"/>
              <w:ind w:left="21" w:right="2"/>
              <w:jc w:val="center"/>
              <w:rPr>
                <w:sz w:val="16"/>
              </w:rPr>
            </w:pPr>
            <w:r>
              <w:rPr>
                <w:color w:val="231F20"/>
                <w:w w:val="80"/>
                <w:sz w:val="16"/>
              </w:rPr>
              <w:t>6.1.3.a</w:t>
            </w:r>
          </w:p>
        </w:tc>
        <w:tc>
          <w:tcPr>
            <w:tcW w:w="4838" w:type="dxa"/>
            <w:gridSpan w:val="2"/>
            <w:tcBorders>
              <w:right w:val="single" w:sz="8" w:space="0" w:color="231F20"/>
            </w:tcBorders>
          </w:tcPr>
          <w:p w14:paraId="39E8C488" w14:textId="77777777" w:rsidR="009948F1" w:rsidRDefault="00BC0563">
            <w:pPr>
              <w:pStyle w:val="TableParagraph"/>
              <w:spacing w:before="71" w:line="256" w:lineRule="auto"/>
              <w:ind w:left="24" w:right="31"/>
              <w:rPr>
                <w:sz w:val="16"/>
              </w:rPr>
            </w:pPr>
            <w:r>
              <w:rPr>
                <w:color w:val="231F20"/>
                <w:w w:val="75"/>
                <w:sz w:val="16"/>
              </w:rPr>
              <w:t>Establish</w:t>
            </w:r>
            <w:r>
              <w:rPr>
                <w:color w:val="231F20"/>
                <w:spacing w:val="-12"/>
                <w:w w:val="75"/>
                <w:sz w:val="16"/>
              </w:rPr>
              <w:t xml:space="preserve"> </w:t>
            </w:r>
            <w:r>
              <w:rPr>
                <w:color w:val="231F20"/>
                <w:w w:val="75"/>
                <w:sz w:val="16"/>
              </w:rPr>
              <w:t>public</w:t>
            </w:r>
            <w:r>
              <w:rPr>
                <w:color w:val="231F20"/>
                <w:spacing w:val="-12"/>
                <w:w w:val="75"/>
                <w:sz w:val="16"/>
              </w:rPr>
              <w:t xml:space="preserve"> </w:t>
            </w:r>
            <w:r>
              <w:rPr>
                <w:color w:val="231F20"/>
                <w:w w:val="75"/>
                <w:sz w:val="16"/>
              </w:rPr>
              <w:t>awareness</w:t>
            </w:r>
            <w:r>
              <w:rPr>
                <w:color w:val="231F20"/>
                <w:spacing w:val="-11"/>
                <w:w w:val="75"/>
                <w:sz w:val="16"/>
              </w:rPr>
              <w:t xml:space="preserve"> </w:t>
            </w:r>
            <w:proofErr w:type="spellStart"/>
            <w:r>
              <w:rPr>
                <w:color w:val="231F20"/>
                <w:w w:val="75"/>
                <w:sz w:val="16"/>
              </w:rPr>
              <w:t>programmes</w:t>
            </w:r>
            <w:proofErr w:type="spellEnd"/>
            <w:r>
              <w:rPr>
                <w:color w:val="231F20"/>
                <w:spacing w:val="-12"/>
                <w:w w:val="75"/>
                <w:sz w:val="16"/>
              </w:rPr>
              <w:t xml:space="preserve"> </w:t>
            </w:r>
            <w:r>
              <w:rPr>
                <w:color w:val="231F20"/>
                <w:w w:val="75"/>
                <w:sz w:val="16"/>
              </w:rPr>
              <w:t>to</w:t>
            </w:r>
            <w:r>
              <w:rPr>
                <w:color w:val="231F20"/>
                <w:spacing w:val="-12"/>
                <w:w w:val="75"/>
                <w:sz w:val="16"/>
              </w:rPr>
              <w:t xml:space="preserve"> </w:t>
            </w:r>
            <w:r>
              <w:rPr>
                <w:color w:val="231F20"/>
                <w:w w:val="75"/>
                <w:sz w:val="16"/>
              </w:rPr>
              <w:t>promote</w:t>
            </w:r>
            <w:r>
              <w:rPr>
                <w:color w:val="231F20"/>
                <w:spacing w:val="-11"/>
                <w:w w:val="75"/>
                <w:sz w:val="16"/>
              </w:rPr>
              <w:t xml:space="preserve"> </w:t>
            </w:r>
            <w:r>
              <w:rPr>
                <w:color w:val="231F20"/>
                <w:w w:val="75"/>
                <w:sz w:val="16"/>
              </w:rPr>
              <w:t>healthy</w:t>
            </w:r>
            <w:r>
              <w:rPr>
                <w:color w:val="231F20"/>
                <w:spacing w:val="-12"/>
                <w:w w:val="75"/>
                <w:sz w:val="16"/>
              </w:rPr>
              <w:t xml:space="preserve"> </w:t>
            </w:r>
            <w:r>
              <w:rPr>
                <w:color w:val="231F20"/>
                <w:w w:val="75"/>
                <w:sz w:val="16"/>
              </w:rPr>
              <w:t>lifestyles</w:t>
            </w:r>
            <w:r>
              <w:rPr>
                <w:color w:val="231F20"/>
                <w:spacing w:val="-12"/>
                <w:w w:val="75"/>
                <w:sz w:val="16"/>
              </w:rPr>
              <w:t xml:space="preserve"> </w:t>
            </w:r>
            <w:r>
              <w:rPr>
                <w:color w:val="231F20"/>
                <w:w w:val="75"/>
                <w:sz w:val="16"/>
              </w:rPr>
              <w:t>and</w:t>
            </w:r>
            <w:r>
              <w:rPr>
                <w:color w:val="231F20"/>
                <w:spacing w:val="-11"/>
                <w:w w:val="75"/>
                <w:sz w:val="16"/>
              </w:rPr>
              <w:t xml:space="preserve"> </w:t>
            </w:r>
            <w:r>
              <w:rPr>
                <w:color w:val="231F20"/>
                <w:w w:val="75"/>
                <w:sz w:val="16"/>
              </w:rPr>
              <w:t>increase</w:t>
            </w:r>
            <w:r>
              <w:rPr>
                <w:color w:val="231F20"/>
                <w:spacing w:val="-12"/>
                <w:w w:val="75"/>
                <w:sz w:val="16"/>
              </w:rPr>
              <w:t xml:space="preserve"> </w:t>
            </w:r>
            <w:r>
              <w:rPr>
                <w:color w:val="231F20"/>
                <w:w w:val="75"/>
                <w:sz w:val="16"/>
              </w:rPr>
              <w:t>physical activities</w:t>
            </w:r>
            <w:r>
              <w:rPr>
                <w:color w:val="231F20"/>
                <w:spacing w:val="-11"/>
                <w:w w:val="75"/>
                <w:sz w:val="16"/>
              </w:rPr>
              <w:t xml:space="preserve"> </w:t>
            </w:r>
            <w:r>
              <w:rPr>
                <w:color w:val="231F20"/>
                <w:w w:val="75"/>
                <w:sz w:val="16"/>
              </w:rPr>
              <w:t>including</w:t>
            </w:r>
            <w:r>
              <w:rPr>
                <w:color w:val="231F20"/>
                <w:spacing w:val="-10"/>
                <w:w w:val="75"/>
                <w:sz w:val="16"/>
              </w:rPr>
              <w:t xml:space="preserve"> </w:t>
            </w:r>
            <w:r>
              <w:rPr>
                <w:color w:val="231F20"/>
                <w:w w:val="75"/>
                <w:sz w:val="16"/>
              </w:rPr>
              <w:t>advertisement</w:t>
            </w:r>
            <w:r>
              <w:rPr>
                <w:color w:val="231F20"/>
                <w:spacing w:val="-10"/>
                <w:w w:val="75"/>
                <w:sz w:val="16"/>
              </w:rPr>
              <w:t xml:space="preserve"> </w:t>
            </w:r>
            <w:r>
              <w:rPr>
                <w:color w:val="231F20"/>
                <w:w w:val="75"/>
                <w:sz w:val="16"/>
              </w:rPr>
              <w:t>to</w:t>
            </w:r>
            <w:r>
              <w:rPr>
                <w:color w:val="231F20"/>
                <w:spacing w:val="-10"/>
                <w:w w:val="75"/>
                <w:sz w:val="16"/>
              </w:rPr>
              <w:t xml:space="preserve"> </w:t>
            </w:r>
            <w:r>
              <w:rPr>
                <w:color w:val="231F20"/>
                <w:w w:val="75"/>
                <w:sz w:val="16"/>
              </w:rPr>
              <w:t>discourage</w:t>
            </w:r>
            <w:r>
              <w:rPr>
                <w:color w:val="231F20"/>
                <w:spacing w:val="-10"/>
                <w:w w:val="75"/>
                <w:sz w:val="16"/>
              </w:rPr>
              <w:t xml:space="preserve"> </w:t>
            </w:r>
            <w:r>
              <w:rPr>
                <w:color w:val="231F20"/>
                <w:w w:val="75"/>
                <w:sz w:val="16"/>
              </w:rPr>
              <w:t>and</w:t>
            </w:r>
            <w:r>
              <w:rPr>
                <w:color w:val="231F20"/>
                <w:spacing w:val="-10"/>
                <w:w w:val="75"/>
                <w:sz w:val="16"/>
              </w:rPr>
              <w:t xml:space="preserve"> </w:t>
            </w:r>
            <w:r>
              <w:rPr>
                <w:color w:val="231F20"/>
                <w:w w:val="75"/>
                <w:sz w:val="16"/>
              </w:rPr>
              <w:t>prohibit</w:t>
            </w:r>
            <w:r>
              <w:rPr>
                <w:color w:val="231F20"/>
                <w:spacing w:val="-10"/>
                <w:w w:val="75"/>
                <w:sz w:val="16"/>
              </w:rPr>
              <w:t xml:space="preserve"> </w:t>
            </w:r>
            <w:r>
              <w:rPr>
                <w:color w:val="231F20"/>
                <w:w w:val="75"/>
                <w:sz w:val="16"/>
              </w:rPr>
              <w:t>tobacco</w:t>
            </w:r>
            <w:r>
              <w:rPr>
                <w:color w:val="231F20"/>
                <w:spacing w:val="-10"/>
                <w:w w:val="75"/>
                <w:sz w:val="16"/>
              </w:rPr>
              <w:t xml:space="preserve"> </w:t>
            </w:r>
            <w:r>
              <w:rPr>
                <w:color w:val="231F20"/>
                <w:w w:val="75"/>
                <w:sz w:val="16"/>
              </w:rPr>
              <w:t>amongst</w:t>
            </w:r>
            <w:r>
              <w:rPr>
                <w:color w:val="231F20"/>
                <w:spacing w:val="-10"/>
                <w:w w:val="75"/>
                <w:sz w:val="16"/>
              </w:rPr>
              <w:t xml:space="preserve"> </w:t>
            </w:r>
            <w:r>
              <w:rPr>
                <w:color w:val="231F20"/>
                <w:w w:val="75"/>
                <w:sz w:val="16"/>
              </w:rPr>
              <w:t>the</w:t>
            </w:r>
            <w:r>
              <w:rPr>
                <w:color w:val="231F20"/>
                <w:spacing w:val="-10"/>
                <w:w w:val="75"/>
                <w:sz w:val="16"/>
              </w:rPr>
              <w:t xml:space="preserve"> </w:t>
            </w:r>
            <w:r>
              <w:rPr>
                <w:color w:val="231F20"/>
                <w:w w:val="75"/>
                <w:sz w:val="16"/>
              </w:rPr>
              <w:t>populace</w:t>
            </w:r>
          </w:p>
        </w:tc>
        <w:tc>
          <w:tcPr>
            <w:tcW w:w="1410" w:type="dxa"/>
            <w:tcBorders>
              <w:left w:val="single" w:sz="8" w:space="0" w:color="231F20"/>
            </w:tcBorders>
          </w:tcPr>
          <w:p w14:paraId="31C86714" w14:textId="77777777" w:rsidR="009948F1" w:rsidRDefault="009948F1">
            <w:pPr>
              <w:pStyle w:val="TableParagraph"/>
              <w:spacing w:before="3"/>
              <w:rPr>
                <w:sz w:val="15"/>
              </w:rPr>
            </w:pPr>
          </w:p>
          <w:p w14:paraId="702743A7" w14:textId="77777777" w:rsidR="009948F1" w:rsidRDefault="00BC0563">
            <w:pPr>
              <w:pStyle w:val="TableParagraph"/>
              <w:spacing w:before="1"/>
              <w:ind w:left="24"/>
              <w:rPr>
                <w:sz w:val="16"/>
              </w:rPr>
            </w:pPr>
            <w:r>
              <w:rPr>
                <w:color w:val="231F20"/>
                <w:w w:val="85"/>
                <w:sz w:val="16"/>
              </w:rPr>
              <w:t>Lack of funds</w:t>
            </w:r>
          </w:p>
        </w:tc>
        <w:tc>
          <w:tcPr>
            <w:tcW w:w="1480" w:type="dxa"/>
            <w:tcBorders>
              <w:right w:val="single" w:sz="12" w:space="0" w:color="231F20"/>
            </w:tcBorders>
          </w:tcPr>
          <w:p w14:paraId="2D5B5242" w14:textId="77777777" w:rsidR="009948F1" w:rsidRDefault="00BC0563">
            <w:pPr>
              <w:pStyle w:val="TableParagraph"/>
              <w:spacing w:before="77" w:line="256" w:lineRule="auto"/>
              <w:ind w:left="28"/>
              <w:rPr>
                <w:sz w:val="16"/>
              </w:rPr>
            </w:pPr>
            <w:r>
              <w:rPr>
                <w:color w:val="231F20"/>
                <w:w w:val="75"/>
                <w:sz w:val="16"/>
              </w:rPr>
              <w:t>Establish</w:t>
            </w:r>
            <w:r>
              <w:rPr>
                <w:color w:val="231F20"/>
                <w:spacing w:val="-19"/>
                <w:w w:val="75"/>
                <w:sz w:val="16"/>
              </w:rPr>
              <w:t xml:space="preserve"> </w:t>
            </w:r>
            <w:r>
              <w:rPr>
                <w:color w:val="231F20"/>
                <w:w w:val="75"/>
                <w:sz w:val="16"/>
              </w:rPr>
              <w:t>public</w:t>
            </w:r>
            <w:r>
              <w:rPr>
                <w:color w:val="231F20"/>
                <w:spacing w:val="-19"/>
                <w:w w:val="75"/>
                <w:sz w:val="16"/>
              </w:rPr>
              <w:t xml:space="preserve"> </w:t>
            </w:r>
            <w:r>
              <w:rPr>
                <w:color w:val="231F20"/>
                <w:w w:val="75"/>
                <w:sz w:val="16"/>
              </w:rPr>
              <w:t xml:space="preserve">awareness </w:t>
            </w:r>
            <w:proofErr w:type="spellStart"/>
            <w:r>
              <w:rPr>
                <w:color w:val="231F20"/>
                <w:w w:val="85"/>
                <w:sz w:val="16"/>
              </w:rPr>
              <w:t>programmes</w:t>
            </w:r>
            <w:proofErr w:type="spellEnd"/>
          </w:p>
        </w:tc>
      </w:tr>
      <w:tr w:rsidR="009948F1" w14:paraId="77841526" w14:textId="77777777">
        <w:trPr>
          <w:trHeight w:val="627"/>
        </w:trPr>
        <w:tc>
          <w:tcPr>
            <w:tcW w:w="1027" w:type="dxa"/>
            <w:gridSpan w:val="3"/>
            <w:vMerge/>
            <w:tcBorders>
              <w:top w:val="nil"/>
              <w:bottom w:val="single" w:sz="8" w:space="0" w:color="231F20"/>
            </w:tcBorders>
          </w:tcPr>
          <w:p w14:paraId="069DC6EA" w14:textId="77777777" w:rsidR="009948F1" w:rsidRDefault="009948F1">
            <w:pPr>
              <w:rPr>
                <w:sz w:val="2"/>
                <w:szCs w:val="2"/>
              </w:rPr>
            </w:pPr>
          </w:p>
        </w:tc>
        <w:tc>
          <w:tcPr>
            <w:tcW w:w="519" w:type="dxa"/>
          </w:tcPr>
          <w:p w14:paraId="6DE4B986" w14:textId="77777777" w:rsidR="009948F1" w:rsidRDefault="009948F1">
            <w:pPr>
              <w:pStyle w:val="TableParagraph"/>
              <w:spacing w:before="10"/>
              <w:rPr>
                <w:sz w:val="18"/>
              </w:rPr>
            </w:pPr>
          </w:p>
          <w:p w14:paraId="7AAE448F" w14:textId="77777777" w:rsidR="009948F1" w:rsidRDefault="00BC0563">
            <w:pPr>
              <w:pStyle w:val="TableParagraph"/>
              <w:ind w:left="21" w:right="2"/>
              <w:jc w:val="center"/>
              <w:rPr>
                <w:sz w:val="16"/>
              </w:rPr>
            </w:pPr>
            <w:r>
              <w:rPr>
                <w:color w:val="231F20"/>
                <w:w w:val="80"/>
                <w:sz w:val="16"/>
              </w:rPr>
              <w:t>6.1.3.b</w:t>
            </w:r>
          </w:p>
        </w:tc>
        <w:tc>
          <w:tcPr>
            <w:tcW w:w="4838" w:type="dxa"/>
            <w:gridSpan w:val="2"/>
          </w:tcPr>
          <w:p w14:paraId="0A891DF6" w14:textId="77777777" w:rsidR="009948F1" w:rsidRDefault="00BC0563">
            <w:pPr>
              <w:pStyle w:val="TableParagraph"/>
              <w:spacing w:before="111" w:line="256" w:lineRule="auto"/>
              <w:ind w:left="24" w:right="51"/>
              <w:rPr>
                <w:sz w:val="16"/>
              </w:rPr>
            </w:pPr>
            <w:r>
              <w:rPr>
                <w:color w:val="231F20"/>
                <w:w w:val="80"/>
                <w:sz w:val="16"/>
              </w:rPr>
              <w:t>Conduct</w:t>
            </w:r>
            <w:r>
              <w:rPr>
                <w:color w:val="231F20"/>
                <w:spacing w:val="-24"/>
                <w:w w:val="80"/>
                <w:sz w:val="16"/>
              </w:rPr>
              <w:t xml:space="preserve"> </w:t>
            </w:r>
            <w:r>
              <w:rPr>
                <w:color w:val="231F20"/>
                <w:w w:val="80"/>
                <w:sz w:val="16"/>
              </w:rPr>
              <w:t>screening</w:t>
            </w:r>
            <w:r>
              <w:rPr>
                <w:color w:val="231F20"/>
                <w:spacing w:val="-24"/>
                <w:w w:val="80"/>
                <w:sz w:val="16"/>
              </w:rPr>
              <w:t xml:space="preserve"> </w:t>
            </w:r>
            <w:proofErr w:type="spellStart"/>
            <w:r>
              <w:rPr>
                <w:color w:val="231F20"/>
                <w:w w:val="80"/>
                <w:sz w:val="16"/>
              </w:rPr>
              <w:t>programmes</w:t>
            </w:r>
            <w:proofErr w:type="spellEnd"/>
            <w:r>
              <w:rPr>
                <w:color w:val="231F20"/>
                <w:spacing w:val="-24"/>
                <w:w w:val="80"/>
                <w:sz w:val="16"/>
              </w:rPr>
              <w:t xml:space="preserve"> </w:t>
            </w:r>
            <w:r>
              <w:rPr>
                <w:color w:val="231F20"/>
                <w:w w:val="80"/>
                <w:sz w:val="16"/>
              </w:rPr>
              <w:t>for</w:t>
            </w:r>
            <w:r>
              <w:rPr>
                <w:color w:val="231F20"/>
                <w:spacing w:val="-24"/>
                <w:w w:val="80"/>
                <w:sz w:val="16"/>
              </w:rPr>
              <w:t xml:space="preserve"> </w:t>
            </w:r>
            <w:r>
              <w:rPr>
                <w:color w:val="231F20"/>
                <w:w w:val="80"/>
                <w:sz w:val="16"/>
              </w:rPr>
              <w:t>clinical</w:t>
            </w:r>
            <w:r>
              <w:rPr>
                <w:color w:val="231F20"/>
                <w:spacing w:val="-24"/>
                <w:w w:val="80"/>
                <w:sz w:val="16"/>
              </w:rPr>
              <w:t xml:space="preserve"> </w:t>
            </w:r>
            <w:r>
              <w:rPr>
                <w:color w:val="231F20"/>
                <w:w w:val="80"/>
                <w:sz w:val="16"/>
              </w:rPr>
              <w:t>breast</w:t>
            </w:r>
            <w:r>
              <w:rPr>
                <w:color w:val="231F20"/>
                <w:spacing w:val="-24"/>
                <w:w w:val="80"/>
                <w:sz w:val="16"/>
              </w:rPr>
              <w:t xml:space="preserve"> </w:t>
            </w:r>
            <w:r>
              <w:rPr>
                <w:color w:val="231F20"/>
                <w:w w:val="80"/>
                <w:sz w:val="16"/>
              </w:rPr>
              <w:t>examination,</w:t>
            </w:r>
            <w:r>
              <w:rPr>
                <w:color w:val="231F20"/>
                <w:spacing w:val="-24"/>
                <w:w w:val="80"/>
                <w:sz w:val="16"/>
              </w:rPr>
              <w:t xml:space="preserve"> </w:t>
            </w:r>
            <w:r>
              <w:rPr>
                <w:color w:val="231F20"/>
                <w:w w:val="80"/>
                <w:sz w:val="16"/>
              </w:rPr>
              <w:t>2</w:t>
            </w:r>
            <w:r>
              <w:rPr>
                <w:color w:val="231F20"/>
                <w:spacing w:val="-23"/>
                <w:w w:val="80"/>
                <w:sz w:val="16"/>
              </w:rPr>
              <w:t xml:space="preserve"> </w:t>
            </w:r>
            <w:r>
              <w:rPr>
                <w:color w:val="231F20"/>
                <w:w w:val="80"/>
                <w:sz w:val="16"/>
              </w:rPr>
              <w:t>yearly</w:t>
            </w:r>
            <w:r>
              <w:rPr>
                <w:color w:val="231F20"/>
                <w:spacing w:val="-24"/>
                <w:w w:val="80"/>
                <w:sz w:val="16"/>
              </w:rPr>
              <w:t xml:space="preserve"> </w:t>
            </w:r>
            <w:r>
              <w:rPr>
                <w:color w:val="231F20"/>
                <w:w w:val="80"/>
                <w:sz w:val="16"/>
              </w:rPr>
              <w:t xml:space="preserve">mammogram </w:t>
            </w:r>
            <w:r>
              <w:rPr>
                <w:color w:val="231F20"/>
                <w:w w:val="75"/>
                <w:sz w:val="16"/>
              </w:rPr>
              <w:t>examination,</w:t>
            </w:r>
            <w:r>
              <w:rPr>
                <w:color w:val="231F20"/>
                <w:spacing w:val="-9"/>
                <w:w w:val="75"/>
                <w:sz w:val="16"/>
              </w:rPr>
              <w:t xml:space="preserve"> </w:t>
            </w:r>
            <w:r>
              <w:rPr>
                <w:color w:val="231F20"/>
                <w:w w:val="75"/>
                <w:sz w:val="16"/>
              </w:rPr>
              <w:t>3</w:t>
            </w:r>
            <w:r>
              <w:rPr>
                <w:color w:val="231F20"/>
                <w:spacing w:val="-9"/>
                <w:w w:val="75"/>
                <w:sz w:val="16"/>
              </w:rPr>
              <w:t xml:space="preserve"> </w:t>
            </w:r>
            <w:r>
              <w:rPr>
                <w:color w:val="231F20"/>
                <w:w w:val="75"/>
                <w:sz w:val="16"/>
              </w:rPr>
              <w:t>yearly</w:t>
            </w:r>
            <w:r>
              <w:rPr>
                <w:color w:val="231F20"/>
                <w:spacing w:val="-9"/>
                <w:w w:val="75"/>
                <w:sz w:val="16"/>
              </w:rPr>
              <w:t xml:space="preserve"> </w:t>
            </w:r>
            <w:r>
              <w:rPr>
                <w:color w:val="231F20"/>
                <w:spacing w:val="-3"/>
                <w:w w:val="75"/>
                <w:sz w:val="16"/>
              </w:rPr>
              <w:t>PAP</w:t>
            </w:r>
            <w:r>
              <w:rPr>
                <w:color w:val="231F20"/>
                <w:spacing w:val="-10"/>
                <w:w w:val="75"/>
                <w:sz w:val="16"/>
              </w:rPr>
              <w:t xml:space="preserve"> </w:t>
            </w:r>
            <w:r>
              <w:rPr>
                <w:color w:val="231F20"/>
                <w:w w:val="75"/>
                <w:sz w:val="16"/>
              </w:rPr>
              <w:t>examination</w:t>
            </w:r>
            <w:r>
              <w:rPr>
                <w:color w:val="231F20"/>
                <w:spacing w:val="-9"/>
                <w:w w:val="75"/>
                <w:sz w:val="16"/>
              </w:rPr>
              <w:t xml:space="preserve"> </w:t>
            </w:r>
            <w:r>
              <w:rPr>
                <w:color w:val="231F20"/>
                <w:w w:val="75"/>
                <w:sz w:val="16"/>
              </w:rPr>
              <w:t>in</w:t>
            </w:r>
            <w:r>
              <w:rPr>
                <w:color w:val="231F20"/>
                <w:spacing w:val="-9"/>
                <w:w w:val="75"/>
                <w:sz w:val="16"/>
              </w:rPr>
              <w:t xml:space="preserve"> </w:t>
            </w:r>
            <w:r>
              <w:rPr>
                <w:color w:val="231F20"/>
                <w:w w:val="75"/>
                <w:sz w:val="16"/>
              </w:rPr>
              <w:t>the</w:t>
            </w:r>
            <w:r>
              <w:rPr>
                <w:color w:val="231F20"/>
                <w:spacing w:val="-9"/>
                <w:w w:val="75"/>
                <w:sz w:val="16"/>
              </w:rPr>
              <w:t xml:space="preserve"> </w:t>
            </w:r>
            <w:r>
              <w:rPr>
                <w:color w:val="231F20"/>
                <w:w w:val="75"/>
                <w:sz w:val="16"/>
              </w:rPr>
              <w:t>target</w:t>
            </w:r>
            <w:r>
              <w:rPr>
                <w:color w:val="231F20"/>
                <w:spacing w:val="-9"/>
                <w:w w:val="75"/>
                <w:sz w:val="16"/>
              </w:rPr>
              <w:t xml:space="preserve"> </w:t>
            </w:r>
            <w:r>
              <w:rPr>
                <w:color w:val="231F20"/>
                <w:w w:val="75"/>
                <w:sz w:val="16"/>
              </w:rPr>
              <w:t>population,</w:t>
            </w:r>
            <w:r>
              <w:rPr>
                <w:color w:val="231F20"/>
                <w:spacing w:val="-8"/>
                <w:w w:val="75"/>
                <w:sz w:val="16"/>
              </w:rPr>
              <w:t xml:space="preserve"> </w:t>
            </w:r>
            <w:r>
              <w:rPr>
                <w:color w:val="231F20"/>
                <w:w w:val="75"/>
                <w:sz w:val="16"/>
              </w:rPr>
              <w:t>women</w:t>
            </w:r>
            <w:r>
              <w:rPr>
                <w:color w:val="231F20"/>
                <w:spacing w:val="-9"/>
                <w:w w:val="75"/>
                <w:sz w:val="16"/>
              </w:rPr>
              <w:t xml:space="preserve"> </w:t>
            </w:r>
            <w:r>
              <w:rPr>
                <w:color w:val="231F20"/>
                <w:w w:val="75"/>
                <w:sz w:val="16"/>
              </w:rPr>
              <w:t>of</w:t>
            </w:r>
            <w:r>
              <w:rPr>
                <w:color w:val="231F20"/>
                <w:spacing w:val="-9"/>
                <w:w w:val="75"/>
                <w:sz w:val="16"/>
              </w:rPr>
              <w:t xml:space="preserve"> </w:t>
            </w:r>
            <w:r>
              <w:rPr>
                <w:color w:val="231F20"/>
                <w:w w:val="75"/>
                <w:sz w:val="16"/>
              </w:rPr>
              <w:t>reproductive</w:t>
            </w:r>
            <w:r>
              <w:rPr>
                <w:color w:val="231F20"/>
                <w:spacing w:val="-9"/>
                <w:w w:val="75"/>
                <w:sz w:val="16"/>
              </w:rPr>
              <w:t xml:space="preserve"> </w:t>
            </w:r>
            <w:r>
              <w:rPr>
                <w:color w:val="231F20"/>
                <w:spacing w:val="-4"/>
                <w:w w:val="75"/>
                <w:sz w:val="16"/>
              </w:rPr>
              <w:t>age</w:t>
            </w:r>
          </w:p>
        </w:tc>
        <w:tc>
          <w:tcPr>
            <w:tcW w:w="1410" w:type="dxa"/>
          </w:tcPr>
          <w:p w14:paraId="494F0B28" w14:textId="77777777" w:rsidR="009948F1" w:rsidRDefault="009948F1">
            <w:pPr>
              <w:pStyle w:val="TableParagraph"/>
              <w:spacing w:before="10"/>
              <w:rPr>
                <w:sz w:val="18"/>
              </w:rPr>
            </w:pPr>
          </w:p>
          <w:p w14:paraId="786BDE7C"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5D433CE5" w14:textId="77777777" w:rsidR="009948F1" w:rsidRDefault="00BC0563">
            <w:pPr>
              <w:pStyle w:val="TableParagraph"/>
              <w:spacing w:before="118" w:line="256" w:lineRule="auto"/>
              <w:ind w:left="28"/>
              <w:rPr>
                <w:sz w:val="16"/>
              </w:rPr>
            </w:pPr>
            <w:r>
              <w:rPr>
                <w:color w:val="231F20"/>
                <w:w w:val="70"/>
                <w:sz w:val="16"/>
              </w:rPr>
              <w:t xml:space="preserve">Conduct screening </w:t>
            </w:r>
            <w:proofErr w:type="spellStart"/>
            <w:r>
              <w:rPr>
                <w:color w:val="231F20"/>
                <w:w w:val="85"/>
                <w:sz w:val="16"/>
              </w:rPr>
              <w:t>programmes</w:t>
            </w:r>
            <w:proofErr w:type="spellEnd"/>
          </w:p>
        </w:tc>
      </w:tr>
      <w:tr w:rsidR="009948F1" w14:paraId="610DFC3C" w14:textId="77777777">
        <w:trPr>
          <w:trHeight w:val="744"/>
        </w:trPr>
        <w:tc>
          <w:tcPr>
            <w:tcW w:w="1027" w:type="dxa"/>
            <w:gridSpan w:val="3"/>
            <w:vMerge/>
            <w:tcBorders>
              <w:top w:val="nil"/>
              <w:bottom w:val="single" w:sz="8" w:space="0" w:color="231F20"/>
            </w:tcBorders>
          </w:tcPr>
          <w:p w14:paraId="212C4B97" w14:textId="77777777" w:rsidR="009948F1" w:rsidRDefault="009948F1">
            <w:pPr>
              <w:rPr>
                <w:sz w:val="2"/>
                <w:szCs w:val="2"/>
              </w:rPr>
            </w:pPr>
          </w:p>
        </w:tc>
        <w:tc>
          <w:tcPr>
            <w:tcW w:w="519" w:type="dxa"/>
          </w:tcPr>
          <w:p w14:paraId="3B5CB234" w14:textId="77777777" w:rsidR="009948F1" w:rsidRDefault="009948F1">
            <w:pPr>
              <w:pStyle w:val="TableParagraph"/>
              <w:spacing w:before="10"/>
              <w:rPr>
                <w:sz w:val="23"/>
              </w:rPr>
            </w:pPr>
          </w:p>
          <w:p w14:paraId="6E2D4044" w14:textId="77777777" w:rsidR="009948F1" w:rsidRDefault="00BC0563">
            <w:pPr>
              <w:pStyle w:val="TableParagraph"/>
              <w:ind w:left="21" w:right="2"/>
              <w:jc w:val="center"/>
              <w:rPr>
                <w:sz w:val="16"/>
              </w:rPr>
            </w:pPr>
            <w:r>
              <w:rPr>
                <w:color w:val="231F20"/>
                <w:w w:val="80"/>
                <w:sz w:val="16"/>
              </w:rPr>
              <w:t>6.1.3.c</w:t>
            </w:r>
          </w:p>
        </w:tc>
        <w:tc>
          <w:tcPr>
            <w:tcW w:w="4838" w:type="dxa"/>
            <w:gridSpan w:val="2"/>
          </w:tcPr>
          <w:p w14:paraId="59076690" w14:textId="77777777" w:rsidR="009948F1" w:rsidRDefault="009948F1">
            <w:pPr>
              <w:pStyle w:val="TableParagraph"/>
              <w:spacing w:before="3"/>
              <w:rPr>
                <w:sz w:val="23"/>
              </w:rPr>
            </w:pPr>
          </w:p>
          <w:p w14:paraId="0BF697E1" w14:textId="77777777" w:rsidR="009948F1" w:rsidRDefault="00BC0563">
            <w:pPr>
              <w:pStyle w:val="TableParagraph"/>
              <w:spacing w:before="1"/>
              <w:ind w:left="24"/>
              <w:rPr>
                <w:sz w:val="16"/>
              </w:rPr>
            </w:pPr>
            <w:r>
              <w:rPr>
                <w:color w:val="231F20"/>
                <w:w w:val="80"/>
                <w:sz w:val="16"/>
              </w:rPr>
              <w:t>Produce &amp; distribute approved health posters by Federal Ministry of Health for NCDs</w:t>
            </w:r>
          </w:p>
        </w:tc>
        <w:tc>
          <w:tcPr>
            <w:tcW w:w="1410" w:type="dxa"/>
          </w:tcPr>
          <w:p w14:paraId="0E2D45FE" w14:textId="77777777" w:rsidR="009948F1" w:rsidRDefault="009948F1">
            <w:pPr>
              <w:pStyle w:val="TableParagraph"/>
              <w:spacing w:before="10"/>
              <w:rPr>
                <w:sz w:val="23"/>
              </w:rPr>
            </w:pPr>
          </w:p>
          <w:p w14:paraId="79E2DE09" w14:textId="77777777" w:rsidR="009948F1" w:rsidRDefault="00BC0563">
            <w:pPr>
              <w:pStyle w:val="TableParagraph"/>
              <w:ind w:left="27"/>
              <w:rPr>
                <w:sz w:val="16"/>
              </w:rPr>
            </w:pPr>
            <w:r>
              <w:rPr>
                <w:color w:val="231F20"/>
                <w:w w:val="85"/>
                <w:sz w:val="16"/>
              </w:rPr>
              <w:t>Lack of funds</w:t>
            </w:r>
          </w:p>
        </w:tc>
        <w:tc>
          <w:tcPr>
            <w:tcW w:w="1480" w:type="dxa"/>
            <w:tcBorders>
              <w:right w:val="single" w:sz="12" w:space="0" w:color="231F20"/>
            </w:tcBorders>
          </w:tcPr>
          <w:p w14:paraId="0F6D0B64" w14:textId="77777777" w:rsidR="009948F1" w:rsidRDefault="009948F1">
            <w:pPr>
              <w:pStyle w:val="TableParagraph"/>
              <w:spacing w:before="4"/>
              <w:rPr>
                <w:sz w:val="15"/>
              </w:rPr>
            </w:pPr>
          </w:p>
          <w:p w14:paraId="655AA237" w14:textId="77777777" w:rsidR="009948F1" w:rsidRDefault="00BC0563">
            <w:pPr>
              <w:pStyle w:val="TableParagraph"/>
              <w:spacing w:line="256" w:lineRule="auto"/>
              <w:ind w:left="28"/>
              <w:rPr>
                <w:sz w:val="16"/>
              </w:rPr>
            </w:pPr>
            <w:r>
              <w:rPr>
                <w:color w:val="231F20"/>
                <w:w w:val="75"/>
                <w:sz w:val="16"/>
              </w:rPr>
              <w:t xml:space="preserve">Produce &amp; distribute </w:t>
            </w:r>
            <w:r>
              <w:rPr>
                <w:color w:val="231F20"/>
                <w:w w:val="85"/>
                <w:sz w:val="16"/>
              </w:rPr>
              <w:t>posters</w:t>
            </w:r>
          </w:p>
        </w:tc>
      </w:tr>
      <w:tr w:rsidR="009948F1" w14:paraId="55601E4C" w14:textId="77777777">
        <w:trPr>
          <w:trHeight w:val="626"/>
        </w:trPr>
        <w:tc>
          <w:tcPr>
            <w:tcW w:w="1027" w:type="dxa"/>
            <w:gridSpan w:val="3"/>
            <w:vMerge/>
            <w:tcBorders>
              <w:top w:val="nil"/>
              <w:bottom w:val="single" w:sz="8" w:space="0" w:color="231F20"/>
            </w:tcBorders>
          </w:tcPr>
          <w:p w14:paraId="709264FB" w14:textId="77777777" w:rsidR="009948F1" w:rsidRDefault="009948F1">
            <w:pPr>
              <w:rPr>
                <w:sz w:val="2"/>
                <w:szCs w:val="2"/>
              </w:rPr>
            </w:pPr>
          </w:p>
        </w:tc>
        <w:tc>
          <w:tcPr>
            <w:tcW w:w="519" w:type="dxa"/>
            <w:tcBorders>
              <w:bottom w:val="single" w:sz="12" w:space="0" w:color="231F20"/>
            </w:tcBorders>
          </w:tcPr>
          <w:p w14:paraId="3B38F38F" w14:textId="77777777" w:rsidR="009948F1" w:rsidRDefault="009948F1">
            <w:pPr>
              <w:pStyle w:val="TableParagraph"/>
              <w:spacing w:before="1"/>
              <w:rPr>
                <w:sz w:val="19"/>
              </w:rPr>
            </w:pPr>
          </w:p>
          <w:p w14:paraId="12E490E4" w14:textId="77777777" w:rsidR="009948F1" w:rsidRDefault="00BC0563">
            <w:pPr>
              <w:pStyle w:val="TableParagraph"/>
              <w:spacing w:before="1"/>
              <w:ind w:left="21" w:right="2"/>
              <w:jc w:val="center"/>
              <w:rPr>
                <w:sz w:val="16"/>
              </w:rPr>
            </w:pPr>
            <w:r>
              <w:rPr>
                <w:color w:val="231F20"/>
                <w:w w:val="80"/>
                <w:sz w:val="16"/>
              </w:rPr>
              <w:t>6.1.3.d</w:t>
            </w:r>
          </w:p>
        </w:tc>
        <w:tc>
          <w:tcPr>
            <w:tcW w:w="4838" w:type="dxa"/>
            <w:gridSpan w:val="2"/>
            <w:tcBorders>
              <w:bottom w:val="single" w:sz="12" w:space="0" w:color="231F20"/>
            </w:tcBorders>
          </w:tcPr>
          <w:p w14:paraId="6597296E" w14:textId="77777777" w:rsidR="009948F1" w:rsidRDefault="00BC0563">
            <w:pPr>
              <w:pStyle w:val="TableParagraph"/>
              <w:spacing w:before="116" w:line="256" w:lineRule="auto"/>
              <w:ind w:left="24" w:right="213"/>
              <w:rPr>
                <w:sz w:val="16"/>
              </w:rPr>
            </w:pPr>
            <w:r>
              <w:rPr>
                <w:color w:val="231F20"/>
                <w:w w:val="75"/>
                <w:sz w:val="16"/>
              </w:rPr>
              <w:t>Establish</w:t>
            </w:r>
            <w:r>
              <w:rPr>
                <w:color w:val="231F20"/>
                <w:spacing w:val="-9"/>
                <w:w w:val="75"/>
                <w:sz w:val="16"/>
              </w:rPr>
              <w:t xml:space="preserve"> </w:t>
            </w:r>
            <w:proofErr w:type="spellStart"/>
            <w:r>
              <w:rPr>
                <w:color w:val="231F20"/>
                <w:w w:val="75"/>
                <w:sz w:val="16"/>
              </w:rPr>
              <w:t>programmes</w:t>
            </w:r>
            <w:proofErr w:type="spellEnd"/>
            <w:r>
              <w:rPr>
                <w:color w:val="231F20"/>
                <w:spacing w:val="-9"/>
                <w:w w:val="75"/>
                <w:sz w:val="16"/>
              </w:rPr>
              <w:t xml:space="preserve"> </w:t>
            </w:r>
            <w:r>
              <w:rPr>
                <w:color w:val="231F20"/>
                <w:w w:val="75"/>
                <w:sz w:val="16"/>
              </w:rPr>
              <w:t>to</w:t>
            </w:r>
            <w:r>
              <w:rPr>
                <w:color w:val="231F20"/>
                <w:spacing w:val="-9"/>
                <w:w w:val="75"/>
                <w:sz w:val="16"/>
              </w:rPr>
              <w:t xml:space="preserve"> </w:t>
            </w:r>
            <w:r>
              <w:rPr>
                <w:color w:val="231F20"/>
                <w:w w:val="75"/>
                <w:sz w:val="16"/>
              </w:rPr>
              <w:t>address</w:t>
            </w:r>
            <w:r>
              <w:rPr>
                <w:color w:val="231F20"/>
                <w:spacing w:val="-8"/>
                <w:w w:val="75"/>
                <w:sz w:val="16"/>
              </w:rPr>
              <w:t xml:space="preserve"> </w:t>
            </w:r>
            <w:r>
              <w:rPr>
                <w:color w:val="231F20"/>
                <w:w w:val="75"/>
                <w:sz w:val="16"/>
              </w:rPr>
              <w:t>NCD</w:t>
            </w:r>
            <w:r>
              <w:rPr>
                <w:color w:val="231F20"/>
                <w:spacing w:val="-9"/>
                <w:w w:val="75"/>
                <w:sz w:val="16"/>
              </w:rPr>
              <w:t xml:space="preserve"> </w:t>
            </w:r>
            <w:r>
              <w:rPr>
                <w:color w:val="231F20"/>
                <w:w w:val="75"/>
                <w:sz w:val="16"/>
              </w:rPr>
              <w:t>risk</w:t>
            </w:r>
            <w:r>
              <w:rPr>
                <w:color w:val="231F20"/>
                <w:spacing w:val="-9"/>
                <w:w w:val="75"/>
                <w:sz w:val="16"/>
              </w:rPr>
              <w:t xml:space="preserve"> </w:t>
            </w:r>
            <w:r>
              <w:rPr>
                <w:color w:val="231F20"/>
                <w:w w:val="75"/>
                <w:sz w:val="16"/>
              </w:rPr>
              <w:t>factors</w:t>
            </w:r>
            <w:r>
              <w:rPr>
                <w:color w:val="231F20"/>
                <w:spacing w:val="-8"/>
                <w:w w:val="75"/>
                <w:sz w:val="16"/>
              </w:rPr>
              <w:t xml:space="preserve"> </w:t>
            </w:r>
            <w:r>
              <w:rPr>
                <w:color w:val="231F20"/>
                <w:w w:val="75"/>
                <w:sz w:val="16"/>
              </w:rPr>
              <w:t>such</w:t>
            </w:r>
            <w:r>
              <w:rPr>
                <w:color w:val="231F20"/>
                <w:spacing w:val="-9"/>
                <w:w w:val="75"/>
                <w:sz w:val="16"/>
              </w:rPr>
              <w:t xml:space="preserve"> </w:t>
            </w:r>
            <w:r>
              <w:rPr>
                <w:color w:val="231F20"/>
                <w:w w:val="75"/>
                <w:sz w:val="16"/>
              </w:rPr>
              <w:t>as</w:t>
            </w:r>
            <w:r>
              <w:rPr>
                <w:color w:val="231F20"/>
                <w:spacing w:val="-9"/>
                <w:w w:val="75"/>
                <w:sz w:val="16"/>
              </w:rPr>
              <w:t xml:space="preserve"> </w:t>
            </w:r>
            <w:r>
              <w:rPr>
                <w:color w:val="231F20"/>
                <w:w w:val="75"/>
                <w:sz w:val="16"/>
              </w:rPr>
              <w:t>physical</w:t>
            </w:r>
            <w:r>
              <w:rPr>
                <w:color w:val="231F20"/>
                <w:spacing w:val="-8"/>
                <w:w w:val="75"/>
                <w:sz w:val="16"/>
              </w:rPr>
              <w:t xml:space="preserve"> </w:t>
            </w:r>
            <w:r>
              <w:rPr>
                <w:color w:val="231F20"/>
                <w:w w:val="75"/>
                <w:sz w:val="16"/>
              </w:rPr>
              <w:t>inactivity,</w:t>
            </w:r>
            <w:r>
              <w:rPr>
                <w:color w:val="231F20"/>
                <w:spacing w:val="-9"/>
                <w:w w:val="75"/>
                <w:sz w:val="16"/>
              </w:rPr>
              <w:t xml:space="preserve"> </w:t>
            </w:r>
            <w:r>
              <w:rPr>
                <w:color w:val="231F20"/>
                <w:spacing w:val="-3"/>
                <w:w w:val="75"/>
                <w:sz w:val="16"/>
              </w:rPr>
              <w:t xml:space="preserve">unhealthy </w:t>
            </w:r>
            <w:r>
              <w:rPr>
                <w:color w:val="231F20"/>
                <w:w w:val="85"/>
                <w:sz w:val="16"/>
              </w:rPr>
              <w:t>diet,</w:t>
            </w:r>
            <w:r>
              <w:rPr>
                <w:color w:val="231F20"/>
                <w:spacing w:val="-24"/>
                <w:w w:val="85"/>
                <w:sz w:val="16"/>
              </w:rPr>
              <w:t xml:space="preserve"> </w:t>
            </w:r>
            <w:r>
              <w:rPr>
                <w:color w:val="231F20"/>
                <w:w w:val="85"/>
                <w:sz w:val="16"/>
              </w:rPr>
              <w:t>tobacco</w:t>
            </w:r>
            <w:r>
              <w:rPr>
                <w:color w:val="231F20"/>
                <w:spacing w:val="-24"/>
                <w:w w:val="85"/>
                <w:sz w:val="16"/>
              </w:rPr>
              <w:t xml:space="preserve"> </w:t>
            </w:r>
            <w:r>
              <w:rPr>
                <w:color w:val="231F20"/>
                <w:w w:val="85"/>
                <w:sz w:val="16"/>
              </w:rPr>
              <w:t>use</w:t>
            </w:r>
            <w:r>
              <w:rPr>
                <w:color w:val="231F20"/>
                <w:spacing w:val="-24"/>
                <w:w w:val="85"/>
                <w:sz w:val="16"/>
              </w:rPr>
              <w:t xml:space="preserve"> </w:t>
            </w:r>
            <w:r>
              <w:rPr>
                <w:color w:val="231F20"/>
                <w:w w:val="85"/>
                <w:sz w:val="16"/>
              </w:rPr>
              <w:t>and</w:t>
            </w:r>
            <w:r>
              <w:rPr>
                <w:color w:val="231F20"/>
                <w:spacing w:val="-11"/>
                <w:w w:val="85"/>
                <w:sz w:val="16"/>
              </w:rPr>
              <w:t xml:space="preserve"> </w:t>
            </w:r>
            <w:r>
              <w:rPr>
                <w:color w:val="231F20"/>
                <w:w w:val="85"/>
                <w:sz w:val="16"/>
              </w:rPr>
              <w:t>harmful</w:t>
            </w:r>
            <w:r>
              <w:rPr>
                <w:color w:val="231F20"/>
                <w:spacing w:val="-24"/>
                <w:w w:val="85"/>
                <w:sz w:val="16"/>
              </w:rPr>
              <w:t xml:space="preserve"> </w:t>
            </w:r>
            <w:r>
              <w:rPr>
                <w:color w:val="231F20"/>
                <w:w w:val="85"/>
                <w:sz w:val="16"/>
              </w:rPr>
              <w:t>use</w:t>
            </w:r>
            <w:r>
              <w:rPr>
                <w:color w:val="231F20"/>
                <w:spacing w:val="-24"/>
                <w:w w:val="85"/>
                <w:sz w:val="16"/>
              </w:rPr>
              <w:t xml:space="preserve"> </w:t>
            </w:r>
            <w:r>
              <w:rPr>
                <w:color w:val="231F20"/>
                <w:w w:val="85"/>
                <w:sz w:val="16"/>
              </w:rPr>
              <w:t>of</w:t>
            </w:r>
            <w:r>
              <w:rPr>
                <w:color w:val="231F20"/>
                <w:spacing w:val="-24"/>
                <w:w w:val="85"/>
                <w:sz w:val="16"/>
              </w:rPr>
              <w:t xml:space="preserve"> </w:t>
            </w:r>
            <w:r>
              <w:rPr>
                <w:color w:val="231F20"/>
                <w:w w:val="85"/>
                <w:sz w:val="16"/>
              </w:rPr>
              <w:t>alcohol</w:t>
            </w:r>
            <w:r>
              <w:rPr>
                <w:color w:val="231F20"/>
                <w:spacing w:val="-24"/>
                <w:w w:val="85"/>
                <w:sz w:val="16"/>
              </w:rPr>
              <w:t xml:space="preserve"> </w:t>
            </w:r>
            <w:r>
              <w:rPr>
                <w:color w:val="231F20"/>
                <w:w w:val="85"/>
                <w:sz w:val="16"/>
              </w:rPr>
              <w:t>in</w:t>
            </w:r>
            <w:r>
              <w:rPr>
                <w:color w:val="231F20"/>
                <w:spacing w:val="-24"/>
                <w:w w:val="85"/>
                <w:sz w:val="16"/>
              </w:rPr>
              <w:t xml:space="preserve"> </w:t>
            </w:r>
            <w:r>
              <w:rPr>
                <w:color w:val="231F20"/>
                <w:w w:val="85"/>
                <w:sz w:val="16"/>
              </w:rPr>
              <w:t>schools,</w:t>
            </w:r>
            <w:r>
              <w:rPr>
                <w:color w:val="231F20"/>
                <w:spacing w:val="-24"/>
                <w:w w:val="85"/>
                <w:sz w:val="16"/>
              </w:rPr>
              <w:t xml:space="preserve"> </w:t>
            </w:r>
            <w:r>
              <w:rPr>
                <w:color w:val="231F20"/>
                <w:w w:val="85"/>
                <w:sz w:val="16"/>
              </w:rPr>
              <w:t>religious</w:t>
            </w:r>
            <w:r>
              <w:rPr>
                <w:color w:val="231F20"/>
                <w:spacing w:val="-24"/>
                <w:w w:val="85"/>
                <w:sz w:val="16"/>
              </w:rPr>
              <w:t xml:space="preserve"> </w:t>
            </w:r>
            <w:r>
              <w:rPr>
                <w:color w:val="231F20"/>
                <w:w w:val="85"/>
                <w:sz w:val="16"/>
              </w:rPr>
              <w:t>places,</w:t>
            </w:r>
            <w:r>
              <w:rPr>
                <w:color w:val="231F20"/>
                <w:spacing w:val="-24"/>
                <w:w w:val="85"/>
                <w:sz w:val="16"/>
              </w:rPr>
              <w:t xml:space="preserve"> </w:t>
            </w:r>
            <w:r>
              <w:rPr>
                <w:color w:val="231F20"/>
                <w:w w:val="85"/>
                <w:sz w:val="16"/>
              </w:rPr>
              <w:t>etc.</w:t>
            </w:r>
          </w:p>
        </w:tc>
        <w:tc>
          <w:tcPr>
            <w:tcW w:w="1410" w:type="dxa"/>
            <w:tcBorders>
              <w:bottom w:val="single" w:sz="12" w:space="0" w:color="231F20"/>
            </w:tcBorders>
          </w:tcPr>
          <w:p w14:paraId="731D6069" w14:textId="77777777" w:rsidR="009948F1" w:rsidRDefault="009948F1">
            <w:pPr>
              <w:pStyle w:val="TableParagraph"/>
              <w:spacing w:before="1"/>
              <w:rPr>
                <w:sz w:val="19"/>
              </w:rPr>
            </w:pPr>
          </w:p>
          <w:p w14:paraId="49089B39" w14:textId="77777777" w:rsidR="009948F1" w:rsidRDefault="00BC0563">
            <w:pPr>
              <w:pStyle w:val="TableParagraph"/>
              <w:spacing w:before="1"/>
              <w:ind w:left="27"/>
              <w:rPr>
                <w:sz w:val="16"/>
              </w:rPr>
            </w:pPr>
            <w:r>
              <w:rPr>
                <w:color w:val="231F20"/>
                <w:w w:val="85"/>
                <w:sz w:val="16"/>
              </w:rPr>
              <w:t>Lack of funds</w:t>
            </w:r>
          </w:p>
        </w:tc>
        <w:tc>
          <w:tcPr>
            <w:tcW w:w="1480" w:type="dxa"/>
            <w:tcBorders>
              <w:bottom w:val="single" w:sz="12" w:space="0" w:color="231F20"/>
              <w:right w:val="single" w:sz="12" w:space="0" w:color="231F20"/>
            </w:tcBorders>
          </w:tcPr>
          <w:p w14:paraId="6A37B5F1" w14:textId="77777777" w:rsidR="009948F1" w:rsidRDefault="009948F1">
            <w:pPr>
              <w:pStyle w:val="TableParagraph"/>
              <w:spacing w:before="1"/>
              <w:rPr>
                <w:sz w:val="19"/>
              </w:rPr>
            </w:pPr>
          </w:p>
          <w:p w14:paraId="764BCF64" w14:textId="77777777" w:rsidR="009948F1" w:rsidRDefault="00BC0563">
            <w:pPr>
              <w:pStyle w:val="TableParagraph"/>
              <w:spacing w:before="1"/>
              <w:ind w:left="28"/>
              <w:rPr>
                <w:sz w:val="16"/>
              </w:rPr>
            </w:pPr>
            <w:r>
              <w:rPr>
                <w:color w:val="231F20"/>
                <w:w w:val="85"/>
                <w:sz w:val="16"/>
              </w:rPr>
              <w:t xml:space="preserve">Establish </w:t>
            </w:r>
            <w:proofErr w:type="spellStart"/>
            <w:r>
              <w:rPr>
                <w:color w:val="231F20"/>
                <w:w w:val="85"/>
                <w:sz w:val="16"/>
              </w:rPr>
              <w:t>programmes</w:t>
            </w:r>
            <w:proofErr w:type="spellEnd"/>
          </w:p>
        </w:tc>
      </w:tr>
    </w:tbl>
    <w:p w14:paraId="637723E5" w14:textId="77777777" w:rsidR="009948F1" w:rsidRDefault="009948F1">
      <w:pPr>
        <w:rPr>
          <w:sz w:val="16"/>
        </w:rPr>
        <w:sectPr w:rsidR="009948F1">
          <w:footerReference w:type="default" r:id="rId36"/>
          <w:pgSz w:w="11910" w:h="16840"/>
          <w:pgMar w:top="1320" w:right="1080" w:bottom="1340" w:left="1120" w:header="0" w:footer="1155" w:gutter="0"/>
          <w:pgNumType w:start="144"/>
          <w:cols w:space="720"/>
        </w:sectPr>
      </w:pPr>
    </w:p>
    <w:tbl>
      <w:tblPr>
        <w:tblW w:w="0" w:type="auto"/>
        <w:tblInd w:w="2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0"/>
        <w:gridCol w:w="551"/>
        <w:gridCol w:w="2631"/>
        <w:gridCol w:w="2498"/>
        <w:gridCol w:w="1495"/>
        <w:gridCol w:w="1577"/>
      </w:tblGrid>
      <w:tr w:rsidR="009948F1" w14:paraId="22B20DFE" w14:textId="77777777">
        <w:trPr>
          <w:trHeight w:val="1329"/>
        </w:trPr>
        <w:tc>
          <w:tcPr>
            <w:tcW w:w="480" w:type="dxa"/>
            <w:tcBorders>
              <w:left w:val="single" w:sz="8" w:space="0" w:color="231F20"/>
            </w:tcBorders>
            <w:shd w:val="clear" w:color="auto" w:fill="CCE7D3"/>
          </w:tcPr>
          <w:p w14:paraId="6CA903AC" w14:textId="77777777" w:rsidR="009948F1" w:rsidRDefault="009948F1">
            <w:pPr>
              <w:pStyle w:val="TableParagraph"/>
              <w:rPr>
                <w:sz w:val="14"/>
              </w:rPr>
            </w:pPr>
          </w:p>
          <w:p w14:paraId="2AFEC483" w14:textId="77777777" w:rsidR="009948F1" w:rsidRDefault="009948F1">
            <w:pPr>
              <w:pStyle w:val="TableParagraph"/>
              <w:rPr>
                <w:sz w:val="14"/>
              </w:rPr>
            </w:pPr>
          </w:p>
          <w:p w14:paraId="0AC5A624" w14:textId="77777777" w:rsidR="009948F1" w:rsidRDefault="009948F1">
            <w:pPr>
              <w:pStyle w:val="TableParagraph"/>
              <w:rPr>
                <w:sz w:val="14"/>
              </w:rPr>
            </w:pPr>
          </w:p>
          <w:p w14:paraId="5B8370AB" w14:textId="77777777" w:rsidR="009948F1" w:rsidRDefault="00BC0563">
            <w:pPr>
              <w:pStyle w:val="TableParagraph"/>
              <w:spacing w:before="95"/>
              <w:ind w:left="61"/>
              <w:rPr>
                <w:sz w:val="15"/>
              </w:rPr>
            </w:pPr>
            <w:bookmarkStart w:id="172" w:name="Page_146"/>
            <w:bookmarkEnd w:id="172"/>
            <w:r>
              <w:rPr>
                <w:color w:val="231F20"/>
                <w:w w:val="95"/>
                <w:sz w:val="15"/>
              </w:rPr>
              <w:t>6.1.4</w:t>
            </w:r>
          </w:p>
        </w:tc>
        <w:tc>
          <w:tcPr>
            <w:tcW w:w="3182" w:type="dxa"/>
            <w:gridSpan w:val="2"/>
            <w:shd w:val="clear" w:color="auto" w:fill="CCE7D3"/>
          </w:tcPr>
          <w:p w14:paraId="5C8635CC" w14:textId="77777777" w:rsidR="009948F1" w:rsidRDefault="009948F1">
            <w:pPr>
              <w:pStyle w:val="TableParagraph"/>
              <w:rPr>
                <w:sz w:val="14"/>
              </w:rPr>
            </w:pPr>
          </w:p>
          <w:p w14:paraId="23CABF9C" w14:textId="77777777" w:rsidR="009948F1" w:rsidRDefault="009948F1">
            <w:pPr>
              <w:pStyle w:val="TableParagraph"/>
              <w:rPr>
                <w:sz w:val="14"/>
              </w:rPr>
            </w:pPr>
          </w:p>
          <w:p w14:paraId="342577C0" w14:textId="77777777" w:rsidR="009948F1" w:rsidRDefault="009948F1">
            <w:pPr>
              <w:pStyle w:val="TableParagraph"/>
              <w:spacing w:before="7"/>
              <w:rPr>
                <w:sz w:val="13"/>
              </w:rPr>
            </w:pPr>
          </w:p>
          <w:p w14:paraId="1C6FBD72" w14:textId="77777777" w:rsidR="009948F1" w:rsidRDefault="00BC0563">
            <w:pPr>
              <w:pStyle w:val="TableParagraph"/>
              <w:spacing w:before="1" w:line="256" w:lineRule="auto"/>
              <w:ind w:left="26" w:right="-11" w:firstLine="34"/>
              <w:rPr>
                <w:sz w:val="15"/>
              </w:rPr>
            </w:pPr>
            <w:r>
              <w:rPr>
                <w:color w:val="231F20"/>
                <w:w w:val="85"/>
                <w:sz w:val="15"/>
              </w:rPr>
              <w:t>Expand access (geographic and financial etc. ) to NCD prevention, screening, control and treatment services</w:t>
            </w:r>
          </w:p>
        </w:tc>
        <w:tc>
          <w:tcPr>
            <w:tcW w:w="2498" w:type="dxa"/>
            <w:shd w:val="clear" w:color="auto" w:fill="CCE7D3"/>
          </w:tcPr>
          <w:p w14:paraId="05C376D7" w14:textId="77777777" w:rsidR="009948F1" w:rsidRDefault="00BC0563">
            <w:pPr>
              <w:pStyle w:val="TableParagraph"/>
              <w:numPr>
                <w:ilvl w:val="0"/>
                <w:numId w:val="133"/>
              </w:numPr>
              <w:tabs>
                <w:tab w:val="left" w:pos="105"/>
              </w:tabs>
              <w:spacing w:line="256" w:lineRule="auto"/>
              <w:ind w:right="198" w:firstLine="0"/>
              <w:rPr>
                <w:sz w:val="15"/>
              </w:rPr>
            </w:pPr>
            <w:r>
              <w:rPr>
                <w:color w:val="231F20"/>
                <w:w w:val="85"/>
                <w:sz w:val="15"/>
              </w:rPr>
              <w:t>Facilities</w:t>
            </w:r>
            <w:r>
              <w:rPr>
                <w:color w:val="231F20"/>
                <w:spacing w:val="-12"/>
                <w:w w:val="85"/>
                <w:sz w:val="15"/>
              </w:rPr>
              <w:t xml:space="preserve"> </w:t>
            </w:r>
            <w:r>
              <w:rPr>
                <w:color w:val="231F20"/>
                <w:w w:val="85"/>
                <w:sz w:val="15"/>
              </w:rPr>
              <w:t>rendering</w:t>
            </w:r>
            <w:r>
              <w:rPr>
                <w:color w:val="231F20"/>
                <w:spacing w:val="-12"/>
                <w:w w:val="85"/>
                <w:sz w:val="15"/>
              </w:rPr>
              <w:t xml:space="preserve"> </w:t>
            </w:r>
            <w:r>
              <w:rPr>
                <w:color w:val="231F20"/>
                <w:w w:val="85"/>
                <w:sz w:val="15"/>
              </w:rPr>
              <w:t>NCD</w:t>
            </w:r>
            <w:r>
              <w:rPr>
                <w:color w:val="231F20"/>
                <w:spacing w:val="-12"/>
                <w:w w:val="85"/>
                <w:sz w:val="15"/>
              </w:rPr>
              <w:t xml:space="preserve"> </w:t>
            </w:r>
            <w:r>
              <w:rPr>
                <w:color w:val="231F20"/>
                <w:w w:val="85"/>
                <w:sz w:val="15"/>
              </w:rPr>
              <w:t>services</w:t>
            </w:r>
            <w:r>
              <w:rPr>
                <w:color w:val="231F20"/>
                <w:spacing w:val="-12"/>
                <w:w w:val="85"/>
                <w:sz w:val="15"/>
              </w:rPr>
              <w:t xml:space="preserve"> </w:t>
            </w:r>
            <w:r>
              <w:rPr>
                <w:color w:val="231F20"/>
                <w:w w:val="85"/>
                <w:sz w:val="15"/>
              </w:rPr>
              <w:t>in</w:t>
            </w:r>
            <w:r>
              <w:rPr>
                <w:color w:val="231F20"/>
                <w:spacing w:val="-12"/>
                <w:w w:val="85"/>
                <w:sz w:val="15"/>
              </w:rPr>
              <w:t xml:space="preserve"> </w:t>
            </w:r>
            <w:r>
              <w:rPr>
                <w:color w:val="231F20"/>
                <w:w w:val="85"/>
                <w:sz w:val="15"/>
              </w:rPr>
              <w:t xml:space="preserve">the </w:t>
            </w:r>
            <w:r>
              <w:rPr>
                <w:color w:val="231F20"/>
                <w:w w:val="90"/>
                <w:sz w:val="15"/>
              </w:rPr>
              <w:t>state,</w:t>
            </w:r>
            <w:r>
              <w:rPr>
                <w:color w:val="231F20"/>
                <w:spacing w:val="-23"/>
                <w:w w:val="90"/>
                <w:sz w:val="15"/>
              </w:rPr>
              <w:t xml:space="preserve"> </w:t>
            </w:r>
            <w:r>
              <w:rPr>
                <w:color w:val="231F20"/>
                <w:w w:val="90"/>
                <w:sz w:val="15"/>
              </w:rPr>
              <w:t>both</w:t>
            </w:r>
            <w:r>
              <w:rPr>
                <w:color w:val="231F20"/>
                <w:spacing w:val="-22"/>
                <w:w w:val="90"/>
                <w:sz w:val="15"/>
              </w:rPr>
              <w:t xml:space="preserve"> </w:t>
            </w:r>
            <w:r>
              <w:rPr>
                <w:color w:val="231F20"/>
                <w:w w:val="90"/>
                <w:sz w:val="15"/>
              </w:rPr>
              <w:t>public</w:t>
            </w:r>
            <w:r>
              <w:rPr>
                <w:color w:val="231F20"/>
                <w:spacing w:val="-22"/>
                <w:w w:val="90"/>
                <w:sz w:val="15"/>
              </w:rPr>
              <w:t xml:space="preserve"> </w:t>
            </w:r>
            <w:r>
              <w:rPr>
                <w:color w:val="231F20"/>
                <w:w w:val="90"/>
                <w:sz w:val="15"/>
              </w:rPr>
              <w:t>and</w:t>
            </w:r>
            <w:r>
              <w:rPr>
                <w:color w:val="231F20"/>
                <w:spacing w:val="-23"/>
                <w:w w:val="90"/>
                <w:sz w:val="15"/>
              </w:rPr>
              <w:t xml:space="preserve"> </w:t>
            </w:r>
            <w:r>
              <w:rPr>
                <w:color w:val="231F20"/>
                <w:w w:val="90"/>
                <w:sz w:val="15"/>
              </w:rPr>
              <w:t>private</w:t>
            </w:r>
            <w:r>
              <w:rPr>
                <w:color w:val="231F20"/>
                <w:spacing w:val="-22"/>
                <w:w w:val="90"/>
                <w:sz w:val="15"/>
              </w:rPr>
              <w:t xml:space="preserve"> </w:t>
            </w:r>
            <w:r>
              <w:rPr>
                <w:color w:val="231F20"/>
                <w:w w:val="90"/>
                <w:sz w:val="15"/>
              </w:rPr>
              <w:t>identified</w:t>
            </w:r>
          </w:p>
          <w:p w14:paraId="36B2C0F7" w14:textId="77777777" w:rsidR="009948F1" w:rsidRDefault="00BC0563">
            <w:pPr>
              <w:pStyle w:val="TableParagraph"/>
              <w:numPr>
                <w:ilvl w:val="0"/>
                <w:numId w:val="133"/>
              </w:numPr>
              <w:tabs>
                <w:tab w:val="left" w:pos="72"/>
              </w:tabs>
              <w:spacing w:line="256" w:lineRule="auto"/>
              <w:ind w:right="378" w:firstLine="0"/>
              <w:rPr>
                <w:sz w:val="15"/>
              </w:rPr>
            </w:pPr>
            <w:r>
              <w:rPr>
                <w:color w:val="231F20"/>
                <w:w w:val="85"/>
                <w:sz w:val="15"/>
              </w:rPr>
              <w:t>SOPs</w:t>
            </w:r>
            <w:r>
              <w:rPr>
                <w:color w:val="231F20"/>
                <w:spacing w:val="-10"/>
                <w:w w:val="85"/>
                <w:sz w:val="15"/>
              </w:rPr>
              <w:t xml:space="preserve"> </w:t>
            </w:r>
            <w:r>
              <w:rPr>
                <w:color w:val="231F20"/>
                <w:w w:val="85"/>
                <w:sz w:val="15"/>
              </w:rPr>
              <w:t>for</w:t>
            </w:r>
            <w:r>
              <w:rPr>
                <w:color w:val="231F20"/>
                <w:spacing w:val="-10"/>
                <w:w w:val="85"/>
                <w:sz w:val="15"/>
              </w:rPr>
              <w:t xml:space="preserve"> </w:t>
            </w:r>
            <w:r>
              <w:rPr>
                <w:color w:val="231F20"/>
                <w:w w:val="85"/>
                <w:sz w:val="15"/>
              </w:rPr>
              <w:t>NCDs</w:t>
            </w:r>
            <w:r>
              <w:rPr>
                <w:color w:val="231F20"/>
                <w:spacing w:val="-10"/>
                <w:w w:val="85"/>
                <w:sz w:val="15"/>
              </w:rPr>
              <w:t xml:space="preserve"> </w:t>
            </w:r>
            <w:r>
              <w:rPr>
                <w:color w:val="231F20"/>
                <w:w w:val="85"/>
                <w:sz w:val="15"/>
              </w:rPr>
              <w:t>in</w:t>
            </w:r>
            <w:r>
              <w:rPr>
                <w:color w:val="231F20"/>
                <w:spacing w:val="-9"/>
                <w:w w:val="85"/>
                <w:sz w:val="15"/>
              </w:rPr>
              <w:t xml:space="preserve"> </w:t>
            </w:r>
            <w:r>
              <w:rPr>
                <w:color w:val="231F20"/>
                <w:w w:val="85"/>
                <w:sz w:val="15"/>
              </w:rPr>
              <w:t>all</w:t>
            </w:r>
            <w:r>
              <w:rPr>
                <w:color w:val="231F20"/>
                <w:spacing w:val="-10"/>
                <w:w w:val="85"/>
                <w:sz w:val="15"/>
              </w:rPr>
              <w:t xml:space="preserve"> </w:t>
            </w:r>
            <w:r>
              <w:rPr>
                <w:color w:val="231F20"/>
                <w:w w:val="85"/>
                <w:sz w:val="15"/>
              </w:rPr>
              <w:t>Health</w:t>
            </w:r>
            <w:r>
              <w:rPr>
                <w:color w:val="231F20"/>
                <w:spacing w:val="-10"/>
                <w:w w:val="85"/>
                <w:sz w:val="15"/>
              </w:rPr>
              <w:t xml:space="preserve"> </w:t>
            </w:r>
            <w:r>
              <w:rPr>
                <w:color w:val="231F20"/>
                <w:w w:val="85"/>
                <w:sz w:val="15"/>
              </w:rPr>
              <w:t xml:space="preserve">facilities </w:t>
            </w:r>
            <w:r>
              <w:rPr>
                <w:color w:val="231F20"/>
                <w:w w:val="95"/>
                <w:sz w:val="15"/>
              </w:rPr>
              <w:t>developed</w:t>
            </w:r>
          </w:p>
          <w:p w14:paraId="02A199AD" w14:textId="77777777" w:rsidR="009948F1" w:rsidRDefault="00BC0563">
            <w:pPr>
              <w:pStyle w:val="TableParagraph"/>
              <w:numPr>
                <w:ilvl w:val="0"/>
                <w:numId w:val="133"/>
              </w:numPr>
              <w:tabs>
                <w:tab w:val="left" w:pos="105"/>
              </w:tabs>
              <w:ind w:left="104"/>
              <w:rPr>
                <w:sz w:val="15"/>
              </w:rPr>
            </w:pPr>
            <w:r>
              <w:rPr>
                <w:color w:val="231F20"/>
                <w:w w:val="95"/>
                <w:sz w:val="15"/>
              </w:rPr>
              <w:t>Screening</w:t>
            </w:r>
            <w:r>
              <w:rPr>
                <w:color w:val="231F20"/>
                <w:spacing w:val="-21"/>
                <w:w w:val="95"/>
                <w:sz w:val="15"/>
              </w:rPr>
              <w:t xml:space="preserve"> </w:t>
            </w:r>
            <w:r>
              <w:rPr>
                <w:color w:val="231F20"/>
                <w:w w:val="95"/>
                <w:sz w:val="15"/>
              </w:rPr>
              <w:t>tools</w:t>
            </w:r>
            <w:r>
              <w:rPr>
                <w:color w:val="231F20"/>
                <w:spacing w:val="-20"/>
                <w:w w:val="95"/>
                <w:sz w:val="15"/>
              </w:rPr>
              <w:t xml:space="preserve"> </w:t>
            </w:r>
            <w:r>
              <w:rPr>
                <w:color w:val="231F20"/>
                <w:w w:val="95"/>
                <w:sz w:val="15"/>
              </w:rPr>
              <w:t>for</w:t>
            </w:r>
            <w:r>
              <w:rPr>
                <w:color w:val="231F20"/>
                <w:spacing w:val="-21"/>
                <w:w w:val="95"/>
                <w:sz w:val="15"/>
              </w:rPr>
              <w:t xml:space="preserve"> </w:t>
            </w:r>
            <w:r>
              <w:rPr>
                <w:color w:val="231F20"/>
                <w:w w:val="95"/>
                <w:sz w:val="15"/>
              </w:rPr>
              <w:t>NCDs</w:t>
            </w:r>
            <w:r>
              <w:rPr>
                <w:color w:val="231F20"/>
                <w:spacing w:val="-20"/>
                <w:w w:val="95"/>
                <w:sz w:val="15"/>
              </w:rPr>
              <w:t xml:space="preserve"> </w:t>
            </w:r>
            <w:r>
              <w:rPr>
                <w:color w:val="231F20"/>
                <w:w w:val="95"/>
                <w:sz w:val="15"/>
              </w:rPr>
              <w:t>provided</w:t>
            </w:r>
          </w:p>
          <w:p w14:paraId="0C914270" w14:textId="77777777" w:rsidR="009948F1" w:rsidRDefault="00BC0563">
            <w:pPr>
              <w:pStyle w:val="TableParagraph"/>
              <w:numPr>
                <w:ilvl w:val="0"/>
                <w:numId w:val="133"/>
              </w:numPr>
              <w:tabs>
                <w:tab w:val="left" w:pos="98"/>
              </w:tabs>
              <w:spacing w:before="12" w:line="256" w:lineRule="auto"/>
              <w:ind w:right="158" w:firstLine="0"/>
              <w:rPr>
                <w:sz w:val="15"/>
              </w:rPr>
            </w:pPr>
            <w:r>
              <w:rPr>
                <w:color w:val="231F20"/>
                <w:w w:val="95"/>
                <w:sz w:val="15"/>
              </w:rPr>
              <w:t xml:space="preserve">At least 1 Comprehensive NCD </w:t>
            </w:r>
            <w:r>
              <w:rPr>
                <w:color w:val="231F20"/>
                <w:w w:val="80"/>
                <w:sz w:val="15"/>
              </w:rPr>
              <w:t>treatment/Cancer</w:t>
            </w:r>
            <w:r>
              <w:rPr>
                <w:color w:val="231F20"/>
                <w:spacing w:val="17"/>
                <w:w w:val="80"/>
                <w:sz w:val="15"/>
              </w:rPr>
              <w:t xml:space="preserve"> </w:t>
            </w:r>
            <w:r>
              <w:rPr>
                <w:color w:val="231F20"/>
                <w:w w:val="80"/>
                <w:sz w:val="15"/>
              </w:rPr>
              <w:t>treatment/Radiotherapy</w:t>
            </w:r>
          </w:p>
        </w:tc>
        <w:tc>
          <w:tcPr>
            <w:tcW w:w="1495" w:type="dxa"/>
            <w:shd w:val="clear" w:color="auto" w:fill="CCE7D3"/>
          </w:tcPr>
          <w:p w14:paraId="3BAE8C32" w14:textId="77777777" w:rsidR="009948F1" w:rsidRDefault="009948F1">
            <w:pPr>
              <w:pStyle w:val="TableParagraph"/>
              <w:rPr>
                <w:rFonts w:ascii="Times New Roman"/>
                <w:sz w:val="12"/>
              </w:rPr>
            </w:pPr>
          </w:p>
        </w:tc>
        <w:tc>
          <w:tcPr>
            <w:tcW w:w="1577" w:type="dxa"/>
            <w:shd w:val="clear" w:color="auto" w:fill="CCE7D3"/>
          </w:tcPr>
          <w:p w14:paraId="32452BE7" w14:textId="77777777" w:rsidR="009948F1" w:rsidRDefault="009948F1">
            <w:pPr>
              <w:pStyle w:val="TableParagraph"/>
              <w:rPr>
                <w:rFonts w:ascii="Times New Roman"/>
                <w:sz w:val="12"/>
              </w:rPr>
            </w:pPr>
          </w:p>
        </w:tc>
      </w:tr>
      <w:tr w:rsidR="009948F1" w14:paraId="094B9843" w14:textId="77777777">
        <w:trPr>
          <w:trHeight w:val="600"/>
        </w:trPr>
        <w:tc>
          <w:tcPr>
            <w:tcW w:w="480" w:type="dxa"/>
            <w:vMerge w:val="restart"/>
            <w:tcBorders>
              <w:left w:val="single" w:sz="8" w:space="0" w:color="231F20"/>
            </w:tcBorders>
          </w:tcPr>
          <w:p w14:paraId="23CF9148" w14:textId="77777777" w:rsidR="009948F1" w:rsidRDefault="009948F1">
            <w:pPr>
              <w:pStyle w:val="TableParagraph"/>
              <w:rPr>
                <w:rFonts w:ascii="Times New Roman"/>
                <w:sz w:val="12"/>
              </w:rPr>
            </w:pPr>
          </w:p>
        </w:tc>
        <w:tc>
          <w:tcPr>
            <w:tcW w:w="551" w:type="dxa"/>
          </w:tcPr>
          <w:p w14:paraId="6D053FFC" w14:textId="77777777" w:rsidR="009948F1" w:rsidRDefault="009948F1">
            <w:pPr>
              <w:pStyle w:val="TableParagraph"/>
              <w:spacing w:before="6"/>
              <w:rPr>
                <w:sz w:val="18"/>
              </w:rPr>
            </w:pPr>
          </w:p>
          <w:p w14:paraId="7D7495AA" w14:textId="77777777" w:rsidR="009948F1" w:rsidRDefault="00BC0563">
            <w:pPr>
              <w:pStyle w:val="TableParagraph"/>
              <w:ind w:left="88"/>
              <w:rPr>
                <w:sz w:val="15"/>
              </w:rPr>
            </w:pPr>
            <w:r>
              <w:rPr>
                <w:color w:val="231F20"/>
                <w:w w:val="90"/>
                <w:sz w:val="15"/>
              </w:rPr>
              <w:t>6.1.4.a</w:t>
            </w:r>
          </w:p>
        </w:tc>
        <w:tc>
          <w:tcPr>
            <w:tcW w:w="5129" w:type="dxa"/>
            <w:gridSpan w:val="2"/>
          </w:tcPr>
          <w:p w14:paraId="7C9E82FB" w14:textId="77777777" w:rsidR="009948F1" w:rsidRDefault="00BC0563">
            <w:pPr>
              <w:pStyle w:val="TableParagraph"/>
              <w:spacing w:line="118" w:lineRule="exact"/>
              <w:ind w:left="2657"/>
              <w:rPr>
                <w:sz w:val="15"/>
              </w:rPr>
            </w:pPr>
            <w:r>
              <w:rPr>
                <w:color w:val="231F20"/>
                <w:w w:val="95"/>
                <w:sz w:val="15"/>
              </w:rPr>
              <w:t>center established</w:t>
            </w:r>
          </w:p>
          <w:p w14:paraId="6813CA7F" w14:textId="77777777" w:rsidR="009948F1" w:rsidRDefault="00BC0563">
            <w:pPr>
              <w:pStyle w:val="TableParagraph"/>
              <w:spacing w:line="256" w:lineRule="auto"/>
              <w:ind w:left="26"/>
              <w:rPr>
                <w:sz w:val="15"/>
              </w:rPr>
            </w:pPr>
            <w:r>
              <w:rPr>
                <w:color w:val="231F20"/>
                <w:w w:val="85"/>
                <w:sz w:val="15"/>
              </w:rPr>
              <w:t>Identify</w:t>
            </w:r>
            <w:r>
              <w:rPr>
                <w:color w:val="231F20"/>
                <w:spacing w:val="-12"/>
                <w:w w:val="85"/>
                <w:sz w:val="15"/>
              </w:rPr>
              <w:t xml:space="preserve"> </w:t>
            </w:r>
            <w:r>
              <w:rPr>
                <w:color w:val="231F20"/>
                <w:w w:val="85"/>
                <w:sz w:val="15"/>
              </w:rPr>
              <w:t>facilities</w:t>
            </w:r>
            <w:r>
              <w:rPr>
                <w:color w:val="231F20"/>
                <w:spacing w:val="-11"/>
                <w:w w:val="85"/>
                <w:sz w:val="15"/>
              </w:rPr>
              <w:t xml:space="preserve"> </w:t>
            </w:r>
            <w:r>
              <w:rPr>
                <w:color w:val="231F20"/>
                <w:w w:val="85"/>
                <w:sz w:val="15"/>
              </w:rPr>
              <w:t>rendering</w:t>
            </w:r>
            <w:r>
              <w:rPr>
                <w:color w:val="231F20"/>
                <w:spacing w:val="-11"/>
                <w:w w:val="85"/>
                <w:sz w:val="15"/>
              </w:rPr>
              <w:t xml:space="preserve"> </w:t>
            </w:r>
            <w:r>
              <w:rPr>
                <w:color w:val="231F20"/>
                <w:w w:val="85"/>
                <w:sz w:val="15"/>
              </w:rPr>
              <w:t>NCD</w:t>
            </w:r>
            <w:r>
              <w:rPr>
                <w:color w:val="231F20"/>
                <w:spacing w:val="-11"/>
                <w:w w:val="85"/>
                <w:sz w:val="15"/>
              </w:rPr>
              <w:t xml:space="preserve"> </w:t>
            </w:r>
            <w:r>
              <w:rPr>
                <w:color w:val="231F20"/>
                <w:w w:val="85"/>
                <w:sz w:val="15"/>
              </w:rPr>
              <w:t>services</w:t>
            </w:r>
            <w:r>
              <w:rPr>
                <w:color w:val="231F20"/>
                <w:spacing w:val="-11"/>
                <w:w w:val="85"/>
                <w:sz w:val="15"/>
              </w:rPr>
              <w:t xml:space="preserve"> </w:t>
            </w:r>
            <w:r>
              <w:rPr>
                <w:color w:val="231F20"/>
                <w:w w:val="85"/>
                <w:sz w:val="15"/>
              </w:rPr>
              <w:t>in</w:t>
            </w:r>
            <w:r>
              <w:rPr>
                <w:color w:val="231F20"/>
                <w:spacing w:val="-11"/>
                <w:w w:val="85"/>
                <w:sz w:val="15"/>
              </w:rPr>
              <w:t xml:space="preserve"> </w:t>
            </w:r>
            <w:r>
              <w:rPr>
                <w:color w:val="231F20"/>
                <w:w w:val="85"/>
                <w:sz w:val="15"/>
              </w:rPr>
              <w:t>the</w:t>
            </w:r>
            <w:r>
              <w:rPr>
                <w:color w:val="231F20"/>
                <w:spacing w:val="-11"/>
                <w:w w:val="85"/>
                <w:sz w:val="15"/>
              </w:rPr>
              <w:t xml:space="preserve"> </w:t>
            </w:r>
            <w:r>
              <w:rPr>
                <w:color w:val="231F20"/>
                <w:w w:val="85"/>
                <w:sz w:val="15"/>
              </w:rPr>
              <w:t>state,</w:t>
            </w:r>
            <w:r>
              <w:rPr>
                <w:color w:val="231F20"/>
                <w:spacing w:val="-11"/>
                <w:w w:val="85"/>
                <w:sz w:val="15"/>
              </w:rPr>
              <w:t xml:space="preserve"> </w:t>
            </w:r>
            <w:r>
              <w:rPr>
                <w:color w:val="231F20"/>
                <w:w w:val="85"/>
                <w:sz w:val="15"/>
              </w:rPr>
              <w:t>both</w:t>
            </w:r>
            <w:r>
              <w:rPr>
                <w:color w:val="231F20"/>
                <w:spacing w:val="-11"/>
                <w:w w:val="85"/>
                <w:sz w:val="15"/>
              </w:rPr>
              <w:t xml:space="preserve"> </w:t>
            </w:r>
            <w:r>
              <w:rPr>
                <w:color w:val="231F20"/>
                <w:w w:val="85"/>
                <w:sz w:val="15"/>
              </w:rPr>
              <w:t>public</w:t>
            </w:r>
            <w:r>
              <w:rPr>
                <w:color w:val="231F20"/>
                <w:spacing w:val="-11"/>
                <w:w w:val="85"/>
                <w:sz w:val="15"/>
              </w:rPr>
              <w:t xml:space="preserve"> </w:t>
            </w:r>
            <w:r>
              <w:rPr>
                <w:color w:val="231F20"/>
                <w:w w:val="85"/>
                <w:sz w:val="15"/>
              </w:rPr>
              <w:t>and</w:t>
            </w:r>
            <w:r>
              <w:rPr>
                <w:color w:val="231F20"/>
                <w:spacing w:val="-11"/>
                <w:w w:val="85"/>
                <w:sz w:val="15"/>
              </w:rPr>
              <w:t xml:space="preserve"> </w:t>
            </w:r>
            <w:r>
              <w:rPr>
                <w:color w:val="231F20"/>
                <w:w w:val="85"/>
                <w:sz w:val="15"/>
              </w:rPr>
              <w:t>private</w:t>
            </w:r>
            <w:r>
              <w:rPr>
                <w:color w:val="231F20"/>
                <w:spacing w:val="-11"/>
                <w:w w:val="85"/>
                <w:sz w:val="15"/>
              </w:rPr>
              <w:t xml:space="preserve"> </w:t>
            </w:r>
            <w:r>
              <w:rPr>
                <w:color w:val="231F20"/>
                <w:w w:val="85"/>
                <w:sz w:val="15"/>
              </w:rPr>
              <w:t>for</w:t>
            </w:r>
            <w:r>
              <w:rPr>
                <w:color w:val="231F20"/>
                <w:spacing w:val="-11"/>
                <w:w w:val="85"/>
                <w:sz w:val="15"/>
              </w:rPr>
              <w:t xml:space="preserve"> </w:t>
            </w:r>
            <w:r>
              <w:rPr>
                <w:color w:val="231F20"/>
                <w:w w:val="85"/>
                <w:sz w:val="15"/>
              </w:rPr>
              <w:t xml:space="preserve">monitoring </w:t>
            </w:r>
            <w:r>
              <w:rPr>
                <w:color w:val="231F20"/>
                <w:w w:val="95"/>
                <w:sz w:val="15"/>
              </w:rPr>
              <w:t>and</w:t>
            </w:r>
            <w:r>
              <w:rPr>
                <w:color w:val="231F20"/>
                <w:spacing w:val="-7"/>
                <w:w w:val="95"/>
                <w:sz w:val="15"/>
              </w:rPr>
              <w:t xml:space="preserve"> </w:t>
            </w:r>
            <w:r>
              <w:rPr>
                <w:color w:val="231F20"/>
                <w:w w:val="95"/>
                <w:sz w:val="15"/>
              </w:rPr>
              <w:t>supervision</w:t>
            </w:r>
          </w:p>
        </w:tc>
        <w:tc>
          <w:tcPr>
            <w:tcW w:w="1495" w:type="dxa"/>
          </w:tcPr>
          <w:p w14:paraId="5A4C58F4" w14:textId="77777777" w:rsidR="009948F1" w:rsidRDefault="009948F1">
            <w:pPr>
              <w:pStyle w:val="TableParagraph"/>
              <w:spacing w:before="6"/>
              <w:rPr>
                <w:sz w:val="18"/>
              </w:rPr>
            </w:pPr>
          </w:p>
          <w:p w14:paraId="3DFD7B48" w14:textId="77777777" w:rsidR="009948F1" w:rsidRDefault="00BC0563">
            <w:pPr>
              <w:pStyle w:val="TableParagraph"/>
              <w:ind w:left="26"/>
              <w:rPr>
                <w:sz w:val="15"/>
              </w:rPr>
            </w:pPr>
            <w:r>
              <w:rPr>
                <w:color w:val="231F20"/>
                <w:w w:val="95"/>
                <w:sz w:val="15"/>
              </w:rPr>
              <w:t>Lack of funds</w:t>
            </w:r>
          </w:p>
        </w:tc>
        <w:tc>
          <w:tcPr>
            <w:tcW w:w="1577" w:type="dxa"/>
          </w:tcPr>
          <w:p w14:paraId="406F4F8D" w14:textId="77777777" w:rsidR="009948F1" w:rsidRDefault="00BC0563">
            <w:pPr>
              <w:pStyle w:val="TableParagraph"/>
              <w:spacing w:before="122" w:line="256" w:lineRule="auto"/>
              <w:ind w:left="27" w:right="-9"/>
              <w:rPr>
                <w:sz w:val="15"/>
              </w:rPr>
            </w:pPr>
            <w:r>
              <w:rPr>
                <w:color w:val="231F20"/>
                <w:w w:val="95"/>
                <w:sz w:val="15"/>
              </w:rPr>
              <w:t xml:space="preserve">Identify and conduct </w:t>
            </w:r>
            <w:r>
              <w:rPr>
                <w:color w:val="231F20"/>
                <w:w w:val="85"/>
                <w:sz w:val="15"/>
              </w:rPr>
              <w:t>monitoring and supervision</w:t>
            </w:r>
          </w:p>
        </w:tc>
      </w:tr>
      <w:tr w:rsidR="009948F1" w14:paraId="43A989FB" w14:textId="77777777">
        <w:trPr>
          <w:trHeight w:val="601"/>
        </w:trPr>
        <w:tc>
          <w:tcPr>
            <w:tcW w:w="480" w:type="dxa"/>
            <w:vMerge/>
            <w:tcBorders>
              <w:top w:val="nil"/>
              <w:left w:val="single" w:sz="8" w:space="0" w:color="231F20"/>
            </w:tcBorders>
          </w:tcPr>
          <w:p w14:paraId="341CF31F" w14:textId="77777777" w:rsidR="009948F1" w:rsidRDefault="009948F1">
            <w:pPr>
              <w:rPr>
                <w:sz w:val="2"/>
                <w:szCs w:val="2"/>
              </w:rPr>
            </w:pPr>
          </w:p>
        </w:tc>
        <w:tc>
          <w:tcPr>
            <w:tcW w:w="551" w:type="dxa"/>
          </w:tcPr>
          <w:p w14:paraId="55A7A941" w14:textId="77777777" w:rsidR="009948F1" w:rsidRDefault="009948F1">
            <w:pPr>
              <w:pStyle w:val="TableParagraph"/>
              <w:spacing w:before="6"/>
              <w:rPr>
                <w:sz w:val="18"/>
              </w:rPr>
            </w:pPr>
          </w:p>
          <w:p w14:paraId="1C14F6E9" w14:textId="77777777" w:rsidR="009948F1" w:rsidRDefault="00BC0563">
            <w:pPr>
              <w:pStyle w:val="TableParagraph"/>
              <w:ind w:left="88"/>
              <w:rPr>
                <w:sz w:val="15"/>
              </w:rPr>
            </w:pPr>
            <w:r>
              <w:rPr>
                <w:color w:val="231F20"/>
                <w:w w:val="90"/>
                <w:sz w:val="15"/>
              </w:rPr>
              <w:t>6.1.4.b</w:t>
            </w:r>
          </w:p>
        </w:tc>
        <w:tc>
          <w:tcPr>
            <w:tcW w:w="5129" w:type="dxa"/>
            <w:gridSpan w:val="2"/>
          </w:tcPr>
          <w:p w14:paraId="6B510961" w14:textId="77777777" w:rsidR="009948F1" w:rsidRDefault="009948F1">
            <w:pPr>
              <w:pStyle w:val="TableParagraph"/>
              <w:rPr>
                <w:sz w:val="18"/>
              </w:rPr>
            </w:pPr>
          </w:p>
          <w:p w14:paraId="1EE1CC0C" w14:textId="77777777" w:rsidR="009948F1" w:rsidRDefault="00BC0563">
            <w:pPr>
              <w:pStyle w:val="TableParagraph"/>
              <w:ind w:left="26"/>
              <w:rPr>
                <w:sz w:val="15"/>
              </w:rPr>
            </w:pPr>
            <w:r>
              <w:rPr>
                <w:color w:val="231F20"/>
                <w:w w:val="95"/>
                <w:sz w:val="15"/>
              </w:rPr>
              <w:t>Develop SOPs for NCDs in all Health facilities in the state.</w:t>
            </w:r>
          </w:p>
        </w:tc>
        <w:tc>
          <w:tcPr>
            <w:tcW w:w="1495" w:type="dxa"/>
          </w:tcPr>
          <w:p w14:paraId="575D9AEF" w14:textId="77777777" w:rsidR="009948F1" w:rsidRDefault="009948F1">
            <w:pPr>
              <w:pStyle w:val="TableParagraph"/>
              <w:spacing w:before="6"/>
              <w:rPr>
                <w:sz w:val="18"/>
              </w:rPr>
            </w:pPr>
          </w:p>
          <w:p w14:paraId="3D0DB3F7" w14:textId="77777777" w:rsidR="009948F1" w:rsidRDefault="00BC0563">
            <w:pPr>
              <w:pStyle w:val="TableParagraph"/>
              <w:ind w:left="26"/>
              <w:rPr>
                <w:sz w:val="15"/>
              </w:rPr>
            </w:pPr>
            <w:r>
              <w:rPr>
                <w:color w:val="231F20"/>
                <w:w w:val="95"/>
                <w:sz w:val="15"/>
              </w:rPr>
              <w:t>Lack of funds</w:t>
            </w:r>
          </w:p>
        </w:tc>
        <w:tc>
          <w:tcPr>
            <w:tcW w:w="1577" w:type="dxa"/>
          </w:tcPr>
          <w:p w14:paraId="51BDEF35" w14:textId="77777777" w:rsidR="009948F1" w:rsidRDefault="009948F1">
            <w:pPr>
              <w:pStyle w:val="TableParagraph"/>
              <w:spacing w:before="6"/>
              <w:rPr>
                <w:sz w:val="18"/>
              </w:rPr>
            </w:pPr>
          </w:p>
          <w:p w14:paraId="7E8EB458" w14:textId="77777777" w:rsidR="009948F1" w:rsidRDefault="00BC0563">
            <w:pPr>
              <w:pStyle w:val="TableParagraph"/>
              <w:ind w:left="27"/>
              <w:rPr>
                <w:sz w:val="15"/>
              </w:rPr>
            </w:pPr>
            <w:r>
              <w:rPr>
                <w:color w:val="231F20"/>
                <w:w w:val="95"/>
                <w:sz w:val="15"/>
              </w:rPr>
              <w:t>Develop</w:t>
            </w:r>
            <w:r>
              <w:rPr>
                <w:color w:val="231F20"/>
                <w:spacing w:val="-29"/>
                <w:w w:val="95"/>
                <w:sz w:val="15"/>
              </w:rPr>
              <w:t xml:space="preserve"> </w:t>
            </w:r>
            <w:r>
              <w:rPr>
                <w:color w:val="231F20"/>
                <w:w w:val="95"/>
                <w:sz w:val="15"/>
              </w:rPr>
              <w:t>SOPs</w:t>
            </w:r>
            <w:r>
              <w:rPr>
                <w:color w:val="231F20"/>
                <w:spacing w:val="-28"/>
                <w:w w:val="95"/>
                <w:sz w:val="15"/>
              </w:rPr>
              <w:t xml:space="preserve"> </w:t>
            </w:r>
            <w:r>
              <w:rPr>
                <w:color w:val="231F20"/>
                <w:w w:val="95"/>
                <w:sz w:val="15"/>
              </w:rPr>
              <w:t>for</w:t>
            </w:r>
            <w:r>
              <w:rPr>
                <w:color w:val="231F20"/>
                <w:spacing w:val="-28"/>
                <w:w w:val="95"/>
                <w:sz w:val="15"/>
              </w:rPr>
              <w:t xml:space="preserve"> </w:t>
            </w:r>
            <w:r>
              <w:rPr>
                <w:color w:val="231F20"/>
                <w:w w:val="95"/>
                <w:sz w:val="15"/>
              </w:rPr>
              <w:t>NCDs</w:t>
            </w:r>
          </w:p>
        </w:tc>
      </w:tr>
      <w:tr w:rsidR="009948F1" w14:paraId="06CF4023" w14:textId="77777777">
        <w:trPr>
          <w:trHeight w:val="601"/>
        </w:trPr>
        <w:tc>
          <w:tcPr>
            <w:tcW w:w="480" w:type="dxa"/>
            <w:vMerge/>
            <w:tcBorders>
              <w:top w:val="nil"/>
              <w:left w:val="single" w:sz="8" w:space="0" w:color="231F20"/>
            </w:tcBorders>
          </w:tcPr>
          <w:p w14:paraId="5A1F3F51" w14:textId="77777777" w:rsidR="009948F1" w:rsidRDefault="009948F1">
            <w:pPr>
              <w:rPr>
                <w:sz w:val="2"/>
                <w:szCs w:val="2"/>
              </w:rPr>
            </w:pPr>
          </w:p>
        </w:tc>
        <w:tc>
          <w:tcPr>
            <w:tcW w:w="551" w:type="dxa"/>
          </w:tcPr>
          <w:p w14:paraId="7BCCFE28" w14:textId="77777777" w:rsidR="009948F1" w:rsidRDefault="009948F1">
            <w:pPr>
              <w:pStyle w:val="TableParagraph"/>
              <w:spacing w:before="6"/>
              <w:rPr>
                <w:sz w:val="18"/>
              </w:rPr>
            </w:pPr>
          </w:p>
          <w:p w14:paraId="023F4EC7" w14:textId="77777777" w:rsidR="009948F1" w:rsidRDefault="00BC0563">
            <w:pPr>
              <w:pStyle w:val="TableParagraph"/>
              <w:ind w:left="92"/>
              <w:rPr>
                <w:sz w:val="15"/>
              </w:rPr>
            </w:pPr>
            <w:r>
              <w:rPr>
                <w:color w:val="231F20"/>
                <w:w w:val="90"/>
                <w:sz w:val="15"/>
              </w:rPr>
              <w:t>6.1.4.c</w:t>
            </w:r>
          </w:p>
        </w:tc>
        <w:tc>
          <w:tcPr>
            <w:tcW w:w="5129" w:type="dxa"/>
            <w:gridSpan w:val="2"/>
          </w:tcPr>
          <w:p w14:paraId="51BDE0B7" w14:textId="7CA765A6" w:rsidR="009948F1" w:rsidRDefault="00BC0563">
            <w:pPr>
              <w:pStyle w:val="TableParagraph"/>
              <w:spacing w:before="116" w:line="256" w:lineRule="auto"/>
              <w:ind w:left="26" w:right="1107"/>
              <w:rPr>
                <w:sz w:val="15"/>
              </w:rPr>
            </w:pPr>
            <w:r>
              <w:rPr>
                <w:color w:val="231F20"/>
                <w:w w:val="85"/>
                <w:sz w:val="15"/>
              </w:rPr>
              <w:t>Provide</w:t>
            </w:r>
            <w:r>
              <w:rPr>
                <w:color w:val="231F20"/>
                <w:spacing w:val="-14"/>
                <w:w w:val="85"/>
                <w:sz w:val="15"/>
              </w:rPr>
              <w:t xml:space="preserve"> </w:t>
            </w:r>
            <w:r>
              <w:rPr>
                <w:color w:val="231F20"/>
                <w:w w:val="85"/>
                <w:sz w:val="15"/>
              </w:rPr>
              <w:t>screening</w:t>
            </w:r>
            <w:r>
              <w:rPr>
                <w:color w:val="231F20"/>
                <w:spacing w:val="-14"/>
                <w:w w:val="85"/>
                <w:sz w:val="15"/>
              </w:rPr>
              <w:t xml:space="preserve"> </w:t>
            </w:r>
            <w:r>
              <w:rPr>
                <w:color w:val="231F20"/>
                <w:w w:val="85"/>
                <w:sz w:val="15"/>
              </w:rPr>
              <w:t>tools</w:t>
            </w:r>
            <w:r>
              <w:rPr>
                <w:color w:val="231F20"/>
                <w:spacing w:val="-14"/>
                <w:w w:val="85"/>
                <w:sz w:val="15"/>
              </w:rPr>
              <w:t xml:space="preserve"> </w:t>
            </w:r>
            <w:r>
              <w:rPr>
                <w:color w:val="231F20"/>
                <w:w w:val="85"/>
                <w:sz w:val="15"/>
              </w:rPr>
              <w:t>such</w:t>
            </w:r>
            <w:r>
              <w:rPr>
                <w:color w:val="231F20"/>
                <w:spacing w:val="-13"/>
                <w:w w:val="85"/>
                <w:sz w:val="15"/>
              </w:rPr>
              <w:t xml:space="preserve"> </w:t>
            </w:r>
            <w:r>
              <w:rPr>
                <w:color w:val="231F20"/>
                <w:w w:val="85"/>
                <w:sz w:val="15"/>
              </w:rPr>
              <w:t>as</w:t>
            </w:r>
            <w:r>
              <w:rPr>
                <w:color w:val="231F20"/>
                <w:spacing w:val="-14"/>
                <w:w w:val="85"/>
                <w:sz w:val="15"/>
              </w:rPr>
              <w:t xml:space="preserve"> </w:t>
            </w:r>
            <w:r>
              <w:rPr>
                <w:color w:val="231F20"/>
                <w:w w:val="85"/>
                <w:sz w:val="15"/>
              </w:rPr>
              <w:t>VIAs,</w:t>
            </w:r>
            <w:r>
              <w:rPr>
                <w:color w:val="231F20"/>
                <w:spacing w:val="-14"/>
                <w:w w:val="85"/>
                <w:sz w:val="15"/>
              </w:rPr>
              <w:t xml:space="preserve"> </w:t>
            </w:r>
            <w:r>
              <w:rPr>
                <w:color w:val="231F20"/>
                <w:w w:val="85"/>
                <w:sz w:val="15"/>
              </w:rPr>
              <w:t>Mammogram,</w:t>
            </w:r>
            <w:r>
              <w:rPr>
                <w:color w:val="231F20"/>
                <w:spacing w:val="-18"/>
                <w:w w:val="85"/>
                <w:sz w:val="15"/>
              </w:rPr>
              <w:t xml:space="preserve"> </w:t>
            </w:r>
            <w:proofErr w:type="spellStart"/>
            <w:r>
              <w:rPr>
                <w:color w:val="231F20"/>
                <w:w w:val="85"/>
                <w:sz w:val="15"/>
              </w:rPr>
              <w:t>Accu</w:t>
            </w:r>
            <w:proofErr w:type="spellEnd"/>
            <w:r w:rsidR="00683F0D">
              <w:rPr>
                <w:color w:val="231F20"/>
                <w:w w:val="85"/>
                <w:sz w:val="15"/>
              </w:rPr>
              <w:t xml:space="preserve"> </w:t>
            </w:r>
            <w:r>
              <w:rPr>
                <w:color w:val="231F20"/>
                <w:w w:val="85"/>
                <w:sz w:val="15"/>
              </w:rPr>
              <w:t>check</w:t>
            </w:r>
            <w:r>
              <w:rPr>
                <w:color w:val="231F20"/>
                <w:spacing w:val="-13"/>
                <w:w w:val="85"/>
                <w:sz w:val="15"/>
              </w:rPr>
              <w:t xml:space="preserve"> </w:t>
            </w:r>
            <w:proofErr w:type="spellStart"/>
            <w:r>
              <w:rPr>
                <w:color w:val="231F20"/>
                <w:w w:val="85"/>
                <w:sz w:val="15"/>
              </w:rPr>
              <w:t>metres</w:t>
            </w:r>
            <w:proofErr w:type="spellEnd"/>
            <w:r>
              <w:rPr>
                <w:color w:val="231F20"/>
                <w:w w:val="85"/>
                <w:sz w:val="15"/>
              </w:rPr>
              <w:t xml:space="preserve">, </w:t>
            </w:r>
            <w:r w:rsidR="00FB089D">
              <w:rPr>
                <w:color w:val="231F20"/>
                <w:w w:val="95"/>
                <w:sz w:val="15"/>
              </w:rPr>
              <w:t>Sphygmomanometers</w:t>
            </w:r>
            <w:r>
              <w:rPr>
                <w:color w:val="231F20"/>
                <w:spacing w:val="-9"/>
                <w:w w:val="95"/>
                <w:sz w:val="15"/>
              </w:rPr>
              <w:t xml:space="preserve"> </w:t>
            </w:r>
            <w:r w:rsidR="00FB089D">
              <w:rPr>
                <w:color w:val="231F20"/>
                <w:w w:val="95"/>
                <w:sz w:val="15"/>
              </w:rPr>
              <w:t>etc.</w:t>
            </w:r>
          </w:p>
        </w:tc>
        <w:tc>
          <w:tcPr>
            <w:tcW w:w="1495" w:type="dxa"/>
          </w:tcPr>
          <w:p w14:paraId="7C629DB4" w14:textId="77777777" w:rsidR="009948F1" w:rsidRDefault="009948F1">
            <w:pPr>
              <w:pStyle w:val="TableParagraph"/>
              <w:spacing w:before="6"/>
              <w:rPr>
                <w:sz w:val="18"/>
              </w:rPr>
            </w:pPr>
          </w:p>
          <w:p w14:paraId="6E48EF55" w14:textId="77777777" w:rsidR="009948F1" w:rsidRDefault="00BC0563">
            <w:pPr>
              <w:pStyle w:val="TableParagraph"/>
              <w:ind w:left="26"/>
              <w:rPr>
                <w:sz w:val="15"/>
              </w:rPr>
            </w:pPr>
            <w:r>
              <w:rPr>
                <w:color w:val="231F20"/>
                <w:w w:val="95"/>
                <w:sz w:val="15"/>
              </w:rPr>
              <w:t>Lack of funds</w:t>
            </w:r>
          </w:p>
        </w:tc>
        <w:tc>
          <w:tcPr>
            <w:tcW w:w="1577" w:type="dxa"/>
          </w:tcPr>
          <w:p w14:paraId="7F129446" w14:textId="77777777" w:rsidR="009948F1" w:rsidRDefault="00BC0563">
            <w:pPr>
              <w:pStyle w:val="TableParagraph"/>
              <w:spacing w:before="122" w:line="256" w:lineRule="auto"/>
              <w:ind w:left="27" w:right="-9"/>
              <w:rPr>
                <w:sz w:val="15"/>
              </w:rPr>
            </w:pPr>
            <w:r>
              <w:rPr>
                <w:color w:val="231F20"/>
                <w:w w:val="85"/>
                <w:sz w:val="15"/>
              </w:rPr>
              <w:t xml:space="preserve">Provide screening tools </w:t>
            </w:r>
            <w:r>
              <w:rPr>
                <w:color w:val="231F20"/>
                <w:w w:val="95"/>
                <w:sz w:val="15"/>
              </w:rPr>
              <w:t>(Costed in OHT)</w:t>
            </w:r>
          </w:p>
        </w:tc>
      </w:tr>
      <w:tr w:rsidR="009948F1" w14:paraId="557D50D9" w14:textId="77777777">
        <w:trPr>
          <w:trHeight w:val="492"/>
        </w:trPr>
        <w:tc>
          <w:tcPr>
            <w:tcW w:w="480" w:type="dxa"/>
            <w:vMerge/>
            <w:tcBorders>
              <w:top w:val="nil"/>
              <w:left w:val="single" w:sz="8" w:space="0" w:color="231F20"/>
            </w:tcBorders>
          </w:tcPr>
          <w:p w14:paraId="57DC382F" w14:textId="77777777" w:rsidR="009948F1" w:rsidRDefault="009948F1">
            <w:pPr>
              <w:rPr>
                <w:sz w:val="2"/>
                <w:szCs w:val="2"/>
              </w:rPr>
            </w:pPr>
          </w:p>
        </w:tc>
        <w:tc>
          <w:tcPr>
            <w:tcW w:w="551" w:type="dxa"/>
          </w:tcPr>
          <w:p w14:paraId="36644921" w14:textId="77777777" w:rsidR="009948F1" w:rsidRDefault="009948F1">
            <w:pPr>
              <w:pStyle w:val="TableParagraph"/>
              <w:spacing w:before="9"/>
              <w:rPr>
                <w:sz w:val="13"/>
              </w:rPr>
            </w:pPr>
          </w:p>
          <w:p w14:paraId="4056399A" w14:textId="77777777" w:rsidR="009948F1" w:rsidRDefault="00BC0563">
            <w:pPr>
              <w:pStyle w:val="TableParagraph"/>
              <w:spacing w:before="1"/>
              <w:ind w:left="88"/>
              <w:rPr>
                <w:sz w:val="15"/>
              </w:rPr>
            </w:pPr>
            <w:r>
              <w:rPr>
                <w:color w:val="231F20"/>
                <w:w w:val="90"/>
                <w:sz w:val="15"/>
              </w:rPr>
              <w:t>6.1.4.d</w:t>
            </w:r>
          </w:p>
        </w:tc>
        <w:tc>
          <w:tcPr>
            <w:tcW w:w="5129" w:type="dxa"/>
            <w:gridSpan w:val="2"/>
          </w:tcPr>
          <w:p w14:paraId="46EC8EC7" w14:textId="77777777" w:rsidR="009948F1" w:rsidRDefault="00BC0563">
            <w:pPr>
              <w:pStyle w:val="TableParagraph"/>
              <w:spacing w:before="61" w:line="256" w:lineRule="auto"/>
              <w:ind w:left="26" w:right="302"/>
              <w:rPr>
                <w:sz w:val="15"/>
              </w:rPr>
            </w:pPr>
            <w:r>
              <w:rPr>
                <w:color w:val="231F20"/>
                <w:w w:val="85"/>
                <w:sz w:val="15"/>
              </w:rPr>
              <w:t>Operating</w:t>
            </w:r>
            <w:r>
              <w:rPr>
                <w:color w:val="231F20"/>
                <w:spacing w:val="-14"/>
                <w:w w:val="85"/>
                <w:sz w:val="15"/>
              </w:rPr>
              <w:t xml:space="preserve"> </w:t>
            </w:r>
            <w:r>
              <w:rPr>
                <w:color w:val="231F20"/>
                <w:w w:val="85"/>
                <w:sz w:val="15"/>
              </w:rPr>
              <w:t>cost</w:t>
            </w:r>
            <w:r>
              <w:rPr>
                <w:color w:val="231F20"/>
                <w:spacing w:val="-13"/>
                <w:w w:val="85"/>
                <w:sz w:val="15"/>
              </w:rPr>
              <w:t xml:space="preserve"> </w:t>
            </w:r>
            <w:r>
              <w:rPr>
                <w:color w:val="231F20"/>
                <w:w w:val="85"/>
                <w:sz w:val="15"/>
              </w:rPr>
              <w:t>for</w:t>
            </w:r>
            <w:r>
              <w:rPr>
                <w:color w:val="231F20"/>
                <w:spacing w:val="-13"/>
                <w:w w:val="85"/>
                <w:sz w:val="15"/>
              </w:rPr>
              <w:t xml:space="preserve"> </w:t>
            </w:r>
            <w:r>
              <w:rPr>
                <w:color w:val="231F20"/>
                <w:w w:val="85"/>
                <w:sz w:val="15"/>
              </w:rPr>
              <w:t>engaging</w:t>
            </w:r>
            <w:r>
              <w:rPr>
                <w:color w:val="231F20"/>
                <w:spacing w:val="-13"/>
                <w:w w:val="85"/>
                <w:sz w:val="15"/>
              </w:rPr>
              <w:t xml:space="preserve"> </w:t>
            </w:r>
            <w:r>
              <w:rPr>
                <w:color w:val="231F20"/>
                <w:w w:val="85"/>
                <w:sz w:val="15"/>
              </w:rPr>
              <w:t>and</w:t>
            </w:r>
            <w:r>
              <w:rPr>
                <w:color w:val="231F20"/>
                <w:spacing w:val="-13"/>
                <w:w w:val="85"/>
                <w:sz w:val="15"/>
              </w:rPr>
              <w:t xml:space="preserve"> </w:t>
            </w:r>
            <w:r>
              <w:rPr>
                <w:color w:val="231F20"/>
                <w:w w:val="85"/>
                <w:sz w:val="15"/>
              </w:rPr>
              <w:t>supervising</w:t>
            </w:r>
            <w:r>
              <w:rPr>
                <w:color w:val="231F20"/>
                <w:spacing w:val="-13"/>
                <w:w w:val="85"/>
                <w:sz w:val="15"/>
              </w:rPr>
              <w:t xml:space="preserve"> </w:t>
            </w:r>
            <w:r>
              <w:rPr>
                <w:color w:val="231F20"/>
                <w:w w:val="85"/>
                <w:sz w:val="15"/>
              </w:rPr>
              <w:t>the</w:t>
            </w:r>
            <w:r>
              <w:rPr>
                <w:color w:val="231F20"/>
                <w:spacing w:val="-13"/>
                <w:w w:val="85"/>
                <w:sz w:val="15"/>
              </w:rPr>
              <w:t xml:space="preserve"> </w:t>
            </w:r>
            <w:r>
              <w:rPr>
                <w:color w:val="231F20"/>
                <w:w w:val="85"/>
                <w:sz w:val="15"/>
              </w:rPr>
              <w:t>contractor</w:t>
            </w:r>
            <w:r>
              <w:rPr>
                <w:color w:val="231F20"/>
                <w:spacing w:val="-13"/>
                <w:w w:val="85"/>
                <w:sz w:val="15"/>
              </w:rPr>
              <w:t xml:space="preserve"> </w:t>
            </w:r>
            <w:r>
              <w:rPr>
                <w:color w:val="231F20"/>
                <w:w w:val="85"/>
                <w:sz w:val="15"/>
              </w:rPr>
              <w:t>to</w:t>
            </w:r>
            <w:r>
              <w:rPr>
                <w:color w:val="231F20"/>
                <w:spacing w:val="-14"/>
                <w:w w:val="85"/>
                <w:sz w:val="15"/>
              </w:rPr>
              <w:t xml:space="preserve"> </w:t>
            </w:r>
            <w:r>
              <w:rPr>
                <w:color w:val="231F20"/>
                <w:w w:val="85"/>
                <w:sz w:val="15"/>
              </w:rPr>
              <w:t>establish</w:t>
            </w:r>
            <w:r>
              <w:rPr>
                <w:color w:val="231F20"/>
                <w:spacing w:val="-13"/>
                <w:w w:val="85"/>
                <w:sz w:val="15"/>
              </w:rPr>
              <w:t xml:space="preserve"> </w:t>
            </w:r>
            <w:r>
              <w:rPr>
                <w:color w:val="231F20"/>
                <w:w w:val="85"/>
                <w:sz w:val="15"/>
              </w:rPr>
              <w:t xml:space="preserve">comprehensive </w:t>
            </w:r>
            <w:r>
              <w:rPr>
                <w:color w:val="231F20"/>
                <w:w w:val="95"/>
                <w:sz w:val="15"/>
              </w:rPr>
              <w:t>NCD</w:t>
            </w:r>
            <w:r>
              <w:rPr>
                <w:color w:val="231F20"/>
                <w:spacing w:val="-15"/>
                <w:w w:val="95"/>
                <w:sz w:val="15"/>
              </w:rPr>
              <w:t xml:space="preserve"> </w:t>
            </w:r>
            <w:r>
              <w:rPr>
                <w:color w:val="231F20"/>
                <w:w w:val="95"/>
                <w:sz w:val="15"/>
              </w:rPr>
              <w:t>treatment/Cancer</w:t>
            </w:r>
            <w:r>
              <w:rPr>
                <w:color w:val="231F20"/>
                <w:spacing w:val="-14"/>
                <w:w w:val="95"/>
                <w:sz w:val="15"/>
              </w:rPr>
              <w:t xml:space="preserve"> </w:t>
            </w:r>
            <w:r>
              <w:rPr>
                <w:color w:val="231F20"/>
                <w:w w:val="95"/>
                <w:sz w:val="15"/>
              </w:rPr>
              <w:t>treatment/Radiotherapy</w:t>
            </w:r>
            <w:r>
              <w:rPr>
                <w:color w:val="231F20"/>
                <w:spacing w:val="-14"/>
                <w:w w:val="95"/>
                <w:sz w:val="15"/>
              </w:rPr>
              <w:t xml:space="preserve"> </w:t>
            </w:r>
            <w:r>
              <w:rPr>
                <w:color w:val="231F20"/>
                <w:w w:val="95"/>
                <w:sz w:val="15"/>
              </w:rPr>
              <w:t>centers.</w:t>
            </w:r>
          </w:p>
        </w:tc>
        <w:tc>
          <w:tcPr>
            <w:tcW w:w="1495" w:type="dxa"/>
          </w:tcPr>
          <w:p w14:paraId="7C2E4D38" w14:textId="77777777" w:rsidR="009948F1" w:rsidRDefault="009948F1">
            <w:pPr>
              <w:pStyle w:val="TableParagraph"/>
              <w:spacing w:before="9"/>
              <w:rPr>
                <w:sz w:val="13"/>
              </w:rPr>
            </w:pPr>
          </w:p>
          <w:p w14:paraId="175550E3" w14:textId="77777777" w:rsidR="009948F1" w:rsidRDefault="00BC0563">
            <w:pPr>
              <w:pStyle w:val="TableParagraph"/>
              <w:spacing w:before="1"/>
              <w:ind w:left="26"/>
              <w:rPr>
                <w:sz w:val="15"/>
              </w:rPr>
            </w:pPr>
            <w:r>
              <w:rPr>
                <w:color w:val="231F20"/>
                <w:w w:val="95"/>
                <w:sz w:val="15"/>
              </w:rPr>
              <w:t>Lack of funds</w:t>
            </w:r>
          </w:p>
        </w:tc>
        <w:tc>
          <w:tcPr>
            <w:tcW w:w="1577" w:type="dxa"/>
          </w:tcPr>
          <w:p w14:paraId="3F0CCB8A" w14:textId="77777777" w:rsidR="009948F1" w:rsidRDefault="009948F1">
            <w:pPr>
              <w:pStyle w:val="TableParagraph"/>
              <w:spacing w:before="9"/>
              <w:rPr>
                <w:sz w:val="13"/>
              </w:rPr>
            </w:pPr>
          </w:p>
          <w:p w14:paraId="68E93403" w14:textId="77777777" w:rsidR="009948F1" w:rsidRDefault="00BC0563">
            <w:pPr>
              <w:pStyle w:val="TableParagraph"/>
              <w:spacing w:before="1"/>
              <w:ind w:left="27"/>
              <w:rPr>
                <w:sz w:val="15"/>
              </w:rPr>
            </w:pPr>
            <w:r>
              <w:rPr>
                <w:color w:val="231F20"/>
                <w:w w:val="95"/>
                <w:sz w:val="15"/>
              </w:rPr>
              <w:t>Costed in OHT</w:t>
            </w:r>
          </w:p>
        </w:tc>
      </w:tr>
      <w:tr w:rsidR="009948F1" w14:paraId="528B6661" w14:textId="77777777">
        <w:trPr>
          <w:trHeight w:val="948"/>
        </w:trPr>
        <w:tc>
          <w:tcPr>
            <w:tcW w:w="480" w:type="dxa"/>
            <w:tcBorders>
              <w:left w:val="single" w:sz="8" w:space="0" w:color="231F20"/>
            </w:tcBorders>
            <w:shd w:val="clear" w:color="auto" w:fill="CCE7D3"/>
          </w:tcPr>
          <w:p w14:paraId="4393750A" w14:textId="77777777" w:rsidR="009948F1" w:rsidRDefault="009948F1">
            <w:pPr>
              <w:pStyle w:val="TableParagraph"/>
              <w:rPr>
                <w:sz w:val="14"/>
              </w:rPr>
            </w:pPr>
          </w:p>
          <w:p w14:paraId="0AFDE32B" w14:textId="77777777" w:rsidR="009948F1" w:rsidRDefault="009948F1">
            <w:pPr>
              <w:pStyle w:val="TableParagraph"/>
              <w:spacing w:before="8"/>
              <w:rPr>
                <w:sz w:val="19"/>
              </w:rPr>
            </w:pPr>
          </w:p>
          <w:p w14:paraId="490096A0" w14:textId="77777777" w:rsidR="009948F1" w:rsidRDefault="00BC0563">
            <w:pPr>
              <w:pStyle w:val="TableParagraph"/>
              <w:ind w:left="61"/>
              <w:rPr>
                <w:sz w:val="15"/>
              </w:rPr>
            </w:pPr>
            <w:r>
              <w:rPr>
                <w:color w:val="231F20"/>
                <w:w w:val="95"/>
                <w:sz w:val="15"/>
              </w:rPr>
              <w:t>6.1.5</w:t>
            </w:r>
          </w:p>
        </w:tc>
        <w:tc>
          <w:tcPr>
            <w:tcW w:w="3182" w:type="dxa"/>
            <w:gridSpan w:val="2"/>
            <w:shd w:val="clear" w:color="auto" w:fill="CCE7D3"/>
          </w:tcPr>
          <w:p w14:paraId="369F6632" w14:textId="77777777" w:rsidR="009948F1" w:rsidRDefault="009948F1">
            <w:pPr>
              <w:pStyle w:val="TableParagraph"/>
              <w:rPr>
                <w:sz w:val="14"/>
              </w:rPr>
            </w:pPr>
          </w:p>
          <w:p w14:paraId="1C205F7D" w14:textId="77777777" w:rsidR="009948F1" w:rsidRDefault="009948F1">
            <w:pPr>
              <w:pStyle w:val="TableParagraph"/>
              <w:spacing w:before="2"/>
              <w:rPr>
                <w:sz w:val="19"/>
              </w:rPr>
            </w:pPr>
          </w:p>
          <w:p w14:paraId="20FBF14A" w14:textId="0A92E801" w:rsidR="009948F1" w:rsidRDefault="00BC0563">
            <w:pPr>
              <w:pStyle w:val="TableParagraph"/>
              <w:ind w:left="60"/>
              <w:rPr>
                <w:sz w:val="15"/>
              </w:rPr>
            </w:pPr>
            <w:r>
              <w:rPr>
                <w:color w:val="231F20"/>
                <w:w w:val="90"/>
                <w:sz w:val="15"/>
              </w:rPr>
              <w:t>Increase</w:t>
            </w:r>
            <w:r>
              <w:rPr>
                <w:color w:val="231F20"/>
                <w:spacing w:val="-19"/>
                <w:w w:val="90"/>
                <w:sz w:val="15"/>
              </w:rPr>
              <w:t xml:space="preserve"> </w:t>
            </w:r>
            <w:r>
              <w:rPr>
                <w:color w:val="231F20"/>
                <w:w w:val="90"/>
                <w:sz w:val="15"/>
              </w:rPr>
              <w:t>the</w:t>
            </w:r>
            <w:r>
              <w:rPr>
                <w:color w:val="231F20"/>
                <w:spacing w:val="-18"/>
                <w:w w:val="90"/>
                <w:sz w:val="15"/>
              </w:rPr>
              <w:t xml:space="preserve"> </w:t>
            </w:r>
            <w:r w:rsidR="00FB089D">
              <w:rPr>
                <w:color w:val="231F20"/>
                <w:w w:val="90"/>
                <w:sz w:val="15"/>
              </w:rPr>
              <w:t>quality</w:t>
            </w:r>
            <w:r>
              <w:rPr>
                <w:color w:val="231F20"/>
                <w:spacing w:val="-19"/>
                <w:w w:val="90"/>
                <w:sz w:val="15"/>
              </w:rPr>
              <w:t xml:space="preserve"> </w:t>
            </w:r>
            <w:r>
              <w:rPr>
                <w:color w:val="231F20"/>
                <w:w w:val="90"/>
                <w:sz w:val="15"/>
              </w:rPr>
              <w:t>of</w:t>
            </w:r>
            <w:r>
              <w:rPr>
                <w:color w:val="231F20"/>
                <w:spacing w:val="-18"/>
                <w:w w:val="90"/>
                <w:sz w:val="15"/>
              </w:rPr>
              <w:t xml:space="preserve"> </w:t>
            </w:r>
            <w:r>
              <w:rPr>
                <w:color w:val="231F20"/>
                <w:w w:val="90"/>
                <w:sz w:val="15"/>
              </w:rPr>
              <w:t>life</w:t>
            </w:r>
            <w:r>
              <w:rPr>
                <w:color w:val="231F20"/>
                <w:spacing w:val="-19"/>
                <w:w w:val="90"/>
                <w:sz w:val="15"/>
              </w:rPr>
              <w:t xml:space="preserve"> </w:t>
            </w:r>
            <w:r>
              <w:rPr>
                <w:color w:val="231F20"/>
                <w:w w:val="90"/>
                <w:sz w:val="15"/>
              </w:rPr>
              <w:t>of</w:t>
            </w:r>
            <w:r>
              <w:rPr>
                <w:color w:val="231F20"/>
                <w:spacing w:val="-18"/>
                <w:w w:val="90"/>
                <w:sz w:val="15"/>
              </w:rPr>
              <w:t xml:space="preserve"> </w:t>
            </w:r>
            <w:r>
              <w:rPr>
                <w:color w:val="231F20"/>
                <w:w w:val="90"/>
                <w:sz w:val="15"/>
              </w:rPr>
              <w:t>those</w:t>
            </w:r>
            <w:r>
              <w:rPr>
                <w:color w:val="231F20"/>
                <w:spacing w:val="-19"/>
                <w:w w:val="90"/>
                <w:sz w:val="15"/>
              </w:rPr>
              <w:t xml:space="preserve"> </w:t>
            </w:r>
            <w:r>
              <w:rPr>
                <w:color w:val="231F20"/>
                <w:w w:val="90"/>
                <w:sz w:val="15"/>
              </w:rPr>
              <w:t>affected</w:t>
            </w:r>
            <w:r>
              <w:rPr>
                <w:color w:val="231F20"/>
                <w:spacing w:val="-18"/>
                <w:w w:val="90"/>
                <w:sz w:val="15"/>
              </w:rPr>
              <w:t xml:space="preserve"> </w:t>
            </w:r>
            <w:r>
              <w:rPr>
                <w:color w:val="231F20"/>
                <w:w w:val="90"/>
                <w:sz w:val="15"/>
              </w:rPr>
              <w:t>by</w:t>
            </w:r>
            <w:r>
              <w:rPr>
                <w:color w:val="231F20"/>
                <w:spacing w:val="-19"/>
                <w:w w:val="90"/>
                <w:sz w:val="15"/>
              </w:rPr>
              <w:t xml:space="preserve"> </w:t>
            </w:r>
            <w:r>
              <w:rPr>
                <w:color w:val="231F20"/>
                <w:w w:val="90"/>
                <w:sz w:val="15"/>
              </w:rPr>
              <w:t>NCDs</w:t>
            </w:r>
          </w:p>
        </w:tc>
        <w:tc>
          <w:tcPr>
            <w:tcW w:w="2498" w:type="dxa"/>
            <w:shd w:val="clear" w:color="auto" w:fill="CCE7D3"/>
          </w:tcPr>
          <w:p w14:paraId="7C64642B" w14:textId="77777777" w:rsidR="009948F1" w:rsidRDefault="00BC0563">
            <w:pPr>
              <w:pStyle w:val="TableParagraph"/>
              <w:numPr>
                <w:ilvl w:val="0"/>
                <w:numId w:val="132"/>
              </w:numPr>
              <w:tabs>
                <w:tab w:val="left" w:pos="105"/>
              </w:tabs>
              <w:spacing w:before="18" w:line="256" w:lineRule="auto"/>
              <w:ind w:right="55" w:firstLine="0"/>
              <w:rPr>
                <w:sz w:val="15"/>
              </w:rPr>
            </w:pPr>
            <w:r>
              <w:rPr>
                <w:color w:val="231F20"/>
                <w:w w:val="90"/>
                <w:sz w:val="15"/>
              </w:rPr>
              <w:t xml:space="preserve">Multidisciplinary management team for </w:t>
            </w:r>
            <w:r>
              <w:rPr>
                <w:color w:val="231F20"/>
                <w:w w:val="85"/>
                <w:sz w:val="15"/>
              </w:rPr>
              <w:t>prevention</w:t>
            </w:r>
            <w:r>
              <w:rPr>
                <w:color w:val="231F20"/>
                <w:spacing w:val="-13"/>
                <w:w w:val="85"/>
                <w:sz w:val="15"/>
              </w:rPr>
              <w:t xml:space="preserve"> </w:t>
            </w:r>
            <w:r>
              <w:rPr>
                <w:color w:val="231F20"/>
                <w:w w:val="85"/>
                <w:sz w:val="15"/>
              </w:rPr>
              <w:t>and</w:t>
            </w:r>
            <w:r>
              <w:rPr>
                <w:color w:val="231F20"/>
                <w:spacing w:val="-13"/>
                <w:w w:val="85"/>
                <w:sz w:val="15"/>
              </w:rPr>
              <w:t xml:space="preserve"> </w:t>
            </w:r>
            <w:r>
              <w:rPr>
                <w:color w:val="231F20"/>
                <w:w w:val="85"/>
                <w:sz w:val="15"/>
              </w:rPr>
              <w:t>control</w:t>
            </w:r>
            <w:r>
              <w:rPr>
                <w:color w:val="231F20"/>
                <w:spacing w:val="-13"/>
                <w:w w:val="85"/>
                <w:sz w:val="15"/>
              </w:rPr>
              <w:t xml:space="preserve"> </w:t>
            </w:r>
            <w:r>
              <w:rPr>
                <w:color w:val="231F20"/>
                <w:w w:val="85"/>
                <w:sz w:val="15"/>
              </w:rPr>
              <w:t>of</w:t>
            </w:r>
            <w:r>
              <w:rPr>
                <w:color w:val="231F20"/>
                <w:spacing w:val="-13"/>
                <w:w w:val="85"/>
                <w:sz w:val="15"/>
              </w:rPr>
              <w:t xml:space="preserve"> </w:t>
            </w:r>
            <w:r>
              <w:rPr>
                <w:color w:val="231F20"/>
                <w:w w:val="85"/>
                <w:sz w:val="15"/>
              </w:rPr>
              <w:t>NCDs</w:t>
            </w:r>
            <w:r>
              <w:rPr>
                <w:color w:val="231F20"/>
                <w:spacing w:val="-13"/>
                <w:w w:val="85"/>
                <w:sz w:val="15"/>
              </w:rPr>
              <w:t xml:space="preserve"> </w:t>
            </w:r>
            <w:r>
              <w:rPr>
                <w:color w:val="231F20"/>
                <w:w w:val="85"/>
                <w:sz w:val="15"/>
              </w:rPr>
              <w:t>established</w:t>
            </w:r>
          </w:p>
          <w:p w14:paraId="3263BFFB" w14:textId="77777777" w:rsidR="009948F1" w:rsidRDefault="00BC0563">
            <w:pPr>
              <w:pStyle w:val="TableParagraph"/>
              <w:numPr>
                <w:ilvl w:val="0"/>
                <w:numId w:val="132"/>
              </w:numPr>
              <w:tabs>
                <w:tab w:val="left" w:pos="72"/>
              </w:tabs>
              <w:spacing w:line="256" w:lineRule="auto"/>
              <w:ind w:right="11" w:firstLine="0"/>
              <w:rPr>
                <w:sz w:val="15"/>
              </w:rPr>
            </w:pPr>
            <w:r>
              <w:rPr>
                <w:color w:val="231F20"/>
                <w:w w:val="85"/>
                <w:sz w:val="15"/>
              </w:rPr>
              <w:t>Psychotherapy</w:t>
            </w:r>
            <w:r>
              <w:rPr>
                <w:color w:val="231F20"/>
                <w:spacing w:val="-22"/>
                <w:w w:val="85"/>
                <w:sz w:val="15"/>
              </w:rPr>
              <w:t xml:space="preserve"> </w:t>
            </w:r>
            <w:r>
              <w:rPr>
                <w:color w:val="231F20"/>
                <w:w w:val="85"/>
                <w:sz w:val="15"/>
              </w:rPr>
              <w:t>and</w:t>
            </w:r>
            <w:r>
              <w:rPr>
                <w:color w:val="231F20"/>
                <w:spacing w:val="-22"/>
                <w:w w:val="85"/>
                <w:sz w:val="15"/>
              </w:rPr>
              <w:t xml:space="preserve"> </w:t>
            </w:r>
            <w:r>
              <w:rPr>
                <w:color w:val="231F20"/>
                <w:w w:val="85"/>
                <w:sz w:val="15"/>
              </w:rPr>
              <w:t>vocational</w:t>
            </w:r>
            <w:r>
              <w:rPr>
                <w:color w:val="231F20"/>
                <w:spacing w:val="-22"/>
                <w:w w:val="85"/>
                <w:sz w:val="15"/>
              </w:rPr>
              <w:t xml:space="preserve"> </w:t>
            </w:r>
            <w:r>
              <w:rPr>
                <w:color w:val="231F20"/>
                <w:w w:val="85"/>
                <w:sz w:val="15"/>
              </w:rPr>
              <w:t xml:space="preserve">rehabilitation </w:t>
            </w:r>
            <w:r>
              <w:rPr>
                <w:color w:val="231F20"/>
                <w:w w:val="95"/>
                <w:sz w:val="15"/>
              </w:rPr>
              <w:t>provided</w:t>
            </w:r>
          </w:p>
          <w:p w14:paraId="37C8CB7D" w14:textId="77777777" w:rsidR="009948F1" w:rsidRDefault="00BC0563">
            <w:pPr>
              <w:pStyle w:val="TableParagraph"/>
              <w:numPr>
                <w:ilvl w:val="0"/>
                <w:numId w:val="132"/>
              </w:numPr>
              <w:tabs>
                <w:tab w:val="left" w:pos="105"/>
              </w:tabs>
              <w:spacing w:before="1" w:line="171" w:lineRule="exact"/>
              <w:ind w:left="104"/>
              <w:rPr>
                <w:sz w:val="15"/>
              </w:rPr>
            </w:pPr>
            <w:r>
              <w:rPr>
                <w:color w:val="231F20"/>
                <w:w w:val="95"/>
                <w:sz w:val="15"/>
              </w:rPr>
              <w:t>Prosthetic aides</w:t>
            </w:r>
            <w:r>
              <w:rPr>
                <w:color w:val="231F20"/>
                <w:spacing w:val="-25"/>
                <w:w w:val="95"/>
                <w:sz w:val="15"/>
              </w:rPr>
              <w:t xml:space="preserve"> </w:t>
            </w:r>
            <w:r>
              <w:rPr>
                <w:color w:val="231F20"/>
                <w:w w:val="95"/>
                <w:sz w:val="15"/>
              </w:rPr>
              <w:t>provided</w:t>
            </w:r>
          </w:p>
        </w:tc>
        <w:tc>
          <w:tcPr>
            <w:tcW w:w="1495" w:type="dxa"/>
            <w:shd w:val="clear" w:color="auto" w:fill="CCE7D3"/>
          </w:tcPr>
          <w:p w14:paraId="2D3342F1" w14:textId="77777777" w:rsidR="009948F1" w:rsidRDefault="009948F1">
            <w:pPr>
              <w:pStyle w:val="TableParagraph"/>
              <w:rPr>
                <w:rFonts w:ascii="Times New Roman"/>
                <w:sz w:val="12"/>
              </w:rPr>
            </w:pPr>
          </w:p>
        </w:tc>
        <w:tc>
          <w:tcPr>
            <w:tcW w:w="1577" w:type="dxa"/>
            <w:shd w:val="clear" w:color="auto" w:fill="CCE7D3"/>
          </w:tcPr>
          <w:p w14:paraId="229BEACC" w14:textId="77777777" w:rsidR="009948F1" w:rsidRDefault="009948F1">
            <w:pPr>
              <w:pStyle w:val="TableParagraph"/>
              <w:rPr>
                <w:rFonts w:ascii="Times New Roman"/>
                <w:sz w:val="12"/>
              </w:rPr>
            </w:pPr>
          </w:p>
        </w:tc>
      </w:tr>
      <w:tr w:rsidR="009948F1" w14:paraId="6DC0F096" w14:textId="77777777">
        <w:trPr>
          <w:trHeight w:val="601"/>
        </w:trPr>
        <w:tc>
          <w:tcPr>
            <w:tcW w:w="480" w:type="dxa"/>
            <w:vMerge w:val="restart"/>
            <w:tcBorders>
              <w:left w:val="single" w:sz="8" w:space="0" w:color="231F20"/>
            </w:tcBorders>
          </w:tcPr>
          <w:p w14:paraId="48E38203" w14:textId="77777777" w:rsidR="009948F1" w:rsidRDefault="009948F1">
            <w:pPr>
              <w:pStyle w:val="TableParagraph"/>
              <w:rPr>
                <w:rFonts w:ascii="Times New Roman"/>
                <w:sz w:val="12"/>
              </w:rPr>
            </w:pPr>
          </w:p>
        </w:tc>
        <w:tc>
          <w:tcPr>
            <w:tcW w:w="551" w:type="dxa"/>
          </w:tcPr>
          <w:p w14:paraId="5AFF80B5" w14:textId="77777777" w:rsidR="009948F1" w:rsidRDefault="009948F1">
            <w:pPr>
              <w:pStyle w:val="TableParagraph"/>
              <w:spacing w:before="6"/>
              <w:rPr>
                <w:sz w:val="18"/>
              </w:rPr>
            </w:pPr>
          </w:p>
          <w:p w14:paraId="16F994DF" w14:textId="77777777" w:rsidR="009948F1" w:rsidRDefault="00BC0563">
            <w:pPr>
              <w:pStyle w:val="TableParagraph"/>
              <w:ind w:left="88"/>
              <w:rPr>
                <w:sz w:val="15"/>
              </w:rPr>
            </w:pPr>
            <w:r>
              <w:rPr>
                <w:color w:val="231F20"/>
                <w:w w:val="90"/>
                <w:sz w:val="15"/>
              </w:rPr>
              <w:t>6.1.5.a</w:t>
            </w:r>
          </w:p>
        </w:tc>
        <w:tc>
          <w:tcPr>
            <w:tcW w:w="5129" w:type="dxa"/>
            <w:gridSpan w:val="2"/>
          </w:tcPr>
          <w:p w14:paraId="7FD0DED0" w14:textId="77777777" w:rsidR="009948F1" w:rsidRDefault="009948F1">
            <w:pPr>
              <w:pStyle w:val="TableParagraph"/>
              <w:rPr>
                <w:sz w:val="18"/>
              </w:rPr>
            </w:pPr>
          </w:p>
          <w:p w14:paraId="0B00CD6C" w14:textId="77777777" w:rsidR="009948F1" w:rsidRDefault="00BC0563">
            <w:pPr>
              <w:pStyle w:val="TableParagraph"/>
              <w:ind w:left="26"/>
              <w:rPr>
                <w:sz w:val="15"/>
              </w:rPr>
            </w:pPr>
            <w:r>
              <w:rPr>
                <w:color w:val="231F20"/>
                <w:w w:val="85"/>
                <w:sz w:val="15"/>
              </w:rPr>
              <w:t>Establishment</w:t>
            </w:r>
            <w:r>
              <w:rPr>
                <w:color w:val="231F20"/>
                <w:spacing w:val="-11"/>
                <w:w w:val="85"/>
                <w:sz w:val="15"/>
              </w:rPr>
              <w:t xml:space="preserve"> </w:t>
            </w:r>
            <w:r>
              <w:rPr>
                <w:color w:val="231F20"/>
                <w:w w:val="85"/>
                <w:sz w:val="15"/>
              </w:rPr>
              <w:t>of</w:t>
            </w:r>
            <w:r>
              <w:rPr>
                <w:color w:val="231F20"/>
                <w:spacing w:val="-10"/>
                <w:w w:val="85"/>
                <w:sz w:val="15"/>
              </w:rPr>
              <w:t xml:space="preserve"> </w:t>
            </w:r>
            <w:r>
              <w:rPr>
                <w:color w:val="231F20"/>
                <w:w w:val="85"/>
                <w:sz w:val="15"/>
              </w:rPr>
              <w:t>a</w:t>
            </w:r>
            <w:r>
              <w:rPr>
                <w:color w:val="231F20"/>
                <w:spacing w:val="-11"/>
                <w:w w:val="85"/>
                <w:sz w:val="15"/>
              </w:rPr>
              <w:t xml:space="preserve"> </w:t>
            </w:r>
            <w:r>
              <w:rPr>
                <w:color w:val="231F20"/>
                <w:w w:val="85"/>
                <w:sz w:val="15"/>
              </w:rPr>
              <w:t>multidisciplinary</w:t>
            </w:r>
            <w:r>
              <w:rPr>
                <w:color w:val="231F20"/>
                <w:spacing w:val="-10"/>
                <w:w w:val="85"/>
                <w:sz w:val="15"/>
              </w:rPr>
              <w:t xml:space="preserve"> </w:t>
            </w:r>
            <w:r>
              <w:rPr>
                <w:color w:val="231F20"/>
                <w:w w:val="85"/>
                <w:sz w:val="15"/>
              </w:rPr>
              <w:t>management</w:t>
            </w:r>
            <w:r>
              <w:rPr>
                <w:color w:val="231F20"/>
                <w:spacing w:val="-10"/>
                <w:w w:val="85"/>
                <w:sz w:val="15"/>
              </w:rPr>
              <w:t xml:space="preserve"> </w:t>
            </w:r>
            <w:r>
              <w:rPr>
                <w:color w:val="231F20"/>
                <w:w w:val="85"/>
                <w:sz w:val="15"/>
              </w:rPr>
              <w:t>team</w:t>
            </w:r>
            <w:r>
              <w:rPr>
                <w:color w:val="231F20"/>
                <w:spacing w:val="-11"/>
                <w:w w:val="85"/>
                <w:sz w:val="15"/>
              </w:rPr>
              <w:t xml:space="preserve"> </w:t>
            </w:r>
            <w:r>
              <w:rPr>
                <w:color w:val="231F20"/>
                <w:w w:val="85"/>
                <w:sz w:val="15"/>
              </w:rPr>
              <w:t>for</w:t>
            </w:r>
            <w:r>
              <w:rPr>
                <w:color w:val="231F20"/>
                <w:spacing w:val="-10"/>
                <w:w w:val="85"/>
                <w:sz w:val="15"/>
              </w:rPr>
              <w:t xml:space="preserve"> </w:t>
            </w:r>
            <w:r>
              <w:rPr>
                <w:color w:val="231F20"/>
                <w:w w:val="85"/>
                <w:sz w:val="15"/>
              </w:rPr>
              <w:t>prevention</w:t>
            </w:r>
            <w:r>
              <w:rPr>
                <w:color w:val="231F20"/>
                <w:spacing w:val="-10"/>
                <w:w w:val="85"/>
                <w:sz w:val="15"/>
              </w:rPr>
              <w:t xml:space="preserve"> </w:t>
            </w:r>
            <w:r>
              <w:rPr>
                <w:color w:val="231F20"/>
                <w:w w:val="85"/>
                <w:sz w:val="15"/>
              </w:rPr>
              <w:t>and</w:t>
            </w:r>
            <w:r>
              <w:rPr>
                <w:color w:val="231F20"/>
                <w:spacing w:val="-11"/>
                <w:w w:val="85"/>
                <w:sz w:val="15"/>
              </w:rPr>
              <w:t xml:space="preserve"> </w:t>
            </w:r>
            <w:r>
              <w:rPr>
                <w:color w:val="231F20"/>
                <w:w w:val="85"/>
                <w:sz w:val="15"/>
              </w:rPr>
              <w:t>control</w:t>
            </w:r>
            <w:r>
              <w:rPr>
                <w:color w:val="231F20"/>
                <w:spacing w:val="-10"/>
                <w:w w:val="85"/>
                <w:sz w:val="15"/>
              </w:rPr>
              <w:t xml:space="preserve"> </w:t>
            </w:r>
            <w:r>
              <w:rPr>
                <w:color w:val="231F20"/>
                <w:w w:val="85"/>
                <w:sz w:val="15"/>
              </w:rPr>
              <w:t>of</w:t>
            </w:r>
            <w:r>
              <w:rPr>
                <w:color w:val="231F20"/>
                <w:spacing w:val="-10"/>
                <w:w w:val="85"/>
                <w:sz w:val="15"/>
              </w:rPr>
              <w:t xml:space="preserve"> </w:t>
            </w:r>
            <w:r>
              <w:rPr>
                <w:color w:val="231F20"/>
                <w:w w:val="85"/>
                <w:sz w:val="15"/>
              </w:rPr>
              <w:t>NCDs.</w:t>
            </w:r>
          </w:p>
        </w:tc>
        <w:tc>
          <w:tcPr>
            <w:tcW w:w="1495" w:type="dxa"/>
          </w:tcPr>
          <w:p w14:paraId="38D56574" w14:textId="77777777" w:rsidR="009948F1" w:rsidRDefault="009948F1">
            <w:pPr>
              <w:pStyle w:val="TableParagraph"/>
              <w:spacing w:before="6"/>
              <w:rPr>
                <w:sz w:val="18"/>
              </w:rPr>
            </w:pPr>
          </w:p>
          <w:p w14:paraId="6DA1D5F9" w14:textId="77777777" w:rsidR="009948F1" w:rsidRDefault="00BC0563">
            <w:pPr>
              <w:pStyle w:val="TableParagraph"/>
              <w:ind w:left="26"/>
              <w:rPr>
                <w:sz w:val="15"/>
              </w:rPr>
            </w:pPr>
            <w:r>
              <w:rPr>
                <w:color w:val="231F20"/>
                <w:w w:val="95"/>
                <w:sz w:val="15"/>
              </w:rPr>
              <w:t>Lack of funds</w:t>
            </w:r>
          </w:p>
        </w:tc>
        <w:tc>
          <w:tcPr>
            <w:tcW w:w="1577" w:type="dxa"/>
          </w:tcPr>
          <w:p w14:paraId="749AB28E" w14:textId="77777777" w:rsidR="009948F1" w:rsidRDefault="00BC0563">
            <w:pPr>
              <w:pStyle w:val="TableParagraph"/>
              <w:spacing w:before="122" w:line="256" w:lineRule="auto"/>
              <w:ind w:left="27" w:right="17"/>
              <w:rPr>
                <w:sz w:val="15"/>
              </w:rPr>
            </w:pPr>
            <w:r>
              <w:rPr>
                <w:color w:val="231F20"/>
                <w:w w:val="80"/>
                <w:sz w:val="15"/>
              </w:rPr>
              <w:t xml:space="preserve">Establish management </w:t>
            </w:r>
            <w:r>
              <w:rPr>
                <w:color w:val="231F20"/>
                <w:w w:val="95"/>
                <w:sz w:val="15"/>
              </w:rPr>
              <w:t>team</w:t>
            </w:r>
          </w:p>
        </w:tc>
      </w:tr>
      <w:tr w:rsidR="009948F1" w14:paraId="05F554C8" w14:textId="77777777">
        <w:trPr>
          <w:trHeight w:val="600"/>
        </w:trPr>
        <w:tc>
          <w:tcPr>
            <w:tcW w:w="480" w:type="dxa"/>
            <w:vMerge/>
            <w:tcBorders>
              <w:top w:val="nil"/>
              <w:left w:val="single" w:sz="8" w:space="0" w:color="231F20"/>
            </w:tcBorders>
          </w:tcPr>
          <w:p w14:paraId="1DDAA634" w14:textId="77777777" w:rsidR="009948F1" w:rsidRDefault="009948F1">
            <w:pPr>
              <w:rPr>
                <w:sz w:val="2"/>
                <w:szCs w:val="2"/>
              </w:rPr>
            </w:pPr>
          </w:p>
        </w:tc>
        <w:tc>
          <w:tcPr>
            <w:tcW w:w="551" w:type="dxa"/>
          </w:tcPr>
          <w:p w14:paraId="6826C82B" w14:textId="77777777" w:rsidR="009948F1" w:rsidRDefault="009948F1">
            <w:pPr>
              <w:pStyle w:val="TableParagraph"/>
              <w:spacing w:before="6"/>
              <w:rPr>
                <w:sz w:val="18"/>
              </w:rPr>
            </w:pPr>
          </w:p>
          <w:p w14:paraId="32DA0B10" w14:textId="77777777" w:rsidR="009948F1" w:rsidRDefault="00BC0563">
            <w:pPr>
              <w:pStyle w:val="TableParagraph"/>
              <w:ind w:left="88"/>
              <w:rPr>
                <w:sz w:val="15"/>
              </w:rPr>
            </w:pPr>
            <w:r>
              <w:rPr>
                <w:color w:val="231F20"/>
                <w:w w:val="90"/>
                <w:sz w:val="15"/>
              </w:rPr>
              <w:t>6.1.5.b</w:t>
            </w:r>
          </w:p>
        </w:tc>
        <w:tc>
          <w:tcPr>
            <w:tcW w:w="5129" w:type="dxa"/>
            <w:gridSpan w:val="2"/>
          </w:tcPr>
          <w:p w14:paraId="71E73ECC" w14:textId="77777777" w:rsidR="009948F1" w:rsidRDefault="00BC0563">
            <w:pPr>
              <w:pStyle w:val="TableParagraph"/>
              <w:spacing w:before="116" w:line="256" w:lineRule="auto"/>
              <w:ind w:left="26" w:right="217"/>
              <w:rPr>
                <w:sz w:val="15"/>
              </w:rPr>
            </w:pPr>
            <w:r>
              <w:rPr>
                <w:color w:val="231F20"/>
                <w:w w:val="85"/>
                <w:sz w:val="15"/>
              </w:rPr>
              <w:t>Provide</w:t>
            </w:r>
            <w:r>
              <w:rPr>
                <w:color w:val="231F20"/>
                <w:spacing w:val="-15"/>
                <w:w w:val="85"/>
                <w:sz w:val="15"/>
              </w:rPr>
              <w:t xml:space="preserve"> </w:t>
            </w:r>
            <w:r>
              <w:rPr>
                <w:color w:val="231F20"/>
                <w:w w:val="85"/>
                <w:sz w:val="15"/>
              </w:rPr>
              <w:t>psychotherapy</w:t>
            </w:r>
            <w:r>
              <w:rPr>
                <w:color w:val="231F20"/>
                <w:spacing w:val="-15"/>
                <w:w w:val="85"/>
                <w:sz w:val="15"/>
              </w:rPr>
              <w:t xml:space="preserve"> </w:t>
            </w:r>
            <w:r>
              <w:rPr>
                <w:color w:val="231F20"/>
                <w:w w:val="85"/>
                <w:sz w:val="15"/>
              </w:rPr>
              <w:t>and</w:t>
            </w:r>
            <w:r>
              <w:rPr>
                <w:color w:val="231F20"/>
                <w:spacing w:val="-14"/>
                <w:w w:val="85"/>
                <w:sz w:val="15"/>
              </w:rPr>
              <w:t xml:space="preserve"> </w:t>
            </w:r>
            <w:r>
              <w:rPr>
                <w:color w:val="231F20"/>
                <w:w w:val="85"/>
                <w:sz w:val="15"/>
              </w:rPr>
              <w:t>vocational</w:t>
            </w:r>
            <w:r>
              <w:rPr>
                <w:color w:val="231F20"/>
                <w:spacing w:val="-15"/>
                <w:w w:val="85"/>
                <w:sz w:val="15"/>
              </w:rPr>
              <w:t xml:space="preserve"> </w:t>
            </w:r>
            <w:r>
              <w:rPr>
                <w:color w:val="231F20"/>
                <w:w w:val="85"/>
                <w:sz w:val="15"/>
              </w:rPr>
              <w:t>rehabilitation</w:t>
            </w:r>
            <w:r>
              <w:rPr>
                <w:color w:val="231F20"/>
                <w:spacing w:val="-14"/>
                <w:w w:val="85"/>
                <w:sz w:val="15"/>
              </w:rPr>
              <w:t xml:space="preserve"> </w:t>
            </w:r>
            <w:r>
              <w:rPr>
                <w:color w:val="231F20"/>
                <w:w w:val="85"/>
                <w:sz w:val="15"/>
              </w:rPr>
              <w:t>to</w:t>
            </w:r>
            <w:r>
              <w:rPr>
                <w:color w:val="231F20"/>
                <w:spacing w:val="-15"/>
                <w:w w:val="85"/>
                <w:sz w:val="15"/>
              </w:rPr>
              <w:t xml:space="preserve"> </w:t>
            </w:r>
            <w:r>
              <w:rPr>
                <w:color w:val="231F20"/>
                <w:w w:val="85"/>
                <w:sz w:val="15"/>
              </w:rPr>
              <w:t>all</w:t>
            </w:r>
            <w:r>
              <w:rPr>
                <w:color w:val="231F20"/>
                <w:spacing w:val="-15"/>
                <w:w w:val="85"/>
                <w:sz w:val="15"/>
              </w:rPr>
              <w:t xml:space="preserve"> </w:t>
            </w:r>
            <w:r>
              <w:rPr>
                <w:color w:val="231F20"/>
                <w:w w:val="85"/>
                <w:sz w:val="15"/>
              </w:rPr>
              <w:t>patients</w:t>
            </w:r>
            <w:r>
              <w:rPr>
                <w:color w:val="231F20"/>
                <w:spacing w:val="-14"/>
                <w:w w:val="85"/>
                <w:sz w:val="15"/>
              </w:rPr>
              <w:t xml:space="preserve"> </w:t>
            </w:r>
            <w:r>
              <w:rPr>
                <w:color w:val="231F20"/>
                <w:w w:val="85"/>
                <w:sz w:val="15"/>
              </w:rPr>
              <w:t>undergoing</w:t>
            </w:r>
            <w:r>
              <w:rPr>
                <w:color w:val="231F20"/>
                <w:spacing w:val="-15"/>
                <w:w w:val="85"/>
                <w:sz w:val="15"/>
              </w:rPr>
              <w:t xml:space="preserve"> </w:t>
            </w:r>
            <w:r>
              <w:rPr>
                <w:color w:val="231F20"/>
                <w:w w:val="85"/>
                <w:sz w:val="15"/>
              </w:rPr>
              <w:t xml:space="preserve">diagnosis, </w:t>
            </w:r>
            <w:r>
              <w:rPr>
                <w:color w:val="231F20"/>
                <w:w w:val="95"/>
                <w:sz w:val="15"/>
              </w:rPr>
              <w:t>treatment and</w:t>
            </w:r>
            <w:r>
              <w:rPr>
                <w:color w:val="231F20"/>
                <w:spacing w:val="-17"/>
                <w:w w:val="95"/>
                <w:sz w:val="15"/>
              </w:rPr>
              <w:t xml:space="preserve"> </w:t>
            </w:r>
            <w:r>
              <w:rPr>
                <w:color w:val="231F20"/>
                <w:w w:val="95"/>
                <w:sz w:val="15"/>
              </w:rPr>
              <w:t>rehabilitation.</w:t>
            </w:r>
          </w:p>
        </w:tc>
        <w:tc>
          <w:tcPr>
            <w:tcW w:w="1495" w:type="dxa"/>
          </w:tcPr>
          <w:p w14:paraId="4F611E15" w14:textId="77777777" w:rsidR="009948F1" w:rsidRDefault="009948F1">
            <w:pPr>
              <w:pStyle w:val="TableParagraph"/>
              <w:spacing w:before="6"/>
              <w:rPr>
                <w:sz w:val="18"/>
              </w:rPr>
            </w:pPr>
          </w:p>
          <w:p w14:paraId="5BCBDCC6" w14:textId="77777777" w:rsidR="009948F1" w:rsidRDefault="00BC0563">
            <w:pPr>
              <w:pStyle w:val="TableParagraph"/>
              <w:ind w:left="26"/>
              <w:rPr>
                <w:sz w:val="15"/>
              </w:rPr>
            </w:pPr>
            <w:r>
              <w:rPr>
                <w:color w:val="231F20"/>
                <w:w w:val="95"/>
                <w:sz w:val="15"/>
              </w:rPr>
              <w:t>Lack of funds</w:t>
            </w:r>
          </w:p>
        </w:tc>
        <w:tc>
          <w:tcPr>
            <w:tcW w:w="1577" w:type="dxa"/>
          </w:tcPr>
          <w:p w14:paraId="36E18D45" w14:textId="77777777" w:rsidR="009948F1" w:rsidRDefault="00BC0563">
            <w:pPr>
              <w:pStyle w:val="TableParagraph"/>
              <w:spacing w:before="21" w:line="180" w:lineRule="atLeast"/>
              <w:ind w:left="27" w:right="-9"/>
              <w:rPr>
                <w:sz w:val="15"/>
              </w:rPr>
            </w:pPr>
            <w:r>
              <w:rPr>
                <w:color w:val="231F20"/>
                <w:w w:val="85"/>
                <w:sz w:val="15"/>
              </w:rPr>
              <w:t xml:space="preserve">Provide treatment and </w:t>
            </w:r>
            <w:r>
              <w:rPr>
                <w:color w:val="231F20"/>
                <w:w w:val="90"/>
                <w:sz w:val="15"/>
              </w:rPr>
              <w:t xml:space="preserve">rehabilitation </w:t>
            </w:r>
            <w:proofErr w:type="spellStart"/>
            <w:r>
              <w:rPr>
                <w:color w:val="231F20"/>
                <w:w w:val="90"/>
                <w:sz w:val="15"/>
              </w:rPr>
              <w:t>centre</w:t>
            </w:r>
            <w:proofErr w:type="spellEnd"/>
            <w:r>
              <w:rPr>
                <w:color w:val="231F20"/>
                <w:w w:val="90"/>
                <w:sz w:val="15"/>
              </w:rPr>
              <w:t xml:space="preserve"> </w:t>
            </w:r>
            <w:r>
              <w:rPr>
                <w:color w:val="231F20"/>
                <w:w w:val="95"/>
                <w:sz w:val="15"/>
              </w:rPr>
              <w:t>(Costed in OHT)</w:t>
            </w:r>
          </w:p>
        </w:tc>
      </w:tr>
      <w:tr w:rsidR="009948F1" w14:paraId="5210FC7E" w14:textId="77777777">
        <w:trPr>
          <w:trHeight w:val="447"/>
        </w:trPr>
        <w:tc>
          <w:tcPr>
            <w:tcW w:w="480" w:type="dxa"/>
            <w:vMerge/>
            <w:tcBorders>
              <w:top w:val="nil"/>
              <w:left w:val="single" w:sz="8" w:space="0" w:color="231F20"/>
            </w:tcBorders>
          </w:tcPr>
          <w:p w14:paraId="2FC21F6D" w14:textId="77777777" w:rsidR="009948F1" w:rsidRDefault="009948F1">
            <w:pPr>
              <w:rPr>
                <w:sz w:val="2"/>
                <w:szCs w:val="2"/>
              </w:rPr>
            </w:pPr>
          </w:p>
        </w:tc>
        <w:tc>
          <w:tcPr>
            <w:tcW w:w="551" w:type="dxa"/>
          </w:tcPr>
          <w:p w14:paraId="453C56DD" w14:textId="77777777" w:rsidR="009948F1" w:rsidRDefault="009948F1">
            <w:pPr>
              <w:pStyle w:val="TableParagraph"/>
              <w:spacing w:before="10"/>
              <w:rPr>
                <w:sz w:val="11"/>
              </w:rPr>
            </w:pPr>
          </w:p>
          <w:p w14:paraId="36DD33F4" w14:textId="77777777" w:rsidR="009948F1" w:rsidRDefault="00BC0563">
            <w:pPr>
              <w:pStyle w:val="TableParagraph"/>
              <w:ind w:left="92"/>
              <w:rPr>
                <w:sz w:val="15"/>
              </w:rPr>
            </w:pPr>
            <w:r>
              <w:rPr>
                <w:color w:val="231F20"/>
                <w:w w:val="90"/>
                <w:sz w:val="15"/>
              </w:rPr>
              <w:t>6.1.5.c</w:t>
            </w:r>
          </w:p>
        </w:tc>
        <w:tc>
          <w:tcPr>
            <w:tcW w:w="5129" w:type="dxa"/>
            <w:gridSpan w:val="2"/>
          </w:tcPr>
          <w:p w14:paraId="5F1EDF0C" w14:textId="77777777" w:rsidR="009948F1" w:rsidRDefault="00BC0563">
            <w:pPr>
              <w:pStyle w:val="TableParagraph"/>
              <w:spacing w:before="39" w:line="256" w:lineRule="auto"/>
              <w:ind w:left="26" w:right="216"/>
              <w:rPr>
                <w:sz w:val="15"/>
              </w:rPr>
            </w:pPr>
            <w:r>
              <w:rPr>
                <w:color w:val="231F20"/>
                <w:w w:val="85"/>
                <w:sz w:val="15"/>
              </w:rPr>
              <w:t>Expand</w:t>
            </w:r>
            <w:r>
              <w:rPr>
                <w:color w:val="231F20"/>
                <w:spacing w:val="-10"/>
                <w:w w:val="85"/>
                <w:sz w:val="15"/>
              </w:rPr>
              <w:t xml:space="preserve"> </w:t>
            </w:r>
            <w:r>
              <w:rPr>
                <w:color w:val="231F20"/>
                <w:w w:val="85"/>
                <w:sz w:val="15"/>
              </w:rPr>
              <w:t>the</w:t>
            </w:r>
            <w:r>
              <w:rPr>
                <w:color w:val="231F20"/>
                <w:spacing w:val="-9"/>
                <w:w w:val="85"/>
                <w:sz w:val="15"/>
              </w:rPr>
              <w:t xml:space="preserve"> </w:t>
            </w:r>
            <w:r>
              <w:rPr>
                <w:color w:val="231F20"/>
                <w:w w:val="85"/>
                <w:sz w:val="15"/>
              </w:rPr>
              <w:t>availability</w:t>
            </w:r>
            <w:r>
              <w:rPr>
                <w:color w:val="231F20"/>
                <w:spacing w:val="-9"/>
                <w:w w:val="85"/>
                <w:sz w:val="15"/>
              </w:rPr>
              <w:t xml:space="preserve"> </w:t>
            </w:r>
            <w:r>
              <w:rPr>
                <w:color w:val="231F20"/>
                <w:w w:val="85"/>
                <w:sz w:val="15"/>
              </w:rPr>
              <w:t>of</w:t>
            </w:r>
            <w:r>
              <w:rPr>
                <w:color w:val="231F20"/>
                <w:spacing w:val="-9"/>
                <w:w w:val="85"/>
                <w:sz w:val="15"/>
              </w:rPr>
              <w:t xml:space="preserve"> </w:t>
            </w:r>
            <w:r>
              <w:rPr>
                <w:color w:val="231F20"/>
                <w:w w:val="85"/>
                <w:sz w:val="15"/>
              </w:rPr>
              <w:t>drugs</w:t>
            </w:r>
            <w:r>
              <w:rPr>
                <w:color w:val="231F20"/>
                <w:spacing w:val="-9"/>
                <w:w w:val="85"/>
                <w:sz w:val="15"/>
              </w:rPr>
              <w:t xml:space="preserve"> </w:t>
            </w:r>
            <w:r>
              <w:rPr>
                <w:color w:val="231F20"/>
                <w:w w:val="85"/>
                <w:sz w:val="15"/>
              </w:rPr>
              <w:t>in</w:t>
            </w:r>
            <w:r>
              <w:rPr>
                <w:color w:val="231F20"/>
                <w:spacing w:val="-9"/>
                <w:w w:val="85"/>
                <w:sz w:val="15"/>
              </w:rPr>
              <w:t xml:space="preserve"> </w:t>
            </w:r>
            <w:r>
              <w:rPr>
                <w:color w:val="231F20"/>
                <w:w w:val="85"/>
                <w:sz w:val="15"/>
              </w:rPr>
              <w:t>the</w:t>
            </w:r>
            <w:r>
              <w:rPr>
                <w:color w:val="231F20"/>
                <w:spacing w:val="-10"/>
                <w:w w:val="85"/>
                <w:sz w:val="15"/>
              </w:rPr>
              <w:t xml:space="preserve"> </w:t>
            </w:r>
            <w:r>
              <w:rPr>
                <w:color w:val="231F20"/>
                <w:w w:val="85"/>
                <w:sz w:val="15"/>
              </w:rPr>
              <w:t>essential</w:t>
            </w:r>
            <w:r>
              <w:rPr>
                <w:color w:val="231F20"/>
                <w:spacing w:val="-9"/>
                <w:w w:val="85"/>
                <w:sz w:val="15"/>
              </w:rPr>
              <w:t xml:space="preserve"> </w:t>
            </w:r>
            <w:r>
              <w:rPr>
                <w:color w:val="231F20"/>
                <w:w w:val="85"/>
                <w:sz w:val="15"/>
              </w:rPr>
              <w:t>drug</w:t>
            </w:r>
            <w:r>
              <w:rPr>
                <w:color w:val="231F20"/>
                <w:spacing w:val="-9"/>
                <w:w w:val="85"/>
                <w:sz w:val="15"/>
              </w:rPr>
              <w:t xml:space="preserve"> </w:t>
            </w:r>
            <w:r>
              <w:rPr>
                <w:color w:val="231F20"/>
                <w:w w:val="85"/>
                <w:sz w:val="15"/>
              </w:rPr>
              <w:t>list</w:t>
            </w:r>
            <w:r>
              <w:rPr>
                <w:color w:val="231F20"/>
                <w:spacing w:val="-9"/>
                <w:w w:val="85"/>
                <w:sz w:val="15"/>
              </w:rPr>
              <w:t xml:space="preserve"> </w:t>
            </w:r>
            <w:r>
              <w:rPr>
                <w:color w:val="231F20"/>
                <w:w w:val="85"/>
                <w:sz w:val="15"/>
              </w:rPr>
              <w:t>such</w:t>
            </w:r>
            <w:r>
              <w:rPr>
                <w:color w:val="231F20"/>
                <w:spacing w:val="-9"/>
                <w:w w:val="85"/>
                <w:sz w:val="15"/>
              </w:rPr>
              <w:t xml:space="preserve"> </w:t>
            </w:r>
            <w:r>
              <w:rPr>
                <w:color w:val="231F20"/>
                <w:w w:val="85"/>
                <w:sz w:val="15"/>
              </w:rPr>
              <w:t>as</w:t>
            </w:r>
            <w:r>
              <w:rPr>
                <w:color w:val="231F20"/>
                <w:spacing w:val="-9"/>
                <w:w w:val="85"/>
                <w:sz w:val="15"/>
              </w:rPr>
              <w:t xml:space="preserve"> </w:t>
            </w:r>
            <w:r>
              <w:rPr>
                <w:color w:val="231F20"/>
                <w:w w:val="85"/>
                <w:sz w:val="15"/>
              </w:rPr>
              <w:t>drugs</w:t>
            </w:r>
            <w:r>
              <w:rPr>
                <w:color w:val="231F20"/>
                <w:spacing w:val="-9"/>
                <w:w w:val="85"/>
                <w:sz w:val="15"/>
              </w:rPr>
              <w:t xml:space="preserve"> </w:t>
            </w:r>
            <w:r>
              <w:rPr>
                <w:color w:val="231F20"/>
                <w:w w:val="85"/>
                <w:sz w:val="15"/>
              </w:rPr>
              <w:t>used</w:t>
            </w:r>
            <w:r>
              <w:rPr>
                <w:color w:val="231F20"/>
                <w:spacing w:val="-10"/>
                <w:w w:val="85"/>
                <w:sz w:val="15"/>
              </w:rPr>
              <w:t xml:space="preserve"> </w:t>
            </w:r>
            <w:r>
              <w:rPr>
                <w:color w:val="231F20"/>
                <w:w w:val="85"/>
                <w:sz w:val="15"/>
              </w:rPr>
              <w:t>for</w:t>
            </w:r>
            <w:r>
              <w:rPr>
                <w:color w:val="231F20"/>
                <w:spacing w:val="-9"/>
                <w:w w:val="85"/>
                <w:sz w:val="15"/>
              </w:rPr>
              <w:t xml:space="preserve"> </w:t>
            </w:r>
            <w:r>
              <w:rPr>
                <w:color w:val="231F20"/>
                <w:w w:val="85"/>
                <w:sz w:val="15"/>
              </w:rPr>
              <w:t xml:space="preserve">palliative </w:t>
            </w:r>
            <w:r>
              <w:rPr>
                <w:color w:val="231F20"/>
                <w:w w:val="95"/>
                <w:sz w:val="15"/>
              </w:rPr>
              <w:t>care</w:t>
            </w:r>
            <w:r>
              <w:rPr>
                <w:color w:val="231F20"/>
                <w:spacing w:val="-9"/>
                <w:w w:val="95"/>
                <w:sz w:val="15"/>
              </w:rPr>
              <w:t xml:space="preserve"> </w:t>
            </w:r>
            <w:r>
              <w:rPr>
                <w:color w:val="231F20"/>
                <w:w w:val="95"/>
                <w:sz w:val="15"/>
              </w:rPr>
              <w:t>and</w:t>
            </w:r>
            <w:r>
              <w:rPr>
                <w:color w:val="231F20"/>
                <w:spacing w:val="-8"/>
                <w:w w:val="95"/>
                <w:sz w:val="15"/>
              </w:rPr>
              <w:t xml:space="preserve"> </w:t>
            </w:r>
            <w:r>
              <w:rPr>
                <w:color w:val="231F20"/>
                <w:w w:val="95"/>
                <w:sz w:val="15"/>
              </w:rPr>
              <w:t>treatment</w:t>
            </w:r>
            <w:r>
              <w:rPr>
                <w:color w:val="231F20"/>
                <w:spacing w:val="-8"/>
                <w:w w:val="95"/>
                <w:sz w:val="15"/>
              </w:rPr>
              <w:t xml:space="preserve"> </w:t>
            </w:r>
            <w:r>
              <w:rPr>
                <w:color w:val="231F20"/>
                <w:w w:val="95"/>
                <w:sz w:val="15"/>
              </w:rPr>
              <w:t>of</w:t>
            </w:r>
            <w:r>
              <w:rPr>
                <w:color w:val="231F20"/>
                <w:spacing w:val="-8"/>
                <w:w w:val="95"/>
                <w:sz w:val="15"/>
              </w:rPr>
              <w:t xml:space="preserve"> </w:t>
            </w:r>
            <w:r>
              <w:rPr>
                <w:color w:val="231F20"/>
                <w:w w:val="95"/>
                <w:sz w:val="15"/>
              </w:rPr>
              <w:t>NCDs.</w:t>
            </w:r>
          </w:p>
        </w:tc>
        <w:tc>
          <w:tcPr>
            <w:tcW w:w="1495" w:type="dxa"/>
          </w:tcPr>
          <w:p w14:paraId="3E5FAD2C" w14:textId="77777777" w:rsidR="009948F1" w:rsidRDefault="009948F1">
            <w:pPr>
              <w:pStyle w:val="TableParagraph"/>
              <w:spacing w:before="10"/>
              <w:rPr>
                <w:sz w:val="11"/>
              </w:rPr>
            </w:pPr>
          </w:p>
          <w:p w14:paraId="77833458" w14:textId="77777777" w:rsidR="009948F1" w:rsidRDefault="00BC0563">
            <w:pPr>
              <w:pStyle w:val="TableParagraph"/>
              <w:ind w:left="26"/>
              <w:rPr>
                <w:sz w:val="15"/>
              </w:rPr>
            </w:pPr>
            <w:r>
              <w:rPr>
                <w:color w:val="231F20"/>
                <w:w w:val="95"/>
                <w:sz w:val="15"/>
              </w:rPr>
              <w:t>Lack of funds</w:t>
            </w:r>
          </w:p>
        </w:tc>
        <w:tc>
          <w:tcPr>
            <w:tcW w:w="1577" w:type="dxa"/>
          </w:tcPr>
          <w:p w14:paraId="7F7BF91E" w14:textId="77777777" w:rsidR="009948F1" w:rsidRDefault="00BC0563">
            <w:pPr>
              <w:pStyle w:val="TableParagraph"/>
              <w:spacing w:before="45" w:line="256" w:lineRule="auto"/>
              <w:ind w:left="27" w:right="-9"/>
              <w:rPr>
                <w:sz w:val="15"/>
              </w:rPr>
            </w:pPr>
            <w:r>
              <w:rPr>
                <w:color w:val="231F20"/>
                <w:w w:val="85"/>
                <w:sz w:val="15"/>
              </w:rPr>
              <w:t xml:space="preserve">Expand the availability of </w:t>
            </w:r>
            <w:r>
              <w:rPr>
                <w:color w:val="231F20"/>
                <w:w w:val="95"/>
                <w:sz w:val="15"/>
              </w:rPr>
              <w:t>drugs</w:t>
            </w:r>
          </w:p>
        </w:tc>
      </w:tr>
      <w:tr w:rsidR="009948F1" w14:paraId="13FAB453" w14:textId="77777777">
        <w:trPr>
          <w:trHeight w:val="601"/>
        </w:trPr>
        <w:tc>
          <w:tcPr>
            <w:tcW w:w="480" w:type="dxa"/>
            <w:vMerge/>
            <w:tcBorders>
              <w:top w:val="nil"/>
              <w:left w:val="single" w:sz="8" w:space="0" w:color="231F20"/>
            </w:tcBorders>
          </w:tcPr>
          <w:p w14:paraId="70B34CB4" w14:textId="77777777" w:rsidR="009948F1" w:rsidRDefault="009948F1">
            <w:pPr>
              <w:rPr>
                <w:sz w:val="2"/>
                <w:szCs w:val="2"/>
              </w:rPr>
            </w:pPr>
          </w:p>
        </w:tc>
        <w:tc>
          <w:tcPr>
            <w:tcW w:w="551" w:type="dxa"/>
          </w:tcPr>
          <w:p w14:paraId="29929AEA" w14:textId="77777777" w:rsidR="009948F1" w:rsidRDefault="009948F1">
            <w:pPr>
              <w:pStyle w:val="TableParagraph"/>
              <w:spacing w:before="6"/>
              <w:rPr>
                <w:sz w:val="18"/>
              </w:rPr>
            </w:pPr>
          </w:p>
          <w:p w14:paraId="784DD0DB" w14:textId="77777777" w:rsidR="009948F1" w:rsidRDefault="00BC0563">
            <w:pPr>
              <w:pStyle w:val="TableParagraph"/>
              <w:ind w:left="88"/>
              <w:rPr>
                <w:sz w:val="15"/>
              </w:rPr>
            </w:pPr>
            <w:r>
              <w:rPr>
                <w:color w:val="231F20"/>
                <w:w w:val="90"/>
                <w:sz w:val="15"/>
              </w:rPr>
              <w:t>6.1.5.d</w:t>
            </w:r>
          </w:p>
        </w:tc>
        <w:tc>
          <w:tcPr>
            <w:tcW w:w="5129" w:type="dxa"/>
            <w:gridSpan w:val="2"/>
          </w:tcPr>
          <w:p w14:paraId="5C525732" w14:textId="77777777" w:rsidR="009948F1" w:rsidRDefault="009948F1">
            <w:pPr>
              <w:pStyle w:val="TableParagraph"/>
              <w:rPr>
                <w:sz w:val="18"/>
              </w:rPr>
            </w:pPr>
          </w:p>
          <w:p w14:paraId="5DE7F9E5" w14:textId="77777777" w:rsidR="009948F1" w:rsidRDefault="00BC0563">
            <w:pPr>
              <w:pStyle w:val="TableParagraph"/>
              <w:ind w:left="26"/>
              <w:rPr>
                <w:sz w:val="15"/>
              </w:rPr>
            </w:pPr>
            <w:r>
              <w:rPr>
                <w:color w:val="231F20"/>
                <w:w w:val="95"/>
                <w:sz w:val="15"/>
              </w:rPr>
              <w:t>Provide prosthetic aides for patients affected by NCD complications.</w:t>
            </w:r>
          </w:p>
        </w:tc>
        <w:tc>
          <w:tcPr>
            <w:tcW w:w="1495" w:type="dxa"/>
          </w:tcPr>
          <w:p w14:paraId="276AB324" w14:textId="77777777" w:rsidR="009948F1" w:rsidRDefault="009948F1">
            <w:pPr>
              <w:pStyle w:val="TableParagraph"/>
              <w:spacing w:before="6"/>
              <w:rPr>
                <w:sz w:val="18"/>
              </w:rPr>
            </w:pPr>
          </w:p>
          <w:p w14:paraId="4367239A" w14:textId="77777777" w:rsidR="009948F1" w:rsidRDefault="00BC0563">
            <w:pPr>
              <w:pStyle w:val="TableParagraph"/>
              <w:ind w:left="26"/>
              <w:rPr>
                <w:sz w:val="15"/>
              </w:rPr>
            </w:pPr>
            <w:r>
              <w:rPr>
                <w:color w:val="231F20"/>
                <w:w w:val="95"/>
                <w:sz w:val="15"/>
              </w:rPr>
              <w:t>Lack of funds</w:t>
            </w:r>
          </w:p>
        </w:tc>
        <w:tc>
          <w:tcPr>
            <w:tcW w:w="1577" w:type="dxa"/>
          </w:tcPr>
          <w:p w14:paraId="66CD9546" w14:textId="77777777" w:rsidR="009948F1" w:rsidRDefault="009948F1">
            <w:pPr>
              <w:pStyle w:val="TableParagraph"/>
              <w:spacing w:before="6"/>
              <w:rPr>
                <w:sz w:val="18"/>
              </w:rPr>
            </w:pPr>
          </w:p>
          <w:p w14:paraId="77E47F75" w14:textId="77777777" w:rsidR="009948F1" w:rsidRDefault="00BC0563">
            <w:pPr>
              <w:pStyle w:val="TableParagraph"/>
              <w:ind w:left="27"/>
              <w:rPr>
                <w:sz w:val="15"/>
              </w:rPr>
            </w:pPr>
            <w:r>
              <w:rPr>
                <w:color w:val="231F20"/>
                <w:w w:val="90"/>
                <w:sz w:val="15"/>
              </w:rPr>
              <w:t>Provide prosthetic aides</w:t>
            </w:r>
          </w:p>
        </w:tc>
      </w:tr>
      <w:tr w:rsidR="009948F1" w14:paraId="68A58074" w14:textId="77777777">
        <w:trPr>
          <w:trHeight w:val="1648"/>
        </w:trPr>
        <w:tc>
          <w:tcPr>
            <w:tcW w:w="480" w:type="dxa"/>
            <w:tcBorders>
              <w:left w:val="single" w:sz="8" w:space="0" w:color="231F20"/>
            </w:tcBorders>
            <w:shd w:val="clear" w:color="auto" w:fill="CCE7D3"/>
          </w:tcPr>
          <w:p w14:paraId="13E4A1B5" w14:textId="77777777" w:rsidR="009948F1" w:rsidRDefault="009948F1">
            <w:pPr>
              <w:pStyle w:val="TableParagraph"/>
              <w:rPr>
                <w:sz w:val="14"/>
              </w:rPr>
            </w:pPr>
          </w:p>
          <w:p w14:paraId="451C5028" w14:textId="77777777" w:rsidR="009948F1" w:rsidRDefault="009948F1">
            <w:pPr>
              <w:pStyle w:val="TableParagraph"/>
              <w:rPr>
                <w:sz w:val="14"/>
              </w:rPr>
            </w:pPr>
          </w:p>
          <w:p w14:paraId="6A3BD93C" w14:textId="77777777" w:rsidR="009948F1" w:rsidRDefault="009948F1">
            <w:pPr>
              <w:pStyle w:val="TableParagraph"/>
              <w:rPr>
                <w:sz w:val="14"/>
              </w:rPr>
            </w:pPr>
          </w:p>
          <w:p w14:paraId="1509B04F" w14:textId="77777777" w:rsidR="009948F1" w:rsidRDefault="009948F1">
            <w:pPr>
              <w:pStyle w:val="TableParagraph"/>
              <w:rPr>
                <w:sz w:val="14"/>
              </w:rPr>
            </w:pPr>
          </w:p>
          <w:p w14:paraId="2FBD948D" w14:textId="77777777" w:rsidR="009948F1" w:rsidRDefault="00BC0563">
            <w:pPr>
              <w:pStyle w:val="TableParagraph"/>
              <w:spacing w:before="94"/>
              <w:ind w:left="61"/>
              <w:rPr>
                <w:sz w:val="15"/>
              </w:rPr>
            </w:pPr>
            <w:r>
              <w:rPr>
                <w:color w:val="231F20"/>
                <w:w w:val="95"/>
                <w:sz w:val="15"/>
              </w:rPr>
              <w:t>6.1.6</w:t>
            </w:r>
          </w:p>
        </w:tc>
        <w:tc>
          <w:tcPr>
            <w:tcW w:w="3182" w:type="dxa"/>
            <w:gridSpan w:val="2"/>
            <w:shd w:val="clear" w:color="auto" w:fill="CCE7D3"/>
          </w:tcPr>
          <w:p w14:paraId="16F8B480" w14:textId="77777777" w:rsidR="009948F1" w:rsidRDefault="009948F1">
            <w:pPr>
              <w:pStyle w:val="TableParagraph"/>
              <w:rPr>
                <w:sz w:val="14"/>
              </w:rPr>
            </w:pPr>
          </w:p>
          <w:p w14:paraId="5E314CB8" w14:textId="77777777" w:rsidR="009948F1" w:rsidRDefault="009948F1">
            <w:pPr>
              <w:pStyle w:val="TableParagraph"/>
              <w:rPr>
                <w:sz w:val="14"/>
              </w:rPr>
            </w:pPr>
          </w:p>
          <w:p w14:paraId="24590DDB" w14:textId="77777777" w:rsidR="009948F1" w:rsidRDefault="009948F1">
            <w:pPr>
              <w:pStyle w:val="TableParagraph"/>
              <w:spacing w:before="6"/>
              <w:rPr>
                <w:sz w:val="19"/>
              </w:rPr>
            </w:pPr>
          </w:p>
          <w:p w14:paraId="07754A54" w14:textId="77777777" w:rsidR="009948F1" w:rsidRDefault="00BC0563">
            <w:pPr>
              <w:pStyle w:val="TableParagraph"/>
              <w:spacing w:line="256" w:lineRule="auto"/>
              <w:ind w:left="26" w:right="237" w:firstLine="34"/>
              <w:rPr>
                <w:sz w:val="15"/>
              </w:rPr>
            </w:pPr>
            <w:r>
              <w:rPr>
                <w:color w:val="231F20"/>
                <w:w w:val="85"/>
                <w:sz w:val="15"/>
              </w:rPr>
              <w:t>Build</w:t>
            </w:r>
            <w:r>
              <w:rPr>
                <w:color w:val="231F20"/>
                <w:spacing w:val="-11"/>
                <w:w w:val="85"/>
                <w:sz w:val="15"/>
              </w:rPr>
              <w:t xml:space="preserve"> </w:t>
            </w:r>
            <w:r>
              <w:rPr>
                <w:color w:val="231F20"/>
                <w:w w:val="85"/>
                <w:sz w:val="15"/>
              </w:rPr>
              <w:t>capacity</w:t>
            </w:r>
            <w:r>
              <w:rPr>
                <w:color w:val="231F20"/>
                <w:spacing w:val="-11"/>
                <w:w w:val="85"/>
                <w:sz w:val="15"/>
              </w:rPr>
              <w:t xml:space="preserve"> </w:t>
            </w:r>
            <w:r>
              <w:rPr>
                <w:color w:val="231F20"/>
                <w:w w:val="85"/>
                <w:sz w:val="15"/>
              </w:rPr>
              <w:t>of</w:t>
            </w:r>
            <w:r>
              <w:rPr>
                <w:color w:val="231F20"/>
                <w:spacing w:val="-11"/>
                <w:w w:val="85"/>
                <w:sz w:val="15"/>
              </w:rPr>
              <w:t xml:space="preserve"> </w:t>
            </w:r>
            <w:r>
              <w:rPr>
                <w:color w:val="231F20"/>
                <w:w w:val="85"/>
                <w:sz w:val="15"/>
              </w:rPr>
              <w:t>health</w:t>
            </w:r>
            <w:r>
              <w:rPr>
                <w:color w:val="231F20"/>
                <w:spacing w:val="-11"/>
                <w:w w:val="85"/>
                <w:sz w:val="15"/>
              </w:rPr>
              <w:t xml:space="preserve"> </w:t>
            </w:r>
            <w:r>
              <w:rPr>
                <w:color w:val="231F20"/>
                <w:w w:val="85"/>
                <w:sz w:val="15"/>
              </w:rPr>
              <w:t>care</w:t>
            </w:r>
            <w:r>
              <w:rPr>
                <w:color w:val="231F20"/>
                <w:spacing w:val="-11"/>
                <w:w w:val="85"/>
                <w:sz w:val="15"/>
              </w:rPr>
              <w:t xml:space="preserve"> </w:t>
            </w:r>
            <w:r>
              <w:rPr>
                <w:color w:val="231F20"/>
                <w:w w:val="85"/>
                <w:sz w:val="15"/>
              </w:rPr>
              <w:t>providers,</w:t>
            </w:r>
            <w:r>
              <w:rPr>
                <w:color w:val="231F20"/>
                <w:spacing w:val="-11"/>
                <w:w w:val="85"/>
                <w:sz w:val="15"/>
              </w:rPr>
              <w:t xml:space="preserve"> </w:t>
            </w:r>
            <w:r>
              <w:rPr>
                <w:color w:val="231F20"/>
                <w:w w:val="85"/>
                <w:sz w:val="15"/>
              </w:rPr>
              <w:t>especially</w:t>
            </w:r>
            <w:r>
              <w:rPr>
                <w:color w:val="231F20"/>
                <w:spacing w:val="-11"/>
                <w:w w:val="85"/>
                <w:sz w:val="15"/>
              </w:rPr>
              <w:t xml:space="preserve"> </w:t>
            </w:r>
            <w:r>
              <w:rPr>
                <w:color w:val="231F20"/>
                <w:w w:val="85"/>
                <w:sz w:val="15"/>
              </w:rPr>
              <w:t xml:space="preserve">at </w:t>
            </w:r>
            <w:r>
              <w:rPr>
                <w:color w:val="231F20"/>
                <w:w w:val="90"/>
                <w:sz w:val="15"/>
              </w:rPr>
              <w:t>lower</w:t>
            </w:r>
            <w:r>
              <w:rPr>
                <w:color w:val="231F20"/>
                <w:spacing w:val="-24"/>
                <w:w w:val="90"/>
                <w:sz w:val="15"/>
              </w:rPr>
              <w:t xml:space="preserve"> </w:t>
            </w:r>
            <w:r>
              <w:rPr>
                <w:color w:val="231F20"/>
                <w:w w:val="90"/>
                <w:sz w:val="15"/>
              </w:rPr>
              <w:t>levels</w:t>
            </w:r>
            <w:r>
              <w:rPr>
                <w:color w:val="231F20"/>
                <w:spacing w:val="-25"/>
                <w:w w:val="90"/>
                <w:sz w:val="15"/>
              </w:rPr>
              <w:t xml:space="preserve"> </w:t>
            </w:r>
            <w:r>
              <w:rPr>
                <w:color w:val="231F20"/>
                <w:w w:val="90"/>
                <w:sz w:val="15"/>
              </w:rPr>
              <w:t>(PHC)</w:t>
            </w:r>
            <w:r>
              <w:rPr>
                <w:color w:val="231F20"/>
                <w:spacing w:val="-24"/>
                <w:w w:val="90"/>
                <w:sz w:val="15"/>
              </w:rPr>
              <w:t xml:space="preserve"> </w:t>
            </w:r>
            <w:r>
              <w:rPr>
                <w:color w:val="231F20"/>
                <w:w w:val="90"/>
                <w:sz w:val="15"/>
              </w:rPr>
              <w:t>in</w:t>
            </w:r>
            <w:r>
              <w:rPr>
                <w:color w:val="231F20"/>
                <w:spacing w:val="-24"/>
                <w:w w:val="90"/>
                <w:sz w:val="15"/>
              </w:rPr>
              <w:t xml:space="preserve"> </w:t>
            </w:r>
            <w:r>
              <w:rPr>
                <w:color w:val="231F20"/>
                <w:w w:val="90"/>
                <w:sz w:val="15"/>
              </w:rPr>
              <w:t>prevention</w:t>
            </w:r>
            <w:r>
              <w:rPr>
                <w:color w:val="231F20"/>
                <w:spacing w:val="-24"/>
                <w:w w:val="90"/>
                <w:sz w:val="15"/>
              </w:rPr>
              <w:t xml:space="preserve"> </w:t>
            </w:r>
            <w:r>
              <w:rPr>
                <w:color w:val="231F20"/>
                <w:w w:val="90"/>
                <w:sz w:val="15"/>
              </w:rPr>
              <w:t>and</w:t>
            </w:r>
            <w:r>
              <w:rPr>
                <w:color w:val="231F20"/>
                <w:spacing w:val="-24"/>
                <w:w w:val="90"/>
                <w:sz w:val="15"/>
              </w:rPr>
              <w:t xml:space="preserve"> </w:t>
            </w:r>
            <w:r>
              <w:rPr>
                <w:color w:val="231F20"/>
                <w:w w:val="90"/>
                <w:sz w:val="15"/>
              </w:rPr>
              <w:t>screening</w:t>
            </w:r>
            <w:r>
              <w:rPr>
                <w:color w:val="231F20"/>
                <w:spacing w:val="-24"/>
                <w:w w:val="90"/>
                <w:sz w:val="15"/>
              </w:rPr>
              <w:t xml:space="preserve"> </w:t>
            </w:r>
            <w:r>
              <w:rPr>
                <w:color w:val="231F20"/>
                <w:w w:val="90"/>
                <w:sz w:val="15"/>
              </w:rPr>
              <w:t xml:space="preserve">for </w:t>
            </w:r>
            <w:r>
              <w:rPr>
                <w:color w:val="231F20"/>
                <w:w w:val="95"/>
                <w:sz w:val="15"/>
              </w:rPr>
              <w:t>NCDs</w:t>
            </w:r>
          </w:p>
        </w:tc>
        <w:tc>
          <w:tcPr>
            <w:tcW w:w="2498" w:type="dxa"/>
            <w:shd w:val="clear" w:color="auto" w:fill="CCE7D3"/>
          </w:tcPr>
          <w:p w14:paraId="39B11BBC" w14:textId="77777777" w:rsidR="009948F1" w:rsidRDefault="00BC0563">
            <w:pPr>
              <w:pStyle w:val="TableParagraph"/>
              <w:numPr>
                <w:ilvl w:val="0"/>
                <w:numId w:val="131"/>
              </w:numPr>
              <w:tabs>
                <w:tab w:val="left" w:pos="72"/>
              </w:tabs>
              <w:spacing w:before="90" w:line="256" w:lineRule="auto"/>
              <w:ind w:right="497" w:firstLine="0"/>
              <w:rPr>
                <w:sz w:val="15"/>
              </w:rPr>
            </w:pPr>
            <w:r>
              <w:rPr>
                <w:color w:val="231F20"/>
                <w:w w:val="95"/>
                <w:sz w:val="15"/>
              </w:rPr>
              <w:t>Guides</w:t>
            </w:r>
            <w:r>
              <w:rPr>
                <w:color w:val="231F20"/>
                <w:spacing w:val="-24"/>
                <w:w w:val="95"/>
                <w:sz w:val="15"/>
              </w:rPr>
              <w:t xml:space="preserve"> </w:t>
            </w:r>
            <w:r>
              <w:rPr>
                <w:color w:val="231F20"/>
                <w:w w:val="95"/>
                <w:sz w:val="15"/>
              </w:rPr>
              <w:t>lines</w:t>
            </w:r>
            <w:r>
              <w:rPr>
                <w:color w:val="231F20"/>
                <w:spacing w:val="-24"/>
                <w:w w:val="95"/>
                <w:sz w:val="15"/>
              </w:rPr>
              <w:t xml:space="preserve"> </w:t>
            </w:r>
            <w:r>
              <w:rPr>
                <w:color w:val="231F20"/>
                <w:w w:val="95"/>
                <w:sz w:val="15"/>
              </w:rPr>
              <w:t>and</w:t>
            </w:r>
            <w:r>
              <w:rPr>
                <w:color w:val="231F20"/>
                <w:spacing w:val="-24"/>
                <w:w w:val="95"/>
                <w:sz w:val="15"/>
              </w:rPr>
              <w:t xml:space="preserve"> </w:t>
            </w:r>
            <w:r>
              <w:rPr>
                <w:color w:val="231F20"/>
                <w:w w:val="95"/>
                <w:sz w:val="15"/>
              </w:rPr>
              <w:t>SOPs</w:t>
            </w:r>
            <w:r>
              <w:rPr>
                <w:color w:val="231F20"/>
                <w:spacing w:val="-24"/>
                <w:w w:val="95"/>
                <w:sz w:val="15"/>
              </w:rPr>
              <w:t xml:space="preserve"> </w:t>
            </w:r>
            <w:r>
              <w:rPr>
                <w:color w:val="231F20"/>
                <w:w w:val="95"/>
                <w:sz w:val="15"/>
              </w:rPr>
              <w:t>for</w:t>
            </w:r>
            <w:r>
              <w:rPr>
                <w:color w:val="231F20"/>
                <w:spacing w:val="-24"/>
                <w:w w:val="95"/>
                <w:sz w:val="15"/>
              </w:rPr>
              <w:t xml:space="preserve"> </w:t>
            </w:r>
            <w:r>
              <w:rPr>
                <w:color w:val="231F20"/>
                <w:w w:val="95"/>
                <w:sz w:val="15"/>
              </w:rPr>
              <w:t xml:space="preserve">the </w:t>
            </w:r>
            <w:r>
              <w:rPr>
                <w:color w:val="231F20"/>
                <w:w w:val="85"/>
                <w:sz w:val="15"/>
              </w:rPr>
              <w:t>management</w:t>
            </w:r>
            <w:r>
              <w:rPr>
                <w:color w:val="231F20"/>
                <w:spacing w:val="-12"/>
                <w:w w:val="85"/>
                <w:sz w:val="15"/>
              </w:rPr>
              <w:t xml:space="preserve"> </w:t>
            </w:r>
            <w:r>
              <w:rPr>
                <w:color w:val="231F20"/>
                <w:w w:val="85"/>
                <w:sz w:val="15"/>
              </w:rPr>
              <w:t>of</w:t>
            </w:r>
            <w:r>
              <w:rPr>
                <w:color w:val="231F20"/>
                <w:spacing w:val="-12"/>
                <w:w w:val="85"/>
                <w:sz w:val="15"/>
              </w:rPr>
              <w:t xml:space="preserve"> </w:t>
            </w:r>
            <w:r>
              <w:rPr>
                <w:color w:val="231F20"/>
                <w:w w:val="85"/>
                <w:sz w:val="15"/>
              </w:rPr>
              <w:t>NCDs</w:t>
            </w:r>
            <w:r>
              <w:rPr>
                <w:color w:val="231F20"/>
                <w:spacing w:val="-12"/>
                <w:w w:val="85"/>
                <w:sz w:val="15"/>
              </w:rPr>
              <w:t xml:space="preserve"> </w:t>
            </w:r>
            <w:r>
              <w:rPr>
                <w:color w:val="231F20"/>
                <w:w w:val="85"/>
                <w:sz w:val="15"/>
              </w:rPr>
              <w:t>developed</w:t>
            </w:r>
            <w:r>
              <w:rPr>
                <w:color w:val="231F20"/>
                <w:spacing w:val="-11"/>
                <w:w w:val="85"/>
                <w:sz w:val="15"/>
              </w:rPr>
              <w:t xml:space="preserve"> </w:t>
            </w:r>
            <w:r>
              <w:rPr>
                <w:color w:val="231F20"/>
                <w:spacing w:val="-13"/>
                <w:w w:val="85"/>
                <w:sz w:val="15"/>
              </w:rPr>
              <w:t xml:space="preserve">&amp; </w:t>
            </w:r>
            <w:r>
              <w:rPr>
                <w:color w:val="231F20"/>
                <w:w w:val="95"/>
                <w:sz w:val="15"/>
              </w:rPr>
              <w:t>disseminated</w:t>
            </w:r>
          </w:p>
          <w:p w14:paraId="5A81BD02" w14:textId="77777777" w:rsidR="009948F1" w:rsidRDefault="00BC0563">
            <w:pPr>
              <w:pStyle w:val="TableParagraph"/>
              <w:numPr>
                <w:ilvl w:val="0"/>
                <w:numId w:val="131"/>
              </w:numPr>
              <w:tabs>
                <w:tab w:val="left" w:pos="72"/>
              </w:tabs>
              <w:spacing w:before="1" w:line="256" w:lineRule="auto"/>
              <w:ind w:right="226" w:firstLine="0"/>
              <w:rPr>
                <w:sz w:val="15"/>
              </w:rPr>
            </w:pPr>
            <w:r>
              <w:rPr>
                <w:color w:val="231F20"/>
                <w:w w:val="85"/>
                <w:sz w:val="15"/>
              </w:rPr>
              <w:t>At</w:t>
            </w:r>
            <w:r>
              <w:rPr>
                <w:color w:val="231F20"/>
                <w:spacing w:val="-13"/>
                <w:w w:val="85"/>
                <w:sz w:val="15"/>
              </w:rPr>
              <w:t xml:space="preserve"> </w:t>
            </w:r>
            <w:r>
              <w:rPr>
                <w:color w:val="231F20"/>
                <w:w w:val="85"/>
                <w:sz w:val="15"/>
              </w:rPr>
              <w:t>least</w:t>
            </w:r>
            <w:r>
              <w:rPr>
                <w:color w:val="231F20"/>
                <w:spacing w:val="-12"/>
                <w:w w:val="85"/>
                <w:sz w:val="15"/>
              </w:rPr>
              <w:t xml:space="preserve"> </w:t>
            </w:r>
            <w:r>
              <w:rPr>
                <w:color w:val="231F20"/>
                <w:w w:val="85"/>
                <w:sz w:val="15"/>
              </w:rPr>
              <w:t>130</w:t>
            </w:r>
            <w:r>
              <w:rPr>
                <w:color w:val="231F20"/>
                <w:spacing w:val="-12"/>
                <w:w w:val="85"/>
                <w:sz w:val="15"/>
              </w:rPr>
              <w:t xml:space="preserve"> </w:t>
            </w:r>
            <w:r>
              <w:rPr>
                <w:color w:val="231F20"/>
                <w:w w:val="85"/>
                <w:sz w:val="15"/>
              </w:rPr>
              <w:t>Community</w:t>
            </w:r>
            <w:r>
              <w:rPr>
                <w:color w:val="231F20"/>
                <w:spacing w:val="-12"/>
                <w:w w:val="85"/>
                <w:sz w:val="15"/>
              </w:rPr>
              <w:t xml:space="preserve"> </w:t>
            </w:r>
            <w:r>
              <w:rPr>
                <w:color w:val="231F20"/>
                <w:w w:val="85"/>
                <w:sz w:val="15"/>
              </w:rPr>
              <w:t>Health</w:t>
            </w:r>
            <w:r>
              <w:rPr>
                <w:color w:val="231F20"/>
                <w:spacing w:val="-12"/>
                <w:w w:val="85"/>
                <w:sz w:val="15"/>
              </w:rPr>
              <w:t xml:space="preserve"> </w:t>
            </w:r>
            <w:r>
              <w:rPr>
                <w:color w:val="231F20"/>
                <w:w w:val="85"/>
                <w:sz w:val="15"/>
              </w:rPr>
              <w:t xml:space="preserve">workers </w:t>
            </w:r>
            <w:r>
              <w:rPr>
                <w:color w:val="231F20"/>
                <w:w w:val="95"/>
                <w:sz w:val="15"/>
              </w:rPr>
              <w:t>trained</w:t>
            </w:r>
            <w:r>
              <w:rPr>
                <w:color w:val="231F20"/>
                <w:spacing w:val="-27"/>
                <w:w w:val="95"/>
                <w:sz w:val="15"/>
              </w:rPr>
              <w:t xml:space="preserve"> </w:t>
            </w:r>
            <w:r>
              <w:rPr>
                <w:color w:val="231F20"/>
                <w:w w:val="95"/>
                <w:sz w:val="15"/>
              </w:rPr>
              <w:t>&amp;</w:t>
            </w:r>
            <w:r>
              <w:rPr>
                <w:color w:val="231F20"/>
                <w:spacing w:val="-26"/>
                <w:w w:val="95"/>
                <w:sz w:val="15"/>
              </w:rPr>
              <w:t xml:space="preserve"> </w:t>
            </w:r>
            <w:r>
              <w:rPr>
                <w:color w:val="231F20"/>
                <w:w w:val="95"/>
                <w:sz w:val="15"/>
              </w:rPr>
              <w:t>re-trained</w:t>
            </w:r>
            <w:r>
              <w:rPr>
                <w:color w:val="231F20"/>
                <w:spacing w:val="-27"/>
                <w:w w:val="95"/>
                <w:sz w:val="15"/>
              </w:rPr>
              <w:t xml:space="preserve"> </w:t>
            </w:r>
            <w:r>
              <w:rPr>
                <w:color w:val="231F20"/>
                <w:w w:val="95"/>
                <w:sz w:val="15"/>
              </w:rPr>
              <w:t>on</w:t>
            </w:r>
            <w:r>
              <w:rPr>
                <w:color w:val="231F20"/>
                <w:spacing w:val="-26"/>
                <w:w w:val="95"/>
                <w:sz w:val="15"/>
              </w:rPr>
              <w:t xml:space="preserve"> </w:t>
            </w:r>
            <w:r>
              <w:rPr>
                <w:color w:val="231F20"/>
                <w:w w:val="95"/>
                <w:sz w:val="15"/>
              </w:rPr>
              <w:t>prevention</w:t>
            </w:r>
            <w:r>
              <w:rPr>
                <w:color w:val="231F20"/>
                <w:spacing w:val="-27"/>
                <w:w w:val="95"/>
                <w:sz w:val="15"/>
              </w:rPr>
              <w:t xml:space="preserve"> </w:t>
            </w:r>
            <w:r>
              <w:rPr>
                <w:color w:val="231F20"/>
                <w:w w:val="95"/>
                <w:sz w:val="15"/>
              </w:rPr>
              <w:t xml:space="preserve">&amp; </w:t>
            </w:r>
            <w:r>
              <w:rPr>
                <w:color w:val="231F20"/>
                <w:w w:val="90"/>
                <w:sz w:val="15"/>
              </w:rPr>
              <w:t>screening</w:t>
            </w:r>
            <w:r>
              <w:rPr>
                <w:color w:val="231F20"/>
                <w:spacing w:val="-22"/>
                <w:w w:val="90"/>
                <w:sz w:val="15"/>
              </w:rPr>
              <w:t xml:space="preserve"> </w:t>
            </w:r>
            <w:r>
              <w:rPr>
                <w:color w:val="231F20"/>
                <w:w w:val="90"/>
                <w:sz w:val="15"/>
              </w:rPr>
              <w:t>for</w:t>
            </w:r>
            <w:r>
              <w:rPr>
                <w:color w:val="231F20"/>
                <w:spacing w:val="-22"/>
                <w:w w:val="90"/>
                <w:sz w:val="15"/>
              </w:rPr>
              <w:t xml:space="preserve"> </w:t>
            </w:r>
            <w:r>
              <w:rPr>
                <w:color w:val="231F20"/>
                <w:w w:val="90"/>
                <w:sz w:val="15"/>
              </w:rPr>
              <w:t>NCDs</w:t>
            </w:r>
            <w:r>
              <w:rPr>
                <w:color w:val="231F20"/>
                <w:spacing w:val="-22"/>
                <w:w w:val="90"/>
                <w:sz w:val="15"/>
              </w:rPr>
              <w:t xml:space="preserve"> </w:t>
            </w:r>
            <w:r>
              <w:rPr>
                <w:color w:val="231F20"/>
                <w:w w:val="90"/>
                <w:sz w:val="15"/>
              </w:rPr>
              <w:t>and</w:t>
            </w:r>
            <w:r>
              <w:rPr>
                <w:color w:val="231F20"/>
                <w:spacing w:val="-22"/>
                <w:w w:val="90"/>
                <w:sz w:val="15"/>
              </w:rPr>
              <w:t xml:space="preserve"> </w:t>
            </w:r>
            <w:r>
              <w:rPr>
                <w:color w:val="231F20"/>
                <w:w w:val="90"/>
                <w:sz w:val="15"/>
              </w:rPr>
              <w:t>provided</w:t>
            </w:r>
            <w:r>
              <w:rPr>
                <w:color w:val="231F20"/>
                <w:spacing w:val="-22"/>
                <w:w w:val="90"/>
                <w:sz w:val="15"/>
              </w:rPr>
              <w:t xml:space="preserve"> </w:t>
            </w:r>
            <w:r>
              <w:rPr>
                <w:color w:val="231F20"/>
                <w:w w:val="90"/>
                <w:sz w:val="15"/>
              </w:rPr>
              <w:t xml:space="preserve">with </w:t>
            </w:r>
            <w:r>
              <w:rPr>
                <w:color w:val="231F20"/>
                <w:w w:val="95"/>
                <w:sz w:val="15"/>
              </w:rPr>
              <w:t>regularly</w:t>
            </w:r>
            <w:r>
              <w:rPr>
                <w:color w:val="231F20"/>
                <w:spacing w:val="-27"/>
                <w:w w:val="95"/>
                <w:sz w:val="15"/>
              </w:rPr>
              <w:t xml:space="preserve"> </w:t>
            </w:r>
            <w:r>
              <w:rPr>
                <w:color w:val="231F20"/>
                <w:w w:val="95"/>
                <w:sz w:val="15"/>
              </w:rPr>
              <w:t>updated</w:t>
            </w:r>
            <w:r>
              <w:rPr>
                <w:color w:val="231F20"/>
                <w:spacing w:val="-26"/>
                <w:w w:val="95"/>
                <w:sz w:val="15"/>
              </w:rPr>
              <w:t xml:space="preserve"> </w:t>
            </w:r>
            <w:r>
              <w:rPr>
                <w:color w:val="231F20"/>
                <w:w w:val="95"/>
                <w:sz w:val="15"/>
              </w:rPr>
              <w:t>Standing</w:t>
            </w:r>
            <w:r>
              <w:rPr>
                <w:color w:val="231F20"/>
                <w:spacing w:val="-27"/>
                <w:w w:val="95"/>
                <w:sz w:val="15"/>
              </w:rPr>
              <w:t xml:space="preserve"> </w:t>
            </w:r>
            <w:r>
              <w:rPr>
                <w:color w:val="231F20"/>
                <w:w w:val="95"/>
                <w:sz w:val="15"/>
              </w:rPr>
              <w:t>Orders</w:t>
            </w:r>
          </w:p>
          <w:p w14:paraId="3E3CDB08" w14:textId="77777777" w:rsidR="009948F1" w:rsidRDefault="00BC0563">
            <w:pPr>
              <w:pStyle w:val="TableParagraph"/>
              <w:spacing w:before="1"/>
              <w:ind w:left="26"/>
              <w:rPr>
                <w:sz w:val="15"/>
              </w:rPr>
            </w:pPr>
            <w:r>
              <w:rPr>
                <w:color w:val="231F20"/>
                <w:w w:val="82"/>
                <w:sz w:val="15"/>
              </w:rPr>
              <w:t>•</w:t>
            </w:r>
          </w:p>
        </w:tc>
        <w:tc>
          <w:tcPr>
            <w:tcW w:w="1495" w:type="dxa"/>
            <w:shd w:val="clear" w:color="auto" w:fill="CCE7D3"/>
          </w:tcPr>
          <w:p w14:paraId="3FAB8B90" w14:textId="77777777" w:rsidR="009948F1" w:rsidRDefault="009948F1">
            <w:pPr>
              <w:pStyle w:val="TableParagraph"/>
              <w:rPr>
                <w:rFonts w:ascii="Times New Roman"/>
                <w:sz w:val="12"/>
              </w:rPr>
            </w:pPr>
          </w:p>
        </w:tc>
        <w:tc>
          <w:tcPr>
            <w:tcW w:w="1577" w:type="dxa"/>
            <w:shd w:val="clear" w:color="auto" w:fill="CCE7D3"/>
          </w:tcPr>
          <w:p w14:paraId="3315DBFE" w14:textId="77777777" w:rsidR="009948F1" w:rsidRDefault="009948F1">
            <w:pPr>
              <w:pStyle w:val="TableParagraph"/>
              <w:rPr>
                <w:rFonts w:ascii="Times New Roman"/>
                <w:sz w:val="12"/>
              </w:rPr>
            </w:pPr>
          </w:p>
        </w:tc>
      </w:tr>
      <w:tr w:rsidR="009948F1" w14:paraId="4DF16000" w14:textId="77777777">
        <w:trPr>
          <w:trHeight w:val="521"/>
        </w:trPr>
        <w:tc>
          <w:tcPr>
            <w:tcW w:w="480" w:type="dxa"/>
            <w:vMerge w:val="restart"/>
            <w:tcBorders>
              <w:left w:val="single" w:sz="8" w:space="0" w:color="231F20"/>
            </w:tcBorders>
          </w:tcPr>
          <w:p w14:paraId="303DD289" w14:textId="77777777" w:rsidR="009948F1" w:rsidRDefault="009948F1">
            <w:pPr>
              <w:pStyle w:val="TableParagraph"/>
              <w:rPr>
                <w:rFonts w:ascii="Times New Roman"/>
                <w:sz w:val="12"/>
              </w:rPr>
            </w:pPr>
          </w:p>
        </w:tc>
        <w:tc>
          <w:tcPr>
            <w:tcW w:w="551" w:type="dxa"/>
          </w:tcPr>
          <w:p w14:paraId="4EC296EE" w14:textId="77777777" w:rsidR="009948F1" w:rsidRDefault="009948F1">
            <w:pPr>
              <w:pStyle w:val="TableParagraph"/>
              <w:spacing w:before="1"/>
              <w:rPr>
                <w:sz w:val="15"/>
              </w:rPr>
            </w:pPr>
          </w:p>
          <w:p w14:paraId="1A24F50A" w14:textId="77777777" w:rsidR="009948F1" w:rsidRDefault="00BC0563">
            <w:pPr>
              <w:pStyle w:val="TableParagraph"/>
              <w:spacing w:before="1"/>
              <w:ind w:left="88"/>
              <w:rPr>
                <w:sz w:val="15"/>
              </w:rPr>
            </w:pPr>
            <w:r>
              <w:rPr>
                <w:color w:val="231F20"/>
                <w:w w:val="90"/>
                <w:sz w:val="15"/>
              </w:rPr>
              <w:t>6.1.6.a</w:t>
            </w:r>
          </w:p>
        </w:tc>
        <w:tc>
          <w:tcPr>
            <w:tcW w:w="5129" w:type="dxa"/>
            <w:gridSpan w:val="2"/>
            <w:tcBorders>
              <w:right w:val="single" w:sz="8" w:space="0" w:color="231F20"/>
            </w:tcBorders>
          </w:tcPr>
          <w:p w14:paraId="16D94C8A" w14:textId="77777777" w:rsidR="009948F1" w:rsidRDefault="00BC0563">
            <w:pPr>
              <w:pStyle w:val="TableParagraph"/>
              <w:spacing w:before="75" w:line="256" w:lineRule="auto"/>
              <w:ind w:left="26" w:right="190"/>
              <w:rPr>
                <w:sz w:val="15"/>
              </w:rPr>
            </w:pPr>
            <w:r>
              <w:rPr>
                <w:color w:val="231F20"/>
                <w:w w:val="85"/>
                <w:sz w:val="15"/>
              </w:rPr>
              <w:t>Develop</w:t>
            </w:r>
            <w:r>
              <w:rPr>
                <w:color w:val="231F20"/>
                <w:spacing w:val="-10"/>
                <w:w w:val="85"/>
                <w:sz w:val="15"/>
              </w:rPr>
              <w:t xml:space="preserve"> </w:t>
            </w:r>
            <w:r>
              <w:rPr>
                <w:color w:val="231F20"/>
                <w:w w:val="85"/>
                <w:sz w:val="15"/>
              </w:rPr>
              <w:t>&amp;</w:t>
            </w:r>
            <w:r>
              <w:rPr>
                <w:color w:val="231F20"/>
                <w:spacing w:val="-10"/>
                <w:w w:val="85"/>
                <w:sz w:val="15"/>
              </w:rPr>
              <w:t xml:space="preserve"> </w:t>
            </w:r>
            <w:r>
              <w:rPr>
                <w:color w:val="231F20"/>
                <w:w w:val="85"/>
                <w:sz w:val="15"/>
              </w:rPr>
              <w:t>disseminate</w:t>
            </w:r>
            <w:r>
              <w:rPr>
                <w:color w:val="231F20"/>
                <w:spacing w:val="-9"/>
                <w:w w:val="85"/>
                <w:sz w:val="15"/>
              </w:rPr>
              <w:t xml:space="preserve"> </w:t>
            </w:r>
            <w:r>
              <w:rPr>
                <w:color w:val="231F20"/>
                <w:w w:val="85"/>
                <w:sz w:val="15"/>
              </w:rPr>
              <w:t>guides</w:t>
            </w:r>
            <w:r>
              <w:rPr>
                <w:color w:val="231F20"/>
                <w:spacing w:val="-10"/>
                <w:w w:val="85"/>
                <w:sz w:val="15"/>
              </w:rPr>
              <w:t xml:space="preserve"> </w:t>
            </w:r>
            <w:r>
              <w:rPr>
                <w:color w:val="231F20"/>
                <w:w w:val="85"/>
                <w:sz w:val="15"/>
              </w:rPr>
              <w:t>lines</w:t>
            </w:r>
            <w:r>
              <w:rPr>
                <w:color w:val="231F20"/>
                <w:spacing w:val="-10"/>
                <w:w w:val="85"/>
                <w:sz w:val="15"/>
              </w:rPr>
              <w:t xml:space="preserve"> </w:t>
            </w:r>
            <w:r>
              <w:rPr>
                <w:color w:val="231F20"/>
                <w:w w:val="85"/>
                <w:sz w:val="15"/>
              </w:rPr>
              <w:t>and</w:t>
            </w:r>
            <w:r>
              <w:rPr>
                <w:color w:val="231F20"/>
                <w:spacing w:val="-9"/>
                <w:w w:val="85"/>
                <w:sz w:val="15"/>
              </w:rPr>
              <w:t xml:space="preserve"> </w:t>
            </w:r>
            <w:r>
              <w:rPr>
                <w:color w:val="231F20"/>
                <w:w w:val="85"/>
                <w:sz w:val="15"/>
              </w:rPr>
              <w:t>SOPs</w:t>
            </w:r>
            <w:r>
              <w:rPr>
                <w:color w:val="231F20"/>
                <w:spacing w:val="-10"/>
                <w:w w:val="85"/>
                <w:sz w:val="15"/>
              </w:rPr>
              <w:t xml:space="preserve"> </w:t>
            </w:r>
            <w:r>
              <w:rPr>
                <w:color w:val="231F20"/>
                <w:w w:val="85"/>
                <w:sz w:val="15"/>
              </w:rPr>
              <w:t>for</w:t>
            </w:r>
            <w:r>
              <w:rPr>
                <w:color w:val="231F20"/>
                <w:spacing w:val="-10"/>
                <w:w w:val="85"/>
                <w:sz w:val="15"/>
              </w:rPr>
              <w:t xml:space="preserve"> </w:t>
            </w:r>
            <w:r>
              <w:rPr>
                <w:color w:val="231F20"/>
                <w:w w:val="85"/>
                <w:sz w:val="15"/>
              </w:rPr>
              <w:t>the</w:t>
            </w:r>
            <w:r>
              <w:rPr>
                <w:color w:val="231F20"/>
                <w:spacing w:val="-9"/>
                <w:w w:val="85"/>
                <w:sz w:val="15"/>
              </w:rPr>
              <w:t xml:space="preserve"> </w:t>
            </w:r>
            <w:r>
              <w:rPr>
                <w:color w:val="231F20"/>
                <w:w w:val="85"/>
                <w:sz w:val="15"/>
              </w:rPr>
              <w:t>management</w:t>
            </w:r>
            <w:r>
              <w:rPr>
                <w:color w:val="231F20"/>
                <w:spacing w:val="-10"/>
                <w:w w:val="85"/>
                <w:sz w:val="15"/>
              </w:rPr>
              <w:t xml:space="preserve"> </w:t>
            </w:r>
            <w:r>
              <w:rPr>
                <w:color w:val="231F20"/>
                <w:w w:val="85"/>
                <w:sz w:val="15"/>
              </w:rPr>
              <w:t>of</w:t>
            </w:r>
            <w:r>
              <w:rPr>
                <w:color w:val="231F20"/>
                <w:spacing w:val="-10"/>
                <w:w w:val="85"/>
                <w:sz w:val="15"/>
              </w:rPr>
              <w:t xml:space="preserve"> </w:t>
            </w:r>
            <w:r>
              <w:rPr>
                <w:color w:val="231F20"/>
                <w:w w:val="85"/>
                <w:sz w:val="15"/>
              </w:rPr>
              <w:t>NCDs</w:t>
            </w:r>
            <w:r>
              <w:rPr>
                <w:color w:val="231F20"/>
                <w:spacing w:val="-9"/>
                <w:w w:val="85"/>
                <w:sz w:val="15"/>
              </w:rPr>
              <w:t xml:space="preserve"> </w:t>
            </w:r>
            <w:r>
              <w:rPr>
                <w:color w:val="231F20"/>
                <w:w w:val="85"/>
                <w:sz w:val="15"/>
              </w:rPr>
              <w:t>at</w:t>
            </w:r>
            <w:r>
              <w:rPr>
                <w:color w:val="231F20"/>
                <w:spacing w:val="-10"/>
                <w:w w:val="85"/>
                <w:sz w:val="15"/>
              </w:rPr>
              <w:t xml:space="preserve"> </w:t>
            </w:r>
            <w:r>
              <w:rPr>
                <w:color w:val="231F20"/>
                <w:w w:val="85"/>
                <w:sz w:val="15"/>
              </w:rPr>
              <w:t>all</w:t>
            </w:r>
            <w:r>
              <w:rPr>
                <w:color w:val="231F20"/>
                <w:spacing w:val="-10"/>
                <w:w w:val="85"/>
                <w:sz w:val="15"/>
              </w:rPr>
              <w:t xml:space="preserve"> </w:t>
            </w:r>
            <w:r>
              <w:rPr>
                <w:color w:val="231F20"/>
                <w:w w:val="85"/>
                <w:sz w:val="15"/>
              </w:rPr>
              <w:t xml:space="preserve">health </w:t>
            </w:r>
            <w:r>
              <w:rPr>
                <w:color w:val="231F20"/>
                <w:w w:val="95"/>
                <w:sz w:val="15"/>
              </w:rPr>
              <w:t>care</w:t>
            </w:r>
            <w:r>
              <w:rPr>
                <w:color w:val="231F20"/>
                <w:spacing w:val="-7"/>
                <w:w w:val="95"/>
                <w:sz w:val="15"/>
              </w:rPr>
              <w:t xml:space="preserve"> </w:t>
            </w:r>
            <w:r>
              <w:rPr>
                <w:color w:val="231F20"/>
                <w:w w:val="95"/>
                <w:sz w:val="15"/>
              </w:rPr>
              <w:t>levels</w:t>
            </w:r>
          </w:p>
        </w:tc>
        <w:tc>
          <w:tcPr>
            <w:tcW w:w="1495" w:type="dxa"/>
            <w:tcBorders>
              <w:left w:val="single" w:sz="8" w:space="0" w:color="231F20"/>
            </w:tcBorders>
          </w:tcPr>
          <w:p w14:paraId="2959FDAF" w14:textId="77777777" w:rsidR="009948F1" w:rsidRDefault="009948F1">
            <w:pPr>
              <w:pStyle w:val="TableParagraph"/>
              <w:spacing w:before="1"/>
              <w:rPr>
                <w:sz w:val="15"/>
              </w:rPr>
            </w:pPr>
          </w:p>
          <w:p w14:paraId="7C65FB36" w14:textId="77777777" w:rsidR="009948F1" w:rsidRDefault="00BC0563">
            <w:pPr>
              <w:pStyle w:val="TableParagraph"/>
              <w:spacing w:before="1"/>
              <w:ind w:left="24"/>
              <w:rPr>
                <w:sz w:val="15"/>
              </w:rPr>
            </w:pPr>
            <w:r>
              <w:rPr>
                <w:color w:val="231F20"/>
                <w:w w:val="95"/>
                <w:sz w:val="15"/>
              </w:rPr>
              <w:t>Lack of funds</w:t>
            </w:r>
          </w:p>
        </w:tc>
        <w:tc>
          <w:tcPr>
            <w:tcW w:w="1577" w:type="dxa"/>
          </w:tcPr>
          <w:p w14:paraId="6F63423F" w14:textId="77777777" w:rsidR="009948F1" w:rsidRDefault="00BC0563">
            <w:pPr>
              <w:pStyle w:val="TableParagraph"/>
              <w:spacing w:before="81" w:line="256" w:lineRule="auto"/>
              <w:ind w:left="27" w:right="-9"/>
              <w:rPr>
                <w:sz w:val="15"/>
              </w:rPr>
            </w:pPr>
            <w:r>
              <w:rPr>
                <w:color w:val="231F20"/>
                <w:w w:val="85"/>
                <w:sz w:val="15"/>
              </w:rPr>
              <w:t xml:space="preserve">Develop &amp; disseminate </w:t>
            </w:r>
            <w:r>
              <w:rPr>
                <w:color w:val="231F20"/>
                <w:w w:val="95"/>
                <w:sz w:val="15"/>
              </w:rPr>
              <w:t>guides lines</w:t>
            </w:r>
          </w:p>
        </w:tc>
      </w:tr>
      <w:tr w:rsidR="009948F1" w14:paraId="7C1CF657" w14:textId="77777777">
        <w:trPr>
          <w:trHeight w:val="566"/>
        </w:trPr>
        <w:tc>
          <w:tcPr>
            <w:tcW w:w="480" w:type="dxa"/>
            <w:vMerge/>
            <w:tcBorders>
              <w:top w:val="nil"/>
              <w:left w:val="single" w:sz="8" w:space="0" w:color="231F20"/>
            </w:tcBorders>
          </w:tcPr>
          <w:p w14:paraId="3FFCB63E" w14:textId="77777777" w:rsidR="009948F1" w:rsidRDefault="009948F1">
            <w:pPr>
              <w:rPr>
                <w:sz w:val="2"/>
                <w:szCs w:val="2"/>
              </w:rPr>
            </w:pPr>
          </w:p>
        </w:tc>
        <w:tc>
          <w:tcPr>
            <w:tcW w:w="551" w:type="dxa"/>
          </w:tcPr>
          <w:p w14:paraId="5CE844FC" w14:textId="77777777" w:rsidR="009948F1" w:rsidRDefault="009948F1">
            <w:pPr>
              <w:pStyle w:val="TableParagraph"/>
              <w:spacing w:before="1"/>
              <w:rPr>
                <w:sz w:val="17"/>
              </w:rPr>
            </w:pPr>
          </w:p>
          <w:p w14:paraId="55AB56EE" w14:textId="77777777" w:rsidR="009948F1" w:rsidRDefault="00BC0563">
            <w:pPr>
              <w:pStyle w:val="TableParagraph"/>
              <w:ind w:left="88"/>
              <w:rPr>
                <w:sz w:val="15"/>
              </w:rPr>
            </w:pPr>
            <w:r>
              <w:rPr>
                <w:color w:val="231F20"/>
                <w:w w:val="90"/>
                <w:sz w:val="15"/>
              </w:rPr>
              <w:t>6.1.6.b</w:t>
            </w:r>
          </w:p>
        </w:tc>
        <w:tc>
          <w:tcPr>
            <w:tcW w:w="5129" w:type="dxa"/>
            <w:gridSpan w:val="2"/>
            <w:tcBorders>
              <w:right w:val="single" w:sz="8" w:space="0" w:color="231F20"/>
            </w:tcBorders>
          </w:tcPr>
          <w:p w14:paraId="2932CB11" w14:textId="77777777" w:rsidR="009948F1" w:rsidRDefault="009948F1">
            <w:pPr>
              <w:pStyle w:val="TableParagraph"/>
              <w:spacing w:before="6"/>
              <w:rPr>
                <w:sz w:val="16"/>
              </w:rPr>
            </w:pPr>
          </w:p>
          <w:p w14:paraId="1CA52684" w14:textId="77777777" w:rsidR="009948F1" w:rsidRDefault="00BC0563">
            <w:pPr>
              <w:pStyle w:val="TableParagraph"/>
              <w:spacing w:before="1"/>
              <w:ind w:left="26"/>
              <w:rPr>
                <w:sz w:val="15"/>
              </w:rPr>
            </w:pPr>
            <w:r>
              <w:rPr>
                <w:color w:val="231F20"/>
                <w:w w:val="95"/>
                <w:sz w:val="15"/>
              </w:rPr>
              <w:t>Train &amp; Re-train Community Health workers on prevention &amp; screening for NCDs</w:t>
            </w:r>
          </w:p>
        </w:tc>
        <w:tc>
          <w:tcPr>
            <w:tcW w:w="1495" w:type="dxa"/>
            <w:tcBorders>
              <w:left w:val="single" w:sz="8" w:space="0" w:color="231F20"/>
            </w:tcBorders>
          </w:tcPr>
          <w:p w14:paraId="06C3598B" w14:textId="77777777" w:rsidR="009948F1" w:rsidRDefault="009948F1">
            <w:pPr>
              <w:pStyle w:val="TableParagraph"/>
              <w:spacing w:before="1"/>
              <w:rPr>
                <w:sz w:val="17"/>
              </w:rPr>
            </w:pPr>
          </w:p>
          <w:p w14:paraId="0F4ED6D5" w14:textId="77777777" w:rsidR="009948F1" w:rsidRDefault="00BC0563">
            <w:pPr>
              <w:pStyle w:val="TableParagraph"/>
              <w:ind w:left="24"/>
              <w:rPr>
                <w:sz w:val="15"/>
              </w:rPr>
            </w:pPr>
            <w:r>
              <w:rPr>
                <w:color w:val="231F20"/>
                <w:w w:val="95"/>
                <w:sz w:val="15"/>
              </w:rPr>
              <w:t>Lack of funds</w:t>
            </w:r>
          </w:p>
        </w:tc>
        <w:tc>
          <w:tcPr>
            <w:tcW w:w="1577" w:type="dxa"/>
          </w:tcPr>
          <w:p w14:paraId="5E9458BB" w14:textId="77777777" w:rsidR="009948F1" w:rsidRDefault="00BC0563">
            <w:pPr>
              <w:pStyle w:val="TableParagraph"/>
              <w:spacing w:before="103" w:line="256" w:lineRule="auto"/>
              <w:ind w:left="27" w:right="-16"/>
              <w:rPr>
                <w:sz w:val="15"/>
              </w:rPr>
            </w:pPr>
            <w:r>
              <w:rPr>
                <w:color w:val="231F20"/>
                <w:w w:val="95"/>
                <w:sz w:val="15"/>
              </w:rPr>
              <w:t xml:space="preserve">Train &amp; Re-train </w:t>
            </w:r>
            <w:r>
              <w:rPr>
                <w:color w:val="231F20"/>
                <w:w w:val="85"/>
                <w:sz w:val="15"/>
              </w:rPr>
              <w:t>Community Health workers</w:t>
            </w:r>
          </w:p>
        </w:tc>
      </w:tr>
      <w:tr w:rsidR="009948F1" w14:paraId="4FD53C53" w14:textId="77777777">
        <w:trPr>
          <w:trHeight w:val="474"/>
        </w:trPr>
        <w:tc>
          <w:tcPr>
            <w:tcW w:w="480" w:type="dxa"/>
            <w:vMerge/>
            <w:tcBorders>
              <w:top w:val="nil"/>
              <w:left w:val="single" w:sz="8" w:space="0" w:color="231F20"/>
            </w:tcBorders>
          </w:tcPr>
          <w:p w14:paraId="7E2363D5" w14:textId="77777777" w:rsidR="009948F1" w:rsidRDefault="009948F1">
            <w:pPr>
              <w:rPr>
                <w:sz w:val="2"/>
                <w:szCs w:val="2"/>
              </w:rPr>
            </w:pPr>
          </w:p>
        </w:tc>
        <w:tc>
          <w:tcPr>
            <w:tcW w:w="551" w:type="dxa"/>
          </w:tcPr>
          <w:p w14:paraId="2EB9E8E0" w14:textId="77777777" w:rsidR="009948F1" w:rsidRDefault="009948F1">
            <w:pPr>
              <w:pStyle w:val="TableParagraph"/>
              <w:rPr>
                <w:sz w:val="13"/>
              </w:rPr>
            </w:pPr>
          </w:p>
          <w:p w14:paraId="2D27B504" w14:textId="77777777" w:rsidR="009948F1" w:rsidRDefault="00BC0563">
            <w:pPr>
              <w:pStyle w:val="TableParagraph"/>
              <w:spacing w:before="1"/>
              <w:ind w:left="92"/>
              <w:rPr>
                <w:sz w:val="15"/>
              </w:rPr>
            </w:pPr>
            <w:r>
              <w:rPr>
                <w:color w:val="231F20"/>
                <w:w w:val="90"/>
                <w:sz w:val="15"/>
              </w:rPr>
              <w:t>6.1.6.c</w:t>
            </w:r>
          </w:p>
        </w:tc>
        <w:tc>
          <w:tcPr>
            <w:tcW w:w="5129" w:type="dxa"/>
            <w:gridSpan w:val="2"/>
            <w:tcBorders>
              <w:right w:val="single" w:sz="8" w:space="0" w:color="231F20"/>
            </w:tcBorders>
          </w:tcPr>
          <w:p w14:paraId="6758138C" w14:textId="77777777" w:rsidR="009948F1" w:rsidRDefault="00BC0563">
            <w:pPr>
              <w:pStyle w:val="TableParagraph"/>
              <w:spacing w:before="52" w:line="256" w:lineRule="auto"/>
              <w:ind w:left="26" w:right="232"/>
              <w:rPr>
                <w:sz w:val="15"/>
              </w:rPr>
            </w:pPr>
            <w:r>
              <w:rPr>
                <w:color w:val="231F20"/>
                <w:w w:val="85"/>
                <w:sz w:val="15"/>
              </w:rPr>
              <w:t>Periodic</w:t>
            </w:r>
            <w:r>
              <w:rPr>
                <w:color w:val="231F20"/>
                <w:spacing w:val="-12"/>
                <w:w w:val="85"/>
                <w:sz w:val="15"/>
              </w:rPr>
              <w:t xml:space="preserve"> </w:t>
            </w:r>
            <w:r>
              <w:rPr>
                <w:color w:val="231F20"/>
                <w:w w:val="85"/>
                <w:sz w:val="15"/>
              </w:rPr>
              <w:t>review</w:t>
            </w:r>
            <w:r>
              <w:rPr>
                <w:color w:val="231F20"/>
                <w:spacing w:val="-11"/>
                <w:w w:val="85"/>
                <w:sz w:val="15"/>
              </w:rPr>
              <w:t xml:space="preserve"> </w:t>
            </w:r>
            <w:r>
              <w:rPr>
                <w:color w:val="231F20"/>
                <w:w w:val="85"/>
                <w:sz w:val="15"/>
              </w:rPr>
              <w:t>and</w:t>
            </w:r>
            <w:r>
              <w:rPr>
                <w:color w:val="231F20"/>
                <w:spacing w:val="-11"/>
                <w:w w:val="85"/>
                <w:sz w:val="15"/>
              </w:rPr>
              <w:t xml:space="preserve"> </w:t>
            </w:r>
            <w:r>
              <w:rPr>
                <w:color w:val="231F20"/>
                <w:w w:val="85"/>
                <w:sz w:val="15"/>
              </w:rPr>
              <w:t>update</w:t>
            </w:r>
            <w:r>
              <w:rPr>
                <w:color w:val="231F20"/>
                <w:spacing w:val="-11"/>
                <w:w w:val="85"/>
                <w:sz w:val="15"/>
              </w:rPr>
              <w:t xml:space="preserve"> </w:t>
            </w:r>
            <w:r>
              <w:rPr>
                <w:color w:val="231F20"/>
                <w:w w:val="85"/>
                <w:sz w:val="15"/>
              </w:rPr>
              <w:t>of</w:t>
            </w:r>
            <w:r>
              <w:rPr>
                <w:color w:val="231F20"/>
                <w:spacing w:val="-11"/>
                <w:w w:val="85"/>
                <w:sz w:val="15"/>
              </w:rPr>
              <w:t xml:space="preserve"> </w:t>
            </w:r>
            <w:r>
              <w:rPr>
                <w:color w:val="231F20"/>
                <w:w w:val="85"/>
                <w:sz w:val="15"/>
              </w:rPr>
              <w:t>Community</w:t>
            </w:r>
            <w:r>
              <w:rPr>
                <w:color w:val="231F20"/>
                <w:spacing w:val="-12"/>
                <w:w w:val="85"/>
                <w:sz w:val="15"/>
              </w:rPr>
              <w:t xml:space="preserve"> </w:t>
            </w:r>
            <w:r>
              <w:rPr>
                <w:color w:val="231F20"/>
                <w:w w:val="85"/>
                <w:sz w:val="15"/>
              </w:rPr>
              <w:t>health</w:t>
            </w:r>
            <w:r>
              <w:rPr>
                <w:color w:val="231F20"/>
                <w:spacing w:val="-11"/>
                <w:w w:val="85"/>
                <w:sz w:val="15"/>
              </w:rPr>
              <w:t xml:space="preserve"> </w:t>
            </w:r>
            <w:r>
              <w:rPr>
                <w:color w:val="231F20"/>
                <w:w w:val="85"/>
                <w:sz w:val="15"/>
              </w:rPr>
              <w:t>workers</w:t>
            </w:r>
            <w:r>
              <w:rPr>
                <w:color w:val="231F20"/>
                <w:spacing w:val="-11"/>
                <w:w w:val="85"/>
                <w:sz w:val="15"/>
              </w:rPr>
              <w:t xml:space="preserve"> </w:t>
            </w:r>
            <w:r>
              <w:rPr>
                <w:color w:val="231F20"/>
                <w:w w:val="85"/>
                <w:sz w:val="15"/>
              </w:rPr>
              <w:t>and</w:t>
            </w:r>
            <w:r>
              <w:rPr>
                <w:color w:val="231F20"/>
                <w:spacing w:val="-11"/>
                <w:w w:val="85"/>
                <w:sz w:val="15"/>
              </w:rPr>
              <w:t xml:space="preserve"> </w:t>
            </w:r>
            <w:r>
              <w:rPr>
                <w:color w:val="231F20"/>
                <w:w w:val="85"/>
                <w:sz w:val="15"/>
              </w:rPr>
              <w:t>standing</w:t>
            </w:r>
            <w:r>
              <w:rPr>
                <w:color w:val="231F20"/>
                <w:spacing w:val="-11"/>
                <w:w w:val="85"/>
                <w:sz w:val="15"/>
              </w:rPr>
              <w:t xml:space="preserve"> </w:t>
            </w:r>
            <w:r>
              <w:rPr>
                <w:color w:val="231F20"/>
                <w:w w:val="85"/>
                <w:sz w:val="15"/>
              </w:rPr>
              <w:t>orders</w:t>
            </w:r>
            <w:r>
              <w:rPr>
                <w:color w:val="231F20"/>
                <w:spacing w:val="-12"/>
                <w:w w:val="85"/>
                <w:sz w:val="15"/>
              </w:rPr>
              <w:t xml:space="preserve"> </w:t>
            </w:r>
            <w:r>
              <w:rPr>
                <w:color w:val="231F20"/>
                <w:w w:val="85"/>
                <w:sz w:val="15"/>
              </w:rPr>
              <w:t>to</w:t>
            </w:r>
            <w:r>
              <w:rPr>
                <w:color w:val="231F20"/>
                <w:spacing w:val="-11"/>
                <w:w w:val="85"/>
                <w:sz w:val="15"/>
              </w:rPr>
              <w:t xml:space="preserve"> </w:t>
            </w:r>
            <w:r>
              <w:rPr>
                <w:color w:val="231F20"/>
                <w:w w:val="85"/>
                <w:sz w:val="15"/>
              </w:rPr>
              <w:t xml:space="preserve">include </w:t>
            </w:r>
            <w:r>
              <w:rPr>
                <w:color w:val="231F20"/>
                <w:w w:val="95"/>
                <w:sz w:val="15"/>
              </w:rPr>
              <w:t>current</w:t>
            </w:r>
            <w:r>
              <w:rPr>
                <w:color w:val="231F20"/>
                <w:spacing w:val="-12"/>
                <w:w w:val="95"/>
                <w:sz w:val="15"/>
              </w:rPr>
              <w:t xml:space="preserve"> </w:t>
            </w:r>
            <w:r>
              <w:rPr>
                <w:color w:val="231F20"/>
                <w:w w:val="95"/>
                <w:sz w:val="15"/>
              </w:rPr>
              <w:t>trends</w:t>
            </w:r>
            <w:r>
              <w:rPr>
                <w:color w:val="231F20"/>
                <w:spacing w:val="-11"/>
                <w:w w:val="95"/>
                <w:sz w:val="15"/>
              </w:rPr>
              <w:t xml:space="preserve"> </w:t>
            </w:r>
            <w:r>
              <w:rPr>
                <w:color w:val="231F20"/>
                <w:w w:val="95"/>
                <w:sz w:val="15"/>
              </w:rPr>
              <w:t>in</w:t>
            </w:r>
            <w:r>
              <w:rPr>
                <w:color w:val="231F20"/>
                <w:spacing w:val="-11"/>
                <w:w w:val="95"/>
                <w:sz w:val="15"/>
              </w:rPr>
              <w:t xml:space="preserve"> </w:t>
            </w:r>
            <w:r>
              <w:rPr>
                <w:color w:val="231F20"/>
                <w:w w:val="95"/>
                <w:sz w:val="15"/>
              </w:rPr>
              <w:t>the</w:t>
            </w:r>
            <w:r>
              <w:rPr>
                <w:color w:val="231F20"/>
                <w:spacing w:val="-11"/>
                <w:w w:val="95"/>
                <w:sz w:val="15"/>
              </w:rPr>
              <w:t xml:space="preserve"> </w:t>
            </w:r>
            <w:r>
              <w:rPr>
                <w:color w:val="231F20"/>
                <w:w w:val="95"/>
                <w:sz w:val="15"/>
              </w:rPr>
              <w:t>management</w:t>
            </w:r>
            <w:r>
              <w:rPr>
                <w:color w:val="231F20"/>
                <w:spacing w:val="-12"/>
                <w:w w:val="95"/>
                <w:sz w:val="15"/>
              </w:rPr>
              <w:t xml:space="preserve"> </w:t>
            </w:r>
            <w:r>
              <w:rPr>
                <w:color w:val="231F20"/>
                <w:w w:val="95"/>
                <w:sz w:val="15"/>
              </w:rPr>
              <w:t>of</w:t>
            </w:r>
            <w:r>
              <w:rPr>
                <w:color w:val="231F20"/>
                <w:spacing w:val="-11"/>
                <w:w w:val="95"/>
                <w:sz w:val="15"/>
              </w:rPr>
              <w:t xml:space="preserve"> </w:t>
            </w:r>
            <w:r>
              <w:rPr>
                <w:color w:val="231F20"/>
                <w:w w:val="95"/>
                <w:sz w:val="15"/>
              </w:rPr>
              <w:t>major</w:t>
            </w:r>
            <w:r>
              <w:rPr>
                <w:color w:val="231F20"/>
                <w:spacing w:val="-11"/>
                <w:w w:val="95"/>
                <w:sz w:val="15"/>
              </w:rPr>
              <w:t xml:space="preserve"> </w:t>
            </w:r>
            <w:r>
              <w:rPr>
                <w:color w:val="231F20"/>
                <w:w w:val="95"/>
                <w:sz w:val="15"/>
              </w:rPr>
              <w:t>NCDs.</w:t>
            </w:r>
          </w:p>
        </w:tc>
        <w:tc>
          <w:tcPr>
            <w:tcW w:w="1495" w:type="dxa"/>
            <w:tcBorders>
              <w:left w:val="single" w:sz="8" w:space="0" w:color="231F20"/>
            </w:tcBorders>
          </w:tcPr>
          <w:p w14:paraId="38F2CB6F" w14:textId="77777777" w:rsidR="009948F1" w:rsidRDefault="009948F1">
            <w:pPr>
              <w:pStyle w:val="TableParagraph"/>
              <w:rPr>
                <w:sz w:val="13"/>
              </w:rPr>
            </w:pPr>
          </w:p>
          <w:p w14:paraId="5573388A" w14:textId="77777777" w:rsidR="009948F1" w:rsidRDefault="00BC0563">
            <w:pPr>
              <w:pStyle w:val="TableParagraph"/>
              <w:spacing w:before="1"/>
              <w:ind w:left="24"/>
              <w:rPr>
                <w:sz w:val="15"/>
              </w:rPr>
            </w:pPr>
            <w:r>
              <w:rPr>
                <w:color w:val="231F20"/>
                <w:w w:val="95"/>
                <w:sz w:val="15"/>
              </w:rPr>
              <w:t>Lack of funds</w:t>
            </w:r>
          </w:p>
        </w:tc>
        <w:tc>
          <w:tcPr>
            <w:tcW w:w="1577" w:type="dxa"/>
          </w:tcPr>
          <w:p w14:paraId="404CF075" w14:textId="77777777" w:rsidR="009948F1" w:rsidRDefault="009948F1">
            <w:pPr>
              <w:pStyle w:val="TableParagraph"/>
              <w:rPr>
                <w:sz w:val="13"/>
              </w:rPr>
            </w:pPr>
          </w:p>
          <w:p w14:paraId="62B188AD" w14:textId="77777777" w:rsidR="009948F1" w:rsidRDefault="00BC0563">
            <w:pPr>
              <w:pStyle w:val="TableParagraph"/>
              <w:spacing w:before="1"/>
              <w:ind w:left="27"/>
              <w:rPr>
                <w:sz w:val="15"/>
              </w:rPr>
            </w:pPr>
            <w:r>
              <w:rPr>
                <w:color w:val="231F20"/>
                <w:w w:val="95"/>
                <w:sz w:val="15"/>
              </w:rPr>
              <w:t>Periodic review</w:t>
            </w:r>
          </w:p>
        </w:tc>
      </w:tr>
      <w:tr w:rsidR="009948F1" w14:paraId="70C1FF23" w14:textId="77777777">
        <w:trPr>
          <w:trHeight w:val="438"/>
        </w:trPr>
        <w:tc>
          <w:tcPr>
            <w:tcW w:w="480" w:type="dxa"/>
            <w:vMerge/>
            <w:tcBorders>
              <w:top w:val="nil"/>
              <w:left w:val="single" w:sz="8" w:space="0" w:color="231F20"/>
            </w:tcBorders>
          </w:tcPr>
          <w:p w14:paraId="42781012" w14:textId="77777777" w:rsidR="009948F1" w:rsidRDefault="009948F1">
            <w:pPr>
              <w:rPr>
                <w:sz w:val="2"/>
                <w:szCs w:val="2"/>
              </w:rPr>
            </w:pPr>
          </w:p>
        </w:tc>
        <w:tc>
          <w:tcPr>
            <w:tcW w:w="551" w:type="dxa"/>
          </w:tcPr>
          <w:p w14:paraId="130D6D2A" w14:textId="77777777" w:rsidR="009948F1" w:rsidRDefault="009948F1">
            <w:pPr>
              <w:pStyle w:val="TableParagraph"/>
              <w:spacing w:before="5"/>
              <w:rPr>
                <w:sz w:val="11"/>
              </w:rPr>
            </w:pPr>
          </w:p>
          <w:p w14:paraId="0521A9F2" w14:textId="77777777" w:rsidR="009948F1" w:rsidRDefault="00BC0563">
            <w:pPr>
              <w:pStyle w:val="TableParagraph"/>
              <w:spacing w:before="1"/>
              <w:ind w:left="88"/>
              <w:rPr>
                <w:sz w:val="15"/>
              </w:rPr>
            </w:pPr>
            <w:r>
              <w:rPr>
                <w:color w:val="231F20"/>
                <w:w w:val="90"/>
                <w:sz w:val="15"/>
              </w:rPr>
              <w:t>6.1.6.d</w:t>
            </w:r>
          </w:p>
        </w:tc>
        <w:tc>
          <w:tcPr>
            <w:tcW w:w="5129" w:type="dxa"/>
            <w:gridSpan w:val="2"/>
            <w:tcBorders>
              <w:right w:val="single" w:sz="8" w:space="0" w:color="231F20"/>
            </w:tcBorders>
          </w:tcPr>
          <w:p w14:paraId="7781598A" w14:textId="77777777" w:rsidR="009948F1" w:rsidRDefault="00BC0563">
            <w:pPr>
              <w:pStyle w:val="TableParagraph"/>
              <w:spacing w:before="34" w:line="256" w:lineRule="auto"/>
              <w:ind w:left="26" w:right="624"/>
              <w:rPr>
                <w:sz w:val="15"/>
              </w:rPr>
            </w:pPr>
            <w:r>
              <w:rPr>
                <w:color w:val="231F20"/>
                <w:w w:val="85"/>
                <w:sz w:val="15"/>
              </w:rPr>
              <w:t>Conduct</w:t>
            </w:r>
            <w:r>
              <w:rPr>
                <w:color w:val="231F20"/>
                <w:spacing w:val="-12"/>
                <w:w w:val="85"/>
                <w:sz w:val="15"/>
              </w:rPr>
              <w:t xml:space="preserve"> </w:t>
            </w:r>
            <w:r>
              <w:rPr>
                <w:color w:val="231F20"/>
                <w:w w:val="85"/>
                <w:sz w:val="15"/>
              </w:rPr>
              <w:t>capacity</w:t>
            </w:r>
            <w:r>
              <w:rPr>
                <w:color w:val="231F20"/>
                <w:spacing w:val="-11"/>
                <w:w w:val="85"/>
                <w:sz w:val="15"/>
              </w:rPr>
              <w:t xml:space="preserve"> </w:t>
            </w:r>
            <w:r>
              <w:rPr>
                <w:color w:val="231F20"/>
                <w:w w:val="85"/>
                <w:sz w:val="15"/>
              </w:rPr>
              <w:t>building</w:t>
            </w:r>
            <w:r>
              <w:rPr>
                <w:color w:val="231F20"/>
                <w:spacing w:val="-11"/>
                <w:w w:val="85"/>
                <w:sz w:val="15"/>
              </w:rPr>
              <w:t xml:space="preserve"> </w:t>
            </w:r>
            <w:r>
              <w:rPr>
                <w:color w:val="231F20"/>
                <w:w w:val="85"/>
                <w:sz w:val="15"/>
              </w:rPr>
              <w:t>for</w:t>
            </w:r>
            <w:r>
              <w:rPr>
                <w:color w:val="231F20"/>
                <w:spacing w:val="-11"/>
                <w:w w:val="85"/>
                <w:sz w:val="15"/>
              </w:rPr>
              <w:t xml:space="preserve"> </w:t>
            </w:r>
            <w:r>
              <w:rPr>
                <w:color w:val="231F20"/>
                <w:w w:val="85"/>
                <w:sz w:val="15"/>
              </w:rPr>
              <w:t>NCD</w:t>
            </w:r>
            <w:r>
              <w:rPr>
                <w:color w:val="231F20"/>
                <w:spacing w:val="-11"/>
                <w:w w:val="85"/>
                <w:sz w:val="15"/>
              </w:rPr>
              <w:t xml:space="preserve"> </w:t>
            </w:r>
            <w:r>
              <w:rPr>
                <w:color w:val="231F20"/>
                <w:w w:val="85"/>
                <w:sz w:val="15"/>
              </w:rPr>
              <w:t>focal</w:t>
            </w:r>
            <w:r>
              <w:rPr>
                <w:color w:val="231F20"/>
                <w:spacing w:val="-12"/>
                <w:w w:val="85"/>
                <w:sz w:val="15"/>
              </w:rPr>
              <w:t xml:space="preserve"> </w:t>
            </w:r>
            <w:r>
              <w:rPr>
                <w:color w:val="231F20"/>
                <w:w w:val="85"/>
                <w:sz w:val="15"/>
              </w:rPr>
              <w:t>points</w:t>
            </w:r>
            <w:r>
              <w:rPr>
                <w:color w:val="231F20"/>
                <w:spacing w:val="-11"/>
                <w:w w:val="85"/>
                <w:sz w:val="15"/>
              </w:rPr>
              <w:t xml:space="preserve"> </w:t>
            </w:r>
            <w:r>
              <w:rPr>
                <w:color w:val="231F20"/>
                <w:w w:val="85"/>
                <w:sz w:val="15"/>
              </w:rPr>
              <w:t>in</w:t>
            </w:r>
            <w:r>
              <w:rPr>
                <w:color w:val="231F20"/>
                <w:spacing w:val="-11"/>
                <w:w w:val="85"/>
                <w:sz w:val="15"/>
              </w:rPr>
              <w:t xml:space="preserve"> </w:t>
            </w:r>
            <w:r>
              <w:rPr>
                <w:color w:val="231F20"/>
                <w:w w:val="85"/>
                <w:sz w:val="15"/>
              </w:rPr>
              <w:t>Health</w:t>
            </w:r>
            <w:r>
              <w:rPr>
                <w:color w:val="231F20"/>
                <w:spacing w:val="-11"/>
                <w:w w:val="85"/>
                <w:sz w:val="15"/>
              </w:rPr>
              <w:t xml:space="preserve"> </w:t>
            </w:r>
            <w:r>
              <w:rPr>
                <w:color w:val="231F20"/>
                <w:w w:val="85"/>
                <w:sz w:val="15"/>
              </w:rPr>
              <w:t>Facilities</w:t>
            </w:r>
            <w:r>
              <w:rPr>
                <w:color w:val="231F20"/>
                <w:spacing w:val="-11"/>
                <w:w w:val="85"/>
                <w:sz w:val="15"/>
              </w:rPr>
              <w:t xml:space="preserve"> </w:t>
            </w:r>
            <w:r>
              <w:rPr>
                <w:color w:val="231F20"/>
                <w:w w:val="85"/>
                <w:sz w:val="15"/>
              </w:rPr>
              <w:t>on</w:t>
            </w:r>
            <w:r>
              <w:rPr>
                <w:color w:val="231F20"/>
                <w:spacing w:val="-11"/>
                <w:w w:val="85"/>
                <w:sz w:val="15"/>
              </w:rPr>
              <w:t xml:space="preserve"> </w:t>
            </w:r>
            <w:proofErr w:type="spellStart"/>
            <w:r>
              <w:rPr>
                <w:color w:val="231F20"/>
                <w:w w:val="85"/>
                <w:sz w:val="15"/>
              </w:rPr>
              <w:t>programme</w:t>
            </w:r>
            <w:proofErr w:type="spellEnd"/>
            <w:r>
              <w:rPr>
                <w:color w:val="231F20"/>
                <w:w w:val="85"/>
                <w:sz w:val="15"/>
              </w:rPr>
              <w:t xml:space="preserve"> </w:t>
            </w:r>
            <w:r>
              <w:rPr>
                <w:color w:val="231F20"/>
                <w:w w:val="95"/>
                <w:sz w:val="15"/>
              </w:rPr>
              <w:t>management.</w:t>
            </w:r>
          </w:p>
        </w:tc>
        <w:tc>
          <w:tcPr>
            <w:tcW w:w="1495" w:type="dxa"/>
            <w:tcBorders>
              <w:left w:val="single" w:sz="8" w:space="0" w:color="231F20"/>
            </w:tcBorders>
          </w:tcPr>
          <w:p w14:paraId="3854FEEA" w14:textId="77777777" w:rsidR="009948F1" w:rsidRDefault="009948F1">
            <w:pPr>
              <w:pStyle w:val="TableParagraph"/>
              <w:spacing w:before="5"/>
              <w:rPr>
                <w:sz w:val="11"/>
              </w:rPr>
            </w:pPr>
          </w:p>
          <w:p w14:paraId="2FC4338C" w14:textId="77777777" w:rsidR="009948F1" w:rsidRDefault="00BC0563">
            <w:pPr>
              <w:pStyle w:val="TableParagraph"/>
              <w:spacing w:before="1"/>
              <w:ind w:left="24"/>
              <w:rPr>
                <w:sz w:val="15"/>
              </w:rPr>
            </w:pPr>
            <w:r>
              <w:rPr>
                <w:color w:val="231F20"/>
                <w:w w:val="95"/>
                <w:sz w:val="15"/>
              </w:rPr>
              <w:t>Lack of funds</w:t>
            </w:r>
          </w:p>
        </w:tc>
        <w:tc>
          <w:tcPr>
            <w:tcW w:w="1577" w:type="dxa"/>
          </w:tcPr>
          <w:p w14:paraId="14FA41DA" w14:textId="77777777" w:rsidR="009948F1" w:rsidRDefault="009948F1">
            <w:pPr>
              <w:pStyle w:val="TableParagraph"/>
              <w:spacing w:before="5"/>
              <w:rPr>
                <w:sz w:val="11"/>
              </w:rPr>
            </w:pPr>
          </w:p>
          <w:p w14:paraId="5FBD0051" w14:textId="77777777" w:rsidR="009948F1" w:rsidRDefault="00BC0563">
            <w:pPr>
              <w:pStyle w:val="TableParagraph"/>
              <w:spacing w:before="1"/>
              <w:ind w:left="27"/>
              <w:rPr>
                <w:sz w:val="15"/>
              </w:rPr>
            </w:pPr>
            <w:r>
              <w:rPr>
                <w:color w:val="231F20"/>
                <w:w w:val="90"/>
                <w:sz w:val="15"/>
              </w:rPr>
              <w:t>Conduct</w:t>
            </w:r>
            <w:r>
              <w:rPr>
                <w:color w:val="231F20"/>
                <w:spacing w:val="-25"/>
                <w:w w:val="90"/>
                <w:sz w:val="15"/>
              </w:rPr>
              <w:t xml:space="preserve"> </w:t>
            </w:r>
            <w:r>
              <w:rPr>
                <w:color w:val="231F20"/>
                <w:w w:val="90"/>
                <w:sz w:val="15"/>
              </w:rPr>
              <w:t>capacity</w:t>
            </w:r>
            <w:r>
              <w:rPr>
                <w:color w:val="231F20"/>
                <w:spacing w:val="-25"/>
                <w:w w:val="90"/>
                <w:sz w:val="15"/>
              </w:rPr>
              <w:t xml:space="preserve"> </w:t>
            </w:r>
            <w:r>
              <w:rPr>
                <w:color w:val="231F20"/>
                <w:w w:val="90"/>
                <w:sz w:val="15"/>
              </w:rPr>
              <w:t>building</w:t>
            </w:r>
          </w:p>
        </w:tc>
      </w:tr>
      <w:tr w:rsidR="009948F1" w14:paraId="1C879F1E" w14:textId="77777777">
        <w:trPr>
          <w:trHeight w:val="384"/>
        </w:trPr>
        <w:tc>
          <w:tcPr>
            <w:tcW w:w="480" w:type="dxa"/>
            <w:vMerge/>
            <w:tcBorders>
              <w:top w:val="nil"/>
              <w:left w:val="single" w:sz="8" w:space="0" w:color="231F20"/>
            </w:tcBorders>
          </w:tcPr>
          <w:p w14:paraId="5D65C824" w14:textId="77777777" w:rsidR="009948F1" w:rsidRDefault="009948F1">
            <w:pPr>
              <w:rPr>
                <w:sz w:val="2"/>
                <w:szCs w:val="2"/>
              </w:rPr>
            </w:pPr>
          </w:p>
        </w:tc>
        <w:tc>
          <w:tcPr>
            <w:tcW w:w="551" w:type="dxa"/>
          </w:tcPr>
          <w:p w14:paraId="24BBF29C" w14:textId="77777777" w:rsidR="009948F1" w:rsidRDefault="00BC0563">
            <w:pPr>
              <w:pStyle w:val="TableParagraph"/>
              <w:spacing w:before="105"/>
              <w:ind w:left="88"/>
              <w:rPr>
                <w:sz w:val="15"/>
              </w:rPr>
            </w:pPr>
            <w:r>
              <w:rPr>
                <w:color w:val="231F20"/>
                <w:w w:val="90"/>
                <w:sz w:val="15"/>
              </w:rPr>
              <w:t>6.1.6.e</w:t>
            </w:r>
          </w:p>
        </w:tc>
        <w:tc>
          <w:tcPr>
            <w:tcW w:w="5129" w:type="dxa"/>
            <w:gridSpan w:val="2"/>
            <w:tcBorders>
              <w:right w:val="single" w:sz="8" w:space="0" w:color="231F20"/>
            </w:tcBorders>
          </w:tcPr>
          <w:p w14:paraId="595702DE" w14:textId="77777777" w:rsidR="009948F1" w:rsidRDefault="00BC0563">
            <w:pPr>
              <w:pStyle w:val="TableParagraph"/>
              <w:spacing w:before="1" w:line="184" w:lineRule="exact"/>
              <w:ind w:left="26" w:right="142"/>
              <w:rPr>
                <w:sz w:val="15"/>
              </w:rPr>
            </w:pPr>
            <w:r>
              <w:rPr>
                <w:color w:val="231F20"/>
                <w:w w:val="85"/>
                <w:sz w:val="15"/>
              </w:rPr>
              <w:t>Promotion</w:t>
            </w:r>
            <w:r>
              <w:rPr>
                <w:color w:val="231F20"/>
                <w:spacing w:val="-14"/>
                <w:w w:val="85"/>
                <w:sz w:val="15"/>
              </w:rPr>
              <w:t xml:space="preserve"> </w:t>
            </w:r>
            <w:r>
              <w:rPr>
                <w:color w:val="231F20"/>
                <w:w w:val="85"/>
                <w:sz w:val="15"/>
              </w:rPr>
              <w:t>of</w:t>
            </w:r>
            <w:r>
              <w:rPr>
                <w:color w:val="231F20"/>
                <w:spacing w:val="-14"/>
                <w:w w:val="85"/>
                <w:sz w:val="15"/>
              </w:rPr>
              <w:t xml:space="preserve"> </w:t>
            </w:r>
            <w:r>
              <w:rPr>
                <w:color w:val="231F20"/>
                <w:w w:val="85"/>
                <w:sz w:val="15"/>
              </w:rPr>
              <w:t>educational</w:t>
            </w:r>
            <w:r>
              <w:rPr>
                <w:color w:val="231F20"/>
                <w:spacing w:val="-13"/>
                <w:w w:val="85"/>
                <w:sz w:val="15"/>
              </w:rPr>
              <w:t xml:space="preserve"> </w:t>
            </w:r>
            <w:r>
              <w:rPr>
                <w:color w:val="231F20"/>
                <w:w w:val="85"/>
                <w:sz w:val="15"/>
              </w:rPr>
              <w:t>activities:</w:t>
            </w:r>
            <w:r>
              <w:rPr>
                <w:color w:val="231F20"/>
                <w:spacing w:val="-14"/>
                <w:w w:val="85"/>
                <w:sz w:val="15"/>
              </w:rPr>
              <w:t xml:space="preserve"> </w:t>
            </w:r>
            <w:r>
              <w:rPr>
                <w:color w:val="231F20"/>
                <w:w w:val="85"/>
                <w:sz w:val="15"/>
              </w:rPr>
              <w:t>conferences,</w:t>
            </w:r>
            <w:r>
              <w:rPr>
                <w:color w:val="231F20"/>
                <w:spacing w:val="-14"/>
                <w:w w:val="85"/>
                <w:sz w:val="15"/>
              </w:rPr>
              <w:t xml:space="preserve"> </w:t>
            </w:r>
            <w:r>
              <w:rPr>
                <w:color w:val="231F20"/>
                <w:w w:val="85"/>
                <w:sz w:val="15"/>
              </w:rPr>
              <w:t>workshops,</w:t>
            </w:r>
            <w:r>
              <w:rPr>
                <w:color w:val="231F20"/>
                <w:spacing w:val="-13"/>
                <w:w w:val="85"/>
                <w:sz w:val="15"/>
              </w:rPr>
              <w:t xml:space="preserve"> </w:t>
            </w:r>
            <w:r>
              <w:rPr>
                <w:color w:val="231F20"/>
                <w:w w:val="85"/>
                <w:sz w:val="15"/>
              </w:rPr>
              <w:t>seminars</w:t>
            </w:r>
            <w:r>
              <w:rPr>
                <w:color w:val="231F20"/>
                <w:spacing w:val="-14"/>
                <w:w w:val="85"/>
                <w:sz w:val="15"/>
              </w:rPr>
              <w:t xml:space="preserve"> </w:t>
            </w:r>
            <w:r>
              <w:rPr>
                <w:color w:val="231F20"/>
                <w:w w:val="85"/>
                <w:sz w:val="15"/>
              </w:rPr>
              <w:t>etc.</w:t>
            </w:r>
            <w:r>
              <w:rPr>
                <w:color w:val="231F20"/>
                <w:spacing w:val="-14"/>
                <w:w w:val="85"/>
                <w:sz w:val="15"/>
              </w:rPr>
              <w:t xml:space="preserve"> </w:t>
            </w:r>
            <w:r>
              <w:rPr>
                <w:color w:val="231F20"/>
                <w:w w:val="85"/>
                <w:sz w:val="15"/>
              </w:rPr>
              <w:t>for</w:t>
            </w:r>
            <w:r>
              <w:rPr>
                <w:color w:val="231F20"/>
                <w:spacing w:val="-13"/>
                <w:w w:val="85"/>
                <w:sz w:val="15"/>
              </w:rPr>
              <w:t xml:space="preserve"> </w:t>
            </w:r>
            <w:r>
              <w:rPr>
                <w:color w:val="231F20"/>
                <w:w w:val="85"/>
                <w:sz w:val="15"/>
              </w:rPr>
              <w:t>health</w:t>
            </w:r>
            <w:r>
              <w:rPr>
                <w:color w:val="231F20"/>
                <w:spacing w:val="-14"/>
                <w:w w:val="85"/>
                <w:sz w:val="15"/>
              </w:rPr>
              <w:t xml:space="preserve"> </w:t>
            </w:r>
            <w:r>
              <w:rPr>
                <w:color w:val="231F20"/>
                <w:w w:val="85"/>
                <w:sz w:val="15"/>
              </w:rPr>
              <w:t xml:space="preserve">care </w:t>
            </w:r>
            <w:r>
              <w:rPr>
                <w:color w:val="231F20"/>
                <w:w w:val="90"/>
                <w:sz w:val="15"/>
              </w:rPr>
              <w:t>personnel</w:t>
            </w:r>
            <w:r>
              <w:rPr>
                <w:color w:val="231F20"/>
                <w:spacing w:val="-26"/>
                <w:w w:val="90"/>
                <w:sz w:val="15"/>
              </w:rPr>
              <w:t xml:space="preserve"> </w:t>
            </w:r>
            <w:r>
              <w:rPr>
                <w:color w:val="231F20"/>
                <w:w w:val="90"/>
                <w:sz w:val="15"/>
              </w:rPr>
              <w:t>in</w:t>
            </w:r>
            <w:r>
              <w:rPr>
                <w:color w:val="231F20"/>
                <w:spacing w:val="-25"/>
                <w:w w:val="90"/>
                <w:sz w:val="15"/>
              </w:rPr>
              <w:t xml:space="preserve"> </w:t>
            </w:r>
            <w:r>
              <w:rPr>
                <w:color w:val="231F20"/>
                <w:w w:val="90"/>
                <w:sz w:val="15"/>
              </w:rPr>
              <w:t>the</w:t>
            </w:r>
            <w:r>
              <w:rPr>
                <w:color w:val="231F20"/>
                <w:spacing w:val="-25"/>
                <w:w w:val="90"/>
                <w:sz w:val="15"/>
              </w:rPr>
              <w:t xml:space="preserve"> </w:t>
            </w:r>
            <w:r>
              <w:rPr>
                <w:color w:val="231F20"/>
                <w:w w:val="90"/>
                <w:sz w:val="15"/>
              </w:rPr>
              <w:t>management</w:t>
            </w:r>
            <w:r>
              <w:rPr>
                <w:color w:val="231F20"/>
                <w:spacing w:val="-25"/>
                <w:w w:val="90"/>
                <w:sz w:val="15"/>
              </w:rPr>
              <w:t xml:space="preserve"> </w:t>
            </w:r>
            <w:r>
              <w:rPr>
                <w:color w:val="231F20"/>
                <w:w w:val="90"/>
                <w:sz w:val="15"/>
              </w:rPr>
              <w:t>of</w:t>
            </w:r>
            <w:r>
              <w:rPr>
                <w:color w:val="231F20"/>
                <w:spacing w:val="-25"/>
                <w:w w:val="90"/>
                <w:sz w:val="15"/>
              </w:rPr>
              <w:t xml:space="preserve"> </w:t>
            </w:r>
            <w:r>
              <w:rPr>
                <w:color w:val="231F20"/>
                <w:w w:val="90"/>
                <w:sz w:val="15"/>
              </w:rPr>
              <w:t>NCDs</w:t>
            </w:r>
            <w:r>
              <w:rPr>
                <w:color w:val="231F20"/>
                <w:spacing w:val="-25"/>
                <w:w w:val="90"/>
                <w:sz w:val="15"/>
              </w:rPr>
              <w:t xml:space="preserve"> </w:t>
            </w:r>
            <w:r>
              <w:rPr>
                <w:color w:val="231F20"/>
                <w:w w:val="90"/>
                <w:sz w:val="15"/>
              </w:rPr>
              <w:t>especially</w:t>
            </w:r>
            <w:r>
              <w:rPr>
                <w:color w:val="231F20"/>
                <w:spacing w:val="-25"/>
                <w:w w:val="90"/>
                <w:sz w:val="15"/>
              </w:rPr>
              <w:t xml:space="preserve"> </w:t>
            </w:r>
            <w:r>
              <w:rPr>
                <w:color w:val="231F20"/>
                <w:w w:val="90"/>
                <w:sz w:val="15"/>
              </w:rPr>
              <w:t>pre-diabetes</w:t>
            </w:r>
            <w:r>
              <w:rPr>
                <w:color w:val="231F20"/>
                <w:spacing w:val="-25"/>
                <w:w w:val="90"/>
                <w:sz w:val="15"/>
              </w:rPr>
              <w:t xml:space="preserve"> </w:t>
            </w:r>
            <w:r>
              <w:rPr>
                <w:color w:val="231F20"/>
                <w:w w:val="90"/>
                <w:sz w:val="15"/>
              </w:rPr>
              <w:t>and</w:t>
            </w:r>
            <w:r>
              <w:rPr>
                <w:color w:val="231F20"/>
                <w:spacing w:val="-26"/>
                <w:w w:val="90"/>
                <w:sz w:val="15"/>
              </w:rPr>
              <w:t xml:space="preserve"> </w:t>
            </w:r>
            <w:r>
              <w:rPr>
                <w:color w:val="231F20"/>
                <w:w w:val="90"/>
                <w:sz w:val="15"/>
              </w:rPr>
              <w:t>diabetes</w:t>
            </w:r>
            <w:r>
              <w:rPr>
                <w:color w:val="231F20"/>
                <w:spacing w:val="-25"/>
                <w:w w:val="90"/>
                <w:sz w:val="15"/>
              </w:rPr>
              <w:t xml:space="preserve"> </w:t>
            </w:r>
            <w:r>
              <w:rPr>
                <w:color w:val="231F20"/>
                <w:w w:val="90"/>
                <w:sz w:val="15"/>
              </w:rPr>
              <w:t>mellitus.</w:t>
            </w:r>
          </w:p>
        </w:tc>
        <w:tc>
          <w:tcPr>
            <w:tcW w:w="1495" w:type="dxa"/>
            <w:tcBorders>
              <w:left w:val="single" w:sz="8" w:space="0" w:color="231F20"/>
            </w:tcBorders>
          </w:tcPr>
          <w:p w14:paraId="7A15E153" w14:textId="77777777" w:rsidR="009948F1" w:rsidRDefault="00BC0563">
            <w:pPr>
              <w:pStyle w:val="TableParagraph"/>
              <w:spacing w:before="105"/>
              <w:ind w:left="24"/>
              <w:rPr>
                <w:sz w:val="15"/>
              </w:rPr>
            </w:pPr>
            <w:r>
              <w:rPr>
                <w:color w:val="231F20"/>
                <w:w w:val="95"/>
                <w:sz w:val="15"/>
              </w:rPr>
              <w:t>Lack of funds</w:t>
            </w:r>
          </w:p>
        </w:tc>
        <w:tc>
          <w:tcPr>
            <w:tcW w:w="1577" w:type="dxa"/>
          </w:tcPr>
          <w:p w14:paraId="347235D3" w14:textId="77777777" w:rsidR="009948F1" w:rsidRDefault="00BC0563">
            <w:pPr>
              <w:pStyle w:val="TableParagraph"/>
              <w:spacing w:before="6" w:line="180" w:lineRule="atLeast"/>
              <w:ind w:left="27" w:right="-9"/>
              <w:rPr>
                <w:sz w:val="15"/>
              </w:rPr>
            </w:pPr>
            <w:r>
              <w:rPr>
                <w:color w:val="231F20"/>
                <w:w w:val="85"/>
                <w:sz w:val="15"/>
              </w:rPr>
              <w:t xml:space="preserve">Promotion of educational </w:t>
            </w:r>
            <w:r>
              <w:rPr>
                <w:color w:val="231F20"/>
                <w:w w:val="95"/>
                <w:sz w:val="15"/>
              </w:rPr>
              <w:t>activities</w:t>
            </w:r>
          </w:p>
        </w:tc>
      </w:tr>
      <w:tr w:rsidR="009948F1" w14:paraId="39DA2467" w14:textId="77777777">
        <w:trPr>
          <w:trHeight w:val="1002"/>
        </w:trPr>
        <w:tc>
          <w:tcPr>
            <w:tcW w:w="480" w:type="dxa"/>
            <w:tcBorders>
              <w:left w:val="single" w:sz="8" w:space="0" w:color="231F20"/>
            </w:tcBorders>
            <w:shd w:val="clear" w:color="auto" w:fill="CCE7D3"/>
          </w:tcPr>
          <w:p w14:paraId="19F015F8" w14:textId="77777777" w:rsidR="009948F1" w:rsidRDefault="009948F1">
            <w:pPr>
              <w:pStyle w:val="TableParagraph"/>
              <w:rPr>
                <w:sz w:val="14"/>
              </w:rPr>
            </w:pPr>
          </w:p>
          <w:p w14:paraId="2A879D4B" w14:textId="77777777" w:rsidR="009948F1" w:rsidRDefault="009948F1">
            <w:pPr>
              <w:pStyle w:val="TableParagraph"/>
              <w:rPr>
                <w:sz w:val="14"/>
              </w:rPr>
            </w:pPr>
          </w:p>
          <w:p w14:paraId="2FAA03B0" w14:textId="77777777" w:rsidR="009948F1" w:rsidRDefault="00BC0563">
            <w:pPr>
              <w:pStyle w:val="TableParagraph"/>
              <w:spacing w:before="93"/>
              <w:ind w:left="61"/>
              <w:rPr>
                <w:sz w:val="15"/>
              </w:rPr>
            </w:pPr>
            <w:r>
              <w:rPr>
                <w:color w:val="231F20"/>
                <w:w w:val="95"/>
                <w:sz w:val="15"/>
              </w:rPr>
              <w:t>6.1.7</w:t>
            </w:r>
          </w:p>
        </w:tc>
        <w:tc>
          <w:tcPr>
            <w:tcW w:w="3182" w:type="dxa"/>
            <w:gridSpan w:val="2"/>
            <w:shd w:val="clear" w:color="auto" w:fill="CCE7D3"/>
          </w:tcPr>
          <w:p w14:paraId="285C4EAE" w14:textId="77777777" w:rsidR="009948F1" w:rsidRDefault="009948F1">
            <w:pPr>
              <w:pStyle w:val="TableParagraph"/>
              <w:rPr>
                <w:sz w:val="14"/>
              </w:rPr>
            </w:pPr>
          </w:p>
          <w:p w14:paraId="78433795" w14:textId="77777777" w:rsidR="009948F1" w:rsidRDefault="009948F1">
            <w:pPr>
              <w:pStyle w:val="TableParagraph"/>
              <w:rPr>
                <w:sz w:val="14"/>
              </w:rPr>
            </w:pPr>
          </w:p>
          <w:p w14:paraId="45B84F2E" w14:textId="77777777" w:rsidR="009948F1" w:rsidRDefault="00BC0563">
            <w:pPr>
              <w:pStyle w:val="TableParagraph"/>
              <w:spacing w:before="86"/>
              <w:ind w:left="60"/>
              <w:rPr>
                <w:sz w:val="15"/>
              </w:rPr>
            </w:pPr>
            <w:r>
              <w:rPr>
                <w:color w:val="231F20"/>
                <w:w w:val="95"/>
                <w:sz w:val="15"/>
              </w:rPr>
              <w:t>Promote demand for NCD services</w:t>
            </w:r>
          </w:p>
        </w:tc>
        <w:tc>
          <w:tcPr>
            <w:tcW w:w="2498" w:type="dxa"/>
            <w:shd w:val="clear" w:color="auto" w:fill="CCE7D3"/>
          </w:tcPr>
          <w:p w14:paraId="4AC281E2" w14:textId="77777777" w:rsidR="009948F1" w:rsidRDefault="00BC0563">
            <w:pPr>
              <w:pStyle w:val="TableParagraph"/>
              <w:numPr>
                <w:ilvl w:val="0"/>
                <w:numId w:val="130"/>
              </w:numPr>
              <w:tabs>
                <w:tab w:val="left" w:pos="105"/>
              </w:tabs>
              <w:spacing w:line="256" w:lineRule="auto"/>
              <w:ind w:right="262" w:firstLine="0"/>
              <w:rPr>
                <w:sz w:val="15"/>
              </w:rPr>
            </w:pPr>
            <w:r>
              <w:rPr>
                <w:color w:val="231F20"/>
                <w:w w:val="95"/>
                <w:sz w:val="15"/>
              </w:rPr>
              <w:t xml:space="preserve">Campaign in key sectors of the </w:t>
            </w:r>
            <w:r>
              <w:rPr>
                <w:color w:val="231F20"/>
                <w:w w:val="85"/>
                <w:sz w:val="15"/>
              </w:rPr>
              <w:t>communities</w:t>
            </w:r>
            <w:r>
              <w:rPr>
                <w:color w:val="231F20"/>
                <w:spacing w:val="-16"/>
                <w:w w:val="85"/>
                <w:sz w:val="15"/>
              </w:rPr>
              <w:t xml:space="preserve"> </w:t>
            </w:r>
            <w:r>
              <w:rPr>
                <w:color w:val="231F20"/>
                <w:w w:val="85"/>
                <w:sz w:val="15"/>
              </w:rPr>
              <w:t>on</w:t>
            </w:r>
            <w:r>
              <w:rPr>
                <w:color w:val="231F20"/>
                <w:spacing w:val="-16"/>
                <w:w w:val="85"/>
                <w:sz w:val="15"/>
              </w:rPr>
              <w:t xml:space="preserve"> </w:t>
            </w:r>
            <w:r>
              <w:rPr>
                <w:color w:val="231F20"/>
                <w:w w:val="85"/>
                <w:sz w:val="15"/>
              </w:rPr>
              <w:t>available</w:t>
            </w:r>
            <w:r>
              <w:rPr>
                <w:color w:val="231F20"/>
                <w:spacing w:val="-16"/>
                <w:w w:val="85"/>
                <w:sz w:val="15"/>
              </w:rPr>
              <w:t xml:space="preserve"> </w:t>
            </w:r>
            <w:r>
              <w:rPr>
                <w:color w:val="231F20"/>
                <w:w w:val="85"/>
                <w:sz w:val="15"/>
              </w:rPr>
              <w:t>NCD</w:t>
            </w:r>
            <w:r>
              <w:rPr>
                <w:color w:val="231F20"/>
                <w:spacing w:val="-15"/>
                <w:w w:val="85"/>
                <w:sz w:val="15"/>
              </w:rPr>
              <w:t xml:space="preserve"> </w:t>
            </w:r>
            <w:r>
              <w:rPr>
                <w:color w:val="231F20"/>
                <w:w w:val="85"/>
                <w:sz w:val="15"/>
              </w:rPr>
              <w:t xml:space="preserve">services </w:t>
            </w:r>
            <w:r>
              <w:rPr>
                <w:color w:val="231F20"/>
                <w:w w:val="95"/>
                <w:sz w:val="15"/>
              </w:rPr>
              <w:t>done</w:t>
            </w:r>
          </w:p>
          <w:p w14:paraId="22FDA3B4" w14:textId="77777777" w:rsidR="009948F1" w:rsidRDefault="00BC0563">
            <w:pPr>
              <w:pStyle w:val="TableParagraph"/>
              <w:numPr>
                <w:ilvl w:val="0"/>
                <w:numId w:val="130"/>
              </w:numPr>
              <w:tabs>
                <w:tab w:val="left" w:pos="105"/>
              </w:tabs>
              <w:spacing w:line="256" w:lineRule="auto"/>
              <w:ind w:right="101" w:firstLine="0"/>
              <w:rPr>
                <w:sz w:val="15"/>
              </w:rPr>
            </w:pPr>
            <w:r>
              <w:rPr>
                <w:color w:val="231F20"/>
                <w:w w:val="85"/>
                <w:sz w:val="15"/>
              </w:rPr>
              <w:t>Free</w:t>
            </w:r>
            <w:r>
              <w:rPr>
                <w:color w:val="231F20"/>
                <w:spacing w:val="-13"/>
                <w:w w:val="85"/>
                <w:sz w:val="15"/>
              </w:rPr>
              <w:t xml:space="preserve"> </w:t>
            </w:r>
            <w:r>
              <w:rPr>
                <w:color w:val="231F20"/>
                <w:w w:val="85"/>
                <w:sz w:val="15"/>
              </w:rPr>
              <w:t>NCD</w:t>
            </w:r>
            <w:r>
              <w:rPr>
                <w:color w:val="231F20"/>
                <w:spacing w:val="-12"/>
                <w:w w:val="85"/>
                <w:sz w:val="15"/>
              </w:rPr>
              <w:t xml:space="preserve"> </w:t>
            </w:r>
            <w:r>
              <w:rPr>
                <w:color w:val="231F20"/>
                <w:w w:val="85"/>
                <w:sz w:val="15"/>
              </w:rPr>
              <w:t>screening</w:t>
            </w:r>
            <w:r>
              <w:rPr>
                <w:color w:val="231F20"/>
                <w:spacing w:val="-12"/>
                <w:w w:val="85"/>
                <w:sz w:val="15"/>
              </w:rPr>
              <w:t xml:space="preserve"> </w:t>
            </w:r>
            <w:r>
              <w:rPr>
                <w:color w:val="231F20"/>
                <w:w w:val="85"/>
                <w:sz w:val="15"/>
              </w:rPr>
              <w:t>services</w:t>
            </w:r>
            <w:r>
              <w:rPr>
                <w:color w:val="231F20"/>
                <w:spacing w:val="-12"/>
                <w:w w:val="85"/>
                <w:sz w:val="15"/>
              </w:rPr>
              <w:t xml:space="preserve"> </w:t>
            </w:r>
            <w:r>
              <w:rPr>
                <w:color w:val="231F20"/>
                <w:w w:val="85"/>
                <w:sz w:val="15"/>
              </w:rPr>
              <w:t>provided</w:t>
            </w:r>
            <w:r>
              <w:rPr>
                <w:color w:val="231F20"/>
                <w:spacing w:val="-12"/>
                <w:w w:val="85"/>
                <w:sz w:val="15"/>
              </w:rPr>
              <w:t xml:space="preserve"> </w:t>
            </w:r>
            <w:r>
              <w:rPr>
                <w:color w:val="231F20"/>
                <w:w w:val="85"/>
                <w:sz w:val="15"/>
              </w:rPr>
              <w:t xml:space="preserve">at </w:t>
            </w:r>
            <w:r>
              <w:rPr>
                <w:color w:val="231F20"/>
                <w:w w:val="95"/>
                <w:sz w:val="15"/>
              </w:rPr>
              <w:t>five designated</w:t>
            </w:r>
            <w:r>
              <w:rPr>
                <w:color w:val="231F20"/>
                <w:spacing w:val="-23"/>
                <w:w w:val="95"/>
                <w:sz w:val="15"/>
              </w:rPr>
              <w:t xml:space="preserve"> </w:t>
            </w:r>
            <w:proofErr w:type="spellStart"/>
            <w:r>
              <w:rPr>
                <w:color w:val="231F20"/>
                <w:w w:val="95"/>
                <w:sz w:val="15"/>
              </w:rPr>
              <w:t>centres</w:t>
            </w:r>
            <w:proofErr w:type="spellEnd"/>
          </w:p>
        </w:tc>
        <w:tc>
          <w:tcPr>
            <w:tcW w:w="1495" w:type="dxa"/>
            <w:shd w:val="clear" w:color="auto" w:fill="CCE7D3"/>
          </w:tcPr>
          <w:p w14:paraId="777DF9BE" w14:textId="77777777" w:rsidR="009948F1" w:rsidRDefault="009948F1">
            <w:pPr>
              <w:pStyle w:val="TableParagraph"/>
              <w:rPr>
                <w:rFonts w:ascii="Times New Roman"/>
                <w:sz w:val="12"/>
              </w:rPr>
            </w:pPr>
          </w:p>
        </w:tc>
        <w:tc>
          <w:tcPr>
            <w:tcW w:w="1577" w:type="dxa"/>
            <w:shd w:val="clear" w:color="auto" w:fill="CCE7D3"/>
          </w:tcPr>
          <w:p w14:paraId="36E2E78F" w14:textId="77777777" w:rsidR="009948F1" w:rsidRDefault="009948F1">
            <w:pPr>
              <w:pStyle w:val="TableParagraph"/>
              <w:rPr>
                <w:rFonts w:ascii="Times New Roman"/>
                <w:sz w:val="12"/>
              </w:rPr>
            </w:pPr>
          </w:p>
        </w:tc>
      </w:tr>
      <w:tr w:rsidR="009948F1" w14:paraId="39947438" w14:textId="77777777">
        <w:trPr>
          <w:trHeight w:val="772"/>
        </w:trPr>
        <w:tc>
          <w:tcPr>
            <w:tcW w:w="480" w:type="dxa"/>
            <w:vMerge w:val="restart"/>
            <w:tcBorders>
              <w:left w:val="single" w:sz="8" w:space="0" w:color="231F20"/>
              <w:bottom w:val="single" w:sz="8" w:space="0" w:color="231F20"/>
            </w:tcBorders>
          </w:tcPr>
          <w:p w14:paraId="00B359E4" w14:textId="77777777" w:rsidR="009948F1" w:rsidRDefault="009948F1">
            <w:pPr>
              <w:pStyle w:val="TableParagraph"/>
              <w:rPr>
                <w:rFonts w:ascii="Times New Roman"/>
                <w:sz w:val="12"/>
              </w:rPr>
            </w:pPr>
          </w:p>
        </w:tc>
        <w:tc>
          <w:tcPr>
            <w:tcW w:w="551" w:type="dxa"/>
          </w:tcPr>
          <w:p w14:paraId="7B8C2477" w14:textId="77777777" w:rsidR="009948F1" w:rsidRDefault="009948F1">
            <w:pPr>
              <w:pStyle w:val="TableParagraph"/>
              <w:rPr>
                <w:sz w:val="14"/>
              </w:rPr>
            </w:pPr>
          </w:p>
          <w:p w14:paraId="4A5FE29D" w14:textId="77777777" w:rsidR="009948F1" w:rsidRDefault="009948F1">
            <w:pPr>
              <w:pStyle w:val="TableParagraph"/>
              <w:spacing w:before="1"/>
              <w:rPr>
                <w:sz w:val="12"/>
              </w:rPr>
            </w:pPr>
          </w:p>
          <w:p w14:paraId="5B85904D" w14:textId="77777777" w:rsidR="009948F1" w:rsidRDefault="00BC0563">
            <w:pPr>
              <w:pStyle w:val="TableParagraph"/>
              <w:ind w:left="88"/>
              <w:rPr>
                <w:sz w:val="15"/>
              </w:rPr>
            </w:pPr>
            <w:r>
              <w:rPr>
                <w:color w:val="231F20"/>
                <w:w w:val="90"/>
                <w:sz w:val="15"/>
              </w:rPr>
              <w:t>6.1.7.a</w:t>
            </w:r>
          </w:p>
        </w:tc>
        <w:tc>
          <w:tcPr>
            <w:tcW w:w="5129" w:type="dxa"/>
            <w:gridSpan w:val="2"/>
          </w:tcPr>
          <w:p w14:paraId="2DFDD010" w14:textId="77777777" w:rsidR="009948F1" w:rsidRDefault="00BC0563">
            <w:pPr>
              <w:pStyle w:val="TableParagraph"/>
              <w:spacing w:before="109" w:line="256" w:lineRule="auto"/>
              <w:ind w:left="26" w:right="242"/>
              <w:rPr>
                <w:sz w:val="15"/>
              </w:rPr>
            </w:pPr>
            <w:r>
              <w:rPr>
                <w:color w:val="231F20"/>
                <w:w w:val="90"/>
                <w:sz w:val="15"/>
              </w:rPr>
              <w:t>Conduct</w:t>
            </w:r>
            <w:r>
              <w:rPr>
                <w:color w:val="231F20"/>
                <w:spacing w:val="-26"/>
                <w:w w:val="90"/>
                <w:sz w:val="15"/>
              </w:rPr>
              <w:t xml:space="preserve"> </w:t>
            </w:r>
            <w:r>
              <w:rPr>
                <w:color w:val="231F20"/>
                <w:w w:val="90"/>
                <w:sz w:val="15"/>
              </w:rPr>
              <w:t>campaign</w:t>
            </w:r>
            <w:r>
              <w:rPr>
                <w:color w:val="231F20"/>
                <w:spacing w:val="-25"/>
                <w:w w:val="90"/>
                <w:sz w:val="15"/>
              </w:rPr>
              <w:t xml:space="preserve"> </w:t>
            </w:r>
            <w:r>
              <w:rPr>
                <w:color w:val="231F20"/>
                <w:w w:val="90"/>
                <w:sz w:val="15"/>
              </w:rPr>
              <w:t>in</w:t>
            </w:r>
            <w:r>
              <w:rPr>
                <w:color w:val="231F20"/>
                <w:spacing w:val="-25"/>
                <w:w w:val="90"/>
                <w:sz w:val="15"/>
              </w:rPr>
              <w:t xml:space="preserve"> </w:t>
            </w:r>
            <w:r>
              <w:rPr>
                <w:color w:val="231F20"/>
                <w:w w:val="90"/>
                <w:sz w:val="15"/>
              </w:rPr>
              <w:t>key</w:t>
            </w:r>
            <w:r>
              <w:rPr>
                <w:color w:val="231F20"/>
                <w:spacing w:val="-26"/>
                <w:w w:val="90"/>
                <w:sz w:val="15"/>
              </w:rPr>
              <w:t xml:space="preserve"> </w:t>
            </w:r>
            <w:r>
              <w:rPr>
                <w:color w:val="231F20"/>
                <w:w w:val="90"/>
                <w:sz w:val="15"/>
              </w:rPr>
              <w:t>sectors</w:t>
            </w:r>
            <w:r>
              <w:rPr>
                <w:color w:val="231F20"/>
                <w:spacing w:val="-25"/>
                <w:w w:val="90"/>
                <w:sz w:val="15"/>
              </w:rPr>
              <w:t xml:space="preserve"> </w:t>
            </w:r>
            <w:r>
              <w:rPr>
                <w:color w:val="231F20"/>
                <w:w w:val="90"/>
                <w:sz w:val="15"/>
              </w:rPr>
              <w:t>of</w:t>
            </w:r>
            <w:r>
              <w:rPr>
                <w:color w:val="231F20"/>
                <w:spacing w:val="-25"/>
                <w:w w:val="90"/>
                <w:sz w:val="15"/>
              </w:rPr>
              <w:t xml:space="preserve"> </w:t>
            </w:r>
            <w:r>
              <w:rPr>
                <w:color w:val="231F20"/>
                <w:w w:val="90"/>
                <w:sz w:val="15"/>
              </w:rPr>
              <w:t>the</w:t>
            </w:r>
            <w:r>
              <w:rPr>
                <w:color w:val="231F20"/>
                <w:spacing w:val="-26"/>
                <w:w w:val="90"/>
                <w:sz w:val="15"/>
              </w:rPr>
              <w:t xml:space="preserve"> </w:t>
            </w:r>
            <w:r>
              <w:rPr>
                <w:color w:val="231F20"/>
                <w:w w:val="90"/>
                <w:sz w:val="15"/>
              </w:rPr>
              <w:t>communities</w:t>
            </w:r>
            <w:r>
              <w:rPr>
                <w:color w:val="231F20"/>
                <w:spacing w:val="-25"/>
                <w:w w:val="90"/>
                <w:sz w:val="15"/>
              </w:rPr>
              <w:t xml:space="preserve"> </w:t>
            </w:r>
            <w:r>
              <w:rPr>
                <w:color w:val="231F20"/>
                <w:w w:val="90"/>
                <w:sz w:val="15"/>
              </w:rPr>
              <w:t>community,</w:t>
            </w:r>
            <w:r>
              <w:rPr>
                <w:color w:val="231F20"/>
                <w:spacing w:val="-25"/>
                <w:w w:val="90"/>
                <w:sz w:val="15"/>
              </w:rPr>
              <w:t xml:space="preserve"> </w:t>
            </w:r>
            <w:r>
              <w:rPr>
                <w:color w:val="231F20"/>
                <w:w w:val="90"/>
                <w:sz w:val="15"/>
              </w:rPr>
              <w:t>schools</w:t>
            </w:r>
            <w:r>
              <w:rPr>
                <w:color w:val="231F20"/>
                <w:spacing w:val="-26"/>
                <w:w w:val="90"/>
                <w:sz w:val="15"/>
              </w:rPr>
              <w:t xml:space="preserve"> </w:t>
            </w:r>
            <w:r>
              <w:rPr>
                <w:color w:val="231F20"/>
                <w:w w:val="90"/>
                <w:sz w:val="15"/>
              </w:rPr>
              <w:t xml:space="preserve">(including </w:t>
            </w:r>
            <w:r>
              <w:rPr>
                <w:color w:val="231F20"/>
                <w:w w:val="85"/>
                <w:sz w:val="15"/>
              </w:rPr>
              <w:t>primary,</w:t>
            </w:r>
            <w:r>
              <w:rPr>
                <w:color w:val="231F20"/>
                <w:spacing w:val="-17"/>
                <w:w w:val="85"/>
                <w:sz w:val="15"/>
              </w:rPr>
              <w:t xml:space="preserve"> </w:t>
            </w:r>
            <w:r>
              <w:rPr>
                <w:color w:val="231F20"/>
                <w:w w:val="85"/>
                <w:sz w:val="15"/>
              </w:rPr>
              <w:t>secondary</w:t>
            </w:r>
            <w:r>
              <w:rPr>
                <w:color w:val="231F20"/>
                <w:spacing w:val="-16"/>
                <w:w w:val="85"/>
                <w:sz w:val="15"/>
              </w:rPr>
              <w:t xml:space="preserve"> </w:t>
            </w:r>
            <w:r>
              <w:rPr>
                <w:color w:val="231F20"/>
                <w:w w:val="85"/>
                <w:sz w:val="15"/>
              </w:rPr>
              <w:t>and</w:t>
            </w:r>
            <w:r>
              <w:rPr>
                <w:color w:val="231F20"/>
                <w:spacing w:val="-17"/>
                <w:w w:val="85"/>
                <w:sz w:val="15"/>
              </w:rPr>
              <w:t xml:space="preserve"> </w:t>
            </w:r>
            <w:r>
              <w:rPr>
                <w:color w:val="231F20"/>
                <w:w w:val="85"/>
                <w:sz w:val="15"/>
              </w:rPr>
              <w:t>tertiary</w:t>
            </w:r>
            <w:r>
              <w:rPr>
                <w:color w:val="231F20"/>
                <w:spacing w:val="-16"/>
                <w:w w:val="85"/>
                <w:sz w:val="15"/>
              </w:rPr>
              <w:t xml:space="preserve"> </w:t>
            </w:r>
            <w:r>
              <w:rPr>
                <w:color w:val="231F20"/>
                <w:w w:val="85"/>
                <w:sz w:val="15"/>
              </w:rPr>
              <w:t>institutions),</w:t>
            </w:r>
            <w:r>
              <w:rPr>
                <w:color w:val="231F20"/>
                <w:spacing w:val="-17"/>
                <w:w w:val="85"/>
                <w:sz w:val="15"/>
              </w:rPr>
              <w:t xml:space="preserve"> </w:t>
            </w:r>
            <w:r>
              <w:rPr>
                <w:color w:val="231F20"/>
                <w:w w:val="85"/>
                <w:sz w:val="15"/>
              </w:rPr>
              <w:t>Health</w:t>
            </w:r>
            <w:r>
              <w:rPr>
                <w:color w:val="231F20"/>
                <w:spacing w:val="-16"/>
                <w:w w:val="85"/>
                <w:sz w:val="15"/>
              </w:rPr>
              <w:t xml:space="preserve"> </w:t>
            </w:r>
            <w:r>
              <w:rPr>
                <w:color w:val="231F20"/>
                <w:w w:val="85"/>
                <w:sz w:val="15"/>
              </w:rPr>
              <w:t>facilities,</w:t>
            </w:r>
            <w:r>
              <w:rPr>
                <w:color w:val="231F20"/>
                <w:spacing w:val="-16"/>
                <w:w w:val="85"/>
                <w:sz w:val="15"/>
              </w:rPr>
              <w:t xml:space="preserve"> </w:t>
            </w:r>
            <w:r>
              <w:rPr>
                <w:color w:val="231F20"/>
                <w:w w:val="85"/>
                <w:sz w:val="15"/>
              </w:rPr>
              <w:t>Workplaces,</w:t>
            </w:r>
            <w:r>
              <w:rPr>
                <w:color w:val="231F20"/>
                <w:spacing w:val="-17"/>
                <w:w w:val="85"/>
                <w:sz w:val="15"/>
              </w:rPr>
              <w:t xml:space="preserve"> </w:t>
            </w:r>
            <w:r>
              <w:rPr>
                <w:color w:val="231F20"/>
                <w:w w:val="85"/>
                <w:sz w:val="15"/>
              </w:rPr>
              <w:t>Unions,</w:t>
            </w:r>
            <w:r>
              <w:rPr>
                <w:color w:val="231F20"/>
                <w:spacing w:val="-17"/>
                <w:w w:val="85"/>
                <w:sz w:val="15"/>
              </w:rPr>
              <w:t xml:space="preserve"> </w:t>
            </w:r>
            <w:r>
              <w:rPr>
                <w:color w:val="231F20"/>
                <w:w w:val="85"/>
                <w:sz w:val="15"/>
              </w:rPr>
              <w:t xml:space="preserve">Trade </w:t>
            </w:r>
            <w:r>
              <w:rPr>
                <w:color w:val="231F20"/>
                <w:w w:val="95"/>
                <w:sz w:val="15"/>
              </w:rPr>
              <w:t>Unions,</w:t>
            </w:r>
            <w:r>
              <w:rPr>
                <w:color w:val="231F20"/>
                <w:spacing w:val="-19"/>
                <w:w w:val="95"/>
                <w:sz w:val="15"/>
              </w:rPr>
              <w:t xml:space="preserve"> </w:t>
            </w:r>
            <w:r>
              <w:rPr>
                <w:color w:val="231F20"/>
                <w:w w:val="95"/>
                <w:sz w:val="15"/>
              </w:rPr>
              <w:t>Market</w:t>
            </w:r>
            <w:r>
              <w:rPr>
                <w:color w:val="231F20"/>
                <w:spacing w:val="-18"/>
                <w:w w:val="95"/>
                <w:sz w:val="15"/>
              </w:rPr>
              <w:t xml:space="preserve"> </w:t>
            </w:r>
            <w:r>
              <w:rPr>
                <w:color w:val="231F20"/>
                <w:w w:val="95"/>
                <w:sz w:val="15"/>
              </w:rPr>
              <w:t>women,</w:t>
            </w:r>
            <w:r>
              <w:rPr>
                <w:color w:val="231F20"/>
                <w:spacing w:val="-19"/>
                <w:w w:val="95"/>
                <w:sz w:val="15"/>
              </w:rPr>
              <w:t xml:space="preserve"> </w:t>
            </w:r>
            <w:r>
              <w:rPr>
                <w:color w:val="231F20"/>
                <w:w w:val="95"/>
                <w:sz w:val="15"/>
              </w:rPr>
              <w:t>etc.</w:t>
            </w:r>
            <w:r>
              <w:rPr>
                <w:color w:val="231F20"/>
                <w:spacing w:val="-18"/>
                <w:w w:val="95"/>
                <w:sz w:val="15"/>
              </w:rPr>
              <w:t xml:space="preserve"> </w:t>
            </w:r>
            <w:r>
              <w:rPr>
                <w:color w:val="231F20"/>
                <w:w w:val="95"/>
                <w:sz w:val="15"/>
              </w:rPr>
              <w:t>on</w:t>
            </w:r>
            <w:r>
              <w:rPr>
                <w:color w:val="231F20"/>
                <w:spacing w:val="-19"/>
                <w:w w:val="95"/>
                <w:sz w:val="15"/>
              </w:rPr>
              <w:t xml:space="preserve"> </w:t>
            </w:r>
            <w:r>
              <w:rPr>
                <w:color w:val="231F20"/>
                <w:w w:val="95"/>
                <w:sz w:val="15"/>
              </w:rPr>
              <w:t>available</w:t>
            </w:r>
            <w:r>
              <w:rPr>
                <w:color w:val="231F20"/>
                <w:spacing w:val="-18"/>
                <w:w w:val="95"/>
                <w:sz w:val="15"/>
              </w:rPr>
              <w:t xml:space="preserve"> </w:t>
            </w:r>
            <w:r>
              <w:rPr>
                <w:color w:val="231F20"/>
                <w:w w:val="95"/>
                <w:sz w:val="15"/>
              </w:rPr>
              <w:t>of</w:t>
            </w:r>
            <w:r>
              <w:rPr>
                <w:color w:val="231F20"/>
                <w:spacing w:val="-19"/>
                <w:w w:val="95"/>
                <w:sz w:val="15"/>
              </w:rPr>
              <w:t xml:space="preserve"> </w:t>
            </w:r>
            <w:r>
              <w:rPr>
                <w:color w:val="231F20"/>
                <w:w w:val="95"/>
                <w:sz w:val="15"/>
              </w:rPr>
              <w:t>NCD</w:t>
            </w:r>
            <w:r>
              <w:rPr>
                <w:color w:val="231F20"/>
                <w:spacing w:val="-18"/>
                <w:w w:val="95"/>
                <w:sz w:val="15"/>
              </w:rPr>
              <w:t xml:space="preserve"> </w:t>
            </w:r>
            <w:r>
              <w:rPr>
                <w:color w:val="231F20"/>
                <w:w w:val="95"/>
                <w:sz w:val="15"/>
              </w:rPr>
              <w:t>services</w:t>
            </w:r>
            <w:r>
              <w:rPr>
                <w:color w:val="231F20"/>
                <w:spacing w:val="-18"/>
                <w:w w:val="95"/>
                <w:sz w:val="15"/>
              </w:rPr>
              <w:t xml:space="preserve"> </w:t>
            </w:r>
            <w:r>
              <w:rPr>
                <w:color w:val="231F20"/>
                <w:w w:val="95"/>
                <w:sz w:val="15"/>
              </w:rPr>
              <w:t>in</w:t>
            </w:r>
            <w:r>
              <w:rPr>
                <w:color w:val="231F20"/>
                <w:spacing w:val="-19"/>
                <w:w w:val="95"/>
                <w:sz w:val="15"/>
              </w:rPr>
              <w:t xml:space="preserve"> </w:t>
            </w:r>
            <w:r>
              <w:rPr>
                <w:color w:val="231F20"/>
                <w:w w:val="95"/>
                <w:sz w:val="15"/>
              </w:rPr>
              <w:t>the</w:t>
            </w:r>
            <w:r>
              <w:rPr>
                <w:color w:val="231F20"/>
                <w:spacing w:val="-18"/>
                <w:w w:val="95"/>
                <w:sz w:val="15"/>
              </w:rPr>
              <w:t xml:space="preserve"> </w:t>
            </w:r>
            <w:r>
              <w:rPr>
                <w:color w:val="231F20"/>
                <w:w w:val="95"/>
                <w:sz w:val="15"/>
              </w:rPr>
              <w:t>state.</w:t>
            </w:r>
          </w:p>
        </w:tc>
        <w:tc>
          <w:tcPr>
            <w:tcW w:w="1495" w:type="dxa"/>
          </w:tcPr>
          <w:p w14:paraId="7D23B37A" w14:textId="77777777" w:rsidR="009948F1" w:rsidRDefault="009948F1">
            <w:pPr>
              <w:pStyle w:val="TableParagraph"/>
              <w:rPr>
                <w:sz w:val="14"/>
              </w:rPr>
            </w:pPr>
          </w:p>
          <w:p w14:paraId="5DA93BF7" w14:textId="77777777" w:rsidR="009948F1" w:rsidRDefault="009948F1">
            <w:pPr>
              <w:pStyle w:val="TableParagraph"/>
              <w:spacing w:before="1"/>
              <w:rPr>
                <w:sz w:val="12"/>
              </w:rPr>
            </w:pPr>
          </w:p>
          <w:p w14:paraId="406E5B41" w14:textId="77777777" w:rsidR="009948F1" w:rsidRDefault="00BC0563">
            <w:pPr>
              <w:pStyle w:val="TableParagraph"/>
              <w:ind w:left="26"/>
              <w:rPr>
                <w:sz w:val="15"/>
              </w:rPr>
            </w:pPr>
            <w:r>
              <w:rPr>
                <w:color w:val="231F20"/>
                <w:w w:val="95"/>
                <w:sz w:val="15"/>
              </w:rPr>
              <w:t>Lack of funds</w:t>
            </w:r>
          </w:p>
        </w:tc>
        <w:tc>
          <w:tcPr>
            <w:tcW w:w="1577" w:type="dxa"/>
          </w:tcPr>
          <w:p w14:paraId="64AFB55C" w14:textId="77777777" w:rsidR="009948F1" w:rsidRDefault="009948F1">
            <w:pPr>
              <w:pStyle w:val="TableParagraph"/>
              <w:rPr>
                <w:sz w:val="14"/>
              </w:rPr>
            </w:pPr>
          </w:p>
          <w:p w14:paraId="43CD8814" w14:textId="77777777" w:rsidR="009948F1" w:rsidRDefault="009948F1">
            <w:pPr>
              <w:pStyle w:val="TableParagraph"/>
              <w:spacing w:before="1"/>
              <w:rPr>
                <w:sz w:val="12"/>
              </w:rPr>
            </w:pPr>
          </w:p>
          <w:p w14:paraId="3EEA3232" w14:textId="77777777" w:rsidR="009948F1" w:rsidRDefault="00BC0563">
            <w:pPr>
              <w:pStyle w:val="TableParagraph"/>
              <w:ind w:left="27"/>
              <w:rPr>
                <w:sz w:val="15"/>
              </w:rPr>
            </w:pPr>
            <w:r>
              <w:rPr>
                <w:color w:val="231F20"/>
                <w:w w:val="95"/>
                <w:sz w:val="15"/>
              </w:rPr>
              <w:t>Conduct campaign</w:t>
            </w:r>
          </w:p>
        </w:tc>
      </w:tr>
      <w:tr w:rsidR="009948F1" w14:paraId="093B1019" w14:textId="77777777">
        <w:trPr>
          <w:trHeight w:val="507"/>
        </w:trPr>
        <w:tc>
          <w:tcPr>
            <w:tcW w:w="480" w:type="dxa"/>
            <w:vMerge/>
            <w:tcBorders>
              <w:top w:val="nil"/>
              <w:left w:val="single" w:sz="8" w:space="0" w:color="231F20"/>
              <w:bottom w:val="single" w:sz="8" w:space="0" w:color="231F20"/>
            </w:tcBorders>
          </w:tcPr>
          <w:p w14:paraId="0F3B49D6" w14:textId="77777777" w:rsidR="009948F1" w:rsidRDefault="009948F1">
            <w:pPr>
              <w:rPr>
                <w:sz w:val="2"/>
                <w:szCs w:val="2"/>
              </w:rPr>
            </w:pPr>
          </w:p>
        </w:tc>
        <w:tc>
          <w:tcPr>
            <w:tcW w:w="551" w:type="dxa"/>
            <w:tcBorders>
              <w:bottom w:val="single" w:sz="12" w:space="0" w:color="231F20"/>
            </w:tcBorders>
          </w:tcPr>
          <w:p w14:paraId="708C40C6" w14:textId="77777777" w:rsidR="009948F1" w:rsidRDefault="009948F1">
            <w:pPr>
              <w:pStyle w:val="TableParagraph"/>
              <w:spacing w:before="10"/>
              <w:rPr>
                <w:sz w:val="14"/>
              </w:rPr>
            </w:pPr>
          </w:p>
          <w:p w14:paraId="4F9DE84F" w14:textId="77777777" w:rsidR="009948F1" w:rsidRDefault="00BC0563">
            <w:pPr>
              <w:pStyle w:val="TableParagraph"/>
              <w:spacing w:before="1"/>
              <w:ind w:left="88"/>
              <w:rPr>
                <w:sz w:val="15"/>
              </w:rPr>
            </w:pPr>
            <w:r>
              <w:rPr>
                <w:color w:val="231F20"/>
                <w:w w:val="90"/>
                <w:sz w:val="15"/>
              </w:rPr>
              <w:t>6.1.7.b</w:t>
            </w:r>
          </w:p>
        </w:tc>
        <w:tc>
          <w:tcPr>
            <w:tcW w:w="5129" w:type="dxa"/>
            <w:gridSpan w:val="2"/>
            <w:tcBorders>
              <w:bottom w:val="single" w:sz="12" w:space="0" w:color="231F20"/>
            </w:tcBorders>
          </w:tcPr>
          <w:p w14:paraId="77E60C9E" w14:textId="456ED6F6" w:rsidR="009948F1" w:rsidRDefault="00BC0563">
            <w:pPr>
              <w:pStyle w:val="TableParagraph"/>
              <w:spacing w:before="72" w:line="256" w:lineRule="auto"/>
              <w:ind w:left="26" w:right="254"/>
              <w:rPr>
                <w:sz w:val="15"/>
              </w:rPr>
            </w:pPr>
            <w:r>
              <w:rPr>
                <w:color w:val="231F20"/>
                <w:w w:val="90"/>
                <w:sz w:val="15"/>
              </w:rPr>
              <w:t>Provide</w:t>
            </w:r>
            <w:r>
              <w:rPr>
                <w:color w:val="231F20"/>
                <w:spacing w:val="-15"/>
                <w:w w:val="90"/>
                <w:sz w:val="15"/>
              </w:rPr>
              <w:t xml:space="preserve"> </w:t>
            </w:r>
            <w:r>
              <w:rPr>
                <w:color w:val="231F20"/>
                <w:w w:val="90"/>
                <w:sz w:val="15"/>
              </w:rPr>
              <w:t>free</w:t>
            </w:r>
            <w:r>
              <w:rPr>
                <w:color w:val="231F20"/>
                <w:spacing w:val="-26"/>
                <w:w w:val="90"/>
                <w:sz w:val="15"/>
              </w:rPr>
              <w:t xml:space="preserve"> </w:t>
            </w:r>
            <w:r>
              <w:rPr>
                <w:color w:val="231F20"/>
                <w:w w:val="90"/>
                <w:sz w:val="15"/>
              </w:rPr>
              <w:t>NCD</w:t>
            </w:r>
            <w:r>
              <w:rPr>
                <w:color w:val="231F20"/>
                <w:spacing w:val="-26"/>
                <w:w w:val="90"/>
                <w:sz w:val="15"/>
              </w:rPr>
              <w:t xml:space="preserve"> </w:t>
            </w:r>
            <w:r>
              <w:rPr>
                <w:color w:val="231F20"/>
                <w:w w:val="90"/>
                <w:sz w:val="15"/>
              </w:rPr>
              <w:t>screening</w:t>
            </w:r>
            <w:r>
              <w:rPr>
                <w:color w:val="231F20"/>
                <w:spacing w:val="-26"/>
                <w:w w:val="90"/>
                <w:sz w:val="15"/>
              </w:rPr>
              <w:t xml:space="preserve"> </w:t>
            </w:r>
            <w:r>
              <w:rPr>
                <w:color w:val="231F20"/>
                <w:w w:val="90"/>
                <w:sz w:val="15"/>
              </w:rPr>
              <w:t>services</w:t>
            </w:r>
            <w:r>
              <w:rPr>
                <w:color w:val="231F20"/>
                <w:spacing w:val="-14"/>
                <w:w w:val="90"/>
                <w:sz w:val="15"/>
              </w:rPr>
              <w:t xml:space="preserve"> </w:t>
            </w:r>
            <w:r>
              <w:rPr>
                <w:color w:val="231F20"/>
                <w:w w:val="90"/>
                <w:sz w:val="15"/>
              </w:rPr>
              <w:t>at</w:t>
            </w:r>
            <w:r>
              <w:rPr>
                <w:color w:val="231F20"/>
                <w:spacing w:val="-26"/>
                <w:w w:val="90"/>
                <w:sz w:val="15"/>
              </w:rPr>
              <w:t xml:space="preserve"> </w:t>
            </w:r>
            <w:r>
              <w:rPr>
                <w:color w:val="231F20"/>
                <w:w w:val="90"/>
                <w:sz w:val="15"/>
              </w:rPr>
              <w:t>five</w:t>
            </w:r>
            <w:r>
              <w:rPr>
                <w:color w:val="231F20"/>
                <w:spacing w:val="-27"/>
                <w:w w:val="90"/>
                <w:sz w:val="15"/>
              </w:rPr>
              <w:t xml:space="preserve"> </w:t>
            </w:r>
            <w:proofErr w:type="gramStart"/>
            <w:r>
              <w:rPr>
                <w:color w:val="231F20"/>
                <w:w w:val="90"/>
                <w:sz w:val="15"/>
              </w:rPr>
              <w:t>designated</w:t>
            </w:r>
            <w:r w:rsidR="00683F0D">
              <w:rPr>
                <w:color w:val="231F20"/>
                <w:w w:val="90"/>
                <w:sz w:val="15"/>
              </w:rPr>
              <w:t xml:space="preserve"> </w:t>
            </w:r>
            <w:r>
              <w:rPr>
                <w:color w:val="231F20"/>
                <w:spacing w:val="-26"/>
                <w:w w:val="90"/>
                <w:sz w:val="15"/>
              </w:rPr>
              <w:t xml:space="preserve"> </w:t>
            </w:r>
            <w:proofErr w:type="spellStart"/>
            <w:r>
              <w:rPr>
                <w:color w:val="231F20"/>
                <w:w w:val="90"/>
                <w:sz w:val="15"/>
              </w:rPr>
              <w:t>centres</w:t>
            </w:r>
            <w:proofErr w:type="spellEnd"/>
            <w:proofErr w:type="gramEnd"/>
            <w:r w:rsidR="00DA4239">
              <w:rPr>
                <w:color w:val="231F20"/>
                <w:w w:val="90"/>
                <w:sz w:val="15"/>
              </w:rPr>
              <w:t xml:space="preserve"> </w:t>
            </w:r>
            <w:r>
              <w:rPr>
                <w:color w:val="231F20"/>
                <w:spacing w:val="-26"/>
                <w:w w:val="90"/>
                <w:sz w:val="15"/>
              </w:rPr>
              <w:t xml:space="preserve"> </w:t>
            </w:r>
            <w:r>
              <w:rPr>
                <w:color w:val="231F20"/>
                <w:w w:val="90"/>
                <w:sz w:val="15"/>
              </w:rPr>
              <w:t>in</w:t>
            </w:r>
            <w:r>
              <w:rPr>
                <w:color w:val="231F20"/>
                <w:spacing w:val="-26"/>
                <w:w w:val="90"/>
                <w:sz w:val="15"/>
              </w:rPr>
              <w:t xml:space="preserve"> </w:t>
            </w:r>
            <w:proofErr w:type="spellStart"/>
            <w:r>
              <w:rPr>
                <w:color w:val="231F20"/>
                <w:w w:val="90"/>
                <w:sz w:val="15"/>
              </w:rPr>
              <w:t>the</w:t>
            </w:r>
            <w:r w:rsidR="00DA4239">
              <w:rPr>
                <w:color w:val="231F20"/>
                <w:spacing w:val="-26"/>
                <w:w w:val="90"/>
                <w:sz w:val="15"/>
              </w:rPr>
              <w:t>S</w:t>
            </w:r>
            <w:r>
              <w:rPr>
                <w:color w:val="231F20"/>
                <w:w w:val="90"/>
                <w:sz w:val="15"/>
              </w:rPr>
              <w:t>tate</w:t>
            </w:r>
            <w:proofErr w:type="spellEnd"/>
            <w:r>
              <w:rPr>
                <w:color w:val="231F20"/>
                <w:w w:val="90"/>
                <w:sz w:val="15"/>
              </w:rPr>
              <w:t>.</w:t>
            </w:r>
            <w:r>
              <w:rPr>
                <w:color w:val="231F20"/>
                <w:spacing w:val="-14"/>
                <w:w w:val="90"/>
                <w:sz w:val="15"/>
              </w:rPr>
              <w:t xml:space="preserve"> </w:t>
            </w:r>
            <w:proofErr w:type="spellStart"/>
            <w:r>
              <w:rPr>
                <w:color w:val="231F20"/>
                <w:w w:val="90"/>
                <w:sz w:val="15"/>
              </w:rPr>
              <w:t>Centres</w:t>
            </w:r>
            <w:proofErr w:type="spellEnd"/>
            <w:r>
              <w:rPr>
                <w:color w:val="231F20"/>
                <w:spacing w:val="-26"/>
                <w:w w:val="90"/>
                <w:sz w:val="15"/>
              </w:rPr>
              <w:t xml:space="preserve"> </w:t>
            </w:r>
            <w:r>
              <w:rPr>
                <w:color w:val="231F20"/>
                <w:w w:val="90"/>
                <w:sz w:val="15"/>
              </w:rPr>
              <w:t xml:space="preserve">- </w:t>
            </w:r>
            <w:r>
              <w:rPr>
                <w:color w:val="231F20"/>
                <w:w w:val="95"/>
                <w:sz w:val="15"/>
              </w:rPr>
              <w:t>PH.,</w:t>
            </w:r>
            <w:r>
              <w:rPr>
                <w:color w:val="231F20"/>
                <w:spacing w:val="-10"/>
                <w:w w:val="95"/>
                <w:sz w:val="15"/>
              </w:rPr>
              <w:t xml:space="preserve"> </w:t>
            </w:r>
            <w:proofErr w:type="spellStart"/>
            <w:r>
              <w:rPr>
                <w:color w:val="231F20"/>
                <w:w w:val="95"/>
                <w:sz w:val="15"/>
              </w:rPr>
              <w:t>Bori</w:t>
            </w:r>
            <w:proofErr w:type="spellEnd"/>
            <w:r>
              <w:rPr>
                <w:color w:val="231F20"/>
                <w:w w:val="95"/>
                <w:sz w:val="15"/>
              </w:rPr>
              <w:t>,</w:t>
            </w:r>
            <w:r>
              <w:rPr>
                <w:color w:val="231F20"/>
                <w:spacing w:val="-15"/>
                <w:w w:val="95"/>
                <w:sz w:val="15"/>
              </w:rPr>
              <w:t xml:space="preserve"> </w:t>
            </w:r>
            <w:proofErr w:type="spellStart"/>
            <w:r>
              <w:rPr>
                <w:color w:val="231F20"/>
                <w:w w:val="95"/>
                <w:sz w:val="15"/>
              </w:rPr>
              <w:t>Ahoada</w:t>
            </w:r>
            <w:proofErr w:type="spellEnd"/>
            <w:r>
              <w:rPr>
                <w:color w:val="231F20"/>
                <w:w w:val="95"/>
                <w:sz w:val="15"/>
              </w:rPr>
              <w:t>,</w:t>
            </w:r>
            <w:r>
              <w:rPr>
                <w:color w:val="231F20"/>
                <w:spacing w:val="-10"/>
                <w:w w:val="95"/>
                <w:sz w:val="15"/>
              </w:rPr>
              <w:t xml:space="preserve"> </w:t>
            </w:r>
            <w:proofErr w:type="spellStart"/>
            <w:r>
              <w:rPr>
                <w:color w:val="231F20"/>
                <w:w w:val="95"/>
                <w:sz w:val="15"/>
              </w:rPr>
              <w:t>Oyigbo</w:t>
            </w:r>
            <w:proofErr w:type="spellEnd"/>
            <w:r>
              <w:rPr>
                <w:color w:val="231F20"/>
                <w:w w:val="95"/>
                <w:sz w:val="15"/>
              </w:rPr>
              <w:t>,</w:t>
            </w:r>
            <w:r>
              <w:rPr>
                <w:color w:val="231F20"/>
                <w:spacing w:val="-15"/>
                <w:w w:val="95"/>
                <w:sz w:val="15"/>
              </w:rPr>
              <w:t xml:space="preserve"> </w:t>
            </w:r>
            <w:proofErr w:type="spellStart"/>
            <w:r>
              <w:rPr>
                <w:color w:val="231F20"/>
                <w:w w:val="95"/>
                <w:sz w:val="15"/>
              </w:rPr>
              <w:t>Abua</w:t>
            </w:r>
            <w:proofErr w:type="spellEnd"/>
            <w:r>
              <w:rPr>
                <w:color w:val="231F20"/>
                <w:spacing w:val="-10"/>
                <w:w w:val="95"/>
                <w:sz w:val="15"/>
              </w:rPr>
              <w:t xml:space="preserve"> </w:t>
            </w:r>
            <w:r>
              <w:rPr>
                <w:color w:val="231F20"/>
                <w:w w:val="95"/>
                <w:sz w:val="15"/>
              </w:rPr>
              <w:t>central.</w:t>
            </w:r>
          </w:p>
        </w:tc>
        <w:tc>
          <w:tcPr>
            <w:tcW w:w="1495" w:type="dxa"/>
            <w:tcBorders>
              <w:bottom w:val="single" w:sz="12" w:space="0" w:color="231F20"/>
            </w:tcBorders>
          </w:tcPr>
          <w:p w14:paraId="4F7EF525" w14:textId="77777777" w:rsidR="009948F1" w:rsidRDefault="009948F1">
            <w:pPr>
              <w:pStyle w:val="TableParagraph"/>
              <w:spacing w:before="10"/>
              <w:rPr>
                <w:sz w:val="14"/>
              </w:rPr>
            </w:pPr>
          </w:p>
          <w:p w14:paraId="548F6E12" w14:textId="77777777" w:rsidR="009948F1" w:rsidRDefault="00BC0563">
            <w:pPr>
              <w:pStyle w:val="TableParagraph"/>
              <w:spacing w:before="1"/>
              <w:ind w:left="26"/>
              <w:rPr>
                <w:sz w:val="15"/>
              </w:rPr>
            </w:pPr>
            <w:r>
              <w:rPr>
                <w:color w:val="231F20"/>
                <w:w w:val="95"/>
                <w:sz w:val="15"/>
              </w:rPr>
              <w:t>Lack of funds</w:t>
            </w:r>
          </w:p>
        </w:tc>
        <w:tc>
          <w:tcPr>
            <w:tcW w:w="1577" w:type="dxa"/>
            <w:tcBorders>
              <w:bottom w:val="single" w:sz="12" w:space="0" w:color="231F20"/>
            </w:tcBorders>
          </w:tcPr>
          <w:p w14:paraId="1D7E9C61" w14:textId="77777777" w:rsidR="009948F1" w:rsidRDefault="009948F1">
            <w:pPr>
              <w:pStyle w:val="TableParagraph"/>
              <w:spacing w:before="10"/>
              <w:rPr>
                <w:sz w:val="14"/>
              </w:rPr>
            </w:pPr>
          </w:p>
          <w:p w14:paraId="1D420809" w14:textId="77777777" w:rsidR="009948F1" w:rsidRDefault="00BC0563">
            <w:pPr>
              <w:pStyle w:val="TableParagraph"/>
              <w:spacing w:before="1"/>
              <w:ind w:left="27"/>
              <w:rPr>
                <w:sz w:val="15"/>
              </w:rPr>
            </w:pPr>
            <w:r>
              <w:rPr>
                <w:color w:val="231F20"/>
                <w:w w:val="95"/>
                <w:sz w:val="15"/>
              </w:rPr>
              <w:t>Provide free NCD</w:t>
            </w:r>
          </w:p>
        </w:tc>
      </w:tr>
    </w:tbl>
    <w:p w14:paraId="39E545DB" w14:textId="77777777" w:rsidR="009948F1" w:rsidRDefault="009948F1">
      <w:pPr>
        <w:rPr>
          <w:sz w:val="15"/>
        </w:rPr>
        <w:sectPr w:rsidR="009948F1">
          <w:footerReference w:type="default" r:id="rId37"/>
          <w:pgSz w:w="11910" w:h="16840"/>
          <w:pgMar w:top="1300" w:right="1080" w:bottom="1340" w:left="1120" w:header="0" w:footer="1155" w:gutter="0"/>
          <w:pgNumType w:start="145"/>
          <w:cols w:space="720"/>
        </w:sectPr>
      </w:pPr>
    </w:p>
    <w:tbl>
      <w:tblPr>
        <w:tblW w:w="0" w:type="auto"/>
        <w:tblInd w:w="1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6"/>
        <w:gridCol w:w="462"/>
        <w:gridCol w:w="534"/>
        <w:gridCol w:w="2547"/>
        <w:gridCol w:w="2418"/>
        <w:gridCol w:w="1447"/>
        <w:gridCol w:w="1526"/>
      </w:tblGrid>
      <w:tr w:rsidR="009948F1" w14:paraId="4926BF02" w14:textId="77777777">
        <w:trPr>
          <w:trHeight w:val="481"/>
        </w:trPr>
        <w:tc>
          <w:tcPr>
            <w:tcW w:w="416" w:type="dxa"/>
            <w:shd w:val="clear" w:color="auto" w:fill="FFF200"/>
          </w:tcPr>
          <w:p w14:paraId="2BB5B3EF" w14:textId="77777777" w:rsidR="009948F1" w:rsidRDefault="009948F1">
            <w:pPr>
              <w:pStyle w:val="TableParagraph"/>
              <w:spacing w:before="4"/>
              <w:rPr>
                <w:sz w:val="13"/>
              </w:rPr>
            </w:pPr>
          </w:p>
          <w:p w14:paraId="74C49556" w14:textId="77777777" w:rsidR="009948F1" w:rsidRDefault="00BC0563">
            <w:pPr>
              <w:pStyle w:val="TableParagraph"/>
              <w:ind w:right="35"/>
              <w:jc w:val="right"/>
              <w:rPr>
                <w:b/>
                <w:sz w:val="15"/>
              </w:rPr>
            </w:pPr>
            <w:bookmarkStart w:id="173" w:name="Page_147"/>
            <w:bookmarkEnd w:id="173"/>
            <w:r>
              <w:rPr>
                <w:b/>
                <w:color w:val="231F20"/>
                <w:w w:val="80"/>
                <w:sz w:val="15"/>
              </w:rPr>
              <w:t>6.2</w:t>
            </w:r>
          </w:p>
        </w:tc>
        <w:tc>
          <w:tcPr>
            <w:tcW w:w="5961" w:type="dxa"/>
            <w:gridSpan w:val="4"/>
            <w:tcBorders>
              <w:right w:val="single" w:sz="8" w:space="0" w:color="231F20"/>
            </w:tcBorders>
            <w:shd w:val="clear" w:color="auto" w:fill="FFF200"/>
          </w:tcPr>
          <w:p w14:paraId="34A20951" w14:textId="77777777" w:rsidR="009948F1" w:rsidRDefault="009948F1">
            <w:pPr>
              <w:pStyle w:val="TableParagraph"/>
              <w:spacing w:before="9"/>
              <w:rPr>
                <w:sz w:val="12"/>
              </w:rPr>
            </w:pPr>
          </w:p>
          <w:p w14:paraId="474C32AE" w14:textId="77777777" w:rsidR="009948F1" w:rsidRDefault="00BC0563">
            <w:pPr>
              <w:pStyle w:val="TableParagraph"/>
              <w:ind w:left="58"/>
              <w:rPr>
                <w:b/>
                <w:sz w:val="15"/>
              </w:rPr>
            </w:pPr>
            <w:r>
              <w:rPr>
                <w:b/>
                <w:color w:val="231F20"/>
                <w:w w:val="90"/>
                <w:sz w:val="15"/>
              </w:rPr>
              <w:t>Promote the health and wellbeing of the elderly in Nigeria</w:t>
            </w:r>
          </w:p>
        </w:tc>
        <w:tc>
          <w:tcPr>
            <w:tcW w:w="2973" w:type="dxa"/>
            <w:gridSpan w:val="2"/>
            <w:tcBorders>
              <w:left w:val="single" w:sz="8" w:space="0" w:color="231F20"/>
            </w:tcBorders>
            <w:shd w:val="clear" w:color="auto" w:fill="FFF200"/>
          </w:tcPr>
          <w:p w14:paraId="51411746" w14:textId="77777777" w:rsidR="009948F1" w:rsidRDefault="009948F1">
            <w:pPr>
              <w:pStyle w:val="TableParagraph"/>
              <w:rPr>
                <w:rFonts w:ascii="Times New Roman"/>
                <w:sz w:val="12"/>
              </w:rPr>
            </w:pPr>
          </w:p>
        </w:tc>
      </w:tr>
      <w:tr w:rsidR="009948F1" w14:paraId="05EAB4AF" w14:textId="77777777">
        <w:trPr>
          <w:trHeight w:val="1157"/>
        </w:trPr>
        <w:tc>
          <w:tcPr>
            <w:tcW w:w="416" w:type="dxa"/>
            <w:tcBorders>
              <w:left w:val="single" w:sz="8" w:space="0" w:color="231F20"/>
              <w:bottom w:val="nil"/>
            </w:tcBorders>
          </w:tcPr>
          <w:p w14:paraId="6E7A7CC0" w14:textId="77777777" w:rsidR="009948F1" w:rsidRDefault="009948F1">
            <w:pPr>
              <w:pStyle w:val="TableParagraph"/>
              <w:rPr>
                <w:rFonts w:ascii="Times New Roman"/>
                <w:sz w:val="12"/>
              </w:rPr>
            </w:pPr>
          </w:p>
        </w:tc>
        <w:tc>
          <w:tcPr>
            <w:tcW w:w="462" w:type="dxa"/>
            <w:shd w:val="clear" w:color="auto" w:fill="CCE7D3"/>
          </w:tcPr>
          <w:p w14:paraId="6C10C776" w14:textId="77777777" w:rsidR="009948F1" w:rsidRDefault="009948F1">
            <w:pPr>
              <w:pStyle w:val="TableParagraph"/>
              <w:rPr>
                <w:sz w:val="14"/>
              </w:rPr>
            </w:pPr>
          </w:p>
          <w:p w14:paraId="5AC0E17E" w14:textId="77777777" w:rsidR="009948F1" w:rsidRDefault="009948F1">
            <w:pPr>
              <w:pStyle w:val="TableParagraph"/>
              <w:rPr>
                <w:sz w:val="14"/>
              </w:rPr>
            </w:pPr>
          </w:p>
          <w:p w14:paraId="349780B5" w14:textId="77777777" w:rsidR="009948F1" w:rsidRDefault="009948F1">
            <w:pPr>
              <w:pStyle w:val="TableParagraph"/>
              <w:spacing w:before="6"/>
              <w:rPr>
                <w:sz w:val="14"/>
              </w:rPr>
            </w:pPr>
          </w:p>
          <w:p w14:paraId="333162BE" w14:textId="77777777" w:rsidR="009948F1" w:rsidRDefault="00BC0563">
            <w:pPr>
              <w:pStyle w:val="TableParagraph"/>
              <w:ind w:left="58"/>
              <w:rPr>
                <w:sz w:val="15"/>
              </w:rPr>
            </w:pPr>
            <w:r>
              <w:rPr>
                <w:color w:val="231F20"/>
                <w:w w:val="90"/>
                <w:sz w:val="15"/>
              </w:rPr>
              <w:t>6.2.1</w:t>
            </w:r>
          </w:p>
        </w:tc>
        <w:tc>
          <w:tcPr>
            <w:tcW w:w="3081" w:type="dxa"/>
            <w:gridSpan w:val="2"/>
            <w:shd w:val="clear" w:color="auto" w:fill="CCE7D3"/>
          </w:tcPr>
          <w:p w14:paraId="08A5D557" w14:textId="77777777" w:rsidR="009948F1" w:rsidRDefault="009948F1">
            <w:pPr>
              <w:pStyle w:val="TableParagraph"/>
              <w:rPr>
                <w:sz w:val="14"/>
              </w:rPr>
            </w:pPr>
          </w:p>
          <w:p w14:paraId="5CF61490" w14:textId="77777777" w:rsidR="009948F1" w:rsidRDefault="009948F1">
            <w:pPr>
              <w:pStyle w:val="TableParagraph"/>
              <w:spacing w:before="9"/>
              <w:rPr>
                <w:sz w:val="19"/>
              </w:rPr>
            </w:pPr>
          </w:p>
          <w:p w14:paraId="677FCDB9" w14:textId="77777777" w:rsidR="009948F1" w:rsidRDefault="00BC0563">
            <w:pPr>
              <w:pStyle w:val="TableParagraph"/>
              <w:spacing w:line="264" w:lineRule="auto"/>
              <w:ind w:left="24" w:right="100" w:firstLine="33"/>
              <w:rPr>
                <w:sz w:val="15"/>
              </w:rPr>
            </w:pPr>
            <w:r>
              <w:rPr>
                <w:color w:val="231F20"/>
                <w:w w:val="90"/>
                <w:sz w:val="15"/>
              </w:rPr>
              <w:t xml:space="preserve">Promote generation of evidence for planning, </w:t>
            </w:r>
            <w:r>
              <w:rPr>
                <w:color w:val="231F20"/>
                <w:w w:val="80"/>
                <w:sz w:val="15"/>
              </w:rPr>
              <w:t>implementation and monitoring of geriatric services</w:t>
            </w:r>
          </w:p>
        </w:tc>
        <w:tc>
          <w:tcPr>
            <w:tcW w:w="2418" w:type="dxa"/>
            <w:shd w:val="clear" w:color="auto" w:fill="CCE7D3"/>
          </w:tcPr>
          <w:p w14:paraId="2D042440" w14:textId="77777777" w:rsidR="009948F1" w:rsidRDefault="00BC0563">
            <w:pPr>
              <w:pStyle w:val="TableParagraph"/>
              <w:numPr>
                <w:ilvl w:val="0"/>
                <w:numId w:val="129"/>
              </w:numPr>
              <w:tabs>
                <w:tab w:val="left" w:pos="100"/>
              </w:tabs>
              <w:spacing w:line="264" w:lineRule="auto"/>
              <w:ind w:right="19" w:firstLine="0"/>
              <w:rPr>
                <w:sz w:val="15"/>
              </w:rPr>
            </w:pPr>
            <w:r>
              <w:rPr>
                <w:color w:val="231F20"/>
                <w:w w:val="85"/>
                <w:sz w:val="15"/>
              </w:rPr>
              <w:t>Community</w:t>
            </w:r>
            <w:r>
              <w:rPr>
                <w:color w:val="231F20"/>
                <w:spacing w:val="-23"/>
                <w:w w:val="85"/>
                <w:sz w:val="15"/>
              </w:rPr>
              <w:t xml:space="preserve"> </w:t>
            </w:r>
            <w:r>
              <w:rPr>
                <w:color w:val="231F20"/>
                <w:w w:val="85"/>
                <w:sz w:val="15"/>
              </w:rPr>
              <w:t>survey</w:t>
            </w:r>
            <w:r>
              <w:rPr>
                <w:color w:val="231F20"/>
                <w:spacing w:val="-23"/>
                <w:w w:val="85"/>
                <w:sz w:val="15"/>
              </w:rPr>
              <w:t xml:space="preserve"> </w:t>
            </w:r>
            <w:r>
              <w:rPr>
                <w:color w:val="231F20"/>
                <w:w w:val="85"/>
                <w:sz w:val="15"/>
              </w:rPr>
              <w:t>in</w:t>
            </w:r>
            <w:r>
              <w:rPr>
                <w:color w:val="231F20"/>
                <w:spacing w:val="-22"/>
                <w:w w:val="85"/>
                <w:sz w:val="15"/>
              </w:rPr>
              <w:t xml:space="preserve"> </w:t>
            </w:r>
            <w:r>
              <w:rPr>
                <w:color w:val="231F20"/>
                <w:w w:val="85"/>
                <w:sz w:val="15"/>
              </w:rPr>
              <w:t>23</w:t>
            </w:r>
            <w:r>
              <w:rPr>
                <w:color w:val="231F20"/>
                <w:spacing w:val="-23"/>
                <w:w w:val="85"/>
                <w:sz w:val="15"/>
              </w:rPr>
              <w:t xml:space="preserve"> </w:t>
            </w:r>
            <w:r>
              <w:rPr>
                <w:color w:val="231F20"/>
                <w:w w:val="85"/>
                <w:sz w:val="15"/>
              </w:rPr>
              <w:t>LGAs</w:t>
            </w:r>
            <w:r>
              <w:rPr>
                <w:color w:val="231F20"/>
                <w:spacing w:val="-23"/>
                <w:w w:val="85"/>
                <w:sz w:val="15"/>
              </w:rPr>
              <w:t xml:space="preserve"> </w:t>
            </w:r>
            <w:r>
              <w:rPr>
                <w:color w:val="231F20"/>
                <w:w w:val="85"/>
                <w:sz w:val="15"/>
              </w:rPr>
              <w:t>to</w:t>
            </w:r>
            <w:r>
              <w:rPr>
                <w:color w:val="231F20"/>
                <w:spacing w:val="-22"/>
                <w:w w:val="85"/>
                <w:sz w:val="15"/>
              </w:rPr>
              <w:t xml:space="preserve"> </w:t>
            </w:r>
            <w:r>
              <w:rPr>
                <w:color w:val="231F20"/>
                <w:w w:val="85"/>
                <w:sz w:val="15"/>
              </w:rPr>
              <w:t xml:space="preserve">ascertain </w:t>
            </w:r>
            <w:r>
              <w:rPr>
                <w:color w:val="231F20"/>
                <w:w w:val="90"/>
                <w:sz w:val="15"/>
              </w:rPr>
              <w:t xml:space="preserve">the proportion of geriatrics in the State carried out and reported planning, </w:t>
            </w:r>
            <w:r>
              <w:rPr>
                <w:color w:val="231F20"/>
                <w:w w:val="85"/>
                <w:sz w:val="15"/>
              </w:rPr>
              <w:t>implementation</w:t>
            </w:r>
            <w:r>
              <w:rPr>
                <w:color w:val="231F20"/>
                <w:spacing w:val="-20"/>
                <w:w w:val="85"/>
                <w:sz w:val="15"/>
              </w:rPr>
              <w:t xml:space="preserve"> </w:t>
            </w:r>
            <w:r>
              <w:rPr>
                <w:color w:val="231F20"/>
                <w:w w:val="85"/>
                <w:sz w:val="15"/>
              </w:rPr>
              <w:t>and</w:t>
            </w:r>
            <w:r>
              <w:rPr>
                <w:color w:val="231F20"/>
                <w:spacing w:val="-19"/>
                <w:w w:val="85"/>
                <w:sz w:val="15"/>
              </w:rPr>
              <w:t xml:space="preserve"> </w:t>
            </w:r>
            <w:r>
              <w:rPr>
                <w:color w:val="231F20"/>
                <w:w w:val="85"/>
                <w:sz w:val="15"/>
              </w:rPr>
              <w:t>monitoring</w:t>
            </w:r>
            <w:r>
              <w:rPr>
                <w:color w:val="231F20"/>
                <w:spacing w:val="-19"/>
                <w:w w:val="85"/>
                <w:sz w:val="15"/>
              </w:rPr>
              <w:t xml:space="preserve"> </w:t>
            </w:r>
            <w:r>
              <w:rPr>
                <w:color w:val="231F20"/>
                <w:w w:val="85"/>
                <w:sz w:val="15"/>
              </w:rPr>
              <w:t>of</w:t>
            </w:r>
            <w:r>
              <w:rPr>
                <w:color w:val="231F20"/>
                <w:spacing w:val="-19"/>
                <w:w w:val="85"/>
                <w:sz w:val="15"/>
              </w:rPr>
              <w:t xml:space="preserve"> </w:t>
            </w:r>
            <w:r>
              <w:rPr>
                <w:color w:val="231F20"/>
                <w:w w:val="85"/>
                <w:sz w:val="15"/>
              </w:rPr>
              <w:t xml:space="preserve">geriatric </w:t>
            </w:r>
            <w:r>
              <w:rPr>
                <w:color w:val="231F20"/>
                <w:w w:val="90"/>
                <w:sz w:val="15"/>
              </w:rPr>
              <w:t>services</w:t>
            </w:r>
          </w:p>
          <w:p w14:paraId="12EF7043" w14:textId="77777777" w:rsidR="009948F1" w:rsidRDefault="00BC0563">
            <w:pPr>
              <w:pStyle w:val="TableParagraph"/>
              <w:spacing w:line="170" w:lineRule="exact"/>
              <w:ind w:left="23"/>
              <w:rPr>
                <w:sz w:val="15"/>
              </w:rPr>
            </w:pPr>
            <w:r>
              <w:rPr>
                <w:color w:val="231F20"/>
                <w:w w:val="80"/>
                <w:sz w:val="15"/>
              </w:rPr>
              <w:t>•</w:t>
            </w:r>
          </w:p>
        </w:tc>
        <w:tc>
          <w:tcPr>
            <w:tcW w:w="1447" w:type="dxa"/>
            <w:shd w:val="clear" w:color="auto" w:fill="CCE7D3"/>
          </w:tcPr>
          <w:p w14:paraId="06B278FC" w14:textId="77777777" w:rsidR="009948F1" w:rsidRDefault="009948F1">
            <w:pPr>
              <w:pStyle w:val="TableParagraph"/>
              <w:rPr>
                <w:rFonts w:ascii="Times New Roman"/>
                <w:sz w:val="12"/>
              </w:rPr>
            </w:pPr>
          </w:p>
        </w:tc>
        <w:tc>
          <w:tcPr>
            <w:tcW w:w="1526" w:type="dxa"/>
            <w:shd w:val="clear" w:color="auto" w:fill="CCE7D3"/>
          </w:tcPr>
          <w:p w14:paraId="07D80955" w14:textId="77777777" w:rsidR="009948F1" w:rsidRDefault="009948F1">
            <w:pPr>
              <w:pStyle w:val="TableParagraph"/>
              <w:rPr>
                <w:rFonts w:ascii="Times New Roman"/>
                <w:sz w:val="12"/>
              </w:rPr>
            </w:pPr>
          </w:p>
        </w:tc>
      </w:tr>
      <w:tr w:rsidR="009948F1" w14:paraId="0BDCD41C" w14:textId="77777777">
        <w:trPr>
          <w:trHeight w:val="449"/>
        </w:trPr>
        <w:tc>
          <w:tcPr>
            <w:tcW w:w="878" w:type="dxa"/>
            <w:gridSpan w:val="2"/>
            <w:vMerge w:val="restart"/>
            <w:tcBorders>
              <w:top w:val="nil"/>
              <w:left w:val="single" w:sz="8" w:space="0" w:color="231F20"/>
              <w:bottom w:val="nil"/>
            </w:tcBorders>
          </w:tcPr>
          <w:p w14:paraId="182256E6" w14:textId="77777777" w:rsidR="009948F1" w:rsidRDefault="009948F1">
            <w:pPr>
              <w:pStyle w:val="TableParagraph"/>
              <w:rPr>
                <w:rFonts w:ascii="Times New Roman"/>
                <w:sz w:val="12"/>
              </w:rPr>
            </w:pPr>
          </w:p>
        </w:tc>
        <w:tc>
          <w:tcPr>
            <w:tcW w:w="534" w:type="dxa"/>
          </w:tcPr>
          <w:p w14:paraId="786C674E" w14:textId="77777777" w:rsidR="009948F1" w:rsidRDefault="009948F1">
            <w:pPr>
              <w:pStyle w:val="TableParagraph"/>
              <w:spacing w:before="8"/>
              <w:rPr>
                <w:sz w:val="11"/>
              </w:rPr>
            </w:pPr>
          </w:p>
          <w:p w14:paraId="71C40C8D" w14:textId="77777777" w:rsidR="009948F1" w:rsidRDefault="00BC0563">
            <w:pPr>
              <w:pStyle w:val="TableParagraph"/>
              <w:spacing w:before="1"/>
              <w:ind w:left="29" w:right="12"/>
              <w:jc w:val="center"/>
              <w:rPr>
                <w:sz w:val="15"/>
              </w:rPr>
            </w:pPr>
            <w:r>
              <w:rPr>
                <w:color w:val="231F20"/>
                <w:w w:val="85"/>
                <w:sz w:val="15"/>
              </w:rPr>
              <w:t>6.2.1.a</w:t>
            </w:r>
          </w:p>
        </w:tc>
        <w:tc>
          <w:tcPr>
            <w:tcW w:w="4965" w:type="dxa"/>
            <w:gridSpan w:val="2"/>
          </w:tcPr>
          <w:p w14:paraId="092268C0" w14:textId="5ED9B3CB" w:rsidR="009948F1" w:rsidRDefault="00BC0563">
            <w:pPr>
              <w:pStyle w:val="TableParagraph"/>
              <w:spacing w:line="208" w:lineRule="exact"/>
              <w:ind w:left="23"/>
              <w:rPr>
                <w:sz w:val="15"/>
              </w:rPr>
            </w:pPr>
            <w:r>
              <w:rPr>
                <w:color w:val="231F20"/>
                <w:w w:val="90"/>
                <w:sz w:val="15"/>
              </w:rPr>
              <w:t>Carry</w:t>
            </w:r>
            <w:r>
              <w:rPr>
                <w:color w:val="231F20"/>
                <w:spacing w:val="-24"/>
                <w:w w:val="90"/>
                <w:sz w:val="15"/>
              </w:rPr>
              <w:t xml:space="preserve"> </w:t>
            </w:r>
            <w:r>
              <w:rPr>
                <w:color w:val="231F20"/>
                <w:w w:val="90"/>
                <w:sz w:val="15"/>
              </w:rPr>
              <w:t>out</w:t>
            </w:r>
            <w:r>
              <w:rPr>
                <w:color w:val="231F20"/>
                <w:spacing w:val="-24"/>
                <w:w w:val="90"/>
                <w:sz w:val="15"/>
              </w:rPr>
              <w:t xml:space="preserve"> </w:t>
            </w:r>
            <w:r>
              <w:rPr>
                <w:color w:val="231F20"/>
                <w:w w:val="90"/>
                <w:sz w:val="15"/>
              </w:rPr>
              <w:t>community</w:t>
            </w:r>
            <w:r>
              <w:rPr>
                <w:color w:val="231F20"/>
                <w:spacing w:val="-24"/>
                <w:w w:val="90"/>
                <w:sz w:val="15"/>
              </w:rPr>
              <w:t xml:space="preserve"> </w:t>
            </w:r>
            <w:r>
              <w:rPr>
                <w:color w:val="231F20"/>
                <w:w w:val="90"/>
                <w:sz w:val="15"/>
              </w:rPr>
              <w:t>survey</w:t>
            </w:r>
            <w:r>
              <w:rPr>
                <w:color w:val="231F20"/>
                <w:spacing w:val="-24"/>
                <w:w w:val="90"/>
                <w:sz w:val="15"/>
              </w:rPr>
              <w:t xml:space="preserve"> </w:t>
            </w:r>
            <w:r>
              <w:rPr>
                <w:color w:val="231F20"/>
                <w:w w:val="90"/>
                <w:sz w:val="15"/>
              </w:rPr>
              <w:t>in</w:t>
            </w:r>
            <w:r>
              <w:rPr>
                <w:color w:val="231F20"/>
                <w:spacing w:val="-24"/>
                <w:w w:val="90"/>
                <w:sz w:val="15"/>
              </w:rPr>
              <w:t xml:space="preserve"> </w:t>
            </w:r>
            <w:r>
              <w:rPr>
                <w:color w:val="231F20"/>
                <w:w w:val="90"/>
                <w:sz w:val="15"/>
              </w:rPr>
              <w:t>23</w:t>
            </w:r>
            <w:r>
              <w:rPr>
                <w:color w:val="231F20"/>
                <w:spacing w:val="-23"/>
                <w:w w:val="90"/>
                <w:sz w:val="15"/>
              </w:rPr>
              <w:t xml:space="preserve"> </w:t>
            </w:r>
            <w:r>
              <w:rPr>
                <w:color w:val="231F20"/>
                <w:w w:val="90"/>
                <w:sz w:val="15"/>
              </w:rPr>
              <w:t>LGAs</w:t>
            </w:r>
            <w:r>
              <w:rPr>
                <w:color w:val="231F20"/>
                <w:spacing w:val="-10"/>
                <w:w w:val="90"/>
                <w:sz w:val="15"/>
              </w:rPr>
              <w:t xml:space="preserve"> </w:t>
            </w:r>
            <w:r>
              <w:rPr>
                <w:color w:val="231F20"/>
                <w:w w:val="90"/>
                <w:sz w:val="15"/>
              </w:rPr>
              <w:t>to</w:t>
            </w:r>
            <w:r>
              <w:rPr>
                <w:color w:val="231F20"/>
                <w:spacing w:val="-24"/>
                <w:w w:val="90"/>
                <w:sz w:val="15"/>
              </w:rPr>
              <w:t xml:space="preserve"> </w:t>
            </w:r>
            <w:r>
              <w:rPr>
                <w:color w:val="231F20"/>
                <w:spacing w:val="-5"/>
                <w:w w:val="90"/>
                <w:sz w:val="15"/>
              </w:rPr>
              <w:t>ascertain</w:t>
            </w:r>
            <w:r>
              <w:rPr>
                <w:color w:val="231F20"/>
                <w:spacing w:val="-24"/>
                <w:w w:val="90"/>
                <w:sz w:val="15"/>
              </w:rPr>
              <w:t xml:space="preserve"> </w:t>
            </w:r>
            <w:r>
              <w:rPr>
                <w:color w:val="231F20"/>
                <w:w w:val="90"/>
                <w:sz w:val="15"/>
              </w:rPr>
              <w:t>the</w:t>
            </w:r>
            <w:r>
              <w:rPr>
                <w:color w:val="231F20"/>
                <w:spacing w:val="-24"/>
                <w:w w:val="90"/>
                <w:sz w:val="15"/>
              </w:rPr>
              <w:t xml:space="preserve"> </w:t>
            </w:r>
            <w:r>
              <w:rPr>
                <w:color w:val="231F20"/>
                <w:w w:val="90"/>
                <w:sz w:val="15"/>
              </w:rPr>
              <w:t>proportion</w:t>
            </w:r>
            <w:r>
              <w:rPr>
                <w:color w:val="231F20"/>
                <w:spacing w:val="-24"/>
                <w:w w:val="90"/>
                <w:sz w:val="15"/>
              </w:rPr>
              <w:t xml:space="preserve"> </w:t>
            </w:r>
            <w:r>
              <w:rPr>
                <w:color w:val="231F20"/>
                <w:w w:val="90"/>
                <w:sz w:val="15"/>
              </w:rPr>
              <w:t>of</w:t>
            </w:r>
            <w:r>
              <w:rPr>
                <w:color w:val="231F20"/>
                <w:spacing w:val="-23"/>
                <w:w w:val="90"/>
                <w:sz w:val="15"/>
              </w:rPr>
              <w:t xml:space="preserve"> </w:t>
            </w:r>
            <w:r>
              <w:rPr>
                <w:color w:val="231F20"/>
                <w:w w:val="90"/>
                <w:sz w:val="15"/>
              </w:rPr>
              <w:t>geriatrics</w:t>
            </w:r>
            <w:r>
              <w:rPr>
                <w:color w:val="231F20"/>
                <w:spacing w:val="-24"/>
                <w:w w:val="90"/>
                <w:sz w:val="15"/>
              </w:rPr>
              <w:t xml:space="preserve"> </w:t>
            </w:r>
            <w:r>
              <w:rPr>
                <w:color w:val="231F20"/>
                <w:w w:val="90"/>
                <w:sz w:val="15"/>
              </w:rPr>
              <w:t>in</w:t>
            </w:r>
            <w:r>
              <w:rPr>
                <w:color w:val="231F20"/>
                <w:spacing w:val="-24"/>
                <w:w w:val="90"/>
                <w:sz w:val="15"/>
              </w:rPr>
              <w:t xml:space="preserve"> </w:t>
            </w:r>
            <w:r>
              <w:rPr>
                <w:color w:val="231F20"/>
                <w:w w:val="90"/>
                <w:sz w:val="15"/>
              </w:rPr>
              <w:t>the</w:t>
            </w:r>
          </w:p>
          <w:p w14:paraId="0819340B" w14:textId="77777777" w:rsidR="009948F1" w:rsidRDefault="00BC0563">
            <w:pPr>
              <w:pStyle w:val="TableParagraph"/>
              <w:spacing w:before="16"/>
              <w:ind w:left="23"/>
              <w:rPr>
                <w:sz w:val="15"/>
              </w:rPr>
            </w:pPr>
            <w:r>
              <w:rPr>
                <w:color w:val="231F20"/>
                <w:w w:val="90"/>
                <w:sz w:val="15"/>
              </w:rPr>
              <w:t>State.</w:t>
            </w:r>
          </w:p>
        </w:tc>
        <w:tc>
          <w:tcPr>
            <w:tcW w:w="1447" w:type="dxa"/>
          </w:tcPr>
          <w:p w14:paraId="49EE3681" w14:textId="77777777" w:rsidR="009948F1" w:rsidRDefault="009948F1">
            <w:pPr>
              <w:pStyle w:val="TableParagraph"/>
              <w:spacing w:before="8"/>
              <w:rPr>
                <w:sz w:val="11"/>
              </w:rPr>
            </w:pPr>
          </w:p>
          <w:p w14:paraId="52ADC8A8" w14:textId="77777777" w:rsidR="009948F1" w:rsidRDefault="00BC0563">
            <w:pPr>
              <w:pStyle w:val="TableParagraph"/>
              <w:spacing w:before="1"/>
              <w:ind w:left="23"/>
              <w:rPr>
                <w:sz w:val="15"/>
              </w:rPr>
            </w:pPr>
            <w:r>
              <w:rPr>
                <w:color w:val="231F20"/>
                <w:w w:val="90"/>
                <w:sz w:val="15"/>
              </w:rPr>
              <w:t>Lack of funds</w:t>
            </w:r>
          </w:p>
        </w:tc>
        <w:tc>
          <w:tcPr>
            <w:tcW w:w="1526" w:type="dxa"/>
          </w:tcPr>
          <w:p w14:paraId="6FF7AE0B" w14:textId="77777777" w:rsidR="009948F1" w:rsidRDefault="00BC0563">
            <w:pPr>
              <w:pStyle w:val="TableParagraph"/>
              <w:spacing w:before="41" w:line="264" w:lineRule="auto"/>
              <w:ind w:left="24" w:right="290"/>
              <w:rPr>
                <w:sz w:val="15"/>
              </w:rPr>
            </w:pPr>
            <w:r>
              <w:rPr>
                <w:color w:val="231F20"/>
                <w:w w:val="85"/>
                <w:sz w:val="15"/>
              </w:rPr>
              <w:t xml:space="preserve">Carry out community </w:t>
            </w:r>
            <w:r>
              <w:rPr>
                <w:color w:val="231F20"/>
                <w:w w:val="90"/>
                <w:sz w:val="15"/>
              </w:rPr>
              <w:t>survey</w:t>
            </w:r>
          </w:p>
        </w:tc>
      </w:tr>
      <w:tr w:rsidR="009948F1" w14:paraId="02F6DAA1" w14:textId="77777777">
        <w:trPr>
          <w:trHeight w:val="486"/>
        </w:trPr>
        <w:tc>
          <w:tcPr>
            <w:tcW w:w="878" w:type="dxa"/>
            <w:gridSpan w:val="2"/>
            <w:vMerge/>
            <w:tcBorders>
              <w:top w:val="nil"/>
              <w:left w:val="single" w:sz="8" w:space="0" w:color="231F20"/>
              <w:bottom w:val="nil"/>
            </w:tcBorders>
          </w:tcPr>
          <w:p w14:paraId="31C1F03E" w14:textId="77777777" w:rsidR="009948F1" w:rsidRDefault="009948F1">
            <w:pPr>
              <w:rPr>
                <w:sz w:val="2"/>
                <w:szCs w:val="2"/>
              </w:rPr>
            </w:pPr>
          </w:p>
        </w:tc>
        <w:tc>
          <w:tcPr>
            <w:tcW w:w="534" w:type="dxa"/>
          </w:tcPr>
          <w:p w14:paraId="782A4B98" w14:textId="77777777" w:rsidR="009948F1" w:rsidRDefault="009948F1">
            <w:pPr>
              <w:pStyle w:val="TableParagraph"/>
              <w:spacing w:before="4"/>
              <w:rPr>
                <w:sz w:val="13"/>
              </w:rPr>
            </w:pPr>
          </w:p>
          <w:p w14:paraId="09A2F497" w14:textId="77777777" w:rsidR="009948F1" w:rsidRDefault="00BC0563">
            <w:pPr>
              <w:pStyle w:val="TableParagraph"/>
              <w:ind w:left="29" w:right="12"/>
              <w:jc w:val="center"/>
              <w:rPr>
                <w:sz w:val="15"/>
              </w:rPr>
            </w:pPr>
            <w:r>
              <w:rPr>
                <w:color w:val="231F20"/>
                <w:w w:val="85"/>
                <w:sz w:val="15"/>
              </w:rPr>
              <w:t>6.2.1.b</w:t>
            </w:r>
          </w:p>
        </w:tc>
        <w:tc>
          <w:tcPr>
            <w:tcW w:w="4965" w:type="dxa"/>
            <w:gridSpan w:val="2"/>
          </w:tcPr>
          <w:p w14:paraId="4B8E0DC3" w14:textId="77777777" w:rsidR="009948F1" w:rsidRDefault="00BC0563">
            <w:pPr>
              <w:pStyle w:val="TableParagraph"/>
              <w:spacing w:before="54" w:line="264" w:lineRule="auto"/>
              <w:ind w:left="23" w:right="423"/>
              <w:rPr>
                <w:sz w:val="15"/>
              </w:rPr>
            </w:pPr>
            <w:r>
              <w:rPr>
                <w:color w:val="231F20"/>
                <w:w w:val="85"/>
                <w:sz w:val="15"/>
              </w:rPr>
              <w:t>Report</w:t>
            </w:r>
            <w:r>
              <w:rPr>
                <w:color w:val="231F20"/>
                <w:spacing w:val="-20"/>
                <w:w w:val="85"/>
                <w:sz w:val="15"/>
              </w:rPr>
              <w:t xml:space="preserve"> </w:t>
            </w:r>
            <w:r>
              <w:rPr>
                <w:color w:val="231F20"/>
                <w:w w:val="85"/>
                <w:sz w:val="15"/>
              </w:rPr>
              <w:t>accurately</w:t>
            </w:r>
            <w:r>
              <w:rPr>
                <w:color w:val="231F20"/>
                <w:spacing w:val="-19"/>
                <w:w w:val="85"/>
                <w:sz w:val="15"/>
              </w:rPr>
              <w:t xml:space="preserve"> </w:t>
            </w:r>
            <w:r>
              <w:rPr>
                <w:color w:val="231F20"/>
                <w:w w:val="85"/>
                <w:sz w:val="15"/>
              </w:rPr>
              <w:t>with</w:t>
            </w:r>
            <w:r>
              <w:rPr>
                <w:color w:val="231F20"/>
                <w:spacing w:val="-20"/>
                <w:w w:val="85"/>
                <w:sz w:val="15"/>
              </w:rPr>
              <w:t xml:space="preserve"> </w:t>
            </w:r>
            <w:r>
              <w:rPr>
                <w:color w:val="231F20"/>
                <w:w w:val="85"/>
                <w:sz w:val="15"/>
              </w:rPr>
              <w:t>use</w:t>
            </w:r>
            <w:r>
              <w:rPr>
                <w:color w:val="231F20"/>
                <w:spacing w:val="-19"/>
                <w:w w:val="85"/>
                <w:sz w:val="15"/>
              </w:rPr>
              <w:t xml:space="preserve"> </w:t>
            </w:r>
            <w:r>
              <w:rPr>
                <w:color w:val="231F20"/>
                <w:w w:val="85"/>
                <w:sz w:val="15"/>
              </w:rPr>
              <w:t>of</w:t>
            </w:r>
            <w:r>
              <w:rPr>
                <w:color w:val="231F20"/>
                <w:spacing w:val="-20"/>
                <w:w w:val="85"/>
                <w:sz w:val="15"/>
              </w:rPr>
              <w:t xml:space="preserve"> </w:t>
            </w:r>
            <w:r>
              <w:rPr>
                <w:color w:val="231F20"/>
                <w:w w:val="85"/>
                <w:sz w:val="15"/>
              </w:rPr>
              <w:t>appropriate</w:t>
            </w:r>
            <w:r>
              <w:rPr>
                <w:color w:val="231F20"/>
                <w:spacing w:val="-19"/>
                <w:w w:val="85"/>
                <w:sz w:val="15"/>
              </w:rPr>
              <w:t xml:space="preserve"> </w:t>
            </w:r>
            <w:r>
              <w:rPr>
                <w:color w:val="231F20"/>
                <w:w w:val="85"/>
                <w:sz w:val="15"/>
              </w:rPr>
              <w:t>tools</w:t>
            </w:r>
            <w:r>
              <w:rPr>
                <w:color w:val="231F20"/>
                <w:spacing w:val="-20"/>
                <w:w w:val="85"/>
                <w:sz w:val="15"/>
              </w:rPr>
              <w:t xml:space="preserve"> </w:t>
            </w:r>
            <w:r>
              <w:rPr>
                <w:color w:val="231F20"/>
                <w:w w:val="85"/>
                <w:sz w:val="15"/>
              </w:rPr>
              <w:t>on</w:t>
            </w:r>
            <w:r>
              <w:rPr>
                <w:color w:val="231F20"/>
                <w:spacing w:val="-3"/>
                <w:w w:val="85"/>
                <w:sz w:val="15"/>
              </w:rPr>
              <w:t xml:space="preserve"> </w:t>
            </w:r>
            <w:r>
              <w:rPr>
                <w:color w:val="231F20"/>
                <w:w w:val="85"/>
                <w:sz w:val="15"/>
              </w:rPr>
              <w:t>geriatric</w:t>
            </w:r>
            <w:r>
              <w:rPr>
                <w:color w:val="231F20"/>
                <w:spacing w:val="-19"/>
                <w:w w:val="85"/>
                <w:sz w:val="15"/>
              </w:rPr>
              <w:t xml:space="preserve"> </w:t>
            </w:r>
            <w:r>
              <w:rPr>
                <w:color w:val="231F20"/>
                <w:w w:val="85"/>
                <w:sz w:val="15"/>
              </w:rPr>
              <w:t>population</w:t>
            </w:r>
            <w:r>
              <w:rPr>
                <w:color w:val="231F20"/>
                <w:spacing w:val="-20"/>
                <w:w w:val="85"/>
                <w:sz w:val="15"/>
              </w:rPr>
              <w:t xml:space="preserve"> </w:t>
            </w:r>
            <w:r>
              <w:rPr>
                <w:color w:val="231F20"/>
                <w:w w:val="85"/>
                <w:sz w:val="15"/>
              </w:rPr>
              <w:t>in</w:t>
            </w:r>
            <w:r>
              <w:rPr>
                <w:color w:val="231F20"/>
                <w:spacing w:val="-19"/>
                <w:w w:val="85"/>
                <w:sz w:val="15"/>
              </w:rPr>
              <w:t xml:space="preserve"> </w:t>
            </w:r>
            <w:r>
              <w:rPr>
                <w:color w:val="231F20"/>
                <w:w w:val="85"/>
                <w:sz w:val="15"/>
              </w:rPr>
              <w:t>the</w:t>
            </w:r>
            <w:r>
              <w:rPr>
                <w:color w:val="231F20"/>
                <w:spacing w:val="-20"/>
                <w:w w:val="85"/>
                <w:sz w:val="15"/>
              </w:rPr>
              <w:t xml:space="preserve"> </w:t>
            </w:r>
            <w:r>
              <w:rPr>
                <w:color w:val="231F20"/>
                <w:w w:val="85"/>
                <w:sz w:val="15"/>
              </w:rPr>
              <w:t>state</w:t>
            </w:r>
            <w:r>
              <w:rPr>
                <w:color w:val="231F20"/>
                <w:spacing w:val="-19"/>
                <w:w w:val="85"/>
                <w:sz w:val="15"/>
              </w:rPr>
              <w:t xml:space="preserve"> </w:t>
            </w:r>
            <w:r>
              <w:rPr>
                <w:color w:val="231F20"/>
                <w:w w:val="85"/>
                <w:sz w:val="15"/>
              </w:rPr>
              <w:t xml:space="preserve">to </w:t>
            </w:r>
            <w:r>
              <w:rPr>
                <w:color w:val="231F20"/>
                <w:w w:val="90"/>
                <w:sz w:val="15"/>
              </w:rPr>
              <w:t>SMOH/FMOH</w:t>
            </w:r>
            <w:r>
              <w:rPr>
                <w:color w:val="231F20"/>
                <w:spacing w:val="-27"/>
                <w:w w:val="90"/>
                <w:sz w:val="15"/>
              </w:rPr>
              <w:t xml:space="preserve"> </w:t>
            </w:r>
            <w:r>
              <w:rPr>
                <w:color w:val="231F20"/>
                <w:w w:val="90"/>
                <w:sz w:val="15"/>
              </w:rPr>
              <w:t>for</w:t>
            </w:r>
            <w:r>
              <w:rPr>
                <w:color w:val="231F20"/>
                <w:spacing w:val="-26"/>
                <w:w w:val="90"/>
                <w:sz w:val="15"/>
              </w:rPr>
              <w:t xml:space="preserve"> </w:t>
            </w:r>
            <w:r>
              <w:rPr>
                <w:color w:val="231F20"/>
                <w:w w:val="90"/>
                <w:sz w:val="15"/>
              </w:rPr>
              <w:t>planning,</w:t>
            </w:r>
            <w:r>
              <w:rPr>
                <w:color w:val="231F20"/>
                <w:spacing w:val="-27"/>
                <w:w w:val="90"/>
                <w:sz w:val="15"/>
              </w:rPr>
              <w:t xml:space="preserve"> </w:t>
            </w:r>
            <w:r>
              <w:rPr>
                <w:color w:val="231F20"/>
                <w:w w:val="90"/>
                <w:sz w:val="15"/>
              </w:rPr>
              <w:t>implementation,</w:t>
            </w:r>
            <w:r>
              <w:rPr>
                <w:color w:val="231F20"/>
                <w:spacing w:val="-26"/>
                <w:w w:val="90"/>
                <w:sz w:val="15"/>
              </w:rPr>
              <w:t xml:space="preserve"> </w:t>
            </w:r>
            <w:r>
              <w:rPr>
                <w:color w:val="231F20"/>
                <w:w w:val="90"/>
                <w:sz w:val="15"/>
              </w:rPr>
              <w:t>monitoring</w:t>
            </w:r>
            <w:r>
              <w:rPr>
                <w:color w:val="231F20"/>
                <w:spacing w:val="-27"/>
                <w:w w:val="90"/>
                <w:sz w:val="15"/>
              </w:rPr>
              <w:t xml:space="preserve"> </w:t>
            </w:r>
            <w:r>
              <w:rPr>
                <w:color w:val="231F20"/>
                <w:w w:val="90"/>
                <w:sz w:val="15"/>
              </w:rPr>
              <w:t>of</w:t>
            </w:r>
            <w:r>
              <w:rPr>
                <w:color w:val="231F20"/>
                <w:spacing w:val="-26"/>
                <w:w w:val="90"/>
                <w:sz w:val="15"/>
              </w:rPr>
              <w:t xml:space="preserve"> </w:t>
            </w:r>
            <w:r>
              <w:rPr>
                <w:color w:val="231F20"/>
                <w:w w:val="90"/>
                <w:sz w:val="15"/>
              </w:rPr>
              <w:t>geriatric</w:t>
            </w:r>
            <w:r>
              <w:rPr>
                <w:color w:val="231F20"/>
                <w:spacing w:val="-26"/>
                <w:w w:val="90"/>
                <w:sz w:val="15"/>
              </w:rPr>
              <w:t xml:space="preserve"> </w:t>
            </w:r>
            <w:r>
              <w:rPr>
                <w:color w:val="231F20"/>
                <w:w w:val="90"/>
                <w:sz w:val="15"/>
              </w:rPr>
              <w:t>services.</w:t>
            </w:r>
          </w:p>
        </w:tc>
        <w:tc>
          <w:tcPr>
            <w:tcW w:w="1447" w:type="dxa"/>
          </w:tcPr>
          <w:p w14:paraId="23B2C191" w14:textId="77777777" w:rsidR="009948F1" w:rsidRDefault="009948F1">
            <w:pPr>
              <w:pStyle w:val="TableParagraph"/>
              <w:spacing w:before="4"/>
              <w:rPr>
                <w:sz w:val="13"/>
              </w:rPr>
            </w:pPr>
          </w:p>
          <w:p w14:paraId="1BB89558" w14:textId="77777777" w:rsidR="009948F1" w:rsidRDefault="00BC0563">
            <w:pPr>
              <w:pStyle w:val="TableParagraph"/>
              <w:ind w:left="23"/>
              <w:rPr>
                <w:sz w:val="15"/>
              </w:rPr>
            </w:pPr>
            <w:r>
              <w:rPr>
                <w:color w:val="231F20"/>
                <w:w w:val="90"/>
                <w:sz w:val="15"/>
              </w:rPr>
              <w:t>Lack of funds</w:t>
            </w:r>
          </w:p>
        </w:tc>
        <w:tc>
          <w:tcPr>
            <w:tcW w:w="1526" w:type="dxa"/>
          </w:tcPr>
          <w:p w14:paraId="13461741" w14:textId="77777777" w:rsidR="009948F1" w:rsidRDefault="00BC0563">
            <w:pPr>
              <w:pStyle w:val="TableParagraph"/>
              <w:spacing w:before="60" w:line="264" w:lineRule="auto"/>
              <w:ind w:left="24" w:right="226"/>
              <w:rPr>
                <w:sz w:val="15"/>
              </w:rPr>
            </w:pPr>
            <w:r>
              <w:rPr>
                <w:color w:val="231F20"/>
                <w:w w:val="85"/>
                <w:sz w:val="15"/>
              </w:rPr>
              <w:t xml:space="preserve">Report with the use of </w:t>
            </w:r>
            <w:r>
              <w:rPr>
                <w:color w:val="231F20"/>
                <w:w w:val="90"/>
                <w:sz w:val="15"/>
              </w:rPr>
              <w:t>appropriate tools</w:t>
            </w:r>
          </w:p>
        </w:tc>
      </w:tr>
      <w:tr w:rsidR="009948F1" w14:paraId="506D55A8" w14:textId="77777777">
        <w:trPr>
          <w:trHeight w:val="394"/>
        </w:trPr>
        <w:tc>
          <w:tcPr>
            <w:tcW w:w="878" w:type="dxa"/>
            <w:gridSpan w:val="2"/>
            <w:vMerge/>
            <w:tcBorders>
              <w:top w:val="nil"/>
              <w:left w:val="single" w:sz="8" w:space="0" w:color="231F20"/>
              <w:bottom w:val="nil"/>
            </w:tcBorders>
          </w:tcPr>
          <w:p w14:paraId="532E06F0" w14:textId="77777777" w:rsidR="009948F1" w:rsidRDefault="009948F1">
            <w:pPr>
              <w:rPr>
                <w:sz w:val="2"/>
                <w:szCs w:val="2"/>
              </w:rPr>
            </w:pPr>
          </w:p>
        </w:tc>
        <w:tc>
          <w:tcPr>
            <w:tcW w:w="534" w:type="dxa"/>
          </w:tcPr>
          <w:p w14:paraId="27CD04BA" w14:textId="77777777" w:rsidR="009948F1" w:rsidRDefault="00BC0563">
            <w:pPr>
              <w:pStyle w:val="TableParagraph"/>
              <w:spacing w:before="107"/>
              <w:ind w:left="30" w:right="12"/>
              <w:jc w:val="center"/>
              <w:rPr>
                <w:sz w:val="15"/>
              </w:rPr>
            </w:pPr>
            <w:r>
              <w:rPr>
                <w:color w:val="231F20"/>
                <w:w w:val="90"/>
                <w:sz w:val="15"/>
              </w:rPr>
              <w:t>6.2.1.c</w:t>
            </w:r>
          </w:p>
        </w:tc>
        <w:tc>
          <w:tcPr>
            <w:tcW w:w="4965" w:type="dxa"/>
            <w:gridSpan w:val="2"/>
          </w:tcPr>
          <w:p w14:paraId="7F3B0E63" w14:textId="77777777" w:rsidR="009948F1" w:rsidRDefault="00BC0563">
            <w:pPr>
              <w:pStyle w:val="TableParagraph"/>
              <w:spacing w:before="7"/>
              <w:ind w:left="23"/>
              <w:rPr>
                <w:sz w:val="15"/>
              </w:rPr>
            </w:pPr>
            <w:r>
              <w:rPr>
                <w:color w:val="231F20"/>
                <w:w w:val="90"/>
                <w:sz w:val="15"/>
              </w:rPr>
              <w:t>Initiate</w:t>
            </w:r>
            <w:r>
              <w:rPr>
                <w:color w:val="231F20"/>
                <w:spacing w:val="-27"/>
                <w:w w:val="90"/>
                <w:sz w:val="15"/>
              </w:rPr>
              <w:t xml:space="preserve"> </w:t>
            </w:r>
            <w:r>
              <w:rPr>
                <w:color w:val="231F20"/>
                <w:w w:val="90"/>
                <w:sz w:val="15"/>
              </w:rPr>
              <w:t>continued</w:t>
            </w:r>
            <w:r>
              <w:rPr>
                <w:color w:val="231F20"/>
                <w:spacing w:val="-26"/>
                <w:w w:val="90"/>
                <w:sz w:val="15"/>
              </w:rPr>
              <w:t xml:space="preserve"> </w:t>
            </w:r>
            <w:r>
              <w:rPr>
                <w:color w:val="231F20"/>
                <w:w w:val="90"/>
                <w:sz w:val="15"/>
              </w:rPr>
              <w:t>active</w:t>
            </w:r>
            <w:r>
              <w:rPr>
                <w:color w:val="231F20"/>
                <w:spacing w:val="-27"/>
                <w:w w:val="90"/>
                <w:sz w:val="15"/>
              </w:rPr>
              <w:t xml:space="preserve"> </w:t>
            </w:r>
            <w:r>
              <w:rPr>
                <w:color w:val="231F20"/>
                <w:w w:val="90"/>
                <w:sz w:val="15"/>
              </w:rPr>
              <w:t>case</w:t>
            </w:r>
            <w:r>
              <w:rPr>
                <w:color w:val="231F20"/>
                <w:spacing w:val="-26"/>
                <w:w w:val="90"/>
                <w:sz w:val="15"/>
              </w:rPr>
              <w:t xml:space="preserve"> </w:t>
            </w:r>
            <w:r>
              <w:rPr>
                <w:color w:val="231F20"/>
                <w:w w:val="90"/>
                <w:sz w:val="15"/>
              </w:rPr>
              <w:t>search</w:t>
            </w:r>
            <w:r>
              <w:rPr>
                <w:color w:val="231F20"/>
                <w:spacing w:val="-26"/>
                <w:w w:val="90"/>
                <w:sz w:val="15"/>
              </w:rPr>
              <w:t xml:space="preserve"> </w:t>
            </w:r>
            <w:r>
              <w:rPr>
                <w:color w:val="231F20"/>
                <w:w w:val="90"/>
                <w:sz w:val="15"/>
              </w:rPr>
              <w:t>of</w:t>
            </w:r>
            <w:r>
              <w:rPr>
                <w:color w:val="231F20"/>
                <w:spacing w:val="-27"/>
                <w:w w:val="90"/>
                <w:sz w:val="15"/>
              </w:rPr>
              <w:t xml:space="preserve"> </w:t>
            </w:r>
            <w:r>
              <w:rPr>
                <w:color w:val="231F20"/>
                <w:w w:val="90"/>
                <w:sz w:val="15"/>
              </w:rPr>
              <w:t>geriatrics</w:t>
            </w:r>
            <w:r>
              <w:rPr>
                <w:color w:val="231F20"/>
                <w:spacing w:val="-15"/>
                <w:w w:val="90"/>
                <w:sz w:val="15"/>
              </w:rPr>
              <w:t xml:space="preserve"> </w:t>
            </w:r>
            <w:r>
              <w:rPr>
                <w:color w:val="231F20"/>
                <w:w w:val="90"/>
                <w:sz w:val="15"/>
              </w:rPr>
              <w:t>in</w:t>
            </w:r>
            <w:r>
              <w:rPr>
                <w:color w:val="231F20"/>
                <w:spacing w:val="-26"/>
                <w:w w:val="90"/>
                <w:sz w:val="15"/>
              </w:rPr>
              <w:t xml:space="preserve"> </w:t>
            </w:r>
            <w:r>
              <w:rPr>
                <w:color w:val="231F20"/>
                <w:w w:val="90"/>
                <w:sz w:val="15"/>
              </w:rPr>
              <w:t>the</w:t>
            </w:r>
            <w:r>
              <w:rPr>
                <w:color w:val="231F20"/>
                <w:spacing w:val="-26"/>
                <w:w w:val="90"/>
                <w:sz w:val="15"/>
              </w:rPr>
              <w:t xml:space="preserve"> </w:t>
            </w:r>
            <w:r>
              <w:rPr>
                <w:color w:val="231F20"/>
                <w:w w:val="90"/>
                <w:sz w:val="15"/>
              </w:rPr>
              <w:t>state</w:t>
            </w:r>
            <w:r>
              <w:rPr>
                <w:color w:val="231F20"/>
                <w:spacing w:val="-27"/>
                <w:w w:val="90"/>
                <w:sz w:val="15"/>
              </w:rPr>
              <w:t xml:space="preserve"> </w:t>
            </w:r>
            <w:r>
              <w:rPr>
                <w:color w:val="231F20"/>
                <w:w w:val="90"/>
                <w:sz w:val="15"/>
              </w:rPr>
              <w:t>in</w:t>
            </w:r>
            <w:r>
              <w:rPr>
                <w:color w:val="231F20"/>
                <w:spacing w:val="-26"/>
                <w:w w:val="90"/>
                <w:sz w:val="15"/>
              </w:rPr>
              <w:t xml:space="preserve"> </w:t>
            </w:r>
            <w:r>
              <w:rPr>
                <w:color w:val="231F20"/>
                <w:w w:val="90"/>
                <w:sz w:val="15"/>
              </w:rPr>
              <w:t>other</w:t>
            </w:r>
            <w:r>
              <w:rPr>
                <w:color w:val="231F20"/>
                <w:spacing w:val="-27"/>
                <w:w w:val="90"/>
                <w:sz w:val="15"/>
              </w:rPr>
              <w:t xml:space="preserve"> </w:t>
            </w:r>
            <w:r>
              <w:rPr>
                <w:color w:val="231F20"/>
                <w:w w:val="90"/>
                <w:sz w:val="15"/>
              </w:rPr>
              <w:t>to</w:t>
            </w:r>
            <w:r>
              <w:rPr>
                <w:color w:val="231F20"/>
                <w:spacing w:val="-26"/>
                <w:w w:val="90"/>
                <w:sz w:val="15"/>
              </w:rPr>
              <w:t xml:space="preserve"> </w:t>
            </w:r>
            <w:r>
              <w:rPr>
                <w:color w:val="231F20"/>
                <w:w w:val="90"/>
                <w:sz w:val="15"/>
              </w:rPr>
              <w:t>determine</w:t>
            </w:r>
            <w:r>
              <w:rPr>
                <w:color w:val="231F20"/>
                <w:spacing w:val="-26"/>
                <w:w w:val="90"/>
                <w:sz w:val="15"/>
              </w:rPr>
              <w:t xml:space="preserve"> </w:t>
            </w:r>
            <w:r>
              <w:rPr>
                <w:color w:val="231F20"/>
                <w:w w:val="90"/>
                <w:sz w:val="15"/>
              </w:rPr>
              <w:t>their</w:t>
            </w:r>
          </w:p>
          <w:p w14:paraId="17A3DC5C" w14:textId="77777777" w:rsidR="009948F1" w:rsidRDefault="00BC0563">
            <w:pPr>
              <w:pStyle w:val="TableParagraph"/>
              <w:spacing w:before="17"/>
              <w:ind w:left="23"/>
              <w:rPr>
                <w:sz w:val="15"/>
              </w:rPr>
            </w:pPr>
            <w:r>
              <w:rPr>
                <w:color w:val="231F20"/>
                <w:w w:val="90"/>
                <w:sz w:val="15"/>
              </w:rPr>
              <w:t>health problems.</w:t>
            </w:r>
          </w:p>
        </w:tc>
        <w:tc>
          <w:tcPr>
            <w:tcW w:w="1447" w:type="dxa"/>
          </w:tcPr>
          <w:p w14:paraId="04497A96" w14:textId="77777777" w:rsidR="009948F1" w:rsidRDefault="00BC0563">
            <w:pPr>
              <w:pStyle w:val="TableParagraph"/>
              <w:spacing w:before="107"/>
              <w:ind w:left="23"/>
              <w:rPr>
                <w:sz w:val="15"/>
              </w:rPr>
            </w:pPr>
            <w:r>
              <w:rPr>
                <w:color w:val="231F20"/>
                <w:w w:val="90"/>
                <w:sz w:val="15"/>
              </w:rPr>
              <w:t>Lack of funds</w:t>
            </w:r>
          </w:p>
        </w:tc>
        <w:tc>
          <w:tcPr>
            <w:tcW w:w="1526" w:type="dxa"/>
          </w:tcPr>
          <w:p w14:paraId="11F072B5" w14:textId="77777777" w:rsidR="009948F1" w:rsidRDefault="00BC0563">
            <w:pPr>
              <w:pStyle w:val="TableParagraph"/>
              <w:spacing w:before="107"/>
              <w:ind w:left="24"/>
              <w:rPr>
                <w:sz w:val="15"/>
              </w:rPr>
            </w:pPr>
            <w:r>
              <w:rPr>
                <w:color w:val="231F20"/>
                <w:w w:val="85"/>
                <w:sz w:val="15"/>
              </w:rPr>
              <w:t>Initiate active case search</w:t>
            </w:r>
          </w:p>
        </w:tc>
      </w:tr>
      <w:tr w:rsidR="009948F1" w14:paraId="2A7FA578" w14:textId="77777777">
        <w:trPr>
          <w:trHeight w:val="449"/>
        </w:trPr>
        <w:tc>
          <w:tcPr>
            <w:tcW w:w="878" w:type="dxa"/>
            <w:gridSpan w:val="2"/>
            <w:vMerge/>
            <w:tcBorders>
              <w:top w:val="nil"/>
              <w:left w:val="single" w:sz="8" w:space="0" w:color="231F20"/>
              <w:bottom w:val="nil"/>
            </w:tcBorders>
          </w:tcPr>
          <w:p w14:paraId="0D7BE7F3" w14:textId="77777777" w:rsidR="009948F1" w:rsidRDefault="009948F1">
            <w:pPr>
              <w:rPr>
                <w:sz w:val="2"/>
                <w:szCs w:val="2"/>
              </w:rPr>
            </w:pPr>
          </w:p>
        </w:tc>
        <w:tc>
          <w:tcPr>
            <w:tcW w:w="534" w:type="dxa"/>
          </w:tcPr>
          <w:p w14:paraId="657E078D" w14:textId="77777777" w:rsidR="009948F1" w:rsidRDefault="009948F1">
            <w:pPr>
              <w:pStyle w:val="TableParagraph"/>
              <w:spacing w:before="8"/>
              <w:rPr>
                <w:sz w:val="11"/>
              </w:rPr>
            </w:pPr>
          </w:p>
          <w:p w14:paraId="2EF4A7DB" w14:textId="77777777" w:rsidR="009948F1" w:rsidRDefault="00BC0563">
            <w:pPr>
              <w:pStyle w:val="TableParagraph"/>
              <w:spacing w:before="1"/>
              <w:ind w:left="29" w:right="12"/>
              <w:jc w:val="center"/>
              <w:rPr>
                <w:sz w:val="15"/>
              </w:rPr>
            </w:pPr>
            <w:r>
              <w:rPr>
                <w:color w:val="231F20"/>
                <w:w w:val="85"/>
                <w:sz w:val="15"/>
              </w:rPr>
              <w:t>6.2.1.d</w:t>
            </w:r>
          </w:p>
        </w:tc>
        <w:tc>
          <w:tcPr>
            <w:tcW w:w="4965" w:type="dxa"/>
            <w:gridSpan w:val="2"/>
          </w:tcPr>
          <w:p w14:paraId="7AD84B28" w14:textId="77777777" w:rsidR="009948F1" w:rsidRDefault="009948F1">
            <w:pPr>
              <w:pStyle w:val="TableParagraph"/>
              <w:spacing w:before="2"/>
              <w:rPr>
                <w:sz w:val="11"/>
              </w:rPr>
            </w:pPr>
          </w:p>
          <w:p w14:paraId="56C82C20" w14:textId="77777777" w:rsidR="009948F1" w:rsidRDefault="00BC0563">
            <w:pPr>
              <w:pStyle w:val="TableParagraph"/>
              <w:spacing w:before="1"/>
              <w:ind w:left="23"/>
              <w:rPr>
                <w:sz w:val="15"/>
              </w:rPr>
            </w:pPr>
            <w:r>
              <w:rPr>
                <w:color w:val="231F20"/>
                <w:w w:val="85"/>
                <w:sz w:val="15"/>
              </w:rPr>
              <w:t>Collaborate</w:t>
            </w:r>
            <w:r>
              <w:rPr>
                <w:color w:val="231F20"/>
                <w:spacing w:val="-16"/>
                <w:w w:val="85"/>
                <w:sz w:val="15"/>
              </w:rPr>
              <w:t xml:space="preserve"> </w:t>
            </w:r>
            <w:r>
              <w:rPr>
                <w:color w:val="231F20"/>
                <w:w w:val="85"/>
                <w:sz w:val="15"/>
              </w:rPr>
              <w:t>with</w:t>
            </w:r>
            <w:r>
              <w:rPr>
                <w:color w:val="231F20"/>
                <w:spacing w:val="-16"/>
                <w:w w:val="85"/>
                <w:sz w:val="15"/>
              </w:rPr>
              <w:t xml:space="preserve"> </w:t>
            </w:r>
            <w:r>
              <w:rPr>
                <w:color w:val="231F20"/>
                <w:w w:val="85"/>
                <w:sz w:val="15"/>
              </w:rPr>
              <w:t>Geriatric</w:t>
            </w:r>
            <w:r>
              <w:rPr>
                <w:color w:val="231F20"/>
                <w:spacing w:val="-20"/>
                <w:w w:val="85"/>
                <w:sz w:val="15"/>
              </w:rPr>
              <w:t xml:space="preserve"> </w:t>
            </w:r>
            <w:r>
              <w:rPr>
                <w:color w:val="231F20"/>
                <w:w w:val="85"/>
                <w:sz w:val="15"/>
              </w:rPr>
              <w:t>Association</w:t>
            </w:r>
            <w:r>
              <w:rPr>
                <w:color w:val="231F20"/>
                <w:spacing w:val="-15"/>
                <w:w w:val="85"/>
                <w:sz w:val="15"/>
              </w:rPr>
              <w:t xml:space="preserve"> </w:t>
            </w:r>
            <w:r>
              <w:rPr>
                <w:color w:val="231F20"/>
                <w:w w:val="85"/>
                <w:sz w:val="15"/>
              </w:rPr>
              <w:t>of</w:t>
            </w:r>
            <w:r>
              <w:rPr>
                <w:color w:val="231F20"/>
                <w:spacing w:val="-16"/>
                <w:w w:val="85"/>
                <w:sz w:val="15"/>
              </w:rPr>
              <w:t xml:space="preserve"> </w:t>
            </w:r>
            <w:r>
              <w:rPr>
                <w:color w:val="231F20"/>
                <w:w w:val="85"/>
                <w:sz w:val="15"/>
              </w:rPr>
              <w:t>Nigeria</w:t>
            </w:r>
            <w:r>
              <w:rPr>
                <w:color w:val="231F20"/>
                <w:spacing w:val="-16"/>
                <w:w w:val="85"/>
                <w:sz w:val="15"/>
              </w:rPr>
              <w:t xml:space="preserve"> </w:t>
            </w:r>
            <w:r>
              <w:rPr>
                <w:color w:val="231F20"/>
                <w:w w:val="85"/>
                <w:sz w:val="15"/>
              </w:rPr>
              <w:t>to</w:t>
            </w:r>
            <w:r>
              <w:rPr>
                <w:color w:val="231F20"/>
                <w:spacing w:val="-16"/>
                <w:w w:val="85"/>
                <w:sz w:val="15"/>
              </w:rPr>
              <w:t xml:space="preserve"> </w:t>
            </w:r>
            <w:r>
              <w:rPr>
                <w:color w:val="231F20"/>
                <w:w w:val="85"/>
                <w:sz w:val="15"/>
              </w:rPr>
              <w:t>provide</w:t>
            </w:r>
            <w:r>
              <w:rPr>
                <w:color w:val="231F20"/>
                <w:spacing w:val="-16"/>
                <w:w w:val="85"/>
                <w:sz w:val="15"/>
              </w:rPr>
              <w:t xml:space="preserve"> </w:t>
            </w:r>
            <w:r>
              <w:rPr>
                <w:color w:val="231F20"/>
                <w:w w:val="85"/>
                <w:sz w:val="15"/>
              </w:rPr>
              <w:t>adequate</w:t>
            </w:r>
            <w:r>
              <w:rPr>
                <w:color w:val="231F20"/>
                <w:spacing w:val="-15"/>
                <w:w w:val="85"/>
                <w:sz w:val="15"/>
              </w:rPr>
              <w:t xml:space="preserve"> </w:t>
            </w:r>
            <w:r>
              <w:rPr>
                <w:color w:val="231F20"/>
                <w:w w:val="85"/>
                <w:sz w:val="15"/>
              </w:rPr>
              <w:t>care</w:t>
            </w:r>
            <w:r>
              <w:rPr>
                <w:color w:val="231F20"/>
                <w:spacing w:val="-16"/>
                <w:w w:val="85"/>
                <w:sz w:val="15"/>
              </w:rPr>
              <w:t xml:space="preserve"> </w:t>
            </w:r>
            <w:r>
              <w:rPr>
                <w:color w:val="231F20"/>
                <w:w w:val="85"/>
                <w:sz w:val="15"/>
              </w:rPr>
              <w:t>to</w:t>
            </w:r>
            <w:r>
              <w:rPr>
                <w:color w:val="231F20"/>
                <w:spacing w:val="-16"/>
                <w:w w:val="85"/>
                <w:sz w:val="15"/>
              </w:rPr>
              <w:t xml:space="preserve"> </w:t>
            </w:r>
            <w:r>
              <w:rPr>
                <w:color w:val="231F20"/>
                <w:w w:val="85"/>
                <w:sz w:val="15"/>
              </w:rPr>
              <w:t>the</w:t>
            </w:r>
            <w:r>
              <w:rPr>
                <w:color w:val="231F20"/>
                <w:spacing w:val="-16"/>
                <w:w w:val="85"/>
                <w:sz w:val="15"/>
              </w:rPr>
              <w:t xml:space="preserve"> </w:t>
            </w:r>
            <w:r>
              <w:rPr>
                <w:color w:val="231F20"/>
                <w:w w:val="85"/>
                <w:sz w:val="15"/>
              </w:rPr>
              <w:t>elderly.</w:t>
            </w:r>
          </w:p>
        </w:tc>
        <w:tc>
          <w:tcPr>
            <w:tcW w:w="1447" w:type="dxa"/>
          </w:tcPr>
          <w:p w14:paraId="5851A55C" w14:textId="77777777" w:rsidR="009948F1" w:rsidRDefault="009948F1">
            <w:pPr>
              <w:pStyle w:val="TableParagraph"/>
              <w:spacing w:before="8"/>
              <w:rPr>
                <w:sz w:val="11"/>
              </w:rPr>
            </w:pPr>
          </w:p>
          <w:p w14:paraId="4F419D2D" w14:textId="77777777" w:rsidR="009948F1" w:rsidRDefault="00BC0563">
            <w:pPr>
              <w:pStyle w:val="TableParagraph"/>
              <w:spacing w:before="1"/>
              <w:ind w:left="23"/>
              <w:rPr>
                <w:sz w:val="15"/>
              </w:rPr>
            </w:pPr>
            <w:r>
              <w:rPr>
                <w:color w:val="231F20"/>
                <w:w w:val="90"/>
                <w:sz w:val="15"/>
              </w:rPr>
              <w:t>Lack of funds</w:t>
            </w:r>
          </w:p>
        </w:tc>
        <w:tc>
          <w:tcPr>
            <w:tcW w:w="1526" w:type="dxa"/>
          </w:tcPr>
          <w:p w14:paraId="2337B0A0" w14:textId="77777777" w:rsidR="009948F1" w:rsidRDefault="00BC0563">
            <w:pPr>
              <w:pStyle w:val="TableParagraph"/>
              <w:spacing w:before="41" w:line="264" w:lineRule="auto"/>
              <w:ind w:left="24" w:right="119"/>
              <w:rPr>
                <w:sz w:val="15"/>
              </w:rPr>
            </w:pPr>
            <w:r>
              <w:rPr>
                <w:color w:val="231F20"/>
                <w:w w:val="80"/>
                <w:sz w:val="15"/>
              </w:rPr>
              <w:t xml:space="preserve">Collaborate with Geriatric </w:t>
            </w:r>
            <w:r>
              <w:rPr>
                <w:color w:val="231F20"/>
                <w:w w:val="90"/>
                <w:sz w:val="15"/>
              </w:rPr>
              <w:t>Association of Nigeria</w:t>
            </w:r>
          </w:p>
        </w:tc>
      </w:tr>
      <w:tr w:rsidR="009948F1" w14:paraId="02E4B7E2" w14:textId="77777777">
        <w:trPr>
          <w:trHeight w:val="1212"/>
        </w:trPr>
        <w:tc>
          <w:tcPr>
            <w:tcW w:w="416" w:type="dxa"/>
            <w:tcBorders>
              <w:top w:val="nil"/>
              <w:left w:val="single" w:sz="8" w:space="0" w:color="231F20"/>
              <w:bottom w:val="nil"/>
            </w:tcBorders>
          </w:tcPr>
          <w:p w14:paraId="7DFBC109" w14:textId="77777777" w:rsidR="009948F1" w:rsidRDefault="009948F1">
            <w:pPr>
              <w:pStyle w:val="TableParagraph"/>
              <w:rPr>
                <w:rFonts w:ascii="Times New Roman"/>
                <w:sz w:val="12"/>
              </w:rPr>
            </w:pPr>
          </w:p>
        </w:tc>
        <w:tc>
          <w:tcPr>
            <w:tcW w:w="462" w:type="dxa"/>
            <w:shd w:val="clear" w:color="auto" w:fill="CCE7D3"/>
          </w:tcPr>
          <w:p w14:paraId="3E296B4F" w14:textId="77777777" w:rsidR="009948F1" w:rsidRDefault="009948F1">
            <w:pPr>
              <w:pStyle w:val="TableParagraph"/>
              <w:rPr>
                <w:sz w:val="14"/>
              </w:rPr>
            </w:pPr>
          </w:p>
          <w:p w14:paraId="5606850C" w14:textId="77777777" w:rsidR="009948F1" w:rsidRDefault="009948F1">
            <w:pPr>
              <w:pStyle w:val="TableParagraph"/>
              <w:rPr>
                <w:sz w:val="14"/>
              </w:rPr>
            </w:pPr>
          </w:p>
          <w:p w14:paraId="532B04E9" w14:textId="77777777" w:rsidR="009948F1" w:rsidRDefault="009948F1">
            <w:pPr>
              <w:pStyle w:val="TableParagraph"/>
              <w:spacing w:before="10"/>
              <w:rPr>
                <w:sz w:val="16"/>
              </w:rPr>
            </w:pPr>
          </w:p>
          <w:p w14:paraId="34683989" w14:textId="77777777" w:rsidR="009948F1" w:rsidRDefault="00BC0563">
            <w:pPr>
              <w:pStyle w:val="TableParagraph"/>
              <w:spacing w:before="1"/>
              <w:ind w:left="58"/>
              <w:rPr>
                <w:sz w:val="15"/>
              </w:rPr>
            </w:pPr>
            <w:r>
              <w:rPr>
                <w:color w:val="231F20"/>
                <w:w w:val="90"/>
                <w:sz w:val="15"/>
              </w:rPr>
              <w:t>6.2.2</w:t>
            </w:r>
          </w:p>
        </w:tc>
        <w:tc>
          <w:tcPr>
            <w:tcW w:w="3081" w:type="dxa"/>
            <w:gridSpan w:val="2"/>
            <w:shd w:val="clear" w:color="auto" w:fill="CCE7D3"/>
          </w:tcPr>
          <w:p w14:paraId="1D73FCE9" w14:textId="77777777" w:rsidR="009948F1" w:rsidRDefault="009948F1">
            <w:pPr>
              <w:pStyle w:val="TableParagraph"/>
              <w:rPr>
                <w:sz w:val="14"/>
              </w:rPr>
            </w:pPr>
          </w:p>
          <w:p w14:paraId="05BA3CB5" w14:textId="77777777" w:rsidR="009948F1" w:rsidRDefault="009948F1">
            <w:pPr>
              <w:pStyle w:val="TableParagraph"/>
              <w:rPr>
                <w:sz w:val="14"/>
              </w:rPr>
            </w:pPr>
          </w:p>
          <w:p w14:paraId="54B798DC" w14:textId="77777777" w:rsidR="009948F1" w:rsidRDefault="00BC0563">
            <w:pPr>
              <w:pStyle w:val="TableParagraph"/>
              <w:spacing w:before="95" w:line="264" w:lineRule="auto"/>
              <w:ind w:left="24" w:right="100" w:firstLine="33"/>
              <w:rPr>
                <w:sz w:val="15"/>
              </w:rPr>
            </w:pPr>
            <w:r>
              <w:rPr>
                <w:color w:val="231F20"/>
                <w:w w:val="80"/>
                <w:sz w:val="15"/>
              </w:rPr>
              <w:t xml:space="preserve">Promote enabling policy environment for programming </w:t>
            </w:r>
            <w:r>
              <w:rPr>
                <w:color w:val="231F20"/>
                <w:w w:val="90"/>
                <w:sz w:val="15"/>
              </w:rPr>
              <w:t>for the elderly</w:t>
            </w:r>
          </w:p>
        </w:tc>
        <w:tc>
          <w:tcPr>
            <w:tcW w:w="2418" w:type="dxa"/>
            <w:shd w:val="clear" w:color="auto" w:fill="CCE7D3"/>
          </w:tcPr>
          <w:p w14:paraId="2270171A" w14:textId="77777777" w:rsidR="009948F1" w:rsidRDefault="00BC0563">
            <w:pPr>
              <w:pStyle w:val="TableParagraph"/>
              <w:numPr>
                <w:ilvl w:val="0"/>
                <w:numId w:val="128"/>
              </w:numPr>
              <w:tabs>
                <w:tab w:val="left" w:pos="100"/>
              </w:tabs>
              <w:spacing w:before="44"/>
              <w:ind w:left="99" w:hanging="77"/>
              <w:rPr>
                <w:sz w:val="15"/>
              </w:rPr>
            </w:pPr>
            <w:r>
              <w:rPr>
                <w:color w:val="231F20"/>
                <w:w w:val="90"/>
                <w:sz w:val="15"/>
              </w:rPr>
              <w:t>Bill</w:t>
            </w:r>
            <w:r>
              <w:rPr>
                <w:color w:val="231F20"/>
                <w:spacing w:val="-12"/>
                <w:w w:val="90"/>
                <w:sz w:val="15"/>
              </w:rPr>
              <w:t xml:space="preserve"> </w:t>
            </w:r>
            <w:r>
              <w:rPr>
                <w:color w:val="231F20"/>
                <w:w w:val="90"/>
                <w:sz w:val="15"/>
              </w:rPr>
              <w:t>submitted</w:t>
            </w:r>
            <w:r>
              <w:rPr>
                <w:color w:val="231F20"/>
                <w:spacing w:val="-12"/>
                <w:w w:val="90"/>
                <w:sz w:val="15"/>
              </w:rPr>
              <w:t xml:space="preserve"> </w:t>
            </w:r>
            <w:r>
              <w:rPr>
                <w:color w:val="231F20"/>
                <w:w w:val="90"/>
                <w:sz w:val="15"/>
              </w:rPr>
              <w:t>to</w:t>
            </w:r>
            <w:r>
              <w:rPr>
                <w:color w:val="231F20"/>
                <w:spacing w:val="-11"/>
                <w:w w:val="90"/>
                <w:sz w:val="15"/>
              </w:rPr>
              <w:t xml:space="preserve"> </w:t>
            </w:r>
            <w:r>
              <w:rPr>
                <w:color w:val="231F20"/>
                <w:w w:val="90"/>
                <w:sz w:val="15"/>
              </w:rPr>
              <w:t>Government</w:t>
            </w:r>
          </w:p>
          <w:p w14:paraId="4132F87E" w14:textId="77777777" w:rsidR="009948F1" w:rsidRDefault="00BC0563">
            <w:pPr>
              <w:pStyle w:val="TableParagraph"/>
              <w:numPr>
                <w:ilvl w:val="0"/>
                <w:numId w:val="128"/>
              </w:numPr>
              <w:tabs>
                <w:tab w:val="left" w:pos="93"/>
              </w:tabs>
              <w:spacing w:before="17" w:line="264" w:lineRule="auto"/>
              <w:ind w:right="213" w:firstLine="0"/>
              <w:rPr>
                <w:sz w:val="15"/>
              </w:rPr>
            </w:pPr>
            <w:r>
              <w:rPr>
                <w:color w:val="231F20"/>
                <w:w w:val="80"/>
                <w:sz w:val="15"/>
              </w:rPr>
              <w:t xml:space="preserve">Advocacy visit to Chiefs and Traditional </w:t>
            </w:r>
            <w:r>
              <w:rPr>
                <w:color w:val="231F20"/>
                <w:w w:val="90"/>
                <w:sz w:val="15"/>
              </w:rPr>
              <w:t>rulers</w:t>
            </w:r>
            <w:r>
              <w:rPr>
                <w:color w:val="231F20"/>
                <w:spacing w:val="-7"/>
                <w:w w:val="90"/>
                <w:sz w:val="15"/>
              </w:rPr>
              <w:t xml:space="preserve"> </w:t>
            </w:r>
            <w:r>
              <w:rPr>
                <w:color w:val="231F20"/>
                <w:w w:val="90"/>
                <w:sz w:val="15"/>
              </w:rPr>
              <w:t>done</w:t>
            </w:r>
          </w:p>
          <w:p w14:paraId="5B73CE84" w14:textId="77777777" w:rsidR="009948F1" w:rsidRDefault="00BC0563">
            <w:pPr>
              <w:pStyle w:val="TableParagraph"/>
              <w:numPr>
                <w:ilvl w:val="0"/>
                <w:numId w:val="128"/>
              </w:numPr>
              <w:tabs>
                <w:tab w:val="left" w:pos="100"/>
              </w:tabs>
              <w:spacing w:line="264" w:lineRule="auto"/>
              <w:ind w:right="253" w:firstLine="0"/>
              <w:rPr>
                <w:sz w:val="15"/>
              </w:rPr>
            </w:pPr>
            <w:r>
              <w:rPr>
                <w:color w:val="231F20"/>
                <w:w w:val="80"/>
                <w:sz w:val="15"/>
              </w:rPr>
              <w:t xml:space="preserve">Multi-sectoral State/Local Government </w:t>
            </w:r>
            <w:r>
              <w:rPr>
                <w:color w:val="231F20"/>
                <w:w w:val="85"/>
                <w:sz w:val="15"/>
              </w:rPr>
              <w:t>task</w:t>
            </w:r>
            <w:r>
              <w:rPr>
                <w:color w:val="231F20"/>
                <w:spacing w:val="-16"/>
                <w:w w:val="85"/>
                <w:sz w:val="15"/>
              </w:rPr>
              <w:t xml:space="preserve"> </w:t>
            </w:r>
            <w:r>
              <w:rPr>
                <w:color w:val="231F20"/>
                <w:w w:val="85"/>
                <w:sz w:val="15"/>
              </w:rPr>
              <w:t>force</w:t>
            </w:r>
            <w:r>
              <w:rPr>
                <w:color w:val="231F20"/>
                <w:spacing w:val="-16"/>
                <w:w w:val="85"/>
                <w:sz w:val="15"/>
              </w:rPr>
              <w:t xml:space="preserve"> </w:t>
            </w:r>
            <w:r>
              <w:rPr>
                <w:color w:val="231F20"/>
                <w:w w:val="85"/>
                <w:sz w:val="15"/>
              </w:rPr>
              <w:t>on</w:t>
            </w:r>
            <w:r>
              <w:rPr>
                <w:color w:val="231F20"/>
                <w:spacing w:val="-16"/>
                <w:w w:val="85"/>
                <w:sz w:val="15"/>
              </w:rPr>
              <w:t xml:space="preserve"> </w:t>
            </w:r>
            <w:r>
              <w:rPr>
                <w:color w:val="231F20"/>
                <w:w w:val="85"/>
                <w:sz w:val="15"/>
              </w:rPr>
              <w:t>prevention</w:t>
            </w:r>
            <w:r>
              <w:rPr>
                <w:color w:val="231F20"/>
                <w:spacing w:val="-15"/>
                <w:w w:val="85"/>
                <w:sz w:val="15"/>
              </w:rPr>
              <w:t xml:space="preserve"> </w:t>
            </w:r>
            <w:r>
              <w:rPr>
                <w:color w:val="231F20"/>
                <w:w w:val="85"/>
                <w:sz w:val="15"/>
              </w:rPr>
              <w:t>and</w:t>
            </w:r>
            <w:r>
              <w:rPr>
                <w:color w:val="231F20"/>
                <w:spacing w:val="-16"/>
                <w:w w:val="85"/>
                <w:sz w:val="15"/>
              </w:rPr>
              <w:t xml:space="preserve"> </w:t>
            </w:r>
            <w:r>
              <w:rPr>
                <w:color w:val="231F20"/>
                <w:w w:val="85"/>
                <w:sz w:val="15"/>
              </w:rPr>
              <w:t>control</w:t>
            </w:r>
            <w:r>
              <w:rPr>
                <w:color w:val="231F20"/>
                <w:spacing w:val="-16"/>
                <w:w w:val="85"/>
                <w:sz w:val="15"/>
              </w:rPr>
              <w:t xml:space="preserve"> </w:t>
            </w:r>
            <w:r>
              <w:rPr>
                <w:color w:val="231F20"/>
                <w:w w:val="85"/>
                <w:sz w:val="15"/>
              </w:rPr>
              <w:t xml:space="preserve">of </w:t>
            </w:r>
            <w:r>
              <w:rPr>
                <w:color w:val="231F20"/>
                <w:w w:val="90"/>
                <w:sz w:val="15"/>
              </w:rPr>
              <w:t>elderly abuse</w:t>
            </w:r>
            <w:r>
              <w:rPr>
                <w:color w:val="231F20"/>
                <w:spacing w:val="-22"/>
                <w:w w:val="90"/>
                <w:sz w:val="15"/>
              </w:rPr>
              <w:t xml:space="preserve"> </w:t>
            </w:r>
            <w:r>
              <w:rPr>
                <w:color w:val="231F20"/>
                <w:w w:val="90"/>
                <w:sz w:val="15"/>
              </w:rPr>
              <w:t>established</w:t>
            </w:r>
          </w:p>
        </w:tc>
        <w:tc>
          <w:tcPr>
            <w:tcW w:w="1447" w:type="dxa"/>
            <w:shd w:val="clear" w:color="auto" w:fill="CCE7D3"/>
          </w:tcPr>
          <w:p w14:paraId="04C68881" w14:textId="77777777" w:rsidR="009948F1" w:rsidRDefault="009948F1">
            <w:pPr>
              <w:pStyle w:val="TableParagraph"/>
              <w:rPr>
                <w:rFonts w:ascii="Times New Roman"/>
                <w:sz w:val="12"/>
              </w:rPr>
            </w:pPr>
          </w:p>
        </w:tc>
        <w:tc>
          <w:tcPr>
            <w:tcW w:w="1526" w:type="dxa"/>
            <w:shd w:val="clear" w:color="auto" w:fill="CCE7D3"/>
          </w:tcPr>
          <w:p w14:paraId="4F6F7B94" w14:textId="77777777" w:rsidR="009948F1" w:rsidRDefault="009948F1">
            <w:pPr>
              <w:pStyle w:val="TableParagraph"/>
              <w:rPr>
                <w:rFonts w:ascii="Times New Roman"/>
                <w:sz w:val="12"/>
              </w:rPr>
            </w:pPr>
          </w:p>
        </w:tc>
      </w:tr>
      <w:tr w:rsidR="009948F1" w14:paraId="2F9B89DC" w14:textId="77777777">
        <w:trPr>
          <w:trHeight w:val="615"/>
        </w:trPr>
        <w:tc>
          <w:tcPr>
            <w:tcW w:w="878" w:type="dxa"/>
            <w:gridSpan w:val="2"/>
            <w:vMerge w:val="restart"/>
            <w:tcBorders>
              <w:top w:val="nil"/>
              <w:left w:val="single" w:sz="8" w:space="0" w:color="231F20"/>
              <w:bottom w:val="nil"/>
            </w:tcBorders>
          </w:tcPr>
          <w:p w14:paraId="1B6F07C9" w14:textId="77777777" w:rsidR="009948F1" w:rsidRDefault="009948F1">
            <w:pPr>
              <w:pStyle w:val="TableParagraph"/>
              <w:rPr>
                <w:rFonts w:ascii="Times New Roman"/>
                <w:sz w:val="12"/>
              </w:rPr>
            </w:pPr>
          </w:p>
        </w:tc>
        <w:tc>
          <w:tcPr>
            <w:tcW w:w="534" w:type="dxa"/>
          </w:tcPr>
          <w:p w14:paraId="0D8A63B8" w14:textId="77777777" w:rsidR="009948F1" w:rsidRDefault="009948F1">
            <w:pPr>
              <w:pStyle w:val="TableParagraph"/>
              <w:rPr>
                <w:sz w:val="19"/>
              </w:rPr>
            </w:pPr>
          </w:p>
          <w:p w14:paraId="11204F15" w14:textId="77777777" w:rsidR="009948F1" w:rsidRDefault="00BC0563">
            <w:pPr>
              <w:pStyle w:val="TableParagraph"/>
              <w:ind w:left="29" w:right="12"/>
              <w:jc w:val="center"/>
              <w:rPr>
                <w:sz w:val="15"/>
              </w:rPr>
            </w:pPr>
            <w:r>
              <w:rPr>
                <w:color w:val="231F20"/>
                <w:w w:val="85"/>
                <w:sz w:val="15"/>
              </w:rPr>
              <w:t>6.2.2.a</w:t>
            </w:r>
          </w:p>
        </w:tc>
        <w:tc>
          <w:tcPr>
            <w:tcW w:w="4965" w:type="dxa"/>
            <w:gridSpan w:val="2"/>
          </w:tcPr>
          <w:p w14:paraId="1F8685D0" w14:textId="280AE730" w:rsidR="009948F1" w:rsidRDefault="00BC0563">
            <w:pPr>
              <w:pStyle w:val="TableParagraph"/>
              <w:spacing w:before="118" w:line="264" w:lineRule="auto"/>
              <w:ind w:left="23" w:right="316"/>
              <w:rPr>
                <w:sz w:val="15"/>
              </w:rPr>
            </w:pPr>
            <w:r>
              <w:rPr>
                <w:color w:val="231F20"/>
                <w:w w:val="85"/>
                <w:sz w:val="15"/>
              </w:rPr>
              <w:t>Propose</w:t>
            </w:r>
            <w:r>
              <w:rPr>
                <w:color w:val="231F20"/>
                <w:spacing w:val="-18"/>
                <w:w w:val="85"/>
                <w:sz w:val="15"/>
              </w:rPr>
              <w:t xml:space="preserve"> </w:t>
            </w:r>
            <w:r>
              <w:rPr>
                <w:color w:val="231F20"/>
                <w:w w:val="85"/>
                <w:sz w:val="15"/>
              </w:rPr>
              <w:t>bill</w:t>
            </w:r>
            <w:r>
              <w:rPr>
                <w:color w:val="231F20"/>
                <w:spacing w:val="-17"/>
                <w:w w:val="85"/>
                <w:sz w:val="15"/>
              </w:rPr>
              <w:t xml:space="preserve"> </w:t>
            </w:r>
            <w:r>
              <w:rPr>
                <w:color w:val="231F20"/>
                <w:w w:val="85"/>
                <w:sz w:val="15"/>
              </w:rPr>
              <w:t>to</w:t>
            </w:r>
            <w:r>
              <w:rPr>
                <w:color w:val="231F20"/>
                <w:spacing w:val="-18"/>
                <w:w w:val="85"/>
                <w:sz w:val="15"/>
              </w:rPr>
              <w:t xml:space="preserve"> </w:t>
            </w:r>
            <w:r>
              <w:rPr>
                <w:color w:val="231F20"/>
                <w:w w:val="85"/>
                <w:sz w:val="15"/>
              </w:rPr>
              <w:t>Government</w:t>
            </w:r>
            <w:r>
              <w:rPr>
                <w:color w:val="231F20"/>
                <w:spacing w:val="1"/>
                <w:w w:val="85"/>
                <w:sz w:val="15"/>
              </w:rPr>
              <w:t xml:space="preserve"> </w:t>
            </w:r>
            <w:r>
              <w:rPr>
                <w:color w:val="231F20"/>
                <w:w w:val="85"/>
                <w:sz w:val="15"/>
              </w:rPr>
              <w:t>on</w:t>
            </w:r>
            <w:r>
              <w:rPr>
                <w:color w:val="231F20"/>
                <w:spacing w:val="1"/>
                <w:w w:val="85"/>
                <w:sz w:val="15"/>
              </w:rPr>
              <w:t xml:space="preserve"> </w:t>
            </w:r>
            <w:r>
              <w:rPr>
                <w:color w:val="231F20"/>
                <w:w w:val="85"/>
                <w:sz w:val="15"/>
              </w:rPr>
              <w:t>policy/</w:t>
            </w:r>
            <w:r>
              <w:rPr>
                <w:color w:val="231F20"/>
                <w:spacing w:val="-17"/>
                <w:w w:val="85"/>
                <w:sz w:val="15"/>
              </w:rPr>
              <w:t xml:space="preserve"> </w:t>
            </w:r>
            <w:r>
              <w:rPr>
                <w:color w:val="231F20"/>
                <w:w w:val="85"/>
                <w:sz w:val="15"/>
              </w:rPr>
              <w:t>law</w:t>
            </w:r>
            <w:r>
              <w:rPr>
                <w:color w:val="231F20"/>
                <w:spacing w:val="-18"/>
                <w:w w:val="85"/>
                <w:sz w:val="15"/>
              </w:rPr>
              <w:t xml:space="preserve"> </w:t>
            </w:r>
            <w:r>
              <w:rPr>
                <w:color w:val="231F20"/>
                <w:w w:val="85"/>
                <w:sz w:val="15"/>
              </w:rPr>
              <w:t>that</w:t>
            </w:r>
            <w:r>
              <w:rPr>
                <w:color w:val="231F20"/>
                <w:spacing w:val="-17"/>
                <w:w w:val="85"/>
                <w:sz w:val="15"/>
              </w:rPr>
              <w:t xml:space="preserve"> </w:t>
            </w:r>
            <w:r>
              <w:rPr>
                <w:color w:val="231F20"/>
                <w:w w:val="85"/>
                <w:sz w:val="15"/>
              </w:rPr>
              <w:t>protect</w:t>
            </w:r>
            <w:r>
              <w:rPr>
                <w:color w:val="231F20"/>
                <w:spacing w:val="-18"/>
                <w:w w:val="85"/>
                <w:sz w:val="15"/>
              </w:rPr>
              <w:t xml:space="preserve"> </w:t>
            </w:r>
            <w:r>
              <w:rPr>
                <w:color w:val="231F20"/>
                <w:w w:val="85"/>
                <w:sz w:val="15"/>
              </w:rPr>
              <w:t>the</w:t>
            </w:r>
            <w:r>
              <w:rPr>
                <w:color w:val="231F20"/>
                <w:spacing w:val="-17"/>
                <w:w w:val="85"/>
                <w:sz w:val="15"/>
              </w:rPr>
              <w:t xml:space="preserve"> </w:t>
            </w:r>
            <w:r>
              <w:rPr>
                <w:color w:val="231F20"/>
                <w:w w:val="85"/>
                <w:sz w:val="15"/>
              </w:rPr>
              <w:t>rights</w:t>
            </w:r>
            <w:r>
              <w:rPr>
                <w:color w:val="231F20"/>
                <w:spacing w:val="-18"/>
                <w:w w:val="85"/>
                <w:sz w:val="15"/>
              </w:rPr>
              <w:t xml:space="preserve"> </w:t>
            </w:r>
            <w:r>
              <w:rPr>
                <w:color w:val="231F20"/>
                <w:w w:val="85"/>
                <w:sz w:val="15"/>
              </w:rPr>
              <w:t>and</w:t>
            </w:r>
            <w:r>
              <w:rPr>
                <w:color w:val="231F20"/>
                <w:spacing w:val="-17"/>
                <w:w w:val="85"/>
                <w:sz w:val="15"/>
              </w:rPr>
              <w:t xml:space="preserve"> </w:t>
            </w:r>
            <w:r w:rsidR="00FB089D">
              <w:rPr>
                <w:color w:val="231F20"/>
                <w:w w:val="85"/>
                <w:sz w:val="15"/>
              </w:rPr>
              <w:t>privileges</w:t>
            </w:r>
            <w:r>
              <w:rPr>
                <w:color w:val="231F20"/>
                <w:spacing w:val="-18"/>
                <w:w w:val="85"/>
                <w:sz w:val="15"/>
              </w:rPr>
              <w:t xml:space="preserve"> </w:t>
            </w:r>
            <w:r>
              <w:rPr>
                <w:color w:val="231F20"/>
                <w:w w:val="85"/>
                <w:sz w:val="15"/>
              </w:rPr>
              <w:t>of</w:t>
            </w:r>
            <w:r>
              <w:rPr>
                <w:color w:val="231F20"/>
                <w:spacing w:val="-17"/>
                <w:w w:val="85"/>
                <w:sz w:val="15"/>
              </w:rPr>
              <w:t xml:space="preserve"> </w:t>
            </w:r>
            <w:r>
              <w:rPr>
                <w:color w:val="231F20"/>
                <w:w w:val="85"/>
                <w:sz w:val="15"/>
              </w:rPr>
              <w:t xml:space="preserve">the </w:t>
            </w:r>
            <w:r>
              <w:rPr>
                <w:color w:val="231F20"/>
                <w:w w:val="90"/>
                <w:sz w:val="15"/>
              </w:rPr>
              <w:t>elderly.</w:t>
            </w:r>
          </w:p>
        </w:tc>
        <w:tc>
          <w:tcPr>
            <w:tcW w:w="1447" w:type="dxa"/>
          </w:tcPr>
          <w:p w14:paraId="06C84459" w14:textId="77777777" w:rsidR="009948F1" w:rsidRDefault="009948F1">
            <w:pPr>
              <w:pStyle w:val="TableParagraph"/>
              <w:rPr>
                <w:sz w:val="19"/>
              </w:rPr>
            </w:pPr>
          </w:p>
          <w:p w14:paraId="4BF2BE42" w14:textId="77777777" w:rsidR="009948F1" w:rsidRDefault="00BC0563">
            <w:pPr>
              <w:pStyle w:val="TableParagraph"/>
              <w:ind w:left="23"/>
              <w:rPr>
                <w:sz w:val="15"/>
              </w:rPr>
            </w:pPr>
            <w:r>
              <w:rPr>
                <w:color w:val="231F20"/>
                <w:w w:val="90"/>
                <w:sz w:val="15"/>
              </w:rPr>
              <w:t>Lack of funds</w:t>
            </w:r>
          </w:p>
        </w:tc>
        <w:tc>
          <w:tcPr>
            <w:tcW w:w="1526" w:type="dxa"/>
          </w:tcPr>
          <w:p w14:paraId="3A79BF19" w14:textId="77777777" w:rsidR="009948F1" w:rsidRDefault="009948F1">
            <w:pPr>
              <w:pStyle w:val="TableParagraph"/>
              <w:rPr>
                <w:sz w:val="19"/>
              </w:rPr>
            </w:pPr>
          </w:p>
          <w:p w14:paraId="6BA4E2BE" w14:textId="6F08A903" w:rsidR="009948F1" w:rsidRDefault="00BC0563">
            <w:pPr>
              <w:pStyle w:val="TableParagraph"/>
              <w:ind w:left="24"/>
              <w:rPr>
                <w:sz w:val="15"/>
              </w:rPr>
            </w:pPr>
            <w:r>
              <w:rPr>
                <w:color w:val="231F20"/>
                <w:w w:val="85"/>
                <w:sz w:val="15"/>
              </w:rPr>
              <w:t>Propose</w:t>
            </w:r>
            <w:r>
              <w:rPr>
                <w:color w:val="231F20"/>
                <w:spacing w:val="-22"/>
                <w:w w:val="85"/>
                <w:sz w:val="15"/>
              </w:rPr>
              <w:t xml:space="preserve"> </w:t>
            </w:r>
            <w:r w:rsidR="00FB089D">
              <w:rPr>
                <w:color w:val="231F20"/>
                <w:w w:val="85"/>
                <w:sz w:val="15"/>
              </w:rPr>
              <w:t xml:space="preserve">Bill </w:t>
            </w:r>
            <w:r>
              <w:rPr>
                <w:color w:val="231F20"/>
                <w:spacing w:val="-21"/>
                <w:w w:val="85"/>
                <w:sz w:val="15"/>
              </w:rPr>
              <w:t xml:space="preserve"> </w:t>
            </w:r>
            <w:r>
              <w:rPr>
                <w:color w:val="231F20"/>
                <w:w w:val="85"/>
                <w:sz w:val="15"/>
              </w:rPr>
              <w:t>to</w:t>
            </w:r>
            <w:r>
              <w:rPr>
                <w:color w:val="231F20"/>
                <w:spacing w:val="-21"/>
                <w:w w:val="85"/>
                <w:sz w:val="15"/>
              </w:rPr>
              <w:t xml:space="preserve"> </w:t>
            </w:r>
            <w:r>
              <w:rPr>
                <w:color w:val="231F20"/>
                <w:w w:val="85"/>
                <w:sz w:val="15"/>
              </w:rPr>
              <w:t>Government</w:t>
            </w:r>
          </w:p>
        </w:tc>
      </w:tr>
      <w:tr w:rsidR="009948F1" w14:paraId="68EC50D0" w14:textId="77777777">
        <w:trPr>
          <w:trHeight w:val="803"/>
        </w:trPr>
        <w:tc>
          <w:tcPr>
            <w:tcW w:w="878" w:type="dxa"/>
            <w:gridSpan w:val="2"/>
            <w:vMerge/>
            <w:tcBorders>
              <w:top w:val="nil"/>
              <w:left w:val="single" w:sz="8" w:space="0" w:color="231F20"/>
              <w:bottom w:val="nil"/>
            </w:tcBorders>
          </w:tcPr>
          <w:p w14:paraId="7D049A0E" w14:textId="77777777" w:rsidR="009948F1" w:rsidRDefault="009948F1">
            <w:pPr>
              <w:rPr>
                <w:sz w:val="2"/>
                <w:szCs w:val="2"/>
              </w:rPr>
            </w:pPr>
          </w:p>
        </w:tc>
        <w:tc>
          <w:tcPr>
            <w:tcW w:w="534" w:type="dxa"/>
          </w:tcPr>
          <w:p w14:paraId="349702D3" w14:textId="77777777" w:rsidR="009948F1" w:rsidRDefault="009948F1">
            <w:pPr>
              <w:pStyle w:val="TableParagraph"/>
              <w:rPr>
                <w:sz w:val="14"/>
              </w:rPr>
            </w:pPr>
          </w:p>
          <w:p w14:paraId="20541652" w14:textId="77777777" w:rsidR="009948F1" w:rsidRDefault="009948F1">
            <w:pPr>
              <w:pStyle w:val="TableParagraph"/>
              <w:spacing w:before="1"/>
              <w:rPr>
                <w:sz w:val="13"/>
              </w:rPr>
            </w:pPr>
          </w:p>
          <w:p w14:paraId="54E90E12" w14:textId="77777777" w:rsidR="009948F1" w:rsidRDefault="00BC0563">
            <w:pPr>
              <w:pStyle w:val="TableParagraph"/>
              <w:spacing w:before="1"/>
              <w:ind w:left="29" w:right="12"/>
              <w:jc w:val="center"/>
              <w:rPr>
                <w:sz w:val="15"/>
              </w:rPr>
            </w:pPr>
            <w:r>
              <w:rPr>
                <w:color w:val="231F20"/>
                <w:w w:val="85"/>
                <w:sz w:val="15"/>
              </w:rPr>
              <w:t>6.2.2.b</w:t>
            </w:r>
          </w:p>
        </w:tc>
        <w:tc>
          <w:tcPr>
            <w:tcW w:w="4965" w:type="dxa"/>
            <w:gridSpan w:val="2"/>
          </w:tcPr>
          <w:p w14:paraId="0BCDB0EB" w14:textId="77777777" w:rsidR="009948F1" w:rsidRDefault="00BC0563">
            <w:pPr>
              <w:pStyle w:val="TableParagraph"/>
              <w:spacing w:before="117" w:line="264" w:lineRule="auto"/>
              <w:ind w:left="23" w:right="91" w:firstLine="26"/>
              <w:rPr>
                <w:sz w:val="15"/>
              </w:rPr>
            </w:pPr>
            <w:r>
              <w:rPr>
                <w:color w:val="231F20"/>
                <w:w w:val="85"/>
                <w:sz w:val="15"/>
              </w:rPr>
              <w:t>Advocacy</w:t>
            </w:r>
            <w:r>
              <w:rPr>
                <w:color w:val="231F20"/>
                <w:spacing w:val="-19"/>
                <w:w w:val="85"/>
                <w:sz w:val="15"/>
              </w:rPr>
              <w:t xml:space="preserve"> </w:t>
            </w:r>
            <w:r>
              <w:rPr>
                <w:color w:val="231F20"/>
                <w:w w:val="85"/>
                <w:sz w:val="15"/>
              </w:rPr>
              <w:t>visit</w:t>
            </w:r>
            <w:r>
              <w:rPr>
                <w:color w:val="231F20"/>
                <w:spacing w:val="-19"/>
                <w:w w:val="85"/>
                <w:sz w:val="15"/>
              </w:rPr>
              <w:t xml:space="preserve"> </w:t>
            </w:r>
            <w:r>
              <w:rPr>
                <w:color w:val="231F20"/>
                <w:w w:val="85"/>
                <w:sz w:val="15"/>
              </w:rPr>
              <w:t>to</w:t>
            </w:r>
            <w:r>
              <w:rPr>
                <w:color w:val="231F20"/>
                <w:spacing w:val="-18"/>
                <w:w w:val="85"/>
                <w:sz w:val="15"/>
              </w:rPr>
              <w:t xml:space="preserve"> </w:t>
            </w:r>
            <w:r>
              <w:rPr>
                <w:color w:val="231F20"/>
                <w:w w:val="85"/>
                <w:sz w:val="15"/>
              </w:rPr>
              <w:t>Chiefs</w:t>
            </w:r>
            <w:r>
              <w:rPr>
                <w:color w:val="231F20"/>
                <w:spacing w:val="-19"/>
                <w:w w:val="85"/>
                <w:sz w:val="15"/>
              </w:rPr>
              <w:t xml:space="preserve"> </w:t>
            </w:r>
            <w:r>
              <w:rPr>
                <w:color w:val="231F20"/>
                <w:w w:val="85"/>
                <w:sz w:val="15"/>
              </w:rPr>
              <w:t>and</w:t>
            </w:r>
            <w:r>
              <w:rPr>
                <w:color w:val="231F20"/>
                <w:spacing w:val="-19"/>
                <w:w w:val="85"/>
                <w:sz w:val="15"/>
              </w:rPr>
              <w:t xml:space="preserve"> </w:t>
            </w:r>
            <w:r>
              <w:rPr>
                <w:color w:val="231F20"/>
                <w:w w:val="85"/>
                <w:sz w:val="15"/>
              </w:rPr>
              <w:t>Traditional</w:t>
            </w:r>
            <w:r>
              <w:rPr>
                <w:color w:val="231F20"/>
                <w:spacing w:val="-19"/>
                <w:w w:val="85"/>
                <w:sz w:val="15"/>
              </w:rPr>
              <w:t xml:space="preserve"> </w:t>
            </w:r>
            <w:r>
              <w:rPr>
                <w:color w:val="231F20"/>
                <w:w w:val="85"/>
                <w:sz w:val="15"/>
              </w:rPr>
              <w:t>rulers</w:t>
            </w:r>
            <w:r>
              <w:rPr>
                <w:color w:val="231F20"/>
                <w:spacing w:val="-18"/>
                <w:w w:val="85"/>
                <w:sz w:val="15"/>
              </w:rPr>
              <w:t xml:space="preserve"> </w:t>
            </w:r>
            <w:r>
              <w:rPr>
                <w:color w:val="231F20"/>
                <w:w w:val="85"/>
                <w:sz w:val="15"/>
              </w:rPr>
              <w:t>in</w:t>
            </w:r>
            <w:r>
              <w:rPr>
                <w:color w:val="231F20"/>
                <w:spacing w:val="-19"/>
                <w:w w:val="85"/>
                <w:sz w:val="15"/>
              </w:rPr>
              <w:t xml:space="preserve"> </w:t>
            </w:r>
            <w:r>
              <w:rPr>
                <w:color w:val="231F20"/>
                <w:w w:val="85"/>
                <w:sz w:val="15"/>
              </w:rPr>
              <w:t>the</w:t>
            </w:r>
            <w:r>
              <w:rPr>
                <w:color w:val="231F20"/>
                <w:spacing w:val="-19"/>
                <w:w w:val="85"/>
                <w:sz w:val="15"/>
              </w:rPr>
              <w:t xml:space="preserve"> </w:t>
            </w:r>
            <w:r>
              <w:rPr>
                <w:color w:val="231F20"/>
                <w:w w:val="85"/>
                <w:sz w:val="15"/>
              </w:rPr>
              <w:t>community</w:t>
            </w:r>
            <w:r>
              <w:rPr>
                <w:color w:val="231F20"/>
                <w:spacing w:val="-18"/>
                <w:w w:val="85"/>
                <w:sz w:val="15"/>
              </w:rPr>
              <w:t xml:space="preserve"> </w:t>
            </w:r>
            <w:r>
              <w:rPr>
                <w:color w:val="231F20"/>
                <w:w w:val="85"/>
                <w:sz w:val="15"/>
              </w:rPr>
              <w:t>to</w:t>
            </w:r>
            <w:r>
              <w:rPr>
                <w:color w:val="231F20"/>
                <w:spacing w:val="-19"/>
                <w:w w:val="85"/>
                <w:sz w:val="15"/>
              </w:rPr>
              <w:t xml:space="preserve"> </w:t>
            </w:r>
            <w:r>
              <w:rPr>
                <w:color w:val="231F20"/>
                <w:w w:val="85"/>
                <w:sz w:val="15"/>
              </w:rPr>
              <w:t>intimate</w:t>
            </w:r>
            <w:r>
              <w:rPr>
                <w:color w:val="231F20"/>
                <w:spacing w:val="-18"/>
                <w:w w:val="85"/>
                <w:sz w:val="15"/>
              </w:rPr>
              <w:t xml:space="preserve"> </w:t>
            </w:r>
            <w:r>
              <w:rPr>
                <w:color w:val="231F20"/>
                <w:w w:val="85"/>
                <w:sz w:val="15"/>
              </w:rPr>
              <w:t>them</w:t>
            </w:r>
            <w:r>
              <w:rPr>
                <w:color w:val="231F20"/>
                <w:spacing w:val="-19"/>
                <w:w w:val="85"/>
                <w:sz w:val="15"/>
              </w:rPr>
              <w:t xml:space="preserve"> </w:t>
            </w:r>
            <w:r>
              <w:rPr>
                <w:color w:val="231F20"/>
                <w:w w:val="85"/>
                <w:sz w:val="15"/>
              </w:rPr>
              <w:t>on</w:t>
            </w:r>
            <w:r>
              <w:rPr>
                <w:color w:val="231F20"/>
                <w:spacing w:val="-18"/>
                <w:w w:val="85"/>
                <w:sz w:val="15"/>
              </w:rPr>
              <w:t xml:space="preserve"> </w:t>
            </w:r>
            <w:r>
              <w:rPr>
                <w:color w:val="231F20"/>
                <w:w w:val="85"/>
                <w:sz w:val="15"/>
              </w:rPr>
              <w:t>roles and</w:t>
            </w:r>
            <w:r>
              <w:rPr>
                <w:color w:val="231F20"/>
                <w:spacing w:val="-24"/>
                <w:w w:val="85"/>
                <w:sz w:val="15"/>
              </w:rPr>
              <w:t xml:space="preserve"> </w:t>
            </w:r>
            <w:r>
              <w:rPr>
                <w:color w:val="231F20"/>
                <w:w w:val="85"/>
                <w:sz w:val="15"/>
              </w:rPr>
              <w:t>responsibilities</w:t>
            </w:r>
            <w:r>
              <w:rPr>
                <w:color w:val="231F20"/>
                <w:spacing w:val="-24"/>
                <w:w w:val="85"/>
                <w:sz w:val="15"/>
              </w:rPr>
              <w:t xml:space="preserve"> </w:t>
            </w:r>
            <w:r>
              <w:rPr>
                <w:color w:val="231F20"/>
                <w:w w:val="85"/>
                <w:sz w:val="15"/>
              </w:rPr>
              <w:t>they</w:t>
            </w:r>
            <w:r>
              <w:rPr>
                <w:color w:val="231F20"/>
                <w:spacing w:val="-24"/>
                <w:w w:val="85"/>
                <w:sz w:val="15"/>
              </w:rPr>
              <w:t xml:space="preserve"> </w:t>
            </w:r>
            <w:r>
              <w:rPr>
                <w:color w:val="231F20"/>
                <w:w w:val="85"/>
                <w:sz w:val="15"/>
              </w:rPr>
              <w:t>need</w:t>
            </w:r>
            <w:r>
              <w:rPr>
                <w:color w:val="231F20"/>
                <w:spacing w:val="-24"/>
                <w:w w:val="85"/>
                <w:sz w:val="15"/>
              </w:rPr>
              <w:t xml:space="preserve"> </w:t>
            </w:r>
            <w:r>
              <w:rPr>
                <w:color w:val="231F20"/>
                <w:w w:val="85"/>
                <w:sz w:val="15"/>
              </w:rPr>
              <w:t>to</w:t>
            </w:r>
            <w:r>
              <w:rPr>
                <w:color w:val="231F20"/>
                <w:spacing w:val="-24"/>
                <w:w w:val="85"/>
                <w:sz w:val="15"/>
              </w:rPr>
              <w:t xml:space="preserve"> </w:t>
            </w:r>
            <w:r>
              <w:rPr>
                <w:color w:val="231F20"/>
                <w:w w:val="85"/>
                <w:sz w:val="15"/>
              </w:rPr>
              <w:t>play</w:t>
            </w:r>
            <w:r>
              <w:rPr>
                <w:color w:val="231F20"/>
                <w:spacing w:val="-24"/>
                <w:w w:val="85"/>
                <w:sz w:val="15"/>
              </w:rPr>
              <w:t xml:space="preserve"> </w:t>
            </w:r>
            <w:r>
              <w:rPr>
                <w:color w:val="231F20"/>
                <w:w w:val="85"/>
                <w:sz w:val="15"/>
              </w:rPr>
              <w:t>to</w:t>
            </w:r>
            <w:r>
              <w:rPr>
                <w:color w:val="231F20"/>
                <w:spacing w:val="-24"/>
                <w:w w:val="85"/>
                <w:sz w:val="15"/>
              </w:rPr>
              <w:t xml:space="preserve"> </w:t>
            </w:r>
            <w:r>
              <w:rPr>
                <w:color w:val="231F20"/>
                <w:w w:val="85"/>
                <w:sz w:val="15"/>
              </w:rPr>
              <w:t>create</w:t>
            </w:r>
            <w:r>
              <w:rPr>
                <w:color w:val="231F20"/>
                <w:spacing w:val="-24"/>
                <w:w w:val="85"/>
                <w:sz w:val="15"/>
              </w:rPr>
              <w:t xml:space="preserve"> </w:t>
            </w:r>
            <w:r>
              <w:rPr>
                <w:color w:val="231F20"/>
                <w:w w:val="85"/>
                <w:sz w:val="15"/>
              </w:rPr>
              <w:t>enabling</w:t>
            </w:r>
            <w:r>
              <w:rPr>
                <w:color w:val="231F20"/>
                <w:spacing w:val="-24"/>
                <w:w w:val="85"/>
                <w:sz w:val="15"/>
              </w:rPr>
              <w:t xml:space="preserve"> </w:t>
            </w:r>
            <w:r>
              <w:rPr>
                <w:color w:val="231F20"/>
                <w:w w:val="85"/>
                <w:sz w:val="15"/>
              </w:rPr>
              <w:t>environment</w:t>
            </w:r>
            <w:r>
              <w:rPr>
                <w:color w:val="231F20"/>
                <w:spacing w:val="-24"/>
                <w:w w:val="85"/>
                <w:sz w:val="15"/>
              </w:rPr>
              <w:t xml:space="preserve"> </w:t>
            </w:r>
            <w:r>
              <w:rPr>
                <w:color w:val="231F20"/>
                <w:w w:val="85"/>
                <w:sz w:val="15"/>
              </w:rPr>
              <w:t>for</w:t>
            </w:r>
            <w:r>
              <w:rPr>
                <w:color w:val="231F20"/>
                <w:spacing w:val="-24"/>
                <w:w w:val="85"/>
                <w:sz w:val="15"/>
              </w:rPr>
              <w:t xml:space="preserve"> </w:t>
            </w:r>
            <w:r>
              <w:rPr>
                <w:color w:val="231F20"/>
                <w:w w:val="85"/>
                <w:sz w:val="15"/>
              </w:rPr>
              <w:t>implementation</w:t>
            </w:r>
            <w:r>
              <w:rPr>
                <w:color w:val="231F20"/>
                <w:spacing w:val="-24"/>
                <w:w w:val="85"/>
                <w:sz w:val="15"/>
              </w:rPr>
              <w:t xml:space="preserve"> </w:t>
            </w:r>
            <w:r>
              <w:rPr>
                <w:color w:val="231F20"/>
                <w:w w:val="85"/>
                <w:sz w:val="15"/>
              </w:rPr>
              <w:t xml:space="preserve">of </w:t>
            </w:r>
            <w:r>
              <w:rPr>
                <w:color w:val="231F20"/>
                <w:w w:val="90"/>
                <w:sz w:val="15"/>
              </w:rPr>
              <w:t>elderly</w:t>
            </w:r>
            <w:r>
              <w:rPr>
                <w:color w:val="231F20"/>
                <w:spacing w:val="-6"/>
                <w:w w:val="90"/>
                <w:sz w:val="15"/>
              </w:rPr>
              <w:t xml:space="preserve"> </w:t>
            </w:r>
            <w:proofErr w:type="spellStart"/>
            <w:r>
              <w:rPr>
                <w:color w:val="231F20"/>
                <w:w w:val="90"/>
                <w:sz w:val="15"/>
              </w:rPr>
              <w:t>programmes</w:t>
            </w:r>
            <w:proofErr w:type="spellEnd"/>
            <w:r>
              <w:rPr>
                <w:color w:val="231F20"/>
                <w:w w:val="90"/>
                <w:sz w:val="15"/>
              </w:rPr>
              <w:t>.</w:t>
            </w:r>
          </w:p>
        </w:tc>
        <w:tc>
          <w:tcPr>
            <w:tcW w:w="1447" w:type="dxa"/>
          </w:tcPr>
          <w:p w14:paraId="6D08DBD2" w14:textId="77777777" w:rsidR="009948F1" w:rsidRDefault="009948F1">
            <w:pPr>
              <w:pStyle w:val="TableParagraph"/>
              <w:rPr>
                <w:sz w:val="14"/>
              </w:rPr>
            </w:pPr>
          </w:p>
          <w:p w14:paraId="07E5E6D4" w14:textId="77777777" w:rsidR="009948F1" w:rsidRDefault="009948F1">
            <w:pPr>
              <w:pStyle w:val="TableParagraph"/>
              <w:spacing w:before="1"/>
              <w:rPr>
                <w:sz w:val="13"/>
              </w:rPr>
            </w:pPr>
          </w:p>
          <w:p w14:paraId="19D4F6E9" w14:textId="77777777" w:rsidR="009948F1" w:rsidRDefault="00BC0563">
            <w:pPr>
              <w:pStyle w:val="TableParagraph"/>
              <w:spacing w:before="1"/>
              <w:ind w:left="23"/>
              <w:rPr>
                <w:sz w:val="15"/>
              </w:rPr>
            </w:pPr>
            <w:r>
              <w:rPr>
                <w:color w:val="231F20"/>
                <w:w w:val="90"/>
                <w:sz w:val="15"/>
              </w:rPr>
              <w:t>Lack of funds</w:t>
            </w:r>
          </w:p>
        </w:tc>
        <w:tc>
          <w:tcPr>
            <w:tcW w:w="1526" w:type="dxa"/>
          </w:tcPr>
          <w:p w14:paraId="1A10FC59" w14:textId="77777777" w:rsidR="009948F1" w:rsidRDefault="009948F1">
            <w:pPr>
              <w:pStyle w:val="TableParagraph"/>
              <w:rPr>
                <w:sz w:val="14"/>
              </w:rPr>
            </w:pPr>
          </w:p>
          <w:p w14:paraId="18ADA28C" w14:textId="77777777" w:rsidR="009948F1" w:rsidRDefault="009948F1">
            <w:pPr>
              <w:pStyle w:val="TableParagraph"/>
              <w:spacing w:before="1"/>
              <w:rPr>
                <w:sz w:val="13"/>
              </w:rPr>
            </w:pPr>
          </w:p>
          <w:p w14:paraId="5841A1E2" w14:textId="77777777" w:rsidR="009948F1" w:rsidRDefault="00BC0563">
            <w:pPr>
              <w:pStyle w:val="TableParagraph"/>
              <w:spacing w:before="1"/>
              <w:ind w:left="24"/>
              <w:rPr>
                <w:sz w:val="15"/>
              </w:rPr>
            </w:pPr>
            <w:r>
              <w:rPr>
                <w:color w:val="231F20"/>
                <w:w w:val="90"/>
                <w:sz w:val="15"/>
              </w:rPr>
              <w:t>Advocacy visit</w:t>
            </w:r>
          </w:p>
        </w:tc>
      </w:tr>
      <w:tr w:rsidR="009948F1" w14:paraId="68636747" w14:textId="77777777">
        <w:trPr>
          <w:trHeight w:val="615"/>
        </w:trPr>
        <w:tc>
          <w:tcPr>
            <w:tcW w:w="878" w:type="dxa"/>
            <w:gridSpan w:val="2"/>
            <w:vMerge/>
            <w:tcBorders>
              <w:top w:val="nil"/>
              <w:left w:val="single" w:sz="8" w:space="0" w:color="231F20"/>
              <w:bottom w:val="nil"/>
            </w:tcBorders>
          </w:tcPr>
          <w:p w14:paraId="4CE5231D" w14:textId="77777777" w:rsidR="009948F1" w:rsidRDefault="009948F1">
            <w:pPr>
              <w:rPr>
                <w:sz w:val="2"/>
                <w:szCs w:val="2"/>
              </w:rPr>
            </w:pPr>
          </w:p>
        </w:tc>
        <w:tc>
          <w:tcPr>
            <w:tcW w:w="534" w:type="dxa"/>
          </w:tcPr>
          <w:p w14:paraId="0D80EA6D" w14:textId="77777777" w:rsidR="009948F1" w:rsidRDefault="009948F1">
            <w:pPr>
              <w:pStyle w:val="TableParagraph"/>
              <w:rPr>
                <w:sz w:val="19"/>
              </w:rPr>
            </w:pPr>
          </w:p>
          <w:p w14:paraId="25AE17BD" w14:textId="77777777" w:rsidR="009948F1" w:rsidRDefault="00BC0563">
            <w:pPr>
              <w:pStyle w:val="TableParagraph"/>
              <w:ind w:left="30" w:right="12"/>
              <w:jc w:val="center"/>
              <w:rPr>
                <w:sz w:val="15"/>
              </w:rPr>
            </w:pPr>
            <w:r>
              <w:rPr>
                <w:color w:val="231F20"/>
                <w:w w:val="90"/>
                <w:sz w:val="15"/>
              </w:rPr>
              <w:t>6.2.2.c</w:t>
            </w:r>
          </w:p>
        </w:tc>
        <w:tc>
          <w:tcPr>
            <w:tcW w:w="4965" w:type="dxa"/>
            <w:gridSpan w:val="2"/>
          </w:tcPr>
          <w:p w14:paraId="22D173B8" w14:textId="77777777" w:rsidR="009948F1" w:rsidRDefault="00BC0563">
            <w:pPr>
              <w:pStyle w:val="TableParagraph"/>
              <w:spacing w:before="118" w:line="264" w:lineRule="auto"/>
              <w:ind w:left="23" w:right="94"/>
              <w:rPr>
                <w:sz w:val="15"/>
              </w:rPr>
            </w:pPr>
            <w:r>
              <w:rPr>
                <w:color w:val="231F20"/>
                <w:w w:val="85"/>
                <w:sz w:val="15"/>
              </w:rPr>
              <w:t>Establish</w:t>
            </w:r>
            <w:r>
              <w:rPr>
                <w:color w:val="231F20"/>
                <w:spacing w:val="-23"/>
                <w:w w:val="85"/>
                <w:sz w:val="15"/>
              </w:rPr>
              <w:t xml:space="preserve"> </w:t>
            </w:r>
            <w:r>
              <w:rPr>
                <w:color w:val="231F20"/>
                <w:w w:val="85"/>
                <w:sz w:val="15"/>
              </w:rPr>
              <w:t>a</w:t>
            </w:r>
            <w:r>
              <w:rPr>
                <w:color w:val="231F20"/>
                <w:spacing w:val="-22"/>
                <w:w w:val="85"/>
                <w:sz w:val="15"/>
              </w:rPr>
              <w:t xml:space="preserve"> </w:t>
            </w:r>
            <w:r>
              <w:rPr>
                <w:color w:val="231F20"/>
                <w:w w:val="85"/>
                <w:sz w:val="15"/>
              </w:rPr>
              <w:t>multi-sectoral</w:t>
            </w:r>
            <w:r>
              <w:rPr>
                <w:color w:val="231F20"/>
                <w:spacing w:val="-22"/>
                <w:w w:val="85"/>
                <w:sz w:val="15"/>
              </w:rPr>
              <w:t xml:space="preserve"> </w:t>
            </w:r>
            <w:r>
              <w:rPr>
                <w:color w:val="231F20"/>
                <w:w w:val="85"/>
                <w:sz w:val="15"/>
              </w:rPr>
              <w:t>State</w:t>
            </w:r>
            <w:r>
              <w:rPr>
                <w:color w:val="231F20"/>
                <w:spacing w:val="-23"/>
                <w:w w:val="85"/>
                <w:sz w:val="15"/>
              </w:rPr>
              <w:t xml:space="preserve"> </w:t>
            </w:r>
            <w:r>
              <w:rPr>
                <w:color w:val="231F20"/>
                <w:w w:val="85"/>
                <w:sz w:val="15"/>
              </w:rPr>
              <w:t>/</w:t>
            </w:r>
            <w:r>
              <w:rPr>
                <w:color w:val="231F20"/>
                <w:spacing w:val="-22"/>
                <w:w w:val="85"/>
                <w:sz w:val="15"/>
              </w:rPr>
              <w:t xml:space="preserve"> </w:t>
            </w:r>
            <w:r>
              <w:rPr>
                <w:color w:val="231F20"/>
                <w:w w:val="85"/>
                <w:sz w:val="15"/>
              </w:rPr>
              <w:t>Local</w:t>
            </w:r>
            <w:r>
              <w:rPr>
                <w:color w:val="231F20"/>
                <w:spacing w:val="-22"/>
                <w:w w:val="85"/>
                <w:sz w:val="15"/>
              </w:rPr>
              <w:t xml:space="preserve"> </w:t>
            </w:r>
            <w:r>
              <w:rPr>
                <w:color w:val="231F20"/>
                <w:w w:val="85"/>
                <w:sz w:val="15"/>
              </w:rPr>
              <w:t>Government</w:t>
            </w:r>
            <w:r>
              <w:rPr>
                <w:color w:val="231F20"/>
                <w:spacing w:val="-23"/>
                <w:w w:val="85"/>
                <w:sz w:val="15"/>
              </w:rPr>
              <w:t xml:space="preserve"> </w:t>
            </w:r>
            <w:r>
              <w:rPr>
                <w:color w:val="231F20"/>
                <w:w w:val="85"/>
                <w:sz w:val="15"/>
              </w:rPr>
              <w:t>task</w:t>
            </w:r>
            <w:r>
              <w:rPr>
                <w:color w:val="231F20"/>
                <w:spacing w:val="-22"/>
                <w:w w:val="85"/>
                <w:sz w:val="15"/>
              </w:rPr>
              <w:t xml:space="preserve"> </w:t>
            </w:r>
            <w:r>
              <w:rPr>
                <w:color w:val="231F20"/>
                <w:w w:val="85"/>
                <w:sz w:val="15"/>
              </w:rPr>
              <w:t>force</w:t>
            </w:r>
            <w:r>
              <w:rPr>
                <w:color w:val="231F20"/>
                <w:spacing w:val="-22"/>
                <w:w w:val="85"/>
                <w:sz w:val="15"/>
              </w:rPr>
              <w:t xml:space="preserve"> </w:t>
            </w:r>
            <w:r>
              <w:rPr>
                <w:color w:val="231F20"/>
                <w:w w:val="85"/>
                <w:sz w:val="15"/>
              </w:rPr>
              <w:t>on</w:t>
            </w:r>
            <w:r>
              <w:rPr>
                <w:color w:val="231F20"/>
                <w:spacing w:val="-23"/>
                <w:w w:val="85"/>
                <w:sz w:val="15"/>
              </w:rPr>
              <w:t xml:space="preserve"> </w:t>
            </w:r>
            <w:r>
              <w:rPr>
                <w:color w:val="231F20"/>
                <w:w w:val="85"/>
                <w:sz w:val="15"/>
              </w:rPr>
              <w:t>prevention</w:t>
            </w:r>
            <w:r>
              <w:rPr>
                <w:color w:val="231F20"/>
                <w:spacing w:val="-22"/>
                <w:w w:val="85"/>
                <w:sz w:val="15"/>
              </w:rPr>
              <w:t xml:space="preserve"> </w:t>
            </w:r>
            <w:r>
              <w:rPr>
                <w:color w:val="231F20"/>
                <w:w w:val="85"/>
                <w:sz w:val="15"/>
              </w:rPr>
              <w:t>and</w:t>
            </w:r>
            <w:r>
              <w:rPr>
                <w:color w:val="231F20"/>
                <w:spacing w:val="-22"/>
                <w:w w:val="85"/>
                <w:sz w:val="15"/>
              </w:rPr>
              <w:t xml:space="preserve"> </w:t>
            </w:r>
            <w:r>
              <w:rPr>
                <w:color w:val="231F20"/>
                <w:w w:val="85"/>
                <w:sz w:val="15"/>
              </w:rPr>
              <w:t>control</w:t>
            </w:r>
            <w:r>
              <w:rPr>
                <w:color w:val="231F20"/>
                <w:spacing w:val="-22"/>
                <w:w w:val="85"/>
                <w:sz w:val="15"/>
              </w:rPr>
              <w:t xml:space="preserve"> </w:t>
            </w:r>
            <w:r>
              <w:rPr>
                <w:color w:val="231F20"/>
                <w:w w:val="85"/>
                <w:sz w:val="15"/>
              </w:rPr>
              <w:t xml:space="preserve">of </w:t>
            </w:r>
            <w:r>
              <w:rPr>
                <w:color w:val="231F20"/>
                <w:w w:val="90"/>
                <w:sz w:val="15"/>
              </w:rPr>
              <w:t>elderly</w:t>
            </w:r>
            <w:r>
              <w:rPr>
                <w:color w:val="231F20"/>
                <w:spacing w:val="-6"/>
                <w:w w:val="90"/>
                <w:sz w:val="15"/>
              </w:rPr>
              <w:t xml:space="preserve"> </w:t>
            </w:r>
            <w:r>
              <w:rPr>
                <w:color w:val="231F20"/>
                <w:w w:val="90"/>
                <w:sz w:val="15"/>
              </w:rPr>
              <w:t>abuse.</w:t>
            </w:r>
          </w:p>
        </w:tc>
        <w:tc>
          <w:tcPr>
            <w:tcW w:w="1447" w:type="dxa"/>
          </w:tcPr>
          <w:p w14:paraId="58512D50" w14:textId="77777777" w:rsidR="009948F1" w:rsidRDefault="009948F1">
            <w:pPr>
              <w:pStyle w:val="TableParagraph"/>
              <w:rPr>
                <w:sz w:val="19"/>
              </w:rPr>
            </w:pPr>
          </w:p>
          <w:p w14:paraId="3D443D3D" w14:textId="77777777" w:rsidR="009948F1" w:rsidRDefault="00BC0563">
            <w:pPr>
              <w:pStyle w:val="TableParagraph"/>
              <w:ind w:left="23"/>
              <w:rPr>
                <w:sz w:val="15"/>
              </w:rPr>
            </w:pPr>
            <w:r>
              <w:rPr>
                <w:color w:val="231F20"/>
                <w:w w:val="90"/>
                <w:sz w:val="15"/>
              </w:rPr>
              <w:t>Lack of funds</w:t>
            </w:r>
          </w:p>
        </w:tc>
        <w:tc>
          <w:tcPr>
            <w:tcW w:w="1526" w:type="dxa"/>
          </w:tcPr>
          <w:p w14:paraId="7DEE2B91" w14:textId="77777777" w:rsidR="009948F1" w:rsidRDefault="009948F1">
            <w:pPr>
              <w:pStyle w:val="TableParagraph"/>
              <w:rPr>
                <w:sz w:val="19"/>
              </w:rPr>
            </w:pPr>
          </w:p>
          <w:p w14:paraId="350A54C9" w14:textId="77777777" w:rsidR="009948F1" w:rsidRDefault="00BC0563">
            <w:pPr>
              <w:pStyle w:val="TableParagraph"/>
              <w:ind w:left="24"/>
              <w:rPr>
                <w:sz w:val="15"/>
              </w:rPr>
            </w:pPr>
            <w:r>
              <w:rPr>
                <w:color w:val="231F20"/>
                <w:w w:val="90"/>
                <w:sz w:val="15"/>
              </w:rPr>
              <w:t>Establish Task force</w:t>
            </w:r>
          </w:p>
        </w:tc>
      </w:tr>
      <w:tr w:rsidR="009948F1" w14:paraId="665C48DC" w14:textId="77777777">
        <w:trPr>
          <w:trHeight w:val="943"/>
        </w:trPr>
        <w:tc>
          <w:tcPr>
            <w:tcW w:w="416" w:type="dxa"/>
            <w:tcBorders>
              <w:top w:val="nil"/>
              <w:left w:val="single" w:sz="8" w:space="0" w:color="231F20"/>
              <w:bottom w:val="nil"/>
            </w:tcBorders>
          </w:tcPr>
          <w:p w14:paraId="487DFAD7" w14:textId="77777777" w:rsidR="009948F1" w:rsidRDefault="009948F1">
            <w:pPr>
              <w:pStyle w:val="TableParagraph"/>
              <w:rPr>
                <w:rFonts w:ascii="Times New Roman"/>
                <w:sz w:val="12"/>
              </w:rPr>
            </w:pPr>
          </w:p>
        </w:tc>
        <w:tc>
          <w:tcPr>
            <w:tcW w:w="462" w:type="dxa"/>
            <w:shd w:val="clear" w:color="auto" w:fill="CCE7D3"/>
          </w:tcPr>
          <w:p w14:paraId="240CE119" w14:textId="77777777" w:rsidR="009948F1" w:rsidRDefault="009948F1">
            <w:pPr>
              <w:pStyle w:val="TableParagraph"/>
              <w:rPr>
                <w:sz w:val="14"/>
              </w:rPr>
            </w:pPr>
          </w:p>
          <w:p w14:paraId="1D245181" w14:textId="77777777" w:rsidR="009948F1" w:rsidRDefault="009948F1">
            <w:pPr>
              <w:pStyle w:val="TableParagraph"/>
              <w:spacing w:before="3"/>
              <w:rPr>
                <w:sz w:val="19"/>
              </w:rPr>
            </w:pPr>
          </w:p>
          <w:p w14:paraId="1557780A" w14:textId="77777777" w:rsidR="009948F1" w:rsidRDefault="00BC0563">
            <w:pPr>
              <w:pStyle w:val="TableParagraph"/>
              <w:ind w:left="58"/>
              <w:rPr>
                <w:sz w:val="15"/>
              </w:rPr>
            </w:pPr>
            <w:r>
              <w:rPr>
                <w:color w:val="231F20"/>
                <w:w w:val="90"/>
                <w:sz w:val="15"/>
              </w:rPr>
              <w:t>6.2.6</w:t>
            </w:r>
          </w:p>
        </w:tc>
        <w:tc>
          <w:tcPr>
            <w:tcW w:w="3081" w:type="dxa"/>
            <w:gridSpan w:val="2"/>
            <w:shd w:val="clear" w:color="auto" w:fill="CCE7D3"/>
          </w:tcPr>
          <w:p w14:paraId="57A4D79F" w14:textId="77777777" w:rsidR="009948F1" w:rsidRDefault="009948F1">
            <w:pPr>
              <w:pStyle w:val="TableParagraph"/>
              <w:rPr>
                <w:sz w:val="14"/>
              </w:rPr>
            </w:pPr>
          </w:p>
          <w:p w14:paraId="69F0CD3E" w14:textId="77777777" w:rsidR="009948F1" w:rsidRDefault="00BC0563">
            <w:pPr>
              <w:pStyle w:val="TableParagraph"/>
              <w:spacing w:before="120" w:line="264" w:lineRule="auto"/>
              <w:ind w:left="24" w:right="141" w:firstLine="33"/>
              <w:rPr>
                <w:sz w:val="15"/>
              </w:rPr>
            </w:pPr>
            <w:r>
              <w:rPr>
                <w:color w:val="231F20"/>
                <w:w w:val="80"/>
                <w:sz w:val="15"/>
              </w:rPr>
              <w:t xml:space="preserve">Promote community participation and partnerships for </w:t>
            </w:r>
            <w:r>
              <w:rPr>
                <w:color w:val="231F20"/>
                <w:w w:val="85"/>
                <w:sz w:val="15"/>
              </w:rPr>
              <w:t xml:space="preserve">sustainability of health </w:t>
            </w:r>
            <w:proofErr w:type="spellStart"/>
            <w:r>
              <w:rPr>
                <w:color w:val="231F20"/>
                <w:w w:val="85"/>
                <w:sz w:val="15"/>
              </w:rPr>
              <w:t>programmes</w:t>
            </w:r>
            <w:proofErr w:type="spellEnd"/>
            <w:r>
              <w:rPr>
                <w:color w:val="231F20"/>
                <w:w w:val="85"/>
                <w:sz w:val="15"/>
              </w:rPr>
              <w:t xml:space="preserve"> for the elderly</w:t>
            </w:r>
          </w:p>
        </w:tc>
        <w:tc>
          <w:tcPr>
            <w:tcW w:w="2418" w:type="dxa"/>
            <w:shd w:val="clear" w:color="auto" w:fill="CCE7D3"/>
          </w:tcPr>
          <w:p w14:paraId="55FEC599" w14:textId="77777777" w:rsidR="009948F1" w:rsidRDefault="00BC0563">
            <w:pPr>
              <w:pStyle w:val="TableParagraph"/>
              <w:numPr>
                <w:ilvl w:val="0"/>
                <w:numId w:val="127"/>
              </w:numPr>
              <w:tabs>
                <w:tab w:val="left" w:pos="93"/>
              </w:tabs>
              <w:spacing w:before="4" w:line="264" w:lineRule="auto"/>
              <w:ind w:right="146" w:firstLine="0"/>
              <w:jc w:val="both"/>
              <w:rPr>
                <w:sz w:val="15"/>
              </w:rPr>
            </w:pPr>
            <w:r>
              <w:rPr>
                <w:color w:val="231F20"/>
                <w:w w:val="85"/>
                <w:sz w:val="15"/>
              </w:rPr>
              <w:t>At</w:t>
            </w:r>
            <w:r>
              <w:rPr>
                <w:color w:val="231F20"/>
                <w:spacing w:val="-19"/>
                <w:w w:val="85"/>
                <w:sz w:val="15"/>
              </w:rPr>
              <w:t xml:space="preserve"> </w:t>
            </w:r>
            <w:r>
              <w:rPr>
                <w:color w:val="231F20"/>
                <w:w w:val="85"/>
                <w:sz w:val="15"/>
              </w:rPr>
              <w:t>least</w:t>
            </w:r>
            <w:r>
              <w:rPr>
                <w:color w:val="231F20"/>
                <w:spacing w:val="-19"/>
                <w:w w:val="85"/>
                <w:sz w:val="15"/>
              </w:rPr>
              <w:t xml:space="preserve"> </w:t>
            </w:r>
            <w:r>
              <w:rPr>
                <w:color w:val="231F20"/>
                <w:w w:val="85"/>
                <w:sz w:val="15"/>
              </w:rPr>
              <w:t>250</w:t>
            </w:r>
            <w:r>
              <w:rPr>
                <w:color w:val="231F20"/>
                <w:spacing w:val="-18"/>
                <w:w w:val="85"/>
                <w:sz w:val="15"/>
              </w:rPr>
              <w:t xml:space="preserve"> </w:t>
            </w:r>
            <w:r>
              <w:rPr>
                <w:color w:val="231F20"/>
                <w:w w:val="85"/>
                <w:sz w:val="15"/>
              </w:rPr>
              <w:t>HWs</w:t>
            </w:r>
            <w:r>
              <w:rPr>
                <w:color w:val="231F20"/>
                <w:spacing w:val="-19"/>
                <w:w w:val="85"/>
                <w:sz w:val="15"/>
              </w:rPr>
              <w:t xml:space="preserve"> </w:t>
            </w:r>
            <w:r>
              <w:rPr>
                <w:color w:val="231F20"/>
                <w:w w:val="85"/>
                <w:sz w:val="15"/>
              </w:rPr>
              <w:t>trained</w:t>
            </w:r>
            <w:r>
              <w:rPr>
                <w:color w:val="231F20"/>
                <w:spacing w:val="-18"/>
                <w:w w:val="85"/>
                <w:sz w:val="15"/>
              </w:rPr>
              <w:t xml:space="preserve"> </w:t>
            </w:r>
            <w:r>
              <w:rPr>
                <w:color w:val="231F20"/>
                <w:w w:val="85"/>
                <w:sz w:val="15"/>
              </w:rPr>
              <w:t>&amp;</w:t>
            </w:r>
            <w:r>
              <w:rPr>
                <w:color w:val="231F20"/>
                <w:spacing w:val="-19"/>
                <w:w w:val="85"/>
                <w:sz w:val="15"/>
              </w:rPr>
              <w:t xml:space="preserve"> </w:t>
            </w:r>
            <w:r>
              <w:rPr>
                <w:color w:val="231F20"/>
                <w:w w:val="85"/>
                <w:sz w:val="15"/>
              </w:rPr>
              <w:t>re-trained</w:t>
            </w:r>
            <w:r>
              <w:rPr>
                <w:color w:val="231F20"/>
                <w:spacing w:val="-19"/>
                <w:w w:val="85"/>
                <w:sz w:val="15"/>
              </w:rPr>
              <w:t xml:space="preserve"> </w:t>
            </w:r>
            <w:r>
              <w:rPr>
                <w:color w:val="231F20"/>
                <w:w w:val="85"/>
                <w:sz w:val="15"/>
              </w:rPr>
              <w:t xml:space="preserve">on </w:t>
            </w:r>
            <w:r>
              <w:rPr>
                <w:color w:val="231F20"/>
                <w:w w:val="80"/>
                <w:sz w:val="15"/>
              </w:rPr>
              <w:t xml:space="preserve">Interpersonal Communication Skill (IPCS) </w:t>
            </w:r>
            <w:r>
              <w:rPr>
                <w:color w:val="231F20"/>
                <w:w w:val="90"/>
                <w:sz w:val="15"/>
              </w:rPr>
              <w:t>for</w:t>
            </w:r>
            <w:r>
              <w:rPr>
                <w:color w:val="231F20"/>
                <w:spacing w:val="-10"/>
                <w:w w:val="90"/>
                <w:sz w:val="15"/>
              </w:rPr>
              <w:t xml:space="preserve"> </w:t>
            </w:r>
            <w:r>
              <w:rPr>
                <w:color w:val="231F20"/>
                <w:w w:val="90"/>
                <w:sz w:val="15"/>
              </w:rPr>
              <w:t>the</w:t>
            </w:r>
            <w:r>
              <w:rPr>
                <w:color w:val="231F20"/>
                <w:spacing w:val="-9"/>
                <w:w w:val="90"/>
                <w:sz w:val="15"/>
              </w:rPr>
              <w:t xml:space="preserve"> </w:t>
            </w:r>
            <w:r>
              <w:rPr>
                <w:color w:val="231F20"/>
                <w:w w:val="90"/>
                <w:sz w:val="15"/>
              </w:rPr>
              <w:t>care</w:t>
            </w:r>
            <w:r>
              <w:rPr>
                <w:color w:val="231F20"/>
                <w:spacing w:val="-9"/>
                <w:w w:val="90"/>
                <w:sz w:val="15"/>
              </w:rPr>
              <w:t xml:space="preserve"> </w:t>
            </w:r>
            <w:r>
              <w:rPr>
                <w:color w:val="231F20"/>
                <w:w w:val="90"/>
                <w:sz w:val="15"/>
              </w:rPr>
              <w:t>of</w:t>
            </w:r>
            <w:r>
              <w:rPr>
                <w:color w:val="231F20"/>
                <w:spacing w:val="-9"/>
                <w:w w:val="90"/>
                <w:sz w:val="15"/>
              </w:rPr>
              <w:t xml:space="preserve"> </w:t>
            </w:r>
            <w:r>
              <w:rPr>
                <w:color w:val="231F20"/>
                <w:w w:val="90"/>
                <w:sz w:val="15"/>
              </w:rPr>
              <w:t>the</w:t>
            </w:r>
            <w:r>
              <w:rPr>
                <w:color w:val="231F20"/>
                <w:spacing w:val="-10"/>
                <w:w w:val="90"/>
                <w:sz w:val="15"/>
              </w:rPr>
              <w:t xml:space="preserve"> </w:t>
            </w:r>
            <w:r>
              <w:rPr>
                <w:color w:val="231F20"/>
                <w:w w:val="90"/>
                <w:sz w:val="15"/>
              </w:rPr>
              <w:t>elderly</w:t>
            </w:r>
          </w:p>
          <w:p w14:paraId="29EF6503" w14:textId="77777777" w:rsidR="009948F1" w:rsidRDefault="00BC0563">
            <w:pPr>
              <w:pStyle w:val="TableParagraph"/>
              <w:spacing w:line="171" w:lineRule="exact"/>
              <w:ind w:left="23"/>
              <w:rPr>
                <w:sz w:val="15"/>
              </w:rPr>
            </w:pPr>
            <w:r>
              <w:rPr>
                <w:color w:val="231F20"/>
                <w:w w:val="80"/>
                <w:sz w:val="15"/>
              </w:rPr>
              <w:t>•</w:t>
            </w:r>
          </w:p>
          <w:p w14:paraId="6002E32E" w14:textId="77777777" w:rsidR="009948F1" w:rsidRDefault="00BC0563">
            <w:pPr>
              <w:pStyle w:val="TableParagraph"/>
              <w:spacing w:before="17" w:line="162" w:lineRule="exact"/>
              <w:ind w:left="23"/>
              <w:rPr>
                <w:sz w:val="15"/>
              </w:rPr>
            </w:pPr>
            <w:r>
              <w:rPr>
                <w:color w:val="231F20"/>
                <w:w w:val="80"/>
                <w:sz w:val="15"/>
              </w:rPr>
              <w:t>•</w:t>
            </w:r>
          </w:p>
        </w:tc>
        <w:tc>
          <w:tcPr>
            <w:tcW w:w="1447" w:type="dxa"/>
            <w:shd w:val="clear" w:color="auto" w:fill="CCE7D3"/>
          </w:tcPr>
          <w:p w14:paraId="69D2334D" w14:textId="77777777" w:rsidR="009948F1" w:rsidRDefault="009948F1">
            <w:pPr>
              <w:pStyle w:val="TableParagraph"/>
              <w:rPr>
                <w:rFonts w:ascii="Times New Roman"/>
                <w:sz w:val="12"/>
              </w:rPr>
            </w:pPr>
          </w:p>
        </w:tc>
        <w:tc>
          <w:tcPr>
            <w:tcW w:w="1526" w:type="dxa"/>
            <w:shd w:val="clear" w:color="auto" w:fill="CCE7D3"/>
          </w:tcPr>
          <w:p w14:paraId="4006F7C6" w14:textId="77777777" w:rsidR="009948F1" w:rsidRDefault="009948F1">
            <w:pPr>
              <w:pStyle w:val="TableParagraph"/>
              <w:rPr>
                <w:rFonts w:ascii="Times New Roman"/>
                <w:sz w:val="12"/>
              </w:rPr>
            </w:pPr>
          </w:p>
        </w:tc>
      </w:tr>
      <w:tr w:rsidR="009948F1" w14:paraId="3E280E04" w14:textId="77777777">
        <w:trPr>
          <w:trHeight w:val="615"/>
        </w:trPr>
        <w:tc>
          <w:tcPr>
            <w:tcW w:w="878" w:type="dxa"/>
            <w:gridSpan w:val="2"/>
            <w:tcBorders>
              <w:top w:val="nil"/>
              <w:left w:val="single" w:sz="8" w:space="0" w:color="231F20"/>
            </w:tcBorders>
          </w:tcPr>
          <w:p w14:paraId="7D640945" w14:textId="77777777" w:rsidR="009948F1" w:rsidRDefault="009948F1">
            <w:pPr>
              <w:pStyle w:val="TableParagraph"/>
              <w:rPr>
                <w:rFonts w:ascii="Times New Roman"/>
                <w:sz w:val="12"/>
              </w:rPr>
            </w:pPr>
          </w:p>
        </w:tc>
        <w:tc>
          <w:tcPr>
            <w:tcW w:w="534" w:type="dxa"/>
          </w:tcPr>
          <w:p w14:paraId="01C484BF" w14:textId="77777777" w:rsidR="009948F1" w:rsidRDefault="009948F1">
            <w:pPr>
              <w:pStyle w:val="TableParagraph"/>
              <w:rPr>
                <w:sz w:val="19"/>
              </w:rPr>
            </w:pPr>
          </w:p>
          <w:p w14:paraId="6B253D6B" w14:textId="77777777" w:rsidR="009948F1" w:rsidRDefault="00BC0563">
            <w:pPr>
              <w:pStyle w:val="TableParagraph"/>
              <w:ind w:left="29" w:right="12"/>
              <w:jc w:val="center"/>
              <w:rPr>
                <w:sz w:val="15"/>
              </w:rPr>
            </w:pPr>
            <w:r>
              <w:rPr>
                <w:color w:val="231F20"/>
                <w:w w:val="85"/>
                <w:sz w:val="15"/>
              </w:rPr>
              <w:t>6.2.6.a</w:t>
            </w:r>
          </w:p>
        </w:tc>
        <w:tc>
          <w:tcPr>
            <w:tcW w:w="4965" w:type="dxa"/>
            <w:gridSpan w:val="2"/>
          </w:tcPr>
          <w:p w14:paraId="0EB22E42" w14:textId="77777777" w:rsidR="009948F1" w:rsidRDefault="00BC0563">
            <w:pPr>
              <w:pStyle w:val="TableParagraph"/>
              <w:spacing w:before="118" w:line="264" w:lineRule="auto"/>
              <w:ind w:left="23" w:right="241"/>
              <w:rPr>
                <w:sz w:val="15"/>
              </w:rPr>
            </w:pPr>
            <w:r>
              <w:rPr>
                <w:color w:val="231F20"/>
                <w:w w:val="85"/>
                <w:sz w:val="15"/>
              </w:rPr>
              <w:t>Conduct</w:t>
            </w:r>
            <w:r>
              <w:rPr>
                <w:color w:val="231F20"/>
                <w:spacing w:val="-22"/>
                <w:w w:val="85"/>
                <w:sz w:val="15"/>
              </w:rPr>
              <w:t xml:space="preserve"> </w:t>
            </w:r>
            <w:r>
              <w:rPr>
                <w:color w:val="231F20"/>
                <w:w w:val="85"/>
                <w:sz w:val="15"/>
              </w:rPr>
              <w:t>training</w:t>
            </w:r>
            <w:r>
              <w:rPr>
                <w:color w:val="231F20"/>
                <w:spacing w:val="-22"/>
                <w:w w:val="85"/>
                <w:sz w:val="15"/>
              </w:rPr>
              <w:t xml:space="preserve"> </w:t>
            </w:r>
            <w:r>
              <w:rPr>
                <w:color w:val="231F20"/>
                <w:w w:val="85"/>
                <w:sz w:val="15"/>
              </w:rPr>
              <w:t>&amp;</w:t>
            </w:r>
            <w:r>
              <w:rPr>
                <w:color w:val="231F20"/>
                <w:spacing w:val="-21"/>
                <w:w w:val="85"/>
                <w:sz w:val="15"/>
              </w:rPr>
              <w:t xml:space="preserve"> </w:t>
            </w:r>
            <w:r>
              <w:rPr>
                <w:color w:val="231F20"/>
                <w:w w:val="85"/>
                <w:sz w:val="15"/>
              </w:rPr>
              <w:t>re-training</w:t>
            </w:r>
            <w:r>
              <w:rPr>
                <w:color w:val="231F20"/>
                <w:spacing w:val="-22"/>
                <w:w w:val="85"/>
                <w:sz w:val="15"/>
              </w:rPr>
              <w:t xml:space="preserve"> </w:t>
            </w:r>
            <w:r>
              <w:rPr>
                <w:color w:val="231F20"/>
                <w:w w:val="85"/>
                <w:sz w:val="15"/>
              </w:rPr>
              <w:t>for</w:t>
            </w:r>
            <w:r>
              <w:rPr>
                <w:color w:val="231F20"/>
                <w:spacing w:val="-7"/>
                <w:w w:val="85"/>
                <w:sz w:val="15"/>
              </w:rPr>
              <w:t xml:space="preserve"> </w:t>
            </w:r>
            <w:r>
              <w:rPr>
                <w:color w:val="231F20"/>
                <w:w w:val="85"/>
                <w:sz w:val="15"/>
              </w:rPr>
              <w:t>HWs</w:t>
            </w:r>
            <w:r>
              <w:rPr>
                <w:color w:val="231F20"/>
                <w:spacing w:val="-22"/>
                <w:w w:val="85"/>
                <w:sz w:val="15"/>
              </w:rPr>
              <w:t xml:space="preserve"> </w:t>
            </w:r>
            <w:r>
              <w:rPr>
                <w:color w:val="231F20"/>
                <w:w w:val="85"/>
                <w:sz w:val="15"/>
              </w:rPr>
              <w:t>in</w:t>
            </w:r>
            <w:r>
              <w:rPr>
                <w:color w:val="231F20"/>
                <w:spacing w:val="-22"/>
                <w:w w:val="85"/>
                <w:sz w:val="15"/>
              </w:rPr>
              <w:t xml:space="preserve"> </w:t>
            </w:r>
            <w:r>
              <w:rPr>
                <w:color w:val="231F20"/>
                <w:w w:val="85"/>
                <w:sz w:val="15"/>
              </w:rPr>
              <w:t>the</w:t>
            </w:r>
            <w:r>
              <w:rPr>
                <w:color w:val="231F20"/>
                <w:spacing w:val="-21"/>
                <w:w w:val="85"/>
                <w:sz w:val="15"/>
              </w:rPr>
              <w:t xml:space="preserve"> </w:t>
            </w:r>
            <w:r>
              <w:rPr>
                <w:color w:val="231F20"/>
                <w:w w:val="85"/>
                <w:sz w:val="15"/>
              </w:rPr>
              <w:t>23</w:t>
            </w:r>
            <w:r>
              <w:rPr>
                <w:color w:val="231F20"/>
                <w:spacing w:val="-22"/>
                <w:w w:val="85"/>
                <w:sz w:val="15"/>
              </w:rPr>
              <w:t xml:space="preserve"> </w:t>
            </w:r>
            <w:r>
              <w:rPr>
                <w:color w:val="231F20"/>
                <w:w w:val="85"/>
                <w:sz w:val="15"/>
              </w:rPr>
              <w:t>LGAs</w:t>
            </w:r>
            <w:r>
              <w:rPr>
                <w:color w:val="231F20"/>
                <w:spacing w:val="-22"/>
                <w:w w:val="85"/>
                <w:sz w:val="15"/>
              </w:rPr>
              <w:t xml:space="preserve"> </w:t>
            </w:r>
            <w:r>
              <w:rPr>
                <w:color w:val="231F20"/>
                <w:w w:val="85"/>
                <w:sz w:val="15"/>
              </w:rPr>
              <w:t>on</w:t>
            </w:r>
            <w:r>
              <w:rPr>
                <w:color w:val="231F20"/>
                <w:spacing w:val="-21"/>
                <w:w w:val="85"/>
                <w:sz w:val="15"/>
              </w:rPr>
              <w:t xml:space="preserve"> </w:t>
            </w:r>
            <w:r>
              <w:rPr>
                <w:color w:val="231F20"/>
                <w:w w:val="85"/>
                <w:sz w:val="15"/>
              </w:rPr>
              <w:t>Interpersonal</w:t>
            </w:r>
            <w:r>
              <w:rPr>
                <w:color w:val="231F20"/>
                <w:spacing w:val="-22"/>
                <w:w w:val="85"/>
                <w:sz w:val="15"/>
              </w:rPr>
              <w:t xml:space="preserve"> </w:t>
            </w:r>
            <w:r>
              <w:rPr>
                <w:color w:val="231F20"/>
                <w:w w:val="85"/>
                <w:sz w:val="15"/>
              </w:rPr>
              <w:t xml:space="preserve">Communication </w:t>
            </w:r>
            <w:r>
              <w:rPr>
                <w:color w:val="231F20"/>
                <w:w w:val="90"/>
                <w:sz w:val="15"/>
              </w:rPr>
              <w:t>Skill</w:t>
            </w:r>
            <w:r>
              <w:rPr>
                <w:color w:val="231F20"/>
                <w:spacing w:val="-8"/>
                <w:w w:val="90"/>
                <w:sz w:val="15"/>
              </w:rPr>
              <w:t xml:space="preserve"> </w:t>
            </w:r>
            <w:r>
              <w:rPr>
                <w:color w:val="231F20"/>
                <w:w w:val="90"/>
                <w:sz w:val="15"/>
              </w:rPr>
              <w:t>(IPCS)</w:t>
            </w:r>
            <w:r>
              <w:rPr>
                <w:color w:val="231F20"/>
                <w:spacing w:val="-7"/>
                <w:w w:val="90"/>
                <w:sz w:val="15"/>
              </w:rPr>
              <w:t xml:space="preserve"> </w:t>
            </w:r>
            <w:r>
              <w:rPr>
                <w:color w:val="231F20"/>
                <w:w w:val="90"/>
                <w:sz w:val="15"/>
              </w:rPr>
              <w:t>for</w:t>
            </w:r>
            <w:r>
              <w:rPr>
                <w:color w:val="231F20"/>
                <w:spacing w:val="-7"/>
                <w:w w:val="90"/>
                <w:sz w:val="15"/>
              </w:rPr>
              <w:t xml:space="preserve"> </w:t>
            </w:r>
            <w:r>
              <w:rPr>
                <w:color w:val="231F20"/>
                <w:w w:val="90"/>
                <w:sz w:val="15"/>
              </w:rPr>
              <w:t>the</w:t>
            </w:r>
            <w:r>
              <w:rPr>
                <w:color w:val="231F20"/>
                <w:spacing w:val="-7"/>
                <w:w w:val="90"/>
                <w:sz w:val="15"/>
              </w:rPr>
              <w:t xml:space="preserve"> </w:t>
            </w:r>
            <w:r>
              <w:rPr>
                <w:color w:val="231F20"/>
                <w:w w:val="90"/>
                <w:sz w:val="15"/>
              </w:rPr>
              <w:t>care</w:t>
            </w:r>
            <w:r>
              <w:rPr>
                <w:color w:val="231F20"/>
                <w:spacing w:val="-8"/>
                <w:w w:val="90"/>
                <w:sz w:val="15"/>
              </w:rPr>
              <w:t xml:space="preserve"> </w:t>
            </w:r>
            <w:r>
              <w:rPr>
                <w:color w:val="231F20"/>
                <w:w w:val="90"/>
                <w:sz w:val="15"/>
              </w:rPr>
              <w:t>of</w:t>
            </w:r>
            <w:r>
              <w:rPr>
                <w:color w:val="231F20"/>
                <w:spacing w:val="-7"/>
                <w:w w:val="90"/>
                <w:sz w:val="15"/>
              </w:rPr>
              <w:t xml:space="preserve"> </w:t>
            </w:r>
            <w:r>
              <w:rPr>
                <w:color w:val="231F20"/>
                <w:w w:val="90"/>
                <w:sz w:val="15"/>
              </w:rPr>
              <w:t>the</w:t>
            </w:r>
            <w:r>
              <w:rPr>
                <w:color w:val="231F20"/>
                <w:spacing w:val="-7"/>
                <w:w w:val="90"/>
                <w:sz w:val="15"/>
              </w:rPr>
              <w:t xml:space="preserve"> </w:t>
            </w:r>
            <w:r>
              <w:rPr>
                <w:color w:val="231F20"/>
                <w:w w:val="90"/>
                <w:sz w:val="15"/>
              </w:rPr>
              <w:t>elderly</w:t>
            </w:r>
          </w:p>
        </w:tc>
        <w:tc>
          <w:tcPr>
            <w:tcW w:w="1447" w:type="dxa"/>
          </w:tcPr>
          <w:p w14:paraId="64A5523F" w14:textId="77777777" w:rsidR="009948F1" w:rsidRDefault="009948F1">
            <w:pPr>
              <w:pStyle w:val="TableParagraph"/>
              <w:rPr>
                <w:sz w:val="19"/>
              </w:rPr>
            </w:pPr>
          </w:p>
          <w:p w14:paraId="35512489" w14:textId="77777777" w:rsidR="009948F1" w:rsidRDefault="00BC0563">
            <w:pPr>
              <w:pStyle w:val="TableParagraph"/>
              <w:ind w:left="23"/>
              <w:rPr>
                <w:sz w:val="15"/>
              </w:rPr>
            </w:pPr>
            <w:r>
              <w:rPr>
                <w:color w:val="231F20"/>
                <w:w w:val="90"/>
                <w:sz w:val="15"/>
              </w:rPr>
              <w:t>Lack of funds</w:t>
            </w:r>
          </w:p>
        </w:tc>
        <w:tc>
          <w:tcPr>
            <w:tcW w:w="1526" w:type="dxa"/>
          </w:tcPr>
          <w:p w14:paraId="04F379F5" w14:textId="77777777" w:rsidR="009948F1" w:rsidRDefault="009948F1">
            <w:pPr>
              <w:pStyle w:val="TableParagraph"/>
              <w:rPr>
                <w:sz w:val="19"/>
              </w:rPr>
            </w:pPr>
          </w:p>
          <w:p w14:paraId="0B9A6BD9" w14:textId="77777777" w:rsidR="009948F1" w:rsidRDefault="00BC0563">
            <w:pPr>
              <w:pStyle w:val="TableParagraph"/>
              <w:ind w:left="24"/>
              <w:rPr>
                <w:sz w:val="15"/>
              </w:rPr>
            </w:pPr>
            <w:r>
              <w:rPr>
                <w:color w:val="231F20"/>
                <w:w w:val="90"/>
                <w:sz w:val="15"/>
              </w:rPr>
              <w:t>Conduct training</w:t>
            </w:r>
          </w:p>
        </w:tc>
      </w:tr>
      <w:tr w:rsidR="009948F1" w14:paraId="42AB6BCF" w14:textId="77777777">
        <w:trPr>
          <w:trHeight w:val="481"/>
        </w:trPr>
        <w:tc>
          <w:tcPr>
            <w:tcW w:w="416" w:type="dxa"/>
            <w:tcBorders>
              <w:left w:val="single" w:sz="8" w:space="0" w:color="231F20"/>
            </w:tcBorders>
            <w:shd w:val="clear" w:color="auto" w:fill="FFF200"/>
          </w:tcPr>
          <w:p w14:paraId="21AE9369" w14:textId="77777777" w:rsidR="009948F1" w:rsidRDefault="009948F1">
            <w:pPr>
              <w:pStyle w:val="TableParagraph"/>
              <w:spacing w:before="4"/>
              <w:rPr>
                <w:sz w:val="13"/>
              </w:rPr>
            </w:pPr>
          </w:p>
          <w:p w14:paraId="4159E276" w14:textId="77777777" w:rsidR="009948F1" w:rsidRDefault="00BC0563">
            <w:pPr>
              <w:pStyle w:val="TableParagraph"/>
              <w:ind w:right="35"/>
              <w:jc w:val="right"/>
              <w:rPr>
                <w:b/>
                <w:sz w:val="15"/>
              </w:rPr>
            </w:pPr>
            <w:r>
              <w:rPr>
                <w:b/>
                <w:color w:val="231F20"/>
                <w:w w:val="80"/>
                <w:sz w:val="15"/>
              </w:rPr>
              <w:t>6.4</w:t>
            </w:r>
          </w:p>
        </w:tc>
        <w:tc>
          <w:tcPr>
            <w:tcW w:w="5961" w:type="dxa"/>
            <w:gridSpan w:val="4"/>
            <w:tcBorders>
              <w:right w:val="single" w:sz="8" w:space="0" w:color="231F20"/>
            </w:tcBorders>
            <w:shd w:val="clear" w:color="auto" w:fill="FFF200"/>
          </w:tcPr>
          <w:p w14:paraId="30518F00" w14:textId="77777777" w:rsidR="009948F1" w:rsidRDefault="009948F1">
            <w:pPr>
              <w:pStyle w:val="TableParagraph"/>
              <w:spacing w:before="9"/>
              <w:rPr>
                <w:sz w:val="12"/>
              </w:rPr>
            </w:pPr>
          </w:p>
          <w:p w14:paraId="43E7CD70" w14:textId="77777777" w:rsidR="009948F1" w:rsidRDefault="00BC0563">
            <w:pPr>
              <w:pStyle w:val="TableParagraph"/>
              <w:ind w:left="58"/>
              <w:rPr>
                <w:b/>
                <w:sz w:val="15"/>
              </w:rPr>
            </w:pPr>
            <w:r>
              <w:rPr>
                <w:b/>
                <w:color w:val="231F20"/>
                <w:w w:val="90"/>
                <w:sz w:val="15"/>
              </w:rPr>
              <w:t>Promote optimal oral health in Nigeria.</w:t>
            </w:r>
          </w:p>
        </w:tc>
        <w:tc>
          <w:tcPr>
            <w:tcW w:w="2973" w:type="dxa"/>
            <w:gridSpan w:val="2"/>
            <w:tcBorders>
              <w:left w:val="single" w:sz="8" w:space="0" w:color="231F20"/>
            </w:tcBorders>
            <w:shd w:val="clear" w:color="auto" w:fill="FFF200"/>
          </w:tcPr>
          <w:p w14:paraId="2EC124BE" w14:textId="77777777" w:rsidR="009948F1" w:rsidRDefault="009948F1">
            <w:pPr>
              <w:pStyle w:val="TableParagraph"/>
              <w:rPr>
                <w:rFonts w:ascii="Times New Roman"/>
                <w:sz w:val="12"/>
              </w:rPr>
            </w:pPr>
          </w:p>
        </w:tc>
      </w:tr>
      <w:tr w:rsidR="009948F1" w14:paraId="69CA6833" w14:textId="77777777">
        <w:trPr>
          <w:trHeight w:val="1501"/>
        </w:trPr>
        <w:tc>
          <w:tcPr>
            <w:tcW w:w="416" w:type="dxa"/>
            <w:tcBorders>
              <w:left w:val="single" w:sz="8" w:space="0" w:color="231F20"/>
              <w:bottom w:val="nil"/>
            </w:tcBorders>
          </w:tcPr>
          <w:p w14:paraId="4553B56C" w14:textId="77777777" w:rsidR="009948F1" w:rsidRDefault="009948F1">
            <w:pPr>
              <w:pStyle w:val="TableParagraph"/>
              <w:rPr>
                <w:rFonts w:ascii="Times New Roman"/>
                <w:sz w:val="12"/>
              </w:rPr>
            </w:pPr>
          </w:p>
        </w:tc>
        <w:tc>
          <w:tcPr>
            <w:tcW w:w="462" w:type="dxa"/>
            <w:shd w:val="clear" w:color="auto" w:fill="CCE7D3"/>
          </w:tcPr>
          <w:p w14:paraId="3763C62E" w14:textId="77777777" w:rsidR="009948F1" w:rsidRDefault="009948F1">
            <w:pPr>
              <w:pStyle w:val="TableParagraph"/>
              <w:rPr>
                <w:sz w:val="14"/>
              </w:rPr>
            </w:pPr>
          </w:p>
          <w:p w14:paraId="09B6934E" w14:textId="77777777" w:rsidR="009948F1" w:rsidRDefault="009948F1">
            <w:pPr>
              <w:pStyle w:val="TableParagraph"/>
              <w:rPr>
                <w:sz w:val="14"/>
              </w:rPr>
            </w:pPr>
          </w:p>
          <w:p w14:paraId="3C3DBA7A" w14:textId="77777777" w:rsidR="009948F1" w:rsidRDefault="009948F1">
            <w:pPr>
              <w:pStyle w:val="TableParagraph"/>
              <w:rPr>
                <w:sz w:val="14"/>
              </w:rPr>
            </w:pPr>
          </w:p>
          <w:p w14:paraId="2727BB6E" w14:textId="77777777" w:rsidR="009948F1" w:rsidRDefault="009948F1">
            <w:pPr>
              <w:pStyle w:val="TableParagraph"/>
              <w:spacing w:before="6"/>
              <w:rPr>
                <w:sz w:val="15"/>
              </w:rPr>
            </w:pPr>
          </w:p>
          <w:p w14:paraId="3A4E2E06" w14:textId="77777777" w:rsidR="009948F1" w:rsidRDefault="00BC0563">
            <w:pPr>
              <w:pStyle w:val="TableParagraph"/>
              <w:ind w:left="58"/>
              <w:rPr>
                <w:sz w:val="15"/>
              </w:rPr>
            </w:pPr>
            <w:r>
              <w:rPr>
                <w:color w:val="231F20"/>
                <w:w w:val="90"/>
                <w:sz w:val="15"/>
              </w:rPr>
              <w:t>6.4.1</w:t>
            </w:r>
          </w:p>
        </w:tc>
        <w:tc>
          <w:tcPr>
            <w:tcW w:w="3081" w:type="dxa"/>
            <w:gridSpan w:val="2"/>
            <w:shd w:val="clear" w:color="auto" w:fill="CCE7D3"/>
          </w:tcPr>
          <w:p w14:paraId="64486575" w14:textId="77777777" w:rsidR="009948F1" w:rsidRDefault="009948F1">
            <w:pPr>
              <w:pStyle w:val="TableParagraph"/>
              <w:rPr>
                <w:sz w:val="14"/>
              </w:rPr>
            </w:pPr>
          </w:p>
          <w:p w14:paraId="48692C12" w14:textId="77777777" w:rsidR="009948F1" w:rsidRDefault="009948F1">
            <w:pPr>
              <w:pStyle w:val="TableParagraph"/>
              <w:rPr>
                <w:sz w:val="14"/>
              </w:rPr>
            </w:pPr>
          </w:p>
          <w:p w14:paraId="05CC7DF8" w14:textId="77777777" w:rsidR="009948F1" w:rsidRDefault="009948F1">
            <w:pPr>
              <w:pStyle w:val="TableParagraph"/>
              <w:spacing w:before="9"/>
              <w:rPr>
                <w:sz w:val="20"/>
              </w:rPr>
            </w:pPr>
          </w:p>
          <w:p w14:paraId="110934E4" w14:textId="77777777" w:rsidR="009948F1" w:rsidRDefault="00BC0563">
            <w:pPr>
              <w:pStyle w:val="TableParagraph"/>
              <w:spacing w:line="264" w:lineRule="auto"/>
              <w:ind w:left="24" w:right="299" w:firstLine="33"/>
              <w:rPr>
                <w:sz w:val="15"/>
              </w:rPr>
            </w:pPr>
            <w:r>
              <w:rPr>
                <w:color w:val="231F20"/>
                <w:w w:val="85"/>
                <w:sz w:val="15"/>
              </w:rPr>
              <w:t>Scale-up BCC</w:t>
            </w:r>
            <w:r>
              <w:rPr>
                <w:color w:val="231F20"/>
                <w:spacing w:val="1"/>
                <w:w w:val="85"/>
                <w:sz w:val="15"/>
              </w:rPr>
              <w:t xml:space="preserve"> </w:t>
            </w:r>
            <w:r>
              <w:rPr>
                <w:color w:val="231F20"/>
                <w:w w:val="85"/>
                <w:sz w:val="15"/>
              </w:rPr>
              <w:t>for</w:t>
            </w:r>
            <w:r>
              <w:rPr>
                <w:color w:val="231F20"/>
                <w:spacing w:val="-18"/>
                <w:w w:val="85"/>
                <w:sz w:val="15"/>
              </w:rPr>
              <w:t xml:space="preserve"> </w:t>
            </w:r>
            <w:r>
              <w:rPr>
                <w:color w:val="231F20"/>
                <w:w w:val="85"/>
                <w:sz w:val="15"/>
              </w:rPr>
              <w:t>oral</w:t>
            </w:r>
            <w:r>
              <w:rPr>
                <w:color w:val="231F20"/>
                <w:spacing w:val="-17"/>
                <w:w w:val="85"/>
                <w:sz w:val="15"/>
              </w:rPr>
              <w:t xml:space="preserve"> </w:t>
            </w:r>
            <w:r>
              <w:rPr>
                <w:color w:val="231F20"/>
                <w:w w:val="85"/>
                <w:sz w:val="15"/>
              </w:rPr>
              <w:t>health</w:t>
            </w:r>
            <w:r>
              <w:rPr>
                <w:color w:val="231F20"/>
                <w:spacing w:val="-18"/>
                <w:w w:val="85"/>
                <w:sz w:val="15"/>
              </w:rPr>
              <w:t xml:space="preserve"> </w:t>
            </w:r>
            <w:r>
              <w:rPr>
                <w:color w:val="231F20"/>
                <w:w w:val="85"/>
                <w:sz w:val="15"/>
              </w:rPr>
              <w:t>promotion,</w:t>
            </w:r>
            <w:r>
              <w:rPr>
                <w:color w:val="231F20"/>
                <w:spacing w:val="-18"/>
                <w:w w:val="85"/>
                <w:sz w:val="15"/>
              </w:rPr>
              <w:t xml:space="preserve"> </w:t>
            </w:r>
            <w:r>
              <w:rPr>
                <w:color w:val="231F20"/>
                <w:w w:val="85"/>
                <w:sz w:val="15"/>
              </w:rPr>
              <w:t>disease prevention</w:t>
            </w:r>
            <w:r>
              <w:rPr>
                <w:color w:val="231F20"/>
                <w:spacing w:val="-24"/>
                <w:w w:val="85"/>
                <w:sz w:val="15"/>
              </w:rPr>
              <w:t xml:space="preserve"> </w:t>
            </w:r>
            <w:r>
              <w:rPr>
                <w:color w:val="231F20"/>
                <w:w w:val="85"/>
                <w:sz w:val="15"/>
              </w:rPr>
              <w:t>and</w:t>
            </w:r>
            <w:r>
              <w:rPr>
                <w:color w:val="231F20"/>
                <w:spacing w:val="-23"/>
                <w:w w:val="85"/>
                <w:sz w:val="15"/>
              </w:rPr>
              <w:t xml:space="preserve"> </w:t>
            </w:r>
            <w:r>
              <w:rPr>
                <w:color w:val="231F20"/>
                <w:w w:val="85"/>
                <w:sz w:val="15"/>
              </w:rPr>
              <w:t>early</w:t>
            </w:r>
            <w:r>
              <w:rPr>
                <w:color w:val="231F20"/>
                <w:spacing w:val="-23"/>
                <w:w w:val="85"/>
                <w:sz w:val="15"/>
              </w:rPr>
              <w:t xml:space="preserve"> </w:t>
            </w:r>
            <w:r>
              <w:rPr>
                <w:color w:val="231F20"/>
                <w:w w:val="85"/>
                <w:sz w:val="15"/>
              </w:rPr>
              <w:t>care</w:t>
            </w:r>
            <w:r>
              <w:rPr>
                <w:color w:val="231F20"/>
                <w:spacing w:val="-23"/>
                <w:w w:val="85"/>
                <w:sz w:val="15"/>
              </w:rPr>
              <w:t xml:space="preserve"> </w:t>
            </w:r>
            <w:r>
              <w:rPr>
                <w:color w:val="231F20"/>
                <w:w w:val="85"/>
                <w:sz w:val="15"/>
              </w:rPr>
              <w:t>seeking</w:t>
            </w:r>
            <w:r>
              <w:rPr>
                <w:color w:val="231F20"/>
                <w:spacing w:val="-23"/>
                <w:w w:val="85"/>
                <w:sz w:val="15"/>
              </w:rPr>
              <w:t xml:space="preserve"> </w:t>
            </w:r>
            <w:r>
              <w:rPr>
                <w:color w:val="231F20"/>
                <w:w w:val="85"/>
                <w:sz w:val="15"/>
              </w:rPr>
              <w:t>for</w:t>
            </w:r>
            <w:r>
              <w:rPr>
                <w:color w:val="231F20"/>
                <w:spacing w:val="-23"/>
                <w:w w:val="85"/>
                <w:sz w:val="15"/>
              </w:rPr>
              <w:t xml:space="preserve"> </w:t>
            </w:r>
            <w:r>
              <w:rPr>
                <w:color w:val="231F20"/>
                <w:w w:val="85"/>
                <w:sz w:val="15"/>
              </w:rPr>
              <w:t>oral</w:t>
            </w:r>
            <w:r>
              <w:rPr>
                <w:color w:val="231F20"/>
                <w:spacing w:val="-23"/>
                <w:w w:val="85"/>
                <w:sz w:val="15"/>
              </w:rPr>
              <w:t xml:space="preserve"> </w:t>
            </w:r>
            <w:r>
              <w:rPr>
                <w:color w:val="231F20"/>
                <w:w w:val="85"/>
                <w:sz w:val="15"/>
              </w:rPr>
              <w:t>diseases</w:t>
            </w:r>
          </w:p>
        </w:tc>
        <w:tc>
          <w:tcPr>
            <w:tcW w:w="2418" w:type="dxa"/>
            <w:shd w:val="clear" w:color="auto" w:fill="CCE7D3"/>
          </w:tcPr>
          <w:p w14:paraId="293EBF3C" w14:textId="77777777" w:rsidR="009948F1" w:rsidRDefault="00BC0563">
            <w:pPr>
              <w:pStyle w:val="TableParagraph"/>
              <w:numPr>
                <w:ilvl w:val="0"/>
                <w:numId w:val="126"/>
              </w:numPr>
              <w:tabs>
                <w:tab w:val="left" w:pos="100"/>
              </w:tabs>
              <w:spacing w:before="94" w:line="264" w:lineRule="auto"/>
              <w:ind w:right="313" w:firstLine="0"/>
              <w:rPr>
                <w:sz w:val="15"/>
              </w:rPr>
            </w:pPr>
            <w:r>
              <w:rPr>
                <w:color w:val="231F20"/>
                <w:w w:val="80"/>
                <w:sz w:val="15"/>
              </w:rPr>
              <w:t xml:space="preserve">Oral health prevention and promotion </w:t>
            </w:r>
            <w:r>
              <w:rPr>
                <w:color w:val="231F20"/>
                <w:w w:val="85"/>
                <w:sz w:val="15"/>
              </w:rPr>
              <w:t>strategy</w:t>
            </w:r>
            <w:r>
              <w:rPr>
                <w:color w:val="231F20"/>
                <w:spacing w:val="-22"/>
                <w:w w:val="85"/>
                <w:sz w:val="15"/>
              </w:rPr>
              <w:t xml:space="preserve"> </w:t>
            </w:r>
            <w:r>
              <w:rPr>
                <w:color w:val="231F20"/>
                <w:w w:val="85"/>
                <w:sz w:val="15"/>
              </w:rPr>
              <w:t>developed</w:t>
            </w:r>
            <w:r>
              <w:rPr>
                <w:color w:val="231F20"/>
                <w:spacing w:val="-22"/>
                <w:w w:val="85"/>
                <w:sz w:val="15"/>
              </w:rPr>
              <w:t xml:space="preserve"> </w:t>
            </w:r>
            <w:r>
              <w:rPr>
                <w:color w:val="231F20"/>
                <w:w w:val="85"/>
                <w:sz w:val="15"/>
              </w:rPr>
              <w:t>and</w:t>
            </w:r>
            <w:r>
              <w:rPr>
                <w:color w:val="231F20"/>
                <w:spacing w:val="-22"/>
                <w:w w:val="85"/>
                <w:sz w:val="15"/>
              </w:rPr>
              <w:t xml:space="preserve"> </w:t>
            </w:r>
            <w:r>
              <w:rPr>
                <w:color w:val="231F20"/>
                <w:w w:val="85"/>
                <w:sz w:val="15"/>
              </w:rPr>
              <w:t>implemented</w:t>
            </w:r>
          </w:p>
          <w:p w14:paraId="673B214F" w14:textId="77777777" w:rsidR="009948F1" w:rsidRDefault="00BC0563">
            <w:pPr>
              <w:pStyle w:val="TableParagraph"/>
              <w:numPr>
                <w:ilvl w:val="0"/>
                <w:numId w:val="126"/>
              </w:numPr>
              <w:tabs>
                <w:tab w:val="left" w:pos="100"/>
              </w:tabs>
              <w:spacing w:line="264" w:lineRule="auto"/>
              <w:ind w:right="193" w:firstLine="0"/>
              <w:rPr>
                <w:sz w:val="15"/>
              </w:rPr>
            </w:pPr>
            <w:r>
              <w:rPr>
                <w:color w:val="231F20"/>
                <w:w w:val="80"/>
                <w:sz w:val="15"/>
              </w:rPr>
              <w:t xml:space="preserve">IEC materials for oral health awareness </w:t>
            </w:r>
            <w:r>
              <w:rPr>
                <w:color w:val="231F20"/>
                <w:w w:val="85"/>
                <w:sz w:val="15"/>
              </w:rPr>
              <w:t xml:space="preserve">creation among the general population </w:t>
            </w:r>
            <w:r>
              <w:rPr>
                <w:color w:val="231F20"/>
                <w:w w:val="90"/>
                <w:sz w:val="15"/>
              </w:rPr>
              <w:t>developed &amp;</w:t>
            </w:r>
            <w:r>
              <w:rPr>
                <w:color w:val="231F20"/>
                <w:spacing w:val="-20"/>
                <w:w w:val="90"/>
                <w:sz w:val="15"/>
              </w:rPr>
              <w:t xml:space="preserve"> </w:t>
            </w:r>
            <w:r>
              <w:rPr>
                <w:color w:val="231F20"/>
                <w:w w:val="90"/>
                <w:sz w:val="15"/>
              </w:rPr>
              <w:t>distributed</w:t>
            </w:r>
          </w:p>
          <w:p w14:paraId="6279BC99" w14:textId="77777777" w:rsidR="009948F1" w:rsidRDefault="00BC0563">
            <w:pPr>
              <w:pStyle w:val="TableParagraph"/>
              <w:numPr>
                <w:ilvl w:val="0"/>
                <w:numId w:val="126"/>
              </w:numPr>
              <w:tabs>
                <w:tab w:val="left" w:pos="100"/>
              </w:tabs>
              <w:spacing w:line="264" w:lineRule="auto"/>
              <w:ind w:right="142" w:firstLine="0"/>
              <w:rPr>
                <w:sz w:val="15"/>
              </w:rPr>
            </w:pPr>
            <w:r>
              <w:rPr>
                <w:color w:val="231F20"/>
                <w:w w:val="90"/>
                <w:sz w:val="15"/>
              </w:rPr>
              <w:t>Oral</w:t>
            </w:r>
            <w:r>
              <w:rPr>
                <w:color w:val="231F20"/>
                <w:spacing w:val="-26"/>
                <w:w w:val="90"/>
                <w:sz w:val="15"/>
              </w:rPr>
              <w:t xml:space="preserve"> </w:t>
            </w:r>
            <w:r>
              <w:rPr>
                <w:color w:val="231F20"/>
                <w:w w:val="90"/>
                <w:sz w:val="15"/>
              </w:rPr>
              <w:t>health</w:t>
            </w:r>
            <w:r>
              <w:rPr>
                <w:color w:val="231F20"/>
                <w:spacing w:val="-25"/>
                <w:w w:val="90"/>
                <w:sz w:val="15"/>
              </w:rPr>
              <w:t xml:space="preserve"> </w:t>
            </w:r>
            <w:r>
              <w:rPr>
                <w:color w:val="231F20"/>
                <w:w w:val="90"/>
                <w:sz w:val="15"/>
              </w:rPr>
              <w:t>education</w:t>
            </w:r>
            <w:r>
              <w:rPr>
                <w:color w:val="231F20"/>
                <w:spacing w:val="-25"/>
                <w:w w:val="90"/>
                <w:sz w:val="15"/>
              </w:rPr>
              <w:t xml:space="preserve"> </w:t>
            </w:r>
            <w:r>
              <w:rPr>
                <w:color w:val="231F20"/>
                <w:w w:val="90"/>
                <w:sz w:val="15"/>
              </w:rPr>
              <w:t>integrated</w:t>
            </w:r>
            <w:r>
              <w:rPr>
                <w:color w:val="231F20"/>
                <w:spacing w:val="-25"/>
                <w:w w:val="90"/>
                <w:sz w:val="15"/>
              </w:rPr>
              <w:t xml:space="preserve"> </w:t>
            </w:r>
            <w:r>
              <w:rPr>
                <w:color w:val="231F20"/>
                <w:w w:val="90"/>
                <w:sz w:val="15"/>
              </w:rPr>
              <w:t xml:space="preserve">into </w:t>
            </w:r>
            <w:r>
              <w:rPr>
                <w:color w:val="231F20"/>
                <w:w w:val="85"/>
                <w:sz w:val="15"/>
              </w:rPr>
              <w:t>school</w:t>
            </w:r>
            <w:r>
              <w:rPr>
                <w:color w:val="231F20"/>
                <w:spacing w:val="-21"/>
                <w:w w:val="85"/>
                <w:sz w:val="15"/>
              </w:rPr>
              <w:t xml:space="preserve"> </w:t>
            </w:r>
            <w:r>
              <w:rPr>
                <w:color w:val="231F20"/>
                <w:w w:val="85"/>
                <w:sz w:val="15"/>
              </w:rPr>
              <w:t>curricula</w:t>
            </w:r>
            <w:r>
              <w:rPr>
                <w:color w:val="231F20"/>
                <w:spacing w:val="-20"/>
                <w:w w:val="85"/>
                <w:sz w:val="15"/>
              </w:rPr>
              <w:t xml:space="preserve"> </w:t>
            </w:r>
            <w:r>
              <w:rPr>
                <w:color w:val="231F20"/>
                <w:w w:val="85"/>
                <w:sz w:val="15"/>
              </w:rPr>
              <w:t>HE</w:t>
            </w:r>
            <w:r>
              <w:rPr>
                <w:color w:val="231F20"/>
                <w:spacing w:val="-21"/>
                <w:w w:val="85"/>
                <w:sz w:val="15"/>
              </w:rPr>
              <w:t xml:space="preserve"> </w:t>
            </w:r>
            <w:r>
              <w:rPr>
                <w:color w:val="231F20"/>
                <w:w w:val="85"/>
                <w:sz w:val="15"/>
              </w:rPr>
              <w:t>activities</w:t>
            </w:r>
            <w:r>
              <w:rPr>
                <w:color w:val="231F20"/>
                <w:spacing w:val="-20"/>
                <w:w w:val="85"/>
                <w:sz w:val="15"/>
              </w:rPr>
              <w:t xml:space="preserve"> </w:t>
            </w:r>
            <w:r>
              <w:rPr>
                <w:color w:val="231F20"/>
                <w:w w:val="85"/>
                <w:sz w:val="15"/>
              </w:rPr>
              <w:t>at</w:t>
            </w:r>
            <w:r>
              <w:rPr>
                <w:color w:val="231F20"/>
                <w:spacing w:val="-21"/>
                <w:w w:val="85"/>
                <w:sz w:val="15"/>
              </w:rPr>
              <w:t xml:space="preserve"> </w:t>
            </w:r>
            <w:r>
              <w:rPr>
                <w:color w:val="231F20"/>
                <w:w w:val="85"/>
                <w:sz w:val="15"/>
              </w:rPr>
              <w:t>PHC</w:t>
            </w:r>
            <w:r>
              <w:rPr>
                <w:color w:val="231F20"/>
                <w:spacing w:val="-20"/>
                <w:w w:val="85"/>
                <w:sz w:val="15"/>
              </w:rPr>
              <w:t xml:space="preserve"> </w:t>
            </w:r>
            <w:r>
              <w:rPr>
                <w:color w:val="231F20"/>
                <w:spacing w:val="-3"/>
                <w:w w:val="85"/>
                <w:sz w:val="15"/>
              </w:rPr>
              <w:t>level</w:t>
            </w:r>
          </w:p>
        </w:tc>
        <w:tc>
          <w:tcPr>
            <w:tcW w:w="1447" w:type="dxa"/>
            <w:shd w:val="clear" w:color="auto" w:fill="CCE7D3"/>
          </w:tcPr>
          <w:p w14:paraId="73451ECF" w14:textId="77777777" w:rsidR="009948F1" w:rsidRDefault="009948F1">
            <w:pPr>
              <w:pStyle w:val="TableParagraph"/>
              <w:rPr>
                <w:rFonts w:ascii="Times New Roman"/>
                <w:sz w:val="12"/>
              </w:rPr>
            </w:pPr>
          </w:p>
        </w:tc>
        <w:tc>
          <w:tcPr>
            <w:tcW w:w="1526" w:type="dxa"/>
            <w:shd w:val="clear" w:color="auto" w:fill="CCE7D3"/>
          </w:tcPr>
          <w:p w14:paraId="3DBBD440" w14:textId="77777777" w:rsidR="009948F1" w:rsidRDefault="009948F1">
            <w:pPr>
              <w:pStyle w:val="TableParagraph"/>
              <w:rPr>
                <w:rFonts w:ascii="Times New Roman"/>
                <w:sz w:val="12"/>
              </w:rPr>
            </w:pPr>
          </w:p>
        </w:tc>
      </w:tr>
      <w:tr w:rsidR="009948F1" w14:paraId="72B27E5F" w14:textId="77777777">
        <w:trPr>
          <w:trHeight w:val="615"/>
        </w:trPr>
        <w:tc>
          <w:tcPr>
            <w:tcW w:w="878" w:type="dxa"/>
            <w:gridSpan w:val="2"/>
            <w:vMerge w:val="restart"/>
            <w:tcBorders>
              <w:top w:val="nil"/>
              <w:left w:val="single" w:sz="8" w:space="0" w:color="231F20"/>
            </w:tcBorders>
          </w:tcPr>
          <w:p w14:paraId="150C5B46" w14:textId="77777777" w:rsidR="009948F1" w:rsidRDefault="009948F1">
            <w:pPr>
              <w:pStyle w:val="TableParagraph"/>
              <w:rPr>
                <w:rFonts w:ascii="Times New Roman"/>
                <w:sz w:val="12"/>
              </w:rPr>
            </w:pPr>
          </w:p>
        </w:tc>
        <w:tc>
          <w:tcPr>
            <w:tcW w:w="534" w:type="dxa"/>
          </w:tcPr>
          <w:p w14:paraId="161651BE" w14:textId="77777777" w:rsidR="009948F1" w:rsidRDefault="009948F1">
            <w:pPr>
              <w:pStyle w:val="TableParagraph"/>
              <w:rPr>
                <w:sz w:val="19"/>
              </w:rPr>
            </w:pPr>
          </w:p>
          <w:p w14:paraId="714A9A2C" w14:textId="77777777" w:rsidR="009948F1" w:rsidRDefault="00BC0563">
            <w:pPr>
              <w:pStyle w:val="TableParagraph"/>
              <w:ind w:left="29" w:right="12"/>
              <w:jc w:val="center"/>
              <w:rPr>
                <w:sz w:val="15"/>
              </w:rPr>
            </w:pPr>
            <w:r>
              <w:rPr>
                <w:color w:val="231F20"/>
                <w:w w:val="85"/>
                <w:sz w:val="15"/>
              </w:rPr>
              <w:t>6.4.1.a</w:t>
            </w:r>
          </w:p>
        </w:tc>
        <w:tc>
          <w:tcPr>
            <w:tcW w:w="4965" w:type="dxa"/>
            <w:gridSpan w:val="2"/>
          </w:tcPr>
          <w:p w14:paraId="56097402" w14:textId="77777777" w:rsidR="009948F1" w:rsidRDefault="009948F1">
            <w:pPr>
              <w:pStyle w:val="TableParagraph"/>
              <w:spacing w:before="5"/>
              <w:rPr>
                <w:sz w:val="18"/>
              </w:rPr>
            </w:pPr>
          </w:p>
          <w:p w14:paraId="43B44B77" w14:textId="77777777" w:rsidR="009948F1" w:rsidRDefault="00BC0563">
            <w:pPr>
              <w:pStyle w:val="TableParagraph"/>
              <w:ind w:left="23"/>
              <w:rPr>
                <w:sz w:val="15"/>
              </w:rPr>
            </w:pPr>
            <w:r>
              <w:rPr>
                <w:color w:val="231F20"/>
                <w:w w:val="90"/>
                <w:sz w:val="15"/>
              </w:rPr>
              <w:t>Develop and implement an oral health prevention and promotion strategy</w:t>
            </w:r>
          </w:p>
        </w:tc>
        <w:tc>
          <w:tcPr>
            <w:tcW w:w="1447" w:type="dxa"/>
          </w:tcPr>
          <w:p w14:paraId="76BFECCB" w14:textId="77777777" w:rsidR="009948F1" w:rsidRDefault="009948F1">
            <w:pPr>
              <w:pStyle w:val="TableParagraph"/>
              <w:rPr>
                <w:sz w:val="19"/>
              </w:rPr>
            </w:pPr>
          </w:p>
          <w:p w14:paraId="3BEC1C69" w14:textId="77777777" w:rsidR="009948F1" w:rsidRDefault="00BC0563">
            <w:pPr>
              <w:pStyle w:val="TableParagraph"/>
              <w:ind w:left="23"/>
              <w:rPr>
                <w:sz w:val="15"/>
              </w:rPr>
            </w:pPr>
            <w:r>
              <w:rPr>
                <w:color w:val="231F20"/>
                <w:w w:val="90"/>
                <w:sz w:val="15"/>
              </w:rPr>
              <w:t>Lack of funds</w:t>
            </w:r>
          </w:p>
        </w:tc>
        <w:tc>
          <w:tcPr>
            <w:tcW w:w="1526" w:type="dxa"/>
          </w:tcPr>
          <w:p w14:paraId="6C0ABAF0" w14:textId="77777777" w:rsidR="009948F1" w:rsidRDefault="00BC0563">
            <w:pPr>
              <w:pStyle w:val="TableParagraph"/>
              <w:spacing w:before="124" w:line="264" w:lineRule="auto"/>
              <w:ind w:left="24" w:right="39"/>
              <w:rPr>
                <w:sz w:val="15"/>
              </w:rPr>
            </w:pPr>
            <w:r>
              <w:rPr>
                <w:color w:val="231F20"/>
                <w:w w:val="85"/>
                <w:sz w:val="15"/>
              </w:rPr>
              <w:t>Develop</w:t>
            </w:r>
            <w:r>
              <w:rPr>
                <w:color w:val="231F20"/>
                <w:spacing w:val="-25"/>
                <w:w w:val="85"/>
                <w:sz w:val="15"/>
              </w:rPr>
              <w:t xml:space="preserve"> </w:t>
            </w:r>
            <w:r>
              <w:rPr>
                <w:color w:val="231F20"/>
                <w:w w:val="85"/>
                <w:sz w:val="15"/>
              </w:rPr>
              <w:t>and</w:t>
            </w:r>
            <w:r>
              <w:rPr>
                <w:color w:val="231F20"/>
                <w:spacing w:val="-24"/>
                <w:w w:val="85"/>
                <w:sz w:val="15"/>
              </w:rPr>
              <w:t xml:space="preserve"> </w:t>
            </w:r>
            <w:r>
              <w:rPr>
                <w:color w:val="231F20"/>
                <w:w w:val="85"/>
                <w:sz w:val="15"/>
              </w:rPr>
              <w:t>implement</w:t>
            </w:r>
            <w:r>
              <w:rPr>
                <w:color w:val="231F20"/>
                <w:spacing w:val="-24"/>
                <w:w w:val="85"/>
                <w:sz w:val="15"/>
              </w:rPr>
              <w:t xml:space="preserve"> </w:t>
            </w:r>
            <w:r>
              <w:rPr>
                <w:color w:val="231F20"/>
                <w:spacing w:val="-8"/>
                <w:w w:val="85"/>
                <w:sz w:val="15"/>
              </w:rPr>
              <w:t xml:space="preserve">an </w:t>
            </w:r>
            <w:r>
              <w:rPr>
                <w:color w:val="231F20"/>
                <w:w w:val="90"/>
                <w:sz w:val="15"/>
              </w:rPr>
              <w:t>oral</w:t>
            </w:r>
            <w:r>
              <w:rPr>
                <w:color w:val="231F20"/>
                <w:spacing w:val="-8"/>
                <w:w w:val="90"/>
                <w:sz w:val="15"/>
              </w:rPr>
              <w:t xml:space="preserve"> </w:t>
            </w:r>
            <w:r>
              <w:rPr>
                <w:color w:val="231F20"/>
                <w:w w:val="90"/>
                <w:sz w:val="15"/>
              </w:rPr>
              <w:t>health</w:t>
            </w:r>
          </w:p>
        </w:tc>
      </w:tr>
      <w:tr w:rsidR="009948F1" w14:paraId="11C05831" w14:textId="77777777">
        <w:trPr>
          <w:trHeight w:val="615"/>
        </w:trPr>
        <w:tc>
          <w:tcPr>
            <w:tcW w:w="878" w:type="dxa"/>
            <w:gridSpan w:val="2"/>
            <w:vMerge/>
            <w:tcBorders>
              <w:top w:val="nil"/>
              <w:left w:val="single" w:sz="8" w:space="0" w:color="231F20"/>
            </w:tcBorders>
          </w:tcPr>
          <w:p w14:paraId="44A70603" w14:textId="77777777" w:rsidR="009948F1" w:rsidRDefault="009948F1">
            <w:pPr>
              <w:rPr>
                <w:sz w:val="2"/>
                <w:szCs w:val="2"/>
              </w:rPr>
            </w:pPr>
          </w:p>
        </w:tc>
        <w:tc>
          <w:tcPr>
            <w:tcW w:w="534" w:type="dxa"/>
          </w:tcPr>
          <w:p w14:paraId="569E7289" w14:textId="77777777" w:rsidR="009948F1" w:rsidRDefault="009948F1">
            <w:pPr>
              <w:pStyle w:val="TableParagraph"/>
              <w:rPr>
                <w:sz w:val="19"/>
              </w:rPr>
            </w:pPr>
          </w:p>
          <w:p w14:paraId="179CDC9F" w14:textId="77777777" w:rsidR="009948F1" w:rsidRDefault="00BC0563">
            <w:pPr>
              <w:pStyle w:val="TableParagraph"/>
              <w:ind w:left="29" w:right="12"/>
              <w:jc w:val="center"/>
              <w:rPr>
                <w:sz w:val="15"/>
              </w:rPr>
            </w:pPr>
            <w:r>
              <w:rPr>
                <w:color w:val="231F20"/>
                <w:w w:val="85"/>
                <w:sz w:val="15"/>
              </w:rPr>
              <w:t>6.4.1.b</w:t>
            </w:r>
          </w:p>
        </w:tc>
        <w:tc>
          <w:tcPr>
            <w:tcW w:w="4965" w:type="dxa"/>
            <w:gridSpan w:val="2"/>
          </w:tcPr>
          <w:p w14:paraId="77C873FC" w14:textId="77777777" w:rsidR="009948F1" w:rsidRDefault="00BC0563">
            <w:pPr>
              <w:pStyle w:val="TableParagraph"/>
              <w:spacing w:before="118" w:line="264" w:lineRule="auto"/>
              <w:ind w:left="23"/>
              <w:rPr>
                <w:sz w:val="15"/>
              </w:rPr>
            </w:pPr>
            <w:r>
              <w:rPr>
                <w:color w:val="231F20"/>
                <w:w w:val="80"/>
                <w:sz w:val="15"/>
              </w:rPr>
              <w:t xml:space="preserve">Develop and distribute Information Education and Communication (IEC) materials for oral </w:t>
            </w:r>
            <w:r>
              <w:rPr>
                <w:color w:val="231F20"/>
                <w:w w:val="90"/>
                <w:sz w:val="15"/>
              </w:rPr>
              <w:t>health awareness creation among the general population</w:t>
            </w:r>
          </w:p>
        </w:tc>
        <w:tc>
          <w:tcPr>
            <w:tcW w:w="1447" w:type="dxa"/>
          </w:tcPr>
          <w:p w14:paraId="60167B89" w14:textId="77777777" w:rsidR="009948F1" w:rsidRDefault="009948F1">
            <w:pPr>
              <w:pStyle w:val="TableParagraph"/>
              <w:rPr>
                <w:sz w:val="19"/>
              </w:rPr>
            </w:pPr>
          </w:p>
          <w:p w14:paraId="598E33AC" w14:textId="77777777" w:rsidR="009948F1" w:rsidRDefault="00BC0563">
            <w:pPr>
              <w:pStyle w:val="TableParagraph"/>
              <w:ind w:left="23"/>
              <w:rPr>
                <w:sz w:val="15"/>
              </w:rPr>
            </w:pPr>
            <w:r>
              <w:rPr>
                <w:color w:val="231F20"/>
                <w:w w:val="90"/>
                <w:sz w:val="15"/>
              </w:rPr>
              <w:t>Lack of funds</w:t>
            </w:r>
          </w:p>
        </w:tc>
        <w:tc>
          <w:tcPr>
            <w:tcW w:w="1526" w:type="dxa"/>
          </w:tcPr>
          <w:p w14:paraId="3F6145D2" w14:textId="77777777" w:rsidR="009948F1" w:rsidRDefault="00BC0563">
            <w:pPr>
              <w:pStyle w:val="TableParagraph"/>
              <w:spacing w:before="124" w:line="264" w:lineRule="auto"/>
              <w:ind w:left="24" w:right="9"/>
              <w:rPr>
                <w:sz w:val="15"/>
              </w:rPr>
            </w:pPr>
            <w:r>
              <w:rPr>
                <w:color w:val="231F20"/>
                <w:w w:val="85"/>
                <w:sz w:val="15"/>
              </w:rPr>
              <w:t>Develop</w:t>
            </w:r>
            <w:r>
              <w:rPr>
                <w:color w:val="231F20"/>
                <w:spacing w:val="-20"/>
                <w:w w:val="85"/>
                <w:sz w:val="15"/>
              </w:rPr>
              <w:t xml:space="preserve"> </w:t>
            </w:r>
            <w:r>
              <w:rPr>
                <w:color w:val="231F20"/>
                <w:w w:val="85"/>
                <w:sz w:val="15"/>
              </w:rPr>
              <w:t>and</w:t>
            </w:r>
            <w:r>
              <w:rPr>
                <w:color w:val="231F20"/>
                <w:spacing w:val="-19"/>
                <w:w w:val="85"/>
                <w:sz w:val="15"/>
              </w:rPr>
              <w:t xml:space="preserve"> </w:t>
            </w:r>
            <w:r>
              <w:rPr>
                <w:color w:val="231F20"/>
                <w:w w:val="85"/>
                <w:sz w:val="15"/>
              </w:rPr>
              <w:t>distribute</w:t>
            </w:r>
            <w:r>
              <w:rPr>
                <w:color w:val="231F20"/>
                <w:spacing w:val="-2"/>
                <w:w w:val="85"/>
                <w:sz w:val="15"/>
              </w:rPr>
              <w:t xml:space="preserve"> </w:t>
            </w:r>
            <w:r>
              <w:rPr>
                <w:color w:val="231F20"/>
                <w:spacing w:val="-6"/>
                <w:w w:val="85"/>
                <w:sz w:val="15"/>
              </w:rPr>
              <w:t xml:space="preserve">IEC </w:t>
            </w:r>
            <w:r>
              <w:rPr>
                <w:color w:val="231F20"/>
                <w:w w:val="90"/>
                <w:sz w:val="15"/>
              </w:rPr>
              <w:t>materials</w:t>
            </w:r>
          </w:p>
        </w:tc>
      </w:tr>
      <w:tr w:rsidR="009948F1" w14:paraId="59F38379" w14:textId="77777777">
        <w:trPr>
          <w:trHeight w:val="615"/>
        </w:trPr>
        <w:tc>
          <w:tcPr>
            <w:tcW w:w="878" w:type="dxa"/>
            <w:gridSpan w:val="2"/>
            <w:vMerge/>
            <w:tcBorders>
              <w:top w:val="nil"/>
              <w:left w:val="single" w:sz="8" w:space="0" w:color="231F20"/>
            </w:tcBorders>
          </w:tcPr>
          <w:p w14:paraId="1B040D8B" w14:textId="77777777" w:rsidR="009948F1" w:rsidRDefault="009948F1">
            <w:pPr>
              <w:rPr>
                <w:sz w:val="2"/>
                <w:szCs w:val="2"/>
              </w:rPr>
            </w:pPr>
          </w:p>
        </w:tc>
        <w:tc>
          <w:tcPr>
            <w:tcW w:w="534" w:type="dxa"/>
          </w:tcPr>
          <w:p w14:paraId="05885AC0" w14:textId="77777777" w:rsidR="009948F1" w:rsidRDefault="009948F1">
            <w:pPr>
              <w:pStyle w:val="TableParagraph"/>
              <w:rPr>
                <w:sz w:val="19"/>
              </w:rPr>
            </w:pPr>
          </w:p>
          <w:p w14:paraId="5B0E35A4" w14:textId="77777777" w:rsidR="009948F1" w:rsidRDefault="00BC0563">
            <w:pPr>
              <w:pStyle w:val="TableParagraph"/>
              <w:ind w:left="30" w:right="12"/>
              <w:jc w:val="center"/>
              <w:rPr>
                <w:sz w:val="15"/>
              </w:rPr>
            </w:pPr>
            <w:r>
              <w:rPr>
                <w:color w:val="231F20"/>
                <w:w w:val="90"/>
                <w:sz w:val="15"/>
              </w:rPr>
              <w:t>6.4.1.c</w:t>
            </w:r>
          </w:p>
        </w:tc>
        <w:tc>
          <w:tcPr>
            <w:tcW w:w="4965" w:type="dxa"/>
            <w:gridSpan w:val="2"/>
          </w:tcPr>
          <w:p w14:paraId="4B2CAFC4" w14:textId="77777777" w:rsidR="009948F1" w:rsidRDefault="009948F1">
            <w:pPr>
              <w:pStyle w:val="TableParagraph"/>
              <w:spacing w:before="5"/>
              <w:rPr>
                <w:sz w:val="18"/>
              </w:rPr>
            </w:pPr>
          </w:p>
          <w:p w14:paraId="0C5FCE38" w14:textId="77777777" w:rsidR="009948F1" w:rsidRDefault="00BC0563">
            <w:pPr>
              <w:pStyle w:val="TableParagraph"/>
              <w:ind w:left="23"/>
              <w:rPr>
                <w:sz w:val="15"/>
              </w:rPr>
            </w:pPr>
            <w:r>
              <w:rPr>
                <w:color w:val="231F20"/>
                <w:w w:val="90"/>
                <w:sz w:val="15"/>
              </w:rPr>
              <w:t>Conduct advocacy to integrate oral health education into school curricula</w:t>
            </w:r>
          </w:p>
        </w:tc>
        <w:tc>
          <w:tcPr>
            <w:tcW w:w="1447" w:type="dxa"/>
          </w:tcPr>
          <w:p w14:paraId="5276EFEB" w14:textId="77777777" w:rsidR="009948F1" w:rsidRDefault="009948F1">
            <w:pPr>
              <w:pStyle w:val="TableParagraph"/>
              <w:rPr>
                <w:sz w:val="19"/>
              </w:rPr>
            </w:pPr>
          </w:p>
          <w:p w14:paraId="37DEDF57" w14:textId="77777777" w:rsidR="009948F1" w:rsidRDefault="00BC0563">
            <w:pPr>
              <w:pStyle w:val="TableParagraph"/>
              <w:ind w:left="23"/>
              <w:rPr>
                <w:sz w:val="15"/>
              </w:rPr>
            </w:pPr>
            <w:r>
              <w:rPr>
                <w:color w:val="231F20"/>
                <w:w w:val="90"/>
                <w:sz w:val="15"/>
              </w:rPr>
              <w:t>Lack of funds</w:t>
            </w:r>
          </w:p>
        </w:tc>
        <w:tc>
          <w:tcPr>
            <w:tcW w:w="1526" w:type="dxa"/>
          </w:tcPr>
          <w:p w14:paraId="7C2AE5B1" w14:textId="77777777" w:rsidR="009948F1" w:rsidRDefault="009948F1">
            <w:pPr>
              <w:pStyle w:val="TableParagraph"/>
              <w:rPr>
                <w:sz w:val="19"/>
              </w:rPr>
            </w:pPr>
          </w:p>
          <w:p w14:paraId="14BAB662" w14:textId="77777777" w:rsidR="009948F1" w:rsidRDefault="00BC0563">
            <w:pPr>
              <w:pStyle w:val="TableParagraph"/>
              <w:ind w:left="24"/>
              <w:rPr>
                <w:sz w:val="15"/>
              </w:rPr>
            </w:pPr>
            <w:r>
              <w:rPr>
                <w:color w:val="231F20"/>
                <w:w w:val="90"/>
                <w:sz w:val="15"/>
              </w:rPr>
              <w:t>No cost</w:t>
            </w:r>
          </w:p>
        </w:tc>
      </w:tr>
      <w:tr w:rsidR="009948F1" w14:paraId="0664052A" w14:textId="77777777">
        <w:trPr>
          <w:trHeight w:val="615"/>
        </w:trPr>
        <w:tc>
          <w:tcPr>
            <w:tcW w:w="878" w:type="dxa"/>
            <w:gridSpan w:val="2"/>
            <w:vMerge/>
            <w:tcBorders>
              <w:top w:val="nil"/>
              <w:left w:val="single" w:sz="8" w:space="0" w:color="231F20"/>
            </w:tcBorders>
          </w:tcPr>
          <w:p w14:paraId="6E07A9CC" w14:textId="77777777" w:rsidR="009948F1" w:rsidRDefault="009948F1">
            <w:pPr>
              <w:rPr>
                <w:sz w:val="2"/>
                <w:szCs w:val="2"/>
              </w:rPr>
            </w:pPr>
          </w:p>
        </w:tc>
        <w:tc>
          <w:tcPr>
            <w:tcW w:w="534" w:type="dxa"/>
          </w:tcPr>
          <w:p w14:paraId="3709E614" w14:textId="77777777" w:rsidR="009948F1" w:rsidRDefault="009948F1">
            <w:pPr>
              <w:pStyle w:val="TableParagraph"/>
              <w:rPr>
                <w:sz w:val="19"/>
              </w:rPr>
            </w:pPr>
          </w:p>
          <w:p w14:paraId="11CC678F" w14:textId="77777777" w:rsidR="009948F1" w:rsidRDefault="00BC0563">
            <w:pPr>
              <w:pStyle w:val="TableParagraph"/>
              <w:ind w:left="29" w:right="12"/>
              <w:jc w:val="center"/>
              <w:rPr>
                <w:sz w:val="15"/>
              </w:rPr>
            </w:pPr>
            <w:r>
              <w:rPr>
                <w:color w:val="231F20"/>
                <w:w w:val="85"/>
                <w:sz w:val="15"/>
              </w:rPr>
              <w:t>6.4.1.d</w:t>
            </w:r>
          </w:p>
        </w:tc>
        <w:tc>
          <w:tcPr>
            <w:tcW w:w="4965" w:type="dxa"/>
            <w:gridSpan w:val="2"/>
          </w:tcPr>
          <w:p w14:paraId="69AD87B4" w14:textId="77777777" w:rsidR="009948F1" w:rsidRDefault="009948F1">
            <w:pPr>
              <w:pStyle w:val="TableParagraph"/>
              <w:spacing w:before="5"/>
              <w:rPr>
                <w:sz w:val="18"/>
              </w:rPr>
            </w:pPr>
          </w:p>
          <w:p w14:paraId="413BEB6B" w14:textId="77777777" w:rsidR="009948F1" w:rsidRDefault="00BC0563">
            <w:pPr>
              <w:pStyle w:val="TableParagraph"/>
              <w:ind w:left="23"/>
              <w:rPr>
                <w:sz w:val="15"/>
              </w:rPr>
            </w:pPr>
            <w:r>
              <w:rPr>
                <w:color w:val="231F20"/>
                <w:w w:val="90"/>
                <w:sz w:val="15"/>
              </w:rPr>
              <w:t>Integrate oral health education into health education activities at PHC level</w:t>
            </w:r>
          </w:p>
        </w:tc>
        <w:tc>
          <w:tcPr>
            <w:tcW w:w="1447" w:type="dxa"/>
          </w:tcPr>
          <w:p w14:paraId="32C33858" w14:textId="77777777" w:rsidR="009948F1" w:rsidRDefault="009948F1">
            <w:pPr>
              <w:pStyle w:val="TableParagraph"/>
              <w:rPr>
                <w:sz w:val="19"/>
              </w:rPr>
            </w:pPr>
          </w:p>
          <w:p w14:paraId="065564F5" w14:textId="77777777" w:rsidR="009948F1" w:rsidRDefault="00BC0563">
            <w:pPr>
              <w:pStyle w:val="TableParagraph"/>
              <w:ind w:left="23"/>
              <w:rPr>
                <w:sz w:val="15"/>
              </w:rPr>
            </w:pPr>
            <w:r>
              <w:rPr>
                <w:color w:val="231F20"/>
                <w:w w:val="90"/>
                <w:sz w:val="15"/>
              </w:rPr>
              <w:t>Lack of funds</w:t>
            </w:r>
          </w:p>
        </w:tc>
        <w:tc>
          <w:tcPr>
            <w:tcW w:w="1526" w:type="dxa"/>
          </w:tcPr>
          <w:p w14:paraId="150ECE71" w14:textId="77777777" w:rsidR="009948F1" w:rsidRDefault="009948F1">
            <w:pPr>
              <w:pStyle w:val="TableParagraph"/>
              <w:rPr>
                <w:sz w:val="19"/>
              </w:rPr>
            </w:pPr>
          </w:p>
          <w:p w14:paraId="74128ACE" w14:textId="77777777" w:rsidR="009948F1" w:rsidRDefault="00BC0563">
            <w:pPr>
              <w:pStyle w:val="TableParagraph"/>
              <w:ind w:left="24"/>
              <w:rPr>
                <w:sz w:val="15"/>
              </w:rPr>
            </w:pPr>
            <w:r>
              <w:rPr>
                <w:color w:val="231F20"/>
                <w:w w:val="90"/>
                <w:sz w:val="15"/>
              </w:rPr>
              <w:t>No cost</w:t>
            </w:r>
          </w:p>
        </w:tc>
      </w:tr>
      <w:tr w:rsidR="009948F1" w14:paraId="6053EE3A" w14:textId="77777777">
        <w:trPr>
          <w:trHeight w:val="615"/>
        </w:trPr>
        <w:tc>
          <w:tcPr>
            <w:tcW w:w="878" w:type="dxa"/>
            <w:gridSpan w:val="2"/>
            <w:vMerge/>
            <w:tcBorders>
              <w:top w:val="nil"/>
              <w:left w:val="single" w:sz="8" w:space="0" w:color="231F20"/>
            </w:tcBorders>
          </w:tcPr>
          <w:p w14:paraId="4626C757" w14:textId="77777777" w:rsidR="009948F1" w:rsidRDefault="009948F1">
            <w:pPr>
              <w:rPr>
                <w:sz w:val="2"/>
                <w:szCs w:val="2"/>
              </w:rPr>
            </w:pPr>
          </w:p>
        </w:tc>
        <w:tc>
          <w:tcPr>
            <w:tcW w:w="534" w:type="dxa"/>
          </w:tcPr>
          <w:p w14:paraId="58BA3F74" w14:textId="77777777" w:rsidR="009948F1" w:rsidRDefault="009948F1">
            <w:pPr>
              <w:pStyle w:val="TableParagraph"/>
              <w:rPr>
                <w:sz w:val="19"/>
              </w:rPr>
            </w:pPr>
          </w:p>
          <w:p w14:paraId="7C211FBA" w14:textId="77777777" w:rsidR="009948F1" w:rsidRDefault="00BC0563">
            <w:pPr>
              <w:pStyle w:val="TableParagraph"/>
              <w:ind w:left="29" w:right="12"/>
              <w:jc w:val="center"/>
              <w:rPr>
                <w:sz w:val="15"/>
              </w:rPr>
            </w:pPr>
            <w:r>
              <w:rPr>
                <w:color w:val="231F20"/>
                <w:w w:val="85"/>
                <w:sz w:val="15"/>
              </w:rPr>
              <w:t>6.4.1.e</w:t>
            </w:r>
          </w:p>
        </w:tc>
        <w:tc>
          <w:tcPr>
            <w:tcW w:w="4965" w:type="dxa"/>
            <w:gridSpan w:val="2"/>
          </w:tcPr>
          <w:p w14:paraId="1DCB1391" w14:textId="77777777" w:rsidR="009948F1" w:rsidRDefault="009948F1">
            <w:pPr>
              <w:pStyle w:val="TableParagraph"/>
              <w:spacing w:before="5"/>
              <w:rPr>
                <w:sz w:val="18"/>
              </w:rPr>
            </w:pPr>
          </w:p>
          <w:p w14:paraId="12BA51DC" w14:textId="77777777" w:rsidR="009948F1" w:rsidRDefault="00BC0563">
            <w:pPr>
              <w:pStyle w:val="TableParagraph"/>
              <w:ind w:left="23"/>
              <w:rPr>
                <w:sz w:val="15"/>
              </w:rPr>
            </w:pPr>
            <w:r>
              <w:rPr>
                <w:color w:val="231F20"/>
                <w:w w:val="90"/>
                <w:sz w:val="15"/>
              </w:rPr>
              <w:t>Institutionalize Oral week to promote good oral health habits</w:t>
            </w:r>
          </w:p>
        </w:tc>
        <w:tc>
          <w:tcPr>
            <w:tcW w:w="1447" w:type="dxa"/>
          </w:tcPr>
          <w:p w14:paraId="10E31089" w14:textId="77777777" w:rsidR="009948F1" w:rsidRDefault="009948F1">
            <w:pPr>
              <w:pStyle w:val="TableParagraph"/>
              <w:rPr>
                <w:sz w:val="19"/>
              </w:rPr>
            </w:pPr>
          </w:p>
          <w:p w14:paraId="71FE004E" w14:textId="77777777" w:rsidR="009948F1" w:rsidRDefault="00BC0563">
            <w:pPr>
              <w:pStyle w:val="TableParagraph"/>
              <w:ind w:left="23"/>
              <w:rPr>
                <w:sz w:val="15"/>
              </w:rPr>
            </w:pPr>
            <w:r>
              <w:rPr>
                <w:color w:val="231F20"/>
                <w:w w:val="90"/>
                <w:sz w:val="15"/>
              </w:rPr>
              <w:t>Lack of funds</w:t>
            </w:r>
          </w:p>
        </w:tc>
        <w:tc>
          <w:tcPr>
            <w:tcW w:w="1526" w:type="dxa"/>
          </w:tcPr>
          <w:p w14:paraId="385E9471" w14:textId="77777777" w:rsidR="009948F1" w:rsidRDefault="009948F1">
            <w:pPr>
              <w:pStyle w:val="TableParagraph"/>
              <w:rPr>
                <w:sz w:val="19"/>
              </w:rPr>
            </w:pPr>
          </w:p>
          <w:p w14:paraId="1F71804E" w14:textId="77777777" w:rsidR="009948F1" w:rsidRDefault="00BC0563">
            <w:pPr>
              <w:pStyle w:val="TableParagraph"/>
              <w:ind w:left="24"/>
              <w:rPr>
                <w:sz w:val="15"/>
              </w:rPr>
            </w:pPr>
            <w:r>
              <w:rPr>
                <w:color w:val="231F20"/>
                <w:w w:val="90"/>
                <w:sz w:val="15"/>
              </w:rPr>
              <w:t>No cost</w:t>
            </w:r>
          </w:p>
        </w:tc>
      </w:tr>
    </w:tbl>
    <w:p w14:paraId="0EE70243" w14:textId="77777777" w:rsidR="009948F1" w:rsidRDefault="009948F1">
      <w:pPr>
        <w:rPr>
          <w:sz w:val="15"/>
        </w:rPr>
        <w:sectPr w:rsidR="009948F1">
          <w:pgSz w:w="11910" w:h="16840"/>
          <w:pgMar w:top="1300" w:right="1080" w:bottom="1340" w:left="1120" w:header="0" w:footer="1155" w:gutter="0"/>
          <w:cols w:space="720"/>
        </w:sectPr>
      </w:pPr>
    </w:p>
    <w:tbl>
      <w:tblPr>
        <w:tblW w:w="0" w:type="auto"/>
        <w:tblInd w:w="2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2"/>
        <w:gridCol w:w="458"/>
        <w:gridCol w:w="528"/>
        <w:gridCol w:w="2523"/>
        <w:gridCol w:w="2396"/>
        <w:gridCol w:w="1432"/>
        <w:gridCol w:w="1512"/>
      </w:tblGrid>
      <w:tr w:rsidR="009948F1" w14:paraId="4D851CF1" w14:textId="77777777">
        <w:trPr>
          <w:trHeight w:val="1298"/>
        </w:trPr>
        <w:tc>
          <w:tcPr>
            <w:tcW w:w="412" w:type="dxa"/>
            <w:tcBorders>
              <w:bottom w:val="nil"/>
              <w:right w:val="single" w:sz="6" w:space="0" w:color="231F20"/>
            </w:tcBorders>
          </w:tcPr>
          <w:p w14:paraId="4F4E79FD" w14:textId="77777777" w:rsidR="009948F1" w:rsidRDefault="009948F1">
            <w:pPr>
              <w:pStyle w:val="TableParagraph"/>
              <w:rPr>
                <w:rFonts w:ascii="Times New Roman"/>
                <w:sz w:val="10"/>
              </w:rPr>
            </w:pPr>
          </w:p>
        </w:tc>
        <w:tc>
          <w:tcPr>
            <w:tcW w:w="458" w:type="dxa"/>
            <w:tcBorders>
              <w:top w:val="single" w:sz="12" w:space="0" w:color="231F20"/>
              <w:left w:val="single" w:sz="6" w:space="0" w:color="231F20"/>
              <w:bottom w:val="single" w:sz="6" w:space="0" w:color="231F20"/>
              <w:right w:val="single" w:sz="6" w:space="0" w:color="231F20"/>
            </w:tcBorders>
            <w:shd w:val="clear" w:color="auto" w:fill="CCE7D3"/>
          </w:tcPr>
          <w:p w14:paraId="10AABADA" w14:textId="77777777" w:rsidR="009948F1" w:rsidRDefault="009948F1">
            <w:pPr>
              <w:pStyle w:val="TableParagraph"/>
              <w:rPr>
                <w:sz w:val="14"/>
              </w:rPr>
            </w:pPr>
          </w:p>
          <w:p w14:paraId="00CEEBCE" w14:textId="77777777" w:rsidR="009948F1" w:rsidRDefault="009948F1">
            <w:pPr>
              <w:pStyle w:val="TableParagraph"/>
              <w:rPr>
                <w:sz w:val="14"/>
              </w:rPr>
            </w:pPr>
          </w:p>
          <w:p w14:paraId="1D38F091" w14:textId="77777777" w:rsidR="009948F1" w:rsidRDefault="009948F1">
            <w:pPr>
              <w:pStyle w:val="TableParagraph"/>
              <w:rPr>
                <w:sz w:val="14"/>
              </w:rPr>
            </w:pPr>
          </w:p>
          <w:p w14:paraId="2C719D08" w14:textId="77777777" w:rsidR="009948F1" w:rsidRDefault="00BC0563">
            <w:pPr>
              <w:pStyle w:val="TableParagraph"/>
              <w:spacing w:before="86"/>
              <w:ind w:left="57"/>
              <w:rPr>
                <w:sz w:val="13"/>
              </w:rPr>
            </w:pPr>
            <w:bookmarkStart w:id="174" w:name="Page_148"/>
            <w:bookmarkEnd w:id="174"/>
            <w:r>
              <w:rPr>
                <w:color w:val="231F20"/>
                <w:sz w:val="13"/>
              </w:rPr>
              <w:t>6.4.2</w:t>
            </w:r>
          </w:p>
        </w:tc>
        <w:tc>
          <w:tcPr>
            <w:tcW w:w="3051" w:type="dxa"/>
            <w:gridSpan w:val="2"/>
            <w:tcBorders>
              <w:top w:val="single" w:sz="12" w:space="0" w:color="231F20"/>
              <w:left w:val="single" w:sz="6" w:space="0" w:color="231F20"/>
              <w:bottom w:val="single" w:sz="6" w:space="0" w:color="231F20"/>
              <w:right w:val="single" w:sz="6" w:space="0" w:color="231F20"/>
            </w:tcBorders>
            <w:shd w:val="clear" w:color="auto" w:fill="CCE7D3"/>
          </w:tcPr>
          <w:p w14:paraId="1DA1FD49" w14:textId="77777777" w:rsidR="009948F1" w:rsidRDefault="009948F1">
            <w:pPr>
              <w:pStyle w:val="TableParagraph"/>
              <w:rPr>
                <w:sz w:val="14"/>
              </w:rPr>
            </w:pPr>
          </w:p>
          <w:p w14:paraId="6A7E8C48" w14:textId="77777777" w:rsidR="009948F1" w:rsidRDefault="009948F1">
            <w:pPr>
              <w:pStyle w:val="TableParagraph"/>
              <w:spacing w:before="4"/>
              <w:rPr>
                <w:sz w:val="20"/>
              </w:rPr>
            </w:pPr>
          </w:p>
          <w:p w14:paraId="13D8958A" w14:textId="77777777" w:rsidR="009948F1" w:rsidRDefault="00BC0563">
            <w:pPr>
              <w:pStyle w:val="TableParagraph"/>
              <w:spacing w:line="271" w:lineRule="auto"/>
              <w:ind w:left="23" w:right="224" w:firstLine="33"/>
              <w:rPr>
                <w:sz w:val="13"/>
              </w:rPr>
            </w:pPr>
            <w:r>
              <w:rPr>
                <w:color w:val="231F20"/>
                <w:sz w:val="13"/>
              </w:rPr>
              <w:t xml:space="preserve">Expand access to oral health care services by </w:t>
            </w:r>
            <w:r>
              <w:rPr>
                <w:color w:val="231F20"/>
                <w:w w:val="95"/>
                <w:sz w:val="13"/>
              </w:rPr>
              <w:t>integrating</w:t>
            </w:r>
            <w:r>
              <w:rPr>
                <w:color w:val="231F20"/>
                <w:spacing w:val="-15"/>
                <w:w w:val="95"/>
                <w:sz w:val="13"/>
              </w:rPr>
              <w:t xml:space="preserve"> </w:t>
            </w:r>
            <w:r>
              <w:rPr>
                <w:color w:val="231F20"/>
                <w:w w:val="95"/>
                <w:sz w:val="13"/>
              </w:rPr>
              <w:t>oral</w:t>
            </w:r>
            <w:r>
              <w:rPr>
                <w:color w:val="231F20"/>
                <w:spacing w:val="-14"/>
                <w:w w:val="95"/>
                <w:sz w:val="13"/>
              </w:rPr>
              <w:t xml:space="preserve"> </w:t>
            </w:r>
            <w:r>
              <w:rPr>
                <w:color w:val="231F20"/>
                <w:w w:val="95"/>
                <w:sz w:val="13"/>
              </w:rPr>
              <w:t>health</w:t>
            </w:r>
            <w:r>
              <w:rPr>
                <w:color w:val="231F20"/>
                <w:spacing w:val="-15"/>
                <w:w w:val="95"/>
                <w:sz w:val="13"/>
              </w:rPr>
              <w:t xml:space="preserve"> </w:t>
            </w:r>
            <w:r>
              <w:rPr>
                <w:color w:val="231F20"/>
                <w:w w:val="95"/>
                <w:sz w:val="13"/>
              </w:rPr>
              <w:t>into</w:t>
            </w:r>
            <w:r>
              <w:rPr>
                <w:color w:val="231F20"/>
                <w:spacing w:val="-14"/>
                <w:w w:val="95"/>
                <w:sz w:val="13"/>
              </w:rPr>
              <w:t xml:space="preserve"> </w:t>
            </w:r>
            <w:r>
              <w:rPr>
                <w:color w:val="231F20"/>
                <w:w w:val="95"/>
                <w:sz w:val="13"/>
              </w:rPr>
              <w:t>the</w:t>
            </w:r>
            <w:r>
              <w:rPr>
                <w:color w:val="231F20"/>
                <w:spacing w:val="-14"/>
                <w:w w:val="95"/>
                <w:sz w:val="13"/>
              </w:rPr>
              <w:t xml:space="preserve"> </w:t>
            </w:r>
            <w:r>
              <w:rPr>
                <w:color w:val="231F20"/>
                <w:w w:val="95"/>
                <w:sz w:val="13"/>
              </w:rPr>
              <w:t>mainstream</w:t>
            </w:r>
            <w:r>
              <w:rPr>
                <w:color w:val="231F20"/>
                <w:spacing w:val="-15"/>
                <w:w w:val="95"/>
                <w:sz w:val="13"/>
              </w:rPr>
              <w:t xml:space="preserve"> </w:t>
            </w:r>
            <w:r>
              <w:rPr>
                <w:color w:val="231F20"/>
                <w:w w:val="95"/>
                <w:sz w:val="13"/>
              </w:rPr>
              <w:t>of</w:t>
            </w:r>
            <w:r>
              <w:rPr>
                <w:color w:val="231F20"/>
                <w:spacing w:val="-14"/>
                <w:w w:val="95"/>
                <w:sz w:val="13"/>
              </w:rPr>
              <w:t xml:space="preserve"> </w:t>
            </w:r>
            <w:r>
              <w:rPr>
                <w:color w:val="231F20"/>
                <w:w w:val="95"/>
                <w:sz w:val="13"/>
              </w:rPr>
              <w:t xml:space="preserve">service </w:t>
            </w:r>
            <w:r>
              <w:rPr>
                <w:color w:val="231F20"/>
                <w:sz w:val="13"/>
              </w:rPr>
              <w:t>delivery</w:t>
            </w:r>
            <w:r>
              <w:rPr>
                <w:color w:val="231F20"/>
                <w:spacing w:val="-14"/>
                <w:sz w:val="13"/>
              </w:rPr>
              <w:t xml:space="preserve"> </w:t>
            </w:r>
            <w:r>
              <w:rPr>
                <w:color w:val="231F20"/>
                <w:sz w:val="13"/>
              </w:rPr>
              <w:t>at</w:t>
            </w:r>
            <w:r>
              <w:rPr>
                <w:color w:val="231F20"/>
                <w:spacing w:val="-13"/>
                <w:sz w:val="13"/>
              </w:rPr>
              <w:t xml:space="preserve"> </w:t>
            </w:r>
            <w:r>
              <w:rPr>
                <w:color w:val="231F20"/>
                <w:sz w:val="13"/>
              </w:rPr>
              <w:t>all</w:t>
            </w:r>
            <w:r>
              <w:rPr>
                <w:color w:val="231F20"/>
                <w:spacing w:val="-13"/>
                <w:sz w:val="13"/>
              </w:rPr>
              <w:t xml:space="preserve"> </w:t>
            </w:r>
            <w:r>
              <w:rPr>
                <w:color w:val="231F20"/>
                <w:sz w:val="13"/>
              </w:rPr>
              <w:t>levels</w:t>
            </w:r>
            <w:r>
              <w:rPr>
                <w:color w:val="231F20"/>
                <w:spacing w:val="-13"/>
                <w:sz w:val="13"/>
              </w:rPr>
              <w:t xml:space="preserve"> </w:t>
            </w:r>
            <w:r>
              <w:rPr>
                <w:color w:val="231F20"/>
                <w:sz w:val="13"/>
              </w:rPr>
              <w:t>of</w:t>
            </w:r>
            <w:r>
              <w:rPr>
                <w:color w:val="231F20"/>
                <w:spacing w:val="-13"/>
                <w:sz w:val="13"/>
              </w:rPr>
              <w:t xml:space="preserve"> </w:t>
            </w:r>
            <w:r>
              <w:rPr>
                <w:color w:val="231F20"/>
                <w:sz w:val="13"/>
              </w:rPr>
              <w:t>the</w:t>
            </w:r>
            <w:r>
              <w:rPr>
                <w:color w:val="231F20"/>
                <w:spacing w:val="-13"/>
                <w:sz w:val="13"/>
              </w:rPr>
              <w:t xml:space="preserve"> </w:t>
            </w:r>
            <w:r>
              <w:rPr>
                <w:color w:val="231F20"/>
                <w:sz w:val="13"/>
              </w:rPr>
              <w:t>health</w:t>
            </w:r>
            <w:r>
              <w:rPr>
                <w:color w:val="231F20"/>
                <w:spacing w:val="-13"/>
                <w:sz w:val="13"/>
              </w:rPr>
              <w:t xml:space="preserve"> </w:t>
            </w:r>
            <w:r>
              <w:rPr>
                <w:color w:val="231F20"/>
                <w:sz w:val="13"/>
              </w:rPr>
              <w:t>care</w:t>
            </w:r>
            <w:r>
              <w:rPr>
                <w:color w:val="231F20"/>
                <w:spacing w:val="-13"/>
                <w:sz w:val="13"/>
              </w:rPr>
              <w:t xml:space="preserve"> </w:t>
            </w:r>
            <w:r>
              <w:rPr>
                <w:color w:val="231F20"/>
                <w:sz w:val="13"/>
              </w:rPr>
              <w:t>system</w:t>
            </w:r>
          </w:p>
        </w:tc>
        <w:tc>
          <w:tcPr>
            <w:tcW w:w="2396" w:type="dxa"/>
            <w:tcBorders>
              <w:top w:val="single" w:sz="12" w:space="0" w:color="231F20"/>
              <w:left w:val="single" w:sz="6" w:space="0" w:color="231F20"/>
              <w:bottom w:val="single" w:sz="6" w:space="0" w:color="231F20"/>
              <w:right w:val="single" w:sz="6" w:space="0" w:color="231F20"/>
            </w:tcBorders>
            <w:shd w:val="clear" w:color="auto" w:fill="CCE7D3"/>
          </w:tcPr>
          <w:p w14:paraId="76ED9629" w14:textId="77777777" w:rsidR="009948F1" w:rsidRDefault="00BC0563">
            <w:pPr>
              <w:pStyle w:val="TableParagraph"/>
              <w:numPr>
                <w:ilvl w:val="0"/>
                <w:numId w:val="125"/>
              </w:numPr>
              <w:tabs>
                <w:tab w:val="left" w:pos="100"/>
              </w:tabs>
              <w:spacing w:line="140" w:lineRule="exact"/>
              <w:ind w:left="99" w:hanging="76"/>
              <w:rPr>
                <w:sz w:val="13"/>
              </w:rPr>
            </w:pPr>
            <w:r>
              <w:rPr>
                <w:color w:val="231F20"/>
                <w:w w:val="95"/>
                <w:sz w:val="13"/>
              </w:rPr>
              <w:t>Oral</w:t>
            </w:r>
            <w:r>
              <w:rPr>
                <w:color w:val="231F20"/>
                <w:spacing w:val="-12"/>
                <w:w w:val="95"/>
                <w:sz w:val="13"/>
              </w:rPr>
              <w:t xml:space="preserve"> </w:t>
            </w:r>
            <w:r>
              <w:rPr>
                <w:color w:val="231F20"/>
                <w:w w:val="95"/>
                <w:sz w:val="13"/>
              </w:rPr>
              <w:t>health</w:t>
            </w:r>
            <w:r>
              <w:rPr>
                <w:color w:val="231F20"/>
                <w:spacing w:val="-11"/>
                <w:w w:val="95"/>
                <w:sz w:val="13"/>
              </w:rPr>
              <w:t xml:space="preserve"> </w:t>
            </w:r>
            <w:r>
              <w:rPr>
                <w:color w:val="231F20"/>
                <w:w w:val="95"/>
                <w:sz w:val="13"/>
              </w:rPr>
              <w:t>care</w:t>
            </w:r>
            <w:r>
              <w:rPr>
                <w:color w:val="231F20"/>
                <w:spacing w:val="-11"/>
                <w:w w:val="95"/>
                <w:sz w:val="13"/>
              </w:rPr>
              <w:t xml:space="preserve"> </w:t>
            </w:r>
            <w:r>
              <w:rPr>
                <w:color w:val="231F20"/>
                <w:w w:val="95"/>
                <w:sz w:val="13"/>
              </w:rPr>
              <w:t>at</w:t>
            </w:r>
            <w:r>
              <w:rPr>
                <w:color w:val="231F20"/>
                <w:spacing w:val="-11"/>
                <w:w w:val="95"/>
                <w:sz w:val="13"/>
              </w:rPr>
              <w:t xml:space="preserve"> </w:t>
            </w:r>
            <w:r>
              <w:rPr>
                <w:color w:val="231F20"/>
                <w:w w:val="95"/>
                <w:sz w:val="13"/>
              </w:rPr>
              <w:t>all</w:t>
            </w:r>
            <w:r>
              <w:rPr>
                <w:color w:val="231F20"/>
                <w:spacing w:val="-11"/>
                <w:w w:val="95"/>
                <w:sz w:val="13"/>
              </w:rPr>
              <w:t xml:space="preserve"> </w:t>
            </w:r>
            <w:r>
              <w:rPr>
                <w:color w:val="231F20"/>
                <w:w w:val="95"/>
                <w:sz w:val="13"/>
              </w:rPr>
              <w:t>levels</w:t>
            </w:r>
            <w:r>
              <w:rPr>
                <w:color w:val="231F20"/>
                <w:spacing w:val="-11"/>
                <w:w w:val="95"/>
                <w:sz w:val="13"/>
              </w:rPr>
              <w:t xml:space="preserve"> </w:t>
            </w:r>
            <w:r>
              <w:rPr>
                <w:color w:val="231F20"/>
                <w:w w:val="95"/>
                <w:sz w:val="13"/>
              </w:rPr>
              <w:t>integrated</w:t>
            </w:r>
            <w:r>
              <w:rPr>
                <w:color w:val="231F20"/>
                <w:spacing w:val="-11"/>
                <w:w w:val="95"/>
                <w:sz w:val="13"/>
              </w:rPr>
              <w:t xml:space="preserve"> </w:t>
            </w:r>
            <w:r>
              <w:rPr>
                <w:color w:val="231F20"/>
                <w:w w:val="95"/>
                <w:sz w:val="13"/>
              </w:rPr>
              <w:t>into</w:t>
            </w:r>
          </w:p>
          <w:p w14:paraId="13A6AA98" w14:textId="77777777" w:rsidR="009948F1" w:rsidRDefault="00BC0563">
            <w:pPr>
              <w:pStyle w:val="TableParagraph"/>
              <w:spacing w:before="9" w:line="254" w:lineRule="auto"/>
              <w:ind w:left="24" w:right="44"/>
              <w:rPr>
                <w:sz w:val="13"/>
              </w:rPr>
            </w:pPr>
            <w:r>
              <w:rPr>
                <w:color w:val="231F20"/>
                <w:w w:val="95"/>
                <w:sz w:val="13"/>
              </w:rPr>
              <w:t xml:space="preserve">the health care system, from primary level </w:t>
            </w:r>
            <w:r>
              <w:rPr>
                <w:color w:val="231F20"/>
                <w:sz w:val="13"/>
              </w:rPr>
              <w:t>with defined norms &amp; standards</w:t>
            </w:r>
          </w:p>
          <w:p w14:paraId="7BEB3AE5" w14:textId="77777777" w:rsidR="009948F1" w:rsidRDefault="00BC0563">
            <w:pPr>
              <w:pStyle w:val="TableParagraph"/>
              <w:numPr>
                <w:ilvl w:val="0"/>
                <w:numId w:val="125"/>
              </w:numPr>
              <w:tabs>
                <w:tab w:val="left" w:pos="133"/>
              </w:tabs>
              <w:spacing w:before="1" w:line="254" w:lineRule="auto"/>
              <w:ind w:right="20" w:firstLine="0"/>
              <w:rPr>
                <w:sz w:val="13"/>
              </w:rPr>
            </w:pPr>
            <w:r>
              <w:rPr>
                <w:color w:val="231F20"/>
                <w:sz w:val="13"/>
              </w:rPr>
              <w:t xml:space="preserve">Capacity of at least 50% of health </w:t>
            </w:r>
            <w:r>
              <w:rPr>
                <w:color w:val="231F20"/>
                <w:w w:val="95"/>
                <w:sz w:val="13"/>
              </w:rPr>
              <w:t>facilities</w:t>
            </w:r>
            <w:r>
              <w:rPr>
                <w:color w:val="231F20"/>
                <w:spacing w:val="-16"/>
                <w:w w:val="95"/>
                <w:sz w:val="13"/>
              </w:rPr>
              <w:t xml:space="preserve"> </w:t>
            </w:r>
            <w:r>
              <w:rPr>
                <w:color w:val="231F20"/>
                <w:w w:val="95"/>
                <w:sz w:val="13"/>
              </w:rPr>
              <w:t>strengthened</w:t>
            </w:r>
            <w:r>
              <w:rPr>
                <w:color w:val="231F20"/>
                <w:spacing w:val="-16"/>
                <w:w w:val="95"/>
                <w:sz w:val="13"/>
              </w:rPr>
              <w:t xml:space="preserve"> </w:t>
            </w:r>
            <w:r>
              <w:rPr>
                <w:color w:val="231F20"/>
                <w:w w:val="95"/>
                <w:sz w:val="13"/>
              </w:rPr>
              <w:t>to</w:t>
            </w:r>
            <w:r>
              <w:rPr>
                <w:color w:val="231F20"/>
                <w:spacing w:val="-16"/>
                <w:w w:val="95"/>
                <w:sz w:val="13"/>
              </w:rPr>
              <w:t xml:space="preserve"> </w:t>
            </w:r>
            <w:r>
              <w:rPr>
                <w:color w:val="231F20"/>
                <w:w w:val="95"/>
                <w:sz w:val="13"/>
              </w:rPr>
              <w:t>provide</w:t>
            </w:r>
            <w:r>
              <w:rPr>
                <w:color w:val="231F20"/>
                <w:spacing w:val="-16"/>
                <w:w w:val="95"/>
                <w:sz w:val="13"/>
              </w:rPr>
              <w:t xml:space="preserve"> </w:t>
            </w:r>
            <w:r>
              <w:rPr>
                <w:color w:val="231F20"/>
                <w:w w:val="95"/>
                <w:sz w:val="13"/>
              </w:rPr>
              <w:t>dental</w:t>
            </w:r>
            <w:r>
              <w:rPr>
                <w:color w:val="231F20"/>
                <w:spacing w:val="-15"/>
                <w:w w:val="95"/>
                <w:sz w:val="13"/>
              </w:rPr>
              <w:t xml:space="preserve"> </w:t>
            </w:r>
            <w:r>
              <w:rPr>
                <w:color w:val="231F20"/>
                <w:spacing w:val="-3"/>
                <w:w w:val="95"/>
                <w:sz w:val="13"/>
              </w:rPr>
              <w:t xml:space="preserve">care </w:t>
            </w:r>
            <w:r>
              <w:rPr>
                <w:color w:val="231F20"/>
                <w:sz w:val="13"/>
              </w:rPr>
              <w:t>services</w:t>
            </w:r>
          </w:p>
          <w:p w14:paraId="0A3F4D71" w14:textId="77777777" w:rsidR="009948F1" w:rsidRDefault="00BC0563">
            <w:pPr>
              <w:pStyle w:val="TableParagraph"/>
              <w:numPr>
                <w:ilvl w:val="0"/>
                <w:numId w:val="125"/>
              </w:numPr>
              <w:tabs>
                <w:tab w:val="left" w:pos="93"/>
              </w:tabs>
              <w:spacing w:before="1" w:line="254" w:lineRule="auto"/>
              <w:ind w:right="25" w:firstLine="0"/>
              <w:rPr>
                <w:sz w:val="13"/>
              </w:rPr>
            </w:pPr>
            <w:r>
              <w:rPr>
                <w:color w:val="231F20"/>
                <w:w w:val="95"/>
                <w:sz w:val="13"/>
              </w:rPr>
              <w:t>Advocacy</w:t>
            </w:r>
            <w:r>
              <w:rPr>
                <w:color w:val="231F20"/>
                <w:spacing w:val="-12"/>
                <w:w w:val="95"/>
                <w:sz w:val="13"/>
              </w:rPr>
              <w:t xml:space="preserve"> </w:t>
            </w:r>
            <w:r>
              <w:rPr>
                <w:color w:val="231F20"/>
                <w:w w:val="95"/>
                <w:sz w:val="13"/>
              </w:rPr>
              <w:t>for</w:t>
            </w:r>
            <w:r>
              <w:rPr>
                <w:color w:val="231F20"/>
                <w:spacing w:val="-12"/>
                <w:w w:val="95"/>
                <w:sz w:val="13"/>
              </w:rPr>
              <w:t xml:space="preserve"> </w:t>
            </w:r>
            <w:r>
              <w:rPr>
                <w:color w:val="231F20"/>
                <w:w w:val="95"/>
                <w:sz w:val="13"/>
              </w:rPr>
              <w:t>inclusion</w:t>
            </w:r>
            <w:r>
              <w:rPr>
                <w:color w:val="231F20"/>
                <w:spacing w:val="-12"/>
                <w:w w:val="95"/>
                <w:sz w:val="13"/>
              </w:rPr>
              <w:t xml:space="preserve"> </w:t>
            </w:r>
            <w:r>
              <w:rPr>
                <w:color w:val="231F20"/>
                <w:w w:val="95"/>
                <w:sz w:val="13"/>
              </w:rPr>
              <w:t>of</w:t>
            </w:r>
            <w:r>
              <w:rPr>
                <w:color w:val="231F20"/>
                <w:spacing w:val="-12"/>
                <w:w w:val="95"/>
                <w:sz w:val="13"/>
              </w:rPr>
              <w:t xml:space="preserve"> </w:t>
            </w:r>
            <w:r>
              <w:rPr>
                <w:color w:val="231F20"/>
                <w:w w:val="95"/>
                <w:sz w:val="13"/>
              </w:rPr>
              <w:t>dental</w:t>
            </w:r>
            <w:r>
              <w:rPr>
                <w:color w:val="231F20"/>
                <w:spacing w:val="-11"/>
                <w:w w:val="95"/>
                <w:sz w:val="13"/>
              </w:rPr>
              <w:t xml:space="preserve"> </w:t>
            </w:r>
            <w:r>
              <w:rPr>
                <w:color w:val="231F20"/>
                <w:w w:val="95"/>
                <w:sz w:val="13"/>
              </w:rPr>
              <w:t>health</w:t>
            </w:r>
            <w:r>
              <w:rPr>
                <w:color w:val="231F20"/>
                <w:spacing w:val="-12"/>
                <w:w w:val="95"/>
                <w:sz w:val="13"/>
              </w:rPr>
              <w:t xml:space="preserve"> </w:t>
            </w:r>
            <w:r>
              <w:rPr>
                <w:color w:val="231F20"/>
                <w:spacing w:val="-5"/>
                <w:w w:val="95"/>
                <w:sz w:val="13"/>
              </w:rPr>
              <w:t xml:space="preserve">into </w:t>
            </w:r>
            <w:r>
              <w:rPr>
                <w:color w:val="231F20"/>
                <w:sz w:val="13"/>
              </w:rPr>
              <w:t>NHIS, including CBHIS</w:t>
            </w:r>
            <w:r>
              <w:rPr>
                <w:color w:val="231F20"/>
                <w:spacing w:val="-24"/>
                <w:sz w:val="13"/>
              </w:rPr>
              <w:t xml:space="preserve"> </w:t>
            </w:r>
            <w:r>
              <w:rPr>
                <w:color w:val="231F20"/>
                <w:sz w:val="13"/>
              </w:rPr>
              <w:t>done</w:t>
            </w:r>
          </w:p>
        </w:tc>
        <w:tc>
          <w:tcPr>
            <w:tcW w:w="1432" w:type="dxa"/>
            <w:tcBorders>
              <w:top w:val="single" w:sz="12" w:space="0" w:color="231F20"/>
              <w:left w:val="single" w:sz="6" w:space="0" w:color="231F20"/>
              <w:bottom w:val="single" w:sz="6" w:space="0" w:color="231F20"/>
              <w:right w:val="single" w:sz="6" w:space="0" w:color="231F20"/>
            </w:tcBorders>
            <w:shd w:val="clear" w:color="auto" w:fill="CCE7D3"/>
          </w:tcPr>
          <w:p w14:paraId="398AB168" w14:textId="77777777" w:rsidR="009948F1" w:rsidRDefault="009948F1">
            <w:pPr>
              <w:pStyle w:val="TableParagraph"/>
              <w:rPr>
                <w:rFonts w:ascii="Times New Roman"/>
                <w:sz w:val="10"/>
              </w:rPr>
            </w:pPr>
          </w:p>
        </w:tc>
        <w:tc>
          <w:tcPr>
            <w:tcW w:w="1512" w:type="dxa"/>
            <w:tcBorders>
              <w:top w:val="single" w:sz="12" w:space="0" w:color="231F20"/>
              <w:left w:val="single" w:sz="6" w:space="0" w:color="231F20"/>
              <w:bottom w:val="single" w:sz="6" w:space="0" w:color="231F20"/>
              <w:right w:val="single" w:sz="6" w:space="0" w:color="231F20"/>
            </w:tcBorders>
            <w:shd w:val="clear" w:color="auto" w:fill="CCE7D3"/>
          </w:tcPr>
          <w:p w14:paraId="18C4B5F4" w14:textId="77777777" w:rsidR="009948F1" w:rsidRDefault="009948F1">
            <w:pPr>
              <w:pStyle w:val="TableParagraph"/>
              <w:rPr>
                <w:rFonts w:ascii="Times New Roman"/>
                <w:sz w:val="10"/>
              </w:rPr>
            </w:pPr>
          </w:p>
        </w:tc>
      </w:tr>
      <w:tr w:rsidR="009948F1" w14:paraId="1B241035" w14:textId="77777777">
        <w:trPr>
          <w:trHeight w:val="546"/>
        </w:trPr>
        <w:tc>
          <w:tcPr>
            <w:tcW w:w="870" w:type="dxa"/>
            <w:gridSpan w:val="2"/>
            <w:vMerge w:val="restart"/>
            <w:tcBorders>
              <w:top w:val="nil"/>
              <w:bottom w:val="nil"/>
              <w:right w:val="single" w:sz="6" w:space="0" w:color="231F20"/>
            </w:tcBorders>
          </w:tcPr>
          <w:p w14:paraId="06B43873" w14:textId="77777777" w:rsidR="009948F1" w:rsidRDefault="009948F1">
            <w:pPr>
              <w:pStyle w:val="TableParagraph"/>
              <w:rPr>
                <w:rFonts w:ascii="Times New Roman"/>
                <w:sz w:val="10"/>
              </w:rPr>
            </w:pPr>
          </w:p>
        </w:tc>
        <w:tc>
          <w:tcPr>
            <w:tcW w:w="528" w:type="dxa"/>
            <w:tcBorders>
              <w:top w:val="single" w:sz="6" w:space="0" w:color="231F20"/>
              <w:left w:val="single" w:sz="6" w:space="0" w:color="231F20"/>
              <w:bottom w:val="single" w:sz="6" w:space="0" w:color="231F20"/>
              <w:right w:val="single" w:sz="6" w:space="0" w:color="231F20"/>
            </w:tcBorders>
          </w:tcPr>
          <w:p w14:paraId="4AE640A9" w14:textId="77777777" w:rsidR="009948F1" w:rsidRDefault="009948F1">
            <w:pPr>
              <w:pStyle w:val="TableParagraph"/>
              <w:spacing w:before="11"/>
              <w:rPr>
                <w:sz w:val="16"/>
              </w:rPr>
            </w:pPr>
          </w:p>
          <w:p w14:paraId="7E4B65AA" w14:textId="77777777" w:rsidR="009948F1" w:rsidRDefault="00BC0563">
            <w:pPr>
              <w:pStyle w:val="TableParagraph"/>
              <w:ind w:left="46" w:right="28"/>
              <w:jc w:val="center"/>
              <w:rPr>
                <w:sz w:val="13"/>
              </w:rPr>
            </w:pPr>
            <w:r>
              <w:rPr>
                <w:color w:val="231F20"/>
                <w:sz w:val="13"/>
              </w:rPr>
              <w:t>6.4.2.a</w:t>
            </w:r>
          </w:p>
        </w:tc>
        <w:tc>
          <w:tcPr>
            <w:tcW w:w="4919" w:type="dxa"/>
            <w:gridSpan w:val="2"/>
            <w:tcBorders>
              <w:top w:val="single" w:sz="6" w:space="0" w:color="231F20"/>
              <w:left w:val="single" w:sz="6" w:space="0" w:color="231F20"/>
              <w:bottom w:val="single" w:sz="6" w:space="0" w:color="231F20"/>
              <w:right w:val="single" w:sz="6" w:space="0" w:color="231F20"/>
            </w:tcBorders>
          </w:tcPr>
          <w:p w14:paraId="2D881588" w14:textId="77777777" w:rsidR="009948F1" w:rsidRDefault="00BC0563">
            <w:pPr>
              <w:pStyle w:val="TableParagraph"/>
              <w:spacing w:before="106" w:line="271" w:lineRule="auto"/>
              <w:ind w:left="24" w:right="258"/>
              <w:rPr>
                <w:sz w:val="13"/>
              </w:rPr>
            </w:pPr>
            <w:r>
              <w:rPr>
                <w:color w:val="231F20"/>
                <w:w w:val="95"/>
                <w:sz w:val="13"/>
              </w:rPr>
              <w:t>Develop/adapt</w:t>
            </w:r>
            <w:r>
              <w:rPr>
                <w:color w:val="231F20"/>
                <w:spacing w:val="10"/>
                <w:w w:val="95"/>
                <w:sz w:val="13"/>
              </w:rPr>
              <w:t xml:space="preserve"> </w:t>
            </w:r>
            <w:r>
              <w:rPr>
                <w:color w:val="231F20"/>
                <w:w w:val="95"/>
                <w:sz w:val="13"/>
              </w:rPr>
              <w:t>norms</w:t>
            </w:r>
            <w:r>
              <w:rPr>
                <w:color w:val="231F20"/>
                <w:spacing w:val="-13"/>
                <w:w w:val="95"/>
                <w:sz w:val="13"/>
              </w:rPr>
              <w:t xml:space="preserve"> </w:t>
            </w:r>
            <w:r>
              <w:rPr>
                <w:color w:val="231F20"/>
                <w:w w:val="95"/>
                <w:sz w:val="13"/>
              </w:rPr>
              <w:t>and</w:t>
            </w:r>
            <w:r>
              <w:rPr>
                <w:color w:val="231F20"/>
                <w:spacing w:val="-12"/>
                <w:w w:val="95"/>
                <w:sz w:val="13"/>
              </w:rPr>
              <w:t xml:space="preserve"> </w:t>
            </w:r>
            <w:r>
              <w:rPr>
                <w:color w:val="231F20"/>
                <w:w w:val="95"/>
                <w:sz w:val="13"/>
              </w:rPr>
              <w:t>standards</w:t>
            </w:r>
            <w:r>
              <w:rPr>
                <w:color w:val="231F20"/>
                <w:spacing w:val="-12"/>
                <w:w w:val="95"/>
                <w:sz w:val="13"/>
              </w:rPr>
              <w:t xml:space="preserve"> </w:t>
            </w:r>
            <w:r>
              <w:rPr>
                <w:color w:val="231F20"/>
                <w:w w:val="95"/>
                <w:sz w:val="13"/>
              </w:rPr>
              <w:t>for</w:t>
            </w:r>
            <w:r>
              <w:rPr>
                <w:color w:val="231F20"/>
                <w:spacing w:val="-12"/>
                <w:w w:val="95"/>
                <w:sz w:val="13"/>
              </w:rPr>
              <w:t xml:space="preserve"> </w:t>
            </w:r>
            <w:r>
              <w:rPr>
                <w:color w:val="231F20"/>
                <w:w w:val="95"/>
                <w:sz w:val="13"/>
              </w:rPr>
              <w:t>oral</w:t>
            </w:r>
            <w:r>
              <w:rPr>
                <w:color w:val="231F20"/>
                <w:spacing w:val="-12"/>
                <w:w w:val="95"/>
                <w:sz w:val="13"/>
              </w:rPr>
              <w:t xml:space="preserve"> </w:t>
            </w:r>
            <w:r>
              <w:rPr>
                <w:color w:val="231F20"/>
                <w:w w:val="95"/>
                <w:sz w:val="13"/>
              </w:rPr>
              <w:t>health</w:t>
            </w:r>
            <w:r>
              <w:rPr>
                <w:color w:val="231F20"/>
                <w:spacing w:val="-12"/>
                <w:w w:val="95"/>
                <w:sz w:val="13"/>
              </w:rPr>
              <w:t xml:space="preserve"> </w:t>
            </w:r>
            <w:r>
              <w:rPr>
                <w:color w:val="231F20"/>
                <w:w w:val="95"/>
                <w:sz w:val="13"/>
              </w:rPr>
              <w:t>at</w:t>
            </w:r>
            <w:r>
              <w:rPr>
                <w:color w:val="231F20"/>
                <w:spacing w:val="-13"/>
                <w:w w:val="95"/>
                <w:sz w:val="13"/>
              </w:rPr>
              <w:t xml:space="preserve"> </w:t>
            </w:r>
            <w:r>
              <w:rPr>
                <w:color w:val="231F20"/>
                <w:w w:val="95"/>
                <w:sz w:val="13"/>
              </w:rPr>
              <w:t>different</w:t>
            </w:r>
            <w:r>
              <w:rPr>
                <w:color w:val="231F20"/>
                <w:spacing w:val="-12"/>
                <w:w w:val="95"/>
                <w:sz w:val="13"/>
              </w:rPr>
              <w:t xml:space="preserve"> </w:t>
            </w:r>
            <w:r>
              <w:rPr>
                <w:color w:val="231F20"/>
                <w:w w:val="95"/>
                <w:sz w:val="13"/>
              </w:rPr>
              <w:t>levels</w:t>
            </w:r>
            <w:r>
              <w:rPr>
                <w:color w:val="231F20"/>
                <w:spacing w:val="-12"/>
                <w:w w:val="95"/>
                <w:sz w:val="13"/>
              </w:rPr>
              <w:t xml:space="preserve"> </w:t>
            </w:r>
            <w:r>
              <w:rPr>
                <w:color w:val="231F20"/>
                <w:w w:val="95"/>
                <w:sz w:val="13"/>
              </w:rPr>
              <w:t>of</w:t>
            </w:r>
            <w:r>
              <w:rPr>
                <w:color w:val="231F20"/>
                <w:spacing w:val="-12"/>
                <w:w w:val="95"/>
                <w:sz w:val="13"/>
              </w:rPr>
              <w:t xml:space="preserve"> </w:t>
            </w:r>
            <w:r>
              <w:rPr>
                <w:color w:val="231F20"/>
                <w:w w:val="95"/>
                <w:sz w:val="13"/>
              </w:rPr>
              <w:t>the</w:t>
            </w:r>
            <w:r>
              <w:rPr>
                <w:color w:val="231F20"/>
                <w:spacing w:val="-12"/>
                <w:w w:val="95"/>
                <w:sz w:val="13"/>
              </w:rPr>
              <w:t xml:space="preserve"> </w:t>
            </w:r>
            <w:r>
              <w:rPr>
                <w:color w:val="231F20"/>
                <w:w w:val="95"/>
                <w:sz w:val="13"/>
              </w:rPr>
              <w:t>health</w:t>
            </w:r>
            <w:r>
              <w:rPr>
                <w:color w:val="231F20"/>
                <w:spacing w:val="-12"/>
                <w:w w:val="95"/>
                <w:sz w:val="13"/>
              </w:rPr>
              <w:t xml:space="preserve"> </w:t>
            </w:r>
            <w:r>
              <w:rPr>
                <w:color w:val="231F20"/>
                <w:w w:val="95"/>
                <w:sz w:val="13"/>
              </w:rPr>
              <w:t xml:space="preserve">care </w:t>
            </w:r>
            <w:r>
              <w:rPr>
                <w:color w:val="231F20"/>
                <w:sz w:val="13"/>
              </w:rPr>
              <w:t>system</w:t>
            </w:r>
          </w:p>
        </w:tc>
        <w:tc>
          <w:tcPr>
            <w:tcW w:w="1432" w:type="dxa"/>
            <w:tcBorders>
              <w:top w:val="single" w:sz="6" w:space="0" w:color="231F20"/>
              <w:left w:val="single" w:sz="6" w:space="0" w:color="231F20"/>
              <w:bottom w:val="single" w:sz="6" w:space="0" w:color="231F20"/>
              <w:right w:val="single" w:sz="6" w:space="0" w:color="231F20"/>
            </w:tcBorders>
          </w:tcPr>
          <w:p w14:paraId="58AED61A" w14:textId="77777777" w:rsidR="009948F1" w:rsidRDefault="009948F1">
            <w:pPr>
              <w:pStyle w:val="TableParagraph"/>
              <w:spacing w:before="11"/>
              <w:rPr>
                <w:sz w:val="16"/>
              </w:rPr>
            </w:pPr>
          </w:p>
          <w:p w14:paraId="4658792A"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4B2D124E" w14:textId="77777777" w:rsidR="009948F1" w:rsidRDefault="00BC0563">
            <w:pPr>
              <w:pStyle w:val="TableParagraph"/>
              <w:spacing w:before="111" w:line="271" w:lineRule="auto"/>
              <w:ind w:left="25"/>
              <w:rPr>
                <w:sz w:val="13"/>
              </w:rPr>
            </w:pPr>
            <w:r>
              <w:rPr>
                <w:color w:val="231F20"/>
                <w:w w:val="95"/>
                <w:sz w:val="13"/>
              </w:rPr>
              <w:t xml:space="preserve">Develop/adapt norms and </w:t>
            </w:r>
            <w:r>
              <w:rPr>
                <w:color w:val="231F20"/>
                <w:sz w:val="13"/>
              </w:rPr>
              <w:t>standards</w:t>
            </w:r>
          </w:p>
        </w:tc>
      </w:tr>
      <w:tr w:rsidR="009948F1" w14:paraId="72E77165" w14:textId="77777777">
        <w:trPr>
          <w:trHeight w:val="546"/>
        </w:trPr>
        <w:tc>
          <w:tcPr>
            <w:tcW w:w="870" w:type="dxa"/>
            <w:gridSpan w:val="2"/>
            <w:vMerge/>
            <w:tcBorders>
              <w:top w:val="nil"/>
              <w:bottom w:val="nil"/>
              <w:right w:val="single" w:sz="6" w:space="0" w:color="231F20"/>
            </w:tcBorders>
          </w:tcPr>
          <w:p w14:paraId="518E7ADF" w14:textId="77777777" w:rsidR="009948F1" w:rsidRDefault="009948F1">
            <w:pPr>
              <w:rPr>
                <w:sz w:val="2"/>
                <w:szCs w:val="2"/>
              </w:rPr>
            </w:pPr>
          </w:p>
        </w:tc>
        <w:tc>
          <w:tcPr>
            <w:tcW w:w="528" w:type="dxa"/>
            <w:tcBorders>
              <w:top w:val="single" w:sz="6" w:space="0" w:color="231F20"/>
              <w:left w:val="single" w:sz="6" w:space="0" w:color="231F20"/>
              <w:bottom w:val="single" w:sz="6" w:space="0" w:color="231F20"/>
              <w:right w:val="single" w:sz="6" w:space="0" w:color="231F20"/>
            </w:tcBorders>
          </w:tcPr>
          <w:p w14:paraId="620CB100" w14:textId="77777777" w:rsidR="009948F1" w:rsidRDefault="009948F1">
            <w:pPr>
              <w:pStyle w:val="TableParagraph"/>
              <w:spacing w:before="11"/>
              <w:rPr>
                <w:sz w:val="16"/>
              </w:rPr>
            </w:pPr>
          </w:p>
          <w:p w14:paraId="1BEF2DBC" w14:textId="77777777" w:rsidR="009948F1" w:rsidRDefault="00BC0563">
            <w:pPr>
              <w:pStyle w:val="TableParagraph"/>
              <w:ind w:left="46" w:right="28"/>
              <w:jc w:val="center"/>
              <w:rPr>
                <w:sz w:val="13"/>
              </w:rPr>
            </w:pPr>
            <w:r>
              <w:rPr>
                <w:color w:val="231F20"/>
                <w:sz w:val="13"/>
              </w:rPr>
              <w:t>6.4.2.b</w:t>
            </w:r>
          </w:p>
        </w:tc>
        <w:tc>
          <w:tcPr>
            <w:tcW w:w="4919" w:type="dxa"/>
            <w:gridSpan w:val="2"/>
            <w:tcBorders>
              <w:top w:val="single" w:sz="6" w:space="0" w:color="231F20"/>
              <w:left w:val="single" w:sz="6" w:space="0" w:color="231F20"/>
              <w:bottom w:val="single" w:sz="6" w:space="0" w:color="231F20"/>
            </w:tcBorders>
          </w:tcPr>
          <w:p w14:paraId="41BA4BE1" w14:textId="77777777" w:rsidR="009948F1" w:rsidRDefault="00BC0563">
            <w:pPr>
              <w:pStyle w:val="TableParagraph"/>
              <w:spacing w:before="106" w:line="271" w:lineRule="auto"/>
              <w:ind w:left="24" w:right="190"/>
              <w:rPr>
                <w:sz w:val="13"/>
              </w:rPr>
            </w:pPr>
            <w:r>
              <w:rPr>
                <w:color w:val="231F20"/>
                <w:w w:val="95"/>
                <w:sz w:val="13"/>
              </w:rPr>
              <w:t>Integrate</w:t>
            </w:r>
            <w:r>
              <w:rPr>
                <w:color w:val="231F20"/>
                <w:spacing w:val="-11"/>
                <w:w w:val="95"/>
                <w:sz w:val="13"/>
              </w:rPr>
              <w:t xml:space="preserve"> </w:t>
            </w:r>
            <w:r>
              <w:rPr>
                <w:color w:val="231F20"/>
                <w:w w:val="95"/>
                <w:sz w:val="13"/>
              </w:rPr>
              <w:t>oral</w:t>
            </w:r>
            <w:r>
              <w:rPr>
                <w:color w:val="231F20"/>
                <w:spacing w:val="-11"/>
                <w:w w:val="95"/>
                <w:sz w:val="13"/>
              </w:rPr>
              <w:t xml:space="preserve"> </w:t>
            </w:r>
            <w:r>
              <w:rPr>
                <w:color w:val="231F20"/>
                <w:w w:val="95"/>
                <w:sz w:val="13"/>
              </w:rPr>
              <w:t>health</w:t>
            </w:r>
            <w:r>
              <w:rPr>
                <w:color w:val="231F20"/>
                <w:spacing w:val="-11"/>
                <w:w w:val="95"/>
                <w:sz w:val="13"/>
              </w:rPr>
              <w:t xml:space="preserve"> </w:t>
            </w:r>
            <w:r>
              <w:rPr>
                <w:color w:val="231F20"/>
                <w:w w:val="95"/>
                <w:sz w:val="13"/>
              </w:rPr>
              <w:t>care</w:t>
            </w:r>
            <w:r>
              <w:rPr>
                <w:color w:val="231F20"/>
                <w:spacing w:val="-10"/>
                <w:w w:val="95"/>
                <w:sz w:val="13"/>
              </w:rPr>
              <w:t xml:space="preserve"> </w:t>
            </w:r>
            <w:r>
              <w:rPr>
                <w:color w:val="231F20"/>
                <w:w w:val="95"/>
                <w:sz w:val="13"/>
              </w:rPr>
              <w:t>at</w:t>
            </w:r>
            <w:r>
              <w:rPr>
                <w:color w:val="231F20"/>
                <w:spacing w:val="-11"/>
                <w:w w:val="95"/>
                <w:sz w:val="13"/>
              </w:rPr>
              <w:t xml:space="preserve"> </w:t>
            </w:r>
            <w:r>
              <w:rPr>
                <w:color w:val="231F20"/>
                <w:w w:val="95"/>
                <w:sz w:val="13"/>
              </w:rPr>
              <w:t>all</w:t>
            </w:r>
            <w:r>
              <w:rPr>
                <w:color w:val="231F20"/>
                <w:spacing w:val="-11"/>
                <w:w w:val="95"/>
                <w:sz w:val="13"/>
              </w:rPr>
              <w:t xml:space="preserve"> </w:t>
            </w:r>
            <w:r>
              <w:rPr>
                <w:color w:val="231F20"/>
                <w:w w:val="95"/>
                <w:sz w:val="13"/>
              </w:rPr>
              <w:t>levels</w:t>
            </w:r>
            <w:r>
              <w:rPr>
                <w:color w:val="231F20"/>
                <w:spacing w:val="-10"/>
                <w:w w:val="95"/>
                <w:sz w:val="13"/>
              </w:rPr>
              <w:t xml:space="preserve"> </w:t>
            </w:r>
            <w:r>
              <w:rPr>
                <w:color w:val="231F20"/>
                <w:w w:val="95"/>
                <w:sz w:val="13"/>
              </w:rPr>
              <w:t>of</w:t>
            </w:r>
            <w:r>
              <w:rPr>
                <w:color w:val="231F20"/>
                <w:spacing w:val="-11"/>
                <w:w w:val="95"/>
                <w:sz w:val="13"/>
              </w:rPr>
              <w:t xml:space="preserve"> </w:t>
            </w:r>
            <w:r>
              <w:rPr>
                <w:color w:val="231F20"/>
                <w:w w:val="95"/>
                <w:sz w:val="13"/>
              </w:rPr>
              <w:t>the</w:t>
            </w:r>
            <w:r>
              <w:rPr>
                <w:color w:val="231F20"/>
                <w:spacing w:val="-11"/>
                <w:w w:val="95"/>
                <w:sz w:val="13"/>
              </w:rPr>
              <w:t xml:space="preserve"> </w:t>
            </w:r>
            <w:r>
              <w:rPr>
                <w:color w:val="231F20"/>
                <w:w w:val="95"/>
                <w:sz w:val="13"/>
              </w:rPr>
              <w:t>health</w:t>
            </w:r>
            <w:r>
              <w:rPr>
                <w:color w:val="231F20"/>
                <w:spacing w:val="-10"/>
                <w:w w:val="95"/>
                <w:sz w:val="13"/>
              </w:rPr>
              <w:t xml:space="preserve"> </w:t>
            </w:r>
            <w:r>
              <w:rPr>
                <w:color w:val="231F20"/>
                <w:w w:val="95"/>
                <w:sz w:val="13"/>
              </w:rPr>
              <w:t>care</w:t>
            </w:r>
            <w:r>
              <w:rPr>
                <w:color w:val="231F20"/>
                <w:spacing w:val="-11"/>
                <w:w w:val="95"/>
                <w:sz w:val="13"/>
              </w:rPr>
              <w:t xml:space="preserve"> </w:t>
            </w:r>
            <w:r>
              <w:rPr>
                <w:color w:val="231F20"/>
                <w:w w:val="95"/>
                <w:sz w:val="13"/>
              </w:rPr>
              <w:t>system,</w:t>
            </w:r>
            <w:r>
              <w:rPr>
                <w:color w:val="231F20"/>
                <w:spacing w:val="-11"/>
                <w:w w:val="95"/>
                <w:sz w:val="13"/>
              </w:rPr>
              <w:t xml:space="preserve"> </w:t>
            </w:r>
            <w:r>
              <w:rPr>
                <w:color w:val="231F20"/>
                <w:w w:val="95"/>
                <w:sz w:val="13"/>
              </w:rPr>
              <w:t>from</w:t>
            </w:r>
            <w:r>
              <w:rPr>
                <w:color w:val="231F20"/>
                <w:spacing w:val="-10"/>
                <w:w w:val="95"/>
                <w:sz w:val="13"/>
              </w:rPr>
              <w:t xml:space="preserve"> </w:t>
            </w:r>
            <w:r>
              <w:rPr>
                <w:color w:val="231F20"/>
                <w:w w:val="95"/>
                <w:sz w:val="13"/>
              </w:rPr>
              <w:t>primary</w:t>
            </w:r>
            <w:r>
              <w:rPr>
                <w:color w:val="231F20"/>
                <w:spacing w:val="-11"/>
                <w:w w:val="95"/>
                <w:sz w:val="13"/>
              </w:rPr>
              <w:t xml:space="preserve"> </w:t>
            </w:r>
            <w:r>
              <w:rPr>
                <w:color w:val="231F20"/>
                <w:w w:val="95"/>
                <w:sz w:val="13"/>
              </w:rPr>
              <w:t>level</w:t>
            </w:r>
            <w:r>
              <w:rPr>
                <w:color w:val="231F20"/>
                <w:spacing w:val="-11"/>
                <w:w w:val="95"/>
                <w:sz w:val="13"/>
              </w:rPr>
              <w:t xml:space="preserve"> </w:t>
            </w:r>
            <w:r>
              <w:rPr>
                <w:color w:val="231F20"/>
                <w:w w:val="95"/>
                <w:sz w:val="13"/>
              </w:rPr>
              <w:t>in</w:t>
            </w:r>
            <w:r>
              <w:rPr>
                <w:color w:val="231F20"/>
                <w:spacing w:val="-11"/>
                <w:w w:val="95"/>
                <w:sz w:val="13"/>
              </w:rPr>
              <w:t xml:space="preserve"> </w:t>
            </w:r>
            <w:r>
              <w:rPr>
                <w:color w:val="231F20"/>
                <w:w w:val="95"/>
                <w:sz w:val="13"/>
              </w:rPr>
              <w:t xml:space="preserve">line </w:t>
            </w:r>
            <w:r>
              <w:rPr>
                <w:color w:val="231F20"/>
                <w:sz w:val="13"/>
              </w:rPr>
              <w:t>with defined norms and</w:t>
            </w:r>
            <w:r>
              <w:rPr>
                <w:color w:val="231F20"/>
                <w:spacing w:val="-19"/>
                <w:sz w:val="13"/>
              </w:rPr>
              <w:t xml:space="preserve"> </w:t>
            </w:r>
            <w:r>
              <w:rPr>
                <w:color w:val="231F20"/>
                <w:sz w:val="13"/>
              </w:rPr>
              <w:t>standards</w:t>
            </w:r>
          </w:p>
        </w:tc>
        <w:tc>
          <w:tcPr>
            <w:tcW w:w="1432" w:type="dxa"/>
            <w:tcBorders>
              <w:top w:val="single" w:sz="6" w:space="0" w:color="231F20"/>
              <w:bottom w:val="single" w:sz="6" w:space="0" w:color="231F20"/>
              <w:right w:val="single" w:sz="6" w:space="0" w:color="231F20"/>
            </w:tcBorders>
          </w:tcPr>
          <w:p w14:paraId="22FDD4A0" w14:textId="77777777" w:rsidR="009948F1" w:rsidRDefault="009948F1">
            <w:pPr>
              <w:pStyle w:val="TableParagraph"/>
              <w:spacing w:before="11"/>
              <w:rPr>
                <w:sz w:val="16"/>
              </w:rPr>
            </w:pPr>
          </w:p>
          <w:p w14:paraId="7ED2C873" w14:textId="77777777" w:rsidR="009948F1" w:rsidRDefault="00BC0563">
            <w:pPr>
              <w:pStyle w:val="TableParagraph"/>
              <w:ind w:left="21"/>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7760EB2B" w14:textId="77777777" w:rsidR="009948F1" w:rsidRDefault="009948F1">
            <w:pPr>
              <w:pStyle w:val="TableParagraph"/>
              <w:spacing w:before="11"/>
              <w:rPr>
                <w:sz w:val="16"/>
              </w:rPr>
            </w:pPr>
          </w:p>
          <w:p w14:paraId="5C2AD984" w14:textId="77777777" w:rsidR="009948F1" w:rsidRDefault="00BC0563">
            <w:pPr>
              <w:pStyle w:val="TableParagraph"/>
              <w:ind w:left="25"/>
              <w:rPr>
                <w:sz w:val="13"/>
              </w:rPr>
            </w:pPr>
            <w:r>
              <w:rPr>
                <w:color w:val="231F20"/>
                <w:sz w:val="13"/>
              </w:rPr>
              <w:t>No cost</w:t>
            </w:r>
          </w:p>
        </w:tc>
      </w:tr>
      <w:tr w:rsidR="009948F1" w14:paraId="1DF2B56A" w14:textId="77777777">
        <w:trPr>
          <w:trHeight w:val="546"/>
        </w:trPr>
        <w:tc>
          <w:tcPr>
            <w:tcW w:w="870" w:type="dxa"/>
            <w:gridSpan w:val="2"/>
            <w:vMerge/>
            <w:tcBorders>
              <w:top w:val="nil"/>
              <w:bottom w:val="nil"/>
              <w:right w:val="single" w:sz="6" w:space="0" w:color="231F20"/>
            </w:tcBorders>
          </w:tcPr>
          <w:p w14:paraId="33F624BB" w14:textId="77777777" w:rsidR="009948F1" w:rsidRDefault="009948F1">
            <w:pPr>
              <w:rPr>
                <w:sz w:val="2"/>
                <w:szCs w:val="2"/>
              </w:rPr>
            </w:pPr>
          </w:p>
        </w:tc>
        <w:tc>
          <w:tcPr>
            <w:tcW w:w="528" w:type="dxa"/>
            <w:tcBorders>
              <w:top w:val="single" w:sz="6" w:space="0" w:color="231F20"/>
              <w:left w:val="single" w:sz="6" w:space="0" w:color="231F20"/>
              <w:bottom w:val="single" w:sz="6" w:space="0" w:color="231F20"/>
              <w:right w:val="single" w:sz="6" w:space="0" w:color="231F20"/>
            </w:tcBorders>
          </w:tcPr>
          <w:p w14:paraId="04EBE949" w14:textId="77777777" w:rsidR="009948F1" w:rsidRDefault="009948F1">
            <w:pPr>
              <w:pStyle w:val="TableParagraph"/>
              <w:spacing w:before="11"/>
              <w:rPr>
                <w:sz w:val="16"/>
              </w:rPr>
            </w:pPr>
          </w:p>
          <w:p w14:paraId="696156B4" w14:textId="77777777" w:rsidR="009948F1" w:rsidRDefault="00BC0563">
            <w:pPr>
              <w:pStyle w:val="TableParagraph"/>
              <w:ind w:left="46" w:right="28"/>
              <w:jc w:val="center"/>
              <w:rPr>
                <w:sz w:val="13"/>
              </w:rPr>
            </w:pPr>
            <w:r>
              <w:rPr>
                <w:color w:val="231F20"/>
                <w:sz w:val="13"/>
              </w:rPr>
              <w:t>6.4.2.c</w:t>
            </w:r>
          </w:p>
        </w:tc>
        <w:tc>
          <w:tcPr>
            <w:tcW w:w="4919" w:type="dxa"/>
            <w:gridSpan w:val="2"/>
            <w:tcBorders>
              <w:top w:val="single" w:sz="6" w:space="0" w:color="231F20"/>
              <w:left w:val="single" w:sz="6" w:space="0" w:color="231F20"/>
              <w:bottom w:val="single" w:sz="6" w:space="0" w:color="231F20"/>
            </w:tcBorders>
          </w:tcPr>
          <w:p w14:paraId="564838A4" w14:textId="77777777" w:rsidR="009948F1" w:rsidRDefault="00BC0563">
            <w:pPr>
              <w:pStyle w:val="TableParagraph"/>
              <w:spacing w:line="170" w:lineRule="atLeast"/>
              <w:ind w:left="24" w:right="17"/>
              <w:rPr>
                <w:sz w:val="13"/>
              </w:rPr>
            </w:pPr>
            <w:r>
              <w:rPr>
                <w:color w:val="231F20"/>
                <w:w w:val="95"/>
                <w:sz w:val="13"/>
              </w:rPr>
              <w:t>Strengthen</w:t>
            </w:r>
            <w:r>
              <w:rPr>
                <w:color w:val="231F20"/>
                <w:spacing w:val="-14"/>
                <w:w w:val="95"/>
                <w:sz w:val="13"/>
              </w:rPr>
              <w:t xml:space="preserve"> </w:t>
            </w:r>
            <w:r>
              <w:rPr>
                <w:color w:val="231F20"/>
                <w:w w:val="95"/>
                <w:sz w:val="13"/>
              </w:rPr>
              <w:t>the</w:t>
            </w:r>
            <w:r>
              <w:rPr>
                <w:color w:val="231F20"/>
                <w:spacing w:val="-14"/>
                <w:w w:val="95"/>
                <w:sz w:val="13"/>
              </w:rPr>
              <w:t xml:space="preserve"> </w:t>
            </w:r>
            <w:r>
              <w:rPr>
                <w:color w:val="231F20"/>
                <w:w w:val="95"/>
                <w:sz w:val="13"/>
              </w:rPr>
              <w:t>capacity</w:t>
            </w:r>
            <w:r>
              <w:rPr>
                <w:color w:val="231F20"/>
                <w:spacing w:val="-14"/>
                <w:w w:val="95"/>
                <w:sz w:val="13"/>
              </w:rPr>
              <w:t xml:space="preserve"> </w:t>
            </w:r>
            <w:r>
              <w:rPr>
                <w:color w:val="231F20"/>
                <w:w w:val="95"/>
                <w:sz w:val="13"/>
              </w:rPr>
              <w:t>of</w:t>
            </w:r>
            <w:r>
              <w:rPr>
                <w:color w:val="231F20"/>
                <w:spacing w:val="-13"/>
                <w:w w:val="95"/>
                <w:sz w:val="13"/>
              </w:rPr>
              <w:t xml:space="preserve"> </w:t>
            </w:r>
            <w:r>
              <w:rPr>
                <w:color w:val="231F20"/>
                <w:w w:val="95"/>
                <w:sz w:val="13"/>
              </w:rPr>
              <w:t>the</w:t>
            </w:r>
            <w:r>
              <w:rPr>
                <w:color w:val="231F20"/>
                <w:spacing w:val="-14"/>
                <w:w w:val="95"/>
                <w:sz w:val="13"/>
              </w:rPr>
              <w:t xml:space="preserve"> </w:t>
            </w:r>
            <w:r>
              <w:rPr>
                <w:color w:val="231F20"/>
                <w:w w:val="95"/>
                <w:sz w:val="13"/>
              </w:rPr>
              <w:t>health</w:t>
            </w:r>
            <w:r>
              <w:rPr>
                <w:color w:val="231F20"/>
                <w:spacing w:val="-14"/>
                <w:w w:val="95"/>
                <w:sz w:val="13"/>
              </w:rPr>
              <w:t xml:space="preserve"> </w:t>
            </w:r>
            <w:r>
              <w:rPr>
                <w:color w:val="231F20"/>
                <w:w w:val="95"/>
                <w:sz w:val="13"/>
              </w:rPr>
              <w:t>facilities</w:t>
            </w:r>
            <w:r>
              <w:rPr>
                <w:color w:val="231F20"/>
                <w:spacing w:val="-13"/>
                <w:w w:val="95"/>
                <w:sz w:val="13"/>
              </w:rPr>
              <w:t xml:space="preserve"> </w:t>
            </w:r>
            <w:r>
              <w:rPr>
                <w:color w:val="231F20"/>
                <w:w w:val="95"/>
                <w:sz w:val="13"/>
              </w:rPr>
              <w:t>to</w:t>
            </w:r>
            <w:r>
              <w:rPr>
                <w:color w:val="231F20"/>
                <w:spacing w:val="-14"/>
                <w:w w:val="95"/>
                <w:sz w:val="13"/>
              </w:rPr>
              <w:t xml:space="preserve"> </w:t>
            </w:r>
            <w:r>
              <w:rPr>
                <w:color w:val="231F20"/>
                <w:w w:val="95"/>
                <w:sz w:val="13"/>
              </w:rPr>
              <w:t>provide</w:t>
            </w:r>
            <w:r>
              <w:rPr>
                <w:color w:val="231F20"/>
                <w:spacing w:val="-14"/>
                <w:w w:val="95"/>
                <w:sz w:val="13"/>
              </w:rPr>
              <w:t xml:space="preserve"> </w:t>
            </w:r>
            <w:r>
              <w:rPr>
                <w:color w:val="231F20"/>
                <w:w w:val="95"/>
                <w:sz w:val="13"/>
              </w:rPr>
              <w:t>dental</w:t>
            </w:r>
            <w:r>
              <w:rPr>
                <w:color w:val="231F20"/>
                <w:spacing w:val="-13"/>
                <w:w w:val="95"/>
                <w:sz w:val="13"/>
              </w:rPr>
              <w:t xml:space="preserve"> </w:t>
            </w:r>
            <w:r>
              <w:rPr>
                <w:color w:val="231F20"/>
                <w:w w:val="95"/>
                <w:sz w:val="13"/>
              </w:rPr>
              <w:t>care</w:t>
            </w:r>
            <w:r>
              <w:rPr>
                <w:color w:val="231F20"/>
                <w:spacing w:val="-14"/>
                <w:w w:val="95"/>
                <w:sz w:val="13"/>
              </w:rPr>
              <w:t xml:space="preserve"> </w:t>
            </w:r>
            <w:r>
              <w:rPr>
                <w:color w:val="231F20"/>
                <w:w w:val="95"/>
                <w:sz w:val="13"/>
              </w:rPr>
              <w:t>services</w:t>
            </w:r>
            <w:r>
              <w:rPr>
                <w:color w:val="231F20"/>
                <w:spacing w:val="-14"/>
                <w:w w:val="95"/>
                <w:sz w:val="13"/>
              </w:rPr>
              <w:t xml:space="preserve"> </w:t>
            </w:r>
            <w:r>
              <w:rPr>
                <w:color w:val="231F20"/>
                <w:w w:val="95"/>
                <w:sz w:val="13"/>
              </w:rPr>
              <w:t>as</w:t>
            </w:r>
            <w:r>
              <w:rPr>
                <w:color w:val="231F20"/>
                <w:spacing w:val="-13"/>
                <w:w w:val="95"/>
                <w:sz w:val="13"/>
              </w:rPr>
              <w:t xml:space="preserve"> </w:t>
            </w:r>
            <w:r>
              <w:rPr>
                <w:color w:val="231F20"/>
                <w:w w:val="95"/>
                <w:sz w:val="13"/>
              </w:rPr>
              <w:t xml:space="preserve">appropriate </w:t>
            </w:r>
            <w:r>
              <w:rPr>
                <w:color w:val="231F20"/>
                <w:sz w:val="13"/>
              </w:rPr>
              <w:t>for</w:t>
            </w:r>
            <w:r>
              <w:rPr>
                <w:color w:val="231F20"/>
                <w:spacing w:val="-22"/>
                <w:sz w:val="13"/>
              </w:rPr>
              <w:t xml:space="preserve"> </w:t>
            </w:r>
            <w:r>
              <w:rPr>
                <w:color w:val="231F20"/>
                <w:sz w:val="13"/>
              </w:rPr>
              <w:t>the</w:t>
            </w:r>
            <w:r>
              <w:rPr>
                <w:color w:val="231F20"/>
                <w:spacing w:val="-22"/>
                <w:sz w:val="13"/>
              </w:rPr>
              <w:t xml:space="preserve"> </w:t>
            </w:r>
            <w:r>
              <w:rPr>
                <w:color w:val="231F20"/>
                <w:sz w:val="13"/>
              </w:rPr>
              <w:t>level</w:t>
            </w:r>
            <w:r>
              <w:rPr>
                <w:color w:val="231F20"/>
                <w:spacing w:val="-22"/>
                <w:sz w:val="13"/>
              </w:rPr>
              <w:t xml:space="preserve"> </w:t>
            </w:r>
            <w:r>
              <w:rPr>
                <w:color w:val="231F20"/>
                <w:sz w:val="13"/>
              </w:rPr>
              <w:t>of</w:t>
            </w:r>
            <w:r>
              <w:rPr>
                <w:color w:val="231F20"/>
                <w:spacing w:val="-22"/>
                <w:sz w:val="13"/>
              </w:rPr>
              <w:t xml:space="preserve"> </w:t>
            </w:r>
            <w:r>
              <w:rPr>
                <w:color w:val="231F20"/>
                <w:sz w:val="13"/>
              </w:rPr>
              <w:t>care</w:t>
            </w:r>
            <w:r>
              <w:rPr>
                <w:color w:val="231F20"/>
                <w:spacing w:val="-22"/>
                <w:sz w:val="13"/>
              </w:rPr>
              <w:t xml:space="preserve"> </w:t>
            </w:r>
            <w:r>
              <w:rPr>
                <w:color w:val="231F20"/>
                <w:sz w:val="13"/>
              </w:rPr>
              <w:t>(dental</w:t>
            </w:r>
            <w:r>
              <w:rPr>
                <w:color w:val="231F20"/>
                <w:spacing w:val="-22"/>
                <w:sz w:val="13"/>
              </w:rPr>
              <w:t xml:space="preserve"> </w:t>
            </w:r>
            <w:r>
              <w:rPr>
                <w:color w:val="231F20"/>
                <w:sz w:val="13"/>
              </w:rPr>
              <w:t>clinic</w:t>
            </w:r>
            <w:r>
              <w:rPr>
                <w:color w:val="231F20"/>
                <w:spacing w:val="-22"/>
                <w:sz w:val="13"/>
              </w:rPr>
              <w:t xml:space="preserve"> </w:t>
            </w:r>
            <w:r>
              <w:rPr>
                <w:color w:val="231F20"/>
                <w:sz w:val="13"/>
              </w:rPr>
              <w:t>from</w:t>
            </w:r>
            <w:r>
              <w:rPr>
                <w:color w:val="231F20"/>
                <w:spacing w:val="-22"/>
                <w:sz w:val="13"/>
              </w:rPr>
              <w:t xml:space="preserve"> </w:t>
            </w:r>
            <w:r>
              <w:rPr>
                <w:color w:val="231F20"/>
                <w:sz w:val="13"/>
              </w:rPr>
              <w:t>level</w:t>
            </w:r>
            <w:r>
              <w:rPr>
                <w:color w:val="231F20"/>
                <w:spacing w:val="-21"/>
                <w:sz w:val="13"/>
              </w:rPr>
              <w:t xml:space="preserve"> </w:t>
            </w:r>
            <w:r>
              <w:rPr>
                <w:color w:val="231F20"/>
                <w:sz w:val="13"/>
              </w:rPr>
              <w:t>of</w:t>
            </w:r>
            <w:r>
              <w:rPr>
                <w:color w:val="231F20"/>
                <w:spacing w:val="-22"/>
                <w:sz w:val="13"/>
              </w:rPr>
              <w:t xml:space="preserve"> </w:t>
            </w:r>
            <w:r>
              <w:rPr>
                <w:color w:val="231F20"/>
                <w:sz w:val="13"/>
              </w:rPr>
              <w:t>general</w:t>
            </w:r>
            <w:r>
              <w:rPr>
                <w:color w:val="231F20"/>
                <w:spacing w:val="-22"/>
                <w:sz w:val="13"/>
              </w:rPr>
              <w:t xml:space="preserve"> </w:t>
            </w:r>
            <w:r>
              <w:rPr>
                <w:color w:val="231F20"/>
                <w:sz w:val="13"/>
              </w:rPr>
              <w:t>hospital</w:t>
            </w:r>
            <w:r>
              <w:rPr>
                <w:color w:val="231F20"/>
                <w:spacing w:val="-22"/>
                <w:sz w:val="13"/>
              </w:rPr>
              <w:t xml:space="preserve"> </w:t>
            </w:r>
            <w:r>
              <w:rPr>
                <w:color w:val="231F20"/>
                <w:sz w:val="13"/>
              </w:rPr>
              <w:t>with</w:t>
            </w:r>
            <w:r>
              <w:rPr>
                <w:color w:val="231F20"/>
                <w:spacing w:val="-22"/>
                <w:sz w:val="13"/>
              </w:rPr>
              <w:t xml:space="preserve"> </w:t>
            </w:r>
            <w:r>
              <w:rPr>
                <w:color w:val="231F20"/>
                <w:sz w:val="13"/>
              </w:rPr>
              <w:t>at</w:t>
            </w:r>
            <w:r>
              <w:rPr>
                <w:color w:val="231F20"/>
                <w:spacing w:val="-22"/>
                <w:sz w:val="13"/>
              </w:rPr>
              <w:t xml:space="preserve"> </w:t>
            </w:r>
            <w:r>
              <w:rPr>
                <w:color w:val="231F20"/>
                <w:sz w:val="13"/>
              </w:rPr>
              <w:t>least</w:t>
            </w:r>
            <w:r>
              <w:rPr>
                <w:color w:val="231F20"/>
                <w:spacing w:val="-22"/>
                <w:sz w:val="13"/>
              </w:rPr>
              <w:t xml:space="preserve"> </w:t>
            </w:r>
            <w:r>
              <w:rPr>
                <w:color w:val="231F20"/>
                <w:sz w:val="13"/>
              </w:rPr>
              <w:t>one</w:t>
            </w:r>
            <w:r>
              <w:rPr>
                <w:color w:val="231F20"/>
                <w:spacing w:val="-22"/>
                <w:sz w:val="13"/>
              </w:rPr>
              <w:t xml:space="preserve"> </w:t>
            </w:r>
            <w:r>
              <w:rPr>
                <w:color w:val="231F20"/>
                <w:sz w:val="13"/>
              </w:rPr>
              <w:t>dental</w:t>
            </w:r>
            <w:r>
              <w:rPr>
                <w:color w:val="231F20"/>
                <w:spacing w:val="-21"/>
                <w:sz w:val="13"/>
              </w:rPr>
              <w:t xml:space="preserve"> </w:t>
            </w:r>
            <w:r>
              <w:rPr>
                <w:color w:val="231F20"/>
                <w:sz w:val="13"/>
              </w:rPr>
              <w:t>unit per LGA</w:t>
            </w:r>
            <w:r>
              <w:rPr>
                <w:color w:val="231F20"/>
                <w:spacing w:val="-14"/>
                <w:sz w:val="13"/>
              </w:rPr>
              <w:t xml:space="preserve"> </w:t>
            </w:r>
            <w:r>
              <w:rPr>
                <w:color w:val="231F20"/>
                <w:sz w:val="13"/>
              </w:rPr>
              <w:t>)</w:t>
            </w:r>
          </w:p>
        </w:tc>
        <w:tc>
          <w:tcPr>
            <w:tcW w:w="1432" w:type="dxa"/>
            <w:tcBorders>
              <w:top w:val="single" w:sz="6" w:space="0" w:color="231F20"/>
              <w:bottom w:val="single" w:sz="6" w:space="0" w:color="231F20"/>
              <w:right w:val="single" w:sz="6" w:space="0" w:color="231F20"/>
            </w:tcBorders>
          </w:tcPr>
          <w:p w14:paraId="2BB1D215" w14:textId="77777777" w:rsidR="009948F1" w:rsidRDefault="009948F1">
            <w:pPr>
              <w:pStyle w:val="TableParagraph"/>
              <w:spacing w:before="11"/>
              <w:rPr>
                <w:sz w:val="16"/>
              </w:rPr>
            </w:pPr>
          </w:p>
          <w:p w14:paraId="5FD535AF" w14:textId="77777777" w:rsidR="009948F1" w:rsidRDefault="00BC0563">
            <w:pPr>
              <w:pStyle w:val="TableParagraph"/>
              <w:ind w:left="21"/>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11797469" w14:textId="77777777" w:rsidR="009948F1" w:rsidRDefault="009948F1">
            <w:pPr>
              <w:pStyle w:val="TableParagraph"/>
              <w:spacing w:before="11"/>
              <w:rPr>
                <w:sz w:val="16"/>
              </w:rPr>
            </w:pPr>
          </w:p>
          <w:p w14:paraId="7B73A0F4" w14:textId="77777777" w:rsidR="009948F1" w:rsidRDefault="00BC0563">
            <w:pPr>
              <w:pStyle w:val="TableParagraph"/>
              <w:ind w:left="25"/>
              <w:rPr>
                <w:sz w:val="13"/>
              </w:rPr>
            </w:pPr>
            <w:r>
              <w:rPr>
                <w:color w:val="231F20"/>
                <w:sz w:val="13"/>
              </w:rPr>
              <w:t>Strengthen the capacity</w:t>
            </w:r>
          </w:p>
        </w:tc>
      </w:tr>
      <w:tr w:rsidR="009948F1" w14:paraId="5AD09332" w14:textId="77777777">
        <w:trPr>
          <w:trHeight w:val="382"/>
        </w:trPr>
        <w:tc>
          <w:tcPr>
            <w:tcW w:w="870" w:type="dxa"/>
            <w:gridSpan w:val="2"/>
            <w:vMerge/>
            <w:tcBorders>
              <w:top w:val="nil"/>
              <w:bottom w:val="nil"/>
              <w:right w:val="single" w:sz="6" w:space="0" w:color="231F20"/>
            </w:tcBorders>
          </w:tcPr>
          <w:p w14:paraId="03267841" w14:textId="77777777" w:rsidR="009948F1" w:rsidRDefault="009948F1">
            <w:pPr>
              <w:rPr>
                <w:sz w:val="2"/>
                <w:szCs w:val="2"/>
              </w:rPr>
            </w:pPr>
          </w:p>
        </w:tc>
        <w:tc>
          <w:tcPr>
            <w:tcW w:w="528" w:type="dxa"/>
            <w:tcBorders>
              <w:top w:val="single" w:sz="6" w:space="0" w:color="231F20"/>
              <w:left w:val="single" w:sz="6" w:space="0" w:color="231F20"/>
              <w:bottom w:val="single" w:sz="6" w:space="0" w:color="231F20"/>
              <w:right w:val="single" w:sz="6" w:space="0" w:color="231F20"/>
            </w:tcBorders>
          </w:tcPr>
          <w:p w14:paraId="75E019CC" w14:textId="77777777" w:rsidR="009948F1" w:rsidRDefault="00BC0563">
            <w:pPr>
              <w:pStyle w:val="TableParagraph"/>
              <w:spacing w:before="113"/>
              <w:ind w:left="46" w:right="28"/>
              <w:jc w:val="center"/>
              <w:rPr>
                <w:sz w:val="13"/>
              </w:rPr>
            </w:pPr>
            <w:r>
              <w:rPr>
                <w:color w:val="231F20"/>
                <w:sz w:val="13"/>
              </w:rPr>
              <w:t>6.4.2.d</w:t>
            </w:r>
          </w:p>
        </w:tc>
        <w:tc>
          <w:tcPr>
            <w:tcW w:w="4919" w:type="dxa"/>
            <w:gridSpan w:val="2"/>
            <w:tcBorders>
              <w:top w:val="single" w:sz="6" w:space="0" w:color="231F20"/>
              <w:left w:val="single" w:sz="6" w:space="0" w:color="231F20"/>
              <w:bottom w:val="single" w:sz="6" w:space="0" w:color="231F20"/>
              <w:right w:val="single" w:sz="6" w:space="0" w:color="231F20"/>
            </w:tcBorders>
          </w:tcPr>
          <w:p w14:paraId="314A8C31" w14:textId="77777777" w:rsidR="009948F1" w:rsidRDefault="00BC0563">
            <w:pPr>
              <w:pStyle w:val="TableParagraph"/>
              <w:spacing w:before="107"/>
              <w:ind w:left="24"/>
              <w:rPr>
                <w:sz w:val="13"/>
              </w:rPr>
            </w:pPr>
            <w:r>
              <w:rPr>
                <w:color w:val="231F20"/>
                <w:sz w:val="13"/>
              </w:rPr>
              <w:t xml:space="preserve">Establish/strengthen regional oral health referral </w:t>
            </w:r>
            <w:proofErr w:type="spellStart"/>
            <w:r>
              <w:rPr>
                <w:color w:val="231F20"/>
                <w:sz w:val="13"/>
              </w:rPr>
              <w:t>centres</w:t>
            </w:r>
            <w:proofErr w:type="spellEnd"/>
          </w:p>
        </w:tc>
        <w:tc>
          <w:tcPr>
            <w:tcW w:w="1432" w:type="dxa"/>
            <w:tcBorders>
              <w:top w:val="single" w:sz="6" w:space="0" w:color="231F20"/>
              <w:left w:val="single" w:sz="6" w:space="0" w:color="231F20"/>
              <w:bottom w:val="single" w:sz="6" w:space="0" w:color="231F20"/>
              <w:right w:val="single" w:sz="6" w:space="0" w:color="231F20"/>
            </w:tcBorders>
          </w:tcPr>
          <w:p w14:paraId="13F0FF8E" w14:textId="77777777" w:rsidR="009948F1" w:rsidRDefault="00BC0563">
            <w:pPr>
              <w:pStyle w:val="TableParagraph"/>
              <w:spacing w:before="113"/>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1F88B691" w14:textId="77777777" w:rsidR="009948F1" w:rsidRDefault="00BC0563">
            <w:pPr>
              <w:pStyle w:val="TableParagraph"/>
              <w:spacing w:before="9" w:line="170" w:lineRule="atLeast"/>
              <w:ind w:left="25" w:right="20"/>
              <w:rPr>
                <w:sz w:val="13"/>
              </w:rPr>
            </w:pPr>
            <w:r>
              <w:rPr>
                <w:color w:val="231F20"/>
                <w:w w:val="90"/>
                <w:sz w:val="13"/>
              </w:rPr>
              <w:t xml:space="preserve">Establish/strengthen </w:t>
            </w:r>
            <w:r>
              <w:rPr>
                <w:color w:val="231F20"/>
                <w:sz w:val="13"/>
              </w:rPr>
              <w:t xml:space="preserve">referral </w:t>
            </w:r>
            <w:proofErr w:type="spellStart"/>
            <w:r>
              <w:rPr>
                <w:color w:val="231F20"/>
                <w:sz w:val="13"/>
              </w:rPr>
              <w:t>centres</w:t>
            </w:r>
            <w:proofErr w:type="spellEnd"/>
          </w:p>
        </w:tc>
      </w:tr>
      <w:tr w:rsidR="009948F1" w14:paraId="0461FADF" w14:textId="77777777">
        <w:trPr>
          <w:trHeight w:val="546"/>
        </w:trPr>
        <w:tc>
          <w:tcPr>
            <w:tcW w:w="870" w:type="dxa"/>
            <w:gridSpan w:val="2"/>
            <w:vMerge/>
            <w:tcBorders>
              <w:top w:val="nil"/>
              <w:bottom w:val="nil"/>
              <w:right w:val="single" w:sz="6" w:space="0" w:color="231F20"/>
            </w:tcBorders>
          </w:tcPr>
          <w:p w14:paraId="0EABB9B0" w14:textId="77777777" w:rsidR="009948F1" w:rsidRDefault="009948F1">
            <w:pPr>
              <w:rPr>
                <w:sz w:val="2"/>
                <w:szCs w:val="2"/>
              </w:rPr>
            </w:pPr>
          </w:p>
        </w:tc>
        <w:tc>
          <w:tcPr>
            <w:tcW w:w="528" w:type="dxa"/>
            <w:tcBorders>
              <w:top w:val="single" w:sz="6" w:space="0" w:color="231F20"/>
              <w:left w:val="single" w:sz="6" w:space="0" w:color="231F20"/>
              <w:bottom w:val="single" w:sz="6" w:space="0" w:color="231F20"/>
              <w:right w:val="single" w:sz="6" w:space="0" w:color="231F20"/>
            </w:tcBorders>
          </w:tcPr>
          <w:p w14:paraId="6CFF4437" w14:textId="77777777" w:rsidR="009948F1" w:rsidRDefault="009948F1">
            <w:pPr>
              <w:pStyle w:val="TableParagraph"/>
              <w:spacing w:before="11"/>
              <w:rPr>
                <w:sz w:val="16"/>
              </w:rPr>
            </w:pPr>
          </w:p>
          <w:p w14:paraId="17E8E36D" w14:textId="77777777" w:rsidR="009948F1" w:rsidRDefault="00BC0563">
            <w:pPr>
              <w:pStyle w:val="TableParagraph"/>
              <w:ind w:left="46" w:right="28"/>
              <w:jc w:val="center"/>
              <w:rPr>
                <w:sz w:val="13"/>
              </w:rPr>
            </w:pPr>
            <w:r>
              <w:rPr>
                <w:color w:val="231F20"/>
                <w:sz w:val="13"/>
              </w:rPr>
              <w:t>6.4.2.e</w:t>
            </w:r>
          </w:p>
        </w:tc>
        <w:tc>
          <w:tcPr>
            <w:tcW w:w="4919" w:type="dxa"/>
            <w:gridSpan w:val="2"/>
            <w:tcBorders>
              <w:top w:val="single" w:sz="6" w:space="0" w:color="231F20"/>
              <w:left w:val="single" w:sz="6" w:space="0" w:color="231F20"/>
              <w:bottom w:val="single" w:sz="6" w:space="0" w:color="231F20"/>
              <w:right w:val="single" w:sz="6" w:space="0" w:color="231F20"/>
            </w:tcBorders>
          </w:tcPr>
          <w:p w14:paraId="5C69805F" w14:textId="77777777" w:rsidR="009948F1" w:rsidRDefault="009948F1">
            <w:pPr>
              <w:pStyle w:val="TableParagraph"/>
              <w:spacing w:before="5"/>
              <w:rPr>
                <w:sz w:val="16"/>
              </w:rPr>
            </w:pPr>
          </w:p>
          <w:p w14:paraId="566EAA0E" w14:textId="77777777" w:rsidR="009948F1" w:rsidRDefault="00BC0563">
            <w:pPr>
              <w:pStyle w:val="TableParagraph"/>
              <w:ind w:left="24"/>
              <w:rPr>
                <w:sz w:val="13"/>
              </w:rPr>
            </w:pPr>
            <w:r>
              <w:rPr>
                <w:color w:val="231F20"/>
                <w:sz w:val="13"/>
              </w:rPr>
              <w:t>Advocate for inclusion of dental health into NHIS, including CBHIS</w:t>
            </w:r>
          </w:p>
        </w:tc>
        <w:tc>
          <w:tcPr>
            <w:tcW w:w="1432" w:type="dxa"/>
            <w:tcBorders>
              <w:top w:val="single" w:sz="6" w:space="0" w:color="231F20"/>
              <w:left w:val="single" w:sz="6" w:space="0" w:color="231F20"/>
              <w:bottom w:val="single" w:sz="6" w:space="0" w:color="231F20"/>
              <w:right w:val="single" w:sz="6" w:space="0" w:color="231F20"/>
            </w:tcBorders>
          </w:tcPr>
          <w:p w14:paraId="6E7ECA5A" w14:textId="77777777" w:rsidR="009948F1" w:rsidRDefault="009948F1">
            <w:pPr>
              <w:pStyle w:val="TableParagraph"/>
              <w:spacing w:before="11"/>
              <w:rPr>
                <w:sz w:val="16"/>
              </w:rPr>
            </w:pPr>
          </w:p>
          <w:p w14:paraId="1125D4C9"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7360E0AF" w14:textId="77777777" w:rsidR="009948F1" w:rsidRDefault="009948F1">
            <w:pPr>
              <w:pStyle w:val="TableParagraph"/>
              <w:spacing w:before="11"/>
              <w:rPr>
                <w:sz w:val="16"/>
              </w:rPr>
            </w:pPr>
          </w:p>
          <w:p w14:paraId="66988638" w14:textId="77777777" w:rsidR="009948F1" w:rsidRDefault="00BC0563">
            <w:pPr>
              <w:pStyle w:val="TableParagraph"/>
              <w:ind w:left="25"/>
              <w:rPr>
                <w:sz w:val="13"/>
              </w:rPr>
            </w:pPr>
            <w:r>
              <w:rPr>
                <w:color w:val="231F20"/>
                <w:sz w:val="13"/>
              </w:rPr>
              <w:t>Advocate for inclusion</w:t>
            </w:r>
          </w:p>
        </w:tc>
      </w:tr>
      <w:tr w:rsidR="009948F1" w14:paraId="7435EC51" w14:textId="77777777">
        <w:trPr>
          <w:trHeight w:val="713"/>
        </w:trPr>
        <w:tc>
          <w:tcPr>
            <w:tcW w:w="412" w:type="dxa"/>
            <w:tcBorders>
              <w:top w:val="nil"/>
              <w:bottom w:val="nil"/>
              <w:right w:val="single" w:sz="6" w:space="0" w:color="231F20"/>
            </w:tcBorders>
          </w:tcPr>
          <w:p w14:paraId="3DE1FF66" w14:textId="77777777" w:rsidR="009948F1" w:rsidRDefault="009948F1">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220FC359" w14:textId="77777777" w:rsidR="009948F1" w:rsidRDefault="009948F1">
            <w:pPr>
              <w:pStyle w:val="TableParagraph"/>
              <w:rPr>
                <w:sz w:val="14"/>
              </w:rPr>
            </w:pPr>
          </w:p>
          <w:p w14:paraId="51C5F842" w14:textId="77777777" w:rsidR="009948F1" w:rsidRDefault="00BC0563">
            <w:pPr>
              <w:pStyle w:val="TableParagraph"/>
              <w:spacing w:before="117"/>
              <w:ind w:left="57"/>
              <w:rPr>
                <w:sz w:val="13"/>
              </w:rPr>
            </w:pPr>
            <w:r>
              <w:rPr>
                <w:color w:val="231F20"/>
                <w:sz w:val="13"/>
              </w:rPr>
              <w:t>6.4.3</w:t>
            </w:r>
          </w:p>
        </w:tc>
        <w:tc>
          <w:tcPr>
            <w:tcW w:w="3051" w:type="dxa"/>
            <w:gridSpan w:val="2"/>
            <w:tcBorders>
              <w:top w:val="single" w:sz="6" w:space="0" w:color="231F20"/>
              <w:left w:val="single" w:sz="6" w:space="0" w:color="231F20"/>
              <w:bottom w:val="single" w:sz="6" w:space="0" w:color="231F20"/>
              <w:right w:val="single" w:sz="6" w:space="0" w:color="231F20"/>
            </w:tcBorders>
            <w:shd w:val="clear" w:color="auto" w:fill="CCE7D3"/>
          </w:tcPr>
          <w:p w14:paraId="32D1EE65" w14:textId="77777777" w:rsidR="009948F1" w:rsidRDefault="009948F1">
            <w:pPr>
              <w:pStyle w:val="TableParagraph"/>
              <w:spacing w:before="5"/>
              <w:rPr>
                <w:sz w:val="16"/>
              </w:rPr>
            </w:pPr>
          </w:p>
          <w:p w14:paraId="3AB35A2E" w14:textId="77777777" w:rsidR="009948F1" w:rsidRDefault="00BC0563">
            <w:pPr>
              <w:pStyle w:val="TableParagraph"/>
              <w:spacing w:line="271" w:lineRule="auto"/>
              <w:ind w:left="23" w:right="125" w:firstLine="33"/>
              <w:rPr>
                <w:sz w:val="13"/>
              </w:rPr>
            </w:pPr>
            <w:r>
              <w:rPr>
                <w:color w:val="231F20"/>
                <w:w w:val="95"/>
                <w:sz w:val="13"/>
              </w:rPr>
              <w:t xml:space="preserve">Strengthen capacity of health workers at all levels </w:t>
            </w:r>
            <w:r>
              <w:rPr>
                <w:color w:val="231F20"/>
                <w:spacing w:val="-7"/>
                <w:w w:val="95"/>
                <w:sz w:val="13"/>
              </w:rPr>
              <w:t xml:space="preserve">to </w:t>
            </w:r>
            <w:r>
              <w:rPr>
                <w:color w:val="231F20"/>
                <w:sz w:val="13"/>
              </w:rPr>
              <w:t>deliver oral health care services</w:t>
            </w:r>
          </w:p>
        </w:tc>
        <w:tc>
          <w:tcPr>
            <w:tcW w:w="2396" w:type="dxa"/>
            <w:tcBorders>
              <w:top w:val="single" w:sz="6" w:space="0" w:color="231F20"/>
              <w:left w:val="single" w:sz="6" w:space="0" w:color="231F20"/>
              <w:bottom w:val="single" w:sz="6" w:space="0" w:color="231F20"/>
              <w:right w:val="single" w:sz="6" w:space="0" w:color="231F20"/>
            </w:tcBorders>
            <w:shd w:val="clear" w:color="auto" w:fill="CCE7D3"/>
          </w:tcPr>
          <w:p w14:paraId="0D97671D" w14:textId="77777777" w:rsidR="009948F1" w:rsidRDefault="00BC0563">
            <w:pPr>
              <w:pStyle w:val="TableParagraph"/>
              <w:numPr>
                <w:ilvl w:val="0"/>
                <w:numId w:val="124"/>
              </w:numPr>
              <w:tabs>
                <w:tab w:val="left" w:pos="93"/>
              </w:tabs>
              <w:spacing w:line="271" w:lineRule="auto"/>
              <w:ind w:right="34" w:firstLine="0"/>
              <w:rPr>
                <w:sz w:val="13"/>
              </w:rPr>
            </w:pPr>
            <w:r>
              <w:rPr>
                <w:color w:val="231F20"/>
                <w:sz w:val="13"/>
              </w:rPr>
              <w:t xml:space="preserve">At least 250 training &amp; re-training </w:t>
            </w:r>
            <w:r>
              <w:rPr>
                <w:color w:val="231F20"/>
                <w:w w:val="95"/>
                <w:sz w:val="13"/>
              </w:rPr>
              <w:t>workshop</w:t>
            </w:r>
            <w:r>
              <w:rPr>
                <w:color w:val="231F20"/>
                <w:spacing w:val="-12"/>
                <w:w w:val="95"/>
                <w:sz w:val="13"/>
              </w:rPr>
              <w:t xml:space="preserve"> </w:t>
            </w:r>
            <w:r>
              <w:rPr>
                <w:color w:val="231F20"/>
                <w:w w:val="95"/>
                <w:sz w:val="13"/>
              </w:rPr>
              <w:t>for</w:t>
            </w:r>
            <w:r>
              <w:rPr>
                <w:color w:val="231F20"/>
                <w:spacing w:val="-11"/>
                <w:w w:val="95"/>
                <w:sz w:val="13"/>
              </w:rPr>
              <w:t xml:space="preserve"> </w:t>
            </w:r>
            <w:r>
              <w:rPr>
                <w:color w:val="231F20"/>
                <w:w w:val="95"/>
                <w:sz w:val="13"/>
              </w:rPr>
              <w:t>health</w:t>
            </w:r>
            <w:r>
              <w:rPr>
                <w:color w:val="231F20"/>
                <w:spacing w:val="-11"/>
                <w:w w:val="95"/>
                <w:sz w:val="13"/>
              </w:rPr>
              <w:t xml:space="preserve"> </w:t>
            </w:r>
            <w:r>
              <w:rPr>
                <w:color w:val="231F20"/>
                <w:w w:val="95"/>
                <w:sz w:val="13"/>
              </w:rPr>
              <w:t>workers</w:t>
            </w:r>
            <w:r>
              <w:rPr>
                <w:color w:val="231F20"/>
                <w:spacing w:val="-11"/>
                <w:w w:val="95"/>
                <w:sz w:val="13"/>
              </w:rPr>
              <w:t xml:space="preserve"> </w:t>
            </w:r>
            <w:r>
              <w:rPr>
                <w:color w:val="231F20"/>
                <w:w w:val="95"/>
                <w:sz w:val="13"/>
              </w:rPr>
              <w:t>at</w:t>
            </w:r>
            <w:r>
              <w:rPr>
                <w:color w:val="231F20"/>
                <w:spacing w:val="-12"/>
                <w:w w:val="95"/>
                <w:sz w:val="13"/>
              </w:rPr>
              <w:t xml:space="preserve"> </w:t>
            </w:r>
            <w:r>
              <w:rPr>
                <w:color w:val="231F20"/>
                <w:w w:val="95"/>
                <w:sz w:val="13"/>
              </w:rPr>
              <w:t>State</w:t>
            </w:r>
            <w:r>
              <w:rPr>
                <w:color w:val="231F20"/>
                <w:spacing w:val="-11"/>
                <w:w w:val="95"/>
                <w:sz w:val="13"/>
              </w:rPr>
              <w:t xml:space="preserve"> </w:t>
            </w:r>
            <w:r>
              <w:rPr>
                <w:color w:val="231F20"/>
                <w:w w:val="95"/>
                <w:sz w:val="13"/>
              </w:rPr>
              <w:t>&amp;</w:t>
            </w:r>
            <w:r>
              <w:rPr>
                <w:color w:val="231F20"/>
                <w:spacing w:val="-11"/>
                <w:w w:val="95"/>
                <w:sz w:val="13"/>
              </w:rPr>
              <w:t xml:space="preserve"> </w:t>
            </w:r>
            <w:r>
              <w:rPr>
                <w:color w:val="231F20"/>
                <w:spacing w:val="-5"/>
                <w:w w:val="95"/>
                <w:sz w:val="13"/>
              </w:rPr>
              <w:t xml:space="preserve">LGA </w:t>
            </w:r>
            <w:r>
              <w:rPr>
                <w:color w:val="231F20"/>
                <w:sz w:val="13"/>
              </w:rPr>
              <w:t>levels on oral</w:t>
            </w:r>
            <w:r>
              <w:rPr>
                <w:color w:val="231F20"/>
                <w:spacing w:val="-16"/>
                <w:sz w:val="13"/>
              </w:rPr>
              <w:t xml:space="preserve"> </w:t>
            </w:r>
            <w:r>
              <w:rPr>
                <w:color w:val="231F20"/>
                <w:sz w:val="13"/>
              </w:rPr>
              <w:t>health</w:t>
            </w:r>
          </w:p>
          <w:p w14:paraId="045B7332" w14:textId="77777777" w:rsidR="009948F1" w:rsidRDefault="00BC0563">
            <w:pPr>
              <w:pStyle w:val="TableParagraph"/>
              <w:spacing w:line="148" w:lineRule="exact"/>
              <w:ind w:left="24"/>
              <w:rPr>
                <w:sz w:val="13"/>
              </w:rPr>
            </w:pPr>
            <w:r>
              <w:rPr>
                <w:color w:val="231F20"/>
                <w:w w:val="91"/>
                <w:sz w:val="13"/>
              </w:rPr>
              <w:t>•</w:t>
            </w:r>
          </w:p>
        </w:tc>
        <w:tc>
          <w:tcPr>
            <w:tcW w:w="1432" w:type="dxa"/>
            <w:tcBorders>
              <w:top w:val="single" w:sz="6" w:space="0" w:color="231F20"/>
              <w:left w:val="single" w:sz="6" w:space="0" w:color="231F20"/>
              <w:bottom w:val="single" w:sz="6" w:space="0" w:color="231F20"/>
              <w:right w:val="single" w:sz="6" w:space="0" w:color="231F20"/>
            </w:tcBorders>
            <w:shd w:val="clear" w:color="auto" w:fill="CCE7D3"/>
          </w:tcPr>
          <w:p w14:paraId="435EE65C" w14:textId="77777777" w:rsidR="009948F1" w:rsidRDefault="009948F1">
            <w:pPr>
              <w:pStyle w:val="TableParagraph"/>
              <w:rPr>
                <w:rFonts w:ascii="Times New Roman"/>
                <w:sz w:val="10"/>
              </w:rPr>
            </w:pPr>
          </w:p>
        </w:tc>
        <w:tc>
          <w:tcPr>
            <w:tcW w:w="1512" w:type="dxa"/>
            <w:tcBorders>
              <w:top w:val="single" w:sz="6" w:space="0" w:color="231F20"/>
              <w:left w:val="single" w:sz="6" w:space="0" w:color="231F20"/>
              <w:bottom w:val="single" w:sz="6" w:space="0" w:color="231F20"/>
              <w:right w:val="single" w:sz="6" w:space="0" w:color="231F20"/>
            </w:tcBorders>
            <w:shd w:val="clear" w:color="auto" w:fill="CCE7D3"/>
          </w:tcPr>
          <w:p w14:paraId="2AB81CCF" w14:textId="77777777" w:rsidR="009948F1" w:rsidRDefault="009948F1">
            <w:pPr>
              <w:pStyle w:val="TableParagraph"/>
              <w:rPr>
                <w:rFonts w:ascii="Times New Roman"/>
                <w:sz w:val="10"/>
              </w:rPr>
            </w:pPr>
          </w:p>
        </w:tc>
      </w:tr>
      <w:tr w:rsidR="009948F1" w14:paraId="426E3BB8" w14:textId="77777777">
        <w:trPr>
          <w:trHeight w:val="546"/>
        </w:trPr>
        <w:tc>
          <w:tcPr>
            <w:tcW w:w="870" w:type="dxa"/>
            <w:gridSpan w:val="2"/>
            <w:tcBorders>
              <w:top w:val="nil"/>
              <w:bottom w:val="single" w:sz="6" w:space="0" w:color="231F20"/>
              <w:right w:val="single" w:sz="6" w:space="0" w:color="231F20"/>
            </w:tcBorders>
          </w:tcPr>
          <w:p w14:paraId="53B7C554" w14:textId="77777777" w:rsidR="009948F1" w:rsidRDefault="009948F1">
            <w:pPr>
              <w:pStyle w:val="TableParagraph"/>
              <w:rPr>
                <w:rFonts w:ascii="Times New Roman"/>
                <w:sz w:val="10"/>
              </w:rPr>
            </w:pPr>
          </w:p>
        </w:tc>
        <w:tc>
          <w:tcPr>
            <w:tcW w:w="528" w:type="dxa"/>
            <w:tcBorders>
              <w:top w:val="single" w:sz="6" w:space="0" w:color="231F20"/>
              <w:left w:val="single" w:sz="6" w:space="0" w:color="231F20"/>
              <w:bottom w:val="single" w:sz="6" w:space="0" w:color="231F20"/>
              <w:right w:val="single" w:sz="6" w:space="0" w:color="231F20"/>
            </w:tcBorders>
          </w:tcPr>
          <w:p w14:paraId="4C1A028E" w14:textId="77777777" w:rsidR="009948F1" w:rsidRDefault="009948F1">
            <w:pPr>
              <w:pStyle w:val="TableParagraph"/>
              <w:spacing w:before="11"/>
              <w:rPr>
                <w:sz w:val="16"/>
              </w:rPr>
            </w:pPr>
          </w:p>
          <w:p w14:paraId="1CE0CFAA" w14:textId="77777777" w:rsidR="009948F1" w:rsidRDefault="00BC0563">
            <w:pPr>
              <w:pStyle w:val="TableParagraph"/>
              <w:ind w:left="46" w:right="28"/>
              <w:jc w:val="center"/>
              <w:rPr>
                <w:sz w:val="13"/>
              </w:rPr>
            </w:pPr>
            <w:r>
              <w:rPr>
                <w:color w:val="231F20"/>
                <w:sz w:val="13"/>
              </w:rPr>
              <w:t>6.4.3.a</w:t>
            </w:r>
          </w:p>
        </w:tc>
        <w:tc>
          <w:tcPr>
            <w:tcW w:w="4919" w:type="dxa"/>
            <w:gridSpan w:val="2"/>
            <w:tcBorders>
              <w:top w:val="single" w:sz="6" w:space="0" w:color="231F20"/>
              <w:left w:val="single" w:sz="6" w:space="0" w:color="231F20"/>
              <w:bottom w:val="single" w:sz="6" w:space="0" w:color="231F20"/>
              <w:right w:val="single" w:sz="6" w:space="0" w:color="231F20"/>
            </w:tcBorders>
          </w:tcPr>
          <w:p w14:paraId="778B6A92" w14:textId="77777777" w:rsidR="009948F1" w:rsidRDefault="00BC0563">
            <w:pPr>
              <w:pStyle w:val="TableParagraph"/>
              <w:spacing w:line="94" w:lineRule="exact"/>
              <w:ind w:left="232"/>
              <w:jc w:val="center"/>
              <w:rPr>
                <w:sz w:val="13"/>
              </w:rPr>
            </w:pPr>
            <w:r>
              <w:rPr>
                <w:color w:val="231F20"/>
                <w:w w:val="91"/>
                <w:sz w:val="13"/>
              </w:rPr>
              <w:t>•</w:t>
            </w:r>
          </w:p>
          <w:p w14:paraId="3A845D9F" w14:textId="77777777" w:rsidR="009948F1" w:rsidRDefault="00BC0563">
            <w:pPr>
              <w:pStyle w:val="TableParagraph"/>
              <w:spacing w:before="95"/>
              <w:ind w:left="24"/>
              <w:rPr>
                <w:sz w:val="13"/>
              </w:rPr>
            </w:pPr>
            <w:r>
              <w:rPr>
                <w:color w:val="231F20"/>
                <w:sz w:val="13"/>
              </w:rPr>
              <w:t>Conduct</w:t>
            </w:r>
            <w:r>
              <w:rPr>
                <w:color w:val="231F20"/>
                <w:spacing w:val="-22"/>
                <w:sz w:val="13"/>
              </w:rPr>
              <w:t xml:space="preserve"> </w:t>
            </w:r>
            <w:r>
              <w:rPr>
                <w:color w:val="231F20"/>
                <w:sz w:val="13"/>
              </w:rPr>
              <w:t>train</w:t>
            </w:r>
            <w:r>
              <w:rPr>
                <w:color w:val="231F20"/>
                <w:spacing w:val="-21"/>
                <w:sz w:val="13"/>
              </w:rPr>
              <w:t xml:space="preserve"> </w:t>
            </w:r>
            <w:r>
              <w:rPr>
                <w:color w:val="231F20"/>
                <w:sz w:val="13"/>
              </w:rPr>
              <w:t>&amp;</w:t>
            </w:r>
            <w:r>
              <w:rPr>
                <w:color w:val="231F20"/>
                <w:spacing w:val="-21"/>
                <w:sz w:val="13"/>
              </w:rPr>
              <w:t xml:space="preserve"> </w:t>
            </w:r>
            <w:r>
              <w:rPr>
                <w:color w:val="231F20"/>
                <w:sz w:val="13"/>
              </w:rPr>
              <w:t>re-train</w:t>
            </w:r>
            <w:r>
              <w:rPr>
                <w:color w:val="231F20"/>
                <w:spacing w:val="-21"/>
                <w:sz w:val="13"/>
              </w:rPr>
              <w:t xml:space="preserve"> </w:t>
            </w:r>
            <w:r>
              <w:rPr>
                <w:color w:val="231F20"/>
                <w:sz w:val="13"/>
              </w:rPr>
              <w:t>workshop</w:t>
            </w:r>
            <w:r>
              <w:rPr>
                <w:color w:val="231F20"/>
                <w:spacing w:val="-21"/>
                <w:sz w:val="13"/>
              </w:rPr>
              <w:t xml:space="preserve"> </w:t>
            </w:r>
            <w:r>
              <w:rPr>
                <w:color w:val="231F20"/>
                <w:sz w:val="13"/>
              </w:rPr>
              <w:t>for</w:t>
            </w:r>
            <w:r>
              <w:rPr>
                <w:color w:val="231F20"/>
                <w:spacing w:val="-21"/>
                <w:sz w:val="13"/>
              </w:rPr>
              <w:t xml:space="preserve"> </w:t>
            </w:r>
            <w:r>
              <w:rPr>
                <w:color w:val="231F20"/>
                <w:sz w:val="13"/>
              </w:rPr>
              <w:t>health</w:t>
            </w:r>
            <w:r>
              <w:rPr>
                <w:color w:val="231F20"/>
                <w:spacing w:val="-21"/>
                <w:sz w:val="13"/>
              </w:rPr>
              <w:t xml:space="preserve"> </w:t>
            </w:r>
            <w:r>
              <w:rPr>
                <w:color w:val="231F20"/>
                <w:sz w:val="13"/>
              </w:rPr>
              <w:t>workers</w:t>
            </w:r>
            <w:r>
              <w:rPr>
                <w:color w:val="231F20"/>
                <w:spacing w:val="-21"/>
                <w:sz w:val="13"/>
              </w:rPr>
              <w:t xml:space="preserve"> </w:t>
            </w:r>
            <w:r>
              <w:rPr>
                <w:color w:val="231F20"/>
                <w:sz w:val="13"/>
              </w:rPr>
              <w:t>at</w:t>
            </w:r>
            <w:r>
              <w:rPr>
                <w:color w:val="231F20"/>
                <w:spacing w:val="-21"/>
                <w:sz w:val="13"/>
              </w:rPr>
              <w:t xml:space="preserve"> </w:t>
            </w:r>
            <w:r>
              <w:rPr>
                <w:color w:val="231F20"/>
                <w:sz w:val="13"/>
              </w:rPr>
              <w:t>State</w:t>
            </w:r>
            <w:r>
              <w:rPr>
                <w:color w:val="231F20"/>
                <w:spacing w:val="-21"/>
                <w:sz w:val="13"/>
              </w:rPr>
              <w:t xml:space="preserve"> </w:t>
            </w:r>
            <w:r>
              <w:rPr>
                <w:color w:val="231F20"/>
                <w:sz w:val="13"/>
              </w:rPr>
              <w:t>&amp;</w:t>
            </w:r>
            <w:r>
              <w:rPr>
                <w:color w:val="231F20"/>
                <w:spacing w:val="-21"/>
                <w:sz w:val="13"/>
              </w:rPr>
              <w:t xml:space="preserve"> </w:t>
            </w:r>
            <w:r>
              <w:rPr>
                <w:color w:val="231F20"/>
                <w:sz w:val="13"/>
              </w:rPr>
              <w:t>LGA</w:t>
            </w:r>
            <w:r>
              <w:rPr>
                <w:color w:val="231F20"/>
                <w:spacing w:val="-24"/>
                <w:sz w:val="13"/>
              </w:rPr>
              <w:t xml:space="preserve"> </w:t>
            </w:r>
            <w:r>
              <w:rPr>
                <w:color w:val="231F20"/>
                <w:sz w:val="13"/>
              </w:rPr>
              <w:t>levels</w:t>
            </w:r>
            <w:r>
              <w:rPr>
                <w:color w:val="231F20"/>
                <w:spacing w:val="-22"/>
                <w:sz w:val="13"/>
              </w:rPr>
              <w:t xml:space="preserve"> </w:t>
            </w:r>
            <w:r>
              <w:rPr>
                <w:color w:val="231F20"/>
                <w:sz w:val="13"/>
              </w:rPr>
              <w:t>on</w:t>
            </w:r>
            <w:r>
              <w:rPr>
                <w:color w:val="231F20"/>
                <w:spacing w:val="-21"/>
                <w:sz w:val="13"/>
              </w:rPr>
              <w:t xml:space="preserve"> </w:t>
            </w:r>
            <w:r>
              <w:rPr>
                <w:color w:val="231F20"/>
                <w:sz w:val="13"/>
              </w:rPr>
              <w:t>oral</w:t>
            </w:r>
            <w:r>
              <w:rPr>
                <w:color w:val="231F20"/>
                <w:spacing w:val="-21"/>
                <w:sz w:val="13"/>
              </w:rPr>
              <w:t xml:space="preserve"> </w:t>
            </w:r>
            <w:r>
              <w:rPr>
                <w:color w:val="231F20"/>
                <w:sz w:val="13"/>
              </w:rPr>
              <w:t>health</w:t>
            </w:r>
          </w:p>
        </w:tc>
        <w:tc>
          <w:tcPr>
            <w:tcW w:w="1432" w:type="dxa"/>
            <w:tcBorders>
              <w:top w:val="single" w:sz="6" w:space="0" w:color="231F20"/>
              <w:left w:val="single" w:sz="6" w:space="0" w:color="231F20"/>
              <w:bottom w:val="single" w:sz="6" w:space="0" w:color="231F20"/>
              <w:right w:val="single" w:sz="6" w:space="0" w:color="231F20"/>
            </w:tcBorders>
          </w:tcPr>
          <w:p w14:paraId="03087CE6" w14:textId="77777777" w:rsidR="009948F1" w:rsidRDefault="009948F1">
            <w:pPr>
              <w:pStyle w:val="TableParagraph"/>
              <w:spacing w:before="11"/>
              <w:rPr>
                <w:sz w:val="16"/>
              </w:rPr>
            </w:pPr>
          </w:p>
          <w:p w14:paraId="77AC38C0"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250A1C9C" w14:textId="77777777" w:rsidR="009948F1" w:rsidRDefault="009948F1">
            <w:pPr>
              <w:pStyle w:val="TableParagraph"/>
              <w:spacing w:before="11"/>
              <w:rPr>
                <w:sz w:val="16"/>
              </w:rPr>
            </w:pPr>
          </w:p>
          <w:p w14:paraId="0FF844A6" w14:textId="77777777" w:rsidR="009948F1" w:rsidRDefault="00BC0563">
            <w:pPr>
              <w:pStyle w:val="TableParagraph"/>
              <w:ind w:left="25"/>
              <w:rPr>
                <w:sz w:val="13"/>
              </w:rPr>
            </w:pPr>
            <w:r>
              <w:rPr>
                <w:color w:val="231F20"/>
                <w:w w:val="95"/>
                <w:sz w:val="13"/>
              </w:rPr>
              <w:t>Conduct training workshop</w:t>
            </w:r>
          </w:p>
        </w:tc>
      </w:tr>
      <w:tr w:rsidR="009948F1" w14:paraId="05C5B1EA" w14:textId="77777777">
        <w:trPr>
          <w:trHeight w:val="427"/>
        </w:trPr>
        <w:tc>
          <w:tcPr>
            <w:tcW w:w="412" w:type="dxa"/>
            <w:tcBorders>
              <w:top w:val="single" w:sz="6" w:space="0" w:color="231F20"/>
              <w:bottom w:val="single" w:sz="6" w:space="0" w:color="231F20"/>
              <w:right w:val="single" w:sz="6" w:space="0" w:color="231F20"/>
            </w:tcBorders>
            <w:shd w:val="clear" w:color="auto" w:fill="FFF200"/>
          </w:tcPr>
          <w:p w14:paraId="19F5CA27" w14:textId="77777777" w:rsidR="009948F1" w:rsidRDefault="009948F1">
            <w:pPr>
              <w:pStyle w:val="TableParagraph"/>
              <w:spacing w:before="11"/>
              <w:rPr>
                <w:sz w:val="11"/>
              </w:rPr>
            </w:pPr>
          </w:p>
          <w:p w14:paraId="0558F883" w14:textId="77777777" w:rsidR="009948F1" w:rsidRDefault="00BC0563">
            <w:pPr>
              <w:pStyle w:val="TableParagraph"/>
              <w:ind w:left="191"/>
              <w:rPr>
                <w:b/>
                <w:sz w:val="13"/>
              </w:rPr>
            </w:pPr>
            <w:r>
              <w:rPr>
                <w:b/>
                <w:color w:val="231F20"/>
                <w:sz w:val="13"/>
              </w:rPr>
              <w:t>6.5</w:t>
            </w:r>
          </w:p>
        </w:tc>
        <w:tc>
          <w:tcPr>
            <w:tcW w:w="5905" w:type="dxa"/>
            <w:gridSpan w:val="4"/>
            <w:tcBorders>
              <w:top w:val="single" w:sz="6" w:space="0" w:color="231F20"/>
              <w:left w:val="single" w:sz="6" w:space="0" w:color="231F20"/>
              <w:bottom w:val="single" w:sz="6" w:space="0" w:color="231F20"/>
            </w:tcBorders>
            <w:shd w:val="clear" w:color="auto" w:fill="FFF200"/>
          </w:tcPr>
          <w:p w14:paraId="414271DC" w14:textId="77777777" w:rsidR="009948F1" w:rsidRDefault="009948F1">
            <w:pPr>
              <w:pStyle w:val="TableParagraph"/>
              <w:spacing w:before="5"/>
              <w:rPr>
                <w:sz w:val="11"/>
              </w:rPr>
            </w:pPr>
          </w:p>
          <w:p w14:paraId="2D16EE92" w14:textId="77777777" w:rsidR="009948F1" w:rsidRDefault="00BC0563">
            <w:pPr>
              <w:pStyle w:val="TableParagraph"/>
              <w:ind w:left="57"/>
              <w:rPr>
                <w:b/>
                <w:sz w:val="13"/>
              </w:rPr>
            </w:pPr>
            <w:r>
              <w:rPr>
                <w:b/>
                <w:color w:val="231F20"/>
                <w:sz w:val="13"/>
              </w:rPr>
              <w:t>Eliminate</w:t>
            </w:r>
            <w:r>
              <w:rPr>
                <w:b/>
                <w:color w:val="231F20"/>
                <w:spacing w:val="-22"/>
                <w:sz w:val="13"/>
              </w:rPr>
              <w:t xml:space="preserve"> </w:t>
            </w:r>
            <w:r>
              <w:rPr>
                <w:b/>
                <w:color w:val="231F20"/>
                <w:sz w:val="13"/>
              </w:rPr>
              <w:t>avoidable</w:t>
            </w:r>
            <w:r>
              <w:rPr>
                <w:b/>
                <w:color w:val="231F20"/>
                <w:spacing w:val="-22"/>
                <w:sz w:val="13"/>
              </w:rPr>
              <w:t xml:space="preserve"> </w:t>
            </w:r>
            <w:r>
              <w:rPr>
                <w:b/>
                <w:color w:val="231F20"/>
                <w:sz w:val="13"/>
              </w:rPr>
              <w:t>blindness,</w:t>
            </w:r>
            <w:r>
              <w:rPr>
                <w:b/>
                <w:color w:val="231F20"/>
                <w:spacing w:val="-22"/>
                <w:sz w:val="13"/>
              </w:rPr>
              <w:t xml:space="preserve"> </w:t>
            </w:r>
            <w:r>
              <w:rPr>
                <w:b/>
                <w:color w:val="231F20"/>
                <w:sz w:val="13"/>
              </w:rPr>
              <w:t>and</w:t>
            </w:r>
            <w:r>
              <w:rPr>
                <w:b/>
                <w:color w:val="231F20"/>
                <w:spacing w:val="-22"/>
                <w:sz w:val="13"/>
              </w:rPr>
              <w:t xml:space="preserve"> </w:t>
            </w:r>
            <w:r>
              <w:rPr>
                <w:b/>
                <w:color w:val="231F20"/>
                <w:sz w:val="13"/>
              </w:rPr>
              <w:t>reduce</w:t>
            </w:r>
            <w:r>
              <w:rPr>
                <w:b/>
                <w:color w:val="231F20"/>
                <w:spacing w:val="-22"/>
                <w:sz w:val="13"/>
              </w:rPr>
              <w:t xml:space="preserve"> </w:t>
            </w:r>
            <w:r>
              <w:rPr>
                <w:b/>
                <w:color w:val="231F20"/>
                <w:sz w:val="13"/>
              </w:rPr>
              <w:t>the</w:t>
            </w:r>
            <w:r>
              <w:rPr>
                <w:b/>
                <w:color w:val="231F20"/>
                <w:spacing w:val="-22"/>
                <w:sz w:val="13"/>
              </w:rPr>
              <w:t xml:space="preserve"> </w:t>
            </w:r>
            <w:r>
              <w:rPr>
                <w:b/>
                <w:color w:val="231F20"/>
                <w:sz w:val="13"/>
              </w:rPr>
              <w:t>burden</w:t>
            </w:r>
            <w:r>
              <w:rPr>
                <w:b/>
                <w:color w:val="231F20"/>
                <w:spacing w:val="-22"/>
                <w:sz w:val="13"/>
              </w:rPr>
              <w:t xml:space="preserve"> </w:t>
            </w:r>
            <w:r>
              <w:rPr>
                <w:b/>
                <w:color w:val="231F20"/>
                <w:sz w:val="13"/>
              </w:rPr>
              <w:t>of</w:t>
            </w:r>
            <w:r>
              <w:rPr>
                <w:b/>
                <w:color w:val="231F20"/>
                <w:spacing w:val="-21"/>
                <w:sz w:val="13"/>
              </w:rPr>
              <w:t xml:space="preserve"> </w:t>
            </w:r>
            <w:r>
              <w:rPr>
                <w:b/>
                <w:color w:val="231F20"/>
                <w:sz w:val="13"/>
              </w:rPr>
              <w:t>various</w:t>
            </w:r>
            <w:r>
              <w:rPr>
                <w:b/>
                <w:color w:val="231F20"/>
                <w:spacing w:val="-22"/>
                <w:sz w:val="13"/>
              </w:rPr>
              <w:t xml:space="preserve"> </w:t>
            </w:r>
            <w:r>
              <w:rPr>
                <w:b/>
                <w:color w:val="231F20"/>
                <w:sz w:val="13"/>
              </w:rPr>
              <w:t>visual</w:t>
            </w:r>
            <w:r>
              <w:rPr>
                <w:b/>
                <w:color w:val="231F20"/>
                <w:spacing w:val="-22"/>
                <w:sz w:val="13"/>
              </w:rPr>
              <w:t xml:space="preserve"> </w:t>
            </w:r>
            <w:r>
              <w:rPr>
                <w:b/>
                <w:color w:val="231F20"/>
                <w:sz w:val="13"/>
              </w:rPr>
              <w:t>impairment</w:t>
            </w:r>
            <w:r>
              <w:rPr>
                <w:b/>
                <w:color w:val="231F20"/>
                <w:spacing w:val="-22"/>
                <w:sz w:val="13"/>
              </w:rPr>
              <w:t xml:space="preserve"> </w:t>
            </w:r>
            <w:r>
              <w:rPr>
                <w:b/>
                <w:color w:val="231F20"/>
                <w:sz w:val="13"/>
              </w:rPr>
              <w:t>conditions.</w:t>
            </w:r>
          </w:p>
        </w:tc>
        <w:tc>
          <w:tcPr>
            <w:tcW w:w="2944" w:type="dxa"/>
            <w:gridSpan w:val="2"/>
            <w:tcBorders>
              <w:top w:val="single" w:sz="6" w:space="0" w:color="231F20"/>
              <w:bottom w:val="single" w:sz="6" w:space="0" w:color="231F20"/>
              <w:right w:val="single" w:sz="6" w:space="0" w:color="231F20"/>
            </w:tcBorders>
            <w:shd w:val="clear" w:color="auto" w:fill="FFF200"/>
          </w:tcPr>
          <w:p w14:paraId="63CB3539" w14:textId="77777777" w:rsidR="009948F1" w:rsidRDefault="009948F1">
            <w:pPr>
              <w:pStyle w:val="TableParagraph"/>
              <w:rPr>
                <w:rFonts w:ascii="Times New Roman"/>
                <w:sz w:val="10"/>
              </w:rPr>
            </w:pPr>
          </w:p>
        </w:tc>
      </w:tr>
      <w:tr w:rsidR="009948F1" w14:paraId="689A147A" w14:textId="77777777">
        <w:trPr>
          <w:trHeight w:val="729"/>
        </w:trPr>
        <w:tc>
          <w:tcPr>
            <w:tcW w:w="412" w:type="dxa"/>
            <w:tcBorders>
              <w:top w:val="single" w:sz="6" w:space="0" w:color="231F20"/>
              <w:bottom w:val="nil"/>
              <w:right w:val="single" w:sz="6" w:space="0" w:color="231F20"/>
            </w:tcBorders>
          </w:tcPr>
          <w:p w14:paraId="0C470832" w14:textId="77777777" w:rsidR="009948F1" w:rsidRDefault="009948F1">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4" w:space="0" w:color="231F20"/>
            </w:tcBorders>
            <w:shd w:val="clear" w:color="auto" w:fill="CCE7D3"/>
          </w:tcPr>
          <w:p w14:paraId="1C1223C2" w14:textId="77777777" w:rsidR="009948F1" w:rsidRDefault="009948F1">
            <w:pPr>
              <w:pStyle w:val="TableParagraph"/>
              <w:rPr>
                <w:sz w:val="14"/>
              </w:rPr>
            </w:pPr>
          </w:p>
          <w:p w14:paraId="7EF288CA" w14:textId="77777777" w:rsidR="009948F1" w:rsidRDefault="00BC0563">
            <w:pPr>
              <w:pStyle w:val="TableParagraph"/>
              <w:spacing w:before="125"/>
              <w:ind w:left="57"/>
              <w:rPr>
                <w:sz w:val="13"/>
              </w:rPr>
            </w:pPr>
            <w:r>
              <w:rPr>
                <w:color w:val="231F20"/>
                <w:sz w:val="13"/>
              </w:rPr>
              <w:t>6.5.1</w:t>
            </w:r>
          </w:p>
        </w:tc>
        <w:tc>
          <w:tcPr>
            <w:tcW w:w="3051" w:type="dxa"/>
            <w:gridSpan w:val="2"/>
            <w:tcBorders>
              <w:top w:val="single" w:sz="6" w:space="0" w:color="231F20"/>
              <w:left w:val="single" w:sz="4" w:space="0" w:color="231F20"/>
              <w:bottom w:val="single" w:sz="6" w:space="0" w:color="231F20"/>
              <w:right w:val="single" w:sz="6" w:space="0" w:color="231F20"/>
            </w:tcBorders>
            <w:shd w:val="clear" w:color="auto" w:fill="CCE7D3"/>
          </w:tcPr>
          <w:p w14:paraId="397699E1" w14:textId="77777777" w:rsidR="009948F1" w:rsidRDefault="009948F1">
            <w:pPr>
              <w:pStyle w:val="TableParagraph"/>
              <w:rPr>
                <w:sz w:val="14"/>
              </w:rPr>
            </w:pPr>
          </w:p>
          <w:p w14:paraId="15FA272E" w14:textId="77777777" w:rsidR="009948F1" w:rsidRDefault="00BC0563">
            <w:pPr>
              <w:pStyle w:val="TableParagraph"/>
              <w:spacing w:before="120"/>
              <w:ind w:left="59"/>
              <w:rPr>
                <w:sz w:val="13"/>
              </w:rPr>
            </w:pPr>
            <w:r>
              <w:rPr>
                <w:color w:val="231F20"/>
                <w:sz w:val="13"/>
              </w:rPr>
              <w:t>Improve coordination of eye care services</w:t>
            </w:r>
          </w:p>
        </w:tc>
        <w:tc>
          <w:tcPr>
            <w:tcW w:w="2396" w:type="dxa"/>
            <w:tcBorders>
              <w:top w:val="single" w:sz="6" w:space="0" w:color="231F20"/>
              <w:left w:val="single" w:sz="6" w:space="0" w:color="231F20"/>
              <w:bottom w:val="single" w:sz="6" w:space="0" w:color="231F20"/>
              <w:right w:val="single" w:sz="6" w:space="0" w:color="231F20"/>
            </w:tcBorders>
            <w:shd w:val="clear" w:color="auto" w:fill="CCE7D3"/>
          </w:tcPr>
          <w:p w14:paraId="38BDCC67" w14:textId="77777777" w:rsidR="009948F1" w:rsidRDefault="00BC0563">
            <w:pPr>
              <w:pStyle w:val="TableParagraph"/>
              <w:numPr>
                <w:ilvl w:val="0"/>
                <w:numId w:val="123"/>
              </w:numPr>
              <w:tabs>
                <w:tab w:val="left" w:pos="100"/>
              </w:tabs>
              <w:spacing w:line="271" w:lineRule="auto"/>
              <w:ind w:right="122" w:firstLine="0"/>
              <w:rPr>
                <w:sz w:val="13"/>
              </w:rPr>
            </w:pPr>
            <w:r>
              <w:rPr>
                <w:color w:val="231F20"/>
                <w:sz w:val="13"/>
              </w:rPr>
              <w:t xml:space="preserve">Present state of coordination of eye </w:t>
            </w:r>
            <w:r>
              <w:rPr>
                <w:color w:val="231F20"/>
                <w:w w:val="95"/>
                <w:sz w:val="13"/>
              </w:rPr>
              <w:t>services</w:t>
            </w:r>
            <w:r>
              <w:rPr>
                <w:color w:val="231F20"/>
                <w:spacing w:val="-15"/>
                <w:w w:val="95"/>
                <w:sz w:val="13"/>
              </w:rPr>
              <w:t xml:space="preserve"> </w:t>
            </w:r>
            <w:r>
              <w:rPr>
                <w:color w:val="231F20"/>
                <w:w w:val="95"/>
                <w:sz w:val="13"/>
              </w:rPr>
              <w:t>in</w:t>
            </w:r>
            <w:r>
              <w:rPr>
                <w:color w:val="231F20"/>
                <w:spacing w:val="-15"/>
                <w:w w:val="95"/>
                <w:sz w:val="13"/>
              </w:rPr>
              <w:t xml:space="preserve"> </w:t>
            </w:r>
            <w:r>
              <w:rPr>
                <w:color w:val="231F20"/>
                <w:w w:val="95"/>
                <w:sz w:val="13"/>
              </w:rPr>
              <w:t>primary,</w:t>
            </w:r>
            <w:r>
              <w:rPr>
                <w:color w:val="231F20"/>
                <w:spacing w:val="-14"/>
                <w:w w:val="95"/>
                <w:sz w:val="13"/>
              </w:rPr>
              <w:t xml:space="preserve"> </w:t>
            </w:r>
            <w:r>
              <w:rPr>
                <w:color w:val="231F20"/>
                <w:w w:val="95"/>
                <w:sz w:val="13"/>
              </w:rPr>
              <w:t>secondary</w:t>
            </w:r>
            <w:r>
              <w:rPr>
                <w:color w:val="231F20"/>
                <w:spacing w:val="-15"/>
                <w:w w:val="95"/>
                <w:sz w:val="13"/>
              </w:rPr>
              <w:t xml:space="preserve"> </w:t>
            </w:r>
            <w:r>
              <w:rPr>
                <w:color w:val="231F20"/>
                <w:w w:val="95"/>
                <w:sz w:val="13"/>
              </w:rPr>
              <w:t>and</w:t>
            </w:r>
            <w:r>
              <w:rPr>
                <w:color w:val="231F20"/>
                <w:spacing w:val="-14"/>
                <w:w w:val="95"/>
                <w:sz w:val="13"/>
              </w:rPr>
              <w:t xml:space="preserve"> </w:t>
            </w:r>
            <w:r>
              <w:rPr>
                <w:color w:val="231F20"/>
                <w:spacing w:val="-3"/>
                <w:w w:val="95"/>
                <w:sz w:val="13"/>
              </w:rPr>
              <w:t xml:space="preserve">tertiary </w:t>
            </w:r>
            <w:r>
              <w:rPr>
                <w:color w:val="231F20"/>
                <w:sz w:val="13"/>
              </w:rPr>
              <w:t>health</w:t>
            </w:r>
            <w:r>
              <w:rPr>
                <w:color w:val="231F20"/>
                <w:spacing w:val="-20"/>
                <w:sz w:val="13"/>
              </w:rPr>
              <w:t xml:space="preserve"> </w:t>
            </w:r>
            <w:r>
              <w:rPr>
                <w:color w:val="231F20"/>
                <w:sz w:val="13"/>
              </w:rPr>
              <w:t>facilities</w:t>
            </w:r>
            <w:r>
              <w:rPr>
                <w:color w:val="231F20"/>
                <w:spacing w:val="-20"/>
                <w:sz w:val="13"/>
              </w:rPr>
              <w:t xml:space="preserve"> </w:t>
            </w:r>
            <w:r>
              <w:rPr>
                <w:color w:val="231F20"/>
                <w:sz w:val="13"/>
              </w:rPr>
              <w:t>in</w:t>
            </w:r>
            <w:r>
              <w:rPr>
                <w:color w:val="231F20"/>
                <w:spacing w:val="-20"/>
                <w:sz w:val="13"/>
              </w:rPr>
              <w:t xml:space="preserve"> </w:t>
            </w:r>
            <w:r>
              <w:rPr>
                <w:color w:val="231F20"/>
                <w:sz w:val="13"/>
              </w:rPr>
              <w:t>the</w:t>
            </w:r>
            <w:r>
              <w:rPr>
                <w:color w:val="231F20"/>
                <w:spacing w:val="-20"/>
                <w:sz w:val="13"/>
              </w:rPr>
              <w:t xml:space="preserve"> </w:t>
            </w:r>
            <w:r>
              <w:rPr>
                <w:color w:val="231F20"/>
                <w:sz w:val="13"/>
              </w:rPr>
              <w:t>state</w:t>
            </w:r>
            <w:r>
              <w:rPr>
                <w:color w:val="231F20"/>
                <w:spacing w:val="-20"/>
                <w:sz w:val="13"/>
              </w:rPr>
              <w:t xml:space="preserve"> </w:t>
            </w:r>
            <w:r>
              <w:rPr>
                <w:color w:val="231F20"/>
                <w:sz w:val="13"/>
              </w:rPr>
              <w:t>assessed</w:t>
            </w:r>
            <w:r>
              <w:rPr>
                <w:color w:val="231F20"/>
                <w:spacing w:val="-20"/>
                <w:sz w:val="13"/>
              </w:rPr>
              <w:t xml:space="preserve"> </w:t>
            </w:r>
            <w:r>
              <w:rPr>
                <w:color w:val="231F20"/>
                <w:sz w:val="13"/>
              </w:rPr>
              <w:t>by NPPB</w:t>
            </w:r>
            <w:r>
              <w:rPr>
                <w:color w:val="231F20"/>
                <w:spacing w:val="-5"/>
                <w:sz w:val="13"/>
              </w:rPr>
              <w:t xml:space="preserve"> </w:t>
            </w:r>
            <w:r>
              <w:rPr>
                <w:color w:val="231F20"/>
                <w:sz w:val="13"/>
              </w:rPr>
              <w:t>committee</w:t>
            </w:r>
          </w:p>
        </w:tc>
        <w:tc>
          <w:tcPr>
            <w:tcW w:w="1432" w:type="dxa"/>
            <w:tcBorders>
              <w:top w:val="single" w:sz="6" w:space="0" w:color="231F20"/>
              <w:left w:val="single" w:sz="6" w:space="0" w:color="231F20"/>
              <w:bottom w:val="single" w:sz="6" w:space="0" w:color="231F20"/>
              <w:right w:val="single" w:sz="6" w:space="0" w:color="231F20"/>
            </w:tcBorders>
            <w:shd w:val="clear" w:color="auto" w:fill="CCE7D3"/>
          </w:tcPr>
          <w:p w14:paraId="64576A33" w14:textId="77777777" w:rsidR="009948F1" w:rsidRDefault="009948F1">
            <w:pPr>
              <w:pStyle w:val="TableParagraph"/>
              <w:rPr>
                <w:rFonts w:ascii="Times New Roman"/>
                <w:sz w:val="10"/>
              </w:rPr>
            </w:pPr>
          </w:p>
        </w:tc>
        <w:tc>
          <w:tcPr>
            <w:tcW w:w="1512" w:type="dxa"/>
            <w:tcBorders>
              <w:top w:val="single" w:sz="6" w:space="0" w:color="231F20"/>
              <w:left w:val="single" w:sz="6" w:space="0" w:color="231F20"/>
              <w:bottom w:val="single" w:sz="6" w:space="0" w:color="231F20"/>
              <w:right w:val="single" w:sz="6" w:space="0" w:color="231F20"/>
            </w:tcBorders>
            <w:shd w:val="clear" w:color="auto" w:fill="CCE7D3"/>
          </w:tcPr>
          <w:p w14:paraId="08921E1E" w14:textId="77777777" w:rsidR="009948F1" w:rsidRDefault="009948F1">
            <w:pPr>
              <w:pStyle w:val="TableParagraph"/>
              <w:rPr>
                <w:rFonts w:ascii="Times New Roman"/>
                <w:sz w:val="10"/>
              </w:rPr>
            </w:pPr>
          </w:p>
        </w:tc>
      </w:tr>
      <w:tr w:rsidR="009948F1" w14:paraId="5A24DA86" w14:textId="77777777">
        <w:trPr>
          <w:trHeight w:val="546"/>
        </w:trPr>
        <w:tc>
          <w:tcPr>
            <w:tcW w:w="870" w:type="dxa"/>
            <w:gridSpan w:val="2"/>
            <w:vMerge w:val="restart"/>
            <w:tcBorders>
              <w:top w:val="nil"/>
              <w:bottom w:val="nil"/>
              <w:right w:val="single" w:sz="4" w:space="0" w:color="231F20"/>
            </w:tcBorders>
          </w:tcPr>
          <w:p w14:paraId="7A107345" w14:textId="77777777" w:rsidR="009948F1" w:rsidRDefault="009948F1">
            <w:pPr>
              <w:pStyle w:val="TableParagraph"/>
              <w:rPr>
                <w:rFonts w:ascii="Times New Roman"/>
                <w:sz w:val="10"/>
              </w:rPr>
            </w:pPr>
          </w:p>
        </w:tc>
        <w:tc>
          <w:tcPr>
            <w:tcW w:w="528" w:type="dxa"/>
            <w:tcBorders>
              <w:top w:val="single" w:sz="6" w:space="0" w:color="231F20"/>
              <w:left w:val="single" w:sz="4" w:space="0" w:color="231F20"/>
              <w:bottom w:val="single" w:sz="6" w:space="0" w:color="231F20"/>
              <w:right w:val="single" w:sz="6" w:space="0" w:color="231F20"/>
            </w:tcBorders>
          </w:tcPr>
          <w:p w14:paraId="64230DEF" w14:textId="77777777" w:rsidR="009948F1" w:rsidRDefault="009948F1">
            <w:pPr>
              <w:pStyle w:val="TableParagraph"/>
              <w:spacing w:before="11"/>
              <w:rPr>
                <w:sz w:val="16"/>
              </w:rPr>
            </w:pPr>
          </w:p>
          <w:p w14:paraId="2FDA6B02" w14:textId="77777777" w:rsidR="009948F1" w:rsidRDefault="00BC0563">
            <w:pPr>
              <w:pStyle w:val="TableParagraph"/>
              <w:ind w:left="48" w:right="28"/>
              <w:jc w:val="center"/>
              <w:rPr>
                <w:sz w:val="13"/>
              </w:rPr>
            </w:pPr>
            <w:r>
              <w:rPr>
                <w:color w:val="231F20"/>
                <w:sz w:val="13"/>
              </w:rPr>
              <w:t>6.5.1.a</w:t>
            </w:r>
          </w:p>
        </w:tc>
        <w:tc>
          <w:tcPr>
            <w:tcW w:w="4919" w:type="dxa"/>
            <w:gridSpan w:val="2"/>
            <w:tcBorders>
              <w:top w:val="single" w:sz="6" w:space="0" w:color="231F20"/>
              <w:left w:val="single" w:sz="6" w:space="0" w:color="231F20"/>
              <w:bottom w:val="single" w:sz="6" w:space="0" w:color="231F20"/>
              <w:right w:val="single" w:sz="6" w:space="0" w:color="231F20"/>
            </w:tcBorders>
          </w:tcPr>
          <w:p w14:paraId="6947F5C1" w14:textId="77777777" w:rsidR="009948F1" w:rsidRDefault="00BC0563">
            <w:pPr>
              <w:pStyle w:val="TableParagraph"/>
              <w:spacing w:line="49" w:lineRule="exact"/>
              <w:ind w:left="232"/>
              <w:jc w:val="center"/>
              <w:rPr>
                <w:sz w:val="13"/>
              </w:rPr>
            </w:pPr>
            <w:r>
              <w:rPr>
                <w:color w:val="231F20"/>
                <w:w w:val="91"/>
                <w:sz w:val="13"/>
              </w:rPr>
              <w:t>•</w:t>
            </w:r>
          </w:p>
          <w:p w14:paraId="08ABD8A4" w14:textId="77777777" w:rsidR="009948F1" w:rsidRDefault="00BC0563">
            <w:pPr>
              <w:pStyle w:val="TableParagraph"/>
              <w:spacing w:line="121" w:lineRule="exact"/>
              <w:ind w:left="24"/>
              <w:rPr>
                <w:sz w:val="13"/>
              </w:rPr>
            </w:pPr>
            <w:r>
              <w:rPr>
                <w:color w:val="231F20"/>
                <w:w w:val="95"/>
                <w:sz w:val="13"/>
              </w:rPr>
              <w:t xml:space="preserve">Conduct meeting for National </w:t>
            </w:r>
            <w:proofErr w:type="spellStart"/>
            <w:r>
              <w:rPr>
                <w:color w:val="231F20"/>
                <w:w w:val="95"/>
                <w:sz w:val="13"/>
              </w:rPr>
              <w:t>Programme</w:t>
            </w:r>
            <w:proofErr w:type="spellEnd"/>
            <w:r>
              <w:rPr>
                <w:color w:val="231F20"/>
                <w:w w:val="95"/>
                <w:sz w:val="13"/>
              </w:rPr>
              <w:t xml:space="preserve"> for Prevention of Blindness (NPPB) committee</w:t>
            </w:r>
          </w:p>
          <w:p w14:paraId="43A2B1CB" w14:textId="77777777" w:rsidR="009948F1" w:rsidRDefault="00BC0563">
            <w:pPr>
              <w:pStyle w:val="TableParagraph"/>
              <w:spacing w:line="170" w:lineRule="atLeast"/>
              <w:ind w:left="24" w:right="404"/>
              <w:rPr>
                <w:sz w:val="13"/>
              </w:rPr>
            </w:pPr>
            <w:r>
              <w:rPr>
                <w:color w:val="231F20"/>
                <w:w w:val="95"/>
                <w:sz w:val="13"/>
              </w:rPr>
              <w:t>to</w:t>
            </w:r>
            <w:r>
              <w:rPr>
                <w:color w:val="231F20"/>
                <w:spacing w:val="-13"/>
                <w:w w:val="95"/>
                <w:sz w:val="13"/>
              </w:rPr>
              <w:t xml:space="preserve"> </w:t>
            </w:r>
            <w:r>
              <w:rPr>
                <w:color w:val="231F20"/>
                <w:w w:val="95"/>
                <w:sz w:val="13"/>
              </w:rPr>
              <w:t>assess</w:t>
            </w:r>
            <w:r>
              <w:rPr>
                <w:color w:val="231F20"/>
                <w:spacing w:val="-13"/>
                <w:w w:val="95"/>
                <w:sz w:val="13"/>
              </w:rPr>
              <w:t xml:space="preserve"> </w:t>
            </w:r>
            <w:r>
              <w:rPr>
                <w:color w:val="231F20"/>
                <w:w w:val="95"/>
                <w:sz w:val="13"/>
              </w:rPr>
              <w:t>the</w:t>
            </w:r>
            <w:r>
              <w:rPr>
                <w:color w:val="231F20"/>
                <w:spacing w:val="-13"/>
                <w:w w:val="95"/>
                <w:sz w:val="13"/>
              </w:rPr>
              <w:t xml:space="preserve"> </w:t>
            </w:r>
            <w:r>
              <w:rPr>
                <w:color w:val="231F20"/>
                <w:w w:val="95"/>
                <w:sz w:val="13"/>
              </w:rPr>
              <w:t>present</w:t>
            </w:r>
            <w:r>
              <w:rPr>
                <w:color w:val="231F20"/>
                <w:spacing w:val="-12"/>
                <w:w w:val="95"/>
                <w:sz w:val="13"/>
              </w:rPr>
              <w:t xml:space="preserve"> </w:t>
            </w:r>
            <w:r>
              <w:rPr>
                <w:color w:val="231F20"/>
                <w:w w:val="95"/>
                <w:sz w:val="13"/>
              </w:rPr>
              <w:t>state</w:t>
            </w:r>
            <w:r>
              <w:rPr>
                <w:color w:val="231F20"/>
                <w:spacing w:val="-13"/>
                <w:w w:val="95"/>
                <w:sz w:val="13"/>
              </w:rPr>
              <w:t xml:space="preserve"> </w:t>
            </w:r>
            <w:r>
              <w:rPr>
                <w:color w:val="231F20"/>
                <w:w w:val="95"/>
                <w:sz w:val="13"/>
              </w:rPr>
              <w:t>of</w:t>
            </w:r>
            <w:r>
              <w:rPr>
                <w:color w:val="231F20"/>
                <w:spacing w:val="-13"/>
                <w:w w:val="95"/>
                <w:sz w:val="13"/>
              </w:rPr>
              <w:t xml:space="preserve"> </w:t>
            </w:r>
            <w:r>
              <w:rPr>
                <w:color w:val="231F20"/>
                <w:w w:val="95"/>
                <w:sz w:val="13"/>
              </w:rPr>
              <w:t>coordination</w:t>
            </w:r>
            <w:r>
              <w:rPr>
                <w:color w:val="231F20"/>
                <w:spacing w:val="-13"/>
                <w:w w:val="95"/>
                <w:sz w:val="13"/>
              </w:rPr>
              <w:t xml:space="preserve"> </w:t>
            </w:r>
            <w:r>
              <w:rPr>
                <w:color w:val="231F20"/>
                <w:w w:val="95"/>
                <w:sz w:val="13"/>
              </w:rPr>
              <w:t>of</w:t>
            </w:r>
            <w:r>
              <w:rPr>
                <w:color w:val="231F20"/>
                <w:spacing w:val="-12"/>
                <w:w w:val="95"/>
                <w:sz w:val="13"/>
              </w:rPr>
              <w:t xml:space="preserve"> </w:t>
            </w:r>
            <w:r>
              <w:rPr>
                <w:color w:val="231F20"/>
                <w:w w:val="95"/>
                <w:sz w:val="13"/>
              </w:rPr>
              <w:t>eye</w:t>
            </w:r>
            <w:r>
              <w:rPr>
                <w:color w:val="231F20"/>
                <w:spacing w:val="-13"/>
                <w:w w:val="95"/>
                <w:sz w:val="13"/>
              </w:rPr>
              <w:t xml:space="preserve"> </w:t>
            </w:r>
            <w:r>
              <w:rPr>
                <w:color w:val="231F20"/>
                <w:w w:val="95"/>
                <w:sz w:val="13"/>
              </w:rPr>
              <w:t>services</w:t>
            </w:r>
            <w:r>
              <w:rPr>
                <w:color w:val="231F20"/>
                <w:spacing w:val="-13"/>
                <w:w w:val="95"/>
                <w:sz w:val="13"/>
              </w:rPr>
              <w:t xml:space="preserve"> </w:t>
            </w:r>
            <w:r>
              <w:rPr>
                <w:color w:val="231F20"/>
                <w:w w:val="95"/>
                <w:sz w:val="13"/>
              </w:rPr>
              <w:t>in</w:t>
            </w:r>
            <w:r>
              <w:rPr>
                <w:color w:val="231F20"/>
                <w:spacing w:val="-13"/>
                <w:w w:val="95"/>
                <w:sz w:val="13"/>
              </w:rPr>
              <w:t xml:space="preserve"> </w:t>
            </w:r>
            <w:r>
              <w:rPr>
                <w:color w:val="231F20"/>
                <w:w w:val="95"/>
                <w:sz w:val="13"/>
              </w:rPr>
              <w:t>primary,</w:t>
            </w:r>
            <w:r>
              <w:rPr>
                <w:color w:val="231F20"/>
                <w:spacing w:val="-12"/>
                <w:w w:val="95"/>
                <w:sz w:val="13"/>
              </w:rPr>
              <w:t xml:space="preserve"> </w:t>
            </w:r>
            <w:r>
              <w:rPr>
                <w:color w:val="231F20"/>
                <w:w w:val="95"/>
                <w:sz w:val="13"/>
              </w:rPr>
              <w:t>secondary</w:t>
            </w:r>
            <w:r>
              <w:rPr>
                <w:color w:val="231F20"/>
                <w:spacing w:val="-13"/>
                <w:w w:val="95"/>
                <w:sz w:val="13"/>
              </w:rPr>
              <w:t xml:space="preserve"> </w:t>
            </w:r>
            <w:r>
              <w:rPr>
                <w:color w:val="231F20"/>
                <w:spacing w:val="-4"/>
                <w:w w:val="95"/>
                <w:sz w:val="13"/>
              </w:rPr>
              <w:t xml:space="preserve">and </w:t>
            </w:r>
            <w:r>
              <w:rPr>
                <w:color w:val="231F20"/>
                <w:sz w:val="13"/>
              </w:rPr>
              <w:t>tertiary health facilities in the</w:t>
            </w:r>
            <w:r>
              <w:rPr>
                <w:color w:val="231F20"/>
                <w:spacing w:val="-24"/>
                <w:sz w:val="13"/>
              </w:rPr>
              <w:t xml:space="preserve"> </w:t>
            </w:r>
            <w:r>
              <w:rPr>
                <w:color w:val="231F20"/>
                <w:sz w:val="13"/>
              </w:rPr>
              <w:t>state</w:t>
            </w:r>
          </w:p>
        </w:tc>
        <w:tc>
          <w:tcPr>
            <w:tcW w:w="1432" w:type="dxa"/>
            <w:tcBorders>
              <w:top w:val="single" w:sz="6" w:space="0" w:color="231F20"/>
              <w:left w:val="single" w:sz="6" w:space="0" w:color="231F20"/>
              <w:bottom w:val="single" w:sz="6" w:space="0" w:color="231F20"/>
              <w:right w:val="single" w:sz="6" w:space="0" w:color="231F20"/>
            </w:tcBorders>
          </w:tcPr>
          <w:p w14:paraId="538B84A6" w14:textId="77777777" w:rsidR="009948F1" w:rsidRDefault="009948F1">
            <w:pPr>
              <w:pStyle w:val="TableParagraph"/>
              <w:spacing w:before="11"/>
              <w:rPr>
                <w:sz w:val="16"/>
              </w:rPr>
            </w:pPr>
          </w:p>
          <w:p w14:paraId="2A6CAE38"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266472FC" w14:textId="77777777" w:rsidR="009948F1" w:rsidRDefault="009948F1">
            <w:pPr>
              <w:pStyle w:val="TableParagraph"/>
              <w:spacing w:before="11"/>
              <w:rPr>
                <w:sz w:val="16"/>
              </w:rPr>
            </w:pPr>
          </w:p>
          <w:p w14:paraId="769C02D0" w14:textId="77777777" w:rsidR="009948F1" w:rsidRDefault="00BC0563">
            <w:pPr>
              <w:pStyle w:val="TableParagraph"/>
              <w:ind w:left="25"/>
              <w:rPr>
                <w:sz w:val="13"/>
              </w:rPr>
            </w:pPr>
            <w:r>
              <w:rPr>
                <w:color w:val="231F20"/>
                <w:sz w:val="13"/>
              </w:rPr>
              <w:t>Conduct meeting</w:t>
            </w:r>
          </w:p>
        </w:tc>
      </w:tr>
      <w:tr w:rsidR="009948F1" w14:paraId="5A17DD52" w14:textId="77777777">
        <w:trPr>
          <w:trHeight w:val="546"/>
        </w:trPr>
        <w:tc>
          <w:tcPr>
            <w:tcW w:w="870" w:type="dxa"/>
            <w:gridSpan w:val="2"/>
            <w:vMerge/>
            <w:tcBorders>
              <w:top w:val="nil"/>
              <w:bottom w:val="nil"/>
              <w:right w:val="single" w:sz="4" w:space="0" w:color="231F20"/>
            </w:tcBorders>
          </w:tcPr>
          <w:p w14:paraId="52E03559" w14:textId="77777777" w:rsidR="009948F1" w:rsidRDefault="009948F1">
            <w:pPr>
              <w:rPr>
                <w:sz w:val="2"/>
                <w:szCs w:val="2"/>
              </w:rPr>
            </w:pPr>
          </w:p>
        </w:tc>
        <w:tc>
          <w:tcPr>
            <w:tcW w:w="528" w:type="dxa"/>
            <w:tcBorders>
              <w:top w:val="single" w:sz="6" w:space="0" w:color="231F20"/>
              <w:left w:val="single" w:sz="4" w:space="0" w:color="231F20"/>
              <w:bottom w:val="single" w:sz="6" w:space="0" w:color="231F20"/>
              <w:right w:val="single" w:sz="6" w:space="0" w:color="231F20"/>
            </w:tcBorders>
          </w:tcPr>
          <w:p w14:paraId="7E6B7C08" w14:textId="77777777" w:rsidR="009948F1" w:rsidRDefault="009948F1">
            <w:pPr>
              <w:pStyle w:val="TableParagraph"/>
              <w:spacing w:before="11"/>
              <w:rPr>
                <w:sz w:val="16"/>
              </w:rPr>
            </w:pPr>
          </w:p>
          <w:p w14:paraId="7C8243E7" w14:textId="77777777" w:rsidR="009948F1" w:rsidRDefault="00BC0563">
            <w:pPr>
              <w:pStyle w:val="TableParagraph"/>
              <w:ind w:left="48" w:right="28"/>
              <w:jc w:val="center"/>
              <w:rPr>
                <w:sz w:val="13"/>
              </w:rPr>
            </w:pPr>
            <w:r>
              <w:rPr>
                <w:color w:val="231F20"/>
                <w:sz w:val="13"/>
              </w:rPr>
              <w:t>6.5.1.b</w:t>
            </w:r>
          </w:p>
        </w:tc>
        <w:tc>
          <w:tcPr>
            <w:tcW w:w="4919" w:type="dxa"/>
            <w:gridSpan w:val="2"/>
            <w:tcBorders>
              <w:top w:val="single" w:sz="6" w:space="0" w:color="231F20"/>
              <w:left w:val="single" w:sz="6" w:space="0" w:color="231F20"/>
              <w:bottom w:val="single" w:sz="6" w:space="0" w:color="231F20"/>
              <w:right w:val="single" w:sz="6" w:space="0" w:color="231F20"/>
            </w:tcBorders>
          </w:tcPr>
          <w:p w14:paraId="2C73DEA5" w14:textId="77777777" w:rsidR="009948F1" w:rsidRDefault="009948F1">
            <w:pPr>
              <w:pStyle w:val="TableParagraph"/>
              <w:spacing w:before="5"/>
              <w:rPr>
                <w:sz w:val="16"/>
              </w:rPr>
            </w:pPr>
          </w:p>
          <w:p w14:paraId="74311ECE" w14:textId="2A3B6535" w:rsidR="009948F1" w:rsidRDefault="00BC0563">
            <w:pPr>
              <w:pStyle w:val="TableParagraph"/>
              <w:ind w:left="24"/>
              <w:rPr>
                <w:sz w:val="13"/>
              </w:rPr>
            </w:pPr>
            <w:r>
              <w:rPr>
                <w:color w:val="231F20"/>
                <w:w w:val="95"/>
                <w:sz w:val="13"/>
              </w:rPr>
              <w:t>Conduct</w:t>
            </w:r>
            <w:r>
              <w:rPr>
                <w:color w:val="231F20"/>
                <w:spacing w:val="-13"/>
                <w:w w:val="95"/>
                <w:sz w:val="13"/>
              </w:rPr>
              <w:t xml:space="preserve"> </w:t>
            </w:r>
            <w:r>
              <w:rPr>
                <w:color w:val="231F20"/>
                <w:w w:val="95"/>
                <w:sz w:val="13"/>
              </w:rPr>
              <w:t>periodic</w:t>
            </w:r>
            <w:r>
              <w:rPr>
                <w:color w:val="231F20"/>
                <w:spacing w:val="-13"/>
                <w:w w:val="95"/>
                <w:sz w:val="13"/>
              </w:rPr>
              <w:t xml:space="preserve"> </w:t>
            </w:r>
            <w:r>
              <w:rPr>
                <w:color w:val="231F20"/>
                <w:w w:val="95"/>
                <w:sz w:val="13"/>
              </w:rPr>
              <w:t>training</w:t>
            </w:r>
            <w:r>
              <w:rPr>
                <w:color w:val="231F20"/>
                <w:spacing w:val="-13"/>
                <w:w w:val="95"/>
                <w:sz w:val="13"/>
              </w:rPr>
              <w:t xml:space="preserve"> </w:t>
            </w:r>
            <w:r>
              <w:rPr>
                <w:color w:val="231F20"/>
                <w:w w:val="95"/>
                <w:sz w:val="13"/>
              </w:rPr>
              <w:t>&amp;</w:t>
            </w:r>
            <w:r>
              <w:rPr>
                <w:color w:val="231F20"/>
                <w:spacing w:val="-12"/>
                <w:w w:val="95"/>
                <w:sz w:val="13"/>
              </w:rPr>
              <w:t xml:space="preserve"> </w:t>
            </w:r>
            <w:r>
              <w:rPr>
                <w:color w:val="231F20"/>
                <w:w w:val="95"/>
                <w:sz w:val="13"/>
              </w:rPr>
              <w:t>re-training</w:t>
            </w:r>
            <w:r>
              <w:rPr>
                <w:color w:val="231F20"/>
                <w:spacing w:val="-13"/>
                <w:w w:val="95"/>
                <w:sz w:val="13"/>
              </w:rPr>
              <w:t xml:space="preserve"> </w:t>
            </w:r>
            <w:r>
              <w:rPr>
                <w:color w:val="231F20"/>
                <w:w w:val="95"/>
                <w:sz w:val="13"/>
              </w:rPr>
              <w:t>workshops</w:t>
            </w:r>
            <w:r>
              <w:rPr>
                <w:color w:val="231F20"/>
                <w:spacing w:val="-13"/>
                <w:w w:val="95"/>
                <w:sz w:val="13"/>
              </w:rPr>
              <w:t xml:space="preserve"> </w:t>
            </w:r>
            <w:r>
              <w:rPr>
                <w:color w:val="231F20"/>
                <w:w w:val="95"/>
                <w:sz w:val="13"/>
              </w:rPr>
              <w:t>for</w:t>
            </w:r>
            <w:r>
              <w:rPr>
                <w:color w:val="231F20"/>
                <w:spacing w:val="-12"/>
                <w:w w:val="95"/>
                <w:sz w:val="13"/>
              </w:rPr>
              <w:t xml:space="preserve"> </w:t>
            </w:r>
            <w:r>
              <w:rPr>
                <w:color w:val="231F20"/>
                <w:w w:val="95"/>
                <w:sz w:val="13"/>
              </w:rPr>
              <w:t>eye</w:t>
            </w:r>
            <w:r>
              <w:rPr>
                <w:color w:val="231F20"/>
                <w:spacing w:val="-13"/>
                <w:w w:val="95"/>
                <w:sz w:val="13"/>
              </w:rPr>
              <w:t xml:space="preserve"> </w:t>
            </w:r>
            <w:r>
              <w:rPr>
                <w:color w:val="231F20"/>
                <w:w w:val="95"/>
                <w:sz w:val="13"/>
              </w:rPr>
              <w:t>care</w:t>
            </w:r>
            <w:r>
              <w:rPr>
                <w:color w:val="231F20"/>
                <w:spacing w:val="-13"/>
                <w:w w:val="95"/>
                <w:sz w:val="13"/>
              </w:rPr>
              <w:t xml:space="preserve"> </w:t>
            </w:r>
            <w:r>
              <w:rPr>
                <w:color w:val="231F20"/>
                <w:w w:val="95"/>
                <w:sz w:val="13"/>
              </w:rPr>
              <w:t>personnel</w:t>
            </w:r>
            <w:r>
              <w:rPr>
                <w:color w:val="231F20"/>
                <w:spacing w:val="-12"/>
                <w:w w:val="95"/>
                <w:sz w:val="13"/>
              </w:rPr>
              <w:t xml:space="preserve"> </w:t>
            </w:r>
            <w:r>
              <w:rPr>
                <w:color w:val="231F20"/>
                <w:w w:val="95"/>
                <w:sz w:val="13"/>
              </w:rPr>
              <w:t>of</w:t>
            </w:r>
            <w:r>
              <w:rPr>
                <w:color w:val="231F20"/>
                <w:spacing w:val="-13"/>
                <w:w w:val="95"/>
                <w:sz w:val="13"/>
              </w:rPr>
              <w:t xml:space="preserve"> </w:t>
            </w:r>
            <w:r>
              <w:rPr>
                <w:color w:val="231F20"/>
                <w:w w:val="95"/>
                <w:sz w:val="13"/>
              </w:rPr>
              <w:t>eye</w:t>
            </w:r>
            <w:r>
              <w:rPr>
                <w:color w:val="231F20"/>
                <w:spacing w:val="-13"/>
                <w:w w:val="95"/>
                <w:sz w:val="13"/>
              </w:rPr>
              <w:t xml:space="preserve"> </w:t>
            </w:r>
            <w:r>
              <w:rPr>
                <w:color w:val="231F20"/>
                <w:w w:val="95"/>
                <w:sz w:val="13"/>
              </w:rPr>
              <w:t>care</w:t>
            </w:r>
            <w:r>
              <w:rPr>
                <w:color w:val="231F20"/>
                <w:spacing w:val="-12"/>
                <w:w w:val="95"/>
                <w:sz w:val="13"/>
              </w:rPr>
              <w:t xml:space="preserve"> </w:t>
            </w:r>
            <w:r w:rsidR="00FB089D">
              <w:rPr>
                <w:color w:val="231F20"/>
                <w:w w:val="95"/>
                <w:sz w:val="13"/>
              </w:rPr>
              <w:t>services</w:t>
            </w:r>
          </w:p>
        </w:tc>
        <w:tc>
          <w:tcPr>
            <w:tcW w:w="1432" w:type="dxa"/>
            <w:tcBorders>
              <w:top w:val="single" w:sz="6" w:space="0" w:color="231F20"/>
              <w:left w:val="single" w:sz="6" w:space="0" w:color="231F20"/>
              <w:bottom w:val="single" w:sz="6" w:space="0" w:color="231F20"/>
              <w:right w:val="single" w:sz="6" w:space="0" w:color="231F20"/>
            </w:tcBorders>
          </w:tcPr>
          <w:p w14:paraId="1B77ADE3" w14:textId="77777777" w:rsidR="009948F1" w:rsidRDefault="009948F1">
            <w:pPr>
              <w:pStyle w:val="TableParagraph"/>
              <w:spacing w:before="11"/>
              <w:rPr>
                <w:sz w:val="16"/>
              </w:rPr>
            </w:pPr>
          </w:p>
          <w:p w14:paraId="5956AA6A"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6CD49340" w14:textId="77777777" w:rsidR="009948F1" w:rsidRDefault="009948F1">
            <w:pPr>
              <w:pStyle w:val="TableParagraph"/>
              <w:spacing w:before="11"/>
              <w:rPr>
                <w:sz w:val="16"/>
              </w:rPr>
            </w:pPr>
          </w:p>
          <w:p w14:paraId="3221E9EC" w14:textId="77777777" w:rsidR="009948F1" w:rsidRDefault="00BC0563">
            <w:pPr>
              <w:pStyle w:val="TableParagraph"/>
              <w:ind w:left="25"/>
              <w:rPr>
                <w:sz w:val="13"/>
              </w:rPr>
            </w:pPr>
            <w:r>
              <w:rPr>
                <w:color w:val="231F20"/>
                <w:w w:val="95"/>
                <w:sz w:val="13"/>
              </w:rPr>
              <w:t>Conduct training workshop</w:t>
            </w:r>
          </w:p>
        </w:tc>
      </w:tr>
      <w:tr w:rsidR="009948F1" w14:paraId="22097C20" w14:textId="77777777">
        <w:trPr>
          <w:trHeight w:val="829"/>
        </w:trPr>
        <w:tc>
          <w:tcPr>
            <w:tcW w:w="412" w:type="dxa"/>
            <w:tcBorders>
              <w:top w:val="nil"/>
              <w:bottom w:val="nil"/>
              <w:right w:val="single" w:sz="6" w:space="0" w:color="231F20"/>
            </w:tcBorders>
          </w:tcPr>
          <w:p w14:paraId="609283C7" w14:textId="77777777" w:rsidR="009948F1" w:rsidRDefault="009948F1">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4" w:space="0" w:color="231F20"/>
            </w:tcBorders>
            <w:shd w:val="clear" w:color="auto" w:fill="CCE7D3"/>
          </w:tcPr>
          <w:p w14:paraId="6FD66632" w14:textId="77777777" w:rsidR="009948F1" w:rsidRDefault="009948F1">
            <w:pPr>
              <w:pStyle w:val="TableParagraph"/>
              <w:rPr>
                <w:sz w:val="14"/>
              </w:rPr>
            </w:pPr>
          </w:p>
          <w:p w14:paraId="0F1B8481" w14:textId="77777777" w:rsidR="009948F1" w:rsidRDefault="009948F1">
            <w:pPr>
              <w:pStyle w:val="TableParagraph"/>
              <w:spacing w:before="3"/>
              <w:rPr>
                <w:sz w:val="15"/>
              </w:rPr>
            </w:pPr>
          </w:p>
          <w:p w14:paraId="2DB6F18D" w14:textId="77777777" w:rsidR="009948F1" w:rsidRDefault="00BC0563">
            <w:pPr>
              <w:pStyle w:val="TableParagraph"/>
              <w:spacing w:before="1"/>
              <w:ind w:left="57"/>
              <w:rPr>
                <w:sz w:val="13"/>
              </w:rPr>
            </w:pPr>
            <w:r>
              <w:rPr>
                <w:color w:val="231F20"/>
                <w:sz w:val="13"/>
              </w:rPr>
              <w:t>6.5.2</w:t>
            </w:r>
          </w:p>
        </w:tc>
        <w:tc>
          <w:tcPr>
            <w:tcW w:w="3051" w:type="dxa"/>
            <w:gridSpan w:val="2"/>
            <w:tcBorders>
              <w:top w:val="single" w:sz="6" w:space="0" w:color="231F20"/>
              <w:left w:val="single" w:sz="4" w:space="0" w:color="231F20"/>
              <w:bottom w:val="single" w:sz="6" w:space="0" w:color="231F20"/>
              <w:right w:val="single" w:sz="6" w:space="0" w:color="231F20"/>
            </w:tcBorders>
            <w:shd w:val="clear" w:color="auto" w:fill="CCE7D3"/>
          </w:tcPr>
          <w:p w14:paraId="5E5D79E6" w14:textId="77777777" w:rsidR="009948F1" w:rsidRDefault="009948F1">
            <w:pPr>
              <w:pStyle w:val="TableParagraph"/>
              <w:spacing w:before="2"/>
              <w:rPr>
                <w:sz w:val="14"/>
              </w:rPr>
            </w:pPr>
          </w:p>
          <w:p w14:paraId="431A57ED" w14:textId="77777777" w:rsidR="009948F1" w:rsidRDefault="00BC0563">
            <w:pPr>
              <w:pStyle w:val="TableParagraph"/>
              <w:spacing w:line="271" w:lineRule="auto"/>
              <w:ind w:left="26" w:right="98" w:firstLine="33"/>
              <w:rPr>
                <w:sz w:val="13"/>
              </w:rPr>
            </w:pPr>
            <w:r>
              <w:rPr>
                <w:color w:val="231F20"/>
                <w:w w:val="95"/>
                <w:sz w:val="13"/>
              </w:rPr>
              <w:t>Promote</w:t>
            </w:r>
            <w:r>
              <w:rPr>
                <w:color w:val="231F20"/>
                <w:spacing w:val="-14"/>
                <w:w w:val="95"/>
                <w:sz w:val="13"/>
              </w:rPr>
              <w:t xml:space="preserve"> </w:t>
            </w:r>
            <w:r>
              <w:rPr>
                <w:color w:val="231F20"/>
                <w:w w:val="95"/>
                <w:sz w:val="13"/>
              </w:rPr>
              <w:t>the</w:t>
            </w:r>
            <w:r>
              <w:rPr>
                <w:color w:val="231F20"/>
                <w:spacing w:val="-14"/>
                <w:w w:val="95"/>
                <w:sz w:val="13"/>
              </w:rPr>
              <w:t xml:space="preserve"> </w:t>
            </w:r>
            <w:r>
              <w:rPr>
                <w:color w:val="231F20"/>
                <w:w w:val="95"/>
                <w:sz w:val="13"/>
              </w:rPr>
              <w:t>development</w:t>
            </w:r>
            <w:r>
              <w:rPr>
                <w:color w:val="231F20"/>
                <w:spacing w:val="-14"/>
                <w:w w:val="95"/>
                <w:sz w:val="13"/>
              </w:rPr>
              <w:t xml:space="preserve"> </w:t>
            </w:r>
            <w:r>
              <w:rPr>
                <w:color w:val="231F20"/>
                <w:w w:val="95"/>
                <w:sz w:val="13"/>
              </w:rPr>
              <w:t>of</w:t>
            </w:r>
            <w:r>
              <w:rPr>
                <w:color w:val="231F20"/>
                <w:spacing w:val="7"/>
                <w:w w:val="95"/>
                <w:sz w:val="13"/>
              </w:rPr>
              <w:t xml:space="preserve"> </w:t>
            </w:r>
            <w:r>
              <w:rPr>
                <w:color w:val="231F20"/>
                <w:w w:val="95"/>
                <w:sz w:val="13"/>
              </w:rPr>
              <w:t>health</w:t>
            </w:r>
            <w:r>
              <w:rPr>
                <w:color w:val="231F20"/>
                <w:spacing w:val="-14"/>
                <w:w w:val="95"/>
                <w:sz w:val="13"/>
              </w:rPr>
              <w:t xml:space="preserve"> </w:t>
            </w:r>
            <w:r>
              <w:rPr>
                <w:color w:val="231F20"/>
                <w:w w:val="95"/>
                <w:sz w:val="13"/>
              </w:rPr>
              <w:t>plans</w:t>
            </w:r>
            <w:r>
              <w:rPr>
                <w:color w:val="231F20"/>
                <w:spacing w:val="-14"/>
                <w:w w:val="95"/>
                <w:sz w:val="13"/>
              </w:rPr>
              <w:t xml:space="preserve"> </w:t>
            </w:r>
            <w:r>
              <w:rPr>
                <w:color w:val="231F20"/>
                <w:w w:val="95"/>
                <w:sz w:val="13"/>
              </w:rPr>
              <w:t>and</w:t>
            </w:r>
            <w:r>
              <w:rPr>
                <w:color w:val="231F20"/>
                <w:spacing w:val="-14"/>
                <w:w w:val="95"/>
                <w:sz w:val="13"/>
              </w:rPr>
              <w:t xml:space="preserve"> </w:t>
            </w:r>
            <w:r>
              <w:rPr>
                <w:color w:val="231F20"/>
                <w:w w:val="95"/>
                <w:sz w:val="13"/>
              </w:rPr>
              <w:t xml:space="preserve">policies </w:t>
            </w:r>
            <w:r>
              <w:rPr>
                <w:color w:val="231F20"/>
                <w:sz w:val="13"/>
              </w:rPr>
              <w:t>at</w:t>
            </w:r>
            <w:r>
              <w:rPr>
                <w:color w:val="231F20"/>
                <w:spacing w:val="-22"/>
                <w:sz w:val="13"/>
              </w:rPr>
              <w:t xml:space="preserve"> </w:t>
            </w:r>
            <w:r>
              <w:rPr>
                <w:color w:val="231F20"/>
                <w:sz w:val="13"/>
              </w:rPr>
              <w:t>all</w:t>
            </w:r>
            <w:r>
              <w:rPr>
                <w:color w:val="231F20"/>
                <w:spacing w:val="-22"/>
                <w:sz w:val="13"/>
              </w:rPr>
              <w:t xml:space="preserve"> </w:t>
            </w:r>
            <w:r>
              <w:rPr>
                <w:color w:val="231F20"/>
                <w:sz w:val="13"/>
              </w:rPr>
              <w:t>levels</w:t>
            </w:r>
            <w:r>
              <w:rPr>
                <w:color w:val="231F20"/>
                <w:spacing w:val="-22"/>
                <w:sz w:val="13"/>
              </w:rPr>
              <w:t xml:space="preserve"> </w:t>
            </w:r>
            <w:r>
              <w:rPr>
                <w:color w:val="231F20"/>
                <w:sz w:val="13"/>
              </w:rPr>
              <w:t>to</w:t>
            </w:r>
            <w:r>
              <w:rPr>
                <w:color w:val="231F20"/>
                <w:spacing w:val="-22"/>
                <w:sz w:val="13"/>
              </w:rPr>
              <w:t xml:space="preserve"> </w:t>
            </w:r>
            <w:r>
              <w:rPr>
                <w:color w:val="231F20"/>
                <w:sz w:val="13"/>
              </w:rPr>
              <w:t>be</w:t>
            </w:r>
            <w:r>
              <w:rPr>
                <w:color w:val="231F20"/>
                <w:spacing w:val="-21"/>
                <w:sz w:val="13"/>
              </w:rPr>
              <w:t xml:space="preserve"> </w:t>
            </w:r>
            <w:r>
              <w:rPr>
                <w:color w:val="231F20"/>
                <w:sz w:val="13"/>
              </w:rPr>
              <w:t>in</w:t>
            </w:r>
            <w:r>
              <w:rPr>
                <w:color w:val="231F20"/>
                <w:spacing w:val="-22"/>
                <w:sz w:val="13"/>
              </w:rPr>
              <w:t xml:space="preserve"> </w:t>
            </w:r>
            <w:r>
              <w:rPr>
                <w:color w:val="231F20"/>
                <w:sz w:val="13"/>
              </w:rPr>
              <w:t>consonance</w:t>
            </w:r>
            <w:r>
              <w:rPr>
                <w:color w:val="231F20"/>
                <w:spacing w:val="-22"/>
                <w:sz w:val="13"/>
              </w:rPr>
              <w:t xml:space="preserve"> </w:t>
            </w:r>
            <w:r>
              <w:rPr>
                <w:color w:val="231F20"/>
                <w:sz w:val="13"/>
              </w:rPr>
              <w:t>with</w:t>
            </w:r>
            <w:r>
              <w:rPr>
                <w:color w:val="231F20"/>
                <w:spacing w:val="-22"/>
                <w:sz w:val="13"/>
              </w:rPr>
              <w:t xml:space="preserve"> </w:t>
            </w:r>
            <w:r>
              <w:rPr>
                <w:color w:val="231F20"/>
                <w:sz w:val="13"/>
              </w:rPr>
              <w:t>the</w:t>
            </w:r>
            <w:r>
              <w:rPr>
                <w:color w:val="231F20"/>
                <w:spacing w:val="-22"/>
                <w:sz w:val="13"/>
              </w:rPr>
              <w:t xml:space="preserve"> </w:t>
            </w:r>
            <w:r>
              <w:rPr>
                <w:color w:val="231F20"/>
                <w:sz w:val="13"/>
              </w:rPr>
              <w:t>WHO</w:t>
            </w:r>
            <w:r>
              <w:rPr>
                <w:color w:val="231F20"/>
                <w:spacing w:val="-21"/>
                <w:sz w:val="13"/>
              </w:rPr>
              <w:t xml:space="preserve"> </w:t>
            </w:r>
            <w:r>
              <w:rPr>
                <w:color w:val="231F20"/>
                <w:sz w:val="13"/>
              </w:rPr>
              <w:t>Global Eye</w:t>
            </w:r>
            <w:r>
              <w:rPr>
                <w:color w:val="231F20"/>
                <w:spacing w:val="-8"/>
                <w:sz w:val="13"/>
              </w:rPr>
              <w:t xml:space="preserve"> </w:t>
            </w:r>
            <w:r>
              <w:rPr>
                <w:color w:val="231F20"/>
                <w:sz w:val="13"/>
              </w:rPr>
              <w:t>Health</w:t>
            </w:r>
            <w:r>
              <w:rPr>
                <w:color w:val="231F20"/>
                <w:spacing w:val="-13"/>
                <w:sz w:val="13"/>
              </w:rPr>
              <w:t xml:space="preserve"> </w:t>
            </w:r>
            <w:r>
              <w:rPr>
                <w:color w:val="231F20"/>
                <w:sz w:val="13"/>
              </w:rPr>
              <w:t>Action</w:t>
            </w:r>
            <w:r>
              <w:rPr>
                <w:color w:val="231F20"/>
                <w:spacing w:val="-7"/>
                <w:sz w:val="13"/>
              </w:rPr>
              <w:t xml:space="preserve"> </w:t>
            </w:r>
            <w:r>
              <w:rPr>
                <w:color w:val="231F20"/>
                <w:sz w:val="13"/>
              </w:rPr>
              <w:t>Plan</w:t>
            </w:r>
            <w:r>
              <w:rPr>
                <w:color w:val="231F20"/>
                <w:spacing w:val="-7"/>
                <w:sz w:val="13"/>
              </w:rPr>
              <w:t xml:space="preserve"> </w:t>
            </w:r>
            <w:r>
              <w:rPr>
                <w:color w:val="231F20"/>
                <w:sz w:val="13"/>
              </w:rPr>
              <w:t>2014</w:t>
            </w:r>
            <w:r>
              <w:rPr>
                <w:color w:val="231F20"/>
                <w:spacing w:val="-8"/>
                <w:sz w:val="13"/>
              </w:rPr>
              <w:t xml:space="preserve"> </w:t>
            </w:r>
            <w:r>
              <w:rPr>
                <w:color w:val="231F20"/>
                <w:sz w:val="13"/>
              </w:rPr>
              <w:t>-</w:t>
            </w:r>
            <w:r>
              <w:rPr>
                <w:color w:val="231F20"/>
                <w:spacing w:val="-7"/>
                <w:sz w:val="13"/>
              </w:rPr>
              <w:t xml:space="preserve"> </w:t>
            </w:r>
            <w:r>
              <w:rPr>
                <w:color w:val="231F20"/>
                <w:sz w:val="13"/>
              </w:rPr>
              <w:t>2019</w:t>
            </w:r>
          </w:p>
        </w:tc>
        <w:tc>
          <w:tcPr>
            <w:tcW w:w="2396" w:type="dxa"/>
            <w:tcBorders>
              <w:top w:val="single" w:sz="6" w:space="0" w:color="231F20"/>
              <w:left w:val="single" w:sz="6" w:space="0" w:color="231F20"/>
              <w:bottom w:val="single" w:sz="6" w:space="0" w:color="231F20"/>
              <w:right w:val="single" w:sz="6" w:space="0" w:color="231F20"/>
            </w:tcBorders>
            <w:shd w:val="clear" w:color="auto" w:fill="CCE7D3"/>
          </w:tcPr>
          <w:p w14:paraId="64AC0419" w14:textId="77777777" w:rsidR="009948F1" w:rsidRDefault="00BC0563">
            <w:pPr>
              <w:pStyle w:val="TableParagraph"/>
              <w:numPr>
                <w:ilvl w:val="0"/>
                <w:numId w:val="122"/>
              </w:numPr>
              <w:tabs>
                <w:tab w:val="left" w:pos="100"/>
              </w:tabs>
              <w:spacing w:before="84" w:line="271" w:lineRule="auto"/>
              <w:ind w:right="303" w:firstLine="0"/>
              <w:rPr>
                <w:sz w:val="13"/>
              </w:rPr>
            </w:pPr>
            <w:r>
              <w:rPr>
                <w:color w:val="231F20"/>
                <w:w w:val="95"/>
                <w:sz w:val="13"/>
              </w:rPr>
              <w:t>Eye</w:t>
            </w:r>
            <w:r>
              <w:rPr>
                <w:color w:val="231F20"/>
                <w:spacing w:val="-11"/>
                <w:w w:val="95"/>
                <w:sz w:val="13"/>
              </w:rPr>
              <w:t xml:space="preserve"> </w:t>
            </w:r>
            <w:r>
              <w:rPr>
                <w:color w:val="231F20"/>
                <w:w w:val="95"/>
                <w:sz w:val="13"/>
              </w:rPr>
              <w:t>plans</w:t>
            </w:r>
            <w:r>
              <w:rPr>
                <w:color w:val="231F20"/>
                <w:spacing w:val="-11"/>
                <w:w w:val="95"/>
                <w:sz w:val="13"/>
              </w:rPr>
              <w:t xml:space="preserve"> </w:t>
            </w:r>
            <w:r>
              <w:rPr>
                <w:color w:val="231F20"/>
                <w:w w:val="95"/>
                <w:sz w:val="13"/>
              </w:rPr>
              <w:t>&amp;</w:t>
            </w:r>
            <w:r>
              <w:rPr>
                <w:color w:val="231F20"/>
                <w:spacing w:val="-10"/>
                <w:w w:val="95"/>
                <w:sz w:val="13"/>
              </w:rPr>
              <w:t xml:space="preserve"> </w:t>
            </w:r>
            <w:r>
              <w:rPr>
                <w:color w:val="231F20"/>
                <w:w w:val="95"/>
                <w:sz w:val="13"/>
              </w:rPr>
              <w:t>policies</w:t>
            </w:r>
            <w:r>
              <w:rPr>
                <w:color w:val="231F20"/>
                <w:spacing w:val="-11"/>
                <w:w w:val="95"/>
                <w:sz w:val="13"/>
              </w:rPr>
              <w:t xml:space="preserve"> </w:t>
            </w:r>
            <w:r>
              <w:rPr>
                <w:color w:val="231F20"/>
                <w:w w:val="95"/>
                <w:sz w:val="13"/>
              </w:rPr>
              <w:t>developed</w:t>
            </w:r>
            <w:r>
              <w:rPr>
                <w:color w:val="231F20"/>
                <w:spacing w:val="-10"/>
                <w:w w:val="95"/>
                <w:sz w:val="13"/>
              </w:rPr>
              <w:t xml:space="preserve"> </w:t>
            </w:r>
            <w:r>
              <w:rPr>
                <w:color w:val="231F20"/>
                <w:w w:val="95"/>
                <w:sz w:val="13"/>
              </w:rPr>
              <w:t>for</w:t>
            </w:r>
            <w:r>
              <w:rPr>
                <w:color w:val="231F20"/>
                <w:spacing w:val="-11"/>
                <w:w w:val="95"/>
                <w:sz w:val="13"/>
              </w:rPr>
              <w:t xml:space="preserve"> </w:t>
            </w:r>
            <w:r>
              <w:rPr>
                <w:color w:val="231F20"/>
                <w:spacing w:val="-6"/>
                <w:w w:val="95"/>
                <w:sz w:val="13"/>
              </w:rPr>
              <w:t xml:space="preserve">all </w:t>
            </w:r>
            <w:r>
              <w:rPr>
                <w:color w:val="231F20"/>
                <w:sz w:val="13"/>
              </w:rPr>
              <w:t>levels</w:t>
            </w:r>
          </w:p>
          <w:p w14:paraId="36262D97" w14:textId="77777777" w:rsidR="009948F1" w:rsidRDefault="00BC0563">
            <w:pPr>
              <w:pStyle w:val="TableParagraph"/>
              <w:spacing w:line="148" w:lineRule="exact"/>
              <w:ind w:left="24"/>
              <w:rPr>
                <w:sz w:val="13"/>
              </w:rPr>
            </w:pPr>
            <w:r>
              <w:rPr>
                <w:color w:val="231F20"/>
                <w:w w:val="91"/>
                <w:sz w:val="13"/>
              </w:rPr>
              <w:t>•</w:t>
            </w:r>
          </w:p>
          <w:p w14:paraId="71AFD304" w14:textId="77777777" w:rsidR="009948F1" w:rsidRDefault="00BC0563">
            <w:pPr>
              <w:pStyle w:val="TableParagraph"/>
              <w:spacing w:before="19"/>
              <w:ind w:left="24"/>
              <w:rPr>
                <w:sz w:val="13"/>
              </w:rPr>
            </w:pPr>
            <w:r>
              <w:rPr>
                <w:color w:val="231F20"/>
                <w:w w:val="91"/>
                <w:sz w:val="13"/>
              </w:rPr>
              <w:t>•</w:t>
            </w:r>
          </w:p>
        </w:tc>
        <w:tc>
          <w:tcPr>
            <w:tcW w:w="1432" w:type="dxa"/>
            <w:tcBorders>
              <w:top w:val="single" w:sz="6" w:space="0" w:color="231F20"/>
              <w:left w:val="single" w:sz="6" w:space="0" w:color="231F20"/>
              <w:bottom w:val="single" w:sz="6" w:space="0" w:color="231F20"/>
              <w:right w:val="single" w:sz="6" w:space="0" w:color="231F20"/>
            </w:tcBorders>
            <w:shd w:val="clear" w:color="auto" w:fill="CCE7D3"/>
          </w:tcPr>
          <w:p w14:paraId="013F4681" w14:textId="77777777" w:rsidR="009948F1" w:rsidRDefault="009948F1">
            <w:pPr>
              <w:pStyle w:val="TableParagraph"/>
              <w:rPr>
                <w:rFonts w:ascii="Times New Roman"/>
                <w:sz w:val="10"/>
              </w:rPr>
            </w:pPr>
          </w:p>
        </w:tc>
        <w:tc>
          <w:tcPr>
            <w:tcW w:w="1512" w:type="dxa"/>
            <w:tcBorders>
              <w:top w:val="single" w:sz="6" w:space="0" w:color="231F20"/>
              <w:left w:val="single" w:sz="6" w:space="0" w:color="231F20"/>
              <w:bottom w:val="single" w:sz="6" w:space="0" w:color="231F20"/>
              <w:right w:val="single" w:sz="6" w:space="0" w:color="231F20"/>
            </w:tcBorders>
            <w:shd w:val="clear" w:color="auto" w:fill="CCE7D3"/>
          </w:tcPr>
          <w:p w14:paraId="738074B0" w14:textId="77777777" w:rsidR="009948F1" w:rsidRDefault="009948F1">
            <w:pPr>
              <w:pStyle w:val="TableParagraph"/>
              <w:rPr>
                <w:rFonts w:ascii="Times New Roman"/>
                <w:sz w:val="10"/>
              </w:rPr>
            </w:pPr>
          </w:p>
        </w:tc>
      </w:tr>
      <w:tr w:rsidR="009948F1" w14:paraId="7B56FF43" w14:textId="77777777">
        <w:trPr>
          <w:trHeight w:val="546"/>
        </w:trPr>
        <w:tc>
          <w:tcPr>
            <w:tcW w:w="870" w:type="dxa"/>
            <w:gridSpan w:val="2"/>
            <w:vMerge w:val="restart"/>
            <w:tcBorders>
              <w:top w:val="nil"/>
              <w:bottom w:val="nil"/>
              <w:right w:val="single" w:sz="4" w:space="0" w:color="231F20"/>
            </w:tcBorders>
          </w:tcPr>
          <w:p w14:paraId="60EBA420" w14:textId="77777777" w:rsidR="009948F1" w:rsidRDefault="009948F1">
            <w:pPr>
              <w:pStyle w:val="TableParagraph"/>
              <w:rPr>
                <w:rFonts w:ascii="Times New Roman"/>
                <w:sz w:val="10"/>
              </w:rPr>
            </w:pPr>
          </w:p>
        </w:tc>
        <w:tc>
          <w:tcPr>
            <w:tcW w:w="528" w:type="dxa"/>
            <w:tcBorders>
              <w:top w:val="single" w:sz="6" w:space="0" w:color="231F20"/>
              <w:left w:val="single" w:sz="4" w:space="0" w:color="231F20"/>
              <w:bottom w:val="single" w:sz="6" w:space="0" w:color="231F20"/>
              <w:right w:val="single" w:sz="6" w:space="0" w:color="231F20"/>
            </w:tcBorders>
          </w:tcPr>
          <w:p w14:paraId="4B044AEC" w14:textId="77777777" w:rsidR="009948F1" w:rsidRDefault="009948F1">
            <w:pPr>
              <w:pStyle w:val="TableParagraph"/>
              <w:spacing w:before="11"/>
              <w:rPr>
                <w:sz w:val="16"/>
              </w:rPr>
            </w:pPr>
          </w:p>
          <w:p w14:paraId="7EBB1DC4" w14:textId="77777777" w:rsidR="009948F1" w:rsidRDefault="00BC0563">
            <w:pPr>
              <w:pStyle w:val="TableParagraph"/>
              <w:ind w:left="48" w:right="28"/>
              <w:jc w:val="center"/>
              <w:rPr>
                <w:sz w:val="13"/>
              </w:rPr>
            </w:pPr>
            <w:r>
              <w:rPr>
                <w:color w:val="231F20"/>
                <w:sz w:val="13"/>
              </w:rPr>
              <w:t>6.5.2.a</w:t>
            </w:r>
          </w:p>
        </w:tc>
        <w:tc>
          <w:tcPr>
            <w:tcW w:w="4919" w:type="dxa"/>
            <w:gridSpan w:val="2"/>
            <w:tcBorders>
              <w:top w:val="single" w:sz="6" w:space="0" w:color="231F20"/>
              <w:left w:val="single" w:sz="6" w:space="0" w:color="231F20"/>
              <w:bottom w:val="single" w:sz="6" w:space="0" w:color="231F20"/>
              <w:right w:val="single" w:sz="6" w:space="0" w:color="231F20"/>
            </w:tcBorders>
          </w:tcPr>
          <w:p w14:paraId="6B71E6D4" w14:textId="77777777" w:rsidR="009948F1" w:rsidRDefault="00BC0563">
            <w:pPr>
              <w:pStyle w:val="TableParagraph"/>
              <w:spacing w:before="106" w:line="271" w:lineRule="auto"/>
              <w:ind w:left="24" w:right="303"/>
              <w:rPr>
                <w:sz w:val="13"/>
              </w:rPr>
            </w:pPr>
            <w:r>
              <w:rPr>
                <w:color w:val="231F20"/>
                <w:w w:val="95"/>
                <w:sz w:val="13"/>
              </w:rPr>
              <w:t>Conduct</w:t>
            </w:r>
            <w:r>
              <w:rPr>
                <w:color w:val="231F20"/>
                <w:spacing w:val="-12"/>
                <w:w w:val="95"/>
                <w:sz w:val="13"/>
              </w:rPr>
              <w:t xml:space="preserve"> </w:t>
            </w:r>
            <w:r>
              <w:rPr>
                <w:color w:val="231F20"/>
                <w:w w:val="95"/>
                <w:sz w:val="13"/>
              </w:rPr>
              <w:t>workshop</w:t>
            </w:r>
            <w:r>
              <w:rPr>
                <w:color w:val="231F20"/>
                <w:spacing w:val="-11"/>
                <w:w w:val="95"/>
                <w:sz w:val="13"/>
              </w:rPr>
              <w:t xml:space="preserve"> </w:t>
            </w:r>
            <w:r>
              <w:rPr>
                <w:color w:val="231F20"/>
                <w:w w:val="95"/>
                <w:sz w:val="13"/>
              </w:rPr>
              <w:t>to</w:t>
            </w:r>
            <w:r>
              <w:rPr>
                <w:color w:val="231F20"/>
                <w:spacing w:val="-11"/>
                <w:w w:val="95"/>
                <w:sz w:val="13"/>
              </w:rPr>
              <w:t xml:space="preserve"> </w:t>
            </w:r>
            <w:r>
              <w:rPr>
                <w:color w:val="231F20"/>
                <w:w w:val="95"/>
                <w:sz w:val="13"/>
              </w:rPr>
              <w:t>develop</w:t>
            </w:r>
            <w:r>
              <w:rPr>
                <w:color w:val="231F20"/>
                <w:spacing w:val="-11"/>
                <w:w w:val="95"/>
                <w:sz w:val="13"/>
              </w:rPr>
              <w:t xml:space="preserve"> </w:t>
            </w:r>
            <w:r>
              <w:rPr>
                <w:color w:val="231F20"/>
                <w:w w:val="95"/>
                <w:sz w:val="13"/>
              </w:rPr>
              <w:t>eye</w:t>
            </w:r>
            <w:r>
              <w:rPr>
                <w:color w:val="231F20"/>
                <w:spacing w:val="-11"/>
                <w:w w:val="95"/>
                <w:sz w:val="13"/>
              </w:rPr>
              <w:t xml:space="preserve"> </w:t>
            </w:r>
            <w:r>
              <w:rPr>
                <w:color w:val="231F20"/>
                <w:w w:val="95"/>
                <w:sz w:val="13"/>
              </w:rPr>
              <w:t>plans</w:t>
            </w:r>
            <w:r>
              <w:rPr>
                <w:color w:val="231F20"/>
                <w:spacing w:val="-11"/>
                <w:w w:val="95"/>
                <w:sz w:val="13"/>
              </w:rPr>
              <w:t xml:space="preserve"> </w:t>
            </w:r>
            <w:r>
              <w:rPr>
                <w:color w:val="231F20"/>
                <w:w w:val="95"/>
                <w:sz w:val="13"/>
              </w:rPr>
              <w:t>&amp;</w:t>
            </w:r>
            <w:r>
              <w:rPr>
                <w:color w:val="231F20"/>
                <w:spacing w:val="-11"/>
                <w:w w:val="95"/>
                <w:sz w:val="13"/>
              </w:rPr>
              <w:t xml:space="preserve"> </w:t>
            </w:r>
            <w:r>
              <w:rPr>
                <w:color w:val="231F20"/>
                <w:w w:val="95"/>
                <w:sz w:val="13"/>
              </w:rPr>
              <w:t>policies</w:t>
            </w:r>
            <w:r>
              <w:rPr>
                <w:color w:val="231F20"/>
                <w:spacing w:val="-11"/>
                <w:w w:val="95"/>
                <w:sz w:val="13"/>
              </w:rPr>
              <w:t xml:space="preserve"> </w:t>
            </w:r>
            <w:r>
              <w:rPr>
                <w:color w:val="231F20"/>
                <w:w w:val="95"/>
                <w:sz w:val="13"/>
              </w:rPr>
              <w:t>for</w:t>
            </w:r>
            <w:r>
              <w:rPr>
                <w:color w:val="231F20"/>
                <w:spacing w:val="-11"/>
                <w:w w:val="95"/>
                <w:sz w:val="13"/>
              </w:rPr>
              <w:t xml:space="preserve"> </w:t>
            </w:r>
            <w:r>
              <w:rPr>
                <w:color w:val="231F20"/>
                <w:w w:val="95"/>
                <w:sz w:val="13"/>
              </w:rPr>
              <w:t>all</w:t>
            </w:r>
            <w:r>
              <w:rPr>
                <w:color w:val="231F20"/>
                <w:spacing w:val="-11"/>
                <w:w w:val="95"/>
                <w:sz w:val="13"/>
              </w:rPr>
              <w:t xml:space="preserve"> </w:t>
            </w:r>
            <w:r>
              <w:rPr>
                <w:color w:val="231F20"/>
                <w:w w:val="95"/>
                <w:sz w:val="13"/>
              </w:rPr>
              <w:t>levels</w:t>
            </w:r>
            <w:r>
              <w:rPr>
                <w:color w:val="231F20"/>
                <w:spacing w:val="-11"/>
                <w:w w:val="95"/>
                <w:sz w:val="13"/>
              </w:rPr>
              <w:t xml:space="preserve"> </w:t>
            </w:r>
            <w:r>
              <w:rPr>
                <w:color w:val="231F20"/>
                <w:w w:val="95"/>
                <w:sz w:val="13"/>
              </w:rPr>
              <w:t>in</w:t>
            </w:r>
            <w:r>
              <w:rPr>
                <w:color w:val="231F20"/>
                <w:spacing w:val="-11"/>
                <w:w w:val="95"/>
                <w:sz w:val="13"/>
              </w:rPr>
              <w:t xml:space="preserve"> </w:t>
            </w:r>
            <w:r>
              <w:rPr>
                <w:color w:val="231F20"/>
                <w:w w:val="95"/>
                <w:sz w:val="13"/>
              </w:rPr>
              <w:t>consonance</w:t>
            </w:r>
            <w:r>
              <w:rPr>
                <w:color w:val="231F20"/>
                <w:spacing w:val="-11"/>
                <w:w w:val="95"/>
                <w:sz w:val="13"/>
              </w:rPr>
              <w:t xml:space="preserve"> </w:t>
            </w:r>
            <w:r>
              <w:rPr>
                <w:color w:val="231F20"/>
                <w:w w:val="95"/>
                <w:sz w:val="13"/>
              </w:rPr>
              <w:t>with</w:t>
            </w:r>
            <w:r>
              <w:rPr>
                <w:color w:val="231F20"/>
                <w:spacing w:val="-12"/>
                <w:w w:val="95"/>
                <w:sz w:val="13"/>
              </w:rPr>
              <w:t xml:space="preserve"> </w:t>
            </w:r>
            <w:r>
              <w:rPr>
                <w:color w:val="231F20"/>
                <w:spacing w:val="-6"/>
                <w:w w:val="95"/>
                <w:sz w:val="13"/>
              </w:rPr>
              <w:t xml:space="preserve">the </w:t>
            </w:r>
            <w:r>
              <w:rPr>
                <w:color w:val="231F20"/>
                <w:sz w:val="13"/>
              </w:rPr>
              <w:t>WHO</w:t>
            </w:r>
            <w:r>
              <w:rPr>
                <w:color w:val="231F20"/>
                <w:spacing w:val="-7"/>
                <w:sz w:val="13"/>
              </w:rPr>
              <w:t xml:space="preserve"> </w:t>
            </w:r>
            <w:r>
              <w:rPr>
                <w:color w:val="231F20"/>
                <w:sz w:val="13"/>
              </w:rPr>
              <w:t>Global</w:t>
            </w:r>
            <w:r>
              <w:rPr>
                <w:color w:val="231F20"/>
                <w:spacing w:val="-6"/>
                <w:sz w:val="13"/>
              </w:rPr>
              <w:t xml:space="preserve"> </w:t>
            </w:r>
            <w:r>
              <w:rPr>
                <w:color w:val="231F20"/>
                <w:sz w:val="13"/>
              </w:rPr>
              <w:t>Eye</w:t>
            </w:r>
            <w:r>
              <w:rPr>
                <w:color w:val="231F20"/>
                <w:spacing w:val="-6"/>
                <w:sz w:val="13"/>
              </w:rPr>
              <w:t xml:space="preserve"> </w:t>
            </w:r>
            <w:r>
              <w:rPr>
                <w:color w:val="231F20"/>
                <w:sz w:val="13"/>
              </w:rPr>
              <w:t>Health</w:t>
            </w:r>
            <w:r>
              <w:rPr>
                <w:color w:val="231F20"/>
                <w:spacing w:val="-12"/>
                <w:sz w:val="13"/>
              </w:rPr>
              <w:t xml:space="preserve"> </w:t>
            </w:r>
            <w:r>
              <w:rPr>
                <w:color w:val="231F20"/>
                <w:sz w:val="13"/>
              </w:rPr>
              <w:t>Action</w:t>
            </w:r>
            <w:r>
              <w:rPr>
                <w:color w:val="231F20"/>
                <w:spacing w:val="-7"/>
                <w:sz w:val="13"/>
              </w:rPr>
              <w:t xml:space="preserve"> </w:t>
            </w:r>
            <w:r>
              <w:rPr>
                <w:color w:val="231F20"/>
                <w:sz w:val="13"/>
              </w:rPr>
              <w:t>Plan</w:t>
            </w:r>
            <w:r>
              <w:rPr>
                <w:color w:val="231F20"/>
                <w:spacing w:val="-6"/>
                <w:sz w:val="13"/>
              </w:rPr>
              <w:t xml:space="preserve"> </w:t>
            </w:r>
            <w:r>
              <w:rPr>
                <w:color w:val="231F20"/>
                <w:sz w:val="13"/>
              </w:rPr>
              <w:t>2014-2019</w:t>
            </w:r>
          </w:p>
        </w:tc>
        <w:tc>
          <w:tcPr>
            <w:tcW w:w="1432" w:type="dxa"/>
            <w:tcBorders>
              <w:top w:val="single" w:sz="6" w:space="0" w:color="231F20"/>
              <w:left w:val="single" w:sz="6" w:space="0" w:color="231F20"/>
              <w:bottom w:val="single" w:sz="6" w:space="0" w:color="231F20"/>
              <w:right w:val="single" w:sz="6" w:space="0" w:color="231F20"/>
            </w:tcBorders>
          </w:tcPr>
          <w:p w14:paraId="0BB15253" w14:textId="77777777" w:rsidR="009948F1" w:rsidRDefault="009948F1">
            <w:pPr>
              <w:pStyle w:val="TableParagraph"/>
              <w:spacing w:before="11"/>
              <w:rPr>
                <w:sz w:val="16"/>
              </w:rPr>
            </w:pPr>
          </w:p>
          <w:p w14:paraId="2CAFDEA5"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71FD2506" w14:textId="77777777" w:rsidR="009948F1" w:rsidRDefault="009948F1">
            <w:pPr>
              <w:pStyle w:val="TableParagraph"/>
              <w:spacing w:before="11"/>
              <w:rPr>
                <w:sz w:val="16"/>
              </w:rPr>
            </w:pPr>
          </w:p>
          <w:p w14:paraId="17824327" w14:textId="77777777" w:rsidR="009948F1" w:rsidRDefault="00BC0563">
            <w:pPr>
              <w:pStyle w:val="TableParagraph"/>
              <w:ind w:left="25"/>
              <w:rPr>
                <w:sz w:val="13"/>
              </w:rPr>
            </w:pPr>
            <w:r>
              <w:rPr>
                <w:color w:val="231F20"/>
                <w:sz w:val="13"/>
              </w:rPr>
              <w:t>Conduct workshop</w:t>
            </w:r>
          </w:p>
        </w:tc>
      </w:tr>
      <w:tr w:rsidR="009948F1" w14:paraId="6FE66CF6" w14:textId="77777777">
        <w:trPr>
          <w:trHeight w:val="546"/>
        </w:trPr>
        <w:tc>
          <w:tcPr>
            <w:tcW w:w="870" w:type="dxa"/>
            <w:gridSpan w:val="2"/>
            <w:vMerge/>
            <w:tcBorders>
              <w:top w:val="nil"/>
              <w:bottom w:val="nil"/>
              <w:right w:val="single" w:sz="4" w:space="0" w:color="231F20"/>
            </w:tcBorders>
          </w:tcPr>
          <w:p w14:paraId="538BB436" w14:textId="77777777" w:rsidR="009948F1" w:rsidRDefault="009948F1">
            <w:pPr>
              <w:rPr>
                <w:sz w:val="2"/>
                <w:szCs w:val="2"/>
              </w:rPr>
            </w:pPr>
          </w:p>
        </w:tc>
        <w:tc>
          <w:tcPr>
            <w:tcW w:w="528" w:type="dxa"/>
            <w:tcBorders>
              <w:top w:val="single" w:sz="6" w:space="0" w:color="231F20"/>
              <w:left w:val="single" w:sz="4" w:space="0" w:color="231F20"/>
              <w:bottom w:val="single" w:sz="6" w:space="0" w:color="231F20"/>
              <w:right w:val="single" w:sz="6" w:space="0" w:color="231F20"/>
            </w:tcBorders>
          </w:tcPr>
          <w:p w14:paraId="318D53A9" w14:textId="77777777" w:rsidR="009948F1" w:rsidRDefault="009948F1">
            <w:pPr>
              <w:pStyle w:val="TableParagraph"/>
              <w:spacing w:before="11"/>
              <w:rPr>
                <w:sz w:val="16"/>
              </w:rPr>
            </w:pPr>
          </w:p>
          <w:p w14:paraId="15CF3E48" w14:textId="77777777" w:rsidR="009948F1" w:rsidRDefault="00BC0563">
            <w:pPr>
              <w:pStyle w:val="TableParagraph"/>
              <w:ind w:left="48" w:right="28"/>
              <w:jc w:val="center"/>
              <w:rPr>
                <w:sz w:val="13"/>
              </w:rPr>
            </w:pPr>
            <w:r>
              <w:rPr>
                <w:color w:val="231F20"/>
                <w:sz w:val="13"/>
              </w:rPr>
              <w:t>6.5.2.b</w:t>
            </w:r>
          </w:p>
        </w:tc>
        <w:tc>
          <w:tcPr>
            <w:tcW w:w="4919" w:type="dxa"/>
            <w:gridSpan w:val="2"/>
            <w:tcBorders>
              <w:top w:val="single" w:sz="6" w:space="0" w:color="231F20"/>
              <w:left w:val="single" w:sz="6" w:space="0" w:color="231F20"/>
              <w:bottom w:val="single" w:sz="6" w:space="0" w:color="231F20"/>
              <w:right w:val="single" w:sz="6" w:space="0" w:color="231F20"/>
            </w:tcBorders>
          </w:tcPr>
          <w:p w14:paraId="4A95195C" w14:textId="77777777" w:rsidR="009948F1" w:rsidRDefault="00BC0563">
            <w:pPr>
              <w:pStyle w:val="TableParagraph"/>
              <w:spacing w:before="106" w:line="271" w:lineRule="auto"/>
              <w:ind w:left="24" w:right="144"/>
              <w:rPr>
                <w:sz w:val="13"/>
              </w:rPr>
            </w:pPr>
            <w:r>
              <w:rPr>
                <w:color w:val="231F20"/>
                <w:w w:val="95"/>
                <w:sz w:val="13"/>
              </w:rPr>
              <w:t>Conduct</w:t>
            </w:r>
            <w:r>
              <w:rPr>
                <w:color w:val="231F20"/>
                <w:spacing w:val="-15"/>
                <w:w w:val="95"/>
                <w:sz w:val="13"/>
              </w:rPr>
              <w:t xml:space="preserve"> </w:t>
            </w:r>
            <w:r>
              <w:rPr>
                <w:color w:val="231F20"/>
                <w:w w:val="95"/>
                <w:sz w:val="13"/>
              </w:rPr>
              <w:t>periodic</w:t>
            </w:r>
            <w:r>
              <w:rPr>
                <w:color w:val="231F20"/>
                <w:spacing w:val="-14"/>
                <w:w w:val="95"/>
                <w:sz w:val="13"/>
              </w:rPr>
              <w:t xml:space="preserve"> </w:t>
            </w:r>
            <w:r>
              <w:rPr>
                <w:color w:val="231F20"/>
                <w:w w:val="95"/>
                <w:sz w:val="13"/>
              </w:rPr>
              <w:t>meetings</w:t>
            </w:r>
            <w:r>
              <w:rPr>
                <w:color w:val="231F20"/>
                <w:spacing w:val="-14"/>
                <w:w w:val="95"/>
                <w:sz w:val="13"/>
              </w:rPr>
              <w:t xml:space="preserve"> </w:t>
            </w:r>
            <w:r>
              <w:rPr>
                <w:color w:val="231F20"/>
                <w:w w:val="95"/>
                <w:sz w:val="13"/>
              </w:rPr>
              <w:t>of</w:t>
            </w:r>
            <w:r>
              <w:rPr>
                <w:color w:val="231F20"/>
                <w:spacing w:val="-15"/>
                <w:w w:val="95"/>
                <w:sz w:val="13"/>
              </w:rPr>
              <w:t xml:space="preserve"> </w:t>
            </w:r>
            <w:r>
              <w:rPr>
                <w:color w:val="231F20"/>
                <w:w w:val="95"/>
                <w:sz w:val="13"/>
              </w:rPr>
              <w:t>the</w:t>
            </w:r>
            <w:r>
              <w:rPr>
                <w:color w:val="231F20"/>
                <w:spacing w:val="-14"/>
                <w:w w:val="95"/>
                <w:sz w:val="13"/>
              </w:rPr>
              <w:t xml:space="preserve"> </w:t>
            </w:r>
            <w:r>
              <w:rPr>
                <w:color w:val="231F20"/>
                <w:w w:val="95"/>
                <w:sz w:val="13"/>
              </w:rPr>
              <w:t>NPPB</w:t>
            </w:r>
            <w:r>
              <w:rPr>
                <w:color w:val="231F20"/>
                <w:spacing w:val="-14"/>
                <w:w w:val="95"/>
                <w:sz w:val="13"/>
              </w:rPr>
              <w:t xml:space="preserve"> </w:t>
            </w:r>
            <w:r>
              <w:rPr>
                <w:color w:val="231F20"/>
                <w:w w:val="95"/>
                <w:sz w:val="13"/>
              </w:rPr>
              <w:t>committee</w:t>
            </w:r>
            <w:r>
              <w:rPr>
                <w:color w:val="231F20"/>
                <w:spacing w:val="-15"/>
                <w:w w:val="95"/>
                <w:sz w:val="13"/>
              </w:rPr>
              <w:t xml:space="preserve"> </w:t>
            </w:r>
            <w:r>
              <w:rPr>
                <w:color w:val="231F20"/>
                <w:w w:val="95"/>
                <w:sz w:val="13"/>
              </w:rPr>
              <w:t>to</w:t>
            </w:r>
            <w:r>
              <w:rPr>
                <w:color w:val="231F20"/>
                <w:spacing w:val="-14"/>
                <w:w w:val="95"/>
                <w:sz w:val="13"/>
              </w:rPr>
              <w:t xml:space="preserve"> </w:t>
            </w:r>
            <w:r>
              <w:rPr>
                <w:color w:val="231F20"/>
                <w:w w:val="95"/>
                <w:sz w:val="13"/>
              </w:rPr>
              <w:t>assess</w:t>
            </w:r>
            <w:r>
              <w:rPr>
                <w:color w:val="231F20"/>
                <w:spacing w:val="-14"/>
                <w:w w:val="95"/>
                <w:sz w:val="13"/>
              </w:rPr>
              <w:t xml:space="preserve"> </w:t>
            </w:r>
            <w:r>
              <w:rPr>
                <w:color w:val="231F20"/>
                <w:w w:val="95"/>
                <w:sz w:val="13"/>
              </w:rPr>
              <w:t>implementation</w:t>
            </w:r>
            <w:r>
              <w:rPr>
                <w:color w:val="231F20"/>
                <w:spacing w:val="-15"/>
                <w:w w:val="95"/>
                <w:sz w:val="13"/>
              </w:rPr>
              <w:t xml:space="preserve"> </w:t>
            </w:r>
            <w:r>
              <w:rPr>
                <w:color w:val="231F20"/>
                <w:w w:val="95"/>
                <w:sz w:val="13"/>
              </w:rPr>
              <w:t>of</w:t>
            </w:r>
            <w:r>
              <w:rPr>
                <w:color w:val="231F20"/>
                <w:spacing w:val="-14"/>
                <w:w w:val="95"/>
                <w:sz w:val="13"/>
              </w:rPr>
              <w:t xml:space="preserve"> </w:t>
            </w:r>
            <w:r>
              <w:rPr>
                <w:color w:val="231F20"/>
                <w:w w:val="95"/>
                <w:sz w:val="13"/>
              </w:rPr>
              <w:t>the</w:t>
            </w:r>
            <w:r>
              <w:rPr>
                <w:color w:val="231F20"/>
                <w:spacing w:val="-14"/>
                <w:w w:val="95"/>
                <w:sz w:val="13"/>
              </w:rPr>
              <w:t xml:space="preserve"> </w:t>
            </w:r>
            <w:r>
              <w:rPr>
                <w:color w:val="231F20"/>
                <w:w w:val="95"/>
                <w:sz w:val="13"/>
              </w:rPr>
              <w:t xml:space="preserve">WHO </w:t>
            </w:r>
            <w:r>
              <w:rPr>
                <w:color w:val="231F20"/>
                <w:sz w:val="13"/>
              </w:rPr>
              <w:t>Global</w:t>
            </w:r>
            <w:r>
              <w:rPr>
                <w:color w:val="231F20"/>
                <w:spacing w:val="-6"/>
                <w:sz w:val="13"/>
              </w:rPr>
              <w:t xml:space="preserve"> </w:t>
            </w:r>
            <w:r>
              <w:rPr>
                <w:color w:val="231F20"/>
                <w:sz w:val="13"/>
              </w:rPr>
              <w:t>Eye</w:t>
            </w:r>
            <w:r>
              <w:rPr>
                <w:color w:val="231F20"/>
                <w:spacing w:val="-5"/>
                <w:sz w:val="13"/>
              </w:rPr>
              <w:t xml:space="preserve"> </w:t>
            </w:r>
            <w:r>
              <w:rPr>
                <w:color w:val="231F20"/>
                <w:sz w:val="13"/>
              </w:rPr>
              <w:t>Health</w:t>
            </w:r>
            <w:r>
              <w:rPr>
                <w:color w:val="231F20"/>
                <w:spacing w:val="-12"/>
                <w:sz w:val="13"/>
              </w:rPr>
              <w:t xml:space="preserve"> </w:t>
            </w:r>
            <w:r>
              <w:rPr>
                <w:color w:val="231F20"/>
                <w:sz w:val="13"/>
              </w:rPr>
              <w:t>Action</w:t>
            </w:r>
            <w:r>
              <w:rPr>
                <w:color w:val="231F20"/>
                <w:spacing w:val="-5"/>
                <w:sz w:val="13"/>
              </w:rPr>
              <w:t xml:space="preserve"> </w:t>
            </w:r>
            <w:r>
              <w:rPr>
                <w:color w:val="231F20"/>
                <w:sz w:val="13"/>
              </w:rPr>
              <w:t>Plan</w:t>
            </w:r>
            <w:r>
              <w:rPr>
                <w:color w:val="231F20"/>
                <w:spacing w:val="-5"/>
                <w:sz w:val="13"/>
              </w:rPr>
              <w:t xml:space="preserve"> </w:t>
            </w:r>
            <w:r>
              <w:rPr>
                <w:color w:val="231F20"/>
                <w:sz w:val="13"/>
              </w:rPr>
              <w:t>2014</w:t>
            </w:r>
            <w:r>
              <w:rPr>
                <w:color w:val="231F20"/>
                <w:spacing w:val="-6"/>
                <w:sz w:val="13"/>
              </w:rPr>
              <w:t xml:space="preserve"> </w:t>
            </w:r>
            <w:r>
              <w:rPr>
                <w:color w:val="231F20"/>
                <w:sz w:val="13"/>
              </w:rPr>
              <w:t>-</w:t>
            </w:r>
            <w:r>
              <w:rPr>
                <w:color w:val="231F20"/>
                <w:spacing w:val="-5"/>
                <w:sz w:val="13"/>
              </w:rPr>
              <w:t xml:space="preserve"> </w:t>
            </w:r>
            <w:r>
              <w:rPr>
                <w:color w:val="231F20"/>
                <w:sz w:val="13"/>
              </w:rPr>
              <w:t>2019</w:t>
            </w:r>
          </w:p>
        </w:tc>
        <w:tc>
          <w:tcPr>
            <w:tcW w:w="1432" w:type="dxa"/>
            <w:tcBorders>
              <w:top w:val="single" w:sz="6" w:space="0" w:color="231F20"/>
              <w:left w:val="single" w:sz="6" w:space="0" w:color="231F20"/>
              <w:bottom w:val="single" w:sz="6" w:space="0" w:color="231F20"/>
              <w:right w:val="single" w:sz="6" w:space="0" w:color="231F20"/>
            </w:tcBorders>
          </w:tcPr>
          <w:p w14:paraId="54FACA05" w14:textId="77777777" w:rsidR="009948F1" w:rsidRDefault="009948F1">
            <w:pPr>
              <w:pStyle w:val="TableParagraph"/>
              <w:spacing w:before="11"/>
              <w:rPr>
                <w:sz w:val="16"/>
              </w:rPr>
            </w:pPr>
          </w:p>
          <w:p w14:paraId="3424F55D"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08E5B892" w14:textId="6435BEED" w:rsidR="009948F1" w:rsidRDefault="00BC0563">
            <w:pPr>
              <w:pStyle w:val="TableParagraph"/>
              <w:spacing w:before="111" w:line="271" w:lineRule="auto"/>
              <w:ind w:left="25" w:right="4"/>
              <w:rPr>
                <w:sz w:val="13"/>
              </w:rPr>
            </w:pPr>
            <w:r>
              <w:rPr>
                <w:color w:val="231F20"/>
                <w:w w:val="95"/>
                <w:sz w:val="13"/>
              </w:rPr>
              <w:t xml:space="preserve">Conduct </w:t>
            </w:r>
            <w:r w:rsidR="00FB089D">
              <w:rPr>
                <w:color w:val="231F20"/>
                <w:w w:val="95"/>
                <w:sz w:val="13"/>
              </w:rPr>
              <w:t>quarterly</w:t>
            </w:r>
            <w:r>
              <w:rPr>
                <w:color w:val="231F20"/>
                <w:w w:val="95"/>
                <w:sz w:val="13"/>
              </w:rPr>
              <w:t xml:space="preserve"> </w:t>
            </w:r>
            <w:r>
              <w:rPr>
                <w:color w:val="231F20"/>
                <w:spacing w:val="-4"/>
                <w:w w:val="95"/>
                <w:sz w:val="13"/>
              </w:rPr>
              <w:t xml:space="preserve">meeting </w:t>
            </w:r>
            <w:r>
              <w:rPr>
                <w:color w:val="231F20"/>
                <w:sz w:val="13"/>
              </w:rPr>
              <w:t>for 5persons</w:t>
            </w:r>
          </w:p>
        </w:tc>
      </w:tr>
      <w:tr w:rsidR="009948F1" w14:paraId="2D8C2ABD" w14:textId="77777777">
        <w:trPr>
          <w:trHeight w:val="796"/>
        </w:trPr>
        <w:tc>
          <w:tcPr>
            <w:tcW w:w="412" w:type="dxa"/>
            <w:tcBorders>
              <w:top w:val="nil"/>
              <w:bottom w:val="nil"/>
              <w:right w:val="single" w:sz="6" w:space="0" w:color="231F20"/>
            </w:tcBorders>
          </w:tcPr>
          <w:p w14:paraId="75EF14D9" w14:textId="77777777" w:rsidR="009948F1" w:rsidRDefault="009948F1">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4" w:space="0" w:color="231F20"/>
            </w:tcBorders>
            <w:shd w:val="clear" w:color="auto" w:fill="CCE7D3"/>
          </w:tcPr>
          <w:p w14:paraId="6FFFAFDB" w14:textId="77777777" w:rsidR="009948F1" w:rsidRDefault="009948F1">
            <w:pPr>
              <w:pStyle w:val="TableParagraph"/>
              <w:rPr>
                <w:sz w:val="14"/>
              </w:rPr>
            </w:pPr>
          </w:p>
          <w:p w14:paraId="3F0A5B78" w14:textId="77777777" w:rsidR="009948F1" w:rsidRDefault="009948F1">
            <w:pPr>
              <w:pStyle w:val="TableParagraph"/>
              <w:spacing w:before="10"/>
              <w:rPr>
                <w:sz w:val="13"/>
              </w:rPr>
            </w:pPr>
          </w:p>
          <w:p w14:paraId="0B63EEA0" w14:textId="77777777" w:rsidR="009948F1" w:rsidRDefault="00BC0563">
            <w:pPr>
              <w:pStyle w:val="TableParagraph"/>
              <w:ind w:left="57"/>
              <w:rPr>
                <w:sz w:val="13"/>
              </w:rPr>
            </w:pPr>
            <w:r>
              <w:rPr>
                <w:color w:val="231F20"/>
                <w:sz w:val="13"/>
              </w:rPr>
              <w:t>6.5.3</w:t>
            </w:r>
          </w:p>
        </w:tc>
        <w:tc>
          <w:tcPr>
            <w:tcW w:w="3051" w:type="dxa"/>
            <w:gridSpan w:val="2"/>
            <w:tcBorders>
              <w:top w:val="single" w:sz="6" w:space="0" w:color="231F20"/>
              <w:left w:val="single" w:sz="4" w:space="0" w:color="231F20"/>
              <w:bottom w:val="single" w:sz="6" w:space="0" w:color="231F20"/>
              <w:right w:val="single" w:sz="6" w:space="0" w:color="231F20"/>
            </w:tcBorders>
            <w:shd w:val="clear" w:color="auto" w:fill="CCE7D3"/>
          </w:tcPr>
          <w:p w14:paraId="13C63669" w14:textId="77777777" w:rsidR="009948F1" w:rsidRDefault="009948F1">
            <w:pPr>
              <w:pStyle w:val="TableParagraph"/>
              <w:rPr>
                <w:sz w:val="20"/>
              </w:rPr>
            </w:pPr>
          </w:p>
          <w:p w14:paraId="36221C28" w14:textId="77777777" w:rsidR="009948F1" w:rsidRDefault="00BC0563">
            <w:pPr>
              <w:pStyle w:val="TableParagraph"/>
              <w:spacing w:line="271" w:lineRule="auto"/>
              <w:ind w:left="26" w:right="583" w:firstLine="33"/>
              <w:rPr>
                <w:sz w:val="13"/>
              </w:rPr>
            </w:pPr>
            <w:r>
              <w:rPr>
                <w:color w:val="231F20"/>
                <w:w w:val="95"/>
                <w:sz w:val="13"/>
              </w:rPr>
              <w:t xml:space="preserve">Strengthen eye health focused research and </w:t>
            </w:r>
            <w:r>
              <w:rPr>
                <w:color w:val="231F20"/>
                <w:sz w:val="13"/>
              </w:rPr>
              <w:t>information system;</w:t>
            </w:r>
          </w:p>
        </w:tc>
        <w:tc>
          <w:tcPr>
            <w:tcW w:w="2396" w:type="dxa"/>
            <w:tcBorders>
              <w:top w:val="single" w:sz="6" w:space="0" w:color="231F20"/>
              <w:left w:val="single" w:sz="6" w:space="0" w:color="231F20"/>
              <w:bottom w:val="single" w:sz="6" w:space="0" w:color="231F20"/>
              <w:right w:val="single" w:sz="6" w:space="0" w:color="231F20"/>
            </w:tcBorders>
            <w:shd w:val="clear" w:color="auto" w:fill="CCE7D3"/>
          </w:tcPr>
          <w:p w14:paraId="559F0558" w14:textId="77777777" w:rsidR="009948F1" w:rsidRDefault="00BC0563">
            <w:pPr>
              <w:pStyle w:val="TableParagraph"/>
              <w:numPr>
                <w:ilvl w:val="0"/>
                <w:numId w:val="121"/>
              </w:numPr>
              <w:tabs>
                <w:tab w:val="left" w:pos="100"/>
              </w:tabs>
              <w:spacing w:line="271" w:lineRule="auto"/>
              <w:ind w:right="19" w:firstLine="0"/>
              <w:rPr>
                <w:sz w:val="13"/>
              </w:rPr>
            </w:pPr>
            <w:r>
              <w:rPr>
                <w:color w:val="231F20"/>
                <w:w w:val="95"/>
                <w:sz w:val="13"/>
              </w:rPr>
              <w:t>Research</w:t>
            </w:r>
            <w:r>
              <w:rPr>
                <w:color w:val="231F20"/>
                <w:spacing w:val="-11"/>
                <w:w w:val="95"/>
                <w:sz w:val="13"/>
              </w:rPr>
              <w:t xml:space="preserve"> </w:t>
            </w:r>
            <w:r>
              <w:rPr>
                <w:color w:val="231F20"/>
                <w:w w:val="95"/>
                <w:sz w:val="13"/>
              </w:rPr>
              <w:t>team</w:t>
            </w:r>
            <w:r>
              <w:rPr>
                <w:color w:val="231F20"/>
                <w:spacing w:val="-11"/>
                <w:w w:val="95"/>
                <w:sz w:val="13"/>
              </w:rPr>
              <w:t xml:space="preserve"> </w:t>
            </w:r>
            <w:r>
              <w:rPr>
                <w:color w:val="231F20"/>
                <w:w w:val="95"/>
                <w:sz w:val="13"/>
              </w:rPr>
              <w:t>set</w:t>
            </w:r>
            <w:r>
              <w:rPr>
                <w:color w:val="231F20"/>
                <w:spacing w:val="-10"/>
                <w:w w:val="95"/>
                <w:sz w:val="13"/>
              </w:rPr>
              <w:t xml:space="preserve"> </w:t>
            </w:r>
            <w:r>
              <w:rPr>
                <w:color w:val="231F20"/>
                <w:w w:val="95"/>
                <w:sz w:val="13"/>
              </w:rPr>
              <w:t>up</w:t>
            </w:r>
            <w:r>
              <w:rPr>
                <w:color w:val="231F20"/>
                <w:spacing w:val="-11"/>
                <w:w w:val="95"/>
                <w:sz w:val="13"/>
              </w:rPr>
              <w:t xml:space="preserve"> </w:t>
            </w:r>
            <w:r>
              <w:rPr>
                <w:color w:val="231F20"/>
                <w:w w:val="95"/>
                <w:sz w:val="13"/>
              </w:rPr>
              <w:t>system</w:t>
            </w:r>
            <w:r>
              <w:rPr>
                <w:color w:val="231F20"/>
                <w:spacing w:val="-10"/>
                <w:w w:val="95"/>
                <w:sz w:val="13"/>
              </w:rPr>
              <w:t xml:space="preserve"> </w:t>
            </w:r>
            <w:r>
              <w:rPr>
                <w:color w:val="231F20"/>
                <w:w w:val="95"/>
                <w:sz w:val="13"/>
              </w:rPr>
              <w:t>in</w:t>
            </w:r>
            <w:r>
              <w:rPr>
                <w:color w:val="231F20"/>
                <w:spacing w:val="-11"/>
                <w:w w:val="95"/>
                <w:sz w:val="13"/>
              </w:rPr>
              <w:t xml:space="preserve"> </w:t>
            </w:r>
            <w:r>
              <w:rPr>
                <w:color w:val="231F20"/>
                <w:w w:val="95"/>
                <w:sz w:val="13"/>
              </w:rPr>
              <w:t>major</w:t>
            </w:r>
            <w:r>
              <w:rPr>
                <w:color w:val="231F20"/>
                <w:spacing w:val="-10"/>
                <w:w w:val="95"/>
                <w:sz w:val="13"/>
              </w:rPr>
              <w:t xml:space="preserve"> </w:t>
            </w:r>
            <w:r>
              <w:rPr>
                <w:color w:val="231F20"/>
                <w:spacing w:val="-6"/>
                <w:w w:val="95"/>
                <w:sz w:val="13"/>
              </w:rPr>
              <w:t xml:space="preserve">eye </w:t>
            </w:r>
            <w:r>
              <w:rPr>
                <w:color w:val="231F20"/>
                <w:sz w:val="13"/>
              </w:rPr>
              <w:t>care</w:t>
            </w:r>
            <w:r>
              <w:rPr>
                <w:color w:val="231F20"/>
                <w:spacing w:val="-9"/>
                <w:sz w:val="13"/>
              </w:rPr>
              <w:t xml:space="preserve"> </w:t>
            </w:r>
            <w:r>
              <w:rPr>
                <w:color w:val="231F20"/>
                <w:sz w:val="13"/>
              </w:rPr>
              <w:t>facilities</w:t>
            </w:r>
            <w:r>
              <w:rPr>
                <w:color w:val="231F20"/>
                <w:spacing w:val="-8"/>
                <w:sz w:val="13"/>
              </w:rPr>
              <w:t xml:space="preserve"> </w:t>
            </w:r>
            <w:r>
              <w:rPr>
                <w:color w:val="231F20"/>
                <w:sz w:val="13"/>
              </w:rPr>
              <w:t>(BMSH</w:t>
            </w:r>
            <w:r>
              <w:rPr>
                <w:color w:val="231F20"/>
                <w:spacing w:val="-8"/>
                <w:sz w:val="13"/>
              </w:rPr>
              <w:t xml:space="preserve"> </w:t>
            </w:r>
            <w:r>
              <w:rPr>
                <w:color w:val="231F20"/>
                <w:sz w:val="13"/>
              </w:rPr>
              <w:t>&amp;</w:t>
            </w:r>
            <w:r>
              <w:rPr>
                <w:color w:val="231F20"/>
                <w:spacing w:val="-9"/>
                <w:sz w:val="13"/>
              </w:rPr>
              <w:t xml:space="preserve"> </w:t>
            </w:r>
            <w:r>
              <w:rPr>
                <w:color w:val="231F20"/>
                <w:sz w:val="13"/>
              </w:rPr>
              <w:t>UPTH)</w:t>
            </w:r>
          </w:p>
          <w:p w14:paraId="509CE080" w14:textId="77777777" w:rsidR="009948F1" w:rsidRDefault="00BC0563">
            <w:pPr>
              <w:pStyle w:val="TableParagraph"/>
              <w:numPr>
                <w:ilvl w:val="0"/>
                <w:numId w:val="121"/>
              </w:numPr>
              <w:tabs>
                <w:tab w:val="left" w:pos="68"/>
              </w:tabs>
              <w:spacing w:line="271" w:lineRule="auto"/>
              <w:ind w:right="171" w:firstLine="0"/>
              <w:rPr>
                <w:sz w:val="13"/>
              </w:rPr>
            </w:pPr>
            <w:r>
              <w:rPr>
                <w:color w:val="231F20"/>
                <w:w w:val="95"/>
                <w:sz w:val="13"/>
              </w:rPr>
              <w:t>Research</w:t>
            </w:r>
            <w:r>
              <w:rPr>
                <w:color w:val="231F20"/>
                <w:spacing w:val="-15"/>
                <w:w w:val="95"/>
                <w:sz w:val="13"/>
              </w:rPr>
              <w:t xml:space="preserve"> </w:t>
            </w:r>
            <w:r>
              <w:rPr>
                <w:color w:val="231F20"/>
                <w:w w:val="95"/>
                <w:sz w:val="13"/>
              </w:rPr>
              <w:t>articles</w:t>
            </w:r>
            <w:r>
              <w:rPr>
                <w:color w:val="231F20"/>
                <w:spacing w:val="-14"/>
                <w:w w:val="95"/>
                <w:sz w:val="13"/>
              </w:rPr>
              <w:t xml:space="preserve"> </w:t>
            </w:r>
            <w:r>
              <w:rPr>
                <w:color w:val="231F20"/>
                <w:w w:val="95"/>
                <w:sz w:val="13"/>
              </w:rPr>
              <w:t>and</w:t>
            </w:r>
            <w:r>
              <w:rPr>
                <w:color w:val="231F20"/>
                <w:spacing w:val="-14"/>
                <w:w w:val="95"/>
                <w:sz w:val="13"/>
              </w:rPr>
              <w:t xml:space="preserve"> </w:t>
            </w:r>
            <w:r>
              <w:rPr>
                <w:color w:val="231F20"/>
                <w:w w:val="95"/>
                <w:sz w:val="13"/>
              </w:rPr>
              <w:t>innovations</w:t>
            </w:r>
            <w:r>
              <w:rPr>
                <w:color w:val="231F20"/>
                <w:spacing w:val="-14"/>
                <w:w w:val="95"/>
                <w:sz w:val="13"/>
              </w:rPr>
              <w:t xml:space="preserve"> </w:t>
            </w:r>
            <w:r>
              <w:rPr>
                <w:color w:val="231F20"/>
                <w:w w:val="95"/>
                <w:sz w:val="13"/>
              </w:rPr>
              <w:t>in</w:t>
            </w:r>
            <w:r>
              <w:rPr>
                <w:color w:val="231F20"/>
                <w:spacing w:val="-14"/>
                <w:w w:val="95"/>
                <w:sz w:val="13"/>
              </w:rPr>
              <w:t xml:space="preserve"> </w:t>
            </w:r>
            <w:r>
              <w:rPr>
                <w:color w:val="231F20"/>
                <w:spacing w:val="-5"/>
                <w:w w:val="95"/>
                <w:sz w:val="13"/>
              </w:rPr>
              <w:t xml:space="preserve">eye </w:t>
            </w:r>
            <w:r>
              <w:rPr>
                <w:color w:val="231F20"/>
                <w:sz w:val="13"/>
              </w:rPr>
              <w:t>management</w:t>
            </w:r>
            <w:r>
              <w:rPr>
                <w:color w:val="231F20"/>
                <w:spacing w:val="-7"/>
                <w:sz w:val="13"/>
              </w:rPr>
              <w:t xml:space="preserve"> </w:t>
            </w:r>
            <w:r>
              <w:rPr>
                <w:color w:val="231F20"/>
                <w:sz w:val="13"/>
              </w:rPr>
              <w:t>adopted</w:t>
            </w:r>
          </w:p>
          <w:p w14:paraId="2D5D7F0B" w14:textId="77777777" w:rsidR="009948F1" w:rsidRDefault="00BC0563">
            <w:pPr>
              <w:pStyle w:val="TableParagraph"/>
              <w:spacing w:line="103" w:lineRule="exact"/>
              <w:ind w:left="24"/>
              <w:rPr>
                <w:sz w:val="13"/>
              </w:rPr>
            </w:pPr>
            <w:r>
              <w:rPr>
                <w:color w:val="231F20"/>
                <w:w w:val="91"/>
                <w:sz w:val="13"/>
              </w:rPr>
              <w:t>•</w:t>
            </w:r>
          </w:p>
        </w:tc>
        <w:tc>
          <w:tcPr>
            <w:tcW w:w="1432" w:type="dxa"/>
            <w:tcBorders>
              <w:top w:val="single" w:sz="6" w:space="0" w:color="231F20"/>
              <w:left w:val="single" w:sz="6" w:space="0" w:color="231F20"/>
              <w:bottom w:val="single" w:sz="6" w:space="0" w:color="231F20"/>
              <w:right w:val="single" w:sz="6" w:space="0" w:color="231F20"/>
            </w:tcBorders>
            <w:shd w:val="clear" w:color="auto" w:fill="CCE7D3"/>
          </w:tcPr>
          <w:p w14:paraId="76DF9C17" w14:textId="77777777" w:rsidR="009948F1" w:rsidRDefault="009948F1">
            <w:pPr>
              <w:pStyle w:val="TableParagraph"/>
              <w:rPr>
                <w:rFonts w:ascii="Times New Roman"/>
                <w:sz w:val="10"/>
              </w:rPr>
            </w:pPr>
          </w:p>
        </w:tc>
        <w:tc>
          <w:tcPr>
            <w:tcW w:w="1512" w:type="dxa"/>
            <w:tcBorders>
              <w:top w:val="single" w:sz="6" w:space="0" w:color="231F20"/>
              <w:left w:val="single" w:sz="6" w:space="0" w:color="231F20"/>
              <w:bottom w:val="single" w:sz="6" w:space="0" w:color="231F20"/>
              <w:right w:val="single" w:sz="6" w:space="0" w:color="231F20"/>
            </w:tcBorders>
            <w:shd w:val="clear" w:color="auto" w:fill="CCE7D3"/>
          </w:tcPr>
          <w:p w14:paraId="7B74090D" w14:textId="77777777" w:rsidR="009948F1" w:rsidRDefault="009948F1">
            <w:pPr>
              <w:pStyle w:val="TableParagraph"/>
              <w:rPr>
                <w:rFonts w:ascii="Times New Roman"/>
                <w:sz w:val="10"/>
              </w:rPr>
            </w:pPr>
          </w:p>
        </w:tc>
      </w:tr>
      <w:tr w:rsidR="009948F1" w14:paraId="22CD1ECC" w14:textId="77777777">
        <w:trPr>
          <w:trHeight w:val="546"/>
        </w:trPr>
        <w:tc>
          <w:tcPr>
            <w:tcW w:w="870" w:type="dxa"/>
            <w:gridSpan w:val="2"/>
            <w:vMerge w:val="restart"/>
            <w:tcBorders>
              <w:top w:val="nil"/>
              <w:bottom w:val="nil"/>
              <w:right w:val="single" w:sz="4" w:space="0" w:color="231F20"/>
            </w:tcBorders>
          </w:tcPr>
          <w:p w14:paraId="7550679A" w14:textId="77777777" w:rsidR="009948F1" w:rsidRDefault="009948F1">
            <w:pPr>
              <w:pStyle w:val="TableParagraph"/>
              <w:rPr>
                <w:rFonts w:ascii="Times New Roman"/>
                <w:sz w:val="10"/>
              </w:rPr>
            </w:pPr>
          </w:p>
        </w:tc>
        <w:tc>
          <w:tcPr>
            <w:tcW w:w="528" w:type="dxa"/>
            <w:tcBorders>
              <w:top w:val="single" w:sz="6" w:space="0" w:color="231F20"/>
              <w:left w:val="single" w:sz="4" w:space="0" w:color="231F20"/>
              <w:bottom w:val="single" w:sz="6" w:space="0" w:color="231F20"/>
              <w:right w:val="single" w:sz="6" w:space="0" w:color="231F20"/>
            </w:tcBorders>
          </w:tcPr>
          <w:p w14:paraId="28A38212" w14:textId="77777777" w:rsidR="009948F1" w:rsidRDefault="009948F1">
            <w:pPr>
              <w:pStyle w:val="TableParagraph"/>
              <w:spacing w:before="11"/>
              <w:rPr>
                <w:sz w:val="16"/>
              </w:rPr>
            </w:pPr>
          </w:p>
          <w:p w14:paraId="23C1C196" w14:textId="77777777" w:rsidR="009948F1" w:rsidRDefault="00BC0563">
            <w:pPr>
              <w:pStyle w:val="TableParagraph"/>
              <w:ind w:left="48" w:right="28"/>
              <w:jc w:val="center"/>
              <w:rPr>
                <w:sz w:val="13"/>
              </w:rPr>
            </w:pPr>
            <w:r>
              <w:rPr>
                <w:color w:val="231F20"/>
                <w:sz w:val="13"/>
              </w:rPr>
              <w:t>6.5.3.a</w:t>
            </w:r>
          </w:p>
        </w:tc>
        <w:tc>
          <w:tcPr>
            <w:tcW w:w="4919" w:type="dxa"/>
            <w:gridSpan w:val="2"/>
            <w:tcBorders>
              <w:top w:val="single" w:sz="6" w:space="0" w:color="231F20"/>
              <w:left w:val="single" w:sz="6" w:space="0" w:color="231F20"/>
              <w:bottom w:val="single" w:sz="6" w:space="0" w:color="231F20"/>
              <w:right w:val="single" w:sz="6" w:space="0" w:color="231F20"/>
            </w:tcBorders>
          </w:tcPr>
          <w:p w14:paraId="5B2C5130" w14:textId="77777777" w:rsidR="009948F1" w:rsidRDefault="00BC0563">
            <w:pPr>
              <w:pStyle w:val="TableParagraph"/>
              <w:spacing w:before="106" w:line="271" w:lineRule="auto"/>
              <w:ind w:left="24" w:right="79"/>
              <w:rPr>
                <w:sz w:val="13"/>
              </w:rPr>
            </w:pPr>
            <w:r>
              <w:rPr>
                <w:color w:val="231F20"/>
                <w:w w:val="95"/>
                <w:sz w:val="13"/>
              </w:rPr>
              <w:t>Set</w:t>
            </w:r>
            <w:r>
              <w:rPr>
                <w:color w:val="231F20"/>
                <w:spacing w:val="-11"/>
                <w:w w:val="95"/>
                <w:sz w:val="13"/>
              </w:rPr>
              <w:t xml:space="preserve"> </w:t>
            </w:r>
            <w:r>
              <w:rPr>
                <w:color w:val="231F20"/>
                <w:w w:val="95"/>
                <w:sz w:val="13"/>
              </w:rPr>
              <w:t>up</w:t>
            </w:r>
            <w:r>
              <w:rPr>
                <w:color w:val="231F20"/>
                <w:spacing w:val="-11"/>
                <w:w w:val="95"/>
                <w:sz w:val="13"/>
              </w:rPr>
              <w:t xml:space="preserve"> </w:t>
            </w:r>
            <w:r>
              <w:rPr>
                <w:color w:val="231F20"/>
                <w:w w:val="95"/>
                <w:sz w:val="13"/>
              </w:rPr>
              <w:t>research</w:t>
            </w:r>
            <w:r>
              <w:rPr>
                <w:color w:val="231F20"/>
                <w:spacing w:val="-11"/>
                <w:w w:val="95"/>
                <w:sz w:val="13"/>
              </w:rPr>
              <w:t xml:space="preserve"> </w:t>
            </w:r>
            <w:r>
              <w:rPr>
                <w:color w:val="231F20"/>
                <w:w w:val="95"/>
                <w:sz w:val="13"/>
              </w:rPr>
              <w:t>team</w:t>
            </w:r>
            <w:r>
              <w:rPr>
                <w:color w:val="231F20"/>
                <w:spacing w:val="-11"/>
                <w:w w:val="95"/>
                <w:sz w:val="13"/>
              </w:rPr>
              <w:t xml:space="preserve"> </w:t>
            </w:r>
            <w:r>
              <w:rPr>
                <w:color w:val="231F20"/>
                <w:w w:val="95"/>
                <w:sz w:val="13"/>
              </w:rPr>
              <w:t>in</w:t>
            </w:r>
            <w:r>
              <w:rPr>
                <w:color w:val="231F20"/>
                <w:spacing w:val="-11"/>
                <w:w w:val="95"/>
                <w:sz w:val="13"/>
              </w:rPr>
              <w:t xml:space="preserve"> </w:t>
            </w:r>
            <w:r>
              <w:rPr>
                <w:color w:val="231F20"/>
                <w:w w:val="95"/>
                <w:sz w:val="13"/>
              </w:rPr>
              <w:t>major</w:t>
            </w:r>
            <w:r>
              <w:rPr>
                <w:color w:val="231F20"/>
                <w:spacing w:val="-11"/>
                <w:w w:val="95"/>
                <w:sz w:val="13"/>
              </w:rPr>
              <w:t xml:space="preserve"> </w:t>
            </w:r>
            <w:r>
              <w:rPr>
                <w:color w:val="231F20"/>
                <w:w w:val="95"/>
                <w:sz w:val="13"/>
              </w:rPr>
              <w:t>eye</w:t>
            </w:r>
            <w:r>
              <w:rPr>
                <w:color w:val="231F20"/>
                <w:spacing w:val="-11"/>
                <w:w w:val="95"/>
                <w:sz w:val="13"/>
              </w:rPr>
              <w:t xml:space="preserve"> </w:t>
            </w:r>
            <w:r>
              <w:rPr>
                <w:color w:val="231F20"/>
                <w:w w:val="95"/>
                <w:sz w:val="13"/>
              </w:rPr>
              <w:t>care</w:t>
            </w:r>
            <w:r>
              <w:rPr>
                <w:color w:val="231F20"/>
                <w:spacing w:val="-11"/>
                <w:w w:val="95"/>
                <w:sz w:val="13"/>
              </w:rPr>
              <w:t xml:space="preserve"> </w:t>
            </w:r>
            <w:r>
              <w:rPr>
                <w:color w:val="231F20"/>
                <w:w w:val="95"/>
                <w:sz w:val="13"/>
              </w:rPr>
              <w:t>facilities</w:t>
            </w:r>
            <w:r>
              <w:rPr>
                <w:color w:val="231F20"/>
                <w:spacing w:val="-10"/>
                <w:w w:val="95"/>
                <w:sz w:val="13"/>
              </w:rPr>
              <w:t xml:space="preserve"> </w:t>
            </w:r>
            <w:r>
              <w:rPr>
                <w:color w:val="231F20"/>
                <w:w w:val="95"/>
                <w:sz w:val="13"/>
              </w:rPr>
              <w:t>(BMSH</w:t>
            </w:r>
            <w:r>
              <w:rPr>
                <w:color w:val="231F20"/>
                <w:spacing w:val="-11"/>
                <w:w w:val="95"/>
                <w:sz w:val="13"/>
              </w:rPr>
              <w:t xml:space="preserve"> </w:t>
            </w:r>
            <w:r>
              <w:rPr>
                <w:color w:val="231F20"/>
                <w:w w:val="95"/>
                <w:sz w:val="13"/>
              </w:rPr>
              <w:t>&amp;</w:t>
            </w:r>
            <w:r>
              <w:rPr>
                <w:color w:val="231F20"/>
                <w:spacing w:val="-11"/>
                <w:w w:val="95"/>
                <w:sz w:val="13"/>
              </w:rPr>
              <w:t xml:space="preserve"> </w:t>
            </w:r>
            <w:r>
              <w:rPr>
                <w:color w:val="231F20"/>
                <w:w w:val="95"/>
                <w:sz w:val="13"/>
              </w:rPr>
              <w:t>UPTH)</w:t>
            </w:r>
            <w:r>
              <w:rPr>
                <w:color w:val="231F20"/>
                <w:spacing w:val="-11"/>
                <w:w w:val="95"/>
                <w:sz w:val="13"/>
              </w:rPr>
              <w:t xml:space="preserve"> </w:t>
            </w:r>
            <w:r>
              <w:rPr>
                <w:color w:val="231F20"/>
                <w:w w:val="95"/>
                <w:sz w:val="13"/>
              </w:rPr>
              <w:t>with</w:t>
            </w:r>
            <w:r>
              <w:rPr>
                <w:color w:val="231F20"/>
                <w:spacing w:val="-11"/>
                <w:w w:val="95"/>
                <w:sz w:val="13"/>
              </w:rPr>
              <w:t xml:space="preserve"> </w:t>
            </w:r>
            <w:r>
              <w:rPr>
                <w:color w:val="231F20"/>
                <w:w w:val="95"/>
                <w:sz w:val="13"/>
              </w:rPr>
              <w:t>focus</w:t>
            </w:r>
            <w:r>
              <w:rPr>
                <w:color w:val="231F20"/>
                <w:spacing w:val="-11"/>
                <w:w w:val="95"/>
                <w:sz w:val="13"/>
              </w:rPr>
              <w:t xml:space="preserve"> </w:t>
            </w:r>
            <w:r>
              <w:rPr>
                <w:color w:val="231F20"/>
                <w:w w:val="95"/>
                <w:sz w:val="13"/>
              </w:rPr>
              <w:t>on</w:t>
            </w:r>
            <w:r>
              <w:rPr>
                <w:color w:val="231F20"/>
                <w:spacing w:val="-11"/>
                <w:w w:val="95"/>
                <w:sz w:val="13"/>
              </w:rPr>
              <w:t xml:space="preserve"> </w:t>
            </w:r>
            <w:r>
              <w:rPr>
                <w:color w:val="231F20"/>
                <w:w w:val="95"/>
                <w:sz w:val="13"/>
              </w:rPr>
              <w:t>eye</w:t>
            </w:r>
            <w:r>
              <w:rPr>
                <w:color w:val="231F20"/>
                <w:spacing w:val="-11"/>
                <w:w w:val="95"/>
                <w:sz w:val="13"/>
              </w:rPr>
              <w:t xml:space="preserve"> </w:t>
            </w:r>
            <w:r>
              <w:rPr>
                <w:color w:val="231F20"/>
                <w:w w:val="95"/>
                <w:sz w:val="13"/>
              </w:rPr>
              <w:t xml:space="preserve">health </w:t>
            </w:r>
            <w:r>
              <w:rPr>
                <w:color w:val="231F20"/>
                <w:sz w:val="13"/>
              </w:rPr>
              <w:t>&amp; information</w:t>
            </w:r>
            <w:r>
              <w:rPr>
                <w:color w:val="231F20"/>
                <w:spacing w:val="-8"/>
                <w:sz w:val="13"/>
              </w:rPr>
              <w:t xml:space="preserve"> </w:t>
            </w:r>
            <w:r>
              <w:rPr>
                <w:color w:val="231F20"/>
                <w:sz w:val="13"/>
              </w:rPr>
              <w:t>system</w:t>
            </w:r>
          </w:p>
        </w:tc>
        <w:tc>
          <w:tcPr>
            <w:tcW w:w="1432" w:type="dxa"/>
            <w:tcBorders>
              <w:top w:val="single" w:sz="6" w:space="0" w:color="231F20"/>
              <w:left w:val="single" w:sz="6" w:space="0" w:color="231F20"/>
              <w:bottom w:val="single" w:sz="6" w:space="0" w:color="231F20"/>
              <w:right w:val="single" w:sz="6" w:space="0" w:color="231F20"/>
            </w:tcBorders>
          </w:tcPr>
          <w:p w14:paraId="4E337308" w14:textId="77777777" w:rsidR="009948F1" w:rsidRDefault="009948F1">
            <w:pPr>
              <w:pStyle w:val="TableParagraph"/>
              <w:spacing w:before="11"/>
              <w:rPr>
                <w:sz w:val="16"/>
              </w:rPr>
            </w:pPr>
          </w:p>
          <w:p w14:paraId="26D0D685"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34C27346" w14:textId="77777777" w:rsidR="009948F1" w:rsidRDefault="00BC0563">
            <w:pPr>
              <w:pStyle w:val="TableParagraph"/>
              <w:spacing w:before="111" w:line="271" w:lineRule="auto"/>
              <w:ind w:left="25" w:right="-4"/>
              <w:rPr>
                <w:sz w:val="13"/>
              </w:rPr>
            </w:pPr>
            <w:r>
              <w:rPr>
                <w:color w:val="231F20"/>
                <w:w w:val="95"/>
                <w:sz w:val="13"/>
              </w:rPr>
              <w:t>Conduct</w:t>
            </w:r>
            <w:r>
              <w:rPr>
                <w:color w:val="231F20"/>
                <w:spacing w:val="-12"/>
                <w:w w:val="95"/>
                <w:sz w:val="13"/>
              </w:rPr>
              <w:t xml:space="preserve"> </w:t>
            </w:r>
            <w:r>
              <w:rPr>
                <w:color w:val="231F20"/>
                <w:w w:val="95"/>
                <w:sz w:val="13"/>
              </w:rPr>
              <w:t>1day</w:t>
            </w:r>
            <w:r>
              <w:rPr>
                <w:color w:val="231F20"/>
                <w:spacing w:val="-12"/>
                <w:w w:val="95"/>
                <w:sz w:val="13"/>
              </w:rPr>
              <w:t xml:space="preserve"> </w:t>
            </w:r>
            <w:r>
              <w:rPr>
                <w:color w:val="231F20"/>
                <w:w w:val="95"/>
                <w:sz w:val="13"/>
              </w:rPr>
              <w:t>meeting</w:t>
            </w:r>
            <w:r>
              <w:rPr>
                <w:color w:val="231F20"/>
                <w:spacing w:val="-12"/>
                <w:w w:val="95"/>
                <w:sz w:val="13"/>
              </w:rPr>
              <w:t xml:space="preserve"> </w:t>
            </w:r>
            <w:r>
              <w:rPr>
                <w:color w:val="231F20"/>
                <w:w w:val="95"/>
                <w:sz w:val="13"/>
              </w:rPr>
              <w:t>for</w:t>
            </w:r>
            <w:r>
              <w:rPr>
                <w:color w:val="231F20"/>
                <w:spacing w:val="-11"/>
                <w:w w:val="95"/>
                <w:sz w:val="13"/>
              </w:rPr>
              <w:t xml:space="preserve"> </w:t>
            </w:r>
            <w:r>
              <w:rPr>
                <w:color w:val="231F20"/>
                <w:spacing w:val="-15"/>
                <w:w w:val="95"/>
                <w:sz w:val="13"/>
              </w:rPr>
              <w:t xml:space="preserve">4 </w:t>
            </w:r>
            <w:r>
              <w:rPr>
                <w:color w:val="231F20"/>
                <w:sz w:val="13"/>
              </w:rPr>
              <w:t>persons</w:t>
            </w:r>
          </w:p>
        </w:tc>
      </w:tr>
      <w:tr w:rsidR="009948F1" w14:paraId="34DFA342" w14:textId="77777777">
        <w:trPr>
          <w:trHeight w:val="546"/>
        </w:trPr>
        <w:tc>
          <w:tcPr>
            <w:tcW w:w="870" w:type="dxa"/>
            <w:gridSpan w:val="2"/>
            <w:vMerge/>
            <w:tcBorders>
              <w:top w:val="nil"/>
              <w:bottom w:val="nil"/>
              <w:right w:val="single" w:sz="4" w:space="0" w:color="231F20"/>
            </w:tcBorders>
          </w:tcPr>
          <w:p w14:paraId="32232DD6" w14:textId="77777777" w:rsidR="009948F1" w:rsidRDefault="009948F1">
            <w:pPr>
              <w:rPr>
                <w:sz w:val="2"/>
                <w:szCs w:val="2"/>
              </w:rPr>
            </w:pPr>
          </w:p>
        </w:tc>
        <w:tc>
          <w:tcPr>
            <w:tcW w:w="528" w:type="dxa"/>
            <w:tcBorders>
              <w:top w:val="single" w:sz="6" w:space="0" w:color="231F20"/>
              <w:left w:val="single" w:sz="4" w:space="0" w:color="231F20"/>
              <w:bottom w:val="single" w:sz="6" w:space="0" w:color="231F20"/>
              <w:right w:val="single" w:sz="6" w:space="0" w:color="231F20"/>
            </w:tcBorders>
          </w:tcPr>
          <w:p w14:paraId="0AA2274A" w14:textId="77777777" w:rsidR="009948F1" w:rsidRDefault="009948F1">
            <w:pPr>
              <w:pStyle w:val="TableParagraph"/>
              <w:spacing w:before="11"/>
              <w:rPr>
                <w:sz w:val="16"/>
              </w:rPr>
            </w:pPr>
          </w:p>
          <w:p w14:paraId="09C9EC5F" w14:textId="77777777" w:rsidR="009948F1" w:rsidRDefault="00BC0563">
            <w:pPr>
              <w:pStyle w:val="TableParagraph"/>
              <w:ind w:left="48" w:right="28"/>
              <w:jc w:val="center"/>
              <w:rPr>
                <w:sz w:val="13"/>
              </w:rPr>
            </w:pPr>
            <w:r>
              <w:rPr>
                <w:color w:val="231F20"/>
                <w:sz w:val="13"/>
              </w:rPr>
              <w:t>6.5.3.b</w:t>
            </w:r>
          </w:p>
        </w:tc>
        <w:tc>
          <w:tcPr>
            <w:tcW w:w="4919" w:type="dxa"/>
            <w:gridSpan w:val="2"/>
            <w:tcBorders>
              <w:top w:val="single" w:sz="6" w:space="0" w:color="231F20"/>
              <w:left w:val="single" w:sz="6" w:space="0" w:color="231F20"/>
              <w:bottom w:val="single" w:sz="6" w:space="0" w:color="231F20"/>
              <w:right w:val="single" w:sz="6" w:space="0" w:color="231F20"/>
            </w:tcBorders>
          </w:tcPr>
          <w:p w14:paraId="227DAB9D" w14:textId="77777777" w:rsidR="009948F1" w:rsidRDefault="009948F1">
            <w:pPr>
              <w:pStyle w:val="TableParagraph"/>
              <w:spacing w:before="5"/>
              <w:rPr>
                <w:sz w:val="16"/>
              </w:rPr>
            </w:pPr>
          </w:p>
          <w:p w14:paraId="4A2D7B3A" w14:textId="77777777" w:rsidR="009948F1" w:rsidRDefault="00BC0563">
            <w:pPr>
              <w:pStyle w:val="TableParagraph"/>
              <w:ind w:left="24"/>
              <w:rPr>
                <w:sz w:val="13"/>
              </w:rPr>
            </w:pPr>
            <w:r>
              <w:rPr>
                <w:color w:val="231F20"/>
                <w:w w:val="95"/>
                <w:sz w:val="13"/>
              </w:rPr>
              <w:t>Hold</w:t>
            </w:r>
            <w:r>
              <w:rPr>
                <w:color w:val="231F20"/>
                <w:spacing w:val="-14"/>
                <w:w w:val="95"/>
                <w:sz w:val="13"/>
              </w:rPr>
              <w:t xml:space="preserve"> </w:t>
            </w:r>
            <w:r>
              <w:rPr>
                <w:color w:val="231F20"/>
                <w:w w:val="95"/>
                <w:sz w:val="13"/>
              </w:rPr>
              <w:t>periodic</w:t>
            </w:r>
            <w:r>
              <w:rPr>
                <w:color w:val="231F20"/>
                <w:spacing w:val="-14"/>
                <w:w w:val="95"/>
                <w:sz w:val="13"/>
              </w:rPr>
              <w:t xml:space="preserve"> </w:t>
            </w:r>
            <w:r>
              <w:rPr>
                <w:color w:val="231F20"/>
                <w:w w:val="95"/>
                <w:sz w:val="13"/>
              </w:rPr>
              <w:t>meeting</w:t>
            </w:r>
            <w:r>
              <w:rPr>
                <w:color w:val="231F20"/>
                <w:spacing w:val="-14"/>
                <w:w w:val="95"/>
                <w:sz w:val="13"/>
              </w:rPr>
              <w:t xml:space="preserve"> </w:t>
            </w:r>
            <w:r>
              <w:rPr>
                <w:color w:val="231F20"/>
                <w:w w:val="95"/>
                <w:sz w:val="13"/>
              </w:rPr>
              <w:t>to</w:t>
            </w:r>
            <w:r>
              <w:rPr>
                <w:color w:val="231F20"/>
                <w:spacing w:val="-13"/>
                <w:w w:val="95"/>
                <w:sz w:val="13"/>
              </w:rPr>
              <w:t xml:space="preserve"> </w:t>
            </w:r>
            <w:r>
              <w:rPr>
                <w:color w:val="231F20"/>
                <w:w w:val="95"/>
                <w:sz w:val="13"/>
              </w:rPr>
              <w:t>review</w:t>
            </w:r>
            <w:r>
              <w:rPr>
                <w:color w:val="231F20"/>
                <w:spacing w:val="-14"/>
                <w:w w:val="95"/>
                <w:sz w:val="13"/>
              </w:rPr>
              <w:t xml:space="preserve"> </w:t>
            </w:r>
            <w:r>
              <w:rPr>
                <w:color w:val="231F20"/>
                <w:w w:val="95"/>
                <w:sz w:val="13"/>
              </w:rPr>
              <w:t>research</w:t>
            </w:r>
            <w:r>
              <w:rPr>
                <w:color w:val="231F20"/>
                <w:spacing w:val="-14"/>
                <w:w w:val="95"/>
                <w:sz w:val="13"/>
              </w:rPr>
              <w:t xml:space="preserve"> </w:t>
            </w:r>
            <w:r>
              <w:rPr>
                <w:color w:val="231F20"/>
                <w:w w:val="95"/>
                <w:sz w:val="13"/>
              </w:rPr>
              <w:t>articles</w:t>
            </w:r>
            <w:r>
              <w:rPr>
                <w:color w:val="231F20"/>
                <w:spacing w:val="-14"/>
                <w:w w:val="95"/>
                <w:sz w:val="13"/>
              </w:rPr>
              <w:t xml:space="preserve"> </w:t>
            </w:r>
            <w:r>
              <w:rPr>
                <w:color w:val="231F20"/>
                <w:w w:val="95"/>
                <w:sz w:val="13"/>
              </w:rPr>
              <w:t>and</w:t>
            </w:r>
            <w:r>
              <w:rPr>
                <w:color w:val="231F20"/>
                <w:spacing w:val="-13"/>
                <w:w w:val="95"/>
                <w:sz w:val="13"/>
              </w:rPr>
              <w:t xml:space="preserve"> </w:t>
            </w:r>
            <w:r>
              <w:rPr>
                <w:color w:val="231F20"/>
                <w:w w:val="95"/>
                <w:sz w:val="13"/>
              </w:rPr>
              <w:t>adopt</w:t>
            </w:r>
            <w:r>
              <w:rPr>
                <w:color w:val="231F20"/>
                <w:spacing w:val="-14"/>
                <w:w w:val="95"/>
                <w:sz w:val="13"/>
              </w:rPr>
              <w:t xml:space="preserve"> </w:t>
            </w:r>
            <w:r>
              <w:rPr>
                <w:color w:val="231F20"/>
                <w:w w:val="95"/>
                <w:sz w:val="13"/>
              </w:rPr>
              <w:t>innovations</w:t>
            </w:r>
            <w:r>
              <w:rPr>
                <w:color w:val="231F20"/>
                <w:spacing w:val="-14"/>
                <w:w w:val="95"/>
                <w:sz w:val="13"/>
              </w:rPr>
              <w:t xml:space="preserve"> </w:t>
            </w:r>
            <w:r>
              <w:rPr>
                <w:color w:val="231F20"/>
                <w:w w:val="95"/>
                <w:sz w:val="13"/>
              </w:rPr>
              <w:t>in</w:t>
            </w:r>
            <w:r>
              <w:rPr>
                <w:color w:val="231F20"/>
                <w:spacing w:val="-14"/>
                <w:w w:val="95"/>
                <w:sz w:val="13"/>
              </w:rPr>
              <w:t xml:space="preserve"> </w:t>
            </w:r>
            <w:r>
              <w:rPr>
                <w:color w:val="231F20"/>
                <w:w w:val="95"/>
                <w:sz w:val="13"/>
              </w:rPr>
              <w:t>eye</w:t>
            </w:r>
            <w:r>
              <w:rPr>
                <w:color w:val="231F20"/>
                <w:spacing w:val="-13"/>
                <w:w w:val="95"/>
                <w:sz w:val="13"/>
              </w:rPr>
              <w:t xml:space="preserve"> </w:t>
            </w:r>
            <w:r>
              <w:rPr>
                <w:color w:val="231F20"/>
                <w:w w:val="95"/>
                <w:sz w:val="13"/>
              </w:rPr>
              <w:t>management</w:t>
            </w:r>
          </w:p>
        </w:tc>
        <w:tc>
          <w:tcPr>
            <w:tcW w:w="1432" w:type="dxa"/>
            <w:tcBorders>
              <w:top w:val="single" w:sz="6" w:space="0" w:color="231F20"/>
              <w:left w:val="single" w:sz="6" w:space="0" w:color="231F20"/>
              <w:bottom w:val="single" w:sz="6" w:space="0" w:color="231F20"/>
              <w:right w:val="single" w:sz="6" w:space="0" w:color="231F20"/>
            </w:tcBorders>
          </w:tcPr>
          <w:p w14:paraId="4DDD4E11" w14:textId="77777777" w:rsidR="009948F1" w:rsidRDefault="009948F1">
            <w:pPr>
              <w:pStyle w:val="TableParagraph"/>
              <w:spacing w:before="11"/>
              <w:rPr>
                <w:sz w:val="16"/>
              </w:rPr>
            </w:pPr>
          </w:p>
          <w:p w14:paraId="3E08AE87" w14:textId="77777777" w:rsidR="009948F1" w:rsidRDefault="00BC0563">
            <w:pPr>
              <w:pStyle w:val="TableParagraph"/>
              <w:ind w:left="23"/>
              <w:rPr>
                <w:sz w:val="13"/>
              </w:rPr>
            </w:pPr>
            <w:r>
              <w:rPr>
                <w:color w:val="231F20"/>
                <w:sz w:val="13"/>
              </w:rPr>
              <w:t>Lack of funds</w:t>
            </w:r>
          </w:p>
        </w:tc>
        <w:tc>
          <w:tcPr>
            <w:tcW w:w="1512" w:type="dxa"/>
            <w:tcBorders>
              <w:top w:val="single" w:sz="6" w:space="0" w:color="231F20"/>
              <w:left w:val="single" w:sz="6" w:space="0" w:color="231F20"/>
              <w:bottom w:val="single" w:sz="6" w:space="0" w:color="231F20"/>
              <w:right w:val="single" w:sz="6" w:space="0" w:color="231F20"/>
            </w:tcBorders>
          </w:tcPr>
          <w:p w14:paraId="6E1C4E67" w14:textId="77777777" w:rsidR="009948F1" w:rsidRDefault="009948F1">
            <w:pPr>
              <w:pStyle w:val="TableParagraph"/>
              <w:spacing w:before="11"/>
              <w:rPr>
                <w:sz w:val="16"/>
              </w:rPr>
            </w:pPr>
          </w:p>
          <w:p w14:paraId="4EF8ABB2" w14:textId="77777777" w:rsidR="009948F1" w:rsidRDefault="00BC0563">
            <w:pPr>
              <w:pStyle w:val="TableParagraph"/>
              <w:ind w:left="25"/>
              <w:rPr>
                <w:sz w:val="13"/>
              </w:rPr>
            </w:pPr>
            <w:r>
              <w:rPr>
                <w:color w:val="231F20"/>
                <w:sz w:val="13"/>
              </w:rPr>
              <w:t>Hold periodic meeting</w:t>
            </w:r>
          </w:p>
        </w:tc>
      </w:tr>
      <w:tr w:rsidR="009948F1" w14:paraId="60EB4184" w14:textId="77777777">
        <w:trPr>
          <w:trHeight w:val="1997"/>
        </w:trPr>
        <w:tc>
          <w:tcPr>
            <w:tcW w:w="412" w:type="dxa"/>
            <w:tcBorders>
              <w:top w:val="nil"/>
              <w:bottom w:val="single" w:sz="6" w:space="0" w:color="231F20"/>
              <w:right w:val="single" w:sz="6" w:space="0" w:color="231F20"/>
            </w:tcBorders>
          </w:tcPr>
          <w:p w14:paraId="0286DB6B" w14:textId="77777777" w:rsidR="009948F1" w:rsidRDefault="009948F1">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4" w:space="0" w:color="231F20"/>
            </w:tcBorders>
            <w:shd w:val="clear" w:color="auto" w:fill="CCE7D3"/>
          </w:tcPr>
          <w:p w14:paraId="0A9C5371" w14:textId="77777777" w:rsidR="009948F1" w:rsidRDefault="009948F1">
            <w:pPr>
              <w:pStyle w:val="TableParagraph"/>
              <w:rPr>
                <w:sz w:val="14"/>
              </w:rPr>
            </w:pPr>
          </w:p>
          <w:p w14:paraId="2A39D90A" w14:textId="77777777" w:rsidR="009948F1" w:rsidRDefault="009948F1">
            <w:pPr>
              <w:pStyle w:val="TableParagraph"/>
              <w:rPr>
                <w:sz w:val="14"/>
              </w:rPr>
            </w:pPr>
          </w:p>
          <w:p w14:paraId="08482DF1" w14:textId="77777777" w:rsidR="009948F1" w:rsidRDefault="009948F1">
            <w:pPr>
              <w:pStyle w:val="TableParagraph"/>
              <w:rPr>
                <w:sz w:val="14"/>
              </w:rPr>
            </w:pPr>
          </w:p>
          <w:p w14:paraId="54172E8F" w14:textId="77777777" w:rsidR="009948F1" w:rsidRDefault="009948F1">
            <w:pPr>
              <w:pStyle w:val="TableParagraph"/>
              <w:rPr>
                <w:sz w:val="14"/>
              </w:rPr>
            </w:pPr>
          </w:p>
          <w:p w14:paraId="18620865" w14:textId="77777777" w:rsidR="009948F1" w:rsidRDefault="009948F1">
            <w:pPr>
              <w:pStyle w:val="TableParagraph"/>
              <w:rPr>
                <w:sz w:val="14"/>
              </w:rPr>
            </w:pPr>
          </w:p>
          <w:p w14:paraId="03E8BDCC" w14:textId="77777777" w:rsidR="009948F1" w:rsidRDefault="00BC0563">
            <w:pPr>
              <w:pStyle w:val="TableParagraph"/>
              <w:spacing w:before="115"/>
              <w:ind w:left="57"/>
              <w:rPr>
                <w:sz w:val="13"/>
              </w:rPr>
            </w:pPr>
            <w:r>
              <w:rPr>
                <w:color w:val="231F20"/>
                <w:sz w:val="13"/>
              </w:rPr>
              <w:t>6.5.4</w:t>
            </w:r>
          </w:p>
        </w:tc>
        <w:tc>
          <w:tcPr>
            <w:tcW w:w="3051" w:type="dxa"/>
            <w:gridSpan w:val="2"/>
            <w:tcBorders>
              <w:top w:val="single" w:sz="6" w:space="0" w:color="231F20"/>
              <w:left w:val="single" w:sz="4" w:space="0" w:color="231F20"/>
              <w:bottom w:val="single" w:sz="6" w:space="0" w:color="231F20"/>
              <w:right w:val="single" w:sz="6" w:space="0" w:color="231F20"/>
            </w:tcBorders>
            <w:shd w:val="clear" w:color="auto" w:fill="CCE7D3"/>
          </w:tcPr>
          <w:p w14:paraId="12C5E9F1" w14:textId="77777777" w:rsidR="009948F1" w:rsidRDefault="009948F1">
            <w:pPr>
              <w:pStyle w:val="TableParagraph"/>
              <w:rPr>
                <w:sz w:val="14"/>
              </w:rPr>
            </w:pPr>
          </w:p>
          <w:p w14:paraId="4DAC8A2F" w14:textId="77777777" w:rsidR="009948F1" w:rsidRDefault="009948F1">
            <w:pPr>
              <w:pStyle w:val="TableParagraph"/>
              <w:rPr>
                <w:sz w:val="14"/>
              </w:rPr>
            </w:pPr>
          </w:p>
          <w:p w14:paraId="6F3DF96C" w14:textId="77777777" w:rsidR="009948F1" w:rsidRDefault="009948F1">
            <w:pPr>
              <w:pStyle w:val="TableParagraph"/>
              <w:rPr>
                <w:sz w:val="14"/>
              </w:rPr>
            </w:pPr>
          </w:p>
          <w:p w14:paraId="3796A7F6" w14:textId="77777777" w:rsidR="009948F1" w:rsidRDefault="009948F1">
            <w:pPr>
              <w:pStyle w:val="TableParagraph"/>
              <w:rPr>
                <w:sz w:val="14"/>
              </w:rPr>
            </w:pPr>
          </w:p>
          <w:p w14:paraId="29B6486F" w14:textId="77777777" w:rsidR="009948F1" w:rsidRDefault="009948F1">
            <w:pPr>
              <w:pStyle w:val="TableParagraph"/>
              <w:spacing w:before="3"/>
              <w:rPr>
                <w:sz w:val="16"/>
              </w:rPr>
            </w:pPr>
          </w:p>
          <w:p w14:paraId="5105896A" w14:textId="77777777" w:rsidR="009948F1" w:rsidRDefault="00BC0563">
            <w:pPr>
              <w:pStyle w:val="TableParagraph"/>
              <w:spacing w:line="271" w:lineRule="auto"/>
              <w:ind w:left="26" w:firstLine="33"/>
              <w:rPr>
                <w:sz w:val="13"/>
              </w:rPr>
            </w:pPr>
            <w:r>
              <w:rPr>
                <w:color w:val="231F20"/>
                <w:w w:val="90"/>
                <w:sz w:val="13"/>
              </w:rPr>
              <w:t xml:space="preserve">Strengthen advocacy, social mobilization and </w:t>
            </w:r>
            <w:proofErr w:type="spellStart"/>
            <w:r>
              <w:rPr>
                <w:color w:val="231F20"/>
                <w:w w:val="90"/>
                <w:sz w:val="13"/>
              </w:rPr>
              <w:t>behaviour</w:t>
            </w:r>
            <w:proofErr w:type="spellEnd"/>
            <w:r>
              <w:rPr>
                <w:color w:val="231F20"/>
                <w:w w:val="90"/>
                <w:sz w:val="13"/>
              </w:rPr>
              <w:t xml:space="preserve"> </w:t>
            </w:r>
            <w:r>
              <w:rPr>
                <w:color w:val="231F20"/>
                <w:sz w:val="13"/>
              </w:rPr>
              <w:t>change communication on eye health</w:t>
            </w:r>
          </w:p>
        </w:tc>
        <w:tc>
          <w:tcPr>
            <w:tcW w:w="2396" w:type="dxa"/>
            <w:tcBorders>
              <w:top w:val="single" w:sz="6" w:space="0" w:color="231F20"/>
              <w:left w:val="single" w:sz="6" w:space="0" w:color="231F20"/>
              <w:bottom w:val="single" w:sz="6" w:space="0" w:color="231F20"/>
              <w:right w:val="single" w:sz="6" w:space="0" w:color="231F20"/>
            </w:tcBorders>
            <w:shd w:val="clear" w:color="auto" w:fill="CCE7D3"/>
          </w:tcPr>
          <w:p w14:paraId="5C757F19" w14:textId="77777777" w:rsidR="009948F1" w:rsidRDefault="00BC0563">
            <w:pPr>
              <w:pStyle w:val="TableParagraph"/>
              <w:numPr>
                <w:ilvl w:val="0"/>
                <w:numId w:val="120"/>
              </w:numPr>
              <w:tabs>
                <w:tab w:val="left" w:pos="93"/>
              </w:tabs>
              <w:spacing w:line="271" w:lineRule="auto"/>
              <w:ind w:right="126" w:firstLine="0"/>
              <w:rPr>
                <w:sz w:val="13"/>
              </w:rPr>
            </w:pPr>
            <w:r>
              <w:rPr>
                <w:color w:val="231F20"/>
                <w:sz w:val="13"/>
              </w:rPr>
              <w:t xml:space="preserve">Advocacy visit to the Government for provision of affordable, accessible and </w:t>
            </w:r>
            <w:r>
              <w:rPr>
                <w:color w:val="231F20"/>
                <w:w w:val="95"/>
                <w:sz w:val="13"/>
              </w:rPr>
              <w:t>adequate</w:t>
            </w:r>
            <w:r>
              <w:rPr>
                <w:color w:val="231F20"/>
                <w:spacing w:val="-12"/>
                <w:w w:val="95"/>
                <w:sz w:val="13"/>
              </w:rPr>
              <w:t xml:space="preserve"> </w:t>
            </w:r>
            <w:r>
              <w:rPr>
                <w:color w:val="231F20"/>
                <w:w w:val="95"/>
                <w:sz w:val="13"/>
              </w:rPr>
              <w:t>eye</w:t>
            </w:r>
            <w:r>
              <w:rPr>
                <w:color w:val="231F20"/>
                <w:spacing w:val="-12"/>
                <w:w w:val="95"/>
                <w:sz w:val="13"/>
              </w:rPr>
              <w:t xml:space="preserve"> </w:t>
            </w:r>
            <w:r>
              <w:rPr>
                <w:color w:val="231F20"/>
                <w:w w:val="95"/>
                <w:sz w:val="13"/>
              </w:rPr>
              <w:t>care</w:t>
            </w:r>
            <w:r>
              <w:rPr>
                <w:color w:val="231F20"/>
                <w:spacing w:val="-12"/>
                <w:w w:val="95"/>
                <w:sz w:val="13"/>
              </w:rPr>
              <w:t xml:space="preserve"> </w:t>
            </w:r>
            <w:r>
              <w:rPr>
                <w:color w:val="231F20"/>
                <w:w w:val="95"/>
                <w:sz w:val="13"/>
              </w:rPr>
              <w:t>delivery</w:t>
            </w:r>
            <w:r>
              <w:rPr>
                <w:color w:val="231F20"/>
                <w:spacing w:val="-12"/>
                <w:w w:val="95"/>
                <w:sz w:val="13"/>
              </w:rPr>
              <w:t xml:space="preserve"> </w:t>
            </w:r>
            <w:r>
              <w:rPr>
                <w:color w:val="231F20"/>
                <w:w w:val="95"/>
                <w:sz w:val="13"/>
              </w:rPr>
              <w:t>services</w:t>
            </w:r>
            <w:r>
              <w:rPr>
                <w:color w:val="231F20"/>
                <w:spacing w:val="-12"/>
                <w:w w:val="95"/>
                <w:sz w:val="13"/>
              </w:rPr>
              <w:t xml:space="preserve"> </w:t>
            </w:r>
            <w:r>
              <w:rPr>
                <w:color w:val="231F20"/>
                <w:w w:val="95"/>
                <w:sz w:val="13"/>
              </w:rPr>
              <w:t>in</w:t>
            </w:r>
            <w:r>
              <w:rPr>
                <w:color w:val="231F20"/>
                <w:spacing w:val="-12"/>
                <w:w w:val="95"/>
                <w:sz w:val="13"/>
              </w:rPr>
              <w:t xml:space="preserve"> </w:t>
            </w:r>
            <w:r>
              <w:rPr>
                <w:color w:val="231F20"/>
                <w:spacing w:val="-6"/>
                <w:w w:val="95"/>
                <w:sz w:val="13"/>
              </w:rPr>
              <w:t xml:space="preserve">the </w:t>
            </w:r>
            <w:r>
              <w:rPr>
                <w:color w:val="231F20"/>
                <w:sz w:val="13"/>
              </w:rPr>
              <w:t>state</w:t>
            </w:r>
            <w:r>
              <w:rPr>
                <w:color w:val="231F20"/>
                <w:spacing w:val="-4"/>
                <w:sz w:val="13"/>
              </w:rPr>
              <w:t xml:space="preserve"> </w:t>
            </w:r>
            <w:r>
              <w:rPr>
                <w:color w:val="231F20"/>
                <w:sz w:val="13"/>
              </w:rPr>
              <w:t>done</w:t>
            </w:r>
          </w:p>
          <w:p w14:paraId="2299C8E3" w14:textId="4593F054" w:rsidR="009948F1" w:rsidRDefault="00FB089D">
            <w:pPr>
              <w:pStyle w:val="TableParagraph"/>
              <w:numPr>
                <w:ilvl w:val="0"/>
                <w:numId w:val="120"/>
              </w:numPr>
              <w:tabs>
                <w:tab w:val="left" w:pos="68"/>
              </w:tabs>
              <w:spacing w:line="271" w:lineRule="auto"/>
              <w:ind w:right="147" w:firstLine="0"/>
              <w:rPr>
                <w:sz w:val="13"/>
              </w:rPr>
            </w:pPr>
            <w:r>
              <w:rPr>
                <w:color w:val="231F20"/>
                <w:sz w:val="13"/>
              </w:rPr>
              <w:t xml:space="preserve">Advocacy </w:t>
            </w:r>
            <w:r w:rsidR="00BC0563">
              <w:rPr>
                <w:color w:val="231F20"/>
                <w:spacing w:val="-25"/>
                <w:sz w:val="13"/>
              </w:rPr>
              <w:t xml:space="preserve"> </w:t>
            </w:r>
            <w:r w:rsidR="00BC0563">
              <w:rPr>
                <w:color w:val="231F20"/>
                <w:sz w:val="13"/>
              </w:rPr>
              <w:t>visit</w:t>
            </w:r>
            <w:r w:rsidR="00BC0563">
              <w:rPr>
                <w:color w:val="231F20"/>
                <w:spacing w:val="-25"/>
                <w:sz w:val="13"/>
              </w:rPr>
              <w:t xml:space="preserve"> </w:t>
            </w:r>
            <w:r>
              <w:rPr>
                <w:color w:val="231F20"/>
                <w:spacing w:val="-25"/>
                <w:sz w:val="13"/>
              </w:rPr>
              <w:t xml:space="preserve"> </w:t>
            </w:r>
            <w:r w:rsidR="00BC0563">
              <w:rPr>
                <w:color w:val="231F20"/>
                <w:sz w:val="13"/>
              </w:rPr>
              <w:t>to</w:t>
            </w:r>
            <w:r w:rsidR="00BC0563">
              <w:rPr>
                <w:color w:val="231F20"/>
                <w:spacing w:val="-24"/>
                <w:sz w:val="13"/>
              </w:rPr>
              <w:t xml:space="preserve"> </w:t>
            </w:r>
            <w:r w:rsidR="00BC0563">
              <w:rPr>
                <w:color w:val="231F20"/>
                <w:sz w:val="13"/>
              </w:rPr>
              <w:t>community</w:t>
            </w:r>
            <w:r w:rsidR="00BC0563">
              <w:rPr>
                <w:color w:val="231F20"/>
                <w:spacing w:val="-25"/>
                <w:sz w:val="13"/>
              </w:rPr>
              <w:t xml:space="preserve"> </w:t>
            </w:r>
            <w:r w:rsidR="00BC0563">
              <w:rPr>
                <w:color w:val="231F20"/>
                <w:sz w:val="13"/>
              </w:rPr>
              <w:t xml:space="preserve">institutions </w:t>
            </w:r>
            <w:r w:rsidR="00BC0563">
              <w:rPr>
                <w:color w:val="231F20"/>
                <w:w w:val="95"/>
                <w:sz w:val="13"/>
              </w:rPr>
              <w:t>(WDCs)</w:t>
            </w:r>
            <w:r w:rsidR="00BC0563">
              <w:rPr>
                <w:color w:val="231F20"/>
                <w:spacing w:val="-11"/>
                <w:w w:val="95"/>
                <w:sz w:val="13"/>
              </w:rPr>
              <w:t xml:space="preserve"> </w:t>
            </w:r>
            <w:r w:rsidR="00BC0563">
              <w:rPr>
                <w:color w:val="231F20"/>
                <w:w w:val="95"/>
                <w:sz w:val="13"/>
              </w:rPr>
              <w:t>in</w:t>
            </w:r>
            <w:r w:rsidR="00BC0563">
              <w:rPr>
                <w:color w:val="231F20"/>
                <w:spacing w:val="-10"/>
                <w:w w:val="95"/>
                <w:sz w:val="13"/>
              </w:rPr>
              <w:t xml:space="preserve"> </w:t>
            </w:r>
            <w:r w:rsidR="00BC0563">
              <w:rPr>
                <w:color w:val="231F20"/>
                <w:w w:val="95"/>
                <w:sz w:val="13"/>
              </w:rPr>
              <w:t>the</w:t>
            </w:r>
            <w:r w:rsidR="00BC0563">
              <w:rPr>
                <w:color w:val="231F20"/>
                <w:spacing w:val="-10"/>
                <w:w w:val="95"/>
                <w:sz w:val="13"/>
              </w:rPr>
              <w:t xml:space="preserve"> </w:t>
            </w:r>
            <w:r w:rsidR="00BC0563">
              <w:rPr>
                <w:color w:val="231F20"/>
                <w:w w:val="95"/>
                <w:sz w:val="13"/>
              </w:rPr>
              <w:t>23</w:t>
            </w:r>
            <w:r w:rsidR="00BC0563">
              <w:rPr>
                <w:color w:val="231F20"/>
                <w:spacing w:val="-11"/>
                <w:w w:val="95"/>
                <w:sz w:val="13"/>
              </w:rPr>
              <w:t xml:space="preserve"> </w:t>
            </w:r>
            <w:r w:rsidR="00BC0563">
              <w:rPr>
                <w:color w:val="231F20"/>
                <w:w w:val="95"/>
                <w:sz w:val="13"/>
              </w:rPr>
              <w:t>LGAs</w:t>
            </w:r>
            <w:r w:rsidR="00BC0563">
              <w:rPr>
                <w:color w:val="231F20"/>
                <w:spacing w:val="-10"/>
                <w:w w:val="95"/>
                <w:sz w:val="13"/>
              </w:rPr>
              <w:t xml:space="preserve"> </w:t>
            </w:r>
            <w:r w:rsidR="00BC0563">
              <w:rPr>
                <w:color w:val="231F20"/>
                <w:w w:val="95"/>
                <w:sz w:val="13"/>
              </w:rPr>
              <w:t>to</w:t>
            </w:r>
            <w:r w:rsidR="00BC0563">
              <w:rPr>
                <w:color w:val="231F20"/>
                <w:spacing w:val="-10"/>
                <w:w w:val="95"/>
                <w:sz w:val="13"/>
              </w:rPr>
              <w:t xml:space="preserve"> </w:t>
            </w:r>
            <w:r w:rsidR="00BC0563">
              <w:rPr>
                <w:color w:val="231F20"/>
                <w:w w:val="95"/>
                <w:sz w:val="13"/>
              </w:rPr>
              <w:t>increase</w:t>
            </w:r>
            <w:r w:rsidR="00BC0563">
              <w:rPr>
                <w:color w:val="231F20"/>
                <w:spacing w:val="-11"/>
                <w:w w:val="95"/>
                <w:sz w:val="13"/>
              </w:rPr>
              <w:t xml:space="preserve"> </w:t>
            </w:r>
            <w:r w:rsidR="00BC0563">
              <w:rPr>
                <w:color w:val="231F20"/>
                <w:spacing w:val="-3"/>
                <w:w w:val="95"/>
                <w:sz w:val="13"/>
              </w:rPr>
              <w:t xml:space="preserve">public </w:t>
            </w:r>
            <w:r w:rsidR="00BC0563">
              <w:rPr>
                <w:color w:val="231F20"/>
                <w:w w:val="95"/>
                <w:sz w:val="13"/>
              </w:rPr>
              <w:t>awareness</w:t>
            </w:r>
            <w:r w:rsidR="00BC0563">
              <w:rPr>
                <w:color w:val="231F20"/>
                <w:spacing w:val="-13"/>
                <w:w w:val="95"/>
                <w:sz w:val="13"/>
              </w:rPr>
              <w:t xml:space="preserve"> </w:t>
            </w:r>
            <w:r w:rsidR="00BC0563">
              <w:rPr>
                <w:color w:val="231F20"/>
                <w:w w:val="95"/>
                <w:sz w:val="13"/>
              </w:rPr>
              <w:t>of</w:t>
            </w:r>
            <w:r w:rsidR="00BC0563">
              <w:rPr>
                <w:color w:val="231F20"/>
                <w:spacing w:val="-13"/>
                <w:w w:val="95"/>
                <w:sz w:val="13"/>
              </w:rPr>
              <w:t xml:space="preserve"> </w:t>
            </w:r>
            <w:r w:rsidR="00BC0563">
              <w:rPr>
                <w:color w:val="231F20"/>
                <w:w w:val="95"/>
                <w:sz w:val="13"/>
              </w:rPr>
              <w:t>available</w:t>
            </w:r>
            <w:r w:rsidR="00BC0563">
              <w:rPr>
                <w:color w:val="231F20"/>
                <w:spacing w:val="-13"/>
                <w:w w:val="95"/>
                <w:sz w:val="13"/>
              </w:rPr>
              <w:t xml:space="preserve"> </w:t>
            </w:r>
            <w:r w:rsidR="00BC0563">
              <w:rPr>
                <w:color w:val="231F20"/>
                <w:w w:val="95"/>
                <w:sz w:val="13"/>
              </w:rPr>
              <w:t>eye</w:t>
            </w:r>
            <w:r w:rsidR="00BC0563">
              <w:rPr>
                <w:color w:val="231F20"/>
                <w:spacing w:val="-13"/>
                <w:w w:val="95"/>
                <w:sz w:val="13"/>
              </w:rPr>
              <w:t xml:space="preserve"> </w:t>
            </w:r>
            <w:r w:rsidR="00BC0563">
              <w:rPr>
                <w:color w:val="231F20"/>
                <w:w w:val="95"/>
                <w:sz w:val="13"/>
              </w:rPr>
              <w:t>care</w:t>
            </w:r>
            <w:r w:rsidR="00BC0563">
              <w:rPr>
                <w:color w:val="231F20"/>
                <w:spacing w:val="-13"/>
                <w:w w:val="95"/>
                <w:sz w:val="13"/>
              </w:rPr>
              <w:t xml:space="preserve"> </w:t>
            </w:r>
            <w:r w:rsidR="00BC0563">
              <w:rPr>
                <w:color w:val="231F20"/>
                <w:w w:val="95"/>
                <w:sz w:val="13"/>
              </w:rPr>
              <w:t xml:space="preserve">services </w:t>
            </w:r>
            <w:r w:rsidR="00BC0563">
              <w:rPr>
                <w:color w:val="231F20"/>
                <w:sz w:val="13"/>
              </w:rPr>
              <w:t>done</w:t>
            </w:r>
          </w:p>
          <w:p w14:paraId="00BC6809" w14:textId="77777777" w:rsidR="009948F1" w:rsidRDefault="00BC0563">
            <w:pPr>
              <w:pStyle w:val="TableParagraph"/>
              <w:numPr>
                <w:ilvl w:val="0"/>
                <w:numId w:val="120"/>
              </w:numPr>
              <w:tabs>
                <w:tab w:val="left" w:pos="100"/>
              </w:tabs>
              <w:spacing w:line="271" w:lineRule="auto"/>
              <w:ind w:right="85" w:firstLine="0"/>
              <w:rPr>
                <w:sz w:val="13"/>
              </w:rPr>
            </w:pPr>
            <w:r>
              <w:rPr>
                <w:color w:val="231F20"/>
                <w:w w:val="95"/>
                <w:sz w:val="13"/>
              </w:rPr>
              <w:t>Public</w:t>
            </w:r>
            <w:r>
              <w:rPr>
                <w:color w:val="231F20"/>
                <w:spacing w:val="-18"/>
                <w:w w:val="95"/>
                <w:sz w:val="13"/>
              </w:rPr>
              <w:t xml:space="preserve"> </w:t>
            </w:r>
            <w:r>
              <w:rPr>
                <w:color w:val="231F20"/>
                <w:w w:val="95"/>
                <w:sz w:val="13"/>
              </w:rPr>
              <w:t>enlightenment</w:t>
            </w:r>
            <w:r>
              <w:rPr>
                <w:color w:val="231F20"/>
                <w:spacing w:val="-17"/>
                <w:w w:val="95"/>
                <w:sz w:val="13"/>
              </w:rPr>
              <w:t xml:space="preserve"> </w:t>
            </w:r>
            <w:r>
              <w:rPr>
                <w:color w:val="231F20"/>
                <w:w w:val="95"/>
                <w:sz w:val="13"/>
              </w:rPr>
              <w:t>through</w:t>
            </w:r>
            <w:r>
              <w:rPr>
                <w:color w:val="231F20"/>
                <w:spacing w:val="-18"/>
                <w:w w:val="95"/>
                <w:sz w:val="13"/>
              </w:rPr>
              <w:t xml:space="preserve"> </w:t>
            </w:r>
            <w:r>
              <w:rPr>
                <w:color w:val="231F20"/>
                <w:spacing w:val="-3"/>
                <w:w w:val="95"/>
                <w:sz w:val="13"/>
              </w:rPr>
              <w:t xml:space="preserve">multi-media </w:t>
            </w:r>
            <w:r>
              <w:rPr>
                <w:color w:val="231F20"/>
                <w:sz w:val="13"/>
              </w:rPr>
              <w:t>approach</w:t>
            </w:r>
            <w:r>
              <w:rPr>
                <w:color w:val="231F20"/>
                <w:spacing w:val="-24"/>
                <w:sz w:val="13"/>
              </w:rPr>
              <w:t xml:space="preserve"> </w:t>
            </w:r>
            <w:r>
              <w:rPr>
                <w:color w:val="231F20"/>
                <w:sz w:val="13"/>
              </w:rPr>
              <w:t>to</w:t>
            </w:r>
            <w:r>
              <w:rPr>
                <w:color w:val="231F20"/>
                <w:spacing w:val="-24"/>
                <w:sz w:val="13"/>
              </w:rPr>
              <w:t xml:space="preserve"> </w:t>
            </w:r>
            <w:r>
              <w:rPr>
                <w:color w:val="231F20"/>
                <w:sz w:val="13"/>
              </w:rPr>
              <w:t>enhance</w:t>
            </w:r>
            <w:r>
              <w:rPr>
                <w:color w:val="231F20"/>
                <w:spacing w:val="-23"/>
                <w:sz w:val="13"/>
              </w:rPr>
              <w:t xml:space="preserve"> </w:t>
            </w:r>
            <w:r>
              <w:rPr>
                <w:color w:val="231F20"/>
                <w:sz w:val="13"/>
              </w:rPr>
              <w:t>positive</w:t>
            </w:r>
            <w:r>
              <w:rPr>
                <w:color w:val="231F20"/>
                <w:spacing w:val="-24"/>
                <w:sz w:val="13"/>
              </w:rPr>
              <w:t xml:space="preserve"> </w:t>
            </w:r>
            <w:proofErr w:type="spellStart"/>
            <w:r>
              <w:rPr>
                <w:color w:val="231F20"/>
                <w:sz w:val="13"/>
              </w:rPr>
              <w:t>behaviour</w:t>
            </w:r>
            <w:proofErr w:type="spellEnd"/>
            <w:r>
              <w:rPr>
                <w:color w:val="231F20"/>
                <w:sz w:val="13"/>
              </w:rPr>
              <w:t xml:space="preserve"> change</w:t>
            </w:r>
            <w:r>
              <w:rPr>
                <w:color w:val="231F20"/>
                <w:spacing w:val="-17"/>
                <w:sz w:val="13"/>
              </w:rPr>
              <w:t xml:space="preserve"> </w:t>
            </w:r>
            <w:r>
              <w:rPr>
                <w:color w:val="231F20"/>
                <w:sz w:val="13"/>
              </w:rPr>
              <w:t>and</w:t>
            </w:r>
            <w:r>
              <w:rPr>
                <w:color w:val="231F20"/>
                <w:spacing w:val="-17"/>
                <w:sz w:val="13"/>
              </w:rPr>
              <w:t xml:space="preserve"> </w:t>
            </w:r>
            <w:r>
              <w:rPr>
                <w:color w:val="231F20"/>
                <w:sz w:val="13"/>
              </w:rPr>
              <w:t>improved</w:t>
            </w:r>
            <w:r>
              <w:rPr>
                <w:color w:val="231F20"/>
                <w:spacing w:val="-16"/>
                <w:sz w:val="13"/>
              </w:rPr>
              <w:t xml:space="preserve"> </w:t>
            </w:r>
            <w:r>
              <w:rPr>
                <w:color w:val="231F20"/>
                <w:sz w:val="13"/>
              </w:rPr>
              <w:t>uptake</w:t>
            </w:r>
            <w:r>
              <w:rPr>
                <w:color w:val="231F20"/>
                <w:spacing w:val="-17"/>
                <w:sz w:val="13"/>
              </w:rPr>
              <w:t xml:space="preserve"> </w:t>
            </w:r>
            <w:r>
              <w:rPr>
                <w:color w:val="231F20"/>
                <w:sz w:val="13"/>
              </w:rPr>
              <w:t>eye</w:t>
            </w:r>
            <w:r>
              <w:rPr>
                <w:color w:val="231F20"/>
                <w:spacing w:val="-17"/>
                <w:sz w:val="13"/>
              </w:rPr>
              <w:t xml:space="preserve"> </w:t>
            </w:r>
            <w:r>
              <w:rPr>
                <w:color w:val="231F20"/>
                <w:sz w:val="13"/>
              </w:rPr>
              <w:t>care</w:t>
            </w:r>
          </w:p>
          <w:p w14:paraId="56EFE441" w14:textId="77777777" w:rsidR="009948F1" w:rsidRDefault="00BC0563">
            <w:pPr>
              <w:pStyle w:val="TableParagraph"/>
              <w:spacing w:line="124" w:lineRule="exact"/>
              <w:ind w:left="24"/>
              <w:rPr>
                <w:sz w:val="13"/>
              </w:rPr>
            </w:pPr>
            <w:r>
              <w:rPr>
                <w:color w:val="231F20"/>
                <w:sz w:val="13"/>
              </w:rPr>
              <w:t>services by the communities done</w:t>
            </w:r>
          </w:p>
        </w:tc>
        <w:tc>
          <w:tcPr>
            <w:tcW w:w="1432" w:type="dxa"/>
            <w:tcBorders>
              <w:top w:val="single" w:sz="6" w:space="0" w:color="231F20"/>
              <w:left w:val="single" w:sz="6" w:space="0" w:color="231F20"/>
              <w:bottom w:val="single" w:sz="6" w:space="0" w:color="231F20"/>
              <w:right w:val="single" w:sz="6" w:space="0" w:color="231F20"/>
            </w:tcBorders>
            <w:shd w:val="clear" w:color="auto" w:fill="CCE7D3"/>
          </w:tcPr>
          <w:p w14:paraId="4C147A4A" w14:textId="77777777" w:rsidR="009948F1" w:rsidRDefault="009948F1">
            <w:pPr>
              <w:pStyle w:val="TableParagraph"/>
              <w:rPr>
                <w:rFonts w:ascii="Times New Roman"/>
                <w:sz w:val="10"/>
              </w:rPr>
            </w:pPr>
          </w:p>
        </w:tc>
        <w:tc>
          <w:tcPr>
            <w:tcW w:w="1512" w:type="dxa"/>
            <w:tcBorders>
              <w:top w:val="single" w:sz="6" w:space="0" w:color="231F20"/>
              <w:left w:val="single" w:sz="6" w:space="0" w:color="231F20"/>
              <w:bottom w:val="single" w:sz="6" w:space="0" w:color="231F20"/>
              <w:right w:val="single" w:sz="6" w:space="0" w:color="231F20"/>
            </w:tcBorders>
            <w:shd w:val="clear" w:color="auto" w:fill="CCE7D3"/>
          </w:tcPr>
          <w:p w14:paraId="48A444AB" w14:textId="77777777" w:rsidR="009948F1" w:rsidRDefault="009948F1">
            <w:pPr>
              <w:pStyle w:val="TableParagraph"/>
              <w:rPr>
                <w:rFonts w:ascii="Times New Roman"/>
                <w:sz w:val="10"/>
              </w:rPr>
            </w:pPr>
          </w:p>
        </w:tc>
      </w:tr>
    </w:tbl>
    <w:p w14:paraId="3C3D4649" w14:textId="77777777" w:rsidR="009948F1" w:rsidRDefault="009948F1">
      <w:pPr>
        <w:rPr>
          <w:rFonts w:ascii="Times New Roman"/>
          <w:sz w:val="10"/>
        </w:rPr>
        <w:sectPr w:rsidR="009948F1">
          <w:pgSz w:w="11910" w:h="16840"/>
          <w:pgMar w:top="1380" w:right="1080" w:bottom="1340" w:left="1120" w:header="0" w:footer="1155" w:gutter="0"/>
          <w:cols w:space="720"/>
        </w:sectPr>
      </w:pPr>
    </w:p>
    <w:tbl>
      <w:tblPr>
        <w:tblW w:w="0" w:type="auto"/>
        <w:tblInd w:w="1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8"/>
        <w:gridCol w:w="403"/>
        <w:gridCol w:w="451"/>
        <w:gridCol w:w="522"/>
        <w:gridCol w:w="2496"/>
        <w:gridCol w:w="2370"/>
        <w:gridCol w:w="1419"/>
        <w:gridCol w:w="1497"/>
      </w:tblGrid>
      <w:tr w:rsidR="009948F1" w14:paraId="7BC43CB4" w14:textId="77777777">
        <w:trPr>
          <w:trHeight w:val="665"/>
        </w:trPr>
        <w:tc>
          <w:tcPr>
            <w:tcW w:w="1032" w:type="dxa"/>
            <w:gridSpan w:val="3"/>
            <w:vMerge w:val="restart"/>
            <w:tcBorders>
              <w:left w:val="single" w:sz="6" w:space="0" w:color="231F20"/>
              <w:right w:val="single" w:sz="6" w:space="0" w:color="231F20"/>
            </w:tcBorders>
          </w:tcPr>
          <w:p w14:paraId="15BE367D" w14:textId="77777777" w:rsidR="009948F1" w:rsidRDefault="009948F1">
            <w:pPr>
              <w:pStyle w:val="TableParagraph"/>
              <w:rPr>
                <w:rFonts w:ascii="Times New Roman"/>
                <w:sz w:val="10"/>
              </w:rPr>
            </w:pPr>
          </w:p>
        </w:tc>
        <w:tc>
          <w:tcPr>
            <w:tcW w:w="522" w:type="dxa"/>
            <w:tcBorders>
              <w:left w:val="single" w:sz="6" w:space="0" w:color="231F20"/>
              <w:right w:val="single" w:sz="6" w:space="0" w:color="231F20"/>
            </w:tcBorders>
          </w:tcPr>
          <w:p w14:paraId="3D3D1654" w14:textId="77777777" w:rsidR="009948F1" w:rsidRDefault="009948F1">
            <w:pPr>
              <w:pStyle w:val="TableParagraph"/>
              <w:rPr>
                <w:sz w:val="21"/>
              </w:rPr>
            </w:pPr>
          </w:p>
          <w:p w14:paraId="6B8E61D7" w14:textId="77777777" w:rsidR="009948F1" w:rsidRDefault="00BC0563">
            <w:pPr>
              <w:pStyle w:val="TableParagraph"/>
              <w:ind w:left="82"/>
              <w:rPr>
                <w:sz w:val="16"/>
              </w:rPr>
            </w:pPr>
            <w:bookmarkStart w:id="175" w:name="Page_149"/>
            <w:bookmarkEnd w:id="175"/>
            <w:r>
              <w:rPr>
                <w:color w:val="231F20"/>
                <w:w w:val="80"/>
                <w:sz w:val="16"/>
              </w:rPr>
              <w:t>6.5.4.a</w:t>
            </w:r>
          </w:p>
        </w:tc>
        <w:tc>
          <w:tcPr>
            <w:tcW w:w="4866" w:type="dxa"/>
            <w:gridSpan w:val="2"/>
            <w:tcBorders>
              <w:left w:val="single" w:sz="6" w:space="0" w:color="231F20"/>
              <w:right w:val="single" w:sz="6" w:space="0" w:color="231F20"/>
            </w:tcBorders>
          </w:tcPr>
          <w:p w14:paraId="504C6054" w14:textId="77777777" w:rsidR="009948F1" w:rsidRDefault="00BC0563">
            <w:pPr>
              <w:pStyle w:val="TableParagraph"/>
              <w:spacing w:before="133" w:line="268" w:lineRule="auto"/>
              <w:ind w:left="24" w:right="70"/>
              <w:rPr>
                <w:sz w:val="16"/>
              </w:rPr>
            </w:pPr>
            <w:r>
              <w:rPr>
                <w:color w:val="231F20"/>
                <w:w w:val="75"/>
                <w:sz w:val="16"/>
              </w:rPr>
              <w:t xml:space="preserve">Conduct advocacy visit to the Government for provision of affordable, accessible and </w:t>
            </w:r>
            <w:r>
              <w:rPr>
                <w:color w:val="231F20"/>
                <w:w w:val="85"/>
                <w:sz w:val="16"/>
              </w:rPr>
              <w:t>adequate eye care delivery services in the state</w:t>
            </w:r>
          </w:p>
        </w:tc>
        <w:tc>
          <w:tcPr>
            <w:tcW w:w="1419" w:type="dxa"/>
            <w:tcBorders>
              <w:left w:val="single" w:sz="6" w:space="0" w:color="231F20"/>
              <w:right w:val="single" w:sz="6" w:space="0" w:color="231F20"/>
            </w:tcBorders>
          </w:tcPr>
          <w:p w14:paraId="1D184DA9" w14:textId="77777777" w:rsidR="009948F1" w:rsidRDefault="009948F1">
            <w:pPr>
              <w:pStyle w:val="TableParagraph"/>
              <w:rPr>
                <w:sz w:val="21"/>
              </w:rPr>
            </w:pPr>
          </w:p>
          <w:p w14:paraId="48680963"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right w:val="single" w:sz="6" w:space="0" w:color="231F20"/>
            </w:tcBorders>
          </w:tcPr>
          <w:p w14:paraId="5A3CEF42" w14:textId="77777777" w:rsidR="009948F1" w:rsidRDefault="009948F1">
            <w:pPr>
              <w:pStyle w:val="TableParagraph"/>
              <w:rPr>
                <w:sz w:val="21"/>
              </w:rPr>
            </w:pPr>
          </w:p>
          <w:p w14:paraId="6EB39E13" w14:textId="77777777" w:rsidR="009948F1" w:rsidRDefault="00BC0563">
            <w:pPr>
              <w:pStyle w:val="TableParagraph"/>
              <w:ind w:left="25"/>
              <w:rPr>
                <w:sz w:val="16"/>
              </w:rPr>
            </w:pPr>
            <w:r>
              <w:rPr>
                <w:color w:val="231F20"/>
                <w:w w:val="85"/>
                <w:sz w:val="16"/>
              </w:rPr>
              <w:t>Conduct advocacy visit</w:t>
            </w:r>
          </w:p>
        </w:tc>
      </w:tr>
      <w:tr w:rsidR="009948F1" w14:paraId="17CAF01C" w14:textId="77777777">
        <w:trPr>
          <w:trHeight w:val="666"/>
        </w:trPr>
        <w:tc>
          <w:tcPr>
            <w:tcW w:w="1032" w:type="dxa"/>
            <w:gridSpan w:val="3"/>
            <w:vMerge/>
            <w:tcBorders>
              <w:top w:val="nil"/>
              <w:left w:val="single" w:sz="6" w:space="0" w:color="231F20"/>
              <w:right w:val="single" w:sz="6" w:space="0" w:color="231F20"/>
            </w:tcBorders>
          </w:tcPr>
          <w:p w14:paraId="3259C4B2" w14:textId="77777777" w:rsidR="009948F1" w:rsidRDefault="009948F1">
            <w:pPr>
              <w:rPr>
                <w:sz w:val="2"/>
                <w:szCs w:val="2"/>
              </w:rPr>
            </w:pPr>
          </w:p>
        </w:tc>
        <w:tc>
          <w:tcPr>
            <w:tcW w:w="522" w:type="dxa"/>
            <w:tcBorders>
              <w:left w:val="single" w:sz="6" w:space="0" w:color="231F20"/>
              <w:right w:val="single" w:sz="6" w:space="0" w:color="231F20"/>
            </w:tcBorders>
          </w:tcPr>
          <w:p w14:paraId="38DBAB85" w14:textId="77777777" w:rsidR="009948F1" w:rsidRDefault="009948F1">
            <w:pPr>
              <w:pStyle w:val="TableParagraph"/>
              <w:spacing w:before="1"/>
              <w:rPr>
                <w:sz w:val="21"/>
              </w:rPr>
            </w:pPr>
          </w:p>
          <w:p w14:paraId="5E4FD266" w14:textId="77777777" w:rsidR="009948F1" w:rsidRDefault="00BC0563">
            <w:pPr>
              <w:pStyle w:val="TableParagraph"/>
              <w:ind w:left="82"/>
              <w:rPr>
                <w:sz w:val="16"/>
              </w:rPr>
            </w:pPr>
            <w:r>
              <w:rPr>
                <w:color w:val="231F20"/>
                <w:w w:val="80"/>
                <w:sz w:val="16"/>
              </w:rPr>
              <w:t>6.5.4.b</w:t>
            </w:r>
          </w:p>
        </w:tc>
        <w:tc>
          <w:tcPr>
            <w:tcW w:w="4866" w:type="dxa"/>
            <w:gridSpan w:val="2"/>
            <w:tcBorders>
              <w:left w:val="single" w:sz="6" w:space="0" w:color="231F20"/>
              <w:right w:val="single" w:sz="6" w:space="0" w:color="231F20"/>
            </w:tcBorders>
          </w:tcPr>
          <w:p w14:paraId="37477F07" w14:textId="77777777" w:rsidR="009948F1" w:rsidRDefault="00BC0563">
            <w:pPr>
              <w:pStyle w:val="TableParagraph"/>
              <w:spacing w:before="134" w:line="268" w:lineRule="auto"/>
              <w:ind w:left="24" w:right="70"/>
              <w:rPr>
                <w:sz w:val="16"/>
              </w:rPr>
            </w:pPr>
            <w:r>
              <w:rPr>
                <w:color w:val="231F20"/>
                <w:w w:val="75"/>
                <w:sz w:val="16"/>
              </w:rPr>
              <w:t>Conduct</w:t>
            </w:r>
            <w:r>
              <w:rPr>
                <w:color w:val="231F20"/>
                <w:spacing w:val="-8"/>
                <w:w w:val="75"/>
                <w:sz w:val="16"/>
              </w:rPr>
              <w:t xml:space="preserve"> </w:t>
            </w:r>
            <w:r>
              <w:rPr>
                <w:color w:val="231F20"/>
                <w:w w:val="75"/>
                <w:sz w:val="16"/>
              </w:rPr>
              <w:t>advocacy</w:t>
            </w:r>
            <w:r>
              <w:rPr>
                <w:color w:val="231F20"/>
                <w:spacing w:val="-7"/>
                <w:w w:val="75"/>
                <w:sz w:val="16"/>
              </w:rPr>
              <w:t xml:space="preserve"> </w:t>
            </w:r>
            <w:r>
              <w:rPr>
                <w:color w:val="231F20"/>
                <w:w w:val="75"/>
                <w:sz w:val="16"/>
              </w:rPr>
              <w:t>visit</w:t>
            </w:r>
            <w:r>
              <w:rPr>
                <w:color w:val="231F20"/>
                <w:spacing w:val="-7"/>
                <w:w w:val="75"/>
                <w:sz w:val="16"/>
              </w:rPr>
              <w:t xml:space="preserve"> </w:t>
            </w:r>
            <w:r>
              <w:rPr>
                <w:color w:val="231F20"/>
                <w:w w:val="75"/>
                <w:sz w:val="16"/>
              </w:rPr>
              <w:t>to</w:t>
            </w:r>
            <w:r>
              <w:rPr>
                <w:color w:val="231F20"/>
                <w:spacing w:val="-7"/>
                <w:w w:val="75"/>
                <w:sz w:val="16"/>
              </w:rPr>
              <w:t xml:space="preserve"> </w:t>
            </w:r>
            <w:r>
              <w:rPr>
                <w:color w:val="231F20"/>
                <w:w w:val="75"/>
                <w:sz w:val="16"/>
              </w:rPr>
              <w:t>community</w:t>
            </w:r>
            <w:r>
              <w:rPr>
                <w:color w:val="231F20"/>
                <w:spacing w:val="-7"/>
                <w:w w:val="75"/>
                <w:sz w:val="16"/>
              </w:rPr>
              <w:t xml:space="preserve"> </w:t>
            </w:r>
            <w:r>
              <w:rPr>
                <w:color w:val="231F20"/>
                <w:w w:val="75"/>
                <w:sz w:val="16"/>
              </w:rPr>
              <w:t>institutions</w:t>
            </w:r>
            <w:r>
              <w:rPr>
                <w:color w:val="231F20"/>
                <w:spacing w:val="-7"/>
                <w:w w:val="75"/>
                <w:sz w:val="16"/>
              </w:rPr>
              <w:t xml:space="preserve"> </w:t>
            </w:r>
            <w:r>
              <w:rPr>
                <w:color w:val="231F20"/>
                <w:w w:val="75"/>
                <w:sz w:val="16"/>
              </w:rPr>
              <w:t>(WDCs)</w:t>
            </w:r>
            <w:r>
              <w:rPr>
                <w:color w:val="231F20"/>
                <w:spacing w:val="-7"/>
                <w:w w:val="75"/>
                <w:sz w:val="16"/>
              </w:rPr>
              <w:t xml:space="preserve"> </w:t>
            </w:r>
            <w:r>
              <w:rPr>
                <w:color w:val="231F20"/>
                <w:w w:val="75"/>
                <w:sz w:val="16"/>
              </w:rPr>
              <w:t>in</w:t>
            </w:r>
            <w:r>
              <w:rPr>
                <w:color w:val="231F20"/>
                <w:spacing w:val="-7"/>
                <w:w w:val="75"/>
                <w:sz w:val="16"/>
              </w:rPr>
              <w:t xml:space="preserve"> </w:t>
            </w:r>
            <w:r>
              <w:rPr>
                <w:color w:val="231F20"/>
                <w:w w:val="75"/>
                <w:sz w:val="16"/>
              </w:rPr>
              <w:t>the</w:t>
            </w:r>
            <w:r>
              <w:rPr>
                <w:color w:val="231F20"/>
                <w:spacing w:val="-7"/>
                <w:w w:val="75"/>
                <w:sz w:val="16"/>
              </w:rPr>
              <w:t xml:space="preserve"> </w:t>
            </w:r>
            <w:r>
              <w:rPr>
                <w:color w:val="231F20"/>
                <w:w w:val="75"/>
                <w:sz w:val="16"/>
              </w:rPr>
              <w:t>23</w:t>
            </w:r>
            <w:r>
              <w:rPr>
                <w:color w:val="231F20"/>
                <w:spacing w:val="-7"/>
                <w:w w:val="75"/>
                <w:sz w:val="16"/>
              </w:rPr>
              <w:t xml:space="preserve"> </w:t>
            </w:r>
            <w:r>
              <w:rPr>
                <w:color w:val="231F20"/>
                <w:w w:val="75"/>
                <w:sz w:val="16"/>
              </w:rPr>
              <w:t>LGAs</w:t>
            </w:r>
            <w:r>
              <w:rPr>
                <w:color w:val="231F20"/>
                <w:spacing w:val="-7"/>
                <w:w w:val="75"/>
                <w:sz w:val="16"/>
              </w:rPr>
              <w:t xml:space="preserve"> </w:t>
            </w:r>
            <w:r>
              <w:rPr>
                <w:color w:val="231F20"/>
                <w:w w:val="75"/>
                <w:sz w:val="16"/>
              </w:rPr>
              <w:t>to</w:t>
            </w:r>
            <w:r>
              <w:rPr>
                <w:color w:val="231F20"/>
                <w:spacing w:val="-7"/>
                <w:w w:val="75"/>
                <w:sz w:val="16"/>
              </w:rPr>
              <w:t xml:space="preserve"> </w:t>
            </w:r>
            <w:r>
              <w:rPr>
                <w:color w:val="231F20"/>
                <w:w w:val="75"/>
                <w:sz w:val="16"/>
              </w:rPr>
              <w:t>increase</w:t>
            </w:r>
            <w:r>
              <w:rPr>
                <w:color w:val="231F20"/>
                <w:spacing w:val="-7"/>
                <w:w w:val="75"/>
                <w:sz w:val="16"/>
              </w:rPr>
              <w:t xml:space="preserve"> </w:t>
            </w:r>
            <w:r>
              <w:rPr>
                <w:color w:val="231F20"/>
                <w:w w:val="75"/>
                <w:sz w:val="16"/>
              </w:rPr>
              <w:t xml:space="preserve">public </w:t>
            </w:r>
            <w:r>
              <w:rPr>
                <w:color w:val="231F20"/>
                <w:w w:val="85"/>
                <w:sz w:val="16"/>
              </w:rPr>
              <w:t>awareness</w:t>
            </w:r>
            <w:r>
              <w:rPr>
                <w:color w:val="231F20"/>
                <w:spacing w:val="-9"/>
                <w:w w:val="85"/>
                <w:sz w:val="16"/>
              </w:rPr>
              <w:t xml:space="preserve"> </w:t>
            </w:r>
            <w:r>
              <w:rPr>
                <w:color w:val="231F20"/>
                <w:w w:val="85"/>
                <w:sz w:val="16"/>
              </w:rPr>
              <w:t>of</w:t>
            </w:r>
            <w:r>
              <w:rPr>
                <w:color w:val="231F20"/>
                <w:spacing w:val="-9"/>
                <w:w w:val="85"/>
                <w:sz w:val="16"/>
              </w:rPr>
              <w:t xml:space="preserve"> </w:t>
            </w:r>
            <w:r>
              <w:rPr>
                <w:color w:val="231F20"/>
                <w:w w:val="85"/>
                <w:sz w:val="16"/>
              </w:rPr>
              <w:t>available</w:t>
            </w:r>
            <w:r>
              <w:rPr>
                <w:color w:val="231F20"/>
                <w:spacing w:val="-9"/>
                <w:w w:val="85"/>
                <w:sz w:val="16"/>
              </w:rPr>
              <w:t xml:space="preserve"> </w:t>
            </w:r>
            <w:r>
              <w:rPr>
                <w:color w:val="231F20"/>
                <w:w w:val="85"/>
                <w:sz w:val="16"/>
              </w:rPr>
              <w:t>eye</w:t>
            </w:r>
            <w:r>
              <w:rPr>
                <w:color w:val="231F20"/>
                <w:spacing w:val="-9"/>
                <w:w w:val="85"/>
                <w:sz w:val="16"/>
              </w:rPr>
              <w:t xml:space="preserve"> </w:t>
            </w:r>
            <w:r>
              <w:rPr>
                <w:color w:val="231F20"/>
                <w:w w:val="85"/>
                <w:sz w:val="16"/>
              </w:rPr>
              <w:t>care</w:t>
            </w:r>
            <w:r>
              <w:rPr>
                <w:color w:val="231F20"/>
                <w:spacing w:val="-9"/>
                <w:w w:val="85"/>
                <w:sz w:val="16"/>
              </w:rPr>
              <w:t xml:space="preserve"> </w:t>
            </w:r>
            <w:r>
              <w:rPr>
                <w:color w:val="231F20"/>
                <w:w w:val="85"/>
                <w:sz w:val="16"/>
              </w:rPr>
              <w:t>services</w:t>
            </w:r>
          </w:p>
        </w:tc>
        <w:tc>
          <w:tcPr>
            <w:tcW w:w="1419" w:type="dxa"/>
            <w:tcBorders>
              <w:left w:val="single" w:sz="6" w:space="0" w:color="231F20"/>
              <w:right w:val="single" w:sz="6" w:space="0" w:color="231F20"/>
            </w:tcBorders>
          </w:tcPr>
          <w:p w14:paraId="4CE0FF91" w14:textId="77777777" w:rsidR="009948F1" w:rsidRDefault="009948F1">
            <w:pPr>
              <w:pStyle w:val="TableParagraph"/>
              <w:spacing w:before="1"/>
              <w:rPr>
                <w:sz w:val="21"/>
              </w:rPr>
            </w:pPr>
          </w:p>
          <w:p w14:paraId="6EB93736"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right w:val="single" w:sz="6" w:space="0" w:color="231F20"/>
            </w:tcBorders>
          </w:tcPr>
          <w:p w14:paraId="52881524" w14:textId="77777777" w:rsidR="009948F1" w:rsidRDefault="009948F1">
            <w:pPr>
              <w:pStyle w:val="TableParagraph"/>
              <w:spacing w:before="1"/>
              <w:rPr>
                <w:sz w:val="21"/>
              </w:rPr>
            </w:pPr>
          </w:p>
          <w:p w14:paraId="499FF01A" w14:textId="77777777" w:rsidR="009948F1" w:rsidRDefault="00BC0563">
            <w:pPr>
              <w:pStyle w:val="TableParagraph"/>
              <w:ind w:left="25"/>
              <w:rPr>
                <w:sz w:val="16"/>
              </w:rPr>
            </w:pPr>
            <w:r>
              <w:rPr>
                <w:color w:val="231F20"/>
                <w:w w:val="85"/>
                <w:sz w:val="16"/>
              </w:rPr>
              <w:t>Conduct advocacy visit</w:t>
            </w:r>
          </w:p>
        </w:tc>
      </w:tr>
      <w:tr w:rsidR="009948F1" w14:paraId="549D4CB3" w14:textId="77777777">
        <w:trPr>
          <w:trHeight w:val="666"/>
        </w:trPr>
        <w:tc>
          <w:tcPr>
            <w:tcW w:w="1032" w:type="dxa"/>
            <w:gridSpan w:val="3"/>
            <w:vMerge/>
            <w:tcBorders>
              <w:top w:val="nil"/>
              <w:left w:val="single" w:sz="6" w:space="0" w:color="231F20"/>
              <w:right w:val="single" w:sz="6" w:space="0" w:color="231F20"/>
            </w:tcBorders>
          </w:tcPr>
          <w:p w14:paraId="5F6A33C4" w14:textId="77777777" w:rsidR="009948F1" w:rsidRDefault="009948F1">
            <w:pPr>
              <w:rPr>
                <w:sz w:val="2"/>
                <w:szCs w:val="2"/>
              </w:rPr>
            </w:pPr>
          </w:p>
        </w:tc>
        <w:tc>
          <w:tcPr>
            <w:tcW w:w="522" w:type="dxa"/>
            <w:tcBorders>
              <w:left w:val="single" w:sz="6" w:space="0" w:color="231F20"/>
              <w:right w:val="single" w:sz="6" w:space="0" w:color="231F20"/>
            </w:tcBorders>
          </w:tcPr>
          <w:p w14:paraId="0850DEFE" w14:textId="77777777" w:rsidR="009948F1" w:rsidRDefault="009948F1">
            <w:pPr>
              <w:pStyle w:val="TableParagraph"/>
              <w:spacing w:before="1"/>
              <w:rPr>
                <w:sz w:val="21"/>
              </w:rPr>
            </w:pPr>
          </w:p>
          <w:p w14:paraId="21876242" w14:textId="77777777" w:rsidR="009948F1" w:rsidRDefault="00BC0563">
            <w:pPr>
              <w:pStyle w:val="TableParagraph"/>
              <w:ind w:left="86"/>
              <w:rPr>
                <w:sz w:val="16"/>
              </w:rPr>
            </w:pPr>
            <w:r>
              <w:rPr>
                <w:color w:val="231F20"/>
                <w:w w:val="80"/>
                <w:sz w:val="16"/>
              </w:rPr>
              <w:t>6.5.4.c</w:t>
            </w:r>
          </w:p>
        </w:tc>
        <w:tc>
          <w:tcPr>
            <w:tcW w:w="4866" w:type="dxa"/>
            <w:gridSpan w:val="2"/>
            <w:tcBorders>
              <w:left w:val="single" w:sz="6" w:space="0" w:color="231F20"/>
              <w:right w:val="single" w:sz="6" w:space="0" w:color="231F20"/>
            </w:tcBorders>
          </w:tcPr>
          <w:p w14:paraId="61D1495A" w14:textId="77777777" w:rsidR="009948F1" w:rsidRDefault="00BC0563">
            <w:pPr>
              <w:pStyle w:val="TableParagraph"/>
              <w:spacing w:before="134" w:line="268" w:lineRule="auto"/>
              <w:ind w:left="24" w:right="10"/>
              <w:rPr>
                <w:sz w:val="16"/>
              </w:rPr>
            </w:pPr>
            <w:r>
              <w:rPr>
                <w:color w:val="231F20"/>
                <w:w w:val="75"/>
                <w:sz w:val="16"/>
              </w:rPr>
              <w:t xml:space="preserve">Public enlightenment through multi-media approach to enhance positive </w:t>
            </w:r>
            <w:proofErr w:type="spellStart"/>
            <w:r>
              <w:rPr>
                <w:color w:val="231F20"/>
                <w:w w:val="75"/>
                <w:sz w:val="16"/>
              </w:rPr>
              <w:t>behaviour</w:t>
            </w:r>
            <w:proofErr w:type="spellEnd"/>
            <w:r>
              <w:rPr>
                <w:color w:val="231F20"/>
                <w:w w:val="75"/>
                <w:sz w:val="16"/>
              </w:rPr>
              <w:t xml:space="preserve"> change </w:t>
            </w:r>
            <w:r>
              <w:rPr>
                <w:color w:val="231F20"/>
                <w:w w:val="85"/>
                <w:sz w:val="16"/>
              </w:rPr>
              <w:t>and improved uptake eye care services by the communities</w:t>
            </w:r>
          </w:p>
        </w:tc>
        <w:tc>
          <w:tcPr>
            <w:tcW w:w="1419" w:type="dxa"/>
            <w:tcBorders>
              <w:left w:val="single" w:sz="6" w:space="0" w:color="231F20"/>
              <w:right w:val="single" w:sz="6" w:space="0" w:color="231F20"/>
            </w:tcBorders>
          </w:tcPr>
          <w:p w14:paraId="34F7F78F" w14:textId="77777777" w:rsidR="009948F1" w:rsidRDefault="009948F1">
            <w:pPr>
              <w:pStyle w:val="TableParagraph"/>
              <w:spacing w:before="1"/>
              <w:rPr>
                <w:sz w:val="21"/>
              </w:rPr>
            </w:pPr>
          </w:p>
          <w:p w14:paraId="27E0F813"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right w:val="single" w:sz="6" w:space="0" w:color="231F20"/>
            </w:tcBorders>
          </w:tcPr>
          <w:p w14:paraId="7C99C38B" w14:textId="77777777" w:rsidR="009948F1" w:rsidRDefault="009948F1">
            <w:pPr>
              <w:pStyle w:val="TableParagraph"/>
              <w:spacing w:before="1"/>
              <w:rPr>
                <w:sz w:val="21"/>
              </w:rPr>
            </w:pPr>
          </w:p>
          <w:p w14:paraId="31EFB91D" w14:textId="453117C9" w:rsidR="009948F1" w:rsidRDefault="00BC0563">
            <w:pPr>
              <w:pStyle w:val="TableParagraph"/>
              <w:ind w:left="25"/>
              <w:rPr>
                <w:sz w:val="16"/>
              </w:rPr>
            </w:pPr>
            <w:r>
              <w:rPr>
                <w:color w:val="231F20"/>
                <w:w w:val="85"/>
                <w:sz w:val="16"/>
              </w:rPr>
              <w:t xml:space="preserve">Public </w:t>
            </w:r>
            <w:r w:rsidR="00922ECA">
              <w:rPr>
                <w:color w:val="231F20"/>
                <w:w w:val="85"/>
                <w:sz w:val="16"/>
              </w:rPr>
              <w:t>enlightenment</w:t>
            </w:r>
          </w:p>
        </w:tc>
      </w:tr>
      <w:tr w:rsidR="009948F1" w14:paraId="2171562D" w14:textId="77777777">
        <w:trPr>
          <w:trHeight w:val="217"/>
        </w:trPr>
        <w:tc>
          <w:tcPr>
            <w:tcW w:w="9336" w:type="dxa"/>
            <w:gridSpan w:val="8"/>
            <w:tcBorders>
              <w:left w:val="single" w:sz="6" w:space="0" w:color="231F20"/>
              <w:right w:val="nil"/>
            </w:tcBorders>
            <w:shd w:val="clear" w:color="auto" w:fill="A6CE39"/>
          </w:tcPr>
          <w:p w14:paraId="31944D97" w14:textId="77777777" w:rsidR="009948F1" w:rsidRDefault="00BC0563">
            <w:pPr>
              <w:pStyle w:val="TableParagraph"/>
              <w:spacing w:before="7" w:line="191" w:lineRule="exact"/>
              <w:ind w:left="3058"/>
              <w:rPr>
                <w:b/>
                <w:sz w:val="19"/>
              </w:rPr>
            </w:pPr>
            <w:r>
              <w:rPr>
                <w:b/>
                <w:color w:val="231F20"/>
                <w:w w:val="85"/>
                <w:sz w:val="19"/>
              </w:rPr>
              <w:t>7. Emergency Medical Services and Hospital Care</w:t>
            </w:r>
          </w:p>
        </w:tc>
      </w:tr>
      <w:tr w:rsidR="009948F1" w14:paraId="6DC1D4B5" w14:textId="77777777">
        <w:trPr>
          <w:trHeight w:val="217"/>
        </w:trPr>
        <w:tc>
          <w:tcPr>
            <w:tcW w:w="9336" w:type="dxa"/>
            <w:gridSpan w:val="8"/>
            <w:tcBorders>
              <w:left w:val="single" w:sz="6" w:space="0" w:color="231F20"/>
              <w:right w:val="nil"/>
            </w:tcBorders>
            <w:shd w:val="clear" w:color="auto" w:fill="F6ADCD"/>
          </w:tcPr>
          <w:p w14:paraId="1403B84B" w14:textId="77777777" w:rsidR="009948F1" w:rsidRDefault="00BC0563">
            <w:pPr>
              <w:pStyle w:val="TableParagraph"/>
              <w:spacing w:before="15" w:line="183" w:lineRule="exact"/>
              <w:ind w:left="2101"/>
              <w:rPr>
                <w:b/>
                <w:sz w:val="16"/>
              </w:rPr>
            </w:pPr>
            <w:r>
              <w:rPr>
                <w:b/>
                <w:color w:val="231F20"/>
                <w:w w:val="85"/>
                <w:sz w:val="16"/>
              </w:rPr>
              <w:t>7. Improve health outcomes through prompt and effective response to medical emergencies</w:t>
            </w:r>
          </w:p>
        </w:tc>
      </w:tr>
      <w:tr w:rsidR="009948F1" w14:paraId="739BF67E" w14:textId="77777777">
        <w:trPr>
          <w:trHeight w:val="880"/>
        </w:trPr>
        <w:tc>
          <w:tcPr>
            <w:tcW w:w="178" w:type="dxa"/>
            <w:tcBorders>
              <w:left w:val="single" w:sz="6" w:space="0" w:color="231F20"/>
              <w:bottom w:val="nil"/>
              <w:right w:val="single" w:sz="6" w:space="0" w:color="231F20"/>
            </w:tcBorders>
          </w:tcPr>
          <w:p w14:paraId="400A1E30" w14:textId="77777777" w:rsidR="009948F1" w:rsidRDefault="009948F1">
            <w:pPr>
              <w:pStyle w:val="TableParagraph"/>
              <w:rPr>
                <w:rFonts w:ascii="Times New Roman"/>
                <w:sz w:val="10"/>
              </w:rPr>
            </w:pPr>
          </w:p>
        </w:tc>
        <w:tc>
          <w:tcPr>
            <w:tcW w:w="403" w:type="dxa"/>
            <w:tcBorders>
              <w:left w:val="single" w:sz="6" w:space="0" w:color="231F20"/>
              <w:right w:val="single" w:sz="6" w:space="0" w:color="231F20"/>
            </w:tcBorders>
            <w:shd w:val="clear" w:color="auto" w:fill="FFF200"/>
          </w:tcPr>
          <w:p w14:paraId="5F34E9C8" w14:textId="77777777" w:rsidR="009948F1" w:rsidRDefault="009948F1">
            <w:pPr>
              <w:pStyle w:val="TableParagraph"/>
              <w:rPr>
                <w:sz w:val="16"/>
              </w:rPr>
            </w:pPr>
          </w:p>
          <w:p w14:paraId="0BF98F67" w14:textId="77777777" w:rsidR="009948F1" w:rsidRDefault="009948F1">
            <w:pPr>
              <w:pStyle w:val="TableParagraph"/>
              <w:spacing w:before="8"/>
              <w:rPr>
                <w:sz w:val="14"/>
              </w:rPr>
            </w:pPr>
          </w:p>
          <w:p w14:paraId="7FFF0B8D" w14:textId="77777777" w:rsidR="009948F1" w:rsidRDefault="00BC0563">
            <w:pPr>
              <w:pStyle w:val="TableParagraph"/>
              <w:ind w:left="186"/>
              <w:rPr>
                <w:b/>
                <w:sz w:val="16"/>
              </w:rPr>
            </w:pPr>
            <w:r>
              <w:rPr>
                <w:b/>
                <w:color w:val="231F20"/>
                <w:w w:val="80"/>
                <w:sz w:val="16"/>
              </w:rPr>
              <w:t>7.1</w:t>
            </w:r>
          </w:p>
        </w:tc>
        <w:tc>
          <w:tcPr>
            <w:tcW w:w="5839" w:type="dxa"/>
            <w:gridSpan w:val="4"/>
            <w:tcBorders>
              <w:left w:val="single" w:sz="6" w:space="0" w:color="231F20"/>
            </w:tcBorders>
            <w:shd w:val="clear" w:color="auto" w:fill="FFF200"/>
          </w:tcPr>
          <w:p w14:paraId="766B15B5" w14:textId="77777777" w:rsidR="009948F1" w:rsidRDefault="009948F1">
            <w:pPr>
              <w:pStyle w:val="TableParagraph"/>
              <w:rPr>
                <w:sz w:val="16"/>
              </w:rPr>
            </w:pPr>
          </w:p>
          <w:p w14:paraId="052CB9C4" w14:textId="77777777" w:rsidR="009948F1" w:rsidRDefault="009948F1">
            <w:pPr>
              <w:pStyle w:val="TableParagraph"/>
              <w:spacing w:before="1"/>
              <w:rPr>
                <w:sz w:val="14"/>
              </w:rPr>
            </w:pPr>
          </w:p>
          <w:p w14:paraId="1FDF552B" w14:textId="77777777" w:rsidR="009948F1" w:rsidRDefault="00BC0563">
            <w:pPr>
              <w:pStyle w:val="TableParagraph"/>
              <w:ind w:left="55"/>
              <w:rPr>
                <w:b/>
                <w:sz w:val="16"/>
              </w:rPr>
            </w:pPr>
            <w:r>
              <w:rPr>
                <w:b/>
                <w:color w:val="231F20"/>
                <w:w w:val="85"/>
                <w:sz w:val="16"/>
              </w:rPr>
              <w:t>Strengthen emergency medical services (EMS)</w:t>
            </w:r>
          </w:p>
        </w:tc>
        <w:tc>
          <w:tcPr>
            <w:tcW w:w="1419" w:type="dxa"/>
            <w:shd w:val="clear" w:color="auto" w:fill="FFF200"/>
          </w:tcPr>
          <w:p w14:paraId="55D3189A" w14:textId="77777777" w:rsidR="009948F1" w:rsidRDefault="009948F1">
            <w:pPr>
              <w:pStyle w:val="TableParagraph"/>
              <w:rPr>
                <w:rFonts w:ascii="Times New Roman"/>
                <w:sz w:val="10"/>
              </w:rPr>
            </w:pPr>
          </w:p>
        </w:tc>
        <w:tc>
          <w:tcPr>
            <w:tcW w:w="1497" w:type="dxa"/>
            <w:tcBorders>
              <w:right w:val="single" w:sz="6" w:space="0" w:color="231F20"/>
            </w:tcBorders>
            <w:shd w:val="clear" w:color="auto" w:fill="FFF200"/>
          </w:tcPr>
          <w:p w14:paraId="1E63BED0" w14:textId="77777777" w:rsidR="009948F1" w:rsidRDefault="009948F1">
            <w:pPr>
              <w:pStyle w:val="TableParagraph"/>
              <w:rPr>
                <w:rFonts w:ascii="Times New Roman"/>
                <w:sz w:val="10"/>
              </w:rPr>
            </w:pPr>
          </w:p>
        </w:tc>
      </w:tr>
      <w:tr w:rsidR="009948F1" w14:paraId="1A1B204A" w14:textId="77777777">
        <w:trPr>
          <w:trHeight w:val="972"/>
        </w:trPr>
        <w:tc>
          <w:tcPr>
            <w:tcW w:w="581" w:type="dxa"/>
            <w:gridSpan w:val="2"/>
            <w:tcBorders>
              <w:top w:val="nil"/>
              <w:left w:val="single" w:sz="6" w:space="0" w:color="231F20"/>
              <w:bottom w:val="nil"/>
              <w:right w:val="single" w:sz="6" w:space="0" w:color="231F20"/>
            </w:tcBorders>
          </w:tcPr>
          <w:p w14:paraId="414C442C" w14:textId="77777777" w:rsidR="009948F1" w:rsidRDefault="009948F1">
            <w:pPr>
              <w:pStyle w:val="TableParagraph"/>
              <w:rPr>
                <w:rFonts w:ascii="Times New Roman"/>
                <w:sz w:val="10"/>
              </w:rPr>
            </w:pPr>
          </w:p>
        </w:tc>
        <w:tc>
          <w:tcPr>
            <w:tcW w:w="451" w:type="dxa"/>
            <w:tcBorders>
              <w:left w:val="single" w:sz="6" w:space="0" w:color="231F20"/>
              <w:right w:val="single" w:sz="6" w:space="0" w:color="231F20"/>
            </w:tcBorders>
            <w:shd w:val="clear" w:color="auto" w:fill="CCE7D3"/>
          </w:tcPr>
          <w:p w14:paraId="25E02454" w14:textId="77777777" w:rsidR="009948F1" w:rsidRDefault="009948F1">
            <w:pPr>
              <w:pStyle w:val="TableParagraph"/>
              <w:rPr>
                <w:sz w:val="16"/>
              </w:rPr>
            </w:pPr>
          </w:p>
          <w:p w14:paraId="22DE63EA" w14:textId="77777777" w:rsidR="009948F1" w:rsidRDefault="009948F1">
            <w:pPr>
              <w:pStyle w:val="TableParagraph"/>
              <w:spacing w:before="5"/>
              <w:rPr>
                <w:sz w:val="18"/>
              </w:rPr>
            </w:pPr>
          </w:p>
          <w:p w14:paraId="48ABC0BA" w14:textId="77777777" w:rsidR="009948F1" w:rsidRDefault="00BC0563">
            <w:pPr>
              <w:pStyle w:val="TableParagraph"/>
              <w:ind w:left="55"/>
              <w:rPr>
                <w:sz w:val="16"/>
              </w:rPr>
            </w:pPr>
            <w:r>
              <w:rPr>
                <w:color w:val="231F20"/>
                <w:w w:val="85"/>
                <w:sz w:val="16"/>
              </w:rPr>
              <w:t>7.1.1</w:t>
            </w:r>
          </w:p>
        </w:tc>
        <w:tc>
          <w:tcPr>
            <w:tcW w:w="3018" w:type="dxa"/>
            <w:gridSpan w:val="2"/>
            <w:tcBorders>
              <w:left w:val="single" w:sz="6" w:space="0" w:color="231F20"/>
              <w:right w:val="single" w:sz="6" w:space="0" w:color="231F20"/>
            </w:tcBorders>
            <w:shd w:val="clear" w:color="auto" w:fill="CCE7D3"/>
          </w:tcPr>
          <w:p w14:paraId="000D8CAC" w14:textId="77777777" w:rsidR="009948F1" w:rsidRDefault="00BC0563">
            <w:pPr>
              <w:pStyle w:val="TableParagraph"/>
              <w:spacing w:before="80" w:line="268" w:lineRule="auto"/>
              <w:ind w:left="23" w:right="5" w:firstLine="32"/>
              <w:rPr>
                <w:sz w:val="16"/>
              </w:rPr>
            </w:pPr>
            <w:r>
              <w:rPr>
                <w:color w:val="231F20"/>
                <w:w w:val="85"/>
                <w:sz w:val="16"/>
              </w:rPr>
              <w:t xml:space="preserve">Promote the development/adaptation and </w:t>
            </w:r>
            <w:r>
              <w:rPr>
                <w:color w:val="231F20"/>
                <w:w w:val="80"/>
                <w:sz w:val="16"/>
              </w:rPr>
              <w:t xml:space="preserve">implementation of regulatory framework, policy and </w:t>
            </w:r>
            <w:r>
              <w:rPr>
                <w:color w:val="231F20"/>
                <w:w w:val="75"/>
                <w:sz w:val="16"/>
              </w:rPr>
              <w:t xml:space="preserve">plans for Emergency Medical Services (EMS) across all </w:t>
            </w:r>
            <w:r>
              <w:rPr>
                <w:color w:val="231F20"/>
                <w:w w:val="85"/>
                <w:sz w:val="16"/>
              </w:rPr>
              <w:t>levels of care</w:t>
            </w:r>
          </w:p>
        </w:tc>
        <w:tc>
          <w:tcPr>
            <w:tcW w:w="2370" w:type="dxa"/>
            <w:tcBorders>
              <w:left w:val="single" w:sz="6" w:space="0" w:color="231F20"/>
              <w:right w:val="single" w:sz="6" w:space="0" w:color="231F20"/>
            </w:tcBorders>
            <w:shd w:val="clear" w:color="auto" w:fill="CCE7D3"/>
          </w:tcPr>
          <w:p w14:paraId="22DA4195" w14:textId="77777777" w:rsidR="009948F1" w:rsidRDefault="009948F1">
            <w:pPr>
              <w:pStyle w:val="TableParagraph"/>
              <w:spacing w:before="6"/>
              <w:rPr>
                <w:sz w:val="16"/>
              </w:rPr>
            </w:pPr>
          </w:p>
          <w:p w14:paraId="2A12B338" w14:textId="77777777" w:rsidR="009948F1" w:rsidRDefault="00BC0563">
            <w:pPr>
              <w:pStyle w:val="TableParagraph"/>
              <w:numPr>
                <w:ilvl w:val="0"/>
                <w:numId w:val="119"/>
              </w:numPr>
              <w:tabs>
                <w:tab w:val="left" w:pos="68"/>
              </w:tabs>
              <w:spacing w:before="1"/>
              <w:rPr>
                <w:sz w:val="16"/>
              </w:rPr>
            </w:pPr>
            <w:r>
              <w:rPr>
                <w:color w:val="231F20"/>
                <w:w w:val="80"/>
                <w:sz w:val="16"/>
              </w:rPr>
              <w:t>EMS</w:t>
            </w:r>
            <w:r>
              <w:rPr>
                <w:color w:val="231F20"/>
                <w:spacing w:val="-21"/>
                <w:w w:val="80"/>
                <w:sz w:val="16"/>
              </w:rPr>
              <w:t xml:space="preserve"> </w:t>
            </w:r>
            <w:r>
              <w:rPr>
                <w:color w:val="231F20"/>
                <w:w w:val="80"/>
                <w:sz w:val="16"/>
              </w:rPr>
              <w:t>policy,</w:t>
            </w:r>
            <w:r>
              <w:rPr>
                <w:color w:val="231F20"/>
                <w:spacing w:val="-21"/>
                <w:w w:val="80"/>
                <w:sz w:val="16"/>
              </w:rPr>
              <w:t xml:space="preserve"> </w:t>
            </w:r>
            <w:r>
              <w:rPr>
                <w:color w:val="231F20"/>
                <w:w w:val="80"/>
                <w:sz w:val="16"/>
              </w:rPr>
              <w:t>plans</w:t>
            </w:r>
            <w:r>
              <w:rPr>
                <w:color w:val="231F20"/>
                <w:spacing w:val="-20"/>
                <w:w w:val="80"/>
                <w:sz w:val="16"/>
              </w:rPr>
              <w:t xml:space="preserve"> </w:t>
            </w:r>
            <w:r>
              <w:rPr>
                <w:color w:val="231F20"/>
                <w:w w:val="80"/>
                <w:sz w:val="16"/>
              </w:rPr>
              <w:t>and</w:t>
            </w:r>
            <w:r>
              <w:rPr>
                <w:color w:val="231F20"/>
                <w:spacing w:val="-21"/>
                <w:w w:val="80"/>
                <w:sz w:val="16"/>
              </w:rPr>
              <w:t xml:space="preserve"> </w:t>
            </w:r>
            <w:r>
              <w:rPr>
                <w:color w:val="231F20"/>
                <w:w w:val="80"/>
                <w:sz w:val="16"/>
              </w:rPr>
              <w:t>guideline</w:t>
            </w:r>
            <w:r>
              <w:rPr>
                <w:color w:val="231F20"/>
                <w:spacing w:val="-20"/>
                <w:w w:val="80"/>
                <w:sz w:val="16"/>
              </w:rPr>
              <w:t xml:space="preserve"> </w:t>
            </w:r>
            <w:r>
              <w:rPr>
                <w:color w:val="231F20"/>
                <w:w w:val="80"/>
                <w:sz w:val="16"/>
              </w:rPr>
              <w:t>adapted</w:t>
            </w:r>
          </w:p>
          <w:p w14:paraId="2A723467" w14:textId="77777777" w:rsidR="009948F1" w:rsidRDefault="00BC0563">
            <w:pPr>
              <w:pStyle w:val="TableParagraph"/>
              <w:numPr>
                <w:ilvl w:val="0"/>
                <w:numId w:val="119"/>
              </w:numPr>
              <w:tabs>
                <w:tab w:val="left" w:pos="68"/>
              </w:tabs>
              <w:spacing w:before="21"/>
              <w:rPr>
                <w:sz w:val="16"/>
              </w:rPr>
            </w:pPr>
            <w:r>
              <w:rPr>
                <w:color w:val="231F20"/>
                <w:w w:val="85"/>
                <w:sz w:val="16"/>
              </w:rPr>
              <w:t>EMS</w:t>
            </w:r>
            <w:r>
              <w:rPr>
                <w:color w:val="231F20"/>
                <w:spacing w:val="-8"/>
                <w:w w:val="85"/>
                <w:sz w:val="16"/>
              </w:rPr>
              <w:t xml:space="preserve"> </w:t>
            </w:r>
            <w:r>
              <w:rPr>
                <w:color w:val="231F20"/>
                <w:w w:val="85"/>
                <w:sz w:val="16"/>
              </w:rPr>
              <w:t>functional</w:t>
            </w:r>
          </w:p>
          <w:p w14:paraId="7A510AB6" w14:textId="77777777" w:rsidR="009948F1" w:rsidRDefault="00BC0563">
            <w:pPr>
              <w:pStyle w:val="TableParagraph"/>
              <w:spacing w:before="22"/>
              <w:ind w:left="25"/>
              <w:rPr>
                <w:sz w:val="16"/>
              </w:rPr>
            </w:pPr>
            <w:r>
              <w:rPr>
                <w:color w:val="231F20"/>
                <w:w w:val="73"/>
                <w:sz w:val="16"/>
              </w:rPr>
              <w:t>•</w:t>
            </w:r>
          </w:p>
        </w:tc>
        <w:tc>
          <w:tcPr>
            <w:tcW w:w="1419" w:type="dxa"/>
            <w:tcBorders>
              <w:left w:val="single" w:sz="6" w:space="0" w:color="231F20"/>
              <w:right w:val="single" w:sz="6" w:space="0" w:color="231F20"/>
            </w:tcBorders>
            <w:shd w:val="clear" w:color="auto" w:fill="CCE7D3"/>
          </w:tcPr>
          <w:p w14:paraId="1214EA45" w14:textId="77777777" w:rsidR="009948F1" w:rsidRDefault="009948F1">
            <w:pPr>
              <w:pStyle w:val="TableParagraph"/>
              <w:rPr>
                <w:rFonts w:ascii="Times New Roman"/>
                <w:sz w:val="10"/>
              </w:rPr>
            </w:pPr>
          </w:p>
        </w:tc>
        <w:tc>
          <w:tcPr>
            <w:tcW w:w="1497" w:type="dxa"/>
            <w:tcBorders>
              <w:left w:val="single" w:sz="6" w:space="0" w:color="231F20"/>
              <w:right w:val="nil"/>
            </w:tcBorders>
            <w:shd w:val="clear" w:color="auto" w:fill="CCE7D3"/>
          </w:tcPr>
          <w:p w14:paraId="476C202C" w14:textId="77777777" w:rsidR="009948F1" w:rsidRDefault="009948F1">
            <w:pPr>
              <w:pStyle w:val="TableParagraph"/>
              <w:rPr>
                <w:rFonts w:ascii="Times New Roman"/>
                <w:sz w:val="10"/>
              </w:rPr>
            </w:pPr>
          </w:p>
        </w:tc>
      </w:tr>
      <w:tr w:rsidR="009948F1" w14:paraId="3BA6FD91" w14:textId="77777777">
        <w:trPr>
          <w:trHeight w:val="779"/>
        </w:trPr>
        <w:tc>
          <w:tcPr>
            <w:tcW w:w="1032" w:type="dxa"/>
            <w:gridSpan w:val="3"/>
            <w:vMerge w:val="restart"/>
            <w:tcBorders>
              <w:top w:val="nil"/>
              <w:left w:val="single" w:sz="6" w:space="0" w:color="231F20"/>
              <w:bottom w:val="nil"/>
              <w:right w:val="single" w:sz="6" w:space="0" w:color="231F20"/>
            </w:tcBorders>
          </w:tcPr>
          <w:p w14:paraId="1DB2645E" w14:textId="77777777" w:rsidR="009948F1" w:rsidRDefault="009948F1">
            <w:pPr>
              <w:pStyle w:val="TableParagraph"/>
              <w:rPr>
                <w:rFonts w:ascii="Times New Roman"/>
                <w:sz w:val="10"/>
              </w:rPr>
            </w:pPr>
          </w:p>
        </w:tc>
        <w:tc>
          <w:tcPr>
            <w:tcW w:w="522" w:type="dxa"/>
            <w:tcBorders>
              <w:left w:val="single" w:sz="6" w:space="0" w:color="231F20"/>
              <w:right w:val="single" w:sz="6" w:space="0" w:color="231F20"/>
            </w:tcBorders>
          </w:tcPr>
          <w:p w14:paraId="5FC12770" w14:textId="77777777" w:rsidR="009948F1" w:rsidRDefault="009948F1">
            <w:pPr>
              <w:pStyle w:val="TableParagraph"/>
              <w:rPr>
                <w:sz w:val="16"/>
              </w:rPr>
            </w:pPr>
          </w:p>
          <w:p w14:paraId="1012E3DC" w14:textId="77777777" w:rsidR="009948F1" w:rsidRDefault="00BC0563">
            <w:pPr>
              <w:pStyle w:val="TableParagraph"/>
              <w:spacing w:before="115"/>
              <w:ind w:left="99"/>
              <w:rPr>
                <w:sz w:val="16"/>
              </w:rPr>
            </w:pPr>
            <w:r>
              <w:rPr>
                <w:color w:val="231F20"/>
                <w:w w:val="85"/>
                <w:sz w:val="16"/>
              </w:rPr>
              <w:t>7.1.1a</w:t>
            </w:r>
          </w:p>
        </w:tc>
        <w:tc>
          <w:tcPr>
            <w:tcW w:w="4866" w:type="dxa"/>
            <w:gridSpan w:val="2"/>
            <w:tcBorders>
              <w:left w:val="single" w:sz="6" w:space="0" w:color="231F20"/>
            </w:tcBorders>
          </w:tcPr>
          <w:p w14:paraId="3FBC1F2D" w14:textId="77777777" w:rsidR="009948F1" w:rsidRDefault="009948F1">
            <w:pPr>
              <w:pStyle w:val="TableParagraph"/>
              <w:rPr>
                <w:sz w:val="16"/>
              </w:rPr>
            </w:pPr>
          </w:p>
          <w:p w14:paraId="2F04DA4A" w14:textId="77777777" w:rsidR="009948F1" w:rsidRDefault="00BC0563">
            <w:pPr>
              <w:pStyle w:val="TableParagraph"/>
              <w:spacing w:before="109"/>
              <w:ind w:left="24"/>
              <w:rPr>
                <w:sz w:val="16"/>
              </w:rPr>
            </w:pPr>
            <w:r>
              <w:rPr>
                <w:color w:val="231F20"/>
                <w:w w:val="75"/>
                <w:sz w:val="16"/>
              </w:rPr>
              <w:t>Adapt</w:t>
            </w:r>
            <w:r>
              <w:rPr>
                <w:color w:val="231F20"/>
                <w:spacing w:val="-7"/>
                <w:w w:val="75"/>
                <w:sz w:val="16"/>
              </w:rPr>
              <w:t xml:space="preserve"> </w:t>
            </w:r>
            <w:r>
              <w:rPr>
                <w:color w:val="231F20"/>
                <w:w w:val="75"/>
                <w:sz w:val="16"/>
              </w:rPr>
              <w:t>national</w:t>
            </w:r>
            <w:r>
              <w:rPr>
                <w:color w:val="231F20"/>
                <w:spacing w:val="-7"/>
                <w:w w:val="75"/>
                <w:sz w:val="16"/>
              </w:rPr>
              <w:t xml:space="preserve"> </w:t>
            </w:r>
            <w:r>
              <w:rPr>
                <w:color w:val="231F20"/>
                <w:w w:val="75"/>
                <w:sz w:val="16"/>
              </w:rPr>
              <w:t>EMS</w:t>
            </w:r>
            <w:r>
              <w:rPr>
                <w:color w:val="231F20"/>
                <w:spacing w:val="-6"/>
                <w:w w:val="75"/>
                <w:sz w:val="16"/>
              </w:rPr>
              <w:t xml:space="preserve"> </w:t>
            </w:r>
            <w:r>
              <w:rPr>
                <w:color w:val="231F20"/>
                <w:w w:val="75"/>
                <w:sz w:val="16"/>
              </w:rPr>
              <w:t>policy,</w:t>
            </w:r>
            <w:r>
              <w:rPr>
                <w:color w:val="231F20"/>
                <w:spacing w:val="-7"/>
                <w:w w:val="75"/>
                <w:sz w:val="16"/>
              </w:rPr>
              <w:t xml:space="preserve"> </w:t>
            </w:r>
            <w:r>
              <w:rPr>
                <w:color w:val="231F20"/>
                <w:w w:val="75"/>
                <w:sz w:val="16"/>
              </w:rPr>
              <w:t>plans</w:t>
            </w:r>
            <w:r>
              <w:rPr>
                <w:color w:val="231F20"/>
                <w:spacing w:val="-6"/>
                <w:w w:val="75"/>
                <w:sz w:val="16"/>
              </w:rPr>
              <w:t xml:space="preserve"> </w:t>
            </w:r>
            <w:r>
              <w:rPr>
                <w:color w:val="231F20"/>
                <w:w w:val="75"/>
                <w:sz w:val="16"/>
              </w:rPr>
              <w:t>and</w:t>
            </w:r>
            <w:r>
              <w:rPr>
                <w:color w:val="231F20"/>
                <w:spacing w:val="-7"/>
                <w:w w:val="75"/>
                <w:sz w:val="16"/>
              </w:rPr>
              <w:t xml:space="preserve"> </w:t>
            </w:r>
            <w:r>
              <w:rPr>
                <w:color w:val="231F20"/>
                <w:w w:val="75"/>
                <w:sz w:val="16"/>
              </w:rPr>
              <w:t>guidelines</w:t>
            </w:r>
            <w:r>
              <w:rPr>
                <w:color w:val="231F20"/>
                <w:spacing w:val="-6"/>
                <w:w w:val="75"/>
                <w:sz w:val="16"/>
              </w:rPr>
              <w:t xml:space="preserve"> </w:t>
            </w:r>
            <w:r>
              <w:rPr>
                <w:color w:val="231F20"/>
                <w:w w:val="75"/>
                <w:sz w:val="16"/>
              </w:rPr>
              <w:t>on</w:t>
            </w:r>
            <w:r>
              <w:rPr>
                <w:color w:val="231F20"/>
                <w:spacing w:val="-7"/>
                <w:w w:val="75"/>
                <w:sz w:val="16"/>
              </w:rPr>
              <w:t xml:space="preserve"> </w:t>
            </w:r>
            <w:r>
              <w:rPr>
                <w:color w:val="231F20"/>
                <w:w w:val="75"/>
                <w:sz w:val="16"/>
              </w:rPr>
              <w:t>EMS</w:t>
            </w:r>
            <w:r>
              <w:rPr>
                <w:color w:val="231F20"/>
                <w:spacing w:val="-7"/>
                <w:w w:val="75"/>
                <w:sz w:val="16"/>
              </w:rPr>
              <w:t xml:space="preserve"> </w:t>
            </w:r>
            <w:r>
              <w:rPr>
                <w:color w:val="231F20"/>
                <w:w w:val="75"/>
                <w:sz w:val="16"/>
              </w:rPr>
              <w:t>services</w:t>
            </w:r>
            <w:r>
              <w:rPr>
                <w:color w:val="231F20"/>
                <w:spacing w:val="-6"/>
                <w:w w:val="75"/>
                <w:sz w:val="16"/>
              </w:rPr>
              <w:t xml:space="preserve"> </w:t>
            </w:r>
            <w:r>
              <w:rPr>
                <w:color w:val="231F20"/>
                <w:w w:val="75"/>
                <w:sz w:val="16"/>
              </w:rPr>
              <w:t>with</w:t>
            </w:r>
            <w:r>
              <w:rPr>
                <w:color w:val="231F20"/>
                <w:spacing w:val="-7"/>
                <w:w w:val="75"/>
                <w:sz w:val="16"/>
              </w:rPr>
              <w:t xml:space="preserve"> </w:t>
            </w:r>
            <w:r>
              <w:rPr>
                <w:color w:val="231F20"/>
                <w:w w:val="75"/>
                <w:sz w:val="16"/>
              </w:rPr>
              <w:t>support</w:t>
            </w:r>
            <w:r>
              <w:rPr>
                <w:color w:val="231F20"/>
                <w:spacing w:val="-6"/>
                <w:w w:val="75"/>
                <w:sz w:val="16"/>
              </w:rPr>
              <w:t xml:space="preserve"> </w:t>
            </w:r>
            <w:r>
              <w:rPr>
                <w:color w:val="231F20"/>
                <w:w w:val="75"/>
                <w:sz w:val="16"/>
              </w:rPr>
              <w:t>from</w:t>
            </w:r>
            <w:r>
              <w:rPr>
                <w:color w:val="231F20"/>
                <w:spacing w:val="-7"/>
                <w:w w:val="75"/>
                <w:sz w:val="16"/>
              </w:rPr>
              <w:t xml:space="preserve"> </w:t>
            </w:r>
            <w:r>
              <w:rPr>
                <w:color w:val="231F20"/>
                <w:w w:val="75"/>
                <w:sz w:val="16"/>
              </w:rPr>
              <w:t>FMOH</w:t>
            </w:r>
          </w:p>
        </w:tc>
        <w:tc>
          <w:tcPr>
            <w:tcW w:w="1419" w:type="dxa"/>
            <w:tcBorders>
              <w:right w:val="single" w:sz="6" w:space="0" w:color="231F20"/>
            </w:tcBorders>
          </w:tcPr>
          <w:p w14:paraId="683713A9" w14:textId="77777777" w:rsidR="009948F1" w:rsidRDefault="009948F1">
            <w:pPr>
              <w:pStyle w:val="TableParagraph"/>
              <w:rPr>
                <w:sz w:val="16"/>
              </w:rPr>
            </w:pPr>
          </w:p>
          <w:p w14:paraId="23FA1EE0" w14:textId="77777777" w:rsidR="009948F1" w:rsidRDefault="00BC0563">
            <w:pPr>
              <w:pStyle w:val="TableParagraph"/>
              <w:spacing w:before="115"/>
              <w:ind w:left="22"/>
              <w:rPr>
                <w:sz w:val="16"/>
              </w:rPr>
            </w:pPr>
            <w:r>
              <w:rPr>
                <w:color w:val="231F20"/>
                <w:w w:val="85"/>
                <w:sz w:val="16"/>
              </w:rPr>
              <w:t>Lack of funds</w:t>
            </w:r>
          </w:p>
        </w:tc>
        <w:tc>
          <w:tcPr>
            <w:tcW w:w="1497" w:type="dxa"/>
            <w:tcBorders>
              <w:left w:val="single" w:sz="6" w:space="0" w:color="231F20"/>
              <w:right w:val="single" w:sz="6" w:space="0" w:color="231F20"/>
            </w:tcBorders>
          </w:tcPr>
          <w:p w14:paraId="4D7F411B" w14:textId="77777777" w:rsidR="009948F1" w:rsidRDefault="009948F1">
            <w:pPr>
              <w:pStyle w:val="TableParagraph"/>
              <w:rPr>
                <w:sz w:val="16"/>
              </w:rPr>
            </w:pPr>
          </w:p>
          <w:p w14:paraId="25F17876" w14:textId="77777777" w:rsidR="009948F1" w:rsidRDefault="00BC0563">
            <w:pPr>
              <w:pStyle w:val="TableParagraph"/>
              <w:spacing w:before="115"/>
              <w:ind w:left="25"/>
              <w:rPr>
                <w:sz w:val="16"/>
              </w:rPr>
            </w:pPr>
            <w:r>
              <w:rPr>
                <w:color w:val="231F20"/>
                <w:w w:val="85"/>
                <w:sz w:val="16"/>
              </w:rPr>
              <w:t>Conduct workshop</w:t>
            </w:r>
          </w:p>
        </w:tc>
      </w:tr>
      <w:tr w:rsidR="009948F1" w14:paraId="2762E126" w14:textId="77777777">
        <w:trPr>
          <w:trHeight w:val="748"/>
        </w:trPr>
        <w:tc>
          <w:tcPr>
            <w:tcW w:w="1032" w:type="dxa"/>
            <w:gridSpan w:val="3"/>
            <w:vMerge/>
            <w:tcBorders>
              <w:top w:val="nil"/>
              <w:left w:val="single" w:sz="6" w:space="0" w:color="231F20"/>
              <w:bottom w:val="nil"/>
              <w:right w:val="single" w:sz="6" w:space="0" w:color="231F20"/>
            </w:tcBorders>
          </w:tcPr>
          <w:p w14:paraId="105A6E15" w14:textId="77777777" w:rsidR="009948F1" w:rsidRDefault="009948F1">
            <w:pPr>
              <w:rPr>
                <w:sz w:val="2"/>
                <w:szCs w:val="2"/>
              </w:rPr>
            </w:pPr>
          </w:p>
        </w:tc>
        <w:tc>
          <w:tcPr>
            <w:tcW w:w="522" w:type="dxa"/>
            <w:tcBorders>
              <w:left w:val="single" w:sz="6" w:space="0" w:color="231F20"/>
              <w:right w:val="single" w:sz="6" w:space="0" w:color="231F20"/>
            </w:tcBorders>
          </w:tcPr>
          <w:p w14:paraId="783DDD43" w14:textId="77777777" w:rsidR="009948F1" w:rsidRDefault="009948F1">
            <w:pPr>
              <w:pStyle w:val="TableParagraph"/>
              <w:rPr>
                <w:sz w:val="16"/>
              </w:rPr>
            </w:pPr>
          </w:p>
          <w:p w14:paraId="785E5809" w14:textId="77777777" w:rsidR="009948F1" w:rsidRDefault="00BC0563">
            <w:pPr>
              <w:pStyle w:val="TableParagraph"/>
              <w:spacing w:before="100"/>
              <w:ind w:left="82"/>
              <w:rPr>
                <w:sz w:val="16"/>
              </w:rPr>
            </w:pPr>
            <w:r>
              <w:rPr>
                <w:color w:val="231F20"/>
                <w:w w:val="80"/>
                <w:sz w:val="16"/>
              </w:rPr>
              <w:t>7.1.1.b</w:t>
            </w:r>
          </w:p>
        </w:tc>
        <w:tc>
          <w:tcPr>
            <w:tcW w:w="4866" w:type="dxa"/>
            <w:gridSpan w:val="2"/>
            <w:tcBorders>
              <w:left w:val="single" w:sz="6" w:space="0" w:color="231F20"/>
              <w:right w:val="single" w:sz="6" w:space="0" w:color="231F20"/>
            </w:tcBorders>
          </w:tcPr>
          <w:p w14:paraId="5664457B" w14:textId="77777777" w:rsidR="009948F1" w:rsidRDefault="009948F1">
            <w:pPr>
              <w:pStyle w:val="TableParagraph"/>
              <w:rPr>
                <w:sz w:val="16"/>
              </w:rPr>
            </w:pPr>
          </w:p>
          <w:p w14:paraId="5FCA7565" w14:textId="77777777" w:rsidR="009948F1" w:rsidRDefault="00BC0563">
            <w:pPr>
              <w:pStyle w:val="TableParagraph"/>
              <w:spacing w:before="94"/>
              <w:ind w:left="24"/>
              <w:rPr>
                <w:sz w:val="16"/>
              </w:rPr>
            </w:pPr>
            <w:r>
              <w:rPr>
                <w:color w:val="231F20"/>
                <w:w w:val="85"/>
                <w:sz w:val="16"/>
              </w:rPr>
              <w:t>Revamp the coordinating framework for EMS and ETS at state level</w:t>
            </w:r>
          </w:p>
        </w:tc>
        <w:tc>
          <w:tcPr>
            <w:tcW w:w="1419" w:type="dxa"/>
            <w:tcBorders>
              <w:left w:val="single" w:sz="6" w:space="0" w:color="231F20"/>
              <w:right w:val="single" w:sz="6" w:space="0" w:color="231F20"/>
            </w:tcBorders>
          </w:tcPr>
          <w:p w14:paraId="75068B3D" w14:textId="77777777" w:rsidR="009948F1" w:rsidRDefault="009948F1">
            <w:pPr>
              <w:pStyle w:val="TableParagraph"/>
              <w:rPr>
                <w:sz w:val="16"/>
              </w:rPr>
            </w:pPr>
          </w:p>
          <w:p w14:paraId="1718A46A" w14:textId="77777777" w:rsidR="009948F1" w:rsidRDefault="00BC0563">
            <w:pPr>
              <w:pStyle w:val="TableParagraph"/>
              <w:spacing w:before="100"/>
              <w:ind w:left="25"/>
              <w:rPr>
                <w:sz w:val="16"/>
              </w:rPr>
            </w:pPr>
            <w:r>
              <w:rPr>
                <w:color w:val="231F20"/>
                <w:w w:val="85"/>
                <w:sz w:val="16"/>
              </w:rPr>
              <w:t>Lack of funds</w:t>
            </w:r>
          </w:p>
        </w:tc>
        <w:tc>
          <w:tcPr>
            <w:tcW w:w="1497" w:type="dxa"/>
            <w:tcBorders>
              <w:left w:val="single" w:sz="6" w:space="0" w:color="231F20"/>
              <w:right w:val="single" w:sz="6" w:space="0" w:color="231F20"/>
            </w:tcBorders>
          </w:tcPr>
          <w:p w14:paraId="276836B9" w14:textId="77777777" w:rsidR="009948F1" w:rsidRDefault="009948F1">
            <w:pPr>
              <w:pStyle w:val="TableParagraph"/>
              <w:rPr>
                <w:sz w:val="16"/>
              </w:rPr>
            </w:pPr>
          </w:p>
          <w:p w14:paraId="6408243B" w14:textId="77777777" w:rsidR="009948F1" w:rsidRDefault="00BC0563">
            <w:pPr>
              <w:pStyle w:val="TableParagraph"/>
              <w:spacing w:before="100"/>
              <w:ind w:left="25"/>
              <w:rPr>
                <w:sz w:val="16"/>
              </w:rPr>
            </w:pPr>
            <w:r>
              <w:rPr>
                <w:color w:val="231F20"/>
                <w:w w:val="85"/>
                <w:sz w:val="16"/>
              </w:rPr>
              <w:t>Conduct meeting</w:t>
            </w:r>
          </w:p>
        </w:tc>
      </w:tr>
      <w:tr w:rsidR="009948F1" w14:paraId="64494569" w14:textId="77777777">
        <w:trPr>
          <w:trHeight w:val="400"/>
        </w:trPr>
        <w:tc>
          <w:tcPr>
            <w:tcW w:w="1032" w:type="dxa"/>
            <w:gridSpan w:val="3"/>
            <w:vMerge/>
            <w:tcBorders>
              <w:top w:val="nil"/>
              <w:left w:val="single" w:sz="6" w:space="0" w:color="231F20"/>
              <w:bottom w:val="nil"/>
              <w:right w:val="single" w:sz="6" w:space="0" w:color="231F20"/>
            </w:tcBorders>
          </w:tcPr>
          <w:p w14:paraId="17642FFF" w14:textId="77777777" w:rsidR="009948F1" w:rsidRDefault="009948F1">
            <w:pPr>
              <w:rPr>
                <w:sz w:val="2"/>
                <w:szCs w:val="2"/>
              </w:rPr>
            </w:pPr>
          </w:p>
        </w:tc>
        <w:tc>
          <w:tcPr>
            <w:tcW w:w="522" w:type="dxa"/>
            <w:tcBorders>
              <w:left w:val="single" w:sz="6" w:space="0" w:color="231F20"/>
              <w:right w:val="single" w:sz="6" w:space="0" w:color="231F20"/>
            </w:tcBorders>
          </w:tcPr>
          <w:p w14:paraId="7991FE29" w14:textId="77777777" w:rsidR="009948F1" w:rsidRDefault="00BC0563">
            <w:pPr>
              <w:pStyle w:val="TableParagraph"/>
              <w:spacing w:before="110"/>
              <w:ind w:left="86"/>
              <w:rPr>
                <w:sz w:val="16"/>
              </w:rPr>
            </w:pPr>
            <w:r>
              <w:rPr>
                <w:color w:val="231F20"/>
                <w:w w:val="80"/>
                <w:sz w:val="16"/>
              </w:rPr>
              <w:t>7.1.1.c</w:t>
            </w:r>
          </w:p>
        </w:tc>
        <w:tc>
          <w:tcPr>
            <w:tcW w:w="4866" w:type="dxa"/>
            <w:gridSpan w:val="2"/>
            <w:tcBorders>
              <w:left w:val="single" w:sz="6" w:space="0" w:color="231F20"/>
              <w:right w:val="single" w:sz="6" w:space="0" w:color="231F20"/>
            </w:tcBorders>
          </w:tcPr>
          <w:p w14:paraId="70D05165" w14:textId="27D99B3D" w:rsidR="009948F1" w:rsidRDefault="00FB089D">
            <w:pPr>
              <w:pStyle w:val="TableParagraph"/>
              <w:spacing w:before="103"/>
              <w:ind w:left="24"/>
              <w:rPr>
                <w:sz w:val="16"/>
              </w:rPr>
            </w:pPr>
            <w:r>
              <w:rPr>
                <w:color w:val="231F20"/>
                <w:w w:val="80"/>
                <w:sz w:val="16"/>
              </w:rPr>
              <w:t>Strengthen</w:t>
            </w:r>
            <w:r w:rsidR="00BC0563">
              <w:rPr>
                <w:color w:val="231F20"/>
                <w:spacing w:val="-20"/>
                <w:w w:val="80"/>
                <w:sz w:val="16"/>
              </w:rPr>
              <w:t xml:space="preserve"> </w:t>
            </w:r>
            <w:r w:rsidR="00BC0563">
              <w:rPr>
                <w:color w:val="231F20"/>
                <w:w w:val="80"/>
                <w:sz w:val="16"/>
              </w:rPr>
              <w:t>institutional</w:t>
            </w:r>
            <w:r w:rsidR="00BC0563">
              <w:rPr>
                <w:color w:val="231F20"/>
                <w:spacing w:val="-19"/>
                <w:w w:val="80"/>
                <w:sz w:val="16"/>
              </w:rPr>
              <w:t xml:space="preserve"> </w:t>
            </w:r>
            <w:r w:rsidR="00BC0563">
              <w:rPr>
                <w:color w:val="231F20"/>
                <w:w w:val="80"/>
                <w:sz w:val="16"/>
              </w:rPr>
              <w:t>structures</w:t>
            </w:r>
            <w:r w:rsidR="00BC0563">
              <w:rPr>
                <w:color w:val="231F20"/>
                <w:spacing w:val="-19"/>
                <w:w w:val="80"/>
                <w:sz w:val="16"/>
              </w:rPr>
              <w:t xml:space="preserve"> </w:t>
            </w:r>
            <w:r w:rsidR="00BC0563">
              <w:rPr>
                <w:color w:val="231F20"/>
                <w:w w:val="80"/>
                <w:sz w:val="16"/>
              </w:rPr>
              <w:t>for</w:t>
            </w:r>
            <w:r w:rsidR="00BC0563">
              <w:rPr>
                <w:color w:val="231F20"/>
                <w:spacing w:val="-19"/>
                <w:w w:val="80"/>
                <w:sz w:val="16"/>
              </w:rPr>
              <w:t xml:space="preserve"> </w:t>
            </w:r>
            <w:r w:rsidR="00BC0563">
              <w:rPr>
                <w:color w:val="231F20"/>
                <w:w w:val="80"/>
                <w:sz w:val="16"/>
              </w:rPr>
              <w:t>the</w:t>
            </w:r>
            <w:r w:rsidR="00BC0563">
              <w:rPr>
                <w:color w:val="231F20"/>
                <w:spacing w:val="-19"/>
                <w:w w:val="80"/>
                <w:sz w:val="16"/>
              </w:rPr>
              <w:t xml:space="preserve"> </w:t>
            </w:r>
            <w:r w:rsidR="00BC0563">
              <w:rPr>
                <w:color w:val="231F20"/>
                <w:w w:val="80"/>
                <w:sz w:val="16"/>
              </w:rPr>
              <w:t>implementation</w:t>
            </w:r>
            <w:r w:rsidR="00BC0563">
              <w:rPr>
                <w:color w:val="231F20"/>
                <w:spacing w:val="-19"/>
                <w:w w:val="80"/>
                <w:sz w:val="16"/>
              </w:rPr>
              <w:t xml:space="preserve"> </w:t>
            </w:r>
            <w:r w:rsidR="00BC0563">
              <w:rPr>
                <w:color w:val="231F20"/>
                <w:w w:val="80"/>
                <w:sz w:val="16"/>
              </w:rPr>
              <w:t>of</w:t>
            </w:r>
            <w:r w:rsidR="00BC0563">
              <w:rPr>
                <w:color w:val="231F20"/>
                <w:spacing w:val="-19"/>
                <w:w w:val="80"/>
                <w:sz w:val="16"/>
              </w:rPr>
              <w:t xml:space="preserve"> </w:t>
            </w:r>
            <w:r w:rsidR="00BC0563">
              <w:rPr>
                <w:color w:val="231F20"/>
                <w:w w:val="80"/>
                <w:sz w:val="16"/>
              </w:rPr>
              <w:t>the</w:t>
            </w:r>
            <w:r w:rsidR="00BC0563">
              <w:rPr>
                <w:color w:val="231F20"/>
                <w:spacing w:val="-19"/>
                <w:w w:val="80"/>
                <w:sz w:val="16"/>
              </w:rPr>
              <w:t xml:space="preserve"> </w:t>
            </w:r>
            <w:r w:rsidR="00BC0563">
              <w:rPr>
                <w:color w:val="231F20"/>
                <w:w w:val="80"/>
                <w:sz w:val="16"/>
              </w:rPr>
              <w:t>EMS</w:t>
            </w:r>
            <w:r w:rsidR="00BC0563">
              <w:rPr>
                <w:color w:val="231F20"/>
                <w:spacing w:val="-19"/>
                <w:w w:val="80"/>
                <w:sz w:val="16"/>
              </w:rPr>
              <w:t xml:space="preserve"> </w:t>
            </w:r>
            <w:r w:rsidR="00BC0563">
              <w:rPr>
                <w:color w:val="231F20"/>
                <w:w w:val="80"/>
                <w:sz w:val="16"/>
              </w:rPr>
              <w:t>and</w:t>
            </w:r>
            <w:r w:rsidR="00BC0563">
              <w:rPr>
                <w:color w:val="231F20"/>
                <w:spacing w:val="-19"/>
                <w:w w:val="80"/>
                <w:sz w:val="16"/>
              </w:rPr>
              <w:t xml:space="preserve"> </w:t>
            </w:r>
            <w:r w:rsidR="00BC0563">
              <w:rPr>
                <w:color w:val="231F20"/>
                <w:w w:val="80"/>
                <w:sz w:val="16"/>
              </w:rPr>
              <w:t>ETS</w:t>
            </w:r>
            <w:r w:rsidR="00BC0563">
              <w:rPr>
                <w:color w:val="231F20"/>
                <w:spacing w:val="-19"/>
                <w:w w:val="80"/>
                <w:sz w:val="16"/>
              </w:rPr>
              <w:t xml:space="preserve"> </w:t>
            </w:r>
            <w:r w:rsidR="00BC0563">
              <w:rPr>
                <w:color w:val="231F20"/>
                <w:w w:val="80"/>
                <w:sz w:val="16"/>
              </w:rPr>
              <w:t>services</w:t>
            </w:r>
          </w:p>
        </w:tc>
        <w:tc>
          <w:tcPr>
            <w:tcW w:w="1419" w:type="dxa"/>
            <w:tcBorders>
              <w:left w:val="single" w:sz="6" w:space="0" w:color="231F20"/>
              <w:right w:val="single" w:sz="6" w:space="0" w:color="231F20"/>
            </w:tcBorders>
          </w:tcPr>
          <w:p w14:paraId="02CF7C1E" w14:textId="77777777" w:rsidR="009948F1" w:rsidRDefault="00BC0563">
            <w:pPr>
              <w:pStyle w:val="TableParagraph"/>
              <w:spacing w:before="110"/>
              <w:ind w:left="25"/>
              <w:rPr>
                <w:sz w:val="16"/>
              </w:rPr>
            </w:pPr>
            <w:r>
              <w:rPr>
                <w:color w:val="231F20"/>
                <w:w w:val="85"/>
                <w:sz w:val="16"/>
              </w:rPr>
              <w:t>Lack of funds</w:t>
            </w:r>
          </w:p>
        </w:tc>
        <w:tc>
          <w:tcPr>
            <w:tcW w:w="1497" w:type="dxa"/>
            <w:tcBorders>
              <w:left w:val="single" w:sz="6" w:space="0" w:color="231F20"/>
              <w:right w:val="single" w:sz="6" w:space="0" w:color="231F20"/>
            </w:tcBorders>
          </w:tcPr>
          <w:p w14:paraId="6CD93814" w14:textId="77777777" w:rsidR="009948F1" w:rsidRDefault="00BC0563">
            <w:pPr>
              <w:pStyle w:val="TableParagraph"/>
              <w:spacing w:before="110"/>
              <w:ind w:left="25"/>
              <w:rPr>
                <w:sz w:val="16"/>
              </w:rPr>
            </w:pPr>
            <w:r>
              <w:rPr>
                <w:color w:val="231F20"/>
                <w:w w:val="85"/>
                <w:sz w:val="16"/>
              </w:rPr>
              <w:t>Costed in OHT</w:t>
            </w:r>
          </w:p>
        </w:tc>
      </w:tr>
      <w:tr w:rsidR="009948F1" w14:paraId="53DE456D" w14:textId="77777777">
        <w:trPr>
          <w:trHeight w:val="545"/>
        </w:trPr>
        <w:tc>
          <w:tcPr>
            <w:tcW w:w="1032" w:type="dxa"/>
            <w:gridSpan w:val="3"/>
            <w:vMerge/>
            <w:tcBorders>
              <w:top w:val="nil"/>
              <w:left w:val="single" w:sz="6" w:space="0" w:color="231F20"/>
              <w:bottom w:val="nil"/>
              <w:right w:val="single" w:sz="6" w:space="0" w:color="231F20"/>
            </w:tcBorders>
          </w:tcPr>
          <w:p w14:paraId="69F8BE82" w14:textId="77777777" w:rsidR="009948F1" w:rsidRDefault="009948F1">
            <w:pPr>
              <w:rPr>
                <w:sz w:val="2"/>
                <w:szCs w:val="2"/>
              </w:rPr>
            </w:pPr>
          </w:p>
        </w:tc>
        <w:tc>
          <w:tcPr>
            <w:tcW w:w="522" w:type="dxa"/>
            <w:tcBorders>
              <w:left w:val="single" w:sz="6" w:space="0" w:color="231F20"/>
              <w:right w:val="single" w:sz="6" w:space="0" w:color="231F20"/>
            </w:tcBorders>
          </w:tcPr>
          <w:p w14:paraId="06B17A9D" w14:textId="77777777" w:rsidR="009948F1" w:rsidRDefault="009948F1">
            <w:pPr>
              <w:pStyle w:val="TableParagraph"/>
              <w:spacing w:before="9"/>
              <w:rPr>
                <w:sz w:val="15"/>
              </w:rPr>
            </w:pPr>
          </w:p>
          <w:p w14:paraId="61B99666" w14:textId="77777777" w:rsidR="009948F1" w:rsidRDefault="00BC0563">
            <w:pPr>
              <w:pStyle w:val="TableParagraph"/>
              <w:spacing w:before="1"/>
              <w:ind w:left="82"/>
              <w:rPr>
                <w:sz w:val="16"/>
              </w:rPr>
            </w:pPr>
            <w:r>
              <w:rPr>
                <w:color w:val="231F20"/>
                <w:w w:val="80"/>
                <w:sz w:val="16"/>
              </w:rPr>
              <w:t>7.1.1.d</w:t>
            </w:r>
          </w:p>
        </w:tc>
        <w:tc>
          <w:tcPr>
            <w:tcW w:w="4866" w:type="dxa"/>
            <w:gridSpan w:val="2"/>
            <w:tcBorders>
              <w:left w:val="single" w:sz="6" w:space="0" w:color="231F20"/>
              <w:right w:val="single" w:sz="6" w:space="0" w:color="231F20"/>
            </w:tcBorders>
          </w:tcPr>
          <w:p w14:paraId="27CBBE31" w14:textId="1635A792" w:rsidR="009948F1" w:rsidRDefault="00BC0563">
            <w:pPr>
              <w:pStyle w:val="TableParagraph"/>
              <w:spacing w:before="73" w:line="268" w:lineRule="auto"/>
              <w:ind w:left="24" w:right="31"/>
              <w:rPr>
                <w:sz w:val="16"/>
              </w:rPr>
            </w:pPr>
            <w:r>
              <w:rPr>
                <w:color w:val="231F20"/>
                <w:w w:val="75"/>
                <w:sz w:val="16"/>
              </w:rPr>
              <w:t xml:space="preserve">Mobilize resources (Financial, human, </w:t>
            </w:r>
            <w:r w:rsidR="00FB089D">
              <w:rPr>
                <w:color w:val="231F20"/>
                <w:w w:val="75"/>
                <w:sz w:val="16"/>
              </w:rPr>
              <w:t>infrastructure</w:t>
            </w:r>
            <w:r>
              <w:rPr>
                <w:color w:val="231F20"/>
                <w:w w:val="75"/>
                <w:sz w:val="16"/>
              </w:rPr>
              <w:t xml:space="preserve"> </w:t>
            </w:r>
            <w:r w:rsidR="00FB089D">
              <w:rPr>
                <w:color w:val="231F20"/>
                <w:w w:val="75"/>
                <w:sz w:val="16"/>
              </w:rPr>
              <w:t>etc.</w:t>
            </w:r>
            <w:r>
              <w:rPr>
                <w:color w:val="231F20"/>
                <w:w w:val="75"/>
                <w:sz w:val="16"/>
              </w:rPr>
              <w:t xml:space="preserve">) for the functioning of the EMS and </w:t>
            </w:r>
            <w:r>
              <w:rPr>
                <w:color w:val="231F20"/>
                <w:w w:val="85"/>
                <w:sz w:val="16"/>
              </w:rPr>
              <w:t>ETS services</w:t>
            </w:r>
          </w:p>
        </w:tc>
        <w:tc>
          <w:tcPr>
            <w:tcW w:w="1419" w:type="dxa"/>
            <w:tcBorders>
              <w:left w:val="single" w:sz="6" w:space="0" w:color="231F20"/>
              <w:right w:val="single" w:sz="6" w:space="0" w:color="231F20"/>
            </w:tcBorders>
          </w:tcPr>
          <w:p w14:paraId="4E4C304C" w14:textId="77777777" w:rsidR="009948F1" w:rsidRDefault="009948F1">
            <w:pPr>
              <w:pStyle w:val="TableParagraph"/>
              <w:spacing w:before="9"/>
              <w:rPr>
                <w:sz w:val="15"/>
              </w:rPr>
            </w:pPr>
          </w:p>
          <w:p w14:paraId="5BE5ACEC" w14:textId="77777777" w:rsidR="009948F1" w:rsidRDefault="00BC0563">
            <w:pPr>
              <w:pStyle w:val="TableParagraph"/>
              <w:spacing w:before="1"/>
              <w:ind w:left="25"/>
              <w:rPr>
                <w:sz w:val="16"/>
              </w:rPr>
            </w:pPr>
            <w:r>
              <w:rPr>
                <w:color w:val="231F20"/>
                <w:w w:val="85"/>
                <w:sz w:val="16"/>
              </w:rPr>
              <w:t>Lack of funds</w:t>
            </w:r>
          </w:p>
        </w:tc>
        <w:tc>
          <w:tcPr>
            <w:tcW w:w="1497" w:type="dxa"/>
            <w:tcBorders>
              <w:left w:val="single" w:sz="6" w:space="0" w:color="231F20"/>
              <w:right w:val="single" w:sz="6" w:space="0" w:color="231F20"/>
            </w:tcBorders>
          </w:tcPr>
          <w:p w14:paraId="1527C75B" w14:textId="77777777" w:rsidR="009948F1" w:rsidRDefault="009948F1">
            <w:pPr>
              <w:pStyle w:val="TableParagraph"/>
              <w:spacing w:before="9"/>
              <w:rPr>
                <w:sz w:val="15"/>
              </w:rPr>
            </w:pPr>
          </w:p>
          <w:p w14:paraId="3217BDEF" w14:textId="77777777" w:rsidR="009948F1" w:rsidRDefault="00BC0563">
            <w:pPr>
              <w:pStyle w:val="TableParagraph"/>
              <w:spacing w:before="1"/>
              <w:ind w:left="25"/>
              <w:rPr>
                <w:sz w:val="16"/>
              </w:rPr>
            </w:pPr>
            <w:r>
              <w:rPr>
                <w:color w:val="231F20"/>
                <w:w w:val="85"/>
                <w:sz w:val="16"/>
              </w:rPr>
              <w:t>Costed in OHT</w:t>
            </w:r>
          </w:p>
        </w:tc>
      </w:tr>
      <w:tr w:rsidR="009948F1" w14:paraId="2EEAA9CC" w14:textId="77777777">
        <w:trPr>
          <w:trHeight w:val="1355"/>
        </w:trPr>
        <w:tc>
          <w:tcPr>
            <w:tcW w:w="581" w:type="dxa"/>
            <w:gridSpan w:val="2"/>
            <w:tcBorders>
              <w:top w:val="nil"/>
              <w:left w:val="single" w:sz="6" w:space="0" w:color="231F20"/>
              <w:bottom w:val="nil"/>
              <w:right w:val="single" w:sz="6" w:space="0" w:color="231F20"/>
            </w:tcBorders>
          </w:tcPr>
          <w:p w14:paraId="111A4B01" w14:textId="77777777" w:rsidR="009948F1" w:rsidRDefault="009948F1">
            <w:pPr>
              <w:pStyle w:val="TableParagraph"/>
              <w:rPr>
                <w:rFonts w:ascii="Times New Roman"/>
                <w:sz w:val="10"/>
              </w:rPr>
            </w:pPr>
          </w:p>
        </w:tc>
        <w:tc>
          <w:tcPr>
            <w:tcW w:w="451" w:type="dxa"/>
            <w:tcBorders>
              <w:left w:val="single" w:sz="6" w:space="0" w:color="231F20"/>
              <w:right w:val="single" w:sz="6" w:space="0" w:color="231F20"/>
            </w:tcBorders>
            <w:shd w:val="clear" w:color="auto" w:fill="CCE7D3"/>
          </w:tcPr>
          <w:p w14:paraId="38BC2820" w14:textId="77777777" w:rsidR="009948F1" w:rsidRDefault="009948F1">
            <w:pPr>
              <w:pStyle w:val="TableParagraph"/>
              <w:rPr>
                <w:sz w:val="16"/>
              </w:rPr>
            </w:pPr>
          </w:p>
          <w:p w14:paraId="255C2766" w14:textId="77777777" w:rsidR="009948F1" w:rsidRDefault="009948F1">
            <w:pPr>
              <w:pStyle w:val="TableParagraph"/>
              <w:rPr>
                <w:sz w:val="16"/>
              </w:rPr>
            </w:pPr>
          </w:p>
          <w:p w14:paraId="5B602A60" w14:textId="77777777" w:rsidR="009948F1" w:rsidRDefault="009948F1">
            <w:pPr>
              <w:pStyle w:val="TableParagraph"/>
              <w:rPr>
                <w:sz w:val="19"/>
              </w:rPr>
            </w:pPr>
          </w:p>
          <w:p w14:paraId="1346992B" w14:textId="77777777" w:rsidR="009948F1" w:rsidRDefault="00BC0563">
            <w:pPr>
              <w:pStyle w:val="TableParagraph"/>
              <w:spacing w:before="1"/>
              <w:ind w:left="55"/>
              <w:rPr>
                <w:sz w:val="16"/>
              </w:rPr>
            </w:pPr>
            <w:r>
              <w:rPr>
                <w:color w:val="231F20"/>
                <w:w w:val="85"/>
                <w:sz w:val="16"/>
              </w:rPr>
              <w:t>7.1.2</w:t>
            </w:r>
          </w:p>
        </w:tc>
        <w:tc>
          <w:tcPr>
            <w:tcW w:w="3018" w:type="dxa"/>
            <w:gridSpan w:val="2"/>
            <w:tcBorders>
              <w:left w:val="single" w:sz="6" w:space="0" w:color="231F20"/>
              <w:right w:val="single" w:sz="6" w:space="0" w:color="231F20"/>
            </w:tcBorders>
            <w:shd w:val="clear" w:color="auto" w:fill="CCE7D3"/>
          </w:tcPr>
          <w:p w14:paraId="166EB681" w14:textId="77777777" w:rsidR="009948F1" w:rsidRDefault="009948F1">
            <w:pPr>
              <w:pStyle w:val="TableParagraph"/>
              <w:rPr>
                <w:sz w:val="16"/>
              </w:rPr>
            </w:pPr>
          </w:p>
          <w:p w14:paraId="305C28F6" w14:textId="77777777" w:rsidR="009948F1" w:rsidRDefault="009948F1">
            <w:pPr>
              <w:pStyle w:val="TableParagraph"/>
              <w:spacing w:before="6"/>
              <w:rPr>
                <w:sz w:val="16"/>
              </w:rPr>
            </w:pPr>
          </w:p>
          <w:p w14:paraId="5A9C44C0" w14:textId="77777777" w:rsidR="009948F1" w:rsidRDefault="00BC0563">
            <w:pPr>
              <w:pStyle w:val="TableParagraph"/>
              <w:spacing w:before="1" w:line="268" w:lineRule="auto"/>
              <w:ind w:left="23" w:right="162" w:firstLine="32"/>
              <w:jc w:val="both"/>
              <w:rPr>
                <w:sz w:val="16"/>
              </w:rPr>
            </w:pPr>
            <w:r>
              <w:rPr>
                <w:color w:val="231F20"/>
                <w:w w:val="75"/>
                <w:sz w:val="16"/>
              </w:rPr>
              <w:t>Build</w:t>
            </w:r>
            <w:r>
              <w:rPr>
                <w:color w:val="231F20"/>
                <w:spacing w:val="-8"/>
                <w:w w:val="75"/>
                <w:sz w:val="16"/>
              </w:rPr>
              <w:t xml:space="preserve"> </w:t>
            </w:r>
            <w:r>
              <w:rPr>
                <w:color w:val="231F20"/>
                <w:w w:val="75"/>
                <w:sz w:val="16"/>
              </w:rPr>
              <w:t>capacity</w:t>
            </w:r>
            <w:r>
              <w:rPr>
                <w:color w:val="231F20"/>
                <w:spacing w:val="-7"/>
                <w:w w:val="75"/>
                <w:sz w:val="16"/>
              </w:rPr>
              <w:t xml:space="preserve"> </w:t>
            </w:r>
            <w:r>
              <w:rPr>
                <w:color w:val="231F20"/>
                <w:w w:val="75"/>
                <w:sz w:val="16"/>
              </w:rPr>
              <w:t>of</w:t>
            </w:r>
            <w:r>
              <w:rPr>
                <w:color w:val="231F20"/>
                <w:spacing w:val="-7"/>
                <w:w w:val="75"/>
                <w:sz w:val="16"/>
              </w:rPr>
              <w:t xml:space="preserve"> </w:t>
            </w:r>
            <w:r>
              <w:rPr>
                <w:color w:val="231F20"/>
                <w:w w:val="75"/>
                <w:sz w:val="16"/>
              </w:rPr>
              <w:t>health</w:t>
            </w:r>
            <w:r>
              <w:rPr>
                <w:color w:val="231F20"/>
                <w:spacing w:val="-8"/>
                <w:w w:val="75"/>
                <w:sz w:val="16"/>
              </w:rPr>
              <w:t xml:space="preserve"> </w:t>
            </w:r>
            <w:r>
              <w:rPr>
                <w:color w:val="231F20"/>
                <w:w w:val="75"/>
                <w:sz w:val="16"/>
              </w:rPr>
              <w:t>care</w:t>
            </w:r>
            <w:r>
              <w:rPr>
                <w:color w:val="231F20"/>
                <w:spacing w:val="-7"/>
                <w:w w:val="75"/>
                <w:sz w:val="16"/>
              </w:rPr>
              <w:t xml:space="preserve"> </w:t>
            </w:r>
            <w:r>
              <w:rPr>
                <w:color w:val="231F20"/>
                <w:w w:val="75"/>
                <w:sz w:val="16"/>
              </w:rPr>
              <w:t>providers</w:t>
            </w:r>
            <w:r>
              <w:rPr>
                <w:color w:val="231F20"/>
                <w:spacing w:val="-7"/>
                <w:w w:val="75"/>
                <w:sz w:val="16"/>
              </w:rPr>
              <w:t xml:space="preserve"> </w:t>
            </w:r>
            <w:r>
              <w:rPr>
                <w:color w:val="231F20"/>
                <w:w w:val="75"/>
                <w:sz w:val="16"/>
              </w:rPr>
              <w:t>for</w:t>
            </w:r>
            <w:r>
              <w:rPr>
                <w:color w:val="231F20"/>
                <w:spacing w:val="-7"/>
                <w:w w:val="75"/>
                <w:sz w:val="16"/>
              </w:rPr>
              <w:t xml:space="preserve"> </w:t>
            </w:r>
            <w:r>
              <w:rPr>
                <w:color w:val="231F20"/>
                <w:w w:val="75"/>
                <w:sz w:val="16"/>
              </w:rPr>
              <w:t>emergency medical</w:t>
            </w:r>
            <w:r>
              <w:rPr>
                <w:color w:val="231F20"/>
                <w:spacing w:val="-9"/>
                <w:w w:val="75"/>
                <w:sz w:val="16"/>
              </w:rPr>
              <w:t xml:space="preserve"> </w:t>
            </w:r>
            <w:r>
              <w:rPr>
                <w:color w:val="231F20"/>
                <w:w w:val="75"/>
                <w:sz w:val="16"/>
              </w:rPr>
              <w:t>services</w:t>
            </w:r>
            <w:r>
              <w:rPr>
                <w:color w:val="231F20"/>
                <w:spacing w:val="-8"/>
                <w:w w:val="75"/>
                <w:sz w:val="16"/>
              </w:rPr>
              <w:t xml:space="preserve"> </w:t>
            </w:r>
            <w:r>
              <w:rPr>
                <w:color w:val="231F20"/>
                <w:w w:val="75"/>
                <w:sz w:val="16"/>
              </w:rPr>
              <w:t>including</w:t>
            </w:r>
            <w:r>
              <w:rPr>
                <w:color w:val="231F20"/>
                <w:spacing w:val="-9"/>
                <w:w w:val="75"/>
                <w:sz w:val="16"/>
              </w:rPr>
              <w:t xml:space="preserve"> </w:t>
            </w:r>
            <w:r>
              <w:rPr>
                <w:color w:val="231F20"/>
                <w:w w:val="75"/>
                <w:sz w:val="16"/>
              </w:rPr>
              <w:t>training</w:t>
            </w:r>
            <w:r>
              <w:rPr>
                <w:color w:val="231F20"/>
                <w:spacing w:val="-8"/>
                <w:w w:val="75"/>
                <w:sz w:val="16"/>
              </w:rPr>
              <w:t xml:space="preserve"> </w:t>
            </w:r>
            <w:r>
              <w:rPr>
                <w:color w:val="231F20"/>
                <w:w w:val="75"/>
                <w:sz w:val="16"/>
              </w:rPr>
              <w:t>for</w:t>
            </w:r>
            <w:r>
              <w:rPr>
                <w:color w:val="231F20"/>
                <w:spacing w:val="-8"/>
                <w:w w:val="75"/>
                <w:sz w:val="16"/>
              </w:rPr>
              <w:t xml:space="preserve"> </w:t>
            </w:r>
            <w:r>
              <w:rPr>
                <w:color w:val="231F20"/>
                <w:w w:val="75"/>
                <w:sz w:val="16"/>
              </w:rPr>
              <w:t>first</w:t>
            </w:r>
            <w:r>
              <w:rPr>
                <w:color w:val="231F20"/>
                <w:spacing w:val="-9"/>
                <w:w w:val="75"/>
                <w:sz w:val="16"/>
              </w:rPr>
              <w:t xml:space="preserve"> </w:t>
            </w:r>
            <w:r>
              <w:rPr>
                <w:color w:val="231F20"/>
                <w:w w:val="75"/>
                <w:sz w:val="16"/>
              </w:rPr>
              <w:t xml:space="preserve">responders </w:t>
            </w:r>
            <w:r>
              <w:rPr>
                <w:color w:val="231F20"/>
                <w:w w:val="85"/>
                <w:sz w:val="16"/>
              </w:rPr>
              <w:t>and ambulance</w:t>
            </w:r>
            <w:r>
              <w:rPr>
                <w:color w:val="231F20"/>
                <w:spacing w:val="-18"/>
                <w:w w:val="85"/>
                <w:sz w:val="16"/>
              </w:rPr>
              <w:t xml:space="preserve"> </w:t>
            </w:r>
            <w:r>
              <w:rPr>
                <w:color w:val="231F20"/>
                <w:w w:val="85"/>
                <w:sz w:val="16"/>
              </w:rPr>
              <w:t>drivers</w:t>
            </w:r>
          </w:p>
        </w:tc>
        <w:tc>
          <w:tcPr>
            <w:tcW w:w="2370" w:type="dxa"/>
            <w:tcBorders>
              <w:left w:val="single" w:sz="6" w:space="0" w:color="231F20"/>
              <w:right w:val="single" w:sz="6" w:space="0" w:color="231F20"/>
            </w:tcBorders>
            <w:shd w:val="clear" w:color="auto" w:fill="CCE7D3"/>
          </w:tcPr>
          <w:p w14:paraId="38065C5B" w14:textId="77777777" w:rsidR="009948F1" w:rsidRDefault="009948F1">
            <w:pPr>
              <w:pStyle w:val="TableParagraph"/>
              <w:rPr>
                <w:sz w:val="16"/>
              </w:rPr>
            </w:pPr>
          </w:p>
          <w:p w14:paraId="6711EA65" w14:textId="77777777" w:rsidR="009948F1" w:rsidRDefault="009948F1">
            <w:pPr>
              <w:pStyle w:val="TableParagraph"/>
              <w:spacing w:before="2"/>
              <w:rPr>
                <w:sz w:val="17"/>
              </w:rPr>
            </w:pPr>
          </w:p>
          <w:p w14:paraId="355A0EA4" w14:textId="77777777" w:rsidR="009948F1" w:rsidRDefault="00BC0563">
            <w:pPr>
              <w:pStyle w:val="TableParagraph"/>
              <w:numPr>
                <w:ilvl w:val="0"/>
                <w:numId w:val="118"/>
              </w:numPr>
              <w:tabs>
                <w:tab w:val="left" w:pos="68"/>
              </w:tabs>
              <w:rPr>
                <w:sz w:val="16"/>
              </w:rPr>
            </w:pPr>
            <w:r>
              <w:rPr>
                <w:color w:val="231F20"/>
                <w:w w:val="85"/>
                <w:sz w:val="16"/>
              </w:rPr>
              <w:t>EMS</w:t>
            </w:r>
            <w:r>
              <w:rPr>
                <w:color w:val="231F20"/>
                <w:spacing w:val="-15"/>
                <w:w w:val="85"/>
                <w:sz w:val="16"/>
              </w:rPr>
              <w:t xml:space="preserve"> </w:t>
            </w:r>
            <w:r>
              <w:rPr>
                <w:color w:val="231F20"/>
                <w:w w:val="85"/>
                <w:sz w:val="16"/>
              </w:rPr>
              <w:t>needs</w:t>
            </w:r>
            <w:r>
              <w:rPr>
                <w:color w:val="231F20"/>
                <w:spacing w:val="-14"/>
                <w:w w:val="85"/>
                <w:sz w:val="16"/>
              </w:rPr>
              <w:t xml:space="preserve"> </w:t>
            </w:r>
            <w:r>
              <w:rPr>
                <w:color w:val="231F20"/>
                <w:w w:val="85"/>
                <w:sz w:val="16"/>
              </w:rPr>
              <w:t>assessment</w:t>
            </w:r>
            <w:r>
              <w:rPr>
                <w:color w:val="231F20"/>
                <w:spacing w:val="-14"/>
                <w:w w:val="85"/>
                <w:sz w:val="16"/>
              </w:rPr>
              <w:t xml:space="preserve"> </w:t>
            </w:r>
            <w:r>
              <w:rPr>
                <w:color w:val="231F20"/>
                <w:w w:val="85"/>
                <w:sz w:val="16"/>
              </w:rPr>
              <w:t>done</w:t>
            </w:r>
          </w:p>
          <w:p w14:paraId="5AF07D46" w14:textId="77777777" w:rsidR="009948F1" w:rsidRDefault="00BC0563">
            <w:pPr>
              <w:pStyle w:val="TableParagraph"/>
              <w:numPr>
                <w:ilvl w:val="0"/>
                <w:numId w:val="118"/>
              </w:numPr>
              <w:tabs>
                <w:tab w:val="left" w:pos="68"/>
              </w:tabs>
              <w:spacing w:before="22"/>
              <w:rPr>
                <w:sz w:val="16"/>
              </w:rPr>
            </w:pPr>
            <w:r>
              <w:rPr>
                <w:color w:val="231F20"/>
                <w:w w:val="85"/>
                <w:sz w:val="16"/>
              </w:rPr>
              <w:t>EMS manpower</w:t>
            </w:r>
            <w:r>
              <w:rPr>
                <w:color w:val="231F20"/>
                <w:spacing w:val="-22"/>
                <w:w w:val="85"/>
                <w:sz w:val="16"/>
              </w:rPr>
              <w:t xml:space="preserve"> </w:t>
            </w:r>
            <w:r>
              <w:rPr>
                <w:color w:val="231F20"/>
                <w:w w:val="85"/>
                <w:sz w:val="16"/>
              </w:rPr>
              <w:t>trained</w:t>
            </w:r>
          </w:p>
          <w:p w14:paraId="5702BC26" w14:textId="77777777" w:rsidR="009948F1" w:rsidRDefault="00BC0563">
            <w:pPr>
              <w:pStyle w:val="TableParagraph"/>
              <w:spacing w:before="22"/>
              <w:ind w:left="25"/>
              <w:rPr>
                <w:sz w:val="16"/>
              </w:rPr>
            </w:pPr>
            <w:r>
              <w:rPr>
                <w:color w:val="231F20"/>
                <w:w w:val="73"/>
                <w:sz w:val="16"/>
              </w:rPr>
              <w:t>•</w:t>
            </w:r>
          </w:p>
        </w:tc>
        <w:tc>
          <w:tcPr>
            <w:tcW w:w="1419" w:type="dxa"/>
            <w:tcBorders>
              <w:left w:val="single" w:sz="6" w:space="0" w:color="231F20"/>
              <w:right w:val="single" w:sz="6" w:space="0" w:color="231F20"/>
            </w:tcBorders>
            <w:shd w:val="clear" w:color="auto" w:fill="CCE7D3"/>
          </w:tcPr>
          <w:p w14:paraId="1EF8CFDA" w14:textId="77777777" w:rsidR="009948F1" w:rsidRDefault="009948F1">
            <w:pPr>
              <w:pStyle w:val="TableParagraph"/>
              <w:rPr>
                <w:rFonts w:ascii="Times New Roman"/>
                <w:sz w:val="10"/>
              </w:rPr>
            </w:pPr>
          </w:p>
        </w:tc>
        <w:tc>
          <w:tcPr>
            <w:tcW w:w="1497" w:type="dxa"/>
            <w:tcBorders>
              <w:left w:val="single" w:sz="6" w:space="0" w:color="231F20"/>
              <w:right w:val="single" w:sz="6" w:space="0" w:color="231F20"/>
            </w:tcBorders>
            <w:shd w:val="clear" w:color="auto" w:fill="CCE7D3"/>
          </w:tcPr>
          <w:p w14:paraId="4A4AB410" w14:textId="77777777" w:rsidR="009948F1" w:rsidRDefault="009948F1">
            <w:pPr>
              <w:pStyle w:val="TableParagraph"/>
              <w:rPr>
                <w:rFonts w:ascii="Times New Roman"/>
                <w:sz w:val="10"/>
              </w:rPr>
            </w:pPr>
          </w:p>
        </w:tc>
      </w:tr>
      <w:tr w:rsidR="009948F1" w14:paraId="282888A7" w14:textId="77777777">
        <w:trPr>
          <w:trHeight w:val="627"/>
        </w:trPr>
        <w:tc>
          <w:tcPr>
            <w:tcW w:w="1032" w:type="dxa"/>
            <w:gridSpan w:val="3"/>
            <w:vMerge w:val="restart"/>
            <w:tcBorders>
              <w:top w:val="nil"/>
              <w:left w:val="single" w:sz="6" w:space="0" w:color="231F20"/>
              <w:bottom w:val="nil"/>
              <w:right w:val="single" w:sz="6" w:space="0" w:color="231F20"/>
            </w:tcBorders>
          </w:tcPr>
          <w:p w14:paraId="7B80C4BB" w14:textId="77777777" w:rsidR="009948F1" w:rsidRDefault="009948F1">
            <w:pPr>
              <w:pStyle w:val="TableParagraph"/>
              <w:rPr>
                <w:rFonts w:ascii="Times New Roman"/>
                <w:sz w:val="10"/>
              </w:rPr>
            </w:pPr>
          </w:p>
        </w:tc>
        <w:tc>
          <w:tcPr>
            <w:tcW w:w="522" w:type="dxa"/>
            <w:tcBorders>
              <w:left w:val="single" w:sz="6" w:space="0" w:color="231F20"/>
              <w:right w:val="single" w:sz="6" w:space="0" w:color="231F20"/>
            </w:tcBorders>
          </w:tcPr>
          <w:p w14:paraId="16084108" w14:textId="77777777" w:rsidR="009948F1" w:rsidRDefault="009948F1">
            <w:pPr>
              <w:pStyle w:val="TableParagraph"/>
              <w:spacing w:before="5"/>
              <w:rPr>
                <w:sz w:val="19"/>
              </w:rPr>
            </w:pPr>
          </w:p>
          <w:p w14:paraId="55B39690" w14:textId="77777777" w:rsidR="009948F1" w:rsidRDefault="00BC0563">
            <w:pPr>
              <w:pStyle w:val="TableParagraph"/>
              <w:ind w:left="82"/>
              <w:rPr>
                <w:sz w:val="16"/>
              </w:rPr>
            </w:pPr>
            <w:r>
              <w:rPr>
                <w:color w:val="231F20"/>
                <w:w w:val="80"/>
                <w:sz w:val="16"/>
              </w:rPr>
              <w:t>7.1.2.a</w:t>
            </w:r>
          </w:p>
        </w:tc>
        <w:tc>
          <w:tcPr>
            <w:tcW w:w="4866" w:type="dxa"/>
            <w:gridSpan w:val="2"/>
            <w:tcBorders>
              <w:left w:val="single" w:sz="6" w:space="0" w:color="231F20"/>
              <w:right w:val="single" w:sz="6" w:space="0" w:color="231F20"/>
            </w:tcBorders>
          </w:tcPr>
          <w:p w14:paraId="65A3F72A" w14:textId="77777777" w:rsidR="009948F1" w:rsidRDefault="009948F1">
            <w:pPr>
              <w:pStyle w:val="TableParagraph"/>
              <w:spacing w:before="10"/>
              <w:rPr>
                <w:sz w:val="18"/>
              </w:rPr>
            </w:pPr>
          </w:p>
          <w:p w14:paraId="5E4DF2D4" w14:textId="77777777" w:rsidR="009948F1" w:rsidRDefault="00BC0563">
            <w:pPr>
              <w:pStyle w:val="TableParagraph"/>
              <w:ind w:left="24"/>
              <w:rPr>
                <w:sz w:val="16"/>
              </w:rPr>
            </w:pPr>
            <w:r>
              <w:rPr>
                <w:color w:val="231F20"/>
                <w:w w:val="80"/>
                <w:sz w:val="16"/>
              </w:rPr>
              <w:t>Conduct</w:t>
            </w:r>
            <w:r>
              <w:rPr>
                <w:color w:val="231F20"/>
                <w:spacing w:val="-23"/>
                <w:w w:val="80"/>
                <w:sz w:val="16"/>
              </w:rPr>
              <w:t xml:space="preserve"> </w:t>
            </w:r>
            <w:r>
              <w:rPr>
                <w:color w:val="231F20"/>
                <w:w w:val="80"/>
                <w:sz w:val="16"/>
              </w:rPr>
              <w:t>a</w:t>
            </w:r>
            <w:r>
              <w:rPr>
                <w:color w:val="231F20"/>
                <w:spacing w:val="-22"/>
                <w:w w:val="80"/>
                <w:sz w:val="16"/>
              </w:rPr>
              <w:t xml:space="preserve"> </w:t>
            </w:r>
            <w:r>
              <w:rPr>
                <w:color w:val="231F20"/>
                <w:w w:val="80"/>
                <w:sz w:val="16"/>
              </w:rPr>
              <w:t>needs</w:t>
            </w:r>
            <w:r>
              <w:rPr>
                <w:color w:val="231F20"/>
                <w:spacing w:val="-22"/>
                <w:w w:val="80"/>
                <w:sz w:val="16"/>
              </w:rPr>
              <w:t xml:space="preserve"> </w:t>
            </w:r>
            <w:r>
              <w:rPr>
                <w:color w:val="231F20"/>
                <w:w w:val="80"/>
                <w:sz w:val="16"/>
              </w:rPr>
              <w:t>assessment</w:t>
            </w:r>
            <w:r>
              <w:rPr>
                <w:color w:val="231F20"/>
                <w:spacing w:val="-22"/>
                <w:w w:val="80"/>
                <w:sz w:val="16"/>
              </w:rPr>
              <w:t xml:space="preserve"> </w:t>
            </w:r>
            <w:r>
              <w:rPr>
                <w:color w:val="231F20"/>
                <w:w w:val="80"/>
                <w:sz w:val="16"/>
              </w:rPr>
              <w:t>with</w:t>
            </w:r>
            <w:r>
              <w:rPr>
                <w:color w:val="231F20"/>
                <w:spacing w:val="-22"/>
                <w:w w:val="80"/>
                <w:sz w:val="16"/>
              </w:rPr>
              <w:t xml:space="preserve"> </w:t>
            </w:r>
            <w:r>
              <w:rPr>
                <w:color w:val="231F20"/>
                <w:w w:val="80"/>
                <w:sz w:val="16"/>
              </w:rPr>
              <w:t>the</w:t>
            </w:r>
            <w:r>
              <w:rPr>
                <w:color w:val="231F20"/>
                <w:spacing w:val="-22"/>
                <w:w w:val="80"/>
                <w:sz w:val="16"/>
              </w:rPr>
              <w:t xml:space="preserve"> </w:t>
            </w:r>
            <w:r>
              <w:rPr>
                <w:color w:val="231F20"/>
                <w:w w:val="80"/>
                <w:sz w:val="16"/>
              </w:rPr>
              <w:t>view</w:t>
            </w:r>
            <w:r>
              <w:rPr>
                <w:color w:val="231F20"/>
                <w:spacing w:val="-22"/>
                <w:w w:val="80"/>
                <w:sz w:val="16"/>
              </w:rPr>
              <w:t xml:space="preserve"> </w:t>
            </w:r>
            <w:r>
              <w:rPr>
                <w:color w:val="231F20"/>
                <w:w w:val="80"/>
                <w:sz w:val="16"/>
              </w:rPr>
              <w:t>to</w:t>
            </w:r>
            <w:r>
              <w:rPr>
                <w:color w:val="231F20"/>
                <w:spacing w:val="-22"/>
                <w:w w:val="80"/>
                <w:sz w:val="16"/>
              </w:rPr>
              <w:t xml:space="preserve"> </w:t>
            </w:r>
            <w:r>
              <w:rPr>
                <w:color w:val="231F20"/>
                <w:w w:val="80"/>
                <w:sz w:val="16"/>
              </w:rPr>
              <w:t>identify</w:t>
            </w:r>
            <w:r>
              <w:rPr>
                <w:color w:val="231F20"/>
                <w:spacing w:val="-22"/>
                <w:w w:val="80"/>
                <w:sz w:val="16"/>
              </w:rPr>
              <w:t xml:space="preserve"> </w:t>
            </w:r>
            <w:r>
              <w:rPr>
                <w:color w:val="231F20"/>
                <w:w w:val="80"/>
                <w:sz w:val="16"/>
              </w:rPr>
              <w:t>HR</w:t>
            </w:r>
            <w:r>
              <w:rPr>
                <w:color w:val="231F20"/>
                <w:spacing w:val="-22"/>
                <w:w w:val="80"/>
                <w:sz w:val="16"/>
              </w:rPr>
              <w:t xml:space="preserve"> </w:t>
            </w:r>
            <w:r>
              <w:rPr>
                <w:color w:val="231F20"/>
                <w:w w:val="80"/>
                <w:sz w:val="16"/>
              </w:rPr>
              <w:t>gaps</w:t>
            </w:r>
            <w:r>
              <w:rPr>
                <w:color w:val="231F20"/>
                <w:spacing w:val="-22"/>
                <w:w w:val="80"/>
                <w:sz w:val="16"/>
              </w:rPr>
              <w:t xml:space="preserve"> </w:t>
            </w:r>
            <w:r>
              <w:rPr>
                <w:color w:val="231F20"/>
                <w:w w:val="80"/>
                <w:sz w:val="16"/>
              </w:rPr>
              <w:t>on</w:t>
            </w:r>
            <w:r>
              <w:rPr>
                <w:color w:val="231F20"/>
                <w:spacing w:val="-22"/>
                <w:w w:val="80"/>
                <w:sz w:val="16"/>
              </w:rPr>
              <w:t xml:space="preserve"> </w:t>
            </w:r>
            <w:r>
              <w:rPr>
                <w:color w:val="231F20"/>
                <w:w w:val="80"/>
                <w:sz w:val="16"/>
              </w:rPr>
              <w:t>EMS</w:t>
            </w:r>
            <w:r>
              <w:rPr>
                <w:color w:val="231F20"/>
                <w:spacing w:val="-22"/>
                <w:w w:val="80"/>
                <w:sz w:val="16"/>
              </w:rPr>
              <w:t xml:space="preserve"> </w:t>
            </w:r>
            <w:r>
              <w:rPr>
                <w:color w:val="231F20"/>
                <w:w w:val="80"/>
                <w:sz w:val="16"/>
              </w:rPr>
              <w:t>and</w:t>
            </w:r>
            <w:r>
              <w:rPr>
                <w:color w:val="231F20"/>
                <w:spacing w:val="-22"/>
                <w:w w:val="80"/>
                <w:sz w:val="16"/>
              </w:rPr>
              <w:t xml:space="preserve"> </w:t>
            </w:r>
            <w:r>
              <w:rPr>
                <w:color w:val="231F20"/>
                <w:w w:val="80"/>
                <w:sz w:val="16"/>
              </w:rPr>
              <w:t>ETS</w:t>
            </w:r>
            <w:r>
              <w:rPr>
                <w:color w:val="231F20"/>
                <w:spacing w:val="-22"/>
                <w:w w:val="80"/>
                <w:sz w:val="16"/>
              </w:rPr>
              <w:t xml:space="preserve"> </w:t>
            </w:r>
            <w:r>
              <w:rPr>
                <w:color w:val="231F20"/>
                <w:w w:val="80"/>
                <w:sz w:val="16"/>
              </w:rPr>
              <w:t>services</w:t>
            </w:r>
          </w:p>
        </w:tc>
        <w:tc>
          <w:tcPr>
            <w:tcW w:w="1419" w:type="dxa"/>
            <w:tcBorders>
              <w:left w:val="single" w:sz="6" w:space="0" w:color="231F20"/>
              <w:right w:val="single" w:sz="6" w:space="0" w:color="231F20"/>
            </w:tcBorders>
          </w:tcPr>
          <w:p w14:paraId="6F69906B" w14:textId="77777777" w:rsidR="009948F1" w:rsidRDefault="009948F1">
            <w:pPr>
              <w:pStyle w:val="TableParagraph"/>
              <w:spacing w:before="5"/>
              <w:rPr>
                <w:sz w:val="19"/>
              </w:rPr>
            </w:pPr>
          </w:p>
          <w:p w14:paraId="3FD65E2B"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right w:val="single" w:sz="6" w:space="0" w:color="231F20"/>
            </w:tcBorders>
          </w:tcPr>
          <w:p w14:paraId="1DE776DB" w14:textId="77777777" w:rsidR="009948F1" w:rsidRDefault="009948F1">
            <w:pPr>
              <w:pStyle w:val="TableParagraph"/>
              <w:spacing w:before="5"/>
              <w:rPr>
                <w:sz w:val="19"/>
              </w:rPr>
            </w:pPr>
          </w:p>
          <w:p w14:paraId="53C7843A" w14:textId="77777777" w:rsidR="009948F1" w:rsidRDefault="00BC0563">
            <w:pPr>
              <w:pStyle w:val="TableParagraph"/>
              <w:ind w:left="25"/>
              <w:rPr>
                <w:sz w:val="16"/>
              </w:rPr>
            </w:pPr>
            <w:r>
              <w:rPr>
                <w:color w:val="231F20"/>
                <w:w w:val="75"/>
                <w:sz w:val="16"/>
              </w:rPr>
              <w:t>Conduct need assessment</w:t>
            </w:r>
          </w:p>
        </w:tc>
      </w:tr>
      <w:tr w:rsidR="009948F1" w14:paraId="4A936395" w14:textId="77777777">
        <w:trPr>
          <w:trHeight w:val="587"/>
        </w:trPr>
        <w:tc>
          <w:tcPr>
            <w:tcW w:w="1032" w:type="dxa"/>
            <w:gridSpan w:val="3"/>
            <w:vMerge/>
            <w:tcBorders>
              <w:top w:val="nil"/>
              <w:left w:val="single" w:sz="6" w:space="0" w:color="231F20"/>
              <w:bottom w:val="nil"/>
              <w:right w:val="single" w:sz="6" w:space="0" w:color="231F20"/>
            </w:tcBorders>
          </w:tcPr>
          <w:p w14:paraId="360F3181" w14:textId="77777777" w:rsidR="009948F1" w:rsidRDefault="009948F1">
            <w:pPr>
              <w:rPr>
                <w:sz w:val="2"/>
                <w:szCs w:val="2"/>
              </w:rPr>
            </w:pPr>
          </w:p>
        </w:tc>
        <w:tc>
          <w:tcPr>
            <w:tcW w:w="522" w:type="dxa"/>
            <w:tcBorders>
              <w:left w:val="single" w:sz="6" w:space="0" w:color="231F20"/>
              <w:right w:val="single" w:sz="6" w:space="0" w:color="231F20"/>
            </w:tcBorders>
          </w:tcPr>
          <w:p w14:paraId="7FEAFC99" w14:textId="77777777" w:rsidR="009948F1" w:rsidRDefault="009948F1">
            <w:pPr>
              <w:pStyle w:val="TableParagraph"/>
              <w:spacing w:before="8"/>
              <w:rPr>
                <w:sz w:val="17"/>
              </w:rPr>
            </w:pPr>
          </w:p>
          <w:p w14:paraId="74E97882" w14:textId="77777777" w:rsidR="009948F1" w:rsidRDefault="00BC0563">
            <w:pPr>
              <w:pStyle w:val="TableParagraph"/>
              <w:ind w:left="82"/>
              <w:rPr>
                <w:sz w:val="16"/>
              </w:rPr>
            </w:pPr>
            <w:r>
              <w:rPr>
                <w:color w:val="231F20"/>
                <w:w w:val="80"/>
                <w:sz w:val="16"/>
              </w:rPr>
              <w:t>7.1.2.b</w:t>
            </w:r>
          </w:p>
        </w:tc>
        <w:tc>
          <w:tcPr>
            <w:tcW w:w="4866" w:type="dxa"/>
            <w:gridSpan w:val="2"/>
            <w:tcBorders>
              <w:left w:val="single" w:sz="6" w:space="0" w:color="231F20"/>
              <w:right w:val="single" w:sz="6" w:space="0" w:color="231F20"/>
            </w:tcBorders>
          </w:tcPr>
          <w:p w14:paraId="3BC1080A" w14:textId="77777777" w:rsidR="009948F1" w:rsidRDefault="00BC0563">
            <w:pPr>
              <w:pStyle w:val="TableParagraph"/>
              <w:spacing w:before="3" w:line="268" w:lineRule="auto"/>
              <w:ind w:left="24" w:right="71"/>
              <w:rPr>
                <w:sz w:val="16"/>
              </w:rPr>
            </w:pPr>
            <w:r>
              <w:rPr>
                <w:color w:val="231F20"/>
                <w:w w:val="75"/>
                <w:sz w:val="16"/>
              </w:rPr>
              <w:t>Develop</w:t>
            </w:r>
            <w:r>
              <w:rPr>
                <w:color w:val="231F20"/>
                <w:spacing w:val="-8"/>
                <w:w w:val="75"/>
                <w:sz w:val="16"/>
              </w:rPr>
              <w:t xml:space="preserve"> </w:t>
            </w:r>
            <w:r>
              <w:rPr>
                <w:color w:val="231F20"/>
                <w:w w:val="75"/>
                <w:sz w:val="16"/>
              </w:rPr>
              <w:t>and</w:t>
            </w:r>
            <w:r>
              <w:rPr>
                <w:color w:val="231F20"/>
                <w:spacing w:val="-8"/>
                <w:w w:val="75"/>
                <w:sz w:val="16"/>
              </w:rPr>
              <w:t xml:space="preserve"> </w:t>
            </w:r>
            <w:r>
              <w:rPr>
                <w:color w:val="231F20"/>
                <w:w w:val="75"/>
                <w:sz w:val="16"/>
              </w:rPr>
              <w:t>implement</w:t>
            </w:r>
            <w:r>
              <w:rPr>
                <w:color w:val="231F20"/>
                <w:spacing w:val="-8"/>
                <w:w w:val="75"/>
                <w:sz w:val="16"/>
              </w:rPr>
              <w:t xml:space="preserve"> </w:t>
            </w:r>
            <w:r>
              <w:rPr>
                <w:color w:val="231F20"/>
                <w:w w:val="75"/>
                <w:sz w:val="16"/>
              </w:rPr>
              <w:t>training</w:t>
            </w:r>
            <w:r>
              <w:rPr>
                <w:color w:val="231F20"/>
                <w:spacing w:val="-7"/>
                <w:w w:val="75"/>
                <w:sz w:val="16"/>
              </w:rPr>
              <w:t xml:space="preserve"> </w:t>
            </w:r>
            <w:proofErr w:type="spellStart"/>
            <w:r>
              <w:rPr>
                <w:color w:val="231F20"/>
                <w:w w:val="75"/>
                <w:sz w:val="16"/>
              </w:rPr>
              <w:t>programmes</w:t>
            </w:r>
            <w:proofErr w:type="spellEnd"/>
            <w:r>
              <w:rPr>
                <w:color w:val="231F20"/>
                <w:spacing w:val="-8"/>
                <w:w w:val="75"/>
                <w:sz w:val="16"/>
              </w:rPr>
              <w:t xml:space="preserve"> </w:t>
            </w:r>
            <w:r>
              <w:rPr>
                <w:color w:val="231F20"/>
                <w:w w:val="75"/>
                <w:sz w:val="16"/>
              </w:rPr>
              <w:t>for</w:t>
            </w:r>
            <w:r>
              <w:rPr>
                <w:color w:val="231F20"/>
                <w:spacing w:val="-8"/>
                <w:w w:val="75"/>
                <w:sz w:val="16"/>
              </w:rPr>
              <w:t xml:space="preserve"> </w:t>
            </w:r>
            <w:r>
              <w:rPr>
                <w:color w:val="231F20"/>
                <w:w w:val="75"/>
                <w:sz w:val="16"/>
              </w:rPr>
              <w:t>EMS</w:t>
            </w:r>
            <w:r>
              <w:rPr>
                <w:color w:val="231F20"/>
                <w:spacing w:val="-8"/>
                <w:w w:val="75"/>
                <w:sz w:val="16"/>
              </w:rPr>
              <w:t xml:space="preserve"> </w:t>
            </w:r>
            <w:r>
              <w:rPr>
                <w:color w:val="231F20"/>
                <w:w w:val="75"/>
                <w:sz w:val="16"/>
              </w:rPr>
              <w:t>(Training</w:t>
            </w:r>
            <w:r>
              <w:rPr>
                <w:color w:val="231F20"/>
                <w:spacing w:val="-7"/>
                <w:w w:val="75"/>
                <w:sz w:val="16"/>
              </w:rPr>
              <w:t xml:space="preserve"> </w:t>
            </w:r>
            <w:r>
              <w:rPr>
                <w:color w:val="231F20"/>
                <w:w w:val="75"/>
                <w:sz w:val="16"/>
              </w:rPr>
              <w:t>of</w:t>
            </w:r>
            <w:r>
              <w:rPr>
                <w:color w:val="231F20"/>
                <w:spacing w:val="-8"/>
                <w:w w:val="75"/>
                <w:sz w:val="16"/>
              </w:rPr>
              <w:t xml:space="preserve"> </w:t>
            </w:r>
            <w:r>
              <w:rPr>
                <w:color w:val="231F20"/>
                <w:w w:val="75"/>
                <w:sz w:val="16"/>
              </w:rPr>
              <w:t>paramedics</w:t>
            </w:r>
            <w:r>
              <w:rPr>
                <w:color w:val="231F20"/>
                <w:spacing w:val="-8"/>
                <w:w w:val="75"/>
                <w:sz w:val="16"/>
              </w:rPr>
              <w:t xml:space="preserve"> </w:t>
            </w:r>
            <w:r>
              <w:rPr>
                <w:color w:val="231F20"/>
                <w:w w:val="75"/>
                <w:sz w:val="16"/>
              </w:rPr>
              <w:t>in</w:t>
            </w:r>
            <w:r>
              <w:rPr>
                <w:color w:val="231F20"/>
                <w:spacing w:val="-7"/>
                <w:w w:val="75"/>
                <w:sz w:val="16"/>
              </w:rPr>
              <w:t xml:space="preserve"> </w:t>
            </w:r>
            <w:r>
              <w:rPr>
                <w:color w:val="231F20"/>
                <w:w w:val="75"/>
                <w:sz w:val="16"/>
              </w:rPr>
              <w:t>basic</w:t>
            </w:r>
            <w:r>
              <w:rPr>
                <w:color w:val="231F20"/>
                <w:spacing w:val="-8"/>
                <w:w w:val="75"/>
                <w:sz w:val="16"/>
              </w:rPr>
              <w:t xml:space="preserve"> </w:t>
            </w:r>
            <w:r>
              <w:rPr>
                <w:color w:val="231F20"/>
                <w:w w:val="75"/>
                <w:sz w:val="16"/>
              </w:rPr>
              <w:t>and advanced</w:t>
            </w:r>
            <w:r>
              <w:rPr>
                <w:color w:val="231F20"/>
                <w:spacing w:val="-6"/>
                <w:w w:val="75"/>
                <w:sz w:val="16"/>
              </w:rPr>
              <w:t xml:space="preserve"> </w:t>
            </w:r>
            <w:r>
              <w:rPr>
                <w:color w:val="231F20"/>
                <w:w w:val="75"/>
                <w:sz w:val="16"/>
              </w:rPr>
              <w:t>life</w:t>
            </w:r>
            <w:r>
              <w:rPr>
                <w:color w:val="231F20"/>
                <w:spacing w:val="-6"/>
                <w:w w:val="75"/>
                <w:sz w:val="16"/>
              </w:rPr>
              <w:t xml:space="preserve"> </w:t>
            </w:r>
            <w:r>
              <w:rPr>
                <w:color w:val="231F20"/>
                <w:w w:val="75"/>
                <w:sz w:val="16"/>
              </w:rPr>
              <w:t>support,</w:t>
            </w:r>
            <w:r>
              <w:rPr>
                <w:color w:val="231F20"/>
                <w:spacing w:val="-5"/>
                <w:w w:val="75"/>
                <w:sz w:val="16"/>
              </w:rPr>
              <w:t xml:space="preserve"> </w:t>
            </w:r>
            <w:r>
              <w:rPr>
                <w:color w:val="231F20"/>
                <w:w w:val="75"/>
                <w:sz w:val="16"/>
              </w:rPr>
              <w:t>ETS</w:t>
            </w:r>
            <w:r>
              <w:rPr>
                <w:color w:val="231F20"/>
                <w:spacing w:val="-6"/>
                <w:w w:val="75"/>
                <w:sz w:val="16"/>
              </w:rPr>
              <w:t xml:space="preserve"> </w:t>
            </w:r>
            <w:r>
              <w:rPr>
                <w:color w:val="231F20"/>
                <w:w w:val="75"/>
                <w:sz w:val="16"/>
              </w:rPr>
              <w:t>drivers,</w:t>
            </w:r>
            <w:r>
              <w:rPr>
                <w:color w:val="231F20"/>
                <w:spacing w:val="-5"/>
                <w:w w:val="75"/>
                <w:sz w:val="16"/>
              </w:rPr>
              <w:t xml:space="preserve"> </w:t>
            </w:r>
            <w:r>
              <w:rPr>
                <w:color w:val="231F20"/>
                <w:w w:val="75"/>
                <w:sz w:val="16"/>
              </w:rPr>
              <w:t>EMS</w:t>
            </w:r>
            <w:r>
              <w:rPr>
                <w:color w:val="231F20"/>
                <w:spacing w:val="-6"/>
                <w:w w:val="75"/>
                <w:sz w:val="16"/>
              </w:rPr>
              <w:t xml:space="preserve"> </w:t>
            </w:r>
            <w:r>
              <w:rPr>
                <w:color w:val="231F20"/>
                <w:w w:val="75"/>
                <w:sz w:val="16"/>
              </w:rPr>
              <w:t>Doctors,</w:t>
            </w:r>
            <w:r>
              <w:rPr>
                <w:color w:val="231F20"/>
                <w:spacing w:val="-5"/>
                <w:w w:val="75"/>
                <w:sz w:val="16"/>
              </w:rPr>
              <w:t xml:space="preserve"> </w:t>
            </w:r>
            <w:r>
              <w:rPr>
                <w:color w:val="231F20"/>
                <w:w w:val="75"/>
                <w:sz w:val="16"/>
              </w:rPr>
              <w:t>Nurses</w:t>
            </w:r>
            <w:r>
              <w:rPr>
                <w:color w:val="231F20"/>
                <w:spacing w:val="-6"/>
                <w:w w:val="75"/>
                <w:sz w:val="16"/>
              </w:rPr>
              <w:t xml:space="preserve"> </w:t>
            </w:r>
            <w:r>
              <w:rPr>
                <w:color w:val="231F20"/>
                <w:w w:val="75"/>
                <w:sz w:val="16"/>
              </w:rPr>
              <w:t>and</w:t>
            </w:r>
            <w:r>
              <w:rPr>
                <w:color w:val="231F20"/>
                <w:spacing w:val="-6"/>
                <w:w w:val="75"/>
                <w:sz w:val="16"/>
              </w:rPr>
              <w:t xml:space="preserve"> </w:t>
            </w:r>
            <w:r>
              <w:rPr>
                <w:color w:val="231F20"/>
                <w:w w:val="75"/>
                <w:sz w:val="16"/>
              </w:rPr>
              <w:t>other</w:t>
            </w:r>
            <w:r>
              <w:rPr>
                <w:color w:val="231F20"/>
                <w:spacing w:val="-5"/>
                <w:w w:val="75"/>
                <w:sz w:val="16"/>
              </w:rPr>
              <w:t xml:space="preserve"> </w:t>
            </w:r>
            <w:r>
              <w:rPr>
                <w:color w:val="231F20"/>
                <w:w w:val="75"/>
                <w:sz w:val="16"/>
              </w:rPr>
              <w:t>relevant</w:t>
            </w:r>
            <w:r>
              <w:rPr>
                <w:color w:val="231F20"/>
                <w:spacing w:val="-6"/>
                <w:w w:val="75"/>
                <w:sz w:val="16"/>
              </w:rPr>
              <w:t xml:space="preserve"> </w:t>
            </w:r>
            <w:r>
              <w:rPr>
                <w:color w:val="231F20"/>
                <w:w w:val="75"/>
                <w:sz w:val="16"/>
              </w:rPr>
              <w:t>health</w:t>
            </w:r>
            <w:r>
              <w:rPr>
                <w:color w:val="231F20"/>
                <w:spacing w:val="-5"/>
                <w:w w:val="75"/>
                <w:sz w:val="16"/>
              </w:rPr>
              <w:t xml:space="preserve"> </w:t>
            </w:r>
            <w:r>
              <w:rPr>
                <w:color w:val="231F20"/>
                <w:w w:val="75"/>
                <w:sz w:val="16"/>
              </w:rPr>
              <w:t>care</w:t>
            </w:r>
          </w:p>
          <w:p w14:paraId="775E485D" w14:textId="77777777" w:rsidR="009948F1" w:rsidRDefault="00BC0563">
            <w:pPr>
              <w:pStyle w:val="TableParagraph"/>
              <w:spacing w:line="152" w:lineRule="exact"/>
              <w:ind w:left="24"/>
              <w:rPr>
                <w:sz w:val="16"/>
              </w:rPr>
            </w:pPr>
            <w:r>
              <w:rPr>
                <w:color w:val="231F20"/>
                <w:w w:val="85"/>
                <w:sz w:val="16"/>
              </w:rPr>
              <w:t>workers)</w:t>
            </w:r>
          </w:p>
        </w:tc>
        <w:tc>
          <w:tcPr>
            <w:tcW w:w="1419" w:type="dxa"/>
            <w:tcBorders>
              <w:left w:val="single" w:sz="6" w:space="0" w:color="231F20"/>
              <w:right w:val="single" w:sz="6" w:space="0" w:color="231F20"/>
            </w:tcBorders>
          </w:tcPr>
          <w:p w14:paraId="770B04BA" w14:textId="77777777" w:rsidR="009948F1" w:rsidRDefault="009948F1">
            <w:pPr>
              <w:pStyle w:val="TableParagraph"/>
              <w:spacing w:before="8"/>
              <w:rPr>
                <w:sz w:val="17"/>
              </w:rPr>
            </w:pPr>
          </w:p>
          <w:p w14:paraId="7CC157F7"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right w:val="single" w:sz="6" w:space="0" w:color="231F20"/>
            </w:tcBorders>
          </w:tcPr>
          <w:p w14:paraId="20589D70" w14:textId="77777777" w:rsidR="009948F1" w:rsidRDefault="009948F1">
            <w:pPr>
              <w:pStyle w:val="TableParagraph"/>
              <w:spacing w:before="8"/>
              <w:rPr>
                <w:sz w:val="17"/>
              </w:rPr>
            </w:pPr>
          </w:p>
          <w:p w14:paraId="029C8B29" w14:textId="77777777" w:rsidR="009948F1" w:rsidRDefault="00BC0563">
            <w:pPr>
              <w:pStyle w:val="TableParagraph"/>
              <w:ind w:left="25"/>
              <w:rPr>
                <w:sz w:val="16"/>
              </w:rPr>
            </w:pPr>
            <w:r>
              <w:rPr>
                <w:color w:val="231F20"/>
                <w:w w:val="85"/>
                <w:sz w:val="16"/>
              </w:rPr>
              <w:t>Train health workers</w:t>
            </w:r>
          </w:p>
        </w:tc>
      </w:tr>
      <w:tr w:rsidR="009948F1" w14:paraId="5CCAAA73" w14:textId="77777777">
        <w:trPr>
          <w:trHeight w:val="1153"/>
        </w:trPr>
        <w:tc>
          <w:tcPr>
            <w:tcW w:w="581" w:type="dxa"/>
            <w:gridSpan w:val="2"/>
            <w:tcBorders>
              <w:top w:val="nil"/>
              <w:left w:val="single" w:sz="6" w:space="0" w:color="231F20"/>
              <w:bottom w:val="nil"/>
              <w:right w:val="single" w:sz="6" w:space="0" w:color="231F20"/>
            </w:tcBorders>
          </w:tcPr>
          <w:p w14:paraId="1360341C" w14:textId="77777777" w:rsidR="009948F1" w:rsidRDefault="009948F1">
            <w:pPr>
              <w:pStyle w:val="TableParagraph"/>
              <w:rPr>
                <w:rFonts w:ascii="Times New Roman"/>
                <w:sz w:val="10"/>
              </w:rPr>
            </w:pPr>
          </w:p>
        </w:tc>
        <w:tc>
          <w:tcPr>
            <w:tcW w:w="451" w:type="dxa"/>
            <w:tcBorders>
              <w:left w:val="single" w:sz="6" w:space="0" w:color="231F20"/>
              <w:right w:val="single" w:sz="6" w:space="0" w:color="231F20"/>
            </w:tcBorders>
            <w:shd w:val="clear" w:color="auto" w:fill="CCE7D3"/>
          </w:tcPr>
          <w:p w14:paraId="6CBBCCA4" w14:textId="77777777" w:rsidR="009948F1" w:rsidRDefault="009948F1">
            <w:pPr>
              <w:pStyle w:val="TableParagraph"/>
              <w:rPr>
                <w:sz w:val="16"/>
              </w:rPr>
            </w:pPr>
          </w:p>
          <w:p w14:paraId="7BA6B1CD" w14:textId="77777777" w:rsidR="009948F1" w:rsidRDefault="009948F1">
            <w:pPr>
              <w:pStyle w:val="TableParagraph"/>
              <w:rPr>
                <w:sz w:val="16"/>
              </w:rPr>
            </w:pPr>
          </w:p>
          <w:p w14:paraId="44FFF9FC" w14:textId="77777777" w:rsidR="009948F1" w:rsidRDefault="00BC0563">
            <w:pPr>
              <w:pStyle w:val="TableParagraph"/>
              <w:spacing w:before="119"/>
              <w:ind w:left="55"/>
              <w:rPr>
                <w:sz w:val="16"/>
              </w:rPr>
            </w:pPr>
            <w:r>
              <w:rPr>
                <w:color w:val="231F20"/>
                <w:w w:val="85"/>
                <w:sz w:val="16"/>
              </w:rPr>
              <w:t>7.1.3</w:t>
            </w:r>
          </w:p>
        </w:tc>
        <w:tc>
          <w:tcPr>
            <w:tcW w:w="3018" w:type="dxa"/>
            <w:gridSpan w:val="2"/>
            <w:tcBorders>
              <w:left w:val="single" w:sz="6" w:space="0" w:color="231F20"/>
              <w:bottom w:val="nil"/>
              <w:right w:val="single" w:sz="6" w:space="0" w:color="231F20"/>
            </w:tcBorders>
            <w:shd w:val="clear" w:color="auto" w:fill="CCE7D3"/>
          </w:tcPr>
          <w:p w14:paraId="2B2623C5" w14:textId="77777777" w:rsidR="009948F1" w:rsidRDefault="009948F1">
            <w:pPr>
              <w:pStyle w:val="TableParagraph"/>
              <w:spacing w:before="9"/>
              <w:rPr>
                <w:sz w:val="23"/>
              </w:rPr>
            </w:pPr>
          </w:p>
          <w:p w14:paraId="713713A1" w14:textId="52CC894F" w:rsidR="009948F1" w:rsidRDefault="00BC0563">
            <w:pPr>
              <w:pStyle w:val="TableParagraph"/>
              <w:spacing w:before="1" w:line="268" w:lineRule="auto"/>
              <w:ind w:left="23" w:right="130" w:firstLine="32"/>
              <w:jc w:val="both"/>
              <w:rPr>
                <w:sz w:val="16"/>
              </w:rPr>
            </w:pPr>
            <w:r>
              <w:rPr>
                <w:color w:val="231F20"/>
                <w:w w:val="75"/>
                <w:sz w:val="16"/>
              </w:rPr>
              <w:t>Create/Strengthen</w:t>
            </w:r>
            <w:r>
              <w:rPr>
                <w:color w:val="231F20"/>
                <w:spacing w:val="-12"/>
                <w:w w:val="75"/>
                <w:sz w:val="16"/>
              </w:rPr>
              <w:t xml:space="preserve"> </w:t>
            </w:r>
            <w:r>
              <w:rPr>
                <w:color w:val="231F20"/>
                <w:w w:val="75"/>
                <w:sz w:val="16"/>
              </w:rPr>
              <w:t>coordination</w:t>
            </w:r>
            <w:r>
              <w:rPr>
                <w:color w:val="231F20"/>
                <w:spacing w:val="-11"/>
                <w:w w:val="75"/>
                <w:sz w:val="16"/>
              </w:rPr>
              <w:t xml:space="preserve"> </w:t>
            </w:r>
            <w:r>
              <w:rPr>
                <w:color w:val="231F20"/>
                <w:w w:val="75"/>
                <w:sz w:val="16"/>
              </w:rPr>
              <w:t>of</w:t>
            </w:r>
            <w:r>
              <w:rPr>
                <w:color w:val="231F20"/>
                <w:spacing w:val="-12"/>
                <w:w w:val="75"/>
                <w:sz w:val="16"/>
              </w:rPr>
              <w:t xml:space="preserve"> </w:t>
            </w:r>
            <w:r>
              <w:rPr>
                <w:color w:val="231F20"/>
                <w:w w:val="75"/>
                <w:sz w:val="16"/>
              </w:rPr>
              <w:t>various</w:t>
            </w:r>
            <w:r>
              <w:rPr>
                <w:color w:val="231F20"/>
                <w:spacing w:val="-11"/>
                <w:w w:val="75"/>
                <w:sz w:val="16"/>
              </w:rPr>
              <w:t xml:space="preserve"> </w:t>
            </w:r>
            <w:r>
              <w:rPr>
                <w:color w:val="231F20"/>
                <w:w w:val="75"/>
                <w:sz w:val="16"/>
              </w:rPr>
              <w:t>emergency medical</w:t>
            </w:r>
            <w:r>
              <w:rPr>
                <w:color w:val="231F20"/>
                <w:spacing w:val="-11"/>
                <w:w w:val="75"/>
                <w:sz w:val="16"/>
              </w:rPr>
              <w:t xml:space="preserve"> </w:t>
            </w:r>
            <w:r>
              <w:rPr>
                <w:color w:val="231F20"/>
                <w:w w:val="75"/>
                <w:sz w:val="16"/>
              </w:rPr>
              <w:t>services</w:t>
            </w:r>
            <w:r>
              <w:rPr>
                <w:color w:val="231F20"/>
                <w:spacing w:val="-11"/>
                <w:w w:val="75"/>
                <w:sz w:val="16"/>
              </w:rPr>
              <w:t xml:space="preserve"> </w:t>
            </w:r>
            <w:r>
              <w:rPr>
                <w:color w:val="231F20"/>
                <w:w w:val="75"/>
                <w:sz w:val="16"/>
              </w:rPr>
              <w:t>(NEMA/SEMA,</w:t>
            </w:r>
            <w:r>
              <w:rPr>
                <w:color w:val="231F20"/>
                <w:spacing w:val="-11"/>
                <w:w w:val="75"/>
                <w:sz w:val="16"/>
              </w:rPr>
              <w:t xml:space="preserve"> </w:t>
            </w:r>
            <w:r>
              <w:rPr>
                <w:color w:val="231F20"/>
                <w:w w:val="75"/>
                <w:sz w:val="16"/>
              </w:rPr>
              <w:t>FRSC,</w:t>
            </w:r>
            <w:r>
              <w:rPr>
                <w:color w:val="231F20"/>
                <w:spacing w:val="-11"/>
                <w:w w:val="75"/>
                <w:sz w:val="16"/>
              </w:rPr>
              <w:t xml:space="preserve"> </w:t>
            </w:r>
            <w:r>
              <w:rPr>
                <w:color w:val="231F20"/>
                <w:w w:val="75"/>
                <w:sz w:val="16"/>
              </w:rPr>
              <w:t>Police,</w:t>
            </w:r>
            <w:r>
              <w:rPr>
                <w:color w:val="231F20"/>
                <w:spacing w:val="-11"/>
                <w:w w:val="75"/>
                <w:sz w:val="16"/>
              </w:rPr>
              <w:t xml:space="preserve"> </w:t>
            </w:r>
            <w:r>
              <w:rPr>
                <w:color w:val="231F20"/>
                <w:w w:val="75"/>
                <w:sz w:val="16"/>
              </w:rPr>
              <w:t xml:space="preserve">Public, </w:t>
            </w:r>
            <w:r>
              <w:rPr>
                <w:color w:val="231F20"/>
                <w:w w:val="85"/>
                <w:sz w:val="16"/>
              </w:rPr>
              <w:t>Private</w:t>
            </w:r>
            <w:r>
              <w:rPr>
                <w:color w:val="231F20"/>
                <w:spacing w:val="-7"/>
                <w:w w:val="85"/>
                <w:sz w:val="16"/>
              </w:rPr>
              <w:t xml:space="preserve"> </w:t>
            </w:r>
            <w:r w:rsidR="00FB089D">
              <w:rPr>
                <w:color w:val="231F20"/>
                <w:w w:val="85"/>
                <w:sz w:val="16"/>
              </w:rPr>
              <w:t>etc.</w:t>
            </w:r>
            <w:r>
              <w:rPr>
                <w:color w:val="231F20"/>
                <w:w w:val="85"/>
                <w:sz w:val="16"/>
              </w:rPr>
              <w:t>)</w:t>
            </w:r>
          </w:p>
        </w:tc>
        <w:tc>
          <w:tcPr>
            <w:tcW w:w="2370" w:type="dxa"/>
            <w:tcBorders>
              <w:left w:val="single" w:sz="6" w:space="0" w:color="231F20"/>
              <w:right w:val="single" w:sz="6" w:space="0" w:color="231F20"/>
            </w:tcBorders>
            <w:shd w:val="clear" w:color="auto" w:fill="CCE7D3"/>
          </w:tcPr>
          <w:p w14:paraId="68F90A3C" w14:textId="77777777" w:rsidR="009948F1" w:rsidRDefault="009948F1">
            <w:pPr>
              <w:pStyle w:val="TableParagraph"/>
              <w:spacing w:before="4"/>
              <w:rPr>
                <w:sz w:val="15"/>
              </w:rPr>
            </w:pPr>
          </w:p>
          <w:p w14:paraId="350A9EA7" w14:textId="5AA501E5" w:rsidR="009948F1" w:rsidRDefault="00BC0563">
            <w:pPr>
              <w:pStyle w:val="TableParagraph"/>
              <w:numPr>
                <w:ilvl w:val="0"/>
                <w:numId w:val="117"/>
              </w:numPr>
              <w:tabs>
                <w:tab w:val="left" w:pos="68"/>
              </w:tabs>
              <w:spacing w:before="1" w:line="268" w:lineRule="auto"/>
              <w:ind w:right="147" w:firstLine="0"/>
              <w:rPr>
                <w:sz w:val="16"/>
              </w:rPr>
            </w:pPr>
            <w:r>
              <w:rPr>
                <w:color w:val="231F20"/>
                <w:w w:val="75"/>
                <w:sz w:val="16"/>
              </w:rPr>
              <w:t>Public</w:t>
            </w:r>
            <w:r>
              <w:rPr>
                <w:color w:val="231F20"/>
                <w:spacing w:val="-7"/>
                <w:w w:val="75"/>
                <w:sz w:val="16"/>
              </w:rPr>
              <w:t xml:space="preserve"> </w:t>
            </w:r>
            <w:r>
              <w:rPr>
                <w:color w:val="231F20"/>
                <w:w w:val="75"/>
                <w:sz w:val="16"/>
              </w:rPr>
              <w:t>sector</w:t>
            </w:r>
            <w:r>
              <w:rPr>
                <w:color w:val="231F20"/>
                <w:spacing w:val="-7"/>
                <w:w w:val="75"/>
                <w:sz w:val="16"/>
              </w:rPr>
              <w:t xml:space="preserve"> </w:t>
            </w:r>
            <w:r>
              <w:rPr>
                <w:color w:val="231F20"/>
                <w:w w:val="75"/>
                <w:sz w:val="16"/>
              </w:rPr>
              <w:t>medical</w:t>
            </w:r>
            <w:r>
              <w:rPr>
                <w:color w:val="231F20"/>
                <w:spacing w:val="-7"/>
                <w:w w:val="75"/>
                <w:sz w:val="16"/>
              </w:rPr>
              <w:t xml:space="preserve"> </w:t>
            </w:r>
            <w:r>
              <w:rPr>
                <w:color w:val="231F20"/>
                <w:w w:val="75"/>
                <w:sz w:val="16"/>
              </w:rPr>
              <w:t>emergency</w:t>
            </w:r>
            <w:r>
              <w:rPr>
                <w:color w:val="231F20"/>
                <w:spacing w:val="-7"/>
                <w:w w:val="75"/>
                <w:sz w:val="16"/>
              </w:rPr>
              <w:t xml:space="preserve"> </w:t>
            </w:r>
            <w:r>
              <w:rPr>
                <w:color w:val="231F20"/>
                <w:spacing w:val="-3"/>
                <w:w w:val="75"/>
                <w:sz w:val="16"/>
              </w:rPr>
              <w:t xml:space="preserve">service </w:t>
            </w:r>
            <w:r w:rsidR="00FB089D">
              <w:rPr>
                <w:color w:val="231F20"/>
                <w:w w:val="85"/>
                <w:sz w:val="16"/>
              </w:rPr>
              <w:t>harmonized</w:t>
            </w:r>
            <w:r>
              <w:rPr>
                <w:color w:val="231F20"/>
                <w:w w:val="85"/>
                <w:sz w:val="16"/>
              </w:rPr>
              <w:t>,</w:t>
            </w:r>
            <w:r>
              <w:rPr>
                <w:color w:val="231F20"/>
                <w:spacing w:val="-24"/>
                <w:w w:val="85"/>
                <w:sz w:val="16"/>
              </w:rPr>
              <w:t xml:space="preserve"> </w:t>
            </w:r>
            <w:r>
              <w:rPr>
                <w:color w:val="231F20"/>
                <w:w w:val="85"/>
                <w:sz w:val="16"/>
              </w:rPr>
              <w:t>integrated</w:t>
            </w:r>
            <w:r>
              <w:rPr>
                <w:color w:val="231F20"/>
                <w:spacing w:val="-23"/>
                <w:w w:val="85"/>
                <w:sz w:val="16"/>
              </w:rPr>
              <w:t xml:space="preserve"> </w:t>
            </w:r>
            <w:r>
              <w:rPr>
                <w:color w:val="231F20"/>
                <w:w w:val="85"/>
                <w:sz w:val="16"/>
              </w:rPr>
              <w:t>and</w:t>
            </w:r>
            <w:r>
              <w:rPr>
                <w:color w:val="231F20"/>
                <w:spacing w:val="-24"/>
                <w:w w:val="85"/>
                <w:sz w:val="16"/>
              </w:rPr>
              <w:t xml:space="preserve"> </w:t>
            </w:r>
            <w:r>
              <w:rPr>
                <w:color w:val="231F20"/>
                <w:w w:val="85"/>
                <w:sz w:val="16"/>
              </w:rPr>
              <w:t>aligned</w:t>
            </w:r>
          </w:p>
          <w:p w14:paraId="737533FF" w14:textId="77777777" w:rsidR="009948F1" w:rsidRDefault="00BC0563">
            <w:pPr>
              <w:pStyle w:val="TableParagraph"/>
              <w:numPr>
                <w:ilvl w:val="0"/>
                <w:numId w:val="117"/>
              </w:numPr>
              <w:tabs>
                <w:tab w:val="left" w:pos="68"/>
              </w:tabs>
              <w:spacing w:line="184" w:lineRule="exact"/>
              <w:ind w:left="67"/>
              <w:rPr>
                <w:sz w:val="16"/>
              </w:rPr>
            </w:pPr>
            <w:r>
              <w:rPr>
                <w:color w:val="231F20"/>
                <w:w w:val="80"/>
                <w:sz w:val="16"/>
              </w:rPr>
              <w:t>PPP</w:t>
            </w:r>
            <w:r>
              <w:rPr>
                <w:color w:val="231F20"/>
                <w:spacing w:val="-18"/>
                <w:w w:val="80"/>
                <w:sz w:val="16"/>
              </w:rPr>
              <w:t xml:space="preserve"> </w:t>
            </w:r>
            <w:r>
              <w:rPr>
                <w:color w:val="231F20"/>
                <w:w w:val="80"/>
                <w:sz w:val="16"/>
              </w:rPr>
              <w:t>involved</w:t>
            </w:r>
            <w:r>
              <w:rPr>
                <w:color w:val="231F20"/>
                <w:spacing w:val="-15"/>
                <w:w w:val="80"/>
                <w:sz w:val="16"/>
              </w:rPr>
              <w:t xml:space="preserve"> </w:t>
            </w:r>
            <w:r>
              <w:rPr>
                <w:color w:val="231F20"/>
                <w:w w:val="80"/>
                <w:sz w:val="16"/>
              </w:rPr>
              <w:t>in</w:t>
            </w:r>
            <w:r>
              <w:rPr>
                <w:color w:val="231F20"/>
                <w:spacing w:val="-16"/>
                <w:w w:val="80"/>
                <w:sz w:val="16"/>
              </w:rPr>
              <w:t xml:space="preserve"> </w:t>
            </w:r>
            <w:r>
              <w:rPr>
                <w:color w:val="231F20"/>
                <w:w w:val="80"/>
                <w:sz w:val="16"/>
              </w:rPr>
              <w:t>EMS</w:t>
            </w:r>
            <w:r>
              <w:rPr>
                <w:color w:val="231F20"/>
                <w:spacing w:val="-16"/>
                <w:w w:val="80"/>
                <w:sz w:val="16"/>
              </w:rPr>
              <w:t xml:space="preserve"> </w:t>
            </w:r>
            <w:r>
              <w:rPr>
                <w:color w:val="231F20"/>
                <w:w w:val="80"/>
                <w:sz w:val="16"/>
              </w:rPr>
              <w:t>and</w:t>
            </w:r>
            <w:r>
              <w:rPr>
                <w:color w:val="231F20"/>
                <w:spacing w:val="-16"/>
                <w:w w:val="80"/>
                <w:sz w:val="16"/>
              </w:rPr>
              <w:t xml:space="preserve"> </w:t>
            </w:r>
            <w:r>
              <w:rPr>
                <w:color w:val="231F20"/>
                <w:w w:val="80"/>
                <w:sz w:val="16"/>
              </w:rPr>
              <w:t>ETS</w:t>
            </w:r>
            <w:r>
              <w:rPr>
                <w:color w:val="231F20"/>
                <w:spacing w:val="-15"/>
                <w:w w:val="80"/>
                <w:sz w:val="16"/>
              </w:rPr>
              <w:t xml:space="preserve"> </w:t>
            </w:r>
            <w:r>
              <w:rPr>
                <w:color w:val="231F20"/>
                <w:w w:val="80"/>
                <w:sz w:val="16"/>
              </w:rPr>
              <w:t>services</w:t>
            </w:r>
          </w:p>
          <w:p w14:paraId="7258BAD7" w14:textId="77777777" w:rsidR="009948F1" w:rsidRDefault="00BC0563">
            <w:pPr>
              <w:pStyle w:val="TableParagraph"/>
              <w:spacing w:before="21"/>
              <w:ind w:left="25"/>
              <w:rPr>
                <w:sz w:val="16"/>
              </w:rPr>
            </w:pPr>
            <w:r>
              <w:rPr>
                <w:color w:val="231F20"/>
                <w:w w:val="73"/>
                <w:sz w:val="16"/>
              </w:rPr>
              <w:t>•</w:t>
            </w:r>
          </w:p>
        </w:tc>
        <w:tc>
          <w:tcPr>
            <w:tcW w:w="1419" w:type="dxa"/>
            <w:tcBorders>
              <w:left w:val="single" w:sz="6" w:space="0" w:color="231F20"/>
              <w:right w:val="single" w:sz="6" w:space="0" w:color="231F20"/>
            </w:tcBorders>
            <w:shd w:val="clear" w:color="auto" w:fill="CCE7D3"/>
          </w:tcPr>
          <w:p w14:paraId="5104B806" w14:textId="77777777" w:rsidR="009948F1" w:rsidRDefault="009948F1">
            <w:pPr>
              <w:pStyle w:val="TableParagraph"/>
              <w:rPr>
                <w:rFonts w:ascii="Times New Roman"/>
                <w:sz w:val="10"/>
              </w:rPr>
            </w:pPr>
          </w:p>
        </w:tc>
        <w:tc>
          <w:tcPr>
            <w:tcW w:w="1497" w:type="dxa"/>
            <w:tcBorders>
              <w:left w:val="single" w:sz="6" w:space="0" w:color="231F20"/>
              <w:right w:val="single" w:sz="6" w:space="0" w:color="231F20"/>
            </w:tcBorders>
            <w:shd w:val="clear" w:color="auto" w:fill="CCE7D3"/>
          </w:tcPr>
          <w:p w14:paraId="3D14AA01" w14:textId="77777777" w:rsidR="009948F1" w:rsidRDefault="009948F1">
            <w:pPr>
              <w:pStyle w:val="TableParagraph"/>
              <w:rPr>
                <w:rFonts w:ascii="Times New Roman"/>
                <w:sz w:val="10"/>
              </w:rPr>
            </w:pPr>
          </w:p>
        </w:tc>
      </w:tr>
      <w:tr w:rsidR="009948F1" w14:paraId="01D4CD60" w14:textId="77777777">
        <w:trPr>
          <w:trHeight w:val="667"/>
        </w:trPr>
        <w:tc>
          <w:tcPr>
            <w:tcW w:w="1032" w:type="dxa"/>
            <w:gridSpan w:val="3"/>
            <w:vMerge w:val="restart"/>
            <w:tcBorders>
              <w:top w:val="nil"/>
              <w:left w:val="single" w:sz="6" w:space="0" w:color="231F20"/>
              <w:bottom w:val="nil"/>
              <w:right w:val="single" w:sz="6" w:space="0" w:color="231F20"/>
            </w:tcBorders>
          </w:tcPr>
          <w:p w14:paraId="65F9DF8F" w14:textId="77777777" w:rsidR="009948F1" w:rsidRDefault="009948F1">
            <w:pPr>
              <w:pStyle w:val="TableParagraph"/>
              <w:rPr>
                <w:rFonts w:ascii="Times New Roman"/>
                <w:sz w:val="10"/>
              </w:rPr>
            </w:pPr>
          </w:p>
        </w:tc>
        <w:tc>
          <w:tcPr>
            <w:tcW w:w="522" w:type="dxa"/>
            <w:tcBorders>
              <w:top w:val="nil"/>
              <w:left w:val="single" w:sz="6" w:space="0" w:color="231F20"/>
              <w:right w:val="single" w:sz="6" w:space="0" w:color="231F20"/>
            </w:tcBorders>
          </w:tcPr>
          <w:p w14:paraId="3E024C5D" w14:textId="77777777" w:rsidR="009948F1" w:rsidRDefault="009948F1">
            <w:pPr>
              <w:pStyle w:val="TableParagraph"/>
              <w:spacing w:before="2"/>
              <w:rPr>
                <w:sz w:val="21"/>
              </w:rPr>
            </w:pPr>
          </w:p>
          <w:p w14:paraId="79385656" w14:textId="77777777" w:rsidR="009948F1" w:rsidRDefault="00BC0563">
            <w:pPr>
              <w:pStyle w:val="TableParagraph"/>
              <w:spacing w:before="1"/>
              <w:ind w:left="82"/>
              <w:rPr>
                <w:sz w:val="16"/>
              </w:rPr>
            </w:pPr>
            <w:r>
              <w:rPr>
                <w:color w:val="231F20"/>
                <w:w w:val="80"/>
                <w:sz w:val="16"/>
              </w:rPr>
              <w:t>7.1.3.a</w:t>
            </w:r>
          </w:p>
        </w:tc>
        <w:tc>
          <w:tcPr>
            <w:tcW w:w="4866" w:type="dxa"/>
            <w:gridSpan w:val="2"/>
            <w:tcBorders>
              <w:top w:val="nil"/>
              <w:left w:val="single" w:sz="6" w:space="0" w:color="231F20"/>
              <w:right w:val="single" w:sz="6" w:space="0" w:color="231F20"/>
            </w:tcBorders>
          </w:tcPr>
          <w:p w14:paraId="0155172F" w14:textId="39AC37C2" w:rsidR="009948F1" w:rsidRDefault="00BC0563">
            <w:pPr>
              <w:pStyle w:val="TableParagraph"/>
              <w:spacing w:before="134" w:line="268" w:lineRule="auto"/>
              <w:ind w:left="24" w:right="211"/>
              <w:rPr>
                <w:sz w:val="16"/>
              </w:rPr>
            </w:pPr>
            <w:r>
              <w:rPr>
                <w:color w:val="231F20"/>
                <w:w w:val="75"/>
                <w:sz w:val="16"/>
              </w:rPr>
              <w:t xml:space="preserve">Establish a coordinating framework for harmonization, integration and </w:t>
            </w:r>
            <w:r w:rsidR="00FB089D">
              <w:rPr>
                <w:color w:val="231F20"/>
                <w:w w:val="75"/>
                <w:sz w:val="16"/>
              </w:rPr>
              <w:t>alignment</w:t>
            </w:r>
            <w:r>
              <w:rPr>
                <w:color w:val="231F20"/>
                <w:w w:val="75"/>
                <w:sz w:val="16"/>
              </w:rPr>
              <w:t xml:space="preserve"> of all </w:t>
            </w:r>
            <w:r>
              <w:rPr>
                <w:color w:val="231F20"/>
                <w:w w:val="85"/>
                <w:sz w:val="16"/>
              </w:rPr>
              <w:t>public sector medical emergency services</w:t>
            </w:r>
          </w:p>
        </w:tc>
        <w:tc>
          <w:tcPr>
            <w:tcW w:w="1419" w:type="dxa"/>
            <w:tcBorders>
              <w:left w:val="single" w:sz="6" w:space="0" w:color="231F20"/>
              <w:right w:val="single" w:sz="6" w:space="0" w:color="231F20"/>
            </w:tcBorders>
          </w:tcPr>
          <w:p w14:paraId="386715F4" w14:textId="77777777" w:rsidR="009948F1" w:rsidRDefault="009948F1">
            <w:pPr>
              <w:pStyle w:val="TableParagraph"/>
              <w:spacing w:before="2"/>
              <w:rPr>
                <w:sz w:val="21"/>
              </w:rPr>
            </w:pPr>
          </w:p>
          <w:p w14:paraId="65C20E1A" w14:textId="77777777" w:rsidR="009948F1" w:rsidRDefault="00BC0563">
            <w:pPr>
              <w:pStyle w:val="TableParagraph"/>
              <w:spacing w:before="1"/>
              <w:ind w:left="25"/>
              <w:rPr>
                <w:sz w:val="16"/>
              </w:rPr>
            </w:pPr>
            <w:r>
              <w:rPr>
                <w:color w:val="231F20"/>
                <w:w w:val="85"/>
                <w:sz w:val="16"/>
              </w:rPr>
              <w:t>Lack of funds</w:t>
            </w:r>
          </w:p>
        </w:tc>
        <w:tc>
          <w:tcPr>
            <w:tcW w:w="1497" w:type="dxa"/>
            <w:tcBorders>
              <w:left w:val="single" w:sz="6" w:space="0" w:color="231F20"/>
              <w:right w:val="single" w:sz="6" w:space="0" w:color="231F20"/>
            </w:tcBorders>
          </w:tcPr>
          <w:p w14:paraId="60A3E64B" w14:textId="77777777" w:rsidR="009948F1" w:rsidRDefault="009948F1">
            <w:pPr>
              <w:pStyle w:val="TableParagraph"/>
              <w:spacing w:before="2"/>
              <w:rPr>
                <w:sz w:val="21"/>
              </w:rPr>
            </w:pPr>
          </w:p>
          <w:p w14:paraId="0AC6A5D7" w14:textId="77777777" w:rsidR="009948F1" w:rsidRDefault="00BC0563">
            <w:pPr>
              <w:pStyle w:val="TableParagraph"/>
              <w:spacing w:before="1"/>
              <w:ind w:left="25"/>
              <w:rPr>
                <w:sz w:val="16"/>
              </w:rPr>
            </w:pPr>
            <w:r>
              <w:rPr>
                <w:color w:val="231F20"/>
                <w:w w:val="85"/>
                <w:sz w:val="16"/>
              </w:rPr>
              <w:t>Costed in 7.1.1 b</w:t>
            </w:r>
          </w:p>
        </w:tc>
      </w:tr>
      <w:tr w:rsidR="009948F1" w14:paraId="7D4E71B0" w14:textId="77777777">
        <w:trPr>
          <w:trHeight w:val="379"/>
        </w:trPr>
        <w:tc>
          <w:tcPr>
            <w:tcW w:w="1032" w:type="dxa"/>
            <w:gridSpan w:val="3"/>
            <w:vMerge/>
            <w:tcBorders>
              <w:top w:val="nil"/>
              <w:left w:val="single" w:sz="6" w:space="0" w:color="231F20"/>
              <w:bottom w:val="nil"/>
              <w:right w:val="single" w:sz="6" w:space="0" w:color="231F20"/>
            </w:tcBorders>
          </w:tcPr>
          <w:p w14:paraId="5BD78C0D" w14:textId="77777777" w:rsidR="009948F1" w:rsidRDefault="009948F1">
            <w:pPr>
              <w:rPr>
                <w:sz w:val="2"/>
                <w:szCs w:val="2"/>
              </w:rPr>
            </w:pPr>
          </w:p>
        </w:tc>
        <w:tc>
          <w:tcPr>
            <w:tcW w:w="522" w:type="dxa"/>
            <w:tcBorders>
              <w:left w:val="single" w:sz="6" w:space="0" w:color="231F20"/>
              <w:right w:val="single" w:sz="6" w:space="0" w:color="231F20"/>
            </w:tcBorders>
          </w:tcPr>
          <w:p w14:paraId="7724C70F" w14:textId="77777777" w:rsidR="009948F1" w:rsidRDefault="00BC0563">
            <w:pPr>
              <w:pStyle w:val="TableParagraph"/>
              <w:spacing w:before="100"/>
              <w:ind w:left="82"/>
              <w:rPr>
                <w:sz w:val="16"/>
              </w:rPr>
            </w:pPr>
            <w:r>
              <w:rPr>
                <w:color w:val="231F20"/>
                <w:w w:val="80"/>
                <w:sz w:val="16"/>
              </w:rPr>
              <w:t>7.1.3.b</w:t>
            </w:r>
          </w:p>
        </w:tc>
        <w:tc>
          <w:tcPr>
            <w:tcW w:w="4866" w:type="dxa"/>
            <w:gridSpan w:val="2"/>
            <w:tcBorders>
              <w:left w:val="single" w:sz="6" w:space="0" w:color="231F20"/>
              <w:right w:val="single" w:sz="6" w:space="0" w:color="231F20"/>
            </w:tcBorders>
          </w:tcPr>
          <w:p w14:paraId="58F5705A" w14:textId="77777777" w:rsidR="009948F1" w:rsidRDefault="00BC0563">
            <w:pPr>
              <w:pStyle w:val="TableParagraph"/>
              <w:spacing w:before="93"/>
              <w:ind w:left="57"/>
              <w:rPr>
                <w:sz w:val="16"/>
              </w:rPr>
            </w:pPr>
            <w:r>
              <w:rPr>
                <w:color w:val="231F20"/>
                <w:w w:val="85"/>
                <w:sz w:val="16"/>
              </w:rPr>
              <w:t>Promote PPP in EMS and ETS services</w:t>
            </w:r>
          </w:p>
        </w:tc>
        <w:tc>
          <w:tcPr>
            <w:tcW w:w="1419" w:type="dxa"/>
            <w:tcBorders>
              <w:left w:val="single" w:sz="6" w:space="0" w:color="231F20"/>
              <w:right w:val="single" w:sz="6" w:space="0" w:color="231F20"/>
            </w:tcBorders>
          </w:tcPr>
          <w:p w14:paraId="5AE407BB" w14:textId="77777777" w:rsidR="009948F1" w:rsidRDefault="00BC0563">
            <w:pPr>
              <w:pStyle w:val="TableParagraph"/>
              <w:spacing w:before="100"/>
              <w:ind w:left="25"/>
              <w:rPr>
                <w:sz w:val="16"/>
              </w:rPr>
            </w:pPr>
            <w:r>
              <w:rPr>
                <w:color w:val="231F20"/>
                <w:w w:val="85"/>
                <w:sz w:val="16"/>
              </w:rPr>
              <w:t>Lack of funds</w:t>
            </w:r>
          </w:p>
        </w:tc>
        <w:tc>
          <w:tcPr>
            <w:tcW w:w="1497" w:type="dxa"/>
            <w:tcBorders>
              <w:left w:val="single" w:sz="6" w:space="0" w:color="231F20"/>
              <w:right w:val="single" w:sz="6" w:space="0" w:color="231F20"/>
            </w:tcBorders>
          </w:tcPr>
          <w:p w14:paraId="7909855E" w14:textId="266A9467" w:rsidR="009948F1" w:rsidRDefault="00FB089D">
            <w:pPr>
              <w:pStyle w:val="TableParagraph"/>
              <w:spacing w:before="100"/>
              <w:ind w:left="25"/>
              <w:rPr>
                <w:sz w:val="16"/>
              </w:rPr>
            </w:pPr>
            <w:r>
              <w:rPr>
                <w:color w:val="231F20"/>
                <w:w w:val="85"/>
                <w:sz w:val="16"/>
              </w:rPr>
              <w:t>Awareness</w:t>
            </w:r>
            <w:r w:rsidR="00BC0563">
              <w:rPr>
                <w:color w:val="231F20"/>
                <w:w w:val="85"/>
                <w:sz w:val="16"/>
              </w:rPr>
              <w:t xml:space="preserve"> campaign</w:t>
            </w:r>
          </w:p>
        </w:tc>
      </w:tr>
      <w:tr w:rsidR="009948F1" w14:paraId="579D5D15" w14:textId="77777777">
        <w:trPr>
          <w:trHeight w:val="997"/>
        </w:trPr>
        <w:tc>
          <w:tcPr>
            <w:tcW w:w="581" w:type="dxa"/>
            <w:gridSpan w:val="2"/>
            <w:tcBorders>
              <w:top w:val="nil"/>
              <w:left w:val="single" w:sz="6" w:space="0" w:color="231F20"/>
              <w:bottom w:val="nil"/>
              <w:right w:val="single" w:sz="6" w:space="0" w:color="231F20"/>
            </w:tcBorders>
          </w:tcPr>
          <w:p w14:paraId="456C6798" w14:textId="77777777" w:rsidR="009948F1" w:rsidRDefault="009948F1">
            <w:pPr>
              <w:pStyle w:val="TableParagraph"/>
              <w:rPr>
                <w:rFonts w:ascii="Times New Roman"/>
                <w:sz w:val="10"/>
              </w:rPr>
            </w:pPr>
          </w:p>
        </w:tc>
        <w:tc>
          <w:tcPr>
            <w:tcW w:w="451" w:type="dxa"/>
            <w:tcBorders>
              <w:left w:val="single" w:sz="6" w:space="0" w:color="231F20"/>
              <w:right w:val="single" w:sz="6" w:space="0" w:color="231F20"/>
            </w:tcBorders>
            <w:shd w:val="clear" w:color="auto" w:fill="CCE7D3"/>
          </w:tcPr>
          <w:p w14:paraId="6ACF1965" w14:textId="77777777" w:rsidR="009948F1" w:rsidRDefault="009948F1">
            <w:pPr>
              <w:pStyle w:val="TableParagraph"/>
              <w:rPr>
                <w:sz w:val="16"/>
              </w:rPr>
            </w:pPr>
          </w:p>
          <w:p w14:paraId="260E161A" w14:textId="77777777" w:rsidR="009948F1" w:rsidRDefault="009948F1">
            <w:pPr>
              <w:pStyle w:val="TableParagraph"/>
              <w:spacing w:before="5"/>
              <w:rPr>
                <w:sz w:val="19"/>
              </w:rPr>
            </w:pPr>
          </w:p>
          <w:p w14:paraId="0572B831" w14:textId="77777777" w:rsidR="009948F1" w:rsidRDefault="00BC0563">
            <w:pPr>
              <w:pStyle w:val="TableParagraph"/>
              <w:spacing w:before="1"/>
              <w:ind w:left="55"/>
              <w:rPr>
                <w:sz w:val="16"/>
              </w:rPr>
            </w:pPr>
            <w:r>
              <w:rPr>
                <w:color w:val="231F20"/>
                <w:w w:val="85"/>
                <w:sz w:val="16"/>
              </w:rPr>
              <w:t>7.1.5</w:t>
            </w:r>
          </w:p>
        </w:tc>
        <w:tc>
          <w:tcPr>
            <w:tcW w:w="3018" w:type="dxa"/>
            <w:gridSpan w:val="2"/>
            <w:tcBorders>
              <w:left w:val="single" w:sz="6" w:space="0" w:color="231F20"/>
              <w:right w:val="single" w:sz="6" w:space="0" w:color="231F20"/>
            </w:tcBorders>
            <w:shd w:val="clear" w:color="auto" w:fill="CCE7D3"/>
          </w:tcPr>
          <w:p w14:paraId="1D10F3FD" w14:textId="77777777" w:rsidR="009948F1" w:rsidRDefault="009948F1">
            <w:pPr>
              <w:pStyle w:val="TableParagraph"/>
              <w:rPr>
                <w:sz w:val="16"/>
              </w:rPr>
            </w:pPr>
          </w:p>
          <w:p w14:paraId="2E6CEFA0" w14:textId="77777777" w:rsidR="009948F1" w:rsidRDefault="00BC0563">
            <w:pPr>
              <w:pStyle w:val="TableParagraph"/>
              <w:spacing w:before="115" w:line="268" w:lineRule="auto"/>
              <w:ind w:left="23" w:right="5" w:firstLine="32"/>
              <w:rPr>
                <w:sz w:val="16"/>
              </w:rPr>
            </w:pPr>
            <w:r>
              <w:rPr>
                <w:color w:val="231F20"/>
                <w:w w:val="75"/>
                <w:sz w:val="16"/>
              </w:rPr>
              <w:t xml:space="preserve">Promote demand for appropriate use of medical </w:t>
            </w:r>
            <w:r>
              <w:rPr>
                <w:color w:val="231F20"/>
                <w:w w:val="85"/>
                <w:sz w:val="16"/>
              </w:rPr>
              <w:t>services</w:t>
            </w:r>
          </w:p>
        </w:tc>
        <w:tc>
          <w:tcPr>
            <w:tcW w:w="2370" w:type="dxa"/>
            <w:tcBorders>
              <w:left w:val="single" w:sz="6" w:space="0" w:color="231F20"/>
              <w:right w:val="single" w:sz="6" w:space="0" w:color="231F20"/>
            </w:tcBorders>
            <w:shd w:val="clear" w:color="auto" w:fill="CCE7D3"/>
          </w:tcPr>
          <w:p w14:paraId="2431A83D" w14:textId="77777777" w:rsidR="009948F1" w:rsidRDefault="00BC0563">
            <w:pPr>
              <w:pStyle w:val="TableParagraph"/>
              <w:numPr>
                <w:ilvl w:val="0"/>
                <w:numId w:val="116"/>
              </w:numPr>
              <w:tabs>
                <w:tab w:val="left" w:pos="100"/>
              </w:tabs>
              <w:spacing w:before="100" w:line="268" w:lineRule="auto"/>
              <w:ind w:right="147" w:firstLine="0"/>
              <w:rPr>
                <w:sz w:val="16"/>
              </w:rPr>
            </w:pPr>
            <w:r>
              <w:rPr>
                <w:color w:val="231F20"/>
                <w:w w:val="75"/>
                <w:sz w:val="16"/>
              </w:rPr>
              <w:t>Public</w:t>
            </w:r>
            <w:r>
              <w:rPr>
                <w:color w:val="231F20"/>
                <w:spacing w:val="-9"/>
                <w:w w:val="75"/>
                <w:sz w:val="16"/>
              </w:rPr>
              <w:t xml:space="preserve"> </w:t>
            </w:r>
            <w:r>
              <w:rPr>
                <w:color w:val="231F20"/>
                <w:w w:val="75"/>
                <w:sz w:val="16"/>
              </w:rPr>
              <w:t>enlightenment</w:t>
            </w:r>
            <w:r>
              <w:rPr>
                <w:color w:val="231F20"/>
                <w:spacing w:val="-8"/>
                <w:w w:val="75"/>
                <w:sz w:val="16"/>
              </w:rPr>
              <w:t xml:space="preserve"> </w:t>
            </w:r>
            <w:r>
              <w:rPr>
                <w:color w:val="231F20"/>
                <w:w w:val="75"/>
                <w:sz w:val="16"/>
              </w:rPr>
              <w:t>on</w:t>
            </w:r>
            <w:r>
              <w:rPr>
                <w:color w:val="231F20"/>
                <w:spacing w:val="-8"/>
                <w:w w:val="75"/>
                <w:sz w:val="16"/>
              </w:rPr>
              <w:t xml:space="preserve"> </w:t>
            </w:r>
            <w:r>
              <w:rPr>
                <w:color w:val="231F20"/>
                <w:w w:val="75"/>
                <w:sz w:val="16"/>
              </w:rPr>
              <w:t>emergency</w:t>
            </w:r>
            <w:r>
              <w:rPr>
                <w:color w:val="231F20"/>
                <w:spacing w:val="-8"/>
                <w:w w:val="75"/>
                <w:sz w:val="16"/>
              </w:rPr>
              <w:t xml:space="preserve"> </w:t>
            </w:r>
            <w:r>
              <w:rPr>
                <w:color w:val="231F20"/>
                <w:spacing w:val="-5"/>
                <w:w w:val="75"/>
                <w:sz w:val="16"/>
              </w:rPr>
              <w:t xml:space="preserve">and </w:t>
            </w:r>
            <w:r>
              <w:rPr>
                <w:color w:val="231F20"/>
                <w:w w:val="85"/>
                <w:sz w:val="16"/>
              </w:rPr>
              <w:t>trauma</w:t>
            </w:r>
            <w:r>
              <w:rPr>
                <w:color w:val="231F20"/>
                <w:spacing w:val="-14"/>
                <w:w w:val="85"/>
                <w:sz w:val="16"/>
              </w:rPr>
              <w:t xml:space="preserve"> </w:t>
            </w:r>
            <w:r>
              <w:rPr>
                <w:color w:val="231F20"/>
                <w:w w:val="85"/>
                <w:sz w:val="16"/>
              </w:rPr>
              <w:t>services</w:t>
            </w:r>
            <w:r>
              <w:rPr>
                <w:color w:val="231F20"/>
                <w:spacing w:val="-13"/>
                <w:w w:val="85"/>
                <w:sz w:val="16"/>
              </w:rPr>
              <w:t xml:space="preserve"> </w:t>
            </w:r>
            <w:r>
              <w:rPr>
                <w:color w:val="231F20"/>
                <w:w w:val="85"/>
                <w:sz w:val="16"/>
              </w:rPr>
              <w:t>carried</w:t>
            </w:r>
            <w:r>
              <w:rPr>
                <w:color w:val="231F20"/>
                <w:spacing w:val="-13"/>
                <w:w w:val="85"/>
                <w:sz w:val="16"/>
              </w:rPr>
              <w:t xml:space="preserve"> </w:t>
            </w:r>
            <w:r>
              <w:rPr>
                <w:color w:val="231F20"/>
                <w:w w:val="85"/>
                <w:sz w:val="16"/>
              </w:rPr>
              <w:t>out</w:t>
            </w:r>
          </w:p>
          <w:p w14:paraId="20100135" w14:textId="77777777" w:rsidR="009948F1" w:rsidRDefault="00BC0563">
            <w:pPr>
              <w:pStyle w:val="TableParagraph"/>
              <w:spacing w:line="184" w:lineRule="exact"/>
              <w:ind w:left="25"/>
              <w:rPr>
                <w:sz w:val="16"/>
              </w:rPr>
            </w:pPr>
            <w:r>
              <w:rPr>
                <w:color w:val="231F20"/>
                <w:w w:val="73"/>
                <w:sz w:val="16"/>
              </w:rPr>
              <w:t>•</w:t>
            </w:r>
          </w:p>
          <w:p w14:paraId="210B07F3" w14:textId="77777777" w:rsidR="009948F1" w:rsidRDefault="00BC0563">
            <w:pPr>
              <w:pStyle w:val="TableParagraph"/>
              <w:spacing w:before="22"/>
              <w:ind w:left="25"/>
              <w:rPr>
                <w:sz w:val="16"/>
              </w:rPr>
            </w:pPr>
            <w:r>
              <w:rPr>
                <w:color w:val="231F20"/>
                <w:w w:val="73"/>
                <w:sz w:val="16"/>
              </w:rPr>
              <w:t>•</w:t>
            </w:r>
          </w:p>
        </w:tc>
        <w:tc>
          <w:tcPr>
            <w:tcW w:w="1419" w:type="dxa"/>
            <w:tcBorders>
              <w:left w:val="single" w:sz="6" w:space="0" w:color="231F20"/>
              <w:right w:val="single" w:sz="6" w:space="0" w:color="231F20"/>
            </w:tcBorders>
            <w:shd w:val="clear" w:color="auto" w:fill="CCE7D3"/>
          </w:tcPr>
          <w:p w14:paraId="3F3CC9DF" w14:textId="77777777" w:rsidR="009948F1" w:rsidRDefault="009948F1">
            <w:pPr>
              <w:pStyle w:val="TableParagraph"/>
              <w:rPr>
                <w:rFonts w:ascii="Times New Roman"/>
                <w:sz w:val="10"/>
              </w:rPr>
            </w:pPr>
          </w:p>
        </w:tc>
        <w:tc>
          <w:tcPr>
            <w:tcW w:w="1497" w:type="dxa"/>
            <w:tcBorders>
              <w:left w:val="single" w:sz="6" w:space="0" w:color="231F20"/>
              <w:right w:val="single" w:sz="6" w:space="0" w:color="231F20"/>
            </w:tcBorders>
            <w:shd w:val="clear" w:color="auto" w:fill="CCE7D3"/>
          </w:tcPr>
          <w:p w14:paraId="1A194CA0" w14:textId="77777777" w:rsidR="009948F1" w:rsidRDefault="009948F1">
            <w:pPr>
              <w:pStyle w:val="TableParagraph"/>
              <w:rPr>
                <w:rFonts w:ascii="Times New Roman"/>
                <w:sz w:val="10"/>
              </w:rPr>
            </w:pPr>
          </w:p>
        </w:tc>
      </w:tr>
      <w:tr w:rsidR="009948F1" w14:paraId="6BF8607A" w14:textId="77777777">
        <w:trPr>
          <w:trHeight w:val="679"/>
        </w:trPr>
        <w:tc>
          <w:tcPr>
            <w:tcW w:w="1032" w:type="dxa"/>
            <w:gridSpan w:val="3"/>
            <w:tcBorders>
              <w:top w:val="nil"/>
              <w:left w:val="single" w:sz="6" w:space="0" w:color="231F20"/>
              <w:right w:val="single" w:sz="6" w:space="0" w:color="231F20"/>
            </w:tcBorders>
          </w:tcPr>
          <w:p w14:paraId="4B08C8FE" w14:textId="77777777" w:rsidR="009948F1" w:rsidRDefault="009948F1">
            <w:pPr>
              <w:pStyle w:val="TableParagraph"/>
              <w:rPr>
                <w:rFonts w:ascii="Times New Roman"/>
                <w:sz w:val="10"/>
              </w:rPr>
            </w:pPr>
          </w:p>
        </w:tc>
        <w:tc>
          <w:tcPr>
            <w:tcW w:w="522" w:type="dxa"/>
            <w:tcBorders>
              <w:left w:val="single" w:sz="6" w:space="0" w:color="231F20"/>
              <w:bottom w:val="single" w:sz="12" w:space="0" w:color="231F20"/>
              <w:right w:val="single" w:sz="6" w:space="0" w:color="231F20"/>
            </w:tcBorders>
          </w:tcPr>
          <w:p w14:paraId="2B13945D" w14:textId="77777777" w:rsidR="009948F1" w:rsidRDefault="009948F1">
            <w:pPr>
              <w:pStyle w:val="TableParagraph"/>
              <w:spacing w:before="1"/>
            </w:pPr>
          </w:p>
          <w:p w14:paraId="292F7054" w14:textId="77777777" w:rsidR="009948F1" w:rsidRDefault="00BC0563">
            <w:pPr>
              <w:pStyle w:val="TableParagraph"/>
              <w:ind w:left="82"/>
              <w:rPr>
                <w:sz w:val="16"/>
              </w:rPr>
            </w:pPr>
            <w:r>
              <w:rPr>
                <w:color w:val="231F20"/>
                <w:w w:val="80"/>
                <w:sz w:val="16"/>
              </w:rPr>
              <w:t>7.1.5.a</w:t>
            </w:r>
          </w:p>
        </w:tc>
        <w:tc>
          <w:tcPr>
            <w:tcW w:w="4866" w:type="dxa"/>
            <w:gridSpan w:val="2"/>
            <w:tcBorders>
              <w:left w:val="single" w:sz="6" w:space="0" w:color="231F20"/>
              <w:bottom w:val="single" w:sz="12" w:space="0" w:color="231F20"/>
              <w:right w:val="single" w:sz="6" w:space="0" w:color="231F20"/>
            </w:tcBorders>
          </w:tcPr>
          <w:p w14:paraId="1BF5175E" w14:textId="77777777" w:rsidR="009948F1" w:rsidRDefault="00BC0563">
            <w:pPr>
              <w:pStyle w:val="TableParagraph"/>
              <w:spacing w:before="144" w:line="268" w:lineRule="auto"/>
              <w:ind w:left="24" w:right="4"/>
              <w:rPr>
                <w:sz w:val="16"/>
              </w:rPr>
            </w:pPr>
            <w:r>
              <w:rPr>
                <w:color w:val="231F20"/>
                <w:w w:val="75"/>
                <w:sz w:val="16"/>
              </w:rPr>
              <w:t xml:space="preserve">Public enlightenment through multi-media approach on use of emergency and trauma care </w:t>
            </w:r>
            <w:r>
              <w:rPr>
                <w:color w:val="231F20"/>
                <w:w w:val="85"/>
                <w:sz w:val="16"/>
              </w:rPr>
              <w:t>services</w:t>
            </w:r>
          </w:p>
        </w:tc>
        <w:tc>
          <w:tcPr>
            <w:tcW w:w="1419" w:type="dxa"/>
            <w:tcBorders>
              <w:left w:val="single" w:sz="6" w:space="0" w:color="231F20"/>
              <w:bottom w:val="single" w:sz="12" w:space="0" w:color="231F20"/>
              <w:right w:val="single" w:sz="6" w:space="0" w:color="231F20"/>
            </w:tcBorders>
          </w:tcPr>
          <w:p w14:paraId="248E2440" w14:textId="77777777" w:rsidR="009948F1" w:rsidRDefault="009948F1">
            <w:pPr>
              <w:pStyle w:val="TableParagraph"/>
              <w:spacing w:before="1"/>
            </w:pPr>
          </w:p>
          <w:p w14:paraId="7C118071" w14:textId="77777777" w:rsidR="009948F1" w:rsidRDefault="00BC0563">
            <w:pPr>
              <w:pStyle w:val="TableParagraph"/>
              <w:ind w:left="25"/>
              <w:rPr>
                <w:sz w:val="16"/>
              </w:rPr>
            </w:pPr>
            <w:r>
              <w:rPr>
                <w:color w:val="231F20"/>
                <w:w w:val="85"/>
                <w:sz w:val="16"/>
              </w:rPr>
              <w:t>Lack of funds</w:t>
            </w:r>
          </w:p>
        </w:tc>
        <w:tc>
          <w:tcPr>
            <w:tcW w:w="1497" w:type="dxa"/>
            <w:tcBorders>
              <w:left w:val="single" w:sz="6" w:space="0" w:color="231F20"/>
              <w:bottom w:val="single" w:sz="12" w:space="0" w:color="231F20"/>
              <w:right w:val="single" w:sz="6" w:space="0" w:color="231F20"/>
            </w:tcBorders>
          </w:tcPr>
          <w:p w14:paraId="46795D0C" w14:textId="77777777" w:rsidR="009948F1" w:rsidRDefault="009948F1">
            <w:pPr>
              <w:pStyle w:val="TableParagraph"/>
              <w:spacing w:before="1"/>
            </w:pPr>
          </w:p>
          <w:p w14:paraId="38F361B6" w14:textId="6B4DD858" w:rsidR="009948F1" w:rsidRDefault="00BC0563">
            <w:pPr>
              <w:pStyle w:val="TableParagraph"/>
              <w:ind w:left="25"/>
              <w:rPr>
                <w:sz w:val="16"/>
              </w:rPr>
            </w:pPr>
            <w:r>
              <w:rPr>
                <w:color w:val="231F20"/>
                <w:w w:val="85"/>
                <w:sz w:val="16"/>
              </w:rPr>
              <w:t xml:space="preserve">Public </w:t>
            </w:r>
            <w:r w:rsidR="00FB089D">
              <w:rPr>
                <w:color w:val="231F20"/>
                <w:w w:val="85"/>
                <w:sz w:val="16"/>
              </w:rPr>
              <w:t>enlightenment</w:t>
            </w:r>
          </w:p>
        </w:tc>
      </w:tr>
    </w:tbl>
    <w:p w14:paraId="329A0E99" w14:textId="77777777" w:rsidR="009948F1" w:rsidRDefault="009948F1">
      <w:pPr>
        <w:rPr>
          <w:sz w:val="16"/>
        </w:rPr>
        <w:sectPr w:rsidR="009948F1">
          <w:pgSz w:w="11910" w:h="16840"/>
          <w:pgMar w:top="1300" w:right="1080" w:bottom="1340" w:left="1120" w:header="0" w:footer="1155" w:gutter="0"/>
          <w:cols w:space="720"/>
        </w:sectPr>
      </w:pPr>
    </w:p>
    <w:p w14:paraId="5B2EDB2C" w14:textId="77777777" w:rsidR="009948F1" w:rsidRDefault="00244DD0">
      <w:pPr>
        <w:pStyle w:val="BodyText"/>
        <w:rPr>
          <w:sz w:val="20"/>
        </w:rPr>
      </w:pPr>
      <w:r>
        <w:lastRenderedPageBreak/>
        <w:pict w14:anchorId="0E88DB63">
          <v:shape id="_x0000_s2055" type="#_x0000_t202" style="position:absolute;margin-left:62.9pt;margin-top:66.6pt;width:469.85pt;height:683.15pt;z-index:15748096;mso-position-horizontal-relative:page;mso-position-vertical-relative:page" filled="f" stroked="f">
            <v:textbox inset="0,0,0,0">
              <w:txbxContent>
                <w:tbl>
                  <w:tblPr>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9"/>
                    <w:gridCol w:w="405"/>
                    <w:gridCol w:w="454"/>
                    <w:gridCol w:w="525"/>
                    <w:gridCol w:w="2506"/>
                    <w:gridCol w:w="2379"/>
                    <w:gridCol w:w="1424"/>
                    <w:gridCol w:w="1502"/>
                  </w:tblGrid>
                  <w:tr w:rsidR="00080B77" w14:paraId="6F38D166" w14:textId="77777777">
                    <w:trPr>
                      <w:trHeight w:val="833"/>
                    </w:trPr>
                    <w:tc>
                      <w:tcPr>
                        <w:tcW w:w="179" w:type="dxa"/>
                        <w:tcBorders>
                          <w:left w:val="single" w:sz="6" w:space="0" w:color="231F20"/>
                          <w:bottom w:val="nil"/>
                          <w:right w:val="single" w:sz="6" w:space="0" w:color="231F20"/>
                        </w:tcBorders>
                      </w:tcPr>
                      <w:p w14:paraId="7C8B96F5" w14:textId="77777777" w:rsidR="00080B77" w:rsidRDefault="00080B77">
                        <w:pPr>
                          <w:pStyle w:val="TableParagraph"/>
                          <w:rPr>
                            <w:rFonts w:ascii="Times New Roman"/>
                            <w:sz w:val="10"/>
                          </w:rPr>
                        </w:pPr>
                      </w:p>
                    </w:tc>
                    <w:tc>
                      <w:tcPr>
                        <w:tcW w:w="405" w:type="dxa"/>
                        <w:tcBorders>
                          <w:top w:val="single" w:sz="12" w:space="0" w:color="231F20"/>
                          <w:left w:val="single" w:sz="6" w:space="0" w:color="231F20"/>
                          <w:bottom w:val="single" w:sz="6" w:space="0" w:color="231F20"/>
                          <w:right w:val="single" w:sz="6" w:space="0" w:color="231F20"/>
                        </w:tcBorders>
                        <w:shd w:val="clear" w:color="auto" w:fill="FFF200"/>
                      </w:tcPr>
                      <w:p w14:paraId="122B3E0D" w14:textId="77777777" w:rsidR="00080B77" w:rsidRDefault="00080B77">
                        <w:pPr>
                          <w:pStyle w:val="TableParagraph"/>
                          <w:rPr>
                            <w:sz w:val="16"/>
                          </w:rPr>
                        </w:pPr>
                      </w:p>
                      <w:p w14:paraId="1FF834BE" w14:textId="77777777" w:rsidR="00080B77" w:rsidRDefault="00080B77">
                        <w:pPr>
                          <w:pStyle w:val="TableParagraph"/>
                          <w:spacing w:before="140"/>
                          <w:ind w:right="36"/>
                          <w:jc w:val="right"/>
                          <w:rPr>
                            <w:b/>
                            <w:sz w:val="16"/>
                          </w:rPr>
                        </w:pPr>
                        <w:r>
                          <w:rPr>
                            <w:b/>
                            <w:color w:val="231F20"/>
                            <w:w w:val="70"/>
                            <w:sz w:val="16"/>
                          </w:rPr>
                          <w:t>7.2</w:t>
                        </w:r>
                      </w:p>
                    </w:tc>
                    <w:tc>
                      <w:tcPr>
                        <w:tcW w:w="5864" w:type="dxa"/>
                        <w:gridSpan w:val="4"/>
                        <w:tcBorders>
                          <w:top w:val="single" w:sz="12" w:space="0" w:color="231F20"/>
                          <w:left w:val="single" w:sz="6" w:space="0" w:color="231F20"/>
                          <w:bottom w:val="single" w:sz="6" w:space="0" w:color="231F20"/>
                        </w:tcBorders>
                        <w:shd w:val="clear" w:color="auto" w:fill="FFF200"/>
                      </w:tcPr>
                      <w:p w14:paraId="100C2376" w14:textId="77777777" w:rsidR="00080B77" w:rsidRDefault="00080B77">
                        <w:pPr>
                          <w:pStyle w:val="TableParagraph"/>
                          <w:rPr>
                            <w:sz w:val="16"/>
                          </w:rPr>
                        </w:pPr>
                      </w:p>
                      <w:p w14:paraId="3CB90F74" w14:textId="77777777" w:rsidR="00080B77" w:rsidRDefault="00080B77">
                        <w:pPr>
                          <w:pStyle w:val="TableParagraph"/>
                          <w:spacing w:before="134"/>
                          <w:ind w:left="55"/>
                          <w:rPr>
                            <w:b/>
                            <w:sz w:val="16"/>
                          </w:rPr>
                        </w:pPr>
                        <w:r>
                          <w:rPr>
                            <w:b/>
                            <w:color w:val="231F20"/>
                            <w:w w:val="80"/>
                            <w:sz w:val="16"/>
                          </w:rPr>
                          <w:t>Increase provision and access to quality, affordable &amp; integrated emergency medical services</w:t>
                        </w:r>
                      </w:p>
                    </w:tc>
                    <w:tc>
                      <w:tcPr>
                        <w:tcW w:w="2926" w:type="dxa"/>
                        <w:gridSpan w:val="2"/>
                        <w:tcBorders>
                          <w:top w:val="single" w:sz="6" w:space="0" w:color="231F20"/>
                          <w:bottom w:val="single" w:sz="6" w:space="0" w:color="231F20"/>
                          <w:right w:val="single" w:sz="6" w:space="0" w:color="231F20"/>
                        </w:tcBorders>
                        <w:shd w:val="clear" w:color="auto" w:fill="FFF200"/>
                      </w:tcPr>
                      <w:p w14:paraId="2292A7B7" w14:textId="77777777" w:rsidR="00080B77" w:rsidRDefault="00080B77">
                        <w:pPr>
                          <w:pStyle w:val="TableParagraph"/>
                          <w:rPr>
                            <w:rFonts w:ascii="Times New Roman"/>
                            <w:sz w:val="10"/>
                          </w:rPr>
                        </w:pPr>
                      </w:p>
                    </w:tc>
                  </w:tr>
                  <w:tr w:rsidR="00080B77" w14:paraId="20C6727F" w14:textId="77777777">
                    <w:trPr>
                      <w:trHeight w:val="1042"/>
                    </w:trPr>
                    <w:tc>
                      <w:tcPr>
                        <w:tcW w:w="584" w:type="dxa"/>
                        <w:gridSpan w:val="2"/>
                        <w:tcBorders>
                          <w:top w:val="nil"/>
                          <w:left w:val="single" w:sz="6" w:space="0" w:color="231F20"/>
                          <w:bottom w:val="nil"/>
                          <w:right w:val="single" w:sz="6" w:space="0" w:color="231F20"/>
                        </w:tcBorders>
                      </w:tcPr>
                      <w:p w14:paraId="71C61F8D" w14:textId="77777777" w:rsidR="00080B77" w:rsidRDefault="00080B77">
                        <w:pPr>
                          <w:pStyle w:val="TableParagraph"/>
                          <w:rPr>
                            <w:rFonts w:ascii="Times New Roman"/>
                            <w:sz w:val="10"/>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58B55AD5" w14:textId="77777777" w:rsidR="00080B77" w:rsidRDefault="00080B77">
                        <w:pPr>
                          <w:pStyle w:val="TableParagraph"/>
                          <w:rPr>
                            <w:sz w:val="16"/>
                          </w:rPr>
                        </w:pPr>
                      </w:p>
                      <w:p w14:paraId="406A8BE6" w14:textId="77777777" w:rsidR="00080B77" w:rsidRDefault="00080B77">
                        <w:pPr>
                          <w:pStyle w:val="TableParagraph"/>
                          <w:spacing w:before="2"/>
                          <w:rPr>
                            <w:sz w:val="21"/>
                          </w:rPr>
                        </w:pPr>
                      </w:p>
                      <w:p w14:paraId="5285CD52" w14:textId="77777777" w:rsidR="00080B77" w:rsidRDefault="00080B77">
                        <w:pPr>
                          <w:pStyle w:val="TableParagraph"/>
                          <w:ind w:left="55"/>
                          <w:rPr>
                            <w:sz w:val="16"/>
                          </w:rPr>
                        </w:pPr>
                        <w:r>
                          <w:rPr>
                            <w:color w:val="231F20"/>
                            <w:w w:val="85"/>
                            <w:sz w:val="16"/>
                          </w:rPr>
                          <w:t>7.2.1</w:t>
                        </w:r>
                      </w:p>
                    </w:tc>
                    <w:tc>
                      <w:tcPr>
                        <w:tcW w:w="3031" w:type="dxa"/>
                        <w:gridSpan w:val="2"/>
                        <w:tcBorders>
                          <w:top w:val="single" w:sz="6" w:space="0" w:color="231F20"/>
                          <w:left w:val="single" w:sz="6" w:space="0" w:color="231F20"/>
                          <w:bottom w:val="single" w:sz="6" w:space="0" w:color="231F20"/>
                          <w:right w:val="single" w:sz="6" w:space="0" w:color="231F20"/>
                        </w:tcBorders>
                        <w:shd w:val="clear" w:color="auto" w:fill="CCE7D3"/>
                      </w:tcPr>
                      <w:p w14:paraId="7222A9AA" w14:textId="77777777" w:rsidR="00080B77" w:rsidRDefault="00080B77">
                        <w:pPr>
                          <w:pStyle w:val="TableParagraph"/>
                          <w:rPr>
                            <w:sz w:val="16"/>
                          </w:rPr>
                        </w:pPr>
                      </w:p>
                      <w:p w14:paraId="36D3C7A9" w14:textId="77777777" w:rsidR="00080B77" w:rsidRDefault="00080B77">
                        <w:pPr>
                          <w:pStyle w:val="TableParagraph"/>
                          <w:spacing w:before="141" w:line="254" w:lineRule="auto"/>
                          <w:ind w:left="22" w:right="4" w:firstLine="32"/>
                          <w:rPr>
                            <w:sz w:val="16"/>
                          </w:rPr>
                        </w:pPr>
                        <w:r>
                          <w:rPr>
                            <w:color w:val="231F20"/>
                            <w:w w:val="75"/>
                            <w:sz w:val="16"/>
                          </w:rPr>
                          <w:t xml:space="preserve">Ensure provision and access to emergency medical </w:t>
                        </w:r>
                        <w:r>
                          <w:rPr>
                            <w:color w:val="231F20"/>
                            <w:w w:val="85"/>
                            <w:sz w:val="16"/>
                          </w:rPr>
                          <w:t>services</w:t>
                        </w:r>
                      </w:p>
                    </w:tc>
                    <w:tc>
                      <w:tcPr>
                        <w:tcW w:w="2379" w:type="dxa"/>
                        <w:tcBorders>
                          <w:top w:val="single" w:sz="6" w:space="0" w:color="231F20"/>
                          <w:left w:val="single" w:sz="6" w:space="0" w:color="231F20"/>
                          <w:bottom w:val="single" w:sz="6" w:space="0" w:color="231F20"/>
                          <w:right w:val="single" w:sz="6" w:space="0" w:color="231F20"/>
                        </w:tcBorders>
                        <w:shd w:val="clear" w:color="auto" w:fill="CCE7D3"/>
                      </w:tcPr>
                      <w:p w14:paraId="759F5D42" w14:textId="77777777" w:rsidR="00080B77" w:rsidRDefault="00080B77">
                        <w:pPr>
                          <w:pStyle w:val="TableParagraph"/>
                          <w:spacing w:before="3"/>
                          <w:rPr>
                            <w:sz w:val="20"/>
                          </w:rPr>
                        </w:pPr>
                      </w:p>
                      <w:p w14:paraId="7DC99606" w14:textId="77777777" w:rsidR="00080B77" w:rsidRDefault="00080B77">
                        <w:pPr>
                          <w:pStyle w:val="TableParagraph"/>
                          <w:numPr>
                            <w:ilvl w:val="0"/>
                            <w:numId w:val="115"/>
                          </w:numPr>
                          <w:tabs>
                            <w:tab w:val="left" w:pos="97"/>
                          </w:tabs>
                          <w:spacing w:line="254" w:lineRule="auto"/>
                          <w:ind w:right="87" w:firstLine="0"/>
                          <w:rPr>
                            <w:sz w:val="16"/>
                          </w:rPr>
                        </w:pPr>
                        <w:r>
                          <w:rPr>
                            <w:color w:val="231F20"/>
                            <w:w w:val="80"/>
                            <w:sz w:val="16"/>
                          </w:rPr>
                          <w:t xml:space="preserve">Reliable community-based transport </w:t>
                        </w:r>
                        <w:r>
                          <w:rPr>
                            <w:color w:val="231F20"/>
                            <w:w w:val="75"/>
                            <w:sz w:val="16"/>
                          </w:rPr>
                          <w:t>system</w:t>
                        </w:r>
                        <w:r>
                          <w:rPr>
                            <w:color w:val="231F20"/>
                            <w:spacing w:val="-5"/>
                            <w:w w:val="75"/>
                            <w:sz w:val="16"/>
                          </w:rPr>
                          <w:t xml:space="preserve"> </w:t>
                        </w:r>
                        <w:r>
                          <w:rPr>
                            <w:color w:val="231F20"/>
                            <w:w w:val="75"/>
                            <w:sz w:val="16"/>
                          </w:rPr>
                          <w:t>in</w:t>
                        </w:r>
                        <w:r>
                          <w:rPr>
                            <w:color w:val="231F20"/>
                            <w:spacing w:val="-5"/>
                            <w:w w:val="75"/>
                            <w:sz w:val="16"/>
                          </w:rPr>
                          <w:t xml:space="preserve"> </w:t>
                        </w:r>
                        <w:r>
                          <w:rPr>
                            <w:color w:val="231F20"/>
                            <w:w w:val="75"/>
                            <w:sz w:val="16"/>
                          </w:rPr>
                          <w:t>emergencies</w:t>
                        </w:r>
                        <w:r>
                          <w:rPr>
                            <w:color w:val="231F20"/>
                            <w:spacing w:val="-5"/>
                            <w:w w:val="75"/>
                            <w:sz w:val="16"/>
                          </w:rPr>
                          <w:t xml:space="preserve"> </w:t>
                        </w:r>
                        <w:r>
                          <w:rPr>
                            <w:color w:val="231F20"/>
                            <w:w w:val="75"/>
                            <w:sz w:val="16"/>
                          </w:rPr>
                          <w:t>available</w:t>
                        </w:r>
                        <w:r>
                          <w:rPr>
                            <w:color w:val="231F20"/>
                            <w:spacing w:val="-5"/>
                            <w:w w:val="75"/>
                            <w:sz w:val="16"/>
                          </w:rPr>
                          <w:t xml:space="preserve"> </w:t>
                        </w:r>
                        <w:r>
                          <w:rPr>
                            <w:color w:val="231F20"/>
                            <w:w w:val="75"/>
                            <w:sz w:val="16"/>
                          </w:rPr>
                          <w:t>in</w:t>
                        </w:r>
                        <w:r>
                          <w:rPr>
                            <w:color w:val="231F20"/>
                            <w:spacing w:val="-4"/>
                            <w:w w:val="75"/>
                            <w:sz w:val="16"/>
                          </w:rPr>
                          <w:t xml:space="preserve"> </w:t>
                        </w:r>
                        <w:r>
                          <w:rPr>
                            <w:color w:val="231F20"/>
                            <w:w w:val="75"/>
                            <w:sz w:val="16"/>
                          </w:rPr>
                          <w:t>at</w:t>
                        </w:r>
                        <w:r>
                          <w:rPr>
                            <w:color w:val="231F20"/>
                            <w:spacing w:val="-5"/>
                            <w:w w:val="75"/>
                            <w:sz w:val="16"/>
                          </w:rPr>
                          <w:t xml:space="preserve"> </w:t>
                        </w:r>
                        <w:r>
                          <w:rPr>
                            <w:color w:val="231F20"/>
                            <w:spacing w:val="-3"/>
                            <w:w w:val="75"/>
                            <w:sz w:val="16"/>
                          </w:rPr>
                          <w:t xml:space="preserve">least </w:t>
                        </w:r>
                        <w:r>
                          <w:rPr>
                            <w:color w:val="231F20"/>
                            <w:w w:val="85"/>
                            <w:sz w:val="16"/>
                          </w:rPr>
                          <w:t>50%</w:t>
                        </w:r>
                        <w:r>
                          <w:rPr>
                            <w:color w:val="231F20"/>
                            <w:spacing w:val="-10"/>
                            <w:w w:val="85"/>
                            <w:sz w:val="16"/>
                          </w:rPr>
                          <w:t xml:space="preserve"> </w:t>
                        </w:r>
                        <w:r>
                          <w:rPr>
                            <w:color w:val="231F20"/>
                            <w:w w:val="85"/>
                            <w:sz w:val="16"/>
                          </w:rPr>
                          <w:t>of</w:t>
                        </w:r>
                        <w:r>
                          <w:rPr>
                            <w:color w:val="231F20"/>
                            <w:spacing w:val="-10"/>
                            <w:w w:val="85"/>
                            <w:sz w:val="16"/>
                          </w:rPr>
                          <w:t xml:space="preserve"> </w:t>
                        </w:r>
                        <w:r>
                          <w:rPr>
                            <w:color w:val="231F20"/>
                            <w:w w:val="85"/>
                            <w:sz w:val="16"/>
                          </w:rPr>
                          <w:t>HFs</w:t>
                        </w:r>
                        <w:r>
                          <w:rPr>
                            <w:color w:val="231F20"/>
                            <w:spacing w:val="-10"/>
                            <w:w w:val="85"/>
                            <w:sz w:val="16"/>
                          </w:rPr>
                          <w:t xml:space="preserve"> </w:t>
                        </w:r>
                        <w:r>
                          <w:rPr>
                            <w:color w:val="231F20"/>
                            <w:w w:val="85"/>
                            <w:sz w:val="16"/>
                          </w:rPr>
                          <w:t>in</w:t>
                        </w:r>
                        <w:r>
                          <w:rPr>
                            <w:color w:val="231F20"/>
                            <w:spacing w:val="-10"/>
                            <w:w w:val="85"/>
                            <w:sz w:val="16"/>
                          </w:rPr>
                          <w:t xml:space="preserve"> </w:t>
                        </w:r>
                        <w:r>
                          <w:rPr>
                            <w:color w:val="231F20"/>
                            <w:w w:val="85"/>
                            <w:sz w:val="16"/>
                          </w:rPr>
                          <w:t>the</w:t>
                        </w:r>
                        <w:r>
                          <w:rPr>
                            <w:color w:val="231F20"/>
                            <w:spacing w:val="-9"/>
                            <w:w w:val="85"/>
                            <w:sz w:val="16"/>
                          </w:rPr>
                          <w:t xml:space="preserve"> </w:t>
                        </w:r>
                        <w:r>
                          <w:rPr>
                            <w:color w:val="231F20"/>
                            <w:w w:val="85"/>
                            <w:sz w:val="16"/>
                          </w:rPr>
                          <w:t>state</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398D577F" w14:textId="77777777" w:rsidR="00080B77" w:rsidRDefault="00080B77">
                        <w:pPr>
                          <w:pStyle w:val="TableParagraph"/>
                          <w:rPr>
                            <w:rFonts w:ascii="Times New Roman"/>
                            <w:sz w:val="10"/>
                          </w:rPr>
                        </w:pPr>
                      </w:p>
                    </w:tc>
                    <w:tc>
                      <w:tcPr>
                        <w:tcW w:w="1502" w:type="dxa"/>
                        <w:tcBorders>
                          <w:top w:val="single" w:sz="6" w:space="0" w:color="231F20"/>
                          <w:left w:val="single" w:sz="6" w:space="0" w:color="231F20"/>
                          <w:bottom w:val="single" w:sz="6" w:space="0" w:color="231F20"/>
                          <w:right w:val="single" w:sz="6" w:space="0" w:color="231F20"/>
                        </w:tcBorders>
                        <w:shd w:val="clear" w:color="auto" w:fill="CCE7D3"/>
                      </w:tcPr>
                      <w:p w14:paraId="7E626B97" w14:textId="77777777" w:rsidR="00080B77" w:rsidRDefault="00080B77">
                        <w:pPr>
                          <w:pStyle w:val="TableParagraph"/>
                          <w:rPr>
                            <w:rFonts w:ascii="Times New Roman"/>
                            <w:sz w:val="10"/>
                          </w:rPr>
                        </w:pPr>
                      </w:p>
                    </w:tc>
                  </w:tr>
                  <w:tr w:rsidR="00080B77" w14:paraId="2EDF8BCE" w14:textId="77777777">
                    <w:trPr>
                      <w:trHeight w:val="377"/>
                    </w:trPr>
                    <w:tc>
                      <w:tcPr>
                        <w:tcW w:w="1038" w:type="dxa"/>
                        <w:gridSpan w:val="3"/>
                        <w:vMerge w:val="restart"/>
                        <w:tcBorders>
                          <w:top w:val="nil"/>
                          <w:left w:val="single" w:sz="6" w:space="0" w:color="231F20"/>
                          <w:bottom w:val="nil"/>
                          <w:right w:val="single" w:sz="6" w:space="0" w:color="231F20"/>
                        </w:tcBorders>
                      </w:tcPr>
                      <w:p w14:paraId="782348AD" w14:textId="77777777" w:rsidR="00080B77" w:rsidRDefault="00080B77">
                        <w:pPr>
                          <w:pStyle w:val="TableParagraph"/>
                          <w:rPr>
                            <w:rFonts w:ascii="Times New Roman"/>
                            <w:sz w:val="10"/>
                          </w:rPr>
                        </w:pPr>
                      </w:p>
                    </w:tc>
                    <w:tc>
                      <w:tcPr>
                        <w:tcW w:w="525" w:type="dxa"/>
                        <w:tcBorders>
                          <w:top w:val="single" w:sz="6" w:space="0" w:color="231F20"/>
                          <w:left w:val="single" w:sz="6" w:space="0" w:color="231F20"/>
                          <w:bottom w:val="single" w:sz="6" w:space="0" w:color="231F20"/>
                          <w:right w:val="single" w:sz="6" w:space="0" w:color="231F20"/>
                        </w:tcBorders>
                      </w:tcPr>
                      <w:p w14:paraId="7CA80D2E" w14:textId="77777777" w:rsidR="00080B77" w:rsidRDefault="00080B77">
                        <w:pPr>
                          <w:pStyle w:val="TableParagraph"/>
                          <w:spacing w:before="95"/>
                          <w:ind w:left="24" w:right="9"/>
                          <w:jc w:val="center"/>
                          <w:rPr>
                            <w:sz w:val="16"/>
                          </w:rPr>
                        </w:pPr>
                        <w:r>
                          <w:rPr>
                            <w:color w:val="231F20"/>
                            <w:w w:val="80"/>
                            <w:sz w:val="16"/>
                          </w:rPr>
                          <w:t>7.2.1.a</w:t>
                        </w:r>
                      </w:p>
                    </w:tc>
                    <w:tc>
                      <w:tcPr>
                        <w:tcW w:w="4885" w:type="dxa"/>
                        <w:gridSpan w:val="2"/>
                        <w:tcBorders>
                          <w:top w:val="single" w:sz="6" w:space="0" w:color="231F20"/>
                          <w:left w:val="single" w:sz="6" w:space="0" w:color="231F20"/>
                          <w:bottom w:val="single" w:sz="6" w:space="0" w:color="231F20"/>
                          <w:right w:val="single" w:sz="6" w:space="0" w:color="231F20"/>
                        </w:tcBorders>
                      </w:tcPr>
                      <w:p w14:paraId="560E931F" w14:textId="77777777" w:rsidR="00080B77" w:rsidRDefault="00080B77">
                        <w:pPr>
                          <w:pStyle w:val="TableParagraph"/>
                          <w:spacing w:before="89"/>
                          <w:ind w:left="22"/>
                          <w:rPr>
                            <w:sz w:val="16"/>
                          </w:rPr>
                        </w:pPr>
                        <w:r>
                          <w:rPr>
                            <w:color w:val="231F20"/>
                            <w:w w:val="85"/>
                            <w:sz w:val="16"/>
                          </w:rPr>
                          <w:t>Provide reliable community-based transport system in emergencies in all HFs</w:t>
                        </w:r>
                      </w:p>
                    </w:tc>
                    <w:tc>
                      <w:tcPr>
                        <w:tcW w:w="1424" w:type="dxa"/>
                        <w:tcBorders>
                          <w:top w:val="single" w:sz="6" w:space="0" w:color="231F20"/>
                          <w:left w:val="single" w:sz="6" w:space="0" w:color="231F20"/>
                          <w:bottom w:val="single" w:sz="6" w:space="0" w:color="231F20"/>
                          <w:right w:val="single" w:sz="6" w:space="0" w:color="231F20"/>
                        </w:tcBorders>
                      </w:tcPr>
                      <w:p w14:paraId="082EFE62" w14:textId="77777777" w:rsidR="00080B77" w:rsidRDefault="00080B77">
                        <w:pPr>
                          <w:pStyle w:val="TableParagraph"/>
                          <w:spacing w:before="95"/>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0DE19B38" w14:textId="77777777" w:rsidR="00080B77" w:rsidRDefault="00080B77">
                        <w:pPr>
                          <w:pStyle w:val="TableParagraph"/>
                          <w:spacing w:line="183" w:lineRule="exact"/>
                          <w:ind w:left="22"/>
                          <w:rPr>
                            <w:sz w:val="16"/>
                          </w:rPr>
                        </w:pPr>
                        <w:r>
                          <w:rPr>
                            <w:color w:val="231F20"/>
                            <w:w w:val="80"/>
                            <w:sz w:val="16"/>
                          </w:rPr>
                          <w:t>Provide</w:t>
                        </w:r>
                        <w:r>
                          <w:rPr>
                            <w:color w:val="231F20"/>
                            <w:spacing w:val="-23"/>
                            <w:w w:val="80"/>
                            <w:sz w:val="16"/>
                          </w:rPr>
                          <w:t xml:space="preserve"> </w:t>
                        </w:r>
                        <w:r>
                          <w:rPr>
                            <w:color w:val="231F20"/>
                            <w:w w:val="80"/>
                            <w:sz w:val="16"/>
                          </w:rPr>
                          <w:t>reliable</w:t>
                        </w:r>
                        <w:r>
                          <w:rPr>
                            <w:color w:val="231F20"/>
                            <w:spacing w:val="-9"/>
                            <w:w w:val="80"/>
                            <w:sz w:val="16"/>
                          </w:rPr>
                          <w:t xml:space="preserve"> </w:t>
                        </w:r>
                        <w:r>
                          <w:rPr>
                            <w:color w:val="231F20"/>
                            <w:w w:val="80"/>
                            <w:sz w:val="16"/>
                          </w:rPr>
                          <w:t>(Costed</w:t>
                        </w:r>
                        <w:r>
                          <w:rPr>
                            <w:color w:val="231F20"/>
                            <w:spacing w:val="-23"/>
                            <w:w w:val="80"/>
                            <w:sz w:val="16"/>
                          </w:rPr>
                          <w:t xml:space="preserve"> </w:t>
                        </w:r>
                        <w:r>
                          <w:rPr>
                            <w:color w:val="231F20"/>
                            <w:w w:val="80"/>
                            <w:sz w:val="16"/>
                          </w:rPr>
                          <w:t>in</w:t>
                        </w:r>
                      </w:p>
                      <w:p w14:paraId="230C6DDD" w14:textId="77777777" w:rsidR="00080B77" w:rsidRDefault="00080B77">
                        <w:pPr>
                          <w:pStyle w:val="TableParagraph"/>
                          <w:spacing w:before="10" w:line="164" w:lineRule="exact"/>
                          <w:ind w:left="22"/>
                          <w:rPr>
                            <w:sz w:val="16"/>
                          </w:rPr>
                        </w:pPr>
                        <w:r>
                          <w:rPr>
                            <w:color w:val="231F20"/>
                            <w:w w:val="85"/>
                            <w:sz w:val="16"/>
                          </w:rPr>
                          <w:t>OHT)</w:t>
                        </w:r>
                      </w:p>
                    </w:tc>
                  </w:tr>
                  <w:tr w:rsidR="00080B77" w14:paraId="4B7BBDCD" w14:textId="77777777">
                    <w:trPr>
                      <w:trHeight w:val="673"/>
                    </w:trPr>
                    <w:tc>
                      <w:tcPr>
                        <w:tcW w:w="1038" w:type="dxa"/>
                        <w:gridSpan w:val="3"/>
                        <w:vMerge/>
                        <w:tcBorders>
                          <w:top w:val="nil"/>
                          <w:left w:val="single" w:sz="6" w:space="0" w:color="231F20"/>
                          <w:bottom w:val="nil"/>
                          <w:right w:val="single" w:sz="6" w:space="0" w:color="231F20"/>
                        </w:tcBorders>
                      </w:tcPr>
                      <w:p w14:paraId="5103337A"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02DAC0C4" w14:textId="77777777" w:rsidR="00080B77" w:rsidRDefault="00080B77">
                        <w:pPr>
                          <w:pStyle w:val="TableParagraph"/>
                          <w:spacing w:before="2"/>
                          <w:rPr>
                            <w:sz w:val="21"/>
                          </w:rPr>
                        </w:pPr>
                      </w:p>
                      <w:p w14:paraId="1D21D2D5" w14:textId="77777777" w:rsidR="00080B77" w:rsidRDefault="00080B77">
                        <w:pPr>
                          <w:pStyle w:val="TableParagraph"/>
                          <w:ind w:left="24" w:right="9"/>
                          <w:jc w:val="center"/>
                          <w:rPr>
                            <w:sz w:val="16"/>
                          </w:rPr>
                        </w:pPr>
                        <w:r>
                          <w:rPr>
                            <w:color w:val="231F20"/>
                            <w:w w:val="80"/>
                            <w:sz w:val="16"/>
                          </w:rPr>
                          <w:t>7.2.1.b</w:t>
                        </w:r>
                      </w:p>
                    </w:tc>
                    <w:tc>
                      <w:tcPr>
                        <w:tcW w:w="4885" w:type="dxa"/>
                        <w:gridSpan w:val="2"/>
                        <w:tcBorders>
                          <w:top w:val="single" w:sz="6" w:space="0" w:color="231F20"/>
                          <w:left w:val="single" w:sz="6" w:space="0" w:color="231F20"/>
                          <w:bottom w:val="single" w:sz="6" w:space="0" w:color="231F20"/>
                          <w:right w:val="single" w:sz="6" w:space="0" w:color="231F20"/>
                        </w:tcBorders>
                      </w:tcPr>
                      <w:p w14:paraId="35A1EEA1" w14:textId="77777777" w:rsidR="00080B77" w:rsidRDefault="00080B77">
                        <w:pPr>
                          <w:pStyle w:val="TableParagraph"/>
                          <w:spacing w:before="7"/>
                          <w:rPr>
                            <w:sz w:val="20"/>
                          </w:rPr>
                        </w:pPr>
                      </w:p>
                      <w:p w14:paraId="204C5847" w14:textId="77777777" w:rsidR="00080B77" w:rsidRDefault="00080B77">
                        <w:pPr>
                          <w:pStyle w:val="TableParagraph"/>
                          <w:spacing w:before="1"/>
                          <w:ind w:left="22"/>
                          <w:rPr>
                            <w:sz w:val="16"/>
                          </w:rPr>
                        </w:pPr>
                        <w:r>
                          <w:rPr>
                            <w:color w:val="231F20"/>
                            <w:w w:val="75"/>
                            <w:sz w:val="16"/>
                          </w:rPr>
                          <w:t>Operating cost for engaging and supervising the contractor to provide standard ambulance</w:t>
                        </w:r>
                      </w:p>
                    </w:tc>
                    <w:tc>
                      <w:tcPr>
                        <w:tcW w:w="1424" w:type="dxa"/>
                        <w:tcBorders>
                          <w:top w:val="single" w:sz="6" w:space="0" w:color="231F20"/>
                          <w:left w:val="single" w:sz="6" w:space="0" w:color="231F20"/>
                          <w:bottom w:val="single" w:sz="6" w:space="0" w:color="231F20"/>
                          <w:right w:val="single" w:sz="6" w:space="0" w:color="231F20"/>
                        </w:tcBorders>
                      </w:tcPr>
                      <w:p w14:paraId="2BE361B4" w14:textId="77777777" w:rsidR="00080B77" w:rsidRDefault="00080B77">
                        <w:pPr>
                          <w:pStyle w:val="TableParagraph"/>
                          <w:spacing w:before="2"/>
                          <w:rPr>
                            <w:sz w:val="21"/>
                          </w:rPr>
                        </w:pPr>
                      </w:p>
                      <w:p w14:paraId="4D27FBEC" w14:textId="77777777" w:rsidR="00080B77" w:rsidRDefault="00080B77">
                        <w:pPr>
                          <w:pStyle w:val="TableParagraph"/>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11F87C28" w14:textId="77777777" w:rsidR="00080B77" w:rsidRDefault="00080B77">
                        <w:pPr>
                          <w:pStyle w:val="TableParagraph"/>
                          <w:spacing w:before="2"/>
                          <w:rPr>
                            <w:sz w:val="21"/>
                          </w:rPr>
                        </w:pPr>
                      </w:p>
                      <w:p w14:paraId="04BFC1D5" w14:textId="77777777" w:rsidR="00080B77" w:rsidRDefault="00080B77">
                        <w:pPr>
                          <w:pStyle w:val="TableParagraph"/>
                          <w:ind w:left="22"/>
                          <w:rPr>
                            <w:sz w:val="16"/>
                          </w:rPr>
                        </w:pPr>
                        <w:r>
                          <w:rPr>
                            <w:color w:val="231F20"/>
                            <w:w w:val="85"/>
                            <w:sz w:val="16"/>
                          </w:rPr>
                          <w:t>Costed in OHT</w:t>
                        </w:r>
                      </w:p>
                    </w:tc>
                  </w:tr>
                  <w:tr w:rsidR="00080B77" w14:paraId="723B7DB8" w14:textId="77777777">
                    <w:trPr>
                      <w:trHeight w:val="1125"/>
                    </w:trPr>
                    <w:tc>
                      <w:tcPr>
                        <w:tcW w:w="584" w:type="dxa"/>
                        <w:gridSpan w:val="2"/>
                        <w:tcBorders>
                          <w:top w:val="nil"/>
                          <w:left w:val="single" w:sz="6" w:space="0" w:color="231F20"/>
                          <w:bottom w:val="nil"/>
                          <w:right w:val="single" w:sz="6" w:space="0" w:color="231F20"/>
                        </w:tcBorders>
                      </w:tcPr>
                      <w:p w14:paraId="652D4EDE" w14:textId="77777777" w:rsidR="00080B77" w:rsidRDefault="00080B77">
                        <w:pPr>
                          <w:pStyle w:val="TableParagraph"/>
                          <w:rPr>
                            <w:rFonts w:ascii="Times New Roman"/>
                            <w:sz w:val="10"/>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16377BFC" w14:textId="77777777" w:rsidR="00080B77" w:rsidRDefault="00080B77">
                        <w:pPr>
                          <w:pStyle w:val="TableParagraph"/>
                          <w:rPr>
                            <w:sz w:val="16"/>
                          </w:rPr>
                        </w:pPr>
                      </w:p>
                      <w:p w14:paraId="699C2426" w14:textId="77777777" w:rsidR="00080B77" w:rsidRDefault="00080B77">
                        <w:pPr>
                          <w:pStyle w:val="TableParagraph"/>
                          <w:rPr>
                            <w:sz w:val="16"/>
                          </w:rPr>
                        </w:pPr>
                      </w:p>
                      <w:p w14:paraId="2623A916" w14:textId="77777777" w:rsidR="00080B77" w:rsidRDefault="00080B77">
                        <w:pPr>
                          <w:pStyle w:val="TableParagraph"/>
                          <w:spacing w:before="101"/>
                          <w:ind w:left="55"/>
                          <w:rPr>
                            <w:sz w:val="16"/>
                          </w:rPr>
                        </w:pPr>
                        <w:r>
                          <w:rPr>
                            <w:color w:val="231F20"/>
                            <w:w w:val="85"/>
                            <w:sz w:val="16"/>
                          </w:rPr>
                          <w:t>7.2.2</w:t>
                        </w:r>
                      </w:p>
                    </w:tc>
                    <w:tc>
                      <w:tcPr>
                        <w:tcW w:w="303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11A7E52" w14:textId="77777777" w:rsidR="00080B77" w:rsidRDefault="00080B77">
                        <w:pPr>
                          <w:pStyle w:val="TableParagraph"/>
                          <w:spacing w:before="3"/>
                          <w:rPr>
                            <w:sz w:val="23"/>
                          </w:rPr>
                        </w:pPr>
                      </w:p>
                      <w:p w14:paraId="306CD4A6" w14:textId="77777777" w:rsidR="00080B77" w:rsidRDefault="00080B77">
                        <w:pPr>
                          <w:pStyle w:val="TableParagraph"/>
                          <w:spacing w:line="254" w:lineRule="auto"/>
                          <w:ind w:left="22" w:right="146" w:firstLine="32"/>
                          <w:jc w:val="both"/>
                          <w:rPr>
                            <w:sz w:val="16"/>
                          </w:rPr>
                        </w:pPr>
                        <w:r>
                          <w:rPr>
                            <w:color w:val="231F20"/>
                            <w:w w:val="75"/>
                            <w:sz w:val="16"/>
                          </w:rPr>
                          <w:t>Build</w:t>
                        </w:r>
                        <w:r>
                          <w:rPr>
                            <w:color w:val="231F20"/>
                            <w:spacing w:val="-7"/>
                            <w:w w:val="75"/>
                            <w:sz w:val="16"/>
                          </w:rPr>
                          <w:t xml:space="preserve"> </w:t>
                        </w:r>
                        <w:r>
                          <w:rPr>
                            <w:color w:val="231F20"/>
                            <w:w w:val="75"/>
                            <w:sz w:val="16"/>
                          </w:rPr>
                          <w:t>capacity</w:t>
                        </w:r>
                        <w:r>
                          <w:rPr>
                            <w:color w:val="231F20"/>
                            <w:spacing w:val="-7"/>
                            <w:w w:val="75"/>
                            <w:sz w:val="16"/>
                          </w:rPr>
                          <w:t xml:space="preserve"> </w:t>
                        </w:r>
                        <w:r>
                          <w:rPr>
                            <w:color w:val="231F20"/>
                            <w:w w:val="75"/>
                            <w:sz w:val="16"/>
                          </w:rPr>
                          <w:t>(human</w:t>
                        </w:r>
                        <w:r>
                          <w:rPr>
                            <w:color w:val="231F20"/>
                            <w:spacing w:val="-7"/>
                            <w:w w:val="75"/>
                            <w:sz w:val="16"/>
                          </w:rPr>
                          <w:t xml:space="preserve"> </w:t>
                        </w:r>
                        <w:r>
                          <w:rPr>
                            <w:color w:val="231F20"/>
                            <w:w w:val="75"/>
                            <w:sz w:val="16"/>
                          </w:rPr>
                          <w:t>and</w:t>
                        </w:r>
                        <w:r>
                          <w:rPr>
                            <w:color w:val="231F20"/>
                            <w:spacing w:val="-7"/>
                            <w:w w:val="75"/>
                            <w:sz w:val="16"/>
                          </w:rPr>
                          <w:t xml:space="preserve"> </w:t>
                        </w:r>
                        <w:r>
                          <w:rPr>
                            <w:color w:val="231F20"/>
                            <w:w w:val="75"/>
                            <w:sz w:val="16"/>
                          </w:rPr>
                          <w:t>institutional)</w:t>
                        </w:r>
                        <w:r>
                          <w:rPr>
                            <w:color w:val="231F20"/>
                            <w:spacing w:val="-7"/>
                            <w:w w:val="75"/>
                            <w:sz w:val="16"/>
                          </w:rPr>
                          <w:t xml:space="preserve"> </w:t>
                        </w:r>
                        <w:r>
                          <w:rPr>
                            <w:color w:val="231F20"/>
                            <w:w w:val="75"/>
                            <w:sz w:val="16"/>
                          </w:rPr>
                          <w:t>of</w:t>
                        </w:r>
                        <w:r>
                          <w:rPr>
                            <w:color w:val="231F20"/>
                            <w:spacing w:val="-7"/>
                            <w:w w:val="75"/>
                            <w:sz w:val="16"/>
                          </w:rPr>
                          <w:t xml:space="preserve"> </w:t>
                        </w:r>
                        <w:r>
                          <w:rPr>
                            <w:color w:val="231F20"/>
                            <w:w w:val="75"/>
                            <w:sz w:val="16"/>
                          </w:rPr>
                          <w:t>emergency medical</w:t>
                        </w:r>
                        <w:r>
                          <w:rPr>
                            <w:color w:val="231F20"/>
                            <w:spacing w:val="-9"/>
                            <w:w w:val="75"/>
                            <w:sz w:val="16"/>
                          </w:rPr>
                          <w:t xml:space="preserve"> </w:t>
                        </w:r>
                        <w:r>
                          <w:rPr>
                            <w:color w:val="231F20"/>
                            <w:w w:val="75"/>
                            <w:sz w:val="16"/>
                          </w:rPr>
                          <w:t>services</w:t>
                        </w:r>
                        <w:r>
                          <w:rPr>
                            <w:color w:val="231F20"/>
                            <w:spacing w:val="-8"/>
                            <w:w w:val="75"/>
                            <w:sz w:val="16"/>
                          </w:rPr>
                          <w:t xml:space="preserve"> </w:t>
                        </w:r>
                        <w:r>
                          <w:rPr>
                            <w:color w:val="231F20"/>
                            <w:w w:val="75"/>
                            <w:sz w:val="16"/>
                          </w:rPr>
                          <w:t>units/departments</w:t>
                        </w:r>
                        <w:r>
                          <w:rPr>
                            <w:color w:val="231F20"/>
                            <w:spacing w:val="-9"/>
                            <w:w w:val="75"/>
                            <w:sz w:val="16"/>
                          </w:rPr>
                          <w:t xml:space="preserve"> </w:t>
                        </w:r>
                        <w:r>
                          <w:rPr>
                            <w:color w:val="231F20"/>
                            <w:w w:val="75"/>
                            <w:sz w:val="16"/>
                          </w:rPr>
                          <w:t>of</w:t>
                        </w:r>
                        <w:r>
                          <w:rPr>
                            <w:color w:val="231F20"/>
                            <w:spacing w:val="-8"/>
                            <w:w w:val="75"/>
                            <w:sz w:val="16"/>
                          </w:rPr>
                          <w:t xml:space="preserve"> </w:t>
                        </w:r>
                        <w:r>
                          <w:rPr>
                            <w:color w:val="231F20"/>
                            <w:w w:val="75"/>
                            <w:sz w:val="16"/>
                          </w:rPr>
                          <w:t>receiving</w:t>
                        </w:r>
                        <w:r>
                          <w:rPr>
                            <w:color w:val="231F20"/>
                            <w:spacing w:val="-9"/>
                            <w:w w:val="75"/>
                            <w:sz w:val="16"/>
                          </w:rPr>
                          <w:t xml:space="preserve"> </w:t>
                        </w:r>
                        <w:r>
                          <w:rPr>
                            <w:color w:val="231F20"/>
                            <w:w w:val="75"/>
                            <w:sz w:val="16"/>
                          </w:rPr>
                          <w:t xml:space="preserve">health </w:t>
                        </w:r>
                        <w:r>
                          <w:rPr>
                            <w:color w:val="231F20"/>
                            <w:w w:val="85"/>
                            <w:sz w:val="16"/>
                          </w:rPr>
                          <w:t>facilities</w:t>
                        </w:r>
                      </w:p>
                    </w:tc>
                    <w:tc>
                      <w:tcPr>
                        <w:tcW w:w="2379" w:type="dxa"/>
                        <w:tcBorders>
                          <w:top w:val="single" w:sz="6" w:space="0" w:color="231F20"/>
                          <w:left w:val="single" w:sz="6" w:space="0" w:color="231F20"/>
                          <w:bottom w:val="single" w:sz="6" w:space="0" w:color="231F20"/>
                          <w:right w:val="single" w:sz="6" w:space="0" w:color="231F20"/>
                        </w:tcBorders>
                        <w:shd w:val="clear" w:color="auto" w:fill="CCE7D3"/>
                      </w:tcPr>
                      <w:p w14:paraId="5A26BB5F" w14:textId="77777777" w:rsidR="00080B77" w:rsidRDefault="00080B77">
                        <w:pPr>
                          <w:pStyle w:val="TableParagraph"/>
                          <w:numPr>
                            <w:ilvl w:val="0"/>
                            <w:numId w:val="114"/>
                          </w:numPr>
                          <w:tabs>
                            <w:tab w:val="left" w:pos="90"/>
                          </w:tabs>
                          <w:spacing w:line="254" w:lineRule="auto"/>
                          <w:ind w:right="98" w:firstLine="0"/>
                          <w:rPr>
                            <w:sz w:val="16"/>
                          </w:rPr>
                        </w:pPr>
                        <w:r>
                          <w:rPr>
                            <w:color w:val="231F20"/>
                            <w:w w:val="75"/>
                            <w:sz w:val="16"/>
                          </w:rPr>
                          <w:t>At</w:t>
                        </w:r>
                        <w:r>
                          <w:rPr>
                            <w:color w:val="231F20"/>
                            <w:spacing w:val="-5"/>
                            <w:w w:val="75"/>
                            <w:sz w:val="16"/>
                          </w:rPr>
                          <w:t xml:space="preserve"> </w:t>
                        </w:r>
                        <w:r>
                          <w:rPr>
                            <w:color w:val="231F20"/>
                            <w:w w:val="75"/>
                            <w:sz w:val="16"/>
                          </w:rPr>
                          <w:t>least</w:t>
                        </w:r>
                        <w:r>
                          <w:rPr>
                            <w:color w:val="231F20"/>
                            <w:spacing w:val="-5"/>
                            <w:w w:val="75"/>
                            <w:sz w:val="16"/>
                          </w:rPr>
                          <w:t xml:space="preserve"> </w:t>
                        </w:r>
                        <w:r>
                          <w:rPr>
                            <w:color w:val="231F20"/>
                            <w:w w:val="75"/>
                            <w:sz w:val="16"/>
                          </w:rPr>
                          <w:t>814</w:t>
                        </w:r>
                        <w:r>
                          <w:rPr>
                            <w:color w:val="231F20"/>
                            <w:spacing w:val="-5"/>
                            <w:w w:val="75"/>
                            <w:sz w:val="16"/>
                          </w:rPr>
                          <w:t xml:space="preserve"> </w:t>
                        </w:r>
                        <w:r>
                          <w:rPr>
                            <w:color w:val="231F20"/>
                            <w:w w:val="75"/>
                            <w:sz w:val="16"/>
                          </w:rPr>
                          <w:t>HWs</w:t>
                        </w:r>
                        <w:r>
                          <w:rPr>
                            <w:color w:val="231F20"/>
                            <w:spacing w:val="-4"/>
                            <w:w w:val="75"/>
                            <w:sz w:val="16"/>
                          </w:rPr>
                          <w:t xml:space="preserve"> </w:t>
                        </w:r>
                        <w:r>
                          <w:rPr>
                            <w:color w:val="231F20"/>
                            <w:w w:val="75"/>
                            <w:sz w:val="16"/>
                          </w:rPr>
                          <w:t>trained</w:t>
                        </w:r>
                        <w:r>
                          <w:rPr>
                            <w:color w:val="231F20"/>
                            <w:spacing w:val="-5"/>
                            <w:w w:val="75"/>
                            <w:sz w:val="16"/>
                          </w:rPr>
                          <w:t xml:space="preserve"> </w:t>
                        </w:r>
                        <w:r>
                          <w:rPr>
                            <w:color w:val="231F20"/>
                            <w:w w:val="75"/>
                            <w:sz w:val="16"/>
                          </w:rPr>
                          <w:t>on</w:t>
                        </w:r>
                        <w:r>
                          <w:rPr>
                            <w:color w:val="231F20"/>
                            <w:spacing w:val="-5"/>
                            <w:w w:val="75"/>
                            <w:sz w:val="16"/>
                          </w:rPr>
                          <w:t xml:space="preserve"> </w:t>
                        </w:r>
                        <w:r>
                          <w:rPr>
                            <w:color w:val="231F20"/>
                            <w:w w:val="75"/>
                            <w:sz w:val="16"/>
                          </w:rPr>
                          <w:t>services</w:t>
                        </w:r>
                        <w:r>
                          <w:rPr>
                            <w:color w:val="231F20"/>
                            <w:spacing w:val="-5"/>
                            <w:w w:val="75"/>
                            <w:sz w:val="16"/>
                          </w:rPr>
                          <w:t xml:space="preserve"> </w:t>
                        </w:r>
                        <w:r>
                          <w:rPr>
                            <w:color w:val="231F20"/>
                            <w:w w:val="75"/>
                            <w:sz w:val="16"/>
                          </w:rPr>
                          <w:t xml:space="preserve">and </w:t>
                        </w:r>
                        <w:r>
                          <w:rPr>
                            <w:color w:val="231F20"/>
                            <w:w w:val="85"/>
                            <w:sz w:val="16"/>
                          </w:rPr>
                          <w:t>advance</w:t>
                        </w:r>
                        <w:r>
                          <w:rPr>
                            <w:color w:val="231F20"/>
                            <w:spacing w:val="-8"/>
                            <w:w w:val="85"/>
                            <w:sz w:val="16"/>
                          </w:rPr>
                          <w:t xml:space="preserve"> </w:t>
                        </w:r>
                        <w:r>
                          <w:rPr>
                            <w:color w:val="231F20"/>
                            <w:w w:val="85"/>
                            <w:sz w:val="16"/>
                          </w:rPr>
                          <w:t>CPR</w:t>
                        </w:r>
                      </w:p>
                      <w:p w14:paraId="1AEF07E7" w14:textId="77777777" w:rsidR="00080B77" w:rsidRDefault="00080B77">
                        <w:pPr>
                          <w:pStyle w:val="TableParagraph"/>
                          <w:numPr>
                            <w:ilvl w:val="0"/>
                            <w:numId w:val="114"/>
                          </w:numPr>
                          <w:tabs>
                            <w:tab w:val="left" w:pos="65"/>
                          </w:tabs>
                          <w:spacing w:line="254" w:lineRule="auto"/>
                          <w:ind w:right="500" w:firstLine="0"/>
                          <w:rPr>
                            <w:sz w:val="16"/>
                          </w:rPr>
                        </w:pPr>
                        <w:r>
                          <w:rPr>
                            <w:color w:val="231F20"/>
                            <w:w w:val="75"/>
                            <w:sz w:val="16"/>
                          </w:rPr>
                          <w:t>Emergency equipment procured</w:t>
                        </w:r>
                        <w:r>
                          <w:rPr>
                            <w:color w:val="231F20"/>
                            <w:spacing w:val="-22"/>
                            <w:w w:val="75"/>
                            <w:sz w:val="16"/>
                          </w:rPr>
                          <w:t xml:space="preserve"> </w:t>
                        </w:r>
                        <w:r>
                          <w:rPr>
                            <w:color w:val="231F20"/>
                            <w:spacing w:val="-15"/>
                            <w:w w:val="75"/>
                            <w:sz w:val="16"/>
                          </w:rPr>
                          <w:t xml:space="preserve">&amp; </w:t>
                        </w:r>
                        <w:r>
                          <w:rPr>
                            <w:color w:val="231F20"/>
                            <w:w w:val="85"/>
                            <w:sz w:val="16"/>
                          </w:rPr>
                          <w:t>distributed</w:t>
                        </w:r>
                      </w:p>
                      <w:p w14:paraId="5F0EDAF8" w14:textId="378F8ED5" w:rsidR="00080B77" w:rsidRDefault="00080B77">
                        <w:pPr>
                          <w:pStyle w:val="TableParagraph"/>
                          <w:numPr>
                            <w:ilvl w:val="0"/>
                            <w:numId w:val="114"/>
                          </w:numPr>
                          <w:tabs>
                            <w:tab w:val="left" w:pos="90"/>
                          </w:tabs>
                          <w:spacing w:before="24" w:line="194" w:lineRule="auto"/>
                          <w:ind w:right="166" w:firstLine="0"/>
                          <w:rPr>
                            <w:sz w:val="16"/>
                          </w:rPr>
                        </w:pPr>
                        <w:r>
                          <w:rPr>
                            <w:color w:val="231F20"/>
                            <w:w w:val="75"/>
                            <w:sz w:val="16"/>
                          </w:rPr>
                          <w:t>At least 23 disease surveillance</w:t>
                        </w:r>
                        <w:r>
                          <w:rPr>
                            <w:color w:val="231F20"/>
                            <w:spacing w:val="-20"/>
                            <w:w w:val="75"/>
                            <w:sz w:val="16"/>
                          </w:rPr>
                          <w:t xml:space="preserve"> </w:t>
                        </w:r>
                        <w:r>
                          <w:rPr>
                            <w:color w:val="231F20"/>
                            <w:spacing w:val="-3"/>
                            <w:w w:val="75"/>
                            <w:sz w:val="16"/>
                          </w:rPr>
                          <w:t xml:space="preserve">officers </w:t>
                        </w:r>
                        <w:r>
                          <w:rPr>
                            <w:color w:val="231F20"/>
                            <w:w w:val="85"/>
                            <w:sz w:val="16"/>
                          </w:rPr>
                          <w:t>trained</w:t>
                        </w:r>
                        <w:r>
                          <w:rPr>
                            <w:color w:val="231F20"/>
                            <w:spacing w:val="-24"/>
                            <w:w w:val="85"/>
                            <w:sz w:val="16"/>
                          </w:rPr>
                          <w:t xml:space="preserve"> </w:t>
                        </w:r>
                        <w:r>
                          <w:rPr>
                            <w:color w:val="231F20"/>
                            <w:w w:val="85"/>
                            <w:sz w:val="16"/>
                          </w:rPr>
                          <w:t>for</w:t>
                        </w:r>
                        <w:r>
                          <w:rPr>
                            <w:color w:val="231F20"/>
                            <w:spacing w:val="-24"/>
                            <w:w w:val="85"/>
                            <w:sz w:val="16"/>
                          </w:rPr>
                          <w:t xml:space="preserve"> </w:t>
                        </w:r>
                        <w:r>
                          <w:rPr>
                            <w:color w:val="231F20"/>
                            <w:w w:val="85"/>
                            <w:sz w:val="16"/>
                          </w:rPr>
                          <w:t>disease</w:t>
                        </w:r>
                        <w:r>
                          <w:rPr>
                            <w:color w:val="231F20"/>
                            <w:spacing w:val="-24"/>
                            <w:w w:val="85"/>
                            <w:sz w:val="16"/>
                          </w:rPr>
                          <w:t xml:space="preserve"> </w:t>
                        </w:r>
                        <w:r>
                          <w:rPr>
                            <w:color w:val="231F20"/>
                            <w:w w:val="85"/>
                            <w:sz w:val="16"/>
                          </w:rPr>
                          <w:t>outbreak</w:t>
                        </w:r>
                        <w:r>
                          <w:rPr>
                            <w:color w:val="231F20"/>
                            <w:spacing w:val="-24"/>
                            <w:w w:val="85"/>
                            <w:sz w:val="16"/>
                          </w:rPr>
                          <w:t xml:space="preserve"> </w:t>
                        </w:r>
                        <w:r>
                          <w:rPr>
                            <w:color w:val="231F20"/>
                            <w:w w:val="85"/>
                            <w:sz w:val="16"/>
                          </w:rPr>
                          <w:t>control</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57F342D2" w14:textId="77777777" w:rsidR="00080B77" w:rsidRDefault="00080B77">
                        <w:pPr>
                          <w:pStyle w:val="TableParagraph"/>
                          <w:rPr>
                            <w:rFonts w:ascii="Times New Roman"/>
                            <w:sz w:val="10"/>
                          </w:rPr>
                        </w:pPr>
                      </w:p>
                    </w:tc>
                    <w:tc>
                      <w:tcPr>
                        <w:tcW w:w="1502" w:type="dxa"/>
                        <w:tcBorders>
                          <w:top w:val="single" w:sz="6" w:space="0" w:color="231F20"/>
                          <w:left w:val="single" w:sz="6" w:space="0" w:color="231F20"/>
                          <w:bottom w:val="single" w:sz="6" w:space="0" w:color="231F20"/>
                          <w:right w:val="single" w:sz="6" w:space="0" w:color="231F20"/>
                        </w:tcBorders>
                        <w:shd w:val="clear" w:color="auto" w:fill="CCE7D3"/>
                      </w:tcPr>
                      <w:p w14:paraId="2A574D41" w14:textId="77777777" w:rsidR="00080B77" w:rsidRDefault="00080B77">
                        <w:pPr>
                          <w:pStyle w:val="TableParagraph"/>
                          <w:rPr>
                            <w:rFonts w:ascii="Times New Roman"/>
                            <w:sz w:val="10"/>
                          </w:rPr>
                        </w:pPr>
                      </w:p>
                    </w:tc>
                  </w:tr>
                  <w:tr w:rsidR="00080B77" w14:paraId="064F0D2B" w14:textId="77777777">
                    <w:trPr>
                      <w:trHeight w:val="377"/>
                    </w:trPr>
                    <w:tc>
                      <w:tcPr>
                        <w:tcW w:w="1038" w:type="dxa"/>
                        <w:gridSpan w:val="3"/>
                        <w:vMerge w:val="restart"/>
                        <w:tcBorders>
                          <w:top w:val="nil"/>
                          <w:left w:val="single" w:sz="6" w:space="0" w:color="231F20"/>
                          <w:bottom w:val="nil"/>
                          <w:right w:val="single" w:sz="6" w:space="0" w:color="231F20"/>
                        </w:tcBorders>
                      </w:tcPr>
                      <w:p w14:paraId="6F52E424" w14:textId="77777777" w:rsidR="00080B77" w:rsidRDefault="00080B77">
                        <w:pPr>
                          <w:pStyle w:val="TableParagraph"/>
                          <w:rPr>
                            <w:rFonts w:ascii="Times New Roman"/>
                            <w:sz w:val="10"/>
                          </w:rPr>
                        </w:pPr>
                      </w:p>
                    </w:tc>
                    <w:tc>
                      <w:tcPr>
                        <w:tcW w:w="525" w:type="dxa"/>
                        <w:tcBorders>
                          <w:top w:val="single" w:sz="6" w:space="0" w:color="231F20"/>
                          <w:left w:val="single" w:sz="6" w:space="0" w:color="231F20"/>
                          <w:bottom w:val="single" w:sz="6" w:space="0" w:color="231F20"/>
                          <w:right w:val="single" w:sz="6" w:space="0" w:color="231F20"/>
                        </w:tcBorders>
                      </w:tcPr>
                      <w:p w14:paraId="5A073349" w14:textId="77777777" w:rsidR="00080B77" w:rsidRDefault="00080B77">
                        <w:pPr>
                          <w:pStyle w:val="TableParagraph"/>
                          <w:spacing w:before="95"/>
                          <w:ind w:left="24" w:right="9"/>
                          <w:jc w:val="center"/>
                          <w:rPr>
                            <w:sz w:val="16"/>
                          </w:rPr>
                        </w:pPr>
                        <w:r>
                          <w:rPr>
                            <w:color w:val="231F20"/>
                            <w:w w:val="80"/>
                            <w:sz w:val="16"/>
                          </w:rPr>
                          <w:t>7.2.2.a</w:t>
                        </w:r>
                      </w:p>
                    </w:tc>
                    <w:tc>
                      <w:tcPr>
                        <w:tcW w:w="4885" w:type="dxa"/>
                        <w:gridSpan w:val="2"/>
                        <w:tcBorders>
                          <w:top w:val="single" w:sz="6" w:space="0" w:color="231F20"/>
                          <w:left w:val="single" w:sz="6" w:space="0" w:color="231F20"/>
                          <w:bottom w:val="single" w:sz="6" w:space="0" w:color="231F20"/>
                          <w:right w:val="single" w:sz="6" w:space="0" w:color="231F20"/>
                        </w:tcBorders>
                      </w:tcPr>
                      <w:p w14:paraId="61475B3F" w14:textId="77777777" w:rsidR="00080B77" w:rsidRDefault="00080B77">
                        <w:pPr>
                          <w:pStyle w:val="TableParagraph"/>
                          <w:spacing w:before="89"/>
                          <w:ind w:left="22"/>
                          <w:rPr>
                            <w:sz w:val="16"/>
                          </w:rPr>
                        </w:pPr>
                        <w:r>
                          <w:rPr>
                            <w:color w:val="231F20"/>
                            <w:w w:val="85"/>
                            <w:sz w:val="16"/>
                          </w:rPr>
                          <w:t>Training of staff on services and advance CPR</w:t>
                        </w:r>
                      </w:p>
                    </w:tc>
                    <w:tc>
                      <w:tcPr>
                        <w:tcW w:w="1424" w:type="dxa"/>
                        <w:tcBorders>
                          <w:top w:val="single" w:sz="6" w:space="0" w:color="231F20"/>
                          <w:left w:val="single" w:sz="6" w:space="0" w:color="231F20"/>
                          <w:bottom w:val="single" w:sz="6" w:space="0" w:color="231F20"/>
                          <w:right w:val="single" w:sz="6" w:space="0" w:color="231F20"/>
                        </w:tcBorders>
                      </w:tcPr>
                      <w:p w14:paraId="09847707" w14:textId="77777777" w:rsidR="00080B77" w:rsidRDefault="00080B77">
                        <w:pPr>
                          <w:pStyle w:val="TableParagraph"/>
                          <w:spacing w:before="95"/>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39D6F3AD" w14:textId="77777777" w:rsidR="00080B77" w:rsidRDefault="00080B77">
                        <w:pPr>
                          <w:pStyle w:val="TableParagraph"/>
                          <w:spacing w:before="95"/>
                          <w:ind w:left="22"/>
                          <w:rPr>
                            <w:sz w:val="16"/>
                          </w:rPr>
                        </w:pPr>
                        <w:r>
                          <w:rPr>
                            <w:color w:val="231F20"/>
                            <w:w w:val="85"/>
                            <w:sz w:val="16"/>
                          </w:rPr>
                          <w:t>Training of staff</w:t>
                        </w:r>
                      </w:p>
                    </w:tc>
                  </w:tr>
                  <w:tr w:rsidR="00080B77" w14:paraId="45B23C7D" w14:textId="77777777">
                    <w:trPr>
                      <w:trHeight w:val="588"/>
                    </w:trPr>
                    <w:tc>
                      <w:tcPr>
                        <w:tcW w:w="1038" w:type="dxa"/>
                        <w:gridSpan w:val="3"/>
                        <w:vMerge/>
                        <w:tcBorders>
                          <w:top w:val="nil"/>
                          <w:left w:val="single" w:sz="6" w:space="0" w:color="231F20"/>
                          <w:bottom w:val="nil"/>
                          <w:right w:val="single" w:sz="6" w:space="0" w:color="231F20"/>
                        </w:tcBorders>
                      </w:tcPr>
                      <w:p w14:paraId="21B8CB84"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96456D4" w14:textId="77777777" w:rsidR="00080B77" w:rsidRDefault="00080B77">
                        <w:pPr>
                          <w:pStyle w:val="TableParagraph"/>
                          <w:spacing w:before="5"/>
                          <w:rPr>
                            <w:sz w:val="17"/>
                          </w:rPr>
                        </w:pPr>
                      </w:p>
                      <w:p w14:paraId="2963CE9F" w14:textId="77777777" w:rsidR="00080B77" w:rsidRDefault="00080B77">
                        <w:pPr>
                          <w:pStyle w:val="TableParagraph"/>
                          <w:spacing w:before="1"/>
                          <w:ind w:left="24" w:right="9"/>
                          <w:jc w:val="center"/>
                          <w:rPr>
                            <w:sz w:val="16"/>
                          </w:rPr>
                        </w:pPr>
                        <w:r>
                          <w:rPr>
                            <w:color w:val="231F20"/>
                            <w:w w:val="80"/>
                            <w:sz w:val="16"/>
                          </w:rPr>
                          <w:t>7.2.2.b</w:t>
                        </w:r>
                      </w:p>
                    </w:tc>
                    <w:tc>
                      <w:tcPr>
                        <w:tcW w:w="4885" w:type="dxa"/>
                        <w:gridSpan w:val="2"/>
                        <w:tcBorders>
                          <w:top w:val="single" w:sz="6" w:space="0" w:color="231F20"/>
                          <w:left w:val="single" w:sz="6" w:space="0" w:color="231F20"/>
                          <w:bottom w:val="single" w:sz="6" w:space="0" w:color="231F20"/>
                          <w:right w:val="single" w:sz="6" w:space="0" w:color="231F20"/>
                        </w:tcBorders>
                      </w:tcPr>
                      <w:p w14:paraId="74FA67CD" w14:textId="2215FDFC" w:rsidR="00080B77" w:rsidRDefault="00080B77">
                        <w:pPr>
                          <w:pStyle w:val="TableParagraph"/>
                          <w:spacing w:before="97" w:line="254" w:lineRule="auto"/>
                          <w:ind w:left="22" w:right="505"/>
                          <w:rPr>
                            <w:sz w:val="16"/>
                          </w:rPr>
                        </w:pPr>
                        <w:r>
                          <w:rPr>
                            <w:color w:val="231F20"/>
                            <w:w w:val="75"/>
                            <w:sz w:val="16"/>
                          </w:rPr>
                          <w:t xml:space="preserve">Operating cost for engaging and supervising the contractor to procure emergency </w:t>
                        </w:r>
                        <w:r>
                          <w:rPr>
                            <w:color w:val="231F20"/>
                            <w:w w:val="85"/>
                            <w:sz w:val="16"/>
                          </w:rPr>
                          <w:t>equipment e.g. oxygen, defibrillator and lifesaving equipment</w:t>
                        </w:r>
                      </w:p>
                    </w:tc>
                    <w:tc>
                      <w:tcPr>
                        <w:tcW w:w="1424" w:type="dxa"/>
                        <w:tcBorders>
                          <w:top w:val="single" w:sz="6" w:space="0" w:color="231F20"/>
                          <w:left w:val="single" w:sz="6" w:space="0" w:color="231F20"/>
                          <w:bottom w:val="single" w:sz="6" w:space="0" w:color="231F20"/>
                          <w:right w:val="single" w:sz="6" w:space="0" w:color="231F20"/>
                        </w:tcBorders>
                      </w:tcPr>
                      <w:p w14:paraId="456D0C99" w14:textId="77777777" w:rsidR="00080B77" w:rsidRDefault="00080B77">
                        <w:pPr>
                          <w:pStyle w:val="TableParagraph"/>
                          <w:spacing w:before="5"/>
                          <w:rPr>
                            <w:sz w:val="17"/>
                          </w:rPr>
                        </w:pPr>
                      </w:p>
                      <w:p w14:paraId="03891D6E" w14:textId="77777777" w:rsidR="00080B77" w:rsidRDefault="00080B77">
                        <w:pPr>
                          <w:pStyle w:val="TableParagraph"/>
                          <w:spacing w:before="1"/>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3E3AC241" w14:textId="77777777" w:rsidR="00080B77" w:rsidRDefault="00080B77">
                        <w:pPr>
                          <w:pStyle w:val="TableParagraph"/>
                          <w:spacing w:before="5"/>
                          <w:rPr>
                            <w:sz w:val="17"/>
                          </w:rPr>
                        </w:pPr>
                      </w:p>
                      <w:p w14:paraId="6F3B016A" w14:textId="77777777" w:rsidR="00080B77" w:rsidRDefault="00080B77">
                        <w:pPr>
                          <w:pStyle w:val="TableParagraph"/>
                          <w:spacing w:before="1"/>
                          <w:ind w:left="22"/>
                          <w:rPr>
                            <w:sz w:val="16"/>
                          </w:rPr>
                        </w:pPr>
                        <w:r>
                          <w:rPr>
                            <w:color w:val="231F20"/>
                            <w:w w:val="85"/>
                            <w:sz w:val="16"/>
                          </w:rPr>
                          <w:t>Costed in OHT</w:t>
                        </w:r>
                      </w:p>
                    </w:tc>
                  </w:tr>
                  <w:tr w:rsidR="00080B77" w14:paraId="4310DA61" w14:textId="77777777">
                    <w:trPr>
                      <w:trHeight w:val="382"/>
                    </w:trPr>
                    <w:tc>
                      <w:tcPr>
                        <w:tcW w:w="1038" w:type="dxa"/>
                        <w:gridSpan w:val="3"/>
                        <w:vMerge/>
                        <w:tcBorders>
                          <w:top w:val="nil"/>
                          <w:left w:val="single" w:sz="6" w:space="0" w:color="231F20"/>
                          <w:bottom w:val="nil"/>
                          <w:right w:val="single" w:sz="6" w:space="0" w:color="231F20"/>
                        </w:tcBorders>
                      </w:tcPr>
                      <w:p w14:paraId="61C76059"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38C82779" w14:textId="77777777" w:rsidR="00080B77" w:rsidRDefault="00080B77">
                        <w:pPr>
                          <w:pStyle w:val="TableParagraph"/>
                          <w:spacing w:before="98"/>
                          <w:ind w:left="24" w:right="9"/>
                          <w:jc w:val="center"/>
                          <w:rPr>
                            <w:sz w:val="16"/>
                          </w:rPr>
                        </w:pPr>
                        <w:r>
                          <w:rPr>
                            <w:color w:val="231F20"/>
                            <w:w w:val="80"/>
                            <w:sz w:val="16"/>
                          </w:rPr>
                          <w:t>7.2.2.c</w:t>
                        </w:r>
                      </w:p>
                    </w:tc>
                    <w:tc>
                      <w:tcPr>
                        <w:tcW w:w="4885" w:type="dxa"/>
                        <w:gridSpan w:val="2"/>
                        <w:tcBorders>
                          <w:top w:val="single" w:sz="6" w:space="0" w:color="231F20"/>
                          <w:left w:val="single" w:sz="6" w:space="0" w:color="231F20"/>
                          <w:bottom w:val="single" w:sz="6" w:space="0" w:color="231F20"/>
                          <w:right w:val="single" w:sz="6" w:space="0" w:color="231F20"/>
                        </w:tcBorders>
                      </w:tcPr>
                      <w:p w14:paraId="719F316F" w14:textId="77777777" w:rsidR="00080B77" w:rsidRDefault="00080B77">
                        <w:pPr>
                          <w:pStyle w:val="TableParagraph"/>
                          <w:spacing w:before="92"/>
                          <w:ind w:left="22"/>
                          <w:rPr>
                            <w:sz w:val="16"/>
                          </w:rPr>
                        </w:pPr>
                        <w:r>
                          <w:rPr>
                            <w:color w:val="231F20"/>
                            <w:w w:val="85"/>
                            <w:sz w:val="16"/>
                          </w:rPr>
                          <w:t>Build capacity of disease surveillance officers for disease outbreak control</w:t>
                        </w:r>
                      </w:p>
                    </w:tc>
                    <w:tc>
                      <w:tcPr>
                        <w:tcW w:w="1424" w:type="dxa"/>
                        <w:tcBorders>
                          <w:top w:val="single" w:sz="6" w:space="0" w:color="231F20"/>
                          <w:left w:val="single" w:sz="6" w:space="0" w:color="231F20"/>
                          <w:bottom w:val="single" w:sz="6" w:space="0" w:color="231F20"/>
                          <w:right w:val="single" w:sz="6" w:space="0" w:color="231F20"/>
                        </w:tcBorders>
                      </w:tcPr>
                      <w:p w14:paraId="03385F6C" w14:textId="77777777" w:rsidR="00080B77" w:rsidRDefault="00080B77">
                        <w:pPr>
                          <w:pStyle w:val="TableParagraph"/>
                          <w:spacing w:before="98"/>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24B15B86" w14:textId="77777777" w:rsidR="00080B77" w:rsidRDefault="00080B77">
                        <w:pPr>
                          <w:pStyle w:val="TableParagraph"/>
                          <w:spacing w:before="98"/>
                          <w:ind w:left="22"/>
                          <w:rPr>
                            <w:sz w:val="16"/>
                          </w:rPr>
                        </w:pPr>
                        <w:r>
                          <w:rPr>
                            <w:color w:val="231F20"/>
                            <w:w w:val="85"/>
                            <w:sz w:val="16"/>
                          </w:rPr>
                          <w:t>Build capacity</w:t>
                        </w:r>
                      </w:p>
                    </w:tc>
                  </w:tr>
                  <w:tr w:rsidR="00080B77" w14:paraId="44DF5E0A" w14:textId="77777777">
                    <w:trPr>
                      <w:trHeight w:val="392"/>
                    </w:trPr>
                    <w:tc>
                      <w:tcPr>
                        <w:tcW w:w="1038" w:type="dxa"/>
                        <w:gridSpan w:val="3"/>
                        <w:vMerge/>
                        <w:tcBorders>
                          <w:top w:val="nil"/>
                          <w:left w:val="single" w:sz="6" w:space="0" w:color="231F20"/>
                          <w:bottom w:val="nil"/>
                          <w:right w:val="single" w:sz="6" w:space="0" w:color="231F20"/>
                        </w:tcBorders>
                      </w:tcPr>
                      <w:p w14:paraId="78969CA4"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50444E0" w14:textId="77777777" w:rsidR="00080B77" w:rsidRDefault="00080B77">
                        <w:pPr>
                          <w:pStyle w:val="TableParagraph"/>
                          <w:spacing w:before="103"/>
                          <w:ind w:left="24" w:right="9"/>
                          <w:jc w:val="center"/>
                          <w:rPr>
                            <w:sz w:val="16"/>
                          </w:rPr>
                        </w:pPr>
                        <w:r>
                          <w:rPr>
                            <w:color w:val="231F20"/>
                            <w:w w:val="80"/>
                            <w:sz w:val="16"/>
                          </w:rPr>
                          <w:t>7.2.2.d</w:t>
                        </w:r>
                      </w:p>
                    </w:tc>
                    <w:tc>
                      <w:tcPr>
                        <w:tcW w:w="4885" w:type="dxa"/>
                        <w:gridSpan w:val="2"/>
                        <w:tcBorders>
                          <w:top w:val="single" w:sz="6" w:space="0" w:color="231F20"/>
                          <w:left w:val="single" w:sz="6" w:space="0" w:color="231F20"/>
                          <w:bottom w:val="single" w:sz="6" w:space="0" w:color="231F20"/>
                          <w:right w:val="single" w:sz="6" w:space="0" w:color="231F20"/>
                        </w:tcBorders>
                      </w:tcPr>
                      <w:p w14:paraId="4FD3249C" w14:textId="77777777" w:rsidR="00080B77" w:rsidRDefault="00080B77">
                        <w:pPr>
                          <w:pStyle w:val="TableParagraph"/>
                          <w:spacing w:line="183" w:lineRule="exact"/>
                          <w:ind w:left="22"/>
                          <w:rPr>
                            <w:sz w:val="16"/>
                          </w:rPr>
                        </w:pPr>
                        <w:r>
                          <w:rPr>
                            <w:color w:val="231F20"/>
                            <w:w w:val="75"/>
                            <w:sz w:val="16"/>
                          </w:rPr>
                          <w:t>Conduct review meeting with stakeholders on improvement of comprehensive emergency</w:t>
                        </w:r>
                      </w:p>
                      <w:p w14:paraId="72304957" w14:textId="77777777" w:rsidR="00080B77" w:rsidRDefault="00080B77">
                        <w:pPr>
                          <w:pStyle w:val="TableParagraph"/>
                          <w:spacing w:before="11" w:line="178" w:lineRule="exact"/>
                          <w:ind w:left="22"/>
                          <w:rPr>
                            <w:sz w:val="16"/>
                          </w:rPr>
                        </w:pPr>
                        <w:r>
                          <w:rPr>
                            <w:color w:val="231F20"/>
                            <w:w w:val="85"/>
                            <w:sz w:val="16"/>
                          </w:rPr>
                          <w:t>and trauma care</w:t>
                        </w:r>
                      </w:p>
                    </w:tc>
                    <w:tc>
                      <w:tcPr>
                        <w:tcW w:w="1424" w:type="dxa"/>
                        <w:tcBorders>
                          <w:top w:val="single" w:sz="6" w:space="0" w:color="231F20"/>
                          <w:left w:val="single" w:sz="6" w:space="0" w:color="231F20"/>
                          <w:bottom w:val="single" w:sz="6" w:space="0" w:color="231F20"/>
                          <w:right w:val="single" w:sz="6" w:space="0" w:color="231F20"/>
                        </w:tcBorders>
                      </w:tcPr>
                      <w:p w14:paraId="417A722F" w14:textId="77777777" w:rsidR="00080B77" w:rsidRDefault="00080B77">
                        <w:pPr>
                          <w:pStyle w:val="TableParagraph"/>
                          <w:spacing w:before="103"/>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117B5E5A" w14:textId="77777777" w:rsidR="00080B77" w:rsidRDefault="00080B77">
                        <w:pPr>
                          <w:pStyle w:val="TableParagraph"/>
                          <w:spacing w:before="103"/>
                          <w:ind w:left="22"/>
                          <w:rPr>
                            <w:sz w:val="16"/>
                          </w:rPr>
                        </w:pPr>
                        <w:r>
                          <w:rPr>
                            <w:color w:val="231F20"/>
                            <w:w w:val="80"/>
                            <w:sz w:val="16"/>
                          </w:rPr>
                          <w:t>Conduct review meeting</w:t>
                        </w:r>
                      </w:p>
                    </w:tc>
                  </w:tr>
                  <w:tr w:rsidR="00080B77" w14:paraId="4E0E1B2F" w14:textId="77777777">
                    <w:trPr>
                      <w:trHeight w:val="971"/>
                    </w:trPr>
                    <w:tc>
                      <w:tcPr>
                        <w:tcW w:w="584" w:type="dxa"/>
                        <w:gridSpan w:val="2"/>
                        <w:tcBorders>
                          <w:top w:val="nil"/>
                          <w:left w:val="single" w:sz="6" w:space="0" w:color="231F20"/>
                          <w:bottom w:val="nil"/>
                          <w:right w:val="single" w:sz="6" w:space="0" w:color="231F20"/>
                        </w:tcBorders>
                      </w:tcPr>
                      <w:p w14:paraId="48277A14" w14:textId="77777777" w:rsidR="00080B77" w:rsidRDefault="00080B77">
                        <w:pPr>
                          <w:pStyle w:val="TableParagraph"/>
                          <w:rPr>
                            <w:rFonts w:ascii="Times New Roman"/>
                            <w:sz w:val="10"/>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2D831FF1" w14:textId="77777777" w:rsidR="00080B77" w:rsidRDefault="00080B77">
                        <w:pPr>
                          <w:pStyle w:val="TableParagraph"/>
                          <w:rPr>
                            <w:sz w:val="16"/>
                          </w:rPr>
                        </w:pPr>
                      </w:p>
                      <w:p w14:paraId="1A6D2FC1" w14:textId="77777777" w:rsidR="00080B77" w:rsidRDefault="00080B77">
                        <w:pPr>
                          <w:pStyle w:val="TableParagraph"/>
                          <w:spacing w:before="2"/>
                          <w:rPr>
                            <w:sz w:val="18"/>
                          </w:rPr>
                        </w:pPr>
                      </w:p>
                      <w:p w14:paraId="69CDB25D" w14:textId="77777777" w:rsidR="00080B77" w:rsidRDefault="00080B77">
                        <w:pPr>
                          <w:pStyle w:val="TableParagraph"/>
                          <w:ind w:left="55"/>
                          <w:rPr>
                            <w:sz w:val="16"/>
                          </w:rPr>
                        </w:pPr>
                        <w:r>
                          <w:rPr>
                            <w:color w:val="231F20"/>
                            <w:w w:val="85"/>
                            <w:sz w:val="16"/>
                          </w:rPr>
                          <w:t>7.2.3</w:t>
                        </w:r>
                      </w:p>
                    </w:tc>
                    <w:tc>
                      <w:tcPr>
                        <w:tcW w:w="3031" w:type="dxa"/>
                        <w:gridSpan w:val="2"/>
                        <w:tcBorders>
                          <w:top w:val="single" w:sz="6" w:space="0" w:color="231F20"/>
                          <w:left w:val="single" w:sz="6" w:space="0" w:color="231F20"/>
                          <w:bottom w:val="single" w:sz="6" w:space="0" w:color="231F20"/>
                          <w:right w:val="single" w:sz="6" w:space="0" w:color="231F20"/>
                        </w:tcBorders>
                        <w:shd w:val="clear" w:color="auto" w:fill="CCE7D3"/>
                      </w:tcPr>
                      <w:p w14:paraId="13407CEB" w14:textId="77777777" w:rsidR="00080B77" w:rsidRDefault="00080B77">
                        <w:pPr>
                          <w:pStyle w:val="TableParagraph"/>
                          <w:rPr>
                            <w:sz w:val="16"/>
                          </w:rPr>
                        </w:pPr>
                      </w:p>
                      <w:p w14:paraId="2C0502C3" w14:textId="77777777" w:rsidR="00080B77" w:rsidRDefault="00080B77">
                        <w:pPr>
                          <w:pStyle w:val="TableParagraph"/>
                          <w:spacing w:before="104" w:line="254" w:lineRule="auto"/>
                          <w:ind w:left="22" w:right="4" w:firstLine="32"/>
                          <w:rPr>
                            <w:sz w:val="16"/>
                          </w:rPr>
                        </w:pPr>
                        <w:r>
                          <w:rPr>
                            <w:color w:val="231F20"/>
                            <w:w w:val="75"/>
                            <w:sz w:val="16"/>
                          </w:rPr>
                          <w:t xml:space="preserve">Strengthen coordinated and integrated emergency </w:t>
                        </w:r>
                        <w:r>
                          <w:rPr>
                            <w:color w:val="231F20"/>
                            <w:w w:val="85"/>
                            <w:sz w:val="16"/>
                          </w:rPr>
                          <w:t>transport system (ETS)</w:t>
                        </w:r>
                      </w:p>
                    </w:tc>
                    <w:tc>
                      <w:tcPr>
                        <w:tcW w:w="2379" w:type="dxa"/>
                        <w:tcBorders>
                          <w:top w:val="single" w:sz="6" w:space="0" w:color="231F20"/>
                          <w:left w:val="single" w:sz="6" w:space="0" w:color="231F20"/>
                          <w:bottom w:val="single" w:sz="6" w:space="0" w:color="231F20"/>
                          <w:right w:val="single" w:sz="6" w:space="0" w:color="231F20"/>
                        </w:tcBorders>
                        <w:shd w:val="clear" w:color="auto" w:fill="CCE7D3"/>
                      </w:tcPr>
                      <w:p w14:paraId="5747BFF1" w14:textId="77777777" w:rsidR="00080B77" w:rsidRDefault="00080B77">
                        <w:pPr>
                          <w:pStyle w:val="TableParagraph"/>
                          <w:spacing w:before="2"/>
                          <w:rPr>
                            <w:sz w:val="17"/>
                          </w:rPr>
                        </w:pPr>
                      </w:p>
                      <w:p w14:paraId="769B56DD" w14:textId="77777777" w:rsidR="00080B77" w:rsidRDefault="00080B77">
                        <w:pPr>
                          <w:pStyle w:val="TableParagraph"/>
                          <w:numPr>
                            <w:ilvl w:val="0"/>
                            <w:numId w:val="113"/>
                          </w:numPr>
                          <w:tabs>
                            <w:tab w:val="left" w:pos="65"/>
                          </w:tabs>
                          <w:rPr>
                            <w:sz w:val="16"/>
                          </w:rPr>
                        </w:pPr>
                        <w:r>
                          <w:rPr>
                            <w:color w:val="231F20"/>
                            <w:w w:val="85"/>
                            <w:sz w:val="16"/>
                          </w:rPr>
                          <w:t>Ambulances</w:t>
                        </w:r>
                        <w:r>
                          <w:rPr>
                            <w:color w:val="231F20"/>
                            <w:spacing w:val="-11"/>
                            <w:w w:val="85"/>
                            <w:sz w:val="16"/>
                          </w:rPr>
                          <w:t xml:space="preserve"> </w:t>
                        </w:r>
                        <w:r>
                          <w:rPr>
                            <w:color w:val="231F20"/>
                            <w:w w:val="85"/>
                            <w:sz w:val="16"/>
                          </w:rPr>
                          <w:t>maintained</w:t>
                        </w:r>
                      </w:p>
                      <w:p w14:paraId="40606614" w14:textId="77777777" w:rsidR="00080B77" w:rsidRDefault="00080B77">
                        <w:pPr>
                          <w:pStyle w:val="TableParagraph"/>
                          <w:numPr>
                            <w:ilvl w:val="0"/>
                            <w:numId w:val="113"/>
                          </w:numPr>
                          <w:tabs>
                            <w:tab w:val="left" w:pos="97"/>
                          </w:tabs>
                          <w:spacing w:before="11"/>
                          <w:ind w:left="96" w:hanging="75"/>
                          <w:rPr>
                            <w:sz w:val="16"/>
                          </w:rPr>
                        </w:pPr>
                        <w:r>
                          <w:rPr>
                            <w:color w:val="231F20"/>
                            <w:w w:val="85"/>
                            <w:sz w:val="16"/>
                          </w:rPr>
                          <w:t>Emergency drugs</w:t>
                        </w:r>
                        <w:r>
                          <w:rPr>
                            <w:color w:val="231F20"/>
                            <w:spacing w:val="-26"/>
                            <w:w w:val="85"/>
                            <w:sz w:val="16"/>
                          </w:rPr>
                          <w:t xml:space="preserve"> </w:t>
                        </w:r>
                        <w:r>
                          <w:rPr>
                            <w:color w:val="231F20"/>
                            <w:w w:val="85"/>
                            <w:sz w:val="16"/>
                          </w:rPr>
                          <w:t>available</w:t>
                        </w:r>
                      </w:p>
                      <w:p w14:paraId="4D38E89A" w14:textId="77777777" w:rsidR="00080B77" w:rsidRDefault="00080B77">
                        <w:pPr>
                          <w:pStyle w:val="TableParagraph"/>
                          <w:spacing w:before="11"/>
                          <w:ind w:left="22"/>
                          <w:rPr>
                            <w:sz w:val="16"/>
                          </w:rPr>
                        </w:pPr>
                        <w:r>
                          <w:rPr>
                            <w:color w:val="231F20"/>
                            <w:w w:val="74"/>
                            <w:sz w:val="16"/>
                          </w:rPr>
                          <w:t>•</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1B4045E5" w14:textId="77777777" w:rsidR="00080B77" w:rsidRDefault="00080B77">
                        <w:pPr>
                          <w:pStyle w:val="TableParagraph"/>
                          <w:rPr>
                            <w:rFonts w:ascii="Times New Roman"/>
                            <w:sz w:val="10"/>
                          </w:rPr>
                        </w:pPr>
                      </w:p>
                    </w:tc>
                    <w:tc>
                      <w:tcPr>
                        <w:tcW w:w="1502" w:type="dxa"/>
                        <w:tcBorders>
                          <w:top w:val="single" w:sz="6" w:space="0" w:color="231F20"/>
                          <w:left w:val="single" w:sz="6" w:space="0" w:color="231F20"/>
                          <w:bottom w:val="single" w:sz="6" w:space="0" w:color="231F20"/>
                          <w:right w:val="single" w:sz="6" w:space="0" w:color="231F20"/>
                        </w:tcBorders>
                        <w:shd w:val="clear" w:color="auto" w:fill="CCE7D3"/>
                      </w:tcPr>
                      <w:p w14:paraId="0BC635E4" w14:textId="77777777" w:rsidR="00080B77" w:rsidRDefault="00080B77">
                        <w:pPr>
                          <w:pStyle w:val="TableParagraph"/>
                          <w:rPr>
                            <w:rFonts w:ascii="Times New Roman"/>
                            <w:sz w:val="10"/>
                          </w:rPr>
                        </w:pPr>
                      </w:p>
                    </w:tc>
                  </w:tr>
                  <w:tr w:rsidR="00080B77" w14:paraId="3B0DE3DC" w14:textId="77777777">
                    <w:trPr>
                      <w:trHeight w:val="798"/>
                    </w:trPr>
                    <w:tc>
                      <w:tcPr>
                        <w:tcW w:w="1038" w:type="dxa"/>
                        <w:gridSpan w:val="3"/>
                        <w:vMerge w:val="restart"/>
                        <w:tcBorders>
                          <w:top w:val="nil"/>
                          <w:left w:val="single" w:sz="6" w:space="0" w:color="231F20"/>
                          <w:bottom w:val="nil"/>
                          <w:right w:val="single" w:sz="6" w:space="0" w:color="231F20"/>
                        </w:tcBorders>
                      </w:tcPr>
                      <w:p w14:paraId="0E35AC20" w14:textId="77777777" w:rsidR="00080B77" w:rsidRDefault="00080B77">
                        <w:pPr>
                          <w:pStyle w:val="TableParagraph"/>
                          <w:rPr>
                            <w:rFonts w:ascii="Times New Roman"/>
                            <w:sz w:val="10"/>
                          </w:rPr>
                        </w:pPr>
                      </w:p>
                    </w:tc>
                    <w:tc>
                      <w:tcPr>
                        <w:tcW w:w="525" w:type="dxa"/>
                        <w:tcBorders>
                          <w:top w:val="single" w:sz="6" w:space="0" w:color="231F20"/>
                          <w:left w:val="single" w:sz="6" w:space="0" w:color="231F20"/>
                          <w:bottom w:val="single" w:sz="6" w:space="0" w:color="231F20"/>
                          <w:right w:val="single" w:sz="6" w:space="0" w:color="231F20"/>
                        </w:tcBorders>
                      </w:tcPr>
                      <w:p w14:paraId="3C18F721" w14:textId="77777777" w:rsidR="00080B77" w:rsidRDefault="00080B77">
                        <w:pPr>
                          <w:pStyle w:val="TableParagraph"/>
                          <w:rPr>
                            <w:sz w:val="16"/>
                          </w:rPr>
                        </w:pPr>
                      </w:p>
                      <w:p w14:paraId="24CD8CF9" w14:textId="77777777" w:rsidR="00080B77" w:rsidRDefault="00080B77">
                        <w:pPr>
                          <w:pStyle w:val="TableParagraph"/>
                          <w:spacing w:before="122"/>
                          <w:ind w:left="24" w:right="9"/>
                          <w:jc w:val="center"/>
                          <w:rPr>
                            <w:sz w:val="16"/>
                          </w:rPr>
                        </w:pPr>
                        <w:r>
                          <w:rPr>
                            <w:color w:val="231F20"/>
                            <w:w w:val="80"/>
                            <w:sz w:val="16"/>
                          </w:rPr>
                          <w:t>7.2.3.a</w:t>
                        </w:r>
                      </w:p>
                    </w:tc>
                    <w:tc>
                      <w:tcPr>
                        <w:tcW w:w="4885" w:type="dxa"/>
                        <w:gridSpan w:val="2"/>
                        <w:tcBorders>
                          <w:top w:val="single" w:sz="6" w:space="0" w:color="231F20"/>
                          <w:left w:val="single" w:sz="6" w:space="0" w:color="231F20"/>
                          <w:bottom w:val="single" w:sz="6" w:space="0" w:color="231F20"/>
                          <w:right w:val="single" w:sz="6" w:space="0" w:color="231F20"/>
                        </w:tcBorders>
                      </w:tcPr>
                      <w:p w14:paraId="7CA5FA14" w14:textId="77777777" w:rsidR="00080B77" w:rsidRDefault="00080B77">
                        <w:pPr>
                          <w:pStyle w:val="TableParagraph"/>
                          <w:rPr>
                            <w:sz w:val="16"/>
                          </w:rPr>
                        </w:pPr>
                      </w:p>
                      <w:p w14:paraId="0677D85D" w14:textId="3F75112F" w:rsidR="00080B77" w:rsidRDefault="00080B77">
                        <w:pPr>
                          <w:pStyle w:val="TableParagraph"/>
                          <w:spacing w:before="115"/>
                          <w:ind w:left="22"/>
                          <w:rPr>
                            <w:sz w:val="16"/>
                          </w:rPr>
                        </w:pPr>
                        <w:r>
                          <w:rPr>
                            <w:color w:val="231F20"/>
                            <w:w w:val="85"/>
                            <w:sz w:val="16"/>
                          </w:rPr>
                          <w:t>Evaluate the existing integrated transport system for emergencies and trauma</w:t>
                        </w:r>
                      </w:p>
                    </w:tc>
                    <w:tc>
                      <w:tcPr>
                        <w:tcW w:w="1424" w:type="dxa"/>
                        <w:tcBorders>
                          <w:top w:val="single" w:sz="6" w:space="0" w:color="231F20"/>
                          <w:left w:val="single" w:sz="6" w:space="0" w:color="231F20"/>
                          <w:bottom w:val="single" w:sz="6" w:space="0" w:color="231F20"/>
                          <w:right w:val="single" w:sz="6" w:space="0" w:color="231F20"/>
                        </w:tcBorders>
                      </w:tcPr>
                      <w:p w14:paraId="3EB42E71" w14:textId="77777777" w:rsidR="00080B77" w:rsidRDefault="00080B77">
                        <w:pPr>
                          <w:pStyle w:val="TableParagraph"/>
                          <w:rPr>
                            <w:sz w:val="16"/>
                          </w:rPr>
                        </w:pPr>
                      </w:p>
                      <w:p w14:paraId="216689E8" w14:textId="77777777" w:rsidR="00080B77" w:rsidRDefault="00080B77">
                        <w:pPr>
                          <w:pStyle w:val="TableParagraph"/>
                          <w:spacing w:before="122"/>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75C54F7C" w14:textId="77777777" w:rsidR="00080B77" w:rsidRDefault="00080B77">
                        <w:pPr>
                          <w:pStyle w:val="TableParagraph"/>
                          <w:rPr>
                            <w:sz w:val="16"/>
                          </w:rPr>
                        </w:pPr>
                      </w:p>
                      <w:p w14:paraId="2D874FD2" w14:textId="77777777" w:rsidR="00080B77" w:rsidRDefault="00080B77">
                        <w:pPr>
                          <w:pStyle w:val="TableParagraph"/>
                          <w:spacing w:before="122"/>
                          <w:ind w:left="22"/>
                          <w:rPr>
                            <w:sz w:val="16"/>
                          </w:rPr>
                        </w:pPr>
                        <w:r>
                          <w:rPr>
                            <w:color w:val="231F20"/>
                            <w:w w:val="85"/>
                            <w:sz w:val="16"/>
                          </w:rPr>
                          <w:t>Conduct meeting</w:t>
                        </w:r>
                      </w:p>
                    </w:tc>
                  </w:tr>
                  <w:tr w:rsidR="00080B77" w14:paraId="1697A214" w14:textId="77777777">
                    <w:trPr>
                      <w:trHeight w:val="578"/>
                    </w:trPr>
                    <w:tc>
                      <w:tcPr>
                        <w:tcW w:w="1038" w:type="dxa"/>
                        <w:gridSpan w:val="3"/>
                        <w:vMerge/>
                        <w:tcBorders>
                          <w:top w:val="nil"/>
                          <w:left w:val="single" w:sz="6" w:space="0" w:color="231F20"/>
                          <w:bottom w:val="nil"/>
                          <w:right w:val="single" w:sz="6" w:space="0" w:color="231F20"/>
                        </w:tcBorders>
                      </w:tcPr>
                      <w:p w14:paraId="1EEB4E15"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441F4954" w14:textId="77777777" w:rsidR="00080B77" w:rsidRDefault="00080B77">
                        <w:pPr>
                          <w:pStyle w:val="TableParagraph"/>
                          <w:spacing w:before="1"/>
                          <w:rPr>
                            <w:sz w:val="17"/>
                          </w:rPr>
                        </w:pPr>
                      </w:p>
                      <w:p w14:paraId="7F4D0336" w14:textId="77777777" w:rsidR="00080B77" w:rsidRDefault="00080B77">
                        <w:pPr>
                          <w:pStyle w:val="TableParagraph"/>
                          <w:ind w:left="24" w:right="9"/>
                          <w:jc w:val="center"/>
                          <w:rPr>
                            <w:sz w:val="16"/>
                          </w:rPr>
                        </w:pPr>
                        <w:r>
                          <w:rPr>
                            <w:color w:val="231F20"/>
                            <w:w w:val="80"/>
                            <w:sz w:val="16"/>
                          </w:rPr>
                          <w:t>7.2.3.b</w:t>
                        </w:r>
                      </w:p>
                    </w:tc>
                    <w:tc>
                      <w:tcPr>
                        <w:tcW w:w="4885" w:type="dxa"/>
                        <w:gridSpan w:val="2"/>
                        <w:tcBorders>
                          <w:top w:val="single" w:sz="6" w:space="0" w:color="231F20"/>
                          <w:left w:val="single" w:sz="6" w:space="0" w:color="231F20"/>
                          <w:bottom w:val="single" w:sz="6" w:space="0" w:color="231F20"/>
                          <w:right w:val="single" w:sz="6" w:space="0" w:color="231F20"/>
                        </w:tcBorders>
                      </w:tcPr>
                      <w:p w14:paraId="48813DCE" w14:textId="77777777" w:rsidR="00080B77" w:rsidRDefault="00080B77">
                        <w:pPr>
                          <w:pStyle w:val="TableParagraph"/>
                          <w:spacing w:before="92" w:line="254" w:lineRule="auto"/>
                          <w:ind w:left="22" w:right="58"/>
                          <w:rPr>
                            <w:sz w:val="16"/>
                          </w:rPr>
                        </w:pPr>
                        <w:r>
                          <w:rPr>
                            <w:color w:val="231F20"/>
                            <w:w w:val="75"/>
                            <w:sz w:val="16"/>
                          </w:rPr>
                          <w:t xml:space="preserve">Operating cost for engaging and supervising the contractor for maintenance of ambulance </w:t>
                        </w:r>
                        <w:r>
                          <w:rPr>
                            <w:color w:val="231F20"/>
                            <w:w w:val="85"/>
                            <w:sz w:val="16"/>
                          </w:rPr>
                          <w:t>and repairs</w:t>
                        </w:r>
                      </w:p>
                    </w:tc>
                    <w:tc>
                      <w:tcPr>
                        <w:tcW w:w="1424" w:type="dxa"/>
                        <w:tcBorders>
                          <w:top w:val="single" w:sz="6" w:space="0" w:color="231F20"/>
                          <w:left w:val="single" w:sz="6" w:space="0" w:color="231F20"/>
                          <w:bottom w:val="single" w:sz="6" w:space="0" w:color="231F20"/>
                          <w:right w:val="single" w:sz="6" w:space="0" w:color="231F20"/>
                        </w:tcBorders>
                      </w:tcPr>
                      <w:p w14:paraId="212CE62C" w14:textId="77777777" w:rsidR="00080B77" w:rsidRDefault="00080B77">
                        <w:pPr>
                          <w:pStyle w:val="TableParagraph"/>
                          <w:spacing w:before="1"/>
                          <w:rPr>
                            <w:sz w:val="17"/>
                          </w:rPr>
                        </w:pPr>
                      </w:p>
                      <w:p w14:paraId="5286F3C2" w14:textId="77777777" w:rsidR="00080B77" w:rsidRDefault="00080B77">
                        <w:pPr>
                          <w:pStyle w:val="TableParagraph"/>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1E424826" w14:textId="77777777" w:rsidR="00080B77" w:rsidRDefault="00080B77">
                        <w:pPr>
                          <w:pStyle w:val="TableParagraph"/>
                          <w:spacing w:before="1"/>
                          <w:rPr>
                            <w:sz w:val="17"/>
                          </w:rPr>
                        </w:pPr>
                      </w:p>
                      <w:p w14:paraId="6FD69824" w14:textId="77777777" w:rsidR="00080B77" w:rsidRDefault="00080B77">
                        <w:pPr>
                          <w:pStyle w:val="TableParagraph"/>
                          <w:ind w:left="22"/>
                          <w:rPr>
                            <w:sz w:val="16"/>
                          </w:rPr>
                        </w:pPr>
                        <w:r>
                          <w:rPr>
                            <w:color w:val="231F20"/>
                            <w:w w:val="85"/>
                            <w:sz w:val="16"/>
                          </w:rPr>
                          <w:t>Costed in OHT</w:t>
                        </w:r>
                      </w:p>
                    </w:tc>
                  </w:tr>
                  <w:tr w:rsidR="00080B77" w14:paraId="5D28D2A4" w14:textId="77777777">
                    <w:trPr>
                      <w:trHeight w:val="501"/>
                    </w:trPr>
                    <w:tc>
                      <w:tcPr>
                        <w:tcW w:w="1038" w:type="dxa"/>
                        <w:gridSpan w:val="3"/>
                        <w:vMerge/>
                        <w:tcBorders>
                          <w:top w:val="nil"/>
                          <w:left w:val="single" w:sz="6" w:space="0" w:color="231F20"/>
                          <w:bottom w:val="nil"/>
                          <w:right w:val="single" w:sz="6" w:space="0" w:color="231F20"/>
                        </w:tcBorders>
                      </w:tcPr>
                      <w:p w14:paraId="52319CA0"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54528B47" w14:textId="77777777" w:rsidR="00080B77" w:rsidRDefault="00080B77">
                        <w:pPr>
                          <w:pStyle w:val="TableParagraph"/>
                          <w:spacing w:before="7"/>
                          <w:rPr>
                            <w:sz w:val="13"/>
                          </w:rPr>
                        </w:pPr>
                      </w:p>
                      <w:p w14:paraId="7DB604DF" w14:textId="77777777" w:rsidR="00080B77" w:rsidRDefault="00080B77">
                        <w:pPr>
                          <w:pStyle w:val="TableParagraph"/>
                          <w:ind w:left="24" w:right="9"/>
                          <w:jc w:val="center"/>
                          <w:rPr>
                            <w:sz w:val="16"/>
                          </w:rPr>
                        </w:pPr>
                        <w:r>
                          <w:rPr>
                            <w:color w:val="231F20"/>
                            <w:w w:val="80"/>
                            <w:sz w:val="16"/>
                          </w:rPr>
                          <w:t>7.2.3.c</w:t>
                        </w:r>
                      </w:p>
                    </w:tc>
                    <w:tc>
                      <w:tcPr>
                        <w:tcW w:w="4885" w:type="dxa"/>
                        <w:gridSpan w:val="2"/>
                        <w:tcBorders>
                          <w:top w:val="single" w:sz="6" w:space="0" w:color="231F20"/>
                          <w:left w:val="single" w:sz="6" w:space="0" w:color="231F20"/>
                          <w:bottom w:val="single" w:sz="6" w:space="0" w:color="231F20"/>
                          <w:right w:val="single" w:sz="6" w:space="0" w:color="231F20"/>
                        </w:tcBorders>
                      </w:tcPr>
                      <w:p w14:paraId="4AE5D64C" w14:textId="77777777" w:rsidR="00080B77" w:rsidRDefault="00080B77">
                        <w:pPr>
                          <w:pStyle w:val="TableParagraph"/>
                          <w:spacing w:before="1"/>
                          <w:rPr>
                            <w:sz w:val="13"/>
                          </w:rPr>
                        </w:pPr>
                      </w:p>
                      <w:p w14:paraId="6E5B020A" w14:textId="53F87858" w:rsidR="00080B77" w:rsidRDefault="00080B77">
                        <w:pPr>
                          <w:pStyle w:val="TableParagraph"/>
                          <w:ind w:left="22"/>
                          <w:rPr>
                            <w:sz w:val="16"/>
                          </w:rPr>
                        </w:pPr>
                        <w:r>
                          <w:rPr>
                            <w:color w:val="231F20"/>
                            <w:w w:val="85"/>
                            <w:sz w:val="16"/>
                          </w:rPr>
                          <w:t>Procure drugs and consumables for the ambulance for three senatorial zones</w:t>
                        </w:r>
                      </w:p>
                    </w:tc>
                    <w:tc>
                      <w:tcPr>
                        <w:tcW w:w="1424" w:type="dxa"/>
                        <w:tcBorders>
                          <w:top w:val="single" w:sz="6" w:space="0" w:color="231F20"/>
                          <w:left w:val="single" w:sz="6" w:space="0" w:color="231F20"/>
                          <w:bottom w:val="single" w:sz="6" w:space="0" w:color="231F20"/>
                          <w:right w:val="single" w:sz="6" w:space="0" w:color="231F20"/>
                        </w:tcBorders>
                      </w:tcPr>
                      <w:p w14:paraId="346A3112" w14:textId="77777777" w:rsidR="00080B77" w:rsidRDefault="00080B77">
                        <w:pPr>
                          <w:pStyle w:val="TableParagraph"/>
                          <w:spacing w:before="7"/>
                          <w:rPr>
                            <w:sz w:val="13"/>
                          </w:rPr>
                        </w:pPr>
                      </w:p>
                      <w:p w14:paraId="68E947B1" w14:textId="77777777" w:rsidR="00080B77" w:rsidRDefault="00080B77">
                        <w:pPr>
                          <w:pStyle w:val="TableParagraph"/>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58704E6E" w14:textId="77777777" w:rsidR="00080B77" w:rsidRDefault="00080B77">
                        <w:pPr>
                          <w:pStyle w:val="TableParagraph"/>
                          <w:spacing w:before="7"/>
                          <w:rPr>
                            <w:sz w:val="13"/>
                          </w:rPr>
                        </w:pPr>
                      </w:p>
                      <w:p w14:paraId="677DB8D6" w14:textId="77777777" w:rsidR="00080B77" w:rsidRDefault="00080B77">
                        <w:pPr>
                          <w:pStyle w:val="TableParagraph"/>
                          <w:ind w:left="22"/>
                          <w:rPr>
                            <w:sz w:val="16"/>
                          </w:rPr>
                        </w:pPr>
                        <w:r>
                          <w:rPr>
                            <w:color w:val="231F20"/>
                            <w:w w:val="85"/>
                            <w:sz w:val="16"/>
                          </w:rPr>
                          <w:t>Costed in OHT</w:t>
                        </w:r>
                      </w:p>
                    </w:tc>
                  </w:tr>
                  <w:tr w:rsidR="00080B77" w14:paraId="63E0048E" w14:textId="77777777">
                    <w:trPr>
                      <w:trHeight w:val="837"/>
                    </w:trPr>
                    <w:tc>
                      <w:tcPr>
                        <w:tcW w:w="179" w:type="dxa"/>
                        <w:tcBorders>
                          <w:top w:val="nil"/>
                          <w:left w:val="single" w:sz="6" w:space="0" w:color="231F20"/>
                          <w:bottom w:val="nil"/>
                          <w:right w:val="single" w:sz="6" w:space="0" w:color="231F20"/>
                        </w:tcBorders>
                      </w:tcPr>
                      <w:p w14:paraId="0225C2CF" w14:textId="77777777" w:rsidR="00080B77" w:rsidRDefault="00080B77">
                        <w:pPr>
                          <w:pStyle w:val="TableParagraph"/>
                          <w:rPr>
                            <w:rFonts w:ascii="Times New Roman"/>
                            <w:sz w:val="10"/>
                          </w:rPr>
                        </w:pPr>
                      </w:p>
                    </w:tc>
                    <w:tc>
                      <w:tcPr>
                        <w:tcW w:w="405" w:type="dxa"/>
                        <w:tcBorders>
                          <w:top w:val="single" w:sz="6" w:space="0" w:color="231F20"/>
                          <w:left w:val="single" w:sz="6" w:space="0" w:color="231F20"/>
                          <w:bottom w:val="single" w:sz="6" w:space="0" w:color="231F20"/>
                          <w:right w:val="single" w:sz="6" w:space="0" w:color="231F20"/>
                        </w:tcBorders>
                        <w:shd w:val="clear" w:color="auto" w:fill="FFF200"/>
                      </w:tcPr>
                      <w:p w14:paraId="7DAF41E2" w14:textId="77777777" w:rsidR="00080B77" w:rsidRDefault="00080B77">
                        <w:pPr>
                          <w:pStyle w:val="TableParagraph"/>
                          <w:rPr>
                            <w:sz w:val="16"/>
                          </w:rPr>
                        </w:pPr>
                      </w:p>
                      <w:p w14:paraId="477F6E45" w14:textId="77777777" w:rsidR="00080B77" w:rsidRDefault="00080B77">
                        <w:pPr>
                          <w:pStyle w:val="TableParagraph"/>
                          <w:spacing w:before="6"/>
                          <w:rPr>
                            <w:sz w:val="12"/>
                          </w:rPr>
                        </w:pPr>
                      </w:p>
                      <w:p w14:paraId="7EB61E83" w14:textId="77777777" w:rsidR="00080B77" w:rsidRDefault="00080B77">
                        <w:pPr>
                          <w:pStyle w:val="TableParagraph"/>
                          <w:ind w:right="36"/>
                          <w:jc w:val="right"/>
                          <w:rPr>
                            <w:b/>
                            <w:sz w:val="16"/>
                          </w:rPr>
                        </w:pPr>
                        <w:r>
                          <w:rPr>
                            <w:b/>
                            <w:color w:val="231F20"/>
                            <w:w w:val="70"/>
                            <w:sz w:val="16"/>
                          </w:rPr>
                          <w:t>7.3</w:t>
                        </w:r>
                      </w:p>
                    </w:tc>
                    <w:tc>
                      <w:tcPr>
                        <w:tcW w:w="5864" w:type="dxa"/>
                        <w:gridSpan w:val="4"/>
                        <w:tcBorders>
                          <w:top w:val="single" w:sz="6" w:space="0" w:color="231F20"/>
                          <w:left w:val="single" w:sz="6" w:space="0" w:color="231F20"/>
                          <w:bottom w:val="single" w:sz="6" w:space="0" w:color="231F20"/>
                        </w:tcBorders>
                        <w:shd w:val="clear" w:color="auto" w:fill="FFF200"/>
                      </w:tcPr>
                      <w:p w14:paraId="2BBD7270" w14:textId="77777777" w:rsidR="00080B77" w:rsidRDefault="00080B77">
                        <w:pPr>
                          <w:pStyle w:val="TableParagraph"/>
                          <w:spacing w:before="3"/>
                          <w:rPr>
                            <w:sz w:val="19"/>
                          </w:rPr>
                        </w:pPr>
                      </w:p>
                      <w:p w14:paraId="1DDC0D6E" w14:textId="77777777" w:rsidR="00080B77" w:rsidRDefault="00080B77">
                        <w:pPr>
                          <w:pStyle w:val="TableParagraph"/>
                          <w:spacing w:line="259" w:lineRule="auto"/>
                          <w:ind w:left="22" w:firstLine="32"/>
                          <w:rPr>
                            <w:b/>
                            <w:sz w:val="16"/>
                          </w:rPr>
                        </w:pPr>
                        <w:r>
                          <w:rPr>
                            <w:b/>
                            <w:color w:val="231F20"/>
                            <w:w w:val="75"/>
                            <w:sz w:val="16"/>
                          </w:rPr>
                          <w:t xml:space="preserve">Improve provision, access, quality and responsiveness of Ambulatory (outpatient) Services at all </w:t>
                        </w:r>
                        <w:r>
                          <w:rPr>
                            <w:b/>
                            <w:color w:val="231F20"/>
                            <w:w w:val="85"/>
                            <w:sz w:val="16"/>
                          </w:rPr>
                          <w:t>levels of health care</w:t>
                        </w:r>
                      </w:p>
                    </w:tc>
                    <w:tc>
                      <w:tcPr>
                        <w:tcW w:w="2926" w:type="dxa"/>
                        <w:gridSpan w:val="2"/>
                        <w:tcBorders>
                          <w:top w:val="single" w:sz="6" w:space="0" w:color="231F20"/>
                          <w:bottom w:val="single" w:sz="6" w:space="0" w:color="231F20"/>
                          <w:right w:val="single" w:sz="6" w:space="0" w:color="231F20"/>
                        </w:tcBorders>
                        <w:shd w:val="clear" w:color="auto" w:fill="FFF200"/>
                      </w:tcPr>
                      <w:p w14:paraId="1DFBE72A" w14:textId="77777777" w:rsidR="00080B77" w:rsidRDefault="00080B77">
                        <w:pPr>
                          <w:pStyle w:val="TableParagraph"/>
                          <w:rPr>
                            <w:rFonts w:ascii="Times New Roman"/>
                            <w:sz w:val="10"/>
                          </w:rPr>
                        </w:pPr>
                      </w:p>
                    </w:tc>
                  </w:tr>
                  <w:tr w:rsidR="00080B77" w14:paraId="3EAF07AC" w14:textId="77777777">
                    <w:trPr>
                      <w:trHeight w:val="673"/>
                    </w:trPr>
                    <w:tc>
                      <w:tcPr>
                        <w:tcW w:w="584" w:type="dxa"/>
                        <w:gridSpan w:val="2"/>
                        <w:tcBorders>
                          <w:top w:val="nil"/>
                          <w:left w:val="single" w:sz="6" w:space="0" w:color="231F20"/>
                          <w:bottom w:val="nil"/>
                          <w:right w:val="single" w:sz="6" w:space="0" w:color="231F20"/>
                        </w:tcBorders>
                      </w:tcPr>
                      <w:p w14:paraId="241BB4AC" w14:textId="77777777" w:rsidR="00080B77" w:rsidRDefault="00080B77">
                        <w:pPr>
                          <w:pStyle w:val="TableParagraph"/>
                          <w:rPr>
                            <w:rFonts w:ascii="Times New Roman"/>
                            <w:sz w:val="10"/>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55EEF257" w14:textId="77777777" w:rsidR="00080B77" w:rsidRDefault="00080B77">
                        <w:pPr>
                          <w:pStyle w:val="TableParagraph"/>
                          <w:spacing w:before="2"/>
                          <w:rPr>
                            <w:sz w:val="21"/>
                          </w:rPr>
                        </w:pPr>
                      </w:p>
                      <w:p w14:paraId="4AD3D4DD" w14:textId="77777777" w:rsidR="00080B77" w:rsidRDefault="00080B77">
                        <w:pPr>
                          <w:pStyle w:val="TableParagraph"/>
                          <w:ind w:left="55"/>
                          <w:rPr>
                            <w:sz w:val="16"/>
                          </w:rPr>
                        </w:pPr>
                        <w:r>
                          <w:rPr>
                            <w:color w:val="231F20"/>
                            <w:w w:val="85"/>
                            <w:sz w:val="16"/>
                          </w:rPr>
                          <w:t>7.3.1</w:t>
                        </w:r>
                      </w:p>
                    </w:tc>
                    <w:tc>
                      <w:tcPr>
                        <w:tcW w:w="3031" w:type="dxa"/>
                        <w:gridSpan w:val="2"/>
                        <w:tcBorders>
                          <w:top w:val="single" w:sz="6" w:space="0" w:color="231F20"/>
                          <w:left w:val="single" w:sz="6" w:space="0" w:color="231F20"/>
                          <w:bottom w:val="single" w:sz="6" w:space="0" w:color="231F20"/>
                          <w:right w:val="single" w:sz="6" w:space="0" w:color="231F20"/>
                        </w:tcBorders>
                        <w:shd w:val="clear" w:color="auto" w:fill="CCE7D3"/>
                      </w:tcPr>
                      <w:p w14:paraId="3B99F349" w14:textId="77777777" w:rsidR="00080B77" w:rsidRDefault="00080B77">
                        <w:pPr>
                          <w:pStyle w:val="TableParagraph"/>
                          <w:spacing w:before="139" w:line="254" w:lineRule="auto"/>
                          <w:ind w:left="22" w:right="4" w:firstLine="32"/>
                          <w:rPr>
                            <w:sz w:val="16"/>
                          </w:rPr>
                        </w:pPr>
                        <w:r>
                          <w:rPr>
                            <w:color w:val="231F20"/>
                            <w:w w:val="75"/>
                            <w:sz w:val="16"/>
                          </w:rPr>
                          <w:t xml:space="preserve">Promote the development of practice standards and </w:t>
                        </w:r>
                        <w:r>
                          <w:rPr>
                            <w:color w:val="231F20"/>
                            <w:w w:val="85"/>
                            <w:sz w:val="16"/>
                          </w:rPr>
                          <w:t>guidelines for ambulatory services</w:t>
                        </w:r>
                      </w:p>
                    </w:tc>
                    <w:tc>
                      <w:tcPr>
                        <w:tcW w:w="2379" w:type="dxa"/>
                        <w:tcBorders>
                          <w:top w:val="single" w:sz="6" w:space="0" w:color="231F20"/>
                          <w:left w:val="single" w:sz="6" w:space="0" w:color="231F20"/>
                          <w:bottom w:val="single" w:sz="6" w:space="0" w:color="231F20"/>
                          <w:right w:val="single" w:sz="6" w:space="0" w:color="231F20"/>
                        </w:tcBorders>
                        <w:shd w:val="clear" w:color="auto" w:fill="CCE7D3"/>
                      </w:tcPr>
                      <w:p w14:paraId="1C16F88F" w14:textId="77777777" w:rsidR="00080B77" w:rsidRDefault="00080B77">
                        <w:pPr>
                          <w:pStyle w:val="TableParagraph"/>
                          <w:numPr>
                            <w:ilvl w:val="0"/>
                            <w:numId w:val="112"/>
                          </w:numPr>
                          <w:tabs>
                            <w:tab w:val="left" w:pos="97"/>
                          </w:tabs>
                          <w:spacing w:line="254" w:lineRule="auto"/>
                          <w:ind w:right="448" w:firstLine="0"/>
                          <w:rPr>
                            <w:sz w:val="16"/>
                          </w:rPr>
                        </w:pPr>
                        <w:r>
                          <w:rPr>
                            <w:color w:val="231F20"/>
                            <w:w w:val="75"/>
                            <w:sz w:val="16"/>
                          </w:rPr>
                          <w:t>Guidelines</w:t>
                        </w:r>
                        <w:r>
                          <w:rPr>
                            <w:color w:val="231F20"/>
                            <w:spacing w:val="-12"/>
                            <w:w w:val="75"/>
                            <w:sz w:val="16"/>
                          </w:rPr>
                          <w:t xml:space="preserve"> </w:t>
                        </w:r>
                        <w:r>
                          <w:rPr>
                            <w:color w:val="231F20"/>
                            <w:w w:val="75"/>
                            <w:sz w:val="16"/>
                          </w:rPr>
                          <w:t>for</w:t>
                        </w:r>
                        <w:r>
                          <w:rPr>
                            <w:color w:val="231F20"/>
                            <w:spacing w:val="-11"/>
                            <w:w w:val="75"/>
                            <w:sz w:val="16"/>
                          </w:rPr>
                          <w:t xml:space="preserve"> </w:t>
                        </w:r>
                        <w:r>
                          <w:rPr>
                            <w:color w:val="231F20"/>
                            <w:w w:val="75"/>
                            <w:sz w:val="16"/>
                          </w:rPr>
                          <w:t>ambulatory</w:t>
                        </w:r>
                        <w:r>
                          <w:rPr>
                            <w:color w:val="231F20"/>
                            <w:spacing w:val="-12"/>
                            <w:w w:val="75"/>
                            <w:sz w:val="16"/>
                          </w:rPr>
                          <w:t xml:space="preserve"> </w:t>
                        </w:r>
                        <w:r>
                          <w:rPr>
                            <w:color w:val="231F20"/>
                            <w:w w:val="75"/>
                            <w:sz w:val="16"/>
                          </w:rPr>
                          <w:t xml:space="preserve">services </w:t>
                        </w:r>
                        <w:r>
                          <w:rPr>
                            <w:color w:val="231F20"/>
                            <w:w w:val="85"/>
                            <w:sz w:val="16"/>
                          </w:rPr>
                          <w:t>available</w:t>
                        </w:r>
                      </w:p>
                      <w:p w14:paraId="384A52E7" w14:textId="77777777" w:rsidR="00080B77" w:rsidRDefault="00080B77">
                        <w:pPr>
                          <w:pStyle w:val="TableParagraph"/>
                          <w:numPr>
                            <w:ilvl w:val="0"/>
                            <w:numId w:val="112"/>
                          </w:numPr>
                          <w:tabs>
                            <w:tab w:val="left" w:pos="123"/>
                          </w:tabs>
                          <w:spacing w:line="183" w:lineRule="exact"/>
                          <w:ind w:left="122" w:hanging="101"/>
                          <w:rPr>
                            <w:sz w:val="16"/>
                          </w:rPr>
                        </w:pPr>
                        <w:r>
                          <w:rPr>
                            <w:color w:val="231F20"/>
                            <w:w w:val="85"/>
                            <w:sz w:val="16"/>
                          </w:rPr>
                          <w:t>At</w:t>
                        </w:r>
                        <w:r>
                          <w:rPr>
                            <w:color w:val="231F20"/>
                            <w:spacing w:val="-26"/>
                            <w:w w:val="85"/>
                            <w:sz w:val="16"/>
                          </w:rPr>
                          <w:t xml:space="preserve"> </w:t>
                        </w:r>
                        <w:r>
                          <w:rPr>
                            <w:color w:val="231F20"/>
                            <w:w w:val="85"/>
                            <w:sz w:val="16"/>
                          </w:rPr>
                          <w:t>least</w:t>
                        </w:r>
                        <w:r>
                          <w:rPr>
                            <w:color w:val="231F20"/>
                            <w:spacing w:val="-26"/>
                            <w:w w:val="85"/>
                            <w:sz w:val="16"/>
                          </w:rPr>
                          <w:t xml:space="preserve"> </w:t>
                        </w:r>
                        <w:r>
                          <w:rPr>
                            <w:color w:val="231F20"/>
                            <w:w w:val="85"/>
                            <w:sz w:val="16"/>
                          </w:rPr>
                          <w:t>407</w:t>
                        </w:r>
                        <w:r>
                          <w:rPr>
                            <w:color w:val="231F20"/>
                            <w:spacing w:val="-26"/>
                            <w:w w:val="85"/>
                            <w:sz w:val="16"/>
                          </w:rPr>
                          <w:t xml:space="preserve"> </w:t>
                        </w:r>
                        <w:r>
                          <w:rPr>
                            <w:color w:val="231F20"/>
                            <w:w w:val="85"/>
                            <w:sz w:val="16"/>
                          </w:rPr>
                          <w:t>staff</w:t>
                        </w:r>
                        <w:r>
                          <w:rPr>
                            <w:color w:val="231F20"/>
                            <w:spacing w:val="-25"/>
                            <w:w w:val="85"/>
                            <w:sz w:val="16"/>
                          </w:rPr>
                          <w:t xml:space="preserve"> </w:t>
                        </w:r>
                        <w:r>
                          <w:rPr>
                            <w:color w:val="231F20"/>
                            <w:w w:val="85"/>
                            <w:sz w:val="16"/>
                          </w:rPr>
                          <w:t>trained</w:t>
                        </w:r>
                        <w:r>
                          <w:rPr>
                            <w:color w:val="231F20"/>
                            <w:spacing w:val="-26"/>
                            <w:w w:val="85"/>
                            <w:sz w:val="16"/>
                          </w:rPr>
                          <w:t xml:space="preserve"> </w:t>
                        </w:r>
                        <w:r>
                          <w:rPr>
                            <w:color w:val="231F20"/>
                            <w:w w:val="85"/>
                            <w:sz w:val="16"/>
                          </w:rPr>
                          <w:t>on</w:t>
                        </w:r>
                        <w:r>
                          <w:rPr>
                            <w:color w:val="231F20"/>
                            <w:spacing w:val="-26"/>
                            <w:w w:val="85"/>
                            <w:sz w:val="16"/>
                          </w:rPr>
                          <w:t xml:space="preserve"> </w:t>
                        </w:r>
                        <w:r>
                          <w:rPr>
                            <w:color w:val="231F20"/>
                            <w:w w:val="85"/>
                            <w:sz w:val="16"/>
                          </w:rPr>
                          <w:t>guidelines</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165B304D" w14:textId="77777777" w:rsidR="00080B77" w:rsidRDefault="00080B77">
                        <w:pPr>
                          <w:pStyle w:val="TableParagraph"/>
                          <w:rPr>
                            <w:rFonts w:ascii="Times New Roman"/>
                            <w:sz w:val="10"/>
                          </w:rPr>
                        </w:pPr>
                      </w:p>
                    </w:tc>
                    <w:tc>
                      <w:tcPr>
                        <w:tcW w:w="1502" w:type="dxa"/>
                        <w:tcBorders>
                          <w:top w:val="single" w:sz="6" w:space="0" w:color="231F20"/>
                          <w:left w:val="single" w:sz="6" w:space="0" w:color="231F20"/>
                          <w:bottom w:val="single" w:sz="6" w:space="0" w:color="231F20"/>
                          <w:right w:val="single" w:sz="6" w:space="0" w:color="231F20"/>
                        </w:tcBorders>
                        <w:shd w:val="clear" w:color="auto" w:fill="CCE7D3"/>
                      </w:tcPr>
                      <w:p w14:paraId="4358BF48" w14:textId="77777777" w:rsidR="00080B77" w:rsidRDefault="00080B77">
                        <w:pPr>
                          <w:pStyle w:val="TableParagraph"/>
                          <w:rPr>
                            <w:rFonts w:ascii="Times New Roman"/>
                            <w:sz w:val="10"/>
                          </w:rPr>
                        </w:pPr>
                      </w:p>
                    </w:tc>
                  </w:tr>
                  <w:tr w:rsidR="00080B77" w14:paraId="2ACFA88A" w14:textId="77777777">
                    <w:trPr>
                      <w:trHeight w:val="377"/>
                    </w:trPr>
                    <w:tc>
                      <w:tcPr>
                        <w:tcW w:w="1038" w:type="dxa"/>
                        <w:gridSpan w:val="3"/>
                        <w:vMerge w:val="restart"/>
                        <w:tcBorders>
                          <w:top w:val="nil"/>
                          <w:left w:val="single" w:sz="6" w:space="0" w:color="231F20"/>
                          <w:bottom w:val="nil"/>
                          <w:right w:val="single" w:sz="6" w:space="0" w:color="231F20"/>
                        </w:tcBorders>
                      </w:tcPr>
                      <w:p w14:paraId="5BC61525" w14:textId="77777777" w:rsidR="00080B77" w:rsidRDefault="00080B77">
                        <w:pPr>
                          <w:pStyle w:val="TableParagraph"/>
                          <w:rPr>
                            <w:rFonts w:ascii="Times New Roman"/>
                            <w:sz w:val="10"/>
                          </w:rPr>
                        </w:pPr>
                      </w:p>
                    </w:tc>
                    <w:tc>
                      <w:tcPr>
                        <w:tcW w:w="525" w:type="dxa"/>
                        <w:tcBorders>
                          <w:top w:val="single" w:sz="6" w:space="0" w:color="231F20"/>
                          <w:left w:val="single" w:sz="6" w:space="0" w:color="231F20"/>
                          <w:bottom w:val="single" w:sz="6" w:space="0" w:color="231F20"/>
                          <w:right w:val="single" w:sz="6" w:space="0" w:color="231F20"/>
                        </w:tcBorders>
                      </w:tcPr>
                      <w:p w14:paraId="5926071A" w14:textId="77777777" w:rsidR="00080B77" w:rsidRDefault="00080B77">
                        <w:pPr>
                          <w:pStyle w:val="TableParagraph"/>
                          <w:spacing w:before="95"/>
                          <w:ind w:left="24" w:right="9"/>
                          <w:jc w:val="center"/>
                          <w:rPr>
                            <w:sz w:val="16"/>
                          </w:rPr>
                        </w:pPr>
                        <w:r>
                          <w:rPr>
                            <w:color w:val="231F20"/>
                            <w:w w:val="80"/>
                            <w:sz w:val="16"/>
                          </w:rPr>
                          <w:t>7.3.1.a</w:t>
                        </w:r>
                      </w:p>
                    </w:tc>
                    <w:tc>
                      <w:tcPr>
                        <w:tcW w:w="4885" w:type="dxa"/>
                        <w:gridSpan w:val="2"/>
                        <w:tcBorders>
                          <w:top w:val="single" w:sz="6" w:space="0" w:color="231F20"/>
                          <w:left w:val="single" w:sz="6" w:space="0" w:color="231F20"/>
                          <w:bottom w:val="single" w:sz="6" w:space="0" w:color="231F20"/>
                          <w:right w:val="single" w:sz="6" w:space="0" w:color="231F20"/>
                        </w:tcBorders>
                      </w:tcPr>
                      <w:p w14:paraId="22EB6868" w14:textId="77777777" w:rsidR="00080B77" w:rsidRDefault="00080B77">
                        <w:pPr>
                          <w:pStyle w:val="TableParagraph"/>
                          <w:spacing w:before="89"/>
                          <w:ind w:left="22"/>
                          <w:rPr>
                            <w:sz w:val="16"/>
                          </w:rPr>
                        </w:pPr>
                        <w:r>
                          <w:rPr>
                            <w:color w:val="231F20"/>
                            <w:w w:val="85"/>
                            <w:sz w:val="16"/>
                          </w:rPr>
                          <w:t>Revive Joint Consultative Committee on Referral (JCCR)</w:t>
                        </w:r>
                      </w:p>
                    </w:tc>
                    <w:tc>
                      <w:tcPr>
                        <w:tcW w:w="1424" w:type="dxa"/>
                        <w:tcBorders>
                          <w:top w:val="single" w:sz="6" w:space="0" w:color="231F20"/>
                          <w:left w:val="single" w:sz="6" w:space="0" w:color="231F20"/>
                          <w:bottom w:val="single" w:sz="6" w:space="0" w:color="231F20"/>
                          <w:right w:val="single" w:sz="6" w:space="0" w:color="231F20"/>
                        </w:tcBorders>
                      </w:tcPr>
                      <w:p w14:paraId="3C113034" w14:textId="77777777" w:rsidR="00080B77" w:rsidRDefault="00080B77">
                        <w:pPr>
                          <w:pStyle w:val="TableParagraph"/>
                          <w:spacing w:before="95"/>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7A730D3C" w14:textId="77777777" w:rsidR="00080B77" w:rsidRDefault="00080B77">
                        <w:pPr>
                          <w:pStyle w:val="TableParagraph"/>
                          <w:spacing w:before="95"/>
                          <w:ind w:left="22"/>
                          <w:rPr>
                            <w:sz w:val="16"/>
                          </w:rPr>
                        </w:pPr>
                        <w:r>
                          <w:rPr>
                            <w:color w:val="231F20"/>
                            <w:w w:val="75"/>
                            <w:sz w:val="16"/>
                          </w:rPr>
                          <w:t>Conduct quarterly meeting</w:t>
                        </w:r>
                      </w:p>
                    </w:tc>
                  </w:tr>
                  <w:tr w:rsidR="00080B77" w14:paraId="7E8C2FA6" w14:textId="77777777">
                    <w:trPr>
                      <w:trHeight w:val="363"/>
                    </w:trPr>
                    <w:tc>
                      <w:tcPr>
                        <w:tcW w:w="1038" w:type="dxa"/>
                        <w:gridSpan w:val="3"/>
                        <w:vMerge/>
                        <w:tcBorders>
                          <w:top w:val="nil"/>
                          <w:left w:val="single" w:sz="6" w:space="0" w:color="231F20"/>
                          <w:bottom w:val="nil"/>
                          <w:right w:val="single" w:sz="6" w:space="0" w:color="231F20"/>
                        </w:tcBorders>
                      </w:tcPr>
                      <w:p w14:paraId="7B8185C7"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32F626B8" w14:textId="77777777" w:rsidR="00080B77" w:rsidRDefault="00080B77">
                        <w:pPr>
                          <w:pStyle w:val="TableParagraph"/>
                          <w:spacing w:before="89"/>
                          <w:ind w:left="24" w:right="9"/>
                          <w:jc w:val="center"/>
                          <w:rPr>
                            <w:sz w:val="16"/>
                          </w:rPr>
                        </w:pPr>
                        <w:r>
                          <w:rPr>
                            <w:color w:val="231F20"/>
                            <w:w w:val="80"/>
                            <w:sz w:val="16"/>
                          </w:rPr>
                          <w:t>7.3.1.b</w:t>
                        </w:r>
                      </w:p>
                    </w:tc>
                    <w:tc>
                      <w:tcPr>
                        <w:tcW w:w="4885" w:type="dxa"/>
                        <w:gridSpan w:val="2"/>
                        <w:tcBorders>
                          <w:top w:val="single" w:sz="6" w:space="0" w:color="231F20"/>
                          <w:left w:val="single" w:sz="6" w:space="0" w:color="231F20"/>
                          <w:bottom w:val="single" w:sz="6" w:space="0" w:color="231F20"/>
                          <w:right w:val="single" w:sz="6" w:space="0" w:color="231F20"/>
                        </w:tcBorders>
                      </w:tcPr>
                      <w:p w14:paraId="28382B66" w14:textId="77777777" w:rsidR="00080B77" w:rsidRDefault="00080B77">
                        <w:pPr>
                          <w:pStyle w:val="TableParagraph"/>
                          <w:spacing w:before="82"/>
                          <w:ind w:left="22"/>
                          <w:rPr>
                            <w:sz w:val="16"/>
                          </w:rPr>
                        </w:pPr>
                        <w:r>
                          <w:rPr>
                            <w:color w:val="231F20"/>
                            <w:w w:val="85"/>
                            <w:sz w:val="16"/>
                          </w:rPr>
                          <w:t>Develop guidelines for ambulatory services by the JCCR</w:t>
                        </w:r>
                      </w:p>
                    </w:tc>
                    <w:tc>
                      <w:tcPr>
                        <w:tcW w:w="1424" w:type="dxa"/>
                        <w:tcBorders>
                          <w:top w:val="single" w:sz="6" w:space="0" w:color="231F20"/>
                          <w:left w:val="single" w:sz="6" w:space="0" w:color="231F20"/>
                          <w:bottom w:val="single" w:sz="6" w:space="0" w:color="231F20"/>
                          <w:right w:val="single" w:sz="6" w:space="0" w:color="231F20"/>
                        </w:tcBorders>
                      </w:tcPr>
                      <w:p w14:paraId="0DE5B7A2" w14:textId="77777777" w:rsidR="00080B77" w:rsidRDefault="00080B77">
                        <w:pPr>
                          <w:pStyle w:val="TableParagraph"/>
                          <w:spacing w:before="89"/>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40C27195" w14:textId="77777777" w:rsidR="00080B77" w:rsidRDefault="00080B77">
                        <w:pPr>
                          <w:pStyle w:val="TableParagraph"/>
                          <w:spacing w:before="89"/>
                          <w:ind w:left="22"/>
                          <w:rPr>
                            <w:sz w:val="16"/>
                          </w:rPr>
                        </w:pPr>
                        <w:r>
                          <w:rPr>
                            <w:color w:val="231F20"/>
                            <w:w w:val="85"/>
                            <w:sz w:val="16"/>
                          </w:rPr>
                          <w:t>Develop guidelines</w:t>
                        </w:r>
                      </w:p>
                    </w:tc>
                  </w:tr>
                  <w:tr w:rsidR="00080B77" w14:paraId="27A9CA83" w14:textId="77777777">
                    <w:trPr>
                      <w:trHeight w:val="382"/>
                    </w:trPr>
                    <w:tc>
                      <w:tcPr>
                        <w:tcW w:w="1038" w:type="dxa"/>
                        <w:gridSpan w:val="3"/>
                        <w:vMerge/>
                        <w:tcBorders>
                          <w:top w:val="nil"/>
                          <w:left w:val="single" w:sz="6" w:space="0" w:color="231F20"/>
                          <w:bottom w:val="nil"/>
                          <w:right w:val="single" w:sz="6" w:space="0" w:color="231F20"/>
                        </w:tcBorders>
                      </w:tcPr>
                      <w:p w14:paraId="630D014B"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04F77C2E" w14:textId="77777777" w:rsidR="00080B77" w:rsidRDefault="00080B77">
                        <w:pPr>
                          <w:pStyle w:val="TableParagraph"/>
                          <w:spacing w:before="98"/>
                          <w:ind w:left="24" w:right="9"/>
                          <w:jc w:val="center"/>
                          <w:rPr>
                            <w:sz w:val="16"/>
                          </w:rPr>
                        </w:pPr>
                        <w:r>
                          <w:rPr>
                            <w:color w:val="231F20"/>
                            <w:w w:val="80"/>
                            <w:sz w:val="16"/>
                          </w:rPr>
                          <w:t>7.3.1.c</w:t>
                        </w:r>
                      </w:p>
                    </w:tc>
                    <w:tc>
                      <w:tcPr>
                        <w:tcW w:w="4885" w:type="dxa"/>
                        <w:gridSpan w:val="2"/>
                        <w:tcBorders>
                          <w:top w:val="single" w:sz="6" w:space="0" w:color="231F20"/>
                          <w:left w:val="single" w:sz="6" w:space="0" w:color="231F20"/>
                          <w:bottom w:val="single" w:sz="6" w:space="0" w:color="231F20"/>
                          <w:right w:val="single" w:sz="6" w:space="0" w:color="231F20"/>
                        </w:tcBorders>
                      </w:tcPr>
                      <w:p w14:paraId="2563B3B3" w14:textId="77777777" w:rsidR="00080B77" w:rsidRDefault="00080B77">
                        <w:pPr>
                          <w:pStyle w:val="TableParagraph"/>
                          <w:spacing w:before="92"/>
                          <w:ind w:left="22"/>
                          <w:rPr>
                            <w:sz w:val="16"/>
                          </w:rPr>
                        </w:pPr>
                        <w:r>
                          <w:rPr>
                            <w:color w:val="231F20"/>
                            <w:w w:val="85"/>
                            <w:sz w:val="16"/>
                          </w:rPr>
                          <w:t>Train staff on developed guidelines</w:t>
                        </w:r>
                      </w:p>
                    </w:tc>
                    <w:tc>
                      <w:tcPr>
                        <w:tcW w:w="1424" w:type="dxa"/>
                        <w:tcBorders>
                          <w:top w:val="single" w:sz="6" w:space="0" w:color="231F20"/>
                          <w:left w:val="single" w:sz="6" w:space="0" w:color="231F20"/>
                          <w:bottom w:val="single" w:sz="6" w:space="0" w:color="231F20"/>
                          <w:right w:val="single" w:sz="6" w:space="0" w:color="231F20"/>
                        </w:tcBorders>
                      </w:tcPr>
                      <w:p w14:paraId="7CF19C56" w14:textId="77777777" w:rsidR="00080B77" w:rsidRDefault="00080B77">
                        <w:pPr>
                          <w:pStyle w:val="TableParagraph"/>
                          <w:spacing w:before="98"/>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5C0785ED" w14:textId="77777777" w:rsidR="00080B77" w:rsidRDefault="00080B77">
                        <w:pPr>
                          <w:pStyle w:val="TableParagraph"/>
                          <w:spacing w:before="98"/>
                          <w:ind w:left="22"/>
                          <w:rPr>
                            <w:sz w:val="16"/>
                          </w:rPr>
                        </w:pPr>
                        <w:r>
                          <w:rPr>
                            <w:color w:val="231F20"/>
                            <w:w w:val="85"/>
                            <w:sz w:val="16"/>
                          </w:rPr>
                          <w:t>Train staff</w:t>
                        </w:r>
                      </w:p>
                    </w:tc>
                  </w:tr>
                  <w:tr w:rsidR="00080B77" w14:paraId="79749088" w14:textId="77777777">
                    <w:trPr>
                      <w:trHeight w:val="903"/>
                    </w:trPr>
                    <w:tc>
                      <w:tcPr>
                        <w:tcW w:w="584" w:type="dxa"/>
                        <w:gridSpan w:val="2"/>
                        <w:tcBorders>
                          <w:top w:val="nil"/>
                          <w:left w:val="single" w:sz="6" w:space="0" w:color="231F20"/>
                          <w:bottom w:val="nil"/>
                          <w:right w:val="single" w:sz="6" w:space="0" w:color="231F20"/>
                        </w:tcBorders>
                      </w:tcPr>
                      <w:p w14:paraId="37CACF45" w14:textId="77777777" w:rsidR="00080B77" w:rsidRDefault="00080B77">
                        <w:pPr>
                          <w:pStyle w:val="TableParagraph"/>
                          <w:rPr>
                            <w:rFonts w:ascii="Times New Roman"/>
                            <w:sz w:val="10"/>
                          </w:rPr>
                        </w:pPr>
                      </w:p>
                    </w:tc>
                    <w:tc>
                      <w:tcPr>
                        <w:tcW w:w="454" w:type="dxa"/>
                        <w:tcBorders>
                          <w:top w:val="single" w:sz="6" w:space="0" w:color="231F20"/>
                          <w:left w:val="single" w:sz="6" w:space="0" w:color="231F20"/>
                          <w:bottom w:val="single" w:sz="6" w:space="0" w:color="231F20"/>
                          <w:right w:val="single" w:sz="6" w:space="0" w:color="231F20"/>
                        </w:tcBorders>
                        <w:shd w:val="clear" w:color="auto" w:fill="CCE7D3"/>
                      </w:tcPr>
                      <w:p w14:paraId="7A7E4F12" w14:textId="77777777" w:rsidR="00080B77" w:rsidRDefault="00080B77">
                        <w:pPr>
                          <w:pStyle w:val="TableParagraph"/>
                          <w:rPr>
                            <w:sz w:val="16"/>
                          </w:rPr>
                        </w:pPr>
                      </w:p>
                      <w:p w14:paraId="5AAC70E8" w14:textId="77777777" w:rsidR="00080B77" w:rsidRDefault="00080B77">
                        <w:pPr>
                          <w:pStyle w:val="TableParagraph"/>
                          <w:spacing w:before="1"/>
                          <w:rPr>
                            <w:sz w:val="15"/>
                          </w:rPr>
                        </w:pPr>
                      </w:p>
                      <w:p w14:paraId="2474486D" w14:textId="77777777" w:rsidR="00080B77" w:rsidRDefault="00080B77">
                        <w:pPr>
                          <w:pStyle w:val="TableParagraph"/>
                          <w:ind w:left="55"/>
                          <w:rPr>
                            <w:sz w:val="16"/>
                          </w:rPr>
                        </w:pPr>
                        <w:r>
                          <w:rPr>
                            <w:color w:val="231F20"/>
                            <w:w w:val="85"/>
                            <w:sz w:val="16"/>
                          </w:rPr>
                          <w:t>7.3.2</w:t>
                        </w:r>
                      </w:p>
                    </w:tc>
                    <w:tc>
                      <w:tcPr>
                        <w:tcW w:w="3031" w:type="dxa"/>
                        <w:gridSpan w:val="2"/>
                        <w:tcBorders>
                          <w:top w:val="single" w:sz="6" w:space="0" w:color="231F20"/>
                          <w:left w:val="single" w:sz="6" w:space="0" w:color="231F20"/>
                          <w:bottom w:val="single" w:sz="6" w:space="0" w:color="231F20"/>
                          <w:right w:val="single" w:sz="6" w:space="0" w:color="231F20"/>
                        </w:tcBorders>
                        <w:shd w:val="clear" w:color="auto" w:fill="CCE7D3"/>
                      </w:tcPr>
                      <w:p w14:paraId="1C0B56C4" w14:textId="77777777" w:rsidR="00080B77" w:rsidRDefault="00080B77">
                        <w:pPr>
                          <w:pStyle w:val="TableParagraph"/>
                          <w:spacing w:before="7"/>
                          <w:rPr>
                            <w:sz w:val="13"/>
                          </w:rPr>
                        </w:pPr>
                      </w:p>
                      <w:p w14:paraId="7A0C5685" w14:textId="77777777" w:rsidR="00080B77" w:rsidRDefault="00080B77">
                        <w:pPr>
                          <w:pStyle w:val="TableParagraph"/>
                          <w:spacing w:line="254" w:lineRule="auto"/>
                          <w:ind w:left="22" w:right="-15" w:firstLine="32"/>
                          <w:rPr>
                            <w:sz w:val="16"/>
                          </w:rPr>
                        </w:pPr>
                        <w:r>
                          <w:rPr>
                            <w:color w:val="231F20"/>
                            <w:w w:val="75"/>
                            <w:sz w:val="16"/>
                          </w:rPr>
                          <w:t xml:space="preserve">Scale-up functional and integrated ambulatory services </w:t>
                        </w:r>
                        <w:r>
                          <w:rPr>
                            <w:color w:val="231F20"/>
                            <w:w w:val="80"/>
                            <w:sz w:val="16"/>
                          </w:rPr>
                          <w:t xml:space="preserve">(general, and specialized) in all facilities according to </w:t>
                        </w:r>
                        <w:r>
                          <w:rPr>
                            <w:color w:val="231F20"/>
                            <w:w w:val="85"/>
                            <w:sz w:val="16"/>
                          </w:rPr>
                          <w:t>standards</w:t>
                        </w:r>
                      </w:p>
                    </w:tc>
                    <w:tc>
                      <w:tcPr>
                        <w:tcW w:w="2379" w:type="dxa"/>
                        <w:tcBorders>
                          <w:top w:val="single" w:sz="6" w:space="0" w:color="231F20"/>
                          <w:left w:val="single" w:sz="6" w:space="0" w:color="231F20"/>
                          <w:bottom w:val="single" w:sz="6" w:space="0" w:color="231F20"/>
                          <w:right w:val="single" w:sz="6" w:space="0" w:color="231F20"/>
                        </w:tcBorders>
                        <w:shd w:val="clear" w:color="auto" w:fill="CCE7D3"/>
                      </w:tcPr>
                      <w:p w14:paraId="46602ACC" w14:textId="77777777" w:rsidR="00080B77" w:rsidRDefault="00080B77">
                        <w:pPr>
                          <w:pStyle w:val="TableParagraph"/>
                          <w:numPr>
                            <w:ilvl w:val="0"/>
                            <w:numId w:val="111"/>
                          </w:numPr>
                          <w:tabs>
                            <w:tab w:val="left" w:pos="90"/>
                          </w:tabs>
                          <w:spacing w:before="9" w:line="220" w:lineRule="auto"/>
                          <w:ind w:right="21" w:firstLine="0"/>
                          <w:rPr>
                            <w:sz w:val="16"/>
                          </w:rPr>
                        </w:pPr>
                        <w:r>
                          <w:rPr>
                            <w:color w:val="231F20"/>
                            <w:w w:val="85"/>
                            <w:sz w:val="16"/>
                          </w:rPr>
                          <w:t xml:space="preserve">At least 814 health professionals </w:t>
                        </w:r>
                        <w:r>
                          <w:rPr>
                            <w:color w:val="231F20"/>
                            <w:w w:val="75"/>
                            <w:sz w:val="16"/>
                          </w:rPr>
                          <w:t>employed</w:t>
                        </w:r>
                        <w:r>
                          <w:rPr>
                            <w:color w:val="231F20"/>
                            <w:spacing w:val="-6"/>
                            <w:w w:val="75"/>
                            <w:sz w:val="16"/>
                          </w:rPr>
                          <w:t xml:space="preserve"> </w:t>
                        </w:r>
                        <w:r>
                          <w:rPr>
                            <w:color w:val="231F20"/>
                            <w:w w:val="75"/>
                            <w:sz w:val="16"/>
                          </w:rPr>
                          <w:t>and</w:t>
                        </w:r>
                        <w:r>
                          <w:rPr>
                            <w:color w:val="231F20"/>
                            <w:spacing w:val="-5"/>
                            <w:w w:val="75"/>
                            <w:sz w:val="16"/>
                          </w:rPr>
                          <w:t xml:space="preserve"> </w:t>
                        </w:r>
                        <w:r>
                          <w:rPr>
                            <w:color w:val="231F20"/>
                            <w:w w:val="75"/>
                            <w:sz w:val="16"/>
                          </w:rPr>
                          <w:t>deployed</w:t>
                        </w:r>
                        <w:r>
                          <w:rPr>
                            <w:color w:val="231F20"/>
                            <w:spacing w:val="-5"/>
                            <w:w w:val="75"/>
                            <w:sz w:val="16"/>
                          </w:rPr>
                          <w:t xml:space="preserve"> </w:t>
                        </w:r>
                        <w:r>
                          <w:rPr>
                            <w:color w:val="231F20"/>
                            <w:w w:val="75"/>
                            <w:sz w:val="16"/>
                          </w:rPr>
                          <w:t>to</w:t>
                        </w:r>
                        <w:r>
                          <w:rPr>
                            <w:color w:val="231F20"/>
                            <w:spacing w:val="-6"/>
                            <w:w w:val="75"/>
                            <w:sz w:val="16"/>
                          </w:rPr>
                          <w:t xml:space="preserve"> </w:t>
                        </w:r>
                        <w:r>
                          <w:rPr>
                            <w:color w:val="231F20"/>
                            <w:w w:val="75"/>
                            <w:sz w:val="16"/>
                          </w:rPr>
                          <w:t>all</w:t>
                        </w:r>
                        <w:r>
                          <w:rPr>
                            <w:color w:val="231F20"/>
                            <w:spacing w:val="-5"/>
                            <w:w w:val="75"/>
                            <w:sz w:val="16"/>
                          </w:rPr>
                          <w:t xml:space="preserve"> </w:t>
                        </w:r>
                        <w:r>
                          <w:rPr>
                            <w:color w:val="231F20"/>
                            <w:w w:val="75"/>
                            <w:sz w:val="16"/>
                          </w:rPr>
                          <w:t>facilities</w:t>
                        </w:r>
                        <w:r>
                          <w:rPr>
                            <w:color w:val="231F20"/>
                            <w:spacing w:val="-5"/>
                            <w:w w:val="75"/>
                            <w:sz w:val="16"/>
                          </w:rPr>
                          <w:t xml:space="preserve"> </w:t>
                        </w:r>
                        <w:r>
                          <w:rPr>
                            <w:color w:val="231F20"/>
                            <w:w w:val="75"/>
                            <w:sz w:val="16"/>
                          </w:rPr>
                          <w:t>in</w:t>
                        </w:r>
                        <w:r>
                          <w:rPr>
                            <w:color w:val="231F20"/>
                            <w:spacing w:val="-5"/>
                            <w:w w:val="75"/>
                            <w:sz w:val="16"/>
                          </w:rPr>
                          <w:t xml:space="preserve"> </w:t>
                        </w:r>
                        <w:r>
                          <w:rPr>
                            <w:color w:val="231F20"/>
                            <w:w w:val="75"/>
                            <w:sz w:val="16"/>
                          </w:rPr>
                          <w:t xml:space="preserve">the </w:t>
                        </w:r>
                        <w:r>
                          <w:rPr>
                            <w:color w:val="231F20"/>
                            <w:w w:val="85"/>
                            <w:sz w:val="16"/>
                          </w:rPr>
                          <w:t>state</w:t>
                        </w:r>
                      </w:p>
                      <w:p w14:paraId="72569EF6" w14:textId="77777777" w:rsidR="00080B77" w:rsidRDefault="00080B77">
                        <w:pPr>
                          <w:pStyle w:val="TableParagraph"/>
                          <w:numPr>
                            <w:ilvl w:val="0"/>
                            <w:numId w:val="111"/>
                          </w:numPr>
                          <w:tabs>
                            <w:tab w:val="left" w:pos="90"/>
                          </w:tabs>
                          <w:spacing w:line="230" w:lineRule="auto"/>
                          <w:ind w:right="271" w:firstLine="0"/>
                          <w:rPr>
                            <w:sz w:val="16"/>
                          </w:rPr>
                        </w:pPr>
                        <w:r>
                          <w:rPr>
                            <w:color w:val="231F20"/>
                            <w:w w:val="75"/>
                            <w:sz w:val="16"/>
                          </w:rPr>
                          <w:t>At</w:t>
                        </w:r>
                        <w:r>
                          <w:rPr>
                            <w:color w:val="231F20"/>
                            <w:spacing w:val="-6"/>
                            <w:w w:val="75"/>
                            <w:sz w:val="16"/>
                          </w:rPr>
                          <w:t xml:space="preserve"> </w:t>
                        </w:r>
                        <w:r>
                          <w:rPr>
                            <w:color w:val="231F20"/>
                            <w:w w:val="75"/>
                            <w:sz w:val="16"/>
                          </w:rPr>
                          <w:t>least</w:t>
                        </w:r>
                        <w:r>
                          <w:rPr>
                            <w:color w:val="231F20"/>
                            <w:spacing w:val="-6"/>
                            <w:w w:val="75"/>
                            <w:sz w:val="16"/>
                          </w:rPr>
                          <w:t xml:space="preserve"> </w:t>
                        </w:r>
                        <w:r>
                          <w:rPr>
                            <w:color w:val="231F20"/>
                            <w:w w:val="75"/>
                            <w:sz w:val="16"/>
                          </w:rPr>
                          <w:t>814</w:t>
                        </w:r>
                        <w:r>
                          <w:rPr>
                            <w:color w:val="231F20"/>
                            <w:spacing w:val="-6"/>
                            <w:w w:val="75"/>
                            <w:sz w:val="16"/>
                          </w:rPr>
                          <w:t xml:space="preserve"> </w:t>
                        </w:r>
                        <w:r>
                          <w:rPr>
                            <w:color w:val="231F20"/>
                            <w:w w:val="75"/>
                            <w:sz w:val="16"/>
                          </w:rPr>
                          <w:t>staff</w:t>
                        </w:r>
                        <w:r>
                          <w:rPr>
                            <w:color w:val="231F20"/>
                            <w:spacing w:val="-6"/>
                            <w:w w:val="75"/>
                            <w:sz w:val="16"/>
                          </w:rPr>
                          <w:t xml:space="preserve"> </w:t>
                        </w:r>
                        <w:r>
                          <w:rPr>
                            <w:color w:val="231F20"/>
                            <w:w w:val="75"/>
                            <w:sz w:val="16"/>
                          </w:rPr>
                          <w:t>trained</w:t>
                        </w:r>
                        <w:r>
                          <w:rPr>
                            <w:color w:val="231F20"/>
                            <w:spacing w:val="-5"/>
                            <w:w w:val="75"/>
                            <w:sz w:val="16"/>
                          </w:rPr>
                          <w:t xml:space="preserve"> </w:t>
                        </w:r>
                        <w:r>
                          <w:rPr>
                            <w:color w:val="231F20"/>
                            <w:w w:val="75"/>
                            <w:sz w:val="16"/>
                          </w:rPr>
                          <w:t>on</w:t>
                        </w:r>
                        <w:r>
                          <w:rPr>
                            <w:color w:val="231F20"/>
                            <w:spacing w:val="-6"/>
                            <w:w w:val="75"/>
                            <w:sz w:val="16"/>
                          </w:rPr>
                          <w:t xml:space="preserve"> </w:t>
                        </w:r>
                        <w:r>
                          <w:rPr>
                            <w:color w:val="231F20"/>
                            <w:w w:val="75"/>
                            <w:sz w:val="16"/>
                          </w:rPr>
                          <w:t xml:space="preserve">integrated </w:t>
                        </w:r>
                        <w:r>
                          <w:rPr>
                            <w:color w:val="231F20"/>
                            <w:w w:val="85"/>
                            <w:sz w:val="16"/>
                          </w:rPr>
                          <w:t>ambulatory</w:t>
                        </w:r>
                        <w:r>
                          <w:rPr>
                            <w:color w:val="231F20"/>
                            <w:spacing w:val="-17"/>
                            <w:w w:val="85"/>
                            <w:sz w:val="16"/>
                          </w:rPr>
                          <w:t xml:space="preserve"> </w:t>
                        </w:r>
                        <w:r>
                          <w:rPr>
                            <w:color w:val="231F20"/>
                            <w:w w:val="85"/>
                            <w:sz w:val="16"/>
                          </w:rPr>
                          <w:t>services</w:t>
                        </w:r>
                        <w:r>
                          <w:rPr>
                            <w:color w:val="231F20"/>
                            <w:spacing w:val="-17"/>
                            <w:w w:val="85"/>
                            <w:sz w:val="16"/>
                          </w:rPr>
                          <w:t xml:space="preserve"> </w:t>
                        </w:r>
                        <w:r>
                          <w:rPr>
                            <w:color w:val="231F20"/>
                            <w:w w:val="85"/>
                            <w:sz w:val="16"/>
                          </w:rPr>
                          <w:t>in</w:t>
                        </w:r>
                        <w:r>
                          <w:rPr>
                            <w:color w:val="231F20"/>
                            <w:spacing w:val="-16"/>
                            <w:w w:val="85"/>
                            <w:sz w:val="16"/>
                          </w:rPr>
                          <w:t xml:space="preserve"> </w:t>
                        </w:r>
                        <w:r>
                          <w:rPr>
                            <w:color w:val="231F20"/>
                            <w:w w:val="85"/>
                            <w:sz w:val="16"/>
                          </w:rPr>
                          <w:t>all</w:t>
                        </w:r>
                        <w:r>
                          <w:rPr>
                            <w:color w:val="231F20"/>
                            <w:spacing w:val="-17"/>
                            <w:w w:val="85"/>
                            <w:sz w:val="16"/>
                          </w:rPr>
                          <w:t xml:space="preserve"> </w:t>
                        </w:r>
                        <w:r>
                          <w:rPr>
                            <w:color w:val="231F20"/>
                            <w:w w:val="85"/>
                            <w:sz w:val="16"/>
                          </w:rPr>
                          <w:t>HFs</w:t>
                        </w:r>
                      </w:p>
                    </w:tc>
                    <w:tc>
                      <w:tcPr>
                        <w:tcW w:w="1424" w:type="dxa"/>
                        <w:tcBorders>
                          <w:top w:val="single" w:sz="6" w:space="0" w:color="231F20"/>
                          <w:left w:val="single" w:sz="6" w:space="0" w:color="231F20"/>
                          <w:bottom w:val="single" w:sz="6" w:space="0" w:color="231F20"/>
                          <w:right w:val="single" w:sz="6" w:space="0" w:color="231F20"/>
                        </w:tcBorders>
                        <w:shd w:val="clear" w:color="auto" w:fill="CCE7D3"/>
                      </w:tcPr>
                      <w:p w14:paraId="001D2ED2" w14:textId="77777777" w:rsidR="00080B77" w:rsidRDefault="00080B77">
                        <w:pPr>
                          <w:pStyle w:val="TableParagraph"/>
                          <w:rPr>
                            <w:rFonts w:ascii="Times New Roman"/>
                            <w:sz w:val="10"/>
                          </w:rPr>
                        </w:pPr>
                      </w:p>
                    </w:tc>
                    <w:tc>
                      <w:tcPr>
                        <w:tcW w:w="1502" w:type="dxa"/>
                        <w:tcBorders>
                          <w:top w:val="single" w:sz="6" w:space="0" w:color="231F20"/>
                          <w:left w:val="single" w:sz="6" w:space="0" w:color="231F20"/>
                          <w:bottom w:val="single" w:sz="6" w:space="0" w:color="231F20"/>
                          <w:right w:val="single" w:sz="6" w:space="0" w:color="231F20"/>
                        </w:tcBorders>
                        <w:shd w:val="clear" w:color="auto" w:fill="CCE7D3"/>
                      </w:tcPr>
                      <w:p w14:paraId="7A99CDAE" w14:textId="77777777" w:rsidR="00080B77" w:rsidRDefault="00080B77">
                        <w:pPr>
                          <w:pStyle w:val="TableParagraph"/>
                          <w:rPr>
                            <w:rFonts w:ascii="Times New Roman"/>
                            <w:sz w:val="10"/>
                          </w:rPr>
                        </w:pPr>
                      </w:p>
                    </w:tc>
                  </w:tr>
                  <w:tr w:rsidR="00080B77" w14:paraId="2F28EF6F" w14:textId="77777777">
                    <w:trPr>
                      <w:trHeight w:val="375"/>
                    </w:trPr>
                    <w:tc>
                      <w:tcPr>
                        <w:tcW w:w="1038" w:type="dxa"/>
                        <w:gridSpan w:val="3"/>
                        <w:vMerge w:val="restart"/>
                        <w:tcBorders>
                          <w:top w:val="nil"/>
                          <w:left w:val="single" w:sz="6" w:space="0" w:color="231F20"/>
                          <w:right w:val="single" w:sz="6" w:space="0" w:color="231F20"/>
                        </w:tcBorders>
                      </w:tcPr>
                      <w:p w14:paraId="07D9B775" w14:textId="77777777" w:rsidR="00080B77" w:rsidRDefault="00080B77">
                        <w:pPr>
                          <w:pStyle w:val="TableParagraph"/>
                          <w:rPr>
                            <w:rFonts w:ascii="Times New Roman"/>
                            <w:sz w:val="10"/>
                          </w:rPr>
                        </w:pPr>
                      </w:p>
                    </w:tc>
                    <w:tc>
                      <w:tcPr>
                        <w:tcW w:w="525" w:type="dxa"/>
                        <w:tcBorders>
                          <w:top w:val="single" w:sz="6" w:space="0" w:color="231F20"/>
                          <w:left w:val="single" w:sz="6" w:space="0" w:color="231F20"/>
                          <w:bottom w:val="single" w:sz="6" w:space="0" w:color="231F20"/>
                          <w:right w:val="single" w:sz="6" w:space="0" w:color="231F20"/>
                        </w:tcBorders>
                      </w:tcPr>
                      <w:p w14:paraId="465FB555" w14:textId="77777777" w:rsidR="00080B77" w:rsidRDefault="00080B77">
                        <w:pPr>
                          <w:pStyle w:val="TableParagraph"/>
                          <w:spacing w:before="95"/>
                          <w:ind w:left="24" w:right="9"/>
                          <w:jc w:val="center"/>
                          <w:rPr>
                            <w:sz w:val="16"/>
                          </w:rPr>
                        </w:pPr>
                        <w:r>
                          <w:rPr>
                            <w:color w:val="231F20"/>
                            <w:w w:val="80"/>
                            <w:sz w:val="16"/>
                          </w:rPr>
                          <w:t>7.3.2.a</w:t>
                        </w:r>
                      </w:p>
                    </w:tc>
                    <w:tc>
                      <w:tcPr>
                        <w:tcW w:w="4885" w:type="dxa"/>
                        <w:gridSpan w:val="2"/>
                        <w:tcBorders>
                          <w:top w:val="single" w:sz="6" w:space="0" w:color="231F20"/>
                          <w:left w:val="single" w:sz="6" w:space="0" w:color="231F20"/>
                          <w:bottom w:val="single" w:sz="6" w:space="0" w:color="231F20"/>
                          <w:right w:val="single" w:sz="6" w:space="0" w:color="231F20"/>
                        </w:tcBorders>
                      </w:tcPr>
                      <w:p w14:paraId="60BC4FB3" w14:textId="77777777" w:rsidR="00080B77" w:rsidRDefault="00080B77">
                        <w:pPr>
                          <w:pStyle w:val="TableParagraph"/>
                          <w:spacing w:line="181" w:lineRule="exact"/>
                          <w:ind w:left="22"/>
                          <w:rPr>
                            <w:sz w:val="16"/>
                          </w:rPr>
                        </w:pPr>
                        <w:r>
                          <w:rPr>
                            <w:color w:val="231F20"/>
                            <w:w w:val="80"/>
                            <w:sz w:val="16"/>
                          </w:rPr>
                          <w:t>Monitor</w:t>
                        </w:r>
                        <w:r>
                          <w:rPr>
                            <w:color w:val="231F20"/>
                            <w:spacing w:val="-18"/>
                            <w:w w:val="80"/>
                            <w:sz w:val="16"/>
                          </w:rPr>
                          <w:t xml:space="preserve"> </w:t>
                        </w:r>
                        <w:r>
                          <w:rPr>
                            <w:color w:val="231F20"/>
                            <w:w w:val="80"/>
                            <w:sz w:val="16"/>
                          </w:rPr>
                          <w:t>and</w:t>
                        </w:r>
                        <w:r>
                          <w:rPr>
                            <w:color w:val="231F20"/>
                            <w:spacing w:val="-18"/>
                            <w:w w:val="80"/>
                            <w:sz w:val="16"/>
                          </w:rPr>
                          <w:t xml:space="preserve"> </w:t>
                        </w:r>
                        <w:r>
                          <w:rPr>
                            <w:color w:val="231F20"/>
                            <w:w w:val="80"/>
                            <w:sz w:val="16"/>
                          </w:rPr>
                          <w:t>Evaluate</w:t>
                        </w:r>
                        <w:r>
                          <w:rPr>
                            <w:color w:val="231F20"/>
                            <w:spacing w:val="-18"/>
                            <w:w w:val="80"/>
                            <w:sz w:val="16"/>
                          </w:rPr>
                          <w:t xml:space="preserve"> </w:t>
                        </w:r>
                        <w:r>
                          <w:rPr>
                            <w:color w:val="231F20"/>
                            <w:w w:val="80"/>
                            <w:sz w:val="16"/>
                          </w:rPr>
                          <w:t>ambulatory</w:t>
                        </w:r>
                        <w:r>
                          <w:rPr>
                            <w:color w:val="231F20"/>
                            <w:spacing w:val="-18"/>
                            <w:w w:val="80"/>
                            <w:sz w:val="16"/>
                          </w:rPr>
                          <w:t xml:space="preserve"> </w:t>
                        </w:r>
                        <w:r>
                          <w:rPr>
                            <w:color w:val="231F20"/>
                            <w:w w:val="80"/>
                            <w:sz w:val="16"/>
                          </w:rPr>
                          <w:t>services</w:t>
                        </w:r>
                        <w:r>
                          <w:rPr>
                            <w:color w:val="231F20"/>
                            <w:spacing w:val="-18"/>
                            <w:w w:val="80"/>
                            <w:sz w:val="16"/>
                          </w:rPr>
                          <w:t xml:space="preserve"> </w:t>
                        </w:r>
                        <w:r>
                          <w:rPr>
                            <w:color w:val="231F20"/>
                            <w:w w:val="80"/>
                            <w:sz w:val="16"/>
                          </w:rPr>
                          <w:t>activities</w:t>
                        </w:r>
                        <w:r>
                          <w:rPr>
                            <w:color w:val="231F20"/>
                            <w:spacing w:val="-18"/>
                            <w:w w:val="80"/>
                            <w:sz w:val="16"/>
                          </w:rPr>
                          <w:t xml:space="preserve"> </w:t>
                        </w:r>
                        <w:r>
                          <w:rPr>
                            <w:color w:val="231F20"/>
                            <w:w w:val="80"/>
                            <w:sz w:val="16"/>
                          </w:rPr>
                          <w:t>by</w:t>
                        </w:r>
                        <w:r>
                          <w:rPr>
                            <w:color w:val="231F20"/>
                            <w:spacing w:val="-17"/>
                            <w:w w:val="80"/>
                            <w:sz w:val="16"/>
                          </w:rPr>
                          <w:t xml:space="preserve"> </w:t>
                        </w:r>
                        <w:r>
                          <w:rPr>
                            <w:color w:val="231F20"/>
                            <w:w w:val="80"/>
                            <w:sz w:val="16"/>
                          </w:rPr>
                          <w:t>the</w:t>
                        </w:r>
                        <w:r>
                          <w:rPr>
                            <w:color w:val="231F20"/>
                            <w:spacing w:val="-18"/>
                            <w:w w:val="80"/>
                            <w:sz w:val="16"/>
                          </w:rPr>
                          <w:t xml:space="preserve"> </w:t>
                        </w:r>
                        <w:r>
                          <w:rPr>
                            <w:color w:val="231F20"/>
                            <w:w w:val="80"/>
                            <w:sz w:val="16"/>
                          </w:rPr>
                          <w:t>central</w:t>
                        </w:r>
                        <w:r>
                          <w:rPr>
                            <w:color w:val="231F20"/>
                            <w:spacing w:val="-18"/>
                            <w:w w:val="80"/>
                            <w:sz w:val="16"/>
                          </w:rPr>
                          <w:t xml:space="preserve"> </w:t>
                        </w:r>
                        <w:r>
                          <w:rPr>
                            <w:color w:val="231F20"/>
                            <w:w w:val="80"/>
                            <w:sz w:val="16"/>
                          </w:rPr>
                          <w:t>M&amp;E</w:t>
                        </w:r>
                        <w:r>
                          <w:rPr>
                            <w:color w:val="231F20"/>
                            <w:spacing w:val="-18"/>
                            <w:w w:val="80"/>
                            <w:sz w:val="16"/>
                          </w:rPr>
                          <w:t xml:space="preserve"> </w:t>
                        </w:r>
                        <w:r>
                          <w:rPr>
                            <w:color w:val="231F20"/>
                            <w:w w:val="80"/>
                            <w:sz w:val="16"/>
                          </w:rPr>
                          <w:t>unit</w:t>
                        </w:r>
                        <w:r>
                          <w:rPr>
                            <w:color w:val="231F20"/>
                            <w:spacing w:val="-18"/>
                            <w:w w:val="80"/>
                            <w:sz w:val="16"/>
                          </w:rPr>
                          <w:t xml:space="preserve"> </w:t>
                        </w:r>
                        <w:r>
                          <w:rPr>
                            <w:color w:val="231F20"/>
                            <w:w w:val="80"/>
                            <w:sz w:val="16"/>
                          </w:rPr>
                          <w:t>and</w:t>
                        </w:r>
                        <w:r>
                          <w:rPr>
                            <w:color w:val="231F20"/>
                            <w:spacing w:val="-18"/>
                            <w:w w:val="80"/>
                            <w:sz w:val="16"/>
                          </w:rPr>
                          <w:t xml:space="preserve"> </w:t>
                        </w:r>
                        <w:r>
                          <w:rPr>
                            <w:color w:val="231F20"/>
                            <w:w w:val="80"/>
                            <w:sz w:val="16"/>
                          </w:rPr>
                          <w:t>make</w:t>
                        </w:r>
                      </w:p>
                      <w:p w14:paraId="334A6D5B" w14:textId="77777777" w:rsidR="00080B77" w:rsidRDefault="00080B77">
                        <w:pPr>
                          <w:pStyle w:val="TableParagraph"/>
                          <w:spacing w:before="10" w:line="163" w:lineRule="exact"/>
                          <w:ind w:left="22"/>
                          <w:rPr>
                            <w:sz w:val="16"/>
                          </w:rPr>
                        </w:pPr>
                        <w:r>
                          <w:rPr>
                            <w:color w:val="231F20"/>
                            <w:w w:val="85"/>
                            <w:sz w:val="16"/>
                          </w:rPr>
                          <w:t>report available to all stakeholders</w:t>
                        </w:r>
                      </w:p>
                    </w:tc>
                    <w:tc>
                      <w:tcPr>
                        <w:tcW w:w="1424" w:type="dxa"/>
                        <w:tcBorders>
                          <w:top w:val="single" w:sz="6" w:space="0" w:color="231F20"/>
                          <w:left w:val="single" w:sz="6" w:space="0" w:color="231F20"/>
                          <w:bottom w:val="single" w:sz="6" w:space="0" w:color="231F20"/>
                          <w:right w:val="single" w:sz="6" w:space="0" w:color="231F20"/>
                        </w:tcBorders>
                      </w:tcPr>
                      <w:p w14:paraId="4952020B" w14:textId="77777777" w:rsidR="00080B77" w:rsidRDefault="00080B77">
                        <w:pPr>
                          <w:pStyle w:val="TableParagraph"/>
                          <w:spacing w:before="95"/>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6A252C7F" w14:textId="77777777" w:rsidR="00080B77" w:rsidRDefault="00080B77">
                        <w:pPr>
                          <w:pStyle w:val="TableParagraph"/>
                          <w:spacing w:before="95"/>
                          <w:ind w:left="22"/>
                          <w:rPr>
                            <w:sz w:val="16"/>
                          </w:rPr>
                        </w:pPr>
                        <w:r>
                          <w:rPr>
                            <w:color w:val="231F20"/>
                            <w:w w:val="85"/>
                            <w:sz w:val="16"/>
                          </w:rPr>
                          <w:t>Monitor and Evaluate</w:t>
                        </w:r>
                      </w:p>
                    </w:tc>
                  </w:tr>
                  <w:tr w:rsidR="00080B77" w14:paraId="0BF0B9A7" w14:textId="77777777">
                    <w:trPr>
                      <w:trHeight w:val="358"/>
                    </w:trPr>
                    <w:tc>
                      <w:tcPr>
                        <w:tcW w:w="1038" w:type="dxa"/>
                        <w:gridSpan w:val="3"/>
                        <w:vMerge/>
                        <w:tcBorders>
                          <w:top w:val="nil"/>
                          <w:left w:val="single" w:sz="6" w:space="0" w:color="231F20"/>
                          <w:right w:val="single" w:sz="6" w:space="0" w:color="231F20"/>
                        </w:tcBorders>
                      </w:tcPr>
                      <w:p w14:paraId="5076535C" w14:textId="77777777" w:rsidR="00080B77" w:rsidRDefault="00080B77">
                        <w:pPr>
                          <w:rPr>
                            <w:sz w:val="2"/>
                            <w:szCs w:val="2"/>
                          </w:rPr>
                        </w:pPr>
                      </w:p>
                    </w:tc>
                    <w:tc>
                      <w:tcPr>
                        <w:tcW w:w="525" w:type="dxa"/>
                        <w:tcBorders>
                          <w:top w:val="single" w:sz="6" w:space="0" w:color="231F20"/>
                          <w:left w:val="single" w:sz="6" w:space="0" w:color="231F20"/>
                          <w:bottom w:val="single" w:sz="6" w:space="0" w:color="231F20"/>
                          <w:right w:val="single" w:sz="6" w:space="0" w:color="231F20"/>
                        </w:tcBorders>
                      </w:tcPr>
                      <w:p w14:paraId="6668C8AF" w14:textId="77777777" w:rsidR="00080B77" w:rsidRDefault="00080B77">
                        <w:pPr>
                          <w:pStyle w:val="TableParagraph"/>
                          <w:spacing w:before="86"/>
                          <w:ind w:left="24" w:right="9"/>
                          <w:jc w:val="center"/>
                          <w:rPr>
                            <w:sz w:val="16"/>
                          </w:rPr>
                        </w:pPr>
                        <w:r>
                          <w:rPr>
                            <w:color w:val="231F20"/>
                            <w:w w:val="80"/>
                            <w:sz w:val="16"/>
                          </w:rPr>
                          <w:t>7.3.2.b</w:t>
                        </w:r>
                      </w:p>
                    </w:tc>
                    <w:tc>
                      <w:tcPr>
                        <w:tcW w:w="4885" w:type="dxa"/>
                        <w:gridSpan w:val="2"/>
                        <w:tcBorders>
                          <w:top w:val="single" w:sz="6" w:space="0" w:color="231F20"/>
                          <w:left w:val="single" w:sz="6" w:space="0" w:color="231F20"/>
                          <w:bottom w:val="single" w:sz="6" w:space="0" w:color="231F20"/>
                          <w:right w:val="single" w:sz="6" w:space="0" w:color="231F20"/>
                        </w:tcBorders>
                      </w:tcPr>
                      <w:p w14:paraId="5CE7E0BA" w14:textId="77777777" w:rsidR="00080B77" w:rsidRDefault="00080B77">
                        <w:pPr>
                          <w:pStyle w:val="TableParagraph"/>
                          <w:spacing w:before="80"/>
                          <w:ind w:left="22"/>
                          <w:rPr>
                            <w:sz w:val="16"/>
                          </w:rPr>
                        </w:pPr>
                        <w:r>
                          <w:rPr>
                            <w:color w:val="231F20"/>
                            <w:w w:val="85"/>
                            <w:sz w:val="16"/>
                          </w:rPr>
                          <w:t>Employ and deploy health professionals to all facilities in the state</w:t>
                        </w:r>
                      </w:p>
                    </w:tc>
                    <w:tc>
                      <w:tcPr>
                        <w:tcW w:w="1424" w:type="dxa"/>
                        <w:tcBorders>
                          <w:top w:val="single" w:sz="6" w:space="0" w:color="231F20"/>
                          <w:left w:val="single" w:sz="6" w:space="0" w:color="231F20"/>
                          <w:bottom w:val="single" w:sz="6" w:space="0" w:color="231F20"/>
                          <w:right w:val="single" w:sz="6" w:space="0" w:color="231F20"/>
                        </w:tcBorders>
                      </w:tcPr>
                      <w:p w14:paraId="46A522C6" w14:textId="77777777" w:rsidR="00080B77" w:rsidRDefault="00080B77">
                        <w:pPr>
                          <w:pStyle w:val="TableParagraph"/>
                          <w:spacing w:before="86"/>
                          <w:ind w:left="22"/>
                          <w:rPr>
                            <w:sz w:val="16"/>
                          </w:rPr>
                        </w:pPr>
                        <w:r>
                          <w:rPr>
                            <w:color w:val="231F20"/>
                            <w:w w:val="85"/>
                            <w:sz w:val="16"/>
                          </w:rPr>
                          <w:t>Lack of funds</w:t>
                        </w:r>
                      </w:p>
                    </w:tc>
                    <w:tc>
                      <w:tcPr>
                        <w:tcW w:w="1502" w:type="dxa"/>
                        <w:tcBorders>
                          <w:top w:val="single" w:sz="6" w:space="0" w:color="231F20"/>
                          <w:left w:val="single" w:sz="6" w:space="0" w:color="231F20"/>
                          <w:bottom w:val="single" w:sz="6" w:space="0" w:color="231F20"/>
                          <w:right w:val="single" w:sz="6" w:space="0" w:color="231F20"/>
                        </w:tcBorders>
                      </w:tcPr>
                      <w:p w14:paraId="4833F2A7" w14:textId="77777777" w:rsidR="00080B77" w:rsidRDefault="00080B77">
                        <w:pPr>
                          <w:pStyle w:val="TableParagraph"/>
                          <w:spacing w:before="86"/>
                          <w:ind w:left="22"/>
                          <w:rPr>
                            <w:sz w:val="16"/>
                          </w:rPr>
                        </w:pPr>
                        <w:r>
                          <w:rPr>
                            <w:color w:val="231F20"/>
                            <w:w w:val="85"/>
                            <w:sz w:val="16"/>
                          </w:rPr>
                          <w:t>Costed in OHT</w:t>
                        </w:r>
                      </w:p>
                    </w:tc>
                  </w:tr>
                  <w:tr w:rsidR="00080B77" w14:paraId="1B2D8C31" w14:textId="77777777">
                    <w:trPr>
                      <w:trHeight w:val="368"/>
                    </w:trPr>
                    <w:tc>
                      <w:tcPr>
                        <w:tcW w:w="1038" w:type="dxa"/>
                        <w:gridSpan w:val="3"/>
                        <w:vMerge/>
                        <w:tcBorders>
                          <w:top w:val="nil"/>
                          <w:left w:val="single" w:sz="6" w:space="0" w:color="231F20"/>
                          <w:right w:val="single" w:sz="6" w:space="0" w:color="231F20"/>
                        </w:tcBorders>
                      </w:tcPr>
                      <w:p w14:paraId="2D0EEC00" w14:textId="77777777" w:rsidR="00080B77" w:rsidRDefault="00080B77">
                        <w:pPr>
                          <w:rPr>
                            <w:sz w:val="2"/>
                            <w:szCs w:val="2"/>
                          </w:rPr>
                        </w:pPr>
                      </w:p>
                    </w:tc>
                    <w:tc>
                      <w:tcPr>
                        <w:tcW w:w="525" w:type="dxa"/>
                        <w:tcBorders>
                          <w:top w:val="single" w:sz="6" w:space="0" w:color="231F20"/>
                          <w:left w:val="single" w:sz="6" w:space="0" w:color="231F20"/>
                          <w:bottom w:val="single" w:sz="12" w:space="0" w:color="231F20"/>
                          <w:right w:val="single" w:sz="6" w:space="0" w:color="231F20"/>
                        </w:tcBorders>
                      </w:tcPr>
                      <w:p w14:paraId="3080758C" w14:textId="77777777" w:rsidR="00080B77" w:rsidRDefault="00080B77">
                        <w:pPr>
                          <w:pStyle w:val="TableParagraph"/>
                          <w:spacing w:before="96"/>
                          <w:ind w:left="24" w:right="9"/>
                          <w:jc w:val="center"/>
                          <w:rPr>
                            <w:sz w:val="16"/>
                          </w:rPr>
                        </w:pPr>
                        <w:r>
                          <w:rPr>
                            <w:color w:val="231F20"/>
                            <w:w w:val="80"/>
                            <w:sz w:val="16"/>
                          </w:rPr>
                          <w:t>7.3.2.c</w:t>
                        </w:r>
                      </w:p>
                    </w:tc>
                    <w:tc>
                      <w:tcPr>
                        <w:tcW w:w="4885" w:type="dxa"/>
                        <w:gridSpan w:val="2"/>
                        <w:tcBorders>
                          <w:top w:val="single" w:sz="6" w:space="0" w:color="231F20"/>
                          <w:left w:val="single" w:sz="6" w:space="0" w:color="231F20"/>
                          <w:bottom w:val="single" w:sz="12" w:space="0" w:color="231F20"/>
                          <w:right w:val="single" w:sz="6" w:space="0" w:color="231F20"/>
                        </w:tcBorders>
                      </w:tcPr>
                      <w:p w14:paraId="4B2A4284" w14:textId="77777777" w:rsidR="00080B77" w:rsidRDefault="00080B77">
                        <w:pPr>
                          <w:pStyle w:val="TableParagraph"/>
                          <w:spacing w:before="89"/>
                          <w:ind w:left="22"/>
                          <w:rPr>
                            <w:sz w:val="16"/>
                          </w:rPr>
                        </w:pPr>
                        <w:r>
                          <w:rPr>
                            <w:color w:val="231F20"/>
                            <w:w w:val="85"/>
                            <w:sz w:val="16"/>
                          </w:rPr>
                          <w:t>Train and re-train staff on integrated ambulatory services in all HFs</w:t>
                        </w:r>
                      </w:p>
                    </w:tc>
                    <w:tc>
                      <w:tcPr>
                        <w:tcW w:w="1424" w:type="dxa"/>
                        <w:tcBorders>
                          <w:top w:val="single" w:sz="6" w:space="0" w:color="231F20"/>
                          <w:left w:val="single" w:sz="6" w:space="0" w:color="231F20"/>
                          <w:bottom w:val="single" w:sz="12" w:space="0" w:color="231F20"/>
                          <w:right w:val="single" w:sz="6" w:space="0" w:color="231F20"/>
                        </w:tcBorders>
                      </w:tcPr>
                      <w:p w14:paraId="2F46A6CF" w14:textId="77777777" w:rsidR="00080B77" w:rsidRDefault="00080B77">
                        <w:pPr>
                          <w:pStyle w:val="TableParagraph"/>
                          <w:spacing w:before="96"/>
                          <w:ind w:left="22"/>
                          <w:rPr>
                            <w:sz w:val="16"/>
                          </w:rPr>
                        </w:pPr>
                        <w:r>
                          <w:rPr>
                            <w:color w:val="231F20"/>
                            <w:w w:val="85"/>
                            <w:sz w:val="16"/>
                          </w:rPr>
                          <w:t>Lack of funds</w:t>
                        </w:r>
                      </w:p>
                    </w:tc>
                    <w:tc>
                      <w:tcPr>
                        <w:tcW w:w="1502" w:type="dxa"/>
                        <w:tcBorders>
                          <w:top w:val="single" w:sz="6" w:space="0" w:color="231F20"/>
                          <w:left w:val="single" w:sz="6" w:space="0" w:color="231F20"/>
                          <w:bottom w:val="single" w:sz="12" w:space="0" w:color="231F20"/>
                          <w:right w:val="single" w:sz="6" w:space="0" w:color="231F20"/>
                        </w:tcBorders>
                      </w:tcPr>
                      <w:p w14:paraId="447A1968" w14:textId="77777777" w:rsidR="00080B77" w:rsidRDefault="00080B77">
                        <w:pPr>
                          <w:pStyle w:val="TableParagraph"/>
                          <w:spacing w:before="96"/>
                          <w:ind w:left="22"/>
                          <w:rPr>
                            <w:sz w:val="16"/>
                          </w:rPr>
                        </w:pPr>
                        <w:r>
                          <w:rPr>
                            <w:color w:val="231F20"/>
                            <w:w w:val="85"/>
                            <w:sz w:val="16"/>
                          </w:rPr>
                          <w:t>Train and re-train</w:t>
                        </w:r>
                      </w:p>
                    </w:tc>
                  </w:tr>
                </w:tbl>
                <w:p w14:paraId="3D67EC5F" w14:textId="77777777" w:rsidR="00080B77" w:rsidRDefault="00080B77">
                  <w:pPr>
                    <w:pStyle w:val="BodyText"/>
                  </w:pPr>
                </w:p>
              </w:txbxContent>
            </v:textbox>
            <w10:wrap anchorx="page" anchory="page"/>
          </v:shape>
        </w:pict>
      </w:r>
    </w:p>
    <w:p w14:paraId="2F9B0DCA" w14:textId="77777777" w:rsidR="009948F1" w:rsidRDefault="009948F1">
      <w:pPr>
        <w:pStyle w:val="BodyText"/>
        <w:rPr>
          <w:sz w:val="20"/>
        </w:rPr>
      </w:pPr>
    </w:p>
    <w:p w14:paraId="6A6CB9F3" w14:textId="77777777" w:rsidR="009948F1" w:rsidRDefault="009948F1">
      <w:pPr>
        <w:pStyle w:val="BodyText"/>
        <w:rPr>
          <w:sz w:val="20"/>
        </w:rPr>
      </w:pPr>
    </w:p>
    <w:p w14:paraId="682688A0" w14:textId="77777777" w:rsidR="009948F1" w:rsidRDefault="009948F1">
      <w:pPr>
        <w:pStyle w:val="BodyText"/>
        <w:rPr>
          <w:sz w:val="20"/>
        </w:rPr>
      </w:pPr>
    </w:p>
    <w:p w14:paraId="29544ACD" w14:textId="77777777" w:rsidR="009948F1" w:rsidRDefault="009948F1">
      <w:pPr>
        <w:pStyle w:val="BodyText"/>
        <w:rPr>
          <w:sz w:val="20"/>
        </w:rPr>
      </w:pPr>
    </w:p>
    <w:p w14:paraId="21C66ACC" w14:textId="77777777" w:rsidR="009948F1" w:rsidRDefault="009948F1">
      <w:pPr>
        <w:pStyle w:val="BodyText"/>
        <w:rPr>
          <w:sz w:val="20"/>
        </w:rPr>
      </w:pPr>
    </w:p>
    <w:p w14:paraId="53FBE328" w14:textId="77777777" w:rsidR="009948F1" w:rsidRDefault="009948F1">
      <w:pPr>
        <w:pStyle w:val="BodyText"/>
        <w:rPr>
          <w:sz w:val="20"/>
        </w:rPr>
      </w:pPr>
    </w:p>
    <w:p w14:paraId="01466794" w14:textId="77777777" w:rsidR="009948F1" w:rsidRDefault="009948F1">
      <w:pPr>
        <w:pStyle w:val="BodyText"/>
        <w:rPr>
          <w:sz w:val="20"/>
        </w:rPr>
      </w:pPr>
    </w:p>
    <w:p w14:paraId="0500376A" w14:textId="77777777" w:rsidR="009948F1" w:rsidRDefault="009948F1">
      <w:pPr>
        <w:pStyle w:val="BodyText"/>
        <w:rPr>
          <w:sz w:val="20"/>
        </w:rPr>
      </w:pPr>
    </w:p>
    <w:p w14:paraId="745A9C25" w14:textId="77777777" w:rsidR="009948F1" w:rsidRDefault="009948F1">
      <w:pPr>
        <w:pStyle w:val="BodyText"/>
        <w:rPr>
          <w:sz w:val="20"/>
        </w:rPr>
      </w:pPr>
    </w:p>
    <w:p w14:paraId="53253D72" w14:textId="77777777" w:rsidR="009948F1" w:rsidRDefault="009948F1">
      <w:pPr>
        <w:pStyle w:val="BodyText"/>
        <w:rPr>
          <w:sz w:val="20"/>
        </w:rPr>
      </w:pPr>
    </w:p>
    <w:p w14:paraId="56B31EB2" w14:textId="77777777" w:rsidR="009948F1" w:rsidRDefault="009948F1">
      <w:pPr>
        <w:pStyle w:val="BodyText"/>
        <w:rPr>
          <w:sz w:val="20"/>
        </w:rPr>
      </w:pPr>
    </w:p>
    <w:p w14:paraId="30AD7C2A" w14:textId="77777777" w:rsidR="009948F1" w:rsidRDefault="009948F1">
      <w:pPr>
        <w:pStyle w:val="BodyText"/>
        <w:rPr>
          <w:sz w:val="20"/>
        </w:rPr>
      </w:pPr>
    </w:p>
    <w:p w14:paraId="0A812782" w14:textId="77777777" w:rsidR="009948F1" w:rsidRDefault="009948F1">
      <w:pPr>
        <w:pStyle w:val="BodyText"/>
        <w:rPr>
          <w:sz w:val="20"/>
        </w:rPr>
      </w:pPr>
    </w:p>
    <w:p w14:paraId="17D56E4F" w14:textId="77777777" w:rsidR="009948F1" w:rsidRDefault="009948F1">
      <w:pPr>
        <w:pStyle w:val="BodyText"/>
        <w:rPr>
          <w:sz w:val="20"/>
        </w:rPr>
      </w:pPr>
    </w:p>
    <w:p w14:paraId="71F59C7F" w14:textId="77777777" w:rsidR="009948F1" w:rsidRDefault="009948F1">
      <w:pPr>
        <w:pStyle w:val="BodyText"/>
        <w:rPr>
          <w:sz w:val="20"/>
        </w:rPr>
      </w:pPr>
    </w:p>
    <w:p w14:paraId="76819F22" w14:textId="77777777" w:rsidR="009948F1" w:rsidRDefault="009948F1">
      <w:pPr>
        <w:pStyle w:val="BodyText"/>
        <w:rPr>
          <w:sz w:val="20"/>
        </w:rPr>
      </w:pPr>
    </w:p>
    <w:p w14:paraId="65C2C3E0" w14:textId="77777777" w:rsidR="009948F1" w:rsidRDefault="009948F1">
      <w:pPr>
        <w:pStyle w:val="BodyText"/>
        <w:rPr>
          <w:sz w:val="20"/>
        </w:rPr>
      </w:pPr>
    </w:p>
    <w:p w14:paraId="7BE15132" w14:textId="77777777" w:rsidR="009948F1" w:rsidRDefault="009948F1">
      <w:pPr>
        <w:pStyle w:val="BodyText"/>
        <w:rPr>
          <w:sz w:val="20"/>
        </w:rPr>
      </w:pPr>
    </w:p>
    <w:p w14:paraId="0DF4EFCA" w14:textId="77777777" w:rsidR="009948F1" w:rsidRDefault="009948F1">
      <w:pPr>
        <w:pStyle w:val="BodyText"/>
        <w:rPr>
          <w:sz w:val="20"/>
        </w:rPr>
      </w:pPr>
    </w:p>
    <w:p w14:paraId="089FDF58" w14:textId="77777777" w:rsidR="009948F1" w:rsidRDefault="009948F1">
      <w:pPr>
        <w:pStyle w:val="BodyText"/>
        <w:rPr>
          <w:sz w:val="20"/>
        </w:rPr>
      </w:pPr>
    </w:p>
    <w:p w14:paraId="7847E6F7" w14:textId="77777777" w:rsidR="009948F1" w:rsidRDefault="009948F1">
      <w:pPr>
        <w:pStyle w:val="BodyText"/>
        <w:rPr>
          <w:sz w:val="20"/>
        </w:rPr>
      </w:pPr>
    </w:p>
    <w:p w14:paraId="7974942D" w14:textId="77777777" w:rsidR="009948F1" w:rsidRDefault="009948F1">
      <w:pPr>
        <w:pStyle w:val="BodyText"/>
        <w:rPr>
          <w:sz w:val="20"/>
        </w:rPr>
      </w:pPr>
    </w:p>
    <w:p w14:paraId="08658BB2" w14:textId="77777777" w:rsidR="009948F1" w:rsidRDefault="009948F1">
      <w:pPr>
        <w:pStyle w:val="BodyText"/>
        <w:rPr>
          <w:sz w:val="20"/>
        </w:rPr>
      </w:pPr>
    </w:p>
    <w:p w14:paraId="3AACDD31" w14:textId="77777777" w:rsidR="009948F1" w:rsidRDefault="009948F1">
      <w:pPr>
        <w:pStyle w:val="BodyText"/>
        <w:rPr>
          <w:sz w:val="20"/>
        </w:rPr>
      </w:pPr>
    </w:p>
    <w:p w14:paraId="14AE7D1E" w14:textId="77777777" w:rsidR="009948F1" w:rsidRDefault="009948F1">
      <w:pPr>
        <w:pStyle w:val="BodyText"/>
        <w:rPr>
          <w:sz w:val="20"/>
        </w:rPr>
      </w:pPr>
    </w:p>
    <w:p w14:paraId="050292FC" w14:textId="77777777" w:rsidR="009948F1" w:rsidRDefault="009948F1">
      <w:pPr>
        <w:pStyle w:val="BodyText"/>
        <w:rPr>
          <w:sz w:val="20"/>
        </w:rPr>
      </w:pPr>
    </w:p>
    <w:p w14:paraId="4ECD9208" w14:textId="77777777" w:rsidR="009948F1" w:rsidRDefault="009948F1">
      <w:pPr>
        <w:pStyle w:val="BodyText"/>
        <w:rPr>
          <w:sz w:val="20"/>
        </w:rPr>
      </w:pPr>
    </w:p>
    <w:p w14:paraId="3F68177F" w14:textId="77777777" w:rsidR="009948F1" w:rsidRDefault="009948F1">
      <w:pPr>
        <w:pStyle w:val="BodyText"/>
        <w:rPr>
          <w:sz w:val="20"/>
        </w:rPr>
      </w:pPr>
    </w:p>
    <w:p w14:paraId="175A2DC5" w14:textId="77777777" w:rsidR="009948F1" w:rsidRDefault="009948F1">
      <w:pPr>
        <w:pStyle w:val="BodyText"/>
        <w:rPr>
          <w:sz w:val="20"/>
        </w:rPr>
      </w:pPr>
    </w:p>
    <w:p w14:paraId="799A8EBE" w14:textId="77777777" w:rsidR="009948F1" w:rsidRDefault="009948F1">
      <w:pPr>
        <w:pStyle w:val="BodyText"/>
        <w:rPr>
          <w:sz w:val="20"/>
        </w:rPr>
      </w:pPr>
    </w:p>
    <w:p w14:paraId="3963075C" w14:textId="77777777" w:rsidR="009948F1" w:rsidRDefault="009948F1">
      <w:pPr>
        <w:pStyle w:val="BodyText"/>
        <w:rPr>
          <w:sz w:val="20"/>
        </w:rPr>
      </w:pPr>
    </w:p>
    <w:p w14:paraId="271E2379" w14:textId="77777777" w:rsidR="009948F1" w:rsidRDefault="009948F1">
      <w:pPr>
        <w:pStyle w:val="BodyText"/>
        <w:rPr>
          <w:sz w:val="20"/>
        </w:rPr>
      </w:pPr>
    </w:p>
    <w:p w14:paraId="4A43A4A2" w14:textId="77777777" w:rsidR="009948F1" w:rsidRDefault="009948F1">
      <w:pPr>
        <w:pStyle w:val="BodyText"/>
        <w:rPr>
          <w:sz w:val="20"/>
        </w:rPr>
      </w:pPr>
    </w:p>
    <w:p w14:paraId="200FC63A" w14:textId="77777777" w:rsidR="009948F1" w:rsidRDefault="009948F1">
      <w:pPr>
        <w:pStyle w:val="BodyText"/>
        <w:rPr>
          <w:sz w:val="20"/>
        </w:rPr>
      </w:pPr>
    </w:p>
    <w:p w14:paraId="18345DB7" w14:textId="77777777" w:rsidR="009948F1" w:rsidRDefault="009948F1">
      <w:pPr>
        <w:pStyle w:val="BodyText"/>
        <w:rPr>
          <w:sz w:val="20"/>
        </w:rPr>
      </w:pPr>
    </w:p>
    <w:p w14:paraId="2BFBE343" w14:textId="77777777" w:rsidR="009948F1" w:rsidRDefault="009948F1">
      <w:pPr>
        <w:pStyle w:val="BodyText"/>
        <w:rPr>
          <w:sz w:val="20"/>
        </w:rPr>
      </w:pPr>
    </w:p>
    <w:p w14:paraId="794A5A80" w14:textId="77777777" w:rsidR="009948F1" w:rsidRDefault="009948F1">
      <w:pPr>
        <w:pStyle w:val="BodyText"/>
        <w:rPr>
          <w:sz w:val="20"/>
        </w:rPr>
      </w:pPr>
    </w:p>
    <w:p w14:paraId="347EE68C" w14:textId="77777777" w:rsidR="009948F1" w:rsidRDefault="009948F1">
      <w:pPr>
        <w:pStyle w:val="BodyText"/>
        <w:rPr>
          <w:sz w:val="20"/>
        </w:rPr>
      </w:pPr>
    </w:p>
    <w:p w14:paraId="035F610E" w14:textId="77777777" w:rsidR="009948F1" w:rsidRDefault="009948F1">
      <w:pPr>
        <w:pStyle w:val="BodyText"/>
        <w:rPr>
          <w:sz w:val="20"/>
        </w:rPr>
      </w:pPr>
    </w:p>
    <w:p w14:paraId="7D1B018A" w14:textId="77777777" w:rsidR="009948F1" w:rsidRDefault="009948F1">
      <w:pPr>
        <w:pStyle w:val="BodyText"/>
        <w:rPr>
          <w:sz w:val="20"/>
        </w:rPr>
      </w:pPr>
    </w:p>
    <w:p w14:paraId="101718D3" w14:textId="77777777" w:rsidR="009948F1" w:rsidRDefault="009948F1">
      <w:pPr>
        <w:pStyle w:val="BodyText"/>
        <w:rPr>
          <w:sz w:val="20"/>
        </w:rPr>
      </w:pPr>
    </w:p>
    <w:p w14:paraId="61201CB5" w14:textId="77777777" w:rsidR="009948F1" w:rsidRDefault="009948F1">
      <w:pPr>
        <w:pStyle w:val="BodyText"/>
        <w:rPr>
          <w:sz w:val="20"/>
        </w:rPr>
      </w:pPr>
    </w:p>
    <w:p w14:paraId="27FA4597" w14:textId="77777777" w:rsidR="009948F1" w:rsidRDefault="009948F1">
      <w:pPr>
        <w:pStyle w:val="BodyText"/>
        <w:spacing w:before="9"/>
        <w:rPr>
          <w:sz w:val="28"/>
        </w:rPr>
      </w:pPr>
    </w:p>
    <w:p w14:paraId="474C72AB" w14:textId="77777777" w:rsidR="009948F1" w:rsidRDefault="00BC0563">
      <w:pPr>
        <w:spacing w:before="73"/>
        <w:ind w:right="1188"/>
        <w:jc w:val="center"/>
        <w:rPr>
          <w:sz w:val="16"/>
        </w:rPr>
      </w:pPr>
      <w:bookmarkStart w:id="176" w:name="Page_150"/>
      <w:bookmarkEnd w:id="176"/>
      <w:r>
        <w:rPr>
          <w:color w:val="231F20"/>
          <w:w w:val="74"/>
          <w:sz w:val="16"/>
        </w:rPr>
        <w:t>•</w:t>
      </w:r>
    </w:p>
    <w:p w14:paraId="5AD7E888" w14:textId="77777777" w:rsidR="009948F1" w:rsidRDefault="009948F1">
      <w:pPr>
        <w:jc w:val="center"/>
        <w:rPr>
          <w:sz w:val="16"/>
        </w:rPr>
        <w:sectPr w:rsidR="009948F1">
          <w:pgSz w:w="11910" w:h="16840"/>
          <w:pgMar w:top="1320" w:right="1080" w:bottom="1340" w:left="1120" w:header="0" w:footer="1155" w:gutter="0"/>
          <w:cols w:space="720"/>
        </w:sectPr>
      </w:pPr>
    </w:p>
    <w:tbl>
      <w:tblPr>
        <w:tblW w:w="0" w:type="auto"/>
        <w:tblInd w:w="1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6"/>
        <w:gridCol w:w="461"/>
        <w:gridCol w:w="533"/>
        <w:gridCol w:w="2549"/>
        <w:gridCol w:w="2421"/>
        <w:gridCol w:w="1447"/>
        <w:gridCol w:w="1528"/>
      </w:tblGrid>
      <w:tr w:rsidR="009948F1" w14:paraId="709D3ADD" w14:textId="77777777">
        <w:trPr>
          <w:trHeight w:val="1667"/>
        </w:trPr>
        <w:tc>
          <w:tcPr>
            <w:tcW w:w="406" w:type="dxa"/>
            <w:tcBorders>
              <w:bottom w:val="nil"/>
              <w:right w:val="single" w:sz="6" w:space="0" w:color="231F20"/>
            </w:tcBorders>
          </w:tcPr>
          <w:p w14:paraId="28007E27" w14:textId="77777777" w:rsidR="009948F1" w:rsidRDefault="009948F1">
            <w:pPr>
              <w:pStyle w:val="TableParagraph"/>
              <w:rPr>
                <w:rFonts w:ascii="Times New Roman"/>
                <w:sz w:val="12"/>
              </w:rPr>
            </w:pPr>
          </w:p>
        </w:tc>
        <w:tc>
          <w:tcPr>
            <w:tcW w:w="461" w:type="dxa"/>
            <w:tcBorders>
              <w:top w:val="single" w:sz="12" w:space="0" w:color="231F20"/>
              <w:left w:val="single" w:sz="6" w:space="0" w:color="231F20"/>
              <w:right w:val="single" w:sz="6" w:space="0" w:color="231F20"/>
            </w:tcBorders>
            <w:shd w:val="clear" w:color="auto" w:fill="CCE7D3"/>
          </w:tcPr>
          <w:p w14:paraId="35F4625B" w14:textId="77777777" w:rsidR="009948F1" w:rsidRDefault="009948F1">
            <w:pPr>
              <w:pStyle w:val="TableParagraph"/>
              <w:rPr>
                <w:sz w:val="16"/>
              </w:rPr>
            </w:pPr>
          </w:p>
          <w:p w14:paraId="7B6DFBC5" w14:textId="77777777" w:rsidR="009948F1" w:rsidRDefault="009948F1">
            <w:pPr>
              <w:pStyle w:val="TableParagraph"/>
              <w:rPr>
                <w:sz w:val="16"/>
              </w:rPr>
            </w:pPr>
          </w:p>
          <w:p w14:paraId="4560B60B" w14:textId="77777777" w:rsidR="009948F1" w:rsidRDefault="009948F1">
            <w:pPr>
              <w:pStyle w:val="TableParagraph"/>
              <w:rPr>
                <w:sz w:val="16"/>
              </w:rPr>
            </w:pPr>
          </w:p>
          <w:p w14:paraId="2A34990B" w14:textId="77777777" w:rsidR="009948F1" w:rsidRDefault="009948F1">
            <w:pPr>
              <w:pStyle w:val="TableParagraph"/>
              <w:spacing w:before="6"/>
              <w:rPr>
                <w:sz w:val="15"/>
              </w:rPr>
            </w:pPr>
          </w:p>
          <w:p w14:paraId="3EDFF4B1" w14:textId="77777777" w:rsidR="009948F1" w:rsidRDefault="00BC0563">
            <w:pPr>
              <w:pStyle w:val="TableParagraph"/>
              <w:spacing w:before="1"/>
              <w:ind w:left="60"/>
              <w:rPr>
                <w:sz w:val="17"/>
              </w:rPr>
            </w:pPr>
            <w:bookmarkStart w:id="177" w:name="Page_151"/>
            <w:bookmarkEnd w:id="177"/>
            <w:r>
              <w:rPr>
                <w:color w:val="231F20"/>
                <w:w w:val="80"/>
                <w:sz w:val="17"/>
              </w:rPr>
              <w:t>7.3.3</w:t>
            </w:r>
          </w:p>
        </w:tc>
        <w:tc>
          <w:tcPr>
            <w:tcW w:w="3082" w:type="dxa"/>
            <w:gridSpan w:val="2"/>
            <w:tcBorders>
              <w:top w:val="single" w:sz="12" w:space="0" w:color="231F20"/>
              <w:left w:val="single" w:sz="6" w:space="0" w:color="231F20"/>
              <w:right w:val="single" w:sz="6" w:space="0" w:color="231F20"/>
            </w:tcBorders>
            <w:shd w:val="clear" w:color="auto" w:fill="CCE7D3"/>
          </w:tcPr>
          <w:p w14:paraId="30BAFEE5" w14:textId="77777777" w:rsidR="009948F1" w:rsidRDefault="009948F1">
            <w:pPr>
              <w:pStyle w:val="TableParagraph"/>
              <w:rPr>
                <w:sz w:val="16"/>
              </w:rPr>
            </w:pPr>
          </w:p>
          <w:p w14:paraId="10D173CE" w14:textId="77777777" w:rsidR="009948F1" w:rsidRDefault="009948F1">
            <w:pPr>
              <w:pStyle w:val="TableParagraph"/>
              <w:rPr>
                <w:sz w:val="16"/>
              </w:rPr>
            </w:pPr>
          </w:p>
          <w:p w14:paraId="4E546CCB" w14:textId="77777777" w:rsidR="009948F1" w:rsidRDefault="009948F1">
            <w:pPr>
              <w:pStyle w:val="TableParagraph"/>
              <w:spacing w:before="9"/>
              <w:rPr>
                <w:sz w:val="12"/>
              </w:rPr>
            </w:pPr>
          </w:p>
          <w:p w14:paraId="17DE821D" w14:textId="77777777" w:rsidR="009948F1" w:rsidRDefault="00BC0563">
            <w:pPr>
              <w:pStyle w:val="TableParagraph"/>
              <w:spacing w:line="256" w:lineRule="auto"/>
              <w:ind w:left="27" w:right="94" w:firstLine="33"/>
              <w:rPr>
                <w:sz w:val="17"/>
              </w:rPr>
            </w:pPr>
            <w:r>
              <w:rPr>
                <w:color w:val="231F20"/>
                <w:w w:val="70"/>
                <w:sz w:val="17"/>
              </w:rPr>
              <w:t xml:space="preserve">Promote &amp; enhance capacity (human and institutional) </w:t>
            </w:r>
            <w:r>
              <w:rPr>
                <w:color w:val="231F20"/>
                <w:w w:val="80"/>
                <w:sz w:val="17"/>
              </w:rPr>
              <w:t>for continuous quality improvement of Outpatient services</w:t>
            </w:r>
          </w:p>
        </w:tc>
        <w:tc>
          <w:tcPr>
            <w:tcW w:w="2421" w:type="dxa"/>
            <w:tcBorders>
              <w:top w:val="single" w:sz="12" w:space="0" w:color="231F20"/>
              <w:left w:val="single" w:sz="6" w:space="0" w:color="231F20"/>
              <w:right w:val="single" w:sz="6" w:space="0" w:color="231F20"/>
            </w:tcBorders>
            <w:shd w:val="clear" w:color="auto" w:fill="CCE7D3"/>
          </w:tcPr>
          <w:p w14:paraId="4E324842" w14:textId="77777777" w:rsidR="009948F1" w:rsidRDefault="00BC0563">
            <w:pPr>
              <w:pStyle w:val="TableParagraph"/>
              <w:numPr>
                <w:ilvl w:val="0"/>
                <w:numId w:val="110"/>
              </w:numPr>
              <w:tabs>
                <w:tab w:val="left" w:pos="98"/>
              </w:tabs>
              <w:spacing w:before="103" w:line="256" w:lineRule="auto"/>
              <w:ind w:right="29" w:firstLine="0"/>
              <w:rPr>
                <w:sz w:val="17"/>
              </w:rPr>
            </w:pPr>
            <w:r>
              <w:rPr>
                <w:color w:val="231F20"/>
                <w:w w:val="75"/>
                <w:sz w:val="17"/>
              </w:rPr>
              <w:t>At</w:t>
            </w:r>
            <w:r>
              <w:rPr>
                <w:color w:val="231F20"/>
                <w:spacing w:val="-17"/>
                <w:w w:val="75"/>
                <w:sz w:val="17"/>
              </w:rPr>
              <w:t xml:space="preserve"> </w:t>
            </w:r>
            <w:r>
              <w:rPr>
                <w:color w:val="231F20"/>
                <w:w w:val="75"/>
                <w:sz w:val="17"/>
              </w:rPr>
              <w:t>least</w:t>
            </w:r>
            <w:r>
              <w:rPr>
                <w:color w:val="231F20"/>
                <w:spacing w:val="-16"/>
                <w:w w:val="75"/>
                <w:sz w:val="17"/>
              </w:rPr>
              <w:t xml:space="preserve"> </w:t>
            </w:r>
            <w:r>
              <w:rPr>
                <w:color w:val="231F20"/>
                <w:w w:val="75"/>
                <w:sz w:val="17"/>
              </w:rPr>
              <w:t>814</w:t>
            </w:r>
            <w:r>
              <w:rPr>
                <w:color w:val="231F20"/>
                <w:spacing w:val="-16"/>
                <w:w w:val="75"/>
                <w:sz w:val="17"/>
              </w:rPr>
              <w:t xml:space="preserve"> </w:t>
            </w:r>
            <w:r>
              <w:rPr>
                <w:color w:val="231F20"/>
                <w:w w:val="75"/>
                <w:sz w:val="17"/>
              </w:rPr>
              <w:t>health</w:t>
            </w:r>
            <w:r>
              <w:rPr>
                <w:color w:val="231F20"/>
                <w:spacing w:val="-16"/>
                <w:w w:val="75"/>
                <w:sz w:val="17"/>
              </w:rPr>
              <w:t xml:space="preserve"> </w:t>
            </w:r>
            <w:r>
              <w:rPr>
                <w:color w:val="231F20"/>
                <w:w w:val="75"/>
                <w:sz w:val="17"/>
              </w:rPr>
              <w:t>care</w:t>
            </w:r>
            <w:r>
              <w:rPr>
                <w:color w:val="231F20"/>
                <w:spacing w:val="-16"/>
                <w:w w:val="75"/>
                <w:sz w:val="17"/>
              </w:rPr>
              <w:t xml:space="preserve"> </w:t>
            </w:r>
            <w:r>
              <w:rPr>
                <w:color w:val="231F20"/>
                <w:w w:val="75"/>
                <w:sz w:val="17"/>
              </w:rPr>
              <w:t>providers</w:t>
            </w:r>
            <w:r>
              <w:rPr>
                <w:color w:val="231F20"/>
                <w:spacing w:val="-16"/>
                <w:w w:val="75"/>
                <w:sz w:val="17"/>
              </w:rPr>
              <w:t xml:space="preserve"> </w:t>
            </w:r>
            <w:r>
              <w:rPr>
                <w:color w:val="231F20"/>
                <w:w w:val="75"/>
                <w:sz w:val="17"/>
              </w:rPr>
              <w:t>trained on</w:t>
            </w:r>
            <w:r>
              <w:rPr>
                <w:color w:val="231F20"/>
                <w:spacing w:val="-22"/>
                <w:w w:val="75"/>
                <w:sz w:val="17"/>
              </w:rPr>
              <w:t xml:space="preserve"> </w:t>
            </w:r>
            <w:r>
              <w:rPr>
                <w:color w:val="231F20"/>
                <w:w w:val="75"/>
                <w:sz w:val="17"/>
              </w:rPr>
              <w:t>Triage</w:t>
            </w:r>
            <w:r>
              <w:rPr>
                <w:color w:val="231F20"/>
                <w:spacing w:val="-21"/>
                <w:w w:val="75"/>
                <w:sz w:val="17"/>
              </w:rPr>
              <w:t xml:space="preserve"> </w:t>
            </w:r>
            <w:r>
              <w:rPr>
                <w:color w:val="231F20"/>
                <w:w w:val="75"/>
                <w:sz w:val="17"/>
              </w:rPr>
              <w:t>and</w:t>
            </w:r>
            <w:r>
              <w:rPr>
                <w:color w:val="231F20"/>
                <w:spacing w:val="-21"/>
                <w:w w:val="75"/>
                <w:sz w:val="17"/>
              </w:rPr>
              <w:t xml:space="preserve"> </w:t>
            </w:r>
            <w:r>
              <w:rPr>
                <w:color w:val="231F20"/>
                <w:w w:val="75"/>
                <w:sz w:val="17"/>
              </w:rPr>
              <w:t>Lean</w:t>
            </w:r>
            <w:r>
              <w:rPr>
                <w:color w:val="231F20"/>
                <w:spacing w:val="-24"/>
                <w:w w:val="75"/>
                <w:sz w:val="17"/>
              </w:rPr>
              <w:t xml:space="preserve"> </w:t>
            </w:r>
            <w:r>
              <w:rPr>
                <w:color w:val="231F20"/>
                <w:w w:val="75"/>
                <w:sz w:val="17"/>
              </w:rPr>
              <w:t>Approach</w:t>
            </w:r>
            <w:r>
              <w:rPr>
                <w:color w:val="231F20"/>
                <w:spacing w:val="-21"/>
                <w:w w:val="75"/>
                <w:sz w:val="17"/>
              </w:rPr>
              <w:t xml:space="preserve"> </w:t>
            </w:r>
            <w:r>
              <w:rPr>
                <w:color w:val="231F20"/>
                <w:w w:val="75"/>
                <w:sz w:val="17"/>
              </w:rPr>
              <w:t>to</w:t>
            </w:r>
            <w:r>
              <w:rPr>
                <w:color w:val="231F20"/>
                <w:spacing w:val="-21"/>
                <w:w w:val="75"/>
                <w:sz w:val="17"/>
              </w:rPr>
              <w:t xml:space="preserve"> </w:t>
            </w:r>
            <w:r>
              <w:rPr>
                <w:color w:val="231F20"/>
                <w:w w:val="75"/>
                <w:sz w:val="17"/>
              </w:rPr>
              <w:t>health</w:t>
            </w:r>
            <w:r>
              <w:rPr>
                <w:color w:val="231F20"/>
                <w:spacing w:val="-21"/>
                <w:w w:val="75"/>
                <w:sz w:val="17"/>
              </w:rPr>
              <w:t xml:space="preserve"> </w:t>
            </w:r>
            <w:r>
              <w:rPr>
                <w:color w:val="231F20"/>
                <w:w w:val="75"/>
                <w:sz w:val="17"/>
              </w:rPr>
              <w:t xml:space="preserve">care </w:t>
            </w:r>
            <w:r>
              <w:rPr>
                <w:color w:val="231F20"/>
                <w:w w:val="80"/>
                <w:sz w:val="17"/>
              </w:rPr>
              <w:t>service</w:t>
            </w:r>
          </w:p>
          <w:p w14:paraId="7A0AEEE1" w14:textId="77777777" w:rsidR="009948F1" w:rsidRDefault="00BC0563">
            <w:pPr>
              <w:pStyle w:val="TableParagraph"/>
              <w:numPr>
                <w:ilvl w:val="0"/>
                <w:numId w:val="110"/>
              </w:numPr>
              <w:tabs>
                <w:tab w:val="left" w:pos="73"/>
              </w:tabs>
              <w:spacing w:line="256" w:lineRule="auto"/>
              <w:ind w:right="170" w:firstLine="0"/>
              <w:rPr>
                <w:sz w:val="17"/>
              </w:rPr>
            </w:pPr>
            <w:r>
              <w:rPr>
                <w:color w:val="231F20"/>
                <w:w w:val="80"/>
                <w:sz w:val="17"/>
              </w:rPr>
              <w:t xml:space="preserve">Directional signs and tagging of </w:t>
            </w:r>
            <w:r>
              <w:rPr>
                <w:color w:val="231F20"/>
                <w:w w:val="75"/>
                <w:sz w:val="17"/>
              </w:rPr>
              <w:t>Department</w:t>
            </w:r>
            <w:r>
              <w:rPr>
                <w:color w:val="231F20"/>
                <w:spacing w:val="-22"/>
                <w:w w:val="75"/>
                <w:sz w:val="17"/>
              </w:rPr>
              <w:t xml:space="preserve"> </w:t>
            </w:r>
            <w:r>
              <w:rPr>
                <w:color w:val="231F20"/>
                <w:w w:val="75"/>
                <w:sz w:val="17"/>
              </w:rPr>
              <w:t>and</w:t>
            </w:r>
            <w:r>
              <w:rPr>
                <w:color w:val="231F20"/>
                <w:spacing w:val="-21"/>
                <w:w w:val="75"/>
                <w:sz w:val="17"/>
              </w:rPr>
              <w:t xml:space="preserve"> </w:t>
            </w:r>
            <w:r>
              <w:rPr>
                <w:color w:val="231F20"/>
                <w:w w:val="75"/>
                <w:sz w:val="17"/>
              </w:rPr>
              <w:t>Units</w:t>
            </w:r>
            <w:r>
              <w:rPr>
                <w:color w:val="231F20"/>
                <w:spacing w:val="-22"/>
                <w:w w:val="75"/>
                <w:sz w:val="17"/>
              </w:rPr>
              <w:t xml:space="preserve"> </w:t>
            </w:r>
            <w:r>
              <w:rPr>
                <w:color w:val="231F20"/>
                <w:w w:val="75"/>
                <w:sz w:val="17"/>
              </w:rPr>
              <w:t>provided</w:t>
            </w:r>
            <w:r>
              <w:rPr>
                <w:color w:val="231F20"/>
                <w:spacing w:val="-21"/>
                <w:w w:val="75"/>
                <w:sz w:val="17"/>
              </w:rPr>
              <w:t xml:space="preserve"> </w:t>
            </w:r>
            <w:r>
              <w:rPr>
                <w:color w:val="231F20"/>
                <w:w w:val="75"/>
                <w:sz w:val="17"/>
              </w:rPr>
              <w:t>in</w:t>
            </w:r>
            <w:r>
              <w:rPr>
                <w:color w:val="231F20"/>
                <w:spacing w:val="-21"/>
                <w:w w:val="75"/>
                <w:sz w:val="17"/>
              </w:rPr>
              <w:t xml:space="preserve"> </w:t>
            </w:r>
            <w:r>
              <w:rPr>
                <w:color w:val="231F20"/>
                <w:w w:val="75"/>
                <w:sz w:val="17"/>
              </w:rPr>
              <w:t>all</w:t>
            </w:r>
            <w:r>
              <w:rPr>
                <w:color w:val="231F20"/>
                <w:spacing w:val="-22"/>
                <w:w w:val="75"/>
                <w:sz w:val="17"/>
              </w:rPr>
              <w:t xml:space="preserve"> </w:t>
            </w:r>
            <w:r>
              <w:rPr>
                <w:color w:val="231F20"/>
                <w:w w:val="75"/>
                <w:sz w:val="17"/>
              </w:rPr>
              <w:t>HFs</w:t>
            </w:r>
          </w:p>
          <w:p w14:paraId="107B24F4" w14:textId="77777777" w:rsidR="009948F1" w:rsidRDefault="00BC0563">
            <w:pPr>
              <w:pStyle w:val="TableParagraph"/>
              <w:numPr>
                <w:ilvl w:val="0"/>
                <w:numId w:val="110"/>
              </w:numPr>
              <w:tabs>
                <w:tab w:val="left" w:pos="105"/>
              </w:tabs>
              <w:spacing w:before="1" w:line="256" w:lineRule="auto"/>
              <w:ind w:right="195" w:firstLine="0"/>
              <w:rPr>
                <w:sz w:val="17"/>
              </w:rPr>
            </w:pPr>
            <w:r>
              <w:rPr>
                <w:color w:val="231F20"/>
                <w:w w:val="75"/>
                <w:sz w:val="17"/>
              </w:rPr>
              <w:t>Prompt</w:t>
            </w:r>
            <w:r>
              <w:rPr>
                <w:color w:val="231F20"/>
                <w:spacing w:val="-21"/>
                <w:w w:val="75"/>
                <w:sz w:val="17"/>
              </w:rPr>
              <w:t xml:space="preserve"> </w:t>
            </w:r>
            <w:r>
              <w:rPr>
                <w:color w:val="231F20"/>
                <w:w w:val="75"/>
                <w:sz w:val="17"/>
              </w:rPr>
              <w:t>treatment</w:t>
            </w:r>
            <w:r>
              <w:rPr>
                <w:color w:val="231F20"/>
                <w:spacing w:val="-21"/>
                <w:w w:val="75"/>
                <w:sz w:val="17"/>
              </w:rPr>
              <w:t xml:space="preserve"> </w:t>
            </w:r>
            <w:r>
              <w:rPr>
                <w:color w:val="231F20"/>
                <w:w w:val="75"/>
                <w:sz w:val="17"/>
              </w:rPr>
              <w:t>of</w:t>
            </w:r>
            <w:r>
              <w:rPr>
                <w:color w:val="231F20"/>
                <w:spacing w:val="-20"/>
                <w:w w:val="75"/>
                <w:sz w:val="17"/>
              </w:rPr>
              <w:t xml:space="preserve"> </w:t>
            </w:r>
            <w:r>
              <w:rPr>
                <w:color w:val="231F20"/>
                <w:w w:val="75"/>
                <w:sz w:val="17"/>
              </w:rPr>
              <w:t>clients</w:t>
            </w:r>
            <w:r>
              <w:rPr>
                <w:color w:val="231F20"/>
                <w:spacing w:val="-21"/>
                <w:w w:val="75"/>
                <w:sz w:val="17"/>
              </w:rPr>
              <w:t xml:space="preserve"> </w:t>
            </w:r>
            <w:r>
              <w:rPr>
                <w:color w:val="231F20"/>
                <w:w w:val="75"/>
                <w:sz w:val="17"/>
              </w:rPr>
              <w:t>on</w:t>
            </w:r>
            <w:r>
              <w:rPr>
                <w:color w:val="231F20"/>
                <w:spacing w:val="-20"/>
                <w:w w:val="75"/>
                <w:sz w:val="17"/>
              </w:rPr>
              <w:t xml:space="preserve"> </w:t>
            </w:r>
            <w:r>
              <w:rPr>
                <w:color w:val="231F20"/>
                <w:w w:val="75"/>
                <w:sz w:val="17"/>
              </w:rPr>
              <w:t>arrival</w:t>
            </w:r>
            <w:r>
              <w:rPr>
                <w:color w:val="231F20"/>
                <w:spacing w:val="-21"/>
                <w:w w:val="75"/>
                <w:sz w:val="17"/>
              </w:rPr>
              <w:t xml:space="preserve"> </w:t>
            </w:r>
            <w:r>
              <w:rPr>
                <w:color w:val="231F20"/>
                <w:w w:val="75"/>
                <w:sz w:val="17"/>
              </w:rPr>
              <w:t xml:space="preserve">to </w:t>
            </w:r>
            <w:r>
              <w:rPr>
                <w:color w:val="231F20"/>
                <w:w w:val="80"/>
                <w:sz w:val="17"/>
              </w:rPr>
              <w:t>health facilities</w:t>
            </w:r>
            <w:r>
              <w:rPr>
                <w:color w:val="231F20"/>
                <w:spacing w:val="-17"/>
                <w:w w:val="80"/>
                <w:sz w:val="17"/>
              </w:rPr>
              <w:t xml:space="preserve"> </w:t>
            </w:r>
            <w:r>
              <w:rPr>
                <w:color w:val="231F20"/>
                <w:w w:val="80"/>
                <w:sz w:val="17"/>
              </w:rPr>
              <w:t>done</w:t>
            </w:r>
          </w:p>
        </w:tc>
        <w:tc>
          <w:tcPr>
            <w:tcW w:w="1447" w:type="dxa"/>
            <w:tcBorders>
              <w:top w:val="single" w:sz="12" w:space="0" w:color="231F20"/>
              <w:left w:val="single" w:sz="6" w:space="0" w:color="231F20"/>
              <w:right w:val="single" w:sz="6" w:space="0" w:color="231F20"/>
            </w:tcBorders>
            <w:shd w:val="clear" w:color="auto" w:fill="CCE7D3"/>
          </w:tcPr>
          <w:p w14:paraId="5F4557D1" w14:textId="77777777" w:rsidR="009948F1" w:rsidRDefault="009948F1">
            <w:pPr>
              <w:pStyle w:val="TableParagraph"/>
              <w:rPr>
                <w:rFonts w:ascii="Times New Roman"/>
                <w:sz w:val="12"/>
              </w:rPr>
            </w:pPr>
          </w:p>
        </w:tc>
        <w:tc>
          <w:tcPr>
            <w:tcW w:w="1528" w:type="dxa"/>
            <w:tcBorders>
              <w:top w:val="single" w:sz="12" w:space="0" w:color="231F20"/>
              <w:left w:val="single" w:sz="6" w:space="0" w:color="231F20"/>
              <w:right w:val="single" w:sz="6" w:space="0" w:color="231F20"/>
            </w:tcBorders>
            <w:shd w:val="clear" w:color="auto" w:fill="CCE7D3"/>
          </w:tcPr>
          <w:p w14:paraId="0246C917" w14:textId="77777777" w:rsidR="009948F1" w:rsidRDefault="009948F1">
            <w:pPr>
              <w:pStyle w:val="TableParagraph"/>
              <w:rPr>
                <w:rFonts w:ascii="Times New Roman"/>
                <w:sz w:val="12"/>
              </w:rPr>
            </w:pPr>
          </w:p>
        </w:tc>
      </w:tr>
      <w:tr w:rsidR="009948F1" w14:paraId="377E05C0" w14:textId="77777777">
        <w:trPr>
          <w:trHeight w:val="402"/>
        </w:trPr>
        <w:tc>
          <w:tcPr>
            <w:tcW w:w="867" w:type="dxa"/>
            <w:gridSpan w:val="2"/>
            <w:vMerge w:val="restart"/>
            <w:tcBorders>
              <w:top w:val="nil"/>
              <w:right w:val="single" w:sz="6" w:space="0" w:color="231F20"/>
            </w:tcBorders>
          </w:tcPr>
          <w:p w14:paraId="5AE82360" w14:textId="77777777" w:rsidR="009948F1" w:rsidRDefault="009948F1">
            <w:pPr>
              <w:pStyle w:val="TableParagraph"/>
              <w:rPr>
                <w:rFonts w:ascii="Times New Roman"/>
                <w:sz w:val="12"/>
              </w:rPr>
            </w:pPr>
          </w:p>
        </w:tc>
        <w:tc>
          <w:tcPr>
            <w:tcW w:w="533" w:type="dxa"/>
            <w:tcBorders>
              <w:left w:val="single" w:sz="6" w:space="0" w:color="231F20"/>
              <w:right w:val="single" w:sz="6" w:space="0" w:color="231F20"/>
            </w:tcBorders>
          </w:tcPr>
          <w:p w14:paraId="16A20ACB" w14:textId="77777777" w:rsidR="009948F1" w:rsidRDefault="00BC0563">
            <w:pPr>
              <w:pStyle w:val="TableParagraph"/>
              <w:spacing w:before="99"/>
              <w:ind w:left="87"/>
              <w:rPr>
                <w:sz w:val="17"/>
              </w:rPr>
            </w:pPr>
            <w:r>
              <w:rPr>
                <w:color w:val="231F20"/>
                <w:w w:val="75"/>
                <w:sz w:val="17"/>
              </w:rPr>
              <w:t>7.3.3.a</w:t>
            </w:r>
          </w:p>
        </w:tc>
        <w:tc>
          <w:tcPr>
            <w:tcW w:w="4970" w:type="dxa"/>
            <w:gridSpan w:val="2"/>
            <w:tcBorders>
              <w:left w:val="single" w:sz="6" w:space="0" w:color="231F20"/>
            </w:tcBorders>
          </w:tcPr>
          <w:p w14:paraId="6184DD51" w14:textId="77777777" w:rsidR="009948F1" w:rsidRDefault="00BC0563">
            <w:pPr>
              <w:pStyle w:val="TableParagraph"/>
              <w:spacing w:before="92"/>
              <w:ind w:left="28"/>
              <w:rPr>
                <w:sz w:val="17"/>
              </w:rPr>
            </w:pPr>
            <w:r>
              <w:rPr>
                <w:color w:val="231F20"/>
                <w:w w:val="80"/>
                <w:sz w:val="17"/>
              </w:rPr>
              <w:t>Train health care providers on Triage and Lean Approach to health care service</w:t>
            </w:r>
          </w:p>
        </w:tc>
        <w:tc>
          <w:tcPr>
            <w:tcW w:w="1447" w:type="dxa"/>
            <w:tcBorders>
              <w:right w:val="single" w:sz="6" w:space="0" w:color="231F20"/>
            </w:tcBorders>
          </w:tcPr>
          <w:p w14:paraId="412B68E2" w14:textId="77777777" w:rsidR="009948F1" w:rsidRDefault="00BC0563">
            <w:pPr>
              <w:pStyle w:val="TableParagraph"/>
              <w:spacing w:before="99"/>
              <w:ind w:left="26"/>
              <w:rPr>
                <w:sz w:val="17"/>
              </w:rPr>
            </w:pPr>
            <w:r>
              <w:rPr>
                <w:color w:val="231F20"/>
                <w:w w:val="80"/>
                <w:sz w:val="17"/>
              </w:rPr>
              <w:t>Lack of funds</w:t>
            </w:r>
          </w:p>
        </w:tc>
        <w:tc>
          <w:tcPr>
            <w:tcW w:w="1528" w:type="dxa"/>
            <w:tcBorders>
              <w:left w:val="single" w:sz="6" w:space="0" w:color="231F20"/>
              <w:right w:val="single" w:sz="6" w:space="0" w:color="231F20"/>
            </w:tcBorders>
          </w:tcPr>
          <w:p w14:paraId="396374A1" w14:textId="77777777" w:rsidR="009948F1" w:rsidRDefault="00BC0563">
            <w:pPr>
              <w:pStyle w:val="TableParagraph"/>
              <w:spacing w:before="99"/>
              <w:ind w:left="30"/>
              <w:rPr>
                <w:sz w:val="17"/>
              </w:rPr>
            </w:pPr>
            <w:r>
              <w:rPr>
                <w:color w:val="231F20"/>
                <w:w w:val="75"/>
                <w:sz w:val="17"/>
              </w:rPr>
              <w:t>Train</w:t>
            </w:r>
            <w:r>
              <w:rPr>
                <w:color w:val="231F20"/>
                <w:spacing w:val="-21"/>
                <w:w w:val="75"/>
                <w:sz w:val="17"/>
              </w:rPr>
              <w:t xml:space="preserve"> </w:t>
            </w:r>
            <w:r>
              <w:rPr>
                <w:color w:val="231F20"/>
                <w:w w:val="75"/>
                <w:sz w:val="17"/>
              </w:rPr>
              <w:t>health</w:t>
            </w:r>
            <w:r>
              <w:rPr>
                <w:color w:val="231F20"/>
                <w:spacing w:val="-20"/>
                <w:w w:val="75"/>
                <w:sz w:val="17"/>
              </w:rPr>
              <w:t xml:space="preserve"> </w:t>
            </w:r>
            <w:r>
              <w:rPr>
                <w:color w:val="231F20"/>
                <w:w w:val="75"/>
                <w:sz w:val="17"/>
              </w:rPr>
              <w:t>care</w:t>
            </w:r>
            <w:r>
              <w:rPr>
                <w:color w:val="231F20"/>
                <w:spacing w:val="-20"/>
                <w:w w:val="75"/>
                <w:sz w:val="17"/>
              </w:rPr>
              <w:t xml:space="preserve"> </w:t>
            </w:r>
            <w:r>
              <w:rPr>
                <w:color w:val="231F20"/>
                <w:w w:val="75"/>
                <w:sz w:val="17"/>
              </w:rPr>
              <w:t>providers</w:t>
            </w:r>
          </w:p>
        </w:tc>
      </w:tr>
      <w:tr w:rsidR="009948F1" w14:paraId="0068C5E3" w14:textId="77777777">
        <w:trPr>
          <w:trHeight w:val="386"/>
        </w:trPr>
        <w:tc>
          <w:tcPr>
            <w:tcW w:w="867" w:type="dxa"/>
            <w:gridSpan w:val="2"/>
            <w:vMerge/>
            <w:tcBorders>
              <w:top w:val="nil"/>
              <w:right w:val="single" w:sz="6" w:space="0" w:color="231F20"/>
            </w:tcBorders>
          </w:tcPr>
          <w:p w14:paraId="78AF789A" w14:textId="77777777" w:rsidR="009948F1" w:rsidRDefault="009948F1">
            <w:pPr>
              <w:rPr>
                <w:sz w:val="2"/>
                <w:szCs w:val="2"/>
              </w:rPr>
            </w:pPr>
          </w:p>
        </w:tc>
        <w:tc>
          <w:tcPr>
            <w:tcW w:w="533" w:type="dxa"/>
            <w:tcBorders>
              <w:left w:val="single" w:sz="6" w:space="0" w:color="231F20"/>
              <w:right w:val="single" w:sz="6" w:space="0" w:color="231F20"/>
            </w:tcBorders>
          </w:tcPr>
          <w:p w14:paraId="7EB2B4B0" w14:textId="77777777" w:rsidR="009948F1" w:rsidRDefault="00BC0563">
            <w:pPr>
              <w:pStyle w:val="TableParagraph"/>
              <w:spacing w:before="92"/>
              <w:ind w:left="87"/>
              <w:rPr>
                <w:sz w:val="17"/>
              </w:rPr>
            </w:pPr>
            <w:r>
              <w:rPr>
                <w:color w:val="231F20"/>
                <w:w w:val="75"/>
                <w:sz w:val="17"/>
              </w:rPr>
              <w:t>7.3.3.b</w:t>
            </w:r>
          </w:p>
        </w:tc>
        <w:tc>
          <w:tcPr>
            <w:tcW w:w="4970" w:type="dxa"/>
            <w:gridSpan w:val="2"/>
            <w:tcBorders>
              <w:left w:val="single" w:sz="6" w:space="0" w:color="231F20"/>
            </w:tcBorders>
          </w:tcPr>
          <w:p w14:paraId="28CAB0CF" w14:textId="77777777" w:rsidR="009948F1" w:rsidRDefault="00BC0563">
            <w:pPr>
              <w:pStyle w:val="TableParagraph"/>
              <w:spacing w:before="85"/>
              <w:ind w:left="28"/>
              <w:rPr>
                <w:sz w:val="17"/>
              </w:rPr>
            </w:pPr>
            <w:r>
              <w:rPr>
                <w:color w:val="231F20"/>
                <w:w w:val="80"/>
                <w:sz w:val="17"/>
              </w:rPr>
              <w:t>Monthly review meeting on implementation of Triage and Lean</w:t>
            </w:r>
          </w:p>
        </w:tc>
        <w:tc>
          <w:tcPr>
            <w:tcW w:w="1447" w:type="dxa"/>
            <w:tcBorders>
              <w:right w:val="single" w:sz="6" w:space="0" w:color="231F20"/>
            </w:tcBorders>
          </w:tcPr>
          <w:p w14:paraId="02EDCC32" w14:textId="77777777" w:rsidR="009948F1" w:rsidRDefault="00BC0563">
            <w:pPr>
              <w:pStyle w:val="TableParagraph"/>
              <w:spacing w:before="92"/>
              <w:ind w:left="26"/>
              <w:rPr>
                <w:sz w:val="17"/>
              </w:rPr>
            </w:pPr>
            <w:r>
              <w:rPr>
                <w:color w:val="231F20"/>
                <w:w w:val="80"/>
                <w:sz w:val="17"/>
              </w:rPr>
              <w:t>Lack of funds</w:t>
            </w:r>
          </w:p>
        </w:tc>
        <w:tc>
          <w:tcPr>
            <w:tcW w:w="1528" w:type="dxa"/>
            <w:tcBorders>
              <w:left w:val="single" w:sz="6" w:space="0" w:color="231F20"/>
              <w:right w:val="single" w:sz="6" w:space="0" w:color="231F20"/>
            </w:tcBorders>
          </w:tcPr>
          <w:p w14:paraId="77BF4937" w14:textId="77777777" w:rsidR="009948F1" w:rsidRDefault="00BC0563">
            <w:pPr>
              <w:pStyle w:val="TableParagraph"/>
              <w:spacing w:before="92"/>
              <w:ind w:left="30"/>
              <w:rPr>
                <w:sz w:val="17"/>
              </w:rPr>
            </w:pPr>
            <w:r>
              <w:rPr>
                <w:color w:val="231F20"/>
                <w:w w:val="80"/>
                <w:sz w:val="17"/>
              </w:rPr>
              <w:t>Monthly review meeting</w:t>
            </w:r>
          </w:p>
        </w:tc>
      </w:tr>
      <w:tr w:rsidR="009948F1" w14:paraId="5288CC8A" w14:textId="77777777">
        <w:trPr>
          <w:trHeight w:val="407"/>
        </w:trPr>
        <w:tc>
          <w:tcPr>
            <w:tcW w:w="867" w:type="dxa"/>
            <w:gridSpan w:val="2"/>
            <w:vMerge/>
            <w:tcBorders>
              <w:top w:val="nil"/>
              <w:right w:val="single" w:sz="6" w:space="0" w:color="231F20"/>
            </w:tcBorders>
          </w:tcPr>
          <w:p w14:paraId="4E7C4618" w14:textId="77777777" w:rsidR="009948F1" w:rsidRDefault="009948F1">
            <w:pPr>
              <w:rPr>
                <w:sz w:val="2"/>
                <w:szCs w:val="2"/>
              </w:rPr>
            </w:pPr>
          </w:p>
        </w:tc>
        <w:tc>
          <w:tcPr>
            <w:tcW w:w="533" w:type="dxa"/>
            <w:tcBorders>
              <w:left w:val="single" w:sz="6" w:space="0" w:color="231F20"/>
              <w:right w:val="single" w:sz="6" w:space="0" w:color="231F20"/>
            </w:tcBorders>
          </w:tcPr>
          <w:p w14:paraId="1099DC24" w14:textId="77777777" w:rsidR="009948F1" w:rsidRDefault="00BC0563">
            <w:pPr>
              <w:pStyle w:val="TableParagraph"/>
              <w:spacing w:before="102"/>
              <w:ind w:left="91"/>
              <w:rPr>
                <w:sz w:val="17"/>
              </w:rPr>
            </w:pPr>
            <w:r>
              <w:rPr>
                <w:color w:val="231F20"/>
                <w:w w:val="75"/>
                <w:sz w:val="17"/>
              </w:rPr>
              <w:t>7.3.3.c</w:t>
            </w:r>
          </w:p>
        </w:tc>
        <w:tc>
          <w:tcPr>
            <w:tcW w:w="4970" w:type="dxa"/>
            <w:gridSpan w:val="2"/>
            <w:tcBorders>
              <w:left w:val="single" w:sz="6" w:space="0" w:color="231F20"/>
            </w:tcBorders>
          </w:tcPr>
          <w:p w14:paraId="799F15A2" w14:textId="77777777" w:rsidR="009948F1" w:rsidRDefault="00BC0563">
            <w:pPr>
              <w:pStyle w:val="TableParagraph"/>
              <w:spacing w:line="189" w:lineRule="exact"/>
              <w:ind w:left="28"/>
              <w:rPr>
                <w:sz w:val="17"/>
              </w:rPr>
            </w:pPr>
            <w:r>
              <w:rPr>
                <w:color w:val="231F20"/>
                <w:w w:val="75"/>
                <w:sz w:val="17"/>
              </w:rPr>
              <w:t>Provide</w:t>
            </w:r>
            <w:r>
              <w:rPr>
                <w:color w:val="231F20"/>
                <w:spacing w:val="-16"/>
                <w:w w:val="75"/>
                <w:sz w:val="17"/>
              </w:rPr>
              <w:t xml:space="preserve"> </w:t>
            </w:r>
            <w:r>
              <w:rPr>
                <w:color w:val="231F20"/>
                <w:w w:val="75"/>
                <w:sz w:val="17"/>
              </w:rPr>
              <w:t>directional</w:t>
            </w:r>
            <w:r>
              <w:rPr>
                <w:color w:val="231F20"/>
                <w:spacing w:val="-15"/>
                <w:w w:val="75"/>
                <w:sz w:val="17"/>
              </w:rPr>
              <w:t xml:space="preserve"> </w:t>
            </w:r>
            <w:r>
              <w:rPr>
                <w:color w:val="231F20"/>
                <w:w w:val="75"/>
                <w:sz w:val="17"/>
              </w:rPr>
              <w:t>signs</w:t>
            </w:r>
            <w:r>
              <w:rPr>
                <w:color w:val="231F20"/>
                <w:spacing w:val="-15"/>
                <w:w w:val="75"/>
                <w:sz w:val="17"/>
              </w:rPr>
              <w:t xml:space="preserve"> </w:t>
            </w:r>
            <w:r>
              <w:rPr>
                <w:color w:val="231F20"/>
                <w:w w:val="75"/>
                <w:sz w:val="17"/>
              </w:rPr>
              <w:t>and</w:t>
            </w:r>
            <w:r>
              <w:rPr>
                <w:color w:val="231F20"/>
                <w:spacing w:val="-15"/>
                <w:w w:val="75"/>
                <w:sz w:val="17"/>
              </w:rPr>
              <w:t xml:space="preserve"> </w:t>
            </w:r>
            <w:r>
              <w:rPr>
                <w:color w:val="231F20"/>
                <w:w w:val="75"/>
                <w:sz w:val="17"/>
              </w:rPr>
              <w:t>tagging</w:t>
            </w:r>
            <w:r>
              <w:rPr>
                <w:color w:val="231F20"/>
                <w:spacing w:val="-15"/>
                <w:w w:val="75"/>
                <w:sz w:val="17"/>
              </w:rPr>
              <w:t xml:space="preserve"> </w:t>
            </w:r>
            <w:r>
              <w:rPr>
                <w:color w:val="231F20"/>
                <w:w w:val="75"/>
                <w:sz w:val="17"/>
              </w:rPr>
              <w:t>of</w:t>
            </w:r>
            <w:r>
              <w:rPr>
                <w:color w:val="231F20"/>
                <w:spacing w:val="-15"/>
                <w:w w:val="75"/>
                <w:sz w:val="17"/>
              </w:rPr>
              <w:t xml:space="preserve"> </w:t>
            </w:r>
            <w:r>
              <w:rPr>
                <w:color w:val="231F20"/>
                <w:w w:val="75"/>
                <w:sz w:val="17"/>
              </w:rPr>
              <w:t>Departments</w:t>
            </w:r>
            <w:r>
              <w:rPr>
                <w:color w:val="231F20"/>
                <w:spacing w:val="-15"/>
                <w:w w:val="75"/>
                <w:sz w:val="17"/>
              </w:rPr>
              <w:t xml:space="preserve"> </w:t>
            </w:r>
            <w:r>
              <w:rPr>
                <w:color w:val="231F20"/>
                <w:w w:val="75"/>
                <w:sz w:val="17"/>
              </w:rPr>
              <w:t>and</w:t>
            </w:r>
            <w:r>
              <w:rPr>
                <w:color w:val="231F20"/>
                <w:spacing w:val="-16"/>
                <w:w w:val="75"/>
                <w:sz w:val="17"/>
              </w:rPr>
              <w:t xml:space="preserve"> </w:t>
            </w:r>
            <w:r>
              <w:rPr>
                <w:color w:val="231F20"/>
                <w:w w:val="75"/>
                <w:sz w:val="17"/>
              </w:rPr>
              <w:t>Units</w:t>
            </w:r>
            <w:r>
              <w:rPr>
                <w:color w:val="231F20"/>
                <w:spacing w:val="-15"/>
                <w:w w:val="75"/>
                <w:sz w:val="17"/>
              </w:rPr>
              <w:t xml:space="preserve"> </w:t>
            </w:r>
            <w:r>
              <w:rPr>
                <w:color w:val="231F20"/>
                <w:w w:val="75"/>
                <w:sz w:val="17"/>
              </w:rPr>
              <w:t>in</w:t>
            </w:r>
            <w:r>
              <w:rPr>
                <w:color w:val="231F20"/>
                <w:spacing w:val="-15"/>
                <w:w w:val="75"/>
                <w:sz w:val="17"/>
              </w:rPr>
              <w:t xml:space="preserve"> </w:t>
            </w:r>
            <w:r>
              <w:rPr>
                <w:color w:val="231F20"/>
                <w:w w:val="75"/>
                <w:sz w:val="17"/>
              </w:rPr>
              <w:t>all</w:t>
            </w:r>
            <w:r>
              <w:rPr>
                <w:color w:val="231F20"/>
                <w:spacing w:val="-15"/>
                <w:w w:val="75"/>
                <w:sz w:val="17"/>
              </w:rPr>
              <w:t xml:space="preserve"> </w:t>
            </w:r>
            <w:r>
              <w:rPr>
                <w:color w:val="231F20"/>
                <w:w w:val="75"/>
                <w:sz w:val="17"/>
              </w:rPr>
              <w:t>HFs</w:t>
            </w:r>
            <w:r>
              <w:rPr>
                <w:color w:val="231F20"/>
                <w:spacing w:val="-15"/>
                <w:w w:val="75"/>
                <w:sz w:val="17"/>
              </w:rPr>
              <w:t xml:space="preserve"> </w:t>
            </w:r>
            <w:r>
              <w:rPr>
                <w:color w:val="231F20"/>
                <w:w w:val="75"/>
                <w:sz w:val="17"/>
              </w:rPr>
              <w:t>to</w:t>
            </w:r>
            <w:r>
              <w:rPr>
                <w:color w:val="231F20"/>
                <w:spacing w:val="-15"/>
                <w:w w:val="75"/>
                <w:sz w:val="17"/>
              </w:rPr>
              <w:t xml:space="preserve"> </w:t>
            </w:r>
            <w:r>
              <w:rPr>
                <w:color w:val="231F20"/>
                <w:w w:val="75"/>
                <w:sz w:val="17"/>
              </w:rPr>
              <w:t>shorten</w:t>
            </w:r>
            <w:r>
              <w:rPr>
                <w:color w:val="231F20"/>
                <w:spacing w:val="-15"/>
                <w:w w:val="75"/>
                <w:sz w:val="17"/>
              </w:rPr>
              <w:t xml:space="preserve"> </w:t>
            </w:r>
            <w:r>
              <w:rPr>
                <w:color w:val="231F20"/>
                <w:w w:val="75"/>
                <w:sz w:val="17"/>
              </w:rPr>
              <w:t>time</w:t>
            </w:r>
          </w:p>
          <w:p w14:paraId="670DEFC5" w14:textId="77777777" w:rsidR="009948F1" w:rsidRDefault="00BC0563">
            <w:pPr>
              <w:pStyle w:val="TableParagraph"/>
              <w:spacing w:before="14" w:line="184" w:lineRule="exact"/>
              <w:ind w:left="28"/>
              <w:rPr>
                <w:sz w:val="17"/>
              </w:rPr>
            </w:pPr>
            <w:r>
              <w:rPr>
                <w:color w:val="231F20"/>
                <w:w w:val="80"/>
                <w:sz w:val="17"/>
              </w:rPr>
              <w:t>spent by clients</w:t>
            </w:r>
          </w:p>
        </w:tc>
        <w:tc>
          <w:tcPr>
            <w:tcW w:w="1447" w:type="dxa"/>
            <w:tcBorders>
              <w:right w:val="single" w:sz="6" w:space="0" w:color="231F20"/>
            </w:tcBorders>
          </w:tcPr>
          <w:p w14:paraId="1CB44597" w14:textId="77777777" w:rsidR="009948F1" w:rsidRDefault="00BC0563">
            <w:pPr>
              <w:pStyle w:val="TableParagraph"/>
              <w:spacing w:before="102"/>
              <w:ind w:left="26"/>
              <w:rPr>
                <w:sz w:val="17"/>
              </w:rPr>
            </w:pPr>
            <w:r>
              <w:rPr>
                <w:color w:val="231F20"/>
                <w:w w:val="80"/>
                <w:sz w:val="17"/>
              </w:rPr>
              <w:t>Lack of funds</w:t>
            </w:r>
          </w:p>
        </w:tc>
        <w:tc>
          <w:tcPr>
            <w:tcW w:w="1528" w:type="dxa"/>
            <w:tcBorders>
              <w:left w:val="single" w:sz="6" w:space="0" w:color="231F20"/>
              <w:right w:val="single" w:sz="6" w:space="0" w:color="231F20"/>
            </w:tcBorders>
          </w:tcPr>
          <w:p w14:paraId="4ADE7058" w14:textId="77777777" w:rsidR="009948F1" w:rsidRDefault="00BC0563">
            <w:pPr>
              <w:pStyle w:val="TableParagraph"/>
              <w:spacing w:before="102"/>
              <w:ind w:left="30"/>
              <w:rPr>
                <w:sz w:val="17"/>
              </w:rPr>
            </w:pPr>
            <w:r>
              <w:rPr>
                <w:color w:val="231F20"/>
                <w:w w:val="80"/>
                <w:sz w:val="17"/>
              </w:rPr>
              <w:t>Costed in OHT</w:t>
            </w:r>
          </w:p>
        </w:tc>
      </w:tr>
      <w:tr w:rsidR="009948F1" w14:paraId="32E5CB92" w14:textId="77777777">
        <w:trPr>
          <w:trHeight w:val="417"/>
        </w:trPr>
        <w:tc>
          <w:tcPr>
            <w:tcW w:w="867" w:type="dxa"/>
            <w:gridSpan w:val="2"/>
            <w:vMerge/>
            <w:tcBorders>
              <w:top w:val="nil"/>
              <w:right w:val="single" w:sz="6" w:space="0" w:color="231F20"/>
            </w:tcBorders>
          </w:tcPr>
          <w:p w14:paraId="651BAB8A" w14:textId="77777777" w:rsidR="009948F1" w:rsidRDefault="009948F1">
            <w:pPr>
              <w:rPr>
                <w:sz w:val="2"/>
                <w:szCs w:val="2"/>
              </w:rPr>
            </w:pPr>
          </w:p>
        </w:tc>
        <w:tc>
          <w:tcPr>
            <w:tcW w:w="533" w:type="dxa"/>
            <w:tcBorders>
              <w:left w:val="single" w:sz="6" w:space="0" w:color="231F20"/>
              <w:right w:val="single" w:sz="6" w:space="0" w:color="231F20"/>
            </w:tcBorders>
          </w:tcPr>
          <w:p w14:paraId="7190AC10" w14:textId="77777777" w:rsidR="009948F1" w:rsidRDefault="00BC0563">
            <w:pPr>
              <w:pStyle w:val="TableParagraph"/>
              <w:spacing w:before="107"/>
              <w:ind w:left="87"/>
              <w:rPr>
                <w:sz w:val="17"/>
              </w:rPr>
            </w:pPr>
            <w:r>
              <w:rPr>
                <w:color w:val="231F20"/>
                <w:w w:val="75"/>
                <w:sz w:val="17"/>
              </w:rPr>
              <w:t>7.3.3.d</w:t>
            </w:r>
          </w:p>
        </w:tc>
        <w:tc>
          <w:tcPr>
            <w:tcW w:w="4970" w:type="dxa"/>
            <w:gridSpan w:val="2"/>
            <w:tcBorders>
              <w:left w:val="single" w:sz="6" w:space="0" w:color="231F20"/>
            </w:tcBorders>
          </w:tcPr>
          <w:p w14:paraId="5625E755" w14:textId="77777777" w:rsidR="009948F1" w:rsidRDefault="00BC0563">
            <w:pPr>
              <w:pStyle w:val="TableParagraph"/>
              <w:spacing w:before="101"/>
              <w:ind w:left="28"/>
              <w:rPr>
                <w:sz w:val="17"/>
              </w:rPr>
            </w:pPr>
            <w:r>
              <w:rPr>
                <w:color w:val="231F20"/>
                <w:w w:val="80"/>
                <w:sz w:val="17"/>
              </w:rPr>
              <w:t>Training of diseases surveillance officers for active case search</w:t>
            </w:r>
          </w:p>
        </w:tc>
        <w:tc>
          <w:tcPr>
            <w:tcW w:w="1447" w:type="dxa"/>
            <w:tcBorders>
              <w:right w:val="single" w:sz="6" w:space="0" w:color="231F20"/>
            </w:tcBorders>
          </w:tcPr>
          <w:p w14:paraId="07289C19" w14:textId="77777777" w:rsidR="009948F1" w:rsidRDefault="00BC0563">
            <w:pPr>
              <w:pStyle w:val="TableParagraph"/>
              <w:spacing w:before="107"/>
              <w:ind w:left="26"/>
              <w:rPr>
                <w:sz w:val="17"/>
              </w:rPr>
            </w:pPr>
            <w:r>
              <w:rPr>
                <w:color w:val="231F20"/>
                <w:w w:val="80"/>
                <w:sz w:val="17"/>
              </w:rPr>
              <w:t>Lack of funds</w:t>
            </w:r>
          </w:p>
        </w:tc>
        <w:tc>
          <w:tcPr>
            <w:tcW w:w="1528" w:type="dxa"/>
            <w:tcBorders>
              <w:left w:val="single" w:sz="6" w:space="0" w:color="231F20"/>
              <w:right w:val="single" w:sz="6" w:space="0" w:color="231F20"/>
            </w:tcBorders>
          </w:tcPr>
          <w:p w14:paraId="3BF913FE" w14:textId="77777777" w:rsidR="009948F1" w:rsidRDefault="00BC0563">
            <w:pPr>
              <w:pStyle w:val="TableParagraph"/>
              <w:spacing w:before="2"/>
              <w:ind w:left="30"/>
              <w:rPr>
                <w:sz w:val="17"/>
              </w:rPr>
            </w:pPr>
            <w:r>
              <w:rPr>
                <w:color w:val="231F20"/>
                <w:w w:val="80"/>
                <w:sz w:val="17"/>
              </w:rPr>
              <w:t>Training of diseases</w:t>
            </w:r>
          </w:p>
          <w:p w14:paraId="5D80D7DB" w14:textId="77777777" w:rsidR="009948F1" w:rsidRDefault="00BC0563">
            <w:pPr>
              <w:pStyle w:val="TableParagraph"/>
              <w:spacing w:before="14" w:line="186" w:lineRule="exact"/>
              <w:ind w:left="30"/>
              <w:rPr>
                <w:sz w:val="17"/>
              </w:rPr>
            </w:pPr>
            <w:r>
              <w:rPr>
                <w:color w:val="231F20"/>
                <w:w w:val="80"/>
                <w:sz w:val="17"/>
              </w:rPr>
              <w:t>surveillance</w:t>
            </w:r>
          </w:p>
        </w:tc>
      </w:tr>
      <w:tr w:rsidR="009948F1" w14:paraId="5D0C12F0" w14:textId="77777777">
        <w:trPr>
          <w:trHeight w:val="407"/>
        </w:trPr>
        <w:tc>
          <w:tcPr>
            <w:tcW w:w="867" w:type="dxa"/>
            <w:gridSpan w:val="2"/>
            <w:vMerge/>
            <w:tcBorders>
              <w:top w:val="nil"/>
              <w:right w:val="single" w:sz="6" w:space="0" w:color="231F20"/>
            </w:tcBorders>
          </w:tcPr>
          <w:p w14:paraId="34BF5FCE" w14:textId="77777777" w:rsidR="009948F1" w:rsidRDefault="009948F1">
            <w:pPr>
              <w:rPr>
                <w:sz w:val="2"/>
                <w:szCs w:val="2"/>
              </w:rPr>
            </w:pPr>
          </w:p>
        </w:tc>
        <w:tc>
          <w:tcPr>
            <w:tcW w:w="533" w:type="dxa"/>
            <w:tcBorders>
              <w:left w:val="single" w:sz="6" w:space="0" w:color="231F20"/>
              <w:right w:val="single" w:sz="6" w:space="0" w:color="231F20"/>
            </w:tcBorders>
          </w:tcPr>
          <w:p w14:paraId="2CCB2B6B" w14:textId="77777777" w:rsidR="009948F1" w:rsidRDefault="00BC0563">
            <w:pPr>
              <w:pStyle w:val="TableParagraph"/>
              <w:spacing w:before="102"/>
              <w:ind w:left="87"/>
              <w:rPr>
                <w:sz w:val="17"/>
              </w:rPr>
            </w:pPr>
            <w:r>
              <w:rPr>
                <w:color w:val="231F20"/>
                <w:w w:val="75"/>
                <w:sz w:val="17"/>
              </w:rPr>
              <w:t>7.3.3.e</w:t>
            </w:r>
          </w:p>
        </w:tc>
        <w:tc>
          <w:tcPr>
            <w:tcW w:w="4970" w:type="dxa"/>
            <w:gridSpan w:val="2"/>
            <w:tcBorders>
              <w:left w:val="single" w:sz="6" w:space="0" w:color="231F20"/>
            </w:tcBorders>
          </w:tcPr>
          <w:p w14:paraId="094D6996" w14:textId="77777777" w:rsidR="009948F1" w:rsidRDefault="00BC0563">
            <w:pPr>
              <w:pStyle w:val="TableParagraph"/>
              <w:spacing w:before="95"/>
              <w:ind w:left="28"/>
              <w:rPr>
                <w:sz w:val="17"/>
              </w:rPr>
            </w:pPr>
            <w:r>
              <w:rPr>
                <w:color w:val="231F20"/>
                <w:w w:val="80"/>
                <w:sz w:val="17"/>
              </w:rPr>
              <w:t>Prompt treatment of clients on arrival to health facilities</w:t>
            </w:r>
          </w:p>
        </w:tc>
        <w:tc>
          <w:tcPr>
            <w:tcW w:w="1447" w:type="dxa"/>
            <w:tcBorders>
              <w:right w:val="single" w:sz="6" w:space="0" w:color="231F20"/>
            </w:tcBorders>
          </w:tcPr>
          <w:p w14:paraId="79D85E6E" w14:textId="77777777" w:rsidR="009948F1" w:rsidRDefault="00BC0563">
            <w:pPr>
              <w:pStyle w:val="TableParagraph"/>
              <w:spacing w:before="102"/>
              <w:ind w:left="26"/>
              <w:rPr>
                <w:sz w:val="17"/>
              </w:rPr>
            </w:pPr>
            <w:r>
              <w:rPr>
                <w:color w:val="231F20"/>
                <w:w w:val="80"/>
                <w:sz w:val="17"/>
              </w:rPr>
              <w:t>Lack of funds</w:t>
            </w:r>
          </w:p>
        </w:tc>
        <w:tc>
          <w:tcPr>
            <w:tcW w:w="1528" w:type="dxa"/>
            <w:tcBorders>
              <w:left w:val="single" w:sz="6" w:space="0" w:color="231F20"/>
              <w:right w:val="single" w:sz="6" w:space="0" w:color="231F20"/>
            </w:tcBorders>
          </w:tcPr>
          <w:p w14:paraId="7CAB91FA" w14:textId="77777777" w:rsidR="009948F1" w:rsidRDefault="00BC0563">
            <w:pPr>
              <w:pStyle w:val="TableParagraph"/>
              <w:spacing w:before="102"/>
              <w:ind w:left="30"/>
              <w:rPr>
                <w:sz w:val="17"/>
              </w:rPr>
            </w:pPr>
            <w:r>
              <w:rPr>
                <w:color w:val="231F20"/>
                <w:w w:val="80"/>
                <w:sz w:val="17"/>
              </w:rPr>
              <w:t>No cost</w:t>
            </w:r>
          </w:p>
        </w:tc>
      </w:tr>
      <w:tr w:rsidR="009948F1" w14:paraId="552BB9BC" w14:textId="77777777">
        <w:trPr>
          <w:trHeight w:val="895"/>
        </w:trPr>
        <w:tc>
          <w:tcPr>
            <w:tcW w:w="406" w:type="dxa"/>
            <w:tcBorders>
              <w:left w:val="single" w:sz="12" w:space="0" w:color="231F20"/>
              <w:right w:val="single" w:sz="6" w:space="0" w:color="231F20"/>
            </w:tcBorders>
            <w:shd w:val="clear" w:color="auto" w:fill="FFF200"/>
          </w:tcPr>
          <w:p w14:paraId="333F696A" w14:textId="77777777" w:rsidR="009948F1" w:rsidRDefault="009948F1">
            <w:pPr>
              <w:pStyle w:val="TableParagraph"/>
              <w:rPr>
                <w:sz w:val="16"/>
              </w:rPr>
            </w:pPr>
          </w:p>
          <w:p w14:paraId="22BBD463" w14:textId="77777777" w:rsidR="009948F1" w:rsidRDefault="009948F1">
            <w:pPr>
              <w:pStyle w:val="TableParagraph"/>
              <w:spacing w:before="4"/>
              <w:rPr>
                <w:sz w:val="14"/>
              </w:rPr>
            </w:pPr>
          </w:p>
          <w:p w14:paraId="1ACF9B61" w14:textId="77777777" w:rsidR="009948F1" w:rsidRDefault="00BC0563">
            <w:pPr>
              <w:pStyle w:val="TableParagraph"/>
              <w:ind w:left="180"/>
              <w:rPr>
                <w:b/>
                <w:sz w:val="17"/>
              </w:rPr>
            </w:pPr>
            <w:r>
              <w:rPr>
                <w:b/>
                <w:color w:val="231F20"/>
                <w:w w:val="80"/>
                <w:sz w:val="17"/>
              </w:rPr>
              <w:t>7.4</w:t>
            </w:r>
          </w:p>
        </w:tc>
        <w:tc>
          <w:tcPr>
            <w:tcW w:w="5964" w:type="dxa"/>
            <w:gridSpan w:val="4"/>
            <w:tcBorders>
              <w:left w:val="single" w:sz="6" w:space="0" w:color="231F20"/>
            </w:tcBorders>
            <w:shd w:val="clear" w:color="auto" w:fill="FFF200"/>
          </w:tcPr>
          <w:p w14:paraId="2988A1AB" w14:textId="77777777" w:rsidR="009948F1" w:rsidRDefault="009948F1">
            <w:pPr>
              <w:pStyle w:val="TableParagraph"/>
              <w:spacing w:before="5"/>
              <w:rPr>
                <w:sz w:val="20"/>
              </w:rPr>
            </w:pPr>
          </w:p>
          <w:p w14:paraId="79AEF742" w14:textId="38B66796" w:rsidR="009948F1" w:rsidRDefault="00BC0563">
            <w:pPr>
              <w:pStyle w:val="TableParagraph"/>
              <w:spacing w:line="264" w:lineRule="auto"/>
              <w:ind w:left="26" w:firstLine="33"/>
              <w:rPr>
                <w:b/>
                <w:sz w:val="17"/>
              </w:rPr>
            </w:pPr>
            <w:r>
              <w:rPr>
                <w:b/>
                <w:color w:val="231F20"/>
                <w:w w:val="70"/>
                <w:sz w:val="17"/>
              </w:rPr>
              <w:t xml:space="preserve">Strengthen the provision of health services at public and private health facilities that are appropriate, </w:t>
            </w:r>
            <w:r>
              <w:rPr>
                <w:b/>
                <w:color w:val="231F20"/>
                <w:w w:val="75"/>
                <w:sz w:val="17"/>
              </w:rPr>
              <w:t xml:space="preserve">accessible, and meet the minimum quality and safety standards for </w:t>
            </w:r>
            <w:r w:rsidR="00FB089D">
              <w:rPr>
                <w:b/>
                <w:color w:val="231F20"/>
                <w:w w:val="75"/>
                <w:sz w:val="17"/>
              </w:rPr>
              <w:t>optimized</w:t>
            </w:r>
            <w:r>
              <w:rPr>
                <w:b/>
                <w:color w:val="231F20"/>
                <w:w w:val="75"/>
                <w:sz w:val="17"/>
              </w:rPr>
              <w:t xml:space="preserve"> health outcomes</w:t>
            </w:r>
          </w:p>
        </w:tc>
        <w:tc>
          <w:tcPr>
            <w:tcW w:w="2975" w:type="dxa"/>
            <w:gridSpan w:val="2"/>
            <w:tcBorders>
              <w:right w:val="single" w:sz="6" w:space="0" w:color="231F20"/>
            </w:tcBorders>
            <w:shd w:val="clear" w:color="auto" w:fill="FFF200"/>
          </w:tcPr>
          <w:p w14:paraId="48508C86" w14:textId="77777777" w:rsidR="009948F1" w:rsidRDefault="009948F1">
            <w:pPr>
              <w:pStyle w:val="TableParagraph"/>
              <w:rPr>
                <w:rFonts w:ascii="Times New Roman"/>
                <w:sz w:val="12"/>
              </w:rPr>
            </w:pPr>
          </w:p>
        </w:tc>
      </w:tr>
      <w:tr w:rsidR="009948F1" w14:paraId="671FEF65" w14:textId="77777777">
        <w:trPr>
          <w:trHeight w:val="1117"/>
        </w:trPr>
        <w:tc>
          <w:tcPr>
            <w:tcW w:w="406" w:type="dxa"/>
            <w:tcBorders>
              <w:bottom w:val="nil"/>
              <w:right w:val="single" w:sz="6" w:space="0" w:color="231F20"/>
            </w:tcBorders>
          </w:tcPr>
          <w:p w14:paraId="09813EF6" w14:textId="77777777" w:rsidR="009948F1" w:rsidRDefault="009948F1">
            <w:pPr>
              <w:pStyle w:val="TableParagraph"/>
              <w:rPr>
                <w:rFonts w:ascii="Times New Roman"/>
                <w:sz w:val="12"/>
              </w:rPr>
            </w:pPr>
          </w:p>
        </w:tc>
        <w:tc>
          <w:tcPr>
            <w:tcW w:w="461" w:type="dxa"/>
            <w:tcBorders>
              <w:left w:val="single" w:sz="6" w:space="0" w:color="231F20"/>
              <w:right w:val="single" w:sz="6" w:space="0" w:color="231F20"/>
            </w:tcBorders>
            <w:shd w:val="clear" w:color="auto" w:fill="CCE7D3"/>
          </w:tcPr>
          <w:p w14:paraId="3E5918CB" w14:textId="77777777" w:rsidR="009948F1" w:rsidRDefault="009948F1">
            <w:pPr>
              <w:pStyle w:val="TableParagraph"/>
              <w:rPr>
                <w:sz w:val="16"/>
              </w:rPr>
            </w:pPr>
          </w:p>
          <w:p w14:paraId="7B18EAC6" w14:textId="77777777" w:rsidR="009948F1" w:rsidRDefault="009948F1">
            <w:pPr>
              <w:pStyle w:val="TableParagraph"/>
              <w:spacing w:before="8"/>
              <w:rPr>
                <w:sz w:val="23"/>
              </w:rPr>
            </w:pPr>
          </w:p>
          <w:p w14:paraId="05F3B5A1" w14:textId="77777777" w:rsidR="009948F1" w:rsidRDefault="00BC0563">
            <w:pPr>
              <w:pStyle w:val="TableParagraph"/>
              <w:ind w:left="60"/>
              <w:rPr>
                <w:sz w:val="17"/>
              </w:rPr>
            </w:pPr>
            <w:r>
              <w:rPr>
                <w:color w:val="231F20"/>
                <w:w w:val="80"/>
                <w:sz w:val="17"/>
              </w:rPr>
              <w:t>7.4.1</w:t>
            </w:r>
          </w:p>
        </w:tc>
        <w:tc>
          <w:tcPr>
            <w:tcW w:w="3082" w:type="dxa"/>
            <w:gridSpan w:val="2"/>
            <w:tcBorders>
              <w:left w:val="single" w:sz="6" w:space="0" w:color="231F20"/>
              <w:right w:val="single" w:sz="6" w:space="0" w:color="231F20"/>
            </w:tcBorders>
            <w:shd w:val="clear" w:color="auto" w:fill="CCE7D3"/>
          </w:tcPr>
          <w:p w14:paraId="718B932A" w14:textId="77777777" w:rsidR="009948F1" w:rsidRDefault="00BC0563">
            <w:pPr>
              <w:pStyle w:val="TableParagraph"/>
              <w:spacing w:before="136" w:line="256" w:lineRule="auto"/>
              <w:ind w:left="27" w:firstLine="33"/>
              <w:rPr>
                <w:sz w:val="17"/>
              </w:rPr>
            </w:pPr>
            <w:r>
              <w:rPr>
                <w:color w:val="231F20"/>
                <w:w w:val="80"/>
                <w:sz w:val="17"/>
              </w:rPr>
              <w:t xml:space="preserve">Promote the development and implementation of </w:t>
            </w:r>
            <w:r>
              <w:rPr>
                <w:color w:val="231F20"/>
                <w:w w:val="75"/>
                <w:sz w:val="17"/>
              </w:rPr>
              <w:t xml:space="preserve">policies, plans, legislations, regulations and clinical </w:t>
            </w:r>
            <w:r>
              <w:rPr>
                <w:color w:val="231F20"/>
                <w:w w:val="70"/>
                <w:sz w:val="17"/>
              </w:rPr>
              <w:t xml:space="preserve">standards for safety and quality improvement of Medical </w:t>
            </w:r>
            <w:r>
              <w:rPr>
                <w:color w:val="231F20"/>
                <w:w w:val="80"/>
                <w:sz w:val="17"/>
              </w:rPr>
              <w:t>Services across all levels of care</w:t>
            </w:r>
          </w:p>
        </w:tc>
        <w:tc>
          <w:tcPr>
            <w:tcW w:w="2421" w:type="dxa"/>
            <w:tcBorders>
              <w:left w:val="single" w:sz="6" w:space="0" w:color="231F20"/>
              <w:right w:val="single" w:sz="6" w:space="0" w:color="231F20"/>
            </w:tcBorders>
            <w:shd w:val="clear" w:color="auto" w:fill="CCE7D3"/>
          </w:tcPr>
          <w:p w14:paraId="12999C82" w14:textId="77777777" w:rsidR="009948F1" w:rsidRDefault="00BC0563">
            <w:pPr>
              <w:pStyle w:val="TableParagraph"/>
              <w:numPr>
                <w:ilvl w:val="0"/>
                <w:numId w:val="109"/>
              </w:numPr>
              <w:tabs>
                <w:tab w:val="left" w:pos="105"/>
              </w:tabs>
              <w:spacing w:before="38" w:line="256" w:lineRule="auto"/>
              <w:ind w:right="297" w:firstLine="0"/>
              <w:jc w:val="both"/>
              <w:rPr>
                <w:sz w:val="17"/>
              </w:rPr>
            </w:pPr>
            <w:r>
              <w:rPr>
                <w:color w:val="231F20"/>
                <w:w w:val="70"/>
                <w:sz w:val="17"/>
              </w:rPr>
              <w:t xml:space="preserve">Policy guidelines ( SOPs) developed, printed, distributed and implementation </w:t>
            </w:r>
            <w:r>
              <w:rPr>
                <w:color w:val="231F20"/>
                <w:w w:val="80"/>
                <w:sz w:val="17"/>
              </w:rPr>
              <w:t>monitored</w:t>
            </w:r>
          </w:p>
          <w:p w14:paraId="2A15F095" w14:textId="77777777" w:rsidR="009948F1" w:rsidRDefault="00BC0563">
            <w:pPr>
              <w:pStyle w:val="TableParagraph"/>
              <w:numPr>
                <w:ilvl w:val="0"/>
                <w:numId w:val="109"/>
              </w:numPr>
              <w:tabs>
                <w:tab w:val="left" w:pos="73"/>
              </w:tabs>
              <w:ind w:left="72" w:hanging="45"/>
              <w:jc w:val="both"/>
              <w:rPr>
                <w:sz w:val="17"/>
              </w:rPr>
            </w:pPr>
            <w:r>
              <w:rPr>
                <w:color w:val="231F20"/>
                <w:w w:val="80"/>
                <w:sz w:val="17"/>
              </w:rPr>
              <w:t>Orientation/Interactive</w:t>
            </w:r>
            <w:r>
              <w:rPr>
                <w:color w:val="231F20"/>
                <w:spacing w:val="-25"/>
                <w:w w:val="80"/>
                <w:sz w:val="17"/>
              </w:rPr>
              <w:t xml:space="preserve"> </w:t>
            </w:r>
            <w:r>
              <w:rPr>
                <w:color w:val="231F20"/>
                <w:w w:val="80"/>
                <w:sz w:val="17"/>
              </w:rPr>
              <w:t>sessions</w:t>
            </w:r>
            <w:r>
              <w:rPr>
                <w:color w:val="231F20"/>
                <w:spacing w:val="-24"/>
                <w:w w:val="80"/>
                <w:sz w:val="17"/>
              </w:rPr>
              <w:t xml:space="preserve"> </w:t>
            </w:r>
            <w:r>
              <w:rPr>
                <w:color w:val="231F20"/>
                <w:w w:val="80"/>
                <w:sz w:val="17"/>
              </w:rPr>
              <w:t>done</w:t>
            </w:r>
          </w:p>
          <w:p w14:paraId="26BB574D" w14:textId="77777777" w:rsidR="009948F1" w:rsidRDefault="00BC0563">
            <w:pPr>
              <w:pStyle w:val="TableParagraph"/>
              <w:numPr>
                <w:ilvl w:val="0"/>
                <w:numId w:val="109"/>
              </w:numPr>
              <w:tabs>
                <w:tab w:val="left" w:pos="73"/>
              </w:tabs>
              <w:spacing w:before="14"/>
              <w:ind w:left="72" w:hanging="45"/>
              <w:jc w:val="both"/>
              <w:rPr>
                <w:sz w:val="17"/>
              </w:rPr>
            </w:pPr>
            <w:r>
              <w:rPr>
                <w:color w:val="231F20"/>
                <w:w w:val="80"/>
                <w:sz w:val="17"/>
              </w:rPr>
              <w:t>Training</w:t>
            </w:r>
            <w:r>
              <w:rPr>
                <w:color w:val="231F20"/>
                <w:spacing w:val="-20"/>
                <w:w w:val="80"/>
                <w:sz w:val="17"/>
              </w:rPr>
              <w:t xml:space="preserve"> </w:t>
            </w:r>
            <w:r>
              <w:rPr>
                <w:color w:val="231F20"/>
                <w:w w:val="80"/>
                <w:sz w:val="17"/>
              </w:rPr>
              <w:t>of</w:t>
            </w:r>
            <w:r>
              <w:rPr>
                <w:color w:val="231F20"/>
                <w:spacing w:val="-20"/>
                <w:w w:val="80"/>
                <w:sz w:val="17"/>
              </w:rPr>
              <w:t xml:space="preserve"> </w:t>
            </w:r>
            <w:r>
              <w:rPr>
                <w:color w:val="231F20"/>
                <w:w w:val="80"/>
                <w:sz w:val="17"/>
              </w:rPr>
              <w:t>Trainers</w:t>
            </w:r>
            <w:r>
              <w:rPr>
                <w:color w:val="231F20"/>
                <w:spacing w:val="-19"/>
                <w:w w:val="80"/>
                <w:sz w:val="17"/>
              </w:rPr>
              <w:t xml:space="preserve"> </w:t>
            </w:r>
            <w:r>
              <w:rPr>
                <w:color w:val="231F20"/>
                <w:w w:val="80"/>
                <w:sz w:val="17"/>
              </w:rPr>
              <w:t>Workshop</w:t>
            </w:r>
            <w:r>
              <w:rPr>
                <w:color w:val="231F20"/>
                <w:spacing w:val="-19"/>
                <w:w w:val="80"/>
                <w:sz w:val="17"/>
              </w:rPr>
              <w:t xml:space="preserve"> </w:t>
            </w:r>
            <w:r>
              <w:rPr>
                <w:color w:val="231F20"/>
                <w:w w:val="80"/>
                <w:sz w:val="17"/>
              </w:rPr>
              <w:t>done</w:t>
            </w:r>
          </w:p>
        </w:tc>
        <w:tc>
          <w:tcPr>
            <w:tcW w:w="1447" w:type="dxa"/>
            <w:tcBorders>
              <w:left w:val="single" w:sz="6" w:space="0" w:color="231F20"/>
              <w:right w:val="single" w:sz="6" w:space="0" w:color="231F20"/>
            </w:tcBorders>
            <w:shd w:val="clear" w:color="auto" w:fill="CCE7D3"/>
          </w:tcPr>
          <w:p w14:paraId="7C10F046"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30DE9C53" w14:textId="77777777" w:rsidR="009948F1" w:rsidRDefault="009948F1">
            <w:pPr>
              <w:pStyle w:val="TableParagraph"/>
              <w:rPr>
                <w:rFonts w:ascii="Times New Roman"/>
                <w:sz w:val="12"/>
              </w:rPr>
            </w:pPr>
          </w:p>
        </w:tc>
      </w:tr>
      <w:tr w:rsidR="009948F1" w14:paraId="33AA6037" w14:textId="77777777">
        <w:trPr>
          <w:trHeight w:val="638"/>
        </w:trPr>
        <w:tc>
          <w:tcPr>
            <w:tcW w:w="867" w:type="dxa"/>
            <w:gridSpan w:val="2"/>
            <w:vMerge w:val="restart"/>
            <w:tcBorders>
              <w:top w:val="nil"/>
              <w:bottom w:val="nil"/>
              <w:right w:val="single" w:sz="6" w:space="0" w:color="231F20"/>
            </w:tcBorders>
          </w:tcPr>
          <w:p w14:paraId="4F2FEE53" w14:textId="77777777" w:rsidR="009948F1" w:rsidRDefault="009948F1">
            <w:pPr>
              <w:pStyle w:val="TableParagraph"/>
              <w:rPr>
                <w:rFonts w:ascii="Times New Roman"/>
                <w:sz w:val="12"/>
              </w:rPr>
            </w:pPr>
          </w:p>
        </w:tc>
        <w:tc>
          <w:tcPr>
            <w:tcW w:w="533" w:type="dxa"/>
            <w:tcBorders>
              <w:left w:val="single" w:sz="6" w:space="0" w:color="231F20"/>
              <w:right w:val="single" w:sz="6" w:space="0" w:color="231F20"/>
            </w:tcBorders>
          </w:tcPr>
          <w:p w14:paraId="7CD6D0EC" w14:textId="77777777" w:rsidR="009948F1" w:rsidRDefault="009948F1">
            <w:pPr>
              <w:pStyle w:val="TableParagraph"/>
              <w:spacing w:before="11"/>
              <w:rPr>
                <w:sz w:val="18"/>
              </w:rPr>
            </w:pPr>
          </w:p>
          <w:p w14:paraId="5819E7B7" w14:textId="77777777" w:rsidR="009948F1" w:rsidRDefault="00BC0563">
            <w:pPr>
              <w:pStyle w:val="TableParagraph"/>
              <w:ind w:left="87"/>
              <w:rPr>
                <w:sz w:val="17"/>
              </w:rPr>
            </w:pPr>
            <w:r>
              <w:rPr>
                <w:color w:val="231F20"/>
                <w:w w:val="75"/>
                <w:sz w:val="17"/>
              </w:rPr>
              <w:t>7.4.1.a</w:t>
            </w:r>
          </w:p>
        </w:tc>
        <w:tc>
          <w:tcPr>
            <w:tcW w:w="4970" w:type="dxa"/>
            <w:gridSpan w:val="2"/>
            <w:tcBorders>
              <w:left w:val="single" w:sz="6" w:space="0" w:color="231F20"/>
              <w:right w:val="single" w:sz="6" w:space="0" w:color="231F20"/>
            </w:tcBorders>
          </w:tcPr>
          <w:p w14:paraId="74DB4C97" w14:textId="77777777" w:rsidR="009948F1" w:rsidRDefault="00BC0563">
            <w:pPr>
              <w:pStyle w:val="TableParagraph"/>
              <w:spacing w:before="2"/>
              <w:ind w:left="28"/>
              <w:rPr>
                <w:sz w:val="17"/>
              </w:rPr>
            </w:pPr>
            <w:r>
              <w:rPr>
                <w:color w:val="231F20"/>
                <w:w w:val="75"/>
                <w:sz w:val="17"/>
              </w:rPr>
              <w:t>Set</w:t>
            </w:r>
            <w:r>
              <w:rPr>
                <w:color w:val="231F20"/>
                <w:spacing w:val="-17"/>
                <w:w w:val="75"/>
                <w:sz w:val="17"/>
              </w:rPr>
              <w:t xml:space="preserve"> </w:t>
            </w:r>
            <w:r>
              <w:rPr>
                <w:color w:val="231F20"/>
                <w:w w:val="75"/>
                <w:sz w:val="17"/>
              </w:rPr>
              <w:t>up</w:t>
            </w:r>
            <w:r>
              <w:rPr>
                <w:color w:val="231F20"/>
                <w:spacing w:val="-17"/>
                <w:w w:val="75"/>
                <w:sz w:val="17"/>
              </w:rPr>
              <w:t xml:space="preserve"> </w:t>
            </w:r>
            <w:r>
              <w:rPr>
                <w:color w:val="231F20"/>
                <w:w w:val="75"/>
                <w:sz w:val="17"/>
              </w:rPr>
              <w:t>committee</w:t>
            </w:r>
            <w:r>
              <w:rPr>
                <w:color w:val="231F20"/>
                <w:spacing w:val="-17"/>
                <w:w w:val="75"/>
                <w:sz w:val="17"/>
              </w:rPr>
              <w:t xml:space="preserve"> </w:t>
            </w:r>
            <w:r>
              <w:rPr>
                <w:color w:val="231F20"/>
                <w:w w:val="75"/>
                <w:sz w:val="17"/>
              </w:rPr>
              <w:t>to</w:t>
            </w:r>
            <w:r>
              <w:rPr>
                <w:color w:val="231F20"/>
                <w:spacing w:val="-16"/>
                <w:w w:val="75"/>
                <w:sz w:val="17"/>
              </w:rPr>
              <w:t xml:space="preserve"> </w:t>
            </w:r>
            <w:r>
              <w:rPr>
                <w:color w:val="231F20"/>
                <w:w w:val="75"/>
                <w:sz w:val="17"/>
              </w:rPr>
              <w:t>pay</w:t>
            </w:r>
            <w:r>
              <w:rPr>
                <w:color w:val="231F20"/>
                <w:spacing w:val="-17"/>
                <w:w w:val="75"/>
                <w:sz w:val="17"/>
              </w:rPr>
              <w:t xml:space="preserve"> </w:t>
            </w:r>
            <w:r>
              <w:rPr>
                <w:color w:val="231F20"/>
                <w:w w:val="75"/>
                <w:sz w:val="17"/>
              </w:rPr>
              <w:t>advocacy</w:t>
            </w:r>
            <w:r>
              <w:rPr>
                <w:color w:val="231F20"/>
                <w:spacing w:val="-17"/>
                <w:w w:val="75"/>
                <w:sz w:val="17"/>
              </w:rPr>
              <w:t xml:space="preserve"> </w:t>
            </w:r>
            <w:r>
              <w:rPr>
                <w:color w:val="231F20"/>
                <w:w w:val="75"/>
                <w:sz w:val="17"/>
              </w:rPr>
              <w:t>visit</w:t>
            </w:r>
            <w:r>
              <w:rPr>
                <w:color w:val="231F20"/>
                <w:spacing w:val="-16"/>
                <w:w w:val="75"/>
                <w:sz w:val="17"/>
              </w:rPr>
              <w:t xml:space="preserve"> </w:t>
            </w:r>
            <w:r>
              <w:rPr>
                <w:color w:val="231F20"/>
                <w:w w:val="75"/>
                <w:sz w:val="17"/>
              </w:rPr>
              <w:t>to</w:t>
            </w:r>
            <w:r>
              <w:rPr>
                <w:color w:val="231F20"/>
                <w:spacing w:val="-17"/>
                <w:w w:val="75"/>
                <w:sz w:val="17"/>
              </w:rPr>
              <w:t xml:space="preserve"> </w:t>
            </w:r>
            <w:r>
              <w:rPr>
                <w:color w:val="231F20"/>
                <w:w w:val="75"/>
                <w:sz w:val="17"/>
              </w:rPr>
              <w:t>Legislative/executive</w:t>
            </w:r>
            <w:r>
              <w:rPr>
                <w:color w:val="231F20"/>
                <w:spacing w:val="-17"/>
                <w:w w:val="75"/>
                <w:sz w:val="17"/>
              </w:rPr>
              <w:t xml:space="preserve"> </w:t>
            </w:r>
            <w:r>
              <w:rPr>
                <w:color w:val="231F20"/>
                <w:w w:val="75"/>
                <w:sz w:val="17"/>
              </w:rPr>
              <w:t>bodies</w:t>
            </w:r>
            <w:r>
              <w:rPr>
                <w:color w:val="231F20"/>
                <w:spacing w:val="-16"/>
                <w:w w:val="75"/>
                <w:sz w:val="17"/>
              </w:rPr>
              <w:t xml:space="preserve"> </w:t>
            </w:r>
            <w:r>
              <w:rPr>
                <w:color w:val="231F20"/>
                <w:w w:val="75"/>
                <w:sz w:val="17"/>
              </w:rPr>
              <w:t>in</w:t>
            </w:r>
            <w:r>
              <w:rPr>
                <w:color w:val="231F20"/>
                <w:spacing w:val="-17"/>
                <w:w w:val="75"/>
                <w:sz w:val="17"/>
              </w:rPr>
              <w:t xml:space="preserve"> </w:t>
            </w:r>
            <w:r>
              <w:rPr>
                <w:color w:val="231F20"/>
                <w:w w:val="75"/>
                <w:sz w:val="17"/>
              </w:rPr>
              <w:t>Government</w:t>
            </w:r>
            <w:r>
              <w:rPr>
                <w:color w:val="231F20"/>
                <w:spacing w:val="-17"/>
                <w:w w:val="75"/>
                <w:sz w:val="17"/>
              </w:rPr>
              <w:t xml:space="preserve"> </w:t>
            </w:r>
            <w:r>
              <w:rPr>
                <w:color w:val="231F20"/>
                <w:w w:val="75"/>
                <w:sz w:val="17"/>
              </w:rPr>
              <w:t>as</w:t>
            </w:r>
          </w:p>
          <w:p w14:paraId="1C163964" w14:textId="77777777" w:rsidR="009948F1" w:rsidRDefault="00BC0563">
            <w:pPr>
              <w:pStyle w:val="TableParagraph"/>
              <w:spacing w:line="210" w:lineRule="atLeast"/>
              <w:ind w:left="28"/>
              <w:rPr>
                <w:sz w:val="17"/>
              </w:rPr>
            </w:pPr>
            <w:r>
              <w:rPr>
                <w:color w:val="231F20"/>
                <w:w w:val="70"/>
                <w:sz w:val="17"/>
              </w:rPr>
              <w:t xml:space="preserve">well as Partners </w:t>
            </w:r>
            <w:proofErr w:type="gramStart"/>
            <w:r>
              <w:rPr>
                <w:color w:val="231F20"/>
                <w:w w:val="70"/>
                <w:sz w:val="17"/>
              </w:rPr>
              <w:t>Agencies( NGOs</w:t>
            </w:r>
            <w:proofErr w:type="gramEnd"/>
            <w:r>
              <w:rPr>
                <w:color w:val="231F20"/>
                <w:w w:val="70"/>
                <w:sz w:val="17"/>
              </w:rPr>
              <w:t xml:space="preserve">, Public Health Institutions, Companies and other </w:t>
            </w:r>
            <w:r>
              <w:rPr>
                <w:color w:val="231F20"/>
                <w:w w:val="80"/>
                <w:sz w:val="17"/>
              </w:rPr>
              <w:t>Parastatals) for safety and quality improvement of medical services.</w:t>
            </w:r>
          </w:p>
        </w:tc>
        <w:tc>
          <w:tcPr>
            <w:tcW w:w="1447" w:type="dxa"/>
            <w:tcBorders>
              <w:left w:val="single" w:sz="6" w:space="0" w:color="231F20"/>
              <w:right w:val="single" w:sz="6" w:space="0" w:color="231F20"/>
            </w:tcBorders>
          </w:tcPr>
          <w:p w14:paraId="1BA4609C" w14:textId="77777777" w:rsidR="009948F1" w:rsidRDefault="009948F1">
            <w:pPr>
              <w:pStyle w:val="TableParagraph"/>
              <w:spacing w:before="11"/>
              <w:rPr>
                <w:sz w:val="18"/>
              </w:rPr>
            </w:pPr>
          </w:p>
          <w:p w14:paraId="0C1B0BC1" w14:textId="77777777" w:rsidR="009948F1" w:rsidRDefault="00BC0563">
            <w:pPr>
              <w:pStyle w:val="TableParagraph"/>
              <w:ind w:left="28"/>
              <w:rPr>
                <w:sz w:val="17"/>
              </w:rPr>
            </w:pPr>
            <w:r>
              <w:rPr>
                <w:color w:val="231F20"/>
                <w:w w:val="80"/>
                <w:sz w:val="17"/>
              </w:rPr>
              <w:t>Lack of funds</w:t>
            </w:r>
          </w:p>
        </w:tc>
        <w:tc>
          <w:tcPr>
            <w:tcW w:w="1528" w:type="dxa"/>
            <w:tcBorders>
              <w:left w:val="single" w:sz="6" w:space="0" w:color="231F20"/>
              <w:right w:val="single" w:sz="6" w:space="0" w:color="231F20"/>
            </w:tcBorders>
          </w:tcPr>
          <w:p w14:paraId="049E9EBE" w14:textId="77777777" w:rsidR="009948F1" w:rsidRDefault="009948F1">
            <w:pPr>
              <w:pStyle w:val="TableParagraph"/>
              <w:spacing w:before="11"/>
              <w:rPr>
                <w:sz w:val="18"/>
              </w:rPr>
            </w:pPr>
          </w:p>
          <w:p w14:paraId="543C9845" w14:textId="77777777" w:rsidR="009948F1" w:rsidRDefault="00BC0563">
            <w:pPr>
              <w:pStyle w:val="TableParagraph"/>
              <w:ind w:left="30"/>
              <w:rPr>
                <w:sz w:val="17"/>
              </w:rPr>
            </w:pPr>
            <w:r>
              <w:rPr>
                <w:color w:val="231F20"/>
                <w:w w:val="80"/>
                <w:sz w:val="17"/>
              </w:rPr>
              <w:t>Conduct advocacy visit</w:t>
            </w:r>
          </w:p>
        </w:tc>
      </w:tr>
      <w:tr w:rsidR="009948F1" w14:paraId="2D983548" w14:textId="77777777">
        <w:trPr>
          <w:trHeight w:val="648"/>
        </w:trPr>
        <w:tc>
          <w:tcPr>
            <w:tcW w:w="867" w:type="dxa"/>
            <w:gridSpan w:val="2"/>
            <w:vMerge/>
            <w:tcBorders>
              <w:top w:val="nil"/>
              <w:bottom w:val="nil"/>
              <w:right w:val="single" w:sz="6" w:space="0" w:color="231F20"/>
            </w:tcBorders>
          </w:tcPr>
          <w:p w14:paraId="2A39ECF5" w14:textId="77777777" w:rsidR="009948F1" w:rsidRDefault="009948F1">
            <w:pPr>
              <w:rPr>
                <w:sz w:val="2"/>
                <w:szCs w:val="2"/>
              </w:rPr>
            </w:pPr>
          </w:p>
        </w:tc>
        <w:tc>
          <w:tcPr>
            <w:tcW w:w="533" w:type="dxa"/>
            <w:tcBorders>
              <w:left w:val="single" w:sz="6" w:space="0" w:color="231F20"/>
              <w:right w:val="single" w:sz="6" w:space="0" w:color="231F20"/>
            </w:tcBorders>
          </w:tcPr>
          <w:p w14:paraId="0B4437B7" w14:textId="77777777" w:rsidR="009948F1" w:rsidRDefault="009948F1">
            <w:pPr>
              <w:pStyle w:val="TableParagraph"/>
              <w:spacing w:before="4"/>
              <w:rPr>
                <w:sz w:val="19"/>
              </w:rPr>
            </w:pPr>
          </w:p>
          <w:p w14:paraId="531A309C" w14:textId="77777777" w:rsidR="009948F1" w:rsidRDefault="00BC0563">
            <w:pPr>
              <w:pStyle w:val="TableParagraph"/>
              <w:spacing w:before="1"/>
              <w:ind w:left="87"/>
              <w:rPr>
                <w:sz w:val="17"/>
              </w:rPr>
            </w:pPr>
            <w:r>
              <w:rPr>
                <w:color w:val="231F20"/>
                <w:w w:val="75"/>
                <w:sz w:val="17"/>
              </w:rPr>
              <w:t>7.4.1.b</w:t>
            </w:r>
          </w:p>
        </w:tc>
        <w:tc>
          <w:tcPr>
            <w:tcW w:w="4970" w:type="dxa"/>
            <w:gridSpan w:val="2"/>
            <w:tcBorders>
              <w:left w:val="single" w:sz="6" w:space="0" w:color="231F20"/>
              <w:right w:val="single" w:sz="6" w:space="0" w:color="231F20"/>
            </w:tcBorders>
          </w:tcPr>
          <w:p w14:paraId="2EC7B54D" w14:textId="77777777" w:rsidR="009948F1" w:rsidRDefault="00BC0563">
            <w:pPr>
              <w:pStyle w:val="TableParagraph"/>
              <w:spacing w:before="7" w:line="256" w:lineRule="auto"/>
              <w:ind w:left="28"/>
              <w:rPr>
                <w:sz w:val="17"/>
              </w:rPr>
            </w:pPr>
            <w:r>
              <w:rPr>
                <w:color w:val="231F20"/>
                <w:w w:val="75"/>
                <w:sz w:val="17"/>
              </w:rPr>
              <w:t xml:space="preserve">Conduct workshop to develop policy guidelines ( Standard Operating Procedures) for </w:t>
            </w:r>
            <w:r>
              <w:rPr>
                <w:color w:val="231F20"/>
                <w:w w:val="70"/>
                <w:sz w:val="17"/>
              </w:rPr>
              <w:t>Management of Common Medical conditions, Infection Prevention and Control and Quality</w:t>
            </w:r>
          </w:p>
          <w:p w14:paraId="3E8322A4" w14:textId="77777777" w:rsidR="009948F1" w:rsidRDefault="00BC0563">
            <w:pPr>
              <w:pStyle w:val="TableParagraph"/>
              <w:ind w:left="28"/>
              <w:rPr>
                <w:sz w:val="17"/>
              </w:rPr>
            </w:pPr>
            <w:r>
              <w:rPr>
                <w:color w:val="231F20"/>
                <w:w w:val="80"/>
                <w:sz w:val="17"/>
              </w:rPr>
              <w:t xml:space="preserve">of </w:t>
            </w:r>
            <w:proofErr w:type="gramStart"/>
            <w:r>
              <w:rPr>
                <w:color w:val="231F20"/>
                <w:w w:val="80"/>
                <w:sz w:val="17"/>
              </w:rPr>
              <w:t>Care .</w:t>
            </w:r>
            <w:proofErr w:type="gramEnd"/>
          </w:p>
        </w:tc>
        <w:tc>
          <w:tcPr>
            <w:tcW w:w="1447" w:type="dxa"/>
            <w:tcBorders>
              <w:left w:val="single" w:sz="6" w:space="0" w:color="231F20"/>
              <w:right w:val="single" w:sz="6" w:space="0" w:color="231F20"/>
            </w:tcBorders>
          </w:tcPr>
          <w:p w14:paraId="47D4B4FC" w14:textId="77777777" w:rsidR="009948F1" w:rsidRDefault="009948F1">
            <w:pPr>
              <w:pStyle w:val="TableParagraph"/>
              <w:spacing w:before="4"/>
              <w:rPr>
                <w:sz w:val="19"/>
              </w:rPr>
            </w:pPr>
          </w:p>
          <w:p w14:paraId="4630055B" w14:textId="77777777" w:rsidR="009948F1" w:rsidRDefault="00BC0563">
            <w:pPr>
              <w:pStyle w:val="TableParagraph"/>
              <w:spacing w:before="1"/>
              <w:ind w:left="28"/>
              <w:rPr>
                <w:sz w:val="17"/>
              </w:rPr>
            </w:pPr>
            <w:r>
              <w:rPr>
                <w:color w:val="231F20"/>
                <w:w w:val="80"/>
                <w:sz w:val="17"/>
              </w:rPr>
              <w:t>Lack of funds</w:t>
            </w:r>
          </w:p>
        </w:tc>
        <w:tc>
          <w:tcPr>
            <w:tcW w:w="1528" w:type="dxa"/>
            <w:tcBorders>
              <w:left w:val="single" w:sz="6" w:space="0" w:color="231F20"/>
              <w:right w:val="single" w:sz="6" w:space="0" w:color="231F20"/>
            </w:tcBorders>
          </w:tcPr>
          <w:p w14:paraId="3B4A5DC8" w14:textId="77777777" w:rsidR="009948F1" w:rsidRDefault="009948F1">
            <w:pPr>
              <w:pStyle w:val="TableParagraph"/>
              <w:spacing w:before="4"/>
              <w:rPr>
                <w:sz w:val="19"/>
              </w:rPr>
            </w:pPr>
          </w:p>
          <w:p w14:paraId="2EFCA6D0" w14:textId="77777777" w:rsidR="009948F1" w:rsidRDefault="00BC0563">
            <w:pPr>
              <w:pStyle w:val="TableParagraph"/>
              <w:spacing w:before="1"/>
              <w:ind w:left="30"/>
              <w:rPr>
                <w:sz w:val="17"/>
              </w:rPr>
            </w:pPr>
            <w:r>
              <w:rPr>
                <w:color w:val="231F20"/>
                <w:w w:val="80"/>
                <w:sz w:val="17"/>
              </w:rPr>
              <w:t>Conduct workshop</w:t>
            </w:r>
          </w:p>
        </w:tc>
      </w:tr>
      <w:tr w:rsidR="009948F1" w14:paraId="6D0E59C5" w14:textId="77777777">
        <w:trPr>
          <w:trHeight w:val="407"/>
        </w:trPr>
        <w:tc>
          <w:tcPr>
            <w:tcW w:w="867" w:type="dxa"/>
            <w:gridSpan w:val="2"/>
            <w:vMerge/>
            <w:tcBorders>
              <w:top w:val="nil"/>
              <w:bottom w:val="nil"/>
              <w:right w:val="single" w:sz="6" w:space="0" w:color="231F20"/>
            </w:tcBorders>
          </w:tcPr>
          <w:p w14:paraId="4340DC14" w14:textId="77777777" w:rsidR="009948F1" w:rsidRDefault="009948F1">
            <w:pPr>
              <w:rPr>
                <w:sz w:val="2"/>
                <w:szCs w:val="2"/>
              </w:rPr>
            </w:pPr>
          </w:p>
        </w:tc>
        <w:tc>
          <w:tcPr>
            <w:tcW w:w="533" w:type="dxa"/>
            <w:tcBorders>
              <w:left w:val="single" w:sz="6" w:space="0" w:color="231F20"/>
              <w:right w:val="single" w:sz="6" w:space="0" w:color="231F20"/>
            </w:tcBorders>
          </w:tcPr>
          <w:p w14:paraId="2A47CBB3" w14:textId="77777777" w:rsidR="009948F1" w:rsidRDefault="00BC0563">
            <w:pPr>
              <w:pStyle w:val="TableParagraph"/>
              <w:spacing w:before="102"/>
              <w:ind w:left="91"/>
              <w:rPr>
                <w:sz w:val="17"/>
              </w:rPr>
            </w:pPr>
            <w:r>
              <w:rPr>
                <w:color w:val="231F20"/>
                <w:w w:val="75"/>
                <w:sz w:val="17"/>
              </w:rPr>
              <w:t>7.4.1.c</w:t>
            </w:r>
          </w:p>
        </w:tc>
        <w:tc>
          <w:tcPr>
            <w:tcW w:w="4970" w:type="dxa"/>
            <w:gridSpan w:val="2"/>
            <w:tcBorders>
              <w:left w:val="single" w:sz="6" w:space="0" w:color="231F20"/>
              <w:right w:val="single" w:sz="6" w:space="0" w:color="231F20"/>
            </w:tcBorders>
          </w:tcPr>
          <w:p w14:paraId="1F5E631A" w14:textId="77777777" w:rsidR="009948F1" w:rsidRDefault="00BC0563">
            <w:pPr>
              <w:pStyle w:val="TableParagraph"/>
              <w:spacing w:before="95"/>
              <w:ind w:left="28"/>
              <w:rPr>
                <w:sz w:val="17"/>
              </w:rPr>
            </w:pPr>
            <w:r>
              <w:rPr>
                <w:color w:val="231F20"/>
                <w:w w:val="80"/>
                <w:sz w:val="17"/>
              </w:rPr>
              <w:t>Print and distribute guideline and SOPS and ensure implementation</w:t>
            </w:r>
          </w:p>
        </w:tc>
        <w:tc>
          <w:tcPr>
            <w:tcW w:w="1447" w:type="dxa"/>
            <w:tcBorders>
              <w:left w:val="single" w:sz="6" w:space="0" w:color="231F20"/>
              <w:right w:val="single" w:sz="6" w:space="0" w:color="231F20"/>
            </w:tcBorders>
          </w:tcPr>
          <w:p w14:paraId="030CA475" w14:textId="77777777" w:rsidR="009948F1" w:rsidRDefault="00BC0563">
            <w:pPr>
              <w:pStyle w:val="TableParagraph"/>
              <w:spacing w:before="102"/>
              <w:ind w:left="28"/>
              <w:rPr>
                <w:sz w:val="17"/>
              </w:rPr>
            </w:pPr>
            <w:r>
              <w:rPr>
                <w:color w:val="231F20"/>
                <w:w w:val="80"/>
                <w:sz w:val="17"/>
              </w:rPr>
              <w:t>Lack of funds</w:t>
            </w:r>
          </w:p>
        </w:tc>
        <w:tc>
          <w:tcPr>
            <w:tcW w:w="1528" w:type="dxa"/>
            <w:tcBorders>
              <w:left w:val="single" w:sz="6" w:space="0" w:color="231F20"/>
              <w:right w:val="single" w:sz="6" w:space="0" w:color="231F20"/>
            </w:tcBorders>
          </w:tcPr>
          <w:p w14:paraId="170DBEF9" w14:textId="77777777" w:rsidR="009948F1" w:rsidRDefault="00BC0563">
            <w:pPr>
              <w:pStyle w:val="TableParagraph"/>
              <w:spacing w:line="192" w:lineRule="exact"/>
              <w:ind w:left="30"/>
              <w:rPr>
                <w:sz w:val="17"/>
              </w:rPr>
            </w:pPr>
            <w:r>
              <w:rPr>
                <w:color w:val="231F20"/>
                <w:w w:val="80"/>
                <w:sz w:val="17"/>
              </w:rPr>
              <w:t>Print and distribute</w:t>
            </w:r>
          </w:p>
          <w:p w14:paraId="05641F38" w14:textId="77777777" w:rsidR="009948F1" w:rsidRDefault="00BC0563">
            <w:pPr>
              <w:pStyle w:val="TableParagraph"/>
              <w:spacing w:before="14" w:line="181" w:lineRule="exact"/>
              <w:ind w:left="30"/>
              <w:rPr>
                <w:sz w:val="17"/>
              </w:rPr>
            </w:pPr>
            <w:r>
              <w:rPr>
                <w:color w:val="231F20"/>
                <w:w w:val="80"/>
                <w:sz w:val="17"/>
              </w:rPr>
              <w:t>guideline</w:t>
            </w:r>
          </w:p>
        </w:tc>
      </w:tr>
      <w:tr w:rsidR="009948F1" w14:paraId="4CA36132" w14:textId="77777777">
        <w:trPr>
          <w:trHeight w:val="417"/>
        </w:trPr>
        <w:tc>
          <w:tcPr>
            <w:tcW w:w="867" w:type="dxa"/>
            <w:gridSpan w:val="2"/>
            <w:vMerge/>
            <w:tcBorders>
              <w:top w:val="nil"/>
              <w:bottom w:val="nil"/>
              <w:right w:val="single" w:sz="6" w:space="0" w:color="231F20"/>
            </w:tcBorders>
          </w:tcPr>
          <w:p w14:paraId="5A96BDC5" w14:textId="77777777" w:rsidR="009948F1" w:rsidRDefault="009948F1">
            <w:pPr>
              <w:rPr>
                <w:sz w:val="2"/>
                <w:szCs w:val="2"/>
              </w:rPr>
            </w:pPr>
          </w:p>
        </w:tc>
        <w:tc>
          <w:tcPr>
            <w:tcW w:w="533" w:type="dxa"/>
            <w:tcBorders>
              <w:left w:val="single" w:sz="6" w:space="0" w:color="231F20"/>
              <w:right w:val="single" w:sz="6" w:space="0" w:color="231F20"/>
            </w:tcBorders>
          </w:tcPr>
          <w:p w14:paraId="63FB1B49" w14:textId="77777777" w:rsidR="009948F1" w:rsidRDefault="00BC0563">
            <w:pPr>
              <w:pStyle w:val="TableParagraph"/>
              <w:spacing w:before="107"/>
              <w:ind w:left="87"/>
              <w:rPr>
                <w:sz w:val="17"/>
              </w:rPr>
            </w:pPr>
            <w:r>
              <w:rPr>
                <w:color w:val="231F20"/>
                <w:w w:val="75"/>
                <w:sz w:val="17"/>
              </w:rPr>
              <w:t>7.4.1.d</w:t>
            </w:r>
          </w:p>
        </w:tc>
        <w:tc>
          <w:tcPr>
            <w:tcW w:w="4970" w:type="dxa"/>
            <w:gridSpan w:val="2"/>
            <w:tcBorders>
              <w:left w:val="single" w:sz="6" w:space="0" w:color="231F20"/>
              <w:right w:val="single" w:sz="6" w:space="0" w:color="231F20"/>
            </w:tcBorders>
          </w:tcPr>
          <w:p w14:paraId="3352AEDD" w14:textId="77777777" w:rsidR="009948F1" w:rsidRDefault="00BC0563">
            <w:pPr>
              <w:pStyle w:val="TableParagraph"/>
              <w:spacing w:line="191" w:lineRule="exact"/>
              <w:ind w:left="28"/>
              <w:rPr>
                <w:sz w:val="17"/>
              </w:rPr>
            </w:pPr>
            <w:r>
              <w:rPr>
                <w:color w:val="231F20"/>
                <w:w w:val="75"/>
                <w:sz w:val="17"/>
              </w:rPr>
              <w:t>Orientation/Interactive sessions with Stakeholders on new Policy Documents across all</w:t>
            </w:r>
          </w:p>
          <w:p w14:paraId="060B2AFB" w14:textId="77777777" w:rsidR="009948F1" w:rsidRDefault="00BC0563">
            <w:pPr>
              <w:pStyle w:val="TableParagraph"/>
              <w:spacing w:before="14" w:line="193" w:lineRule="exact"/>
              <w:ind w:left="28"/>
              <w:rPr>
                <w:sz w:val="17"/>
              </w:rPr>
            </w:pPr>
            <w:r>
              <w:rPr>
                <w:color w:val="231F20"/>
                <w:w w:val="80"/>
                <w:sz w:val="17"/>
              </w:rPr>
              <w:t>levels of care</w:t>
            </w:r>
          </w:p>
        </w:tc>
        <w:tc>
          <w:tcPr>
            <w:tcW w:w="1447" w:type="dxa"/>
            <w:tcBorders>
              <w:left w:val="single" w:sz="6" w:space="0" w:color="231F20"/>
              <w:right w:val="single" w:sz="6" w:space="0" w:color="231F20"/>
            </w:tcBorders>
          </w:tcPr>
          <w:p w14:paraId="757C98BA" w14:textId="77777777" w:rsidR="009948F1" w:rsidRDefault="00BC0563">
            <w:pPr>
              <w:pStyle w:val="TableParagraph"/>
              <w:spacing w:before="107"/>
              <w:ind w:left="28"/>
              <w:rPr>
                <w:sz w:val="17"/>
              </w:rPr>
            </w:pPr>
            <w:r>
              <w:rPr>
                <w:color w:val="231F20"/>
                <w:w w:val="80"/>
                <w:sz w:val="17"/>
              </w:rPr>
              <w:t>Lack of funds</w:t>
            </w:r>
          </w:p>
        </w:tc>
        <w:tc>
          <w:tcPr>
            <w:tcW w:w="1528" w:type="dxa"/>
            <w:tcBorders>
              <w:left w:val="single" w:sz="6" w:space="0" w:color="231F20"/>
              <w:right w:val="single" w:sz="6" w:space="0" w:color="231F20"/>
            </w:tcBorders>
          </w:tcPr>
          <w:p w14:paraId="47FC0497" w14:textId="77777777" w:rsidR="009948F1" w:rsidRDefault="00BC0563">
            <w:pPr>
              <w:pStyle w:val="TableParagraph"/>
              <w:spacing w:before="2"/>
              <w:ind w:left="30"/>
              <w:rPr>
                <w:sz w:val="17"/>
              </w:rPr>
            </w:pPr>
            <w:r>
              <w:rPr>
                <w:color w:val="231F20"/>
                <w:w w:val="80"/>
                <w:sz w:val="17"/>
              </w:rPr>
              <w:t>Orientation/Interactive</w:t>
            </w:r>
          </w:p>
          <w:p w14:paraId="2A48F9C9" w14:textId="77777777" w:rsidR="009948F1" w:rsidRDefault="00BC0563">
            <w:pPr>
              <w:pStyle w:val="TableParagraph"/>
              <w:spacing w:before="14" w:line="186" w:lineRule="exact"/>
              <w:ind w:left="30"/>
              <w:rPr>
                <w:sz w:val="17"/>
              </w:rPr>
            </w:pPr>
            <w:r>
              <w:rPr>
                <w:color w:val="231F20"/>
                <w:w w:val="80"/>
                <w:sz w:val="17"/>
              </w:rPr>
              <w:t>sessions</w:t>
            </w:r>
          </w:p>
        </w:tc>
      </w:tr>
      <w:tr w:rsidR="009948F1" w14:paraId="45ACC7F3" w14:textId="77777777">
        <w:trPr>
          <w:trHeight w:val="407"/>
        </w:trPr>
        <w:tc>
          <w:tcPr>
            <w:tcW w:w="867" w:type="dxa"/>
            <w:gridSpan w:val="2"/>
            <w:vMerge/>
            <w:tcBorders>
              <w:top w:val="nil"/>
              <w:bottom w:val="nil"/>
              <w:right w:val="single" w:sz="6" w:space="0" w:color="231F20"/>
            </w:tcBorders>
          </w:tcPr>
          <w:p w14:paraId="32D49873" w14:textId="77777777" w:rsidR="009948F1" w:rsidRDefault="009948F1">
            <w:pPr>
              <w:rPr>
                <w:sz w:val="2"/>
                <w:szCs w:val="2"/>
              </w:rPr>
            </w:pPr>
          </w:p>
        </w:tc>
        <w:tc>
          <w:tcPr>
            <w:tcW w:w="533" w:type="dxa"/>
            <w:tcBorders>
              <w:left w:val="single" w:sz="6" w:space="0" w:color="231F20"/>
              <w:right w:val="single" w:sz="6" w:space="0" w:color="231F20"/>
            </w:tcBorders>
          </w:tcPr>
          <w:p w14:paraId="20E95317" w14:textId="77777777" w:rsidR="009948F1" w:rsidRDefault="00BC0563">
            <w:pPr>
              <w:pStyle w:val="TableParagraph"/>
              <w:spacing w:before="102"/>
              <w:ind w:left="87"/>
              <w:rPr>
                <w:sz w:val="17"/>
              </w:rPr>
            </w:pPr>
            <w:r>
              <w:rPr>
                <w:color w:val="231F20"/>
                <w:w w:val="75"/>
                <w:sz w:val="17"/>
              </w:rPr>
              <w:t>7.4.1.e</w:t>
            </w:r>
          </w:p>
        </w:tc>
        <w:tc>
          <w:tcPr>
            <w:tcW w:w="4970" w:type="dxa"/>
            <w:gridSpan w:val="2"/>
            <w:tcBorders>
              <w:left w:val="single" w:sz="6" w:space="0" w:color="231F20"/>
              <w:right w:val="single" w:sz="6" w:space="0" w:color="231F20"/>
            </w:tcBorders>
          </w:tcPr>
          <w:p w14:paraId="32254EA1" w14:textId="77777777" w:rsidR="009948F1" w:rsidRDefault="00BC0563">
            <w:pPr>
              <w:pStyle w:val="TableParagraph"/>
              <w:spacing w:line="189" w:lineRule="exact"/>
              <w:ind w:left="28"/>
              <w:rPr>
                <w:sz w:val="17"/>
              </w:rPr>
            </w:pPr>
            <w:r>
              <w:rPr>
                <w:color w:val="231F20"/>
                <w:w w:val="75"/>
                <w:sz w:val="17"/>
              </w:rPr>
              <w:t>Training</w:t>
            </w:r>
            <w:r>
              <w:rPr>
                <w:color w:val="231F20"/>
                <w:spacing w:val="-19"/>
                <w:w w:val="75"/>
                <w:sz w:val="17"/>
              </w:rPr>
              <w:t xml:space="preserve"> </w:t>
            </w:r>
            <w:r>
              <w:rPr>
                <w:color w:val="231F20"/>
                <w:w w:val="75"/>
                <w:sz w:val="17"/>
              </w:rPr>
              <w:t>of</w:t>
            </w:r>
            <w:r>
              <w:rPr>
                <w:color w:val="231F20"/>
                <w:spacing w:val="-19"/>
                <w:w w:val="75"/>
                <w:sz w:val="17"/>
              </w:rPr>
              <w:t xml:space="preserve"> </w:t>
            </w:r>
            <w:r>
              <w:rPr>
                <w:color w:val="231F20"/>
                <w:w w:val="75"/>
                <w:sz w:val="17"/>
              </w:rPr>
              <w:t>Trainers</w:t>
            </w:r>
            <w:r>
              <w:rPr>
                <w:color w:val="231F20"/>
                <w:spacing w:val="-19"/>
                <w:w w:val="75"/>
                <w:sz w:val="17"/>
              </w:rPr>
              <w:t xml:space="preserve"> </w:t>
            </w:r>
            <w:r>
              <w:rPr>
                <w:color w:val="231F20"/>
                <w:w w:val="75"/>
                <w:sz w:val="17"/>
              </w:rPr>
              <w:t>Workshop</w:t>
            </w:r>
            <w:r>
              <w:rPr>
                <w:color w:val="231F20"/>
                <w:spacing w:val="-18"/>
                <w:w w:val="75"/>
                <w:sz w:val="17"/>
              </w:rPr>
              <w:t xml:space="preserve"> </w:t>
            </w:r>
            <w:r>
              <w:rPr>
                <w:color w:val="231F20"/>
                <w:w w:val="75"/>
                <w:sz w:val="17"/>
              </w:rPr>
              <w:t>on</w:t>
            </w:r>
            <w:r>
              <w:rPr>
                <w:color w:val="231F20"/>
                <w:spacing w:val="-18"/>
                <w:w w:val="75"/>
                <w:sz w:val="17"/>
              </w:rPr>
              <w:t xml:space="preserve"> </w:t>
            </w:r>
            <w:r>
              <w:rPr>
                <w:color w:val="231F20"/>
                <w:w w:val="75"/>
                <w:sz w:val="17"/>
              </w:rPr>
              <w:t>the</w:t>
            </w:r>
            <w:r>
              <w:rPr>
                <w:color w:val="231F20"/>
                <w:spacing w:val="-19"/>
                <w:w w:val="75"/>
                <w:sz w:val="17"/>
              </w:rPr>
              <w:t xml:space="preserve"> </w:t>
            </w:r>
            <w:r>
              <w:rPr>
                <w:color w:val="231F20"/>
                <w:w w:val="75"/>
                <w:sz w:val="17"/>
              </w:rPr>
              <w:t>new</w:t>
            </w:r>
            <w:r>
              <w:rPr>
                <w:color w:val="231F20"/>
                <w:spacing w:val="-18"/>
                <w:w w:val="75"/>
                <w:sz w:val="17"/>
              </w:rPr>
              <w:t xml:space="preserve"> </w:t>
            </w:r>
            <w:r>
              <w:rPr>
                <w:color w:val="231F20"/>
                <w:w w:val="75"/>
                <w:sz w:val="17"/>
              </w:rPr>
              <w:t>policy</w:t>
            </w:r>
            <w:r>
              <w:rPr>
                <w:color w:val="231F20"/>
                <w:spacing w:val="-18"/>
                <w:w w:val="75"/>
                <w:sz w:val="17"/>
              </w:rPr>
              <w:t xml:space="preserve"> </w:t>
            </w:r>
            <w:r>
              <w:rPr>
                <w:color w:val="231F20"/>
                <w:w w:val="75"/>
                <w:sz w:val="17"/>
              </w:rPr>
              <w:t>on</w:t>
            </w:r>
            <w:r>
              <w:rPr>
                <w:color w:val="231F20"/>
                <w:spacing w:val="-19"/>
                <w:w w:val="75"/>
                <w:sz w:val="17"/>
              </w:rPr>
              <w:t xml:space="preserve"> </w:t>
            </w:r>
            <w:r>
              <w:rPr>
                <w:color w:val="231F20"/>
                <w:w w:val="75"/>
                <w:sz w:val="17"/>
              </w:rPr>
              <w:t>Quality</w:t>
            </w:r>
            <w:r>
              <w:rPr>
                <w:color w:val="231F20"/>
                <w:spacing w:val="-18"/>
                <w:w w:val="75"/>
                <w:sz w:val="17"/>
              </w:rPr>
              <w:t xml:space="preserve"> </w:t>
            </w:r>
            <w:r>
              <w:rPr>
                <w:color w:val="231F20"/>
                <w:w w:val="75"/>
                <w:sz w:val="17"/>
              </w:rPr>
              <w:t>of</w:t>
            </w:r>
            <w:r>
              <w:rPr>
                <w:color w:val="231F20"/>
                <w:spacing w:val="-19"/>
                <w:w w:val="75"/>
                <w:sz w:val="17"/>
              </w:rPr>
              <w:t xml:space="preserve"> </w:t>
            </w:r>
            <w:r>
              <w:rPr>
                <w:color w:val="231F20"/>
                <w:w w:val="75"/>
                <w:sz w:val="17"/>
              </w:rPr>
              <w:t>Care</w:t>
            </w:r>
            <w:r>
              <w:rPr>
                <w:color w:val="231F20"/>
                <w:spacing w:val="-18"/>
                <w:w w:val="75"/>
                <w:sz w:val="17"/>
              </w:rPr>
              <w:t xml:space="preserve"> </w:t>
            </w:r>
            <w:r>
              <w:rPr>
                <w:color w:val="231F20"/>
                <w:w w:val="75"/>
                <w:sz w:val="17"/>
              </w:rPr>
              <w:t>in</w:t>
            </w:r>
            <w:r>
              <w:rPr>
                <w:color w:val="231F20"/>
                <w:spacing w:val="-18"/>
                <w:w w:val="75"/>
                <w:sz w:val="17"/>
              </w:rPr>
              <w:t xml:space="preserve"> </w:t>
            </w:r>
            <w:r>
              <w:rPr>
                <w:color w:val="231F20"/>
                <w:w w:val="75"/>
                <w:sz w:val="17"/>
              </w:rPr>
              <w:t>General</w:t>
            </w:r>
            <w:r>
              <w:rPr>
                <w:color w:val="231F20"/>
                <w:spacing w:val="-19"/>
                <w:w w:val="75"/>
                <w:sz w:val="17"/>
              </w:rPr>
              <w:t xml:space="preserve"> </w:t>
            </w:r>
            <w:r>
              <w:rPr>
                <w:color w:val="231F20"/>
                <w:w w:val="75"/>
                <w:sz w:val="17"/>
              </w:rPr>
              <w:t>Hospital</w:t>
            </w:r>
            <w:r>
              <w:rPr>
                <w:color w:val="231F20"/>
                <w:spacing w:val="-18"/>
                <w:w w:val="75"/>
                <w:sz w:val="17"/>
              </w:rPr>
              <w:t xml:space="preserve"> </w:t>
            </w:r>
            <w:r>
              <w:rPr>
                <w:color w:val="231F20"/>
                <w:w w:val="75"/>
                <w:sz w:val="17"/>
              </w:rPr>
              <w:t>and</w:t>
            </w:r>
          </w:p>
          <w:p w14:paraId="5C4655F2" w14:textId="77777777" w:rsidR="009948F1" w:rsidRDefault="00BC0563">
            <w:pPr>
              <w:pStyle w:val="TableParagraph"/>
              <w:spacing w:before="14" w:line="184" w:lineRule="exact"/>
              <w:ind w:left="28"/>
              <w:rPr>
                <w:sz w:val="17"/>
              </w:rPr>
            </w:pPr>
            <w:r>
              <w:rPr>
                <w:color w:val="231F20"/>
                <w:w w:val="80"/>
                <w:sz w:val="17"/>
              </w:rPr>
              <w:t>Primary Health Care Facilities</w:t>
            </w:r>
          </w:p>
        </w:tc>
        <w:tc>
          <w:tcPr>
            <w:tcW w:w="1447" w:type="dxa"/>
            <w:tcBorders>
              <w:left w:val="single" w:sz="6" w:space="0" w:color="231F20"/>
              <w:right w:val="single" w:sz="6" w:space="0" w:color="231F20"/>
            </w:tcBorders>
          </w:tcPr>
          <w:p w14:paraId="115C0E7E" w14:textId="77777777" w:rsidR="009948F1" w:rsidRDefault="00BC0563">
            <w:pPr>
              <w:pStyle w:val="TableParagraph"/>
              <w:spacing w:before="102"/>
              <w:ind w:left="28"/>
              <w:rPr>
                <w:sz w:val="17"/>
              </w:rPr>
            </w:pPr>
            <w:r>
              <w:rPr>
                <w:color w:val="231F20"/>
                <w:w w:val="80"/>
                <w:sz w:val="17"/>
              </w:rPr>
              <w:t>Lack of funds</w:t>
            </w:r>
          </w:p>
        </w:tc>
        <w:tc>
          <w:tcPr>
            <w:tcW w:w="1528" w:type="dxa"/>
            <w:tcBorders>
              <w:left w:val="single" w:sz="6" w:space="0" w:color="231F20"/>
              <w:right w:val="single" w:sz="6" w:space="0" w:color="231F20"/>
            </w:tcBorders>
          </w:tcPr>
          <w:p w14:paraId="13A4A8A1" w14:textId="77777777" w:rsidR="009948F1" w:rsidRDefault="00BC0563">
            <w:pPr>
              <w:pStyle w:val="TableParagraph"/>
              <w:spacing w:line="192" w:lineRule="exact"/>
              <w:ind w:left="30"/>
              <w:rPr>
                <w:sz w:val="17"/>
              </w:rPr>
            </w:pPr>
            <w:r>
              <w:rPr>
                <w:color w:val="231F20"/>
                <w:w w:val="80"/>
                <w:sz w:val="17"/>
              </w:rPr>
              <w:t>Training of Trainers</w:t>
            </w:r>
          </w:p>
          <w:p w14:paraId="2EE5EC73" w14:textId="3E6CBFC7" w:rsidR="009948F1" w:rsidRDefault="00FB089D">
            <w:pPr>
              <w:pStyle w:val="TableParagraph"/>
              <w:spacing w:before="14" w:line="181" w:lineRule="exact"/>
              <w:ind w:left="30"/>
              <w:rPr>
                <w:sz w:val="17"/>
              </w:rPr>
            </w:pPr>
            <w:r>
              <w:rPr>
                <w:color w:val="231F20"/>
                <w:w w:val="80"/>
                <w:sz w:val="17"/>
              </w:rPr>
              <w:t>Worship</w:t>
            </w:r>
          </w:p>
        </w:tc>
      </w:tr>
      <w:tr w:rsidR="009948F1" w14:paraId="4197EB72" w14:textId="77777777">
        <w:trPr>
          <w:trHeight w:val="1627"/>
        </w:trPr>
        <w:tc>
          <w:tcPr>
            <w:tcW w:w="406" w:type="dxa"/>
            <w:tcBorders>
              <w:top w:val="nil"/>
              <w:bottom w:val="nil"/>
              <w:right w:val="single" w:sz="6" w:space="0" w:color="231F20"/>
            </w:tcBorders>
          </w:tcPr>
          <w:p w14:paraId="107F9CC2" w14:textId="77777777" w:rsidR="009948F1" w:rsidRDefault="009948F1">
            <w:pPr>
              <w:pStyle w:val="TableParagraph"/>
              <w:rPr>
                <w:rFonts w:ascii="Times New Roman"/>
                <w:sz w:val="12"/>
              </w:rPr>
            </w:pPr>
          </w:p>
        </w:tc>
        <w:tc>
          <w:tcPr>
            <w:tcW w:w="461" w:type="dxa"/>
            <w:tcBorders>
              <w:left w:val="single" w:sz="6" w:space="0" w:color="231F20"/>
              <w:right w:val="single" w:sz="6" w:space="0" w:color="231F20"/>
            </w:tcBorders>
            <w:shd w:val="clear" w:color="auto" w:fill="CCE7D3"/>
          </w:tcPr>
          <w:p w14:paraId="0AAD6C09" w14:textId="77777777" w:rsidR="009948F1" w:rsidRDefault="009948F1">
            <w:pPr>
              <w:pStyle w:val="TableParagraph"/>
              <w:rPr>
                <w:sz w:val="16"/>
              </w:rPr>
            </w:pPr>
          </w:p>
          <w:p w14:paraId="3A165988" w14:textId="77777777" w:rsidR="009948F1" w:rsidRDefault="009948F1">
            <w:pPr>
              <w:pStyle w:val="TableParagraph"/>
              <w:rPr>
                <w:sz w:val="16"/>
              </w:rPr>
            </w:pPr>
          </w:p>
          <w:p w14:paraId="06757C18" w14:textId="77777777" w:rsidR="009948F1" w:rsidRDefault="009948F1">
            <w:pPr>
              <w:pStyle w:val="TableParagraph"/>
              <w:rPr>
                <w:sz w:val="16"/>
              </w:rPr>
            </w:pPr>
          </w:p>
          <w:p w14:paraId="64265558" w14:textId="77777777" w:rsidR="009948F1" w:rsidRDefault="009948F1">
            <w:pPr>
              <w:pStyle w:val="TableParagraph"/>
              <w:spacing w:before="10"/>
              <w:rPr>
                <w:sz w:val="13"/>
              </w:rPr>
            </w:pPr>
          </w:p>
          <w:p w14:paraId="2DA50CC0" w14:textId="77777777" w:rsidR="009948F1" w:rsidRDefault="00BC0563">
            <w:pPr>
              <w:pStyle w:val="TableParagraph"/>
              <w:ind w:left="60"/>
              <w:rPr>
                <w:sz w:val="17"/>
              </w:rPr>
            </w:pPr>
            <w:r>
              <w:rPr>
                <w:color w:val="231F20"/>
                <w:w w:val="80"/>
                <w:sz w:val="17"/>
              </w:rPr>
              <w:t>7.4.2</w:t>
            </w:r>
          </w:p>
        </w:tc>
        <w:tc>
          <w:tcPr>
            <w:tcW w:w="3082" w:type="dxa"/>
            <w:gridSpan w:val="2"/>
            <w:tcBorders>
              <w:left w:val="single" w:sz="6" w:space="0" w:color="231F20"/>
              <w:right w:val="single" w:sz="6" w:space="0" w:color="231F20"/>
            </w:tcBorders>
            <w:shd w:val="clear" w:color="auto" w:fill="CCE7D3"/>
          </w:tcPr>
          <w:p w14:paraId="2FE6FE4A" w14:textId="77777777" w:rsidR="009948F1" w:rsidRDefault="009948F1">
            <w:pPr>
              <w:pStyle w:val="TableParagraph"/>
              <w:rPr>
                <w:sz w:val="16"/>
              </w:rPr>
            </w:pPr>
          </w:p>
          <w:p w14:paraId="4BB61CDF" w14:textId="77777777" w:rsidR="009948F1" w:rsidRDefault="009948F1">
            <w:pPr>
              <w:pStyle w:val="TableParagraph"/>
              <w:rPr>
                <w:sz w:val="16"/>
              </w:rPr>
            </w:pPr>
          </w:p>
          <w:p w14:paraId="247E7580" w14:textId="77777777" w:rsidR="009948F1" w:rsidRDefault="009948F1">
            <w:pPr>
              <w:pStyle w:val="TableParagraph"/>
              <w:rPr>
                <w:sz w:val="16"/>
              </w:rPr>
            </w:pPr>
          </w:p>
          <w:p w14:paraId="226E64DA" w14:textId="77777777" w:rsidR="009948F1" w:rsidRDefault="009948F1">
            <w:pPr>
              <w:pStyle w:val="TableParagraph"/>
              <w:spacing w:before="3"/>
              <w:rPr>
                <w:sz w:val="13"/>
              </w:rPr>
            </w:pPr>
          </w:p>
          <w:p w14:paraId="001FBF43" w14:textId="77777777" w:rsidR="009948F1" w:rsidRDefault="00BC0563">
            <w:pPr>
              <w:pStyle w:val="TableParagraph"/>
              <w:ind w:left="60"/>
              <w:rPr>
                <w:sz w:val="17"/>
              </w:rPr>
            </w:pPr>
            <w:r>
              <w:rPr>
                <w:color w:val="231F20"/>
                <w:w w:val="80"/>
                <w:sz w:val="17"/>
              </w:rPr>
              <w:t>Scale up provision of accessible medical services</w:t>
            </w:r>
          </w:p>
        </w:tc>
        <w:tc>
          <w:tcPr>
            <w:tcW w:w="2421" w:type="dxa"/>
            <w:tcBorders>
              <w:left w:val="single" w:sz="6" w:space="0" w:color="231F20"/>
              <w:right w:val="single" w:sz="6" w:space="0" w:color="231F20"/>
            </w:tcBorders>
            <w:shd w:val="clear" w:color="auto" w:fill="CCE7D3"/>
          </w:tcPr>
          <w:p w14:paraId="5CF92C6E" w14:textId="77777777" w:rsidR="009948F1" w:rsidRDefault="00BC0563">
            <w:pPr>
              <w:pStyle w:val="TableParagraph"/>
              <w:numPr>
                <w:ilvl w:val="0"/>
                <w:numId w:val="108"/>
              </w:numPr>
              <w:tabs>
                <w:tab w:val="left" w:pos="73"/>
              </w:tabs>
              <w:spacing w:before="84"/>
              <w:ind w:left="72" w:hanging="45"/>
              <w:rPr>
                <w:sz w:val="17"/>
              </w:rPr>
            </w:pPr>
            <w:r>
              <w:rPr>
                <w:color w:val="231F20"/>
                <w:w w:val="80"/>
                <w:sz w:val="17"/>
              </w:rPr>
              <w:t>GIS</w:t>
            </w:r>
            <w:r>
              <w:rPr>
                <w:color w:val="231F20"/>
                <w:spacing w:val="-11"/>
                <w:w w:val="80"/>
                <w:sz w:val="17"/>
              </w:rPr>
              <w:t xml:space="preserve"> </w:t>
            </w:r>
            <w:r>
              <w:rPr>
                <w:color w:val="231F20"/>
                <w:w w:val="80"/>
                <w:sz w:val="17"/>
              </w:rPr>
              <w:t>established</w:t>
            </w:r>
            <w:r>
              <w:rPr>
                <w:color w:val="231F20"/>
                <w:spacing w:val="-11"/>
                <w:w w:val="80"/>
                <w:sz w:val="17"/>
              </w:rPr>
              <w:t xml:space="preserve"> </w:t>
            </w:r>
            <w:r>
              <w:rPr>
                <w:color w:val="231F20"/>
                <w:w w:val="80"/>
                <w:sz w:val="17"/>
              </w:rPr>
              <w:t>in</w:t>
            </w:r>
            <w:r>
              <w:rPr>
                <w:color w:val="231F20"/>
                <w:spacing w:val="-10"/>
                <w:w w:val="80"/>
                <w:sz w:val="17"/>
              </w:rPr>
              <w:t xml:space="preserve"> </w:t>
            </w:r>
            <w:r>
              <w:rPr>
                <w:color w:val="231F20"/>
                <w:w w:val="80"/>
                <w:sz w:val="17"/>
              </w:rPr>
              <w:t>the</w:t>
            </w:r>
            <w:r>
              <w:rPr>
                <w:color w:val="231F20"/>
                <w:spacing w:val="-11"/>
                <w:w w:val="80"/>
                <w:sz w:val="17"/>
              </w:rPr>
              <w:t xml:space="preserve"> </w:t>
            </w:r>
            <w:r>
              <w:rPr>
                <w:color w:val="231F20"/>
                <w:w w:val="80"/>
                <w:sz w:val="17"/>
              </w:rPr>
              <w:t>state</w:t>
            </w:r>
          </w:p>
          <w:p w14:paraId="5E2A4F8D" w14:textId="77777777" w:rsidR="009948F1" w:rsidRDefault="00BC0563">
            <w:pPr>
              <w:pStyle w:val="TableParagraph"/>
              <w:numPr>
                <w:ilvl w:val="0"/>
                <w:numId w:val="108"/>
              </w:numPr>
              <w:tabs>
                <w:tab w:val="left" w:pos="105"/>
              </w:tabs>
              <w:spacing w:before="13" w:line="256" w:lineRule="auto"/>
              <w:ind w:right="41" w:firstLine="0"/>
              <w:rPr>
                <w:sz w:val="17"/>
              </w:rPr>
            </w:pPr>
            <w:r>
              <w:rPr>
                <w:color w:val="231F20"/>
                <w:w w:val="70"/>
                <w:sz w:val="17"/>
              </w:rPr>
              <w:t xml:space="preserve">General Hospitals constructed &amp; equipped </w:t>
            </w:r>
            <w:r>
              <w:rPr>
                <w:color w:val="231F20"/>
                <w:w w:val="80"/>
                <w:sz w:val="17"/>
              </w:rPr>
              <w:t>in</w:t>
            </w:r>
            <w:r>
              <w:rPr>
                <w:color w:val="231F20"/>
                <w:spacing w:val="-16"/>
                <w:w w:val="80"/>
                <w:sz w:val="17"/>
              </w:rPr>
              <w:t xml:space="preserve"> </w:t>
            </w:r>
            <w:proofErr w:type="spellStart"/>
            <w:r>
              <w:rPr>
                <w:color w:val="231F20"/>
                <w:w w:val="80"/>
                <w:sz w:val="17"/>
              </w:rPr>
              <w:t>Obio</w:t>
            </w:r>
            <w:proofErr w:type="spellEnd"/>
            <w:r>
              <w:rPr>
                <w:color w:val="231F20"/>
                <w:w w:val="80"/>
                <w:sz w:val="17"/>
              </w:rPr>
              <w:t>/</w:t>
            </w:r>
            <w:proofErr w:type="spellStart"/>
            <w:r>
              <w:rPr>
                <w:color w:val="231F20"/>
                <w:w w:val="80"/>
                <w:sz w:val="17"/>
              </w:rPr>
              <w:t>Akpor</w:t>
            </w:r>
            <w:proofErr w:type="spellEnd"/>
            <w:r>
              <w:rPr>
                <w:color w:val="231F20"/>
                <w:w w:val="80"/>
                <w:sz w:val="17"/>
              </w:rPr>
              <w:t>,</w:t>
            </w:r>
            <w:r>
              <w:rPr>
                <w:color w:val="231F20"/>
                <w:spacing w:val="-15"/>
                <w:w w:val="80"/>
                <w:sz w:val="17"/>
              </w:rPr>
              <w:t xml:space="preserve"> </w:t>
            </w:r>
            <w:proofErr w:type="spellStart"/>
            <w:r>
              <w:rPr>
                <w:color w:val="231F20"/>
                <w:w w:val="80"/>
                <w:sz w:val="17"/>
              </w:rPr>
              <w:t>Oyigbo</w:t>
            </w:r>
            <w:proofErr w:type="spellEnd"/>
            <w:r>
              <w:rPr>
                <w:color w:val="231F20"/>
                <w:spacing w:val="-15"/>
                <w:w w:val="80"/>
                <w:sz w:val="17"/>
              </w:rPr>
              <w:t xml:space="preserve"> </w:t>
            </w:r>
            <w:r>
              <w:rPr>
                <w:color w:val="231F20"/>
                <w:w w:val="80"/>
                <w:sz w:val="17"/>
              </w:rPr>
              <w:t>&amp;</w:t>
            </w:r>
            <w:r>
              <w:rPr>
                <w:color w:val="231F20"/>
                <w:spacing w:val="-17"/>
                <w:w w:val="80"/>
                <w:sz w:val="17"/>
              </w:rPr>
              <w:t xml:space="preserve"> </w:t>
            </w:r>
            <w:r>
              <w:rPr>
                <w:color w:val="231F20"/>
                <w:spacing w:val="-5"/>
                <w:w w:val="80"/>
                <w:sz w:val="17"/>
              </w:rPr>
              <w:t>Tai</w:t>
            </w:r>
            <w:r>
              <w:rPr>
                <w:color w:val="231F20"/>
                <w:spacing w:val="-15"/>
                <w:w w:val="80"/>
                <w:sz w:val="17"/>
              </w:rPr>
              <w:t xml:space="preserve"> </w:t>
            </w:r>
            <w:r>
              <w:rPr>
                <w:color w:val="231F20"/>
                <w:w w:val="80"/>
                <w:sz w:val="17"/>
              </w:rPr>
              <w:t>LGAs</w:t>
            </w:r>
          </w:p>
          <w:p w14:paraId="183AC96A" w14:textId="77777777" w:rsidR="009948F1" w:rsidRDefault="00BC0563">
            <w:pPr>
              <w:pStyle w:val="TableParagraph"/>
              <w:numPr>
                <w:ilvl w:val="0"/>
                <w:numId w:val="108"/>
              </w:numPr>
              <w:tabs>
                <w:tab w:val="left" w:pos="98"/>
              </w:tabs>
              <w:spacing w:before="1" w:line="256" w:lineRule="auto"/>
              <w:ind w:right="289" w:firstLine="0"/>
              <w:rPr>
                <w:sz w:val="17"/>
              </w:rPr>
            </w:pPr>
            <w:r>
              <w:rPr>
                <w:color w:val="231F20"/>
                <w:w w:val="75"/>
                <w:sz w:val="17"/>
              </w:rPr>
              <w:t>At</w:t>
            </w:r>
            <w:r>
              <w:rPr>
                <w:color w:val="231F20"/>
                <w:spacing w:val="-22"/>
                <w:w w:val="75"/>
                <w:sz w:val="17"/>
              </w:rPr>
              <w:t xml:space="preserve"> </w:t>
            </w:r>
            <w:r>
              <w:rPr>
                <w:color w:val="231F20"/>
                <w:w w:val="75"/>
                <w:sz w:val="17"/>
              </w:rPr>
              <w:t>least</w:t>
            </w:r>
            <w:r>
              <w:rPr>
                <w:color w:val="231F20"/>
                <w:spacing w:val="-21"/>
                <w:w w:val="75"/>
                <w:sz w:val="17"/>
              </w:rPr>
              <w:t xml:space="preserve"> </w:t>
            </w:r>
            <w:r>
              <w:rPr>
                <w:color w:val="231F20"/>
                <w:w w:val="75"/>
                <w:sz w:val="17"/>
              </w:rPr>
              <w:t>3</w:t>
            </w:r>
            <w:r>
              <w:rPr>
                <w:color w:val="231F20"/>
                <w:spacing w:val="-22"/>
                <w:w w:val="75"/>
                <w:sz w:val="17"/>
              </w:rPr>
              <w:t xml:space="preserve"> </w:t>
            </w:r>
            <w:r>
              <w:rPr>
                <w:color w:val="231F20"/>
                <w:w w:val="75"/>
                <w:sz w:val="17"/>
              </w:rPr>
              <w:t>ambulances</w:t>
            </w:r>
            <w:r>
              <w:rPr>
                <w:color w:val="231F20"/>
                <w:spacing w:val="-21"/>
                <w:w w:val="75"/>
                <w:sz w:val="17"/>
              </w:rPr>
              <w:t xml:space="preserve"> </w:t>
            </w:r>
            <w:r>
              <w:rPr>
                <w:color w:val="231F20"/>
                <w:w w:val="75"/>
                <w:sz w:val="17"/>
              </w:rPr>
              <w:t>purchased</w:t>
            </w:r>
            <w:r>
              <w:rPr>
                <w:color w:val="231F20"/>
                <w:spacing w:val="-22"/>
                <w:w w:val="75"/>
                <w:sz w:val="17"/>
              </w:rPr>
              <w:t xml:space="preserve"> </w:t>
            </w:r>
            <w:r>
              <w:rPr>
                <w:color w:val="231F20"/>
                <w:spacing w:val="-5"/>
                <w:w w:val="75"/>
                <w:sz w:val="17"/>
              </w:rPr>
              <w:t xml:space="preserve">and </w:t>
            </w:r>
            <w:r>
              <w:rPr>
                <w:color w:val="231F20"/>
                <w:w w:val="80"/>
                <w:sz w:val="17"/>
              </w:rPr>
              <w:t>distributed</w:t>
            </w:r>
          </w:p>
          <w:p w14:paraId="224D9E48" w14:textId="77777777" w:rsidR="009948F1" w:rsidRDefault="00BC0563">
            <w:pPr>
              <w:pStyle w:val="TableParagraph"/>
              <w:numPr>
                <w:ilvl w:val="0"/>
                <w:numId w:val="108"/>
              </w:numPr>
              <w:tabs>
                <w:tab w:val="left" w:pos="139"/>
              </w:tabs>
              <w:spacing w:line="256" w:lineRule="auto"/>
              <w:ind w:right="81" w:firstLine="0"/>
              <w:rPr>
                <w:sz w:val="17"/>
              </w:rPr>
            </w:pPr>
            <w:r>
              <w:rPr>
                <w:color w:val="231F20"/>
                <w:w w:val="70"/>
                <w:sz w:val="17"/>
              </w:rPr>
              <w:t xml:space="preserve">Ultrasound scan purchased &amp; installed in </w:t>
            </w:r>
            <w:r>
              <w:rPr>
                <w:color w:val="231F20"/>
                <w:w w:val="80"/>
                <w:sz w:val="17"/>
              </w:rPr>
              <w:t>all General</w:t>
            </w:r>
            <w:r>
              <w:rPr>
                <w:color w:val="231F20"/>
                <w:spacing w:val="-17"/>
                <w:w w:val="80"/>
                <w:sz w:val="17"/>
              </w:rPr>
              <w:t xml:space="preserve"> </w:t>
            </w:r>
            <w:r>
              <w:rPr>
                <w:color w:val="231F20"/>
                <w:w w:val="80"/>
                <w:sz w:val="17"/>
              </w:rPr>
              <w:t>Hospitals</w:t>
            </w:r>
          </w:p>
        </w:tc>
        <w:tc>
          <w:tcPr>
            <w:tcW w:w="1447" w:type="dxa"/>
            <w:tcBorders>
              <w:left w:val="single" w:sz="6" w:space="0" w:color="231F20"/>
              <w:right w:val="single" w:sz="6" w:space="0" w:color="231F20"/>
            </w:tcBorders>
            <w:shd w:val="clear" w:color="auto" w:fill="CCE7D3"/>
          </w:tcPr>
          <w:p w14:paraId="16BE0188"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124D7BED" w14:textId="77777777" w:rsidR="009948F1" w:rsidRDefault="009948F1">
            <w:pPr>
              <w:pStyle w:val="TableParagraph"/>
              <w:rPr>
                <w:rFonts w:ascii="Times New Roman"/>
                <w:sz w:val="12"/>
              </w:rPr>
            </w:pPr>
          </w:p>
        </w:tc>
      </w:tr>
      <w:tr w:rsidR="009948F1" w14:paraId="7A3F595F" w14:textId="77777777">
        <w:trPr>
          <w:trHeight w:val="577"/>
        </w:trPr>
        <w:tc>
          <w:tcPr>
            <w:tcW w:w="867" w:type="dxa"/>
            <w:gridSpan w:val="2"/>
            <w:vMerge w:val="restart"/>
            <w:tcBorders>
              <w:top w:val="nil"/>
              <w:bottom w:val="nil"/>
              <w:right w:val="single" w:sz="6" w:space="0" w:color="231F20"/>
            </w:tcBorders>
          </w:tcPr>
          <w:p w14:paraId="7C303EAA" w14:textId="77777777" w:rsidR="009948F1" w:rsidRDefault="009948F1">
            <w:pPr>
              <w:pStyle w:val="TableParagraph"/>
              <w:rPr>
                <w:rFonts w:ascii="Times New Roman"/>
                <w:sz w:val="12"/>
              </w:rPr>
            </w:pPr>
          </w:p>
        </w:tc>
        <w:tc>
          <w:tcPr>
            <w:tcW w:w="533" w:type="dxa"/>
            <w:tcBorders>
              <w:left w:val="single" w:sz="6" w:space="0" w:color="231F20"/>
              <w:right w:val="single" w:sz="6" w:space="0" w:color="231F20"/>
            </w:tcBorders>
          </w:tcPr>
          <w:p w14:paraId="61E1002F" w14:textId="77777777" w:rsidR="009948F1" w:rsidRDefault="009948F1">
            <w:pPr>
              <w:pStyle w:val="TableParagraph"/>
              <w:spacing w:before="3"/>
              <w:rPr>
                <w:sz w:val="16"/>
              </w:rPr>
            </w:pPr>
          </w:p>
          <w:p w14:paraId="0FD0F1CE" w14:textId="77777777" w:rsidR="009948F1" w:rsidRDefault="00BC0563">
            <w:pPr>
              <w:pStyle w:val="TableParagraph"/>
              <w:ind w:left="87"/>
              <w:rPr>
                <w:sz w:val="17"/>
              </w:rPr>
            </w:pPr>
            <w:r>
              <w:rPr>
                <w:color w:val="231F20"/>
                <w:w w:val="75"/>
                <w:sz w:val="17"/>
              </w:rPr>
              <w:t>7.4.2.a</w:t>
            </w:r>
          </w:p>
        </w:tc>
        <w:tc>
          <w:tcPr>
            <w:tcW w:w="4970" w:type="dxa"/>
            <w:gridSpan w:val="2"/>
            <w:tcBorders>
              <w:left w:val="single" w:sz="6" w:space="0" w:color="231F20"/>
              <w:right w:val="single" w:sz="6" w:space="0" w:color="231F20"/>
            </w:tcBorders>
          </w:tcPr>
          <w:p w14:paraId="6DBE2FCB" w14:textId="5C13BBC1" w:rsidR="009948F1" w:rsidRDefault="00BC0563" w:rsidP="00A93E69">
            <w:pPr>
              <w:pStyle w:val="TableParagraph"/>
              <w:spacing w:line="189" w:lineRule="exact"/>
              <w:ind w:left="28"/>
              <w:rPr>
                <w:sz w:val="17"/>
              </w:rPr>
            </w:pPr>
            <w:r>
              <w:rPr>
                <w:color w:val="231F20"/>
                <w:w w:val="75"/>
                <w:sz w:val="17"/>
              </w:rPr>
              <w:t>Mapping,</w:t>
            </w:r>
            <w:r>
              <w:rPr>
                <w:color w:val="231F20"/>
                <w:spacing w:val="-21"/>
                <w:w w:val="75"/>
                <w:sz w:val="17"/>
              </w:rPr>
              <w:t xml:space="preserve"> </w:t>
            </w:r>
            <w:r>
              <w:rPr>
                <w:color w:val="231F20"/>
                <w:w w:val="75"/>
                <w:sz w:val="17"/>
              </w:rPr>
              <w:t>categorizing</w:t>
            </w:r>
            <w:r>
              <w:rPr>
                <w:color w:val="231F20"/>
                <w:spacing w:val="-7"/>
                <w:w w:val="75"/>
                <w:sz w:val="17"/>
              </w:rPr>
              <w:t xml:space="preserve"> </w:t>
            </w:r>
            <w:r>
              <w:rPr>
                <w:color w:val="231F20"/>
                <w:w w:val="75"/>
                <w:sz w:val="17"/>
              </w:rPr>
              <w:t>and</w:t>
            </w:r>
            <w:r>
              <w:rPr>
                <w:color w:val="231F20"/>
                <w:spacing w:val="-21"/>
                <w:w w:val="75"/>
                <w:sz w:val="17"/>
              </w:rPr>
              <w:t xml:space="preserve"> </w:t>
            </w:r>
            <w:r w:rsidR="00A93E69">
              <w:rPr>
                <w:color w:val="231F20"/>
                <w:w w:val="75"/>
                <w:sz w:val="17"/>
              </w:rPr>
              <w:t xml:space="preserve">establishing </w:t>
            </w:r>
            <w:r>
              <w:rPr>
                <w:color w:val="231F20"/>
                <w:spacing w:val="-20"/>
                <w:w w:val="75"/>
                <w:sz w:val="17"/>
              </w:rPr>
              <w:t xml:space="preserve"> </w:t>
            </w:r>
            <w:r w:rsidR="00A93E69">
              <w:rPr>
                <w:color w:val="231F20"/>
                <w:w w:val="75"/>
                <w:sz w:val="17"/>
              </w:rPr>
              <w:t>Geographic</w:t>
            </w:r>
            <w:r>
              <w:rPr>
                <w:color w:val="231F20"/>
                <w:spacing w:val="-21"/>
                <w:w w:val="75"/>
                <w:sz w:val="17"/>
              </w:rPr>
              <w:t xml:space="preserve"> </w:t>
            </w:r>
            <w:r>
              <w:rPr>
                <w:color w:val="231F20"/>
                <w:w w:val="75"/>
                <w:sz w:val="17"/>
              </w:rPr>
              <w:t>Information</w:t>
            </w:r>
            <w:r>
              <w:rPr>
                <w:color w:val="231F20"/>
                <w:spacing w:val="-21"/>
                <w:w w:val="75"/>
                <w:sz w:val="17"/>
              </w:rPr>
              <w:t xml:space="preserve"> </w:t>
            </w:r>
            <w:r>
              <w:rPr>
                <w:color w:val="231F20"/>
                <w:w w:val="75"/>
                <w:sz w:val="17"/>
              </w:rPr>
              <w:t>System</w:t>
            </w:r>
            <w:r>
              <w:rPr>
                <w:color w:val="231F20"/>
                <w:spacing w:val="-21"/>
                <w:w w:val="75"/>
                <w:sz w:val="17"/>
              </w:rPr>
              <w:t xml:space="preserve"> </w:t>
            </w:r>
            <w:r>
              <w:rPr>
                <w:color w:val="231F20"/>
                <w:w w:val="75"/>
                <w:sz w:val="17"/>
              </w:rPr>
              <w:t>(GIS)</w:t>
            </w:r>
            <w:r>
              <w:rPr>
                <w:color w:val="231F20"/>
                <w:spacing w:val="-21"/>
                <w:w w:val="75"/>
                <w:sz w:val="17"/>
              </w:rPr>
              <w:t xml:space="preserve"> </w:t>
            </w:r>
            <w:r>
              <w:rPr>
                <w:color w:val="231F20"/>
                <w:w w:val="75"/>
                <w:sz w:val="17"/>
              </w:rPr>
              <w:t>for</w:t>
            </w:r>
            <w:r>
              <w:rPr>
                <w:color w:val="231F20"/>
                <w:spacing w:val="-21"/>
                <w:w w:val="75"/>
                <w:sz w:val="17"/>
              </w:rPr>
              <w:t xml:space="preserve"> </w:t>
            </w:r>
            <w:r>
              <w:rPr>
                <w:color w:val="231F20"/>
                <w:w w:val="75"/>
                <w:sz w:val="17"/>
              </w:rPr>
              <w:t>all</w:t>
            </w:r>
            <w:r>
              <w:rPr>
                <w:color w:val="231F20"/>
                <w:spacing w:val="-20"/>
                <w:w w:val="75"/>
                <w:sz w:val="17"/>
              </w:rPr>
              <w:t xml:space="preserve"> </w:t>
            </w:r>
            <w:r>
              <w:rPr>
                <w:color w:val="231F20"/>
                <w:w w:val="75"/>
                <w:sz w:val="17"/>
              </w:rPr>
              <w:t>HFs</w:t>
            </w:r>
            <w:r>
              <w:rPr>
                <w:color w:val="231F20"/>
                <w:spacing w:val="-21"/>
                <w:w w:val="75"/>
                <w:sz w:val="17"/>
              </w:rPr>
              <w:t xml:space="preserve"> </w:t>
            </w:r>
            <w:r>
              <w:rPr>
                <w:color w:val="231F20"/>
                <w:w w:val="75"/>
                <w:sz w:val="17"/>
              </w:rPr>
              <w:t>&amp;</w:t>
            </w:r>
            <w:r w:rsidR="00A93E69">
              <w:rPr>
                <w:sz w:val="17"/>
              </w:rPr>
              <w:t xml:space="preserve"> </w:t>
            </w:r>
            <w:r>
              <w:rPr>
                <w:color w:val="231F20"/>
                <w:w w:val="75"/>
                <w:sz w:val="17"/>
              </w:rPr>
              <w:t>ensure</w:t>
            </w:r>
            <w:r>
              <w:rPr>
                <w:color w:val="231F20"/>
                <w:spacing w:val="-22"/>
                <w:w w:val="75"/>
                <w:sz w:val="17"/>
              </w:rPr>
              <w:t xml:space="preserve"> </w:t>
            </w:r>
            <w:r>
              <w:rPr>
                <w:color w:val="231F20"/>
                <w:w w:val="75"/>
                <w:sz w:val="17"/>
              </w:rPr>
              <w:t>networking</w:t>
            </w:r>
            <w:r>
              <w:rPr>
                <w:color w:val="231F20"/>
                <w:spacing w:val="-21"/>
                <w:w w:val="75"/>
                <w:sz w:val="17"/>
              </w:rPr>
              <w:t xml:space="preserve"> </w:t>
            </w:r>
            <w:r>
              <w:rPr>
                <w:color w:val="231F20"/>
                <w:w w:val="75"/>
                <w:sz w:val="17"/>
              </w:rPr>
              <w:t>between</w:t>
            </w:r>
            <w:r>
              <w:rPr>
                <w:color w:val="231F20"/>
                <w:spacing w:val="-21"/>
                <w:w w:val="75"/>
                <w:sz w:val="17"/>
              </w:rPr>
              <w:t xml:space="preserve"> </w:t>
            </w:r>
            <w:r>
              <w:rPr>
                <w:color w:val="231F20"/>
                <w:w w:val="75"/>
                <w:sz w:val="17"/>
              </w:rPr>
              <w:t>PHC</w:t>
            </w:r>
            <w:r>
              <w:rPr>
                <w:color w:val="231F20"/>
                <w:spacing w:val="-21"/>
                <w:w w:val="75"/>
                <w:sz w:val="17"/>
              </w:rPr>
              <w:t xml:space="preserve"> </w:t>
            </w:r>
            <w:r>
              <w:rPr>
                <w:color w:val="231F20"/>
                <w:w w:val="75"/>
                <w:sz w:val="17"/>
              </w:rPr>
              <w:t>Board</w:t>
            </w:r>
            <w:r>
              <w:rPr>
                <w:color w:val="231F20"/>
                <w:spacing w:val="-21"/>
                <w:w w:val="75"/>
                <w:sz w:val="17"/>
              </w:rPr>
              <w:t xml:space="preserve"> </w:t>
            </w:r>
            <w:r>
              <w:rPr>
                <w:color w:val="231F20"/>
                <w:w w:val="75"/>
                <w:sz w:val="17"/>
              </w:rPr>
              <w:t>and</w:t>
            </w:r>
            <w:r>
              <w:rPr>
                <w:color w:val="231F20"/>
                <w:spacing w:val="-21"/>
                <w:w w:val="75"/>
                <w:sz w:val="17"/>
              </w:rPr>
              <w:t xml:space="preserve"> </w:t>
            </w:r>
            <w:r>
              <w:rPr>
                <w:color w:val="231F20"/>
                <w:w w:val="75"/>
                <w:sz w:val="17"/>
              </w:rPr>
              <w:t>all</w:t>
            </w:r>
            <w:r>
              <w:rPr>
                <w:color w:val="231F20"/>
                <w:spacing w:val="-21"/>
                <w:w w:val="75"/>
                <w:sz w:val="17"/>
              </w:rPr>
              <w:t xml:space="preserve"> </w:t>
            </w:r>
            <w:r>
              <w:rPr>
                <w:color w:val="231F20"/>
                <w:w w:val="75"/>
                <w:sz w:val="17"/>
              </w:rPr>
              <w:t>PHC</w:t>
            </w:r>
            <w:r>
              <w:rPr>
                <w:color w:val="231F20"/>
                <w:spacing w:val="-21"/>
                <w:w w:val="75"/>
                <w:sz w:val="17"/>
              </w:rPr>
              <w:t xml:space="preserve"> </w:t>
            </w:r>
            <w:r>
              <w:rPr>
                <w:color w:val="231F20"/>
                <w:w w:val="75"/>
                <w:sz w:val="17"/>
              </w:rPr>
              <w:t>HFs</w:t>
            </w:r>
            <w:r>
              <w:rPr>
                <w:color w:val="231F20"/>
                <w:spacing w:val="-21"/>
                <w:w w:val="75"/>
                <w:sz w:val="17"/>
              </w:rPr>
              <w:t xml:space="preserve"> </w:t>
            </w:r>
            <w:r>
              <w:rPr>
                <w:color w:val="231F20"/>
                <w:w w:val="75"/>
                <w:sz w:val="17"/>
              </w:rPr>
              <w:t>and</w:t>
            </w:r>
            <w:r>
              <w:rPr>
                <w:color w:val="231F20"/>
                <w:spacing w:val="-21"/>
                <w:w w:val="75"/>
                <w:sz w:val="17"/>
              </w:rPr>
              <w:t xml:space="preserve"> </w:t>
            </w:r>
            <w:r>
              <w:rPr>
                <w:color w:val="231F20"/>
                <w:w w:val="75"/>
                <w:sz w:val="17"/>
              </w:rPr>
              <w:t>SMOH</w:t>
            </w:r>
            <w:r>
              <w:rPr>
                <w:color w:val="231F20"/>
                <w:spacing w:val="-21"/>
                <w:w w:val="75"/>
                <w:sz w:val="17"/>
              </w:rPr>
              <w:t xml:space="preserve"> </w:t>
            </w:r>
            <w:r>
              <w:rPr>
                <w:color w:val="231F20"/>
                <w:w w:val="75"/>
                <w:sz w:val="17"/>
              </w:rPr>
              <w:t>and</w:t>
            </w:r>
            <w:r>
              <w:rPr>
                <w:color w:val="231F20"/>
                <w:spacing w:val="-21"/>
                <w:w w:val="75"/>
                <w:sz w:val="17"/>
              </w:rPr>
              <w:t xml:space="preserve"> </w:t>
            </w:r>
            <w:r>
              <w:rPr>
                <w:color w:val="231F20"/>
                <w:w w:val="75"/>
                <w:sz w:val="17"/>
              </w:rPr>
              <w:t>all</w:t>
            </w:r>
            <w:r>
              <w:rPr>
                <w:color w:val="231F20"/>
                <w:spacing w:val="-21"/>
                <w:w w:val="75"/>
                <w:sz w:val="17"/>
              </w:rPr>
              <w:t xml:space="preserve"> </w:t>
            </w:r>
            <w:r>
              <w:rPr>
                <w:color w:val="231F20"/>
                <w:w w:val="75"/>
                <w:sz w:val="17"/>
              </w:rPr>
              <w:t xml:space="preserve">secondary </w:t>
            </w:r>
            <w:r>
              <w:rPr>
                <w:color w:val="231F20"/>
                <w:w w:val="80"/>
                <w:sz w:val="17"/>
              </w:rPr>
              <w:t>health</w:t>
            </w:r>
            <w:r>
              <w:rPr>
                <w:color w:val="231F20"/>
                <w:spacing w:val="-6"/>
                <w:w w:val="80"/>
                <w:sz w:val="17"/>
              </w:rPr>
              <w:t xml:space="preserve"> </w:t>
            </w:r>
            <w:r>
              <w:rPr>
                <w:color w:val="231F20"/>
                <w:w w:val="80"/>
                <w:sz w:val="17"/>
              </w:rPr>
              <w:t>facilities</w:t>
            </w:r>
          </w:p>
        </w:tc>
        <w:tc>
          <w:tcPr>
            <w:tcW w:w="1447" w:type="dxa"/>
            <w:tcBorders>
              <w:left w:val="single" w:sz="6" w:space="0" w:color="231F20"/>
              <w:right w:val="single" w:sz="6" w:space="0" w:color="231F20"/>
            </w:tcBorders>
          </w:tcPr>
          <w:p w14:paraId="343C670C" w14:textId="77777777" w:rsidR="009948F1" w:rsidRDefault="009948F1">
            <w:pPr>
              <w:pStyle w:val="TableParagraph"/>
              <w:spacing w:before="3"/>
              <w:rPr>
                <w:sz w:val="16"/>
              </w:rPr>
            </w:pPr>
          </w:p>
          <w:p w14:paraId="0C4A0B35" w14:textId="77777777" w:rsidR="009948F1" w:rsidRDefault="00BC0563">
            <w:pPr>
              <w:pStyle w:val="TableParagraph"/>
              <w:ind w:left="28"/>
              <w:rPr>
                <w:sz w:val="17"/>
              </w:rPr>
            </w:pPr>
            <w:r>
              <w:rPr>
                <w:color w:val="231F20"/>
                <w:w w:val="80"/>
                <w:sz w:val="17"/>
              </w:rPr>
              <w:t>Lack of funds</w:t>
            </w:r>
          </w:p>
        </w:tc>
        <w:tc>
          <w:tcPr>
            <w:tcW w:w="1528" w:type="dxa"/>
            <w:tcBorders>
              <w:left w:val="single" w:sz="6" w:space="0" w:color="231F20"/>
              <w:right w:val="single" w:sz="6" w:space="0" w:color="231F20"/>
            </w:tcBorders>
          </w:tcPr>
          <w:p w14:paraId="0F9CAD8C" w14:textId="77777777" w:rsidR="009948F1" w:rsidRDefault="009948F1">
            <w:pPr>
              <w:pStyle w:val="TableParagraph"/>
              <w:spacing w:before="3"/>
              <w:rPr>
                <w:sz w:val="16"/>
              </w:rPr>
            </w:pPr>
          </w:p>
          <w:p w14:paraId="08BA9DAB" w14:textId="77777777" w:rsidR="009948F1" w:rsidRDefault="00BC0563">
            <w:pPr>
              <w:pStyle w:val="TableParagraph"/>
              <w:ind w:left="30"/>
              <w:rPr>
                <w:sz w:val="17"/>
              </w:rPr>
            </w:pPr>
            <w:r>
              <w:rPr>
                <w:color w:val="231F20"/>
                <w:w w:val="80"/>
                <w:sz w:val="17"/>
              </w:rPr>
              <w:t>Conduct meeting</w:t>
            </w:r>
          </w:p>
        </w:tc>
      </w:tr>
      <w:tr w:rsidR="009948F1" w14:paraId="7C2D4430" w14:textId="77777777">
        <w:trPr>
          <w:trHeight w:val="383"/>
        </w:trPr>
        <w:tc>
          <w:tcPr>
            <w:tcW w:w="867" w:type="dxa"/>
            <w:gridSpan w:val="2"/>
            <w:vMerge/>
            <w:tcBorders>
              <w:top w:val="nil"/>
              <w:bottom w:val="nil"/>
              <w:right w:val="single" w:sz="6" w:space="0" w:color="231F20"/>
            </w:tcBorders>
          </w:tcPr>
          <w:p w14:paraId="6B5490D0" w14:textId="77777777" w:rsidR="009948F1" w:rsidRDefault="009948F1">
            <w:pPr>
              <w:rPr>
                <w:sz w:val="2"/>
                <w:szCs w:val="2"/>
              </w:rPr>
            </w:pPr>
          </w:p>
        </w:tc>
        <w:tc>
          <w:tcPr>
            <w:tcW w:w="533" w:type="dxa"/>
            <w:tcBorders>
              <w:left w:val="single" w:sz="6" w:space="0" w:color="231F20"/>
              <w:right w:val="single" w:sz="6" w:space="0" w:color="231F20"/>
            </w:tcBorders>
          </w:tcPr>
          <w:p w14:paraId="26446CC8" w14:textId="77777777" w:rsidR="009948F1" w:rsidRDefault="00BC0563">
            <w:pPr>
              <w:pStyle w:val="TableParagraph"/>
              <w:spacing w:before="89"/>
              <w:ind w:left="87"/>
              <w:rPr>
                <w:sz w:val="17"/>
              </w:rPr>
            </w:pPr>
            <w:r>
              <w:rPr>
                <w:color w:val="231F20"/>
                <w:w w:val="75"/>
                <w:sz w:val="17"/>
              </w:rPr>
              <w:t>7.4.2.b</w:t>
            </w:r>
          </w:p>
        </w:tc>
        <w:tc>
          <w:tcPr>
            <w:tcW w:w="4970" w:type="dxa"/>
            <w:gridSpan w:val="2"/>
            <w:tcBorders>
              <w:left w:val="single" w:sz="6" w:space="0" w:color="231F20"/>
              <w:right w:val="single" w:sz="6" w:space="0" w:color="231F20"/>
            </w:tcBorders>
          </w:tcPr>
          <w:p w14:paraId="2A0DF9D1" w14:textId="77777777" w:rsidR="009948F1" w:rsidRDefault="00BC0563">
            <w:pPr>
              <w:pStyle w:val="TableParagraph"/>
              <w:spacing w:before="5" w:line="182" w:lineRule="exact"/>
              <w:ind w:left="28" w:right="215"/>
              <w:rPr>
                <w:sz w:val="17"/>
              </w:rPr>
            </w:pPr>
            <w:r>
              <w:rPr>
                <w:color w:val="231F20"/>
                <w:w w:val="75"/>
                <w:sz w:val="17"/>
              </w:rPr>
              <w:t>Operating</w:t>
            </w:r>
            <w:r>
              <w:rPr>
                <w:color w:val="231F20"/>
                <w:spacing w:val="-23"/>
                <w:w w:val="75"/>
                <w:sz w:val="17"/>
              </w:rPr>
              <w:t xml:space="preserve"> </w:t>
            </w:r>
            <w:r>
              <w:rPr>
                <w:color w:val="231F20"/>
                <w:w w:val="75"/>
                <w:sz w:val="17"/>
              </w:rPr>
              <w:t>cost</w:t>
            </w:r>
            <w:r>
              <w:rPr>
                <w:color w:val="231F20"/>
                <w:spacing w:val="-24"/>
                <w:w w:val="75"/>
                <w:sz w:val="17"/>
              </w:rPr>
              <w:t xml:space="preserve"> </w:t>
            </w:r>
            <w:r>
              <w:rPr>
                <w:color w:val="231F20"/>
                <w:w w:val="75"/>
                <w:sz w:val="17"/>
              </w:rPr>
              <w:t>for</w:t>
            </w:r>
            <w:r>
              <w:rPr>
                <w:color w:val="231F20"/>
                <w:spacing w:val="-23"/>
                <w:w w:val="75"/>
                <w:sz w:val="17"/>
              </w:rPr>
              <w:t xml:space="preserve"> </w:t>
            </w:r>
            <w:r>
              <w:rPr>
                <w:color w:val="231F20"/>
                <w:w w:val="75"/>
                <w:sz w:val="17"/>
              </w:rPr>
              <w:t>engaging</w:t>
            </w:r>
            <w:r>
              <w:rPr>
                <w:color w:val="231F20"/>
                <w:spacing w:val="-23"/>
                <w:w w:val="75"/>
                <w:sz w:val="17"/>
              </w:rPr>
              <w:t xml:space="preserve"> </w:t>
            </w:r>
            <w:r>
              <w:rPr>
                <w:color w:val="231F20"/>
                <w:w w:val="75"/>
                <w:sz w:val="17"/>
              </w:rPr>
              <w:t>and</w:t>
            </w:r>
            <w:r>
              <w:rPr>
                <w:color w:val="231F20"/>
                <w:spacing w:val="-23"/>
                <w:w w:val="75"/>
                <w:sz w:val="17"/>
              </w:rPr>
              <w:t xml:space="preserve"> </w:t>
            </w:r>
            <w:r>
              <w:rPr>
                <w:color w:val="231F20"/>
                <w:w w:val="75"/>
                <w:sz w:val="17"/>
              </w:rPr>
              <w:t>supervising</w:t>
            </w:r>
            <w:r>
              <w:rPr>
                <w:color w:val="231F20"/>
                <w:spacing w:val="-23"/>
                <w:w w:val="75"/>
                <w:sz w:val="17"/>
              </w:rPr>
              <w:t xml:space="preserve"> </w:t>
            </w:r>
            <w:r>
              <w:rPr>
                <w:color w:val="231F20"/>
                <w:w w:val="75"/>
                <w:sz w:val="17"/>
              </w:rPr>
              <w:t>the</w:t>
            </w:r>
            <w:r>
              <w:rPr>
                <w:color w:val="231F20"/>
                <w:spacing w:val="-23"/>
                <w:w w:val="75"/>
                <w:sz w:val="17"/>
              </w:rPr>
              <w:t xml:space="preserve"> </w:t>
            </w:r>
            <w:r>
              <w:rPr>
                <w:color w:val="231F20"/>
                <w:w w:val="75"/>
                <w:sz w:val="17"/>
              </w:rPr>
              <w:t>contractor</w:t>
            </w:r>
            <w:r>
              <w:rPr>
                <w:color w:val="231F20"/>
                <w:spacing w:val="-23"/>
                <w:w w:val="75"/>
                <w:sz w:val="17"/>
              </w:rPr>
              <w:t xml:space="preserve"> </w:t>
            </w:r>
            <w:r>
              <w:rPr>
                <w:color w:val="231F20"/>
                <w:w w:val="75"/>
                <w:sz w:val="17"/>
              </w:rPr>
              <w:t>to</w:t>
            </w:r>
            <w:r>
              <w:rPr>
                <w:color w:val="231F20"/>
                <w:spacing w:val="-23"/>
                <w:w w:val="75"/>
                <w:sz w:val="17"/>
              </w:rPr>
              <w:t xml:space="preserve"> </w:t>
            </w:r>
            <w:r>
              <w:rPr>
                <w:color w:val="231F20"/>
                <w:w w:val="75"/>
                <w:sz w:val="17"/>
              </w:rPr>
              <w:t>construct</w:t>
            </w:r>
            <w:r>
              <w:rPr>
                <w:color w:val="231F20"/>
                <w:spacing w:val="-23"/>
                <w:w w:val="75"/>
                <w:sz w:val="17"/>
              </w:rPr>
              <w:t xml:space="preserve"> </w:t>
            </w:r>
            <w:r>
              <w:rPr>
                <w:color w:val="231F20"/>
                <w:w w:val="75"/>
                <w:sz w:val="17"/>
              </w:rPr>
              <w:t>&amp;</w:t>
            </w:r>
            <w:r>
              <w:rPr>
                <w:color w:val="231F20"/>
                <w:spacing w:val="-23"/>
                <w:w w:val="75"/>
                <w:sz w:val="17"/>
              </w:rPr>
              <w:t xml:space="preserve"> </w:t>
            </w:r>
            <w:r>
              <w:rPr>
                <w:color w:val="231F20"/>
                <w:w w:val="75"/>
                <w:sz w:val="17"/>
              </w:rPr>
              <w:t>equip</w:t>
            </w:r>
            <w:r>
              <w:rPr>
                <w:color w:val="231F20"/>
                <w:spacing w:val="-23"/>
                <w:w w:val="75"/>
                <w:sz w:val="17"/>
              </w:rPr>
              <w:t xml:space="preserve"> </w:t>
            </w:r>
            <w:r>
              <w:rPr>
                <w:color w:val="231F20"/>
                <w:w w:val="75"/>
                <w:sz w:val="17"/>
              </w:rPr>
              <w:t xml:space="preserve">General </w:t>
            </w:r>
            <w:r>
              <w:rPr>
                <w:color w:val="231F20"/>
                <w:w w:val="80"/>
                <w:sz w:val="17"/>
              </w:rPr>
              <w:t>Hospitals</w:t>
            </w:r>
            <w:r>
              <w:rPr>
                <w:color w:val="231F20"/>
                <w:spacing w:val="-12"/>
                <w:w w:val="80"/>
                <w:sz w:val="17"/>
              </w:rPr>
              <w:t xml:space="preserve"> </w:t>
            </w:r>
            <w:r>
              <w:rPr>
                <w:color w:val="231F20"/>
                <w:w w:val="80"/>
                <w:sz w:val="17"/>
              </w:rPr>
              <w:t>in</w:t>
            </w:r>
            <w:r>
              <w:rPr>
                <w:color w:val="231F20"/>
                <w:spacing w:val="-11"/>
                <w:w w:val="80"/>
                <w:sz w:val="17"/>
              </w:rPr>
              <w:t xml:space="preserve"> </w:t>
            </w:r>
            <w:r>
              <w:rPr>
                <w:color w:val="231F20"/>
                <w:w w:val="80"/>
                <w:sz w:val="17"/>
              </w:rPr>
              <w:t>LGAs</w:t>
            </w:r>
            <w:r>
              <w:rPr>
                <w:color w:val="231F20"/>
                <w:spacing w:val="-11"/>
                <w:w w:val="80"/>
                <w:sz w:val="17"/>
              </w:rPr>
              <w:t xml:space="preserve"> </w:t>
            </w:r>
            <w:r>
              <w:rPr>
                <w:color w:val="231F20"/>
                <w:w w:val="80"/>
                <w:sz w:val="17"/>
              </w:rPr>
              <w:t>without</w:t>
            </w:r>
            <w:r>
              <w:rPr>
                <w:color w:val="231F20"/>
                <w:spacing w:val="-11"/>
                <w:w w:val="80"/>
                <w:sz w:val="17"/>
              </w:rPr>
              <w:t xml:space="preserve"> </w:t>
            </w:r>
            <w:r>
              <w:rPr>
                <w:color w:val="231F20"/>
                <w:w w:val="80"/>
                <w:sz w:val="17"/>
              </w:rPr>
              <w:t>any</w:t>
            </w:r>
            <w:r>
              <w:rPr>
                <w:color w:val="231F20"/>
                <w:spacing w:val="-11"/>
                <w:w w:val="80"/>
                <w:sz w:val="17"/>
              </w:rPr>
              <w:t xml:space="preserve"> </w:t>
            </w:r>
            <w:r>
              <w:rPr>
                <w:color w:val="231F20"/>
                <w:w w:val="80"/>
                <w:sz w:val="17"/>
              </w:rPr>
              <w:t>(</w:t>
            </w:r>
            <w:proofErr w:type="spellStart"/>
            <w:r>
              <w:rPr>
                <w:color w:val="231F20"/>
                <w:w w:val="80"/>
                <w:sz w:val="17"/>
              </w:rPr>
              <w:t>Obio</w:t>
            </w:r>
            <w:proofErr w:type="spellEnd"/>
            <w:r>
              <w:rPr>
                <w:color w:val="231F20"/>
                <w:w w:val="80"/>
                <w:sz w:val="17"/>
              </w:rPr>
              <w:t>/</w:t>
            </w:r>
            <w:proofErr w:type="spellStart"/>
            <w:r>
              <w:rPr>
                <w:color w:val="231F20"/>
                <w:w w:val="80"/>
                <w:sz w:val="17"/>
              </w:rPr>
              <w:t>Akpor</w:t>
            </w:r>
            <w:proofErr w:type="spellEnd"/>
            <w:r>
              <w:rPr>
                <w:color w:val="231F20"/>
                <w:w w:val="80"/>
                <w:sz w:val="17"/>
              </w:rPr>
              <w:t>,</w:t>
            </w:r>
            <w:r>
              <w:rPr>
                <w:color w:val="231F20"/>
                <w:spacing w:val="-11"/>
                <w:w w:val="80"/>
                <w:sz w:val="17"/>
              </w:rPr>
              <w:t xml:space="preserve"> </w:t>
            </w:r>
            <w:proofErr w:type="spellStart"/>
            <w:r>
              <w:rPr>
                <w:color w:val="231F20"/>
                <w:w w:val="80"/>
                <w:sz w:val="17"/>
              </w:rPr>
              <w:t>Oyigbo</w:t>
            </w:r>
            <w:proofErr w:type="spellEnd"/>
            <w:r>
              <w:rPr>
                <w:color w:val="231F20"/>
                <w:spacing w:val="-11"/>
                <w:w w:val="80"/>
                <w:sz w:val="17"/>
              </w:rPr>
              <w:t xml:space="preserve"> </w:t>
            </w:r>
            <w:r>
              <w:rPr>
                <w:color w:val="231F20"/>
                <w:w w:val="80"/>
                <w:sz w:val="17"/>
              </w:rPr>
              <w:t>&amp;</w:t>
            </w:r>
            <w:r>
              <w:rPr>
                <w:color w:val="231F20"/>
                <w:spacing w:val="-13"/>
                <w:w w:val="80"/>
                <w:sz w:val="17"/>
              </w:rPr>
              <w:t xml:space="preserve"> </w:t>
            </w:r>
            <w:r>
              <w:rPr>
                <w:color w:val="231F20"/>
                <w:spacing w:val="-4"/>
                <w:w w:val="80"/>
                <w:sz w:val="17"/>
              </w:rPr>
              <w:t>Tai)</w:t>
            </w:r>
          </w:p>
        </w:tc>
        <w:tc>
          <w:tcPr>
            <w:tcW w:w="1447" w:type="dxa"/>
            <w:tcBorders>
              <w:left w:val="single" w:sz="6" w:space="0" w:color="231F20"/>
              <w:right w:val="single" w:sz="6" w:space="0" w:color="231F20"/>
            </w:tcBorders>
          </w:tcPr>
          <w:p w14:paraId="75359380" w14:textId="77777777" w:rsidR="009948F1" w:rsidRDefault="00BC0563">
            <w:pPr>
              <w:pStyle w:val="TableParagraph"/>
              <w:spacing w:before="89"/>
              <w:ind w:left="28"/>
              <w:rPr>
                <w:sz w:val="17"/>
              </w:rPr>
            </w:pPr>
            <w:r>
              <w:rPr>
                <w:color w:val="231F20"/>
                <w:w w:val="80"/>
                <w:sz w:val="17"/>
              </w:rPr>
              <w:t>Lack of funds</w:t>
            </w:r>
          </w:p>
        </w:tc>
        <w:tc>
          <w:tcPr>
            <w:tcW w:w="1528" w:type="dxa"/>
            <w:tcBorders>
              <w:left w:val="single" w:sz="6" w:space="0" w:color="231F20"/>
              <w:right w:val="single" w:sz="6" w:space="0" w:color="231F20"/>
            </w:tcBorders>
          </w:tcPr>
          <w:p w14:paraId="236887C5" w14:textId="77777777" w:rsidR="009948F1" w:rsidRDefault="00BC0563">
            <w:pPr>
              <w:pStyle w:val="TableParagraph"/>
              <w:spacing w:before="89"/>
              <w:ind w:left="30"/>
              <w:rPr>
                <w:sz w:val="17"/>
              </w:rPr>
            </w:pPr>
            <w:r>
              <w:rPr>
                <w:color w:val="231F20"/>
                <w:w w:val="80"/>
                <w:sz w:val="17"/>
              </w:rPr>
              <w:t>Costed in OHT</w:t>
            </w:r>
          </w:p>
        </w:tc>
      </w:tr>
      <w:tr w:rsidR="009948F1" w14:paraId="66E65885" w14:textId="77777777">
        <w:trPr>
          <w:trHeight w:val="407"/>
        </w:trPr>
        <w:tc>
          <w:tcPr>
            <w:tcW w:w="867" w:type="dxa"/>
            <w:gridSpan w:val="2"/>
            <w:vMerge/>
            <w:tcBorders>
              <w:top w:val="nil"/>
              <w:bottom w:val="nil"/>
              <w:right w:val="single" w:sz="6" w:space="0" w:color="231F20"/>
            </w:tcBorders>
          </w:tcPr>
          <w:p w14:paraId="6F9DEB68" w14:textId="77777777" w:rsidR="009948F1" w:rsidRDefault="009948F1">
            <w:pPr>
              <w:rPr>
                <w:sz w:val="2"/>
                <w:szCs w:val="2"/>
              </w:rPr>
            </w:pPr>
          </w:p>
        </w:tc>
        <w:tc>
          <w:tcPr>
            <w:tcW w:w="533" w:type="dxa"/>
            <w:tcBorders>
              <w:left w:val="single" w:sz="6" w:space="0" w:color="231F20"/>
              <w:right w:val="single" w:sz="6" w:space="0" w:color="231F20"/>
            </w:tcBorders>
          </w:tcPr>
          <w:p w14:paraId="185CEC4B" w14:textId="77777777" w:rsidR="009948F1" w:rsidRDefault="00BC0563">
            <w:pPr>
              <w:pStyle w:val="TableParagraph"/>
              <w:spacing w:before="102"/>
              <w:ind w:left="91"/>
              <w:rPr>
                <w:sz w:val="17"/>
              </w:rPr>
            </w:pPr>
            <w:r>
              <w:rPr>
                <w:color w:val="231F20"/>
                <w:w w:val="75"/>
                <w:sz w:val="17"/>
              </w:rPr>
              <w:t>7.4.2.c</w:t>
            </w:r>
          </w:p>
        </w:tc>
        <w:tc>
          <w:tcPr>
            <w:tcW w:w="4970" w:type="dxa"/>
            <w:gridSpan w:val="2"/>
            <w:tcBorders>
              <w:left w:val="single" w:sz="6" w:space="0" w:color="231F20"/>
              <w:right w:val="single" w:sz="6" w:space="0" w:color="231F20"/>
            </w:tcBorders>
          </w:tcPr>
          <w:p w14:paraId="3FE1C84C" w14:textId="77777777" w:rsidR="009948F1" w:rsidRDefault="00BC0563">
            <w:pPr>
              <w:pStyle w:val="TableParagraph"/>
              <w:spacing w:line="189" w:lineRule="exact"/>
              <w:ind w:left="28"/>
              <w:rPr>
                <w:sz w:val="17"/>
              </w:rPr>
            </w:pPr>
            <w:r>
              <w:rPr>
                <w:color w:val="231F20"/>
                <w:w w:val="75"/>
                <w:sz w:val="17"/>
              </w:rPr>
              <w:t>Operating cost for engaging and supervising the contractor to provide ambulances for</w:t>
            </w:r>
          </w:p>
          <w:p w14:paraId="53CDD749" w14:textId="77777777" w:rsidR="009948F1" w:rsidRDefault="00BC0563">
            <w:pPr>
              <w:pStyle w:val="TableParagraph"/>
              <w:spacing w:before="14" w:line="184" w:lineRule="exact"/>
              <w:ind w:left="28"/>
              <w:rPr>
                <w:sz w:val="17"/>
              </w:rPr>
            </w:pPr>
            <w:r>
              <w:rPr>
                <w:color w:val="231F20"/>
                <w:w w:val="80"/>
                <w:sz w:val="17"/>
              </w:rPr>
              <w:t>SMOH and LGAs for emergency response</w:t>
            </w:r>
          </w:p>
        </w:tc>
        <w:tc>
          <w:tcPr>
            <w:tcW w:w="1447" w:type="dxa"/>
            <w:tcBorders>
              <w:left w:val="single" w:sz="6" w:space="0" w:color="231F20"/>
              <w:right w:val="single" w:sz="6" w:space="0" w:color="231F20"/>
            </w:tcBorders>
          </w:tcPr>
          <w:p w14:paraId="1AC8F6E5" w14:textId="77777777" w:rsidR="009948F1" w:rsidRDefault="00BC0563">
            <w:pPr>
              <w:pStyle w:val="TableParagraph"/>
              <w:spacing w:before="102"/>
              <w:ind w:left="28"/>
              <w:rPr>
                <w:sz w:val="17"/>
              </w:rPr>
            </w:pPr>
            <w:r>
              <w:rPr>
                <w:color w:val="231F20"/>
                <w:w w:val="80"/>
                <w:sz w:val="17"/>
              </w:rPr>
              <w:t>Lack of funds</w:t>
            </w:r>
          </w:p>
        </w:tc>
        <w:tc>
          <w:tcPr>
            <w:tcW w:w="1528" w:type="dxa"/>
            <w:tcBorders>
              <w:left w:val="single" w:sz="6" w:space="0" w:color="231F20"/>
              <w:right w:val="single" w:sz="6" w:space="0" w:color="231F20"/>
            </w:tcBorders>
          </w:tcPr>
          <w:p w14:paraId="2AB46DD5" w14:textId="77777777" w:rsidR="009948F1" w:rsidRDefault="00BC0563">
            <w:pPr>
              <w:pStyle w:val="TableParagraph"/>
              <w:spacing w:before="102"/>
              <w:ind w:left="30"/>
              <w:rPr>
                <w:sz w:val="17"/>
              </w:rPr>
            </w:pPr>
            <w:r>
              <w:rPr>
                <w:color w:val="231F20"/>
                <w:w w:val="80"/>
                <w:sz w:val="17"/>
              </w:rPr>
              <w:t>Costed in OHT</w:t>
            </w:r>
          </w:p>
        </w:tc>
      </w:tr>
      <w:tr w:rsidR="009948F1" w14:paraId="2D479996" w14:textId="77777777">
        <w:trPr>
          <w:trHeight w:val="417"/>
        </w:trPr>
        <w:tc>
          <w:tcPr>
            <w:tcW w:w="867" w:type="dxa"/>
            <w:gridSpan w:val="2"/>
            <w:vMerge/>
            <w:tcBorders>
              <w:top w:val="nil"/>
              <w:bottom w:val="nil"/>
              <w:right w:val="single" w:sz="6" w:space="0" w:color="231F20"/>
            </w:tcBorders>
          </w:tcPr>
          <w:p w14:paraId="2DDEE5D9" w14:textId="77777777" w:rsidR="009948F1" w:rsidRDefault="009948F1">
            <w:pPr>
              <w:rPr>
                <w:sz w:val="2"/>
                <w:szCs w:val="2"/>
              </w:rPr>
            </w:pPr>
          </w:p>
        </w:tc>
        <w:tc>
          <w:tcPr>
            <w:tcW w:w="533" w:type="dxa"/>
            <w:tcBorders>
              <w:left w:val="single" w:sz="6" w:space="0" w:color="231F20"/>
              <w:right w:val="single" w:sz="6" w:space="0" w:color="231F20"/>
            </w:tcBorders>
          </w:tcPr>
          <w:p w14:paraId="5B246F27" w14:textId="77777777" w:rsidR="009948F1" w:rsidRDefault="00BC0563">
            <w:pPr>
              <w:pStyle w:val="TableParagraph"/>
              <w:spacing w:before="107"/>
              <w:ind w:left="87"/>
              <w:rPr>
                <w:sz w:val="17"/>
              </w:rPr>
            </w:pPr>
            <w:r>
              <w:rPr>
                <w:color w:val="231F20"/>
                <w:w w:val="75"/>
                <w:sz w:val="17"/>
              </w:rPr>
              <w:t>7.4.2.d</w:t>
            </w:r>
          </w:p>
        </w:tc>
        <w:tc>
          <w:tcPr>
            <w:tcW w:w="4970" w:type="dxa"/>
            <w:gridSpan w:val="2"/>
            <w:tcBorders>
              <w:left w:val="single" w:sz="6" w:space="0" w:color="231F20"/>
              <w:right w:val="single" w:sz="6" w:space="0" w:color="231F20"/>
            </w:tcBorders>
          </w:tcPr>
          <w:p w14:paraId="1FC90349" w14:textId="076A54D6" w:rsidR="009948F1" w:rsidRDefault="00BC0563">
            <w:pPr>
              <w:pStyle w:val="TableParagraph"/>
              <w:spacing w:line="191" w:lineRule="exact"/>
              <w:ind w:left="28"/>
              <w:rPr>
                <w:sz w:val="17"/>
              </w:rPr>
            </w:pPr>
            <w:r>
              <w:rPr>
                <w:color w:val="231F20"/>
                <w:w w:val="75"/>
                <w:sz w:val="17"/>
              </w:rPr>
              <w:t>Operating</w:t>
            </w:r>
            <w:r>
              <w:rPr>
                <w:color w:val="231F20"/>
                <w:spacing w:val="-17"/>
                <w:w w:val="75"/>
                <w:sz w:val="17"/>
              </w:rPr>
              <w:t xml:space="preserve"> </w:t>
            </w:r>
            <w:r>
              <w:rPr>
                <w:color w:val="231F20"/>
                <w:w w:val="75"/>
                <w:sz w:val="17"/>
              </w:rPr>
              <w:t>cost</w:t>
            </w:r>
            <w:r>
              <w:rPr>
                <w:color w:val="231F20"/>
                <w:spacing w:val="-16"/>
                <w:w w:val="75"/>
                <w:sz w:val="17"/>
              </w:rPr>
              <w:t xml:space="preserve"> </w:t>
            </w:r>
            <w:r>
              <w:rPr>
                <w:color w:val="231F20"/>
                <w:w w:val="75"/>
                <w:sz w:val="17"/>
              </w:rPr>
              <w:t>for</w:t>
            </w:r>
            <w:r>
              <w:rPr>
                <w:color w:val="231F20"/>
                <w:spacing w:val="-16"/>
                <w:w w:val="75"/>
                <w:sz w:val="17"/>
              </w:rPr>
              <w:t xml:space="preserve"> </w:t>
            </w:r>
            <w:r>
              <w:rPr>
                <w:color w:val="231F20"/>
                <w:w w:val="75"/>
                <w:sz w:val="17"/>
              </w:rPr>
              <w:t>engaging</w:t>
            </w:r>
            <w:r>
              <w:rPr>
                <w:color w:val="231F20"/>
                <w:spacing w:val="-17"/>
                <w:w w:val="75"/>
                <w:sz w:val="17"/>
              </w:rPr>
              <w:t xml:space="preserve"> </w:t>
            </w:r>
            <w:r>
              <w:rPr>
                <w:color w:val="231F20"/>
                <w:w w:val="75"/>
                <w:sz w:val="17"/>
              </w:rPr>
              <w:t>and</w:t>
            </w:r>
            <w:r>
              <w:rPr>
                <w:color w:val="231F20"/>
                <w:spacing w:val="-16"/>
                <w:w w:val="75"/>
                <w:sz w:val="17"/>
              </w:rPr>
              <w:t xml:space="preserve"> </w:t>
            </w:r>
            <w:r>
              <w:rPr>
                <w:color w:val="231F20"/>
                <w:w w:val="75"/>
                <w:sz w:val="17"/>
              </w:rPr>
              <w:t>supervising</w:t>
            </w:r>
            <w:r>
              <w:rPr>
                <w:color w:val="231F20"/>
                <w:spacing w:val="-16"/>
                <w:w w:val="75"/>
                <w:sz w:val="17"/>
              </w:rPr>
              <w:t xml:space="preserve"> </w:t>
            </w:r>
            <w:r>
              <w:rPr>
                <w:color w:val="231F20"/>
                <w:w w:val="75"/>
                <w:sz w:val="17"/>
              </w:rPr>
              <w:t>the</w:t>
            </w:r>
            <w:r>
              <w:rPr>
                <w:color w:val="231F20"/>
                <w:spacing w:val="-17"/>
                <w:w w:val="75"/>
                <w:sz w:val="17"/>
              </w:rPr>
              <w:t xml:space="preserve"> </w:t>
            </w:r>
            <w:r>
              <w:rPr>
                <w:color w:val="231F20"/>
                <w:w w:val="75"/>
                <w:sz w:val="17"/>
              </w:rPr>
              <w:t>contractor</w:t>
            </w:r>
            <w:r>
              <w:rPr>
                <w:color w:val="231F20"/>
                <w:spacing w:val="-16"/>
                <w:w w:val="75"/>
                <w:sz w:val="17"/>
              </w:rPr>
              <w:t xml:space="preserve"> </w:t>
            </w:r>
            <w:r>
              <w:rPr>
                <w:color w:val="231F20"/>
                <w:w w:val="75"/>
                <w:sz w:val="17"/>
              </w:rPr>
              <w:t>to</w:t>
            </w:r>
            <w:r>
              <w:rPr>
                <w:color w:val="231F20"/>
                <w:spacing w:val="-16"/>
                <w:w w:val="75"/>
                <w:sz w:val="17"/>
              </w:rPr>
              <w:t xml:space="preserve"> </w:t>
            </w:r>
            <w:r>
              <w:rPr>
                <w:color w:val="231F20"/>
                <w:w w:val="75"/>
                <w:sz w:val="17"/>
              </w:rPr>
              <w:t>provide</w:t>
            </w:r>
            <w:r>
              <w:rPr>
                <w:color w:val="231F20"/>
                <w:spacing w:val="-17"/>
                <w:w w:val="75"/>
                <w:sz w:val="17"/>
              </w:rPr>
              <w:t xml:space="preserve"> </w:t>
            </w:r>
            <w:r>
              <w:rPr>
                <w:color w:val="231F20"/>
                <w:w w:val="75"/>
                <w:sz w:val="17"/>
              </w:rPr>
              <w:t>vehicles</w:t>
            </w:r>
            <w:r>
              <w:rPr>
                <w:color w:val="231F20"/>
                <w:spacing w:val="-16"/>
                <w:w w:val="75"/>
                <w:sz w:val="17"/>
              </w:rPr>
              <w:t xml:space="preserve"> </w:t>
            </w:r>
            <w:r>
              <w:rPr>
                <w:color w:val="231F20"/>
                <w:w w:val="75"/>
                <w:sz w:val="17"/>
              </w:rPr>
              <w:t>(</w:t>
            </w:r>
            <w:r>
              <w:rPr>
                <w:color w:val="231F20"/>
                <w:spacing w:val="-16"/>
                <w:w w:val="75"/>
                <w:sz w:val="17"/>
              </w:rPr>
              <w:t xml:space="preserve"> </w:t>
            </w:r>
            <w:proofErr w:type="spellStart"/>
            <w:r>
              <w:rPr>
                <w:color w:val="231F20"/>
                <w:w w:val="75"/>
                <w:sz w:val="17"/>
              </w:rPr>
              <w:t>hilux</w:t>
            </w:r>
            <w:proofErr w:type="spellEnd"/>
            <w:r w:rsidR="00922ECA">
              <w:rPr>
                <w:color w:val="231F20"/>
                <w:w w:val="75"/>
                <w:sz w:val="17"/>
              </w:rPr>
              <w:t xml:space="preserve"> </w:t>
            </w:r>
            <w:r>
              <w:rPr>
                <w:color w:val="231F20"/>
                <w:spacing w:val="-17"/>
                <w:w w:val="75"/>
                <w:sz w:val="17"/>
              </w:rPr>
              <w:t xml:space="preserve"> </w:t>
            </w:r>
            <w:r>
              <w:rPr>
                <w:color w:val="231F20"/>
                <w:w w:val="75"/>
                <w:sz w:val="17"/>
              </w:rPr>
              <w:t>and</w:t>
            </w:r>
          </w:p>
          <w:p w14:paraId="7D8FD25F" w14:textId="77777777" w:rsidR="009948F1" w:rsidRDefault="00BC0563">
            <w:pPr>
              <w:pStyle w:val="TableParagraph"/>
              <w:spacing w:before="14" w:line="193" w:lineRule="exact"/>
              <w:ind w:left="28"/>
              <w:rPr>
                <w:sz w:val="17"/>
              </w:rPr>
            </w:pPr>
            <w:r>
              <w:rPr>
                <w:color w:val="231F20"/>
                <w:w w:val="80"/>
                <w:sz w:val="17"/>
              </w:rPr>
              <w:t>buses) for State and LGAs for Monitoring and Supervision</w:t>
            </w:r>
          </w:p>
        </w:tc>
        <w:tc>
          <w:tcPr>
            <w:tcW w:w="1447" w:type="dxa"/>
            <w:tcBorders>
              <w:left w:val="single" w:sz="6" w:space="0" w:color="231F20"/>
              <w:right w:val="single" w:sz="6" w:space="0" w:color="231F20"/>
            </w:tcBorders>
          </w:tcPr>
          <w:p w14:paraId="118671F6" w14:textId="77777777" w:rsidR="009948F1" w:rsidRDefault="00BC0563">
            <w:pPr>
              <w:pStyle w:val="TableParagraph"/>
              <w:spacing w:before="107"/>
              <w:ind w:left="28"/>
              <w:rPr>
                <w:sz w:val="17"/>
              </w:rPr>
            </w:pPr>
            <w:r>
              <w:rPr>
                <w:color w:val="231F20"/>
                <w:w w:val="80"/>
                <w:sz w:val="17"/>
              </w:rPr>
              <w:t>Lack of funds</w:t>
            </w:r>
          </w:p>
        </w:tc>
        <w:tc>
          <w:tcPr>
            <w:tcW w:w="1528" w:type="dxa"/>
            <w:tcBorders>
              <w:left w:val="single" w:sz="6" w:space="0" w:color="231F20"/>
              <w:right w:val="single" w:sz="6" w:space="0" w:color="231F20"/>
            </w:tcBorders>
          </w:tcPr>
          <w:p w14:paraId="6DCEB01F" w14:textId="77777777" w:rsidR="009948F1" w:rsidRDefault="00BC0563">
            <w:pPr>
              <w:pStyle w:val="TableParagraph"/>
              <w:spacing w:before="107"/>
              <w:ind w:left="30"/>
              <w:rPr>
                <w:sz w:val="17"/>
              </w:rPr>
            </w:pPr>
            <w:r>
              <w:rPr>
                <w:color w:val="231F20"/>
                <w:w w:val="80"/>
                <w:sz w:val="17"/>
              </w:rPr>
              <w:t>Costed in OHT</w:t>
            </w:r>
          </w:p>
        </w:tc>
      </w:tr>
      <w:tr w:rsidR="009948F1" w14:paraId="08F6D040" w14:textId="77777777">
        <w:trPr>
          <w:trHeight w:val="407"/>
        </w:trPr>
        <w:tc>
          <w:tcPr>
            <w:tcW w:w="867" w:type="dxa"/>
            <w:gridSpan w:val="2"/>
            <w:vMerge/>
            <w:tcBorders>
              <w:top w:val="nil"/>
              <w:bottom w:val="nil"/>
              <w:right w:val="single" w:sz="6" w:space="0" w:color="231F20"/>
            </w:tcBorders>
          </w:tcPr>
          <w:p w14:paraId="2EDBE0F1" w14:textId="77777777" w:rsidR="009948F1" w:rsidRDefault="009948F1">
            <w:pPr>
              <w:rPr>
                <w:sz w:val="2"/>
                <w:szCs w:val="2"/>
              </w:rPr>
            </w:pPr>
          </w:p>
        </w:tc>
        <w:tc>
          <w:tcPr>
            <w:tcW w:w="533" w:type="dxa"/>
            <w:tcBorders>
              <w:left w:val="single" w:sz="6" w:space="0" w:color="231F20"/>
              <w:right w:val="single" w:sz="6" w:space="0" w:color="231F20"/>
            </w:tcBorders>
          </w:tcPr>
          <w:p w14:paraId="44514209" w14:textId="77777777" w:rsidR="009948F1" w:rsidRDefault="00BC0563">
            <w:pPr>
              <w:pStyle w:val="TableParagraph"/>
              <w:spacing w:before="102"/>
              <w:ind w:left="87"/>
              <w:rPr>
                <w:sz w:val="17"/>
              </w:rPr>
            </w:pPr>
            <w:r>
              <w:rPr>
                <w:color w:val="231F20"/>
                <w:w w:val="75"/>
                <w:sz w:val="17"/>
              </w:rPr>
              <w:t>7.4.2.e</w:t>
            </w:r>
          </w:p>
        </w:tc>
        <w:tc>
          <w:tcPr>
            <w:tcW w:w="4970" w:type="dxa"/>
            <w:gridSpan w:val="2"/>
            <w:tcBorders>
              <w:left w:val="single" w:sz="6" w:space="0" w:color="231F20"/>
            </w:tcBorders>
          </w:tcPr>
          <w:p w14:paraId="7C5F2DDB" w14:textId="77777777" w:rsidR="009948F1" w:rsidRDefault="00BC0563">
            <w:pPr>
              <w:pStyle w:val="TableParagraph"/>
              <w:spacing w:line="189" w:lineRule="exact"/>
              <w:ind w:left="28"/>
              <w:rPr>
                <w:sz w:val="17"/>
              </w:rPr>
            </w:pPr>
            <w:r>
              <w:rPr>
                <w:color w:val="231F20"/>
                <w:w w:val="80"/>
                <w:sz w:val="17"/>
              </w:rPr>
              <w:t>Operating</w:t>
            </w:r>
            <w:r>
              <w:rPr>
                <w:color w:val="231F20"/>
                <w:spacing w:val="-24"/>
                <w:w w:val="80"/>
                <w:sz w:val="17"/>
              </w:rPr>
              <w:t xml:space="preserve"> </w:t>
            </w:r>
            <w:r>
              <w:rPr>
                <w:color w:val="231F20"/>
                <w:w w:val="80"/>
                <w:sz w:val="17"/>
              </w:rPr>
              <w:t>cost</w:t>
            </w:r>
            <w:r>
              <w:rPr>
                <w:color w:val="231F20"/>
                <w:spacing w:val="-23"/>
                <w:w w:val="80"/>
                <w:sz w:val="17"/>
              </w:rPr>
              <w:t xml:space="preserve"> </w:t>
            </w:r>
            <w:r>
              <w:rPr>
                <w:color w:val="231F20"/>
                <w:w w:val="80"/>
                <w:sz w:val="17"/>
              </w:rPr>
              <w:t>for</w:t>
            </w:r>
            <w:r>
              <w:rPr>
                <w:color w:val="231F20"/>
                <w:spacing w:val="-24"/>
                <w:w w:val="80"/>
                <w:sz w:val="17"/>
              </w:rPr>
              <w:t xml:space="preserve"> </w:t>
            </w:r>
            <w:r>
              <w:rPr>
                <w:color w:val="231F20"/>
                <w:w w:val="80"/>
                <w:sz w:val="17"/>
              </w:rPr>
              <w:t>engaging</w:t>
            </w:r>
            <w:r>
              <w:rPr>
                <w:color w:val="231F20"/>
                <w:spacing w:val="-23"/>
                <w:w w:val="80"/>
                <w:sz w:val="17"/>
              </w:rPr>
              <w:t xml:space="preserve"> </w:t>
            </w:r>
            <w:r>
              <w:rPr>
                <w:color w:val="231F20"/>
                <w:w w:val="80"/>
                <w:sz w:val="17"/>
              </w:rPr>
              <w:t>and</w:t>
            </w:r>
            <w:r>
              <w:rPr>
                <w:color w:val="231F20"/>
                <w:spacing w:val="-23"/>
                <w:w w:val="80"/>
                <w:sz w:val="17"/>
              </w:rPr>
              <w:t xml:space="preserve"> </w:t>
            </w:r>
            <w:r>
              <w:rPr>
                <w:color w:val="231F20"/>
                <w:w w:val="80"/>
                <w:sz w:val="17"/>
              </w:rPr>
              <w:t>supervising</w:t>
            </w:r>
            <w:r>
              <w:rPr>
                <w:color w:val="231F20"/>
                <w:spacing w:val="-24"/>
                <w:w w:val="80"/>
                <w:sz w:val="17"/>
              </w:rPr>
              <w:t xml:space="preserve"> </w:t>
            </w:r>
            <w:r>
              <w:rPr>
                <w:color w:val="231F20"/>
                <w:w w:val="80"/>
                <w:sz w:val="17"/>
              </w:rPr>
              <w:t>the</w:t>
            </w:r>
            <w:r>
              <w:rPr>
                <w:color w:val="231F20"/>
                <w:spacing w:val="-23"/>
                <w:w w:val="80"/>
                <w:sz w:val="17"/>
              </w:rPr>
              <w:t xml:space="preserve"> </w:t>
            </w:r>
            <w:r>
              <w:rPr>
                <w:color w:val="231F20"/>
                <w:w w:val="80"/>
                <w:sz w:val="17"/>
              </w:rPr>
              <w:t>contractor</w:t>
            </w:r>
            <w:r>
              <w:rPr>
                <w:color w:val="231F20"/>
                <w:spacing w:val="-24"/>
                <w:w w:val="80"/>
                <w:sz w:val="17"/>
              </w:rPr>
              <w:t xml:space="preserve"> </w:t>
            </w:r>
            <w:r>
              <w:rPr>
                <w:color w:val="231F20"/>
                <w:w w:val="80"/>
                <w:sz w:val="17"/>
              </w:rPr>
              <w:t>to</w:t>
            </w:r>
            <w:r>
              <w:rPr>
                <w:color w:val="231F20"/>
                <w:spacing w:val="-23"/>
                <w:w w:val="80"/>
                <w:sz w:val="17"/>
              </w:rPr>
              <w:t xml:space="preserve"> </w:t>
            </w:r>
            <w:r>
              <w:rPr>
                <w:color w:val="231F20"/>
                <w:w w:val="80"/>
                <w:sz w:val="17"/>
              </w:rPr>
              <w:t>purchase</w:t>
            </w:r>
            <w:r>
              <w:rPr>
                <w:color w:val="231F20"/>
                <w:spacing w:val="-23"/>
                <w:w w:val="80"/>
                <w:sz w:val="17"/>
              </w:rPr>
              <w:t xml:space="preserve"> </w:t>
            </w:r>
            <w:r>
              <w:rPr>
                <w:color w:val="231F20"/>
                <w:w w:val="80"/>
                <w:sz w:val="17"/>
              </w:rPr>
              <w:t>and</w:t>
            </w:r>
            <w:r>
              <w:rPr>
                <w:color w:val="231F20"/>
                <w:spacing w:val="-24"/>
                <w:w w:val="80"/>
                <w:sz w:val="17"/>
              </w:rPr>
              <w:t xml:space="preserve"> </w:t>
            </w:r>
            <w:r>
              <w:rPr>
                <w:color w:val="231F20"/>
                <w:w w:val="80"/>
                <w:sz w:val="17"/>
              </w:rPr>
              <w:t>install</w:t>
            </w:r>
          </w:p>
          <w:p w14:paraId="6A6F1B8C" w14:textId="77777777" w:rsidR="009948F1" w:rsidRDefault="00BC0563">
            <w:pPr>
              <w:pStyle w:val="TableParagraph"/>
              <w:spacing w:before="14" w:line="184" w:lineRule="exact"/>
              <w:ind w:left="28"/>
              <w:rPr>
                <w:sz w:val="17"/>
              </w:rPr>
            </w:pPr>
            <w:r>
              <w:rPr>
                <w:color w:val="231F20"/>
                <w:w w:val="80"/>
                <w:sz w:val="17"/>
              </w:rPr>
              <w:t>ultrasound scan in all General Hospitals in the State</w:t>
            </w:r>
          </w:p>
        </w:tc>
        <w:tc>
          <w:tcPr>
            <w:tcW w:w="1447" w:type="dxa"/>
            <w:tcBorders>
              <w:right w:val="single" w:sz="6" w:space="0" w:color="231F20"/>
            </w:tcBorders>
          </w:tcPr>
          <w:p w14:paraId="4380C6C4" w14:textId="77777777" w:rsidR="009948F1" w:rsidRDefault="00BC0563">
            <w:pPr>
              <w:pStyle w:val="TableParagraph"/>
              <w:spacing w:before="102"/>
              <w:ind w:left="26"/>
              <w:rPr>
                <w:sz w:val="17"/>
              </w:rPr>
            </w:pPr>
            <w:r>
              <w:rPr>
                <w:color w:val="231F20"/>
                <w:w w:val="80"/>
                <w:sz w:val="17"/>
              </w:rPr>
              <w:t>Lack of funds</w:t>
            </w:r>
          </w:p>
        </w:tc>
        <w:tc>
          <w:tcPr>
            <w:tcW w:w="1528" w:type="dxa"/>
            <w:tcBorders>
              <w:left w:val="single" w:sz="6" w:space="0" w:color="231F20"/>
              <w:right w:val="single" w:sz="6" w:space="0" w:color="231F20"/>
            </w:tcBorders>
          </w:tcPr>
          <w:p w14:paraId="3E561F2D" w14:textId="77777777" w:rsidR="009948F1" w:rsidRDefault="00BC0563">
            <w:pPr>
              <w:pStyle w:val="TableParagraph"/>
              <w:spacing w:before="102"/>
              <w:ind w:left="30"/>
              <w:rPr>
                <w:sz w:val="17"/>
              </w:rPr>
            </w:pPr>
            <w:r>
              <w:rPr>
                <w:color w:val="231F20"/>
                <w:w w:val="80"/>
                <w:sz w:val="17"/>
              </w:rPr>
              <w:t>Costed in OHT</w:t>
            </w:r>
          </w:p>
        </w:tc>
      </w:tr>
      <w:tr w:rsidR="009948F1" w14:paraId="29764D2C" w14:textId="77777777">
        <w:trPr>
          <w:trHeight w:val="1132"/>
        </w:trPr>
        <w:tc>
          <w:tcPr>
            <w:tcW w:w="406" w:type="dxa"/>
            <w:tcBorders>
              <w:top w:val="nil"/>
              <w:bottom w:val="single" w:sz="6" w:space="0" w:color="231F20"/>
              <w:right w:val="single" w:sz="6" w:space="0" w:color="231F20"/>
            </w:tcBorders>
          </w:tcPr>
          <w:p w14:paraId="7F9FE4FD" w14:textId="77777777" w:rsidR="009948F1" w:rsidRDefault="009948F1">
            <w:pPr>
              <w:pStyle w:val="TableParagraph"/>
              <w:rPr>
                <w:rFonts w:ascii="Times New Roman"/>
                <w:sz w:val="12"/>
              </w:rPr>
            </w:pPr>
          </w:p>
        </w:tc>
        <w:tc>
          <w:tcPr>
            <w:tcW w:w="461" w:type="dxa"/>
            <w:tcBorders>
              <w:left w:val="single" w:sz="6" w:space="0" w:color="231F20"/>
              <w:right w:val="single" w:sz="6" w:space="0" w:color="231F20"/>
            </w:tcBorders>
            <w:shd w:val="clear" w:color="auto" w:fill="CCE7D3"/>
          </w:tcPr>
          <w:p w14:paraId="3420B187" w14:textId="77777777" w:rsidR="009948F1" w:rsidRDefault="009948F1">
            <w:pPr>
              <w:pStyle w:val="TableParagraph"/>
              <w:rPr>
                <w:sz w:val="16"/>
              </w:rPr>
            </w:pPr>
          </w:p>
          <w:p w14:paraId="65474602" w14:textId="77777777" w:rsidR="009948F1" w:rsidRDefault="009948F1">
            <w:pPr>
              <w:pStyle w:val="TableParagraph"/>
              <w:rPr>
                <w:sz w:val="16"/>
              </w:rPr>
            </w:pPr>
          </w:p>
          <w:p w14:paraId="7A559CE1" w14:textId="77777777" w:rsidR="009948F1" w:rsidRDefault="00BC0563">
            <w:pPr>
              <w:pStyle w:val="TableParagraph"/>
              <w:spacing w:before="97"/>
              <w:ind w:left="60"/>
              <w:rPr>
                <w:sz w:val="17"/>
              </w:rPr>
            </w:pPr>
            <w:r>
              <w:rPr>
                <w:color w:val="231F20"/>
                <w:w w:val="80"/>
                <w:sz w:val="17"/>
              </w:rPr>
              <w:t>7.4.3</w:t>
            </w:r>
          </w:p>
        </w:tc>
        <w:tc>
          <w:tcPr>
            <w:tcW w:w="3082" w:type="dxa"/>
            <w:gridSpan w:val="2"/>
            <w:tcBorders>
              <w:left w:val="single" w:sz="6" w:space="0" w:color="231F20"/>
              <w:right w:val="single" w:sz="6" w:space="0" w:color="231F20"/>
            </w:tcBorders>
            <w:shd w:val="clear" w:color="auto" w:fill="CCE7D3"/>
          </w:tcPr>
          <w:p w14:paraId="417061FE" w14:textId="77777777" w:rsidR="009948F1" w:rsidRDefault="009948F1">
            <w:pPr>
              <w:pStyle w:val="TableParagraph"/>
              <w:rPr>
                <w:sz w:val="16"/>
              </w:rPr>
            </w:pPr>
          </w:p>
          <w:p w14:paraId="0F6C29AA" w14:textId="77777777" w:rsidR="009948F1" w:rsidRDefault="009948F1">
            <w:pPr>
              <w:pStyle w:val="TableParagraph"/>
              <w:spacing w:before="7"/>
              <w:rPr>
                <w:sz w:val="14"/>
              </w:rPr>
            </w:pPr>
          </w:p>
          <w:p w14:paraId="438710CF" w14:textId="77777777" w:rsidR="009948F1" w:rsidRDefault="00BC0563">
            <w:pPr>
              <w:pStyle w:val="TableParagraph"/>
              <w:spacing w:before="1" w:line="256" w:lineRule="auto"/>
              <w:ind w:left="27" w:firstLine="66"/>
              <w:rPr>
                <w:sz w:val="17"/>
              </w:rPr>
            </w:pPr>
            <w:r>
              <w:rPr>
                <w:color w:val="231F20"/>
                <w:w w:val="70"/>
                <w:sz w:val="17"/>
              </w:rPr>
              <w:t xml:space="preserve">Intensify continuous quality improvement in medical </w:t>
            </w:r>
            <w:r>
              <w:rPr>
                <w:color w:val="231F20"/>
                <w:w w:val="80"/>
                <w:sz w:val="17"/>
              </w:rPr>
              <w:t>service provision at all levels</w:t>
            </w:r>
          </w:p>
        </w:tc>
        <w:tc>
          <w:tcPr>
            <w:tcW w:w="2421" w:type="dxa"/>
            <w:tcBorders>
              <w:left w:val="single" w:sz="6" w:space="0" w:color="231F20"/>
              <w:right w:val="single" w:sz="6" w:space="0" w:color="231F20"/>
            </w:tcBorders>
            <w:shd w:val="clear" w:color="auto" w:fill="CCE7D3"/>
          </w:tcPr>
          <w:p w14:paraId="2F9CBBED" w14:textId="77777777" w:rsidR="009948F1" w:rsidRDefault="009948F1">
            <w:pPr>
              <w:pStyle w:val="TableParagraph"/>
              <w:rPr>
                <w:sz w:val="13"/>
              </w:rPr>
            </w:pPr>
          </w:p>
          <w:p w14:paraId="2AE24E10" w14:textId="77777777" w:rsidR="009948F1" w:rsidRDefault="00BC0563">
            <w:pPr>
              <w:pStyle w:val="TableParagraph"/>
              <w:numPr>
                <w:ilvl w:val="0"/>
                <w:numId w:val="107"/>
              </w:numPr>
              <w:tabs>
                <w:tab w:val="left" w:pos="105"/>
              </w:tabs>
              <w:ind w:left="104" w:hanging="77"/>
              <w:rPr>
                <w:sz w:val="17"/>
              </w:rPr>
            </w:pPr>
            <w:r>
              <w:rPr>
                <w:color w:val="231F20"/>
                <w:w w:val="80"/>
                <w:sz w:val="17"/>
              </w:rPr>
              <w:t>Continuous training</w:t>
            </w:r>
            <w:r>
              <w:rPr>
                <w:color w:val="231F20"/>
                <w:spacing w:val="-20"/>
                <w:w w:val="80"/>
                <w:sz w:val="17"/>
              </w:rPr>
              <w:t xml:space="preserve"> </w:t>
            </w:r>
            <w:r>
              <w:rPr>
                <w:color w:val="231F20"/>
                <w:w w:val="80"/>
                <w:sz w:val="17"/>
              </w:rPr>
              <w:t>done</w:t>
            </w:r>
          </w:p>
          <w:p w14:paraId="46D982EB" w14:textId="77777777" w:rsidR="009948F1" w:rsidRDefault="00BC0563">
            <w:pPr>
              <w:pStyle w:val="TableParagraph"/>
              <w:numPr>
                <w:ilvl w:val="0"/>
                <w:numId w:val="107"/>
              </w:numPr>
              <w:tabs>
                <w:tab w:val="left" w:pos="73"/>
              </w:tabs>
              <w:spacing w:before="14" w:line="256" w:lineRule="auto"/>
              <w:ind w:right="472" w:firstLine="0"/>
              <w:rPr>
                <w:sz w:val="17"/>
              </w:rPr>
            </w:pPr>
            <w:r>
              <w:rPr>
                <w:color w:val="231F20"/>
                <w:w w:val="80"/>
                <w:sz w:val="17"/>
              </w:rPr>
              <w:t xml:space="preserve">Private health institutions </w:t>
            </w:r>
            <w:r>
              <w:rPr>
                <w:color w:val="231F20"/>
                <w:w w:val="70"/>
                <w:sz w:val="17"/>
              </w:rPr>
              <w:t xml:space="preserve">registration/renewal certificate done </w:t>
            </w:r>
            <w:r>
              <w:rPr>
                <w:color w:val="231F20"/>
                <w:w w:val="80"/>
                <w:sz w:val="17"/>
              </w:rPr>
              <w:t>annually</w:t>
            </w:r>
          </w:p>
        </w:tc>
        <w:tc>
          <w:tcPr>
            <w:tcW w:w="1447" w:type="dxa"/>
            <w:tcBorders>
              <w:left w:val="single" w:sz="6" w:space="0" w:color="231F20"/>
              <w:right w:val="single" w:sz="6" w:space="0" w:color="231F20"/>
            </w:tcBorders>
            <w:shd w:val="clear" w:color="auto" w:fill="CCE7D3"/>
          </w:tcPr>
          <w:p w14:paraId="218059AC"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53FCEF54" w14:textId="77777777" w:rsidR="009948F1" w:rsidRDefault="009948F1">
            <w:pPr>
              <w:pStyle w:val="TableParagraph"/>
              <w:rPr>
                <w:rFonts w:ascii="Times New Roman"/>
                <w:sz w:val="12"/>
              </w:rPr>
            </w:pPr>
          </w:p>
        </w:tc>
      </w:tr>
    </w:tbl>
    <w:p w14:paraId="3A7B5ACA" w14:textId="77777777" w:rsidR="009948F1" w:rsidRDefault="009948F1">
      <w:pPr>
        <w:rPr>
          <w:rFonts w:ascii="Times New Roman"/>
          <w:sz w:val="12"/>
        </w:rPr>
        <w:sectPr w:rsidR="009948F1">
          <w:pgSz w:w="11910" w:h="16840"/>
          <w:pgMar w:top="1260" w:right="1080" w:bottom="1340" w:left="1120" w:header="0" w:footer="1155" w:gutter="0"/>
          <w:cols w:space="720"/>
        </w:sectPr>
      </w:pPr>
    </w:p>
    <w:tbl>
      <w:tblPr>
        <w:tblW w:w="0" w:type="auto"/>
        <w:tblInd w:w="2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4"/>
        <w:gridCol w:w="453"/>
        <w:gridCol w:w="524"/>
        <w:gridCol w:w="2504"/>
        <w:gridCol w:w="2377"/>
        <w:gridCol w:w="1423"/>
        <w:gridCol w:w="1501"/>
      </w:tblGrid>
      <w:tr w:rsidR="009948F1" w14:paraId="3DEF831B" w14:textId="77777777">
        <w:trPr>
          <w:trHeight w:val="515"/>
        </w:trPr>
        <w:tc>
          <w:tcPr>
            <w:tcW w:w="847" w:type="dxa"/>
            <w:gridSpan w:val="2"/>
            <w:vMerge w:val="restart"/>
            <w:tcBorders>
              <w:left w:val="single" w:sz="4" w:space="0" w:color="231F20"/>
              <w:bottom w:val="nil"/>
              <w:right w:val="single" w:sz="6" w:space="0" w:color="231F20"/>
            </w:tcBorders>
          </w:tcPr>
          <w:p w14:paraId="2956CE00" w14:textId="77777777" w:rsidR="009948F1" w:rsidRDefault="009948F1">
            <w:pPr>
              <w:pStyle w:val="TableParagraph"/>
              <w:rPr>
                <w:rFonts w:ascii="Times New Roman"/>
                <w:sz w:val="10"/>
              </w:rPr>
            </w:pPr>
          </w:p>
        </w:tc>
        <w:tc>
          <w:tcPr>
            <w:tcW w:w="524" w:type="dxa"/>
            <w:tcBorders>
              <w:left w:val="single" w:sz="6" w:space="0" w:color="231F20"/>
              <w:bottom w:val="single" w:sz="6" w:space="0" w:color="231F20"/>
              <w:right w:val="single" w:sz="6" w:space="0" w:color="231F20"/>
            </w:tcBorders>
          </w:tcPr>
          <w:p w14:paraId="0229AEF2" w14:textId="77777777" w:rsidR="009948F1" w:rsidRDefault="009948F1">
            <w:pPr>
              <w:pStyle w:val="TableParagraph"/>
              <w:rPr>
                <w:sz w:val="14"/>
              </w:rPr>
            </w:pPr>
          </w:p>
          <w:p w14:paraId="14291E55" w14:textId="77777777" w:rsidR="009948F1" w:rsidRDefault="00BC0563">
            <w:pPr>
              <w:pStyle w:val="TableParagraph"/>
              <w:ind w:left="51" w:right="28"/>
              <w:jc w:val="center"/>
              <w:rPr>
                <w:sz w:val="15"/>
              </w:rPr>
            </w:pPr>
            <w:bookmarkStart w:id="178" w:name="Page_152"/>
            <w:bookmarkEnd w:id="178"/>
            <w:r>
              <w:rPr>
                <w:color w:val="231F20"/>
                <w:w w:val="85"/>
                <w:sz w:val="15"/>
              </w:rPr>
              <w:t>7.4.3.a</w:t>
            </w:r>
          </w:p>
        </w:tc>
        <w:tc>
          <w:tcPr>
            <w:tcW w:w="4881" w:type="dxa"/>
            <w:gridSpan w:val="2"/>
            <w:tcBorders>
              <w:left w:val="single" w:sz="6" w:space="0" w:color="231F20"/>
              <w:bottom w:val="single" w:sz="6" w:space="0" w:color="231F20"/>
              <w:right w:val="single" w:sz="6" w:space="0" w:color="231F20"/>
            </w:tcBorders>
          </w:tcPr>
          <w:p w14:paraId="087D6100" w14:textId="77777777" w:rsidR="009948F1" w:rsidRDefault="00BC0563">
            <w:pPr>
              <w:pStyle w:val="TableParagraph"/>
              <w:spacing w:line="163" w:lineRule="exact"/>
              <w:ind w:left="26"/>
              <w:rPr>
                <w:sz w:val="15"/>
              </w:rPr>
            </w:pPr>
            <w:r>
              <w:rPr>
                <w:color w:val="231F20"/>
                <w:w w:val="85"/>
                <w:sz w:val="15"/>
              </w:rPr>
              <w:t>Conduct</w:t>
            </w:r>
            <w:r>
              <w:rPr>
                <w:color w:val="231F20"/>
                <w:spacing w:val="-19"/>
                <w:w w:val="85"/>
                <w:sz w:val="15"/>
              </w:rPr>
              <w:t xml:space="preserve"> </w:t>
            </w:r>
            <w:r>
              <w:rPr>
                <w:color w:val="231F20"/>
                <w:w w:val="85"/>
                <w:sz w:val="15"/>
              </w:rPr>
              <w:t>continuous</w:t>
            </w:r>
            <w:r>
              <w:rPr>
                <w:color w:val="231F20"/>
                <w:spacing w:val="-19"/>
                <w:w w:val="85"/>
                <w:sz w:val="15"/>
              </w:rPr>
              <w:t xml:space="preserve"> </w:t>
            </w:r>
            <w:r>
              <w:rPr>
                <w:color w:val="231F20"/>
                <w:w w:val="85"/>
                <w:sz w:val="15"/>
              </w:rPr>
              <w:t>training</w:t>
            </w:r>
            <w:r>
              <w:rPr>
                <w:color w:val="231F20"/>
                <w:spacing w:val="-19"/>
                <w:w w:val="85"/>
                <w:sz w:val="15"/>
              </w:rPr>
              <w:t xml:space="preserve"> </w:t>
            </w:r>
            <w:r>
              <w:rPr>
                <w:color w:val="231F20"/>
                <w:w w:val="85"/>
                <w:sz w:val="15"/>
              </w:rPr>
              <w:t>of</w:t>
            </w:r>
            <w:r>
              <w:rPr>
                <w:color w:val="231F20"/>
                <w:spacing w:val="-2"/>
                <w:w w:val="85"/>
                <w:sz w:val="15"/>
              </w:rPr>
              <w:t xml:space="preserve"> </w:t>
            </w:r>
            <w:r>
              <w:rPr>
                <w:color w:val="231F20"/>
                <w:w w:val="85"/>
                <w:sz w:val="15"/>
              </w:rPr>
              <w:t>secondary</w:t>
            </w:r>
            <w:r>
              <w:rPr>
                <w:color w:val="231F20"/>
                <w:spacing w:val="-18"/>
                <w:w w:val="85"/>
                <w:sz w:val="15"/>
              </w:rPr>
              <w:t xml:space="preserve"> </w:t>
            </w:r>
            <w:r>
              <w:rPr>
                <w:color w:val="231F20"/>
                <w:w w:val="85"/>
                <w:sz w:val="15"/>
              </w:rPr>
              <w:t>and</w:t>
            </w:r>
            <w:r>
              <w:rPr>
                <w:color w:val="231F20"/>
                <w:spacing w:val="-19"/>
                <w:w w:val="85"/>
                <w:sz w:val="15"/>
              </w:rPr>
              <w:t xml:space="preserve"> </w:t>
            </w:r>
            <w:r>
              <w:rPr>
                <w:color w:val="231F20"/>
                <w:w w:val="85"/>
                <w:sz w:val="15"/>
              </w:rPr>
              <w:t>primary</w:t>
            </w:r>
            <w:r>
              <w:rPr>
                <w:color w:val="231F20"/>
                <w:spacing w:val="-19"/>
                <w:w w:val="85"/>
                <w:sz w:val="15"/>
              </w:rPr>
              <w:t xml:space="preserve"> </w:t>
            </w:r>
            <w:r>
              <w:rPr>
                <w:color w:val="231F20"/>
                <w:w w:val="85"/>
                <w:sz w:val="15"/>
              </w:rPr>
              <w:t>healthcare</w:t>
            </w:r>
            <w:r>
              <w:rPr>
                <w:color w:val="231F20"/>
                <w:spacing w:val="-18"/>
                <w:w w:val="85"/>
                <w:sz w:val="15"/>
              </w:rPr>
              <w:t xml:space="preserve"> </w:t>
            </w:r>
            <w:r>
              <w:rPr>
                <w:color w:val="231F20"/>
                <w:w w:val="85"/>
                <w:sz w:val="15"/>
              </w:rPr>
              <w:t>staff</w:t>
            </w:r>
            <w:r>
              <w:rPr>
                <w:color w:val="231F20"/>
                <w:spacing w:val="-19"/>
                <w:w w:val="85"/>
                <w:sz w:val="15"/>
              </w:rPr>
              <w:t xml:space="preserve"> </w:t>
            </w:r>
            <w:r>
              <w:rPr>
                <w:color w:val="231F20"/>
                <w:w w:val="85"/>
                <w:sz w:val="15"/>
              </w:rPr>
              <w:t>on</w:t>
            </w:r>
            <w:r>
              <w:rPr>
                <w:color w:val="231F20"/>
                <w:spacing w:val="-19"/>
                <w:w w:val="85"/>
                <w:sz w:val="15"/>
              </w:rPr>
              <w:t xml:space="preserve"> </w:t>
            </w:r>
            <w:r>
              <w:rPr>
                <w:color w:val="231F20"/>
                <w:w w:val="85"/>
                <w:sz w:val="15"/>
              </w:rPr>
              <w:t>the</w:t>
            </w:r>
            <w:r>
              <w:rPr>
                <w:color w:val="231F20"/>
                <w:spacing w:val="-19"/>
                <w:w w:val="85"/>
                <w:sz w:val="15"/>
              </w:rPr>
              <w:t xml:space="preserve"> </w:t>
            </w:r>
            <w:r>
              <w:rPr>
                <w:color w:val="231F20"/>
                <w:w w:val="85"/>
                <w:sz w:val="15"/>
              </w:rPr>
              <w:t>SOPS</w:t>
            </w:r>
            <w:r>
              <w:rPr>
                <w:color w:val="231F20"/>
                <w:spacing w:val="-18"/>
                <w:w w:val="85"/>
                <w:sz w:val="15"/>
              </w:rPr>
              <w:t xml:space="preserve"> </w:t>
            </w:r>
            <w:r>
              <w:rPr>
                <w:color w:val="231F20"/>
                <w:w w:val="85"/>
                <w:sz w:val="15"/>
              </w:rPr>
              <w:t>on</w:t>
            </w:r>
          </w:p>
          <w:p w14:paraId="4CFEF75E" w14:textId="77777777" w:rsidR="009948F1" w:rsidRDefault="00BC0563">
            <w:pPr>
              <w:pStyle w:val="TableParagraph"/>
              <w:spacing w:before="46" w:line="192" w:lineRule="auto"/>
              <w:ind w:left="54" w:hanging="28"/>
              <w:rPr>
                <w:sz w:val="15"/>
              </w:rPr>
            </w:pPr>
            <w:r>
              <w:rPr>
                <w:color w:val="231F20"/>
                <w:w w:val="80"/>
                <w:sz w:val="15"/>
              </w:rPr>
              <w:t xml:space="preserve">Quality of Care, Infection Prevention and Control, Management of common medical </w:t>
            </w:r>
            <w:r>
              <w:rPr>
                <w:color w:val="231F20"/>
                <w:w w:val="90"/>
                <w:sz w:val="15"/>
              </w:rPr>
              <w:t>conditions</w:t>
            </w:r>
          </w:p>
        </w:tc>
        <w:tc>
          <w:tcPr>
            <w:tcW w:w="1423" w:type="dxa"/>
            <w:tcBorders>
              <w:left w:val="single" w:sz="6" w:space="0" w:color="231F20"/>
              <w:bottom w:val="single" w:sz="6" w:space="0" w:color="231F20"/>
              <w:right w:val="single" w:sz="6" w:space="0" w:color="231F20"/>
            </w:tcBorders>
          </w:tcPr>
          <w:p w14:paraId="6C64BE17" w14:textId="77777777" w:rsidR="009948F1" w:rsidRDefault="009948F1">
            <w:pPr>
              <w:pStyle w:val="TableParagraph"/>
              <w:rPr>
                <w:sz w:val="14"/>
              </w:rPr>
            </w:pPr>
          </w:p>
          <w:p w14:paraId="6FDD7C9A" w14:textId="77777777" w:rsidR="009948F1" w:rsidRDefault="00BC0563">
            <w:pPr>
              <w:pStyle w:val="TableParagraph"/>
              <w:ind w:left="26"/>
              <w:rPr>
                <w:sz w:val="15"/>
              </w:rPr>
            </w:pPr>
            <w:r>
              <w:rPr>
                <w:color w:val="231F20"/>
                <w:w w:val="90"/>
                <w:sz w:val="15"/>
              </w:rPr>
              <w:t>Lack of funds</w:t>
            </w:r>
          </w:p>
        </w:tc>
        <w:tc>
          <w:tcPr>
            <w:tcW w:w="1501" w:type="dxa"/>
            <w:tcBorders>
              <w:left w:val="single" w:sz="6" w:space="0" w:color="231F20"/>
              <w:bottom w:val="single" w:sz="6" w:space="0" w:color="231F20"/>
              <w:right w:val="single" w:sz="6" w:space="0" w:color="231F20"/>
            </w:tcBorders>
          </w:tcPr>
          <w:p w14:paraId="1F0210B7" w14:textId="77777777" w:rsidR="009948F1" w:rsidRDefault="009948F1">
            <w:pPr>
              <w:pStyle w:val="TableParagraph"/>
              <w:rPr>
                <w:sz w:val="14"/>
              </w:rPr>
            </w:pPr>
          </w:p>
          <w:p w14:paraId="2D47FE32" w14:textId="77777777" w:rsidR="009948F1" w:rsidRDefault="00BC0563">
            <w:pPr>
              <w:pStyle w:val="TableParagraph"/>
              <w:ind w:left="27"/>
              <w:rPr>
                <w:sz w:val="15"/>
              </w:rPr>
            </w:pPr>
            <w:r>
              <w:rPr>
                <w:color w:val="231F20"/>
                <w:w w:val="90"/>
                <w:sz w:val="15"/>
              </w:rPr>
              <w:t>Conduct training</w:t>
            </w:r>
          </w:p>
        </w:tc>
      </w:tr>
      <w:tr w:rsidR="009948F1" w14:paraId="46DEF318" w14:textId="77777777">
        <w:trPr>
          <w:trHeight w:val="355"/>
        </w:trPr>
        <w:tc>
          <w:tcPr>
            <w:tcW w:w="847" w:type="dxa"/>
            <w:gridSpan w:val="2"/>
            <w:vMerge/>
            <w:tcBorders>
              <w:top w:val="nil"/>
              <w:left w:val="single" w:sz="4" w:space="0" w:color="231F20"/>
              <w:bottom w:val="nil"/>
              <w:right w:val="single" w:sz="6" w:space="0" w:color="231F20"/>
            </w:tcBorders>
          </w:tcPr>
          <w:p w14:paraId="28856C77"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219ED9EA" w14:textId="77777777" w:rsidR="009948F1" w:rsidRDefault="00BC0563">
            <w:pPr>
              <w:pStyle w:val="TableParagraph"/>
              <w:spacing w:before="84"/>
              <w:ind w:left="51" w:right="28"/>
              <w:jc w:val="center"/>
              <w:rPr>
                <w:sz w:val="15"/>
              </w:rPr>
            </w:pPr>
            <w:r>
              <w:rPr>
                <w:color w:val="231F20"/>
                <w:w w:val="85"/>
                <w:sz w:val="15"/>
              </w:rPr>
              <w:t>7.4.3.b</w:t>
            </w:r>
          </w:p>
        </w:tc>
        <w:tc>
          <w:tcPr>
            <w:tcW w:w="4881" w:type="dxa"/>
            <w:gridSpan w:val="2"/>
            <w:tcBorders>
              <w:top w:val="single" w:sz="6" w:space="0" w:color="231F20"/>
              <w:left w:val="single" w:sz="6" w:space="0" w:color="231F20"/>
              <w:bottom w:val="single" w:sz="6" w:space="0" w:color="231F20"/>
              <w:right w:val="single" w:sz="6" w:space="0" w:color="231F20"/>
            </w:tcBorders>
          </w:tcPr>
          <w:p w14:paraId="661AA0D3" w14:textId="77777777" w:rsidR="009948F1" w:rsidRDefault="00BC0563">
            <w:pPr>
              <w:pStyle w:val="TableParagraph"/>
              <w:spacing w:line="167" w:lineRule="exact"/>
              <w:ind w:left="26"/>
              <w:rPr>
                <w:sz w:val="15"/>
              </w:rPr>
            </w:pPr>
            <w:r>
              <w:rPr>
                <w:color w:val="231F20"/>
                <w:w w:val="85"/>
                <w:sz w:val="15"/>
              </w:rPr>
              <w:t>Operating</w:t>
            </w:r>
            <w:r>
              <w:rPr>
                <w:color w:val="231F20"/>
                <w:spacing w:val="-19"/>
                <w:w w:val="85"/>
                <w:sz w:val="15"/>
              </w:rPr>
              <w:t xml:space="preserve"> </w:t>
            </w:r>
            <w:r>
              <w:rPr>
                <w:color w:val="231F20"/>
                <w:w w:val="85"/>
                <w:sz w:val="15"/>
              </w:rPr>
              <w:t>cost</w:t>
            </w:r>
            <w:r>
              <w:rPr>
                <w:color w:val="231F20"/>
                <w:spacing w:val="-19"/>
                <w:w w:val="85"/>
                <w:sz w:val="15"/>
              </w:rPr>
              <w:t xml:space="preserve"> </w:t>
            </w:r>
            <w:r>
              <w:rPr>
                <w:color w:val="231F20"/>
                <w:w w:val="85"/>
                <w:sz w:val="15"/>
              </w:rPr>
              <w:t>for</w:t>
            </w:r>
            <w:r>
              <w:rPr>
                <w:color w:val="231F20"/>
                <w:spacing w:val="-18"/>
                <w:w w:val="85"/>
                <w:sz w:val="15"/>
              </w:rPr>
              <w:t xml:space="preserve"> </w:t>
            </w:r>
            <w:r>
              <w:rPr>
                <w:color w:val="231F20"/>
                <w:w w:val="85"/>
                <w:sz w:val="15"/>
              </w:rPr>
              <w:t>engaging</w:t>
            </w:r>
            <w:r>
              <w:rPr>
                <w:color w:val="231F20"/>
                <w:spacing w:val="-19"/>
                <w:w w:val="85"/>
                <w:sz w:val="15"/>
              </w:rPr>
              <w:t xml:space="preserve"> </w:t>
            </w:r>
            <w:r>
              <w:rPr>
                <w:color w:val="231F20"/>
                <w:w w:val="85"/>
                <w:sz w:val="15"/>
              </w:rPr>
              <w:t>and</w:t>
            </w:r>
            <w:r>
              <w:rPr>
                <w:color w:val="231F20"/>
                <w:spacing w:val="-18"/>
                <w:w w:val="85"/>
                <w:sz w:val="15"/>
              </w:rPr>
              <w:t xml:space="preserve"> </w:t>
            </w:r>
            <w:r>
              <w:rPr>
                <w:color w:val="231F20"/>
                <w:w w:val="85"/>
                <w:sz w:val="15"/>
              </w:rPr>
              <w:t>supervising</w:t>
            </w:r>
            <w:r>
              <w:rPr>
                <w:color w:val="231F20"/>
                <w:spacing w:val="-19"/>
                <w:w w:val="85"/>
                <w:sz w:val="15"/>
              </w:rPr>
              <w:t xml:space="preserve"> </w:t>
            </w:r>
            <w:r>
              <w:rPr>
                <w:color w:val="231F20"/>
                <w:w w:val="85"/>
                <w:sz w:val="15"/>
              </w:rPr>
              <w:t>the</w:t>
            </w:r>
            <w:r>
              <w:rPr>
                <w:color w:val="231F20"/>
                <w:spacing w:val="-18"/>
                <w:w w:val="85"/>
                <w:sz w:val="15"/>
              </w:rPr>
              <w:t xml:space="preserve"> </w:t>
            </w:r>
            <w:r>
              <w:rPr>
                <w:color w:val="231F20"/>
                <w:w w:val="85"/>
                <w:sz w:val="15"/>
              </w:rPr>
              <w:t>contractor</w:t>
            </w:r>
            <w:r>
              <w:rPr>
                <w:color w:val="231F20"/>
                <w:spacing w:val="-19"/>
                <w:w w:val="85"/>
                <w:sz w:val="15"/>
              </w:rPr>
              <w:t xml:space="preserve"> </w:t>
            </w:r>
            <w:r>
              <w:rPr>
                <w:color w:val="231F20"/>
                <w:w w:val="85"/>
                <w:sz w:val="15"/>
              </w:rPr>
              <w:t>to</w:t>
            </w:r>
            <w:r>
              <w:rPr>
                <w:color w:val="231F20"/>
                <w:spacing w:val="-18"/>
                <w:w w:val="85"/>
                <w:sz w:val="15"/>
              </w:rPr>
              <w:t xml:space="preserve"> </w:t>
            </w:r>
            <w:r>
              <w:rPr>
                <w:color w:val="231F20"/>
                <w:w w:val="85"/>
                <w:sz w:val="15"/>
              </w:rPr>
              <w:t>maintain</w:t>
            </w:r>
            <w:r>
              <w:rPr>
                <w:color w:val="231F20"/>
                <w:spacing w:val="-19"/>
                <w:w w:val="85"/>
                <w:sz w:val="15"/>
              </w:rPr>
              <w:t xml:space="preserve"> </w:t>
            </w:r>
            <w:r>
              <w:rPr>
                <w:color w:val="231F20"/>
                <w:w w:val="85"/>
                <w:sz w:val="15"/>
              </w:rPr>
              <w:t>equipment</w:t>
            </w:r>
            <w:r>
              <w:rPr>
                <w:color w:val="231F20"/>
                <w:spacing w:val="-18"/>
                <w:w w:val="85"/>
                <w:sz w:val="15"/>
              </w:rPr>
              <w:t xml:space="preserve"> </w:t>
            </w:r>
            <w:r>
              <w:rPr>
                <w:color w:val="231F20"/>
                <w:w w:val="85"/>
                <w:sz w:val="15"/>
              </w:rPr>
              <w:t>at</w:t>
            </w:r>
            <w:r>
              <w:rPr>
                <w:color w:val="231F20"/>
                <w:spacing w:val="-19"/>
                <w:w w:val="85"/>
                <w:sz w:val="15"/>
              </w:rPr>
              <w:t xml:space="preserve"> </w:t>
            </w:r>
            <w:r>
              <w:rPr>
                <w:color w:val="231F20"/>
                <w:w w:val="85"/>
                <w:sz w:val="15"/>
              </w:rPr>
              <w:t>all</w:t>
            </w:r>
          </w:p>
          <w:p w14:paraId="2698AF0C" w14:textId="77777777" w:rsidR="009948F1" w:rsidRDefault="00BC0563">
            <w:pPr>
              <w:pStyle w:val="TableParagraph"/>
              <w:spacing w:before="18" w:line="151" w:lineRule="exact"/>
              <w:ind w:left="26"/>
              <w:rPr>
                <w:sz w:val="15"/>
              </w:rPr>
            </w:pPr>
            <w:r>
              <w:rPr>
                <w:color w:val="231F20"/>
                <w:w w:val="90"/>
                <w:sz w:val="15"/>
              </w:rPr>
              <w:t>levels</w:t>
            </w:r>
          </w:p>
        </w:tc>
        <w:tc>
          <w:tcPr>
            <w:tcW w:w="1423" w:type="dxa"/>
            <w:tcBorders>
              <w:top w:val="single" w:sz="6" w:space="0" w:color="231F20"/>
              <w:left w:val="single" w:sz="6" w:space="0" w:color="231F20"/>
              <w:bottom w:val="single" w:sz="6" w:space="0" w:color="231F20"/>
              <w:right w:val="single" w:sz="6" w:space="0" w:color="231F20"/>
            </w:tcBorders>
          </w:tcPr>
          <w:p w14:paraId="4A802485" w14:textId="77777777" w:rsidR="009948F1" w:rsidRDefault="00BC0563">
            <w:pPr>
              <w:pStyle w:val="TableParagraph"/>
              <w:spacing w:before="84"/>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3105CEE5" w14:textId="44B84B7E" w:rsidR="009948F1" w:rsidRDefault="00A93E69">
            <w:pPr>
              <w:pStyle w:val="TableParagraph"/>
              <w:spacing w:before="84"/>
              <w:ind w:left="27"/>
              <w:rPr>
                <w:sz w:val="15"/>
              </w:rPr>
            </w:pPr>
            <w:r>
              <w:rPr>
                <w:color w:val="231F20"/>
                <w:w w:val="85"/>
                <w:sz w:val="15"/>
              </w:rPr>
              <w:t>Maintenance</w:t>
            </w:r>
            <w:r w:rsidR="00BC0563">
              <w:rPr>
                <w:color w:val="231F20"/>
                <w:w w:val="85"/>
                <w:sz w:val="15"/>
              </w:rPr>
              <w:t xml:space="preserve"> of equipment</w:t>
            </w:r>
          </w:p>
        </w:tc>
      </w:tr>
      <w:tr w:rsidR="009948F1" w14:paraId="3617BF64" w14:textId="77777777">
        <w:trPr>
          <w:trHeight w:val="374"/>
        </w:trPr>
        <w:tc>
          <w:tcPr>
            <w:tcW w:w="847" w:type="dxa"/>
            <w:gridSpan w:val="2"/>
            <w:vMerge/>
            <w:tcBorders>
              <w:top w:val="nil"/>
              <w:left w:val="single" w:sz="4" w:space="0" w:color="231F20"/>
              <w:bottom w:val="nil"/>
              <w:right w:val="single" w:sz="6" w:space="0" w:color="231F20"/>
            </w:tcBorders>
          </w:tcPr>
          <w:p w14:paraId="7220B9A1"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6C7E547D" w14:textId="77777777" w:rsidR="009948F1" w:rsidRDefault="00BC0563">
            <w:pPr>
              <w:pStyle w:val="TableParagraph"/>
              <w:spacing w:before="93"/>
              <w:ind w:left="51" w:right="27"/>
              <w:jc w:val="center"/>
              <w:rPr>
                <w:sz w:val="15"/>
              </w:rPr>
            </w:pPr>
            <w:r>
              <w:rPr>
                <w:color w:val="231F20"/>
                <w:w w:val="85"/>
                <w:sz w:val="15"/>
              </w:rPr>
              <w:t>7.4.3.c</w:t>
            </w:r>
          </w:p>
        </w:tc>
        <w:tc>
          <w:tcPr>
            <w:tcW w:w="4881" w:type="dxa"/>
            <w:gridSpan w:val="2"/>
            <w:tcBorders>
              <w:top w:val="single" w:sz="6" w:space="0" w:color="231F20"/>
              <w:left w:val="single" w:sz="6" w:space="0" w:color="231F20"/>
              <w:bottom w:val="single" w:sz="6" w:space="0" w:color="231F20"/>
              <w:right w:val="single" w:sz="6" w:space="0" w:color="231F20"/>
            </w:tcBorders>
          </w:tcPr>
          <w:p w14:paraId="457C3B1E" w14:textId="77777777" w:rsidR="009948F1" w:rsidRDefault="00BC0563">
            <w:pPr>
              <w:pStyle w:val="TableParagraph"/>
              <w:spacing w:before="87"/>
              <w:ind w:left="26"/>
              <w:rPr>
                <w:sz w:val="15"/>
              </w:rPr>
            </w:pPr>
            <w:r>
              <w:rPr>
                <w:color w:val="231F20"/>
                <w:w w:val="85"/>
                <w:sz w:val="15"/>
              </w:rPr>
              <w:t>Periodic training of staff on management and maintenance of equipment &amp; supplies</w:t>
            </w:r>
          </w:p>
        </w:tc>
        <w:tc>
          <w:tcPr>
            <w:tcW w:w="1423" w:type="dxa"/>
            <w:tcBorders>
              <w:top w:val="single" w:sz="6" w:space="0" w:color="231F20"/>
              <w:left w:val="single" w:sz="6" w:space="0" w:color="231F20"/>
              <w:bottom w:val="single" w:sz="6" w:space="0" w:color="231F20"/>
              <w:right w:val="single" w:sz="6" w:space="0" w:color="231F20"/>
            </w:tcBorders>
          </w:tcPr>
          <w:p w14:paraId="49F4C38B" w14:textId="77777777" w:rsidR="009948F1" w:rsidRDefault="00BC0563">
            <w:pPr>
              <w:pStyle w:val="TableParagraph"/>
              <w:spacing w:before="93"/>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4DFE7693" w14:textId="77777777" w:rsidR="009948F1" w:rsidRDefault="00BC0563">
            <w:pPr>
              <w:pStyle w:val="TableParagraph"/>
              <w:spacing w:before="93"/>
              <w:ind w:left="27"/>
              <w:rPr>
                <w:sz w:val="15"/>
              </w:rPr>
            </w:pPr>
            <w:r>
              <w:rPr>
                <w:color w:val="231F20"/>
                <w:w w:val="90"/>
                <w:sz w:val="15"/>
              </w:rPr>
              <w:t>Train staff</w:t>
            </w:r>
          </w:p>
        </w:tc>
      </w:tr>
      <w:tr w:rsidR="009948F1" w14:paraId="78E6A112" w14:textId="77777777">
        <w:trPr>
          <w:trHeight w:val="383"/>
        </w:trPr>
        <w:tc>
          <w:tcPr>
            <w:tcW w:w="847" w:type="dxa"/>
            <w:gridSpan w:val="2"/>
            <w:vMerge/>
            <w:tcBorders>
              <w:top w:val="nil"/>
              <w:left w:val="single" w:sz="4" w:space="0" w:color="231F20"/>
              <w:bottom w:val="nil"/>
              <w:right w:val="single" w:sz="6" w:space="0" w:color="231F20"/>
            </w:tcBorders>
          </w:tcPr>
          <w:p w14:paraId="48163EF0"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18794E56" w14:textId="77777777" w:rsidR="009948F1" w:rsidRDefault="00BC0563">
            <w:pPr>
              <w:pStyle w:val="TableParagraph"/>
              <w:spacing w:before="98"/>
              <w:ind w:left="51" w:right="28"/>
              <w:jc w:val="center"/>
              <w:rPr>
                <w:sz w:val="15"/>
              </w:rPr>
            </w:pPr>
            <w:r>
              <w:rPr>
                <w:color w:val="231F20"/>
                <w:w w:val="85"/>
                <w:sz w:val="15"/>
              </w:rPr>
              <w:t>7.4.3.d</w:t>
            </w:r>
          </w:p>
        </w:tc>
        <w:tc>
          <w:tcPr>
            <w:tcW w:w="4881" w:type="dxa"/>
            <w:gridSpan w:val="2"/>
            <w:tcBorders>
              <w:top w:val="single" w:sz="6" w:space="0" w:color="231F20"/>
              <w:left w:val="single" w:sz="6" w:space="0" w:color="231F20"/>
              <w:bottom w:val="single" w:sz="6" w:space="0" w:color="231F20"/>
              <w:right w:val="single" w:sz="6" w:space="0" w:color="231F20"/>
            </w:tcBorders>
          </w:tcPr>
          <w:p w14:paraId="00BF0839" w14:textId="77777777" w:rsidR="009948F1" w:rsidRDefault="00BC0563">
            <w:pPr>
              <w:pStyle w:val="TableParagraph"/>
              <w:spacing w:before="92"/>
              <w:ind w:left="26"/>
              <w:rPr>
                <w:sz w:val="15"/>
              </w:rPr>
            </w:pPr>
            <w:r>
              <w:rPr>
                <w:color w:val="231F20"/>
                <w:w w:val="90"/>
                <w:sz w:val="15"/>
              </w:rPr>
              <w:t>Printing of private health institutions registration/renewal certificate</w:t>
            </w:r>
          </w:p>
        </w:tc>
        <w:tc>
          <w:tcPr>
            <w:tcW w:w="1423" w:type="dxa"/>
            <w:tcBorders>
              <w:top w:val="single" w:sz="6" w:space="0" w:color="231F20"/>
              <w:left w:val="single" w:sz="6" w:space="0" w:color="231F20"/>
              <w:bottom w:val="single" w:sz="6" w:space="0" w:color="231F20"/>
              <w:right w:val="single" w:sz="6" w:space="0" w:color="231F20"/>
            </w:tcBorders>
          </w:tcPr>
          <w:p w14:paraId="3BAB110E" w14:textId="77777777" w:rsidR="009948F1" w:rsidRDefault="00BC0563">
            <w:pPr>
              <w:pStyle w:val="TableParagraph"/>
              <w:spacing w:before="98"/>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2CBA0F38" w14:textId="77777777" w:rsidR="009948F1" w:rsidRDefault="00BC0563">
            <w:pPr>
              <w:pStyle w:val="TableParagraph"/>
              <w:spacing w:before="98"/>
              <w:ind w:left="27"/>
              <w:rPr>
                <w:sz w:val="15"/>
              </w:rPr>
            </w:pPr>
            <w:r>
              <w:rPr>
                <w:color w:val="231F20"/>
                <w:w w:val="90"/>
                <w:sz w:val="15"/>
              </w:rPr>
              <w:t>Print certificate</w:t>
            </w:r>
          </w:p>
        </w:tc>
      </w:tr>
      <w:tr w:rsidR="009948F1" w14:paraId="7B70089D" w14:textId="77777777">
        <w:trPr>
          <w:trHeight w:val="1486"/>
        </w:trPr>
        <w:tc>
          <w:tcPr>
            <w:tcW w:w="394" w:type="dxa"/>
            <w:tcBorders>
              <w:top w:val="nil"/>
              <w:left w:val="single" w:sz="4" w:space="0" w:color="231F20"/>
              <w:bottom w:val="nil"/>
              <w:right w:val="single" w:sz="6" w:space="0" w:color="231F20"/>
            </w:tcBorders>
          </w:tcPr>
          <w:p w14:paraId="42BE258D" w14:textId="77777777" w:rsidR="009948F1" w:rsidRDefault="009948F1">
            <w:pPr>
              <w:pStyle w:val="TableParagraph"/>
              <w:rPr>
                <w:rFonts w:ascii="Times New Roman"/>
                <w:sz w:val="10"/>
              </w:rPr>
            </w:pPr>
          </w:p>
        </w:tc>
        <w:tc>
          <w:tcPr>
            <w:tcW w:w="453" w:type="dxa"/>
            <w:tcBorders>
              <w:top w:val="single" w:sz="6" w:space="0" w:color="231F20"/>
              <w:left w:val="single" w:sz="6" w:space="0" w:color="231F20"/>
              <w:bottom w:val="single" w:sz="6" w:space="0" w:color="231F20"/>
              <w:right w:val="single" w:sz="6" w:space="0" w:color="231F20"/>
            </w:tcBorders>
            <w:shd w:val="clear" w:color="auto" w:fill="CCE7D3"/>
          </w:tcPr>
          <w:p w14:paraId="13B36F5D" w14:textId="77777777" w:rsidR="009948F1" w:rsidRDefault="009948F1">
            <w:pPr>
              <w:pStyle w:val="TableParagraph"/>
              <w:rPr>
                <w:sz w:val="16"/>
              </w:rPr>
            </w:pPr>
          </w:p>
          <w:p w14:paraId="65C3EDCB" w14:textId="77777777" w:rsidR="009948F1" w:rsidRDefault="009948F1">
            <w:pPr>
              <w:pStyle w:val="TableParagraph"/>
              <w:rPr>
                <w:sz w:val="16"/>
              </w:rPr>
            </w:pPr>
          </w:p>
          <w:p w14:paraId="288668A1" w14:textId="77777777" w:rsidR="009948F1" w:rsidRDefault="009948F1">
            <w:pPr>
              <w:pStyle w:val="TableParagraph"/>
              <w:rPr>
                <w:sz w:val="16"/>
              </w:rPr>
            </w:pPr>
          </w:p>
          <w:p w14:paraId="4768A0D6" w14:textId="77777777" w:rsidR="009948F1" w:rsidRDefault="00BC0563">
            <w:pPr>
              <w:pStyle w:val="TableParagraph"/>
              <w:spacing w:before="97"/>
              <w:ind w:left="58"/>
              <w:rPr>
                <w:sz w:val="15"/>
              </w:rPr>
            </w:pPr>
            <w:r>
              <w:rPr>
                <w:color w:val="231F20"/>
                <w:w w:val="90"/>
                <w:sz w:val="15"/>
              </w:rPr>
              <w:t>7.4.4</w:t>
            </w:r>
          </w:p>
        </w:tc>
        <w:tc>
          <w:tcPr>
            <w:tcW w:w="3028" w:type="dxa"/>
            <w:gridSpan w:val="2"/>
            <w:tcBorders>
              <w:top w:val="single" w:sz="6" w:space="0" w:color="231F20"/>
              <w:left w:val="single" w:sz="6" w:space="0" w:color="231F20"/>
              <w:bottom w:val="single" w:sz="6" w:space="0" w:color="231F20"/>
              <w:right w:val="single" w:sz="6" w:space="0" w:color="231F20"/>
            </w:tcBorders>
            <w:shd w:val="clear" w:color="auto" w:fill="CCE7D3"/>
          </w:tcPr>
          <w:p w14:paraId="13EEFC00" w14:textId="77777777" w:rsidR="009948F1" w:rsidRDefault="009948F1">
            <w:pPr>
              <w:pStyle w:val="TableParagraph"/>
              <w:rPr>
                <w:sz w:val="16"/>
              </w:rPr>
            </w:pPr>
          </w:p>
          <w:p w14:paraId="52463FB3" w14:textId="77777777" w:rsidR="009948F1" w:rsidRDefault="009948F1">
            <w:pPr>
              <w:pStyle w:val="TableParagraph"/>
              <w:rPr>
                <w:sz w:val="16"/>
              </w:rPr>
            </w:pPr>
          </w:p>
          <w:p w14:paraId="6C069C9A" w14:textId="77777777" w:rsidR="009948F1" w:rsidRDefault="009948F1">
            <w:pPr>
              <w:pStyle w:val="TableParagraph"/>
              <w:spacing w:before="7"/>
              <w:rPr>
                <w:sz w:val="15"/>
              </w:rPr>
            </w:pPr>
          </w:p>
          <w:p w14:paraId="54B2B355" w14:textId="22F55C6D" w:rsidR="009948F1" w:rsidRDefault="00A93E69">
            <w:pPr>
              <w:pStyle w:val="TableParagraph"/>
              <w:spacing w:line="266" w:lineRule="auto"/>
              <w:ind w:left="26" w:right="185" w:firstLine="65"/>
              <w:rPr>
                <w:sz w:val="15"/>
              </w:rPr>
            </w:pPr>
            <w:r>
              <w:rPr>
                <w:color w:val="231F20"/>
                <w:w w:val="80"/>
                <w:sz w:val="15"/>
              </w:rPr>
              <w:t>Build</w:t>
            </w:r>
            <w:r w:rsidR="00BC0563">
              <w:rPr>
                <w:color w:val="231F20"/>
                <w:w w:val="80"/>
                <w:sz w:val="15"/>
              </w:rPr>
              <w:t xml:space="preserve"> capacity of health care providers for quality </w:t>
            </w:r>
            <w:r w:rsidR="00BC0563">
              <w:rPr>
                <w:color w:val="231F20"/>
                <w:w w:val="90"/>
                <w:sz w:val="15"/>
              </w:rPr>
              <w:t>medical services</w:t>
            </w:r>
          </w:p>
        </w:tc>
        <w:tc>
          <w:tcPr>
            <w:tcW w:w="2377" w:type="dxa"/>
            <w:tcBorders>
              <w:top w:val="single" w:sz="6" w:space="0" w:color="231F20"/>
              <w:left w:val="single" w:sz="6" w:space="0" w:color="231F20"/>
              <w:bottom w:val="single" w:sz="6" w:space="0" w:color="231F20"/>
              <w:right w:val="single" w:sz="6" w:space="0" w:color="231F20"/>
            </w:tcBorders>
            <w:shd w:val="clear" w:color="auto" w:fill="CCE7D3"/>
          </w:tcPr>
          <w:p w14:paraId="6696B997" w14:textId="77777777" w:rsidR="009948F1" w:rsidRDefault="009948F1">
            <w:pPr>
              <w:pStyle w:val="TableParagraph"/>
              <w:rPr>
                <w:sz w:val="15"/>
              </w:rPr>
            </w:pPr>
          </w:p>
          <w:p w14:paraId="3F5ABD68" w14:textId="77777777" w:rsidR="009948F1" w:rsidRDefault="00BC0563">
            <w:pPr>
              <w:pStyle w:val="TableParagraph"/>
              <w:numPr>
                <w:ilvl w:val="0"/>
                <w:numId w:val="106"/>
              </w:numPr>
              <w:tabs>
                <w:tab w:val="left" w:pos="95"/>
              </w:tabs>
              <w:spacing w:line="266" w:lineRule="auto"/>
              <w:ind w:right="258" w:firstLine="0"/>
              <w:rPr>
                <w:sz w:val="15"/>
              </w:rPr>
            </w:pPr>
            <w:r>
              <w:rPr>
                <w:color w:val="231F20"/>
                <w:w w:val="85"/>
                <w:sz w:val="15"/>
              </w:rPr>
              <w:t>At</w:t>
            </w:r>
            <w:r>
              <w:rPr>
                <w:color w:val="231F20"/>
                <w:spacing w:val="-25"/>
                <w:w w:val="85"/>
                <w:sz w:val="15"/>
              </w:rPr>
              <w:t xml:space="preserve"> </w:t>
            </w:r>
            <w:r>
              <w:rPr>
                <w:color w:val="231F20"/>
                <w:w w:val="85"/>
                <w:sz w:val="15"/>
              </w:rPr>
              <w:t>least</w:t>
            </w:r>
            <w:r>
              <w:rPr>
                <w:color w:val="231F20"/>
                <w:spacing w:val="-24"/>
                <w:w w:val="85"/>
                <w:sz w:val="15"/>
              </w:rPr>
              <w:t xml:space="preserve"> </w:t>
            </w:r>
            <w:r>
              <w:rPr>
                <w:color w:val="231F20"/>
                <w:w w:val="85"/>
                <w:sz w:val="15"/>
              </w:rPr>
              <w:t>814</w:t>
            </w:r>
            <w:r>
              <w:rPr>
                <w:color w:val="231F20"/>
                <w:spacing w:val="-24"/>
                <w:w w:val="85"/>
                <w:sz w:val="15"/>
              </w:rPr>
              <w:t xml:space="preserve"> </w:t>
            </w:r>
            <w:r>
              <w:rPr>
                <w:color w:val="231F20"/>
                <w:w w:val="85"/>
                <w:sz w:val="15"/>
              </w:rPr>
              <w:t>Health</w:t>
            </w:r>
            <w:r>
              <w:rPr>
                <w:color w:val="231F20"/>
                <w:spacing w:val="-24"/>
                <w:w w:val="85"/>
                <w:sz w:val="15"/>
              </w:rPr>
              <w:t xml:space="preserve"> </w:t>
            </w:r>
            <w:r>
              <w:rPr>
                <w:color w:val="231F20"/>
                <w:w w:val="85"/>
                <w:sz w:val="15"/>
              </w:rPr>
              <w:t>workers</w:t>
            </w:r>
            <w:r>
              <w:rPr>
                <w:color w:val="231F20"/>
                <w:spacing w:val="-24"/>
                <w:w w:val="85"/>
                <w:sz w:val="15"/>
              </w:rPr>
              <w:t xml:space="preserve"> </w:t>
            </w:r>
            <w:r>
              <w:rPr>
                <w:color w:val="231F20"/>
                <w:w w:val="85"/>
                <w:sz w:val="15"/>
              </w:rPr>
              <w:t>trained</w:t>
            </w:r>
            <w:r>
              <w:rPr>
                <w:color w:val="231F20"/>
                <w:spacing w:val="-24"/>
                <w:w w:val="85"/>
                <w:sz w:val="15"/>
              </w:rPr>
              <w:t xml:space="preserve"> </w:t>
            </w:r>
            <w:r>
              <w:rPr>
                <w:color w:val="231F20"/>
                <w:spacing w:val="-7"/>
                <w:w w:val="85"/>
                <w:sz w:val="15"/>
              </w:rPr>
              <w:t xml:space="preserve">on </w:t>
            </w:r>
            <w:r>
              <w:rPr>
                <w:color w:val="231F20"/>
                <w:w w:val="90"/>
                <w:sz w:val="15"/>
              </w:rPr>
              <w:t>quality medical</w:t>
            </w:r>
            <w:r>
              <w:rPr>
                <w:color w:val="231F20"/>
                <w:spacing w:val="-22"/>
                <w:w w:val="90"/>
                <w:sz w:val="15"/>
              </w:rPr>
              <w:t xml:space="preserve"> </w:t>
            </w:r>
            <w:r>
              <w:rPr>
                <w:color w:val="231F20"/>
                <w:w w:val="90"/>
                <w:sz w:val="15"/>
              </w:rPr>
              <w:t>services</w:t>
            </w:r>
          </w:p>
          <w:p w14:paraId="172119AC" w14:textId="77777777" w:rsidR="009948F1" w:rsidRDefault="00BC0563">
            <w:pPr>
              <w:pStyle w:val="TableParagraph"/>
              <w:numPr>
                <w:ilvl w:val="0"/>
                <w:numId w:val="106"/>
              </w:numPr>
              <w:tabs>
                <w:tab w:val="left" w:pos="95"/>
              </w:tabs>
              <w:spacing w:line="266" w:lineRule="auto"/>
              <w:ind w:right="266" w:firstLine="0"/>
              <w:rPr>
                <w:sz w:val="15"/>
              </w:rPr>
            </w:pPr>
            <w:r>
              <w:rPr>
                <w:color w:val="231F20"/>
                <w:w w:val="85"/>
                <w:sz w:val="15"/>
              </w:rPr>
              <w:t>At</w:t>
            </w:r>
            <w:r>
              <w:rPr>
                <w:color w:val="231F20"/>
                <w:spacing w:val="-16"/>
                <w:w w:val="85"/>
                <w:sz w:val="15"/>
              </w:rPr>
              <w:t xml:space="preserve"> </w:t>
            </w:r>
            <w:r>
              <w:rPr>
                <w:color w:val="231F20"/>
                <w:w w:val="85"/>
                <w:sz w:val="15"/>
              </w:rPr>
              <w:t>least</w:t>
            </w:r>
            <w:r>
              <w:rPr>
                <w:color w:val="231F20"/>
                <w:spacing w:val="-16"/>
                <w:w w:val="85"/>
                <w:sz w:val="15"/>
              </w:rPr>
              <w:t xml:space="preserve"> </w:t>
            </w:r>
            <w:r>
              <w:rPr>
                <w:color w:val="231F20"/>
                <w:w w:val="85"/>
                <w:sz w:val="15"/>
              </w:rPr>
              <w:t>814</w:t>
            </w:r>
            <w:r>
              <w:rPr>
                <w:color w:val="231F20"/>
                <w:spacing w:val="-16"/>
                <w:w w:val="85"/>
                <w:sz w:val="15"/>
              </w:rPr>
              <w:t xml:space="preserve"> </w:t>
            </w:r>
            <w:r>
              <w:rPr>
                <w:color w:val="231F20"/>
                <w:w w:val="85"/>
                <w:sz w:val="15"/>
              </w:rPr>
              <w:t>HWs</w:t>
            </w:r>
            <w:r>
              <w:rPr>
                <w:color w:val="231F20"/>
                <w:spacing w:val="-16"/>
                <w:w w:val="85"/>
                <w:sz w:val="15"/>
              </w:rPr>
              <w:t xml:space="preserve"> </w:t>
            </w:r>
            <w:r>
              <w:rPr>
                <w:color w:val="231F20"/>
                <w:w w:val="85"/>
                <w:sz w:val="15"/>
              </w:rPr>
              <w:t>trained</w:t>
            </w:r>
            <w:r>
              <w:rPr>
                <w:color w:val="231F20"/>
                <w:spacing w:val="-16"/>
                <w:w w:val="85"/>
                <w:sz w:val="15"/>
              </w:rPr>
              <w:t xml:space="preserve"> </w:t>
            </w:r>
            <w:r>
              <w:rPr>
                <w:color w:val="231F20"/>
                <w:w w:val="85"/>
                <w:sz w:val="15"/>
              </w:rPr>
              <w:t>on</w:t>
            </w:r>
            <w:r>
              <w:rPr>
                <w:color w:val="231F20"/>
                <w:spacing w:val="-16"/>
                <w:w w:val="85"/>
                <w:sz w:val="15"/>
              </w:rPr>
              <w:t xml:space="preserve"> </w:t>
            </w:r>
            <w:r>
              <w:rPr>
                <w:color w:val="231F20"/>
                <w:w w:val="85"/>
                <w:sz w:val="15"/>
              </w:rPr>
              <w:t xml:space="preserve">current </w:t>
            </w:r>
            <w:r>
              <w:rPr>
                <w:color w:val="231F20"/>
                <w:w w:val="80"/>
                <w:sz w:val="15"/>
              </w:rPr>
              <w:t>emerging</w:t>
            </w:r>
            <w:r>
              <w:rPr>
                <w:color w:val="231F20"/>
                <w:spacing w:val="-6"/>
                <w:w w:val="80"/>
                <w:sz w:val="15"/>
              </w:rPr>
              <w:t xml:space="preserve"> </w:t>
            </w:r>
            <w:r>
              <w:rPr>
                <w:color w:val="231F20"/>
                <w:w w:val="80"/>
                <w:sz w:val="15"/>
              </w:rPr>
              <w:t>health</w:t>
            </w:r>
            <w:r>
              <w:rPr>
                <w:color w:val="231F20"/>
                <w:spacing w:val="-5"/>
                <w:w w:val="80"/>
                <w:sz w:val="15"/>
              </w:rPr>
              <w:t xml:space="preserve"> </w:t>
            </w:r>
            <w:r>
              <w:rPr>
                <w:color w:val="231F20"/>
                <w:w w:val="80"/>
                <w:sz w:val="15"/>
              </w:rPr>
              <w:t>challenges</w:t>
            </w:r>
            <w:r>
              <w:rPr>
                <w:color w:val="231F20"/>
                <w:spacing w:val="-5"/>
                <w:w w:val="80"/>
                <w:sz w:val="15"/>
              </w:rPr>
              <w:t xml:space="preserve"> </w:t>
            </w:r>
            <w:r>
              <w:rPr>
                <w:color w:val="231F20"/>
                <w:w w:val="80"/>
                <w:sz w:val="15"/>
              </w:rPr>
              <w:t>at</w:t>
            </w:r>
            <w:r>
              <w:rPr>
                <w:color w:val="231F20"/>
                <w:spacing w:val="-6"/>
                <w:w w:val="80"/>
                <w:sz w:val="15"/>
              </w:rPr>
              <w:t xml:space="preserve"> </w:t>
            </w:r>
            <w:r>
              <w:rPr>
                <w:color w:val="231F20"/>
                <w:w w:val="80"/>
                <w:sz w:val="15"/>
              </w:rPr>
              <w:t>all</w:t>
            </w:r>
            <w:r>
              <w:rPr>
                <w:color w:val="231F20"/>
                <w:spacing w:val="-5"/>
                <w:w w:val="80"/>
                <w:sz w:val="15"/>
              </w:rPr>
              <w:t xml:space="preserve"> </w:t>
            </w:r>
            <w:r>
              <w:rPr>
                <w:color w:val="231F20"/>
                <w:spacing w:val="-3"/>
                <w:w w:val="80"/>
                <w:sz w:val="15"/>
              </w:rPr>
              <w:t>levels</w:t>
            </w:r>
          </w:p>
          <w:p w14:paraId="6BE29B9F" w14:textId="77777777" w:rsidR="009948F1" w:rsidRDefault="00BC0563">
            <w:pPr>
              <w:pStyle w:val="TableParagraph"/>
              <w:numPr>
                <w:ilvl w:val="0"/>
                <w:numId w:val="106"/>
              </w:numPr>
              <w:tabs>
                <w:tab w:val="left" w:pos="95"/>
              </w:tabs>
              <w:spacing w:line="266" w:lineRule="auto"/>
              <w:ind w:right="247" w:firstLine="0"/>
              <w:rPr>
                <w:sz w:val="15"/>
              </w:rPr>
            </w:pPr>
            <w:r>
              <w:rPr>
                <w:color w:val="231F20"/>
                <w:w w:val="85"/>
                <w:sz w:val="15"/>
              </w:rPr>
              <w:t>At</w:t>
            </w:r>
            <w:r>
              <w:rPr>
                <w:color w:val="231F20"/>
                <w:spacing w:val="-17"/>
                <w:w w:val="85"/>
                <w:sz w:val="15"/>
              </w:rPr>
              <w:t xml:space="preserve"> </w:t>
            </w:r>
            <w:r>
              <w:rPr>
                <w:color w:val="231F20"/>
                <w:w w:val="85"/>
                <w:sz w:val="15"/>
              </w:rPr>
              <w:t>least</w:t>
            </w:r>
            <w:r>
              <w:rPr>
                <w:color w:val="231F20"/>
                <w:spacing w:val="-16"/>
                <w:w w:val="85"/>
                <w:sz w:val="15"/>
              </w:rPr>
              <w:t xml:space="preserve"> </w:t>
            </w:r>
            <w:r>
              <w:rPr>
                <w:color w:val="231F20"/>
                <w:w w:val="85"/>
                <w:sz w:val="15"/>
              </w:rPr>
              <w:t>1</w:t>
            </w:r>
            <w:r>
              <w:rPr>
                <w:color w:val="231F20"/>
                <w:spacing w:val="-17"/>
                <w:w w:val="85"/>
                <w:sz w:val="15"/>
              </w:rPr>
              <w:t xml:space="preserve"> </w:t>
            </w:r>
            <w:r>
              <w:rPr>
                <w:color w:val="231F20"/>
                <w:w w:val="85"/>
                <w:sz w:val="15"/>
              </w:rPr>
              <w:t>doctor</w:t>
            </w:r>
            <w:r>
              <w:rPr>
                <w:color w:val="231F20"/>
                <w:spacing w:val="-16"/>
                <w:w w:val="85"/>
                <w:sz w:val="15"/>
              </w:rPr>
              <w:t xml:space="preserve"> </w:t>
            </w:r>
            <w:r>
              <w:rPr>
                <w:color w:val="231F20"/>
                <w:w w:val="85"/>
                <w:sz w:val="15"/>
              </w:rPr>
              <w:t>trained</w:t>
            </w:r>
            <w:r>
              <w:rPr>
                <w:color w:val="231F20"/>
                <w:spacing w:val="-17"/>
                <w:w w:val="85"/>
                <w:sz w:val="15"/>
              </w:rPr>
              <w:t xml:space="preserve"> </w:t>
            </w:r>
            <w:r>
              <w:rPr>
                <w:color w:val="231F20"/>
                <w:w w:val="85"/>
                <w:sz w:val="15"/>
              </w:rPr>
              <w:t>on</w:t>
            </w:r>
            <w:r>
              <w:rPr>
                <w:color w:val="231F20"/>
                <w:spacing w:val="-16"/>
                <w:w w:val="85"/>
                <w:sz w:val="15"/>
              </w:rPr>
              <w:t xml:space="preserve"> </w:t>
            </w:r>
            <w:r>
              <w:rPr>
                <w:color w:val="231F20"/>
                <w:w w:val="85"/>
                <w:sz w:val="15"/>
              </w:rPr>
              <w:t>the</w:t>
            </w:r>
            <w:r>
              <w:rPr>
                <w:color w:val="231F20"/>
                <w:spacing w:val="-17"/>
                <w:w w:val="85"/>
                <w:sz w:val="15"/>
              </w:rPr>
              <w:t xml:space="preserve"> </w:t>
            </w:r>
            <w:r>
              <w:rPr>
                <w:color w:val="231F20"/>
                <w:w w:val="85"/>
                <w:sz w:val="15"/>
              </w:rPr>
              <w:t>use</w:t>
            </w:r>
            <w:r>
              <w:rPr>
                <w:color w:val="231F20"/>
                <w:spacing w:val="-16"/>
                <w:w w:val="85"/>
                <w:sz w:val="15"/>
              </w:rPr>
              <w:t xml:space="preserve"> </w:t>
            </w:r>
            <w:r>
              <w:rPr>
                <w:color w:val="231F20"/>
                <w:w w:val="85"/>
                <w:sz w:val="15"/>
              </w:rPr>
              <w:t xml:space="preserve">of </w:t>
            </w:r>
            <w:r>
              <w:rPr>
                <w:color w:val="231F20"/>
                <w:w w:val="80"/>
                <w:sz w:val="15"/>
              </w:rPr>
              <w:t>ultrasound scan in all General</w:t>
            </w:r>
            <w:r>
              <w:rPr>
                <w:color w:val="231F20"/>
                <w:spacing w:val="-19"/>
                <w:w w:val="80"/>
                <w:sz w:val="15"/>
              </w:rPr>
              <w:t xml:space="preserve"> </w:t>
            </w:r>
            <w:r>
              <w:rPr>
                <w:color w:val="231F20"/>
                <w:spacing w:val="-3"/>
                <w:w w:val="80"/>
                <w:sz w:val="15"/>
              </w:rPr>
              <w:t>Hospitals</w:t>
            </w:r>
          </w:p>
        </w:tc>
        <w:tc>
          <w:tcPr>
            <w:tcW w:w="1423" w:type="dxa"/>
            <w:tcBorders>
              <w:top w:val="single" w:sz="6" w:space="0" w:color="231F20"/>
              <w:left w:val="single" w:sz="6" w:space="0" w:color="231F20"/>
              <w:bottom w:val="single" w:sz="6" w:space="0" w:color="231F20"/>
              <w:right w:val="single" w:sz="6" w:space="0" w:color="231F20"/>
            </w:tcBorders>
            <w:shd w:val="clear" w:color="auto" w:fill="CCE7D3"/>
          </w:tcPr>
          <w:p w14:paraId="6F790F2E" w14:textId="77777777" w:rsidR="009948F1" w:rsidRDefault="009948F1">
            <w:pPr>
              <w:pStyle w:val="TableParagraph"/>
              <w:rPr>
                <w:rFonts w:ascii="Times New Roman"/>
                <w:sz w:val="10"/>
              </w:rPr>
            </w:pPr>
          </w:p>
        </w:tc>
        <w:tc>
          <w:tcPr>
            <w:tcW w:w="1501" w:type="dxa"/>
            <w:tcBorders>
              <w:top w:val="single" w:sz="6" w:space="0" w:color="231F20"/>
              <w:left w:val="single" w:sz="6" w:space="0" w:color="231F20"/>
              <w:bottom w:val="single" w:sz="6" w:space="0" w:color="231F20"/>
              <w:right w:val="single" w:sz="6" w:space="0" w:color="231F20"/>
            </w:tcBorders>
            <w:shd w:val="clear" w:color="auto" w:fill="CCE7D3"/>
          </w:tcPr>
          <w:p w14:paraId="1248519F" w14:textId="77777777" w:rsidR="009948F1" w:rsidRDefault="009948F1">
            <w:pPr>
              <w:pStyle w:val="TableParagraph"/>
              <w:rPr>
                <w:rFonts w:ascii="Times New Roman"/>
                <w:sz w:val="10"/>
              </w:rPr>
            </w:pPr>
          </w:p>
        </w:tc>
      </w:tr>
      <w:tr w:rsidR="009948F1" w14:paraId="5FBF1EBC" w14:textId="77777777">
        <w:trPr>
          <w:trHeight w:val="369"/>
        </w:trPr>
        <w:tc>
          <w:tcPr>
            <w:tcW w:w="847" w:type="dxa"/>
            <w:gridSpan w:val="2"/>
            <w:vMerge w:val="restart"/>
            <w:tcBorders>
              <w:top w:val="nil"/>
              <w:left w:val="single" w:sz="4" w:space="0" w:color="231F20"/>
              <w:bottom w:val="nil"/>
              <w:right w:val="single" w:sz="6" w:space="0" w:color="231F20"/>
            </w:tcBorders>
          </w:tcPr>
          <w:p w14:paraId="140776A9" w14:textId="77777777" w:rsidR="009948F1" w:rsidRDefault="009948F1">
            <w:pPr>
              <w:pStyle w:val="TableParagraph"/>
              <w:rPr>
                <w:rFonts w:ascii="Times New Roman"/>
                <w:sz w:val="10"/>
              </w:rPr>
            </w:pPr>
          </w:p>
        </w:tc>
        <w:tc>
          <w:tcPr>
            <w:tcW w:w="524" w:type="dxa"/>
            <w:tcBorders>
              <w:top w:val="single" w:sz="6" w:space="0" w:color="231F20"/>
              <w:left w:val="single" w:sz="6" w:space="0" w:color="231F20"/>
              <w:bottom w:val="single" w:sz="6" w:space="0" w:color="231F20"/>
              <w:right w:val="single" w:sz="6" w:space="0" w:color="231F20"/>
            </w:tcBorders>
          </w:tcPr>
          <w:p w14:paraId="7D5FDC2D" w14:textId="77777777" w:rsidR="009948F1" w:rsidRDefault="00BC0563">
            <w:pPr>
              <w:pStyle w:val="TableParagraph"/>
              <w:spacing w:before="90"/>
              <w:ind w:left="51" w:right="28"/>
              <w:jc w:val="center"/>
              <w:rPr>
                <w:sz w:val="15"/>
              </w:rPr>
            </w:pPr>
            <w:r>
              <w:rPr>
                <w:color w:val="231F20"/>
                <w:w w:val="85"/>
                <w:sz w:val="15"/>
              </w:rPr>
              <w:t>7.4.4.a</w:t>
            </w:r>
          </w:p>
        </w:tc>
        <w:tc>
          <w:tcPr>
            <w:tcW w:w="4881" w:type="dxa"/>
            <w:gridSpan w:val="2"/>
            <w:tcBorders>
              <w:top w:val="single" w:sz="6" w:space="0" w:color="231F20"/>
              <w:left w:val="single" w:sz="6" w:space="0" w:color="231F20"/>
              <w:bottom w:val="single" w:sz="6" w:space="0" w:color="231F20"/>
              <w:right w:val="single" w:sz="6" w:space="0" w:color="231F20"/>
            </w:tcBorders>
          </w:tcPr>
          <w:p w14:paraId="618E9FAF" w14:textId="77777777" w:rsidR="009948F1" w:rsidRDefault="00BC0563">
            <w:pPr>
              <w:pStyle w:val="TableParagraph"/>
              <w:spacing w:before="84"/>
              <w:ind w:left="26"/>
              <w:rPr>
                <w:sz w:val="15"/>
              </w:rPr>
            </w:pPr>
            <w:r>
              <w:rPr>
                <w:color w:val="231F20"/>
                <w:w w:val="90"/>
                <w:sz w:val="15"/>
              </w:rPr>
              <w:t>Build capacity of Health workers on quality medical services</w:t>
            </w:r>
          </w:p>
        </w:tc>
        <w:tc>
          <w:tcPr>
            <w:tcW w:w="1423" w:type="dxa"/>
            <w:tcBorders>
              <w:top w:val="single" w:sz="6" w:space="0" w:color="231F20"/>
              <w:left w:val="single" w:sz="6" w:space="0" w:color="231F20"/>
              <w:bottom w:val="single" w:sz="6" w:space="0" w:color="231F20"/>
              <w:right w:val="single" w:sz="6" w:space="0" w:color="231F20"/>
            </w:tcBorders>
          </w:tcPr>
          <w:p w14:paraId="3790E7CC" w14:textId="77777777" w:rsidR="009948F1" w:rsidRDefault="00BC0563">
            <w:pPr>
              <w:pStyle w:val="TableParagraph"/>
              <w:spacing w:before="90"/>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4D19542D" w14:textId="77777777" w:rsidR="009948F1" w:rsidRDefault="00BC0563">
            <w:pPr>
              <w:pStyle w:val="TableParagraph"/>
              <w:spacing w:before="90"/>
              <w:ind w:left="27"/>
              <w:rPr>
                <w:sz w:val="15"/>
              </w:rPr>
            </w:pPr>
            <w:r>
              <w:rPr>
                <w:color w:val="231F20"/>
                <w:w w:val="90"/>
                <w:sz w:val="15"/>
              </w:rPr>
              <w:t>Build capacity</w:t>
            </w:r>
          </w:p>
        </w:tc>
      </w:tr>
      <w:tr w:rsidR="009948F1" w14:paraId="5CABAE9E" w14:textId="77777777">
        <w:trPr>
          <w:trHeight w:val="355"/>
        </w:trPr>
        <w:tc>
          <w:tcPr>
            <w:tcW w:w="847" w:type="dxa"/>
            <w:gridSpan w:val="2"/>
            <w:vMerge/>
            <w:tcBorders>
              <w:top w:val="nil"/>
              <w:left w:val="single" w:sz="4" w:space="0" w:color="231F20"/>
              <w:bottom w:val="nil"/>
              <w:right w:val="single" w:sz="6" w:space="0" w:color="231F20"/>
            </w:tcBorders>
          </w:tcPr>
          <w:p w14:paraId="420AEAB6"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37DB2ED8" w14:textId="77777777" w:rsidR="009948F1" w:rsidRDefault="00BC0563">
            <w:pPr>
              <w:pStyle w:val="TableParagraph"/>
              <w:spacing w:before="84"/>
              <w:ind w:left="51" w:right="28"/>
              <w:jc w:val="center"/>
              <w:rPr>
                <w:sz w:val="15"/>
              </w:rPr>
            </w:pPr>
            <w:r>
              <w:rPr>
                <w:color w:val="231F20"/>
                <w:w w:val="85"/>
                <w:sz w:val="15"/>
              </w:rPr>
              <w:t>7.4.4.b</w:t>
            </w:r>
          </w:p>
        </w:tc>
        <w:tc>
          <w:tcPr>
            <w:tcW w:w="4881" w:type="dxa"/>
            <w:gridSpan w:val="2"/>
            <w:tcBorders>
              <w:top w:val="single" w:sz="6" w:space="0" w:color="231F20"/>
              <w:left w:val="single" w:sz="6" w:space="0" w:color="231F20"/>
              <w:bottom w:val="single" w:sz="6" w:space="0" w:color="231F20"/>
              <w:right w:val="single" w:sz="6" w:space="0" w:color="231F20"/>
            </w:tcBorders>
          </w:tcPr>
          <w:p w14:paraId="6EA0EF6E" w14:textId="77777777" w:rsidR="009948F1" w:rsidRDefault="00BC0563">
            <w:pPr>
              <w:pStyle w:val="TableParagraph"/>
              <w:spacing w:before="78"/>
              <w:ind w:left="26"/>
              <w:rPr>
                <w:sz w:val="15"/>
              </w:rPr>
            </w:pPr>
            <w:r>
              <w:rPr>
                <w:color w:val="231F20"/>
                <w:w w:val="90"/>
                <w:sz w:val="15"/>
              </w:rPr>
              <w:t>Employ Health care professionals</w:t>
            </w:r>
          </w:p>
        </w:tc>
        <w:tc>
          <w:tcPr>
            <w:tcW w:w="1423" w:type="dxa"/>
            <w:tcBorders>
              <w:top w:val="single" w:sz="6" w:space="0" w:color="231F20"/>
              <w:left w:val="single" w:sz="6" w:space="0" w:color="231F20"/>
              <w:bottom w:val="single" w:sz="6" w:space="0" w:color="231F20"/>
              <w:right w:val="single" w:sz="6" w:space="0" w:color="231F20"/>
            </w:tcBorders>
          </w:tcPr>
          <w:p w14:paraId="2F0E3C6F" w14:textId="77777777" w:rsidR="009948F1" w:rsidRDefault="00BC0563">
            <w:pPr>
              <w:pStyle w:val="TableParagraph"/>
              <w:spacing w:before="84"/>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50313056" w14:textId="77777777" w:rsidR="009948F1" w:rsidRDefault="00BC0563">
            <w:pPr>
              <w:pStyle w:val="TableParagraph"/>
              <w:spacing w:line="167" w:lineRule="exact"/>
              <w:ind w:left="27"/>
              <w:rPr>
                <w:sz w:val="15"/>
              </w:rPr>
            </w:pPr>
            <w:r>
              <w:rPr>
                <w:color w:val="231F20"/>
                <w:w w:val="90"/>
                <w:sz w:val="15"/>
              </w:rPr>
              <w:t>Employ health care</w:t>
            </w:r>
          </w:p>
          <w:p w14:paraId="0A182E0F" w14:textId="77777777" w:rsidR="009948F1" w:rsidRDefault="00BC0563">
            <w:pPr>
              <w:pStyle w:val="TableParagraph"/>
              <w:spacing w:before="18" w:line="151" w:lineRule="exact"/>
              <w:ind w:left="27"/>
              <w:rPr>
                <w:sz w:val="15"/>
              </w:rPr>
            </w:pPr>
            <w:r>
              <w:rPr>
                <w:color w:val="231F20"/>
                <w:w w:val="90"/>
                <w:sz w:val="15"/>
              </w:rPr>
              <w:t>professional</w:t>
            </w:r>
          </w:p>
        </w:tc>
      </w:tr>
      <w:tr w:rsidR="009948F1" w14:paraId="5B212321" w14:textId="77777777">
        <w:trPr>
          <w:trHeight w:val="374"/>
        </w:trPr>
        <w:tc>
          <w:tcPr>
            <w:tcW w:w="847" w:type="dxa"/>
            <w:gridSpan w:val="2"/>
            <w:vMerge/>
            <w:tcBorders>
              <w:top w:val="nil"/>
              <w:left w:val="single" w:sz="4" w:space="0" w:color="231F20"/>
              <w:bottom w:val="nil"/>
              <w:right w:val="single" w:sz="6" w:space="0" w:color="231F20"/>
            </w:tcBorders>
          </w:tcPr>
          <w:p w14:paraId="4156D3F1"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3B0D97A6" w14:textId="77777777" w:rsidR="009948F1" w:rsidRDefault="00BC0563">
            <w:pPr>
              <w:pStyle w:val="TableParagraph"/>
              <w:spacing w:before="93"/>
              <w:ind w:left="51" w:right="27"/>
              <w:jc w:val="center"/>
              <w:rPr>
                <w:sz w:val="15"/>
              </w:rPr>
            </w:pPr>
            <w:r>
              <w:rPr>
                <w:color w:val="231F20"/>
                <w:w w:val="85"/>
                <w:sz w:val="15"/>
              </w:rPr>
              <w:t>7.4.4.c</w:t>
            </w:r>
          </w:p>
        </w:tc>
        <w:tc>
          <w:tcPr>
            <w:tcW w:w="4881" w:type="dxa"/>
            <w:gridSpan w:val="2"/>
            <w:tcBorders>
              <w:top w:val="single" w:sz="6" w:space="0" w:color="231F20"/>
              <w:left w:val="single" w:sz="6" w:space="0" w:color="231F20"/>
              <w:bottom w:val="single" w:sz="6" w:space="0" w:color="231F20"/>
              <w:right w:val="single" w:sz="6" w:space="0" w:color="231F20"/>
            </w:tcBorders>
          </w:tcPr>
          <w:p w14:paraId="137F7FA4" w14:textId="77777777" w:rsidR="009948F1" w:rsidRDefault="00BC0563">
            <w:pPr>
              <w:pStyle w:val="TableParagraph"/>
              <w:spacing w:before="87"/>
              <w:ind w:left="26"/>
              <w:rPr>
                <w:sz w:val="15"/>
              </w:rPr>
            </w:pPr>
            <w:r>
              <w:rPr>
                <w:color w:val="231F20"/>
                <w:w w:val="90"/>
                <w:sz w:val="15"/>
              </w:rPr>
              <w:t>Training of HWs on current emerging health challenges at all levels</w:t>
            </w:r>
          </w:p>
        </w:tc>
        <w:tc>
          <w:tcPr>
            <w:tcW w:w="1423" w:type="dxa"/>
            <w:tcBorders>
              <w:top w:val="single" w:sz="6" w:space="0" w:color="231F20"/>
              <w:left w:val="single" w:sz="6" w:space="0" w:color="231F20"/>
              <w:bottom w:val="single" w:sz="6" w:space="0" w:color="231F20"/>
              <w:right w:val="single" w:sz="6" w:space="0" w:color="231F20"/>
            </w:tcBorders>
          </w:tcPr>
          <w:p w14:paraId="1D50833B" w14:textId="77777777" w:rsidR="009948F1" w:rsidRDefault="00BC0563">
            <w:pPr>
              <w:pStyle w:val="TableParagraph"/>
              <w:spacing w:before="93"/>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34C7414E" w14:textId="77777777" w:rsidR="009948F1" w:rsidRDefault="00BC0563">
            <w:pPr>
              <w:pStyle w:val="TableParagraph"/>
              <w:spacing w:before="93"/>
              <w:ind w:left="27"/>
              <w:rPr>
                <w:sz w:val="15"/>
              </w:rPr>
            </w:pPr>
            <w:r>
              <w:rPr>
                <w:color w:val="231F20"/>
                <w:w w:val="90"/>
                <w:sz w:val="15"/>
              </w:rPr>
              <w:t>Train HWs</w:t>
            </w:r>
          </w:p>
        </w:tc>
      </w:tr>
      <w:tr w:rsidR="009948F1" w14:paraId="41E4E34D" w14:textId="77777777">
        <w:trPr>
          <w:trHeight w:val="383"/>
        </w:trPr>
        <w:tc>
          <w:tcPr>
            <w:tcW w:w="847" w:type="dxa"/>
            <w:gridSpan w:val="2"/>
            <w:vMerge/>
            <w:tcBorders>
              <w:top w:val="nil"/>
              <w:left w:val="single" w:sz="4" w:space="0" w:color="231F20"/>
              <w:bottom w:val="nil"/>
              <w:right w:val="single" w:sz="6" w:space="0" w:color="231F20"/>
            </w:tcBorders>
          </w:tcPr>
          <w:p w14:paraId="214D8201"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3581321C" w14:textId="77777777" w:rsidR="009948F1" w:rsidRDefault="00BC0563">
            <w:pPr>
              <w:pStyle w:val="TableParagraph"/>
              <w:spacing w:before="98"/>
              <w:ind w:left="51" w:right="28"/>
              <w:jc w:val="center"/>
              <w:rPr>
                <w:sz w:val="15"/>
              </w:rPr>
            </w:pPr>
            <w:r>
              <w:rPr>
                <w:color w:val="231F20"/>
                <w:w w:val="85"/>
                <w:sz w:val="15"/>
              </w:rPr>
              <w:t>7.4.4.d</w:t>
            </w:r>
          </w:p>
        </w:tc>
        <w:tc>
          <w:tcPr>
            <w:tcW w:w="4881" w:type="dxa"/>
            <w:gridSpan w:val="2"/>
            <w:tcBorders>
              <w:top w:val="single" w:sz="6" w:space="0" w:color="231F20"/>
              <w:left w:val="single" w:sz="6" w:space="0" w:color="231F20"/>
              <w:bottom w:val="single" w:sz="6" w:space="0" w:color="231F20"/>
              <w:right w:val="single" w:sz="6" w:space="0" w:color="231F20"/>
            </w:tcBorders>
          </w:tcPr>
          <w:p w14:paraId="386C3C88" w14:textId="77777777" w:rsidR="009948F1" w:rsidRDefault="00BC0563">
            <w:pPr>
              <w:pStyle w:val="TableParagraph"/>
              <w:spacing w:before="92"/>
              <w:ind w:left="26"/>
              <w:rPr>
                <w:sz w:val="15"/>
              </w:rPr>
            </w:pPr>
            <w:r>
              <w:rPr>
                <w:color w:val="231F20"/>
                <w:w w:val="90"/>
                <w:sz w:val="15"/>
              </w:rPr>
              <w:t>Training on the use of ultrasound scan</w:t>
            </w:r>
          </w:p>
        </w:tc>
        <w:tc>
          <w:tcPr>
            <w:tcW w:w="1423" w:type="dxa"/>
            <w:tcBorders>
              <w:top w:val="single" w:sz="6" w:space="0" w:color="231F20"/>
              <w:left w:val="single" w:sz="6" w:space="0" w:color="231F20"/>
              <w:bottom w:val="single" w:sz="6" w:space="0" w:color="231F20"/>
              <w:right w:val="single" w:sz="6" w:space="0" w:color="231F20"/>
            </w:tcBorders>
          </w:tcPr>
          <w:p w14:paraId="2B5AF783" w14:textId="77777777" w:rsidR="009948F1" w:rsidRDefault="00BC0563">
            <w:pPr>
              <w:pStyle w:val="TableParagraph"/>
              <w:spacing w:before="98"/>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5BD628B7" w14:textId="77777777" w:rsidR="009948F1" w:rsidRDefault="00BC0563">
            <w:pPr>
              <w:pStyle w:val="TableParagraph"/>
              <w:spacing w:before="98"/>
              <w:ind w:left="27"/>
              <w:rPr>
                <w:sz w:val="15"/>
              </w:rPr>
            </w:pPr>
            <w:r>
              <w:rPr>
                <w:color w:val="231F20"/>
                <w:w w:val="90"/>
                <w:sz w:val="15"/>
              </w:rPr>
              <w:t>Costed in OHT</w:t>
            </w:r>
          </w:p>
        </w:tc>
      </w:tr>
      <w:tr w:rsidR="009948F1" w14:paraId="6BE7DDEE" w14:textId="77777777">
        <w:trPr>
          <w:trHeight w:val="1101"/>
        </w:trPr>
        <w:tc>
          <w:tcPr>
            <w:tcW w:w="394" w:type="dxa"/>
            <w:tcBorders>
              <w:top w:val="nil"/>
              <w:left w:val="single" w:sz="4" w:space="0" w:color="231F20"/>
              <w:bottom w:val="nil"/>
              <w:right w:val="single" w:sz="6" w:space="0" w:color="231F20"/>
            </w:tcBorders>
          </w:tcPr>
          <w:p w14:paraId="04F0CD41" w14:textId="77777777" w:rsidR="009948F1" w:rsidRDefault="009948F1">
            <w:pPr>
              <w:pStyle w:val="TableParagraph"/>
              <w:rPr>
                <w:rFonts w:ascii="Times New Roman"/>
                <w:sz w:val="10"/>
              </w:rPr>
            </w:pPr>
          </w:p>
        </w:tc>
        <w:tc>
          <w:tcPr>
            <w:tcW w:w="453" w:type="dxa"/>
            <w:tcBorders>
              <w:top w:val="single" w:sz="6" w:space="0" w:color="231F20"/>
              <w:left w:val="single" w:sz="6" w:space="0" w:color="231F20"/>
              <w:bottom w:val="single" w:sz="6" w:space="0" w:color="231F20"/>
              <w:right w:val="single" w:sz="6" w:space="0" w:color="231F20"/>
            </w:tcBorders>
            <w:shd w:val="clear" w:color="auto" w:fill="CCE7D3"/>
          </w:tcPr>
          <w:p w14:paraId="24FEE6A5" w14:textId="77777777" w:rsidR="009948F1" w:rsidRDefault="009948F1">
            <w:pPr>
              <w:pStyle w:val="TableParagraph"/>
              <w:rPr>
                <w:sz w:val="16"/>
              </w:rPr>
            </w:pPr>
          </w:p>
          <w:p w14:paraId="61E30BF9" w14:textId="77777777" w:rsidR="009948F1" w:rsidRDefault="009948F1">
            <w:pPr>
              <w:pStyle w:val="TableParagraph"/>
              <w:spacing w:before="8"/>
              <w:rPr>
                <w:sz w:val="23"/>
              </w:rPr>
            </w:pPr>
          </w:p>
          <w:p w14:paraId="5E4F4CF6" w14:textId="77777777" w:rsidR="009948F1" w:rsidRDefault="00BC0563">
            <w:pPr>
              <w:pStyle w:val="TableParagraph"/>
              <w:ind w:left="58"/>
              <w:rPr>
                <w:sz w:val="15"/>
              </w:rPr>
            </w:pPr>
            <w:r>
              <w:rPr>
                <w:color w:val="231F20"/>
                <w:w w:val="90"/>
                <w:sz w:val="15"/>
              </w:rPr>
              <w:t>7.4.5</w:t>
            </w:r>
          </w:p>
        </w:tc>
        <w:tc>
          <w:tcPr>
            <w:tcW w:w="3028" w:type="dxa"/>
            <w:gridSpan w:val="2"/>
            <w:tcBorders>
              <w:top w:val="single" w:sz="6" w:space="0" w:color="231F20"/>
              <w:left w:val="single" w:sz="6" w:space="0" w:color="231F20"/>
              <w:bottom w:val="single" w:sz="6" w:space="0" w:color="231F20"/>
              <w:right w:val="single" w:sz="6" w:space="0" w:color="231F20"/>
            </w:tcBorders>
            <w:shd w:val="clear" w:color="auto" w:fill="CCE7D3"/>
          </w:tcPr>
          <w:p w14:paraId="23485CB9" w14:textId="77777777" w:rsidR="009948F1" w:rsidRDefault="009948F1">
            <w:pPr>
              <w:pStyle w:val="TableParagraph"/>
              <w:rPr>
                <w:sz w:val="16"/>
              </w:rPr>
            </w:pPr>
          </w:p>
          <w:p w14:paraId="2A19F981" w14:textId="77777777" w:rsidR="009948F1" w:rsidRDefault="009948F1">
            <w:pPr>
              <w:pStyle w:val="TableParagraph"/>
              <w:spacing w:before="10"/>
              <w:rPr>
                <w:sz w:val="14"/>
              </w:rPr>
            </w:pPr>
          </w:p>
          <w:p w14:paraId="41858A9A" w14:textId="77777777" w:rsidR="009948F1" w:rsidRDefault="00BC0563">
            <w:pPr>
              <w:pStyle w:val="TableParagraph"/>
              <w:spacing w:before="1" w:line="266" w:lineRule="auto"/>
              <w:ind w:left="26" w:right="185" w:firstLine="65"/>
              <w:rPr>
                <w:sz w:val="15"/>
              </w:rPr>
            </w:pPr>
            <w:r>
              <w:rPr>
                <w:color w:val="231F20"/>
                <w:w w:val="80"/>
                <w:sz w:val="15"/>
              </w:rPr>
              <w:t xml:space="preserve">Promote demand for appropriate use of medical </w:t>
            </w:r>
            <w:r>
              <w:rPr>
                <w:color w:val="231F20"/>
                <w:w w:val="90"/>
                <w:sz w:val="15"/>
              </w:rPr>
              <w:t>services</w:t>
            </w:r>
          </w:p>
        </w:tc>
        <w:tc>
          <w:tcPr>
            <w:tcW w:w="2377" w:type="dxa"/>
            <w:tcBorders>
              <w:top w:val="single" w:sz="6" w:space="0" w:color="231F20"/>
              <w:left w:val="single" w:sz="6" w:space="0" w:color="231F20"/>
              <w:bottom w:val="single" w:sz="6" w:space="0" w:color="231F20"/>
              <w:right w:val="single" w:sz="6" w:space="0" w:color="231F20"/>
            </w:tcBorders>
            <w:shd w:val="clear" w:color="auto" w:fill="CCE7D3"/>
          </w:tcPr>
          <w:p w14:paraId="3B230D63" w14:textId="77777777" w:rsidR="009948F1" w:rsidRDefault="009948F1">
            <w:pPr>
              <w:pStyle w:val="TableParagraph"/>
              <w:spacing w:before="10"/>
              <w:rPr>
                <w:sz w:val="14"/>
              </w:rPr>
            </w:pPr>
          </w:p>
          <w:p w14:paraId="4AC567D4" w14:textId="77777777" w:rsidR="009948F1" w:rsidRDefault="00BC0563">
            <w:pPr>
              <w:pStyle w:val="TableParagraph"/>
              <w:numPr>
                <w:ilvl w:val="0"/>
                <w:numId w:val="105"/>
              </w:numPr>
              <w:tabs>
                <w:tab w:val="left" w:pos="102"/>
              </w:tabs>
              <w:spacing w:line="266" w:lineRule="auto"/>
              <w:ind w:right="80" w:firstLine="0"/>
              <w:rPr>
                <w:sz w:val="15"/>
              </w:rPr>
            </w:pPr>
            <w:r>
              <w:rPr>
                <w:color w:val="231F20"/>
                <w:w w:val="80"/>
                <w:sz w:val="15"/>
              </w:rPr>
              <w:t xml:space="preserve">Public enlightenment through </w:t>
            </w:r>
            <w:r>
              <w:rPr>
                <w:color w:val="231F20"/>
                <w:spacing w:val="-3"/>
                <w:w w:val="80"/>
                <w:sz w:val="15"/>
              </w:rPr>
              <w:t xml:space="preserve">multi-media </w:t>
            </w:r>
            <w:r>
              <w:rPr>
                <w:color w:val="231F20"/>
                <w:w w:val="85"/>
                <w:sz w:val="15"/>
              </w:rPr>
              <w:t>approach</w:t>
            </w:r>
            <w:r>
              <w:rPr>
                <w:color w:val="231F20"/>
                <w:spacing w:val="-25"/>
                <w:w w:val="85"/>
                <w:sz w:val="15"/>
              </w:rPr>
              <w:t xml:space="preserve"> </w:t>
            </w:r>
            <w:r>
              <w:rPr>
                <w:color w:val="231F20"/>
                <w:w w:val="85"/>
                <w:sz w:val="15"/>
              </w:rPr>
              <w:t>on</w:t>
            </w:r>
            <w:r>
              <w:rPr>
                <w:color w:val="231F20"/>
                <w:spacing w:val="-24"/>
                <w:w w:val="85"/>
                <w:sz w:val="15"/>
              </w:rPr>
              <w:t xml:space="preserve"> </w:t>
            </w:r>
            <w:r>
              <w:rPr>
                <w:color w:val="231F20"/>
                <w:w w:val="85"/>
                <w:sz w:val="15"/>
              </w:rPr>
              <w:t>use</w:t>
            </w:r>
            <w:r>
              <w:rPr>
                <w:color w:val="231F20"/>
                <w:spacing w:val="-25"/>
                <w:w w:val="85"/>
                <w:sz w:val="15"/>
              </w:rPr>
              <w:t xml:space="preserve"> </w:t>
            </w:r>
            <w:r>
              <w:rPr>
                <w:color w:val="231F20"/>
                <w:w w:val="85"/>
                <w:sz w:val="15"/>
              </w:rPr>
              <w:t>of</w:t>
            </w:r>
            <w:r>
              <w:rPr>
                <w:color w:val="231F20"/>
                <w:spacing w:val="-24"/>
                <w:w w:val="85"/>
                <w:sz w:val="15"/>
              </w:rPr>
              <w:t xml:space="preserve"> </w:t>
            </w:r>
            <w:r>
              <w:rPr>
                <w:color w:val="231F20"/>
                <w:w w:val="85"/>
                <w:sz w:val="15"/>
              </w:rPr>
              <w:t>medical</w:t>
            </w:r>
            <w:r>
              <w:rPr>
                <w:color w:val="231F20"/>
                <w:spacing w:val="-24"/>
                <w:w w:val="85"/>
                <w:sz w:val="15"/>
              </w:rPr>
              <w:t xml:space="preserve"> </w:t>
            </w:r>
            <w:r>
              <w:rPr>
                <w:color w:val="231F20"/>
                <w:w w:val="85"/>
                <w:sz w:val="15"/>
              </w:rPr>
              <w:t>services</w:t>
            </w:r>
            <w:r>
              <w:rPr>
                <w:color w:val="231F20"/>
                <w:spacing w:val="-25"/>
                <w:w w:val="85"/>
                <w:sz w:val="15"/>
              </w:rPr>
              <w:t xml:space="preserve"> </w:t>
            </w:r>
            <w:r>
              <w:rPr>
                <w:color w:val="231F20"/>
                <w:w w:val="85"/>
                <w:sz w:val="15"/>
              </w:rPr>
              <w:t>done</w:t>
            </w:r>
          </w:p>
          <w:p w14:paraId="122D1A31" w14:textId="77777777" w:rsidR="009948F1" w:rsidRDefault="00BC0563">
            <w:pPr>
              <w:pStyle w:val="TableParagraph"/>
              <w:spacing w:line="171" w:lineRule="exact"/>
              <w:ind w:left="26"/>
              <w:rPr>
                <w:sz w:val="15"/>
              </w:rPr>
            </w:pPr>
            <w:r>
              <w:rPr>
                <w:color w:val="231F20"/>
                <w:w w:val="78"/>
                <w:sz w:val="15"/>
              </w:rPr>
              <w:t>•</w:t>
            </w:r>
          </w:p>
          <w:p w14:paraId="67528C09" w14:textId="77777777" w:rsidR="009948F1" w:rsidRDefault="00BC0563">
            <w:pPr>
              <w:pStyle w:val="TableParagraph"/>
              <w:spacing w:before="18"/>
              <w:ind w:left="26"/>
              <w:rPr>
                <w:sz w:val="15"/>
              </w:rPr>
            </w:pPr>
            <w:r>
              <w:rPr>
                <w:color w:val="231F20"/>
                <w:w w:val="78"/>
                <w:sz w:val="15"/>
              </w:rPr>
              <w:t>•</w:t>
            </w:r>
          </w:p>
        </w:tc>
        <w:tc>
          <w:tcPr>
            <w:tcW w:w="1423" w:type="dxa"/>
            <w:tcBorders>
              <w:top w:val="single" w:sz="6" w:space="0" w:color="231F20"/>
              <w:left w:val="single" w:sz="6" w:space="0" w:color="231F20"/>
              <w:bottom w:val="single" w:sz="6" w:space="0" w:color="231F20"/>
              <w:right w:val="single" w:sz="6" w:space="0" w:color="231F20"/>
            </w:tcBorders>
            <w:shd w:val="clear" w:color="auto" w:fill="CCE7D3"/>
          </w:tcPr>
          <w:p w14:paraId="64D324FC" w14:textId="77777777" w:rsidR="009948F1" w:rsidRDefault="009948F1">
            <w:pPr>
              <w:pStyle w:val="TableParagraph"/>
              <w:rPr>
                <w:rFonts w:ascii="Times New Roman"/>
                <w:sz w:val="10"/>
              </w:rPr>
            </w:pPr>
          </w:p>
        </w:tc>
        <w:tc>
          <w:tcPr>
            <w:tcW w:w="1501" w:type="dxa"/>
            <w:tcBorders>
              <w:top w:val="single" w:sz="6" w:space="0" w:color="231F20"/>
              <w:left w:val="single" w:sz="6" w:space="0" w:color="231F20"/>
              <w:bottom w:val="single" w:sz="6" w:space="0" w:color="231F20"/>
              <w:right w:val="single" w:sz="6" w:space="0" w:color="231F20"/>
            </w:tcBorders>
            <w:shd w:val="clear" w:color="auto" w:fill="CCE7D3"/>
          </w:tcPr>
          <w:p w14:paraId="133ED115" w14:textId="77777777" w:rsidR="009948F1" w:rsidRDefault="009948F1">
            <w:pPr>
              <w:pStyle w:val="TableParagraph"/>
              <w:rPr>
                <w:rFonts w:ascii="Times New Roman"/>
                <w:sz w:val="10"/>
              </w:rPr>
            </w:pPr>
          </w:p>
        </w:tc>
      </w:tr>
      <w:tr w:rsidR="009948F1" w14:paraId="36C5D5C8" w14:textId="77777777">
        <w:trPr>
          <w:trHeight w:val="369"/>
        </w:trPr>
        <w:tc>
          <w:tcPr>
            <w:tcW w:w="847" w:type="dxa"/>
            <w:gridSpan w:val="2"/>
            <w:tcBorders>
              <w:top w:val="nil"/>
              <w:left w:val="single" w:sz="4" w:space="0" w:color="231F20"/>
              <w:bottom w:val="nil"/>
              <w:right w:val="single" w:sz="6" w:space="0" w:color="231F20"/>
            </w:tcBorders>
          </w:tcPr>
          <w:p w14:paraId="3939E25B" w14:textId="77777777" w:rsidR="009948F1" w:rsidRDefault="009948F1">
            <w:pPr>
              <w:pStyle w:val="TableParagraph"/>
              <w:rPr>
                <w:rFonts w:ascii="Times New Roman"/>
                <w:sz w:val="10"/>
              </w:rPr>
            </w:pPr>
          </w:p>
        </w:tc>
        <w:tc>
          <w:tcPr>
            <w:tcW w:w="524" w:type="dxa"/>
            <w:tcBorders>
              <w:top w:val="single" w:sz="6" w:space="0" w:color="231F20"/>
              <w:left w:val="single" w:sz="6" w:space="0" w:color="231F20"/>
              <w:bottom w:val="single" w:sz="6" w:space="0" w:color="231F20"/>
              <w:right w:val="single" w:sz="6" w:space="0" w:color="231F20"/>
            </w:tcBorders>
          </w:tcPr>
          <w:p w14:paraId="7CAD904D" w14:textId="77777777" w:rsidR="009948F1" w:rsidRDefault="00BC0563">
            <w:pPr>
              <w:pStyle w:val="TableParagraph"/>
              <w:spacing w:before="90"/>
              <w:ind w:left="51" w:right="28"/>
              <w:jc w:val="center"/>
              <w:rPr>
                <w:sz w:val="15"/>
              </w:rPr>
            </w:pPr>
            <w:r>
              <w:rPr>
                <w:color w:val="231F20"/>
                <w:w w:val="85"/>
                <w:sz w:val="15"/>
              </w:rPr>
              <w:t>7.4.5.a</w:t>
            </w:r>
          </w:p>
        </w:tc>
        <w:tc>
          <w:tcPr>
            <w:tcW w:w="4881" w:type="dxa"/>
            <w:gridSpan w:val="2"/>
            <w:tcBorders>
              <w:top w:val="single" w:sz="6" w:space="0" w:color="231F20"/>
              <w:left w:val="single" w:sz="6" w:space="0" w:color="231F20"/>
              <w:bottom w:val="single" w:sz="6" w:space="0" w:color="231F20"/>
              <w:right w:val="single" w:sz="6" w:space="0" w:color="231F20"/>
            </w:tcBorders>
          </w:tcPr>
          <w:p w14:paraId="2985D29C" w14:textId="77777777" w:rsidR="009948F1" w:rsidRDefault="00BC0563">
            <w:pPr>
              <w:pStyle w:val="TableParagraph"/>
              <w:spacing w:before="84"/>
              <w:ind w:left="26"/>
              <w:rPr>
                <w:sz w:val="15"/>
              </w:rPr>
            </w:pPr>
            <w:r>
              <w:rPr>
                <w:color w:val="231F20"/>
                <w:w w:val="90"/>
                <w:sz w:val="15"/>
              </w:rPr>
              <w:t>Public enlightenment through multi-media approach on use of medical services</w:t>
            </w:r>
          </w:p>
        </w:tc>
        <w:tc>
          <w:tcPr>
            <w:tcW w:w="1423" w:type="dxa"/>
            <w:tcBorders>
              <w:top w:val="single" w:sz="6" w:space="0" w:color="231F20"/>
              <w:left w:val="single" w:sz="6" w:space="0" w:color="231F20"/>
              <w:bottom w:val="single" w:sz="6" w:space="0" w:color="231F20"/>
              <w:right w:val="single" w:sz="6" w:space="0" w:color="231F20"/>
            </w:tcBorders>
          </w:tcPr>
          <w:p w14:paraId="0DED6F3C" w14:textId="77777777" w:rsidR="009948F1" w:rsidRDefault="00BC0563">
            <w:pPr>
              <w:pStyle w:val="TableParagraph"/>
              <w:spacing w:before="90"/>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68D10BFD" w14:textId="0393BCC3" w:rsidR="009948F1" w:rsidRDefault="00BC0563">
            <w:pPr>
              <w:pStyle w:val="TableParagraph"/>
              <w:spacing w:before="90"/>
              <w:ind w:left="27"/>
              <w:rPr>
                <w:sz w:val="15"/>
              </w:rPr>
            </w:pPr>
            <w:r>
              <w:rPr>
                <w:color w:val="231F20"/>
                <w:w w:val="90"/>
                <w:sz w:val="15"/>
              </w:rPr>
              <w:t xml:space="preserve">Public </w:t>
            </w:r>
            <w:r w:rsidR="00A93E69">
              <w:rPr>
                <w:color w:val="231F20"/>
                <w:w w:val="90"/>
                <w:sz w:val="15"/>
              </w:rPr>
              <w:t>enlightenment</w:t>
            </w:r>
          </w:p>
        </w:tc>
      </w:tr>
      <w:tr w:rsidR="009948F1" w14:paraId="0D506046" w14:textId="77777777">
        <w:trPr>
          <w:trHeight w:val="1072"/>
        </w:trPr>
        <w:tc>
          <w:tcPr>
            <w:tcW w:w="394" w:type="dxa"/>
            <w:tcBorders>
              <w:top w:val="nil"/>
              <w:left w:val="single" w:sz="4" w:space="0" w:color="231F20"/>
              <w:bottom w:val="nil"/>
              <w:right w:val="single" w:sz="6" w:space="0" w:color="231F20"/>
            </w:tcBorders>
          </w:tcPr>
          <w:p w14:paraId="5EA73092" w14:textId="77777777" w:rsidR="009948F1" w:rsidRDefault="009948F1">
            <w:pPr>
              <w:pStyle w:val="TableParagraph"/>
              <w:rPr>
                <w:rFonts w:ascii="Times New Roman"/>
                <w:sz w:val="10"/>
              </w:rPr>
            </w:pPr>
          </w:p>
        </w:tc>
        <w:tc>
          <w:tcPr>
            <w:tcW w:w="453" w:type="dxa"/>
            <w:tcBorders>
              <w:top w:val="single" w:sz="6" w:space="0" w:color="231F20"/>
              <w:left w:val="single" w:sz="6" w:space="0" w:color="231F20"/>
              <w:bottom w:val="single" w:sz="6" w:space="0" w:color="231F20"/>
              <w:right w:val="single" w:sz="6" w:space="0" w:color="231F20"/>
            </w:tcBorders>
            <w:shd w:val="clear" w:color="auto" w:fill="CCE7D3"/>
          </w:tcPr>
          <w:p w14:paraId="4EFF45DA" w14:textId="77777777" w:rsidR="009948F1" w:rsidRDefault="009948F1">
            <w:pPr>
              <w:pStyle w:val="TableParagraph"/>
              <w:rPr>
                <w:sz w:val="16"/>
              </w:rPr>
            </w:pPr>
          </w:p>
          <w:p w14:paraId="32279CDB" w14:textId="77777777" w:rsidR="009948F1" w:rsidRDefault="009948F1">
            <w:pPr>
              <w:pStyle w:val="TableParagraph"/>
              <w:spacing w:before="5"/>
            </w:pPr>
          </w:p>
          <w:p w14:paraId="34B93D2C" w14:textId="77777777" w:rsidR="009948F1" w:rsidRDefault="00BC0563">
            <w:pPr>
              <w:pStyle w:val="TableParagraph"/>
              <w:ind w:left="58"/>
              <w:rPr>
                <w:sz w:val="15"/>
              </w:rPr>
            </w:pPr>
            <w:r>
              <w:rPr>
                <w:color w:val="231F20"/>
                <w:w w:val="90"/>
                <w:sz w:val="15"/>
              </w:rPr>
              <w:t>7.4.6</w:t>
            </w:r>
          </w:p>
        </w:tc>
        <w:tc>
          <w:tcPr>
            <w:tcW w:w="3028" w:type="dxa"/>
            <w:gridSpan w:val="2"/>
            <w:tcBorders>
              <w:top w:val="single" w:sz="6" w:space="0" w:color="231F20"/>
              <w:left w:val="single" w:sz="6" w:space="0" w:color="231F20"/>
              <w:bottom w:val="single" w:sz="6" w:space="0" w:color="231F20"/>
              <w:right w:val="single" w:sz="6" w:space="0" w:color="231F20"/>
            </w:tcBorders>
            <w:shd w:val="clear" w:color="auto" w:fill="CCE7D3"/>
          </w:tcPr>
          <w:p w14:paraId="416CA2FE" w14:textId="77777777" w:rsidR="009948F1" w:rsidRDefault="009948F1">
            <w:pPr>
              <w:pStyle w:val="TableParagraph"/>
              <w:rPr>
                <w:sz w:val="16"/>
              </w:rPr>
            </w:pPr>
          </w:p>
          <w:p w14:paraId="7FB5B439" w14:textId="77777777" w:rsidR="009948F1" w:rsidRDefault="009948F1">
            <w:pPr>
              <w:pStyle w:val="TableParagraph"/>
              <w:spacing w:before="6"/>
              <w:rPr>
                <w:sz w:val="13"/>
              </w:rPr>
            </w:pPr>
          </w:p>
          <w:p w14:paraId="78CFF99F" w14:textId="77777777" w:rsidR="009948F1" w:rsidRDefault="00BC0563">
            <w:pPr>
              <w:pStyle w:val="TableParagraph"/>
              <w:spacing w:line="266" w:lineRule="auto"/>
              <w:ind w:left="26" w:right="185" w:firstLine="32"/>
              <w:rPr>
                <w:sz w:val="15"/>
              </w:rPr>
            </w:pPr>
            <w:r>
              <w:rPr>
                <w:color w:val="231F20"/>
                <w:w w:val="80"/>
                <w:sz w:val="15"/>
              </w:rPr>
              <w:t xml:space="preserve">Strengthen Infection, Prevention and Control (IPC) </w:t>
            </w:r>
            <w:r>
              <w:rPr>
                <w:color w:val="231F20"/>
                <w:w w:val="90"/>
                <w:sz w:val="15"/>
              </w:rPr>
              <w:t>practices in health care settings.</w:t>
            </w:r>
          </w:p>
        </w:tc>
        <w:tc>
          <w:tcPr>
            <w:tcW w:w="2377" w:type="dxa"/>
            <w:tcBorders>
              <w:top w:val="single" w:sz="6" w:space="0" w:color="231F20"/>
              <w:left w:val="single" w:sz="6" w:space="0" w:color="231F20"/>
              <w:bottom w:val="single" w:sz="6" w:space="0" w:color="231F20"/>
              <w:right w:val="single" w:sz="6" w:space="0" w:color="231F20"/>
            </w:tcBorders>
            <w:shd w:val="clear" w:color="auto" w:fill="CCE7D3"/>
          </w:tcPr>
          <w:p w14:paraId="5DA83FF9" w14:textId="77777777" w:rsidR="009948F1" w:rsidRDefault="00BC0563">
            <w:pPr>
              <w:pStyle w:val="TableParagraph"/>
              <w:numPr>
                <w:ilvl w:val="0"/>
                <w:numId w:val="104"/>
              </w:numPr>
              <w:tabs>
                <w:tab w:val="left" w:pos="95"/>
              </w:tabs>
              <w:spacing w:before="61"/>
              <w:ind w:left="94" w:hanging="69"/>
              <w:rPr>
                <w:sz w:val="15"/>
              </w:rPr>
            </w:pPr>
            <w:r>
              <w:rPr>
                <w:color w:val="231F20"/>
                <w:w w:val="85"/>
                <w:sz w:val="15"/>
              </w:rPr>
              <w:t>At</w:t>
            </w:r>
            <w:r>
              <w:rPr>
                <w:color w:val="231F20"/>
                <w:spacing w:val="-20"/>
                <w:w w:val="85"/>
                <w:sz w:val="15"/>
              </w:rPr>
              <w:t xml:space="preserve"> </w:t>
            </w:r>
            <w:r>
              <w:rPr>
                <w:color w:val="231F20"/>
                <w:w w:val="85"/>
                <w:sz w:val="15"/>
              </w:rPr>
              <w:t>least</w:t>
            </w:r>
            <w:r>
              <w:rPr>
                <w:color w:val="231F20"/>
                <w:spacing w:val="-20"/>
                <w:w w:val="85"/>
                <w:sz w:val="15"/>
              </w:rPr>
              <w:t xml:space="preserve"> </w:t>
            </w:r>
            <w:r>
              <w:rPr>
                <w:color w:val="231F20"/>
                <w:w w:val="85"/>
                <w:sz w:val="15"/>
              </w:rPr>
              <w:t>814</w:t>
            </w:r>
            <w:r>
              <w:rPr>
                <w:color w:val="231F20"/>
                <w:spacing w:val="-20"/>
                <w:w w:val="85"/>
                <w:sz w:val="15"/>
              </w:rPr>
              <w:t xml:space="preserve"> </w:t>
            </w:r>
            <w:r>
              <w:rPr>
                <w:color w:val="231F20"/>
                <w:w w:val="85"/>
                <w:sz w:val="15"/>
              </w:rPr>
              <w:t>HWs</w:t>
            </w:r>
            <w:r>
              <w:rPr>
                <w:color w:val="231F20"/>
                <w:spacing w:val="-20"/>
                <w:w w:val="85"/>
                <w:sz w:val="15"/>
              </w:rPr>
              <w:t xml:space="preserve"> </w:t>
            </w:r>
            <w:r>
              <w:rPr>
                <w:color w:val="231F20"/>
                <w:w w:val="85"/>
                <w:sz w:val="15"/>
              </w:rPr>
              <w:t>on</w:t>
            </w:r>
            <w:r>
              <w:rPr>
                <w:color w:val="231F20"/>
                <w:spacing w:val="-19"/>
                <w:w w:val="85"/>
                <w:sz w:val="15"/>
              </w:rPr>
              <w:t xml:space="preserve"> </w:t>
            </w:r>
            <w:r>
              <w:rPr>
                <w:color w:val="231F20"/>
                <w:w w:val="85"/>
                <w:sz w:val="15"/>
              </w:rPr>
              <w:t>universal</w:t>
            </w:r>
            <w:r>
              <w:rPr>
                <w:color w:val="231F20"/>
                <w:spacing w:val="-20"/>
                <w:w w:val="85"/>
                <w:sz w:val="15"/>
              </w:rPr>
              <w:t xml:space="preserve"> </w:t>
            </w:r>
            <w:r>
              <w:rPr>
                <w:color w:val="231F20"/>
                <w:w w:val="85"/>
                <w:sz w:val="15"/>
              </w:rPr>
              <w:t>precaution</w:t>
            </w:r>
          </w:p>
          <w:p w14:paraId="1AAB0D00" w14:textId="77777777" w:rsidR="009948F1" w:rsidRDefault="00BC0563">
            <w:pPr>
              <w:pStyle w:val="TableParagraph"/>
              <w:numPr>
                <w:ilvl w:val="0"/>
                <w:numId w:val="104"/>
              </w:numPr>
              <w:tabs>
                <w:tab w:val="left" w:pos="70"/>
              </w:tabs>
              <w:spacing w:before="18" w:line="266" w:lineRule="auto"/>
              <w:ind w:right="14" w:firstLine="0"/>
              <w:rPr>
                <w:sz w:val="15"/>
              </w:rPr>
            </w:pPr>
            <w:r>
              <w:rPr>
                <w:color w:val="231F20"/>
                <w:w w:val="80"/>
                <w:sz w:val="15"/>
              </w:rPr>
              <w:t>Guidelines on universal precaution</w:t>
            </w:r>
            <w:r>
              <w:rPr>
                <w:color w:val="231F20"/>
                <w:spacing w:val="-24"/>
                <w:w w:val="80"/>
                <w:sz w:val="15"/>
              </w:rPr>
              <w:t xml:space="preserve"> </w:t>
            </w:r>
            <w:r>
              <w:rPr>
                <w:color w:val="231F20"/>
                <w:spacing w:val="-3"/>
                <w:w w:val="80"/>
                <w:sz w:val="15"/>
              </w:rPr>
              <w:t xml:space="preserve">updated </w:t>
            </w:r>
            <w:r>
              <w:rPr>
                <w:color w:val="231F20"/>
                <w:w w:val="90"/>
                <w:sz w:val="15"/>
              </w:rPr>
              <w:t>regularly</w:t>
            </w:r>
          </w:p>
          <w:p w14:paraId="2F1E6ECD" w14:textId="77777777" w:rsidR="009948F1" w:rsidRDefault="00BC0563">
            <w:pPr>
              <w:pStyle w:val="TableParagraph"/>
              <w:numPr>
                <w:ilvl w:val="0"/>
                <w:numId w:val="104"/>
              </w:numPr>
              <w:tabs>
                <w:tab w:val="left" w:pos="102"/>
              </w:tabs>
              <w:spacing w:line="266" w:lineRule="auto"/>
              <w:ind w:right="330" w:firstLine="0"/>
              <w:rPr>
                <w:sz w:val="15"/>
              </w:rPr>
            </w:pPr>
            <w:r>
              <w:rPr>
                <w:color w:val="231F20"/>
                <w:w w:val="80"/>
                <w:sz w:val="15"/>
              </w:rPr>
              <w:t>Incinerator</w:t>
            </w:r>
            <w:r>
              <w:rPr>
                <w:color w:val="231F20"/>
                <w:spacing w:val="-7"/>
                <w:w w:val="80"/>
                <w:sz w:val="15"/>
              </w:rPr>
              <w:t xml:space="preserve"> </w:t>
            </w:r>
            <w:r>
              <w:rPr>
                <w:color w:val="231F20"/>
                <w:w w:val="80"/>
                <w:sz w:val="15"/>
              </w:rPr>
              <w:t>in</w:t>
            </w:r>
            <w:r>
              <w:rPr>
                <w:color w:val="231F20"/>
                <w:spacing w:val="-6"/>
                <w:w w:val="80"/>
                <w:sz w:val="15"/>
              </w:rPr>
              <w:t xml:space="preserve"> </w:t>
            </w:r>
            <w:r>
              <w:rPr>
                <w:color w:val="231F20"/>
                <w:w w:val="80"/>
                <w:sz w:val="15"/>
              </w:rPr>
              <w:t>the</w:t>
            </w:r>
            <w:r>
              <w:rPr>
                <w:color w:val="231F20"/>
                <w:spacing w:val="-7"/>
                <w:w w:val="80"/>
                <w:sz w:val="15"/>
              </w:rPr>
              <w:t xml:space="preserve"> </w:t>
            </w:r>
            <w:r>
              <w:rPr>
                <w:color w:val="231F20"/>
                <w:w w:val="80"/>
                <w:sz w:val="15"/>
              </w:rPr>
              <w:t>state</w:t>
            </w:r>
            <w:r>
              <w:rPr>
                <w:color w:val="231F20"/>
                <w:spacing w:val="-6"/>
                <w:w w:val="80"/>
                <w:sz w:val="15"/>
              </w:rPr>
              <w:t xml:space="preserve"> </w:t>
            </w:r>
            <w:r>
              <w:rPr>
                <w:color w:val="231F20"/>
                <w:w w:val="80"/>
                <w:sz w:val="15"/>
              </w:rPr>
              <w:t>for</w:t>
            </w:r>
            <w:r>
              <w:rPr>
                <w:color w:val="231F20"/>
                <w:spacing w:val="-6"/>
                <w:w w:val="80"/>
                <w:sz w:val="15"/>
              </w:rPr>
              <w:t xml:space="preserve"> </w:t>
            </w:r>
            <w:r>
              <w:rPr>
                <w:color w:val="231F20"/>
                <w:w w:val="80"/>
                <w:sz w:val="15"/>
              </w:rPr>
              <w:t xml:space="preserve">hazardous </w:t>
            </w:r>
            <w:r>
              <w:rPr>
                <w:color w:val="231F20"/>
                <w:w w:val="90"/>
                <w:sz w:val="15"/>
              </w:rPr>
              <w:t>hospital</w:t>
            </w:r>
            <w:r>
              <w:rPr>
                <w:color w:val="231F20"/>
                <w:spacing w:val="-8"/>
                <w:w w:val="90"/>
                <w:sz w:val="15"/>
              </w:rPr>
              <w:t xml:space="preserve"> </w:t>
            </w:r>
            <w:r>
              <w:rPr>
                <w:color w:val="231F20"/>
                <w:w w:val="90"/>
                <w:sz w:val="15"/>
              </w:rPr>
              <w:t>wastes</w:t>
            </w:r>
          </w:p>
        </w:tc>
        <w:tc>
          <w:tcPr>
            <w:tcW w:w="1423" w:type="dxa"/>
            <w:tcBorders>
              <w:top w:val="single" w:sz="6" w:space="0" w:color="231F20"/>
              <w:left w:val="single" w:sz="6" w:space="0" w:color="231F20"/>
              <w:bottom w:val="single" w:sz="6" w:space="0" w:color="231F20"/>
              <w:right w:val="single" w:sz="6" w:space="0" w:color="231F20"/>
            </w:tcBorders>
            <w:shd w:val="clear" w:color="auto" w:fill="CCE7D3"/>
          </w:tcPr>
          <w:p w14:paraId="3D8D71FC" w14:textId="77777777" w:rsidR="009948F1" w:rsidRDefault="009948F1">
            <w:pPr>
              <w:pStyle w:val="TableParagraph"/>
              <w:rPr>
                <w:rFonts w:ascii="Times New Roman"/>
                <w:sz w:val="10"/>
              </w:rPr>
            </w:pPr>
          </w:p>
        </w:tc>
        <w:tc>
          <w:tcPr>
            <w:tcW w:w="1501" w:type="dxa"/>
            <w:tcBorders>
              <w:top w:val="single" w:sz="6" w:space="0" w:color="231F20"/>
              <w:left w:val="single" w:sz="6" w:space="0" w:color="231F20"/>
              <w:bottom w:val="single" w:sz="6" w:space="0" w:color="231F20"/>
              <w:right w:val="single" w:sz="6" w:space="0" w:color="231F20"/>
            </w:tcBorders>
            <w:shd w:val="clear" w:color="auto" w:fill="CCE7D3"/>
          </w:tcPr>
          <w:p w14:paraId="765A9D45" w14:textId="77777777" w:rsidR="009948F1" w:rsidRDefault="009948F1">
            <w:pPr>
              <w:pStyle w:val="TableParagraph"/>
              <w:rPr>
                <w:rFonts w:ascii="Times New Roman"/>
                <w:sz w:val="10"/>
              </w:rPr>
            </w:pPr>
          </w:p>
        </w:tc>
      </w:tr>
      <w:tr w:rsidR="009948F1" w14:paraId="0F23C1F8" w14:textId="77777777">
        <w:trPr>
          <w:trHeight w:val="369"/>
        </w:trPr>
        <w:tc>
          <w:tcPr>
            <w:tcW w:w="847" w:type="dxa"/>
            <w:gridSpan w:val="2"/>
            <w:vMerge w:val="restart"/>
            <w:tcBorders>
              <w:top w:val="nil"/>
              <w:left w:val="single" w:sz="4" w:space="0" w:color="231F20"/>
              <w:bottom w:val="single" w:sz="6" w:space="0" w:color="231F20"/>
              <w:right w:val="single" w:sz="6" w:space="0" w:color="231F20"/>
            </w:tcBorders>
          </w:tcPr>
          <w:p w14:paraId="5F8A08D0" w14:textId="77777777" w:rsidR="009948F1" w:rsidRDefault="009948F1">
            <w:pPr>
              <w:pStyle w:val="TableParagraph"/>
              <w:rPr>
                <w:rFonts w:ascii="Times New Roman"/>
                <w:sz w:val="10"/>
              </w:rPr>
            </w:pPr>
          </w:p>
        </w:tc>
        <w:tc>
          <w:tcPr>
            <w:tcW w:w="524" w:type="dxa"/>
            <w:tcBorders>
              <w:top w:val="single" w:sz="6" w:space="0" w:color="231F20"/>
              <w:left w:val="single" w:sz="6" w:space="0" w:color="231F20"/>
              <w:bottom w:val="single" w:sz="6" w:space="0" w:color="231F20"/>
              <w:right w:val="single" w:sz="6" w:space="0" w:color="231F20"/>
            </w:tcBorders>
          </w:tcPr>
          <w:p w14:paraId="4D80F3EB" w14:textId="77777777" w:rsidR="009948F1" w:rsidRDefault="00BC0563">
            <w:pPr>
              <w:pStyle w:val="TableParagraph"/>
              <w:spacing w:before="90"/>
              <w:ind w:left="51" w:right="28"/>
              <w:jc w:val="center"/>
              <w:rPr>
                <w:sz w:val="15"/>
              </w:rPr>
            </w:pPr>
            <w:r>
              <w:rPr>
                <w:color w:val="231F20"/>
                <w:w w:val="85"/>
                <w:sz w:val="15"/>
              </w:rPr>
              <w:t>7.4.6.a</w:t>
            </w:r>
          </w:p>
        </w:tc>
        <w:tc>
          <w:tcPr>
            <w:tcW w:w="4881" w:type="dxa"/>
            <w:gridSpan w:val="2"/>
            <w:tcBorders>
              <w:top w:val="single" w:sz="6" w:space="0" w:color="231F20"/>
              <w:left w:val="single" w:sz="6" w:space="0" w:color="231F20"/>
              <w:bottom w:val="single" w:sz="6" w:space="0" w:color="231F20"/>
              <w:right w:val="single" w:sz="6" w:space="0" w:color="231F20"/>
            </w:tcBorders>
          </w:tcPr>
          <w:p w14:paraId="671A6ED6" w14:textId="77777777" w:rsidR="009948F1" w:rsidRDefault="00BC0563">
            <w:pPr>
              <w:pStyle w:val="TableParagraph"/>
              <w:spacing w:before="84"/>
              <w:ind w:left="26"/>
              <w:rPr>
                <w:sz w:val="15"/>
              </w:rPr>
            </w:pPr>
            <w:r>
              <w:rPr>
                <w:color w:val="231F20"/>
                <w:w w:val="90"/>
                <w:sz w:val="15"/>
              </w:rPr>
              <w:t>Train HWs on universal precaution</w:t>
            </w:r>
          </w:p>
        </w:tc>
        <w:tc>
          <w:tcPr>
            <w:tcW w:w="1423" w:type="dxa"/>
            <w:tcBorders>
              <w:top w:val="single" w:sz="6" w:space="0" w:color="231F20"/>
              <w:left w:val="single" w:sz="6" w:space="0" w:color="231F20"/>
              <w:bottom w:val="single" w:sz="6" w:space="0" w:color="231F20"/>
              <w:right w:val="single" w:sz="6" w:space="0" w:color="231F20"/>
            </w:tcBorders>
          </w:tcPr>
          <w:p w14:paraId="7C1AFA3B" w14:textId="77777777" w:rsidR="009948F1" w:rsidRDefault="00BC0563">
            <w:pPr>
              <w:pStyle w:val="TableParagraph"/>
              <w:spacing w:before="90"/>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31FE9841" w14:textId="77777777" w:rsidR="009948F1" w:rsidRDefault="00BC0563">
            <w:pPr>
              <w:pStyle w:val="TableParagraph"/>
              <w:spacing w:before="90"/>
              <w:ind w:left="27"/>
              <w:rPr>
                <w:sz w:val="15"/>
              </w:rPr>
            </w:pPr>
            <w:r>
              <w:rPr>
                <w:color w:val="231F20"/>
                <w:w w:val="90"/>
                <w:sz w:val="15"/>
              </w:rPr>
              <w:t>Train HWs</w:t>
            </w:r>
          </w:p>
        </w:tc>
      </w:tr>
      <w:tr w:rsidR="009948F1" w14:paraId="6B8D6EC5" w14:textId="77777777">
        <w:trPr>
          <w:trHeight w:val="355"/>
        </w:trPr>
        <w:tc>
          <w:tcPr>
            <w:tcW w:w="847" w:type="dxa"/>
            <w:gridSpan w:val="2"/>
            <w:vMerge/>
            <w:tcBorders>
              <w:top w:val="nil"/>
              <w:left w:val="single" w:sz="4" w:space="0" w:color="231F20"/>
              <w:bottom w:val="single" w:sz="6" w:space="0" w:color="231F20"/>
              <w:right w:val="single" w:sz="6" w:space="0" w:color="231F20"/>
            </w:tcBorders>
          </w:tcPr>
          <w:p w14:paraId="69D4FE17"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2B249EA2" w14:textId="77777777" w:rsidR="009948F1" w:rsidRDefault="00BC0563">
            <w:pPr>
              <w:pStyle w:val="TableParagraph"/>
              <w:spacing w:before="84"/>
              <w:ind w:left="51" w:right="28"/>
              <w:jc w:val="center"/>
              <w:rPr>
                <w:sz w:val="15"/>
              </w:rPr>
            </w:pPr>
            <w:r>
              <w:rPr>
                <w:color w:val="231F20"/>
                <w:w w:val="85"/>
                <w:sz w:val="15"/>
              </w:rPr>
              <w:t>7.4.6.b</w:t>
            </w:r>
          </w:p>
        </w:tc>
        <w:tc>
          <w:tcPr>
            <w:tcW w:w="4881" w:type="dxa"/>
            <w:gridSpan w:val="2"/>
            <w:tcBorders>
              <w:top w:val="single" w:sz="6" w:space="0" w:color="231F20"/>
              <w:left w:val="single" w:sz="6" w:space="0" w:color="231F20"/>
              <w:bottom w:val="single" w:sz="6" w:space="0" w:color="231F20"/>
              <w:right w:val="single" w:sz="6" w:space="0" w:color="231F20"/>
            </w:tcBorders>
          </w:tcPr>
          <w:p w14:paraId="36E6845E" w14:textId="77777777" w:rsidR="009948F1" w:rsidRDefault="00BC0563">
            <w:pPr>
              <w:pStyle w:val="TableParagraph"/>
              <w:spacing w:before="78"/>
              <w:ind w:left="26"/>
              <w:rPr>
                <w:sz w:val="15"/>
              </w:rPr>
            </w:pPr>
            <w:r>
              <w:rPr>
                <w:color w:val="231F20"/>
                <w:w w:val="90"/>
                <w:sz w:val="15"/>
              </w:rPr>
              <w:t>Regular update of guidelines on universal precaution</w:t>
            </w:r>
          </w:p>
        </w:tc>
        <w:tc>
          <w:tcPr>
            <w:tcW w:w="1423" w:type="dxa"/>
            <w:tcBorders>
              <w:top w:val="single" w:sz="6" w:space="0" w:color="231F20"/>
              <w:left w:val="single" w:sz="6" w:space="0" w:color="231F20"/>
              <w:bottom w:val="single" w:sz="6" w:space="0" w:color="231F20"/>
              <w:right w:val="single" w:sz="6" w:space="0" w:color="231F20"/>
            </w:tcBorders>
          </w:tcPr>
          <w:p w14:paraId="4470E9FB" w14:textId="77777777" w:rsidR="009948F1" w:rsidRDefault="00BC0563">
            <w:pPr>
              <w:pStyle w:val="TableParagraph"/>
              <w:spacing w:before="84"/>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3ACD283D" w14:textId="57BBC65F" w:rsidR="009948F1" w:rsidRDefault="00BC0563">
            <w:pPr>
              <w:pStyle w:val="TableParagraph"/>
              <w:spacing w:before="84"/>
              <w:ind w:left="27"/>
              <w:rPr>
                <w:sz w:val="15"/>
              </w:rPr>
            </w:pPr>
            <w:r>
              <w:rPr>
                <w:color w:val="231F20"/>
                <w:w w:val="90"/>
                <w:sz w:val="15"/>
              </w:rPr>
              <w:t xml:space="preserve">Update of IPC </w:t>
            </w:r>
            <w:r w:rsidR="00A93E69">
              <w:rPr>
                <w:color w:val="231F20"/>
                <w:w w:val="90"/>
                <w:sz w:val="15"/>
              </w:rPr>
              <w:t>guideline</w:t>
            </w:r>
          </w:p>
        </w:tc>
      </w:tr>
      <w:tr w:rsidR="009948F1" w14:paraId="3C674E3C" w14:textId="77777777">
        <w:trPr>
          <w:trHeight w:val="374"/>
        </w:trPr>
        <w:tc>
          <w:tcPr>
            <w:tcW w:w="847" w:type="dxa"/>
            <w:gridSpan w:val="2"/>
            <w:vMerge/>
            <w:tcBorders>
              <w:top w:val="nil"/>
              <w:left w:val="single" w:sz="4" w:space="0" w:color="231F20"/>
              <w:bottom w:val="single" w:sz="6" w:space="0" w:color="231F20"/>
              <w:right w:val="single" w:sz="6" w:space="0" w:color="231F20"/>
            </w:tcBorders>
          </w:tcPr>
          <w:p w14:paraId="2BDF67C4"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349C88C5" w14:textId="77777777" w:rsidR="009948F1" w:rsidRDefault="00BC0563">
            <w:pPr>
              <w:pStyle w:val="TableParagraph"/>
              <w:spacing w:before="93"/>
              <w:ind w:left="51" w:right="27"/>
              <w:jc w:val="center"/>
              <w:rPr>
                <w:sz w:val="15"/>
              </w:rPr>
            </w:pPr>
            <w:r>
              <w:rPr>
                <w:color w:val="231F20"/>
                <w:w w:val="85"/>
                <w:sz w:val="15"/>
              </w:rPr>
              <w:t>7.4.6.c</w:t>
            </w:r>
          </w:p>
        </w:tc>
        <w:tc>
          <w:tcPr>
            <w:tcW w:w="4881" w:type="dxa"/>
            <w:gridSpan w:val="2"/>
            <w:tcBorders>
              <w:top w:val="single" w:sz="6" w:space="0" w:color="231F20"/>
              <w:left w:val="single" w:sz="6" w:space="0" w:color="231F20"/>
              <w:bottom w:val="single" w:sz="6" w:space="0" w:color="231F20"/>
              <w:right w:val="single" w:sz="6" w:space="0" w:color="231F20"/>
            </w:tcBorders>
          </w:tcPr>
          <w:p w14:paraId="7437BABD" w14:textId="77777777" w:rsidR="009948F1" w:rsidRDefault="00BC0563">
            <w:pPr>
              <w:pStyle w:val="TableParagraph"/>
              <w:spacing w:before="87"/>
              <w:ind w:left="26"/>
              <w:rPr>
                <w:sz w:val="15"/>
              </w:rPr>
            </w:pPr>
            <w:r>
              <w:rPr>
                <w:color w:val="231F20"/>
                <w:w w:val="90"/>
                <w:sz w:val="15"/>
              </w:rPr>
              <w:t>Procurement of Personal Protective Equipment (PPE) for use at all levels</w:t>
            </w:r>
          </w:p>
        </w:tc>
        <w:tc>
          <w:tcPr>
            <w:tcW w:w="1423" w:type="dxa"/>
            <w:tcBorders>
              <w:top w:val="single" w:sz="6" w:space="0" w:color="231F20"/>
              <w:left w:val="single" w:sz="6" w:space="0" w:color="231F20"/>
              <w:bottom w:val="single" w:sz="6" w:space="0" w:color="231F20"/>
              <w:right w:val="single" w:sz="6" w:space="0" w:color="231F20"/>
            </w:tcBorders>
          </w:tcPr>
          <w:p w14:paraId="1903E850" w14:textId="77777777" w:rsidR="009948F1" w:rsidRDefault="00BC0563">
            <w:pPr>
              <w:pStyle w:val="TableParagraph"/>
              <w:spacing w:before="93"/>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45F3FE15" w14:textId="77777777" w:rsidR="009948F1" w:rsidRDefault="00BC0563">
            <w:pPr>
              <w:pStyle w:val="TableParagraph"/>
              <w:spacing w:before="93"/>
              <w:ind w:left="27"/>
              <w:rPr>
                <w:sz w:val="15"/>
              </w:rPr>
            </w:pPr>
            <w:r>
              <w:rPr>
                <w:color w:val="231F20"/>
                <w:w w:val="90"/>
                <w:sz w:val="15"/>
              </w:rPr>
              <w:t>PPE (Costed in OHT)</w:t>
            </w:r>
          </w:p>
        </w:tc>
      </w:tr>
      <w:tr w:rsidR="009948F1" w14:paraId="6F02F040" w14:textId="77777777">
        <w:trPr>
          <w:trHeight w:val="383"/>
        </w:trPr>
        <w:tc>
          <w:tcPr>
            <w:tcW w:w="847" w:type="dxa"/>
            <w:gridSpan w:val="2"/>
            <w:vMerge/>
            <w:tcBorders>
              <w:top w:val="nil"/>
              <w:left w:val="single" w:sz="4" w:space="0" w:color="231F20"/>
              <w:bottom w:val="single" w:sz="6" w:space="0" w:color="231F20"/>
              <w:right w:val="single" w:sz="6" w:space="0" w:color="231F20"/>
            </w:tcBorders>
          </w:tcPr>
          <w:p w14:paraId="62312F22"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13EA154E" w14:textId="77777777" w:rsidR="009948F1" w:rsidRDefault="00BC0563">
            <w:pPr>
              <w:pStyle w:val="TableParagraph"/>
              <w:spacing w:before="98"/>
              <w:ind w:left="51" w:right="28"/>
              <w:jc w:val="center"/>
              <w:rPr>
                <w:sz w:val="15"/>
              </w:rPr>
            </w:pPr>
            <w:r>
              <w:rPr>
                <w:color w:val="231F20"/>
                <w:w w:val="85"/>
                <w:sz w:val="15"/>
              </w:rPr>
              <w:t>7.4.6.d</w:t>
            </w:r>
          </w:p>
        </w:tc>
        <w:tc>
          <w:tcPr>
            <w:tcW w:w="4881" w:type="dxa"/>
            <w:gridSpan w:val="2"/>
            <w:tcBorders>
              <w:top w:val="single" w:sz="6" w:space="0" w:color="231F20"/>
              <w:left w:val="single" w:sz="6" w:space="0" w:color="231F20"/>
              <w:bottom w:val="single" w:sz="6" w:space="0" w:color="231F20"/>
              <w:right w:val="single" w:sz="6" w:space="0" w:color="231F20"/>
            </w:tcBorders>
          </w:tcPr>
          <w:p w14:paraId="163FFEAC" w14:textId="77777777" w:rsidR="009948F1" w:rsidRDefault="00BC0563">
            <w:pPr>
              <w:pStyle w:val="TableParagraph"/>
              <w:spacing w:before="92"/>
              <w:ind w:left="26"/>
              <w:rPr>
                <w:sz w:val="15"/>
              </w:rPr>
            </w:pPr>
            <w:r>
              <w:rPr>
                <w:color w:val="231F20"/>
                <w:w w:val="90"/>
                <w:sz w:val="15"/>
              </w:rPr>
              <w:t>Provision of IEC materials on infection control</w:t>
            </w:r>
          </w:p>
        </w:tc>
        <w:tc>
          <w:tcPr>
            <w:tcW w:w="1423" w:type="dxa"/>
            <w:tcBorders>
              <w:top w:val="single" w:sz="6" w:space="0" w:color="231F20"/>
              <w:left w:val="single" w:sz="6" w:space="0" w:color="231F20"/>
              <w:bottom w:val="single" w:sz="6" w:space="0" w:color="231F20"/>
              <w:right w:val="single" w:sz="6" w:space="0" w:color="231F20"/>
            </w:tcBorders>
          </w:tcPr>
          <w:p w14:paraId="3019BBD7" w14:textId="77777777" w:rsidR="009948F1" w:rsidRDefault="00BC0563">
            <w:pPr>
              <w:pStyle w:val="TableParagraph"/>
              <w:spacing w:before="98"/>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6647F926" w14:textId="77777777" w:rsidR="009948F1" w:rsidRDefault="00BC0563">
            <w:pPr>
              <w:pStyle w:val="TableParagraph"/>
              <w:spacing w:before="2"/>
              <w:ind w:left="27"/>
              <w:rPr>
                <w:sz w:val="15"/>
              </w:rPr>
            </w:pPr>
            <w:r>
              <w:rPr>
                <w:color w:val="231F20"/>
                <w:w w:val="85"/>
                <w:sz w:val="15"/>
              </w:rPr>
              <w:t>Provide IEC materials on</w:t>
            </w:r>
          </w:p>
          <w:p w14:paraId="722E2308" w14:textId="77777777" w:rsidR="009948F1" w:rsidRDefault="00BC0563">
            <w:pPr>
              <w:pStyle w:val="TableParagraph"/>
              <w:spacing w:before="18" w:line="171" w:lineRule="exact"/>
              <w:ind w:left="27"/>
              <w:rPr>
                <w:sz w:val="15"/>
              </w:rPr>
            </w:pPr>
            <w:r>
              <w:rPr>
                <w:color w:val="231F20"/>
                <w:w w:val="90"/>
                <w:sz w:val="15"/>
              </w:rPr>
              <w:t>infection control</w:t>
            </w:r>
          </w:p>
        </w:tc>
      </w:tr>
      <w:tr w:rsidR="009948F1" w14:paraId="6C967C50" w14:textId="77777777">
        <w:trPr>
          <w:trHeight w:val="374"/>
        </w:trPr>
        <w:tc>
          <w:tcPr>
            <w:tcW w:w="847" w:type="dxa"/>
            <w:gridSpan w:val="2"/>
            <w:vMerge/>
            <w:tcBorders>
              <w:top w:val="nil"/>
              <w:left w:val="single" w:sz="4" w:space="0" w:color="231F20"/>
              <w:bottom w:val="single" w:sz="6" w:space="0" w:color="231F20"/>
              <w:right w:val="single" w:sz="6" w:space="0" w:color="231F20"/>
            </w:tcBorders>
          </w:tcPr>
          <w:p w14:paraId="5EC7BB50"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2F69D3D7" w14:textId="77777777" w:rsidR="009948F1" w:rsidRDefault="00BC0563">
            <w:pPr>
              <w:pStyle w:val="TableParagraph"/>
              <w:spacing w:before="93"/>
              <w:ind w:left="51" w:right="28"/>
              <w:jc w:val="center"/>
              <w:rPr>
                <w:sz w:val="15"/>
              </w:rPr>
            </w:pPr>
            <w:r>
              <w:rPr>
                <w:color w:val="231F20"/>
                <w:w w:val="85"/>
                <w:sz w:val="15"/>
              </w:rPr>
              <w:t>7.4.6.e</w:t>
            </w:r>
          </w:p>
        </w:tc>
        <w:tc>
          <w:tcPr>
            <w:tcW w:w="4881" w:type="dxa"/>
            <w:gridSpan w:val="2"/>
            <w:tcBorders>
              <w:top w:val="single" w:sz="6" w:space="0" w:color="231F20"/>
              <w:left w:val="single" w:sz="6" w:space="0" w:color="231F20"/>
              <w:bottom w:val="single" w:sz="6" w:space="0" w:color="231F20"/>
              <w:right w:val="single" w:sz="6" w:space="0" w:color="231F20"/>
            </w:tcBorders>
          </w:tcPr>
          <w:p w14:paraId="09F0A88A" w14:textId="77777777" w:rsidR="009948F1" w:rsidRDefault="00BC0563">
            <w:pPr>
              <w:pStyle w:val="TableParagraph"/>
              <w:spacing w:line="167" w:lineRule="exact"/>
              <w:ind w:left="26"/>
              <w:rPr>
                <w:sz w:val="15"/>
              </w:rPr>
            </w:pPr>
            <w:r>
              <w:rPr>
                <w:color w:val="231F20"/>
                <w:w w:val="85"/>
                <w:sz w:val="15"/>
              </w:rPr>
              <w:t>Operating</w:t>
            </w:r>
            <w:r>
              <w:rPr>
                <w:color w:val="231F20"/>
                <w:spacing w:val="-19"/>
                <w:w w:val="85"/>
                <w:sz w:val="15"/>
              </w:rPr>
              <w:t xml:space="preserve"> </w:t>
            </w:r>
            <w:r>
              <w:rPr>
                <w:color w:val="231F20"/>
                <w:w w:val="85"/>
                <w:sz w:val="15"/>
              </w:rPr>
              <w:t>cost</w:t>
            </w:r>
            <w:r>
              <w:rPr>
                <w:color w:val="231F20"/>
                <w:spacing w:val="-18"/>
                <w:w w:val="85"/>
                <w:sz w:val="15"/>
              </w:rPr>
              <w:t xml:space="preserve"> </w:t>
            </w:r>
            <w:r>
              <w:rPr>
                <w:color w:val="231F20"/>
                <w:w w:val="85"/>
                <w:sz w:val="15"/>
              </w:rPr>
              <w:t>for</w:t>
            </w:r>
            <w:r>
              <w:rPr>
                <w:color w:val="231F20"/>
                <w:spacing w:val="-18"/>
                <w:w w:val="85"/>
                <w:sz w:val="15"/>
              </w:rPr>
              <w:t xml:space="preserve"> </w:t>
            </w:r>
            <w:r>
              <w:rPr>
                <w:color w:val="231F20"/>
                <w:w w:val="85"/>
                <w:sz w:val="15"/>
              </w:rPr>
              <w:t>engaging</w:t>
            </w:r>
            <w:r>
              <w:rPr>
                <w:color w:val="231F20"/>
                <w:spacing w:val="-18"/>
                <w:w w:val="85"/>
                <w:sz w:val="15"/>
              </w:rPr>
              <w:t xml:space="preserve"> </w:t>
            </w:r>
            <w:r>
              <w:rPr>
                <w:color w:val="231F20"/>
                <w:w w:val="85"/>
                <w:sz w:val="15"/>
              </w:rPr>
              <w:t>and</w:t>
            </w:r>
            <w:r>
              <w:rPr>
                <w:color w:val="231F20"/>
                <w:spacing w:val="-18"/>
                <w:w w:val="85"/>
                <w:sz w:val="15"/>
              </w:rPr>
              <w:t xml:space="preserve"> </w:t>
            </w:r>
            <w:r>
              <w:rPr>
                <w:color w:val="231F20"/>
                <w:w w:val="85"/>
                <w:sz w:val="15"/>
              </w:rPr>
              <w:t>supervising</w:t>
            </w:r>
            <w:r>
              <w:rPr>
                <w:color w:val="231F20"/>
                <w:spacing w:val="-18"/>
                <w:w w:val="85"/>
                <w:sz w:val="15"/>
              </w:rPr>
              <w:t xml:space="preserve"> </w:t>
            </w:r>
            <w:r>
              <w:rPr>
                <w:color w:val="231F20"/>
                <w:w w:val="85"/>
                <w:sz w:val="15"/>
              </w:rPr>
              <w:t>the</w:t>
            </w:r>
            <w:r>
              <w:rPr>
                <w:color w:val="231F20"/>
                <w:spacing w:val="-18"/>
                <w:w w:val="85"/>
                <w:sz w:val="15"/>
              </w:rPr>
              <w:t xml:space="preserve"> </w:t>
            </w:r>
            <w:r>
              <w:rPr>
                <w:color w:val="231F20"/>
                <w:w w:val="85"/>
                <w:sz w:val="15"/>
              </w:rPr>
              <w:t>contractor</w:t>
            </w:r>
            <w:r>
              <w:rPr>
                <w:color w:val="231F20"/>
                <w:spacing w:val="-18"/>
                <w:w w:val="85"/>
                <w:sz w:val="15"/>
              </w:rPr>
              <w:t xml:space="preserve"> </w:t>
            </w:r>
            <w:r>
              <w:rPr>
                <w:color w:val="231F20"/>
                <w:w w:val="85"/>
                <w:sz w:val="15"/>
              </w:rPr>
              <w:t>to</w:t>
            </w:r>
            <w:r>
              <w:rPr>
                <w:color w:val="231F20"/>
                <w:spacing w:val="-18"/>
                <w:w w:val="85"/>
                <w:sz w:val="15"/>
              </w:rPr>
              <w:t xml:space="preserve"> </w:t>
            </w:r>
            <w:r>
              <w:rPr>
                <w:color w:val="231F20"/>
                <w:w w:val="85"/>
                <w:sz w:val="15"/>
              </w:rPr>
              <w:t>provide</w:t>
            </w:r>
            <w:r>
              <w:rPr>
                <w:color w:val="231F20"/>
                <w:spacing w:val="-18"/>
                <w:w w:val="85"/>
                <w:sz w:val="15"/>
              </w:rPr>
              <w:t xml:space="preserve"> </w:t>
            </w:r>
            <w:r>
              <w:rPr>
                <w:color w:val="231F20"/>
                <w:w w:val="85"/>
                <w:sz w:val="15"/>
              </w:rPr>
              <w:t>incinerator</w:t>
            </w:r>
            <w:r>
              <w:rPr>
                <w:color w:val="231F20"/>
                <w:spacing w:val="-18"/>
                <w:w w:val="85"/>
                <w:sz w:val="15"/>
              </w:rPr>
              <w:t xml:space="preserve"> </w:t>
            </w:r>
            <w:r>
              <w:rPr>
                <w:color w:val="231F20"/>
                <w:w w:val="85"/>
                <w:sz w:val="15"/>
              </w:rPr>
              <w:t>in</w:t>
            </w:r>
            <w:r>
              <w:rPr>
                <w:color w:val="231F20"/>
                <w:spacing w:val="-18"/>
                <w:w w:val="85"/>
                <w:sz w:val="15"/>
              </w:rPr>
              <w:t xml:space="preserve"> </w:t>
            </w:r>
            <w:r>
              <w:rPr>
                <w:color w:val="231F20"/>
                <w:w w:val="85"/>
                <w:sz w:val="15"/>
              </w:rPr>
              <w:t>the</w:t>
            </w:r>
          </w:p>
          <w:p w14:paraId="707E69E8" w14:textId="77777777" w:rsidR="009948F1" w:rsidRDefault="00BC0563">
            <w:pPr>
              <w:pStyle w:val="TableParagraph"/>
              <w:spacing w:before="18" w:line="169" w:lineRule="exact"/>
              <w:ind w:left="26"/>
              <w:rPr>
                <w:sz w:val="15"/>
              </w:rPr>
            </w:pPr>
            <w:r>
              <w:rPr>
                <w:color w:val="231F20"/>
                <w:w w:val="90"/>
                <w:sz w:val="15"/>
              </w:rPr>
              <w:t>state for hazardous hospital wastes</w:t>
            </w:r>
          </w:p>
        </w:tc>
        <w:tc>
          <w:tcPr>
            <w:tcW w:w="1423" w:type="dxa"/>
            <w:tcBorders>
              <w:top w:val="single" w:sz="6" w:space="0" w:color="231F20"/>
              <w:left w:val="single" w:sz="6" w:space="0" w:color="231F20"/>
              <w:bottom w:val="single" w:sz="6" w:space="0" w:color="231F20"/>
              <w:right w:val="single" w:sz="6" w:space="0" w:color="231F20"/>
            </w:tcBorders>
          </w:tcPr>
          <w:p w14:paraId="3CB1D6D4" w14:textId="77777777" w:rsidR="009948F1" w:rsidRDefault="00BC0563">
            <w:pPr>
              <w:pStyle w:val="TableParagraph"/>
              <w:spacing w:before="93"/>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0D8B4C13" w14:textId="77777777" w:rsidR="009948F1" w:rsidRDefault="00BC0563">
            <w:pPr>
              <w:pStyle w:val="TableParagraph"/>
              <w:spacing w:line="170" w:lineRule="exact"/>
              <w:ind w:left="27"/>
              <w:rPr>
                <w:sz w:val="15"/>
              </w:rPr>
            </w:pPr>
            <w:r>
              <w:rPr>
                <w:color w:val="231F20"/>
                <w:w w:val="90"/>
                <w:sz w:val="15"/>
              </w:rPr>
              <w:t>Provision of incinerator</w:t>
            </w:r>
          </w:p>
          <w:p w14:paraId="33F22C33" w14:textId="77777777" w:rsidR="009948F1" w:rsidRDefault="00BC0563">
            <w:pPr>
              <w:pStyle w:val="TableParagraph"/>
              <w:spacing w:before="18" w:line="166" w:lineRule="exact"/>
              <w:ind w:left="27"/>
              <w:rPr>
                <w:sz w:val="15"/>
              </w:rPr>
            </w:pPr>
            <w:r>
              <w:rPr>
                <w:color w:val="231F20"/>
                <w:w w:val="90"/>
                <w:sz w:val="15"/>
              </w:rPr>
              <w:t>(Costed in OHT)</w:t>
            </w:r>
          </w:p>
        </w:tc>
      </w:tr>
      <w:tr w:rsidR="009948F1" w14:paraId="04E2DF72" w14:textId="77777777">
        <w:trPr>
          <w:trHeight w:val="819"/>
        </w:trPr>
        <w:tc>
          <w:tcPr>
            <w:tcW w:w="394" w:type="dxa"/>
            <w:tcBorders>
              <w:top w:val="single" w:sz="6" w:space="0" w:color="231F20"/>
              <w:left w:val="single" w:sz="12" w:space="0" w:color="231F20"/>
              <w:bottom w:val="single" w:sz="6" w:space="0" w:color="231F20"/>
              <w:right w:val="single" w:sz="6" w:space="0" w:color="231F20"/>
            </w:tcBorders>
            <w:shd w:val="clear" w:color="auto" w:fill="FFF200"/>
          </w:tcPr>
          <w:p w14:paraId="642BF675" w14:textId="77777777" w:rsidR="009948F1" w:rsidRDefault="009948F1">
            <w:pPr>
              <w:pStyle w:val="TableParagraph"/>
              <w:rPr>
                <w:sz w:val="16"/>
              </w:rPr>
            </w:pPr>
          </w:p>
          <w:p w14:paraId="059AC7D7" w14:textId="77777777" w:rsidR="009948F1" w:rsidRDefault="00BC0563">
            <w:pPr>
              <w:pStyle w:val="TableParagraph"/>
              <w:spacing w:before="134"/>
              <w:ind w:left="171"/>
              <w:rPr>
                <w:b/>
                <w:sz w:val="15"/>
              </w:rPr>
            </w:pPr>
            <w:r>
              <w:rPr>
                <w:b/>
                <w:color w:val="231F20"/>
                <w:w w:val="90"/>
                <w:sz w:val="15"/>
              </w:rPr>
              <w:t>7.6</w:t>
            </w:r>
          </w:p>
        </w:tc>
        <w:tc>
          <w:tcPr>
            <w:tcW w:w="5858" w:type="dxa"/>
            <w:gridSpan w:val="4"/>
            <w:tcBorders>
              <w:top w:val="single" w:sz="6" w:space="0" w:color="231F20"/>
              <w:left w:val="single" w:sz="6" w:space="0" w:color="231F20"/>
              <w:bottom w:val="single" w:sz="6" w:space="0" w:color="231F20"/>
            </w:tcBorders>
            <w:shd w:val="clear" w:color="auto" w:fill="FFF200"/>
          </w:tcPr>
          <w:p w14:paraId="1DF134B6" w14:textId="77777777" w:rsidR="009948F1" w:rsidRDefault="009948F1">
            <w:pPr>
              <w:pStyle w:val="TableParagraph"/>
              <w:spacing w:before="7"/>
              <w:rPr>
                <w:sz w:val="18"/>
              </w:rPr>
            </w:pPr>
          </w:p>
          <w:p w14:paraId="497FE709" w14:textId="77777777" w:rsidR="009948F1" w:rsidRDefault="00BC0563">
            <w:pPr>
              <w:pStyle w:val="TableParagraph"/>
              <w:spacing w:line="271" w:lineRule="auto"/>
              <w:ind w:left="25" w:firstLine="32"/>
              <w:rPr>
                <w:b/>
                <w:sz w:val="15"/>
              </w:rPr>
            </w:pPr>
            <w:r>
              <w:rPr>
                <w:b/>
                <w:color w:val="231F20"/>
                <w:w w:val="80"/>
                <w:sz w:val="15"/>
              </w:rPr>
              <w:t xml:space="preserve">Promote the provision of and access to palliative and End-of-life care services at public and private </w:t>
            </w:r>
            <w:r>
              <w:rPr>
                <w:b/>
                <w:color w:val="231F20"/>
                <w:w w:val="90"/>
                <w:sz w:val="15"/>
              </w:rPr>
              <w:t>health facilities that meet defined minimum quality and safety standards.</w:t>
            </w:r>
          </w:p>
        </w:tc>
        <w:tc>
          <w:tcPr>
            <w:tcW w:w="2924" w:type="dxa"/>
            <w:gridSpan w:val="2"/>
            <w:tcBorders>
              <w:top w:val="single" w:sz="6" w:space="0" w:color="231F20"/>
              <w:bottom w:val="single" w:sz="6" w:space="0" w:color="231F20"/>
              <w:right w:val="single" w:sz="6" w:space="0" w:color="231F20"/>
            </w:tcBorders>
            <w:shd w:val="clear" w:color="auto" w:fill="FFF200"/>
          </w:tcPr>
          <w:p w14:paraId="4ACF1198" w14:textId="77777777" w:rsidR="009948F1" w:rsidRDefault="009948F1">
            <w:pPr>
              <w:pStyle w:val="TableParagraph"/>
              <w:rPr>
                <w:rFonts w:ascii="Times New Roman"/>
                <w:sz w:val="10"/>
              </w:rPr>
            </w:pPr>
          </w:p>
        </w:tc>
      </w:tr>
      <w:tr w:rsidR="009948F1" w14:paraId="7A492AB2" w14:textId="77777777">
        <w:trPr>
          <w:trHeight w:val="1486"/>
        </w:trPr>
        <w:tc>
          <w:tcPr>
            <w:tcW w:w="394" w:type="dxa"/>
            <w:tcBorders>
              <w:top w:val="single" w:sz="6" w:space="0" w:color="231F20"/>
              <w:left w:val="single" w:sz="4" w:space="0" w:color="231F20"/>
              <w:bottom w:val="nil"/>
              <w:right w:val="single" w:sz="6" w:space="0" w:color="231F20"/>
            </w:tcBorders>
          </w:tcPr>
          <w:p w14:paraId="0EA2C91F" w14:textId="77777777" w:rsidR="009948F1" w:rsidRDefault="009948F1">
            <w:pPr>
              <w:pStyle w:val="TableParagraph"/>
              <w:rPr>
                <w:rFonts w:ascii="Times New Roman"/>
                <w:sz w:val="10"/>
              </w:rPr>
            </w:pPr>
          </w:p>
        </w:tc>
        <w:tc>
          <w:tcPr>
            <w:tcW w:w="453" w:type="dxa"/>
            <w:tcBorders>
              <w:top w:val="single" w:sz="6" w:space="0" w:color="231F20"/>
              <w:left w:val="single" w:sz="6" w:space="0" w:color="231F20"/>
              <w:bottom w:val="single" w:sz="6" w:space="0" w:color="231F20"/>
              <w:right w:val="single" w:sz="6" w:space="0" w:color="231F20"/>
            </w:tcBorders>
            <w:shd w:val="clear" w:color="auto" w:fill="CCE7D3"/>
          </w:tcPr>
          <w:p w14:paraId="160A604A" w14:textId="77777777" w:rsidR="009948F1" w:rsidRDefault="009948F1">
            <w:pPr>
              <w:pStyle w:val="TableParagraph"/>
              <w:rPr>
                <w:sz w:val="16"/>
              </w:rPr>
            </w:pPr>
          </w:p>
          <w:p w14:paraId="271CA8F0" w14:textId="77777777" w:rsidR="009948F1" w:rsidRDefault="009948F1">
            <w:pPr>
              <w:pStyle w:val="TableParagraph"/>
              <w:rPr>
                <w:sz w:val="16"/>
              </w:rPr>
            </w:pPr>
          </w:p>
          <w:p w14:paraId="1189BF8E" w14:textId="77777777" w:rsidR="009948F1" w:rsidRDefault="009948F1">
            <w:pPr>
              <w:pStyle w:val="TableParagraph"/>
              <w:rPr>
                <w:sz w:val="16"/>
              </w:rPr>
            </w:pPr>
          </w:p>
          <w:p w14:paraId="6C865F2F" w14:textId="77777777" w:rsidR="009948F1" w:rsidRDefault="00BC0563">
            <w:pPr>
              <w:pStyle w:val="TableParagraph"/>
              <w:spacing w:before="97"/>
              <w:ind w:left="58"/>
              <w:rPr>
                <w:sz w:val="15"/>
              </w:rPr>
            </w:pPr>
            <w:r>
              <w:rPr>
                <w:color w:val="231F20"/>
                <w:w w:val="90"/>
                <w:sz w:val="15"/>
              </w:rPr>
              <w:t>7.5.1</w:t>
            </w:r>
          </w:p>
        </w:tc>
        <w:tc>
          <w:tcPr>
            <w:tcW w:w="3028" w:type="dxa"/>
            <w:gridSpan w:val="2"/>
            <w:tcBorders>
              <w:top w:val="single" w:sz="6" w:space="0" w:color="231F20"/>
              <w:left w:val="single" w:sz="6" w:space="0" w:color="231F20"/>
              <w:bottom w:val="single" w:sz="6" w:space="0" w:color="231F20"/>
              <w:right w:val="single" w:sz="6" w:space="0" w:color="231F20"/>
            </w:tcBorders>
            <w:shd w:val="clear" w:color="auto" w:fill="CCE7D3"/>
          </w:tcPr>
          <w:p w14:paraId="79FE7B8B" w14:textId="77777777" w:rsidR="009948F1" w:rsidRDefault="009948F1">
            <w:pPr>
              <w:pStyle w:val="TableParagraph"/>
              <w:rPr>
                <w:sz w:val="16"/>
              </w:rPr>
            </w:pPr>
          </w:p>
          <w:p w14:paraId="32D66BDF" w14:textId="77777777" w:rsidR="009948F1" w:rsidRDefault="009948F1">
            <w:pPr>
              <w:pStyle w:val="TableParagraph"/>
              <w:spacing w:before="3"/>
              <w:rPr>
                <w:sz w:val="23"/>
              </w:rPr>
            </w:pPr>
          </w:p>
          <w:p w14:paraId="66F524E6" w14:textId="77777777" w:rsidR="009948F1" w:rsidRDefault="00BC0563">
            <w:pPr>
              <w:pStyle w:val="TableParagraph"/>
              <w:spacing w:line="266" w:lineRule="auto"/>
              <w:ind w:left="26" w:right="185" w:firstLine="32"/>
              <w:rPr>
                <w:sz w:val="15"/>
              </w:rPr>
            </w:pPr>
            <w:r>
              <w:rPr>
                <w:color w:val="231F20"/>
                <w:w w:val="85"/>
                <w:sz w:val="15"/>
              </w:rPr>
              <w:t xml:space="preserve">Promote the development and implementation of </w:t>
            </w:r>
            <w:r>
              <w:rPr>
                <w:color w:val="231F20"/>
                <w:w w:val="80"/>
                <w:sz w:val="15"/>
              </w:rPr>
              <w:t>policies, plans, legislations, regulations and clinical standards for palliative and end-of -life care services</w:t>
            </w:r>
          </w:p>
        </w:tc>
        <w:tc>
          <w:tcPr>
            <w:tcW w:w="2377" w:type="dxa"/>
            <w:tcBorders>
              <w:top w:val="single" w:sz="6" w:space="0" w:color="231F20"/>
              <w:left w:val="single" w:sz="6" w:space="0" w:color="231F20"/>
              <w:bottom w:val="single" w:sz="6" w:space="0" w:color="231F20"/>
              <w:right w:val="single" w:sz="6" w:space="0" w:color="231F20"/>
            </w:tcBorders>
            <w:shd w:val="clear" w:color="auto" w:fill="CCE7D3"/>
          </w:tcPr>
          <w:p w14:paraId="6595720E" w14:textId="77777777" w:rsidR="009948F1" w:rsidRDefault="00BC0563">
            <w:pPr>
              <w:pStyle w:val="TableParagraph"/>
              <w:numPr>
                <w:ilvl w:val="0"/>
                <w:numId w:val="103"/>
              </w:numPr>
              <w:tabs>
                <w:tab w:val="left" w:pos="102"/>
              </w:tabs>
              <w:spacing w:before="76" w:line="266" w:lineRule="auto"/>
              <w:ind w:right="383" w:firstLine="0"/>
              <w:rPr>
                <w:sz w:val="15"/>
              </w:rPr>
            </w:pPr>
            <w:r>
              <w:rPr>
                <w:color w:val="231F20"/>
                <w:w w:val="85"/>
                <w:sz w:val="15"/>
              </w:rPr>
              <w:t>Policy</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Palliative</w:t>
            </w:r>
            <w:r>
              <w:rPr>
                <w:color w:val="231F20"/>
                <w:spacing w:val="-23"/>
                <w:w w:val="85"/>
                <w:sz w:val="15"/>
              </w:rPr>
              <w:t xml:space="preserve"> </w:t>
            </w:r>
            <w:r>
              <w:rPr>
                <w:color w:val="231F20"/>
                <w:w w:val="85"/>
                <w:sz w:val="15"/>
              </w:rPr>
              <w:t>/End</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Life</w:t>
            </w:r>
            <w:r>
              <w:rPr>
                <w:color w:val="231F20"/>
                <w:spacing w:val="-23"/>
                <w:w w:val="85"/>
                <w:sz w:val="15"/>
              </w:rPr>
              <w:t xml:space="preserve"> </w:t>
            </w:r>
            <w:r>
              <w:rPr>
                <w:color w:val="231F20"/>
                <w:spacing w:val="-3"/>
                <w:w w:val="85"/>
                <w:sz w:val="15"/>
              </w:rPr>
              <w:t xml:space="preserve">Care </w:t>
            </w:r>
            <w:r>
              <w:rPr>
                <w:color w:val="231F20"/>
                <w:w w:val="90"/>
                <w:sz w:val="15"/>
              </w:rPr>
              <w:t>adapted</w:t>
            </w:r>
            <w:r>
              <w:rPr>
                <w:color w:val="231F20"/>
                <w:spacing w:val="-26"/>
                <w:w w:val="90"/>
                <w:sz w:val="15"/>
              </w:rPr>
              <w:t xml:space="preserve"> </w:t>
            </w:r>
            <w:r>
              <w:rPr>
                <w:color w:val="231F20"/>
                <w:w w:val="90"/>
                <w:sz w:val="15"/>
              </w:rPr>
              <w:t>&amp;</w:t>
            </w:r>
            <w:r>
              <w:rPr>
                <w:color w:val="231F20"/>
                <w:spacing w:val="-25"/>
                <w:w w:val="90"/>
                <w:sz w:val="15"/>
              </w:rPr>
              <w:t xml:space="preserve"> </w:t>
            </w:r>
            <w:r>
              <w:rPr>
                <w:color w:val="231F20"/>
                <w:w w:val="90"/>
                <w:sz w:val="15"/>
              </w:rPr>
              <w:t>protocols/</w:t>
            </w:r>
            <w:r>
              <w:rPr>
                <w:color w:val="231F20"/>
                <w:spacing w:val="-25"/>
                <w:w w:val="90"/>
                <w:sz w:val="15"/>
              </w:rPr>
              <w:t xml:space="preserve"> </w:t>
            </w:r>
            <w:r>
              <w:rPr>
                <w:color w:val="231F20"/>
                <w:w w:val="90"/>
                <w:sz w:val="15"/>
              </w:rPr>
              <w:t>for</w:t>
            </w:r>
            <w:r>
              <w:rPr>
                <w:color w:val="231F20"/>
                <w:spacing w:val="-25"/>
                <w:w w:val="90"/>
                <w:sz w:val="15"/>
              </w:rPr>
              <w:t xml:space="preserve"> </w:t>
            </w:r>
            <w:r>
              <w:rPr>
                <w:color w:val="231F20"/>
                <w:w w:val="90"/>
                <w:sz w:val="15"/>
              </w:rPr>
              <w:t xml:space="preserve">services </w:t>
            </w:r>
            <w:r>
              <w:rPr>
                <w:color w:val="231F20"/>
                <w:w w:val="85"/>
                <w:sz w:val="15"/>
              </w:rPr>
              <w:t>developed,</w:t>
            </w:r>
            <w:r>
              <w:rPr>
                <w:color w:val="231F20"/>
                <w:spacing w:val="-22"/>
                <w:w w:val="85"/>
                <w:sz w:val="15"/>
              </w:rPr>
              <w:t xml:space="preserve"> </w:t>
            </w:r>
            <w:r>
              <w:rPr>
                <w:color w:val="231F20"/>
                <w:w w:val="85"/>
                <w:sz w:val="15"/>
              </w:rPr>
              <w:t>printed</w:t>
            </w:r>
            <w:r>
              <w:rPr>
                <w:color w:val="231F20"/>
                <w:spacing w:val="-21"/>
                <w:w w:val="85"/>
                <w:sz w:val="15"/>
              </w:rPr>
              <w:t xml:space="preserve"> </w:t>
            </w:r>
            <w:r>
              <w:rPr>
                <w:color w:val="231F20"/>
                <w:w w:val="85"/>
                <w:sz w:val="15"/>
              </w:rPr>
              <w:t>&amp;</w:t>
            </w:r>
            <w:r>
              <w:rPr>
                <w:color w:val="231F20"/>
                <w:spacing w:val="-21"/>
                <w:w w:val="85"/>
                <w:sz w:val="15"/>
              </w:rPr>
              <w:t xml:space="preserve"> </w:t>
            </w:r>
            <w:r>
              <w:rPr>
                <w:color w:val="231F20"/>
                <w:w w:val="85"/>
                <w:sz w:val="15"/>
              </w:rPr>
              <w:t>disseminated</w:t>
            </w:r>
          </w:p>
          <w:p w14:paraId="31456F82" w14:textId="77777777" w:rsidR="009948F1" w:rsidRDefault="00BC0563">
            <w:pPr>
              <w:pStyle w:val="TableParagraph"/>
              <w:numPr>
                <w:ilvl w:val="0"/>
                <w:numId w:val="103"/>
              </w:numPr>
              <w:tabs>
                <w:tab w:val="left" w:pos="70"/>
              </w:tabs>
              <w:spacing w:line="266" w:lineRule="auto"/>
              <w:ind w:right="372" w:firstLine="0"/>
              <w:rPr>
                <w:sz w:val="15"/>
              </w:rPr>
            </w:pPr>
            <w:r>
              <w:rPr>
                <w:color w:val="231F20"/>
                <w:w w:val="85"/>
                <w:sz w:val="15"/>
              </w:rPr>
              <w:t>Advocacy</w:t>
            </w:r>
            <w:r>
              <w:rPr>
                <w:color w:val="231F20"/>
                <w:spacing w:val="-23"/>
                <w:w w:val="85"/>
                <w:sz w:val="15"/>
              </w:rPr>
              <w:t xml:space="preserve"> </w:t>
            </w:r>
            <w:r>
              <w:rPr>
                <w:color w:val="231F20"/>
                <w:w w:val="85"/>
                <w:sz w:val="15"/>
              </w:rPr>
              <w:t>visits</w:t>
            </w:r>
            <w:r>
              <w:rPr>
                <w:color w:val="231F20"/>
                <w:spacing w:val="-22"/>
                <w:w w:val="85"/>
                <w:sz w:val="15"/>
              </w:rPr>
              <w:t xml:space="preserve"> </w:t>
            </w:r>
            <w:r>
              <w:rPr>
                <w:color w:val="231F20"/>
                <w:w w:val="85"/>
                <w:sz w:val="15"/>
              </w:rPr>
              <w:t>to</w:t>
            </w:r>
            <w:r>
              <w:rPr>
                <w:color w:val="231F20"/>
                <w:spacing w:val="-22"/>
                <w:w w:val="85"/>
                <w:sz w:val="15"/>
              </w:rPr>
              <w:t xml:space="preserve"> </w:t>
            </w:r>
            <w:r>
              <w:rPr>
                <w:color w:val="231F20"/>
                <w:w w:val="85"/>
                <w:sz w:val="15"/>
              </w:rPr>
              <w:t>policy</w:t>
            </w:r>
            <w:r>
              <w:rPr>
                <w:color w:val="231F20"/>
                <w:spacing w:val="-22"/>
                <w:w w:val="85"/>
                <w:sz w:val="15"/>
              </w:rPr>
              <w:t xml:space="preserve"> </w:t>
            </w:r>
            <w:r>
              <w:rPr>
                <w:color w:val="231F20"/>
                <w:w w:val="85"/>
                <w:sz w:val="15"/>
              </w:rPr>
              <w:t>makers</w:t>
            </w:r>
            <w:r>
              <w:rPr>
                <w:color w:val="231F20"/>
                <w:spacing w:val="-22"/>
                <w:w w:val="85"/>
                <w:sz w:val="15"/>
              </w:rPr>
              <w:t xml:space="preserve"> </w:t>
            </w:r>
            <w:r>
              <w:rPr>
                <w:color w:val="231F20"/>
                <w:w w:val="85"/>
                <w:sz w:val="15"/>
              </w:rPr>
              <w:t xml:space="preserve">on </w:t>
            </w:r>
            <w:r>
              <w:rPr>
                <w:color w:val="231F20"/>
                <w:w w:val="80"/>
                <w:sz w:val="15"/>
              </w:rPr>
              <w:t>establishing Palliative and End of</w:t>
            </w:r>
            <w:r>
              <w:rPr>
                <w:color w:val="231F20"/>
                <w:spacing w:val="-22"/>
                <w:w w:val="80"/>
                <w:sz w:val="15"/>
              </w:rPr>
              <w:t xml:space="preserve"> </w:t>
            </w:r>
            <w:r>
              <w:rPr>
                <w:color w:val="231F20"/>
                <w:spacing w:val="-5"/>
                <w:w w:val="80"/>
                <w:sz w:val="15"/>
              </w:rPr>
              <w:t xml:space="preserve">Life </w:t>
            </w:r>
            <w:r>
              <w:rPr>
                <w:color w:val="231F20"/>
                <w:w w:val="90"/>
                <w:sz w:val="15"/>
              </w:rPr>
              <w:t>services</w:t>
            </w:r>
            <w:r>
              <w:rPr>
                <w:color w:val="231F20"/>
                <w:spacing w:val="-8"/>
                <w:w w:val="90"/>
                <w:sz w:val="15"/>
              </w:rPr>
              <w:t xml:space="preserve"> </w:t>
            </w:r>
            <w:r>
              <w:rPr>
                <w:color w:val="231F20"/>
                <w:w w:val="90"/>
                <w:sz w:val="15"/>
              </w:rPr>
              <w:t>done</w:t>
            </w:r>
          </w:p>
          <w:p w14:paraId="4FD3A1B2" w14:textId="77777777" w:rsidR="009948F1" w:rsidRDefault="00BC0563">
            <w:pPr>
              <w:pStyle w:val="TableParagraph"/>
              <w:numPr>
                <w:ilvl w:val="0"/>
                <w:numId w:val="103"/>
              </w:numPr>
              <w:tabs>
                <w:tab w:val="left" w:pos="95"/>
              </w:tabs>
              <w:spacing w:line="171" w:lineRule="exact"/>
              <w:ind w:left="94" w:hanging="69"/>
              <w:rPr>
                <w:sz w:val="15"/>
              </w:rPr>
            </w:pPr>
            <w:r>
              <w:rPr>
                <w:color w:val="231F20"/>
                <w:w w:val="85"/>
                <w:sz w:val="15"/>
              </w:rPr>
              <w:t>Awareness</w:t>
            </w:r>
            <w:r>
              <w:rPr>
                <w:color w:val="231F20"/>
                <w:spacing w:val="-16"/>
                <w:w w:val="85"/>
                <w:sz w:val="15"/>
              </w:rPr>
              <w:t xml:space="preserve"> </w:t>
            </w:r>
            <w:r>
              <w:rPr>
                <w:color w:val="231F20"/>
                <w:w w:val="85"/>
                <w:sz w:val="15"/>
              </w:rPr>
              <w:t>created</w:t>
            </w:r>
            <w:r>
              <w:rPr>
                <w:color w:val="231F20"/>
                <w:spacing w:val="-16"/>
                <w:w w:val="85"/>
                <w:sz w:val="15"/>
              </w:rPr>
              <w:t xml:space="preserve"> </w:t>
            </w:r>
            <w:r>
              <w:rPr>
                <w:color w:val="231F20"/>
                <w:w w:val="85"/>
                <w:sz w:val="15"/>
              </w:rPr>
              <w:t>on</w:t>
            </w:r>
            <w:r>
              <w:rPr>
                <w:color w:val="231F20"/>
                <w:spacing w:val="-15"/>
                <w:w w:val="85"/>
                <w:sz w:val="15"/>
              </w:rPr>
              <w:t xml:space="preserve"> </w:t>
            </w:r>
            <w:r>
              <w:rPr>
                <w:color w:val="231F20"/>
                <w:w w:val="85"/>
                <w:sz w:val="15"/>
              </w:rPr>
              <w:t>availability</w:t>
            </w:r>
            <w:r>
              <w:rPr>
                <w:color w:val="231F20"/>
                <w:spacing w:val="-16"/>
                <w:w w:val="85"/>
                <w:sz w:val="15"/>
              </w:rPr>
              <w:t xml:space="preserve"> </w:t>
            </w:r>
            <w:r>
              <w:rPr>
                <w:color w:val="231F20"/>
                <w:w w:val="85"/>
                <w:sz w:val="15"/>
              </w:rPr>
              <w:t>care</w:t>
            </w:r>
          </w:p>
        </w:tc>
        <w:tc>
          <w:tcPr>
            <w:tcW w:w="1423" w:type="dxa"/>
            <w:tcBorders>
              <w:top w:val="single" w:sz="6" w:space="0" w:color="231F20"/>
              <w:left w:val="single" w:sz="6" w:space="0" w:color="231F20"/>
              <w:bottom w:val="single" w:sz="6" w:space="0" w:color="231F20"/>
              <w:right w:val="single" w:sz="6" w:space="0" w:color="231F20"/>
            </w:tcBorders>
            <w:shd w:val="clear" w:color="auto" w:fill="CCE7D3"/>
          </w:tcPr>
          <w:p w14:paraId="04EF10D8" w14:textId="77777777" w:rsidR="009948F1" w:rsidRDefault="009948F1">
            <w:pPr>
              <w:pStyle w:val="TableParagraph"/>
              <w:rPr>
                <w:rFonts w:ascii="Times New Roman"/>
                <w:sz w:val="10"/>
              </w:rPr>
            </w:pPr>
          </w:p>
        </w:tc>
        <w:tc>
          <w:tcPr>
            <w:tcW w:w="1501" w:type="dxa"/>
            <w:tcBorders>
              <w:top w:val="single" w:sz="6" w:space="0" w:color="231F20"/>
              <w:left w:val="single" w:sz="6" w:space="0" w:color="231F20"/>
              <w:bottom w:val="single" w:sz="6" w:space="0" w:color="231F20"/>
              <w:right w:val="single" w:sz="6" w:space="0" w:color="231F20"/>
            </w:tcBorders>
            <w:shd w:val="clear" w:color="auto" w:fill="CCE7D3"/>
          </w:tcPr>
          <w:p w14:paraId="6265E683" w14:textId="77777777" w:rsidR="009948F1" w:rsidRDefault="009948F1">
            <w:pPr>
              <w:pStyle w:val="TableParagraph"/>
              <w:rPr>
                <w:rFonts w:ascii="Times New Roman"/>
                <w:sz w:val="10"/>
              </w:rPr>
            </w:pPr>
          </w:p>
        </w:tc>
      </w:tr>
      <w:tr w:rsidR="009948F1" w14:paraId="6F19BEFD" w14:textId="77777777">
        <w:trPr>
          <w:trHeight w:val="367"/>
        </w:trPr>
        <w:tc>
          <w:tcPr>
            <w:tcW w:w="847" w:type="dxa"/>
            <w:gridSpan w:val="2"/>
            <w:vMerge w:val="restart"/>
            <w:tcBorders>
              <w:top w:val="nil"/>
              <w:left w:val="single" w:sz="4" w:space="0" w:color="231F20"/>
              <w:right w:val="single" w:sz="6" w:space="0" w:color="231F20"/>
            </w:tcBorders>
          </w:tcPr>
          <w:p w14:paraId="63F7D936" w14:textId="77777777" w:rsidR="009948F1" w:rsidRDefault="009948F1">
            <w:pPr>
              <w:pStyle w:val="TableParagraph"/>
              <w:rPr>
                <w:rFonts w:ascii="Times New Roman"/>
                <w:sz w:val="10"/>
              </w:rPr>
            </w:pPr>
          </w:p>
        </w:tc>
        <w:tc>
          <w:tcPr>
            <w:tcW w:w="524" w:type="dxa"/>
            <w:tcBorders>
              <w:top w:val="single" w:sz="6" w:space="0" w:color="231F20"/>
              <w:left w:val="single" w:sz="6" w:space="0" w:color="231F20"/>
              <w:bottom w:val="single" w:sz="6" w:space="0" w:color="231F20"/>
              <w:right w:val="single" w:sz="6" w:space="0" w:color="231F20"/>
            </w:tcBorders>
          </w:tcPr>
          <w:p w14:paraId="3654D1D9" w14:textId="77777777" w:rsidR="009948F1" w:rsidRDefault="00BC0563">
            <w:pPr>
              <w:pStyle w:val="TableParagraph"/>
              <w:spacing w:before="90"/>
              <w:ind w:left="51" w:right="28"/>
              <w:jc w:val="center"/>
              <w:rPr>
                <w:sz w:val="15"/>
              </w:rPr>
            </w:pPr>
            <w:r>
              <w:rPr>
                <w:color w:val="231F20"/>
                <w:w w:val="85"/>
                <w:sz w:val="15"/>
              </w:rPr>
              <w:t>7.6.1.a</w:t>
            </w:r>
          </w:p>
        </w:tc>
        <w:tc>
          <w:tcPr>
            <w:tcW w:w="4881" w:type="dxa"/>
            <w:gridSpan w:val="2"/>
            <w:tcBorders>
              <w:top w:val="single" w:sz="6" w:space="0" w:color="231F20"/>
              <w:left w:val="single" w:sz="6" w:space="0" w:color="231F20"/>
              <w:bottom w:val="single" w:sz="6" w:space="0" w:color="231F20"/>
              <w:right w:val="single" w:sz="6" w:space="0" w:color="231F20"/>
            </w:tcBorders>
          </w:tcPr>
          <w:p w14:paraId="6F033484" w14:textId="77777777" w:rsidR="009948F1" w:rsidRDefault="00BC0563">
            <w:pPr>
              <w:pStyle w:val="TableParagraph"/>
              <w:spacing w:line="167" w:lineRule="exact"/>
              <w:ind w:left="26"/>
              <w:rPr>
                <w:sz w:val="15"/>
              </w:rPr>
            </w:pPr>
            <w:r>
              <w:rPr>
                <w:color w:val="231F20"/>
                <w:w w:val="85"/>
                <w:sz w:val="15"/>
              </w:rPr>
              <w:t>Adopt</w:t>
            </w:r>
            <w:r>
              <w:rPr>
                <w:color w:val="231F20"/>
                <w:spacing w:val="-21"/>
                <w:w w:val="85"/>
                <w:sz w:val="15"/>
              </w:rPr>
              <w:t xml:space="preserve"> </w:t>
            </w:r>
            <w:r>
              <w:rPr>
                <w:color w:val="231F20"/>
                <w:w w:val="85"/>
                <w:sz w:val="15"/>
              </w:rPr>
              <w:t>existing</w:t>
            </w:r>
            <w:r>
              <w:rPr>
                <w:color w:val="231F20"/>
                <w:spacing w:val="-21"/>
                <w:w w:val="85"/>
                <w:sz w:val="15"/>
              </w:rPr>
              <w:t xml:space="preserve"> </w:t>
            </w:r>
            <w:r>
              <w:rPr>
                <w:color w:val="231F20"/>
                <w:w w:val="85"/>
                <w:sz w:val="15"/>
              </w:rPr>
              <w:t>policies</w:t>
            </w:r>
            <w:r>
              <w:rPr>
                <w:color w:val="231F20"/>
                <w:spacing w:val="-20"/>
                <w:w w:val="85"/>
                <w:sz w:val="15"/>
              </w:rPr>
              <w:t xml:space="preserve"> </w:t>
            </w:r>
            <w:r>
              <w:rPr>
                <w:color w:val="231F20"/>
                <w:w w:val="85"/>
                <w:sz w:val="15"/>
              </w:rPr>
              <w:t>and</w:t>
            </w:r>
            <w:r>
              <w:rPr>
                <w:color w:val="231F20"/>
                <w:spacing w:val="-21"/>
                <w:w w:val="85"/>
                <w:sz w:val="15"/>
              </w:rPr>
              <w:t xml:space="preserve"> </w:t>
            </w:r>
            <w:r>
              <w:rPr>
                <w:color w:val="231F20"/>
                <w:w w:val="85"/>
                <w:sz w:val="15"/>
              </w:rPr>
              <w:t>develop</w:t>
            </w:r>
            <w:r>
              <w:rPr>
                <w:color w:val="231F20"/>
                <w:spacing w:val="-21"/>
                <w:w w:val="85"/>
                <w:sz w:val="15"/>
              </w:rPr>
              <w:t xml:space="preserve"> </w:t>
            </w:r>
            <w:r>
              <w:rPr>
                <w:color w:val="231F20"/>
                <w:w w:val="85"/>
                <w:sz w:val="15"/>
              </w:rPr>
              <w:t>protocols</w:t>
            </w:r>
            <w:r>
              <w:rPr>
                <w:color w:val="231F20"/>
                <w:spacing w:val="-20"/>
                <w:w w:val="85"/>
                <w:sz w:val="15"/>
              </w:rPr>
              <w:t xml:space="preserve"> </w:t>
            </w:r>
            <w:r>
              <w:rPr>
                <w:color w:val="231F20"/>
                <w:w w:val="85"/>
                <w:sz w:val="15"/>
              </w:rPr>
              <w:t>and</w:t>
            </w:r>
            <w:r>
              <w:rPr>
                <w:color w:val="231F20"/>
                <w:spacing w:val="-21"/>
                <w:w w:val="85"/>
                <w:sz w:val="15"/>
              </w:rPr>
              <w:t xml:space="preserve"> </w:t>
            </w:r>
            <w:r>
              <w:rPr>
                <w:color w:val="231F20"/>
                <w:w w:val="85"/>
                <w:sz w:val="15"/>
              </w:rPr>
              <w:t>guidelines</w:t>
            </w:r>
            <w:r>
              <w:rPr>
                <w:color w:val="231F20"/>
                <w:spacing w:val="-20"/>
                <w:w w:val="85"/>
                <w:sz w:val="15"/>
              </w:rPr>
              <w:t xml:space="preserve"> </w:t>
            </w:r>
            <w:r>
              <w:rPr>
                <w:color w:val="231F20"/>
                <w:w w:val="85"/>
                <w:sz w:val="15"/>
              </w:rPr>
              <w:t>for</w:t>
            </w:r>
            <w:r>
              <w:rPr>
                <w:color w:val="231F20"/>
                <w:spacing w:val="-21"/>
                <w:w w:val="85"/>
                <w:sz w:val="15"/>
              </w:rPr>
              <w:t xml:space="preserve"> </w:t>
            </w:r>
            <w:r>
              <w:rPr>
                <w:color w:val="231F20"/>
                <w:w w:val="85"/>
                <w:sz w:val="15"/>
              </w:rPr>
              <w:t>Palliative</w:t>
            </w:r>
            <w:r>
              <w:rPr>
                <w:color w:val="231F20"/>
                <w:spacing w:val="-21"/>
                <w:w w:val="85"/>
                <w:sz w:val="15"/>
              </w:rPr>
              <w:t xml:space="preserve"> </w:t>
            </w:r>
            <w:r>
              <w:rPr>
                <w:color w:val="231F20"/>
                <w:w w:val="85"/>
                <w:sz w:val="15"/>
              </w:rPr>
              <w:t>and</w:t>
            </w:r>
            <w:r>
              <w:rPr>
                <w:color w:val="231F20"/>
                <w:spacing w:val="-20"/>
                <w:w w:val="85"/>
                <w:sz w:val="15"/>
              </w:rPr>
              <w:t xml:space="preserve"> </w:t>
            </w:r>
            <w:r>
              <w:rPr>
                <w:color w:val="231F20"/>
                <w:w w:val="85"/>
                <w:sz w:val="15"/>
              </w:rPr>
              <w:t>End</w:t>
            </w:r>
            <w:r>
              <w:rPr>
                <w:color w:val="231F20"/>
                <w:spacing w:val="-21"/>
                <w:w w:val="85"/>
                <w:sz w:val="15"/>
              </w:rPr>
              <w:t xml:space="preserve"> </w:t>
            </w:r>
            <w:r>
              <w:rPr>
                <w:color w:val="231F20"/>
                <w:w w:val="85"/>
                <w:sz w:val="15"/>
              </w:rPr>
              <w:t>of</w:t>
            </w:r>
            <w:r>
              <w:rPr>
                <w:color w:val="231F20"/>
                <w:spacing w:val="-21"/>
                <w:w w:val="85"/>
                <w:sz w:val="15"/>
              </w:rPr>
              <w:t xml:space="preserve"> </w:t>
            </w:r>
            <w:r>
              <w:rPr>
                <w:color w:val="231F20"/>
                <w:w w:val="85"/>
                <w:sz w:val="15"/>
              </w:rPr>
              <w:t>Life</w:t>
            </w:r>
          </w:p>
          <w:p w14:paraId="69029F1E" w14:textId="77777777" w:rsidR="009948F1" w:rsidRDefault="00BC0563">
            <w:pPr>
              <w:pStyle w:val="TableParagraph"/>
              <w:spacing w:before="18" w:line="162" w:lineRule="exact"/>
              <w:ind w:left="26"/>
              <w:rPr>
                <w:sz w:val="15"/>
              </w:rPr>
            </w:pPr>
            <w:r>
              <w:rPr>
                <w:color w:val="231F20"/>
                <w:w w:val="90"/>
                <w:sz w:val="15"/>
              </w:rPr>
              <w:t>Care services</w:t>
            </w:r>
          </w:p>
        </w:tc>
        <w:tc>
          <w:tcPr>
            <w:tcW w:w="1423" w:type="dxa"/>
            <w:tcBorders>
              <w:top w:val="single" w:sz="6" w:space="0" w:color="231F20"/>
              <w:left w:val="single" w:sz="6" w:space="0" w:color="231F20"/>
              <w:bottom w:val="single" w:sz="6" w:space="0" w:color="231F20"/>
              <w:right w:val="single" w:sz="6" w:space="0" w:color="231F20"/>
            </w:tcBorders>
          </w:tcPr>
          <w:p w14:paraId="249F22C8" w14:textId="77777777" w:rsidR="009948F1" w:rsidRDefault="00BC0563">
            <w:pPr>
              <w:pStyle w:val="TableParagraph"/>
              <w:spacing w:before="90"/>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0806272E" w14:textId="77777777" w:rsidR="009948F1" w:rsidRDefault="00BC0563">
            <w:pPr>
              <w:pStyle w:val="TableParagraph"/>
              <w:spacing w:before="90"/>
              <w:ind w:left="27"/>
              <w:rPr>
                <w:sz w:val="15"/>
              </w:rPr>
            </w:pPr>
            <w:r>
              <w:rPr>
                <w:color w:val="231F20"/>
                <w:w w:val="90"/>
                <w:sz w:val="15"/>
              </w:rPr>
              <w:t>Adopt existing policies</w:t>
            </w:r>
          </w:p>
        </w:tc>
      </w:tr>
      <w:tr w:rsidR="009948F1" w14:paraId="3C95BE06" w14:textId="77777777">
        <w:trPr>
          <w:trHeight w:val="350"/>
        </w:trPr>
        <w:tc>
          <w:tcPr>
            <w:tcW w:w="847" w:type="dxa"/>
            <w:gridSpan w:val="2"/>
            <w:vMerge/>
            <w:tcBorders>
              <w:top w:val="nil"/>
              <w:left w:val="single" w:sz="4" w:space="0" w:color="231F20"/>
              <w:right w:val="single" w:sz="6" w:space="0" w:color="231F20"/>
            </w:tcBorders>
          </w:tcPr>
          <w:p w14:paraId="49C0E15A"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079213D6" w14:textId="77777777" w:rsidR="009948F1" w:rsidRDefault="00BC0563">
            <w:pPr>
              <w:pStyle w:val="TableParagraph"/>
              <w:spacing w:before="81"/>
              <w:ind w:left="51" w:right="28"/>
              <w:jc w:val="center"/>
              <w:rPr>
                <w:sz w:val="15"/>
              </w:rPr>
            </w:pPr>
            <w:r>
              <w:rPr>
                <w:color w:val="231F20"/>
                <w:w w:val="85"/>
                <w:sz w:val="15"/>
              </w:rPr>
              <w:t>7.6.1.b</w:t>
            </w:r>
          </w:p>
        </w:tc>
        <w:tc>
          <w:tcPr>
            <w:tcW w:w="4881" w:type="dxa"/>
            <w:gridSpan w:val="2"/>
            <w:tcBorders>
              <w:top w:val="single" w:sz="6" w:space="0" w:color="231F20"/>
              <w:left w:val="single" w:sz="6" w:space="0" w:color="231F20"/>
              <w:bottom w:val="single" w:sz="6" w:space="0" w:color="231F20"/>
              <w:right w:val="single" w:sz="6" w:space="0" w:color="231F20"/>
            </w:tcBorders>
          </w:tcPr>
          <w:p w14:paraId="0A0FBFED" w14:textId="77777777" w:rsidR="009948F1" w:rsidRDefault="00BC0563">
            <w:pPr>
              <w:pStyle w:val="TableParagraph"/>
              <w:spacing w:before="75"/>
              <w:ind w:left="26"/>
              <w:rPr>
                <w:sz w:val="15"/>
              </w:rPr>
            </w:pPr>
            <w:r>
              <w:rPr>
                <w:color w:val="231F20"/>
                <w:w w:val="80"/>
                <w:sz w:val="15"/>
              </w:rPr>
              <w:t>Conduct</w:t>
            </w:r>
            <w:r>
              <w:rPr>
                <w:color w:val="231F20"/>
                <w:spacing w:val="-6"/>
                <w:w w:val="80"/>
                <w:sz w:val="15"/>
              </w:rPr>
              <w:t xml:space="preserve"> </w:t>
            </w:r>
            <w:r>
              <w:rPr>
                <w:color w:val="231F20"/>
                <w:w w:val="80"/>
                <w:sz w:val="15"/>
              </w:rPr>
              <w:t>advocacy</w:t>
            </w:r>
            <w:r>
              <w:rPr>
                <w:color w:val="231F20"/>
                <w:spacing w:val="-5"/>
                <w:w w:val="80"/>
                <w:sz w:val="15"/>
              </w:rPr>
              <w:t xml:space="preserve"> </w:t>
            </w:r>
            <w:r>
              <w:rPr>
                <w:color w:val="231F20"/>
                <w:w w:val="80"/>
                <w:sz w:val="15"/>
              </w:rPr>
              <w:t>visits</w:t>
            </w:r>
            <w:r>
              <w:rPr>
                <w:color w:val="231F20"/>
                <w:spacing w:val="-5"/>
                <w:w w:val="80"/>
                <w:sz w:val="15"/>
              </w:rPr>
              <w:t xml:space="preserve"> </w:t>
            </w:r>
            <w:r>
              <w:rPr>
                <w:color w:val="231F20"/>
                <w:w w:val="80"/>
                <w:sz w:val="15"/>
              </w:rPr>
              <w:t>to</w:t>
            </w:r>
            <w:r>
              <w:rPr>
                <w:color w:val="231F20"/>
                <w:spacing w:val="-5"/>
                <w:w w:val="80"/>
                <w:sz w:val="15"/>
              </w:rPr>
              <w:t xml:space="preserve"> </w:t>
            </w:r>
            <w:r>
              <w:rPr>
                <w:color w:val="231F20"/>
                <w:w w:val="80"/>
                <w:sz w:val="15"/>
              </w:rPr>
              <w:t>policy</w:t>
            </w:r>
            <w:r>
              <w:rPr>
                <w:color w:val="231F20"/>
                <w:spacing w:val="-5"/>
                <w:w w:val="80"/>
                <w:sz w:val="15"/>
              </w:rPr>
              <w:t xml:space="preserve"> </w:t>
            </w:r>
            <w:r>
              <w:rPr>
                <w:color w:val="231F20"/>
                <w:w w:val="80"/>
                <w:sz w:val="15"/>
              </w:rPr>
              <w:t>makers</w:t>
            </w:r>
            <w:r>
              <w:rPr>
                <w:color w:val="231F20"/>
                <w:spacing w:val="-5"/>
                <w:w w:val="80"/>
                <w:sz w:val="15"/>
              </w:rPr>
              <w:t xml:space="preserve"> </w:t>
            </w:r>
            <w:r>
              <w:rPr>
                <w:color w:val="231F20"/>
                <w:w w:val="80"/>
                <w:sz w:val="15"/>
              </w:rPr>
              <w:t>on</w:t>
            </w:r>
            <w:r>
              <w:rPr>
                <w:color w:val="231F20"/>
                <w:spacing w:val="-5"/>
                <w:w w:val="80"/>
                <w:sz w:val="15"/>
              </w:rPr>
              <w:t xml:space="preserve"> </w:t>
            </w:r>
            <w:r>
              <w:rPr>
                <w:color w:val="231F20"/>
                <w:w w:val="80"/>
                <w:sz w:val="15"/>
              </w:rPr>
              <w:t>establishing</w:t>
            </w:r>
            <w:r>
              <w:rPr>
                <w:color w:val="231F20"/>
                <w:spacing w:val="-5"/>
                <w:w w:val="80"/>
                <w:sz w:val="15"/>
              </w:rPr>
              <w:t xml:space="preserve"> </w:t>
            </w:r>
            <w:r>
              <w:rPr>
                <w:color w:val="231F20"/>
                <w:w w:val="80"/>
                <w:sz w:val="15"/>
              </w:rPr>
              <w:t>Palliative</w:t>
            </w:r>
            <w:r>
              <w:rPr>
                <w:color w:val="231F20"/>
                <w:spacing w:val="-5"/>
                <w:w w:val="80"/>
                <w:sz w:val="15"/>
              </w:rPr>
              <w:t xml:space="preserve"> </w:t>
            </w:r>
            <w:r>
              <w:rPr>
                <w:color w:val="231F20"/>
                <w:w w:val="80"/>
                <w:sz w:val="15"/>
              </w:rPr>
              <w:t>and</w:t>
            </w:r>
            <w:r>
              <w:rPr>
                <w:color w:val="231F20"/>
                <w:spacing w:val="-5"/>
                <w:w w:val="80"/>
                <w:sz w:val="15"/>
              </w:rPr>
              <w:t xml:space="preserve"> </w:t>
            </w:r>
            <w:r>
              <w:rPr>
                <w:color w:val="231F20"/>
                <w:w w:val="80"/>
                <w:sz w:val="15"/>
              </w:rPr>
              <w:t>End</w:t>
            </w:r>
            <w:r>
              <w:rPr>
                <w:color w:val="231F20"/>
                <w:spacing w:val="-5"/>
                <w:w w:val="80"/>
                <w:sz w:val="15"/>
              </w:rPr>
              <w:t xml:space="preserve"> </w:t>
            </w:r>
            <w:r>
              <w:rPr>
                <w:color w:val="231F20"/>
                <w:w w:val="80"/>
                <w:sz w:val="15"/>
              </w:rPr>
              <w:t>of</w:t>
            </w:r>
            <w:r>
              <w:rPr>
                <w:color w:val="231F20"/>
                <w:spacing w:val="-5"/>
                <w:w w:val="80"/>
                <w:sz w:val="15"/>
              </w:rPr>
              <w:t xml:space="preserve"> </w:t>
            </w:r>
            <w:r>
              <w:rPr>
                <w:color w:val="231F20"/>
                <w:w w:val="80"/>
                <w:sz w:val="15"/>
              </w:rPr>
              <w:t>Life</w:t>
            </w:r>
            <w:r>
              <w:rPr>
                <w:color w:val="231F20"/>
                <w:spacing w:val="-5"/>
                <w:w w:val="80"/>
                <w:sz w:val="15"/>
              </w:rPr>
              <w:t xml:space="preserve"> </w:t>
            </w:r>
            <w:r>
              <w:rPr>
                <w:color w:val="231F20"/>
                <w:w w:val="80"/>
                <w:sz w:val="15"/>
              </w:rPr>
              <w:t>services</w:t>
            </w:r>
          </w:p>
        </w:tc>
        <w:tc>
          <w:tcPr>
            <w:tcW w:w="1423" w:type="dxa"/>
            <w:tcBorders>
              <w:top w:val="single" w:sz="6" w:space="0" w:color="231F20"/>
              <w:left w:val="single" w:sz="6" w:space="0" w:color="231F20"/>
              <w:bottom w:val="single" w:sz="6" w:space="0" w:color="231F20"/>
              <w:right w:val="single" w:sz="6" w:space="0" w:color="231F20"/>
            </w:tcBorders>
          </w:tcPr>
          <w:p w14:paraId="1942B001" w14:textId="77777777" w:rsidR="009948F1" w:rsidRDefault="00BC0563">
            <w:pPr>
              <w:pStyle w:val="TableParagraph"/>
              <w:spacing w:before="81"/>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2E66E617" w14:textId="77777777" w:rsidR="009948F1" w:rsidRDefault="00BC0563">
            <w:pPr>
              <w:pStyle w:val="TableParagraph"/>
              <w:spacing w:before="81"/>
              <w:ind w:left="27"/>
              <w:rPr>
                <w:sz w:val="15"/>
              </w:rPr>
            </w:pPr>
            <w:r>
              <w:rPr>
                <w:color w:val="231F20"/>
                <w:w w:val="90"/>
                <w:sz w:val="15"/>
              </w:rPr>
              <w:t>Conduct advocacy</w:t>
            </w:r>
          </w:p>
        </w:tc>
      </w:tr>
      <w:tr w:rsidR="009948F1" w14:paraId="45409CEC" w14:textId="77777777">
        <w:trPr>
          <w:trHeight w:val="369"/>
        </w:trPr>
        <w:tc>
          <w:tcPr>
            <w:tcW w:w="847" w:type="dxa"/>
            <w:gridSpan w:val="2"/>
            <w:vMerge/>
            <w:tcBorders>
              <w:top w:val="nil"/>
              <w:left w:val="single" w:sz="4" w:space="0" w:color="231F20"/>
              <w:right w:val="single" w:sz="6" w:space="0" w:color="231F20"/>
            </w:tcBorders>
          </w:tcPr>
          <w:p w14:paraId="57A7B276"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5776413E" w14:textId="77777777" w:rsidR="009948F1" w:rsidRDefault="00BC0563">
            <w:pPr>
              <w:pStyle w:val="TableParagraph"/>
              <w:spacing w:before="91"/>
              <w:ind w:left="51" w:right="27"/>
              <w:jc w:val="center"/>
              <w:rPr>
                <w:sz w:val="15"/>
              </w:rPr>
            </w:pPr>
            <w:r>
              <w:rPr>
                <w:color w:val="231F20"/>
                <w:w w:val="85"/>
                <w:sz w:val="15"/>
              </w:rPr>
              <w:t>7.6.1.c</w:t>
            </w:r>
          </w:p>
        </w:tc>
        <w:tc>
          <w:tcPr>
            <w:tcW w:w="4881" w:type="dxa"/>
            <w:gridSpan w:val="2"/>
            <w:tcBorders>
              <w:top w:val="single" w:sz="6" w:space="0" w:color="231F20"/>
              <w:left w:val="single" w:sz="6" w:space="0" w:color="231F20"/>
              <w:bottom w:val="single" w:sz="6" w:space="0" w:color="231F20"/>
              <w:right w:val="single" w:sz="6" w:space="0" w:color="231F20"/>
            </w:tcBorders>
          </w:tcPr>
          <w:p w14:paraId="6EB1C256" w14:textId="77777777" w:rsidR="009948F1" w:rsidRDefault="00BC0563">
            <w:pPr>
              <w:pStyle w:val="TableParagraph"/>
              <w:spacing w:before="85"/>
              <w:ind w:left="59"/>
              <w:rPr>
                <w:sz w:val="15"/>
              </w:rPr>
            </w:pPr>
            <w:r>
              <w:rPr>
                <w:color w:val="231F20"/>
                <w:w w:val="90"/>
                <w:sz w:val="15"/>
              </w:rPr>
              <w:t>Conduct need assessment for the Palliative /End of Life Care by DPRS, SMOH</w:t>
            </w:r>
          </w:p>
        </w:tc>
        <w:tc>
          <w:tcPr>
            <w:tcW w:w="1423" w:type="dxa"/>
            <w:tcBorders>
              <w:top w:val="single" w:sz="6" w:space="0" w:color="231F20"/>
              <w:left w:val="single" w:sz="6" w:space="0" w:color="231F20"/>
              <w:bottom w:val="single" w:sz="6" w:space="0" w:color="231F20"/>
              <w:right w:val="single" w:sz="6" w:space="0" w:color="231F20"/>
            </w:tcBorders>
          </w:tcPr>
          <w:p w14:paraId="34793CC7" w14:textId="77777777" w:rsidR="009948F1" w:rsidRDefault="00BC0563">
            <w:pPr>
              <w:pStyle w:val="TableParagraph"/>
              <w:spacing w:before="91"/>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2A1D688C" w14:textId="77777777" w:rsidR="009948F1" w:rsidRDefault="00BC0563">
            <w:pPr>
              <w:pStyle w:val="TableParagraph"/>
              <w:spacing w:before="91"/>
              <w:ind w:left="27"/>
              <w:rPr>
                <w:sz w:val="15"/>
              </w:rPr>
            </w:pPr>
            <w:r>
              <w:rPr>
                <w:color w:val="231F20"/>
                <w:w w:val="80"/>
                <w:sz w:val="15"/>
              </w:rPr>
              <w:t>Conduct need assessment</w:t>
            </w:r>
          </w:p>
        </w:tc>
      </w:tr>
      <w:tr w:rsidR="009948F1" w14:paraId="6CB10643" w14:textId="77777777">
        <w:trPr>
          <w:trHeight w:val="378"/>
        </w:trPr>
        <w:tc>
          <w:tcPr>
            <w:tcW w:w="847" w:type="dxa"/>
            <w:gridSpan w:val="2"/>
            <w:vMerge/>
            <w:tcBorders>
              <w:top w:val="nil"/>
              <w:left w:val="single" w:sz="4" w:space="0" w:color="231F20"/>
              <w:right w:val="single" w:sz="6" w:space="0" w:color="231F20"/>
            </w:tcBorders>
          </w:tcPr>
          <w:p w14:paraId="5AD0F04F" w14:textId="77777777" w:rsidR="009948F1" w:rsidRDefault="009948F1">
            <w:pPr>
              <w:rPr>
                <w:sz w:val="2"/>
                <w:szCs w:val="2"/>
              </w:rPr>
            </w:pPr>
          </w:p>
        </w:tc>
        <w:tc>
          <w:tcPr>
            <w:tcW w:w="524" w:type="dxa"/>
            <w:tcBorders>
              <w:top w:val="single" w:sz="6" w:space="0" w:color="231F20"/>
              <w:left w:val="single" w:sz="6" w:space="0" w:color="231F20"/>
              <w:bottom w:val="single" w:sz="6" w:space="0" w:color="231F20"/>
              <w:right w:val="single" w:sz="6" w:space="0" w:color="231F20"/>
            </w:tcBorders>
          </w:tcPr>
          <w:p w14:paraId="1C9FFA17" w14:textId="77777777" w:rsidR="009948F1" w:rsidRDefault="00BC0563">
            <w:pPr>
              <w:pStyle w:val="TableParagraph"/>
              <w:spacing w:before="95"/>
              <w:ind w:left="51" w:right="28"/>
              <w:jc w:val="center"/>
              <w:rPr>
                <w:sz w:val="15"/>
              </w:rPr>
            </w:pPr>
            <w:r>
              <w:rPr>
                <w:color w:val="231F20"/>
                <w:w w:val="85"/>
                <w:sz w:val="15"/>
              </w:rPr>
              <w:t>7.6.1.d</w:t>
            </w:r>
          </w:p>
        </w:tc>
        <w:tc>
          <w:tcPr>
            <w:tcW w:w="4881" w:type="dxa"/>
            <w:gridSpan w:val="2"/>
            <w:tcBorders>
              <w:top w:val="single" w:sz="6" w:space="0" w:color="231F20"/>
              <w:left w:val="single" w:sz="6" w:space="0" w:color="231F20"/>
              <w:bottom w:val="single" w:sz="6" w:space="0" w:color="231F20"/>
              <w:right w:val="single" w:sz="6" w:space="0" w:color="231F20"/>
            </w:tcBorders>
          </w:tcPr>
          <w:p w14:paraId="404A13B4" w14:textId="77777777" w:rsidR="009948F1" w:rsidRDefault="00BC0563">
            <w:pPr>
              <w:pStyle w:val="TableParagraph"/>
              <w:spacing w:before="89"/>
              <w:ind w:left="26"/>
              <w:rPr>
                <w:sz w:val="15"/>
              </w:rPr>
            </w:pPr>
            <w:r>
              <w:rPr>
                <w:color w:val="231F20"/>
                <w:w w:val="90"/>
                <w:sz w:val="15"/>
              </w:rPr>
              <w:t>Print &amp; disseminate guideline</w:t>
            </w:r>
          </w:p>
        </w:tc>
        <w:tc>
          <w:tcPr>
            <w:tcW w:w="1423" w:type="dxa"/>
            <w:tcBorders>
              <w:top w:val="single" w:sz="6" w:space="0" w:color="231F20"/>
              <w:left w:val="single" w:sz="6" w:space="0" w:color="231F20"/>
              <w:bottom w:val="single" w:sz="6" w:space="0" w:color="231F20"/>
              <w:right w:val="single" w:sz="6" w:space="0" w:color="231F20"/>
            </w:tcBorders>
          </w:tcPr>
          <w:p w14:paraId="74E2C7F0" w14:textId="77777777" w:rsidR="009948F1" w:rsidRDefault="00BC0563">
            <w:pPr>
              <w:pStyle w:val="TableParagraph"/>
              <w:spacing w:before="95"/>
              <w:ind w:left="26"/>
              <w:rPr>
                <w:sz w:val="15"/>
              </w:rPr>
            </w:pPr>
            <w:r>
              <w:rPr>
                <w:color w:val="231F20"/>
                <w:w w:val="90"/>
                <w:sz w:val="15"/>
              </w:rPr>
              <w:t>Lack of funds</w:t>
            </w:r>
          </w:p>
        </w:tc>
        <w:tc>
          <w:tcPr>
            <w:tcW w:w="1501" w:type="dxa"/>
            <w:tcBorders>
              <w:top w:val="single" w:sz="6" w:space="0" w:color="231F20"/>
              <w:left w:val="single" w:sz="6" w:space="0" w:color="231F20"/>
              <w:bottom w:val="single" w:sz="6" w:space="0" w:color="231F20"/>
              <w:right w:val="single" w:sz="6" w:space="0" w:color="231F20"/>
            </w:tcBorders>
          </w:tcPr>
          <w:p w14:paraId="3B1D4370" w14:textId="77777777" w:rsidR="009948F1" w:rsidRDefault="00BC0563">
            <w:pPr>
              <w:pStyle w:val="TableParagraph"/>
              <w:spacing w:before="95"/>
              <w:ind w:left="27"/>
              <w:rPr>
                <w:sz w:val="15"/>
              </w:rPr>
            </w:pPr>
            <w:r>
              <w:rPr>
                <w:color w:val="231F20"/>
                <w:w w:val="90"/>
                <w:sz w:val="15"/>
              </w:rPr>
              <w:t>Print &amp; disseminate</w:t>
            </w:r>
          </w:p>
        </w:tc>
      </w:tr>
      <w:tr w:rsidR="009948F1" w14:paraId="06C3B0B1" w14:textId="77777777">
        <w:trPr>
          <w:trHeight w:val="360"/>
        </w:trPr>
        <w:tc>
          <w:tcPr>
            <w:tcW w:w="847" w:type="dxa"/>
            <w:gridSpan w:val="2"/>
            <w:vMerge/>
            <w:tcBorders>
              <w:top w:val="nil"/>
              <w:left w:val="single" w:sz="4" w:space="0" w:color="231F20"/>
              <w:right w:val="single" w:sz="6" w:space="0" w:color="231F20"/>
            </w:tcBorders>
          </w:tcPr>
          <w:p w14:paraId="5E4A2BBA" w14:textId="77777777" w:rsidR="009948F1" w:rsidRDefault="009948F1">
            <w:pPr>
              <w:rPr>
                <w:sz w:val="2"/>
                <w:szCs w:val="2"/>
              </w:rPr>
            </w:pPr>
          </w:p>
        </w:tc>
        <w:tc>
          <w:tcPr>
            <w:tcW w:w="524" w:type="dxa"/>
            <w:tcBorders>
              <w:top w:val="single" w:sz="6" w:space="0" w:color="231F20"/>
              <w:left w:val="single" w:sz="6" w:space="0" w:color="231F20"/>
              <w:bottom w:val="single" w:sz="12" w:space="0" w:color="231F20"/>
              <w:right w:val="single" w:sz="6" w:space="0" w:color="231F20"/>
            </w:tcBorders>
          </w:tcPr>
          <w:p w14:paraId="5E7C7448" w14:textId="77777777" w:rsidR="009948F1" w:rsidRDefault="00BC0563">
            <w:pPr>
              <w:pStyle w:val="TableParagraph"/>
              <w:spacing w:before="91"/>
              <w:ind w:left="51" w:right="28"/>
              <w:jc w:val="center"/>
              <w:rPr>
                <w:sz w:val="15"/>
              </w:rPr>
            </w:pPr>
            <w:r>
              <w:rPr>
                <w:color w:val="231F20"/>
                <w:w w:val="85"/>
                <w:sz w:val="15"/>
              </w:rPr>
              <w:t>7.6.1.e</w:t>
            </w:r>
          </w:p>
        </w:tc>
        <w:tc>
          <w:tcPr>
            <w:tcW w:w="4881" w:type="dxa"/>
            <w:gridSpan w:val="2"/>
            <w:tcBorders>
              <w:top w:val="single" w:sz="6" w:space="0" w:color="231F20"/>
              <w:left w:val="single" w:sz="6" w:space="0" w:color="231F20"/>
              <w:bottom w:val="single" w:sz="12" w:space="0" w:color="231F20"/>
              <w:right w:val="single" w:sz="6" w:space="0" w:color="231F20"/>
            </w:tcBorders>
          </w:tcPr>
          <w:p w14:paraId="6785D5B4" w14:textId="77777777" w:rsidR="009948F1" w:rsidRDefault="00BC0563">
            <w:pPr>
              <w:pStyle w:val="TableParagraph"/>
              <w:spacing w:before="85"/>
              <w:ind w:left="26"/>
              <w:rPr>
                <w:sz w:val="15"/>
              </w:rPr>
            </w:pPr>
            <w:r>
              <w:rPr>
                <w:color w:val="231F20"/>
                <w:w w:val="90"/>
                <w:sz w:val="15"/>
              </w:rPr>
              <w:t>Create awareness on availability care</w:t>
            </w:r>
          </w:p>
        </w:tc>
        <w:tc>
          <w:tcPr>
            <w:tcW w:w="1423" w:type="dxa"/>
            <w:tcBorders>
              <w:top w:val="single" w:sz="6" w:space="0" w:color="231F20"/>
              <w:left w:val="single" w:sz="6" w:space="0" w:color="231F20"/>
              <w:bottom w:val="single" w:sz="12" w:space="0" w:color="231F20"/>
              <w:right w:val="single" w:sz="6" w:space="0" w:color="231F20"/>
            </w:tcBorders>
          </w:tcPr>
          <w:p w14:paraId="14645BA5" w14:textId="77777777" w:rsidR="009948F1" w:rsidRDefault="00BC0563">
            <w:pPr>
              <w:pStyle w:val="TableParagraph"/>
              <w:spacing w:before="91"/>
              <w:ind w:left="26"/>
              <w:rPr>
                <w:sz w:val="15"/>
              </w:rPr>
            </w:pPr>
            <w:r>
              <w:rPr>
                <w:color w:val="231F20"/>
                <w:w w:val="90"/>
                <w:sz w:val="15"/>
              </w:rPr>
              <w:t>Lack of funds</w:t>
            </w:r>
          </w:p>
        </w:tc>
        <w:tc>
          <w:tcPr>
            <w:tcW w:w="1501" w:type="dxa"/>
            <w:tcBorders>
              <w:top w:val="single" w:sz="6" w:space="0" w:color="231F20"/>
              <w:left w:val="single" w:sz="6" w:space="0" w:color="231F20"/>
              <w:bottom w:val="single" w:sz="12" w:space="0" w:color="231F20"/>
              <w:right w:val="single" w:sz="6" w:space="0" w:color="231F20"/>
            </w:tcBorders>
          </w:tcPr>
          <w:p w14:paraId="691C8914" w14:textId="77777777" w:rsidR="009948F1" w:rsidRDefault="00BC0563">
            <w:pPr>
              <w:pStyle w:val="TableParagraph"/>
              <w:spacing w:before="91"/>
              <w:ind w:left="27"/>
              <w:rPr>
                <w:sz w:val="15"/>
              </w:rPr>
            </w:pPr>
            <w:r>
              <w:rPr>
                <w:color w:val="231F20"/>
                <w:w w:val="90"/>
                <w:sz w:val="15"/>
              </w:rPr>
              <w:t>Create awareness on</w:t>
            </w:r>
          </w:p>
        </w:tc>
      </w:tr>
    </w:tbl>
    <w:p w14:paraId="1C5E2369" w14:textId="77777777" w:rsidR="009948F1" w:rsidRDefault="009948F1">
      <w:pPr>
        <w:rPr>
          <w:sz w:val="15"/>
        </w:rPr>
        <w:sectPr w:rsidR="009948F1">
          <w:pgSz w:w="11910" w:h="16840"/>
          <w:pgMar w:top="1300" w:right="1080" w:bottom="1340" w:left="1120" w:header="0" w:footer="1155" w:gutter="0"/>
          <w:cols w:space="720"/>
        </w:sectPr>
      </w:pPr>
    </w:p>
    <w:tbl>
      <w:tblPr>
        <w:tblW w:w="0" w:type="auto"/>
        <w:tblInd w:w="2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6"/>
        <w:gridCol w:w="399"/>
        <w:gridCol w:w="447"/>
        <w:gridCol w:w="517"/>
        <w:gridCol w:w="2468"/>
        <w:gridCol w:w="2343"/>
        <w:gridCol w:w="1402"/>
        <w:gridCol w:w="1479"/>
      </w:tblGrid>
      <w:tr w:rsidR="009948F1" w14:paraId="06364FE2" w14:textId="77777777">
        <w:trPr>
          <w:trHeight w:val="859"/>
        </w:trPr>
        <w:tc>
          <w:tcPr>
            <w:tcW w:w="575" w:type="dxa"/>
            <w:gridSpan w:val="2"/>
            <w:tcBorders>
              <w:left w:val="single" w:sz="6" w:space="0" w:color="231F20"/>
              <w:bottom w:val="nil"/>
              <w:right w:val="single" w:sz="6" w:space="0" w:color="231F20"/>
            </w:tcBorders>
          </w:tcPr>
          <w:p w14:paraId="628133F5" w14:textId="77777777" w:rsidR="009948F1" w:rsidRDefault="009948F1">
            <w:pPr>
              <w:pStyle w:val="TableParagraph"/>
              <w:rPr>
                <w:rFonts w:ascii="Times New Roman"/>
                <w:sz w:val="10"/>
              </w:rPr>
            </w:pPr>
          </w:p>
        </w:tc>
        <w:tc>
          <w:tcPr>
            <w:tcW w:w="447" w:type="dxa"/>
            <w:tcBorders>
              <w:top w:val="single" w:sz="12" w:space="0" w:color="231F20"/>
              <w:left w:val="single" w:sz="6" w:space="0" w:color="231F20"/>
              <w:bottom w:val="single" w:sz="6" w:space="0" w:color="231F20"/>
              <w:right w:val="single" w:sz="6" w:space="0" w:color="231F20"/>
            </w:tcBorders>
            <w:shd w:val="clear" w:color="auto" w:fill="CCE7D3"/>
          </w:tcPr>
          <w:p w14:paraId="11B31C6B" w14:textId="77777777" w:rsidR="009948F1" w:rsidRDefault="009948F1">
            <w:pPr>
              <w:pStyle w:val="TableParagraph"/>
              <w:rPr>
                <w:sz w:val="12"/>
              </w:rPr>
            </w:pPr>
          </w:p>
          <w:p w14:paraId="1F55E341" w14:textId="77777777" w:rsidR="009948F1" w:rsidRDefault="009948F1">
            <w:pPr>
              <w:pStyle w:val="TableParagraph"/>
              <w:rPr>
                <w:sz w:val="12"/>
              </w:rPr>
            </w:pPr>
          </w:p>
          <w:p w14:paraId="3CFBF8CC" w14:textId="77777777" w:rsidR="009948F1" w:rsidRDefault="00BC0563">
            <w:pPr>
              <w:pStyle w:val="TableParagraph"/>
              <w:spacing w:before="79"/>
              <w:ind w:left="32" w:right="93"/>
              <w:jc w:val="center"/>
              <w:rPr>
                <w:sz w:val="12"/>
              </w:rPr>
            </w:pPr>
            <w:bookmarkStart w:id="179" w:name="Page_153"/>
            <w:bookmarkEnd w:id="179"/>
            <w:r>
              <w:rPr>
                <w:color w:val="231F20"/>
                <w:sz w:val="12"/>
              </w:rPr>
              <w:t>7.6.2</w:t>
            </w:r>
          </w:p>
        </w:tc>
        <w:tc>
          <w:tcPr>
            <w:tcW w:w="2985" w:type="dxa"/>
            <w:gridSpan w:val="2"/>
            <w:tcBorders>
              <w:top w:val="single" w:sz="12" w:space="0" w:color="231F20"/>
              <w:left w:val="single" w:sz="6" w:space="0" w:color="231F20"/>
              <w:bottom w:val="single" w:sz="6" w:space="0" w:color="231F20"/>
              <w:right w:val="single" w:sz="6" w:space="0" w:color="231F20"/>
            </w:tcBorders>
            <w:shd w:val="clear" w:color="auto" w:fill="CCE7D3"/>
          </w:tcPr>
          <w:p w14:paraId="29848F30" w14:textId="77777777" w:rsidR="009948F1" w:rsidRDefault="009948F1">
            <w:pPr>
              <w:pStyle w:val="TableParagraph"/>
              <w:spacing w:before="10"/>
              <w:rPr>
                <w:sz w:val="16"/>
              </w:rPr>
            </w:pPr>
          </w:p>
          <w:p w14:paraId="5D75FF8D" w14:textId="77777777" w:rsidR="009948F1" w:rsidRDefault="00BC0563">
            <w:pPr>
              <w:pStyle w:val="TableParagraph"/>
              <w:spacing w:line="271" w:lineRule="auto"/>
              <w:ind w:left="21" w:right="22" w:firstLine="32"/>
              <w:rPr>
                <w:sz w:val="12"/>
              </w:rPr>
            </w:pPr>
            <w:r>
              <w:rPr>
                <w:color w:val="231F20"/>
                <w:sz w:val="12"/>
              </w:rPr>
              <w:t>Build capacity (human and institutional) for continuous quality improvement of palliative and End-of-life care services</w:t>
            </w:r>
          </w:p>
        </w:tc>
        <w:tc>
          <w:tcPr>
            <w:tcW w:w="2343" w:type="dxa"/>
            <w:tcBorders>
              <w:top w:val="single" w:sz="12" w:space="0" w:color="231F20"/>
              <w:left w:val="single" w:sz="6" w:space="0" w:color="231F20"/>
              <w:bottom w:val="single" w:sz="6" w:space="0" w:color="231F20"/>
              <w:right w:val="single" w:sz="6" w:space="0" w:color="231F20"/>
            </w:tcBorders>
            <w:shd w:val="clear" w:color="auto" w:fill="CCE7D3"/>
          </w:tcPr>
          <w:p w14:paraId="12D99945" w14:textId="77777777" w:rsidR="009948F1" w:rsidRDefault="00BC0563">
            <w:pPr>
              <w:pStyle w:val="TableParagraph"/>
              <w:numPr>
                <w:ilvl w:val="0"/>
                <w:numId w:val="102"/>
              </w:numPr>
              <w:tabs>
                <w:tab w:val="left" w:pos="64"/>
              </w:tabs>
              <w:spacing w:before="44" w:line="271" w:lineRule="auto"/>
              <w:ind w:right="252" w:firstLine="0"/>
              <w:rPr>
                <w:sz w:val="12"/>
              </w:rPr>
            </w:pPr>
            <w:r>
              <w:rPr>
                <w:color w:val="231F20"/>
                <w:sz w:val="12"/>
              </w:rPr>
              <w:t>Equipment</w:t>
            </w:r>
            <w:r>
              <w:rPr>
                <w:color w:val="231F20"/>
                <w:spacing w:val="-17"/>
                <w:sz w:val="12"/>
              </w:rPr>
              <w:t xml:space="preserve"> </w:t>
            </w:r>
            <w:r>
              <w:rPr>
                <w:color w:val="231F20"/>
                <w:sz w:val="12"/>
              </w:rPr>
              <w:t>for</w:t>
            </w:r>
            <w:r>
              <w:rPr>
                <w:color w:val="231F20"/>
                <w:spacing w:val="-16"/>
                <w:sz w:val="12"/>
              </w:rPr>
              <w:t xml:space="preserve"> </w:t>
            </w:r>
            <w:r>
              <w:rPr>
                <w:color w:val="231F20"/>
                <w:sz w:val="12"/>
              </w:rPr>
              <w:t>End-of-life</w:t>
            </w:r>
            <w:r>
              <w:rPr>
                <w:color w:val="231F20"/>
                <w:spacing w:val="-16"/>
                <w:sz w:val="12"/>
              </w:rPr>
              <w:t xml:space="preserve"> </w:t>
            </w:r>
            <w:r>
              <w:rPr>
                <w:color w:val="231F20"/>
                <w:sz w:val="12"/>
              </w:rPr>
              <w:t>care</w:t>
            </w:r>
            <w:r>
              <w:rPr>
                <w:color w:val="231F20"/>
                <w:spacing w:val="-16"/>
                <w:sz w:val="12"/>
              </w:rPr>
              <w:t xml:space="preserve"> </w:t>
            </w:r>
            <w:r>
              <w:rPr>
                <w:color w:val="231F20"/>
                <w:sz w:val="12"/>
              </w:rPr>
              <w:t>services purchased, supplied &amp;</w:t>
            </w:r>
            <w:r>
              <w:rPr>
                <w:color w:val="231F20"/>
                <w:spacing w:val="-15"/>
                <w:sz w:val="12"/>
              </w:rPr>
              <w:t xml:space="preserve"> </w:t>
            </w:r>
            <w:r>
              <w:rPr>
                <w:color w:val="231F20"/>
                <w:sz w:val="12"/>
              </w:rPr>
              <w:t>maintained</w:t>
            </w:r>
          </w:p>
          <w:p w14:paraId="40D9A5C3" w14:textId="77777777" w:rsidR="009948F1" w:rsidRDefault="00BC0563">
            <w:pPr>
              <w:pStyle w:val="TableParagraph"/>
              <w:numPr>
                <w:ilvl w:val="0"/>
                <w:numId w:val="102"/>
              </w:numPr>
              <w:tabs>
                <w:tab w:val="left" w:pos="64"/>
              </w:tabs>
              <w:spacing w:line="271" w:lineRule="auto"/>
              <w:ind w:right="129" w:firstLine="0"/>
              <w:rPr>
                <w:sz w:val="12"/>
              </w:rPr>
            </w:pPr>
            <w:r>
              <w:rPr>
                <w:color w:val="231F20"/>
                <w:sz w:val="12"/>
              </w:rPr>
              <w:t>Commodities</w:t>
            </w:r>
            <w:r>
              <w:rPr>
                <w:color w:val="231F20"/>
                <w:spacing w:val="-17"/>
                <w:sz w:val="12"/>
              </w:rPr>
              <w:t xml:space="preserve"> </w:t>
            </w:r>
            <w:r>
              <w:rPr>
                <w:color w:val="231F20"/>
                <w:sz w:val="12"/>
              </w:rPr>
              <w:t>for</w:t>
            </w:r>
            <w:r>
              <w:rPr>
                <w:color w:val="231F20"/>
                <w:spacing w:val="-17"/>
                <w:sz w:val="12"/>
              </w:rPr>
              <w:t xml:space="preserve"> </w:t>
            </w:r>
            <w:r>
              <w:rPr>
                <w:color w:val="231F20"/>
                <w:sz w:val="12"/>
              </w:rPr>
              <w:t>End-of-life</w:t>
            </w:r>
            <w:r>
              <w:rPr>
                <w:color w:val="231F20"/>
                <w:spacing w:val="-17"/>
                <w:sz w:val="12"/>
              </w:rPr>
              <w:t xml:space="preserve"> </w:t>
            </w:r>
            <w:r>
              <w:rPr>
                <w:color w:val="231F20"/>
                <w:sz w:val="12"/>
              </w:rPr>
              <w:t>care</w:t>
            </w:r>
            <w:r>
              <w:rPr>
                <w:color w:val="231F20"/>
                <w:spacing w:val="-17"/>
                <w:sz w:val="12"/>
              </w:rPr>
              <w:t xml:space="preserve"> </w:t>
            </w:r>
            <w:r>
              <w:rPr>
                <w:color w:val="231F20"/>
                <w:sz w:val="12"/>
              </w:rPr>
              <w:t>services procured and</w:t>
            </w:r>
            <w:r>
              <w:rPr>
                <w:color w:val="231F20"/>
                <w:spacing w:val="-4"/>
                <w:sz w:val="12"/>
              </w:rPr>
              <w:t xml:space="preserve"> </w:t>
            </w:r>
            <w:r>
              <w:rPr>
                <w:color w:val="231F20"/>
                <w:sz w:val="12"/>
              </w:rPr>
              <w:t>supplied</w:t>
            </w:r>
          </w:p>
          <w:p w14:paraId="78B8FE6E" w14:textId="77777777" w:rsidR="009948F1" w:rsidRDefault="00BC0563">
            <w:pPr>
              <w:pStyle w:val="TableParagraph"/>
              <w:numPr>
                <w:ilvl w:val="0"/>
                <w:numId w:val="102"/>
              </w:numPr>
              <w:tabs>
                <w:tab w:val="left" w:pos="96"/>
              </w:tabs>
              <w:spacing w:line="137" w:lineRule="exact"/>
              <w:ind w:left="95" w:hanging="75"/>
              <w:rPr>
                <w:sz w:val="12"/>
              </w:rPr>
            </w:pPr>
            <w:r>
              <w:rPr>
                <w:color w:val="231F20"/>
                <w:sz w:val="12"/>
              </w:rPr>
              <w:t>Staff</w:t>
            </w:r>
            <w:r>
              <w:rPr>
                <w:color w:val="231F20"/>
                <w:spacing w:val="-8"/>
                <w:sz w:val="12"/>
              </w:rPr>
              <w:t xml:space="preserve"> </w:t>
            </w:r>
            <w:r>
              <w:rPr>
                <w:color w:val="231F20"/>
                <w:sz w:val="12"/>
              </w:rPr>
              <w:t>trained</w:t>
            </w:r>
            <w:r>
              <w:rPr>
                <w:color w:val="231F20"/>
                <w:spacing w:val="-7"/>
                <w:sz w:val="12"/>
              </w:rPr>
              <w:t xml:space="preserve"> </w:t>
            </w:r>
            <w:r>
              <w:rPr>
                <w:color w:val="231F20"/>
                <w:sz w:val="12"/>
              </w:rPr>
              <w:t>on</w:t>
            </w:r>
            <w:r>
              <w:rPr>
                <w:color w:val="231F20"/>
                <w:spacing w:val="-7"/>
                <w:sz w:val="12"/>
              </w:rPr>
              <w:t xml:space="preserve"> </w:t>
            </w:r>
            <w:r>
              <w:rPr>
                <w:color w:val="231F20"/>
                <w:sz w:val="12"/>
              </w:rPr>
              <w:t>protocols</w:t>
            </w:r>
            <w:r>
              <w:rPr>
                <w:color w:val="231F20"/>
                <w:spacing w:val="-7"/>
                <w:sz w:val="12"/>
              </w:rPr>
              <w:t xml:space="preserve"> </w:t>
            </w:r>
            <w:r>
              <w:rPr>
                <w:color w:val="231F20"/>
                <w:sz w:val="12"/>
              </w:rPr>
              <w:t>and</w:t>
            </w:r>
            <w:r>
              <w:rPr>
                <w:color w:val="231F20"/>
                <w:spacing w:val="-7"/>
                <w:sz w:val="12"/>
              </w:rPr>
              <w:t xml:space="preserve"> </w:t>
            </w:r>
            <w:r>
              <w:rPr>
                <w:color w:val="231F20"/>
                <w:sz w:val="12"/>
              </w:rPr>
              <w:t>guidelines</w:t>
            </w:r>
          </w:p>
        </w:tc>
        <w:tc>
          <w:tcPr>
            <w:tcW w:w="1402" w:type="dxa"/>
            <w:tcBorders>
              <w:top w:val="single" w:sz="12" w:space="0" w:color="231F20"/>
              <w:left w:val="single" w:sz="6" w:space="0" w:color="231F20"/>
              <w:bottom w:val="single" w:sz="6" w:space="0" w:color="231F20"/>
              <w:right w:val="single" w:sz="6" w:space="0" w:color="231F20"/>
            </w:tcBorders>
            <w:shd w:val="clear" w:color="auto" w:fill="CCE7D3"/>
          </w:tcPr>
          <w:p w14:paraId="6C05C4EF" w14:textId="77777777" w:rsidR="009948F1" w:rsidRDefault="009948F1">
            <w:pPr>
              <w:pStyle w:val="TableParagraph"/>
              <w:rPr>
                <w:rFonts w:ascii="Times New Roman"/>
                <w:sz w:val="10"/>
              </w:rPr>
            </w:pPr>
          </w:p>
        </w:tc>
        <w:tc>
          <w:tcPr>
            <w:tcW w:w="1479" w:type="dxa"/>
            <w:tcBorders>
              <w:top w:val="single" w:sz="12" w:space="0" w:color="231F20"/>
              <w:left w:val="single" w:sz="6" w:space="0" w:color="231F20"/>
              <w:bottom w:val="single" w:sz="6" w:space="0" w:color="231F20"/>
              <w:right w:val="single" w:sz="6" w:space="0" w:color="231F20"/>
            </w:tcBorders>
            <w:shd w:val="clear" w:color="auto" w:fill="CCE7D3"/>
          </w:tcPr>
          <w:p w14:paraId="3460F225" w14:textId="77777777" w:rsidR="009948F1" w:rsidRDefault="009948F1">
            <w:pPr>
              <w:pStyle w:val="TableParagraph"/>
              <w:rPr>
                <w:rFonts w:ascii="Times New Roman"/>
                <w:sz w:val="10"/>
              </w:rPr>
            </w:pPr>
          </w:p>
        </w:tc>
      </w:tr>
      <w:tr w:rsidR="009948F1" w14:paraId="29FA2511" w14:textId="77777777">
        <w:trPr>
          <w:trHeight w:val="298"/>
        </w:trPr>
        <w:tc>
          <w:tcPr>
            <w:tcW w:w="1022" w:type="dxa"/>
            <w:gridSpan w:val="3"/>
            <w:vMerge w:val="restart"/>
            <w:tcBorders>
              <w:top w:val="nil"/>
              <w:left w:val="single" w:sz="6" w:space="0" w:color="231F20"/>
              <w:bottom w:val="nil"/>
              <w:right w:val="single" w:sz="6" w:space="0" w:color="231F20"/>
            </w:tcBorders>
          </w:tcPr>
          <w:p w14:paraId="6CA34DCB" w14:textId="77777777" w:rsidR="009948F1" w:rsidRDefault="009948F1">
            <w:pPr>
              <w:pStyle w:val="TableParagraph"/>
              <w:rPr>
                <w:rFonts w:ascii="Times New Roman"/>
                <w:sz w:val="10"/>
              </w:rPr>
            </w:pPr>
          </w:p>
        </w:tc>
        <w:tc>
          <w:tcPr>
            <w:tcW w:w="517" w:type="dxa"/>
            <w:tcBorders>
              <w:top w:val="single" w:sz="6" w:space="0" w:color="231F20"/>
              <w:left w:val="single" w:sz="6" w:space="0" w:color="231F20"/>
              <w:bottom w:val="single" w:sz="6" w:space="0" w:color="231F20"/>
              <w:right w:val="single" w:sz="6" w:space="0" w:color="231F20"/>
            </w:tcBorders>
          </w:tcPr>
          <w:p w14:paraId="4FEC4388" w14:textId="77777777" w:rsidR="009948F1" w:rsidRDefault="00BC0563">
            <w:pPr>
              <w:pStyle w:val="TableParagraph"/>
              <w:spacing w:before="75"/>
              <w:ind w:left="55" w:right="40"/>
              <w:jc w:val="center"/>
              <w:rPr>
                <w:sz w:val="12"/>
              </w:rPr>
            </w:pPr>
            <w:r>
              <w:rPr>
                <w:color w:val="231F20"/>
                <w:sz w:val="12"/>
              </w:rPr>
              <w:t>7.6.2.a</w:t>
            </w:r>
          </w:p>
        </w:tc>
        <w:tc>
          <w:tcPr>
            <w:tcW w:w="4811" w:type="dxa"/>
            <w:gridSpan w:val="2"/>
            <w:tcBorders>
              <w:top w:val="single" w:sz="6" w:space="0" w:color="231F20"/>
              <w:left w:val="single" w:sz="6" w:space="0" w:color="231F20"/>
              <w:bottom w:val="single" w:sz="6" w:space="0" w:color="231F20"/>
              <w:right w:val="single" w:sz="6" w:space="0" w:color="231F20"/>
            </w:tcBorders>
          </w:tcPr>
          <w:p w14:paraId="35E789B4" w14:textId="77777777" w:rsidR="009948F1" w:rsidRDefault="00BC0563">
            <w:pPr>
              <w:pStyle w:val="TableParagraph"/>
              <w:spacing w:line="135" w:lineRule="exact"/>
              <w:ind w:left="21"/>
              <w:rPr>
                <w:sz w:val="12"/>
              </w:rPr>
            </w:pPr>
            <w:r>
              <w:rPr>
                <w:color w:val="231F20"/>
                <w:sz w:val="12"/>
              </w:rPr>
              <w:t>Operating cost for engaging and supervising the contractor to purchase, supply and</w:t>
            </w:r>
          </w:p>
          <w:p w14:paraId="0E9A9B4E" w14:textId="77777777" w:rsidR="009948F1" w:rsidRDefault="00BC0563">
            <w:pPr>
              <w:pStyle w:val="TableParagraph"/>
              <w:spacing w:before="17" w:line="126" w:lineRule="exact"/>
              <w:ind w:left="21"/>
              <w:rPr>
                <w:sz w:val="12"/>
              </w:rPr>
            </w:pPr>
            <w:r>
              <w:rPr>
                <w:color w:val="231F20"/>
                <w:sz w:val="12"/>
              </w:rPr>
              <w:t>maintain equipment for End-of-life care services</w:t>
            </w:r>
          </w:p>
        </w:tc>
        <w:tc>
          <w:tcPr>
            <w:tcW w:w="1402" w:type="dxa"/>
            <w:tcBorders>
              <w:top w:val="single" w:sz="6" w:space="0" w:color="231F20"/>
              <w:left w:val="single" w:sz="6" w:space="0" w:color="231F20"/>
              <w:bottom w:val="single" w:sz="6" w:space="0" w:color="231F20"/>
              <w:right w:val="single" w:sz="6" w:space="0" w:color="231F20"/>
            </w:tcBorders>
          </w:tcPr>
          <w:p w14:paraId="5C44BBCD" w14:textId="77777777" w:rsidR="009948F1" w:rsidRDefault="00BC0563">
            <w:pPr>
              <w:pStyle w:val="TableParagraph"/>
              <w:spacing w:before="75"/>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53E597B7" w14:textId="77777777" w:rsidR="009948F1" w:rsidRDefault="00BC0563">
            <w:pPr>
              <w:pStyle w:val="TableParagraph"/>
              <w:spacing w:before="75"/>
              <w:ind w:left="22"/>
              <w:rPr>
                <w:sz w:val="12"/>
              </w:rPr>
            </w:pPr>
            <w:r>
              <w:rPr>
                <w:color w:val="231F20"/>
                <w:sz w:val="12"/>
              </w:rPr>
              <w:t>Costed in OHT</w:t>
            </w:r>
          </w:p>
        </w:tc>
      </w:tr>
      <w:tr w:rsidR="009948F1" w14:paraId="238D2B12" w14:textId="77777777">
        <w:trPr>
          <w:trHeight w:val="286"/>
        </w:trPr>
        <w:tc>
          <w:tcPr>
            <w:tcW w:w="1022" w:type="dxa"/>
            <w:gridSpan w:val="3"/>
            <w:vMerge/>
            <w:tcBorders>
              <w:top w:val="nil"/>
              <w:left w:val="single" w:sz="6" w:space="0" w:color="231F20"/>
              <w:bottom w:val="nil"/>
              <w:right w:val="single" w:sz="6" w:space="0" w:color="231F20"/>
            </w:tcBorders>
          </w:tcPr>
          <w:p w14:paraId="7C6CD1FE"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75C0EEC9" w14:textId="77777777" w:rsidR="009948F1" w:rsidRDefault="00BC0563">
            <w:pPr>
              <w:pStyle w:val="TableParagraph"/>
              <w:spacing w:before="70"/>
              <w:ind w:left="55" w:right="40"/>
              <w:jc w:val="center"/>
              <w:rPr>
                <w:sz w:val="12"/>
              </w:rPr>
            </w:pPr>
            <w:r>
              <w:rPr>
                <w:color w:val="231F20"/>
                <w:sz w:val="12"/>
              </w:rPr>
              <w:t>7.6.2.b</w:t>
            </w:r>
          </w:p>
        </w:tc>
        <w:tc>
          <w:tcPr>
            <w:tcW w:w="4811" w:type="dxa"/>
            <w:gridSpan w:val="2"/>
            <w:tcBorders>
              <w:top w:val="single" w:sz="6" w:space="0" w:color="231F20"/>
              <w:left w:val="single" w:sz="6" w:space="0" w:color="231F20"/>
              <w:bottom w:val="single" w:sz="6" w:space="0" w:color="231F20"/>
              <w:right w:val="single" w:sz="6" w:space="0" w:color="231F20"/>
            </w:tcBorders>
          </w:tcPr>
          <w:p w14:paraId="05959C6B" w14:textId="77777777" w:rsidR="009948F1" w:rsidRDefault="00BC0563">
            <w:pPr>
              <w:pStyle w:val="TableParagraph"/>
              <w:spacing w:before="65"/>
              <w:ind w:left="21"/>
              <w:rPr>
                <w:sz w:val="12"/>
              </w:rPr>
            </w:pPr>
            <w:r>
              <w:rPr>
                <w:color w:val="231F20"/>
                <w:sz w:val="12"/>
              </w:rPr>
              <w:t>Procure commodities for End-of-life care services</w:t>
            </w:r>
          </w:p>
        </w:tc>
        <w:tc>
          <w:tcPr>
            <w:tcW w:w="1402" w:type="dxa"/>
            <w:tcBorders>
              <w:top w:val="single" w:sz="6" w:space="0" w:color="231F20"/>
              <w:left w:val="single" w:sz="6" w:space="0" w:color="231F20"/>
              <w:bottom w:val="single" w:sz="6" w:space="0" w:color="231F20"/>
              <w:right w:val="single" w:sz="6" w:space="0" w:color="231F20"/>
            </w:tcBorders>
          </w:tcPr>
          <w:p w14:paraId="579E710A" w14:textId="77777777" w:rsidR="009948F1" w:rsidRDefault="00BC0563">
            <w:pPr>
              <w:pStyle w:val="TableParagraph"/>
              <w:spacing w:before="70"/>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74636100" w14:textId="77777777" w:rsidR="009948F1" w:rsidRDefault="00BC0563">
            <w:pPr>
              <w:pStyle w:val="TableParagraph"/>
              <w:spacing w:before="70"/>
              <w:ind w:left="22"/>
              <w:rPr>
                <w:sz w:val="12"/>
              </w:rPr>
            </w:pPr>
            <w:r>
              <w:rPr>
                <w:color w:val="231F20"/>
                <w:sz w:val="12"/>
              </w:rPr>
              <w:t>Costed in OHT</w:t>
            </w:r>
          </w:p>
        </w:tc>
      </w:tr>
      <w:tr w:rsidR="009948F1" w14:paraId="7F6B49BD" w14:textId="77777777">
        <w:trPr>
          <w:trHeight w:val="302"/>
        </w:trPr>
        <w:tc>
          <w:tcPr>
            <w:tcW w:w="1022" w:type="dxa"/>
            <w:gridSpan w:val="3"/>
            <w:vMerge/>
            <w:tcBorders>
              <w:top w:val="nil"/>
              <w:left w:val="single" w:sz="6" w:space="0" w:color="231F20"/>
              <w:bottom w:val="nil"/>
              <w:right w:val="single" w:sz="6" w:space="0" w:color="231F20"/>
            </w:tcBorders>
          </w:tcPr>
          <w:p w14:paraId="79BA24EE"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7527C507" w14:textId="77777777" w:rsidR="009948F1" w:rsidRDefault="00BC0563">
            <w:pPr>
              <w:pStyle w:val="TableParagraph"/>
              <w:spacing w:before="78"/>
              <w:ind w:left="55" w:right="40"/>
              <w:jc w:val="center"/>
              <w:rPr>
                <w:sz w:val="12"/>
              </w:rPr>
            </w:pPr>
            <w:r>
              <w:rPr>
                <w:color w:val="231F20"/>
                <w:sz w:val="12"/>
              </w:rPr>
              <w:t>7.6.2.c</w:t>
            </w:r>
          </w:p>
        </w:tc>
        <w:tc>
          <w:tcPr>
            <w:tcW w:w="4811" w:type="dxa"/>
            <w:gridSpan w:val="2"/>
            <w:tcBorders>
              <w:top w:val="single" w:sz="6" w:space="0" w:color="231F20"/>
              <w:left w:val="single" w:sz="6" w:space="0" w:color="231F20"/>
              <w:bottom w:val="single" w:sz="6" w:space="0" w:color="231F20"/>
              <w:right w:val="single" w:sz="6" w:space="0" w:color="231F20"/>
            </w:tcBorders>
          </w:tcPr>
          <w:p w14:paraId="11BEA671" w14:textId="77777777" w:rsidR="009948F1" w:rsidRDefault="00BC0563">
            <w:pPr>
              <w:pStyle w:val="TableParagraph"/>
              <w:spacing w:before="73"/>
              <w:ind w:left="21"/>
              <w:rPr>
                <w:sz w:val="12"/>
              </w:rPr>
            </w:pPr>
            <w:r>
              <w:rPr>
                <w:color w:val="231F20"/>
                <w:sz w:val="12"/>
              </w:rPr>
              <w:t>Build capacity of staff on protocols and guidelines</w:t>
            </w:r>
          </w:p>
        </w:tc>
        <w:tc>
          <w:tcPr>
            <w:tcW w:w="1402" w:type="dxa"/>
            <w:tcBorders>
              <w:top w:val="single" w:sz="6" w:space="0" w:color="231F20"/>
              <w:left w:val="single" w:sz="6" w:space="0" w:color="231F20"/>
              <w:bottom w:val="single" w:sz="6" w:space="0" w:color="231F20"/>
              <w:right w:val="single" w:sz="6" w:space="0" w:color="231F20"/>
            </w:tcBorders>
          </w:tcPr>
          <w:p w14:paraId="5A03EB21"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63604606" w14:textId="77777777" w:rsidR="009948F1" w:rsidRDefault="00BC0563">
            <w:pPr>
              <w:pStyle w:val="TableParagraph"/>
              <w:spacing w:before="78"/>
              <w:ind w:left="22"/>
              <w:rPr>
                <w:sz w:val="12"/>
              </w:rPr>
            </w:pPr>
            <w:r>
              <w:rPr>
                <w:color w:val="231F20"/>
                <w:sz w:val="12"/>
              </w:rPr>
              <w:t>Build capacity</w:t>
            </w:r>
          </w:p>
        </w:tc>
      </w:tr>
      <w:tr w:rsidR="009948F1" w14:paraId="7B482FC0" w14:textId="77777777">
        <w:trPr>
          <w:trHeight w:val="309"/>
        </w:trPr>
        <w:tc>
          <w:tcPr>
            <w:tcW w:w="1022" w:type="dxa"/>
            <w:gridSpan w:val="3"/>
            <w:vMerge/>
            <w:tcBorders>
              <w:top w:val="nil"/>
              <w:left w:val="single" w:sz="6" w:space="0" w:color="231F20"/>
              <w:bottom w:val="nil"/>
              <w:right w:val="single" w:sz="6" w:space="0" w:color="231F20"/>
            </w:tcBorders>
          </w:tcPr>
          <w:p w14:paraId="51F8D7A3"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52756B58" w14:textId="77777777" w:rsidR="009948F1" w:rsidRDefault="00BC0563">
            <w:pPr>
              <w:pStyle w:val="TableParagraph"/>
              <w:spacing w:before="82"/>
              <w:ind w:left="55" w:right="40"/>
              <w:jc w:val="center"/>
              <w:rPr>
                <w:sz w:val="12"/>
              </w:rPr>
            </w:pPr>
            <w:r>
              <w:rPr>
                <w:color w:val="231F20"/>
                <w:sz w:val="12"/>
              </w:rPr>
              <w:t>7.6.2.d</w:t>
            </w:r>
          </w:p>
        </w:tc>
        <w:tc>
          <w:tcPr>
            <w:tcW w:w="4811" w:type="dxa"/>
            <w:gridSpan w:val="2"/>
            <w:tcBorders>
              <w:top w:val="single" w:sz="6" w:space="0" w:color="231F20"/>
              <w:left w:val="single" w:sz="6" w:space="0" w:color="231F20"/>
              <w:bottom w:val="single" w:sz="6" w:space="0" w:color="231F20"/>
              <w:right w:val="single" w:sz="6" w:space="0" w:color="231F20"/>
            </w:tcBorders>
          </w:tcPr>
          <w:p w14:paraId="7DA3F4B8" w14:textId="77777777" w:rsidR="009948F1" w:rsidRDefault="00BC0563">
            <w:pPr>
              <w:pStyle w:val="TableParagraph"/>
              <w:spacing w:before="77"/>
              <w:ind w:left="21"/>
              <w:rPr>
                <w:sz w:val="12"/>
              </w:rPr>
            </w:pPr>
            <w:r>
              <w:rPr>
                <w:color w:val="231F20"/>
                <w:sz w:val="12"/>
              </w:rPr>
              <w:t>Institute referral linkage</w:t>
            </w:r>
          </w:p>
        </w:tc>
        <w:tc>
          <w:tcPr>
            <w:tcW w:w="1402" w:type="dxa"/>
            <w:tcBorders>
              <w:top w:val="single" w:sz="6" w:space="0" w:color="231F20"/>
              <w:left w:val="single" w:sz="6" w:space="0" w:color="231F20"/>
              <w:bottom w:val="single" w:sz="6" w:space="0" w:color="231F20"/>
              <w:right w:val="single" w:sz="6" w:space="0" w:color="231F20"/>
            </w:tcBorders>
          </w:tcPr>
          <w:p w14:paraId="15F02A50" w14:textId="77777777" w:rsidR="009948F1" w:rsidRDefault="00BC0563">
            <w:pPr>
              <w:pStyle w:val="TableParagraph"/>
              <w:spacing w:before="82"/>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3993EF18" w14:textId="77777777" w:rsidR="009948F1" w:rsidRDefault="00BC0563">
            <w:pPr>
              <w:pStyle w:val="TableParagraph"/>
              <w:spacing w:before="82"/>
              <w:ind w:left="22"/>
              <w:rPr>
                <w:sz w:val="12"/>
              </w:rPr>
            </w:pPr>
            <w:r>
              <w:rPr>
                <w:color w:val="231F20"/>
                <w:sz w:val="12"/>
              </w:rPr>
              <w:t>Institute referral</w:t>
            </w:r>
          </w:p>
        </w:tc>
      </w:tr>
      <w:tr w:rsidR="009948F1" w14:paraId="29C853DC" w14:textId="77777777">
        <w:trPr>
          <w:trHeight w:val="817"/>
        </w:trPr>
        <w:tc>
          <w:tcPr>
            <w:tcW w:w="575" w:type="dxa"/>
            <w:gridSpan w:val="2"/>
            <w:tcBorders>
              <w:top w:val="nil"/>
              <w:left w:val="single" w:sz="6" w:space="0" w:color="231F20"/>
              <w:bottom w:val="nil"/>
              <w:right w:val="single" w:sz="6" w:space="0" w:color="231F20"/>
            </w:tcBorders>
          </w:tcPr>
          <w:p w14:paraId="1B5CD642" w14:textId="77777777" w:rsidR="009948F1" w:rsidRDefault="009948F1">
            <w:pPr>
              <w:pStyle w:val="TableParagraph"/>
              <w:rPr>
                <w:rFonts w:ascii="Times New Roman"/>
                <w:sz w:val="10"/>
              </w:rPr>
            </w:pPr>
          </w:p>
        </w:tc>
        <w:tc>
          <w:tcPr>
            <w:tcW w:w="447" w:type="dxa"/>
            <w:tcBorders>
              <w:top w:val="single" w:sz="6" w:space="0" w:color="231F20"/>
              <w:left w:val="single" w:sz="6" w:space="0" w:color="231F20"/>
              <w:bottom w:val="single" w:sz="6" w:space="0" w:color="231F20"/>
              <w:right w:val="single" w:sz="6" w:space="0" w:color="231F20"/>
            </w:tcBorders>
            <w:shd w:val="clear" w:color="auto" w:fill="CCE7D3"/>
          </w:tcPr>
          <w:p w14:paraId="53945F0B" w14:textId="77777777" w:rsidR="009948F1" w:rsidRDefault="009948F1">
            <w:pPr>
              <w:pStyle w:val="TableParagraph"/>
              <w:rPr>
                <w:sz w:val="12"/>
              </w:rPr>
            </w:pPr>
          </w:p>
          <w:p w14:paraId="7E0F0441" w14:textId="77777777" w:rsidR="009948F1" w:rsidRDefault="009948F1">
            <w:pPr>
              <w:pStyle w:val="TableParagraph"/>
              <w:spacing w:before="2"/>
              <w:rPr>
                <w:sz w:val="17"/>
              </w:rPr>
            </w:pPr>
          </w:p>
          <w:p w14:paraId="21233AF6" w14:textId="77777777" w:rsidR="009948F1" w:rsidRDefault="00BC0563">
            <w:pPr>
              <w:pStyle w:val="TableParagraph"/>
              <w:ind w:left="32" w:right="93"/>
              <w:jc w:val="center"/>
              <w:rPr>
                <w:sz w:val="12"/>
              </w:rPr>
            </w:pPr>
            <w:r>
              <w:rPr>
                <w:color w:val="231F20"/>
                <w:sz w:val="12"/>
              </w:rPr>
              <w:t>7.6.3</w:t>
            </w:r>
          </w:p>
        </w:tc>
        <w:tc>
          <w:tcPr>
            <w:tcW w:w="2985" w:type="dxa"/>
            <w:gridSpan w:val="2"/>
            <w:tcBorders>
              <w:top w:val="single" w:sz="6" w:space="0" w:color="231F20"/>
              <w:left w:val="single" w:sz="6" w:space="0" w:color="231F20"/>
              <w:bottom w:val="single" w:sz="6" w:space="0" w:color="231F20"/>
              <w:right w:val="single" w:sz="6" w:space="0" w:color="231F20"/>
            </w:tcBorders>
            <w:shd w:val="clear" w:color="auto" w:fill="CCE7D3"/>
          </w:tcPr>
          <w:p w14:paraId="5F99A0E5" w14:textId="77777777" w:rsidR="009948F1" w:rsidRDefault="009948F1">
            <w:pPr>
              <w:pStyle w:val="TableParagraph"/>
              <w:rPr>
                <w:sz w:val="12"/>
              </w:rPr>
            </w:pPr>
          </w:p>
          <w:p w14:paraId="23BE4D81" w14:textId="77777777" w:rsidR="009948F1" w:rsidRDefault="009948F1">
            <w:pPr>
              <w:pStyle w:val="TableParagraph"/>
              <w:spacing w:before="11"/>
              <w:rPr>
                <w:sz w:val="9"/>
              </w:rPr>
            </w:pPr>
          </w:p>
          <w:p w14:paraId="56B01F4F" w14:textId="77777777" w:rsidR="009948F1" w:rsidRDefault="00BC0563">
            <w:pPr>
              <w:pStyle w:val="TableParagraph"/>
              <w:spacing w:line="271" w:lineRule="auto"/>
              <w:ind w:left="21" w:right="142" w:firstLine="32"/>
              <w:rPr>
                <w:sz w:val="12"/>
              </w:rPr>
            </w:pPr>
            <w:r>
              <w:rPr>
                <w:color w:val="231F20"/>
                <w:sz w:val="12"/>
              </w:rPr>
              <w:t>Strengthen community systems to support Palliative and End-of-life care services</w:t>
            </w:r>
          </w:p>
        </w:tc>
        <w:tc>
          <w:tcPr>
            <w:tcW w:w="2343" w:type="dxa"/>
            <w:tcBorders>
              <w:top w:val="single" w:sz="6" w:space="0" w:color="231F20"/>
              <w:left w:val="single" w:sz="6" w:space="0" w:color="231F20"/>
              <w:bottom w:val="single" w:sz="6" w:space="0" w:color="231F20"/>
              <w:right w:val="single" w:sz="6" w:space="0" w:color="231F20"/>
            </w:tcBorders>
            <w:shd w:val="clear" w:color="auto" w:fill="CCE7D3"/>
          </w:tcPr>
          <w:p w14:paraId="3DAE048C" w14:textId="77777777" w:rsidR="009948F1" w:rsidRDefault="00BC0563">
            <w:pPr>
              <w:pStyle w:val="TableParagraph"/>
              <w:numPr>
                <w:ilvl w:val="0"/>
                <w:numId w:val="101"/>
              </w:numPr>
              <w:tabs>
                <w:tab w:val="left" w:pos="92"/>
              </w:tabs>
              <w:spacing w:before="33" w:line="307" w:lineRule="auto"/>
              <w:ind w:right="150" w:firstLine="0"/>
              <w:rPr>
                <w:rFonts w:ascii="Georgia" w:hAnsi="Georgia"/>
                <w:sz w:val="11"/>
              </w:rPr>
            </w:pPr>
            <w:r>
              <w:rPr>
                <w:rFonts w:ascii="Georgia" w:hAnsi="Georgia"/>
                <w:color w:val="231F20"/>
                <w:w w:val="95"/>
                <w:sz w:val="11"/>
              </w:rPr>
              <w:t>Community</w:t>
            </w:r>
            <w:r>
              <w:rPr>
                <w:rFonts w:ascii="Georgia" w:hAnsi="Georgia"/>
                <w:color w:val="231F20"/>
                <w:spacing w:val="-13"/>
                <w:w w:val="95"/>
                <w:sz w:val="11"/>
              </w:rPr>
              <w:t xml:space="preserve"> </w:t>
            </w:r>
            <w:r>
              <w:rPr>
                <w:rFonts w:ascii="Georgia" w:hAnsi="Georgia"/>
                <w:color w:val="231F20"/>
                <w:w w:val="95"/>
                <w:sz w:val="11"/>
              </w:rPr>
              <w:t>Care</w:t>
            </w:r>
            <w:r>
              <w:rPr>
                <w:rFonts w:ascii="Georgia" w:hAnsi="Georgia"/>
                <w:color w:val="231F20"/>
                <w:spacing w:val="-13"/>
                <w:w w:val="95"/>
                <w:sz w:val="11"/>
              </w:rPr>
              <w:t xml:space="preserve"> </w:t>
            </w:r>
            <w:r>
              <w:rPr>
                <w:rFonts w:ascii="Georgia" w:hAnsi="Georgia"/>
                <w:color w:val="231F20"/>
                <w:w w:val="95"/>
                <w:sz w:val="11"/>
              </w:rPr>
              <w:t>Givers</w:t>
            </w:r>
            <w:r>
              <w:rPr>
                <w:rFonts w:ascii="Georgia" w:hAnsi="Georgia"/>
                <w:color w:val="231F20"/>
                <w:spacing w:val="-12"/>
                <w:w w:val="95"/>
                <w:sz w:val="11"/>
              </w:rPr>
              <w:t xml:space="preserve"> </w:t>
            </w:r>
            <w:r>
              <w:rPr>
                <w:rFonts w:ascii="Georgia" w:hAnsi="Georgia"/>
                <w:color w:val="231F20"/>
                <w:w w:val="95"/>
                <w:sz w:val="11"/>
              </w:rPr>
              <w:t>trained</w:t>
            </w:r>
            <w:r>
              <w:rPr>
                <w:rFonts w:ascii="Georgia" w:hAnsi="Georgia"/>
                <w:color w:val="231F20"/>
                <w:spacing w:val="-13"/>
                <w:w w:val="95"/>
                <w:sz w:val="11"/>
              </w:rPr>
              <w:t xml:space="preserve"> </w:t>
            </w:r>
            <w:r>
              <w:rPr>
                <w:rFonts w:ascii="Georgia" w:hAnsi="Georgia"/>
                <w:color w:val="231F20"/>
                <w:w w:val="95"/>
                <w:sz w:val="11"/>
              </w:rPr>
              <w:t>on</w:t>
            </w:r>
            <w:r>
              <w:rPr>
                <w:rFonts w:ascii="Georgia" w:hAnsi="Georgia"/>
                <w:color w:val="231F20"/>
                <w:spacing w:val="-12"/>
                <w:w w:val="95"/>
                <w:sz w:val="11"/>
              </w:rPr>
              <w:t xml:space="preserve"> </w:t>
            </w:r>
            <w:r>
              <w:rPr>
                <w:rFonts w:ascii="Georgia" w:hAnsi="Georgia"/>
                <w:color w:val="231F20"/>
                <w:w w:val="95"/>
                <w:sz w:val="11"/>
              </w:rPr>
              <w:t xml:space="preserve">End-of-life </w:t>
            </w:r>
            <w:r>
              <w:rPr>
                <w:rFonts w:ascii="Georgia" w:hAnsi="Georgia"/>
                <w:color w:val="231F20"/>
                <w:sz w:val="11"/>
              </w:rPr>
              <w:t>guidelines</w:t>
            </w:r>
          </w:p>
          <w:p w14:paraId="57F14972" w14:textId="77777777" w:rsidR="009948F1" w:rsidRDefault="00BC0563">
            <w:pPr>
              <w:pStyle w:val="TableParagraph"/>
              <w:numPr>
                <w:ilvl w:val="0"/>
                <w:numId w:val="101"/>
              </w:numPr>
              <w:tabs>
                <w:tab w:val="left" w:pos="70"/>
              </w:tabs>
              <w:spacing w:line="113" w:lineRule="exact"/>
              <w:ind w:left="69" w:hanging="50"/>
              <w:rPr>
                <w:rFonts w:ascii="Georgia" w:hAnsi="Georgia"/>
                <w:sz w:val="11"/>
              </w:rPr>
            </w:pPr>
            <w:r>
              <w:rPr>
                <w:rFonts w:ascii="Georgia" w:hAnsi="Georgia"/>
                <w:color w:val="231F20"/>
                <w:w w:val="95"/>
                <w:sz w:val="11"/>
              </w:rPr>
              <w:t>Religious</w:t>
            </w:r>
            <w:r>
              <w:rPr>
                <w:rFonts w:ascii="Georgia" w:hAnsi="Georgia"/>
                <w:color w:val="231F20"/>
                <w:spacing w:val="-12"/>
                <w:w w:val="95"/>
                <w:sz w:val="11"/>
              </w:rPr>
              <w:t xml:space="preserve"> </w:t>
            </w:r>
            <w:r>
              <w:rPr>
                <w:rFonts w:ascii="Georgia" w:hAnsi="Georgia"/>
                <w:color w:val="231F20"/>
                <w:w w:val="95"/>
                <w:sz w:val="11"/>
              </w:rPr>
              <w:t>leaders,</w:t>
            </w:r>
            <w:r>
              <w:rPr>
                <w:rFonts w:ascii="Georgia" w:hAnsi="Georgia"/>
                <w:color w:val="231F20"/>
                <w:spacing w:val="-12"/>
                <w:w w:val="95"/>
                <w:sz w:val="11"/>
              </w:rPr>
              <w:t xml:space="preserve"> </w:t>
            </w:r>
            <w:r>
              <w:rPr>
                <w:rFonts w:ascii="Georgia" w:hAnsi="Georgia"/>
                <w:color w:val="231F20"/>
                <w:w w:val="95"/>
                <w:sz w:val="11"/>
              </w:rPr>
              <w:t>WDCs,</w:t>
            </w:r>
            <w:r>
              <w:rPr>
                <w:rFonts w:ascii="Georgia" w:hAnsi="Georgia"/>
                <w:color w:val="231F20"/>
                <w:spacing w:val="-12"/>
                <w:w w:val="95"/>
                <w:sz w:val="11"/>
              </w:rPr>
              <w:t xml:space="preserve"> </w:t>
            </w:r>
            <w:r>
              <w:rPr>
                <w:rFonts w:ascii="Georgia" w:hAnsi="Georgia"/>
                <w:color w:val="231F20"/>
                <w:w w:val="95"/>
                <w:sz w:val="11"/>
              </w:rPr>
              <w:t>CDCs</w:t>
            </w:r>
            <w:r>
              <w:rPr>
                <w:rFonts w:ascii="Georgia" w:hAnsi="Georgia"/>
                <w:color w:val="231F20"/>
                <w:spacing w:val="-12"/>
                <w:w w:val="95"/>
                <w:sz w:val="11"/>
              </w:rPr>
              <w:t xml:space="preserve"> </w:t>
            </w:r>
            <w:r>
              <w:rPr>
                <w:rFonts w:ascii="Georgia" w:hAnsi="Georgia"/>
                <w:color w:val="231F20"/>
                <w:w w:val="95"/>
                <w:sz w:val="11"/>
              </w:rPr>
              <w:t>and</w:t>
            </w:r>
            <w:r>
              <w:rPr>
                <w:rFonts w:ascii="Georgia" w:hAnsi="Georgia"/>
                <w:color w:val="231F20"/>
                <w:spacing w:val="-12"/>
                <w:w w:val="95"/>
                <w:sz w:val="11"/>
              </w:rPr>
              <w:t xml:space="preserve"> </w:t>
            </w:r>
            <w:r>
              <w:rPr>
                <w:rFonts w:ascii="Georgia" w:hAnsi="Georgia"/>
                <w:color w:val="231F20"/>
                <w:w w:val="95"/>
                <w:sz w:val="11"/>
              </w:rPr>
              <w:t>VDCs</w:t>
            </w:r>
            <w:r>
              <w:rPr>
                <w:rFonts w:ascii="Georgia" w:hAnsi="Georgia"/>
                <w:color w:val="231F20"/>
                <w:spacing w:val="-12"/>
                <w:w w:val="95"/>
                <w:sz w:val="11"/>
              </w:rPr>
              <w:t xml:space="preserve"> </w:t>
            </w:r>
            <w:r>
              <w:rPr>
                <w:rFonts w:ascii="Georgia" w:hAnsi="Georgia"/>
                <w:color w:val="231F20"/>
                <w:w w:val="95"/>
                <w:sz w:val="11"/>
              </w:rPr>
              <w:t>trained</w:t>
            </w:r>
          </w:p>
          <w:p w14:paraId="5E9B8B68" w14:textId="77777777" w:rsidR="009948F1" w:rsidRDefault="00BC0563">
            <w:pPr>
              <w:pStyle w:val="TableParagraph"/>
              <w:spacing w:before="35"/>
              <w:ind w:left="20"/>
              <w:rPr>
                <w:rFonts w:ascii="Georgia"/>
                <w:sz w:val="11"/>
              </w:rPr>
            </w:pPr>
            <w:r>
              <w:rPr>
                <w:rFonts w:ascii="Georgia"/>
                <w:color w:val="231F20"/>
                <w:sz w:val="11"/>
              </w:rPr>
              <w:t>on their roles and responsibilities</w:t>
            </w:r>
          </w:p>
          <w:p w14:paraId="103FEB54" w14:textId="77777777" w:rsidR="009948F1" w:rsidRDefault="00BC0563">
            <w:pPr>
              <w:pStyle w:val="TableParagraph"/>
              <w:spacing w:before="23"/>
              <w:ind w:left="20"/>
              <w:rPr>
                <w:rFonts w:ascii="Georgia" w:hAnsi="Georgia"/>
                <w:sz w:val="11"/>
              </w:rPr>
            </w:pPr>
            <w:r>
              <w:rPr>
                <w:rFonts w:ascii="Georgia" w:hAnsi="Georgia"/>
                <w:color w:val="231F20"/>
                <w:w w:val="110"/>
                <w:sz w:val="11"/>
              </w:rPr>
              <w:t>•</w:t>
            </w:r>
          </w:p>
        </w:tc>
        <w:tc>
          <w:tcPr>
            <w:tcW w:w="1402" w:type="dxa"/>
            <w:tcBorders>
              <w:top w:val="single" w:sz="6" w:space="0" w:color="231F20"/>
              <w:left w:val="single" w:sz="6" w:space="0" w:color="231F20"/>
              <w:bottom w:val="single" w:sz="6" w:space="0" w:color="231F20"/>
              <w:right w:val="single" w:sz="6" w:space="0" w:color="231F20"/>
            </w:tcBorders>
            <w:shd w:val="clear" w:color="auto" w:fill="CCE7D3"/>
          </w:tcPr>
          <w:p w14:paraId="7F33A11F" w14:textId="77777777" w:rsidR="009948F1" w:rsidRDefault="009948F1">
            <w:pPr>
              <w:pStyle w:val="TableParagraph"/>
              <w:rPr>
                <w:rFonts w:ascii="Times New Roman"/>
                <w:sz w:val="10"/>
              </w:rPr>
            </w:pPr>
          </w:p>
        </w:tc>
        <w:tc>
          <w:tcPr>
            <w:tcW w:w="1479" w:type="dxa"/>
            <w:tcBorders>
              <w:top w:val="single" w:sz="6" w:space="0" w:color="231F20"/>
              <w:left w:val="single" w:sz="6" w:space="0" w:color="231F20"/>
              <w:bottom w:val="single" w:sz="6" w:space="0" w:color="231F20"/>
              <w:right w:val="single" w:sz="6" w:space="0" w:color="231F20"/>
            </w:tcBorders>
            <w:shd w:val="clear" w:color="auto" w:fill="CCE7D3"/>
          </w:tcPr>
          <w:p w14:paraId="7AB91785" w14:textId="77777777" w:rsidR="009948F1" w:rsidRDefault="009948F1">
            <w:pPr>
              <w:pStyle w:val="TableParagraph"/>
              <w:rPr>
                <w:rFonts w:ascii="Times New Roman"/>
                <w:sz w:val="10"/>
              </w:rPr>
            </w:pPr>
          </w:p>
        </w:tc>
      </w:tr>
      <w:tr w:rsidR="009948F1" w14:paraId="171637DD" w14:textId="77777777">
        <w:trPr>
          <w:trHeight w:val="298"/>
        </w:trPr>
        <w:tc>
          <w:tcPr>
            <w:tcW w:w="1022" w:type="dxa"/>
            <w:gridSpan w:val="3"/>
            <w:vMerge w:val="restart"/>
            <w:tcBorders>
              <w:top w:val="nil"/>
              <w:left w:val="single" w:sz="6" w:space="0" w:color="231F20"/>
              <w:bottom w:val="nil"/>
              <w:right w:val="single" w:sz="6" w:space="0" w:color="231F20"/>
            </w:tcBorders>
          </w:tcPr>
          <w:p w14:paraId="0545F338" w14:textId="77777777" w:rsidR="009948F1" w:rsidRDefault="009948F1">
            <w:pPr>
              <w:pStyle w:val="TableParagraph"/>
              <w:rPr>
                <w:rFonts w:ascii="Times New Roman"/>
                <w:sz w:val="10"/>
              </w:rPr>
            </w:pPr>
          </w:p>
        </w:tc>
        <w:tc>
          <w:tcPr>
            <w:tcW w:w="517" w:type="dxa"/>
            <w:tcBorders>
              <w:top w:val="single" w:sz="6" w:space="0" w:color="231F20"/>
              <w:left w:val="single" w:sz="6" w:space="0" w:color="231F20"/>
              <w:bottom w:val="single" w:sz="6" w:space="0" w:color="231F20"/>
              <w:right w:val="single" w:sz="6" w:space="0" w:color="231F20"/>
            </w:tcBorders>
          </w:tcPr>
          <w:p w14:paraId="67906C14" w14:textId="77777777" w:rsidR="009948F1" w:rsidRDefault="00BC0563">
            <w:pPr>
              <w:pStyle w:val="TableParagraph"/>
              <w:spacing w:before="82"/>
              <w:ind w:left="55" w:right="38"/>
              <w:jc w:val="center"/>
              <w:rPr>
                <w:sz w:val="11"/>
              </w:rPr>
            </w:pPr>
            <w:r>
              <w:rPr>
                <w:color w:val="231F20"/>
                <w:sz w:val="11"/>
              </w:rPr>
              <w:t>7.6.3.a</w:t>
            </w:r>
          </w:p>
        </w:tc>
        <w:tc>
          <w:tcPr>
            <w:tcW w:w="4811" w:type="dxa"/>
            <w:gridSpan w:val="2"/>
            <w:tcBorders>
              <w:top w:val="single" w:sz="6" w:space="0" w:color="231F20"/>
              <w:left w:val="single" w:sz="6" w:space="0" w:color="231F20"/>
              <w:bottom w:val="single" w:sz="6" w:space="0" w:color="231F20"/>
              <w:right w:val="single" w:sz="6" w:space="0" w:color="231F20"/>
            </w:tcBorders>
          </w:tcPr>
          <w:p w14:paraId="2A8F3912" w14:textId="77777777" w:rsidR="009948F1" w:rsidRDefault="00BC0563">
            <w:pPr>
              <w:pStyle w:val="TableParagraph"/>
              <w:spacing w:before="83"/>
              <w:ind w:left="20"/>
              <w:rPr>
                <w:rFonts w:ascii="Georgia"/>
                <w:sz w:val="11"/>
              </w:rPr>
            </w:pPr>
            <w:r>
              <w:rPr>
                <w:rFonts w:ascii="Georgia"/>
                <w:color w:val="231F20"/>
                <w:sz w:val="11"/>
              </w:rPr>
              <w:t>Train Community Care Givers on End-of-life guidelines</w:t>
            </w:r>
          </w:p>
        </w:tc>
        <w:tc>
          <w:tcPr>
            <w:tcW w:w="1402" w:type="dxa"/>
            <w:tcBorders>
              <w:top w:val="single" w:sz="6" w:space="0" w:color="231F20"/>
              <w:left w:val="single" w:sz="6" w:space="0" w:color="231F20"/>
              <w:bottom w:val="single" w:sz="6" w:space="0" w:color="231F20"/>
              <w:right w:val="single" w:sz="6" w:space="0" w:color="231F20"/>
            </w:tcBorders>
          </w:tcPr>
          <w:p w14:paraId="538D4067" w14:textId="77777777" w:rsidR="009948F1" w:rsidRDefault="00BC0563">
            <w:pPr>
              <w:pStyle w:val="TableParagraph"/>
              <w:spacing w:before="75"/>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6CEC9997" w14:textId="77777777" w:rsidR="009948F1" w:rsidRDefault="00BC0563">
            <w:pPr>
              <w:pStyle w:val="TableParagraph"/>
              <w:spacing w:line="137" w:lineRule="exact"/>
              <w:ind w:left="22"/>
              <w:rPr>
                <w:sz w:val="12"/>
              </w:rPr>
            </w:pPr>
            <w:r>
              <w:rPr>
                <w:color w:val="231F20"/>
                <w:sz w:val="12"/>
              </w:rPr>
              <w:t>Train Community Care</w:t>
            </w:r>
          </w:p>
          <w:p w14:paraId="4BCD1E74" w14:textId="77777777" w:rsidR="009948F1" w:rsidRDefault="00BC0563">
            <w:pPr>
              <w:pStyle w:val="TableParagraph"/>
              <w:spacing w:before="17" w:line="124" w:lineRule="exact"/>
              <w:ind w:left="22"/>
              <w:rPr>
                <w:sz w:val="12"/>
              </w:rPr>
            </w:pPr>
            <w:r>
              <w:rPr>
                <w:color w:val="231F20"/>
                <w:sz w:val="12"/>
              </w:rPr>
              <w:t>Givers</w:t>
            </w:r>
          </w:p>
        </w:tc>
      </w:tr>
      <w:tr w:rsidR="009948F1" w14:paraId="77AA76DB" w14:textId="77777777">
        <w:trPr>
          <w:trHeight w:val="286"/>
        </w:trPr>
        <w:tc>
          <w:tcPr>
            <w:tcW w:w="1022" w:type="dxa"/>
            <w:gridSpan w:val="3"/>
            <w:vMerge/>
            <w:tcBorders>
              <w:top w:val="nil"/>
              <w:left w:val="single" w:sz="6" w:space="0" w:color="231F20"/>
              <w:bottom w:val="nil"/>
              <w:right w:val="single" w:sz="6" w:space="0" w:color="231F20"/>
            </w:tcBorders>
          </w:tcPr>
          <w:p w14:paraId="4A69C618"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56E15205" w14:textId="77777777" w:rsidR="009948F1" w:rsidRDefault="00BC0563">
            <w:pPr>
              <w:pStyle w:val="TableParagraph"/>
              <w:spacing w:before="76"/>
              <w:ind w:left="55" w:right="38"/>
              <w:jc w:val="center"/>
              <w:rPr>
                <w:sz w:val="11"/>
              </w:rPr>
            </w:pPr>
            <w:r>
              <w:rPr>
                <w:color w:val="231F20"/>
                <w:sz w:val="11"/>
              </w:rPr>
              <w:t>7.6.3.b</w:t>
            </w:r>
          </w:p>
        </w:tc>
        <w:tc>
          <w:tcPr>
            <w:tcW w:w="4811" w:type="dxa"/>
            <w:gridSpan w:val="2"/>
            <w:tcBorders>
              <w:top w:val="single" w:sz="6" w:space="0" w:color="231F20"/>
              <w:left w:val="single" w:sz="6" w:space="0" w:color="231F20"/>
              <w:bottom w:val="single" w:sz="6" w:space="0" w:color="231F20"/>
              <w:right w:val="single" w:sz="6" w:space="0" w:color="231F20"/>
            </w:tcBorders>
          </w:tcPr>
          <w:p w14:paraId="1D1478B6" w14:textId="77777777" w:rsidR="009948F1" w:rsidRDefault="00BC0563">
            <w:pPr>
              <w:pStyle w:val="TableParagraph"/>
              <w:spacing w:before="72"/>
              <w:ind w:left="18"/>
              <w:rPr>
                <w:rFonts w:ascii="Liberation Sans Narrow"/>
                <w:sz w:val="11"/>
              </w:rPr>
            </w:pPr>
            <w:r>
              <w:rPr>
                <w:rFonts w:ascii="Liberation Sans Narrow"/>
                <w:color w:val="231F20"/>
                <w:sz w:val="11"/>
              </w:rPr>
              <w:t>Train Religious leaders, WDCs, CDCs and VDCs on their roles and responsibilities</w:t>
            </w:r>
          </w:p>
        </w:tc>
        <w:tc>
          <w:tcPr>
            <w:tcW w:w="1402" w:type="dxa"/>
            <w:tcBorders>
              <w:top w:val="single" w:sz="6" w:space="0" w:color="231F20"/>
              <w:left w:val="single" w:sz="6" w:space="0" w:color="231F20"/>
              <w:bottom w:val="single" w:sz="6" w:space="0" w:color="231F20"/>
              <w:right w:val="single" w:sz="6" w:space="0" w:color="231F20"/>
            </w:tcBorders>
          </w:tcPr>
          <w:p w14:paraId="3567B15D" w14:textId="77777777" w:rsidR="009948F1" w:rsidRDefault="00BC0563">
            <w:pPr>
              <w:pStyle w:val="TableParagraph"/>
              <w:spacing w:before="70"/>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660C0F0E" w14:textId="77777777" w:rsidR="009948F1" w:rsidRDefault="00BC0563">
            <w:pPr>
              <w:pStyle w:val="TableParagraph"/>
              <w:spacing w:before="70"/>
              <w:ind w:left="22"/>
              <w:rPr>
                <w:sz w:val="12"/>
              </w:rPr>
            </w:pPr>
            <w:r>
              <w:rPr>
                <w:color w:val="231F20"/>
                <w:sz w:val="12"/>
              </w:rPr>
              <w:t>Train Religious leaders</w:t>
            </w:r>
          </w:p>
        </w:tc>
      </w:tr>
      <w:tr w:rsidR="009948F1" w14:paraId="6D0B1591" w14:textId="77777777">
        <w:trPr>
          <w:trHeight w:val="1153"/>
        </w:trPr>
        <w:tc>
          <w:tcPr>
            <w:tcW w:w="575" w:type="dxa"/>
            <w:gridSpan w:val="2"/>
            <w:tcBorders>
              <w:top w:val="nil"/>
              <w:left w:val="single" w:sz="6" w:space="0" w:color="231F20"/>
              <w:bottom w:val="nil"/>
              <w:right w:val="single" w:sz="6" w:space="0" w:color="231F20"/>
            </w:tcBorders>
          </w:tcPr>
          <w:p w14:paraId="619EA98A" w14:textId="77777777" w:rsidR="009948F1" w:rsidRDefault="009948F1">
            <w:pPr>
              <w:pStyle w:val="TableParagraph"/>
              <w:rPr>
                <w:rFonts w:ascii="Times New Roman"/>
                <w:sz w:val="10"/>
              </w:rPr>
            </w:pPr>
          </w:p>
        </w:tc>
        <w:tc>
          <w:tcPr>
            <w:tcW w:w="447" w:type="dxa"/>
            <w:tcBorders>
              <w:top w:val="single" w:sz="6" w:space="0" w:color="231F20"/>
              <w:left w:val="single" w:sz="6" w:space="0" w:color="231F20"/>
              <w:bottom w:val="single" w:sz="6" w:space="0" w:color="231F20"/>
              <w:right w:val="single" w:sz="6" w:space="0" w:color="231F20"/>
            </w:tcBorders>
            <w:shd w:val="clear" w:color="auto" w:fill="CCE7D3"/>
          </w:tcPr>
          <w:p w14:paraId="1EDB0840" w14:textId="77777777" w:rsidR="009948F1" w:rsidRDefault="009948F1">
            <w:pPr>
              <w:pStyle w:val="TableParagraph"/>
              <w:rPr>
                <w:sz w:val="12"/>
              </w:rPr>
            </w:pPr>
          </w:p>
          <w:p w14:paraId="53D82F0E" w14:textId="77777777" w:rsidR="009948F1" w:rsidRDefault="009948F1">
            <w:pPr>
              <w:pStyle w:val="TableParagraph"/>
              <w:rPr>
                <w:sz w:val="12"/>
              </w:rPr>
            </w:pPr>
          </w:p>
          <w:p w14:paraId="27920195" w14:textId="77777777" w:rsidR="009948F1" w:rsidRDefault="009948F1">
            <w:pPr>
              <w:pStyle w:val="TableParagraph"/>
              <w:rPr>
                <w:sz w:val="12"/>
              </w:rPr>
            </w:pPr>
          </w:p>
          <w:p w14:paraId="27536E46" w14:textId="77777777" w:rsidR="009948F1" w:rsidRDefault="00BC0563">
            <w:pPr>
              <w:pStyle w:val="TableParagraph"/>
              <w:spacing w:before="90"/>
              <w:ind w:left="32" w:right="93"/>
              <w:jc w:val="center"/>
              <w:rPr>
                <w:sz w:val="12"/>
              </w:rPr>
            </w:pPr>
            <w:r>
              <w:rPr>
                <w:color w:val="231F20"/>
                <w:sz w:val="12"/>
              </w:rPr>
              <w:t>7.6.4</w:t>
            </w:r>
          </w:p>
        </w:tc>
        <w:tc>
          <w:tcPr>
            <w:tcW w:w="2985" w:type="dxa"/>
            <w:gridSpan w:val="2"/>
            <w:tcBorders>
              <w:top w:val="single" w:sz="6" w:space="0" w:color="231F20"/>
              <w:left w:val="single" w:sz="6" w:space="0" w:color="231F20"/>
              <w:bottom w:val="single" w:sz="6" w:space="0" w:color="231F20"/>
              <w:right w:val="single" w:sz="6" w:space="0" w:color="231F20"/>
            </w:tcBorders>
            <w:shd w:val="clear" w:color="auto" w:fill="CCE7D3"/>
          </w:tcPr>
          <w:p w14:paraId="46BA2F4C" w14:textId="77777777" w:rsidR="009948F1" w:rsidRDefault="009948F1">
            <w:pPr>
              <w:pStyle w:val="TableParagraph"/>
              <w:rPr>
                <w:sz w:val="12"/>
              </w:rPr>
            </w:pPr>
          </w:p>
          <w:p w14:paraId="6FB55577" w14:textId="77777777" w:rsidR="009948F1" w:rsidRDefault="009948F1">
            <w:pPr>
              <w:pStyle w:val="TableParagraph"/>
              <w:rPr>
                <w:sz w:val="12"/>
              </w:rPr>
            </w:pPr>
          </w:p>
          <w:p w14:paraId="1A9CB4C9" w14:textId="77777777" w:rsidR="009948F1" w:rsidRDefault="009948F1">
            <w:pPr>
              <w:pStyle w:val="TableParagraph"/>
              <w:rPr>
                <w:sz w:val="12"/>
              </w:rPr>
            </w:pPr>
          </w:p>
          <w:p w14:paraId="08D054EB" w14:textId="77777777" w:rsidR="009948F1" w:rsidRDefault="00BC0563">
            <w:pPr>
              <w:pStyle w:val="TableParagraph"/>
              <w:spacing w:before="85"/>
              <w:ind w:left="54"/>
              <w:rPr>
                <w:sz w:val="12"/>
              </w:rPr>
            </w:pPr>
            <w:r>
              <w:rPr>
                <w:color w:val="231F20"/>
                <w:sz w:val="12"/>
              </w:rPr>
              <w:t>Promote appropriate disposal of dead bodies</w:t>
            </w:r>
          </w:p>
        </w:tc>
        <w:tc>
          <w:tcPr>
            <w:tcW w:w="2343" w:type="dxa"/>
            <w:tcBorders>
              <w:top w:val="single" w:sz="6" w:space="0" w:color="231F20"/>
              <w:left w:val="single" w:sz="6" w:space="0" w:color="231F20"/>
              <w:bottom w:val="single" w:sz="6" w:space="0" w:color="231F20"/>
              <w:right w:val="single" w:sz="6" w:space="0" w:color="231F20"/>
            </w:tcBorders>
            <w:shd w:val="clear" w:color="auto" w:fill="CCE7D3"/>
          </w:tcPr>
          <w:p w14:paraId="3B56834E" w14:textId="77777777" w:rsidR="009948F1" w:rsidRDefault="00BC0563">
            <w:pPr>
              <w:pStyle w:val="TableParagraph"/>
              <w:numPr>
                <w:ilvl w:val="0"/>
                <w:numId w:val="100"/>
              </w:numPr>
              <w:tabs>
                <w:tab w:val="left" w:pos="96"/>
              </w:tabs>
              <w:spacing w:before="38" w:line="271" w:lineRule="auto"/>
              <w:ind w:right="66" w:firstLine="0"/>
              <w:jc w:val="both"/>
              <w:rPr>
                <w:sz w:val="12"/>
              </w:rPr>
            </w:pPr>
            <w:r>
              <w:rPr>
                <w:color w:val="231F20"/>
                <w:sz w:val="12"/>
              </w:rPr>
              <w:t>Health</w:t>
            </w:r>
            <w:r>
              <w:rPr>
                <w:color w:val="231F20"/>
                <w:spacing w:val="-12"/>
                <w:sz w:val="12"/>
              </w:rPr>
              <w:t xml:space="preserve"> </w:t>
            </w:r>
            <w:r>
              <w:rPr>
                <w:color w:val="231F20"/>
                <w:sz w:val="12"/>
              </w:rPr>
              <w:t>workers</w:t>
            </w:r>
            <w:r>
              <w:rPr>
                <w:color w:val="231F20"/>
                <w:spacing w:val="-12"/>
                <w:sz w:val="12"/>
              </w:rPr>
              <w:t xml:space="preserve"> </w:t>
            </w:r>
            <w:r>
              <w:rPr>
                <w:color w:val="231F20"/>
                <w:sz w:val="12"/>
              </w:rPr>
              <w:t>in</w:t>
            </w:r>
            <w:r>
              <w:rPr>
                <w:color w:val="231F20"/>
                <w:spacing w:val="-11"/>
                <w:sz w:val="12"/>
              </w:rPr>
              <w:t xml:space="preserve"> </w:t>
            </w:r>
            <w:r>
              <w:rPr>
                <w:color w:val="231F20"/>
                <w:sz w:val="12"/>
              </w:rPr>
              <w:t>Primary</w:t>
            </w:r>
            <w:r>
              <w:rPr>
                <w:color w:val="231F20"/>
                <w:spacing w:val="-12"/>
                <w:sz w:val="12"/>
              </w:rPr>
              <w:t xml:space="preserve"> </w:t>
            </w:r>
            <w:r>
              <w:rPr>
                <w:color w:val="231F20"/>
                <w:sz w:val="12"/>
              </w:rPr>
              <w:t>and</w:t>
            </w:r>
            <w:r>
              <w:rPr>
                <w:color w:val="231F20"/>
                <w:spacing w:val="-11"/>
                <w:sz w:val="12"/>
              </w:rPr>
              <w:t xml:space="preserve"> </w:t>
            </w:r>
            <w:r>
              <w:rPr>
                <w:color w:val="231F20"/>
                <w:sz w:val="12"/>
              </w:rPr>
              <w:t>Secondary facilities</w:t>
            </w:r>
            <w:r>
              <w:rPr>
                <w:color w:val="231F20"/>
                <w:spacing w:val="-14"/>
                <w:sz w:val="12"/>
              </w:rPr>
              <w:t xml:space="preserve"> </w:t>
            </w:r>
            <w:r>
              <w:rPr>
                <w:color w:val="231F20"/>
                <w:sz w:val="12"/>
              </w:rPr>
              <w:t>trained</w:t>
            </w:r>
            <w:r>
              <w:rPr>
                <w:color w:val="231F20"/>
                <w:spacing w:val="-13"/>
                <w:sz w:val="12"/>
              </w:rPr>
              <w:t xml:space="preserve"> </w:t>
            </w:r>
            <w:r>
              <w:rPr>
                <w:color w:val="231F20"/>
                <w:sz w:val="12"/>
              </w:rPr>
              <w:t>on</w:t>
            </w:r>
            <w:r>
              <w:rPr>
                <w:color w:val="231F20"/>
                <w:spacing w:val="-13"/>
                <w:sz w:val="12"/>
              </w:rPr>
              <w:t xml:space="preserve"> </w:t>
            </w:r>
            <w:r>
              <w:rPr>
                <w:color w:val="231F20"/>
                <w:sz w:val="12"/>
              </w:rPr>
              <w:t>infection</w:t>
            </w:r>
            <w:r>
              <w:rPr>
                <w:color w:val="231F20"/>
                <w:spacing w:val="-14"/>
                <w:sz w:val="12"/>
              </w:rPr>
              <w:t xml:space="preserve"> </w:t>
            </w:r>
            <w:r>
              <w:rPr>
                <w:color w:val="231F20"/>
                <w:sz w:val="12"/>
              </w:rPr>
              <w:t>prevention</w:t>
            </w:r>
            <w:r>
              <w:rPr>
                <w:color w:val="231F20"/>
                <w:spacing w:val="-13"/>
                <w:sz w:val="12"/>
              </w:rPr>
              <w:t xml:space="preserve"> </w:t>
            </w:r>
            <w:r>
              <w:rPr>
                <w:color w:val="231F20"/>
                <w:sz w:val="12"/>
              </w:rPr>
              <w:t>and control</w:t>
            </w:r>
          </w:p>
          <w:p w14:paraId="00F80934" w14:textId="77777777" w:rsidR="009948F1" w:rsidRDefault="00BC0563">
            <w:pPr>
              <w:pStyle w:val="TableParagraph"/>
              <w:numPr>
                <w:ilvl w:val="0"/>
                <w:numId w:val="100"/>
              </w:numPr>
              <w:tabs>
                <w:tab w:val="left" w:pos="64"/>
              </w:tabs>
              <w:spacing w:line="271" w:lineRule="auto"/>
              <w:ind w:right="19" w:firstLine="0"/>
              <w:jc w:val="both"/>
              <w:rPr>
                <w:sz w:val="12"/>
              </w:rPr>
            </w:pPr>
            <w:r>
              <w:rPr>
                <w:color w:val="231F20"/>
                <w:sz w:val="12"/>
              </w:rPr>
              <w:t>Personnel</w:t>
            </w:r>
            <w:r>
              <w:rPr>
                <w:color w:val="231F20"/>
                <w:spacing w:val="-15"/>
                <w:sz w:val="12"/>
              </w:rPr>
              <w:t xml:space="preserve"> </w:t>
            </w:r>
            <w:r>
              <w:rPr>
                <w:color w:val="231F20"/>
                <w:sz w:val="12"/>
              </w:rPr>
              <w:t>protective</w:t>
            </w:r>
            <w:r>
              <w:rPr>
                <w:color w:val="231F20"/>
                <w:spacing w:val="-14"/>
                <w:sz w:val="12"/>
              </w:rPr>
              <w:t xml:space="preserve"> </w:t>
            </w:r>
            <w:r>
              <w:rPr>
                <w:color w:val="231F20"/>
                <w:sz w:val="12"/>
              </w:rPr>
              <w:t>equipment</w:t>
            </w:r>
            <w:r>
              <w:rPr>
                <w:color w:val="231F20"/>
                <w:spacing w:val="-15"/>
                <w:sz w:val="12"/>
              </w:rPr>
              <w:t xml:space="preserve"> </w:t>
            </w:r>
            <w:r>
              <w:rPr>
                <w:color w:val="231F20"/>
                <w:sz w:val="12"/>
              </w:rPr>
              <w:t>procured</w:t>
            </w:r>
            <w:r>
              <w:rPr>
                <w:color w:val="231F20"/>
                <w:spacing w:val="-14"/>
                <w:sz w:val="12"/>
              </w:rPr>
              <w:t xml:space="preserve"> </w:t>
            </w:r>
            <w:r>
              <w:rPr>
                <w:color w:val="231F20"/>
                <w:spacing w:val="-15"/>
                <w:sz w:val="12"/>
              </w:rPr>
              <w:t xml:space="preserve">&amp; </w:t>
            </w:r>
            <w:r>
              <w:rPr>
                <w:color w:val="231F20"/>
                <w:sz w:val="12"/>
              </w:rPr>
              <w:t>distributed</w:t>
            </w:r>
          </w:p>
          <w:p w14:paraId="4685B667" w14:textId="77777777" w:rsidR="009948F1" w:rsidRDefault="00BC0563">
            <w:pPr>
              <w:pStyle w:val="TableParagraph"/>
              <w:numPr>
                <w:ilvl w:val="0"/>
                <w:numId w:val="100"/>
              </w:numPr>
              <w:tabs>
                <w:tab w:val="left" w:pos="96"/>
              </w:tabs>
              <w:spacing w:line="271" w:lineRule="auto"/>
              <w:ind w:right="187" w:firstLine="0"/>
              <w:jc w:val="both"/>
              <w:rPr>
                <w:sz w:val="12"/>
              </w:rPr>
            </w:pPr>
            <w:r>
              <w:rPr>
                <w:color w:val="231F20"/>
                <w:sz w:val="12"/>
              </w:rPr>
              <w:t>Mortuary</w:t>
            </w:r>
            <w:r>
              <w:rPr>
                <w:color w:val="231F20"/>
                <w:spacing w:val="-21"/>
                <w:sz w:val="12"/>
              </w:rPr>
              <w:t xml:space="preserve"> </w:t>
            </w:r>
            <w:r>
              <w:rPr>
                <w:color w:val="231F20"/>
                <w:sz w:val="12"/>
              </w:rPr>
              <w:t>attendants</w:t>
            </w:r>
            <w:r>
              <w:rPr>
                <w:color w:val="231F20"/>
                <w:spacing w:val="-21"/>
                <w:sz w:val="12"/>
              </w:rPr>
              <w:t xml:space="preserve"> </w:t>
            </w:r>
            <w:r>
              <w:rPr>
                <w:color w:val="231F20"/>
                <w:sz w:val="12"/>
              </w:rPr>
              <w:t>and</w:t>
            </w:r>
            <w:r>
              <w:rPr>
                <w:color w:val="231F20"/>
                <w:spacing w:val="-21"/>
                <w:sz w:val="12"/>
              </w:rPr>
              <w:t xml:space="preserve"> </w:t>
            </w:r>
            <w:r>
              <w:rPr>
                <w:color w:val="231F20"/>
                <w:sz w:val="12"/>
              </w:rPr>
              <w:t>Environmental Health Officers (EHOs)</w:t>
            </w:r>
            <w:r>
              <w:rPr>
                <w:color w:val="231F20"/>
                <w:spacing w:val="-11"/>
                <w:sz w:val="12"/>
              </w:rPr>
              <w:t xml:space="preserve"> </w:t>
            </w:r>
            <w:r>
              <w:rPr>
                <w:color w:val="231F20"/>
                <w:sz w:val="12"/>
              </w:rPr>
              <w:t>trained</w:t>
            </w:r>
          </w:p>
        </w:tc>
        <w:tc>
          <w:tcPr>
            <w:tcW w:w="1402" w:type="dxa"/>
            <w:tcBorders>
              <w:top w:val="single" w:sz="6" w:space="0" w:color="231F20"/>
              <w:left w:val="single" w:sz="6" w:space="0" w:color="231F20"/>
              <w:bottom w:val="single" w:sz="6" w:space="0" w:color="231F20"/>
              <w:right w:val="single" w:sz="6" w:space="0" w:color="231F20"/>
            </w:tcBorders>
            <w:shd w:val="clear" w:color="auto" w:fill="CCE7D3"/>
          </w:tcPr>
          <w:p w14:paraId="12B37533" w14:textId="77777777" w:rsidR="009948F1" w:rsidRDefault="009948F1">
            <w:pPr>
              <w:pStyle w:val="TableParagraph"/>
              <w:rPr>
                <w:rFonts w:ascii="Times New Roman"/>
                <w:sz w:val="10"/>
              </w:rPr>
            </w:pPr>
          </w:p>
        </w:tc>
        <w:tc>
          <w:tcPr>
            <w:tcW w:w="1479" w:type="dxa"/>
            <w:tcBorders>
              <w:top w:val="single" w:sz="6" w:space="0" w:color="231F20"/>
              <w:left w:val="single" w:sz="6" w:space="0" w:color="231F20"/>
              <w:bottom w:val="single" w:sz="6" w:space="0" w:color="231F20"/>
              <w:right w:val="single" w:sz="6" w:space="0" w:color="231F20"/>
            </w:tcBorders>
            <w:shd w:val="clear" w:color="auto" w:fill="CCE7D3"/>
          </w:tcPr>
          <w:p w14:paraId="09A3D410" w14:textId="77777777" w:rsidR="009948F1" w:rsidRDefault="009948F1">
            <w:pPr>
              <w:pStyle w:val="TableParagraph"/>
              <w:rPr>
                <w:rFonts w:ascii="Times New Roman"/>
                <w:sz w:val="10"/>
              </w:rPr>
            </w:pPr>
          </w:p>
        </w:tc>
      </w:tr>
      <w:tr w:rsidR="009948F1" w14:paraId="38793B25" w14:textId="77777777">
        <w:trPr>
          <w:trHeight w:val="298"/>
        </w:trPr>
        <w:tc>
          <w:tcPr>
            <w:tcW w:w="1022" w:type="dxa"/>
            <w:gridSpan w:val="3"/>
            <w:vMerge w:val="restart"/>
            <w:tcBorders>
              <w:top w:val="nil"/>
              <w:left w:val="single" w:sz="6" w:space="0" w:color="231F20"/>
              <w:bottom w:val="single" w:sz="6" w:space="0" w:color="231F20"/>
              <w:right w:val="single" w:sz="6" w:space="0" w:color="231F20"/>
            </w:tcBorders>
          </w:tcPr>
          <w:p w14:paraId="5D475EE0" w14:textId="77777777" w:rsidR="009948F1" w:rsidRDefault="009948F1">
            <w:pPr>
              <w:pStyle w:val="TableParagraph"/>
              <w:rPr>
                <w:rFonts w:ascii="Times New Roman"/>
                <w:sz w:val="10"/>
              </w:rPr>
            </w:pPr>
          </w:p>
        </w:tc>
        <w:tc>
          <w:tcPr>
            <w:tcW w:w="517" w:type="dxa"/>
            <w:tcBorders>
              <w:top w:val="single" w:sz="6" w:space="0" w:color="231F20"/>
              <w:left w:val="single" w:sz="6" w:space="0" w:color="231F20"/>
              <w:bottom w:val="single" w:sz="6" w:space="0" w:color="231F20"/>
              <w:right w:val="single" w:sz="6" w:space="0" w:color="231F20"/>
            </w:tcBorders>
          </w:tcPr>
          <w:p w14:paraId="160F9351" w14:textId="77777777" w:rsidR="009948F1" w:rsidRDefault="00BC0563">
            <w:pPr>
              <w:pStyle w:val="TableParagraph"/>
              <w:spacing w:before="75"/>
              <w:ind w:left="55" w:right="40"/>
              <w:jc w:val="center"/>
              <w:rPr>
                <w:sz w:val="12"/>
              </w:rPr>
            </w:pPr>
            <w:r>
              <w:rPr>
                <w:color w:val="231F20"/>
                <w:sz w:val="12"/>
              </w:rPr>
              <w:t>7.6.4.a</w:t>
            </w:r>
          </w:p>
        </w:tc>
        <w:tc>
          <w:tcPr>
            <w:tcW w:w="4811" w:type="dxa"/>
            <w:gridSpan w:val="2"/>
            <w:tcBorders>
              <w:top w:val="single" w:sz="6" w:space="0" w:color="231F20"/>
              <w:left w:val="single" w:sz="6" w:space="0" w:color="231F20"/>
              <w:bottom w:val="single" w:sz="6" w:space="0" w:color="231F20"/>
              <w:right w:val="single" w:sz="6" w:space="0" w:color="231F20"/>
            </w:tcBorders>
          </w:tcPr>
          <w:p w14:paraId="6E933907" w14:textId="77777777" w:rsidR="009948F1" w:rsidRDefault="00BC0563">
            <w:pPr>
              <w:pStyle w:val="TableParagraph"/>
              <w:spacing w:line="135" w:lineRule="exact"/>
              <w:ind w:left="21"/>
              <w:rPr>
                <w:sz w:val="12"/>
              </w:rPr>
            </w:pPr>
            <w:r>
              <w:rPr>
                <w:color w:val="231F20"/>
                <w:sz w:val="12"/>
              </w:rPr>
              <w:t>Advocacy for PPP collaboration in provision of mortuary services at primary &amp; secondary</w:t>
            </w:r>
          </w:p>
          <w:p w14:paraId="20FFC100" w14:textId="77777777" w:rsidR="009948F1" w:rsidRDefault="00BC0563">
            <w:pPr>
              <w:pStyle w:val="TableParagraph"/>
              <w:spacing w:before="17" w:line="126" w:lineRule="exact"/>
              <w:ind w:left="21"/>
              <w:rPr>
                <w:sz w:val="12"/>
              </w:rPr>
            </w:pPr>
            <w:r>
              <w:rPr>
                <w:color w:val="231F20"/>
                <w:sz w:val="12"/>
              </w:rPr>
              <w:t>levels</w:t>
            </w:r>
          </w:p>
        </w:tc>
        <w:tc>
          <w:tcPr>
            <w:tcW w:w="1402" w:type="dxa"/>
            <w:tcBorders>
              <w:top w:val="single" w:sz="6" w:space="0" w:color="231F20"/>
              <w:left w:val="single" w:sz="6" w:space="0" w:color="231F20"/>
              <w:bottom w:val="single" w:sz="6" w:space="0" w:color="231F20"/>
              <w:right w:val="single" w:sz="6" w:space="0" w:color="231F20"/>
            </w:tcBorders>
          </w:tcPr>
          <w:p w14:paraId="0E9BCF6E" w14:textId="77777777" w:rsidR="009948F1" w:rsidRDefault="00BC0563">
            <w:pPr>
              <w:pStyle w:val="TableParagraph"/>
              <w:spacing w:before="75"/>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0A716BCE" w14:textId="77777777" w:rsidR="009948F1" w:rsidRDefault="00BC0563">
            <w:pPr>
              <w:pStyle w:val="TableParagraph"/>
              <w:spacing w:line="137" w:lineRule="exact"/>
              <w:ind w:left="22"/>
              <w:rPr>
                <w:sz w:val="12"/>
              </w:rPr>
            </w:pPr>
            <w:r>
              <w:rPr>
                <w:color w:val="231F20"/>
                <w:sz w:val="12"/>
              </w:rPr>
              <w:t>Advocacy for PPP</w:t>
            </w:r>
          </w:p>
          <w:p w14:paraId="3C418432" w14:textId="64C39F03" w:rsidR="009948F1" w:rsidRDefault="00A93E69">
            <w:pPr>
              <w:pStyle w:val="TableParagraph"/>
              <w:spacing w:before="17" w:line="124" w:lineRule="exact"/>
              <w:ind w:left="22"/>
              <w:rPr>
                <w:sz w:val="12"/>
              </w:rPr>
            </w:pPr>
            <w:r>
              <w:rPr>
                <w:color w:val="231F20"/>
                <w:sz w:val="12"/>
              </w:rPr>
              <w:t>collaboration</w:t>
            </w:r>
          </w:p>
        </w:tc>
      </w:tr>
      <w:tr w:rsidR="009948F1" w14:paraId="72C01C69" w14:textId="77777777">
        <w:trPr>
          <w:trHeight w:val="286"/>
        </w:trPr>
        <w:tc>
          <w:tcPr>
            <w:tcW w:w="1022" w:type="dxa"/>
            <w:gridSpan w:val="3"/>
            <w:vMerge/>
            <w:tcBorders>
              <w:top w:val="nil"/>
              <w:left w:val="single" w:sz="6" w:space="0" w:color="231F20"/>
              <w:bottom w:val="single" w:sz="6" w:space="0" w:color="231F20"/>
              <w:right w:val="single" w:sz="6" w:space="0" w:color="231F20"/>
            </w:tcBorders>
          </w:tcPr>
          <w:p w14:paraId="1DDED123"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0809E543" w14:textId="77777777" w:rsidR="009948F1" w:rsidRDefault="00BC0563">
            <w:pPr>
              <w:pStyle w:val="TableParagraph"/>
              <w:spacing w:before="70"/>
              <w:ind w:left="55" w:right="40"/>
              <w:jc w:val="center"/>
              <w:rPr>
                <w:sz w:val="12"/>
              </w:rPr>
            </w:pPr>
            <w:r>
              <w:rPr>
                <w:color w:val="231F20"/>
                <w:sz w:val="12"/>
              </w:rPr>
              <w:t>7.6.4.b</w:t>
            </w:r>
          </w:p>
        </w:tc>
        <w:tc>
          <w:tcPr>
            <w:tcW w:w="4811" w:type="dxa"/>
            <w:gridSpan w:val="2"/>
            <w:tcBorders>
              <w:top w:val="single" w:sz="6" w:space="0" w:color="231F20"/>
              <w:left w:val="single" w:sz="6" w:space="0" w:color="231F20"/>
              <w:bottom w:val="single" w:sz="6" w:space="0" w:color="231F20"/>
              <w:right w:val="single" w:sz="6" w:space="0" w:color="231F20"/>
            </w:tcBorders>
          </w:tcPr>
          <w:p w14:paraId="7EAD01FE" w14:textId="77777777" w:rsidR="009948F1" w:rsidRDefault="00BC0563">
            <w:pPr>
              <w:pStyle w:val="TableParagraph"/>
              <w:spacing w:line="135" w:lineRule="exact"/>
              <w:ind w:left="21"/>
              <w:rPr>
                <w:sz w:val="12"/>
              </w:rPr>
            </w:pPr>
            <w:r>
              <w:rPr>
                <w:color w:val="231F20"/>
                <w:sz w:val="12"/>
              </w:rPr>
              <w:t>Training</w:t>
            </w:r>
            <w:r>
              <w:rPr>
                <w:color w:val="231F20"/>
                <w:spacing w:val="-10"/>
                <w:sz w:val="12"/>
              </w:rPr>
              <w:t xml:space="preserve"> </w:t>
            </w:r>
            <w:r>
              <w:rPr>
                <w:color w:val="231F20"/>
                <w:sz w:val="12"/>
              </w:rPr>
              <w:t>on</w:t>
            </w:r>
            <w:r>
              <w:rPr>
                <w:color w:val="231F20"/>
                <w:spacing w:val="-9"/>
                <w:sz w:val="12"/>
              </w:rPr>
              <w:t xml:space="preserve"> </w:t>
            </w:r>
            <w:r>
              <w:rPr>
                <w:color w:val="231F20"/>
                <w:sz w:val="12"/>
              </w:rPr>
              <w:t>infection</w:t>
            </w:r>
            <w:r>
              <w:rPr>
                <w:color w:val="231F20"/>
                <w:spacing w:val="-9"/>
                <w:sz w:val="12"/>
              </w:rPr>
              <w:t xml:space="preserve"> </w:t>
            </w:r>
            <w:r>
              <w:rPr>
                <w:color w:val="231F20"/>
                <w:sz w:val="12"/>
              </w:rPr>
              <w:t>prevention</w:t>
            </w:r>
            <w:r>
              <w:rPr>
                <w:color w:val="231F20"/>
                <w:spacing w:val="-9"/>
                <w:sz w:val="12"/>
              </w:rPr>
              <w:t xml:space="preserve"> </w:t>
            </w:r>
            <w:r>
              <w:rPr>
                <w:color w:val="231F20"/>
                <w:sz w:val="12"/>
              </w:rPr>
              <w:t>and</w:t>
            </w:r>
            <w:r>
              <w:rPr>
                <w:color w:val="231F20"/>
                <w:spacing w:val="-9"/>
                <w:sz w:val="12"/>
              </w:rPr>
              <w:t xml:space="preserve"> </w:t>
            </w:r>
            <w:r>
              <w:rPr>
                <w:color w:val="231F20"/>
                <w:sz w:val="12"/>
              </w:rPr>
              <w:t>control</w:t>
            </w:r>
            <w:r>
              <w:rPr>
                <w:color w:val="231F20"/>
                <w:spacing w:val="-9"/>
                <w:sz w:val="12"/>
              </w:rPr>
              <w:t xml:space="preserve"> </w:t>
            </w:r>
            <w:r>
              <w:rPr>
                <w:color w:val="231F20"/>
                <w:sz w:val="12"/>
              </w:rPr>
              <w:t>of</w:t>
            </w:r>
            <w:r>
              <w:rPr>
                <w:color w:val="231F20"/>
                <w:spacing w:val="-9"/>
                <w:sz w:val="12"/>
              </w:rPr>
              <w:t xml:space="preserve"> </w:t>
            </w:r>
            <w:r>
              <w:rPr>
                <w:color w:val="231F20"/>
                <w:sz w:val="12"/>
              </w:rPr>
              <w:t>all</w:t>
            </w:r>
            <w:r>
              <w:rPr>
                <w:color w:val="231F20"/>
                <w:spacing w:val="-10"/>
                <w:sz w:val="12"/>
              </w:rPr>
              <w:t xml:space="preserve"> </w:t>
            </w:r>
            <w:r>
              <w:rPr>
                <w:color w:val="231F20"/>
                <w:sz w:val="12"/>
              </w:rPr>
              <w:t>health</w:t>
            </w:r>
            <w:r>
              <w:rPr>
                <w:color w:val="231F20"/>
                <w:spacing w:val="-9"/>
                <w:sz w:val="12"/>
              </w:rPr>
              <w:t xml:space="preserve"> </w:t>
            </w:r>
            <w:r>
              <w:rPr>
                <w:color w:val="231F20"/>
                <w:sz w:val="12"/>
              </w:rPr>
              <w:t>workers</w:t>
            </w:r>
            <w:r>
              <w:rPr>
                <w:color w:val="231F20"/>
                <w:spacing w:val="-9"/>
                <w:sz w:val="12"/>
              </w:rPr>
              <w:t xml:space="preserve"> </w:t>
            </w:r>
            <w:r>
              <w:rPr>
                <w:color w:val="231F20"/>
                <w:sz w:val="12"/>
              </w:rPr>
              <w:t>in</w:t>
            </w:r>
            <w:r>
              <w:rPr>
                <w:color w:val="231F20"/>
                <w:spacing w:val="-9"/>
                <w:sz w:val="12"/>
              </w:rPr>
              <w:t xml:space="preserve"> </w:t>
            </w:r>
            <w:r>
              <w:rPr>
                <w:color w:val="231F20"/>
                <w:sz w:val="12"/>
              </w:rPr>
              <w:t>Primary</w:t>
            </w:r>
            <w:r>
              <w:rPr>
                <w:color w:val="231F20"/>
                <w:spacing w:val="-9"/>
                <w:sz w:val="12"/>
              </w:rPr>
              <w:t xml:space="preserve"> </w:t>
            </w:r>
            <w:r>
              <w:rPr>
                <w:color w:val="231F20"/>
                <w:sz w:val="12"/>
              </w:rPr>
              <w:t>and</w:t>
            </w:r>
            <w:r>
              <w:rPr>
                <w:color w:val="231F20"/>
                <w:spacing w:val="-9"/>
                <w:sz w:val="12"/>
              </w:rPr>
              <w:t xml:space="preserve"> </w:t>
            </w:r>
            <w:r>
              <w:rPr>
                <w:color w:val="231F20"/>
                <w:sz w:val="12"/>
              </w:rPr>
              <w:t>Secondary</w:t>
            </w:r>
          </w:p>
          <w:p w14:paraId="4E32787D" w14:textId="77777777" w:rsidR="009948F1" w:rsidRDefault="00BC0563">
            <w:pPr>
              <w:pStyle w:val="TableParagraph"/>
              <w:spacing w:before="17" w:line="114" w:lineRule="exact"/>
              <w:ind w:left="21"/>
              <w:rPr>
                <w:sz w:val="12"/>
              </w:rPr>
            </w:pPr>
            <w:r>
              <w:rPr>
                <w:color w:val="231F20"/>
                <w:sz w:val="12"/>
              </w:rPr>
              <w:t>facilities</w:t>
            </w:r>
          </w:p>
        </w:tc>
        <w:tc>
          <w:tcPr>
            <w:tcW w:w="1402" w:type="dxa"/>
            <w:tcBorders>
              <w:top w:val="single" w:sz="6" w:space="0" w:color="231F20"/>
              <w:left w:val="single" w:sz="6" w:space="0" w:color="231F20"/>
              <w:bottom w:val="single" w:sz="6" w:space="0" w:color="231F20"/>
              <w:right w:val="single" w:sz="6" w:space="0" w:color="231F20"/>
            </w:tcBorders>
          </w:tcPr>
          <w:p w14:paraId="01454023" w14:textId="77777777" w:rsidR="009948F1" w:rsidRDefault="00BC0563">
            <w:pPr>
              <w:pStyle w:val="TableParagraph"/>
              <w:spacing w:before="70"/>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58BA2155" w14:textId="77777777" w:rsidR="009948F1" w:rsidRDefault="00BC0563">
            <w:pPr>
              <w:pStyle w:val="TableParagraph"/>
              <w:spacing w:line="135" w:lineRule="exact"/>
              <w:ind w:left="22"/>
              <w:rPr>
                <w:sz w:val="12"/>
              </w:rPr>
            </w:pPr>
            <w:r>
              <w:rPr>
                <w:color w:val="231F20"/>
                <w:sz w:val="12"/>
              </w:rPr>
              <w:t>Training on infection</w:t>
            </w:r>
          </w:p>
          <w:p w14:paraId="779D9092" w14:textId="77777777" w:rsidR="009948F1" w:rsidRDefault="00BC0563">
            <w:pPr>
              <w:pStyle w:val="TableParagraph"/>
              <w:spacing w:before="17" w:line="114" w:lineRule="exact"/>
              <w:ind w:left="22"/>
              <w:rPr>
                <w:sz w:val="12"/>
              </w:rPr>
            </w:pPr>
            <w:r>
              <w:rPr>
                <w:color w:val="231F20"/>
                <w:sz w:val="12"/>
              </w:rPr>
              <w:t>prevention</w:t>
            </w:r>
          </w:p>
        </w:tc>
      </w:tr>
      <w:tr w:rsidR="009948F1" w14:paraId="2C4EA6CA" w14:textId="77777777">
        <w:trPr>
          <w:trHeight w:val="302"/>
        </w:trPr>
        <w:tc>
          <w:tcPr>
            <w:tcW w:w="1022" w:type="dxa"/>
            <w:gridSpan w:val="3"/>
            <w:vMerge/>
            <w:tcBorders>
              <w:top w:val="nil"/>
              <w:left w:val="single" w:sz="6" w:space="0" w:color="231F20"/>
              <w:bottom w:val="single" w:sz="6" w:space="0" w:color="231F20"/>
              <w:right w:val="single" w:sz="6" w:space="0" w:color="231F20"/>
            </w:tcBorders>
          </w:tcPr>
          <w:p w14:paraId="4F0ECD39"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05E3DEE6" w14:textId="77777777" w:rsidR="009948F1" w:rsidRDefault="00BC0563">
            <w:pPr>
              <w:pStyle w:val="TableParagraph"/>
              <w:spacing w:before="78"/>
              <w:ind w:left="55" w:right="40"/>
              <w:jc w:val="center"/>
              <w:rPr>
                <w:sz w:val="12"/>
              </w:rPr>
            </w:pPr>
            <w:r>
              <w:rPr>
                <w:color w:val="231F20"/>
                <w:sz w:val="12"/>
              </w:rPr>
              <w:t>7.6.4.c</w:t>
            </w:r>
          </w:p>
        </w:tc>
        <w:tc>
          <w:tcPr>
            <w:tcW w:w="4811" w:type="dxa"/>
            <w:gridSpan w:val="2"/>
            <w:tcBorders>
              <w:top w:val="single" w:sz="6" w:space="0" w:color="231F20"/>
              <w:left w:val="single" w:sz="6" w:space="0" w:color="231F20"/>
              <w:bottom w:val="single" w:sz="6" w:space="0" w:color="231F20"/>
              <w:right w:val="single" w:sz="6" w:space="0" w:color="231F20"/>
            </w:tcBorders>
          </w:tcPr>
          <w:p w14:paraId="11EAD335" w14:textId="77777777" w:rsidR="009948F1" w:rsidRDefault="00BC0563">
            <w:pPr>
              <w:pStyle w:val="TableParagraph"/>
              <w:spacing w:before="73"/>
              <w:ind w:left="21"/>
              <w:rPr>
                <w:sz w:val="12"/>
              </w:rPr>
            </w:pPr>
            <w:r>
              <w:rPr>
                <w:color w:val="231F20"/>
                <w:sz w:val="12"/>
              </w:rPr>
              <w:t>Procure and distribute personnel protective equipment</w:t>
            </w:r>
          </w:p>
        </w:tc>
        <w:tc>
          <w:tcPr>
            <w:tcW w:w="1402" w:type="dxa"/>
            <w:tcBorders>
              <w:top w:val="single" w:sz="6" w:space="0" w:color="231F20"/>
              <w:left w:val="single" w:sz="6" w:space="0" w:color="231F20"/>
              <w:bottom w:val="single" w:sz="6" w:space="0" w:color="231F20"/>
              <w:right w:val="single" w:sz="6" w:space="0" w:color="231F20"/>
            </w:tcBorders>
          </w:tcPr>
          <w:p w14:paraId="78B54DD3"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5E7792FC" w14:textId="77777777" w:rsidR="009948F1" w:rsidRDefault="00BC0563">
            <w:pPr>
              <w:pStyle w:val="TableParagraph"/>
              <w:spacing w:before="78"/>
              <w:ind w:left="22"/>
              <w:rPr>
                <w:sz w:val="12"/>
              </w:rPr>
            </w:pPr>
            <w:r>
              <w:rPr>
                <w:color w:val="231F20"/>
                <w:sz w:val="12"/>
              </w:rPr>
              <w:t>Costed in OHT</w:t>
            </w:r>
          </w:p>
        </w:tc>
      </w:tr>
      <w:tr w:rsidR="009948F1" w14:paraId="760E0E24" w14:textId="77777777">
        <w:trPr>
          <w:trHeight w:val="309"/>
        </w:trPr>
        <w:tc>
          <w:tcPr>
            <w:tcW w:w="1022" w:type="dxa"/>
            <w:gridSpan w:val="3"/>
            <w:vMerge/>
            <w:tcBorders>
              <w:top w:val="nil"/>
              <w:left w:val="single" w:sz="6" w:space="0" w:color="231F20"/>
              <w:bottom w:val="single" w:sz="6" w:space="0" w:color="231F20"/>
              <w:right w:val="single" w:sz="6" w:space="0" w:color="231F20"/>
            </w:tcBorders>
          </w:tcPr>
          <w:p w14:paraId="606153AB"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10D3C17B" w14:textId="77777777" w:rsidR="009948F1" w:rsidRDefault="00BC0563">
            <w:pPr>
              <w:pStyle w:val="TableParagraph"/>
              <w:spacing w:before="82"/>
              <w:ind w:left="55" w:right="40"/>
              <w:jc w:val="center"/>
              <w:rPr>
                <w:sz w:val="12"/>
              </w:rPr>
            </w:pPr>
            <w:r>
              <w:rPr>
                <w:color w:val="231F20"/>
                <w:sz w:val="12"/>
              </w:rPr>
              <w:t>7.6.4.d</w:t>
            </w:r>
          </w:p>
        </w:tc>
        <w:tc>
          <w:tcPr>
            <w:tcW w:w="4811" w:type="dxa"/>
            <w:gridSpan w:val="2"/>
            <w:tcBorders>
              <w:top w:val="single" w:sz="6" w:space="0" w:color="231F20"/>
              <w:left w:val="single" w:sz="6" w:space="0" w:color="231F20"/>
              <w:bottom w:val="single" w:sz="6" w:space="0" w:color="231F20"/>
              <w:right w:val="single" w:sz="6" w:space="0" w:color="231F20"/>
            </w:tcBorders>
          </w:tcPr>
          <w:p w14:paraId="26B256EA" w14:textId="77777777" w:rsidR="009948F1" w:rsidRDefault="00BC0563">
            <w:pPr>
              <w:pStyle w:val="TableParagraph"/>
              <w:spacing w:before="77"/>
              <w:ind w:left="21"/>
              <w:rPr>
                <w:sz w:val="12"/>
              </w:rPr>
            </w:pPr>
            <w:r>
              <w:rPr>
                <w:color w:val="231F20"/>
                <w:sz w:val="12"/>
              </w:rPr>
              <w:t>Training of the mortuary attendants and Environmental Health Officers (EHOs)</w:t>
            </w:r>
          </w:p>
        </w:tc>
        <w:tc>
          <w:tcPr>
            <w:tcW w:w="1402" w:type="dxa"/>
            <w:tcBorders>
              <w:top w:val="single" w:sz="6" w:space="0" w:color="231F20"/>
              <w:left w:val="single" w:sz="6" w:space="0" w:color="231F20"/>
              <w:bottom w:val="single" w:sz="6" w:space="0" w:color="231F20"/>
              <w:right w:val="single" w:sz="6" w:space="0" w:color="231F20"/>
            </w:tcBorders>
          </w:tcPr>
          <w:p w14:paraId="22BD1092" w14:textId="77777777" w:rsidR="009948F1" w:rsidRDefault="00BC0563">
            <w:pPr>
              <w:pStyle w:val="TableParagraph"/>
              <w:spacing w:before="82"/>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4A318868" w14:textId="77777777" w:rsidR="009948F1" w:rsidRDefault="00BC0563">
            <w:pPr>
              <w:pStyle w:val="TableParagraph"/>
              <w:spacing w:before="3"/>
              <w:ind w:left="22"/>
              <w:rPr>
                <w:sz w:val="12"/>
              </w:rPr>
            </w:pPr>
            <w:r>
              <w:rPr>
                <w:color w:val="231F20"/>
                <w:sz w:val="12"/>
              </w:rPr>
              <w:t>Training of mortuary</w:t>
            </w:r>
          </w:p>
          <w:p w14:paraId="694ACFAD" w14:textId="77777777" w:rsidR="009948F1" w:rsidRDefault="00BC0563">
            <w:pPr>
              <w:pStyle w:val="TableParagraph"/>
              <w:spacing w:before="18" w:line="131" w:lineRule="exact"/>
              <w:ind w:left="22"/>
              <w:rPr>
                <w:sz w:val="12"/>
              </w:rPr>
            </w:pPr>
            <w:r>
              <w:rPr>
                <w:color w:val="231F20"/>
                <w:sz w:val="12"/>
              </w:rPr>
              <w:t>attendants</w:t>
            </w:r>
          </w:p>
        </w:tc>
      </w:tr>
      <w:tr w:rsidR="009948F1" w14:paraId="4E412BF8" w14:textId="77777777">
        <w:trPr>
          <w:trHeight w:val="302"/>
        </w:trPr>
        <w:tc>
          <w:tcPr>
            <w:tcW w:w="1022" w:type="dxa"/>
            <w:gridSpan w:val="3"/>
            <w:vMerge/>
            <w:tcBorders>
              <w:top w:val="nil"/>
              <w:left w:val="single" w:sz="6" w:space="0" w:color="231F20"/>
              <w:bottom w:val="single" w:sz="6" w:space="0" w:color="231F20"/>
              <w:right w:val="single" w:sz="6" w:space="0" w:color="231F20"/>
            </w:tcBorders>
          </w:tcPr>
          <w:p w14:paraId="1441634E"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2B8B744A" w14:textId="77777777" w:rsidR="009948F1" w:rsidRDefault="00BC0563">
            <w:pPr>
              <w:pStyle w:val="TableParagraph"/>
              <w:spacing w:before="78"/>
              <w:ind w:left="55" w:right="40"/>
              <w:jc w:val="center"/>
              <w:rPr>
                <w:sz w:val="12"/>
              </w:rPr>
            </w:pPr>
            <w:r>
              <w:rPr>
                <w:color w:val="231F20"/>
                <w:sz w:val="12"/>
              </w:rPr>
              <w:t>7.6.4.e</w:t>
            </w:r>
          </w:p>
        </w:tc>
        <w:tc>
          <w:tcPr>
            <w:tcW w:w="4811" w:type="dxa"/>
            <w:gridSpan w:val="2"/>
            <w:tcBorders>
              <w:top w:val="single" w:sz="6" w:space="0" w:color="231F20"/>
              <w:left w:val="single" w:sz="6" w:space="0" w:color="231F20"/>
              <w:bottom w:val="single" w:sz="6" w:space="0" w:color="231F20"/>
              <w:right w:val="single" w:sz="6" w:space="0" w:color="231F20"/>
            </w:tcBorders>
          </w:tcPr>
          <w:p w14:paraId="1FF90344" w14:textId="77777777" w:rsidR="009948F1" w:rsidRDefault="00BC0563">
            <w:pPr>
              <w:pStyle w:val="TableParagraph"/>
              <w:spacing w:before="73"/>
              <w:ind w:left="21"/>
              <w:rPr>
                <w:sz w:val="12"/>
              </w:rPr>
            </w:pPr>
            <w:r>
              <w:rPr>
                <w:color w:val="231F20"/>
                <w:sz w:val="12"/>
              </w:rPr>
              <w:t>Print and distribute tools on capturing dead bodies</w:t>
            </w:r>
          </w:p>
        </w:tc>
        <w:tc>
          <w:tcPr>
            <w:tcW w:w="1402" w:type="dxa"/>
            <w:tcBorders>
              <w:top w:val="single" w:sz="6" w:space="0" w:color="231F20"/>
              <w:left w:val="single" w:sz="6" w:space="0" w:color="231F20"/>
              <w:bottom w:val="single" w:sz="6" w:space="0" w:color="231F20"/>
              <w:right w:val="single" w:sz="6" w:space="0" w:color="231F20"/>
            </w:tcBorders>
          </w:tcPr>
          <w:p w14:paraId="2EFF0D03"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09A3069B" w14:textId="77777777" w:rsidR="009948F1" w:rsidRDefault="00BC0563">
            <w:pPr>
              <w:pStyle w:val="TableParagraph"/>
              <w:spacing w:before="78"/>
              <w:ind w:left="22"/>
              <w:rPr>
                <w:sz w:val="12"/>
              </w:rPr>
            </w:pPr>
            <w:r>
              <w:rPr>
                <w:color w:val="231F20"/>
                <w:sz w:val="12"/>
              </w:rPr>
              <w:t>Print and distribute tools</w:t>
            </w:r>
          </w:p>
        </w:tc>
      </w:tr>
      <w:tr w:rsidR="009948F1" w14:paraId="0BD71B14" w14:textId="77777777">
        <w:trPr>
          <w:trHeight w:val="317"/>
        </w:trPr>
        <w:tc>
          <w:tcPr>
            <w:tcW w:w="9231" w:type="dxa"/>
            <w:gridSpan w:val="8"/>
            <w:tcBorders>
              <w:top w:val="single" w:sz="6" w:space="0" w:color="231F20"/>
              <w:left w:val="single" w:sz="6" w:space="0" w:color="231F20"/>
              <w:bottom w:val="single" w:sz="6" w:space="0" w:color="231F20"/>
              <w:right w:val="nil"/>
            </w:tcBorders>
            <w:shd w:val="clear" w:color="auto" w:fill="A6CE39"/>
          </w:tcPr>
          <w:p w14:paraId="3540A3C2" w14:textId="77777777" w:rsidR="009948F1" w:rsidRDefault="00BC0563">
            <w:pPr>
              <w:pStyle w:val="TableParagraph"/>
              <w:spacing w:before="71"/>
              <w:ind w:left="3078" w:right="3031"/>
              <w:jc w:val="center"/>
              <w:rPr>
                <w:b/>
                <w:sz w:val="14"/>
              </w:rPr>
            </w:pPr>
            <w:r>
              <w:rPr>
                <w:b/>
                <w:color w:val="231F20"/>
                <w:sz w:val="14"/>
              </w:rPr>
              <w:t>8.Health Promotion And Environmental Health</w:t>
            </w:r>
          </w:p>
        </w:tc>
      </w:tr>
      <w:tr w:rsidR="009948F1" w14:paraId="02FF9481" w14:textId="77777777">
        <w:trPr>
          <w:trHeight w:val="164"/>
        </w:trPr>
        <w:tc>
          <w:tcPr>
            <w:tcW w:w="9231" w:type="dxa"/>
            <w:gridSpan w:val="8"/>
            <w:tcBorders>
              <w:top w:val="single" w:sz="6" w:space="0" w:color="231F20"/>
              <w:left w:val="single" w:sz="6" w:space="0" w:color="231F20"/>
              <w:bottom w:val="single" w:sz="6" w:space="0" w:color="231F20"/>
              <w:right w:val="nil"/>
            </w:tcBorders>
            <w:shd w:val="clear" w:color="auto" w:fill="F6ADCD"/>
          </w:tcPr>
          <w:p w14:paraId="56367A53" w14:textId="77777777" w:rsidR="009948F1" w:rsidRDefault="00BC0563">
            <w:pPr>
              <w:pStyle w:val="TableParagraph"/>
              <w:spacing w:before="6"/>
              <w:ind w:left="1468"/>
              <w:rPr>
                <w:b/>
                <w:sz w:val="12"/>
              </w:rPr>
            </w:pPr>
            <w:r>
              <w:rPr>
                <w:b/>
                <w:color w:val="231F20"/>
                <w:sz w:val="12"/>
              </w:rPr>
              <w:t>8. Improve the wellbeing, safety and quality of life of Nigerians through health promotion and healthy environment</w:t>
            </w:r>
          </w:p>
        </w:tc>
      </w:tr>
      <w:tr w:rsidR="009948F1" w14:paraId="47CE1537" w14:textId="77777777">
        <w:trPr>
          <w:trHeight w:val="393"/>
        </w:trPr>
        <w:tc>
          <w:tcPr>
            <w:tcW w:w="176" w:type="dxa"/>
            <w:tcBorders>
              <w:top w:val="single" w:sz="6" w:space="0" w:color="231F20"/>
              <w:left w:val="single" w:sz="6" w:space="0" w:color="231F20"/>
              <w:bottom w:val="nil"/>
              <w:right w:val="single" w:sz="6" w:space="0" w:color="231F20"/>
            </w:tcBorders>
          </w:tcPr>
          <w:p w14:paraId="21F0BDE1" w14:textId="77777777" w:rsidR="009948F1" w:rsidRDefault="009948F1">
            <w:pPr>
              <w:pStyle w:val="TableParagraph"/>
              <w:rPr>
                <w:rFonts w:ascii="Times New Roman"/>
                <w:sz w:val="10"/>
              </w:rPr>
            </w:pPr>
          </w:p>
        </w:tc>
        <w:tc>
          <w:tcPr>
            <w:tcW w:w="399" w:type="dxa"/>
            <w:tcBorders>
              <w:top w:val="single" w:sz="6" w:space="0" w:color="231F20"/>
              <w:left w:val="single" w:sz="6" w:space="0" w:color="231F20"/>
              <w:bottom w:val="single" w:sz="6" w:space="0" w:color="231F20"/>
              <w:right w:val="single" w:sz="6" w:space="0" w:color="231F20"/>
            </w:tcBorders>
            <w:shd w:val="clear" w:color="auto" w:fill="FFF200"/>
          </w:tcPr>
          <w:p w14:paraId="2BB1303E" w14:textId="77777777" w:rsidR="009948F1" w:rsidRDefault="009948F1">
            <w:pPr>
              <w:pStyle w:val="TableParagraph"/>
              <w:spacing w:before="9"/>
              <w:rPr>
                <w:sz w:val="10"/>
              </w:rPr>
            </w:pPr>
          </w:p>
          <w:p w14:paraId="47947A4A" w14:textId="77777777" w:rsidR="009948F1" w:rsidRDefault="00BC0563">
            <w:pPr>
              <w:pStyle w:val="TableParagraph"/>
              <w:spacing w:before="1"/>
              <w:ind w:left="183"/>
              <w:rPr>
                <w:b/>
                <w:sz w:val="12"/>
              </w:rPr>
            </w:pPr>
            <w:r>
              <w:rPr>
                <w:b/>
                <w:color w:val="231F20"/>
                <w:sz w:val="12"/>
              </w:rPr>
              <w:t>8.1</w:t>
            </w:r>
          </w:p>
        </w:tc>
        <w:tc>
          <w:tcPr>
            <w:tcW w:w="5775" w:type="dxa"/>
            <w:gridSpan w:val="4"/>
            <w:tcBorders>
              <w:top w:val="single" w:sz="6" w:space="0" w:color="231F20"/>
              <w:left w:val="single" w:sz="6" w:space="0" w:color="231F20"/>
              <w:bottom w:val="single" w:sz="6" w:space="0" w:color="231F20"/>
            </w:tcBorders>
            <w:shd w:val="clear" w:color="auto" w:fill="FFF200"/>
          </w:tcPr>
          <w:p w14:paraId="26243277" w14:textId="77777777" w:rsidR="009948F1" w:rsidRDefault="00BC0563">
            <w:pPr>
              <w:pStyle w:val="TableParagraph"/>
              <w:spacing w:before="40" w:line="276" w:lineRule="auto"/>
              <w:ind w:left="21" w:firstLine="32"/>
              <w:rPr>
                <w:b/>
                <w:sz w:val="12"/>
              </w:rPr>
            </w:pPr>
            <w:r>
              <w:rPr>
                <w:b/>
                <w:color w:val="231F20"/>
                <w:sz w:val="12"/>
              </w:rPr>
              <w:t>Promote</w:t>
            </w:r>
            <w:r>
              <w:rPr>
                <w:b/>
                <w:color w:val="231F20"/>
                <w:spacing w:val="8"/>
                <w:sz w:val="12"/>
              </w:rPr>
              <w:t xml:space="preserve"> </w:t>
            </w:r>
            <w:r>
              <w:rPr>
                <w:b/>
                <w:color w:val="231F20"/>
                <w:sz w:val="12"/>
              </w:rPr>
              <w:t>the</w:t>
            </w:r>
            <w:r>
              <w:rPr>
                <w:b/>
                <w:color w:val="231F20"/>
                <w:spacing w:val="-13"/>
                <w:sz w:val="12"/>
              </w:rPr>
              <w:t xml:space="preserve"> </w:t>
            </w:r>
            <w:r>
              <w:rPr>
                <w:b/>
                <w:color w:val="231F20"/>
                <w:sz w:val="12"/>
              </w:rPr>
              <w:t>wellbeing</w:t>
            </w:r>
            <w:r>
              <w:rPr>
                <w:b/>
                <w:color w:val="231F20"/>
                <w:spacing w:val="8"/>
                <w:sz w:val="12"/>
              </w:rPr>
              <w:t xml:space="preserve"> </w:t>
            </w:r>
            <w:r>
              <w:rPr>
                <w:b/>
                <w:color w:val="231F20"/>
                <w:sz w:val="12"/>
              </w:rPr>
              <w:t>of</w:t>
            </w:r>
            <w:r>
              <w:rPr>
                <w:b/>
                <w:color w:val="231F20"/>
                <w:spacing w:val="-13"/>
                <w:sz w:val="12"/>
              </w:rPr>
              <w:t xml:space="preserve"> </w:t>
            </w:r>
            <w:r>
              <w:rPr>
                <w:b/>
                <w:color w:val="231F20"/>
                <w:sz w:val="12"/>
              </w:rPr>
              <w:t>individuals</w:t>
            </w:r>
            <w:r>
              <w:rPr>
                <w:b/>
                <w:color w:val="231F20"/>
                <w:spacing w:val="-12"/>
                <w:sz w:val="12"/>
              </w:rPr>
              <w:t xml:space="preserve"> </w:t>
            </w:r>
            <w:r>
              <w:rPr>
                <w:b/>
                <w:color w:val="231F20"/>
                <w:sz w:val="12"/>
              </w:rPr>
              <w:t>and</w:t>
            </w:r>
            <w:r>
              <w:rPr>
                <w:b/>
                <w:color w:val="231F20"/>
                <w:spacing w:val="-13"/>
                <w:sz w:val="12"/>
              </w:rPr>
              <w:t xml:space="preserve"> </w:t>
            </w:r>
            <w:r>
              <w:rPr>
                <w:b/>
                <w:color w:val="231F20"/>
                <w:sz w:val="12"/>
              </w:rPr>
              <w:t>communities</w:t>
            </w:r>
            <w:r>
              <w:rPr>
                <w:b/>
                <w:color w:val="231F20"/>
                <w:spacing w:val="-12"/>
                <w:sz w:val="12"/>
              </w:rPr>
              <w:t xml:space="preserve"> </w:t>
            </w:r>
            <w:r>
              <w:rPr>
                <w:b/>
                <w:color w:val="231F20"/>
                <w:sz w:val="12"/>
              </w:rPr>
              <w:t>through</w:t>
            </w:r>
            <w:r>
              <w:rPr>
                <w:b/>
                <w:color w:val="231F20"/>
                <w:spacing w:val="-13"/>
                <w:sz w:val="12"/>
              </w:rPr>
              <w:t xml:space="preserve"> </w:t>
            </w:r>
            <w:r>
              <w:rPr>
                <w:b/>
                <w:color w:val="231F20"/>
                <w:sz w:val="12"/>
              </w:rPr>
              <w:t>protection</w:t>
            </w:r>
            <w:r>
              <w:rPr>
                <w:b/>
                <w:color w:val="231F20"/>
                <w:spacing w:val="-13"/>
                <w:sz w:val="12"/>
              </w:rPr>
              <w:t xml:space="preserve"> </w:t>
            </w:r>
            <w:r>
              <w:rPr>
                <w:b/>
                <w:color w:val="231F20"/>
                <w:sz w:val="12"/>
              </w:rPr>
              <w:t>from</w:t>
            </w:r>
            <w:r>
              <w:rPr>
                <w:b/>
                <w:color w:val="231F20"/>
                <w:spacing w:val="-12"/>
                <w:sz w:val="12"/>
              </w:rPr>
              <w:t xml:space="preserve"> </w:t>
            </w:r>
            <w:r>
              <w:rPr>
                <w:b/>
                <w:color w:val="231F20"/>
                <w:sz w:val="12"/>
              </w:rPr>
              <w:t>health</w:t>
            </w:r>
            <w:r>
              <w:rPr>
                <w:b/>
                <w:color w:val="231F20"/>
                <w:spacing w:val="-13"/>
                <w:sz w:val="12"/>
              </w:rPr>
              <w:t xml:space="preserve"> </w:t>
            </w:r>
            <w:r>
              <w:rPr>
                <w:b/>
                <w:color w:val="231F20"/>
                <w:sz w:val="12"/>
              </w:rPr>
              <w:t>risks,</w:t>
            </w:r>
            <w:r>
              <w:rPr>
                <w:b/>
                <w:color w:val="231F20"/>
                <w:spacing w:val="-12"/>
                <w:sz w:val="12"/>
              </w:rPr>
              <w:t xml:space="preserve"> </w:t>
            </w:r>
            <w:r>
              <w:rPr>
                <w:b/>
                <w:color w:val="231F20"/>
                <w:sz w:val="12"/>
              </w:rPr>
              <w:t>and promotion of healthy lifestyle and</w:t>
            </w:r>
            <w:r>
              <w:rPr>
                <w:b/>
                <w:color w:val="231F20"/>
                <w:spacing w:val="-14"/>
                <w:sz w:val="12"/>
              </w:rPr>
              <w:t xml:space="preserve"> </w:t>
            </w:r>
            <w:r>
              <w:rPr>
                <w:b/>
                <w:color w:val="231F20"/>
                <w:sz w:val="12"/>
              </w:rPr>
              <w:t>environment</w:t>
            </w:r>
          </w:p>
        </w:tc>
        <w:tc>
          <w:tcPr>
            <w:tcW w:w="1402" w:type="dxa"/>
            <w:tcBorders>
              <w:top w:val="single" w:sz="6" w:space="0" w:color="231F20"/>
              <w:bottom w:val="single" w:sz="6" w:space="0" w:color="231F20"/>
            </w:tcBorders>
            <w:shd w:val="clear" w:color="auto" w:fill="FFF200"/>
          </w:tcPr>
          <w:p w14:paraId="55B0C0F1" w14:textId="77777777" w:rsidR="009948F1" w:rsidRDefault="009948F1">
            <w:pPr>
              <w:pStyle w:val="TableParagraph"/>
              <w:rPr>
                <w:rFonts w:ascii="Times New Roman"/>
                <w:sz w:val="10"/>
              </w:rPr>
            </w:pPr>
          </w:p>
        </w:tc>
        <w:tc>
          <w:tcPr>
            <w:tcW w:w="1479" w:type="dxa"/>
            <w:tcBorders>
              <w:top w:val="single" w:sz="6" w:space="0" w:color="231F20"/>
              <w:bottom w:val="single" w:sz="6" w:space="0" w:color="231F20"/>
              <w:right w:val="single" w:sz="6" w:space="0" w:color="231F20"/>
            </w:tcBorders>
            <w:shd w:val="clear" w:color="auto" w:fill="FFF200"/>
          </w:tcPr>
          <w:p w14:paraId="78E6C2DA" w14:textId="77777777" w:rsidR="009948F1" w:rsidRDefault="009948F1">
            <w:pPr>
              <w:pStyle w:val="TableParagraph"/>
              <w:rPr>
                <w:rFonts w:ascii="Times New Roman"/>
                <w:sz w:val="10"/>
              </w:rPr>
            </w:pPr>
          </w:p>
        </w:tc>
      </w:tr>
      <w:tr w:rsidR="009948F1" w14:paraId="07329CBB" w14:textId="77777777">
        <w:trPr>
          <w:trHeight w:val="1077"/>
        </w:trPr>
        <w:tc>
          <w:tcPr>
            <w:tcW w:w="575" w:type="dxa"/>
            <w:gridSpan w:val="2"/>
            <w:tcBorders>
              <w:top w:val="nil"/>
              <w:left w:val="single" w:sz="6" w:space="0" w:color="231F20"/>
              <w:bottom w:val="nil"/>
              <w:right w:val="single" w:sz="6" w:space="0" w:color="231F20"/>
            </w:tcBorders>
          </w:tcPr>
          <w:p w14:paraId="4810A7BC" w14:textId="77777777" w:rsidR="009948F1" w:rsidRDefault="009948F1">
            <w:pPr>
              <w:pStyle w:val="TableParagraph"/>
              <w:rPr>
                <w:rFonts w:ascii="Times New Roman"/>
                <w:sz w:val="10"/>
              </w:rPr>
            </w:pPr>
          </w:p>
        </w:tc>
        <w:tc>
          <w:tcPr>
            <w:tcW w:w="447" w:type="dxa"/>
            <w:tcBorders>
              <w:top w:val="single" w:sz="6" w:space="0" w:color="231F20"/>
              <w:left w:val="single" w:sz="6" w:space="0" w:color="231F20"/>
              <w:bottom w:val="single" w:sz="6" w:space="0" w:color="231F20"/>
              <w:right w:val="single" w:sz="6" w:space="0" w:color="231F20"/>
            </w:tcBorders>
            <w:shd w:val="clear" w:color="auto" w:fill="CCE7D3"/>
          </w:tcPr>
          <w:p w14:paraId="41FFBF73" w14:textId="77777777" w:rsidR="009948F1" w:rsidRDefault="009948F1">
            <w:pPr>
              <w:pStyle w:val="TableParagraph"/>
              <w:rPr>
                <w:sz w:val="12"/>
              </w:rPr>
            </w:pPr>
          </w:p>
          <w:p w14:paraId="0B6064B0" w14:textId="77777777" w:rsidR="009948F1" w:rsidRDefault="009948F1">
            <w:pPr>
              <w:pStyle w:val="TableParagraph"/>
              <w:rPr>
                <w:sz w:val="12"/>
              </w:rPr>
            </w:pPr>
          </w:p>
          <w:p w14:paraId="0C037979" w14:textId="77777777" w:rsidR="009948F1" w:rsidRDefault="009948F1">
            <w:pPr>
              <w:pStyle w:val="TableParagraph"/>
              <w:spacing w:before="6"/>
              <w:rPr>
                <w:sz w:val="16"/>
              </w:rPr>
            </w:pPr>
          </w:p>
          <w:p w14:paraId="7C57E002" w14:textId="77777777" w:rsidR="009948F1" w:rsidRDefault="00BC0563">
            <w:pPr>
              <w:pStyle w:val="TableParagraph"/>
              <w:ind w:left="32" w:right="93"/>
              <w:jc w:val="center"/>
              <w:rPr>
                <w:sz w:val="12"/>
              </w:rPr>
            </w:pPr>
            <w:r>
              <w:rPr>
                <w:color w:val="231F20"/>
                <w:sz w:val="12"/>
              </w:rPr>
              <w:t>8.1.1</w:t>
            </w:r>
          </w:p>
        </w:tc>
        <w:tc>
          <w:tcPr>
            <w:tcW w:w="2985" w:type="dxa"/>
            <w:gridSpan w:val="2"/>
            <w:tcBorders>
              <w:top w:val="single" w:sz="6" w:space="0" w:color="231F20"/>
              <w:left w:val="single" w:sz="6" w:space="0" w:color="231F20"/>
              <w:bottom w:val="single" w:sz="6" w:space="0" w:color="231F20"/>
              <w:right w:val="single" w:sz="6" w:space="0" w:color="231F20"/>
            </w:tcBorders>
            <w:shd w:val="clear" w:color="auto" w:fill="CCE7D3"/>
          </w:tcPr>
          <w:p w14:paraId="5239B0C0" w14:textId="77777777" w:rsidR="009948F1" w:rsidRDefault="009948F1">
            <w:pPr>
              <w:pStyle w:val="TableParagraph"/>
              <w:rPr>
                <w:sz w:val="12"/>
              </w:rPr>
            </w:pPr>
          </w:p>
          <w:p w14:paraId="0A3E91B1" w14:textId="77777777" w:rsidR="009948F1" w:rsidRDefault="009948F1">
            <w:pPr>
              <w:pStyle w:val="TableParagraph"/>
              <w:spacing w:before="6"/>
              <w:rPr>
                <w:sz w:val="14"/>
              </w:rPr>
            </w:pPr>
          </w:p>
          <w:p w14:paraId="1D67E1E9" w14:textId="2785EB0E" w:rsidR="009948F1" w:rsidRDefault="00BC0563">
            <w:pPr>
              <w:pStyle w:val="TableParagraph"/>
              <w:spacing w:line="271" w:lineRule="auto"/>
              <w:ind w:left="21" w:right="53" w:firstLine="32"/>
              <w:rPr>
                <w:sz w:val="12"/>
              </w:rPr>
            </w:pPr>
            <w:r>
              <w:rPr>
                <w:color w:val="231F20"/>
                <w:sz w:val="12"/>
              </w:rPr>
              <w:t xml:space="preserve">Promote the development and </w:t>
            </w:r>
            <w:proofErr w:type="spellStart"/>
            <w:r>
              <w:rPr>
                <w:color w:val="231F20"/>
                <w:sz w:val="12"/>
              </w:rPr>
              <w:t>and</w:t>
            </w:r>
            <w:proofErr w:type="spellEnd"/>
            <w:r>
              <w:rPr>
                <w:color w:val="231F20"/>
                <w:sz w:val="12"/>
              </w:rPr>
              <w:t xml:space="preserve"> </w:t>
            </w:r>
            <w:r w:rsidR="00A93E69">
              <w:rPr>
                <w:color w:val="231F20"/>
                <w:sz w:val="12"/>
              </w:rPr>
              <w:t>implementation</w:t>
            </w:r>
            <w:r>
              <w:rPr>
                <w:color w:val="231F20"/>
                <w:sz w:val="12"/>
              </w:rPr>
              <w:t xml:space="preserve"> of policies, plans, legislation and regulations that prevent health risks and ensures healthy life styles</w:t>
            </w:r>
          </w:p>
        </w:tc>
        <w:tc>
          <w:tcPr>
            <w:tcW w:w="2343" w:type="dxa"/>
            <w:tcBorders>
              <w:top w:val="single" w:sz="6" w:space="0" w:color="231F20"/>
              <w:left w:val="single" w:sz="6" w:space="0" w:color="231F20"/>
              <w:bottom w:val="single" w:sz="6" w:space="0" w:color="231F20"/>
              <w:right w:val="single" w:sz="6" w:space="0" w:color="231F20"/>
            </w:tcBorders>
            <w:shd w:val="clear" w:color="auto" w:fill="CCE7D3"/>
          </w:tcPr>
          <w:p w14:paraId="35525A5F" w14:textId="77777777" w:rsidR="009948F1" w:rsidRDefault="00BC0563">
            <w:pPr>
              <w:pStyle w:val="TableParagraph"/>
              <w:numPr>
                <w:ilvl w:val="0"/>
                <w:numId w:val="99"/>
              </w:numPr>
              <w:tabs>
                <w:tab w:val="left" w:pos="89"/>
              </w:tabs>
              <w:spacing w:line="271" w:lineRule="auto"/>
              <w:ind w:right="142" w:firstLine="0"/>
              <w:rPr>
                <w:sz w:val="12"/>
              </w:rPr>
            </w:pPr>
            <w:r>
              <w:rPr>
                <w:color w:val="231F20"/>
                <w:sz w:val="12"/>
              </w:rPr>
              <w:t>Advocacy</w:t>
            </w:r>
            <w:r>
              <w:rPr>
                <w:color w:val="231F20"/>
                <w:spacing w:val="-10"/>
                <w:sz w:val="12"/>
              </w:rPr>
              <w:t xml:space="preserve"> </w:t>
            </w:r>
            <w:r>
              <w:rPr>
                <w:color w:val="231F20"/>
                <w:sz w:val="12"/>
              </w:rPr>
              <w:t>to</w:t>
            </w:r>
            <w:r>
              <w:rPr>
                <w:color w:val="231F20"/>
                <w:spacing w:val="-9"/>
                <w:sz w:val="12"/>
              </w:rPr>
              <w:t xml:space="preserve"> </w:t>
            </w:r>
            <w:r>
              <w:rPr>
                <w:color w:val="231F20"/>
                <w:sz w:val="12"/>
              </w:rPr>
              <w:t>policy</w:t>
            </w:r>
            <w:r>
              <w:rPr>
                <w:color w:val="231F20"/>
                <w:spacing w:val="-9"/>
                <w:sz w:val="12"/>
              </w:rPr>
              <w:t xml:space="preserve"> </w:t>
            </w:r>
            <w:r>
              <w:rPr>
                <w:color w:val="231F20"/>
                <w:sz w:val="12"/>
              </w:rPr>
              <w:t>makers</w:t>
            </w:r>
            <w:r>
              <w:rPr>
                <w:color w:val="231F20"/>
                <w:spacing w:val="-9"/>
                <w:sz w:val="12"/>
              </w:rPr>
              <w:t xml:space="preserve"> </w:t>
            </w:r>
            <w:r>
              <w:rPr>
                <w:color w:val="231F20"/>
                <w:sz w:val="12"/>
              </w:rPr>
              <w:t>to</w:t>
            </w:r>
            <w:r>
              <w:rPr>
                <w:color w:val="231F20"/>
                <w:spacing w:val="-9"/>
                <w:sz w:val="12"/>
              </w:rPr>
              <w:t xml:space="preserve"> </w:t>
            </w:r>
            <w:r>
              <w:rPr>
                <w:color w:val="231F20"/>
                <w:sz w:val="12"/>
              </w:rPr>
              <w:t>enact</w:t>
            </w:r>
            <w:r>
              <w:rPr>
                <w:color w:val="231F20"/>
                <w:spacing w:val="-9"/>
                <w:sz w:val="12"/>
              </w:rPr>
              <w:t xml:space="preserve"> </w:t>
            </w:r>
            <w:r>
              <w:rPr>
                <w:color w:val="231F20"/>
                <w:spacing w:val="-4"/>
                <w:sz w:val="12"/>
              </w:rPr>
              <w:t xml:space="preserve">laws </w:t>
            </w:r>
            <w:r>
              <w:rPr>
                <w:color w:val="231F20"/>
                <w:sz w:val="12"/>
              </w:rPr>
              <w:t>that</w:t>
            </w:r>
            <w:r>
              <w:rPr>
                <w:color w:val="231F20"/>
                <w:spacing w:val="-7"/>
                <w:sz w:val="12"/>
              </w:rPr>
              <w:t xml:space="preserve"> </w:t>
            </w:r>
            <w:r>
              <w:rPr>
                <w:color w:val="231F20"/>
                <w:sz w:val="12"/>
              </w:rPr>
              <w:t>will</w:t>
            </w:r>
            <w:r>
              <w:rPr>
                <w:color w:val="231F20"/>
                <w:spacing w:val="-6"/>
                <w:sz w:val="12"/>
              </w:rPr>
              <w:t xml:space="preserve"> </w:t>
            </w:r>
            <w:r>
              <w:rPr>
                <w:color w:val="231F20"/>
                <w:sz w:val="12"/>
              </w:rPr>
              <w:t>promote</w:t>
            </w:r>
            <w:r>
              <w:rPr>
                <w:color w:val="231F20"/>
                <w:spacing w:val="-6"/>
                <w:sz w:val="12"/>
              </w:rPr>
              <w:t xml:space="preserve"> </w:t>
            </w:r>
            <w:r>
              <w:rPr>
                <w:color w:val="231F20"/>
                <w:sz w:val="12"/>
              </w:rPr>
              <w:t>healthy</w:t>
            </w:r>
            <w:r>
              <w:rPr>
                <w:color w:val="231F20"/>
                <w:spacing w:val="-6"/>
                <w:sz w:val="12"/>
              </w:rPr>
              <w:t xml:space="preserve"> </w:t>
            </w:r>
            <w:r>
              <w:rPr>
                <w:color w:val="231F20"/>
                <w:sz w:val="12"/>
              </w:rPr>
              <w:t>life</w:t>
            </w:r>
            <w:r>
              <w:rPr>
                <w:color w:val="231F20"/>
                <w:spacing w:val="-6"/>
                <w:sz w:val="12"/>
              </w:rPr>
              <w:t xml:space="preserve"> </w:t>
            </w:r>
            <w:r>
              <w:rPr>
                <w:color w:val="231F20"/>
                <w:sz w:val="12"/>
              </w:rPr>
              <w:t>style</w:t>
            </w:r>
            <w:r>
              <w:rPr>
                <w:color w:val="231F20"/>
                <w:spacing w:val="-6"/>
                <w:sz w:val="12"/>
              </w:rPr>
              <w:t xml:space="preserve"> </w:t>
            </w:r>
            <w:r>
              <w:rPr>
                <w:color w:val="231F20"/>
                <w:sz w:val="12"/>
              </w:rPr>
              <w:t>done</w:t>
            </w:r>
          </w:p>
          <w:p w14:paraId="3361C73A" w14:textId="77777777" w:rsidR="009948F1" w:rsidRDefault="00BC0563">
            <w:pPr>
              <w:pStyle w:val="TableParagraph"/>
              <w:numPr>
                <w:ilvl w:val="0"/>
                <w:numId w:val="99"/>
              </w:numPr>
              <w:tabs>
                <w:tab w:val="left" w:pos="96"/>
              </w:tabs>
              <w:spacing w:line="271" w:lineRule="auto"/>
              <w:ind w:right="12" w:firstLine="0"/>
              <w:rPr>
                <w:sz w:val="12"/>
              </w:rPr>
            </w:pPr>
            <w:r>
              <w:rPr>
                <w:color w:val="231F20"/>
                <w:sz w:val="12"/>
              </w:rPr>
              <w:t>Existing</w:t>
            </w:r>
            <w:r>
              <w:rPr>
                <w:color w:val="231F20"/>
                <w:spacing w:val="-15"/>
                <w:sz w:val="12"/>
              </w:rPr>
              <w:t xml:space="preserve"> </w:t>
            </w:r>
            <w:r>
              <w:rPr>
                <w:color w:val="231F20"/>
                <w:sz w:val="12"/>
              </w:rPr>
              <w:t>policies</w:t>
            </w:r>
            <w:r>
              <w:rPr>
                <w:color w:val="231F20"/>
                <w:spacing w:val="-14"/>
                <w:sz w:val="12"/>
              </w:rPr>
              <w:t xml:space="preserve"> </w:t>
            </w:r>
            <w:r>
              <w:rPr>
                <w:color w:val="231F20"/>
                <w:sz w:val="12"/>
              </w:rPr>
              <w:t>on</w:t>
            </w:r>
            <w:r>
              <w:rPr>
                <w:color w:val="231F20"/>
                <w:spacing w:val="-14"/>
                <w:sz w:val="12"/>
              </w:rPr>
              <w:t xml:space="preserve"> </w:t>
            </w:r>
            <w:r>
              <w:rPr>
                <w:color w:val="231F20"/>
                <w:sz w:val="12"/>
              </w:rPr>
              <w:t>risky</w:t>
            </w:r>
            <w:r>
              <w:rPr>
                <w:color w:val="231F20"/>
                <w:spacing w:val="-15"/>
                <w:sz w:val="12"/>
              </w:rPr>
              <w:t xml:space="preserve"> </w:t>
            </w:r>
            <w:r>
              <w:rPr>
                <w:color w:val="231F20"/>
                <w:sz w:val="12"/>
              </w:rPr>
              <w:t>health</w:t>
            </w:r>
            <w:r>
              <w:rPr>
                <w:color w:val="231F20"/>
                <w:spacing w:val="-14"/>
                <w:sz w:val="12"/>
              </w:rPr>
              <w:t xml:space="preserve"> </w:t>
            </w:r>
            <w:proofErr w:type="spellStart"/>
            <w:r>
              <w:rPr>
                <w:color w:val="231F20"/>
                <w:sz w:val="12"/>
              </w:rPr>
              <w:t>behaviours</w:t>
            </w:r>
            <w:proofErr w:type="spellEnd"/>
            <w:r>
              <w:rPr>
                <w:color w:val="231F20"/>
                <w:sz w:val="12"/>
              </w:rPr>
              <w:t xml:space="preserve"> identified &amp;</w:t>
            </w:r>
            <w:r>
              <w:rPr>
                <w:color w:val="231F20"/>
                <w:spacing w:val="-4"/>
                <w:sz w:val="12"/>
              </w:rPr>
              <w:t xml:space="preserve"> </w:t>
            </w:r>
            <w:r>
              <w:rPr>
                <w:color w:val="231F20"/>
                <w:sz w:val="12"/>
              </w:rPr>
              <w:t>reviewed</w:t>
            </w:r>
          </w:p>
          <w:p w14:paraId="4924D84F" w14:textId="77777777" w:rsidR="009948F1" w:rsidRDefault="00BC0563">
            <w:pPr>
              <w:pStyle w:val="TableParagraph"/>
              <w:numPr>
                <w:ilvl w:val="0"/>
                <w:numId w:val="99"/>
              </w:numPr>
              <w:tabs>
                <w:tab w:val="left" w:pos="128"/>
              </w:tabs>
              <w:spacing w:line="137" w:lineRule="exact"/>
              <w:ind w:left="127" w:hanging="107"/>
              <w:rPr>
                <w:sz w:val="12"/>
              </w:rPr>
            </w:pPr>
            <w:r>
              <w:rPr>
                <w:color w:val="231F20"/>
                <w:sz w:val="12"/>
              </w:rPr>
              <w:t>Posters</w:t>
            </w:r>
            <w:r>
              <w:rPr>
                <w:color w:val="231F20"/>
                <w:spacing w:val="-13"/>
                <w:sz w:val="12"/>
              </w:rPr>
              <w:t xml:space="preserve"> </w:t>
            </w:r>
            <w:r>
              <w:rPr>
                <w:color w:val="231F20"/>
                <w:sz w:val="12"/>
              </w:rPr>
              <w:t>on</w:t>
            </w:r>
            <w:r>
              <w:rPr>
                <w:color w:val="231F20"/>
                <w:spacing w:val="-12"/>
                <w:sz w:val="12"/>
              </w:rPr>
              <w:t xml:space="preserve"> </w:t>
            </w:r>
            <w:r>
              <w:rPr>
                <w:color w:val="231F20"/>
                <w:sz w:val="12"/>
              </w:rPr>
              <w:t>healthy</w:t>
            </w:r>
            <w:r>
              <w:rPr>
                <w:color w:val="231F20"/>
                <w:spacing w:val="-13"/>
                <w:sz w:val="12"/>
              </w:rPr>
              <w:t xml:space="preserve"> </w:t>
            </w:r>
            <w:r>
              <w:rPr>
                <w:color w:val="231F20"/>
                <w:sz w:val="12"/>
              </w:rPr>
              <w:t>living</w:t>
            </w:r>
            <w:r>
              <w:rPr>
                <w:color w:val="231F20"/>
                <w:spacing w:val="-12"/>
                <w:sz w:val="12"/>
              </w:rPr>
              <w:t xml:space="preserve"> </w:t>
            </w:r>
            <w:r>
              <w:rPr>
                <w:color w:val="231F20"/>
                <w:sz w:val="12"/>
              </w:rPr>
              <w:t>designed,</w:t>
            </w:r>
            <w:r>
              <w:rPr>
                <w:color w:val="231F20"/>
                <w:spacing w:val="-12"/>
                <w:sz w:val="12"/>
              </w:rPr>
              <w:t xml:space="preserve"> </w:t>
            </w:r>
            <w:r>
              <w:rPr>
                <w:color w:val="231F20"/>
                <w:sz w:val="12"/>
              </w:rPr>
              <w:t>printed</w:t>
            </w:r>
          </w:p>
          <w:p w14:paraId="258B192E" w14:textId="77777777" w:rsidR="009948F1" w:rsidRDefault="00BC0563">
            <w:pPr>
              <w:pStyle w:val="TableParagraph"/>
              <w:spacing w:before="4" w:line="150" w:lineRule="atLeast"/>
              <w:ind w:left="21" w:right="312"/>
              <w:rPr>
                <w:sz w:val="12"/>
              </w:rPr>
            </w:pPr>
            <w:r>
              <w:rPr>
                <w:color w:val="231F20"/>
                <w:sz w:val="12"/>
              </w:rPr>
              <w:t>&amp; distributed to every community and schools in the 23 LGAs</w:t>
            </w:r>
          </w:p>
        </w:tc>
        <w:tc>
          <w:tcPr>
            <w:tcW w:w="1402" w:type="dxa"/>
            <w:tcBorders>
              <w:top w:val="single" w:sz="6" w:space="0" w:color="231F20"/>
              <w:left w:val="single" w:sz="6" w:space="0" w:color="231F20"/>
              <w:bottom w:val="single" w:sz="6" w:space="0" w:color="231F20"/>
              <w:right w:val="single" w:sz="6" w:space="0" w:color="231F20"/>
            </w:tcBorders>
            <w:shd w:val="clear" w:color="auto" w:fill="CCE7D3"/>
          </w:tcPr>
          <w:p w14:paraId="6451C251" w14:textId="77777777" w:rsidR="009948F1" w:rsidRDefault="009948F1">
            <w:pPr>
              <w:pStyle w:val="TableParagraph"/>
              <w:rPr>
                <w:rFonts w:ascii="Times New Roman"/>
                <w:sz w:val="10"/>
              </w:rPr>
            </w:pPr>
          </w:p>
        </w:tc>
        <w:tc>
          <w:tcPr>
            <w:tcW w:w="1479" w:type="dxa"/>
            <w:tcBorders>
              <w:top w:val="single" w:sz="6" w:space="0" w:color="231F20"/>
              <w:left w:val="single" w:sz="6" w:space="0" w:color="231F20"/>
              <w:bottom w:val="single" w:sz="6" w:space="0" w:color="231F20"/>
              <w:right w:val="nil"/>
            </w:tcBorders>
            <w:shd w:val="clear" w:color="auto" w:fill="CCE7D3"/>
          </w:tcPr>
          <w:p w14:paraId="2F9877A4" w14:textId="77777777" w:rsidR="009948F1" w:rsidRDefault="009948F1">
            <w:pPr>
              <w:pStyle w:val="TableParagraph"/>
              <w:rPr>
                <w:rFonts w:ascii="Times New Roman"/>
                <w:sz w:val="10"/>
              </w:rPr>
            </w:pPr>
          </w:p>
        </w:tc>
      </w:tr>
      <w:tr w:rsidR="009948F1" w14:paraId="7F85B2C3" w14:textId="77777777">
        <w:trPr>
          <w:trHeight w:val="451"/>
        </w:trPr>
        <w:tc>
          <w:tcPr>
            <w:tcW w:w="1022" w:type="dxa"/>
            <w:gridSpan w:val="3"/>
            <w:vMerge w:val="restart"/>
            <w:tcBorders>
              <w:top w:val="nil"/>
              <w:left w:val="single" w:sz="6" w:space="0" w:color="231F20"/>
              <w:bottom w:val="nil"/>
              <w:right w:val="single" w:sz="6" w:space="0" w:color="231F20"/>
            </w:tcBorders>
          </w:tcPr>
          <w:p w14:paraId="3BB376B8" w14:textId="77777777" w:rsidR="009948F1" w:rsidRDefault="009948F1">
            <w:pPr>
              <w:pStyle w:val="TableParagraph"/>
              <w:rPr>
                <w:rFonts w:ascii="Times New Roman"/>
                <w:sz w:val="10"/>
              </w:rPr>
            </w:pPr>
          </w:p>
        </w:tc>
        <w:tc>
          <w:tcPr>
            <w:tcW w:w="517" w:type="dxa"/>
            <w:tcBorders>
              <w:top w:val="single" w:sz="6" w:space="0" w:color="231F20"/>
              <w:left w:val="single" w:sz="6" w:space="0" w:color="231F20"/>
              <w:bottom w:val="single" w:sz="6" w:space="0" w:color="231F20"/>
              <w:right w:val="single" w:sz="6" w:space="0" w:color="231F20"/>
            </w:tcBorders>
          </w:tcPr>
          <w:p w14:paraId="6EDE40F1" w14:textId="77777777" w:rsidR="009948F1" w:rsidRDefault="009948F1">
            <w:pPr>
              <w:pStyle w:val="TableParagraph"/>
              <w:spacing w:before="3"/>
              <w:rPr>
                <w:sz w:val="13"/>
              </w:rPr>
            </w:pPr>
          </w:p>
          <w:p w14:paraId="5F6E3E0F" w14:textId="77777777" w:rsidR="009948F1" w:rsidRDefault="00BC0563">
            <w:pPr>
              <w:pStyle w:val="TableParagraph"/>
              <w:ind w:left="55" w:right="40"/>
              <w:jc w:val="center"/>
              <w:rPr>
                <w:sz w:val="12"/>
              </w:rPr>
            </w:pPr>
            <w:r>
              <w:rPr>
                <w:color w:val="231F20"/>
                <w:sz w:val="12"/>
              </w:rPr>
              <w:t>8.1.1.a</w:t>
            </w:r>
          </w:p>
        </w:tc>
        <w:tc>
          <w:tcPr>
            <w:tcW w:w="4811" w:type="dxa"/>
            <w:gridSpan w:val="2"/>
            <w:tcBorders>
              <w:top w:val="single" w:sz="6" w:space="0" w:color="231F20"/>
              <w:left w:val="single" w:sz="6" w:space="0" w:color="231F20"/>
              <w:bottom w:val="single" w:sz="6" w:space="0" w:color="231F20"/>
              <w:right w:val="single" w:sz="6" w:space="0" w:color="231F20"/>
            </w:tcBorders>
          </w:tcPr>
          <w:p w14:paraId="234F9D7E" w14:textId="77777777" w:rsidR="009948F1" w:rsidRDefault="009948F1">
            <w:pPr>
              <w:pStyle w:val="TableParagraph"/>
              <w:spacing w:before="9"/>
              <w:rPr>
                <w:sz w:val="12"/>
              </w:rPr>
            </w:pPr>
          </w:p>
          <w:p w14:paraId="4059AEA9" w14:textId="77777777" w:rsidR="009948F1" w:rsidRDefault="00BC0563">
            <w:pPr>
              <w:pStyle w:val="TableParagraph"/>
              <w:ind w:left="21"/>
              <w:rPr>
                <w:sz w:val="12"/>
              </w:rPr>
            </w:pPr>
            <w:r>
              <w:rPr>
                <w:color w:val="231F20"/>
                <w:sz w:val="12"/>
              </w:rPr>
              <w:t>Conduct advocacy to policy makers to enact laws that will promote healthy life style</w:t>
            </w:r>
          </w:p>
        </w:tc>
        <w:tc>
          <w:tcPr>
            <w:tcW w:w="1402" w:type="dxa"/>
            <w:tcBorders>
              <w:top w:val="single" w:sz="6" w:space="0" w:color="231F20"/>
              <w:left w:val="single" w:sz="6" w:space="0" w:color="231F20"/>
              <w:bottom w:val="single" w:sz="6" w:space="0" w:color="231F20"/>
              <w:right w:val="single" w:sz="6" w:space="0" w:color="231F20"/>
            </w:tcBorders>
          </w:tcPr>
          <w:p w14:paraId="4B8E5299" w14:textId="77777777" w:rsidR="009948F1" w:rsidRDefault="009948F1">
            <w:pPr>
              <w:pStyle w:val="TableParagraph"/>
              <w:spacing w:before="3"/>
              <w:rPr>
                <w:sz w:val="13"/>
              </w:rPr>
            </w:pPr>
          </w:p>
          <w:p w14:paraId="2E03A32E" w14:textId="77777777" w:rsidR="009948F1" w:rsidRDefault="00BC0563">
            <w:pPr>
              <w:pStyle w:val="TableParagraph"/>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5C97EF41" w14:textId="77777777" w:rsidR="009948F1" w:rsidRDefault="009948F1">
            <w:pPr>
              <w:pStyle w:val="TableParagraph"/>
              <w:spacing w:before="3"/>
              <w:rPr>
                <w:sz w:val="13"/>
              </w:rPr>
            </w:pPr>
          </w:p>
          <w:p w14:paraId="4BC27EC2" w14:textId="77777777" w:rsidR="009948F1" w:rsidRDefault="00BC0563">
            <w:pPr>
              <w:pStyle w:val="TableParagraph"/>
              <w:ind w:left="22"/>
              <w:rPr>
                <w:sz w:val="12"/>
              </w:rPr>
            </w:pPr>
            <w:r>
              <w:rPr>
                <w:color w:val="231F20"/>
                <w:sz w:val="12"/>
              </w:rPr>
              <w:t>Conduct advocacy</w:t>
            </w:r>
          </w:p>
        </w:tc>
      </w:tr>
      <w:tr w:rsidR="009948F1" w14:paraId="5354C315" w14:textId="77777777">
        <w:trPr>
          <w:trHeight w:val="286"/>
        </w:trPr>
        <w:tc>
          <w:tcPr>
            <w:tcW w:w="1022" w:type="dxa"/>
            <w:gridSpan w:val="3"/>
            <w:vMerge/>
            <w:tcBorders>
              <w:top w:val="nil"/>
              <w:left w:val="single" w:sz="6" w:space="0" w:color="231F20"/>
              <w:bottom w:val="nil"/>
              <w:right w:val="single" w:sz="6" w:space="0" w:color="231F20"/>
            </w:tcBorders>
          </w:tcPr>
          <w:p w14:paraId="4727DE52"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5F88D6D0" w14:textId="77777777" w:rsidR="009948F1" w:rsidRDefault="00BC0563">
            <w:pPr>
              <w:pStyle w:val="TableParagraph"/>
              <w:spacing w:before="70"/>
              <w:ind w:left="55" w:right="40"/>
              <w:jc w:val="center"/>
              <w:rPr>
                <w:sz w:val="12"/>
              </w:rPr>
            </w:pPr>
            <w:r>
              <w:rPr>
                <w:color w:val="231F20"/>
                <w:sz w:val="12"/>
              </w:rPr>
              <w:t>8.1.1.b</w:t>
            </w:r>
          </w:p>
        </w:tc>
        <w:tc>
          <w:tcPr>
            <w:tcW w:w="4811" w:type="dxa"/>
            <w:gridSpan w:val="2"/>
            <w:tcBorders>
              <w:top w:val="single" w:sz="6" w:space="0" w:color="231F20"/>
              <w:left w:val="single" w:sz="6" w:space="0" w:color="231F20"/>
              <w:bottom w:val="single" w:sz="6" w:space="0" w:color="231F20"/>
              <w:right w:val="single" w:sz="6" w:space="0" w:color="231F20"/>
            </w:tcBorders>
          </w:tcPr>
          <w:p w14:paraId="1FA5E067" w14:textId="77777777" w:rsidR="009948F1" w:rsidRDefault="00BC0563">
            <w:pPr>
              <w:pStyle w:val="TableParagraph"/>
              <w:spacing w:before="65"/>
              <w:ind w:left="21"/>
              <w:rPr>
                <w:sz w:val="12"/>
              </w:rPr>
            </w:pPr>
            <w:r>
              <w:rPr>
                <w:color w:val="231F20"/>
                <w:sz w:val="12"/>
              </w:rPr>
              <w:t xml:space="preserve">Conduct situation analysis on the risky health </w:t>
            </w:r>
            <w:proofErr w:type="spellStart"/>
            <w:r>
              <w:rPr>
                <w:color w:val="231F20"/>
                <w:sz w:val="12"/>
              </w:rPr>
              <w:t>behaviours</w:t>
            </w:r>
            <w:proofErr w:type="spellEnd"/>
          </w:p>
        </w:tc>
        <w:tc>
          <w:tcPr>
            <w:tcW w:w="1402" w:type="dxa"/>
            <w:tcBorders>
              <w:top w:val="single" w:sz="6" w:space="0" w:color="231F20"/>
              <w:left w:val="single" w:sz="6" w:space="0" w:color="231F20"/>
              <w:bottom w:val="single" w:sz="6" w:space="0" w:color="231F20"/>
              <w:right w:val="single" w:sz="6" w:space="0" w:color="231F20"/>
            </w:tcBorders>
          </w:tcPr>
          <w:p w14:paraId="399E860B" w14:textId="77777777" w:rsidR="009948F1" w:rsidRDefault="00BC0563">
            <w:pPr>
              <w:pStyle w:val="TableParagraph"/>
              <w:spacing w:before="70"/>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1189176F" w14:textId="77777777" w:rsidR="009948F1" w:rsidRDefault="00BC0563">
            <w:pPr>
              <w:pStyle w:val="TableParagraph"/>
              <w:spacing w:before="70"/>
              <w:ind w:left="22"/>
              <w:rPr>
                <w:sz w:val="12"/>
              </w:rPr>
            </w:pPr>
            <w:r>
              <w:rPr>
                <w:color w:val="231F20"/>
                <w:sz w:val="12"/>
              </w:rPr>
              <w:t>Conduct situation analysis</w:t>
            </w:r>
          </w:p>
        </w:tc>
      </w:tr>
      <w:tr w:rsidR="009948F1" w14:paraId="1F8399D5" w14:textId="77777777">
        <w:trPr>
          <w:trHeight w:val="302"/>
        </w:trPr>
        <w:tc>
          <w:tcPr>
            <w:tcW w:w="1022" w:type="dxa"/>
            <w:gridSpan w:val="3"/>
            <w:vMerge/>
            <w:tcBorders>
              <w:top w:val="nil"/>
              <w:left w:val="single" w:sz="6" w:space="0" w:color="231F20"/>
              <w:bottom w:val="nil"/>
              <w:right w:val="single" w:sz="6" w:space="0" w:color="231F20"/>
            </w:tcBorders>
          </w:tcPr>
          <w:p w14:paraId="75CCDA96"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4EEAA427" w14:textId="77777777" w:rsidR="009948F1" w:rsidRDefault="00BC0563">
            <w:pPr>
              <w:pStyle w:val="TableParagraph"/>
              <w:spacing w:before="78"/>
              <w:ind w:left="55" w:right="40"/>
              <w:jc w:val="center"/>
              <w:rPr>
                <w:sz w:val="12"/>
              </w:rPr>
            </w:pPr>
            <w:r>
              <w:rPr>
                <w:color w:val="231F20"/>
                <w:sz w:val="12"/>
              </w:rPr>
              <w:t>8.1.1.c</w:t>
            </w:r>
          </w:p>
        </w:tc>
        <w:tc>
          <w:tcPr>
            <w:tcW w:w="4811" w:type="dxa"/>
            <w:gridSpan w:val="2"/>
            <w:tcBorders>
              <w:top w:val="single" w:sz="6" w:space="0" w:color="231F20"/>
              <w:left w:val="single" w:sz="6" w:space="0" w:color="231F20"/>
              <w:bottom w:val="single" w:sz="6" w:space="0" w:color="231F20"/>
              <w:right w:val="single" w:sz="6" w:space="0" w:color="231F20"/>
            </w:tcBorders>
          </w:tcPr>
          <w:p w14:paraId="1AA84928" w14:textId="77777777" w:rsidR="009948F1" w:rsidRDefault="00BC0563">
            <w:pPr>
              <w:pStyle w:val="TableParagraph"/>
              <w:spacing w:before="73"/>
              <w:ind w:left="54"/>
              <w:rPr>
                <w:sz w:val="12"/>
              </w:rPr>
            </w:pPr>
            <w:r>
              <w:rPr>
                <w:color w:val="231F20"/>
                <w:sz w:val="12"/>
              </w:rPr>
              <w:t>Conduct stakeholders meeting to Identify and review existing policies</w:t>
            </w:r>
          </w:p>
        </w:tc>
        <w:tc>
          <w:tcPr>
            <w:tcW w:w="1402" w:type="dxa"/>
            <w:tcBorders>
              <w:top w:val="single" w:sz="6" w:space="0" w:color="231F20"/>
              <w:left w:val="single" w:sz="6" w:space="0" w:color="231F20"/>
              <w:bottom w:val="single" w:sz="6" w:space="0" w:color="231F20"/>
              <w:right w:val="single" w:sz="6" w:space="0" w:color="231F20"/>
            </w:tcBorders>
          </w:tcPr>
          <w:p w14:paraId="450B46F7"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5CAE5DDA" w14:textId="77777777" w:rsidR="009948F1" w:rsidRDefault="00BC0563">
            <w:pPr>
              <w:pStyle w:val="TableParagraph"/>
              <w:ind w:left="54"/>
              <w:rPr>
                <w:sz w:val="12"/>
              </w:rPr>
            </w:pPr>
            <w:r>
              <w:rPr>
                <w:color w:val="231F20"/>
                <w:sz w:val="12"/>
              </w:rPr>
              <w:t>Conduct stakeholders</w:t>
            </w:r>
          </w:p>
          <w:p w14:paraId="28535228" w14:textId="77777777" w:rsidR="009948F1" w:rsidRDefault="00BC0563">
            <w:pPr>
              <w:pStyle w:val="TableParagraph"/>
              <w:spacing w:before="17" w:line="127" w:lineRule="exact"/>
              <w:ind w:left="22"/>
              <w:rPr>
                <w:sz w:val="12"/>
              </w:rPr>
            </w:pPr>
            <w:r>
              <w:rPr>
                <w:color w:val="231F20"/>
                <w:sz w:val="12"/>
              </w:rPr>
              <w:t>meeting</w:t>
            </w:r>
          </w:p>
        </w:tc>
      </w:tr>
      <w:tr w:rsidR="009948F1" w14:paraId="188A40A1" w14:textId="77777777">
        <w:trPr>
          <w:trHeight w:val="404"/>
        </w:trPr>
        <w:tc>
          <w:tcPr>
            <w:tcW w:w="1022" w:type="dxa"/>
            <w:gridSpan w:val="3"/>
            <w:vMerge/>
            <w:tcBorders>
              <w:top w:val="nil"/>
              <w:left w:val="single" w:sz="6" w:space="0" w:color="231F20"/>
              <w:bottom w:val="nil"/>
              <w:right w:val="single" w:sz="6" w:space="0" w:color="231F20"/>
            </w:tcBorders>
          </w:tcPr>
          <w:p w14:paraId="16B136EE"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279504EE" w14:textId="77777777" w:rsidR="009948F1" w:rsidRDefault="009948F1">
            <w:pPr>
              <w:pStyle w:val="TableParagraph"/>
              <w:spacing w:before="2"/>
              <w:rPr>
                <w:sz w:val="11"/>
              </w:rPr>
            </w:pPr>
          </w:p>
          <w:p w14:paraId="1AEAE858" w14:textId="77777777" w:rsidR="009948F1" w:rsidRDefault="00BC0563">
            <w:pPr>
              <w:pStyle w:val="TableParagraph"/>
              <w:ind w:left="55" w:right="40"/>
              <w:jc w:val="center"/>
              <w:rPr>
                <w:sz w:val="12"/>
              </w:rPr>
            </w:pPr>
            <w:r>
              <w:rPr>
                <w:color w:val="231F20"/>
                <w:sz w:val="12"/>
              </w:rPr>
              <w:t>8.1.1.d</w:t>
            </w:r>
          </w:p>
        </w:tc>
        <w:tc>
          <w:tcPr>
            <w:tcW w:w="4811" w:type="dxa"/>
            <w:gridSpan w:val="2"/>
            <w:tcBorders>
              <w:top w:val="single" w:sz="6" w:space="0" w:color="231F20"/>
              <w:left w:val="single" w:sz="6" w:space="0" w:color="231F20"/>
              <w:bottom w:val="single" w:sz="6" w:space="0" w:color="231F20"/>
              <w:right w:val="single" w:sz="6" w:space="0" w:color="231F20"/>
            </w:tcBorders>
          </w:tcPr>
          <w:p w14:paraId="40E02F31" w14:textId="77777777" w:rsidR="009948F1" w:rsidRDefault="00BC0563">
            <w:pPr>
              <w:pStyle w:val="TableParagraph"/>
              <w:spacing w:before="46" w:line="271" w:lineRule="auto"/>
              <w:ind w:left="21" w:right="187"/>
              <w:rPr>
                <w:sz w:val="12"/>
              </w:rPr>
            </w:pPr>
            <w:r>
              <w:rPr>
                <w:color w:val="231F20"/>
                <w:sz w:val="12"/>
              </w:rPr>
              <w:t>Design</w:t>
            </w:r>
            <w:r>
              <w:rPr>
                <w:color w:val="231F20"/>
                <w:spacing w:val="-10"/>
                <w:sz w:val="12"/>
              </w:rPr>
              <w:t xml:space="preserve"> </w:t>
            </w:r>
            <w:r>
              <w:rPr>
                <w:color w:val="231F20"/>
                <w:sz w:val="12"/>
              </w:rPr>
              <w:t>&amp;</w:t>
            </w:r>
            <w:r>
              <w:rPr>
                <w:color w:val="231F20"/>
                <w:spacing w:val="-10"/>
                <w:sz w:val="12"/>
              </w:rPr>
              <w:t xml:space="preserve"> </w:t>
            </w:r>
            <w:r>
              <w:rPr>
                <w:color w:val="231F20"/>
                <w:sz w:val="12"/>
              </w:rPr>
              <w:t>print</w:t>
            </w:r>
            <w:r>
              <w:rPr>
                <w:color w:val="231F20"/>
                <w:spacing w:val="-9"/>
                <w:sz w:val="12"/>
              </w:rPr>
              <w:t xml:space="preserve"> </w:t>
            </w:r>
            <w:r>
              <w:rPr>
                <w:color w:val="231F20"/>
                <w:sz w:val="12"/>
              </w:rPr>
              <w:t>posters</w:t>
            </w:r>
            <w:r>
              <w:rPr>
                <w:color w:val="231F20"/>
                <w:spacing w:val="-10"/>
                <w:sz w:val="12"/>
              </w:rPr>
              <w:t xml:space="preserve"> </w:t>
            </w:r>
            <w:r>
              <w:rPr>
                <w:color w:val="231F20"/>
                <w:sz w:val="12"/>
              </w:rPr>
              <w:t>on</w:t>
            </w:r>
            <w:r>
              <w:rPr>
                <w:color w:val="231F20"/>
                <w:spacing w:val="-10"/>
                <w:sz w:val="12"/>
              </w:rPr>
              <w:t xml:space="preserve"> </w:t>
            </w:r>
            <w:r>
              <w:rPr>
                <w:color w:val="231F20"/>
                <w:sz w:val="12"/>
              </w:rPr>
              <w:t>healthy</w:t>
            </w:r>
            <w:r>
              <w:rPr>
                <w:color w:val="231F20"/>
                <w:spacing w:val="-9"/>
                <w:sz w:val="12"/>
              </w:rPr>
              <w:t xml:space="preserve"> </w:t>
            </w:r>
            <w:r>
              <w:rPr>
                <w:color w:val="231F20"/>
                <w:sz w:val="12"/>
              </w:rPr>
              <w:t>living</w:t>
            </w:r>
            <w:r>
              <w:rPr>
                <w:color w:val="231F20"/>
                <w:spacing w:val="-10"/>
                <w:sz w:val="12"/>
              </w:rPr>
              <w:t xml:space="preserve"> </w:t>
            </w:r>
            <w:r>
              <w:rPr>
                <w:color w:val="231F20"/>
                <w:sz w:val="12"/>
              </w:rPr>
              <w:t>and</w:t>
            </w:r>
            <w:r>
              <w:rPr>
                <w:color w:val="231F20"/>
                <w:spacing w:val="-10"/>
                <w:sz w:val="12"/>
              </w:rPr>
              <w:t xml:space="preserve"> </w:t>
            </w:r>
            <w:r>
              <w:rPr>
                <w:color w:val="231F20"/>
                <w:sz w:val="12"/>
              </w:rPr>
              <w:t>distribute</w:t>
            </w:r>
            <w:r>
              <w:rPr>
                <w:color w:val="231F20"/>
                <w:spacing w:val="-9"/>
                <w:sz w:val="12"/>
              </w:rPr>
              <w:t xml:space="preserve"> </w:t>
            </w:r>
            <w:r>
              <w:rPr>
                <w:color w:val="231F20"/>
                <w:sz w:val="12"/>
              </w:rPr>
              <w:t>to</w:t>
            </w:r>
            <w:r>
              <w:rPr>
                <w:color w:val="231F20"/>
                <w:spacing w:val="-10"/>
                <w:sz w:val="12"/>
              </w:rPr>
              <w:t xml:space="preserve"> </w:t>
            </w:r>
            <w:r>
              <w:rPr>
                <w:color w:val="231F20"/>
                <w:sz w:val="12"/>
              </w:rPr>
              <w:t>every</w:t>
            </w:r>
            <w:r>
              <w:rPr>
                <w:color w:val="231F20"/>
                <w:spacing w:val="-9"/>
                <w:sz w:val="12"/>
              </w:rPr>
              <w:t xml:space="preserve"> </w:t>
            </w:r>
            <w:r>
              <w:rPr>
                <w:color w:val="231F20"/>
                <w:sz w:val="12"/>
              </w:rPr>
              <w:t>community</w:t>
            </w:r>
            <w:r>
              <w:rPr>
                <w:color w:val="231F20"/>
                <w:spacing w:val="-10"/>
                <w:sz w:val="12"/>
              </w:rPr>
              <w:t xml:space="preserve"> </w:t>
            </w:r>
            <w:r>
              <w:rPr>
                <w:color w:val="231F20"/>
                <w:sz w:val="12"/>
              </w:rPr>
              <w:t>and</w:t>
            </w:r>
            <w:r>
              <w:rPr>
                <w:color w:val="231F20"/>
                <w:spacing w:val="-10"/>
                <w:sz w:val="12"/>
              </w:rPr>
              <w:t xml:space="preserve"> </w:t>
            </w:r>
            <w:r>
              <w:rPr>
                <w:color w:val="231F20"/>
                <w:sz w:val="12"/>
              </w:rPr>
              <w:t>schools</w:t>
            </w:r>
            <w:r>
              <w:rPr>
                <w:color w:val="231F20"/>
                <w:spacing w:val="-9"/>
                <w:sz w:val="12"/>
              </w:rPr>
              <w:t xml:space="preserve"> </w:t>
            </w:r>
            <w:r>
              <w:rPr>
                <w:color w:val="231F20"/>
                <w:sz w:val="12"/>
              </w:rPr>
              <w:t>in the 23 LGAs of the</w:t>
            </w:r>
            <w:r>
              <w:rPr>
                <w:color w:val="231F20"/>
                <w:spacing w:val="-7"/>
                <w:sz w:val="12"/>
              </w:rPr>
              <w:t xml:space="preserve"> </w:t>
            </w:r>
            <w:r>
              <w:rPr>
                <w:color w:val="231F20"/>
                <w:sz w:val="12"/>
              </w:rPr>
              <w:t>state</w:t>
            </w:r>
          </w:p>
        </w:tc>
        <w:tc>
          <w:tcPr>
            <w:tcW w:w="1402" w:type="dxa"/>
            <w:tcBorders>
              <w:top w:val="single" w:sz="6" w:space="0" w:color="231F20"/>
              <w:left w:val="single" w:sz="6" w:space="0" w:color="231F20"/>
              <w:bottom w:val="single" w:sz="6" w:space="0" w:color="231F20"/>
              <w:right w:val="single" w:sz="6" w:space="0" w:color="231F20"/>
            </w:tcBorders>
          </w:tcPr>
          <w:p w14:paraId="737F3F9E" w14:textId="77777777" w:rsidR="009948F1" w:rsidRDefault="009948F1">
            <w:pPr>
              <w:pStyle w:val="TableParagraph"/>
              <w:spacing w:before="2"/>
              <w:rPr>
                <w:sz w:val="11"/>
              </w:rPr>
            </w:pPr>
          </w:p>
          <w:p w14:paraId="73B881E9" w14:textId="77777777" w:rsidR="009948F1" w:rsidRDefault="00BC0563">
            <w:pPr>
              <w:pStyle w:val="TableParagraph"/>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085CCF0B" w14:textId="77777777" w:rsidR="009948F1" w:rsidRDefault="009948F1">
            <w:pPr>
              <w:pStyle w:val="TableParagraph"/>
              <w:spacing w:before="2"/>
              <w:rPr>
                <w:sz w:val="11"/>
              </w:rPr>
            </w:pPr>
          </w:p>
          <w:p w14:paraId="6B7F9529" w14:textId="77777777" w:rsidR="009948F1" w:rsidRDefault="00BC0563">
            <w:pPr>
              <w:pStyle w:val="TableParagraph"/>
              <w:ind w:left="22"/>
              <w:rPr>
                <w:sz w:val="12"/>
              </w:rPr>
            </w:pPr>
            <w:r>
              <w:rPr>
                <w:color w:val="231F20"/>
                <w:sz w:val="12"/>
              </w:rPr>
              <w:t>Design &amp; print posters</w:t>
            </w:r>
          </w:p>
        </w:tc>
      </w:tr>
      <w:tr w:rsidR="009948F1" w14:paraId="3926EB3A" w14:textId="77777777">
        <w:trPr>
          <w:trHeight w:val="302"/>
        </w:trPr>
        <w:tc>
          <w:tcPr>
            <w:tcW w:w="1022" w:type="dxa"/>
            <w:gridSpan w:val="3"/>
            <w:vMerge/>
            <w:tcBorders>
              <w:top w:val="nil"/>
              <w:left w:val="single" w:sz="6" w:space="0" w:color="231F20"/>
              <w:bottom w:val="nil"/>
              <w:right w:val="single" w:sz="6" w:space="0" w:color="231F20"/>
            </w:tcBorders>
          </w:tcPr>
          <w:p w14:paraId="0ADE2859"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07BE993B" w14:textId="77777777" w:rsidR="009948F1" w:rsidRDefault="00BC0563">
            <w:pPr>
              <w:pStyle w:val="TableParagraph"/>
              <w:spacing w:before="78"/>
              <w:ind w:left="55" w:right="40"/>
              <w:jc w:val="center"/>
              <w:rPr>
                <w:sz w:val="12"/>
              </w:rPr>
            </w:pPr>
            <w:r>
              <w:rPr>
                <w:color w:val="231F20"/>
                <w:sz w:val="12"/>
              </w:rPr>
              <w:t>8.1.1.e</w:t>
            </w:r>
          </w:p>
        </w:tc>
        <w:tc>
          <w:tcPr>
            <w:tcW w:w="4811" w:type="dxa"/>
            <w:gridSpan w:val="2"/>
            <w:tcBorders>
              <w:top w:val="single" w:sz="6" w:space="0" w:color="231F20"/>
              <w:left w:val="single" w:sz="6" w:space="0" w:color="231F20"/>
              <w:bottom w:val="single" w:sz="6" w:space="0" w:color="231F20"/>
              <w:right w:val="single" w:sz="6" w:space="0" w:color="231F20"/>
            </w:tcBorders>
          </w:tcPr>
          <w:p w14:paraId="36091712" w14:textId="77777777" w:rsidR="009948F1" w:rsidRDefault="00BC0563">
            <w:pPr>
              <w:pStyle w:val="TableParagraph"/>
              <w:spacing w:before="73"/>
              <w:ind w:left="21"/>
              <w:rPr>
                <w:sz w:val="12"/>
              </w:rPr>
            </w:pPr>
            <w:r>
              <w:rPr>
                <w:color w:val="231F20"/>
                <w:sz w:val="12"/>
              </w:rPr>
              <w:t>Legislate standard of establishment of private schools</w:t>
            </w:r>
          </w:p>
        </w:tc>
        <w:tc>
          <w:tcPr>
            <w:tcW w:w="1402" w:type="dxa"/>
            <w:tcBorders>
              <w:top w:val="single" w:sz="6" w:space="0" w:color="231F20"/>
              <w:left w:val="single" w:sz="6" w:space="0" w:color="231F20"/>
              <w:bottom w:val="single" w:sz="6" w:space="0" w:color="231F20"/>
              <w:right w:val="single" w:sz="6" w:space="0" w:color="231F20"/>
            </w:tcBorders>
          </w:tcPr>
          <w:p w14:paraId="15C6CE94"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06EFD0B9" w14:textId="77777777" w:rsidR="009948F1" w:rsidRDefault="00BC0563">
            <w:pPr>
              <w:pStyle w:val="TableParagraph"/>
              <w:spacing w:before="78"/>
              <w:ind w:left="22"/>
              <w:rPr>
                <w:sz w:val="12"/>
              </w:rPr>
            </w:pPr>
            <w:r>
              <w:rPr>
                <w:color w:val="231F20"/>
                <w:sz w:val="12"/>
              </w:rPr>
              <w:t>No cost</w:t>
            </w:r>
          </w:p>
        </w:tc>
      </w:tr>
      <w:tr w:rsidR="009948F1" w14:paraId="4C359A9F" w14:textId="77777777">
        <w:trPr>
          <w:trHeight w:val="1115"/>
        </w:trPr>
        <w:tc>
          <w:tcPr>
            <w:tcW w:w="575" w:type="dxa"/>
            <w:gridSpan w:val="2"/>
            <w:tcBorders>
              <w:top w:val="nil"/>
              <w:left w:val="single" w:sz="6" w:space="0" w:color="231F20"/>
              <w:bottom w:val="nil"/>
              <w:right w:val="single" w:sz="6" w:space="0" w:color="231F20"/>
            </w:tcBorders>
          </w:tcPr>
          <w:p w14:paraId="251AD562" w14:textId="77777777" w:rsidR="009948F1" w:rsidRDefault="009948F1">
            <w:pPr>
              <w:pStyle w:val="TableParagraph"/>
              <w:rPr>
                <w:rFonts w:ascii="Times New Roman"/>
                <w:sz w:val="10"/>
              </w:rPr>
            </w:pPr>
          </w:p>
        </w:tc>
        <w:tc>
          <w:tcPr>
            <w:tcW w:w="447" w:type="dxa"/>
            <w:tcBorders>
              <w:top w:val="single" w:sz="6" w:space="0" w:color="231F20"/>
              <w:left w:val="single" w:sz="6" w:space="0" w:color="231F20"/>
              <w:bottom w:val="single" w:sz="6" w:space="0" w:color="231F20"/>
              <w:right w:val="single" w:sz="6" w:space="0" w:color="231F20"/>
            </w:tcBorders>
            <w:shd w:val="clear" w:color="auto" w:fill="CCE7D3"/>
          </w:tcPr>
          <w:p w14:paraId="1178C4C1" w14:textId="77777777" w:rsidR="009948F1" w:rsidRDefault="009948F1">
            <w:pPr>
              <w:pStyle w:val="TableParagraph"/>
              <w:rPr>
                <w:sz w:val="12"/>
              </w:rPr>
            </w:pPr>
          </w:p>
          <w:p w14:paraId="6120E3C6" w14:textId="77777777" w:rsidR="009948F1" w:rsidRDefault="009948F1">
            <w:pPr>
              <w:pStyle w:val="TableParagraph"/>
              <w:rPr>
                <w:sz w:val="12"/>
              </w:rPr>
            </w:pPr>
          </w:p>
          <w:p w14:paraId="45CEFD98" w14:textId="77777777" w:rsidR="009948F1" w:rsidRDefault="009948F1">
            <w:pPr>
              <w:pStyle w:val="TableParagraph"/>
              <w:rPr>
                <w:sz w:val="12"/>
              </w:rPr>
            </w:pPr>
          </w:p>
          <w:p w14:paraId="30E381D1" w14:textId="77777777" w:rsidR="009948F1" w:rsidRDefault="00BC0563">
            <w:pPr>
              <w:pStyle w:val="TableParagraph"/>
              <w:spacing w:before="71"/>
              <w:ind w:left="32" w:right="93"/>
              <w:jc w:val="center"/>
              <w:rPr>
                <w:sz w:val="12"/>
              </w:rPr>
            </w:pPr>
            <w:r>
              <w:rPr>
                <w:color w:val="231F20"/>
                <w:sz w:val="12"/>
              </w:rPr>
              <w:t>8.1.2</w:t>
            </w:r>
          </w:p>
        </w:tc>
        <w:tc>
          <w:tcPr>
            <w:tcW w:w="2985" w:type="dxa"/>
            <w:gridSpan w:val="2"/>
            <w:tcBorders>
              <w:top w:val="single" w:sz="6" w:space="0" w:color="231F20"/>
              <w:left w:val="single" w:sz="6" w:space="0" w:color="231F20"/>
              <w:bottom w:val="single" w:sz="6" w:space="0" w:color="231F20"/>
              <w:right w:val="single" w:sz="6" w:space="0" w:color="231F20"/>
            </w:tcBorders>
            <w:shd w:val="clear" w:color="auto" w:fill="CCE7D3"/>
          </w:tcPr>
          <w:p w14:paraId="22F80159" w14:textId="77777777" w:rsidR="009948F1" w:rsidRDefault="009948F1">
            <w:pPr>
              <w:pStyle w:val="TableParagraph"/>
              <w:rPr>
                <w:sz w:val="12"/>
              </w:rPr>
            </w:pPr>
          </w:p>
          <w:p w14:paraId="1F5885AE" w14:textId="77777777" w:rsidR="009948F1" w:rsidRDefault="009948F1">
            <w:pPr>
              <w:pStyle w:val="TableParagraph"/>
              <w:rPr>
                <w:sz w:val="12"/>
              </w:rPr>
            </w:pPr>
          </w:p>
          <w:p w14:paraId="220D2F97" w14:textId="77777777" w:rsidR="009948F1" w:rsidRDefault="009948F1">
            <w:pPr>
              <w:pStyle w:val="TableParagraph"/>
              <w:spacing w:before="10"/>
              <w:rPr>
                <w:sz w:val="10"/>
              </w:rPr>
            </w:pPr>
          </w:p>
          <w:p w14:paraId="6EE7835A" w14:textId="77777777" w:rsidR="009948F1" w:rsidRDefault="00BC0563">
            <w:pPr>
              <w:pStyle w:val="TableParagraph"/>
              <w:spacing w:line="271" w:lineRule="auto"/>
              <w:ind w:left="21" w:right="22" w:firstLine="32"/>
              <w:rPr>
                <w:sz w:val="12"/>
              </w:rPr>
            </w:pPr>
            <w:r>
              <w:rPr>
                <w:color w:val="231F20"/>
                <w:sz w:val="12"/>
              </w:rPr>
              <w:t>Strengthen community capacity for responses and ownership of health promotion.</w:t>
            </w:r>
          </w:p>
        </w:tc>
        <w:tc>
          <w:tcPr>
            <w:tcW w:w="2343" w:type="dxa"/>
            <w:tcBorders>
              <w:top w:val="single" w:sz="6" w:space="0" w:color="231F20"/>
              <w:left w:val="single" w:sz="6" w:space="0" w:color="231F20"/>
              <w:bottom w:val="single" w:sz="6" w:space="0" w:color="231F20"/>
              <w:right w:val="single" w:sz="6" w:space="0" w:color="231F20"/>
            </w:tcBorders>
            <w:shd w:val="clear" w:color="auto" w:fill="CCE7D3"/>
          </w:tcPr>
          <w:p w14:paraId="42A7092F" w14:textId="77777777" w:rsidR="009948F1" w:rsidRDefault="00BC0563">
            <w:pPr>
              <w:pStyle w:val="TableParagraph"/>
              <w:numPr>
                <w:ilvl w:val="0"/>
                <w:numId w:val="98"/>
              </w:numPr>
              <w:tabs>
                <w:tab w:val="left" w:pos="96"/>
              </w:tabs>
              <w:spacing w:before="9" w:line="213" w:lineRule="auto"/>
              <w:ind w:right="110" w:firstLine="0"/>
              <w:rPr>
                <w:sz w:val="12"/>
              </w:rPr>
            </w:pPr>
            <w:r>
              <w:rPr>
                <w:color w:val="231F20"/>
                <w:sz w:val="12"/>
              </w:rPr>
              <w:t>Community</w:t>
            </w:r>
            <w:r>
              <w:rPr>
                <w:color w:val="231F20"/>
                <w:spacing w:val="-10"/>
                <w:sz w:val="12"/>
              </w:rPr>
              <w:t xml:space="preserve"> </w:t>
            </w:r>
            <w:r>
              <w:rPr>
                <w:color w:val="231F20"/>
                <w:sz w:val="12"/>
              </w:rPr>
              <w:t>sensitized</w:t>
            </w:r>
            <w:r>
              <w:rPr>
                <w:color w:val="231F20"/>
                <w:spacing w:val="-10"/>
                <w:sz w:val="12"/>
              </w:rPr>
              <w:t xml:space="preserve"> </w:t>
            </w:r>
            <w:r>
              <w:rPr>
                <w:color w:val="231F20"/>
                <w:sz w:val="12"/>
              </w:rPr>
              <w:t>on</w:t>
            </w:r>
            <w:r>
              <w:rPr>
                <w:color w:val="231F20"/>
                <w:spacing w:val="-9"/>
                <w:sz w:val="12"/>
              </w:rPr>
              <w:t xml:space="preserve"> </w:t>
            </w:r>
            <w:r>
              <w:rPr>
                <w:color w:val="231F20"/>
                <w:sz w:val="12"/>
              </w:rPr>
              <w:t>the</w:t>
            </w:r>
            <w:r>
              <w:rPr>
                <w:color w:val="231F20"/>
                <w:spacing w:val="-10"/>
                <w:sz w:val="12"/>
              </w:rPr>
              <w:t xml:space="preserve"> </w:t>
            </w:r>
            <w:r>
              <w:rPr>
                <w:color w:val="231F20"/>
                <w:sz w:val="12"/>
              </w:rPr>
              <w:t>risky</w:t>
            </w:r>
            <w:r>
              <w:rPr>
                <w:color w:val="231F20"/>
                <w:spacing w:val="-10"/>
                <w:sz w:val="12"/>
              </w:rPr>
              <w:t xml:space="preserve"> </w:t>
            </w:r>
            <w:r>
              <w:rPr>
                <w:color w:val="231F20"/>
                <w:spacing w:val="-4"/>
                <w:sz w:val="12"/>
              </w:rPr>
              <w:t xml:space="preserve">health </w:t>
            </w:r>
            <w:proofErr w:type="spellStart"/>
            <w:r>
              <w:rPr>
                <w:color w:val="231F20"/>
                <w:sz w:val="12"/>
              </w:rPr>
              <w:t>behaviours</w:t>
            </w:r>
            <w:proofErr w:type="spellEnd"/>
            <w:r>
              <w:rPr>
                <w:color w:val="231F20"/>
                <w:sz w:val="12"/>
              </w:rPr>
              <w:t xml:space="preserve"> and</w:t>
            </w:r>
            <w:r>
              <w:rPr>
                <w:color w:val="231F20"/>
                <w:spacing w:val="-7"/>
                <w:sz w:val="12"/>
              </w:rPr>
              <w:t xml:space="preserve"> </w:t>
            </w:r>
            <w:r>
              <w:rPr>
                <w:color w:val="231F20"/>
                <w:sz w:val="12"/>
              </w:rPr>
              <w:t>consequences</w:t>
            </w:r>
          </w:p>
          <w:p w14:paraId="1D1822B9" w14:textId="713A5B60" w:rsidR="009948F1" w:rsidRDefault="00BC0563">
            <w:pPr>
              <w:pStyle w:val="TableParagraph"/>
              <w:numPr>
                <w:ilvl w:val="0"/>
                <w:numId w:val="98"/>
              </w:numPr>
              <w:tabs>
                <w:tab w:val="left" w:pos="64"/>
              </w:tabs>
              <w:spacing w:before="6" w:line="232" w:lineRule="auto"/>
              <w:ind w:right="99" w:firstLine="0"/>
              <w:rPr>
                <w:sz w:val="12"/>
              </w:rPr>
            </w:pPr>
            <w:r>
              <w:rPr>
                <w:color w:val="231F20"/>
                <w:sz w:val="12"/>
              </w:rPr>
              <w:t>Orientation and re-orientation of WDCs, CBOs</w:t>
            </w:r>
            <w:r>
              <w:rPr>
                <w:color w:val="231F20"/>
                <w:spacing w:val="-8"/>
                <w:sz w:val="12"/>
              </w:rPr>
              <w:t xml:space="preserve"> </w:t>
            </w:r>
            <w:r w:rsidR="00A93E69">
              <w:rPr>
                <w:color w:val="231F20"/>
                <w:sz w:val="12"/>
              </w:rPr>
              <w:t>etc.</w:t>
            </w:r>
            <w:r>
              <w:rPr>
                <w:color w:val="231F20"/>
                <w:spacing w:val="-8"/>
                <w:sz w:val="12"/>
              </w:rPr>
              <w:t xml:space="preserve"> </w:t>
            </w:r>
            <w:r>
              <w:rPr>
                <w:color w:val="231F20"/>
                <w:sz w:val="12"/>
              </w:rPr>
              <w:t>on</w:t>
            </w:r>
            <w:r>
              <w:rPr>
                <w:color w:val="231F20"/>
                <w:spacing w:val="-8"/>
                <w:sz w:val="12"/>
              </w:rPr>
              <w:t xml:space="preserve"> </w:t>
            </w:r>
            <w:r>
              <w:rPr>
                <w:color w:val="231F20"/>
                <w:sz w:val="12"/>
              </w:rPr>
              <w:t>promotion</w:t>
            </w:r>
            <w:r>
              <w:rPr>
                <w:color w:val="231F20"/>
                <w:spacing w:val="-8"/>
                <w:sz w:val="12"/>
              </w:rPr>
              <w:t xml:space="preserve"> </w:t>
            </w:r>
            <w:r>
              <w:rPr>
                <w:color w:val="231F20"/>
                <w:sz w:val="12"/>
              </w:rPr>
              <w:t>of</w:t>
            </w:r>
            <w:r>
              <w:rPr>
                <w:color w:val="231F20"/>
                <w:spacing w:val="-8"/>
                <w:sz w:val="12"/>
              </w:rPr>
              <w:t xml:space="preserve"> </w:t>
            </w:r>
            <w:r>
              <w:rPr>
                <w:color w:val="231F20"/>
                <w:sz w:val="12"/>
              </w:rPr>
              <w:t>healthy</w:t>
            </w:r>
            <w:r>
              <w:rPr>
                <w:color w:val="231F20"/>
                <w:spacing w:val="-8"/>
                <w:sz w:val="12"/>
              </w:rPr>
              <w:t xml:space="preserve"> </w:t>
            </w:r>
            <w:r>
              <w:rPr>
                <w:color w:val="231F20"/>
                <w:sz w:val="12"/>
              </w:rPr>
              <w:t>life</w:t>
            </w:r>
            <w:r>
              <w:rPr>
                <w:color w:val="231F20"/>
                <w:spacing w:val="-8"/>
                <w:sz w:val="12"/>
              </w:rPr>
              <w:t xml:space="preserve"> </w:t>
            </w:r>
            <w:r>
              <w:rPr>
                <w:color w:val="231F20"/>
                <w:spacing w:val="-4"/>
                <w:sz w:val="12"/>
              </w:rPr>
              <w:t xml:space="preserve">style </w:t>
            </w:r>
            <w:r>
              <w:rPr>
                <w:color w:val="231F20"/>
                <w:sz w:val="12"/>
              </w:rPr>
              <w:t>done</w:t>
            </w:r>
          </w:p>
          <w:p w14:paraId="41F8D418" w14:textId="77777777" w:rsidR="009948F1" w:rsidRDefault="00BC0563">
            <w:pPr>
              <w:pStyle w:val="TableParagraph"/>
              <w:numPr>
                <w:ilvl w:val="0"/>
                <w:numId w:val="98"/>
              </w:numPr>
              <w:tabs>
                <w:tab w:val="left" w:pos="96"/>
              </w:tabs>
              <w:spacing w:before="17"/>
              <w:ind w:left="95" w:hanging="75"/>
              <w:rPr>
                <w:sz w:val="12"/>
              </w:rPr>
            </w:pPr>
            <w:r>
              <w:rPr>
                <w:color w:val="231F20"/>
                <w:sz w:val="12"/>
              </w:rPr>
              <w:t>Outreaches</w:t>
            </w:r>
            <w:r>
              <w:rPr>
                <w:color w:val="231F20"/>
                <w:spacing w:val="-6"/>
                <w:sz w:val="12"/>
              </w:rPr>
              <w:t xml:space="preserve"> </w:t>
            </w:r>
            <w:r>
              <w:rPr>
                <w:color w:val="231F20"/>
                <w:sz w:val="12"/>
              </w:rPr>
              <w:t>and</w:t>
            </w:r>
            <w:r>
              <w:rPr>
                <w:color w:val="231F20"/>
                <w:spacing w:val="-5"/>
                <w:sz w:val="12"/>
              </w:rPr>
              <w:t xml:space="preserve"> </w:t>
            </w:r>
            <w:r>
              <w:rPr>
                <w:color w:val="231F20"/>
                <w:sz w:val="12"/>
              </w:rPr>
              <w:t>town</w:t>
            </w:r>
            <w:r>
              <w:rPr>
                <w:color w:val="231F20"/>
                <w:spacing w:val="-6"/>
                <w:sz w:val="12"/>
              </w:rPr>
              <w:t xml:space="preserve"> </w:t>
            </w:r>
            <w:r>
              <w:rPr>
                <w:color w:val="231F20"/>
                <w:sz w:val="12"/>
              </w:rPr>
              <w:t>hall</w:t>
            </w:r>
            <w:r>
              <w:rPr>
                <w:color w:val="231F20"/>
                <w:spacing w:val="-5"/>
                <w:sz w:val="12"/>
              </w:rPr>
              <w:t xml:space="preserve"> </w:t>
            </w:r>
            <w:r>
              <w:rPr>
                <w:color w:val="231F20"/>
                <w:sz w:val="12"/>
              </w:rPr>
              <w:t>meetings</w:t>
            </w:r>
            <w:r>
              <w:rPr>
                <w:color w:val="231F20"/>
                <w:spacing w:val="-6"/>
                <w:sz w:val="12"/>
              </w:rPr>
              <w:t xml:space="preserve"> </w:t>
            </w:r>
            <w:r>
              <w:rPr>
                <w:color w:val="231F20"/>
                <w:sz w:val="12"/>
              </w:rPr>
              <w:t>on</w:t>
            </w:r>
          </w:p>
          <w:p w14:paraId="01ED821A" w14:textId="77777777" w:rsidR="009948F1" w:rsidRDefault="00BC0563">
            <w:pPr>
              <w:pStyle w:val="TableParagraph"/>
              <w:spacing w:before="7" w:line="130" w:lineRule="atLeast"/>
              <w:ind w:left="21" w:right="499"/>
              <w:rPr>
                <w:sz w:val="12"/>
              </w:rPr>
            </w:pPr>
            <w:r>
              <w:rPr>
                <w:color w:val="231F20"/>
                <w:sz w:val="12"/>
              </w:rPr>
              <w:t>promotion of healthy life style and environment done</w:t>
            </w:r>
          </w:p>
        </w:tc>
        <w:tc>
          <w:tcPr>
            <w:tcW w:w="1402" w:type="dxa"/>
            <w:tcBorders>
              <w:top w:val="single" w:sz="6" w:space="0" w:color="231F20"/>
              <w:left w:val="single" w:sz="6" w:space="0" w:color="231F20"/>
              <w:bottom w:val="single" w:sz="6" w:space="0" w:color="231F20"/>
              <w:right w:val="single" w:sz="6" w:space="0" w:color="231F20"/>
            </w:tcBorders>
            <w:shd w:val="clear" w:color="auto" w:fill="CCE7D3"/>
          </w:tcPr>
          <w:p w14:paraId="0FA4C9B5" w14:textId="77777777" w:rsidR="009948F1" w:rsidRDefault="009948F1">
            <w:pPr>
              <w:pStyle w:val="TableParagraph"/>
              <w:rPr>
                <w:rFonts w:ascii="Times New Roman"/>
                <w:sz w:val="10"/>
              </w:rPr>
            </w:pPr>
          </w:p>
        </w:tc>
        <w:tc>
          <w:tcPr>
            <w:tcW w:w="1479" w:type="dxa"/>
            <w:tcBorders>
              <w:top w:val="single" w:sz="6" w:space="0" w:color="231F20"/>
              <w:left w:val="single" w:sz="6" w:space="0" w:color="231F20"/>
              <w:bottom w:val="single" w:sz="6" w:space="0" w:color="231F20"/>
              <w:right w:val="single" w:sz="6" w:space="0" w:color="231F20"/>
            </w:tcBorders>
            <w:shd w:val="clear" w:color="auto" w:fill="CCE7D3"/>
          </w:tcPr>
          <w:p w14:paraId="3FDAE951" w14:textId="77777777" w:rsidR="009948F1" w:rsidRDefault="009948F1">
            <w:pPr>
              <w:pStyle w:val="TableParagraph"/>
              <w:rPr>
                <w:rFonts w:ascii="Times New Roman"/>
                <w:sz w:val="10"/>
              </w:rPr>
            </w:pPr>
          </w:p>
        </w:tc>
      </w:tr>
      <w:tr w:rsidR="009948F1" w14:paraId="42FF7763" w14:textId="77777777">
        <w:trPr>
          <w:trHeight w:val="374"/>
        </w:trPr>
        <w:tc>
          <w:tcPr>
            <w:tcW w:w="1022" w:type="dxa"/>
            <w:gridSpan w:val="3"/>
            <w:vMerge w:val="restart"/>
            <w:tcBorders>
              <w:top w:val="nil"/>
              <w:left w:val="single" w:sz="6" w:space="0" w:color="231F20"/>
              <w:bottom w:val="nil"/>
              <w:right w:val="single" w:sz="6" w:space="0" w:color="231F20"/>
            </w:tcBorders>
          </w:tcPr>
          <w:p w14:paraId="3F79A991" w14:textId="77777777" w:rsidR="009948F1" w:rsidRDefault="009948F1">
            <w:pPr>
              <w:pStyle w:val="TableParagraph"/>
              <w:rPr>
                <w:rFonts w:ascii="Times New Roman"/>
                <w:sz w:val="10"/>
              </w:rPr>
            </w:pPr>
          </w:p>
        </w:tc>
        <w:tc>
          <w:tcPr>
            <w:tcW w:w="517" w:type="dxa"/>
            <w:tcBorders>
              <w:top w:val="single" w:sz="6" w:space="0" w:color="231F20"/>
              <w:left w:val="single" w:sz="6" w:space="0" w:color="231F20"/>
              <w:bottom w:val="single" w:sz="6" w:space="0" w:color="231F20"/>
              <w:right w:val="single" w:sz="6" w:space="0" w:color="231F20"/>
            </w:tcBorders>
          </w:tcPr>
          <w:p w14:paraId="396AF76B" w14:textId="77777777" w:rsidR="009948F1" w:rsidRDefault="009948F1">
            <w:pPr>
              <w:pStyle w:val="TableParagraph"/>
              <w:spacing w:before="10"/>
              <w:rPr>
                <w:sz w:val="9"/>
              </w:rPr>
            </w:pPr>
          </w:p>
          <w:p w14:paraId="57A2923F" w14:textId="77777777" w:rsidR="009948F1" w:rsidRDefault="00BC0563">
            <w:pPr>
              <w:pStyle w:val="TableParagraph"/>
              <w:ind w:left="55" w:right="40"/>
              <w:jc w:val="center"/>
              <w:rPr>
                <w:sz w:val="12"/>
              </w:rPr>
            </w:pPr>
            <w:r>
              <w:rPr>
                <w:color w:val="231F20"/>
                <w:sz w:val="12"/>
              </w:rPr>
              <w:t>8.1.2.a</w:t>
            </w:r>
          </w:p>
        </w:tc>
        <w:tc>
          <w:tcPr>
            <w:tcW w:w="4811" w:type="dxa"/>
            <w:gridSpan w:val="2"/>
            <w:tcBorders>
              <w:top w:val="single" w:sz="6" w:space="0" w:color="231F20"/>
              <w:left w:val="single" w:sz="6" w:space="0" w:color="231F20"/>
              <w:bottom w:val="single" w:sz="6" w:space="0" w:color="231F20"/>
              <w:right w:val="single" w:sz="6" w:space="0" w:color="231F20"/>
            </w:tcBorders>
          </w:tcPr>
          <w:p w14:paraId="12D15494" w14:textId="77777777" w:rsidR="009948F1" w:rsidRDefault="00BC0563">
            <w:pPr>
              <w:pStyle w:val="TableParagraph"/>
              <w:spacing w:before="31" w:line="271" w:lineRule="auto"/>
              <w:ind w:left="21" w:right="95"/>
              <w:rPr>
                <w:sz w:val="12"/>
              </w:rPr>
            </w:pPr>
            <w:r>
              <w:rPr>
                <w:color w:val="231F20"/>
                <w:sz w:val="12"/>
              </w:rPr>
              <w:t>Conduct</w:t>
            </w:r>
            <w:r>
              <w:rPr>
                <w:color w:val="231F20"/>
                <w:spacing w:val="-11"/>
                <w:sz w:val="12"/>
              </w:rPr>
              <w:t xml:space="preserve"> </w:t>
            </w:r>
            <w:r>
              <w:rPr>
                <w:color w:val="231F20"/>
                <w:sz w:val="12"/>
              </w:rPr>
              <w:t>meetings</w:t>
            </w:r>
            <w:r>
              <w:rPr>
                <w:color w:val="231F20"/>
                <w:spacing w:val="-10"/>
                <w:sz w:val="12"/>
              </w:rPr>
              <w:t xml:space="preserve"> </w:t>
            </w:r>
            <w:r>
              <w:rPr>
                <w:color w:val="231F20"/>
                <w:sz w:val="12"/>
              </w:rPr>
              <w:t>with</w:t>
            </w:r>
            <w:r>
              <w:rPr>
                <w:color w:val="231F20"/>
                <w:spacing w:val="-10"/>
                <w:sz w:val="12"/>
              </w:rPr>
              <w:t xml:space="preserve"> </w:t>
            </w:r>
            <w:r>
              <w:rPr>
                <w:color w:val="231F20"/>
                <w:sz w:val="12"/>
              </w:rPr>
              <w:t>the</w:t>
            </w:r>
            <w:r>
              <w:rPr>
                <w:color w:val="231F20"/>
                <w:spacing w:val="-10"/>
                <w:sz w:val="12"/>
              </w:rPr>
              <w:t xml:space="preserve"> </w:t>
            </w:r>
            <w:r>
              <w:rPr>
                <w:color w:val="231F20"/>
                <w:sz w:val="12"/>
              </w:rPr>
              <w:t>different</w:t>
            </w:r>
            <w:r>
              <w:rPr>
                <w:color w:val="231F20"/>
                <w:spacing w:val="-11"/>
                <w:sz w:val="12"/>
              </w:rPr>
              <w:t xml:space="preserve"> </w:t>
            </w:r>
            <w:r>
              <w:rPr>
                <w:color w:val="231F20"/>
                <w:sz w:val="12"/>
              </w:rPr>
              <w:t>groups</w:t>
            </w:r>
            <w:r>
              <w:rPr>
                <w:color w:val="231F20"/>
                <w:spacing w:val="-10"/>
                <w:sz w:val="12"/>
              </w:rPr>
              <w:t xml:space="preserve"> </w:t>
            </w:r>
            <w:r>
              <w:rPr>
                <w:color w:val="231F20"/>
                <w:sz w:val="12"/>
              </w:rPr>
              <w:t>in</w:t>
            </w:r>
            <w:r>
              <w:rPr>
                <w:color w:val="231F20"/>
                <w:spacing w:val="-10"/>
                <w:sz w:val="12"/>
              </w:rPr>
              <w:t xml:space="preserve"> </w:t>
            </w:r>
            <w:r>
              <w:rPr>
                <w:color w:val="231F20"/>
                <w:sz w:val="12"/>
              </w:rPr>
              <w:t>the</w:t>
            </w:r>
            <w:r>
              <w:rPr>
                <w:color w:val="231F20"/>
                <w:spacing w:val="-10"/>
                <w:sz w:val="12"/>
              </w:rPr>
              <w:t xml:space="preserve"> </w:t>
            </w:r>
            <w:r>
              <w:rPr>
                <w:color w:val="231F20"/>
                <w:sz w:val="12"/>
              </w:rPr>
              <w:t>community</w:t>
            </w:r>
            <w:r>
              <w:rPr>
                <w:color w:val="231F20"/>
                <w:spacing w:val="-10"/>
                <w:sz w:val="12"/>
              </w:rPr>
              <w:t xml:space="preserve"> </w:t>
            </w:r>
            <w:r>
              <w:rPr>
                <w:color w:val="231F20"/>
                <w:sz w:val="12"/>
              </w:rPr>
              <w:t>to</w:t>
            </w:r>
            <w:r>
              <w:rPr>
                <w:color w:val="231F20"/>
                <w:spacing w:val="-11"/>
                <w:sz w:val="12"/>
              </w:rPr>
              <w:t xml:space="preserve"> </w:t>
            </w:r>
            <w:r>
              <w:rPr>
                <w:color w:val="231F20"/>
                <w:sz w:val="12"/>
              </w:rPr>
              <w:t>sensitize</w:t>
            </w:r>
            <w:r>
              <w:rPr>
                <w:color w:val="231F20"/>
                <w:spacing w:val="-10"/>
                <w:sz w:val="12"/>
              </w:rPr>
              <w:t xml:space="preserve"> </w:t>
            </w:r>
            <w:r>
              <w:rPr>
                <w:color w:val="231F20"/>
                <w:sz w:val="12"/>
              </w:rPr>
              <w:t>them</w:t>
            </w:r>
            <w:r>
              <w:rPr>
                <w:color w:val="231F20"/>
                <w:spacing w:val="-10"/>
                <w:sz w:val="12"/>
              </w:rPr>
              <w:t xml:space="preserve"> </w:t>
            </w:r>
            <w:r>
              <w:rPr>
                <w:color w:val="231F20"/>
                <w:sz w:val="12"/>
              </w:rPr>
              <w:t>on</w:t>
            </w:r>
            <w:r>
              <w:rPr>
                <w:color w:val="231F20"/>
                <w:spacing w:val="-10"/>
                <w:sz w:val="12"/>
              </w:rPr>
              <w:t xml:space="preserve"> </w:t>
            </w:r>
            <w:r>
              <w:rPr>
                <w:color w:val="231F20"/>
                <w:sz w:val="12"/>
              </w:rPr>
              <w:t>the</w:t>
            </w:r>
            <w:r>
              <w:rPr>
                <w:color w:val="231F20"/>
                <w:spacing w:val="-10"/>
                <w:sz w:val="12"/>
              </w:rPr>
              <w:t xml:space="preserve"> </w:t>
            </w:r>
            <w:r>
              <w:rPr>
                <w:color w:val="231F20"/>
                <w:sz w:val="12"/>
              </w:rPr>
              <w:t xml:space="preserve">risky health </w:t>
            </w:r>
            <w:proofErr w:type="spellStart"/>
            <w:r>
              <w:rPr>
                <w:color w:val="231F20"/>
                <w:sz w:val="12"/>
              </w:rPr>
              <w:t>behaviours</w:t>
            </w:r>
            <w:proofErr w:type="spellEnd"/>
            <w:r>
              <w:rPr>
                <w:color w:val="231F20"/>
                <w:sz w:val="12"/>
              </w:rPr>
              <w:t xml:space="preserve"> and</w:t>
            </w:r>
            <w:r>
              <w:rPr>
                <w:color w:val="231F20"/>
                <w:spacing w:val="-5"/>
                <w:sz w:val="12"/>
              </w:rPr>
              <w:t xml:space="preserve"> </w:t>
            </w:r>
            <w:r>
              <w:rPr>
                <w:color w:val="231F20"/>
                <w:sz w:val="12"/>
              </w:rPr>
              <w:t>consequences</w:t>
            </w:r>
          </w:p>
        </w:tc>
        <w:tc>
          <w:tcPr>
            <w:tcW w:w="1402" w:type="dxa"/>
            <w:tcBorders>
              <w:top w:val="single" w:sz="6" w:space="0" w:color="231F20"/>
              <w:left w:val="single" w:sz="6" w:space="0" w:color="231F20"/>
              <w:bottom w:val="single" w:sz="6" w:space="0" w:color="231F20"/>
              <w:right w:val="single" w:sz="6" w:space="0" w:color="231F20"/>
            </w:tcBorders>
          </w:tcPr>
          <w:p w14:paraId="03A67581" w14:textId="77777777" w:rsidR="009948F1" w:rsidRDefault="009948F1">
            <w:pPr>
              <w:pStyle w:val="TableParagraph"/>
              <w:spacing w:before="10"/>
              <w:rPr>
                <w:sz w:val="9"/>
              </w:rPr>
            </w:pPr>
          </w:p>
          <w:p w14:paraId="23F69122" w14:textId="77777777" w:rsidR="009948F1" w:rsidRDefault="00BC0563">
            <w:pPr>
              <w:pStyle w:val="TableParagraph"/>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452A92D4" w14:textId="77777777" w:rsidR="009948F1" w:rsidRDefault="009948F1">
            <w:pPr>
              <w:pStyle w:val="TableParagraph"/>
              <w:spacing w:before="10"/>
              <w:rPr>
                <w:sz w:val="9"/>
              </w:rPr>
            </w:pPr>
          </w:p>
          <w:p w14:paraId="0D4FA1D1" w14:textId="77777777" w:rsidR="009948F1" w:rsidRDefault="00BC0563">
            <w:pPr>
              <w:pStyle w:val="TableParagraph"/>
              <w:ind w:left="22"/>
              <w:rPr>
                <w:sz w:val="12"/>
              </w:rPr>
            </w:pPr>
            <w:r>
              <w:rPr>
                <w:color w:val="231F20"/>
                <w:sz w:val="12"/>
              </w:rPr>
              <w:t>Conduct meetings</w:t>
            </w:r>
          </w:p>
        </w:tc>
      </w:tr>
      <w:tr w:rsidR="009948F1" w14:paraId="77531DAC" w14:textId="77777777">
        <w:trPr>
          <w:trHeight w:val="286"/>
        </w:trPr>
        <w:tc>
          <w:tcPr>
            <w:tcW w:w="1022" w:type="dxa"/>
            <w:gridSpan w:val="3"/>
            <w:vMerge/>
            <w:tcBorders>
              <w:top w:val="nil"/>
              <w:left w:val="single" w:sz="6" w:space="0" w:color="231F20"/>
              <w:bottom w:val="nil"/>
              <w:right w:val="single" w:sz="6" w:space="0" w:color="231F20"/>
            </w:tcBorders>
          </w:tcPr>
          <w:p w14:paraId="5D93EE19"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0F222CD2" w14:textId="77777777" w:rsidR="009948F1" w:rsidRDefault="00BC0563">
            <w:pPr>
              <w:pStyle w:val="TableParagraph"/>
              <w:spacing w:before="70"/>
              <w:ind w:left="55" w:right="40"/>
              <w:jc w:val="center"/>
              <w:rPr>
                <w:sz w:val="12"/>
              </w:rPr>
            </w:pPr>
            <w:r>
              <w:rPr>
                <w:color w:val="231F20"/>
                <w:sz w:val="12"/>
              </w:rPr>
              <w:t>8.1.2.b</w:t>
            </w:r>
          </w:p>
        </w:tc>
        <w:tc>
          <w:tcPr>
            <w:tcW w:w="4811" w:type="dxa"/>
            <w:gridSpan w:val="2"/>
            <w:tcBorders>
              <w:top w:val="single" w:sz="6" w:space="0" w:color="231F20"/>
              <w:left w:val="single" w:sz="6" w:space="0" w:color="231F20"/>
              <w:bottom w:val="single" w:sz="6" w:space="0" w:color="231F20"/>
              <w:right w:val="single" w:sz="6" w:space="0" w:color="231F20"/>
            </w:tcBorders>
          </w:tcPr>
          <w:p w14:paraId="2D1E31CF" w14:textId="35B571B7" w:rsidR="009948F1" w:rsidRDefault="00BC0563">
            <w:pPr>
              <w:pStyle w:val="TableParagraph"/>
              <w:spacing w:before="65"/>
              <w:ind w:left="21"/>
              <w:rPr>
                <w:sz w:val="12"/>
              </w:rPr>
            </w:pPr>
            <w:r>
              <w:rPr>
                <w:color w:val="231F20"/>
                <w:sz w:val="12"/>
              </w:rPr>
              <w:t xml:space="preserve">Orientate and re-orientate WDCs, CBOs </w:t>
            </w:r>
            <w:r w:rsidR="00A93E69">
              <w:rPr>
                <w:color w:val="231F20"/>
                <w:sz w:val="12"/>
              </w:rPr>
              <w:t>etc.</w:t>
            </w:r>
            <w:r>
              <w:rPr>
                <w:color w:val="231F20"/>
                <w:sz w:val="12"/>
              </w:rPr>
              <w:t xml:space="preserve"> on promotion of healthy life style</w:t>
            </w:r>
          </w:p>
        </w:tc>
        <w:tc>
          <w:tcPr>
            <w:tcW w:w="1402" w:type="dxa"/>
            <w:tcBorders>
              <w:top w:val="single" w:sz="6" w:space="0" w:color="231F20"/>
              <w:left w:val="single" w:sz="6" w:space="0" w:color="231F20"/>
              <w:bottom w:val="single" w:sz="6" w:space="0" w:color="231F20"/>
              <w:right w:val="single" w:sz="6" w:space="0" w:color="231F20"/>
            </w:tcBorders>
          </w:tcPr>
          <w:p w14:paraId="7A698A8B" w14:textId="77777777" w:rsidR="009948F1" w:rsidRDefault="00BC0563">
            <w:pPr>
              <w:pStyle w:val="TableParagraph"/>
              <w:spacing w:before="70"/>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3DF4E71D" w14:textId="77777777" w:rsidR="009948F1" w:rsidRDefault="00BC0563">
            <w:pPr>
              <w:pStyle w:val="TableParagraph"/>
              <w:spacing w:before="70"/>
              <w:ind w:left="22"/>
              <w:rPr>
                <w:sz w:val="12"/>
              </w:rPr>
            </w:pPr>
            <w:r>
              <w:rPr>
                <w:color w:val="231F20"/>
                <w:sz w:val="12"/>
              </w:rPr>
              <w:t>Orientate and re-orientate</w:t>
            </w:r>
          </w:p>
        </w:tc>
      </w:tr>
      <w:tr w:rsidR="009948F1" w14:paraId="16DD6FCA" w14:textId="77777777">
        <w:trPr>
          <w:trHeight w:val="302"/>
        </w:trPr>
        <w:tc>
          <w:tcPr>
            <w:tcW w:w="1022" w:type="dxa"/>
            <w:gridSpan w:val="3"/>
            <w:vMerge/>
            <w:tcBorders>
              <w:top w:val="nil"/>
              <w:left w:val="single" w:sz="6" w:space="0" w:color="231F20"/>
              <w:bottom w:val="nil"/>
              <w:right w:val="single" w:sz="6" w:space="0" w:color="231F20"/>
            </w:tcBorders>
          </w:tcPr>
          <w:p w14:paraId="4AA63D07" w14:textId="77777777" w:rsidR="009948F1" w:rsidRDefault="009948F1">
            <w:pPr>
              <w:rPr>
                <w:sz w:val="2"/>
                <w:szCs w:val="2"/>
              </w:rPr>
            </w:pPr>
          </w:p>
        </w:tc>
        <w:tc>
          <w:tcPr>
            <w:tcW w:w="517" w:type="dxa"/>
            <w:tcBorders>
              <w:top w:val="single" w:sz="6" w:space="0" w:color="231F20"/>
              <w:left w:val="single" w:sz="6" w:space="0" w:color="231F20"/>
              <w:bottom w:val="single" w:sz="6" w:space="0" w:color="231F20"/>
              <w:right w:val="single" w:sz="6" w:space="0" w:color="231F20"/>
            </w:tcBorders>
          </w:tcPr>
          <w:p w14:paraId="668024F6" w14:textId="77777777" w:rsidR="009948F1" w:rsidRDefault="00BC0563">
            <w:pPr>
              <w:pStyle w:val="TableParagraph"/>
              <w:spacing w:before="78"/>
              <w:ind w:left="55" w:right="40"/>
              <w:jc w:val="center"/>
              <w:rPr>
                <w:sz w:val="12"/>
              </w:rPr>
            </w:pPr>
            <w:r>
              <w:rPr>
                <w:color w:val="231F20"/>
                <w:sz w:val="12"/>
              </w:rPr>
              <w:t>8.1.2.c</w:t>
            </w:r>
          </w:p>
        </w:tc>
        <w:tc>
          <w:tcPr>
            <w:tcW w:w="4811" w:type="dxa"/>
            <w:gridSpan w:val="2"/>
            <w:tcBorders>
              <w:top w:val="single" w:sz="6" w:space="0" w:color="231F20"/>
              <w:left w:val="single" w:sz="6" w:space="0" w:color="231F20"/>
              <w:bottom w:val="single" w:sz="6" w:space="0" w:color="231F20"/>
              <w:right w:val="single" w:sz="6" w:space="0" w:color="231F20"/>
            </w:tcBorders>
          </w:tcPr>
          <w:p w14:paraId="5D16CF07" w14:textId="77777777" w:rsidR="009948F1" w:rsidRDefault="00BC0563">
            <w:pPr>
              <w:pStyle w:val="TableParagraph"/>
              <w:spacing w:line="135" w:lineRule="exact"/>
              <w:ind w:left="21"/>
              <w:rPr>
                <w:sz w:val="12"/>
              </w:rPr>
            </w:pPr>
            <w:r>
              <w:rPr>
                <w:color w:val="231F20"/>
                <w:sz w:val="12"/>
              </w:rPr>
              <w:t>Conduct outreaches and town hall meetings on promotion of healthy life style and</w:t>
            </w:r>
          </w:p>
          <w:p w14:paraId="4F111B54" w14:textId="72EDF8EA" w:rsidR="009948F1" w:rsidRDefault="00A93E69">
            <w:pPr>
              <w:pStyle w:val="TableParagraph"/>
              <w:spacing w:before="17" w:line="129" w:lineRule="exact"/>
              <w:ind w:left="21"/>
              <w:rPr>
                <w:sz w:val="12"/>
              </w:rPr>
            </w:pPr>
            <w:r>
              <w:rPr>
                <w:color w:val="231F20"/>
                <w:sz w:val="12"/>
              </w:rPr>
              <w:t>environment</w:t>
            </w:r>
          </w:p>
        </w:tc>
        <w:tc>
          <w:tcPr>
            <w:tcW w:w="1402" w:type="dxa"/>
            <w:tcBorders>
              <w:top w:val="single" w:sz="6" w:space="0" w:color="231F20"/>
              <w:left w:val="single" w:sz="6" w:space="0" w:color="231F20"/>
              <w:bottom w:val="single" w:sz="6" w:space="0" w:color="231F20"/>
              <w:right w:val="single" w:sz="6" w:space="0" w:color="231F20"/>
            </w:tcBorders>
          </w:tcPr>
          <w:p w14:paraId="5E5252E9" w14:textId="77777777" w:rsidR="009948F1" w:rsidRDefault="00BC0563">
            <w:pPr>
              <w:pStyle w:val="TableParagraph"/>
              <w:spacing w:before="78"/>
              <w:ind w:left="21"/>
              <w:rPr>
                <w:sz w:val="12"/>
              </w:rPr>
            </w:pPr>
            <w:r>
              <w:rPr>
                <w:color w:val="231F20"/>
                <w:sz w:val="12"/>
              </w:rPr>
              <w:t>Lack of funds</w:t>
            </w:r>
          </w:p>
        </w:tc>
        <w:tc>
          <w:tcPr>
            <w:tcW w:w="1479" w:type="dxa"/>
            <w:tcBorders>
              <w:top w:val="single" w:sz="6" w:space="0" w:color="231F20"/>
              <w:left w:val="single" w:sz="6" w:space="0" w:color="231F20"/>
              <w:bottom w:val="single" w:sz="6" w:space="0" w:color="231F20"/>
              <w:right w:val="single" w:sz="6" w:space="0" w:color="231F20"/>
            </w:tcBorders>
          </w:tcPr>
          <w:p w14:paraId="174395FB" w14:textId="77777777" w:rsidR="009948F1" w:rsidRDefault="00BC0563">
            <w:pPr>
              <w:pStyle w:val="TableParagraph"/>
              <w:spacing w:before="78"/>
              <w:ind w:left="22"/>
              <w:rPr>
                <w:sz w:val="12"/>
              </w:rPr>
            </w:pPr>
            <w:r>
              <w:rPr>
                <w:color w:val="231F20"/>
                <w:sz w:val="12"/>
              </w:rPr>
              <w:t>Conduct outreaches</w:t>
            </w:r>
          </w:p>
        </w:tc>
      </w:tr>
      <w:tr w:rsidR="009948F1" w14:paraId="282DDE32" w14:textId="77777777">
        <w:trPr>
          <w:trHeight w:val="1349"/>
        </w:trPr>
        <w:tc>
          <w:tcPr>
            <w:tcW w:w="575" w:type="dxa"/>
            <w:gridSpan w:val="2"/>
            <w:tcBorders>
              <w:top w:val="nil"/>
              <w:left w:val="single" w:sz="6" w:space="0" w:color="231F20"/>
              <w:right w:val="single" w:sz="6" w:space="0" w:color="231F20"/>
            </w:tcBorders>
          </w:tcPr>
          <w:p w14:paraId="4816554D" w14:textId="77777777" w:rsidR="009948F1" w:rsidRDefault="009948F1">
            <w:pPr>
              <w:pStyle w:val="TableParagraph"/>
              <w:rPr>
                <w:rFonts w:ascii="Times New Roman"/>
                <w:sz w:val="10"/>
              </w:rPr>
            </w:pPr>
          </w:p>
        </w:tc>
        <w:tc>
          <w:tcPr>
            <w:tcW w:w="447" w:type="dxa"/>
            <w:tcBorders>
              <w:top w:val="single" w:sz="6" w:space="0" w:color="231F20"/>
              <w:left w:val="single" w:sz="6" w:space="0" w:color="231F20"/>
              <w:bottom w:val="single" w:sz="12" w:space="0" w:color="231F20"/>
              <w:right w:val="single" w:sz="6" w:space="0" w:color="231F20"/>
            </w:tcBorders>
            <w:shd w:val="clear" w:color="auto" w:fill="CCE7D3"/>
          </w:tcPr>
          <w:p w14:paraId="1BD3384D" w14:textId="77777777" w:rsidR="009948F1" w:rsidRDefault="009948F1">
            <w:pPr>
              <w:pStyle w:val="TableParagraph"/>
              <w:rPr>
                <w:sz w:val="12"/>
              </w:rPr>
            </w:pPr>
          </w:p>
          <w:p w14:paraId="1123A6D6" w14:textId="77777777" w:rsidR="009948F1" w:rsidRDefault="009948F1">
            <w:pPr>
              <w:pStyle w:val="TableParagraph"/>
              <w:rPr>
                <w:sz w:val="12"/>
              </w:rPr>
            </w:pPr>
          </w:p>
          <w:p w14:paraId="1FC41073" w14:textId="77777777" w:rsidR="009948F1" w:rsidRDefault="009948F1">
            <w:pPr>
              <w:pStyle w:val="TableParagraph"/>
              <w:rPr>
                <w:sz w:val="12"/>
              </w:rPr>
            </w:pPr>
          </w:p>
          <w:p w14:paraId="3FB7C1CD" w14:textId="77777777" w:rsidR="009948F1" w:rsidRDefault="009948F1">
            <w:pPr>
              <w:pStyle w:val="TableParagraph"/>
              <w:spacing w:before="9"/>
              <w:rPr>
                <w:sz w:val="16"/>
              </w:rPr>
            </w:pPr>
          </w:p>
          <w:p w14:paraId="0792ADE4" w14:textId="77777777" w:rsidR="009948F1" w:rsidRDefault="00BC0563">
            <w:pPr>
              <w:pStyle w:val="TableParagraph"/>
              <w:ind w:left="32" w:right="93"/>
              <w:jc w:val="center"/>
              <w:rPr>
                <w:sz w:val="12"/>
              </w:rPr>
            </w:pPr>
            <w:r>
              <w:rPr>
                <w:color w:val="231F20"/>
                <w:sz w:val="12"/>
              </w:rPr>
              <w:t>8.1.3</w:t>
            </w:r>
          </w:p>
        </w:tc>
        <w:tc>
          <w:tcPr>
            <w:tcW w:w="2985" w:type="dxa"/>
            <w:gridSpan w:val="2"/>
            <w:tcBorders>
              <w:top w:val="single" w:sz="6" w:space="0" w:color="231F20"/>
              <w:left w:val="single" w:sz="6" w:space="0" w:color="231F20"/>
              <w:bottom w:val="single" w:sz="12" w:space="0" w:color="231F20"/>
              <w:right w:val="single" w:sz="6" w:space="0" w:color="231F20"/>
            </w:tcBorders>
            <w:shd w:val="clear" w:color="auto" w:fill="CCE7D3"/>
          </w:tcPr>
          <w:p w14:paraId="2125C432" w14:textId="77777777" w:rsidR="009948F1" w:rsidRDefault="009948F1">
            <w:pPr>
              <w:pStyle w:val="TableParagraph"/>
              <w:rPr>
                <w:sz w:val="12"/>
              </w:rPr>
            </w:pPr>
          </w:p>
          <w:p w14:paraId="40E466C4" w14:textId="77777777" w:rsidR="009948F1" w:rsidRDefault="009948F1">
            <w:pPr>
              <w:pStyle w:val="TableParagraph"/>
              <w:rPr>
                <w:sz w:val="12"/>
              </w:rPr>
            </w:pPr>
          </w:p>
          <w:p w14:paraId="15473450" w14:textId="77777777" w:rsidR="009948F1" w:rsidRDefault="009948F1">
            <w:pPr>
              <w:pStyle w:val="TableParagraph"/>
              <w:rPr>
                <w:sz w:val="12"/>
              </w:rPr>
            </w:pPr>
          </w:p>
          <w:p w14:paraId="67AEA2FF" w14:textId="77777777" w:rsidR="009948F1" w:rsidRDefault="009948F1">
            <w:pPr>
              <w:pStyle w:val="TableParagraph"/>
              <w:spacing w:before="6"/>
              <w:rPr>
                <w:sz w:val="9"/>
              </w:rPr>
            </w:pPr>
          </w:p>
          <w:p w14:paraId="31B00AD9" w14:textId="77777777" w:rsidR="009948F1" w:rsidRDefault="00BC0563">
            <w:pPr>
              <w:pStyle w:val="TableParagraph"/>
              <w:spacing w:line="271" w:lineRule="auto"/>
              <w:ind w:left="21" w:right="-12" w:firstLine="32"/>
              <w:rPr>
                <w:sz w:val="12"/>
              </w:rPr>
            </w:pPr>
            <w:r>
              <w:rPr>
                <w:color w:val="231F20"/>
                <w:sz w:val="12"/>
              </w:rPr>
              <w:t>Strengthen health promotion coordination mechanisms at all levels</w:t>
            </w:r>
          </w:p>
        </w:tc>
        <w:tc>
          <w:tcPr>
            <w:tcW w:w="2343" w:type="dxa"/>
            <w:tcBorders>
              <w:top w:val="single" w:sz="6" w:space="0" w:color="231F20"/>
              <w:left w:val="single" w:sz="6" w:space="0" w:color="231F20"/>
              <w:bottom w:val="single" w:sz="12" w:space="0" w:color="231F20"/>
              <w:right w:val="single" w:sz="6" w:space="0" w:color="231F20"/>
            </w:tcBorders>
            <w:shd w:val="clear" w:color="auto" w:fill="CCE7D3"/>
          </w:tcPr>
          <w:p w14:paraId="499CE420" w14:textId="77777777" w:rsidR="009948F1" w:rsidRDefault="00BC0563">
            <w:pPr>
              <w:pStyle w:val="TableParagraph"/>
              <w:numPr>
                <w:ilvl w:val="0"/>
                <w:numId w:val="97"/>
              </w:numPr>
              <w:tabs>
                <w:tab w:val="left" w:pos="96"/>
              </w:tabs>
              <w:spacing w:line="271" w:lineRule="auto"/>
              <w:ind w:right="20" w:firstLine="0"/>
              <w:rPr>
                <w:sz w:val="12"/>
              </w:rPr>
            </w:pPr>
            <w:r>
              <w:rPr>
                <w:color w:val="231F20"/>
                <w:sz w:val="12"/>
              </w:rPr>
              <w:t xml:space="preserve">Public enlightenment on risky health </w:t>
            </w:r>
            <w:proofErr w:type="spellStart"/>
            <w:r>
              <w:rPr>
                <w:color w:val="231F20"/>
                <w:sz w:val="12"/>
              </w:rPr>
              <w:t>behaviours</w:t>
            </w:r>
            <w:proofErr w:type="spellEnd"/>
            <w:r>
              <w:rPr>
                <w:color w:val="231F20"/>
                <w:spacing w:val="-11"/>
                <w:sz w:val="12"/>
              </w:rPr>
              <w:t xml:space="preserve"> </w:t>
            </w:r>
            <w:r>
              <w:rPr>
                <w:color w:val="231F20"/>
                <w:sz w:val="12"/>
              </w:rPr>
              <w:t>through</w:t>
            </w:r>
            <w:r>
              <w:rPr>
                <w:color w:val="231F20"/>
                <w:spacing w:val="-10"/>
                <w:sz w:val="12"/>
              </w:rPr>
              <w:t xml:space="preserve"> </w:t>
            </w:r>
            <w:r>
              <w:rPr>
                <w:color w:val="231F20"/>
                <w:sz w:val="12"/>
              </w:rPr>
              <w:t>production</w:t>
            </w:r>
            <w:r>
              <w:rPr>
                <w:color w:val="231F20"/>
                <w:spacing w:val="13"/>
                <w:sz w:val="12"/>
              </w:rPr>
              <w:t xml:space="preserve"> </w:t>
            </w:r>
            <w:r>
              <w:rPr>
                <w:color w:val="231F20"/>
                <w:sz w:val="12"/>
              </w:rPr>
              <w:t>and</w:t>
            </w:r>
            <w:r>
              <w:rPr>
                <w:color w:val="231F20"/>
                <w:spacing w:val="-10"/>
                <w:sz w:val="12"/>
              </w:rPr>
              <w:t xml:space="preserve"> </w:t>
            </w:r>
            <w:r>
              <w:rPr>
                <w:color w:val="231F20"/>
                <w:sz w:val="12"/>
              </w:rPr>
              <w:t>airing</w:t>
            </w:r>
            <w:r>
              <w:rPr>
                <w:color w:val="231F20"/>
                <w:spacing w:val="-11"/>
                <w:sz w:val="12"/>
              </w:rPr>
              <w:t xml:space="preserve"> </w:t>
            </w:r>
            <w:r>
              <w:rPr>
                <w:color w:val="231F20"/>
                <w:spacing w:val="-7"/>
                <w:sz w:val="12"/>
              </w:rPr>
              <w:t xml:space="preserve">of </w:t>
            </w:r>
            <w:r>
              <w:rPr>
                <w:color w:val="231F20"/>
                <w:sz w:val="12"/>
              </w:rPr>
              <w:t>jingles</w:t>
            </w:r>
            <w:r>
              <w:rPr>
                <w:color w:val="231F20"/>
                <w:spacing w:val="-2"/>
                <w:sz w:val="12"/>
              </w:rPr>
              <w:t xml:space="preserve"> </w:t>
            </w:r>
            <w:r>
              <w:rPr>
                <w:color w:val="231F20"/>
                <w:sz w:val="12"/>
              </w:rPr>
              <w:t>done</w:t>
            </w:r>
          </w:p>
          <w:p w14:paraId="22E8696E" w14:textId="77777777" w:rsidR="009948F1" w:rsidRDefault="00BC0563">
            <w:pPr>
              <w:pStyle w:val="TableParagraph"/>
              <w:numPr>
                <w:ilvl w:val="0"/>
                <w:numId w:val="97"/>
              </w:numPr>
              <w:tabs>
                <w:tab w:val="left" w:pos="64"/>
              </w:tabs>
              <w:spacing w:line="271" w:lineRule="auto"/>
              <w:ind w:right="176" w:firstLine="0"/>
              <w:rPr>
                <w:sz w:val="12"/>
              </w:rPr>
            </w:pPr>
            <w:r>
              <w:rPr>
                <w:color w:val="231F20"/>
                <w:sz w:val="12"/>
              </w:rPr>
              <w:t>Stakeholders meeting to disseminate information</w:t>
            </w:r>
            <w:r>
              <w:rPr>
                <w:color w:val="231F20"/>
                <w:spacing w:val="-14"/>
                <w:sz w:val="12"/>
              </w:rPr>
              <w:t xml:space="preserve"> </w:t>
            </w:r>
            <w:r>
              <w:rPr>
                <w:color w:val="231F20"/>
                <w:sz w:val="12"/>
              </w:rPr>
              <w:t>on</w:t>
            </w:r>
            <w:r>
              <w:rPr>
                <w:color w:val="231F20"/>
                <w:spacing w:val="-14"/>
                <w:sz w:val="12"/>
              </w:rPr>
              <w:t xml:space="preserve"> </w:t>
            </w:r>
            <w:r>
              <w:rPr>
                <w:color w:val="231F20"/>
                <w:sz w:val="12"/>
              </w:rPr>
              <w:t>promotion</w:t>
            </w:r>
            <w:r>
              <w:rPr>
                <w:color w:val="231F20"/>
                <w:spacing w:val="-14"/>
                <w:sz w:val="12"/>
              </w:rPr>
              <w:t xml:space="preserve"> </w:t>
            </w:r>
            <w:r>
              <w:rPr>
                <w:color w:val="231F20"/>
                <w:sz w:val="12"/>
              </w:rPr>
              <w:t>of</w:t>
            </w:r>
            <w:r>
              <w:rPr>
                <w:color w:val="231F20"/>
                <w:spacing w:val="-14"/>
                <w:sz w:val="12"/>
              </w:rPr>
              <w:t xml:space="preserve"> </w:t>
            </w:r>
            <w:r>
              <w:rPr>
                <w:color w:val="231F20"/>
                <w:sz w:val="12"/>
              </w:rPr>
              <w:t>healthy</w:t>
            </w:r>
            <w:r>
              <w:rPr>
                <w:color w:val="231F20"/>
                <w:spacing w:val="-13"/>
                <w:sz w:val="12"/>
              </w:rPr>
              <w:t xml:space="preserve"> </w:t>
            </w:r>
            <w:r>
              <w:rPr>
                <w:color w:val="231F20"/>
                <w:sz w:val="12"/>
              </w:rPr>
              <w:t>living done at state &amp; LGA</w:t>
            </w:r>
            <w:r>
              <w:rPr>
                <w:color w:val="231F20"/>
                <w:spacing w:val="-19"/>
                <w:sz w:val="12"/>
              </w:rPr>
              <w:t xml:space="preserve"> </w:t>
            </w:r>
            <w:r>
              <w:rPr>
                <w:color w:val="231F20"/>
                <w:sz w:val="12"/>
              </w:rPr>
              <w:t>levels</w:t>
            </w:r>
          </w:p>
          <w:p w14:paraId="49217794" w14:textId="77777777" w:rsidR="009948F1" w:rsidRDefault="00BC0563">
            <w:pPr>
              <w:pStyle w:val="TableParagraph"/>
              <w:numPr>
                <w:ilvl w:val="0"/>
                <w:numId w:val="97"/>
              </w:numPr>
              <w:tabs>
                <w:tab w:val="left" w:pos="96"/>
              </w:tabs>
              <w:spacing w:line="136" w:lineRule="exact"/>
              <w:ind w:left="95" w:hanging="75"/>
              <w:rPr>
                <w:sz w:val="12"/>
              </w:rPr>
            </w:pPr>
            <w:r>
              <w:rPr>
                <w:color w:val="231F20"/>
                <w:sz w:val="12"/>
              </w:rPr>
              <w:t>Zonal</w:t>
            </w:r>
            <w:r>
              <w:rPr>
                <w:color w:val="231F20"/>
                <w:spacing w:val="-6"/>
                <w:sz w:val="12"/>
              </w:rPr>
              <w:t xml:space="preserve"> </w:t>
            </w:r>
            <w:r>
              <w:rPr>
                <w:color w:val="231F20"/>
                <w:sz w:val="12"/>
              </w:rPr>
              <w:t>meeting</w:t>
            </w:r>
            <w:r>
              <w:rPr>
                <w:color w:val="231F20"/>
                <w:spacing w:val="-5"/>
                <w:sz w:val="12"/>
              </w:rPr>
              <w:t xml:space="preserve"> </w:t>
            </w:r>
            <w:r>
              <w:rPr>
                <w:color w:val="231F20"/>
                <w:sz w:val="12"/>
              </w:rPr>
              <w:t>with</w:t>
            </w:r>
            <w:r>
              <w:rPr>
                <w:color w:val="231F20"/>
                <w:spacing w:val="-5"/>
                <w:sz w:val="12"/>
              </w:rPr>
              <w:t xml:space="preserve"> </w:t>
            </w:r>
            <w:r>
              <w:rPr>
                <w:color w:val="231F20"/>
                <w:sz w:val="12"/>
              </w:rPr>
              <w:t>WDC</w:t>
            </w:r>
            <w:r>
              <w:rPr>
                <w:color w:val="231F20"/>
                <w:spacing w:val="-5"/>
                <w:sz w:val="12"/>
              </w:rPr>
              <w:t xml:space="preserve"> </w:t>
            </w:r>
            <w:r>
              <w:rPr>
                <w:color w:val="231F20"/>
                <w:sz w:val="12"/>
              </w:rPr>
              <w:t>Chairman</w:t>
            </w:r>
            <w:r>
              <w:rPr>
                <w:color w:val="231F20"/>
                <w:spacing w:val="-5"/>
                <w:sz w:val="12"/>
              </w:rPr>
              <w:t xml:space="preserve"> </w:t>
            </w:r>
            <w:r>
              <w:rPr>
                <w:color w:val="231F20"/>
                <w:sz w:val="12"/>
              </w:rPr>
              <w:t>to</w:t>
            </w:r>
          </w:p>
          <w:p w14:paraId="23F541B5" w14:textId="77777777" w:rsidR="009948F1" w:rsidRDefault="00BC0563">
            <w:pPr>
              <w:pStyle w:val="TableParagraph"/>
              <w:spacing w:before="36" w:line="112" w:lineRule="exact"/>
              <w:ind w:left="21" w:right="152"/>
              <w:rPr>
                <w:sz w:val="12"/>
              </w:rPr>
            </w:pPr>
            <w:r>
              <w:rPr>
                <w:color w:val="231F20"/>
                <w:sz w:val="12"/>
              </w:rPr>
              <w:t>disseminate information on promotion of healthy living held</w:t>
            </w:r>
          </w:p>
        </w:tc>
        <w:tc>
          <w:tcPr>
            <w:tcW w:w="1402" w:type="dxa"/>
            <w:tcBorders>
              <w:top w:val="single" w:sz="6" w:space="0" w:color="231F20"/>
              <w:left w:val="single" w:sz="6" w:space="0" w:color="231F20"/>
              <w:bottom w:val="single" w:sz="12" w:space="0" w:color="231F20"/>
              <w:right w:val="single" w:sz="6" w:space="0" w:color="231F20"/>
            </w:tcBorders>
            <w:shd w:val="clear" w:color="auto" w:fill="CCE7D3"/>
          </w:tcPr>
          <w:p w14:paraId="12E68789" w14:textId="77777777" w:rsidR="009948F1" w:rsidRDefault="009948F1">
            <w:pPr>
              <w:pStyle w:val="TableParagraph"/>
              <w:rPr>
                <w:rFonts w:ascii="Times New Roman"/>
                <w:sz w:val="10"/>
              </w:rPr>
            </w:pPr>
          </w:p>
        </w:tc>
        <w:tc>
          <w:tcPr>
            <w:tcW w:w="1479" w:type="dxa"/>
            <w:tcBorders>
              <w:top w:val="single" w:sz="6" w:space="0" w:color="231F20"/>
              <w:left w:val="single" w:sz="6" w:space="0" w:color="231F20"/>
              <w:bottom w:val="single" w:sz="12" w:space="0" w:color="231F20"/>
              <w:right w:val="single" w:sz="6" w:space="0" w:color="231F20"/>
            </w:tcBorders>
            <w:shd w:val="clear" w:color="auto" w:fill="CCE7D3"/>
          </w:tcPr>
          <w:p w14:paraId="30EA50E3" w14:textId="77777777" w:rsidR="009948F1" w:rsidRDefault="009948F1">
            <w:pPr>
              <w:pStyle w:val="TableParagraph"/>
              <w:rPr>
                <w:rFonts w:ascii="Times New Roman"/>
                <w:sz w:val="10"/>
              </w:rPr>
            </w:pPr>
          </w:p>
        </w:tc>
      </w:tr>
    </w:tbl>
    <w:p w14:paraId="02B1F3D1" w14:textId="77777777" w:rsidR="009948F1" w:rsidRDefault="009948F1">
      <w:pPr>
        <w:rPr>
          <w:rFonts w:ascii="Times New Roman"/>
          <w:sz w:val="10"/>
        </w:rPr>
        <w:sectPr w:rsidR="009948F1">
          <w:pgSz w:w="11910" w:h="16840"/>
          <w:pgMar w:top="1280" w:right="1080" w:bottom="1340" w:left="1120" w:header="0" w:footer="1155" w:gutter="0"/>
          <w:cols w:space="720"/>
        </w:sectPr>
      </w:pPr>
    </w:p>
    <w:tbl>
      <w:tblPr>
        <w:tblW w:w="0" w:type="auto"/>
        <w:tblInd w:w="16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7"/>
        <w:gridCol w:w="462"/>
        <w:gridCol w:w="534"/>
        <w:gridCol w:w="2554"/>
        <w:gridCol w:w="2425"/>
        <w:gridCol w:w="1451"/>
        <w:gridCol w:w="1531"/>
      </w:tblGrid>
      <w:tr w:rsidR="009948F1" w14:paraId="6198BF96" w14:textId="77777777">
        <w:trPr>
          <w:trHeight w:val="242"/>
        </w:trPr>
        <w:tc>
          <w:tcPr>
            <w:tcW w:w="869" w:type="dxa"/>
            <w:gridSpan w:val="2"/>
            <w:vMerge w:val="restart"/>
            <w:tcBorders>
              <w:bottom w:val="nil"/>
              <w:right w:val="single" w:sz="6" w:space="0" w:color="231F20"/>
            </w:tcBorders>
          </w:tcPr>
          <w:p w14:paraId="7FE34F9F" w14:textId="77777777" w:rsidR="009948F1" w:rsidRDefault="009948F1">
            <w:pPr>
              <w:pStyle w:val="TableParagraph"/>
              <w:rPr>
                <w:rFonts w:ascii="Times New Roman"/>
                <w:sz w:val="12"/>
              </w:rPr>
            </w:pPr>
          </w:p>
        </w:tc>
        <w:tc>
          <w:tcPr>
            <w:tcW w:w="534" w:type="dxa"/>
            <w:tcBorders>
              <w:left w:val="single" w:sz="6" w:space="0" w:color="231F20"/>
              <w:bottom w:val="single" w:sz="6" w:space="0" w:color="231F20"/>
              <w:right w:val="single" w:sz="6" w:space="0" w:color="231F20"/>
            </w:tcBorders>
          </w:tcPr>
          <w:p w14:paraId="4E727788" w14:textId="77777777" w:rsidR="009948F1" w:rsidRDefault="00BC0563">
            <w:pPr>
              <w:pStyle w:val="TableParagraph"/>
              <w:spacing w:before="63"/>
              <w:ind w:left="33" w:right="8"/>
              <w:jc w:val="center"/>
              <w:rPr>
                <w:sz w:val="10"/>
              </w:rPr>
            </w:pPr>
            <w:bookmarkStart w:id="180" w:name="Page_154"/>
            <w:bookmarkEnd w:id="180"/>
            <w:r>
              <w:rPr>
                <w:color w:val="231F20"/>
                <w:w w:val="120"/>
                <w:sz w:val="10"/>
              </w:rPr>
              <w:t>8.1.3.a</w:t>
            </w:r>
          </w:p>
        </w:tc>
        <w:tc>
          <w:tcPr>
            <w:tcW w:w="4979" w:type="dxa"/>
            <w:gridSpan w:val="2"/>
            <w:tcBorders>
              <w:left w:val="single" w:sz="6" w:space="0" w:color="231F20"/>
              <w:bottom w:val="single" w:sz="6" w:space="0" w:color="231F20"/>
              <w:right w:val="single" w:sz="6" w:space="0" w:color="231F20"/>
            </w:tcBorders>
          </w:tcPr>
          <w:p w14:paraId="1860750D" w14:textId="15454EEA" w:rsidR="009948F1" w:rsidRDefault="00BC0563">
            <w:pPr>
              <w:pStyle w:val="TableParagraph"/>
              <w:spacing w:before="59"/>
              <w:ind w:left="28"/>
              <w:rPr>
                <w:sz w:val="10"/>
              </w:rPr>
            </w:pPr>
            <w:r>
              <w:rPr>
                <w:color w:val="231F20"/>
                <w:w w:val="120"/>
                <w:sz w:val="10"/>
              </w:rPr>
              <w:t>Public enlight</w:t>
            </w:r>
            <w:r w:rsidR="00922ECA">
              <w:rPr>
                <w:color w:val="231F20"/>
                <w:w w:val="120"/>
                <w:sz w:val="10"/>
              </w:rPr>
              <w:t>en</w:t>
            </w:r>
            <w:r>
              <w:rPr>
                <w:color w:val="231F20"/>
                <w:w w:val="120"/>
                <w:sz w:val="10"/>
              </w:rPr>
              <w:t xml:space="preserve">ment on risky health </w:t>
            </w:r>
            <w:proofErr w:type="spellStart"/>
            <w:r>
              <w:rPr>
                <w:color w:val="231F20"/>
                <w:w w:val="120"/>
                <w:sz w:val="10"/>
              </w:rPr>
              <w:t>behaviours</w:t>
            </w:r>
            <w:proofErr w:type="spellEnd"/>
            <w:r>
              <w:rPr>
                <w:color w:val="231F20"/>
                <w:w w:val="120"/>
                <w:sz w:val="10"/>
              </w:rPr>
              <w:t xml:space="preserve"> through production and airing of jingles</w:t>
            </w:r>
          </w:p>
        </w:tc>
        <w:tc>
          <w:tcPr>
            <w:tcW w:w="1451" w:type="dxa"/>
            <w:tcBorders>
              <w:left w:val="single" w:sz="6" w:space="0" w:color="231F20"/>
              <w:bottom w:val="single" w:sz="6" w:space="0" w:color="231F20"/>
              <w:right w:val="single" w:sz="6" w:space="0" w:color="231F20"/>
            </w:tcBorders>
          </w:tcPr>
          <w:p w14:paraId="477722A1" w14:textId="77777777" w:rsidR="009948F1" w:rsidRDefault="00BC0563">
            <w:pPr>
              <w:pStyle w:val="TableParagraph"/>
              <w:spacing w:before="63"/>
              <w:ind w:left="30"/>
              <w:rPr>
                <w:sz w:val="10"/>
              </w:rPr>
            </w:pPr>
            <w:r>
              <w:rPr>
                <w:color w:val="231F20"/>
                <w:w w:val="120"/>
                <w:sz w:val="10"/>
              </w:rPr>
              <w:t>Lack of funds</w:t>
            </w:r>
          </w:p>
        </w:tc>
        <w:tc>
          <w:tcPr>
            <w:tcW w:w="1531" w:type="dxa"/>
            <w:tcBorders>
              <w:left w:val="single" w:sz="6" w:space="0" w:color="231F20"/>
              <w:bottom w:val="single" w:sz="6" w:space="0" w:color="231F20"/>
              <w:right w:val="single" w:sz="6" w:space="0" w:color="231F20"/>
            </w:tcBorders>
          </w:tcPr>
          <w:p w14:paraId="40784917" w14:textId="0854296F" w:rsidR="009948F1" w:rsidRDefault="00A93E69">
            <w:pPr>
              <w:pStyle w:val="TableParagraph"/>
              <w:spacing w:before="63"/>
              <w:ind w:left="31"/>
              <w:rPr>
                <w:sz w:val="10"/>
              </w:rPr>
            </w:pPr>
            <w:r>
              <w:rPr>
                <w:color w:val="231F20"/>
                <w:w w:val="120"/>
                <w:sz w:val="10"/>
              </w:rPr>
              <w:t>Public enlightenment</w:t>
            </w:r>
          </w:p>
        </w:tc>
      </w:tr>
      <w:tr w:rsidR="009948F1" w14:paraId="2AC39262" w14:textId="77777777">
        <w:trPr>
          <w:trHeight w:val="236"/>
        </w:trPr>
        <w:tc>
          <w:tcPr>
            <w:tcW w:w="869" w:type="dxa"/>
            <w:gridSpan w:val="2"/>
            <w:vMerge/>
            <w:tcBorders>
              <w:top w:val="nil"/>
              <w:bottom w:val="nil"/>
              <w:right w:val="single" w:sz="6" w:space="0" w:color="231F20"/>
            </w:tcBorders>
          </w:tcPr>
          <w:p w14:paraId="3BFABB3A"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CED82D4" w14:textId="77777777" w:rsidR="009948F1" w:rsidRDefault="00BC0563">
            <w:pPr>
              <w:pStyle w:val="TableParagraph"/>
              <w:spacing w:before="63"/>
              <w:ind w:left="33" w:right="8"/>
              <w:jc w:val="center"/>
              <w:rPr>
                <w:sz w:val="10"/>
              </w:rPr>
            </w:pPr>
            <w:r>
              <w:rPr>
                <w:color w:val="231F20"/>
                <w:w w:val="120"/>
                <w:sz w:val="10"/>
              </w:rPr>
              <w:t>8.1.3.b</w:t>
            </w:r>
          </w:p>
        </w:tc>
        <w:tc>
          <w:tcPr>
            <w:tcW w:w="4979" w:type="dxa"/>
            <w:gridSpan w:val="2"/>
            <w:tcBorders>
              <w:top w:val="single" w:sz="6" w:space="0" w:color="231F20"/>
              <w:left w:val="single" w:sz="6" w:space="0" w:color="231F20"/>
              <w:bottom w:val="single" w:sz="6" w:space="0" w:color="231F20"/>
              <w:right w:val="single" w:sz="6" w:space="0" w:color="231F20"/>
            </w:tcBorders>
          </w:tcPr>
          <w:p w14:paraId="5EC0C1ED" w14:textId="56B031E1" w:rsidR="009948F1" w:rsidRDefault="00BC0563">
            <w:pPr>
              <w:pStyle w:val="TableParagraph"/>
              <w:spacing w:before="2"/>
              <w:ind w:left="28"/>
              <w:rPr>
                <w:sz w:val="10"/>
              </w:rPr>
            </w:pPr>
            <w:r>
              <w:rPr>
                <w:color w:val="231F20"/>
                <w:w w:val="120"/>
                <w:sz w:val="10"/>
              </w:rPr>
              <w:t xml:space="preserve">Conduct stakeholders meeting at the state level to </w:t>
            </w:r>
            <w:r w:rsidR="00A93E69">
              <w:rPr>
                <w:color w:val="231F20"/>
                <w:w w:val="120"/>
                <w:sz w:val="10"/>
              </w:rPr>
              <w:t>disseminate</w:t>
            </w:r>
            <w:r>
              <w:rPr>
                <w:color w:val="231F20"/>
                <w:w w:val="120"/>
                <w:sz w:val="10"/>
              </w:rPr>
              <w:t xml:space="preserve"> information on promotion of</w:t>
            </w:r>
          </w:p>
          <w:p w14:paraId="23DC82CE" w14:textId="77777777" w:rsidR="009948F1" w:rsidRDefault="00BC0563">
            <w:pPr>
              <w:pStyle w:val="TableParagraph"/>
              <w:spacing w:before="14" w:line="85" w:lineRule="exact"/>
              <w:ind w:left="28"/>
              <w:rPr>
                <w:sz w:val="10"/>
              </w:rPr>
            </w:pPr>
            <w:r>
              <w:rPr>
                <w:color w:val="231F20"/>
                <w:w w:val="120"/>
                <w:sz w:val="10"/>
              </w:rPr>
              <w:t>healthy living</w:t>
            </w:r>
          </w:p>
        </w:tc>
        <w:tc>
          <w:tcPr>
            <w:tcW w:w="1451" w:type="dxa"/>
            <w:tcBorders>
              <w:top w:val="single" w:sz="6" w:space="0" w:color="231F20"/>
              <w:left w:val="single" w:sz="6" w:space="0" w:color="231F20"/>
              <w:bottom w:val="single" w:sz="6" w:space="0" w:color="231F20"/>
              <w:right w:val="single" w:sz="6" w:space="0" w:color="231F20"/>
            </w:tcBorders>
          </w:tcPr>
          <w:p w14:paraId="5D92ED47" w14:textId="77777777" w:rsidR="009948F1" w:rsidRDefault="00BC0563">
            <w:pPr>
              <w:pStyle w:val="TableParagraph"/>
              <w:spacing w:before="63"/>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68A5B1D4" w14:textId="77777777" w:rsidR="009948F1" w:rsidRDefault="00BC0563">
            <w:pPr>
              <w:pStyle w:val="TableParagraph"/>
              <w:spacing w:before="2"/>
              <w:ind w:left="31"/>
              <w:rPr>
                <w:sz w:val="10"/>
              </w:rPr>
            </w:pPr>
            <w:r>
              <w:rPr>
                <w:color w:val="231F20"/>
                <w:w w:val="120"/>
                <w:sz w:val="10"/>
              </w:rPr>
              <w:t>Conduct stakeholders</w:t>
            </w:r>
          </w:p>
          <w:p w14:paraId="37A40794" w14:textId="77777777" w:rsidR="009948F1" w:rsidRDefault="00BC0563">
            <w:pPr>
              <w:pStyle w:val="TableParagraph"/>
              <w:spacing w:before="14" w:line="85" w:lineRule="exact"/>
              <w:ind w:left="31"/>
              <w:rPr>
                <w:sz w:val="10"/>
              </w:rPr>
            </w:pPr>
            <w:r>
              <w:rPr>
                <w:color w:val="231F20"/>
                <w:w w:val="120"/>
                <w:sz w:val="10"/>
              </w:rPr>
              <w:t>meeting</w:t>
            </w:r>
          </w:p>
        </w:tc>
      </w:tr>
      <w:tr w:rsidR="009948F1" w14:paraId="4A890E96" w14:textId="77777777">
        <w:trPr>
          <w:trHeight w:val="249"/>
        </w:trPr>
        <w:tc>
          <w:tcPr>
            <w:tcW w:w="869" w:type="dxa"/>
            <w:gridSpan w:val="2"/>
            <w:vMerge/>
            <w:tcBorders>
              <w:top w:val="nil"/>
              <w:bottom w:val="nil"/>
              <w:right w:val="single" w:sz="6" w:space="0" w:color="231F20"/>
            </w:tcBorders>
          </w:tcPr>
          <w:p w14:paraId="2BD3765F"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6A70D9E6" w14:textId="77777777" w:rsidR="009948F1" w:rsidRDefault="00BC0563">
            <w:pPr>
              <w:pStyle w:val="TableParagraph"/>
              <w:spacing w:before="69"/>
              <w:ind w:left="33" w:right="7"/>
              <w:jc w:val="center"/>
              <w:rPr>
                <w:sz w:val="10"/>
              </w:rPr>
            </w:pPr>
            <w:r>
              <w:rPr>
                <w:color w:val="231F20"/>
                <w:w w:val="120"/>
                <w:sz w:val="10"/>
              </w:rPr>
              <w:t>8.1.3.c</w:t>
            </w:r>
          </w:p>
        </w:tc>
        <w:tc>
          <w:tcPr>
            <w:tcW w:w="4979" w:type="dxa"/>
            <w:gridSpan w:val="2"/>
            <w:tcBorders>
              <w:top w:val="single" w:sz="6" w:space="0" w:color="231F20"/>
              <w:left w:val="single" w:sz="6" w:space="0" w:color="231F20"/>
              <w:bottom w:val="single" w:sz="6" w:space="0" w:color="231F20"/>
              <w:right w:val="single" w:sz="6" w:space="0" w:color="231F20"/>
            </w:tcBorders>
          </w:tcPr>
          <w:p w14:paraId="06644006" w14:textId="60C9AB87" w:rsidR="009948F1" w:rsidRDefault="00BC0563">
            <w:pPr>
              <w:pStyle w:val="TableParagraph"/>
              <w:spacing w:before="2"/>
              <w:ind w:left="28"/>
              <w:rPr>
                <w:sz w:val="10"/>
              </w:rPr>
            </w:pPr>
            <w:r>
              <w:rPr>
                <w:color w:val="231F20"/>
                <w:w w:val="120"/>
                <w:sz w:val="10"/>
              </w:rPr>
              <w:t xml:space="preserve">Conduct stakeholders meeting at the LGA level to </w:t>
            </w:r>
            <w:r w:rsidR="00A93E69">
              <w:rPr>
                <w:color w:val="231F20"/>
                <w:w w:val="120"/>
                <w:sz w:val="10"/>
              </w:rPr>
              <w:t>disseminate</w:t>
            </w:r>
            <w:r>
              <w:rPr>
                <w:color w:val="231F20"/>
                <w:w w:val="120"/>
                <w:sz w:val="10"/>
              </w:rPr>
              <w:t xml:space="preserve"> information on promotion of</w:t>
            </w:r>
          </w:p>
          <w:p w14:paraId="4EF8D622" w14:textId="77777777" w:rsidR="009948F1" w:rsidRDefault="00BC0563">
            <w:pPr>
              <w:pStyle w:val="TableParagraph"/>
              <w:spacing w:before="14" w:line="98" w:lineRule="exact"/>
              <w:ind w:left="28"/>
              <w:rPr>
                <w:sz w:val="10"/>
              </w:rPr>
            </w:pPr>
            <w:r>
              <w:rPr>
                <w:color w:val="231F20"/>
                <w:w w:val="120"/>
                <w:sz w:val="10"/>
              </w:rPr>
              <w:t>healthy living</w:t>
            </w:r>
          </w:p>
        </w:tc>
        <w:tc>
          <w:tcPr>
            <w:tcW w:w="1451" w:type="dxa"/>
            <w:tcBorders>
              <w:top w:val="single" w:sz="6" w:space="0" w:color="231F20"/>
              <w:left w:val="single" w:sz="6" w:space="0" w:color="231F20"/>
              <w:bottom w:val="single" w:sz="6" w:space="0" w:color="231F20"/>
              <w:right w:val="single" w:sz="6" w:space="0" w:color="231F20"/>
            </w:tcBorders>
          </w:tcPr>
          <w:p w14:paraId="3B3BB9C8" w14:textId="77777777" w:rsidR="009948F1" w:rsidRDefault="00BC0563">
            <w:pPr>
              <w:pStyle w:val="TableParagraph"/>
              <w:spacing w:before="69"/>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7D5308EA" w14:textId="77777777" w:rsidR="009948F1" w:rsidRDefault="00BC0563">
            <w:pPr>
              <w:pStyle w:val="TableParagraph"/>
              <w:spacing w:before="4"/>
              <w:ind w:left="31"/>
              <w:rPr>
                <w:sz w:val="10"/>
              </w:rPr>
            </w:pPr>
            <w:r>
              <w:rPr>
                <w:color w:val="231F20"/>
                <w:w w:val="120"/>
                <w:sz w:val="10"/>
              </w:rPr>
              <w:t>Conduct stakeholders</w:t>
            </w:r>
          </w:p>
          <w:p w14:paraId="758A0259" w14:textId="77777777" w:rsidR="009948F1" w:rsidRDefault="00BC0563">
            <w:pPr>
              <w:pStyle w:val="TableParagraph"/>
              <w:spacing w:before="14" w:line="96" w:lineRule="exact"/>
              <w:ind w:left="31"/>
              <w:rPr>
                <w:sz w:val="10"/>
              </w:rPr>
            </w:pPr>
            <w:r>
              <w:rPr>
                <w:color w:val="231F20"/>
                <w:w w:val="120"/>
                <w:sz w:val="10"/>
              </w:rPr>
              <w:t>meeting</w:t>
            </w:r>
          </w:p>
        </w:tc>
      </w:tr>
      <w:tr w:rsidR="009948F1" w14:paraId="5445FFCC" w14:textId="77777777">
        <w:trPr>
          <w:trHeight w:val="255"/>
        </w:trPr>
        <w:tc>
          <w:tcPr>
            <w:tcW w:w="869" w:type="dxa"/>
            <w:gridSpan w:val="2"/>
            <w:vMerge/>
            <w:tcBorders>
              <w:top w:val="nil"/>
              <w:bottom w:val="nil"/>
              <w:right w:val="single" w:sz="6" w:space="0" w:color="231F20"/>
            </w:tcBorders>
          </w:tcPr>
          <w:p w14:paraId="07016CE2"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5CBACC27" w14:textId="77777777" w:rsidR="009948F1" w:rsidRDefault="00BC0563">
            <w:pPr>
              <w:pStyle w:val="TableParagraph"/>
              <w:spacing w:before="72"/>
              <w:ind w:left="33" w:right="8"/>
              <w:jc w:val="center"/>
              <w:rPr>
                <w:sz w:val="10"/>
              </w:rPr>
            </w:pPr>
            <w:r>
              <w:rPr>
                <w:color w:val="231F20"/>
                <w:w w:val="120"/>
                <w:sz w:val="10"/>
              </w:rPr>
              <w:t>8.1.3.d</w:t>
            </w:r>
          </w:p>
        </w:tc>
        <w:tc>
          <w:tcPr>
            <w:tcW w:w="4979" w:type="dxa"/>
            <w:gridSpan w:val="2"/>
            <w:tcBorders>
              <w:top w:val="single" w:sz="6" w:space="0" w:color="231F20"/>
              <w:left w:val="single" w:sz="6" w:space="0" w:color="231F20"/>
              <w:bottom w:val="single" w:sz="6" w:space="0" w:color="231F20"/>
              <w:right w:val="single" w:sz="6" w:space="0" w:color="231F20"/>
            </w:tcBorders>
          </w:tcPr>
          <w:p w14:paraId="0536DAE6" w14:textId="256CC88B" w:rsidR="009948F1" w:rsidRDefault="00BC0563">
            <w:pPr>
              <w:pStyle w:val="TableParagraph"/>
              <w:spacing w:before="3"/>
              <w:ind w:left="28"/>
              <w:rPr>
                <w:sz w:val="10"/>
              </w:rPr>
            </w:pPr>
            <w:r>
              <w:rPr>
                <w:color w:val="231F20"/>
                <w:w w:val="120"/>
                <w:sz w:val="10"/>
              </w:rPr>
              <w:t xml:space="preserve">Support zonal meeting with WDC Chairman to </w:t>
            </w:r>
            <w:r w:rsidR="00A93E69">
              <w:rPr>
                <w:color w:val="231F20"/>
                <w:w w:val="120"/>
                <w:sz w:val="10"/>
              </w:rPr>
              <w:t>disseminate</w:t>
            </w:r>
            <w:r>
              <w:rPr>
                <w:color w:val="231F20"/>
                <w:w w:val="120"/>
                <w:sz w:val="10"/>
              </w:rPr>
              <w:t xml:space="preserve"> information on promotion of</w:t>
            </w:r>
          </w:p>
          <w:p w14:paraId="24785E28" w14:textId="14010E2E" w:rsidR="009948F1" w:rsidRDefault="00A93E69">
            <w:pPr>
              <w:pStyle w:val="TableParagraph"/>
              <w:spacing w:before="14" w:line="103" w:lineRule="exact"/>
              <w:ind w:left="28"/>
              <w:rPr>
                <w:sz w:val="10"/>
              </w:rPr>
            </w:pPr>
            <w:r>
              <w:rPr>
                <w:color w:val="231F20"/>
                <w:w w:val="120"/>
                <w:sz w:val="10"/>
              </w:rPr>
              <w:t>Healthy</w:t>
            </w:r>
            <w:r w:rsidR="00BC0563">
              <w:rPr>
                <w:color w:val="231F20"/>
                <w:w w:val="120"/>
                <w:sz w:val="10"/>
              </w:rPr>
              <w:t xml:space="preserve"> living.</w:t>
            </w:r>
          </w:p>
        </w:tc>
        <w:tc>
          <w:tcPr>
            <w:tcW w:w="1451" w:type="dxa"/>
            <w:tcBorders>
              <w:top w:val="single" w:sz="6" w:space="0" w:color="231F20"/>
              <w:left w:val="single" w:sz="6" w:space="0" w:color="231F20"/>
              <w:bottom w:val="single" w:sz="6" w:space="0" w:color="231F20"/>
              <w:right w:val="single" w:sz="6" w:space="0" w:color="231F20"/>
            </w:tcBorders>
          </w:tcPr>
          <w:p w14:paraId="38C0EBA4" w14:textId="77777777" w:rsidR="009948F1" w:rsidRDefault="00BC0563">
            <w:pPr>
              <w:pStyle w:val="TableParagraph"/>
              <w:spacing w:before="72"/>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5C1CB483" w14:textId="77777777" w:rsidR="009948F1" w:rsidRDefault="00BC0563">
            <w:pPr>
              <w:pStyle w:val="TableParagraph"/>
              <w:spacing w:before="72"/>
              <w:ind w:left="31"/>
              <w:rPr>
                <w:sz w:val="10"/>
              </w:rPr>
            </w:pPr>
            <w:r>
              <w:rPr>
                <w:color w:val="231F20"/>
                <w:w w:val="120"/>
                <w:sz w:val="10"/>
              </w:rPr>
              <w:t>Support zonal meeting</w:t>
            </w:r>
          </w:p>
        </w:tc>
      </w:tr>
      <w:tr w:rsidR="009948F1" w14:paraId="7DBEC6E0" w14:textId="77777777">
        <w:trPr>
          <w:trHeight w:val="964"/>
        </w:trPr>
        <w:tc>
          <w:tcPr>
            <w:tcW w:w="407" w:type="dxa"/>
            <w:tcBorders>
              <w:top w:val="nil"/>
              <w:bottom w:val="nil"/>
              <w:right w:val="single" w:sz="6" w:space="0" w:color="231F20"/>
            </w:tcBorders>
          </w:tcPr>
          <w:p w14:paraId="1C7318C4"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0689E103" w14:textId="77777777" w:rsidR="009948F1" w:rsidRDefault="009948F1">
            <w:pPr>
              <w:pStyle w:val="TableParagraph"/>
              <w:rPr>
                <w:sz w:val="10"/>
              </w:rPr>
            </w:pPr>
          </w:p>
          <w:p w14:paraId="7289E057" w14:textId="77777777" w:rsidR="009948F1" w:rsidRDefault="009948F1">
            <w:pPr>
              <w:pStyle w:val="TableParagraph"/>
              <w:rPr>
                <w:sz w:val="10"/>
              </w:rPr>
            </w:pPr>
          </w:p>
          <w:p w14:paraId="2E7068E9" w14:textId="77777777" w:rsidR="009948F1" w:rsidRDefault="009948F1">
            <w:pPr>
              <w:pStyle w:val="TableParagraph"/>
              <w:rPr>
                <w:sz w:val="10"/>
              </w:rPr>
            </w:pPr>
          </w:p>
          <w:p w14:paraId="29757D80" w14:textId="77777777" w:rsidR="009948F1" w:rsidRDefault="00BC0563">
            <w:pPr>
              <w:pStyle w:val="TableParagraph"/>
              <w:spacing w:before="82"/>
              <w:ind w:left="60"/>
              <w:rPr>
                <w:sz w:val="10"/>
              </w:rPr>
            </w:pPr>
            <w:r>
              <w:rPr>
                <w:color w:val="231F20"/>
                <w:w w:val="120"/>
                <w:sz w:val="10"/>
              </w:rPr>
              <w:t>8.1.4</w:t>
            </w:r>
          </w:p>
        </w:tc>
        <w:tc>
          <w:tcPr>
            <w:tcW w:w="3088" w:type="dxa"/>
            <w:gridSpan w:val="2"/>
            <w:tcBorders>
              <w:top w:val="single" w:sz="6" w:space="0" w:color="231F20"/>
              <w:left w:val="single" w:sz="6" w:space="0" w:color="231F20"/>
              <w:bottom w:val="single" w:sz="6" w:space="0" w:color="231F20"/>
              <w:right w:val="single" w:sz="6" w:space="0" w:color="231F20"/>
            </w:tcBorders>
            <w:shd w:val="clear" w:color="auto" w:fill="CCE7D3"/>
          </w:tcPr>
          <w:p w14:paraId="1B5C5C96" w14:textId="77777777" w:rsidR="009948F1" w:rsidRDefault="009948F1">
            <w:pPr>
              <w:pStyle w:val="TableParagraph"/>
              <w:rPr>
                <w:sz w:val="10"/>
              </w:rPr>
            </w:pPr>
          </w:p>
          <w:p w14:paraId="4158AC1A" w14:textId="77777777" w:rsidR="009948F1" w:rsidRDefault="009948F1">
            <w:pPr>
              <w:pStyle w:val="TableParagraph"/>
              <w:rPr>
                <w:sz w:val="10"/>
              </w:rPr>
            </w:pPr>
          </w:p>
          <w:p w14:paraId="01CF3179" w14:textId="77777777" w:rsidR="009948F1" w:rsidRDefault="009948F1">
            <w:pPr>
              <w:pStyle w:val="TableParagraph"/>
              <w:rPr>
                <w:sz w:val="10"/>
              </w:rPr>
            </w:pPr>
          </w:p>
          <w:p w14:paraId="04A9A223" w14:textId="77777777" w:rsidR="009948F1" w:rsidRDefault="00BC0563">
            <w:pPr>
              <w:pStyle w:val="TableParagraph"/>
              <w:spacing w:before="78"/>
              <w:ind w:left="60"/>
              <w:rPr>
                <w:sz w:val="10"/>
              </w:rPr>
            </w:pPr>
            <w:r>
              <w:rPr>
                <w:color w:val="231F20"/>
                <w:w w:val="120"/>
                <w:sz w:val="10"/>
              </w:rPr>
              <w:t>Scale-up health promotion activities at all levels.</w:t>
            </w:r>
          </w:p>
        </w:tc>
        <w:tc>
          <w:tcPr>
            <w:tcW w:w="2425" w:type="dxa"/>
            <w:tcBorders>
              <w:top w:val="single" w:sz="6" w:space="0" w:color="231F20"/>
              <w:left w:val="single" w:sz="6" w:space="0" w:color="231F20"/>
              <w:bottom w:val="single" w:sz="6" w:space="0" w:color="231F20"/>
              <w:right w:val="single" w:sz="6" w:space="0" w:color="231F20"/>
            </w:tcBorders>
            <w:shd w:val="clear" w:color="auto" w:fill="CCE7D3"/>
          </w:tcPr>
          <w:p w14:paraId="7ABDCE83" w14:textId="77777777" w:rsidR="009948F1" w:rsidRDefault="00BC0563">
            <w:pPr>
              <w:pStyle w:val="TableParagraph"/>
              <w:numPr>
                <w:ilvl w:val="0"/>
                <w:numId w:val="96"/>
              </w:numPr>
              <w:tabs>
                <w:tab w:val="left" w:pos="106"/>
              </w:tabs>
              <w:spacing w:before="38" w:line="271" w:lineRule="auto"/>
              <w:ind w:right="186" w:firstLine="0"/>
              <w:rPr>
                <w:sz w:val="10"/>
              </w:rPr>
            </w:pPr>
            <w:r>
              <w:rPr>
                <w:color w:val="231F20"/>
                <w:w w:val="120"/>
                <w:sz w:val="10"/>
              </w:rPr>
              <w:t>Reach Every Ward (REW) strategy with components of all health interventions integrated at state &amp; LGA</w:t>
            </w:r>
            <w:r>
              <w:rPr>
                <w:color w:val="231F20"/>
                <w:spacing w:val="-9"/>
                <w:w w:val="120"/>
                <w:sz w:val="10"/>
              </w:rPr>
              <w:t xml:space="preserve"> </w:t>
            </w:r>
            <w:r>
              <w:rPr>
                <w:color w:val="231F20"/>
                <w:w w:val="120"/>
                <w:sz w:val="10"/>
              </w:rPr>
              <w:t>levels</w:t>
            </w:r>
          </w:p>
          <w:p w14:paraId="5EA87875" w14:textId="77777777" w:rsidR="009948F1" w:rsidRDefault="00BC0563">
            <w:pPr>
              <w:pStyle w:val="TableParagraph"/>
              <w:numPr>
                <w:ilvl w:val="0"/>
                <w:numId w:val="96"/>
              </w:numPr>
              <w:tabs>
                <w:tab w:val="left" w:pos="73"/>
              </w:tabs>
              <w:spacing w:line="271" w:lineRule="auto"/>
              <w:ind w:right="95" w:firstLine="0"/>
              <w:rPr>
                <w:sz w:val="10"/>
              </w:rPr>
            </w:pPr>
            <w:r>
              <w:rPr>
                <w:color w:val="231F20"/>
                <w:w w:val="120"/>
                <w:sz w:val="10"/>
              </w:rPr>
              <w:t>Celebration of World Handwashing Day in the state</w:t>
            </w:r>
            <w:r>
              <w:rPr>
                <w:color w:val="231F20"/>
                <w:spacing w:val="-2"/>
                <w:w w:val="120"/>
                <w:sz w:val="10"/>
              </w:rPr>
              <w:t xml:space="preserve"> </w:t>
            </w:r>
            <w:r>
              <w:rPr>
                <w:color w:val="231F20"/>
                <w:w w:val="120"/>
                <w:sz w:val="10"/>
              </w:rPr>
              <w:t>done</w:t>
            </w:r>
          </w:p>
          <w:p w14:paraId="0021FB65" w14:textId="77777777" w:rsidR="009948F1" w:rsidRDefault="00BC0563">
            <w:pPr>
              <w:pStyle w:val="TableParagraph"/>
              <w:numPr>
                <w:ilvl w:val="0"/>
                <w:numId w:val="96"/>
              </w:numPr>
              <w:tabs>
                <w:tab w:val="left" w:pos="139"/>
              </w:tabs>
              <w:spacing w:line="114" w:lineRule="exact"/>
              <w:ind w:left="139" w:hanging="110"/>
              <w:rPr>
                <w:sz w:val="10"/>
              </w:rPr>
            </w:pPr>
            <w:r>
              <w:rPr>
                <w:color w:val="231F20"/>
                <w:w w:val="120"/>
                <w:sz w:val="10"/>
              </w:rPr>
              <w:t>Environmental health club established</w:t>
            </w:r>
            <w:r>
              <w:rPr>
                <w:color w:val="231F20"/>
                <w:spacing w:val="4"/>
                <w:w w:val="120"/>
                <w:sz w:val="10"/>
              </w:rPr>
              <w:t xml:space="preserve"> </w:t>
            </w:r>
            <w:r>
              <w:rPr>
                <w:color w:val="231F20"/>
                <w:w w:val="120"/>
                <w:sz w:val="10"/>
              </w:rPr>
              <w:t>in</w:t>
            </w:r>
          </w:p>
          <w:p w14:paraId="32B611D5" w14:textId="77777777" w:rsidR="009948F1" w:rsidRDefault="00BC0563">
            <w:pPr>
              <w:pStyle w:val="TableParagraph"/>
              <w:spacing w:before="13"/>
              <w:ind w:left="29"/>
              <w:rPr>
                <w:sz w:val="10"/>
              </w:rPr>
            </w:pPr>
            <w:r>
              <w:rPr>
                <w:color w:val="231F20"/>
                <w:w w:val="120"/>
                <w:sz w:val="10"/>
              </w:rPr>
              <w:t>schools at all levels</w:t>
            </w:r>
          </w:p>
        </w:tc>
        <w:tc>
          <w:tcPr>
            <w:tcW w:w="1451" w:type="dxa"/>
            <w:tcBorders>
              <w:top w:val="single" w:sz="6" w:space="0" w:color="231F20"/>
              <w:left w:val="single" w:sz="6" w:space="0" w:color="231F20"/>
              <w:bottom w:val="single" w:sz="6" w:space="0" w:color="231F20"/>
              <w:right w:val="single" w:sz="6" w:space="0" w:color="231F20"/>
            </w:tcBorders>
            <w:shd w:val="clear" w:color="auto" w:fill="CCE7D3"/>
          </w:tcPr>
          <w:p w14:paraId="0DD6DE71" w14:textId="77777777" w:rsidR="009948F1" w:rsidRDefault="009948F1">
            <w:pPr>
              <w:pStyle w:val="TableParagraph"/>
              <w:rPr>
                <w:rFonts w:ascii="Times New Roman"/>
                <w:sz w:val="12"/>
              </w:rPr>
            </w:pPr>
          </w:p>
        </w:tc>
        <w:tc>
          <w:tcPr>
            <w:tcW w:w="1531" w:type="dxa"/>
            <w:tcBorders>
              <w:top w:val="single" w:sz="6" w:space="0" w:color="231F20"/>
              <w:left w:val="single" w:sz="6" w:space="0" w:color="231F20"/>
              <w:bottom w:val="single" w:sz="6" w:space="0" w:color="231F20"/>
              <w:right w:val="single" w:sz="6" w:space="0" w:color="231F20"/>
            </w:tcBorders>
            <w:shd w:val="clear" w:color="auto" w:fill="CCE7D3"/>
          </w:tcPr>
          <w:p w14:paraId="0720508C" w14:textId="77777777" w:rsidR="009948F1" w:rsidRDefault="009948F1">
            <w:pPr>
              <w:pStyle w:val="TableParagraph"/>
              <w:rPr>
                <w:rFonts w:ascii="Times New Roman"/>
                <w:sz w:val="12"/>
              </w:rPr>
            </w:pPr>
          </w:p>
        </w:tc>
      </w:tr>
      <w:tr w:rsidR="009948F1" w14:paraId="649529AD" w14:textId="77777777">
        <w:trPr>
          <w:trHeight w:val="396"/>
        </w:trPr>
        <w:tc>
          <w:tcPr>
            <w:tcW w:w="869" w:type="dxa"/>
            <w:gridSpan w:val="2"/>
            <w:vMerge w:val="restart"/>
            <w:tcBorders>
              <w:top w:val="nil"/>
              <w:bottom w:val="nil"/>
              <w:right w:val="single" w:sz="6" w:space="0" w:color="231F20"/>
            </w:tcBorders>
          </w:tcPr>
          <w:p w14:paraId="1AE06C2C"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2EA2A3EF" w14:textId="77777777" w:rsidR="009948F1" w:rsidRDefault="009948F1">
            <w:pPr>
              <w:pStyle w:val="TableParagraph"/>
              <w:spacing w:before="5"/>
              <w:rPr>
                <w:sz w:val="12"/>
              </w:rPr>
            </w:pPr>
          </w:p>
          <w:p w14:paraId="3077DA65" w14:textId="77777777" w:rsidR="009948F1" w:rsidRDefault="00BC0563">
            <w:pPr>
              <w:pStyle w:val="TableParagraph"/>
              <w:spacing w:before="1"/>
              <w:ind w:left="33" w:right="8"/>
              <w:jc w:val="center"/>
              <w:rPr>
                <w:sz w:val="10"/>
              </w:rPr>
            </w:pPr>
            <w:r>
              <w:rPr>
                <w:color w:val="231F20"/>
                <w:w w:val="120"/>
                <w:sz w:val="10"/>
              </w:rPr>
              <w:t>8.1.4.a</w:t>
            </w:r>
          </w:p>
        </w:tc>
        <w:tc>
          <w:tcPr>
            <w:tcW w:w="4979" w:type="dxa"/>
            <w:gridSpan w:val="2"/>
            <w:tcBorders>
              <w:top w:val="single" w:sz="6" w:space="0" w:color="231F20"/>
              <w:left w:val="single" w:sz="6" w:space="0" w:color="231F20"/>
              <w:bottom w:val="single" w:sz="6" w:space="0" w:color="231F20"/>
              <w:right w:val="single" w:sz="6" w:space="0" w:color="231F20"/>
            </w:tcBorders>
          </w:tcPr>
          <w:p w14:paraId="010234FA" w14:textId="77777777" w:rsidR="009948F1" w:rsidRDefault="00BC0563">
            <w:pPr>
              <w:pStyle w:val="TableParagraph"/>
              <w:spacing w:before="74" w:line="271" w:lineRule="auto"/>
              <w:ind w:left="28"/>
              <w:rPr>
                <w:sz w:val="10"/>
              </w:rPr>
            </w:pPr>
            <w:r>
              <w:rPr>
                <w:color w:val="231F20"/>
                <w:w w:val="120"/>
                <w:sz w:val="10"/>
              </w:rPr>
              <w:t>Integrate Reach Every Ward (REW) strategy with components of all health interventions at state &amp; LGA levels</w:t>
            </w:r>
          </w:p>
        </w:tc>
        <w:tc>
          <w:tcPr>
            <w:tcW w:w="1451" w:type="dxa"/>
            <w:tcBorders>
              <w:top w:val="single" w:sz="6" w:space="0" w:color="231F20"/>
              <w:left w:val="single" w:sz="6" w:space="0" w:color="231F20"/>
              <w:bottom w:val="single" w:sz="6" w:space="0" w:color="231F20"/>
              <w:right w:val="single" w:sz="6" w:space="0" w:color="231F20"/>
            </w:tcBorders>
          </w:tcPr>
          <w:p w14:paraId="4CB71DF5" w14:textId="77777777" w:rsidR="009948F1" w:rsidRDefault="009948F1">
            <w:pPr>
              <w:pStyle w:val="TableParagraph"/>
              <w:spacing w:before="5"/>
              <w:rPr>
                <w:sz w:val="12"/>
              </w:rPr>
            </w:pPr>
          </w:p>
          <w:p w14:paraId="28051041" w14:textId="77777777" w:rsidR="009948F1" w:rsidRDefault="00BC0563">
            <w:pPr>
              <w:pStyle w:val="TableParagraph"/>
              <w:spacing w:before="1"/>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654D6128" w14:textId="77777777" w:rsidR="009948F1" w:rsidRDefault="00BC0563">
            <w:pPr>
              <w:pStyle w:val="TableParagraph"/>
              <w:spacing w:before="78" w:line="271" w:lineRule="auto"/>
              <w:ind w:left="31" w:right="271"/>
              <w:rPr>
                <w:sz w:val="10"/>
              </w:rPr>
            </w:pPr>
            <w:r>
              <w:rPr>
                <w:color w:val="231F20"/>
                <w:w w:val="120"/>
                <w:sz w:val="10"/>
              </w:rPr>
              <w:t>Integrate Reach Every Ward</w:t>
            </w:r>
          </w:p>
        </w:tc>
      </w:tr>
      <w:tr w:rsidR="009948F1" w14:paraId="3911B862" w14:textId="77777777">
        <w:trPr>
          <w:trHeight w:val="231"/>
        </w:trPr>
        <w:tc>
          <w:tcPr>
            <w:tcW w:w="869" w:type="dxa"/>
            <w:gridSpan w:val="2"/>
            <w:vMerge/>
            <w:tcBorders>
              <w:top w:val="nil"/>
              <w:bottom w:val="nil"/>
              <w:right w:val="single" w:sz="6" w:space="0" w:color="231F20"/>
            </w:tcBorders>
          </w:tcPr>
          <w:p w14:paraId="496CAC23"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69148FD5" w14:textId="77777777" w:rsidR="009948F1" w:rsidRDefault="00BC0563">
            <w:pPr>
              <w:pStyle w:val="TableParagraph"/>
              <w:spacing w:before="60"/>
              <w:ind w:left="33" w:right="8"/>
              <w:jc w:val="center"/>
              <w:rPr>
                <w:sz w:val="10"/>
              </w:rPr>
            </w:pPr>
            <w:r>
              <w:rPr>
                <w:color w:val="231F20"/>
                <w:w w:val="120"/>
                <w:sz w:val="10"/>
              </w:rPr>
              <w:t>8.1.4.b</w:t>
            </w:r>
          </w:p>
        </w:tc>
        <w:tc>
          <w:tcPr>
            <w:tcW w:w="4979" w:type="dxa"/>
            <w:gridSpan w:val="2"/>
            <w:tcBorders>
              <w:top w:val="single" w:sz="6" w:space="0" w:color="231F20"/>
              <w:left w:val="single" w:sz="6" w:space="0" w:color="231F20"/>
              <w:bottom w:val="single" w:sz="6" w:space="0" w:color="231F20"/>
              <w:right w:val="single" w:sz="6" w:space="0" w:color="231F20"/>
            </w:tcBorders>
          </w:tcPr>
          <w:p w14:paraId="54DEC568" w14:textId="77777777" w:rsidR="009948F1" w:rsidRDefault="00BC0563">
            <w:pPr>
              <w:pStyle w:val="TableParagraph"/>
              <w:spacing w:before="56"/>
              <w:ind w:left="28"/>
              <w:rPr>
                <w:sz w:val="10"/>
              </w:rPr>
            </w:pPr>
            <w:r>
              <w:rPr>
                <w:color w:val="231F20"/>
                <w:w w:val="120"/>
                <w:sz w:val="10"/>
              </w:rPr>
              <w:t>Conduct zonal hygiene promotion debate and quiz amongst schools in the state</w:t>
            </w:r>
          </w:p>
        </w:tc>
        <w:tc>
          <w:tcPr>
            <w:tcW w:w="1451" w:type="dxa"/>
            <w:tcBorders>
              <w:top w:val="single" w:sz="6" w:space="0" w:color="231F20"/>
              <w:left w:val="single" w:sz="6" w:space="0" w:color="231F20"/>
              <w:bottom w:val="single" w:sz="6" w:space="0" w:color="231F20"/>
              <w:right w:val="single" w:sz="6" w:space="0" w:color="231F20"/>
            </w:tcBorders>
          </w:tcPr>
          <w:p w14:paraId="0147F742" w14:textId="77777777" w:rsidR="009948F1" w:rsidRDefault="00BC0563">
            <w:pPr>
              <w:pStyle w:val="TableParagraph"/>
              <w:spacing w:before="60"/>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40E55599" w14:textId="77777777" w:rsidR="009948F1" w:rsidRDefault="00BC0563">
            <w:pPr>
              <w:pStyle w:val="TableParagraph"/>
              <w:spacing w:before="13" w:line="204" w:lineRule="auto"/>
              <w:ind w:left="31" w:right="244"/>
              <w:rPr>
                <w:sz w:val="10"/>
              </w:rPr>
            </w:pPr>
            <w:r>
              <w:rPr>
                <w:color w:val="231F20"/>
                <w:w w:val="120"/>
                <w:sz w:val="10"/>
              </w:rPr>
              <w:t>Conduct zonal hygiene promotion</w:t>
            </w:r>
          </w:p>
        </w:tc>
      </w:tr>
      <w:tr w:rsidR="009948F1" w14:paraId="582E6894" w14:textId="77777777">
        <w:trPr>
          <w:trHeight w:val="244"/>
        </w:trPr>
        <w:tc>
          <w:tcPr>
            <w:tcW w:w="869" w:type="dxa"/>
            <w:gridSpan w:val="2"/>
            <w:vMerge/>
            <w:tcBorders>
              <w:top w:val="nil"/>
              <w:bottom w:val="nil"/>
              <w:right w:val="single" w:sz="6" w:space="0" w:color="231F20"/>
            </w:tcBorders>
          </w:tcPr>
          <w:p w14:paraId="77DB58D2"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34EB6C99" w14:textId="77777777" w:rsidR="009948F1" w:rsidRDefault="00BC0563">
            <w:pPr>
              <w:pStyle w:val="TableParagraph"/>
              <w:spacing w:before="66"/>
              <w:ind w:left="33" w:right="7"/>
              <w:jc w:val="center"/>
              <w:rPr>
                <w:sz w:val="10"/>
              </w:rPr>
            </w:pPr>
            <w:r>
              <w:rPr>
                <w:color w:val="231F20"/>
                <w:w w:val="120"/>
                <w:sz w:val="10"/>
              </w:rPr>
              <w:t>8.1.4.c</w:t>
            </w:r>
          </w:p>
        </w:tc>
        <w:tc>
          <w:tcPr>
            <w:tcW w:w="4979" w:type="dxa"/>
            <w:gridSpan w:val="2"/>
            <w:tcBorders>
              <w:top w:val="single" w:sz="6" w:space="0" w:color="231F20"/>
              <w:left w:val="single" w:sz="6" w:space="0" w:color="231F20"/>
              <w:bottom w:val="single" w:sz="6" w:space="0" w:color="231F20"/>
              <w:right w:val="single" w:sz="6" w:space="0" w:color="231F20"/>
            </w:tcBorders>
          </w:tcPr>
          <w:p w14:paraId="46B1EA3F" w14:textId="77777777" w:rsidR="009948F1" w:rsidRDefault="00BC0563">
            <w:pPr>
              <w:pStyle w:val="TableParagraph"/>
              <w:spacing w:before="62"/>
              <w:ind w:left="28"/>
              <w:rPr>
                <w:sz w:val="10"/>
              </w:rPr>
            </w:pPr>
            <w:r>
              <w:rPr>
                <w:color w:val="231F20"/>
                <w:w w:val="120"/>
                <w:sz w:val="10"/>
              </w:rPr>
              <w:t>Celebration of World Handwashing Day in the state &amp; 23 LGAs</w:t>
            </w:r>
          </w:p>
        </w:tc>
        <w:tc>
          <w:tcPr>
            <w:tcW w:w="1451" w:type="dxa"/>
            <w:tcBorders>
              <w:top w:val="single" w:sz="6" w:space="0" w:color="231F20"/>
              <w:left w:val="single" w:sz="6" w:space="0" w:color="231F20"/>
              <w:bottom w:val="single" w:sz="6" w:space="0" w:color="231F20"/>
              <w:right w:val="single" w:sz="6" w:space="0" w:color="231F20"/>
            </w:tcBorders>
          </w:tcPr>
          <w:p w14:paraId="3274435C" w14:textId="77777777" w:rsidR="009948F1" w:rsidRDefault="00BC0563">
            <w:pPr>
              <w:pStyle w:val="TableParagraph"/>
              <w:spacing w:before="66"/>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3148FD69" w14:textId="77777777" w:rsidR="009948F1" w:rsidRDefault="00BC0563">
            <w:pPr>
              <w:pStyle w:val="TableParagraph"/>
              <w:spacing w:before="7" w:line="120" w:lineRule="atLeast"/>
              <w:ind w:left="31" w:right="397"/>
              <w:rPr>
                <w:sz w:val="10"/>
              </w:rPr>
            </w:pPr>
            <w:r>
              <w:rPr>
                <w:color w:val="231F20"/>
                <w:w w:val="120"/>
                <w:sz w:val="10"/>
              </w:rPr>
              <w:t>Celebration of world handwashing day</w:t>
            </w:r>
          </w:p>
        </w:tc>
      </w:tr>
      <w:tr w:rsidR="009948F1" w14:paraId="1739D7AE" w14:textId="77777777">
        <w:trPr>
          <w:trHeight w:val="247"/>
        </w:trPr>
        <w:tc>
          <w:tcPr>
            <w:tcW w:w="869" w:type="dxa"/>
            <w:gridSpan w:val="2"/>
            <w:vMerge/>
            <w:tcBorders>
              <w:top w:val="nil"/>
              <w:bottom w:val="nil"/>
              <w:right w:val="single" w:sz="6" w:space="0" w:color="231F20"/>
            </w:tcBorders>
          </w:tcPr>
          <w:p w14:paraId="076EE1E4"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43DC9F6D" w14:textId="77777777" w:rsidR="009948F1" w:rsidRDefault="00BC0563">
            <w:pPr>
              <w:pStyle w:val="TableParagraph"/>
              <w:spacing w:before="67"/>
              <w:ind w:left="33" w:right="8"/>
              <w:jc w:val="center"/>
              <w:rPr>
                <w:sz w:val="10"/>
              </w:rPr>
            </w:pPr>
            <w:r>
              <w:rPr>
                <w:color w:val="231F20"/>
                <w:w w:val="120"/>
                <w:sz w:val="10"/>
              </w:rPr>
              <w:t>8.1.4.d</w:t>
            </w:r>
          </w:p>
        </w:tc>
        <w:tc>
          <w:tcPr>
            <w:tcW w:w="4979" w:type="dxa"/>
            <w:gridSpan w:val="2"/>
            <w:tcBorders>
              <w:top w:val="single" w:sz="6" w:space="0" w:color="231F20"/>
              <w:left w:val="single" w:sz="6" w:space="0" w:color="231F20"/>
              <w:bottom w:val="single" w:sz="6" w:space="0" w:color="231F20"/>
              <w:right w:val="single" w:sz="6" w:space="0" w:color="231F20"/>
            </w:tcBorders>
          </w:tcPr>
          <w:p w14:paraId="01DCE9E6" w14:textId="6A892AAF" w:rsidR="009948F1" w:rsidRDefault="00BC0563">
            <w:pPr>
              <w:pStyle w:val="TableParagraph"/>
              <w:spacing w:before="63"/>
              <w:ind w:left="28"/>
              <w:rPr>
                <w:sz w:val="10"/>
              </w:rPr>
            </w:pPr>
            <w:r>
              <w:rPr>
                <w:color w:val="231F20"/>
                <w:w w:val="120"/>
                <w:sz w:val="10"/>
              </w:rPr>
              <w:t xml:space="preserve">Establish </w:t>
            </w:r>
            <w:r w:rsidR="00A93E69">
              <w:rPr>
                <w:color w:val="231F20"/>
                <w:w w:val="120"/>
                <w:sz w:val="10"/>
              </w:rPr>
              <w:t>environmental</w:t>
            </w:r>
            <w:r>
              <w:rPr>
                <w:color w:val="231F20"/>
                <w:w w:val="120"/>
                <w:sz w:val="10"/>
              </w:rPr>
              <w:t xml:space="preserve"> health club in schools at all levels</w:t>
            </w:r>
          </w:p>
        </w:tc>
        <w:tc>
          <w:tcPr>
            <w:tcW w:w="1451" w:type="dxa"/>
            <w:tcBorders>
              <w:top w:val="single" w:sz="6" w:space="0" w:color="231F20"/>
              <w:left w:val="single" w:sz="6" w:space="0" w:color="231F20"/>
              <w:bottom w:val="single" w:sz="6" w:space="0" w:color="231F20"/>
              <w:right w:val="single" w:sz="6" w:space="0" w:color="231F20"/>
            </w:tcBorders>
          </w:tcPr>
          <w:p w14:paraId="1305D31B" w14:textId="77777777" w:rsidR="009948F1" w:rsidRDefault="00BC0563">
            <w:pPr>
              <w:pStyle w:val="TableParagraph"/>
              <w:spacing w:before="67"/>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61806F47" w14:textId="0A5463CA" w:rsidR="009948F1" w:rsidRDefault="00BC0563">
            <w:pPr>
              <w:pStyle w:val="TableParagraph"/>
              <w:spacing w:before="67"/>
              <w:ind w:left="31"/>
              <w:rPr>
                <w:sz w:val="10"/>
              </w:rPr>
            </w:pPr>
            <w:r>
              <w:rPr>
                <w:color w:val="231F20"/>
                <w:w w:val="120"/>
                <w:sz w:val="10"/>
              </w:rPr>
              <w:t xml:space="preserve">Establish </w:t>
            </w:r>
            <w:r w:rsidR="00A93E69">
              <w:rPr>
                <w:color w:val="231F20"/>
                <w:w w:val="120"/>
                <w:sz w:val="10"/>
              </w:rPr>
              <w:t>environmental</w:t>
            </w:r>
          </w:p>
        </w:tc>
      </w:tr>
      <w:tr w:rsidR="009948F1" w14:paraId="17C49696" w14:textId="77777777">
        <w:trPr>
          <w:trHeight w:val="241"/>
        </w:trPr>
        <w:tc>
          <w:tcPr>
            <w:tcW w:w="869" w:type="dxa"/>
            <w:gridSpan w:val="2"/>
            <w:vMerge/>
            <w:tcBorders>
              <w:top w:val="nil"/>
              <w:bottom w:val="nil"/>
              <w:right w:val="single" w:sz="6" w:space="0" w:color="231F20"/>
            </w:tcBorders>
          </w:tcPr>
          <w:p w14:paraId="2113DC5E" w14:textId="77777777" w:rsidR="009948F1" w:rsidRDefault="009948F1">
            <w:pPr>
              <w:rPr>
                <w:sz w:val="2"/>
                <w:szCs w:val="2"/>
              </w:rPr>
            </w:pPr>
          </w:p>
        </w:tc>
        <w:tc>
          <w:tcPr>
            <w:tcW w:w="534" w:type="dxa"/>
            <w:tcBorders>
              <w:top w:val="single" w:sz="6" w:space="0" w:color="231F20"/>
              <w:left w:val="single" w:sz="6" w:space="0" w:color="231F20"/>
              <w:right w:val="single" w:sz="6" w:space="0" w:color="231F20"/>
            </w:tcBorders>
          </w:tcPr>
          <w:p w14:paraId="11F9D7CB" w14:textId="77777777" w:rsidR="009948F1" w:rsidRDefault="00BC0563">
            <w:pPr>
              <w:pStyle w:val="TableParagraph"/>
              <w:spacing w:before="66"/>
              <w:ind w:left="33" w:right="8"/>
              <w:jc w:val="center"/>
              <w:rPr>
                <w:sz w:val="10"/>
              </w:rPr>
            </w:pPr>
            <w:r>
              <w:rPr>
                <w:color w:val="231F20"/>
                <w:w w:val="120"/>
                <w:sz w:val="10"/>
              </w:rPr>
              <w:t>8.1.4.e</w:t>
            </w:r>
          </w:p>
        </w:tc>
        <w:tc>
          <w:tcPr>
            <w:tcW w:w="4979" w:type="dxa"/>
            <w:gridSpan w:val="2"/>
            <w:tcBorders>
              <w:top w:val="single" w:sz="6" w:space="0" w:color="231F20"/>
              <w:left w:val="single" w:sz="6" w:space="0" w:color="231F20"/>
              <w:right w:val="single" w:sz="6" w:space="0" w:color="231F20"/>
            </w:tcBorders>
          </w:tcPr>
          <w:p w14:paraId="38D851D3" w14:textId="36C8A984" w:rsidR="009948F1" w:rsidRDefault="00BC0563">
            <w:pPr>
              <w:pStyle w:val="TableParagraph"/>
              <w:spacing w:before="62"/>
              <w:ind w:left="28"/>
              <w:rPr>
                <w:sz w:val="10"/>
              </w:rPr>
            </w:pPr>
            <w:r>
              <w:rPr>
                <w:color w:val="231F20"/>
                <w:w w:val="120"/>
                <w:sz w:val="10"/>
              </w:rPr>
              <w:t xml:space="preserve">Monitoring of activities of </w:t>
            </w:r>
            <w:r w:rsidR="00A93E69">
              <w:rPr>
                <w:color w:val="231F20"/>
                <w:w w:val="120"/>
                <w:sz w:val="10"/>
              </w:rPr>
              <w:t>environmental</w:t>
            </w:r>
            <w:r>
              <w:rPr>
                <w:color w:val="231F20"/>
                <w:w w:val="120"/>
                <w:sz w:val="10"/>
              </w:rPr>
              <w:t xml:space="preserve"> health club</w:t>
            </w:r>
          </w:p>
        </w:tc>
        <w:tc>
          <w:tcPr>
            <w:tcW w:w="1451" w:type="dxa"/>
            <w:tcBorders>
              <w:top w:val="single" w:sz="6" w:space="0" w:color="231F20"/>
              <w:left w:val="single" w:sz="6" w:space="0" w:color="231F20"/>
              <w:right w:val="single" w:sz="6" w:space="0" w:color="231F20"/>
            </w:tcBorders>
          </w:tcPr>
          <w:p w14:paraId="5DC7E5A4" w14:textId="77777777" w:rsidR="009948F1" w:rsidRDefault="00BC0563">
            <w:pPr>
              <w:pStyle w:val="TableParagraph"/>
              <w:spacing w:before="66"/>
              <w:ind w:left="30"/>
              <w:rPr>
                <w:sz w:val="10"/>
              </w:rPr>
            </w:pPr>
            <w:r>
              <w:rPr>
                <w:color w:val="231F20"/>
                <w:w w:val="120"/>
                <w:sz w:val="10"/>
              </w:rPr>
              <w:t>Lack of funds</w:t>
            </w:r>
          </w:p>
        </w:tc>
        <w:tc>
          <w:tcPr>
            <w:tcW w:w="1531" w:type="dxa"/>
            <w:tcBorders>
              <w:top w:val="single" w:sz="6" w:space="0" w:color="231F20"/>
              <w:left w:val="single" w:sz="6" w:space="0" w:color="231F20"/>
              <w:right w:val="single" w:sz="6" w:space="0" w:color="231F20"/>
            </w:tcBorders>
          </w:tcPr>
          <w:p w14:paraId="58C1A42F" w14:textId="77777777" w:rsidR="009948F1" w:rsidRDefault="00BC0563">
            <w:pPr>
              <w:pStyle w:val="TableParagraph"/>
              <w:spacing w:before="66"/>
              <w:ind w:left="31"/>
              <w:rPr>
                <w:sz w:val="10"/>
              </w:rPr>
            </w:pPr>
            <w:r>
              <w:rPr>
                <w:color w:val="231F20"/>
                <w:w w:val="120"/>
                <w:sz w:val="10"/>
              </w:rPr>
              <w:t>Monitoring of activities</w:t>
            </w:r>
          </w:p>
        </w:tc>
      </w:tr>
      <w:tr w:rsidR="009948F1" w14:paraId="70984D20" w14:textId="77777777">
        <w:trPr>
          <w:trHeight w:val="1111"/>
        </w:trPr>
        <w:tc>
          <w:tcPr>
            <w:tcW w:w="407" w:type="dxa"/>
            <w:tcBorders>
              <w:top w:val="nil"/>
              <w:bottom w:val="nil"/>
              <w:right w:val="single" w:sz="6" w:space="0" w:color="231F20"/>
            </w:tcBorders>
          </w:tcPr>
          <w:p w14:paraId="6BD1C777" w14:textId="77777777" w:rsidR="009948F1" w:rsidRDefault="009948F1">
            <w:pPr>
              <w:pStyle w:val="TableParagraph"/>
              <w:rPr>
                <w:rFonts w:ascii="Times New Roman"/>
                <w:sz w:val="12"/>
              </w:rPr>
            </w:pPr>
          </w:p>
        </w:tc>
        <w:tc>
          <w:tcPr>
            <w:tcW w:w="462" w:type="dxa"/>
            <w:tcBorders>
              <w:left w:val="single" w:sz="6" w:space="0" w:color="231F20"/>
              <w:bottom w:val="single" w:sz="6" w:space="0" w:color="231F20"/>
              <w:right w:val="single" w:sz="6" w:space="0" w:color="231F20"/>
            </w:tcBorders>
            <w:shd w:val="clear" w:color="auto" w:fill="CCE7D3"/>
          </w:tcPr>
          <w:p w14:paraId="69DE0B4D" w14:textId="77777777" w:rsidR="009948F1" w:rsidRDefault="009948F1">
            <w:pPr>
              <w:pStyle w:val="TableParagraph"/>
              <w:rPr>
                <w:sz w:val="10"/>
              </w:rPr>
            </w:pPr>
          </w:p>
          <w:p w14:paraId="0664788B" w14:textId="77777777" w:rsidR="009948F1" w:rsidRDefault="009948F1">
            <w:pPr>
              <w:pStyle w:val="TableParagraph"/>
              <w:rPr>
                <w:sz w:val="10"/>
              </w:rPr>
            </w:pPr>
          </w:p>
          <w:p w14:paraId="577131BB" w14:textId="77777777" w:rsidR="009948F1" w:rsidRDefault="009948F1">
            <w:pPr>
              <w:pStyle w:val="TableParagraph"/>
              <w:rPr>
                <w:sz w:val="10"/>
              </w:rPr>
            </w:pPr>
          </w:p>
          <w:p w14:paraId="2C8DA67B" w14:textId="77777777" w:rsidR="009948F1" w:rsidRDefault="009948F1">
            <w:pPr>
              <w:pStyle w:val="TableParagraph"/>
              <w:spacing w:before="5"/>
              <w:rPr>
                <w:sz w:val="13"/>
              </w:rPr>
            </w:pPr>
          </w:p>
          <w:p w14:paraId="51388477" w14:textId="77777777" w:rsidR="009948F1" w:rsidRDefault="00BC0563">
            <w:pPr>
              <w:pStyle w:val="TableParagraph"/>
              <w:spacing w:before="1"/>
              <w:ind w:left="60"/>
              <w:rPr>
                <w:sz w:val="10"/>
              </w:rPr>
            </w:pPr>
            <w:r>
              <w:rPr>
                <w:color w:val="231F20"/>
                <w:w w:val="120"/>
                <w:sz w:val="10"/>
              </w:rPr>
              <w:t>8.1.5</w:t>
            </w:r>
          </w:p>
        </w:tc>
        <w:tc>
          <w:tcPr>
            <w:tcW w:w="3088" w:type="dxa"/>
            <w:gridSpan w:val="2"/>
            <w:tcBorders>
              <w:left w:val="single" w:sz="6" w:space="0" w:color="231F20"/>
              <w:bottom w:val="single" w:sz="6" w:space="0" w:color="231F20"/>
              <w:right w:val="single" w:sz="6" w:space="0" w:color="231F20"/>
            </w:tcBorders>
            <w:shd w:val="clear" w:color="auto" w:fill="CCE7D3"/>
          </w:tcPr>
          <w:p w14:paraId="003EA386" w14:textId="77777777" w:rsidR="009948F1" w:rsidRDefault="009948F1">
            <w:pPr>
              <w:pStyle w:val="TableParagraph"/>
              <w:rPr>
                <w:sz w:val="10"/>
              </w:rPr>
            </w:pPr>
          </w:p>
          <w:p w14:paraId="7E13FA6E" w14:textId="77777777" w:rsidR="009948F1" w:rsidRDefault="009948F1">
            <w:pPr>
              <w:pStyle w:val="TableParagraph"/>
              <w:rPr>
                <w:sz w:val="10"/>
              </w:rPr>
            </w:pPr>
          </w:p>
          <w:p w14:paraId="5F7B5B5A" w14:textId="77777777" w:rsidR="009948F1" w:rsidRDefault="009948F1">
            <w:pPr>
              <w:pStyle w:val="TableParagraph"/>
              <w:rPr>
                <w:sz w:val="10"/>
              </w:rPr>
            </w:pPr>
          </w:p>
          <w:p w14:paraId="1A6C6AA2" w14:textId="77777777" w:rsidR="009948F1" w:rsidRDefault="00BC0563">
            <w:pPr>
              <w:pStyle w:val="TableParagraph"/>
              <w:spacing w:before="87" w:line="271" w:lineRule="auto"/>
              <w:ind w:left="27" w:firstLine="67"/>
              <w:rPr>
                <w:sz w:val="10"/>
              </w:rPr>
            </w:pPr>
            <w:r>
              <w:rPr>
                <w:color w:val="231F20"/>
                <w:w w:val="120"/>
                <w:sz w:val="10"/>
              </w:rPr>
              <w:t>Promote the inclusion of health promotion in workplace health programs</w:t>
            </w:r>
          </w:p>
        </w:tc>
        <w:tc>
          <w:tcPr>
            <w:tcW w:w="2425" w:type="dxa"/>
            <w:tcBorders>
              <w:left w:val="single" w:sz="6" w:space="0" w:color="231F20"/>
              <w:bottom w:val="single" w:sz="6" w:space="0" w:color="231F20"/>
              <w:right w:val="single" w:sz="6" w:space="0" w:color="231F20"/>
            </w:tcBorders>
            <w:shd w:val="clear" w:color="auto" w:fill="CCE7D3"/>
          </w:tcPr>
          <w:p w14:paraId="4C4381A6" w14:textId="77777777" w:rsidR="009948F1" w:rsidRDefault="00BC0563">
            <w:pPr>
              <w:pStyle w:val="TableParagraph"/>
              <w:numPr>
                <w:ilvl w:val="0"/>
                <w:numId w:val="95"/>
              </w:numPr>
              <w:tabs>
                <w:tab w:val="left" w:pos="99"/>
              </w:tabs>
              <w:spacing w:before="47" w:line="271" w:lineRule="auto"/>
              <w:ind w:right="135" w:firstLine="0"/>
              <w:jc w:val="both"/>
              <w:rPr>
                <w:sz w:val="10"/>
              </w:rPr>
            </w:pPr>
            <w:r>
              <w:rPr>
                <w:color w:val="231F20"/>
                <w:w w:val="120"/>
                <w:sz w:val="10"/>
              </w:rPr>
              <w:t xml:space="preserve">Advocacy visit to the Head of Service for inclusion of health promotion in workplace health </w:t>
            </w:r>
            <w:proofErr w:type="spellStart"/>
            <w:r>
              <w:rPr>
                <w:color w:val="231F20"/>
                <w:w w:val="120"/>
                <w:sz w:val="10"/>
              </w:rPr>
              <w:t>programmes</w:t>
            </w:r>
            <w:proofErr w:type="spellEnd"/>
            <w:r>
              <w:rPr>
                <w:color w:val="231F20"/>
                <w:spacing w:val="-1"/>
                <w:w w:val="120"/>
                <w:sz w:val="10"/>
              </w:rPr>
              <w:t xml:space="preserve"> </w:t>
            </w:r>
            <w:r>
              <w:rPr>
                <w:color w:val="231F20"/>
                <w:w w:val="120"/>
                <w:sz w:val="10"/>
              </w:rPr>
              <w:t>done</w:t>
            </w:r>
          </w:p>
          <w:p w14:paraId="54D18B01" w14:textId="77777777" w:rsidR="009948F1" w:rsidRDefault="00BC0563">
            <w:pPr>
              <w:pStyle w:val="TableParagraph"/>
              <w:numPr>
                <w:ilvl w:val="0"/>
                <w:numId w:val="95"/>
              </w:numPr>
              <w:tabs>
                <w:tab w:val="left" w:pos="106"/>
              </w:tabs>
              <w:spacing w:line="271" w:lineRule="auto"/>
              <w:ind w:right="48" w:firstLine="0"/>
              <w:rPr>
                <w:sz w:val="10"/>
              </w:rPr>
            </w:pPr>
            <w:r>
              <w:rPr>
                <w:color w:val="231F20"/>
                <w:w w:val="120"/>
                <w:sz w:val="10"/>
              </w:rPr>
              <w:t>Sanitary convenience in workplaces constructed &amp; dust bins &amp; buckets procured &amp;</w:t>
            </w:r>
            <w:r>
              <w:rPr>
                <w:color w:val="231F20"/>
                <w:spacing w:val="-1"/>
                <w:w w:val="120"/>
                <w:sz w:val="10"/>
              </w:rPr>
              <w:t xml:space="preserve"> </w:t>
            </w:r>
            <w:r>
              <w:rPr>
                <w:color w:val="231F20"/>
                <w:w w:val="120"/>
                <w:sz w:val="10"/>
              </w:rPr>
              <w:t>distributed</w:t>
            </w:r>
          </w:p>
          <w:p w14:paraId="05CE8D11" w14:textId="0D238C96" w:rsidR="009948F1" w:rsidRDefault="00BC0563">
            <w:pPr>
              <w:pStyle w:val="TableParagraph"/>
              <w:numPr>
                <w:ilvl w:val="0"/>
                <w:numId w:val="95"/>
              </w:numPr>
              <w:tabs>
                <w:tab w:val="left" w:pos="106"/>
              </w:tabs>
              <w:spacing w:line="271" w:lineRule="auto"/>
              <w:ind w:right="438" w:firstLine="0"/>
              <w:rPr>
                <w:sz w:val="10"/>
              </w:rPr>
            </w:pPr>
            <w:r>
              <w:rPr>
                <w:color w:val="231F20"/>
                <w:w w:val="120"/>
                <w:sz w:val="10"/>
              </w:rPr>
              <w:t>Weekly environmental sanitation in workplace</w:t>
            </w:r>
            <w:r>
              <w:rPr>
                <w:color w:val="231F20"/>
                <w:spacing w:val="-1"/>
                <w:w w:val="120"/>
                <w:sz w:val="10"/>
              </w:rPr>
              <w:t xml:space="preserve"> </w:t>
            </w:r>
            <w:r w:rsidR="00A93E69">
              <w:rPr>
                <w:color w:val="231F20"/>
                <w:w w:val="120"/>
                <w:sz w:val="10"/>
              </w:rPr>
              <w:t>institutionalized</w:t>
            </w:r>
          </w:p>
        </w:tc>
        <w:tc>
          <w:tcPr>
            <w:tcW w:w="1451" w:type="dxa"/>
            <w:tcBorders>
              <w:left w:val="single" w:sz="6" w:space="0" w:color="231F20"/>
              <w:bottom w:val="single" w:sz="6" w:space="0" w:color="231F20"/>
              <w:right w:val="single" w:sz="6" w:space="0" w:color="231F20"/>
            </w:tcBorders>
            <w:shd w:val="clear" w:color="auto" w:fill="CCE7D3"/>
          </w:tcPr>
          <w:p w14:paraId="600687A3" w14:textId="77777777" w:rsidR="009948F1" w:rsidRDefault="009948F1">
            <w:pPr>
              <w:pStyle w:val="TableParagraph"/>
              <w:rPr>
                <w:rFonts w:ascii="Times New Roman"/>
                <w:sz w:val="12"/>
              </w:rPr>
            </w:pPr>
          </w:p>
        </w:tc>
        <w:tc>
          <w:tcPr>
            <w:tcW w:w="1531" w:type="dxa"/>
            <w:tcBorders>
              <w:left w:val="single" w:sz="6" w:space="0" w:color="231F20"/>
              <w:bottom w:val="single" w:sz="6" w:space="0" w:color="231F20"/>
              <w:right w:val="single" w:sz="6" w:space="0" w:color="231F20"/>
            </w:tcBorders>
            <w:shd w:val="clear" w:color="auto" w:fill="CCE7D3"/>
          </w:tcPr>
          <w:p w14:paraId="758E5679" w14:textId="77777777" w:rsidR="009948F1" w:rsidRDefault="009948F1">
            <w:pPr>
              <w:pStyle w:val="TableParagraph"/>
              <w:rPr>
                <w:rFonts w:ascii="Times New Roman"/>
                <w:sz w:val="12"/>
              </w:rPr>
            </w:pPr>
          </w:p>
        </w:tc>
      </w:tr>
      <w:tr w:rsidR="009948F1" w14:paraId="70545991" w14:textId="77777777">
        <w:trPr>
          <w:trHeight w:val="442"/>
        </w:trPr>
        <w:tc>
          <w:tcPr>
            <w:tcW w:w="869" w:type="dxa"/>
            <w:gridSpan w:val="2"/>
            <w:vMerge w:val="restart"/>
            <w:tcBorders>
              <w:top w:val="nil"/>
              <w:bottom w:val="nil"/>
              <w:right w:val="single" w:sz="6" w:space="0" w:color="231F20"/>
            </w:tcBorders>
          </w:tcPr>
          <w:p w14:paraId="1DD3B77E"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5E3321C8" w14:textId="77777777" w:rsidR="009948F1" w:rsidRDefault="009948F1">
            <w:pPr>
              <w:pStyle w:val="TableParagraph"/>
              <w:spacing w:before="5"/>
              <w:rPr>
                <w:sz w:val="14"/>
              </w:rPr>
            </w:pPr>
          </w:p>
          <w:p w14:paraId="6AA3DAA8" w14:textId="77777777" w:rsidR="009948F1" w:rsidRDefault="00BC0563">
            <w:pPr>
              <w:pStyle w:val="TableParagraph"/>
              <w:ind w:left="33" w:right="8"/>
              <w:jc w:val="center"/>
              <w:rPr>
                <w:sz w:val="10"/>
              </w:rPr>
            </w:pPr>
            <w:r>
              <w:rPr>
                <w:color w:val="231F20"/>
                <w:w w:val="120"/>
                <w:sz w:val="10"/>
              </w:rPr>
              <w:t>8.1.5.a</w:t>
            </w:r>
          </w:p>
        </w:tc>
        <w:tc>
          <w:tcPr>
            <w:tcW w:w="4979" w:type="dxa"/>
            <w:gridSpan w:val="2"/>
            <w:tcBorders>
              <w:top w:val="single" w:sz="6" w:space="0" w:color="231F20"/>
              <w:left w:val="single" w:sz="6" w:space="0" w:color="231F20"/>
              <w:bottom w:val="single" w:sz="6" w:space="0" w:color="231F20"/>
              <w:right w:val="single" w:sz="6" w:space="0" w:color="231F20"/>
            </w:tcBorders>
          </w:tcPr>
          <w:p w14:paraId="2B08598A" w14:textId="77777777" w:rsidR="009948F1" w:rsidRDefault="00BC0563">
            <w:pPr>
              <w:pStyle w:val="TableParagraph"/>
              <w:spacing w:before="3" w:line="235" w:lineRule="auto"/>
              <w:ind w:left="28"/>
              <w:rPr>
                <w:sz w:val="10"/>
              </w:rPr>
            </w:pPr>
            <w:r>
              <w:rPr>
                <w:color w:val="231F20"/>
                <w:w w:val="120"/>
                <w:sz w:val="10"/>
              </w:rPr>
              <w:t>Conduct advocacy visit to the Head of Service by Environmental Health Officers (EHOs) for inclusion of health promotion (violence at work, smoking at work place, harassment and</w:t>
            </w:r>
          </w:p>
          <w:p w14:paraId="7A5FDC4B" w14:textId="77777777" w:rsidR="009948F1" w:rsidRDefault="00BC0563">
            <w:pPr>
              <w:pStyle w:val="TableParagraph"/>
              <w:spacing w:before="1" w:line="106" w:lineRule="exact"/>
              <w:ind w:left="28"/>
              <w:rPr>
                <w:sz w:val="10"/>
              </w:rPr>
            </w:pPr>
            <w:r>
              <w:rPr>
                <w:color w:val="231F20"/>
                <w:w w:val="120"/>
                <w:sz w:val="10"/>
              </w:rPr>
              <w:t xml:space="preserve">bullying at work place, consumption of alcohol and substance abuse at work place) in workplace health </w:t>
            </w:r>
            <w:proofErr w:type="spellStart"/>
            <w:r>
              <w:rPr>
                <w:color w:val="231F20"/>
                <w:w w:val="120"/>
                <w:sz w:val="10"/>
              </w:rPr>
              <w:t>programmes</w:t>
            </w:r>
            <w:proofErr w:type="spellEnd"/>
          </w:p>
        </w:tc>
        <w:tc>
          <w:tcPr>
            <w:tcW w:w="1451" w:type="dxa"/>
            <w:tcBorders>
              <w:top w:val="single" w:sz="6" w:space="0" w:color="231F20"/>
              <w:left w:val="single" w:sz="6" w:space="0" w:color="231F20"/>
              <w:bottom w:val="single" w:sz="6" w:space="0" w:color="231F20"/>
              <w:right w:val="single" w:sz="6" w:space="0" w:color="231F20"/>
            </w:tcBorders>
          </w:tcPr>
          <w:p w14:paraId="4A932F4B" w14:textId="77777777" w:rsidR="009948F1" w:rsidRDefault="009948F1">
            <w:pPr>
              <w:pStyle w:val="TableParagraph"/>
              <w:spacing w:before="5"/>
              <w:rPr>
                <w:sz w:val="14"/>
              </w:rPr>
            </w:pPr>
          </w:p>
          <w:p w14:paraId="0B8A2871" w14:textId="77777777" w:rsidR="009948F1" w:rsidRDefault="00BC0563">
            <w:pPr>
              <w:pStyle w:val="TableParagraph"/>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4E3E2282" w14:textId="77777777" w:rsidR="009948F1" w:rsidRDefault="009948F1">
            <w:pPr>
              <w:pStyle w:val="TableParagraph"/>
              <w:spacing w:before="5"/>
              <w:rPr>
                <w:sz w:val="14"/>
              </w:rPr>
            </w:pPr>
          </w:p>
          <w:p w14:paraId="40BEBC8E" w14:textId="77777777" w:rsidR="009948F1" w:rsidRDefault="00BC0563">
            <w:pPr>
              <w:pStyle w:val="TableParagraph"/>
              <w:ind w:left="31"/>
              <w:rPr>
                <w:sz w:val="10"/>
              </w:rPr>
            </w:pPr>
            <w:r>
              <w:rPr>
                <w:color w:val="231F20"/>
                <w:w w:val="120"/>
                <w:sz w:val="10"/>
              </w:rPr>
              <w:t>Advocacy visit</w:t>
            </w:r>
          </w:p>
        </w:tc>
      </w:tr>
      <w:tr w:rsidR="009948F1" w14:paraId="693B3433" w14:textId="77777777">
        <w:trPr>
          <w:trHeight w:val="236"/>
        </w:trPr>
        <w:tc>
          <w:tcPr>
            <w:tcW w:w="869" w:type="dxa"/>
            <w:gridSpan w:val="2"/>
            <w:vMerge/>
            <w:tcBorders>
              <w:top w:val="nil"/>
              <w:bottom w:val="nil"/>
              <w:right w:val="single" w:sz="6" w:space="0" w:color="231F20"/>
            </w:tcBorders>
          </w:tcPr>
          <w:p w14:paraId="6EFD028A"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7B575380" w14:textId="77777777" w:rsidR="009948F1" w:rsidRDefault="00BC0563">
            <w:pPr>
              <w:pStyle w:val="TableParagraph"/>
              <w:spacing w:before="63"/>
              <w:ind w:left="33" w:right="8"/>
              <w:jc w:val="center"/>
              <w:rPr>
                <w:sz w:val="10"/>
              </w:rPr>
            </w:pPr>
            <w:r>
              <w:rPr>
                <w:color w:val="231F20"/>
                <w:w w:val="120"/>
                <w:sz w:val="10"/>
              </w:rPr>
              <w:t>8.1.5.b</w:t>
            </w:r>
          </w:p>
        </w:tc>
        <w:tc>
          <w:tcPr>
            <w:tcW w:w="4979" w:type="dxa"/>
            <w:gridSpan w:val="2"/>
            <w:tcBorders>
              <w:top w:val="single" w:sz="6" w:space="0" w:color="231F20"/>
              <w:left w:val="single" w:sz="6" w:space="0" w:color="231F20"/>
              <w:bottom w:val="single" w:sz="6" w:space="0" w:color="231F20"/>
              <w:right w:val="single" w:sz="6" w:space="0" w:color="231F20"/>
            </w:tcBorders>
          </w:tcPr>
          <w:p w14:paraId="602B60F1" w14:textId="77777777" w:rsidR="009948F1" w:rsidRDefault="00BC0563">
            <w:pPr>
              <w:pStyle w:val="TableParagraph"/>
              <w:spacing w:before="2"/>
              <w:ind w:left="28"/>
              <w:rPr>
                <w:sz w:val="10"/>
              </w:rPr>
            </w:pPr>
            <w:r>
              <w:rPr>
                <w:color w:val="231F20"/>
                <w:w w:val="120"/>
                <w:sz w:val="10"/>
              </w:rPr>
              <w:t>Operating cost for engaging and supervising the contractor to construct sanitary</w:t>
            </w:r>
          </w:p>
          <w:p w14:paraId="7B32D8BC" w14:textId="77777777" w:rsidR="009948F1" w:rsidRDefault="00BC0563">
            <w:pPr>
              <w:pStyle w:val="TableParagraph"/>
              <w:spacing w:before="14" w:line="85" w:lineRule="exact"/>
              <w:ind w:left="28"/>
              <w:rPr>
                <w:sz w:val="10"/>
              </w:rPr>
            </w:pPr>
            <w:r>
              <w:rPr>
                <w:color w:val="231F20"/>
                <w:w w:val="120"/>
                <w:sz w:val="10"/>
              </w:rPr>
              <w:t>convenience in workplaces</w:t>
            </w:r>
          </w:p>
        </w:tc>
        <w:tc>
          <w:tcPr>
            <w:tcW w:w="1451" w:type="dxa"/>
            <w:tcBorders>
              <w:top w:val="single" w:sz="6" w:space="0" w:color="231F20"/>
              <w:left w:val="single" w:sz="6" w:space="0" w:color="231F20"/>
              <w:bottom w:val="single" w:sz="6" w:space="0" w:color="231F20"/>
              <w:right w:val="single" w:sz="6" w:space="0" w:color="231F20"/>
            </w:tcBorders>
          </w:tcPr>
          <w:p w14:paraId="68B1A6AC" w14:textId="77777777" w:rsidR="009948F1" w:rsidRDefault="00BC0563">
            <w:pPr>
              <w:pStyle w:val="TableParagraph"/>
              <w:spacing w:before="63"/>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0253F06D" w14:textId="77777777" w:rsidR="009948F1" w:rsidRDefault="00BC0563">
            <w:pPr>
              <w:pStyle w:val="TableParagraph"/>
              <w:spacing w:before="63"/>
              <w:ind w:left="31"/>
              <w:rPr>
                <w:sz w:val="10"/>
              </w:rPr>
            </w:pPr>
            <w:r>
              <w:rPr>
                <w:color w:val="231F20"/>
                <w:w w:val="120"/>
                <w:sz w:val="10"/>
              </w:rPr>
              <w:t>Costed in OHT</w:t>
            </w:r>
          </w:p>
        </w:tc>
      </w:tr>
      <w:tr w:rsidR="009948F1" w14:paraId="1A900D51" w14:textId="77777777">
        <w:trPr>
          <w:trHeight w:val="249"/>
        </w:trPr>
        <w:tc>
          <w:tcPr>
            <w:tcW w:w="869" w:type="dxa"/>
            <w:gridSpan w:val="2"/>
            <w:vMerge/>
            <w:tcBorders>
              <w:top w:val="nil"/>
              <w:bottom w:val="nil"/>
              <w:right w:val="single" w:sz="6" w:space="0" w:color="231F20"/>
            </w:tcBorders>
          </w:tcPr>
          <w:p w14:paraId="1F4E87FC"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22C397E7" w14:textId="77777777" w:rsidR="009948F1" w:rsidRDefault="00BC0563">
            <w:pPr>
              <w:pStyle w:val="TableParagraph"/>
              <w:spacing w:before="69"/>
              <w:ind w:left="33" w:right="7"/>
              <w:jc w:val="center"/>
              <w:rPr>
                <w:sz w:val="10"/>
              </w:rPr>
            </w:pPr>
            <w:r>
              <w:rPr>
                <w:color w:val="231F20"/>
                <w:w w:val="120"/>
                <w:sz w:val="10"/>
              </w:rPr>
              <w:t>8.1.5.c</w:t>
            </w:r>
          </w:p>
        </w:tc>
        <w:tc>
          <w:tcPr>
            <w:tcW w:w="4979" w:type="dxa"/>
            <w:gridSpan w:val="2"/>
            <w:tcBorders>
              <w:top w:val="single" w:sz="6" w:space="0" w:color="231F20"/>
              <w:left w:val="single" w:sz="6" w:space="0" w:color="231F20"/>
              <w:bottom w:val="single" w:sz="6" w:space="0" w:color="231F20"/>
              <w:right w:val="single" w:sz="6" w:space="0" w:color="231F20"/>
            </w:tcBorders>
          </w:tcPr>
          <w:p w14:paraId="44A74C17" w14:textId="77777777" w:rsidR="009948F1" w:rsidRDefault="00BC0563">
            <w:pPr>
              <w:pStyle w:val="TableParagraph"/>
              <w:spacing w:before="65"/>
              <w:ind w:left="28"/>
              <w:rPr>
                <w:sz w:val="10"/>
              </w:rPr>
            </w:pPr>
            <w:r>
              <w:rPr>
                <w:color w:val="231F20"/>
                <w:w w:val="120"/>
                <w:sz w:val="10"/>
              </w:rPr>
              <w:t>Procure and distribute dust bins &amp; buckets at workplace</w:t>
            </w:r>
          </w:p>
        </w:tc>
        <w:tc>
          <w:tcPr>
            <w:tcW w:w="1451" w:type="dxa"/>
            <w:tcBorders>
              <w:top w:val="single" w:sz="6" w:space="0" w:color="231F20"/>
              <w:left w:val="single" w:sz="6" w:space="0" w:color="231F20"/>
              <w:bottom w:val="single" w:sz="6" w:space="0" w:color="231F20"/>
              <w:right w:val="single" w:sz="6" w:space="0" w:color="231F20"/>
            </w:tcBorders>
          </w:tcPr>
          <w:p w14:paraId="611ED9A8" w14:textId="77777777" w:rsidR="009948F1" w:rsidRDefault="00BC0563">
            <w:pPr>
              <w:pStyle w:val="TableParagraph"/>
              <w:spacing w:before="69"/>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7790F0EC" w14:textId="77777777" w:rsidR="009948F1" w:rsidRDefault="00BC0563">
            <w:pPr>
              <w:pStyle w:val="TableParagraph"/>
              <w:spacing w:before="4"/>
              <w:ind w:left="31"/>
              <w:rPr>
                <w:sz w:val="10"/>
              </w:rPr>
            </w:pPr>
            <w:r>
              <w:rPr>
                <w:color w:val="231F20"/>
                <w:w w:val="120"/>
                <w:sz w:val="10"/>
              </w:rPr>
              <w:t>Procure and distribute dust</w:t>
            </w:r>
          </w:p>
          <w:p w14:paraId="0E778759" w14:textId="77777777" w:rsidR="009948F1" w:rsidRDefault="00BC0563">
            <w:pPr>
              <w:pStyle w:val="TableParagraph"/>
              <w:spacing w:before="14" w:line="96" w:lineRule="exact"/>
              <w:ind w:left="31"/>
              <w:rPr>
                <w:sz w:val="10"/>
              </w:rPr>
            </w:pPr>
            <w:r>
              <w:rPr>
                <w:color w:val="231F20"/>
                <w:w w:val="120"/>
                <w:sz w:val="10"/>
              </w:rPr>
              <w:t>bin</w:t>
            </w:r>
          </w:p>
        </w:tc>
      </w:tr>
      <w:tr w:rsidR="009948F1" w14:paraId="044010E4" w14:textId="77777777">
        <w:trPr>
          <w:trHeight w:val="255"/>
        </w:trPr>
        <w:tc>
          <w:tcPr>
            <w:tcW w:w="869" w:type="dxa"/>
            <w:gridSpan w:val="2"/>
            <w:vMerge/>
            <w:tcBorders>
              <w:top w:val="nil"/>
              <w:bottom w:val="nil"/>
              <w:right w:val="single" w:sz="6" w:space="0" w:color="231F20"/>
            </w:tcBorders>
          </w:tcPr>
          <w:p w14:paraId="235BA7CE"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0E415957" w14:textId="77777777" w:rsidR="009948F1" w:rsidRDefault="00BC0563">
            <w:pPr>
              <w:pStyle w:val="TableParagraph"/>
              <w:spacing w:before="72"/>
              <w:ind w:left="33" w:right="8"/>
              <w:jc w:val="center"/>
              <w:rPr>
                <w:sz w:val="10"/>
              </w:rPr>
            </w:pPr>
            <w:r>
              <w:rPr>
                <w:color w:val="231F20"/>
                <w:w w:val="120"/>
                <w:sz w:val="10"/>
              </w:rPr>
              <w:t>8.1.5.d</w:t>
            </w:r>
          </w:p>
        </w:tc>
        <w:tc>
          <w:tcPr>
            <w:tcW w:w="4979" w:type="dxa"/>
            <w:gridSpan w:val="2"/>
            <w:tcBorders>
              <w:top w:val="single" w:sz="6" w:space="0" w:color="231F20"/>
              <w:left w:val="single" w:sz="6" w:space="0" w:color="231F20"/>
              <w:bottom w:val="single" w:sz="6" w:space="0" w:color="231F20"/>
              <w:right w:val="single" w:sz="6" w:space="0" w:color="231F20"/>
            </w:tcBorders>
          </w:tcPr>
          <w:p w14:paraId="7C0D075D" w14:textId="32AA23BE" w:rsidR="009948F1" w:rsidRDefault="00A93E69">
            <w:pPr>
              <w:pStyle w:val="TableParagraph"/>
              <w:spacing w:before="68"/>
              <w:ind w:left="28"/>
              <w:rPr>
                <w:sz w:val="10"/>
              </w:rPr>
            </w:pPr>
            <w:r>
              <w:rPr>
                <w:color w:val="231F20"/>
                <w:w w:val="120"/>
                <w:sz w:val="10"/>
              </w:rPr>
              <w:t>Institutionalize</w:t>
            </w:r>
            <w:r w:rsidR="00BC0563">
              <w:rPr>
                <w:color w:val="231F20"/>
                <w:w w:val="120"/>
                <w:sz w:val="10"/>
              </w:rPr>
              <w:t xml:space="preserve"> weekly environmental sanitation in workplace</w:t>
            </w:r>
          </w:p>
        </w:tc>
        <w:tc>
          <w:tcPr>
            <w:tcW w:w="1451" w:type="dxa"/>
            <w:tcBorders>
              <w:top w:val="single" w:sz="6" w:space="0" w:color="231F20"/>
              <w:left w:val="single" w:sz="6" w:space="0" w:color="231F20"/>
              <w:bottom w:val="single" w:sz="6" w:space="0" w:color="231F20"/>
              <w:right w:val="single" w:sz="6" w:space="0" w:color="231F20"/>
            </w:tcBorders>
          </w:tcPr>
          <w:p w14:paraId="1AE073CC" w14:textId="77777777" w:rsidR="009948F1" w:rsidRDefault="00BC0563">
            <w:pPr>
              <w:pStyle w:val="TableParagraph"/>
              <w:spacing w:before="72"/>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2FC71A13" w14:textId="77777777" w:rsidR="009948F1" w:rsidRDefault="00BC0563">
            <w:pPr>
              <w:pStyle w:val="TableParagraph"/>
              <w:spacing w:before="72"/>
              <w:ind w:left="31"/>
              <w:rPr>
                <w:sz w:val="10"/>
              </w:rPr>
            </w:pPr>
            <w:r>
              <w:rPr>
                <w:color w:val="231F20"/>
                <w:w w:val="120"/>
                <w:sz w:val="10"/>
              </w:rPr>
              <w:t>No cost</w:t>
            </w:r>
          </w:p>
        </w:tc>
      </w:tr>
      <w:tr w:rsidR="009948F1" w14:paraId="4D1F3D60" w14:textId="77777777">
        <w:trPr>
          <w:trHeight w:val="249"/>
        </w:trPr>
        <w:tc>
          <w:tcPr>
            <w:tcW w:w="869" w:type="dxa"/>
            <w:gridSpan w:val="2"/>
            <w:vMerge/>
            <w:tcBorders>
              <w:top w:val="nil"/>
              <w:bottom w:val="nil"/>
              <w:right w:val="single" w:sz="6" w:space="0" w:color="231F20"/>
            </w:tcBorders>
          </w:tcPr>
          <w:p w14:paraId="28D4A0F8"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00300F08" w14:textId="77777777" w:rsidR="009948F1" w:rsidRDefault="00BC0563">
            <w:pPr>
              <w:pStyle w:val="TableParagraph"/>
              <w:spacing w:before="69"/>
              <w:ind w:left="33" w:right="8"/>
              <w:jc w:val="center"/>
              <w:rPr>
                <w:sz w:val="10"/>
              </w:rPr>
            </w:pPr>
            <w:r>
              <w:rPr>
                <w:color w:val="231F20"/>
                <w:w w:val="120"/>
                <w:sz w:val="10"/>
              </w:rPr>
              <w:t>8.1.5.e</w:t>
            </w:r>
          </w:p>
        </w:tc>
        <w:tc>
          <w:tcPr>
            <w:tcW w:w="4979" w:type="dxa"/>
            <w:gridSpan w:val="2"/>
            <w:tcBorders>
              <w:top w:val="single" w:sz="6" w:space="0" w:color="231F20"/>
              <w:left w:val="single" w:sz="6" w:space="0" w:color="231F20"/>
              <w:bottom w:val="single" w:sz="6" w:space="0" w:color="231F20"/>
              <w:right w:val="single" w:sz="6" w:space="0" w:color="231F20"/>
            </w:tcBorders>
          </w:tcPr>
          <w:p w14:paraId="4EBD5D94" w14:textId="77777777" w:rsidR="009948F1" w:rsidRDefault="00BC0563">
            <w:pPr>
              <w:pStyle w:val="TableParagraph"/>
              <w:spacing w:before="65"/>
              <w:ind w:left="28"/>
              <w:rPr>
                <w:sz w:val="10"/>
              </w:rPr>
            </w:pPr>
            <w:r>
              <w:rPr>
                <w:color w:val="231F20"/>
                <w:w w:val="120"/>
                <w:sz w:val="10"/>
              </w:rPr>
              <w:t>Orientation of public servants on hygiene promotion in workplace</w:t>
            </w:r>
          </w:p>
        </w:tc>
        <w:tc>
          <w:tcPr>
            <w:tcW w:w="1451" w:type="dxa"/>
            <w:tcBorders>
              <w:top w:val="single" w:sz="6" w:space="0" w:color="231F20"/>
              <w:left w:val="single" w:sz="6" w:space="0" w:color="231F20"/>
              <w:bottom w:val="single" w:sz="6" w:space="0" w:color="231F20"/>
              <w:right w:val="single" w:sz="6" w:space="0" w:color="231F20"/>
            </w:tcBorders>
          </w:tcPr>
          <w:p w14:paraId="51BBCF08" w14:textId="77777777" w:rsidR="009948F1" w:rsidRDefault="00BC0563">
            <w:pPr>
              <w:pStyle w:val="TableParagraph"/>
              <w:spacing w:before="69"/>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2D024D16" w14:textId="77777777" w:rsidR="009948F1" w:rsidRDefault="00BC0563">
            <w:pPr>
              <w:pStyle w:val="TableParagraph"/>
              <w:spacing w:before="4"/>
              <w:ind w:left="31"/>
              <w:rPr>
                <w:sz w:val="10"/>
              </w:rPr>
            </w:pPr>
            <w:r>
              <w:rPr>
                <w:color w:val="231F20"/>
                <w:w w:val="120"/>
                <w:sz w:val="10"/>
              </w:rPr>
              <w:t>Orientation of public</w:t>
            </w:r>
          </w:p>
          <w:p w14:paraId="4C53FD0A" w14:textId="77777777" w:rsidR="009948F1" w:rsidRDefault="00BC0563">
            <w:pPr>
              <w:pStyle w:val="TableParagraph"/>
              <w:spacing w:before="14" w:line="96" w:lineRule="exact"/>
              <w:ind w:left="31"/>
              <w:rPr>
                <w:sz w:val="10"/>
              </w:rPr>
            </w:pPr>
            <w:r>
              <w:rPr>
                <w:color w:val="231F20"/>
                <w:w w:val="120"/>
                <w:sz w:val="10"/>
              </w:rPr>
              <w:t>servants</w:t>
            </w:r>
          </w:p>
        </w:tc>
      </w:tr>
      <w:tr w:rsidR="009948F1" w14:paraId="4502121B" w14:textId="77777777">
        <w:trPr>
          <w:trHeight w:val="749"/>
        </w:trPr>
        <w:tc>
          <w:tcPr>
            <w:tcW w:w="407" w:type="dxa"/>
            <w:tcBorders>
              <w:top w:val="nil"/>
              <w:bottom w:val="nil"/>
              <w:right w:val="single" w:sz="6" w:space="0" w:color="231F20"/>
            </w:tcBorders>
          </w:tcPr>
          <w:p w14:paraId="4282766C"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2205F251" w14:textId="77777777" w:rsidR="009948F1" w:rsidRDefault="009948F1">
            <w:pPr>
              <w:pStyle w:val="TableParagraph"/>
              <w:rPr>
                <w:sz w:val="10"/>
              </w:rPr>
            </w:pPr>
          </w:p>
          <w:p w14:paraId="592DC22D" w14:textId="77777777" w:rsidR="009948F1" w:rsidRDefault="009948F1">
            <w:pPr>
              <w:pStyle w:val="TableParagraph"/>
              <w:rPr>
                <w:sz w:val="10"/>
              </w:rPr>
            </w:pPr>
          </w:p>
          <w:p w14:paraId="4B7F0D64" w14:textId="77777777" w:rsidR="009948F1" w:rsidRDefault="00BC0563">
            <w:pPr>
              <w:pStyle w:val="TableParagraph"/>
              <w:spacing w:before="88"/>
              <w:ind w:left="60"/>
              <w:rPr>
                <w:sz w:val="10"/>
              </w:rPr>
            </w:pPr>
            <w:r>
              <w:rPr>
                <w:color w:val="231F20"/>
                <w:w w:val="120"/>
                <w:sz w:val="10"/>
              </w:rPr>
              <w:t>8.1.6</w:t>
            </w:r>
          </w:p>
        </w:tc>
        <w:tc>
          <w:tcPr>
            <w:tcW w:w="3088" w:type="dxa"/>
            <w:gridSpan w:val="2"/>
            <w:tcBorders>
              <w:top w:val="single" w:sz="6" w:space="0" w:color="231F20"/>
              <w:left w:val="single" w:sz="6" w:space="0" w:color="231F20"/>
              <w:bottom w:val="single" w:sz="6" w:space="0" w:color="231F20"/>
              <w:right w:val="single" w:sz="6" w:space="0" w:color="231F20"/>
            </w:tcBorders>
            <w:shd w:val="clear" w:color="auto" w:fill="CCE7D3"/>
          </w:tcPr>
          <w:p w14:paraId="64319562" w14:textId="77777777" w:rsidR="009948F1" w:rsidRDefault="009948F1">
            <w:pPr>
              <w:pStyle w:val="TableParagraph"/>
              <w:rPr>
                <w:sz w:val="10"/>
              </w:rPr>
            </w:pPr>
          </w:p>
          <w:p w14:paraId="5D3CCB8F" w14:textId="77777777" w:rsidR="009948F1" w:rsidRDefault="009948F1">
            <w:pPr>
              <w:pStyle w:val="TableParagraph"/>
              <w:spacing w:before="8"/>
              <w:rPr>
                <w:sz w:val="11"/>
              </w:rPr>
            </w:pPr>
          </w:p>
          <w:p w14:paraId="005A0991" w14:textId="77777777" w:rsidR="009948F1" w:rsidRDefault="00BC0563">
            <w:pPr>
              <w:pStyle w:val="TableParagraph"/>
              <w:spacing w:line="271" w:lineRule="auto"/>
              <w:ind w:left="27" w:firstLine="33"/>
              <w:rPr>
                <w:sz w:val="10"/>
              </w:rPr>
            </w:pPr>
            <w:r>
              <w:rPr>
                <w:color w:val="231F20"/>
                <w:w w:val="120"/>
                <w:sz w:val="10"/>
              </w:rPr>
              <w:t>Promote the inclusion of health promotion in school curricula at all levels</w:t>
            </w:r>
          </w:p>
        </w:tc>
        <w:tc>
          <w:tcPr>
            <w:tcW w:w="2425" w:type="dxa"/>
            <w:tcBorders>
              <w:top w:val="single" w:sz="6" w:space="0" w:color="231F20"/>
              <w:left w:val="single" w:sz="6" w:space="0" w:color="231F20"/>
              <w:bottom w:val="single" w:sz="6" w:space="0" w:color="231F20"/>
              <w:right w:val="single" w:sz="6" w:space="0" w:color="231F20"/>
            </w:tcBorders>
            <w:shd w:val="clear" w:color="auto" w:fill="CCE7D3"/>
          </w:tcPr>
          <w:p w14:paraId="192DA046" w14:textId="77777777" w:rsidR="009948F1" w:rsidRDefault="00BC0563">
            <w:pPr>
              <w:pStyle w:val="TableParagraph"/>
              <w:numPr>
                <w:ilvl w:val="0"/>
                <w:numId w:val="94"/>
              </w:numPr>
              <w:tabs>
                <w:tab w:val="left" w:pos="99"/>
              </w:tabs>
              <w:spacing w:before="2" w:line="271" w:lineRule="auto"/>
              <w:ind w:right="149" w:firstLine="0"/>
              <w:rPr>
                <w:sz w:val="10"/>
              </w:rPr>
            </w:pPr>
            <w:r>
              <w:rPr>
                <w:color w:val="231F20"/>
                <w:w w:val="120"/>
                <w:sz w:val="10"/>
              </w:rPr>
              <w:t>Advocacy visit to the Commissioner of Education by EHOs for inclusion of health promotion in school curricula at all levels done</w:t>
            </w:r>
          </w:p>
          <w:p w14:paraId="066A516F" w14:textId="18ACF8C8" w:rsidR="009948F1" w:rsidRDefault="00BC0563">
            <w:pPr>
              <w:pStyle w:val="TableParagraph"/>
              <w:numPr>
                <w:ilvl w:val="0"/>
                <w:numId w:val="94"/>
              </w:numPr>
              <w:tabs>
                <w:tab w:val="left" w:pos="73"/>
              </w:tabs>
              <w:spacing w:before="5" w:line="108" w:lineRule="exact"/>
              <w:ind w:right="409" w:firstLine="0"/>
              <w:rPr>
                <w:sz w:val="10"/>
              </w:rPr>
            </w:pPr>
            <w:r>
              <w:rPr>
                <w:color w:val="231F20"/>
                <w:w w:val="120"/>
                <w:sz w:val="10"/>
              </w:rPr>
              <w:t>Health promotion activities in school curricula at all levels</w:t>
            </w:r>
            <w:r>
              <w:rPr>
                <w:color w:val="231F20"/>
                <w:spacing w:val="3"/>
                <w:w w:val="120"/>
                <w:sz w:val="10"/>
              </w:rPr>
              <w:t xml:space="preserve"> </w:t>
            </w:r>
            <w:r w:rsidR="00A93E69">
              <w:rPr>
                <w:color w:val="231F20"/>
                <w:w w:val="120"/>
                <w:sz w:val="10"/>
              </w:rPr>
              <w:t>institutionalized</w:t>
            </w:r>
          </w:p>
        </w:tc>
        <w:tc>
          <w:tcPr>
            <w:tcW w:w="1451" w:type="dxa"/>
            <w:tcBorders>
              <w:top w:val="single" w:sz="6" w:space="0" w:color="231F20"/>
              <w:left w:val="single" w:sz="6" w:space="0" w:color="231F20"/>
              <w:bottom w:val="single" w:sz="6" w:space="0" w:color="231F20"/>
              <w:right w:val="single" w:sz="6" w:space="0" w:color="231F20"/>
            </w:tcBorders>
            <w:shd w:val="clear" w:color="auto" w:fill="CCE7D3"/>
          </w:tcPr>
          <w:p w14:paraId="37C2D36B" w14:textId="77777777" w:rsidR="009948F1" w:rsidRDefault="009948F1">
            <w:pPr>
              <w:pStyle w:val="TableParagraph"/>
              <w:rPr>
                <w:rFonts w:ascii="Times New Roman"/>
                <w:sz w:val="12"/>
              </w:rPr>
            </w:pPr>
          </w:p>
        </w:tc>
        <w:tc>
          <w:tcPr>
            <w:tcW w:w="1531" w:type="dxa"/>
            <w:tcBorders>
              <w:top w:val="single" w:sz="6" w:space="0" w:color="231F20"/>
              <w:left w:val="single" w:sz="6" w:space="0" w:color="231F20"/>
              <w:bottom w:val="single" w:sz="6" w:space="0" w:color="231F20"/>
              <w:right w:val="single" w:sz="6" w:space="0" w:color="231F20"/>
            </w:tcBorders>
            <w:shd w:val="clear" w:color="auto" w:fill="CCE7D3"/>
          </w:tcPr>
          <w:p w14:paraId="48356F77" w14:textId="77777777" w:rsidR="009948F1" w:rsidRDefault="009948F1">
            <w:pPr>
              <w:pStyle w:val="TableParagraph"/>
              <w:rPr>
                <w:rFonts w:ascii="Times New Roman"/>
                <w:sz w:val="12"/>
              </w:rPr>
            </w:pPr>
          </w:p>
        </w:tc>
      </w:tr>
      <w:tr w:rsidR="009948F1" w14:paraId="52794BCB" w14:textId="77777777">
        <w:trPr>
          <w:trHeight w:val="246"/>
        </w:trPr>
        <w:tc>
          <w:tcPr>
            <w:tcW w:w="869" w:type="dxa"/>
            <w:gridSpan w:val="2"/>
            <w:vMerge w:val="restart"/>
            <w:tcBorders>
              <w:top w:val="nil"/>
              <w:bottom w:val="nil"/>
              <w:right w:val="single" w:sz="6" w:space="0" w:color="231F20"/>
            </w:tcBorders>
          </w:tcPr>
          <w:p w14:paraId="7B7D6288"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1439FB9D" w14:textId="77777777" w:rsidR="009948F1" w:rsidRDefault="00BC0563">
            <w:pPr>
              <w:pStyle w:val="TableParagraph"/>
              <w:spacing w:before="67"/>
              <w:ind w:left="33" w:right="8"/>
              <w:jc w:val="center"/>
              <w:rPr>
                <w:sz w:val="10"/>
              </w:rPr>
            </w:pPr>
            <w:r>
              <w:rPr>
                <w:color w:val="231F20"/>
                <w:w w:val="120"/>
                <w:sz w:val="10"/>
              </w:rPr>
              <w:t>8.1.6.a</w:t>
            </w:r>
          </w:p>
        </w:tc>
        <w:tc>
          <w:tcPr>
            <w:tcW w:w="4979" w:type="dxa"/>
            <w:gridSpan w:val="2"/>
            <w:tcBorders>
              <w:top w:val="single" w:sz="6" w:space="0" w:color="231F20"/>
              <w:left w:val="single" w:sz="6" w:space="0" w:color="231F20"/>
              <w:bottom w:val="single" w:sz="6" w:space="0" w:color="231F20"/>
              <w:right w:val="single" w:sz="6" w:space="0" w:color="231F20"/>
            </w:tcBorders>
          </w:tcPr>
          <w:p w14:paraId="0F76616C" w14:textId="77777777" w:rsidR="009948F1" w:rsidRDefault="00BC0563">
            <w:pPr>
              <w:pStyle w:val="TableParagraph"/>
              <w:spacing w:before="2"/>
              <w:ind w:left="28"/>
              <w:rPr>
                <w:sz w:val="10"/>
              </w:rPr>
            </w:pPr>
            <w:r>
              <w:rPr>
                <w:color w:val="231F20"/>
                <w:w w:val="120"/>
                <w:sz w:val="10"/>
              </w:rPr>
              <w:t>Conduct advocacy visit to the Commissioner of Education by EHOs for inclusion of health</w:t>
            </w:r>
          </w:p>
          <w:p w14:paraId="4B84263A" w14:textId="77777777" w:rsidR="009948F1" w:rsidRDefault="00BC0563">
            <w:pPr>
              <w:pStyle w:val="TableParagraph"/>
              <w:spacing w:before="14" w:line="95" w:lineRule="exact"/>
              <w:ind w:left="28"/>
              <w:rPr>
                <w:sz w:val="10"/>
              </w:rPr>
            </w:pPr>
            <w:r>
              <w:rPr>
                <w:color w:val="231F20"/>
                <w:w w:val="120"/>
                <w:sz w:val="10"/>
              </w:rPr>
              <w:t>promotion in school curricula at all levels</w:t>
            </w:r>
          </w:p>
        </w:tc>
        <w:tc>
          <w:tcPr>
            <w:tcW w:w="1451" w:type="dxa"/>
            <w:tcBorders>
              <w:top w:val="single" w:sz="6" w:space="0" w:color="231F20"/>
              <w:left w:val="single" w:sz="6" w:space="0" w:color="231F20"/>
              <w:bottom w:val="single" w:sz="6" w:space="0" w:color="231F20"/>
              <w:right w:val="single" w:sz="6" w:space="0" w:color="231F20"/>
            </w:tcBorders>
          </w:tcPr>
          <w:p w14:paraId="27BB6F8A" w14:textId="77777777" w:rsidR="009948F1" w:rsidRDefault="00BC0563">
            <w:pPr>
              <w:pStyle w:val="TableParagraph"/>
              <w:spacing w:before="67"/>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5CB2CD42" w14:textId="77777777" w:rsidR="009948F1" w:rsidRDefault="00BC0563">
            <w:pPr>
              <w:pStyle w:val="TableParagraph"/>
              <w:spacing w:before="67"/>
              <w:ind w:left="31"/>
              <w:rPr>
                <w:sz w:val="10"/>
              </w:rPr>
            </w:pPr>
            <w:r>
              <w:rPr>
                <w:color w:val="231F20"/>
                <w:w w:val="120"/>
                <w:sz w:val="10"/>
              </w:rPr>
              <w:t>Conduct advocacy visit</w:t>
            </w:r>
          </w:p>
        </w:tc>
      </w:tr>
      <w:tr w:rsidR="009948F1" w14:paraId="5B7A5DE7" w14:textId="77777777">
        <w:trPr>
          <w:trHeight w:val="236"/>
        </w:trPr>
        <w:tc>
          <w:tcPr>
            <w:tcW w:w="869" w:type="dxa"/>
            <w:gridSpan w:val="2"/>
            <w:vMerge/>
            <w:tcBorders>
              <w:top w:val="nil"/>
              <w:bottom w:val="nil"/>
              <w:right w:val="single" w:sz="6" w:space="0" w:color="231F20"/>
            </w:tcBorders>
          </w:tcPr>
          <w:p w14:paraId="125D9D64"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2C6BB55C" w14:textId="77777777" w:rsidR="009948F1" w:rsidRDefault="00BC0563">
            <w:pPr>
              <w:pStyle w:val="TableParagraph"/>
              <w:spacing w:before="63"/>
              <w:ind w:left="33" w:right="8"/>
              <w:jc w:val="center"/>
              <w:rPr>
                <w:sz w:val="10"/>
              </w:rPr>
            </w:pPr>
            <w:r>
              <w:rPr>
                <w:color w:val="231F20"/>
                <w:w w:val="120"/>
                <w:sz w:val="10"/>
              </w:rPr>
              <w:t>8.1.6.b</w:t>
            </w:r>
          </w:p>
        </w:tc>
        <w:tc>
          <w:tcPr>
            <w:tcW w:w="4979" w:type="dxa"/>
            <w:gridSpan w:val="2"/>
            <w:tcBorders>
              <w:top w:val="single" w:sz="6" w:space="0" w:color="231F20"/>
              <w:left w:val="single" w:sz="6" w:space="0" w:color="231F20"/>
              <w:bottom w:val="single" w:sz="6" w:space="0" w:color="231F20"/>
              <w:right w:val="single" w:sz="6" w:space="0" w:color="231F20"/>
            </w:tcBorders>
          </w:tcPr>
          <w:p w14:paraId="3B194E75" w14:textId="6E484CBF" w:rsidR="009948F1" w:rsidRDefault="00A93E69">
            <w:pPr>
              <w:pStyle w:val="TableParagraph"/>
              <w:spacing w:before="58"/>
              <w:ind w:left="28"/>
              <w:rPr>
                <w:sz w:val="10"/>
              </w:rPr>
            </w:pPr>
            <w:r>
              <w:rPr>
                <w:color w:val="231F20"/>
                <w:w w:val="120"/>
                <w:sz w:val="10"/>
              </w:rPr>
              <w:t>Institutionalize</w:t>
            </w:r>
            <w:r w:rsidR="00BC0563">
              <w:rPr>
                <w:color w:val="231F20"/>
                <w:w w:val="120"/>
                <w:sz w:val="10"/>
              </w:rPr>
              <w:t xml:space="preserve"> health promotion activities in school curricula at all levels</w:t>
            </w:r>
          </w:p>
        </w:tc>
        <w:tc>
          <w:tcPr>
            <w:tcW w:w="1451" w:type="dxa"/>
            <w:tcBorders>
              <w:top w:val="single" w:sz="6" w:space="0" w:color="231F20"/>
              <w:left w:val="single" w:sz="6" w:space="0" w:color="231F20"/>
              <w:bottom w:val="single" w:sz="6" w:space="0" w:color="231F20"/>
              <w:right w:val="single" w:sz="6" w:space="0" w:color="231F20"/>
            </w:tcBorders>
          </w:tcPr>
          <w:p w14:paraId="54E3B5A5" w14:textId="77777777" w:rsidR="009948F1" w:rsidRDefault="00BC0563">
            <w:pPr>
              <w:pStyle w:val="TableParagraph"/>
              <w:spacing w:before="63"/>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3EBC5E4C" w14:textId="77777777" w:rsidR="009948F1" w:rsidRDefault="00BC0563">
            <w:pPr>
              <w:pStyle w:val="TableParagraph"/>
              <w:spacing w:before="63"/>
              <w:ind w:left="31"/>
              <w:rPr>
                <w:sz w:val="10"/>
              </w:rPr>
            </w:pPr>
            <w:r>
              <w:rPr>
                <w:color w:val="231F20"/>
                <w:w w:val="120"/>
                <w:sz w:val="10"/>
              </w:rPr>
              <w:t>Institute health promotion</w:t>
            </w:r>
          </w:p>
        </w:tc>
      </w:tr>
      <w:tr w:rsidR="009948F1" w14:paraId="658C2143" w14:textId="77777777">
        <w:trPr>
          <w:trHeight w:val="249"/>
        </w:trPr>
        <w:tc>
          <w:tcPr>
            <w:tcW w:w="869" w:type="dxa"/>
            <w:gridSpan w:val="2"/>
            <w:vMerge/>
            <w:tcBorders>
              <w:top w:val="nil"/>
              <w:bottom w:val="nil"/>
              <w:right w:val="single" w:sz="6" w:space="0" w:color="231F20"/>
            </w:tcBorders>
          </w:tcPr>
          <w:p w14:paraId="00714E06"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5CAED43" w14:textId="77777777" w:rsidR="009948F1" w:rsidRDefault="00BC0563">
            <w:pPr>
              <w:pStyle w:val="TableParagraph"/>
              <w:spacing w:before="69"/>
              <w:ind w:left="33" w:right="7"/>
              <w:jc w:val="center"/>
              <w:rPr>
                <w:sz w:val="10"/>
              </w:rPr>
            </w:pPr>
            <w:r>
              <w:rPr>
                <w:color w:val="231F20"/>
                <w:w w:val="120"/>
                <w:sz w:val="10"/>
              </w:rPr>
              <w:t>8.1.6.c</w:t>
            </w:r>
          </w:p>
        </w:tc>
        <w:tc>
          <w:tcPr>
            <w:tcW w:w="4979" w:type="dxa"/>
            <w:gridSpan w:val="2"/>
            <w:tcBorders>
              <w:top w:val="single" w:sz="6" w:space="0" w:color="231F20"/>
              <w:left w:val="single" w:sz="6" w:space="0" w:color="231F20"/>
              <w:bottom w:val="single" w:sz="6" w:space="0" w:color="231F20"/>
              <w:right w:val="single" w:sz="6" w:space="0" w:color="231F20"/>
            </w:tcBorders>
          </w:tcPr>
          <w:p w14:paraId="24FCD5D8" w14:textId="77777777" w:rsidR="009948F1" w:rsidRDefault="00BC0563">
            <w:pPr>
              <w:pStyle w:val="TableParagraph"/>
              <w:spacing w:before="65"/>
              <w:ind w:left="28"/>
              <w:rPr>
                <w:sz w:val="10"/>
              </w:rPr>
            </w:pPr>
            <w:r>
              <w:rPr>
                <w:color w:val="231F20"/>
                <w:w w:val="120"/>
                <w:sz w:val="10"/>
              </w:rPr>
              <w:t>Conduct quiz and debate on healthy living</w:t>
            </w:r>
          </w:p>
        </w:tc>
        <w:tc>
          <w:tcPr>
            <w:tcW w:w="1451" w:type="dxa"/>
            <w:tcBorders>
              <w:top w:val="single" w:sz="6" w:space="0" w:color="231F20"/>
              <w:left w:val="single" w:sz="6" w:space="0" w:color="231F20"/>
              <w:bottom w:val="single" w:sz="6" w:space="0" w:color="231F20"/>
              <w:right w:val="single" w:sz="6" w:space="0" w:color="231F20"/>
            </w:tcBorders>
          </w:tcPr>
          <w:p w14:paraId="12A48EC9" w14:textId="77777777" w:rsidR="009948F1" w:rsidRDefault="00BC0563">
            <w:pPr>
              <w:pStyle w:val="TableParagraph"/>
              <w:spacing w:before="69"/>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4E065F8A" w14:textId="77777777" w:rsidR="009948F1" w:rsidRDefault="00BC0563">
            <w:pPr>
              <w:pStyle w:val="TableParagraph"/>
              <w:spacing w:before="69"/>
              <w:ind w:left="31"/>
              <w:rPr>
                <w:sz w:val="10"/>
              </w:rPr>
            </w:pPr>
            <w:r>
              <w:rPr>
                <w:color w:val="231F20"/>
                <w:w w:val="120"/>
                <w:sz w:val="10"/>
              </w:rPr>
              <w:t>Conduct quiz</w:t>
            </w:r>
          </w:p>
        </w:tc>
      </w:tr>
      <w:tr w:rsidR="009948F1" w14:paraId="2F32FE5D" w14:textId="77777777">
        <w:trPr>
          <w:trHeight w:val="1150"/>
        </w:trPr>
        <w:tc>
          <w:tcPr>
            <w:tcW w:w="407" w:type="dxa"/>
            <w:tcBorders>
              <w:top w:val="nil"/>
              <w:bottom w:val="nil"/>
              <w:right w:val="single" w:sz="6" w:space="0" w:color="231F20"/>
            </w:tcBorders>
          </w:tcPr>
          <w:p w14:paraId="4BE4EDB1"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287F7DCA" w14:textId="77777777" w:rsidR="009948F1" w:rsidRDefault="009948F1">
            <w:pPr>
              <w:pStyle w:val="TableParagraph"/>
              <w:rPr>
                <w:sz w:val="10"/>
              </w:rPr>
            </w:pPr>
          </w:p>
          <w:p w14:paraId="3E0963BB" w14:textId="77777777" w:rsidR="009948F1" w:rsidRDefault="009948F1">
            <w:pPr>
              <w:pStyle w:val="TableParagraph"/>
              <w:rPr>
                <w:sz w:val="10"/>
              </w:rPr>
            </w:pPr>
          </w:p>
          <w:p w14:paraId="0943E35D" w14:textId="77777777" w:rsidR="009948F1" w:rsidRDefault="009948F1">
            <w:pPr>
              <w:pStyle w:val="TableParagraph"/>
              <w:rPr>
                <w:sz w:val="10"/>
              </w:rPr>
            </w:pPr>
          </w:p>
          <w:p w14:paraId="0C7625E1" w14:textId="77777777" w:rsidR="009948F1" w:rsidRDefault="009948F1">
            <w:pPr>
              <w:pStyle w:val="TableParagraph"/>
              <w:rPr>
                <w:sz w:val="10"/>
              </w:rPr>
            </w:pPr>
          </w:p>
          <w:p w14:paraId="2B97D9F8" w14:textId="77777777" w:rsidR="009948F1" w:rsidRDefault="00BC0563">
            <w:pPr>
              <w:pStyle w:val="TableParagraph"/>
              <w:spacing w:before="59"/>
              <w:ind w:left="60"/>
              <w:rPr>
                <w:sz w:val="10"/>
              </w:rPr>
            </w:pPr>
            <w:r>
              <w:rPr>
                <w:color w:val="231F20"/>
                <w:w w:val="120"/>
                <w:sz w:val="10"/>
              </w:rPr>
              <w:t>8.1.7</w:t>
            </w:r>
          </w:p>
        </w:tc>
        <w:tc>
          <w:tcPr>
            <w:tcW w:w="3088" w:type="dxa"/>
            <w:gridSpan w:val="2"/>
            <w:tcBorders>
              <w:top w:val="single" w:sz="6" w:space="0" w:color="231F20"/>
              <w:left w:val="single" w:sz="6" w:space="0" w:color="231F20"/>
              <w:bottom w:val="single" w:sz="6" w:space="0" w:color="231F20"/>
              <w:right w:val="single" w:sz="6" w:space="0" w:color="231F20"/>
            </w:tcBorders>
            <w:shd w:val="clear" w:color="auto" w:fill="CCE7D3"/>
          </w:tcPr>
          <w:p w14:paraId="7B91BF87" w14:textId="77777777" w:rsidR="009948F1" w:rsidRDefault="009948F1">
            <w:pPr>
              <w:pStyle w:val="TableParagraph"/>
              <w:rPr>
                <w:sz w:val="10"/>
              </w:rPr>
            </w:pPr>
          </w:p>
          <w:p w14:paraId="216DA657" w14:textId="77777777" w:rsidR="009948F1" w:rsidRDefault="009948F1">
            <w:pPr>
              <w:pStyle w:val="TableParagraph"/>
              <w:rPr>
                <w:sz w:val="10"/>
              </w:rPr>
            </w:pPr>
          </w:p>
          <w:p w14:paraId="06931AAC" w14:textId="77777777" w:rsidR="009948F1" w:rsidRDefault="009948F1">
            <w:pPr>
              <w:pStyle w:val="TableParagraph"/>
              <w:spacing w:before="6"/>
              <w:rPr>
                <w:sz w:val="13"/>
              </w:rPr>
            </w:pPr>
          </w:p>
          <w:p w14:paraId="5472DB66" w14:textId="77777777" w:rsidR="009948F1" w:rsidRDefault="00BC0563">
            <w:pPr>
              <w:pStyle w:val="TableParagraph"/>
              <w:spacing w:line="271" w:lineRule="auto"/>
              <w:ind w:left="27" w:firstLine="33"/>
              <w:rPr>
                <w:sz w:val="10"/>
              </w:rPr>
            </w:pPr>
            <w:r>
              <w:rPr>
                <w:color w:val="231F20"/>
                <w:w w:val="120"/>
                <w:sz w:val="10"/>
              </w:rPr>
              <w:t>Intensify multi-sectoral and intra-sectoral collaboration and partnerships in planning, implementation and health promotion activities</w:t>
            </w:r>
          </w:p>
        </w:tc>
        <w:tc>
          <w:tcPr>
            <w:tcW w:w="2425" w:type="dxa"/>
            <w:tcBorders>
              <w:top w:val="single" w:sz="6" w:space="0" w:color="231F20"/>
              <w:left w:val="single" w:sz="6" w:space="0" w:color="231F20"/>
              <w:bottom w:val="single" w:sz="6" w:space="0" w:color="231F20"/>
              <w:right w:val="single" w:sz="6" w:space="0" w:color="231F20"/>
            </w:tcBorders>
            <w:shd w:val="clear" w:color="auto" w:fill="CCE7D3"/>
          </w:tcPr>
          <w:p w14:paraId="5557CA9E" w14:textId="77777777" w:rsidR="009948F1" w:rsidRDefault="00BC0563">
            <w:pPr>
              <w:pStyle w:val="TableParagraph"/>
              <w:numPr>
                <w:ilvl w:val="0"/>
                <w:numId w:val="93"/>
              </w:numPr>
              <w:tabs>
                <w:tab w:val="left" w:pos="106"/>
              </w:tabs>
              <w:spacing w:before="2" w:line="271" w:lineRule="auto"/>
              <w:ind w:right="154" w:firstLine="0"/>
              <w:rPr>
                <w:sz w:val="10"/>
              </w:rPr>
            </w:pPr>
            <w:r>
              <w:rPr>
                <w:color w:val="231F20"/>
                <w:w w:val="120"/>
                <w:sz w:val="10"/>
              </w:rPr>
              <w:t>Quarterly stakeholders meeting with line ministries and MDAs to review implementation of planned activities</w:t>
            </w:r>
            <w:r>
              <w:rPr>
                <w:color w:val="231F20"/>
                <w:spacing w:val="3"/>
                <w:w w:val="120"/>
                <w:sz w:val="10"/>
              </w:rPr>
              <w:t xml:space="preserve"> </w:t>
            </w:r>
            <w:r>
              <w:rPr>
                <w:color w:val="231F20"/>
                <w:w w:val="120"/>
                <w:sz w:val="10"/>
              </w:rPr>
              <w:t>held</w:t>
            </w:r>
          </w:p>
          <w:p w14:paraId="24050530" w14:textId="77777777" w:rsidR="009948F1" w:rsidRDefault="00BC0563">
            <w:pPr>
              <w:pStyle w:val="TableParagraph"/>
              <w:numPr>
                <w:ilvl w:val="0"/>
                <w:numId w:val="93"/>
              </w:numPr>
              <w:tabs>
                <w:tab w:val="left" w:pos="73"/>
              </w:tabs>
              <w:spacing w:line="271" w:lineRule="auto"/>
              <w:ind w:right="48" w:firstLine="0"/>
              <w:rPr>
                <w:sz w:val="10"/>
              </w:rPr>
            </w:pPr>
            <w:r>
              <w:rPr>
                <w:color w:val="231F20"/>
                <w:w w:val="120"/>
                <w:sz w:val="10"/>
              </w:rPr>
              <w:t>Quarterly monitoring and supervision of health promotion activities in schools in collaboration with line ministries and MDAs. held</w:t>
            </w:r>
          </w:p>
          <w:p w14:paraId="6FA4CA97" w14:textId="77777777" w:rsidR="009948F1" w:rsidRDefault="00BC0563">
            <w:pPr>
              <w:pStyle w:val="TableParagraph"/>
              <w:numPr>
                <w:ilvl w:val="0"/>
                <w:numId w:val="93"/>
              </w:numPr>
              <w:tabs>
                <w:tab w:val="left" w:pos="106"/>
              </w:tabs>
              <w:spacing w:line="113" w:lineRule="exact"/>
              <w:ind w:left="105" w:hanging="77"/>
              <w:rPr>
                <w:sz w:val="10"/>
              </w:rPr>
            </w:pPr>
            <w:r>
              <w:rPr>
                <w:color w:val="231F20"/>
                <w:w w:val="120"/>
                <w:sz w:val="10"/>
              </w:rPr>
              <w:t>Citing of public conveniences</w:t>
            </w:r>
            <w:r>
              <w:rPr>
                <w:color w:val="231F20"/>
                <w:spacing w:val="-1"/>
                <w:w w:val="120"/>
                <w:sz w:val="10"/>
              </w:rPr>
              <w:t xml:space="preserve"> </w:t>
            </w:r>
            <w:r>
              <w:rPr>
                <w:color w:val="231F20"/>
                <w:w w:val="120"/>
                <w:sz w:val="10"/>
              </w:rPr>
              <w:t>and</w:t>
            </w:r>
          </w:p>
          <w:p w14:paraId="1FFCFFFD" w14:textId="77777777" w:rsidR="009948F1" w:rsidRDefault="00BC0563">
            <w:pPr>
              <w:pStyle w:val="TableParagraph"/>
              <w:spacing w:before="13" w:line="93" w:lineRule="exact"/>
              <w:ind w:left="29"/>
              <w:rPr>
                <w:sz w:val="10"/>
              </w:rPr>
            </w:pPr>
            <w:r>
              <w:rPr>
                <w:color w:val="231F20"/>
                <w:w w:val="120"/>
                <w:sz w:val="10"/>
              </w:rPr>
              <w:t>borehole by environmental health workers</w:t>
            </w:r>
          </w:p>
        </w:tc>
        <w:tc>
          <w:tcPr>
            <w:tcW w:w="1451" w:type="dxa"/>
            <w:tcBorders>
              <w:top w:val="single" w:sz="6" w:space="0" w:color="231F20"/>
              <w:left w:val="single" w:sz="6" w:space="0" w:color="231F20"/>
              <w:bottom w:val="single" w:sz="6" w:space="0" w:color="231F20"/>
              <w:right w:val="single" w:sz="6" w:space="0" w:color="231F20"/>
            </w:tcBorders>
            <w:shd w:val="clear" w:color="auto" w:fill="CCE7D3"/>
          </w:tcPr>
          <w:p w14:paraId="47F54D93" w14:textId="77777777" w:rsidR="009948F1" w:rsidRDefault="009948F1">
            <w:pPr>
              <w:pStyle w:val="TableParagraph"/>
              <w:rPr>
                <w:rFonts w:ascii="Times New Roman"/>
                <w:sz w:val="12"/>
              </w:rPr>
            </w:pPr>
          </w:p>
        </w:tc>
        <w:tc>
          <w:tcPr>
            <w:tcW w:w="1531" w:type="dxa"/>
            <w:tcBorders>
              <w:top w:val="single" w:sz="6" w:space="0" w:color="231F20"/>
              <w:left w:val="single" w:sz="6" w:space="0" w:color="231F20"/>
              <w:bottom w:val="single" w:sz="6" w:space="0" w:color="231F20"/>
              <w:right w:val="single" w:sz="6" w:space="0" w:color="231F20"/>
            </w:tcBorders>
            <w:shd w:val="clear" w:color="auto" w:fill="CCE7D3"/>
          </w:tcPr>
          <w:p w14:paraId="28ADD0E1" w14:textId="77777777" w:rsidR="009948F1" w:rsidRDefault="009948F1">
            <w:pPr>
              <w:pStyle w:val="TableParagraph"/>
              <w:rPr>
                <w:rFonts w:ascii="Times New Roman"/>
                <w:sz w:val="12"/>
              </w:rPr>
            </w:pPr>
          </w:p>
        </w:tc>
      </w:tr>
      <w:tr w:rsidR="009948F1" w14:paraId="2FB720B0" w14:textId="77777777">
        <w:trPr>
          <w:trHeight w:val="246"/>
        </w:trPr>
        <w:tc>
          <w:tcPr>
            <w:tcW w:w="869" w:type="dxa"/>
            <w:gridSpan w:val="2"/>
            <w:vMerge w:val="restart"/>
            <w:tcBorders>
              <w:top w:val="nil"/>
              <w:bottom w:val="single" w:sz="6" w:space="0" w:color="231F20"/>
              <w:right w:val="single" w:sz="6" w:space="0" w:color="231F20"/>
            </w:tcBorders>
          </w:tcPr>
          <w:p w14:paraId="5254F938"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20E9C578" w14:textId="77777777" w:rsidR="009948F1" w:rsidRDefault="00BC0563">
            <w:pPr>
              <w:pStyle w:val="TableParagraph"/>
              <w:spacing w:before="67"/>
              <w:ind w:left="33" w:right="8"/>
              <w:jc w:val="center"/>
              <w:rPr>
                <w:sz w:val="10"/>
              </w:rPr>
            </w:pPr>
            <w:r>
              <w:rPr>
                <w:color w:val="231F20"/>
                <w:w w:val="120"/>
                <w:sz w:val="10"/>
              </w:rPr>
              <w:t>8.1.7.a</w:t>
            </w:r>
          </w:p>
        </w:tc>
        <w:tc>
          <w:tcPr>
            <w:tcW w:w="4979" w:type="dxa"/>
            <w:gridSpan w:val="2"/>
            <w:tcBorders>
              <w:top w:val="single" w:sz="6" w:space="0" w:color="231F20"/>
              <w:left w:val="single" w:sz="6" w:space="0" w:color="231F20"/>
              <w:bottom w:val="single" w:sz="6" w:space="0" w:color="231F20"/>
              <w:right w:val="single" w:sz="6" w:space="0" w:color="231F20"/>
            </w:tcBorders>
          </w:tcPr>
          <w:p w14:paraId="43494431" w14:textId="77777777" w:rsidR="009948F1" w:rsidRDefault="00BC0563">
            <w:pPr>
              <w:pStyle w:val="TableParagraph"/>
              <w:spacing w:before="2"/>
              <w:ind w:left="28"/>
              <w:rPr>
                <w:sz w:val="10"/>
              </w:rPr>
            </w:pPr>
            <w:r>
              <w:rPr>
                <w:color w:val="231F20"/>
                <w:w w:val="120"/>
                <w:sz w:val="10"/>
              </w:rPr>
              <w:t>Hold periodic stakeholders meeting with line ministries and MDAs to review implementation</w:t>
            </w:r>
          </w:p>
          <w:p w14:paraId="6CC9DD18" w14:textId="77777777" w:rsidR="009948F1" w:rsidRDefault="00BC0563">
            <w:pPr>
              <w:pStyle w:val="TableParagraph"/>
              <w:spacing w:before="14" w:line="95" w:lineRule="exact"/>
              <w:ind w:left="28"/>
              <w:rPr>
                <w:sz w:val="10"/>
              </w:rPr>
            </w:pPr>
            <w:r>
              <w:rPr>
                <w:color w:val="231F20"/>
                <w:w w:val="120"/>
                <w:sz w:val="10"/>
              </w:rPr>
              <w:t>of planned activities.</w:t>
            </w:r>
          </w:p>
        </w:tc>
        <w:tc>
          <w:tcPr>
            <w:tcW w:w="1451" w:type="dxa"/>
            <w:tcBorders>
              <w:top w:val="single" w:sz="6" w:space="0" w:color="231F20"/>
              <w:left w:val="single" w:sz="6" w:space="0" w:color="231F20"/>
              <w:bottom w:val="single" w:sz="6" w:space="0" w:color="231F20"/>
              <w:right w:val="single" w:sz="6" w:space="0" w:color="231F20"/>
            </w:tcBorders>
          </w:tcPr>
          <w:p w14:paraId="1733E4FF" w14:textId="77777777" w:rsidR="009948F1" w:rsidRDefault="00BC0563">
            <w:pPr>
              <w:pStyle w:val="TableParagraph"/>
              <w:spacing w:before="67"/>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3CE4C71B" w14:textId="77777777" w:rsidR="009948F1" w:rsidRDefault="00BC0563">
            <w:pPr>
              <w:pStyle w:val="TableParagraph"/>
              <w:spacing w:before="67"/>
              <w:ind w:left="31"/>
              <w:rPr>
                <w:sz w:val="10"/>
              </w:rPr>
            </w:pPr>
            <w:r>
              <w:rPr>
                <w:color w:val="231F20"/>
                <w:w w:val="120"/>
                <w:sz w:val="10"/>
              </w:rPr>
              <w:t>Hold meeting</w:t>
            </w:r>
          </w:p>
        </w:tc>
      </w:tr>
      <w:tr w:rsidR="009948F1" w14:paraId="3FB739E3" w14:textId="77777777">
        <w:trPr>
          <w:trHeight w:val="354"/>
        </w:trPr>
        <w:tc>
          <w:tcPr>
            <w:tcW w:w="869" w:type="dxa"/>
            <w:gridSpan w:val="2"/>
            <w:vMerge/>
            <w:tcBorders>
              <w:top w:val="nil"/>
              <w:bottom w:val="single" w:sz="6" w:space="0" w:color="231F20"/>
              <w:right w:val="single" w:sz="6" w:space="0" w:color="231F20"/>
            </w:tcBorders>
          </w:tcPr>
          <w:p w14:paraId="1F6DDD86"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54D8327F" w14:textId="77777777" w:rsidR="009948F1" w:rsidRDefault="009948F1">
            <w:pPr>
              <w:pStyle w:val="TableParagraph"/>
              <w:spacing w:before="6"/>
              <w:rPr>
                <w:sz w:val="10"/>
              </w:rPr>
            </w:pPr>
          </w:p>
          <w:p w14:paraId="051623A8" w14:textId="77777777" w:rsidR="009948F1" w:rsidRDefault="00BC0563">
            <w:pPr>
              <w:pStyle w:val="TableParagraph"/>
              <w:spacing w:before="1"/>
              <w:ind w:left="33" w:right="8"/>
              <w:jc w:val="center"/>
              <w:rPr>
                <w:sz w:val="10"/>
              </w:rPr>
            </w:pPr>
            <w:r>
              <w:rPr>
                <w:color w:val="231F20"/>
                <w:w w:val="120"/>
                <w:sz w:val="10"/>
              </w:rPr>
              <w:t>8.1.7.b</w:t>
            </w:r>
          </w:p>
        </w:tc>
        <w:tc>
          <w:tcPr>
            <w:tcW w:w="4979" w:type="dxa"/>
            <w:gridSpan w:val="2"/>
            <w:tcBorders>
              <w:top w:val="single" w:sz="6" w:space="0" w:color="231F20"/>
              <w:left w:val="single" w:sz="6" w:space="0" w:color="231F20"/>
              <w:bottom w:val="single" w:sz="6" w:space="0" w:color="231F20"/>
              <w:right w:val="single" w:sz="6" w:space="0" w:color="231F20"/>
            </w:tcBorders>
          </w:tcPr>
          <w:p w14:paraId="3D629EA0" w14:textId="3E02AD0B" w:rsidR="009948F1" w:rsidRDefault="00BC0563">
            <w:pPr>
              <w:pStyle w:val="TableParagraph"/>
              <w:spacing w:before="52" w:line="271" w:lineRule="auto"/>
              <w:ind w:left="28"/>
              <w:rPr>
                <w:sz w:val="10"/>
              </w:rPr>
            </w:pPr>
            <w:r>
              <w:rPr>
                <w:color w:val="231F20"/>
                <w:w w:val="120"/>
                <w:sz w:val="10"/>
              </w:rPr>
              <w:t xml:space="preserve">Periodic monitoring and supervision of health promotion </w:t>
            </w:r>
            <w:r w:rsidR="00A93E69">
              <w:rPr>
                <w:color w:val="231F20"/>
                <w:w w:val="120"/>
                <w:sz w:val="10"/>
              </w:rPr>
              <w:t>activities</w:t>
            </w:r>
            <w:r>
              <w:rPr>
                <w:color w:val="231F20"/>
                <w:w w:val="120"/>
                <w:sz w:val="10"/>
              </w:rPr>
              <w:t xml:space="preserve"> in schools in collaboration with line ministries and MDAs.</w:t>
            </w:r>
          </w:p>
        </w:tc>
        <w:tc>
          <w:tcPr>
            <w:tcW w:w="1451" w:type="dxa"/>
            <w:tcBorders>
              <w:top w:val="single" w:sz="6" w:space="0" w:color="231F20"/>
              <w:left w:val="single" w:sz="6" w:space="0" w:color="231F20"/>
              <w:bottom w:val="single" w:sz="6" w:space="0" w:color="231F20"/>
              <w:right w:val="single" w:sz="6" w:space="0" w:color="231F20"/>
            </w:tcBorders>
          </w:tcPr>
          <w:p w14:paraId="0B6C3B9E" w14:textId="77777777" w:rsidR="009948F1" w:rsidRDefault="009948F1">
            <w:pPr>
              <w:pStyle w:val="TableParagraph"/>
              <w:spacing w:before="6"/>
              <w:rPr>
                <w:sz w:val="10"/>
              </w:rPr>
            </w:pPr>
          </w:p>
          <w:p w14:paraId="5237C78E" w14:textId="77777777" w:rsidR="009948F1" w:rsidRDefault="00BC0563">
            <w:pPr>
              <w:pStyle w:val="TableParagraph"/>
              <w:spacing w:before="1"/>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40EF8467" w14:textId="77777777" w:rsidR="009948F1" w:rsidRDefault="00BC0563">
            <w:pPr>
              <w:pStyle w:val="TableParagraph"/>
              <w:spacing w:before="56" w:line="271" w:lineRule="auto"/>
              <w:ind w:left="31" w:right="144"/>
              <w:rPr>
                <w:sz w:val="10"/>
              </w:rPr>
            </w:pPr>
            <w:r>
              <w:rPr>
                <w:color w:val="231F20"/>
                <w:w w:val="120"/>
                <w:sz w:val="10"/>
              </w:rPr>
              <w:t>Quarterly monitoring and supervision</w:t>
            </w:r>
          </w:p>
        </w:tc>
      </w:tr>
      <w:tr w:rsidR="009948F1" w14:paraId="0F21DCBE" w14:textId="77777777">
        <w:trPr>
          <w:trHeight w:val="249"/>
        </w:trPr>
        <w:tc>
          <w:tcPr>
            <w:tcW w:w="869" w:type="dxa"/>
            <w:gridSpan w:val="2"/>
            <w:vMerge/>
            <w:tcBorders>
              <w:top w:val="nil"/>
              <w:bottom w:val="single" w:sz="6" w:space="0" w:color="231F20"/>
              <w:right w:val="single" w:sz="6" w:space="0" w:color="231F20"/>
            </w:tcBorders>
          </w:tcPr>
          <w:p w14:paraId="73348477"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40CAC29D" w14:textId="77777777" w:rsidR="009948F1" w:rsidRDefault="00BC0563">
            <w:pPr>
              <w:pStyle w:val="TableParagraph"/>
              <w:spacing w:before="69"/>
              <w:ind w:left="33" w:right="7"/>
              <w:jc w:val="center"/>
              <w:rPr>
                <w:sz w:val="10"/>
              </w:rPr>
            </w:pPr>
            <w:r>
              <w:rPr>
                <w:color w:val="231F20"/>
                <w:w w:val="120"/>
                <w:sz w:val="10"/>
              </w:rPr>
              <w:t>8.1.7.c</w:t>
            </w:r>
          </w:p>
        </w:tc>
        <w:tc>
          <w:tcPr>
            <w:tcW w:w="4979" w:type="dxa"/>
            <w:gridSpan w:val="2"/>
            <w:tcBorders>
              <w:top w:val="single" w:sz="6" w:space="0" w:color="231F20"/>
              <w:left w:val="single" w:sz="6" w:space="0" w:color="231F20"/>
              <w:bottom w:val="single" w:sz="6" w:space="0" w:color="231F20"/>
              <w:right w:val="single" w:sz="6" w:space="0" w:color="231F20"/>
            </w:tcBorders>
          </w:tcPr>
          <w:p w14:paraId="3D98E4C4" w14:textId="342CCCA3" w:rsidR="009948F1" w:rsidRDefault="00BC0563">
            <w:pPr>
              <w:pStyle w:val="TableParagraph"/>
              <w:spacing w:before="65"/>
              <w:ind w:left="28"/>
              <w:rPr>
                <w:sz w:val="10"/>
              </w:rPr>
            </w:pPr>
            <w:r>
              <w:rPr>
                <w:color w:val="231F20"/>
                <w:w w:val="120"/>
                <w:sz w:val="10"/>
              </w:rPr>
              <w:t xml:space="preserve">Monitoring of citing of public conveniences and borehole by </w:t>
            </w:r>
            <w:r w:rsidR="00A93E69">
              <w:rPr>
                <w:color w:val="231F20"/>
                <w:w w:val="120"/>
                <w:sz w:val="10"/>
              </w:rPr>
              <w:t>environmental</w:t>
            </w:r>
            <w:r>
              <w:rPr>
                <w:color w:val="231F20"/>
                <w:w w:val="120"/>
                <w:sz w:val="10"/>
              </w:rPr>
              <w:t xml:space="preserve"> health workers</w:t>
            </w:r>
          </w:p>
        </w:tc>
        <w:tc>
          <w:tcPr>
            <w:tcW w:w="1451" w:type="dxa"/>
            <w:tcBorders>
              <w:top w:val="single" w:sz="6" w:space="0" w:color="231F20"/>
              <w:left w:val="single" w:sz="6" w:space="0" w:color="231F20"/>
              <w:bottom w:val="single" w:sz="6" w:space="0" w:color="231F20"/>
              <w:right w:val="single" w:sz="6" w:space="0" w:color="231F20"/>
            </w:tcBorders>
          </w:tcPr>
          <w:p w14:paraId="2D8D03FA" w14:textId="77777777" w:rsidR="009948F1" w:rsidRDefault="00BC0563">
            <w:pPr>
              <w:pStyle w:val="TableParagraph"/>
              <w:spacing w:before="69"/>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15DE6052" w14:textId="77777777" w:rsidR="009948F1" w:rsidRDefault="00BC0563">
            <w:pPr>
              <w:pStyle w:val="TableParagraph"/>
              <w:spacing w:before="69"/>
              <w:ind w:left="31"/>
              <w:rPr>
                <w:sz w:val="10"/>
              </w:rPr>
            </w:pPr>
            <w:r>
              <w:rPr>
                <w:color w:val="231F20"/>
                <w:w w:val="120"/>
                <w:sz w:val="10"/>
              </w:rPr>
              <w:t>Monitoring of citing</w:t>
            </w:r>
          </w:p>
        </w:tc>
      </w:tr>
      <w:tr w:rsidR="009948F1" w14:paraId="70ABA2CD" w14:textId="77777777">
        <w:trPr>
          <w:trHeight w:val="324"/>
        </w:trPr>
        <w:tc>
          <w:tcPr>
            <w:tcW w:w="407" w:type="dxa"/>
            <w:tcBorders>
              <w:top w:val="single" w:sz="6" w:space="0" w:color="231F20"/>
              <w:left w:val="single" w:sz="12" w:space="0" w:color="231F20"/>
              <w:bottom w:val="single" w:sz="6" w:space="0" w:color="231F20"/>
              <w:right w:val="single" w:sz="6" w:space="0" w:color="231F20"/>
            </w:tcBorders>
            <w:shd w:val="clear" w:color="auto" w:fill="FFF200"/>
          </w:tcPr>
          <w:p w14:paraId="211E2C48" w14:textId="77777777" w:rsidR="009948F1" w:rsidRDefault="009948F1">
            <w:pPr>
              <w:pStyle w:val="TableParagraph"/>
              <w:spacing w:before="4"/>
              <w:rPr>
                <w:sz w:val="9"/>
              </w:rPr>
            </w:pPr>
          </w:p>
          <w:p w14:paraId="1D959608" w14:textId="77777777" w:rsidR="009948F1" w:rsidRDefault="00BC0563">
            <w:pPr>
              <w:pStyle w:val="TableParagraph"/>
              <w:ind w:left="180"/>
              <w:rPr>
                <w:b/>
                <w:sz w:val="10"/>
              </w:rPr>
            </w:pPr>
            <w:r>
              <w:rPr>
                <w:b/>
                <w:color w:val="231F20"/>
                <w:w w:val="120"/>
                <w:sz w:val="10"/>
              </w:rPr>
              <w:t>8.2</w:t>
            </w:r>
          </w:p>
        </w:tc>
        <w:tc>
          <w:tcPr>
            <w:tcW w:w="5975" w:type="dxa"/>
            <w:gridSpan w:val="4"/>
            <w:tcBorders>
              <w:top w:val="single" w:sz="6" w:space="0" w:color="231F20"/>
              <w:left w:val="single" w:sz="6" w:space="0" w:color="231F20"/>
              <w:bottom w:val="single" w:sz="6" w:space="0" w:color="231F20"/>
            </w:tcBorders>
            <w:shd w:val="clear" w:color="auto" w:fill="FFF200"/>
          </w:tcPr>
          <w:p w14:paraId="0EA97C83" w14:textId="77777777" w:rsidR="009948F1" w:rsidRDefault="009948F1">
            <w:pPr>
              <w:pStyle w:val="TableParagraph"/>
              <w:rPr>
                <w:sz w:val="9"/>
              </w:rPr>
            </w:pPr>
          </w:p>
          <w:p w14:paraId="171A6BA2" w14:textId="3BC11AB8" w:rsidR="009948F1" w:rsidRDefault="00BC0563">
            <w:pPr>
              <w:pStyle w:val="TableParagraph"/>
              <w:ind w:left="60"/>
              <w:rPr>
                <w:b/>
                <w:sz w:val="10"/>
              </w:rPr>
            </w:pPr>
            <w:r>
              <w:rPr>
                <w:b/>
                <w:color w:val="231F20"/>
                <w:w w:val="120"/>
                <w:sz w:val="10"/>
              </w:rPr>
              <w:t xml:space="preserve">Promote food hygiene and safety for the reduction of illnesses </w:t>
            </w:r>
            <w:r w:rsidR="00A93E69">
              <w:rPr>
                <w:b/>
                <w:color w:val="231F20"/>
                <w:w w:val="120"/>
                <w:sz w:val="10"/>
              </w:rPr>
              <w:t>associated</w:t>
            </w:r>
            <w:r>
              <w:rPr>
                <w:b/>
                <w:color w:val="231F20"/>
                <w:w w:val="120"/>
                <w:sz w:val="10"/>
              </w:rPr>
              <w:t xml:space="preserve"> with unwholesome food.</w:t>
            </w:r>
          </w:p>
        </w:tc>
        <w:tc>
          <w:tcPr>
            <w:tcW w:w="2982" w:type="dxa"/>
            <w:gridSpan w:val="2"/>
            <w:tcBorders>
              <w:top w:val="single" w:sz="6" w:space="0" w:color="231F20"/>
              <w:bottom w:val="single" w:sz="6" w:space="0" w:color="231F20"/>
              <w:right w:val="single" w:sz="6" w:space="0" w:color="231F20"/>
            </w:tcBorders>
            <w:shd w:val="clear" w:color="auto" w:fill="FFF200"/>
          </w:tcPr>
          <w:p w14:paraId="6B9FE89C" w14:textId="77777777" w:rsidR="009948F1" w:rsidRDefault="009948F1">
            <w:pPr>
              <w:pStyle w:val="TableParagraph"/>
              <w:rPr>
                <w:rFonts w:ascii="Times New Roman"/>
                <w:sz w:val="12"/>
              </w:rPr>
            </w:pPr>
          </w:p>
        </w:tc>
      </w:tr>
      <w:tr w:rsidR="009948F1" w14:paraId="351EB976" w14:textId="77777777">
        <w:trPr>
          <w:trHeight w:val="952"/>
        </w:trPr>
        <w:tc>
          <w:tcPr>
            <w:tcW w:w="407" w:type="dxa"/>
            <w:tcBorders>
              <w:top w:val="single" w:sz="6" w:space="0" w:color="231F20"/>
              <w:bottom w:val="nil"/>
              <w:right w:val="single" w:sz="6" w:space="0" w:color="231F20"/>
            </w:tcBorders>
          </w:tcPr>
          <w:p w14:paraId="039195AD"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0327C36D" w14:textId="77777777" w:rsidR="009948F1" w:rsidRDefault="009948F1">
            <w:pPr>
              <w:pStyle w:val="TableParagraph"/>
              <w:rPr>
                <w:sz w:val="10"/>
              </w:rPr>
            </w:pPr>
          </w:p>
          <w:p w14:paraId="2780DB34" w14:textId="77777777" w:rsidR="009948F1" w:rsidRDefault="009948F1">
            <w:pPr>
              <w:pStyle w:val="TableParagraph"/>
              <w:rPr>
                <w:sz w:val="10"/>
              </w:rPr>
            </w:pPr>
          </w:p>
          <w:p w14:paraId="156632FC" w14:textId="77777777" w:rsidR="009948F1" w:rsidRDefault="009948F1">
            <w:pPr>
              <w:pStyle w:val="TableParagraph"/>
              <w:rPr>
                <w:sz w:val="10"/>
              </w:rPr>
            </w:pPr>
          </w:p>
          <w:p w14:paraId="0CBEB6E8" w14:textId="77777777" w:rsidR="009948F1" w:rsidRDefault="00BC0563">
            <w:pPr>
              <w:pStyle w:val="TableParagraph"/>
              <w:spacing w:before="76"/>
              <w:ind w:left="60"/>
              <w:rPr>
                <w:sz w:val="10"/>
              </w:rPr>
            </w:pPr>
            <w:r>
              <w:rPr>
                <w:color w:val="231F20"/>
                <w:w w:val="120"/>
                <w:sz w:val="10"/>
              </w:rPr>
              <w:t>8.2.1</w:t>
            </w:r>
          </w:p>
        </w:tc>
        <w:tc>
          <w:tcPr>
            <w:tcW w:w="3088" w:type="dxa"/>
            <w:gridSpan w:val="2"/>
            <w:tcBorders>
              <w:top w:val="single" w:sz="6" w:space="0" w:color="231F20"/>
              <w:left w:val="single" w:sz="6" w:space="0" w:color="231F20"/>
              <w:bottom w:val="single" w:sz="6" w:space="0" w:color="231F20"/>
              <w:right w:val="single" w:sz="6" w:space="0" w:color="231F20"/>
            </w:tcBorders>
            <w:shd w:val="clear" w:color="auto" w:fill="CCE7D3"/>
          </w:tcPr>
          <w:p w14:paraId="0B7B8F18" w14:textId="77777777" w:rsidR="009948F1" w:rsidRDefault="009948F1">
            <w:pPr>
              <w:pStyle w:val="TableParagraph"/>
              <w:rPr>
                <w:sz w:val="10"/>
              </w:rPr>
            </w:pPr>
          </w:p>
          <w:p w14:paraId="1E2D30A9" w14:textId="77777777" w:rsidR="009948F1" w:rsidRDefault="009948F1">
            <w:pPr>
              <w:pStyle w:val="TableParagraph"/>
              <w:rPr>
                <w:sz w:val="10"/>
              </w:rPr>
            </w:pPr>
          </w:p>
          <w:p w14:paraId="46B08BED" w14:textId="77777777" w:rsidR="009948F1" w:rsidRDefault="009948F1">
            <w:pPr>
              <w:pStyle w:val="TableParagraph"/>
              <w:spacing w:before="6"/>
              <w:rPr>
                <w:sz w:val="10"/>
              </w:rPr>
            </w:pPr>
          </w:p>
          <w:p w14:paraId="7DF4D657" w14:textId="77777777" w:rsidR="009948F1" w:rsidRDefault="00BC0563">
            <w:pPr>
              <w:pStyle w:val="TableParagraph"/>
              <w:spacing w:line="271" w:lineRule="auto"/>
              <w:ind w:left="27" w:right="11" w:firstLine="33"/>
              <w:rPr>
                <w:sz w:val="10"/>
              </w:rPr>
            </w:pPr>
            <w:r>
              <w:rPr>
                <w:color w:val="231F20"/>
                <w:w w:val="120"/>
                <w:sz w:val="10"/>
              </w:rPr>
              <w:t>Strengthen system for food and water safety surveillance.</w:t>
            </w:r>
          </w:p>
        </w:tc>
        <w:tc>
          <w:tcPr>
            <w:tcW w:w="2425" w:type="dxa"/>
            <w:tcBorders>
              <w:top w:val="single" w:sz="6" w:space="0" w:color="231F20"/>
              <w:left w:val="single" w:sz="6" w:space="0" w:color="231F20"/>
              <w:bottom w:val="single" w:sz="6" w:space="0" w:color="231F20"/>
              <w:right w:val="single" w:sz="6" w:space="0" w:color="231F20"/>
            </w:tcBorders>
            <w:shd w:val="clear" w:color="auto" w:fill="CCE7D3"/>
          </w:tcPr>
          <w:p w14:paraId="34CFC03E" w14:textId="77777777" w:rsidR="009948F1" w:rsidRDefault="00BC0563">
            <w:pPr>
              <w:pStyle w:val="TableParagraph"/>
              <w:numPr>
                <w:ilvl w:val="0"/>
                <w:numId w:val="92"/>
              </w:numPr>
              <w:tabs>
                <w:tab w:val="left" w:pos="106"/>
              </w:tabs>
              <w:spacing w:before="32" w:line="271" w:lineRule="auto"/>
              <w:ind w:right="127" w:firstLine="0"/>
              <w:rPr>
                <w:sz w:val="10"/>
              </w:rPr>
            </w:pPr>
            <w:r>
              <w:rPr>
                <w:color w:val="231F20"/>
                <w:w w:val="120"/>
                <w:sz w:val="10"/>
              </w:rPr>
              <w:t>Food handlers from 23 LGAs in the state trained.</w:t>
            </w:r>
          </w:p>
          <w:p w14:paraId="210ECF16" w14:textId="77777777" w:rsidR="009948F1" w:rsidRDefault="00BC0563">
            <w:pPr>
              <w:pStyle w:val="TableParagraph"/>
              <w:numPr>
                <w:ilvl w:val="0"/>
                <w:numId w:val="92"/>
              </w:numPr>
              <w:tabs>
                <w:tab w:val="left" w:pos="73"/>
              </w:tabs>
              <w:spacing w:line="114" w:lineRule="exact"/>
              <w:ind w:left="72" w:hanging="44"/>
              <w:rPr>
                <w:sz w:val="10"/>
              </w:rPr>
            </w:pPr>
            <w:r>
              <w:rPr>
                <w:color w:val="231F20"/>
                <w:w w:val="120"/>
                <w:sz w:val="10"/>
              </w:rPr>
              <w:t>Workshop for EHOs</w:t>
            </w:r>
            <w:r>
              <w:rPr>
                <w:color w:val="231F20"/>
                <w:spacing w:val="-2"/>
                <w:w w:val="120"/>
                <w:sz w:val="10"/>
              </w:rPr>
              <w:t xml:space="preserve"> </w:t>
            </w:r>
            <w:r>
              <w:rPr>
                <w:color w:val="231F20"/>
                <w:w w:val="120"/>
                <w:sz w:val="10"/>
              </w:rPr>
              <w:t>done</w:t>
            </w:r>
          </w:p>
          <w:p w14:paraId="502B3A2F" w14:textId="77777777" w:rsidR="009948F1" w:rsidRDefault="00BC0563">
            <w:pPr>
              <w:pStyle w:val="TableParagraph"/>
              <w:numPr>
                <w:ilvl w:val="0"/>
                <w:numId w:val="92"/>
              </w:numPr>
              <w:tabs>
                <w:tab w:val="left" w:pos="106"/>
              </w:tabs>
              <w:spacing w:before="15" w:line="271" w:lineRule="auto"/>
              <w:ind w:right="13" w:firstLine="0"/>
              <w:rPr>
                <w:sz w:val="10"/>
              </w:rPr>
            </w:pPr>
            <w:r>
              <w:rPr>
                <w:color w:val="231F20"/>
                <w:w w:val="120"/>
                <w:sz w:val="10"/>
              </w:rPr>
              <w:t>Butchers and meat handlers from 23 LGAs trained</w:t>
            </w:r>
          </w:p>
          <w:p w14:paraId="256409F2" w14:textId="77777777" w:rsidR="009948F1" w:rsidRDefault="00BC0563">
            <w:pPr>
              <w:pStyle w:val="TableParagraph"/>
              <w:numPr>
                <w:ilvl w:val="0"/>
                <w:numId w:val="92"/>
              </w:numPr>
              <w:tabs>
                <w:tab w:val="left" w:pos="106"/>
              </w:tabs>
              <w:spacing w:line="114" w:lineRule="exact"/>
              <w:ind w:left="105" w:hanging="77"/>
              <w:rPr>
                <w:sz w:val="10"/>
              </w:rPr>
            </w:pPr>
            <w:r>
              <w:rPr>
                <w:color w:val="231F20"/>
                <w:spacing w:val="-3"/>
                <w:w w:val="120"/>
                <w:sz w:val="10"/>
              </w:rPr>
              <w:t xml:space="preserve">WATSAN </w:t>
            </w:r>
            <w:r>
              <w:rPr>
                <w:color w:val="231F20"/>
                <w:w w:val="120"/>
                <w:sz w:val="10"/>
              </w:rPr>
              <w:t>officers and zonal EHOs</w:t>
            </w:r>
            <w:r>
              <w:rPr>
                <w:color w:val="231F20"/>
                <w:spacing w:val="4"/>
                <w:w w:val="120"/>
                <w:sz w:val="10"/>
              </w:rPr>
              <w:t xml:space="preserve"> </w:t>
            </w:r>
            <w:r>
              <w:rPr>
                <w:color w:val="231F20"/>
                <w:w w:val="120"/>
                <w:sz w:val="10"/>
              </w:rPr>
              <w:t>from</w:t>
            </w:r>
          </w:p>
          <w:p w14:paraId="09DE5FD6" w14:textId="77777777" w:rsidR="009948F1" w:rsidRDefault="00BC0563">
            <w:pPr>
              <w:pStyle w:val="TableParagraph"/>
              <w:spacing w:before="14"/>
              <w:ind w:left="29"/>
              <w:rPr>
                <w:sz w:val="10"/>
              </w:rPr>
            </w:pPr>
            <w:r>
              <w:rPr>
                <w:color w:val="231F20"/>
                <w:w w:val="120"/>
                <w:sz w:val="10"/>
              </w:rPr>
              <w:t>23 LGAs trained.</w:t>
            </w:r>
          </w:p>
        </w:tc>
        <w:tc>
          <w:tcPr>
            <w:tcW w:w="1451" w:type="dxa"/>
            <w:tcBorders>
              <w:top w:val="single" w:sz="6" w:space="0" w:color="231F20"/>
              <w:left w:val="single" w:sz="6" w:space="0" w:color="231F20"/>
              <w:bottom w:val="single" w:sz="6" w:space="0" w:color="231F20"/>
              <w:right w:val="single" w:sz="6" w:space="0" w:color="231F20"/>
            </w:tcBorders>
            <w:shd w:val="clear" w:color="auto" w:fill="CCE7D3"/>
          </w:tcPr>
          <w:p w14:paraId="330F3CD4" w14:textId="77777777" w:rsidR="009948F1" w:rsidRDefault="009948F1">
            <w:pPr>
              <w:pStyle w:val="TableParagraph"/>
              <w:rPr>
                <w:rFonts w:ascii="Times New Roman"/>
                <w:sz w:val="12"/>
              </w:rPr>
            </w:pPr>
          </w:p>
        </w:tc>
        <w:tc>
          <w:tcPr>
            <w:tcW w:w="1531" w:type="dxa"/>
            <w:tcBorders>
              <w:top w:val="single" w:sz="6" w:space="0" w:color="231F20"/>
              <w:left w:val="single" w:sz="6" w:space="0" w:color="231F20"/>
              <w:bottom w:val="single" w:sz="6" w:space="0" w:color="231F20"/>
              <w:right w:val="single" w:sz="6" w:space="0" w:color="231F20"/>
            </w:tcBorders>
            <w:shd w:val="clear" w:color="auto" w:fill="CCE7D3"/>
          </w:tcPr>
          <w:p w14:paraId="6A9D71AC" w14:textId="77777777" w:rsidR="009948F1" w:rsidRDefault="009948F1">
            <w:pPr>
              <w:pStyle w:val="TableParagraph"/>
              <w:rPr>
                <w:rFonts w:ascii="Times New Roman"/>
                <w:sz w:val="12"/>
              </w:rPr>
            </w:pPr>
          </w:p>
        </w:tc>
      </w:tr>
      <w:tr w:rsidR="009948F1" w14:paraId="1C942ACD" w14:textId="77777777">
        <w:trPr>
          <w:trHeight w:val="328"/>
        </w:trPr>
        <w:tc>
          <w:tcPr>
            <w:tcW w:w="869" w:type="dxa"/>
            <w:gridSpan w:val="2"/>
            <w:vMerge w:val="restart"/>
            <w:tcBorders>
              <w:top w:val="nil"/>
              <w:bottom w:val="nil"/>
              <w:right w:val="single" w:sz="6" w:space="0" w:color="231F20"/>
            </w:tcBorders>
          </w:tcPr>
          <w:p w14:paraId="76BDC5DF"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695CEC54" w14:textId="77777777" w:rsidR="009948F1" w:rsidRDefault="009948F1">
            <w:pPr>
              <w:pStyle w:val="TableParagraph"/>
              <w:spacing w:before="4"/>
              <w:rPr>
                <w:sz w:val="9"/>
              </w:rPr>
            </w:pPr>
          </w:p>
          <w:p w14:paraId="2CE33725" w14:textId="77777777" w:rsidR="009948F1" w:rsidRDefault="00BC0563">
            <w:pPr>
              <w:pStyle w:val="TableParagraph"/>
              <w:ind w:left="33" w:right="8"/>
              <w:jc w:val="center"/>
              <w:rPr>
                <w:sz w:val="10"/>
              </w:rPr>
            </w:pPr>
            <w:r>
              <w:rPr>
                <w:color w:val="231F20"/>
                <w:w w:val="120"/>
                <w:sz w:val="10"/>
              </w:rPr>
              <w:t>8.2.1.a</w:t>
            </w:r>
          </w:p>
        </w:tc>
        <w:tc>
          <w:tcPr>
            <w:tcW w:w="4979" w:type="dxa"/>
            <w:gridSpan w:val="2"/>
            <w:tcBorders>
              <w:top w:val="single" w:sz="6" w:space="0" w:color="231F20"/>
              <w:left w:val="single" w:sz="6" w:space="0" w:color="231F20"/>
              <w:bottom w:val="single" w:sz="6" w:space="0" w:color="231F20"/>
              <w:right w:val="single" w:sz="6" w:space="0" w:color="231F20"/>
            </w:tcBorders>
          </w:tcPr>
          <w:p w14:paraId="23C75E1C" w14:textId="77777777" w:rsidR="009948F1" w:rsidRDefault="009948F1">
            <w:pPr>
              <w:pStyle w:val="TableParagraph"/>
              <w:rPr>
                <w:sz w:val="9"/>
              </w:rPr>
            </w:pPr>
          </w:p>
          <w:p w14:paraId="32721F94" w14:textId="77777777" w:rsidR="009948F1" w:rsidRDefault="00BC0563">
            <w:pPr>
              <w:pStyle w:val="TableParagraph"/>
              <w:ind w:left="28"/>
              <w:rPr>
                <w:sz w:val="10"/>
              </w:rPr>
            </w:pPr>
            <w:proofErr w:type="spellStart"/>
            <w:r>
              <w:rPr>
                <w:color w:val="231F20"/>
                <w:w w:val="120"/>
                <w:sz w:val="10"/>
              </w:rPr>
              <w:t>Organise</w:t>
            </w:r>
            <w:proofErr w:type="spellEnd"/>
            <w:r>
              <w:rPr>
                <w:color w:val="231F20"/>
                <w:w w:val="120"/>
                <w:sz w:val="10"/>
              </w:rPr>
              <w:t xml:space="preserve"> periodic training for food handlers from 23 LGAs in the state on food handling.</w:t>
            </w:r>
          </w:p>
        </w:tc>
        <w:tc>
          <w:tcPr>
            <w:tcW w:w="1451" w:type="dxa"/>
            <w:tcBorders>
              <w:top w:val="single" w:sz="6" w:space="0" w:color="231F20"/>
              <w:left w:val="single" w:sz="6" w:space="0" w:color="231F20"/>
              <w:bottom w:val="single" w:sz="6" w:space="0" w:color="231F20"/>
              <w:right w:val="single" w:sz="6" w:space="0" w:color="231F20"/>
            </w:tcBorders>
          </w:tcPr>
          <w:p w14:paraId="5F324E93" w14:textId="77777777" w:rsidR="009948F1" w:rsidRDefault="009948F1">
            <w:pPr>
              <w:pStyle w:val="TableParagraph"/>
              <w:spacing w:before="4"/>
              <w:rPr>
                <w:sz w:val="9"/>
              </w:rPr>
            </w:pPr>
          </w:p>
          <w:p w14:paraId="27FD4721" w14:textId="77777777" w:rsidR="009948F1" w:rsidRDefault="00BC0563">
            <w:pPr>
              <w:pStyle w:val="TableParagraph"/>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3A9E7BC7" w14:textId="77777777" w:rsidR="009948F1" w:rsidRDefault="009948F1">
            <w:pPr>
              <w:pStyle w:val="TableParagraph"/>
              <w:spacing w:before="4"/>
              <w:rPr>
                <w:sz w:val="9"/>
              </w:rPr>
            </w:pPr>
          </w:p>
          <w:p w14:paraId="6CFF635F" w14:textId="77777777" w:rsidR="009948F1" w:rsidRDefault="00BC0563">
            <w:pPr>
              <w:pStyle w:val="TableParagraph"/>
              <w:ind w:left="31"/>
              <w:rPr>
                <w:sz w:val="10"/>
              </w:rPr>
            </w:pPr>
            <w:proofErr w:type="spellStart"/>
            <w:r>
              <w:rPr>
                <w:color w:val="231F20"/>
                <w:w w:val="120"/>
                <w:sz w:val="10"/>
              </w:rPr>
              <w:t>Organise</w:t>
            </w:r>
            <w:proofErr w:type="spellEnd"/>
            <w:r>
              <w:rPr>
                <w:color w:val="231F20"/>
                <w:w w:val="120"/>
                <w:sz w:val="10"/>
              </w:rPr>
              <w:t xml:space="preserve"> periodic training</w:t>
            </w:r>
          </w:p>
        </w:tc>
      </w:tr>
      <w:tr w:rsidR="009948F1" w14:paraId="1EDD6ADD" w14:textId="77777777">
        <w:trPr>
          <w:trHeight w:val="386"/>
        </w:trPr>
        <w:tc>
          <w:tcPr>
            <w:tcW w:w="869" w:type="dxa"/>
            <w:gridSpan w:val="2"/>
            <w:vMerge/>
            <w:tcBorders>
              <w:top w:val="nil"/>
              <w:bottom w:val="nil"/>
              <w:right w:val="single" w:sz="6" w:space="0" w:color="231F20"/>
            </w:tcBorders>
          </w:tcPr>
          <w:p w14:paraId="7B3AB48A"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62D0992" w14:textId="77777777" w:rsidR="009948F1" w:rsidRDefault="009948F1">
            <w:pPr>
              <w:pStyle w:val="TableParagraph"/>
              <w:spacing w:before="11"/>
              <w:rPr>
                <w:sz w:val="11"/>
              </w:rPr>
            </w:pPr>
          </w:p>
          <w:p w14:paraId="58D4EE32" w14:textId="77777777" w:rsidR="009948F1" w:rsidRDefault="00BC0563">
            <w:pPr>
              <w:pStyle w:val="TableParagraph"/>
              <w:ind w:left="33" w:right="8"/>
              <w:jc w:val="center"/>
              <w:rPr>
                <w:sz w:val="10"/>
              </w:rPr>
            </w:pPr>
            <w:r>
              <w:rPr>
                <w:color w:val="231F20"/>
                <w:w w:val="120"/>
                <w:sz w:val="10"/>
              </w:rPr>
              <w:t>8.2.1.b</w:t>
            </w:r>
          </w:p>
        </w:tc>
        <w:tc>
          <w:tcPr>
            <w:tcW w:w="4979" w:type="dxa"/>
            <w:gridSpan w:val="2"/>
            <w:tcBorders>
              <w:top w:val="single" w:sz="6" w:space="0" w:color="231F20"/>
              <w:left w:val="single" w:sz="6" w:space="0" w:color="231F20"/>
              <w:bottom w:val="single" w:sz="6" w:space="0" w:color="231F20"/>
              <w:right w:val="single" w:sz="6" w:space="0" w:color="231F20"/>
            </w:tcBorders>
          </w:tcPr>
          <w:p w14:paraId="7BC2CAED" w14:textId="77777777" w:rsidR="009948F1" w:rsidRDefault="00BC0563">
            <w:pPr>
              <w:pStyle w:val="TableParagraph"/>
              <w:spacing w:before="68" w:line="271" w:lineRule="auto"/>
              <w:ind w:left="28"/>
              <w:rPr>
                <w:sz w:val="10"/>
              </w:rPr>
            </w:pPr>
            <w:r>
              <w:rPr>
                <w:color w:val="231F20"/>
                <w:w w:val="120"/>
                <w:sz w:val="10"/>
              </w:rPr>
              <w:t>Conduct workshop for EHOs to ensure that public consumes are safe, wholesome and nutritious food.</w:t>
            </w:r>
          </w:p>
        </w:tc>
        <w:tc>
          <w:tcPr>
            <w:tcW w:w="1451" w:type="dxa"/>
            <w:tcBorders>
              <w:top w:val="single" w:sz="6" w:space="0" w:color="231F20"/>
              <w:left w:val="single" w:sz="6" w:space="0" w:color="231F20"/>
              <w:bottom w:val="single" w:sz="6" w:space="0" w:color="231F20"/>
              <w:right w:val="single" w:sz="6" w:space="0" w:color="231F20"/>
            </w:tcBorders>
          </w:tcPr>
          <w:p w14:paraId="7AEFF356" w14:textId="77777777" w:rsidR="009948F1" w:rsidRDefault="009948F1">
            <w:pPr>
              <w:pStyle w:val="TableParagraph"/>
              <w:spacing w:before="11"/>
              <w:rPr>
                <w:sz w:val="11"/>
              </w:rPr>
            </w:pPr>
          </w:p>
          <w:p w14:paraId="62571337" w14:textId="77777777" w:rsidR="009948F1" w:rsidRDefault="00BC0563">
            <w:pPr>
              <w:pStyle w:val="TableParagraph"/>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41891141" w14:textId="77777777" w:rsidR="009948F1" w:rsidRDefault="009948F1">
            <w:pPr>
              <w:pStyle w:val="TableParagraph"/>
              <w:spacing w:before="11"/>
              <w:rPr>
                <w:sz w:val="11"/>
              </w:rPr>
            </w:pPr>
          </w:p>
          <w:p w14:paraId="4267B026" w14:textId="77777777" w:rsidR="009948F1" w:rsidRDefault="00BC0563">
            <w:pPr>
              <w:pStyle w:val="TableParagraph"/>
              <w:ind w:left="31"/>
              <w:rPr>
                <w:sz w:val="10"/>
              </w:rPr>
            </w:pPr>
            <w:r>
              <w:rPr>
                <w:color w:val="231F20"/>
                <w:w w:val="120"/>
                <w:sz w:val="10"/>
              </w:rPr>
              <w:t>Conduct workshop</w:t>
            </w:r>
          </w:p>
        </w:tc>
      </w:tr>
      <w:tr w:rsidR="009948F1" w14:paraId="2A31C1C0" w14:textId="77777777">
        <w:trPr>
          <w:trHeight w:val="328"/>
        </w:trPr>
        <w:tc>
          <w:tcPr>
            <w:tcW w:w="869" w:type="dxa"/>
            <w:gridSpan w:val="2"/>
            <w:vMerge/>
            <w:tcBorders>
              <w:top w:val="nil"/>
              <w:bottom w:val="nil"/>
              <w:right w:val="single" w:sz="6" w:space="0" w:color="231F20"/>
            </w:tcBorders>
          </w:tcPr>
          <w:p w14:paraId="2F595795"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181CAEB" w14:textId="77777777" w:rsidR="009948F1" w:rsidRDefault="009948F1">
            <w:pPr>
              <w:pStyle w:val="TableParagraph"/>
              <w:spacing w:before="4"/>
              <w:rPr>
                <w:sz w:val="9"/>
              </w:rPr>
            </w:pPr>
          </w:p>
          <w:p w14:paraId="3B526067" w14:textId="77777777" w:rsidR="009948F1" w:rsidRDefault="00BC0563">
            <w:pPr>
              <w:pStyle w:val="TableParagraph"/>
              <w:ind w:left="33" w:right="7"/>
              <w:jc w:val="center"/>
              <w:rPr>
                <w:sz w:val="10"/>
              </w:rPr>
            </w:pPr>
            <w:r>
              <w:rPr>
                <w:color w:val="231F20"/>
                <w:w w:val="120"/>
                <w:sz w:val="10"/>
              </w:rPr>
              <w:t>8.2.1.c</w:t>
            </w:r>
          </w:p>
        </w:tc>
        <w:tc>
          <w:tcPr>
            <w:tcW w:w="4979" w:type="dxa"/>
            <w:gridSpan w:val="2"/>
            <w:tcBorders>
              <w:top w:val="single" w:sz="6" w:space="0" w:color="231F20"/>
              <w:left w:val="single" w:sz="6" w:space="0" w:color="231F20"/>
              <w:bottom w:val="single" w:sz="6" w:space="0" w:color="231F20"/>
              <w:right w:val="single" w:sz="6" w:space="0" w:color="231F20"/>
            </w:tcBorders>
          </w:tcPr>
          <w:p w14:paraId="624930C0" w14:textId="77777777" w:rsidR="009948F1" w:rsidRDefault="009948F1">
            <w:pPr>
              <w:pStyle w:val="TableParagraph"/>
              <w:rPr>
                <w:sz w:val="9"/>
              </w:rPr>
            </w:pPr>
          </w:p>
          <w:p w14:paraId="2CE00DB8" w14:textId="5812A3BD" w:rsidR="009948F1" w:rsidRDefault="00BC0563">
            <w:pPr>
              <w:pStyle w:val="TableParagraph"/>
              <w:ind w:left="28"/>
              <w:rPr>
                <w:sz w:val="10"/>
              </w:rPr>
            </w:pPr>
            <w:r>
              <w:rPr>
                <w:color w:val="231F20"/>
                <w:w w:val="120"/>
                <w:sz w:val="10"/>
              </w:rPr>
              <w:t xml:space="preserve">Conduct </w:t>
            </w:r>
            <w:r w:rsidR="00A93E69">
              <w:rPr>
                <w:color w:val="231F20"/>
                <w:w w:val="120"/>
                <w:sz w:val="10"/>
              </w:rPr>
              <w:t>sensitization</w:t>
            </w:r>
            <w:r>
              <w:rPr>
                <w:color w:val="231F20"/>
                <w:w w:val="120"/>
                <w:sz w:val="10"/>
              </w:rPr>
              <w:t xml:space="preserve"> workshop for food handlers on food hygiene and other practices</w:t>
            </w:r>
          </w:p>
        </w:tc>
        <w:tc>
          <w:tcPr>
            <w:tcW w:w="1451" w:type="dxa"/>
            <w:tcBorders>
              <w:top w:val="single" w:sz="6" w:space="0" w:color="231F20"/>
              <w:left w:val="single" w:sz="6" w:space="0" w:color="231F20"/>
              <w:bottom w:val="single" w:sz="6" w:space="0" w:color="231F20"/>
              <w:right w:val="single" w:sz="6" w:space="0" w:color="231F20"/>
            </w:tcBorders>
          </w:tcPr>
          <w:p w14:paraId="2A7B08C3" w14:textId="77777777" w:rsidR="009948F1" w:rsidRDefault="009948F1">
            <w:pPr>
              <w:pStyle w:val="TableParagraph"/>
              <w:spacing w:before="4"/>
              <w:rPr>
                <w:sz w:val="9"/>
              </w:rPr>
            </w:pPr>
          </w:p>
          <w:p w14:paraId="4D0BEE2A" w14:textId="77777777" w:rsidR="009948F1" w:rsidRDefault="00BC0563">
            <w:pPr>
              <w:pStyle w:val="TableParagraph"/>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5DBCAC7B" w14:textId="4EB39199" w:rsidR="009948F1" w:rsidRDefault="00BC0563">
            <w:pPr>
              <w:pStyle w:val="TableParagraph"/>
              <w:spacing w:before="44" w:line="271" w:lineRule="auto"/>
              <w:ind w:left="31" w:right="297"/>
              <w:rPr>
                <w:sz w:val="10"/>
              </w:rPr>
            </w:pPr>
            <w:r>
              <w:rPr>
                <w:color w:val="231F20"/>
                <w:w w:val="120"/>
                <w:sz w:val="10"/>
              </w:rPr>
              <w:t xml:space="preserve">Conduct </w:t>
            </w:r>
            <w:r w:rsidR="00A93E69">
              <w:rPr>
                <w:color w:val="231F20"/>
                <w:w w:val="120"/>
                <w:sz w:val="10"/>
              </w:rPr>
              <w:t>sensitization</w:t>
            </w:r>
            <w:r>
              <w:rPr>
                <w:color w:val="231F20"/>
                <w:w w:val="120"/>
                <w:sz w:val="10"/>
              </w:rPr>
              <w:t xml:space="preserve"> workshop</w:t>
            </w:r>
          </w:p>
        </w:tc>
      </w:tr>
      <w:tr w:rsidR="009948F1" w14:paraId="70D5646D" w14:textId="77777777">
        <w:trPr>
          <w:trHeight w:val="258"/>
        </w:trPr>
        <w:tc>
          <w:tcPr>
            <w:tcW w:w="869" w:type="dxa"/>
            <w:gridSpan w:val="2"/>
            <w:vMerge/>
            <w:tcBorders>
              <w:top w:val="nil"/>
              <w:bottom w:val="nil"/>
              <w:right w:val="single" w:sz="6" w:space="0" w:color="231F20"/>
            </w:tcBorders>
          </w:tcPr>
          <w:p w14:paraId="51E2BF23"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02CB7A22" w14:textId="77777777" w:rsidR="009948F1" w:rsidRDefault="00BC0563">
            <w:pPr>
              <w:pStyle w:val="TableParagraph"/>
              <w:spacing w:before="73"/>
              <w:ind w:left="33" w:right="8"/>
              <w:jc w:val="center"/>
              <w:rPr>
                <w:sz w:val="10"/>
              </w:rPr>
            </w:pPr>
            <w:r>
              <w:rPr>
                <w:color w:val="231F20"/>
                <w:w w:val="120"/>
                <w:sz w:val="10"/>
              </w:rPr>
              <w:t>8.2.1.d</w:t>
            </w:r>
          </w:p>
        </w:tc>
        <w:tc>
          <w:tcPr>
            <w:tcW w:w="4979" w:type="dxa"/>
            <w:gridSpan w:val="2"/>
            <w:tcBorders>
              <w:top w:val="single" w:sz="6" w:space="0" w:color="231F20"/>
              <w:left w:val="single" w:sz="6" w:space="0" w:color="231F20"/>
              <w:bottom w:val="single" w:sz="6" w:space="0" w:color="231F20"/>
              <w:right w:val="single" w:sz="6" w:space="0" w:color="231F20"/>
            </w:tcBorders>
          </w:tcPr>
          <w:p w14:paraId="53192AB7" w14:textId="1D9B5FE5" w:rsidR="009948F1" w:rsidRDefault="00BC0563">
            <w:pPr>
              <w:pStyle w:val="TableParagraph"/>
              <w:spacing w:before="5"/>
              <w:ind w:left="28"/>
              <w:rPr>
                <w:sz w:val="10"/>
              </w:rPr>
            </w:pPr>
            <w:r>
              <w:rPr>
                <w:color w:val="231F20"/>
                <w:w w:val="120"/>
                <w:sz w:val="10"/>
              </w:rPr>
              <w:t xml:space="preserve">Conduct </w:t>
            </w:r>
            <w:r w:rsidR="00A93E69">
              <w:rPr>
                <w:color w:val="231F20"/>
                <w:w w:val="120"/>
                <w:sz w:val="10"/>
              </w:rPr>
              <w:t>sensitization</w:t>
            </w:r>
            <w:r>
              <w:rPr>
                <w:color w:val="231F20"/>
                <w:w w:val="120"/>
                <w:sz w:val="10"/>
              </w:rPr>
              <w:t xml:space="preserve"> training for butchers and meat handlers from 23 LGAs on practice of</w:t>
            </w:r>
          </w:p>
          <w:p w14:paraId="07888973" w14:textId="77777777" w:rsidR="009948F1" w:rsidRDefault="00BC0563">
            <w:pPr>
              <w:pStyle w:val="TableParagraph"/>
              <w:spacing w:before="14" w:line="104" w:lineRule="exact"/>
              <w:ind w:left="28"/>
              <w:rPr>
                <w:sz w:val="10"/>
              </w:rPr>
            </w:pPr>
            <w:r>
              <w:rPr>
                <w:color w:val="231F20"/>
                <w:w w:val="120"/>
                <w:sz w:val="10"/>
              </w:rPr>
              <w:t>meat handling</w:t>
            </w:r>
          </w:p>
        </w:tc>
        <w:tc>
          <w:tcPr>
            <w:tcW w:w="1451" w:type="dxa"/>
            <w:tcBorders>
              <w:top w:val="single" w:sz="6" w:space="0" w:color="231F20"/>
              <w:left w:val="single" w:sz="6" w:space="0" w:color="231F20"/>
              <w:bottom w:val="single" w:sz="6" w:space="0" w:color="231F20"/>
              <w:right w:val="single" w:sz="6" w:space="0" w:color="231F20"/>
            </w:tcBorders>
          </w:tcPr>
          <w:p w14:paraId="1C0DB887" w14:textId="77777777" w:rsidR="009948F1" w:rsidRDefault="00BC0563">
            <w:pPr>
              <w:pStyle w:val="TableParagraph"/>
              <w:spacing w:before="73"/>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556CCBEA" w14:textId="53511DAA" w:rsidR="009948F1" w:rsidRDefault="00BC0563">
            <w:pPr>
              <w:pStyle w:val="TableParagraph"/>
              <w:spacing w:before="9"/>
              <w:ind w:left="31"/>
              <w:rPr>
                <w:sz w:val="10"/>
              </w:rPr>
            </w:pPr>
            <w:r>
              <w:rPr>
                <w:color w:val="231F20"/>
                <w:w w:val="120"/>
                <w:sz w:val="10"/>
              </w:rPr>
              <w:t xml:space="preserve">Conduct </w:t>
            </w:r>
            <w:r w:rsidR="00A93E69">
              <w:rPr>
                <w:color w:val="231F20"/>
                <w:w w:val="120"/>
                <w:sz w:val="10"/>
              </w:rPr>
              <w:t>sensitization</w:t>
            </w:r>
          </w:p>
          <w:p w14:paraId="49D7A4AD" w14:textId="77777777" w:rsidR="009948F1" w:rsidRDefault="00BC0563">
            <w:pPr>
              <w:pStyle w:val="TableParagraph"/>
              <w:spacing w:before="14" w:line="100" w:lineRule="exact"/>
              <w:ind w:left="31"/>
              <w:rPr>
                <w:sz w:val="10"/>
              </w:rPr>
            </w:pPr>
            <w:r>
              <w:rPr>
                <w:color w:val="231F20"/>
                <w:w w:val="120"/>
                <w:sz w:val="10"/>
              </w:rPr>
              <w:t>training</w:t>
            </w:r>
          </w:p>
        </w:tc>
      </w:tr>
      <w:tr w:rsidR="009948F1" w14:paraId="4351F26B" w14:textId="77777777">
        <w:trPr>
          <w:trHeight w:val="315"/>
        </w:trPr>
        <w:tc>
          <w:tcPr>
            <w:tcW w:w="869" w:type="dxa"/>
            <w:gridSpan w:val="2"/>
            <w:vMerge/>
            <w:tcBorders>
              <w:top w:val="nil"/>
              <w:bottom w:val="nil"/>
              <w:right w:val="single" w:sz="6" w:space="0" w:color="231F20"/>
            </w:tcBorders>
          </w:tcPr>
          <w:p w14:paraId="457A92CC"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0A5E76DA" w14:textId="77777777" w:rsidR="009948F1" w:rsidRDefault="009948F1">
            <w:pPr>
              <w:pStyle w:val="TableParagraph"/>
              <w:spacing w:before="9"/>
              <w:rPr>
                <w:sz w:val="8"/>
              </w:rPr>
            </w:pPr>
          </w:p>
          <w:p w14:paraId="65023B65" w14:textId="77777777" w:rsidR="009948F1" w:rsidRDefault="00BC0563">
            <w:pPr>
              <w:pStyle w:val="TableParagraph"/>
              <w:spacing w:before="1"/>
              <w:ind w:left="33" w:right="8"/>
              <w:jc w:val="center"/>
              <w:rPr>
                <w:sz w:val="10"/>
              </w:rPr>
            </w:pPr>
            <w:r>
              <w:rPr>
                <w:color w:val="231F20"/>
                <w:w w:val="120"/>
                <w:sz w:val="10"/>
              </w:rPr>
              <w:t>8.2.1.e</w:t>
            </w:r>
          </w:p>
        </w:tc>
        <w:tc>
          <w:tcPr>
            <w:tcW w:w="4979" w:type="dxa"/>
            <w:gridSpan w:val="2"/>
            <w:tcBorders>
              <w:top w:val="single" w:sz="6" w:space="0" w:color="231F20"/>
              <w:left w:val="single" w:sz="6" w:space="0" w:color="231F20"/>
              <w:bottom w:val="single" w:sz="6" w:space="0" w:color="231F20"/>
              <w:right w:val="single" w:sz="6" w:space="0" w:color="231F20"/>
            </w:tcBorders>
          </w:tcPr>
          <w:p w14:paraId="21AD865B" w14:textId="77777777" w:rsidR="009948F1" w:rsidRDefault="00BC0563">
            <w:pPr>
              <w:pStyle w:val="TableParagraph"/>
              <w:spacing w:before="33" w:line="271" w:lineRule="auto"/>
              <w:ind w:left="28" w:right="60"/>
              <w:rPr>
                <w:sz w:val="10"/>
              </w:rPr>
            </w:pPr>
            <w:r>
              <w:rPr>
                <w:color w:val="231F20"/>
                <w:w w:val="120"/>
                <w:sz w:val="10"/>
              </w:rPr>
              <w:t>Conduct training workshop for water and sanitation (WATSAN) officers and zonal EHOs from 23 LGAs for promotion of potable water supply in the state.</w:t>
            </w:r>
          </w:p>
        </w:tc>
        <w:tc>
          <w:tcPr>
            <w:tcW w:w="1451" w:type="dxa"/>
            <w:tcBorders>
              <w:top w:val="single" w:sz="6" w:space="0" w:color="231F20"/>
              <w:left w:val="single" w:sz="6" w:space="0" w:color="231F20"/>
              <w:bottom w:val="single" w:sz="6" w:space="0" w:color="231F20"/>
              <w:right w:val="single" w:sz="6" w:space="0" w:color="231F20"/>
            </w:tcBorders>
          </w:tcPr>
          <w:p w14:paraId="190823C8" w14:textId="77777777" w:rsidR="009948F1" w:rsidRDefault="009948F1">
            <w:pPr>
              <w:pStyle w:val="TableParagraph"/>
              <w:spacing w:before="9"/>
              <w:rPr>
                <w:sz w:val="8"/>
              </w:rPr>
            </w:pPr>
          </w:p>
          <w:p w14:paraId="68517783" w14:textId="77777777" w:rsidR="009948F1" w:rsidRDefault="00BC0563">
            <w:pPr>
              <w:pStyle w:val="TableParagraph"/>
              <w:spacing w:before="1"/>
              <w:ind w:left="30"/>
              <w:rPr>
                <w:sz w:val="10"/>
              </w:rPr>
            </w:pPr>
            <w:r>
              <w:rPr>
                <w:color w:val="231F20"/>
                <w:w w:val="120"/>
                <w:sz w:val="10"/>
              </w:rPr>
              <w:t>Lack of funds</w:t>
            </w:r>
          </w:p>
        </w:tc>
        <w:tc>
          <w:tcPr>
            <w:tcW w:w="1531" w:type="dxa"/>
            <w:tcBorders>
              <w:top w:val="single" w:sz="6" w:space="0" w:color="231F20"/>
              <w:left w:val="single" w:sz="6" w:space="0" w:color="231F20"/>
              <w:bottom w:val="single" w:sz="6" w:space="0" w:color="231F20"/>
              <w:right w:val="single" w:sz="6" w:space="0" w:color="231F20"/>
            </w:tcBorders>
          </w:tcPr>
          <w:p w14:paraId="1862BDD9" w14:textId="77777777" w:rsidR="009948F1" w:rsidRDefault="009948F1">
            <w:pPr>
              <w:pStyle w:val="TableParagraph"/>
              <w:spacing w:before="9"/>
              <w:rPr>
                <w:sz w:val="8"/>
              </w:rPr>
            </w:pPr>
          </w:p>
          <w:p w14:paraId="1F19FED5" w14:textId="77777777" w:rsidR="009948F1" w:rsidRDefault="00BC0563">
            <w:pPr>
              <w:pStyle w:val="TableParagraph"/>
              <w:spacing w:before="1"/>
              <w:ind w:left="31"/>
              <w:rPr>
                <w:sz w:val="10"/>
              </w:rPr>
            </w:pPr>
            <w:r>
              <w:rPr>
                <w:color w:val="231F20"/>
                <w:w w:val="120"/>
                <w:sz w:val="10"/>
              </w:rPr>
              <w:t>Conduct training workshop</w:t>
            </w:r>
          </w:p>
        </w:tc>
      </w:tr>
      <w:tr w:rsidR="009948F1" w14:paraId="7CF3C3A2" w14:textId="77777777">
        <w:trPr>
          <w:trHeight w:val="831"/>
        </w:trPr>
        <w:tc>
          <w:tcPr>
            <w:tcW w:w="407" w:type="dxa"/>
            <w:tcBorders>
              <w:top w:val="nil"/>
              <w:bottom w:val="single" w:sz="4" w:space="0" w:color="231F20"/>
              <w:right w:val="single" w:sz="6" w:space="0" w:color="231F20"/>
            </w:tcBorders>
          </w:tcPr>
          <w:p w14:paraId="39CDBFD3"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2544CA09" w14:textId="77777777" w:rsidR="009948F1" w:rsidRDefault="009948F1">
            <w:pPr>
              <w:pStyle w:val="TableParagraph"/>
              <w:rPr>
                <w:sz w:val="10"/>
              </w:rPr>
            </w:pPr>
          </w:p>
          <w:p w14:paraId="5B078094" w14:textId="77777777" w:rsidR="009948F1" w:rsidRDefault="009948F1">
            <w:pPr>
              <w:pStyle w:val="TableParagraph"/>
              <w:rPr>
                <w:sz w:val="10"/>
              </w:rPr>
            </w:pPr>
          </w:p>
          <w:p w14:paraId="49DC8847" w14:textId="77777777" w:rsidR="009948F1" w:rsidRDefault="009948F1">
            <w:pPr>
              <w:pStyle w:val="TableParagraph"/>
              <w:spacing w:before="3"/>
              <w:rPr>
                <w:sz w:val="11"/>
              </w:rPr>
            </w:pPr>
          </w:p>
          <w:p w14:paraId="2C64F5D1" w14:textId="77777777" w:rsidR="009948F1" w:rsidRDefault="00BC0563">
            <w:pPr>
              <w:pStyle w:val="TableParagraph"/>
              <w:ind w:left="60"/>
              <w:rPr>
                <w:sz w:val="10"/>
              </w:rPr>
            </w:pPr>
            <w:r>
              <w:rPr>
                <w:color w:val="231F20"/>
                <w:w w:val="120"/>
                <w:sz w:val="10"/>
              </w:rPr>
              <w:t>8.2.2</w:t>
            </w:r>
          </w:p>
        </w:tc>
        <w:tc>
          <w:tcPr>
            <w:tcW w:w="3088" w:type="dxa"/>
            <w:gridSpan w:val="2"/>
            <w:tcBorders>
              <w:top w:val="single" w:sz="6" w:space="0" w:color="231F20"/>
              <w:left w:val="single" w:sz="6" w:space="0" w:color="231F20"/>
              <w:bottom w:val="single" w:sz="6" w:space="0" w:color="231F20"/>
              <w:right w:val="single" w:sz="6" w:space="0" w:color="231F20"/>
            </w:tcBorders>
            <w:shd w:val="clear" w:color="auto" w:fill="CCE7D3"/>
          </w:tcPr>
          <w:p w14:paraId="38372D97" w14:textId="77777777" w:rsidR="009948F1" w:rsidRDefault="009948F1">
            <w:pPr>
              <w:pStyle w:val="TableParagraph"/>
              <w:rPr>
                <w:sz w:val="10"/>
              </w:rPr>
            </w:pPr>
          </w:p>
          <w:p w14:paraId="37DCCB74" w14:textId="77777777" w:rsidR="009948F1" w:rsidRDefault="009948F1">
            <w:pPr>
              <w:pStyle w:val="TableParagraph"/>
              <w:rPr>
                <w:sz w:val="10"/>
              </w:rPr>
            </w:pPr>
          </w:p>
          <w:p w14:paraId="2C75F390" w14:textId="5A792F71" w:rsidR="009948F1" w:rsidRDefault="00BC0563">
            <w:pPr>
              <w:pStyle w:val="TableParagraph"/>
              <w:spacing w:before="61" w:line="271" w:lineRule="auto"/>
              <w:ind w:left="27" w:firstLine="67"/>
              <w:rPr>
                <w:sz w:val="10"/>
              </w:rPr>
            </w:pPr>
            <w:r>
              <w:rPr>
                <w:color w:val="231F20"/>
                <w:w w:val="120"/>
                <w:sz w:val="10"/>
              </w:rPr>
              <w:t xml:space="preserve">Strengthen the legal, and </w:t>
            </w:r>
            <w:r w:rsidR="00A93E69">
              <w:rPr>
                <w:color w:val="231F20"/>
                <w:w w:val="120"/>
                <w:sz w:val="10"/>
              </w:rPr>
              <w:t>regulatory</w:t>
            </w:r>
            <w:r>
              <w:rPr>
                <w:color w:val="231F20"/>
                <w:w w:val="120"/>
                <w:sz w:val="10"/>
              </w:rPr>
              <w:t xml:space="preserve"> framework for </w:t>
            </w:r>
            <w:r w:rsidR="00A93E69">
              <w:rPr>
                <w:color w:val="231F20"/>
                <w:w w:val="120"/>
                <w:sz w:val="10"/>
              </w:rPr>
              <w:t>food safety</w:t>
            </w:r>
            <w:r>
              <w:rPr>
                <w:color w:val="231F20"/>
                <w:w w:val="120"/>
                <w:sz w:val="10"/>
              </w:rPr>
              <w:t xml:space="preserve"> in line with international guidelines.</w:t>
            </w:r>
          </w:p>
        </w:tc>
        <w:tc>
          <w:tcPr>
            <w:tcW w:w="2425" w:type="dxa"/>
            <w:tcBorders>
              <w:top w:val="single" w:sz="6" w:space="0" w:color="231F20"/>
              <w:left w:val="single" w:sz="6" w:space="0" w:color="231F20"/>
              <w:bottom w:val="single" w:sz="6" w:space="0" w:color="231F20"/>
              <w:right w:val="single" w:sz="6" w:space="0" w:color="231F20"/>
            </w:tcBorders>
            <w:shd w:val="clear" w:color="auto" w:fill="CCE7D3"/>
          </w:tcPr>
          <w:p w14:paraId="440DADA9" w14:textId="744771EC" w:rsidR="009948F1" w:rsidRDefault="00BC0563">
            <w:pPr>
              <w:pStyle w:val="TableParagraph"/>
              <w:numPr>
                <w:ilvl w:val="0"/>
                <w:numId w:val="91"/>
              </w:numPr>
              <w:tabs>
                <w:tab w:val="left" w:pos="106"/>
              </w:tabs>
              <w:spacing w:before="2" w:line="271" w:lineRule="auto"/>
              <w:ind w:right="42" w:firstLine="0"/>
              <w:rPr>
                <w:sz w:val="10"/>
              </w:rPr>
            </w:pPr>
            <w:r>
              <w:rPr>
                <w:color w:val="231F20"/>
                <w:w w:val="120"/>
                <w:sz w:val="10"/>
              </w:rPr>
              <w:t xml:space="preserve">Existing National policies on Food/Nutrition; Food Safety </w:t>
            </w:r>
            <w:r w:rsidR="00A93E69">
              <w:rPr>
                <w:color w:val="231F20"/>
                <w:w w:val="120"/>
                <w:sz w:val="10"/>
              </w:rPr>
              <w:t>etc.</w:t>
            </w:r>
            <w:r>
              <w:rPr>
                <w:color w:val="231F20"/>
                <w:w w:val="120"/>
                <w:sz w:val="10"/>
              </w:rPr>
              <w:t>, reviewed &amp; adapted in line with national guidelines.</w:t>
            </w:r>
          </w:p>
          <w:p w14:paraId="5BCBF7C5" w14:textId="77777777" w:rsidR="009948F1" w:rsidRDefault="00BC0563">
            <w:pPr>
              <w:pStyle w:val="TableParagraph"/>
              <w:numPr>
                <w:ilvl w:val="0"/>
                <w:numId w:val="91"/>
              </w:numPr>
              <w:tabs>
                <w:tab w:val="left" w:pos="73"/>
              </w:tabs>
              <w:spacing w:line="271" w:lineRule="auto"/>
              <w:ind w:right="221" w:firstLine="0"/>
              <w:rPr>
                <w:sz w:val="10"/>
              </w:rPr>
            </w:pPr>
            <w:r>
              <w:rPr>
                <w:color w:val="231F20"/>
                <w:w w:val="120"/>
                <w:sz w:val="10"/>
              </w:rPr>
              <w:t>Policy document on Food /Nutrition and food Safety validated, printed &amp; disseminated</w:t>
            </w:r>
          </w:p>
        </w:tc>
        <w:tc>
          <w:tcPr>
            <w:tcW w:w="1451" w:type="dxa"/>
            <w:tcBorders>
              <w:top w:val="single" w:sz="6" w:space="0" w:color="231F20"/>
              <w:left w:val="single" w:sz="6" w:space="0" w:color="231F20"/>
              <w:bottom w:val="single" w:sz="6" w:space="0" w:color="231F20"/>
              <w:right w:val="single" w:sz="6" w:space="0" w:color="231F20"/>
            </w:tcBorders>
            <w:shd w:val="clear" w:color="auto" w:fill="CCE7D3"/>
          </w:tcPr>
          <w:p w14:paraId="3AED366E" w14:textId="77777777" w:rsidR="009948F1" w:rsidRDefault="009948F1">
            <w:pPr>
              <w:pStyle w:val="TableParagraph"/>
              <w:rPr>
                <w:rFonts w:ascii="Times New Roman"/>
                <w:sz w:val="12"/>
              </w:rPr>
            </w:pPr>
          </w:p>
        </w:tc>
        <w:tc>
          <w:tcPr>
            <w:tcW w:w="1531" w:type="dxa"/>
            <w:tcBorders>
              <w:top w:val="single" w:sz="6" w:space="0" w:color="231F20"/>
              <w:left w:val="single" w:sz="6" w:space="0" w:color="231F20"/>
              <w:bottom w:val="single" w:sz="6" w:space="0" w:color="231F20"/>
              <w:right w:val="single" w:sz="6" w:space="0" w:color="231F20"/>
            </w:tcBorders>
            <w:shd w:val="clear" w:color="auto" w:fill="CCE7D3"/>
          </w:tcPr>
          <w:p w14:paraId="394DE916" w14:textId="77777777" w:rsidR="009948F1" w:rsidRDefault="009948F1">
            <w:pPr>
              <w:pStyle w:val="TableParagraph"/>
              <w:rPr>
                <w:rFonts w:ascii="Times New Roman"/>
                <w:sz w:val="12"/>
              </w:rPr>
            </w:pPr>
          </w:p>
        </w:tc>
      </w:tr>
    </w:tbl>
    <w:p w14:paraId="2EA52B78" w14:textId="77777777" w:rsidR="009948F1" w:rsidRDefault="009948F1">
      <w:pPr>
        <w:rPr>
          <w:rFonts w:ascii="Times New Roman"/>
          <w:sz w:val="12"/>
        </w:rPr>
        <w:sectPr w:rsidR="009948F1">
          <w:pgSz w:w="11910" w:h="16840"/>
          <w:pgMar w:top="1280" w:right="1080" w:bottom="1340" w:left="1120" w:header="0" w:footer="1155" w:gutter="0"/>
          <w:cols w:space="720"/>
        </w:sectPr>
      </w:pPr>
    </w:p>
    <w:tbl>
      <w:tblPr>
        <w:tblW w:w="0" w:type="auto"/>
        <w:tblInd w:w="19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5"/>
        <w:gridCol w:w="460"/>
        <w:gridCol w:w="532"/>
        <w:gridCol w:w="2541"/>
        <w:gridCol w:w="2412"/>
        <w:gridCol w:w="1444"/>
        <w:gridCol w:w="1523"/>
      </w:tblGrid>
      <w:tr w:rsidR="009948F1" w14:paraId="58E1603F" w14:textId="77777777">
        <w:trPr>
          <w:trHeight w:val="294"/>
        </w:trPr>
        <w:tc>
          <w:tcPr>
            <w:tcW w:w="865" w:type="dxa"/>
            <w:gridSpan w:val="2"/>
            <w:vMerge w:val="restart"/>
            <w:tcBorders>
              <w:bottom w:val="nil"/>
              <w:right w:val="single" w:sz="6" w:space="0" w:color="231F20"/>
            </w:tcBorders>
          </w:tcPr>
          <w:p w14:paraId="118159C3" w14:textId="77777777" w:rsidR="009948F1" w:rsidRDefault="009948F1">
            <w:pPr>
              <w:pStyle w:val="TableParagraph"/>
              <w:rPr>
                <w:rFonts w:ascii="Times New Roman"/>
                <w:sz w:val="12"/>
              </w:rPr>
            </w:pPr>
          </w:p>
        </w:tc>
        <w:tc>
          <w:tcPr>
            <w:tcW w:w="532" w:type="dxa"/>
            <w:tcBorders>
              <w:left w:val="single" w:sz="6" w:space="0" w:color="231F20"/>
              <w:bottom w:val="single" w:sz="6" w:space="0" w:color="231F20"/>
              <w:right w:val="single" w:sz="6" w:space="0" w:color="231F20"/>
            </w:tcBorders>
          </w:tcPr>
          <w:p w14:paraId="2A5D460A" w14:textId="77777777" w:rsidR="009948F1" w:rsidRDefault="00BC0563">
            <w:pPr>
              <w:pStyle w:val="TableParagraph"/>
              <w:spacing w:before="78"/>
              <w:ind w:left="66" w:right="43"/>
              <w:jc w:val="center"/>
              <w:rPr>
                <w:sz w:val="12"/>
              </w:rPr>
            </w:pPr>
            <w:bookmarkStart w:id="181" w:name="Page_155"/>
            <w:bookmarkEnd w:id="181"/>
            <w:r>
              <w:rPr>
                <w:color w:val="231F20"/>
                <w:sz w:val="12"/>
              </w:rPr>
              <w:t>8.2.2.a</w:t>
            </w:r>
          </w:p>
        </w:tc>
        <w:tc>
          <w:tcPr>
            <w:tcW w:w="4953" w:type="dxa"/>
            <w:gridSpan w:val="2"/>
            <w:tcBorders>
              <w:left w:val="single" w:sz="6" w:space="0" w:color="231F20"/>
              <w:bottom w:val="single" w:sz="6" w:space="0" w:color="231F20"/>
              <w:right w:val="single" w:sz="6" w:space="0" w:color="231F20"/>
            </w:tcBorders>
          </w:tcPr>
          <w:p w14:paraId="5754A9F3" w14:textId="77777777" w:rsidR="009948F1" w:rsidRDefault="00BC0563">
            <w:pPr>
              <w:pStyle w:val="TableParagraph"/>
              <w:ind w:left="26"/>
              <w:rPr>
                <w:sz w:val="12"/>
              </w:rPr>
            </w:pPr>
            <w:r>
              <w:rPr>
                <w:color w:val="231F20"/>
                <w:sz w:val="12"/>
              </w:rPr>
              <w:t>Engage a Consultant to review and adapt the national policy on Food and Nutrition and any</w:t>
            </w:r>
          </w:p>
          <w:p w14:paraId="6608B195" w14:textId="77777777" w:rsidR="009948F1" w:rsidRDefault="00BC0563">
            <w:pPr>
              <w:pStyle w:val="TableParagraph"/>
              <w:spacing w:before="3" w:line="133" w:lineRule="exact"/>
              <w:ind w:left="26"/>
              <w:rPr>
                <w:sz w:val="12"/>
              </w:rPr>
            </w:pPr>
            <w:r>
              <w:rPr>
                <w:color w:val="231F20"/>
                <w:sz w:val="12"/>
              </w:rPr>
              <w:t>other policy on Food Safety.</w:t>
            </w:r>
          </w:p>
        </w:tc>
        <w:tc>
          <w:tcPr>
            <w:tcW w:w="1444" w:type="dxa"/>
            <w:tcBorders>
              <w:left w:val="single" w:sz="6" w:space="0" w:color="231F20"/>
              <w:bottom w:val="single" w:sz="6" w:space="0" w:color="231F20"/>
              <w:right w:val="single" w:sz="6" w:space="0" w:color="231F20"/>
            </w:tcBorders>
          </w:tcPr>
          <w:p w14:paraId="769186F4" w14:textId="77777777" w:rsidR="009948F1" w:rsidRDefault="00BC0563">
            <w:pPr>
              <w:pStyle w:val="TableParagraph"/>
              <w:spacing w:before="78"/>
              <w:ind w:left="27"/>
              <w:rPr>
                <w:sz w:val="12"/>
              </w:rPr>
            </w:pPr>
            <w:r>
              <w:rPr>
                <w:color w:val="231F20"/>
                <w:sz w:val="12"/>
              </w:rPr>
              <w:t>Lack of funds</w:t>
            </w:r>
          </w:p>
        </w:tc>
        <w:tc>
          <w:tcPr>
            <w:tcW w:w="1523" w:type="dxa"/>
            <w:tcBorders>
              <w:left w:val="single" w:sz="6" w:space="0" w:color="231F20"/>
              <w:bottom w:val="single" w:sz="6" w:space="0" w:color="231F20"/>
              <w:right w:val="single" w:sz="6" w:space="0" w:color="231F20"/>
            </w:tcBorders>
          </w:tcPr>
          <w:p w14:paraId="47F33913" w14:textId="77777777" w:rsidR="009948F1" w:rsidRDefault="00BC0563">
            <w:pPr>
              <w:pStyle w:val="TableParagraph"/>
              <w:spacing w:before="78"/>
              <w:ind w:left="27"/>
              <w:rPr>
                <w:sz w:val="12"/>
              </w:rPr>
            </w:pPr>
            <w:r>
              <w:rPr>
                <w:color w:val="231F20"/>
                <w:sz w:val="12"/>
              </w:rPr>
              <w:t>Engage a Consultant</w:t>
            </w:r>
          </w:p>
        </w:tc>
      </w:tr>
      <w:tr w:rsidR="009948F1" w14:paraId="37BB7A81" w14:textId="77777777">
        <w:trPr>
          <w:trHeight w:val="286"/>
        </w:trPr>
        <w:tc>
          <w:tcPr>
            <w:tcW w:w="865" w:type="dxa"/>
            <w:gridSpan w:val="2"/>
            <w:vMerge/>
            <w:tcBorders>
              <w:top w:val="nil"/>
              <w:bottom w:val="nil"/>
              <w:right w:val="single" w:sz="6" w:space="0" w:color="231F20"/>
            </w:tcBorders>
          </w:tcPr>
          <w:p w14:paraId="593642A0"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11A6E9FE" w14:textId="77777777" w:rsidR="009948F1" w:rsidRDefault="00BC0563">
            <w:pPr>
              <w:pStyle w:val="TableParagraph"/>
              <w:spacing w:before="77"/>
              <w:ind w:left="66" w:right="43"/>
              <w:jc w:val="center"/>
              <w:rPr>
                <w:sz w:val="12"/>
              </w:rPr>
            </w:pPr>
            <w:r>
              <w:rPr>
                <w:color w:val="231F20"/>
                <w:sz w:val="12"/>
              </w:rPr>
              <w:t>8.2.2.b</w:t>
            </w:r>
          </w:p>
        </w:tc>
        <w:tc>
          <w:tcPr>
            <w:tcW w:w="4953" w:type="dxa"/>
            <w:gridSpan w:val="2"/>
            <w:tcBorders>
              <w:top w:val="single" w:sz="6" w:space="0" w:color="231F20"/>
              <w:left w:val="single" w:sz="6" w:space="0" w:color="231F20"/>
              <w:bottom w:val="single" w:sz="6" w:space="0" w:color="231F20"/>
              <w:right w:val="single" w:sz="6" w:space="0" w:color="231F20"/>
            </w:tcBorders>
          </w:tcPr>
          <w:p w14:paraId="4B6B5E09" w14:textId="1C7EAF40" w:rsidR="009948F1" w:rsidRDefault="00BC0563">
            <w:pPr>
              <w:pStyle w:val="TableParagraph"/>
              <w:spacing w:before="1" w:line="140" w:lineRule="atLeast"/>
              <w:ind w:left="26" w:right="82"/>
              <w:rPr>
                <w:sz w:val="12"/>
              </w:rPr>
            </w:pPr>
            <w:r>
              <w:rPr>
                <w:color w:val="231F20"/>
                <w:sz w:val="12"/>
              </w:rPr>
              <w:t xml:space="preserve">Review /Adaptation of the existing National policies on Food/Nutrition; Food Safety </w:t>
            </w:r>
            <w:r w:rsidR="00A93E69">
              <w:rPr>
                <w:color w:val="231F20"/>
                <w:sz w:val="12"/>
              </w:rPr>
              <w:t>etc.</w:t>
            </w:r>
            <w:r>
              <w:rPr>
                <w:color w:val="231F20"/>
                <w:sz w:val="12"/>
              </w:rPr>
              <w:t>, in line with national guidelines.</w:t>
            </w:r>
          </w:p>
        </w:tc>
        <w:tc>
          <w:tcPr>
            <w:tcW w:w="1444" w:type="dxa"/>
            <w:tcBorders>
              <w:top w:val="single" w:sz="6" w:space="0" w:color="231F20"/>
              <w:left w:val="single" w:sz="6" w:space="0" w:color="231F20"/>
              <w:bottom w:val="single" w:sz="6" w:space="0" w:color="231F20"/>
              <w:right w:val="single" w:sz="6" w:space="0" w:color="231F20"/>
            </w:tcBorders>
          </w:tcPr>
          <w:p w14:paraId="710351EA" w14:textId="77777777" w:rsidR="009948F1" w:rsidRDefault="00BC0563">
            <w:pPr>
              <w:pStyle w:val="TableParagraph"/>
              <w:spacing w:before="77"/>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76A6543" w14:textId="77777777" w:rsidR="009948F1" w:rsidRDefault="00BC0563">
            <w:pPr>
              <w:pStyle w:val="TableParagraph"/>
              <w:spacing w:before="77"/>
              <w:ind w:left="27"/>
              <w:rPr>
                <w:sz w:val="12"/>
              </w:rPr>
            </w:pPr>
            <w:r>
              <w:rPr>
                <w:color w:val="231F20"/>
                <w:sz w:val="12"/>
              </w:rPr>
              <w:t>Review /Adaptation</w:t>
            </w:r>
          </w:p>
        </w:tc>
      </w:tr>
      <w:tr w:rsidR="009948F1" w14:paraId="0664D124" w14:textId="77777777">
        <w:trPr>
          <w:trHeight w:val="302"/>
        </w:trPr>
        <w:tc>
          <w:tcPr>
            <w:tcW w:w="865" w:type="dxa"/>
            <w:gridSpan w:val="2"/>
            <w:vMerge/>
            <w:tcBorders>
              <w:top w:val="nil"/>
              <w:bottom w:val="nil"/>
              <w:right w:val="single" w:sz="6" w:space="0" w:color="231F20"/>
            </w:tcBorders>
          </w:tcPr>
          <w:p w14:paraId="2E57856D"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6EA662EA" w14:textId="77777777" w:rsidR="009948F1" w:rsidRDefault="00BC0563">
            <w:pPr>
              <w:pStyle w:val="TableParagraph"/>
              <w:spacing w:before="84"/>
              <w:ind w:left="66" w:right="43"/>
              <w:jc w:val="center"/>
              <w:rPr>
                <w:sz w:val="12"/>
              </w:rPr>
            </w:pPr>
            <w:r>
              <w:rPr>
                <w:color w:val="231F20"/>
                <w:sz w:val="12"/>
              </w:rPr>
              <w:t>8.2.2.c</w:t>
            </w:r>
          </w:p>
        </w:tc>
        <w:tc>
          <w:tcPr>
            <w:tcW w:w="4953" w:type="dxa"/>
            <w:gridSpan w:val="2"/>
            <w:tcBorders>
              <w:top w:val="single" w:sz="6" w:space="0" w:color="231F20"/>
              <w:left w:val="single" w:sz="6" w:space="0" w:color="231F20"/>
              <w:bottom w:val="single" w:sz="6" w:space="0" w:color="231F20"/>
              <w:right w:val="single" w:sz="6" w:space="0" w:color="231F20"/>
            </w:tcBorders>
          </w:tcPr>
          <w:p w14:paraId="002D8D51" w14:textId="77777777" w:rsidR="009948F1" w:rsidRDefault="00BC0563">
            <w:pPr>
              <w:pStyle w:val="TableParagraph"/>
              <w:spacing w:before="79"/>
              <w:ind w:left="26"/>
              <w:rPr>
                <w:sz w:val="12"/>
              </w:rPr>
            </w:pPr>
            <w:proofErr w:type="spellStart"/>
            <w:r>
              <w:rPr>
                <w:color w:val="231F20"/>
                <w:sz w:val="12"/>
              </w:rPr>
              <w:t>Organise</w:t>
            </w:r>
            <w:proofErr w:type="spellEnd"/>
            <w:r>
              <w:rPr>
                <w:color w:val="231F20"/>
                <w:sz w:val="12"/>
              </w:rPr>
              <w:t xml:space="preserve"> meeting with State Assembly on the adopted policies on Food safety.</w:t>
            </w:r>
          </w:p>
        </w:tc>
        <w:tc>
          <w:tcPr>
            <w:tcW w:w="1444" w:type="dxa"/>
            <w:tcBorders>
              <w:top w:val="single" w:sz="6" w:space="0" w:color="231F20"/>
              <w:left w:val="single" w:sz="6" w:space="0" w:color="231F20"/>
              <w:bottom w:val="single" w:sz="6" w:space="0" w:color="231F20"/>
              <w:right w:val="single" w:sz="6" w:space="0" w:color="231F20"/>
            </w:tcBorders>
          </w:tcPr>
          <w:p w14:paraId="6E931BE3"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CA1CDE7" w14:textId="756FD1DC" w:rsidR="009948F1" w:rsidRDefault="00683F0D">
            <w:pPr>
              <w:pStyle w:val="TableParagraph"/>
              <w:spacing w:before="84"/>
              <w:ind w:left="27"/>
              <w:rPr>
                <w:sz w:val="12"/>
              </w:rPr>
            </w:pPr>
            <w:r>
              <w:rPr>
                <w:color w:val="231F20"/>
                <w:sz w:val="12"/>
              </w:rPr>
              <w:t>Organize</w:t>
            </w:r>
            <w:r w:rsidR="00BC0563">
              <w:rPr>
                <w:color w:val="231F20"/>
                <w:sz w:val="12"/>
              </w:rPr>
              <w:t xml:space="preserve"> meeting</w:t>
            </w:r>
          </w:p>
        </w:tc>
      </w:tr>
      <w:tr w:rsidR="009948F1" w14:paraId="17E16A03" w14:textId="77777777">
        <w:trPr>
          <w:trHeight w:val="309"/>
        </w:trPr>
        <w:tc>
          <w:tcPr>
            <w:tcW w:w="865" w:type="dxa"/>
            <w:gridSpan w:val="2"/>
            <w:vMerge/>
            <w:tcBorders>
              <w:top w:val="nil"/>
              <w:bottom w:val="nil"/>
              <w:right w:val="single" w:sz="6" w:space="0" w:color="231F20"/>
            </w:tcBorders>
          </w:tcPr>
          <w:p w14:paraId="64B80AB9"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03804157" w14:textId="77777777" w:rsidR="009948F1" w:rsidRDefault="00BC0563">
            <w:pPr>
              <w:pStyle w:val="TableParagraph"/>
              <w:spacing w:before="88"/>
              <w:ind w:left="66" w:right="43"/>
              <w:jc w:val="center"/>
              <w:rPr>
                <w:sz w:val="12"/>
              </w:rPr>
            </w:pPr>
            <w:r>
              <w:rPr>
                <w:color w:val="231F20"/>
                <w:sz w:val="12"/>
              </w:rPr>
              <w:t>8.2.2.d</w:t>
            </w:r>
          </w:p>
        </w:tc>
        <w:tc>
          <w:tcPr>
            <w:tcW w:w="4953" w:type="dxa"/>
            <w:gridSpan w:val="2"/>
            <w:tcBorders>
              <w:top w:val="single" w:sz="6" w:space="0" w:color="231F20"/>
              <w:left w:val="single" w:sz="6" w:space="0" w:color="231F20"/>
              <w:bottom w:val="single" w:sz="6" w:space="0" w:color="231F20"/>
              <w:right w:val="single" w:sz="6" w:space="0" w:color="231F20"/>
            </w:tcBorders>
          </w:tcPr>
          <w:p w14:paraId="6A5749D2" w14:textId="77777777" w:rsidR="009948F1" w:rsidRDefault="00BC0563">
            <w:pPr>
              <w:pStyle w:val="TableParagraph"/>
              <w:spacing w:before="83"/>
              <w:ind w:left="26"/>
              <w:rPr>
                <w:sz w:val="12"/>
              </w:rPr>
            </w:pPr>
            <w:r>
              <w:rPr>
                <w:color w:val="231F20"/>
                <w:sz w:val="12"/>
              </w:rPr>
              <w:t>Validation and printing of the policy document on Food /Nutrition and food Safety</w:t>
            </w:r>
          </w:p>
        </w:tc>
        <w:tc>
          <w:tcPr>
            <w:tcW w:w="1444" w:type="dxa"/>
            <w:tcBorders>
              <w:top w:val="single" w:sz="6" w:space="0" w:color="231F20"/>
              <w:left w:val="single" w:sz="6" w:space="0" w:color="231F20"/>
              <w:bottom w:val="single" w:sz="6" w:space="0" w:color="231F20"/>
              <w:right w:val="single" w:sz="6" w:space="0" w:color="231F20"/>
            </w:tcBorders>
          </w:tcPr>
          <w:p w14:paraId="31B7E55E" w14:textId="77777777" w:rsidR="009948F1" w:rsidRDefault="00BC0563">
            <w:pPr>
              <w:pStyle w:val="TableParagraph"/>
              <w:spacing w:before="88"/>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6E70616" w14:textId="77777777" w:rsidR="009948F1" w:rsidRDefault="00BC0563">
            <w:pPr>
              <w:pStyle w:val="TableParagraph"/>
              <w:spacing w:before="88"/>
              <w:ind w:left="27"/>
              <w:rPr>
                <w:sz w:val="12"/>
              </w:rPr>
            </w:pPr>
            <w:r>
              <w:rPr>
                <w:color w:val="231F20"/>
                <w:sz w:val="12"/>
              </w:rPr>
              <w:t>Validation and Printing</w:t>
            </w:r>
          </w:p>
        </w:tc>
      </w:tr>
      <w:tr w:rsidR="009948F1" w14:paraId="78029689" w14:textId="77777777">
        <w:trPr>
          <w:trHeight w:val="302"/>
        </w:trPr>
        <w:tc>
          <w:tcPr>
            <w:tcW w:w="865" w:type="dxa"/>
            <w:gridSpan w:val="2"/>
            <w:vMerge/>
            <w:tcBorders>
              <w:top w:val="nil"/>
              <w:bottom w:val="nil"/>
              <w:right w:val="single" w:sz="6" w:space="0" w:color="231F20"/>
            </w:tcBorders>
          </w:tcPr>
          <w:p w14:paraId="3DACBDD8"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26FBEF9F" w14:textId="77777777" w:rsidR="009948F1" w:rsidRDefault="00BC0563">
            <w:pPr>
              <w:pStyle w:val="TableParagraph"/>
              <w:spacing w:before="84"/>
              <w:ind w:left="66" w:right="43"/>
              <w:jc w:val="center"/>
              <w:rPr>
                <w:sz w:val="12"/>
              </w:rPr>
            </w:pPr>
            <w:r>
              <w:rPr>
                <w:color w:val="231F20"/>
                <w:sz w:val="12"/>
              </w:rPr>
              <w:t>8.2.2.e</w:t>
            </w:r>
          </w:p>
        </w:tc>
        <w:tc>
          <w:tcPr>
            <w:tcW w:w="4953" w:type="dxa"/>
            <w:gridSpan w:val="2"/>
            <w:tcBorders>
              <w:top w:val="single" w:sz="6" w:space="0" w:color="231F20"/>
              <w:left w:val="single" w:sz="6" w:space="0" w:color="231F20"/>
              <w:bottom w:val="single" w:sz="6" w:space="0" w:color="231F20"/>
              <w:right w:val="single" w:sz="6" w:space="0" w:color="231F20"/>
            </w:tcBorders>
          </w:tcPr>
          <w:p w14:paraId="2A246CAC" w14:textId="77777777" w:rsidR="009948F1" w:rsidRDefault="00BC0563">
            <w:pPr>
              <w:pStyle w:val="TableParagraph"/>
              <w:spacing w:before="3"/>
              <w:ind w:left="26"/>
              <w:rPr>
                <w:sz w:val="12"/>
              </w:rPr>
            </w:pPr>
            <w:r>
              <w:rPr>
                <w:color w:val="231F20"/>
                <w:sz w:val="12"/>
              </w:rPr>
              <w:t>Dissemination of the adopted Food/Nutrition Policy and Food safety policy to relevant</w:t>
            </w:r>
          </w:p>
          <w:p w14:paraId="5269C804" w14:textId="77777777" w:rsidR="009948F1" w:rsidRDefault="00BC0563">
            <w:pPr>
              <w:pStyle w:val="TableParagraph"/>
              <w:spacing w:before="18" w:line="123" w:lineRule="exact"/>
              <w:ind w:left="26"/>
              <w:rPr>
                <w:sz w:val="12"/>
              </w:rPr>
            </w:pPr>
            <w:r>
              <w:rPr>
                <w:color w:val="231F20"/>
                <w:sz w:val="12"/>
              </w:rPr>
              <w:t>stakeholders in the state.</w:t>
            </w:r>
          </w:p>
        </w:tc>
        <w:tc>
          <w:tcPr>
            <w:tcW w:w="1444" w:type="dxa"/>
            <w:tcBorders>
              <w:top w:val="single" w:sz="6" w:space="0" w:color="231F20"/>
              <w:left w:val="single" w:sz="6" w:space="0" w:color="231F20"/>
              <w:bottom w:val="single" w:sz="6" w:space="0" w:color="231F20"/>
              <w:right w:val="single" w:sz="6" w:space="0" w:color="231F20"/>
            </w:tcBorders>
          </w:tcPr>
          <w:p w14:paraId="3F2B30DF"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6FEB8AB" w14:textId="77777777" w:rsidR="009948F1" w:rsidRDefault="00BC0563">
            <w:pPr>
              <w:pStyle w:val="TableParagraph"/>
              <w:spacing w:before="6"/>
              <w:ind w:left="27"/>
              <w:rPr>
                <w:sz w:val="12"/>
              </w:rPr>
            </w:pPr>
            <w:r>
              <w:rPr>
                <w:color w:val="231F20"/>
                <w:sz w:val="12"/>
              </w:rPr>
              <w:t>Dissemination of the</w:t>
            </w:r>
          </w:p>
          <w:p w14:paraId="24FF7A46" w14:textId="77777777" w:rsidR="009948F1" w:rsidRDefault="00BC0563">
            <w:pPr>
              <w:pStyle w:val="TableParagraph"/>
              <w:spacing w:before="17" w:line="121" w:lineRule="exact"/>
              <w:ind w:left="27"/>
              <w:rPr>
                <w:sz w:val="12"/>
              </w:rPr>
            </w:pPr>
            <w:r>
              <w:rPr>
                <w:color w:val="231F20"/>
                <w:sz w:val="12"/>
              </w:rPr>
              <w:t>adopted</w:t>
            </w:r>
          </w:p>
        </w:tc>
      </w:tr>
      <w:tr w:rsidR="009948F1" w14:paraId="797B8D20" w14:textId="77777777">
        <w:trPr>
          <w:trHeight w:val="664"/>
        </w:trPr>
        <w:tc>
          <w:tcPr>
            <w:tcW w:w="405" w:type="dxa"/>
            <w:tcBorders>
              <w:top w:val="nil"/>
              <w:bottom w:val="nil"/>
              <w:right w:val="single" w:sz="6" w:space="0" w:color="231F20"/>
            </w:tcBorders>
          </w:tcPr>
          <w:p w14:paraId="1655EE13" w14:textId="77777777" w:rsidR="009948F1" w:rsidRDefault="009948F1">
            <w:pPr>
              <w:pStyle w:val="TableParagraph"/>
              <w:rPr>
                <w:rFonts w:ascii="Times New Roman"/>
                <w:sz w:val="12"/>
              </w:rPr>
            </w:pPr>
          </w:p>
        </w:tc>
        <w:tc>
          <w:tcPr>
            <w:tcW w:w="460" w:type="dxa"/>
            <w:tcBorders>
              <w:top w:val="single" w:sz="6" w:space="0" w:color="231F20"/>
              <w:left w:val="single" w:sz="6" w:space="0" w:color="231F20"/>
              <w:bottom w:val="single" w:sz="6" w:space="0" w:color="231F20"/>
              <w:right w:val="single" w:sz="6" w:space="0" w:color="231F20"/>
            </w:tcBorders>
            <w:shd w:val="clear" w:color="auto" w:fill="CCE7D3"/>
          </w:tcPr>
          <w:p w14:paraId="799AFC61" w14:textId="77777777" w:rsidR="009948F1" w:rsidRDefault="009948F1">
            <w:pPr>
              <w:pStyle w:val="TableParagraph"/>
              <w:rPr>
                <w:sz w:val="12"/>
              </w:rPr>
            </w:pPr>
          </w:p>
          <w:p w14:paraId="49D11F42" w14:textId="77777777" w:rsidR="009948F1" w:rsidRDefault="009948F1">
            <w:pPr>
              <w:pStyle w:val="TableParagraph"/>
              <w:rPr>
                <w:sz w:val="11"/>
              </w:rPr>
            </w:pPr>
          </w:p>
          <w:p w14:paraId="76A8F0EE" w14:textId="77777777" w:rsidR="009948F1" w:rsidRDefault="00BC0563">
            <w:pPr>
              <w:pStyle w:val="TableParagraph"/>
              <w:ind w:left="59"/>
              <w:rPr>
                <w:sz w:val="12"/>
              </w:rPr>
            </w:pPr>
            <w:r>
              <w:rPr>
                <w:color w:val="231F20"/>
                <w:sz w:val="12"/>
              </w:rPr>
              <w:t>8.2.3</w:t>
            </w:r>
          </w:p>
        </w:tc>
        <w:tc>
          <w:tcPr>
            <w:tcW w:w="3073" w:type="dxa"/>
            <w:gridSpan w:val="2"/>
            <w:tcBorders>
              <w:top w:val="single" w:sz="6" w:space="0" w:color="231F20"/>
              <w:left w:val="single" w:sz="6" w:space="0" w:color="231F20"/>
              <w:bottom w:val="single" w:sz="6" w:space="0" w:color="231F20"/>
              <w:right w:val="single" w:sz="6" w:space="0" w:color="231F20"/>
            </w:tcBorders>
            <w:shd w:val="clear" w:color="auto" w:fill="CCE7D3"/>
          </w:tcPr>
          <w:p w14:paraId="4A2FBF04" w14:textId="77777777" w:rsidR="009948F1" w:rsidRDefault="009948F1">
            <w:pPr>
              <w:pStyle w:val="TableParagraph"/>
              <w:spacing w:before="10"/>
              <w:rPr>
                <w:sz w:val="15"/>
              </w:rPr>
            </w:pPr>
          </w:p>
          <w:p w14:paraId="24BFCD4E" w14:textId="77777777" w:rsidR="009948F1" w:rsidRDefault="00BC0563">
            <w:pPr>
              <w:pStyle w:val="TableParagraph"/>
              <w:spacing w:line="271" w:lineRule="auto"/>
              <w:ind w:left="26" w:right="204" w:firstLine="33"/>
              <w:rPr>
                <w:sz w:val="12"/>
              </w:rPr>
            </w:pPr>
            <w:r>
              <w:rPr>
                <w:color w:val="231F20"/>
                <w:sz w:val="12"/>
              </w:rPr>
              <w:t>Intensify awareness and sensitization on food safety and quality particularly at the rural community level.</w:t>
            </w:r>
          </w:p>
        </w:tc>
        <w:tc>
          <w:tcPr>
            <w:tcW w:w="2412" w:type="dxa"/>
            <w:tcBorders>
              <w:top w:val="single" w:sz="6" w:space="0" w:color="231F20"/>
              <w:left w:val="single" w:sz="6" w:space="0" w:color="231F20"/>
              <w:bottom w:val="single" w:sz="6" w:space="0" w:color="231F20"/>
              <w:right w:val="single" w:sz="6" w:space="0" w:color="231F20"/>
            </w:tcBorders>
            <w:shd w:val="clear" w:color="auto" w:fill="CCE7D3"/>
          </w:tcPr>
          <w:p w14:paraId="6D33DC6F" w14:textId="77777777" w:rsidR="009948F1" w:rsidRDefault="00BC0563">
            <w:pPr>
              <w:pStyle w:val="TableParagraph"/>
              <w:numPr>
                <w:ilvl w:val="0"/>
                <w:numId w:val="90"/>
              </w:numPr>
              <w:tabs>
                <w:tab w:val="left" w:pos="103"/>
              </w:tabs>
              <w:spacing w:before="3" w:line="135" w:lineRule="exact"/>
              <w:ind w:hanging="77"/>
              <w:rPr>
                <w:sz w:val="12"/>
              </w:rPr>
            </w:pPr>
            <w:r>
              <w:rPr>
                <w:color w:val="231F20"/>
                <w:sz w:val="12"/>
              </w:rPr>
              <w:t>Electronic and print media</w:t>
            </w:r>
            <w:r>
              <w:rPr>
                <w:color w:val="231F20"/>
                <w:spacing w:val="-1"/>
                <w:sz w:val="12"/>
              </w:rPr>
              <w:t xml:space="preserve"> </w:t>
            </w:r>
            <w:r>
              <w:rPr>
                <w:color w:val="231F20"/>
                <w:sz w:val="12"/>
              </w:rPr>
              <w:t>engaged.</w:t>
            </w:r>
          </w:p>
          <w:p w14:paraId="799C89E1" w14:textId="77777777" w:rsidR="009948F1" w:rsidRDefault="00BC0563">
            <w:pPr>
              <w:pStyle w:val="TableParagraph"/>
              <w:numPr>
                <w:ilvl w:val="0"/>
                <w:numId w:val="90"/>
              </w:numPr>
              <w:tabs>
                <w:tab w:val="left" w:pos="70"/>
              </w:tabs>
              <w:spacing w:before="11" w:line="211" w:lineRule="auto"/>
              <w:ind w:right="263" w:hanging="77"/>
              <w:rPr>
                <w:sz w:val="12"/>
              </w:rPr>
            </w:pPr>
            <w:r>
              <w:rPr>
                <w:color w:val="231F20"/>
                <w:sz w:val="12"/>
              </w:rPr>
              <w:t>Orientation of Members of Committees done</w:t>
            </w:r>
          </w:p>
          <w:p w14:paraId="05626AD0" w14:textId="77777777" w:rsidR="009948F1" w:rsidRDefault="00BC0563">
            <w:pPr>
              <w:pStyle w:val="TableParagraph"/>
              <w:numPr>
                <w:ilvl w:val="0"/>
                <w:numId w:val="90"/>
              </w:numPr>
              <w:tabs>
                <w:tab w:val="left" w:pos="103"/>
              </w:tabs>
              <w:spacing w:before="11" w:line="132" w:lineRule="exact"/>
              <w:ind w:right="209" w:hanging="77"/>
              <w:rPr>
                <w:sz w:val="12"/>
              </w:rPr>
            </w:pPr>
            <w:r>
              <w:rPr>
                <w:color w:val="231F20"/>
                <w:sz w:val="12"/>
              </w:rPr>
              <w:t xml:space="preserve">Community Volunteers trained on </w:t>
            </w:r>
            <w:r>
              <w:rPr>
                <w:color w:val="231F20"/>
                <w:spacing w:val="-5"/>
                <w:sz w:val="12"/>
              </w:rPr>
              <w:t xml:space="preserve">Food </w:t>
            </w:r>
            <w:r>
              <w:rPr>
                <w:color w:val="231F20"/>
                <w:sz w:val="12"/>
              </w:rPr>
              <w:t>Safety and</w:t>
            </w:r>
            <w:r>
              <w:rPr>
                <w:color w:val="231F20"/>
                <w:spacing w:val="-1"/>
                <w:sz w:val="12"/>
              </w:rPr>
              <w:t xml:space="preserve"> </w:t>
            </w:r>
            <w:r>
              <w:rPr>
                <w:color w:val="231F20"/>
                <w:sz w:val="12"/>
              </w:rPr>
              <w:t>quality.</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2BA85A99"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74A8596C" w14:textId="77777777" w:rsidR="009948F1" w:rsidRDefault="009948F1">
            <w:pPr>
              <w:pStyle w:val="TableParagraph"/>
              <w:rPr>
                <w:rFonts w:ascii="Times New Roman"/>
                <w:sz w:val="12"/>
              </w:rPr>
            </w:pPr>
          </w:p>
        </w:tc>
      </w:tr>
      <w:tr w:rsidR="009948F1" w14:paraId="071C2361" w14:textId="77777777">
        <w:trPr>
          <w:trHeight w:val="296"/>
        </w:trPr>
        <w:tc>
          <w:tcPr>
            <w:tcW w:w="865" w:type="dxa"/>
            <w:gridSpan w:val="2"/>
            <w:vMerge w:val="restart"/>
            <w:tcBorders>
              <w:top w:val="nil"/>
              <w:bottom w:val="nil"/>
              <w:right w:val="single" w:sz="6" w:space="0" w:color="231F20"/>
            </w:tcBorders>
          </w:tcPr>
          <w:p w14:paraId="13E1FF6F" w14:textId="77777777" w:rsidR="009948F1" w:rsidRDefault="009948F1">
            <w:pPr>
              <w:pStyle w:val="TableParagraph"/>
              <w:rPr>
                <w:rFonts w:ascii="Times New Roman"/>
                <w:sz w:val="12"/>
              </w:rPr>
            </w:pPr>
          </w:p>
        </w:tc>
        <w:tc>
          <w:tcPr>
            <w:tcW w:w="532" w:type="dxa"/>
            <w:tcBorders>
              <w:top w:val="single" w:sz="6" w:space="0" w:color="231F20"/>
              <w:left w:val="single" w:sz="6" w:space="0" w:color="231F20"/>
              <w:bottom w:val="single" w:sz="6" w:space="0" w:color="231F20"/>
              <w:right w:val="single" w:sz="6" w:space="0" w:color="231F20"/>
            </w:tcBorders>
          </w:tcPr>
          <w:p w14:paraId="60111412" w14:textId="77777777" w:rsidR="009948F1" w:rsidRDefault="00BC0563">
            <w:pPr>
              <w:pStyle w:val="TableParagraph"/>
              <w:spacing w:before="79"/>
              <w:ind w:left="66" w:right="43"/>
              <w:jc w:val="center"/>
              <w:rPr>
                <w:sz w:val="12"/>
              </w:rPr>
            </w:pPr>
            <w:r>
              <w:rPr>
                <w:color w:val="231F20"/>
                <w:sz w:val="12"/>
              </w:rPr>
              <w:t>8.2.3.a</w:t>
            </w:r>
          </w:p>
        </w:tc>
        <w:tc>
          <w:tcPr>
            <w:tcW w:w="4953" w:type="dxa"/>
            <w:gridSpan w:val="2"/>
            <w:tcBorders>
              <w:top w:val="single" w:sz="6" w:space="0" w:color="231F20"/>
              <w:left w:val="single" w:sz="6" w:space="0" w:color="231F20"/>
              <w:bottom w:val="single" w:sz="6" w:space="0" w:color="231F20"/>
              <w:right w:val="single" w:sz="6" w:space="0" w:color="231F20"/>
            </w:tcBorders>
          </w:tcPr>
          <w:p w14:paraId="0A3BF313" w14:textId="523AC5A1" w:rsidR="009948F1" w:rsidRDefault="00BC0563">
            <w:pPr>
              <w:pStyle w:val="TableParagraph"/>
              <w:spacing w:line="140" w:lineRule="atLeast"/>
              <w:ind w:left="26" w:right="82"/>
              <w:rPr>
                <w:sz w:val="12"/>
              </w:rPr>
            </w:pPr>
            <w:r>
              <w:rPr>
                <w:color w:val="231F20"/>
                <w:sz w:val="12"/>
              </w:rPr>
              <w:t xml:space="preserve">Engage the media </w:t>
            </w:r>
            <w:r w:rsidR="00A93E69">
              <w:rPr>
                <w:color w:val="231F20"/>
                <w:sz w:val="12"/>
              </w:rPr>
              <w:t>(both</w:t>
            </w:r>
            <w:r>
              <w:rPr>
                <w:color w:val="231F20"/>
                <w:sz w:val="12"/>
              </w:rPr>
              <w:t xml:space="preserve"> electronic and print) on awareness creation and sensitization of the populace on food safety and quality.</w:t>
            </w:r>
          </w:p>
        </w:tc>
        <w:tc>
          <w:tcPr>
            <w:tcW w:w="1444" w:type="dxa"/>
            <w:tcBorders>
              <w:top w:val="single" w:sz="6" w:space="0" w:color="231F20"/>
              <w:left w:val="single" w:sz="6" w:space="0" w:color="231F20"/>
              <w:bottom w:val="single" w:sz="6" w:space="0" w:color="231F20"/>
              <w:right w:val="single" w:sz="6" w:space="0" w:color="231F20"/>
            </w:tcBorders>
          </w:tcPr>
          <w:p w14:paraId="38E8CF08" w14:textId="77777777" w:rsidR="009948F1" w:rsidRDefault="00BC0563">
            <w:pPr>
              <w:pStyle w:val="TableParagraph"/>
              <w:spacing w:before="79"/>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65B4969" w14:textId="77777777" w:rsidR="009948F1" w:rsidRDefault="00BC0563">
            <w:pPr>
              <w:pStyle w:val="TableParagraph"/>
              <w:spacing w:before="79"/>
              <w:ind w:left="27"/>
              <w:rPr>
                <w:sz w:val="12"/>
              </w:rPr>
            </w:pPr>
            <w:r>
              <w:rPr>
                <w:color w:val="231F20"/>
                <w:sz w:val="12"/>
              </w:rPr>
              <w:t>Engage the media</w:t>
            </w:r>
          </w:p>
        </w:tc>
      </w:tr>
      <w:tr w:rsidR="009948F1" w14:paraId="61815C06" w14:textId="77777777">
        <w:trPr>
          <w:trHeight w:val="286"/>
        </w:trPr>
        <w:tc>
          <w:tcPr>
            <w:tcW w:w="865" w:type="dxa"/>
            <w:gridSpan w:val="2"/>
            <w:vMerge/>
            <w:tcBorders>
              <w:top w:val="nil"/>
              <w:bottom w:val="nil"/>
              <w:right w:val="single" w:sz="6" w:space="0" w:color="231F20"/>
            </w:tcBorders>
          </w:tcPr>
          <w:p w14:paraId="5D85F8BC"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77A41C7C" w14:textId="77777777" w:rsidR="009948F1" w:rsidRDefault="00BC0563">
            <w:pPr>
              <w:pStyle w:val="TableParagraph"/>
              <w:spacing w:before="77"/>
              <w:ind w:left="66" w:right="43"/>
              <w:jc w:val="center"/>
              <w:rPr>
                <w:sz w:val="12"/>
              </w:rPr>
            </w:pPr>
            <w:r>
              <w:rPr>
                <w:color w:val="231F20"/>
                <w:sz w:val="12"/>
              </w:rPr>
              <w:t>8.2.3.b</w:t>
            </w:r>
          </w:p>
        </w:tc>
        <w:tc>
          <w:tcPr>
            <w:tcW w:w="4953" w:type="dxa"/>
            <w:gridSpan w:val="2"/>
            <w:tcBorders>
              <w:top w:val="single" w:sz="6" w:space="0" w:color="231F20"/>
              <w:left w:val="single" w:sz="6" w:space="0" w:color="231F20"/>
              <w:bottom w:val="single" w:sz="6" w:space="0" w:color="231F20"/>
              <w:right w:val="single" w:sz="6" w:space="0" w:color="231F20"/>
            </w:tcBorders>
          </w:tcPr>
          <w:p w14:paraId="6DE5B93B" w14:textId="77777777" w:rsidR="009948F1" w:rsidRDefault="00BC0563">
            <w:pPr>
              <w:pStyle w:val="TableParagraph"/>
              <w:spacing w:before="38" w:line="116" w:lineRule="exact"/>
              <w:ind w:left="26"/>
              <w:rPr>
                <w:sz w:val="12"/>
              </w:rPr>
            </w:pPr>
            <w:r>
              <w:rPr>
                <w:color w:val="231F20"/>
                <w:sz w:val="12"/>
              </w:rPr>
              <w:t>Orientation of members of the State Committee on Food and nutrition on Food safety and quality.</w:t>
            </w:r>
          </w:p>
        </w:tc>
        <w:tc>
          <w:tcPr>
            <w:tcW w:w="1444" w:type="dxa"/>
            <w:tcBorders>
              <w:top w:val="single" w:sz="6" w:space="0" w:color="231F20"/>
              <w:left w:val="single" w:sz="6" w:space="0" w:color="231F20"/>
              <w:bottom w:val="single" w:sz="6" w:space="0" w:color="231F20"/>
              <w:right w:val="single" w:sz="6" w:space="0" w:color="231F20"/>
            </w:tcBorders>
          </w:tcPr>
          <w:p w14:paraId="20FFF3C3" w14:textId="77777777" w:rsidR="009948F1" w:rsidRDefault="00BC0563">
            <w:pPr>
              <w:pStyle w:val="TableParagraph"/>
              <w:spacing w:before="77"/>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63745E7" w14:textId="77777777" w:rsidR="009948F1" w:rsidRDefault="00BC0563">
            <w:pPr>
              <w:pStyle w:val="TableParagraph"/>
              <w:spacing w:before="77"/>
              <w:ind w:left="27"/>
              <w:rPr>
                <w:sz w:val="12"/>
              </w:rPr>
            </w:pPr>
            <w:r>
              <w:rPr>
                <w:color w:val="231F20"/>
                <w:sz w:val="12"/>
              </w:rPr>
              <w:t>Orientation of members</w:t>
            </w:r>
          </w:p>
        </w:tc>
      </w:tr>
      <w:tr w:rsidR="009948F1" w14:paraId="3A36003A" w14:textId="77777777">
        <w:trPr>
          <w:trHeight w:val="302"/>
        </w:trPr>
        <w:tc>
          <w:tcPr>
            <w:tcW w:w="865" w:type="dxa"/>
            <w:gridSpan w:val="2"/>
            <w:vMerge/>
            <w:tcBorders>
              <w:top w:val="nil"/>
              <w:bottom w:val="nil"/>
              <w:right w:val="single" w:sz="6" w:space="0" w:color="231F20"/>
            </w:tcBorders>
          </w:tcPr>
          <w:p w14:paraId="3AB4395B"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2F093678" w14:textId="77777777" w:rsidR="009948F1" w:rsidRDefault="00BC0563">
            <w:pPr>
              <w:pStyle w:val="TableParagraph"/>
              <w:spacing w:before="84"/>
              <w:ind w:left="66" w:right="43"/>
              <w:jc w:val="center"/>
              <w:rPr>
                <w:sz w:val="12"/>
              </w:rPr>
            </w:pPr>
            <w:r>
              <w:rPr>
                <w:color w:val="231F20"/>
                <w:sz w:val="12"/>
              </w:rPr>
              <w:t>8.2.3.c</w:t>
            </w:r>
          </w:p>
        </w:tc>
        <w:tc>
          <w:tcPr>
            <w:tcW w:w="4953" w:type="dxa"/>
            <w:gridSpan w:val="2"/>
            <w:tcBorders>
              <w:top w:val="single" w:sz="6" w:space="0" w:color="231F20"/>
              <w:left w:val="single" w:sz="6" w:space="0" w:color="231F20"/>
              <w:bottom w:val="single" w:sz="6" w:space="0" w:color="231F20"/>
              <w:right w:val="single" w:sz="6" w:space="0" w:color="231F20"/>
            </w:tcBorders>
          </w:tcPr>
          <w:p w14:paraId="0F7B6E57" w14:textId="77777777" w:rsidR="009948F1" w:rsidRDefault="00BC0563">
            <w:pPr>
              <w:pStyle w:val="TableParagraph"/>
              <w:spacing w:before="79"/>
              <w:ind w:left="26"/>
              <w:rPr>
                <w:sz w:val="12"/>
              </w:rPr>
            </w:pPr>
            <w:r>
              <w:rPr>
                <w:color w:val="231F20"/>
                <w:sz w:val="12"/>
              </w:rPr>
              <w:t>Inauguration of LGA Committee on Food and Nutrition in the 23 LGAs of the state.</w:t>
            </w:r>
          </w:p>
        </w:tc>
        <w:tc>
          <w:tcPr>
            <w:tcW w:w="1444" w:type="dxa"/>
            <w:tcBorders>
              <w:top w:val="single" w:sz="6" w:space="0" w:color="231F20"/>
              <w:left w:val="single" w:sz="6" w:space="0" w:color="231F20"/>
              <w:bottom w:val="single" w:sz="6" w:space="0" w:color="231F20"/>
              <w:right w:val="single" w:sz="6" w:space="0" w:color="231F20"/>
            </w:tcBorders>
          </w:tcPr>
          <w:p w14:paraId="0D44C3CB"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2180177" w14:textId="77777777" w:rsidR="009948F1" w:rsidRDefault="00BC0563">
            <w:pPr>
              <w:pStyle w:val="TableParagraph"/>
              <w:spacing w:before="6"/>
              <w:ind w:left="27"/>
              <w:rPr>
                <w:sz w:val="12"/>
              </w:rPr>
            </w:pPr>
            <w:r>
              <w:rPr>
                <w:color w:val="231F20"/>
                <w:sz w:val="12"/>
              </w:rPr>
              <w:t>Inauguration of LGA</w:t>
            </w:r>
          </w:p>
          <w:p w14:paraId="0DFCE6FC" w14:textId="77777777" w:rsidR="009948F1" w:rsidRDefault="00BC0563">
            <w:pPr>
              <w:pStyle w:val="TableParagraph"/>
              <w:spacing w:before="17" w:line="121" w:lineRule="exact"/>
              <w:ind w:left="27"/>
              <w:rPr>
                <w:sz w:val="12"/>
              </w:rPr>
            </w:pPr>
            <w:r>
              <w:rPr>
                <w:color w:val="231F20"/>
                <w:sz w:val="12"/>
              </w:rPr>
              <w:t>Committee</w:t>
            </w:r>
          </w:p>
        </w:tc>
      </w:tr>
      <w:tr w:rsidR="009948F1" w14:paraId="0105F591" w14:textId="77777777">
        <w:trPr>
          <w:trHeight w:val="309"/>
        </w:trPr>
        <w:tc>
          <w:tcPr>
            <w:tcW w:w="865" w:type="dxa"/>
            <w:gridSpan w:val="2"/>
            <w:vMerge/>
            <w:tcBorders>
              <w:top w:val="nil"/>
              <w:bottom w:val="nil"/>
              <w:right w:val="single" w:sz="6" w:space="0" w:color="231F20"/>
            </w:tcBorders>
          </w:tcPr>
          <w:p w14:paraId="44B39121"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37D37395" w14:textId="77777777" w:rsidR="009948F1" w:rsidRDefault="00BC0563">
            <w:pPr>
              <w:pStyle w:val="TableParagraph"/>
              <w:spacing w:before="88"/>
              <w:ind w:left="66" w:right="43"/>
              <w:jc w:val="center"/>
              <w:rPr>
                <w:sz w:val="12"/>
              </w:rPr>
            </w:pPr>
            <w:r>
              <w:rPr>
                <w:color w:val="231F20"/>
                <w:sz w:val="12"/>
              </w:rPr>
              <w:t>8.2.3.d</w:t>
            </w:r>
          </w:p>
        </w:tc>
        <w:tc>
          <w:tcPr>
            <w:tcW w:w="4953" w:type="dxa"/>
            <w:gridSpan w:val="2"/>
            <w:tcBorders>
              <w:top w:val="single" w:sz="6" w:space="0" w:color="231F20"/>
              <w:left w:val="single" w:sz="6" w:space="0" w:color="231F20"/>
              <w:bottom w:val="single" w:sz="6" w:space="0" w:color="231F20"/>
              <w:right w:val="single" w:sz="6" w:space="0" w:color="231F20"/>
            </w:tcBorders>
          </w:tcPr>
          <w:p w14:paraId="4605F7BD" w14:textId="77777777" w:rsidR="009948F1" w:rsidRDefault="00BC0563">
            <w:pPr>
              <w:pStyle w:val="TableParagraph"/>
              <w:spacing w:before="5"/>
              <w:ind w:left="26"/>
              <w:rPr>
                <w:sz w:val="12"/>
              </w:rPr>
            </w:pPr>
            <w:r>
              <w:rPr>
                <w:color w:val="231F20"/>
                <w:sz w:val="12"/>
              </w:rPr>
              <w:t>Orientation of members of 23 LGA Committees on Food and Nutrition on Food safety and</w:t>
            </w:r>
          </w:p>
          <w:p w14:paraId="6DFDFAFA" w14:textId="77777777" w:rsidR="009948F1" w:rsidRDefault="00BC0563">
            <w:pPr>
              <w:pStyle w:val="TableParagraph"/>
              <w:spacing w:before="17" w:line="129" w:lineRule="exact"/>
              <w:ind w:left="26"/>
              <w:rPr>
                <w:sz w:val="12"/>
              </w:rPr>
            </w:pPr>
            <w:r>
              <w:rPr>
                <w:color w:val="231F20"/>
                <w:sz w:val="12"/>
              </w:rPr>
              <w:t>quality.</w:t>
            </w:r>
          </w:p>
        </w:tc>
        <w:tc>
          <w:tcPr>
            <w:tcW w:w="1444" w:type="dxa"/>
            <w:tcBorders>
              <w:top w:val="single" w:sz="6" w:space="0" w:color="231F20"/>
              <w:left w:val="single" w:sz="6" w:space="0" w:color="231F20"/>
              <w:bottom w:val="single" w:sz="6" w:space="0" w:color="231F20"/>
              <w:right w:val="single" w:sz="6" w:space="0" w:color="231F20"/>
            </w:tcBorders>
          </w:tcPr>
          <w:p w14:paraId="4392498C" w14:textId="77777777" w:rsidR="009948F1" w:rsidRDefault="00BC0563">
            <w:pPr>
              <w:pStyle w:val="TableParagraph"/>
              <w:spacing w:before="88"/>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E1C5C18" w14:textId="77777777" w:rsidR="009948F1" w:rsidRDefault="00BC0563">
            <w:pPr>
              <w:pStyle w:val="TableParagraph"/>
              <w:spacing w:before="88"/>
              <w:ind w:left="27"/>
              <w:rPr>
                <w:sz w:val="12"/>
              </w:rPr>
            </w:pPr>
            <w:r>
              <w:rPr>
                <w:color w:val="231F20"/>
                <w:sz w:val="12"/>
              </w:rPr>
              <w:t>Orientation of members</w:t>
            </w:r>
          </w:p>
        </w:tc>
      </w:tr>
      <w:tr w:rsidR="009948F1" w14:paraId="6786A70F" w14:textId="77777777">
        <w:trPr>
          <w:trHeight w:val="302"/>
        </w:trPr>
        <w:tc>
          <w:tcPr>
            <w:tcW w:w="865" w:type="dxa"/>
            <w:gridSpan w:val="2"/>
            <w:vMerge/>
            <w:tcBorders>
              <w:top w:val="nil"/>
              <w:bottom w:val="nil"/>
              <w:right w:val="single" w:sz="6" w:space="0" w:color="231F20"/>
            </w:tcBorders>
          </w:tcPr>
          <w:p w14:paraId="5CAA5DEB"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0EE1DA97" w14:textId="77777777" w:rsidR="009948F1" w:rsidRDefault="00BC0563">
            <w:pPr>
              <w:pStyle w:val="TableParagraph"/>
              <w:spacing w:before="84"/>
              <w:ind w:left="66" w:right="43"/>
              <w:jc w:val="center"/>
              <w:rPr>
                <w:sz w:val="12"/>
              </w:rPr>
            </w:pPr>
            <w:r>
              <w:rPr>
                <w:color w:val="231F20"/>
                <w:sz w:val="12"/>
              </w:rPr>
              <w:t>8.2.3.e</w:t>
            </w:r>
          </w:p>
        </w:tc>
        <w:tc>
          <w:tcPr>
            <w:tcW w:w="4953" w:type="dxa"/>
            <w:gridSpan w:val="2"/>
            <w:tcBorders>
              <w:top w:val="single" w:sz="6" w:space="0" w:color="231F20"/>
              <w:left w:val="single" w:sz="6" w:space="0" w:color="231F20"/>
              <w:bottom w:val="single" w:sz="6" w:space="0" w:color="231F20"/>
              <w:right w:val="single" w:sz="6" w:space="0" w:color="231F20"/>
            </w:tcBorders>
          </w:tcPr>
          <w:p w14:paraId="098B861C" w14:textId="77777777" w:rsidR="009948F1" w:rsidRDefault="00BC0563">
            <w:pPr>
              <w:pStyle w:val="TableParagraph"/>
              <w:spacing w:before="79"/>
              <w:ind w:left="26"/>
              <w:rPr>
                <w:sz w:val="12"/>
              </w:rPr>
            </w:pPr>
            <w:r>
              <w:rPr>
                <w:color w:val="231F20"/>
                <w:sz w:val="12"/>
              </w:rPr>
              <w:t>Training of community volunteers on Food Safety and Quality.</w:t>
            </w:r>
          </w:p>
        </w:tc>
        <w:tc>
          <w:tcPr>
            <w:tcW w:w="1444" w:type="dxa"/>
            <w:tcBorders>
              <w:top w:val="single" w:sz="6" w:space="0" w:color="231F20"/>
              <w:left w:val="single" w:sz="6" w:space="0" w:color="231F20"/>
              <w:bottom w:val="single" w:sz="6" w:space="0" w:color="231F20"/>
              <w:right w:val="single" w:sz="6" w:space="0" w:color="231F20"/>
            </w:tcBorders>
          </w:tcPr>
          <w:p w14:paraId="48A49CF0"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6E2588F0" w14:textId="77777777" w:rsidR="009948F1" w:rsidRDefault="00BC0563">
            <w:pPr>
              <w:pStyle w:val="TableParagraph"/>
              <w:spacing w:before="6"/>
              <w:ind w:left="27"/>
              <w:rPr>
                <w:sz w:val="12"/>
              </w:rPr>
            </w:pPr>
            <w:r>
              <w:rPr>
                <w:color w:val="231F20"/>
                <w:sz w:val="12"/>
              </w:rPr>
              <w:t>Training of community</w:t>
            </w:r>
          </w:p>
          <w:p w14:paraId="310352A7" w14:textId="77777777" w:rsidR="009948F1" w:rsidRDefault="00BC0563">
            <w:pPr>
              <w:pStyle w:val="TableParagraph"/>
              <w:spacing w:before="17" w:line="121" w:lineRule="exact"/>
              <w:ind w:left="27"/>
              <w:rPr>
                <w:sz w:val="12"/>
              </w:rPr>
            </w:pPr>
            <w:r>
              <w:rPr>
                <w:color w:val="231F20"/>
                <w:sz w:val="12"/>
              </w:rPr>
              <w:t>volunteers</w:t>
            </w:r>
          </w:p>
        </w:tc>
      </w:tr>
      <w:tr w:rsidR="009948F1" w14:paraId="61ED91AA" w14:textId="77777777">
        <w:trPr>
          <w:trHeight w:val="764"/>
        </w:trPr>
        <w:tc>
          <w:tcPr>
            <w:tcW w:w="405" w:type="dxa"/>
            <w:tcBorders>
              <w:top w:val="nil"/>
              <w:bottom w:val="nil"/>
              <w:right w:val="single" w:sz="6" w:space="0" w:color="231F20"/>
            </w:tcBorders>
          </w:tcPr>
          <w:p w14:paraId="33C3D4D9" w14:textId="77777777" w:rsidR="009948F1" w:rsidRDefault="009948F1">
            <w:pPr>
              <w:pStyle w:val="TableParagraph"/>
              <w:rPr>
                <w:rFonts w:ascii="Times New Roman"/>
                <w:sz w:val="12"/>
              </w:rPr>
            </w:pPr>
          </w:p>
        </w:tc>
        <w:tc>
          <w:tcPr>
            <w:tcW w:w="460" w:type="dxa"/>
            <w:tcBorders>
              <w:top w:val="single" w:sz="6" w:space="0" w:color="231F20"/>
              <w:left w:val="single" w:sz="6" w:space="0" w:color="231F20"/>
              <w:bottom w:val="single" w:sz="6" w:space="0" w:color="231F20"/>
              <w:right w:val="single" w:sz="6" w:space="0" w:color="231F20"/>
            </w:tcBorders>
            <w:shd w:val="clear" w:color="auto" w:fill="CCE7D3"/>
          </w:tcPr>
          <w:p w14:paraId="7AC95FF8" w14:textId="77777777" w:rsidR="009948F1" w:rsidRDefault="009948F1">
            <w:pPr>
              <w:pStyle w:val="TableParagraph"/>
              <w:rPr>
                <w:sz w:val="12"/>
              </w:rPr>
            </w:pPr>
          </w:p>
          <w:p w14:paraId="1A73B6D1" w14:textId="77777777" w:rsidR="009948F1" w:rsidRDefault="009948F1">
            <w:pPr>
              <w:pStyle w:val="TableParagraph"/>
              <w:spacing w:before="5"/>
              <w:rPr>
                <w:sz w:val="15"/>
              </w:rPr>
            </w:pPr>
          </w:p>
          <w:p w14:paraId="64391E01" w14:textId="77777777" w:rsidR="009948F1" w:rsidRDefault="00BC0563">
            <w:pPr>
              <w:pStyle w:val="TableParagraph"/>
              <w:ind w:left="59"/>
              <w:rPr>
                <w:sz w:val="12"/>
              </w:rPr>
            </w:pPr>
            <w:r>
              <w:rPr>
                <w:color w:val="231F20"/>
                <w:sz w:val="12"/>
              </w:rPr>
              <w:t>8.2.4</w:t>
            </w:r>
          </w:p>
        </w:tc>
        <w:tc>
          <w:tcPr>
            <w:tcW w:w="3073" w:type="dxa"/>
            <w:gridSpan w:val="2"/>
            <w:tcBorders>
              <w:top w:val="single" w:sz="6" w:space="0" w:color="231F20"/>
              <w:left w:val="single" w:sz="6" w:space="0" w:color="231F20"/>
              <w:bottom w:val="single" w:sz="6" w:space="0" w:color="231F20"/>
              <w:right w:val="single" w:sz="6" w:space="0" w:color="231F20"/>
            </w:tcBorders>
            <w:shd w:val="clear" w:color="auto" w:fill="CCE7D3"/>
          </w:tcPr>
          <w:p w14:paraId="7E410166" w14:textId="77777777" w:rsidR="009948F1" w:rsidRDefault="009948F1">
            <w:pPr>
              <w:pStyle w:val="TableParagraph"/>
              <w:spacing w:before="5"/>
              <w:rPr>
                <w:sz w:val="13"/>
              </w:rPr>
            </w:pPr>
          </w:p>
          <w:p w14:paraId="1EDF9B9F" w14:textId="77777777" w:rsidR="009948F1" w:rsidRDefault="00BC0563">
            <w:pPr>
              <w:pStyle w:val="TableParagraph"/>
              <w:spacing w:line="271" w:lineRule="auto"/>
              <w:ind w:left="26" w:firstLine="33"/>
              <w:rPr>
                <w:sz w:val="12"/>
              </w:rPr>
            </w:pPr>
            <w:r>
              <w:rPr>
                <w:color w:val="231F20"/>
                <w:sz w:val="12"/>
              </w:rPr>
              <w:t>Scale up the training of food inspectors that will ensure that foods sold within the country are in compliance with current standards and regulations.</w:t>
            </w:r>
          </w:p>
        </w:tc>
        <w:tc>
          <w:tcPr>
            <w:tcW w:w="2412" w:type="dxa"/>
            <w:tcBorders>
              <w:top w:val="single" w:sz="6" w:space="0" w:color="231F20"/>
              <w:left w:val="single" w:sz="6" w:space="0" w:color="231F20"/>
              <w:bottom w:val="single" w:sz="6" w:space="0" w:color="231F20"/>
              <w:right w:val="single" w:sz="6" w:space="0" w:color="231F20"/>
            </w:tcBorders>
            <w:shd w:val="clear" w:color="auto" w:fill="CCE7D3"/>
          </w:tcPr>
          <w:p w14:paraId="0361D617" w14:textId="77777777" w:rsidR="009948F1" w:rsidRDefault="00BC0563">
            <w:pPr>
              <w:pStyle w:val="TableParagraph"/>
              <w:numPr>
                <w:ilvl w:val="0"/>
                <w:numId w:val="89"/>
              </w:numPr>
              <w:tabs>
                <w:tab w:val="left" w:pos="103"/>
              </w:tabs>
              <w:spacing w:before="3" w:line="271" w:lineRule="auto"/>
              <w:ind w:right="552" w:firstLine="0"/>
              <w:rPr>
                <w:sz w:val="12"/>
              </w:rPr>
            </w:pPr>
            <w:r>
              <w:rPr>
                <w:color w:val="231F20"/>
                <w:sz w:val="12"/>
              </w:rPr>
              <w:t xml:space="preserve">SOP on Food Safety and </w:t>
            </w:r>
            <w:r>
              <w:rPr>
                <w:color w:val="231F20"/>
                <w:spacing w:val="-3"/>
                <w:sz w:val="12"/>
              </w:rPr>
              <w:t xml:space="preserve">Quality </w:t>
            </w:r>
            <w:r>
              <w:rPr>
                <w:color w:val="231F20"/>
                <w:sz w:val="12"/>
              </w:rPr>
              <w:t>developed</w:t>
            </w:r>
          </w:p>
          <w:p w14:paraId="5B5EF417" w14:textId="77777777" w:rsidR="009948F1" w:rsidRDefault="00BC0563">
            <w:pPr>
              <w:pStyle w:val="TableParagraph"/>
              <w:numPr>
                <w:ilvl w:val="0"/>
                <w:numId w:val="89"/>
              </w:numPr>
              <w:tabs>
                <w:tab w:val="left" w:pos="103"/>
              </w:tabs>
              <w:spacing w:line="271" w:lineRule="auto"/>
              <w:ind w:right="349" w:firstLine="0"/>
              <w:rPr>
                <w:sz w:val="12"/>
              </w:rPr>
            </w:pPr>
            <w:r>
              <w:rPr>
                <w:color w:val="231F20"/>
                <w:sz w:val="12"/>
              </w:rPr>
              <w:t xml:space="preserve">Food Inspectors on Food Safety </w:t>
            </w:r>
            <w:r>
              <w:rPr>
                <w:color w:val="231F20"/>
                <w:spacing w:val="-4"/>
                <w:sz w:val="12"/>
              </w:rPr>
              <w:t xml:space="preserve">and </w:t>
            </w:r>
            <w:r>
              <w:rPr>
                <w:color w:val="231F20"/>
                <w:sz w:val="12"/>
              </w:rPr>
              <w:t>quality trained</w:t>
            </w:r>
          </w:p>
          <w:p w14:paraId="64C6F7FC" w14:textId="77777777" w:rsidR="009948F1" w:rsidRDefault="00BC0563">
            <w:pPr>
              <w:pStyle w:val="TableParagraph"/>
              <w:numPr>
                <w:ilvl w:val="0"/>
                <w:numId w:val="89"/>
              </w:numPr>
              <w:tabs>
                <w:tab w:val="left" w:pos="103"/>
              </w:tabs>
              <w:spacing w:line="118" w:lineRule="exact"/>
              <w:ind w:left="102" w:hanging="77"/>
              <w:rPr>
                <w:sz w:val="12"/>
              </w:rPr>
            </w:pPr>
            <w:r>
              <w:rPr>
                <w:color w:val="231F20"/>
                <w:sz w:val="12"/>
              </w:rPr>
              <w:t>Review meeting of the Food</w:t>
            </w:r>
            <w:r>
              <w:rPr>
                <w:color w:val="231F20"/>
                <w:spacing w:val="-1"/>
                <w:sz w:val="12"/>
              </w:rPr>
              <w:t xml:space="preserve"> </w:t>
            </w:r>
            <w:r>
              <w:rPr>
                <w:color w:val="231F20"/>
                <w:sz w:val="12"/>
              </w:rPr>
              <w:t>Inspectors</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40247263"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514512C3" w14:textId="77777777" w:rsidR="009948F1" w:rsidRDefault="009948F1">
            <w:pPr>
              <w:pStyle w:val="TableParagraph"/>
              <w:rPr>
                <w:rFonts w:ascii="Times New Roman"/>
                <w:sz w:val="12"/>
              </w:rPr>
            </w:pPr>
          </w:p>
        </w:tc>
      </w:tr>
      <w:tr w:rsidR="009948F1" w14:paraId="3368FEF0" w14:textId="77777777">
        <w:trPr>
          <w:trHeight w:val="298"/>
        </w:trPr>
        <w:tc>
          <w:tcPr>
            <w:tcW w:w="865" w:type="dxa"/>
            <w:gridSpan w:val="2"/>
            <w:vMerge w:val="restart"/>
            <w:tcBorders>
              <w:top w:val="nil"/>
              <w:bottom w:val="nil"/>
              <w:right w:val="single" w:sz="6" w:space="0" w:color="231F20"/>
            </w:tcBorders>
          </w:tcPr>
          <w:p w14:paraId="71FA03E4" w14:textId="77777777" w:rsidR="009948F1" w:rsidRDefault="009948F1">
            <w:pPr>
              <w:pStyle w:val="TableParagraph"/>
              <w:rPr>
                <w:rFonts w:ascii="Times New Roman"/>
                <w:sz w:val="12"/>
              </w:rPr>
            </w:pPr>
          </w:p>
        </w:tc>
        <w:tc>
          <w:tcPr>
            <w:tcW w:w="532" w:type="dxa"/>
            <w:tcBorders>
              <w:top w:val="single" w:sz="6" w:space="0" w:color="231F20"/>
              <w:left w:val="single" w:sz="6" w:space="0" w:color="231F20"/>
              <w:bottom w:val="single" w:sz="6" w:space="0" w:color="231F20"/>
              <w:right w:val="single" w:sz="6" w:space="0" w:color="231F20"/>
            </w:tcBorders>
          </w:tcPr>
          <w:p w14:paraId="1F743991" w14:textId="77777777" w:rsidR="009948F1" w:rsidRDefault="00BC0563">
            <w:pPr>
              <w:pStyle w:val="TableParagraph"/>
              <w:spacing w:before="82"/>
              <w:ind w:left="66" w:right="43"/>
              <w:jc w:val="center"/>
              <w:rPr>
                <w:sz w:val="12"/>
              </w:rPr>
            </w:pPr>
            <w:r>
              <w:rPr>
                <w:color w:val="231F20"/>
                <w:sz w:val="12"/>
              </w:rPr>
              <w:t>8.2.4.a</w:t>
            </w:r>
          </w:p>
        </w:tc>
        <w:tc>
          <w:tcPr>
            <w:tcW w:w="4953" w:type="dxa"/>
            <w:gridSpan w:val="2"/>
            <w:tcBorders>
              <w:top w:val="single" w:sz="6" w:space="0" w:color="231F20"/>
              <w:left w:val="single" w:sz="6" w:space="0" w:color="231F20"/>
              <w:bottom w:val="single" w:sz="6" w:space="0" w:color="231F20"/>
              <w:right w:val="single" w:sz="6" w:space="0" w:color="231F20"/>
            </w:tcBorders>
          </w:tcPr>
          <w:p w14:paraId="48D12D57" w14:textId="77777777" w:rsidR="009948F1" w:rsidRDefault="00BC0563">
            <w:pPr>
              <w:pStyle w:val="TableParagraph"/>
              <w:spacing w:before="77"/>
              <w:ind w:left="26"/>
              <w:rPr>
                <w:sz w:val="12"/>
              </w:rPr>
            </w:pPr>
            <w:r>
              <w:rPr>
                <w:color w:val="231F20"/>
                <w:sz w:val="12"/>
              </w:rPr>
              <w:t>Mapping of the Food inspectors in the State.</w:t>
            </w:r>
          </w:p>
        </w:tc>
        <w:tc>
          <w:tcPr>
            <w:tcW w:w="1444" w:type="dxa"/>
            <w:tcBorders>
              <w:top w:val="single" w:sz="6" w:space="0" w:color="231F20"/>
              <w:left w:val="single" w:sz="6" w:space="0" w:color="231F20"/>
              <w:bottom w:val="single" w:sz="6" w:space="0" w:color="231F20"/>
              <w:right w:val="single" w:sz="6" w:space="0" w:color="231F20"/>
            </w:tcBorders>
          </w:tcPr>
          <w:p w14:paraId="1BC54F41" w14:textId="77777777" w:rsidR="009948F1" w:rsidRDefault="00BC0563">
            <w:pPr>
              <w:pStyle w:val="TableParagraph"/>
              <w:spacing w:before="82"/>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B7E329F" w14:textId="77777777" w:rsidR="009948F1" w:rsidRDefault="00BC0563">
            <w:pPr>
              <w:pStyle w:val="TableParagraph"/>
              <w:spacing w:before="82"/>
              <w:ind w:left="27"/>
              <w:rPr>
                <w:sz w:val="12"/>
              </w:rPr>
            </w:pPr>
            <w:r>
              <w:rPr>
                <w:color w:val="231F20"/>
                <w:sz w:val="12"/>
              </w:rPr>
              <w:t>Conduct mapping</w:t>
            </w:r>
          </w:p>
        </w:tc>
      </w:tr>
      <w:tr w:rsidR="009948F1" w14:paraId="04CD4761" w14:textId="77777777">
        <w:trPr>
          <w:trHeight w:val="286"/>
        </w:trPr>
        <w:tc>
          <w:tcPr>
            <w:tcW w:w="865" w:type="dxa"/>
            <w:gridSpan w:val="2"/>
            <w:vMerge/>
            <w:tcBorders>
              <w:top w:val="nil"/>
              <w:bottom w:val="nil"/>
              <w:right w:val="single" w:sz="6" w:space="0" w:color="231F20"/>
            </w:tcBorders>
          </w:tcPr>
          <w:p w14:paraId="5E091CB8"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1E9FAF63" w14:textId="77777777" w:rsidR="009948F1" w:rsidRDefault="00BC0563">
            <w:pPr>
              <w:pStyle w:val="TableParagraph"/>
              <w:spacing w:before="77"/>
              <w:ind w:left="66" w:right="43"/>
              <w:jc w:val="center"/>
              <w:rPr>
                <w:sz w:val="12"/>
              </w:rPr>
            </w:pPr>
            <w:r>
              <w:rPr>
                <w:color w:val="231F20"/>
                <w:sz w:val="12"/>
              </w:rPr>
              <w:t>8.2.4.b</w:t>
            </w:r>
          </w:p>
        </w:tc>
        <w:tc>
          <w:tcPr>
            <w:tcW w:w="4953" w:type="dxa"/>
            <w:gridSpan w:val="2"/>
            <w:tcBorders>
              <w:top w:val="single" w:sz="6" w:space="0" w:color="231F20"/>
              <w:left w:val="single" w:sz="6" w:space="0" w:color="231F20"/>
              <w:bottom w:val="single" w:sz="6" w:space="0" w:color="231F20"/>
              <w:right w:val="single" w:sz="6" w:space="0" w:color="231F20"/>
            </w:tcBorders>
          </w:tcPr>
          <w:p w14:paraId="6F183C0F" w14:textId="77777777" w:rsidR="009948F1" w:rsidRDefault="00BC0563">
            <w:pPr>
              <w:pStyle w:val="TableParagraph"/>
              <w:spacing w:before="72"/>
              <w:ind w:left="26"/>
              <w:rPr>
                <w:sz w:val="12"/>
              </w:rPr>
            </w:pPr>
            <w:r>
              <w:rPr>
                <w:color w:val="231F20"/>
                <w:sz w:val="12"/>
              </w:rPr>
              <w:t>Development of SOP on Food Safety and Quality</w:t>
            </w:r>
          </w:p>
        </w:tc>
        <w:tc>
          <w:tcPr>
            <w:tcW w:w="1444" w:type="dxa"/>
            <w:tcBorders>
              <w:top w:val="single" w:sz="6" w:space="0" w:color="231F20"/>
              <w:left w:val="single" w:sz="6" w:space="0" w:color="231F20"/>
              <w:bottom w:val="single" w:sz="6" w:space="0" w:color="231F20"/>
              <w:right w:val="single" w:sz="6" w:space="0" w:color="231F20"/>
            </w:tcBorders>
          </w:tcPr>
          <w:p w14:paraId="0FC4F626" w14:textId="77777777" w:rsidR="009948F1" w:rsidRDefault="00BC0563">
            <w:pPr>
              <w:pStyle w:val="TableParagraph"/>
              <w:spacing w:before="77"/>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223DC76" w14:textId="77777777" w:rsidR="009948F1" w:rsidRDefault="00BC0563">
            <w:pPr>
              <w:pStyle w:val="TableParagraph"/>
              <w:spacing w:before="77"/>
              <w:ind w:left="27"/>
              <w:rPr>
                <w:sz w:val="12"/>
              </w:rPr>
            </w:pPr>
            <w:r>
              <w:rPr>
                <w:color w:val="231F20"/>
                <w:sz w:val="12"/>
              </w:rPr>
              <w:t>Development of SOP</w:t>
            </w:r>
          </w:p>
        </w:tc>
      </w:tr>
      <w:tr w:rsidR="009948F1" w14:paraId="10B5608E" w14:textId="77777777">
        <w:trPr>
          <w:trHeight w:val="302"/>
        </w:trPr>
        <w:tc>
          <w:tcPr>
            <w:tcW w:w="865" w:type="dxa"/>
            <w:gridSpan w:val="2"/>
            <w:vMerge/>
            <w:tcBorders>
              <w:top w:val="nil"/>
              <w:bottom w:val="nil"/>
              <w:right w:val="single" w:sz="6" w:space="0" w:color="231F20"/>
            </w:tcBorders>
          </w:tcPr>
          <w:p w14:paraId="523803AB"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49F19023" w14:textId="77777777" w:rsidR="009948F1" w:rsidRDefault="00BC0563">
            <w:pPr>
              <w:pStyle w:val="TableParagraph"/>
              <w:spacing w:before="84"/>
              <w:ind w:left="66" w:right="43"/>
              <w:jc w:val="center"/>
              <w:rPr>
                <w:sz w:val="12"/>
              </w:rPr>
            </w:pPr>
            <w:r>
              <w:rPr>
                <w:color w:val="231F20"/>
                <w:sz w:val="12"/>
              </w:rPr>
              <w:t>8.2.4.c</w:t>
            </w:r>
          </w:p>
        </w:tc>
        <w:tc>
          <w:tcPr>
            <w:tcW w:w="4953" w:type="dxa"/>
            <w:gridSpan w:val="2"/>
            <w:tcBorders>
              <w:top w:val="single" w:sz="6" w:space="0" w:color="231F20"/>
              <w:left w:val="single" w:sz="6" w:space="0" w:color="231F20"/>
              <w:bottom w:val="single" w:sz="6" w:space="0" w:color="231F20"/>
              <w:right w:val="single" w:sz="6" w:space="0" w:color="231F20"/>
            </w:tcBorders>
          </w:tcPr>
          <w:p w14:paraId="53336076" w14:textId="77777777" w:rsidR="009948F1" w:rsidRDefault="00BC0563">
            <w:pPr>
              <w:pStyle w:val="TableParagraph"/>
              <w:spacing w:before="79"/>
              <w:ind w:left="26"/>
              <w:rPr>
                <w:sz w:val="12"/>
              </w:rPr>
            </w:pPr>
            <w:r>
              <w:rPr>
                <w:color w:val="231F20"/>
                <w:sz w:val="12"/>
              </w:rPr>
              <w:t>Training of Food Inspectors on Food Safety and quality.</w:t>
            </w:r>
          </w:p>
        </w:tc>
        <w:tc>
          <w:tcPr>
            <w:tcW w:w="1444" w:type="dxa"/>
            <w:tcBorders>
              <w:top w:val="single" w:sz="6" w:space="0" w:color="231F20"/>
              <w:left w:val="single" w:sz="6" w:space="0" w:color="231F20"/>
              <w:bottom w:val="single" w:sz="6" w:space="0" w:color="231F20"/>
              <w:right w:val="single" w:sz="6" w:space="0" w:color="231F20"/>
            </w:tcBorders>
          </w:tcPr>
          <w:p w14:paraId="75086F39"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F9FCE2C" w14:textId="77777777" w:rsidR="009948F1" w:rsidRDefault="00BC0563">
            <w:pPr>
              <w:pStyle w:val="TableParagraph"/>
              <w:spacing w:before="84"/>
              <w:ind w:left="27"/>
              <w:rPr>
                <w:sz w:val="12"/>
              </w:rPr>
            </w:pPr>
            <w:r>
              <w:rPr>
                <w:color w:val="231F20"/>
                <w:sz w:val="12"/>
              </w:rPr>
              <w:t>Training of Food Inspectors</w:t>
            </w:r>
          </w:p>
        </w:tc>
      </w:tr>
      <w:tr w:rsidR="009948F1" w14:paraId="35412ED3" w14:textId="77777777">
        <w:trPr>
          <w:trHeight w:val="309"/>
        </w:trPr>
        <w:tc>
          <w:tcPr>
            <w:tcW w:w="865" w:type="dxa"/>
            <w:gridSpan w:val="2"/>
            <w:vMerge/>
            <w:tcBorders>
              <w:top w:val="nil"/>
              <w:bottom w:val="nil"/>
              <w:right w:val="single" w:sz="6" w:space="0" w:color="231F20"/>
            </w:tcBorders>
          </w:tcPr>
          <w:p w14:paraId="1945D0A6"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26623876" w14:textId="77777777" w:rsidR="009948F1" w:rsidRDefault="00BC0563">
            <w:pPr>
              <w:pStyle w:val="TableParagraph"/>
              <w:spacing w:before="88"/>
              <w:ind w:left="66" w:right="43"/>
              <w:jc w:val="center"/>
              <w:rPr>
                <w:sz w:val="12"/>
              </w:rPr>
            </w:pPr>
            <w:r>
              <w:rPr>
                <w:color w:val="231F20"/>
                <w:sz w:val="12"/>
              </w:rPr>
              <w:t>8.2.4.d</w:t>
            </w:r>
          </w:p>
        </w:tc>
        <w:tc>
          <w:tcPr>
            <w:tcW w:w="4953" w:type="dxa"/>
            <w:gridSpan w:val="2"/>
            <w:tcBorders>
              <w:top w:val="single" w:sz="6" w:space="0" w:color="231F20"/>
              <w:left w:val="single" w:sz="6" w:space="0" w:color="231F20"/>
              <w:bottom w:val="single" w:sz="6" w:space="0" w:color="231F20"/>
              <w:right w:val="single" w:sz="6" w:space="0" w:color="231F20"/>
            </w:tcBorders>
          </w:tcPr>
          <w:p w14:paraId="211CDDA3" w14:textId="77777777" w:rsidR="009948F1" w:rsidRDefault="00BC0563">
            <w:pPr>
              <w:pStyle w:val="TableParagraph"/>
              <w:spacing w:before="83"/>
              <w:ind w:left="26"/>
              <w:rPr>
                <w:sz w:val="12"/>
              </w:rPr>
            </w:pPr>
            <w:r>
              <w:rPr>
                <w:color w:val="231F20"/>
                <w:sz w:val="12"/>
              </w:rPr>
              <w:t>Review meeting for Food Inspectors and members of the Food/Nutrition committee.</w:t>
            </w:r>
          </w:p>
        </w:tc>
        <w:tc>
          <w:tcPr>
            <w:tcW w:w="1444" w:type="dxa"/>
            <w:tcBorders>
              <w:top w:val="single" w:sz="6" w:space="0" w:color="231F20"/>
              <w:left w:val="single" w:sz="6" w:space="0" w:color="231F20"/>
              <w:bottom w:val="single" w:sz="6" w:space="0" w:color="231F20"/>
              <w:right w:val="single" w:sz="6" w:space="0" w:color="231F20"/>
            </w:tcBorders>
          </w:tcPr>
          <w:p w14:paraId="6B6F76BA" w14:textId="77777777" w:rsidR="009948F1" w:rsidRDefault="00BC0563">
            <w:pPr>
              <w:pStyle w:val="TableParagraph"/>
              <w:spacing w:before="88"/>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E2AA679" w14:textId="77777777" w:rsidR="009948F1" w:rsidRDefault="00BC0563">
            <w:pPr>
              <w:pStyle w:val="TableParagraph"/>
              <w:spacing w:before="88"/>
              <w:ind w:left="27"/>
              <w:rPr>
                <w:sz w:val="12"/>
              </w:rPr>
            </w:pPr>
            <w:r>
              <w:rPr>
                <w:color w:val="231F20"/>
                <w:sz w:val="12"/>
              </w:rPr>
              <w:t>Review meeting</w:t>
            </w:r>
          </w:p>
        </w:tc>
      </w:tr>
      <w:tr w:rsidR="009948F1" w14:paraId="71F78E0A" w14:textId="77777777">
        <w:trPr>
          <w:trHeight w:val="940"/>
        </w:trPr>
        <w:tc>
          <w:tcPr>
            <w:tcW w:w="405" w:type="dxa"/>
            <w:tcBorders>
              <w:top w:val="nil"/>
              <w:bottom w:val="nil"/>
              <w:right w:val="single" w:sz="6" w:space="0" w:color="231F20"/>
            </w:tcBorders>
          </w:tcPr>
          <w:p w14:paraId="20AE1757" w14:textId="77777777" w:rsidR="009948F1" w:rsidRDefault="009948F1">
            <w:pPr>
              <w:pStyle w:val="TableParagraph"/>
              <w:rPr>
                <w:rFonts w:ascii="Times New Roman"/>
                <w:sz w:val="12"/>
              </w:rPr>
            </w:pPr>
          </w:p>
        </w:tc>
        <w:tc>
          <w:tcPr>
            <w:tcW w:w="460" w:type="dxa"/>
            <w:tcBorders>
              <w:top w:val="single" w:sz="6" w:space="0" w:color="231F20"/>
              <w:left w:val="single" w:sz="6" w:space="0" w:color="231F20"/>
              <w:bottom w:val="single" w:sz="6" w:space="0" w:color="231F20"/>
              <w:right w:val="single" w:sz="6" w:space="0" w:color="231F20"/>
            </w:tcBorders>
            <w:shd w:val="clear" w:color="auto" w:fill="CCE7D3"/>
          </w:tcPr>
          <w:p w14:paraId="51C23168" w14:textId="77777777" w:rsidR="009948F1" w:rsidRDefault="009948F1">
            <w:pPr>
              <w:pStyle w:val="TableParagraph"/>
              <w:rPr>
                <w:sz w:val="12"/>
              </w:rPr>
            </w:pPr>
          </w:p>
          <w:p w14:paraId="21EE4397" w14:textId="77777777" w:rsidR="009948F1" w:rsidRDefault="009948F1">
            <w:pPr>
              <w:pStyle w:val="TableParagraph"/>
              <w:rPr>
                <w:sz w:val="12"/>
              </w:rPr>
            </w:pPr>
          </w:p>
          <w:p w14:paraId="4CA3C568" w14:textId="77777777" w:rsidR="009948F1" w:rsidRDefault="009948F1">
            <w:pPr>
              <w:pStyle w:val="TableParagraph"/>
              <w:rPr>
                <w:sz w:val="11"/>
              </w:rPr>
            </w:pPr>
          </w:p>
          <w:p w14:paraId="41D9008C" w14:textId="77777777" w:rsidR="009948F1" w:rsidRDefault="00BC0563">
            <w:pPr>
              <w:pStyle w:val="TableParagraph"/>
              <w:ind w:left="59"/>
              <w:rPr>
                <w:sz w:val="12"/>
              </w:rPr>
            </w:pPr>
            <w:r>
              <w:rPr>
                <w:color w:val="231F20"/>
                <w:sz w:val="12"/>
              </w:rPr>
              <w:t>8.2.5</w:t>
            </w:r>
          </w:p>
        </w:tc>
        <w:tc>
          <w:tcPr>
            <w:tcW w:w="3073" w:type="dxa"/>
            <w:gridSpan w:val="2"/>
            <w:tcBorders>
              <w:top w:val="single" w:sz="6" w:space="0" w:color="231F20"/>
              <w:left w:val="single" w:sz="6" w:space="0" w:color="231F20"/>
              <w:bottom w:val="single" w:sz="6" w:space="0" w:color="231F20"/>
              <w:right w:val="single" w:sz="6" w:space="0" w:color="231F20"/>
            </w:tcBorders>
            <w:shd w:val="clear" w:color="auto" w:fill="CCE7D3"/>
          </w:tcPr>
          <w:p w14:paraId="3CF6C590" w14:textId="77777777" w:rsidR="009948F1" w:rsidRDefault="009948F1">
            <w:pPr>
              <w:pStyle w:val="TableParagraph"/>
              <w:rPr>
                <w:sz w:val="12"/>
              </w:rPr>
            </w:pPr>
          </w:p>
          <w:p w14:paraId="620602D2" w14:textId="77777777" w:rsidR="009948F1" w:rsidRDefault="009948F1">
            <w:pPr>
              <w:pStyle w:val="TableParagraph"/>
              <w:spacing w:before="10"/>
              <w:rPr>
                <w:sz w:val="15"/>
              </w:rPr>
            </w:pPr>
          </w:p>
          <w:p w14:paraId="1BA72681" w14:textId="65F467C2" w:rsidR="009948F1" w:rsidRDefault="00BC0563">
            <w:pPr>
              <w:pStyle w:val="TableParagraph"/>
              <w:spacing w:line="271" w:lineRule="auto"/>
              <w:ind w:left="26" w:right="264" w:firstLine="33"/>
              <w:rPr>
                <w:sz w:val="12"/>
              </w:rPr>
            </w:pPr>
            <w:r>
              <w:rPr>
                <w:color w:val="231F20"/>
                <w:sz w:val="12"/>
              </w:rPr>
              <w:t xml:space="preserve">Promote the practice of food safety across the food production pipe line from farm to the </w:t>
            </w:r>
            <w:r w:rsidR="00A93E69">
              <w:rPr>
                <w:color w:val="231F20"/>
                <w:sz w:val="12"/>
              </w:rPr>
              <w:t>table.</w:t>
            </w:r>
          </w:p>
        </w:tc>
        <w:tc>
          <w:tcPr>
            <w:tcW w:w="2412" w:type="dxa"/>
            <w:tcBorders>
              <w:top w:val="single" w:sz="6" w:space="0" w:color="231F20"/>
              <w:left w:val="single" w:sz="6" w:space="0" w:color="231F20"/>
              <w:bottom w:val="single" w:sz="6" w:space="0" w:color="231F20"/>
              <w:right w:val="single" w:sz="6" w:space="0" w:color="231F20"/>
            </w:tcBorders>
            <w:shd w:val="clear" w:color="auto" w:fill="CCE7D3"/>
          </w:tcPr>
          <w:p w14:paraId="767CF222" w14:textId="77777777" w:rsidR="009948F1" w:rsidRDefault="00BC0563">
            <w:pPr>
              <w:pStyle w:val="TableParagraph"/>
              <w:numPr>
                <w:ilvl w:val="0"/>
                <w:numId w:val="88"/>
              </w:numPr>
              <w:tabs>
                <w:tab w:val="left" w:pos="103"/>
              </w:tabs>
              <w:spacing w:before="92" w:line="271" w:lineRule="auto"/>
              <w:ind w:right="136" w:firstLine="0"/>
              <w:rPr>
                <w:sz w:val="12"/>
              </w:rPr>
            </w:pPr>
            <w:r>
              <w:rPr>
                <w:color w:val="231F20"/>
                <w:sz w:val="12"/>
              </w:rPr>
              <w:t xml:space="preserve">Collaboration with the relevant </w:t>
            </w:r>
            <w:r>
              <w:rPr>
                <w:color w:val="231F20"/>
                <w:spacing w:val="-3"/>
                <w:sz w:val="12"/>
              </w:rPr>
              <w:t xml:space="preserve">Ministries </w:t>
            </w:r>
            <w:r>
              <w:rPr>
                <w:color w:val="231F20"/>
                <w:sz w:val="12"/>
              </w:rPr>
              <w:t>and Parastatals in the state</w:t>
            </w:r>
            <w:r>
              <w:rPr>
                <w:color w:val="231F20"/>
                <w:spacing w:val="-1"/>
                <w:sz w:val="12"/>
              </w:rPr>
              <w:t xml:space="preserve"> </w:t>
            </w:r>
            <w:r>
              <w:rPr>
                <w:color w:val="231F20"/>
                <w:sz w:val="12"/>
              </w:rPr>
              <w:t>done</w:t>
            </w:r>
          </w:p>
          <w:p w14:paraId="3262094C" w14:textId="77777777" w:rsidR="009948F1" w:rsidRDefault="00BC0563">
            <w:pPr>
              <w:pStyle w:val="TableParagraph"/>
              <w:numPr>
                <w:ilvl w:val="0"/>
                <w:numId w:val="88"/>
              </w:numPr>
              <w:tabs>
                <w:tab w:val="left" w:pos="103"/>
              </w:tabs>
              <w:spacing w:line="271" w:lineRule="auto"/>
              <w:ind w:right="156" w:firstLine="0"/>
              <w:rPr>
                <w:sz w:val="12"/>
              </w:rPr>
            </w:pPr>
            <w:r>
              <w:rPr>
                <w:color w:val="231F20"/>
                <w:sz w:val="12"/>
              </w:rPr>
              <w:t xml:space="preserve">Collaboration with Ministry of </w:t>
            </w:r>
            <w:r>
              <w:rPr>
                <w:color w:val="231F20"/>
                <w:spacing w:val="-3"/>
                <w:sz w:val="12"/>
              </w:rPr>
              <w:t xml:space="preserve">Agriculture </w:t>
            </w:r>
            <w:r>
              <w:rPr>
                <w:color w:val="231F20"/>
                <w:sz w:val="12"/>
              </w:rPr>
              <w:t>and ADP</w:t>
            </w:r>
            <w:r>
              <w:rPr>
                <w:color w:val="231F20"/>
                <w:spacing w:val="-10"/>
                <w:sz w:val="12"/>
              </w:rPr>
              <w:t xml:space="preserve"> </w:t>
            </w:r>
            <w:r>
              <w:rPr>
                <w:color w:val="231F20"/>
                <w:sz w:val="12"/>
              </w:rPr>
              <w:t>done</w:t>
            </w:r>
          </w:p>
          <w:p w14:paraId="760B87B1" w14:textId="77777777" w:rsidR="009948F1" w:rsidRDefault="00BC0563">
            <w:pPr>
              <w:pStyle w:val="TableParagraph"/>
              <w:numPr>
                <w:ilvl w:val="0"/>
                <w:numId w:val="88"/>
              </w:numPr>
              <w:tabs>
                <w:tab w:val="left" w:pos="103"/>
              </w:tabs>
              <w:spacing w:line="137" w:lineRule="exact"/>
              <w:ind w:left="102" w:hanging="77"/>
              <w:rPr>
                <w:sz w:val="12"/>
              </w:rPr>
            </w:pPr>
            <w:r>
              <w:rPr>
                <w:color w:val="231F20"/>
                <w:sz w:val="12"/>
              </w:rPr>
              <w:t>Farmers</w:t>
            </w:r>
            <w:r>
              <w:rPr>
                <w:color w:val="231F20"/>
                <w:spacing w:val="-1"/>
                <w:sz w:val="12"/>
              </w:rPr>
              <w:t xml:space="preserve"> </w:t>
            </w:r>
            <w:r>
              <w:rPr>
                <w:color w:val="231F20"/>
                <w:sz w:val="12"/>
              </w:rPr>
              <w:t>trained</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33617E66"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3E3AD483" w14:textId="77777777" w:rsidR="009948F1" w:rsidRDefault="009948F1">
            <w:pPr>
              <w:pStyle w:val="TableParagraph"/>
              <w:rPr>
                <w:rFonts w:ascii="Times New Roman"/>
                <w:sz w:val="12"/>
              </w:rPr>
            </w:pPr>
          </w:p>
        </w:tc>
      </w:tr>
      <w:tr w:rsidR="009948F1" w14:paraId="174C8356" w14:textId="77777777">
        <w:trPr>
          <w:trHeight w:val="473"/>
        </w:trPr>
        <w:tc>
          <w:tcPr>
            <w:tcW w:w="865" w:type="dxa"/>
            <w:gridSpan w:val="2"/>
            <w:vMerge w:val="restart"/>
            <w:tcBorders>
              <w:top w:val="nil"/>
              <w:bottom w:val="single" w:sz="6" w:space="0" w:color="231F20"/>
              <w:right w:val="single" w:sz="6" w:space="0" w:color="231F20"/>
            </w:tcBorders>
          </w:tcPr>
          <w:p w14:paraId="4110F76A" w14:textId="77777777" w:rsidR="009948F1" w:rsidRDefault="009948F1">
            <w:pPr>
              <w:pStyle w:val="TableParagraph"/>
              <w:rPr>
                <w:rFonts w:ascii="Times New Roman"/>
                <w:sz w:val="12"/>
              </w:rPr>
            </w:pPr>
          </w:p>
        </w:tc>
        <w:tc>
          <w:tcPr>
            <w:tcW w:w="532" w:type="dxa"/>
            <w:tcBorders>
              <w:top w:val="single" w:sz="6" w:space="0" w:color="231F20"/>
              <w:left w:val="single" w:sz="6" w:space="0" w:color="231F20"/>
              <w:bottom w:val="single" w:sz="6" w:space="0" w:color="231F20"/>
              <w:right w:val="single" w:sz="6" w:space="0" w:color="231F20"/>
            </w:tcBorders>
          </w:tcPr>
          <w:p w14:paraId="42F078FF" w14:textId="77777777" w:rsidR="009948F1" w:rsidRDefault="009948F1">
            <w:pPr>
              <w:pStyle w:val="TableParagraph"/>
              <w:spacing w:before="9"/>
              <w:rPr>
                <w:sz w:val="14"/>
              </w:rPr>
            </w:pPr>
          </w:p>
          <w:p w14:paraId="1E5EA029" w14:textId="77777777" w:rsidR="009948F1" w:rsidRDefault="00BC0563">
            <w:pPr>
              <w:pStyle w:val="TableParagraph"/>
              <w:ind w:left="66" w:right="43"/>
              <w:jc w:val="center"/>
              <w:rPr>
                <w:sz w:val="12"/>
              </w:rPr>
            </w:pPr>
            <w:r>
              <w:rPr>
                <w:color w:val="231F20"/>
                <w:sz w:val="12"/>
              </w:rPr>
              <w:t>8.2.5.a</w:t>
            </w:r>
          </w:p>
        </w:tc>
        <w:tc>
          <w:tcPr>
            <w:tcW w:w="4953" w:type="dxa"/>
            <w:gridSpan w:val="2"/>
            <w:tcBorders>
              <w:top w:val="single" w:sz="6" w:space="0" w:color="231F20"/>
              <w:left w:val="single" w:sz="6" w:space="0" w:color="231F20"/>
              <w:bottom w:val="single" w:sz="6" w:space="0" w:color="231F20"/>
              <w:right w:val="single" w:sz="6" w:space="0" w:color="231F20"/>
            </w:tcBorders>
          </w:tcPr>
          <w:p w14:paraId="2F331059" w14:textId="77777777" w:rsidR="009948F1" w:rsidRDefault="00BC0563">
            <w:pPr>
              <w:pStyle w:val="TableParagraph"/>
              <w:spacing w:before="87" w:line="271" w:lineRule="auto"/>
              <w:ind w:left="26" w:right="82"/>
              <w:rPr>
                <w:sz w:val="12"/>
              </w:rPr>
            </w:pPr>
            <w:r>
              <w:rPr>
                <w:color w:val="231F20"/>
                <w:sz w:val="12"/>
              </w:rPr>
              <w:t>Collaborate with the relevant Ministries and Parastatals in the state to promote the practice of Food Safety and quality e.g. Ministry of Agriculture, ADP, Ministry of Education, etc.</w:t>
            </w:r>
          </w:p>
        </w:tc>
        <w:tc>
          <w:tcPr>
            <w:tcW w:w="1444" w:type="dxa"/>
            <w:tcBorders>
              <w:top w:val="single" w:sz="6" w:space="0" w:color="231F20"/>
              <w:left w:val="single" w:sz="6" w:space="0" w:color="231F20"/>
              <w:bottom w:val="single" w:sz="6" w:space="0" w:color="231F20"/>
              <w:right w:val="single" w:sz="6" w:space="0" w:color="231F20"/>
            </w:tcBorders>
          </w:tcPr>
          <w:p w14:paraId="5506FCCC" w14:textId="77777777" w:rsidR="009948F1" w:rsidRDefault="009948F1">
            <w:pPr>
              <w:pStyle w:val="TableParagraph"/>
              <w:spacing w:before="9"/>
              <w:rPr>
                <w:sz w:val="14"/>
              </w:rPr>
            </w:pPr>
          </w:p>
          <w:p w14:paraId="081D0F7B" w14:textId="77777777" w:rsidR="009948F1" w:rsidRDefault="00BC0563">
            <w:pPr>
              <w:pStyle w:val="TableParagraph"/>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DE78E57" w14:textId="77777777" w:rsidR="009948F1" w:rsidRDefault="00BC0563">
            <w:pPr>
              <w:pStyle w:val="TableParagraph"/>
              <w:spacing w:before="92" w:line="271" w:lineRule="auto"/>
              <w:ind w:left="27" w:right="400"/>
              <w:rPr>
                <w:sz w:val="12"/>
              </w:rPr>
            </w:pPr>
            <w:r>
              <w:rPr>
                <w:color w:val="231F20"/>
                <w:sz w:val="12"/>
              </w:rPr>
              <w:t>Collaborate with the relevant Ministries</w:t>
            </w:r>
          </w:p>
        </w:tc>
      </w:tr>
      <w:tr w:rsidR="009948F1" w14:paraId="21B39032" w14:textId="77777777">
        <w:trPr>
          <w:trHeight w:val="466"/>
        </w:trPr>
        <w:tc>
          <w:tcPr>
            <w:tcW w:w="865" w:type="dxa"/>
            <w:gridSpan w:val="2"/>
            <w:vMerge/>
            <w:tcBorders>
              <w:top w:val="nil"/>
              <w:bottom w:val="single" w:sz="6" w:space="0" w:color="231F20"/>
              <w:right w:val="single" w:sz="6" w:space="0" w:color="231F20"/>
            </w:tcBorders>
          </w:tcPr>
          <w:p w14:paraId="6D574B03"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48E5AAF3" w14:textId="77777777" w:rsidR="009948F1" w:rsidRDefault="009948F1">
            <w:pPr>
              <w:pStyle w:val="TableParagraph"/>
              <w:spacing w:before="5"/>
              <w:rPr>
                <w:sz w:val="14"/>
              </w:rPr>
            </w:pPr>
          </w:p>
          <w:p w14:paraId="2DDC05AB" w14:textId="77777777" w:rsidR="009948F1" w:rsidRDefault="00BC0563">
            <w:pPr>
              <w:pStyle w:val="TableParagraph"/>
              <w:ind w:left="66" w:right="43"/>
              <w:jc w:val="center"/>
              <w:rPr>
                <w:sz w:val="12"/>
              </w:rPr>
            </w:pPr>
            <w:r>
              <w:rPr>
                <w:color w:val="231F20"/>
                <w:sz w:val="12"/>
              </w:rPr>
              <w:t>8.2.5.b</w:t>
            </w:r>
          </w:p>
        </w:tc>
        <w:tc>
          <w:tcPr>
            <w:tcW w:w="4953" w:type="dxa"/>
            <w:gridSpan w:val="2"/>
            <w:tcBorders>
              <w:top w:val="single" w:sz="6" w:space="0" w:color="231F20"/>
              <w:left w:val="single" w:sz="6" w:space="0" w:color="231F20"/>
              <w:bottom w:val="single" w:sz="6" w:space="0" w:color="231F20"/>
              <w:right w:val="single" w:sz="6" w:space="0" w:color="231F20"/>
            </w:tcBorders>
          </w:tcPr>
          <w:p w14:paraId="6CD23F58" w14:textId="77777777" w:rsidR="009948F1" w:rsidRDefault="00BC0563">
            <w:pPr>
              <w:pStyle w:val="TableParagraph"/>
              <w:spacing w:before="83" w:line="271" w:lineRule="auto"/>
              <w:ind w:left="26"/>
              <w:rPr>
                <w:sz w:val="12"/>
              </w:rPr>
            </w:pPr>
            <w:r>
              <w:rPr>
                <w:color w:val="231F20"/>
                <w:sz w:val="12"/>
              </w:rPr>
              <w:t>Collaboration with Ministry of Agriculture and ADP on food safety practice during production and processing of foods from farm to the table.</w:t>
            </w:r>
          </w:p>
        </w:tc>
        <w:tc>
          <w:tcPr>
            <w:tcW w:w="1444" w:type="dxa"/>
            <w:tcBorders>
              <w:top w:val="single" w:sz="6" w:space="0" w:color="231F20"/>
              <w:left w:val="single" w:sz="6" w:space="0" w:color="231F20"/>
              <w:bottom w:val="single" w:sz="6" w:space="0" w:color="231F20"/>
              <w:right w:val="single" w:sz="6" w:space="0" w:color="231F20"/>
            </w:tcBorders>
          </w:tcPr>
          <w:p w14:paraId="58D50515" w14:textId="77777777" w:rsidR="009948F1" w:rsidRDefault="009948F1">
            <w:pPr>
              <w:pStyle w:val="TableParagraph"/>
              <w:spacing w:before="5"/>
              <w:rPr>
                <w:sz w:val="14"/>
              </w:rPr>
            </w:pPr>
          </w:p>
          <w:p w14:paraId="7F30E90A" w14:textId="77777777" w:rsidR="009948F1" w:rsidRDefault="00BC0563">
            <w:pPr>
              <w:pStyle w:val="TableParagraph"/>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26932DA" w14:textId="77777777" w:rsidR="009948F1" w:rsidRDefault="009948F1">
            <w:pPr>
              <w:pStyle w:val="TableParagraph"/>
              <w:spacing w:before="5"/>
              <w:rPr>
                <w:sz w:val="14"/>
              </w:rPr>
            </w:pPr>
          </w:p>
          <w:p w14:paraId="68D07F61" w14:textId="77777777" w:rsidR="009948F1" w:rsidRDefault="00BC0563">
            <w:pPr>
              <w:pStyle w:val="TableParagraph"/>
              <w:ind w:left="27"/>
              <w:rPr>
                <w:sz w:val="12"/>
              </w:rPr>
            </w:pPr>
            <w:r>
              <w:rPr>
                <w:color w:val="231F20"/>
                <w:sz w:val="12"/>
              </w:rPr>
              <w:t>Costed in 8..2.5a</w:t>
            </w:r>
          </w:p>
        </w:tc>
      </w:tr>
      <w:tr w:rsidR="009948F1" w14:paraId="3E30E294" w14:textId="77777777">
        <w:trPr>
          <w:trHeight w:val="302"/>
        </w:trPr>
        <w:tc>
          <w:tcPr>
            <w:tcW w:w="865" w:type="dxa"/>
            <w:gridSpan w:val="2"/>
            <w:vMerge/>
            <w:tcBorders>
              <w:top w:val="nil"/>
              <w:bottom w:val="single" w:sz="6" w:space="0" w:color="231F20"/>
              <w:right w:val="single" w:sz="6" w:space="0" w:color="231F20"/>
            </w:tcBorders>
          </w:tcPr>
          <w:p w14:paraId="00AF8D7C"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69D36DD0" w14:textId="77777777" w:rsidR="009948F1" w:rsidRDefault="00BC0563">
            <w:pPr>
              <w:pStyle w:val="TableParagraph"/>
              <w:spacing w:before="84"/>
              <w:ind w:left="66" w:right="43"/>
              <w:jc w:val="center"/>
              <w:rPr>
                <w:sz w:val="12"/>
              </w:rPr>
            </w:pPr>
            <w:r>
              <w:rPr>
                <w:color w:val="231F20"/>
                <w:sz w:val="12"/>
              </w:rPr>
              <w:t>8.2.5.c</w:t>
            </w:r>
          </w:p>
        </w:tc>
        <w:tc>
          <w:tcPr>
            <w:tcW w:w="4953" w:type="dxa"/>
            <w:gridSpan w:val="2"/>
            <w:tcBorders>
              <w:top w:val="single" w:sz="6" w:space="0" w:color="231F20"/>
              <w:left w:val="single" w:sz="6" w:space="0" w:color="231F20"/>
              <w:bottom w:val="single" w:sz="6" w:space="0" w:color="231F20"/>
              <w:right w:val="single" w:sz="6" w:space="0" w:color="231F20"/>
            </w:tcBorders>
          </w:tcPr>
          <w:p w14:paraId="6F28C55D" w14:textId="77777777" w:rsidR="009948F1" w:rsidRDefault="00BC0563">
            <w:pPr>
              <w:pStyle w:val="TableParagraph"/>
              <w:spacing w:before="3"/>
              <w:ind w:left="26"/>
              <w:rPr>
                <w:sz w:val="12"/>
              </w:rPr>
            </w:pPr>
            <w:r>
              <w:rPr>
                <w:color w:val="231F20"/>
                <w:sz w:val="12"/>
              </w:rPr>
              <w:t>Training for farmers on food safety practice during production and processing of foods from</w:t>
            </w:r>
          </w:p>
          <w:p w14:paraId="0A286F4F" w14:textId="77777777" w:rsidR="009948F1" w:rsidRDefault="00BC0563">
            <w:pPr>
              <w:pStyle w:val="TableParagraph"/>
              <w:spacing w:before="18" w:line="123" w:lineRule="exact"/>
              <w:ind w:left="26"/>
              <w:rPr>
                <w:sz w:val="12"/>
              </w:rPr>
            </w:pPr>
            <w:r>
              <w:rPr>
                <w:color w:val="231F20"/>
                <w:sz w:val="12"/>
              </w:rPr>
              <w:t>farm to the table.</w:t>
            </w:r>
          </w:p>
        </w:tc>
        <w:tc>
          <w:tcPr>
            <w:tcW w:w="1444" w:type="dxa"/>
            <w:tcBorders>
              <w:top w:val="single" w:sz="6" w:space="0" w:color="231F20"/>
              <w:left w:val="single" w:sz="6" w:space="0" w:color="231F20"/>
              <w:bottom w:val="single" w:sz="6" w:space="0" w:color="231F20"/>
              <w:right w:val="single" w:sz="6" w:space="0" w:color="231F20"/>
            </w:tcBorders>
          </w:tcPr>
          <w:p w14:paraId="4C42DA2D"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3BB8DE31" w14:textId="77777777" w:rsidR="009948F1" w:rsidRDefault="00BC0563">
            <w:pPr>
              <w:pStyle w:val="TableParagraph"/>
              <w:spacing w:before="84"/>
              <w:ind w:left="27"/>
              <w:rPr>
                <w:sz w:val="12"/>
              </w:rPr>
            </w:pPr>
            <w:r>
              <w:rPr>
                <w:color w:val="231F20"/>
                <w:sz w:val="12"/>
              </w:rPr>
              <w:t>Training for Farmers</w:t>
            </w:r>
          </w:p>
        </w:tc>
      </w:tr>
      <w:tr w:rsidR="009948F1" w14:paraId="5B235504" w14:textId="77777777">
        <w:trPr>
          <w:trHeight w:val="393"/>
        </w:trPr>
        <w:tc>
          <w:tcPr>
            <w:tcW w:w="405" w:type="dxa"/>
            <w:tcBorders>
              <w:top w:val="single" w:sz="6" w:space="0" w:color="231F20"/>
              <w:left w:val="single" w:sz="12" w:space="0" w:color="231F20"/>
              <w:bottom w:val="single" w:sz="6" w:space="0" w:color="231F20"/>
              <w:right w:val="single" w:sz="6" w:space="0" w:color="231F20"/>
            </w:tcBorders>
            <w:shd w:val="clear" w:color="auto" w:fill="FFF200"/>
          </w:tcPr>
          <w:p w14:paraId="74712D5E" w14:textId="77777777" w:rsidR="009948F1" w:rsidRDefault="009948F1">
            <w:pPr>
              <w:pStyle w:val="TableParagraph"/>
              <w:spacing w:before="4"/>
              <w:rPr>
                <w:sz w:val="11"/>
              </w:rPr>
            </w:pPr>
          </w:p>
          <w:p w14:paraId="34E654AD" w14:textId="77777777" w:rsidR="009948F1" w:rsidRDefault="00BC0563">
            <w:pPr>
              <w:pStyle w:val="TableParagraph"/>
              <w:ind w:left="179"/>
              <w:rPr>
                <w:b/>
                <w:sz w:val="12"/>
              </w:rPr>
            </w:pPr>
            <w:r>
              <w:rPr>
                <w:b/>
                <w:color w:val="231F20"/>
                <w:sz w:val="12"/>
              </w:rPr>
              <w:t>8.3</w:t>
            </w:r>
          </w:p>
        </w:tc>
        <w:tc>
          <w:tcPr>
            <w:tcW w:w="5945" w:type="dxa"/>
            <w:gridSpan w:val="4"/>
            <w:tcBorders>
              <w:top w:val="single" w:sz="6" w:space="0" w:color="231F20"/>
              <w:left w:val="single" w:sz="6" w:space="0" w:color="231F20"/>
              <w:bottom w:val="single" w:sz="6" w:space="0" w:color="231F20"/>
            </w:tcBorders>
            <w:shd w:val="clear" w:color="auto" w:fill="FFF200"/>
          </w:tcPr>
          <w:p w14:paraId="034B4F7C" w14:textId="77777777" w:rsidR="009948F1" w:rsidRDefault="009948F1">
            <w:pPr>
              <w:pStyle w:val="TableParagraph"/>
              <w:spacing w:before="11"/>
              <w:rPr>
                <w:sz w:val="10"/>
              </w:rPr>
            </w:pPr>
          </w:p>
          <w:p w14:paraId="7B350B54" w14:textId="77777777" w:rsidR="009948F1" w:rsidRDefault="00BC0563">
            <w:pPr>
              <w:pStyle w:val="TableParagraph"/>
              <w:ind w:left="59"/>
              <w:rPr>
                <w:b/>
                <w:sz w:val="12"/>
              </w:rPr>
            </w:pPr>
            <w:r>
              <w:rPr>
                <w:b/>
                <w:color w:val="231F20"/>
                <w:sz w:val="12"/>
              </w:rPr>
              <w:t>Promote universal access to safe drinking water and acceptable sanitation</w:t>
            </w:r>
          </w:p>
        </w:tc>
        <w:tc>
          <w:tcPr>
            <w:tcW w:w="2967" w:type="dxa"/>
            <w:gridSpan w:val="2"/>
            <w:tcBorders>
              <w:top w:val="single" w:sz="6" w:space="0" w:color="231F20"/>
              <w:bottom w:val="single" w:sz="6" w:space="0" w:color="231F20"/>
              <w:right w:val="single" w:sz="6" w:space="0" w:color="231F20"/>
            </w:tcBorders>
            <w:shd w:val="clear" w:color="auto" w:fill="FFF200"/>
          </w:tcPr>
          <w:p w14:paraId="3D009A11" w14:textId="77777777" w:rsidR="009948F1" w:rsidRDefault="009948F1">
            <w:pPr>
              <w:pStyle w:val="TableParagraph"/>
              <w:rPr>
                <w:rFonts w:ascii="Times New Roman"/>
                <w:sz w:val="12"/>
              </w:rPr>
            </w:pPr>
          </w:p>
        </w:tc>
      </w:tr>
      <w:tr w:rsidR="009948F1" w14:paraId="793E4D01" w14:textId="77777777">
        <w:trPr>
          <w:trHeight w:val="1291"/>
        </w:trPr>
        <w:tc>
          <w:tcPr>
            <w:tcW w:w="405" w:type="dxa"/>
            <w:tcBorders>
              <w:top w:val="single" w:sz="6" w:space="0" w:color="231F20"/>
              <w:bottom w:val="nil"/>
              <w:right w:val="single" w:sz="6" w:space="0" w:color="231F20"/>
            </w:tcBorders>
          </w:tcPr>
          <w:p w14:paraId="7581684C" w14:textId="77777777" w:rsidR="009948F1" w:rsidRDefault="009948F1">
            <w:pPr>
              <w:pStyle w:val="TableParagraph"/>
              <w:rPr>
                <w:rFonts w:ascii="Times New Roman"/>
                <w:sz w:val="12"/>
              </w:rPr>
            </w:pPr>
          </w:p>
        </w:tc>
        <w:tc>
          <w:tcPr>
            <w:tcW w:w="460" w:type="dxa"/>
            <w:tcBorders>
              <w:top w:val="single" w:sz="6" w:space="0" w:color="231F20"/>
              <w:left w:val="single" w:sz="6" w:space="0" w:color="231F20"/>
              <w:bottom w:val="single" w:sz="6" w:space="0" w:color="231F20"/>
              <w:right w:val="single" w:sz="6" w:space="0" w:color="231F20"/>
            </w:tcBorders>
            <w:shd w:val="clear" w:color="auto" w:fill="CCE7D3"/>
          </w:tcPr>
          <w:p w14:paraId="008B1064" w14:textId="77777777" w:rsidR="009948F1" w:rsidRDefault="009948F1">
            <w:pPr>
              <w:pStyle w:val="TableParagraph"/>
              <w:rPr>
                <w:sz w:val="12"/>
              </w:rPr>
            </w:pPr>
          </w:p>
          <w:p w14:paraId="72008BA4" w14:textId="77777777" w:rsidR="009948F1" w:rsidRDefault="009948F1">
            <w:pPr>
              <w:pStyle w:val="TableParagraph"/>
              <w:rPr>
                <w:sz w:val="12"/>
              </w:rPr>
            </w:pPr>
          </w:p>
          <w:p w14:paraId="19F9FF14" w14:textId="77777777" w:rsidR="009948F1" w:rsidRDefault="009948F1">
            <w:pPr>
              <w:pStyle w:val="TableParagraph"/>
              <w:rPr>
                <w:sz w:val="12"/>
              </w:rPr>
            </w:pPr>
          </w:p>
          <w:p w14:paraId="26BB61E2" w14:textId="77777777" w:rsidR="009948F1" w:rsidRDefault="009948F1">
            <w:pPr>
              <w:pStyle w:val="TableParagraph"/>
              <w:spacing w:before="3"/>
              <w:rPr>
                <w:sz w:val="14"/>
              </w:rPr>
            </w:pPr>
          </w:p>
          <w:p w14:paraId="7DA6D6BE" w14:textId="77777777" w:rsidR="009948F1" w:rsidRDefault="00BC0563">
            <w:pPr>
              <w:pStyle w:val="TableParagraph"/>
              <w:ind w:left="59"/>
              <w:rPr>
                <w:sz w:val="12"/>
              </w:rPr>
            </w:pPr>
            <w:r>
              <w:rPr>
                <w:color w:val="231F20"/>
                <w:sz w:val="12"/>
              </w:rPr>
              <w:t>8.3.1</w:t>
            </w:r>
          </w:p>
        </w:tc>
        <w:tc>
          <w:tcPr>
            <w:tcW w:w="3073" w:type="dxa"/>
            <w:gridSpan w:val="2"/>
            <w:tcBorders>
              <w:top w:val="single" w:sz="6" w:space="0" w:color="231F20"/>
              <w:left w:val="single" w:sz="6" w:space="0" w:color="231F20"/>
              <w:bottom w:val="single" w:sz="6" w:space="0" w:color="231F20"/>
              <w:right w:val="single" w:sz="6" w:space="0" w:color="231F20"/>
            </w:tcBorders>
            <w:shd w:val="clear" w:color="auto" w:fill="CCE7D3"/>
          </w:tcPr>
          <w:p w14:paraId="04892758" w14:textId="77777777" w:rsidR="009948F1" w:rsidRDefault="009948F1">
            <w:pPr>
              <w:pStyle w:val="TableParagraph"/>
              <w:rPr>
                <w:sz w:val="12"/>
              </w:rPr>
            </w:pPr>
          </w:p>
          <w:p w14:paraId="1CB7193D" w14:textId="77777777" w:rsidR="009948F1" w:rsidRDefault="009948F1">
            <w:pPr>
              <w:pStyle w:val="TableParagraph"/>
              <w:spacing w:before="7"/>
              <w:rPr>
                <w:sz w:val="17"/>
              </w:rPr>
            </w:pPr>
          </w:p>
          <w:p w14:paraId="374FEA77" w14:textId="77777777" w:rsidR="009948F1" w:rsidRDefault="00BC0563">
            <w:pPr>
              <w:pStyle w:val="TableParagraph"/>
              <w:spacing w:line="271" w:lineRule="auto"/>
              <w:ind w:left="26" w:right="190" w:firstLine="33"/>
              <w:rPr>
                <w:sz w:val="12"/>
              </w:rPr>
            </w:pPr>
            <w:r>
              <w:rPr>
                <w:color w:val="231F20"/>
                <w:sz w:val="12"/>
              </w:rPr>
              <w:t>Promote the development and the implementation of policies, plans and legislation and regulation for the provision of safe water supply and promotion of environmental health</w:t>
            </w:r>
          </w:p>
        </w:tc>
        <w:tc>
          <w:tcPr>
            <w:tcW w:w="2412" w:type="dxa"/>
            <w:tcBorders>
              <w:top w:val="single" w:sz="6" w:space="0" w:color="231F20"/>
              <w:left w:val="single" w:sz="6" w:space="0" w:color="231F20"/>
              <w:bottom w:val="single" w:sz="6" w:space="0" w:color="231F20"/>
              <w:right w:val="single" w:sz="6" w:space="0" w:color="231F20"/>
            </w:tcBorders>
            <w:shd w:val="clear" w:color="auto" w:fill="CCE7D3"/>
          </w:tcPr>
          <w:p w14:paraId="0FE29EA4" w14:textId="77777777" w:rsidR="009948F1" w:rsidRDefault="00BC0563">
            <w:pPr>
              <w:pStyle w:val="TableParagraph"/>
              <w:numPr>
                <w:ilvl w:val="0"/>
                <w:numId w:val="87"/>
              </w:numPr>
              <w:tabs>
                <w:tab w:val="left" w:pos="70"/>
              </w:tabs>
              <w:spacing w:before="3" w:line="242" w:lineRule="auto"/>
              <w:ind w:right="37" w:firstLine="0"/>
              <w:rPr>
                <w:sz w:val="12"/>
              </w:rPr>
            </w:pPr>
            <w:r>
              <w:rPr>
                <w:color w:val="231F20"/>
                <w:sz w:val="12"/>
              </w:rPr>
              <w:t xml:space="preserve">WASH committee established, quarterly meeting held and existing policies and regulations on safe water supply and promotion of environmental health </w:t>
            </w:r>
            <w:r>
              <w:rPr>
                <w:color w:val="231F20"/>
                <w:spacing w:val="-3"/>
                <w:sz w:val="12"/>
              </w:rPr>
              <w:t xml:space="preserve">reviewed </w:t>
            </w:r>
            <w:r>
              <w:rPr>
                <w:color w:val="231F20"/>
                <w:sz w:val="12"/>
              </w:rPr>
              <w:t>and adopted</w:t>
            </w:r>
          </w:p>
          <w:p w14:paraId="03ECB107" w14:textId="77777777" w:rsidR="009948F1" w:rsidRDefault="00BC0563">
            <w:pPr>
              <w:pStyle w:val="TableParagraph"/>
              <w:numPr>
                <w:ilvl w:val="0"/>
                <w:numId w:val="87"/>
              </w:numPr>
              <w:tabs>
                <w:tab w:val="left" w:pos="96"/>
              </w:tabs>
              <w:spacing w:before="7" w:line="280" w:lineRule="auto"/>
              <w:ind w:right="276" w:firstLine="0"/>
              <w:rPr>
                <w:sz w:val="12"/>
              </w:rPr>
            </w:pPr>
            <w:r>
              <w:rPr>
                <w:color w:val="231F20"/>
                <w:sz w:val="12"/>
              </w:rPr>
              <w:t xml:space="preserve">Advocacy to the 23 LGAs Chairmen </w:t>
            </w:r>
            <w:r>
              <w:rPr>
                <w:color w:val="231F20"/>
                <w:spacing w:val="-12"/>
                <w:sz w:val="12"/>
              </w:rPr>
              <w:t xml:space="preserve">&amp; </w:t>
            </w:r>
            <w:r>
              <w:rPr>
                <w:color w:val="231F20"/>
                <w:sz w:val="12"/>
              </w:rPr>
              <w:t>Traditional Rulers</w:t>
            </w:r>
            <w:r>
              <w:rPr>
                <w:color w:val="231F20"/>
                <w:spacing w:val="-1"/>
                <w:sz w:val="12"/>
              </w:rPr>
              <w:t xml:space="preserve"> </w:t>
            </w:r>
            <w:r>
              <w:rPr>
                <w:color w:val="231F20"/>
                <w:sz w:val="12"/>
              </w:rPr>
              <w:t>done</w:t>
            </w:r>
          </w:p>
          <w:p w14:paraId="2A501CE8" w14:textId="77777777" w:rsidR="009948F1" w:rsidRDefault="00BC0563">
            <w:pPr>
              <w:pStyle w:val="TableParagraph"/>
              <w:numPr>
                <w:ilvl w:val="0"/>
                <w:numId w:val="87"/>
              </w:numPr>
              <w:tabs>
                <w:tab w:val="left" w:pos="103"/>
              </w:tabs>
              <w:spacing w:line="112" w:lineRule="exact"/>
              <w:ind w:left="102" w:hanging="77"/>
              <w:rPr>
                <w:sz w:val="12"/>
              </w:rPr>
            </w:pPr>
            <w:r>
              <w:rPr>
                <w:color w:val="231F20"/>
                <w:sz w:val="12"/>
              </w:rPr>
              <w:t>Community members(WDCs)</w:t>
            </w:r>
            <w:r>
              <w:rPr>
                <w:color w:val="231F20"/>
                <w:spacing w:val="-1"/>
                <w:sz w:val="12"/>
              </w:rPr>
              <w:t xml:space="preserve"> </w:t>
            </w:r>
            <w:r>
              <w:rPr>
                <w:color w:val="231F20"/>
                <w:sz w:val="12"/>
              </w:rPr>
              <w:t>trained</w:t>
            </w:r>
          </w:p>
          <w:p w14:paraId="5E71AF12" w14:textId="77777777" w:rsidR="009948F1" w:rsidRDefault="00BC0563">
            <w:pPr>
              <w:pStyle w:val="TableParagraph"/>
              <w:numPr>
                <w:ilvl w:val="0"/>
                <w:numId w:val="87"/>
              </w:numPr>
              <w:tabs>
                <w:tab w:val="left" w:pos="96"/>
              </w:tabs>
              <w:spacing w:before="1" w:line="128" w:lineRule="exact"/>
              <w:ind w:left="95" w:hanging="70"/>
              <w:rPr>
                <w:sz w:val="12"/>
              </w:rPr>
            </w:pPr>
            <w:r>
              <w:rPr>
                <w:color w:val="231F20"/>
                <w:sz w:val="12"/>
              </w:rPr>
              <w:t>Awareness creation</w:t>
            </w:r>
            <w:r>
              <w:rPr>
                <w:color w:val="231F20"/>
                <w:spacing w:val="-1"/>
                <w:sz w:val="12"/>
              </w:rPr>
              <w:t xml:space="preserve"> </w:t>
            </w:r>
            <w:r>
              <w:rPr>
                <w:color w:val="231F20"/>
                <w:sz w:val="12"/>
              </w:rPr>
              <w:t>done</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4A56279F"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663ACFAF" w14:textId="77777777" w:rsidR="009948F1" w:rsidRDefault="009948F1">
            <w:pPr>
              <w:pStyle w:val="TableParagraph"/>
              <w:rPr>
                <w:rFonts w:ascii="Times New Roman"/>
                <w:sz w:val="12"/>
              </w:rPr>
            </w:pPr>
          </w:p>
        </w:tc>
      </w:tr>
      <w:tr w:rsidR="009948F1" w14:paraId="0596A4CD" w14:textId="77777777">
        <w:trPr>
          <w:trHeight w:val="343"/>
        </w:trPr>
        <w:tc>
          <w:tcPr>
            <w:tcW w:w="865" w:type="dxa"/>
            <w:gridSpan w:val="2"/>
            <w:vMerge w:val="restart"/>
            <w:tcBorders>
              <w:top w:val="nil"/>
              <w:bottom w:val="nil"/>
              <w:right w:val="single" w:sz="6" w:space="0" w:color="231F20"/>
            </w:tcBorders>
          </w:tcPr>
          <w:p w14:paraId="661D16CC" w14:textId="77777777" w:rsidR="009948F1" w:rsidRDefault="009948F1">
            <w:pPr>
              <w:pStyle w:val="TableParagraph"/>
              <w:rPr>
                <w:rFonts w:ascii="Times New Roman"/>
                <w:sz w:val="12"/>
              </w:rPr>
            </w:pPr>
          </w:p>
        </w:tc>
        <w:tc>
          <w:tcPr>
            <w:tcW w:w="532" w:type="dxa"/>
            <w:tcBorders>
              <w:top w:val="single" w:sz="6" w:space="0" w:color="231F20"/>
              <w:left w:val="single" w:sz="6" w:space="0" w:color="231F20"/>
              <w:bottom w:val="single" w:sz="6" w:space="0" w:color="231F20"/>
              <w:right w:val="single" w:sz="6" w:space="0" w:color="231F20"/>
            </w:tcBorders>
          </w:tcPr>
          <w:p w14:paraId="05007EA2" w14:textId="77777777" w:rsidR="009948F1" w:rsidRDefault="00BC0563">
            <w:pPr>
              <w:pStyle w:val="TableParagraph"/>
              <w:spacing w:before="104"/>
              <w:ind w:left="66" w:right="43"/>
              <w:jc w:val="center"/>
              <w:rPr>
                <w:sz w:val="12"/>
              </w:rPr>
            </w:pPr>
            <w:r>
              <w:rPr>
                <w:color w:val="231F20"/>
                <w:sz w:val="12"/>
              </w:rPr>
              <w:t>8.3.1.a</w:t>
            </w:r>
          </w:p>
        </w:tc>
        <w:tc>
          <w:tcPr>
            <w:tcW w:w="4953" w:type="dxa"/>
            <w:gridSpan w:val="2"/>
            <w:tcBorders>
              <w:top w:val="single" w:sz="6" w:space="0" w:color="231F20"/>
              <w:left w:val="single" w:sz="6" w:space="0" w:color="231F20"/>
              <w:bottom w:val="single" w:sz="6" w:space="0" w:color="231F20"/>
              <w:right w:val="single" w:sz="6" w:space="0" w:color="231F20"/>
            </w:tcBorders>
          </w:tcPr>
          <w:p w14:paraId="7F06BD40" w14:textId="787D4904" w:rsidR="009948F1" w:rsidRDefault="00BC0563">
            <w:pPr>
              <w:pStyle w:val="TableParagraph"/>
              <w:spacing w:before="10" w:line="150" w:lineRule="atLeast"/>
              <w:ind w:left="26" w:right="82"/>
              <w:rPr>
                <w:sz w:val="12"/>
              </w:rPr>
            </w:pPr>
            <w:r>
              <w:rPr>
                <w:color w:val="231F20"/>
                <w:sz w:val="12"/>
              </w:rPr>
              <w:t xml:space="preserve">Establish WASH committee at all levels to ensure implementation of policy, plan </w:t>
            </w:r>
            <w:r w:rsidR="00A93E69">
              <w:rPr>
                <w:color w:val="231F20"/>
                <w:sz w:val="12"/>
              </w:rPr>
              <w:t>etc.</w:t>
            </w:r>
            <w:r>
              <w:rPr>
                <w:color w:val="231F20"/>
                <w:sz w:val="12"/>
              </w:rPr>
              <w:t xml:space="preserve"> and hold quarterly meeting</w:t>
            </w:r>
          </w:p>
        </w:tc>
        <w:tc>
          <w:tcPr>
            <w:tcW w:w="1444" w:type="dxa"/>
            <w:tcBorders>
              <w:top w:val="single" w:sz="6" w:space="0" w:color="231F20"/>
              <w:left w:val="single" w:sz="6" w:space="0" w:color="231F20"/>
              <w:bottom w:val="single" w:sz="6" w:space="0" w:color="231F20"/>
              <w:right w:val="single" w:sz="6" w:space="0" w:color="231F20"/>
            </w:tcBorders>
          </w:tcPr>
          <w:p w14:paraId="40974D7D" w14:textId="77777777" w:rsidR="009948F1" w:rsidRDefault="00BC0563">
            <w:pPr>
              <w:pStyle w:val="TableParagraph"/>
              <w:spacing w:before="10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07849D63" w14:textId="77777777" w:rsidR="009948F1" w:rsidRDefault="00BC0563">
            <w:pPr>
              <w:pStyle w:val="TableParagraph"/>
              <w:spacing w:before="104"/>
              <w:ind w:left="27"/>
              <w:rPr>
                <w:sz w:val="12"/>
              </w:rPr>
            </w:pPr>
            <w:r>
              <w:rPr>
                <w:color w:val="231F20"/>
                <w:sz w:val="12"/>
              </w:rPr>
              <w:t>Establish WASH committee</w:t>
            </w:r>
          </w:p>
        </w:tc>
      </w:tr>
      <w:tr w:rsidR="009948F1" w14:paraId="00ACAB88" w14:textId="77777777">
        <w:trPr>
          <w:trHeight w:val="343"/>
        </w:trPr>
        <w:tc>
          <w:tcPr>
            <w:tcW w:w="865" w:type="dxa"/>
            <w:gridSpan w:val="2"/>
            <w:vMerge/>
            <w:tcBorders>
              <w:top w:val="nil"/>
              <w:bottom w:val="nil"/>
              <w:right w:val="single" w:sz="6" w:space="0" w:color="231F20"/>
            </w:tcBorders>
          </w:tcPr>
          <w:p w14:paraId="7F3D0B09"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63DD4BCF" w14:textId="77777777" w:rsidR="009948F1" w:rsidRDefault="00BC0563">
            <w:pPr>
              <w:pStyle w:val="TableParagraph"/>
              <w:spacing w:before="104"/>
              <w:ind w:left="66" w:right="43"/>
              <w:jc w:val="center"/>
              <w:rPr>
                <w:sz w:val="12"/>
              </w:rPr>
            </w:pPr>
            <w:r>
              <w:rPr>
                <w:color w:val="231F20"/>
                <w:sz w:val="12"/>
              </w:rPr>
              <w:t>8.3.1.b</w:t>
            </w:r>
          </w:p>
        </w:tc>
        <w:tc>
          <w:tcPr>
            <w:tcW w:w="4953" w:type="dxa"/>
            <w:gridSpan w:val="2"/>
            <w:tcBorders>
              <w:top w:val="single" w:sz="6" w:space="0" w:color="231F20"/>
              <w:left w:val="single" w:sz="6" w:space="0" w:color="231F20"/>
              <w:bottom w:val="single" w:sz="6" w:space="0" w:color="231F20"/>
              <w:right w:val="single" w:sz="6" w:space="0" w:color="231F20"/>
            </w:tcBorders>
          </w:tcPr>
          <w:p w14:paraId="3BB221A3" w14:textId="2899BBA2" w:rsidR="009948F1" w:rsidRDefault="00BC0563">
            <w:pPr>
              <w:pStyle w:val="TableParagraph"/>
              <w:spacing w:before="10" w:line="150" w:lineRule="atLeast"/>
              <w:ind w:left="26" w:right="536" w:firstLine="33"/>
              <w:rPr>
                <w:sz w:val="12"/>
              </w:rPr>
            </w:pPr>
            <w:r>
              <w:rPr>
                <w:color w:val="231F20"/>
                <w:sz w:val="12"/>
              </w:rPr>
              <w:t xml:space="preserve">Review of existing policies and regulations on safe water supply and promotion of </w:t>
            </w:r>
            <w:r w:rsidR="00A93E69">
              <w:rPr>
                <w:color w:val="231F20"/>
                <w:sz w:val="12"/>
              </w:rPr>
              <w:t>environmental</w:t>
            </w:r>
            <w:r>
              <w:rPr>
                <w:color w:val="231F20"/>
                <w:sz w:val="12"/>
              </w:rPr>
              <w:t xml:space="preserve"> health</w:t>
            </w:r>
          </w:p>
        </w:tc>
        <w:tc>
          <w:tcPr>
            <w:tcW w:w="1444" w:type="dxa"/>
            <w:tcBorders>
              <w:top w:val="single" w:sz="6" w:space="0" w:color="231F20"/>
              <w:left w:val="single" w:sz="6" w:space="0" w:color="231F20"/>
              <w:bottom w:val="single" w:sz="6" w:space="0" w:color="231F20"/>
              <w:right w:val="single" w:sz="6" w:space="0" w:color="231F20"/>
            </w:tcBorders>
          </w:tcPr>
          <w:p w14:paraId="3BC13119" w14:textId="77777777" w:rsidR="009948F1" w:rsidRDefault="00BC0563">
            <w:pPr>
              <w:pStyle w:val="TableParagraph"/>
              <w:spacing w:before="10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D855F79" w14:textId="77777777" w:rsidR="009948F1" w:rsidRDefault="00BC0563">
            <w:pPr>
              <w:pStyle w:val="TableParagraph"/>
              <w:spacing w:before="104"/>
              <w:ind w:left="60"/>
              <w:rPr>
                <w:sz w:val="12"/>
              </w:rPr>
            </w:pPr>
            <w:r>
              <w:rPr>
                <w:color w:val="231F20"/>
                <w:sz w:val="12"/>
              </w:rPr>
              <w:t>Review of existing policies</w:t>
            </w:r>
          </w:p>
        </w:tc>
      </w:tr>
      <w:tr w:rsidR="009948F1" w14:paraId="57DB10CC" w14:textId="77777777">
        <w:trPr>
          <w:trHeight w:val="412"/>
        </w:trPr>
        <w:tc>
          <w:tcPr>
            <w:tcW w:w="865" w:type="dxa"/>
            <w:gridSpan w:val="2"/>
            <w:vMerge/>
            <w:tcBorders>
              <w:top w:val="nil"/>
              <w:bottom w:val="nil"/>
              <w:right w:val="single" w:sz="6" w:space="0" w:color="231F20"/>
            </w:tcBorders>
          </w:tcPr>
          <w:p w14:paraId="7B3D3C92"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7749A7C5" w14:textId="77777777" w:rsidR="009948F1" w:rsidRDefault="009948F1">
            <w:pPr>
              <w:pStyle w:val="TableParagraph"/>
              <w:rPr>
                <w:sz w:val="12"/>
              </w:rPr>
            </w:pPr>
          </w:p>
          <w:p w14:paraId="5FB62A2C" w14:textId="77777777" w:rsidR="009948F1" w:rsidRDefault="00BC0563">
            <w:pPr>
              <w:pStyle w:val="TableParagraph"/>
              <w:ind w:left="66" w:right="43"/>
              <w:jc w:val="center"/>
              <w:rPr>
                <w:sz w:val="12"/>
              </w:rPr>
            </w:pPr>
            <w:r>
              <w:rPr>
                <w:color w:val="231F20"/>
                <w:sz w:val="12"/>
              </w:rPr>
              <w:t>8.3.1.c</w:t>
            </w:r>
          </w:p>
        </w:tc>
        <w:tc>
          <w:tcPr>
            <w:tcW w:w="4953" w:type="dxa"/>
            <w:gridSpan w:val="2"/>
            <w:tcBorders>
              <w:top w:val="single" w:sz="6" w:space="0" w:color="231F20"/>
              <w:left w:val="single" w:sz="6" w:space="0" w:color="231F20"/>
              <w:bottom w:val="single" w:sz="6" w:space="0" w:color="231F20"/>
              <w:right w:val="single" w:sz="6" w:space="0" w:color="231F20"/>
            </w:tcBorders>
          </w:tcPr>
          <w:p w14:paraId="6A7CD2B1" w14:textId="77777777" w:rsidR="009948F1" w:rsidRDefault="00BC0563">
            <w:pPr>
              <w:pStyle w:val="TableParagraph"/>
              <w:spacing w:before="56" w:line="271" w:lineRule="auto"/>
              <w:ind w:left="26" w:right="2"/>
              <w:rPr>
                <w:sz w:val="12"/>
              </w:rPr>
            </w:pPr>
            <w:r>
              <w:rPr>
                <w:color w:val="231F20"/>
                <w:sz w:val="12"/>
              </w:rPr>
              <w:t>Advocacy visit to the 23 LGAs Chairmen &amp; Traditional Rulers on the need to provide potable water in accordance to WHO standard</w:t>
            </w:r>
          </w:p>
        </w:tc>
        <w:tc>
          <w:tcPr>
            <w:tcW w:w="1444" w:type="dxa"/>
            <w:tcBorders>
              <w:top w:val="single" w:sz="6" w:space="0" w:color="231F20"/>
              <w:left w:val="single" w:sz="6" w:space="0" w:color="231F20"/>
              <w:bottom w:val="single" w:sz="6" w:space="0" w:color="231F20"/>
              <w:right w:val="single" w:sz="6" w:space="0" w:color="231F20"/>
            </w:tcBorders>
          </w:tcPr>
          <w:p w14:paraId="51ABC20B" w14:textId="77777777" w:rsidR="009948F1" w:rsidRDefault="009948F1">
            <w:pPr>
              <w:pStyle w:val="TableParagraph"/>
              <w:rPr>
                <w:sz w:val="12"/>
              </w:rPr>
            </w:pPr>
          </w:p>
          <w:p w14:paraId="453FEF7F" w14:textId="77777777" w:rsidR="009948F1" w:rsidRDefault="00BC0563">
            <w:pPr>
              <w:pStyle w:val="TableParagraph"/>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40D3AA43" w14:textId="77777777" w:rsidR="009948F1" w:rsidRDefault="009948F1">
            <w:pPr>
              <w:pStyle w:val="TableParagraph"/>
              <w:rPr>
                <w:sz w:val="12"/>
              </w:rPr>
            </w:pPr>
          </w:p>
          <w:p w14:paraId="13379EFD" w14:textId="77777777" w:rsidR="009948F1" w:rsidRDefault="00BC0563">
            <w:pPr>
              <w:pStyle w:val="TableParagraph"/>
              <w:ind w:left="27"/>
              <w:rPr>
                <w:sz w:val="12"/>
              </w:rPr>
            </w:pPr>
            <w:r>
              <w:rPr>
                <w:color w:val="231F20"/>
                <w:sz w:val="12"/>
              </w:rPr>
              <w:t>Advocacy visit</w:t>
            </w:r>
          </w:p>
        </w:tc>
      </w:tr>
      <w:tr w:rsidR="009948F1" w14:paraId="68E8288F" w14:textId="77777777">
        <w:trPr>
          <w:trHeight w:val="343"/>
        </w:trPr>
        <w:tc>
          <w:tcPr>
            <w:tcW w:w="865" w:type="dxa"/>
            <w:gridSpan w:val="2"/>
            <w:vMerge/>
            <w:tcBorders>
              <w:top w:val="nil"/>
              <w:bottom w:val="nil"/>
              <w:right w:val="single" w:sz="6" w:space="0" w:color="231F20"/>
            </w:tcBorders>
          </w:tcPr>
          <w:p w14:paraId="0A20477E"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13635709" w14:textId="77777777" w:rsidR="009948F1" w:rsidRDefault="00BC0563">
            <w:pPr>
              <w:pStyle w:val="TableParagraph"/>
              <w:spacing w:before="104"/>
              <w:ind w:left="66" w:right="43"/>
              <w:jc w:val="center"/>
              <w:rPr>
                <w:sz w:val="12"/>
              </w:rPr>
            </w:pPr>
            <w:r>
              <w:rPr>
                <w:color w:val="231F20"/>
                <w:sz w:val="12"/>
              </w:rPr>
              <w:t>8.3.1.d</w:t>
            </w:r>
          </w:p>
        </w:tc>
        <w:tc>
          <w:tcPr>
            <w:tcW w:w="4953" w:type="dxa"/>
            <w:gridSpan w:val="2"/>
            <w:tcBorders>
              <w:top w:val="single" w:sz="6" w:space="0" w:color="231F20"/>
              <w:left w:val="single" w:sz="6" w:space="0" w:color="231F20"/>
              <w:bottom w:val="single" w:sz="6" w:space="0" w:color="231F20"/>
              <w:right w:val="single" w:sz="6" w:space="0" w:color="231F20"/>
            </w:tcBorders>
          </w:tcPr>
          <w:p w14:paraId="650EB8D4" w14:textId="16849058" w:rsidR="009948F1" w:rsidRDefault="00BC0563">
            <w:pPr>
              <w:pStyle w:val="TableParagraph"/>
              <w:spacing w:before="99"/>
              <w:ind w:left="26"/>
              <w:rPr>
                <w:sz w:val="12"/>
              </w:rPr>
            </w:pPr>
            <w:r>
              <w:rPr>
                <w:color w:val="231F20"/>
                <w:sz w:val="12"/>
              </w:rPr>
              <w:t xml:space="preserve">Training of community </w:t>
            </w:r>
            <w:r w:rsidR="00A93E69">
              <w:rPr>
                <w:color w:val="231F20"/>
                <w:sz w:val="12"/>
              </w:rPr>
              <w:t>members (</w:t>
            </w:r>
            <w:r>
              <w:rPr>
                <w:color w:val="231F20"/>
                <w:sz w:val="12"/>
              </w:rPr>
              <w:t>WDCs) on regulation guiding safe water supply.</w:t>
            </w:r>
          </w:p>
        </w:tc>
        <w:tc>
          <w:tcPr>
            <w:tcW w:w="1444" w:type="dxa"/>
            <w:tcBorders>
              <w:top w:val="single" w:sz="6" w:space="0" w:color="231F20"/>
              <w:left w:val="single" w:sz="6" w:space="0" w:color="231F20"/>
              <w:bottom w:val="single" w:sz="6" w:space="0" w:color="231F20"/>
              <w:right w:val="single" w:sz="6" w:space="0" w:color="231F20"/>
            </w:tcBorders>
          </w:tcPr>
          <w:p w14:paraId="00D57E94" w14:textId="77777777" w:rsidR="009948F1" w:rsidRDefault="00BC0563">
            <w:pPr>
              <w:pStyle w:val="TableParagraph"/>
              <w:spacing w:before="10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96593EA" w14:textId="77777777" w:rsidR="009948F1" w:rsidRDefault="00BC0563">
            <w:pPr>
              <w:pStyle w:val="TableParagraph"/>
              <w:spacing w:before="15" w:line="150" w:lineRule="atLeast"/>
              <w:ind w:left="27"/>
              <w:rPr>
                <w:sz w:val="12"/>
              </w:rPr>
            </w:pPr>
            <w:r>
              <w:rPr>
                <w:color w:val="231F20"/>
                <w:sz w:val="12"/>
              </w:rPr>
              <w:t>Training of community members</w:t>
            </w:r>
          </w:p>
        </w:tc>
      </w:tr>
      <w:tr w:rsidR="009948F1" w14:paraId="362AE39C" w14:textId="77777777">
        <w:trPr>
          <w:trHeight w:val="302"/>
        </w:trPr>
        <w:tc>
          <w:tcPr>
            <w:tcW w:w="865" w:type="dxa"/>
            <w:gridSpan w:val="2"/>
            <w:vMerge/>
            <w:tcBorders>
              <w:top w:val="nil"/>
              <w:bottom w:val="nil"/>
              <w:right w:val="single" w:sz="6" w:space="0" w:color="231F20"/>
            </w:tcBorders>
          </w:tcPr>
          <w:p w14:paraId="2D68F644" w14:textId="77777777" w:rsidR="009948F1" w:rsidRDefault="009948F1">
            <w:pPr>
              <w:rPr>
                <w:sz w:val="2"/>
                <w:szCs w:val="2"/>
              </w:rPr>
            </w:pPr>
          </w:p>
        </w:tc>
        <w:tc>
          <w:tcPr>
            <w:tcW w:w="532" w:type="dxa"/>
            <w:tcBorders>
              <w:top w:val="single" w:sz="6" w:space="0" w:color="231F20"/>
              <w:left w:val="single" w:sz="6" w:space="0" w:color="231F20"/>
              <w:bottom w:val="single" w:sz="6" w:space="0" w:color="231F20"/>
              <w:right w:val="single" w:sz="6" w:space="0" w:color="231F20"/>
            </w:tcBorders>
          </w:tcPr>
          <w:p w14:paraId="2EBC57AF" w14:textId="77777777" w:rsidR="009948F1" w:rsidRDefault="00BC0563">
            <w:pPr>
              <w:pStyle w:val="TableParagraph"/>
              <w:spacing w:before="84"/>
              <w:ind w:left="66" w:right="43"/>
              <w:jc w:val="center"/>
              <w:rPr>
                <w:sz w:val="12"/>
              </w:rPr>
            </w:pPr>
            <w:r>
              <w:rPr>
                <w:color w:val="231F20"/>
                <w:sz w:val="12"/>
              </w:rPr>
              <w:t>8.3.1.e</w:t>
            </w:r>
          </w:p>
        </w:tc>
        <w:tc>
          <w:tcPr>
            <w:tcW w:w="4953" w:type="dxa"/>
            <w:gridSpan w:val="2"/>
            <w:tcBorders>
              <w:top w:val="single" w:sz="6" w:space="0" w:color="231F20"/>
              <w:left w:val="single" w:sz="6" w:space="0" w:color="231F20"/>
              <w:bottom w:val="single" w:sz="6" w:space="0" w:color="231F20"/>
              <w:right w:val="single" w:sz="6" w:space="0" w:color="231F20"/>
            </w:tcBorders>
          </w:tcPr>
          <w:p w14:paraId="0A7CAB45" w14:textId="77777777" w:rsidR="009948F1" w:rsidRDefault="00BC0563">
            <w:pPr>
              <w:pStyle w:val="TableParagraph"/>
              <w:spacing w:before="3"/>
              <w:ind w:left="26"/>
              <w:rPr>
                <w:sz w:val="12"/>
              </w:rPr>
            </w:pPr>
            <w:r>
              <w:rPr>
                <w:color w:val="231F20"/>
                <w:sz w:val="12"/>
              </w:rPr>
              <w:t>Create awareness on hand washing at appropriate times using print, electronic and social</w:t>
            </w:r>
          </w:p>
          <w:p w14:paraId="6BC32F9C" w14:textId="77777777" w:rsidR="009948F1" w:rsidRDefault="00BC0563">
            <w:pPr>
              <w:pStyle w:val="TableParagraph"/>
              <w:spacing w:before="18" w:line="123" w:lineRule="exact"/>
              <w:ind w:left="26"/>
              <w:rPr>
                <w:sz w:val="12"/>
              </w:rPr>
            </w:pPr>
            <w:r>
              <w:rPr>
                <w:color w:val="231F20"/>
                <w:sz w:val="12"/>
              </w:rPr>
              <w:t>media platforms</w:t>
            </w:r>
          </w:p>
        </w:tc>
        <w:tc>
          <w:tcPr>
            <w:tcW w:w="1444" w:type="dxa"/>
            <w:tcBorders>
              <w:top w:val="single" w:sz="6" w:space="0" w:color="231F20"/>
              <w:left w:val="single" w:sz="6" w:space="0" w:color="231F20"/>
              <w:bottom w:val="single" w:sz="6" w:space="0" w:color="231F20"/>
              <w:right w:val="single" w:sz="6" w:space="0" w:color="231F20"/>
            </w:tcBorders>
          </w:tcPr>
          <w:p w14:paraId="3A0660B1" w14:textId="77777777" w:rsidR="009948F1" w:rsidRDefault="00BC0563">
            <w:pPr>
              <w:pStyle w:val="TableParagraph"/>
              <w:spacing w:before="84"/>
              <w:ind w:left="27"/>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1B84B3B" w14:textId="182B8D6B" w:rsidR="009948F1" w:rsidRDefault="00BC0563">
            <w:pPr>
              <w:pStyle w:val="TableParagraph"/>
              <w:spacing w:before="84"/>
              <w:ind w:left="27"/>
              <w:rPr>
                <w:sz w:val="12"/>
              </w:rPr>
            </w:pPr>
            <w:r>
              <w:rPr>
                <w:color w:val="231F20"/>
                <w:sz w:val="12"/>
              </w:rPr>
              <w:t xml:space="preserve">Create </w:t>
            </w:r>
            <w:r w:rsidR="00A93E69">
              <w:rPr>
                <w:color w:val="231F20"/>
                <w:sz w:val="12"/>
              </w:rPr>
              <w:t>awareness</w:t>
            </w:r>
          </w:p>
        </w:tc>
      </w:tr>
      <w:tr w:rsidR="009948F1" w14:paraId="05C591A4" w14:textId="77777777">
        <w:trPr>
          <w:trHeight w:val="1808"/>
        </w:trPr>
        <w:tc>
          <w:tcPr>
            <w:tcW w:w="405" w:type="dxa"/>
            <w:tcBorders>
              <w:top w:val="nil"/>
              <w:right w:val="single" w:sz="6" w:space="0" w:color="231F20"/>
            </w:tcBorders>
          </w:tcPr>
          <w:p w14:paraId="266AB4F6" w14:textId="77777777" w:rsidR="009948F1" w:rsidRDefault="009948F1">
            <w:pPr>
              <w:pStyle w:val="TableParagraph"/>
              <w:rPr>
                <w:rFonts w:ascii="Times New Roman"/>
                <w:sz w:val="12"/>
              </w:rPr>
            </w:pPr>
          </w:p>
        </w:tc>
        <w:tc>
          <w:tcPr>
            <w:tcW w:w="460" w:type="dxa"/>
            <w:tcBorders>
              <w:top w:val="single" w:sz="6" w:space="0" w:color="231F20"/>
              <w:left w:val="single" w:sz="6" w:space="0" w:color="231F20"/>
              <w:bottom w:val="single" w:sz="12" w:space="0" w:color="231F20"/>
              <w:right w:val="single" w:sz="6" w:space="0" w:color="231F20"/>
            </w:tcBorders>
            <w:shd w:val="clear" w:color="auto" w:fill="CCE7D3"/>
          </w:tcPr>
          <w:p w14:paraId="66ACFA50" w14:textId="77777777" w:rsidR="009948F1" w:rsidRDefault="009948F1">
            <w:pPr>
              <w:pStyle w:val="TableParagraph"/>
              <w:rPr>
                <w:sz w:val="12"/>
              </w:rPr>
            </w:pPr>
          </w:p>
          <w:p w14:paraId="150BAAB4" w14:textId="77777777" w:rsidR="009948F1" w:rsidRDefault="009948F1">
            <w:pPr>
              <w:pStyle w:val="TableParagraph"/>
              <w:rPr>
                <w:sz w:val="12"/>
              </w:rPr>
            </w:pPr>
          </w:p>
          <w:p w14:paraId="7BA0747C" w14:textId="77777777" w:rsidR="009948F1" w:rsidRDefault="009948F1">
            <w:pPr>
              <w:pStyle w:val="TableParagraph"/>
              <w:rPr>
                <w:sz w:val="12"/>
              </w:rPr>
            </w:pPr>
          </w:p>
          <w:p w14:paraId="55A1A29F" w14:textId="77777777" w:rsidR="009948F1" w:rsidRDefault="009948F1">
            <w:pPr>
              <w:pStyle w:val="TableParagraph"/>
              <w:rPr>
                <w:sz w:val="12"/>
              </w:rPr>
            </w:pPr>
          </w:p>
          <w:p w14:paraId="34E8850E" w14:textId="77777777" w:rsidR="009948F1" w:rsidRDefault="009948F1">
            <w:pPr>
              <w:pStyle w:val="TableParagraph"/>
              <w:rPr>
                <w:sz w:val="12"/>
              </w:rPr>
            </w:pPr>
          </w:p>
          <w:p w14:paraId="57453503" w14:textId="77777777" w:rsidR="009948F1" w:rsidRDefault="009948F1">
            <w:pPr>
              <w:pStyle w:val="TableParagraph"/>
              <w:spacing w:before="3"/>
              <w:rPr>
                <w:sz w:val="13"/>
              </w:rPr>
            </w:pPr>
          </w:p>
          <w:p w14:paraId="150FA682" w14:textId="77777777" w:rsidR="009948F1" w:rsidRDefault="00BC0563">
            <w:pPr>
              <w:pStyle w:val="TableParagraph"/>
              <w:ind w:left="59"/>
              <w:rPr>
                <w:sz w:val="12"/>
              </w:rPr>
            </w:pPr>
            <w:r>
              <w:rPr>
                <w:color w:val="231F20"/>
                <w:sz w:val="12"/>
              </w:rPr>
              <w:t>8.3.2</w:t>
            </w:r>
          </w:p>
        </w:tc>
        <w:tc>
          <w:tcPr>
            <w:tcW w:w="3073" w:type="dxa"/>
            <w:gridSpan w:val="2"/>
            <w:tcBorders>
              <w:top w:val="single" w:sz="6" w:space="0" w:color="231F20"/>
              <w:left w:val="single" w:sz="6" w:space="0" w:color="231F20"/>
              <w:bottom w:val="single" w:sz="12" w:space="0" w:color="231F20"/>
              <w:right w:val="single" w:sz="6" w:space="0" w:color="231F20"/>
            </w:tcBorders>
            <w:shd w:val="clear" w:color="auto" w:fill="CCE7D3"/>
          </w:tcPr>
          <w:p w14:paraId="14738AB8" w14:textId="77777777" w:rsidR="009948F1" w:rsidRDefault="009948F1">
            <w:pPr>
              <w:pStyle w:val="TableParagraph"/>
              <w:rPr>
                <w:sz w:val="12"/>
              </w:rPr>
            </w:pPr>
          </w:p>
          <w:p w14:paraId="2F9D5EE1" w14:textId="77777777" w:rsidR="009948F1" w:rsidRDefault="009948F1">
            <w:pPr>
              <w:pStyle w:val="TableParagraph"/>
              <w:rPr>
                <w:sz w:val="12"/>
              </w:rPr>
            </w:pPr>
          </w:p>
          <w:p w14:paraId="434DB3C2" w14:textId="77777777" w:rsidR="009948F1" w:rsidRDefault="009948F1">
            <w:pPr>
              <w:pStyle w:val="TableParagraph"/>
              <w:rPr>
                <w:sz w:val="12"/>
              </w:rPr>
            </w:pPr>
          </w:p>
          <w:p w14:paraId="16F5E109" w14:textId="77777777" w:rsidR="009948F1" w:rsidRDefault="009948F1">
            <w:pPr>
              <w:pStyle w:val="TableParagraph"/>
              <w:rPr>
                <w:sz w:val="12"/>
              </w:rPr>
            </w:pPr>
          </w:p>
          <w:p w14:paraId="71C6DBA7" w14:textId="77777777" w:rsidR="009948F1" w:rsidRDefault="009948F1">
            <w:pPr>
              <w:pStyle w:val="TableParagraph"/>
              <w:rPr>
                <w:sz w:val="12"/>
              </w:rPr>
            </w:pPr>
          </w:p>
          <w:p w14:paraId="74E57726" w14:textId="77777777" w:rsidR="009948F1" w:rsidRDefault="00BC0563">
            <w:pPr>
              <w:pStyle w:val="TableParagraph"/>
              <w:spacing w:before="70" w:line="271" w:lineRule="auto"/>
              <w:ind w:left="26" w:right="157" w:firstLine="33"/>
              <w:rPr>
                <w:sz w:val="12"/>
              </w:rPr>
            </w:pPr>
            <w:r>
              <w:rPr>
                <w:color w:val="231F20"/>
                <w:sz w:val="12"/>
              </w:rPr>
              <w:t>Promote preventive and curative healthcare for water and sewage borne diseases</w:t>
            </w:r>
          </w:p>
        </w:tc>
        <w:tc>
          <w:tcPr>
            <w:tcW w:w="2412" w:type="dxa"/>
            <w:tcBorders>
              <w:top w:val="single" w:sz="6" w:space="0" w:color="231F20"/>
              <w:left w:val="single" w:sz="6" w:space="0" w:color="231F20"/>
              <w:bottom w:val="single" w:sz="12" w:space="0" w:color="231F20"/>
              <w:right w:val="single" w:sz="6" w:space="0" w:color="231F20"/>
            </w:tcBorders>
            <w:shd w:val="clear" w:color="auto" w:fill="CCE7D3"/>
          </w:tcPr>
          <w:p w14:paraId="2218D2C9" w14:textId="77777777" w:rsidR="009948F1" w:rsidRDefault="00BC0563">
            <w:pPr>
              <w:pStyle w:val="TableParagraph"/>
              <w:numPr>
                <w:ilvl w:val="0"/>
                <w:numId w:val="86"/>
              </w:numPr>
              <w:tabs>
                <w:tab w:val="left" w:pos="103"/>
              </w:tabs>
              <w:spacing w:before="3" w:line="271" w:lineRule="auto"/>
              <w:ind w:right="22" w:firstLine="0"/>
              <w:rPr>
                <w:sz w:val="12"/>
              </w:rPr>
            </w:pPr>
            <w:r>
              <w:rPr>
                <w:color w:val="231F20"/>
                <w:sz w:val="12"/>
              </w:rPr>
              <w:t xml:space="preserve">Waste management desk officers in the </w:t>
            </w:r>
            <w:r>
              <w:rPr>
                <w:color w:val="231F20"/>
                <w:spacing w:val="-6"/>
                <w:sz w:val="12"/>
              </w:rPr>
              <w:t xml:space="preserve">23 </w:t>
            </w:r>
            <w:r>
              <w:rPr>
                <w:color w:val="231F20"/>
                <w:sz w:val="12"/>
              </w:rPr>
              <w:t>LGA</w:t>
            </w:r>
            <w:r>
              <w:rPr>
                <w:color w:val="231F20"/>
                <w:spacing w:val="-8"/>
                <w:sz w:val="12"/>
              </w:rPr>
              <w:t xml:space="preserve"> </w:t>
            </w:r>
            <w:r>
              <w:rPr>
                <w:color w:val="231F20"/>
                <w:sz w:val="12"/>
              </w:rPr>
              <w:t>trained</w:t>
            </w:r>
          </w:p>
          <w:p w14:paraId="2D5B24BD" w14:textId="77777777" w:rsidR="009948F1" w:rsidRDefault="00BC0563">
            <w:pPr>
              <w:pStyle w:val="TableParagraph"/>
              <w:numPr>
                <w:ilvl w:val="0"/>
                <w:numId w:val="86"/>
              </w:numPr>
              <w:tabs>
                <w:tab w:val="left" w:pos="70"/>
              </w:tabs>
              <w:spacing w:line="271" w:lineRule="auto"/>
              <w:ind w:right="29" w:firstLine="0"/>
              <w:rPr>
                <w:sz w:val="12"/>
              </w:rPr>
            </w:pPr>
            <w:r>
              <w:rPr>
                <w:color w:val="231F20"/>
                <w:sz w:val="12"/>
              </w:rPr>
              <w:t xml:space="preserve">Community sensitization in the 23 LGAs </w:t>
            </w:r>
            <w:r>
              <w:rPr>
                <w:color w:val="231F20"/>
                <w:spacing w:val="-6"/>
                <w:sz w:val="12"/>
              </w:rPr>
              <w:t xml:space="preserve">on </w:t>
            </w:r>
            <w:r>
              <w:rPr>
                <w:color w:val="231F20"/>
                <w:sz w:val="12"/>
              </w:rPr>
              <w:t>the prevention of water &amp; sewage borne diseases done</w:t>
            </w:r>
          </w:p>
          <w:p w14:paraId="1C9D3796" w14:textId="77777777" w:rsidR="009948F1" w:rsidRDefault="00BC0563">
            <w:pPr>
              <w:pStyle w:val="TableParagraph"/>
              <w:numPr>
                <w:ilvl w:val="0"/>
                <w:numId w:val="86"/>
              </w:numPr>
              <w:tabs>
                <w:tab w:val="left" w:pos="103"/>
              </w:tabs>
              <w:spacing w:line="271" w:lineRule="auto"/>
              <w:ind w:right="149" w:firstLine="0"/>
              <w:rPr>
                <w:sz w:val="12"/>
              </w:rPr>
            </w:pPr>
            <w:r>
              <w:rPr>
                <w:color w:val="231F20"/>
                <w:sz w:val="12"/>
              </w:rPr>
              <w:t xml:space="preserve">Registered commercial table water in </w:t>
            </w:r>
            <w:r>
              <w:rPr>
                <w:color w:val="231F20"/>
                <w:spacing w:val="-8"/>
                <w:sz w:val="12"/>
              </w:rPr>
              <w:t xml:space="preserve">23 </w:t>
            </w:r>
            <w:r>
              <w:rPr>
                <w:color w:val="231F20"/>
                <w:sz w:val="12"/>
              </w:rPr>
              <w:t>LGAs trained on prevention of water &amp; sewage borne diseases</w:t>
            </w:r>
          </w:p>
          <w:p w14:paraId="566A2F90" w14:textId="77777777" w:rsidR="009948F1" w:rsidRDefault="00BC0563">
            <w:pPr>
              <w:pStyle w:val="TableParagraph"/>
              <w:numPr>
                <w:ilvl w:val="0"/>
                <w:numId w:val="86"/>
              </w:numPr>
              <w:tabs>
                <w:tab w:val="left" w:pos="103"/>
              </w:tabs>
              <w:spacing w:line="271" w:lineRule="auto"/>
              <w:ind w:right="116" w:firstLine="0"/>
              <w:rPr>
                <w:sz w:val="12"/>
              </w:rPr>
            </w:pPr>
            <w:r>
              <w:rPr>
                <w:color w:val="231F20"/>
                <w:sz w:val="12"/>
              </w:rPr>
              <w:t xml:space="preserve">Public enlightenment of the populace through production and airing of jingles &amp; print/distribution of posters/fliers on </w:t>
            </w:r>
            <w:r>
              <w:rPr>
                <w:color w:val="231F20"/>
                <w:spacing w:val="-5"/>
                <w:sz w:val="12"/>
              </w:rPr>
              <w:t>WASH</w:t>
            </w:r>
          </w:p>
          <w:p w14:paraId="42AF7863" w14:textId="77777777" w:rsidR="009948F1" w:rsidRDefault="00BC0563">
            <w:pPr>
              <w:pStyle w:val="TableParagraph"/>
              <w:spacing w:line="74" w:lineRule="exact"/>
              <w:ind w:left="26"/>
              <w:rPr>
                <w:sz w:val="12"/>
              </w:rPr>
            </w:pPr>
            <w:r>
              <w:rPr>
                <w:color w:val="231F20"/>
                <w:sz w:val="12"/>
              </w:rPr>
              <w:t>done</w:t>
            </w:r>
          </w:p>
        </w:tc>
        <w:tc>
          <w:tcPr>
            <w:tcW w:w="1444" w:type="dxa"/>
            <w:tcBorders>
              <w:top w:val="single" w:sz="6" w:space="0" w:color="231F20"/>
              <w:left w:val="single" w:sz="6" w:space="0" w:color="231F20"/>
              <w:bottom w:val="single" w:sz="12" w:space="0" w:color="231F20"/>
              <w:right w:val="single" w:sz="6" w:space="0" w:color="231F20"/>
            </w:tcBorders>
            <w:shd w:val="clear" w:color="auto" w:fill="CCE7D3"/>
          </w:tcPr>
          <w:p w14:paraId="60AA35F8"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12" w:space="0" w:color="231F20"/>
              <w:right w:val="single" w:sz="6" w:space="0" w:color="231F20"/>
            </w:tcBorders>
            <w:shd w:val="clear" w:color="auto" w:fill="CCE7D3"/>
          </w:tcPr>
          <w:p w14:paraId="7CE55A49" w14:textId="77777777" w:rsidR="009948F1" w:rsidRDefault="009948F1">
            <w:pPr>
              <w:pStyle w:val="TableParagraph"/>
              <w:rPr>
                <w:rFonts w:ascii="Times New Roman"/>
                <w:sz w:val="12"/>
              </w:rPr>
            </w:pPr>
          </w:p>
        </w:tc>
      </w:tr>
    </w:tbl>
    <w:p w14:paraId="07710272" w14:textId="77777777" w:rsidR="009948F1" w:rsidRDefault="009948F1">
      <w:pPr>
        <w:rPr>
          <w:rFonts w:ascii="Times New Roman"/>
          <w:sz w:val="12"/>
        </w:rPr>
        <w:sectPr w:rsidR="009948F1">
          <w:pgSz w:w="11910" w:h="16840"/>
          <w:pgMar w:top="1280" w:right="1080" w:bottom="1340" w:left="1120" w:header="0" w:footer="1155" w:gutter="0"/>
          <w:cols w:space="720"/>
        </w:sectPr>
      </w:pPr>
    </w:p>
    <w:tbl>
      <w:tblPr>
        <w:tblW w:w="0" w:type="auto"/>
        <w:tblInd w:w="17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5"/>
        <w:gridCol w:w="461"/>
        <w:gridCol w:w="533"/>
        <w:gridCol w:w="2542"/>
        <w:gridCol w:w="2413"/>
        <w:gridCol w:w="1444"/>
        <w:gridCol w:w="1523"/>
      </w:tblGrid>
      <w:tr w:rsidR="009948F1" w14:paraId="6EFC7258" w14:textId="77777777">
        <w:trPr>
          <w:trHeight w:val="295"/>
        </w:trPr>
        <w:tc>
          <w:tcPr>
            <w:tcW w:w="876" w:type="dxa"/>
            <w:gridSpan w:val="2"/>
            <w:vMerge w:val="restart"/>
            <w:tcBorders>
              <w:bottom w:val="nil"/>
              <w:right w:val="single" w:sz="6" w:space="0" w:color="231F20"/>
            </w:tcBorders>
          </w:tcPr>
          <w:p w14:paraId="157775EE" w14:textId="77777777" w:rsidR="009948F1" w:rsidRDefault="009948F1">
            <w:pPr>
              <w:pStyle w:val="TableParagraph"/>
              <w:rPr>
                <w:rFonts w:ascii="Times New Roman"/>
                <w:sz w:val="12"/>
              </w:rPr>
            </w:pPr>
          </w:p>
        </w:tc>
        <w:tc>
          <w:tcPr>
            <w:tcW w:w="533" w:type="dxa"/>
            <w:tcBorders>
              <w:left w:val="single" w:sz="6" w:space="0" w:color="231F20"/>
              <w:bottom w:val="single" w:sz="6" w:space="0" w:color="231F20"/>
              <w:right w:val="single" w:sz="6" w:space="0" w:color="231F20"/>
            </w:tcBorders>
          </w:tcPr>
          <w:p w14:paraId="22F3ECE0" w14:textId="77777777" w:rsidR="009948F1" w:rsidRDefault="00BC0563">
            <w:pPr>
              <w:pStyle w:val="TableParagraph"/>
              <w:spacing w:before="78"/>
              <w:ind w:left="64" w:right="46"/>
              <w:jc w:val="center"/>
              <w:rPr>
                <w:sz w:val="12"/>
              </w:rPr>
            </w:pPr>
            <w:bookmarkStart w:id="182" w:name="Page_156"/>
            <w:bookmarkEnd w:id="182"/>
            <w:r>
              <w:rPr>
                <w:color w:val="231F20"/>
                <w:sz w:val="12"/>
              </w:rPr>
              <w:t>8.3.2.a</w:t>
            </w:r>
          </w:p>
        </w:tc>
        <w:tc>
          <w:tcPr>
            <w:tcW w:w="4955" w:type="dxa"/>
            <w:gridSpan w:val="2"/>
            <w:tcBorders>
              <w:left w:val="single" w:sz="6" w:space="0" w:color="231F20"/>
              <w:bottom w:val="single" w:sz="6" w:space="0" w:color="231F20"/>
              <w:right w:val="single" w:sz="6" w:space="0" w:color="231F20"/>
            </w:tcBorders>
          </w:tcPr>
          <w:p w14:paraId="02D316CF" w14:textId="77777777" w:rsidR="009948F1" w:rsidRDefault="00BC0563">
            <w:pPr>
              <w:pStyle w:val="TableParagraph"/>
              <w:spacing w:before="73"/>
              <w:ind w:left="23"/>
              <w:rPr>
                <w:sz w:val="12"/>
              </w:rPr>
            </w:pPr>
            <w:r>
              <w:rPr>
                <w:color w:val="231F20"/>
                <w:sz w:val="12"/>
              </w:rPr>
              <w:t>Conduct training workshop for waste management desk officers in the 23 LGA</w:t>
            </w:r>
          </w:p>
        </w:tc>
        <w:tc>
          <w:tcPr>
            <w:tcW w:w="1444" w:type="dxa"/>
            <w:tcBorders>
              <w:left w:val="single" w:sz="6" w:space="0" w:color="231F20"/>
              <w:bottom w:val="single" w:sz="6" w:space="0" w:color="231F20"/>
              <w:right w:val="single" w:sz="6" w:space="0" w:color="231F20"/>
            </w:tcBorders>
          </w:tcPr>
          <w:p w14:paraId="771EB6F9" w14:textId="77777777" w:rsidR="009948F1" w:rsidRDefault="00BC0563">
            <w:pPr>
              <w:pStyle w:val="TableParagraph"/>
              <w:spacing w:before="78"/>
              <w:ind w:left="23"/>
              <w:rPr>
                <w:sz w:val="12"/>
              </w:rPr>
            </w:pPr>
            <w:r>
              <w:rPr>
                <w:color w:val="231F20"/>
                <w:sz w:val="12"/>
              </w:rPr>
              <w:t>Lack of funds</w:t>
            </w:r>
          </w:p>
        </w:tc>
        <w:tc>
          <w:tcPr>
            <w:tcW w:w="1523" w:type="dxa"/>
            <w:tcBorders>
              <w:top w:val="single" w:sz="12" w:space="0" w:color="231F20"/>
              <w:left w:val="single" w:sz="6" w:space="0" w:color="231F20"/>
              <w:bottom w:val="single" w:sz="6" w:space="0" w:color="231F20"/>
              <w:right w:val="single" w:sz="6" w:space="0" w:color="231F20"/>
            </w:tcBorders>
          </w:tcPr>
          <w:p w14:paraId="705E5C00" w14:textId="77777777" w:rsidR="009948F1" w:rsidRDefault="00BC0563">
            <w:pPr>
              <w:pStyle w:val="TableParagraph"/>
              <w:spacing w:before="78"/>
              <w:ind w:left="24"/>
              <w:rPr>
                <w:sz w:val="12"/>
              </w:rPr>
            </w:pPr>
            <w:r>
              <w:rPr>
                <w:color w:val="231F20"/>
                <w:sz w:val="12"/>
              </w:rPr>
              <w:t>Conduct workshop</w:t>
            </w:r>
          </w:p>
        </w:tc>
      </w:tr>
      <w:tr w:rsidR="009948F1" w14:paraId="34139993" w14:textId="77777777">
        <w:trPr>
          <w:trHeight w:val="412"/>
        </w:trPr>
        <w:tc>
          <w:tcPr>
            <w:tcW w:w="876" w:type="dxa"/>
            <w:gridSpan w:val="2"/>
            <w:vMerge/>
            <w:tcBorders>
              <w:top w:val="nil"/>
              <w:bottom w:val="nil"/>
              <w:right w:val="single" w:sz="6" w:space="0" w:color="231F20"/>
            </w:tcBorders>
          </w:tcPr>
          <w:p w14:paraId="65BB8E08"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6744B0AE" w14:textId="77777777" w:rsidR="009948F1" w:rsidRDefault="009948F1">
            <w:pPr>
              <w:pStyle w:val="TableParagraph"/>
              <w:spacing w:before="1"/>
              <w:rPr>
                <w:sz w:val="12"/>
              </w:rPr>
            </w:pPr>
          </w:p>
          <w:p w14:paraId="513AF301" w14:textId="77777777" w:rsidR="009948F1" w:rsidRDefault="00BC0563">
            <w:pPr>
              <w:pStyle w:val="TableParagraph"/>
              <w:ind w:left="64" w:right="46"/>
              <w:jc w:val="center"/>
              <w:rPr>
                <w:sz w:val="12"/>
              </w:rPr>
            </w:pPr>
            <w:r>
              <w:rPr>
                <w:color w:val="231F20"/>
                <w:sz w:val="12"/>
              </w:rPr>
              <w:t>8.3.2.b</w:t>
            </w:r>
          </w:p>
        </w:tc>
        <w:tc>
          <w:tcPr>
            <w:tcW w:w="4955" w:type="dxa"/>
            <w:gridSpan w:val="2"/>
            <w:tcBorders>
              <w:top w:val="single" w:sz="6" w:space="0" w:color="231F20"/>
              <w:left w:val="single" w:sz="6" w:space="0" w:color="231F20"/>
              <w:bottom w:val="single" w:sz="6" w:space="0" w:color="231F20"/>
              <w:right w:val="single" w:sz="6" w:space="0" w:color="231F20"/>
            </w:tcBorders>
          </w:tcPr>
          <w:p w14:paraId="5D894780" w14:textId="77777777" w:rsidR="009948F1" w:rsidRDefault="00BC0563">
            <w:pPr>
              <w:pStyle w:val="TableParagraph"/>
              <w:spacing w:before="57" w:line="271" w:lineRule="auto"/>
              <w:ind w:left="23" w:right="334"/>
              <w:rPr>
                <w:sz w:val="12"/>
              </w:rPr>
            </w:pPr>
            <w:r>
              <w:rPr>
                <w:color w:val="231F20"/>
                <w:sz w:val="12"/>
              </w:rPr>
              <w:t>Conduct community sensitization in the 23 LGAs on the prevention of water &amp; sewage borne diseases</w:t>
            </w:r>
          </w:p>
        </w:tc>
        <w:tc>
          <w:tcPr>
            <w:tcW w:w="1444" w:type="dxa"/>
            <w:tcBorders>
              <w:top w:val="single" w:sz="6" w:space="0" w:color="231F20"/>
              <w:left w:val="single" w:sz="6" w:space="0" w:color="231F20"/>
              <w:bottom w:val="single" w:sz="6" w:space="0" w:color="231F20"/>
              <w:right w:val="single" w:sz="6" w:space="0" w:color="231F20"/>
            </w:tcBorders>
          </w:tcPr>
          <w:p w14:paraId="7688E70B" w14:textId="77777777" w:rsidR="009948F1" w:rsidRDefault="009948F1">
            <w:pPr>
              <w:pStyle w:val="TableParagraph"/>
              <w:spacing w:before="1"/>
              <w:rPr>
                <w:sz w:val="12"/>
              </w:rPr>
            </w:pPr>
          </w:p>
          <w:p w14:paraId="7D148043" w14:textId="77777777" w:rsidR="009948F1" w:rsidRDefault="00BC0563">
            <w:pPr>
              <w:pStyle w:val="TableParagraph"/>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6898081" w14:textId="77777777" w:rsidR="009948F1" w:rsidRDefault="00BC0563">
            <w:pPr>
              <w:pStyle w:val="TableParagraph"/>
              <w:spacing w:before="62" w:line="271" w:lineRule="auto"/>
              <w:ind w:left="24" w:right="323"/>
              <w:rPr>
                <w:sz w:val="12"/>
              </w:rPr>
            </w:pPr>
            <w:r>
              <w:rPr>
                <w:color w:val="231F20"/>
                <w:sz w:val="12"/>
              </w:rPr>
              <w:t>Conduct sensitization meeting</w:t>
            </w:r>
          </w:p>
        </w:tc>
      </w:tr>
      <w:tr w:rsidR="009948F1" w14:paraId="632704A7" w14:textId="77777777">
        <w:trPr>
          <w:trHeight w:val="436"/>
        </w:trPr>
        <w:tc>
          <w:tcPr>
            <w:tcW w:w="876" w:type="dxa"/>
            <w:gridSpan w:val="2"/>
            <w:vMerge/>
            <w:tcBorders>
              <w:top w:val="nil"/>
              <w:bottom w:val="nil"/>
              <w:right w:val="single" w:sz="6" w:space="0" w:color="231F20"/>
            </w:tcBorders>
          </w:tcPr>
          <w:p w14:paraId="6EF76588"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23FEF709" w14:textId="77777777" w:rsidR="009948F1" w:rsidRDefault="009948F1">
            <w:pPr>
              <w:pStyle w:val="TableParagraph"/>
              <w:spacing w:before="2"/>
              <w:rPr>
                <w:sz w:val="13"/>
              </w:rPr>
            </w:pPr>
          </w:p>
          <w:p w14:paraId="0757EC04" w14:textId="77777777" w:rsidR="009948F1" w:rsidRDefault="00BC0563">
            <w:pPr>
              <w:pStyle w:val="TableParagraph"/>
              <w:ind w:left="64" w:right="46"/>
              <w:jc w:val="center"/>
              <w:rPr>
                <w:sz w:val="12"/>
              </w:rPr>
            </w:pPr>
            <w:r>
              <w:rPr>
                <w:color w:val="231F20"/>
                <w:sz w:val="12"/>
              </w:rPr>
              <w:t>8.3.2.c</w:t>
            </w:r>
          </w:p>
        </w:tc>
        <w:tc>
          <w:tcPr>
            <w:tcW w:w="4955" w:type="dxa"/>
            <w:gridSpan w:val="2"/>
            <w:tcBorders>
              <w:top w:val="single" w:sz="6" w:space="0" w:color="231F20"/>
              <w:left w:val="single" w:sz="6" w:space="0" w:color="231F20"/>
              <w:bottom w:val="single" w:sz="6" w:space="0" w:color="231F20"/>
              <w:right w:val="single" w:sz="6" w:space="0" w:color="231F20"/>
            </w:tcBorders>
          </w:tcPr>
          <w:p w14:paraId="5305FD77" w14:textId="77777777" w:rsidR="009948F1" w:rsidRDefault="00BC0563">
            <w:pPr>
              <w:pStyle w:val="TableParagraph"/>
              <w:spacing w:before="68" w:line="271" w:lineRule="auto"/>
              <w:ind w:left="23" w:right="67"/>
              <w:rPr>
                <w:sz w:val="12"/>
              </w:rPr>
            </w:pPr>
            <w:r>
              <w:rPr>
                <w:color w:val="231F20"/>
                <w:sz w:val="12"/>
              </w:rPr>
              <w:t>Conduct workshop for all registered commercial table water in 23 LGAs on proper standard of water safety to prevent water &amp; sewage borne diseases</w:t>
            </w:r>
          </w:p>
        </w:tc>
        <w:tc>
          <w:tcPr>
            <w:tcW w:w="1444" w:type="dxa"/>
            <w:tcBorders>
              <w:top w:val="single" w:sz="6" w:space="0" w:color="231F20"/>
              <w:left w:val="single" w:sz="6" w:space="0" w:color="231F20"/>
              <w:bottom w:val="single" w:sz="6" w:space="0" w:color="231F20"/>
              <w:right w:val="single" w:sz="6" w:space="0" w:color="231F20"/>
            </w:tcBorders>
          </w:tcPr>
          <w:p w14:paraId="27D997EC" w14:textId="77777777" w:rsidR="009948F1" w:rsidRDefault="009948F1">
            <w:pPr>
              <w:pStyle w:val="TableParagraph"/>
              <w:spacing w:before="2"/>
              <w:rPr>
                <w:sz w:val="13"/>
              </w:rPr>
            </w:pPr>
          </w:p>
          <w:p w14:paraId="61A5FC78" w14:textId="77777777" w:rsidR="009948F1" w:rsidRDefault="00BC0563">
            <w:pPr>
              <w:pStyle w:val="TableParagraph"/>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37D3693A" w14:textId="77777777" w:rsidR="009948F1" w:rsidRDefault="009948F1">
            <w:pPr>
              <w:pStyle w:val="TableParagraph"/>
              <w:spacing w:before="2"/>
              <w:rPr>
                <w:sz w:val="13"/>
              </w:rPr>
            </w:pPr>
          </w:p>
          <w:p w14:paraId="4478A38C" w14:textId="77777777" w:rsidR="009948F1" w:rsidRDefault="00BC0563">
            <w:pPr>
              <w:pStyle w:val="TableParagraph"/>
              <w:ind w:left="24"/>
              <w:rPr>
                <w:sz w:val="12"/>
              </w:rPr>
            </w:pPr>
            <w:r>
              <w:rPr>
                <w:color w:val="231F20"/>
                <w:sz w:val="12"/>
              </w:rPr>
              <w:t>Conduct workshop</w:t>
            </w:r>
          </w:p>
        </w:tc>
      </w:tr>
      <w:tr w:rsidR="009948F1" w14:paraId="1DD15E7D" w14:textId="77777777">
        <w:trPr>
          <w:trHeight w:val="310"/>
        </w:trPr>
        <w:tc>
          <w:tcPr>
            <w:tcW w:w="876" w:type="dxa"/>
            <w:gridSpan w:val="2"/>
            <w:vMerge/>
            <w:tcBorders>
              <w:top w:val="nil"/>
              <w:bottom w:val="nil"/>
              <w:right w:val="single" w:sz="6" w:space="0" w:color="231F20"/>
            </w:tcBorders>
          </w:tcPr>
          <w:p w14:paraId="6AEA6FDB"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3ED201B2" w14:textId="77777777" w:rsidR="009948F1" w:rsidRDefault="00BC0563">
            <w:pPr>
              <w:pStyle w:val="TableParagraph"/>
              <w:spacing w:before="88"/>
              <w:ind w:left="64" w:right="46"/>
              <w:jc w:val="center"/>
              <w:rPr>
                <w:sz w:val="12"/>
              </w:rPr>
            </w:pPr>
            <w:r>
              <w:rPr>
                <w:color w:val="231F20"/>
                <w:sz w:val="12"/>
              </w:rPr>
              <w:t>8.3.2.d</w:t>
            </w:r>
          </w:p>
        </w:tc>
        <w:tc>
          <w:tcPr>
            <w:tcW w:w="4955" w:type="dxa"/>
            <w:gridSpan w:val="2"/>
            <w:tcBorders>
              <w:top w:val="single" w:sz="6" w:space="0" w:color="231F20"/>
              <w:left w:val="single" w:sz="6" w:space="0" w:color="231F20"/>
              <w:bottom w:val="single" w:sz="6" w:space="0" w:color="231F20"/>
              <w:right w:val="single" w:sz="6" w:space="0" w:color="231F20"/>
            </w:tcBorders>
          </w:tcPr>
          <w:p w14:paraId="1997DB1D" w14:textId="46927993" w:rsidR="009948F1" w:rsidRDefault="00683F0D">
            <w:pPr>
              <w:pStyle w:val="TableParagraph"/>
              <w:spacing w:before="83"/>
              <w:ind w:left="23"/>
              <w:rPr>
                <w:sz w:val="12"/>
              </w:rPr>
            </w:pPr>
            <w:r>
              <w:rPr>
                <w:color w:val="231F20"/>
                <w:sz w:val="12"/>
              </w:rPr>
              <w:t>Organize</w:t>
            </w:r>
            <w:r w:rsidR="00BC0563">
              <w:rPr>
                <w:color w:val="231F20"/>
                <w:sz w:val="12"/>
              </w:rPr>
              <w:t xml:space="preserve"> orientation for commercial water producers on proper standard of water safety</w:t>
            </w:r>
          </w:p>
        </w:tc>
        <w:tc>
          <w:tcPr>
            <w:tcW w:w="1444" w:type="dxa"/>
            <w:tcBorders>
              <w:top w:val="single" w:sz="6" w:space="0" w:color="231F20"/>
              <w:left w:val="single" w:sz="6" w:space="0" w:color="231F20"/>
              <w:bottom w:val="single" w:sz="6" w:space="0" w:color="231F20"/>
              <w:right w:val="single" w:sz="6" w:space="0" w:color="231F20"/>
            </w:tcBorders>
          </w:tcPr>
          <w:p w14:paraId="71BDAC04" w14:textId="77777777" w:rsidR="009948F1" w:rsidRDefault="00BC0563">
            <w:pPr>
              <w:pStyle w:val="TableParagraph"/>
              <w:spacing w:before="88"/>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147D1668" w14:textId="64446BAC" w:rsidR="009948F1" w:rsidRDefault="00683F0D">
            <w:pPr>
              <w:pStyle w:val="TableParagraph"/>
              <w:spacing w:before="88"/>
              <w:ind w:left="24"/>
              <w:rPr>
                <w:sz w:val="12"/>
              </w:rPr>
            </w:pPr>
            <w:r>
              <w:rPr>
                <w:color w:val="231F20"/>
                <w:sz w:val="12"/>
              </w:rPr>
              <w:t>Organize</w:t>
            </w:r>
            <w:r w:rsidR="00BC0563">
              <w:rPr>
                <w:color w:val="231F20"/>
                <w:sz w:val="12"/>
              </w:rPr>
              <w:t xml:space="preserve"> orientation</w:t>
            </w:r>
          </w:p>
        </w:tc>
      </w:tr>
      <w:tr w:rsidR="009948F1" w14:paraId="7913C9FB" w14:textId="77777777">
        <w:trPr>
          <w:trHeight w:val="302"/>
        </w:trPr>
        <w:tc>
          <w:tcPr>
            <w:tcW w:w="876" w:type="dxa"/>
            <w:gridSpan w:val="2"/>
            <w:vMerge/>
            <w:tcBorders>
              <w:top w:val="nil"/>
              <w:bottom w:val="nil"/>
              <w:right w:val="single" w:sz="6" w:space="0" w:color="231F20"/>
            </w:tcBorders>
          </w:tcPr>
          <w:p w14:paraId="04229890"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3E4373CD" w14:textId="77777777" w:rsidR="009948F1" w:rsidRDefault="00BC0563">
            <w:pPr>
              <w:pStyle w:val="TableParagraph"/>
              <w:spacing w:before="84"/>
              <w:ind w:left="64" w:right="46"/>
              <w:jc w:val="center"/>
              <w:rPr>
                <w:sz w:val="12"/>
              </w:rPr>
            </w:pPr>
            <w:r>
              <w:rPr>
                <w:color w:val="231F20"/>
                <w:sz w:val="12"/>
              </w:rPr>
              <w:t>8.3.2.e</w:t>
            </w:r>
          </w:p>
        </w:tc>
        <w:tc>
          <w:tcPr>
            <w:tcW w:w="4955" w:type="dxa"/>
            <w:gridSpan w:val="2"/>
            <w:tcBorders>
              <w:top w:val="single" w:sz="6" w:space="0" w:color="231F20"/>
              <w:left w:val="single" w:sz="6" w:space="0" w:color="231F20"/>
              <w:bottom w:val="single" w:sz="6" w:space="0" w:color="231F20"/>
              <w:right w:val="single" w:sz="6" w:space="0" w:color="231F20"/>
            </w:tcBorders>
          </w:tcPr>
          <w:p w14:paraId="3CBE4EBF" w14:textId="77777777" w:rsidR="009948F1" w:rsidRDefault="00BC0563">
            <w:pPr>
              <w:pStyle w:val="TableParagraph"/>
              <w:spacing w:before="3"/>
              <w:ind w:left="23"/>
              <w:rPr>
                <w:sz w:val="12"/>
              </w:rPr>
            </w:pPr>
            <w:r>
              <w:rPr>
                <w:color w:val="231F20"/>
                <w:sz w:val="12"/>
              </w:rPr>
              <w:t>Public enlightenment of the populace through production and airing of jingles &amp;</w:t>
            </w:r>
          </w:p>
          <w:p w14:paraId="6BDFD5F8" w14:textId="77777777" w:rsidR="009948F1" w:rsidRDefault="00BC0563">
            <w:pPr>
              <w:pStyle w:val="TableParagraph"/>
              <w:spacing w:before="18" w:line="123" w:lineRule="exact"/>
              <w:ind w:left="23"/>
              <w:rPr>
                <w:sz w:val="12"/>
              </w:rPr>
            </w:pPr>
            <w:r>
              <w:rPr>
                <w:color w:val="231F20"/>
                <w:sz w:val="12"/>
              </w:rPr>
              <w:t>print/distribution of posters/fliers on WASH</w:t>
            </w:r>
          </w:p>
        </w:tc>
        <w:tc>
          <w:tcPr>
            <w:tcW w:w="1444" w:type="dxa"/>
            <w:tcBorders>
              <w:top w:val="single" w:sz="6" w:space="0" w:color="231F20"/>
              <w:left w:val="single" w:sz="6" w:space="0" w:color="231F20"/>
              <w:bottom w:val="single" w:sz="6" w:space="0" w:color="231F20"/>
              <w:right w:val="single" w:sz="6" w:space="0" w:color="231F20"/>
            </w:tcBorders>
          </w:tcPr>
          <w:p w14:paraId="05206A1B"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47934D93" w14:textId="77777777" w:rsidR="009948F1" w:rsidRDefault="00BC0563">
            <w:pPr>
              <w:pStyle w:val="TableParagraph"/>
              <w:spacing w:before="84"/>
              <w:ind w:left="24"/>
              <w:rPr>
                <w:sz w:val="12"/>
              </w:rPr>
            </w:pPr>
            <w:r>
              <w:rPr>
                <w:color w:val="231F20"/>
                <w:sz w:val="12"/>
              </w:rPr>
              <w:t>Public enlightenment</w:t>
            </w:r>
          </w:p>
        </w:tc>
      </w:tr>
      <w:tr w:rsidR="009948F1" w14:paraId="5E1385D0" w14:textId="77777777">
        <w:trPr>
          <w:trHeight w:val="788"/>
        </w:trPr>
        <w:tc>
          <w:tcPr>
            <w:tcW w:w="415" w:type="dxa"/>
            <w:tcBorders>
              <w:top w:val="nil"/>
              <w:bottom w:val="nil"/>
              <w:right w:val="single" w:sz="6" w:space="0" w:color="231F20"/>
            </w:tcBorders>
          </w:tcPr>
          <w:p w14:paraId="07388A43" w14:textId="77777777" w:rsidR="009948F1" w:rsidRDefault="009948F1">
            <w:pPr>
              <w:pStyle w:val="TableParagraph"/>
              <w:rPr>
                <w:rFonts w:ascii="Times New Roman"/>
                <w:sz w:val="12"/>
              </w:rPr>
            </w:pPr>
          </w:p>
        </w:tc>
        <w:tc>
          <w:tcPr>
            <w:tcW w:w="461" w:type="dxa"/>
            <w:tcBorders>
              <w:top w:val="single" w:sz="6" w:space="0" w:color="231F20"/>
              <w:left w:val="single" w:sz="6" w:space="0" w:color="231F20"/>
              <w:bottom w:val="single" w:sz="6" w:space="0" w:color="231F20"/>
              <w:right w:val="single" w:sz="6" w:space="0" w:color="231F20"/>
            </w:tcBorders>
            <w:shd w:val="clear" w:color="auto" w:fill="CCE7D3"/>
          </w:tcPr>
          <w:p w14:paraId="1F1CEB5B" w14:textId="77777777" w:rsidR="009948F1" w:rsidRDefault="009948F1">
            <w:pPr>
              <w:pStyle w:val="TableParagraph"/>
              <w:rPr>
                <w:sz w:val="12"/>
              </w:rPr>
            </w:pPr>
          </w:p>
          <w:p w14:paraId="337DD2AF" w14:textId="77777777" w:rsidR="009948F1" w:rsidRDefault="009948F1">
            <w:pPr>
              <w:pStyle w:val="TableParagraph"/>
              <w:spacing w:before="5"/>
              <w:rPr>
                <w:sz w:val="16"/>
              </w:rPr>
            </w:pPr>
          </w:p>
          <w:p w14:paraId="7D084821" w14:textId="77777777" w:rsidR="009948F1" w:rsidRDefault="00BC0563">
            <w:pPr>
              <w:pStyle w:val="TableParagraph"/>
              <w:ind w:left="58"/>
              <w:rPr>
                <w:sz w:val="12"/>
              </w:rPr>
            </w:pPr>
            <w:r>
              <w:rPr>
                <w:color w:val="231F20"/>
                <w:sz w:val="12"/>
              </w:rPr>
              <w:t>8.3.3</w:t>
            </w:r>
          </w:p>
        </w:tc>
        <w:tc>
          <w:tcPr>
            <w:tcW w:w="3075" w:type="dxa"/>
            <w:gridSpan w:val="2"/>
            <w:tcBorders>
              <w:top w:val="single" w:sz="6" w:space="0" w:color="231F20"/>
              <w:left w:val="single" w:sz="6" w:space="0" w:color="231F20"/>
              <w:bottom w:val="single" w:sz="6" w:space="0" w:color="231F20"/>
              <w:right w:val="single" w:sz="6" w:space="0" w:color="231F20"/>
            </w:tcBorders>
            <w:shd w:val="clear" w:color="auto" w:fill="CCE7D3"/>
          </w:tcPr>
          <w:p w14:paraId="41C421E9" w14:textId="77777777" w:rsidR="009948F1" w:rsidRDefault="009948F1">
            <w:pPr>
              <w:pStyle w:val="TableParagraph"/>
              <w:spacing w:before="5"/>
              <w:rPr>
                <w:sz w:val="14"/>
              </w:rPr>
            </w:pPr>
          </w:p>
          <w:p w14:paraId="1C55AE4E" w14:textId="77777777" w:rsidR="009948F1" w:rsidRDefault="00BC0563">
            <w:pPr>
              <w:pStyle w:val="TableParagraph"/>
              <w:spacing w:before="1" w:line="271" w:lineRule="auto"/>
              <w:ind w:left="24" w:right="34" w:firstLine="33"/>
              <w:rPr>
                <w:sz w:val="12"/>
              </w:rPr>
            </w:pPr>
            <w:r>
              <w:rPr>
                <w:color w:val="231F20"/>
                <w:sz w:val="12"/>
              </w:rPr>
              <w:t xml:space="preserve">Strengthen </w:t>
            </w:r>
            <w:proofErr w:type="spellStart"/>
            <w:r>
              <w:rPr>
                <w:color w:val="231F20"/>
                <w:sz w:val="12"/>
              </w:rPr>
              <w:t>behavioural</w:t>
            </w:r>
            <w:proofErr w:type="spellEnd"/>
            <w:r>
              <w:rPr>
                <w:color w:val="231F20"/>
                <w:sz w:val="12"/>
              </w:rPr>
              <w:t xml:space="preserve"> change communication, social mobilization and advocacy for the promotion of safe water and sanitation.</w:t>
            </w:r>
          </w:p>
        </w:tc>
        <w:tc>
          <w:tcPr>
            <w:tcW w:w="2413" w:type="dxa"/>
            <w:tcBorders>
              <w:top w:val="single" w:sz="6" w:space="0" w:color="231F20"/>
              <w:left w:val="single" w:sz="6" w:space="0" w:color="231F20"/>
              <w:bottom w:val="single" w:sz="6" w:space="0" w:color="231F20"/>
              <w:right w:val="single" w:sz="6" w:space="0" w:color="231F20"/>
            </w:tcBorders>
            <w:shd w:val="clear" w:color="auto" w:fill="CCE7D3"/>
          </w:tcPr>
          <w:p w14:paraId="1E0CA4D4" w14:textId="77777777" w:rsidR="009948F1" w:rsidRDefault="00BC0563">
            <w:pPr>
              <w:pStyle w:val="TableParagraph"/>
              <w:numPr>
                <w:ilvl w:val="0"/>
                <w:numId w:val="85"/>
              </w:numPr>
              <w:tabs>
                <w:tab w:val="left" w:pos="93"/>
              </w:tabs>
              <w:spacing w:before="3" w:line="271" w:lineRule="auto"/>
              <w:ind w:right="59" w:firstLine="0"/>
              <w:rPr>
                <w:sz w:val="12"/>
              </w:rPr>
            </w:pPr>
            <w:r>
              <w:rPr>
                <w:color w:val="231F20"/>
                <w:sz w:val="12"/>
              </w:rPr>
              <w:t xml:space="preserve">Advocacy to policy makers at the State </w:t>
            </w:r>
            <w:r>
              <w:rPr>
                <w:color w:val="231F20"/>
                <w:spacing w:val="-6"/>
                <w:sz w:val="12"/>
              </w:rPr>
              <w:t xml:space="preserve">for </w:t>
            </w:r>
            <w:r>
              <w:rPr>
                <w:color w:val="231F20"/>
                <w:sz w:val="12"/>
              </w:rPr>
              <w:t>provision of functional safe water points in the State</w:t>
            </w:r>
          </w:p>
          <w:p w14:paraId="661C1F39" w14:textId="77777777" w:rsidR="009948F1" w:rsidRDefault="00BC0563">
            <w:pPr>
              <w:pStyle w:val="TableParagraph"/>
              <w:numPr>
                <w:ilvl w:val="0"/>
                <w:numId w:val="85"/>
              </w:numPr>
              <w:tabs>
                <w:tab w:val="left" w:pos="99"/>
              </w:tabs>
              <w:spacing w:line="137" w:lineRule="exact"/>
              <w:ind w:left="98" w:hanging="76"/>
              <w:rPr>
                <w:sz w:val="12"/>
              </w:rPr>
            </w:pPr>
            <w:r>
              <w:rPr>
                <w:color w:val="231F20"/>
                <w:sz w:val="12"/>
              </w:rPr>
              <w:t>Orientation of health workers on</w:t>
            </w:r>
            <w:r>
              <w:rPr>
                <w:color w:val="231F20"/>
                <w:spacing w:val="-1"/>
                <w:sz w:val="12"/>
              </w:rPr>
              <w:t xml:space="preserve"> </w:t>
            </w:r>
            <w:r>
              <w:rPr>
                <w:color w:val="231F20"/>
                <w:sz w:val="12"/>
              </w:rPr>
              <w:t>effective</w:t>
            </w:r>
          </w:p>
          <w:p w14:paraId="5FE6AF1D" w14:textId="77777777" w:rsidR="009948F1" w:rsidRDefault="00BC0563">
            <w:pPr>
              <w:pStyle w:val="TableParagraph"/>
              <w:spacing w:before="18"/>
              <w:ind w:left="23"/>
              <w:rPr>
                <w:sz w:val="12"/>
              </w:rPr>
            </w:pPr>
            <w:r>
              <w:rPr>
                <w:color w:val="231F20"/>
                <w:sz w:val="12"/>
              </w:rPr>
              <w:t>hand washing and sanitation done</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2FD8CA78"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2ADC3CC1" w14:textId="77777777" w:rsidR="009948F1" w:rsidRDefault="009948F1">
            <w:pPr>
              <w:pStyle w:val="TableParagraph"/>
              <w:rPr>
                <w:rFonts w:ascii="Times New Roman"/>
                <w:sz w:val="12"/>
              </w:rPr>
            </w:pPr>
          </w:p>
        </w:tc>
      </w:tr>
      <w:tr w:rsidR="009948F1" w14:paraId="29AA04E1" w14:textId="77777777">
        <w:trPr>
          <w:trHeight w:val="298"/>
        </w:trPr>
        <w:tc>
          <w:tcPr>
            <w:tcW w:w="876" w:type="dxa"/>
            <w:gridSpan w:val="2"/>
            <w:vMerge w:val="restart"/>
            <w:tcBorders>
              <w:top w:val="nil"/>
              <w:bottom w:val="nil"/>
              <w:right w:val="single" w:sz="6" w:space="0" w:color="231F20"/>
            </w:tcBorders>
          </w:tcPr>
          <w:p w14:paraId="2E016444" w14:textId="77777777" w:rsidR="009948F1" w:rsidRDefault="009948F1">
            <w:pPr>
              <w:pStyle w:val="TableParagraph"/>
              <w:rPr>
                <w:rFonts w:ascii="Times New Roman"/>
                <w:sz w:val="12"/>
              </w:rPr>
            </w:pPr>
          </w:p>
        </w:tc>
        <w:tc>
          <w:tcPr>
            <w:tcW w:w="533" w:type="dxa"/>
            <w:tcBorders>
              <w:top w:val="single" w:sz="6" w:space="0" w:color="231F20"/>
              <w:left w:val="single" w:sz="6" w:space="0" w:color="231F20"/>
              <w:bottom w:val="single" w:sz="6" w:space="0" w:color="231F20"/>
              <w:right w:val="single" w:sz="6" w:space="0" w:color="231F20"/>
            </w:tcBorders>
          </w:tcPr>
          <w:p w14:paraId="0670472B" w14:textId="77777777" w:rsidR="009948F1" w:rsidRDefault="00BC0563">
            <w:pPr>
              <w:pStyle w:val="TableParagraph"/>
              <w:spacing w:before="82"/>
              <w:ind w:left="64" w:right="46"/>
              <w:jc w:val="center"/>
              <w:rPr>
                <w:sz w:val="12"/>
              </w:rPr>
            </w:pPr>
            <w:r>
              <w:rPr>
                <w:color w:val="231F20"/>
                <w:sz w:val="12"/>
              </w:rPr>
              <w:t>8.3.3.a</w:t>
            </w:r>
          </w:p>
        </w:tc>
        <w:tc>
          <w:tcPr>
            <w:tcW w:w="4955" w:type="dxa"/>
            <w:gridSpan w:val="2"/>
            <w:tcBorders>
              <w:top w:val="single" w:sz="6" w:space="0" w:color="231F20"/>
              <w:left w:val="single" w:sz="6" w:space="0" w:color="231F20"/>
              <w:bottom w:val="single" w:sz="6" w:space="0" w:color="231F20"/>
              <w:right w:val="single" w:sz="6" w:space="0" w:color="231F20"/>
            </w:tcBorders>
          </w:tcPr>
          <w:p w14:paraId="1C66F485" w14:textId="77777777" w:rsidR="009948F1" w:rsidRDefault="00BC0563">
            <w:pPr>
              <w:pStyle w:val="TableParagraph"/>
              <w:spacing w:line="142" w:lineRule="exact"/>
              <w:ind w:left="23"/>
              <w:rPr>
                <w:sz w:val="12"/>
              </w:rPr>
            </w:pPr>
            <w:r>
              <w:rPr>
                <w:color w:val="231F20"/>
                <w:sz w:val="12"/>
              </w:rPr>
              <w:t>Conduct advocacy to policy makers at the State</w:t>
            </w:r>
            <w:r>
              <w:rPr>
                <w:color w:val="231F20"/>
                <w:position w:val="3"/>
                <w:sz w:val="12"/>
              </w:rPr>
              <w:t>•</w:t>
            </w:r>
            <w:r>
              <w:rPr>
                <w:color w:val="231F20"/>
                <w:sz w:val="12"/>
              </w:rPr>
              <w:t>for provision of functional safe water points</w:t>
            </w:r>
          </w:p>
          <w:p w14:paraId="34BF5920" w14:textId="77777777" w:rsidR="009948F1" w:rsidRDefault="00BC0563">
            <w:pPr>
              <w:pStyle w:val="TableParagraph"/>
              <w:spacing w:before="17" w:line="119" w:lineRule="exact"/>
              <w:ind w:left="23"/>
              <w:rPr>
                <w:sz w:val="12"/>
              </w:rPr>
            </w:pPr>
            <w:r>
              <w:rPr>
                <w:color w:val="231F20"/>
                <w:sz w:val="12"/>
              </w:rPr>
              <w:t>in the State</w:t>
            </w:r>
          </w:p>
        </w:tc>
        <w:tc>
          <w:tcPr>
            <w:tcW w:w="1444" w:type="dxa"/>
            <w:tcBorders>
              <w:top w:val="single" w:sz="6" w:space="0" w:color="231F20"/>
              <w:left w:val="single" w:sz="6" w:space="0" w:color="231F20"/>
              <w:bottom w:val="single" w:sz="6" w:space="0" w:color="231F20"/>
              <w:right w:val="single" w:sz="6" w:space="0" w:color="231F20"/>
            </w:tcBorders>
          </w:tcPr>
          <w:p w14:paraId="2BCAED0E" w14:textId="77777777" w:rsidR="009948F1" w:rsidRDefault="00BC0563">
            <w:pPr>
              <w:pStyle w:val="TableParagraph"/>
              <w:spacing w:before="82"/>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2F4F00E" w14:textId="77777777" w:rsidR="009948F1" w:rsidRDefault="00BC0563">
            <w:pPr>
              <w:pStyle w:val="TableParagraph"/>
              <w:spacing w:before="82"/>
              <w:ind w:left="24"/>
              <w:rPr>
                <w:sz w:val="12"/>
              </w:rPr>
            </w:pPr>
            <w:r>
              <w:rPr>
                <w:color w:val="231F20"/>
                <w:sz w:val="12"/>
              </w:rPr>
              <w:t>Costed in 8.1.1a</w:t>
            </w:r>
          </w:p>
        </w:tc>
      </w:tr>
      <w:tr w:rsidR="009948F1" w14:paraId="1D9E4FAF" w14:textId="77777777">
        <w:trPr>
          <w:trHeight w:val="287"/>
        </w:trPr>
        <w:tc>
          <w:tcPr>
            <w:tcW w:w="876" w:type="dxa"/>
            <w:gridSpan w:val="2"/>
            <w:vMerge/>
            <w:tcBorders>
              <w:top w:val="nil"/>
              <w:bottom w:val="nil"/>
              <w:right w:val="single" w:sz="6" w:space="0" w:color="231F20"/>
            </w:tcBorders>
          </w:tcPr>
          <w:p w14:paraId="7A8A03A0"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1BBA13CD" w14:textId="77777777" w:rsidR="009948F1" w:rsidRDefault="00BC0563">
            <w:pPr>
              <w:pStyle w:val="TableParagraph"/>
              <w:spacing w:before="77"/>
              <w:ind w:left="64" w:right="46"/>
              <w:jc w:val="center"/>
              <w:rPr>
                <w:sz w:val="12"/>
              </w:rPr>
            </w:pPr>
            <w:r>
              <w:rPr>
                <w:color w:val="231F20"/>
                <w:sz w:val="12"/>
              </w:rPr>
              <w:t>8.3.3.b</w:t>
            </w:r>
          </w:p>
        </w:tc>
        <w:tc>
          <w:tcPr>
            <w:tcW w:w="4955" w:type="dxa"/>
            <w:gridSpan w:val="2"/>
            <w:tcBorders>
              <w:top w:val="single" w:sz="6" w:space="0" w:color="231F20"/>
              <w:left w:val="single" w:sz="6" w:space="0" w:color="231F20"/>
              <w:bottom w:val="single" w:sz="6" w:space="0" w:color="231F20"/>
              <w:right w:val="single" w:sz="6" w:space="0" w:color="231F20"/>
            </w:tcBorders>
          </w:tcPr>
          <w:p w14:paraId="4C9670EB" w14:textId="77777777" w:rsidR="009948F1" w:rsidRDefault="00BC0563">
            <w:pPr>
              <w:pStyle w:val="TableParagraph"/>
              <w:spacing w:before="72"/>
              <w:ind w:left="23"/>
              <w:rPr>
                <w:sz w:val="12"/>
              </w:rPr>
            </w:pPr>
            <w:r>
              <w:rPr>
                <w:color w:val="231F20"/>
                <w:sz w:val="12"/>
              </w:rPr>
              <w:t>Develop, print and distribute IEC materials on promotion of safe water and sanitation</w:t>
            </w:r>
          </w:p>
        </w:tc>
        <w:tc>
          <w:tcPr>
            <w:tcW w:w="1444" w:type="dxa"/>
            <w:tcBorders>
              <w:top w:val="single" w:sz="6" w:space="0" w:color="231F20"/>
              <w:left w:val="single" w:sz="6" w:space="0" w:color="231F20"/>
              <w:bottom w:val="single" w:sz="6" w:space="0" w:color="231F20"/>
              <w:right w:val="single" w:sz="6" w:space="0" w:color="231F20"/>
            </w:tcBorders>
          </w:tcPr>
          <w:p w14:paraId="4276D238" w14:textId="77777777" w:rsidR="009948F1" w:rsidRDefault="00BC0563">
            <w:pPr>
              <w:pStyle w:val="TableParagraph"/>
              <w:spacing w:before="77"/>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636B88EE" w14:textId="77777777" w:rsidR="009948F1" w:rsidRDefault="00BC0563">
            <w:pPr>
              <w:pStyle w:val="TableParagraph"/>
              <w:spacing w:before="3"/>
              <w:ind w:left="24"/>
              <w:rPr>
                <w:sz w:val="12"/>
              </w:rPr>
            </w:pPr>
            <w:r>
              <w:rPr>
                <w:color w:val="231F20"/>
                <w:sz w:val="12"/>
              </w:rPr>
              <w:t>Develop, print and</w:t>
            </w:r>
          </w:p>
          <w:p w14:paraId="2F710374" w14:textId="77777777" w:rsidR="009948F1" w:rsidRDefault="00BC0563">
            <w:pPr>
              <w:pStyle w:val="TableParagraph"/>
              <w:spacing w:before="18" w:line="108" w:lineRule="exact"/>
              <w:ind w:left="24"/>
              <w:rPr>
                <w:sz w:val="12"/>
              </w:rPr>
            </w:pPr>
            <w:r>
              <w:rPr>
                <w:color w:val="231F20"/>
                <w:sz w:val="12"/>
              </w:rPr>
              <w:t>distribute</w:t>
            </w:r>
          </w:p>
        </w:tc>
      </w:tr>
      <w:tr w:rsidR="009948F1" w14:paraId="2C8B0BF6" w14:textId="77777777">
        <w:trPr>
          <w:trHeight w:val="302"/>
        </w:trPr>
        <w:tc>
          <w:tcPr>
            <w:tcW w:w="876" w:type="dxa"/>
            <w:gridSpan w:val="2"/>
            <w:vMerge/>
            <w:tcBorders>
              <w:top w:val="nil"/>
              <w:bottom w:val="nil"/>
              <w:right w:val="single" w:sz="6" w:space="0" w:color="231F20"/>
            </w:tcBorders>
          </w:tcPr>
          <w:p w14:paraId="5D63BE8B"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5691CFC2" w14:textId="77777777" w:rsidR="009948F1" w:rsidRDefault="00BC0563">
            <w:pPr>
              <w:pStyle w:val="TableParagraph"/>
              <w:spacing w:before="84"/>
              <w:ind w:left="64" w:right="46"/>
              <w:jc w:val="center"/>
              <w:rPr>
                <w:sz w:val="12"/>
              </w:rPr>
            </w:pPr>
            <w:r>
              <w:rPr>
                <w:color w:val="231F20"/>
                <w:sz w:val="12"/>
              </w:rPr>
              <w:t>8.3.3.c</w:t>
            </w:r>
          </w:p>
        </w:tc>
        <w:tc>
          <w:tcPr>
            <w:tcW w:w="4955" w:type="dxa"/>
            <w:gridSpan w:val="2"/>
            <w:tcBorders>
              <w:top w:val="single" w:sz="6" w:space="0" w:color="231F20"/>
              <w:left w:val="single" w:sz="6" w:space="0" w:color="231F20"/>
              <w:bottom w:val="single" w:sz="6" w:space="0" w:color="231F20"/>
              <w:right w:val="single" w:sz="6" w:space="0" w:color="231F20"/>
            </w:tcBorders>
          </w:tcPr>
          <w:p w14:paraId="32DC2995" w14:textId="77777777" w:rsidR="009948F1" w:rsidRDefault="00BC0563">
            <w:pPr>
              <w:pStyle w:val="TableParagraph"/>
              <w:spacing w:before="79"/>
              <w:ind w:left="23"/>
              <w:rPr>
                <w:sz w:val="12"/>
              </w:rPr>
            </w:pPr>
            <w:r>
              <w:rPr>
                <w:color w:val="231F20"/>
                <w:sz w:val="12"/>
              </w:rPr>
              <w:t>Community sensitization on safe water and sanitation using WDC monthly meetings</w:t>
            </w:r>
          </w:p>
        </w:tc>
        <w:tc>
          <w:tcPr>
            <w:tcW w:w="1444" w:type="dxa"/>
            <w:tcBorders>
              <w:top w:val="single" w:sz="6" w:space="0" w:color="231F20"/>
              <w:left w:val="single" w:sz="6" w:space="0" w:color="231F20"/>
              <w:bottom w:val="single" w:sz="6" w:space="0" w:color="231F20"/>
              <w:right w:val="single" w:sz="6" w:space="0" w:color="231F20"/>
            </w:tcBorders>
          </w:tcPr>
          <w:p w14:paraId="43340661"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3DE59B7E" w14:textId="77777777" w:rsidR="009948F1" w:rsidRDefault="00BC0563">
            <w:pPr>
              <w:pStyle w:val="TableParagraph"/>
              <w:spacing w:before="84"/>
              <w:ind w:left="24"/>
              <w:rPr>
                <w:sz w:val="12"/>
              </w:rPr>
            </w:pPr>
            <w:r>
              <w:rPr>
                <w:color w:val="231F20"/>
                <w:sz w:val="12"/>
              </w:rPr>
              <w:t>Conduct sensitization</w:t>
            </w:r>
          </w:p>
        </w:tc>
      </w:tr>
      <w:tr w:rsidR="009948F1" w14:paraId="2AD97F45" w14:textId="77777777">
        <w:trPr>
          <w:trHeight w:val="310"/>
        </w:trPr>
        <w:tc>
          <w:tcPr>
            <w:tcW w:w="876" w:type="dxa"/>
            <w:gridSpan w:val="2"/>
            <w:vMerge/>
            <w:tcBorders>
              <w:top w:val="nil"/>
              <w:bottom w:val="nil"/>
              <w:right w:val="single" w:sz="6" w:space="0" w:color="231F20"/>
            </w:tcBorders>
          </w:tcPr>
          <w:p w14:paraId="6D56B860"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32EC3D2D" w14:textId="77777777" w:rsidR="009948F1" w:rsidRDefault="00BC0563">
            <w:pPr>
              <w:pStyle w:val="TableParagraph"/>
              <w:spacing w:before="88"/>
              <w:ind w:left="64" w:right="46"/>
              <w:jc w:val="center"/>
              <w:rPr>
                <w:sz w:val="12"/>
              </w:rPr>
            </w:pPr>
            <w:r>
              <w:rPr>
                <w:color w:val="231F20"/>
                <w:sz w:val="12"/>
              </w:rPr>
              <w:t>8.3.3.d</w:t>
            </w:r>
          </w:p>
        </w:tc>
        <w:tc>
          <w:tcPr>
            <w:tcW w:w="4955" w:type="dxa"/>
            <w:gridSpan w:val="2"/>
            <w:tcBorders>
              <w:top w:val="single" w:sz="6" w:space="0" w:color="231F20"/>
              <w:left w:val="single" w:sz="6" w:space="0" w:color="231F20"/>
              <w:bottom w:val="single" w:sz="6" w:space="0" w:color="231F20"/>
              <w:right w:val="single" w:sz="6" w:space="0" w:color="231F20"/>
            </w:tcBorders>
          </w:tcPr>
          <w:p w14:paraId="2BF3BC65" w14:textId="77777777" w:rsidR="009948F1" w:rsidRDefault="00BC0563">
            <w:pPr>
              <w:pStyle w:val="TableParagraph"/>
              <w:spacing w:before="83"/>
              <w:ind w:left="23"/>
              <w:rPr>
                <w:sz w:val="12"/>
              </w:rPr>
            </w:pPr>
            <w:r>
              <w:rPr>
                <w:color w:val="231F20"/>
                <w:sz w:val="12"/>
              </w:rPr>
              <w:t>Orientation of health workers on effective hand washing and sanitation</w:t>
            </w:r>
          </w:p>
        </w:tc>
        <w:tc>
          <w:tcPr>
            <w:tcW w:w="1444" w:type="dxa"/>
            <w:tcBorders>
              <w:top w:val="single" w:sz="6" w:space="0" w:color="231F20"/>
              <w:left w:val="single" w:sz="6" w:space="0" w:color="231F20"/>
              <w:bottom w:val="single" w:sz="6" w:space="0" w:color="231F20"/>
              <w:right w:val="single" w:sz="6" w:space="0" w:color="231F20"/>
            </w:tcBorders>
          </w:tcPr>
          <w:p w14:paraId="408F2863" w14:textId="77777777" w:rsidR="009948F1" w:rsidRDefault="00BC0563">
            <w:pPr>
              <w:pStyle w:val="TableParagraph"/>
              <w:spacing w:before="88"/>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4F0D328F" w14:textId="77777777" w:rsidR="009948F1" w:rsidRDefault="00BC0563">
            <w:pPr>
              <w:pStyle w:val="TableParagraph"/>
              <w:spacing w:before="10"/>
              <w:ind w:left="24"/>
              <w:rPr>
                <w:sz w:val="12"/>
              </w:rPr>
            </w:pPr>
            <w:r>
              <w:rPr>
                <w:color w:val="231F20"/>
                <w:sz w:val="12"/>
              </w:rPr>
              <w:t>Orientation of health</w:t>
            </w:r>
          </w:p>
          <w:p w14:paraId="4859748F" w14:textId="77777777" w:rsidR="009948F1" w:rsidRDefault="00BC0563">
            <w:pPr>
              <w:pStyle w:val="TableParagraph"/>
              <w:spacing w:before="17" w:line="124" w:lineRule="exact"/>
              <w:ind w:left="24"/>
              <w:rPr>
                <w:sz w:val="12"/>
              </w:rPr>
            </w:pPr>
            <w:r>
              <w:rPr>
                <w:color w:val="231F20"/>
                <w:sz w:val="12"/>
              </w:rPr>
              <w:t>workers</w:t>
            </w:r>
          </w:p>
        </w:tc>
      </w:tr>
      <w:tr w:rsidR="009948F1" w14:paraId="7EF42755" w14:textId="77777777">
        <w:trPr>
          <w:trHeight w:val="302"/>
        </w:trPr>
        <w:tc>
          <w:tcPr>
            <w:tcW w:w="876" w:type="dxa"/>
            <w:gridSpan w:val="2"/>
            <w:vMerge/>
            <w:tcBorders>
              <w:top w:val="nil"/>
              <w:bottom w:val="nil"/>
              <w:right w:val="single" w:sz="6" w:space="0" w:color="231F20"/>
            </w:tcBorders>
          </w:tcPr>
          <w:p w14:paraId="74F4546D"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5C57DC0C" w14:textId="77777777" w:rsidR="009948F1" w:rsidRDefault="00BC0563">
            <w:pPr>
              <w:pStyle w:val="TableParagraph"/>
              <w:spacing w:before="84"/>
              <w:ind w:left="64" w:right="46"/>
              <w:jc w:val="center"/>
              <w:rPr>
                <w:sz w:val="12"/>
              </w:rPr>
            </w:pPr>
            <w:r>
              <w:rPr>
                <w:color w:val="231F20"/>
                <w:sz w:val="12"/>
              </w:rPr>
              <w:t>8.3.3.e</w:t>
            </w:r>
          </w:p>
        </w:tc>
        <w:tc>
          <w:tcPr>
            <w:tcW w:w="4955" w:type="dxa"/>
            <w:gridSpan w:val="2"/>
            <w:tcBorders>
              <w:top w:val="single" w:sz="6" w:space="0" w:color="231F20"/>
              <w:left w:val="single" w:sz="6" w:space="0" w:color="231F20"/>
              <w:bottom w:val="single" w:sz="6" w:space="0" w:color="231F20"/>
              <w:right w:val="single" w:sz="6" w:space="0" w:color="231F20"/>
            </w:tcBorders>
          </w:tcPr>
          <w:p w14:paraId="31A19B57" w14:textId="77777777" w:rsidR="009948F1" w:rsidRDefault="00BC0563">
            <w:pPr>
              <w:pStyle w:val="TableParagraph"/>
              <w:spacing w:before="79"/>
              <w:ind w:left="23"/>
              <w:rPr>
                <w:sz w:val="12"/>
              </w:rPr>
            </w:pPr>
            <w:r>
              <w:rPr>
                <w:color w:val="231F20"/>
                <w:sz w:val="12"/>
              </w:rPr>
              <w:t>Production and airing safe water and sanitation jingles</w:t>
            </w:r>
          </w:p>
        </w:tc>
        <w:tc>
          <w:tcPr>
            <w:tcW w:w="1444" w:type="dxa"/>
            <w:tcBorders>
              <w:top w:val="single" w:sz="6" w:space="0" w:color="231F20"/>
              <w:left w:val="single" w:sz="6" w:space="0" w:color="231F20"/>
              <w:bottom w:val="single" w:sz="6" w:space="0" w:color="231F20"/>
              <w:right w:val="single" w:sz="6" w:space="0" w:color="231F20"/>
            </w:tcBorders>
          </w:tcPr>
          <w:p w14:paraId="1FD1306C"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373B7494" w14:textId="77777777" w:rsidR="009948F1" w:rsidRDefault="00BC0563">
            <w:pPr>
              <w:pStyle w:val="TableParagraph"/>
              <w:spacing w:before="84"/>
              <w:ind w:left="24"/>
              <w:rPr>
                <w:sz w:val="12"/>
              </w:rPr>
            </w:pPr>
            <w:r>
              <w:rPr>
                <w:color w:val="231F20"/>
                <w:sz w:val="12"/>
              </w:rPr>
              <w:t>Production and airing</w:t>
            </w:r>
          </w:p>
        </w:tc>
      </w:tr>
      <w:tr w:rsidR="009948F1" w14:paraId="5F923868" w14:textId="77777777">
        <w:trPr>
          <w:trHeight w:val="1001"/>
        </w:trPr>
        <w:tc>
          <w:tcPr>
            <w:tcW w:w="415" w:type="dxa"/>
            <w:tcBorders>
              <w:top w:val="nil"/>
              <w:bottom w:val="nil"/>
              <w:right w:val="single" w:sz="6" w:space="0" w:color="231F20"/>
            </w:tcBorders>
          </w:tcPr>
          <w:p w14:paraId="7795D259" w14:textId="77777777" w:rsidR="009948F1" w:rsidRDefault="009948F1">
            <w:pPr>
              <w:pStyle w:val="TableParagraph"/>
              <w:rPr>
                <w:rFonts w:ascii="Times New Roman"/>
                <w:sz w:val="12"/>
              </w:rPr>
            </w:pPr>
          </w:p>
        </w:tc>
        <w:tc>
          <w:tcPr>
            <w:tcW w:w="461" w:type="dxa"/>
            <w:tcBorders>
              <w:top w:val="single" w:sz="6" w:space="0" w:color="231F20"/>
              <w:left w:val="single" w:sz="6" w:space="0" w:color="231F20"/>
              <w:bottom w:val="single" w:sz="6" w:space="0" w:color="231F20"/>
              <w:right w:val="single" w:sz="6" w:space="0" w:color="231F20"/>
            </w:tcBorders>
            <w:shd w:val="clear" w:color="auto" w:fill="CCE7D3"/>
          </w:tcPr>
          <w:p w14:paraId="49B3A4E1" w14:textId="77777777" w:rsidR="009948F1" w:rsidRDefault="009948F1">
            <w:pPr>
              <w:pStyle w:val="TableParagraph"/>
              <w:rPr>
                <w:sz w:val="12"/>
              </w:rPr>
            </w:pPr>
          </w:p>
          <w:p w14:paraId="0BC93205" w14:textId="77777777" w:rsidR="009948F1" w:rsidRDefault="009948F1">
            <w:pPr>
              <w:pStyle w:val="TableParagraph"/>
              <w:rPr>
                <w:sz w:val="12"/>
              </w:rPr>
            </w:pPr>
          </w:p>
          <w:p w14:paraId="40909AF8" w14:textId="77777777" w:rsidR="009948F1" w:rsidRDefault="009948F1">
            <w:pPr>
              <w:pStyle w:val="TableParagraph"/>
              <w:spacing w:before="8"/>
              <w:rPr>
                <w:sz w:val="13"/>
              </w:rPr>
            </w:pPr>
          </w:p>
          <w:p w14:paraId="0695FBEE" w14:textId="77777777" w:rsidR="009948F1" w:rsidRDefault="00BC0563">
            <w:pPr>
              <w:pStyle w:val="TableParagraph"/>
              <w:ind w:left="58"/>
              <w:rPr>
                <w:sz w:val="12"/>
              </w:rPr>
            </w:pPr>
            <w:r>
              <w:rPr>
                <w:color w:val="231F20"/>
                <w:sz w:val="12"/>
              </w:rPr>
              <w:t>8.3.4</w:t>
            </w:r>
          </w:p>
        </w:tc>
        <w:tc>
          <w:tcPr>
            <w:tcW w:w="3075" w:type="dxa"/>
            <w:gridSpan w:val="2"/>
            <w:tcBorders>
              <w:top w:val="single" w:sz="6" w:space="0" w:color="231F20"/>
              <w:left w:val="single" w:sz="6" w:space="0" w:color="231F20"/>
              <w:bottom w:val="single" w:sz="6" w:space="0" w:color="231F20"/>
              <w:right w:val="single" w:sz="6" w:space="0" w:color="231F20"/>
            </w:tcBorders>
            <w:shd w:val="clear" w:color="auto" w:fill="CCE7D3"/>
          </w:tcPr>
          <w:p w14:paraId="42EE9926" w14:textId="77777777" w:rsidR="009948F1" w:rsidRDefault="009948F1">
            <w:pPr>
              <w:pStyle w:val="TableParagraph"/>
              <w:rPr>
                <w:sz w:val="12"/>
              </w:rPr>
            </w:pPr>
          </w:p>
          <w:p w14:paraId="56762FC7" w14:textId="77777777" w:rsidR="009948F1" w:rsidRDefault="009948F1">
            <w:pPr>
              <w:pStyle w:val="TableParagraph"/>
              <w:spacing w:before="8"/>
              <w:rPr>
                <w:sz w:val="11"/>
              </w:rPr>
            </w:pPr>
          </w:p>
          <w:p w14:paraId="0F13D17E" w14:textId="77777777" w:rsidR="009948F1" w:rsidRDefault="00BC0563">
            <w:pPr>
              <w:pStyle w:val="TableParagraph"/>
              <w:spacing w:line="271" w:lineRule="auto"/>
              <w:ind w:left="24" w:right="34" w:firstLine="33"/>
              <w:rPr>
                <w:sz w:val="12"/>
              </w:rPr>
            </w:pPr>
            <w:r>
              <w:rPr>
                <w:color w:val="231F20"/>
                <w:sz w:val="12"/>
              </w:rPr>
              <w:t>Strengthen the regulatory and supervisory frame work for production of commercial water to ensure water safety</w:t>
            </w:r>
          </w:p>
        </w:tc>
        <w:tc>
          <w:tcPr>
            <w:tcW w:w="2413" w:type="dxa"/>
            <w:tcBorders>
              <w:top w:val="single" w:sz="6" w:space="0" w:color="231F20"/>
              <w:left w:val="single" w:sz="6" w:space="0" w:color="231F20"/>
              <w:bottom w:val="single" w:sz="6" w:space="0" w:color="231F20"/>
              <w:right w:val="single" w:sz="6" w:space="0" w:color="231F20"/>
            </w:tcBorders>
            <w:shd w:val="clear" w:color="auto" w:fill="CCE7D3"/>
          </w:tcPr>
          <w:p w14:paraId="06588D58" w14:textId="77777777" w:rsidR="009948F1" w:rsidRDefault="00BC0563">
            <w:pPr>
              <w:pStyle w:val="TableParagraph"/>
              <w:numPr>
                <w:ilvl w:val="0"/>
                <w:numId w:val="84"/>
              </w:numPr>
              <w:tabs>
                <w:tab w:val="left" w:pos="99"/>
              </w:tabs>
              <w:spacing w:before="45" w:line="271" w:lineRule="auto"/>
              <w:ind w:right="46" w:firstLine="0"/>
              <w:rPr>
                <w:sz w:val="12"/>
              </w:rPr>
            </w:pPr>
            <w:r>
              <w:rPr>
                <w:color w:val="231F20"/>
                <w:sz w:val="12"/>
              </w:rPr>
              <w:t xml:space="preserve">Monitoring and supervision of </w:t>
            </w:r>
            <w:r>
              <w:rPr>
                <w:color w:val="231F20"/>
                <w:spacing w:val="-3"/>
                <w:sz w:val="12"/>
              </w:rPr>
              <w:t xml:space="preserve">construction </w:t>
            </w:r>
            <w:r>
              <w:rPr>
                <w:color w:val="231F20"/>
                <w:sz w:val="12"/>
              </w:rPr>
              <w:t>of commercial water points done</w:t>
            </w:r>
          </w:p>
          <w:p w14:paraId="0E330FC9" w14:textId="77777777" w:rsidR="009948F1" w:rsidRDefault="00BC0563">
            <w:pPr>
              <w:pStyle w:val="TableParagraph"/>
              <w:numPr>
                <w:ilvl w:val="0"/>
                <w:numId w:val="84"/>
              </w:numPr>
              <w:tabs>
                <w:tab w:val="left" w:pos="99"/>
              </w:tabs>
              <w:spacing w:line="271" w:lineRule="auto"/>
              <w:ind w:right="173" w:firstLine="0"/>
              <w:rPr>
                <w:sz w:val="12"/>
              </w:rPr>
            </w:pPr>
            <w:r>
              <w:rPr>
                <w:color w:val="231F20"/>
                <w:sz w:val="12"/>
              </w:rPr>
              <w:t>Regulation for production of commercial water supply produced and</w:t>
            </w:r>
            <w:r>
              <w:rPr>
                <w:color w:val="231F20"/>
                <w:spacing w:val="-1"/>
                <w:sz w:val="12"/>
              </w:rPr>
              <w:t xml:space="preserve"> </w:t>
            </w:r>
            <w:r>
              <w:rPr>
                <w:color w:val="231F20"/>
                <w:sz w:val="12"/>
              </w:rPr>
              <w:t>distributed</w:t>
            </w:r>
          </w:p>
          <w:p w14:paraId="57F148F1" w14:textId="77777777" w:rsidR="009948F1" w:rsidRDefault="00BC0563">
            <w:pPr>
              <w:pStyle w:val="TableParagraph"/>
              <w:numPr>
                <w:ilvl w:val="0"/>
                <w:numId w:val="84"/>
              </w:numPr>
              <w:tabs>
                <w:tab w:val="left" w:pos="99"/>
              </w:tabs>
              <w:spacing w:line="271" w:lineRule="auto"/>
              <w:ind w:right="46" w:firstLine="0"/>
              <w:rPr>
                <w:sz w:val="12"/>
              </w:rPr>
            </w:pPr>
            <w:r>
              <w:rPr>
                <w:color w:val="231F20"/>
                <w:sz w:val="12"/>
              </w:rPr>
              <w:t xml:space="preserve">Monitoring and supervision of </w:t>
            </w:r>
            <w:r>
              <w:rPr>
                <w:color w:val="231F20"/>
                <w:spacing w:val="-3"/>
                <w:sz w:val="12"/>
              </w:rPr>
              <w:t xml:space="preserve">construction </w:t>
            </w:r>
            <w:r>
              <w:rPr>
                <w:color w:val="231F20"/>
                <w:sz w:val="12"/>
              </w:rPr>
              <w:t>of commercial water points carried out</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5E8824DC"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27FAE790" w14:textId="77777777" w:rsidR="009948F1" w:rsidRDefault="009948F1">
            <w:pPr>
              <w:pStyle w:val="TableParagraph"/>
              <w:rPr>
                <w:rFonts w:ascii="Times New Roman"/>
                <w:sz w:val="12"/>
              </w:rPr>
            </w:pPr>
          </w:p>
        </w:tc>
      </w:tr>
      <w:tr w:rsidR="009948F1" w14:paraId="0E7EA76A" w14:textId="77777777">
        <w:trPr>
          <w:trHeight w:val="298"/>
        </w:trPr>
        <w:tc>
          <w:tcPr>
            <w:tcW w:w="876" w:type="dxa"/>
            <w:gridSpan w:val="2"/>
            <w:vMerge w:val="restart"/>
            <w:tcBorders>
              <w:top w:val="nil"/>
              <w:bottom w:val="single" w:sz="6" w:space="0" w:color="231F20"/>
              <w:right w:val="single" w:sz="6" w:space="0" w:color="231F20"/>
            </w:tcBorders>
          </w:tcPr>
          <w:p w14:paraId="078AD75C" w14:textId="77777777" w:rsidR="009948F1" w:rsidRDefault="009948F1">
            <w:pPr>
              <w:pStyle w:val="TableParagraph"/>
              <w:rPr>
                <w:rFonts w:ascii="Times New Roman"/>
                <w:sz w:val="12"/>
              </w:rPr>
            </w:pPr>
          </w:p>
        </w:tc>
        <w:tc>
          <w:tcPr>
            <w:tcW w:w="533" w:type="dxa"/>
            <w:tcBorders>
              <w:top w:val="single" w:sz="6" w:space="0" w:color="231F20"/>
              <w:left w:val="single" w:sz="6" w:space="0" w:color="231F20"/>
              <w:bottom w:val="single" w:sz="6" w:space="0" w:color="231F20"/>
              <w:right w:val="single" w:sz="6" w:space="0" w:color="231F20"/>
            </w:tcBorders>
          </w:tcPr>
          <w:p w14:paraId="74749546" w14:textId="77777777" w:rsidR="009948F1" w:rsidRDefault="00BC0563">
            <w:pPr>
              <w:pStyle w:val="TableParagraph"/>
              <w:spacing w:before="82"/>
              <w:ind w:left="64" w:right="46"/>
              <w:jc w:val="center"/>
              <w:rPr>
                <w:sz w:val="12"/>
              </w:rPr>
            </w:pPr>
            <w:r>
              <w:rPr>
                <w:color w:val="231F20"/>
                <w:sz w:val="12"/>
              </w:rPr>
              <w:t>8.3.4.a</w:t>
            </w:r>
          </w:p>
        </w:tc>
        <w:tc>
          <w:tcPr>
            <w:tcW w:w="4955" w:type="dxa"/>
            <w:gridSpan w:val="2"/>
            <w:tcBorders>
              <w:top w:val="single" w:sz="6" w:space="0" w:color="231F20"/>
              <w:left w:val="single" w:sz="6" w:space="0" w:color="231F20"/>
              <w:bottom w:val="single" w:sz="6" w:space="0" w:color="231F20"/>
              <w:right w:val="single" w:sz="6" w:space="0" w:color="231F20"/>
            </w:tcBorders>
          </w:tcPr>
          <w:p w14:paraId="378F88C1" w14:textId="77777777" w:rsidR="009948F1" w:rsidRDefault="00BC0563">
            <w:pPr>
              <w:pStyle w:val="TableParagraph"/>
              <w:spacing w:before="3"/>
              <w:ind w:left="23"/>
              <w:rPr>
                <w:sz w:val="12"/>
              </w:rPr>
            </w:pPr>
            <w:r>
              <w:rPr>
                <w:color w:val="231F20"/>
                <w:sz w:val="12"/>
              </w:rPr>
              <w:t>Establish in collaboration with NAFDAC a regulation enforcement committee for commercial</w:t>
            </w:r>
          </w:p>
          <w:p w14:paraId="187E245D" w14:textId="77777777" w:rsidR="009948F1" w:rsidRDefault="00BC0563">
            <w:pPr>
              <w:pStyle w:val="TableParagraph"/>
              <w:spacing w:before="18" w:line="119" w:lineRule="exact"/>
              <w:ind w:left="23"/>
              <w:rPr>
                <w:sz w:val="12"/>
              </w:rPr>
            </w:pPr>
            <w:r>
              <w:rPr>
                <w:color w:val="231F20"/>
                <w:sz w:val="12"/>
              </w:rPr>
              <w:t>water producer</w:t>
            </w:r>
          </w:p>
        </w:tc>
        <w:tc>
          <w:tcPr>
            <w:tcW w:w="1444" w:type="dxa"/>
            <w:tcBorders>
              <w:top w:val="single" w:sz="6" w:space="0" w:color="231F20"/>
              <w:left w:val="single" w:sz="6" w:space="0" w:color="231F20"/>
              <w:bottom w:val="single" w:sz="6" w:space="0" w:color="231F20"/>
              <w:right w:val="single" w:sz="6" w:space="0" w:color="231F20"/>
            </w:tcBorders>
          </w:tcPr>
          <w:p w14:paraId="3A45CBDE" w14:textId="77777777" w:rsidR="009948F1" w:rsidRDefault="00BC0563">
            <w:pPr>
              <w:pStyle w:val="TableParagraph"/>
              <w:spacing w:before="82"/>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2AAD373" w14:textId="77777777" w:rsidR="009948F1" w:rsidRDefault="00BC0563">
            <w:pPr>
              <w:pStyle w:val="TableParagraph"/>
              <w:spacing w:before="82"/>
              <w:ind w:left="24"/>
              <w:rPr>
                <w:sz w:val="12"/>
              </w:rPr>
            </w:pPr>
            <w:r>
              <w:rPr>
                <w:color w:val="231F20"/>
                <w:sz w:val="12"/>
              </w:rPr>
              <w:t>Establish in collaboration</w:t>
            </w:r>
          </w:p>
        </w:tc>
      </w:tr>
      <w:tr w:rsidR="009948F1" w14:paraId="659967F6" w14:textId="77777777">
        <w:trPr>
          <w:trHeight w:val="287"/>
        </w:trPr>
        <w:tc>
          <w:tcPr>
            <w:tcW w:w="876" w:type="dxa"/>
            <w:gridSpan w:val="2"/>
            <w:vMerge/>
            <w:tcBorders>
              <w:top w:val="nil"/>
              <w:bottom w:val="single" w:sz="6" w:space="0" w:color="231F20"/>
              <w:right w:val="single" w:sz="6" w:space="0" w:color="231F20"/>
            </w:tcBorders>
          </w:tcPr>
          <w:p w14:paraId="2BE94FAC"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30A23BDF" w14:textId="77777777" w:rsidR="009948F1" w:rsidRDefault="00BC0563">
            <w:pPr>
              <w:pStyle w:val="TableParagraph"/>
              <w:spacing w:before="77"/>
              <w:ind w:left="64" w:right="46"/>
              <w:jc w:val="center"/>
              <w:rPr>
                <w:sz w:val="12"/>
              </w:rPr>
            </w:pPr>
            <w:r>
              <w:rPr>
                <w:color w:val="231F20"/>
                <w:sz w:val="12"/>
              </w:rPr>
              <w:t>8.3.4.b</w:t>
            </w:r>
          </w:p>
        </w:tc>
        <w:tc>
          <w:tcPr>
            <w:tcW w:w="4955" w:type="dxa"/>
            <w:gridSpan w:val="2"/>
            <w:tcBorders>
              <w:top w:val="single" w:sz="6" w:space="0" w:color="231F20"/>
              <w:left w:val="single" w:sz="6" w:space="0" w:color="231F20"/>
              <w:bottom w:val="single" w:sz="6" w:space="0" w:color="231F20"/>
              <w:right w:val="single" w:sz="6" w:space="0" w:color="231F20"/>
            </w:tcBorders>
          </w:tcPr>
          <w:p w14:paraId="5ADFB14D" w14:textId="77777777" w:rsidR="009948F1" w:rsidRDefault="00BC0563">
            <w:pPr>
              <w:pStyle w:val="TableParagraph"/>
              <w:spacing w:before="72"/>
              <w:ind w:left="23"/>
              <w:rPr>
                <w:sz w:val="12"/>
              </w:rPr>
            </w:pPr>
            <w:r>
              <w:rPr>
                <w:color w:val="231F20"/>
                <w:sz w:val="12"/>
              </w:rPr>
              <w:t>Produce and distribute regulation for production of commercial water supply</w:t>
            </w:r>
          </w:p>
        </w:tc>
        <w:tc>
          <w:tcPr>
            <w:tcW w:w="1444" w:type="dxa"/>
            <w:tcBorders>
              <w:top w:val="single" w:sz="6" w:space="0" w:color="231F20"/>
              <w:left w:val="single" w:sz="6" w:space="0" w:color="231F20"/>
              <w:bottom w:val="single" w:sz="6" w:space="0" w:color="231F20"/>
              <w:right w:val="single" w:sz="6" w:space="0" w:color="231F20"/>
            </w:tcBorders>
          </w:tcPr>
          <w:p w14:paraId="52A1C843" w14:textId="77777777" w:rsidR="009948F1" w:rsidRDefault="00BC0563">
            <w:pPr>
              <w:pStyle w:val="TableParagraph"/>
              <w:spacing w:before="77"/>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38CA4C2" w14:textId="77777777" w:rsidR="009948F1" w:rsidRDefault="00BC0563">
            <w:pPr>
              <w:pStyle w:val="TableParagraph"/>
              <w:spacing w:before="77"/>
              <w:ind w:left="24"/>
              <w:rPr>
                <w:sz w:val="12"/>
              </w:rPr>
            </w:pPr>
            <w:r>
              <w:rPr>
                <w:color w:val="231F20"/>
                <w:sz w:val="12"/>
              </w:rPr>
              <w:t>Produce and distribute</w:t>
            </w:r>
          </w:p>
        </w:tc>
      </w:tr>
      <w:tr w:rsidR="009948F1" w14:paraId="44CF6DF5" w14:textId="77777777">
        <w:trPr>
          <w:trHeight w:val="302"/>
        </w:trPr>
        <w:tc>
          <w:tcPr>
            <w:tcW w:w="876" w:type="dxa"/>
            <w:gridSpan w:val="2"/>
            <w:vMerge/>
            <w:tcBorders>
              <w:top w:val="nil"/>
              <w:bottom w:val="single" w:sz="6" w:space="0" w:color="231F20"/>
              <w:right w:val="single" w:sz="6" w:space="0" w:color="231F20"/>
            </w:tcBorders>
          </w:tcPr>
          <w:p w14:paraId="49363F21"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4120AB02" w14:textId="77777777" w:rsidR="009948F1" w:rsidRDefault="00BC0563">
            <w:pPr>
              <w:pStyle w:val="TableParagraph"/>
              <w:spacing w:before="84"/>
              <w:ind w:left="64" w:right="46"/>
              <w:jc w:val="center"/>
              <w:rPr>
                <w:sz w:val="12"/>
              </w:rPr>
            </w:pPr>
            <w:r>
              <w:rPr>
                <w:color w:val="231F20"/>
                <w:sz w:val="12"/>
              </w:rPr>
              <w:t>8.3.4.c</w:t>
            </w:r>
          </w:p>
        </w:tc>
        <w:tc>
          <w:tcPr>
            <w:tcW w:w="4955" w:type="dxa"/>
            <w:gridSpan w:val="2"/>
            <w:tcBorders>
              <w:top w:val="single" w:sz="6" w:space="0" w:color="231F20"/>
              <w:left w:val="single" w:sz="6" w:space="0" w:color="231F20"/>
              <w:bottom w:val="single" w:sz="6" w:space="0" w:color="231F20"/>
              <w:right w:val="single" w:sz="6" w:space="0" w:color="231F20"/>
            </w:tcBorders>
          </w:tcPr>
          <w:p w14:paraId="1D4D3349" w14:textId="77777777" w:rsidR="009948F1" w:rsidRDefault="00BC0563">
            <w:pPr>
              <w:pStyle w:val="TableParagraph"/>
              <w:spacing w:before="79"/>
              <w:ind w:left="23"/>
              <w:rPr>
                <w:sz w:val="12"/>
              </w:rPr>
            </w:pPr>
            <w:r>
              <w:rPr>
                <w:color w:val="231F20"/>
                <w:sz w:val="12"/>
              </w:rPr>
              <w:t>Monitoring and supervision of construction of commercial water points</w:t>
            </w:r>
          </w:p>
        </w:tc>
        <w:tc>
          <w:tcPr>
            <w:tcW w:w="1444" w:type="dxa"/>
            <w:tcBorders>
              <w:top w:val="single" w:sz="6" w:space="0" w:color="231F20"/>
              <w:left w:val="single" w:sz="6" w:space="0" w:color="231F20"/>
              <w:bottom w:val="single" w:sz="6" w:space="0" w:color="231F20"/>
              <w:right w:val="single" w:sz="6" w:space="0" w:color="231F20"/>
            </w:tcBorders>
          </w:tcPr>
          <w:p w14:paraId="35B53CE7"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04EE4B67" w14:textId="77777777" w:rsidR="009948F1" w:rsidRDefault="00BC0563">
            <w:pPr>
              <w:pStyle w:val="TableParagraph"/>
              <w:spacing w:before="84"/>
              <w:ind w:left="24"/>
              <w:rPr>
                <w:sz w:val="12"/>
              </w:rPr>
            </w:pPr>
            <w:r>
              <w:rPr>
                <w:color w:val="231F20"/>
                <w:sz w:val="12"/>
              </w:rPr>
              <w:t>Monitoring and supervision</w:t>
            </w:r>
          </w:p>
        </w:tc>
      </w:tr>
      <w:tr w:rsidR="009948F1" w14:paraId="23A3807A" w14:textId="77777777">
        <w:trPr>
          <w:trHeight w:val="393"/>
        </w:trPr>
        <w:tc>
          <w:tcPr>
            <w:tcW w:w="415" w:type="dxa"/>
            <w:tcBorders>
              <w:top w:val="single" w:sz="6" w:space="0" w:color="231F20"/>
              <w:bottom w:val="single" w:sz="6" w:space="0" w:color="231F20"/>
              <w:right w:val="single" w:sz="6" w:space="0" w:color="231F20"/>
            </w:tcBorders>
            <w:shd w:val="clear" w:color="auto" w:fill="FFF200"/>
          </w:tcPr>
          <w:p w14:paraId="64BA2B0A" w14:textId="77777777" w:rsidR="009948F1" w:rsidRDefault="009948F1">
            <w:pPr>
              <w:pStyle w:val="TableParagraph"/>
              <w:spacing w:before="4"/>
              <w:rPr>
                <w:sz w:val="11"/>
              </w:rPr>
            </w:pPr>
          </w:p>
          <w:p w14:paraId="55121312" w14:textId="77777777" w:rsidR="009948F1" w:rsidRDefault="00BC0563">
            <w:pPr>
              <w:pStyle w:val="TableParagraph"/>
              <w:spacing w:before="1"/>
              <w:ind w:left="193"/>
              <w:rPr>
                <w:b/>
                <w:sz w:val="12"/>
              </w:rPr>
            </w:pPr>
            <w:r>
              <w:rPr>
                <w:b/>
                <w:color w:val="231F20"/>
                <w:sz w:val="12"/>
              </w:rPr>
              <w:t>8.4</w:t>
            </w:r>
          </w:p>
        </w:tc>
        <w:tc>
          <w:tcPr>
            <w:tcW w:w="5949" w:type="dxa"/>
            <w:gridSpan w:val="4"/>
            <w:tcBorders>
              <w:top w:val="single" w:sz="6" w:space="0" w:color="231F20"/>
              <w:left w:val="single" w:sz="6" w:space="0" w:color="231F20"/>
              <w:bottom w:val="single" w:sz="6" w:space="0" w:color="231F20"/>
            </w:tcBorders>
            <w:shd w:val="clear" w:color="auto" w:fill="FFF200"/>
          </w:tcPr>
          <w:p w14:paraId="31727DB8" w14:textId="77777777" w:rsidR="009948F1" w:rsidRDefault="009948F1">
            <w:pPr>
              <w:pStyle w:val="TableParagraph"/>
              <w:spacing w:before="11"/>
              <w:rPr>
                <w:sz w:val="10"/>
              </w:rPr>
            </w:pPr>
          </w:p>
          <w:p w14:paraId="104DD011" w14:textId="77777777" w:rsidR="009948F1" w:rsidRDefault="00BC0563">
            <w:pPr>
              <w:pStyle w:val="TableParagraph"/>
              <w:ind w:left="58"/>
              <w:rPr>
                <w:b/>
                <w:sz w:val="12"/>
              </w:rPr>
            </w:pPr>
            <w:r>
              <w:rPr>
                <w:b/>
                <w:color w:val="231F20"/>
                <w:sz w:val="12"/>
              </w:rPr>
              <w:t>Reduce morbidity and mortality from snake bites in Nigeria</w:t>
            </w:r>
          </w:p>
        </w:tc>
        <w:tc>
          <w:tcPr>
            <w:tcW w:w="2967" w:type="dxa"/>
            <w:gridSpan w:val="2"/>
            <w:tcBorders>
              <w:top w:val="single" w:sz="6" w:space="0" w:color="231F20"/>
              <w:bottom w:val="single" w:sz="6" w:space="0" w:color="231F20"/>
              <w:right w:val="single" w:sz="6" w:space="0" w:color="231F20"/>
            </w:tcBorders>
            <w:shd w:val="clear" w:color="auto" w:fill="FFF200"/>
          </w:tcPr>
          <w:p w14:paraId="1433D5F3" w14:textId="77777777" w:rsidR="009948F1" w:rsidRDefault="009948F1">
            <w:pPr>
              <w:pStyle w:val="TableParagraph"/>
              <w:rPr>
                <w:rFonts w:ascii="Times New Roman"/>
                <w:sz w:val="12"/>
              </w:rPr>
            </w:pPr>
          </w:p>
        </w:tc>
      </w:tr>
      <w:tr w:rsidR="009948F1" w14:paraId="3D84A753" w14:textId="77777777">
        <w:trPr>
          <w:trHeight w:val="1598"/>
        </w:trPr>
        <w:tc>
          <w:tcPr>
            <w:tcW w:w="415" w:type="dxa"/>
            <w:tcBorders>
              <w:top w:val="single" w:sz="6" w:space="0" w:color="231F20"/>
              <w:bottom w:val="nil"/>
              <w:right w:val="single" w:sz="6" w:space="0" w:color="231F20"/>
            </w:tcBorders>
          </w:tcPr>
          <w:p w14:paraId="5284A0CF" w14:textId="77777777" w:rsidR="009948F1" w:rsidRDefault="009948F1">
            <w:pPr>
              <w:pStyle w:val="TableParagraph"/>
              <w:rPr>
                <w:rFonts w:ascii="Times New Roman"/>
                <w:sz w:val="12"/>
              </w:rPr>
            </w:pPr>
          </w:p>
        </w:tc>
        <w:tc>
          <w:tcPr>
            <w:tcW w:w="461" w:type="dxa"/>
            <w:tcBorders>
              <w:top w:val="single" w:sz="6" w:space="0" w:color="231F20"/>
              <w:left w:val="single" w:sz="6" w:space="0" w:color="231F20"/>
              <w:bottom w:val="single" w:sz="6" w:space="0" w:color="231F20"/>
              <w:right w:val="single" w:sz="6" w:space="0" w:color="231F20"/>
            </w:tcBorders>
            <w:shd w:val="clear" w:color="auto" w:fill="CCE7D3"/>
          </w:tcPr>
          <w:p w14:paraId="451A12E5" w14:textId="77777777" w:rsidR="009948F1" w:rsidRDefault="009948F1">
            <w:pPr>
              <w:pStyle w:val="TableParagraph"/>
              <w:rPr>
                <w:sz w:val="12"/>
              </w:rPr>
            </w:pPr>
          </w:p>
          <w:p w14:paraId="1453B209" w14:textId="77777777" w:rsidR="009948F1" w:rsidRDefault="009948F1">
            <w:pPr>
              <w:pStyle w:val="TableParagraph"/>
              <w:rPr>
                <w:sz w:val="12"/>
              </w:rPr>
            </w:pPr>
          </w:p>
          <w:p w14:paraId="69E1CAC0" w14:textId="77777777" w:rsidR="009948F1" w:rsidRDefault="009948F1">
            <w:pPr>
              <w:pStyle w:val="TableParagraph"/>
              <w:rPr>
                <w:sz w:val="12"/>
              </w:rPr>
            </w:pPr>
          </w:p>
          <w:p w14:paraId="162C0C88" w14:textId="77777777" w:rsidR="009948F1" w:rsidRDefault="009948F1">
            <w:pPr>
              <w:pStyle w:val="TableParagraph"/>
              <w:rPr>
                <w:sz w:val="12"/>
              </w:rPr>
            </w:pPr>
          </w:p>
          <w:p w14:paraId="32E97CA6" w14:textId="77777777" w:rsidR="009948F1" w:rsidRDefault="009948F1">
            <w:pPr>
              <w:pStyle w:val="TableParagraph"/>
              <w:spacing w:before="7"/>
              <w:rPr>
                <w:sz w:val="15"/>
              </w:rPr>
            </w:pPr>
          </w:p>
          <w:p w14:paraId="425FAB78" w14:textId="77777777" w:rsidR="009948F1" w:rsidRDefault="00BC0563">
            <w:pPr>
              <w:pStyle w:val="TableParagraph"/>
              <w:spacing w:before="1"/>
              <w:ind w:left="58"/>
              <w:rPr>
                <w:sz w:val="12"/>
              </w:rPr>
            </w:pPr>
            <w:r>
              <w:rPr>
                <w:color w:val="231F20"/>
                <w:sz w:val="12"/>
              </w:rPr>
              <w:t>8.4.1</w:t>
            </w:r>
          </w:p>
        </w:tc>
        <w:tc>
          <w:tcPr>
            <w:tcW w:w="3075" w:type="dxa"/>
            <w:gridSpan w:val="2"/>
            <w:tcBorders>
              <w:top w:val="single" w:sz="6" w:space="0" w:color="231F20"/>
              <w:left w:val="single" w:sz="6" w:space="0" w:color="231F20"/>
              <w:bottom w:val="single" w:sz="6" w:space="0" w:color="231F20"/>
              <w:right w:val="single" w:sz="6" w:space="0" w:color="231F20"/>
            </w:tcBorders>
            <w:shd w:val="clear" w:color="auto" w:fill="CCE7D3"/>
          </w:tcPr>
          <w:p w14:paraId="6B41F927" w14:textId="77777777" w:rsidR="009948F1" w:rsidRDefault="009948F1">
            <w:pPr>
              <w:pStyle w:val="TableParagraph"/>
              <w:rPr>
                <w:sz w:val="12"/>
              </w:rPr>
            </w:pPr>
          </w:p>
          <w:p w14:paraId="5D002FD9" w14:textId="77777777" w:rsidR="009948F1" w:rsidRDefault="009948F1">
            <w:pPr>
              <w:pStyle w:val="TableParagraph"/>
              <w:rPr>
                <w:sz w:val="12"/>
              </w:rPr>
            </w:pPr>
          </w:p>
          <w:p w14:paraId="6B387A36" w14:textId="77777777" w:rsidR="009948F1" w:rsidRDefault="009948F1">
            <w:pPr>
              <w:pStyle w:val="TableParagraph"/>
              <w:rPr>
                <w:sz w:val="12"/>
              </w:rPr>
            </w:pPr>
          </w:p>
          <w:p w14:paraId="70B55669" w14:textId="77777777" w:rsidR="009948F1" w:rsidRDefault="009948F1">
            <w:pPr>
              <w:pStyle w:val="TableParagraph"/>
              <w:spacing w:before="8"/>
              <w:rPr>
                <w:sz w:val="13"/>
              </w:rPr>
            </w:pPr>
          </w:p>
          <w:p w14:paraId="77C0F074" w14:textId="4FFA01DC" w:rsidR="009948F1" w:rsidRDefault="00BC0563">
            <w:pPr>
              <w:pStyle w:val="TableParagraph"/>
              <w:spacing w:line="271" w:lineRule="auto"/>
              <w:ind w:left="91" w:right="161" w:hanging="1"/>
              <w:rPr>
                <w:sz w:val="12"/>
              </w:rPr>
            </w:pPr>
            <w:r>
              <w:rPr>
                <w:color w:val="231F20"/>
                <w:sz w:val="12"/>
              </w:rPr>
              <w:t xml:space="preserve">Promote the development and the implementation of policies, </w:t>
            </w:r>
            <w:r w:rsidR="00A93E69">
              <w:rPr>
                <w:color w:val="231F20"/>
                <w:sz w:val="12"/>
              </w:rPr>
              <w:t>plans, legislations</w:t>
            </w:r>
            <w:r>
              <w:rPr>
                <w:color w:val="231F20"/>
                <w:sz w:val="12"/>
              </w:rPr>
              <w:t xml:space="preserve"> and regulations for the reduction of snake bites in Nigeria.</w:t>
            </w:r>
          </w:p>
        </w:tc>
        <w:tc>
          <w:tcPr>
            <w:tcW w:w="2413" w:type="dxa"/>
            <w:tcBorders>
              <w:top w:val="single" w:sz="6" w:space="0" w:color="231F20"/>
              <w:left w:val="single" w:sz="6" w:space="0" w:color="231F20"/>
              <w:bottom w:val="single" w:sz="6" w:space="0" w:color="231F20"/>
              <w:right w:val="single" w:sz="6" w:space="0" w:color="231F20"/>
            </w:tcBorders>
            <w:shd w:val="clear" w:color="auto" w:fill="CCE7D3"/>
          </w:tcPr>
          <w:p w14:paraId="3FD58B26" w14:textId="77777777" w:rsidR="009948F1" w:rsidRDefault="00BC0563">
            <w:pPr>
              <w:pStyle w:val="TableParagraph"/>
              <w:numPr>
                <w:ilvl w:val="0"/>
                <w:numId w:val="83"/>
              </w:numPr>
              <w:tabs>
                <w:tab w:val="left" w:pos="67"/>
              </w:tabs>
              <w:spacing w:before="33" w:line="271" w:lineRule="auto"/>
              <w:ind w:right="55" w:firstLine="0"/>
              <w:rPr>
                <w:sz w:val="12"/>
              </w:rPr>
            </w:pPr>
            <w:r>
              <w:rPr>
                <w:color w:val="231F20"/>
                <w:sz w:val="12"/>
              </w:rPr>
              <w:t>Anti-snake bite TWG inaugurated quarterly meetings held</w:t>
            </w:r>
          </w:p>
          <w:p w14:paraId="7E481821" w14:textId="77777777" w:rsidR="009948F1" w:rsidRDefault="00BC0563">
            <w:pPr>
              <w:pStyle w:val="TableParagraph"/>
              <w:numPr>
                <w:ilvl w:val="0"/>
                <w:numId w:val="83"/>
              </w:numPr>
              <w:tabs>
                <w:tab w:val="left" w:pos="67"/>
              </w:tabs>
              <w:spacing w:line="271" w:lineRule="auto"/>
              <w:ind w:right="43" w:firstLine="0"/>
              <w:rPr>
                <w:sz w:val="12"/>
              </w:rPr>
            </w:pPr>
            <w:r>
              <w:rPr>
                <w:color w:val="231F20"/>
                <w:sz w:val="12"/>
              </w:rPr>
              <w:t xml:space="preserve">Policies, plans, legislations and </w:t>
            </w:r>
            <w:r>
              <w:rPr>
                <w:color w:val="231F20"/>
                <w:spacing w:val="-3"/>
                <w:sz w:val="12"/>
              </w:rPr>
              <w:t xml:space="preserve">regulations </w:t>
            </w:r>
            <w:r>
              <w:rPr>
                <w:color w:val="231F20"/>
                <w:sz w:val="12"/>
              </w:rPr>
              <w:t xml:space="preserve">for snake bite reduction in Rivers State adapted, printed &amp; disseminated, Work </w:t>
            </w:r>
            <w:r>
              <w:rPr>
                <w:color w:val="231F20"/>
                <w:spacing w:val="-4"/>
                <w:sz w:val="12"/>
              </w:rPr>
              <w:t xml:space="preserve">plan </w:t>
            </w:r>
            <w:r>
              <w:rPr>
                <w:color w:val="231F20"/>
                <w:sz w:val="12"/>
              </w:rPr>
              <w:t xml:space="preserve">for </w:t>
            </w:r>
            <w:proofErr w:type="spellStart"/>
            <w:r>
              <w:rPr>
                <w:color w:val="231F20"/>
                <w:sz w:val="12"/>
              </w:rPr>
              <w:t>programme</w:t>
            </w:r>
            <w:proofErr w:type="spellEnd"/>
            <w:r>
              <w:rPr>
                <w:color w:val="231F20"/>
                <w:sz w:val="12"/>
              </w:rPr>
              <w:t xml:space="preserve"> &amp; all potential sources of funding identified</w:t>
            </w:r>
          </w:p>
          <w:p w14:paraId="2ED29656" w14:textId="77777777" w:rsidR="009948F1" w:rsidRDefault="00BC0563">
            <w:pPr>
              <w:pStyle w:val="TableParagraph"/>
              <w:numPr>
                <w:ilvl w:val="0"/>
                <w:numId w:val="83"/>
              </w:numPr>
              <w:tabs>
                <w:tab w:val="left" w:pos="93"/>
              </w:tabs>
              <w:spacing w:line="271" w:lineRule="auto"/>
              <w:ind w:right="27" w:firstLine="0"/>
              <w:rPr>
                <w:sz w:val="12"/>
              </w:rPr>
            </w:pPr>
            <w:r>
              <w:rPr>
                <w:color w:val="231F20"/>
                <w:sz w:val="12"/>
              </w:rPr>
              <w:t>Advocacy visits to incorporate policies and regulations into the State Legislative</w:t>
            </w:r>
            <w:r>
              <w:rPr>
                <w:color w:val="231F20"/>
                <w:spacing w:val="9"/>
                <w:sz w:val="12"/>
              </w:rPr>
              <w:t xml:space="preserve"> </w:t>
            </w:r>
            <w:r>
              <w:rPr>
                <w:color w:val="231F20"/>
                <w:spacing w:val="-4"/>
                <w:sz w:val="12"/>
              </w:rPr>
              <w:t>system</w:t>
            </w:r>
          </w:p>
          <w:p w14:paraId="5FDE2DE4" w14:textId="77777777" w:rsidR="009948F1" w:rsidRDefault="00BC0563">
            <w:pPr>
              <w:pStyle w:val="TableParagraph"/>
              <w:spacing w:line="137" w:lineRule="exact"/>
              <w:ind w:left="23"/>
              <w:rPr>
                <w:sz w:val="12"/>
              </w:rPr>
            </w:pPr>
            <w:r>
              <w:rPr>
                <w:color w:val="231F20"/>
                <w:sz w:val="12"/>
              </w:rPr>
              <w:t>done</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69937D0F"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5A31A49B" w14:textId="77777777" w:rsidR="009948F1" w:rsidRDefault="009948F1">
            <w:pPr>
              <w:pStyle w:val="TableParagraph"/>
              <w:rPr>
                <w:rFonts w:ascii="Times New Roman"/>
                <w:sz w:val="12"/>
              </w:rPr>
            </w:pPr>
          </w:p>
        </w:tc>
      </w:tr>
      <w:tr w:rsidR="009948F1" w14:paraId="3D6B3600" w14:textId="77777777">
        <w:trPr>
          <w:trHeight w:val="404"/>
        </w:trPr>
        <w:tc>
          <w:tcPr>
            <w:tcW w:w="876" w:type="dxa"/>
            <w:gridSpan w:val="2"/>
            <w:vMerge w:val="restart"/>
            <w:tcBorders>
              <w:top w:val="nil"/>
              <w:bottom w:val="nil"/>
              <w:right w:val="single" w:sz="6" w:space="0" w:color="231F20"/>
            </w:tcBorders>
          </w:tcPr>
          <w:p w14:paraId="2513ECE7" w14:textId="77777777" w:rsidR="009948F1" w:rsidRDefault="009948F1">
            <w:pPr>
              <w:pStyle w:val="TableParagraph"/>
              <w:rPr>
                <w:rFonts w:ascii="Times New Roman"/>
                <w:sz w:val="12"/>
              </w:rPr>
            </w:pPr>
          </w:p>
        </w:tc>
        <w:tc>
          <w:tcPr>
            <w:tcW w:w="533" w:type="dxa"/>
            <w:tcBorders>
              <w:top w:val="single" w:sz="6" w:space="0" w:color="231F20"/>
              <w:left w:val="single" w:sz="6" w:space="0" w:color="231F20"/>
              <w:bottom w:val="single" w:sz="6" w:space="0" w:color="231F20"/>
              <w:right w:val="single" w:sz="6" w:space="0" w:color="231F20"/>
            </w:tcBorders>
          </w:tcPr>
          <w:p w14:paraId="087413EB" w14:textId="77777777" w:rsidR="009948F1" w:rsidRDefault="009948F1">
            <w:pPr>
              <w:pStyle w:val="TableParagraph"/>
              <w:spacing w:before="8"/>
              <w:rPr>
                <w:sz w:val="11"/>
              </w:rPr>
            </w:pPr>
          </w:p>
          <w:p w14:paraId="682CC21C" w14:textId="77777777" w:rsidR="009948F1" w:rsidRDefault="00BC0563">
            <w:pPr>
              <w:pStyle w:val="TableParagraph"/>
              <w:ind w:left="64" w:right="46"/>
              <w:jc w:val="center"/>
              <w:rPr>
                <w:sz w:val="12"/>
              </w:rPr>
            </w:pPr>
            <w:r>
              <w:rPr>
                <w:color w:val="231F20"/>
                <w:sz w:val="12"/>
              </w:rPr>
              <w:t>8.4.1.a</w:t>
            </w:r>
          </w:p>
        </w:tc>
        <w:tc>
          <w:tcPr>
            <w:tcW w:w="4955" w:type="dxa"/>
            <w:gridSpan w:val="2"/>
            <w:tcBorders>
              <w:top w:val="single" w:sz="6" w:space="0" w:color="231F20"/>
              <w:left w:val="single" w:sz="6" w:space="0" w:color="231F20"/>
              <w:bottom w:val="single" w:sz="6" w:space="0" w:color="231F20"/>
              <w:right w:val="single" w:sz="6" w:space="0" w:color="231F20"/>
            </w:tcBorders>
          </w:tcPr>
          <w:p w14:paraId="181F9EAA" w14:textId="77777777" w:rsidR="009948F1" w:rsidRDefault="00BC0563">
            <w:pPr>
              <w:pStyle w:val="TableParagraph"/>
              <w:spacing w:before="53" w:line="271" w:lineRule="auto"/>
              <w:ind w:left="23" w:right="441"/>
              <w:rPr>
                <w:sz w:val="12"/>
              </w:rPr>
            </w:pPr>
            <w:r>
              <w:rPr>
                <w:color w:val="231F20"/>
                <w:sz w:val="12"/>
              </w:rPr>
              <w:t>Identify qualified members for a TWG on Anti-snake bites; and conduct a meeting to inaugurate the Anti-snake bite TWG with terms of reference</w:t>
            </w:r>
          </w:p>
        </w:tc>
        <w:tc>
          <w:tcPr>
            <w:tcW w:w="1444" w:type="dxa"/>
            <w:tcBorders>
              <w:top w:val="single" w:sz="6" w:space="0" w:color="231F20"/>
              <w:left w:val="single" w:sz="6" w:space="0" w:color="231F20"/>
              <w:bottom w:val="single" w:sz="6" w:space="0" w:color="231F20"/>
              <w:right w:val="single" w:sz="6" w:space="0" w:color="231F20"/>
            </w:tcBorders>
          </w:tcPr>
          <w:p w14:paraId="1016A837" w14:textId="77777777" w:rsidR="009948F1" w:rsidRDefault="009948F1">
            <w:pPr>
              <w:pStyle w:val="TableParagraph"/>
              <w:spacing w:before="8"/>
              <w:rPr>
                <w:sz w:val="11"/>
              </w:rPr>
            </w:pPr>
          </w:p>
          <w:p w14:paraId="50401242" w14:textId="77777777" w:rsidR="009948F1" w:rsidRDefault="00BC0563">
            <w:pPr>
              <w:pStyle w:val="TableParagraph"/>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4509445E" w14:textId="77777777" w:rsidR="009948F1" w:rsidRDefault="009948F1">
            <w:pPr>
              <w:pStyle w:val="TableParagraph"/>
              <w:spacing w:before="8"/>
              <w:rPr>
                <w:sz w:val="11"/>
              </w:rPr>
            </w:pPr>
          </w:p>
          <w:p w14:paraId="0F90B48D" w14:textId="77777777" w:rsidR="009948F1" w:rsidRDefault="00BC0563">
            <w:pPr>
              <w:pStyle w:val="TableParagraph"/>
              <w:ind w:left="24"/>
              <w:rPr>
                <w:sz w:val="12"/>
              </w:rPr>
            </w:pPr>
            <w:r>
              <w:rPr>
                <w:color w:val="231F20"/>
                <w:sz w:val="12"/>
              </w:rPr>
              <w:t>Conduct a meeting</w:t>
            </w:r>
          </w:p>
        </w:tc>
      </w:tr>
      <w:tr w:rsidR="009948F1" w14:paraId="43212D63" w14:textId="77777777">
        <w:trPr>
          <w:trHeight w:val="444"/>
        </w:trPr>
        <w:tc>
          <w:tcPr>
            <w:tcW w:w="876" w:type="dxa"/>
            <w:gridSpan w:val="2"/>
            <w:vMerge/>
            <w:tcBorders>
              <w:top w:val="nil"/>
              <w:bottom w:val="nil"/>
              <w:right w:val="single" w:sz="6" w:space="0" w:color="231F20"/>
            </w:tcBorders>
          </w:tcPr>
          <w:p w14:paraId="5503815B"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0286545B" w14:textId="77777777" w:rsidR="009948F1" w:rsidRDefault="009948F1">
            <w:pPr>
              <w:pStyle w:val="TableParagraph"/>
              <w:spacing w:before="6"/>
              <w:rPr>
                <w:sz w:val="13"/>
              </w:rPr>
            </w:pPr>
          </w:p>
          <w:p w14:paraId="765EE7CB" w14:textId="77777777" w:rsidR="009948F1" w:rsidRDefault="00BC0563">
            <w:pPr>
              <w:pStyle w:val="TableParagraph"/>
              <w:ind w:left="64" w:right="46"/>
              <w:jc w:val="center"/>
              <w:rPr>
                <w:sz w:val="12"/>
              </w:rPr>
            </w:pPr>
            <w:r>
              <w:rPr>
                <w:color w:val="231F20"/>
                <w:sz w:val="12"/>
              </w:rPr>
              <w:t>8.4.1.b</w:t>
            </w:r>
          </w:p>
        </w:tc>
        <w:tc>
          <w:tcPr>
            <w:tcW w:w="4955" w:type="dxa"/>
            <w:gridSpan w:val="2"/>
            <w:tcBorders>
              <w:top w:val="single" w:sz="6" w:space="0" w:color="231F20"/>
              <w:left w:val="single" w:sz="6" w:space="0" w:color="231F20"/>
              <w:bottom w:val="single" w:sz="6" w:space="0" w:color="231F20"/>
              <w:right w:val="single" w:sz="6" w:space="0" w:color="231F20"/>
            </w:tcBorders>
          </w:tcPr>
          <w:p w14:paraId="31EF548E" w14:textId="77777777" w:rsidR="009948F1" w:rsidRDefault="00BC0563">
            <w:pPr>
              <w:pStyle w:val="TableParagraph"/>
              <w:spacing w:before="3" w:line="271" w:lineRule="auto"/>
              <w:ind w:left="23" w:right="347"/>
              <w:rPr>
                <w:sz w:val="12"/>
              </w:rPr>
            </w:pPr>
            <w:r>
              <w:rPr>
                <w:color w:val="231F20"/>
                <w:sz w:val="12"/>
              </w:rPr>
              <w:t>Conduct workshop to review and adapt policies, plans, legislations and regulations for snake bite reduction in Rivers State. Draw up Work plan and budget for snake bite</w:t>
            </w:r>
          </w:p>
          <w:p w14:paraId="458B9517" w14:textId="77777777" w:rsidR="009948F1" w:rsidRDefault="00BC0563">
            <w:pPr>
              <w:pStyle w:val="TableParagraph"/>
              <w:spacing w:line="109" w:lineRule="exact"/>
              <w:ind w:left="23"/>
              <w:rPr>
                <w:sz w:val="12"/>
              </w:rPr>
            </w:pPr>
            <w:proofErr w:type="spellStart"/>
            <w:r>
              <w:rPr>
                <w:color w:val="231F20"/>
                <w:sz w:val="12"/>
              </w:rPr>
              <w:t>programme</w:t>
            </w:r>
            <w:proofErr w:type="spellEnd"/>
            <w:r>
              <w:rPr>
                <w:color w:val="231F20"/>
                <w:sz w:val="12"/>
              </w:rPr>
              <w:t>. Identify all potential sources of funding and partnership</w:t>
            </w:r>
          </w:p>
        </w:tc>
        <w:tc>
          <w:tcPr>
            <w:tcW w:w="1444" w:type="dxa"/>
            <w:tcBorders>
              <w:top w:val="single" w:sz="6" w:space="0" w:color="231F20"/>
              <w:left w:val="single" w:sz="6" w:space="0" w:color="231F20"/>
              <w:bottom w:val="single" w:sz="6" w:space="0" w:color="231F20"/>
              <w:right w:val="single" w:sz="6" w:space="0" w:color="231F20"/>
            </w:tcBorders>
          </w:tcPr>
          <w:p w14:paraId="16E37477" w14:textId="77777777" w:rsidR="009948F1" w:rsidRDefault="009948F1">
            <w:pPr>
              <w:pStyle w:val="TableParagraph"/>
              <w:spacing w:before="6"/>
              <w:rPr>
                <w:sz w:val="13"/>
              </w:rPr>
            </w:pPr>
          </w:p>
          <w:p w14:paraId="2EF7BC4B" w14:textId="77777777" w:rsidR="009948F1" w:rsidRDefault="00BC0563">
            <w:pPr>
              <w:pStyle w:val="TableParagraph"/>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0FF5286" w14:textId="77777777" w:rsidR="009948F1" w:rsidRDefault="009948F1">
            <w:pPr>
              <w:pStyle w:val="TableParagraph"/>
              <w:spacing w:before="6"/>
              <w:rPr>
                <w:sz w:val="13"/>
              </w:rPr>
            </w:pPr>
          </w:p>
          <w:p w14:paraId="0E0DD140" w14:textId="77777777" w:rsidR="009948F1" w:rsidRDefault="00BC0563">
            <w:pPr>
              <w:pStyle w:val="TableParagraph"/>
              <w:ind w:left="24"/>
              <w:rPr>
                <w:sz w:val="12"/>
              </w:rPr>
            </w:pPr>
            <w:r>
              <w:rPr>
                <w:color w:val="231F20"/>
                <w:sz w:val="12"/>
              </w:rPr>
              <w:t>Conduct workshop</w:t>
            </w:r>
          </w:p>
        </w:tc>
      </w:tr>
      <w:tr w:rsidR="009948F1" w14:paraId="2F99794C" w14:textId="77777777">
        <w:trPr>
          <w:trHeight w:val="302"/>
        </w:trPr>
        <w:tc>
          <w:tcPr>
            <w:tcW w:w="876" w:type="dxa"/>
            <w:gridSpan w:val="2"/>
            <w:vMerge/>
            <w:tcBorders>
              <w:top w:val="nil"/>
              <w:bottom w:val="nil"/>
              <w:right w:val="single" w:sz="6" w:space="0" w:color="231F20"/>
            </w:tcBorders>
          </w:tcPr>
          <w:p w14:paraId="6AD6FE16"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54DE8B00" w14:textId="77777777" w:rsidR="009948F1" w:rsidRDefault="00BC0563">
            <w:pPr>
              <w:pStyle w:val="TableParagraph"/>
              <w:spacing w:before="84"/>
              <w:ind w:left="64" w:right="46"/>
              <w:jc w:val="center"/>
              <w:rPr>
                <w:sz w:val="12"/>
              </w:rPr>
            </w:pPr>
            <w:r>
              <w:rPr>
                <w:color w:val="231F20"/>
                <w:sz w:val="12"/>
              </w:rPr>
              <w:t>8.4.1.c</w:t>
            </w:r>
          </w:p>
        </w:tc>
        <w:tc>
          <w:tcPr>
            <w:tcW w:w="4955" w:type="dxa"/>
            <w:gridSpan w:val="2"/>
            <w:tcBorders>
              <w:top w:val="single" w:sz="6" w:space="0" w:color="231F20"/>
              <w:left w:val="single" w:sz="6" w:space="0" w:color="231F20"/>
              <w:bottom w:val="single" w:sz="6" w:space="0" w:color="231F20"/>
              <w:right w:val="single" w:sz="6" w:space="0" w:color="231F20"/>
            </w:tcBorders>
          </w:tcPr>
          <w:p w14:paraId="78876653" w14:textId="77777777" w:rsidR="009948F1" w:rsidRDefault="00BC0563">
            <w:pPr>
              <w:pStyle w:val="TableParagraph"/>
              <w:spacing w:before="3"/>
              <w:ind w:left="23"/>
              <w:rPr>
                <w:sz w:val="12"/>
              </w:rPr>
            </w:pPr>
            <w:r>
              <w:rPr>
                <w:color w:val="231F20"/>
                <w:sz w:val="12"/>
              </w:rPr>
              <w:t>Conduct advocacy visits to incorporate policies and regulations into the State Legislative</w:t>
            </w:r>
          </w:p>
          <w:p w14:paraId="7D6D6A7F" w14:textId="77777777" w:rsidR="009948F1" w:rsidRDefault="00BC0563">
            <w:pPr>
              <w:pStyle w:val="TableParagraph"/>
              <w:spacing w:before="18" w:line="123" w:lineRule="exact"/>
              <w:ind w:left="23"/>
              <w:rPr>
                <w:sz w:val="12"/>
              </w:rPr>
            </w:pPr>
            <w:r>
              <w:rPr>
                <w:color w:val="231F20"/>
                <w:sz w:val="12"/>
              </w:rPr>
              <w:t>system by TWG.</w:t>
            </w:r>
          </w:p>
        </w:tc>
        <w:tc>
          <w:tcPr>
            <w:tcW w:w="1444" w:type="dxa"/>
            <w:tcBorders>
              <w:top w:val="single" w:sz="6" w:space="0" w:color="231F20"/>
              <w:left w:val="single" w:sz="6" w:space="0" w:color="231F20"/>
              <w:bottom w:val="single" w:sz="6" w:space="0" w:color="231F20"/>
              <w:right w:val="single" w:sz="6" w:space="0" w:color="231F20"/>
            </w:tcBorders>
          </w:tcPr>
          <w:p w14:paraId="699B7D26"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0D1D141E" w14:textId="77777777" w:rsidR="009948F1" w:rsidRDefault="00BC0563">
            <w:pPr>
              <w:pStyle w:val="TableParagraph"/>
              <w:spacing w:before="84"/>
              <w:ind w:left="24"/>
              <w:rPr>
                <w:sz w:val="12"/>
              </w:rPr>
            </w:pPr>
            <w:r>
              <w:rPr>
                <w:color w:val="231F20"/>
                <w:sz w:val="12"/>
              </w:rPr>
              <w:t>Conduct advocacy visits</w:t>
            </w:r>
          </w:p>
        </w:tc>
      </w:tr>
      <w:tr w:rsidR="009948F1" w14:paraId="4412061B" w14:textId="77777777">
        <w:trPr>
          <w:trHeight w:val="310"/>
        </w:trPr>
        <w:tc>
          <w:tcPr>
            <w:tcW w:w="876" w:type="dxa"/>
            <w:gridSpan w:val="2"/>
            <w:vMerge/>
            <w:tcBorders>
              <w:top w:val="nil"/>
              <w:bottom w:val="nil"/>
              <w:right w:val="single" w:sz="6" w:space="0" w:color="231F20"/>
            </w:tcBorders>
          </w:tcPr>
          <w:p w14:paraId="2DCF2D81"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00117FFD" w14:textId="77777777" w:rsidR="009948F1" w:rsidRDefault="00BC0563">
            <w:pPr>
              <w:pStyle w:val="TableParagraph"/>
              <w:spacing w:before="88"/>
              <w:ind w:left="64" w:right="46"/>
              <w:jc w:val="center"/>
              <w:rPr>
                <w:sz w:val="12"/>
              </w:rPr>
            </w:pPr>
            <w:r>
              <w:rPr>
                <w:color w:val="231F20"/>
                <w:sz w:val="12"/>
              </w:rPr>
              <w:t>8.4.1.d</w:t>
            </w:r>
          </w:p>
        </w:tc>
        <w:tc>
          <w:tcPr>
            <w:tcW w:w="4955" w:type="dxa"/>
            <w:gridSpan w:val="2"/>
            <w:tcBorders>
              <w:top w:val="single" w:sz="6" w:space="0" w:color="231F20"/>
              <w:left w:val="single" w:sz="6" w:space="0" w:color="231F20"/>
              <w:bottom w:val="single" w:sz="6" w:space="0" w:color="231F20"/>
              <w:right w:val="single" w:sz="6" w:space="0" w:color="231F20"/>
            </w:tcBorders>
          </w:tcPr>
          <w:p w14:paraId="3A67C362" w14:textId="77777777" w:rsidR="009948F1" w:rsidRDefault="00BC0563">
            <w:pPr>
              <w:pStyle w:val="TableParagraph"/>
              <w:spacing w:before="83"/>
              <w:ind w:left="23"/>
              <w:rPr>
                <w:sz w:val="12"/>
              </w:rPr>
            </w:pPr>
            <w:r>
              <w:rPr>
                <w:color w:val="231F20"/>
                <w:sz w:val="12"/>
              </w:rPr>
              <w:t>Print and disseminate anti snakebite policies to all parastatals</w:t>
            </w:r>
          </w:p>
        </w:tc>
        <w:tc>
          <w:tcPr>
            <w:tcW w:w="1444" w:type="dxa"/>
            <w:tcBorders>
              <w:top w:val="single" w:sz="6" w:space="0" w:color="231F20"/>
              <w:left w:val="single" w:sz="6" w:space="0" w:color="231F20"/>
              <w:bottom w:val="single" w:sz="6" w:space="0" w:color="231F20"/>
              <w:right w:val="single" w:sz="6" w:space="0" w:color="231F20"/>
            </w:tcBorders>
          </w:tcPr>
          <w:p w14:paraId="39BF6277" w14:textId="77777777" w:rsidR="009948F1" w:rsidRDefault="00BC0563">
            <w:pPr>
              <w:pStyle w:val="TableParagraph"/>
              <w:spacing w:before="88"/>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7E314ADD" w14:textId="77777777" w:rsidR="009948F1" w:rsidRDefault="00BC0563">
            <w:pPr>
              <w:pStyle w:val="TableParagraph"/>
              <w:spacing w:before="88"/>
              <w:ind w:left="24"/>
              <w:rPr>
                <w:sz w:val="12"/>
              </w:rPr>
            </w:pPr>
            <w:r>
              <w:rPr>
                <w:color w:val="231F20"/>
                <w:sz w:val="12"/>
              </w:rPr>
              <w:t>Print and disseminate</w:t>
            </w:r>
          </w:p>
        </w:tc>
      </w:tr>
      <w:tr w:rsidR="009948F1" w14:paraId="18984EBE" w14:textId="77777777">
        <w:trPr>
          <w:trHeight w:val="1024"/>
        </w:trPr>
        <w:tc>
          <w:tcPr>
            <w:tcW w:w="415" w:type="dxa"/>
            <w:tcBorders>
              <w:top w:val="nil"/>
              <w:bottom w:val="nil"/>
              <w:right w:val="single" w:sz="6" w:space="0" w:color="231F20"/>
            </w:tcBorders>
          </w:tcPr>
          <w:p w14:paraId="02812389" w14:textId="77777777" w:rsidR="009948F1" w:rsidRDefault="009948F1">
            <w:pPr>
              <w:pStyle w:val="TableParagraph"/>
              <w:rPr>
                <w:rFonts w:ascii="Times New Roman"/>
                <w:sz w:val="12"/>
              </w:rPr>
            </w:pPr>
          </w:p>
        </w:tc>
        <w:tc>
          <w:tcPr>
            <w:tcW w:w="461" w:type="dxa"/>
            <w:tcBorders>
              <w:top w:val="single" w:sz="6" w:space="0" w:color="231F20"/>
              <w:left w:val="single" w:sz="6" w:space="0" w:color="231F20"/>
              <w:bottom w:val="single" w:sz="6" w:space="0" w:color="231F20"/>
              <w:right w:val="single" w:sz="6" w:space="0" w:color="231F20"/>
            </w:tcBorders>
            <w:shd w:val="clear" w:color="auto" w:fill="CCE7D3"/>
          </w:tcPr>
          <w:p w14:paraId="2F3CFD90" w14:textId="77777777" w:rsidR="009948F1" w:rsidRDefault="009948F1">
            <w:pPr>
              <w:pStyle w:val="TableParagraph"/>
              <w:rPr>
                <w:sz w:val="12"/>
              </w:rPr>
            </w:pPr>
          </w:p>
          <w:p w14:paraId="51D83908" w14:textId="77777777" w:rsidR="009948F1" w:rsidRDefault="009948F1">
            <w:pPr>
              <w:pStyle w:val="TableParagraph"/>
              <w:rPr>
                <w:sz w:val="12"/>
              </w:rPr>
            </w:pPr>
          </w:p>
          <w:p w14:paraId="6F10CFD4" w14:textId="77777777" w:rsidR="009948F1" w:rsidRDefault="009948F1">
            <w:pPr>
              <w:pStyle w:val="TableParagraph"/>
              <w:spacing w:before="8"/>
              <w:rPr>
                <w:sz w:val="14"/>
              </w:rPr>
            </w:pPr>
          </w:p>
          <w:p w14:paraId="7301F5BE" w14:textId="77777777" w:rsidR="009948F1" w:rsidRDefault="00BC0563">
            <w:pPr>
              <w:pStyle w:val="TableParagraph"/>
              <w:ind w:left="58"/>
              <w:rPr>
                <w:sz w:val="12"/>
              </w:rPr>
            </w:pPr>
            <w:r>
              <w:rPr>
                <w:color w:val="231F20"/>
                <w:sz w:val="12"/>
              </w:rPr>
              <w:t>8.4.2</w:t>
            </w:r>
          </w:p>
        </w:tc>
        <w:tc>
          <w:tcPr>
            <w:tcW w:w="3075" w:type="dxa"/>
            <w:gridSpan w:val="2"/>
            <w:tcBorders>
              <w:top w:val="single" w:sz="6" w:space="0" w:color="231F20"/>
              <w:left w:val="single" w:sz="6" w:space="0" w:color="231F20"/>
              <w:bottom w:val="single" w:sz="6" w:space="0" w:color="231F20"/>
              <w:right w:val="single" w:sz="6" w:space="0" w:color="231F20"/>
            </w:tcBorders>
            <w:shd w:val="clear" w:color="auto" w:fill="CCE7D3"/>
          </w:tcPr>
          <w:p w14:paraId="2D3D726F" w14:textId="77777777" w:rsidR="009948F1" w:rsidRDefault="009948F1">
            <w:pPr>
              <w:pStyle w:val="TableParagraph"/>
              <w:rPr>
                <w:sz w:val="12"/>
              </w:rPr>
            </w:pPr>
          </w:p>
          <w:p w14:paraId="295BE245" w14:textId="77777777" w:rsidR="009948F1" w:rsidRDefault="009948F1">
            <w:pPr>
              <w:pStyle w:val="TableParagraph"/>
              <w:rPr>
                <w:sz w:val="12"/>
              </w:rPr>
            </w:pPr>
          </w:p>
          <w:p w14:paraId="450431A8" w14:textId="77777777" w:rsidR="009948F1" w:rsidRDefault="00BC0563">
            <w:pPr>
              <w:pStyle w:val="TableParagraph"/>
              <w:spacing w:before="87" w:line="271" w:lineRule="auto"/>
              <w:ind w:left="24" w:right="254" w:firstLine="33"/>
              <w:rPr>
                <w:sz w:val="12"/>
              </w:rPr>
            </w:pPr>
            <w:r>
              <w:rPr>
                <w:color w:val="231F20"/>
                <w:sz w:val="12"/>
              </w:rPr>
              <w:t>Scale up sustainable supply of anti-snake venom in Nigeria, including local production</w:t>
            </w:r>
          </w:p>
        </w:tc>
        <w:tc>
          <w:tcPr>
            <w:tcW w:w="2413" w:type="dxa"/>
            <w:tcBorders>
              <w:top w:val="single" w:sz="6" w:space="0" w:color="231F20"/>
              <w:left w:val="single" w:sz="6" w:space="0" w:color="231F20"/>
              <w:bottom w:val="single" w:sz="6" w:space="0" w:color="231F20"/>
              <w:right w:val="single" w:sz="6" w:space="0" w:color="231F20"/>
            </w:tcBorders>
            <w:shd w:val="clear" w:color="auto" w:fill="CCE7D3"/>
          </w:tcPr>
          <w:p w14:paraId="4CF1C389" w14:textId="77777777" w:rsidR="009948F1" w:rsidRDefault="00BC0563">
            <w:pPr>
              <w:pStyle w:val="TableParagraph"/>
              <w:numPr>
                <w:ilvl w:val="0"/>
                <w:numId w:val="82"/>
              </w:numPr>
              <w:tabs>
                <w:tab w:val="left" w:pos="67"/>
              </w:tabs>
              <w:spacing w:before="3" w:line="271" w:lineRule="auto"/>
              <w:ind w:right="219" w:firstLine="0"/>
              <w:rPr>
                <w:sz w:val="12"/>
              </w:rPr>
            </w:pPr>
            <w:r>
              <w:rPr>
                <w:color w:val="231F20"/>
                <w:sz w:val="12"/>
              </w:rPr>
              <w:t>Existing sources of supply of anti-snake venom reviewed and institutions and companies involved with snake venom research for local production identified</w:t>
            </w:r>
          </w:p>
          <w:p w14:paraId="71E73FE0" w14:textId="77777777" w:rsidR="009948F1" w:rsidRDefault="00BC0563">
            <w:pPr>
              <w:pStyle w:val="TableParagraph"/>
              <w:numPr>
                <w:ilvl w:val="0"/>
                <w:numId w:val="82"/>
              </w:numPr>
              <w:tabs>
                <w:tab w:val="left" w:pos="67"/>
              </w:tabs>
              <w:spacing w:line="271" w:lineRule="auto"/>
              <w:ind w:right="260" w:firstLine="0"/>
              <w:rPr>
                <w:sz w:val="12"/>
              </w:rPr>
            </w:pPr>
            <w:r>
              <w:rPr>
                <w:color w:val="231F20"/>
                <w:sz w:val="12"/>
              </w:rPr>
              <w:t>Anti-snake venoms and complimentary items procured &amp;</w:t>
            </w:r>
            <w:r>
              <w:rPr>
                <w:color w:val="231F20"/>
                <w:spacing w:val="-1"/>
                <w:sz w:val="12"/>
              </w:rPr>
              <w:t xml:space="preserve"> </w:t>
            </w:r>
            <w:r>
              <w:rPr>
                <w:color w:val="231F20"/>
                <w:sz w:val="12"/>
              </w:rPr>
              <w:t>distributed</w:t>
            </w:r>
          </w:p>
          <w:p w14:paraId="4F8A5DCC" w14:textId="77777777" w:rsidR="009948F1" w:rsidRDefault="00BC0563">
            <w:pPr>
              <w:pStyle w:val="TableParagraph"/>
              <w:spacing w:line="67" w:lineRule="exact"/>
              <w:ind w:left="23"/>
              <w:rPr>
                <w:sz w:val="12"/>
              </w:rPr>
            </w:pPr>
            <w:r>
              <w:rPr>
                <w:color w:val="231F20"/>
                <w:sz w:val="12"/>
              </w:rPr>
              <w:t>•</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0A3D4AD5"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6C6C7A2F" w14:textId="77777777" w:rsidR="009948F1" w:rsidRDefault="009948F1">
            <w:pPr>
              <w:pStyle w:val="TableParagraph"/>
              <w:rPr>
                <w:rFonts w:ascii="Times New Roman"/>
                <w:sz w:val="12"/>
              </w:rPr>
            </w:pPr>
          </w:p>
        </w:tc>
      </w:tr>
      <w:tr w:rsidR="009948F1" w14:paraId="5B7C25F4" w14:textId="77777777">
        <w:trPr>
          <w:trHeight w:val="298"/>
        </w:trPr>
        <w:tc>
          <w:tcPr>
            <w:tcW w:w="876" w:type="dxa"/>
            <w:gridSpan w:val="2"/>
            <w:vMerge w:val="restart"/>
            <w:tcBorders>
              <w:top w:val="nil"/>
              <w:bottom w:val="nil"/>
              <w:right w:val="single" w:sz="6" w:space="0" w:color="231F20"/>
            </w:tcBorders>
          </w:tcPr>
          <w:p w14:paraId="261197A2" w14:textId="77777777" w:rsidR="009948F1" w:rsidRDefault="009948F1">
            <w:pPr>
              <w:pStyle w:val="TableParagraph"/>
              <w:rPr>
                <w:rFonts w:ascii="Times New Roman"/>
                <w:sz w:val="12"/>
              </w:rPr>
            </w:pPr>
          </w:p>
        </w:tc>
        <w:tc>
          <w:tcPr>
            <w:tcW w:w="533" w:type="dxa"/>
            <w:tcBorders>
              <w:top w:val="single" w:sz="6" w:space="0" w:color="231F20"/>
              <w:left w:val="single" w:sz="6" w:space="0" w:color="231F20"/>
              <w:bottom w:val="single" w:sz="6" w:space="0" w:color="231F20"/>
              <w:right w:val="single" w:sz="6" w:space="0" w:color="231F20"/>
            </w:tcBorders>
          </w:tcPr>
          <w:p w14:paraId="0BF2D5B5" w14:textId="77777777" w:rsidR="009948F1" w:rsidRDefault="00BC0563">
            <w:pPr>
              <w:pStyle w:val="TableParagraph"/>
              <w:spacing w:before="82"/>
              <w:ind w:left="64" w:right="46"/>
              <w:jc w:val="center"/>
              <w:rPr>
                <w:sz w:val="12"/>
              </w:rPr>
            </w:pPr>
            <w:r>
              <w:rPr>
                <w:color w:val="231F20"/>
                <w:sz w:val="12"/>
              </w:rPr>
              <w:t>8.4.2.a</w:t>
            </w:r>
          </w:p>
        </w:tc>
        <w:tc>
          <w:tcPr>
            <w:tcW w:w="4955" w:type="dxa"/>
            <w:gridSpan w:val="2"/>
            <w:tcBorders>
              <w:top w:val="single" w:sz="6" w:space="0" w:color="231F20"/>
              <w:left w:val="single" w:sz="6" w:space="0" w:color="231F20"/>
              <w:bottom w:val="single" w:sz="6" w:space="0" w:color="231F20"/>
              <w:right w:val="single" w:sz="6" w:space="0" w:color="231F20"/>
            </w:tcBorders>
          </w:tcPr>
          <w:p w14:paraId="7DFD288A" w14:textId="77777777" w:rsidR="009948F1" w:rsidRDefault="00BC0563">
            <w:pPr>
              <w:pStyle w:val="TableParagraph"/>
              <w:spacing w:before="3"/>
              <w:ind w:left="23"/>
              <w:rPr>
                <w:sz w:val="12"/>
              </w:rPr>
            </w:pPr>
            <w:r>
              <w:rPr>
                <w:color w:val="231F20"/>
                <w:sz w:val="12"/>
              </w:rPr>
              <w:t>Conduct review of existing sources of supply of anti-snake venom and identify institutions</w:t>
            </w:r>
          </w:p>
          <w:p w14:paraId="74092147" w14:textId="77777777" w:rsidR="009948F1" w:rsidRDefault="00BC0563">
            <w:pPr>
              <w:pStyle w:val="TableParagraph"/>
              <w:spacing w:before="18" w:line="119" w:lineRule="exact"/>
              <w:ind w:left="23"/>
              <w:rPr>
                <w:sz w:val="12"/>
              </w:rPr>
            </w:pPr>
            <w:r>
              <w:rPr>
                <w:color w:val="231F20"/>
                <w:sz w:val="12"/>
              </w:rPr>
              <w:t>and companies involved with snake venom research for local production.</w:t>
            </w:r>
          </w:p>
        </w:tc>
        <w:tc>
          <w:tcPr>
            <w:tcW w:w="1444" w:type="dxa"/>
            <w:tcBorders>
              <w:top w:val="single" w:sz="6" w:space="0" w:color="231F20"/>
              <w:left w:val="single" w:sz="6" w:space="0" w:color="231F20"/>
              <w:bottom w:val="single" w:sz="6" w:space="0" w:color="231F20"/>
              <w:right w:val="single" w:sz="6" w:space="0" w:color="231F20"/>
            </w:tcBorders>
          </w:tcPr>
          <w:p w14:paraId="1D4E9768" w14:textId="77777777" w:rsidR="009948F1" w:rsidRDefault="00BC0563">
            <w:pPr>
              <w:pStyle w:val="TableParagraph"/>
              <w:spacing w:before="82"/>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6B1338EF" w14:textId="77777777" w:rsidR="009948F1" w:rsidRDefault="00BC0563">
            <w:pPr>
              <w:pStyle w:val="TableParagraph"/>
              <w:spacing w:before="82"/>
              <w:ind w:left="24"/>
              <w:rPr>
                <w:sz w:val="12"/>
              </w:rPr>
            </w:pPr>
            <w:r>
              <w:rPr>
                <w:color w:val="231F20"/>
                <w:sz w:val="12"/>
              </w:rPr>
              <w:t>Conduct review</w:t>
            </w:r>
          </w:p>
        </w:tc>
      </w:tr>
      <w:tr w:rsidR="009948F1" w14:paraId="3EEF8271" w14:textId="77777777">
        <w:trPr>
          <w:trHeight w:val="287"/>
        </w:trPr>
        <w:tc>
          <w:tcPr>
            <w:tcW w:w="876" w:type="dxa"/>
            <w:gridSpan w:val="2"/>
            <w:vMerge/>
            <w:tcBorders>
              <w:top w:val="nil"/>
              <w:bottom w:val="nil"/>
              <w:right w:val="single" w:sz="6" w:space="0" w:color="231F20"/>
            </w:tcBorders>
          </w:tcPr>
          <w:p w14:paraId="44C8E8AB"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6A92B898" w14:textId="77777777" w:rsidR="009948F1" w:rsidRDefault="00BC0563">
            <w:pPr>
              <w:pStyle w:val="TableParagraph"/>
              <w:spacing w:before="77"/>
              <w:ind w:left="64" w:right="46"/>
              <w:jc w:val="center"/>
              <w:rPr>
                <w:sz w:val="12"/>
              </w:rPr>
            </w:pPr>
            <w:r>
              <w:rPr>
                <w:color w:val="231F20"/>
                <w:sz w:val="12"/>
              </w:rPr>
              <w:t>8.4.2.b</w:t>
            </w:r>
          </w:p>
        </w:tc>
        <w:tc>
          <w:tcPr>
            <w:tcW w:w="4955" w:type="dxa"/>
            <w:gridSpan w:val="2"/>
            <w:tcBorders>
              <w:top w:val="single" w:sz="6" w:space="0" w:color="231F20"/>
              <w:left w:val="single" w:sz="6" w:space="0" w:color="231F20"/>
              <w:bottom w:val="single" w:sz="6" w:space="0" w:color="231F20"/>
              <w:right w:val="single" w:sz="6" w:space="0" w:color="231F20"/>
            </w:tcBorders>
          </w:tcPr>
          <w:p w14:paraId="19C07C35" w14:textId="77777777" w:rsidR="009948F1" w:rsidRDefault="00BC0563">
            <w:pPr>
              <w:pStyle w:val="TableParagraph"/>
              <w:spacing w:before="7" w:line="136" w:lineRule="exact"/>
              <w:ind w:left="23" w:right="101"/>
              <w:rPr>
                <w:sz w:val="12"/>
              </w:rPr>
            </w:pPr>
            <w:r>
              <w:rPr>
                <w:color w:val="231F20"/>
                <w:sz w:val="12"/>
              </w:rPr>
              <w:t>Support procurement and distribution of antivenoms and complimentary items (analgesics, TT and antisera, parenteral fluids, wound care consumables etc.)</w:t>
            </w:r>
          </w:p>
        </w:tc>
        <w:tc>
          <w:tcPr>
            <w:tcW w:w="1444" w:type="dxa"/>
            <w:tcBorders>
              <w:top w:val="single" w:sz="6" w:space="0" w:color="231F20"/>
              <w:left w:val="single" w:sz="6" w:space="0" w:color="231F20"/>
              <w:bottom w:val="single" w:sz="6" w:space="0" w:color="231F20"/>
              <w:right w:val="single" w:sz="6" w:space="0" w:color="231F20"/>
            </w:tcBorders>
          </w:tcPr>
          <w:p w14:paraId="0869C0B1" w14:textId="77777777" w:rsidR="009948F1" w:rsidRDefault="00BC0563">
            <w:pPr>
              <w:pStyle w:val="TableParagraph"/>
              <w:spacing w:before="77"/>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C120C0F" w14:textId="77777777" w:rsidR="009948F1" w:rsidRDefault="00BC0563">
            <w:pPr>
              <w:pStyle w:val="TableParagraph"/>
              <w:spacing w:before="3"/>
              <w:ind w:left="24"/>
              <w:rPr>
                <w:sz w:val="12"/>
              </w:rPr>
            </w:pPr>
            <w:r>
              <w:rPr>
                <w:color w:val="231F20"/>
                <w:sz w:val="12"/>
              </w:rPr>
              <w:t>Support procurement and</w:t>
            </w:r>
          </w:p>
          <w:p w14:paraId="3B657969" w14:textId="77777777" w:rsidR="009948F1" w:rsidRDefault="00BC0563">
            <w:pPr>
              <w:pStyle w:val="TableParagraph"/>
              <w:spacing w:before="18" w:line="108" w:lineRule="exact"/>
              <w:ind w:left="24"/>
              <w:rPr>
                <w:sz w:val="12"/>
              </w:rPr>
            </w:pPr>
            <w:r>
              <w:rPr>
                <w:color w:val="231F20"/>
                <w:sz w:val="12"/>
              </w:rPr>
              <w:t>distribution</w:t>
            </w:r>
          </w:p>
        </w:tc>
      </w:tr>
      <w:tr w:rsidR="009948F1" w14:paraId="1C3377F5" w14:textId="77777777">
        <w:trPr>
          <w:trHeight w:val="302"/>
        </w:trPr>
        <w:tc>
          <w:tcPr>
            <w:tcW w:w="876" w:type="dxa"/>
            <w:gridSpan w:val="2"/>
            <w:vMerge/>
            <w:tcBorders>
              <w:top w:val="nil"/>
              <w:bottom w:val="nil"/>
              <w:right w:val="single" w:sz="6" w:space="0" w:color="231F20"/>
            </w:tcBorders>
          </w:tcPr>
          <w:p w14:paraId="056C05F7"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1C2D9133" w14:textId="77777777" w:rsidR="009948F1" w:rsidRDefault="00BC0563">
            <w:pPr>
              <w:pStyle w:val="TableParagraph"/>
              <w:spacing w:before="84"/>
              <w:ind w:left="64" w:right="46"/>
              <w:jc w:val="center"/>
              <w:rPr>
                <w:sz w:val="12"/>
              </w:rPr>
            </w:pPr>
            <w:r>
              <w:rPr>
                <w:color w:val="231F20"/>
                <w:sz w:val="12"/>
              </w:rPr>
              <w:t>8.4.2.c</w:t>
            </w:r>
          </w:p>
        </w:tc>
        <w:tc>
          <w:tcPr>
            <w:tcW w:w="4955" w:type="dxa"/>
            <w:gridSpan w:val="2"/>
            <w:tcBorders>
              <w:top w:val="single" w:sz="6" w:space="0" w:color="231F20"/>
              <w:left w:val="single" w:sz="6" w:space="0" w:color="231F20"/>
              <w:bottom w:val="single" w:sz="6" w:space="0" w:color="231F20"/>
              <w:right w:val="single" w:sz="6" w:space="0" w:color="231F20"/>
            </w:tcBorders>
          </w:tcPr>
          <w:p w14:paraId="1B281B69" w14:textId="77777777" w:rsidR="009948F1" w:rsidRDefault="00BC0563">
            <w:pPr>
              <w:pStyle w:val="TableParagraph"/>
              <w:spacing w:before="3"/>
              <w:ind w:left="23"/>
              <w:rPr>
                <w:sz w:val="12"/>
              </w:rPr>
            </w:pPr>
            <w:r>
              <w:rPr>
                <w:color w:val="231F20"/>
                <w:sz w:val="12"/>
              </w:rPr>
              <w:t>Conduct resource mobilization activities for implementation: advocacy visits to identified</w:t>
            </w:r>
          </w:p>
          <w:p w14:paraId="6CB0425D" w14:textId="77777777" w:rsidR="009948F1" w:rsidRDefault="00BC0563">
            <w:pPr>
              <w:pStyle w:val="TableParagraph"/>
              <w:spacing w:before="18" w:line="123" w:lineRule="exact"/>
              <w:ind w:left="23"/>
              <w:rPr>
                <w:sz w:val="12"/>
              </w:rPr>
            </w:pPr>
            <w:r>
              <w:rPr>
                <w:color w:val="231F20"/>
                <w:sz w:val="12"/>
              </w:rPr>
              <w:t>sources of funding</w:t>
            </w:r>
          </w:p>
        </w:tc>
        <w:tc>
          <w:tcPr>
            <w:tcW w:w="1444" w:type="dxa"/>
            <w:tcBorders>
              <w:top w:val="single" w:sz="6" w:space="0" w:color="231F20"/>
              <w:left w:val="single" w:sz="6" w:space="0" w:color="231F20"/>
              <w:bottom w:val="single" w:sz="6" w:space="0" w:color="231F20"/>
              <w:right w:val="single" w:sz="6" w:space="0" w:color="231F20"/>
            </w:tcBorders>
          </w:tcPr>
          <w:p w14:paraId="40EEE4F8" w14:textId="77777777" w:rsidR="009948F1" w:rsidRDefault="00BC0563">
            <w:pPr>
              <w:pStyle w:val="TableParagraph"/>
              <w:spacing w:before="8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27D2C940" w14:textId="77777777" w:rsidR="009948F1" w:rsidRDefault="00BC0563">
            <w:pPr>
              <w:pStyle w:val="TableParagraph"/>
              <w:spacing w:before="6"/>
              <w:ind w:left="24"/>
              <w:rPr>
                <w:sz w:val="12"/>
              </w:rPr>
            </w:pPr>
            <w:r>
              <w:rPr>
                <w:color w:val="231F20"/>
                <w:sz w:val="12"/>
              </w:rPr>
              <w:t>Conduct resource</w:t>
            </w:r>
          </w:p>
          <w:p w14:paraId="5C7F56D8" w14:textId="77777777" w:rsidR="009948F1" w:rsidRDefault="00BC0563">
            <w:pPr>
              <w:pStyle w:val="TableParagraph"/>
              <w:spacing w:before="18" w:line="121" w:lineRule="exact"/>
              <w:ind w:left="24"/>
              <w:rPr>
                <w:sz w:val="12"/>
              </w:rPr>
            </w:pPr>
            <w:r>
              <w:rPr>
                <w:color w:val="231F20"/>
                <w:sz w:val="12"/>
              </w:rPr>
              <w:t>mobilization</w:t>
            </w:r>
          </w:p>
        </w:tc>
      </w:tr>
      <w:tr w:rsidR="009948F1" w14:paraId="3D2EBD57" w14:textId="77777777">
        <w:trPr>
          <w:trHeight w:val="941"/>
        </w:trPr>
        <w:tc>
          <w:tcPr>
            <w:tcW w:w="415" w:type="dxa"/>
            <w:tcBorders>
              <w:top w:val="nil"/>
              <w:bottom w:val="nil"/>
              <w:right w:val="single" w:sz="6" w:space="0" w:color="231F20"/>
            </w:tcBorders>
          </w:tcPr>
          <w:p w14:paraId="7D8DC386" w14:textId="77777777" w:rsidR="009948F1" w:rsidRDefault="009948F1">
            <w:pPr>
              <w:pStyle w:val="TableParagraph"/>
              <w:rPr>
                <w:rFonts w:ascii="Times New Roman"/>
                <w:sz w:val="12"/>
              </w:rPr>
            </w:pPr>
          </w:p>
        </w:tc>
        <w:tc>
          <w:tcPr>
            <w:tcW w:w="461" w:type="dxa"/>
            <w:tcBorders>
              <w:top w:val="single" w:sz="6" w:space="0" w:color="231F20"/>
              <w:left w:val="single" w:sz="6" w:space="0" w:color="231F20"/>
              <w:bottom w:val="single" w:sz="6" w:space="0" w:color="231F20"/>
              <w:right w:val="single" w:sz="6" w:space="0" w:color="231F20"/>
            </w:tcBorders>
            <w:shd w:val="clear" w:color="auto" w:fill="CCE7D3"/>
          </w:tcPr>
          <w:p w14:paraId="4292DD7F" w14:textId="77777777" w:rsidR="009948F1" w:rsidRDefault="009948F1">
            <w:pPr>
              <w:pStyle w:val="TableParagraph"/>
              <w:rPr>
                <w:sz w:val="12"/>
              </w:rPr>
            </w:pPr>
          </w:p>
          <w:p w14:paraId="174827AF" w14:textId="77777777" w:rsidR="009948F1" w:rsidRDefault="009948F1">
            <w:pPr>
              <w:pStyle w:val="TableParagraph"/>
              <w:rPr>
                <w:sz w:val="12"/>
              </w:rPr>
            </w:pPr>
          </w:p>
          <w:p w14:paraId="4627102F" w14:textId="77777777" w:rsidR="009948F1" w:rsidRDefault="009948F1">
            <w:pPr>
              <w:pStyle w:val="TableParagraph"/>
              <w:rPr>
                <w:sz w:val="11"/>
              </w:rPr>
            </w:pPr>
          </w:p>
          <w:p w14:paraId="63A4A9F9" w14:textId="77777777" w:rsidR="009948F1" w:rsidRDefault="00BC0563">
            <w:pPr>
              <w:pStyle w:val="TableParagraph"/>
              <w:spacing w:before="1"/>
              <w:ind w:left="58"/>
              <w:rPr>
                <w:sz w:val="12"/>
              </w:rPr>
            </w:pPr>
            <w:r>
              <w:rPr>
                <w:color w:val="231F20"/>
                <w:sz w:val="12"/>
              </w:rPr>
              <w:t>8.4.3</w:t>
            </w:r>
          </w:p>
        </w:tc>
        <w:tc>
          <w:tcPr>
            <w:tcW w:w="3075" w:type="dxa"/>
            <w:gridSpan w:val="2"/>
            <w:tcBorders>
              <w:top w:val="single" w:sz="6" w:space="0" w:color="231F20"/>
              <w:left w:val="single" w:sz="6" w:space="0" w:color="231F20"/>
              <w:bottom w:val="single" w:sz="6" w:space="0" w:color="231F20"/>
              <w:right w:val="single" w:sz="6" w:space="0" w:color="231F20"/>
            </w:tcBorders>
            <w:shd w:val="clear" w:color="auto" w:fill="CCE7D3"/>
          </w:tcPr>
          <w:p w14:paraId="3F199990" w14:textId="77777777" w:rsidR="009948F1" w:rsidRDefault="009948F1">
            <w:pPr>
              <w:pStyle w:val="TableParagraph"/>
              <w:rPr>
                <w:sz w:val="12"/>
              </w:rPr>
            </w:pPr>
          </w:p>
          <w:p w14:paraId="5424F690" w14:textId="77777777" w:rsidR="009948F1" w:rsidRDefault="009948F1">
            <w:pPr>
              <w:pStyle w:val="TableParagraph"/>
              <w:spacing w:before="10"/>
              <w:rPr>
                <w:sz w:val="15"/>
              </w:rPr>
            </w:pPr>
          </w:p>
          <w:p w14:paraId="2913D691" w14:textId="77777777" w:rsidR="009948F1" w:rsidRDefault="00BC0563">
            <w:pPr>
              <w:pStyle w:val="TableParagraph"/>
              <w:spacing w:line="271" w:lineRule="auto"/>
              <w:ind w:left="24" w:right="314" w:firstLine="33"/>
              <w:rPr>
                <w:sz w:val="12"/>
              </w:rPr>
            </w:pPr>
            <w:r>
              <w:rPr>
                <w:color w:val="231F20"/>
                <w:sz w:val="12"/>
              </w:rPr>
              <w:t>Build capacity of health care workers on snakebite management at all levels.</w:t>
            </w:r>
          </w:p>
        </w:tc>
        <w:tc>
          <w:tcPr>
            <w:tcW w:w="2413" w:type="dxa"/>
            <w:tcBorders>
              <w:top w:val="single" w:sz="6" w:space="0" w:color="231F20"/>
              <w:left w:val="single" w:sz="6" w:space="0" w:color="231F20"/>
              <w:bottom w:val="single" w:sz="6" w:space="0" w:color="231F20"/>
              <w:right w:val="single" w:sz="6" w:space="0" w:color="231F20"/>
            </w:tcBorders>
            <w:shd w:val="clear" w:color="auto" w:fill="CCE7D3"/>
          </w:tcPr>
          <w:p w14:paraId="791B53DC" w14:textId="77777777" w:rsidR="009948F1" w:rsidRDefault="00BC0563">
            <w:pPr>
              <w:pStyle w:val="TableParagraph"/>
              <w:numPr>
                <w:ilvl w:val="0"/>
                <w:numId w:val="81"/>
              </w:numPr>
              <w:tabs>
                <w:tab w:val="left" w:pos="97"/>
              </w:tabs>
              <w:spacing w:before="15" w:line="271" w:lineRule="auto"/>
              <w:ind w:right="502" w:firstLine="0"/>
              <w:rPr>
                <w:sz w:val="12"/>
              </w:rPr>
            </w:pPr>
            <w:r>
              <w:rPr>
                <w:color w:val="231F20"/>
                <w:sz w:val="12"/>
              </w:rPr>
              <w:t xml:space="preserve">TOT of state officers on </w:t>
            </w:r>
            <w:r>
              <w:rPr>
                <w:color w:val="231F20"/>
                <w:spacing w:val="-3"/>
                <w:sz w:val="12"/>
              </w:rPr>
              <w:t xml:space="preserve">snakebite </w:t>
            </w:r>
            <w:r>
              <w:rPr>
                <w:color w:val="231F20"/>
                <w:sz w:val="12"/>
              </w:rPr>
              <w:t>management done</w:t>
            </w:r>
          </w:p>
          <w:p w14:paraId="286D214D" w14:textId="77777777" w:rsidR="009948F1" w:rsidRDefault="00BC0563">
            <w:pPr>
              <w:pStyle w:val="TableParagraph"/>
              <w:numPr>
                <w:ilvl w:val="0"/>
                <w:numId w:val="81"/>
              </w:numPr>
              <w:tabs>
                <w:tab w:val="left" w:pos="67"/>
              </w:tabs>
              <w:spacing w:line="271" w:lineRule="auto"/>
              <w:ind w:right="34" w:firstLine="0"/>
              <w:rPr>
                <w:sz w:val="12"/>
              </w:rPr>
            </w:pPr>
            <w:r>
              <w:rPr>
                <w:color w:val="231F20"/>
                <w:sz w:val="12"/>
              </w:rPr>
              <w:t>Health workers on appropriate snakebite management at State &amp; LG levels, including on data management on snakebites</w:t>
            </w:r>
            <w:r>
              <w:rPr>
                <w:color w:val="231F20"/>
                <w:spacing w:val="-2"/>
                <w:sz w:val="12"/>
              </w:rPr>
              <w:t xml:space="preserve"> </w:t>
            </w:r>
            <w:r>
              <w:rPr>
                <w:color w:val="231F20"/>
                <w:sz w:val="12"/>
              </w:rPr>
              <w:t>trained</w:t>
            </w:r>
          </w:p>
          <w:p w14:paraId="7DA33C8B" w14:textId="77777777" w:rsidR="009948F1" w:rsidRDefault="00BC0563">
            <w:pPr>
              <w:pStyle w:val="TableParagraph"/>
              <w:spacing w:line="127" w:lineRule="exact"/>
              <w:ind w:left="23"/>
              <w:rPr>
                <w:sz w:val="12"/>
              </w:rPr>
            </w:pPr>
            <w:r>
              <w:rPr>
                <w:color w:val="231F20"/>
                <w:sz w:val="12"/>
              </w:rPr>
              <w:t>•</w:t>
            </w:r>
          </w:p>
        </w:tc>
        <w:tc>
          <w:tcPr>
            <w:tcW w:w="1444" w:type="dxa"/>
            <w:tcBorders>
              <w:top w:val="single" w:sz="6" w:space="0" w:color="231F20"/>
              <w:left w:val="single" w:sz="6" w:space="0" w:color="231F20"/>
              <w:bottom w:val="single" w:sz="6" w:space="0" w:color="231F20"/>
              <w:right w:val="single" w:sz="6" w:space="0" w:color="231F20"/>
            </w:tcBorders>
            <w:shd w:val="clear" w:color="auto" w:fill="CCE7D3"/>
          </w:tcPr>
          <w:p w14:paraId="7A569BD3" w14:textId="77777777" w:rsidR="009948F1" w:rsidRDefault="009948F1">
            <w:pPr>
              <w:pStyle w:val="TableParagraph"/>
              <w:rPr>
                <w:rFonts w:ascii="Times New Roman"/>
                <w:sz w:val="12"/>
              </w:rPr>
            </w:pPr>
          </w:p>
        </w:tc>
        <w:tc>
          <w:tcPr>
            <w:tcW w:w="1523" w:type="dxa"/>
            <w:tcBorders>
              <w:top w:val="single" w:sz="6" w:space="0" w:color="231F20"/>
              <w:left w:val="single" w:sz="6" w:space="0" w:color="231F20"/>
              <w:bottom w:val="single" w:sz="6" w:space="0" w:color="231F20"/>
              <w:right w:val="single" w:sz="6" w:space="0" w:color="231F20"/>
            </w:tcBorders>
            <w:shd w:val="clear" w:color="auto" w:fill="CCE7D3"/>
          </w:tcPr>
          <w:p w14:paraId="67A4ED41" w14:textId="77777777" w:rsidR="009948F1" w:rsidRDefault="009948F1">
            <w:pPr>
              <w:pStyle w:val="TableParagraph"/>
              <w:rPr>
                <w:rFonts w:ascii="Times New Roman"/>
                <w:sz w:val="12"/>
              </w:rPr>
            </w:pPr>
          </w:p>
        </w:tc>
      </w:tr>
      <w:tr w:rsidR="009948F1" w14:paraId="62F59E4A" w14:textId="77777777">
        <w:trPr>
          <w:trHeight w:val="296"/>
        </w:trPr>
        <w:tc>
          <w:tcPr>
            <w:tcW w:w="876" w:type="dxa"/>
            <w:gridSpan w:val="2"/>
            <w:vMerge w:val="restart"/>
            <w:tcBorders>
              <w:top w:val="nil"/>
              <w:right w:val="single" w:sz="6" w:space="0" w:color="231F20"/>
            </w:tcBorders>
          </w:tcPr>
          <w:p w14:paraId="45228D92" w14:textId="77777777" w:rsidR="009948F1" w:rsidRDefault="009948F1">
            <w:pPr>
              <w:pStyle w:val="TableParagraph"/>
              <w:rPr>
                <w:rFonts w:ascii="Times New Roman"/>
                <w:sz w:val="12"/>
              </w:rPr>
            </w:pPr>
          </w:p>
        </w:tc>
        <w:tc>
          <w:tcPr>
            <w:tcW w:w="533" w:type="dxa"/>
            <w:tcBorders>
              <w:top w:val="single" w:sz="6" w:space="0" w:color="231F20"/>
              <w:left w:val="single" w:sz="6" w:space="0" w:color="231F20"/>
              <w:bottom w:val="single" w:sz="6" w:space="0" w:color="231F20"/>
              <w:right w:val="single" w:sz="6" w:space="0" w:color="231F20"/>
            </w:tcBorders>
          </w:tcPr>
          <w:p w14:paraId="599DE125" w14:textId="77777777" w:rsidR="009948F1" w:rsidRDefault="00BC0563">
            <w:pPr>
              <w:pStyle w:val="TableParagraph"/>
              <w:spacing w:before="82"/>
              <w:ind w:left="64" w:right="46"/>
              <w:jc w:val="center"/>
              <w:rPr>
                <w:sz w:val="12"/>
              </w:rPr>
            </w:pPr>
            <w:r>
              <w:rPr>
                <w:color w:val="231F20"/>
                <w:sz w:val="12"/>
              </w:rPr>
              <w:t>8.4.3.a</w:t>
            </w:r>
          </w:p>
        </w:tc>
        <w:tc>
          <w:tcPr>
            <w:tcW w:w="4955" w:type="dxa"/>
            <w:gridSpan w:val="2"/>
            <w:tcBorders>
              <w:top w:val="single" w:sz="6" w:space="0" w:color="231F20"/>
              <w:left w:val="single" w:sz="6" w:space="0" w:color="231F20"/>
              <w:bottom w:val="single" w:sz="6" w:space="0" w:color="231F20"/>
              <w:right w:val="single" w:sz="6" w:space="0" w:color="231F20"/>
            </w:tcBorders>
          </w:tcPr>
          <w:p w14:paraId="18D330BF" w14:textId="77777777" w:rsidR="009948F1" w:rsidRDefault="00BC0563">
            <w:pPr>
              <w:pStyle w:val="TableParagraph"/>
              <w:spacing w:before="77"/>
              <w:ind w:left="23"/>
              <w:rPr>
                <w:sz w:val="12"/>
              </w:rPr>
            </w:pPr>
            <w:r>
              <w:rPr>
                <w:color w:val="231F20"/>
                <w:sz w:val="12"/>
              </w:rPr>
              <w:t>Conduct TOT of state officers on snakebite management</w:t>
            </w:r>
          </w:p>
        </w:tc>
        <w:tc>
          <w:tcPr>
            <w:tcW w:w="1444" w:type="dxa"/>
            <w:tcBorders>
              <w:top w:val="single" w:sz="6" w:space="0" w:color="231F20"/>
              <w:left w:val="single" w:sz="6" w:space="0" w:color="231F20"/>
              <w:bottom w:val="single" w:sz="6" w:space="0" w:color="231F20"/>
              <w:right w:val="single" w:sz="6" w:space="0" w:color="231F20"/>
            </w:tcBorders>
          </w:tcPr>
          <w:p w14:paraId="7901BCDD" w14:textId="77777777" w:rsidR="009948F1" w:rsidRDefault="00BC0563">
            <w:pPr>
              <w:pStyle w:val="TableParagraph"/>
              <w:spacing w:before="82"/>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52B7744D" w14:textId="77777777" w:rsidR="009948F1" w:rsidRDefault="00BC0563">
            <w:pPr>
              <w:pStyle w:val="TableParagraph"/>
              <w:spacing w:before="82"/>
              <w:ind w:left="24"/>
              <w:rPr>
                <w:sz w:val="12"/>
              </w:rPr>
            </w:pPr>
            <w:r>
              <w:rPr>
                <w:color w:val="231F20"/>
                <w:sz w:val="12"/>
              </w:rPr>
              <w:t>Conduct TOT</w:t>
            </w:r>
          </w:p>
        </w:tc>
      </w:tr>
      <w:tr w:rsidR="009948F1" w14:paraId="5F8779E5" w14:textId="77777777">
        <w:trPr>
          <w:trHeight w:val="282"/>
        </w:trPr>
        <w:tc>
          <w:tcPr>
            <w:tcW w:w="876" w:type="dxa"/>
            <w:gridSpan w:val="2"/>
            <w:vMerge/>
            <w:tcBorders>
              <w:top w:val="nil"/>
              <w:right w:val="single" w:sz="6" w:space="0" w:color="231F20"/>
            </w:tcBorders>
          </w:tcPr>
          <w:p w14:paraId="03C66171" w14:textId="77777777" w:rsidR="009948F1" w:rsidRDefault="009948F1">
            <w:pPr>
              <w:rPr>
                <w:sz w:val="2"/>
                <w:szCs w:val="2"/>
              </w:rPr>
            </w:pPr>
          </w:p>
        </w:tc>
        <w:tc>
          <w:tcPr>
            <w:tcW w:w="533" w:type="dxa"/>
            <w:tcBorders>
              <w:top w:val="single" w:sz="6" w:space="0" w:color="231F20"/>
              <w:left w:val="single" w:sz="6" w:space="0" w:color="231F20"/>
              <w:bottom w:val="single" w:sz="6" w:space="0" w:color="231F20"/>
              <w:right w:val="single" w:sz="6" w:space="0" w:color="231F20"/>
            </w:tcBorders>
          </w:tcPr>
          <w:p w14:paraId="6C94D662" w14:textId="77777777" w:rsidR="009948F1" w:rsidRDefault="00BC0563">
            <w:pPr>
              <w:pStyle w:val="TableParagraph"/>
              <w:spacing w:before="74"/>
              <w:ind w:left="64" w:right="46"/>
              <w:jc w:val="center"/>
              <w:rPr>
                <w:sz w:val="12"/>
              </w:rPr>
            </w:pPr>
            <w:r>
              <w:rPr>
                <w:color w:val="231F20"/>
                <w:sz w:val="12"/>
              </w:rPr>
              <w:t>8.4.3.b</w:t>
            </w:r>
          </w:p>
        </w:tc>
        <w:tc>
          <w:tcPr>
            <w:tcW w:w="4955" w:type="dxa"/>
            <w:gridSpan w:val="2"/>
            <w:tcBorders>
              <w:top w:val="single" w:sz="6" w:space="0" w:color="231F20"/>
              <w:left w:val="single" w:sz="6" w:space="0" w:color="231F20"/>
              <w:bottom w:val="single" w:sz="6" w:space="0" w:color="231F20"/>
              <w:right w:val="single" w:sz="6" w:space="0" w:color="231F20"/>
            </w:tcBorders>
          </w:tcPr>
          <w:p w14:paraId="24F15F7F" w14:textId="77777777" w:rsidR="009948F1" w:rsidRDefault="00BC0563">
            <w:pPr>
              <w:pStyle w:val="TableParagraph"/>
              <w:spacing w:before="9" w:line="130" w:lineRule="exact"/>
              <w:ind w:left="23" w:right="167"/>
              <w:rPr>
                <w:sz w:val="12"/>
              </w:rPr>
            </w:pPr>
            <w:r>
              <w:rPr>
                <w:color w:val="231F20"/>
                <w:sz w:val="12"/>
              </w:rPr>
              <w:t>Conduct trainings of health workers on appropriate snakebite management at State level, including on data management on snakebites</w:t>
            </w:r>
          </w:p>
        </w:tc>
        <w:tc>
          <w:tcPr>
            <w:tcW w:w="1444" w:type="dxa"/>
            <w:tcBorders>
              <w:top w:val="single" w:sz="6" w:space="0" w:color="231F20"/>
              <w:left w:val="single" w:sz="6" w:space="0" w:color="231F20"/>
              <w:bottom w:val="single" w:sz="6" w:space="0" w:color="231F20"/>
              <w:right w:val="single" w:sz="6" w:space="0" w:color="231F20"/>
            </w:tcBorders>
          </w:tcPr>
          <w:p w14:paraId="5AE94235" w14:textId="77777777" w:rsidR="009948F1" w:rsidRDefault="00BC0563">
            <w:pPr>
              <w:pStyle w:val="TableParagraph"/>
              <w:spacing w:before="74"/>
              <w:ind w:left="23"/>
              <w:rPr>
                <w:sz w:val="12"/>
              </w:rPr>
            </w:pPr>
            <w:r>
              <w:rPr>
                <w:color w:val="231F20"/>
                <w:sz w:val="12"/>
              </w:rPr>
              <w:t>Lack of funds</w:t>
            </w:r>
          </w:p>
        </w:tc>
        <w:tc>
          <w:tcPr>
            <w:tcW w:w="1523" w:type="dxa"/>
            <w:tcBorders>
              <w:top w:val="single" w:sz="6" w:space="0" w:color="231F20"/>
              <w:left w:val="single" w:sz="6" w:space="0" w:color="231F20"/>
              <w:bottom w:val="single" w:sz="6" w:space="0" w:color="231F20"/>
              <w:right w:val="single" w:sz="6" w:space="0" w:color="231F20"/>
            </w:tcBorders>
          </w:tcPr>
          <w:p w14:paraId="419DD880" w14:textId="77777777" w:rsidR="009948F1" w:rsidRDefault="00BC0563">
            <w:pPr>
              <w:pStyle w:val="TableParagraph"/>
              <w:spacing w:before="74"/>
              <w:ind w:left="24"/>
              <w:rPr>
                <w:sz w:val="12"/>
              </w:rPr>
            </w:pPr>
            <w:r>
              <w:rPr>
                <w:color w:val="231F20"/>
                <w:sz w:val="12"/>
              </w:rPr>
              <w:t>Conduct trainings</w:t>
            </w:r>
          </w:p>
        </w:tc>
      </w:tr>
      <w:tr w:rsidR="009948F1" w14:paraId="43DC03A9" w14:textId="77777777">
        <w:trPr>
          <w:trHeight w:val="288"/>
        </w:trPr>
        <w:tc>
          <w:tcPr>
            <w:tcW w:w="876" w:type="dxa"/>
            <w:gridSpan w:val="2"/>
            <w:vMerge/>
            <w:tcBorders>
              <w:top w:val="nil"/>
              <w:right w:val="single" w:sz="6" w:space="0" w:color="231F20"/>
            </w:tcBorders>
          </w:tcPr>
          <w:p w14:paraId="6B5C2666" w14:textId="77777777" w:rsidR="009948F1" w:rsidRDefault="009948F1">
            <w:pPr>
              <w:rPr>
                <w:sz w:val="2"/>
                <w:szCs w:val="2"/>
              </w:rPr>
            </w:pPr>
          </w:p>
        </w:tc>
        <w:tc>
          <w:tcPr>
            <w:tcW w:w="533" w:type="dxa"/>
            <w:tcBorders>
              <w:top w:val="single" w:sz="6" w:space="0" w:color="231F20"/>
              <w:left w:val="single" w:sz="6" w:space="0" w:color="231F20"/>
              <w:bottom w:val="single" w:sz="12" w:space="0" w:color="231F20"/>
              <w:right w:val="single" w:sz="6" w:space="0" w:color="231F20"/>
            </w:tcBorders>
          </w:tcPr>
          <w:p w14:paraId="4939F996" w14:textId="77777777" w:rsidR="009948F1" w:rsidRDefault="00BC0563">
            <w:pPr>
              <w:pStyle w:val="TableParagraph"/>
              <w:spacing w:before="82"/>
              <w:ind w:left="64" w:right="46"/>
              <w:jc w:val="center"/>
              <w:rPr>
                <w:sz w:val="12"/>
              </w:rPr>
            </w:pPr>
            <w:r>
              <w:rPr>
                <w:color w:val="231F20"/>
                <w:sz w:val="12"/>
              </w:rPr>
              <w:t>8.4.3.c</w:t>
            </w:r>
          </w:p>
        </w:tc>
        <w:tc>
          <w:tcPr>
            <w:tcW w:w="4955" w:type="dxa"/>
            <w:gridSpan w:val="2"/>
            <w:tcBorders>
              <w:top w:val="single" w:sz="6" w:space="0" w:color="231F20"/>
              <w:left w:val="single" w:sz="6" w:space="0" w:color="231F20"/>
              <w:bottom w:val="single" w:sz="12" w:space="0" w:color="231F20"/>
              <w:right w:val="single" w:sz="6" w:space="0" w:color="231F20"/>
            </w:tcBorders>
          </w:tcPr>
          <w:p w14:paraId="5028C3F0" w14:textId="77777777" w:rsidR="009948F1" w:rsidRDefault="00BC0563">
            <w:pPr>
              <w:pStyle w:val="TableParagraph"/>
              <w:spacing w:before="6" w:line="134" w:lineRule="exact"/>
              <w:ind w:left="23" w:right="34"/>
              <w:rPr>
                <w:sz w:val="12"/>
              </w:rPr>
            </w:pPr>
            <w:r>
              <w:rPr>
                <w:color w:val="231F20"/>
                <w:sz w:val="12"/>
              </w:rPr>
              <w:t>Conduct training of all levels of health workers on appropriate snakebite management at LG level, including on data management on snakebites</w:t>
            </w:r>
          </w:p>
        </w:tc>
        <w:tc>
          <w:tcPr>
            <w:tcW w:w="1444" w:type="dxa"/>
            <w:tcBorders>
              <w:top w:val="single" w:sz="6" w:space="0" w:color="231F20"/>
              <w:left w:val="single" w:sz="6" w:space="0" w:color="231F20"/>
              <w:bottom w:val="single" w:sz="12" w:space="0" w:color="231F20"/>
              <w:right w:val="single" w:sz="6" w:space="0" w:color="231F20"/>
            </w:tcBorders>
          </w:tcPr>
          <w:p w14:paraId="46F19CDD" w14:textId="77777777" w:rsidR="009948F1" w:rsidRDefault="00BC0563">
            <w:pPr>
              <w:pStyle w:val="TableParagraph"/>
              <w:spacing w:before="82"/>
              <w:ind w:left="23"/>
              <w:rPr>
                <w:sz w:val="12"/>
              </w:rPr>
            </w:pPr>
            <w:r>
              <w:rPr>
                <w:color w:val="231F20"/>
                <w:sz w:val="12"/>
              </w:rPr>
              <w:t>Lack of funds</w:t>
            </w:r>
          </w:p>
        </w:tc>
        <w:tc>
          <w:tcPr>
            <w:tcW w:w="1523" w:type="dxa"/>
            <w:tcBorders>
              <w:top w:val="single" w:sz="6" w:space="0" w:color="231F20"/>
              <w:left w:val="single" w:sz="6" w:space="0" w:color="231F20"/>
              <w:bottom w:val="single" w:sz="12" w:space="0" w:color="231F20"/>
              <w:right w:val="single" w:sz="6" w:space="0" w:color="231F20"/>
            </w:tcBorders>
          </w:tcPr>
          <w:p w14:paraId="3E1B997C" w14:textId="77777777" w:rsidR="009948F1" w:rsidRDefault="00BC0563">
            <w:pPr>
              <w:pStyle w:val="TableParagraph"/>
              <w:spacing w:before="82"/>
              <w:ind w:left="24"/>
              <w:rPr>
                <w:sz w:val="12"/>
              </w:rPr>
            </w:pPr>
            <w:r>
              <w:rPr>
                <w:color w:val="231F20"/>
                <w:sz w:val="12"/>
              </w:rPr>
              <w:t>Conduct training</w:t>
            </w:r>
          </w:p>
        </w:tc>
      </w:tr>
    </w:tbl>
    <w:p w14:paraId="6A854D86" w14:textId="77777777" w:rsidR="009948F1" w:rsidRDefault="009948F1">
      <w:pPr>
        <w:rPr>
          <w:sz w:val="12"/>
        </w:rPr>
        <w:sectPr w:rsidR="009948F1">
          <w:pgSz w:w="11910" w:h="16840"/>
          <w:pgMar w:top="1260" w:right="1080" w:bottom="1340" w:left="1120" w:header="0" w:footer="1155" w:gutter="0"/>
          <w:cols w:space="720"/>
        </w:sectPr>
      </w:pPr>
    </w:p>
    <w:p w14:paraId="16FBF36F" w14:textId="77777777" w:rsidR="009948F1" w:rsidRDefault="00244DD0">
      <w:pPr>
        <w:pStyle w:val="BodyText"/>
        <w:rPr>
          <w:sz w:val="20"/>
        </w:rPr>
      </w:pPr>
      <w:r>
        <w:lastRenderedPageBreak/>
        <w:pict w14:anchorId="33552674">
          <v:shape id="_x0000_s2054" type="#_x0000_t202" style="position:absolute;margin-left:65.35pt;margin-top:64.3pt;width:465pt;height:679.6pt;z-index:15748608;mso-position-horizontal-relative:page;mso-position-vertical-relative:page" filled="f" stroked="f">
            <v:textbox inset="0,0,0,0">
              <w:txbxContent>
                <w:tbl>
                  <w:tblPr>
                    <w:tblW w:w="0" w:type="auto"/>
                    <w:tblInd w:w="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3"/>
                    <w:gridCol w:w="458"/>
                    <w:gridCol w:w="530"/>
                    <w:gridCol w:w="2529"/>
                    <w:gridCol w:w="2401"/>
                    <w:gridCol w:w="1437"/>
                    <w:gridCol w:w="1516"/>
                  </w:tblGrid>
                  <w:tr w:rsidR="00080B77" w14:paraId="6127AAE2" w14:textId="77777777">
                    <w:trPr>
                      <w:trHeight w:val="993"/>
                    </w:trPr>
                    <w:tc>
                      <w:tcPr>
                        <w:tcW w:w="403" w:type="dxa"/>
                        <w:tcBorders>
                          <w:bottom w:val="nil"/>
                          <w:right w:val="single" w:sz="6" w:space="0" w:color="231F20"/>
                        </w:tcBorders>
                      </w:tcPr>
                      <w:p w14:paraId="7DD5AF2E" w14:textId="77777777" w:rsidR="00080B77" w:rsidRDefault="00080B77">
                        <w:pPr>
                          <w:pStyle w:val="TableParagraph"/>
                          <w:rPr>
                            <w:rFonts w:ascii="Times New Roman"/>
                            <w:sz w:val="10"/>
                          </w:rPr>
                        </w:pPr>
                      </w:p>
                    </w:tc>
                    <w:tc>
                      <w:tcPr>
                        <w:tcW w:w="458" w:type="dxa"/>
                        <w:tcBorders>
                          <w:top w:val="single" w:sz="12" w:space="0" w:color="231F20"/>
                          <w:left w:val="single" w:sz="6" w:space="0" w:color="231F20"/>
                          <w:bottom w:val="single" w:sz="6" w:space="0" w:color="231F20"/>
                          <w:right w:val="single" w:sz="6" w:space="0" w:color="231F20"/>
                        </w:tcBorders>
                        <w:shd w:val="clear" w:color="auto" w:fill="CCE7D3"/>
                      </w:tcPr>
                      <w:p w14:paraId="09AE85C7" w14:textId="77777777" w:rsidR="00080B77" w:rsidRDefault="00080B77">
                        <w:pPr>
                          <w:pStyle w:val="TableParagraph"/>
                          <w:rPr>
                            <w:sz w:val="12"/>
                          </w:rPr>
                        </w:pPr>
                      </w:p>
                      <w:p w14:paraId="074EE5C2" w14:textId="77777777" w:rsidR="00080B77" w:rsidRDefault="00080B77">
                        <w:pPr>
                          <w:pStyle w:val="TableParagraph"/>
                          <w:rPr>
                            <w:sz w:val="12"/>
                          </w:rPr>
                        </w:pPr>
                      </w:p>
                      <w:p w14:paraId="78D0FB5F" w14:textId="77777777" w:rsidR="00080B77" w:rsidRDefault="00080B77">
                        <w:pPr>
                          <w:pStyle w:val="TableParagraph"/>
                          <w:spacing w:before="7"/>
                          <w:rPr>
                            <w:sz w:val="12"/>
                          </w:rPr>
                        </w:pPr>
                      </w:p>
                      <w:p w14:paraId="044858B0" w14:textId="77777777" w:rsidR="00080B77" w:rsidRDefault="00080B77">
                        <w:pPr>
                          <w:pStyle w:val="TableParagraph"/>
                          <w:ind w:left="59"/>
                          <w:rPr>
                            <w:sz w:val="13"/>
                          </w:rPr>
                        </w:pPr>
                        <w:r>
                          <w:rPr>
                            <w:color w:val="231F20"/>
                            <w:sz w:val="13"/>
                          </w:rPr>
                          <w:t>8.4.4</w:t>
                        </w:r>
                      </w:p>
                    </w:tc>
                    <w:tc>
                      <w:tcPr>
                        <w:tcW w:w="3059" w:type="dxa"/>
                        <w:gridSpan w:val="2"/>
                        <w:tcBorders>
                          <w:top w:val="single" w:sz="12" w:space="0" w:color="231F20"/>
                          <w:left w:val="single" w:sz="6" w:space="0" w:color="231F20"/>
                          <w:bottom w:val="single" w:sz="6" w:space="0" w:color="231F20"/>
                          <w:right w:val="single" w:sz="6" w:space="0" w:color="231F20"/>
                        </w:tcBorders>
                        <w:shd w:val="clear" w:color="auto" w:fill="CCE7D3"/>
                      </w:tcPr>
                      <w:p w14:paraId="667EFE13" w14:textId="77777777" w:rsidR="00080B77" w:rsidRDefault="00080B77">
                        <w:pPr>
                          <w:pStyle w:val="TableParagraph"/>
                          <w:rPr>
                            <w:sz w:val="12"/>
                          </w:rPr>
                        </w:pPr>
                      </w:p>
                      <w:p w14:paraId="30E60A33" w14:textId="77777777" w:rsidR="00080B77" w:rsidRDefault="00080B77">
                        <w:pPr>
                          <w:pStyle w:val="TableParagraph"/>
                          <w:rPr>
                            <w:sz w:val="12"/>
                          </w:rPr>
                        </w:pPr>
                      </w:p>
                      <w:p w14:paraId="04222491" w14:textId="77777777" w:rsidR="00080B77" w:rsidRDefault="00080B77">
                        <w:pPr>
                          <w:pStyle w:val="TableParagraph"/>
                          <w:spacing w:before="1"/>
                          <w:rPr>
                            <w:sz w:val="12"/>
                          </w:rPr>
                        </w:pPr>
                      </w:p>
                      <w:p w14:paraId="2CE18094" w14:textId="77777777" w:rsidR="00080B77" w:rsidRDefault="00080B77">
                        <w:pPr>
                          <w:pStyle w:val="TableParagraph"/>
                          <w:ind w:left="59"/>
                          <w:rPr>
                            <w:sz w:val="13"/>
                          </w:rPr>
                        </w:pPr>
                        <w:r>
                          <w:rPr>
                            <w:color w:val="231F20"/>
                            <w:w w:val="95"/>
                            <w:sz w:val="13"/>
                          </w:rPr>
                          <w:t>Promote partnerships for national snakebite response</w:t>
                        </w:r>
                      </w:p>
                    </w:tc>
                    <w:tc>
                      <w:tcPr>
                        <w:tcW w:w="2401" w:type="dxa"/>
                        <w:tcBorders>
                          <w:top w:val="single" w:sz="12" w:space="0" w:color="231F20"/>
                          <w:left w:val="single" w:sz="6" w:space="0" w:color="231F20"/>
                          <w:bottom w:val="single" w:sz="6" w:space="0" w:color="231F20"/>
                          <w:right w:val="single" w:sz="6" w:space="0" w:color="231F20"/>
                        </w:tcBorders>
                        <w:shd w:val="clear" w:color="auto" w:fill="CCE7D3"/>
                      </w:tcPr>
                      <w:p w14:paraId="620E868E" w14:textId="77777777" w:rsidR="00080B77" w:rsidRDefault="00080B77">
                        <w:pPr>
                          <w:pStyle w:val="TableParagraph"/>
                          <w:numPr>
                            <w:ilvl w:val="0"/>
                            <w:numId w:val="80"/>
                          </w:numPr>
                          <w:tabs>
                            <w:tab w:val="left" w:pos="101"/>
                          </w:tabs>
                          <w:spacing w:before="10" w:line="264" w:lineRule="auto"/>
                          <w:ind w:right="90" w:firstLine="0"/>
                          <w:rPr>
                            <w:sz w:val="13"/>
                          </w:rPr>
                        </w:pPr>
                        <w:r>
                          <w:rPr>
                            <w:color w:val="231F20"/>
                            <w:w w:val="95"/>
                            <w:sz w:val="13"/>
                          </w:rPr>
                          <w:t>NGOs,</w:t>
                        </w:r>
                        <w:r>
                          <w:rPr>
                            <w:color w:val="231F20"/>
                            <w:spacing w:val="-16"/>
                            <w:w w:val="95"/>
                            <w:sz w:val="13"/>
                          </w:rPr>
                          <w:t xml:space="preserve"> </w:t>
                        </w:r>
                        <w:r>
                          <w:rPr>
                            <w:color w:val="231F20"/>
                            <w:w w:val="95"/>
                            <w:sz w:val="13"/>
                          </w:rPr>
                          <w:t>FBOs,</w:t>
                        </w:r>
                        <w:r>
                          <w:rPr>
                            <w:color w:val="231F20"/>
                            <w:spacing w:val="-15"/>
                            <w:w w:val="95"/>
                            <w:sz w:val="13"/>
                          </w:rPr>
                          <w:t xml:space="preserve"> </w:t>
                        </w:r>
                        <w:r>
                          <w:rPr>
                            <w:color w:val="231F20"/>
                            <w:w w:val="95"/>
                            <w:sz w:val="13"/>
                          </w:rPr>
                          <w:t>CBOs</w:t>
                        </w:r>
                        <w:r>
                          <w:rPr>
                            <w:color w:val="231F20"/>
                            <w:spacing w:val="-15"/>
                            <w:w w:val="95"/>
                            <w:sz w:val="13"/>
                          </w:rPr>
                          <w:t xml:space="preserve"> </w:t>
                        </w:r>
                        <w:r>
                          <w:rPr>
                            <w:color w:val="231F20"/>
                            <w:w w:val="95"/>
                            <w:sz w:val="13"/>
                          </w:rPr>
                          <w:t>and</w:t>
                        </w:r>
                        <w:r>
                          <w:rPr>
                            <w:color w:val="231F20"/>
                            <w:spacing w:val="-15"/>
                            <w:w w:val="95"/>
                            <w:sz w:val="13"/>
                          </w:rPr>
                          <w:t xml:space="preserve"> </w:t>
                        </w:r>
                        <w:r>
                          <w:rPr>
                            <w:color w:val="231F20"/>
                            <w:w w:val="95"/>
                            <w:sz w:val="13"/>
                          </w:rPr>
                          <w:t>related</w:t>
                        </w:r>
                        <w:r>
                          <w:rPr>
                            <w:color w:val="231F20"/>
                            <w:spacing w:val="-15"/>
                            <w:w w:val="95"/>
                            <w:sz w:val="13"/>
                          </w:rPr>
                          <w:t xml:space="preserve"> </w:t>
                        </w:r>
                        <w:r>
                          <w:rPr>
                            <w:color w:val="231F20"/>
                            <w:w w:val="95"/>
                            <w:sz w:val="13"/>
                          </w:rPr>
                          <w:t xml:space="preserve">partners </w:t>
                        </w:r>
                        <w:r>
                          <w:rPr>
                            <w:color w:val="231F20"/>
                            <w:sz w:val="13"/>
                          </w:rPr>
                          <w:t>for partnership on national snakebite response</w:t>
                        </w:r>
                        <w:r>
                          <w:rPr>
                            <w:color w:val="231F20"/>
                            <w:spacing w:val="-6"/>
                            <w:sz w:val="13"/>
                          </w:rPr>
                          <w:t xml:space="preserve"> </w:t>
                        </w:r>
                        <w:r>
                          <w:rPr>
                            <w:color w:val="231F20"/>
                            <w:sz w:val="13"/>
                          </w:rPr>
                          <w:t>identified</w:t>
                        </w:r>
                      </w:p>
                      <w:p w14:paraId="624CD8CA" w14:textId="77777777" w:rsidR="00080B77" w:rsidRDefault="00080B77">
                        <w:pPr>
                          <w:pStyle w:val="TableParagraph"/>
                          <w:numPr>
                            <w:ilvl w:val="0"/>
                            <w:numId w:val="80"/>
                          </w:numPr>
                          <w:tabs>
                            <w:tab w:val="left" w:pos="69"/>
                          </w:tabs>
                          <w:spacing w:line="264" w:lineRule="auto"/>
                          <w:ind w:right="415" w:firstLine="0"/>
                          <w:rPr>
                            <w:sz w:val="13"/>
                          </w:rPr>
                        </w:pPr>
                        <w:r>
                          <w:rPr>
                            <w:color w:val="231F20"/>
                            <w:w w:val="95"/>
                            <w:sz w:val="13"/>
                          </w:rPr>
                          <w:t>Advocacies</w:t>
                        </w:r>
                        <w:r>
                          <w:rPr>
                            <w:color w:val="231F20"/>
                            <w:spacing w:val="-15"/>
                            <w:w w:val="95"/>
                            <w:sz w:val="13"/>
                          </w:rPr>
                          <w:t xml:space="preserve"> </w:t>
                        </w:r>
                        <w:r>
                          <w:rPr>
                            <w:color w:val="231F20"/>
                            <w:w w:val="95"/>
                            <w:sz w:val="13"/>
                          </w:rPr>
                          <w:t>to</w:t>
                        </w:r>
                        <w:r>
                          <w:rPr>
                            <w:color w:val="231F20"/>
                            <w:spacing w:val="-14"/>
                            <w:w w:val="95"/>
                            <w:sz w:val="13"/>
                          </w:rPr>
                          <w:t xml:space="preserve"> </w:t>
                        </w:r>
                        <w:r>
                          <w:rPr>
                            <w:color w:val="231F20"/>
                            <w:w w:val="95"/>
                            <w:sz w:val="13"/>
                          </w:rPr>
                          <w:t>identified</w:t>
                        </w:r>
                        <w:r>
                          <w:rPr>
                            <w:color w:val="231F20"/>
                            <w:spacing w:val="-14"/>
                            <w:w w:val="95"/>
                            <w:sz w:val="13"/>
                          </w:rPr>
                          <w:t xml:space="preserve"> </w:t>
                        </w:r>
                        <w:r>
                          <w:rPr>
                            <w:color w:val="231F20"/>
                            <w:w w:val="95"/>
                            <w:sz w:val="13"/>
                          </w:rPr>
                          <w:t>partners</w:t>
                        </w:r>
                        <w:r>
                          <w:rPr>
                            <w:color w:val="231F20"/>
                            <w:spacing w:val="-14"/>
                            <w:w w:val="95"/>
                            <w:sz w:val="13"/>
                          </w:rPr>
                          <w:t xml:space="preserve"> </w:t>
                        </w:r>
                        <w:r>
                          <w:rPr>
                            <w:color w:val="231F20"/>
                            <w:spacing w:val="-5"/>
                            <w:w w:val="95"/>
                            <w:sz w:val="13"/>
                          </w:rPr>
                          <w:t xml:space="preserve">for </w:t>
                        </w:r>
                        <w:r>
                          <w:rPr>
                            <w:color w:val="231F20"/>
                            <w:sz w:val="13"/>
                          </w:rPr>
                          <w:t>partnership negotiations</w:t>
                        </w:r>
                        <w:r>
                          <w:rPr>
                            <w:color w:val="231F20"/>
                            <w:spacing w:val="-27"/>
                            <w:sz w:val="13"/>
                          </w:rPr>
                          <w:t xml:space="preserve"> </w:t>
                        </w:r>
                        <w:r>
                          <w:rPr>
                            <w:color w:val="231F20"/>
                            <w:sz w:val="13"/>
                          </w:rPr>
                          <w:t>done</w:t>
                        </w:r>
                      </w:p>
                      <w:p w14:paraId="3925AA1B" w14:textId="77777777" w:rsidR="00080B77" w:rsidRDefault="00080B77">
                        <w:pPr>
                          <w:pStyle w:val="TableParagraph"/>
                          <w:spacing w:before="1" w:line="140" w:lineRule="exact"/>
                          <w:ind w:left="25"/>
                          <w:rPr>
                            <w:sz w:val="13"/>
                          </w:rPr>
                        </w:pPr>
                        <w:r>
                          <w:rPr>
                            <w:color w:val="231F20"/>
                            <w:w w:val="91"/>
                            <w:sz w:val="13"/>
                          </w:rPr>
                          <w:t>•</w:t>
                        </w:r>
                      </w:p>
                    </w:tc>
                    <w:tc>
                      <w:tcPr>
                        <w:tcW w:w="1437" w:type="dxa"/>
                        <w:tcBorders>
                          <w:top w:val="single" w:sz="12" w:space="0" w:color="231F20"/>
                          <w:left w:val="single" w:sz="6" w:space="0" w:color="231F20"/>
                          <w:bottom w:val="single" w:sz="6" w:space="0" w:color="231F20"/>
                          <w:right w:val="single" w:sz="6" w:space="0" w:color="231F20"/>
                        </w:tcBorders>
                        <w:shd w:val="clear" w:color="auto" w:fill="CCE7D3"/>
                      </w:tcPr>
                      <w:p w14:paraId="74FB96C9" w14:textId="77777777" w:rsidR="00080B77" w:rsidRDefault="00080B77">
                        <w:pPr>
                          <w:pStyle w:val="TableParagraph"/>
                          <w:rPr>
                            <w:rFonts w:ascii="Times New Roman"/>
                            <w:sz w:val="10"/>
                          </w:rPr>
                        </w:pPr>
                      </w:p>
                    </w:tc>
                    <w:tc>
                      <w:tcPr>
                        <w:tcW w:w="1516" w:type="dxa"/>
                        <w:tcBorders>
                          <w:top w:val="single" w:sz="12" w:space="0" w:color="231F20"/>
                          <w:left w:val="single" w:sz="6" w:space="0" w:color="231F20"/>
                          <w:bottom w:val="single" w:sz="6" w:space="0" w:color="231F20"/>
                          <w:right w:val="single" w:sz="6" w:space="0" w:color="231F20"/>
                        </w:tcBorders>
                        <w:shd w:val="clear" w:color="auto" w:fill="CCE7D3"/>
                      </w:tcPr>
                      <w:p w14:paraId="72D49A12" w14:textId="77777777" w:rsidR="00080B77" w:rsidRDefault="00080B77">
                        <w:pPr>
                          <w:pStyle w:val="TableParagraph"/>
                          <w:rPr>
                            <w:rFonts w:ascii="Times New Roman"/>
                            <w:sz w:val="10"/>
                          </w:rPr>
                        </w:pPr>
                      </w:p>
                    </w:tc>
                  </w:tr>
                  <w:tr w:rsidR="00080B77" w14:paraId="612176D7" w14:textId="77777777">
                    <w:trPr>
                      <w:trHeight w:val="317"/>
                    </w:trPr>
                    <w:tc>
                      <w:tcPr>
                        <w:tcW w:w="861" w:type="dxa"/>
                        <w:gridSpan w:val="2"/>
                        <w:vMerge w:val="restart"/>
                        <w:tcBorders>
                          <w:top w:val="nil"/>
                          <w:bottom w:val="nil"/>
                          <w:right w:val="single" w:sz="6" w:space="0" w:color="231F20"/>
                        </w:tcBorders>
                      </w:tcPr>
                      <w:p w14:paraId="49D3942A"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54E7F6F5" w14:textId="77777777" w:rsidR="00080B77" w:rsidRDefault="00080B77">
                        <w:pPr>
                          <w:pStyle w:val="TableParagraph"/>
                          <w:spacing w:before="84"/>
                          <w:ind w:left="49" w:right="27"/>
                          <w:jc w:val="center"/>
                          <w:rPr>
                            <w:sz w:val="13"/>
                          </w:rPr>
                        </w:pPr>
                        <w:r>
                          <w:rPr>
                            <w:color w:val="231F20"/>
                            <w:sz w:val="13"/>
                          </w:rPr>
                          <w:t>8.4.4.a</w:t>
                        </w:r>
                      </w:p>
                    </w:tc>
                    <w:tc>
                      <w:tcPr>
                        <w:tcW w:w="4930" w:type="dxa"/>
                        <w:gridSpan w:val="2"/>
                        <w:tcBorders>
                          <w:top w:val="single" w:sz="6" w:space="0" w:color="231F20"/>
                          <w:left w:val="single" w:sz="6" w:space="0" w:color="231F20"/>
                          <w:bottom w:val="single" w:sz="6" w:space="0" w:color="231F20"/>
                          <w:right w:val="single" w:sz="6" w:space="0" w:color="231F20"/>
                        </w:tcBorders>
                      </w:tcPr>
                      <w:p w14:paraId="61F9FDD4" w14:textId="77777777" w:rsidR="00080B77" w:rsidRDefault="00080B77">
                        <w:pPr>
                          <w:pStyle w:val="TableParagraph"/>
                          <w:spacing w:before="1"/>
                          <w:ind w:left="25"/>
                          <w:rPr>
                            <w:sz w:val="13"/>
                          </w:rPr>
                        </w:pPr>
                        <w:r>
                          <w:rPr>
                            <w:color w:val="231F20"/>
                            <w:sz w:val="13"/>
                          </w:rPr>
                          <w:t>Identify</w:t>
                        </w:r>
                        <w:r>
                          <w:rPr>
                            <w:color w:val="231F20"/>
                            <w:spacing w:val="-22"/>
                            <w:sz w:val="13"/>
                          </w:rPr>
                          <w:t xml:space="preserve"> </w:t>
                        </w:r>
                        <w:r>
                          <w:rPr>
                            <w:color w:val="231F20"/>
                            <w:sz w:val="13"/>
                          </w:rPr>
                          <w:t>NGOs,</w:t>
                        </w:r>
                        <w:r>
                          <w:rPr>
                            <w:color w:val="231F20"/>
                            <w:spacing w:val="-21"/>
                            <w:sz w:val="13"/>
                          </w:rPr>
                          <w:t xml:space="preserve"> </w:t>
                        </w:r>
                        <w:r>
                          <w:rPr>
                            <w:color w:val="231F20"/>
                            <w:sz w:val="13"/>
                          </w:rPr>
                          <w:t>FBOs,</w:t>
                        </w:r>
                        <w:r>
                          <w:rPr>
                            <w:color w:val="231F20"/>
                            <w:spacing w:val="-21"/>
                            <w:sz w:val="13"/>
                          </w:rPr>
                          <w:t xml:space="preserve"> </w:t>
                        </w:r>
                        <w:r>
                          <w:rPr>
                            <w:color w:val="231F20"/>
                            <w:sz w:val="13"/>
                          </w:rPr>
                          <w:t>CBOs</w:t>
                        </w:r>
                        <w:r>
                          <w:rPr>
                            <w:color w:val="231F20"/>
                            <w:spacing w:val="-22"/>
                            <w:sz w:val="13"/>
                          </w:rPr>
                          <w:t xml:space="preserve"> </w:t>
                        </w:r>
                        <w:r>
                          <w:rPr>
                            <w:color w:val="231F20"/>
                            <w:sz w:val="13"/>
                          </w:rPr>
                          <w:t>and</w:t>
                        </w:r>
                        <w:r>
                          <w:rPr>
                            <w:color w:val="231F20"/>
                            <w:spacing w:val="-21"/>
                            <w:sz w:val="13"/>
                          </w:rPr>
                          <w:t xml:space="preserve"> </w:t>
                        </w:r>
                        <w:r>
                          <w:rPr>
                            <w:color w:val="231F20"/>
                            <w:sz w:val="13"/>
                          </w:rPr>
                          <w:t>related</w:t>
                        </w:r>
                        <w:r>
                          <w:rPr>
                            <w:color w:val="231F20"/>
                            <w:spacing w:val="-21"/>
                            <w:sz w:val="13"/>
                          </w:rPr>
                          <w:t xml:space="preserve"> </w:t>
                        </w:r>
                        <w:r>
                          <w:rPr>
                            <w:color w:val="231F20"/>
                            <w:sz w:val="13"/>
                          </w:rPr>
                          <w:t>partners</w:t>
                        </w:r>
                        <w:r>
                          <w:rPr>
                            <w:color w:val="231F20"/>
                            <w:spacing w:val="-22"/>
                            <w:sz w:val="13"/>
                          </w:rPr>
                          <w:t xml:space="preserve"> </w:t>
                        </w:r>
                        <w:r>
                          <w:rPr>
                            <w:color w:val="231F20"/>
                            <w:sz w:val="13"/>
                          </w:rPr>
                          <w:t>for</w:t>
                        </w:r>
                        <w:r>
                          <w:rPr>
                            <w:color w:val="231F20"/>
                            <w:spacing w:val="-21"/>
                            <w:sz w:val="13"/>
                          </w:rPr>
                          <w:t xml:space="preserve"> </w:t>
                        </w:r>
                        <w:r>
                          <w:rPr>
                            <w:color w:val="231F20"/>
                            <w:sz w:val="13"/>
                          </w:rPr>
                          <w:t>partnership</w:t>
                        </w:r>
                        <w:r>
                          <w:rPr>
                            <w:color w:val="231F20"/>
                            <w:spacing w:val="-21"/>
                            <w:sz w:val="13"/>
                          </w:rPr>
                          <w:t xml:space="preserve"> </w:t>
                        </w:r>
                        <w:r>
                          <w:rPr>
                            <w:color w:val="231F20"/>
                            <w:sz w:val="13"/>
                          </w:rPr>
                          <w:t>on</w:t>
                        </w:r>
                        <w:r>
                          <w:rPr>
                            <w:color w:val="231F20"/>
                            <w:spacing w:val="-22"/>
                            <w:sz w:val="13"/>
                          </w:rPr>
                          <w:t xml:space="preserve"> </w:t>
                        </w:r>
                        <w:r>
                          <w:rPr>
                            <w:color w:val="231F20"/>
                            <w:sz w:val="13"/>
                          </w:rPr>
                          <w:t>national</w:t>
                        </w:r>
                        <w:r>
                          <w:rPr>
                            <w:color w:val="231F20"/>
                            <w:spacing w:val="-21"/>
                            <w:sz w:val="13"/>
                          </w:rPr>
                          <w:t xml:space="preserve"> </w:t>
                        </w:r>
                        <w:r>
                          <w:rPr>
                            <w:color w:val="231F20"/>
                            <w:sz w:val="13"/>
                          </w:rPr>
                          <w:t>snakebite</w:t>
                        </w:r>
                      </w:p>
                      <w:p w14:paraId="4E8B8C46" w14:textId="77777777" w:rsidR="00080B77" w:rsidRDefault="00080B77">
                        <w:pPr>
                          <w:pStyle w:val="TableParagraph"/>
                          <w:spacing w:before="15" w:line="131" w:lineRule="exact"/>
                          <w:ind w:left="25"/>
                          <w:rPr>
                            <w:sz w:val="13"/>
                          </w:rPr>
                        </w:pPr>
                        <w:r>
                          <w:rPr>
                            <w:color w:val="231F20"/>
                            <w:sz w:val="13"/>
                          </w:rPr>
                          <w:t>response</w:t>
                        </w:r>
                      </w:p>
                    </w:tc>
                    <w:tc>
                      <w:tcPr>
                        <w:tcW w:w="1437" w:type="dxa"/>
                        <w:tcBorders>
                          <w:top w:val="single" w:sz="6" w:space="0" w:color="231F20"/>
                          <w:left w:val="single" w:sz="6" w:space="0" w:color="231F20"/>
                          <w:bottom w:val="single" w:sz="6" w:space="0" w:color="231F20"/>
                          <w:right w:val="single" w:sz="6" w:space="0" w:color="231F20"/>
                        </w:tcBorders>
                      </w:tcPr>
                      <w:p w14:paraId="5A914699" w14:textId="77777777" w:rsidR="00080B77" w:rsidRDefault="00080B77">
                        <w:pPr>
                          <w:pStyle w:val="TableParagraph"/>
                          <w:spacing w:before="84"/>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124E4E60" w14:textId="77777777" w:rsidR="00080B77" w:rsidRDefault="00080B77">
                        <w:pPr>
                          <w:pStyle w:val="TableParagraph"/>
                          <w:spacing w:before="84"/>
                          <w:ind w:left="26"/>
                          <w:rPr>
                            <w:sz w:val="13"/>
                          </w:rPr>
                        </w:pPr>
                        <w:r>
                          <w:rPr>
                            <w:color w:val="231F20"/>
                            <w:sz w:val="13"/>
                          </w:rPr>
                          <w:t>Costed in 8.4.2c</w:t>
                        </w:r>
                      </w:p>
                    </w:tc>
                  </w:tr>
                  <w:tr w:rsidR="00080B77" w14:paraId="223AD2A9" w14:textId="77777777">
                    <w:trPr>
                      <w:trHeight w:val="304"/>
                    </w:trPr>
                    <w:tc>
                      <w:tcPr>
                        <w:tcW w:w="861" w:type="dxa"/>
                        <w:gridSpan w:val="2"/>
                        <w:vMerge/>
                        <w:tcBorders>
                          <w:top w:val="nil"/>
                          <w:bottom w:val="nil"/>
                          <w:right w:val="single" w:sz="6" w:space="0" w:color="231F20"/>
                        </w:tcBorders>
                      </w:tcPr>
                      <w:p w14:paraId="5BD8F843"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2DB8FA3B" w14:textId="77777777" w:rsidR="00080B77" w:rsidRDefault="00080B77">
                        <w:pPr>
                          <w:pStyle w:val="TableParagraph"/>
                          <w:spacing w:before="79"/>
                          <w:ind w:left="49" w:right="27"/>
                          <w:jc w:val="center"/>
                          <w:rPr>
                            <w:sz w:val="13"/>
                          </w:rPr>
                        </w:pPr>
                        <w:r>
                          <w:rPr>
                            <w:color w:val="231F20"/>
                            <w:sz w:val="13"/>
                          </w:rPr>
                          <w:t>8.4.4.b</w:t>
                        </w:r>
                      </w:p>
                    </w:tc>
                    <w:tc>
                      <w:tcPr>
                        <w:tcW w:w="4930" w:type="dxa"/>
                        <w:gridSpan w:val="2"/>
                        <w:tcBorders>
                          <w:top w:val="single" w:sz="6" w:space="0" w:color="231F20"/>
                          <w:left w:val="single" w:sz="6" w:space="0" w:color="231F20"/>
                          <w:bottom w:val="single" w:sz="6" w:space="0" w:color="231F20"/>
                          <w:right w:val="single" w:sz="6" w:space="0" w:color="231F20"/>
                        </w:tcBorders>
                      </w:tcPr>
                      <w:p w14:paraId="2C6485BF" w14:textId="77777777" w:rsidR="00080B77" w:rsidRDefault="00080B77">
                        <w:pPr>
                          <w:pStyle w:val="TableParagraph"/>
                          <w:spacing w:before="74"/>
                          <w:ind w:left="25"/>
                          <w:rPr>
                            <w:sz w:val="13"/>
                          </w:rPr>
                        </w:pPr>
                        <w:r>
                          <w:rPr>
                            <w:color w:val="231F20"/>
                            <w:sz w:val="13"/>
                          </w:rPr>
                          <w:t>Conduct advocacies to identified partners for partnership negotiations</w:t>
                        </w:r>
                      </w:p>
                    </w:tc>
                    <w:tc>
                      <w:tcPr>
                        <w:tcW w:w="1437" w:type="dxa"/>
                        <w:tcBorders>
                          <w:top w:val="single" w:sz="6" w:space="0" w:color="231F20"/>
                          <w:left w:val="single" w:sz="6" w:space="0" w:color="231F20"/>
                          <w:bottom w:val="single" w:sz="6" w:space="0" w:color="231F20"/>
                          <w:right w:val="single" w:sz="6" w:space="0" w:color="231F20"/>
                        </w:tcBorders>
                      </w:tcPr>
                      <w:p w14:paraId="276BC1D6" w14:textId="77777777" w:rsidR="00080B77" w:rsidRDefault="00080B77">
                        <w:pPr>
                          <w:pStyle w:val="TableParagraph"/>
                          <w:spacing w:before="79"/>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6BF7F339" w14:textId="77777777" w:rsidR="00080B77" w:rsidRDefault="00080B77">
                        <w:pPr>
                          <w:pStyle w:val="TableParagraph"/>
                          <w:spacing w:before="79"/>
                          <w:ind w:left="26"/>
                          <w:rPr>
                            <w:sz w:val="13"/>
                          </w:rPr>
                        </w:pPr>
                        <w:r>
                          <w:rPr>
                            <w:color w:val="231F20"/>
                            <w:sz w:val="13"/>
                          </w:rPr>
                          <w:t>Costed in 8.4.2c</w:t>
                        </w:r>
                      </w:p>
                    </w:tc>
                  </w:tr>
                  <w:tr w:rsidR="00080B77" w14:paraId="5330F898" w14:textId="77777777">
                    <w:trPr>
                      <w:trHeight w:val="907"/>
                    </w:trPr>
                    <w:tc>
                      <w:tcPr>
                        <w:tcW w:w="403" w:type="dxa"/>
                        <w:tcBorders>
                          <w:top w:val="nil"/>
                          <w:bottom w:val="nil"/>
                          <w:right w:val="single" w:sz="6" w:space="0" w:color="231F20"/>
                        </w:tcBorders>
                      </w:tcPr>
                      <w:p w14:paraId="45B06819" w14:textId="77777777" w:rsidR="00080B77" w:rsidRDefault="00080B77">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1B966498" w14:textId="77777777" w:rsidR="00080B77" w:rsidRDefault="00080B77">
                        <w:pPr>
                          <w:pStyle w:val="TableParagraph"/>
                          <w:rPr>
                            <w:sz w:val="12"/>
                          </w:rPr>
                        </w:pPr>
                      </w:p>
                      <w:p w14:paraId="739DE911" w14:textId="77777777" w:rsidR="00080B77" w:rsidRDefault="00080B77">
                        <w:pPr>
                          <w:pStyle w:val="TableParagraph"/>
                          <w:rPr>
                            <w:sz w:val="12"/>
                          </w:rPr>
                        </w:pPr>
                      </w:p>
                      <w:p w14:paraId="0C0326D1" w14:textId="77777777" w:rsidR="00080B77" w:rsidRDefault="00080B77">
                        <w:pPr>
                          <w:pStyle w:val="TableParagraph"/>
                          <w:spacing w:before="104"/>
                          <w:ind w:left="59"/>
                          <w:rPr>
                            <w:sz w:val="13"/>
                          </w:rPr>
                        </w:pPr>
                        <w:r>
                          <w:rPr>
                            <w:color w:val="231F20"/>
                            <w:sz w:val="13"/>
                          </w:rPr>
                          <w:t>8.4.5</w:t>
                        </w:r>
                      </w:p>
                    </w:tc>
                    <w:tc>
                      <w:tcPr>
                        <w:tcW w:w="3059" w:type="dxa"/>
                        <w:gridSpan w:val="2"/>
                        <w:tcBorders>
                          <w:top w:val="single" w:sz="6" w:space="0" w:color="231F20"/>
                          <w:left w:val="single" w:sz="6" w:space="0" w:color="231F20"/>
                          <w:bottom w:val="single" w:sz="6" w:space="0" w:color="231F20"/>
                          <w:right w:val="single" w:sz="6" w:space="0" w:color="231F20"/>
                        </w:tcBorders>
                        <w:shd w:val="clear" w:color="auto" w:fill="CCE7D3"/>
                      </w:tcPr>
                      <w:p w14:paraId="6FF4DA4B" w14:textId="77777777" w:rsidR="00080B77" w:rsidRDefault="00080B77">
                        <w:pPr>
                          <w:pStyle w:val="TableParagraph"/>
                          <w:rPr>
                            <w:sz w:val="12"/>
                          </w:rPr>
                        </w:pPr>
                      </w:p>
                      <w:p w14:paraId="1F675C32" w14:textId="77777777" w:rsidR="00080B77" w:rsidRDefault="00080B77">
                        <w:pPr>
                          <w:pStyle w:val="TableParagraph"/>
                          <w:spacing w:before="4"/>
                          <w:rPr>
                            <w:sz w:val="13"/>
                          </w:rPr>
                        </w:pPr>
                      </w:p>
                      <w:p w14:paraId="5B48A1D6" w14:textId="77777777" w:rsidR="00080B77" w:rsidRDefault="00080B77">
                        <w:pPr>
                          <w:pStyle w:val="TableParagraph"/>
                          <w:spacing w:line="264" w:lineRule="auto"/>
                          <w:ind w:left="26" w:right="97" w:firstLine="33"/>
                          <w:rPr>
                            <w:sz w:val="13"/>
                          </w:rPr>
                        </w:pPr>
                        <w:r>
                          <w:rPr>
                            <w:color w:val="231F20"/>
                            <w:w w:val="95"/>
                            <w:sz w:val="13"/>
                          </w:rPr>
                          <w:t xml:space="preserve">Scale up generation of local evidence to inform </w:t>
                        </w:r>
                        <w:r>
                          <w:rPr>
                            <w:color w:val="231F20"/>
                            <w:spacing w:val="-4"/>
                            <w:w w:val="95"/>
                            <w:sz w:val="13"/>
                          </w:rPr>
                          <w:t xml:space="preserve">more </w:t>
                        </w:r>
                        <w:r>
                          <w:rPr>
                            <w:color w:val="231F20"/>
                            <w:sz w:val="13"/>
                          </w:rPr>
                          <w:t>responsive snakebite programming</w:t>
                        </w:r>
                      </w:p>
                    </w:tc>
                    <w:tc>
                      <w:tcPr>
                        <w:tcW w:w="2401" w:type="dxa"/>
                        <w:tcBorders>
                          <w:top w:val="single" w:sz="6" w:space="0" w:color="231F20"/>
                          <w:left w:val="single" w:sz="6" w:space="0" w:color="231F20"/>
                          <w:bottom w:val="single" w:sz="6" w:space="0" w:color="231F20"/>
                          <w:right w:val="single" w:sz="6" w:space="0" w:color="231F20"/>
                        </w:tcBorders>
                        <w:shd w:val="clear" w:color="auto" w:fill="CCE7D3"/>
                      </w:tcPr>
                      <w:p w14:paraId="0C756703" w14:textId="77777777" w:rsidR="00080B77" w:rsidRDefault="00080B77">
                        <w:pPr>
                          <w:pStyle w:val="TableParagraph"/>
                          <w:numPr>
                            <w:ilvl w:val="0"/>
                            <w:numId w:val="79"/>
                          </w:numPr>
                          <w:tabs>
                            <w:tab w:val="left" w:pos="101"/>
                          </w:tabs>
                          <w:spacing w:before="1" w:line="264" w:lineRule="auto"/>
                          <w:ind w:right="282" w:firstLine="0"/>
                          <w:rPr>
                            <w:sz w:val="13"/>
                          </w:rPr>
                        </w:pPr>
                        <w:r>
                          <w:rPr>
                            <w:color w:val="231F20"/>
                            <w:w w:val="95"/>
                            <w:sz w:val="13"/>
                          </w:rPr>
                          <w:t>Quarterly</w:t>
                        </w:r>
                        <w:r>
                          <w:rPr>
                            <w:color w:val="231F20"/>
                            <w:spacing w:val="-16"/>
                            <w:w w:val="95"/>
                            <w:sz w:val="13"/>
                          </w:rPr>
                          <w:t xml:space="preserve"> </w:t>
                        </w:r>
                        <w:r>
                          <w:rPr>
                            <w:color w:val="231F20"/>
                            <w:w w:val="95"/>
                            <w:sz w:val="13"/>
                          </w:rPr>
                          <w:t>data</w:t>
                        </w:r>
                        <w:r>
                          <w:rPr>
                            <w:color w:val="231F20"/>
                            <w:spacing w:val="-15"/>
                            <w:w w:val="95"/>
                            <w:sz w:val="13"/>
                          </w:rPr>
                          <w:t xml:space="preserve"> </w:t>
                        </w:r>
                        <w:r>
                          <w:rPr>
                            <w:color w:val="231F20"/>
                            <w:w w:val="95"/>
                            <w:sz w:val="13"/>
                          </w:rPr>
                          <w:t>quality</w:t>
                        </w:r>
                        <w:r>
                          <w:rPr>
                            <w:color w:val="231F20"/>
                            <w:spacing w:val="-16"/>
                            <w:w w:val="95"/>
                            <w:sz w:val="13"/>
                          </w:rPr>
                          <w:t xml:space="preserve"> </w:t>
                        </w:r>
                        <w:r>
                          <w:rPr>
                            <w:color w:val="231F20"/>
                            <w:w w:val="95"/>
                            <w:sz w:val="13"/>
                          </w:rPr>
                          <w:t>assessments</w:t>
                        </w:r>
                        <w:r>
                          <w:rPr>
                            <w:color w:val="231F20"/>
                            <w:spacing w:val="-15"/>
                            <w:w w:val="95"/>
                            <w:sz w:val="13"/>
                          </w:rPr>
                          <w:t xml:space="preserve"> </w:t>
                        </w:r>
                        <w:r>
                          <w:rPr>
                            <w:color w:val="231F20"/>
                            <w:spacing w:val="-6"/>
                            <w:w w:val="95"/>
                            <w:sz w:val="13"/>
                          </w:rPr>
                          <w:t xml:space="preserve">of </w:t>
                        </w:r>
                        <w:r>
                          <w:rPr>
                            <w:color w:val="231F20"/>
                            <w:sz w:val="13"/>
                          </w:rPr>
                          <w:t xml:space="preserve">snakebite </w:t>
                        </w:r>
                        <w:proofErr w:type="spellStart"/>
                        <w:r>
                          <w:rPr>
                            <w:color w:val="231F20"/>
                            <w:sz w:val="13"/>
                          </w:rPr>
                          <w:t>programmes</w:t>
                        </w:r>
                        <w:proofErr w:type="spellEnd"/>
                        <w:r>
                          <w:rPr>
                            <w:color w:val="231F20"/>
                            <w:spacing w:val="-20"/>
                            <w:sz w:val="13"/>
                          </w:rPr>
                          <w:t xml:space="preserve"> </w:t>
                        </w:r>
                        <w:r>
                          <w:rPr>
                            <w:color w:val="231F20"/>
                            <w:sz w:val="13"/>
                          </w:rPr>
                          <w:t>done</w:t>
                        </w:r>
                      </w:p>
                      <w:p w14:paraId="0EFD9085" w14:textId="77777777" w:rsidR="00080B77" w:rsidRDefault="00080B77">
                        <w:pPr>
                          <w:pStyle w:val="TableParagraph"/>
                          <w:numPr>
                            <w:ilvl w:val="0"/>
                            <w:numId w:val="79"/>
                          </w:numPr>
                          <w:tabs>
                            <w:tab w:val="left" w:pos="69"/>
                          </w:tabs>
                          <w:spacing w:before="1" w:line="264" w:lineRule="auto"/>
                          <w:ind w:right="51" w:firstLine="0"/>
                          <w:rPr>
                            <w:sz w:val="13"/>
                          </w:rPr>
                        </w:pPr>
                        <w:r>
                          <w:rPr>
                            <w:color w:val="231F20"/>
                            <w:sz w:val="13"/>
                          </w:rPr>
                          <w:t xml:space="preserve">Monthly surveillance held and reporting </w:t>
                        </w:r>
                        <w:r>
                          <w:rPr>
                            <w:color w:val="231F20"/>
                            <w:w w:val="95"/>
                            <w:sz w:val="13"/>
                          </w:rPr>
                          <w:t>systems</w:t>
                        </w:r>
                        <w:r>
                          <w:rPr>
                            <w:color w:val="231F20"/>
                            <w:spacing w:val="-11"/>
                            <w:w w:val="95"/>
                            <w:sz w:val="13"/>
                          </w:rPr>
                          <w:t xml:space="preserve"> </w:t>
                        </w:r>
                        <w:r>
                          <w:rPr>
                            <w:color w:val="231F20"/>
                            <w:w w:val="95"/>
                            <w:sz w:val="13"/>
                          </w:rPr>
                          <w:t>for</w:t>
                        </w:r>
                        <w:r>
                          <w:rPr>
                            <w:color w:val="231F20"/>
                            <w:spacing w:val="-10"/>
                            <w:w w:val="95"/>
                            <w:sz w:val="13"/>
                          </w:rPr>
                          <w:t xml:space="preserve"> </w:t>
                        </w:r>
                        <w:r>
                          <w:rPr>
                            <w:color w:val="231F20"/>
                            <w:w w:val="95"/>
                            <w:sz w:val="13"/>
                          </w:rPr>
                          <w:t>data</w:t>
                        </w:r>
                        <w:r>
                          <w:rPr>
                            <w:color w:val="231F20"/>
                            <w:spacing w:val="-10"/>
                            <w:w w:val="95"/>
                            <w:sz w:val="13"/>
                          </w:rPr>
                          <w:t xml:space="preserve"> </w:t>
                        </w:r>
                        <w:r>
                          <w:rPr>
                            <w:color w:val="231F20"/>
                            <w:w w:val="95"/>
                            <w:sz w:val="13"/>
                          </w:rPr>
                          <w:t>developed</w:t>
                        </w:r>
                        <w:r>
                          <w:rPr>
                            <w:color w:val="231F20"/>
                            <w:spacing w:val="-10"/>
                            <w:w w:val="95"/>
                            <w:sz w:val="13"/>
                          </w:rPr>
                          <w:t xml:space="preserve"> </w:t>
                        </w:r>
                        <w:r>
                          <w:rPr>
                            <w:color w:val="231F20"/>
                            <w:w w:val="95"/>
                            <w:sz w:val="13"/>
                          </w:rPr>
                          <w:t>&amp;</w:t>
                        </w:r>
                        <w:r>
                          <w:rPr>
                            <w:color w:val="231F20"/>
                            <w:spacing w:val="-11"/>
                            <w:w w:val="95"/>
                            <w:sz w:val="13"/>
                          </w:rPr>
                          <w:t xml:space="preserve"> </w:t>
                        </w:r>
                        <w:r>
                          <w:rPr>
                            <w:color w:val="231F20"/>
                            <w:w w:val="95"/>
                            <w:sz w:val="13"/>
                          </w:rPr>
                          <w:t>data</w:t>
                        </w:r>
                        <w:r>
                          <w:rPr>
                            <w:color w:val="231F20"/>
                            <w:spacing w:val="-10"/>
                            <w:w w:val="95"/>
                            <w:sz w:val="13"/>
                          </w:rPr>
                          <w:t xml:space="preserve"> </w:t>
                        </w:r>
                        <w:r>
                          <w:rPr>
                            <w:color w:val="231F20"/>
                            <w:w w:val="95"/>
                            <w:sz w:val="13"/>
                          </w:rPr>
                          <w:t>used</w:t>
                        </w:r>
                        <w:r>
                          <w:rPr>
                            <w:color w:val="231F20"/>
                            <w:spacing w:val="-10"/>
                            <w:w w:val="95"/>
                            <w:sz w:val="13"/>
                          </w:rPr>
                          <w:t xml:space="preserve"> </w:t>
                        </w:r>
                        <w:r>
                          <w:rPr>
                            <w:color w:val="231F20"/>
                            <w:spacing w:val="-5"/>
                            <w:w w:val="95"/>
                            <w:sz w:val="13"/>
                          </w:rPr>
                          <w:t xml:space="preserve">for </w:t>
                        </w:r>
                        <w:r>
                          <w:rPr>
                            <w:color w:val="231F20"/>
                            <w:sz w:val="13"/>
                          </w:rPr>
                          <w:t>resource</w:t>
                        </w:r>
                        <w:r>
                          <w:rPr>
                            <w:color w:val="231F20"/>
                            <w:spacing w:val="-13"/>
                            <w:sz w:val="13"/>
                          </w:rPr>
                          <w:t xml:space="preserve"> </w:t>
                        </w:r>
                        <w:r>
                          <w:rPr>
                            <w:color w:val="231F20"/>
                            <w:sz w:val="13"/>
                          </w:rPr>
                          <w:t>allocation</w:t>
                        </w:r>
                        <w:r>
                          <w:rPr>
                            <w:color w:val="231F20"/>
                            <w:spacing w:val="-12"/>
                            <w:sz w:val="13"/>
                          </w:rPr>
                          <w:t xml:space="preserve"> </w:t>
                        </w:r>
                        <w:r>
                          <w:rPr>
                            <w:color w:val="231F20"/>
                            <w:sz w:val="13"/>
                          </w:rPr>
                          <w:t>and</w:t>
                        </w:r>
                        <w:r>
                          <w:rPr>
                            <w:color w:val="231F20"/>
                            <w:spacing w:val="-12"/>
                            <w:sz w:val="13"/>
                          </w:rPr>
                          <w:t xml:space="preserve"> </w:t>
                        </w:r>
                        <w:r>
                          <w:rPr>
                            <w:color w:val="231F20"/>
                            <w:sz w:val="13"/>
                          </w:rPr>
                          <w:t>distribution</w:t>
                        </w:r>
                      </w:p>
                    </w:tc>
                    <w:tc>
                      <w:tcPr>
                        <w:tcW w:w="1437" w:type="dxa"/>
                        <w:tcBorders>
                          <w:top w:val="single" w:sz="6" w:space="0" w:color="231F20"/>
                          <w:left w:val="single" w:sz="6" w:space="0" w:color="231F20"/>
                          <w:bottom w:val="single" w:sz="6" w:space="0" w:color="231F20"/>
                          <w:right w:val="single" w:sz="6" w:space="0" w:color="231F20"/>
                        </w:tcBorders>
                        <w:shd w:val="clear" w:color="auto" w:fill="CCE7D3"/>
                      </w:tcPr>
                      <w:p w14:paraId="309DFB29" w14:textId="77777777" w:rsidR="00080B77" w:rsidRDefault="00080B77">
                        <w:pPr>
                          <w:pStyle w:val="TableParagraph"/>
                          <w:rPr>
                            <w:rFonts w:ascii="Times New Roman"/>
                            <w:sz w:val="10"/>
                          </w:rPr>
                        </w:pPr>
                      </w:p>
                    </w:tc>
                    <w:tc>
                      <w:tcPr>
                        <w:tcW w:w="1516" w:type="dxa"/>
                        <w:tcBorders>
                          <w:top w:val="single" w:sz="6" w:space="0" w:color="231F20"/>
                          <w:left w:val="single" w:sz="6" w:space="0" w:color="231F20"/>
                          <w:bottom w:val="single" w:sz="6" w:space="0" w:color="231F20"/>
                          <w:right w:val="single" w:sz="6" w:space="0" w:color="231F20"/>
                        </w:tcBorders>
                        <w:shd w:val="clear" w:color="auto" w:fill="CCE7D3"/>
                      </w:tcPr>
                      <w:p w14:paraId="37B91A41" w14:textId="77777777" w:rsidR="00080B77" w:rsidRDefault="00080B77">
                        <w:pPr>
                          <w:pStyle w:val="TableParagraph"/>
                          <w:rPr>
                            <w:rFonts w:ascii="Times New Roman"/>
                            <w:sz w:val="10"/>
                          </w:rPr>
                        </w:pPr>
                      </w:p>
                    </w:tc>
                  </w:tr>
                  <w:tr w:rsidR="00080B77" w14:paraId="4F5251D2" w14:textId="77777777">
                    <w:trPr>
                      <w:trHeight w:val="317"/>
                    </w:trPr>
                    <w:tc>
                      <w:tcPr>
                        <w:tcW w:w="861" w:type="dxa"/>
                        <w:gridSpan w:val="2"/>
                        <w:vMerge w:val="restart"/>
                        <w:tcBorders>
                          <w:top w:val="nil"/>
                          <w:bottom w:val="nil"/>
                          <w:right w:val="single" w:sz="6" w:space="0" w:color="231F20"/>
                        </w:tcBorders>
                      </w:tcPr>
                      <w:p w14:paraId="18BDB5EA"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40F88B8E" w14:textId="77777777" w:rsidR="00080B77" w:rsidRDefault="00080B77">
                        <w:pPr>
                          <w:pStyle w:val="TableParagraph"/>
                          <w:spacing w:before="84"/>
                          <w:ind w:left="49" w:right="27"/>
                          <w:jc w:val="center"/>
                          <w:rPr>
                            <w:sz w:val="13"/>
                          </w:rPr>
                        </w:pPr>
                        <w:r>
                          <w:rPr>
                            <w:color w:val="231F20"/>
                            <w:sz w:val="13"/>
                          </w:rPr>
                          <w:t>8.4.5.a</w:t>
                        </w:r>
                      </w:p>
                    </w:tc>
                    <w:tc>
                      <w:tcPr>
                        <w:tcW w:w="4930" w:type="dxa"/>
                        <w:gridSpan w:val="2"/>
                        <w:tcBorders>
                          <w:top w:val="single" w:sz="6" w:space="0" w:color="231F20"/>
                          <w:left w:val="single" w:sz="6" w:space="0" w:color="231F20"/>
                          <w:bottom w:val="single" w:sz="6" w:space="0" w:color="231F20"/>
                          <w:right w:val="single" w:sz="6" w:space="0" w:color="231F20"/>
                        </w:tcBorders>
                      </w:tcPr>
                      <w:p w14:paraId="1A0E8D3F" w14:textId="77777777" w:rsidR="00080B77" w:rsidRDefault="00080B77">
                        <w:pPr>
                          <w:pStyle w:val="TableParagraph"/>
                          <w:spacing w:before="79"/>
                          <w:ind w:left="25"/>
                          <w:rPr>
                            <w:sz w:val="13"/>
                          </w:rPr>
                        </w:pPr>
                        <w:r>
                          <w:rPr>
                            <w:color w:val="231F20"/>
                            <w:sz w:val="13"/>
                          </w:rPr>
                          <w:t xml:space="preserve">Conduct periodic data quality assessments of snakebite </w:t>
                        </w:r>
                        <w:proofErr w:type="spellStart"/>
                        <w:r>
                          <w:rPr>
                            <w:color w:val="231F20"/>
                            <w:sz w:val="13"/>
                          </w:rPr>
                          <w:t>programmes</w:t>
                        </w:r>
                        <w:proofErr w:type="spellEnd"/>
                      </w:p>
                    </w:tc>
                    <w:tc>
                      <w:tcPr>
                        <w:tcW w:w="1437" w:type="dxa"/>
                        <w:tcBorders>
                          <w:top w:val="single" w:sz="6" w:space="0" w:color="231F20"/>
                          <w:left w:val="single" w:sz="6" w:space="0" w:color="231F20"/>
                          <w:bottom w:val="single" w:sz="6" w:space="0" w:color="231F20"/>
                          <w:right w:val="single" w:sz="6" w:space="0" w:color="231F20"/>
                        </w:tcBorders>
                      </w:tcPr>
                      <w:p w14:paraId="3B4D6861" w14:textId="77777777" w:rsidR="00080B77" w:rsidRDefault="00080B77">
                        <w:pPr>
                          <w:pStyle w:val="TableParagraph"/>
                          <w:spacing w:before="84"/>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23AA1773" w14:textId="77777777" w:rsidR="00080B77" w:rsidRDefault="00080B77">
                        <w:pPr>
                          <w:pStyle w:val="TableParagraph"/>
                          <w:spacing w:before="84"/>
                          <w:ind w:left="26"/>
                          <w:rPr>
                            <w:sz w:val="13"/>
                          </w:rPr>
                        </w:pPr>
                        <w:r>
                          <w:rPr>
                            <w:color w:val="231F20"/>
                            <w:w w:val="95"/>
                            <w:sz w:val="13"/>
                          </w:rPr>
                          <w:t>Conduct</w:t>
                        </w:r>
                        <w:r>
                          <w:rPr>
                            <w:color w:val="231F20"/>
                            <w:spacing w:val="-17"/>
                            <w:w w:val="95"/>
                            <w:sz w:val="13"/>
                          </w:rPr>
                          <w:t xml:space="preserve"> </w:t>
                        </w:r>
                        <w:r>
                          <w:rPr>
                            <w:color w:val="231F20"/>
                            <w:w w:val="95"/>
                            <w:sz w:val="13"/>
                          </w:rPr>
                          <w:t>data</w:t>
                        </w:r>
                        <w:r>
                          <w:rPr>
                            <w:color w:val="231F20"/>
                            <w:spacing w:val="-17"/>
                            <w:w w:val="95"/>
                            <w:sz w:val="13"/>
                          </w:rPr>
                          <w:t xml:space="preserve"> </w:t>
                        </w:r>
                        <w:r>
                          <w:rPr>
                            <w:color w:val="231F20"/>
                            <w:w w:val="95"/>
                            <w:sz w:val="13"/>
                          </w:rPr>
                          <w:t>assessments</w:t>
                        </w:r>
                      </w:p>
                    </w:tc>
                  </w:tr>
                  <w:tr w:rsidR="00080B77" w14:paraId="67498CF8" w14:textId="77777777">
                    <w:trPr>
                      <w:trHeight w:val="304"/>
                    </w:trPr>
                    <w:tc>
                      <w:tcPr>
                        <w:tcW w:w="861" w:type="dxa"/>
                        <w:gridSpan w:val="2"/>
                        <w:vMerge/>
                        <w:tcBorders>
                          <w:top w:val="nil"/>
                          <w:bottom w:val="nil"/>
                          <w:right w:val="single" w:sz="6" w:space="0" w:color="231F20"/>
                        </w:tcBorders>
                      </w:tcPr>
                      <w:p w14:paraId="2419C43A"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0B899DDF" w14:textId="77777777" w:rsidR="00080B77" w:rsidRDefault="00080B77">
                        <w:pPr>
                          <w:pStyle w:val="TableParagraph"/>
                          <w:spacing w:before="79"/>
                          <w:ind w:left="49" w:right="27"/>
                          <w:jc w:val="center"/>
                          <w:rPr>
                            <w:sz w:val="13"/>
                          </w:rPr>
                        </w:pPr>
                        <w:r>
                          <w:rPr>
                            <w:color w:val="231F20"/>
                            <w:sz w:val="13"/>
                          </w:rPr>
                          <w:t>8.4.5.b</w:t>
                        </w:r>
                      </w:p>
                    </w:tc>
                    <w:tc>
                      <w:tcPr>
                        <w:tcW w:w="4930" w:type="dxa"/>
                        <w:gridSpan w:val="2"/>
                        <w:tcBorders>
                          <w:top w:val="single" w:sz="6" w:space="0" w:color="231F20"/>
                          <w:left w:val="single" w:sz="6" w:space="0" w:color="231F20"/>
                          <w:bottom w:val="single" w:sz="6" w:space="0" w:color="231F20"/>
                          <w:right w:val="single" w:sz="6" w:space="0" w:color="231F20"/>
                        </w:tcBorders>
                      </w:tcPr>
                      <w:p w14:paraId="397A1B5A" w14:textId="6E70B576" w:rsidR="00080B77" w:rsidRDefault="00080B77">
                        <w:pPr>
                          <w:pStyle w:val="TableParagraph"/>
                          <w:spacing w:before="1"/>
                          <w:ind w:left="25"/>
                          <w:rPr>
                            <w:sz w:val="13"/>
                          </w:rPr>
                        </w:pPr>
                        <w:r>
                          <w:rPr>
                            <w:color w:val="231F20"/>
                            <w:w w:val="95"/>
                            <w:sz w:val="13"/>
                          </w:rPr>
                          <w:t>Initiate surveillance and reporting systems for snakebite and conduct regular surveillance.</w:t>
                        </w:r>
                      </w:p>
                      <w:p w14:paraId="1C780D09" w14:textId="77777777" w:rsidR="00080B77" w:rsidRDefault="00080B77">
                        <w:pPr>
                          <w:pStyle w:val="TableParagraph"/>
                          <w:spacing w:before="15" w:line="119" w:lineRule="exact"/>
                          <w:ind w:left="25"/>
                          <w:rPr>
                            <w:sz w:val="13"/>
                          </w:rPr>
                        </w:pPr>
                        <w:r>
                          <w:rPr>
                            <w:color w:val="231F20"/>
                            <w:sz w:val="13"/>
                          </w:rPr>
                          <w:t>Data to be used for resource allocation and distribution</w:t>
                        </w:r>
                      </w:p>
                    </w:tc>
                    <w:tc>
                      <w:tcPr>
                        <w:tcW w:w="1437" w:type="dxa"/>
                        <w:tcBorders>
                          <w:top w:val="single" w:sz="6" w:space="0" w:color="231F20"/>
                          <w:left w:val="single" w:sz="6" w:space="0" w:color="231F20"/>
                          <w:bottom w:val="single" w:sz="6" w:space="0" w:color="231F20"/>
                          <w:right w:val="single" w:sz="6" w:space="0" w:color="231F20"/>
                        </w:tcBorders>
                      </w:tcPr>
                      <w:p w14:paraId="4498D4BB" w14:textId="77777777" w:rsidR="00080B77" w:rsidRDefault="00080B77">
                        <w:pPr>
                          <w:pStyle w:val="TableParagraph"/>
                          <w:spacing w:before="79"/>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3625E832" w14:textId="77777777" w:rsidR="00080B77" w:rsidRDefault="00080B77">
                        <w:pPr>
                          <w:pStyle w:val="TableParagraph"/>
                          <w:spacing w:before="79"/>
                          <w:ind w:left="26"/>
                          <w:rPr>
                            <w:sz w:val="13"/>
                          </w:rPr>
                        </w:pPr>
                        <w:r>
                          <w:rPr>
                            <w:color w:val="231F20"/>
                            <w:sz w:val="13"/>
                          </w:rPr>
                          <w:t>Initiate surveillance</w:t>
                        </w:r>
                      </w:p>
                    </w:tc>
                  </w:tr>
                  <w:tr w:rsidR="00080B77" w14:paraId="467F2348" w14:textId="77777777">
                    <w:trPr>
                      <w:trHeight w:val="1337"/>
                    </w:trPr>
                    <w:tc>
                      <w:tcPr>
                        <w:tcW w:w="403" w:type="dxa"/>
                        <w:tcBorders>
                          <w:top w:val="nil"/>
                          <w:bottom w:val="nil"/>
                          <w:right w:val="single" w:sz="6" w:space="0" w:color="231F20"/>
                        </w:tcBorders>
                      </w:tcPr>
                      <w:p w14:paraId="0BB1F8E3" w14:textId="77777777" w:rsidR="00080B77" w:rsidRDefault="00080B77">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45A5DA6E" w14:textId="77777777" w:rsidR="00080B77" w:rsidRDefault="00080B77">
                        <w:pPr>
                          <w:pStyle w:val="TableParagraph"/>
                          <w:rPr>
                            <w:sz w:val="12"/>
                          </w:rPr>
                        </w:pPr>
                      </w:p>
                      <w:p w14:paraId="06B9901F" w14:textId="77777777" w:rsidR="00080B77" w:rsidRDefault="00080B77">
                        <w:pPr>
                          <w:pStyle w:val="TableParagraph"/>
                          <w:rPr>
                            <w:sz w:val="12"/>
                          </w:rPr>
                        </w:pPr>
                      </w:p>
                      <w:p w14:paraId="17DAA6CB" w14:textId="77777777" w:rsidR="00080B77" w:rsidRDefault="00080B77">
                        <w:pPr>
                          <w:pStyle w:val="TableParagraph"/>
                          <w:rPr>
                            <w:sz w:val="12"/>
                          </w:rPr>
                        </w:pPr>
                      </w:p>
                      <w:p w14:paraId="3A3D6FB2" w14:textId="77777777" w:rsidR="00080B77" w:rsidRDefault="00080B77">
                        <w:pPr>
                          <w:pStyle w:val="TableParagraph"/>
                          <w:spacing w:before="8"/>
                          <w:rPr>
                            <w:sz w:val="15"/>
                          </w:rPr>
                        </w:pPr>
                      </w:p>
                      <w:p w14:paraId="61F2D11C" w14:textId="77777777" w:rsidR="00080B77" w:rsidRDefault="00080B77">
                        <w:pPr>
                          <w:pStyle w:val="TableParagraph"/>
                          <w:ind w:left="59"/>
                          <w:rPr>
                            <w:sz w:val="13"/>
                          </w:rPr>
                        </w:pPr>
                        <w:r>
                          <w:rPr>
                            <w:color w:val="231F20"/>
                            <w:sz w:val="13"/>
                          </w:rPr>
                          <w:t>8.4.6</w:t>
                        </w:r>
                      </w:p>
                    </w:tc>
                    <w:tc>
                      <w:tcPr>
                        <w:tcW w:w="3059" w:type="dxa"/>
                        <w:gridSpan w:val="2"/>
                        <w:tcBorders>
                          <w:top w:val="single" w:sz="6" w:space="0" w:color="231F20"/>
                          <w:left w:val="single" w:sz="6" w:space="0" w:color="231F20"/>
                          <w:bottom w:val="single" w:sz="6" w:space="0" w:color="231F20"/>
                          <w:right w:val="single" w:sz="6" w:space="0" w:color="231F20"/>
                        </w:tcBorders>
                        <w:shd w:val="clear" w:color="auto" w:fill="CCE7D3"/>
                      </w:tcPr>
                      <w:p w14:paraId="3B4D0A05" w14:textId="77777777" w:rsidR="00080B77" w:rsidRDefault="00080B77">
                        <w:pPr>
                          <w:pStyle w:val="TableParagraph"/>
                          <w:rPr>
                            <w:sz w:val="12"/>
                          </w:rPr>
                        </w:pPr>
                      </w:p>
                      <w:p w14:paraId="15863C68" w14:textId="77777777" w:rsidR="00080B77" w:rsidRDefault="00080B77">
                        <w:pPr>
                          <w:pStyle w:val="TableParagraph"/>
                          <w:rPr>
                            <w:sz w:val="12"/>
                          </w:rPr>
                        </w:pPr>
                      </w:p>
                      <w:p w14:paraId="59C82C69" w14:textId="77777777" w:rsidR="00080B77" w:rsidRDefault="00080B77">
                        <w:pPr>
                          <w:pStyle w:val="TableParagraph"/>
                          <w:rPr>
                            <w:sz w:val="12"/>
                          </w:rPr>
                        </w:pPr>
                      </w:p>
                      <w:p w14:paraId="6F5C8EAF" w14:textId="77777777" w:rsidR="00080B77" w:rsidRDefault="00080B77">
                        <w:pPr>
                          <w:pStyle w:val="TableParagraph"/>
                          <w:spacing w:before="93" w:line="264" w:lineRule="auto"/>
                          <w:ind w:left="26" w:right="651" w:firstLine="33"/>
                          <w:rPr>
                            <w:sz w:val="13"/>
                          </w:rPr>
                        </w:pPr>
                        <w:r>
                          <w:rPr>
                            <w:color w:val="231F20"/>
                            <w:w w:val="95"/>
                            <w:sz w:val="13"/>
                          </w:rPr>
                          <w:t xml:space="preserve">Promote snakebite prevention and Control </w:t>
                        </w:r>
                        <w:r>
                          <w:rPr>
                            <w:color w:val="231F20"/>
                            <w:sz w:val="13"/>
                          </w:rPr>
                          <w:t>interventions.</w:t>
                        </w:r>
                      </w:p>
                    </w:tc>
                    <w:tc>
                      <w:tcPr>
                        <w:tcW w:w="2401" w:type="dxa"/>
                        <w:tcBorders>
                          <w:top w:val="single" w:sz="6" w:space="0" w:color="231F20"/>
                          <w:left w:val="single" w:sz="6" w:space="0" w:color="231F20"/>
                          <w:bottom w:val="single" w:sz="6" w:space="0" w:color="231F20"/>
                          <w:right w:val="single" w:sz="6" w:space="0" w:color="231F20"/>
                        </w:tcBorders>
                        <w:shd w:val="clear" w:color="auto" w:fill="CCE7D3"/>
                      </w:tcPr>
                      <w:p w14:paraId="4CDAC7E9" w14:textId="77777777" w:rsidR="00080B77" w:rsidRDefault="00080B77">
                        <w:pPr>
                          <w:pStyle w:val="TableParagraph"/>
                          <w:numPr>
                            <w:ilvl w:val="0"/>
                            <w:numId w:val="78"/>
                          </w:numPr>
                          <w:tabs>
                            <w:tab w:val="left" w:pos="135"/>
                          </w:tabs>
                          <w:spacing w:before="1" w:line="264" w:lineRule="auto"/>
                          <w:ind w:right="-15" w:firstLine="0"/>
                          <w:rPr>
                            <w:sz w:val="13"/>
                          </w:rPr>
                        </w:pPr>
                        <w:r>
                          <w:rPr>
                            <w:color w:val="231F20"/>
                            <w:w w:val="95"/>
                            <w:sz w:val="13"/>
                          </w:rPr>
                          <w:t>Educational</w:t>
                        </w:r>
                        <w:r>
                          <w:rPr>
                            <w:color w:val="231F20"/>
                            <w:spacing w:val="-15"/>
                            <w:w w:val="95"/>
                            <w:sz w:val="13"/>
                          </w:rPr>
                          <w:t xml:space="preserve"> </w:t>
                        </w:r>
                        <w:r>
                          <w:rPr>
                            <w:color w:val="231F20"/>
                            <w:w w:val="95"/>
                            <w:sz w:val="13"/>
                          </w:rPr>
                          <w:t>posters</w:t>
                        </w:r>
                        <w:r>
                          <w:rPr>
                            <w:color w:val="231F20"/>
                            <w:spacing w:val="-15"/>
                            <w:w w:val="95"/>
                            <w:sz w:val="13"/>
                          </w:rPr>
                          <w:t xml:space="preserve"> </w:t>
                        </w:r>
                        <w:r>
                          <w:rPr>
                            <w:color w:val="231F20"/>
                            <w:w w:val="95"/>
                            <w:sz w:val="13"/>
                          </w:rPr>
                          <w:t>and</w:t>
                        </w:r>
                        <w:r>
                          <w:rPr>
                            <w:color w:val="231F20"/>
                            <w:spacing w:val="-15"/>
                            <w:w w:val="95"/>
                            <w:sz w:val="13"/>
                          </w:rPr>
                          <w:t xml:space="preserve"> </w:t>
                        </w:r>
                        <w:r>
                          <w:rPr>
                            <w:color w:val="231F20"/>
                            <w:w w:val="95"/>
                            <w:sz w:val="13"/>
                          </w:rPr>
                          <w:t>leaflets</w:t>
                        </w:r>
                        <w:r>
                          <w:rPr>
                            <w:color w:val="231F20"/>
                            <w:spacing w:val="-15"/>
                            <w:w w:val="95"/>
                            <w:sz w:val="13"/>
                          </w:rPr>
                          <w:t xml:space="preserve"> </w:t>
                        </w:r>
                        <w:r>
                          <w:rPr>
                            <w:color w:val="231F20"/>
                            <w:w w:val="95"/>
                            <w:sz w:val="13"/>
                          </w:rPr>
                          <w:t>produced &amp;</w:t>
                        </w:r>
                        <w:r>
                          <w:rPr>
                            <w:color w:val="231F20"/>
                            <w:spacing w:val="-14"/>
                            <w:w w:val="95"/>
                            <w:sz w:val="13"/>
                          </w:rPr>
                          <w:t xml:space="preserve"> </w:t>
                        </w:r>
                        <w:r>
                          <w:rPr>
                            <w:color w:val="231F20"/>
                            <w:w w:val="95"/>
                            <w:sz w:val="13"/>
                          </w:rPr>
                          <w:t>distributed</w:t>
                        </w:r>
                        <w:r>
                          <w:rPr>
                            <w:color w:val="231F20"/>
                            <w:spacing w:val="-14"/>
                            <w:w w:val="95"/>
                            <w:sz w:val="13"/>
                          </w:rPr>
                          <w:t xml:space="preserve"> </w:t>
                        </w:r>
                        <w:r>
                          <w:rPr>
                            <w:color w:val="231F20"/>
                            <w:w w:val="95"/>
                            <w:sz w:val="13"/>
                          </w:rPr>
                          <w:t>across</w:t>
                        </w:r>
                        <w:r>
                          <w:rPr>
                            <w:color w:val="231F20"/>
                            <w:spacing w:val="-13"/>
                            <w:w w:val="95"/>
                            <w:sz w:val="13"/>
                          </w:rPr>
                          <w:t xml:space="preserve"> </w:t>
                        </w:r>
                        <w:r>
                          <w:rPr>
                            <w:color w:val="231F20"/>
                            <w:w w:val="95"/>
                            <w:sz w:val="13"/>
                          </w:rPr>
                          <w:t>communities</w:t>
                        </w:r>
                        <w:r>
                          <w:rPr>
                            <w:color w:val="231F20"/>
                            <w:spacing w:val="-14"/>
                            <w:w w:val="95"/>
                            <w:sz w:val="13"/>
                          </w:rPr>
                          <w:t xml:space="preserve"> </w:t>
                        </w:r>
                        <w:r>
                          <w:rPr>
                            <w:color w:val="231F20"/>
                            <w:w w:val="95"/>
                            <w:sz w:val="13"/>
                          </w:rPr>
                          <w:t>in</w:t>
                        </w:r>
                        <w:r>
                          <w:rPr>
                            <w:color w:val="231F20"/>
                            <w:spacing w:val="-13"/>
                            <w:w w:val="95"/>
                            <w:sz w:val="13"/>
                          </w:rPr>
                          <w:t xml:space="preserve"> </w:t>
                        </w:r>
                        <w:r>
                          <w:rPr>
                            <w:color w:val="231F20"/>
                            <w:w w:val="95"/>
                            <w:sz w:val="13"/>
                          </w:rPr>
                          <w:t>the</w:t>
                        </w:r>
                        <w:r>
                          <w:rPr>
                            <w:color w:val="231F20"/>
                            <w:spacing w:val="-14"/>
                            <w:w w:val="95"/>
                            <w:sz w:val="13"/>
                          </w:rPr>
                          <w:t xml:space="preserve"> </w:t>
                        </w:r>
                        <w:r>
                          <w:rPr>
                            <w:color w:val="231F20"/>
                            <w:w w:val="95"/>
                            <w:sz w:val="13"/>
                          </w:rPr>
                          <w:t>state</w:t>
                        </w:r>
                      </w:p>
                      <w:p w14:paraId="003404B3" w14:textId="77777777" w:rsidR="00080B77" w:rsidRDefault="00080B77">
                        <w:pPr>
                          <w:pStyle w:val="TableParagraph"/>
                          <w:numPr>
                            <w:ilvl w:val="0"/>
                            <w:numId w:val="78"/>
                          </w:numPr>
                          <w:tabs>
                            <w:tab w:val="left" w:pos="69"/>
                          </w:tabs>
                          <w:spacing w:before="23" w:line="249" w:lineRule="auto"/>
                          <w:ind w:right="35" w:firstLine="0"/>
                          <w:rPr>
                            <w:sz w:val="13"/>
                          </w:rPr>
                        </w:pPr>
                        <w:r>
                          <w:rPr>
                            <w:color w:val="231F20"/>
                            <w:sz w:val="13"/>
                          </w:rPr>
                          <w:t xml:space="preserve">Advocate for incorporation of modern </w:t>
                        </w:r>
                        <w:r>
                          <w:rPr>
                            <w:color w:val="231F20"/>
                            <w:w w:val="95"/>
                            <w:sz w:val="13"/>
                          </w:rPr>
                          <w:t>management</w:t>
                        </w:r>
                        <w:r>
                          <w:rPr>
                            <w:color w:val="231F20"/>
                            <w:spacing w:val="-17"/>
                            <w:w w:val="95"/>
                            <w:sz w:val="13"/>
                          </w:rPr>
                          <w:t xml:space="preserve"> </w:t>
                        </w:r>
                        <w:r>
                          <w:rPr>
                            <w:color w:val="231F20"/>
                            <w:w w:val="95"/>
                            <w:sz w:val="13"/>
                          </w:rPr>
                          <w:t>of</w:t>
                        </w:r>
                        <w:r>
                          <w:rPr>
                            <w:color w:val="231F20"/>
                            <w:spacing w:val="-17"/>
                            <w:w w:val="95"/>
                            <w:sz w:val="13"/>
                          </w:rPr>
                          <w:t xml:space="preserve"> </w:t>
                        </w:r>
                        <w:r>
                          <w:rPr>
                            <w:color w:val="231F20"/>
                            <w:w w:val="95"/>
                            <w:sz w:val="13"/>
                          </w:rPr>
                          <w:t>snakebites</w:t>
                        </w:r>
                        <w:r>
                          <w:rPr>
                            <w:color w:val="231F20"/>
                            <w:spacing w:val="-17"/>
                            <w:w w:val="95"/>
                            <w:sz w:val="13"/>
                          </w:rPr>
                          <w:t xml:space="preserve"> </w:t>
                        </w:r>
                        <w:r>
                          <w:rPr>
                            <w:color w:val="231F20"/>
                            <w:w w:val="95"/>
                            <w:sz w:val="13"/>
                          </w:rPr>
                          <w:t>into</w:t>
                        </w:r>
                        <w:r>
                          <w:rPr>
                            <w:color w:val="231F20"/>
                            <w:spacing w:val="-16"/>
                            <w:w w:val="95"/>
                            <w:sz w:val="13"/>
                          </w:rPr>
                          <w:t xml:space="preserve"> </w:t>
                        </w:r>
                        <w:r>
                          <w:rPr>
                            <w:color w:val="231F20"/>
                            <w:w w:val="95"/>
                            <w:sz w:val="13"/>
                          </w:rPr>
                          <w:t>the</w:t>
                        </w:r>
                        <w:r>
                          <w:rPr>
                            <w:color w:val="231F20"/>
                            <w:spacing w:val="-17"/>
                            <w:w w:val="95"/>
                            <w:sz w:val="13"/>
                          </w:rPr>
                          <w:t xml:space="preserve"> </w:t>
                        </w:r>
                        <w:r>
                          <w:rPr>
                            <w:color w:val="231F20"/>
                            <w:w w:val="95"/>
                            <w:sz w:val="13"/>
                          </w:rPr>
                          <w:t xml:space="preserve">schools' </w:t>
                        </w:r>
                        <w:r>
                          <w:rPr>
                            <w:color w:val="231F20"/>
                            <w:sz w:val="13"/>
                          </w:rPr>
                          <w:t>curriculums</w:t>
                        </w:r>
                        <w:r>
                          <w:rPr>
                            <w:color w:val="231F20"/>
                            <w:spacing w:val="-17"/>
                            <w:sz w:val="13"/>
                          </w:rPr>
                          <w:t xml:space="preserve"> </w:t>
                        </w:r>
                        <w:r>
                          <w:rPr>
                            <w:color w:val="231F20"/>
                            <w:sz w:val="13"/>
                          </w:rPr>
                          <w:t>of</w:t>
                        </w:r>
                        <w:r>
                          <w:rPr>
                            <w:color w:val="231F20"/>
                            <w:spacing w:val="-16"/>
                            <w:sz w:val="13"/>
                          </w:rPr>
                          <w:t xml:space="preserve"> </w:t>
                        </w:r>
                        <w:r>
                          <w:rPr>
                            <w:color w:val="231F20"/>
                            <w:sz w:val="13"/>
                          </w:rPr>
                          <w:t>medical</w:t>
                        </w:r>
                        <w:r>
                          <w:rPr>
                            <w:color w:val="231F20"/>
                            <w:spacing w:val="-17"/>
                            <w:sz w:val="13"/>
                          </w:rPr>
                          <w:t xml:space="preserve"> </w:t>
                        </w:r>
                        <w:r>
                          <w:rPr>
                            <w:color w:val="231F20"/>
                            <w:sz w:val="13"/>
                          </w:rPr>
                          <w:t>personnel</w:t>
                        </w:r>
                        <w:r>
                          <w:rPr>
                            <w:color w:val="231F20"/>
                            <w:spacing w:val="-16"/>
                            <w:sz w:val="13"/>
                          </w:rPr>
                          <w:t xml:space="preserve"> </w:t>
                        </w:r>
                        <w:r>
                          <w:rPr>
                            <w:color w:val="231F20"/>
                            <w:sz w:val="13"/>
                          </w:rPr>
                          <w:t>done</w:t>
                        </w:r>
                      </w:p>
                      <w:p w14:paraId="66A4EC57" w14:textId="77777777" w:rsidR="00080B77" w:rsidRDefault="00080B77">
                        <w:pPr>
                          <w:pStyle w:val="TableParagraph"/>
                          <w:numPr>
                            <w:ilvl w:val="0"/>
                            <w:numId w:val="78"/>
                          </w:numPr>
                          <w:tabs>
                            <w:tab w:val="left" w:pos="101"/>
                          </w:tabs>
                          <w:spacing w:before="23"/>
                          <w:ind w:left="100" w:hanging="76"/>
                          <w:rPr>
                            <w:sz w:val="13"/>
                          </w:rPr>
                        </w:pPr>
                        <w:r>
                          <w:rPr>
                            <w:color w:val="231F20"/>
                            <w:sz w:val="13"/>
                          </w:rPr>
                          <w:t>Supervision</w:t>
                        </w:r>
                        <w:r>
                          <w:rPr>
                            <w:color w:val="231F20"/>
                            <w:spacing w:val="-15"/>
                            <w:sz w:val="13"/>
                          </w:rPr>
                          <w:t xml:space="preserve"> </w:t>
                        </w:r>
                        <w:r>
                          <w:rPr>
                            <w:color w:val="231F20"/>
                            <w:sz w:val="13"/>
                          </w:rPr>
                          <w:t>and</w:t>
                        </w:r>
                        <w:r>
                          <w:rPr>
                            <w:color w:val="231F20"/>
                            <w:spacing w:val="-14"/>
                            <w:sz w:val="13"/>
                          </w:rPr>
                          <w:t xml:space="preserve"> </w:t>
                        </w:r>
                        <w:r>
                          <w:rPr>
                            <w:color w:val="231F20"/>
                            <w:sz w:val="13"/>
                          </w:rPr>
                          <w:t>monitoring</w:t>
                        </w:r>
                        <w:r>
                          <w:rPr>
                            <w:color w:val="231F20"/>
                            <w:spacing w:val="-14"/>
                            <w:sz w:val="13"/>
                          </w:rPr>
                          <w:t xml:space="preserve"> </w:t>
                        </w:r>
                        <w:r>
                          <w:rPr>
                            <w:color w:val="231F20"/>
                            <w:sz w:val="13"/>
                          </w:rPr>
                          <w:t>of</w:t>
                        </w:r>
                        <w:r>
                          <w:rPr>
                            <w:color w:val="231F20"/>
                            <w:spacing w:val="-14"/>
                            <w:sz w:val="13"/>
                          </w:rPr>
                          <w:t xml:space="preserve"> </w:t>
                        </w:r>
                        <w:r>
                          <w:rPr>
                            <w:color w:val="231F20"/>
                            <w:sz w:val="13"/>
                          </w:rPr>
                          <w:t>health</w:t>
                        </w:r>
                      </w:p>
                      <w:p w14:paraId="600BB0FA" w14:textId="77777777" w:rsidR="00080B77" w:rsidRDefault="00080B77">
                        <w:pPr>
                          <w:pStyle w:val="TableParagraph"/>
                          <w:spacing w:before="29" w:line="150" w:lineRule="atLeast"/>
                          <w:ind w:left="25" w:right="480"/>
                          <w:rPr>
                            <w:sz w:val="13"/>
                          </w:rPr>
                        </w:pPr>
                        <w:r>
                          <w:rPr>
                            <w:color w:val="231F20"/>
                            <w:w w:val="95"/>
                            <w:sz w:val="13"/>
                          </w:rPr>
                          <w:t xml:space="preserve">centers and facilities for snakebite </w:t>
                        </w:r>
                        <w:r>
                          <w:rPr>
                            <w:color w:val="231F20"/>
                            <w:sz w:val="13"/>
                          </w:rPr>
                          <w:t>prevention and control done</w:t>
                        </w:r>
                      </w:p>
                    </w:tc>
                    <w:tc>
                      <w:tcPr>
                        <w:tcW w:w="1437" w:type="dxa"/>
                        <w:tcBorders>
                          <w:top w:val="single" w:sz="6" w:space="0" w:color="231F20"/>
                          <w:left w:val="single" w:sz="6" w:space="0" w:color="231F20"/>
                          <w:bottom w:val="single" w:sz="6" w:space="0" w:color="231F20"/>
                          <w:right w:val="single" w:sz="6" w:space="0" w:color="231F20"/>
                        </w:tcBorders>
                        <w:shd w:val="clear" w:color="auto" w:fill="CCE7D3"/>
                      </w:tcPr>
                      <w:p w14:paraId="3B915A36" w14:textId="77777777" w:rsidR="00080B77" w:rsidRDefault="00080B77">
                        <w:pPr>
                          <w:pStyle w:val="TableParagraph"/>
                          <w:rPr>
                            <w:rFonts w:ascii="Times New Roman"/>
                            <w:sz w:val="10"/>
                          </w:rPr>
                        </w:pPr>
                      </w:p>
                    </w:tc>
                    <w:tc>
                      <w:tcPr>
                        <w:tcW w:w="1516" w:type="dxa"/>
                        <w:tcBorders>
                          <w:top w:val="single" w:sz="6" w:space="0" w:color="231F20"/>
                          <w:left w:val="single" w:sz="6" w:space="0" w:color="231F20"/>
                          <w:bottom w:val="single" w:sz="6" w:space="0" w:color="231F20"/>
                          <w:right w:val="single" w:sz="6" w:space="0" w:color="231F20"/>
                        </w:tcBorders>
                        <w:shd w:val="clear" w:color="auto" w:fill="CCE7D3"/>
                      </w:tcPr>
                      <w:p w14:paraId="523E98F7" w14:textId="77777777" w:rsidR="00080B77" w:rsidRDefault="00080B77">
                        <w:pPr>
                          <w:pStyle w:val="TableParagraph"/>
                          <w:rPr>
                            <w:rFonts w:ascii="Times New Roman"/>
                            <w:sz w:val="10"/>
                          </w:rPr>
                        </w:pPr>
                      </w:p>
                    </w:tc>
                  </w:tr>
                  <w:tr w:rsidR="00080B77" w14:paraId="5877DF82" w14:textId="77777777">
                    <w:trPr>
                      <w:trHeight w:val="317"/>
                    </w:trPr>
                    <w:tc>
                      <w:tcPr>
                        <w:tcW w:w="861" w:type="dxa"/>
                        <w:gridSpan w:val="2"/>
                        <w:vMerge w:val="restart"/>
                        <w:tcBorders>
                          <w:top w:val="nil"/>
                          <w:bottom w:val="single" w:sz="6" w:space="0" w:color="231F20"/>
                          <w:right w:val="single" w:sz="6" w:space="0" w:color="231F20"/>
                        </w:tcBorders>
                      </w:tcPr>
                      <w:p w14:paraId="16795C0C"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48CCF87F" w14:textId="77777777" w:rsidR="00080B77" w:rsidRDefault="00080B77">
                        <w:pPr>
                          <w:pStyle w:val="TableParagraph"/>
                          <w:spacing w:before="84"/>
                          <w:ind w:left="49" w:right="27"/>
                          <w:jc w:val="center"/>
                          <w:rPr>
                            <w:sz w:val="13"/>
                          </w:rPr>
                        </w:pPr>
                        <w:r>
                          <w:rPr>
                            <w:color w:val="231F20"/>
                            <w:sz w:val="13"/>
                          </w:rPr>
                          <w:t>8.4.6.a</w:t>
                        </w:r>
                      </w:p>
                    </w:tc>
                    <w:tc>
                      <w:tcPr>
                        <w:tcW w:w="4930" w:type="dxa"/>
                        <w:gridSpan w:val="2"/>
                        <w:tcBorders>
                          <w:top w:val="single" w:sz="6" w:space="0" w:color="231F20"/>
                          <w:left w:val="single" w:sz="6" w:space="0" w:color="231F20"/>
                          <w:bottom w:val="single" w:sz="6" w:space="0" w:color="231F20"/>
                          <w:right w:val="single" w:sz="6" w:space="0" w:color="231F20"/>
                        </w:tcBorders>
                      </w:tcPr>
                      <w:p w14:paraId="7A660C8E" w14:textId="77777777" w:rsidR="00080B77" w:rsidRDefault="00080B77">
                        <w:pPr>
                          <w:pStyle w:val="TableParagraph"/>
                          <w:spacing w:before="79"/>
                          <w:ind w:left="25"/>
                          <w:rPr>
                            <w:sz w:val="13"/>
                          </w:rPr>
                        </w:pPr>
                        <w:r>
                          <w:rPr>
                            <w:color w:val="231F20"/>
                            <w:sz w:val="13"/>
                          </w:rPr>
                          <w:t>Produce</w:t>
                        </w:r>
                        <w:r>
                          <w:rPr>
                            <w:color w:val="231F20"/>
                            <w:spacing w:val="-23"/>
                            <w:sz w:val="13"/>
                          </w:rPr>
                          <w:t xml:space="preserve"> </w:t>
                        </w:r>
                        <w:r>
                          <w:rPr>
                            <w:color w:val="231F20"/>
                            <w:sz w:val="13"/>
                          </w:rPr>
                          <w:t>and</w:t>
                        </w:r>
                        <w:r>
                          <w:rPr>
                            <w:color w:val="231F20"/>
                            <w:spacing w:val="-23"/>
                            <w:sz w:val="13"/>
                          </w:rPr>
                          <w:t xml:space="preserve"> </w:t>
                        </w:r>
                        <w:r>
                          <w:rPr>
                            <w:color w:val="231F20"/>
                            <w:sz w:val="13"/>
                          </w:rPr>
                          <w:t>distribute</w:t>
                        </w:r>
                        <w:r>
                          <w:rPr>
                            <w:color w:val="231F20"/>
                            <w:spacing w:val="-22"/>
                            <w:sz w:val="13"/>
                          </w:rPr>
                          <w:t xml:space="preserve"> </w:t>
                        </w:r>
                        <w:r>
                          <w:rPr>
                            <w:color w:val="231F20"/>
                            <w:sz w:val="13"/>
                          </w:rPr>
                          <w:t>educational</w:t>
                        </w:r>
                        <w:r>
                          <w:rPr>
                            <w:color w:val="231F20"/>
                            <w:spacing w:val="-23"/>
                            <w:sz w:val="13"/>
                          </w:rPr>
                          <w:t xml:space="preserve"> </w:t>
                        </w:r>
                        <w:r>
                          <w:rPr>
                            <w:color w:val="231F20"/>
                            <w:sz w:val="13"/>
                          </w:rPr>
                          <w:t>posters</w:t>
                        </w:r>
                        <w:r>
                          <w:rPr>
                            <w:color w:val="231F20"/>
                            <w:spacing w:val="-22"/>
                            <w:sz w:val="13"/>
                          </w:rPr>
                          <w:t xml:space="preserve"> </w:t>
                        </w:r>
                        <w:r>
                          <w:rPr>
                            <w:color w:val="231F20"/>
                            <w:sz w:val="13"/>
                          </w:rPr>
                          <w:t>and</w:t>
                        </w:r>
                        <w:r>
                          <w:rPr>
                            <w:color w:val="231F20"/>
                            <w:spacing w:val="-23"/>
                            <w:sz w:val="13"/>
                          </w:rPr>
                          <w:t xml:space="preserve"> </w:t>
                        </w:r>
                        <w:r>
                          <w:rPr>
                            <w:color w:val="231F20"/>
                            <w:sz w:val="13"/>
                          </w:rPr>
                          <w:t>leaflets</w:t>
                        </w:r>
                        <w:r>
                          <w:rPr>
                            <w:color w:val="231F20"/>
                            <w:spacing w:val="-22"/>
                            <w:sz w:val="13"/>
                          </w:rPr>
                          <w:t xml:space="preserve"> </w:t>
                        </w:r>
                        <w:r>
                          <w:rPr>
                            <w:color w:val="231F20"/>
                            <w:sz w:val="13"/>
                          </w:rPr>
                          <w:t>across</w:t>
                        </w:r>
                        <w:r>
                          <w:rPr>
                            <w:color w:val="231F20"/>
                            <w:spacing w:val="-23"/>
                            <w:sz w:val="13"/>
                          </w:rPr>
                          <w:t xml:space="preserve"> </w:t>
                        </w:r>
                        <w:r>
                          <w:rPr>
                            <w:color w:val="231F20"/>
                            <w:sz w:val="13"/>
                          </w:rPr>
                          <w:t>communities</w:t>
                        </w:r>
                        <w:r>
                          <w:rPr>
                            <w:color w:val="231F20"/>
                            <w:spacing w:val="-22"/>
                            <w:sz w:val="13"/>
                          </w:rPr>
                          <w:t xml:space="preserve"> </w:t>
                        </w:r>
                        <w:r>
                          <w:rPr>
                            <w:color w:val="231F20"/>
                            <w:sz w:val="13"/>
                          </w:rPr>
                          <w:t>in</w:t>
                        </w:r>
                        <w:r>
                          <w:rPr>
                            <w:color w:val="231F20"/>
                            <w:spacing w:val="-23"/>
                            <w:sz w:val="13"/>
                          </w:rPr>
                          <w:t xml:space="preserve"> </w:t>
                        </w:r>
                        <w:r>
                          <w:rPr>
                            <w:color w:val="231F20"/>
                            <w:sz w:val="13"/>
                          </w:rPr>
                          <w:t>the</w:t>
                        </w:r>
                        <w:r>
                          <w:rPr>
                            <w:color w:val="231F20"/>
                            <w:spacing w:val="-23"/>
                            <w:sz w:val="13"/>
                          </w:rPr>
                          <w:t xml:space="preserve"> </w:t>
                        </w:r>
                        <w:r>
                          <w:rPr>
                            <w:color w:val="231F20"/>
                            <w:sz w:val="13"/>
                          </w:rPr>
                          <w:t>state</w:t>
                        </w:r>
                      </w:p>
                    </w:tc>
                    <w:tc>
                      <w:tcPr>
                        <w:tcW w:w="1437" w:type="dxa"/>
                        <w:tcBorders>
                          <w:top w:val="single" w:sz="6" w:space="0" w:color="231F20"/>
                          <w:left w:val="single" w:sz="6" w:space="0" w:color="231F20"/>
                          <w:bottom w:val="single" w:sz="6" w:space="0" w:color="231F20"/>
                          <w:right w:val="single" w:sz="6" w:space="0" w:color="231F20"/>
                        </w:tcBorders>
                      </w:tcPr>
                      <w:p w14:paraId="37FC9D6C" w14:textId="77777777" w:rsidR="00080B77" w:rsidRDefault="00080B77">
                        <w:pPr>
                          <w:pStyle w:val="TableParagraph"/>
                          <w:spacing w:before="84"/>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712FF932" w14:textId="77777777" w:rsidR="00080B77" w:rsidRDefault="00080B77">
                        <w:pPr>
                          <w:pStyle w:val="TableParagraph"/>
                          <w:spacing w:before="84"/>
                          <w:ind w:left="26"/>
                          <w:rPr>
                            <w:sz w:val="13"/>
                          </w:rPr>
                        </w:pPr>
                        <w:r>
                          <w:rPr>
                            <w:color w:val="231F20"/>
                            <w:sz w:val="13"/>
                          </w:rPr>
                          <w:t>Produce and distribute</w:t>
                        </w:r>
                      </w:p>
                    </w:tc>
                  </w:tr>
                  <w:tr w:rsidR="00080B77" w14:paraId="456DC94F" w14:textId="77777777">
                    <w:trPr>
                      <w:trHeight w:val="304"/>
                    </w:trPr>
                    <w:tc>
                      <w:tcPr>
                        <w:tcW w:w="861" w:type="dxa"/>
                        <w:gridSpan w:val="2"/>
                        <w:vMerge/>
                        <w:tcBorders>
                          <w:top w:val="nil"/>
                          <w:bottom w:val="single" w:sz="6" w:space="0" w:color="231F20"/>
                          <w:right w:val="single" w:sz="6" w:space="0" w:color="231F20"/>
                        </w:tcBorders>
                      </w:tcPr>
                      <w:p w14:paraId="09C6713F"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1CF32A66" w14:textId="77777777" w:rsidR="00080B77" w:rsidRDefault="00080B77">
                        <w:pPr>
                          <w:pStyle w:val="TableParagraph"/>
                          <w:spacing w:before="79"/>
                          <w:ind w:left="49" w:right="27"/>
                          <w:jc w:val="center"/>
                          <w:rPr>
                            <w:sz w:val="13"/>
                          </w:rPr>
                        </w:pPr>
                        <w:r>
                          <w:rPr>
                            <w:color w:val="231F20"/>
                            <w:sz w:val="13"/>
                          </w:rPr>
                          <w:t>8.4.6.b</w:t>
                        </w:r>
                      </w:p>
                    </w:tc>
                    <w:tc>
                      <w:tcPr>
                        <w:tcW w:w="4930" w:type="dxa"/>
                        <w:gridSpan w:val="2"/>
                        <w:tcBorders>
                          <w:top w:val="single" w:sz="6" w:space="0" w:color="231F20"/>
                          <w:left w:val="single" w:sz="6" w:space="0" w:color="231F20"/>
                          <w:bottom w:val="single" w:sz="6" w:space="0" w:color="231F20"/>
                          <w:right w:val="single" w:sz="6" w:space="0" w:color="231F20"/>
                        </w:tcBorders>
                      </w:tcPr>
                      <w:p w14:paraId="37AE3A7C" w14:textId="77777777" w:rsidR="00080B77" w:rsidRDefault="00080B77">
                        <w:pPr>
                          <w:pStyle w:val="TableParagraph"/>
                          <w:spacing w:before="74"/>
                          <w:ind w:left="25"/>
                          <w:rPr>
                            <w:sz w:val="13"/>
                          </w:rPr>
                        </w:pPr>
                        <w:r>
                          <w:rPr>
                            <w:color w:val="231F20"/>
                            <w:sz w:val="13"/>
                          </w:rPr>
                          <w:t>Support research into snakebite prevention and control for regular improvements</w:t>
                        </w:r>
                      </w:p>
                    </w:tc>
                    <w:tc>
                      <w:tcPr>
                        <w:tcW w:w="1437" w:type="dxa"/>
                        <w:tcBorders>
                          <w:top w:val="single" w:sz="6" w:space="0" w:color="231F20"/>
                          <w:left w:val="single" w:sz="6" w:space="0" w:color="231F20"/>
                          <w:bottom w:val="single" w:sz="6" w:space="0" w:color="231F20"/>
                          <w:right w:val="single" w:sz="6" w:space="0" w:color="231F20"/>
                        </w:tcBorders>
                      </w:tcPr>
                      <w:p w14:paraId="32068010" w14:textId="77777777" w:rsidR="00080B77" w:rsidRDefault="00080B77">
                        <w:pPr>
                          <w:pStyle w:val="TableParagraph"/>
                          <w:spacing w:before="79"/>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3E6BB78F" w14:textId="77777777" w:rsidR="00080B77" w:rsidRDefault="00080B77">
                        <w:pPr>
                          <w:pStyle w:val="TableParagraph"/>
                          <w:spacing w:before="79"/>
                          <w:ind w:left="26"/>
                          <w:rPr>
                            <w:sz w:val="13"/>
                          </w:rPr>
                        </w:pPr>
                        <w:r>
                          <w:rPr>
                            <w:color w:val="231F20"/>
                            <w:sz w:val="13"/>
                          </w:rPr>
                          <w:t>Support research</w:t>
                        </w:r>
                      </w:p>
                    </w:tc>
                  </w:tr>
                  <w:tr w:rsidR="00080B77" w14:paraId="2C61424A" w14:textId="77777777">
                    <w:trPr>
                      <w:trHeight w:val="321"/>
                    </w:trPr>
                    <w:tc>
                      <w:tcPr>
                        <w:tcW w:w="861" w:type="dxa"/>
                        <w:gridSpan w:val="2"/>
                        <w:vMerge/>
                        <w:tcBorders>
                          <w:top w:val="nil"/>
                          <w:bottom w:val="single" w:sz="6" w:space="0" w:color="231F20"/>
                          <w:right w:val="single" w:sz="6" w:space="0" w:color="231F20"/>
                        </w:tcBorders>
                      </w:tcPr>
                      <w:p w14:paraId="1FD0A5CE"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22759BF7" w14:textId="77777777" w:rsidR="00080B77" w:rsidRDefault="00080B77">
                        <w:pPr>
                          <w:pStyle w:val="TableParagraph"/>
                          <w:spacing w:before="87"/>
                          <w:ind w:left="49" w:right="27"/>
                          <w:jc w:val="center"/>
                          <w:rPr>
                            <w:sz w:val="13"/>
                          </w:rPr>
                        </w:pPr>
                        <w:r>
                          <w:rPr>
                            <w:color w:val="231F20"/>
                            <w:sz w:val="13"/>
                          </w:rPr>
                          <w:t>8.4.6.c</w:t>
                        </w:r>
                      </w:p>
                    </w:tc>
                    <w:tc>
                      <w:tcPr>
                        <w:tcW w:w="4930" w:type="dxa"/>
                        <w:gridSpan w:val="2"/>
                        <w:tcBorders>
                          <w:top w:val="single" w:sz="6" w:space="0" w:color="231F20"/>
                          <w:left w:val="single" w:sz="6" w:space="0" w:color="231F20"/>
                          <w:bottom w:val="single" w:sz="6" w:space="0" w:color="231F20"/>
                          <w:right w:val="single" w:sz="6" w:space="0" w:color="231F20"/>
                        </w:tcBorders>
                      </w:tcPr>
                      <w:p w14:paraId="14ED1B30" w14:textId="77777777" w:rsidR="00080B77" w:rsidRDefault="00080B77">
                        <w:pPr>
                          <w:pStyle w:val="TableParagraph"/>
                          <w:spacing w:before="1"/>
                          <w:ind w:left="25"/>
                          <w:rPr>
                            <w:sz w:val="13"/>
                          </w:rPr>
                        </w:pPr>
                        <w:r>
                          <w:rPr>
                            <w:color w:val="231F20"/>
                            <w:sz w:val="13"/>
                          </w:rPr>
                          <w:t>Advocate for incorporation of modern management of snakebites into the schools'</w:t>
                        </w:r>
                      </w:p>
                      <w:p w14:paraId="6738CCB6" w14:textId="77777777" w:rsidR="00080B77" w:rsidRDefault="00080B77">
                        <w:pPr>
                          <w:pStyle w:val="TableParagraph"/>
                          <w:spacing w:before="15" w:line="135" w:lineRule="exact"/>
                          <w:ind w:left="25"/>
                          <w:rPr>
                            <w:sz w:val="13"/>
                          </w:rPr>
                        </w:pPr>
                        <w:r>
                          <w:rPr>
                            <w:color w:val="231F20"/>
                            <w:sz w:val="13"/>
                          </w:rPr>
                          <w:t>curriculums of medical personnel</w:t>
                        </w:r>
                      </w:p>
                    </w:tc>
                    <w:tc>
                      <w:tcPr>
                        <w:tcW w:w="1437" w:type="dxa"/>
                        <w:tcBorders>
                          <w:top w:val="single" w:sz="6" w:space="0" w:color="231F20"/>
                          <w:left w:val="single" w:sz="6" w:space="0" w:color="231F20"/>
                          <w:bottom w:val="single" w:sz="6" w:space="0" w:color="231F20"/>
                          <w:right w:val="single" w:sz="6" w:space="0" w:color="231F20"/>
                        </w:tcBorders>
                      </w:tcPr>
                      <w:p w14:paraId="09125EE0" w14:textId="77777777" w:rsidR="00080B77" w:rsidRDefault="00080B77">
                        <w:pPr>
                          <w:pStyle w:val="TableParagraph"/>
                          <w:spacing w:before="87"/>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20CE7B6A" w14:textId="77777777" w:rsidR="00080B77" w:rsidRDefault="00080B77">
                        <w:pPr>
                          <w:pStyle w:val="TableParagraph"/>
                          <w:spacing w:before="87"/>
                          <w:ind w:left="26"/>
                          <w:rPr>
                            <w:sz w:val="13"/>
                          </w:rPr>
                        </w:pPr>
                        <w:r>
                          <w:rPr>
                            <w:color w:val="231F20"/>
                            <w:w w:val="95"/>
                            <w:sz w:val="13"/>
                          </w:rPr>
                          <w:t>Advocate for incorporation</w:t>
                        </w:r>
                      </w:p>
                    </w:tc>
                  </w:tr>
                  <w:tr w:rsidR="00080B77" w14:paraId="4E0048D8" w14:textId="77777777">
                    <w:trPr>
                      <w:trHeight w:val="329"/>
                    </w:trPr>
                    <w:tc>
                      <w:tcPr>
                        <w:tcW w:w="861" w:type="dxa"/>
                        <w:gridSpan w:val="2"/>
                        <w:vMerge/>
                        <w:tcBorders>
                          <w:top w:val="nil"/>
                          <w:bottom w:val="single" w:sz="6" w:space="0" w:color="231F20"/>
                          <w:right w:val="single" w:sz="6" w:space="0" w:color="231F20"/>
                        </w:tcBorders>
                      </w:tcPr>
                      <w:p w14:paraId="2A38CDE0"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603EDEAB" w14:textId="77777777" w:rsidR="00080B77" w:rsidRDefault="00080B77">
                        <w:pPr>
                          <w:pStyle w:val="TableParagraph"/>
                          <w:spacing w:before="91"/>
                          <w:ind w:left="49" w:right="27"/>
                          <w:jc w:val="center"/>
                          <w:rPr>
                            <w:sz w:val="13"/>
                          </w:rPr>
                        </w:pPr>
                        <w:r>
                          <w:rPr>
                            <w:color w:val="231F20"/>
                            <w:sz w:val="13"/>
                          </w:rPr>
                          <w:t>8.4.6.d</w:t>
                        </w:r>
                      </w:p>
                    </w:tc>
                    <w:tc>
                      <w:tcPr>
                        <w:tcW w:w="4930" w:type="dxa"/>
                        <w:gridSpan w:val="2"/>
                        <w:tcBorders>
                          <w:top w:val="single" w:sz="6" w:space="0" w:color="231F20"/>
                          <w:left w:val="single" w:sz="6" w:space="0" w:color="231F20"/>
                          <w:bottom w:val="single" w:sz="6" w:space="0" w:color="231F20"/>
                          <w:right w:val="single" w:sz="6" w:space="0" w:color="231F20"/>
                        </w:tcBorders>
                      </w:tcPr>
                      <w:p w14:paraId="66F12D38" w14:textId="77777777" w:rsidR="00080B77" w:rsidRDefault="00080B77">
                        <w:pPr>
                          <w:pStyle w:val="TableParagraph"/>
                          <w:spacing w:before="3"/>
                          <w:ind w:left="25"/>
                          <w:rPr>
                            <w:sz w:val="13"/>
                          </w:rPr>
                        </w:pPr>
                        <w:r>
                          <w:rPr>
                            <w:color w:val="231F20"/>
                            <w:w w:val="95"/>
                            <w:sz w:val="13"/>
                          </w:rPr>
                          <w:t>Conduct</w:t>
                        </w:r>
                        <w:r>
                          <w:rPr>
                            <w:color w:val="231F20"/>
                            <w:spacing w:val="-13"/>
                            <w:w w:val="95"/>
                            <w:sz w:val="13"/>
                          </w:rPr>
                          <w:t xml:space="preserve"> </w:t>
                        </w:r>
                        <w:r>
                          <w:rPr>
                            <w:color w:val="231F20"/>
                            <w:w w:val="95"/>
                            <w:sz w:val="13"/>
                          </w:rPr>
                          <w:t>supervision</w:t>
                        </w:r>
                        <w:r>
                          <w:rPr>
                            <w:color w:val="231F20"/>
                            <w:spacing w:val="-13"/>
                            <w:w w:val="95"/>
                            <w:sz w:val="13"/>
                          </w:rPr>
                          <w:t xml:space="preserve"> </w:t>
                        </w:r>
                        <w:r>
                          <w:rPr>
                            <w:color w:val="231F20"/>
                            <w:w w:val="95"/>
                            <w:sz w:val="13"/>
                          </w:rPr>
                          <w:t>and</w:t>
                        </w:r>
                        <w:r>
                          <w:rPr>
                            <w:color w:val="231F20"/>
                            <w:spacing w:val="-13"/>
                            <w:w w:val="95"/>
                            <w:sz w:val="13"/>
                          </w:rPr>
                          <w:t xml:space="preserve"> </w:t>
                        </w:r>
                        <w:r>
                          <w:rPr>
                            <w:color w:val="231F20"/>
                            <w:w w:val="95"/>
                            <w:sz w:val="13"/>
                          </w:rPr>
                          <w:t>monitoring</w:t>
                        </w:r>
                        <w:r>
                          <w:rPr>
                            <w:color w:val="231F20"/>
                            <w:spacing w:val="-13"/>
                            <w:w w:val="95"/>
                            <w:sz w:val="13"/>
                          </w:rPr>
                          <w:t xml:space="preserve"> </w:t>
                        </w:r>
                        <w:r>
                          <w:rPr>
                            <w:color w:val="231F20"/>
                            <w:w w:val="95"/>
                            <w:sz w:val="13"/>
                          </w:rPr>
                          <w:t>of</w:t>
                        </w:r>
                        <w:r>
                          <w:rPr>
                            <w:color w:val="231F20"/>
                            <w:spacing w:val="-13"/>
                            <w:w w:val="95"/>
                            <w:sz w:val="13"/>
                          </w:rPr>
                          <w:t xml:space="preserve"> </w:t>
                        </w:r>
                        <w:r>
                          <w:rPr>
                            <w:color w:val="231F20"/>
                            <w:w w:val="95"/>
                            <w:sz w:val="13"/>
                          </w:rPr>
                          <w:t>health</w:t>
                        </w:r>
                        <w:r>
                          <w:rPr>
                            <w:color w:val="231F20"/>
                            <w:spacing w:val="-13"/>
                            <w:w w:val="95"/>
                            <w:sz w:val="13"/>
                          </w:rPr>
                          <w:t xml:space="preserve"> </w:t>
                        </w:r>
                        <w:proofErr w:type="spellStart"/>
                        <w:r>
                          <w:rPr>
                            <w:color w:val="231F20"/>
                            <w:w w:val="95"/>
                            <w:sz w:val="13"/>
                          </w:rPr>
                          <w:t>centres</w:t>
                        </w:r>
                        <w:proofErr w:type="spellEnd"/>
                        <w:r>
                          <w:rPr>
                            <w:color w:val="231F20"/>
                            <w:spacing w:val="-13"/>
                            <w:w w:val="95"/>
                            <w:sz w:val="13"/>
                          </w:rPr>
                          <w:t xml:space="preserve"> </w:t>
                        </w:r>
                        <w:r>
                          <w:rPr>
                            <w:color w:val="231F20"/>
                            <w:w w:val="95"/>
                            <w:sz w:val="13"/>
                          </w:rPr>
                          <w:t>and</w:t>
                        </w:r>
                        <w:r>
                          <w:rPr>
                            <w:color w:val="231F20"/>
                            <w:spacing w:val="-13"/>
                            <w:w w:val="95"/>
                            <w:sz w:val="13"/>
                          </w:rPr>
                          <w:t xml:space="preserve"> </w:t>
                        </w:r>
                        <w:r>
                          <w:rPr>
                            <w:color w:val="231F20"/>
                            <w:w w:val="95"/>
                            <w:sz w:val="13"/>
                          </w:rPr>
                          <w:t>facilities</w:t>
                        </w:r>
                        <w:r>
                          <w:rPr>
                            <w:color w:val="231F20"/>
                            <w:spacing w:val="-13"/>
                            <w:w w:val="95"/>
                            <w:sz w:val="13"/>
                          </w:rPr>
                          <w:t xml:space="preserve"> </w:t>
                        </w:r>
                        <w:r>
                          <w:rPr>
                            <w:color w:val="231F20"/>
                            <w:w w:val="95"/>
                            <w:sz w:val="13"/>
                          </w:rPr>
                          <w:t>for</w:t>
                        </w:r>
                        <w:r>
                          <w:rPr>
                            <w:color w:val="231F20"/>
                            <w:spacing w:val="-13"/>
                            <w:w w:val="95"/>
                            <w:sz w:val="13"/>
                          </w:rPr>
                          <w:t xml:space="preserve"> </w:t>
                        </w:r>
                        <w:r>
                          <w:rPr>
                            <w:color w:val="231F20"/>
                            <w:w w:val="95"/>
                            <w:sz w:val="13"/>
                          </w:rPr>
                          <w:t>snakebite</w:t>
                        </w:r>
                        <w:r>
                          <w:rPr>
                            <w:color w:val="231F20"/>
                            <w:spacing w:val="-13"/>
                            <w:w w:val="95"/>
                            <w:sz w:val="13"/>
                          </w:rPr>
                          <w:t xml:space="preserve"> </w:t>
                        </w:r>
                        <w:r>
                          <w:rPr>
                            <w:color w:val="231F20"/>
                            <w:w w:val="95"/>
                            <w:sz w:val="13"/>
                          </w:rPr>
                          <w:t>prevention</w:t>
                        </w:r>
                      </w:p>
                      <w:p w14:paraId="4D60BB26" w14:textId="77777777" w:rsidR="00080B77" w:rsidRDefault="00080B77">
                        <w:pPr>
                          <w:pStyle w:val="TableParagraph"/>
                          <w:spacing w:before="15" w:line="142" w:lineRule="exact"/>
                          <w:ind w:left="25"/>
                          <w:rPr>
                            <w:sz w:val="13"/>
                          </w:rPr>
                        </w:pPr>
                        <w:r>
                          <w:rPr>
                            <w:color w:val="231F20"/>
                            <w:sz w:val="13"/>
                          </w:rPr>
                          <w:t>and control</w:t>
                        </w:r>
                      </w:p>
                    </w:tc>
                    <w:tc>
                      <w:tcPr>
                        <w:tcW w:w="1437" w:type="dxa"/>
                        <w:tcBorders>
                          <w:top w:val="single" w:sz="6" w:space="0" w:color="231F20"/>
                          <w:left w:val="single" w:sz="6" w:space="0" w:color="231F20"/>
                          <w:bottom w:val="single" w:sz="6" w:space="0" w:color="231F20"/>
                          <w:right w:val="single" w:sz="6" w:space="0" w:color="231F20"/>
                        </w:tcBorders>
                      </w:tcPr>
                      <w:p w14:paraId="12F879AC" w14:textId="77777777" w:rsidR="00080B77" w:rsidRDefault="00080B77">
                        <w:pPr>
                          <w:pStyle w:val="TableParagraph"/>
                          <w:spacing w:before="91"/>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61607F4B" w14:textId="77777777" w:rsidR="00080B77" w:rsidRDefault="00080B77">
                        <w:pPr>
                          <w:pStyle w:val="TableParagraph"/>
                          <w:spacing w:before="91"/>
                          <w:ind w:left="26"/>
                          <w:rPr>
                            <w:sz w:val="13"/>
                          </w:rPr>
                        </w:pPr>
                        <w:r>
                          <w:rPr>
                            <w:color w:val="231F20"/>
                            <w:sz w:val="13"/>
                          </w:rPr>
                          <w:t>Conduct supervision</w:t>
                        </w:r>
                      </w:p>
                    </w:tc>
                  </w:tr>
                  <w:tr w:rsidR="00080B77" w14:paraId="626C33DF" w14:textId="77777777">
                    <w:trPr>
                      <w:trHeight w:val="417"/>
                    </w:trPr>
                    <w:tc>
                      <w:tcPr>
                        <w:tcW w:w="403" w:type="dxa"/>
                        <w:tcBorders>
                          <w:top w:val="single" w:sz="6" w:space="0" w:color="231F20"/>
                          <w:left w:val="single" w:sz="12" w:space="0" w:color="231F20"/>
                          <w:bottom w:val="single" w:sz="6" w:space="0" w:color="231F20"/>
                          <w:right w:val="single" w:sz="6" w:space="0" w:color="231F20"/>
                        </w:tcBorders>
                        <w:shd w:val="clear" w:color="auto" w:fill="FFF200"/>
                      </w:tcPr>
                      <w:p w14:paraId="7BF7762F" w14:textId="77777777" w:rsidR="00080B77" w:rsidRDefault="00080B77">
                        <w:pPr>
                          <w:pStyle w:val="TableParagraph"/>
                          <w:spacing w:before="10"/>
                          <w:rPr>
                            <w:sz w:val="11"/>
                          </w:rPr>
                        </w:pPr>
                      </w:p>
                      <w:p w14:paraId="5F7DE29B" w14:textId="77777777" w:rsidR="00080B77" w:rsidRDefault="00080B77">
                        <w:pPr>
                          <w:pStyle w:val="TableParagraph"/>
                          <w:ind w:left="178"/>
                          <w:rPr>
                            <w:b/>
                            <w:sz w:val="13"/>
                          </w:rPr>
                        </w:pPr>
                        <w:r>
                          <w:rPr>
                            <w:b/>
                            <w:color w:val="231F20"/>
                            <w:sz w:val="13"/>
                          </w:rPr>
                          <w:t>8.5</w:t>
                        </w:r>
                      </w:p>
                    </w:tc>
                    <w:tc>
                      <w:tcPr>
                        <w:tcW w:w="5918" w:type="dxa"/>
                        <w:gridSpan w:val="4"/>
                        <w:tcBorders>
                          <w:top w:val="single" w:sz="6" w:space="0" w:color="231F20"/>
                          <w:left w:val="single" w:sz="6" w:space="0" w:color="231F20"/>
                          <w:bottom w:val="single" w:sz="6" w:space="0" w:color="231F20"/>
                        </w:tcBorders>
                        <w:shd w:val="clear" w:color="auto" w:fill="FFF200"/>
                      </w:tcPr>
                      <w:p w14:paraId="7B6B461F" w14:textId="77777777" w:rsidR="00080B77" w:rsidRDefault="00080B77">
                        <w:pPr>
                          <w:pStyle w:val="TableParagraph"/>
                          <w:spacing w:before="47" w:line="271" w:lineRule="auto"/>
                          <w:ind w:left="26" w:right="42" w:firstLine="33"/>
                          <w:rPr>
                            <w:b/>
                            <w:sz w:val="13"/>
                          </w:rPr>
                        </w:pPr>
                        <w:r>
                          <w:rPr>
                            <w:b/>
                            <w:color w:val="231F20"/>
                            <w:w w:val="95"/>
                            <w:sz w:val="13"/>
                          </w:rPr>
                          <w:t>Protect</w:t>
                        </w:r>
                        <w:r>
                          <w:rPr>
                            <w:b/>
                            <w:color w:val="231F20"/>
                            <w:spacing w:val="-16"/>
                            <w:w w:val="95"/>
                            <w:sz w:val="13"/>
                          </w:rPr>
                          <w:t xml:space="preserve"> </w:t>
                        </w:r>
                        <w:r>
                          <w:rPr>
                            <w:b/>
                            <w:color w:val="231F20"/>
                            <w:w w:val="95"/>
                            <w:sz w:val="13"/>
                          </w:rPr>
                          <w:t>human</w:t>
                        </w:r>
                        <w:r>
                          <w:rPr>
                            <w:b/>
                            <w:color w:val="231F20"/>
                            <w:spacing w:val="-16"/>
                            <w:w w:val="95"/>
                            <w:sz w:val="13"/>
                          </w:rPr>
                          <w:t xml:space="preserve"> </w:t>
                        </w:r>
                        <w:r>
                          <w:rPr>
                            <w:b/>
                            <w:color w:val="231F20"/>
                            <w:w w:val="95"/>
                            <w:sz w:val="13"/>
                          </w:rPr>
                          <w:t>health,</w:t>
                        </w:r>
                        <w:r>
                          <w:rPr>
                            <w:b/>
                            <w:color w:val="231F20"/>
                            <w:spacing w:val="-16"/>
                            <w:w w:val="95"/>
                            <w:sz w:val="13"/>
                          </w:rPr>
                          <w:t xml:space="preserve"> </w:t>
                        </w:r>
                        <w:r>
                          <w:rPr>
                            <w:b/>
                            <w:color w:val="231F20"/>
                            <w:w w:val="95"/>
                            <w:sz w:val="13"/>
                          </w:rPr>
                          <w:t>environment</w:t>
                        </w:r>
                        <w:r>
                          <w:rPr>
                            <w:b/>
                            <w:color w:val="231F20"/>
                            <w:spacing w:val="-15"/>
                            <w:w w:val="95"/>
                            <w:sz w:val="13"/>
                          </w:rPr>
                          <w:t xml:space="preserve"> </w:t>
                        </w:r>
                        <w:r>
                          <w:rPr>
                            <w:b/>
                            <w:color w:val="231F20"/>
                            <w:w w:val="95"/>
                            <w:sz w:val="13"/>
                          </w:rPr>
                          <w:t>and</w:t>
                        </w:r>
                        <w:r>
                          <w:rPr>
                            <w:b/>
                            <w:color w:val="231F20"/>
                            <w:spacing w:val="-16"/>
                            <w:w w:val="95"/>
                            <w:sz w:val="13"/>
                          </w:rPr>
                          <w:t xml:space="preserve"> </w:t>
                        </w:r>
                        <w:r>
                          <w:rPr>
                            <w:b/>
                            <w:color w:val="231F20"/>
                            <w:w w:val="95"/>
                            <w:sz w:val="13"/>
                          </w:rPr>
                          <w:t>infrastructure</w:t>
                        </w:r>
                        <w:r>
                          <w:rPr>
                            <w:b/>
                            <w:color w:val="231F20"/>
                            <w:spacing w:val="-16"/>
                            <w:w w:val="95"/>
                            <w:sz w:val="13"/>
                          </w:rPr>
                          <w:t xml:space="preserve"> </w:t>
                        </w:r>
                        <w:r>
                          <w:rPr>
                            <w:b/>
                            <w:color w:val="231F20"/>
                            <w:w w:val="95"/>
                            <w:sz w:val="13"/>
                          </w:rPr>
                          <w:t>from</w:t>
                        </w:r>
                        <w:r>
                          <w:rPr>
                            <w:b/>
                            <w:color w:val="231F20"/>
                            <w:spacing w:val="-16"/>
                            <w:w w:val="95"/>
                            <w:sz w:val="13"/>
                          </w:rPr>
                          <w:t xml:space="preserve"> </w:t>
                        </w:r>
                        <w:r>
                          <w:rPr>
                            <w:b/>
                            <w:color w:val="231F20"/>
                            <w:w w:val="95"/>
                            <w:sz w:val="13"/>
                          </w:rPr>
                          <w:t>chemical</w:t>
                        </w:r>
                        <w:r>
                          <w:rPr>
                            <w:b/>
                            <w:color w:val="231F20"/>
                            <w:spacing w:val="-15"/>
                            <w:w w:val="95"/>
                            <w:sz w:val="13"/>
                          </w:rPr>
                          <w:t xml:space="preserve"> </w:t>
                        </w:r>
                        <w:r>
                          <w:rPr>
                            <w:b/>
                            <w:color w:val="231F20"/>
                            <w:w w:val="95"/>
                            <w:sz w:val="13"/>
                          </w:rPr>
                          <w:t>hazard,</w:t>
                        </w:r>
                        <w:r>
                          <w:rPr>
                            <w:b/>
                            <w:color w:val="231F20"/>
                            <w:spacing w:val="-16"/>
                            <w:w w:val="95"/>
                            <w:sz w:val="13"/>
                          </w:rPr>
                          <w:t xml:space="preserve"> </w:t>
                        </w:r>
                        <w:r>
                          <w:rPr>
                            <w:b/>
                            <w:color w:val="231F20"/>
                            <w:w w:val="95"/>
                            <w:sz w:val="13"/>
                          </w:rPr>
                          <w:t>medical</w:t>
                        </w:r>
                        <w:r>
                          <w:rPr>
                            <w:b/>
                            <w:color w:val="231F20"/>
                            <w:spacing w:val="-16"/>
                            <w:w w:val="95"/>
                            <w:sz w:val="13"/>
                          </w:rPr>
                          <w:t xml:space="preserve"> </w:t>
                        </w:r>
                        <w:r>
                          <w:rPr>
                            <w:b/>
                            <w:color w:val="231F20"/>
                            <w:w w:val="95"/>
                            <w:sz w:val="13"/>
                          </w:rPr>
                          <w:t>&amp;</w:t>
                        </w:r>
                        <w:r>
                          <w:rPr>
                            <w:b/>
                            <w:color w:val="231F20"/>
                            <w:spacing w:val="-16"/>
                            <w:w w:val="95"/>
                            <w:sz w:val="13"/>
                          </w:rPr>
                          <w:t xml:space="preserve"> </w:t>
                        </w:r>
                        <w:r>
                          <w:rPr>
                            <w:b/>
                            <w:color w:val="231F20"/>
                            <w:w w:val="95"/>
                            <w:sz w:val="13"/>
                          </w:rPr>
                          <w:t>Bio</w:t>
                        </w:r>
                        <w:r>
                          <w:rPr>
                            <w:b/>
                            <w:color w:val="231F20"/>
                            <w:spacing w:val="-15"/>
                            <w:w w:val="95"/>
                            <w:sz w:val="13"/>
                          </w:rPr>
                          <w:t xml:space="preserve"> </w:t>
                        </w:r>
                        <w:r>
                          <w:rPr>
                            <w:b/>
                            <w:color w:val="231F20"/>
                            <w:w w:val="95"/>
                            <w:sz w:val="13"/>
                          </w:rPr>
                          <w:t>waste</w:t>
                        </w:r>
                        <w:r>
                          <w:rPr>
                            <w:b/>
                            <w:color w:val="231F20"/>
                            <w:spacing w:val="-16"/>
                            <w:w w:val="95"/>
                            <w:sz w:val="13"/>
                          </w:rPr>
                          <w:t xml:space="preserve"> </w:t>
                        </w:r>
                        <w:r>
                          <w:rPr>
                            <w:b/>
                            <w:color w:val="231F20"/>
                            <w:w w:val="95"/>
                            <w:sz w:val="13"/>
                          </w:rPr>
                          <w:t xml:space="preserve">and </w:t>
                        </w:r>
                        <w:r>
                          <w:rPr>
                            <w:b/>
                            <w:color w:val="231F20"/>
                            <w:sz w:val="13"/>
                          </w:rPr>
                          <w:t>poisoning</w:t>
                        </w:r>
                      </w:p>
                    </w:tc>
                    <w:tc>
                      <w:tcPr>
                        <w:tcW w:w="2953" w:type="dxa"/>
                        <w:gridSpan w:val="2"/>
                        <w:tcBorders>
                          <w:top w:val="single" w:sz="6" w:space="0" w:color="231F20"/>
                          <w:bottom w:val="single" w:sz="6" w:space="0" w:color="231F20"/>
                          <w:right w:val="single" w:sz="6" w:space="0" w:color="231F20"/>
                        </w:tcBorders>
                        <w:shd w:val="clear" w:color="auto" w:fill="FFF200"/>
                      </w:tcPr>
                      <w:p w14:paraId="5D6E1017" w14:textId="77777777" w:rsidR="00080B77" w:rsidRDefault="00080B77">
                        <w:pPr>
                          <w:pStyle w:val="TableParagraph"/>
                          <w:rPr>
                            <w:rFonts w:ascii="Times New Roman"/>
                            <w:sz w:val="10"/>
                          </w:rPr>
                        </w:pPr>
                      </w:p>
                    </w:tc>
                  </w:tr>
                  <w:tr w:rsidR="00080B77" w14:paraId="647628A9" w14:textId="77777777">
                    <w:trPr>
                      <w:trHeight w:val="1605"/>
                    </w:trPr>
                    <w:tc>
                      <w:tcPr>
                        <w:tcW w:w="403" w:type="dxa"/>
                        <w:tcBorders>
                          <w:top w:val="single" w:sz="6" w:space="0" w:color="231F20"/>
                          <w:bottom w:val="nil"/>
                          <w:right w:val="single" w:sz="6" w:space="0" w:color="231F20"/>
                        </w:tcBorders>
                      </w:tcPr>
                      <w:p w14:paraId="6C0ED2F7" w14:textId="77777777" w:rsidR="00080B77" w:rsidRDefault="00080B77">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0FC04F96" w14:textId="77777777" w:rsidR="00080B77" w:rsidRDefault="00080B77">
                        <w:pPr>
                          <w:pStyle w:val="TableParagraph"/>
                          <w:rPr>
                            <w:sz w:val="12"/>
                          </w:rPr>
                        </w:pPr>
                      </w:p>
                      <w:p w14:paraId="5FB9D8B9" w14:textId="77777777" w:rsidR="00080B77" w:rsidRDefault="00080B77">
                        <w:pPr>
                          <w:pStyle w:val="TableParagraph"/>
                          <w:rPr>
                            <w:sz w:val="12"/>
                          </w:rPr>
                        </w:pPr>
                      </w:p>
                      <w:p w14:paraId="77BC29FD" w14:textId="77777777" w:rsidR="00080B77" w:rsidRDefault="00080B77">
                        <w:pPr>
                          <w:pStyle w:val="TableParagraph"/>
                          <w:rPr>
                            <w:sz w:val="12"/>
                          </w:rPr>
                        </w:pPr>
                      </w:p>
                      <w:p w14:paraId="08A3C7A0" w14:textId="77777777" w:rsidR="00080B77" w:rsidRDefault="00080B77">
                        <w:pPr>
                          <w:pStyle w:val="TableParagraph"/>
                          <w:rPr>
                            <w:sz w:val="12"/>
                          </w:rPr>
                        </w:pPr>
                      </w:p>
                      <w:p w14:paraId="0E2DEA38" w14:textId="77777777" w:rsidR="00080B77" w:rsidRDefault="00080B77">
                        <w:pPr>
                          <w:pStyle w:val="TableParagraph"/>
                          <w:spacing w:before="4"/>
                          <w:rPr>
                            <w:sz w:val="15"/>
                          </w:rPr>
                        </w:pPr>
                      </w:p>
                      <w:p w14:paraId="127F1673" w14:textId="77777777" w:rsidR="00080B77" w:rsidRDefault="00080B77">
                        <w:pPr>
                          <w:pStyle w:val="TableParagraph"/>
                          <w:ind w:left="59"/>
                          <w:rPr>
                            <w:sz w:val="13"/>
                          </w:rPr>
                        </w:pPr>
                        <w:r>
                          <w:rPr>
                            <w:color w:val="231F20"/>
                            <w:sz w:val="13"/>
                          </w:rPr>
                          <w:t>8.5.1</w:t>
                        </w:r>
                      </w:p>
                    </w:tc>
                    <w:tc>
                      <w:tcPr>
                        <w:tcW w:w="3059" w:type="dxa"/>
                        <w:gridSpan w:val="2"/>
                        <w:tcBorders>
                          <w:top w:val="single" w:sz="6" w:space="0" w:color="231F20"/>
                          <w:left w:val="single" w:sz="6" w:space="0" w:color="231F20"/>
                          <w:bottom w:val="single" w:sz="6" w:space="0" w:color="231F20"/>
                          <w:right w:val="single" w:sz="6" w:space="0" w:color="231F20"/>
                        </w:tcBorders>
                        <w:shd w:val="clear" w:color="auto" w:fill="CCE7D3"/>
                      </w:tcPr>
                      <w:p w14:paraId="308D04C8" w14:textId="77777777" w:rsidR="00080B77" w:rsidRDefault="00080B77">
                        <w:pPr>
                          <w:pStyle w:val="TableParagraph"/>
                          <w:rPr>
                            <w:sz w:val="12"/>
                          </w:rPr>
                        </w:pPr>
                      </w:p>
                      <w:p w14:paraId="2CFD3FAE" w14:textId="77777777" w:rsidR="00080B77" w:rsidRDefault="00080B77">
                        <w:pPr>
                          <w:pStyle w:val="TableParagraph"/>
                          <w:rPr>
                            <w:sz w:val="12"/>
                          </w:rPr>
                        </w:pPr>
                      </w:p>
                      <w:p w14:paraId="0A80B395" w14:textId="77777777" w:rsidR="00080B77" w:rsidRDefault="00080B77">
                        <w:pPr>
                          <w:pStyle w:val="TableParagraph"/>
                          <w:rPr>
                            <w:sz w:val="12"/>
                          </w:rPr>
                        </w:pPr>
                      </w:p>
                      <w:p w14:paraId="0676058B" w14:textId="77777777" w:rsidR="00080B77" w:rsidRDefault="00080B77">
                        <w:pPr>
                          <w:pStyle w:val="TableParagraph"/>
                          <w:spacing w:before="6"/>
                          <w:rPr>
                            <w:sz w:val="12"/>
                          </w:rPr>
                        </w:pPr>
                      </w:p>
                      <w:p w14:paraId="78BF51A0" w14:textId="77777777" w:rsidR="00080B77" w:rsidRDefault="00080B77">
                        <w:pPr>
                          <w:pStyle w:val="TableParagraph"/>
                          <w:spacing w:line="264" w:lineRule="auto"/>
                          <w:ind w:left="26" w:right="6" w:firstLine="33"/>
                          <w:rPr>
                            <w:sz w:val="13"/>
                          </w:rPr>
                        </w:pPr>
                        <w:r>
                          <w:rPr>
                            <w:color w:val="231F20"/>
                            <w:w w:val="95"/>
                            <w:sz w:val="13"/>
                          </w:rPr>
                          <w:t xml:space="preserve">Strengthen legal, regulatory framework, policies and plans for chemical hazards and poisoning, medical </w:t>
                        </w:r>
                        <w:r>
                          <w:rPr>
                            <w:color w:val="231F20"/>
                            <w:spacing w:val="-5"/>
                            <w:w w:val="95"/>
                            <w:sz w:val="13"/>
                          </w:rPr>
                          <w:t xml:space="preserve">and </w:t>
                        </w:r>
                        <w:r>
                          <w:rPr>
                            <w:color w:val="231F20"/>
                            <w:sz w:val="13"/>
                          </w:rPr>
                          <w:t>Bio waste and climate change</w:t>
                        </w:r>
                      </w:p>
                    </w:tc>
                    <w:tc>
                      <w:tcPr>
                        <w:tcW w:w="2401" w:type="dxa"/>
                        <w:tcBorders>
                          <w:top w:val="single" w:sz="6" w:space="0" w:color="231F20"/>
                          <w:left w:val="single" w:sz="6" w:space="0" w:color="231F20"/>
                          <w:bottom w:val="single" w:sz="6" w:space="0" w:color="231F20"/>
                          <w:right w:val="single" w:sz="6" w:space="0" w:color="231F20"/>
                        </w:tcBorders>
                        <w:shd w:val="clear" w:color="auto" w:fill="CCE7D3"/>
                      </w:tcPr>
                      <w:p w14:paraId="5EAB66CD" w14:textId="77777777" w:rsidR="00080B77" w:rsidRDefault="00080B77">
                        <w:pPr>
                          <w:pStyle w:val="TableParagraph"/>
                          <w:numPr>
                            <w:ilvl w:val="0"/>
                            <w:numId w:val="77"/>
                          </w:numPr>
                          <w:tabs>
                            <w:tab w:val="left" w:pos="101"/>
                          </w:tabs>
                          <w:spacing w:line="256" w:lineRule="auto"/>
                          <w:ind w:right="18" w:firstLine="0"/>
                          <w:rPr>
                            <w:sz w:val="13"/>
                          </w:rPr>
                        </w:pPr>
                        <w:r>
                          <w:rPr>
                            <w:color w:val="231F20"/>
                            <w:sz w:val="13"/>
                          </w:rPr>
                          <w:t xml:space="preserve">Policies and regulations for chemical </w:t>
                        </w:r>
                        <w:r>
                          <w:rPr>
                            <w:color w:val="231F20"/>
                            <w:w w:val="95"/>
                            <w:sz w:val="13"/>
                          </w:rPr>
                          <w:t>hazards</w:t>
                        </w:r>
                        <w:r>
                          <w:rPr>
                            <w:color w:val="231F20"/>
                            <w:spacing w:val="-11"/>
                            <w:w w:val="95"/>
                            <w:sz w:val="13"/>
                          </w:rPr>
                          <w:t xml:space="preserve"> </w:t>
                        </w:r>
                        <w:r>
                          <w:rPr>
                            <w:color w:val="231F20"/>
                            <w:w w:val="95"/>
                            <w:sz w:val="13"/>
                          </w:rPr>
                          <w:t>&amp;</w:t>
                        </w:r>
                        <w:r>
                          <w:rPr>
                            <w:color w:val="231F20"/>
                            <w:spacing w:val="-10"/>
                            <w:w w:val="95"/>
                            <w:sz w:val="13"/>
                          </w:rPr>
                          <w:t xml:space="preserve"> </w:t>
                        </w:r>
                        <w:r>
                          <w:rPr>
                            <w:color w:val="231F20"/>
                            <w:w w:val="95"/>
                            <w:sz w:val="13"/>
                          </w:rPr>
                          <w:t>poisoning,</w:t>
                        </w:r>
                        <w:r>
                          <w:rPr>
                            <w:color w:val="231F20"/>
                            <w:spacing w:val="-11"/>
                            <w:w w:val="95"/>
                            <w:sz w:val="13"/>
                          </w:rPr>
                          <w:t xml:space="preserve"> </w:t>
                        </w:r>
                        <w:r>
                          <w:rPr>
                            <w:color w:val="231F20"/>
                            <w:w w:val="95"/>
                            <w:sz w:val="13"/>
                          </w:rPr>
                          <w:t>medical</w:t>
                        </w:r>
                        <w:r>
                          <w:rPr>
                            <w:color w:val="231F20"/>
                            <w:spacing w:val="-10"/>
                            <w:w w:val="95"/>
                            <w:sz w:val="13"/>
                          </w:rPr>
                          <w:t xml:space="preserve"> </w:t>
                        </w:r>
                        <w:r>
                          <w:rPr>
                            <w:color w:val="231F20"/>
                            <w:w w:val="95"/>
                            <w:sz w:val="13"/>
                          </w:rPr>
                          <w:t>&amp;</w:t>
                        </w:r>
                        <w:r>
                          <w:rPr>
                            <w:color w:val="231F20"/>
                            <w:spacing w:val="-11"/>
                            <w:w w:val="95"/>
                            <w:sz w:val="13"/>
                          </w:rPr>
                          <w:t xml:space="preserve"> </w:t>
                        </w:r>
                        <w:r>
                          <w:rPr>
                            <w:color w:val="231F20"/>
                            <w:w w:val="95"/>
                            <w:sz w:val="13"/>
                          </w:rPr>
                          <w:t>Bio</w:t>
                        </w:r>
                        <w:r>
                          <w:rPr>
                            <w:color w:val="231F20"/>
                            <w:spacing w:val="-10"/>
                            <w:w w:val="95"/>
                            <w:sz w:val="13"/>
                          </w:rPr>
                          <w:t xml:space="preserve"> </w:t>
                        </w:r>
                        <w:r>
                          <w:rPr>
                            <w:color w:val="231F20"/>
                            <w:w w:val="95"/>
                            <w:sz w:val="13"/>
                          </w:rPr>
                          <w:t>waste</w:t>
                        </w:r>
                        <w:r>
                          <w:rPr>
                            <w:color w:val="231F20"/>
                            <w:spacing w:val="-10"/>
                            <w:w w:val="95"/>
                            <w:sz w:val="13"/>
                          </w:rPr>
                          <w:t xml:space="preserve"> </w:t>
                        </w:r>
                        <w:r>
                          <w:rPr>
                            <w:color w:val="231F20"/>
                            <w:spacing w:val="-15"/>
                            <w:w w:val="95"/>
                            <w:sz w:val="13"/>
                          </w:rPr>
                          <w:t xml:space="preserve">&amp; </w:t>
                        </w:r>
                        <w:r>
                          <w:rPr>
                            <w:color w:val="231F20"/>
                            <w:sz w:val="13"/>
                          </w:rPr>
                          <w:t>climate change adapted, printed &amp; disseminated</w:t>
                        </w:r>
                      </w:p>
                      <w:p w14:paraId="7093B417" w14:textId="77777777" w:rsidR="00080B77" w:rsidRDefault="00080B77">
                        <w:pPr>
                          <w:pStyle w:val="TableParagraph"/>
                          <w:numPr>
                            <w:ilvl w:val="0"/>
                            <w:numId w:val="77"/>
                          </w:numPr>
                          <w:tabs>
                            <w:tab w:val="left" w:pos="101"/>
                          </w:tabs>
                          <w:spacing w:line="256" w:lineRule="auto"/>
                          <w:ind w:right="83" w:firstLine="0"/>
                          <w:rPr>
                            <w:sz w:val="13"/>
                          </w:rPr>
                        </w:pPr>
                        <w:r>
                          <w:rPr>
                            <w:color w:val="231F20"/>
                            <w:w w:val="95"/>
                            <w:sz w:val="13"/>
                          </w:rPr>
                          <w:t>Stakeholders</w:t>
                        </w:r>
                        <w:r>
                          <w:rPr>
                            <w:color w:val="231F20"/>
                            <w:spacing w:val="-14"/>
                            <w:w w:val="95"/>
                            <w:sz w:val="13"/>
                          </w:rPr>
                          <w:t xml:space="preserve"> </w:t>
                        </w:r>
                        <w:r>
                          <w:rPr>
                            <w:color w:val="231F20"/>
                            <w:w w:val="95"/>
                            <w:sz w:val="13"/>
                          </w:rPr>
                          <w:t>meeting</w:t>
                        </w:r>
                        <w:r>
                          <w:rPr>
                            <w:color w:val="231F20"/>
                            <w:spacing w:val="-14"/>
                            <w:w w:val="95"/>
                            <w:sz w:val="13"/>
                          </w:rPr>
                          <w:t xml:space="preserve"> </w:t>
                        </w:r>
                        <w:r>
                          <w:rPr>
                            <w:color w:val="231F20"/>
                            <w:w w:val="95"/>
                            <w:sz w:val="13"/>
                          </w:rPr>
                          <w:t>on</w:t>
                        </w:r>
                        <w:r>
                          <w:rPr>
                            <w:color w:val="231F20"/>
                            <w:spacing w:val="-14"/>
                            <w:w w:val="95"/>
                            <w:sz w:val="13"/>
                          </w:rPr>
                          <w:t xml:space="preserve"> </w:t>
                        </w:r>
                        <w:r>
                          <w:rPr>
                            <w:color w:val="231F20"/>
                            <w:w w:val="95"/>
                            <w:sz w:val="13"/>
                          </w:rPr>
                          <w:t>legal</w:t>
                        </w:r>
                        <w:r>
                          <w:rPr>
                            <w:color w:val="231F20"/>
                            <w:spacing w:val="-13"/>
                            <w:w w:val="95"/>
                            <w:sz w:val="13"/>
                          </w:rPr>
                          <w:t xml:space="preserve"> </w:t>
                        </w:r>
                        <w:r>
                          <w:rPr>
                            <w:color w:val="231F20"/>
                            <w:spacing w:val="-3"/>
                            <w:w w:val="95"/>
                            <w:sz w:val="13"/>
                          </w:rPr>
                          <w:t xml:space="preserve">framework </w:t>
                        </w:r>
                        <w:r>
                          <w:rPr>
                            <w:color w:val="231F20"/>
                            <w:sz w:val="13"/>
                          </w:rPr>
                          <w:t>for</w:t>
                        </w:r>
                        <w:r>
                          <w:rPr>
                            <w:color w:val="231F20"/>
                            <w:spacing w:val="-22"/>
                            <w:sz w:val="13"/>
                          </w:rPr>
                          <w:t xml:space="preserve"> </w:t>
                        </w:r>
                        <w:r>
                          <w:rPr>
                            <w:color w:val="231F20"/>
                            <w:sz w:val="13"/>
                          </w:rPr>
                          <w:t>chemical</w:t>
                        </w:r>
                        <w:r>
                          <w:rPr>
                            <w:color w:val="231F20"/>
                            <w:spacing w:val="-22"/>
                            <w:sz w:val="13"/>
                          </w:rPr>
                          <w:t xml:space="preserve"> </w:t>
                        </w:r>
                        <w:r>
                          <w:rPr>
                            <w:color w:val="231F20"/>
                            <w:sz w:val="13"/>
                          </w:rPr>
                          <w:t>hazards</w:t>
                        </w:r>
                        <w:r>
                          <w:rPr>
                            <w:color w:val="231F20"/>
                            <w:spacing w:val="-22"/>
                            <w:sz w:val="13"/>
                          </w:rPr>
                          <w:t xml:space="preserve"> </w:t>
                        </w:r>
                        <w:r>
                          <w:rPr>
                            <w:color w:val="231F20"/>
                            <w:sz w:val="13"/>
                          </w:rPr>
                          <w:t>and</w:t>
                        </w:r>
                        <w:r>
                          <w:rPr>
                            <w:color w:val="231F20"/>
                            <w:spacing w:val="-22"/>
                            <w:sz w:val="13"/>
                          </w:rPr>
                          <w:t xml:space="preserve"> </w:t>
                        </w:r>
                        <w:r>
                          <w:rPr>
                            <w:color w:val="231F20"/>
                            <w:sz w:val="13"/>
                          </w:rPr>
                          <w:t>poisoning</w:t>
                        </w:r>
                        <w:r>
                          <w:rPr>
                            <w:color w:val="231F20"/>
                            <w:spacing w:val="-22"/>
                            <w:sz w:val="13"/>
                          </w:rPr>
                          <w:t xml:space="preserve"> </w:t>
                        </w:r>
                        <w:r>
                          <w:rPr>
                            <w:color w:val="231F20"/>
                            <w:sz w:val="13"/>
                          </w:rPr>
                          <w:t>held regularly</w:t>
                        </w:r>
                      </w:p>
                      <w:p w14:paraId="6D70CC97" w14:textId="77777777" w:rsidR="00080B77" w:rsidRDefault="00080B77">
                        <w:pPr>
                          <w:pStyle w:val="TableParagraph"/>
                          <w:numPr>
                            <w:ilvl w:val="0"/>
                            <w:numId w:val="77"/>
                          </w:numPr>
                          <w:tabs>
                            <w:tab w:val="left" w:pos="95"/>
                          </w:tabs>
                          <w:spacing w:line="256" w:lineRule="auto"/>
                          <w:ind w:right="125" w:firstLine="0"/>
                          <w:rPr>
                            <w:sz w:val="13"/>
                          </w:rPr>
                        </w:pPr>
                        <w:r>
                          <w:rPr>
                            <w:color w:val="231F20"/>
                            <w:sz w:val="13"/>
                          </w:rPr>
                          <w:t xml:space="preserve">Advocacy to government officials and </w:t>
                        </w:r>
                        <w:r>
                          <w:rPr>
                            <w:color w:val="231F20"/>
                            <w:w w:val="95"/>
                            <w:sz w:val="13"/>
                          </w:rPr>
                          <w:t>other</w:t>
                        </w:r>
                        <w:r>
                          <w:rPr>
                            <w:color w:val="231F20"/>
                            <w:spacing w:val="-11"/>
                            <w:w w:val="95"/>
                            <w:sz w:val="13"/>
                          </w:rPr>
                          <w:t xml:space="preserve"> </w:t>
                        </w:r>
                        <w:r>
                          <w:rPr>
                            <w:color w:val="231F20"/>
                            <w:w w:val="95"/>
                            <w:sz w:val="13"/>
                          </w:rPr>
                          <w:t>stakeholders</w:t>
                        </w:r>
                        <w:r>
                          <w:rPr>
                            <w:color w:val="231F20"/>
                            <w:spacing w:val="-10"/>
                            <w:w w:val="95"/>
                            <w:sz w:val="13"/>
                          </w:rPr>
                          <w:t xml:space="preserve"> </w:t>
                        </w:r>
                        <w:r>
                          <w:rPr>
                            <w:color w:val="231F20"/>
                            <w:w w:val="95"/>
                            <w:sz w:val="13"/>
                          </w:rPr>
                          <w:t>on</w:t>
                        </w:r>
                        <w:r>
                          <w:rPr>
                            <w:color w:val="231F20"/>
                            <w:spacing w:val="-10"/>
                            <w:w w:val="95"/>
                            <w:sz w:val="13"/>
                          </w:rPr>
                          <w:t xml:space="preserve"> </w:t>
                        </w:r>
                        <w:r>
                          <w:rPr>
                            <w:color w:val="231F20"/>
                            <w:w w:val="95"/>
                            <w:sz w:val="13"/>
                          </w:rPr>
                          <w:t>the</w:t>
                        </w:r>
                        <w:r>
                          <w:rPr>
                            <w:color w:val="231F20"/>
                            <w:spacing w:val="-10"/>
                            <w:w w:val="95"/>
                            <w:sz w:val="13"/>
                          </w:rPr>
                          <w:t xml:space="preserve"> </w:t>
                        </w:r>
                        <w:r>
                          <w:rPr>
                            <w:color w:val="231F20"/>
                            <w:w w:val="95"/>
                            <w:sz w:val="13"/>
                          </w:rPr>
                          <w:t>need</w:t>
                        </w:r>
                        <w:r>
                          <w:rPr>
                            <w:color w:val="231F20"/>
                            <w:spacing w:val="-11"/>
                            <w:w w:val="95"/>
                            <w:sz w:val="13"/>
                          </w:rPr>
                          <w:t xml:space="preserve"> </w:t>
                        </w:r>
                        <w:r>
                          <w:rPr>
                            <w:color w:val="231F20"/>
                            <w:w w:val="95"/>
                            <w:sz w:val="13"/>
                          </w:rPr>
                          <w:t>to</w:t>
                        </w:r>
                        <w:r>
                          <w:rPr>
                            <w:color w:val="231F20"/>
                            <w:spacing w:val="-10"/>
                            <w:w w:val="95"/>
                            <w:sz w:val="13"/>
                          </w:rPr>
                          <w:t xml:space="preserve"> </w:t>
                        </w:r>
                        <w:r>
                          <w:rPr>
                            <w:color w:val="231F20"/>
                            <w:spacing w:val="-3"/>
                            <w:w w:val="95"/>
                            <w:sz w:val="13"/>
                          </w:rPr>
                          <w:t>mitigate</w:t>
                        </w:r>
                      </w:p>
                      <w:p w14:paraId="1B65AEF9" w14:textId="77777777" w:rsidR="00080B77" w:rsidRDefault="00080B77">
                        <w:pPr>
                          <w:pStyle w:val="TableParagraph"/>
                          <w:spacing w:before="1" w:line="144" w:lineRule="exact"/>
                          <w:ind w:left="25"/>
                          <w:rPr>
                            <w:sz w:val="13"/>
                          </w:rPr>
                        </w:pPr>
                        <w:r>
                          <w:rPr>
                            <w:color w:val="231F20"/>
                            <w:sz w:val="13"/>
                          </w:rPr>
                          <w:t>the effects chemical hazards on climate</w:t>
                        </w:r>
                      </w:p>
                    </w:tc>
                    <w:tc>
                      <w:tcPr>
                        <w:tcW w:w="1437" w:type="dxa"/>
                        <w:tcBorders>
                          <w:top w:val="single" w:sz="6" w:space="0" w:color="231F20"/>
                          <w:left w:val="single" w:sz="6" w:space="0" w:color="231F20"/>
                          <w:bottom w:val="single" w:sz="6" w:space="0" w:color="231F20"/>
                          <w:right w:val="single" w:sz="6" w:space="0" w:color="231F20"/>
                        </w:tcBorders>
                        <w:shd w:val="clear" w:color="auto" w:fill="CCE7D3"/>
                      </w:tcPr>
                      <w:p w14:paraId="26F65283" w14:textId="77777777" w:rsidR="00080B77" w:rsidRDefault="00080B77">
                        <w:pPr>
                          <w:pStyle w:val="TableParagraph"/>
                          <w:rPr>
                            <w:rFonts w:ascii="Times New Roman"/>
                            <w:sz w:val="10"/>
                          </w:rPr>
                        </w:pPr>
                      </w:p>
                    </w:tc>
                    <w:tc>
                      <w:tcPr>
                        <w:tcW w:w="1516" w:type="dxa"/>
                        <w:tcBorders>
                          <w:top w:val="single" w:sz="6" w:space="0" w:color="231F20"/>
                          <w:left w:val="single" w:sz="6" w:space="0" w:color="231F20"/>
                          <w:bottom w:val="single" w:sz="6" w:space="0" w:color="231F20"/>
                          <w:right w:val="single" w:sz="6" w:space="0" w:color="231F20"/>
                        </w:tcBorders>
                        <w:shd w:val="clear" w:color="auto" w:fill="CCE7D3"/>
                      </w:tcPr>
                      <w:p w14:paraId="52C82D14" w14:textId="77777777" w:rsidR="00080B77" w:rsidRDefault="00080B77">
                        <w:pPr>
                          <w:pStyle w:val="TableParagraph"/>
                          <w:rPr>
                            <w:rFonts w:ascii="Times New Roman"/>
                            <w:sz w:val="10"/>
                          </w:rPr>
                        </w:pPr>
                      </w:p>
                    </w:tc>
                  </w:tr>
                  <w:tr w:rsidR="00080B77" w14:paraId="0953D4D4" w14:textId="77777777">
                    <w:trPr>
                      <w:trHeight w:val="454"/>
                    </w:trPr>
                    <w:tc>
                      <w:tcPr>
                        <w:tcW w:w="861" w:type="dxa"/>
                        <w:gridSpan w:val="2"/>
                        <w:vMerge w:val="restart"/>
                        <w:tcBorders>
                          <w:top w:val="nil"/>
                          <w:bottom w:val="nil"/>
                          <w:right w:val="single" w:sz="6" w:space="0" w:color="231F20"/>
                        </w:tcBorders>
                      </w:tcPr>
                      <w:p w14:paraId="2402D7C7"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1C1CB4DA" w14:textId="77777777" w:rsidR="00080B77" w:rsidRDefault="00080B77">
                        <w:pPr>
                          <w:pStyle w:val="TableParagraph"/>
                          <w:spacing w:before="4"/>
                          <w:rPr>
                            <w:sz w:val="13"/>
                          </w:rPr>
                        </w:pPr>
                      </w:p>
                      <w:p w14:paraId="1452D495" w14:textId="77777777" w:rsidR="00080B77" w:rsidRDefault="00080B77">
                        <w:pPr>
                          <w:pStyle w:val="TableParagraph"/>
                          <w:ind w:left="49" w:right="27"/>
                          <w:jc w:val="center"/>
                          <w:rPr>
                            <w:sz w:val="13"/>
                          </w:rPr>
                        </w:pPr>
                        <w:r>
                          <w:rPr>
                            <w:color w:val="231F20"/>
                            <w:sz w:val="13"/>
                          </w:rPr>
                          <w:t>8.5.1.a</w:t>
                        </w:r>
                      </w:p>
                    </w:tc>
                    <w:tc>
                      <w:tcPr>
                        <w:tcW w:w="4930" w:type="dxa"/>
                        <w:gridSpan w:val="2"/>
                        <w:tcBorders>
                          <w:top w:val="single" w:sz="6" w:space="0" w:color="231F20"/>
                          <w:left w:val="single" w:sz="6" w:space="0" w:color="231F20"/>
                          <w:bottom w:val="single" w:sz="6" w:space="0" w:color="231F20"/>
                          <w:right w:val="single" w:sz="6" w:space="0" w:color="231F20"/>
                        </w:tcBorders>
                      </w:tcPr>
                      <w:p w14:paraId="48B2133F" w14:textId="77777777" w:rsidR="00080B77" w:rsidRDefault="00080B77">
                        <w:pPr>
                          <w:pStyle w:val="TableParagraph"/>
                          <w:spacing w:before="65" w:line="264" w:lineRule="auto"/>
                          <w:ind w:left="25" w:right="439"/>
                          <w:rPr>
                            <w:sz w:val="13"/>
                          </w:rPr>
                        </w:pPr>
                        <w:r>
                          <w:rPr>
                            <w:color w:val="231F20"/>
                            <w:w w:val="95"/>
                            <w:sz w:val="13"/>
                          </w:rPr>
                          <w:t>Adapt,</w:t>
                        </w:r>
                        <w:r>
                          <w:rPr>
                            <w:color w:val="231F20"/>
                            <w:spacing w:val="-16"/>
                            <w:w w:val="95"/>
                            <w:sz w:val="13"/>
                          </w:rPr>
                          <w:t xml:space="preserve"> </w:t>
                        </w:r>
                        <w:r>
                          <w:rPr>
                            <w:color w:val="231F20"/>
                            <w:w w:val="95"/>
                            <w:sz w:val="13"/>
                          </w:rPr>
                          <w:t>print</w:t>
                        </w:r>
                        <w:r>
                          <w:rPr>
                            <w:color w:val="231F20"/>
                            <w:spacing w:val="-15"/>
                            <w:w w:val="95"/>
                            <w:sz w:val="13"/>
                          </w:rPr>
                          <w:t xml:space="preserve"> </w:t>
                        </w:r>
                        <w:r>
                          <w:rPr>
                            <w:color w:val="231F20"/>
                            <w:w w:val="95"/>
                            <w:sz w:val="13"/>
                          </w:rPr>
                          <w:t>and</w:t>
                        </w:r>
                        <w:r>
                          <w:rPr>
                            <w:color w:val="231F20"/>
                            <w:spacing w:val="-16"/>
                            <w:w w:val="95"/>
                            <w:sz w:val="13"/>
                          </w:rPr>
                          <w:t xml:space="preserve"> </w:t>
                        </w:r>
                        <w:r>
                          <w:rPr>
                            <w:color w:val="231F20"/>
                            <w:w w:val="95"/>
                            <w:sz w:val="13"/>
                          </w:rPr>
                          <w:t>disseminate</w:t>
                        </w:r>
                        <w:r>
                          <w:rPr>
                            <w:color w:val="231F20"/>
                            <w:spacing w:val="-15"/>
                            <w:w w:val="95"/>
                            <w:sz w:val="13"/>
                          </w:rPr>
                          <w:t xml:space="preserve"> </w:t>
                        </w:r>
                        <w:r>
                          <w:rPr>
                            <w:color w:val="231F20"/>
                            <w:w w:val="95"/>
                            <w:sz w:val="13"/>
                          </w:rPr>
                          <w:t>relevant</w:t>
                        </w:r>
                        <w:r>
                          <w:rPr>
                            <w:color w:val="231F20"/>
                            <w:spacing w:val="-16"/>
                            <w:w w:val="95"/>
                            <w:sz w:val="13"/>
                          </w:rPr>
                          <w:t xml:space="preserve"> </w:t>
                        </w:r>
                        <w:r>
                          <w:rPr>
                            <w:color w:val="231F20"/>
                            <w:w w:val="95"/>
                            <w:sz w:val="13"/>
                          </w:rPr>
                          <w:t>policies</w:t>
                        </w:r>
                        <w:r>
                          <w:rPr>
                            <w:color w:val="231F20"/>
                            <w:spacing w:val="-15"/>
                            <w:w w:val="95"/>
                            <w:sz w:val="13"/>
                          </w:rPr>
                          <w:t xml:space="preserve"> </w:t>
                        </w:r>
                        <w:r>
                          <w:rPr>
                            <w:color w:val="231F20"/>
                            <w:w w:val="95"/>
                            <w:sz w:val="13"/>
                          </w:rPr>
                          <w:t>and</w:t>
                        </w:r>
                        <w:r>
                          <w:rPr>
                            <w:color w:val="231F20"/>
                            <w:spacing w:val="-15"/>
                            <w:w w:val="95"/>
                            <w:sz w:val="13"/>
                          </w:rPr>
                          <w:t xml:space="preserve"> </w:t>
                        </w:r>
                        <w:r>
                          <w:rPr>
                            <w:color w:val="231F20"/>
                            <w:w w:val="95"/>
                            <w:sz w:val="13"/>
                          </w:rPr>
                          <w:t>regulations</w:t>
                        </w:r>
                        <w:r>
                          <w:rPr>
                            <w:color w:val="231F20"/>
                            <w:spacing w:val="-16"/>
                            <w:w w:val="95"/>
                            <w:sz w:val="13"/>
                          </w:rPr>
                          <w:t xml:space="preserve"> </w:t>
                        </w:r>
                        <w:r>
                          <w:rPr>
                            <w:color w:val="231F20"/>
                            <w:w w:val="95"/>
                            <w:sz w:val="13"/>
                          </w:rPr>
                          <w:t>for</w:t>
                        </w:r>
                        <w:r>
                          <w:rPr>
                            <w:color w:val="231F20"/>
                            <w:spacing w:val="-15"/>
                            <w:w w:val="95"/>
                            <w:sz w:val="13"/>
                          </w:rPr>
                          <w:t xml:space="preserve"> </w:t>
                        </w:r>
                        <w:r>
                          <w:rPr>
                            <w:color w:val="231F20"/>
                            <w:w w:val="95"/>
                            <w:sz w:val="13"/>
                          </w:rPr>
                          <w:t>chemical</w:t>
                        </w:r>
                        <w:r>
                          <w:rPr>
                            <w:color w:val="231F20"/>
                            <w:spacing w:val="-16"/>
                            <w:w w:val="95"/>
                            <w:sz w:val="13"/>
                          </w:rPr>
                          <w:t xml:space="preserve"> </w:t>
                        </w:r>
                        <w:proofErr w:type="spellStart"/>
                        <w:r>
                          <w:rPr>
                            <w:color w:val="231F20"/>
                            <w:w w:val="95"/>
                            <w:sz w:val="13"/>
                          </w:rPr>
                          <w:t>chemical</w:t>
                        </w:r>
                        <w:proofErr w:type="spellEnd"/>
                        <w:r>
                          <w:rPr>
                            <w:color w:val="231F20"/>
                            <w:w w:val="95"/>
                            <w:sz w:val="13"/>
                          </w:rPr>
                          <w:t xml:space="preserve"> </w:t>
                        </w:r>
                        <w:r>
                          <w:rPr>
                            <w:color w:val="231F20"/>
                            <w:sz w:val="13"/>
                          </w:rPr>
                          <w:t>hazards</w:t>
                        </w:r>
                        <w:r>
                          <w:rPr>
                            <w:color w:val="231F20"/>
                            <w:spacing w:val="-8"/>
                            <w:sz w:val="13"/>
                          </w:rPr>
                          <w:t xml:space="preserve"> </w:t>
                        </w:r>
                        <w:r>
                          <w:rPr>
                            <w:color w:val="231F20"/>
                            <w:sz w:val="13"/>
                          </w:rPr>
                          <w:t>&amp;</w:t>
                        </w:r>
                        <w:r>
                          <w:rPr>
                            <w:color w:val="231F20"/>
                            <w:spacing w:val="-8"/>
                            <w:sz w:val="13"/>
                          </w:rPr>
                          <w:t xml:space="preserve"> </w:t>
                        </w:r>
                        <w:r>
                          <w:rPr>
                            <w:color w:val="231F20"/>
                            <w:sz w:val="13"/>
                          </w:rPr>
                          <w:t>poising,</w:t>
                        </w:r>
                        <w:r>
                          <w:rPr>
                            <w:color w:val="231F20"/>
                            <w:spacing w:val="-8"/>
                            <w:sz w:val="13"/>
                          </w:rPr>
                          <w:t xml:space="preserve"> </w:t>
                        </w:r>
                        <w:r>
                          <w:rPr>
                            <w:color w:val="231F20"/>
                            <w:sz w:val="13"/>
                          </w:rPr>
                          <w:t>medical</w:t>
                        </w:r>
                        <w:r>
                          <w:rPr>
                            <w:color w:val="231F20"/>
                            <w:spacing w:val="-7"/>
                            <w:sz w:val="13"/>
                          </w:rPr>
                          <w:t xml:space="preserve"> </w:t>
                        </w:r>
                        <w:r>
                          <w:rPr>
                            <w:color w:val="231F20"/>
                            <w:sz w:val="13"/>
                          </w:rPr>
                          <w:t>&amp;</w:t>
                        </w:r>
                        <w:r>
                          <w:rPr>
                            <w:color w:val="231F20"/>
                            <w:spacing w:val="-8"/>
                            <w:sz w:val="13"/>
                          </w:rPr>
                          <w:t xml:space="preserve"> </w:t>
                        </w:r>
                        <w:r>
                          <w:rPr>
                            <w:color w:val="231F20"/>
                            <w:sz w:val="13"/>
                          </w:rPr>
                          <w:t>Bio</w:t>
                        </w:r>
                        <w:r>
                          <w:rPr>
                            <w:color w:val="231F20"/>
                            <w:spacing w:val="-8"/>
                            <w:sz w:val="13"/>
                          </w:rPr>
                          <w:t xml:space="preserve"> </w:t>
                        </w:r>
                        <w:r>
                          <w:rPr>
                            <w:color w:val="231F20"/>
                            <w:sz w:val="13"/>
                          </w:rPr>
                          <w:t>waste</w:t>
                        </w:r>
                        <w:r>
                          <w:rPr>
                            <w:color w:val="231F20"/>
                            <w:spacing w:val="-7"/>
                            <w:sz w:val="13"/>
                          </w:rPr>
                          <w:t xml:space="preserve"> </w:t>
                        </w:r>
                        <w:r>
                          <w:rPr>
                            <w:color w:val="231F20"/>
                            <w:sz w:val="13"/>
                          </w:rPr>
                          <w:t>&amp;</w:t>
                        </w:r>
                        <w:r>
                          <w:rPr>
                            <w:color w:val="231F20"/>
                            <w:spacing w:val="-8"/>
                            <w:sz w:val="13"/>
                          </w:rPr>
                          <w:t xml:space="preserve"> </w:t>
                        </w:r>
                        <w:r>
                          <w:rPr>
                            <w:color w:val="231F20"/>
                            <w:sz w:val="13"/>
                          </w:rPr>
                          <w:t>climate</w:t>
                        </w:r>
                        <w:r>
                          <w:rPr>
                            <w:color w:val="231F20"/>
                            <w:spacing w:val="-8"/>
                            <w:sz w:val="13"/>
                          </w:rPr>
                          <w:t xml:space="preserve"> </w:t>
                        </w:r>
                        <w:r>
                          <w:rPr>
                            <w:color w:val="231F20"/>
                            <w:sz w:val="13"/>
                          </w:rPr>
                          <w:t>change</w:t>
                        </w:r>
                      </w:p>
                    </w:tc>
                    <w:tc>
                      <w:tcPr>
                        <w:tcW w:w="1437" w:type="dxa"/>
                        <w:tcBorders>
                          <w:top w:val="single" w:sz="6" w:space="0" w:color="231F20"/>
                          <w:left w:val="single" w:sz="6" w:space="0" w:color="231F20"/>
                          <w:bottom w:val="single" w:sz="6" w:space="0" w:color="231F20"/>
                          <w:right w:val="single" w:sz="6" w:space="0" w:color="231F20"/>
                        </w:tcBorders>
                      </w:tcPr>
                      <w:p w14:paraId="72993DC9" w14:textId="77777777" w:rsidR="00080B77" w:rsidRDefault="00080B77">
                        <w:pPr>
                          <w:pStyle w:val="TableParagraph"/>
                          <w:spacing w:before="4"/>
                          <w:rPr>
                            <w:sz w:val="13"/>
                          </w:rPr>
                        </w:pPr>
                      </w:p>
                      <w:p w14:paraId="7BE4496B" w14:textId="77777777" w:rsidR="00080B77" w:rsidRDefault="00080B77">
                        <w:pPr>
                          <w:pStyle w:val="TableParagraph"/>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7FE18262" w14:textId="77777777" w:rsidR="00080B77" w:rsidRDefault="00080B77">
                        <w:pPr>
                          <w:pStyle w:val="TableParagraph"/>
                          <w:spacing w:before="71" w:line="264" w:lineRule="auto"/>
                          <w:ind w:left="26"/>
                          <w:rPr>
                            <w:sz w:val="13"/>
                          </w:rPr>
                        </w:pPr>
                        <w:r>
                          <w:rPr>
                            <w:color w:val="231F20"/>
                            <w:w w:val="95"/>
                            <w:sz w:val="13"/>
                          </w:rPr>
                          <w:t xml:space="preserve">Adapt, print and </w:t>
                        </w:r>
                        <w:r>
                          <w:rPr>
                            <w:color w:val="231F20"/>
                            <w:sz w:val="13"/>
                          </w:rPr>
                          <w:t>disseminate</w:t>
                        </w:r>
                      </w:p>
                    </w:tc>
                  </w:tr>
                  <w:tr w:rsidR="00080B77" w14:paraId="5A7689EE" w14:textId="77777777">
                    <w:trPr>
                      <w:trHeight w:val="304"/>
                    </w:trPr>
                    <w:tc>
                      <w:tcPr>
                        <w:tcW w:w="861" w:type="dxa"/>
                        <w:gridSpan w:val="2"/>
                        <w:vMerge/>
                        <w:tcBorders>
                          <w:top w:val="nil"/>
                          <w:bottom w:val="nil"/>
                          <w:right w:val="single" w:sz="6" w:space="0" w:color="231F20"/>
                        </w:tcBorders>
                      </w:tcPr>
                      <w:p w14:paraId="701879CB"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76054419" w14:textId="77777777" w:rsidR="00080B77" w:rsidRDefault="00080B77">
                        <w:pPr>
                          <w:pStyle w:val="TableParagraph"/>
                          <w:spacing w:before="79"/>
                          <w:ind w:left="49" w:right="27"/>
                          <w:jc w:val="center"/>
                          <w:rPr>
                            <w:sz w:val="13"/>
                          </w:rPr>
                        </w:pPr>
                        <w:r>
                          <w:rPr>
                            <w:color w:val="231F20"/>
                            <w:sz w:val="13"/>
                          </w:rPr>
                          <w:t>8.5.1.b</w:t>
                        </w:r>
                      </w:p>
                    </w:tc>
                    <w:tc>
                      <w:tcPr>
                        <w:tcW w:w="4930" w:type="dxa"/>
                        <w:gridSpan w:val="2"/>
                        <w:tcBorders>
                          <w:top w:val="single" w:sz="6" w:space="0" w:color="231F20"/>
                          <w:left w:val="single" w:sz="6" w:space="0" w:color="231F20"/>
                          <w:bottom w:val="single" w:sz="6" w:space="0" w:color="231F20"/>
                          <w:right w:val="single" w:sz="6" w:space="0" w:color="231F20"/>
                        </w:tcBorders>
                      </w:tcPr>
                      <w:p w14:paraId="43126DE4" w14:textId="77777777" w:rsidR="00080B77" w:rsidRDefault="00080B77">
                        <w:pPr>
                          <w:pStyle w:val="TableParagraph"/>
                          <w:spacing w:before="74"/>
                          <w:ind w:left="25"/>
                          <w:rPr>
                            <w:sz w:val="13"/>
                          </w:rPr>
                        </w:pPr>
                        <w:r>
                          <w:rPr>
                            <w:color w:val="231F20"/>
                            <w:sz w:val="13"/>
                          </w:rPr>
                          <w:t>Develop health protection policy for children</w:t>
                        </w:r>
                      </w:p>
                    </w:tc>
                    <w:tc>
                      <w:tcPr>
                        <w:tcW w:w="1437" w:type="dxa"/>
                        <w:tcBorders>
                          <w:top w:val="single" w:sz="6" w:space="0" w:color="231F20"/>
                          <w:left w:val="single" w:sz="6" w:space="0" w:color="231F20"/>
                          <w:bottom w:val="single" w:sz="6" w:space="0" w:color="231F20"/>
                          <w:right w:val="single" w:sz="6" w:space="0" w:color="231F20"/>
                        </w:tcBorders>
                      </w:tcPr>
                      <w:p w14:paraId="350E9294" w14:textId="77777777" w:rsidR="00080B77" w:rsidRDefault="00080B77">
                        <w:pPr>
                          <w:pStyle w:val="TableParagraph"/>
                          <w:spacing w:before="79"/>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0B1A0DF0" w14:textId="77777777" w:rsidR="00080B77" w:rsidRDefault="00080B77">
                        <w:pPr>
                          <w:pStyle w:val="TableParagraph"/>
                          <w:spacing w:before="1"/>
                          <w:ind w:left="26"/>
                          <w:rPr>
                            <w:sz w:val="13"/>
                          </w:rPr>
                        </w:pPr>
                        <w:r>
                          <w:rPr>
                            <w:color w:val="231F20"/>
                            <w:sz w:val="13"/>
                          </w:rPr>
                          <w:t>Develop health protection</w:t>
                        </w:r>
                      </w:p>
                      <w:p w14:paraId="01955F52" w14:textId="77777777" w:rsidR="00080B77" w:rsidRDefault="00080B77">
                        <w:pPr>
                          <w:pStyle w:val="TableParagraph"/>
                          <w:spacing w:before="15" w:line="119" w:lineRule="exact"/>
                          <w:ind w:left="26"/>
                          <w:rPr>
                            <w:sz w:val="13"/>
                          </w:rPr>
                        </w:pPr>
                        <w:r>
                          <w:rPr>
                            <w:color w:val="231F20"/>
                            <w:sz w:val="13"/>
                          </w:rPr>
                          <w:t>policy</w:t>
                        </w:r>
                      </w:p>
                    </w:tc>
                  </w:tr>
                  <w:tr w:rsidR="00080B77" w14:paraId="7BE02EE5" w14:textId="77777777">
                    <w:trPr>
                      <w:trHeight w:val="321"/>
                    </w:trPr>
                    <w:tc>
                      <w:tcPr>
                        <w:tcW w:w="861" w:type="dxa"/>
                        <w:gridSpan w:val="2"/>
                        <w:vMerge/>
                        <w:tcBorders>
                          <w:top w:val="nil"/>
                          <w:bottom w:val="nil"/>
                          <w:right w:val="single" w:sz="6" w:space="0" w:color="231F20"/>
                        </w:tcBorders>
                      </w:tcPr>
                      <w:p w14:paraId="109651B2"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71C8DD9F" w14:textId="77777777" w:rsidR="00080B77" w:rsidRDefault="00080B77">
                        <w:pPr>
                          <w:pStyle w:val="TableParagraph"/>
                          <w:spacing w:before="87"/>
                          <w:ind w:left="49" w:right="27"/>
                          <w:jc w:val="center"/>
                          <w:rPr>
                            <w:sz w:val="13"/>
                          </w:rPr>
                        </w:pPr>
                        <w:r>
                          <w:rPr>
                            <w:color w:val="231F20"/>
                            <w:sz w:val="13"/>
                          </w:rPr>
                          <w:t>8.5.1.c</w:t>
                        </w:r>
                      </w:p>
                    </w:tc>
                    <w:tc>
                      <w:tcPr>
                        <w:tcW w:w="4930" w:type="dxa"/>
                        <w:gridSpan w:val="2"/>
                        <w:tcBorders>
                          <w:top w:val="single" w:sz="6" w:space="0" w:color="231F20"/>
                          <w:left w:val="single" w:sz="6" w:space="0" w:color="231F20"/>
                          <w:bottom w:val="single" w:sz="6" w:space="0" w:color="231F20"/>
                          <w:right w:val="single" w:sz="6" w:space="0" w:color="231F20"/>
                        </w:tcBorders>
                      </w:tcPr>
                      <w:p w14:paraId="41EB134C" w14:textId="7A0C172F" w:rsidR="00080B77" w:rsidRDefault="00080B77">
                        <w:pPr>
                          <w:pStyle w:val="TableParagraph"/>
                          <w:spacing w:before="82"/>
                          <w:ind w:left="25"/>
                          <w:rPr>
                            <w:sz w:val="13"/>
                          </w:rPr>
                        </w:pPr>
                        <w:r>
                          <w:rPr>
                            <w:color w:val="231F20"/>
                            <w:sz w:val="13"/>
                          </w:rPr>
                          <w:t>Conduct</w:t>
                        </w:r>
                        <w:r>
                          <w:rPr>
                            <w:color w:val="231F20"/>
                            <w:spacing w:val="-23"/>
                            <w:sz w:val="13"/>
                          </w:rPr>
                          <w:t xml:space="preserve"> </w:t>
                        </w:r>
                        <w:r>
                          <w:rPr>
                            <w:color w:val="231F20"/>
                            <w:sz w:val="13"/>
                          </w:rPr>
                          <w:t>stakeholders</w:t>
                        </w:r>
                        <w:r>
                          <w:rPr>
                            <w:color w:val="231F20"/>
                            <w:spacing w:val="-23"/>
                            <w:sz w:val="13"/>
                          </w:rPr>
                          <w:t xml:space="preserve"> </w:t>
                        </w:r>
                        <w:r>
                          <w:rPr>
                            <w:color w:val="231F20"/>
                            <w:sz w:val="13"/>
                          </w:rPr>
                          <w:t>meeting</w:t>
                        </w:r>
                        <w:r>
                          <w:rPr>
                            <w:color w:val="231F20"/>
                            <w:spacing w:val="-23"/>
                            <w:sz w:val="13"/>
                          </w:rPr>
                          <w:t xml:space="preserve"> </w:t>
                        </w:r>
                        <w:r>
                          <w:rPr>
                            <w:color w:val="231F20"/>
                            <w:sz w:val="13"/>
                          </w:rPr>
                          <w:t>on</w:t>
                        </w:r>
                        <w:r>
                          <w:rPr>
                            <w:color w:val="231F20"/>
                            <w:spacing w:val="-23"/>
                            <w:sz w:val="13"/>
                          </w:rPr>
                          <w:t xml:space="preserve"> </w:t>
                        </w:r>
                        <w:r>
                          <w:rPr>
                            <w:color w:val="231F20"/>
                            <w:sz w:val="13"/>
                          </w:rPr>
                          <w:t>legal</w:t>
                        </w:r>
                        <w:r>
                          <w:rPr>
                            <w:color w:val="231F20"/>
                            <w:spacing w:val="-23"/>
                            <w:sz w:val="13"/>
                          </w:rPr>
                          <w:t xml:space="preserve"> </w:t>
                        </w:r>
                        <w:r>
                          <w:rPr>
                            <w:color w:val="231F20"/>
                            <w:sz w:val="13"/>
                          </w:rPr>
                          <w:t>framework</w:t>
                        </w:r>
                        <w:r>
                          <w:rPr>
                            <w:color w:val="231F20"/>
                            <w:spacing w:val="-23"/>
                            <w:sz w:val="13"/>
                          </w:rPr>
                          <w:t xml:space="preserve"> </w:t>
                        </w:r>
                        <w:r>
                          <w:rPr>
                            <w:color w:val="231F20"/>
                            <w:sz w:val="13"/>
                          </w:rPr>
                          <w:t>for</w:t>
                        </w:r>
                        <w:r>
                          <w:rPr>
                            <w:color w:val="231F20"/>
                            <w:spacing w:val="-23"/>
                            <w:sz w:val="13"/>
                          </w:rPr>
                          <w:t xml:space="preserve"> </w:t>
                        </w:r>
                        <w:r>
                          <w:rPr>
                            <w:color w:val="231F20"/>
                            <w:sz w:val="13"/>
                          </w:rPr>
                          <w:t>chemical</w:t>
                        </w:r>
                        <w:r>
                          <w:rPr>
                            <w:color w:val="231F20"/>
                            <w:spacing w:val="-23"/>
                            <w:sz w:val="13"/>
                          </w:rPr>
                          <w:t xml:space="preserve"> </w:t>
                        </w:r>
                        <w:r>
                          <w:rPr>
                            <w:color w:val="231F20"/>
                            <w:sz w:val="13"/>
                          </w:rPr>
                          <w:t>hazards</w:t>
                        </w:r>
                        <w:r>
                          <w:rPr>
                            <w:color w:val="231F20"/>
                            <w:spacing w:val="-23"/>
                            <w:sz w:val="13"/>
                          </w:rPr>
                          <w:t xml:space="preserve"> </w:t>
                        </w:r>
                        <w:r>
                          <w:rPr>
                            <w:color w:val="231F20"/>
                            <w:sz w:val="13"/>
                          </w:rPr>
                          <w:t>and</w:t>
                        </w:r>
                        <w:r>
                          <w:rPr>
                            <w:color w:val="231F20"/>
                            <w:spacing w:val="-22"/>
                            <w:sz w:val="13"/>
                          </w:rPr>
                          <w:t xml:space="preserve"> </w:t>
                        </w:r>
                        <w:r>
                          <w:rPr>
                            <w:color w:val="231F20"/>
                            <w:sz w:val="13"/>
                          </w:rPr>
                          <w:t>poisoning</w:t>
                        </w:r>
                      </w:p>
                    </w:tc>
                    <w:tc>
                      <w:tcPr>
                        <w:tcW w:w="1437" w:type="dxa"/>
                        <w:tcBorders>
                          <w:top w:val="single" w:sz="6" w:space="0" w:color="231F20"/>
                          <w:left w:val="single" w:sz="6" w:space="0" w:color="231F20"/>
                          <w:bottom w:val="single" w:sz="6" w:space="0" w:color="231F20"/>
                          <w:right w:val="single" w:sz="6" w:space="0" w:color="231F20"/>
                        </w:tcBorders>
                      </w:tcPr>
                      <w:p w14:paraId="7250323C" w14:textId="77777777" w:rsidR="00080B77" w:rsidRDefault="00080B77">
                        <w:pPr>
                          <w:pStyle w:val="TableParagraph"/>
                          <w:spacing w:before="87"/>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09A409A8" w14:textId="77777777" w:rsidR="00080B77" w:rsidRDefault="00080B77">
                        <w:pPr>
                          <w:pStyle w:val="TableParagraph"/>
                          <w:spacing w:before="4"/>
                          <w:ind w:left="26"/>
                          <w:rPr>
                            <w:sz w:val="13"/>
                          </w:rPr>
                        </w:pPr>
                        <w:r>
                          <w:rPr>
                            <w:color w:val="231F20"/>
                            <w:sz w:val="13"/>
                          </w:rPr>
                          <w:t>Conduct stakeholders</w:t>
                        </w:r>
                      </w:p>
                      <w:p w14:paraId="75132E32" w14:textId="77777777" w:rsidR="00080B77" w:rsidRDefault="00080B77">
                        <w:pPr>
                          <w:pStyle w:val="TableParagraph"/>
                          <w:spacing w:before="15" w:line="132" w:lineRule="exact"/>
                          <w:ind w:left="26"/>
                          <w:rPr>
                            <w:sz w:val="13"/>
                          </w:rPr>
                        </w:pPr>
                        <w:r>
                          <w:rPr>
                            <w:color w:val="231F20"/>
                            <w:sz w:val="13"/>
                          </w:rPr>
                          <w:t>meeting</w:t>
                        </w:r>
                      </w:p>
                    </w:tc>
                  </w:tr>
                  <w:tr w:rsidR="00080B77" w14:paraId="4794EEF2" w14:textId="77777777">
                    <w:trPr>
                      <w:trHeight w:val="329"/>
                    </w:trPr>
                    <w:tc>
                      <w:tcPr>
                        <w:tcW w:w="861" w:type="dxa"/>
                        <w:gridSpan w:val="2"/>
                        <w:vMerge/>
                        <w:tcBorders>
                          <w:top w:val="nil"/>
                          <w:bottom w:val="nil"/>
                          <w:right w:val="single" w:sz="6" w:space="0" w:color="231F20"/>
                        </w:tcBorders>
                      </w:tcPr>
                      <w:p w14:paraId="6273F569"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159A9E7B" w14:textId="77777777" w:rsidR="00080B77" w:rsidRDefault="00080B77">
                        <w:pPr>
                          <w:pStyle w:val="TableParagraph"/>
                          <w:spacing w:before="91"/>
                          <w:ind w:left="49" w:right="27"/>
                          <w:jc w:val="center"/>
                          <w:rPr>
                            <w:sz w:val="13"/>
                          </w:rPr>
                        </w:pPr>
                        <w:r>
                          <w:rPr>
                            <w:color w:val="231F20"/>
                            <w:sz w:val="13"/>
                          </w:rPr>
                          <w:t>8.5.1.d</w:t>
                        </w:r>
                      </w:p>
                    </w:tc>
                    <w:tc>
                      <w:tcPr>
                        <w:tcW w:w="4930" w:type="dxa"/>
                        <w:gridSpan w:val="2"/>
                        <w:tcBorders>
                          <w:top w:val="single" w:sz="6" w:space="0" w:color="231F20"/>
                          <w:left w:val="single" w:sz="6" w:space="0" w:color="231F20"/>
                          <w:bottom w:val="single" w:sz="6" w:space="0" w:color="231F20"/>
                          <w:right w:val="single" w:sz="6" w:space="0" w:color="231F20"/>
                        </w:tcBorders>
                      </w:tcPr>
                      <w:p w14:paraId="67BE8649" w14:textId="77777777" w:rsidR="00080B77" w:rsidRDefault="00080B77">
                        <w:pPr>
                          <w:pStyle w:val="TableParagraph"/>
                          <w:spacing w:before="3"/>
                          <w:ind w:left="25"/>
                          <w:rPr>
                            <w:sz w:val="13"/>
                          </w:rPr>
                        </w:pPr>
                        <w:r>
                          <w:rPr>
                            <w:color w:val="231F20"/>
                            <w:sz w:val="13"/>
                          </w:rPr>
                          <w:t>Conduct</w:t>
                        </w:r>
                        <w:r>
                          <w:rPr>
                            <w:color w:val="231F20"/>
                            <w:spacing w:val="-25"/>
                            <w:sz w:val="13"/>
                          </w:rPr>
                          <w:t xml:space="preserve"> </w:t>
                        </w:r>
                        <w:r>
                          <w:rPr>
                            <w:color w:val="231F20"/>
                            <w:sz w:val="13"/>
                          </w:rPr>
                          <w:t>advocacy</w:t>
                        </w:r>
                        <w:r>
                          <w:rPr>
                            <w:color w:val="231F20"/>
                            <w:spacing w:val="-25"/>
                            <w:sz w:val="13"/>
                          </w:rPr>
                          <w:t xml:space="preserve"> </w:t>
                        </w:r>
                        <w:r>
                          <w:rPr>
                            <w:color w:val="231F20"/>
                            <w:sz w:val="13"/>
                          </w:rPr>
                          <w:t>to</w:t>
                        </w:r>
                        <w:r>
                          <w:rPr>
                            <w:color w:val="231F20"/>
                            <w:spacing w:val="-25"/>
                            <w:sz w:val="13"/>
                          </w:rPr>
                          <w:t xml:space="preserve"> </w:t>
                        </w:r>
                        <w:r>
                          <w:rPr>
                            <w:color w:val="231F20"/>
                            <w:sz w:val="13"/>
                          </w:rPr>
                          <w:t>government</w:t>
                        </w:r>
                        <w:r>
                          <w:rPr>
                            <w:color w:val="231F20"/>
                            <w:spacing w:val="-25"/>
                            <w:sz w:val="13"/>
                          </w:rPr>
                          <w:t xml:space="preserve"> </w:t>
                        </w:r>
                        <w:r>
                          <w:rPr>
                            <w:color w:val="231F20"/>
                            <w:sz w:val="13"/>
                          </w:rPr>
                          <w:t>officials</w:t>
                        </w:r>
                        <w:r>
                          <w:rPr>
                            <w:color w:val="231F20"/>
                            <w:spacing w:val="-25"/>
                            <w:sz w:val="13"/>
                          </w:rPr>
                          <w:t xml:space="preserve"> </w:t>
                        </w:r>
                        <w:r>
                          <w:rPr>
                            <w:color w:val="231F20"/>
                            <w:sz w:val="13"/>
                          </w:rPr>
                          <w:t>and</w:t>
                        </w:r>
                        <w:r>
                          <w:rPr>
                            <w:color w:val="231F20"/>
                            <w:spacing w:val="-25"/>
                            <w:sz w:val="13"/>
                          </w:rPr>
                          <w:t xml:space="preserve"> </w:t>
                        </w:r>
                        <w:r>
                          <w:rPr>
                            <w:color w:val="231F20"/>
                            <w:sz w:val="13"/>
                          </w:rPr>
                          <w:t>other</w:t>
                        </w:r>
                        <w:r>
                          <w:rPr>
                            <w:color w:val="231F20"/>
                            <w:spacing w:val="-25"/>
                            <w:sz w:val="13"/>
                          </w:rPr>
                          <w:t xml:space="preserve"> </w:t>
                        </w:r>
                        <w:r>
                          <w:rPr>
                            <w:color w:val="231F20"/>
                            <w:sz w:val="13"/>
                          </w:rPr>
                          <w:t>stakeholders</w:t>
                        </w:r>
                        <w:r>
                          <w:rPr>
                            <w:color w:val="231F20"/>
                            <w:spacing w:val="-24"/>
                            <w:sz w:val="13"/>
                          </w:rPr>
                          <w:t xml:space="preserve"> </w:t>
                        </w:r>
                        <w:r>
                          <w:rPr>
                            <w:color w:val="231F20"/>
                            <w:sz w:val="13"/>
                          </w:rPr>
                          <w:t>on</w:t>
                        </w:r>
                        <w:r>
                          <w:rPr>
                            <w:color w:val="231F20"/>
                            <w:spacing w:val="-25"/>
                            <w:sz w:val="13"/>
                          </w:rPr>
                          <w:t xml:space="preserve"> </w:t>
                        </w:r>
                        <w:r>
                          <w:rPr>
                            <w:color w:val="231F20"/>
                            <w:sz w:val="13"/>
                          </w:rPr>
                          <w:t>the</w:t>
                        </w:r>
                        <w:r>
                          <w:rPr>
                            <w:color w:val="231F20"/>
                            <w:spacing w:val="-25"/>
                            <w:sz w:val="13"/>
                          </w:rPr>
                          <w:t xml:space="preserve"> </w:t>
                        </w:r>
                        <w:r>
                          <w:rPr>
                            <w:color w:val="231F20"/>
                            <w:sz w:val="13"/>
                          </w:rPr>
                          <w:t>need</w:t>
                        </w:r>
                        <w:r>
                          <w:rPr>
                            <w:color w:val="231F20"/>
                            <w:spacing w:val="-25"/>
                            <w:sz w:val="13"/>
                          </w:rPr>
                          <w:t xml:space="preserve"> </w:t>
                        </w:r>
                        <w:r>
                          <w:rPr>
                            <w:color w:val="231F20"/>
                            <w:sz w:val="13"/>
                          </w:rPr>
                          <w:t>to</w:t>
                        </w:r>
                        <w:r>
                          <w:rPr>
                            <w:color w:val="231F20"/>
                            <w:spacing w:val="-25"/>
                            <w:sz w:val="13"/>
                          </w:rPr>
                          <w:t xml:space="preserve"> </w:t>
                        </w:r>
                        <w:r>
                          <w:rPr>
                            <w:color w:val="231F20"/>
                            <w:sz w:val="13"/>
                          </w:rPr>
                          <w:t>mitigate</w:t>
                        </w:r>
                      </w:p>
                      <w:p w14:paraId="133281CD" w14:textId="77777777" w:rsidR="00080B77" w:rsidRDefault="00080B77">
                        <w:pPr>
                          <w:pStyle w:val="TableParagraph"/>
                          <w:spacing w:before="15" w:line="142" w:lineRule="exact"/>
                          <w:ind w:left="25"/>
                          <w:rPr>
                            <w:sz w:val="13"/>
                          </w:rPr>
                        </w:pPr>
                        <w:r>
                          <w:rPr>
                            <w:color w:val="231F20"/>
                            <w:sz w:val="13"/>
                          </w:rPr>
                          <w:t>the effects chemical hazards on climate change on health</w:t>
                        </w:r>
                      </w:p>
                    </w:tc>
                    <w:tc>
                      <w:tcPr>
                        <w:tcW w:w="1437" w:type="dxa"/>
                        <w:tcBorders>
                          <w:top w:val="single" w:sz="6" w:space="0" w:color="231F20"/>
                          <w:left w:val="single" w:sz="6" w:space="0" w:color="231F20"/>
                          <w:bottom w:val="single" w:sz="6" w:space="0" w:color="231F20"/>
                          <w:right w:val="single" w:sz="6" w:space="0" w:color="231F20"/>
                        </w:tcBorders>
                      </w:tcPr>
                      <w:p w14:paraId="13AA62CD" w14:textId="77777777" w:rsidR="00080B77" w:rsidRDefault="00080B77">
                        <w:pPr>
                          <w:pStyle w:val="TableParagraph"/>
                          <w:spacing w:before="91"/>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0A9D1756" w14:textId="77777777" w:rsidR="00080B77" w:rsidRDefault="00080B77">
                        <w:pPr>
                          <w:pStyle w:val="TableParagraph"/>
                          <w:spacing w:before="91"/>
                          <w:ind w:left="26"/>
                          <w:rPr>
                            <w:sz w:val="13"/>
                          </w:rPr>
                        </w:pPr>
                        <w:r>
                          <w:rPr>
                            <w:color w:val="231F20"/>
                            <w:sz w:val="13"/>
                          </w:rPr>
                          <w:t>Conduct advocacy</w:t>
                        </w:r>
                      </w:p>
                    </w:tc>
                  </w:tr>
                  <w:tr w:rsidR="00080B77" w14:paraId="39FAD1E3" w14:textId="77777777">
                    <w:trPr>
                      <w:trHeight w:val="1191"/>
                    </w:trPr>
                    <w:tc>
                      <w:tcPr>
                        <w:tcW w:w="403" w:type="dxa"/>
                        <w:tcBorders>
                          <w:top w:val="nil"/>
                          <w:bottom w:val="nil"/>
                          <w:right w:val="single" w:sz="6" w:space="0" w:color="231F20"/>
                        </w:tcBorders>
                      </w:tcPr>
                      <w:p w14:paraId="379F964D" w14:textId="77777777" w:rsidR="00080B77" w:rsidRDefault="00080B77">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0055E064" w14:textId="77777777" w:rsidR="00080B77" w:rsidRDefault="00080B77">
                        <w:pPr>
                          <w:pStyle w:val="TableParagraph"/>
                          <w:rPr>
                            <w:sz w:val="12"/>
                          </w:rPr>
                        </w:pPr>
                      </w:p>
                      <w:p w14:paraId="798E1CB0" w14:textId="77777777" w:rsidR="00080B77" w:rsidRDefault="00080B77">
                        <w:pPr>
                          <w:pStyle w:val="TableParagraph"/>
                          <w:rPr>
                            <w:sz w:val="12"/>
                          </w:rPr>
                        </w:pPr>
                      </w:p>
                      <w:p w14:paraId="5BEF8D44" w14:textId="77777777" w:rsidR="00080B77" w:rsidRDefault="00080B77">
                        <w:pPr>
                          <w:pStyle w:val="TableParagraph"/>
                          <w:rPr>
                            <w:sz w:val="12"/>
                          </w:rPr>
                        </w:pPr>
                      </w:p>
                      <w:p w14:paraId="100B3F33" w14:textId="77777777" w:rsidR="00080B77" w:rsidRDefault="00080B77">
                        <w:pPr>
                          <w:pStyle w:val="TableParagraph"/>
                          <w:spacing w:before="4"/>
                          <w:rPr>
                            <w:sz w:val="9"/>
                          </w:rPr>
                        </w:pPr>
                      </w:p>
                      <w:p w14:paraId="1A8444AC" w14:textId="77777777" w:rsidR="00080B77" w:rsidRDefault="00080B77">
                        <w:pPr>
                          <w:pStyle w:val="TableParagraph"/>
                          <w:spacing w:before="1"/>
                          <w:ind w:left="59"/>
                          <w:rPr>
                            <w:sz w:val="13"/>
                          </w:rPr>
                        </w:pPr>
                        <w:r>
                          <w:rPr>
                            <w:color w:val="231F20"/>
                            <w:sz w:val="13"/>
                          </w:rPr>
                          <w:t>8.5.2</w:t>
                        </w:r>
                      </w:p>
                    </w:tc>
                    <w:tc>
                      <w:tcPr>
                        <w:tcW w:w="3059" w:type="dxa"/>
                        <w:gridSpan w:val="2"/>
                        <w:tcBorders>
                          <w:top w:val="single" w:sz="6" w:space="0" w:color="231F20"/>
                          <w:left w:val="single" w:sz="6" w:space="0" w:color="231F20"/>
                          <w:bottom w:val="single" w:sz="6" w:space="0" w:color="231F20"/>
                          <w:right w:val="single" w:sz="6" w:space="0" w:color="231F20"/>
                        </w:tcBorders>
                        <w:shd w:val="clear" w:color="auto" w:fill="CCE7D3"/>
                      </w:tcPr>
                      <w:p w14:paraId="5F4B365A" w14:textId="77777777" w:rsidR="00080B77" w:rsidRDefault="00080B77">
                        <w:pPr>
                          <w:pStyle w:val="TableParagraph"/>
                          <w:rPr>
                            <w:sz w:val="12"/>
                          </w:rPr>
                        </w:pPr>
                      </w:p>
                      <w:p w14:paraId="6370F98D" w14:textId="77777777" w:rsidR="00080B77" w:rsidRDefault="00080B77">
                        <w:pPr>
                          <w:pStyle w:val="TableParagraph"/>
                          <w:rPr>
                            <w:sz w:val="12"/>
                          </w:rPr>
                        </w:pPr>
                      </w:p>
                      <w:p w14:paraId="002294C8" w14:textId="77777777" w:rsidR="00080B77" w:rsidRDefault="00080B77">
                        <w:pPr>
                          <w:pStyle w:val="TableParagraph"/>
                          <w:spacing w:before="76" w:line="264" w:lineRule="auto"/>
                          <w:ind w:left="26" w:right="73" w:firstLine="33"/>
                          <w:rPr>
                            <w:sz w:val="13"/>
                          </w:rPr>
                        </w:pPr>
                        <w:r>
                          <w:rPr>
                            <w:color w:val="231F20"/>
                            <w:sz w:val="13"/>
                          </w:rPr>
                          <w:t xml:space="preserve">Scale-up advocacy, community sensitization and </w:t>
                        </w:r>
                        <w:r>
                          <w:rPr>
                            <w:color w:val="231F20"/>
                            <w:w w:val="95"/>
                            <w:sz w:val="13"/>
                          </w:rPr>
                          <w:t xml:space="preserve">education on chemical wastes and poisoning, </w:t>
                        </w:r>
                        <w:r>
                          <w:rPr>
                            <w:color w:val="231F20"/>
                            <w:spacing w:val="-3"/>
                            <w:w w:val="95"/>
                            <w:sz w:val="13"/>
                          </w:rPr>
                          <w:t xml:space="preserve">medical </w:t>
                        </w:r>
                        <w:r>
                          <w:rPr>
                            <w:color w:val="231F20"/>
                            <w:sz w:val="13"/>
                          </w:rPr>
                          <w:t>and Bio waste and climate change</w:t>
                        </w:r>
                      </w:p>
                    </w:tc>
                    <w:tc>
                      <w:tcPr>
                        <w:tcW w:w="2401" w:type="dxa"/>
                        <w:tcBorders>
                          <w:top w:val="single" w:sz="6" w:space="0" w:color="231F20"/>
                          <w:left w:val="single" w:sz="6" w:space="0" w:color="231F20"/>
                          <w:bottom w:val="single" w:sz="6" w:space="0" w:color="231F20"/>
                          <w:right w:val="single" w:sz="6" w:space="0" w:color="231F20"/>
                        </w:tcBorders>
                        <w:shd w:val="clear" w:color="auto" w:fill="CCE7D3"/>
                      </w:tcPr>
                      <w:p w14:paraId="49B2681D" w14:textId="77777777" w:rsidR="00080B77" w:rsidRDefault="00080B77">
                        <w:pPr>
                          <w:pStyle w:val="TableParagraph"/>
                          <w:spacing w:before="1" w:line="256" w:lineRule="auto"/>
                          <w:ind w:left="45" w:right="-15"/>
                          <w:rPr>
                            <w:sz w:val="12"/>
                          </w:rPr>
                        </w:pPr>
                        <w:r>
                          <w:rPr>
                            <w:color w:val="231F20"/>
                            <w:sz w:val="12"/>
                          </w:rPr>
                          <w:t xml:space="preserve">•Advocacy to stakeholder to sensitize them on the possible effect of chemical waste medical and bio waste and chemical </w:t>
                        </w:r>
                        <w:r>
                          <w:rPr>
                            <w:color w:val="231F20"/>
                            <w:spacing w:val="-4"/>
                            <w:sz w:val="12"/>
                          </w:rPr>
                          <w:t xml:space="preserve">change </w:t>
                        </w:r>
                        <w:r>
                          <w:rPr>
                            <w:color w:val="231F20"/>
                            <w:sz w:val="12"/>
                          </w:rPr>
                          <w:t>done</w:t>
                        </w:r>
                      </w:p>
                      <w:p w14:paraId="5C5107DD" w14:textId="77777777" w:rsidR="00080B77" w:rsidRDefault="00080B77">
                        <w:pPr>
                          <w:pStyle w:val="TableParagraph"/>
                          <w:spacing w:line="256" w:lineRule="auto"/>
                          <w:ind w:left="45" w:right="-1"/>
                          <w:rPr>
                            <w:sz w:val="12"/>
                          </w:rPr>
                        </w:pPr>
                        <w:r>
                          <w:rPr>
                            <w:color w:val="231F20"/>
                            <w:sz w:val="12"/>
                          </w:rPr>
                          <w:t>•Periodic town hall meeting with communities living in an industrial area held</w:t>
                        </w:r>
                      </w:p>
                      <w:p w14:paraId="2BA77DA8" w14:textId="77777777" w:rsidR="00080B77" w:rsidRDefault="00080B77">
                        <w:pPr>
                          <w:pStyle w:val="TableParagraph"/>
                          <w:numPr>
                            <w:ilvl w:val="0"/>
                            <w:numId w:val="76"/>
                          </w:numPr>
                          <w:tabs>
                            <w:tab w:val="left" w:pos="121"/>
                          </w:tabs>
                          <w:rPr>
                            <w:sz w:val="12"/>
                          </w:rPr>
                        </w:pPr>
                        <w:r>
                          <w:rPr>
                            <w:color w:val="231F20"/>
                            <w:sz w:val="12"/>
                          </w:rPr>
                          <w:t>Public enlightenment in state</w:t>
                        </w:r>
                        <w:r>
                          <w:rPr>
                            <w:color w:val="231F20"/>
                            <w:spacing w:val="-1"/>
                            <w:sz w:val="12"/>
                          </w:rPr>
                          <w:t xml:space="preserve"> </w:t>
                        </w:r>
                        <w:r>
                          <w:rPr>
                            <w:color w:val="231F20"/>
                            <w:sz w:val="12"/>
                          </w:rPr>
                          <w:t>media</w:t>
                        </w:r>
                      </w:p>
                      <w:p w14:paraId="538C5DBD" w14:textId="77777777" w:rsidR="00080B77" w:rsidRDefault="00080B77">
                        <w:pPr>
                          <w:pStyle w:val="TableParagraph"/>
                          <w:spacing w:before="9" w:line="137" w:lineRule="exact"/>
                          <w:ind w:left="45"/>
                          <w:rPr>
                            <w:sz w:val="12"/>
                          </w:rPr>
                        </w:pPr>
                        <w:r>
                          <w:rPr>
                            <w:color w:val="231F20"/>
                            <w:sz w:val="12"/>
                          </w:rPr>
                          <w:t>houses on the effect of chemical hazards</w:t>
                        </w:r>
                      </w:p>
                    </w:tc>
                    <w:tc>
                      <w:tcPr>
                        <w:tcW w:w="1437" w:type="dxa"/>
                        <w:tcBorders>
                          <w:top w:val="single" w:sz="6" w:space="0" w:color="231F20"/>
                          <w:left w:val="single" w:sz="6" w:space="0" w:color="231F20"/>
                          <w:bottom w:val="single" w:sz="6" w:space="0" w:color="231F20"/>
                          <w:right w:val="single" w:sz="6" w:space="0" w:color="231F20"/>
                        </w:tcBorders>
                        <w:shd w:val="clear" w:color="auto" w:fill="CCE7D3"/>
                      </w:tcPr>
                      <w:p w14:paraId="4AF4EEFB" w14:textId="77777777" w:rsidR="00080B77" w:rsidRDefault="00080B77">
                        <w:pPr>
                          <w:pStyle w:val="TableParagraph"/>
                          <w:rPr>
                            <w:rFonts w:ascii="Times New Roman"/>
                            <w:sz w:val="10"/>
                          </w:rPr>
                        </w:pPr>
                      </w:p>
                    </w:tc>
                    <w:tc>
                      <w:tcPr>
                        <w:tcW w:w="1516" w:type="dxa"/>
                        <w:tcBorders>
                          <w:top w:val="single" w:sz="6" w:space="0" w:color="231F20"/>
                          <w:left w:val="single" w:sz="6" w:space="0" w:color="231F20"/>
                          <w:bottom w:val="single" w:sz="6" w:space="0" w:color="231F20"/>
                          <w:right w:val="single" w:sz="6" w:space="0" w:color="231F20"/>
                        </w:tcBorders>
                        <w:shd w:val="clear" w:color="auto" w:fill="CCE7D3"/>
                      </w:tcPr>
                      <w:p w14:paraId="3180EC6D" w14:textId="77777777" w:rsidR="00080B77" w:rsidRDefault="00080B77">
                        <w:pPr>
                          <w:pStyle w:val="TableParagraph"/>
                          <w:rPr>
                            <w:rFonts w:ascii="Times New Roman"/>
                            <w:sz w:val="10"/>
                          </w:rPr>
                        </w:pPr>
                      </w:p>
                    </w:tc>
                  </w:tr>
                  <w:tr w:rsidR="00080B77" w14:paraId="364BB6D1" w14:textId="77777777">
                    <w:trPr>
                      <w:trHeight w:val="317"/>
                    </w:trPr>
                    <w:tc>
                      <w:tcPr>
                        <w:tcW w:w="861" w:type="dxa"/>
                        <w:gridSpan w:val="2"/>
                        <w:vMerge w:val="restart"/>
                        <w:tcBorders>
                          <w:top w:val="nil"/>
                          <w:bottom w:val="nil"/>
                          <w:right w:val="single" w:sz="6" w:space="0" w:color="231F20"/>
                        </w:tcBorders>
                      </w:tcPr>
                      <w:p w14:paraId="6652C575"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106E0B19" w14:textId="77777777" w:rsidR="00080B77" w:rsidRDefault="00080B77">
                        <w:pPr>
                          <w:pStyle w:val="TableParagraph"/>
                          <w:spacing w:before="84"/>
                          <w:ind w:left="49" w:right="27"/>
                          <w:jc w:val="center"/>
                          <w:rPr>
                            <w:sz w:val="13"/>
                          </w:rPr>
                        </w:pPr>
                        <w:r>
                          <w:rPr>
                            <w:color w:val="231F20"/>
                            <w:sz w:val="13"/>
                          </w:rPr>
                          <w:t>8.5.2.a</w:t>
                        </w:r>
                      </w:p>
                    </w:tc>
                    <w:tc>
                      <w:tcPr>
                        <w:tcW w:w="4930" w:type="dxa"/>
                        <w:gridSpan w:val="2"/>
                        <w:tcBorders>
                          <w:top w:val="single" w:sz="6" w:space="0" w:color="231F20"/>
                          <w:left w:val="single" w:sz="6" w:space="0" w:color="231F20"/>
                          <w:bottom w:val="single" w:sz="6" w:space="0" w:color="231F20"/>
                          <w:right w:val="single" w:sz="6" w:space="0" w:color="231F20"/>
                        </w:tcBorders>
                      </w:tcPr>
                      <w:p w14:paraId="68AC7FA4" w14:textId="77777777" w:rsidR="00080B77" w:rsidRDefault="00080B77">
                        <w:pPr>
                          <w:pStyle w:val="TableParagraph"/>
                          <w:spacing w:before="1"/>
                          <w:ind w:left="25"/>
                          <w:rPr>
                            <w:sz w:val="13"/>
                          </w:rPr>
                        </w:pPr>
                        <w:r>
                          <w:rPr>
                            <w:color w:val="231F20"/>
                            <w:sz w:val="13"/>
                          </w:rPr>
                          <w:t>Conduct</w:t>
                        </w:r>
                        <w:r>
                          <w:rPr>
                            <w:color w:val="231F20"/>
                            <w:spacing w:val="-19"/>
                            <w:sz w:val="13"/>
                          </w:rPr>
                          <w:t xml:space="preserve"> </w:t>
                        </w:r>
                        <w:r>
                          <w:rPr>
                            <w:color w:val="231F20"/>
                            <w:sz w:val="13"/>
                          </w:rPr>
                          <w:t>advocacy</w:t>
                        </w:r>
                        <w:r>
                          <w:rPr>
                            <w:color w:val="231F20"/>
                            <w:spacing w:val="-18"/>
                            <w:sz w:val="13"/>
                          </w:rPr>
                          <w:t xml:space="preserve"> </w:t>
                        </w:r>
                        <w:r>
                          <w:rPr>
                            <w:color w:val="231F20"/>
                            <w:sz w:val="13"/>
                          </w:rPr>
                          <w:t>to</w:t>
                        </w:r>
                        <w:r>
                          <w:rPr>
                            <w:color w:val="231F20"/>
                            <w:spacing w:val="-18"/>
                            <w:sz w:val="13"/>
                          </w:rPr>
                          <w:t xml:space="preserve"> </w:t>
                        </w:r>
                        <w:r>
                          <w:rPr>
                            <w:color w:val="231F20"/>
                            <w:sz w:val="13"/>
                          </w:rPr>
                          <w:t>stakeholder</w:t>
                        </w:r>
                        <w:r>
                          <w:rPr>
                            <w:color w:val="231F20"/>
                            <w:spacing w:val="-19"/>
                            <w:sz w:val="13"/>
                          </w:rPr>
                          <w:t xml:space="preserve"> </w:t>
                        </w:r>
                        <w:r>
                          <w:rPr>
                            <w:color w:val="231F20"/>
                            <w:sz w:val="13"/>
                          </w:rPr>
                          <w:t>to</w:t>
                        </w:r>
                        <w:r>
                          <w:rPr>
                            <w:color w:val="231F20"/>
                            <w:spacing w:val="-18"/>
                            <w:sz w:val="13"/>
                          </w:rPr>
                          <w:t xml:space="preserve"> </w:t>
                        </w:r>
                        <w:r>
                          <w:rPr>
                            <w:color w:val="231F20"/>
                            <w:sz w:val="13"/>
                          </w:rPr>
                          <w:t>sensitize</w:t>
                        </w:r>
                        <w:r>
                          <w:rPr>
                            <w:color w:val="231F20"/>
                            <w:spacing w:val="-18"/>
                            <w:sz w:val="13"/>
                          </w:rPr>
                          <w:t xml:space="preserve"> </w:t>
                        </w:r>
                        <w:r>
                          <w:rPr>
                            <w:color w:val="231F20"/>
                            <w:sz w:val="13"/>
                          </w:rPr>
                          <w:t>them</w:t>
                        </w:r>
                        <w:r>
                          <w:rPr>
                            <w:color w:val="231F20"/>
                            <w:spacing w:val="-18"/>
                            <w:sz w:val="13"/>
                          </w:rPr>
                          <w:t xml:space="preserve"> </w:t>
                        </w:r>
                        <w:r>
                          <w:rPr>
                            <w:color w:val="231F20"/>
                            <w:sz w:val="13"/>
                          </w:rPr>
                          <w:t>on</w:t>
                        </w:r>
                        <w:r>
                          <w:rPr>
                            <w:color w:val="231F20"/>
                            <w:spacing w:val="-19"/>
                            <w:sz w:val="13"/>
                          </w:rPr>
                          <w:t xml:space="preserve"> </w:t>
                        </w:r>
                        <w:r>
                          <w:rPr>
                            <w:color w:val="231F20"/>
                            <w:sz w:val="13"/>
                          </w:rPr>
                          <w:t>the</w:t>
                        </w:r>
                        <w:r>
                          <w:rPr>
                            <w:color w:val="231F20"/>
                            <w:spacing w:val="-18"/>
                            <w:sz w:val="13"/>
                          </w:rPr>
                          <w:t xml:space="preserve"> </w:t>
                        </w:r>
                        <w:r>
                          <w:rPr>
                            <w:color w:val="231F20"/>
                            <w:sz w:val="13"/>
                          </w:rPr>
                          <w:t>possible</w:t>
                        </w:r>
                        <w:r>
                          <w:rPr>
                            <w:color w:val="231F20"/>
                            <w:spacing w:val="-18"/>
                            <w:sz w:val="13"/>
                          </w:rPr>
                          <w:t xml:space="preserve"> </w:t>
                        </w:r>
                        <w:r>
                          <w:rPr>
                            <w:color w:val="231F20"/>
                            <w:sz w:val="13"/>
                          </w:rPr>
                          <w:t>effect</w:t>
                        </w:r>
                        <w:r>
                          <w:rPr>
                            <w:color w:val="231F20"/>
                            <w:spacing w:val="-18"/>
                            <w:sz w:val="13"/>
                          </w:rPr>
                          <w:t xml:space="preserve"> </w:t>
                        </w:r>
                        <w:r>
                          <w:rPr>
                            <w:color w:val="231F20"/>
                            <w:sz w:val="13"/>
                          </w:rPr>
                          <w:t>of</w:t>
                        </w:r>
                        <w:r>
                          <w:rPr>
                            <w:color w:val="231F20"/>
                            <w:spacing w:val="-19"/>
                            <w:sz w:val="13"/>
                          </w:rPr>
                          <w:t xml:space="preserve"> </w:t>
                        </w:r>
                        <w:r>
                          <w:rPr>
                            <w:color w:val="231F20"/>
                            <w:sz w:val="13"/>
                          </w:rPr>
                          <w:t>chemical</w:t>
                        </w:r>
                      </w:p>
                      <w:p w14:paraId="3CA9B44F" w14:textId="77777777" w:rsidR="00080B77" w:rsidRDefault="00080B77">
                        <w:pPr>
                          <w:pStyle w:val="TableParagraph"/>
                          <w:spacing w:before="15" w:line="131" w:lineRule="exact"/>
                          <w:ind w:left="25"/>
                          <w:rPr>
                            <w:sz w:val="13"/>
                          </w:rPr>
                        </w:pPr>
                        <w:r>
                          <w:rPr>
                            <w:color w:val="231F20"/>
                            <w:sz w:val="13"/>
                          </w:rPr>
                          <w:t>waste, medical and bio waste and chemical change</w:t>
                        </w:r>
                      </w:p>
                    </w:tc>
                    <w:tc>
                      <w:tcPr>
                        <w:tcW w:w="1437" w:type="dxa"/>
                        <w:tcBorders>
                          <w:top w:val="single" w:sz="6" w:space="0" w:color="231F20"/>
                          <w:left w:val="single" w:sz="6" w:space="0" w:color="231F20"/>
                          <w:bottom w:val="single" w:sz="6" w:space="0" w:color="231F20"/>
                          <w:right w:val="single" w:sz="6" w:space="0" w:color="231F20"/>
                        </w:tcBorders>
                      </w:tcPr>
                      <w:p w14:paraId="55770C98" w14:textId="77777777" w:rsidR="00080B77" w:rsidRDefault="00080B77">
                        <w:pPr>
                          <w:pStyle w:val="TableParagraph"/>
                          <w:spacing w:before="84"/>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532B1183" w14:textId="77777777" w:rsidR="00080B77" w:rsidRDefault="00080B77">
                        <w:pPr>
                          <w:pStyle w:val="TableParagraph"/>
                          <w:spacing w:before="84"/>
                          <w:ind w:left="26"/>
                          <w:rPr>
                            <w:sz w:val="13"/>
                          </w:rPr>
                        </w:pPr>
                        <w:r>
                          <w:rPr>
                            <w:color w:val="231F20"/>
                            <w:sz w:val="13"/>
                          </w:rPr>
                          <w:t>Costed in 8.5.1d</w:t>
                        </w:r>
                      </w:p>
                    </w:tc>
                  </w:tr>
                  <w:tr w:rsidR="00080B77" w14:paraId="01399509" w14:textId="77777777">
                    <w:trPr>
                      <w:trHeight w:val="389"/>
                    </w:trPr>
                    <w:tc>
                      <w:tcPr>
                        <w:tcW w:w="861" w:type="dxa"/>
                        <w:gridSpan w:val="2"/>
                        <w:vMerge/>
                        <w:tcBorders>
                          <w:top w:val="nil"/>
                          <w:bottom w:val="nil"/>
                          <w:right w:val="single" w:sz="6" w:space="0" w:color="231F20"/>
                        </w:tcBorders>
                      </w:tcPr>
                      <w:p w14:paraId="11B13CCE"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57766C3F" w14:textId="77777777" w:rsidR="00080B77" w:rsidRDefault="00080B77">
                        <w:pPr>
                          <w:pStyle w:val="TableParagraph"/>
                          <w:spacing w:before="5"/>
                          <w:rPr>
                            <w:sz w:val="10"/>
                          </w:rPr>
                        </w:pPr>
                      </w:p>
                      <w:p w14:paraId="75239CAD" w14:textId="77777777" w:rsidR="00080B77" w:rsidRDefault="00080B77">
                        <w:pPr>
                          <w:pStyle w:val="TableParagraph"/>
                          <w:ind w:left="49" w:right="27"/>
                          <w:jc w:val="center"/>
                          <w:rPr>
                            <w:sz w:val="13"/>
                          </w:rPr>
                        </w:pPr>
                        <w:r>
                          <w:rPr>
                            <w:color w:val="231F20"/>
                            <w:sz w:val="13"/>
                          </w:rPr>
                          <w:t>8.5.2.b</w:t>
                        </w:r>
                      </w:p>
                    </w:tc>
                    <w:tc>
                      <w:tcPr>
                        <w:tcW w:w="4930" w:type="dxa"/>
                        <w:gridSpan w:val="2"/>
                        <w:tcBorders>
                          <w:top w:val="single" w:sz="6" w:space="0" w:color="231F20"/>
                          <w:left w:val="single" w:sz="6" w:space="0" w:color="231F20"/>
                          <w:bottom w:val="single" w:sz="6" w:space="0" w:color="231F20"/>
                          <w:right w:val="single" w:sz="6" w:space="0" w:color="231F20"/>
                        </w:tcBorders>
                      </w:tcPr>
                      <w:p w14:paraId="723E9959" w14:textId="77777777" w:rsidR="00080B77" w:rsidRDefault="00080B77">
                        <w:pPr>
                          <w:pStyle w:val="TableParagraph"/>
                          <w:spacing w:before="33" w:line="264" w:lineRule="auto"/>
                          <w:ind w:left="25" w:right="110"/>
                          <w:rPr>
                            <w:sz w:val="13"/>
                          </w:rPr>
                        </w:pPr>
                        <w:r>
                          <w:rPr>
                            <w:color w:val="231F20"/>
                            <w:w w:val="95"/>
                            <w:sz w:val="13"/>
                          </w:rPr>
                          <w:t>Advocacy</w:t>
                        </w:r>
                        <w:r>
                          <w:rPr>
                            <w:color w:val="231F20"/>
                            <w:spacing w:val="-14"/>
                            <w:w w:val="95"/>
                            <w:sz w:val="13"/>
                          </w:rPr>
                          <w:t xml:space="preserve"> </w:t>
                        </w:r>
                        <w:r>
                          <w:rPr>
                            <w:color w:val="231F20"/>
                            <w:w w:val="95"/>
                            <w:sz w:val="13"/>
                          </w:rPr>
                          <w:t>and</w:t>
                        </w:r>
                        <w:r>
                          <w:rPr>
                            <w:color w:val="231F20"/>
                            <w:spacing w:val="-13"/>
                            <w:w w:val="95"/>
                            <w:sz w:val="13"/>
                          </w:rPr>
                          <w:t xml:space="preserve"> </w:t>
                        </w:r>
                        <w:r>
                          <w:rPr>
                            <w:color w:val="231F20"/>
                            <w:w w:val="95"/>
                            <w:sz w:val="13"/>
                          </w:rPr>
                          <w:t>social</w:t>
                        </w:r>
                        <w:r>
                          <w:rPr>
                            <w:color w:val="231F20"/>
                            <w:spacing w:val="-14"/>
                            <w:w w:val="95"/>
                            <w:sz w:val="13"/>
                          </w:rPr>
                          <w:t xml:space="preserve"> </w:t>
                        </w:r>
                        <w:r>
                          <w:rPr>
                            <w:color w:val="231F20"/>
                            <w:w w:val="95"/>
                            <w:sz w:val="13"/>
                          </w:rPr>
                          <w:t>mobilization</w:t>
                        </w:r>
                        <w:r>
                          <w:rPr>
                            <w:color w:val="231F20"/>
                            <w:spacing w:val="-13"/>
                            <w:w w:val="95"/>
                            <w:sz w:val="13"/>
                          </w:rPr>
                          <w:t xml:space="preserve"> </w:t>
                        </w:r>
                        <w:r>
                          <w:rPr>
                            <w:color w:val="231F20"/>
                            <w:w w:val="95"/>
                            <w:sz w:val="13"/>
                          </w:rPr>
                          <w:t>to</w:t>
                        </w:r>
                        <w:r>
                          <w:rPr>
                            <w:color w:val="231F20"/>
                            <w:spacing w:val="-14"/>
                            <w:w w:val="95"/>
                            <w:sz w:val="13"/>
                          </w:rPr>
                          <w:t xml:space="preserve"> </w:t>
                        </w:r>
                        <w:r>
                          <w:rPr>
                            <w:color w:val="231F20"/>
                            <w:w w:val="95"/>
                            <w:sz w:val="13"/>
                          </w:rPr>
                          <w:t>communities</w:t>
                        </w:r>
                        <w:r>
                          <w:rPr>
                            <w:color w:val="231F20"/>
                            <w:spacing w:val="-13"/>
                            <w:w w:val="95"/>
                            <w:sz w:val="13"/>
                          </w:rPr>
                          <w:t xml:space="preserve"> </w:t>
                        </w:r>
                        <w:r>
                          <w:rPr>
                            <w:color w:val="231F20"/>
                            <w:w w:val="95"/>
                            <w:sz w:val="13"/>
                          </w:rPr>
                          <w:t>(319</w:t>
                        </w:r>
                        <w:r>
                          <w:rPr>
                            <w:color w:val="231F20"/>
                            <w:spacing w:val="-14"/>
                            <w:w w:val="95"/>
                            <w:sz w:val="13"/>
                          </w:rPr>
                          <w:t xml:space="preserve"> </w:t>
                        </w:r>
                        <w:r>
                          <w:rPr>
                            <w:color w:val="231F20"/>
                            <w:w w:val="95"/>
                            <w:sz w:val="13"/>
                          </w:rPr>
                          <w:t>wards)</w:t>
                        </w:r>
                        <w:r>
                          <w:rPr>
                            <w:color w:val="231F20"/>
                            <w:spacing w:val="-13"/>
                            <w:w w:val="95"/>
                            <w:sz w:val="13"/>
                          </w:rPr>
                          <w:t xml:space="preserve"> </w:t>
                        </w:r>
                        <w:r>
                          <w:rPr>
                            <w:color w:val="231F20"/>
                            <w:w w:val="95"/>
                            <w:sz w:val="13"/>
                          </w:rPr>
                          <w:t>to</w:t>
                        </w:r>
                        <w:r>
                          <w:rPr>
                            <w:color w:val="231F20"/>
                            <w:spacing w:val="-13"/>
                            <w:w w:val="95"/>
                            <w:sz w:val="13"/>
                          </w:rPr>
                          <w:t xml:space="preserve"> </w:t>
                        </w:r>
                        <w:r>
                          <w:rPr>
                            <w:color w:val="231F20"/>
                            <w:w w:val="95"/>
                            <w:sz w:val="13"/>
                          </w:rPr>
                          <w:t>sensitize</w:t>
                        </w:r>
                        <w:r>
                          <w:rPr>
                            <w:color w:val="231F20"/>
                            <w:spacing w:val="-14"/>
                            <w:w w:val="95"/>
                            <w:sz w:val="13"/>
                          </w:rPr>
                          <w:t xml:space="preserve"> </w:t>
                        </w:r>
                        <w:r>
                          <w:rPr>
                            <w:color w:val="231F20"/>
                            <w:w w:val="95"/>
                            <w:sz w:val="13"/>
                          </w:rPr>
                          <w:t>them</w:t>
                        </w:r>
                        <w:r>
                          <w:rPr>
                            <w:color w:val="231F20"/>
                            <w:spacing w:val="-13"/>
                            <w:w w:val="95"/>
                            <w:sz w:val="13"/>
                          </w:rPr>
                          <w:t xml:space="preserve"> </w:t>
                        </w:r>
                        <w:r>
                          <w:rPr>
                            <w:color w:val="231F20"/>
                            <w:w w:val="95"/>
                            <w:sz w:val="13"/>
                          </w:rPr>
                          <w:t>on</w:t>
                        </w:r>
                        <w:r>
                          <w:rPr>
                            <w:color w:val="231F20"/>
                            <w:spacing w:val="-14"/>
                            <w:w w:val="95"/>
                            <w:sz w:val="13"/>
                          </w:rPr>
                          <w:t xml:space="preserve"> </w:t>
                        </w:r>
                        <w:r>
                          <w:rPr>
                            <w:color w:val="231F20"/>
                            <w:w w:val="95"/>
                            <w:sz w:val="13"/>
                          </w:rPr>
                          <w:t xml:space="preserve">climate </w:t>
                        </w:r>
                        <w:r>
                          <w:rPr>
                            <w:color w:val="231F20"/>
                            <w:sz w:val="13"/>
                          </w:rPr>
                          <w:t>effects on</w:t>
                        </w:r>
                        <w:r>
                          <w:rPr>
                            <w:color w:val="231F20"/>
                            <w:spacing w:val="-8"/>
                            <w:sz w:val="13"/>
                          </w:rPr>
                          <w:t xml:space="preserve"> </w:t>
                        </w:r>
                        <w:r>
                          <w:rPr>
                            <w:color w:val="231F20"/>
                            <w:sz w:val="13"/>
                          </w:rPr>
                          <w:t>health</w:t>
                        </w:r>
                      </w:p>
                    </w:tc>
                    <w:tc>
                      <w:tcPr>
                        <w:tcW w:w="1437" w:type="dxa"/>
                        <w:tcBorders>
                          <w:top w:val="single" w:sz="6" w:space="0" w:color="231F20"/>
                          <w:left w:val="single" w:sz="6" w:space="0" w:color="231F20"/>
                          <w:bottom w:val="single" w:sz="6" w:space="0" w:color="231F20"/>
                          <w:right w:val="single" w:sz="6" w:space="0" w:color="231F20"/>
                        </w:tcBorders>
                      </w:tcPr>
                      <w:p w14:paraId="668DD8F3" w14:textId="77777777" w:rsidR="00080B77" w:rsidRDefault="00080B77">
                        <w:pPr>
                          <w:pStyle w:val="TableParagraph"/>
                          <w:spacing w:before="5"/>
                          <w:rPr>
                            <w:sz w:val="10"/>
                          </w:rPr>
                        </w:pPr>
                      </w:p>
                      <w:p w14:paraId="6AC8D896" w14:textId="77777777" w:rsidR="00080B77" w:rsidRDefault="00080B77">
                        <w:pPr>
                          <w:pStyle w:val="TableParagraph"/>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3629EB6D" w14:textId="77777777" w:rsidR="00080B77" w:rsidRDefault="00080B77">
                        <w:pPr>
                          <w:pStyle w:val="TableParagraph"/>
                          <w:spacing w:before="39" w:line="264" w:lineRule="auto"/>
                          <w:ind w:left="26"/>
                          <w:rPr>
                            <w:sz w:val="13"/>
                          </w:rPr>
                        </w:pPr>
                        <w:r>
                          <w:rPr>
                            <w:color w:val="231F20"/>
                            <w:w w:val="95"/>
                            <w:sz w:val="13"/>
                          </w:rPr>
                          <w:t xml:space="preserve">Advocacy and social </w:t>
                        </w:r>
                        <w:r>
                          <w:rPr>
                            <w:color w:val="231F20"/>
                            <w:sz w:val="13"/>
                          </w:rPr>
                          <w:t>mobilization</w:t>
                        </w:r>
                      </w:p>
                    </w:tc>
                  </w:tr>
                  <w:tr w:rsidR="00080B77" w14:paraId="57C115E6" w14:textId="77777777">
                    <w:trPr>
                      <w:trHeight w:val="321"/>
                    </w:trPr>
                    <w:tc>
                      <w:tcPr>
                        <w:tcW w:w="861" w:type="dxa"/>
                        <w:gridSpan w:val="2"/>
                        <w:vMerge/>
                        <w:tcBorders>
                          <w:top w:val="nil"/>
                          <w:bottom w:val="nil"/>
                          <w:right w:val="single" w:sz="6" w:space="0" w:color="231F20"/>
                        </w:tcBorders>
                      </w:tcPr>
                      <w:p w14:paraId="191724FB"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27F27931" w14:textId="77777777" w:rsidR="00080B77" w:rsidRDefault="00080B77">
                        <w:pPr>
                          <w:pStyle w:val="TableParagraph"/>
                          <w:spacing w:before="87"/>
                          <w:ind w:left="49" w:right="27"/>
                          <w:jc w:val="center"/>
                          <w:rPr>
                            <w:sz w:val="13"/>
                          </w:rPr>
                        </w:pPr>
                        <w:r>
                          <w:rPr>
                            <w:color w:val="231F20"/>
                            <w:sz w:val="13"/>
                          </w:rPr>
                          <w:t>8.5.2.c</w:t>
                        </w:r>
                      </w:p>
                    </w:tc>
                    <w:tc>
                      <w:tcPr>
                        <w:tcW w:w="4930" w:type="dxa"/>
                        <w:gridSpan w:val="2"/>
                        <w:tcBorders>
                          <w:top w:val="single" w:sz="6" w:space="0" w:color="231F20"/>
                          <w:left w:val="single" w:sz="6" w:space="0" w:color="231F20"/>
                          <w:bottom w:val="single" w:sz="6" w:space="0" w:color="231F20"/>
                          <w:right w:val="single" w:sz="6" w:space="0" w:color="231F20"/>
                        </w:tcBorders>
                      </w:tcPr>
                      <w:p w14:paraId="1C202123" w14:textId="77777777" w:rsidR="00080B77" w:rsidRDefault="00080B77">
                        <w:pPr>
                          <w:pStyle w:val="TableParagraph"/>
                          <w:spacing w:before="82"/>
                          <w:ind w:left="25"/>
                          <w:rPr>
                            <w:sz w:val="13"/>
                          </w:rPr>
                        </w:pPr>
                        <w:r>
                          <w:rPr>
                            <w:color w:val="231F20"/>
                            <w:sz w:val="13"/>
                          </w:rPr>
                          <w:t>Periodic town hall meeting with communities living in an industrial area</w:t>
                        </w:r>
                      </w:p>
                    </w:tc>
                    <w:tc>
                      <w:tcPr>
                        <w:tcW w:w="1437" w:type="dxa"/>
                        <w:tcBorders>
                          <w:top w:val="single" w:sz="6" w:space="0" w:color="231F20"/>
                          <w:left w:val="single" w:sz="6" w:space="0" w:color="231F20"/>
                          <w:bottom w:val="single" w:sz="6" w:space="0" w:color="231F20"/>
                          <w:right w:val="single" w:sz="6" w:space="0" w:color="231F20"/>
                        </w:tcBorders>
                      </w:tcPr>
                      <w:p w14:paraId="17A3ECC2" w14:textId="77777777" w:rsidR="00080B77" w:rsidRDefault="00080B77">
                        <w:pPr>
                          <w:pStyle w:val="TableParagraph"/>
                          <w:spacing w:before="87"/>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06BE90AE" w14:textId="77777777" w:rsidR="00080B77" w:rsidRDefault="00080B77">
                        <w:pPr>
                          <w:pStyle w:val="TableParagraph"/>
                          <w:spacing w:before="87"/>
                          <w:ind w:left="26"/>
                          <w:rPr>
                            <w:sz w:val="13"/>
                          </w:rPr>
                        </w:pPr>
                        <w:r>
                          <w:rPr>
                            <w:color w:val="231F20"/>
                            <w:sz w:val="13"/>
                          </w:rPr>
                          <w:t>Periodic</w:t>
                        </w:r>
                        <w:r>
                          <w:rPr>
                            <w:color w:val="231F20"/>
                            <w:spacing w:val="-25"/>
                            <w:sz w:val="13"/>
                          </w:rPr>
                          <w:t xml:space="preserve"> </w:t>
                        </w:r>
                        <w:r>
                          <w:rPr>
                            <w:color w:val="231F20"/>
                            <w:sz w:val="13"/>
                          </w:rPr>
                          <w:t>town</w:t>
                        </w:r>
                        <w:r>
                          <w:rPr>
                            <w:color w:val="231F20"/>
                            <w:spacing w:val="-24"/>
                            <w:sz w:val="13"/>
                          </w:rPr>
                          <w:t xml:space="preserve"> </w:t>
                        </w:r>
                        <w:r>
                          <w:rPr>
                            <w:color w:val="231F20"/>
                            <w:sz w:val="13"/>
                          </w:rPr>
                          <w:t>hall</w:t>
                        </w:r>
                        <w:r>
                          <w:rPr>
                            <w:color w:val="231F20"/>
                            <w:spacing w:val="-24"/>
                            <w:sz w:val="13"/>
                          </w:rPr>
                          <w:t xml:space="preserve"> </w:t>
                        </w:r>
                        <w:r>
                          <w:rPr>
                            <w:color w:val="231F20"/>
                            <w:sz w:val="13"/>
                          </w:rPr>
                          <w:t>meeting</w:t>
                        </w:r>
                      </w:p>
                    </w:tc>
                  </w:tr>
                  <w:tr w:rsidR="00080B77" w14:paraId="326FA0B3" w14:textId="77777777">
                    <w:trPr>
                      <w:trHeight w:val="329"/>
                    </w:trPr>
                    <w:tc>
                      <w:tcPr>
                        <w:tcW w:w="861" w:type="dxa"/>
                        <w:gridSpan w:val="2"/>
                        <w:vMerge/>
                        <w:tcBorders>
                          <w:top w:val="nil"/>
                          <w:bottom w:val="nil"/>
                          <w:right w:val="single" w:sz="6" w:space="0" w:color="231F20"/>
                        </w:tcBorders>
                      </w:tcPr>
                      <w:p w14:paraId="257200F8"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219BF52D" w14:textId="77777777" w:rsidR="00080B77" w:rsidRDefault="00080B77">
                        <w:pPr>
                          <w:pStyle w:val="TableParagraph"/>
                          <w:spacing w:before="91"/>
                          <w:ind w:left="49" w:right="27"/>
                          <w:jc w:val="center"/>
                          <w:rPr>
                            <w:sz w:val="13"/>
                          </w:rPr>
                        </w:pPr>
                        <w:r>
                          <w:rPr>
                            <w:color w:val="231F20"/>
                            <w:sz w:val="13"/>
                          </w:rPr>
                          <w:t>8.5.2.d</w:t>
                        </w:r>
                      </w:p>
                    </w:tc>
                    <w:tc>
                      <w:tcPr>
                        <w:tcW w:w="4930" w:type="dxa"/>
                        <w:gridSpan w:val="2"/>
                        <w:tcBorders>
                          <w:top w:val="single" w:sz="6" w:space="0" w:color="231F20"/>
                          <w:left w:val="single" w:sz="6" w:space="0" w:color="231F20"/>
                          <w:bottom w:val="single" w:sz="6" w:space="0" w:color="231F20"/>
                          <w:right w:val="single" w:sz="6" w:space="0" w:color="231F20"/>
                        </w:tcBorders>
                      </w:tcPr>
                      <w:p w14:paraId="771972F8" w14:textId="77777777" w:rsidR="00080B77" w:rsidRDefault="00080B77">
                        <w:pPr>
                          <w:pStyle w:val="TableParagraph"/>
                          <w:spacing w:before="86"/>
                          <w:ind w:left="25"/>
                          <w:rPr>
                            <w:sz w:val="13"/>
                          </w:rPr>
                        </w:pPr>
                        <w:r>
                          <w:rPr>
                            <w:color w:val="231F20"/>
                            <w:sz w:val="13"/>
                          </w:rPr>
                          <w:t>Conduct</w:t>
                        </w:r>
                        <w:r>
                          <w:rPr>
                            <w:color w:val="231F20"/>
                            <w:spacing w:val="-20"/>
                            <w:sz w:val="13"/>
                          </w:rPr>
                          <w:t xml:space="preserve"> </w:t>
                        </w:r>
                        <w:r>
                          <w:rPr>
                            <w:color w:val="231F20"/>
                            <w:sz w:val="13"/>
                          </w:rPr>
                          <w:t>public</w:t>
                        </w:r>
                        <w:r>
                          <w:rPr>
                            <w:color w:val="231F20"/>
                            <w:spacing w:val="-20"/>
                            <w:sz w:val="13"/>
                          </w:rPr>
                          <w:t xml:space="preserve"> </w:t>
                        </w:r>
                        <w:r>
                          <w:rPr>
                            <w:color w:val="231F20"/>
                            <w:sz w:val="13"/>
                          </w:rPr>
                          <w:t>enlightenment</w:t>
                        </w:r>
                        <w:r>
                          <w:rPr>
                            <w:color w:val="231F20"/>
                            <w:spacing w:val="-20"/>
                            <w:sz w:val="13"/>
                          </w:rPr>
                          <w:t xml:space="preserve"> </w:t>
                        </w:r>
                        <w:r>
                          <w:rPr>
                            <w:color w:val="231F20"/>
                            <w:sz w:val="13"/>
                          </w:rPr>
                          <w:t>in</w:t>
                        </w:r>
                        <w:r>
                          <w:rPr>
                            <w:color w:val="231F20"/>
                            <w:spacing w:val="-19"/>
                            <w:sz w:val="13"/>
                          </w:rPr>
                          <w:t xml:space="preserve"> </w:t>
                        </w:r>
                        <w:r>
                          <w:rPr>
                            <w:color w:val="231F20"/>
                            <w:sz w:val="13"/>
                          </w:rPr>
                          <w:t>state</w:t>
                        </w:r>
                        <w:r>
                          <w:rPr>
                            <w:color w:val="231F20"/>
                            <w:spacing w:val="-20"/>
                            <w:sz w:val="13"/>
                          </w:rPr>
                          <w:t xml:space="preserve"> </w:t>
                        </w:r>
                        <w:r>
                          <w:rPr>
                            <w:color w:val="231F20"/>
                            <w:sz w:val="13"/>
                          </w:rPr>
                          <w:t>media</w:t>
                        </w:r>
                        <w:r>
                          <w:rPr>
                            <w:color w:val="231F20"/>
                            <w:spacing w:val="-20"/>
                            <w:sz w:val="13"/>
                          </w:rPr>
                          <w:t xml:space="preserve"> </w:t>
                        </w:r>
                        <w:r>
                          <w:rPr>
                            <w:color w:val="231F20"/>
                            <w:sz w:val="13"/>
                          </w:rPr>
                          <w:t>houses</w:t>
                        </w:r>
                        <w:r>
                          <w:rPr>
                            <w:color w:val="231F20"/>
                            <w:spacing w:val="-3"/>
                            <w:sz w:val="13"/>
                          </w:rPr>
                          <w:t xml:space="preserve"> </w:t>
                        </w:r>
                        <w:r>
                          <w:rPr>
                            <w:color w:val="231F20"/>
                            <w:sz w:val="13"/>
                          </w:rPr>
                          <w:t>on</w:t>
                        </w:r>
                        <w:r>
                          <w:rPr>
                            <w:color w:val="231F20"/>
                            <w:spacing w:val="-20"/>
                            <w:sz w:val="13"/>
                          </w:rPr>
                          <w:t xml:space="preserve"> </w:t>
                        </w:r>
                        <w:r>
                          <w:rPr>
                            <w:color w:val="231F20"/>
                            <w:sz w:val="13"/>
                          </w:rPr>
                          <w:t>the</w:t>
                        </w:r>
                        <w:r>
                          <w:rPr>
                            <w:color w:val="231F20"/>
                            <w:spacing w:val="-19"/>
                            <w:sz w:val="13"/>
                          </w:rPr>
                          <w:t xml:space="preserve"> </w:t>
                        </w:r>
                        <w:r>
                          <w:rPr>
                            <w:color w:val="231F20"/>
                            <w:sz w:val="13"/>
                          </w:rPr>
                          <w:t>effect</w:t>
                        </w:r>
                        <w:r>
                          <w:rPr>
                            <w:color w:val="231F20"/>
                            <w:spacing w:val="-20"/>
                            <w:sz w:val="13"/>
                          </w:rPr>
                          <w:t xml:space="preserve"> </w:t>
                        </w:r>
                        <w:r>
                          <w:rPr>
                            <w:color w:val="231F20"/>
                            <w:sz w:val="13"/>
                          </w:rPr>
                          <w:t>of</w:t>
                        </w:r>
                        <w:r>
                          <w:rPr>
                            <w:color w:val="231F20"/>
                            <w:spacing w:val="-20"/>
                            <w:sz w:val="13"/>
                          </w:rPr>
                          <w:t xml:space="preserve"> </w:t>
                        </w:r>
                        <w:r>
                          <w:rPr>
                            <w:color w:val="231F20"/>
                            <w:sz w:val="13"/>
                          </w:rPr>
                          <w:t>chemical</w:t>
                        </w:r>
                        <w:r>
                          <w:rPr>
                            <w:color w:val="231F20"/>
                            <w:spacing w:val="-19"/>
                            <w:sz w:val="13"/>
                          </w:rPr>
                          <w:t xml:space="preserve"> </w:t>
                        </w:r>
                        <w:r>
                          <w:rPr>
                            <w:color w:val="231F20"/>
                            <w:sz w:val="13"/>
                          </w:rPr>
                          <w:t>hazards</w:t>
                        </w:r>
                      </w:p>
                    </w:tc>
                    <w:tc>
                      <w:tcPr>
                        <w:tcW w:w="1437" w:type="dxa"/>
                        <w:tcBorders>
                          <w:top w:val="single" w:sz="6" w:space="0" w:color="231F20"/>
                          <w:left w:val="single" w:sz="6" w:space="0" w:color="231F20"/>
                          <w:bottom w:val="single" w:sz="6" w:space="0" w:color="231F20"/>
                          <w:right w:val="single" w:sz="6" w:space="0" w:color="231F20"/>
                        </w:tcBorders>
                      </w:tcPr>
                      <w:p w14:paraId="265C9A11" w14:textId="77777777" w:rsidR="00080B77" w:rsidRDefault="00080B77">
                        <w:pPr>
                          <w:pStyle w:val="TableParagraph"/>
                          <w:spacing w:before="91"/>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498F4F53" w14:textId="77777777" w:rsidR="00080B77" w:rsidRDefault="00080B77">
                        <w:pPr>
                          <w:pStyle w:val="TableParagraph"/>
                          <w:spacing w:before="8"/>
                          <w:ind w:left="26"/>
                          <w:rPr>
                            <w:sz w:val="13"/>
                          </w:rPr>
                        </w:pPr>
                        <w:r>
                          <w:rPr>
                            <w:color w:val="231F20"/>
                            <w:sz w:val="13"/>
                          </w:rPr>
                          <w:t>Conduct public</w:t>
                        </w:r>
                      </w:p>
                      <w:p w14:paraId="19E2F221" w14:textId="77777777" w:rsidR="00080B77" w:rsidRDefault="00080B77">
                        <w:pPr>
                          <w:pStyle w:val="TableParagraph"/>
                          <w:spacing w:before="15" w:line="136" w:lineRule="exact"/>
                          <w:ind w:left="26"/>
                          <w:rPr>
                            <w:sz w:val="13"/>
                          </w:rPr>
                        </w:pPr>
                        <w:r>
                          <w:rPr>
                            <w:color w:val="231F20"/>
                            <w:sz w:val="13"/>
                          </w:rPr>
                          <w:t>enlightenment</w:t>
                        </w:r>
                      </w:p>
                    </w:tc>
                  </w:tr>
                  <w:tr w:rsidR="00080B77" w14:paraId="6A0E0050" w14:textId="77777777">
                    <w:trPr>
                      <w:trHeight w:val="835"/>
                    </w:trPr>
                    <w:tc>
                      <w:tcPr>
                        <w:tcW w:w="403" w:type="dxa"/>
                        <w:tcBorders>
                          <w:top w:val="nil"/>
                          <w:bottom w:val="nil"/>
                          <w:right w:val="single" w:sz="6" w:space="0" w:color="231F20"/>
                        </w:tcBorders>
                      </w:tcPr>
                      <w:p w14:paraId="7F74BC27" w14:textId="77777777" w:rsidR="00080B77" w:rsidRDefault="00080B77">
                        <w:pPr>
                          <w:pStyle w:val="TableParagraph"/>
                          <w:rPr>
                            <w:rFonts w:ascii="Times New Roman"/>
                            <w:sz w:val="10"/>
                          </w:rPr>
                        </w:pPr>
                      </w:p>
                    </w:tc>
                    <w:tc>
                      <w:tcPr>
                        <w:tcW w:w="458" w:type="dxa"/>
                        <w:tcBorders>
                          <w:top w:val="single" w:sz="6" w:space="0" w:color="231F20"/>
                          <w:left w:val="single" w:sz="6" w:space="0" w:color="231F20"/>
                          <w:bottom w:val="single" w:sz="6" w:space="0" w:color="231F20"/>
                          <w:right w:val="single" w:sz="6" w:space="0" w:color="231F20"/>
                        </w:tcBorders>
                        <w:shd w:val="clear" w:color="auto" w:fill="CCE7D3"/>
                      </w:tcPr>
                      <w:p w14:paraId="3C632F29" w14:textId="77777777" w:rsidR="00080B77" w:rsidRDefault="00080B77">
                        <w:pPr>
                          <w:pStyle w:val="TableParagraph"/>
                          <w:rPr>
                            <w:sz w:val="12"/>
                          </w:rPr>
                        </w:pPr>
                      </w:p>
                      <w:p w14:paraId="44150FA3" w14:textId="77777777" w:rsidR="00080B77" w:rsidRDefault="00080B77">
                        <w:pPr>
                          <w:pStyle w:val="TableParagraph"/>
                          <w:spacing w:before="10"/>
                          <w:rPr>
                            <w:sz w:val="17"/>
                          </w:rPr>
                        </w:pPr>
                      </w:p>
                      <w:p w14:paraId="7705AE96" w14:textId="77777777" w:rsidR="00080B77" w:rsidRDefault="00080B77">
                        <w:pPr>
                          <w:pStyle w:val="TableParagraph"/>
                          <w:ind w:left="59"/>
                          <w:rPr>
                            <w:sz w:val="13"/>
                          </w:rPr>
                        </w:pPr>
                        <w:r>
                          <w:rPr>
                            <w:color w:val="231F20"/>
                            <w:sz w:val="13"/>
                          </w:rPr>
                          <w:t>8.5.3</w:t>
                        </w:r>
                      </w:p>
                    </w:tc>
                    <w:tc>
                      <w:tcPr>
                        <w:tcW w:w="3059" w:type="dxa"/>
                        <w:gridSpan w:val="2"/>
                        <w:tcBorders>
                          <w:top w:val="single" w:sz="6" w:space="0" w:color="231F20"/>
                          <w:left w:val="single" w:sz="6" w:space="0" w:color="231F20"/>
                          <w:bottom w:val="single" w:sz="6" w:space="0" w:color="231F20"/>
                          <w:right w:val="single" w:sz="6" w:space="0" w:color="231F20"/>
                        </w:tcBorders>
                        <w:shd w:val="clear" w:color="auto" w:fill="CCE7D3"/>
                      </w:tcPr>
                      <w:p w14:paraId="3007B08C" w14:textId="77777777" w:rsidR="00080B77" w:rsidRDefault="00080B77">
                        <w:pPr>
                          <w:pStyle w:val="TableParagraph"/>
                          <w:spacing w:before="1"/>
                          <w:rPr>
                            <w:sz w:val="15"/>
                          </w:rPr>
                        </w:pPr>
                      </w:p>
                      <w:p w14:paraId="320CAEAC" w14:textId="5161273C" w:rsidR="00080B77" w:rsidRDefault="00080B77">
                        <w:pPr>
                          <w:pStyle w:val="TableParagraph"/>
                          <w:spacing w:line="264" w:lineRule="auto"/>
                          <w:ind w:left="26" w:right="83" w:firstLine="33"/>
                          <w:rPr>
                            <w:sz w:val="13"/>
                          </w:rPr>
                        </w:pPr>
                        <w:r>
                          <w:rPr>
                            <w:color w:val="231F20"/>
                            <w:sz w:val="13"/>
                          </w:rPr>
                          <w:t xml:space="preserve">Build capacity of health workers for effective </w:t>
                        </w:r>
                        <w:r>
                          <w:rPr>
                            <w:color w:val="231F20"/>
                            <w:w w:val="95"/>
                            <w:sz w:val="13"/>
                          </w:rPr>
                          <w:t>management</w:t>
                        </w:r>
                        <w:r>
                          <w:rPr>
                            <w:color w:val="231F20"/>
                            <w:spacing w:val="-16"/>
                            <w:w w:val="95"/>
                            <w:sz w:val="13"/>
                          </w:rPr>
                          <w:t xml:space="preserve"> </w:t>
                        </w:r>
                        <w:r>
                          <w:rPr>
                            <w:color w:val="231F20"/>
                            <w:w w:val="95"/>
                            <w:sz w:val="13"/>
                          </w:rPr>
                          <w:t>of</w:t>
                        </w:r>
                        <w:r>
                          <w:rPr>
                            <w:color w:val="231F20"/>
                            <w:spacing w:val="-15"/>
                            <w:w w:val="95"/>
                            <w:sz w:val="13"/>
                          </w:rPr>
                          <w:t xml:space="preserve"> </w:t>
                        </w:r>
                        <w:r>
                          <w:rPr>
                            <w:color w:val="231F20"/>
                            <w:w w:val="95"/>
                            <w:sz w:val="13"/>
                          </w:rPr>
                          <w:t>medical</w:t>
                        </w:r>
                        <w:r>
                          <w:rPr>
                            <w:color w:val="231F20"/>
                            <w:spacing w:val="-15"/>
                            <w:w w:val="95"/>
                            <w:sz w:val="13"/>
                          </w:rPr>
                          <w:t xml:space="preserve"> </w:t>
                        </w:r>
                        <w:r>
                          <w:rPr>
                            <w:color w:val="231F20"/>
                            <w:w w:val="95"/>
                            <w:sz w:val="13"/>
                          </w:rPr>
                          <w:t>and</w:t>
                        </w:r>
                        <w:r>
                          <w:rPr>
                            <w:color w:val="231F20"/>
                            <w:spacing w:val="-15"/>
                            <w:w w:val="95"/>
                            <w:sz w:val="13"/>
                          </w:rPr>
                          <w:t xml:space="preserve"> </w:t>
                        </w:r>
                        <w:r>
                          <w:rPr>
                            <w:color w:val="231F20"/>
                            <w:w w:val="95"/>
                            <w:sz w:val="13"/>
                          </w:rPr>
                          <w:t>Bio</w:t>
                        </w:r>
                        <w:r>
                          <w:rPr>
                            <w:color w:val="231F20"/>
                            <w:spacing w:val="-15"/>
                            <w:w w:val="95"/>
                            <w:sz w:val="13"/>
                          </w:rPr>
                          <w:t xml:space="preserve"> </w:t>
                        </w:r>
                        <w:r>
                          <w:rPr>
                            <w:color w:val="231F20"/>
                            <w:w w:val="95"/>
                            <w:sz w:val="13"/>
                          </w:rPr>
                          <w:t>waste</w:t>
                        </w:r>
                        <w:r>
                          <w:rPr>
                            <w:color w:val="231F20"/>
                            <w:spacing w:val="-15"/>
                            <w:w w:val="95"/>
                            <w:sz w:val="13"/>
                          </w:rPr>
                          <w:t xml:space="preserve"> </w:t>
                        </w:r>
                        <w:r>
                          <w:rPr>
                            <w:color w:val="231F20"/>
                            <w:w w:val="95"/>
                            <w:sz w:val="13"/>
                          </w:rPr>
                          <w:t>and</w:t>
                        </w:r>
                        <w:r>
                          <w:rPr>
                            <w:color w:val="231F20"/>
                            <w:spacing w:val="-15"/>
                            <w:w w:val="95"/>
                            <w:sz w:val="13"/>
                          </w:rPr>
                          <w:t xml:space="preserve"> </w:t>
                        </w:r>
                        <w:r>
                          <w:rPr>
                            <w:color w:val="231F20"/>
                            <w:w w:val="95"/>
                            <w:sz w:val="13"/>
                          </w:rPr>
                          <w:t xml:space="preserve">hazardous </w:t>
                        </w:r>
                        <w:r>
                          <w:rPr>
                            <w:color w:val="231F20"/>
                            <w:sz w:val="13"/>
                          </w:rPr>
                          <w:t>chemicals</w:t>
                        </w:r>
                        <w:r>
                          <w:rPr>
                            <w:color w:val="231F20"/>
                            <w:spacing w:val="-13"/>
                            <w:sz w:val="13"/>
                          </w:rPr>
                          <w:t xml:space="preserve"> </w:t>
                        </w:r>
                        <w:r>
                          <w:rPr>
                            <w:color w:val="231F20"/>
                            <w:sz w:val="13"/>
                          </w:rPr>
                          <w:t>at</w:t>
                        </w:r>
                        <w:r>
                          <w:rPr>
                            <w:color w:val="231F20"/>
                            <w:spacing w:val="-13"/>
                            <w:sz w:val="13"/>
                          </w:rPr>
                          <w:t xml:space="preserve"> </w:t>
                        </w:r>
                        <w:r>
                          <w:rPr>
                            <w:color w:val="231F20"/>
                            <w:sz w:val="13"/>
                          </w:rPr>
                          <w:t>all</w:t>
                        </w:r>
                        <w:r>
                          <w:rPr>
                            <w:color w:val="231F20"/>
                            <w:spacing w:val="-13"/>
                            <w:sz w:val="13"/>
                          </w:rPr>
                          <w:t xml:space="preserve"> </w:t>
                        </w:r>
                        <w:r>
                          <w:rPr>
                            <w:color w:val="231F20"/>
                            <w:sz w:val="13"/>
                          </w:rPr>
                          <w:t>levels</w:t>
                        </w:r>
                        <w:r>
                          <w:rPr>
                            <w:color w:val="231F20"/>
                            <w:spacing w:val="-13"/>
                            <w:sz w:val="13"/>
                          </w:rPr>
                          <w:t xml:space="preserve"> </w:t>
                        </w:r>
                        <w:r>
                          <w:rPr>
                            <w:color w:val="231F20"/>
                            <w:sz w:val="13"/>
                          </w:rPr>
                          <w:t>of</w:t>
                        </w:r>
                        <w:r>
                          <w:rPr>
                            <w:color w:val="231F20"/>
                            <w:spacing w:val="-13"/>
                            <w:sz w:val="13"/>
                          </w:rPr>
                          <w:t xml:space="preserve"> </w:t>
                        </w:r>
                        <w:r>
                          <w:rPr>
                            <w:color w:val="231F20"/>
                            <w:sz w:val="13"/>
                          </w:rPr>
                          <w:t>the</w:t>
                        </w:r>
                        <w:r>
                          <w:rPr>
                            <w:color w:val="231F20"/>
                            <w:spacing w:val="-13"/>
                            <w:sz w:val="13"/>
                          </w:rPr>
                          <w:t xml:space="preserve"> </w:t>
                        </w:r>
                        <w:r>
                          <w:rPr>
                            <w:color w:val="231F20"/>
                            <w:sz w:val="13"/>
                          </w:rPr>
                          <w:t>health</w:t>
                        </w:r>
                        <w:r>
                          <w:rPr>
                            <w:color w:val="231F20"/>
                            <w:spacing w:val="-13"/>
                            <w:sz w:val="13"/>
                          </w:rPr>
                          <w:t xml:space="preserve"> </w:t>
                        </w:r>
                        <w:r>
                          <w:rPr>
                            <w:color w:val="231F20"/>
                            <w:sz w:val="13"/>
                          </w:rPr>
                          <w:t>care</w:t>
                        </w:r>
                        <w:r>
                          <w:rPr>
                            <w:color w:val="231F20"/>
                            <w:spacing w:val="-13"/>
                            <w:sz w:val="13"/>
                          </w:rPr>
                          <w:t xml:space="preserve"> </w:t>
                        </w:r>
                        <w:r>
                          <w:rPr>
                            <w:color w:val="231F20"/>
                            <w:sz w:val="13"/>
                          </w:rPr>
                          <w:t>system</w:t>
                        </w:r>
                      </w:p>
                    </w:tc>
                    <w:tc>
                      <w:tcPr>
                        <w:tcW w:w="2401" w:type="dxa"/>
                        <w:tcBorders>
                          <w:top w:val="single" w:sz="6" w:space="0" w:color="231F20"/>
                          <w:left w:val="single" w:sz="6" w:space="0" w:color="231F20"/>
                          <w:bottom w:val="single" w:sz="6" w:space="0" w:color="231F20"/>
                          <w:right w:val="single" w:sz="6" w:space="0" w:color="231F20"/>
                        </w:tcBorders>
                        <w:shd w:val="clear" w:color="auto" w:fill="CCE7D3"/>
                      </w:tcPr>
                      <w:p w14:paraId="2B95BEB9" w14:textId="77777777" w:rsidR="00080B77" w:rsidRDefault="00080B77">
                        <w:pPr>
                          <w:pStyle w:val="TableParagraph"/>
                          <w:numPr>
                            <w:ilvl w:val="0"/>
                            <w:numId w:val="75"/>
                          </w:numPr>
                          <w:tabs>
                            <w:tab w:val="left" w:pos="101"/>
                          </w:tabs>
                          <w:spacing w:before="1" w:line="264" w:lineRule="auto"/>
                          <w:ind w:right="25" w:firstLine="0"/>
                          <w:rPr>
                            <w:sz w:val="13"/>
                          </w:rPr>
                        </w:pPr>
                        <w:r>
                          <w:rPr>
                            <w:color w:val="231F20"/>
                            <w:sz w:val="13"/>
                          </w:rPr>
                          <w:t xml:space="preserve">Health workers trained on the </w:t>
                        </w:r>
                        <w:r>
                          <w:rPr>
                            <w:color w:val="231F20"/>
                            <w:w w:val="95"/>
                            <w:sz w:val="13"/>
                          </w:rPr>
                          <w:t>management</w:t>
                        </w:r>
                        <w:r>
                          <w:rPr>
                            <w:color w:val="231F20"/>
                            <w:spacing w:val="-11"/>
                            <w:w w:val="95"/>
                            <w:sz w:val="13"/>
                          </w:rPr>
                          <w:t xml:space="preserve"> </w:t>
                        </w:r>
                        <w:r>
                          <w:rPr>
                            <w:color w:val="231F20"/>
                            <w:w w:val="95"/>
                            <w:sz w:val="13"/>
                          </w:rPr>
                          <w:t>of</w:t>
                        </w:r>
                        <w:r>
                          <w:rPr>
                            <w:color w:val="231F20"/>
                            <w:spacing w:val="-10"/>
                            <w:w w:val="95"/>
                            <w:sz w:val="13"/>
                          </w:rPr>
                          <w:t xml:space="preserve"> </w:t>
                        </w:r>
                        <w:r>
                          <w:rPr>
                            <w:color w:val="231F20"/>
                            <w:w w:val="95"/>
                            <w:sz w:val="13"/>
                          </w:rPr>
                          <w:t>medical</w:t>
                        </w:r>
                        <w:r>
                          <w:rPr>
                            <w:color w:val="231F20"/>
                            <w:spacing w:val="-11"/>
                            <w:w w:val="95"/>
                            <w:sz w:val="13"/>
                          </w:rPr>
                          <w:t xml:space="preserve"> </w:t>
                        </w:r>
                        <w:r>
                          <w:rPr>
                            <w:color w:val="231F20"/>
                            <w:w w:val="95"/>
                            <w:sz w:val="13"/>
                          </w:rPr>
                          <w:t>and</w:t>
                        </w:r>
                        <w:r>
                          <w:rPr>
                            <w:color w:val="231F20"/>
                            <w:spacing w:val="-10"/>
                            <w:w w:val="95"/>
                            <w:sz w:val="13"/>
                          </w:rPr>
                          <w:t xml:space="preserve"> </w:t>
                        </w:r>
                        <w:r>
                          <w:rPr>
                            <w:color w:val="231F20"/>
                            <w:w w:val="95"/>
                            <w:sz w:val="13"/>
                          </w:rPr>
                          <w:t>bio</w:t>
                        </w:r>
                        <w:r>
                          <w:rPr>
                            <w:color w:val="231F20"/>
                            <w:spacing w:val="-11"/>
                            <w:w w:val="95"/>
                            <w:sz w:val="13"/>
                          </w:rPr>
                          <w:t xml:space="preserve"> </w:t>
                        </w:r>
                        <w:r>
                          <w:rPr>
                            <w:color w:val="231F20"/>
                            <w:w w:val="95"/>
                            <w:sz w:val="13"/>
                          </w:rPr>
                          <w:t>waste</w:t>
                        </w:r>
                        <w:r>
                          <w:rPr>
                            <w:color w:val="231F20"/>
                            <w:spacing w:val="-10"/>
                            <w:w w:val="95"/>
                            <w:sz w:val="13"/>
                          </w:rPr>
                          <w:t xml:space="preserve"> </w:t>
                        </w:r>
                        <w:r>
                          <w:rPr>
                            <w:color w:val="231F20"/>
                            <w:w w:val="95"/>
                            <w:sz w:val="13"/>
                          </w:rPr>
                          <w:t>at</w:t>
                        </w:r>
                        <w:r>
                          <w:rPr>
                            <w:color w:val="231F20"/>
                            <w:spacing w:val="-11"/>
                            <w:w w:val="95"/>
                            <w:sz w:val="13"/>
                          </w:rPr>
                          <w:t xml:space="preserve"> </w:t>
                        </w:r>
                        <w:r>
                          <w:rPr>
                            <w:color w:val="231F20"/>
                            <w:spacing w:val="-5"/>
                            <w:w w:val="95"/>
                            <w:sz w:val="13"/>
                          </w:rPr>
                          <w:t xml:space="preserve">all </w:t>
                        </w:r>
                        <w:r>
                          <w:rPr>
                            <w:color w:val="231F20"/>
                            <w:sz w:val="13"/>
                          </w:rPr>
                          <w:t>level</w:t>
                        </w:r>
                      </w:p>
                      <w:p w14:paraId="2AC28890" w14:textId="77777777" w:rsidR="00080B77" w:rsidRDefault="00080B77">
                        <w:pPr>
                          <w:pStyle w:val="TableParagraph"/>
                          <w:numPr>
                            <w:ilvl w:val="0"/>
                            <w:numId w:val="75"/>
                          </w:numPr>
                          <w:tabs>
                            <w:tab w:val="left" w:pos="101"/>
                          </w:tabs>
                          <w:spacing w:before="1"/>
                          <w:ind w:left="100"/>
                          <w:rPr>
                            <w:sz w:val="13"/>
                          </w:rPr>
                        </w:pPr>
                        <w:r>
                          <w:rPr>
                            <w:color w:val="231F20"/>
                            <w:w w:val="95"/>
                            <w:sz w:val="13"/>
                          </w:rPr>
                          <w:t>Environmental</w:t>
                        </w:r>
                        <w:r>
                          <w:rPr>
                            <w:color w:val="231F20"/>
                            <w:spacing w:val="-11"/>
                            <w:w w:val="95"/>
                            <w:sz w:val="13"/>
                          </w:rPr>
                          <w:t xml:space="preserve"> </w:t>
                        </w:r>
                        <w:r>
                          <w:rPr>
                            <w:color w:val="231F20"/>
                            <w:w w:val="95"/>
                            <w:sz w:val="13"/>
                          </w:rPr>
                          <w:t>Health</w:t>
                        </w:r>
                        <w:r>
                          <w:rPr>
                            <w:color w:val="231F20"/>
                            <w:spacing w:val="-10"/>
                            <w:w w:val="95"/>
                            <w:sz w:val="13"/>
                          </w:rPr>
                          <w:t xml:space="preserve"> </w:t>
                        </w:r>
                        <w:r>
                          <w:rPr>
                            <w:color w:val="231F20"/>
                            <w:w w:val="95"/>
                            <w:sz w:val="13"/>
                          </w:rPr>
                          <w:t>Officers</w:t>
                        </w:r>
                        <w:r>
                          <w:rPr>
                            <w:color w:val="231F20"/>
                            <w:spacing w:val="-10"/>
                            <w:w w:val="95"/>
                            <w:sz w:val="13"/>
                          </w:rPr>
                          <w:t xml:space="preserve"> </w:t>
                        </w:r>
                        <w:r>
                          <w:rPr>
                            <w:color w:val="231F20"/>
                            <w:w w:val="95"/>
                            <w:sz w:val="13"/>
                          </w:rPr>
                          <w:t>trained</w:t>
                        </w:r>
                        <w:r>
                          <w:rPr>
                            <w:color w:val="231F20"/>
                            <w:spacing w:val="-10"/>
                            <w:w w:val="95"/>
                            <w:sz w:val="13"/>
                          </w:rPr>
                          <w:t xml:space="preserve"> </w:t>
                        </w:r>
                        <w:r>
                          <w:rPr>
                            <w:color w:val="231F20"/>
                            <w:w w:val="95"/>
                            <w:sz w:val="13"/>
                          </w:rPr>
                          <w:t>on</w:t>
                        </w:r>
                      </w:p>
                      <w:p w14:paraId="03FDCF7D" w14:textId="77777777" w:rsidR="00080B77" w:rsidRDefault="00080B77">
                        <w:pPr>
                          <w:pStyle w:val="TableParagraph"/>
                          <w:spacing w:before="15"/>
                          <w:ind w:left="25"/>
                          <w:rPr>
                            <w:sz w:val="13"/>
                          </w:rPr>
                        </w:pPr>
                        <w:r>
                          <w:rPr>
                            <w:color w:val="231F20"/>
                            <w:sz w:val="13"/>
                          </w:rPr>
                          <w:t>risk assessment</w:t>
                        </w:r>
                      </w:p>
                    </w:tc>
                    <w:tc>
                      <w:tcPr>
                        <w:tcW w:w="1437" w:type="dxa"/>
                        <w:tcBorders>
                          <w:top w:val="single" w:sz="6" w:space="0" w:color="231F20"/>
                          <w:left w:val="single" w:sz="6" w:space="0" w:color="231F20"/>
                          <w:bottom w:val="single" w:sz="6" w:space="0" w:color="231F20"/>
                          <w:right w:val="single" w:sz="6" w:space="0" w:color="231F20"/>
                        </w:tcBorders>
                        <w:shd w:val="clear" w:color="auto" w:fill="CCE7D3"/>
                      </w:tcPr>
                      <w:p w14:paraId="3B0D935A" w14:textId="77777777" w:rsidR="00080B77" w:rsidRDefault="00080B77">
                        <w:pPr>
                          <w:pStyle w:val="TableParagraph"/>
                          <w:rPr>
                            <w:rFonts w:ascii="Times New Roman"/>
                            <w:sz w:val="10"/>
                          </w:rPr>
                        </w:pPr>
                      </w:p>
                    </w:tc>
                    <w:tc>
                      <w:tcPr>
                        <w:tcW w:w="1516" w:type="dxa"/>
                        <w:tcBorders>
                          <w:top w:val="single" w:sz="6" w:space="0" w:color="231F20"/>
                          <w:left w:val="single" w:sz="6" w:space="0" w:color="231F20"/>
                          <w:bottom w:val="single" w:sz="6" w:space="0" w:color="231F20"/>
                          <w:right w:val="single" w:sz="6" w:space="0" w:color="231F20"/>
                        </w:tcBorders>
                        <w:shd w:val="clear" w:color="auto" w:fill="CCE7D3"/>
                      </w:tcPr>
                      <w:p w14:paraId="12DAAC3B" w14:textId="77777777" w:rsidR="00080B77" w:rsidRDefault="00080B77">
                        <w:pPr>
                          <w:pStyle w:val="TableParagraph"/>
                          <w:rPr>
                            <w:rFonts w:ascii="Times New Roman"/>
                            <w:sz w:val="10"/>
                          </w:rPr>
                        </w:pPr>
                      </w:p>
                    </w:tc>
                  </w:tr>
                  <w:tr w:rsidR="00080B77" w14:paraId="59553449" w14:textId="77777777">
                    <w:trPr>
                      <w:trHeight w:val="317"/>
                    </w:trPr>
                    <w:tc>
                      <w:tcPr>
                        <w:tcW w:w="861" w:type="dxa"/>
                        <w:gridSpan w:val="2"/>
                        <w:vMerge w:val="restart"/>
                        <w:tcBorders>
                          <w:top w:val="nil"/>
                          <w:bottom w:val="single" w:sz="6" w:space="0" w:color="231F20"/>
                          <w:right w:val="single" w:sz="6" w:space="0" w:color="231F20"/>
                        </w:tcBorders>
                      </w:tcPr>
                      <w:p w14:paraId="362EF5B3" w14:textId="77777777" w:rsidR="00080B77" w:rsidRDefault="00080B77">
                        <w:pPr>
                          <w:pStyle w:val="TableParagraph"/>
                          <w:rPr>
                            <w:rFonts w:ascii="Times New Roman"/>
                            <w:sz w:val="10"/>
                          </w:rPr>
                        </w:pPr>
                      </w:p>
                    </w:tc>
                    <w:tc>
                      <w:tcPr>
                        <w:tcW w:w="530" w:type="dxa"/>
                        <w:tcBorders>
                          <w:top w:val="single" w:sz="6" w:space="0" w:color="231F20"/>
                          <w:left w:val="single" w:sz="6" w:space="0" w:color="231F20"/>
                          <w:bottom w:val="single" w:sz="6" w:space="0" w:color="231F20"/>
                          <w:right w:val="single" w:sz="6" w:space="0" w:color="231F20"/>
                        </w:tcBorders>
                      </w:tcPr>
                      <w:p w14:paraId="42949870" w14:textId="77777777" w:rsidR="00080B77" w:rsidRDefault="00080B77">
                        <w:pPr>
                          <w:pStyle w:val="TableParagraph"/>
                          <w:spacing w:before="84"/>
                          <w:ind w:left="49" w:right="27"/>
                          <w:jc w:val="center"/>
                          <w:rPr>
                            <w:sz w:val="13"/>
                          </w:rPr>
                        </w:pPr>
                        <w:r>
                          <w:rPr>
                            <w:color w:val="231F20"/>
                            <w:sz w:val="13"/>
                          </w:rPr>
                          <w:t>8.5.3.a</w:t>
                        </w:r>
                      </w:p>
                    </w:tc>
                    <w:tc>
                      <w:tcPr>
                        <w:tcW w:w="4930" w:type="dxa"/>
                        <w:gridSpan w:val="2"/>
                        <w:tcBorders>
                          <w:top w:val="single" w:sz="6" w:space="0" w:color="231F20"/>
                          <w:left w:val="single" w:sz="6" w:space="0" w:color="231F20"/>
                          <w:bottom w:val="single" w:sz="6" w:space="0" w:color="231F20"/>
                          <w:right w:val="single" w:sz="6" w:space="0" w:color="231F20"/>
                        </w:tcBorders>
                      </w:tcPr>
                      <w:p w14:paraId="59A8D44E" w14:textId="77777777" w:rsidR="00080B77" w:rsidRDefault="00080B77">
                        <w:pPr>
                          <w:pStyle w:val="TableParagraph"/>
                          <w:spacing w:line="151" w:lineRule="exact"/>
                          <w:ind w:left="25"/>
                          <w:rPr>
                            <w:sz w:val="13"/>
                          </w:rPr>
                        </w:pPr>
                        <w:r>
                          <w:rPr>
                            <w:color w:val="231F20"/>
                            <w:w w:val="91"/>
                            <w:sz w:val="13"/>
                          </w:rPr>
                          <w:t>Conduc</w:t>
                        </w:r>
                        <w:r>
                          <w:rPr>
                            <w:color w:val="231F20"/>
                            <w:w w:val="92"/>
                            <w:sz w:val="13"/>
                          </w:rPr>
                          <w:t>t</w:t>
                        </w:r>
                        <w:r>
                          <w:rPr>
                            <w:color w:val="231F20"/>
                            <w:spacing w:val="-3"/>
                            <w:sz w:val="13"/>
                          </w:rPr>
                          <w:t xml:space="preserve"> </w:t>
                        </w:r>
                        <w:r>
                          <w:rPr>
                            <w:color w:val="231F20"/>
                            <w:spacing w:val="-1"/>
                            <w:w w:val="92"/>
                            <w:sz w:val="13"/>
                          </w:rPr>
                          <w:t>t</w:t>
                        </w:r>
                        <w:r>
                          <w:rPr>
                            <w:color w:val="231F20"/>
                            <w:w w:val="91"/>
                            <w:sz w:val="13"/>
                          </w:rPr>
                          <w:t>raining</w:t>
                        </w:r>
                        <w:r>
                          <w:rPr>
                            <w:color w:val="231F20"/>
                            <w:spacing w:val="-3"/>
                            <w:sz w:val="13"/>
                          </w:rPr>
                          <w:t xml:space="preserve"> </w:t>
                        </w:r>
                        <w:r>
                          <w:rPr>
                            <w:color w:val="231F20"/>
                            <w:w w:val="91"/>
                            <w:sz w:val="13"/>
                          </w:rPr>
                          <w:t>o</w:t>
                        </w:r>
                        <w:r>
                          <w:rPr>
                            <w:color w:val="231F20"/>
                            <w:w w:val="92"/>
                            <w:sz w:val="13"/>
                          </w:rPr>
                          <w:t>f</w:t>
                        </w:r>
                        <w:r>
                          <w:rPr>
                            <w:color w:val="231F20"/>
                            <w:sz w:val="13"/>
                          </w:rPr>
                          <w:t xml:space="preserve"> </w:t>
                        </w:r>
                        <w:r>
                          <w:rPr>
                            <w:color w:val="231F20"/>
                            <w:spacing w:val="-6"/>
                            <w:sz w:val="13"/>
                          </w:rPr>
                          <w:t xml:space="preserve"> </w:t>
                        </w:r>
                        <w:r>
                          <w:rPr>
                            <w:color w:val="231F20"/>
                            <w:w w:val="91"/>
                            <w:sz w:val="13"/>
                          </w:rPr>
                          <w:t>heal</w:t>
                        </w:r>
                        <w:r>
                          <w:rPr>
                            <w:color w:val="231F20"/>
                            <w:spacing w:val="-1"/>
                            <w:w w:val="92"/>
                            <w:sz w:val="13"/>
                          </w:rPr>
                          <w:t>t</w:t>
                        </w:r>
                        <w:r>
                          <w:rPr>
                            <w:color w:val="231F20"/>
                            <w:w w:val="91"/>
                            <w:sz w:val="13"/>
                          </w:rPr>
                          <w:t>h</w:t>
                        </w:r>
                        <w:r>
                          <w:rPr>
                            <w:color w:val="231F20"/>
                            <w:spacing w:val="-3"/>
                            <w:sz w:val="13"/>
                          </w:rPr>
                          <w:t xml:space="preserve"> </w:t>
                        </w:r>
                        <w:r>
                          <w:rPr>
                            <w:color w:val="231F20"/>
                            <w:w w:val="91"/>
                            <w:sz w:val="13"/>
                          </w:rPr>
                          <w:t>workers</w:t>
                        </w:r>
                        <w:r>
                          <w:rPr>
                            <w:color w:val="231F20"/>
                            <w:spacing w:val="-3"/>
                            <w:sz w:val="13"/>
                          </w:rPr>
                          <w:t xml:space="preserve"> </w:t>
                        </w:r>
                        <w:r>
                          <w:rPr>
                            <w:color w:val="231F20"/>
                            <w:w w:val="91"/>
                            <w:sz w:val="13"/>
                          </w:rPr>
                          <w:t>on</w:t>
                        </w:r>
                        <w:r>
                          <w:rPr>
                            <w:color w:val="231F20"/>
                            <w:sz w:val="13"/>
                          </w:rPr>
                          <w:t xml:space="preserve"> </w:t>
                        </w:r>
                        <w:r>
                          <w:rPr>
                            <w:color w:val="231F20"/>
                            <w:spacing w:val="-6"/>
                            <w:sz w:val="13"/>
                          </w:rPr>
                          <w:t xml:space="preserve"> </w:t>
                        </w:r>
                        <w:r>
                          <w:rPr>
                            <w:color w:val="231F20"/>
                            <w:spacing w:val="-1"/>
                            <w:w w:val="92"/>
                            <w:sz w:val="13"/>
                          </w:rPr>
                          <w:t>t</w:t>
                        </w:r>
                        <w:r>
                          <w:rPr>
                            <w:color w:val="231F20"/>
                            <w:w w:val="91"/>
                            <w:sz w:val="13"/>
                          </w:rPr>
                          <w:t>he</w:t>
                        </w:r>
                        <w:r>
                          <w:rPr>
                            <w:color w:val="231F20"/>
                            <w:spacing w:val="-3"/>
                            <w:sz w:val="13"/>
                          </w:rPr>
                          <w:t xml:space="preserve"> </w:t>
                        </w:r>
                        <w:r>
                          <w:rPr>
                            <w:color w:val="231F20"/>
                            <w:w w:val="91"/>
                            <w:sz w:val="13"/>
                          </w:rPr>
                          <w:t>man</w:t>
                        </w:r>
                        <w:r>
                          <w:rPr>
                            <w:color w:val="231F20"/>
                            <w:spacing w:val="-50"/>
                            <w:w w:val="91"/>
                            <w:sz w:val="13"/>
                          </w:rPr>
                          <w:t>a</w:t>
                        </w:r>
                        <w:r>
                          <w:rPr>
                            <w:color w:val="231F20"/>
                            <w:spacing w:val="7"/>
                            <w:w w:val="91"/>
                            <w:position w:val="3"/>
                            <w:sz w:val="13"/>
                          </w:rPr>
                          <w:t>•</w:t>
                        </w:r>
                        <w:proofErr w:type="spellStart"/>
                        <w:r>
                          <w:rPr>
                            <w:color w:val="231F20"/>
                            <w:w w:val="91"/>
                            <w:sz w:val="13"/>
                          </w:rPr>
                          <w:t>gemen</w:t>
                        </w:r>
                        <w:r>
                          <w:rPr>
                            <w:color w:val="231F20"/>
                            <w:w w:val="92"/>
                            <w:sz w:val="13"/>
                          </w:rPr>
                          <w:t>t</w:t>
                        </w:r>
                        <w:proofErr w:type="spellEnd"/>
                        <w:r>
                          <w:rPr>
                            <w:color w:val="231F20"/>
                            <w:spacing w:val="-3"/>
                            <w:sz w:val="13"/>
                          </w:rPr>
                          <w:t xml:space="preserve"> </w:t>
                        </w:r>
                        <w:r>
                          <w:rPr>
                            <w:color w:val="231F20"/>
                            <w:w w:val="91"/>
                            <w:sz w:val="13"/>
                          </w:rPr>
                          <w:t>o</w:t>
                        </w:r>
                        <w:r>
                          <w:rPr>
                            <w:color w:val="231F20"/>
                            <w:w w:val="92"/>
                            <w:sz w:val="13"/>
                          </w:rPr>
                          <w:t>f</w:t>
                        </w:r>
                        <w:r>
                          <w:rPr>
                            <w:color w:val="231F20"/>
                            <w:spacing w:val="-3"/>
                            <w:sz w:val="13"/>
                          </w:rPr>
                          <w:t xml:space="preserve"> </w:t>
                        </w:r>
                        <w:r>
                          <w:rPr>
                            <w:color w:val="231F20"/>
                            <w:w w:val="91"/>
                            <w:sz w:val="13"/>
                          </w:rPr>
                          <w:t>medical</w:t>
                        </w:r>
                        <w:r>
                          <w:rPr>
                            <w:color w:val="231F20"/>
                            <w:spacing w:val="-3"/>
                            <w:sz w:val="13"/>
                          </w:rPr>
                          <w:t xml:space="preserve"> </w:t>
                        </w:r>
                        <w:r>
                          <w:rPr>
                            <w:color w:val="231F20"/>
                            <w:w w:val="91"/>
                            <w:sz w:val="13"/>
                          </w:rPr>
                          <w:t>and</w:t>
                        </w:r>
                        <w:r>
                          <w:rPr>
                            <w:color w:val="231F20"/>
                            <w:spacing w:val="-3"/>
                            <w:sz w:val="13"/>
                          </w:rPr>
                          <w:t xml:space="preserve"> </w:t>
                        </w:r>
                        <w:r>
                          <w:rPr>
                            <w:color w:val="231F20"/>
                            <w:w w:val="91"/>
                            <w:sz w:val="13"/>
                          </w:rPr>
                          <w:t>bio</w:t>
                        </w:r>
                        <w:r>
                          <w:rPr>
                            <w:color w:val="231F20"/>
                            <w:spacing w:val="-3"/>
                            <w:sz w:val="13"/>
                          </w:rPr>
                          <w:t xml:space="preserve"> </w:t>
                        </w:r>
                        <w:r>
                          <w:rPr>
                            <w:color w:val="231F20"/>
                            <w:w w:val="91"/>
                            <w:sz w:val="13"/>
                          </w:rPr>
                          <w:t>was</w:t>
                        </w:r>
                        <w:r>
                          <w:rPr>
                            <w:color w:val="231F20"/>
                            <w:spacing w:val="-1"/>
                            <w:w w:val="92"/>
                            <w:sz w:val="13"/>
                          </w:rPr>
                          <w:t>t</w:t>
                        </w:r>
                        <w:r>
                          <w:rPr>
                            <w:color w:val="231F20"/>
                            <w:w w:val="91"/>
                            <w:sz w:val="13"/>
                          </w:rPr>
                          <w:t>e</w:t>
                        </w:r>
                        <w:r>
                          <w:rPr>
                            <w:color w:val="231F20"/>
                            <w:spacing w:val="-3"/>
                            <w:sz w:val="13"/>
                          </w:rPr>
                          <w:t xml:space="preserve"> </w:t>
                        </w:r>
                        <w:r>
                          <w:rPr>
                            <w:color w:val="231F20"/>
                            <w:w w:val="91"/>
                            <w:sz w:val="13"/>
                          </w:rPr>
                          <w:t>a</w:t>
                        </w:r>
                        <w:r>
                          <w:rPr>
                            <w:color w:val="231F20"/>
                            <w:w w:val="92"/>
                            <w:sz w:val="13"/>
                          </w:rPr>
                          <w:t>t</w:t>
                        </w:r>
                        <w:r>
                          <w:rPr>
                            <w:color w:val="231F20"/>
                            <w:spacing w:val="-3"/>
                            <w:sz w:val="13"/>
                          </w:rPr>
                          <w:t xml:space="preserve"> </w:t>
                        </w:r>
                        <w:r>
                          <w:rPr>
                            <w:color w:val="231F20"/>
                            <w:w w:val="91"/>
                            <w:sz w:val="13"/>
                          </w:rPr>
                          <w:t>all</w:t>
                        </w:r>
                      </w:p>
                      <w:p w14:paraId="3CE5A973" w14:textId="77777777" w:rsidR="00080B77" w:rsidRDefault="00080B77">
                        <w:pPr>
                          <w:pStyle w:val="TableParagraph"/>
                          <w:spacing w:before="15" w:line="131" w:lineRule="exact"/>
                          <w:ind w:left="25"/>
                          <w:rPr>
                            <w:sz w:val="13"/>
                          </w:rPr>
                        </w:pPr>
                        <w:r>
                          <w:rPr>
                            <w:color w:val="231F20"/>
                            <w:sz w:val="13"/>
                          </w:rPr>
                          <w:t>level</w:t>
                        </w:r>
                      </w:p>
                    </w:tc>
                    <w:tc>
                      <w:tcPr>
                        <w:tcW w:w="1437" w:type="dxa"/>
                        <w:tcBorders>
                          <w:top w:val="single" w:sz="6" w:space="0" w:color="231F20"/>
                          <w:left w:val="single" w:sz="6" w:space="0" w:color="231F20"/>
                          <w:bottom w:val="single" w:sz="6" w:space="0" w:color="231F20"/>
                          <w:right w:val="single" w:sz="6" w:space="0" w:color="231F20"/>
                        </w:tcBorders>
                      </w:tcPr>
                      <w:p w14:paraId="51A276F2" w14:textId="77777777" w:rsidR="00080B77" w:rsidRDefault="00080B77">
                        <w:pPr>
                          <w:pStyle w:val="TableParagraph"/>
                          <w:spacing w:before="84"/>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60B9F768" w14:textId="77777777" w:rsidR="00080B77" w:rsidRDefault="00080B77">
                        <w:pPr>
                          <w:pStyle w:val="TableParagraph"/>
                          <w:spacing w:before="84"/>
                          <w:ind w:left="26"/>
                          <w:rPr>
                            <w:sz w:val="13"/>
                          </w:rPr>
                        </w:pPr>
                        <w:r>
                          <w:rPr>
                            <w:color w:val="231F20"/>
                            <w:sz w:val="13"/>
                          </w:rPr>
                          <w:t>Conduct training for HWs</w:t>
                        </w:r>
                      </w:p>
                    </w:tc>
                  </w:tr>
                  <w:tr w:rsidR="00080B77" w14:paraId="75D535B2" w14:textId="77777777">
                    <w:trPr>
                      <w:trHeight w:val="304"/>
                    </w:trPr>
                    <w:tc>
                      <w:tcPr>
                        <w:tcW w:w="861" w:type="dxa"/>
                        <w:gridSpan w:val="2"/>
                        <w:vMerge/>
                        <w:tcBorders>
                          <w:top w:val="nil"/>
                          <w:bottom w:val="single" w:sz="6" w:space="0" w:color="231F20"/>
                          <w:right w:val="single" w:sz="6" w:space="0" w:color="231F20"/>
                        </w:tcBorders>
                      </w:tcPr>
                      <w:p w14:paraId="34C3B6C0" w14:textId="77777777" w:rsidR="00080B77" w:rsidRDefault="00080B77">
                        <w:pPr>
                          <w:rPr>
                            <w:sz w:val="2"/>
                            <w:szCs w:val="2"/>
                          </w:rPr>
                        </w:pPr>
                      </w:p>
                    </w:tc>
                    <w:tc>
                      <w:tcPr>
                        <w:tcW w:w="530" w:type="dxa"/>
                        <w:tcBorders>
                          <w:top w:val="single" w:sz="6" w:space="0" w:color="231F20"/>
                          <w:left w:val="single" w:sz="6" w:space="0" w:color="231F20"/>
                          <w:bottom w:val="single" w:sz="6" w:space="0" w:color="231F20"/>
                          <w:right w:val="single" w:sz="6" w:space="0" w:color="231F20"/>
                        </w:tcBorders>
                      </w:tcPr>
                      <w:p w14:paraId="5346C29C" w14:textId="77777777" w:rsidR="00080B77" w:rsidRDefault="00080B77">
                        <w:pPr>
                          <w:pStyle w:val="TableParagraph"/>
                          <w:spacing w:before="79"/>
                          <w:ind w:left="49" w:right="27"/>
                          <w:jc w:val="center"/>
                          <w:rPr>
                            <w:sz w:val="13"/>
                          </w:rPr>
                        </w:pPr>
                        <w:r>
                          <w:rPr>
                            <w:color w:val="231F20"/>
                            <w:sz w:val="13"/>
                          </w:rPr>
                          <w:t>8.5.3.b</w:t>
                        </w:r>
                      </w:p>
                    </w:tc>
                    <w:tc>
                      <w:tcPr>
                        <w:tcW w:w="4930" w:type="dxa"/>
                        <w:gridSpan w:val="2"/>
                        <w:tcBorders>
                          <w:top w:val="single" w:sz="6" w:space="0" w:color="231F20"/>
                          <w:left w:val="single" w:sz="6" w:space="0" w:color="231F20"/>
                          <w:bottom w:val="single" w:sz="6" w:space="0" w:color="231F20"/>
                          <w:right w:val="single" w:sz="6" w:space="0" w:color="231F20"/>
                        </w:tcBorders>
                      </w:tcPr>
                      <w:p w14:paraId="5CA4B2DC" w14:textId="77777777" w:rsidR="00080B77" w:rsidRDefault="00080B77">
                        <w:pPr>
                          <w:pStyle w:val="TableParagraph"/>
                          <w:spacing w:before="73"/>
                          <w:ind w:left="25"/>
                          <w:rPr>
                            <w:sz w:val="13"/>
                          </w:rPr>
                        </w:pPr>
                        <w:r>
                          <w:rPr>
                            <w:color w:val="231F20"/>
                            <w:sz w:val="13"/>
                          </w:rPr>
                          <w:t>Conduct training for Environmental Health Officers on risk assessment</w:t>
                        </w:r>
                      </w:p>
                    </w:tc>
                    <w:tc>
                      <w:tcPr>
                        <w:tcW w:w="1437" w:type="dxa"/>
                        <w:tcBorders>
                          <w:top w:val="single" w:sz="6" w:space="0" w:color="231F20"/>
                          <w:left w:val="single" w:sz="6" w:space="0" w:color="231F20"/>
                          <w:bottom w:val="single" w:sz="6" w:space="0" w:color="231F20"/>
                          <w:right w:val="single" w:sz="6" w:space="0" w:color="231F20"/>
                        </w:tcBorders>
                      </w:tcPr>
                      <w:p w14:paraId="356E9A1C" w14:textId="77777777" w:rsidR="00080B77" w:rsidRDefault="00080B77">
                        <w:pPr>
                          <w:pStyle w:val="TableParagraph"/>
                          <w:spacing w:before="79"/>
                          <w:ind w:left="25"/>
                          <w:rPr>
                            <w:sz w:val="13"/>
                          </w:rPr>
                        </w:pPr>
                        <w:r>
                          <w:rPr>
                            <w:color w:val="231F20"/>
                            <w:sz w:val="13"/>
                          </w:rPr>
                          <w:t>Lack of funds</w:t>
                        </w:r>
                      </w:p>
                    </w:tc>
                    <w:tc>
                      <w:tcPr>
                        <w:tcW w:w="1516" w:type="dxa"/>
                        <w:tcBorders>
                          <w:top w:val="single" w:sz="6" w:space="0" w:color="231F20"/>
                          <w:left w:val="single" w:sz="6" w:space="0" w:color="231F20"/>
                          <w:bottom w:val="single" w:sz="6" w:space="0" w:color="231F20"/>
                          <w:right w:val="single" w:sz="6" w:space="0" w:color="231F20"/>
                        </w:tcBorders>
                      </w:tcPr>
                      <w:p w14:paraId="6F1AE522" w14:textId="77777777" w:rsidR="00080B77" w:rsidRDefault="00080B77">
                        <w:pPr>
                          <w:pStyle w:val="TableParagraph"/>
                          <w:spacing w:before="79"/>
                          <w:ind w:left="26"/>
                          <w:rPr>
                            <w:sz w:val="13"/>
                          </w:rPr>
                        </w:pPr>
                        <w:r>
                          <w:rPr>
                            <w:color w:val="231F20"/>
                            <w:sz w:val="13"/>
                          </w:rPr>
                          <w:t>Conduct</w:t>
                        </w:r>
                        <w:r>
                          <w:rPr>
                            <w:color w:val="231F20"/>
                            <w:spacing w:val="-25"/>
                            <w:sz w:val="13"/>
                          </w:rPr>
                          <w:t xml:space="preserve"> </w:t>
                        </w:r>
                        <w:r>
                          <w:rPr>
                            <w:color w:val="231F20"/>
                            <w:sz w:val="13"/>
                          </w:rPr>
                          <w:t>training</w:t>
                        </w:r>
                        <w:r>
                          <w:rPr>
                            <w:color w:val="231F20"/>
                            <w:spacing w:val="-24"/>
                            <w:sz w:val="13"/>
                          </w:rPr>
                          <w:t xml:space="preserve"> </w:t>
                        </w:r>
                        <w:r>
                          <w:rPr>
                            <w:color w:val="231F20"/>
                            <w:sz w:val="13"/>
                          </w:rPr>
                          <w:t>for</w:t>
                        </w:r>
                        <w:r>
                          <w:rPr>
                            <w:color w:val="231F20"/>
                            <w:spacing w:val="-24"/>
                            <w:sz w:val="13"/>
                          </w:rPr>
                          <w:t xml:space="preserve"> </w:t>
                        </w:r>
                        <w:r>
                          <w:rPr>
                            <w:color w:val="231F20"/>
                            <w:sz w:val="13"/>
                          </w:rPr>
                          <w:t>EHOs</w:t>
                        </w:r>
                      </w:p>
                    </w:tc>
                  </w:tr>
                </w:tbl>
                <w:p w14:paraId="0F79E0AF" w14:textId="77777777" w:rsidR="00080B77" w:rsidRDefault="00080B77">
                  <w:pPr>
                    <w:pStyle w:val="BodyText"/>
                  </w:pPr>
                </w:p>
              </w:txbxContent>
            </v:textbox>
            <w10:wrap anchorx="page" anchory="page"/>
          </v:shape>
        </w:pict>
      </w:r>
    </w:p>
    <w:p w14:paraId="5AB6B66D" w14:textId="77777777" w:rsidR="009948F1" w:rsidRDefault="009948F1">
      <w:pPr>
        <w:pStyle w:val="BodyText"/>
        <w:rPr>
          <w:sz w:val="20"/>
        </w:rPr>
      </w:pPr>
    </w:p>
    <w:p w14:paraId="2E8149EB" w14:textId="77777777" w:rsidR="009948F1" w:rsidRDefault="009948F1">
      <w:pPr>
        <w:pStyle w:val="BodyText"/>
        <w:rPr>
          <w:sz w:val="20"/>
        </w:rPr>
      </w:pPr>
    </w:p>
    <w:p w14:paraId="30FD7970" w14:textId="77777777" w:rsidR="009948F1" w:rsidRDefault="009948F1">
      <w:pPr>
        <w:pStyle w:val="BodyText"/>
        <w:rPr>
          <w:sz w:val="20"/>
        </w:rPr>
      </w:pPr>
    </w:p>
    <w:p w14:paraId="072898F4" w14:textId="77777777" w:rsidR="009948F1" w:rsidRDefault="009948F1">
      <w:pPr>
        <w:pStyle w:val="BodyText"/>
        <w:rPr>
          <w:sz w:val="20"/>
        </w:rPr>
      </w:pPr>
    </w:p>
    <w:p w14:paraId="3B808542" w14:textId="77777777" w:rsidR="009948F1" w:rsidRDefault="009948F1">
      <w:pPr>
        <w:pStyle w:val="BodyText"/>
        <w:rPr>
          <w:sz w:val="20"/>
        </w:rPr>
      </w:pPr>
    </w:p>
    <w:p w14:paraId="4C850CCB" w14:textId="77777777" w:rsidR="009948F1" w:rsidRDefault="009948F1">
      <w:pPr>
        <w:pStyle w:val="BodyText"/>
        <w:rPr>
          <w:sz w:val="20"/>
        </w:rPr>
      </w:pPr>
    </w:p>
    <w:p w14:paraId="27489D17" w14:textId="77777777" w:rsidR="009948F1" w:rsidRDefault="009948F1">
      <w:pPr>
        <w:pStyle w:val="BodyText"/>
        <w:rPr>
          <w:sz w:val="20"/>
        </w:rPr>
      </w:pPr>
    </w:p>
    <w:p w14:paraId="27BF50ED" w14:textId="77777777" w:rsidR="009948F1" w:rsidRDefault="009948F1">
      <w:pPr>
        <w:pStyle w:val="BodyText"/>
        <w:rPr>
          <w:sz w:val="20"/>
        </w:rPr>
      </w:pPr>
    </w:p>
    <w:p w14:paraId="71905834" w14:textId="77777777" w:rsidR="009948F1" w:rsidRDefault="009948F1">
      <w:pPr>
        <w:pStyle w:val="BodyText"/>
        <w:rPr>
          <w:sz w:val="20"/>
        </w:rPr>
      </w:pPr>
    </w:p>
    <w:p w14:paraId="4994C75D" w14:textId="77777777" w:rsidR="009948F1" w:rsidRDefault="009948F1">
      <w:pPr>
        <w:pStyle w:val="BodyText"/>
        <w:rPr>
          <w:sz w:val="12"/>
        </w:rPr>
      </w:pPr>
    </w:p>
    <w:p w14:paraId="6BB11A04" w14:textId="77777777" w:rsidR="009948F1" w:rsidRDefault="00BC0563">
      <w:pPr>
        <w:spacing w:before="81"/>
        <w:ind w:right="1381"/>
        <w:jc w:val="center"/>
        <w:rPr>
          <w:sz w:val="13"/>
        </w:rPr>
      </w:pPr>
      <w:bookmarkStart w:id="183" w:name="Page_157"/>
      <w:bookmarkEnd w:id="183"/>
      <w:r>
        <w:rPr>
          <w:color w:val="231F20"/>
          <w:w w:val="91"/>
          <w:sz w:val="13"/>
        </w:rPr>
        <w:t>•</w:t>
      </w:r>
    </w:p>
    <w:p w14:paraId="0440067D" w14:textId="77777777" w:rsidR="009948F1" w:rsidRDefault="009948F1">
      <w:pPr>
        <w:jc w:val="center"/>
        <w:rPr>
          <w:sz w:val="13"/>
        </w:rPr>
        <w:sectPr w:rsidR="009948F1">
          <w:pgSz w:w="11910" w:h="16840"/>
          <w:pgMar w:top="1260" w:right="1080" w:bottom="1340" w:left="1120" w:header="0" w:footer="1155" w:gutter="0"/>
          <w:cols w:space="720"/>
        </w:sectPr>
      </w:pPr>
    </w:p>
    <w:tbl>
      <w:tblPr>
        <w:tblW w:w="0" w:type="auto"/>
        <w:tblInd w:w="15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6"/>
        <w:gridCol w:w="462"/>
        <w:gridCol w:w="534"/>
        <w:gridCol w:w="2550"/>
        <w:gridCol w:w="2421"/>
        <w:gridCol w:w="1449"/>
        <w:gridCol w:w="1528"/>
      </w:tblGrid>
      <w:tr w:rsidR="009948F1" w14:paraId="7D8F4B75" w14:textId="77777777">
        <w:trPr>
          <w:trHeight w:val="1257"/>
        </w:trPr>
        <w:tc>
          <w:tcPr>
            <w:tcW w:w="416" w:type="dxa"/>
            <w:tcBorders>
              <w:bottom w:val="nil"/>
              <w:right w:val="single" w:sz="6" w:space="0" w:color="231F20"/>
            </w:tcBorders>
          </w:tcPr>
          <w:p w14:paraId="2745A6C7" w14:textId="77777777" w:rsidR="009948F1" w:rsidRDefault="009948F1">
            <w:pPr>
              <w:pStyle w:val="TableParagraph"/>
              <w:rPr>
                <w:rFonts w:ascii="Times New Roman"/>
                <w:sz w:val="12"/>
              </w:rPr>
            </w:pPr>
          </w:p>
        </w:tc>
        <w:tc>
          <w:tcPr>
            <w:tcW w:w="462" w:type="dxa"/>
            <w:tcBorders>
              <w:top w:val="single" w:sz="12" w:space="0" w:color="231F20"/>
              <w:left w:val="single" w:sz="6" w:space="0" w:color="231F20"/>
              <w:right w:val="single" w:sz="6" w:space="0" w:color="231F20"/>
            </w:tcBorders>
            <w:shd w:val="clear" w:color="auto" w:fill="CCE7D3"/>
          </w:tcPr>
          <w:p w14:paraId="361BF111" w14:textId="77777777" w:rsidR="009948F1" w:rsidRDefault="009948F1">
            <w:pPr>
              <w:pStyle w:val="TableParagraph"/>
              <w:rPr>
                <w:sz w:val="18"/>
              </w:rPr>
            </w:pPr>
          </w:p>
          <w:p w14:paraId="68FBEBAB" w14:textId="77777777" w:rsidR="009948F1" w:rsidRDefault="009948F1">
            <w:pPr>
              <w:pStyle w:val="TableParagraph"/>
              <w:rPr>
                <w:sz w:val="18"/>
              </w:rPr>
            </w:pPr>
          </w:p>
          <w:p w14:paraId="238CFECD" w14:textId="77777777" w:rsidR="009948F1" w:rsidRDefault="00BC0563">
            <w:pPr>
              <w:pStyle w:val="TableParagraph"/>
              <w:spacing w:before="110"/>
              <w:ind w:left="58"/>
              <w:rPr>
                <w:sz w:val="17"/>
              </w:rPr>
            </w:pPr>
            <w:bookmarkStart w:id="184" w:name="Page_158"/>
            <w:bookmarkEnd w:id="184"/>
            <w:r>
              <w:rPr>
                <w:color w:val="231F20"/>
                <w:w w:val="80"/>
                <w:sz w:val="17"/>
              </w:rPr>
              <w:t>8.5.4</w:t>
            </w:r>
          </w:p>
        </w:tc>
        <w:tc>
          <w:tcPr>
            <w:tcW w:w="3084" w:type="dxa"/>
            <w:gridSpan w:val="2"/>
            <w:tcBorders>
              <w:top w:val="single" w:sz="12" w:space="0" w:color="231F20"/>
              <w:left w:val="single" w:sz="6" w:space="0" w:color="231F20"/>
              <w:right w:val="single" w:sz="6" w:space="0" w:color="231F20"/>
            </w:tcBorders>
            <w:shd w:val="clear" w:color="auto" w:fill="CCE7D3"/>
          </w:tcPr>
          <w:p w14:paraId="7317C5BA" w14:textId="77777777" w:rsidR="009948F1" w:rsidRDefault="009948F1">
            <w:pPr>
              <w:pStyle w:val="TableParagraph"/>
              <w:rPr>
                <w:sz w:val="18"/>
              </w:rPr>
            </w:pPr>
          </w:p>
          <w:p w14:paraId="720966CE" w14:textId="77777777" w:rsidR="009948F1" w:rsidRDefault="009948F1">
            <w:pPr>
              <w:pStyle w:val="TableParagraph"/>
              <w:spacing w:before="5"/>
              <w:rPr>
                <w:sz w:val="17"/>
              </w:rPr>
            </w:pPr>
          </w:p>
          <w:p w14:paraId="6DB9DEF3" w14:textId="77777777" w:rsidR="009948F1" w:rsidRDefault="00BC0563">
            <w:pPr>
              <w:pStyle w:val="TableParagraph"/>
              <w:spacing w:before="1" w:line="268" w:lineRule="auto"/>
              <w:ind w:left="25" w:firstLine="33"/>
              <w:rPr>
                <w:sz w:val="17"/>
              </w:rPr>
            </w:pPr>
            <w:r>
              <w:rPr>
                <w:color w:val="231F20"/>
                <w:w w:val="70"/>
                <w:sz w:val="17"/>
              </w:rPr>
              <w:t xml:space="preserve">Build capacity to appropriately respond to health effects </w:t>
            </w:r>
            <w:r>
              <w:rPr>
                <w:color w:val="231F20"/>
                <w:w w:val="80"/>
                <w:sz w:val="17"/>
              </w:rPr>
              <w:t>of climate change</w:t>
            </w:r>
          </w:p>
        </w:tc>
        <w:tc>
          <w:tcPr>
            <w:tcW w:w="2421" w:type="dxa"/>
            <w:tcBorders>
              <w:top w:val="single" w:sz="12" w:space="0" w:color="231F20"/>
              <w:left w:val="single" w:sz="6" w:space="0" w:color="231F20"/>
              <w:right w:val="single" w:sz="6" w:space="0" w:color="231F20"/>
            </w:tcBorders>
            <w:shd w:val="clear" w:color="auto" w:fill="CCE7D3"/>
          </w:tcPr>
          <w:p w14:paraId="0EAB02B2" w14:textId="77777777" w:rsidR="009948F1" w:rsidRDefault="00BC0563">
            <w:pPr>
              <w:pStyle w:val="TableParagraph"/>
              <w:numPr>
                <w:ilvl w:val="0"/>
                <w:numId w:val="74"/>
              </w:numPr>
              <w:tabs>
                <w:tab w:val="left" w:pos="102"/>
              </w:tabs>
              <w:spacing w:line="268" w:lineRule="auto"/>
              <w:ind w:right="63" w:firstLine="0"/>
              <w:rPr>
                <w:sz w:val="17"/>
              </w:rPr>
            </w:pPr>
            <w:r>
              <w:rPr>
                <w:color w:val="231F20"/>
                <w:w w:val="70"/>
                <w:sz w:val="17"/>
              </w:rPr>
              <w:t xml:space="preserve">Health workers trained on climate impacts </w:t>
            </w:r>
            <w:r>
              <w:rPr>
                <w:color w:val="231F20"/>
                <w:w w:val="80"/>
                <w:sz w:val="17"/>
              </w:rPr>
              <w:t>and</w:t>
            </w:r>
            <w:r>
              <w:rPr>
                <w:color w:val="231F20"/>
                <w:spacing w:val="-15"/>
                <w:w w:val="80"/>
                <w:sz w:val="17"/>
              </w:rPr>
              <w:t xml:space="preserve"> </w:t>
            </w:r>
            <w:r>
              <w:rPr>
                <w:color w:val="231F20"/>
                <w:w w:val="80"/>
                <w:sz w:val="17"/>
              </w:rPr>
              <w:t>how</w:t>
            </w:r>
            <w:r>
              <w:rPr>
                <w:color w:val="231F20"/>
                <w:spacing w:val="-15"/>
                <w:w w:val="80"/>
                <w:sz w:val="17"/>
              </w:rPr>
              <w:t xml:space="preserve"> </w:t>
            </w:r>
            <w:r>
              <w:rPr>
                <w:color w:val="231F20"/>
                <w:w w:val="80"/>
                <w:sz w:val="17"/>
              </w:rPr>
              <w:t>to</w:t>
            </w:r>
            <w:r>
              <w:rPr>
                <w:color w:val="231F20"/>
                <w:spacing w:val="-15"/>
                <w:w w:val="80"/>
                <w:sz w:val="17"/>
              </w:rPr>
              <w:t xml:space="preserve"> </w:t>
            </w:r>
            <w:r>
              <w:rPr>
                <w:color w:val="231F20"/>
                <w:w w:val="80"/>
                <w:sz w:val="17"/>
              </w:rPr>
              <w:t>assess</w:t>
            </w:r>
            <w:r>
              <w:rPr>
                <w:color w:val="231F20"/>
                <w:spacing w:val="-15"/>
                <w:w w:val="80"/>
                <w:sz w:val="17"/>
              </w:rPr>
              <w:t xml:space="preserve"> </w:t>
            </w:r>
            <w:r>
              <w:rPr>
                <w:color w:val="231F20"/>
                <w:w w:val="80"/>
                <w:sz w:val="17"/>
              </w:rPr>
              <w:t>vulnerabilities</w:t>
            </w:r>
          </w:p>
          <w:p w14:paraId="5193283A" w14:textId="77777777" w:rsidR="009948F1" w:rsidRDefault="00BC0563">
            <w:pPr>
              <w:pStyle w:val="TableParagraph"/>
              <w:numPr>
                <w:ilvl w:val="0"/>
                <w:numId w:val="74"/>
              </w:numPr>
              <w:tabs>
                <w:tab w:val="left" w:pos="70"/>
              </w:tabs>
              <w:spacing w:line="268" w:lineRule="auto"/>
              <w:ind w:right="114" w:firstLine="0"/>
              <w:rPr>
                <w:sz w:val="17"/>
              </w:rPr>
            </w:pPr>
            <w:r>
              <w:rPr>
                <w:color w:val="231F20"/>
                <w:w w:val="75"/>
                <w:sz w:val="17"/>
              </w:rPr>
              <w:t>State</w:t>
            </w:r>
            <w:r>
              <w:rPr>
                <w:color w:val="231F20"/>
                <w:spacing w:val="-20"/>
                <w:w w:val="75"/>
                <w:sz w:val="17"/>
              </w:rPr>
              <w:t xml:space="preserve"> </w:t>
            </w:r>
            <w:r>
              <w:rPr>
                <w:color w:val="231F20"/>
                <w:w w:val="75"/>
                <w:sz w:val="17"/>
              </w:rPr>
              <w:t>Climate</w:t>
            </w:r>
            <w:r>
              <w:rPr>
                <w:color w:val="231F20"/>
                <w:spacing w:val="-20"/>
                <w:w w:val="75"/>
                <w:sz w:val="17"/>
              </w:rPr>
              <w:t xml:space="preserve"> </w:t>
            </w:r>
            <w:r>
              <w:rPr>
                <w:color w:val="231F20"/>
                <w:w w:val="75"/>
                <w:sz w:val="17"/>
              </w:rPr>
              <w:t>Change</w:t>
            </w:r>
            <w:r>
              <w:rPr>
                <w:color w:val="231F20"/>
                <w:spacing w:val="-20"/>
                <w:w w:val="75"/>
                <w:sz w:val="17"/>
              </w:rPr>
              <w:t xml:space="preserve"> </w:t>
            </w:r>
            <w:r>
              <w:rPr>
                <w:color w:val="231F20"/>
                <w:w w:val="75"/>
                <w:sz w:val="17"/>
              </w:rPr>
              <w:t>Disk</w:t>
            </w:r>
            <w:r>
              <w:rPr>
                <w:color w:val="231F20"/>
                <w:spacing w:val="-19"/>
                <w:w w:val="75"/>
                <w:sz w:val="17"/>
              </w:rPr>
              <w:t xml:space="preserve"> </w:t>
            </w:r>
            <w:r>
              <w:rPr>
                <w:color w:val="231F20"/>
                <w:w w:val="75"/>
                <w:sz w:val="17"/>
              </w:rPr>
              <w:t>officers,</w:t>
            </w:r>
            <w:r>
              <w:rPr>
                <w:color w:val="231F20"/>
                <w:spacing w:val="-20"/>
                <w:w w:val="75"/>
                <w:sz w:val="17"/>
              </w:rPr>
              <w:t xml:space="preserve"> </w:t>
            </w:r>
            <w:r>
              <w:rPr>
                <w:color w:val="231F20"/>
                <w:w w:val="75"/>
                <w:sz w:val="17"/>
              </w:rPr>
              <w:t xml:space="preserve">Civil </w:t>
            </w:r>
            <w:r>
              <w:rPr>
                <w:color w:val="231F20"/>
                <w:w w:val="70"/>
                <w:sz w:val="17"/>
              </w:rPr>
              <w:t xml:space="preserve">Society Organizations and 23 LGA climate </w:t>
            </w:r>
            <w:r>
              <w:rPr>
                <w:color w:val="231F20"/>
                <w:w w:val="75"/>
                <w:sz w:val="17"/>
              </w:rPr>
              <w:t>change</w:t>
            </w:r>
            <w:r>
              <w:rPr>
                <w:color w:val="231F20"/>
                <w:spacing w:val="-23"/>
                <w:w w:val="75"/>
                <w:sz w:val="17"/>
              </w:rPr>
              <w:t xml:space="preserve"> </w:t>
            </w:r>
            <w:r>
              <w:rPr>
                <w:color w:val="231F20"/>
                <w:w w:val="75"/>
                <w:sz w:val="17"/>
              </w:rPr>
              <w:t>Desk</w:t>
            </w:r>
            <w:r>
              <w:rPr>
                <w:color w:val="231F20"/>
                <w:spacing w:val="-22"/>
                <w:w w:val="75"/>
                <w:sz w:val="17"/>
              </w:rPr>
              <w:t xml:space="preserve"> </w:t>
            </w:r>
            <w:r>
              <w:rPr>
                <w:color w:val="231F20"/>
                <w:w w:val="75"/>
                <w:sz w:val="17"/>
              </w:rPr>
              <w:t>officer</w:t>
            </w:r>
            <w:r>
              <w:rPr>
                <w:color w:val="231F20"/>
                <w:spacing w:val="-22"/>
                <w:w w:val="75"/>
                <w:sz w:val="17"/>
              </w:rPr>
              <w:t xml:space="preserve"> </w:t>
            </w:r>
            <w:r>
              <w:rPr>
                <w:color w:val="231F20"/>
                <w:w w:val="75"/>
                <w:sz w:val="17"/>
              </w:rPr>
              <w:t>trained</w:t>
            </w:r>
            <w:r>
              <w:rPr>
                <w:color w:val="231F20"/>
                <w:spacing w:val="-22"/>
                <w:w w:val="75"/>
                <w:sz w:val="17"/>
              </w:rPr>
              <w:t xml:space="preserve"> </w:t>
            </w:r>
            <w:r>
              <w:rPr>
                <w:color w:val="231F20"/>
                <w:w w:val="75"/>
                <w:sz w:val="17"/>
              </w:rPr>
              <w:t>on</w:t>
            </w:r>
            <w:r>
              <w:rPr>
                <w:color w:val="231F20"/>
                <w:spacing w:val="-22"/>
                <w:w w:val="75"/>
                <w:sz w:val="17"/>
              </w:rPr>
              <w:t xml:space="preserve"> </w:t>
            </w:r>
            <w:r>
              <w:rPr>
                <w:color w:val="231F20"/>
                <w:spacing w:val="-3"/>
                <w:w w:val="75"/>
                <w:sz w:val="17"/>
              </w:rPr>
              <w:t>emergency</w:t>
            </w:r>
          </w:p>
          <w:p w14:paraId="157B1071" w14:textId="77777777" w:rsidR="009948F1" w:rsidRDefault="00BC0563">
            <w:pPr>
              <w:pStyle w:val="TableParagraph"/>
              <w:spacing w:line="149" w:lineRule="exact"/>
              <w:ind w:left="26"/>
              <w:rPr>
                <w:sz w:val="17"/>
              </w:rPr>
            </w:pPr>
            <w:r>
              <w:rPr>
                <w:color w:val="231F20"/>
                <w:w w:val="80"/>
                <w:sz w:val="17"/>
              </w:rPr>
              <w:t>Response</w:t>
            </w:r>
          </w:p>
        </w:tc>
        <w:tc>
          <w:tcPr>
            <w:tcW w:w="1449" w:type="dxa"/>
            <w:tcBorders>
              <w:top w:val="single" w:sz="12" w:space="0" w:color="231F20"/>
              <w:left w:val="single" w:sz="6" w:space="0" w:color="231F20"/>
              <w:right w:val="single" w:sz="6" w:space="0" w:color="231F20"/>
            </w:tcBorders>
            <w:shd w:val="clear" w:color="auto" w:fill="CCE7D3"/>
          </w:tcPr>
          <w:p w14:paraId="2D326A96" w14:textId="77777777" w:rsidR="009948F1" w:rsidRDefault="009948F1">
            <w:pPr>
              <w:pStyle w:val="TableParagraph"/>
              <w:rPr>
                <w:rFonts w:ascii="Times New Roman"/>
                <w:sz w:val="12"/>
              </w:rPr>
            </w:pPr>
          </w:p>
        </w:tc>
        <w:tc>
          <w:tcPr>
            <w:tcW w:w="1528" w:type="dxa"/>
            <w:tcBorders>
              <w:top w:val="single" w:sz="12" w:space="0" w:color="231F20"/>
              <w:left w:val="single" w:sz="6" w:space="0" w:color="231F20"/>
              <w:right w:val="single" w:sz="6" w:space="0" w:color="231F20"/>
            </w:tcBorders>
            <w:shd w:val="clear" w:color="auto" w:fill="CCE7D3"/>
          </w:tcPr>
          <w:p w14:paraId="022FC46D" w14:textId="77777777" w:rsidR="009948F1" w:rsidRDefault="009948F1">
            <w:pPr>
              <w:pStyle w:val="TableParagraph"/>
              <w:rPr>
                <w:rFonts w:ascii="Times New Roman"/>
                <w:sz w:val="12"/>
              </w:rPr>
            </w:pPr>
          </w:p>
        </w:tc>
      </w:tr>
      <w:tr w:rsidR="009948F1" w14:paraId="7BADFA9B" w14:textId="77777777">
        <w:trPr>
          <w:trHeight w:val="420"/>
        </w:trPr>
        <w:tc>
          <w:tcPr>
            <w:tcW w:w="878" w:type="dxa"/>
            <w:gridSpan w:val="2"/>
            <w:vMerge w:val="restart"/>
            <w:tcBorders>
              <w:top w:val="nil"/>
              <w:bottom w:val="nil"/>
              <w:right w:val="single" w:sz="6" w:space="0" w:color="231F20"/>
            </w:tcBorders>
          </w:tcPr>
          <w:p w14:paraId="7D4EBABE" w14:textId="77777777" w:rsidR="009948F1" w:rsidRDefault="009948F1">
            <w:pPr>
              <w:pStyle w:val="TableParagraph"/>
              <w:rPr>
                <w:rFonts w:ascii="Times New Roman"/>
                <w:sz w:val="12"/>
              </w:rPr>
            </w:pPr>
          </w:p>
        </w:tc>
        <w:tc>
          <w:tcPr>
            <w:tcW w:w="534" w:type="dxa"/>
            <w:tcBorders>
              <w:left w:val="single" w:sz="6" w:space="0" w:color="231F20"/>
              <w:right w:val="single" w:sz="6" w:space="0" w:color="231F20"/>
            </w:tcBorders>
          </w:tcPr>
          <w:p w14:paraId="505F09E0" w14:textId="77777777" w:rsidR="009948F1" w:rsidRDefault="00BC0563">
            <w:pPr>
              <w:pStyle w:val="TableParagraph"/>
              <w:spacing w:before="106"/>
              <w:ind w:left="85"/>
              <w:rPr>
                <w:sz w:val="17"/>
              </w:rPr>
            </w:pPr>
            <w:r>
              <w:rPr>
                <w:color w:val="231F20"/>
                <w:w w:val="75"/>
                <w:sz w:val="17"/>
              </w:rPr>
              <w:t>8.5.4.a</w:t>
            </w:r>
          </w:p>
        </w:tc>
        <w:tc>
          <w:tcPr>
            <w:tcW w:w="4971" w:type="dxa"/>
            <w:gridSpan w:val="2"/>
            <w:tcBorders>
              <w:left w:val="single" w:sz="6" w:space="0" w:color="231F20"/>
              <w:right w:val="single" w:sz="6" w:space="0" w:color="231F20"/>
            </w:tcBorders>
          </w:tcPr>
          <w:p w14:paraId="690AC425" w14:textId="77777777" w:rsidR="009948F1" w:rsidRDefault="00BC0563">
            <w:pPr>
              <w:pStyle w:val="TableParagraph"/>
              <w:spacing w:before="98"/>
              <w:ind w:left="25"/>
              <w:rPr>
                <w:sz w:val="17"/>
              </w:rPr>
            </w:pPr>
            <w:r>
              <w:rPr>
                <w:color w:val="231F20"/>
                <w:w w:val="80"/>
                <w:sz w:val="17"/>
              </w:rPr>
              <w:t>Develop and implement climate and health adaptation plan</w:t>
            </w:r>
          </w:p>
        </w:tc>
        <w:tc>
          <w:tcPr>
            <w:tcW w:w="1449" w:type="dxa"/>
            <w:tcBorders>
              <w:left w:val="single" w:sz="6" w:space="0" w:color="231F20"/>
              <w:right w:val="single" w:sz="6" w:space="0" w:color="231F20"/>
            </w:tcBorders>
          </w:tcPr>
          <w:p w14:paraId="5D139D40" w14:textId="77777777" w:rsidR="009948F1" w:rsidRDefault="00BC0563">
            <w:pPr>
              <w:pStyle w:val="TableParagraph"/>
              <w:spacing w:before="106"/>
              <w:ind w:left="26"/>
              <w:rPr>
                <w:sz w:val="17"/>
              </w:rPr>
            </w:pPr>
            <w:r>
              <w:rPr>
                <w:color w:val="231F20"/>
                <w:w w:val="80"/>
                <w:sz w:val="17"/>
              </w:rPr>
              <w:t>Lack of funds</w:t>
            </w:r>
          </w:p>
        </w:tc>
        <w:tc>
          <w:tcPr>
            <w:tcW w:w="1528" w:type="dxa"/>
            <w:tcBorders>
              <w:left w:val="single" w:sz="6" w:space="0" w:color="231F20"/>
              <w:right w:val="single" w:sz="6" w:space="0" w:color="231F20"/>
            </w:tcBorders>
          </w:tcPr>
          <w:p w14:paraId="548489F9" w14:textId="77777777" w:rsidR="009948F1" w:rsidRDefault="00BC0563">
            <w:pPr>
              <w:pStyle w:val="TableParagraph"/>
              <w:spacing w:before="106"/>
              <w:ind w:left="27"/>
              <w:rPr>
                <w:sz w:val="17"/>
              </w:rPr>
            </w:pPr>
            <w:r>
              <w:rPr>
                <w:color w:val="231F20"/>
                <w:w w:val="80"/>
                <w:sz w:val="17"/>
              </w:rPr>
              <w:t>Develop and implement</w:t>
            </w:r>
          </w:p>
        </w:tc>
      </w:tr>
      <w:tr w:rsidR="009948F1" w14:paraId="1497555D" w14:textId="77777777">
        <w:trPr>
          <w:trHeight w:val="404"/>
        </w:trPr>
        <w:tc>
          <w:tcPr>
            <w:tcW w:w="878" w:type="dxa"/>
            <w:gridSpan w:val="2"/>
            <w:vMerge/>
            <w:tcBorders>
              <w:top w:val="nil"/>
              <w:bottom w:val="nil"/>
              <w:right w:val="single" w:sz="6" w:space="0" w:color="231F20"/>
            </w:tcBorders>
          </w:tcPr>
          <w:p w14:paraId="5C7414C0" w14:textId="77777777" w:rsidR="009948F1" w:rsidRDefault="009948F1">
            <w:pPr>
              <w:rPr>
                <w:sz w:val="2"/>
                <w:szCs w:val="2"/>
              </w:rPr>
            </w:pPr>
          </w:p>
        </w:tc>
        <w:tc>
          <w:tcPr>
            <w:tcW w:w="534" w:type="dxa"/>
            <w:tcBorders>
              <w:left w:val="single" w:sz="6" w:space="0" w:color="231F20"/>
              <w:right w:val="single" w:sz="6" w:space="0" w:color="231F20"/>
            </w:tcBorders>
          </w:tcPr>
          <w:p w14:paraId="6C4D011C" w14:textId="77777777" w:rsidR="009948F1" w:rsidRDefault="00BC0563">
            <w:pPr>
              <w:pStyle w:val="TableParagraph"/>
              <w:spacing w:before="98"/>
              <w:ind w:left="85"/>
              <w:rPr>
                <w:sz w:val="17"/>
              </w:rPr>
            </w:pPr>
            <w:r>
              <w:rPr>
                <w:color w:val="231F20"/>
                <w:w w:val="75"/>
                <w:sz w:val="17"/>
              </w:rPr>
              <w:t>8.5.4.b</w:t>
            </w:r>
          </w:p>
        </w:tc>
        <w:tc>
          <w:tcPr>
            <w:tcW w:w="4971" w:type="dxa"/>
            <w:gridSpan w:val="2"/>
            <w:tcBorders>
              <w:left w:val="single" w:sz="6" w:space="0" w:color="231F20"/>
              <w:right w:val="single" w:sz="6" w:space="0" w:color="231F20"/>
            </w:tcBorders>
          </w:tcPr>
          <w:p w14:paraId="61307692" w14:textId="77777777" w:rsidR="009948F1" w:rsidRDefault="00BC0563">
            <w:pPr>
              <w:pStyle w:val="TableParagraph"/>
              <w:spacing w:before="91"/>
              <w:ind w:left="25"/>
              <w:rPr>
                <w:sz w:val="17"/>
              </w:rPr>
            </w:pPr>
            <w:r>
              <w:rPr>
                <w:color w:val="231F20"/>
                <w:w w:val="75"/>
                <w:sz w:val="17"/>
              </w:rPr>
              <w:t>Conduct training of health workers on climate impacts and how to assess vulnerabilities</w:t>
            </w:r>
          </w:p>
        </w:tc>
        <w:tc>
          <w:tcPr>
            <w:tcW w:w="1449" w:type="dxa"/>
            <w:tcBorders>
              <w:left w:val="single" w:sz="6" w:space="0" w:color="231F20"/>
              <w:right w:val="single" w:sz="6" w:space="0" w:color="231F20"/>
            </w:tcBorders>
          </w:tcPr>
          <w:p w14:paraId="1B41B25B" w14:textId="77777777" w:rsidR="009948F1" w:rsidRDefault="00BC0563">
            <w:pPr>
              <w:pStyle w:val="TableParagraph"/>
              <w:spacing w:before="98"/>
              <w:ind w:left="26"/>
              <w:rPr>
                <w:sz w:val="17"/>
              </w:rPr>
            </w:pPr>
            <w:r>
              <w:rPr>
                <w:color w:val="231F20"/>
                <w:w w:val="80"/>
                <w:sz w:val="17"/>
              </w:rPr>
              <w:t>Lack of funds</w:t>
            </w:r>
          </w:p>
        </w:tc>
        <w:tc>
          <w:tcPr>
            <w:tcW w:w="1528" w:type="dxa"/>
            <w:tcBorders>
              <w:left w:val="single" w:sz="6" w:space="0" w:color="231F20"/>
              <w:right w:val="single" w:sz="6" w:space="0" w:color="231F20"/>
            </w:tcBorders>
          </w:tcPr>
          <w:p w14:paraId="42641571" w14:textId="77777777" w:rsidR="009948F1" w:rsidRDefault="00BC0563">
            <w:pPr>
              <w:pStyle w:val="TableParagraph"/>
              <w:spacing w:before="98"/>
              <w:ind w:left="27"/>
              <w:rPr>
                <w:sz w:val="17"/>
              </w:rPr>
            </w:pPr>
            <w:r>
              <w:rPr>
                <w:color w:val="231F20"/>
                <w:w w:val="80"/>
                <w:sz w:val="17"/>
              </w:rPr>
              <w:t>Costed in 8.5.3a</w:t>
            </w:r>
          </w:p>
        </w:tc>
      </w:tr>
      <w:tr w:rsidR="009948F1" w14:paraId="51888E12" w14:textId="77777777">
        <w:trPr>
          <w:trHeight w:val="425"/>
        </w:trPr>
        <w:tc>
          <w:tcPr>
            <w:tcW w:w="878" w:type="dxa"/>
            <w:gridSpan w:val="2"/>
            <w:vMerge/>
            <w:tcBorders>
              <w:top w:val="nil"/>
              <w:bottom w:val="nil"/>
              <w:right w:val="single" w:sz="6" w:space="0" w:color="231F20"/>
            </w:tcBorders>
          </w:tcPr>
          <w:p w14:paraId="0CB284F0" w14:textId="77777777" w:rsidR="009948F1" w:rsidRDefault="009948F1">
            <w:pPr>
              <w:rPr>
                <w:sz w:val="2"/>
                <w:szCs w:val="2"/>
              </w:rPr>
            </w:pPr>
          </w:p>
        </w:tc>
        <w:tc>
          <w:tcPr>
            <w:tcW w:w="534" w:type="dxa"/>
            <w:tcBorders>
              <w:left w:val="single" w:sz="6" w:space="0" w:color="231F20"/>
              <w:right w:val="single" w:sz="6" w:space="0" w:color="231F20"/>
            </w:tcBorders>
          </w:tcPr>
          <w:p w14:paraId="37A2AED9" w14:textId="77777777" w:rsidR="009948F1" w:rsidRDefault="00BC0563">
            <w:pPr>
              <w:pStyle w:val="TableParagraph"/>
              <w:spacing w:before="109"/>
              <w:ind w:left="89"/>
              <w:rPr>
                <w:sz w:val="17"/>
              </w:rPr>
            </w:pPr>
            <w:r>
              <w:rPr>
                <w:color w:val="231F20"/>
                <w:w w:val="75"/>
                <w:sz w:val="17"/>
              </w:rPr>
              <w:t>8.5.4.c</w:t>
            </w:r>
          </w:p>
        </w:tc>
        <w:tc>
          <w:tcPr>
            <w:tcW w:w="4971" w:type="dxa"/>
            <w:gridSpan w:val="2"/>
            <w:tcBorders>
              <w:left w:val="single" w:sz="6" w:space="0" w:color="231F20"/>
              <w:right w:val="single" w:sz="6" w:space="0" w:color="231F20"/>
            </w:tcBorders>
          </w:tcPr>
          <w:p w14:paraId="771A957E" w14:textId="77777777" w:rsidR="009948F1" w:rsidRDefault="00BC0563">
            <w:pPr>
              <w:pStyle w:val="TableParagraph"/>
              <w:spacing w:line="191" w:lineRule="exact"/>
              <w:ind w:left="25"/>
              <w:rPr>
                <w:sz w:val="17"/>
              </w:rPr>
            </w:pPr>
            <w:r>
              <w:rPr>
                <w:color w:val="231F20"/>
                <w:w w:val="75"/>
                <w:sz w:val="17"/>
              </w:rPr>
              <w:t>Hold training for State Climate Change Disk officers, Civil Society Organizations and 23</w:t>
            </w:r>
          </w:p>
          <w:p w14:paraId="51E5FABC" w14:textId="77777777" w:rsidR="009948F1" w:rsidRDefault="00BC0563">
            <w:pPr>
              <w:pStyle w:val="TableParagraph"/>
              <w:spacing w:before="23" w:line="191" w:lineRule="exact"/>
              <w:ind w:left="25"/>
              <w:rPr>
                <w:sz w:val="17"/>
              </w:rPr>
            </w:pPr>
            <w:r>
              <w:rPr>
                <w:color w:val="231F20"/>
                <w:w w:val="80"/>
                <w:sz w:val="17"/>
              </w:rPr>
              <w:t>LGA climate change Desk officer on emergency Response</w:t>
            </w:r>
          </w:p>
        </w:tc>
        <w:tc>
          <w:tcPr>
            <w:tcW w:w="1449" w:type="dxa"/>
            <w:tcBorders>
              <w:left w:val="single" w:sz="6" w:space="0" w:color="231F20"/>
              <w:right w:val="single" w:sz="6" w:space="0" w:color="231F20"/>
            </w:tcBorders>
          </w:tcPr>
          <w:p w14:paraId="7ED0D0CA" w14:textId="77777777" w:rsidR="009948F1" w:rsidRDefault="00BC0563">
            <w:pPr>
              <w:pStyle w:val="TableParagraph"/>
              <w:spacing w:before="109"/>
              <w:ind w:left="26"/>
              <w:rPr>
                <w:sz w:val="17"/>
              </w:rPr>
            </w:pPr>
            <w:r>
              <w:rPr>
                <w:color w:val="231F20"/>
                <w:w w:val="80"/>
                <w:sz w:val="17"/>
              </w:rPr>
              <w:t>Lack of funds</w:t>
            </w:r>
          </w:p>
        </w:tc>
        <w:tc>
          <w:tcPr>
            <w:tcW w:w="1528" w:type="dxa"/>
            <w:tcBorders>
              <w:left w:val="single" w:sz="6" w:space="0" w:color="231F20"/>
              <w:right w:val="single" w:sz="6" w:space="0" w:color="231F20"/>
            </w:tcBorders>
          </w:tcPr>
          <w:p w14:paraId="2BE6D510" w14:textId="77777777" w:rsidR="009948F1" w:rsidRDefault="00BC0563">
            <w:pPr>
              <w:pStyle w:val="TableParagraph"/>
              <w:spacing w:before="109"/>
              <w:ind w:left="27"/>
              <w:rPr>
                <w:sz w:val="17"/>
              </w:rPr>
            </w:pPr>
            <w:r>
              <w:rPr>
                <w:color w:val="231F20"/>
                <w:w w:val="80"/>
                <w:sz w:val="17"/>
              </w:rPr>
              <w:t>Hold training</w:t>
            </w:r>
          </w:p>
        </w:tc>
      </w:tr>
      <w:tr w:rsidR="009948F1" w14:paraId="01EB91A1" w14:textId="77777777">
        <w:trPr>
          <w:trHeight w:val="892"/>
        </w:trPr>
        <w:tc>
          <w:tcPr>
            <w:tcW w:w="416" w:type="dxa"/>
            <w:tcBorders>
              <w:top w:val="nil"/>
              <w:bottom w:val="nil"/>
              <w:right w:val="single" w:sz="6" w:space="0" w:color="231F20"/>
            </w:tcBorders>
          </w:tcPr>
          <w:p w14:paraId="7EBF1869" w14:textId="77777777" w:rsidR="009948F1" w:rsidRDefault="009948F1">
            <w:pPr>
              <w:pStyle w:val="TableParagraph"/>
              <w:rPr>
                <w:rFonts w:ascii="Times New Roman"/>
                <w:sz w:val="12"/>
              </w:rPr>
            </w:pPr>
          </w:p>
        </w:tc>
        <w:tc>
          <w:tcPr>
            <w:tcW w:w="462" w:type="dxa"/>
            <w:tcBorders>
              <w:left w:val="single" w:sz="6" w:space="0" w:color="231F20"/>
              <w:right w:val="single" w:sz="6" w:space="0" w:color="231F20"/>
            </w:tcBorders>
            <w:shd w:val="clear" w:color="auto" w:fill="CCE7D3"/>
          </w:tcPr>
          <w:p w14:paraId="0418661D" w14:textId="77777777" w:rsidR="009948F1" w:rsidRDefault="009948F1">
            <w:pPr>
              <w:pStyle w:val="TableParagraph"/>
              <w:rPr>
                <w:sz w:val="18"/>
              </w:rPr>
            </w:pPr>
          </w:p>
          <w:p w14:paraId="371224A7" w14:textId="77777777" w:rsidR="009948F1" w:rsidRDefault="00BC0563">
            <w:pPr>
              <w:pStyle w:val="TableParagraph"/>
              <w:spacing w:before="135"/>
              <w:ind w:left="58"/>
              <w:rPr>
                <w:sz w:val="17"/>
              </w:rPr>
            </w:pPr>
            <w:r>
              <w:rPr>
                <w:color w:val="231F20"/>
                <w:w w:val="80"/>
                <w:sz w:val="17"/>
              </w:rPr>
              <w:t>8.5.5</w:t>
            </w:r>
          </w:p>
        </w:tc>
        <w:tc>
          <w:tcPr>
            <w:tcW w:w="3084" w:type="dxa"/>
            <w:gridSpan w:val="2"/>
            <w:tcBorders>
              <w:left w:val="single" w:sz="6" w:space="0" w:color="231F20"/>
              <w:right w:val="single" w:sz="6" w:space="0" w:color="231F20"/>
            </w:tcBorders>
            <w:shd w:val="clear" w:color="auto" w:fill="CCE7D3"/>
          </w:tcPr>
          <w:p w14:paraId="4E14E466" w14:textId="77777777" w:rsidR="009948F1" w:rsidRDefault="00BC0563">
            <w:pPr>
              <w:pStyle w:val="TableParagraph"/>
              <w:spacing w:before="116" w:line="268" w:lineRule="auto"/>
              <w:ind w:left="25" w:right="257" w:firstLine="33"/>
              <w:rPr>
                <w:sz w:val="17"/>
              </w:rPr>
            </w:pPr>
            <w:r>
              <w:rPr>
                <w:color w:val="231F20"/>
                <w:w w:val="70"/>
                <w:sz w:val="17"/>
              </w:rPr>
              <w:t xml:space="preserve">Deepen collaboration with relevant stakeholders on </w:t>
            </w:r>
            <w:r>
              <w:rPr>
                <w:color w:val="231F20"/>
                <w:w w:val="80"/>
                <w:sz w:val="17"/>
              </w:rPr>
              <w:t>Chemicals Management, medical &amp; Bio waste management and climate change</w:t>
            </w:r>
          </w:p>
        </w:tc>
        <w:tc>
          <w:tcPr>
            <w:tcW w:w="2421" w:type="dxa"/>
            <w:tcBorders>
              <w:left w:val="single" w:sz="6" w:space="0" w:color="231F20"/>
              <w:right w:val="single" w:sz="6" w:space="0" w:color="231F20"/>
            </w:tcBorders>
            <w:shd w:val="clear" w:color="auto" w:fill="CCE7D3"/>
          </w:tcPr>
          <w:p w14:paraId="128AECB5" w14:textId="77777777" w:rsidR="009948F1" w:rsidRDefault="00BC0563">
            <w:pPr>
              <w:pStyle w:val="TableParagraph"/>
              <w:numPr>
                <w:ilvl w:val="0"/>
                <w:numId w:val="73"/>
              </w:numPr>
              <w:tabs>
                <w:tab w:val="left" w:pos="102"/>
              </w:tabs>
              <w:spacing w:before="15" w:line="268" w:lineRule="auto"/>
              <w:ind w:right="63" w:firstLine="0"/>
              <w:rPr>
                <w:sz w:val="17"/>
              </w:rPr>
            </w:pPr>
            <w:r>
              <w:rPr>
                <w:color w:val="231F20"/>
                <w:w w:val="70"/>
                <w:sz w:val="17"/>
              </w:rPr>
              <w:t xml:space="preserve">Bi-annual stakeholders review meeting </w:t>
            </w:r>
            <w:r>
              <w:rPr>
                <w:color w:val="231F20"/>
                <w:spacing w:val="-6"/>
                <w:w w:val="70"/>
                <w:sz w:val="17"/>
              </w:rPr>
              <w:t xml:space="preserve">on </w:t>
            </w:r>
            <w:r>
              <w:rPr>
                <w:color w:val="231F20"/>
                <w:w w:val="75"/>
                <w:sz w:val="17"/>
              </w:rPr>
              <w:t>effects</w:t>
            </w:r>
            <w:r>
              <w:rPr>
                <w:color w:val="231F20"/>
                <w:spacing w:val="-15"/>
                <w:w w:val="75"/>
                <w:sz w:val="17"/>
              </w:rPr>
              <w:t xml:space="preserve"> </w:t>
            </w:r>
            <w:r>
              <w:rPr>
                <w:color w:val="231F20"/>
                <w:w w:val="75"/>
                <w:sz w:val="17"/>
              </w:rPr>
              <w:t>of</w:t>
            </w:r>
            <w:r>
              <w:rPr>
                <w:color w:val="231F20"/>
                <w:spacing w:val="-14"/>
                <w:w w:val="75"/>
                <w:sz w:val="17"/>
              </w:rPr>
              <w:t xml:space="preserve"> </w:t>
            </w:r>
            <w:r>
              <w:rPr>
                <w:color w:val="231F20"/>
                <w:w w:val="75"/>
                <w:sz w:val="17"/>
              </w:rPr>
              <w:t>climate</w:t>
            </w:r>
            <w:r>
              <w:rPr>
                <w:color w:val="231F20"/>
                <w:spacing w:val="-14"/>
                <w:w w:val="75"/>
                <w:sz w:val="17"/>
              </w:rPr>
              <w:t xml:space="preserve"> </w:t>
            </w:r>
            <w:r>
              <w:rPr>
                <w:color w:val="231F20"/>
                <w:w w:val="75"/>
                <w:sz w:val="17"/>
              </w:rPr>
              <w:t>change</w:t>
            </w:r>
            <w:r>
              <w:rPr>
                <w:color w:val="231F20"/>
                <w:spacing w:val="-14"/>
                <w:w w:val="75"/>
                <w:sz w:val="17"/>
              </w:rPr>
              <w:t xml:space="preserve"> </w:t>
            </w:r>
            <w:r>
              <w:rPr>
                <w:color w:val="231F20"/>
                <w:w w:val="75"/>
                <w:sz w:val="17"/>
              </w:rPr>
              <w:t>in</w:t>
            </w:r>
            <w:r>
              <w:rPr>
                <w:color w:val="231F20"/>
                <w:spacing w:val="-14"/>
                <w:w w:val="75"/>
                <w:sz w:val="17"/>
              </w:rPr>
              <w:t xml:space="preserve"> </w:t>
            </w:r>
            <w:r>
              <w:rPr>
                <w:color w:val="231F20"/>
                <w:w w:val="75"/>
                <w:sz w:val="17"/>
              </w:rPr>
              <w:t>the</w:t>
            </w:r>
            <w:r>
              <w:rPr>
                <w:color w:val="231F20"/>
                <w:spacing w:val="-15"/>
                <w:w w:val="75"/>
                <w:sz w:val="17"/>
              </w:rPr>
              <w:t xml:space="preserve"> </w:t>
            </w:r>
            <w:r>
              <w:rPr>
                <w:color w:val="231F20"/>
                <w:w w:val="75"/>
                <w:sz w:val="17"/>
              </w:rPr>
              <w:t>state</w:t>
            </w:r>
            <w:r>
              <w:rPr>
                <w:color w:val="231F20"/>
                <w:spacing w:val="-14"/>
                <w:w w:val="75"/>
                <w:sz w:val="17"/>
              </w:rPr>
              <w:t xml:space="preserve"> </w:t>
            </w:r>
            <w:r>
              <w:rPr>
                <w:color w:val="231F20"/>
                <w:w w:val="75"/>
                <w:sz w:val="17"/>
              </w:rPr>
              <w:t>held</w:t>
            </w:r>
          </w:p>
          <w:p w14:paraId="76A79273" w14:textId="77777777" w:rsidR="009948F1" w:rsidRDefault="00BC0563">
            <w:pPr>
              <w:pStyle w:val="TableParagraph"/>
              <w:spacing w:line="194" w:lineRule="exact"/>
              <w:ind w:left="26"/>
              <w:rPr>
                <w:sz w:val="17"/>
              </w:rPr>
            </w:pPr>
            <w:r>
              <w:rPr>
                <w:color w:val="231F20"/>
                <w:w w:val="70"/>
                <w:sz w:val="17"/>
              </w:rPr>
              <w:t>•</w:t>
            </w:r>
          </w:p>
          <w:p w14:paraId="15AA368C" w14:textId="77777777" w:rsidR="009948F1" w:rsidRDefault="00BC0563">
            <w:pPr>
              <w:pStyle w:val="TableParagraph"/>
              <w:spacing w:before="23"/>
              <w:ind w:left="26"/>
              <w:rPr>
                <w:sz w:val="17"/>
              </w:rPr>
            </w:pPr>
            <w:r>
              <w:rPr>
                <w:color w:val="231F20"/>
                <w:w w:val="70"/>
                <w:sz w:val="17"/>
              </w:rPr>
              <w:t>•</w:t>
            </w:r>
          </w:p>
        </w:tc>
        <w:tc>
          <w:tcPr>
            <w:tcW w:w="1449" w:type="dxa"/>
            <w:tcBorders>
              <w:left w:val="single" w:sz="6" w:space="0" w:color="231F20"/>
              <w:right w:val="single" w:sz="6" w:space="0" w:color="231F20"/>
            </w:tcBorders>
            <w:shd w:val="clear" w:color="auto" w:fill="CCE7D3"/>
          </w:tcPr>
          <w:p w14:paraId="3DFB5A92"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6ECE7857" w14:textId="77777777" w:rsidR="009948F1" w:rsidRDefault="009948F1">
            <w:pPr>
              <w:pStyle w:val="TableParagraph"/>
              <w:rPr>
                <w:rFonts w:ascii="Times New Roman"/>
                <w:sz w:val="12"/>
              </w:rPr>
            </w:pPr>
          </w:p>
        </w:tc>
      </w:tr>
      <w:tr w:rsidR="009948F1" w14:paraId="37415567" w14:textId="77777777">
        <w:trPr>
          <w:trHeight w:val="420"/>
        </w:trPr>
        <w:tc>
          <w:tcPr>
            <w:tcW w:w="878" w:type="dxa"/>
            <w:gridSpan w:val="2"/>
            <w:vMerge w:val="restart"/>
            <w:tcBorders>
              <w:top w:val="nil"/>
              <w:bottom w:val="nil"/>
              <w:right w:val="single" w:sz="6" w:space="0" w:color="231F20"/>
            </w:tcBorders>
          </w:tcPr>
          <w:p w14:paraId="453E6FE1" w14:textId="77777777" w:rsidR="009948F1" w:rsidRDefault="009948F1">
            <w:pPr>
              <w:pStyle w:val="TableParagraph"/>
              <w:rPr>
                <w:rFonts w:ascii="Times New Roman"/>
                <w:sz w:val="12"/>
              </w:rPr>
            </w:pPr>
          </w:p>
        </w:tc>
        <w:tc>
          <w:tcPr>
            <w:tcW w:w="534" w:type="dxa"/>
            <w:tcBorders>
              <w:left w:val="single" w:sz="6" w:space="0" w:color="231F20"/>
              <w:right w:val="single" w:sz="6" w:space="0" w:color="231F20"/>
            </w:tcBorders>
          </w:tcPr>
          <w:p w14:paraId="0756F2E5" w14:textId="77777777" w:rsidR="009948F1" w:rsidRDefault="00BC0563">
            <w:pPr>
              <w:pStyle w:val="TableParagraph"/>
              <w:spacing w:before="106"/>
              <w:ind w:left="85"/>
              <w:rPr>
                <w:sz w:val="17"/>
              </w:rPr>
            </w:pPr>
            <w:r>
              <w:rPr>
                <w:color w:val="231F20"/>
                <w:w w:val="75"/>
                <w:sz w:val="17"/>
              </w:rPr>
              <w:t>8.5.5.a</w:t>
            </w:r>
          </w:p>
        </w:tc>
        <w:tc>
          <w:tcPr>
            <w:tcW w:w="4971" w:type="dxa"/>
            <w:gridSpan w:val="2"/>
            <w:tcBorders>
              <w:left w:val="single" w:sz="6" w:space="0" w:color="231F20"/>
              <w:right w:val="single" w:sz="6" w:space="0" w:color="231F20"/>
            </w:tcBorders>
          </w:tcPr>
          <w:p w14:paraId="2DB0F1BE" w14:textId="77777777" w:rsidR="009948F1" w:rsidRDefault="00BC0563">
            <w:pPr>
              <w:pStyle w:val="TableParagraph"/>
              <w:spacing w:before="98"/>
              <w:ind w:left="25"/>
              <w:rPr>
                <w:sz w:val="17"/>
              </w:rPr>
            </w:pPr>
            <w:r>
              <w:rPr>
                <w:color w:val="231F20"/>
                <w:w w:val="80"/>
                <w:sz w:val="17"/>
              </w:rPr>
              <w:t>Conduct risk assessment for hazardous chemicals and poisoning</w:t>
            </w:r>
          </w:p>
        </w:tc>
        <w:tc>
          <w:tcPr>
            <w:tcW w:w="1449" w:type="dxa"/>
            <w:tcBorders>
              <w:left w:val="single" w:sz="6" w:space="0" w:color="231F20"/>
              <w:right w:val="single" w:sz="6" w:space="0" w:color="231F20"/>
            </w:tcBorders>
          </w:tcPr>
          <w:p w14:paraId="7836C27D" w14:textId="77777777" w:rsidR="009948F1" w:rsidRDefault="00BC0563">
            <w:pPr>
              <w:pStyle w:val="TableParagraph"/>
              <w:spacing w:before="106"/>
              <w:ind w:left="26"/>
              <w:rPr>
                <w:sz w:val="17"/>
              </w:rPr>
            </w:pPr>
            <w:r>
              <w:rPr>
                <w:color w:val="231F20"/>
                <w:w w:val="80"/>
                <w:sz w:val="17"/>
              </w:rPr>
              <w:t>Lack of funds</w:t>
            </w:r>
          </w:p>
        </w:tc>
        <w:tc>
          <w:tcPr>
            <w:tcW w:w="1528" w:type="dxa"/>
            <w:tcBorders>
              <w:left w:val="single" w:sz="6" w:space="0" w:color="231F20"/>
              <w:right w:val="single" w:sz="6" w:space="0" w:color="231F20"/>
            </w:tcBorders>
          </w:tcPr>
          <w:p w14:paraId="67D025A7" w14:textId="77777777" w:rsidR="009948F1" w:rsidRDefault="00BC0563">
            <w:pPr>
              <w:pStyle w:val="TableParagraph"/>
              <w:spacing w:before="106"/>
              <w:ind w:left="27"/>
              <w:rPr>
                <w:sz w:val="17"/>
              </w:rPr>
            </w:pPr>
            <w:r>
              <w:rPr>
                <w:color w:val="231F20"/>
                <w:w w:val="80"/>
                <w:sz w:val="17"/>
              </w:rPr>
              <w:t>Costed in 8.5.4b</w:t>
            </w:r>
          </w:p>
        </w:tc>
      </w:tr>
      <w:tr w:rsidR="009948F1" w14:paraId="142EA620" w14:textId="77777777">
        <w:trPr>
          <w:trHeight w:val="404"/>
        </w:trPr>
        <w:tc>
          <w:tcPr>
            <w:tcW w:w="878" w:type="dxa"/>
            <w:gridSpan w:val="2"/>
            <w:vMerge/>
            <w:tcBorders>
              <w:top w:val="nil"/>
              <w:bottom w:val="nil"/>
              <w:right w:val="single" w:sz="6" w:space="0" w:color="231F20"/>
            </w:tcBorders>
          </w:tcPr>
          <w:p w14:paraId="6076332C" w14:textId="77777777" w:rsidR="009948F1" w:rsidRDefault="009948F1">
            <w:pPr>
              <w:rPr>
                <w:sz w:val="2"/>
                <w:szCs w:val="2"/>
              </w:rPr>
            </w:pPr>
          </w:p>
        </w:tc>
        <w:tc>
          <w:tcPr>
            <w:tcW w:w="534" w:type="dxa"/>
            <w:tcBorders>
              <w:left w:val="single" w:sz="6" w:space="0" w:color="231F20"/>
              <w:right w:val="single" w:sz="6" w:space="0" w:color="231F20"/>
            </w:tcBorders>
          </w:tcPr>
          <w:p w14:paraId="31960843" w14:textId="77777777" w:rsidR="009948F1" w:rsidRDefault="00BC0563">
            <w:pPr>
              <w:pStyle w:val="TableParagraph"/>
              <w:spacing w:before="98"/>
              <w:ind w:left="85"/>
              <w:rPr>
                <w:sz w:val="17"/>
              </w:rPr>
            </w:pPr>
            <w:r>
              <w:rPr>
                <w:color w:val="231F20"/>
                <w:w w:val="75"/>
                <w:sz w:val="17"/>
              </w:rPr>
              <w:t>8.5.5.b</w:t>
            </w:r>
          </w:p>
        </w:tc>
        <w:tc>
          <w:tcPr>
            <w:tcW w:w="4971" w:type="dxa"/>
            <w:gridSpan w:val="2"/>
            <w:tcBorders>
              <w:left w:val="single" w:sz="6" w:space="0" w:color="231F20"/>
              <w:right w:val="single" w:sz="6" w:space="0" w:color="231F20"/>
            </w:tcBorders>
          </w:tcPr>
          <w:p w14:paraId="63C7ADAE" w14:textId="77777777" w:rsidR="009948F1" w:rsidRDefault="00BC0563">
            <w:pPr>
              <w:pStyle w:val="TableParagraph"/>
              <w:spacing w:before="91"/>
              <w:ind w:left="25"/>
              <w:rPr>
                <w:sz w:val="17"/>
              </w:rPr>
            </w:pPr>
            <w:r>
              <w:rPr>
                <w:color w:val="231F20"/>
                <w:w w:val="80"/>
                <w:sz w:val="17"/>
              </w:rPr>
              <w:t>Hold</w:t>
            </w:r>
            <w:r>
              <w:rPr>
                <w:color w:val="231F20"/>
                <w:spacing w:val="-26"/>
                <w:w w:val="80"/>
                <w:sz w:val="17"/>
              </w:rPr>
              <w:t xml:space="preserve"> </w:t>
            </w:r>
            <w:r>
              <w:rPr>
                <w:color w:val="231F20"/>
                <w:w w:val="80"/>
                <w:sz w:val="17"/>
              </w:rPr>
              <w:t>bi-annual</w:t>
            </w:r>
            <w:r>
              <w:rPr>
                <w:color w:val="231F20"/>
                <w:spacing w:val="-26"/>
                <w:w w:val="80"/>
                <w:sz w:val="17"/>
              </w:rPr>
              <w:t xml:space="preserve"> </w:t>
            </w:r>
            <w:r>
              <w:rPr>
                <w:color w:val="231F20"/>
                <w:w w:val="80"/>
                <w:sz w:val="17"/>
              </w:rPr>
              <w:t>stakeholders</w:t>
            </w:r>
            <w:r>
              <w:rPr>
                <w:color w:val="231F20"/>
                <w:spacing w:val="-13"/>
                <w:w w:val="80"/>
                <w:sz w:val="17"/>
              </w:rPr>
              <w:t xml:space="preserve"> </w:t>
            </w:r>
            <w:r>
              <w:rPr>
                <w:color w:val="231F20"/>
                <w:w w:val="80"/>
                <w:sz w:val="17"/>
              </w:rPr>
              <w:t>review</w:t>
            </w:r>
            <w:r>
              <w:rPr>
                <w:color w:val="231F20"/>
                <w:spacing w:val="-26"/>
                <w:w w:val="80"/>
                <w:sz w:val="17"/>
              </w:rPr>
              <w:t xml:space="preserve"> </w:t>
            </w:r>
            <w:r>
              <w:rPr>
                <w:color w:val="231F20"/>
                <w:w w:val="80"/>
                <w:sz w:val="17"/>
              </w:rPr>
              <w:t>meeting</w:t>
            </w:r>
            <w:r>
              <w:rPr>
                <w:color w:val="231F20"/>
                <w:spacing w:val="-26"/>
                <w:w w:val="80"/>
                <w:sz w:val="17"/>
              </w:rPr>
              <w:t xml:space="preserve"> </w:t>
            </w:r>
            <w:r>
              <w:rPr>
                <w:color w:val="231F20"/>
                <w:w w:val="80"/>
                <w:sz w:val="17"/>
              </w:rPr>
              <w:t>on</w:t>
            </w:r>
            <w:r>
              <w:rPr>
                <w:color w:val="231F20"/>
                <w:spacing w:val="-25"/>
                <w:w w:val="80"/>
                <w:sz w:val="17"/>
              </w:rPr>
              <w:t xml:space="preserve"> </w:t>
            </w:r>
            <w:r>
              <w:rPr>
                <w:color w:val="231F20"/>
                <w:w w:val="80"/>
                <w:sz w:val="17"/>
              </w:rPr>
              <w:t>effects</w:t>
            </w:r>
            <w:r>
              <w:rPr>
                <w:color w:val="231F20"/>
                <w:spacing w:val="-26"/>
                <w:w w:val="80"/>
                <w:sz w:val="17"/>
              </w:rPr>
              <w:t xml:space="preserve"> </w:t>
            </w:r>
            <w:r>
              <w:rPr>
                <w:color w:val="231F20"/>
                <w:w w:val="80"/>
                <w:sz w:val="17"/>
              </w:rPr>
              <w:t>of</w:t>
            </w:r>
            <w:r>
              <w:rPr>
                <w:color w:val="231F20"/>
                <w:spacing w:val="-25"/>
                <w:w w:val="80"/>
                <w:sz w:val="17"/>
              </w:rPr>
              <w:t xml:space="preserve"> </w:t>
            </w:r>
            <w:r>
              <w:rPr>
                <w:color w:val="231F20"/>
                <w:w w:val="80"/>
                <w:sz w:val="17"/>
              </w:rPr>
              <w:t>climate</w:t>
            </w:r>
            <w:r>
              <w:rPr>
                <w:color w:val="231F20"/>
                <w:spacing w:val="-26"/>
                <w:w w:val="80"/>
                <w:sz w:val="17"/>
              </w:rPr>
              <w:t xml:space="preserve"> </w:t>
            </w:r>
            <w:r>
              <w:rPr>
                <w:color w:val="231F20"/>
                <w:w w:val="80"/>
                <w:sz w:val="17"/>
              </w:rPr>
              <w:t>change</w:t>
            </w:r>
            <w:r>
              <w:rPr>
                <w:color w:val="231F20"/>
                <w:spacing w:val="-26"/>
                <w:w w:val="80"/>
                <w:sz w:val="17"/>
              </w:rPr>
              <w:t xml:space="preserve"> </w:t>
            </w:r>
            <w:r>
              <w:rPr>
                <w:color w:val="231F20"/>
                <w:w w:val="80"/>
                <w:sz w:val="17"/>
              </w:rPr>
              <w:t>in</w:t>
            </w:r>
            <w:r>
              <w:rPr>
                <w:color w:val="231F20"/>
                <w:spacing w:val="-25"/>
                <w:w w:val="80"/>
                <w:sz w:val="17"/>
              </w:rPr>
              <w:t xml:space="preserve"> </w:t>
            </w:r>
            <w:r>
              <w:rPr>
                <w:color w:val="231F20"/>
                <w:w w:val="80"/>
                <w:sz w:val="17"/>
              </w:rPr>
              <w:t>the</w:t>
            </w:r>
            <w:r>
              <w:rPr>
                <w:color w:val="231F20"/>
                <w:spacing w:val="-26"/>
                <w:w w:val="80"/>
                <w:sz w:val="17"/>
              </w:rPr>
              <w:t xml:space="preserve"> </w:t>
            </w:r>
            <w:r>
              <w:rPr>
                <w:color w:val="231F20"/>
                <w:w w:val="80"/>
                <w:sz w:val="17"/>
              </w:rPr>
              <w:t>state</w:t>
            </w:r>
          </w:p>
        </w:tc>
        <w:tc>
          <w:tcPr>
            <w:tcW w:w="1449" w:type="dxa"/>
            <w:tcBorders>
              <w:left w:val="single" w:sz="6" w:space="0" w:color="231F20"/>
              <w:right w:val="single" w:sz="6" w:space="0" w:color="231F20"/>
            </w:tcBorders>
          </w:tcPr>
          <w:p w14:paraId="7E5EE704" w14:textId="77777777" w:rsidR="009948F1" w:rsidRDefault="00BC0563">
            <w:pPr>
              <w:pStyle w:val="TableParagraph"/>
              <w:spacing w:before="98"/>
              <w:ind w:left="26"/>
              <w:rPr>
                <w:sz w:val="17"/>
              </w:rPr>
            </w:pPr>
            <w:r>
              <w:rPr>
                <w:color w:val="231F20"/>
                <w:w w:val="80"/>
                <w:sz w:val="17"/>
              </w:rPr>
              <w:t>Lack of funds</w:t>
            </w:r>
          </w:p>
        </w:tc>
        <w:tc>
          <w:tcPr>
            <w:tcW w:w="1528" w:type="dxa"/>
            <w:tcBorders>
              <w:left w:val="single" w:sz="6" w:space="0" w:color="231F20"/>
              <w:right w:val="single" w:sz="6" w:space="0" w:color="231F20"/>
            </w:tcBorders>
          </w:tcPr>
          <w:p w14:paraId="19D1797E" w14:textId="77777777" w:rsidR="009948F1" w:rsidRDefault="00BC0563">
            <w:pPr>
              <w:pStyle w:val="TableParagraph"/>
              <w:spacing w:before="98"/>
              <w:ind w:left="27"/>
              <w:rPr>
                <w:sz w:val="17"/>
              </w:rPr>
            </w:pPr>
            <w:r>
              <w:rPr>
                <w:color w:val="231F20"/>
                <w:w w:val="80"/>
                <w:sz w:val="17"/>
              </w:rPr>
              <w:t>Hold review meetings</w:t>
            </w:r>
          </w:p>
        </w:tc>
      </w:tr>
      <w:tr w:rsidR="009948F1" w14:paraId="6E2073CD" w14:textId="77777777">
        <w:trPr>
          <w:trHeight w:val="1677"/>
        </w:trPr>
        <w:tc>
          <w:tcPr>
            <w:tcW w:w="416" w:type="dxa"/>
            <w:tcBorders>
              <w:top w:val="nil"/>
              <w:bottom w:val="nil"/>
              <w:right w:val="single" w:sz="6" w:space="0" w:color="231F20"/>
            </w:tcBorders>
          </w:tcPr>
          <w:p w14:paraId="5CA7DAD0" w14:textId="77777777" w:rsidR="009948F1" w:rsidRDefault="009948F1">
            <w:pPr>
              <w:pStyle w:val="TableParagraph"/>
              <w:rPr>
                <w:rFonts w:ascii="Times New Roman"/>
                <w:sz w:val="12"/>
              </w:rPr>
            </w:pPr>
          </w:p>
        </w:tc>
        <w:tc>
          <w:tcPr>
            <w:tcW w:w="462" w:type="dxa"/>
            <w:tcBorders>
              <w:left w:val="single" w:sz="6" w:space="0" w:color="231F20"/>
              <w:right w:val="single" w:sz="6" w:space="0" w:color="231F20"/>
            </w:tcBorders>
            <w:shd w:val="clear" w:color="auto" w:fill="CCE7D3"/>
          </w:tcPr>
          <w:p w14:paraId="2E823874" w14:textId="77777777" w:rsidR="009948F1" w:rsidRDefault="009948F1">
            <w:pPr>
              <w:pStyle w:val="TableParagraph"/>
              <w:rPr>
                <w:sz w:val="18"/>
              </w:rPr>
            </w:pPr>
          </w:p>
          <w:p w14:paraId="54BC7A47" w14:textId="77777777" w:rsidR="009948F1" w:rsidRDefault="009948F1">
            <w:pPr>
              <w:pStyle w:val="TableParagraph"/>
              <w:rPr>
                <w:sz w:val="18"/>
              </w:rPr>
            </w:pPr>
          </w:p>
          <w:p w14:paraId="5DABE236" w14:textId="77777777" w:rsidR="009948F1" w:rsidRDefault="009948F1">
            <w:pPr>
              <w:pStyle w:val="TableParagraph"/>
              <w:rPr>
                <w:sz w:val="18"/>
              </w:rPr>
            </w:pPr>
          </w:p>
          <w:p w14:paraId="26122B74" w14:textId="77777777" w:rsidR="009948F1" w:rsidRDefault="00BC0563">
            <w:pPr>
              <w:pStyle w:val="TableParagraph"/>
              <w:spacing w:before="113"/>
              <w:ind w:left="58"/>
              <w:rPr>
                <w:sz w:val="17"/>
              </w:rPr>
            </w:pPr>
            <w:r>
              <w:rPr>
                <w:color w:val="231F20"/>
                <w:w w:val="80"/>
                <w:sz w:val="17"/>
              </w:rPr>
              <w:t>8.5.6</w:t>
            </w:r>
          </w:p>
        </w:tc>
        <w:tc>
          <w:tcPr>
            <w:tcW w:w="3084" w:type="dxa"/>
            <w:gridSpan w:val="2"/>
            <w:tcBorders>
              <w:left w:val="single" w:sz="6" w:space="0" w:color="231F20"/>
              <w:right w:val="single" w:sz="6" w:space="0" w:color="231F20"/>
            </w:tcBorders>
            <w:shd w:val="clear" w:color="auto" w:fill="CCE7D3"/>
          </w:tcPr>
          <w:p w14:paraId="2219C1F5" w14:textId="77777777" w:rsidR="009948F1" w:rsidRDefault="009948F1">
            <w:pPr>
              <w:pStyle w:val="TableParagraph"/>
              <w:rPr>
                <w:sz w:val="18"/>
              </w:rPr>
            </w:pPr>
          </w:p>
          <w:p w14:paraId="51328C0D" w14:textId="77777777" w:rsidR="009948F1" w:rsidRDefault="009948F1">
            <w:pPr>
              <w:pStyle w:val="TableParagraph"/>
              <w:spacing w:before="2"/>
              <w:rPr>
                <w:sz w:val="26"/>
              </w:rPr>
            </w:pPr>
          </w:p>
          <w:p w14:paraId="1B33A378" w14:textId="77777777" w:rsidR="009948F1" w:rsidRDefault="00BC0563">
            <w:pPr>
              <w:pStyle w:val="TableParagraph"/>
              <w:spacing w:before="1" w:line="268" w:lineRule="auto"/>
              <w:ind w:left="25" w:right="47" w:firstLine="33"/>
              <w:rPr>
                <w:sz w:val="17"/>
              </w:rPr>
            </w:pPr>
            <w:r>
              <w:rPr>
                <w:color w:val="231F20"/>
                <w:w w:val="70"/>
                <w:sz w:val="17"/>
              </w:rPr>
              <w:t xml:space="preserve">Improve systems for data collection, management and </w:t>
            </w:r>
            <w:r>
              <w:rPr>
                <w:color w:val="231F20"/>
                <w:w w:val="75"/>
                <w:sz w:val="17"/>
              </w:rPr>
              <w:t xml:space="preserve">utilization for chemical hazards and poisons, medical </w:t>
            </w:r>
            <w:r>
              <w:rPr>
                <w:color w:val="231F20"/>
                <w:w w:val="80"/>
                <w:sz w:val="17"/>
              </w:rPr>
              <w:t>and Bio waste and climate change</w:t>
            </w:r>
          </w:p>
        </w:tc>
        <w:tc>
          <w:tcPr>
            <w:tcW w:w="2421" w:type="dxa"/>
            <w:tcBorders>
              <w:left w:val="single" w:sz="6" w:space="0" w:color="231F20"/>
              <w:right w:val="single" w:sz="6" w:space="0" w:color="231F20"/>
            </w:tcBorders>
            <w:shd w:val="clear" w:color="auto" w:fill="CCE7D3"/>
          </w:tcPr>
          <w:p w14:paraId="2712F6C8" w14:textId="77777777" w:rsidR="009948F1" w:rsidRDefault="00BC0563">
            <w:pPr>
              <w:pStyle w:val="TableParagraph"/>
              <w:numPr>
                <w:ilvl w:val="0"/>
                <w:numId w:val="72"/>
              </w:numPr>
              <w:tabs>
                <w:tab w:val="left" w:pos="102"/>
              </w:tabs>
              <w:spacing w:line="268" w:lineRule="auto"/>
              <w:ind w:right="65" w:firstLine="0"/>
              <w:rPr>
                <w:sz w:val="17"/>
              </w:rPr>
            </w:pPr>
            <w:r>
              <w:rPr>
                <w:color w:val="231F20"/>
                <w:w w:val="75"/>
                <w:sz w:val="17"/>
              </w:rPr>
              <w:t xml:space="preserve">Surveillance and reporting systems for </w:t>
            </w:r>
            <w:r>
              <w:rPr>
                <w:color w:val="231F20"/>
                <w:w w:val="70"/>
                <w:sz w:val="17"/>
              </w:rPr>
              <w:t xml:space="preserve">data collection, management and utilization </w:t>
            </w:r>
            <w:r>
              <w:rPr>
                <w:color w:val="231F20"/>
                <w:w w:val="75"/>
                <w:sz w:val="17"/>
              </w:rPr>
              <w:t>for</w:t>
            </w:r>
            <w:r>
              <w:rPr>
                <w:color w:val="231F20"/>
                <w:spacing w:val="-23"/>
                <w:w w:val="75"/>
                <w:sz w:val="17"/>
              </w:rPr>
              <w:t xml:space="preserve"> </w:t>
            </w:r>
            <w:r>
              <w:rPr>
                <w:color w:val="231F20"/>
                <w:w w:val="75"/>
                <w:sz w:val="17"/>
              </w:rPr>
              <w:t>chemical</w:t>
            </w:r>
            <w:r>
              <w:rPr>
                <w:color w:val="231F20"/>
                <w:spacing w:val="-22"/>
                <w:w w:val="75"/>
                <w:sz w:val="17"/>
              </w:rPr>
              <w:t xml:space="preserve"> </w:t>
            </w:r>
            <w:r>
              <w:rPr>
                <w:color w:val="231F20"/>
                <w:w w:val="75"/>
                <w:sz w:val="17"/>
              </w:rPr>
              <w:t>hazards</w:t>
            </w:r>
            <w:r>
              <w:rPr>
                <w:color w:val="231F20"/>
                <w:spacing w:val="-22"/>
                <w:w w:val="75"/>
                <w:sz w:val="17"/>
              </w:rPr>
              <w:t xml:space="preserve"> </w:t>
            </w:r>
            <w:r>
              <w:rPr>
                <w:color w:val="231F20"/>
                <w:w w:val="75"/>
                <w:sz w:val="17"/>
              </w:rPr>
              <w:t>and</w:t>
            </w:r>
            <w:r>
              <w:rPr>
                <w:color w:val="231F20"/>
                <w:spacing w:val="-22"/>
                <w:w w:val="75"/>
                <w:sz w:val="17"/>
              </w:rPr>
              <w:t xml:space="preserve"> </w:t>
            </w:r>
            <w:r>
              <w:rPr>
                <w:color w:val="231F20"/>
                <w:w w:val="75"/>
                <w:sz w:val="17"/>
              </w:rPr>
              <w:t>poisons,</w:t>
            </w:r>
            <w:r>
              <w:rPr>
                <w:color w:val="231F20"/>
                <w:spacing w:val="-22"/>
                <w:w w:val="75"/>
                <w:sz w:val="17"/>
              </w:rPr>
              <w:t xml:space="preserve"> </w:t>
            </w:r>
            <w:r>
              <w:rPr>
                <w:color w:val="231F20"/>
                <w:w w:val="75"/>
                <w:sz w:val="17"/>
              </w:rPr>
              <w:t xml:space="preserve">medical </w:t>
            </w:r>
            <w:r>
              <w:rPr>
                <w:color w:val="231F20"/>
                <w:w w:val="80"/>
                <w:sz w:val="17"/>
              </w:rPr>
              <w:t>and Bio waste and climate change developed</w:t>
            </w:r>
          </w:p>
          <w:p w14:paraId="1D921560" w14:textId="77777777" w:rsidR="009948F1" w:rsidRDefault="00BC0563">
            <w:pPr>
              <w:pStyle w:val="TableParagraph"/>
              <w:numPr>
                <w:ilvl w:val="0"/>
                <w:numId w:val="72"/>
              </w:numPr>
              <w:tabs>
                <w:tab w:val="left" w:pos="70"/>
              </w:tabs>
              <w:spacing w:line="193" w:lineRule="exact"/>
              <w:ind w:left="69" w:hanging="44"/>
              <w:rPr>
                <w:sz w:val="17"/>
              </w:rPr>
            </w:pPr>
            <w:r>
              <w:rPr>
                <w:color w:val="231F20"/>
                <w:w w:val="75"/>
                <w:sz w:val="17"/>
              </w:rPr>
              <w:t>Quarterly</w:t>
            </w:r>
            <w:r>
              <w:rPr>
                <w:color w:val="231F20"/>
                <w:spacing w:val="-17"/>
                <w:w w:val="75"/>
                <w:sz w:val="17"/>
              </w:rPr>
              <w:t xml:space="preserve"> </w:t>
            </w:r>
            <w:r>
              <w:rPr>
                <w:color w:val="231F20"/>
                <w:w w:val="75"/>
                <w:sz w:val="17"/>
              </w:rPr>
              <w:t>data</w:t>
            </w:r>
            <w:r>
              <w:rPr>
                <w:color w:val="231F20"/>
                <w:spacing w:val="-16"/>
                <w:w w:val="75"/>
                <w:sz w:val="17"/>
              </w:rPr>
              <w:t xml:space="preserve"> </w:t>
            </w:r>
            <w:r>
              <w:rPr>
                <w:color w:val="231F20"/>
                <w:w w:val="75"/>
                <w:sz w:val="17"/>
              </w:rPr>
              <w:t>quality</w:t>
            </w:r>
            <w:r>
              <w:rPr>
                <w:color w:val="231F20"/>
                <w:spacing w:val="-17"/>
                <w:w w:val="75"/>
                <w:sz w:val="17"/>
              </w:rPr>
              <w:t xml:space="preserve"> </w:t>
            </w:r>
            <w:r>
              <w:rPr>
                <w:color w:val="231F20"/>
                <w:w w:val="75"/>
                <w:sz w:val="17"/>
              </w:rPr>
              <w:t>assessments</w:t>
            </w:r>
            <w:r>
              <w:rPr>
                <w:color w:val="231F20"/>
                <w:spacing w:val="-16"/>
                <w:w w:val="75"/>
                <w:sz w:val="17"/>
              </w:rPr>
              <w:t xml:space="preserve"> </w:t>
            </w:r>
            <w:r>
              <w:rPr>
                <w:color w:val="231F20"/>
                <w:w w:val="75"/>
                <w:sz w:val="17"/>
              </w:rPr>
              <w:t>done</w:t>
            </w:r>
          </w:p>
          <w:p w14:paraId="084AB8A1" w14:textId="77777777" w:rsidR="009948F1" w:rsidRDefault="00BC0563">
            <w:pPr>
              <w:pStyle w:val="TableParagraph"/>
              <w:numPr>
                <w:ilvl w:val="0"/>
                <w:numId w:val="72"/>
              </w:numPr>
              <w:tabs>
                <w:tab w:val="left" w:pos="96"/>
              </w:tabs>
              <w:spacing w:before="47" w:line="164" w:lineRule="exact"/>
              <w:ind w:right="206" w:firstLine="0"/>
              <w:rPr>
                <w:sz w:val="17"/>
              </w:rPr>
            </w:pPr>
            <w:r>
              <w:rPr>
                <w:color w:val="231F20"/>
                <w:w w:val="70"/>
                <w:sz w:val="17"/>
              </w:rPr>
              <w:t xml:space="preserve">Activities of climate change desk officer </w:t>
            </w:r>
            <w:r>
              <w:rPr>
                <w:color w:val="231F20"/>
                <w:w w:val="80"/>
                <w:sz w:val="17"/>
              </w:rPr>
              <w:t>reviewed</w:t>
            </w:r>
            <w:r>
              <w:rPr>
                <w:color w:val="231F20"/>
                <w:spacing w:val="-8"/>
                <w:w w:val="80"/>
                <w:sz w:val="17"/>
              </w:rPr>
              <w:t xml:space="preserve"> </w:t>
            </w:r>
            <w:r>
              <w:rPr>
                <w:color w:val="231F20"/>
                <w:w w:val="80"/>
                <w:sz w:val="17"/>
              </w:rPr>
              <w:t>annually</w:t>
            </w:r>
          </w:p>
        </w:tc>
        <w:tc>
          <w:tcPr>
            <w:tcW w:w="1449" w:type="dxa"/>
            <w:tcBorders>
              <w:left w:val="single" w:sz="6" w:space="0" w:color="231F20"/>
              <w:right w:val="single" w:sz="6" w:space="0" w:color="231F20"/>
            </w:tcBorders>
            <w:shd w:val="clear" w:color="auto" w:fill="CCE7D3"/>
          </w:tcPr>
          <w:p w14:paraId="3599A72B"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62AEFCAD" w14:textId="77777777" w:rsidR="009948F1" w:rsidRDefault="009948F1">
            <w:pPr>
              <w:pStyle w:val="TableParagraph"/>
              <w:rPr>
                <w:rFonts w:ascii="Times New Roman"/>
                <w:sz w:val="12"/>
              </w:rPr>
            </w:pPr>
          </w:p>
        </w:tc>
      </w:tr>
      <w:tr w:rsidR="009948F1" w14:paraId="4B22FEE6" w14:textId="77777777">
        <w:trPr>
          <w:trHeight w:val="624"/>
        </w:trPr>
        <w:tc>
          <w:tcPr>
            <w:tcW w:w="878" w:type="dxa"/>
            <w:gridSpan w:val="2"/>
            <w:vMerge w:val="restart"/>
            <w:tcBorders>
              <w:top w:val="nil"/>
              <w:right w:val="single" w:sz="6" w:space="0" w:color="231F20"/>
            </w:tcBorders>
          </w:tcPr>
          <w:p w14:paraId="6E078272" w14:textId="77777777" w:rsidR="009948F1" w:rsidRDefault="009948F1">
            <w:pPr>
              <w:pStyle w:val="TableParagraph"/>
              <w:rPr>
                <w:rFonts w:ascii="Times New Roman"/>
                <w:sz w:val="12"/>
              </w:rPr>
            </w:pPr>
          </w:p>
        </w:tc>
        <w:tc>
          <w:tcPr>
            <w:tcW w:w="534" w:type="dxa"/>
            <w:tcBorders>
              <w:left w:val="single" w:sz="6" w:space="0" w:color="231F20"/>
              <w:right w:val="single" w:sz="6" w:space="0" w:color="231F20"/>
            </w:tcBorders>
          </w:tcPr>
          <w:p w14:paraId="31243CBC" w14:textId="77777777" w:rsidR="009948F1" w:rsidRDefault="009948F1">
            <w:pPr>
              <w:pStyle w:val="TableParagraph"/>
              <w:spacing w:before="1"/>
              <w:rPr>
                <w:sz w:val="18"/>
              </w:rPr>
            </w:pPr>
          </w:p>
          <w:p w14:paraId="563AD2BC" w14:textId="77777777" w:rsidR="009948F1" w:rsidRDefault="00BC0563">
            <w:pPr>
              <w:pStyle w:val="TableParagraph"/>
              <w:spacing w:before="1"/>
              <w:ind w:left="85"/>
              <w:rPr>
                <w:sz w:val="17"/>
              </w:rPr>
            </w:pPr>
            <w:r>
              <w:rPr>
                <w:color w:val="231F20"/>
                <w:w w:val="75"/>
                <w:sz w:val="17"/>
              </w:rPr>
              <w:t>8.5.6.a</w:t>
            </w:r>
          </w:p>
        </w:tc>
        <w:tc>
          <w:tcPr>
            <w:tcW w:w="4971" w:type="dxa"/>
            <w:gridSpan w:val="2"/>
            <w:tcBorders>
              <w:left w:val="single" w:sz="6" w:space="0" w:color="231F20"/>
              <w:right w:val="single" w:sz="6" w:space="0" w:color="231F20"/>
            </w:tcBorders>
          </w:tcPr>
          <w:p w14:paraId="29B3595B" w14:textId="77777777" w:rsidR="009948F1" w:rsidRDefault="00BC0563">
            <w:pPr>
              <w:pStyle w:val="TableParagraph"/>
              <w:spacing w:before="91" w:line="268" w:lineRule="auto"/>
              <w:ind w:left="25" w:right="3"/>
              <w:rPr>
                <w:sz w:val="17"/>
              </w:rPr>
            </w:pPr>
            <w:r>
              <w:rPr>
                <w:color w:val="231F20"/>
                <w:w w:val="70"/>
                <w:sz w:val="17"/>
              </w:rPr>
              <w:t xml:space="preserve">Develop surveillance and reporting systems for data collection, management and utilization </w:t>
            </w:r>
            <w:r>
              <w:rPr>
                <w:color w:val="231F20"/>
                <w:w w:val="80"/>
                <w:sz w:val="17"/>
              </w:rPr>
              <w:t>for chemical hazards and poisons, medical and Bio waste and climate change</w:t>
            </w:r>
          </w:p>
        </w:tc>
        <w:tc>
          <w:tcPr>
            <w:tcW w:w="1449" w:type="dxa"/>
            <w:tcBorders>
              <w:left w:val="single" w:sz="6" w:space="0" w:color="231F20"/>
              <w:right w:val="single" w:sz="6" w:space="0" w:color="231F20"/>
            </w:tcBorders>
          </w:tcPr>
          <w:p w14:paraId="6077B07A" w14:textId="77777777" w:rsidR="009948F1" w:rsidRDefault="009948F1">
            <w:pPr>
              <w:pStyle w:val="TableParagraph"/>
              <w:spacing w:before="1"/>
              <w:rPr>
                <w:sz w:val="18"/>
              </w:rPr>
            </w:pPr>
          </w:p>
          <w:p w14:paraId="6ABA2FE7" w14:textId="77777777" w:rsidR="009948F1" w:rsidRDefault="00BC0563">
            <w:pPr>
              <w:pStyle w:val="TableParagraph"/>
              <w:spacing w:before="1"/>
              <w:ind w:left="26"/>
              <w:rPr>
                <w:sz w:val="17"/>
              </w:rPr>
            </w:pPr>
            <w:r>
              <w:rPr>
                <w:color w:val="231F20"/>
                <w:w w:val="80"/>
                <w:sz w:val="17"/>
              </w:rPr>
              <w:t>Lack of funds</w:t>
            </w:r>
          </w:p>
        </w:tc>
        <w:tc>
          <w:tcPr>
            <w:tcW w:w="1528" w:type="dxa"/>
            <w:tcBorders>
              <w:left w:val="single" w:sz="6" w:space="0" w:color="231F20"/>
              <w:right w:val="single" w:sz="6" w:space="0" w:color="231F20"/>
            </w:tcBorders>
          </w:tcPr>
          <w:p w14:paraId="03CCAD3A" w14:textId="77777777" w:rsidR="009948F1" w:rsidRDefault="009948F1">
            <w:pPr>
              <w:pStyle w:val="TableParagraph"/>
              <w:spacing w:before="1"/>
              <w:rPr>
                <w:sz w:val="18"/>
              </w:rPr>
            </w:pPr>
          </w:p>
          <w:p w14:paraId="5E1E4AA8" w14:textId="77777777" w:rsidR="009948F1" w:rsidRDefault="00BC0563">
            <w:pPr>
              <w:pStyle w:val="TableParagraph"/>
              <w:spacing w:before="1"/>
              <w:ind w:left="27"/>
              <w:rPr>
                <w:sz w:val="17"/>
              </w:rPr>
            </w:pPr>
            <w:r>
              <w:rPr>
                <w:color w:val="231F20"/>
                <w:w w:val="80"/>
                <w:sz w:val="17"/>
              </w:rPr>
              <w:t>Costed in 8.5.4b</w:t>
            </w:r>
          </w:p>
        </w:tc>
      </w:tr>
      <w:tr w:rsidR="009948F1" w14:paraId="0360B31C" w14:textId="77777777">
        <w:trPr>
          <w:trHeight w:val="548"/>
        </w:trPr>
        <w:tc>
          <w:tcPr>
            <w:tcW w:w="878" w:type="dxa"/>
            <w:gridSpan w:val="2"/>
            <w:vMerge/>
            <w:tcBorders>
              <w:top w:val="nil"/>
              <w:right w:val="single" w:sz="6" w:space="0" w:color="231F20"/>
            </w:tcBorders>
          </w:tcPr>
          <w:p w14:paraId="18999EAA" w14:textId="77777777" w:rsidR="009948F1" w:rsidRDefault="009948F1">
            <w:pPr>
              <w:rPr>
                <w:sz w:val="2"/>
                <w:szCs w:val="2"/>
              </w:rPr>
            </w:pPr>
          </w:p>
        </w:tc>
        <w:tc>
          <w:tcPr>
            <w:tcW w:w="534" w:type="dxa"/>
            <w:tcBorders>
              <w:left w:val="single" w:sz="6" w:space="0" w:color="231F20"/>
              <w:right w:val="single" w:sz="6" w:space="0" w:color="231F20"/>
            </w:tcBorders>
          </w:tcPr>
          <w:p w14:paraId="5868A2D1" w14:textId="77777777" w:rsidR="009948F1" w:rsidRDefault="009948F1">
            <w:pPr>
              <w:pStyle w:val="TableParagraph"/>
              <w:spacing w:before="8"/>
              <w:rPr>
                <w:sz w:val="14"/>
              </w:rPr>
            </w:pPr>
          </w:p>
          <w:p w14:paraId="413B1B92" w14:textId="77777777" w:rsidR="009948F1" w:rsidRDefault="00BC0563">
            <w:pPr>
              <w:pStyle w:val="TableParagraph"/>
              <w:ind w:left="85"/>
              <w:rPr>
                <w:sz w:val="17"/>
              </w:rPr>
            </w:pPr>
            <w:r>
              <w:rPr>
                <w:color w:val="231F20"/>
                <w:w w:val="75"/>
                <w:sz w:val="17"/>
              </w:rPr>
              <w:t>8.5.6.b</w:t>
            </w:r>
          </w:p>
        </w:tc>
        <w:tc>
          <w:tcPr>
            <w:tcW w:w="4971" w:type="dxa"/>
            <w:gridSpan w:val="2"/>
            <w:tcBorders>
              <w:left w:val="single" w:sz="6" w:space="0" w:color="231F20"/>
              <w:right w:val="single" w:sz="6" w:space="0" w:color="231F20"/>
            </w:tcBorders>
          </w:tcPr>
          <w:p w14:paraId="139D7C3F" w14:textId="77777777" w:rsidR="009948F1" w:rsidRDefault="009948F1">
            <w:pPr>
              <w:pStyle w:val="TableParagraph"/>
              <w:spacing w:before="1"/>
              <w:rPr>
                <w:sz w:val="14"/>
              </w:rPr>
            </w:pPr>
          </w:p>
          <w:p w14:paraId="1BB425F3" w14:textId="77777777" w:rsidR="009948F1" w:rsidRDefault="00BC0563">
            <w:pPr>
              <w:pStyle w:val="TableParagraph"/>
              <w:ind w:left="25"/>
              <w:rPr>
                <w:sz w:val="17"/>
              </w:rPr>
            </w:pPr>
            <w:r>
              <w:rPr>
                <w:color w:val="231F20"/>
                <w:w w:val="80"/>
                <w:sz w:val="17"/>
              </w:rPr>
              <w:t>Conduct quarterly data quality assessments</w:t>
            </w:r>
          </w:p>
        </w:tc>
        <w:tc>
          <w:tcPr>
            <w:tcW w:w="1449" w:type="dxa"/>
            <w:tcBorders>
              <w:left w:val="single" w:sz="6" w:space="0" w:color="231F20"/>
              <w:right w:val="single" w:sz="6" w:space="0" w:color="231F20"/>
            </w:tcBorders>
          </w:tcPr>
          <w:p w14:paraId="6920A36E" w14:textId="77777777" w:rsidR="009948F1" w:rsidRDefault="009948F1">
            <w:pPr>
              <w:pStyle w:val="TableParagraph"/>
              <w:spacing w:before="8"/>
              <w:rPr>
                <w:sz w:val="14"/>
              </w:rPr>
            </w:pPr>
          </w:p>
          <w:p w14:paraId="242AB018" w14:textId="77777777" w:rsidR="009948F1" w:rsidRDefault="00BC0563">
            <w:pPr>
              <w:pStyle w:val="TableParagraph"/>
              <w:ind w:left="26"/>
              <w:rPr>
                <w:sz w:val="17"/>
              </w:rPr>
            </w:pPr>
            <w:r>
              <w:rPr>
                <w:color w:val="231F20"/>
                <w:w w:val="80"/>
                <w:sz w:val="17"/>
              </w:rPr>
              <w:t>Lack of funds</w:t>
            </w:r>
          </w:p>
        </w:tc>
        <w:tc>
          <w:tcPr>
            <w:tcW w:w="1528" w:type="dxa"/>
            <w:tcBorders>
              <w:left w:val="single" w:sz="6" w:space="0" w:color="231F20"/>
              <w:right w:val="single" w:sz="6" w:space="0" w:color="231F20"/>
            </w:tcBorders>
          </w:tcPr>
          <w:p w14:paraId="14B2493C" w14:textId="77777777" w:rsidR="009948F1" w:rsidRDefault="009948F1">
            <w:pPr>
              <w:pStyle w:val="TableParagraph"/>
              <w:spacing w:before="8"/>
              <w:rPr>
                <w:sz w:val="14"/>
              </w:rPr>
            </w:pPr>
          </w:p>
          <w:p w14:paraId="16B04556" w14:textId="77777777" w:rsidR="009948F1" w:rsidRDefault="00BC0563">
            <w:pPr>
              <w:pStyle w:val="TableParagraph"/>
              <w:ind w:left="27"/>
              <w:rPr>
                <w:sz w:val="17"/>
              </w:rPr>
            </w:pPr>
            <w:r>
              <w:rPr>
                <w:color w:val="231F20"/>
                <w:w w:val="80"/>
                <w:sz w:val="17"/>
              </w:rPr>
              <w:t>Conduct assessments</w:t>
            </w:r>
          </w:p>
        </w:tc>
      </w:tr>
      <w:tr w:rsidR="009948F1" w14:paraId="5F7300B1" w14:textId="77777777">
        <w:trPr>
          <w:trHeight w:val="425"/>
        </w:trPr>
        <w:tc>
          <w:tcPr>
            <w:tcW w:w="878" w:type="dxa"/>
            <w:gridSpan w:val="2"/>
            <w:vMerge/>
            <w:tcBorders>
              <w:top w:val="nil"/>
              <w:right w:val="single" w:sz="6" w:space="0" w:color="231F20"/>
            </w:tcBorders>
          </w:tcPr>
          <w:p w14:paraId="2FC3FBDC" w14:textId="77777777" w:rsidR="009948F1" w:rsidRDefault="009948F1">
            <w:pPr>
              <w:rPr>
                <w:sz w:val="2"/>
                <w:szCs w:val="2"/>
              </w:rPr>
            </w:pPr>
          </w:p>
        </w:tc>
        <w:tc>
          <w:tcPr>
            <w:tcW w:w="534" w:type="dxa"/>
            <w:tcBorders>
              <w:left w:val="single" w:sz="6" w:space="0" w:color="231F20"/>
              <w:right w:val="single" w:sz="6" w:space="0" w:color="231F20"/>
            </w:tcBorders>
          </w:tcPr>
          <w:p w14:paraId="0CA1F3BA" w14:textId="77777777" w:rsidR="009948F1" w:rsidRDefault="00BC0563">
            <w:pPr>
              <w:pStyle w:val="TableParagraph"/>
              <w:spacing w:before="109"/>
              <w:ind w:left="89"/>
              <w:rPr>
                <w:sz w:val="17"/>
              </w:rPr>
            </w:pPr>
            <w:r>
              <w:rPr>
                <w:color w:val="231F20"/>
                <w:w w:val="75"/>
                <w:sz w:val="17"/>
              </w:rPr>
              <w:t>8.5.6.c</w:t>
            </w:r>
          </w:p>
        </w:tc>
        <w:tc>
          <w:tcPr>
            <w:tcW w:w="4971" w:type="dxa"/>
            <w:gridSpan w:val="2"/>
            <w:tcBorders>
              <w:left w:val="single" w:sz="6" w:space="0" w:color="231F20"/>
              <w:right w:val="single" w:sz="6" w:space="0" w:color="231F20"/>
            </w:tcBorders>
          </w:tcPr>
          <w:p w14:paraId="3C0FE104" w14:textId="77777777" w:rsidR="009948F1" w:rsidRDefault="00BC0563">
            <w:pPr>
              <w:pStyle w:val="TableParagraph"/>
              <w:spacing w:before="102"/>
              <w:ind w:left="59"/>
              <w:rPr>
                <w:sz w:val="17"/>
              </w:rPr>
            </w:pPr>
            <w:r>
              <w:rPr>
                <w:color w:val="231F20"/>
                <w:w w:val="80"/>
                <w:sz w:val="17"/>
              </w:rPr>
              <w:t>Review of activities of climate change desk officer yearly</w:t>
            </w:r>
          </w:p>
        </w:tc>
        <w:tc>
          <w:tcPr>
            <w:tcW w:w="1449" w:type="dxa"/>
            <w:tcBorders>
              <w:left w:val="single" w:sz="6" w:space="0" w:color="231F20"/>
              <w:right w:val="single" w:sz="6" w:space="0" w:color="231F20"/>
            </w:tcBorders>
          </w:tcPr>
          <w:p w14:paraId="48382401" w14:textId="77777777" w:rsidR="009948F1" w:rsidRDefault="00BC0563">
            <w:pPr>
              <w:pStyle w:val="TableParagraph"/>
              <w:spacing w:before="109"/>
              <w:ind w:left="26"/>
              <w:rPr>
                <w:sz w:val="17"/>
              </w:rPr>
            </w:pPr>
            <w:r>
              <w:rPr>
                <w:color w:val="231F20"/>
                <w:w w:val="80"/>
                <w:sz w:val="17"/>
              </w:rPr>
              <w:t>Lack of funds</w:t>
            </w:r>
          </w:p>
        </w:tc>
        <w:tc>
          <w:tcPr>
            <w:tcW w:w="1528" w:type="dxa"/>
            <w:tcBorders>
              <w:left w:val="single" w:sz="6" w:space="0" w:color="231F20"/>
              <w:right w:val="single" w:sz="6" w:space="0" w:color="231F20"/>
            </w:tcBorders>
          </w:tcPr>
          <w:p w14:paraId="2CCA1421" w14:textId="77777777" w:rsidR="009948F1" w:rsidRDefault="00BC0563">
            <w:pPr>
              <w:pStyle w:val="TableParagraph"/>
              <w:spacing w:before="109"/>
              <w:ind w:left="27"/>
              <w:rPr>
                <w:sz w:val="17"/>
              </w:rPr>
            </w:pPr>
            <w:r>
              <w:rPr>
                <w:color w:val="231F20"/>
                <w:w w:val="80"/>
                <w:sz w:val="17"/>
              </w:rPr>
              <w:t>Costed in 8.5.5b</w:t>
            </w:r>
          </w:p>
        </w:tc>
      </w:tr>
      <w:tr w:rsidR="009948F1" w14:paraId="05B3149F" w14:textId="77777777">
        <w:trPr>
          <w:trHeight w:val="553"/>
        </w:trPr>
        <w:tc>
          <w:tcPr>
            <w:tcW w:w="416" w:type="dxa"/>
            <w:tcBorders>
              <w:right w:val="single" w:sz="6" w:space="0" w:color="231F20"/>
            </w:tcBorders>
            <w:shd w:val="clear" w:color="auto" w:fill="FFF200"/>
          </w:tcPr>
          <w:p w14:paraId="59EE63CF" w14:textId="77777777" w:rsidR="009948F1" w:rsidRDefault="009948F1">
            <w:pPr>
              <w:pStyle w:val="TableParagraph"/>
              <w:spacing w:before="2"/>
              <w:rPr>
                <w:sz w:val="15"/>
              </w:rPr>
            </w:pPr>
          </w:p>
          <w:p w14:paraId="2977F06A" w14:textId="77777777" w:rsidR="009948F1" w:rsidRDefault="00BC0563">
            <w:pPr>
              <w:pStyle w:val="TableParagraph"/>
              <w:ind w:left="194"/>
              <w:rPr>
                <w:b/>
                <w:sz w:val="17"/>
              </w:rPr>
            </w:pPr>
            <w:r>
              <w:rPr>
                <w:b/>
                <w:color w:val="231F20"/>
                <w:w w:val="80"/>
                <w:sz w:val="17"/>
              </w:rPr>
              <w:t>8.6</w:t>
            </w:r>
          </w:p>
        </w:tc>
        <w:tc>
          <w:tcPr>
            <w:tcW w:w="5967" w:type="dxa"/>
            <w:gridSpan w:val="4"/>
            <w:tcBorders>
              <w:left w:val="single" w:sz="6" w:space="0" w:color="231F20"/>
            </w:tcBorders>
            <w:shd w:val="clear" w:color="auto" w:fill="FFF200"/>
          </w:tcPr>
          <w:p w14:paraId="794EE1C7" w14:textId="77777777" w:rsidR="009948F1" w:rsidRDefault="009948F1">
            <w:pPr>
              <w:pStyle w:val="TableParagraph"/>
              <w:spacing w:before="7"/>
              <w:rPr>
                <w:sz w:val="14"/>
              </w:rPr>
            </w:pPr>
          </w:p>
          <w:p w14:paraId="6238963D" w14:textId="77777777" w:rsidR="009948F1" w:rsidRDefault="00BC0563">
            <w:pPr>
              <w:pStyle w:val="TableParagraph"/>
              <w:ind w:left="58"/>
              <w:rPr>
                <w:b/>
                <w:sz w:val="17"/>
              </w:rPr>
            </w:pPr>
            <w:r>
              <w:rPr>
                <w:b/>
                <w:color w:val="231F20"/>
                <w:w w:val="80"/>
                <w:sz w:val="17"/>
              </w:rPr>
              <w:t>Promote optimal health and safety of workers in their work environment</w:t>
            </w:r>
          </w:p>
        </w:tc>
        <w:tc>
          <w:tcPr>
            <w:tcW w:w="2977" w:type="dxa"/>
            <w:gridSpan w:val="2"/>
            <w:tcBorders>
              <w:right w:val="single" w:sz="6" w:space="0" w:color="231F20"/>
            </w:tcBorders>
            <w:shd w:val="clear" w:color="auto" w:fill="FFF200"/>
          </w:tcPr>
          <w:p w14:paraId="2FE8813F" w14:textId="77777777" w:rsidR="009948F1" w:rsidRDefault="009948F1">
            <w:pPr>
              <w:pStyle w:val="TableParagraph"/>
              <w:rPr>
                <w:rFonts w:ascii="Times New Roman"/>
                <w:sz w:val="12"/>
              </w:rPr>
            </w:pPr>
          </w:p>
        </w:tc>
      </w:tr>
      <w:tr w:rsidR="009948F1" w14:paraId="40AC8B79" w14:textId="77777777">
        <w:trPr>
          <w:trHeight w:val="1815"/>
        </w:trPr>
        <w:tc>
          <w:tcPr>
            <w:tcW w:w="416" w:type="dxa"/>
            <w:tcBorders>
              <w:bottom w:val="nil"/>
              <w:right w:val="single" w:sz="6" w:space="0" w:color="231F20"/>
            </w:tcBorders>
          </w:tcPr>
          <w:p w14:paraId="422ADD38" w14:textId="77777777" w:rsidR="009948F1" w:rsidRDefault="009948F1">
            <w:pPr>
              <w:pStyle w:val="TableParagraph"/>
              <w:rPr>
                <w:rFonts w:ascii="Times New Roman"/>
                <w:sz w:val="12"/>
              </w:rPr>
            </w:pPr>
          </w:p>
        </w:tc>
        <w:tc>
          <w:tcPr>
            <w:tcW w:w="462" w:type="dxa"/>
            <w:tcBorders>
              <w:left w:val="single" w:sz="6" w:space="0" w:color="231F20"/>
              <w:right w:val="single" w:sz="6" w:space="0" w:color="231F20"/>
            </w:tcBorders>
            <w:shd w:val="clear" w:color="auto" w:fill="CCE7D3"/>
          </w:tcPr>
          <w:p w14:paraId="017595CC" w14:textId="77777777" w:rsidR="009948F1" w:rsidRDefault="009948F1">
            <w:pPr>
              <w:pStyle w:val="TableParagraph"/>
              <w:rPr>
                <w:sz w:val="18"/>
              </w:rPr>
            </w:pPr>
          </w:p>
          <w:p w14:paraId="17006E88" w14:textId="77777777" w:rsidR="009948F1" w:rsidRDefault="009948F1">
            <w:pPr>
              <w:pStyle w:val="TableParagraph"/>
              <w:rPr>
                <w:sz w:val="18"/>
              </w:rPr>
            </w:pPr>
          </w:p>
          <w:p w14:paraId="069D0C76" w14:textId="77777777" w:rsidR="009948F1" w:rsidRDefault="009948F1">
            <w:pPr>
              <w:pStyle w:val="TableParagraph"/>
              <w:rPr>
                <w:sz w:val="18"/>
              </w:rPr>
            </w:pPr>
          </w:p>
          <w:p w14:paraId="51F3BA8F" w14:textId="77777777" w:rsidR="009948F1" w:rsidRDefault="009948F1">
            <w:pPr>
              <w:pStyle w:val="TableParagraph"/>
              <w:spacing w:before="10"/>
              <w:rPr>
                <w:sz w:val="15"/>
              </w:rPr>
            </w:pPr>
          </w:p>
          <w:p w14:paraId="0E48DE2D" w14:textId="77777777" w:rsidR="009948F1" w:rsidRDefault="00BC0563">
            <w:pPr>
              <w:pStyle w:val="TableParagraph"/>
              <w:ind w:left="58"/>
              <w:rPr>
                <w:sz w:val="17"/>
              </w:rPr>
            </w:pPr>
            <w:r>
              <w:rPr>
                <w:color w:val="231F20"/>
                <w:w w:val="80"/>
                <w:sz w:val="17"/>
              </w:rPr>
              <w:t>8.6.6</w:t>
            </w:r>
          </w:p>
        </w:tc>
        <w:tc>
          <w:tcPr>
            <w:tcW w:w="3084" w:type="dxa"/>
            <w:gridSpan w:val="2"/>
            <w:tcBorders>
              <w:left w:val="single" w:sz="6" w:space="0" w:color="231F20"/>
              <w:right w:val="single" w:sz="6" w:space="0" w:color="231F20"/>
            </w:tcBorders>
            <w:shd w:val="clear" w:color="auto" w:fill="CCE7D3"/>
          </w:tcPr>
          <w:p w14:paraId="1C801474" w14:textId="77777777" w:rsidR="009948F1" w:rsidRDefault="009948F1">
            <w:pPr>
              <w:pStyle w:val="TableParagraph"/>
              <w:rPr>
                <w:sz w:val="18"/>
              </w:rPr>
            </w:pPr>
          </w:p>
          <w:p w14:paraId="789D7124" w14:textId="77777777" w:rsidR="009948F1" w:rsidRDefault="009948F1">
            <w:pPr>
              <w:pStyle w:val="TableParagraph"/>
              <w:rPr>
                <w:sz w:val="18"/>
              </w:rPr>
            </w:pPr>
          </w:p>
          <w:p w14:paraId="4B0A6B76" w14:textId="77777777" w:rsidR="009948F1" w:rsidRDefault="009948F1">
            <w:pPr>
              <w:pStyle w:val="TableParagraph"/>
              <w:rPr>
                <w:sz w:val="18"/>
              </w:rPr>
            </w:pPr>
          </w:p>
          <w:p w14:paraId="69C97198" w14:textId="77777777" w:rsidR="009948F1" w:rsidRDefault="009948F1">
            <w:pPr>
              <w:pStyle w:val="TableParagraph"/>
              <w:spacing w:before="3"/>
              <w:rPr>
                <w:sz w:val="15"/>
              </w:rPr>
            </w:pPr>
          </w:p>
          <w:p w14:paraId="7017CB5A" w14:textId="77777777" w:rsidR="009948F1" w:rsidRDefault="00BC0563">
            <w:pPr>
              <w:pStyle w:val="TableParagraph"/>
              <w:ind w:left="58"/>
              <w:rPr>
                <w:sz w:val="17"/>
              </w:rPr>
            </w:pPr>
            <w:r>
              <w:rPr>
                <w:color w:val="231F20"/>
                <w:w w:val="80"/>
                <w:sz w:val="17"/>
              </w:rPr>
              <w:t>Promote health and safety in the workplace</w:t>
            </w:r>
          </w:p>
        </w:tc>
        <w:tc>
          <w:tcPr>
            <w:tcW w:w="2421" w:type="dxa"/>
            <w:tcBorders>
              <w:left w:val="single" w:sz="6" w:space="0" w:color="231F20"/>
              <w:right w:val="single" w:sz="6" w:space="0" w:color="231F20"/>
            </w:tcBorders>
            <w:shd w:val="clear" w:color="auto" w:fill="CCE7D3"/>
          </w:tcPr>
          <w:p w14:paraId="5BE1348E" w14:textId="77777777" w:rsidR="009948F1" w:rsidRDefault="00BC0563">
            <w:pPr>
              <w:pStyle w:val="TableParagraph"/>
              <w:numPr>
                <w:ilvl w:val="0"/>
                <w:numId w:val="71"/>
              </w:numPr>
              <w:tabs>
                <w:tab w:val="left" w:pos="102"/>
              </w:tabs>
              <w:spacing w:before="40" w:line="268" w:lineRule="auto"/>
              <w:ind w:right="36" w:firstLine="0"/>
              <w:rPr>
                <w:sz w:val="17"/>
              </w:rPr>
            </w:pPr>
            <w:r>
              <w:rPr>
                <w:color w:val="231F20"/>
                <w:w w:val="70"/>
                <w:sz w:val="17"/>
              </w:rPr>
              <w:t xml:space="preserve">Occupational health unit established in the </w:t>
            </w:r>
            <w:r>
              <w:rPr>
                <w:color w:val="231F20"/>
                <w:w w:val="80"/>
                <w:sz w:val="17"/>
              </w:rPr>
              <w:t>SMOH</w:t>
            </w:r>
          </w:p>
          <w:p w14:paraId="69AA04F9" w14:textId="77777777" w:rsidR="009948F1" w:rsidRDefault="00BC0563">
            <w:pPr>
              <w:pStyle w:val="TableParagraph"/>
              <w:numPr>
                <w:ilvl w:val="0"/>
                <w:numId w:val="71"/>
              </w:numPr>
              <w:tabs>
                <w:tab w:val="left" w:pos="102"/>
              </w:tabs>
              <w:spacing w:line="268" w:lineRule="auto"/>
              <w:ind w:right="119" w:firstLine="0"/>
              <w:rPr>
                <w:sz w:val="17"/>
              </w:rPr>
            </w:pPr>
            <w:r>
              <w:rPr>
                <w:color w:val="231F20"/>
                <w:w w:val="75"/>
                <w:sz w:val="17"/>
              </w:rPr>
              <w:t>Sensitization</w:t>
            </w:r>
            <w:r>
              <w:rPr>
                <w:color w:val="231F20"/>
                <w:spacing w:val="-16"/>
                <w:w w:val="75"/>
                <w:sz w:val="17"/>
              </w:rPr>
              <w:t xml:space="preserve"> </w:t>
            </w:r>
            <w:r>
              <w:rPr>
                <w:color w:val="231F20"/>
                <w:w w:val="75"/>
                <w:sz w:val="17"/>
              </w:rPr>
              <w:t>of</w:t>
            </w:r>
            <w:r>
              <w:rPr>
                <w:color w:val="231F20"/>
                <w:spacing w:val="-16"/>
                <w:w w:val="75"/>
                <w:sz w:val="17"/>
              </w:rPr>
              <w:t xml:space="preserve"> </w:t>
            </w:r>
            <w:r>
              <w:rPr>
                <w:color w:val="231F20"/>
                <w:w w:val="75"/>
                <w:sz w:val="17"/>
              </w:rPr>
              <w:t>workforce</w:t>
            </w:r>
            <w:r>
              <w:rPr>
                <w:color w:val="231F20"/>
                <w:spacing w:val="-15"/>
                <w:w w:val="75"/>
                <w:sz w:val="17"/>
              </w:rPr>
              <w:t xml:space="preserve"> </w:t>
            </w:r>
            <w:r>
              <w:rPr>
                <w:color w:val="231F20"/>
                <w:w w:val="75"/>
                <w:sz w:val="17"/>
              </w:rPr>
              <w:t>on</w:t>
            </w:r>
            <w:r>
              <w:rPr>
                <w:color w:val="231F20"/>
                <w:spacing w:val="-16"/>
                <w:w w:val="75"/>
                <w:sz w:val="17"/>
              </w:rPr>
              <w:t xml:space="preserve"> </w:t>
            </w:r>
            <w:r>
              <w:rPr>
                <w:color w:val="231F20"/>
                <w:w w:val="75"/>
                <w:sz w:val="17"/>
              </w:rPr>
              <w:t>the</w:t>
            </w:r>
            <w:r>
              <w:rPr>
                <w:color w:val="231F20"/>
                <w:spacing w:val="-15"/>
                <w:w w:val="75"/>
                <w:sz w:val="17"/>
              </w:rPr>
              <w:t xml:space="preserve"> </w:t>
            </w:r>
            <w:r>
              <w:rPr>
                <w:color w:val="231F20"/>
                <w:w w:val="75"/>
                <w:sz w:val="17"/>
              </w:rPr>
              <w:t>use</w:t>
            </w:r>
            <w:r>
              <w:rPr>
                <w:color w:val="231F20"/>
                <w:spacing w:val="-16"/>
                <w:w w:val="75"/>
                <w:sz w:val="17"/>
              </w:rPr>
              <w:t xml:space="preserve"> </w:t>
            </w:r>
            <w:r>
              <w:rPr>
                <w:color w:val="231F20"/>
                <w:w w:val="75"/>
                <w:sz w:val="17"/>
              </w:rPr>
              <w:t>of safety</w:t>
            </w:r>
            <w:r>
              <w:rPr>
                <w:color w:val="231F20"/>
                <w:spacing w:val="-22"/>
                <w:w w:val="75"/>
                <w:sz w:val="17"/>
              </w:rPr>
              <w:t xml:space="preserve"> </w:t>
            </w:r>
            <w:r>
              <w:rPr>
                <w:color w:val="231F20"/>
                <w:w w:val="75"/>
                <w:sz w:val="17"/>
              </w:rPr>
              <w:t>protective</w:t>
            </w:r>
            <w:r>
              <w:rPr>
                <w:color w:val="231F20"/>
                <w:spacing w:val="-22"/>
                <w:w w:val="75"/>
                <w:sz w:val="17"/>
              </w:rPr>
              <w:t xml:space="preserve"> </w:t>
            </w:r>
            <w:r>
              <w:rPr>
                <w:color w:val="231F20"/>
                <w:w w:val="75"/>
                <w:sz w:val="17"/>
              </w:rPr>
              <w:t>devices</w:t>
            </w:r>
            <w:r>
              <w:rPr>
                <w:color w:val="231F20"/>
                <w:spacing w:val="-22"/>
                <w:w w:val="75"/>
                <w:sz w:val="17"/>
              </w:rPr>
              <w:t xml:space="preserve"> </w:t>
            </w:r>
            <w:r>
              <w:rPr>
                <w:color w:val="231F20"/>
                <w:w w:val="75"/>
                <w:sz w:val="17"/>
              </w:rPr>
              <w:t>in</w:t>
            </w:r>
            <w:r>
              <w:rPr>
                <w:color w:val="231F20"/>
                <w:spacing w:val="-22"/>
                <w:w w:val="75"/>
                <w:sz w:val="17"/>
              </w:rPr>
              <w:t xml:space="preserve"> </w:t>
            </w:r>
            <w:r>
              <w:rPr>
                <w:color w:val="231F20"/>
                <w:w w:val="75"/>
                <w:sz w:val="17"/>
              </w:rPr>
              <w:t>the</w:t>
            </w:r>
            <w:r>
              <w:rPr>
                <w:color w:val="231F20"/>
                <w:spacing w:val="-22"/>
                <w:w w:val="75"/>
                <w:sz w:val="17"/>
              </w:rPr>
              <w:t xml:space="preserve"> </w:t>
            </w:r>
            <w:r>
              <w:rPr>
                <w:color w:val="231F20"/>
                <w:w w:val="75"/>
                <w:sz w:val="17"/>
              </w:rPr>
              <w:t>work</w:t>
            </w:r>
            <w:r>
              <w:rPr>
                <w:color w:val="231F20"/>
                <w:spacing w:val="-22"/>
                <w:w w:val="75"/>
                <w:sz w:val="17"/>
              </w:rPr>
              <w:t xml:space="preserve"> </w:t>
            </w:r>
            <w:r>
              <w:rPr>
                <w:color w:val="231F20"/>
                <w:w w:val="75"/>
                <w:sz w:val="17"/>
              </w:rPr>
              <w:t xml:space="preserve">place </w:t>
            </w:r>
            <w:r>
              <w:rPr>
                <w:color w:val="231F20"/>
                <w:w w:val="80"/>
                <w:sz w:val="17"/>
              </w:rPr>
              <w:t>done</w:t>
            </w:r>
          </w:p>
          <w:p w14:paraId="3A8DB90C" w14:textId="5E947E05" w:rsidR="009948F1" w:rsidRDefault="00661EED">
            <w:pPr>
              <w:pStyle w:val="TableParagraph"/>
              <w:numPr>
                <w:ilvl w:val="0"/>
                <w:numId w:val="71"/>
              </w:numPr>
              <w:tabs>
                <w:tab w:val="left" w:pos="96"/>
              </w:tabs>
              <w:spacing w:line="268" w:lineRule="auto"/>
              <w:ind w:right="65" w:firstLine="0"/>
              <w:rPr>
                <w:sz w:val="17"/>
              </w:rPr>
            </w:pPr>
            <w:r>
              <w:rPr>
                <w:color w:val="231F20"/>
                <w:w w:val="75"/>
                <w:sz w:val="17"/>
              </w:rPr>
              <w:t>Awareness</w:t>
            </w:r>
            <w:r w:rsidR="00BC0563">
              <w:rPr>
                <w:color w:val="231F20"/>
                <w:spacing w:val="-21"/>
                <w:w w:val="75"/>
                <w:sz w:val="17"/>
              </w:rPr>
              <w:t xml:space="preserve"> </w:t>
            </w:r>
            <w:r w:rsidR="00BC0563">
              <w:rPr>
                <w:color w:val="231F20"/>
                <w:w w:val="75"/>
                <w:sz w:val="17"/>
              </w:rPr>
              <w:t>on</w:t>
            </w:r>
            <w:r w:rsidR="00BC0563">
              <w:rPr>
                <w:color w:val="231F20"/>
                <w:spacing w:val="-21"/>
                <w:w w:val="75"/>
                <w:sz w:val="17"/>
              </w:rPr>
              <w:t xml:space="preserve"> </w:t>
            </w:r>
            <w:r w:rsidR="00BC0563">
              <w:rPr>
                <w:color w:val="231F20"/>
                <w:w w:val="75"/>
                <w:sz w:val="17"/>
              </w:rPr>
              <w:t>any</w:t>
            </w:r>
            <w:r w:rsidR="00BC0563">
              <w:rPr>
                <w:color w:val="231F20"/>
                <w:spacing w:val="-21"/>
                <w:w w:val="75"/>
                <w:sz w:val="17"/>
              </w:rPr>
              <w:t xml:space="preserve"> </w:t>
            </w:r>
            <w:r w:rsidR="00BC0563">
              <w:rPr>
                <w:color w:val="231F20"/>
                <w:w w:val="75"/>
                <w:sz w:val="17"/>
              </w:rPr>
              <w:t>existing</w:t>
            </w:r>
            <w:r w:rsidR="00BC0563">
              <w:rPr>
                <w:color w:val="231F20"/>
                <w:spacing w:val="-21"/>
                <w:w w:val="75"/>
                <w:sz w:val="17"/>
              </w:rPr>
              <w:t xml:space="preserve"> </w:t>
            </w:r>
            <w:r w:rsidR="00BC0563">
              <w:rPr>
                <w:color w:val="231F20"/>
                <w:w w:val="75"/>
                <w:sz w:val="17"/>
              </w:rPr>
              <w:t>&amp;</w:t>
            </w:r>
            <w:r w:rsidR="00BC0563">
              <w:rPr>
                <w:color w:val="231F20"/>
                <w:spacing w:val="-20"/>
                <w:w w:val="75"/>
                <w:sz w:val="17"/>
              </w:rPr>
              <w:t xml:space="preserve"> </w:t>
            </w:r>
            <w:r w:rsidR="00BC0563">
              <w:rPr>
                <w:color w:val="231F20"/>
                <w:w w:val="75"/>
                <w:sz w:val="17"/>
              </w:rPr>
              <w:t>emerging</w:t>
            </w:r>
            <w:r w:rsidR="00BC0563">
              <w:rPr>
                <w:color w:val="231F20"/>
                <w:spacing w:val="-21"/>
                <w:w w:val="75"/>
                <w:sz w:val="17"/>
              </w:rPr>
              <w:t xml:space="preserve"> </w:t>
            </w:r>
            <w:r w:rsidR="00BC0563">
              <w:rPr>
                <w:color w:val="231F20"/>
                <w:spacing w:val="-3"/>
                <w:w w:val="75"/>
                <w:sz w:val="17"/>
              </w:rPr>
              <w:t xml:space="preserve">risk </w:t>
            </w:r>
            <w:r w:rsidR="00BC0563">
              <w:rPr>
                <w:color w:val="231F20"/>
                <w:w w:val="80"/>
                <w:sz w:val="17"/>
              </w:rPr>
              <w:t>using</w:t>
            </w:r>
            <w:r w:rsidR="00BC0563">
              <w:rPr>
                <w:color w:val="231F20"/>
                <w:spacing w:val="-25"/>
                <w:w w:val="80"/>
                <w:sz w:val="17"/>
              </w:rPr>
              <w:t xml:space="preserve"> </w:t>
            </w:r>
            <w:r w:rsidR="00BC0563">
              <w:rPr>
                <w:color w:val="231F20"/>
                <w:w w:val="80"/>
                <w:sz w:val="17"/>
              </w:rPr>
              <w:t>print,</w:t>
            </w:r>
            <w:r w:rsidR="00BC0563">
              <w:rPr>
                <w:color w:val="231F20"/>
                <w:spacing w:val="-25"/>
                <w:w w:val="80"/>
                <w:sz w:val="17"/>
              </w:rPr>
              <w:t xml:space="preserve"> </w:t>
            </w:r>
            <w:r w:rsidR="00BC0563">
              <w:rPr>
                <w:color w:val="231F20"/>
                <w:w w:val="80"/>
                <w:sz w:val="17"/>
              </w:rPr>
              <w:t>electronic</w:t>
            </w:r>
            <w:r w:rsidR="00BC0563">
              <w:rPr>
                <w:color w:val="231F20"/>
                <w:spacing w:val="-25"/>
                <w:w w:val="80"/>
                <w:sz w:val="17"/>
              </w:rPr>
              <w:t xml:space="preserve"> </w:t>
            </w:r>
            <w:r w:rsidR="00BC0563">
              <w:rPr>
                <w:color w:val="231F20"/>
                <w:w w:val="80"/>
                <w:sz w:val="17"/>
              </w:rPr>
              <w:t>and</w:t>
            </w:r>
            <w:r w:rsidR="00BC0563">
              <w:rPr>
                <w:color w:val="231F20"/>
                <w:spacing w:val="-24"/>
                <w:w w:val="80"/>
                <w:sz w:val="17"/>
              </w:rPr>
              <w:t xml:space="preserve"> </w:t>
            </w:r>
            <w:r w:rsidR="00BC0563">
              <w:rPr>
                <w:color w:val="231F20"/>
                <w:w w:val="80"/>
                <w:sz w:val="17"/>
              </w:rPr>
              <w:t>social</w:t>
            </w:r>
            <w:r w:rsidR="00BC0563">
              <w:rPr>
                <w:color w:val="231F20"/>
                <w:spacing w:val="-25"/>
                <w:w w:val="80"/>
                <w:sz w:val="17"/>
              </w:rPr>
              <w:t xml:space="preserve"> </w:t>
            </w:r>
            <w:r w:rsidR="00BC0563">
              <w:rPr>
                <w:color w:val="231F20"/>
                <w:w w:val="80"/>
                <w:sz w:val="17"/>
              </w:rPr>
              <w:t>media platforms</w:t>
            </w:r>
            <w:r w:rsidR="00BC0563">
              <w:rPr>
                <w:color w:val="231F20"/>
                <w:spacing w:val="-8"/>
                <w:w w:val="80"/>
                <w:sz w:val="17"/>
              </w:rPr>
              <w:t xml:space="preserve"> </w:t>
            </w:r>
            <w:r w:rsidR="00BC0563">
              <w:rPr>
                <w:color w:val="231F20"/>
                <w:w w:val="80"/>
                <w:sz w:val="17"/>
              </w:rPr>
              <w:t>created</w:t>
            </w:r>
          </w:p>
        </w:tc>
        <w:tc>
          <w:tcPr>
            <w:tcW w:w="1449" w:type="dxa"/>
            <w:tcBorders>
              <w:left w:val="single" w:sz="6" w:space="0" w:color="231F20"/>
              <w:right w:val="single" w:sz="6" w:space="0" w:color="231F20"/>
            </w:tcBorders>
            <w:shd w:val="clear" w:color="auto" w:fill="CCE7D3"/>
          </w:tcPr>
          <w:p w14:paraId="6A00CD1C"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3BC99D83" w14:textId="77777777" w:rsidR="009948F1" w:rsidRDefault="009948F1">
            <w:pPr>
              <w:pStyle w:val="TableParagraph"/>
              <w:rPr>
                <w:rFonts w:ascii="Times New Roman"/>
                <w:sz w:val="12"/>
              </w:rPr>
            </w:pPr>
          </w:p>
        </w:tc>
      </w:tr>
      <w:tr w:rsidR="009948F1" w14:paraId="5BFE52C7" w14:textId="77777777">
        <w:trPr>
          <w:trHeight w:val="667"/>
        </w:trPr>
        <w:tc>
          <w:tcPr>
            <w:tcW w:w="878" w:type="dxa"/>
            <w:gridSpan w:val="2"/>
            <w:vMerge w:val="restart"/>
            <w:tcBorders>
              <w:top w:val="nil"/>
              <w:bottom w:val="nil"/>
              <w:right w:val="single" w:sz="6" w:space="0" w:color="231F20"/>
            </w:tcBorders>
          </w:tcPr>
          <w:p w14:paraId="366F757A" w14:textId="77777777" w:rsidR="009948F1" w:rsidRDefault="009948F1">
            <w:pPr>
              <w:pStyle w:val="TableParagraph"/>
              <w:rPr>
                <w:rFonts w:ascii="Times New Roman"/>
                <w:sz w:val="12"/>
              </w:rPr>
            </w:pPr>
          </w:p>
        </w:tc>
        <w:tc>
          <w:tcPr>
            <w:tcW w:w="534" w:type="dxa"/>
            <w:tcBorders>
              <w:left w:val="single" w:sz="6" w:space="0" w:color="231F20"/>
              <w:right w:val="single" w:sz="6" w:space="0" w:color="231F20"/>
            </w:tcBorders>
          </w:tcPr>
          <w:p w14:paraId="6CFA9EF6" w14:textId="77777777" w:rsidR="009948F1" w:rsidRDefault="009948F1">
            <w:pPr>
              <w:pStyle w:val="TableParagraph"/>
              <w:rPr>
                <w:sz w:val="20"/>
              </w:rPr>
            </w:pPr>
          </w:p>
          <w:p w14:paraId="65B134CF" w14:textId="77777777" w:rsidR="009948F1" w:rsidRDefault="00BC0563">
            <w:pPr>
              <w:pStyle w:val="TableParagraph"/>
              <w:ind w:left="85"/>
              <w:rPr>
                <w:sz w:val="17"/>
              </w:rPr>
            </w:pPr>
            <w:r>
              <w:rPr>
                <w:color w:val="231F20"/>
                <w:w w:val="75"/>
                <w:sz w:val="17"/>
              </w:rPr>
              <w:t>8.6.6.a</w:t>
            </w:r>
          </w:p>
        </w:tc>
        <w:tc>
          <w:tcPr>
            <w:tcW w:w="4971" w:type="dxa"/>
            <w:gridSpan w:val="2"/>
            <w:tcBorders>
              <w:left w:val="single" w:sz="6" w:space="0" w:color="231F20"/>
              <w:right w:val="single" w:sz="6" w:space="0" w:color="231F20"/>
            </w:tcBorders>
          </w:tcPr>
          <w:p w14:paraId="5A43C356" w14:textId="77777777" w:rsidR="009948F1" w:rsidRDefault="009948F1">
            <w:pPr>
              <w:pStyle w:val="TableParagraph"/>
              <w:spacing w:before="4"/>
              <w:rPr>
                <w:sz w:val="19"/>
              </w:rPr>
            </w:pPr>
          </w:p>
          <w:p w14:paraId="74A9A7C9" w14:textId="77777777" w:rsidR="009948F1" w:rsidRDefault="00BC0563">
            <w:pPr>
              <w:pStyle w:val="TableParagraph"/>
              <w:ind w:left="25"/>
              <w:rPr>
                <w:sz w:val="17"/>
              </w:rPr>
            </w:pPr>
            <w:r>
              <w:rPr>
                <w:color w:val="231F20"/>
                <w:w w:val="80"/>
                <w:sz w:val="17"/>
              </w:rPr>
              <w:t>Establishing occupational health unit in the SMOH</w:t>
            </w:r>
          </w:p>
        </w:tc>
        <w:tc>
          <w:tcPr>
            <w:tcW w:w="1449" w:type="dxa"/>
            <w:tcBorders>
              <w:left w:val="single" w:sz="6" w:space="0" w:color="231F20"/>
              <w:right w:val="single" w:sz="6" w:space="0" w:color="231F20"/>
            </w:tcBorders>
          </w:tcPr>
          <w:p w14:paraId="2B96B94A" w14:textId="77777777" w:rsidR="009948F1" w:rsidRDefault="009948F1">
            <w:pPr>
              <w:pStyle w:val="TableParagraph"/>
              <w:rPr>
                <w:sz w:val="20"/>
              </w:rPr>
            </w:pPr>
          </w:p>
          <w:p w14:paraId="504F1BAE" w14:textId="77777777" w:rsidR="009948F1" w:rsidRDefault="00BC0563">
            <w:pPr>
              <w:pStyle w:val="TableParagraph"/>
              <w:ind w:left="26"/>
              <w:rPr>
                <w:sz w:val="17"/>
              </w:rPr>
            </w:pPr>
            <w:r>
              <w:rPr>
                <w:color w:val="231F20"/>
                <w:w w:val="80"/>
                <w:sz w:val="17"/>
              </w:rPr>
              <w:t>Lack of funds</w:t>
            </w:r>
          </w:p>
        </w:tc>
        <w:tc>
          <w:tcPr>
            <w:tcW w:w="1528" w:type="dxa"/>
            <w:tcBorders>
              <w:left w:val="single" w:sz="6" w:space="0" w:color="231F20"/>
              <w:right w:val="single" w:sz="6" w:space="0" w:color="231F20"/>
            </w:tcBorders>
          </w:tcPr>
          <w:p w14:paraId="05E5CD36" w14:textId="77777777" w:rsidR="009948F1" w:rsidRDefault="00BC0563">
            <w:pPr>
              <w:pStyle w:val="TableParagraph"/>
              <w:spacing w:before="120" w:line="268" w:lineRule="auto"/>
              <w:ind w:left="27"/>
              <w:rPr>
                <w:sz w:val="17"/>
              </w:rPr>
            </w:pPr>
            <w:r>
              <w:rPr>
                <w:color w:val="231F20"/>
                <w:w w:val="70"/>
                <w:sz w:val="17"/>
              </w:rPr>
              <w:t xml:space="preserve">Establishing occupational </w:t>
            </w:r>
            <w:r>
              <w:rPr>
                <w:color w:val="231F20"/>
                <w:w w:val="80"/>
                <w:sz w:val="17"/>
              </w:rPr>
              <w:t>health unit</w:t>
            </w:r>
          </w:p>
        </w:tc>
      </w:tr>
      <w:tr w:rsidR="009948F1" w14:paraId="0C2025E3" w14:textId="77777777">
        <w:trPr>
          <w:trHeight w:val="580"/>
        </w:trPr>
        <w:tc>
          <w:tcPr>
            <w:tcW w:w="878" w:type="dxa"/>
            <w:gridSpan w:val="2"/>
            <w:vMerge/>
            <w:tcBorders>
              <w:top w:val="nil"/>
              <w:bottom w:val="nil"/>
              <w:right w:val="single" w:sz="6" w:space="0" w:color="231F20"/>
            </w:tcBorders>
          </w:tcPr>
          <w:p w14:paraId="46BA850B" w14:textId="77777777" w:rsidR="009948F1" w:rsidRDefault="009948F1">
            <w:pPr>
              <w:rPr>
                <w:sz w:val="2"/>
                <w:szCs w:val="2"/>
              </w:rPr>
            </w:pPr>
          </w:p>
        </w:tc>
        <w:tc>
          <w:tcPr>
            <w:tcW w:w="534" w:type="dxa"/>
            <w:tcBorders>
              <w:left w:val="single" w:sz="6" w:space="0" w:color="231F20"/>
              <w:right w:val="single" w:sz="6" w:space="0" w:color="231F20"/>
            </w:tcBorders>
          </w:tcPr>
          <w:p w14:paraId="7C8ECE49" w14:textId="77777777" w:rsidR="009948F1" w:rsidRDefault="009948F1">
            <w:pPr>
              <w:pStyle w:val="TableParagraph"/>
              <w:spacing w:before="1"/>
              <w:rPr>
                <w:sz w:val="16"/>
              </w:rPr>
            </w:pPr>
          </w:p>
          <w:p w14:paraId="0D8CB7D1" w14:textId="77777777" w:rsidR="009948F1" w:rsidRDefault="00BC0563">
            <w:pPr>
              <w:pStyle w:val="TableParagraph"/>
              <w:ind w:left="85"/>
              <w:rPr>
                <w:sz w:val="17"/>
              </w:rPr>
            </w:pPr>
            <w:r>
              <w:rPr>
                <w:color w:val="231F20"/>
                <w:w w:val="75"/>
                <w:sz w:val="17"/>
              </w:rPr>
              <w:t>8.6.6.b</w:t>
            </w:r>
          </w:p>
        </w:tc>
        <w:tc>
          <w:tcPr>
            <w:tcW w:w="4971" w:type="dxa"/>
            <w:gridSpan w:val="2"/>
            <w:tcBorders>
              <w:left w:val="single" w:sz="6" w:space="0" w:color="231F20"/>
              <w:right w:val="single" w:sz="6" w:space="0" w:color="231F20"/>
            </w:tcBorders>
          </w:tcPr>
          <w:p w14:paraId="6A74729D" w14:textId="77777777" w:rsidR="009948F1" w:rsidRDefault="009948F1">
            <w:pPr>
              <w:pStyle w:val="TableParagraph"/>
              <w:spacing w:before="6"/>
              <w:rPr>
                <w:sz w:val="15"/>
              </w:rPr>
            </w:pPr>
          </w:p>
          <w:p w14:paraId="105DD8E4" w14:textId="77777777" w:rsidR="009948F1" w:rsidRDefault="00BC0563">
            <w:pPr>
              <w:pStyle w:val="TableParagraph"/>
              <w:ind w:left="25"/>
              <w:rPr>
                <w:sz w:val="17"/>
              </w:rPr>
            </w:pPr>
            <w:r>
              <w:rPr>
                <w:color w:val="231F20"/>
                <w:w w:val="80"/>
                <w:sz w:val="17"/>
              </w:rPr>
              <w:t>Sensitization</w:t>
            </w:r>
            <w:r>
              <w:rPr>
                <w:color w:val="231F20"/>
                <w:spacing w:val="-23"/>
                <w:w w:val="80"/>
                <w:sz w:val="17"/>
              </w:rPr>
              <w:t xml:space="preserve"> </w:t>
            </w:r>
            <w:r>
              <w:rPr>
                <w:color w:val="231F20"/>
                <w:w w:val="80"/>
                <w:sz w:val="17"/>
              </w:rPr>
              <w:t>of</w:t>
            </w:r>
            <w:r>
              <w:rPr>
                <w:color w:val="231F20"/>
                <w:spacing w:val="-22"/>
                <w:w w:val="80"/>
                <w:sz w:val="17"/>
              </w:rPr>
              <w:t xml:space="preserve"> </w:t>
            </w:r>
            <w:r>
              <w:rPr>
                <w:color w:val="231F20"/>
                <w:w w:val="80"/>
                <w:sz w:val="17"/>
              </w:rPr>
              <w:t>workforce</w:t>
            </w:r>
            <w:r>
              <w:rPr>
                <w:color w:val="231F20"/>
                <w:spacing w:val="-22"/>
                <w:w w:val="80"/>
                <w:sz w:val="17"/>
              </w:rPr>
              <w:t xml:space="preserve"> </w:t>
            </w:r>
            <w:r>
              <w:rPr>
                <w:color w:val="231F20"/>
                <w:w w:val="80"/>
                <w:sz w:val="17"/>
              </w:rPr>
              <w:t>on</w:t>
            </w:r>
            <w:r>
              <w:rPr>
                <w:color w:val="231F20"/>
                <w:spacing w:val="-22"/>
                <w:w w:val="80"/>
                <w:sz w:val="17"/>
              </w:rPr>
              <w:t xml:space="preserve"> </w:t>
            </w:r>
            <w:r>
              <w:rPr>
                <w:color w:val="231F20"/>
                <w:w w:val="80"/>
                <w:sz w:val="17"/>
              </w:rPr>
              <w:t>the</w:t>
            </w:r>
            <w:r>
              <w:rPr>
                <w:color w:val="231F20"/>
                <w:spacing w:val="-22"/>
                <w:w w:val="80"/>
                <w:sz w:val="17"/>
              </w:rPr>
              <w:t xml:space="preserve"> </w:t>
            </w:r>
            <w:r>
              <w:rPr>
                <w:color w:val="231F20"/>
                <w:w w:val="80"/>
                <w:sz w:val="17"/>
              </w:rPr>
              <w:t>use</w:t>
            </w:r>
            <w:r>
              <w:rPr>
                <w:color w:val="231F20"/>
                <w:spacing w:val="-22"/>
                <w:w w:val="80"/>
                <w:sz w:val="17"/>
              </w:rPr>
              <w:t xml:space="preserve"> </w:t>
            </w:r>
            <w:r>
              <w:rPr>
                <w:color w:val="231F20"/>
                <w:w w:val="80"/>
                <w:sz w:val="17"/>
              </w:rPr>
              <w:t>of</w:t>
            </w:r>
            <w:r>
              <w:rPr>
                <w:color w:val="231F20"/>
                <w:spacing w:val="-22"/>
                <w:w w:val="80"/>
                <w:sz w:val="17"/>
              </w:rPr>
              <w:t xml:space="preserve"> </w:t>
            </w:r>
            <w:r>
              <w:rPr>
                <w:color w:val="231F20"/>
                <w:w w:val="80"/>
                <w:sz w:val="17"/>
              </w:rPr>
              <w:t>safety</w:t>
            </w:r>
            <w:r>
              <w:rPr>
                <w:color w:val="231F20"/>
                <w:spacing w:val="-23"/>
                <w:w w:val="80"/>
                <w:sz w:val="17"/>
              </w:rPr>
              <w:t xml:space="preserve"> </w:t>
            </w:r>
            <w:r>
              <w:rPr>
                <w:color w:val="231F20"/>
                <w:w w:val="80"/>
                <w:sz w:val="17"/>
              </w:rPr>
              <w:t>protective</w:t>
            </w:r>
            <w:r>
              <w:rPr>
                <w:color w:val="231F20"/>
                <w:spacing w:val="-22"/>
                <w:w w:val="80"/>
                <w:sz w:val="17"/>
              </w:rPr>
              <w:t xml:space="preserve"> </w:t>
            </w:r>
            <w:r>
              <w:rPr>
                <w:color w:val="231F20"/>
                <w:w w:val="80"/>
                <w:sz w:val="17"/>
              </w:rPr>
              <w:t>devices</w:t>
            </w:r>
            <w:r>
              <w:rPr>
                <w:color w:val="231F20"/>
                <w:spacing w:val="-22"/>
                <w:w w:val="80"/>
                <w:sz w:val="17"/>
              </w:rPr>
              <w:t xml:space="preserve"> </w:t>
            </w:r>
            <w:r>
              <w:rPr>
                <w:color w:val="231F20"/>
                <w:w w:val="80"/>
                <w:sz w:val="17"/>
              </w:rPr>
              <w:t>in</w:t>
            </w:r>
            <w:r>
              <w:rPr>
                <w:color w:val="231F20"/>
                <w:spacing w:val="-22"/>
                <w:w w:val="80"/>
                <w:sz w:val="17"/>
              </w:rPr>
              <w:t xml:space="preserve"> </w:t>
            </w:r>
            <w:r>
              <w:rPr>
                <w:color w:val="231F20"/>
                <w:w w:val="80"/>
                <w:sz w:val="17"/>
              </w:rPr>
              <w:t>the</w:t>
            </w:r>
            <w:r>
              <w:rPr>
                <w:color w:val="231F20"/>
                <w:spacing w:val="-22"/>
                <w:w w:val="80"/>
                <w:sz w:val="17"/>
              </w:rPr>
              <w:t xml:space="preserve"> </w:t>
            </w:r>
            <w:r>
              <w:rPr>
                <w:color w:val="231F20"/>
                <w:w w:val="80"/>
                <w:sz w:val="17"/>
              </w:rPr>
              <w:t>work</w:t>
            </w:r>
            <w:r>
              <w:rPr>
                <w:color w:val="231F20"/>
                <w:spacing w:val="-22"/>
                <w:w w:val="80"/>
                <w:sz w:val="17"/>
              </w:rPr>
              <w:t xml:space="preserve"> </w:t>
            </w:r>
            <w:r>
              <w:rPr>
                <w:color w:val="231F20"/>
                <w:w w:val="80"/>
                <w:sz w:val="17"/>
              </w:rPr>
              <w:t>place</w:t>
            </w:r>
          </w:p>
        </w:tc>
        <w:tc>
          <w:tcPr>
            <w:tcW w:w="1449" w:type="dxa"/>
            <w:tcBorders>
              <w:left w:val="single" w:sz="6" w:space="0" w:color="231F20"/>
              <w:right w:val="single" w:sz="6" w:space="0" w:color="231F20"/>
            </w:tcBorders>
          </w:tcPr>
          <w:p w14:paraId="7B564CDC" w14:textId="77777777" w:rsidR="009948F1" w:rsidRDefault="009948F1">
            <w:pPr>
              <w:pStyle w:val="TableParagraph"/>
              <w:spacing w:before="1"/>
              <w:rPr>
                <w:sz w:val="16"/>
              </w:rPr>
            </w:pPr>
          </w:p>
          <w:p w14:paraId="38CF904E" w14:textId="77777777" w:rsidR="009948F1" w:rsidRDefault="00BC0563">
            <w:pPr>
              <w:pStyle w:val="TableParagraph"/>
              <w:ind w:left="26"/>
              <w:rPr>
                <w:sz w:val="17"/>
              </w:rPr>
            </w:pPr>
            <w:r>
              <w:rPr>
                <w:color w:val="231F20"/>
                <w:w w:val="80"/>
                <w:sz w:val="17"/>
              </w:rPr>
              <w:t>Lack of funds</w:t>
            </w:r>
          </w:p>
        </w:tc>
        <w:tc>
          <w:tcPr>
            <w:tcW w:w="1528" w:type="dxa"/>
            <w:tcBorders>
              <w:left w:val="single" w:sz="6" w:space="0" w:color="231F20"/>
              <w:right w:val="single" w:sz="6" w:space="0" w:color="231F20"/>
            </w:tcBorders>
          </w:tcPr>
          <w:p w14:paraId="0DDFC7E5" w14:textId="77777777" w:rsidR="009948F1" w:rsidRDefault="009948F1">
            <w:pPr>
              <w:pStyle w:val="TableParagraph"/>
              <w:spacing w:before="1"/>
              <w:rPr>
                <w:sz w:val="16"/>
              </w:rPr>
            </w:pPr>
          </w:p>
          <w:p w14:paraId="5D046193" w14:textId="77777777" w:rsidR="009948F1" w:rsidRDefault="00BC0563">
            <w:pPr>
              <w:pStyle w:val="TableParagraph"/>
              <w:ind w:left="27"/>
              <w:rPr>
                <w:sz w:val="17"/>
              </w:rPr>
            </w:pPr>
            <w:r>
              <w:rPr>
                <w:color w:val="231F20"/>
                <w:w w:val="75"/>
                <w:sz w:val="17"/>
              </w:rPr>
              <w:t>Sensitization of workforce</w:t>
            </w:r>
          </w:p>
        </w:tc>
      </w:tr>
      <w:tr w:rsidR="009948F1" w14:paraId="3726B0A6" w14:textId="77777777">
        <w:trPr>
          <w:trHeight w:val="425"/>
        </w:trPr>
        <w:tc>
          <w:tcPr>
            <w:tcW w:w="878" w:type="dxa"/>
            <w:gridSpan w:val="2"/>
            <w:vMerge/>
            <w:tcBorders>
              <w:top w:val="nil"/>
              <w:bottom w:val="nil"/>
              <w:right w:val="single" w:sz="6" w:space="0" w:color="231F20"/>
            </w:tcBorders>
          </w:tcPr>
          <w:p w14:paraId="485A3501" w14:textId="77777777" w:rsidR="009948F1" w:rsidRDefault="009948F1">
            <w:pPr>
              <w:rPr>
                <w:sz w:val="2"/>
                <w:szCs w:val="2"/>
              </w:rPr>
            </w:pPr>
          </w:p>
        </w:tc>
        <w:tc>
          <w:tcPr>
            <w:tcW w:w="534" w:type="dxa"/>
            <w:tcBorders>
              <w:left w:val="single" w:sz="6" w:space="0" w:color="231F20"/>
              <w:right w:val="single" w:sz="6" w:space="0" w:color="231F20"/>
            </w:tcBorders>
          </w:tcPr>
          <w:p w14:paraId="47B04267" w14:textId="77777777" w:rsidR="009948F1" w:rsidRDefault="00BC0563">
            <w:pPr>
              <w:pStyle w:val="TableParagraph"/>
              <w:spacing w:before="109"/>
              <w:ind w:left="89"/>
              <w:rPr>
                <w:sz w:val="17"/>
              </w:rPr>
            </w:pPr>
            <w:r>
              <w:rPr>
                <w:color w:val="231F20"/>
                <w:w w:val="75"/>
                <w:sz w:val="17"/>
              </w:rPr>
              <w:t>8.6.6.c</w:t>
            </w:r>
          </w:p>
        </w:tc>
        <w:tc>
          <w:tcPr>
            <w:tcW w:w="4971" w:type="dxa"/>
            <w:gridSpan w:val="2"/>
            <w:tcBorders>
              <w:left w:val="single" w:sz="6" w:space="0" w:color="231F20"/>
              <w:right w:val="single" w:sz="6" w:space="0" w:color="231F20"/>
            </w:tcBorders>
          </w:tcPr>
          <w:p w14:paraId="4FF0377E" w14:textId="77777777" w:rsidR="009948F1" w:rsidRDefault="00BC0563">
            <w:pPr>
              <w:pStyle w:val="TableParagraph"/>
              <w:spacing w:line="191" w:lineRule="exact"/>
              <w:ind w:left="25"/>
              <w:rPr>
                <w:sz w:val="17"/>
              </w:rPr>
            </w:pPr>
            <w:r>
              <w:rPr>
                <w:color w:val="231F20"/>
                <w:w w:val="75"/>
                <w:sz w:val="17"/>
              </w:rPr>
              <w:t>Create</w:t>
            </w:r>
            <w:r>
              <w:rPr>
                <w:color w:val="231F20"/>
                <w:spacing w:val="-18"/>
                <w:w w:val="75"/>
                <w:sz w:val="17"/>
              </w:rPr>
              <w:t xml:space="preserve"> </w:t>
            </w:r>
            <w:r>
              <w:rPr>
                <w:color w:val="231F20"/>
                <w:w w:val="75"/>
                <w:sz w:val="17"/>
              </w:rPr>
              <w:t>awareness</w:t>
            </w:r>
            <w:r>
              <w:rPr>
                <w:color w:val="231F20"/>
                <w:spacing w:val="-17"/>
                <w:w w:val="75"/>
                <w:sz w:val="17"/>
              </w:rPr>
              <w:t xml:space="preserve"> </w:t>
            </w:r>
            <w:r>
              <w:rPr>
                <w:color w:val="231F20"/>
                <w:w w:val="75"/>
                <w:sz w:val="17"/>
              </w:rPr>
              <w:t>on</w:t>
            </w:r>
            <w:r>
              <w:rPr>
                <w:color w:val="231F20"/>
                <w:spacing w:val="-17"/>
                <w:w w:val="75"/>
                <w:sz w:val="17"/>
              </w:rPr>
              <w:t xml:space="preserve"> </w:t>
            </w:r>
            <w:r>
              <w:rPr>
                <w:color w:val="231F20"/>
                <w:w w:val="75"/>
                <w:sz w:val="17"/>
              </w:rPr>
              <w:t>any</w:t>
            </w:r>
            <w:r>
              <w:rPr>
                <w:color w:val="231F20"/>
                <w:spacing w:val="-17"/>
                <w:w w:val="75"/>
                <w:sz w:val="17"/>
              </w:rPr>
              <w:t xml:space="preserve"> </w:t>
            </w:r>
            <w:r>
              <w:rPr>
                <w:color w:val="231F20"/>
                <w:w w:val="75"/>
                <w:sz w:val="17"/>
              </w:rPr>
              <w:t>existing</w:t>
            </w:r>
            <w:r>
              <w:rPr>
                <w:color w:val="231F20"/>
                <w:spacing w:val="-17"/>
                <w:w w:val="75"/>
                <w:sz w:val="17"/>
              </w:rPr>
              <w:t xml:space="preserve"> </w:t>
            </w:r>
            <w:r>
              <w:rPr>
                <w:color w:val="231F20"/>
                <w:w w:val="75"/>
                <w:sz w:val="17"/>
              </w:rPr>
              <w:t>&amp;</w:t>
            </w:r>
            <w:r>
              <w:rPr>
                <w:color w:val="231F20"/>
                <w:spacing w:val="-18"/>
                <w:w w:val="75"/>
                <w:sz w:val="17"/>
              </w:rPr>
              <w:t xml:space="preserve"> </w:t>
            </w:r>
            <w:r>
              <w:rPr>
                <w:color w:val="231F20"/>
                <w:w w:val="75"/>
                <w:sz w:val="17"/>
              </w:rPr>
              <w:t>emerging</w:t>
            </w:r>
            <w:r>
              <w:rPr>
                <w:color w:val="231F20"/>
                <w:spacing w:val="-17"/>
                <w:w w:val="75"/>
                <w:sz w:val="17"/>
              </w:rPr>
              <w:t xml:space="preserve"> </w:t>
            </w:r>
            <w:r>
              <w:rPr>
                <w:color w:val="231F20"/>
                <w:w w:val="75"/>
                <w:sz w:val="17"/>
              </w:rPr>
              <w:t>risk</w:t>
            </w:r>
            <w:r>
              <w:rPr>
                <w:color w:val="231F20"/>
                <w:spacing w:val="-17"/>
                <w:w w:val="75"/>
                <w:sz w:val="17"/>
              </w:rPr>
              <w:t xml:space="preserve"> </w:t>
            </w:r>
            <w:r>
              <w:rPr>
                <w:color w:val="231F20"/>
                <w:w w:val="75"/>
                <w:sz w:val="17"/>
              </w:rPr>
              <w:t>using</w:t>
            </w:r>
            <w:r>
              <w:rPr>
                <w:color w:val="231F20"/>
                <w:spacing w:val="-17"/>
                <w:w w:val="75"/>
                <w:sz w:val="17"/>
              </w:rPr>
              <w:t xml:space="preserve"> </w:t>
            </w:r>
            <w:r>
              <w:rPr>
                <w:color w:val="231F20"/>
                <w:w w:val="75"/>
                <w:sz w:val="17"/>
              </w:rPr>
              <w:t>print,</w:t>
            </w:r>
            <w:r>
              <w:rPr>
                <w:color w:val="231F20"/>
                <w:spacing w:val="-17"/>
                <w:w w:val="75"/>
                <w:sz w:val="17"/>
              </w:rPr>
              <w:t xml:space="preserve"> </w:t>
            </w:r>
            <w:r>
              <w:rPr>
                <w:color w:val="231F20"/>
                <w:w w:val="75"/>
                <w:sz w:val="17"/>
              </w:rPr>
              <w:t>electronic</w:t>
            </w:r>
            <w:r>
              <w:rPr>
                <w:color w:val="231F20"/>
                <w:spacing w:val="-17"/>
                <w:w w:val="75"/>
                <w:sz w:val="17"/>
              </w:rPr>
              <w:t xml:space="preserve"> </w:t>
            </w:r>
            <w:r>
              <w:rPr>
                <w:color w:val="231F20"/>
                <w:w w:val="75"/>
                <w:sz w:val="17"/>
              </w:rPr>
              <w:t>and</w:t>
            </w:r>
            <w:r>
              <w:rPr>
                <w:color w:val="231F20"/>
                <w:spacing w:val="-18"/>
                <w:w w:val="75"/>
                <w:sz w:val="17"/>
              </w:rPr>
              <w:t xml:space="preserve"> </w:t>
            </w:r>
            <w:r>
              <w:rPr>
                <w:color w:val="231F20"/>
                <w:w w:val="75"/>
                <w:sz w:val="17"/>
              </w:rPr>
              <w:t>social</w:t>
            </w:r>
            <w:r>
              <w:rPr>
                <w:color w:val="231F20"/>
                <w:spacing w:val="-17"/>
                <w:w w:val="75"/>
                <w:sz w:val="17"/>
              </w:rPr>
              <w:t xml:space="preserve"> </w:t>
            </w:r>
            <w:r>
              <w:rPr>
                <w:color w:val="231F20"/>
                <w:w w:val="75"/>
                <w:sz w:val="17"/>
              </w:rPr>
              <w:t>media</w:t>
            </w:r>
          </w:p>
          <w:p w14:paraId="4D8DC0F4" w14:textId="77777777" w:rsidR="009948F1" w:rsidRDefault="00BC0563">
            <w:pPr>
              <w:pStyle w:val="TableParagraph"/>
              <w:spacing w:before="23" w:line="191" w:lineRule="exact"/>
              <w:ind w:left="25"/>
              <w:rPr>
                <w:sz w:val="17"/>
              </w:rPr>
            </w:pPr>
            <w:r>
              <w:rPr>
                <w:color w:val="231F20"/>
                <w:w w:val="80"/>
                <w:sz w:val="17"/>
              </w:rPr>
              <w:t>platforms</w:t>
            </w:r>
          </w:p>
        </w:tc>
        <w:tc>
          <w:tcPr>
            <w:tcW w:w="1449" w:type="dxa"/>
            <w:tcBorders>
              <w:left w:val="single" w:sz="6" w:space="0" w:color="231F20"/>
              <w:right w:val="single" w:sz="6" w:space="0" w:color="231F20"/>
            </w:tcBorders>
          </w:tcPr>
          <w:p w14:paraId="523024DC" w14:textId="77777777" w:rsidR="009948F1" w:rsidRDefault="00BC0563">
            <w:pPr>
              <w:pStyle w:val="TableParagraph"/>
              <w:spacing w:before="109"/>
              <w:ind w:left="26"/>
              <w:rPr>
                <w:sz w:val="17"/>
              </w:rPr>
            </w:pPr>
            <w:r>
              <w:rPr>
                <w:color w:val="231F20"/>
                <w:w w:val="80"/>
                <w:sz w:val="17"/>
              </w:rPr>
              <w:t>Lack of funds</w:t>
            </w:r>
          </w:p>
        </w:tc>
        <w:tc>
          <w:tcPr>
            <w:tcW w:w="1528" w:type="dxa"/>
            <w:tcBorders>
              <w:left w:val="single" w:sz="6" w:space="0" w:color="231F20"/>
              <w:right w:val="single" w:sz="6" w:space="0" w:color="231F20"/>
            </w:tcBorders>
          </w:tcPr>
          <w:p w14:paraId="1C02EC0F" w14:textId="46C0CB9C" w:rsidR="009948F1" w:rsidRDefault="00BC0563">
            <w:pPr>
              <w:pStyle w:val="TableParagraph"/>
              <w:spacing w:before="109"/>
              <w:ind w:left="27"/>
              <w:rPr>
                <w:sz w:val="17"/>
              </w:rPr>
            </w:pPr>
            <w:r>
              <w:rPr>
                <w:color w:val="231F20"/>
                <w:w w:val="80"/>
                <w:sz w:val="17"/>
              </w:rPr>
              <w:t xml:space="preserve">Create </w:t>
            </w:r>
            <w:r w:rsidR="00661EED">
              <w:rPr>
                <w:color w:val="231F20"/>
                <w:w w:val="80"/>
                <w:sz w:val="17"/>
              </w:rPr>
              <w:t>awareness</w:t>
            </w:r>
          </w:p>
        </w:tc>
      </w:tr>
      <w:tr w:rsidR="009948F1" w14:paraId="00E6C001" w14:textId="77777777">
        <w:trPr>
          <w:trHeight w:val="871"/>
        </w:trPr>
        <w:tc>
          <w:tcPr>
            <w:tcW w:w="416" w:type="dxa"/>
            <w:tcBorders>
              <w:top w:val="nil"/>
              <w:bottom w:val="nil"/>
              <w:right w:val="single" w:sz="6" w:space="0" w:color="231F20"/>
            </w:tcBorders>
          </w:tcPr>
          <w:p w14:paraId="6253A8CB" w14:textId="77777777" w:rsidR="009948F1" w:rsidRDefault="009948F1">
            <w:pPr>
              <w:pStyle w:val="TableParagraph"/>
              <w:rPr>
                <w:rFonts w:ascii="Times New Roman"/>
                <w:sz w:val="12"/>
              </w:rPr>
            </w:pPr>
          </w:p>
        </w:tc>
        <w:tc>
          <w:tcPr>
            <w:tcW w:w="462" w:type="dxa"/>
            <w:tcBorders>
              <w:left w:val="single" w:sz="6" w:space="0" w:color="231F20"/>
              <w:right w:val="single" w:sz="6" w:space="0" w:color="231F20"/>
            </w:tcBorders>
            <w:shd w:val="clear" w:color="auto" w:fill="CCE7D3"/>
          </w:tcPr>
          <w:p w14:paraId="3E7F6171" w14:textId="77777777" w:rsidR="009948F1" w:rsidRDefault="009948F1">
            <w:pPr>
              <w:pStyle w:val="TableParagraph"/>
              <w:rPr>
                <w:sz w:val="18"/>
              </w:rPr>
            </w:pPr>
          </w:p>
          <w:p w14:paraId="37CA02E5" w14:textId="77777777" w:rsidR="009948F1" w:rsidRDefault="00BC0563">
            <w:pPr>
              <w:pStyle w:val="TableParagraph"/>
              <w:spacing w:before="124"/>
              <w:ind w:left="58"/>
              <w:rPr>
                <w:sz w:val="17"/>
              </w:rPr>
            </w:pPr>
            <w:r>
              <w:rPr>
                <w:color w:val="231F20"/>
                <w:w w:val="80"/>
                <w:sz w:val="17"/>
              </w:rPr>
              <w:t>8.6.7</w:t>
            </w:r>
          </w:p>
        </w:tc>
        <w:tc>
          <w:tcPr>
            <w:tcW w:w="3084" w:type="dxa"/>
            <w:gridSpan w:val="2"/>
            <w:tcBorders>
              <w:left w:val="single" w:sz="6" w:space="0" w:color="231F20"/>
              <w:right w:val="single" w:sz="6" w:space="0" w:color="231F20"/>
            </w:tcBorders>
            <w:shd w:val="clear" w:color="auto" w:fill="CCE7D3"/>
          </w:tcPr>
          <w:p w14:paraId="5BDDD2AC" w14:textId="70C43652" w:rsidR="009948F1" w:rsidRDefault="00BC0563">
            <w:pPr>
              <w:pStyle w:val="TableParagraph"/>
              <w:spacing w:before="106" w:line="268" w:lineRule="auto"/>
              <w:ind w:left="25" w:right="206" w:firstLine="33"/>
              <w:jc w:val="both"/>
              <w:rPr>
                <w:sz w:val="17"/>
              </w:rPr>
            </w:pPr>
            <w:r>
              <w:rPr>
                <w:color w:val="231F20"/>
                <w:w w:val="70"/>
                <w:sz w:val="17"/>
              </w:rPr>
              <w:t xml:space="preserve">Promote collaboration between the key stakeholders </w:t>
            </w:r>
            <w:r>
              <w:rPr>
                <w:color w:val="231F20"/>
                <w:w w:val="75"/>
                <w:sz w:val="17"/>
              </w:rPr>
              <w:t>(Ministry</w:t>
            </w:r>
            <w:r>
              <w:rPr>
                <w:color w:val="231F20"/>
                <w:spacing w:val="-21"/>
                <w:w w:val="75"/>
                <w:sz w:val="17"/>
              </w:rPr>
              <w:t xml:space="preserve"> </w:t>
            </w:r>
            <w:r>
              <w:rPr>
                <w:color w:val="231F20"/>
                <w:w w:val="75"/>
                <w:sz w:val="17"/>
              </w:rPr>
              <w:t>of</w:t>
            </w:r>
            <w:r>
              <w:rPr>
                <w:color w:val="231F20"/>
                <w:spacing w:val="-20"/>
                <w:w w:val="75"/>
                <w:sz w:val="17"/>
              </w:rPr>
              <w:t xml:space="preserve"> </w:t>
            </w:r>
            <w:r>
              <w:rPr>
                <w:color w:val="231F20"/>
                <w:w w:val="75"/>
                <w:sz w:val="17"/>
              </w:rPr>
              <w:t>Health,</w:t>
            </w:r>
            <w:r>
              <w:rPr>
                <w:color w:val="231F20"/>
                <w:spacing w:val="-20"/>
                <w:w w:val="75"/>
                <w:sz w:val="17"/>
              </w:rPr>
              <w:t xml:space="preserve"> </w:t>
            </w:r>
            <w:r>
              <w:rPr>
                <w:color w:val="231F20"/>
                <w:w w:val="75"/>
                <w:sz w:val="17"/>
              </w:rPr>
              <w:t>Ministry</w:t>
            </w:r>
            <w:r>
              <w:rPr>
                <w:color w:val="231F20"/>
                <w:spacing w:val="-20"/>
                <w:w w:val="75"/>
                <w:sz w:val="17"/>
              </w:rPr>
              <w:t xml:space="preserve"> </w:t>
            </w:r>
            <w:r>
              <w:rPr>
                <w:color w:val="231F20"/>
                <w:w w:val="75"/>
                <w:sz w:val="17"/>
              </w:rPr>
              <w:t>of</w:t>
            </w:r>
            <w:r>
              <w:rPr>
                <w:color w:val="231F20"/>
                <w:spacing w:val="-20"/>
                <w:w w:val="75"/>
                <w:sz w:val="17"/>
              </w:rPr>
              <w:t xml:space="preserve"> </w:t>
            </w:r>
            <w:r w:rsidR="00683F0D">
              <w:rPr>
                <w:color w:val="231F20"/>
                <w:spacing w:val="-20"/>
                <w:w w:val="75"/>
                <w:sz w:val="17"/>
              </w:rPr>
              <w:t xml:space="preserve"> </w:t>
            </w:r>
            <w:proofErr w:type="spellStart"/>
            <w:r>
              <w:rPr>
                <w:color w:val="231F20"/>
                <w:w w:val="75"/>
                <w:sz w:val="17"/>
              </w:rPr>
              <w:t>Labour</w:t>
            </w:r>
            <w:proofErr w:type="spellEnd"/>
            <w:r>
              <w:rPr>
                <w:color w:val="231F20"/>
                <w:spacing w:val="-20"/>
                <w:w w:val="75"/>
                <w:sz w:val="17"/>
              </w:rPr>
              <w:t xml:space="preserve"> </w:t>
            </w:r>
            <w:r>
              <w:rPr>
                <w:color w:val="231F20"/>
                <w:w w:val="75"/>
                <w:sz w:val="17"/>
              </w:rPr>
              <w:t>and</w:t>
            </w:r>
            <w:r>
              <w:rPr>
                <w:color w:val="231F20"/>
                <w:spacing w:val="-20"/>
                <w:w w:val="75"/>
                <w:sz w:val="17"/>
              </w:rPr>
              <w:t xml:space="preserve"> </w:t>
            </w:r>
            <w:r>
              <w:rPr>
                <w:color w:val="231F20"/>
                <w:w w:val="75"/>
                <w:sz w:val="17"/>
              </w:rPr>
              <w:t>the</w:t>
            </w:r>
            <w:r>
              <w:rPr>
                <w:color w:val="231F20"/>
                <w:spacing w:val="-20"/>
                <w:w w:val="75"/>
                <w:sz w:val="17"/>
              </w:rPr>
              <w:t xml:space="preserve"> </w:t>
            </w:r>
            <w:r>
              <w:rPr>
                <w:color w:val="231F20"/>
                <w:w w:val="75"/>
                <w:sz w:val="17"/>
              </w:rPr>
              <w:t xml:space="preserve">private </w:t>
            </w:r>
            <w:r>
              <w:rPr>
                <w:color w:val="231F20"/>
                <w:w w:val="80"/>
                <w:sz w:val="17"/>
              </w:rPr>
              <w:t>sector)</w:t>
            </w:r>
          </w:p>
        </w:tc>
        <w:tc>
          <w:tcPr>
            <w:tcW w:w="2421" w:type="dxa"/>
            <w:tcBorders>
              <w:left w:val="single" w:sz="6" w:space="0" w:color="231F20"/>
              <w:right w:val="single" w:sz="6" w:space="0" w:color="231F20"/>
            </w:tcBorders>
            <w:shd w:val="clear" w:color="auto" w:fill="CCE7D3"/>
          </w:tcPr>
          <w:p w14:paraId="67E7F543" w14:textId="77777777" w:rsidR="009948F1" w:rsidRDefault="00BC0563">
            <w:pPr>
              <w:pStyle w:val="TableParagraph"/>
              <w:numPr>
                <w:ilvl w:val="0"/>
                <w:numId w:val="70"/>
              </w:numPr>
              <w:tabs>
                <w:tab w:val="left" w:pos="102"/>
              </w:tabs>
              <w:spacing w:before="4" w:line="268" w:lineRule="auto"/>
              <w:ind w:right="25" w:firstLine="0"/>
              <w:rPr>
                <w:sz w:val="17"/>
              </w:rPr>
            </w:pPr>
            <w:r>
              <w:rPr>
                <w:color w:val="231F20"/>
                <w:w w:val="75"/>
                <w:sz w:val="17"/>
              </w:rPr>
              <w:t>Occupational health committee set up in the</w:t>
            </w:r>
            <w:r>
              <w:rPr>
                <w:color w:val="231F20"/>
                <w:spacing w:val="-24"/>
                <w:w w:val="75"/>
                <w:sz w:val="17"/>
              </w:rPr>
              <w:t xml:space="preserve"> </w:t>
            </w:r>
            <w:r>
              <w:rPr>
                <w:color w:val="231F20"/>
                <w:w w:val="75"/>
                <w:sz w:val="17"/>
              </w:rPr>
              <w:t>State</w:t>
            </w:r>
            <w:r>
              <w:rPr>
                <w:color w:val="231F20"/>
                <w:spacing w:val="-23"/>
                <w:w w:val="75"/>
                <w:sz w:val="17"/>
              </w:rPr>
              <w:t xml:space="preserve"> </w:t>
            </w:r>
            <w:r>
              <w:rPr>
                <w:color w:val="231F20"/>
                <w:w w:val="75"/>
                <w:sz w:val="17"/>
              </w:rPr>
              <w:t>Ministry</w:t>
            </w:r>
            <w:r>
              <w:rPr>
                <w:color w:val="231F20"/>
                <w:spacing w:val="-24"/>
                <w:w w:val="75"/>
                <w:sz w:val="17"/>
              </w:rPr>
              <w:t xml:space="preserve"> </w:t>
            </w:r>
            <w:r>
              <w:rPr>
                <w:color w:val="231F20"/>
                <w:w w:val="75"/>
                <w:sz w:val="17"/>
              </w:rPr>
              <w:t>of</w:t>
            </w:r>
            <w:r>
              <w:rPr>
                <w:color w:val="231F20"/>
                <w:spacing w:val="-23"/>
                <w:w w:val="75"/>
                <w:sz w:val="17"/>
              </w:rPr>
              <w:t xml:space="preserve"> </w:t>
            </w:r>
            <w:r>
              <w:rPr>
                <w:color w:val="231F20"/>
                <w:w w:val="75"/>
                <w:sz w:val="17"/>
              </w:rPr>
              <w:t>Health</w:t>
            </w:r>
            <w:r>
              <w:rPr>
                <w:color w:val="231F20"/>
                <w:spacing w:val="-23"/>
                <w:w w:val="75"/>
                <w:sz w:val="17"/>
              </w:rPr>
              <w:t xml:space="preserve"> </w:t>
            </w:r>
            <w:r>
              <w:rPr>
                <w:color w:val="231F20"/>
                <w:w w:val="75"/>
                <w:sz w:val="17"/>
              </w:rPr>
              <w:t>and</w:t>
            </w:r>
            <w:r>
              <w:rPr>
                <w:color w:val="231F20"/>
                <w:spacing w:val="-24"/>
                <w:w w:val="75"/>
                <w:sz w:val="17"/>
              </w:rPr>
              <w:t xml:space="preserve"> </w:t>
            </w:r>
            <w:r>
              <w:rPr>
                <w:color w:val="231F20"/>
                <w:w w:val="75"/>
                <w:sz w:val="17"/>
              </w:rPr>
              <w:t>inaugurated</w:t>
            </w:r>
          </w:p>
          <w:p w14:paraId="48B8F0F1" w14:textId="77777777" w:rsidR="009948F1" w:rsidRDefault="00BC0563">
            <w:pPr>
              <w:pStyle w:val="TableParagraph"/>
              <w:numPr>
                <w:ilvl w:val="0"/>
                <w:numId w:val="70"/>
              </w:numPr>
              <w:tabs>
                <w:tab w:val="left" w:pos="102"/>
              </w:tabs>
              <w:spacing w:line="194" w:lineRule="exact"/>
              <w:ind w:left="101"/>
              <w:rPr>
                <w:sz w:val="17"/>
              </w:rPr>
            </w:pPr>
            <w:r>
              <w:rPr>
                <w:color w:val="231F20"/>
                <w:w w:val="80"/>
                <w:sz w:val="17"/>
              </w:rPr>
              <w:t>Quarterly</w:t>
            </w:r>
            <w:r>
              <w:rPr>
                <w:color w:val="231F20"/>
                <w:spacing w:val="-22"/>
                <w:w w:val="80"/>
                <w:sz w:val="17"/>
              </w:rPr>
              <w:t xml:space="preserve"> </w:t>
            </w:r>
            <w:r>
              <w:rPr>
                <w:color w:val="231F20"/>
                <w:w w:val="80"/>
                <w:sz w:val="17"/>
              </w:rPr>
              <w:t>collaboration</w:t>
            </w:r>
            <w:r>
              <w:rPr>
                <w:color w:val="231F20"/>
                <w:spacing w:val="-21"/>
                <w:w w:val="80"/>
                <w:sz w:val="17"/>
              </w:rPr>
              <w:t xml:space="preserve"> </w:t>
            </w:r>
            <w:r>
              <w:rPr>
                <w:color w:val="231F20"/>
                <w:w w:val="80"/>
                <w:sz w:val="17"/>
              </w:rPr>
              <w:t>meeting</w:t>
            </w:r>
            <w:r>
              <w:rPr>
                <w:color w:val="231F20"/>
                <w:spacing w:val="-22"/>
                <w:w w:val="80"/>
                <w:sz w:val="17"/>
              </w:rPr>
              <w:t xml:space="preserve"> </w:t>
            </w:r>
            <w:r>
              <w:rPr>
                <w:color w:val="231F20"/>
                <w:w w:val="80"/>
                <w:sz w:val="17"/>
              </w:rPr>
              <w:t>held</w:t>
            </w:r>
          </w:p>
          <w:p w14:paraId="7A003313" w14:textId="77777777" w:rsidR="009948F1" w:rsidRDefault="00BC0563">
            <w:pPr>
              <w:pStyle w:val="TableParagraph"/>
              <w:spacing w:before="23" w:line="191" w:lineRule="exact"/>
              <w:ind w:left="26"/>
              <w:rPr>
                <w:sz w:val="17"/>
              </w:rPr>
            </w:pPr>
            <w:r>
              <w:rPr>
                <w:color w:val="231F20"/>
                <w:w w:val="70"/>
                <w:sz w:val="17"/>
              </w:rPr>
              <w:t>•</w:t>
            </w:r>
          </w:p>
        </w:tc>
        <w:tc>
          <w:tcPr>
            <w:tcW w:w="1449" w:type="dxa"/>
            <w:tcBorders>
              <w:left w:val="single" w:sz="6" w:space="0" w:color="231F20"/>
              <w:right w:val="single" w:sz="6" w:space="0" w:color="231F20"/>
            </w:tcBorders>
            <w:shd w:val="clear" w:color="auto" w:fill="CCE7D3"/>
          </w:tcPr>
          <w:p w14:paraId="74B464D2" w14:textId="77777777" w:rsidR="009948F1" w:rsidRDefault="009948F1">
            <w:pPr>
              <w:pStyle w:val="TableParagraph"/>
              <w:rPr>
                <w:rFonts w:ascii="Times New Roman"/>
                <w:sz w:val="12"/>
              </w:rPr>
            </w:pPr>
          </w:p>
        </w:tc>
        <w:tc>
          <w:tcPr>
            <w:tcW w:w="1528" w:type="dxa"/>
            <w:tcBorders>
              <w:left w:val="single" w:sz="6" w:space="0" w:color="231F20"/>
              <w:right w:val="single" w:sz="6" w:space="0" w:color="231F20"/>
            </w:tcBorders>
            <w:shd w:val="clear" w:color="auto" w:fill="CCE7D3"/>
          </w:tcPr>
          <w:p w14:paraId="478CD57C" w14:textId="77777777" w:rsidR="009948F1" w:rsidRDefault="009948F1">
            <w:pPr>
              <w:pStyle w:val="TableParagraph"/>
              <w:rPr>
                <w:rFonts w:ascii="Times New Roman"/>
                <w:sz w:val="12"/>
              </w:rPr>
            </w:pPr>
          </w:p>
        </w:tc>
      </w:tr>
      <w:tr w:rsidR="009948F1" w14:paraId="7D4C0BAC" w14:textId="77777777">
        <w:trPr>
          <w:trHeight w:val="420"/>
        </w:trPr>
        <w:tc>
          <w:tcPr>
            <w:tcW w:w="878" w:type="dxa"/>
            <w:gridSpan w:val="2"/>
            <w:vMerge w:val="restart"/>
            <w:tcBorders>
              <w:top w:val="nil"/>
              <w:right w:val="single" w:sz="6" w:space="0" w:color="231F20"/>
            </w:tcBorders>
          </w:tcPr>
          <w:p w14:paraId="2F60A48E" w14:textId="77777777" w:rsidR="009948F1" w:rsidRDefault="009948F1">
            <w:pPr>
              <w:pStyle w:val="TableParagraph"/>
              <w:rPr>
                <w:rFonts w:ascii="Times New Roman"/>
                <w:sz w:val="12"/>
              </w:rPr>
            </w:pPr>
          </w:p>
        </w:tc>
        <w:tc>
          <w:tcPr>
            <w:tcW w:w="534" w:type="dxa"/>
            <w:tcBorders>
              <w:left w:val="single" w:sz="6" w:space="0" w:color="231F20"/>
              <w:right w:val="single" w:sz="6" w:space="0" w:color="231F20"/>
            </w:tcBorders>
          </w:tcPr>
          <w:p w14:paraId="2995AC49" w14:textId="77777777" w:rsidR="009948F1" w:rsidRDefault="00BC0563">
            <w:pPr>
              <w:pStyle w:val="TableParagraph"/>
              <w:spacing w:before="106"/>
              <w:ind w:left="85"/>
              <w:rPr>
                <w:sz w:val="17"/>
              </w:rPr>
            </w:pPr>
            <w:r>
              <w:rPr>
                <w:color w:val="231F20"/>
                <w:w w:val="75"/>
                <w:sz w:val="17"/>
              </w:rPr>
              <w:t>8.6.7.a</w:t>
            </w:r>
          </w:p>
        </w:tc>
        <w:tc>
          <w:tcPr>
            <w:tcW w:w="4971" w:type="dxa"/>
            <w:gridSpan w:val="2"/>
            <w:tcBorders>
              <w:left w:val="single" w:sz="6" w:space="0" w:color="231F20"/>
              <w:right w:val="single" w:sz="6" w:space="0" w:color="231F20"/>
            </w:tcBorders>
          </w:tcPr>
          <w:p w14:paraId="6DFF438C" w14:textId="77777777" w:rsidR="009948F1" w:rsidRDefault="00BC0563">
            <w:pPr>
              <w:pStyle w:val="TableParagraph"/>
              <w:spacing w:before="98"/>
              <w:ind w:left="25"/>
              <w:rPr>
                <w:sz w:val="17"/>
              </w:rPr>
            </w:pPr>
            <w:r>
              <w:rPr>
                <w:color w:val="231F20"/>
                <w:w w:val="80"/>
                <w:sz w:val="17"/>
              </w:rPr>
              <w:t>Setup/Inaugurate occupational health committee in the State Ministry of Health</w:t>
            </w:r>
          </w:p>
        </w:tc>
        <w:tc>
          <w:tcPr>
            <w:tcW w:w="1449" w:type="dxa"/>
            <w:tcBorders>
              <w:left w:val="single" w:sz="6" w:space="0" w:color="231F20"/>
              <w:right w:val="single" w:sz="6" w:space="0" w:color="231F20"/>
            </w:tcBorders>
          </w:tcPr>
          <w:p w14:paraId="74CF3DF1" w14:textId="77777777" w:rsidR="009948F1" w:rsidRDefault="00BC0563">
            <w:pPr>
              <w:pStyle w:val="TableParagraph"/>
              <w:spacing w:before="106"/>
              <w:ind w:left="26"/>
              <w:rPr>
                <w:sz w:val="17"/>
              </w:rPr>
            </w:pPr>
            <w:r>
              <w:rPr>
                <w:color w:val="231F20"/>
                <w:w w:val="80"/>
                <w:sz w:val="17"/>
              </w:rPr>
              <w:t>Lack of funds</w:t>
            </w:r>
          </w:p>
        </w:tc>
        <w:tc>
          <w:tcPr>
            <w:tcW w:w="1528" w:type="dxa"/>
            <w:tcBorders>
              <w:left w:val="single" w:sz="6" w:space="0" w:color="231F20"/>
              <w:right w:val="single" w:sz="6" w:space="0" w:color="231F20"/>
            </w:tcBorders>
          </w:tcPr>
          <w:p w14:paraId="4D883452" w14:textId="3188583A" w:rsidR="009948F1" w:rsidRDefault="00BC0563">
            <w:pPr>
              <w:pStyle w:val="TableParagraph"/>
              <w:spacing w:before="106"/>
              <w:ind w:left="27"/>
              <w:rPr>
                <w:sz w:val="17"/>
              </w:rPr>
            </w:pPr>
            <w:r>
              <w:rPr>
                <w:color w:val="231F20"/>
                <w:w w:val="80"/>
                <w:sz w:val="17"/>
              </w:rPr>
              <w:t>Setup/</w:t>
            </w:r>
            <w:r w:rsidR="00661EED">
              <w:rPr>
                <w:color w:val="231F20"/>
                <w:w w:val="80"/>
                <w:sz w:val="17"/>
              </w:rPr>
              <w:t>Inaugurate</w:t>
            </w:r>
          </w:p>
        </w:tc>
      </w:tr>
      <w:tr w:rsidR="009948F1" w14:paraId="4404F317" w14:textId="77777777">
        <w:trPr>
          <w:trHeight w:val="395"/>
        </w:trPr>
        <w:tc>
          <w:tcPr>
            <w:tcW w:w="878" w:type="dxa"/>
            <w:gridSpan w:val="2"/>
            <w:vMerge/>
            <w:tcBorders>
              <w:top w:val="nil"/>
              <w:right w:val="single" w:sz="6" w:space="0" w:color="231F20"/>
            </w:tcBorders>
          </w:tcPr>
          <w:p w14:paraId="6968B62D" w14:textId="77777777" w:rsidR="009948F1" w:rsidRDefault="009948F1">
            <w:pPr>
              <w:rPr>
                <w:sz w:val="2"/>
                <w:szCs w:val="2"/>
              </w:rPr>
            </w:pPr>
          </w:p>
        </w:tc>
        <w:tc>
          <w:tcPr>
            <w:tcW w:w="534" w:type="dxa"/>
            <w:tcBorders>
              <w:left w:val="single" w:sz="6" w:space="0" w:color="231F20"/>
              <w:bottom w:val="single" w:sz="12" w:space="0" w:color="231F20"/>
              <w:right w:val="single" w:sz="6" w:space="0" w:color="231F20"/>
            </w:tcBorders>
          </w:tcPr>
          <w:p w14:paraId="7121BD61" w14:textId="77777777" w:rsidR="009948F1" w:rsidRDefault="00BC0563">
            <w:pPr>
              <w:pStyle w:val="TableParagraph"/>
              <w:spacing w:before="98"/>
              <w:ind w:left="85"/>
              <w:rPr>
                <w:sz w:val="17"/>
              </w:rPr>
            </w:pPr>
            <w:r>
              <w:rPr>
                <w:color w:val="231F20"/>
                <w:w w:val="75"/>
                <w:sz w:val="17"/>
              </w:rPr>
              <w:t>8.6.7.b</w:t>
            </w:r>
          </w:p>
        </w:tc>
        <w:tc>
          <w:tcPr>
            <w:tcW w:w="4971" w:type="dxa"/>
            <w:gridSpan w:val="2"/>
            <w:tcBorders>
              <w:left w:val="single" w:sz="6" w:space="0" w:color="231F20"/>
              <w:bottom w:val="single" w:sz="12" w:space="0" w:color="231F20"/>
              <w:right w:val="single" w:sz="6" w:space="0" w:color="231F20"/>
            </w:tcBorders>
          </w:tcPr>
          <w:p w14:paraId="366B14B2" w14:textId="77777777" w:rsidR="009948F1" w:rsidRDefault="00BC0563">
            <w:pPr>
              <w:pStyle w:val="TableParagraph"/>
              <w:spacing w:before="91"/>
              <w:ind w:left="25"/>
              <w:rPr>
                <w:sz w:val="17"/>
              </w:rPr>
            </w:pPr>
            <w:r>
              <w:rPr>
                <w:color w:val="231F20"/>
                <w:w w:val="80"/>
                <w:sz w:val="17"/>
              </w:rPr>
              <w:t>Hold quarterly collaboration meeting</w:t>
            </w:r>
          </w:p>
        </w:tc>
        <w:tc>
          <w:tcPr>
            <w:tcW w:w="1449" w:type="dxa"/>
            <w:tcBorders>
              <w:left w:val="single" w:sz="6" w:space="0" w:color="231F20"/>
              <w:bottom w:val="single" w:sz="12" w:space="0" w:color="231F20"/>
              <w:right w:val="single" w:sz="6" w:space="0" w:color="231F20"/>
            </w:tcBorders>
          </w:tcPr>
          <w:p w14:paraId="4505BE37" w14:textId="77777777" w:rsidR="009948F1" w:rsidRDefault="00BC0563">
            <w:pPr>
              <w:pStyle w:val="TableParagraph"/>
              <w:spacing w:before="98"/>
              <w:ind w:left="26"/>
              <w:rPr>
                <w:sz w:val="17"/>
              </w:rPr>
            </w:pPr>
            <w:r>
              <w:rPr>
                <w:color w:val="231F20"/>
                <w:w w:val="80"/>
                <w:sz w:val="17"/>
              </w:rPr>
              <w:t>Lack of funds</w:t>
            </w:r>
          </w:p>
        </w:tc>
        <w:tc>
          <w:tcPr>
            <w:tcW w:w="1528" w:type="dxa"/>
            <w:tcBorders>
              <w:left w:val="single" w:sz="6" w:space="0" w:color="231F20"/>
              <w:bottom w:val="single" w:sz="12" w:space="0" w:color="231F20"/>
              <w:right w:val="single" w:sz="6" w:space="0" w:color="231F20"/>
            </w:tcBorders>
          </w:tcPr>
          <w:p w14:paraId="085F1DC0" w14:textId="77777777" w:rsidR="009948F1" w:rsidRDefault="00BC0563">
            <w:pPr>
              <w:pStyle w:val="TableParagraph"/>
              <w:spacing w:before="98"/>
              <w:ind w:left="27"/>
              <w:rPr>
                <w:sz w:val="17"/>
              </w:rPr>
            </w:pPr>
            <w:r>
              <w:rPr>
                <w:color w:val="231F20"/>
                <w:w w:val="80"/>
                <w:sz w:val="17"/>
              </w:rPr>
              <w:t>Hold meeting</w:t>
            </w:r>
          </w:p>
        </w:tc>
      </w:tr>
    </w:tbl>
    <w:p w14:paraId="0CEE96DF" w14:textId="77777777" w:rsidR="009948F1" w:rsidRDefault="009948F1">
      <w:pPr>
        <w:rPr>
          <w:sz w:val="17"/>
        </w:rPr>
        <w:sectPr w:rsidR="009948F1">
          <w:pgSz w:w="11910" w:h="16840"/>
          <w:pgMar w:top="1280" w:right="1080" w:bottom="1340" w:left="1120" w:header="0" w:footer="1155" w:gutter="0"/>
          <w:cols w:space="720"/>
        </w:sectPr>
      </w:pPr>
    </w:p>
    <w:p w14:paraId="381E9080" w14:textId="77777777" w:rsidR="009948F1" w:rsidRDefault="00244DD0">
      <w:pPr>
        <w:pStyle w:val="BodyText"/>
        <w:rPr>
          <w:sz w:val="20"/>
        </w:rPr>
      </w:pPr>
      <w:r>
        <w:lastRenderedPageBreak/>
        <w:pict w14:anchorId="64B10089">
          <v:shape id="_x0000_s2053" type="#_x0000_t202" style="position:absolute;margin-left:63.95pt;margin-top:66.3pt;width:467.75pt;height:677.45pt;z-index:15749120;mso-position-horizontal-relative:page;mso-position-vertical-relative:page" filled="f" stroked="f">
            <v:textbox inset="0,0,0,0">
              <w:txbxContent>
                <w:tbl>
                  <w:tblPr>
                    <w:tblW w:w="0" w:type="auto"/>
                    <w:tblInd w:w="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78"/>
                    <w:gridCol w:w="403"/>
                    <w:gridCol w:w="451"/>
                    <w:gridCol w:w="522"/>
                    <w:gridCol w:w="2494"/>
                    <w:gridCol w:w="2368"/>
                    <w:gridCol w:w="1417"/>
                    <w:gridCol w:w="1495"/>
                  </w:tblGrid>
                  <w:tr w:rsidR="00080B77" w14:paraId="052D9725" w14:textId="77777777">
                    <w:trPr>
                      <w:trHeight w:val="436"/>
                    </w:trPr>
                    <w:tc>
                      <w:tcPr>
                        <w:tcW w:w="9328" w:type="dxa"/>
                        <w:gridSpan w:val="8"/>
                        <w:tcBorders>
                          <w:left w:val="single" w:sz="6" w:space="0" w:color="231F20"/>
                          <w:right w:val="single" w:sz="6" w:space="0" w:color="231F20"/>
                        </w:tcBorders>
                      </w:tcPr>
                      <w:p w14:paraId="7F69494A" w14:textId="77777777" w:rsidR="00080B77" w:rsidRDefault="00080B77">
                        <w:pPr>
                          <w:pStyle w:val="TableParagraph"/>
                          <w:spacing w:before="63"/>
                          <w:ind w:left="2512" w:right="2482"/>
                          <w:jc w:val="center"/>
                          <w:rPr>
                            <w:b/>
                            <w:sz w:val="25"/>
                          </w:rPr>
                        </w:pPr>
                        <w:r>
                          <w:rPr>
                            <w:b/>
                            <w:color w:val="231F20"/>
                            <w:w w:val="80"/>
                            <w:sz w:val="25"/>
                          </w:rPr>
                          <w:t>Strategic Pillar Three: Health system support</w:t>
                        </w:r>
                      </w:p>
                    </w:tc>
                  </w:tr>
                  <w:tr w:rsidR="00080B77" w14:paraId="0725EB3D" w14:textId="77777777">
                    <w:trPr>
                      <w:trHeight w:val="213"/>
                    </w:trPr>
                    <w:tc>
                      <w:tcPr>
                        <w:tcW w:w="9328" w:type="dxa"/>
                        <w:gridSpan w:val="8"/>
                        <w:tcBorders>
                          <w:left w:val="single" w:sz="6" w:space="0" w:color="231F20"/>
                          <w:bottom w:val="single" w:sz="8" w:space="0" w:color="231F20"/>
                          <w:right w:val="single" w:sz="6" w:space="0" w:color="231F20"/>
                        </w:tcBorders>
                        <w:shd w:val="clear" w:color="auto" w:fill="A6CE39"/>
                      </w:tcPr>
                      <w:p w14:paraId="410C1246" w14:textId="77777777" w:rsidR="00080B77" w:rsidRDefault="00080B77">
                        <w:pPr>
                          <w:pStyle w:val="TableParagraph"/>
                          <w:spacing w:before="2" w:line="191" w:lineRule="exact"/>
                          <w:ind w:left="2512" w:right="2451"/>
                          <w:jc w:val="center"/>
                          <w:rPr>
                            <w:b/>
                            <w:sz w:val="19"/>
                          </w:rPr>
                        </w:pPr>
                        <w:r>
                          <w:rPr>
                            <w:b/>
                            <w:color w:val="231F20"/>
                            <w:w w:val="85"/>
                            <w:sz w:val="19"/>
                          </w:rPr>
                          <w:t>9.Human Resource for Health</w:t>
                        </w:r>
                      </w:p>
                    </w:tc>
                  </w:tr>
                  <w:tr w:rsidR="00080B77" w14:paraId="1FF26083" w14:textId="77777777">
                    <w:trPr>
                      <w:trHeight w:val="219"/>
                    </w:trPr>
                    <w:tc>
                      <w:tcPr>
                        <w:tcW w:w="9328" w:type="dxa"/>
                        <w:gridSpan w:val="8"/>
                        <w:tcBorders>
                          <w:top w:val="single" w:sz="8" w:space="0" w:color="231F20"/>
                          <w:left w:val="single" w:sz="6" w:space="0" w:color="231F20"/>
                          <w:bottom w:val="single" w:sz="8" w:space="0" w:color="231F20"/>
                          <w:right w:val="single" w:sz="6" w:space="0" w:color="231F20"/>
                        </w:tcBorders>
                        <w:shd w:val="clear" w:color="auto" w:fill="F6ADCD"/>
                      </w:tcPr>
                      <w:p w14:paraId="54BE3489" w14:textId="77777777" w:rsidR="00080B77" w:rsidRDefault="00080B77">
                        <w:pPr>
                          <w:pStyle w:val="TableParagraph"/>
                          <w:ind w:left="121"/>
                          <w:rPr>
                            <w:b/>
                            <w:sz w:val="17"/>
                          </w:rPr>
                        </w:pPr>
                        <w:r>
                          <w:rPr>
                            <w:b/>
                            <w:color w:val="231F20"/>
                            <w:w w:val="70"/>
                            <w:sz w:val="17"/>
                          </w:rPr>
                          <w:t>9. To have in place the right number, skill mix of competent, motivated, productive and equitably distributed health work force for optimal and quality health care</w:t>
                        </w:r>
                      </w:p>
                    </w:tc>
                  </w:tr>
                  <w:tr w:rsidR="00080B77" w14:paraId="58AEB085" w14:textId="77777777">
                    <w:trPr>
                      <w:trHeight w:val="873"/>
                    </w:trPr>
                    <w:tc>
                      <w:tcPr>
                        <w:tcW w:w="178" w:type="dxa"/>
                        <w:tcBorders>
                          <w:top w:val="single" w:sz="8" w:space="0" w:color="231F20"/>
                          <w:left w:val="single" w:sz="6" w:space="0" w:color="231F20"/>
                          <w:bottom w:val="nil"/>
                          <w:right w:val="single" w:sz="6" w:space="0" w:color="231F20"/>
                        </w:tcBorders>
                      </w:tcPr>
                      <w:p w14:paraId="306D34EB" w14:textId="77777777" w:rsidR="00080B77" w:rsidRDefault="00080B77">
                        <w:pPr>
                          <w:pStyle w:val="TableParagraph"/>
                          <w:rPr>
                            <w:rFonts w:ascii="Times New Roman"/>
                            <w:sz w:val="10"/>
                          </w:rPr>
                        </w:pPr>
                      </w:p>
                    </w:tc>
                    <w:tc>
                      <w:tcPr>
                        <w:tcW w:w="403" w:type="dxa"/>
                        <w:tcBorders>
                          <w:top w:val="single" w:sz="8" w:space="0" w:color="231F20"/>
                          <w:left w:val="single" w:sz="6" w:space="0" w:color="231F20"/>
                          <w:bottom w:val="single" w:sz="8" w:space="0" w:color="231F20"/>
                          <w:right w:val="single" w:sz="6" w:space="0" w:color="231F20"/>
                        </w:tcBorders>
                        <w:shd w:val="clear" w:color="auto" w:fill="FFF200"/>
                      </w:tcPr>
                      <w:p w14:paraId="6893DF1B" w14:textId="77777777" w:rsidR="00080B77" w:rsidRDefault="00080B77">
                        <w:pPr>
                          <w:pStyle w:val="TableParagraph"/>
                          <w:rPr>
                            <w:sz w:val="16"/>
                          </w:rPr>
                        </w:pPr>
                      </w:p>
                      <w:p w14:paraId="0BE2F072" w14:textId="77777777" w:rsidR="00080B77" w:rsidRDefault="00080B77">
                        <w:pPr>
                          <w:pStyle w:val="TableParagraph"/>
                          <w:spacing w:before="6"/>
                          <w:rPr>
                            <w:sz w:val="13"/>
                          </w:rPr>
                        </w:pPr>
                      </w:p>
                      <w:p w14:paraId="1C2EEC87" w14:textId="77777777" w:rsidR="00080B77" w:rsidRDefault="00080B77">
                        <w:pPr>
                          <w:pStyle w:val="TableParagraph"/>
                          <w:ind w:right="36"/>
                          <w:jc w:val="right"/>
                          <w:rPr>
                            <w:b/>
                            <w:sz w:val="17"/>
                          </w:rPr>
                        </w:pPr>
                        <w:r>
                          <w:rPr>
                            <w:b/>
                            <w:color w:val="231F20"/>
                            <w:w w:val="70"/>
                            <w:sz w:val="17"/>
                          </w:rPr>
                          <w:t>9.1</w:t>
                        </w:r>
                      </w:p>
                    </w:tc>
                    <w:tc>
                      <w:tcPr>
                        <w:tcW w:w="5835" w:type="dxa"/>
                        <w:gridSpan w:val="4"/>
                        <w:tcBorders>
                          <w:top w:val="single" w:sz="8" w:space="0" w:color="231F20"/>
                          <w:left w:val="single" w:sz="6" w:space="0" w:color="231F20"/>
                          <w:bottom w:val="single" w:sz="8" w:space="0" w:color="231F20"/>
                          <w:right w:val="single" w:sz="8" w:space="0" w:color="231F20"/>
                        </w:tcBorders>
                        <w:shd w:val="clear" w:color="auto" w:fill="FFF200"/>
                      </w:tcPr>
                      <w:p w14:paraId="4F34C9D7" w14:textId="77777777" w:rsidR="00080B77" w:rsidRDefault="00080B77">
                        <w:pPr>
                          <w:pStyle w:val="TableParagraph"/>
                          <w:spacing w:line="169" w:lineRule="exact"/>
                          <w:ind w:left="3551"/>
                          <w:rPr>
                            <w:b/>
                            <w:sz w:val="17"/>
                          </w:rPr>
                        </w:pPr>
                        <w:r>
                          <w:rPr>
                            <w:b/>
                            <w:color w:val="231F20"/>
                            <w:w w:val="80"/>
                            <w:sz w:val="17"/>
                          </w:rPr>
                          <w:t>services provision.</w:t>
                        </w:r>
                      </w:p>
                      <w:p w14:paraId="37300BEE" w14:textId="5857DD2F" w:rsidR="00080B77" w:rsidRDefault="00080B77">
                        <w:pPr>
                          <w:pStyle w:val="TableParagraph"/>
                          <w:spacing w:before="58" w:line="261" w:lineRule="auto"/>
                          <w:ind w:left="22" w:right="559" w:firstLine="32"/>
                          <w:rPr>
                            <w:b/>
                            <w:sz w:val="17"/>
                          </w:rPr>
                        </w:pPr>
                        <w:r>
                          <w:rPr>
                            <w:b/>
                            <w:color w:val="231F20"/>
                            <w:w w:val="70"/>
                            <w:sz w:val="17"/>
                          </w:rPr>
                          <w:t xml:space="preserve">Ensure coordination and partnership for aligning investment of current and future needs and </w:t>
                        </w:r>
                        <w:r>
                          <w:rPr>
                            <w:b/>
                            <w:color w:val="231F20"/>
                            <w:w w:val="80"/>
                            <w:sz w:val="17"/>
                          </w:rPr>
                          <w:t>institutional strengthening for HRH agenda</w:t>
                        </w:r>
                      </w:p>
                    </w:tc>
                    <w:tc>
                      <w:tcPr>
                        <w:tcW w:w="1417" w:type="dxa"/>
                        <w:tcBorders>
                          <w:top w:val="single" w:sz="8" w:space="0" w:color="231F20"/>
                          <w:left w:val="single" w:sz="8" w:space="0" w:color="231F20"/>
                          <w:bottom w:val="single" w:sz="8" w:space="0" w:color="231F20"/>
                          <w:right w:val="single" w:sz="8" w:space="0" w:color="231F20"/>
                        </w:tcBorders>
                        <w:shd w:val="clear" w:color="auto" w:fill="FFF200"/>
                      </w:tcPr>
                      <w:p w14:paraId="49468699" w14:textId="77777777" w:rsidR="00080B77" w:rsidRDefault="00080B77">
                        <w:pPr>
                          <w:pStyle w:val="TableParagraph"/>
                          <w:rPr>
                            <w:rFonts w:ascii="Times New Roman"/>
                            <w:sz w:val="10"/>
                          </w:rPr>
                        </w:pPr>
                      </w:p>
                    </w:tc>
                    <w:tc>
                      <w:tcPr>
                        <w:tcW w:w="1495" w:type="dxa"/>
                        <w:tcBorders>
                          <w:top w:val="single" w:sz="8" w:space="0" w:color="231F20"/>
                          <w:left w:val="single" w:sz="8" w:space="0" w:color="231F20"/>
                          <w:bottom w:val="single" w:sz="8" w:space="0" w:color="231F20"/>
                          <w:right w:val="single" w:sz="6" w:space="0" w:color="231F20"/>
                        </w:tcBorders>
                        <w:shd w:val="clear" w:color="auto" w:fill="FFF200"/>
                      </w:tcPr>
                      <w:p w14:paraId="31A66CF5" w14:textId="77777777" w:rsidR="00080B77" w:rsidRDefault="00080B77">
                        <w:pPr>
                          <w:pStyle w:val="TableParagraph"/>
                          <w:rPr>
                            <w:rFonts w:ascii="Times New Roman"/>
                            <w:sz w:val="10"/>
                          </w:rPr>
                        </w:pPr>
                      </w:p>
                    </w:tc>
                  </w:tr>
                  <w:tr w:rsidR="00080B77" w14:paraId="4379365E" w14:textId="77777777">
                    <w:trPr>
                      <w:trHeight w:val="1420"/>
                    </w:trPr>
                    <w:tc>
                      <w:tcPr>
                        <w:tcW w:w="581" w:type="dxa"/>
                        <w:gridSpan w:val="2"/>
                        <w:tcBorders>
                          <w:top w:val="nil"/>
                          <w:left w:val="single" w:sz="6" w:space="0" w:color="231F20"/>
                          <w:bottom w:val="nil"/>
                          <w:right w:val="single" w:sz="6" w:space="0" w:color="231F20"/>
                        </w:tcBorders>
                      </w:tcPr>
                      <w:p w14:paraId="40B6BD07" w14:textId="77777777" w:rsidR="00080B77" w:rsidRDefault="00080B77">
                        <w:pPr>
                          <w:pStyle w:val="TableParagraph"/>
                          <w:rPr>
                            <w:rFonts w:ascii="Times New Roman"/>
                            <w:sz w:val="10"/>
                          </w:rPr>
                        </w:pPr>
                      </w:p>
                    </w:tc>
                    <w:tc>
                      <w:tcPr>
                        <w:tcW w:w="451" w:type="dxa"/>
                        <w:tcBorders>
                          <w:top w:val="single" w:sz="8" w:space="0" w:color="231F20"/>
                          <w:left w:val="single" w:sz="6" w:space="0" w:color="231F20"/>
                          <w:bottom w:val="single" w:sz="8" w:space="0" w:color="231F20"/>
                          <w:right w:val="single" w:sz="6" w:space="0" w:color="231F20"/>
                        </w:tcBorders>
                        <w:shd w:val="clear" w:color="auto" w:fill="CCE7D3"/>
                      </w:tcPr>
                      <w:p w14:paraId="3D7E7FCC" w14:textId="77777777" w:rsidR="00080B77" w:rsidRDefault="00080B77">
                        <w:pPr>
                          <w:pStyle w:val="TableParagraph"/>
                          <w:rPr>
                            <w:sz w:val="16"/>
                          </w:rPr>
                        </w:pPr>
                      </w:p>
                      <w:p w14:paraId="38F98F2D" w14:textId="77777777" w:rsidR="00080B77" w:rsidRDefault="00080B77">
                        <w:pPr>
                          <w:pStyle w:val="TableParagraph"/>
                          <w:rPr>
                            <w:sz w:val="16"/>
                          </w:rPr>
                        </w:pPr>
                      </w:p>
                      <w:p w14:paraId="58F6718F" w14:textId="77777777" w:rsidR="00080B77" w:rsidRDefault="00080B77">
                        <w:pPr>
                          <w:pStyle w:val="TableParagraph"/>
                          <w:spacing w:before="2"/>
                          <w:rPr>
                            <w:sz w:val="21"/>
                          </w:rPr>
                        </w:pPr>
                      </w:p>
                      <w:p w14:paraId="016F6E58" w14:textId="77777777" w:rsidR="00080B77" w:rsidRDefault="00080B77">
                        <w:pPr>
                          <w:pStyle w:val="TableParagraph"/>
                          <w:ind w:left="55"/>
                          <w:rPr>
                            <w:sz w:val="17"/>
                          </w:rPr>
                        </w:pPr>
                        <w:r>
                          <w:rPr>
                            <w:color w:val="231F20"/>
                            <w:w w:val="80"/>
                            <w:sz w:val="17"/>
                          </w:rPr>
                          <w:t>9.1.1</w:t>
                        </w:r>
                      </w:p>
                    </w:tc>
                    <w:tc>
                      <w:tcPr>
                        <w:tcW w:w="3016" w:type="dxa"/>
                        <w:gridSpan w:val="2"/>
                        <w:tcBorders>
                          <w:top w:val="single" w:sz="8" w:space="0" w:color="231F20"/>
                          <w:left w:val="single" w:sz="6" w:space="0" w:color="231F20"/>
                          <w:bottom w:val="single" w:sz="8" w:space="0" w:color="231F20"/>
                          <w:right w:val="single" w:sz="6" w:space="0" w:color="231F20"/>
                        </w:tcBorders>
                        <w:shd w:val="clear" w:color="auto" w:fill="CCE7D3"/>
                      </w:tcPr>
                      <w:p w14:paraId="2AE8CEF5" w14:textId="77777777" w:rsidR="00080B77" w:rsidRDefault="00080B77">
                        <w:pPr>
                          <w:pStyle w:val="TableParagraph"/>
                          <w:rPr>
                            <w:sz w:val="16"/>
                          </w:rPr>
                        </w:pPr>
                      </w:p>
                      <w:p w14:paraId="40584E31" w14:textId="77777777" w:rsidR="00080B77" w:rsidRDefault="00080B77">
                        <w:pPr>
                          <w:pStyle w:val="TableParagraph"/>
                          <w:rPr>
                            <w:sz w:val="16"/>
                          </w:rPr>
                        </w:pPr>
                      </w:p>
                      <w:p w14:paraId="16BC9431" w14:textId="77777777" w:rsidR="00080B77" w:rsidRDefault="00080B77">
                        <w:pPr>
                          <w:pStyle w:val="TableParagraph"/>
                          <w:spacing w:before="132" w:line="254" w:lineRule="auto"/>
                          <w:ind w:left="23" w:right="48" w:firstLine="32"/>
                          <w:rPr>
                            <w:sz w:val="17"/>
                          </w:rPr>
                        </w:pPr>
                        <w:r>
                          <w:rPr>
                            <w:color w:val="231F20"/>
                            <w:w w:val="70"/>
                            <w:sz w:val="17"/>
                          </w:rPr>
                          <w:t xml:space="preserve">Strengthen institutional capacities of HRH coordinating </w:t>
                        </w:r>
                        <w:r>
                          <w:rPr>
                            <w:color w:val="231F20"/>
                            <w:w w:val="80"/>
                            <w:sz w:val="17"/>
                          </w:rPr>
                          <w:t>structures</w:t>
                        </w:r>
                      </w:p>
                    </w:tc>
                    <w:tc>
                      <w:tcPr>
                        <w:tcW w:w="2368" w:type="dxa"/>
                        <w:tcBorders>
                          <w:top w:val="single" w:sz="8" w:space="0" w:color="231F20"/>
                          <w:left w:val="single" w:sz="6" w:space="0" w:color="231F20"/>
                          <w:bottom w:val="single" w:sz="8" w:space="0" w:color="231F20"/>
                          <w:right w:val="single" w:sz="6" w:space="0" w:color="231F20"/>
                        </w:tcBorders>
                        <w:shd w:val="clear" w:color="auto" w:fill="CCE7D3"/>
                      </w:tcPr>
                      <w:p w14:paraId="5B8DEAA0" w14:textId="77777777" w:rsidR="00080B77" w:rsidRDefault="00080B77">
                        <w:pPr>
                          <w:pStyle w:val="TableParagraph"/>
                          <w:numPr>
                            <w:ilvl w:val="0"/>
                            <w:numId w:val="69"/>
                          </w:numPr>
                          <w:tabs>
                            <w:tab w:val="left" w:pos="99"/>
                          </w:tabs>
                          <w:spacing w:line="254" w:lineRule="auto"/>
                          <w:ind w:right="134" w:firstLine="0"/>
                          <w:rPr>
                            <w:sz w:val="17"/>
                          </w:rPr>
                        </w:pPr>
                        <w:r>
                          <w:rPr>
                            <w:color w:val="231F20"/>
                            <w:w w:val="70"/>
                            <w:sz w:val="17"/>
                          </w:rPr>
                          <w:t>Practical</w:t>
                        </w:r>
                        <w:r>
                          <w:rPr>
                            <w:color w:val="231F20"/>
                            <w:spacing w:val="-8"/>
                            <w:w w:val="70"/>
                            <w:sz w:val="17"/>
                          </w:rPr>
                          <w:t xml:space="preserve"> </w:t>
                        </w:r>
                        <w:r>
                          <w:rPr>
                            <w:color w:val="231F20"/>
                            <w:w w:val="70"/>
                            <w:sz w:val="17"/>
                          </w:rPr>
                          <w:t>demonstration</w:t>
                        </w:r>
                        <w:r>
                          <w:rPr>
                            <w:color w:val="231F20"/>
                            <w:spacing w:val="-8"/>
                            <w:w w:val="70"/>
                            <w:sz w:val="17"/>
                          </w:rPr>
                          <w:t xml:space="preserve"> </w:t>
                        </w:r>
                        <w:r>
                          <w:rPr>
                            <w:color w:val="231F20"/>
                            <w:w w:val="70"/>
                            <w:sz w:val="17"/>
                          </w:rPr>
                          <w:t>rooms</w:t>
                        </w:r>
                        <w:r>
                          <w:rPr>
                            <w:color w:val="231F20"/>
                            <w:spacing w:val="-8"/>
                            <w:w w:val="70"/>
                            <w:sz w:val="17"/>
                          </w:rPr>
                          <w:t xml:space="preserve"> </w:t>
                        </w:r>
                        <w:r>
                          <w:rPr>
                            <w:color w:val="231F20"/>
                            <w:w w:val="70"/>
                            <w:sz w:val="17"/>
                          </w:rPr>
                          <w:t>of</w:t>
                        </w:r>
                        <w:r>
                          <w:rPr>
                            <w:color w:val="231F20"/>
                            <w:spacing w:val="-7"/>
                            <w:w w:val="70"/>
                            <w:sz w:val="17"/>
                          </w:rPr>
                          <w:t xml:space="preserve"> </w:t>
                        </w:r>
                        <w:r>
                          <w:rPr>
                            <w:color w:val="231F20"/>
                            <w:w w:val="70"/>
                            <w:sz w:val="17"/>
                          </w:rPr>
                          <w:t xml:space="preserve">School </w:t>
                        </w:r>
                        <w:r>
                          <w:rPr>
                            <w:color w:val="231F20"/>
                            <w:w w:val="75"/>
                            <w:sz w:val="17"/>
                          </w:rPr>
                          <w:t>of</w:t>
                        </w:r>
                        <w:r>
                          <w:rPr>
                            <w:color w:val="231F20"/>
                            <w:spacing w:val="-22"/>
                            <w:w w:val="75"/>
                            <w:sz w:val="17"/>
                          </w:rPr>
                          <w:t xml:space="preserve"> </w:t>
                        </w:r>
                        <w:r>
                          <w:rPr>
                            <w:color w:val="231F20"/>
                            <w:w w:val="75"/>
                            <w:sz w:val="17"/>
                          </w:rPr>
                          <w:t>Midwifery</w:t>
                        </w:r>
                        <w:r>
                          <w:rPr>
                            <w:color w:val="231F20"/>
                            <w:spacing w:val="-21"/>
                            <w:w w:val="75"/>
                            <w:sz w:val="17"/>
                          </w:rPr>
                          <w:t xml:space="preserve"> </w:t>
                        </w:r>
                        <w:r>
                          <w:rPr>
                            <w:color w:val="231F20"/>
                            <w:w w:val="75"/>
                            <w:sz w:val="17"/>
                          </w:rPr>
                          <w:t>and</w:t>
                        </w:r>
                        <w:r>
                          <w:rPr>
                            <w:color w:val="231F20"/>
                            <w:spacing w:val="-21"/>
                            <w:w w:val="75"/>
                            <w:sz w:val="17"/>
                          </w:rPr>
                          <w:t xml:space="preserve"> </w:t>
                        </w:r>
                        <w:r>
                          <w:rPr>
                            <w:color w:val="231F20"/>
                            <w:w w:val="75"/>
                            <w:sz w:val="17"/>
                          </w:rPr>
                          <w:t>School</w:t>
                        </w:r>
                        <w:r>
                          <w:rPr>
                            <w:color w:val="231F20"/>
                            <w:spacing w:val="-21"/>
                            <w:w w:val="75"/>
                            <w:sz w:val="17"/>
                          </w:rPr>
                          <w:t xml:space="preserve"> </w:t>
                        </w:r>
                        <w:r>
                          <w:rPr>
                            <w:color w:val="231F20"/>
                            <w:w w:val="75"/>
                            <w:sz w:val="17"/>
                          </w:rPr>
                          <w:t>of</w:t>
                        </w:r>
                        <w:r>
                          <w:rPr>
                            <w:color w:val="231F20"/>
                            <w:spacing w:val="-21"/>
                            <w:w w:val="75"/>
                            <w:sz w:val="17"/>
                          </w:rPr>
                          <w:t xml:space="preserve"> </w:t>
                        </w:r>
                        <w:r>
                          <w:rPr>
                            <w:color w:val="231F20"/>
                            <w:w w:val="75"/>
                            <w:sz w:val="17"/>
                          </w:rPr>
                          <w:t>Public</w:t>
                        </w:r>
                        <w:r>
                          <w:rPr>
                            <w:color w:val="231F20"/>
                            <w:spacing w:val="-21"/>
                            <w:w w:val="75"/>
                            <w:sz w:val="17"/>
                          </w:rPr>
                          <w:t xml:space="preserve"> </w:t>
                        </w:r>
                        <w:r>
                          <w:rPr>
                            <w:color w:val="231F20"/>
                            <w:w w:val="75"/>
                            <w:sz w:val="17"/>
                          </w:rPr>
                          <w:t xml:space="preserve">Health </w:t>
                        </w:r>
                        <w:r>
                          <w:rPr>
                            <w:color w:val="231F20"/>
                            <w:w w:val="80"/>
                            <w:sz w:val="17"/>
                          </w:rPr>
                          <w:t>equipped</w:t>
                        </w:r>
                      </w:p>
                      <w:p w14:paraId="6E6ED942" w14:textId="77777777" w:rsidR="00080B77" w:rsidRDefault="00080B77">
                        <w:pPr>
                          <w:pStyle w:val="TableParagraph"/>
                          <w:numPr>
                            <w:ilvl w:val="0"/>
                            <w:numId w:val="69"/>
                          </w:numPr>
                          <w:tabs>
                            <w:tab w:val="left" w:pos="68"/>
                          </w:tabs>
                          <w:ind w:left="67" w:hanging="44"/>
                          <w:rPr>
                            <w:sz w:val="17"/>
                          </w:rPr>
                        </w:pPr>
                        <w:r>
                          <w:rPr>
                            <w:color w:val="231F20"/>
                            <w:w w:val="75"/>
                            <w:sz w:val="17"/>
                          </w:rPr>
                          <w:t>School</w:t>
                        </w:r>
                        <w:r>
                          <w:rPr>
                            <w:color w:val="231F20"/>
                            <w:spacing w:val="-18"/>
                            <w:w w:val="75"/>
                            <w:sz w:val="17"/>
                          </w:rPr>
                          <w:t xml:space="preserve"> </w:t>
                        </w:r>
                        <w:r>
                          <w:rPr>
                            <w:color w:val="231F20"/>
                            <w:w w:val="75"/>
                            <w:sz w:val="17"/>
                          </w:rPr>
                          <w:t>of</w:t>
                        </w:r>
                        <w:r>
                          <w:rPr>
                            <w:color w:val="231F20"/>
                            <w:spacing w:val="-17"/>
                            <w:w w:val="75"/>
                            <w:sz w:val="17"/>
                          </w:rPr>
                          <w:t xml:space="preserve"> </w:t>
                        </w:r>
                        <w:r>
                          <w:rPr>
                            <w:color w:val="231F20"/>
                            <w:w w:val="75"/>
                            <w:sz w:val="17"/>
                          </w:rPr>
                          <w:t>Nursing</w:t>
                        </w:r>
                        <w:r>
                          <w:rPr>
                            <w:color w:val="231F20"/>
                            <w:spacing w:val="-17"/>
                            <w:w w:val="75"/>
                            <w:sz w:val="17"/>
                          </w:rPr>
                          <w:t xml:space="preserve"> </w:t>
                        </w:r>
                        <w:r>
                          <w:rPr>
                            <w:color w:val="231F20"/>
                            <w:w w:val="75"/>
                            <w:sz w:val="17"/>
                          </w:rPr>
                          <w:t>classroom</w:t>
                        </w:r>
                        <w:r>
                          <w:rPr>
                            <w:color w:val="231F20"/>
                            <w:spacing w:val="-18"/>
                            <w:w w:val="75"/>
                            <w:sz w:val="17"/>
                          </w:rPr>
                          <w:t xml:space="preserve"> </w:t>
                        </w:r>
                        <w:r>
                          <w:rPr>
                            <w:color w:val="231F20"/>
                            <w:w w:val="75"/>
                            <w:sz w:val="17"/>
                          </w:rPr>
                          <w:t>renovated</w:t>
                        </w:r>
                      </w:p>
                      <w:p w14:paraId="2D91B0B7" w14:textId="77777777" w:rsidR="00080B77" w:rsidRDefault="00080B77">
                        <w:pPr>
                          <w:pStyle w:val="TableParagraph"/>
                          <w:numPr>
                            <w:ilvl w:val="0"/>
                            <w:numId w:val="69"/>
                          </w:numPr>
                          <w:tabs>
                            <w:tab w:val="left" w:pos="132"/>
                          </w:tabs>
                          <w:spacing w:before="5" w:line="200" w:lineRule="atLeast"/>
                          <w:ind w:right="62" w:firstLine="0"/>
                          <w:rPr>
                            <w:sz w:val="17"/>
                          </w:rPr>
                        </w:pPr>
                        <w:r>
                          <w:rPr>
                            <w:color w:val="231F20"/>
                            <w:w w:val="70"/>
                            <w:sz w:val="17"/>
                          </w:rPr>
                          <w:t>College of Health Science &amp; Technology Academic</w:t>
                        </w:r>
                        <w:r>
                          <w:rPr>
                            <w:color w:val="231F20"/>
                            <w:spacing w:val="-5"/>
                            <w:w w:val="70"/>
                            <w:sz w:val="17"/>
                          </w:rPr>
                          <w:t xml:space="preserve"> </w:t>
                        </w:r>
                        <w:r>
                          <w:rPr>
                            <w:color w:val="231F20"/>
                            <w:w w:val="70"/>
                            <w:sz w:val="17"/>
                          </w:rPr>
                          <w:t>Staff,</w:t>
                        </w:r>
                        <w:r>
                          <w:rPr>
                            <w:color w:val="231F20"/>
                            <w:spacing w:val="-4"/>
                            <w:w w:val="70"/>
                            <w:sz w:val="17"/>
                          </w:rPr>
                          <w:t xml:space="preserve"> </w:t>
                        </w:r>
                        <w:r>
                          <w:rPr>
                            <w:color w:val="231F20"/>
                            <w:w w:val="70"/>
                            <w:sz w:val="17"/>
                          </w:rPr>
                          <w:t>Senior</w:t>
                        </w:r>
                        <w:r>
                          <w:rPr>
                            <w:color w:val="231F20"/>
                            <w:spacing w:val="-4"/>
                            <w:w w:val="70"/>
                            <w:sz w:val="17"/>
                          </w:rPr>
                          <w:t xml:space="preserve"> </w:t>
                        </w:r>
                        <w:r>
                          <w:rPr>
                            <w:color w:val="231F20"/>
                            <w:w w:val="70"/>
                            <w:sz w:val="17"/>
                          </w:rPr>
                          <w:t>Non</w:t>
                        </w:r>
                        <w:r>
                          <w:rPr>
                            <w:color w:val="231F20"/>
                            <w:spacing w:val="-9"/>
                            <w:w w:val="70"/>
                            <w:sz w:val="17"/>
                          </w:rPr>
                          <w:t xml:space="preserve"> </w:t>
                        </w:r>
                        <w:r>
                          <w:rPr>
                            <w:color w:val="231F20"/>
                            <w:w w:val="70"/>
                            <w:sz w:val="17"/>
                          </w:rPr>
                          <w:t>Academic</w:t>
                        </w:r>
                        <w:r>
                          <w:rPr>
                            <w:color w:val="231F20"/>
                            <w:spacing w:val="-5"/>
                            <w:w w:val="70"/>
                            <w:sz w:val="17"/>
                          </w:rPr>
                          <w:t xml:space="preserve"> </w:t>
                        </w:r>
                        <w:r>
                          <w:rPr>
                            <w:color w:val="231F20"/>
                            <w:spacing w:val="-4"/>
                            <w:w w:val="70"/>
                            <w:sz w:val="17"/>
                          </w:rPr>
                          <w:t xml:space="preserve">Staff </w:t>
                        </w:r>
                        <w:r>
                          <w:rPr>
                            <w:color w:val="231F20"/>
                            <w:w w:val="75"/>
                            <w:sz w:val="17"/>
                          </w:rPr>
                          <w:t>and</w:t>
                        </w:r>
                        <w:r>
                          <w:rPr>
                            <w:color w:val="231F20"/>
                            <w:spacing w:val="-16"/>
                            <w:w w:val="75"/>
                            <w:sz w:val="17"/>
                          </w:rPr>
                          <w:t xml:space="preserve"> </w:t>
                        </w:r>
                        <w:r>
                          <w:rPr>
                            <w:color w:val="231F20"/>
                            <w:w w:val="75"/>
                            <w:sz w:val="17"/>
                          </w:rPr>
                          <w:t>Junior</w:t>
                        </w:r>
                        <w:r>
                          <w:rPr>
                            <w:color w:val="231F20"/>
                            <w:spacing w:val="-15"/>
                            <w:w w:val="75"/>
                            <w:sz w:val="17"/>
                          </w:rPr>
                          <w:t xml:space="preserve"> </w:t>
                        </w:r>
                        <w:r>
                          <w:rPr>
                            <w:color w:val="231F20"/>
                            <w:w w:val="75"/>
                            <w:sz w:val="17"/>
                          </w:rPr>
                          <w:t>Non</w:t>
                        </w:r>
                        <w:r>
                          <w:rPr>
                            <w:color w:val="231F20"/>
                            <w:spacing w:val="-19"/>
                            <w:w w:val="75"/>
                            <w:sz w:val="17"/>
                          </w:rPr>
                          <w:t xml:space="preserve"> </w:t>
                        </w:r>
                        <w:r>
                          <w:rPr>
                            <w:color w:val="231F20"/>
                            <w:w w:val="75"/>
                            <w:sz w:val="17"/>
                          </w:rPr>
                          <w:t>Academic</w:t>
                        </w:r>
                        <w:r>
                          <w:rPr>
                            <w:color w:val="231F20"/>
                            <w:spacing w:val="-15"/>
                            <w:w w:val="75"/>
                            <w:sz w:val="17"/>
                          </w:rPr>
                          <w:t xml:space="preserve"> </w:t>
                        </w:r>
                        <w:r>
                          <w:rPr>
                            <w:color w:val="231F20"/>
                            <w:w w:val="75"/>
                            <w:sz w:val="17"/>
                          </w:rPr>
                          <w:t>Staff</w:t>
                        </w:r>
                        <w:r>
                          <w:rPr>
                            <w:color w:val="231F20"/>
                            <w:spacing w:val="-15"/>
                            <w:w w:val="75"/>
                            <w:sz w:val="17"/>
                          </w:rPr>
                          <w:t xml:space="preserve"> </w:t>
                        </w:r>
                        <w:r>
                          <w:rPr>
                            <w:color w:val="231F20"/>
                            <w:w w:val="75"/>
                            <w:sz w:val="17"/>
                          </w:rPr>
                          <w:t>trained</w:t>
                        </w:r>
                      </w:p>
                    </w:tc>
                    <w:tc>
                      <w:tcPr>
                        <w:tcW w:w="1417" w:type="dxa"/>
                        <w:tcBorders>
                          <w:top w:val="single" w:sz="8" w:space="0" w:color="231F20"/>
                          <w:left w:val="single" w:sz="6" w:space="0" w:color="231F20"/>
                          <w:bottom w:val="single" w:sz="8" w:space="0" w:color="231F20"/>
                          <w:right w:val="single" w:sz="6" w:space="0" w:color="231F20"/>
                        </w:tcBorders>
                        <w:shd w:val="clear" w:color="auto" w:fill="CCE7D3"/>
                      </w:tcPr>
                      <w:p w14:paraId="49351A25" w14:textId="77777777" w:rsidR="00080B77" w:rsidRDefault="00080B77">
                        <w:pPr>
                          <w:pStyle w:val="TableParagraph"/>
                          <w:rPr>
                            <w:rFonts w:ascii="Times New Roman"/>
                            <w:sz w:val="10"/>
                          </w:rPr>
                        </w:pPr>
                      </w:p>
                    </w:tc>
                    <w:tc>
                      <w:tcPr>
                        <w:tcW w:w="1495" w:type="dxa"/>
                        <w:tcBorders>
                          <w:top w:val="single" w:sz="8" w:space="0" w:color="231F20"/>
                          <w:left w:val="single" w:sz="6" w:space="0" w:color="231F20"/>
                          <w:bottom w:val="single" w:sz="8" w:space="0" w:color="231F20"/>
                          <w:right w:val="single" w:sz="6" w:space="0" w:color="231F20"/>
                        </w:tcBorders>
                        <w:shd w:val="clear" w:color="auto" w:fill="CCE7D3"/>
                      </w:tcPr>
                      <w:p w14:paraId="1538EA17" w14:textId="77777777" w:rsidR="00080B77" w:rsidRDefault="00080B77">
                        <w:pPr>
                          <w:pStyle w:val="TableParagraph"/>
                          <w:rPr>
                            <w:rFonts w:ascii="Times New Roman"/>
                            <w:sz w:val="10"/>
                          </w:rPr>
                        </w:pPr>
                      </w:p>
                    </w:tc>
                  </w:tr>
                  <w:tr w:rsidR="00080B77" w14:paraId="28854365" w14:textId="77777777">
                    <w:trPr>
                      <w:trHeight w:val="571"/>
                    </w:trPr>
                    <w:tc>
                      <w:tcPr>
                        <w:tcW w:w="1032" w:type="dxa"/>
                        <w:gridSpan w:val="3"/>
                        <w:vMerge w:val="restart"/>
                        <w:tcBorders>
                          <w:top w:val="nil"/>
                          <w:left w:val="single" w:sz="6" w:space="0" w:color="231F20"/>
                          <w:bottom w:val="nil"/>
                          <w:right w:val="single" w:sz="6" w:space="0" w:color="231F20"/>
                        </w:tcBorders>
                      </w:tcPr>
                      <w:p w14:paraId="1C278EF7" w14:textId="77777777" w:rsidR="00080B77" w:rsidRDefault="00080B77">
                        <w:pPr>
                          <w:pStyle w:val="TableParagraph"/>
                          <w:rPr>
                            <w:rFonts w:ascii="Times New Roman"/>
                            <w:sz w:val="10"/>
                          </w:rPr>
                        </w:pPr>
                      </w:p>
                    </w:tc>
                    <w:tc>
                      <w:tcPr>
                        <w:tcW w:w="522" w:type="dxa"/>
                        <w:tcBorders>
                          <w:top w:val="single" w:sz="8" w:space="0" w:color="231F20"/>
                          <w:left w:val="single" w:sz="6" w:space="0" w:color="231F20"/>
                          <w:bottom w:val="single" w:sz="8" w:space="0" w:color="231F20"/>
                          <w:right w:val="single" w:sz="6" w:space="0" w:color="231F20"/>
                        </w:tcBorders>
                      </w:tcPr>
                      <w:p w14:paraId="34A452E7" w14:textId="77777777" w:rsidR="00080B77" w:rsidRDefault="00080B77">
                        <w:pPr>
                          <w:pStyle w:val="TableParagraph"/>
                          <w:spacing w:before="2"/>
                          <w:rPr>
                            <w:sz w:val="16"/>
                          </w:rPr>
                        </w:pPr>
                      </w:p>
                      <w:p w14:paraId="1F0D3219" w14:textId="77777777" w:rsidR="00080B77" w:rsidRDefault="00080B77">
                        <w:pPr>
                          <w:pStyle w:val="TableParagraph"/>
                          <w:ind w:left="82"/>
                          <w:rPr>
                            <w:sz w:val="17"/>
                          </w:rPr>
                        </w:pPr>
                        <w:r>
                          <w:rPr>
                            <w:color w:val="231F20"/>
                            <w:w w:val="75"/>
                            <w:sz w:val="17"/>
                          </w:rPr>
                          <w:t>9.1.1.a</w:t>
                        </w:r>
                      </w:p>
                    </w:tc>
                    <w:tc>
                      <w:tcPr>
                        <w:tcW w:w="4862" w:type="dxa"/>
                        <w:gridSpan w:val="2"/>
                        <w:tcBorders>
                          <w:top w:val="single" w:sz="8" w:space="0" w:color="231F20"/>
                          <w:left w:val="single" w:sz="6" w:space="0" w:color="231F20"/>
                          <w:bottom w:val="single" w:sz="8" w:space="0" w:color="231F20"/>
                          <w:right w:val="single" w:sz="6" w:space="0" w:color="231F20"/>
                        </w:tcBorders>
                      </w:tcPr>
                      <w:p w14:paraId="5847BC2D" w14:textId="77777777" w:rsidR="00080B77" w:rsidRDefault="00080B77">
                        <w:pPr>
                          <w:pStyle w:val="TableParagraph"/>
                          <w:spacing w:before="7"/>
                          <w:rPr>
                            <w:sz w:val="15"/>
                          </w:rPr>
                        </w:pPr>
                      </w:p>
                      <w:p w14:paraId="530AF50B" w14:textId="77777777" w:rsidR="00080B77" w:rsidRDefault="00080B77">
                        <w:pPr>
                          <w:pStyle w:val="TableParagraph"/>
                          <w:ind w:left="23"/>
                          <w:rPr>
                            <w:sz w:val="17"/>
                          </w:rPr>
                        </w:pPr>
                        <w:r>
                          <w:rPr>
                            <w:color w:val="231F20"/>
                            <w:w w:val="80"/>
                            <w:sz w:val="17"/>
                          </w:rPr>
                          <w:t>Build capacity to strengthen HRH units at state level to enhance performance</w:t>
                        </w:r>
                      </w:p>
                    </w:tc>
                    <w:tc>
                      <w:tcPr>
                        <w:tcW w:w="1417" w:type="dxa"/>
                        <w:tcBorders>
                          <w:top w:val="single" w:sz="8" w:space="0" w:color="231F20"/>
                          <w:left w:val="single" w:sz="6" w:space="0" w:color="231F20"/>
                          <w:bottom w:val="single" w:sz="8" w:space="0" w:color="231F20"/>
                          <w:right w:val="single" w:sz="6" w:space="0" w:color="231F20"/>
                        </w:tcBorders>
                      </w:tcPr>
                      <w:p w14:paraId="66679A02" w14:textId="77777777" w:rsidR="00080B77" w:rsidRDefault="00080B77">
                        <w:pPr>
                          <w:pStyle w:val="TableParagraph"/>
                          <w:spacing w:before="2"/>
                          <w:rPr>
                            <w:sz w:val="16"/>
                          </w:rPr>
                        </w:pPr>
                      </w:p>
                      <w:p w14:paraId="2F8C37F6" w14:textId="77777777" w:rsidR="00080B77" w:rsidRDefault="00080B77">
                        <w:pPr>
                          <w:pStyle w:val="TableParagraph"/>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314BAE29" w14:textId="77777777" w:rsidR="00080B77" w:rsidRDefault="00080B77">
                        <w:pPr>
                          <w:pStyle w:val="TableParagraph"/>
                          <w:spacing w:before="2"/>
                          <w:rPr>
                            <w:sz w:val="16"/>
                          </w:rPr>
                        </w:pPr>
                      </w:p>
                      <w:p w14:paraId="3F6533E9" w14:textId="77777777" w:rsidR="00080B77" w:rsidRDefault="00080B77">
                        <w:pPr>
                          <w:pStyle w:val="TableParagraph"/>
                          <w:ind w:left="26"/>
                          <w:rPr>
                            <w:sz w:val="17"/>
                          </w:rPr>
                        </w:pPr>
                        <w:r>
                          <w:rPr>
                            <w:color w:val="231F20"/>
                            <w:w w:val="80"/>
                            <w:sz w:val="17"/>
                          </w:rPr>
                          <w:t>Build capacity</w:t>
                        </w:r>
                      </w:p>
                    </w:tc>
                  </w:tr>
                  <w:tr w:rsidR="00080B77" w14:paraId="76711E1C" w14:textId="77777777">
                    <w:trPr>
                      <w:trHeight w:val="1072"/>
                    </w:trPr>
                    <w:tc>
                      <w:tcPr>
                        <w:tcW w:w="1032" w:type="dxa"/>
                        <w:gridSpan w:val="3"/>
                        <w:vMerge/>
                        <w:tcBorders>
                          <w:top w:val="nil"/>
                          <w:left w:val="single" w:sz="6" w:space="0" w:color="231F20"/>
                          <w:bottom w:val="nil"/>
                          <w:right w:val="single" w:sz="6" w:space="0" w:color="231F20"/>
                        </w:tcBorders>
                      </w:tcPr>
                      <w:p w14:paraId="1B7733B0"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4706B10B" w14:textId="77777777" w:rsidR="00080B77" w:rsidRDefault="00080B77">
                        <w:pPr>
                          <w:pStyle w:val="TableParagraph"/>
                          <w:rPr>
                            <w:sz w:val="16"/>
                          </w:rPr>
                        </w:pPr>
                      </w:p>
                      <w:p w14:paraId="66C2BF1F" w14:textId="77777777" w:rsidR="00080B77" w:rsidRDefault="00080B77">
                        <w:pPr>
                          <w:pStyle w:val="TableParagraph"/>
                          <w:spacing w:before="1"/>
                        </w:pPr>
                      </w:p>
                      <w:p w14:paraId="582AF714" w14:textId="77777777" w:rsidR="00080B77" w:rsidRDefault="00080B77">
                        <w:pPr>
                          <w:pStyle w:val="TableParagraph"/>
                          <w:ind w:left="82"/>
                          <w:rPr>
                            <w:sz w:val="17"/>
                          </w:rPr>
                        </w:pPr>
                        <w:r>
                          <w:rPr>
                            <w:color w:val="231F20"/>
                            <w:w w:val="75"/>
                            <w:sz w:val="17"/>
                          </w:rPr>
                          <w:t>9.1.1.b</w:t>
                        </w:r>
                      </w:p>
                    </w:tc>
                    <w:tc>
                      <w:tcPr>
                        <w:tcW w:w="4862" w:type="dxa"/>
                        <w:gridSpan w:val="2"/>
                        <w:tcBorders>
                          <w:top w:val="single" w:sz="8" w:space="0" w:color="231F20"/>
                          <w:left w:val="single" w:sz="6" w:space="0" w:color="231F20"/>
                          <w:bottom w:val="single" w:sz="8" w:space="0" w:color="231F20"/>
                          <w:right w:val="single" w:sz="6" w:space="0" w:color="231F20"/>
                        </w:tcBorders>
                      </w:tcPr>
                      <w:p w14:paraId="0355ACE9" w14:textId="77777777" w:rsidR="00080B77" w:rsidRDefault="00080B77">
                        <w:pPr>
                          <w:pStyle w:val="TableParagraph"/>
                          <w:spacing w:before="15" w:line="254" w:lineRule="auto"/>
                          <w:ind w:left="23" w:right="176"/>
                          <w:rPr>
                            <w:sz w:val="17"/>
                          </w:rPr>
                        </w:pPr>
                        <w:r>
                          <w:rPr>
                            <w:color w:val="231F20"/>
                            <w:w w:val="75"/>
                            <w:sz w:val="17"/>
                          </w:rPr>
                          <w:t>Set</w:t>
                        </w:r>
                        <w:r>
                          <w:rPr>
                            <w:color w:val="231F20"/>
                            <w:spacing w:val="-20"/>
                            <w:w w:val="75"/>
                            <w:sz w:val="17"/>
                          </w:rPr>
                          <w:t xml:space="preserve"> </w:t>
                        </w:r>
                        <w:r>
                          <w:rPr>
                            <w:color w:val="231F20"/>
                            <w:w w:val="75"/>
                            <w:sz w:val="17"/>
                          </w:rPr>
                          <w:t>up</w:t>
                        </w:r>
                        <w:r>
                          <w:rPr>
                            <w:color w:val="231F20"/>
                            <w:spacing w:val="-19"/>
                            <w:w w:val="75"/>
                            <w:sz w:val="17"/>
                          </w:rPr>
                          <w:t xml:space="preserve"> </w:t>
                        </w:r>
                        <w:r>
                          <w:rPr>
                            <w:color w:val="231F20"/>
                            <w:w w:val="75"/>
                            <w:sz w:val="17"/>
                          </w:rPr>
                          <w:t>committee</w:t>
                        </w:r>
                        <w:r>
                          <w:rPr>
                            <w:color w:val="231F20"/>
                            <w:spacing w:val="-19"/>
                            <w:w w:val="75"/>
                            <w:sz w:val="17"/>
                          </w:rPr>
                          <w:t xml:space="preserve"> </w:t>
                        </w:r>
                        <w:r>
                          <w:rPr>
                            <w:color w:val="231F20"/>
                            <w:w w:val="75"/>
                            <w:sz w:val="17"/>
                          </w:rPr>
                          <w:t>to</w:t>
                        </w:r>
                        <w:r>
                          <w:rPr>
                            <w:color w:val="231F20"/>
                            <w:spacing w:val="-19"/>
                            <w:w w:val="75"/>
                            <w:sz w:val="17"/>
                          </w:rPr>
                          <w:t xml:space="preserve"> </w:t>
                        </w:r>
                        <w:r>
                          <w:rPr>
                            <w:color w:val="231F20"/>
                            <w:w w:val="75"/>
                            <w:sz w:val="17"/>
                          </w:rPr>
                          <w:t>assess</w:t>
                        </w:r>
                        <w:r>
                          <w:rPr>
                            <w:color w:val="231F20"/>
                            <w:spacing w:val="-19"/>
                            <w:w w:val="75"/>
                            <w:sz w:val="17"/>
                          </w:rPr>
                          <w:t xml:space="preserve"> </w:t>
                        </w:r>
                        <w:r>
                          <w:rPr>
                            <w:color w:val="231F20"/>
                            <w:w w:val="75"/>
                            <w:sz w:val="17"/>
                          </w:rPr>
                          <w:t>the</w:t>
                        </w:r>
                        <w:r>
                          <w:rPr>
                            <w:color w:val="231F20"/>
                            <w:spacing w:val="-20"/>
                            <w:w w:val="75"/>
                            <w:sz w:val="17"/>
                          </w:rPr>
                          <w:t xml:space="preserve"> </w:t>
                        </w:r>
                        <w:r>
                          <w:rPr>
                            <w:color w:val="231F20"/>
                            <w:w w:val="75"/>
                            <w:sz w:val="17"/>
                          </w:rPr>
                          <w:t>state</w:t>
                        </w:r>
                        <w:r>
                          <w:rPr>
                            <w:color w:val="231F20"/>
                            <w:spacing w:val="-19"/>
                            <w:w w:val="75"/>
                            <w:sz w:val="17"/>
                          </w:rPr>
                          <w:t xml:space="preserve"> </w:t>
                        </w:r>
                        <w:r>
                          <w:rPr>
                            <w:color w:val="231F20"/>
                            <w:w w:val="75"/>
                            <w:sz w:val="17"/>
                          </w:rPr>
                          <w:t>of</w:t>
                        </w:r>
                        <w:r>
                          <w:rPr>
                            <w:color w:val="231F20"/>
                            <w:spacing w:val="-19"/>
                            <w:w w:val="75"/>
                            <w:sz w:val="17"/>
                          </w:rPr>
                          <w:t xml:space="preserve"> </w:t>
                        </w:r>
                        <w:r>
                          <w:rPr>
                            <w:color w:val="231F20"/>
                            <w:w w:val="75"/>
                            <w:sz w:val="17"/>
                          </w:rPr>
                          <w:t>health</w:t>
                        </w:r>
                        <w:r>
                          <w:rPr>
                            <w:color w:val="231F20"/>
                            <w:spacing w:val="-19"/>
                            <w:w w:val="75"/>
                            <w:sz w:val="17"/>
                          </w:rPr>
                          <w:t xml:space="preserve"> </w:t>
                        </w:r>
                        <w:r>
                          <w:rPr>
                            <w:color w:val="231F20"/>
                            <w:w w:val="75"/>
                            <w:sz w:val="17"/>
                          </w:rPr>
                          <w:t>training</w:t>
                        </w:r>
                        <w:r>
                          <w:rPr>
                            <w:color w:val="231F20"/>
                            <w:spacing w:val="-19"/>
                            <w:w w:val="75"/>
                            <w:sz w:val="17"/>
                          </w:rPr>
                          <w:t xml:space="preserve"> </w:t>
                        </w:r>
                        <w:r>
                          <w:rPr>
                            <w:color w:val="231F20"/>
                            <w:w w:val="75"/>
                            <w:sz w:val="17"/>
                          </w:rPr>
                          <w:t>institutions</w:t>
                        </w:r>
                        <w:r>
                          <w:rPr>
                            <w:color w:val="231F20"/>
                            <w:spacing w:val="-20"/>
                            <w:w w:val="75"/>
                            <w:sz w:val="17"/>
                          </w:rPr>
                          <w:t xml:space="preserve"> </w:t>
                        </w:r>
                        <w:r>
                          <w:rPr>
                            <w:color w:val="231F20"/>
                            <w:w w:val="75"/>
                            <w:sz w:val="17"/>
                          </w:rPr>
                          <w:t>(College</w:t>
                        </w:r>
                        <w:r>
                          <w:rPr>
                            <w:color w:val="231F20"/>
                            <w:spacing w:val="-19"/>
                            <w:w w:val="75"/>
                            <w:sz w:val="17"/>
                          </w:rPr>
                          <w:t xml:space="preserve"> </w:t>
                        </w:r>
                        <w:r>
                          <w:rPr>
                            <w:color w:val="231F20"/>
                            <w:w w:val="75"/>
                            <w:sz w:val="17"/>
                          </w:rPr>
                          <w:t>of</w:t>
                        </w:r>
                        <w:r>
                          <w:rPr>
                            <w:color w:val="231F20"/>
                            <w:spacing w:val="-19"/>
                            <w:w w:val="75"/>
                            <w:sz w:val="17"/>
                          </w:rPr>
                          <w:t xml:space="preserve"> </w:t>
                        </w:r>
                        <w:r>
                          <w:rPr>
                            <w:color w:val="231F20"/>
                            <w:w w:val="75"/>
                            <w:sz w:val="17"/>
                          </w:rPr>
                          <w:t xml:space="preserve">Health </w:t>
                        </w:r>
                        <w:r>
                          <w:rPr>
                            <w:color w:val="231F20"/>
                            <w:w w:val="70"/>
                            <w:sz w:val="17"/>
                          </w:rPr>
                          <w:t>Science</w:t>
                        </w:r>
                        <w:r>
                          <w:rPr>
                            <w:color w:val="231F20"/>
                            <w:spacing w:val="-4"/>
                            <w:w w:val="70"/>
                            <w:sz w:val="17"/>
                          </w:rPr>
                          <w:t xml:space="preserve"> </w:t>
                        </w:r>
                        <w:r>
                          <w:rPr>
                            <w:color w:val="231F20"/>
                            <w:w w:val="70"/>
                            <w:sz w:val="17"/>
                          </w:rPr>
                          <w:t>&amp;</w:t>
                        </w:r>
                        <w:r>
                          <w:rPr>
                            <w:color w:val="231F20"/>
                            <w:spacing w:val="-5"/>
                            <w:w w:val="70"/>
                            <w:sz w:val="17"/>
                          </w:rPr>
                          <w:t xml:space="preserve"> </w:t>
                        </w:r>
                        <w:r>
                          <w:rPr>
                            <w:color w:val="231F20"/>
                            <w:spacing w:val="-3"/>
                            <w:w w:val="70"/>
                            <w:sz w:val="17"/>
                          </w:rPr>
                          <w:t xml:space="preserve">Technology, </w:t>
                        </w:r>
                        <w:r>
                          <w:rPr>
                            <w:color w:val="231F20"/>
                            <w:w w:val="70"/>
                            <w:sz w:val="17"/>
                          </w:rPr>
                          <w:t>School</w:t>
                        </w:r>
                        <w:r>
                          <w:rPr>
                            <w:color w:val="231F20"/>
                            <w:spacing w:val="-3"/>
                            <w:w w:val="70"/>
                            <w:sz w:val="17"/>
                          </w:rPr>
                          <w:t xml:space="preserve"> </w:t>
                        </w:r>
                        <w:r>
                          <w:rPr>
                            <w:color w:val="231F20"/>
                            <w:w w:val="70"/>
                            <w:sz w:val="17"/>
                          </w:rPr>
                          <w:t>of</w:t>
                        </w:r>
                        <w:r>
                          <w:rPr>
                            <w:color w:val="231F20"/>
                            <w:spacing w:val="-3"/>
                            <w:w w:val="70"/>
                            <w:sz w:val="17"/>
                          </w:rPr>
                          <w:t xml:space="preserve"> </w:t>
                        </w:r>
                        <w:r>
                          <w:rPr>
                            <w:color w:val="231F20"/>
                            <w:w w:val="70"/>
                            <w:sz w:val="17"/>
                          </w:rPr>
                          <w:t>Nursing,</w:t>
                        </w:r>
                        <w:r>
                          <w:rPr>
                            <w:color w:val="231F20"/>
                            <w:spacing w:val="-3"/>
                            <w:w w:val="70"/>
                            <w:sz w:val="17"/>
                          </w:rPr>
                          <w:t xml:space="preserve"> </w:t>
                        </w:r>
                        <w:r>
                          <w:rPr>
                            <w:color w:val="231F20"/>
                            <w:w w:val="70"/>
                            <w:sz w:val="17"/>
                          </w:rPr>
                          <w:t>School</w:t>
                        </w:r>
                        <w:r>
                          <w:rPr>
                            <w:color w:val="231F20"/>
                            <w:spacing w:val="-3"/>
                            <w:w w:val="70"/>
                            <w:sz w:val="17"/>
                          </w:rPr>
                          <w:t xml:space="preserve"> </w:t>
                        </w:r>
                        <w:r>
                          <w:rPr>
                            <w:color w:val="231F20"/>
                            <w:w w:val="70"/>
                            <w:sz w:val="17"/>
                          </w:rPr>
                          <w:t>of</w:t>
                        </w:r>
                        <w:r>
                          <w:rPr>
                            <w:color w:val="231F20"/>
                            <w:spacing w:val="-3"/>
                            <w:w w:val="70"/>
                            <w:sz w:val="17"/>
                          </w:rPr>
                          <w:t xml:space="preserve"> </w:t>
                        </w:r>
                        <w:r>
                          <w:rPr>
                            <w:color w:val="231F20"/>
                            <w:w w:val="70"/>
                            <w:sz w:val="17"/>
                          </w:rPr>
                          <w:t>Midwifery</w:t>
                        </w:r>
                        <w:r>
                          <w:rPr>
                            <w:color w:val="231F20"/>
                            <w:spacing w:val="-3"/>
                            <w:w w:val="70"/>
                            <w:sz w:val="17"/>
                          </w:rPr>
                          <w:t xml:space="preserve"> </w:t>
                        </w:r>
                        <w:r>
                          <w:rPr>
                            <w:color w:val="231F20"/>
                            <w:w w:val="70"/>
                            <w:sz w:val="17"/>
                          </w:rPr>
                          <w:t>&amp;</w:t>
                        </w:r>
                        <w:r>
                          <w:rPr>
                            <w:color w:val="231F20"/>
                            <w:spacing w:val="-3"/>
                            <w:w w:val="70"/>
                            <w:sz w:val="17"/>
                          </w:rPr>
                          <w:t xml:space="preserve"> </w:t>
                        </w:r>
                        <w:r>
                          <w:rPr>
                            <w:color w:val="231F20"/>
                            <w:w w:val="70"/>
                            <w:sz w:val="17"/>
                          </w:rPr>
                          <w:t>School</w:t>
                        </w:r>
                        <w:r>
                          <w:rPr>
                            <w:color w:val="231F20"/>
                            <w:spacing w:val="-3"/>
                            <w:w w:val="70"/>
                            <w:sz w:val="17"/>
                          </w:rPr>
                          <w:t xml:space="preserve"> </w:t>
                        </w:r>
                        <w:r>
                          <w:rPr>
                            <w:color w:val="231F20"/>
                            <w:w w:val="70"/>
                            <w:sz w:val="17"/>
                          </w:rPr>
                          <w:t>of</w:t>
                        </w:r>
                        <w:r>
                          <w:rPr>
                            <w:color w:val="231F20"/>
                            <w:spacing w:val="-3"/>
                            <w:w w:val="70"/>
                            <w:sz w:val="17"/>
                          </w:rPr>
                          <w:t xml:space="preserve"> </w:t>
                        </w:r>
                        <w:r>
                          <w:rPr>
                            <w:color w:val="231F20"/>
                            <w:w w:val="70"/>
                            <w:sz w:val="17"/>
                          </w:rPr>
                          <w:t>Public</w:t>
                        </w:r>
                        <w:r>
                          <w:rPr>
                            <w:color w:val="231F20"/>
                            <w:spacing w:val="-3"/>
                            <w:w w:val="70"/>
                            <w:sz w:val="17"/>
                          </w:rPr>
                          <w:t xml:space="preserve"> </w:t>
                        </w:r>
                        <w:r>
                          <w:rPr>
                            <w:color w:val="231F20"/>
                            <w:w w:val="70"/>
                            <w:sz w:val="17"/>
                          </w:rPr>
                          <w:t>Health) and establish a multi-sectoral coordinating body including Ministry of Health, Education, finance,</w:t>
                        </w:r>
                        <w:r>
                          <w:rPr>
                            <w:color w:val="231F20"/>
                            <w:spacing w:val="-5"/>
                            <w:w w:val="70"/>
                            <w:sz w:val="17"/>
                          </w:rPr>
                          <w:t xml:space="preserve"> </w:t>
                        </w:r>
                        <w:r>
                          <w:rPr>
                            <w:color w:val="231F20"/>
                            <w:w w:val="70"/>
                            <w:sz w:val="17"/>
                          </w:rPr>
                          <w:t>NGOs,</w:t>
                        </w:r>
                        <w:r>
                          <w:rPr>
                            <w:color w:val="231F20"/>
                            <w:spacing w:val="-5"/>
                            <w:w w:val="70"/>
                            <w:sz w:val="17"/>
                          </w:rPr>
                          <w:t xml:space="preserve"> </w:t>
                        </w:r>
                        <w:r>
                          <w:rPr>
                            <w:color w:val="231F20"/>
                            <w:w w:val="70"/>
                            <w:sz w:val="17"/>
                          </w:rPr>
                          <w:t>professional</w:t>
                        </w:r>
                        <w:r>
                          <w:rPr>
                            <w:color w:val="231F20"/>
                            <w:spacing w:val="-5"/>
                            <w:w w:val="70"/>
                            <w:sz w:val="17"/>
                          </w:rPr>
                          <w:t xml:space="preserve"> </w:t>
                        </w:r>
                        <w:r>
                          <w:rPr>
                            <w:color w:val="231F20"/>
                            <w:w w:val="70"/>
                            <w:sz w:val="17"/>
                          </w:rPr>
                          <w:t>bodies</w:t>
                        </w:r>
                        <w:r>
                          <w:rPr>
                            <w:color w:val="231F20"/>
                            <w:spacing w:val="-4"/>
                            <w:w w:val="70"/>
                            <w:sz w:val="17"/>
                          </w:rPr>
                          <w:t xml:space="preserve"> </w:t>
                        </w:r>
                        <w:r>
                          <w:rPr>
                            <w:color w:val="231F20"/>
                            <w:w w:val="70"/>
                            <w:sz w:val="17"/>
                          </w:rPr>
                          <w:t>such</w:t>
                        </w:r>
                        <w:r>
                          <w:rPr>
                            <w:color w:val="231F20"/>
                            <w:spacing w:val="-5"/>
                            <w:w w:val="70"/>
                            <w:sz w:val="17"/>
                          </w:rPr>
                          <w:t xml:space="preserve"> </w:t>
                        </w:r>
                        <w:r>
                          <w:rPr>
                            <w:color w:val="231F20"/>
                            <w:w w:val="70"/>
                            <w:sz w:val="17"/>
                          </w:rPr>
                          <w:t>as</w:t>
                        </w:r>
                        <w:r>
                          <w:rPr>
                            <w:color w:val="231F20"/>
                            <w:spacing w:val="-5"/>
                            <w:w w:val="70"/>
                            <w:sz w:val="17"/>
                          </w:rPr>
                          <w:t xml:space="preserve"> </w:t>
                        </w:r>
                        <w:r>
                          <w:rPr>
                            <w:color w:val="231F20"/>
                            <w:w w:val="70"/>
                            <w:sz w:val="17"/>
                          </w:rPr>
                          <w:t>associations</w:t>
                        </w:r>
                        <w:r>
                          <w:rPr>
                            <w:color w:val="231F20"/>
                            <w:spacing w:val="-5"/>
                            <w:w w:val="70"/>
                            <w:sz w:val="17"/>
                          </w:rPr>
                          <w:t xml:space="preserve"> </w:t>
                        </w:r>
                        <w:r>
                          <w:rPr>
                            <w:color w:val="231F20"/>
                            <w:w w:val="70"/>
                            <w:sz w:val="17"/>
                          </w:rPr>
                          <w:t>and</w:t>
                        </w:r>
                        <w:r>
                          <w:rPr>
                            <w:color w:val="231F20"/>
                            <w:spacing w:val="-4"/>
                            <w:w w:val="70"/>
                            <w:sz w:val="17"/>
                          </w:rPr>
                          <w:t xml:space="preserve"> </w:t>
                        </w:r>
                        <w:r>
                          <w:rPr>
                            <w:color w:val="231F20"/>
                            <w:w w:val="70"/>
                            <w:sz w:val="17"/>
                          </w:rPr>
                          <w:t>licensing</w:t>
                        </w:r>
                        <w:r>
                          <w:rPr>
                            <w:color w:val="231F20"/>
                            <w:spacing w:val="-5"/>
                            <w:w w:val="70"/>
                            <w:sz w:val="17"/>
                          </w:rPr>
                          <w:t xml:space="preserve"> </w:t>
                        </w:r>
                        <w:r>
                          <w:rPr>
                            <w:color w:val="231F20"/>
                            <w:w w:val="70"/>
                            <w:sz w:val="17"/>
                          </w:rPr>
                          <w:t>councils,</w:t>
                        </w:r>
                        <w:r>
                          <w:rPr>
                            <w:color w:val="231F20"/>
                            <w:spacing w:val="-5"/>
                            <w:w w:val="70"/>
                            <w:sz w:val="17"/>
                          </w:rPr>
                          <w:t xml:space="preserve"> </w:t>
                        </w:r>
                        <w:r>
                          <w:rPr>
                            <w:color w:val="231F20"/>
                            <w:w w:val="70"/>
                            <w:sz w:val="17"/>
                          </w:rPr>
                          <w:t xml:space="preserve">training </w:t>
                        </w:r>
                        <w:r>
                          <w:rPr>
                            <w:color w:val="231F20"/>
                            <w:w w:val="75"/>
                            <w:sz w:val="17"/>
                          </w:rPr>
                          <w:t>institutions,</w:t>
                        </w:r>
                        <w:r>
                          <w:rPr>
                            <w:color w:val="231F20"/>
                            <w:spacing w:val="-16"/>
                            <w:w w:val="75"/>
                            <w:sz w:val="17"/>
                          </w:rPr>
                          <w:t xml:space="preserve"> </w:t>
                        </w:r>
                        <w:r>
                          <w:rPr>
                            <w:color w:val="231F20"/>
                            <w:w w:val="75"/>
                            <w:sz w:val="17"/>
                          </w:rPr>
                          <w:t>universities,</w:t>
                        </w:r>
                        <w:r>
                          <w:rPr>
                            <w:color w:val="231F20"/>
                            <w:spacing w:val="-16"/>
                            <w:w w:val="75"/>
                            <w:sz w:val="17"/>
                          </w:rPr>
                          <w:t xml:space="preserve"> </w:t>
                        </w:r>
                        <w:r>
                          <w:rPr>
                            <w:color w:val="231F20"/>
                            <w:w w:val="75"/>
                            <w:sz w:val="17"/>
                          </w:rPr>
                          <w:t>etc.</w:t>
                        </w:r>
                        <w:r>
                          <w:rPr>
                            <w:color w:val="231F20"/>
                            <w:spacing w:val="-16"/>
                            <w:w w:val="75"/>
                            <w:sz w:val="17"/>
                          </w:rPr>
                          <w:t xml:space="preserve"> </w:t>
                        </w:r>
                        <w:r>
                          <w:rPr>
                            <w:color w:val="231F20"/>
                            <w:w w:val="75"/>
                            <w:sz w:val="17"/>
                          </w:rPr>
                          <w:t>to</w:t>
                        </w:r>
                        <w:r>
                          <w:rPr>
                            <w:color w:val="231F20"/>
                            <w:spacing w:val="-16"/>
                            <w:w w:val="75"/>
                            <w:sz w:val="17"/>
                          </w:rPr>
                          <w:t xml:space="preserve"> </w:t>
                        </w:r>
                        <w:r>
                          <w:rPr>
                            <w:color w:val="231F20"/>
                            <w:w w:val="75"/>
                            <w:sz w:val="17"/>
                          </w:rPr>
                          <w:t>coordinate</w:t>
                        </w:r>
                        <w:r>
                          <w:rPr>
                            <w:color w:val="231F20"/>
                            <w:spacing w:val="-16"/>
                            <w:w w:val="75"/>
                            <w:sz w:val="17"/>
                          </w:rPr>
                          <w:t xml:space="preserve"> </w:t>
                        </w:r>
                        <w:r>
                          <w:rPr>
                            <w:color w:val="231F20"/>
                            <w:w w:val="75"/>
                            <w:sz w:val="17"/>
                          </w:rPr>
                          <w:t>human</w:t>
                        </w:r>
                        <w:r>
                          <w:rPr>
                            <w:color w:val="231F20"/>
                            <w:spacing w:val="-16"/>
                            <w:w w:val="75"/>
                            <w:sz w:val="17"/>
                          </w:rPr>
                          <w:t xml:space="preserve"> </w:t>
                        </w:r>
                        <w:r>
                          <w:rPr>
                            <w:color w:val="231F20"/>
                            <w:w w:val="75"/>
                            <w:sz w:val="17"/>
                          </w:rPr>
                          <w:t>resource</w:t>
                        </w:r>
                        <w:r>
                          <w:rPr>
                            <w:color w:val="231F20"/>
                            <w:spacing w:val="-16"/>
                            <w:w w:val="75"/>
                            <w:sz w:val="17"/>
                          </w:rPr>
                          <w:t xml:space="preserve"> </w:t>
                        </w:r>
                        <w:r>
                          <w:rPr>
                            <w:color w:val="231F20"/>
                            <w:w w:val="75"/>
                            <w:sz w:val="17"/>
                          </w:rPr>
                          <w:t>activities</w:t>
                        </w:r>
                        <w:r>
                          <w:rPr>
                            <w:color w:val="231F20"/>
                            <w:spacing w:val="-16"/>
                            <w:w w:val="75"/>
                            <w:sz w:val="17"/>
                          </w:rPr>
                          <w:t xml:space="preserve"> </w:t>
                        </w:r>
                        <w:r>
                          <w:rPr>
                            <w:color w:val="231F20"/>
                            <w:w w:val="75"/>
                            <w:sz w:val="17"/>
                          </w:rPr>
                          <w:t>in</w:t>
                        </w:r>
                        <w:r>
                          <w:rPr>
                            <w:color w:val="231F20"/>
                            <w:spacing w:val="-16"/>
                            <w:w w:val="75"/>
                            <w:sz w:val="17"/>
                          </w:rPr>
                          <w:t xml:space="preserve"> </w:t>
                        </w:r>
                        <w:r>
                          <w:rPr>
                            <w:color w:val="231F20"/>
                            <w:w w:val="75"/>
                            <w:sz w:val="17"/>
                          </w:rPr>
                          <w:t>the</w:t>
                        </w:r>
                        <w:r>
                          <w:rPr>
                            <w:color w:val="231F20"/>
                            <w:spacing w:val="-16"/>
                            <w:w w:val="75"/>
                            <w:sz w:val="17"/>
                          </w:rPr>
                          <w:t xml:space="preserve"> </w:t>
                        </w:r>
                        <w:r>
                          <w:rPr>
                            <w:color w:val="231F20"/>
                            <w:w w:val="75"/>
                            <w:sz w:val="17"/>
                          </w:rPr>
                          <w:t>state</w:t>
                        </w:r>
                      </w:p>
                    </w:tc>
                    <w:tc>
                      <w:tcPr>
                        <w:tcW w:w="1417" w:type="dxa"/>
                        <w:tcBorders>
                          <w:top w:val="single" w:sz="8" w:space="0" w:color="231F20"/>
                          <w:left w:val="single" w:sz="6" w:space="0" w:color="231F20"/>
                          <w:bottom w:val="single" w:sz="8" w:space="0" w:color="231F20"/>
                          <w:right w:val="single" w:sz="6" w:space="0" w:color="231F20"/>
                        </w:tcBorders>
                      </w:tcPr>
                      <w:p w14:paraId="08D716AD" w14:textId="77777777" w:rsidR="00080B77" w:rsidRDefault="00080B77">
                        <w:pPr>
                          <w:pStyle w:val="TableParagraph"/>
                          <w:rPr>
                            <w:sz w:val="16"/>
                          </w:rPr>
                        </w:pPr>
                      </w:p>
                      <w:p w14:paraId="3E8DAEE2" w14:textId="77777777" w:rsidR="00080B77" w:rsidRDefault="00080B77">
                        <w:pPr>
                          <w:pStyle w:val="TableParagraph"/>
                          <w:spacing w:before="1"/>
                        </w:pPr>
                      </w:p>
                      <w:p w14:paraId="5C7AEB3E" w14:textId="77777777" w:rsidR="00080B77" w:rsidRDefault="00080B77">
                        <w:pPr>
                          <w:pStyle w:val="TableParagraph"/>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729F8CE0" w14:textId="77777777" w:rsidR="00080B77" w:rsidRDefault="00080B77">
                        <w:pPr>
                          <w:pStyle w:val="TableParagraph"/>
                          <w:rPr>
                            <w:sz w:val="16"/>
                          </w:rPr>
                        </w:pPr>
                      </w:p>
                      <w:p w14:paraId="6DEC6808" w14:textId="77777777" w:rsidR="00080B77" w:rsidRDefault="00080B77">
                        <w:pPr>
                          <w:pStyle w:val="TableParagraph"/>
                          <w:spacing w:before="11"/>
                          <w:rPr>
                            <w:sz w:val="12"/>
                          </w:rPr>
                        </w:pPr>
                      </w:p>
                      <w:p w14:paraId="215FE216" w14:textId="77777777" w:rsidR="00080B77" w:rsidRDefault="00080B77">
                        <w:pPr>
                          <w:pStyle w:val="TableParagraph"/>
                          <w:spacing w:line="254" w:lineRule="auto"/>
                          <w:ind w:left="26" w:right="335"/>
                          <w:rPr>
                            <w:sz w:val="17"/>
                          </w:rPr>
                        </w:pPr>
                        <w:r>
                          <w:rPr>
                            <w:color w:val="231F20"/>
                            <w:w w:val="75"/>
                            <w:sz w:val="17"/>
                          </w:rPr>
                          <w:t xml:space="preserve">Set up committee </w:t>
                        </w:r>
                        <w:r>
                          <w:rPr>
                            <w:color w:val="231F20"/>
                            <w:spacing w:val="-14"/>
                            <w:w w:val="75"/>
                            <w:sz w:val="17"/>
                          </w:rPr>
                          <w:t xml:space="preserve">&amp; </w:t>
                        </w:r>
                        <w:r>
                          <w:rPr>
                            <w:color w:val="231F20"/>
                            <w:w w:val="80"/>
                            <w:sz w:val="17"/>
                          </w:rPr>
                          <w:t>conduct meeting</w:t>
                        </w:r>
                      </w:p>
                    </w:tc>
                  </w:tr>
                  <w:tr w:rsidR="00080B77" w14:paraId="4C30F8A3" w14:textId="77777777">
                    <w:trPr>
                      <w:trHeight w:val="572"/>
                    </w:trPr>
                    <w:tc>
                      <w:tcPr>
                        <w:tcW w:w="1032" w:type="dxa"/>
                        <w:gridSpan w:val="3"/>
                        <w:vMerge/>
                        <w:tcBorders>
                          <w:top w:val="nil"/>
                          <w:left w:val="single" w:sz="6" w:space="0" w:color="231F20"/>
                          <w:bottom w:val="nil"/>
                          <w:right w:val="single" w:sz="6" w:space="0" w:color="231F20"/>
                        </w:tcBorders>
                      </w:tcPr>
                      <w:p w14:paraId="6C9D1A3F"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6204C950" w14:textId="77777777" w:rsidR="00080B77" w:rsidRDefault="00080B77">
                        <w:pPr>
                          <w:pStyle w:val="TableParagraph"/>
                          <w:spacing w:before="4"/>
                          <w:rPr>
                            <w:sz w:val="16"/>
                          </w:rPr>
                        </w:pPr>
                      </w:p>
                      <w:p w14:paraId="6CABE797" w14:textId="77777777" w:rsidR="00080B77" w:rsidRDefault="00080B77">
                        <w:pPr>
                          <w:pStyle w:val="TableParagraph"/>
                          <w:ind w:left="85"/>
                          <w:rPr>
                            <w:sz w:val="17"/>
                          </w:rPr>
                        </w:pPr>
                        <w:r>
                          <w:rPr>
                            <w:color w:val="231F20"/>
                            <w:w w:val="75"/>
                            <w:sz w:val="17"/>
                          </w:rPr>
                          <w:t>9.1.1.c</w:t>
                        </w:r>
                      </w:p>
                    </w:tc>
                    <w:tc>
                      <w:tcPr>
                        <w:tcW w:w="4862" w:type="dxa"/>
                        <w:gridSpan w:val="2"/>
                        <w:tcBorders>
                          <w:top w:val="single" w:sz="8" w:space="0" w:color="231F20"/>
                          <w:left w:val="single" w:sz="6" w:space="0" w:color="231F20"/>
                          <w:bottom w:val="single" w:sz="8" w:space="0" w:color="231F20"/>
                          <w:right w:val="single" w:sz="6" w:space="0" w:color="231F20"/>
                        </w:tcBorders>
                      </w:tcPr>
                      <w:p w14:paraId="19E06A6B" w14:textId="77777777" w:rsidR="00080B77" w:rsidRDefault="00080B77">
                        <w:pPr>
                          <w:pStyle w:val="TableParagraph"/>
                          <w:spacing w:before="76" w:line="254" w:lineRule="auto"/>
                          <w:ind w:left="23"/>
                          <w:rPr>
                            <w:sz w:val="17"/>
                          </w:rPr>
                        </w:pPr>
                        <w:r>
                          <w:rPr>
                            <w:color w:val="231F20"/>
                            <w:w w:val="70"/>
                            <w:sz w:val="17"/>
                          </w:rPr>
                          <w:t xml:space="preserve">Operating cost for engaging and supervising the contractor to equip the practical </w:t>
                        </w:r>
                        <w:r>
                          <w:rPr>
                            <w:color w:val="231F20"/>
                            <w:w w:val="75"/>
                            <w:sz w:val="17"/>
                          </w:rPr>
                          <w:t>demonstration rooms of School of Midwifery and School of Public Health</w:t>
                        </w:r>
                      </w:p>
                    </w:tc>
                    <w:tc>
                      <w:tcPr>
                        <w:tcW w:w="1417" w:type="dxa"/>
                        <w:tcBorders>
                          <w:top w:val="single" w:sz="8" w:space="0" w:color="231F20"/>
                          <w:left w:val="single" w:sz="6" w:space="0" w:color="231F20"/>
                          <w:bottom w:val="single" w:sz="8" w:space="0" w:color="231F20"/>
                          <w:right w:val="single" w:sz="6" w:space="0" w:color="231F20"/>
                        </w:tcBorders>
                      </w:tcPr>
                      <w:p w14:paraId="515F4756" w14:textId="77777777" w:rsidR="00080B77" w:rsidRDefault="00080B77">
                        <w:pPr>
                          <w:pStyle w:val="TableParagraph"/>
                          <w:spacing w:before="4"/>
                          <w:rPr>
                            <w:sz w:val="16"/>
                          </w:rPr>
                        </w:pPr>
                      </w:p>
                      <w:p w14:paraId="4F409E7C" w14:textId="77777777" w:rsidR="00080B77" w:rsidRDefault="00080B77">
                        <w:pPr>
                          <w:pStyle w:val="TableParagraph"/>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7D0CD8A1" w14:textId="77777777" w:rsidR="00080B77" w:rsidRDefault="00080B77">
                        <w:pPr>
                          <w:pStyle w:val="TableParagraph"/>
                          <w:spacing w:before="4"/>
                          <w:rPr>
                            <w:sz w:val="16"/>
                          </w:rPr>
                        </w:pPr>
                      </w:p>
                      <w:p w14:paraId="70DF93AB" w14:textId="77777777" w:rsidR="00080B77" w:rsidRDefault="00080B77">
                        <w:pPr>
                          <w:pStyle w:val="TableParagraph"/>
                          <w:ind w:left="26"/>
                          <w:rPr>
                            <w:sz w:val="17"/>
                          </w:rPr>
                        </w:pPr>
                        <w:r>
                          <w:rPr>
                            <w:color w:val="231F20"/>
                            <w:w w:val="80"/>
                            <w:sz w:val="17"/>
                          </w:rPr>
                          <w:t>Costed in OHT</w:t>
                        </w:r>
                      </w:p>
                    </w:tc>
                  </w:tr>
                  <w:tr w:rsidR="00080B77" w14:paraId="65D38657" w14:textId="77777777">
                    <w:trPr>
                      <w:trHeight w:val="490"/>
                    </w:trPr>
                    <w:tc>
                      <w:tcPr>
                        <w:tcW w:w="1032" w:type="dxa"/>
                        <w:gridSpan w:val="3"/>
                        <w:vMerge/>
                        <w:tcBorders>
                          <w:top w:val="nil"/>
                          <w:left w:val="single" w:sz="6" w:space="0" w:color="231F20"/>
                          <w:bottom w:val="nil"/>
                          <w:right w:val="single" w:sz="6" w:space="0" w:color="231F20"/>
                        </w:tcBorders>
                      </w:tcPr>
                      <w:p w14:paraId="0DBF6640"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02C26159" w14:textId="77777777" w:rsidR="00080B77" w:rsidRDefault="00080B77">
                        <w:pPr>
                          <w:pStyle w:val="TableParagraph"/>
                          <w:spacing w:before="7"/>
                          <w:rPr>
                            <w:sz w:val="12"/>
                          </w:rPr>
                        </w:pPr>
                      </w:p>
                      <w:p w14:paraId="761D3A5E" w14:textId="77777777" w:rsidR="00080B77" w:rsidRDefault="00080B77">
                        <w:pPr>
                          <w:pStyle w:val="TableParagraph"/>
                          <w:spacing w:before="1"/>
                          <w:ind w:left="82"/>
                          <w:rPr>
                            <w:sz w:val="17"/>
                          </w:rPr>
                        </w:pPr>
                        <w:r>
                          <w:rPr>
                            <w:color w:val="231F20"/>
                            <w:w w:val="75"/>
                            <w:sz w:val="17"/>
                          </w:rPr>
                          <w:t>9.1.1.d</w:t>
                        </w:r>
                      </w:p>
                    </w:tc>
                    <w:tc>
                      <w:tcPr>
                        <w:tcW w:w="4862" w:type="dxa"/>
                        <w:gridSpan w:val="2"/>
                        <w:tcBorders>
                          <w:top w:val="single" w:sz="8" w:space="0" w:color="231F20"/>
                          <w:left w:val="single" w:sz="6" w:space="0" w:color="231F20"/>
                          <w:bottom w:val="single" w:sz="8" w:space="0" w:color="231F20"/>
                          <w:right w:val="single" w:sz="6" w:space="0" w:color="231F20"/>
                        </w:tcBorders>
                      </w:tcPr>
                      <w:p w14:paraId="5A551A57" w14:textId="77777777" w:rsidR="00080B77" w:rsidRDefault="00080B77">
                        <w:pPr>
                          <w:pStyle w:val="TableParagraph"/>
                          <w:spacing w:before="36" w:line="254" w:lineRule="auto"/>
                          <w:ind w:left="23"/>
                          <w:rPr>
                            <w:sz w:val="17"/>
                          </w:rPr>
                        </w:pPr>
                        <w:r>
                          <w:rPr>
                            <w:color w:val="231F20"/>
                            <w:w w:val="70"/>
                            <w:sz w:val="17"/>
                          </w:rPr>
                          <w:t xml:space="preserve">Operating cost for engaging and supervising the contractor to renovate School of Nursing </w:t>
                        </w:r>
                        <w:r>
                          <w:rPr>
                            <w:color w:val="231F20"/>
                            <w:w w:val="80"/>
                            <w:sz w:val="17"/>
                          </w:rPr>
                          <w:t>classroom</w:t>
                        </w:r>
                      </w:p>
                    </w:tc>
                    <w:tc>
                      <w:tcPr>
                        <w:tcW w:w="1417" w:type="dxa"/>
                        <w:tcBorders>
                          <w:top w:val="single" w:sz="8" w:space="0" w:color="231F20"/>
                          <w:left w:val="single" w:sz="6" w:space="0" w:color="231F20"/>
                          <w:bottom w:val="single" w:sz="8" w:space="0" w:color="231F20"/>
                          <w:right w:val="single" w:sz="6" w:space="0" w:color="231F20"/>
                        </w:tcBorders>
                      </w:tcPr>
                      <w:p w14:paraId="0DE065A2" w14:textId="77777777" w:rsidR="00080B77" w:rsidRDefault="00080B77">
                        <w:pPr>
                          <w:pStyle w:val="TableParagraph"/>
                          <w:spacing w:before="7"/>
                          <w:rPr>
                            <w:sz w:val="12"/>
                          </w:rPr>
                        </w:pPr>
                      </w:p>
                      <w:p w14:paraId="74A7AC26" w14:textId="77777777" w:rsidR="00080B77" w:rsidRDefault="00080B77">
                        <w:pPr>
                          <w:pStyle w:val="TableParagraph"/>
                          <w:spacing w:before="1"/>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5F8425C3" w14:textId="77777777" w:rsidR="00080B77" w:rsidRDefault="00080B77">
                        <w:pPr>
                          <w:pStyle w:val="TableParagraph"/>
                          <w:spacing w:before="7"/>
                          <w:rPr>
                            <w:sz w:val="12"/>
                          </w:rPr>
                        </w:pPr>
                      </w:p>
                      <w:p w14:paraId="6BA9A2B2" w14:textId="77777777" w:rsidR="00080B77" w:rsidRDefault="00080B77">
                        <w:pPr>
                          <w:pStyle w:val="TableParagraph"/>
                          <w:spacing w:before="1"/>
                          <w:ind w:left="26"/>
                          <w:rPr>
                            <w:sz w:val="17"/>
                          </w:rPr>
                        </w:pPr>
                        <w:r>
                          <w:rPr>
                            <w:color w:val="231F20"/>
                            <w:w w:val="80"/>
                            <w:sz w:val="17"/>
                          </w:rPr>
                          <w:t>Costed in OHT</w:t>
                        </w:r>
                      </w:p>
                    </w:tc>
                  </w:tr>
                  <w:tr w:rsidR="00080B77" w14:paraId="59ABE834" w14:textId="77777777">
                    <w:trPr>
                      <w:trHeight w:val="540"/>
                    </w:trPr>
                    <w:tc>
                      <w:tcPr>
                        <w:tcW w:w="1032" w:type="dxa"/>
                        <w:gridSpan w:val="3"/>
                        <w:vMerge/>
                        <w:tcBorders>
                          <w:top w:val="nil"/>
                          <w:left w:val="single" w:sz="6" w:space="0" w:color="231F20"/>
                          <w:bottom w:val="nil"/>
                          <w:right w:val="single" w:sz="6" w:space="0" w:color="231F20"/>
                        </w:tcBorders>
                      </w:tcPr>
                      <w:p w14:paraId="7ED5A539"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653071F1" w14:textId="77777777" w:rsidR="00080B77" w:rsidRDefault="00080B77">
                        <w:pPr>
                          <w:pStyle w:val="TableParagraph"/>
                          <w:spacing w:before="10"/>
                          <w:rPr>
                            <w:sz w:val="14"/>
                          </w:rPr>
                        </w:pPr>
                      </w:p>
                      <w:p w14:paraId="0E901CAB" w14:textId="77777777" w:rsidR="00080B77" w:rsidRDefault="00080B77">
                        <w:pPr>
                          <w:pStyle w:val="TableParagraph"/>
                          <w:ind w:left="82"/>
                          <w:rPr>
                            <w:sz w:val="17"/>
                          </w:rPr>
                        </w:pPr>
                        <w:r>
                          <w:rPr>
                            <w:color w:val="231F20"/>
                            <w:w w:val="75"/>
                            <w:sz w:val="17"/>
                          </w:rPr>
                          <w:t>9.1.1.e</w:t>
                        </w:r>
                      </w:p>
                    </w:tc>
                    <w:tc>
                      <w:tcPr>
                        <w:tcW w:w="4862" w:type="dxa"/>
                        <w:gridSpan w:val="2"/>
                        <w:tcBorders>
                          <w:top w:val="single" w:sz="8" w:space="0" w:color="231F20"/>
                          <w:left w:val="single" w:sz="6" w:space="0" w:color="231F20"/>
                          <w:bottom w:val="single" w:sz="8" w:space="0" w:color="231F20"/>
                          <w:right w:val="single" w:sz="6" w:space="0" w:color="231F20"/>
                        </w:tcBorders>
                      </w:tcPr>
                      <w:p w14:paraId="49A89819" w14:textId="77777777" w:rsidR="00080B77" w:rsidRDefault="00080B77">
                        <w:pPr>
                          <w:pStyle w:val="TableParagraph"/>
                          <w:spacing w:before="61" w:line="254" w:lineRule="auto"/>
                          <w:ind w:left="23" w:right="-5"/>
                          <w:rPr>
                            <w:sz w:val="17"/>
                          </w:rPr>
                        </w:pPr>
                        <w:r>
                          <w:rPr>
                            <w:color w:val="231F20"/>
                            <w:w w:val="75"/>
                            <w:sz w:val="17"/>
                          </w:rPr>
                          <w:t xml:space="preserve">Conduct workshops on staff training and development for academic staff, Senior Non </w:t>
                        </w:r>
                        <w:r>
                          <w:rPr>
                            <w:color w:val="231F20"/>
                            <w:w w:val="70"/>
                            <w:sz w:val="17"/>
                          </w:rPr>
                          <w:t>Academic Staff and Junior Non Academic Staff for College of Health Science &amp; Technology</w:t>
                        </w:r>
                      </w:p>
                    </w:tc>
                    <w:tc>
                      <w:tcPr>
                        <w:tcW w:w="1417" w:type="dxa"/>
                        <w:tcBorders>
                          <w:top w:val="single" w:sz="8" w:space="0" w:color="231F20"/>
                          <w:left w:val="single" w:sz="6" w:space="0" w:color="231F20"/>
                          <w:bottom w:val="single" w:sz="8" w:space="0" w:color="231F20"/>
                          <w:right w:val="single" w:sz="6" w:space="0" w:color="231F20"/>
                        </w:tcBorders>
                      </w:tcPr>
                      <w:p w14:paraId="63DFD7F6" w14:textId="77777777" w:rsidR="00080B77" w:rsidRDefault="00080B77">
                        <w:pPr>
                          <w:pStyle w:val="TableParagraph"/>
                          <w:spacing w:before="10"/>
                          <w:rPr>
                            <w:sz w:val="14"/>
                          </w:rPr>
                        </w:pPr>
                      </w:p>
                      <w:p w14:paraId="1D6CF341" w14:textId="77777777" w:rsidR="00080B77" w:rsidRDefault="00080B77">
                        <w:pPr>
                          <w:pStyle w:val="TableParagraph"/>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77BCB3E4" w14:textId="77777777" w:rsidR="00080B77" w:rsidRDefault="00080B77">
                        <w:pPr>
                          <w:pStyle w:val="TableParagraph"/>
                          <w:spacing w:before="10"/>
                          <w:rPr>
                            <w:sz w:val="14"/>
                          </w:rPr>
                        </w:pPr>
                      </w:p>
                      <w:p w14:paraId="1D4E2346" w14:textId="77777777" w:rsidR="00080B77" w:rsidRDefault="00080B77">
                        <w:pPr>
                          <w:pStyle w:val="TableParagraph"/>
                          <w:ind w:left="26"/>
                          <w:rPr>
                            <w:sz w:val="17"/>
                          </w:rPr>
                        </w:pPr>
                        <w:r>
                          <w:rPr>
                            <w:color w:val="231F20"/>
                            <w:w w:val="80"/>
                            <w:sz w:val="17"/>
                          </w:rPr>
                          <w:t>Conduct training</w:t>
                        </w:r>
                      </w:p>
                    </w:tc>
                  </w:tr>
                  <w:tr w:rsidR="00080B77" w14:paraId="2BC85A3B" w14:textId="77777777">
                    <w:trPr>
                      <w:trHeight w:val="714"/>
                    </w:trPr>
                    <w:tc>
                      <w:tcPr>
                        <w:tcW w:w="581" w:type="dxa"/>
                        <w:gridSpan w:val="2"/>
                        <w:tcBorders>
                          <w:top w:val="nil"/>
                          <w:left w:val="single" w:sz="6" w:space="0" w:color="231F20"/>
                          <w:bottom w:val="nil"/>
                          <w:right w:val="single" w:sz="6" w:space="0" w:color="231F20"/>
                        </w:tcBorders>
                      </w:tcPr>
                      <w:p w14:paraId="32F80070" w14:textId="77777777" w:rsidR="00080B77" w:rsidRDefault="00080B77">
                        <w:pPr>
                          <w:pStyle w:val="TableParagraph"/>
                          <w:rPr>
                            <w:rFonts w:ascii="Times New Roman"/>
                            <w:sz w:val="10"/>
                          </w:rPr>
                        </w:pPr>
                      </w:p>
                    </w:tc>
                    <w:tc>
                      <w:tcPr>
                        <w:tcW w:w="451" w:type="dxa"/>
                        <w:tcBorders>
                          <w:top w:val="single" w:sz="8" w:space="0" w:color="231F20"/>
                          <w:left w:val="single" w:sz="6" w:space="0" w:color="231F20"/>
                          <w:bottom w:val="single" w:sz="8" w:space="0" w:color="231F20"/>
                          <w:right w:val="single" w:sz="6" w:space="0" w:color="231F20"/>
                        </w:tcBorders>
                        <w:shd w:val="clear" w:color="auto" w:fill="CCE7D3"/>
                      </w:tcPr>
                      <w:p w14:paraId="6F359197" w14:textId="77777777" w:rsidR="00080B77" w:rsidRDefault="00080B77">
                        <w:pPr>
                          <w:pStyle w:val="TableParagraph"/>
                          <w:spacing w:before="5"/>
                        </w:pPr>
                      </w:p>
                      <w:p w14:paraId="751F43F1" w14:textId="77777777" w:rsidR="00080B77" w:rsidRDefault="00080B77">
                        <w:pPr>
                          <w:pStyle w:val="TableParagraph"/>
                          <w:spacing w:before="1"/>
                          <w:ind w:left="55"/>
                          <w:rPr>
                            <w:sz w:val="17"/>
                          </w:rPr>
                        </w:pPr>
                        <w:r>
                          <w:rPr>
                            <w:color w:val="231F20"/>
                            <w:w w:val="80"/>
                            <w:sz w:val="17"/>
                          </w:rPr>
                          <w:t>9.1.2</w:t>
                        </w:r>
                      </w:p>
                    </w:tc>
                    <w:tc>
                      <w:tcPr>
                        <w:tcW w:w="3016" w:type="dxa"/>
                        <w:gridSpan w:val="2"/>
                        <w:tcBorders>
                          <w:top w:val="single" w:sz="8" w:space="0" w:color="231F20"/>
                          <w:left w:val="single" w:sz="6" w:space="0" w:color="231F20"/>
                          <w:bottom w:val="single" w:sz="8" w:space="0" w:color="231F20"/>
                          <w:right w:val="single" w:sz="6" w:space="0" w:color="231F20"/>
                        </w:tcBorders>
                        <w:shd w:val="clear" w:color="auto" w:fill="CCE7D3"/>
                      </w:tcPr>
                      <w:p w14:paraId="4B7E5894" w14:textId="77777777" w:rsidR="00080B77" w:rsidRDefault="00080B77">
                        <w:pPr>
                          <w:pStyle w:val="TableParagraph"/>
                          <w:spacing w:before="44" w:line="254" w:lineRule="auto"/>
                          <w:ind w:left="23" w:firstLine="32"/>
                          <w:rPr>
                            <w:sz w:val="17"/>
                          </w:rPr>
                        </w:pPr>
                        <w:r>
                          <w:rPr>
                            <w:color w:val="231F20"/>
                            <w:w w:val="70"/>
                            <w:sz w:val="17"/>
                          </w:rPr>
                          <w:t xml:space="preserve">Strengthen coordination of public , private , regulatory, Health workforce association and development partners </w:t>
                        </w:r>
                        <w:r>
                          <w:rPr>
                            <w:color w:val="231F20"/>
                            <w:w w:val="80"/>
                            <w:sz w:val="17"/>
                          </w:rPr>
                          <w:t>at all levels</w:t>
                        </w:r>
                      </w:p>
                    </w:tc>
                    <w:tc>
                      <w:tcPr>
                        <w:tcW w:w="2368" w:type="dxa"/>
                        <w:tcBorders>
                          <w:top w:val="single" w:sz="8" w:space="0" w:color="231F20"/>
                          <w:left w:val="single" w:sz="6" w:space="0" w:color="231F20"/>
                          <w:bottom w:val="single" w:sz="8" w:space="0" w:color="231F20"/>
                          <w:right w:val="single" w:sz="6" w:space="0" w:color="231F20"/>
                        </w:tcBorders>
                        <w:shd w:val="clear" w:color="auto" w:fill="CCE7D3"/>
                      </w:tcPr>
                      <w:p w14:paraId="4919127D" w14:textId="77777777" w:rsidR="00080B77" w:rsidRDefault="00080B77">
                        <w:pPr>
                          <w:pStyle w:val="TableParagraph"/>
                          <w:numPr>
                            <w:ilvl w:val="0"/>
                            <w:numId w:val="68"/>
                          </w:numPr>
                          <w:tabs>
                            <w:tab w:val="left" w:pos="68"/>
                          </w:tabs>
                          <w:spacing w:line="254" w:lineRule="auto"/>
                          <w:ind w:right="370" w:firstLine="0"/>
                          <w:rPr>
                            <w:sz w:val="17"/>
                          </w:rPr>
                        </w:pPr>
                        <w:r>
                          <w:rPr>
                            <w:color w:val="231F20"/>
                            <w:w w:val="70"/>
                            <w:sz w:val="17"/>
                          </w:rPr>
                          <w:t xml:space="preserve">State comprehensive HRH </w:t>
                        </w:r>
                        <w:r>
                          <w:rPr>
                            <w:color w:val="231F20"/>
                            <w:spacing w:val="-3"/>
                            <w:w w:val="70"/>
                            <w:sz w:val="17"/>
                          </w:rPr>
                          <w:t xml:space="preserve">database </w:t>
                        </w:r>
                        <w:r>
                          <w:rPr>
                            <w:color w:val="231F20"/>
                            <w:w w:val="80"/>
                            <w:sz w:val="17"/>
                          </w:rPr>
                          <w:t>updated</w:t>
                        </w:r>
                      </w:p>
                      <w:p w14:paraId="61E70E63" w14:textId="77777777" w:rsidR="00080B77" w:rsidRDefault="00080B77">
                        <w:pPr>
                          <w:pStyle w:val="TableParagraph"/>
                          <w:ind w:left="24"/>
                          <w:rPr>
                            <w:sz w:val="17"/>
                          </w:rPr>
                        </w:pPr>
                        <w:r>
                          <w:rPr>
                            <w:color w:val="231F20"/>
                            <w:w w:val="69"/>
                            <w:sz w:val="17"/>
                          </w:rPr>
                          <w:t>•</w:t>
                        </w:r>
                      </w:p>
                    </w:tc>
                    <w:tc>
                      <w:tcPr>
                        <w:tcW w:w="1417" w:type="dxa"/>
                        <w:tcBorders>
                          <w:top w:val="single" w:sz="8" w:space="0" w:color="231F20"/>
                          <w:left w:val="single" w:sz="6" w:space="0" w:color="231F20"/>
                          <w:bottom w:val="single" w:sz="8" w:space="0" w:color="231F20"/>
                          <w:right w:val="single" w:sz="6" w:space="0" w:color="231F20"/>
                        </w:tcBorders>
                        <w:shd w:val="clear" w:color="auto" w:fill="CCE7D3"/>
                      </w:tcPr>
                      <w:p w14:paraId="781FE904" w14:textId="77777777" w:rsidR="00080B77" w:rsidRDefault="00080B77">
                        <w:pPr>
                          <w:pStyle w:val="TableParagraph"/>
                          <w:rPr>
                            <w:rFonts w:ascii="Times New Roman"/>
                            <w:sz w:val="10"/>
                          </w:rPr>
                        </w:pPr>
                      </w:p>
                    </w:tc>
                    <w:tc>
                      <w:tcPr>
                        <w:tcW w:w="1495" w:type="dxa"/>
                        <w:tcBorders>
                          <w:top w:val="single" w:sz="8" w:space="0" w:color="231F20"/>
                          <w:left w:val="single" w:sz="6" w:space="0" w:color="231F20"/>
                          <w:bottom w:val="single" w:sz="8" w:space="0" w:color="231F20"/>
                          <w:right w:val="single" w:sz="6" w:space="0" w:color="231F20"/>
                        </w:tcBorders>
                        <w:shd w:val="clear" w:color="auto" w:fill="CCE7D3"/>
                      </w:tcPr>
                      <w:p w14:paraId="7B3B44B9" w14:textId="77777777" w:rsidR="00080B77" w:rsidRDefault="00080B77">
                        <w:pPr>
                          <w:pStyle w:val="TableParagraph"/>
                          <w:rPr>
                            <w:rFonts w:ascii="Times New Roman"/>
                            <w:sz w:val="10"/>
                          </w:rPr>
                        </w:pPr>
                      </w:p>
                    </w:tc>
                  </w:tr>
                  <w:tr w:rsidR="00080B77" w14:paraId="027E39DF" w14:textId="77777777">
                    <w:trPr>
                      <w:trHeight w:val="469"/>
                    </w:trPr>
                    <w:tc>
                      <w:tcPr>
                        <w:tcW w:w="1032" w:type="dxa"/>
                        <w:gridSpan w:val="3"/>
                        <w:tcBorders>
                          <w:top w:val="nil"/>
                          <w:left w:val="single" w:sz="6" w:space="0" w:color="231F20"/>
                          <w:bottom w:val="nil"/>
                          <w:right w:val="single" w:sz="6" w:space="0" w:color="231F20"/>
                        </w:tcBorders>
                      </w:tcPr>
                      <w:p w14:paraId="403A4800" w14:textId="77777777" w:rsidR="00080B77" w:rsidRDefault="00080B77">
                        <w:pPr>
                          <w:pStyle w:val="TableParagraph"/>
                          <w:rPr>
                            <w:rFonts w:ascii="Times New Roman"/>
                            <w:sz w:val="10"/>
                          </w:rPr>
                        </w:pPr>
                      </w:p>
                    </w:tc>
                    <w:tc>
                      <w:tcPr>
                        <w:tcW w:w="522" w:type="dxa"/>
                        <w:tcBorders>
                          <w:top w:val="single" w:sz="8" w:space="0" w:color="231F20"/>
                          <w:left w:val="single" w:sz="6" w:space="0" w:color="231F20"/>
                          <w:bottom w:val="single" w:sz="8" w:space="0" w:color="231F20"/>
                          <w:right w:val="single" w:sz="6" w:space="0" w:color="231F20"/>
                        </w:tcBorders>
                      </w:tcPr>
                      <w:p w14:paraId="16E8F52E" w14:textId="77777777" w:rsidR="00080B77" w:rsidRDefault="00080B77">
                        <w:pPr>
                          <w:pStyle w:val="TableParagraph"/>
                          <w:spacing w:before="135"/>
                          <w:ind w:left="82"/>
                          <w:rPr>
                            <w:sz w:val="17"/>
                          </w:rPr>
                        </w:pPr>
                        <w:r>
                          <w:rPr>
                            <w:color w:val="231F20"/>
                            <w:w w:val="75"/>
                            <w:sz w:val="17"/>
                          </w:rPr>
                          <w:t>9.1.2.a</w:t>
                        </w:r>
                      </w:p>
                    </w:tc>
                    <w:tc>
                      <w:tcPr>
                        <w:tcW w:w="4862" w:type="dxa"/>
                        <w:gridSpan w:val="2"/>
                        <w:tcBorders>
                          <w:top w:val="single" w:sz="8" w:space="0" w:color="231F20"/>
                          <w:left w:val="single" w:sz="6" w:space="0" w:color="231F20"/>
                          <w:bottom w:val="single" w:sz="8" w:space="0" w:color="231F20"/>
                          <w:right w:val="single" w:sz="6" w:space="0" w:color="231F20"/>
                        </w:tcBorders>
                      </w:tcPr>
                      <w:p w14:paraId="02129CA3" w14:textId="77777777" w:rsidR="00080B77" w:rsidRDefault="00080B77">
                        <w:pPr>
                          <w:pStyle w:val="TableParagraph"/>
                          <w:spacing w:before="129"/>
                          <w:ind w:left="23"/>
                          <w:rPr>
                            <w:sz w:val="17"/>
                          </w:rPr>
                        </w:pPr>
                        <w:r>
                          <w:rPr>
                            <w:color w:val="231F20"/>
                            <w:w w:val="80"/>
                            <w:sz w:val="17"/>
                          </w:rPr>
                          <w:t>Update a state comprehensive HRH database</w:t>
                        </w:r>
                      </w:p>
                    </w:tc>
                    <w:tc>
                      <w:tcPr>
                        <w:tcW w:w="1417" w:type="dxa"/>
                        <w:tcBorders>
                          <w:top w:val="single" w:sz="8" w:space="0" w:color="231F20"/>
                          <w:left w:val="single" w:sz="6" w:space="0" w:color="231F20"/>
                          <w:bottom w:val="single" w:sz="8" w:space="0" w:color="231F20"/>
                          <w:right w:val="single" w:sz="6" w:space="0" w:color="231F20"/>
                        </w:tcBorders>
                      </w:tcPr>
                      <w:p w14:paraId="1F0FD22A" w14:textId="77777777" w:rsidR="00080B77" w:rsidRDefault="00080B77">
                        <w:pPr>
                          <w:pStyle w:val="TableParagraph"/>
                          <w:spacing w:before="135"/>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3CFE4A89" w14:textId="77777777" w:rsidR="00080B77" w:rsidRDefault="00080B77">
                        <w:pPr>
                          <w:pStyle w:val="TableParagraph"/>
                          <w:spacing w:before="135"/>
                          <w:ind w:left="26"/>
                          <w:rPr>
                            <w:sz w:val="17"/>
                          </w:rPr>
                        </w:pPr>
                        <w:r>
                          <w:rPr>
                            <w:color w:val="231F20"/>
                            <w:w w:val="80"/>
                            <w:sz w:val="17"/>
                          </w:rPr>
                          <w:t>Update HRH database</w:t>
                        </w:r>
                      </w:p>
                    </w:tc>
                  </w:tr>
                  <w:tr w:rsidR="00080B77" w14:paraId="4BE0C946" w14:textId="77777777">
                    <w:trPr>
                      <w:trHeight w:val="1552"/>
                    </w:trPr>
                    <w:tc>
                      <w:tcPr>
                        <w:tcW w:w="581" w:type="dxa"/>
                        <w:gridSpan w:val="2"/>
                        <w:tcBorders>
                          <w:top w:val="nil"/>
                          <w:left w:val="single" w:sz="6" w:space="0" w:color="231F20"/>
                          <w:bottom w:val="nil"/>
                          <w:right w:val="single" w:sz="6" w:space="0" w:color="231F20"/>
                        </w:tcBorders>
                      </w:tcPr>
                      <w:p w14:paraId="3F7EDA28" w14:textId="77777777" w:rsidR="00080B77" w:rsidRDefault="00080B77">
                        <w:pPr>
                          <w:pStyle w:val="TableParagraph"/>
                          <w:rPr>
                            <w:rFonts w:ascii="Times New Roman"/>
                            <w:sz w:val="10"/>
                          </w:rPr>
                        </w:pPr>
                      </w:p>
                    </w:tc>
                    <w:tc>
                      <w:tcPr>
                        <w:tcW w:w="451" w:type="dxa"/>
                        <w:tcBorders>
                          <w:top w:val="single" w:sz="8" w:space="0" w:color="231F20"/>
                          <w:left w:val="single" w:sz="6" w:space="0" w:color="231F20"/>
                          <w:bottom w:val="single" w:sz="8" w:space="0" w:color="231F20"/>
                          <w:right w:val="single" w:sz="6" w:space="0" w:color="231F20"/>
                        </w:tcBorders>
                        <w:shd w:val="clear" w:color="auto" w:fill="CCE7D3"/>
                      </w:tcPr>
                      <w:p w14:paraId="00840894" w14:textId="77777777" w:rsidR="00080B77" w:rsidRDefault="00080B77">
                        <w:pPr>
                          <w:pStyle w:val="TableParagraph"/>
                          <w:rPr>
                            <w:sz w:val="16"/>
                          </w:rPr>
                        </w:pPr>
                      </w:p>
                      <w:p w14:paraId="6449CA4A" w14:textId="77777777" w:rsidR="00080B77" w:rsidRDefault="00080B77">
                        <w:pPr>
                          <w:pStyle w:val="TableParagraph"/>
                          <w:rPr>
                            <w:sz w:val="16"/>
                          </w:rPr>
                        </w:pPr>
                      </w:p>
                      <w:p w14:paraId="7DE25F62" w14:textId="77777777" w:rsidR="00080B77" w:rsidRDefault="00080B77">
                        <w:pPr>
                          <w:pStyle w:val="TableParagraph"/>
                          <w:rPr>
                            <w:sz w:val="16"/>
                          </w:rPr>
                        </w:pPr>
                      </w:p>
                      <w:p w14:paraId="70722A7C" w14:textId="77777777" w:rsidR="00080B77" w:rsidRDefault="00080B77">
                        <w:pPr>
                          <w:pStyle w:val="TableParagraph"/>
                          <w:spacing w:before="126"/>
                          <w:ind w:left="55"/>
                          <w:rPr>
                            <w:sz w:val="17"/>
                          </w:rPr>
                        </w:pPr>
                        <w:r>
                          <w:rPr>
                            <w:color w:val="231F20"/>
                            <w:w w:val="80"/>
                            <w:sz w:val="17"/>
                          </w:rPr>
                          <w:t>9.1.3</w:t>
                        </w:r>
                      </w:p>
                    </w:tc>
                    <w:tc>
                      <w:tcPr>
                        <w:tcW w:w="3016" w:type="dxa"/>
                        <w:gridSpan w:val="2"/>
                        <w:tcBorders>
                          <w:top w:val="single" w:sz="8" w:space="0" w:color="231F20"/>
                          <w:left w:val="single" w:sz="6" w:space="0" w:color="231F20"/>
                          <w:bottom w:val="single" w:sz="8" w:space="0" w:color="231F20"/>
                          <w:right w:val="single" w:sz="6" w:space="0" w:color="231F20"/>
                        </w:tcBorders>
                        <w:shd w:val="clear" w:color="auto" w:fill="CCE7D3"/>
                      </w:tcPr>
                      <w:p w14:paraId="66D4C8DC" w14:textId="77777777" w:rsidR="00080B77" w:rsidRDefault="00080B77">
                        <w:pPr>
                          <w:pStyle w:val="TableParagraph"/>
                          <w:rPr>
                            <w:sz w:val="16"/>
                          </w:rPr>
                        </w:pPr>
                      </w:p>
                      <w:p w14:paraId="0C2A9CD5" w14:textId="77777777" w:rsidR="00080B77" w:rsidRDefault="00080B77">
                        <w:pPr>
                          <w:pStyle w:val="TableParagraph"/>
                          <w:rPr>
                            <w:sz w:val="16"/>
                          </w:rPr>
                        </w:pPr>
                      </w:p>
                      <w:p w14:paraId="59CF42FC" w14:textId="77777777" w:rsidR="00080B77" w:rsidRDefault="00080B77">
                        <w:pPr>
                          <w:pStyle w:val="TableParagraph"/>
                          <w:spacing w:before="2"/>
                          <w:rPr>
                            <w:sz w:val="17"/>
                          </w:rPr>
                        </w:pPr>
                      </w:p>
                      <w:p w14:paraId="7F49B2CE" w14:textId="77777777" w:rsidR="00080B77" w:rsidRDefault="00080B77">
                        <w:pPr>
                          <w:pStyle w:val="TableParagraph"/>
                          <w:spacing w:before="1" w:line="254" w:lineRule="auto"/>
                          <w:ind w:left="23" w:firstLine="65"/>
                          <w:rPr>
                            <w:sz w:val="17"/>
                          </w:rPr>
                        </w:pPr>
                        <w:r>
                          <w:rPr>
                            <w:color w:val="231F20"/>
                            <w:w w:val="70"/>
                            <w:sz w:val="17"/>
                          </w:rPr>
                          <w:t xml:space="preserve">Enhance funding for HRH development for the current </w:t>
                        </w:r>
                        <w:r>
                          <w:rPr>
                            <w:color w:val="231F20"/>
                            <w:w w:val="80"/>
                            <w:sz w:val="17"/>
                          </w:rPr>
                          <w:t>and future needs</w:t>
                        </w:r>
                      </w:p>
                    </w:tc>
                    <w:tc>
                      <w:tcPr>
                        <w:tcW w:w="2368" w:type="dxa"/>
                        <w:tcBorders>
                          <w:top w:val="single" w:sz="8" w:space="0" w:color="231F20"/>
                          <w:left w:val="single" w:sz="6" w:space="0" w:color="231F20"/>
                          <w:bottom w:val="single" w:sz="8" w:space="0" w:color="231F20"/>
                          <w:right w:val="single" w:sz="6" w:space="0" w:color="231F20"/>
                        </w:tcBorders>
                        <w:shd w:val="clear" w:color="auto" w:fill="CCE7D3"/>
                      </w:tcPr>
                      <w:p w14:paraId="495D934E" w14:textId="77777777" w:rsidR="00080B77" w:rsidRDefault="00080B77">
                        <w:pPr>
                          <w:pStyle w:val="TableParagraph"/>
                          <w:numPr>
                            <w:ilvl w:val="0"/>
                            <w:numId w:val="67"/>
                          </w:numPr>
                          <w:tabs>
                            <w:tab w:val="left" w:pos="93"/>
                          </w:tabs>
                          <w:spacing w:line="237" w:lineRule="auto"/>
                          <w:ind w:right="36" w:firstLine="0"/>
                          <w:rPr>
                            <w:sz w:val="17"/>
                          </w:rPr>
                        </w:pPr>
                        <w:r>
                          <w:rPr>
                            <w:color w:val="231F20"/>
                            <w:w w:val="70"/>
                            <w:sz w:val="17"/>
                          </w:rPr>
                          <w:t>Advocacy for allocation a minimum of</w:t>
                        </w:r>
                        <w:r>
                          <w:rPr>
                            <w:color w:val="231F20"/>
                            <w:spacing w:val="-23"/>
                            <w:w w:val="70"/>
                            <w:sz w:val="17"/>
                          </w:rPr>
                          <w:t xml:space="preserve"> </w:t>
                        </w:r>
                        <w:r>
                          <w:rPr>
                            <w:color w:val="231F20"/>
                            <w:spacing w:val="-4"/>
                            <w:w w:val="70"/>
                            <w:sz w:val="17"/>
                          </w:rPr>
                          <w:t xml:space="preserve">15% </w:t>
                        </w:r>
                        <w:r>
                          <w:rPr>
                            <w:color w:val="231F20"/>
                            <w:w w:val="75"/>
                            <w:sz w:val="17"/>
                          </w:rPr>
                          <w:t>of</w:t>
                        </w:r>
                        <w:r>
                          <w:rPr>
                            <w:color w:val="231F20"/>
                            <w:spacing w:val="-21"/>
                            <w:w w:val="75"/>
                            <w:sz w:val="17"/>
                          </w:rPr>
                          <w:t xml:space="preserve"> </w:t>
                        </w:r>
                        <w:r>
                          <w:rPr>
                            <w:color w:val="231F20"/>
                            <w:w w:val="75"/>
                            <w:sz w:val="17"/>
                          </w:rPr>
                          <w:t>the</w:t>
                        </w:r>
                        <w:r>
                          <w:rPr>
                            <w:color w:val="231F20"/>
                            <w:spacing w:val="-20"/>
                            <w:w w:val="75"/>
                            <w:sz w:val="17"/>
                          </w:rPr>
                          <w:t xml:space="preserve"> </w:t>
                        </w:r>
                        <w:r>
                          <w:rPr>
                            <w:color w:val="231F20"/>
                            <w:w w:val="75"/>
                            <w:sz w:val="17"/>
                          </w:rPr>
                          <w:t>health</w:t>
                        </w:r>
                        <w:r>
                          <w:rPr>
                            <w:color w:val="231F20"/>
                            <w:spacing w:val="-20"/>
                            <w:w w:val="75"/>
                            <w:sz w:val="17"/>
                          </w:rPr>
                          <w:t xml:space="preserve"> </w:t>
                        </w:r>
                        <w:r>
                          <w:rPr>
                            <w:color w:val="231F20"/>
                            <w:w w:val="75"/>
                            <w:sz w:val="17"/>
                          </w:rPr>
                          <w:t>budget</w:t>
                        </w:r>
                        <w:r>
                          <w:rPr>
                            <w:color w:val="231F20"/>
                            <w:spacing w:val="-21"/>
                            <w:w w:val="75"/>
                            <w:sz w:val="17"/>
                          </w:rPr>
                          <w:t xml:space="preserve"> </w:t>
                        </w:r>
                        <w:r>
                          <w:rPr>
                            <w:color w:val="231F20"/>
                            <w:w w:val="75"/>
                            <w:sz w:val="17"/>
                          </w:rPr>
                          <w:t>to</w:t>
                        </w:r>
                        <w:r>
                          <w:rPr>
                            <w:color w:val="231F20"/>
                            <w:spacing w:val="-20"/>
                            <w:w w:val="75"/>
                            <w:sz w:val="17"/>
                          </w:rPr>
                          <w:t xml:space="preserve"> </w:t>
                        </w:r>
                        <w:r>
                          <w:rPr>
                            <w:color w:val="231F20"/>
                            <w:w w:val="75"/>
                            <w:sz w:val="17"/>
                          </w:rPr>
                          <w:t>development</w:t>
                        </w:r>
                        <w:r>
                          <w:rPr>
                            <w:color w:val="231F20"/>
                            <w:spacing w:val="-20"/>
                            <w:w w:val="75"/>
                            <w:sz w:val="17"/>
                          </w:rPr>
                          <w:t xml:space="preserve"> </w:t>
                        </w:r>
                        <w:r>
                          <w:rPr>
                            <w:color w:val="231F20"/>
                            <w:w w:val="75"/>
                            <w:sz w:val="17"/>
                          </w:rPr>
                          <w:t>of</w:t>
                        </w:r>
                        <w:r>
                          <w:rPr>
                            <w:color w:val="231F20"/>
                            <w:spacing w:val="-21"/>
                            <w:w w:val="75"/>
                            <w:sz w:val="17"/>
                          </w:rPr>
                          <w:t xml:space="preserve"> </w:t>
                        </w:r>
                        <w:r>
                          <w:rPr>
                            <w:color w:val="231F20"/>
                            <w:w w:val="75"/>
                            <w:sz w:val="17"/>
                          </w:rPr>
                          <w:t xml:space="preserve">HR </w:t>
                        </w:r>
                        <w:r>
                          <w:rPr>
                            <w:color w:val="231F20"/>
                            <w:w w:val="80"/>
                            <w:sz w:val="17"/>
                          </w:rPr>
                          <w:t>done</w:t>
                        </w:r>
                      </w:p>
                      <w:p w14:paraId="25E8E497" w14:textId="77777777" w:rsidR="00080B77" w:rsidRDefault="00080B77">
                        <w:pPr>
                          <w:pStyle w:val="TableParagraph"/>
                          <w:numPr>
                            <w:ilvl w:val="0"/>
                            <w:numId w:val="67"/>
                          </w:numPr>
                          <w:tabs>
                            <w:tab w:val="left" w:pos="93"/>
                          </w:tabs>
                          <w:spacing w:line="232" w:lineRule="auto"/>
                          <w:ind w:left="33" w:right="199" w:hanging="9"/>
                          <w:rPr>
                            <w:sz w:val="17"/>
                          </w:rPr>
                        </w:pPr>
                        <w:r>
                          <w:rPr>
                            <w:color w:val="231F20"/>
                            <w:w w:val="70"/>
                            <w:sz w:val="17"/>
                          </w:rPr>
                          <w:t>Advocate</w:t>
                        </w:r>
                        <w:r>
                          <w:rPr>
                            <w:color w:val="231F20"/>
                            <w:spacing w:val="-6"/>
                            <w:w w:val="70"/>
                            <w:sz w:val="17"/>
                          </w:rPr>
                          <w:t xml:space="preserve"> </w:t>
                        </w:r>
                        <w:r>
                          <w:rPr>
                            <w:color w:val="231F20"/>
                            <w:w w:val="70"/>
                            <w:sz w:val="17"/>
                          </w:rPr>
                          <w:t>to</w:t>
                        </w:r>
                        <w:r>
                          <w:rPr>
                            <w:color w:val="231F20"/>
                            <w:spacing w:val="-5"/>
                            <w:w w:val="70"/>
                            <w:sz w:val="17"/>
                          </w:rPr>
                          <w:t xml:space="preserve"> </w:t>
                        </w:r>
                        <w:r>
                          <w:rPr>
                            <w:color w:val="231F20"/>
                            <w:w w:val="70"/>
                            <w:sz w:val="17"/>
                          </w:rPr>
                          <w:t>private</w:t>
                        </w:r>
                        <w:r>
                          <w:rPr>
                            <w:color w:val="231F20"/>
                            <w:spacing w:val="-5"/>
                            <w:w w:val="70"/>
                            <w:sz w:val="17"/>
                          </w:rPr>
                          <w:t xml:space="preserve"> </w:t>
                        </w:r>
                        <w:r>
                          <w:rPr>
                            <w:color w:val="231F20"/>
                            <w:w w:val="70"/>
                            <w:sz w:val="17"/>
                          </w:rPr>
                          <w:t>sector</w:t>
                        </w:r>
                        <w:r>
                          <w:rPr>
                            <w:color w:val="231F20"/>
                            <w:spacing w:val="-5"/>
                            <w:w w:val="70"/>
                            <w:sz w:val="17"/>
                          </w:rPr>
                          <w:t xml:space="preserve"> </w:t>
                        </w:r>
                        <w:r>
                          <w:rPr>
                            <w:color w:val="231F20"/>
                            <w:w w:val="70"/>
                            <w:sz w:val="17"/>
                          </w:rPr>
                          <w:t>for</w:t>
                        </w:r>
                        <w:r>
                          <w:rPr>
                            <w:color w:val="231F20"/>
                            <w:spacing w:val="-5"/>
                            <w:w w:val="70"/>
                            <w:sz w:val="17"/>
                          </w:rPr>
                          <w:t xml:space="preserve"> </w:t>
                        </w:r>
                        <w:r>
                          <w:rPr>
                            <w:color w:val="231F20"/>
                            <w:w w:val="70"/>
                            <w:sz w:val="17"/>
                          </w:rPr>
                          <w:t xml:space="preserve">adequate </w:t>
                        </w:r>
                        <w:r>
                          <w:rPr>
                            <w:color w:val="231F20"/>
                            <w:w w:val="80"/>
                            <w:sz w:val="17"/>
                          </w:rPr>
                          <w:t>funding</w:t>
                        </w:r>
                        <w:r>
                          <w:rPr>
                            <w:color w:val="231F20"/>
                            <w:spacing w:val="-11"/>
                            <w:w w:val="80"/>
                            <w:sz w:val="17"/>
                          </w:rPr>
                          <w:t xml:space="preserve"> </w:t>
                        </w:r>
                        <w:r>
                          <w:rPr>
                            <w:color w:val="231F20"/>
                            <w:w w:val="80"/>
                            <w:sz w:val="17"/>
                          </w:rPr>
                          <w:t>for</w:t>
                        </w:r>
                        <w:r>
                          <w:rPr>
                            <w:color w:val="231F20"/>
                            <w:spacing w:val="-10"/>
                            <w:w w:val="80"/>
                            <w:sz w:val="17"/>
                          </w:rPr>
                          <w:t xml:space="preserve"> </w:t>
                        </w:r>
                        <w:r>
                          <w:rPr>
                            <w:color w:val="231F20"/>
                            <w:w w:val="80"/>
                            <w:sz w:val="17"/>
                          </w:rPr>
                          <w:t>HRH</w:t>
                        </w:r>
                        <w:r>
                          <w:rPr>
                            <w:color w:val="231F20"/>
                            <w:spacing w:val="-11"/>
                            <w:w w:val="80"/>
                            <w:sz w:val="17"/>
                          </w:rPr>
                          <w:t xml:space="preserve"> </w:t>
                        </w:r>
                        <w:r>
                          <w:rPr>
                            <w:color w:val="231F20"/>
                            <w:w w:val="80"/>
                            <w:sz w:val="17"/>
                          </w:rPr>
                          <w:t>done</w:t>
                        </w:r>
                      </w:p>
                      <w:p w14:paraId="729632BE" w14:textId="0691070E" w:rsidR="00080B77" w:rsidRDefault="00080B77">
                        <w:pPr>
                          <w:pStyle w:val="TableParagraph"/>
                          <w:numPr>
                            <w:ilvl w:val="0"/>
                            <w:numId w:val="67"/>
                          </w:numPr>
                          <w:tabs>
                            <w:tab w:val="left" w:pos="99"/>
                          </w:tabs>
                          <w:spacing w:before="2" w:line="232" w:lineRule="auto"/>
                          <w:ind w:right="115" w:firstLine="0"/>
                          <w:rPr>
                            <w:sz w:val="17"/>
                          </w:rPr>
                        </w:pPr>
                        <w:r>
                          <w:rPr>
                            <w:color w:val="231F20"/>
                            <w:w w:val="70"/>
                            <w:sz w:val="17"/>
                          </w:rPr>
                          <w:t>Resource mobilization activities for</w:t>
                        </w:r>
                        <w:r>
                          <w:rPr>
                            <w:color w:val="231F20"/>
                            <w:spacing w:val="-21"/>
                            <w:w w:val="70"/>
                            <w:sz w:val="17"/>
                          </w:rPr>
                          <w:t xml:space="preserve"> </w:t>
                        </w:r>
                        <w:r>
                          <w:rPr>
                            <w:color w:val="231F20"/>
                            <w:spacing w:val="-3"/>
                            <w:w w:val="70"/>
                            <w:sz w:val="17"/>
                          </w:rPr>
                          <w:t xml:space="preserve">HRH, </w:t>
                        </w:r>
                        <w:r>
                          <w:rPr>
                            <w:color w:val="231F20"/>
                            <w:w w:val="80"/>
                            <w:sz w:val="17"/>
                          </w:rPr>
                          <w:t>including</w:t>
                        </w:r>
                        <w:r>
                          <w:rPr>
                            <w:color w:val="231F20"/>
                            <w:spacing w:val="-23"/>
                            <w:w w:val="80"/>
                            <w:sz w:val="17"/>
                          </w:rPr>
                          <w:t xml:space="preserve"> </w:t>
                        </w:r>
                        <w:r>
                          <w:rPr>
                            <w:color w:val="231F20"/>
                            <w:w w:val="80"/>
                            <w:sz w:val="17"/>
                          </w:rPr>
                          <w:t>craftsmanship,</w:t>
                        </w:r>
                        <w:r>
                          <w:rPr>
                            <w:color w:val="231F20"/>
                            <w:spacing w:val="-23"/>
                            <w:w w:val="80"/>
                            <w:sz w:val="17"/>
                          </w:rPr>
                          <w:t xml:space="preserve"> </w:t>
                        </w:r>
                        <w:r>
                          <w:rPr>
                            <w:color w:val="231F20"/>
                            <w:w w:val="80"/>
                            <w:sz w:val="17"/>
                          </w:rPr>
                          <w:t>proposal</w:t>
                        </w:r>
                      </w:p>
                      <w:p w14:paraId="0725A494" w14:textId="4104D9B9" w:rsidR="00080B77" w:rsidRDefault="00080B77">
                        <w:pPr>
                          <w:pStyle w:val="TableParagraph"/>
                          <w:spacing w:before="22" w:line="169" w:lineRule="exact"/>
                          <w:ind w:left="24"/>
                          <w:rPr>
                            <w:sz w:val="17"/>
                          </w:rPr>
                        </w:pPr>
                        <w:r>
                          <w:rPr>
                            <w:color w:val="231F20"/>
                            <w:w w:val="75"/>
                            <w:sz w:val="17"/>
                          </w:rPr>
                          <w:t>development, fund raising activities etc.</w:t>
                        </w:r>
                      </w:p>
                    </w:tc>
                    <w:tc>
                      <w:tcPr>
                        <w:tcW w:w="1417" w:type="dxa"/>
                        <w:tcBorders>
                          <w:top w:val="single" w:sz="8" w:space="0" w:color="231F20"/>
                          <w:left w:val="single" w:sz="6" w:space="0" w:color="231F20"/>
                          <w:bottom w:val="single" w:sz="8" w:space="0" w:color="231F20"/>
                          <w:right w:val="single" w:sz="6" w:space="0" w:color="231F20"/>
                        </w:tcBorders>
                        <w:shd w:val="clear" w:color="auto" w:fill="CCE7D3"/>
                      </w:tcPr>
                      <w:p w14:paraId="4A27777D" w14:textId="77777777" w:rsidR="00080B77" w:rsidRDefault="00080B77">
                        <w:pPr>
                          <w:pStyle w:val="TableParagraph"/>
                          <w:rPr>
                            <w:rFonts w:ascii="Times New Roman"/>
                            <w:sz w:val="10"/>
                          </w:rPr>
                        </w:pPr>
                      </w:p>
                    </w:tc>
                    <w:tc>
                      <w:tcPr>
                        <w:tcW w:w="1495" w:type="dxa"/>
                        <w:tcBorders>
                          <w:top w:val="single" w:sz="8" w:space="0" w:color="231F20"/>
                          <w:left w:val="single" w:sz="6" w:space="0" w:color="231F20"/>
                          <w:bottom w:val="single" w:sz="8" w:space="0" w:color="231F20"/>
                          <w:right w:val="single" w:sz="6" w:space="0" w:color="231F20"/>
                        </w:tcBorders>
                        <w:shd w:val="clear" w:color="auto" w:fill="CCE7D3"/>
                      </w:tcPr>
                      <w:p w14:paraId="671FD950" w14:textId="77777777" w:rsidR="00080B77" w:rsidRDefault="00080B77">
                        <w:pPr>
                          <w:pStyle w:val="TableParagraph"/>
                          <w:rPr>
                            <w:rFonts w:ascii="Times New Roman"/>
                            <w:sz w:val="10"/>
                          </w:rPr>
                        </w:pPr>
                      </w:p>
                    </w:tc>
                  </w:tr>
                  <w:tr w:rsidR="00080B77" w14:paraId="36EAD098" w14:textId="77777777">
                    <w:trPr>
                      <w:trHeight w:val="540"/>
                    </w:trPr>
                    <w:tc>
                      <w:tcPr>
                        <w:tcW w:w="1032" w:type="dxa"/>
                        <w:gridSpan w:val="3"/>
                        <w:vMerge w:val="restart"/>
                        <w:tcBorders>
                          <w:top w:val="nil"/>
                          <w:left w:val="single" w:sz="6" w:space="0" w:color="231F20"/>
                          <w:bottom w:val="nil"/>
                          <w:right w:val="single" w:sz="6" w:space="0" w:color="231F20"/>
                        </w:tcBorders>
                      </w:tcPr>
                      <w:p w14:paraId="09965BE6" w14:textId="77777777" w:rsidR="00080B77" w:rsidRDefault="00080B77">
                        <w:pPr>
                          <w:pStyle w:val="TableParagraph"/>
                          <w:rPr>
                            <w:rFonts w:ascii="Times New Roman"/>
                            <w:sz w:val="10"/>
                          </w:rPr>
                        </w:pPr>
                      </w:p>
                    </w:tc>
                    <w:tc>
                      <w:tcPr>
                        <w:tcW w:w="522" w:type="dxa"/>
                        <w:tcBorders>
                          <w:top w:val="single" w:sz="8" w:space="0" w:color="231F20"/>
                          <w:left w:val="single" w:sz="6" w:space="0" w:color="231F20"/>
                          <w:bottom w:val="single" w:sz="8" w:space="0" w:color="231F20"/>
                          <w:right w:val="single" w:sz="6" w:space="0" w:color="231F20"/>
                        </w:tcBorders>
                      </w:tcPr>
                      <w:p w14:paraId="68503562" w14:textId="77777777" w:rsidR="00080B77" w:rsidRDefault="00080B77">
                        <w:pPr>
                          <w:pStyle w:val="TableParagraph"/>
                          <w:spacing w:before="10"/>
                          <w:rPr>
                            <w:sz w:val="14"/>
                          </w:rPr>
                        </w:pPr>
                      </w:p>
                      <w:p w14:paraId="681CDE98" w14:textId="77777777" w:rsidR="00080B77" w:rsidRDefault="00080B77">
                        <w:pPr>
                          <w:pStyle w:val="TableParagraph"/>
                          <w:ind w:left="82"/>
                          <w:rPr>
                            <w:sz w:val="17"/>
                          </w:rPr>
                        </w:pPr>
                        <w:r>
                          <w:rPr>
                            <w:color w:val="231F20"/>
                            <w:w w:val="75"/>
                            <w:sz w:val="17"/>
                          </w:rPr>
                          <w:t>9.1.3.a</w:t>
                        </w:r>
                      </w:p>
                    </w:tc>
                    <w:tc>
                      <w:tcPr>
                        <w:tcW w:w="4862" w:type="dxa"/>
                        <w:gridSpan w:val="2"/>
                        <w:tcBorders>
                          <w:top w:val="single" w:sz="8" w:space="0" w:color="231F20"/>
                          <w:left w:val="single" w:sz="6" w:space="0" w:color="231F20"/>
                          <w:bottom w:val="single" w:sz="8" w:space="0" w:color="231F20"/>
                          <w:right w:val="single" w:sz="6" w:space="0" w:color="231F20"/>
                        </w:tcBorders>
                      </w:tcPr>
                      <w:p w14:paraId="36945FEF" w14:textId="77777777" w:rsidR="00080B77" w:rsidRDefault="00080B77">
                        <w:pPr>
                          <w:pStyle w:val="TableParagraph"/>
                          <w:spacing w:before="61" w:line="254" w:lineRule="auto"/>
                          <w:ind w:left="23"/>
                          <w:rPr>
                            <w:sz w:val="17"/>
                          </w:rPr>
                        </w:pPr>
                        <w:r>
                          <w:rPr>
                            <w:color w:val="231F20"/>
                            <w:w w:val="70"/>
                            <w:sz w:val="17"/>
                          </w:rPr>
                          <w:t xml:space="preserve">Advocacy for allocation a minimum of 15% of the health budget to development of human </w:t>
                        </w:r>
                        <w:r>
                          <w:rPr>
                            <w:color w:val="231F20"/>
                            <w:w w:val="80"/>
                            <w:sz w:val="17"/>
                          </w:rPr>
                          <w:t>resources. (NHP 2004)</w:t>
                        </w:r>
                      </w:p>
                    </w:tc>
                    <w:tc>
                      <w:tcPr>
                        <w:tcW w:w="1417" w:type="dxa"/>
                        <w:tcBorders>
                          <w:top w:val="single" w:sz="8" w:space="0" w:color="231F20"/>
                          <w:left w:val="single" w:sz="6" w:space="0" w:color="231F20"/>
                          <w:bottom w:val="single" w:sz="8" w:space="0" w:color="231F20"/>
                          <w:right w:val="single" w:sz="6" w:space="0" w:color="231F20"/>
                        </w:tcBorders>
                      </w:tcPr>
                      <w:p w14:paraId="7531312F" w14:textId="77777777" w:rsidR="00080B77" w:rsidRDefault="00080B77">
                        <w:pPr>
                          <w:pStyle w:val="TableParagraph"/>
                          <w:spacing w:before="10"/>
                          <w:rPr>
                            <w:sz w:val="14"/>
                          </w:rPr>
                        </w:pPr>
                      </w:p>
                      <w:p w14:paraId="7B38BE59" w14:textId="77777777" w:rsidR="00080B77" w:rsidRDefault="00080B77">
                        <w:pPr>
                          <w:pStyle w:val="TableParagraph"/>
                          <w:ind w:left="25"/>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4AEB5A49" w14:textId="77777777" w:rsidR="00080B77" w:rsidRDefault="00080B77">
                        <w:pPr>
                          <w:pStyle w:val="TableParagraph"/>
                          <w:spacing w:before="10"/>
                          <w:rPr>
                            <w:sz w:val="14"/>
                          </w:rPr>
                        </w:pPr>
                      </w:p>
                      <w:p w14:paraId="41F38965" w14:textId="77777777" w:rsidR="00080B77" w:rsidRDefault="00080B77">
                        <w:pPr>
                          <w:pStyle w:val="TableParagraph"/>
                          <w:ind w:left="26"/>
                          <w:rPr>
                            <w:sz w:val="17"/>
                          </w:rPr>
                        </w:pPr>
                        <w:r>
                          <w:rPr>
                            <w:color w:val="231F20"/>
                            <w:w w:val="80"/>
                            <w:sz w:val="17"/>
                          </w:rPr>
                          <w:t>Advocacy for allocation</w:t>
                        </w:r>
                      </w:p>
                    </w:tc>
                  </w:tr>
                  <w:tr w:rsidR="00080B77" w14:paraId="4839CB1B" w14:textId="77777777">
                    <w:trPr>
                      <w:trHeight w:val="383"/>
                    </w:trPr>
                    <w:tc>
                      <w:tcPr>
                        <w:tcW w:w="1032" w:type="dxa"/>
                        <w:gridSpan w:val="3"/>
                        <w:vMerge/>
                        <w:tcBorders>
                          <w:top w:val="nil"/>
                          <w:left w:val="single" w:sz="6" w:space="0" w:color="231F20"/>
                          <w:bottom w:val="nil"/>
                          <w:right w:val="single" w:sz="6" w:space="0" w:color="231F20"/>
                        </w:tcBorders>
                      </w:tcPr>
                      <w:p w14:paraId="69511615"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66C90CAD" w14:textId="77777777" w:rsidR="00080B77" w:rsidRDefault="00080B77">
                        <w:pPr>
                          <w:pStyle w:val="TableParagraph"/>
                          <w:spacing w:before="93"/>
                          <w:ind w:left="82"/>
                          <w:rPr>
                            <w:sz w:val="17"/>
                          </w:rPr>
                        </w:pPr>
                        <w:r>
                          <w:rPr>
                            <w:color w:val="231F20"/>
                            <w:w w:val="75"/>
                            <w:sz w:val="17"/>
                          </w:rPr>
                          <w:t>9.1.3.b</w:t>
                        </w:r>
                      </w:p>
                    </w:tc>
                    <w:tc>
                      <w:tcPr>
                        <w:tcW w:w="4862" w:type="dxa"/>
                        <w:gridSpan w:val="2"/>
                        <w:tcBorders>
                          <w:top w:val="single" w:sz="8" w:space="0" w:color="231F20"/>
                          <w:left w:val="single" w:sz="6" w:space="0" w:color="231F20"/>
                          <w:bottom w:val="single" w:sz="8" w:space="0" w:color="231F20"/>
                          <w:right w:val="single" w:sz="8" w:space="0" w:color="231F20"/>
                        </w:tcBorders>
                      </w:tcPr>
                      <w:p w14:paraId="49F83C03" w14:textId="77777777" w:rsidR="00080B77" w:rsidRDefault="00080B77">
                        <w:pPr>
                          <w:pStyle w:val="TableParagraph"/>
                          <w:spacing w:line="191" w:lineRule="exact"/>
                          <w:ind w:left="23"/>
                          <w:rPr>
                            <w:sz w:val="17"/>
                          </w:rPr>
                        </w:pPr>
                        <w:r>
                          <w:rPr>
                            <w:color w:val="231F20"/>
                            <w:w w:val="75"/>
                            <w:sz w:val="17"/>
                          </w:rPr>
                          <w:t>Advocate</w:t>
                        </w:r>
                        <w:r>
                          <w:rPr>
                            <w:color w:val="231F20"/>
                            <w:spacing w:val="-21"/>
                            <w:w w:val="75"/>
                            <w:sz w:val="17"/>
                          </w:rPr>
                          <w:t xml:space="preserve"> </w:t>
                        </w:r>
                        <w:r>
                          <w:rPr>
                            <w:color w:val="231F20"/>
                            <w:w w:val="75"/>
                            <w:sz w:val="17"/>
                          </w:rPr>
                          <w:t>to</w:t>
                        </w:r>
                        <w:r>
                          <w:rPr>
                            <w:color w:val="231F20"/>
                            <w:spacing w:val="-21"/>
                            <w:w w:val="75"/>
                            <w:sz w:val="17"/>
                          </w:rPr>
                          <w:t xml:space="preserve"> </w:t>
                        </w:r>
                        <w:r>
                          <w:rPr>
                            <w:color w:val="231F20"/>
                            <w:w w:val="75"/>
                            <w:sz w:val="17"/>
                          </w:rPr>
                          <w:t>private</w:t>
                        </w:r>
                        <w:r>
                          <w:rPr>
                            <w:color w:val="231F20"/>
                            <w:spacing w:val="-21"/>
                            <w:w w:val="75"/>
                            <w:sz w:val="17"/>
                          </w:rPr>
                          <w:t xml:space="preserve"> </w:t>
                        </w:r>
                        <w:r>
                          <w:rPr>
                            <w:color w:val="231F20"/>
                            <w:w w:val="75"/>
                            <w:sz w:val="17"/>
                          </w:rPr>
                          <w:t>sector</w:t>
                        </w:r>
                        <w:r>
                          <w:rPr>
                            <w:color w:val="231F20"/>
                            <w:spacing w:val="-20"/>
                            <w:w w:val="75"/>
                            <w:sz w:val="17"/>
                          </w:rPr>
                          <w:t xml:space="preserve"> </w:t>
                        </w:r>
                        <w:r>
                          <w:rPr>
                            <w:color w:val="231F20"/>
                            <w:w w:val="75"/>
                            <w:sz w:val="17"/>
                          </w:rPr>
                          <w:t>for</w:t>
                        </w:r>
                        <w:r>
                          <w:rPr>
                            <w:color w:val="231F20"/>
                            <w:spacing w:val="-6"/>
                            <w:w w:val="75"/>
                            <w:sz w:val="17"/>
                          </w:rPr>
                          <w:t xml:space="preserve"> </w:t>
                        </w:r>
                        <w:r>
                          <w:rPr>
                            <w:color w:val="231F20"/>
                            <w:w w:val="75"/>
                            <w:sz w:val="17"/>
                          </w:rPr>
                          <w:t>adequate</w:t>
                        </w:r>
                        <w:r>
                          <w:rPr>
                            <w:color w:val="231F20"/>
                            <w:spacing w:val="-21"/>
                            <w:w w:val="75"/>
                            <w:sz w:val="17"/>
                          </w:rPr>
                          <w:t xml:space="preserve"> </w:t>
                        </w:r>
                        <w:r>
                          <w:rPr>
                            <w:color w:val="231F20"/>
                            <w:w w:val="75"/>
                            <w:sz w:val="17"/>
                          </w:rPr>
                          <w:t>funding</w:t>
                        </w:r>
                        <w:r>
                          <w:rPr>
                            <w:color w:val="231F20"/>
                            <w:spacing w:val="-20"/>
                            <w:w w:val="75"/>
                            <w:sz w:val="17"/>
                          </w:rPr>
                          <w:t xml:space="preserve"> </w:t>
                        </w:r>
                        <w:r>
                          <w:rPr>
                            <w:color w:val="231F20"/>
                            <w:w w:val="75"/>
                            <w:sz w:val="17"/>
                          </w:rPr>
                          <w:t>for</w:t>
                        </w:r>
                        <w:r>
                          <w:rPr>
                            <w:color w:val="231F20"/>
                            <w:spacing w:val="-21"/>
                            <w:w w:val="75"/>
                            <w:sz w:val="17"/>
                          </w:rPr>
                          <w:t xml:space="preserve"> </w:t>
                        </w:r>
                        <w:r>
                          <w:rPr>
                            <w:color w:val="231F20"/>
                            <w:w w:val="75"/>
                            <w:sz w:val="17"/>
                          </w:rPr>
                          <w:t>HRH</w:t>
                        </w:r>
                        <w:r>
                          <w:rPr>
                            <w:color w:val="231F20"/>
                            <w:spacing w:val="-21"/>
                            <w:w w:val="75"/>
                            <w:sz w:val="17"/>
                          </w:rPr>
                          <w:t xml:space="preserve"> </w:t>
                        </w:r>
                        <w:r>
                          <w:rPr>
                            <w:color w:val="231F20"/>
                            <w:w w:val="75"/>
                            <w:sz w:val="17"/>
                          </w:rPr>
                          <w:t>using</w:t>
                        </w:r>
                        <w:r>
                          <w:rPr>
                            <w:color w:val="231F20"/>
                            <w:spacing w:val="-20"/>
                            <w:w w:val="75"/>
                            <w:sz w:val="17"/>
                          </w:rPr>
                          <w:t xml:space="preserve"> </w:t>
                        </w:r>
                        <w:r>
                          <w:rPr>
                            <w:color w:val="231F20"/>
                            <w:w w:val="75"/>
                            <w:sz w:val="17"/>
                          </w:rPr>
                          <w:t>HRH</w:t>
                        </w:r>
                        <w:r>
                          <w:rPr>
                            <w:color w:val="231F20"/>
                            <w:spacing w:val="-21"/>
                            <w:w w:val="75"/>
                            <w:sz w:val="17"/>
                          </w:rPr>
                          <w:t xml:space="preserve"> </w:t>
                        </w:r>
                        <w:r>
                          <w:rPr>
                            <w:color w:val="231F20"/>
                            <w:w w:val="75"/>
                            <w:sz w:val="17"/>
                          </w:rPr>
                          <w:t>plan</w:t>
                        </w:r>
                        <w:r>
                          <w:rPr>
                            <w:color w:val="231F20"/>
                            <w:spacing w:val="-21"/>
                            <w:w w:val="75"/>
                            <w:sz w:val="17"/>
                          </w:rPr>
                          <w:t xml:space="preserve"> </w:t>
                        </w:r>
                        <w:r>
                          <w:rPr>
                            <w:color w:val="231F20"/>
                            <w:w w:val="75"/>
                            <w:sz w:val="17"/>
                          </w:rPr>
                          <w:t>as</w:t>
                        </w:r>
                        <w:r>
                          <w:rPr>
                            <w:color w:val="231F20"/>
                            <w:spacing w:val="-20"/>
                            <w:w w:val="75"/>
                            <w:sz w:val="17"/>
                          </w:rPr>
                          <w:t xml:space="preserve"> </w:t>
                        </w:r>
                        <w:r>
                          <w:rPr>
                            <w:color w:val="231F20"/>
                            <w:w w:val="75"/>
                            <w:sz w:val="17"/>
                          </w:rPr>
                          <w:t>an</w:t>
                        </w:r>
                        <w:r>
                          <w:rPr>
                            <w:color w:val="231F20"/>
                            <w:spacing w:val="-21"/>
                            <w:w w:val="75"/>
                            <w:sz w:val="17"/>
                          </w:rPr>
                          <w:t xml:space="preserve"> </w:t>
                        </w:r>
                        <w:r>
                          <w:rPr>
                            <w:color w:val="231F20"/>
                            <w:w w:val="75"/>
                            <w:sz w:val="17"/>
                          </w:rPr>
                          <w:t>advocacy</w:t>
                        </w:r>
                      </w:p>
                      <w:p w14:paraId="53231FE5" w14:textId="77777777" w:rsidR="00080B77" w:rsidRDefault="00080B77">
                        <w:pPr>
                          <w:pStyle w:val="TableParagraph"/>
                          <w:spacing w:before="12" w:line="160" w:lineRule="exact"/>
                          <w:ind w:left="23"/>
                          <w:rPr>
                            <w:sz w:val="17"/>
                          </w:rPr>
                        </w:pPr>
                        <w:r>
                          <w:rPr>
                            <w:color w:val="231F20"/>
                            <w:w w:val="80"/>
                            <w:sz w:val="17"/>
                          </w:rPr>
                          <w:t>tool</w:t>
                        </w:r>
                      </w:p>
                    </w:tc>
                    <w:tc>
                      <w:tcPr>
                        <w:tcW w:w="1417" w:type="dxa"/>
                        <w:tcBorders>
                          <w:top w:val="single" w:sz="8" w:space="0" w:color="231F20"/>
                          <w:left w:val="single" w:sz="8" w:space="0" w:color="231F20"/>
                          <w:bottom w:val="single" w:sz="8" w:space="0" w:color="231F20"/>
                          <w:right w:val="single" w:sz="6" w:space="0" w:color="231F20"/>
                        </w:tcBorders>
                      </w:tcPr>
                      <w:p w14:paraId="058B881C" w14:textId="77777777" w:rsidR="00080B77" w:rsidRDefault="00080B77">
                        <w:pPr>
                          <w:pStyle w:val="TableParagraph"/>
                          <w:spacing w:before="93"/>
                          <w:ind w:left="22"/>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54F14D92" w14:textId="77777777" w:rsidR="00080B77" w:rsidRDefault="00080B77">
                        <w:pPr>
                          <w:pStyle w:val="TableParagraph"/>
                          <w:spacing w:before="93"/>
                          <w:ind w:left="26"/>
                          <w:rPr>
                            <w:sz w:val="17"/>
                          </w:rPr>
                        </w:pPr>
                        <w:r>
                          <w:rPr>
                            <w:color w:val="231F20"/>
                            <w:w w:val="80"/>
                            <w:sz w:val="17"/>
                          </w:rPr>
                          <w:t>Advocacy visits</w:t>
                        </w:r>
                      </w:p>
                    </w:tc>
                  </w:tr>
                  <w:tr w:rsidR="00080B77" w14:paraId="7A4A9B64" w14:textId="77777777">
                    <w:trPr>
                      <w:trHeight w:val="403"/>
                    </w:trPr>
                    <w:tc>
                      <w:tcPr>
                        <w:tcW w:w="1032" w:type="dxa"/>
                        <w:gridSpan w:val="3"/>
                        <w:vMerge/>
                        <w:tcBorders>
                          <w:top w:val="nil"/>
                          <w:left w:val="single" w:sz="6" w:space="0" w:color="231F20"/>
                          <w:bottom w:val="nil"/>
                          <w:right w:val="single" w:sz="6" w:space="0" w:color="231F20"/>
                        </w:tcBorders>
                      </w:tcPr>
                      <w:p w14:paraId="6C31A851" w14:textId="77777777" w:rsidR="00080B77" w:rsidRDefault="00080B77">
                        <w:pPr>
                          <w:rPr>
                            <w:sz w:val="2"/>
                            <w:szCs w:val="2"/>
                          </w:rPr>
                        </w:pPr>
                      </w:p>
                    </w:tc>
                    <w:tc>
                      <w:tcPr>
                        <w:tcW w:w="522" w:type="dxa"/>
                        <w:tcBorders>
                          <w:top w:val="single" w:sz="8" w:space="0" w:color="231F20"/>
                          <w:left w:val="single" w:sz="6" w:space="0" w:color="231F20"/>
                          <w:bottom w:val="single" w:sz="8" w:space="0" w:color="231F20"/>
                          <w:right w:val="single" w:sz="6" w:space="0" w:color="231F20"/>
                        </w:tcBorders>
                      </w:tcPr>
                      <w:p w14:paraId="48131FA4" w14:textId="77777777" w:rsidR="00080B77" w:rsidRDefault="00080B77">
                        <w:pPr>
                          <w:pStyle w:val="TableParagraph"/>
                          <w:spacing w:before="103"/>
                          <w:ind w:left="85"/>
                          <w:rPr>
                            <w:sz w:val="17"/>
                          </w:rPr>
                        </w:pPr>
                        <w:r>
                          <w:rPr>
                            <w:color w:val="231F20"/>
                            <w:w w:val="75"/>
                            <w:sz w:val="17"/>
                          </w:rPr>
                          <w:t>9.1.3.c</w:t>
                        </w:r>
                      </w:p>
                    </w:tc>
                    <w:tc>
                      <w:tcPr>
                        <w:tcW w:w="4862" w:type="dxa"/>
                        <w:gridSpan w:val="2"/>
                        <w:tcBorders>
                          <w:top w:val="single" w:sz="8" w:space="0" w:color="231F20"/>
                          <w:left w:val="single" w:sz="6" w:space="0" w:color="231F20"/>
                          <w:bottom w:val="single" w:sz="8" w:space="0" w:color="231F20"/>
                          <w:right w:val="single" w:sz="8" w:space="0" w:color="231F20"/>
                        </w:tcBorders>
                      </w:tcPr>
                      <w:p w14:paraId="20B1A5EE" w14:textId="03BA97EF" w:rsidR="00080B77" w:rsidRDefault="00080B77">
                        <w:pPr>
                          <w:pStyle w:val="TableParagraph"/>
                          <w:spacing w:line="191" w:lineRule="exact"/>
                          <w:ind w:left="23"/>
                          <w:rPr>
                            <w:sz w:val="17"/>
                          </w:rPr>
                        </w:pPr>
                        <w:r>
                          <w:rPr>
                            <w:color w:val="231F20"/>
                            <w:w w:val="75"/>
                            <w:sz w:val="17"/>
                          </w:rPr>
                          <w:t>Conduct resource mobilization activities for HRH, including craftsmanship, proposal</w:t>
                        </w:r>
                      </w:p>
                      <w:p w14:paraId="5A375CA6" w14:textId="2E166894" w:rsidR="00080B77" w:rsidRDefault="00080B77">
                        <w:pPr>
                          <w:pStyle w:val="TableParagraph"/>
                          <w:spacing w:before="12" w:line="181" w:lineRule="exact"/>
                          <w:ind w:left="23"/>
                          <w:rPr>
                            <w:sz w:val="17"/>
                          </w:rPr>
                        </w:pPr>
                        <w:r>
                          <w:rPr>
                            <w:color w:val="231F20"/>
                            <w:w w:val="80"/>
                            <w:sz w:val="17"/>
                          </w:rPr>
                          <w:t>development, fund raising activities etc.</w:t>
                        </w:r>
                      </w:p>
                    </w:tc>
                    <w:tc>
                      <w:tcPr>
                        <w:tcW w:w="1417" w:type="dxa"/>
                        <w:tcBorders>
                          <w:top w:val="single" w:sz="8" w:space="0" w:color="231F20"/>
                          <w:left w:val="single" w:sz="8" w:space="0" w:color="231F20"/>
                          <w:bottom w:val="single" w:sz="8" w:space="0" w:color="231F20"/>
                          <w:right w:val="single" w:sz="6" w:space="0" w:color="231F20"/>
                        </w:tcBorders>
                      </w:tcPr>
                      <w:p w14:paraId="18EA2732" w14:textId="77777777" w:rsidR="00080B77" w:rsidRDefault="00080B77">
                        <w:pPr>
                          <w:pStyle w:val="TableParagraph"/>
                          <w:spacing w:before="103"/>
                          <w:ind w:left="22"/>
                          <w:rPr>
                            <w:sz w:val="17"/>
                          </w:rPr>
                        </w:pPr>
                        <w:r>
                          <w:rPr>
                            <w:color w:val="231F20"/>
                            <w:w w:val="80"/>
                            <w:sz w:val="17"/>
                          </w:rPr>
                          <w:t>Lack of funds</w:t>
                        </w:r>
                      </w:p>
                    </w:tc>
                    <w:tc>
                      <w:tcPr>
                        <w:tcW w:w="1495" w:type="dxa"/>
                        <w:tcBorders>
                          <w:top w:val="single" w:sz="8" w:space="0" w:color="231F20"/>
                          <w:left w:val="single" w:sz="6" w:space="0" w:color="231F20"/>
                          <w:bottom w:val="single" w:sz="8" w:space="0" w:color="231F20"/>
                          <w:right w:val="single" w:sz="6" w:space="0" w:color="231F20"/>
                        </w:tcBorders>
                      </w:tcPr>
                      <w:p w14:paraId="69EE694D" w14:textId="77777777" w:rsidR="00080B77" w:rsidRDefault="00080B77">
                        <w:pPr>
                          <w:pStyle w:val="TableParagraph"/>
                          <w:spacing w:before="103"/>
                          <w:ind w:left="26"/>
                          <w:rPr>
                            <w:sz w:val="17"/>
                          </w:rPr>
                        </w:pPr>
                        <w:r>
                          <w:rPr>
                            <w:color w:val="231F20"/>
                            <w:w w:val="80"/>
                            <w:sz w:val="17"/>
                          </w:rPr>
                          <w:t>Resource mobilization</w:t>
                        </w:r>
                      </w:p>
                    </w:tc>
                  </w:tr>
                  <w:tr w:rsidR="00080B77" w14:paraId="45BC11FC" w14:textId="77777777">
                    <w:trPr>
                      <w:trHeight w:val="873"/>
                    </w:trPr>
                    <w:tc>
                      <w:tcPr>
                        <w:tcW w:w="178" w:type="dxa"/>
                        <w:tcBorders>
                          <w:top w:val="nil"/>
                          <w:left w:val="single" w:sz="6" w:space="0" w:color="231F20"/>
                          <w:bottom w:val="nil"/>
                          <w:right w:val="single" w:sz="6" w:space="0" w:color="231F20"/>
                        </w:tcBorders>
                      </w:tcPr>
                      <w:p w14:paraId="1B38452A" w14:textId="77777777" w:rsidR="00080B77" w:rsidRDefault="00080B77">
                        <w:pPr>
                          <w:pStyle w:val="TableParagraph"/>
                          <w:rPr>
                            <w:rFonts w:ascii="Times New Roman"/>
                            <w:sz w:val="10"/>
                          </w:rPr>
                        </w:pPr>
                      </w:p>
                    </w:tc>
                    <w:tc>
                      <w:tcPr>
                        <w:tcW w:w="403" w:type="dxa"/>
                        <w:tcBorders>
                          <w:top w:val="single" w:sz="8" w:space="0" w:color="231F20"/>
                          <w:left w:val="single" w:sz="6" w:space="0" w:color="231F20"/>
                          <w:bottom w:val="single" w:sz="8" w:space="0" w:color="231F20"/>
                          <w:right w:val="single" w:sz="6" w:space="0" w:color="231F20"/>
                        </w:tcBorders>
                        <w:shd w:val="clear" w:color="auto" w:fill="FFF200"/>
                      </w:tcPr>
                      <w:p w14:paraId="58C21D38" w14:textId="77777777" w:rsidR="00080B77" w:rsidRDefault="00080B77">
                        <w:pPr>
                          <w:pStyle w:val="TableParagraph"/>
                          <w:rPr>
                            <w:sz w:val="16"/>
                          </w:rPr>
                        </w:pPr>
                      </w:p>
                      <w:p w14:paraId="29E7D9B1" w14:textId="77777777" w:rsidR="00080B77" w:rsidRDefault="00080B77">
                        <w:pPr>
                          <w:pStyle w:val="TableParagraph"/>
                          <w:spacing w:before="6"/>
                          <w:rPr>
                            <w:sz w:val="13"/>
                          </w:rPr>
                        </w:pPr>
                      </w:p>
                      <w:p w14:paraId="3E9727CE" w14:textId="77777777" w:rsidR="00080B77" w:rsidRDefault="00080B77">
                        <w:pPr>
                          <w:pStyle w:val="TableParagraph"/>
                          <w:ind w:right="36"/>
                          <w:jc w:val="right"/>
                          <w:rPr>
                            <w:b/>
                            <w:sz w:val="17"/>
                          </w:rPr>
                        </w:pPr>
                        <w:r>
                          <w:rPr>
                            <w:b/>
                            <w:color w:val="231F20"/>
                            <w:w w:val="70"/>
                            <w:sz w:val="17"/>
                          </w:rPr>
                          <w:t>9.2</w:t>
                        </w:r>
                      </w:p>
                    </w:tc>
                    <w:tc>
                      <w:tcPr>
                        <w:tcW w:w="5835" w:type="dxa"/>
                        <w:gridSpan w:val="4"/>
                        <w:tcBorders>
                          <w:top w:val="single" w:sz="8" w:space="0" w:color="231F20"/>
                          <w:left w:val="single" w:sz="6" w:space="0" w:color="231F20"/>
                          <w:bottom w:val="single" w:sz="8" w:space="0" w:color="231F20"/>
                          <w:right w:val="single" w:sz="8" w:space="0" w:color="231F20"/>
                        </w:tcBorders>
                        <w:shd w:val="clear" w:color="auto" w:fill="FFF200"/>
                      </w:tcPr>
                      <w:p w14:paraId="47DECEC5" w14:textId="77777777" w:rsidR="00080B77" w:rsidRDefault="00080B77">
                        <w:pPr>
                          <w:pStyle w:val="TableParagraph"/>
                          <w:rPr>
                            <w:sz w:val="16"/>
                          </w:rPr>
                        </w:pPr>
                      </w:p>
                      <w:p w14:paraId="49AF399A" w14:textId="77777777" w:rsidR="00080B77" w:rsidRDefault="00080B77">
                        <w:pPr>
                          <w:pStyle w:val="TableParagraph"/>
                          <w:spacing w:before="11"/>
                          <w:rPr>
                            <w:sz w:val="12"/>
                          </w:rPr>
                        </w:pPr>
                      </w:p>
                      <w:p w14:paraId="6241A136" w14:textId="77777777" w:rsidR="00080B77" w:rsidRDefault="00080B77">
                        <w:pPr>
                          <w:pStyle w:val="TableParagraph"/>
                          <w:ind w:left="55"/>
                          <w:rPr>
                            <w:b/>
                            <w:sz w:val="17"/>
                          </w:rPr>
                        </w:pPr>
                        <w:r>
                          <w:rPr>
                            <w:b/>
                            <w:color w:val="231F20"/>
                            <w:w w:val="80"/>
                            <w:sz w:val="17"/>
                          </w:rPr>
                          <w:t>Ensure the production of adequate numbers of qualified health workers</w:t>
                        </w:r>
                      </w:p>
                    </w:tc>
                    <w:tc>
                      <w:tcPr>
                        <w:tcW w:w="2912" w:type="dxa"/>
                        <w:gridSpan w:val="2"/>
                        <w:tcBorders>
                          <w:top w:val="single" w:sz="8" w:space="0" w:color="231F20"/>
                          <w:left w:val="single" w:sz="8" w:space="0" w:color="231F20"/>
                          <w:bottom w:val="single" w:sz="8" w:space="0" w:color="231F20"/>
                          <w:right w:val="single" w:sz="6" w:space="0" w:color="231F20"/>
                        </w:tcBorders>
                        <w:shd w:val="clear" w:color="auto" w:fill="FFF200"/>
                      </w:tcPr>
                      <w:p w14:paraId="0AD26D69" w14:textId="77777777" w:rsidR="00080B77" w:rsidRDefault="00080B77">
                        <w:pPr>
                          <w:pStyle w:val="TableParagraph"/>
                          <w:rPr>
                            <w:rFonts w:ascii="Times New Roman"/>
                            <w:sz w:val="10"/>
                          </w:rPr>
                        </w:pPr>
                      </w:p>
                    </w:tc>
                  </w:tr>
                  <w:tr w:rsidR="00080B77" w14:paraId="69FC8660" w14:textId="77777777">
                    <w:trPr>
                      <w:trHeight w:val="1790"/>
                    </w:trPr>
                    <w:tc>
                      <w:tcPr>
                        <w:tcW w:w="581" w:type="dxa"/>
                        <w:gridSpan w:val="2"/>
                        <w:tcBorders>
                          <w:top w:val="nil"/>
                          <w:left w:val="single" w:sz="6" w:space="0" w:color="231F20"/>
                          <w:bottom w:val="single" w:sz="8" w:space="0" w:color="231F20"/>
                          <w:right w:val="single" w:sz="6" w:space="0" w:color="231F20"/>
                        </w:tcBorders>
                      </w:tcPr>
                      <w:p w14:paraId="5B0ADD44" w14:textId="77777777" w:rsidR="00080B77" w:rsidRDefault="00080B77">
                        <w:pPr>
                          <w:pStyle w:val="TableParagraph"/>
                          <w:rPr>
                            <w:rFonts w:ascii="Times New Roman"/>
                            <w:sz w:val="10"/>
                          </w:rPr>
                        </w:pPr>
                      </w:p>
                    </w:tc>
                    <w:tc>
                      <w:tcPr>
                        <w:tcW w:w="451" w:type="dxa"/>
                        <w:tcBorders>
                          <w:top w:val="single" w:sz="8" w:space="0" w:color="231F20"/>
                          <w:left w:val="single" w:sz="6" w:space="0" w:color="231F20"/>
                          <w:right w:val="single" w:sz="6" w:space="0" w:color="231F20"/>
                        </w:tcBorders>
                        <w:shd w:val="clear" w:color="auto" w:fill="CCE7D3"/>
                      </w:tcPr>
                      <w:p w14:paraId="4AD7690C" w14:textId="77777777" w:rsidR="00080B77" w:rsidRDefault="00080B77">
                        <w:pPr>
                          <w:pStyle w:val="TableParagraph"/>
                          <w:rPr>
                            <w:sz w:val="16"/>
                          </w:rPr>
                        </w:pPr>
                      </w:p>
                      <w:p w14:paraId="44E5C80D" w14:textId="77777777" w:rsidR="00080B77" w:rsidRDefault="00080B77">
                        <w:pPr>
                          <w:pStyle w:val="TableParagraph"/>
                          <w:rPr>
                            <w:sz w:val="16"/>
                          </w:rPr>
                        </w:pPr>
                      </w:p>
                      <w:p w14:paraId="3E387AA2" w14:textId="77777777" w:rsidR="00080B77" w:rsidRDefault="00080B77">
                        <w:pPr>
                          <w:pStyle w:val="TableParagraph"/>
                          <w:rPr>
                            <w:sz w:val="16"/>
                          </w:rPr>
                        </w:pPr>
                      </w:p>
                      <w:p w14:paraId="17C55F83" w14:textId="77777777" w:rsidR="00080B77" w:rsidRDefault="00080B77">
                        <w:pPr>
                          <w:pStyle w:val="TableParagraph"/>
                          <w:spacing w:before="7"/>
                          <w:rPr>
                            <w:sz w:val="21"/>
                          </w:rPr>
                        </w:pPr>
                      </w:p>
                      <w:p w14:paraId="09EDE315" w14:textId="77777777" w:rsidR="00080B77" w:rsidRDefault="00080B77">
                        <w:pPr>
                          <w:pStyle w:val="TableParagraph"/>
                          <w:ind w:left="55"/>
                          <w:rPr>
                            <w:sz w:val="17"/>
                          </w:rPr>
                        </w:pPr>
                        <w:r>
                          <w:rPr>
                            <w:color w:val="231F20"/>
                            <w:w w:val="80"/>
                            <w:sz w:val="17"/>
                          </w:rPr>
                          <w:t>9.2.1</w:t>
                        </w:r>
                      </w:p>
                    </w:tc>
                    <w:tc>
                      <w:tcPr>
                        <w:tcW w:w="3016" w:type="dxa"/>
                        <w:gridSpan w:val="2"/>
                        <w:tcBorders>
                          <w:top w:val="single" w:sz="8" w:space="0" w:color="231F20"/>
                          <w:left w:val="single" w:sz="6" w:space="0" w:color="231F20"/>
                          <w:right w:val="single" w:sz="6" w:space="0" w:color="231F20"/>
                        </w:tcBorders>
                        <w:shd w:val="clear" w:color="auto" w:fill="CCE7D3"/>
                      </w:tcPr>
                      <w:p w14:paraId="062D62D7" w14:textId="77777777" w:rsidR="00080B77" w:rsidRDefault="00080B77">
                        <w:pPr>
                          <w:pStyle w:val="TableParagraph"/>
                          <w:rPr>
                            <w:sz w:val="16"/>
                          </w:rPr>
                        </w:pPr>
                      </w:p>
                      <w:p w14:paraId="16358D27" w14:textId="77777777" w:rsidR="00080B77" w:rsidRDefault="00080B77">
                        <w:pPr>
                          <w:pStyle w:val="TableParagraph"/>
                          <w:rPr>
                            <w:sz w:val="16"/>
                          </w:rPr>
                        </w:pPr>
                      </w:p>
                      <w:p w14:paraId="1F74C9BE" w14:textId="77777777" w:rsidR="00080B77" w:rsidRDefault="00080B77">
                        <w:pPr>
                          <w:pStyle w:val="TableParagraph"/>
                          <w:rPr>
                            <w:sz w:val="16"/>
                          </w:rPr>
                        </w:pPr>
                      </w:p>
                      <w:p w14:paraId="5E6C36D1" w14:textId="77777777" w:rsidR="00080B77" w:rsidRDefault="00080B77">
                        <w:pPr>
                          <w:pStyle w:val="TableParagraph"/>
                          <w:spacing w:before="137" w:line="254" w:lineRule="auto"/>
                          <w:ind w:left="23" w:right="112" w:firstLine="32"/>
                          <w:rPr>
                            <w:sz w:val="17"/>
                          </w:rPr>
                        </w:pPr>
                        <w:r>
                          <w:rPr>
                            <w:color w:val="231F20"/>
                            <w:w w:val="75"/>
                            <w:sz w:val="17"/>
                          </w:rPr>
                          <w:t xml:space="preserve">Strengthen the quality assurance for HRH training </w:t>
                        </w:r>
                        <w:r>
                          <w:rPr>
                            <w:color w:val="231F20"/>
                            <w:w w:val="70"/>
                            <w:sz w:val="17"/>
                          </w:rPr>
                          <w:t>institutions esp. for producing frontline health workers</w:t>
                        </w:r>
                      </w:p>
                    </w:tc>
                    <w:tc>
                      <w:tcPr>
                        <w:tcW w:w="2368" w:type="dxa"/>
                        <w:tcBorders>
                          <w:top w:val="single" w:sz="8" w:space="0" w:color="231F20"/>
                          <w:left w:val="single" w:sz="6" w:space="0" w:color="231F20"/>
                          <w:right w:val="single" w:sz="6" w:space="0" w:color="231F20"/>
                        </w:tcBorders>
                        <w:shd w:val="clear" w:color="auto" w:fill="CCE7D3"/>
                      </w:tcPr>
                      <w:p w14:paraId="787FE3FD" w14:textId="77777777" w:rsidR="00080B77" w:rsidRDefault="00080B77">
                        <w:pPr>
                          <w:pStyle w:val="TableParagraph"/>
                          <w:numPr>
                            <w:ilvl w:val="0"/>
                            <w:numId w:val="66"/>
                          </w:numPr>
                          <w:tabs>
                            <w:tab w:val="left" w:pos="97"/>
                          </w:tabs>
                          <w:spacing w:line="254" w:lineRule="auto"/>
                          <w:ind w:right="573" w:firstLine="0"/>
                          <w:rPr>
                            <w:sz w:val="17"/>
                          </w:rPr>
                        </w:pPr>
                        <w:r>
                          <w:rPr>
                            <w:color w:val="231F20"/>
                            <w:w w:val="70"/>
                            <w:sz w:val="17"/>
                          </w:rPr>
                          <w:t xml:space="preserve">Training needs of health </w:t>
                        </w:r>
                        <w:r>
                          <w:rPr>
                            <w:color w:val="231F20"/>
                            <w:spacing w:val="-3"/>
                            <w:w w:val="70"/>
                            <w:sz w:val="17"/>
                          </w:rPr>
                          <w:t xml:space="preserve">training </w:t>
                        </w:r>
                        <w:r>
                          <w:rPr>
                            <w:color w:val="231F20"/>
                            <w:w w:val="80"/>
                            <w:sz w:val="17"/>
                          </w:rPr>
                          <w:t>institutions</w:t>
                        </w:r>
                        <w:r>
                          <w:rPr>
                            <w:color w:val="231F20"/>
                            <w:spacing w:val="-14"/>
                            <w:w w:val="80"/>
                            <w:sz w:val="17"/>
                          </w:rPr>
                          <w:t xml:space="preserve"> </w:t>
                        </w:r>
                        <w:r>
                          <w:rPr>
                            <w:color w:val="231F20"/>
                            <w:w w:val="80"/>
                            <w:sz w:val="17"/>
                          </w:rPr>
                          <w:t>assessed</w:t>
                        </w:r>
                      </w:p>
                      <w:p w14:paraId="5D5A489C" w14:textId="77777777" w:rsidR="00080B77" w:rsidRDefault="00080B77">
                        <w:pPr>
                          <w:pStyle w:val="TableParagraph"/>
                          <w:numPr>
                            <w:ilvl w:val="0"/>
                            <w:numId w:val="66"/>
                          </w:numPr>
                          <w:tabs>
                            <w:tab w:val="left" w:pos="68"/>
                          </w:tabs>
                          <w:spacing w:line="254" w:lineRule="auto"/>
                          <w:ind w:right="388" w:firstLine="0"/>
                          <w:rPr>
                            <w:sz w:val="17"/>
                          </w:rPr>
                        </w:pPr>
                        <w:r>
                          <w:rPr>
                            <w:color w:val="231F20"/>
                            <w:w w:val="70"/>
                            <w:sz w:val="17"/>
                          </w:rPr>
                          <w:t>Training curricula revised in line</w:t>
                        </w:r>
                        <w:r>
                          <w:rPr>
                            <w:color w:val="231F20"/>
                            <w:spacing w:val="-17"/>
                            <w:w w:val="70"/>
                            <w:sz w:val="17"/>
                          </w:rPr>
                          <w:t xml:space="preserve"> </w:t>
                        </w:r>
                        <w:r>
                          <w:rPr>
                            <w:color w:val="231F20"/>
                            <w:spacing w:val="-5"/>
                            <w:w w:val="70"/>
                            <w:sz w:val="17"/>
                          </w:rPr>
                          <w:t xml:space="preserve">with </w:t>
                        </w:r>
                        <w:r>
                          <w:rPr>
                            <w:color w:val="231F20"/>
                            <w:w w:val="70"/>
                            <w:sz w:val="17"/>
                          </w:rPr>
                          <w:t xml:space="preserve">current market needs and continuing professional development programs </w:t>
                        </w:r>
                        <w:r>
                          <w:rPr>
                            <w:color w:val="231F20"/>
                            <w:w w:val="80"/>
                            <w:sz w:val="17"/>
                          </w:rPr>
                          <w:t>targeting</w:t>
                        </w:r>
                        <w:r>
                          <w:rPr>
                            <w:color w:val="231F20"/>
                            <w:spacing w:val="-27"/>
                            <w:w w:val="80"/>
                            <w:sz w:val="17"/>
                          </w:rPr>
                          <w:t xml:space="preserve"> </w:t>
                        </w:r>
                        <w:r>
                          <w:rPr>
                            <w:color w:val="231F20"/>
                            <w:w w:val="80"/>
                            <w:sz w:val="17"/>
                          </w:rPr>
                          <w:t>HR</w:t>
                        </w:r>
                        <w:r>
                          <w:rPr>
                            <w:color w:val="231F20"/>
                            <w:spacing w:val="-26"/>
                            <w:w w:val="80"/>
                            <w:sz w:val="17"/>
                          </w:rPr>
                          <w:t xml:space="preserve"> </w:t>
                        </w:r>
                        <w:r>
                          <w:rPr>
                            <w:color w:val="231F20"/>
                            <w:w w:val="80"/>
                            <w:sz w:val="17"/>
                          </w:rPr>
                          <w:t>trainers</w:t>
                        </w:r>
                        <w:r>
                          <w:rPr>
                            <w:color w:val="231F20"/>
                            <w:spacing w:val="-26"/>
                            <w:w w:val="80"/>
                            <w:sz w:val="17"/>
                          </w:rPr>
                          <w:t xml:space="preserve"> </w:t>
                        </w:r>
                        <w:r>
                          <w:rPr>
                            <w:color w:val="231F20"/>
                            <w:w w:val="80"/>
                            <w:sz w:val="17"/>
                          </w:rPr>
                          <w:t>developed</w:t>
                        </w:r>
                      </w:p>
                      <w:p w14:paraId="6BA0717F" w14:textId="77777777" w:rsidR="00080B77" w:rsidRDefault="00080B77">
                        <w:pPr>
                          <w:pStyle w:val="TableParagraph"/>
                          <w:numPr>
                            <w:ilvl w:val="0"/>
                            <w:numId w:val="66"/>
                          </w:numPr>
                          <w:tabs>
                            <w:tab w:val="left" w:pos="99"/>
                          </w:tabs>
                          <w:spacing w:line="190" w:lineRule="exact"/>
                          <w:ind w:left="98" w:hanging="75"/>
                          <w:rPr>
                            <w:sz w:val="17"/>
                          </w:rPr>
                        </w:pPr>
                        <w:r>
                          <w:rPr>
                            <w:color w:val="231F20"/>
                            <w:w w:val="75"/>
                            <w:sz w:val="17"/>
                          </w:rPr>
                          <w:t>Quality</w:t>
                        </w:r>
                        <w:r>
                          <w:rPr>
                            <w:color w:val="231F20"/>
                            <w:spacing w:val="-19"/>
                            <w:w w:val="75"/>
                            <w:sz w:val="17"/>
                          </w:rPr>
                          <w:t xml:space="preserve"> </w:t>
                        </w:r>
                        <w:r>
                          <w:rPr>
                            <w:color w:val="231F20"/>
                            <w:w w:val="75"/>
                            <w:sz w:val="17"/>
                          </w:rPr>
                          <w:t>assurance</w:t>
                        </w:r>
                        <w:r>
                          <w:rPr>
                            <w:color w:val="231F20"/>
                            <w:spacing w:val="-18"/>
                            <w:w w:val="75"/>
                            <w:sz w:val="17"/>
                          </w:rPr>
                          <w:t xml:space="preserve"> </w:t>
                        </w:r>
                        <w:r>
                          <w:rPr>
                            <w:color w:val="231F20"/>
                            <w:w w:val="75"/>
                            <w:sz w:val="17"/>
                          </w:rPr>
                          <w:t>framework</w:t>
                        </w:r>
                        <w:r>
                          <w:rPr>
                            <w:color w:val="231F20"/>
                            <w:spacing w:val="-19"/>
                            <w:w w:val="75"/>
                            <w:sz w:val="17"/>
                          </w:rPr>
                          <w:t xml:space="preserve"> </w:t>
                        </w:r>
                        <w:r>
                          <w:rPr>
                            <w:color w:val="231F20"/>
                            <w:w w:val="75"/>
                            <w:sz w:val="17"/>
                          </w:rPr>
                          <w:t>for</w:t>
                        </w:r>
                        <w:r>
                          <w:rPr>
                            <w:color w:val="231F20"/>
                            <w:spacing w:val="-18"/>
                            <w:w w:val="75"/>
                            <w:sz w:val="17"/>
                          </w:rPr>
                          <w:t xml:space="preserve"> </w:t>
                        </w:r>
                        <w:r>
                          <w:rPr>
                            <w:color w:val="231F20"/>
                            <w:w w:val="75"/>
                            <w:sz w:val="17"/>
                          </w:rPr>
                          <w:t>health</w:t>
                        </w:r>
                      </w:p>
                      <w:p w14:paraId="052EF367" w14:textId="77777777" w:rsidR="00080B77" w:rsidRDefault="00080B77">
                        <w:pPr>
                          <w:pStyle w:val="TableParagraph"/>
                          <w:spacing w:before="10" w:line="178" w:lineRule="exact"/>
                          <w:ind w:left="24"/>
                          <w:rPr>
                            <w:sz w:val="17"/>
                          </w:rPr>
                        </w:pPr>
                        <w:r>
                          <w:rPr>
                            <w:color w:val="231F20"/>
                            <w:w w:val="70"/>
                            <w:sz w:val="17"/>
                          </w:rPr>
                          <w:t xml:space="preserve">training institutions developed and </w:t>
                        </w:r>
                        <w:r>
                          <w:rPr>
                            <w:color w:val="231F20"/>
                            <w:w w:val="80"/>
                            <w:sz w:val="17"/>
                          </w:rPr>
                          <w:t>implemented</w:t>
                        </w:r>
                      </w:p>
                    </w:tc>
                    <w:tc>
                      <w:tcPr>
                        <w:tcW w:w="1417" w:type="dxa"/>
                        <w:tcBorders>
                          <w:top w:val="single" w:sz="8" w:space="0" w:color="231F20"/>
                          <w:left w:val="single" w:sz="6" w:space="0" w:color="231F20"/>
                          <w:right w:val="single" w:sz="6" w:space="0" w:color="231F20"/>
                        </w:tcBorders>
                        <w:shd w:val="clear" w:color="auto" w:fill="CCE7D3"/>
                      </w:tcPr>
                      <w:p w14:paraId="753C5702" w14:textId="77777777" w:rsidR="00080B77" w:rsidRDefault="00080B77">
                        <w:pPr>
                          <w:pStyle w:val="TableParagraph"/>
                          <w:rPr>
                            <w:rFonts w:ascii="Times New Roman"/>
                            <w:sz w:val="10"/>
                          </w:rPr>
                        </w:pPr>
                      </w:p>
                    </w:tc>
                    <w:tc>
                      <w:tcPr>
                        <w:tcW w:w="1495" w:type="dxa"/>
                        <w:tcBorders>
                          <w:top w:val="single" w:sz="8" w:space="0" w:color="231F20"/>
                          <w:left w:val="single" w:sz="6" w:space="0" w:color="231F20"/>
                          <w:right w:val="single" w:sz="6" w:space="0" w:color="231F20"/>
                        </w:tcBorders>
                        <w:shd w:val="clear" w:color="auto" w:fill="CCE7D3"/>
                      </w:tcPr>
                      <w:p w14:paraId="26E2E875" w14:textId="77777777" w:rsidR="00080B77" w:rsidRDefault="00080B77">
                        <w:pPr>
                          <w:pStyle w:val="TableParagraph"/>
                          <w:rPr>
                            <w:rFonts w:ascii="Times New Roman"/>
                            <w:sz w:val="10"/>
                          </w:rPr>
                        </w:pPr>
                      </w:p>
                    </w:tc>
                  </w:tr>
                </w:tbl>
                <w:p w14:paraId="17BC01B8" w14:textId="77777777" w:rsidR="00080B77" w:rsidRDefault="00080B77">
                  <w:pPr>
                    <w:pStyle w:val="BodyText"/>
                  </w:pPr>
                </w:p>
              </w:txbxContent>
            </v:textbox>
            <w10:wrap anchorx="page" anchory="page"/>
          </v:shape>
        </w:pict>
      </w:r>
    </w:p>
    <w:p w14:paraId="079A4DC7" w14:textId="77777777" w:rsidR="009948F1" w:rsidRDefault="009948F1">
      <w:pPr>
        <w:pStyle w:val="BodyText"/>
        <w:rPr>
          <w:sz w:val="20"/>
        </w:rPr>
      </w:pPr>
    </w:p>
    <w:p w14:paraId="45A68583" w14:textId="77777777" w:rsidR="009948F1" w:rsidRDefault="009948F1">
      <w:pPr>
        <w:pStyle w:val="BodyText"/>
        <w:rPr>
          <w:sz w:val="20"/>
        </w:rPr>
      </w:pPr>
    </w:p>
    <w:p w14:paraId="205CD19A" w14:textId="77777777" w:rsidR="009948F1" w:rsidRDefault="009948F1">
      <w:pPr>
        <w:pStyle w:val="BodyText"/>
        <w:rPr>
          <w:sz w:val="20"/>
        </w:rPr>
      </w:pPr>
    </w:p>
    <w:p w14:paraId="23E1C0B6" w14:textId="77777777" w:rsidR="009948F1" w:rsidRDefault="009948F1">
      <w:pPr>
        <w:pStyle w:val="BodyText"/>
        <w:rPr>
          <w:sz w:val="20"/>
        </w:rPr>
      </w:pPr>
    </w:p>
    <w:p w14:paraId="26AACFB3" w14:textId="77777777" w:rsidR="009948F1" w:rsidRDefault="009948F1">
      <w:pPr>
        <w:pStyle w:val="BodyText"/>
        <w:rPr>
          <w:sz w:val="20"/>
        </w:rPr>
      </w:pPr>
    </w:p>
    <w:p w14:paraId="01EEC7BE" w14:textId="77777777" w:rsidR="009948F1" w:rsidRDefault="009948F1">
      <w:pPr>
        <w:pStyle w:val="BodyText"/>
        <w:rPr>
          <w:sz w:val="20"/>
        </w:rPr>
      </w:pPr>
    </w:p>
    <w:p w14:paraId="407182F7" w14:textId="77777777" w:rsidR="009948F1" w:rsidRDefault="009948F1">
      <w:pPr>
        <w:pStyle w:val="BodyText"/>
        <w:rPr>
          <w:sz w:val="20"/>
        </w:rPr>
      </w:pPr>
    </w:p>
    <w:p w14:paraId="5DBA0763" w14:textId="77777777" w:rsidR="009948F1" w:rsidRDefault="009948F1">
      <w:pPr>
        <w:pStyle w:val="BodyText"/>
        <w:rPr>
          <w:sz w:val="20"/>
        </w:rPr>
      </w:pPr>
    </w:p>
    <w:p w14:paraId="44BA40A6" w14:textId="77777777" w:rsidR="009948F1" w:rsidRDefault="009948F1">
      <w:pPr>
        <w:pStyle w:val="BodyText"/>
        <w:rPr>
          <w:sz w:val="20"/>
        </w:rPr>
      </w:pPr>
    </w:p>
    <w:p w14:paraId="384EF86C" w14:textId="77777777" w:rsidR="009948F1" w:rsidRDefault="009948F1">
      <w:pPr>
        <w:pStyle w:val="BodyText"/>
        <w:rPr>
          <w:sz w:val="20"/>
        </w:rPr>
      </w:pPr>
    </w:p>
    <w:p w14:paraId="489D1216" w14:textId="77777777" w:rsidR="009948F1" w:rsidRDefault="009948F1">
      <w:pPr>
        <w:pStyle w:val="BodyText"/>
        <w:rPr>
          <w:sz w:val="20"/>
        </w:rPr>
      </w:pPr>
    </w:p>
    <w:p w14:paraId="4CCBC170" w14:textId="77777777" w:rsidR="009948F1" w:rsidRDefault="009948F1">
      <w:pPr>
        <w:pStyle w:val="BodyText"/>
        <w:rPr>
          <w:sz w:val="20"/>
        </w:rPr>
      </w:pPr>
    </w:p>
    <w:p w14:paraId="3FC8D1A9" w14:textId="77777777" w:rsidR="009948F1" w:rsidRDefault="009948F1">
      <w:pPr>
        <w:pStyle w:val="BodyText"/>
        <w:rPr>
          <w:sz w:val="20"/>
        </w:rPr>
      </w:pPr>
    </w:p>
    <w:p w14:paraId="1620106C" w14:textId="77777777" w:rsidR="009948F1" w:rsidRDefault="009948F1">
      <w:pPr>
        <w:pStyle w:val="BodyText"/>
        <w:rPr>
          <w:sz w:val="20"/>
        </w:rPr>
      </w:pPr>
    </w:p>
    <w:p w14:paraId="6722B269" w14:textId="77777777" w:rsidR="009948F1" w:rsidRDefault="009948F1">
      <w:pPr>
        <w:pStyle w:val="BodyText"/>
        <w:rPr>
          <w:sz w:val="20"/>
        </w:rPr>
      </w:pPr>
    </w:p>
    <w:p w14:paraId="3923424F" w14:textId="77777777" w:rsidR="009948F1" w:rsidRDefault="009948F1">
      <w:pPr>
        <w:pStyle w:val="BodyText"/>
        <w:rPr>
          <w:sz w:val="20"/>
        </w:rPr>
      </w:pPr>
    </w:p>
    <w:p w14:paraId="18B39436" w14:textId="77777777" w:rsidR="009948F1" w:rsidRDefault="009948F1">
      <w:pPr>
        <w:pStyle w:val="BodyText"/>
        <w:rPr>
          <w:sz w:val="20"/>
        </w:rPr>
      </w:pPr>
    </w:p>
    <w:p w14:paraId="3C49A858" w14:textId="77777777" w:rsidR="009948F1" w:rsidRDefault="009948F1">
      <w:pPr>
        <w:pStyle w:val="BodyText"/>
        <w:rPr>
          <w:sz w:val="20"/>
        </w:rPr>
      </w:pPr>
    </w:p>
    <w:p w14:paraId="70CC11CE" w14:textId="77777777" w:rsidR="009948F1" w:rsidRDefault="009948F1">
      <w:pPr>
        <w:pStyle w:val="BodyText"/>
        <w:rPr>
          <w:sz w:val="20"/>
        </w:rPr>
      </w:pPr>
    </w:p>
    <w:p w14:paraId="5FD403DF" w14:textId="77777777" w:rsidR="009948F1" w:rsidRDefault="009948F1">
      <w:pPr>
        <w:pStyle w:val="BodyText"/>
        <w:rPr>
          <w:sz w:val="20"/>
        </w:rPr>
      </w:pPr>
    </w:p>
    <w:p w14:paraId="63A55B8D" w14:textId="77777777" w:rsidR="009948F1" w:rsidRDefault="009948F1">
      <w:pPr>
        <w:pStyle w:val="BodyText"/>
        <w:rPr>
          <w:sz w:val="20"/>
        </w:rPr>
      </w:pPr>
    </w:p>
    <w:p w14:paraId="59B60C62" w14:textId="77777777" w:rsidR="009948F1" w:rsidRDefault="009948F1">
      <w:pPr>
        <w:pStyle w:val="BodyText"/>
        <w:rPr>
          <w:sz w:val="20"/>
        </w:rPr>
      </w:pPr>
    </w:p>
    <w:p w14:paraId="3805F57A" w14:textId="77777777" w:rsidR="009948F1" w:rsidRDefault="009948F1">
      <w:pPr>
        <w:pStyle w:val="BodyText"/>
        <w:rPr>
          <w:sz w:val="20"/>
        </w:rPr>
      </w:pPr>
    </w:p>
    <w:p w14:paraId="57A7160C" w14:textId="77777777" w:rsidR="009948F1" w:rsidRDefault="009948F1">
      <w:pPr>
        <w:pStyle w:val="BodyText"/>
        <w:rPr>
          <w:sz w:val="20"/>
        </w:rPr>
      </w:pPr>
    </w:p>
    <w:p w14:paraId="4005A433" w14:textId="77777777" w:rsidR="009948F1" w:rsidRDefault="009948F1">
      <w:pPr>
        <w:pStyle w:val="BodyText"/>
        <w:rPr>
          <w:sz w:val="20"/>
        </w:rPr>
      </w:pPr>
    </w:p>
    <w:p w14:paraId="33790A33" w14:textId="77777777" w:rsidR="009948F1" w:rsidRDefault="009948F1">
      <w:pPr>
        <w:pStyle w:val="BodyText"/>
        <w:rPr>
          <w:sz w:val="20"/>
        </w:rPr>
      </w:pPr>
    </w:p>
    <w:p w14:paraId="45891FEB" w14:textId="77777777" w:rsidR="009948F1" w:rsidRDefault="009948F1">
      <w:pPr>
        <w:pStyle w:val="BodyText"/>
        <w:rPr>
          <w:sz w:val="20"/>
        </w:rPr>
      </w:pPr>
    </w:p>
    <w:p w14:paraId="389A4899" w14:textId="77777777" w:rsidR="009948F1" w:rsidRDefault="009948F1">
      <w:pPr>
        <w:pStyle w:val="BodyText"/>
        <w:rPr>
          <w:sz w:val="20"/>
        </w:rPr>
      </w:pPr>
    </w:p>
    <w:p w14:paraId="11DFE156" w14:textId="77777777" w:rsidR="009948F1" w:rsidRDefault="009948F1">
      <w:pPr>
        <w:pStyle w:val="BodyText"/>
        <w:rPr>
          <w:sz w:val="20"/>
        </w:rPr>
      </w:pPr>
    </w:p>
    <w:p w14:paraId="54D46C38" w14:textId="77777777" w:rsidR="009948F1" w:rsidRDefault="009948F1">
      <w:pPr>
        <w:pStyle w:val="BodyText"/>
        <w:spacing w:before="8"/>
        <w:rPr>
          <w:sz w:val="26"/>
        </w:rPr>
      </w:pPr>
    </w:p>
    <w:p w14:paraId="74488139" w14:textId="77777777" w:rsidR="009948F1" w:rsidRDefault="00BC0563">
      <w:pPr>
        <w:spacing w:before="72"/>
        <w:ind w:right="1183"/>
        <w:jc w:val="center"/>
        <w:rPr>
          <w:sz w:val="17"/>
        </w:rPr>
      </w:pPr>
      <w:bookmarkStart w:id="185" w:name="Page_159"/>
      <w:bookmarkEnd w:id="185"/>
      <w:r>
        <w:rPr>
          <w:color w:val="231F20"/>
          <w:w w:val="69"/>
          <w:sz w:val="17"/>
        </w:rPr>
        <w:t>•</w:t>
      </w:r>
    </w:p>
    <w:p w14:paraId="1C926298" w14:textId="77777777" w:rsidR="009948F1" w:rsidRDefault="009948F1">
      <w:pPr>
        <w:jc w:val="center"/>
        <w:rPr>
          <w:sz w:val="17"/>
        </w:rPr>
        <w:sectPr w:rsidR="009948F1">
          <w:pgSz w:w="11910" w:h="16840"/>
          <w:pgMar w:top="1300" w:right="1080" w:bottom="1340" w:left="1120" w:header="0" w:footer="1155" w:gutter="0"/>
          <w:cols w:space="720"/>
        </w:sectPr>
      </w:pPr>
    </w:p>
    <w:tbl>
      <w:tblPr>
        <w:tblW w:w="0" w:type="auto"/>
        <w:tblInd w:w="1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4"/>
        <w:gridCol w:w="464"/>
        <w:gridCol w:w="537"/>
        <w:gridCol w:w="2564"/>
        <w:gridCol w:w="2434"/>
        <w:gridCol w:w="1457"/>
        <w:gridCol w:w="1537"/>
      </w:tblGrid>
      <w:tr w:rsidR="009948F1" w14:paraId="6FD83308" w14:textId="77777777">
        <w:trPr>
          <w:trHeight w:val="346"/>
        </w:trPr>
        <w:tc>
          <w:tcPr>
            <w:tcW w:w="868" w:type="dxa"/>
            <w:gridSpan w:val="2"/>
            <w:vMerge w:val="restart"/>
            <w:tcBorders>
              <w:left w:val="single" w:sz="4" w:space="0" w:color="231F20"/>
              <w:bottom w:val="nil"/>
              <w:right w:val="single" w:sz="6" w:space="0" w:color="231F20"/>
            </w:tcBorders>
          </w:tcPr>
          <w:p w14:paraId="36DD1080" w14:textId="77777777" w:rsidR="009948F1" w:rsidRDefault="009948F1">
            <w:pPr>
              <w:pStyle w:val="TableParagraph"/>
              <w:rPr>
                <w:rFonts w:ascii="Times New Roman"/>
                <w:sz w:val="12"/>
              </w:rPr>
            </w:pPr>
          </w:p>
        </w:tc>
        <w:tc>
          <w:tcPr>
            <w:tcW w:w="537" w:type="dxa"/>
            <w:tcBorders>
              <w:left w:val="single" w:sz="6" w:space="0" w:color="231F20"/>
              <w:bottom w:val="single" w:sz="6" w:space="0" w:color="231F20"/>
              <w:right w:val="single" w:sz="6" w:space="0" w:color="231F20"/>
            </w:tcBorders>
          </w:tcPr>
          <w:p w14:paraId="59CEC994" w14:textId="77777777" w:rsidR="009948F1" w:rsidRDefault="00BC0563">
            <w:pPr>
              <w:pStyle w:val="TableParagraph"/>
              <w:spacing w:before="93"/>
              <w:ind w:left="35" w:right="13"/>
              <w:jc w:val="center"/>
              <w:rPr>
                <w:sz w:val="14"/>
              </w:rPr>
            </w:pPr>
            <w:bookmarkStart w:id="186" w:name="Page_160"/>
            <w:bookmarkEnd w:id="186"/>
            <w:r>
              <w:rPr>
                <w:color w:val="231F20"/>
                <w:w w:val="95"/>
                <w:sz w:val="14"/>
              </w:rPr>
              <w:t>9.2.1.a</w:t>
            </w:r>
          </w:p>
        </w:tc>
        <w:tc>
          <w:tcPr>
            <w:tcW w:w="4998" w:type="dxa"/>
            <w:gridSpan w:val="2"/>
            <w:tcBorders>
              <w:top w:val="single" w:sz="12" w:space="0" w:color="231F20"/>
              <w:left w:val="single" w:sz="6" w:space="0" w:color="231F20"/>
              <w:bottom w:val="single" w:sz="6" w:space="0" w:color="231F20"/>
              <w:right w:val="single" w:sz="6" w:space="0" w:color="231F20"/>
            </w:tcBorders>
          </w:tcPr>
          <w:p w14:paraId="6D180CC1" w14:textId="77777777" w:rsidR="009948F1" w:rsidRDefault="00BC0563">
            <w:pPr>
              <w:pStyle w:val="TableParagraph"/>
              <w:spacing w:before="87"/>
              <w:ind w:left="26"/>
              <w:rPr>
                <w:sz w:val="14"/>
              </w:rPr>
            </w:pPr>
            <w:r>
              <w:rPr>
                <w:color w:val="231F20"/>
                <w:w w:val="95"/>
                <w:sz w:val="14"/>
              </w:rPr>
              <w:t>Assess training needs of health training institutions</w:t>
            </w:r>
          </w:p>
        </w:tc>
        <w:tc>
          <w:tcPr>
            <w:tcW w:w="1457" w:type="dxa"/>
            <w:tcBorders>
              <w:left w:val="single" w:sz="6" w:space="0" w:color="231F20"/>
              <w:bottom w:val="single" w:sz="6" w:space="0" w:color="231F20"/>
              <w:right w:val="single" w:sz="6" w:space="0" w:color="231F20"/>
            </w:tcBorders>
          </w:tcPr>
          <w:p w14:paraId="4EAE27B9" w14:textId="77777777" w:rsidR="009948F1" w:rsidRDefault="00BC0563">
            <w:pPr>
              <w:pStyle w:val="TableParagraph"/>
              <w:spacing w:before="93"/>
              <w:ind w:left="26"/>
              <w:rPr>
                <w:sz w:val="14"/>
              </w:rPr>
            </w:pPr>
            <w:r>
              <w:rPr>
                <w:color w:val="231F20"/>
                <w:w w:val="95"/>
                <w:sz w:val="14"/>
              </w:rPr>
              <w:t>Lack of funds</w:t>
            </w:r>
          </w:p>
        </w:tc>
        <w:tc>
          <w:tcPr>
            <w:tcW w:w="1537" w:type="dxa"/>
            <w:tcBorders>
              <w:left w:val="single" w:sz="6" w:space="0" w:color="231F20"/>
              <w:bottom w:val="single" w:sz="6" w:space="0" w:color="231F20"/>
              <w:right w:val="single" w:sz="6" w:space="0" w:color="231F20"/>
            </w:tcBorders>
          </w:tcPr>
          <w:p w14:paraId="0A36B55C" w14:textId="77777777" w:rsidR="009948F1" w:rsidRDefault="00BC0563">
            <w:pPr>
              <w:pStyle w:val="TableParagraph"/>
              <w:spacing w:before="93"/>
              <w:ind w:left="27"/>
              <w:rPr>
                <w:sz w:val="14"/>
              </w:rPr>
            </w:pPr>
            <w:r>
              <w:rPr>
                <w:color w:val="231F20"/>
                <w:w w:val="95"/>
                <w:sz w:val="14"/>
              </w:rPr>
              <w:t>Assess needs</w:t>
            </w:r>
          </w:p>
        </w:tc>
      </w:tr>
      <w:tr w:rsidR="009948F1" w14:paraId="0E0C6CFB" w14:textId="77777777">
        <w:trPr>
          <w:trHeight w:val="336"/>
        </w:trPr>
        <w:tc>
          <w:tcPr>
            <w:tcW w:w="868" w:type="dxa"/>
            <w:gridSpan w:val="2"/>
            <w:vMerge/>
            <w:tcBorders>
              <w:top w:val="nil"/>
              <w:left w:val="single" w:sz="4" w:space="0" w:color="231F20"/>
              <w:bottom w:val="nil"/>
              <w:right w:val="single" w:sz="6" w:space="0" w:color="231F20"/>
            </w:tcBorders>
          </w:tcPr>
          <w:p w14:paraId="542AA4FA"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0307FA65" w14:textId="77777777" w:rsidR="009948F1" w:rsidRDefault="00BC0563">
            <w:pPr>
              <w:pStyle w:val="TableParagraph"/>
              <w:spacing w:before="90"/>
              <w:ind w:left="35" w:right="13"/>
              <w:jc w:val="center"/>
              <w:rPr>
                <w:sz w:val="14"/>
              </w:rPr>
            </w:pPr>
            <w:r>
              <w:rPr>
                <w:color w:val="231F20"/>
                <w:w w:val="95"/>
                <w:sz w:val="14"/>
              </w:rPr>
              <w:t>9.2.1.b</w:t>
            </w:r>
          </w:p>
        </w:tc>
        <w:tc>
          <w:tcPr>
            <w:tcW w:w="4998" w:type="dxa"/>
            <w:gridSpan w:val="2"/>
            <w:tcBorders>
              <w:top w:val="single" w:sz="6" w:space="0" w:color="231F20"/>
              <w:left w:val="single" w:sz="6" w:space="0" w:color="231F20"/>
              <w:bottom w:val="single" w:sz="6" w:space="0" w:color="231F20"/>
              <w:right w:val="single" w:sz="6" w:space="0" w:color="231F20"/>
            </w:tcBorders>
          </w:tcPr>
          <w:p w14:paraId="641D938F" w14:textId="77777777" w:rsidR="009948F1" w:rsidRDefault="00BC0563">
            <w:pPr>
              <w:pStyle w:val="TableParagraph"/>
              <w:spacing w:before="5"/>
              <w:ind w:left="26"/>
              <w:rPr>
                <w:sz w:val="14"/>
              </w:rPr>
            </w:pPr>
            <w:r>
              <w:rPr>
                <w:color w:val="231F20"/>
                <w:w w:val="95"/>
                <w:sz w:val="14"/>
              </w:rPr>
              <w:t>Review and revise training curricula in line with current market needs</w:t>
            </w:r>
          </w:p>
        </w:tc>
        <w:tc>
          <w:tcPr>
            <w:tcW w:w="1457" w:type="dxa"/>
            <w:tcBorders>
              <w:top w:val="single" w:sz="6" w:space="0" w:color="231F20"/>
              <w:left w:val="single" w:sz="6" w:space="0" w:color="231F20"/>
              <w:bottom w:val="single" w:sz="6" w:space="0" w:color="231F20"/>
              <w:right w:val="single" w:sz="6" w:space="0" w:color="231F20"/>
            </w:tcBorders>
          </w:tcPr>
          <w:p w14:paraId="5DB2CEDC" w14:textId="77777777" w:rsidR="009948F1" w:rsidRDefault="00BC0563">
            <w:pPr>
              <w:pStyle w:val="TableParagraph"/>
              <w:spacing w:before="90"/>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2FB6ACB5" w14:textId="77777777" w:rsidR="009948F1" w:rsidRDefault="00BC0563">
            <w:pPr>
              <w:pStyle w:val="TableParagraph"/>
              <w:spacing w:before="90"/>
              <w:ind w:left="27"/>
              <w:rPr>
                <w:sz w:val="14"/>
              </w:rPr>
            </w:pPr>
            <w:r>
              <w:rPr>
                <w:color w:val="231F20"/>
                <w:w w:val="90"/>
                <w:sz w:val="14"/>
              </w:rPr>
              <w:t>Review and revise training</w:t>
            </w:r>
          </w:p>
        </w:tc>
      </w:tr>
      <w:tr w:rsidR="009948F1" w14:paraId="183BB254" w14:textId="77777777">
        <w:trPr>
          <w:trHeight w:val="353"/>
        </w:trPr>
        <w:tc>
          <w:tcPr>
            <w:tcW w:w="868" w:type="dxa"/>
            <w:gridSpan w:val="2"/>
            <w:vMerge/>
            <w:tcBorders>
              <w:top w:val="nil"/>
              <w:left w:val="single" w:sz="4" w:space="0" w:color="231F20"/>
              <w:bottom w:val="nil"/>
              <w:right w:val="single" w:sz="6" w:space="0" w:color="231F20"/>
            </w:tcBorders>
          </w:tcPr>
          <w:p w14:paraId="0DBD88C4"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3B3487CB" w14:textId="77777777" w:rsidR="009948F1" w:rsidRDefault="00BC0563">
            <w:pPr>
              <w:pStyle w:val="TableParagraph"/>
              <w:spacing w:before="99"/>
              <w:ind w:left="35" w:right="12"/>
              <w:jc w:val="center"/>
              <w:rPr>
                <w:sz w:val="14"/>
              </w:rPr>
            </w:pPr>
            <w:r>
              <w:rPr>
                <w:color w:val="231F20"/>
                <w:w w:val="95"/>
                <w:sz w:val="14"/>
              </w:rPr>
              <w:t>9.2.1.c</w:t>
            </w:r>
          </w:p>
        </w:tc>
        <w:tc>
          <w:tcPr>
            <w:tcW w:w="4998" w:type="dxa"/>
            <w:gridSpan w:val="2"/>
            <w:tcBorders>
              <w:top w:val="single" w:sz="6" w:space="0" w:color="231F20"/>
              <w:left w:val="single" w:sz="6" w:space="0" w:color="231F20"/>
              <w:bottom w:val="single" w:sz="6" w:space="0" w:color="231F20"/>
              <w:right w:val="single" w:sz="6" w:space="0" w:color="231F20"/>
            </w:tcBorders>
          </w:tcPr>
          <w:p w14:paraId="694A4040" w14:textId="77777777" w:rsidR="009948F1" w:rsidRDefault="00BC0563">
            <w:pPr>
              <w:pStyle w:val="TableParagraph"/>
              <w:spacing w:before="93"/>
              <w:ind w:left="26"/>
              <w:rPr>
                <w:sz w:val="14"/>
              </w:rPr>
            </w:pPr>
            <w:r>
              <w:rPr>
                <w:color w:val="231F20"/>
                <w:w w:val="95"/>
                <w:sz w:val="14"/>
              </w:rPr>
              <w:t xml:space="preserve">Develop continuing professional development </w:t>
            </w:r>
            <w:proofErr w:type="spellStart"/>
            <w:r>
              <w:rPr>
                <w:color w:val="231F20"/>
                <w:w w:val="95"/>
                <w:sz w:val="14"/>
              </w:rPr>
              <w:t>programmes</w:t>
            </w:r>
            <w:proofErr w:type="spellEnd"/>
            <w:r>
              <w:rPr>
                <w:color w:val="231F20"/>
                <w:w w:val="95"/>
                <w:sz w:val="14"/>
              </w:rPr>
              <w:t xml:space="preserve"> targeting HR trainers</w:t>
            </w:r>
          </w:p>
        </w:tc>
        <w:tc>
          <w:tcPr>
            <w:tcW w:w="1457" w:type="dxa"/>
            <w:tcBorders>
              <w:top w:val="single" w:sz="6" w:space="0" w:color="231F20"/>
              <w:left w:val="single" w:sz="6" w:space="0" w:color="231F20"/>
              <w:bottom w:val="single" w:sz="6" w:space="0" w:color="231F20"/>
              <w:right w:val="single" w:sz="6" w:space="0" w:color="231F20"/>
            </w:tcBorders>
          </w:tcPr>
          <w:p w14:paraId="608FB85B" w14:textId="77777777" w:rsidR="009948F1" w:rsidRDefault="00BC0563">
            <w:pPr>
              <w:pStyle w:val="TableParagraph"/>
              <w:spacing w:before="99"/>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04A0647D" w14:textId="77777777" w:rsidR="009948F1" w:rsidRDefault="00BC0563">
            <w:pPr>
              <w:pStyle w:val="TableParagraph"/>
              <w:spacing w:before="99"/>
              <w:ind w:left="27"/>
              <w:rPr>
                <w:sz w:val="14"/>
              </w:rPr>
            </w:pPr>
            <w:r>
              <w:rPr>
                <w:color w:val="231F20"/>
                <w:w w:val="95"/>
                <w:sz w:val="14"/>
              </w:rPr>
              <w:t xml:space="preserve">Develop </w:t>
            </w:r>
            <w:proofErr w:type="spellStart"/>
            <w:r>
              <w:rPr>
                <w:color w:val="231F20"/>
                <w:w w:val="95"/>
                <w:sz w:val="14"/>
              </w:rPr>
              <w:t>programmes</w:t>
            </w:r>
            <w:proofErr w:type="spellEnd"/>
          </w:p>
        </w:tc>
      </w:tr>
      <w:tr w:rsidR="009948F1" w14:paraId="7B0C5E04" w14:textId="77777777">
        <w:trPr>
          <w:trHeight w:val="362"/>
        </w:trPr>
        <w:tc>
          <w:tcPr>
            <w:tcW w:w="868" w:type="dxa"/>
            <w:gridSpan w:val="2"/>
            <w:vMerge/>
            <w:tcBorders>
              <w:top w:val="nil"/>
              <w:left w:val="single" w:sz="4" w:space="0" w:color="231F20"/>
              <w:bottom w:val="nil"/>
              <w:right w:val="single" w:sz="6" w:space="0" w:color="231F20"/>
            </w:tcBorders>
          </w:tcPr>
          <w:p w14:paraId="45350CB8"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1F35BE45" w14:textId="77777777" w:rsidR="009948F1" w:rsidRDefault="00BC0563">
            <w:pPr>
              <w:pStyle w:val="TableParagraph"/>
              <w:spacing w:before="103"/>
              <w:ind w:left="35" w:right="13"/>
              <w:jc w:val="center"/>
              <w:rPr>
                <w:sz w:val="14"/>
              </w:rPr>
            </w:pPr>
            <w:r>
              <w:rPr>
                <w:color w:val="231F20"/>
                <w:w w:val="95"/>
                <w:sz w:val="14"/>
              </w:rPr>
              <w:t>9.2.1.d</w:t>
            </w:r>
          </w:p>
        </w:tc>
        <w:tc>
          <w:tcPr>
            <w:tcW w:w="4998" w:type="dxa"/>
            <w:gridSpan w:val="2"/>
            <w:tcBorders>
              <w:top w:val="single" w:sz="6" w:space="0" w:color="231F20"/>
              <w:left w:val="single" w:sz="6" w:space="0" w:color="231F20"/>
              <w:bottom w:val="single" w:sz="6" w:space="0" w:color="231F20"/>
              <w:right w:val="single" w:sz="6" w:space="0" w:color="231F20"/>
            </w:tcBorders>
          </w:tcPr>
          <w:p w14:paraId="6BD12538" w14:textId="77777777" w:rsidR="009948F1" w:rsidRDefault="00BC0563">
            <w:pPr>
              <w:pStyle w:val="TableParagraph"/>
              <w:spacing w:before="97"/>
              <w:ind w:left="26"/>
              <w:rPr>
                <w:sz w:val="14"/>
              </w:rPr>
            </w:pPr>
            <w:r>
              <w:rPr>
                <w:color w:val="231F20"/>
                <w:w w:val="95"/>
                <w:sz w:val="14"/>
              </w:rPr>
              <w:t>Develop</w:t>
            </w:r>
            <w:r>
              <w:rPr>
                <w:color w:val="231F20"/>
                <w:spacing w:val="-22"/>
                <w:w w:val="95"/>
                <w:sz w:val="14"/>
              </w:rPr>
              <w:t xml:space="preserve"> </w:t>
            </w:r>
            <w:r>
              <w:rPr>
                <w:color w:val="231F20"/>
                <w:w w:val="95"/>
                <w:sz w:val="14"/>
              </w:rPr>
              <w:t>and</w:t>
            </w:r>
            <w:r>
              <w:rPr>
                <w:color w:val="231F20"/>
                <w:spacing w:val="-22"/>
                <w:w w:val="95"/>
                <w:sz w:val="14"/>
              </w:rPr>
              <w:t xml:space="preserve"> </w:t>
            </w:r>
            <w:r>
              <w:rPr>
                <w:color w:val="231F20"/>
                <w:w w:val="95"/>
                <w:sz w:val="14"/>
              </w:rPr>
              <w:t>implement</w:t>
            </w:r>
            <w:r>
              <w:rPr>
                <w:color w:val="231F20"/>
                <w:spacing w:val="-22"/>
                <w:w w:val="95"/>
                <w:sz w:val="14"/>
              </w:rPr>
              <w:t xml:space="preserve"> </w:t>
            </w:r>
            <w:r>
              <w:rPr>
                <w:color w:val="231F20"/>
                <w:w w:val="95"/>
                <w:sz w:val="14"/>
              </w:rPr>
              <w:t>a</w:t>
            </w:r>
            <w:r>
              <w:rPr>
                <w:color w:val="231F20"/>
                <w:spacing w:val="-21"/>
                <w:w w:val="95"/>
                <w:sz w:val="14"/>
              </w:rPr>
              <w:t xml:space="preserve"> </w:t>
            </w:r>
            <w:r>
              <w:rPr>
                <w:color w:val="231F20"/>
                <w:w w:val="95"/>
                <w:sz w:val="14"/>
              </w:rPr>
              <w:t>quality</w:t>
            </w:r>
            <w:r>
              <w:rPr>
                <w:color w:val="231F20"/>
                <w:spacing w:val="-22"/>
                <w:w w:val="95"/>
                <w:sz w:val="14"/>
              </w:rPr>
              <w:t xml:space="preserve"> </w:t>
            </w:r>
            <w:r>
              <w:rPr>
                <w:color w:val="231F20"/>
                <w:w w:val="95"/>
                <w:sz w:val="14"/>
              </w:rPr>
              <w:t>assurance</w:t>
            </w:r>
            <w:r>
              <w:rPr>
                <w:color w:val="231F20"/>
                <w:spacing w:val="-22"/>
                <w:w w:val="95"/>
                <w:sz w:val="14"/>
              </w:rPr>
              <w:t xml:space="preserve"> </w:t>
            </w:r>
            <w:r>
              <w:rPr>
                <w:color w:val="231F20"/>
                <w:w w:val="95"/>
                <w:sz w:val="14"/>
              </w:rPr>
              <w:t>framework</w:t>
            </w:r>
            <w:r>
              <w:rPr>
                <w:color w:val="231F20"/>
                <w:spacing w:val="-22"/>
                <w:w w:val="95"/>
                <w:sz w:val="14"/>
              </w:rPr>
              <w:t xml:space="preserve"> </w:t>
            </w:r>
            <w:r>
              <w:rPr>
                <w:color w:val="231F20"/>
                <w:w w:val="95"/>
                <w:sz w:val="14"/>
              </w:rPr>
              <w:t>for</w:t>
            </w:r>
            <w:r>
              <w:rPr>
                <w:color w:val="231F20"/>
                <w:spacing w:val="-21"/>
                <w:w w:val="95"/>
                <w:sz w:val="14"/>
              </w:rPr>
              <w:t xml:space="preserve"> </w:t>
            </w:r>
            <w:r>
              <w:rPr>
                <w:color w:val="231F20"/>
                <w:w w:val="95"/>
                <w:sz w:val="14"/>
              </w:rPr>
              <w:t>health</w:t>
            </w:r>
            <w:r>
              <w:rPr>
                <w:color w:val="231F20"/>
                <w:spacing w:val="-22"/>
                <w:w w:val="95"/>
                <w:sz w:val="14"/>
              </w:rPr>
              <w:t xml:space="preserve"> </w:t>
            </w:r>
            <w:r>
              <w:rPr>
                <w:color w:val="231F20"/>
                <w:w w:val="95"/>
                <w:sz w:val="14"/>
              </w:rPr>
              <w:t>training</w:t>
            </w:r>
            <w:r>
              <w:rPr>
                <w:color w:val="231F20"/>
                <w:spacing w:val="-22"/>
                <w:w w:val="95"/>
                <w:sz w:val="14"/>
              </w:rPr>
              <w:t xml:space="preserve"> </w:t>
            </w:r>
            <w:r>
              <w:rPr>
                <w:color w:val="231F20"/>
                <w:w w:val="95"/>
                <w:sz w:val="14"/>
              </w:rPr>
              <w:t>institutions</w:t>
            </w:r>
          </w:p>
        </w:tc>
        <w:tc>
          <w:tcPr>
            <w:tcW w:w="1457" w:type="dxa"/>
            <w:tcBorders>
              <w:top w:val="single" w:sz="6" w:space="0" w:color="231F20"/>
              <w:left w:val="single" w:sz="6" w:space="0" w:color="231F20"/>
              <w:bottom w:val="single" w:sz="6" w:space="0" w:color="231F20"/>
              <w:right w:val="single" w:sz="6" w:space="0" w:color="231F20"/>
            </w:tcBorders>
          </w:tcPr>
          <w:p w14:paraId="518DD279" w14:textId="77777777" w:rsidR="009948F1" w:rsidRDefault="00BC0563">
            <w:pPr>
              <w:pStyle w:val="TableParagraph"/>
              <w:spacing w:before="103"/>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48D052FC" w14:textId="77777777" w:rsidR="009948F1" w:rsidRDefault="00BC0563">
            <w:pPr>
              <w:pStyle w:val="TableParagraph"/>
              <w:spacing w:before="103"/>
              <w:ind w:left="27"/>
              <w:rPr>
                <w:sz w:val="14"/>
              </w:rPr>
            </w:pPr>
            <w:r>
              <w:rPr>
                <w:color w:val="231F20"/>
                <w:w w:val="95"/>
                <w:sz w:val="14"/>
              </w:rPr>
              <w:t>Develop and implement</w:t>
            </w:r>
          </w:p>
        </w:tc>
      </w:tr>
      <w:tr w:rsidR="009948F1" w14:paraId="741B091E" w14:textId="77777777">
        <w:trPr>
          <w:trHeight w:val="353"/>
        </w:trPr>
        <w:tc>
          <w:tcPr>
            <w:tcW w:w="868" w:type="dxa"/>
            <w:gridSpan w:val="2"/>
            <w:vMerge/>
            <w:tcBorders>
              <w:top w:val="nil"/>
              <w:left w:val="single" w:sz="4" w:space="0" w:color="231F20"/>
              <w:bottom w:val="nil"/>
              <w:right w:val="single" w:sz="6" w:space="0" w:color="231F20"/>
            </w:tcBorders>
          </w:tcPr>
          <w:p w14:paraId="247FC2CE"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54611C58" w14:textId="77777777" w:rsidR="009948F1" w:rsidRDefault="00BC0563">
            <w:pPr>
              <w:pStyle w:val="TableParagraph"/>
              <w:spacing w:before="99"/>
              <w:ind w:left="35" w:right="13"/>
              <w:jc w:val="center"/>
              <w:rPr>
                <w:sz w:val="14"/>
              </w:rPr>
            </w:pPr>
            <w:r>
              <w:rPr>
                <w:color w:val="231F20"/>
                <w:w w:val="95"/>
                <w:sz w:val="14"/>
              </w:rPr>
              <w:t>9.2.1.e</w:t>
            </w:r>
          </w:p>
        </w:tc>
        <w:tc>
          <w:tcPr>
            <w:tcW w:w="4998" w:type="dxa"/>
            <w:gridSpan w:val="2"/>
            <w:tcBorders>
              <w:top w:val="single" w:sz="6" w:space="0" w:color="231F20"/>
              <w:left w:val="single" w:sz="6" w:space="0" w:color="231F20"/>
              <w:bottom w:val="single" w:sz="6" w:space="0" w:color="231F20"/>
              <w:right w:val="single" w:sz="6" w:space="0" w:color="231F20"/>
            </w:tcBorders>
          </w:tcPr>
          <w:p w14:paraId="2C894F0F" w14:textId="77777777" w:rsidR="009948F1" w:rsidRDefault="00BC0563">
            <w:pPr>
              <w:pStyle w:val="TableParagraph"/>
              <w:spacing w:before="93"/>
              <w:ind w:left="26"/>
              <w:rPr>
                <w:sz w:val="14"/>
              </w:rPr>
            </w:pPr>
            <w:r>
              <w:rPr>
                <w:color w:val="231F20"/>
                <w:w w:val="95"/>
                <w:sz w:val="14"/>
              </w:rPr>
              <w:t>Monitor and evaluate training programs</w:t>
            </w:r>
          </w:p>
        </w:tc>
        <w:tc>
          <w:tcPr>
            <w:tcW w:w="1457" w:type="dxa"/>
            <w:tcBorders>
              <w:top w:val="single" w:sz="6" w:space="0" w:color="231F20"/>
              <w:left w:val="single" w:sz="6" w:space="0" w:color="231F20"/>
              <w:bottom w:val="single" w:sz="6" w:space="0" w:color="231F20"/>
              <w:right w:val="single" w:sz="6" w:space="0" w:color="231F20"/>
            </w:tcBorders>
          </w:tcPr>
          <w:p w14:paraId="2AAACC4A" w14:textId="77777777" w:rsidR="009948F1" w:rsidRDefault="00BC0563">
            <w:pPr>
              <w:pStyle w:val="TableParagraph"/>
              <w:spacing w:before="99"/>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756C048D" w14:textId="77777777" w:rsidR="009948F1" w:rsidRDefault="00BC0563">
            <w:pPr>
              <w:pStyle w:val="TableParagraph"/>
              <w:spacing w:before="7"/>
              <w:ind w:left="27"/>
              <w:rPr>
                <w:sz w:val="14"/>
              </w:rPr>
            </w:pPr>
            <w:r>
              <w:rPr>
                <w:color w:val="231F20"/>
                <w:w w:val="95"/>
                <w:sz w:val="14"/>
              </w:rPr>
              <w:t>Monitor and evaluate</w:t>
            </w:r>
          </w:p>
          <w:p w14:paraId="4BF794FA" w14:textId="77777777" w:rsidR="009948F1" w:rsidRDefault="00BC0563">
            <w:pPr>
              <w:pStyle w:val="TableParagraph"/>
              <w:spacing w:before="20" w:line="145" w:lineRule="exact"/>
              <w:ind w:left="27"/>
              <w:rPr>
                <w:sz w:val="14"/>
              </w:rPr>
            </w:pPr>
            <w:r>
              <w:rPr>
                <w:color w:val="231F20"/>
                <w:w w:val="95"/>
                <w:sz w:val="14"/>
              </w:rPr>
              <w:t>training</w:t>
            </w:r>
          </w:p>
        </w:tc>
      </w:tr>
      <w:tr w:rsidR="009948F1" w14:paraId="2988494A" w14:textId="77777777">
        <w:trPr>
          <w:trHeight w:val="1745"/>
        </w:trPr>
        <w:tc>
          <w:tcPr>
            <w:tcW w:w="404" w:type="dxa"/>
            <w:tcBorders>
              <w:top w:val="nil"/>
              <w:left w:val="single" w:sz="4" w:space="0" w:color="231F20"/>
              <w:bottom w:val="nil"/>
              <w:right w:val="single" w:sz="6" w:space="0" w:color="231F20"/>
            </w:tcBorders>
          </w:tcPr>
          <w:p w14:paraId="4C39BCFB"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5E13D767" w14:textId="77777777" w:rsidR="009948F1" w:rsidRDefault="009948F1">
            <w:pPr>
              <w:pStyle w:val="TableParagraph"/>
              <w:rPr>
                <w:sz w:val="14"/>
              </w:rPr>
            </w:pPr>
          </w:p>
          <w:p w14:paraId="3A3B6BAD" w14:textId="77777777" w:rsidR="009948F1" w:rsidRDefault="009948F1">
            <w:pPr>
              <w:pStyle w:val="TableParagraph"/>
              <w:rPr>
                <w:sz w:val="14"/>
              </w:rPr>
            </w:pPr>
          </w:p>
          <w:p w14:paraId="149E9CD9" w14:textId="77777777" w:rsidR="009948F1" w:rsidRDefault="009948F1">
            <w:pPr>
              <w:pStyle w:val="TableParagraph"/>
              <w:rPr>
                <w:sz w:val="14"/>
              </w:rPr>
            </w:pPr>
          </w:p>
          <w:p w14:paraId="23F3F1DF" w14:textId="77777777" w:rsidR="009948F1" w:rsidRDefault="009948F1">
            <w:pPr>
              <w:pStyle w:val="TableParagraph"/>
              <w:rPr>
                <w:sz w:val="14"/>
              </w:rPr>
            </w:pPr>
          </w:p>
          <w:p w14:paraId="6092C4F6" w14:textId="77777777" w:rsidR="009948F1" w:rsidRDefault="009948F1">
            <w:pPr>
              <w:pStyle w:val="TableParagraph"/>
              <w:rPr>
                <w:sz w:val="13"/>
              </w:rPr>
            </w:pPr>
          </w:p>
          <w:p w14:paraId="799B001C" w14:textId="77777777" w:rsidR="009948F1" w:rsidRDefault="00BC0563">
            <w:pPr>
              <w:pStyle w:val="TableParagraph"/>
              <w:ind w:left="59"/>
              <w:rPr>
                <w:sz w:val="14"/>
              </w:rPr>
            </w:pPr>
            <w:r>
              <w:rPr>
                <w:color w:val="231F20"/>
                <w:w w:val="95"/>
                <w:sz w:val="14"/>
              </w:rPr>
              <w:t>9.2.2</w:t>
            </w:r>
          </w:p>
        </w:tc>
        <w:tc>
          <w:tcPr>
            <w:tcW w:w="310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A601DD8" w14:textId="77777777" w:rsidR="009948F1" w:rsidRDefault="009948F1">
            <w:pPr>
              <w:pStyle w:val="TableParagraph"/>
              <w:rPr>
                <w:sz w:val="14"/>
              </w:rPr>
            </w:pPr>
          </w:p>
          <w:p w14:paraId="6465C20E" w14:textId="77777777" w:rsidR="009948F1" w:rsidRDefault="009948F1">
            <w:pPr>
              <w:pStyle w:val="TableParagraph"/>
              <w:rPr>
                <w:sz w:val="14"/>
              </w:rPr>
            </w:pPr>
          </w:p>
          <w:p w14:paraId="2ED28414" w14:textId="77777777" w:rsidR="009948F1" w:rsidRDefault="009948F1">
            <w:pPr>
              <w:pStyle w:val="TableParagraph"/>
              <w:rPr>
                <w:sz w:val="14"/>
              </w:rPr>
            </w:pPr>
          </w:p>
          <w:p w14:paraId="5D21C9CE" w14:textId="77777777" w:rsidR="009948F1" w:rsidRDefault="00BC0563">
            <w:pPr>
              <w:pStyle w:val="TableParagraph"/>
              <w:spacing w:before="124" w:line="268" w:lineRule="auto"/>
              <w:ind w:left="26" w:right="73" w:firstLine="33"/>
              <w:rPr>
                <w:sz w:val="14"/>
              </w:rPr>
            </w:pPr>
            <w:r>
              <w:rPr>
                <w:color w:val="231F20"/>
                <w:w w:val="95"/>
                <w:sz w:val="14"/>
              </w:rPr>
              <w:t xml:space="preserve">Strengthen the platform between HRH training </w:t>
            </w:r>
            <w:r>
              <w:rPr>
                <w:color w:val="231F20"/>
                <w:w w:val="90"/>
                <w:sz w:val="14"/>
              </w:rPr>
              <w:t>institutions,</w:t>
            </w:r>
            <w:r>
              <w:rPr>
                <w:color w:val="231F20"/>
                <w:spacing w:val="-21"/>
                <w:w w:val="90"/>
                <w:sz w:val="14"/>
              </w:rPr>
              <w:t xml:space="preserve"> </w:t>
            </w:r>
            <w:r>
              <w:rPr>
                <w:color w:val="231F20"/>
                <w:w w:val="90"/>
                <w:sz w:val="14"/>
              </w:rPr>
              <w:t>regulatory</w:t>
            </w:r>
            <w:r>
              <w:rPr>
                <w:color w:val="231F20"/>
                <w:spacing w:val="-20"/>
                <w:w w:val="90"/>
                <w:sz w:val="14"/>
              </w:rPr>
              <w:t xml:space="preserve"> </w:t>
            </w:r>
            <w:r>
              <w:rPr>
                <w:color w:val="231F20"/>
                <w:w w:val="90"/>
                <w:sz w:val="14"/>
              </w:rPr>
              <w:t>bodies</w:t>
            </w:r>
            <w:r>
              <w:rPr>
                <w:color w:val="231F20"/>
                <w:spacing w:val="-20"/>
                <w:w w:val="90"/>
                <w:sz w:val="14"/>
              </w:rPr>
              <w:t xml:space="preserve"> </w:t>
            </w:r>
            <w:r>
              <w:rPr>
                <w:color w:val="231F20"/>
                <w:w w:val="90"/>
                <w:sz w:val="14"/>
              </w:rPr>
              <w:t>and</w:t>
            </w:r>
            <w:r>
              <w:rPr>
                <w:color w:val="231F20"/>
                <w:spacing w:val="-20"/>
                <w:w w:val="90"/>
                <w:sz w:val="14"/>
              </w:rPr>
              <w:t xml:space="preserve"> </w:t>
            </w:r>
            <w:r>
              <w:rPr>
                <w:color w:val="231F20"/>
                <w:w w:val="90"/>
                <w:sz w:val="14"/>
              </w:rPr>
              <w:t>other</w:t>
            </w:r>
            <w:r>
              <w:rPr>
                <w:color w:val="231F20"/>
                <w:spacing w:val="-21"/>
                <w:w w:val="90"/>
                <w:sz w:val="14"/>
              </w:rPr>
              <w:t xml:space="preserve"> </w:t>
            </w:r>
            <w:r>
              <w:rPr>
                <w:color w:val="231F20"/>
                <w:w w:val="90"/>
                <w:sz w:val="14"/>
              </w:rPr>
              <w:t>stakeholders</w:t>
            </w:r>
            <w:r>
              <w:rPr>
                <w:color w:val="231F20"/>
                <w:spacing w:val="-20"/>
                <w:w w:val="90"/>
                <w:sz w:val="14"/>
              </w:rPr>
              <w:t xml:space="preserve"> </w:t>
            </w:r>
            <w:r>
              <w:rPr>
                <w:color w:val="231F20"/>
                <w:w w:val="90"/>
                <w:sz w:val="14"/>
              </w:rPr>
              <w:t xml:space="preserve">to </w:t>
            </w:r>
            <w:r>
              <w:rPr>
                <w:color w:val="231F20"/>
                <w:w w:val="95"/>
                <w:sz w:val="14"/>
              </w:rPr>
              <w:t>increase</w:t>
            </w:r>
            <w:r>
              <w:rPr>
                <w:color w:val="231F20"/>
                <w:spacing w:val="-10"/>
                <w:w w:val="95"/>
                <w:sz w:val="14"/>
              </w:rPr>
              <w:t xml:space="preserve"> </w:t>
            </w:r>
            <w:r>
              <w:rPr>
                <w:color w:val="231F20"/>
                <w:w w:val="95"/>
                <w:sz w:val="14"/>
              </w:rPr>
              <w:t>health</w:t>
            </w:r>
            <w:r>
              <w:rPr>
                <w:color w:val="231F20"/>
                <w:spacing w:val="-10"/>
                <w:w w:val="95"/>
                <w:sz w:val="14"/>
              </w:rPr>
              <w:t xml:space="preserve"> </w:t>
            </w:r>
            <w:r>
              <w:rPr>
                <w:color w:val="231F20"/>
                <w:w w:val="95"/>
                <w:sz w:val="14"/>
              </w:rPr>
              <w:t>workforce</w:t>
            </w:r>
            <w:r>
              <w:rPr>
                <w:color w:val="231F20"/>
                <w:spacing w:val="-9"/>
                <w:w w:val="95"/>
                <w:sz w:val="14"/>
              </w:rPr>
              <w:t xml:space="preserve"> </w:t>
            </w:r>
            <w:r>
              <w:rPr>
                <w:color w:val="231F20"/>
                <w:w w:val="95"/>
                <w:sz w:val="14"/>
              </w:rPr>
              <w:t>production</w:t>
            </w:r>
          </w:p>
        </w:tc>
        <w:tc>
          <w:tcPr>
            <w:tcW w:w="2434" w:type="dxa"/>
            <w:tcBorders>
              <w:top w:val="single" w:sz="6" w:space="0" w:color="231F20"/>
              <w:left w:val="single" w:sz="6" w:space="0" w:color="231F20"/>
              <w:bottom w:val="single" w:sz="6" w:space="0" w:color="231F20"/>
              <w:right w:val="single" w:sz="6" w:space="0" w:color="231F20"/>
            </w:tcBorders>
            <w:shd w:val="clear" w:color="auto" w:fill="CCE7D3"/>
          </w:tcPr>
          <w:p w14:paraId="7447DC2B" w14:textId="77777777" w:rsidR="009948F1" w:rsidRDefault="00BC0563">
            <w:pPr>
              <w:pStyle w:val="TableParagraph"/>
              <w:numPr>
                <w:ilvl w:val="0"/>
                <w:numId w:val="65"/>
              </w:numPr>
              <w:tabs>
                <w:tab w:val="left" w:pos="103"/>
              </w:tabs>
              <w:spacing w:before="71" w:line="268" w:lineRule="auto"/>
              <w:ind w:right="72" w:firstLine="0"/>
              <w:rPr>
                <w:sz w:val="14"/>
              </w:rPr>
            </w:pPr>
            <w:r>
              <w:rPr>
                <w:color w:val="231F20"/>
                <w:w w:val="95"/>
                <w:sz w:val="14"/>
              </w:rPr>
              <w:t xml:space="preserve">Evidence-based staffing norms for all </w:t>
            </w:r>
            <w:r>
              <w:rPr>
                <w:color w:val="231F20"/>
                <w:w w:val="90"/>
                <w:sz w:val="14"/>
              </w:rPr>
              <w:t>levels</w:t>
            </w:r>
            <w:r>
              <w:rPr>
                <w:color w:val="231F20"/>
                <w:spacing w:val="-17"/>
                <w:w w:val="90"/>
                <w:sz w:val="14"/>
              </w:rPr>
              <w:t xml:space="preserve"> </w:t>
            </w:r>
            <w:r>
              <w:rPr>
                <w:color w:val="231F20"/>
                <w:w w:val="90"/>
                <w:sz w:val="14"/>
              </w:rPr>
              <w:t>of</w:t>
            </w:r>
            <w:r>
              <w:rPr>
                <w:color w:val="231F20"/>
                <w:spacing w:val="-17"/>
                <w:w w:val="90"/>
                <w:sz w:val="14"/>
              </w:rPr>
              <w:t xml:space="preserve"> </w:t>
            </w:r>
            <w:r>
              <w:rPr>
                <w:color w:val="231F20"/>
                <w:w w:val="90"/>
                <w:sz w:val="14"/>
              </w:rPr>
              <w:t>human</w:t>
            </w:r>
            <w:r>
              <w:rPr>
                <w:color w:val="231F20"/>
                <w:spacing w:val="-16"/>
                <w:w w:val="90"/>
                <w:sz w:val="14"/>
              </w:rPr>
              <w:t xml:space="preserve"> </w:t>
            </w:r>
            <w:r>
              <w:rPr>
                <w:color w:val="231F20"/>
                <w:w w:val="90"/>
                <w:sz w:val="14"/>
              </w:rPr>
              <w:t>resources</w:t>
            </w:r>
            <w:r>
              <w:rPr>
                <w:color w:val="231F20"/>
                <w:spacing w:val="-17"/>
                <w:w w:val="90"/>
                <w:sz w:val="14"/>
              </w:rPr>
              <w:t xml:space="preserve"> </w:t>
            </w:r>
            <w:r>
              <w:rPr>
                <w:color w:val="231F20"/>
                <w:w w:val="90"/>
                <w:sz w:val="14"/>
              </w:rPr>
              <w:t>for</w:t>
            </w:r>
            <w:r>
              <w:rPr>
                <w:color w:val="231F20"/>
                <w:spacing w:val="-16"/>
                <w:w w:val="90"/>
                <w:sz w:val="14"/>
              </w:rPr>
              <w:t xml:space="preserve"> </w:t>
            </w:r>
            <w:r>
              <w:rPr>
                <w:color w:val="231F20"/>
                <w:w w:val="90"/>
                <w:sz w:val="14"/>
              </w:rPr>
              <w:t>health</w:t>
            </w:r>
            <w:r>
              <w:rPr>
                <w:color w:val="231F20"/>
                <w:spacing w:val="-17"/>
                <w:w w:val="90"/>
                <w:sz w:val="14"/>
              </w:rPr>
              <w:t xml:space="preserve"> </w:t>
            </w:r>
            <w:r>
              <w:rPr>
                <w:color w:val="231F20"/>
                <w:w w:val="90"/>
                <w:sz w:val="14"/>
              </w:rPr>
              <w:t xml:space="preserve">based </w:t>
            </w:r>
            <w:r>
              <w:rPr>
                <w:color w:val="231F20"/>
                <w:w w:val="95"/>
                <w:sz w:val="14"/>
              </w:rPr>
              <w:t>on</w:t>
            </w:r>
            <w:r>
              <w:rPr>
                <w:color w:val="231F20"/>
                <w:spacing w:val="-13"/>
                <w:w w:val="95"/>
                <w:sz w:val="14"/>
              </w:rPr>
              <w:t xml:space="preserve"> </w:t>
            </w:r>
            <w:r>
              <w:rPr>
                <w:color w:val="231F20"/>
                <w:w w:val="95"/>
                <w:sz w:val="14"/>
              </w:rPr>
              <w:t>workload</w:t>
            </w:r>
            <w:r>
              <w:rPr>
                <w:color w:val="231F20"/>
                <w:spacing w:val="-12"/>
                <w:w w:val="95"/>
                <w:sz w:val="14"/>
              </w:rPr>
              <w:t xml:space="preserve"> </w:t>
            </w:r>
            <w:r>
              <w:rPr>
                <w:color w:val="231F20"/>
                <w:w w:val="95"/>
                <w:sz w:val="14"/>
              </w:rPr>
              <w:t>analysis</w:t>
            </w:r>
            <w:r>
              <w:rPr>
                <w:color w:val="231F20"/>
                <w:spacing w:val="-12"/>
                <w:w w:val="95"/>
                <w:sz w:val="14"/>
              </w:rPr>
              <w:t xml:space="preserve"> </w:t>
            </w:r>
            <w:r>
              <w:rPr>
                <w:color w:val="231F20"/>
                <w:w w:val="95"/>
                <w:sz w:val="14"/>
              </w:rPr>
              <w:t>established</w:t>
            </w:r>
          </w:p>
          <w:p w14:paraId="03D652E3" w14:textId="77777777" w:rsidR="009948F1" w:rsidRDefault="00BC0563">
            <w:pPr>
              <w:pStyle w:val="TableParagraph"/>
              <w:numPr>
                <w:ilvl w:val="0"/>
                <w:numId w:val="65"/>
              </w:numPr>
              <w:tabs>
                <w:tab w:val="left" w:pos="103"/>
              </w:tabs>
              <w:spacing w:before="1" w:line="268" w:lineRule="auto"/>
              <w:ind w:right="99" w:firstLine="0"/>
              <w:rPr>
                <w:sz w:val="14"/>
              </w:rPr>
            </w:pPr>
            <w:r>
              <w:rPr>
                <w:color w:val="231F20"/>
                <w:w w:val="90"/>
                <w:sz w:val="14"/>
              </w:rPr>
              <w:t>Healthcare</w:t>
            </w:r>
            <w:r>
              <w:rPr>
                <w:color w:val="231F20"/>
                <w:spacing w:val="-23"/>
                <w:w w:val="90"/>
                <w:sz w:val="14"/>
              </w:rPr>
              <w:t xml:space="preserve"> </w:t>
            </w:r>
            <w:r>
              <w:rPr>
                <w:color w:val="231F20"/>
                <w:w w:val="90"/>
                <w:sz w:val="14"/>
              </w:rPr>
              <w:t>personnel</w:t>
            </w:r>
            <w:r>
              <w:rPr>
                <w:color w:val="231F20"/>
                <w:spacing w:val="-23"/>
                <w:w w:val="90"/>
                <w:sz w:val="14"/>
              </w:rPr>
              <w:t xml:space="preserve"> </w:t>
            </w:r>
            <w:r>
              <w:rPr>
                <w:color w:val="231F20"/>
                <w:w w:val="90"/>
                <w:sz w:val="14"/>
              </w:rPr>
              <w:t>trained</w:t>
            </w:r>
            <w:r>
              <w:rPr>
                <w:color w:val="231F20"/>
                <w:spacing w:val="-23"/>
                <w:w w:val="90"/>
                <w:sz w:val="14"/>
              </w:rPr>
              <w:t xml:space="preserve"> </w:t>
            </w:r>
            <w:r>
              <w:rPr>
                <w:color w:val="231F20"/>
                <w:w w:val="90"/>
                <w:sz w:val="14"/>
              </w:rPr>
              <w:t>for</w:t>
            </w:r>
            <w:r>
              <w:rPr>
                <w:color w:val="231F20"/>
                <w:spacing w:val="-22"/>
                <w:w w:val="90"/>
                <w:sz w:val="14"/>
              </w:rPr>
              <w:t xml:space="preserve"> </w:t>
            </w:r>
            <w:r>
              <w:rPr>
                <w:color w:val="231F20"/>
                <w:w w:val="90"/>
                <w:sz w:val="14"/>
              </w:rPr>
              <w:t xml:space="preserve">effective </w:t>
            </w:r>
            <w:r>
              <w:rPr>
                <w:color w:val="231F20"/>
                <w:w w:val="95"/>
                <w:sz w:val="14"/>
              </w:rPr>
              <w:t>and</w:t>
            </w:r>
            <w:r>
              <w:rPr>
                <w:color w:val="231F20"/>
                <w:spacing w:val="-25"/>
                <w:w w:val="95"/>
                <w:sz w:val="14"/>
              </w:rPr>
              <w:t xml:space="preserve"> </w:t>
            </w:r>
            <w:r>
              <w:rPr>
                <w:color w:val="231F20"/>
                <w:w w:val="95"/>
                <w:sz w:val="14"/>
              </w:rPr>
              <w:t>efficient</w:t>
            </w:r>
            <w:r>
              <w:rPr>
                <w:color w:val="231F20"/>
                <w:spacing w:val="-25"/>
                <w:w w:val="95"/>
                <w:sz w:val="14"/>
              </w:rPr>
              <w:t xml:space="preserve"> </w:t>
            </w:r>
            <w:r>
              <w:rPr>
                <w:color w:val="231F20"/>
                <w:w w:val="95"/>
                <w:sz w:val="14"/>
              </w:rPr>
              <w:t>staff</w:t>
            </w:r>
            <w:r>
              <w:rPr>
                <w:color w:val="231F20"/>
                <w:spacing w:val="-25"/>
                <w:w w:val="95"/>
                <w:sz w:val="14"/>
              </w:rPr>
              <w:t xml:space="preserve"> </w:t>
            </w:r>
            <w:r>
              <w:rPr>
                <w:color w:val="231F20"/>
                <w:w w:val="95"/>
                <w:sz w:val="14"/>
              </w:rPr>
              <w:t>utilization</w:t>
            </w:r>
            <w:r>
              <w:rPr>
                <w:color w:val="231F20"/>
                <w:spacing w:val="-24"/>
                <w:w w:val="95"/>
                <w:sz w:val="14"/>
              </w:rPr>
              <w:t xml:space="preserve"> </w:t>
            </w:r>
            <w:r>
              <w:rPr>
                <w:color w:val="231F20"/>
                <w:w w:val="95"/>
                <w:sz w:val="14"/>
              </w:rPr>
              <w:t>according</w:t>
            </w:r>
            <w:r>
              <w:rPr>
                <w:color w:val="231F20"/>
                <w:spacing w:val="-25"/>
                <w:w w:val="95"/>
                <w:sz w:val="14"/>
              </w:rPr>
              <w:t xml:space="preserve"> </w:t>
            </w:r>
            <w:r>
              <w:rPr>
                <w:color w:val="231F20"/>
                <w:w w:val="95"/>
                <w:sz w:val="14"/>
              </w:rPr>
              <w:t>to training</w:t>
            </w:r>
            <w:r>
              <w:rPr>
                <w:color w:val="231F20"/>
                <w:spacing w:val="-6"/>
                <w:w w:val="95"/>
                <w:sz w:val="14"/>
              </w:rPr>
              <w:t xml:space="preserve"> </w:t>
            </w:r>
            <w:r>
              <w:rPr>
                <w:color w:val="231F20"/>
                <w:w w:val="95"/>
                <w:sz w:val="14"/>
              </w:rPr>
              <w:t>needs</w:t>
            </w:r>
          </w:p>
          <w:p w14:paraId="50368C48" w14:textId="77777777" w:rsidR="009948F1" w:rsidRDefault="00BC0563">
            <w:pPr>
              <w:pStyle w:val="TableParagraph"/>
              <w:numPr>
                <w:ilvl w:val="0"/>
                <w:numId w:val="65"/>
              </w:numPr>
              <w:tabs>
                <w:tab w:val="left" w:pos="103"/>
              </w:tabs>
              <w:spacing w:before="1" w:line="268" w:lineRule="auto"/>
              <w:ind w:right="84" w:firstLine="0"/>
              <w:rPr>
                <w:sz w:val="14"/>
              </w:rPr>
            </w:pPr>
            <w:r>
              <w:rPr>
                <w:color w:val="231F20"/>
                <w:w w:val="90"/>
                <w:sz w:val="14"/>
              </w:rPr>
              <w:t>Integrated</w:t>
            </w:r>
            <w:r>
              <w:rPr>
                <w:color w:val="231F20"/>
                <w:spacing w:val="-23"/>
                <w:w w:val="90"/>
                <w:sz w:val="14"/>
              </w:rPr>
              <w:t xml:space="preserve"> </w:t>
            </w:r>
            <w:r>
              <w:rPr>
                <w:color w:val="231F20"/>
                <w:w w:val="90"/>
                <w:sz w:val="14"/>
              </w:rPr>
              <w:t>supportive</w:t>
            </w:r>
            <w:r>
              <w:rPr>
                <w:color w:val="231F20"/>
                <w:spacing w:val="-23"/>
                <w:w w:val="90"/>
                <w:sz w:val="14"/>
              </w:rPr>
              <w:t xml:space="preserve"> </w:t>
            </w:r>
            <w:r>
              <w:rPr>
                <w:color w:val="231F20"/>
                <w:w w:val="90"/>
                <w:sz w:val="14"/>
              </w:rPr>
              <w:t>supervision</w:t>
            </w:r>
            <w:r>
              <w:rPr>
                <w:color w:val="231F20"/>
                <w:spacing w:val="-22"/>
                <w:w w:val="90"/>
                <w:sz w:val="14"/>
              </w:rPr>
              <w:t xml:space="preserve"> </w:t>
            </w:r>
            <w:r>
              <w:rPr>
                <w:color w:val="231F20"/>
                <w:w w:val="90"/>
                <w:sz w:val="14"/>
              </w:rPr>
              <w:t>(ISS)</w:t>
            </w:r>
            <w:r>
              <w:rPr>
                <w:color w:val="231F20"/>
                <w:spacing w:val="-23"/>
                <w:w w:val="90"/>
                <w:sz w:val="14"/>
              </w:rPr>
              <w:t xml:space="preserve"> </w:t>
            </w:r>
            <w:r>
              <w:rPr>
                <w:color w:val="231F20"/>
                <w:w w:val="90"/>
                <w:sz w:val="14"/>
              </w:rPr>
              <w:t xml:space="preserve">to </w:t>
            </w:r>
            <w:r>
              <w:rPr>
                <w:color w:val="231F20"/>
                <w:w w:val="95"/>
                <w:sz w:val="14"/>
              </w:rPr>
              <w:t>all</w:t>
            </w:r>
            <w:r>
              <w:rPr>
                <w:color w:val="231F20"/>
                <w:spacing w:val="-24"/>
                <w:w w:val="95"/>
                <w:sz w:val="14"/>
              </w:rPr>
              <w:t xml:space="preserve"> </w:t>
            </w:r>
            <w:r>
              <w:rPr>
                <w:color w:val="231F20"/>
                <w:w w:val="95"/>
                <w:sz w:val="14"/>
              </w:rPr>
              <w:t>health</w:t>
            </w:r>
            <w:r>
              <w:rPr>
                <w:color w:val="231F20"/>
                <w:spacing w:val="-24"/>
                <w:w w:val="95"/>
                <w:sz w:val="14"/>
              </w:rPr>
              <w:t xml:space="preserve"> </w:t>
            </w:r>
            <w:proofErr w:type="spellStart"/>
            <w:r>
              <w:rPr>
                <w:color w:val="231F20"/>
                <w:w w:val="95"/>
                <w:sz w:val="14"/>
              </w:rPr>
              <w:t>cadre</w:t>
            </w:r>
            <w:proofErr w:type="spellEnd"/>
            <w:r>
              <w:rPr>
                <w:color w:val="231F20"/>
                <w:spacing w:val="-23"/>
                <w:w w:val="95"/>
                <w:sz w:val="14"/>
              </w:rPr>
              <w:t xml:space="preserve"> </w:t>
            </w:r>
            <w:r>
              <w:rPr>
                <w:color w:val="231F20"/>
                <w:w w:val="95"/>
                <w:sz w:val="14"/>
              </w:rPr>
              <w:t>and</w:t>
            </w:r>
            <w:r>
              <w:rPr>
                <w:color w:val="231F20"/>
                <w:spacing w:val="-24"/>
                <w:w w:val="95"/>
                <w:sz w:val="14"/>
              </w:rPr>
              <w:t xml:space="preserve"> </w:t>
            </w:r>
            <w:r>
              <w:rPr>
                <w:color w:val="231F20"/>
                <w:w w:val="95"/>
                <w:sz w:val="14"/>
              </w:rPr>
              <w:t>facilities</w:t>
            </w:r>
            <w:r>
              <w:rPr>
                <w:color w:val="231F20"/>
                <w:spacing w:val="-23"/>
                <w:w w:val="95"/>
                <w:sz w:val="14"/>
              </w:rPr>
              <w:t xml:space="preserve"> </w:t>
            </w:r>
            <w:r>
              <w:rPr>
                <w:color w:val="231F20"/>
                <w:w w:val="95"/>
                <w:sz w:val="14"/>
              </w:rPr>
              <w:t>by</w:t>
            </w:r>
            <w:r>
              <w:rPr>
                <w:color w:val="231F20"/>
                <w:spacing w:val="-24"/>
                <w:w w:val="95"/>
                <w:sz w:val="14"/>
              </w:rPr>
              <w:t xml:space="preserve"> </w:t>
            </w:r>
            <w:r>
              <w:rPr>
                <w:color w:val="231F20"/>
                <w:w w:val="95"/>
                <w:sz w:val="14"/>
              </w:rPr>
              <w:t>the</w:t>
            </w:r>
            <w:r>
              <w:rPr>
                <w:color w:val="231F20"/>
                <w:spacing w:val="-24"/>
                <w:w w:val="95"/>
                <w:sz w:val="14"/>
              </w:rPr>
              <w:t xml:space="preserve"> </w:t>
            </w:r>
            <w:r>
              <w:rPr>
                <w:color w:val="231F20"/>
                <w:w w:val="95"/>
                <w:sz w:val="14"/>
              </w:rPr>
              <w:t>multi- sectoral</w:t>
            </w:r>
            <w:r>
              <w:rPr>
                <w:color w:val="231F20"/>
                <w:spacing w:val="-12"/>
                <w:w w:val="95"/>
                <w:sz w:val="14"/>
              </w:rPr>
              <w:t xml:space="preserve"> </w:t>
            </w:r>
            <w:r>
              <w:rPr>
                <w:color w:val="231F20"/>
                <w:w w:val="95"/>
                <w:sz w:val="14"/>
              </w:rPr>
              <w:t>coordinating</w:t>
            </w:r>
            <w:r>
              <w:rPr>
                <w:color w:val="231F20"/>
                <w:spacing w:val="-12"/>
                <w:w w:val="95"/>
                <w:sz w:val="14"/>
              </w:rPr>
              <w:t xml:space="preserve"> </w:t>
            </w:r>
            <w:r>
              <w:rPr>
                <w:color w:val="231F20"/>
                <w:w w:val="95"/>
                <w:sz w:val="14"/>
              </w:rPr>
              <w:t>body</w:t>
            </w:r>
            <w:r>
              <w:rPr>
                <w:color w:val="231F20"/>
                <w:spacing w:val="-11"/>
                <w:w w:val="95"/>
                <w:sz w:val="14"/>
              </w:rPr>
              <w:t xml:space="preserve"> </w:t>
            </w:r>
            <w:r>
              <w:rPr>
                <w:color w:val="231F20"/>
                <w:w w:val="95"/>
                <w:sz w:val="14"/>
              </w:rPr>
              <w:t>done</w:t>
            </w:r>
          </w:p>
        </w:tc>
        <w:tc>
          <w:tcPr>
            <w:tcW w:w="1457" w:type="dxa"/>
            <w:tcBorders>
              <w:top w:val="single" w:sz="6" w:space="0" w:color="231F20"/>
              <w:left w:val="single" w:sz="6" w:space="0" w:color="231F20"/>
              <w:bottom w:val="single" w:sz="6" w:space="0" w:color="231F20"/>
              <w:right w:val="single" w:sz="6" w:space="0" w:color="231F20"/>
            </w:tcBorders>
            <w:shd w:val="clear" w:color="auto" w:fill="CCE7D3"/>
          </w:tcPr>
          <w:p w14:paraId="57B07A60" w14:textId="77777777" w:rsidR="009948F1" w:rsidRDefault="009948F1">
            <w:pPr>
              <w:pStyle w:val="TableParagraph"/>
              <w:rPr>
                <w:rFonts w:ascii="Times New Roman"/>
                <w:sz w:val="12"/>
              </w:rPr>
            </w:pPr>
          </w:p>
        </w:tc>
        <w:tc>
          <w:tcPr>
            <w:tcW w:w="1537" w:type="dxa"/>
            <w:tcBorders>
              <w:top w:val="single" w:sz="6" w:space="0" w:color="231F20"/>
              <w:left w:val="single" w:sz="6" w:space="0" w:color="231F20"/>
              <w:bottom w:val="single" w:sz="6" w:space="0" w:color="231F20"/>
              <w:right w:val="single" w:sz="6" w:space="0" w:color="231F20"/>
            </w:tcBorders>
            <w:shd w:val="clear" w:color="auto" w:fill="CCE7D3"/>
          </w:tcPr>
          <w:p w14:paraId="28539503" w14:textId="77777777" w:rsidR="009948F1" w:rsidRDefault="009948F1">
            <w:pPr>
              <w:pStyle w:val="TableParagraph"/>
              <w:rPr>
                <w:rFonts w:ascii="Times New Roman"/>
                <w:sz w:val="12"/>
              </w:rPr>
            </w:pPr>
          </w:p>
        </w:tc>
      </w:tr>
      <w:tr w:rsidR="009948F1" w14:paraId="101C5489" w14:textId="77777777">
        <w:trPr>
          <w:trHeight w:val="349"/>
        </w:trPr>
        <w:tc>
          <w:tcPr>
            <w:tcW w:w="868" w:type="dxa"/>
            <w:gridSpan w:val="2"/>
            <w:vMerge w:val="restart"/>
            <w:tcBorders>
              <w:top w:val="nil"/>
              <w:left w:val="single" w:sz="4" w:space="0" w:color="231F20"/>
              <w:bottom w:val="nil"/>
              <w:right w:val="single" w:sz="6" w:space="0" w:color="231F20"/>
            </w:tcBorders>
          </w:tcPr>
          <w:p w14:paraId="6C70745F"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312D4E35" w14:textId="77777777" w:rsidR="009948F1" w:rsidRDefault="00BC0563">
            <w:pPr>
              <w:pStyle w:val="TableParagraph"/>
              <w:spacing w:before="96"/>
              <w:ind w:left="35" w:right="13"/>
              <w:jc w:val="center"/>
              <w:rPr>
                <w:sz w:val="14"/>
              </w:rPr>
            </w:pPr>
            <w:r>
              <w:rPr>
                <w:color w:val="231F20"/>
                <w:w w:val="95"/>
                <w:sz w:val="14"/>
              </w:rPr>
              <w:t>9.2.2.a</w:t>
            </w:r>
          </w:p>
        </w:tc>
        <w:tc>
          <w:tcPr>
            <w:tcW w:w="4998" w:type="dxa"/>
            <w:gridSpan w:val="2"/>
            <w:tcBorders>
              <w:top w:val="single" w:sz="6" w:space="0" w:color="231F20"/>
              <w:left w:val="single" w:sz="6" w:space="0" w:color="231F20"/>
              <w:bottom w:val="single" w:sz="6" w:space="0" w:color="231F20"/>
              <w:right w:val="single" w:sz="6" w:space="0" w:color="231F20"/>
            </w:tcBorders>
          </w:tcPr>
          <w:p w14:paraId="321E1E19" w14:textId="77777777" w:rsidR="009948F1" w:rsidRDefault="00BC0563">
            <w:pPr>
              <w:pStyle w:val="TableParagraph"/>
              <w:spacing w:before="5"/>
              <w:ind w:left="26"/>
              <w:rPr>
                <w:sz w:val="14"/>
              </w:rPr>
            </w:pPr>
            <w:r>
              <w:rPr>
                <w:color w:val="231F20"/>
                <w:w w:val="90"/>
                <w:sz w:val="14"/>
              </w:rPr>
              <w:t>Establish</w:t>
            </w:r>
            <w:r>
              <w:rPr>
                <w:color w:val="231F20"/>
                <w:spacing w:val="-15"/>
                <w:w w:val="90"/>
                <w:sz w:val="14"/>
              </w:rPr>
              <w:t xml:space="preserve"> </w:t>
            </w:r>
            <w:r>
              <w:rPr>
                <w:color w:val="231F20"/>
                <w:w w:val="90"/>
                <w:sz w:val="14"/>
              </w:rPr>
              <w:t>evidence-based</w:t>
            </w:r>
            <w:r>
              <w:rPr>
                <w:color w:val="231F20"/>
                <w:spacing w:val="-14"/>
                <w:w w:val="90"/>
                <w:sz w:val="14"/>
              </w:rPr>
              <w:t xml:space="preserve"> </w:t>
            </w:r>
            <w:r>
              <w:rPr>
                <w:color w:val="231F20"/>
                <w:w w:val="90"/>
                <w:sz w:val="14"/>
              </w:rPr>
              <w:t>staffing</w:t>
            </w:r>
            <w:r>
              <w:rPr>
                <w:color w:val="231F20"/>
                <w:spacing w:val="-14"/>
                <w:w w:val="90"/>
                <w:sz w:val="14"/>
              </w:rPr>
              <w:t xml:space="preserve"> </w:t>
            </w:r>
            <w:r>
              <w:rPr>
                <w:color w:val="231F20"/>
                <w:w w:val="90"/>
                <w:sz w:val="14"/>
              </w:rPr>
              <w:t>norms</w:t>
            </w:r>
            <w:r>
              <w:rPr>
                <w:color w:val="231F20"/>
                <w:spacing w:val="-14"/>
                <w:w w:val="90"/>
                <w:sz w:val="14"/>
              </w:rPr>
              <w:t xml:space="preserve"> </w:t>
            </w:r>
            <w:r>
              <w:rPr>
                <w:color w:val="231F20"/>
                <w:w w:val="90"/>
                <w:sz w:val="14"/>
              </w:rPr>
              <w:t>for</w:t>
            </w:r>
            <w:r>
              <w:rPr>
                <w:color w:val="231F20"/>
                <w:spacing w:val="-14"/>
                <w:w w:val="90"/>
                <w:sz w:val="14"/>
              </w:rPr>
              <w:t xml:space="preserve"> </w:t>
            </w:r>
            <w:r>
              <w:rPr>
                <w:color w:val="231F20"/>
                <w:w w:val="90"/>
                <w:sz w:val="14"/>
              </w:rPr>
              <w:t>all</w:t>
            </w:r>
            <w:r>
              <w:rPr>
                <w:color w:val="231F20"/>
                <w:spacing w:val="-14"/>
                <w:w w:val="90"/>
                <w:sz w:val="14"/>
              </w:rPr>
              <w:t xml:space="preserve"> </w:t>
            </w:r>
            <w:r>
              <w:rPr>
                <w:color w:val="231F20"/>
                <w:w w:val="90"/>
                <w:sz w:val="14"/>
              </w:rPr>
              <w:t>levels</w:t>
            </w:r>
            <w:r>
              <w:rPr>
                <w:color w:val="231F20"/>
                <w:spacing w:val="-14"/>
                <w:w w:val="90"/>
                <w:sz w:val="14"/>
              </w:rPr>
              <w:t xml:space="preserve"> </w:t>
            </w:r>
            <w:r>
              <w:rPr>
                <w:color w:val="231F20"/>
                <w:w w:val="90"/>
                <w:sz w:val="14"/>
              </w:rPr>
              <w:t>of</w:t>
            </w:r>
            <w:r>
              <w:rPr>
                <w:color w:val="231F20"/>
                <w:spacing w:val="-14"/>
                <w:w w:val="90"/>
                <w:sz w:val="14"/>
              </w:rPr>
              <w:t xml:space="preserve"> </w:t>
            </w:r>
            <w:r>
              <w:rPr>
                <w:color w:val="231F20"/>
                <w:w w:val="90"/>
                <w:sz w:val="14"/>
              </w:rPr>
              <w:t>human</w:t>
            </w:r>
            <w:r>
              <w:rPr>
                <w:color w:val="231F20"/>
                <w:spacing w:val="-14"/>
                <w:w w:val="90"/>
                <w:sz w:val="14"/>
              </w:rPr>
              <w:t xml:space="preserve"> </w:t>
            </w:r>
            <w:r>
              <w:rPr>
                <w:color w:val="231F20"/>
                <w:w w:val="90"/>
                <w:sz w:val="14"/>
              </w:rPr>
              <w:t>resources</w:t>
            </w:r>
            <w:r>
              <w:rPr>
                <w:color w:val="231F20"/>
                <w:spacing w:val="-14"/>
                <w:w w:val="90"/>
                <w:sz w:val="14"/>
              </w:rPr>
              <w:t xml:space="preserve"> </w:t>
            </w:r>
            <w:r>
              <w:rPr>
                <w:color w:val="231F20"/>
                <w:w w:val="90"/>
                <w:sz w:val="14"/>
              </w:rPr>
              <w:t>for</w:t>
            </w:r>
            <w:r>
              <w:rPr>
                <w:color w:val="231F20"/>
                <w:spacing w:val="-14"/>
                <w:w w:val="90"/>
                <w:sz w:val="14"/>
              </w:rPr>
              <w:t xml:space="preserve"> </w:t>
            </w:r>
            <w:r>
              <w:rPr>
                <w:color w:val="231F20"/>
                <w:w w:val="90"/>
                <w:sz w:val="14"/>
              </w:rPr>
              <w:t>health</w:t>
            </w:r>
            <w:r>
              <w:rPr>
                <w:color w:val="231F20"/>
                <w:spacing w:val="-14"/>
                <w:w w:val="90"/>
                <w:sz w:val="14"/>
              </w:rPr>
              <w:t xml:space="preserve"> </w:t>
            </w:r>
            <w:r>
              <w:rPr>
                <w:color w:val="231F20"/>
                <w:w w:val="90"/>
                <w:sz w:val="14"/>
              </w:rPr>
              <w:t>based</w:t>
            </w:r>
          </w:p>
          <w:p w14:paraId="48756C90" w14:textId="77777777" w:rsidR="009948F1" w:rsidRDefault="00BC0563">
            <w:pPr>
              <w:pStyle w:val="TableParagraph"/>
              <w:spacing w:before="19" w:line="144" w:lineRule="exact"/>
              <w:ind w:left="26"/>
              <w:rPr>
                <w:sz w:val="14"/>
              </w:rPr>
            </w:pPr>
            <w:r>
              <w:rPr>
                <w:color w:val="231F20"/>
                <w:w w:val="95"/>
                <w:sz w:val="14"/>
              </w:rPr>
              <w:t>on workload analysis</w:t>
            </w:r>
          </w:p>
        </w:tc>
        <w:tc>
          <w:tcPr>
            <w:tcW w:w="1457" w:type="dxa"/>
            <w:tcBorders>
              <w:top w:val="single" w:sz="6" w:space="0" w:color="231F20"/>
              <w:left w:val="single" w:sz="6" w:space="0" w:color="231F20"/>
              <w:bottom w:val="single" w:sz="6" w:space="0" w:color="231F20"/>
              <w:right w:val="single" w:sz="6" w:space="0" w:color="231F20"/>
            </w:tcBorders>
          </w:tcPr>
          <w:p w14:paraId="5BD2B517" w14:textId="77777777" w:rsidR="009948F1" w:rsidRDefault="00BC0563">
            <w:pPr>
              <w:pStyle w:val="TableParagraph"/>
              <w:spacing w:before="96"/>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3D7A18F5" w14:textId="77777777" w:rsidR="009948F1" w:rsidRDefault="00BC0563">
            <w:pPr>
              <w:pStyle w:val="TableParagraph"/>
              <w:spacing w:before="96"/>
              <w:ind w:left="27"/>
              <w:rPr>
                <w:sz w:val="14"/>
              </w:rPr>
            </w:pPr>
            <w:r>
              <w:rPr>
                <w:color w:val="231F20"/>
                <w:w w:val="95"/>
                <w:sz w:val="14"/>
              </w:rPr>
              <w:t>No cost</w:t>
            </w:r>
          </w:p>
        </w:tc>
      </w:tr>
      <w:tr w:rsidR="009948F1" w14:paraId="1653E7E2" w14:textId="77777777">
        <w:trPr>
          <w:trHeight w:val="500"/>
        </w:trPr>
        <w:tc>
          <w:tcPr>
            <w:tcW w:w="868" w:type="dxa"/>
            <w:gridSpan w:val="2"/>
            <w:vMerge/>
            <w:tcBorders>
              <w:top w:val="nil"/>
              <w:left w:val="single" w:sz="4" w:space="0" w:color="231F20"/>
              <w:bottom w:val="nil"/>
              <w:right w:val="single" w:sz="6" w:space="0" w:color="231F20"/>
            </w:tcBorders>
          </w:tcPr>
          <w:p w14:paraId="29E3C3F8"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1E1BD6A" w14:textId="77777777" w:rsidR="009948F1" w:rsidRDefault="009948F1">
            <w:pPr>
              <w:pStyle w:val="TableParagraph"/>
              <w:spacing w:before="11"/>
              <w:rPr>
                <w:sz w:val="14"/>
              </w:rPr>
            </w:pPr>
          </w:p>
          <w:p w14:paraId="6C2C4773" w14:textId="77777777" w:rsidR="009948F1" w:rsidRDefault="00BC0563">
            <w:pPr>
              <w:pStyle w:val="TableParagraph"/>
              <w:ind w:left="35" w:right="13"/>
              <w:jc w:val="center"/>
              <w:rPr>
                <w:sz w:val="14"/>
              </w:rPr>
            </w:pPr>
            <w:r>
              <w:rPr>
                <w:color w:val="231F20"/>
                <w:w w:val="95"/>
                <w:sz w:val="14"/>
              </w:rPr>
              <w:t>9.2.2.b</w:t>
            </w:r>
          </w:p>
        </w:tc>
        <w:tc>
          <w:tcPr>
            <w:tcW w:w="4998" w:type="dxa"/>
            <w:gridSpan w:val="2"/>
            <w:tcBorders>
              <w:top w:val="single" w:sz="6" w:space="0" w:color="231F20"/>
              <w:left w:val="single" w:sz="6" w:space="0" w:color="231F20"/>
              <w:bottom w:val="single" w:sz="6" w:space="0" w:color="231F20"/>
              <w:right w:val="single" w:sz="6" w:space="0" w:color="231F20"/>
            </w:tcBorders>
          </w:tcPr>
          <w:p w14:paraId="79BDEC9A" w14:textId="77777777" w:rsidR="009948F1" w:rsidRDefault="00BC0563">
            <w:pPr>
              <w:pStyle w:val="TableParagraph"/>
              <w:spacing w:before="75" w:line="268" w:lineRule="auto"/>
              <w:ind w:left="26" w:right="78"/>
              <w:rPr>
                <w:sz w:val="14"/>
              </w:rPr>
            </w:pPr>
            <w:r>
              <w:rPr>
                <w:color w:val="231F20"/>
                <w:w w:val="90"/>
                <w:sz w:val="14"/>
              </w:rPr>
              <w:t>Deploy/redeploy/recruit</w:t>
            </w:r>
            <w:r>
              <w:rPr>
                <w:color w:val="231F20"/>
                <w:spacing w:val="-22"/>
                <w:w w:val="90"/>
                <w:sz w:val="14"/>
              </w:rPr>
              <w:t xml:space="preserve"> </w:t>
            </w:r>
            <w:r>
              <w:rPr>
                <w:color w:val="231F20"/>
                <w:w w:val="90"/>
                <w:sz w:val="14"/>
              </w:rPr>
              <w:t>qualified</w:t>
            </w:r>
            <w:r>
              <w:rPr>
                <w:color w:val="231F20"/>
                <w:spacing w:val="-22"/>
                <w:w w:val="90"/>
                <w:sz w:val="14"/>
              </w:rPr>
              <w:t xml:space="preserve"> </w:t>
            </w:r>
            <w:r>
              <w:rPr>
                <w:color w:val="231F20"/>
                <w:w w:val="90"/>
                <w:sz w:val="14"/>
              </w:rPr>
              <w:t>personnel(Clinical</w:t>
            </w:r>
            <w:r>
              <w:rPr>
                <w:color w:val="231F20"/>
                <w:spacing w:val="-22"/>
                <w:w w:val="90"/>
                <w:sz w:val="14"/>
              </w:rPr>
              <w:t xml:space="preserve"> </w:t>
            </w:r>
            <w:r>
              <w:rPr>
                <w:color w:val="231F20"/>
                <w:w w:val="90"/>
                <w:sz w:val="14"/>
              </w:rPr>
              <w:t>and</w:t>
            </w:r>
            <w:r>
              <w:rPr>
                <w:color w:val="231F20"/>
                <w:spacing w:val="-22"/>
                <w:w w:val="90"/>
                <w:sz w:val="14"/>
              </w:rPr>
              <w:t xml:space="preserve"> </w:t>
            </w:r>
            <w:r>
              <w:rPr>
                <w:color w:val="231F20"/>
                <w:w w:val="90"/>
                <w:sz w:val="14"/>
              </w:rPr>
              <w:t>Non</w:t>
            </w:r>
            <w:r>
              <w:rPr>
                <w:color w:val="231F20"/>
                <w:spacing w:val="-22"/>
                <w:w w:val="90"/>
                <w:sz w:val="14"/>
              </w:rPr>
              <w:t xml:space="preserve"> </w:t>
            </w:r>
            <w:r>
              <w:rPr>
                <w:color w:val="231F20"/>
                <w:w w:val="90"/>
                <w:sz w:val="14"/>
              </w:rPr>
              <w:t>Clinical</w:t>
            </w:r>
            <w:r>
              <w:rPr>
                <w:color w:val="231F20"/>
                <w:spacing w:val="-22"/>
                <w:w w:val="90"/>
                <w:sz w:val="14"/>
              </w:rPr>
              <w:t xml:space="preserve"> </w:t>
            </w:r>
            <w:r>
              <w:rPr>
                <w:color w:val="231F20"/>
                <w:w w:val="90"/>
                <w:sz w:val="14"/>
              </w:rPr>
              <w:t>Staff)</w:t>
            </w:r>
            <w:r>
              <w:rPr>
                <w:color w:val="231F20"/>
                <w:spacing w:val="-22"/>
                <w:w w:val="90"/>
                <w:sz w:val="14"/>
              </w:rPr>
              <w:t xml:space="preserve"> </w:t>
            </w:r>
            <w:r>
              <w:rPr>
                <w:color w:val="231F20"/>
                <w:w w:val="90"/>
                <w:sz w:val="14"/>
              </w:rPr>
              <w:t>based</w:t>
            </w:r>
            <w:r>
              <w:rPr>
                <w:color w:val="231F20"/>
                <w:spacing w:val="-22"/>
                <w:w w:val="90"/>
                <w:sz w:val="14"/>
              </w:rPr>
              <w:t xml:space="preserve"> </w:t>
            </w:r>
            <w:r>
              <w:rPr>
                <w:color w:val="231F20"/>
                <w:w w:val="90"/>
                <w:sz w:val="14"/>
              </w:rPr>
              <w:t>on</w:t>
            </w:r>
            <w:r>
              <w:rPr>
                <w:color w:val="231F20"/>
                <w:spacing w:val="-22"/>
                <w:w w:val="90"/>
                <w:sz w:val="14"/>
              </w:rPr>
              <w:t xml:space="preserve"> </w:t>
            </w:r>
            <w:r>
              <w:rPr>
                <w:color w:val="231F20"/>
                <w:w w:val="90"/>
                <w:sz w:val="14"/>
              </w:rPr>
              <w:t xml:space="preserve">needs </w:t>
            </w:r>
            <w:r>
              <w:rPr>
                <w:color w:val="231F20"/>
                <w:w w:val="95"/>
                <w:sz w:val="14"/>
              </w:rPr>
              <w:t>and established</w:t>
            </w:r>
            <w:r>
              <w:rPr>
                <w:color w:val="231F20"/>
                <w:spacing w:val="-10"/>
                <w:w w:val="95"/>
                <w:sz w:val="14"/>
              </w:rPr>
              <w:t xml:space="preserve"> </w:t>
            </w:r>
            <w:r>
              <w:rPr>
                <w:color w:val="231F20"/>
                <w:w w:val="95"/>
                <w:sz w:val="14"/>
              </w:rPr>
              <w:t>gaps</w:t>
            </w:r>
          </w:p>
        </w:tc>
        <w:tc>
          <w:tcPr>
            <w:tcW w:w="1457" w:type="dxa"/>
            <w:tcBorders>
              <w:top w:val="single" w:sz="6" w:space="0" w:color="231F20"/>
              <w:left w:val="single" w:sz="6" w:space="0" w:color="231F20"/>
              <w:bottom w:val="single" w:sz="6" w:space="0" w:color="231F20"/>
              <w:right w:val="single" w:sz="6" w:space="0" w:color="231F20"/>
            </w:tcBorders>
          </w:tcPr>
          <w:p w14:paraId="062ACA75" w14:textId="77777777" w:rsidR="009948F1" w:rsidRDefault="009948F1">
            <w:pPr>
              <w:pStyle w:val="TableParagraph"/>
              <w:spacing w:before="11"/>
              <w:rPr>
                <w:sz w:val="14"/>
              </w:rPr>
            </w:pPr>
          </w:p>
          <w:p w14:paraId="32A59D62" w14:textId="77777777" w:rsidR="009948F1" w:rsidRDefault="00BC0563">
            <w:pPr>
              <w:pStyle w:val="TableParagraph"/>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169378E5" w14:textId="77777777" w:rsidR="009948F1" w:rsidRDefault="009948F1">
            <w:pPr>
              <w:pStyle w:val="TableParagraph"/>
              <w:spacing w:before="11"/>
              <w:rPr>
                <w:sz w:val="14"/>
              </w:rPr>
            </w:pPr>
          </w:p>
          <w:p w14:paraId="329196D3" w14:textId="77777777" w:rsidR="009948F1" w:rsidRDefault="00BC0563">
            <w:pPr>
              <w:pStyle w:val="TableParagraph"/>
              <w:ind w:left="27"/>
              <w:rPr>
                <w:sz w:val="14"/>
              </w:rPr>
            </w:pPr>
            <w:r>
              <w:rPr>
                <w:color w:val="231F20"/>
                <w:w w:val="95"/>
                <w:sz w:val="14"/>
              </w:rPr>
              <w:t>Costed in OHT</w:t>
            </w:r>
          </w:p>
        </w:tc>
      </w:tr>
      <w:tr w:rsidR="009948F1" w14:paraId="57F66F9B" w14:textId="77777777">
        <w:trPr>
          <w:trHeight w:val="353"/>
        </w:trPr>
        <w:tc>
          <w:tcPr>
            <w:tcW w:w="868" w:type="dxa"/>
            <w:gridSpan w:val="2"/>
            <w:vMerge/>
            <w:tcBorders>
              <w:top w:val="nil"/>
              <w:left w:val="single" w:sz="4" w:space="0" w:color="231F20"/>
              <w:bottom w:val="nil"/>
              <w:right w:val="single" w:sz="6" w:space="0" w:color="231F20"/>
            </w:tcBorders>
          </w:tcPr>
          <w:p w14:paraId="2BF38AAA"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391B7320" w14:textId="77777777" w:rsidR="009948F1" w:rsidRDefault="00BC0563">
            <w:pPr>
              <w:pStyle w:val="TableParagraph"/>
              <w:spacing w:before="99"/>
              <w:ind w:left="35" w:right="12"/>
              <w:jc w:val="center"/>
              <w:rPr>
                <w:sz w:val="14"/>
              </w:rPr>
            </w:pPr>
            <w:r>
              <w:rPr>
                <w:color w:val="231F20"/>
                <w:w w:val="95"/>
                <w:sz w:val="14"/>
              </w:rPr>
              <w:t>9.2.2.c</w:t>
            </w:r>
          </w:p>
        </w:tc>
        <w:tc>
          <w:tcPr>
            <w:tcW w:w="4998" w:type="dxa"/>
            <w:gridSpan w:val="2"/>
            <w:tcBorders>
              <w:top w:val="single" w:sz="6" w:space="0" w:color="231F20"/>
              <w:left w:val="single" w:sz="6" w:space="0" w:color="231F20"/>
              <w:bottom w:val="single" w:sz="6" w:space="0" w:color="231F20"/>
              <w:right w:val="single" w:sz="6" w:space="0" w:color="231F20"/>
            </w:tcBorders>
          </w:tcPr>
          <w:p w14:paraId="6D1C6485" w14:textId="77777777" w:rsidR="009948F1" w:rsidRDefault="00BC0563">
            <w:pPr>
              <w:pStyle w:val="TableParagraph"/>
              <w:spacing w:before="5"/>
              <w:ind w:left="26"/>
              <w:rPr>
                <w:sz w:val="14"/>
              </w:rPr>
            </w:pPr>
            <w:r>
              <w:rPr>
                <w:color w:val="231F20"/>
                <w:w w:val="90"/>
                <w:sz w:val="14"/>
              </w:rPr>
              <w:t>Train</w:t>
            </w:r>
            <w:r>
              <w:rPr>
                <w:color w:val="231F20"/>
                <w:spacing w:val="-16"/>
                <w:w w:val="90"/>
                <w:sz w:val="14"/>
              </w:rPr>
              <w:t xml:space="preserve"> </w:t>
            </w:r>
            <w:r>
              <w:rPr>
                <w:color w:val="231F20"/>
                <w:w w:val="90"/>
                <w:sz w:val="14"/>
              </w:rPr>
              <w:t>and</w:t>
            </w:r>
            <w:r>
              <w:rPr>
                <w:color w:val="231F20"/>
                <w:spacing w:val="-16"/>
                <w:w w:val="90"/>
                <w:sz w:val="14"/>
              </w:rPr>
              <w:t xml:space="preserve"> </w:t>
            </w:r>
            <w:r>
              <w:rPr>
                <w:color w:val="231F20"/>
                <w:w w:val="90"/>
                <w:sz w:val="14"/>
              </w:rPr>
              <w:t>retrain</w:t>
            </w:r>
            <w:r>
              <w:rPr>
                <w:color w:val="231F20"/>
                <w:spacing w:val="-16"/>
                <w:w w:val="90"/>
                <w:sz w:val="14"/>
              </w:rPr>
              <w:t xml:space="preserve"> </w:t>
            </w:r>
            <w:r>
              <w:rPr>
                <w:color w:val="231F20"/>
                <w:w w:val="90"/>
                <w:sz w:val="14"/>
              </w:rPr>
              <w:t>healthcare</w:t>
            </w:r>
            <w:r>
              <w:rPr>
                <w:color w:val="231F20"/>
                <w:spacing w:val="-15"/>
                <w:w w:val="90"/>
                <w:sz w:val="14"/>
              </w:rPr>
              <w:t xml:space="preserve"> </w:t>
            </w:r>
            <w:r>
              <w:rPr>
                <w:color w:val="231F20"/>
                <w:w w:val="90"/>
                <w:sz w:val="14"/>
              </w:rPr>
              <w:t>personnel</w:t>
            </w:r>
            <w:r>
              <w:rPr>
                <w:color w:val="231F20"/>
                <w:spacing w:val="-16"/>
                <w:w w:val="90"/>
                <w:sz w:val="14"/>
              </w:rPr>
              <w:t xml:space="preserve"> </w:t>
            </w:r>
            <w:r>
              <w:rPr>
                <w:color w:val="231F20"/>
                <w:w w:val="90"/>
                <w:sz w:val="14"/>
              </w:rPr>
              <w:t>for</w:t>
            </w:r>
            <w:r>
              <w:rPr>
                <w:color w:val="231F20"/>
                <w:spacing w:val="-16"/>
                <w:w w:val="90"/>
                <w:sz w:val="14"/>
              </w:rPr>
              <w:t xml:space="preserve"> </w:t>
            </w:r>
            <w:r>
              <w:rPr>
                <w:color w:val="231F20"/>
                <w:w w:val="90"/>
                <w:sz w:val="14"/>
              </w:rPr>
              <w:t>effective</w:t>
            </w:r>
            <w:r>
              <w:rPr>
                <w:color w:val="231F20"/>
                <w:spacing w:val="-16"/>
                <w:w w:val="90"/>
                <w:sz w:val="14"/>
              </w:rPr>
              <w:t xml:space="preserve"> </w:t>
            </w:r>
            <w:r>
              <w:rPr>
                <w:color w:val="231F20"/>
                <w:w w:val="90"/>
                <w:sz w:val="14"/>
              </w:rPr>
              <w:t>and</w:t>
            </w:r>
            <w:r>
              <w:rPr>
                <w:color w:val="231F20"/>
                <w:spacing w:val="-15"/>
                <w:w w:val="90"/>
                <w:sz w:val="14"/>
              </w:rPr>
              <w:t xml:space="preserve"> </w:t>
            </w:r>
            <w:r>
              <w:rPr>
                <w:color w:val="231F20"/>
                <w:w w:val="90"/>
                <w:sz w:val="14"/>
              </w:rPr>
              <w:t>efficient</w:t>
            </w:r>
            <w:r>
              <w:rPr>
                <w:color w:val="231F20"/>
                <w:spacing w:val="-16"/>
                <w:w w:val="90"/>
                <w:sz w:val="14"/>
              </w:rPr>
              <w:t xml:space="preserve"> </w:t>
            </w:r>
            <w:r>
              <w:rPr>
                <w:color w:val="231F20"/>
                <w:w w:val="90"/>
                <w:sz w:val="14"/>
              </w:rPr>
              <w:t>staff</w:t>
            </w:r>
            <w:r>
              <w:rPr>
                <w:color w:val="231F20"/>
                <w:spacing w:val="-16"/>
                <w:w w:val="90"/>
                <w:sz w:val="14"/>
              </w:rPr>
              <w:t xml:space="preserve"> </w:t>
            </w:r>
            <w:r>
              <w:rPr>
                <w:color w:val="231F20"/>
                <w:w w:val="90"/>
                <w:sz w:val="14"/>
              </w:rPr>
              <w:t>utilization</w:t>
            </w:r>
            <w:r>
              <w:rPr>
                <w:color w:val="231F20"/>
                <w:spacing w:val="-16"/>
                <w:w w:val="90"/>
                <w:sz w:val="14"/>
              </w:rPr>
              <w:t xml:space="preserve"> </w:t>
            </w:r>
            <w:r>
              <w:rPr>
                <w:color w:val="231F20"/>
                <w:w w:val="90"/>
                <w:sz w:val="14"/>
              </w:rPr>
              <w:t>according</w:t>
            </w:r>
            <w:r>
              <w:rPr>
                <w:color w:val="231F20"/>
                <w:spacing w:val="-15"/>
                <w:w w:val="90"/>
                <w:sz w:val="14"/>
              </w:rPr>
              <w:t xml:space="preserve"> </w:t>
            </w:r>
            <w:r>
              <w:rPr>
                <w:color w:val="231F20"/>
                <w:w w:val="90"/>
                <w:sz w:val="14"/>
              </w:rPr>
              <w:t>to</w:t>
            </w:r>
          </w:p>
          <w:p w14:paraId="7549309C" w14:textId="6F70E4BC" w:rsidR="009948F1" w:rsidRDefault="00BC0563">
            <w:pPr>
              <w:pStyle w:val="TableParagraph"/>
              <w:spacing w:before="19" w:line="148" w:lineRule="exact"/>
              <w:ind w:left="26"/>
              <w:rPr>
                <w:sz w:val="14"/>
              </w:rPr>
            </w:pPr>
            <w:r>
              <w:rPr>
                <w:color w:val="231F20"/>
                <w:w w:val="95"/>
                <w:sz w:val="14"/>
              </w:rPr>
              <w:t>training</w:t>
            </w:r>
            <w:r>
              <w:rPr>
                <w:color w:val="231F20"/>
                <w:spacing w:val="-25"/>
                <w:w w:val="95"/>
                <w:sz w:val="14"/>
              </w:rPr>
              <w:t xml:space="preserve"> </w:t>
            </w:r>
            <w:r>
              <w:rPr>
                <w:color w:val="231F20"/>
                <w:w w:val="95"/>
                <w:sz w:val="14"/>
              </w:rPr>
              <w:t>needs</w:t>
            </w:r>
            <w:r>
              <w:rPr>
                <w:color w:val="231F20"/>
                <w:spacing w:val="-24"/>
                <w:w w:val="95"/>
                <w:sz w:val="14"/>
              </w:rPr>
              <w:t xml:space="preserve"> </w:t>
            </w:r>
            <w:r>
              <w:rPr>
                <w:color w:val="231F20"/>
                <w:w w:val="95"/>
                <w:sz w:val="14"/>
              </w:rPr>
              <w:t>(</w:t>
            </w:r>
            <w:proofErr w:type="gramStart"/>
            <w:r>
              <w:rPr>
                <w:color w:val="231F20"/>
                <w:w w:val="95"/>
                <w:sz w:val="14"/>
              </w:rPr>
              <w:t>e.g.</w:t>
            </w:r>
            <w:proofErr w:type="gramEnd"/>
            <w:r>
              <w:rPr>
                <w:color w:val="231F20"/>
                <w:spacing w:val="-25"/>
                <w:w w:val="95"/>
                <w:sz w:val="14"/>
              </w:rPr>
              <w:t xml:space="preserve"> </w:t>
            </w:r>
            <w:r>
              <w:rPr>
                <w:color w:val="231F20"/>
                <w:w w:val="95"/>
                <w:sz w:val="14"/>
              </w:rPr>
              <w:t>Train</w:t>
            </w:r>
            <w:r>
              <w:rPr>
                <w:color w:val="231F20"/>
                <w:spacing w:val="-24"/>
                <w:w w:val="95"/>
                <w:sz w:val="14"/>
              </w:rPr>
              <w:t xml:space="preserve"> </w:t>
            </w:r>
            <w:r>
              <w:rPr>
                <w:color w:val="231F20"/>
                <w:w w:val="95"/>
                <w:sz w:val="14"/>
              </w:rPr>
              <w:t>SPHCDA</w:t>
            </w:r>
            <w:r>
              <w:rPr>
                <w:color w:val="231F20"/>
                <w:spacing w:val="-27"/>
                <w:w w:val="95"/>
                <w:sz w:val="14"/>
              </w:rPr>
              <w:t xml:space="preserve"> </w:t>
            </w:r>
            <w:r>
              <w:rPr>
                <w:color w:val="231F20"/>
                <w:w w:val="95"/>
                <w:sz w:val="14"/>
              </w:rPr>
              <w:t>staff</w:t>
            </w:r>
            <w:r>
              <w:rPr>
                <w:color w:val="231F20"/>
                <w:spacing w:val="-24"/>
                <w:w w:val="95"/>
                <w:sz w:val="14"/>
              </w:rPr>
              <w:t xml:space="preserve"> </w:t>
            </w:r>
            <w:r>
              <w:rPr>
                <w:color w:val="231F20"/>
                <w:w w:val="95"/>
                <w:sz w:val="14"/>
              </w:rPr>
              <w:t>on</w:t>
            </w:r>
            <w:r>
              <w:rPr>
                <w:color w:val="231F20"/>
                <w:spacing w:val="-25"/>
                <w:w w:val="95"/>
                <w:sz w:val="14"/>
              </w:rPr>
              <w:t xml:space="preserve"> </w:t>
            </w:r>
            <w:r>
              <w:rPr>
                <w:color w:val="231F20"/>
                <w:w w:val="95"/>
                <w:sz w:val="14"/>
              </w:rPr>
              <w:t>IMCI</w:t>
            </w:r>
            <w:r>
              <w:rPr>
                <w:color w:val="231F20"/>
                <w:spacing w:val="-24"/>
                <w:w w:val="95"/>
                <w:sz w:val="14"/>
              </w:rPr>
              <w:t xml:space="preserve"> </w:t>
            </w:r>
            <w:r>
              <w:rPr>
                <w:color w:val="231F20"/>
                <w:w w:val="95"/>
                <w:sz w:val="14"/>
              </w:rPr>
              <w:t>and</w:t>
            </w:r>
            <w:r>
              <w:rPr>
                <w:color w:val="231F20"/>
                <w:spacing w:val="-24"/>
                <w:w w:val="95"/>
                <w:sz w:val="14"/>
              </w:rPr>
              <w:t xml:space="preserve"> </w:t>
            </w:r>
            <w:r>
              <w:rPr>
                <w:color w:val="231F20"/>
                <w:w w:val="95"/>
                <w:sz w:val="14"/>
              </w:rPr>
              <w:t>Community</w:t>
            </w:r>
            <w:r>
              <w:rPr>
                <w:color w:val="231F20"/>
                <w:spacing w:val="-25"/>
                <w:w w:val="95"/>
                <w:sz w:val="14"/>
              </w:rPr>
              <w:t xml:space="preserve"> </w:t>
            </w:r>
            <w:r>
              <w:rPr>
                <w:color w:val="231F20"/>
                <w:w w:val="95"/>
                <w:sz w:val="14"/>
              </w:rPr>
              <w:t>IMCI,</w:t>
            </w:r>
            <w:r>
              <w:rPr>
                <w:color w:val="231F20"/>
                <w:spacing w:val="-24"/>
                <w:w w:val="95"/>
                <w:sz w:val="14"/>
              </w:rPr>
              <w:t xml:space="preserve"> </w:t>
            </w:r>
            <w:r>
              <w:rPr>
                <w:color w:val="231F20"/>
                <w:w w:val="95"/>
                <w:sz w:val="14"/>
              </w:rPr>
              <w:t>LSS,</w:t>
            </w:r>
            <w:r>
              <w:rPr>
                <w:color w:val="231F20"/>
                <w:spacing w:val="-24"/>
                <w:w w:val="95"/>
                <w:sz w:val="14"/>
              </w:rPr>
              <w:t xml:space="preserve"> </w:t>
            </w:r>
            <w:r>
              <w:rPr>
                <w:color w:val="231F20"/>
                <w:w w:val="95"/>
                <w:sz w:val="14"/>
              </w:rPr>
              <w:t>MLSS</w:t>
            </w:r>
            <w:r>
              <w:rPr>
                <w:color w:val="231F20"/>
                <w:spacing w:val="-24"/>
                <w:w w:val="95"/>
                <w:sz w:val="14"/>
              </w:rPr>
              <w:t xml:space="preserve"> </w:t>
            </w:r>
            <w:r w:rsidR="00661EED">
              <w:rPr>
                <w:color w:val="231F20"/>
                <w:w w:val="95"/>
                <w:sz w:val="14"/>
              </w:rPr>
              <w:t>etc.</w:t>
            </w:r>
            <w:r>
              <w:rPr>
                <w:color w:val="231F20"/>
                <w:w w:val="95"/>
                <w:sz w:val="14"/>
              </w:rPr>
              <w:t>)</w:t>
            </w:r>
          </w:p>
        </w:tc>
        <w:tc>
          <w:tcPr>
            <w:tcW w:w="1457" w:type="dxa"/>
            <w:tcBorders>
              <w:top w:val="single" w:sz="6" w:space="0" w:color="231F20"/>
              <w:left w:val="single" w:sz="6" w:space="0" w:color="231F20"/>
              <w:bottom w:val="single" w:sz="6" w:space="0" w:color="231F20"/>
              <w:right w:val="single" w:sz="6" w:space="0" w:color="231F20"/>
            </w:tcBorders>
          </w:tcPr>
          <w:p w14:paraId="13DAB8E6" w14:textId="77777777" w:rsidR="009948F1" w:rsidRDefault="00BC0563">
            <w:pPr>
              <w:pStyle w:val="TableParagraph"/>
              <w:spacing w:before="99"/>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48F41C81" w14:textId="77777777" w:rsidR="009948F1" w:rsidRDefault="00BC0563">
            <w:pPr>
              <w:pStyle w:val="TableParagraph"/>
              <w:spacing w:before="99"/>
              <w:ind w:left="27"/>
              <w:rPr>
                <w:sz w:val="14"/>
              </w:rPr>
            </w:pPr>
            <w:r>
              <w:rPr>
                <w:color w:val="231F20"/>
                <w:w w:val="95"/>
                <w:sz w:val="14"/>
              </w:rPr>
              <w:t>Train and re-train</w:t>
            </w:r>
          </w:p>
        </w:tc>
      </w:tr>
      <w:tr w:rsidR="009948F1" w14:paraId="7E542138" w14:textId="77777777">
        <w:trPr>
          <w:trHeight w:val="527"/>
        </w:trPr>
        <w:tc>
          <w:tcPr>
            <w:tcW w:w="868" w:type="dxa"/>
            <w:gridSpan w:val="2"/>
            <w:vMerge/>
            <w:tcBorders>
              <w:top w:val="nil"/>
              <w:left w:val="single" w:sz="4" w:space="0" w:color="231F20"/>
              <w:bottom w:val="nil"/>
              <w:right w:val="single" w:sz="6" w:space="0" w:color="231F20"/>
            </w:tcBorders>
          </w:tcPr>
          <w:p w14:paraId="242478FC"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6420FB3" w14:textId="77777777" w:rsidR="009948F1" w:rsidRDefault="009948F1">
            <w:pPr>
              <w:pStyle w:val="TableParagraph"/>
              <w:spacing w:before="1"/>
              <w:rPr>
                <w:sz w:val="16"/>
              </w:rPr>
            </w:pPr>
          </w:p>
          <w:p w14:paraId="4F6109B0" w14:textId="77777777" w:rsidR="009948F1" w:rsidRDefault="00BC0563">
            <w:pPr>
              <w:pStyle w:val="TableParagraph"/>
              <w:ind w:left="35" w:right="13"/>
              <w:jc w:val="center"/>
              <w:rPr>
                <w:sz w:val="14"/>
              </w:rPr>
            </w:pPr>
            <w:r>
              <w:rPr>
                <w:color w:val="231F20"/>
                <w:w w:val="95"/>
                <w:sz w:val="14"/>
              </w:rPr>
              <w:t>9.2.2.d</w:t>
            </w:r>
          </w:p>
        </w:tc>
        <w:tc>
          <w:tcPr>
            <w:tcW w:w="4998" w:type="dxa"/>
            <w:gridSpan w:val="2"/>
            <w:tcBorders>
              <w:top w:val="single" w:sz="6" w:space="0" w:color="231F20"/>
              <w:left w:val="single" w:sz="6" w:space="0" w:color="231F20"/>
              <w:bottom w:val="single" w:sz="6" w:space="0" w:color="231F20"/>
              <w:right w:val="single" w:sz="6" w:space="0" w:color="231F20"/>
            </w:tcBorders>
          </w:tcPr>
          <w:p w14:paraId="58BD7F99" w14:textId="77777777" w:rsidR="009948F1" w:rsidRDefault="00BC0563">
            <w:pPr>
              <w:pStyle w:val="TableParagraph"/>
              <w:spacing w:before="88" w:line="268" w:lineRule="auto"/>
              <w:ind w:left="26" w:right="62"/>
              <w:rPr>
                <w:sz w:val="14"/>
              </w:rPr>
            </w:pPr>
            <w:r>
              <w:rPr>
                <w:color w:val="231F20"/>
                <w:w w:val="90"/>
                <w:sz w:val="14"/>
              </w:rPr>
              <w:t>Conduct</w:t>
            </w:r>
            <w:r>
              <w:rPr>
                <w:color w:val="231F20"/>
                <w:spacing w:val="-17"/>
                <w:w w:val="90"/>
                <w:sz w:val="14"/>
              </w:rPr>
              <w:t xml:space="preserve"> </w:t>
            </w:r>
            <w:r>
              <w:rPr>
                <w:color w:val="231F20"/>
                <w:w w:val="90"/>
                <w:sz w:val="14"/>
              </w:rPr>
              <w:t>periodic</w:t>
            </w:r>
            <w:r>
              <w:rPr>
                <w:color w:val="231F20"/>
                <w:spacing w:val="-17"/>
                <w:w w:val="90"/>
                <w:sz w:val="14"/>
              </w:rPr>
              <w:t xml:space="preserve"> </w:t>
            </w:r>
            <w:r>
              <w:rPr>
                <w:color w:val="231F20"/>
                <w:w w:val="90"/>
                <w:sz w:val="14"/>
              </w:rPr>
              <w:t>integrated</w:t>
            </w:r>
            <w:r>
              <w:rPr>
                <w:color w:val="231F20"/>
                <w:spacing w:val="-17"/>
                <w:w w:val="90"/>
                <w:sz w:val="14"/>
              </w:rPr>
              <w:t xml:space="preserve"> </w:t>
            </w:r>
            <w:r>
              <w:rPr>
                <w:color w:val="231F20"/>
                <w:w w:val="90"/>
                <w:sz w:val="14"/>
              </w:rPr>
              <w:t>supportive</w:t>
            </w:r>
            <w:r>
              <w:rPr>
                <w:color w:val="231F20"/>
                <w:spacing w:val="-17"/>
                <w:w w:val="90"/>
                <w:sz w:val="14"/>
              </w:rPr>
              <w:t xml:space="preserve"> </w:t>
            </w:r>
            <w:r>
              <w:rPr>
                <w:color w:val="231F20"/>
                <w:w w:val="90"/>
                <w:sz w:val="14"/>
              </w:rPr>
              <w:t>supervision</w:t>
            </w:r>
            <w:r>
              <w:rPr>
                <w:color w:val="231F20"/>
                <w:spacing w:val="-17"/>
                <w:w w:val="90"/>
                <w:sz w:val="14"/>
              </w:rPr>
              <w:t xml:space="preserve"> </w:t>
            </w:r>
            <w:r>
              <w:rPr>
                <w:color w:val="231F20"/>
                <w:w w:val="90"/>
                <w:sz w:val="14"/>
              </w:rPr>
              <w:t>(ISS)</w:t>
            </w:r>
            <w:r>
              <w:rPr>
                <w:color w:val="231F20"/>
                <w:spacing w:val="-17"/>
                <w:w w:val="90"/>
                <w:sz w:val="14"/>
              </w:rPr>
              <w:t xml:space="preserve"> </w:t>
            </w:r>
            <w:r>
              <w:rPr>
                <w:color w:val="231F20"/>
                <w:w w:val="90"/>
                <w:sz w:val="14"/>
              </w:rPr>
              <w:t>to</w:t>
            </w:r>
            <w:r>
              <w:rPr>
                <w:color w:val="231F20"/>
                <w:spacing w:val="-17"/>
                <w:w w:val="90"/>
                <w:sz w:val="14"/>
              </w:rPr>
              <w:t xml:space="preserve"> </w:t>
            </w:r>
            <w:r>
              <w:rPr>
                <w:color w:val="231F20"/>
                <w:w w:val="90"/>
                <w:sz w:val="14"/>
              </w:rPr>
              <w:t>all</w:t>
            </w:r>
            <w:r>
              <w:rPr>
                <w:color w:val="231F20"/>
                <w:spacing w:val="-16"/>
                <w:w w:val="90"/>
                <w:sz w:val="14"/>
              </w:rPr>
              <w:t xml:space="preserve"> </w:t>
            </w:r>
            <w:r>
              <w:rPr>
                <w:color w:val="231F20"/>
                <w:w w:val="90"/>
                <w:sz w:val="14"/>
              </w:rPr>
              <w:t>health</w:t>
            </w:r>
            <w:r>
              <w:rPr>
                <w:color w:val="231F20"/>
                <w:spacing w:val="-17"/>
                <w:w w:val="90"/>
                <w:sz w:val="14"/>
              </w:rPr>
              <w:t xml:space="preserve"> </w:t>
            </w:r>
            <w:proofErr w:type="spellStart"/>
            <w:r>
              <w:rPr>
                <w:color w:val="231F20"/>
                <w:w w:val="90"/>
                <w:sz w:val="14"/>
              </w:rPr>
              <w:t>cadre</w:t>
            </w:r>
            <w:proofErr w:type="spellEnd"/>
            <w:r>
              <w:rPr>
                <w:color w:val="231F20"/>
                <w:spacing w:val="-17"/>
                <w:w w:val="90"/>
                <w:sz w:val="14"/>
              </w:rPr>
              <w:t xml:space="preserve"> </w:t>
            </w:r>
            <w:r>
              <w:rPr>
                <w:color w:val="231F20"/>
                <w:w w:val="90"/>
                <w:sz w:val="14"/>
              </w:rPr>
              <w:t>and</w:t>
            </w:r>
            <w:r>
              <w:rPr>
                <w:color w:val="231F20"/>
                <w:spacing w:val="-17"/>
                <w:w w:val="90"/>
                <w:sz w:val="14"/>
              </w:rPr>
              <w:t xml:space="preserve"> </w:t>
            </w:r>
            <w:r>
              <w:rPr>
                <w:color w:val="231F20"/>
                <w:w w:val="90"/>
                <w:sz w:val="14"/>
              </w:rPr>
              <w:t>facilities</w:t>
            </w:r>
            <w:r>
              <w:rPr>
                <w:color w:val="231F20"/>
                <w:spacing w:val="-17"/>
                <w:w w:val="90"/>
                <w:sz w:val="14"/>
              </w:rPr>
              <w:t xml:space="preserve"> </w:t>
            </w:r>
            <w:r>
              <w:rPr>
                <w:color w:val="231F20"/>
                <w:w w:val="90"/>
                <w:sz w:val="14"/>
              </w:rPr>
              <w:t xml:space="preserve">by </w:t>
            </w:r>
            <w:r>
              <w:rPr>
                <w:color w:val="231F20"/>
                <w:w w:val="95"/>
                <w:sz w:val="14"/>
              </w:rPr>
              <w:t>the multi-sectoral coordinating</w:t>
            </w:r>
            <w:r>
              <w:rPr>
                <w:color w:val="231F20"/>
                <w:spacing w:val="-19"/>
                <w:w w:val="95"/>
                <w:sz w:val="14"/>
              </w:rPr>
              <w:t xml:space="preserve"> </w:t>
            </w:r>
            <w:r>
              <w:rPr>
                <w:color w:val="231F20"/>
                <w:w w:val="95"/>
                <w:sz w:val="14"/>
              </w:rPr>
              <w:t>body.</w:t>
            </w:r>
          </w:p>
        </w:tc>
        <w:tc>
          <w:tcPr>
            <w:tcW w:w="1457" w:type="dxa"/>
            <w:tcBorders>
              <w:top w:val="single" w:sz="6" w:space="0" w:color="231F20"/>
              <w:left w:val="single" w:sz="6" w:space="0" w:color="231F20"/>
              <w:bottom w:val="single" w:sz="6" w:space="0" w:color="231F20"/>
              <w:right w:val="single" w:sz="6" w:space="0" w:color="231F20"/>
            </w:tcBorders>
          </w:tcPr>
          <w:p w14:paraId="78D5088A" w14:textId="77777777" w:rsidR="009948F1" w:rsidRDefault="009948F1">
            <w:pPr>
              <w:pStyle w:val="TableParagraph"/>
              <w:spacing w:before="1"/>
              <w:rPr>
                <w:sz w:val="16"/>
              </w:rPr>
            </w:pPr>
          </w:p>
          <w:p w14:paraId="1FB58EEB" w14:textId="77777777" w:rsidR="009948F1" w:rsidRDefault="00BC0563">
            <w:pPr>
              <w:pStyle w:val="TableParagraph"/>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13389FB8" w14:textId="77777777" w:rsidR="009948F1" w:rsidRDefault="00BC0563">
            <w:pPr>
              <w:pStyle w:val="TableParagraph"/>
              <w:spacing w:before="94" w:line="268" w:lineRule="auto"/>
              <w:ind w:left="27"/>
              <w:rPr>
                <w:sz w:val="14"/>
              </w:rPr>
            </w:pPr>
            <w:r>
              <w:rPr>
                <w:color w:val="231F20"/>
                <w:w w:val="95"/>
                <w:sz w:val="14"/>
              </w:rPr>
              <w:t xml:space="preserve">Conduct Integrated </w:t>
            </w:r>
            <w:r>
              <w:rPr>
                <w:color w:val="231F20"/>
                <w:w w:val="85"/>
                <w:sz w:val="14"/>
              </w:rPr>
              <w:t>Supportive Supervision</w:t>
            </w:r>
          </w:p>
        </w:tc>
      </w:tr>
      <w:tr w:rsidR="009948F1" w14:paraId="550C6F26" w14:textId="77777777">
        <w:trPr>
          <w:trHeight w:val="687"/>
        </w:trPr>
        <w:tc>
          <w:tcPr>
            <w:tcW w:w="404" w:type="dxa"/>
            <w:tcBorders>
              <w:top w:val="nil"/>
              <w:left w:val="single" w:sz="4" w:space="0" w:color="231F20"/>
              <w:bottom w:val="nil"/>
              <w:right w:val="single" w:sz="6" w:space="0" w:color="231F20"/>
            </w:tcBorders>
          </w:tcPr>
          <w:p w14:paraId="7C8B5734"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089D5B75" w14:textId="77777777" w:rsidR="009948F1" w:rsidRDefault="009948F1">
            <w:pPr>
              <w:pStyle w:val="TableParagraph"/>
              <w:rPr>
                <w:sz w:val="14"/>
              </w:rPr>
            </w:pPr>
          </w:p>
          <w:p w14:paraId="17CA4AD5" w14:textId="77777777" w:rsidR="009948F1" w:rsidRDefault="00BC0563">
            <w:pPr>
              <w:pStyle w:val="TableParagraph"/>
              <w:spacing w:before="104"/>
              <w:ind w:left="59"/>
              <w:rPr>
                <w:sz w:val="14"/>
              </w:rPr>
            </w:pPr>
            <w:r>
              <w:rPr>
                <w:color w:val="231F20"/>
                <w:w w:val="95"/>
                <w:sz w:val="14"/>
              </w:rPr>
              <w:t>9.2.3</w:t>
            </w:r>
          </w:p>
        </w:tc>
        <w:tc>
          <w:tcPr>
            <w:tcW w:w="310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6A5911D" w14:textId="77777777" w:rsidR="009948F1" w:rsidRDefault="009948F1">
            <w:pPr>
              <w:pStyle w:val="TableParagraph"/>
              <w:spacing w:before="8"/>
              <w:rPr>
                <w:sz w:val="14"/>
              </w:rPr>
            </w:pPr>
          </w:p>
          <w:p w14:paraId="58BCE72A" w14:textId="77777777" w:rsidR="009948F1" w:rsidRDefault="00BC0563">
            <w:pPr>
              <w:pStyle w:val="TableParagraph"/>
              <w:spacing w:line="268" w:lineRule="auto"/>
              <w:ind w:left="26" w:right="141" w:firstLine="67"/>
              <w:rPr>
                <w:sz w:val="14"/>
              </w:rPr>
            </w:pPr>
            <w:r>
              <w:rPr>
                <w:color w:val="231F20"/>
                <w:w w:val="90"/>
                <w:sz w:val="14"/>
              </w:rPr>
              <w:t>Improve</w:t>
            </w:r>
            <w:r>
              <w:rPr>
                <w:color w:val="231F20"/>
                <w:spacing w:val="-17"/>
                <w:w w:val="90"/>
                <w:sz w:val="14"/>
              </w:rPr>
              <w:t xml:space="preserve"> </w:t>
            </w:r>
            <w:r>
              <w:rPr>
                <w:color w:val="231F20"/>
                <w:w w:val="90"/>
                <w:sz w:val="14"/>
              </w:rPr>
              <w:t>gender</w:t>
            </w:r>
            <w:r>
              <w:rPr>
                <w:color w:val="231F20"/>
                <w:spacing w:val="-17"/>
                <w:w w:val="90"/>
                <w:sz w:val="14"/>
              </w:rPr>
              <w:t xml:space="preserve"> </w:t>
            </w:r>
            <w:r>
              <w:rPr>
                <w:color w:val="231F20"/>
                <w:w w:val="90"/>
                <w:sz w:val="14"/>
              </w:rPr>
              <w:t>sensitivity</w:t>
            </w:r>
            <w:r>
              <w:rPr>
                <w:color w:val="231F20"/>
                <w:spacing w:val="-17"/>
                <w:w w:val="90"/>
                <w:sz w:val="14"/>
              </w:rPr>
              <w:t xml:space="preserve"> </w:t>
            </w:r>
            <w:r>
              <w:rPr>
                <w:color w:val="231F20"/>
                <w:w w:val="90"/>
                <w:sz w:val="14"/>
              </w:rPr>
              <w:t>in</w:t>
            </w:r>
            <w:r>
              <w:rPr>
                <w:color w:val="231F20"/>
                <w:spacing w:val="-16"/>
                <w:w w:val="90"/>
                <w:sz w:val="14"/>
              </w:rPr>
              <w:t xml:space="preserve"> </w:t>
            </w:r>
            <w:r>
              <w:rPr>
                <w:color w:val="231F20"/>
                <w:w w:val="90"/>
                <w:sz w:val="14"/>
              </w:rPr>
              <w:t>the</w:t>
            </w:r>
            <w:r>
              <w:rPr>
                <w:color w:val="231F20"/>
                <w:spacing w:val="-17"/>
                <w:w w:val="90"/>
                <w:sz w:val="14"/>
              </w:rPr>
              <w:t xml:space="preserve"> </w:t>
            </w:r>
            <w:r>
              <w:rPr>
                <w:color w:val="231F20"/>
                <w:w w:val="90"/>
                <w:sz w:val="14"/>
              </w:rPr>
              <w:t>production</w:t>
            </w:r>
            <w:r>
              <w:rPr>
                <w:color w:val="231F20"/>
                <w:spacing w:val="-17"/>
                <w:w w:val="90"/>
                <w:sz w:val="14"/>
              </w:rPr>
              <w:t xml:space="preserve"> </w:t>
            </w:r>
            <w:r>
              <w:rPr>
                <w:color w:val="231F20"/>
                <w:w w:val="90"/>
                <w:sz w:val="14"/>
              </w:rPr>
              <w:t>of</w:t>
            </w:r>
            <w:r>
              <w:rPr>
                <w:color w:val="231F20"/>
                <w:spacing w:val="-16"/>
                <w:w w:val="90"/>
                <w:sz w:val="14"/>
              </w:rPr>
              <w:t xml:space="preserve"> </w:t>
            </w:r>
            <w:r>
              <w:rPr>
                <w:color w:val="231F20"/>
                <w:w w:val="90"/>
                <w:sz w:val="14"/>
              </w:rPr>
              <w:t xml:space="preserve">health </w:t>
            </w:r>
            <w:r>
              <w:rPr>
                <w:color w:val="231F20"/>
                <w:w w:val="95"/>
                <w:sz w:val="14"/>
              </w:rPr>
              <w:t>work</w:t>
            </w:r>
            <w:r>
              <w:rPr>
                <w:color w:val="231F20"/>
                <w:spacing w:val="-9"/>
                <w:w w:val="95"/>
                <w:sz w:val="14"/>
              </w:rPr>
              <w:t xml:space="preserve"> </w:t>
            </w:r>
            <w:r>
              <w:rPr>
                <w:color w:val="231F20"/>
                <w:w w:val="95"/>
                <w:sz w:val="14"/>
              </w:rPr>
              <w:t>force</w:t>
            </w:r>
            <w:r>
              <w:rPr>
                <w:color w:val="231F20"/>
                <w:spacing w:val="-9"/>
                <w:w w:val="95"/>
                <w:sz w:val="14"/>
              </w:rPr>
              <w:t xml:space="preserve"> </w:t>
            </w:r>
            <w:r>
              <w:rPr>
                <w:color w:val="231F20"/>
                <w:w w:val="95"/>
                <w:sz w:val="14"/>
              </w:rPr>
              <w:t>for</w:t>
            </w:r>
            <w:r>
              <w:rPr>
                <w:color w:val="231F20"/>
                <w:spacing w:val="-8"/>
                <w:w w:val="95"/>
                <w:sz w:val="14"/>
              </w:rPr>
              <w:t xml:space="preserve"> </w:t>
            </w:r>
            <w:r>
              <w:rPr>
                <w:color w:val="231F20"/>
                <w:w w:val="95"/>
                <w:sz w:val="14"/>
              </w:rPr>
              <w:t>all</w:t>
            </w:r>
            <w:r>
              <w:rPr>
                <w:color w:val="231F20"/>
                <w:spacing w:val="-9"/>
                <w:w w:val="95"/>
                <w:sz w:val="14"/>
              </w:rPr>
              <w:t xml:space="preserve"> </w:t>
            </w:r>
            <w:r>
              <w:rPr>
                <w:color w:val="231F20"/>
                <w:w w:val="95"/>
                <w:sz w:val="14"/>
              </w:rPr>
              <w:t>cadres</w:t>
            </w:r>
            <w:r>
              <w:rPr>
                <w:color w:val="231F20"/>
                <w:spacing w:val="-8"/>
                <w:w w:val="95"/>
                <w:sz w:val="14"/>
              </w:rPr>
              <w:t xml:space="preserve"> </w:t>
            </w:r>
            <w:r>
              <w:rPr>
                <w:color w:val="231F20"/>
                <w:w w:val="95"/>
                <w:sz w:val="14"/>
              </w:rPr>
              <w:t>at</w:t>
            </w:r>
            <w:r>
              <w:rPr>
                <w:color w:val="231F20"/>
                <w:spacing w:val="-9"/>
                <w:w w:val="95"/>
                <w:sz w:val="14"/>
              </w:rPr>
              <w:t xml:space="preserve"> </w:t>
            </w:r>
            <w:r>
              <w:rPr>
                <w:color w:val="231F20"/>
                <w:w w:val="95"/>
                <w:sz w:val="14"/>
              </w:rPr>
              <w:t>all</w:t>
            </w:r>
            <w:r>
              <w:rPr>
                <w:color w:val="231F20"/>
                <w:spacing w:val="-8"/>
                <w:w w:val="95"/>
                <w:sz w:val="14"/>
              </w:rPr>
              <w:t xml:space="preserve"> </w:t>
            </w:r>
            <w:r>
              <w:rPr>
                <w:color w:val="231F20"/>
                <w:w w:val="95"/>
                <w:sz w:val="14"/>
              </w:rPr>
              <w:t>levels</w:t>
            </w:r>
          </w:p>
        </w:tc>
        <w:tc>
          <w:tcPr>
            <w:tcW w:w="2434" w:type="dxa"/>
            <w:tcBorders>
              <w:top w:val="single" w:sz="6" w:space="0" w:color="231F20"/>
              <w:left w:val="single" w:sz="6" w:space="0" w:color="231F20"/>
              <w:bottom w:val="single" w:sz="6" w:space="0" w:color="231F20"/>
              <w:right w:val="single" w:sz="6" w:space="0" w:color="231F20"/>
            </w:tcBorders>
            <w:shd w:val="clear" w:color="auto" w:fill="CCE7D3"/>
          </w:tcPr>
          <w:p w14:paraId="61FD2A18" w14:textId="77777777" w:rsidR="009948F1" w:rsidRDefault="009948F1">
            <w:pPr>
              <w:pStyle w:val="TableParagraph"/>
              <w:rPr>
                <w:sz w:val="14"/>
              </w:rPr>
            </w:pPr>
          </w:p>
          <w:p w14:paraId="4844D3E1" w14:textId="77777777" w:rsidR="009948F1" w:rsidRDefault="00BC0563">
            <w:pPr>
              <w:pStyle w:val="TableParagraph"/>
              <w:numPr>
                <w:ilvl w:val="0"/>
                <w:numId w:val="64"/>
              </w:numPr>
              <w:tabs>
                <w:tab w:val="left" w:pos="103"/>
              </w:tabs>
              <w:spacing w:before="104"/>
              <w:rPr>
                <w:sz w:val="14"/>
              </w:rPr>
            </w:pPr>
            <w:r>
              <w:rPr>
                <w:color w:val="231F20"/>
                <w:w w:val="90"/>
                <w:sz w:val="14"/>
              </w:rPr>
              <w:t>Database</w:t>
            </w:r>
            <w:r>
              <w:rPr>
                <w:color w:val="231F20"/>
                <w:spacing w:val="-13"/>
                <w:w w:val="90"/>
                <w:sz w:val="14"/>
              </w:rPr>
              <w:t xml:space="preserve"> </w:t>
            </w:r>
            <w:r>
              <w:rPr>
                <w:color w:val="231F20"/>
                <w:w w:val="90"/>
                <w:sz w:val="14"/>
              </w:rPr>
              <w:t>disaggregated</w:t>
            </w:r>
            <w:r>
              <w:rPr>
                <w:color w:val="231F20"/>
                <w:spacing w:val="-13"/>
                <w:w w:val="90"/>
                <w:sz w:val="14"/>
              </w:rPr>
              <w:t xml:space="preserve"> </w:t>
            </w:r>
            <w:r>
              <w:rPr>
                <w:color w:val="231F20"/>
                <w:w w:val="90"/>
                <w:sz w:val="14"/>
              </w:rPr>
              <w:t>by</w:t>
            </w:r>
            <w:r>
              <w:rPr>
                <w:color w:val="231F20"/>
                <w:spacing w:val="-13"/>
                <w:w w:val="90"/>
                <w:sz w:val="14"/>
              </w:rPr>
              <w:t xml:space="preserve"> </w:t>
            </w:r>
            <w:r>
              <w:rPr>
                <w:color w:val="231F20"/>
                <w:w w:val="90"/>
                <w:sz w:val="14"/>
              </w:rPr>
              <w:t>gender</w:t>
            </w:r>
            <w:r>
              <w:rPr>
                <w:color w:val="231F20"/>
                <w:spacing w:val="-13"/>
                <w:w w:val="90"/>
                <w:sz w:val="14"/>
              </w:rPr>
              <w:t xml:space="preserve"> </w:t>
            </w:r>
            <w:r>
              <w:rPr>
                <w:color w:val="231F20"/>
                <w:w w:val="90"/>
                <w:sz w:val="14"/>
              </w:rPr>
              <w:t>done</w:t>
            </w:r>
          </w:p>
        </w:tc>
        <w:tc>
          <w:tcPr>
            <w:tcW w:w="1457" w:type="dxa"/>
            <w:tcBorders>
              <w:top w:val="single" w:sz="6" w:space="0" w:color="231F20"/>
              <w:left w:val="single" w:sz="6" w:space="0" w:color="231F20"/>
              <w:bottom w:val="single" w:sz="6" w:space="0" w:color="231F20"/>
              <w:right w:val="single" w:sz="6" w:space="0" w:color="231F20"/>
            </w:tcBorders>
            <w:shd w:val="clear" w:color="auto" w:fill="CCE7D3"/>
          </w:tcPr>
          <w:p w14:paraId="13812D91" w14:textId="77777777" w:rsidR="009948F1" w:rsidRDefault="009948F1">
            <w:pPr>
              <w:pStyle w:val="TableParagraph"/>
              <w:rPr>
                <w:rFonts w:ascii="Times New Roman"/>
                <w:sz w:val="12"/>
              </w:rPr>
            </w:pPr>
          </w:p>
        </w:tc>
        <w:tc>
          <w:tcPr>
            <w:tcW w:w="1537" w:type="dxa"/>
            <w:tcBorders>
              <w:top w:val="single" w:sz="6" w:space="0" w:color="231F20"/>
              <w:left w:val="single" w:sz="6" w:space="0" w:color="231F20"/>
              <w:bottom w:val="single" w:sz="6" w:space="0" w:color="231F20"/>
              <w:right w:val="single" w:sz="6" w:space="0" w:color="231F20"/>
            </w:tcBorders>
            <w:shd w:val="clear" w:color="auto" w:fill="CCE7D3"/>
          </w:tcPr>
          <w:p w14:paraId="5DBDCA72" w14:textId="77777777" w:rsidR="009948F1" w:rsidRDefault="009948F1">
            <w:pPr>
              <w:pStyle w:val="TableParagraph"/>
              <w:rPr>
                <w:rFonts w:ascii="Times New Roman"/>
                <w:sz w:val="12"/>
              </w:rPr>
            </w:pPr>
          </w:p>
        </w:tc>
      </w:tr>
      <w:tr w:rsidR="009948F1" w14:paraId="18E58E03" w14:textId="77777777">
        <w:trPr>
          <w:trHeight w:val="472"/>
        </w:trPr>
        <w:tc>
          <w:tcPr>
            <w:tcW w:w="868" w:type="dxa"/>
            <w:gridSpan w:val="2"/>
            <w:tcBorders>
              <w:top w:val="nil"/>
              <w:left w:val="single" w:sz="4" w:space="0" w:color="231F20"/>
              <w:bottom w:val="single" w:sz="6" w:space="0" w:color="231F20"/>
              <w:right w:val="single" w:sz="6" w:space="0" w:color="231F20"/>
            </w:tcBorders>
          </w:tcPr>
          <w:p w14:paraId="5910E8AF"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78BB6048" w14:textId="77777777" w:rsidR="009948F1" w:rsidRDefault="009948F1">
            <w:pPr>
              <w:pStyle w:val="TableParagraph"/>
              <w:spacing w:before="8"/>
              <w:rPr>
                <w:sz w:val="13"/>
              </w:rPr>
            </w:pPr>
          </w:p>
          <w:p w14:paraId="47699AC6" w14:textId="77777777" w:rsidR="009948F1" w:rsidRDefault="00BC0563">
            <w:pPr>
              <w:pStyle w:val="TableParagraph"/>
              <w:ind w:left="35" w:right="13"/>
              <w:jc w:val="center"/>
              <w:rPr>
                <w:sz w:val="14"/>
              </w:rPr>
            </w:pPr>
            <w:r>
              <w:rPr>
                <w:color w:val="231F20"/>
                <w:w w:val="95"/>
                <w:sz w:val="14"/>
              </w:rPr>
              <w:t>9.2.3.a</w:t>
            </w:r>
          </w:p>
        </w:tc>
        <w:tc>
          <w:tcPr>
            <w:tcW w:w="4998" w:type="dxa"/>
            <w:gridSpan w:val="2"/>
            <w:tcBorders>
              <w:top w:val="single" w:sz="6" w:space="0" w:color="231F20"/>
              <w:left w:val="single" w:sz="6" w:space="0" w:color="231F20"/>
              <w:bottom w:val="single" w:sz="6" w:space="0" w:color="231F20"/>
            </w:tcBorders>
          </w:tcPr>
          <w:p w14:paraId="39637812" w14:textId="77777777" w:rsidR="009948F1" w:rsidRDefault="00BC0563">
            <w:pPr>
              <w:pStyle w:val="TableParagraph"/>
              <w:spacing w:before="62" w:line="268" w:lineRule="auto"/>
              <w:ind w:left="26" w:right="97"/>
              <w:rPr>
                <w:sz w:val="14"/>
              </w:rPr>
            </w:pPr>
            <w:r>
              <w:rPr>
                <w:color w:val="231F20"/>
                <w:w w:val="90"/>
                <w:sz w:val="14"/>
              </w:rPr>
              <w:t>Establish/</w:t>
            </w:r>
            <w:r>
              <w:rPr>
                <w:color w:val="231F20"/>
                <w:spacing w:val="-19"/>
                <w:w w:val="90"/>
                <w:sz w:val="14"/>
              </w:rPr>
              <w:t xml:space="preserve"> </w:t>
            </w:r>
            <w:r>
              <w:rPr>
                <w:color w:val="231F20"/>
                <w:w w:val="90"/>
                <w:sz w:val="14"/>
              </w:rPr>
              <w:t>update</w:t>
            </w:r>
            <w:r>
              <w:rPr>
                <w:color w:val="231F20"/>
                <w:spacing w:val="-18"/>
                <w:w w:val="90"/>
                <w:sz w:val="14"/>
              </w:rPr>
              <w:t xml:space="preserve"> </w:t>
            </w:r>
            <w:r>
              <w:rPr>
                <w:color w:val="231F20"/>
                <w:w w:val="90"/>
                <w:sz w:val="14"/>
              </w:rPr>
              <w:t>annually</w:t>
            </w:r>
            <w:r>
              <w:rPr>
                <w:color w:val="231F20"/>
                <w:spacing w:val="-18"/>
                <w:w w:val="90"/>
                <w:sz w:val="14"/>
              </w:rPr>
              <w:t xml:space="preserve"> </w:t>
            </w:r>
            <w:r>
              <w:rPr>
                <w:color w:val="231F20"/>
                <w:w w:val="90"/>
                <w:sz w:val="14"/>
              </w:rPr>
              <w:t>a</w:t>
            </w:r>
            <w:r>
              <w:rPr>
                <w:color w:val="231F20"/>
                <w:spacing w:val="-18"/>
                <w:w w:val="90"/>
                <w:sz w:val="14"/>
              </w:rPr>
              <w:t xml:space="preserve"> </w:t>
            </w:r>
            <w:r>
              <w:rPr>
                <w:color w:val="231F20"/>
                <w:w w:val="90"/>
                <w:sz w:val="14"/>
              </w:rPr>
              <w:t>database</w:t>
            </w:r>
            <w:r>
              <w:rPr>
                <w:color w:val="231F20"/>
                <w:spacing w:val="-18"/>
                <w:w w:val="90"/>
                <w:sz w:val="14"/>
              </w:rPr>
              <w:t xml:space="preserve"> </w:t>
            </w:r>
            <w:r>
              <w:rPr>
                <w:color w:val="231F20"/>
                <w:w w:val="90"/>
                <w:sz w:val="14"/>
              </w:rPr>
              <w:t>disaggregated</w:t>
            </w:r>
            <w:r>
              <w:rPr>
                <w:color w:val="231F20"/>
                <w:spacing w:val="-18"/>
                <w:w w:val="90"/>
                <w:sz w:val="14"/>
              </w:rPr>
              <w:t xml:space="preserve"> </w:t>
            </w:r>
            <w:r>
              <w:rPr>
                <w:color w:val="231F20"/>
                <w:w w:val="90"/>
                <w:sz w:val="14"/>
              </w:rPr>
              <w:t>by</w:t>
            </w:r>
            <w:r>
              <w:rPr>
                <w:color w:val="231F20"/>
                <w:spacing w:val="-18"/>
                <w:w w:val="90"/>
                <w:sz w:val="14"/>
              </w:rPr>
              <w:t xml:space="preserve"> </w:t>
            </w:r>
            <w:r>
              <w:rPr>
                <w:color w:val="231F20"/>
                <w:w w:val="90"/>
                <w:sz w:val="14"/>
              </w:rPr>
              <w:t>gender</w:t>
            </w:r>
            <w:r>
              <w:rPr>
                <w:color w:val="231F20"/>
                <w:spacing w:val="-18"/>
                <w:w w:val="90"/>
                <w:sz w:val="14"/>
              </w:rPr>
              <w:t xml:space="preserve"> </w:t>
            </w:r>
            <w:r>
              <w:rPr>
                <w:color w:val="231F20"/>
                <w:w w:val="90"/>
                <w:sz w:val="14"/>
              </w:rPr>
              <w:t>to</w:t>
            </w:r>
            <w:r>
              <w:rPr>
                <w:color w:val="231F20"/>
                <w:spacing w:val="-18"/>
                <w:w w:val="90"/>
                <w:sz w:val="14"/>
              </w:rPr>
              <w:t xml:space="preserve"> </w:t>
            </w:r>
            <w:r>
              <w:rPr>
                <w:color w:val="231F20"/>
                <w:w w:val="90"/>
                <w:sz w:val="14"/>
              </w:rPr>
              <w:t>track</w:t>
            </w:r>
            <w:r>
              <w:rPr>
                <w:color w:val="231F20"/>
                <w:spacing w:val="-18"/>
                <w:w w:val="90"/>
                <w:sz w:val="14"/>
              </w:rPr>
              <w:t xml:space="preserve"> </w:t>
            </w:r>
            <w:r>
              <w:rPr>
                <w:color w:val="231F20"/>
                <w:w w:val="90"/>
                <w:sz w:val="14"/>
              </w:rPr>
              <w:t>gender</w:t>
            </w:r>
            <w:r>
              <w:rPr>
                <w:color w:val="231F20"/>
                <w:spacing w:val="-18"/>
                <w:w w:val="90"/>
                <w:sz w:val="14"/>
              </w:rPr>
              <w:t xml:space="preserve"> </w:t>
            </w:r>
            <w:r>
              <w:rPr>
                <w:color w:val="231F20"/>
                <w:w w:val="90"/>
                <w:sz w:val="14"/>
              </w:rPr>
              <w:t xml:space="preserve">disparities </w:t>
            </w:r>
            <w:r>
              <w:rPr>
                <w:color w:val="231F20"/>
                <w:w w:val="95"/>
                <w:sz w:val="14"/>
              </w:rPr>
              <w:t>in training of healthcare</w:t>
            </w:r>
            <w:r>
              <w:rPr>
                <w:color w:val="231F20"/>
                <w:spacing w:val="-23"/>
                <w:w w:val="95"/>
                <w:sz w:val="14"/>
              </w:rPr>
              <w:t xml:space="preserve"> </w:t>
            </w:r>
            <w:r>
              <w:rPr>
                <w:color w:val="231F20"/>
                <w:w w:val="95"/>
                <w:sz w:val="14"/>
              </w:rPr>
              <w:t>workers</w:t>
            </w:r>
          </w:p>
        </w:tc>
        <w:tc>
          <w:tcPr>
            <w:tcW w:w="1457" w:type="dxa"/>
            <w:tcBorders>
              <w:top w:val="single" w:sz="6" w:space="0" w:color="231F20"/>
              <w:bottom w:val="single" w:sz="6" w:space="0" w:color="231F20"/>
              <w:right w:val="single" w:sz="6" w:space="0" w:color="231F20"/>
            </w:tcBorders>
          </w:tcPr>
          <w:p w14:paraId="380211B9" w14:textId="77777777" w:rsidR="009948F1" w:rsidRDefault="009948F1">
            <w:pPr>
              <w:pStyle w:val="TableParagraph"/>
              <w:spacing w:before="8"/>
              <w:rPr>
                <w:sz w:val="13"/>
              </w:rPr>
            </w:pPr>
          </w:p>
          <w:p w14:paraId="426EAF1D" w14:textId="77777777" w:rsidR="009948F1" w:rsidRDefault="00BC0563">
            <w:pPr>
              <w:pStyle w:val="TableParagraph"/>
              <w:ind w:left="24"/>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2B40BB43" w14:textId="77777777" w:rsidR="009948F1" w:rsidRDefault="009948F1">
            <w:pPr>
              <w:pStyle w:val="TableParagraph"/>
              <w:spacing w:before="8"/>
              <w:rPr>
                <w:sz w:val="13"/>
              </w:rPr>
            </w:pPr>
          </w:p>
          <w:p w14:paraId="6D5CB701" w14:textId="77777777" w:rsidR="009948F1" w:rsidRDefault="00BC0563">
            <w:pPr>
              <w:pStyle w:val="TableParagraph"/>
              <w:ind w:left="27"/>
              <w:rPr>
                <w:sz w:val="14"/>
              </w:rPr>
            </w:pPr>
            <w:r>
              <w:rPr>
                <w:color w:val="231F20"/>
                <w:w w:val="90"/>
                <w:sz w:val="14"/>
              </w:rPr>
              <w:t>Establish/</w:t>
            </w:r>
            <w:r>
              <w:rPr>
                <w:color w:val="231F20"/>
                <w:spacing w:val="-21"/>
                <w:w w:val="90"/>
                <w:sz w:val="14"/>
              </w:rPr>
              <w:t xml:space="preserve"> </w:t>
            </w:r>
            <w:r>
              <w:rPr>
                <w:color w:val="231F20"/>
                <w:w w:val="90"/>
                <w:sz w:val="14"/>
              </w:rPr>
              <w:t>update</w:t>
            </w:r>
            <w:r>
              <w:rPr>
                <w:color w:val="231F20"/>
                <w:spacing w:val="-21"/>
                <w:w w:val="90"/>
                <w:sz w:val="14"/>
              </w:rPr>
              <w:t xml:space="preserve"> </w:t>
            </w:r>
            <w:r>
              <w:rPr>
                <w:color w:val="231F20"/>
                <w:w w:val="90"/>
                <w:sz w:val="14"/>
              </w:rPr>
              <w:t>database</w:t>
            </w:r>
          </w:p>
        </w:tc>
      </w:tr>
      <w:tr w:rsidR="009948F1" w14:paraId="509F88F8" w14:textId="77777777">
        <w:trPr>
          <w:trHeight w:val="762"/>
        </w:trPr>
        <w:tc>
          <w:tcPr>
            <w:tcW w:w="404" w:type="dxa"/>
            <w:tcBorders>
              <w:top w:val="single" w:sz="6" w:space="0" w:color="231F20"/>
              <w:left w:val="single" w:sz="12" w:space="0" w:color="231F20"/>
              <w:bottom w:val="single" w:sz="6" w:space="0" w:color="231F20"/>
              <w:right w:val="single" w:sz="6" w:space="0" w:color="231F20"/>
            </w:tcBorders>
            <w:shd w:val="clear" w:color="auto" w:fill="FFF200"/>
          </w:tcPr>
          <w:p w14:paraId="3985CB41" w14:textId="77777777" w:rsidR="009948F1" w:rsidRDefault="009948F1">
            <w:pPr>
              <w:pStyle w:val="TableParagraph"/>
              <w:rPr>
                <w:sz w:val="14"/>
              </w:rPr>
            </w:pPr>
          </w:p>
          <w:p w14:paraId="5CD33F00" w14:textId="77777777" w:rsidR="009948F1" w:rsidRDefault="009948F1">
            <w:pPr>
              <w:pStyle w:val="TableParagraph"/>
              <w:spacing w:before="5"/>
              <w:rPr>
                <w:sz w:val="12"/>
              </w:rPr>
            </w:pPr>
          </w:p>
          <w:p w14:paraId="2F24BA4B" w14:textId="77777777" w:rsidR="009948F1" w:rsidRDefault="00BC0563">
            <w:pPr>
              <w:pStyle w:val="TableParagraph"/>
              <w:ind w:right="34"/>
              <w:jc w:val="right"/>
              <w:rPr>
                <w:b/>
                <w:sz w:val="14"/>
              </w:rPr>
            </w:pPr>
            <w:r>
              <w:rPr>
                <w:b/>
                <w:color w:val="231F20"/>
                <w:w w:val="85"/>
                <w:sz w:val="14"/>
              </w:rPr>
              <w:t>9.3</w:t>
            </w:r>
          </w:p>
        </w:tc>
        <w:tc>
          <w:tcPr>
            <w:tcW w:w="5999" w:type="dxa"/>
            <w:gridSpan w:val="4"/>
            <w:tcBorders>
              <w:top w:val="single" w:sz="6" w:space="0" w:color="231F20"/>
              <w:left w:val="single" w:sz="6" w:space="0" w:color="231F20"/>
              <w:bottom w:val="single" w:sz="6" w:space="0" w:color="231F20"/>
            </w:tcBorders>
            <w:shd w:val="clear" w:color="auto" w:fill="FFF200"/>
          </w:tcPr>
          <w:p w14:paraId="2F0B9A2D" w14:textId="77777777" w:rsidR="009948F1" w:rsidRDefault="009948F1">
            <w:pPr>
              <w:pStyle w:val="TableParagraph"/>
              <w:rPr>
                <w:sz w:val="14"/>
              </w:rPr>
            </w:pPr>
          </w:p>
          <w:p w14:paraId="6B267C66" w14:textId="77777777" w:rsidR="009948F1" w:rsidRDefault="009948F1">
            <w:pPr>
              <w:pStyle w:val="TableParagraph"/>
              <w:spacing w:before="11"/>
              <w:rPr>
                <w:sz w:val="11"/>
              </w:rPr>
            </w:pPr>
          </w:p>
          <w:p w14:paraId="3E7F3CE8" w14:textId="77777777" w:rsidR="009948F1" w:rsidRDefault="00BC0563">
            <w:pPr>
              <w:pStyle w:val="TableParagraph"/>
              <w:ind w:left="59"/>
              <w:rPr>
                <w:b/>
                <w:sz w:val="14"/>
              </w:rPr>
            </w:pPr>
            <w:r>
              <w:rPr>
                <w:b/>
                <w:color w:val="231F20"/>
                <w:w w:val="95"/>
                <w:sz w:val="14"/>
              </w:rPr>
              <w:t>Strengthen monitoring and evaluation of HRH including systems for HRHMIS and Registry</w:t>
            </w:r>
          </w:p>
        </w:tc>
        <w:tc>
          <w:tcPr>
            <w:tcW w:w="2994" w:type="dxa"/>
            <w:gridSpan w:val="2"/>
            <w:tcBorders>
              <w:top w:val="single" w:sz="6" w:space="0" w:color="231F20"/>
              <w:bottom w:val="single" w:sz="6" w:space="0" w:color="231F20"/>
              <w:right w:val="single" w:sz="6" w:space="0" w:color="231F20"/>
            </w:tcBorders>
            <w:shd w:val="clear" w:color="auto" w:fill="FFF200"/>
          </w:tcPr>
          <w:p w14:paraId="325060D5" w14:textId="77777777" w:rsidR="009948F1" w:rsidRDefault="009948F1">
            <w:pPr>
              <w:pStyle w:val="TableParagraph"/>
              <w:rPr>
                <w:rFonts w:ascii="Times New Roman"/>
                <w:sz w:val="12"/>
              </w:rPr>
            </w:pPr>
          </w:p>
        </w:tc>
      </w:tr>
      <w:tr w:rsidR="009948F1" w14:paraId="66EA9261" w14:textId="77777777">
        <w:trPr>
          <w:trHeight w:val="458"/>
        </w:trPr>
        <w:tc>
          <w:tcPr>
            <w:tcW w:w="404" w:type="dxa"/>
            <w:tcBorders>
              <w:top w:val="single" w:sz="6" w:space="0" w:color="231F20"/>
              <w:left w:val="single" w:sz="4" w:space="0" w:color="231F20"/>
              <w:bottom w:val="nil"/>
              <w:right w:val="single" w:sz="6" w:space="0" w:color="231F20"/>
            </w:tcBorders>
          </w:tcPr>
          <w:p w14:paraId="135677C6"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773DAD0F" w14:textId="77777777" w:rsidR="009948F1" w:rsidRDefault="009948F1">
            <w:pPr>
              <w:pStyle w:val="TableParagraph"/>
              <w:rPr>
                <w:sz w:val="13"/>
              </w:rPr>
            </w:pPr>
          </w:p>
          <w:p w14:paraId="14251941" w14:textId="77777777" w:rsidR="009948F1" w:rsidRDefault="00BC0563">
            <w:pPr>
              <w:pStyle w:val="TableParagraph"/>
              <w:spacing w:before="1"/>
              <w:ind w:left="59"/>
              <w:rPr>
                <w:sz w:val="14"/>
              </w:rPr>
            </w:pPr>
            <w:r>
              <w:rPr>
                <w:color w:val="231F20"/>
                <w:w w:val="95"/>
                <w:sz w:val="14"/>
              </w:rPr>
              <w:t>9.3.1</w:t>
            </w:r>
          </w:p>
        </w:tc>
        <w:tc>
          <w:tcPr>
            <w:tcW w:w="3101" w:type="dxa"/>
            <w:gridSpan w:val="2"/>
            <w:tcBorders>
              <w:top w:val="single" w:sz="6" w:space="0" w:color="231F20"/>
              <w:left w:val="single" w:sz="6" w:space="0" w:color="231F20"/>
              <w:bottom w:val="single" w:sz="6" w:space="0" w:color="231F20"/>
              <w:right w:val="single" w:sz="6" w:space="0" w:color="231F20"/>
            </w:tcBorders>
            <w:shd w:val="clear" w:color="auto" w:fill="CCE7D3"/>
          </w:tcPr>
          <w:p w14:paraId="6E468F61" w14:textId="77777777" w:rsidR="009948F1" w:rsidRDefault="009948F1">
            <w:pPr>
              <w:pStyle w:val="TableParagraph"/>
              <w:spacing w:before="6"/>
              <w:rPr>
                <w:sz w:val="12"/>
              </w:rPr>
            </w:pPr>
          </w:p>
          <w:p w14:paraId="23F761FE" w14:textId="77777777" w:rsidR="009948F1" w:rsidRDefault="00BC0563">
            <w:pPr>
              <w:pStyle w:val="TableParagraph"/>
              <w:ind w:left="93"/>
              <w:rPr>
                <w:sz w:val="14"/>
              </w:rPr>
            </w:pPr>
            <w:r>
              <w:rPr>
                <w:color w:val="231F20"/>
                <w:w w:val="90"/>
                <w:sz w:val="14"/>
              </w:rPr>
              <w:t>Strengthen/establish</w:t>
            </w:r>
            <w:r>
              <w:rPr>
                <w:color w:val="231F20"/>
                <w:spacing w:val="-17"/>
                <w:w w:val="90"/>
                <w:sz w:val="14"/>
              </w:rPr>
              <w:t xml:space="preserve"> </w:t>
            </w:r>
            <w:r>
              <w:rPr>
                <w:color w:val="231F20"/>
                <w:w w:val="90"/>
                <w:sz w:val="14"/>
              </w:rPr>
              <w:t>HRHIS</w:t>
            </w:r>
            <w:r>
              <w:rPr>
                <w:color w:val="231F20"/>
                <w:spacing w:val="-16"/>
                <w:w w:val="90"/>
                <w:sz w:val="14"/>
              </w:rPr>
              <w:t xml:space="preserve"> </w:t>
            </w:r>
            <w:r>
              <w:rPr>
                <w:color w:val="231F20"/>
                <w:w w:val="90"/>
                <w:sz w:val="14"/>
              </w:rPr>
              <w:t>at</w:t>
            </w:r>
            <w:r>
              <w:rPr>
                <w:color w:val="231F20"/>
                <w:spacing w:val="-16"/>
                <w:w w:val="90"/>
                <w:sz w:val="14"/>
              </w:rPr>
              <w:t xml:space="preserve"> </w:t>
            </w:r>
            <w:r>
              <w:rPr>
                <w:color w:val="231F20"/>
                <w:w w:val="90"/>
                <w:sz w:val="14"/>
              </w:rPr>
              <w:t>state</w:t>
            </w:r>
            <w:r>
              <w:rPr>
                <w:color w:val="231F20"/>
                <w:spacing w:val="-16"/>
                <w:w w:val="90"/>
                <w:sz w:val="14"/>
              </w:rPr>
              <w:t xml:space="preserve"> </w:t>
            </w:r>
            <w:r>
              <w:rPr>
                <w:color w:val="231F20"/>
                <w:w w:val="90"/>
                <w:sz w:val="14"/>
              </w:rPr>
              <w:t>and</w:t>
            </w:r>
            <w:r>
              <w:rPr>
                <w:color w:val="231F20"/>
                <w:spacing w:val="-16"/>
                <w:w w:val="90"/>
                <w:sz w:val="14"/>
              </w:rPr>
              <w:t xml:space="preserve"> </w:t>
            </w:r>
            <w:r>
              <w:rPr>
                <w:color w:val="231F20"/>
                <w:w w:val="90"/>
                <w:sz w:val="14"/>
              </w:rPr>
              <w:t>federal</w:t>
            </w:r>
            <w:r>
              <w:rPr>
                <w:color w:val="231F20"/>
                <w:spacing w:val="-16"/>
                <w:w w:val="90"/>
                <w:sz w:val="14"/>
              </w:rPr>
              <w:t xml:space="preserve"> </w:t>
            </w:r>
            <w:r>
              <w:rPr>
                <w:color w:val="231F20"/>
                <w:w w:val="90"/>
                <w:sz w:val="14"/>
              </w:rPr>
              <w:t>levels</w:t>
            </w:r>
          </w:p>
        </w:tc>
        <w:tc>
          <w:tcPr>
            <w:tcW w:w="2434" w:type="dxa"/>
            <w:tcBorders>
              <w:top w:val="single" w:sz="6" w:space="0" w:color="231F20"/>
              <w:left w:val="single" w:sz="6" w:space="0" w:color="231F20"/>
              <w:bottom w:val="single" w:sz="6" w:space="0" w:color="231F20"/>
              <w:right w:val="single" w:sz="6" w:space="0" w:color="231F20"/>
            </w:tcBorders>
            <w:shd w:val="clear" w:color="auto" w:fill="CCE7D3"/>
          </w:tcPr>
          <w:p w14:paraId="64771A86" w14:textId="77777777" w:rsidR="009948F1" w:rsidRDefault="00BC0563">
            <w:pPr>
              <w:pStyle w:val="TableParagraph"/>
              <w:numPr>
                <w:ilvl w:val="0"/>
                <w:numId w:val="63"/>
              </w:numPr>
              <w:tabs>
                <w:tab w:val="left" w:pos="70"/>
              </w:tabs>
              <w:spacing w:before="5" w:line="268" w:lineRule="auto"/>
              <w:ind w:right="221" w:firstLine="0"/>
              <w:rPr>
                <w:sz w:val="14"/>
              </w:rPr>
            </w:pPr>
            <w:r>
              <w:rPr>
                <w:color w:val="231F20"/>
                <w:w w:val="90"/>
                <w:sz w:val="14"/>
              </w:rPr>
              <w:t>Human Resource Health information System</w:t>
            </w:r>
            <w:r>
              <w:rPr>
                <w:color w:val="231F20"/>
                <w:spacing w:val="-18"/>
                <w:w w:val="90"/>
                <w:sz w:val="14"/>
              </w:rPr>
              <w:t xml:space="preserve"> </w:t>
            </w:r>
            <w:r>
              <w:rPr>
                <w:color w:val="231F20"/>
                <w:w w:val="90"/>
                <w:sz w:val="14"/>
              </w:rPr>
              <w:t>(HRHIS)</w:t>
            </w:r>
            <w:r>
              <w:rPr>
                <w:color w:val="231F20"/>
                <w:spacing w:val="-18"/>
                <w:w w:val="90"/>
                <w:sz w:val="14"/>
              </w:rPr>
              <w:t xml:space="preserve"> </w:t>
            </w:r>
            <w:r>
              <w:rPr>
                <w:color w:val="231F20"/>
                <w:w w:val="90"/>
                <w:sz w:val="14"/>
              </w:rPr>
              <w:t>established</w:t>
            </w:r>
            <w:r>
              <w:rPr>
                <w:color w:val="231F20"/>
                <w:spacing w:val="-18"/>
                <w:w w:val="90"/>
                <w:sz w:val="14"/>
              </w:rPr>
              <w:t xml:space="preserve"> </w:t>
            </w:r>
            <w:r>
              <w:rPr>
                <w:color w:val="231F20"/>
                <w:w w:val="90"/>
                <w:sz w:val="14"/>
              </w:rPr>
              <w:t>in</w:t>
            </w:r>
            <w:r>
              <w:rPr>
                <w:color w:val="231F20"/>
                <w:spacing w:val="-18"/>
                <w:w w:val="90"/>
                <w:sz w:val="14"/>
              </w:rPr>
              <w:t xml:space="preserve"> </w:t>
            </w:r>
            <w:r>
              <w:rPr>
                <w:color w:val="231F20"/>
                <w:w w:val="90"/>
                <w:sz w:val="14"/>
              </w:rPr>
              <w:t>the</w:t>
            </w:r>
            <w:r>
              <w:rPr>
                <w:color w:val="231F20"/>
                <w:spacing w:val="-18"/>
                <w:w w:val="90"/>
                <w:sz w:val="14"/>
              </w:rPr>
              <w:t xml:space="preserve"> </w:t>
            </w:r>
            <w:r>
              <w:rPr>
                <w:color w:val="231F20"/>
                <w:w w:val="90"/>
                <w:sz w:val="14"/>
              </w:rPr>
              <w:t>state</w:t>
            </w:r>
          </w:p>
          <w:p w14:paraId="48416AEF" w14:textId="77777777" w:rsidR="009948F1" w:rsidRDefault="00BC0563">
            <w:pPr>
              <w:pStyle w:val="TableParagraph"/>
              <w:spacing w:line="72" w:lineRule="exact"/>
              <w:ind w:left="26"/>
              <w:rPr>
                <w:sz w:val="14"/>
              </w:rPr>
            </w:pPr>
            <w:r>
              <w:rPr>
                <w:color w:val="231F20"/>
                <w:w w:val="86"/>
                <w:sz w:val="14"/>
              </w:rPr>
              <w:t>•</w:t>
            </w:r>
          </w:p>
        </w:tc>
        <w:tc>
          <w:tcPr>
            <w:tcW w:w="1457" w:type="dxa"/>
            <w:tcBorders>
              <w:top w:val="single" w:sz="6" w:space="0" w:color="231F20"/>
              <w:left w:val="single" w:sz="6" w:space="0" w:color="231F20"/>
              <w:bottom w:val="single" w:sz="6" w:space="0" w:color="231F20"/>
              <w:right w:val="single" w:sz="6" w:space="0" w:color="231F20"/>
            </w:tcBorders>
            <w:shd w:val="clear" w:color="auto" w:fill="CCE7D3"/>
          </w:tcPr>
          <w:p w14:paraId="10B02E04" w14:textId="77777777" w:rsidR="009948F1" w:rsidRDefault="009948F1">
            <w:pPr>
              <w:pStyle w:val="TableParagraph"/>
              <w:rPr>
                <w:rFonts w:ascii="Times New Roman"/>
                <w:sz w:val="12"/>
              </w:rPr>
            </w:pPr>
          </w:p>
        </w:tc>
        <w:tc>
          <w:tcPr>
            <w:tcW w:w="1537" w:type="dxa"/>
            <w:tcBorders>
              <w:top w:val="single" w:sz="6" w:space="0" w:color="231F20"/>
              <w:left w:val="single" w:sz="6" w:space="0" w:color="231F20"/>
              <w:bottom w:val="single" w:sz="6" w:space="0" w:color="231F20"/>
              <w:right w:val="single" w:sz="6" w:space="0" w:color="231F20"/>
            </w:tcBorders>
            <w:shd w:val="clear" w:color="auto" w:fill="CCE7D3"/>
          </w:tcPr>
          <w:p w14:paraId="51E2051A" w14:textId="77777777" w:rsidR="009948F1" w:rsidRDefault="009948F1">
            <w:pPr>
              <w:pStyle w:val="TableParagraph"/>
              <w:rPr>
                <w:rFonts w:ascii="Times New Roman"/>
                <w:sz w:val="12"/>
              </w:rPr>
            </w:pPr>
          </w:p>
        </w:tc>
      </w:tr>
      <w:tr w:rsidR="009948F1" w14:paraId="38EB7451" w14:textId="77777777">
        <w:trPr>
          <w:trHeight w:val="349"/>
        </w:trPr>
        <w:tc>
          <w:tcPr>
            <w:tcW w:w="868" w:type="dxa"/>
            <w:gridSpan w:val="2"/>
            <w:vMerge w:val="restart"/>
            <w:tcBorders>
              <w:top w:val="nil"/>
              <w:left w:val="single" w:sz="4" w:space="0" w:color="231F20"/>
              <w:bottom w:val="nil"/>
              <w:right w:val="single" w:sz="6" w:space="0" w:color="231F20"/>
            </w:tcBorders>
          </w:tcPr>
          <w:p w14:paraId="4FFE8E92"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73B05020" w14:textId="77777777" w:rsidR="009948F1" w:rsidRDefault="00BC0563">
            <w:pPr>
              <w:pStyle w:val="TableParagraph"/>
              <w:spacing w:before="96"/>
              <w:ind w:left="35" w:right="13"/>
              <w:jc w:val="center"/>
              <w:rPr>
                <w:sz w:val="14"/>
              </w:rPr>
            </w:pPr>
            <w:r>
              <w:rPr>
                <w:color w:val="231F20"/>
                <w:w w:val="95"/>
                <w:sz w:val="14"/>
              </w:rPr>
              <w:t>9.3.1.a</w:t>
            </w:r>
          </w:p>
        </w:tc>
        <w:tc>
          <w:tcPr>
            <w:tcW w:w="4998" w:type="dxa"/>
            <w:gridSpan w:val="2"/>
            <w:tcBorders>
              <w:top w:val="single" w:sz="6" w:space="0" w:color="231F20"/>
              <w:left w:val="single" w:sz="6" w:space="0" w:color="231F20"/>
              <w:bottom w:val="single" w:sz="6" w:space="0" w:color="231F20"/>
              <w:right w:val="single" w:sz="6" w:space="0" w:color="231F20"/>
            </w:tcBorders>
          </w:tcPr>
          <w:p w14:paraId="4DFEDAB4" w14:textId="77777777" w:rsidR="009948F1" w:rsidRDefault="00BC0563">
            <w:pPr>
              <w:pStyle w:val="TableParagraph"/>
              <w:spacing w:before="90"/>
              <w:ind w:left="26"/>
              <w:rPr>
                <w:sz w:val="14"/>
              </w:rPr>
            </w:pPr>
            <w:r>
              <w:rPr>
                <w:color w:val="231F20"/>
                <w:w w:val="95"/>
                <w:sz w:val="14"/>
              </w:rPr>
              <w:t>Establish/strengthen Human Resource Health information System (HRHIS)</w:t>
            </w:r>
          </w:p>
        </w:tc>
        <w:tc>
          <w:tcPr>
            <w:tcW w:w="1457" w:type="dxa"/>
            <w:tcBorders>
              <w:top w:val="single" w:sz="6" w:space="0" w:color="231F20"/>
              <w:left w:val="single" w:sz="6" w:space="0" w:color="231F20"/>
              <w:bottom w:val="single" w:sz="6" w:space="0" w:color="231F20"/>
              <w:right w:val="single" w:sz="6" w:space="0" w:color="231F20"/>
            </w:tcBorders>
          </w:tcPr>
          <w:p w14:paraId="451907A1" w14:textId="77777777" w:rsidR="009948F1" w:rsidRDefault="00BC0563">
            <w:pPr>
              <w:pStyle w:val="TableParagraph"/>
              <w:spacing w:before="96"/>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6C4675F7" w14:textId="77777777" w:rsidR="009948F1" w:rsidRDefault="00BC0563">
            <w:pPr>
              <w:pStyle w:val="TableParagraph"/>
              <w:spacing w:before="6"/>
              <w:ind w:left="27"/>
              <w:rPr>
                <w:sz w:val="14"/>
              </w:rPr>
            </w:pPr>
            <w:r>
              <w:rPr>
                <w:color w:val="231F20"/>
                <w:w w:val="95"/>
                <w:sz w:val="14"/>
              </w:rPr>
              <w:t>Establish/strengthen</w:t>
            </w:r>
          </w:p>
          <w:p w14:paraId="662873B3" w14:textId="77777777" w:rsidR="009948F1" w:rsidRDefault="00BC0563">
            <w:pPr>
              <w:pStyle w:val="TableParagraph"/>
              <w:spacing w:before="20" w:line="142" w:lineRule="exact"/>
              <w:ind w:left="27"/>
              <w:rPr>
                <w:sz w:val="14"/>
              </w:rPr>
            </w:pPr>
            <w:r>
              <w:rPr>
                <w:color w:val="231F20"/>
                <w:w w:val="95"/>
                <w:sz w:val="14"/>
              </w:rPr>
              <w:t>HRHIS</w:t>
            </w:r>
          </w:p>
        </w:tc>
      </w:tr>
      <w:tr w:rsidR="009948F1" w14:paraId="05C839DB" w14:textId="77777777">
        <w:trPr>
          <w:trHeight w:val="336"/>
        </w:trPr>
        <w:tc>
          <w:tcPr>
            <w:tcW w:w="868" w:type="dxa"/>
            <w:gridSpan w:val="2"/>
            <w:vMerge/>
            <w:tcBorders>
              <w:top w:val="nil"/>
              <w:left w:val="single" w:sz="4" w:space="0" w:color="231F20"/>
              <w:bottom w:val="nil"/>
              <w:right w:val="single" w:sz="6" w:space="0" w:color="231F20"/>
            </w:tcBorders>
          </w:tcPr>
          <w:p w14:paraId="3BDA1C8B"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3985E786" w14:textId="77777777" w:rsidR="009948F1" w:rsidRDefault="00BC0563">
            <w:pPr>
              <w:pStyle w:val="TableParagraph"/>
              <w:spacing w:before="90"/>
              <w:ind w:left="35" w:right="13"/>
              <w:jc w:val="center"/>
              <w:rPr>
                <w:sz w:val="14"/>
              </w:rPr>
            </w:pPr>
            <w:r>
              <w:rPr>
                <w:color w:val="231F20"/>
                <w:w w:val="95"/>
                <w:sz w:val="14"/>
              </w:rPr>
              <w:t>9.3.1.b</w:t>
            </w:r>
          </w:p>
        </w:tc>
        <w:tc>
          <w:tcPr>
            <w:tcW w:w="4998" w:type="dxa"/>
            <w:gridSpan w:val="2"/>
            <w:tcBorders>
              <w:top w:val="single" w:sz="6" w:space="0" w:color="231F20"/>
              <w:left w:val="single" w:sz="6" w:space="0" w:color="231F20"/>
              <w:bottom w:val="single" w:sz="6" w:space="0" w:color="231F20"/>
              <w:right w:val="single" w:sz="6" w:space="0" w:color="231F20"/>
            </w:tcBorders>
          </w:tcPr>
          <w:p w14:paraId="610FD027" w14:textId="5BD0490F" w:rsidR="009948F1" w:rsidRDefault="00BC0563">
            <w:pPr>
              <w:pStyle w:val="TableParagraph"/>
              <w:spacing w:before="9" w:line="158" w:lineRule="exact"/>
              <w:ind w:left="26" w:right="70"/>
              <w:rPr>
                <w:sz w:val="14"/>
              </w:rPr>
            </w:pPr>
            <w:r>
              <w:rPr>
                <w:color w:val="231F20"/>
                <w:w w:val="90"/>
                <w:sz w:val="14"/>
              </w:rPr>
              <w:t>Establish</w:t>
            </w:r>
            <w:r>
              <w:rPr>
                <w:color w:val="231F20"/>
                <w:spacing w:val="-20"/>
                <w:w w:val="90"/>
                <w:sz w:val="14"/>
              </w:rPr>
              <w:t xml:space="preserve"> </w:t>
            </w:r>
            <w:r>
              <w:rPr>
                <w:color w:val="231F20"/>
                <w:w w:val="90"/>
                <w:sz w:val="14"/>
              </w:rPr>
              <w:t>a</w:t>
            </w:r>
            <w:r>
              <w:rPr>
                <w:color w:val="231F20"/>
                <w:spacing w:val="-20"/>
                <w:w w:val="90"/>
                <w:sz w:val="14"/>
              </w:rPr>
              <w:t xml:space="preserve"> </w:t>
            </w:r>
            <w:r>
              <w:rPr>
                <w:color w:val="231F20"/>
                <w:w w:val="90"/>
                <w:sz w:val="14"/>
              </w:rPr>
              <w:t>performance</w:t>
            </w:r>
            <w:r>
              <w:rPr>
                <w:color w:val="231F20"/>
                <w:spacing w:val="-19"/>
                <w:w w:val="90"/>
                <w:sz w:val="14"/>
              </w:rPr>
              <w:t xml:space="preserve"> </w:t>
            </w:r>
            <w:r>
              <w:rPr>
                <w:color w:val="231F20"/>
                <w:w w:val="90"/>
                <w:sz w:val="14"/>
              </w:rPr>
              <w:t>management</w:t>
            </w:r>
            <w:r>
              <w:rPr>
                <w:color w:val="231F20"/>
                <w:spacing w:val="-20"/>
                <w:w w:val="90"/>
                <w:sz w:val="14"/>
              </w:rPr>
              <w:t xml:space="preserve"> </w:t>
            </w:r>
            <w:r>
              <w:rPr>
                <w:color w:val="231F20"/>
                <w:w w:val="90"/>
                <w:sz w:val="14"/>
              </w:rPr>
              <w:t>system</w:t>
            </w:r>
            <w:r>
              <w:rPr>
                <w:color w:val="231F20"/>
                <w:spacing w:val="-20"/>
                <w:w w:val="90"/>
                <w:sz w:val="14"/>
              </w:rPr>
              <w:t xml:space="preserve"> </w:t>
            </w:r>
            <w:r>
              <w:rPr>
                <w:color w:val="231F20"/>
                <w:w w:val="90"/>
                <w:sz w:val="14"/>
              </w:rPr>
              <w:t>(performance</w:t>
            </w:r>
            <w:r>
              <w:rPr>
                <w:color w:val="231F20"/>
                <w:spacing w:val="-19"/>
                <w:w w:val="90"/>
                <w:sz w:val="14"/>
              </w:rPr>
              <w:t xml:space="preserve"> </w:t>
            </w:r>
            <w:r>
              <w:rPr>
                <w:color w:val="231F20"/>
                <w:w w:val="90"/>
                <w:sz w:val="14"/>
              </w:rPr>
              <w:t>of</w:t>
            </w:r>
            <w:r>
              <w:rPr>
                <w:color w:val="231F20"/>
                <w:spacing w:val="-20"/>
                <w:w w:val="90"/>
                <w:sz w:val="14"/>
              </w:rPr>
              <w:t xml:space="preserve"> </w:t>
            </w:r>
            <w:r>
              <w:rPr>
                <w:color w:val="231F20"/>
                <w:w w:val="90"/>
                <w:sz w:val="14"/>
              </w:rPr>
              <w:t>individual</w:t>
            </w:r>
            <w:r>
              <w:rPr>
                <w:color w:val="231F20"/>
                <w:spacing w:val="-20"/>
                <w:w w:val="90"/>
                <w:sz w:val="14"/>
              </w:rPr>
              <w:t xml:space="preserve"> </w:t>
            </w:r>
            <w:r>
              <w:rPr>
                <w:color w:val="231F20"/>
                <w:w w:val="90"/>
                <w:sz w:val="14"/>
              </w:rPr>
              <w:t>workers</w:t>
            </w:r>
            <w:r>
              <w:rPr>
                <w:color w:val="231F20"/>
                <w:spacing w:val="-19"/>
                <w:w w:val="90"/>
                <w:sz w:val="14"/>
              </w:rPr>
              <w:t xml:space="preserve"> </w:t>
            </w:r>
            <w:r>
              <w:rPr>
                <w:color w:val="231F20"/>
                <w:w w:val="90"/>
                <w:sz w:val="14"/>
              </w:rPr>
              <w:t>using</w:t>
            </w:r>
            <w:r>
              <w:rPr>
                <w:color w:val="231F20"/>
                <w:spacing w:val="-20"/>
                <w:w w:val="90"/>
                <w:sz w:val="14"/>
              </w:rPr>
              <w:t xml:space="preserve"> </w:t>
            </w:r>
            <w:r>
              <w:rPr>
                <w:color w:val="231F20"/>
                <w:w w:val="90"/>
                <w:sz w:val="14"/>
              </w:rPr>
              <w:t xml:space="preserve">job </w:t>
            </w:r>
            <w:r>
              <w:rPr>
                <w:color w:val="231F20"/>
                <w:w w:val="95"/>
                <w:sz w:val="14"/>
              </w:rPr>
              <w:t>aids,</w:t>
            </w:r>
            <w:r>
              <w:rPr>
                <w:color w:val="231F20"/>
                <w:spacing w:val="-9"/>
                <w:w w:val="95"/>
                <w:sz w:val="14"/>
              </w:rPr>
              <w:t xml:space="preserve"> </w:t>
            </w:r>
            <w:r>
              <w:rPr>
                <w:color w:val="231F20"/>
                <w:w w:val="95"/>
                <w:sz w:val="14"/>
              </w:rPr>
              <w:t>job</w:t>
            </w:r>
            <w:r>
              <w:rPr>
                <w:color w:val="231F20"/>
                <w:spacing w:val="-8"/>
                <w:w w:val="95"/>
                <w:sz w:val="14"/>
              </w:rPr>
              <w:t xml:space="preserve"> </w:t>
            </w:r>
            <w:r>
              <w:rPr>
                <w:color w:val="231F20"/>
                <w:w w:val="95"/>
                <w:sz w:val="14"/>
              </w:rPr>
              <w:t>descriptions,</w:t>
            </w:r>
            <w:r>
              <w:rPr>
                <w:color w:val="231F20"/>
                <w:spacing w:val="-9"/>
                <w:w w:val="95"/>
                <w:sz w:val="14"/>
              </w:rPr>
              <w:t xml:space="preserve"> </w:t>
            </w:r>
            <w:r>
              <w:rPr>
                <w:color w:val="231F20"/>
                <w:w w:val="95"/>
                <w:sz w:val="14"/>
              </w:rPr>
              <w:t>scheme</w:t>
            </w:r>
            <w:r>
              <w:rPr>
                <w:color w:val="231F20"/>
                <w:spacing w:val="-8"/>
                <w:w w:val="95"/>
                <w:sz w:val="14"/>
              </w:rPr>
              <w:t xml:space="preserve"> </w:t>
            </w:r>
            <w:r>
              <w:rPr>
                <w:color w:val="231F20"/>
                <w:w w:val="95"/>
                <w:sz w:val="14"/>
              </w:rPr>
              <w:t>of</w:t>
            </w:r>
            <w:r>
              <w:rPr>
                <w:color w:val="231F20"/>
                <w:spacing w:val="-9"/>
                <w:w w:val="95"/>
                <w:sz w:val="14"/>
              </w:rPr>
              <w:t xml:space="preserve"> </w:t>
            </w:r>
            <w:r>
              <w:rPr>
                <w:color w:val="231F20"/>
                <w:w w:val="95"/>
                <w:sz w:val="14"/>
              </w:rPr>
              <w:t>service</w:t>
            </w:r>
            <w:r>
              <w:rPr>
                <w:color w:val="231F20"/>
                <w:spacing w:val="-8"/>
                <w:w w:val="95"/>
                <w:sz w:val="14"/>
              </w:rPr>
              <w:t xml:space="preserve"> </w:t>
            </w:r>
            <w:r>
              <w:rPr>
                <w:color w:val="231F20"/>
                <w:w w:val="95"/>
                <w:sz w:val="14"/>
              </w:rPr>
              <w:t>and</w:t>
            </w:r>
            <w:r>
              <w:rPr>
                <w:color w:val="231F20"/>
                <w:spacing w:val="-8"/>
                <w:w w:val="95"/>
                <w:sz w:val="14"/>
              </w:rPr>
              <w:t xml:space="preserve"> </w:t>
            </w:r>
            <w:r w:rsidR="00661EED">
              <w:rPr>
                <w:color w:val="231F20"/>
                <w:w w:val="95"/>
                <w:sz w:val="14"/>
              </w:rPr>
              <w:t>work plans</w:t>
            </w:r>
            <w:r>
              <w:rPr>
                <w:color w:val="231F20"/>
                <w:w w:val="95"/>
                <w:sz w:val="14"/>
              </w:rPr>
              <w:t>)</w:t>
            </w:r>
          </w:p>
        </w:tc>
        <w:tc>
          <w:tcPr>
            <w:tcW w:w="1457" w:type="dxa"/>
            <w:tcBorders>
              <w:top w:val="single" w:sz="6" w:space="0" w:color="231F20"/>
              <w:left w:val="single" w:sz="6" w:space="0" w:color="231F20"/>
              <w:bottom w:val="single" w:sz="6" w:space="0" w:color="231F20"/>
              <w:right w:val="single" w:sz="6" w:space="0" w:color="231F20"/>
            </w:tcBorders>
          </w:tcPr>
          <w:p w14:paraId="36B14528" w14:textId="77777777" w:rsidR="009948F1" w:rsidRDefault="00BC0563">
            <w:pPr>
              <w:pStyle w:val="TableParagraph"/>
              <w:spacing w:before="90"/>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49B6D2F7" w14:textId="77777777" w:rsidR="009948F1" w:rsidRDefault="00BC0563">
            <w:pPr>
              <w:pStyle w:val="TableParagraph"/>
              <w:spacing w:before="14" w:line="223" w:lineRule="auto"/>
              <w:ind w:left="27" w:right="116"/>
              <w:rPr>
                <w:sz w:val="14"/>
              </w:rPr>
            </w:pPr>
            <w:r>
              <w:rPr>
                <w:color w:val="231F20"/>
                <w:w w:val="90"/>
                <w:sz w:val="14"/>
              </w:rPr>
              <w:t xml:space="preserve">Establish a performance </w:t>
            </w:r>
            <w:r>
              <w:rPr>
                <w:color w:val="231F20"/>
                <w:w w:val="95"/>
                <w:sz w:val="14"/>
              </w:rPr>
              <w:t>management system</w:t>
            </w:r>
          </w:p>
        </w:tc>
      </w:tr>
      <w:tr w:rsidR="009948F1" w14:paraId="630220D2" w14:textId="77777777">
        <w:trPr>
          <w:trHeight w:val="353"/>
        </w:trPr>
        <w:tc>
          <w:tcPr>
            <w:tcW w:w="868" w:type="dxa"/>
            <w:gridSpan w:val="2"/>
            <w:vMerge/>
            <w:tcBorders>
              <w:top w:val="nil"/>
              <w:left w:val="single" w:sz="4" w:space="0" w:color="231F20"/>
              <w:bottom w:val="nil"/>
              <w:right w:val="single" w:sz="6" w:space="0" w:color="231F20"/>
            </w:tcBorders>
          </w:tcPr>
          <w:p w14:paraId="6D603E27"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03D55D5" w14:textId="77777777" w:rsidR="009948F1" w:rsidRDefault="00BC0563">
            <w:pPr>
              <w:pStyle w:val="TableParagraph"/>
              <w:spacing w:before="99"/>
              <w:ind w:left="35" w:right="12"/>
              <w:jc w:val="center"/>
              <w:rPr>
                <w:sz w:val="14"/>
              </w:rPr>
            </w:pPr>
            <w:r>
              <w:rPr>
                <w:color w:val="231F20"/>
                <w:w w:val="95"/>
                <w:sz w:val="14"/>
              </w:rPr>
              <w:t>9.3.1.c</w:t>
            </w:r>
          </w:p>
        </w:tc>
        <w:tc>
          <w:tcPr>
            <w:tcW w:w="4998" w:type="dxa"/>
            <w:gridSpan w:val="2"/>
            <w:tcBorders>
              <w:top w:val="single" w:sz="6" w:space="0" w:color="231F20"/>
              <w:left w:val="single" w:sz="6" w:space="0" w:color="231F20"/>
              <w:bottom w:val="single" w:sz="6" w:space="0" w:color="231F20"/>
              <w:right w:val="single" w:sz="6" w:space="0" w:color="231F20"/>
            </w:tcBorders>
          </w:tcPr>
          <w:p w14:paraId="6C128300" w14:textId="77777777" w:rsidR="009948F1" w:rsidRDefault="00BC0563">
            <w:pPr>
              <w:pStyle w:val="TableParagraph"/>
              <w:spacing w:before="5"/>
              <w:ind w:left="26"/>
              <w:rPr>
                <w:sz w:val="14"/>
              </w:rPr>
            </w:pPr>
            <w:r>
              <w:rPr>
                <w:color w:val="231F20"/>
                <w:w w:val="90"/>
                <w:sz w:val="14"/>
              </w:rPr>
              <w:t>Conduct</w:t>
            </w:r>
            <w:r>
              <w:rPr>
                <w:color w:val="231F20"/>
                <w:spacing w:val="-21"/>
                <w:w w:val="90"/>
                <w:sz w:val="14"/>
              </w:rPr>
              <w:t xml:space="preserve"> </w:t>
            </w:r>
            <w:r>
              <w:rPr>
                <w:color w:val="231F20"/>
                <w:w w:val="90"/>
                <w:sz w:val="14"/>
              </w:rPr>
              <w:t>periodic</w:t>
            </w:r>
            <w:r>
              <w:rPr>
                <w:color w:val="231F20"/>
                <w:spacing w:val="-21"/>
                <w:w w:val="90"/>
                <w:sz w:val="14"/>
              </w:rPr>
              <w:t xml:space="preserve"> </w:t>
            </w:r>
            <w:r>
              <w:rPr>
                <w:color w:val="231F20"/>
                <w:w w:val="90"/>
                <w:sz w:val="14"/>
              </w:rPr>
              <w:t>facility-based</w:t>
            </w:r>
            <w:r>
              <w:rPr>
                <w:color w:val="231F20"/>
                <w:spacing w:val="-20"/>
                <w:w w:val="90"/>
                <w:sz w:val="14"/>
              </w:rPr>
              <w:t xml:space="preserve"> </w:t>
            </w:r>
            <w:r>
              <w:rPr>
                <w:color w:val="231F20"/>
                <w:w w:val="90"/>
                <w:sz w:val="14"/>
              </w:rPr>
              <w:t>and</w:t>
            </w:r>
            <w:r>
              <w:rPr>
                <w:color w:val="231F20"/>
                <w:spacing w:val="-21"/>
                <w:w w:val="90"/>
                <w:sz w:val="14"/>
              </w:rPr>
              <w:t xml:space="preserve"> </w:t>
            </w:r>
            <w:r>
              <w:rPr>
                <w:color w:val="231F20"/>
                <w:w w:val="90"/>
                <w:sz w:val="14"/>
              </w:rPr>
              <w:t>health</w:t>
            </w:r>
            <w:r>
              <w:rPr>
                <w:color w:val="231F20"/>
                <w:spacing w:val="-21"/>
                <w:w w:val="90"/>
                <w:sz w:val="14"/>
              </w:rPr>
              <w:t xml:space="preserve"> </w:t>
            </w:r>
            <w:r>
              <w:rPr>
                <w:color w:val="231F20"/>
                <w:w w:val="90"/>
                <w:sz w:val="14"/>
              </w:rPr>
              <w:t>workers'</w:t>
            </w:r>
            <w:r>
              <w:rPr>
                <w:color w:val="231F20"/>
                <w:spacing w:val="-20"/>
                <w:w w:val="90"/>
                <w:sz w:val="14"/>
              </w:rPr>
              <w:t xml:space="preserve"> </w:t>
            </w:r>
            <w:r>
              <w:rPr>
                <w:color w:val="231F20"/>
                <w:w w:val="90"/>
                <w:sz w:val="14"/>
              </w:rPr>
              <w:t>performance</w:t>
            </w:r>
            <w:r>
              <w:rPr>
                <w:color w:val="231F20"/>
                <w:spacing w:val="-21"/>
                <w:w w:val="90"/>
                <w:sz w:val="14"/>
              </w:rPr>
              <w:t xml:space="preserve"> </w:t>
            </w:r>
            <w:r>
              <w:rPr>
                <w:color w:val="231F20"/>
                <w:w w:val="90"/>
                <w:sz w:val="14"/>
              </w:rPr>
              <w:t>assessment,</w:t>
            </w:r>
            <w:r>
              <w:rPr>
                <w:color w:val="231F20"/>
                <w:spacing w:val="-20"/>
                <w:w w:val="90"/>
                <w:sz w:val="14"/>
              </w:rPr>
              <w:t xml:space="preserve"> </w:t>
            </w:r>
            <w:r>
              <w:rPr>
                <w:color w:val="231F20"/>
                <w:w w:val="90"/>
                <w:sz w:val="14"/>
              </w:rPr>
              <w:t>monitoring</w:t>
            </w:r>
            <w:r>
              <w:rPr>
                <w:color w:val="231F20"/>
                <w:spacing w:val="-21"/>
                <w:w w:val="90"/>
                <w:sz w:val="14"/>
              </w:rPr>
              <w:t xml:space="preserve"> </w:t>
            </w:r>
            <w:r>
              <w:rPr>
                <w:color w:val="231F20"/>
                <w:w w:val="90"/>
                <w:sz w:val="14"/>
              </w:rPr>
              <w:t>an</w:t>
            </w:r>
          </w:p>
          <w:p w14:paraId="1D3880CD" w14:textId="77777777" w:rsidR="009948F1" w:rsidRDefault="00BC0563">
            <w:pPr>
              <w:pStyle w:val="TableParagraph"/>
              <w:spacing w:before="19" w:line="148" w:lineRule="exact"/>
              <w:ind w:left="26"/>
              <w:rPr>
                <w:sz w:val="14"/>
              </w:rPr>
            </w:pPr>
            <w:r>
              <w:rPr>
                <w:color w:val="231F20"/>
                <w:w w:val="95"/>
                <w:sz w:val="14"/>
              </w:rPr>
              <w:t>supervision</w:t>
            </w:r>
          </w:p>
        </w:tc>
        <w:tc>
          <w:tcPr>
            <w:tcW w:w="1457" w:type="dxa"/>
            <w:tcBorders>
              <w:top w:val="single" w:sz="6" w:space="0" w:color="231F20"/>
              <w:left w:val="single" w:sz="6" w:space="0" w:color="231F20"/>
              <w:bottom w:val="single" w:sz="6" w:space="0" w:color="231F20"/>
              <w:right w:val="single" w:sz="6" w:space="0" w:color="231F20"/>
            </w:tcBorders>
          </w:tcPr>
          <w:p w14:paraId="1BB1FE3C" w14:textId="77777777" w:rsidR="009948F1" w:rsidRDefault="00BC0563">
            <w:pPr>
              <w:pStyle w:val="TableParagraph"/>
              <w:spacing w:before="99"/>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1672FB66" w14:textId="77777777" w:rsidR="009948F1" w:rsidRDefault="00BC0563">
            <w:pPr>
              <w:pStyle w:val="TableParagraph"/>
              <w:spacing w:before="7"/>
              <w:ind w:left="27"/>
              <w:rPr>
                <w:sz w:val="14"/>
              </w:rPr>
            </w:pPr>
            <w:r>
              <w:rPr>
                <w:color w:val="231F20"/>
                <w:w w:val="95"/>
                <w:sz w:val="14"/>
              </w:rPr>
              <w:t>Conduct facility-based</w:t>
            </w:r>
          </w:p>
          <w:p w14:paraId="542322FD" w14:textId="77777777" w:rsidR="009948F1" w:rsidRDefault="00BC0563">
            <w:pPr>
              <w:pStyle w:val="TableParagraph"/>
              <w:spacing w:before="20" w:line="145" w:lineRule="exact"/>
              <w:ind w:left="27"/>
              <w:rPr>
                <w:sz w:val="14"/>
              </w:rPr>
            </w:pPr>
            <w:r>
              <w:rPr>
                <w:color w:val="231F20"/>
                <w:w w:val="95"/>
                <w:sz w:val="14"/>
              </w:rPr>
              <w:t>assessment</w:t>
            </w:r>
          </w:p>
        </w:tc>
      </w:tr>
      <w:tr w:rsidR="009948F1" w14:paraId="01EC135A" w14:textId="77777777">
        <w:trPr>
          <w:trHeight w:val="900"/>
        </w:trPr>
        <w:tc>
          <w:tcPr>
            <w:tcW w:w="404" w:type="dxa"/>
            <w:tcBorders>
              <w:top w:val="nil"/>
              <w:left w:val="single" w:sz="4" w:space="0" w:color="231F20"/>
              <w:bottom w:val="nil"/>
              <w:right w:val="single" w:sz="6" w:space="0" w:color="231F20"/>
            </w:tcBorders>
          </w:tcPr>
          <w:p w14:paraId="63B1FB1E"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3DFB9E24" w14:textId="77777777" w:rsidR="009948F1" w:rsidRDefault="009948F1">
            <w:pPr>
              <w:pStyle w:val="TableParagraph"/>
              <w:rPr>
                <w:sz w:val="14"/>
              </w:rPr>
            </w:pPr>
          </w:p>
          <w:p w14:paraId="78EEA8A9" w14:textId="77777777" w:rsidR="009948F1" w:rsidRDefault="009948F1">
            <w:pPr>
              <w:pStyle w:val="TableParagraph"/>
              <w:spacing w:before="4"/>
              <w:rPr>
                <w:sz w:val="18"/>
              </w:rPr>
            </w:pPr>
          </w:p>
          <w:p w14:paraId="76C95693" w14:textId="77777777" w:rsidR="009948F1" w:rsidRDefault="00BC0563">
            <w:pPr>
              <w:pStyle w:val="TableParagraph"/>
              <w:ind w:left="59"/>
              <w:rPr>
                <w:sz w:val="14"/>
              </w:rPr>
            </w:pPr>
            <w:r>
              <w:rPr>
                <w:color w:val="231F20"/>
                <w:w w:val="95"/>
                <w:sz w:val="14"/>
              </w:rPr>
              <w:t>9.3.2</w:t>
            </w:r>
          </w:p>
        </w:tc>
        <w:tc>
          <w:tcPr>
            <w:tcW w:w="3101" w:type="dxa"/>
            <w:gridSpan w:val="2"/>
            <w:tcBorders>
              <w:top w:val="single" w:sz="6" w:space="0" w:color="231F20"/>
              <w:left w:val="single" w:sz="6" w:space="0" w:color="231F20"/>
              <w:bottom w:val="single" w:sz="6" w:space="0" w:color="231F20"/>
              <w:right w:val="single" w:sz="6" w:space="0" w:color="231F20"/>
            </w:tcBorders>
            <w:shd w:val="clear" w:color="auto" w:fill="CCE7D3"/>
          </w:tcPr>
          <w:p w14:paraId="250B36EC" w14:textId="77777777" w:rsidR="009948F1" w:rsidRDefault="009948F1">
            <w:pPr>
              <w:pStyle w:val="TableParagraph"/>
              <w:spacing w:before="1"/>
              <w:rPr>
                <w:sz w:val="16"/>
              </w:rPr>
            </w:pPr>
          </w:p>
          <w:p w14:paraId="3A46B667" w14:textId="77777777" w:rsidR="009948F1" w:rsidRDefault="00BC0563">
            <w:pPr>
              <w:pStyle w:val="TableParagraph"/>
              <w:spacing w:line="268" w:lineRule="auto"/>
              <w:ind w:left="26" w:right="254" w:firstLine="33"/>
              <w:rPr>
                <w:sz w:val="14"/>
              </w:rPr>
            </w:pPr>
            <w:r>
              <w:rPr>
                <w:color w:val="231F20"/>
                <w:w w:val="90"/>
                <w:sz w:val="14"/>
              </w:rPr>
              <w:t>Establish</w:t>
            </w:r>
            <w:r>
              <w:rPr>
                <w:color w:val="231F20"/>
                <w:spacing w:val="-19"/>
                <w:w w:val="90"/>
                <w:sz w:val="14"/>
              </w:rPr>
              <w:t xml:space="preserve"> </w:t>
            </w:r>
            <w:r>
              <w:rPr>
                <w:color w:val="231F20"/>
                <w:w w:val="90"/>
                <w:sz w:val="14"/>
              </w:rPr>
              <w:t>mechanisms</w:t>
            </w:r>
            <w:r>
              <w:rPr>
                <w:color w:val="231F20"/>
                <w:spacing w:val="-19"/>
                <w:w w:val="90"/>
                <w:sz w:val="14"/>
              </w:rPr>
              <w:t xml:space="preserve"> </w:t>
            </w:r>
            <w:r>
              <w:rPr>
                <w:color w:val="231F20"/>
                <w:w w:val="90"/>
                <w:sz w:val="14"/>
              </w:rPr>
              <w:t>for</w:t>
            </w:r>
            <w:r>
              <w:rPr>
                <w:color w:val="231F20"/>
                <w:spacing w:val="-18"/>
                <w:w w:val="90"/>
                <w:sz w:val="14"/>
              </w:rPr>
              <w:t xml:space="preserve"> </w:t>
            </w:r>
            <w:r>
              <w:rPr>
                <w:color w:val="231F20"/>
                <w:w w:val="90"/>
                <w:sz w:val="14"/>
              </w:rPr>
              <w:t>annual</w:t>
            </w:r>
            <w:r>
              <w:rPr>
                <w:color w:val="231F20"/>
                <w:spacing w:val="-19"/>
                <w:w w:val="90"/>
                <w:sz w:val="14"/>
              </w:rPr>
              <w:t xml:space="preserve"> </w:t>
            </w:r>
            <w:r>
              <w:rPr>
                <w:color w:val="231F20"/>
                <w:w w:val="90"/>
                <w:sz w:val="14"/>
              </w:rPr>
              <w:t>HRH</w:t>
            </w:r>
            <w:r>
              <w:rPr>
                <w:color w:val="231F20"/>
                <w:spacing w:val="-18"/>
                <w:w w:val="90"/>
                <w:sz w:val="14"/>
              </w:rPr>
              <w:t xml:space="preserve"> </w:t>
            </w:r>
            <w:r>
              <w:rPr>
                <w:color w:val="231F20"/>
                <w:w w:val="90"/>
                <w:sz w:val="14"/>
              </w:rPr>
              <w:t>reviews</w:t>
            </w:r>
            <w:r>
              <w:rPr>
                <w:color w:val="231F20"/>
                <w:spacing w:val="-19"/>
                <w:w w:val="90"/>
                <w:sz w:val="14"/>
              </w:rPr>
              <w:t xml:space="preserve"> </w:t>
            </w:r>
            <w:r>
              <w:rPr>
                <w:color w:val="231F20"/>
                <w:w w:val="90"/>
                <w:sz w:val="14"/>
              </w:rPr>
              <w:t xml:space="preserve">and </w:t>
            </w:r>
            <w:r>
              <w:rPr>
                <w:color w:val="231F20"/>
                <w:w w:val="95"/>
                <w:sz w:val="14"/>
              </w:rPr>
              <w:t>reporting</w:t>
            </w:r>
            <w:r>
              <w:rPr>
                <w:color w:val="231F20"/>
                <w:spacing w:val="-25"/>
                <w:w w:val="95"/>
                <w:sz w:val="14"/>
              </w:rPr>
              <w:t xml:space="preserve"> </w:t>
            </w:r>
            <w:r>
              <w:rPr>
                <w:color w:val="231F20"/>
                <w:w w:val="95"/>
                <w:sz w:val="14"/>
              </w:rPr>
              <w:t>for</w:t>
            </w:r>
            <w:r>
              <w:rPr>
                <w:color w:val="231F20"/>
                <w:spacing w:val="-24"/>
                <w:w w:val="95"/>
                <w:sz w:val="14"/>
              </w:rPr>
              <w:t xml:space="preserve"> </w:t>
            </w:r>
            <w:r>
              <w:rPr>
                <w:color w:val="231F20"/>
                <w:w w:val="95"/>
                <w:sz w:val="14"/>
              </w:rPr>
              <w:t>evidence</w:t>
            </w:r>
            <w:r>
              <w:rPr>
                <w:color w:val="231F20"/>
                <w:spacing w:val="-25"/>
                <w:w w:val="95"/>
                <w:sz w:val="14"/>
              </w:rPr>
              <w:t xml:space="preserve"> </w:t>
            </w:r>
            <w:r>
              <w:rPr>
                <w:color w:val="231F20"/>
                <w:w w:val="95"/>
                <w:sz w:val="14"/>
              </w:rPr>
              <w:t>and</w:t>
            </w:r>
            <w:r>
              <w:rPr>
                <w:color w:val="231F20"/>
                <w:spacing w:val="-24"/>
                <w:w w:val="95"/>
                <w:sz w:val="14"/>
              </w:rPr>
              <w:t xml:space="preserve"> </w:t>
            </w:r>
            <w:r>
              <w:rPr>
                <w:color w:val="231F20"/>
                <w:w w:val="95"/>
                <w:sz w:val="14"/>
              </w:rPr>
              <w:t>decision</w:t>
            </w:r>
            <w:r>
              <w:rPr>
                <w:color w:val="231F20"/>
                <w:spacing w:val="-25"/>
                <w:w w:val="95"/>
                <w:sz w:val="14"/>
              </w:rPr>
              <w:t xml:space="preserve"> </w:t>
            </w:r>
            <w:r>
              <w:rPr>
                <w:color w:val="231F20"/>
                <w:w w:val="95"/>
                <w:sz w:val="14"/>
              </w:rPr>
              <w:t>making</w:t>
            </w:r>
            <w:r>
              <w:rPr>
                <w:color w:val="231F20"/>
                <w:spacing w:val="-24"/>
                <w:w w:val="95"/>
                <w:sz w:val="14"/>
              </w:rPr>
              <w:t xml:space="preserve"> </w:t>
            </w:r>
            <w:r>
              <w:rPr>
                <w:color w:val="231F20"/>
                <w:w w:val="95"/>
                <w:sz w:val="14"/>
              </w:rPr>
              <w:t>at</w:t>
            </w:r>
            <w:r>
              <w:rPr>
                <w:color w:val="231F20"/>
                <w:spacing w:val="-25"/>
                <w:w w:val="95"/>
                <w:sz w:val="14"/>
              </w:rPr>
              <w:t xml:space="preserve"> </w:t>
            </w:r>
            <w:r>
              <w:rPr>
                <w:color w:val="231F20"/>
                <w:w w:val="95"/>
                <w:sz w:val="14"/>
              </w:rPr>
              <w:t>the Federal and State</w:t>
            </w:r>
            <w:r>
              <w:rPr>
                <w:color w:val="231F20"/>
                <w:spacing w:val="-20"/>
                <w:w w:val="95"/>
                <w:sz w:val="14"/>
              </w:rPr>
              <w:t xml:space="preserve"> </w:t>
            </w:r>
            <w:r>
              <w:rPr>
                <w:color w:val="231F20"/>
                <w:w w:val="95"/>
                <w:sz w:val="14"/>
              </w:rPr>
              <w:t>levels</w:t>
            </w:r>
          </w:p>
        </w:tc>
        <w:tc>
          <w:tcPr>
            <w:tcW w:w="2434" w:type="dxa"/>
            <w:tcBorders>
              <w:top w:val="single" w:sz="6" w:space="0" w:color="231F20"/>
              <w:left w:val="single" w:sz="6" w:space="0" w:color="231F20"/>
              <w:bottom w:val="single" w:sz="6" w:space="0" w:color="231F20"/>
              <w:right w:val="single" w:sz="6" w:space="0" w:color="231F20"/>
            </w:tcBorders>
            <w:shd w:val="clear" w:color="auto" w:fill="CCE7D3"/>
          </w:tcPr>
          <w:p w14:paraId="45D06FE0" w14:textId="77777777" w:rsidR="009948F1" w:rsidRDefault="00BC0563">
            <w:pPr>
              <w:pStyle w:val="TableParagraph"/>
              <w:numPr>
                <w:ilvl w:val="0"/>
                <w:numId w:val="62"/>
              </w:numPr>
              <w:tabs>
                <w:tab w:val="left" w:pos="103"/>
              </w:tabs>
              <w:spacing w:before="10" w:line="268" w:lineRule="auto"/>
              <w:ind w:right="165" w:firstLine="0"/>
              <w:rPr>
                <w:sz w:val="14"/>
              </w:rPr>
            </w:pPr>
            <w:r>
              <w:rPr>
                <w:color w:val="231F20"/>
                <w:w w:val="90"/>
                <w:sz w:val="14"/>
              </w:rPr>
              <w:t>Joint</w:t>
            </w:r>
            <w:r>
              <w:rPr>
                <w:color w:val="231F20"/>
                <w:spacing w:val="-15"/>
                <w:w w:val="90"/>
                <w:sz w:val="14"/>
              </w:rPr>
              <w:t xml:space="preserve"> </w:t>
            </w:r>
            <w:r>
              <w:rPr>
                <w:color w:val="231F20"/>
                <w:w w:val="90"/>
                <w:sz w:val="14"/>
              </w:rPr>
              <w:t>annual</w:t>
            </w:r>
            <w:r>
              <w:rPr>
                <w:color w:val="231F20"/>
                <w:spacing w:val="-14"/>
                <w:w w:val="90"/>
                <w:sz w:val="14"/>
              </w:rPr>
              <w:t xml:space="preserve"> </w:t>
            </w:r>
            <w:r>
              <w:rPr>
                <w:color w:val="231F20"/>
                <w:w w:val="90"/>
                <w:sz w:val="14"/>
              </w:rPr>
              <w:t>reviews</w:t>
            </w:r>
            <w:r>
              <w:rPr>
                <w:color w:val="231F20"/>
                <w:spacing w:val="-14"/>
                <w:w w:val="90"/>
                <w:sz w:val="14"/>
              </w:rPr>
              <w:t xml:space="preserve"> </w:t>
            </w:r>
            <w:r>
              <w:rPr>
                <w:color w:val="231F20"/>
                <w:w w:val="90"/>
                <w:sz w:val="14"/>
              </w:rPr>
              <w:t>to</w:t>
            </w:r>
            <w:r>
              <w:rPr>
                <w:color w:val="231F20"/>
                <w:spacing w:val="-14"/>
                <w:w w:val="90"/>
                <w:sz w:val="14"/>
              </w:rPr>
              <w:t xml:space="preserve"> </w:t>
            </w:r>
            <w:r>
              <w:rPr>
                <w:color w:val="231F20"/>
                <w:w w:val="90"/>
                <w:sz w:val="14"/>
              </w:rPr>
              <w:t>assess</w:t>
            </w:r>
            <w:r>
              <w:rPr>
                <w:color w:val="231F20"/>
                <w:spacing w:val="-14"/>
                <w:w w:val="90"/>
                <w:sz w:val="14"/>
              </w:rPr>
              <w:t xml:space="preserve"> </w:t>
            </w:r>
            <w:r>
              <w:rPr>
                <w:color w:val="231F20"/>
                <w:spacing w:val="-3"/>
                <w:w w:val="90"/>
                <w:sz w:val="14"/>
              </w:rPr>
              <w:t xml:space="preserve">progress </w:t>
            </w:r>
            <w:r>
              <w:rPr>
                <w:color w:val="231F20"/>
                <w:w w:val="95"/>
                <w:sz w:val="14"/>
              </w:rPr>
              <w:t>made</w:t>
            </w:r>
            <w:r>
              <w:rPr>
                <w:color w:val="231F20"/>
                <w:spacing w:val="-14"/>
                <w:w w:val="95"/>
                <w:sz w:val="14"/>
              </w:rPr>
              <w:t xml:space="preserve"> </w:t>
            </w:r>
            <w:r>
              <w:rPr>
                <w:color w:val="231F20"/>
                <w:w w:val="95"/>
                <w:sz w:val="14"/>
              </w:rPr>
              <w:t>in</w:t>
            </w:r>
            <w:r>
              <w:rPr>
                <w:color w:val="231F20"/>
                <w:spacing w:val="-13"/>
                <w:w w:val="95"/>
                <w:sz w:val="14"/>
              </w:rPr>
              <w:t xml:space="preserve"> </w:t>
            </w:r>
            <w:r>
              <w:rPr>
                <w:color w:val="231F20"/>
                <w:w w:val="95"/>
                <w:sz w:val="14"/>
              </w:rPr>
              <w:t>implementing</w:t>
            </w:r>
            <w:r>
              <w:rPr>
                <w:color w:val="231F20"/>
                <w:spacing w:val="-13"/>
                <w:w w:val="95"/>
                <w:sz w:val="14"/>
              </w:rPr>
              <w:t xml:space="preserve"> </w:t>
            </w:r>
            <w:r>
              <w:rPr>
                <w:color w:val="231F20"/>
                <w:w w:val="95"/>
                <w:sz w:val="14"/>
              </w:rPr>
              <w:t>HRH</w:t>
            </w:r>
            <w:r>
              <w:rPr>
                <w:color w:val="231F20"/>
                <w:spacing w:val="-13"/>
                <w:w w:val="95"/>
                <w:sz w:val="14"/>
              </w:rPr>
              <w:t xml:space="preserve"> </w:t>
            </w:r>
            <w:r>
              <w:rPr>
                <w:color w:val="231F20"/>
                <w:w w:val="95"/>
                <w:sz w:val="14"/>
              </w:rPr>
              <w:t>done</w:t>
            </w:r>
          </w:p>
          <w:p w14:paraId="6860B1C6" w14:textId="029858F6" w:rsidR="009948F1" w:rsidRDefault="00BC0563">
            <w:pPr>
              <w:pStyle w:val="TableParagraph"/>
              <w:numPr>
                <w:ilvl w:val="0"/>
                <w:numId w:val="62"/>
              </w:numPr>
              <w:tabs>
                <w:tab w:val="left" w:pos="103"/>
              </w:tabs>
              <w:spacing w:before="1" w:line="268" w:lineRule="auto"/>
              <w:ind w:right="326" w:firstLine="0"/>
              <w:rPr>
                <w:sz w:val="14"/>
              </w:rPr>
            </w:pPr>
            <w:r>
              <w:rPr>
                <w:color w:val="231F20"/>
                <w:w w:val="90"/>
                <w:sz w:val="14"/>
              </w:rPr>
              <w:t>Mid-term</w:t>
            </w:r>
            <w:r>
              <w:rPr>
                <w:color w:val="231F20"/>
                <w:spacing w:val="-17"/>
                <w:w w:val="90"/>
                <w:sz w:val="14"/>
              </w:rPr>
              <w:t xml:space="preserve"> </w:t>
            </w:r>
            <w:r>
              <w:rPr>
                <w:color w:val="231F20"/>
                <w:w w:val="90"/>
                <w:sz w:val="14"/>
              </w:rPr>
              <w:t>and</w:t>
            </w:r>
            <w:r>
              <w:rPr>
                <w:color w:val="231F20"/>
                <w:spacing w:val="-16"/>
                <w:w w:val="90"/>
                <w:sz w:val="14"/>
              </w:rPr>
              <w:t xml:space="preserve"> </w:t>
            </w:r>
            <w:r>
              <w:rPr>
                <w:color w:val="231F20"/>
                <w:w w:val="90"/>
                <w:sz w:val="14"/>
              </w:rPr>
              <w:t>final</w:t>
            </w:r>
            <w:r>
              <w:rPr>
                <w:color w:val="231F20"/>
                <w:spacing w:val="-16"/>
                <w:w w:val="90"/>
                <w:sz w:val="14"/>
              </w:rPr>
              <w:t xml:space="preserve"> </w:t>
            </w:r>
            <w:r w:rsidR="00661EED">
              <w:rPr>
                <w:color w:val="231F20"/>
                <w:w w:val="90"/>
                <w:sz w:val="14"/>
              </w:rPr>
              <w:t>evaluation</w:t>
            </w:r>
            <w:r>
              <w:rPr>
                <w:color w:val="231F20"/>
                <w:spacing w:val="-17"/>
                <w:w w:val="90"/>
                <w:sz w:val="14"/>
              </w:rPr>
              <w:t xml:space="preserve"> </w:t>
            </w:r>
            <w:r>
              <w:rPr>
                <w:color w:val="231F20"/>
                <w:w w:val="90"/>
                <w:sz w:val="14"/>
              </w:rPr>
              <w:t>of</w:t>
            </w:r>
            <w:r>
              <w:rPr>
                <w:color w:val="231F20"/>
                <w:spacing w:val="-16"/>
                <w:w w:val="90"/>
                <w:sz w:val="14"/>
              </w:rPr>
              <w:t xml:space="preserve"> </w:t>
            </w:r>
            <w:r>
              <w:rPr>
                <w:color w:val="231F20"/>
                <w:w w:val="90"/>
                <w:sz w:val="14"/>
              </w:rPr>
              <w:t xml:space="preserve">HRH </w:t>
            </w:r>
            <w:r>
              <w:rPr>
                <w:color w:val="231F20"/>
                <w:w w:val="95"/>
                <w:sz w:val="14"/>
              </w:rPr>
              <w:t>strategic</w:t>
            </w:r>
            <w:r>
              <w:rPr>
                <w:color w:val="231F20"/>
                <w:spacing w:val="-25"/>
                <w:w w:val="95"/>
                <w:sz w:val="14"/>
              </w:rPr>
              <w:t xml:space="preserve"> </w:t>
            </w:r>
            <w:r>
              <w:rPr>
                <w:color w:val="231F20"/>
                <w:w w:val="95"/>
                <w:sz w:val="14"/>
              </w:rPr>
              <w:t>plan</w:t>
            </w:r>
            <w:r>
              <w:rPr>
                <w:color w:val="231F20"/>
                <w:spacing w:val="-24"/>
                <w:w w:val="95"/>
                <w:sz w:val="14"/>
              </w:rPr>
              <w:t xml:space="preserve"> </w:t>
            </w:r>
            <w:r>
              <w:rPr>
                <w:color w:val="231F20"/>
                <w:w w:val="95"/>
                <w:sz w:val="14"/>
              </w:rPr>
              <w:t>implementation</w:t>
            </w:r>
            <w:r>
              <w:rPr>
                <w:color w:val="231F20"/>
                <w:spacing w:val="-24"/>
                <w:w w:val="95"/>
                <w:sz w:val="14"/>
              </w:rPr>
              <w:t xml:space="preserve"> </w:t>
            </w:r>
            <w:r>
              <w:rPr>
                <w:color w:val="231F20"/>
                <w:w w:val="95"/>
                <w:sz w:val="14"/>
              </w:rPr>
              <w:t>done</w:t>
            </w:r>
          </w:p>
          <w:p w14:paraId="6090EB1E" w14:textId="77777777" w:rsidR="009948F1" w:rsidRDefault="00BC0563">
            <w:pPr>
              <w:pStyle w:val="TableParagraph"/>
              <w:spacing w:before="1" w:line="147" w:lineRule="exact"/>
              <w:ind w:left="26"/>
              <w:rPr>
                <w:sz w:val="14"/>
              </w:rPr>
            </w:pPr>
            <w:r>
              <w:rPr>
                <w:color w:val="231F20"/>
                <w:w w:val="86"/>
                <w:sz w:val="14"/>
              </w:rPr>
              <w:t>•</w:t>
            </w:r>
          </w:p>
        </w:tc>
        <w:tc>
          <w:tcPr>
            <w:tcW w:w="1457" w:type="dxa"/>
            <w:tcBorders>
              <w:top w:val="single" w:sz="6" w:space="0" w:color="231F20"/>
              <w:left w:val="single" w:sz="6" w:space="0" w:color="231F20"/>
              <w:bottom w:val="single" w:sz="6" w:space="0" w:color="231F20"/>
              <w:right w:val="single" w:sz="6" w:space="0" w:color="231F20"/>
            </w:tcBorders>
            <w:shd w:val="clear" w:color="auto" w:fill="CCE7D3"/>
          </w:tcPr>
          <w:p w14:paraId="3298D735" w14:textId="77777777" w:rsidR="009948F1" w:rsidRDefault="009948F1">
            <w:pPr>
              <w:pStyle w:val="TableParagraph"/>
              <w:rPr>
                <w:rFonts w:ascii="Times New Roman"/>
                <w:sz w:val="12"/>
              </w:rPr>
            </w:pPr>
          </w:p>
        </w:tc>
        <w:tc>
          <w:tcPr>
            <w:tcW w:w="1537" w:type="dxa"/>
            <w:tcBorders>
              <w:top w:val="single" w:sz="6" w:space="0" w:color="231F20"/>
              <w:left w:val="single" w:sz="6" w:space="0" w:color="231F20"/>
              <w:bottom w:val="single" w:sz="6" w:space="0" w:color="231F20"/>
              <w:right w:val="single" w:sz="6" w:space="0" w:color="231F20"/>
            </w:tcBorders>
            <w:shd w:val="clear" w:color="auto" w:fill="CCE7D3"/>
          </w:tcPr>
          <w:p w14:paraId="2C84E904" w14:textId="77777777" w:rsidR="009948F1" w:rsidRDefault="009948F1">
            <w:pPr>
              <w:pStyle w:val="TableParagraph"/>
              <w:rPr>
                <w:rFonts w:ascii="Times New Roman"/>
                <w:sz w:val="12"/>
              </w:rPr>
            </w:pPr>
          </w:p>
        </w:tc>
      </w:tr>
      <w:tr w:rsidR="009948F1" w14:paraId="28384DA6" w14:textId="77777777">
        <w:trPr>
          <w:trHeight w:val="349"/>
        </w:trPr>
        <w:tc>
          <w:tcPr>
            <w:tcW w:w="868" w:type="dxa"/>
            <w:gridSpan w:val="2"/>
            <w:vMerge w:val="restart"/>
            <w:tcBorders>
              <w:top w:val="nil"/>
              <w:left w:val="single" w:sz="4" w:space="0" w:color="231F20"/>
              <w:bottom w:val="nil"/>
              <w:right w:val="single" w:sz="6" w:space="0" w:color="231F20"/>
            </w:tcBorders>
          </w:tcPr>
          <w:p w14:paraId="58AF0F74"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4EF0B1FB" w14:textId="77777777" w:rsidR="009948F1" w:rsidRDefault="00BC0563">
            <w:pPr>
              <w:pStyle w:val="TableParagraph"/>
              <w:spacing w:before="96"/>
              <w:ind w:left="35" w:right="13"/>
              <w:jc w:val="center"/>
              <w:rPr>
                <w:sz w:val="14"/>
              </w:rPr>
            </w:pPr>
            <w:r>
              <w:rPr>
                <w:color w:val="231F20"/>
                <w:w w:val="95"/>
                <w:sz w:val="14"/>
              </w:rPr>
              <w:t>9.3.2.a</w:t>
            </w:r>
          </w:p>
        </w:tc>
        <w:tc>
          <w:tcPr>
            <w:tcW w:w="4998" w:type="dxa"/>
            <w:gridSpan w:val="2"/>
            <w:tcBorders>
              <w:top w:val="single" w:sz="6" w:space="0" w:color="231F20"/>
              <w:left w:val="single" w:sz="6" w:space="0" w:color="231F20"/>
              <w:bottom w:val="single" w:sz="6" w:space="0" w:color="231F20"/>
              <w:right w:val="single" w:sz="6" w:space="0" w:color="231F20"/>
            </w:tcBorders>
          </w:tcPr>
          <w:p w14:paraId="02E8B6B0" w14:textId="77777777" w:rsidR="009948F1" w:rsidRDefault="00BC0563">
            <w:pPr>
              <w:pStyle w:val="TableParagraph"/>
              <w:spacing w:before="5"/>
              <w:ind w:left="26"/>
              <w:rPr>
                <w:sz w:val="14"/>
              </w:rPr>
            </w:pPr>
            <w:r>
              <w:rPr>
                <w:color w:val="231F20"/>
                <w:w w:val="90"/>
                <w:sz w:val="14"/>
              </w:rPr>
              <w:t>Conduct</w:t>
            </w:r>
            <w:r>
              <w:rPr>
                <w:color w:val="231F20"/>
                <w:spacing w:val="-13"/>
                <w:w w:val="90"/>
                <w:sz w:val="14"/>
              </w:rPr>
              <w:t xml:space="preserve"> </w:t>
            </w:r>
            <w:r>
              <w:rPr>
                <w:color w:val="231F20"/>
                <w:w w:val="90"/>
                <w:sz w:val="14"/>
              </w:rPr>
              <w:t>joint</w:t>
            </w:r>
            <w:r>
              <w:rPr>
                <w:color w:val="231F20"/>
                <w:spacing w:val="-12"/>
                <w:w w:val="90"/>
                <w:sz w:val="14"/>
              </w:rPr>
              <w:t xml:space="preserve"> </w:t>
            </w:r>
            <w:r>
              <w:rPr>
                <w:color w:val="231F20"/>
                <w:w w:val="90"/>
                <w:sz w:val="14"/>
              </w:rPr>
              <w:t>annual</w:t>
            </w:r>
            <w:r>
              <w:rPr>
                <w:color w:val="231F20"/>
                <w:spacing w:val="-13"/>
                <w:w w:val="90"/>
                <w:sz w:val="14"/>
              </w:rPr>
              <w:t xml:space="preserve"> </w:t>
            </w:r>
            <w:r>
              <w:rPr>
                <w:color w:val="231F20"/>
                <w:w w:val="90"/>
                <w:sz w:val="14"/>
              </w:rPr>
              <w:t>reviews</w:t>
            </w:r>
            <w:r>
              <w:rPr>
                <w:color w:val="231F20"/>
                <w:spacing w:val="-12"/>
                <w:w w:val="90"/>
                <w:sz w:val="14"/>
              </w:rPr>
              <w:t xml:space="preserve"> </w:t>
            </w:r>
            <w:r>
              <w:rPr>
                <w:color w:val="231F20"/>
                <w:w w:val="90"/>
                <w:sz w:val="14"/>
              </w:rPr>
              <w:t>to</w:t>
            </w:r>
            <w:r>
              <w:rPr>
                <w:color w:val="231F20"/>
                <w:spacing w:val="-12"/>
                <w:w w:val="90"/>
                <w:sz w:val="14"/>
              </w:rPr>
              <w:t xml:space="preserve"> </w:t>
            </w:r>
            <w:r>
              <w:rPr>
                <w:color w:val="231F20"/>
                <w:w w:val="90"/>
                <w:sz w:val="14"/>
              </w:rPr>
              <w:t>assess</w:t>
            </w:r>
            <w:r>
              <w:rPr>
                <w:color w:val="231F20"/>
                <w:spacing w:val="-13"/>
                <w:w w:val="90"/>
                <w:sz w:val="14"/>
              </w:rPr>
              <w:t xml:space="preserve"> </w:t>
            </w:r>
            <w:r>
              <w:rPr>
                <w:color w:val="231F20"/>
                <w:w w:val="90"/>
                <w:sz w:val="14"/>
              </w:rPr>
              <w:t>progress</w:t>
            </w:r>
            <w:r>
              <w:rPr>
                <w:color w:val="231F20"/>
                <w:spacing w:val="-12"/>
                <w:w w:val="90"/>
                <w:sz w:val="14"/>
              </w:rPr>
              <w:t xml:space="preserve"> </w:t>
            </w:r>
            <w:r>
              <w:rPr>
                <w:color w:val="231F20"/>
                <w:w w:val="90"/>
                <w:sz w:val="14"/>
              </w:rPr>
              <w:t>made</w:t>
            </w:r>
            <w:r>
              <w:rPr>
                <w:color w:val="231F20"/>
                <w:spacing w:val="-12"/>
                <w:w w:val="90"/>
                <w:sz w:val="14"/>
              </w:rPr>
              <w:t xml:space="preserve"> </w:t>
            </w:r>
            <w:r>
              <w:rPr>
                <w:color w:val="231F20"/>
                <w:w w:val="90"/>
                <w:sz w:val="14"/>
              </w:rPr>
              <w:t>in</w:t>
            </w:r>
            <w:r>
              <w:rPr>
                <w:color w:val="231F20"/>
                <w:spacing w:val="-13"/>
                <w:w w:val="90"/>
                <w:sz w:val="14"/>
              </w:rPr>
              <w:t xml:space="preserve"> </w:t>
            </w:r>
            <w:r>
              <w:rPr>
                <w:color w:val="231F20"/>
                <w:w w:val="90"/>
                <w:sz w:val="14"/>
              </w:rPr>
              <w:t>implementing</w:t>
            </w:r>
            <w:r>
              <w:rPr>
                <w:color w:val="231F20"/>
                <w:spacing w:val="-12"/>
                <w:w w:val="90"/>
                <w:sz w:val="14"/>
              </w:rPr>
              <w:t xml:space="preserve"> </w:t>
            </w:r>
            <w:r>
              <w:rPr>
                <w:color w:val="231F20"/>
                <w:w w:val="90"/>
                <w:sz w:val="14"/>
              </w:rPr>
              <w:t>HRH</w:t>
            </w:r>
            <w:r>
              <w:rPr>
                <w:color w:val="231F20"/>
                <w:spacing w:val="-12"/>
                <w:w w:val="90"/>
                <w:sz w:val="14"/>
              </w:rPr>
              <w:t xml:space="preserve"> </w:t>
            </w:r>
            <w:r>
              <w:rPr>
                <w:color w:val="231F20"/>
                <w:w w:val="90"/>
                <w:sz w:val="14"/>
              </w:rPr>
              <w:t>action</w:t>
            </w:r>
            <w:r>
              <w:rPr>
                <w:color w:val="231F20"/>
                <w:spacing w:val="-13"/>
                <w:w w:val="90"/>
                <w:sz w:val="14"/>
              </w:rPr>
              <w:t xml:space="preserve"> </w:t>
            </w:r>
            <w:r>
              <w:rPr>
                <w:color w:val="231F20"/>
                <w:w w:val="90"/>
                <w:sz w:val="14"/>
              </w:rPr>
              <w:t>plans</w:t>
            </w:r>
          </w:p>
          <w:p w14:paraId="34B542DF" w14:textId="77777777" w:rsidR="009948F1" w:rsidRDefault="00BC0563">
            <w:pPr>
              <w:pStyle w:val="TableParagraph"/>
              <w:spacing w:before="19" w:line="144" w:lineRule="exact"/>
              <w:ind w:left="26"/>
              <w:rPr>
                <w:sz w:val="14"/>
              </w:rPr>
            </w:pPr>
            <w:r>
              <w:rPr>
                <w:color w:val="231F20"/>
                <w:w w:val="95"/>
                <w:sz w:val="14"/>
              </w:rPr>
              <w:t>by thematic area</w:t>
            </w:r>
          </w:p>
        </w:tc>
        <w:tc>
          <w:tcPr>
            <w:tcW w:w="1457" w:type="dxa"/>
            <w:tcBorders>
              <w:top w:val="single" w:sz="6" w:space="0" w:color="231F20"/>
              <w:left w:val="single" w:sz="6" w:space="0" w:color="231F20"/>
              <w:bottom w:val="single" w:sz="6" w:space="0" w:color="231F20"/>
              <w:right w:val="single" w:sz="6" w:space="0" w:color="231F20"/>
            </w:tcBorders>
          </w:tcPr>
          <w:p w14:paraId="28D3430D" w14:textId="77777777" w:rsidR="009948F1" w:rsidRDefault="00BC0563">
            <w:pPr>
              <w:pStyle w:val="TableParagraph"/>
              <w:spacing w:before="96"/>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4BC012A1" w14:textId="77777777" w:rsidR="009948F1" w:rsidRDefault="00BC0563">
            <w:pPr>
              <w:pStyle w:val="TableParagraph"/>
              <w:spacing w:before="6"/>
              <w:ind w:left="27"/>
              <w:rPr>
                <w:sz w:val="14"/>
              </w:rPr>
            </w:pPr>
            <w:r>
              <w:rPr>
                <w:color w:val="231F20"/>
                <w:w w:val="95"/>
                <w:sz w:val="14"/>
              </w:rPr>
              <w:t>Conduct joint annual</w:t>
            </w:r>
          </w:p>
          <w:p w14:paraId="22977A37" w14:textId="77777777" w:rsidR="009948F1" w:rsidRDefault="00BC0563">
            <w:pPr>
              <w:pStyle w:val="TableParagraph"/>
              <w:spacing w:before="20" w:line="142" w:lineRule="exact"/>
              <w:ind w:left="27"/>
              <w:rPr>
                <w:sz w:val="14"/>
              </w:rPr>
            </w:pPr>
            <w:r>
              <w:rPr>
                <w:color w:val="231F20"/>
                <w:w w:val="95"/>
                <w:sz w:val="14"/>
              </w:rPr>
              <w:t>reviews</w:t>
            </w:r>
          </w:p>
        </w:tc>
      </w:tr>
      <w:tr w:rsidR="009948F1" w14:paraId="5B32AE9F" w14:textId="77777777">
        <w:trPr>
          <w:trHeight w:val="336"/>
        </w:trPr>
        <w:tc>
          <w:tcPr>
            <w:tcW w:w="868" w:type="dxa"/>
            <w:gridSpan w:val="2"/>
            <w:vMerge/>
            <w:tcBorders>
              <w:top w:val="nil"/>
              <w:left w:val="single" w:sz="4" w:space="0" w:color="231F20"/>
              <w:bottom w:val="nil"/>
              <w:right w:val="single" w:sz="6" w:space="0" w:color="231F20"/>
            </w:tcBorders>
          </w:tcPr>
          <w:p w14:paraId="13079F97"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68225DF" w14:textId="77777777" w:rsidR="009948F1" w:rsidRDefault="00BC0563">
            <w:pPr>
              <w:pStyle w:val="TableParagraph"/>
              <w:spacing w:before="90"/>
              <w:ind w:left="35" w:right="13"/>
              <w:jc w:val="center"/>
              <w:rPr>
                <w:sz w:val="14"/>
              </w:rPr>
            </w:pPr>
            <w:r>
              <w:rPr>
                <w:color w:val="231F20"/>
                <w:w w:val="95"/>
                <w:sz w:val="14"/>
              </w:rPr>
              <w:t>9.3.2.b</w:t>
            </w:r>
          </w:p>
        </w:tc>
        <w:tc>
          <w:tcPr>
            <w:tcW w:w="4998" w:type="dxa"/>
            <w:gridSpan w:val="2"/>
            <w:tcBorders>
              <w:top w:val="single" w:sz="6" w:space="0" w:color="231F20"/>
              <w:left w:val="single" w:sz="6" w:space="0" w:color="231F20"/>
              <w:bottom w:val="single" w:sz="6" w:space="0" w:color="231F20"/>
              <w:right w:val="single" w:sz="6" w:space="0" w:color="231F20"/>
            </w:tcBorders>
          </w:tcPr>
          <w:p w14:paraId="69F39076" w14:textId="77777777" w:rsidR="009948F1" w:rsidRDefault="00BC0563">
            <w:pPr>
              <w:pStyle w:val="TableParagraph"/>
              <w:spacing w:before="84"/>
              <w:ind w:left="26"/>
              <w:rPr>
                <w:sz w:val="14"/>
              </w:rPr>
            </w:pPr>
            <w:r>
              <w:rPr>
                <w:color w:val="231F20"/>
                <w:w w:val="95"/>
                <w:sz w:val="14"/>
              </w:rPr>
              <w:t>Conduct mid-term and final evaluation of HRH strategic plan implementation</w:t>
            </w:r>
          </w:p>
        </w:tc>
        <w:tc>
          <w:tcPr>
            <w:tcW w:w="1457" w:type="dxa"/>
            <w:tcBorders>
              <w:top w:val="single" w:sz="6" w:space="0" w:color="231F20"/>
              <w:left w:val="single" w:sz="6" w:space="0" w:color="231F20"/>
              <w:bottom w:val="single" w:sz="6" w:space="0" w:color="231F20"/>
              <w:right w:val="single" w:sz="6" w:space="0" w:color="231F20"/>
            </w:tcBorders>
          </w:tcPr>
          <w:p w14:paraId="3FF9DE67" w14:textId="77777777" w:rsidR="009948F1" w:rsidRDefault="00BC0563">
            <w:pPr>
              <w:pStyle w:val="TableParagraph"/>
              <w:spacing w:before="90"/>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6FD5DF98" w14:textId="77777777" w:rsidR="009948F1" w:rsidRDefault="00BC0563">
            <w:pPr>
              <w:pStyle w:val="TableParagraph"/>
              <w:spacing w:before="5"/>
              <w:ind w:left="27"/>
              <w:rPr>
                <w:sz w:val="14"/>
              </w:rPr>
            </w:pPr>
            <w:r>
              <w:rPr>
                <w:color w:val="231F20"/>
                <w:w w:val="95"/>
                <w:sz w:val="14"/>
              </w:rPr>
              <w:t>Conduct mid-term</w:t>
            </w:r>
          </w:p>
          <w:p w14:paraId="7AEFC3AD" w14:textId="07E20AC8" w:rsidR="009948F1" w:rsidRDefault="00661EED">
            <w:pPr>
              <w:pStyle w:val="TableParagraph"/>
              <w:spacing w:before="19" w:line="131" w:lineRule="exact"/>
              <w:ind w:left="27"/>
              <w:rPr>
                <w:sz w:val="14"/>
              </w:rPr>
            </w:pPr>
            <w:r>
              <w:rPr>
                <w:color w:val="231F20"/>
                <w:w w:val="95"/>
                <w:sz w:val="14"/>
              </w:rPr>
              <w:t>evaluation</w:t>
            </w:r>
          </w:p>
        </w:tc>
      </w:tr>
      <w:tr w:rsidR="009948F1" w14:paraId="5BF4B6D2" w14:textId="77777777">
        <w:trPr>
          <w:trHeight w:val="1015"/>
        </w:trPr>
        <w:tc>
          <w:tcPr>
            <w:tcW w:w="404" w:type="dxa"/>
            <w:tcBorders>
              <w:top w:val="nil"/>
              <w:left w:val="single" w:sz="4" w:space="0" w:color="231F20"/>
              <w:bottom w:val="nil"/>
              <w:right w:val="single" w:sz="6" w:space="0" w:color="231F20"/>
            </w:tcBorders>
          </w:tcPr>
          <w:p w14:paraId="4261DD75"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3F79A739" w14:textId="77777777" w:rsidR="009948F1" w:rsidRDefault="009948F1">
            <w:pPr>
              <w:pStyle w:val="TableParagraph"/>
              <w:rPr>
                <w:sz w:val="14"/>
              </w:rPr>
            </w:pPr>
          </w:p>
          <w:p w14:paraId="391107C1" w14:textId="77777777" w:rsidR="009948F1" w:rsidRDefault="009948F1">
            <w:pPr>
              <w:pStyle w:val="TableParagraph"/>
              <w:rPr>
                <w:sz w:val="14"/>
              </w:rPr>
            </w:pPr>
          </w:p>
          <w:p w14:paraId="5D634CFB" w14:textId="77777777" w:rsidR="009948F1" w:rsidRDefault="00BC0563">
            <w:pPr>
              <w:pStyle w:val="TableParagraph"/>
              <w:spacing w:before="107"/>
              <w:ind w:left="59"/>
              <w:rPr>
                <w:sz w:val="14"/>
              </w:rPr>
            </w:pPr>
            <w:r>
              <w:rPr>
                <w:color w:val="231F20"/>
                <w:w w:val="95"/>
                <w:sz w:val="14"/>
              </w:rPr>
              <w:t>9.3.3</w:t>
            </w:r>
          </w:p>
        </w:tc>
        <w:tc>
          <w:tcPr>
            <w:tcW w:w="310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58D192B" w14:textId="77777777" w:rsidR="009948F1" w:rsidRDefault="009948F1">
            <w:pPr>
              <w:pStyle w:val="TableParagraph"/>
              <w:rPr>
                <w:sz w:val="14"/>
              </w:rPr>
            </w:pPr>
          </w:p>
          <w:p w14:paraId="510B543F" w14:textId="77777777" w:rsidR="009948F1" w:rsidRDefault="009948F1">
            <w:pPr>
              <w:pStyle w:val="TableParagraph"/>
              <w:spacing w:before="10"/>
              <w:rPr>
                <w:sz w:val="14"/>
              </w:rPr>
            </w:pPr>
          </w:p>
          <w:p w14:paraId="3AABD59F" w14:textId="77777777" w:rsidR="009948F1" w:rsidRDefault="00BC0563">
            <w:pPr>
              <w:pStyle w:val="TableParagraph"/>
              <w:spacing w:line="268" w:lineRule="auto"/>
              <w:ind w:left="26" w:right="205" w:firstLine="33"/>
              <w:rPr>
                <w:sz w:val="14"/>
              </w:rPr>
            </w:pPr>
            <w:r>
              <w:rPr>
                <w:color w:val="231F20"/>
                <w:w w:val="90"/>
                <w:sz w:val="14"/>
              </w:rPr>
              <w:t>Improve the production of HRH research evidence through monitoring and evaluation mechanisms</w:t>
            </w:r>
          </w:p>
        </w:tc>
        <w:tc>
          <w:tcPr>
            <w:tcW w:w="2434" w:type="dxa"/>
            <w:tcBorders>
              <w:top w:val="single" w:sz="6" w:space="0" w:color="231F20"/>
              <w:left w:val="single" w:sz="6" w:space="0" w:color="231F20"/>
              <w:bottom w:val="single" w:sz="6" w:space="0" w:color="231F20"/>
              <w:right w:val="single" w:sz="6" w:space="0" w:color="231F20"/>
            </w:tcBorders>
            <w:shd w:val="clear" w:color="auto" w:fill="CCE7D3"/>
          </w:tcPr>
          <w:p w14:paraId="6D2EFB57" w14:textId="77777777" w:rsidR="009948F1" w:rsidRDefault="00BC0563">
            <w:pPr>
              <w:pStyle w:val="TableParagraph"/>
              <w:numPr>
                <w:ilvl w:val="0"/>
                <w:numId w:val="61"/>
              </w:numPr>
              <w:tabs>
                <w:tab w:val="left" w:pos="103"/>
              </w:tabs>
              <w:spacing w:before="5"/>
              <w:ind w:left="102"/>
              <w:jc w:val="both"/>
              <w:rPr>
                <w:sz w:val="14"/>
              </w:rPr>
            </w:pPr>
            <w:r>
              <w:rPr>
                <w:color w:val="231F20"/>
                <w:w w:val="90"/>
                <w:sz w:val="14"/>
              </w:rPr>
              <w:t>Capacity</w:t>
            </w:r>
            <w:r>
              <w:rPr>
                <w:color w:val="231F20"/>
                <w:spacing w:val="-12"/>
                <w:w w:val="90"/>
                <w:sz w:val="14"/>
              </w:rPr>
              <w:t xml:space="preserve"> </w:t>
            </w:r>
            <w:r>
              <w:rPr>
                <w:color w:val="231F20"/>
                <w:w w:val="90"/>
                <w:sz w:val="14"/>
              </w:rPr>
              <w:t>building</w:t>
            </w:r>
            <w:r>
              <w:rPr>
                <w:color w:val="231F20"/>
                <w:spacing w:val="-12"/>
                <w:w w:val="90"/>
                <w:sz w:val="14"/>
              </w:rPr>
              <w:t xml:space="preserve"> </w:t>
            </w:r>
            <w:r>
              <w:rPr>
                <w:color w:val="231F20"/>
                <w:w w:val="90"/>
                <w:sz w:val="14"/>
              </w:rPr>
              <w:t>for</w:t>
            </w:r>
            <w:r>
              <w:rPr>
                <w:color w:val="231F20"/>
                <w:spacing w:val="-11"/>
                <w:w w:val="90"/>
                <w:sz w:val="14"/>
              </w:rPr>
              <w:t xml:space="preserve"> </w:t>
            </w:r>
            <w:r>
              <w:rPr>
                <w:color w:val="231F20"/>
                <w:w w:val="90"/>
                <w:sz w:val="14"/>
              </w:rPr>
              <w:t>HRH</w:t>
            </w:r>
            <w:r>
              <w:rPr>
                <w:color w:val="231F20"/>
                <w:spacing w:val="-12"/>
                <w:w w:val="90"/>
                <w:sz w:val="14"/>
              </w:rPr>
              <w:t xml:space="preserve"> </w:t>
            </w:r>
            <w:r>
              <w:rPr>
                <w:color w:val="231F20"/>
                <w:w w:val="90"/>
                <w:sz w:val="14"/>
              </w:rPr>
              <w:t>research</w:t>
            </w:r>
            <w:r>
              <w:rPr>
                <w:color w:val="231F20"/>
                <w:spacing w:val="-12"/>
                <w:w w:val="90"/>
                <w:sz w:val="14"/>
              </w:rPr>
              <w:t xml:space="preserve"> </w:t>
            </w:r>
            <w:r>
              <w:rPr>
                <w:color w:val="231F20"/>
                <w:w w:val="90"/>
                <w:sz w:val="14"/>
              </w:rPr>
              <w:t>done</w:t>
            </w:r>
          </w:p>
          <w:p w14:paraId="3E6D3CDB" w14:textId="77777777" w:rsidR="009948F1" w:rsidRDefault="00BC0563">
            <w:pPr>
              <w:pStyle w:val="TableParagraph"/>
              <w:numPr>
                <w:ilvl w:val="0"/>
                <w:numId w:val="61"/>
              </w:numPr>
              <w:tabs>
                <w:tab w:val="left" w:pos="70"/>
              </w:tabs>
              <w:spacing w:before="19" w:line="268" w:lineRule="auto"/>
              <w:ind w:right="191" w:firstLine="0"/>
              <w:jc w:val="both"/>
              <w:rPr>
                <w:sz w:val="14"/>
              </w:rPr>
            </w:pPr>
            <w:r>
              <w:rPr>
                <w:color w:val="231F20"/>
                <w:w w:val="90"/>
                <w:sz w:val="14"/>
              </w:rPr>
              <w:t>Research</w:t>
            </w:r>
            <w:r>
              <w:rPr>
                <w:color w:val="231F20"/>
                <w:spacing w:val="-18"/>
                <w:w w:val="90"/>
                <w:sz w:val="14"/>
              </w:rPr>
              <w:t xml:space="preserve"> </w:t>
            </w:r>
            <w:r>
              <w:rPr>
                <w:color w:val="231F20"/>
                <w:w w:val="90"/>
                <w:sz w:val="14"/>
              </w:rPr>
              <w:t>to</w:t>
            </w:r>
            <w:r>
              <w:rPr>
                <w:color w:val="231F20"/>
                <w:spacing w:val="-18"/>
                <w:w w:val="90"/>
                <w:sz w:val="14"/>
              </w:rPr>
              <w:t xml:space="preserve"> </w:t>
            </w:r>
            <w:r>
              <w:rPr>
                <w:color w:val="231F20"/>
                <w:w w:val="90"/>
                <w:sz w:val="14"/>
              </w:rPr>
              <w:t>improve</w:t>
            </w:r>
            <w:r>
              <w:rPr>
                <w:color w:val="231F20"/>
                <w:spacing w:val="-17"/>
                <w:w w:val="90"/>
                <w:sz w:val="14"/>
              </w:rPr>
              <w:t xml:space="preserve"> </w:t>
            </w:r>
            <w:r>
              <w:rPr>
                <w:color w:val="231F20"/>
                <w:w w:val="90"/>
                <w:sz w:val="14"/>
              </w:rPr>
              <w:t>the</w:t>
            </w:r>
            <w:r>
              <w:rPr>
                <w:color w:val="231F20"/>
                <w:spacing w:val="-18"/>
                <w:w w:val="90"/>
                <w:sz w:val="14"/>
              </w:rPr>
              <w:t xml:space="preserve"> </w:t>
            </w:r>
            <w:r>
              <w:rPr>
                <w:color w:val="231F20"/>
                <w:w w:val="90"/>
                <w:sz w:val="14"/>
              </w:rPr>
              <w:t>production</w:t>
            </w:r>
            <w:r>
              <w:rPr>
                <w:color w:val="231F20"/>
                <w:spacing w:val="-17"/>
                <w:w w:val="90"/>
                <w:sz w:val="14"/>
              </w:rPr>
              <w:t xml:space="preserve"> </w:t>
            </w:r>
            <w:r>
              <w:rPr>
                <w:color w:val="231F20"/>
                <w:w w:val="90"/>
                <w:sz w:val="14"/>
              </w:rPr>
              <w:t>and utilization</w:t>
            </w:r>
            <w:r>
              <w:rPr>
                <w:color w:val="231F20"/>
                <w:spacing w:val="-21"/>
                <w:w w:val="90"/>
                <w:sz w:val="14"/>
              </w:rPr>
              <w:t xml:space="preserve"> </w:t>
            </w:r>
            <w:r>
              <w:rPr>
                <w:color w:val="231F20"/>
                <w:w w:val="90"/>
                <w:sz w:val="14"/>
              </w:rPr>
              <w:t>of</w:t>
            </w:r>
            <w:r>
              <w:rPr>
                <w:color w:val="231F20"/>
                <w:spacing w:val="-21"/>
                <w:w w:val="90"/>
                <w:sz w:val="14"/>
              </w:rPr>
              <w:t xml:space="preserve"> </w:t>
            </w:r>
            <w:r>
              <w:rPr>
                <w:color w:val="231F20"/>
                <w:w w:val="90"/>
                <w:sz w:val="14"/>
              </w:rPr>
              <w:t>relevant</w:t>
            </w:r>
            <w:r>
              <w:rPr>
                <w:color w:val="231F20"/>
                <w:spacing w:val="-21"/>
                <w:w w:val="90"/>
                <w:sz w:val="14"/>
              </w:rPr>
              <w:t xml:space="preserve"> </w:t>
            </w:r>
            <w:r>
              <w:rPr>
                <w:color w:val="231F20"/>
                <w:w w:val="90"/>
                <w:sz w:val="14"/>
              </w:rPr>
              <w:t>professional</w:t>
            </w:r>
            <w:r>
              <w:rPr>
                <w:color w:val="231F20"/>
                <w:spacing w:val="-20"/>
                <w:w w:val="90"/>
                <w:sz w:val="14"/>
              </w:rPr>
              <w:t xml:space="preserve"> </w:t>
            </w:r>
            <w:r>
              <w:rPr>
                <w:color w:val="231F20"/>
                <w:w w:val="90"/>
                <w:sz w:val="14"/>
              </w:rPr>
              <w:t xml:space="preserve">cadres </w:t>
            </w:r>
            <w:r>
              <w:rPr>
                <w:color w:val="231F20"/>
                <w:w w:val="95"/>
                <w:sz w:val="14"/>
              </w:rPr>
              <w:t>and skill mix</w:t>
            </w:r>
            <w:r>
              <w:rPr>
                <w:color w:val="231F20"/>
                <w:spacing w:val="-19"/>
                <w:w w:val="95"/>
                <w:sz w:val="14"/>
              </w:rPr>
              <w:t xml:space="preserve"> </w:t>
            </w:r>
            <w:r>
              <w:rPr>
                <w:color w:val="231F20"/>
                <w:w w:val="95"/>
                <w:sz w:val="14"/>
              </w:rPr>
              <w:t>done</w:t>
            </w:r>
          </w:p>
          <w:p w14:paraId="7FC467F5" w14:textId="77777777" w:rsidR="009948F1" w:rsidRDefault="00BC0563">
            <w:pPr>
              <w:pStyle w:val="TableParagraph"/>
              <w:numPr>
                <w:ilvl w:val="0"/>
                <w:numId w:val="61"/>
              </w:numPr>
              <w:tabs>
                <w:tab w:val="left" w:pos="103"/>
              </w:tabs>
              <w:spacing w:before="19" w:line="142" w:lineRule="exact"/>
              <w:ind w:right="293" w:firstLine="0"/>
              <w:jc w:val="both"/>
              <w:rPr>
                <w:sz w:val="14"/>
              </w:rPr>
            </w:pPr>
            <w:r>
              <w:rPr>
                <w:color w:val="231F20"/>
                <w:w w:val="90"/>
                <w:sz w:val="14"/>
              </w:rPr>
              <w:t>Platform</w:t>
            </w:r>
            <w:r>
              <w:rPr>
                <w:color w:val="231F20"/>
                <w:spacing w:val="-21"/>
                <w:w w:val="90"/>
                <w:sz w:val="14"/>
              </w:rPr>
              <w:t xml:space="preserve"> </w:t>
            </w:r>
            <w:r>
              <w:rPr>
                <w:color w:val="231F20"/>
                <w:w w:val="90"/>
                <w:sz w:val="14"/>
              </w:rPr>
              <w:t>for</w:t>
            </w:r>
            <w:r>
              <w:rPr>
                <w:color w:val="231F20"/>
                <w:spacing w:val="-21"/>
                <w:w w:val="90"/>
                <w:sz w:val="14"/>
              </w:rPr>
              <w:t xml:space="preserve"> </w:t>
            </w:r>
            <w:r>
              <w:rPr>
                <w:color w:val="231F20"/>
                <w:w w:val="90"/>
                <w:sz w:val="14"/>
              </w:rPr>
              <w:t>translating</w:t>
            </w:r>
            <w:r>
              <w:rPr>
                <w:color w:val="231F20"/>
                <w:spacing w:val="-20"/>
                <w:w w:val="90"/>
                <w:sz w:val="14"/>
              </w:rPr>
              <w:t xml:space="preserve"> </w:t>
            </w:r>
            <w:r>
              <w:rPr>
                <w:color w:val="231F20"/>
                <w:w w:val="90"/>
                <w:sz w:val="14"/>
              </w:rPr>
              <w:t>HRH</w:t>
            </w:r>
            <w:r>
              <w:rPr>
                <w:color w:val="231F20"/>
                <w:spacing w:val="-21"/>
                <w:w w:val="90"/>
                <w:sz w:val="14"/>
              </w:rPr>
              <w:t xml:space="preserve"> </w:t>
            </w:r>
            <w:r>
              <w:rPr>
                <w:color w:val="231F20"/>
                <w:w w:val="90"/>
                <w:sz w:val="14"/>
              </w:rPr>
              <w:t xml:space="preserve">research </w:t>
            </w:r>
            <w:r>
              <w:rPr>
                <w:color w:val="231F20"/>
                <w:w w:val="95"/>
                <w:sz w:val="14"/>
              </w:rPr>
              <w:t>findings to action</w:t>
            </w:r>
            <w:r>
              <w:rPr>
                <w:color w:val="231F20"/>
                <w:spacing w:val="-27"/>
                <w:w w:val="95"/>
                <w:sz w:val="14"/>
              </w:rPr>
              <w:t xml:space="preserve"> </w:t>
            </w:r>
            <w:r>
              <w:rPr>
                <w:color w:val="231F20"/>
                <w:w w:val="95"/>
                <w:sz w:val="14"/>
              </w:rPr>
              <w:t>created</w:t>
            </w:r>
          </w:p>
        </w:tc>
        <w:tc>
          <w:tcPr>
            <w:tcW w:w="1457" w:type="dxa"/>
            <w:tcBorders>
              <w:top w:val="single" w:sz="6" w:space="0" w:color="231F20"/>
              <w:left w:val="single" w:sz="6" w:space="0" w:color="231F20"/>
              <w:bottom w:val="single" w:sz="6" w:space="0" w:color="231F20"/>
              <w:right w:val="single" w:sz="6" w:space="0" w:color="231F20"/>
            </w:tcBorders>
            <w:shd w:val="clear" w:color="auto" w:fill="CCE7D3"/>
          </w:tcPr>
          <w:p w14:paraId="2CD5305F" w14:textId="77777777" w:rsidR="009948F1" w:rsidRDefault="009948F1">
            <w:pPr>
              <w:pStyle w:val="TableParagraph"/>
              <w:rPr>
                <w:rFonts w:ascii="Times New Roman"/>
                <w:sz w:val="12"/>
              </w:rPr>
            </w:pPr>
          </w:p>
        </w:tc>
        <w:tc>
          <w:tcPr>
            <w:tcW w:w="1537" w:type="dxa"/>
            <w:tcBorders>
              <w:top w:val="single" w:sz="6" w:space="0" w:color="231F20"/>
              <w:left w:val="single" w:sz="6" w:space="0" w:color="231F20"/>
              <w:bottom w:val="single" w:sz="6" w:space="0" w:color="231F20"/>
              <w:right w:val="single" w:sz="6" w:space="0" w:color="231F20"/>
            </w:tcBorders>
            <w:shd w:val="clear" w:color="auto" w:fill="CCE7D3"/>
          </w:tcPr>
          <w:p w14:paraId="09AD647D" w14:textId="77777777" w:rsidR="009948F1" w:rsidRDefault="009948F1">
            <w:pPr>
              <w:pStyle w:val="TableParagraph"/>
              <w:rPr>
                <w:rFonts w:ascii="Times New Roman"/>
                <w:sz w:val="12"/>
              </w:rPr>
            </w:pPr>
          </w:p>
        </w:tc>
      </w:tr>
      <w:tr w:rsidR="009948F1" w14:paraId="40F4A78C" w14:textId="77777777">
        <w:trPr>
          <w:trHeight w:val="335"/>
        </w:trPr>
        <w:tc>
          <w:tcPr>
            <w:tcW w:w="868" w:type="dxa"/>
            <w:gridSpan w:val="2"/>
            <w:vMerge w:val="restart"/>
            <w:tcBorders>
              <w:top w:val="nil"/>
              <w:left w:val="single" w:sz="4" w:space="0" w:color="231F20"/>
              <w:bottom w:val="single" w:sz="6" w:space="0" w:color="231F20"/>
              <w:right w:val="single" w:sz="6" w:space="0" w:color="231F20"/>
            </w:tcBorders>
          </w:tcPr>
          <w:p w14:paraId="561684F5"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38F78FB5" w14:textId="77777777" w:rsidR="009948F1" w:rsidRDefault="00BC0563">
            <w:pPr>
              <w:pStyle w:val="TableParagraph"/>
              <w:spacing w:before="82"/>
              <w:ind w:left="35" w:right="13"/>
              <w:jc w:val="center"/>
              <w:rPr>
                <w:sz w:val="14"/>
              </w:rPr>
            </w:pPr>
            <w:r>
              <w:rPr>
                <w:color w:val="231F20"/>
                <w:w w:val="95"/>
                <w:sz w:val="14"/>
              </w:rPr>
              <w:t>9.3.3.a</w:t>
            </w:r>
          </w:p>
        </w:tc>
        <w:tc>
          <w:tcPr>
            <w:tcW w:w="4998" w:type="dxa"/>
            <w:gridSpan w:val="2"/>
            <w:tcBorders>
              <w:top w:val="single" w:sz="6" w:space="0" w:color="231F20"/>
              <w:left w:val="single" w:sz="6" w:space="0" w:color="231F20"/>
              <w:bottom w:val="single" w:sz="6" w:space="0" w:color="231F20"/>
              <w:right w:val="single" w:sz="6" w:space="0" w:color="231F20"/>
            </w:tcBorders>
          </w:tcPr>
          <w:p w14:paraId="0C50F164" w14:textId="77777777" w:rsidR="009948F1" w:rsidRDefault="00BC0563">
            <w:pPr>
              <w:pStyle w:val="TableParagraph"/>
              <w:spacing w:before="76"/>
              <w:ind w:left="26"/>
              <w:rPr>
                <w:sz w:val="14"/>
              </w:rPr>
            </w:pPr>
            <w:r>
              <w:rPr>
                <w:color w:val="231F20"/>
                <w:w w:val="95"/>
                <w:sz w:val="14"/>
              </w:rPr>
              <w:t>Promote and build capacity for HRH research</w:t>
            </w:r>
          </w:p>
        </w:tc>
        <w:tc>
          <w:tcPr>
            <w:tcW w:w="1457" w:type="dxa"/>
            <w:tcBorders>
              <w:top w:val="single" w:sz="6" w:space="0" w:color="231F20"/>
              <w:left w:val="single" w:sz="6" w:space="0" w:color="231F20"/>
              <w:bottom w:val="single" w:sz="6" w:space="0" w:color="231F20"/>
              <w:right w:val="single" w:sz="6" w:space="0" w:color="231F20"/>
            </w:tcBorders>
          </w:tcPr>
          <w:p w14:paraId="18494C9E" w14:textId="77777777" w:rsidR="009948F1" w:rsidRDefault="00BC0563">
            <w:pPr>
              <w:pStyle w:val="TableParagraph"/>
              <w:spacing w:before="82"/>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4F0D0138" w14:textId="77777777" w:rsidR="009948F1" w:rsidRDefault="00BC0563">
            <w:pPr>
              <w:pStyle w:val="TableParagraph"/>
              <w:spacing w:before="82"/>
              <w:ind w:left="27"/>
              <w:rPr>
                <w:sz w:val="14"/>
              </w:rPr>
            </w:pPr>
            <w:r>
              <w:rPr>
                <w:color w:val="231F20"/>
                <w:w w:val="90"/>
                <w:sz w:val="14"/>
              </w:rPr>
              <w:t>Promote</w:t>
            </w:r>
            <w:r>
              <w:rPr>
                <w:color w:val="231F20"/>
                <w:spacing w:val="-16"/>
                <w:w w:val="90"/>
                <w:sz w:val="14"/>
              </w:rPr>
              <w:t xml:space="preserve"> </w:t>
            </w:r>
            <w:r>
              <w:rPr>
                <w:color w:val="231F20"/>
                <w:w w:val="90"/>
                <w:sz w:val="14"/>
              </w:rPr>
              <w:t>and</w:t>
            </w:r>
            <w:r>
              <w:rPr>
                <w:color w:val="231F20"/>
                <w:spacing w:val="-16"/>
                <w:w w:val="90"/>
                <w:sz w:val="14"/>
              </w:rPr>
              <w:t xml:space="preserve"> </w:t>
            </w:r>
            <w:r>
              <w:rPr>
                <w:color w:val="231F20"/>
                <w:w w:val="90"/>
                <w:sz w:val="14"/>
              </w:rPr>
              <w:t>build</w:t>
            </w:r>
            <w:r>
              <w:rPr>
                <w:color w:val="231F20"/>
                <w:spacing w:val="-16"/>
                <w:w w:val="90"/>
                <w:sz w:val="14"/>
              </w:rPr>
              <w:t xml:space="preserve"> </w:t>
            </w:r>
            <w:r>
              <w:rPr>
                <w:color w:val="231F20"/>
                <w:w w:val="90"/>
                <w:sz w:val="14"/>
              </w:rPr>
              <w:t>capacity</w:t>
            </w:r>
          </w:p>
        </w:tc>
      </w:tr>
      <w:tr w:rsidR="009948F1" w14:paraId="43A1CD11" w14:textId="77777777">
        <w:trPr>
          <w:trHeight w:val="455"/>
        </w:trPr>
        <w:tc>
          <w:tcPr>
            <w:tcW w:w="868" w:type="dxa"/>
            <w:gridSpan w:val="2"/>
            <w:vMerge/>
            <w:tcBorders>
              <w:top w:val="nil"/>
              <w:left w:val="single" w:sz="4" w:space="0" w:color="231F20"/>
              <w:bottom w:val="single" w:sz="6" w:space="0" w:color="231F20"/>
              <w:right w:val="single" w:sz="6" w:space="0" w:color="231F20"/>
            </w:tcBorders>
          </w:tcPr>
          <w:p w14:paraId="04CC7669"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32E757BD" w14:textId="77777777" w:rsidR="009948F1" w:rsidRDefault="009948F1">
            <w:pPr>
              <w:pStyle w:val="TableParagraph"/>
              <w:spacing w:before="10"/>
              <w:rPr>
                <w:sz w:val="12"/>
              </w:rPr>
            </w:pPr>
          </w:p>
          <w:p w14:paraId="701DACF9" w14:textId="77777777" w:rsidR="009948F1" w:rsidRDefault="00BC0563">
            <w:pPr>
              <w:pStyle w:val="TableParagraph"/>
              <w:spacing w:before="1"/>
              <w:ind w:left="35" w:right="13"/>
              <w:jc w:val="center"/>
              <w:rPr>
                <w:sz w:val="14"/>
              </w:rPr>
            </w:pPr>
            <w:r>
              <w:rPr>
                <w:color w:val="231F20"/>
                <w:w w:val="95"/>
                <w:sz w:val="14"/>
              </w:rPr>
              <w:t>9.3.3.b</w:t>
            </w:r>
          </w:p>
        </w:tc>
        <w:tc>
          <w:tcPr>
            <w:tcW w:w="4998" w:type="dxa"/>
            <w:gridSpan w:val="2"/>
            <w:tcBorders>
              <w:top w:val="single" w:sz="6" w:space="0" w:color="231F20"/>
              <w:left w:val="single" w:sz="6" w:space="0" w:color="231F20"/>
              <w:bottom w:val="single" w:sz="6" w:space="0" w:color="231F20"/>
              <w:right w:val="single" w:sz="6" w:space="0" w:color="231F20"/>
            </w:tcBorders>
          </w:tcPr>
          <w:p w14:paraId="3D81B8F4" w14:textId="77777777" w:rsidR="009948F1" w:rsidRDefault="00BC0563">
            <w:pPr>
              <w:pStyle w:val="TableParagraph"/>
              <w:spacing w:before="53" w:line="268" w:lineRule="auto"/>
              <w:ind w:left="26" w:right="59"/>
              <w:rPr>
                <w:sz w:val="14"/>
              </w:rPr>
            </w:pPr>
            <w:r>
              <w:rPr>
                <w:color w:val="231F20"/>
                <w:w w:val="90"/>
                <w:sz w:val="14"/>
              </w:rPr>
              <w:t>Conduct</w:t>
            </w:r>
            <w:r>
              <w:rPr>
                <w:color w:val="231F20"/>
                <w:spacing w:val="-19"/>
                <w:w w:val="90"/>
                <w:sz w:val="14"/>
              </w:rPr>
              <w:t xml:space="preserve"> </w:t>
            </w:r>
            <w:r>
              <w:rPr>
                <w:color w:val="231F20"/>
                <w:w w:val="90"/>
                <w:sz w:val="14"/>
              </w:rPr>
              <w:t>relevant</w:t>
            </w:r>
            <w:r>
              <w:rPr>
                <w:color w:val="231F20"/>
                <w:spacing w:val="-18"/>
                <w:w w:val="90"/>
                <w:sz w:val="14"/>
              </w:rPr>
              <w:t xml:space="preserve"> </w:t>
            </w:r>
            <w:r>
              <w:rPr>
                <w:color w:val="231F20"/>
                <w:w w:val="90"/>
                <w:sz w:val="14"/>
              </w:rPr>
              <w:t>research</w:t>
            </w:r>
            <w:r>
              <w:rPr>
                <w:color w:val="231F20"/>
                <w:spacing w:val="-18"/>
                <w:w w:val="90"/>
                <w:sz w:val="14"/>
              </w:rPr>
              <w:t xml:space="preserve"> </w:t>
            </w:r>
            <w:r>
              <w:rPr>
                <w:color w:val="231F20"/>
                <w:w w:val="90"/>
                <w:sz w:val="14"/>
              </w:rPr>
              <w:t>to</w:t>
            </w:r>
            <w:r>
              <w:rPr>
                <w:color w:val="231F20"/>
                <w:spacing w:val="-18"/>
                <w:w w:val="90"/>
                <w:sz w:val="14"/>
              </w:rPr>
              <w:t xml:space="preserve"> </w:t>
            </w:r>
            <w:r>
              <w:rPr>
                <w:color w:val="231F20"/>
                <w:w w:val="90"/>
                <w:sz w:val="14"/>
              </w:rPr>
              <w:t>improve</w:t>
            </w:r>
            <w:r>
              <w:rPr>
                <w:color w:val="231F20"/>
                <w:spacing w:val="-18"/>
                <w:w w:val="90"/>
                <w:sz w:val="14"/>
              </w:rPr>
              <w:t xml:space="preserve"> </w:t>
            </w:r>
            <w:r>
              <w:rPr>
                <w:color w:val="231F20"/>
                <w:w w:val="90"/>
                <w:sz w:val="14"/>
              </w:rPr>
              <w:t>the</w:t>
            </w:r>
            <w:r>
              <w:rPr>
                <w:color w:val="231F20"/>
                <w:spacing w:val="-18"/>
                <w:w w:val="90"/>
                <w:sz w:val="14"/>
              </w:rPr>
              <w:t xml:space="preserve"> </w:t>
            </w:r>
            <w:r>
              <w:rPr>
                <w:color w:val="231F20"/>
                <w:w w:val="90"/>
                <w:sz w:val="14"/>
              </w:rPr>
              <w:t>production</w:t>
            </w:r>
            <w:r>
              <w:rPr>
                <w:color w:val="231F20"/>
                <w:spacing w:val="-18"/>
                <w:w w:val="90"/>
                <w:sz w:val="14"/>
              </w:rPr>
              <w:t xml:space="preserve"> </w:t>
            </w:r>
            <w:r>
              <w:rPr>
                <w:color w:val="231F20"/>
                <w:w w:val="90"/>
                <w:sz w:val="14"/>
              </w:rPr>
              <w:t>and</w:t>
            </w:r>
            <w:r>
              <w:rPr>
                <w:color w:val="231F20"/>
                <w:spacing w:val="-19"/>
                <w:w w:val="90"/>
                <w:sz w:val="14"/>
              </w:rPr>
              <w:t xml:space="preserve"> </w:t>
            </w:r>
            <w:r>
              <w:rPr>
                <w:color w:val="231F20"/>
                <w:w w:val="90"/>
                <w:sz w:val="14"/>
              </w:rPr>
              <w:t>utilization</w:t>
            </w:r>
            <w:r>
              <w:rPr>
                <w:color w:val="231F20"/>
                <w:spacing w:val="-18"/>
                <w:w w:val="90"/>
                <w:sz w:val="14"/>
              </w:rPr>
              <w:t xml:space="preserve"> </w:t>
            </w:r>
            <w:r>
              <w:rPr>
                <w:color w:val="231F20"/>
                <w:w w:val="90"/>
                <w:sz w:val="14"/>
              </w:rPr>
              <w:t>of</w:t>
            </w:r>
            <w:r>
              <w:rPr>
                <w:color w:val="231F20"/>
                <w:spacing w:val="-18"/>
                <w:w w:val="90"/>
                <w:sz w:val="14"/>
              </w:rPr>
              <w:t xml:space="preserve"> </w:t>
            </w:r>
            <w:r>
              <w:rPr>
                <w:color w:val="231F20"/>
                <w:w w:val="90"/>
                <w:sz w:val="14"/>
              </w:rPr>
              <w:t>relevant</w:t>
            </w:r>
            <w:r>
              <w:rPr>
                <w:color w:val="231F20"/>
                <w:spacing w:val="-18"/>
                <w:w w:val="90"/>
                <w:sz w:val="14"/>
              </w:rPr>
              <w:t xml:space="preserve"> </w:t>
            </w:r>
            <w:r>
              <w:rPr>
                <w:color w:val="231F20"/>
                <w:w w:val="90"/>
                <w:sz w:val="14"/>
              </w:rPr>
              <w:t xml:space="preserve">professional </w:t>
            </w:r>
            <w:r>
              <w:rPr>
                <w:color w:val="231F20"/>
                <w:w w:val="95"/>
                <w:sz w:val="14"/>
              </w:rPr>
              <w:t>cadres</w:t>
            </w:r>
            <w:r>
              <w:rPr>
                <w:color w:val="231F20"/>
                <w:spacing w:val="-9"/>
                <w:w w:val="95"/>
                <w:sz w:val="14"/>
              </w:rPr>
              <w:t xml:space="preserve"> </w:t>
            </w:r>
            <w:r>
              <w:rPr>
                <w:color w:val="231F20"/>
                <w:w w:val="95"/>
                <w:sz w:val="14"/>
              </w:rPr>
              <w:t>and</w:t>
            </w:r>
            <w:r>
              <w:rPr>
                <w:color w:val="231F20"/>
                <w:spacing w:val="-9"/>
                <w:w w:val="95"/>
                <w:sz w:val="14"/>
              </w:rPr>
              <w:t xml:space="preserve"> </w:t>
            </w:r>
            <w:r>
              <w:rPr>
                <w:color w:val="231F20"/>
                <w:w w:val="95"/>
                <w:sz w:val="14"/>
              </w:rPr>
              <w:t>skill</w:t>
            </w:r>
            <w:r>
              <w:rPr>
                <w:color w:val="231F20"/>
                <w:spacing w:val="-9"/>
                <w:w w:val="95"/>
                <w:sz w:val="14"/>
              </w:rPr>
              <w:t xml:space="preserve"> </w:t>
            </w:r>
            <w:r>
              <w:rPr>
                <w:color w:val="231F20"/>
                <w:w w:val="95"/>
                <w:sz w:val="14"/>
              </w:rPr>
              <w:t>mix</w:t>
            </w:r>
            <w:r>
              <w:rPr>
                <w:color w:val="231F20"/>
                <w:spacing w:val="-9"/>
                <w:w w:val="95"/>
                <w:sz w:val="14"/>
              </w:rPr>
              <w:t xml:space="preserve"> </w:t>
            </w:r>
            <w:r>
              <w:rPr>
                <w:color w:val="231F20"/>
                <w:w w:val="95"/>
                <w:sz w:val="14"/>
              </w:rPr>
              <w:t>required</w:t>
            </w:r>
            <w:r>
              <w:rPr>
                <w:color w:val="231F20"/>
                <w:spacing w:val="-9"/>
                <w:w w:val="95"/>
                <w:sz w:val="14"/>
              </w:rPr>
              <w:t xml:space="preserve"> </w:t>
            </w:r>
            <w:r>
              <w:rPr>
                <w:color w:val="231F20"/>
                <w:w w:val="95"/>
                <w:sz w:val="14"/>
              </w:rPr>
              <w:t>for</w:t>
            </w:r>
            <w:r>
              <w:rPr>
                <w:color w:val="231F20"/>
                <w:spacing w:val="-8"/>
                <w:w w:val="95"/>
                <w:sz w:val="14"/>
              </w:rPr>
              <w:t xml:space="preserve"> </w:t>
            </w:r>
            <w:r>
              <w:rPr>
                <w:color w:val="231F20"/>
                <w:w w:val="95"/>
                <w:sz w:val="14"/>
              </w:rPr>
              <w:t>a</w:t>
            </w:r>
            <w:r>
              <w:rPr>
                <w:color w:val="231F20"/>
                <w:spacing w:val="-9"/>
                <w:w w:val="95"/>
                <w:sz w:val="14"/>
              </w:rPr>
              <w:t xml:space="preserve"> </w:t>
            </w:r>
            <w:r>
              <w:rPr>
                <w:color w:val="231F20"/>
                <w:w w:val="95"/>
                <w:sz w:val="14"/>
              </w:rPr>
              <w:t>responsive</w:t>
            </w:r>
            <w:r>
              <w:rPr>
                <w:color w:val="231F20"/>
                <w:spacing w:val="-9"/>
                <w:w w:val="95"/>
                <w:sz w:val="14"/>
              </w:rPr>
              <w:t xml:space="preserve"> </w:t>
            </w:r>
            <w:r>
              <w:rPr>
                <w:color w:val="231F20"/>
                <w:w w:val="95"/>
                <w:sz w:val="14"/>
              </w:rPr>
              <w:t>health</w:t>
            </w:r>
            <w:r>
              <w:rPr>
                <w:color w:val="231F20"/>
                <w:spacing w:val="-9"/>
                <w:w w:val="95"/>
                <w:sz w:val="14"/>
              </w:rPr>
              <w:t xml:space="preserve"> </w:t>
            </w:r>
            <w:r>
              <w:rPr>
                <w:color w:val="231F20"/>
                <w:w w:val="95"/>
                <w:sz w:val="14"/>
              </w:rPr>
              <w:t>system</w:t>
            </w:r>
          </w:p>
        </w:tc>
        <w:tc>
          <w:tcPr>
            <w:tcW w:w="1457" w:type="dxa"/>
            <w:tcBorders>
              <w:top w:val="single" w:sz="6" w:space="0" w:color="231F20"/>
              <w:left w:val="single" w:sz="6" w:space="0" w:color="231F20"/>
              <w:bottom w:val="single" w:sz="6" w:space="0" w:color="231F20"/>
              <w:right w:val="single" w:sz="6" w:space="0" w:color="231F20"/>
            </w:tcBorders>
          </w:tcPr>
          <w:p w14:paraId="34A14315" w14:textId="77777777" w:rsidR="009948F1" w:rsidRDefault="009948F1">
            <w:pPr>
              <w:pStyle w:val="TableParagraph"/>
              <w:spacing w:before="10"/>
              <w:rPr>
                <w:sz w:val="12"/>
              </w:rPr>
            </w:pPr>
          </w:p>
          <w:p w14:paraId="29973953" w14:textId="77777777" w:rsidR="009948F1" w:rsidRDefault="00BC0563">
            <w:pPr>
              <w:pStyle w:val="TableParagraph"/>
              <w:spacing w:before="1"/>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297EDD93" w14:textId="77777777" w:rsidR="009948F1" w:rsidRDefault="009948F1">
            <w:pPr>
              <w:pStyle w:val="TableParagraph"/>
              <w:spacing w:before="10"/>
              <w:rPr>
                <w:sz w:val="12"/>
              </w:rPr>
            </w:pPr>
          </w:p>
          <w:p w14:paraId="030721A1" w14:textId="77777777" w:rsidR="009948F1" w:rsidRDefault="00BC0563">
            <w:pPr>
              <w:pStyle w:val="TableParagraph"/>
              <w:spacing w:before="1"/>
              <w:ind w:left="27"/>
              <w:rPr>
                <w:sz w:val="14"/>
              </w:rPr>
            </w:pPr>
            <w:r>
              <w:rPr>
                <w:color w:val="231F20"/>
                <w:w w:val="95"/>
                <w:sz w:val="14"/>
              </w:rPr>
              <w:t>Conduct research</w:t>
            </w:r>
          </w:p>
        </w:tc>
      </w:tr>
      <w:tr w:rsidR="009948F1" w14:paraId="3637DC1A" w14:textId="77777777">
        <w:trPr>
          <w:trHeight w:val="411"/>
        </w:trPr>
        <w:tc>
          <w:tcPr>
            <w:tcW w:w="868" w:type="dxa"/>
            <w:gridSpan w:val="2"/>
            <w:vMerge/>
            <w:tcBorders>
              <w:top w:val="nil"/>
              <w:left w:val="single" w:sz="4" w:space="0" w:color="231F20"/>
              <w:bottom w:val="single" w:sz="6" w:space="0" w:color="231F20"/>
              <w:right w:val="single" w:sz="6" w:space="0" w:color="231F20"/>
            </w:tcBorders>
          </w:tcPr>
          <w:p w14:paraId="3144EC21"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3C238E7F" w14:textId="77777777" w:rsidR="009948F1" w:rsidRDefault="009948F1">
            <w:pPr>
              <w:pStyle w:val="TableParagraph"/>
              <w:rPr>
                <w:sz w:val="11"/>
              </w:rPr>
            </w:pPr>
          </w:p>
          <w:p w14:paraId="3B1E762E" w14:textId="77777777" w:rsidR="009948F1" w:rsidRDefault="00BC0563">
            <w:pPr>
              <w:pStyle w:val="TableParagraph"/>
              <w:ind w:left="35" w:right="12"/>
              <w:jc w:val="center"/>
              <w:rPr>
                <w:sz w:val="14"/>
              </w:rPr>
            </w:pPr>
            <w:r>
              <w:rPr>
                <w:color w:val="231F20"/>
                <w:w w:val="95"/>
                <w:sz w:val="14"/>
              </w:rPr>
              <w:t>9.3.3.c</w:t>
            </w:r>
          </w:p>
        </w:tc>
        <w:tc>
          <w:tcPr>
            <w:tcW w:w="4998" w:type="dxa"/>
            <w:gridSpan w:val="2"/>
            <w:tcBorders>
              <w:top w:val="single" w:sz="6" w:space="0" w:color="231F20"/>
              <w:left w:val="single" w:sz="6" w:space="0" w:color="231F20"/>
              <w:bottom w:val="single" w:sz="6" w:space="0" w:color="231F20"/>
              <w:right w:val="single" w:sz="6" w:space="0" w:color="231F20"/>
            </w:tcBorders>
          </w:tcPr>
          <w:p w14:paraId="1AA88699" w14:textId="77777777" w:rsidR="009948F1" w:rsidRDefault="00BC0563">
            <w:pPr>
              <w:pStyle w:val="TableParagraph"/>
              <w:spacing w:before="121"/>
              <w:ind w:left="26"/>
              <w:rPr>
                <w:sz w:val="14"/>
              </w:rPr>
            </w:pPr>
            <w:r>
              <w:rPr>
                <w:color w:val="231F20"/>
                <w:w w:val="95"/>
                <w:sz w:val="14"/>
              </w:rPr>
              <w:t>Create</w:t>
            </w:r>
            <w:r>
              <w:rPr>
                <w:color w:val="231F20"/>
                <w:spacing w:val="-21"/>
                <w:w w:val="95"/>
                <w:sz w:val="14"/>
              </w:rPr>
              <w:t xml:space="preserve"> </w:t>
            </w:r>
            <w:r>
              <w:rPr>
                <w:color w:val="231F20"/>
                <w:w w:val="95"/>
                <w:sz w:val="14"/>
              </w:rPr>
              <w:t>a</w:t>
            </w:r>
            <w:r>
              <w:rPr>
                <w:color w:val="231F20"/>
                <w:spacing w:val="-20"/>
                <w:w w:val="95"/>
                <w:sz w:val="14"/>
              </w:rPr>
              <w:t xml:space="preserve"> </w:t>
            </w:r>
            <w:r>
              <w:rPr>
                <w:color w:val="231F20"/>
                <w:w w:val="95"/>
                <w:sz w:val="14"/>
              </w:rPr>
              <w:t>platform</w:t>
            </w:r>
            <w:r>
              <w:rPr>
                <w:color w:val="231F20"/>
                <w:spacing w:val="-21"/>
                <w:w w:val="95"/>
                <w:sz w:val="14"/>
              </w:rPr>
              <w:t xml:space="preserve"> </w:t>
            </w:r>
            <w:r>
              <w:rPr>
                <w:color w:val="231F20"/>
                <w:w w:val="95"/>
                <w:sz w:val="14"/>
              </w:rPr>
              <w:t>for</w:t>
            </w:r>
            <w:r>
              <w:rPr>
                <w:color w:val="231F20"/>
                <w:spacing w:val="-20"/>
                <w:w w:val="95"/>
                <w:sz w:val="14"/>
              </w:rPr>
              <w:t xml:space="preserve"> </w:t>
            </w:r>
            <w:r>
              <w:rPr>
                <w:color w:val="231F20"/>
                <w:w w:val="95"/>
                <w:sz w:val="14"/>
              </w:rPr>
              <w:t>translating</w:t>
            </w:r>
            <w:r>
              <w:rPr>
                <w:color w:val="231F20"/>
                <w:spacing w:val="-21"/>
                <w:w w:val="95"/>
                <w:sz w:val="14"/>
              </w:rPr>
              <w:t xml:space="preserve"> </w:t>
            </w:r>
            <w:r>
              <w:rPr>
                <w:color w:val="231F20"/>
                <w:w w:val="95"/>
                <w:sz w:val="14"/>
              </w:rPr>
              <w:t>HRH</w:t>
            </w:r>
            <w:r>
              <w:rPr>
                <w:color w:val="231F20"/>
                <w:spacing w:val="-20"/>
                <w:w w:val="95"/>
                <w:sz w:val="14"/>
              </w:rPr>
              <w:t xml:space="preserve"> </w:t>
            </w:r>
            <w:r>
              <w:rPr>
                <w:color w:val="231F20"/>
                <w:w w:val="95"/>
                <w:sz w:val="14"/>
              </w:rPr>
              <w:t>research</w:t>
            </w:r>
            <w:r>
              <w:rPr>
                <w:color w:val="231F20"/>
                <w:spacing w:val="-20"/>
                <w:w w:val="95"/>
                <w:sz w:val="14"/>
              </w:rPr>
              <w:t xml:space="preserve"> </w:t>
            </w:r>
            <w:r>
              <w:rPr>
                <w:color w:val="231F20"/>
                <w:w w:val="95"/>
                <w:sz w:val="14"/>
              </w:rPr>
              <w:t>findings</w:t>
            </w:r>
            <w:r>
              <w:rPr>
                <w:color w:val="231F20"/>
                <w:spacing w:val="-21"/>
                <w:w w:val="95"/>
                <w:sz w:val="14"/>
              </w:rPr>
              <w:t xml:space="preserve"> </w:t>
            </w:r>
            <w:r>
              <w:rPr>
                <w:color w:val="231F20"/>
                <w:w w:val="95"/>
                <w:sz w:val="14"/>
              </w:rPr>
              <w:t>to</w:t>
            </w:r>
            <w:r>
              <w:rPr>
                <w:color w:val="231F20"/>
                <w:spacing w:val="-20"/>
                <w:w w:val="95"/>
                <w:sz w:val="14"/>
              </w:rPr>
              <w:t xml:space="preserve"> </w:t>
            </w:r>
            <w:r>
              <w:rPr>
                <w:color w:val="231F20"/>
                <w:w w:val="95"/>
                <w:sz w:val="14"/>
              </w:rPr>
              <w:t>action</w:t>
            </w:r>
            <w:r>
              <w:rPr>
                <w:color w:val="231F20"/>
                <w:spacing w:val="-21"/>
                <w:w w:val="95"/>
                <w:sz w:val="14"/>
              </w:rPr>
              <w:t xml:space="preserve"> </w:t>
            </w:r>
            <w:r>
              <w:rPr>
                <w:color w:val="231F20"/>
                <w:w w:val="95"/>
                <w:sz w:val="14"/>
              </w:rPr>
              <w:t>(evidence</w:t>
            </w:r>
            <w:r>
              <w:rPr>
                <w:color w:val="231F20"/>
                <w:spacing w:val="-20"/>
                <w:w w:val="95"/>
                <w:sz w:val="14"/>
              </w:rPr>
              <w:t xml:space="preserve"> </w:t>
            </w:r>
            <w:r>
              <w:rPr>
                <w:color w:val="231F20"/>
                <w:w w:val="95"/>
                <w:sz w:val="14"/>
              </w:rPr>
              <w:t>to</w:t>
            </w:r>
            <w:r>
              <w:rPr>
                <w:color w:val="231F20"/>
                <w:spacing w:val="-20"/>
                <w:w w:val="95"/>
                <w:sz w:val="14"/>
              </w:rPr>
              <w:t xml:space="preserve"> </w:t>
            </w:r>
            <w:r>
              <w:rPr>
                <w:color w:val="231F20"/>
                <w:w w:val="95"/>
                <w:sz w:val="14"/>
              </w:rPr>
              <w:t>action)</w:t>
            </w:r>
          </w:p>
        </w:tc>
        <w:tc>
          <w:tcPr>
            <w:tcW w:w="1457" w:type="dxa"/>
            <w:tcBorders>
              <w:top w:val="single" w:sz="6" w:space="0" w:color="231F20"/>
              <w:left w:val="single" w:sz="6" w:space="0" w:color="231F20"/>
              <w:bottom w:val="single" w:sz="6" w:space="0" w:color="231F20"/>
              <w:right w:val="single" w:sz="6" w:space="0" w:color="231F20"/>
            </w:tcBorders>
          </w:tcPr>
          <w:p w14:paraId="4E4064C9" w14:textId="77777777" w:rsidR="009948F1" w:rsidRDefault="009948F1">
            <w:pPr>
              <w:pStyle w:val="TableParagraph"/>
              <w:rPr>
                <w:sz w:val="11"/>
              </w:rPr>
            </w:pPr>
          </w:p>
          <w:p w14:paraId="17675E9F" w14:textId="77777777" w:rsidR="009948F1" w:rsidRDefault="00BC0563">
            <w:pPr>
              <w:pStyle w:val="TableParagraph"/>
              <w:ind w:left="26"/>
              <w:rPr>
                <w:sz w:val="14"/>
              </w:rPr>
            </w:pPr>
            <w:r>
              <w:rPr>
                <w:color w:val="231F20"/>
                <w:w w:val="95"/>
                <w:sz w:val="14"/>
              </w:rPr>
              <w:t>Lack of funds</w:t>
            </w:r>
          </w:p>
        </w:tc>
        <w:tc>
          <w:tcPr>
            <w:tcW w:w="1537" w:type="dxa"/>
            <w:tcBorders>
              <w:top w:val="single" w:sz="6" w:space="0" w:color="231F20"/>
              <w:left w:val="single" w:sz="6" w:space="0" w:color="231F20"/>
              <w:bottom w:val="single" w:sz="6" w:space="0" w:color="231F20"/>
              <w:right w:val="single" w:sz="6" w:space="0" w:color="231F20"/>
            </w:tcBorders>
          </w:tcPr>
          <w:p w14:paraId="73A5A6F1" w14:textId="77777777" w:rsidR="009948F1" w:rsidRDefault="009948F1">
            <w:pPr>
              <w:pStyle w:val="TableParagraph"/>
              <w:rPr>
                <w:sz w:val="11"/>
              </w:rPr>
            </w:pPr>
          </w:p>
          <w:p w14:paraId="350259B2" w14:textId="77777777" w:rsidR="009948F1" w:rsidRDefault="00BC0563">
            <w:pPr>
              <w:pStyle w:val="TableParagraph"/>
              <w:ind w:left="27"/>
              <w:rPr>
                <w:sz w:val="14"/>
              </w:rPr>
            </w:pPr>
            <w:r>
              <w:rPr>
                <w:color w:val="231F20"/>
                <w:w w:val="95"/>
                <w:sz w:val="14"/>
              </w:rPr>
              <w:t>Costed in 9.3.3b</w:t>
            </w:r>
          </w:p>
        </w:tc>
      </w:tr>
      <w:tr w:rsidR="009948F1" w14:paraId="4B3F655F" w14:textId="77777777">
        <w:trPr>
          <w:trHeight w:val="762"/>
        </w:trPr>
        <w:tc>
          <w:tcPr>
            <w:tcW w:w="404" w:type="dxa"/>
            <w:tcBorders>
              <w:top w:val="single" w:sz="6" w:space="0" w:color="231F20"/>
              <w:left w:val="single" w:sz="12" w:space="0" w:color="231F20"/>
              <w:bottom w:val="single" w:sz="6" w:space="0" w:color="231F20"/>
              <w:right w:val="single" w:sz="6" w:space="0" w:color="231F20"/>
            </w:tcBorders>
            <w:shd w:val="clear" w:color="auto" w:fill="FFF200"/>
          </w:tcPr>
          <w:p w14:paraId="1803B481" w14:textId="77777777" w:rsidR="009948F1" w:rsidRDefault="009948F1">
            <w:pPr>
              <w:pStyle w:val="TableParagraph"/>
              <w:rPr>
                <w:sz w:val="14"/>
              </w:rPr>
            </w:pPr>
          </w:p>
          <w:p w14:paraId="61307148" w14:textId="77777777" w:rsidR="009948F1" w:rsidRDefault="009948F1">
            <w:pPr>
              <w:pStyle w:val="TableParagraph"/>
              <w:spacing w:before="5"/>
              <w:rPr>
                <w:sz w:val="12"/>
              </w:rPr>
            </w:pPr>
          </w:p>
          <w:p w14:paraId="1A76CEBF" w14:textId="77777777" w:rsidR="009948F1" w:rsidRDefault="00BC0563">
            <w:pPr>
              <w:pStyle w:val="TableParagraph"/>
              <w:ind w:right="34"/>
              <w:jc w:val="right"/>
              <w:rPr>
                <w:b/>
                <w:sz w:val="14"/>
              </w:rPr>
            </w:pPr>
            <w:r>
              <w:rPr>
                <w:b/>
                <w:color w:val="231F20"/>
                <w:w w:val="85"/>
                <w:sz w:val="14"/>
              </w:rPr>
              <w:t>9.4</w:t>
            </w:r>
          </w:p>
        </w:tc>
        <w:tc>
          <w:tcPr>
            <w:tcW w:w="5999" w:type="dxa"/>
            <w:gridSpan w:val="4"/>
            <w:tcBorders>
              <w:top w:val="single" w:sz="6" w:space="0" w:color="231F20"/>
              <w:left w:val="single" w:sz="6" w:space="0" w:color="231F20"/>
              <w:bottom w:val="single" w:sz="6" w:space="0" w:color="231F20"/>
            </w:tcBorders>
            <w:shd w:val="clear" w:color="auto" w:fill="FFF200"/>
          </w:tcPr>
          <w:p w14:paraId="5AE624F7" w14:textId="77777777" w:rsidR="009948F1" w:rsidRDefault="009948F1">
            <w:pPr>
              <w:pStyle w:val="TableParagraph"/>
              <w:spacing w:before="10"/>
              <w:rPr>
                <w:sz w:val="17"/>
              </w:rPr>
            </w:pPr>
          </w:p>
          <w:p w14:paraId="4A24FEAF" w14:textId="77777777" w:rsidR="009948F1" w:rsidRDefault="00BC0563">
            <w:pPr>
              <w:pStyle w:val="TableParagraph"/>
              <w:spacing w:line="276" w:lineRule="auto"/>
              <w:ind w:left="26" w:right="405" w:firstLine="33"/>
              <w:rPr>
                <w:b/>
                <w:sz w:val="14"/>
              </w:rPr>
            </w:pPr>
            <w:r>
              <w:rPr>
                <w:b/>
                <w:color w:val="231F20"/>
                <w:w w:val="90"/>
                <w:sz w:val="14"/>
              </w:rPr>
              <w:t>Ensure</w:t>
            </w:r>
            <w:r>
              <w:rPr>
                <w:b/>
                <w:color w:val="231F20"/>
                <w:spacing w:val="-24"/>
                <w:w w:val="90"/>
                <w:sz w:val="14"/>
              </w:rPr>
              <w:t xml:space="preserve"> </w:t>
            </w:r>
            <w:r>
              <w:rPr>
                <w:b/>
                <w:color w:val="231F20"/>
                <w:w w:val="90"/>
                <w:sz w:val="14"/>
              </w:rPr>
              <w:t>effective</w:t>
            </w:r>
            <w:r>
              <w:rPr>
                <w:b/>
                <w:color w:val="231F20"/>
                <w:spacing w:val="-10"/>
                <w:w w:val="90"/>
                <w:sz w:val="14"/>
              </w:rPr>
              <w:t xml:space="preserve"> </w:t>
            </w:r>
            <w:r>
              <w:rPr>
                <w:b/>
                <w:color w:val="231F20"/>
                <w:w w:val="90"/>
                <w:sz w:val="14"/>
              </w:rPr>
              <w:t>health</w:t>
            </w:r>
            <w:r>
              <w:rPr>
                <w:b/>
                <w:color w:val="231F20"/>
                <w:spacing w:val="-23"/>
                <w:w w:val="90"/>
                <w:sz w:val="14"/>
              </w:rPr>
              <w:t xml:space="preserve"> </w:t>
            </w:r>
            <w:r>
              <w:rPr>
                <w:b/>
                <w:color w:val="231F20"/>
                <w:w w:val="90"/>
                <w:sz w:val="14"/>
              </w:rPr>
              <w:t>workforce</w:t>
            </w:r>
            <w:r>
              <w:rPr>
                <w:b/>
                <w:color w:val="231F20"/>
                <w:spacing w:val="-23"/>
                <w:w w:val="90"/>
                <w:sz w:val="14"/>
              </w:rPr>
              <w:t xml:space="preserve"> </w:t>
            </w:r>
            <w:r>
              <w:rPr>
                <w:b/>
                <w:color w:val="231F20"/>
                <w:w w:val="90"/>
                <w:sz w:val="14"/>
              </w:rPr>
              <w:t>management</w:t>
            </w:r>
            <w:r>
              <w:rPr>
                <w:b/>
                <w:color w:val="231F20"/>
                <w:spacing w:val="-23"/>
                <w:w w:val="90"/>
                <w:sz w:val="14"/>
              </w:rPr>
              <w:t xml:space="preserve"> </w:t>
            </w:r>
            <w:r>
              <w:rPr>
                <w:b/>
                <w:color w:val="231F20"/>
                <w:w w:val="90"/>
                <w:sz w:val="14"/>
              </w:rPr>
              <w:t>through</w:t>
            </w:r>
            <w:r>
              <w:rPr>
                <w:b/>
                <w:color w:val="231F20"/>
                <w:spacing w:val="-23"/>
                <w:w w:val="90"/>
                <w:sz w:val="14"/>
              </w:rPr>
              <w:t xml:space="preserve"> </w:t>
            </w:r>
            <w:r>
              <w:rPr>
                <w:b/>
                <w:color w:val="231F20"/>
                <w:w w:val="90"/>
                <w:sz w:val="14"/>
              </w:rPr>
              <w:t>retention,</w:t>
            </w:r>
            <w:r>
              <w:rPr>
                <w:b/>
                <w:color w:val="231F20"/>
                <w:spacing w:val="-23"/>
                <w:w w:val="90"/>
                <w:sz w:val="14"/>
              </w:rPr>
              <w:t xml:space="preserve"> </w:t>
            </w:r>
            <w:r>
              <w:rPr>
                <w:b/>
                <w:color w:val="231F20"/>
                <w:w w:val="90"/>
                <w:sz w:val="14"/>
              </w:rPr>
              <w:t>deployment,</w:t>
            </w:r>
            <w:r>
              <w:rPr>
                <w:b/>
                <w:color w:val="231F20"/>
                <w:spacing w:val="-23"/>
                <w:w w:val="90"/>
                <w:sz w:val="14"/>
              </w:rPr>
              <w:t xml:space="preserve"> </w:t>
            </w:r>
            <w:r>
              <w:rPr>
                <w:b/>
                <w:color w:val="231F20"/>
                <w:w w:val="90"/>
                <w:sz w:val="14"/>
              </w:rPr>
              <w:t>work</w:t>
            </w:r>
            <w:r>
              <w:rPr>
                <w:b/>
                <w:color w:val="231F20"/>
                <w:spacing w:val="-23"/>
                <w:w w:val="90"/>
                <w:sz w:val="14"/>
              </w:rPr>
              <w:t xml:space="preserve"> </w:t>
            </w:r>
            <w:r>
              <w:rPr>
                <w:b/>
                <w:color w:val="231F20"/>
                <w:w w:val="90"/>
                <w:sz w:val="14"/>
              </w:rPr>
              <w:t xml:space="preserve">condition, </w:t>
            </w:r>
            <w:r>
              <w:rPr>
                <w:b/>
                <w:color w:val="231F20"/>
                <w:w w:val="95"/>
                <w:sz w:val="14"/>
              </w:rPr>
              <w:t>motivation and performance</w:t>
            </w:r>
            <w:r>
              <w:rPr>
                <w:b/>
                <w:color w:val="231F20"/>
                <w:spacing w:val="-20"/>
                <w:w w:val="95"/>
                <w:sz w:val="14"/>
              </w:rPr>
              <w:t xml:space="preserve"> </w:t>
            </w:r>
            <w:r>
              <w:rPr>
                <w:b/>
                <w:color w:val="231F20"/>
                <w:w w:val="95"/>
                <w:sz w:val="14"/>
              </w:rPr>
              <w:t>management</w:t>
            </w:r>
          </w:p>
        </w:tc>
        <w:tc>
          <w:tcPr>
            <w:tcW w:w="2994" w:type="dxa"/>
            <w:gridSpan w:val="2"/>
            <w:tcBorders>
              <w:top w:val="single" w:sz="6" w:space="0" w:color="231F20"/>
              <w:bottom w:val="nil"/>
              <w:right w:val="single" w:sz="6" w:space="0" w:color="231F20"/>
            </w:tcBorders>
            <w:shd w:val="clear" w:color="auto" w:fill="FFF200"/>
          </w:tcPr>
          <w:p w14:paraId="084B4915" w14:textId="77777777" w:rsidR="009948F1" w:rsidRDefault="009948F1">
            <w:pPr>
              <w:pStyle w:val="TableParagraph"/>
              <w:rPr>
                <w:rFonts w:ascii="Times New Roman"/>
                <w:sz w:val="12"/>
              </w:rPr>
            </w:pPr>
          </w:p>
        </w:tc>
      </w:tr>
    </w:tbl>
    <w:p w14:paraId="5A20D6EF" w14:textId="77777777" w:rsidR="009948F1" w:rsidRDefault="009948F1">
      <w:pPr>
        <w:rPr>
          <w:rFonts w:ascii="Times New Roman"/>
          <w:sz w:val="12"/>
        </w:rPr>
        <w:sectPr w:rsidR="009948F1">
          <w:pgSz w:w="11910" w:h="16840"/>
          <w:pgMar w:top="1220" w:right="1080" w:bottom="1340" w:left="1120" w:header="0" w:footer="1155" w:gutter="0"/>
          <w:cols w:space="720"/>
        </w:sectPr>
      </w:pPr>
    </w:p>
    <w:tbl>
      <w:tblPr>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9"/>
        <w:gridCol w:w="465"/>
        <w:gridCol w:w="538"/>
        <w:gridCol w:w="2565"/>
        <w:gridCol w:w="2435"/>
        <w:gridCol w:w="1458"/>
        <w:gridCol w:w="1538"/>
      </w:tblGrid>
      <w:tr w:rsidR="009948F1" w14:paraId="769FD660" w14:textId="77777777">
        <w:trPr>
          <w:trHeight w:val="1504"/>
        </w:trPr>
        <w:tc>
          <w:tcPr>
            <w:tcW w:w="409" w:type="dxa"/>
            <w:tcBorders>
              <w:bottom w:val="nil"/>
              <w:right w:val="single" w:sz="6" w:space="0" w:color="231F20"/>
            </w:tcBorders>
          </w:tcPr>
          <w:p w14:paraId="38E27E78" w14:textId="77777777" w:rsidR="009948F1" w:rsidRDefault="009948F1">
            <w:pPr>
              <w:pStyle w:val="TableParagraph"/>
              <w:rPr>
                <w:rFonts w:ascii="Times New Roman"/>
                <w:sz w:val="12"/>
              </w:rPr>
            </w:pPr>
          </w:p>
        </w:tc>
        <w:tc>
          <w:tcPr>
            <w:tcW w:w="465" w:type="dxa"/>
            <w:tcBorders>
              <w:top w:val="single" w:sz="12" w:space="0" w:color="231F20"/>
              <w:left w:val="single" w:sz="6" w:space="0" w:color="231F20"/>
              <w:right w:val="single" w:sz="6" w:space="0" w:color="231F20"/>
            </w:tcBorders>
            <w:shd w:val="clear" w:color="auto" w:fill="CCE7D3"/>
          </w:tcPr>
          <w:p w14:paraId="641A8DCB" w14:textId="77777777" w:rsidR="009948F1" w:rsidRDefault="009948F1">
            <w:pPr>
              <w:pStyle w:val="TableParagraph"/>
              <w:rPr>
                <w:sz w:val="18"/>
              </w:rPr>
            </w:pPr>
          </w:p>
          <w:p w14:paraId="69BE9A88" w14:textId="77777777" w:rsidR="009948F1" w:rsidRDefault="009948F1">
            <w:pPr>
              <w:pStyle w:val="TableParagraph"/>
              <w:rPr>
                <w:sz w:val="18"/>
              </w:rPr>
            </w:pPr>
          </w:p>
          <w:p w14:paraId="503B41ED" w14:textId="77777777" w:rsidR="009948F1" w:rsidRDefault="009948F1">
            <w:pPr>
              <w:pStyle w:val="TableParagraph"/>
              <w:spacing w:before="8"/>
              <w:rPr>
                <w:sz w:val="19"/>
              </w:rPr>
            </w:pPr>
          </w:p>
          <w:p w14:paraId="0C5CF7DE" w14:textId="77777777" w:rsidR="009948F1" w:rsidRDefault="00BC0563">
            <w:pPr>
              <w:pStyle w:val="TableParagraph"/>
              <w:ind w:left="59"/>
              <w:rPr>
                <w:sz w:val="18"/>
              </w:rPr>
            </w:pPr>
            <w:bookmarkStart w:id="187" w:name="Page_161"/>
            <w:bookmarkEnd w:id="187"/>
            <w:r>
              <w:rPr>
                <w:color w:val="231F20"/>
                <w:w w:val="75"/>
                <w:sz w:val="18"/>
              </w:rPr>
              <w:t>9.4.1</w:t>
            </w:r>
          </w:p>
        </w:tc>
        <w:tc>
          <w:tcPr>
            <w:tcW w:w="3103" w:type="dxa"/>
            <w:gridSpan w:val="2"/>
            <w:tcBorders>
              <w:top w:val="single" w:sz="12" w:space="0" w:color="231F20"/>
              <w:left w:val="single" w:sz="6" w:space="0" w:color="231F20"/>
              <w:right w:val="single" w:sz="6" w:space="0" w:color="231F20"/>
            </w:tcBorders>
            <w:shd w:val="clear" w:color="auto" w:fill="CCE7D3"/>
          </w:tcPr>
          <w:p w14:paraId="659DC029" w14:textId="77777777" w:rsidR="009948F1" w:rsidRDefault="009948F1">
            <w:pPr>
              <w:pStyle w:val="TableParagraph"/>
              <w:rPr>
                <w:sz w:val="18"/>
              </w:rPr>
            </w:pPr>
          </w:p>
          <w:p w14:paraId="6FE1CDCB" w14:textId="77777777" w:rsidR="009948F1" w:rsidRDefault="009948F1">
            <w:pPr>
              <w:pStyle w:val="TableParagraph"/>
              <w:rPr>
                <w:sz w:val="18"/>
              </w:rPr>
            </w:pPr>
          </w:p>
          <w:p w14:paraId="44A0C9F9" w14:textId="77777777" w:rsidR="009948F1" w:rsidRDefault="00BC0563">
            <w:pPr>
              <w:pStyle w:val="TableParagraph"/>
              <w:spacing w:before="107" w:line="259" w:lineRule="auto"/>
              <w:ind w:left="25" w:right="54" w:firstLine="33"/>
              <w:rPr>
                <w:sz w:val="18"/>
              </w:rPr>
            </w:pPr>
            <w:r>
              <w:rPr>
                <w:color w:val="231F20"/>
                <w:w w:val="70"/>
                <w:sz w:val="18"/>
              </w:rPr>
              <w:t>Strengthen</w:t>
            </w:r>
            <w:r>
              <w:rPr>
                <w:color w:val="231F20"/>
                <w:spacing w:val="-20"/>
                <w:w w:val="70"/>
                <w:sz w:val="18"/>
              </w:rPr>
              <w:t xml:space="preserve"> </w:t>
            </w:r>
            <w:r>
              <w:rPr>
                <w:color w:val="231F20"/>
                <w:w w:val="70"/>
                <w:sz w:val="18"/>
              </w:rPr>
              <w:t>mechanism</w:t>
            </w:r>
            <w:r>
              <w:rPr>
                <w:color w:val="231F20"/>
                <w:spacing w:val="-20"/>
                <w:w w:val="70"/>
                <w:sz w:val="18"/>
              </w:rPr>
              <w:t xml:space="preserve"> </w:t>
            </w:r>
            <w:r>
              <w:rPr>
                <w:color w:val="231F20"/>
                <w:w w:val="70"/>
                <w:sz w:val="18"/>
              </w:rPr>
              <w:t>for</w:t>
            </w:r>
            <w:r>
              <w:rPr>
                <w:color w:val="231F20"/>
                <w:spacing w:val="-20"/>
                <w:w w:val="70"/>
                <w:sz w:val="18"/>
              </w:rPr>
              <w:t xml:space="preserve"> </w:t>
            </w:r>
            <w:r>
              <w:rPr>
                <w:color w:val="231F20"/>
                <w:w w:val="70"/>
                <w:sz w:val="18"/>
              </w:rPr>
              <w:t>deployment</w:t>
            </w:r>
            <w:r>
              <w:rPr>
                <w:color w:val="231F20"/>
                <w:spacing w:val="-20"/>
                <w:w w:val="70"/>
                <w:sz w:val="18"/>
              </w:rPr>
              <w:t xml:space="preserve"> </w:t>
            </w:r>
            <w:r>
              <w:rPr>
                <w:color w:val="231F20"/>
                <w:w w:val="70"/>
                <w:sz w:val="18"/>
              </w:rPr>
              <w:t>and</w:t>
            </w:r>
            <w:r>
              <w:rPr>
                <w:color w:val="231F20"/>
                <w:spacing w:val="-20"/>
                <w:w w:val="70"/>
                <w:sz w:val="18"/>
              </w:rPr>
              <w:t xml:space="preserve"> </w:t>
            </w:r>
            <w:r>
              <w:rPr>
                <w:color w:val="231F20"/>
                <w:w w:val="70"/>
                <w:sz w:val="18"/>
              </w:rPr>
              <w:t>retention</w:t>
            </w:r>
            <w:r>
              <w:rPr>
                <w:color w:val="231F20"/>
                <w:spacing w:val="-19"/>
                <w:w w:val="70"/>
                <w:sz w:val="18"/>
              </w:rPr>
              <w:t xml:space="preserve"> </w:t>
            </w:r>
            <w:r>
              <w:rPr>
                <w:color w:val="231F20"/>
                <w:w w:val="70"/>
                <w:sz w:val="18"/>
              </w:rPr>
              <w:t xml:space="preserve">of </w:t>
            </w:r>
            <w:r>
              <w:rPr>
                <w:color w:val="231F20"/>
                <w:w w:val="75"/>
                <w:sz w:val="18"/>
              </w:rPr>
              <w:t>HRH at all</w:t>
            </w:r>
            <w:r>
              <w:rPr>
                <w:color w:val="231F20"/>
                <w:spacing w:val="-18"/>
                <w:w w:val="75"/>
                <w:sz w:val="18"/>
              </w:rPr>
              <w:t xml:space="preserve"> </w:t>
            </w:r>
            <w:r>
              <w:rPr>
                <w:color w:val="231F20"/>
                <w:w w:val="75"/>
                <w:sz w:val="18"/>
              </w:rPr>
              <w:t>levels</w:t>
            </w:r>
          </w:p>
        </w:tc>
        <w:tc>
          <w:tcPr>
            <w:tcW w:w="2435" w:type="dxa"/>
            <w:tcBorders>
              <w:top w:val="single" w:sz="12" w:space="0" w:color="231F20"/>
              <w:left w:val="single" w:sz="6" w:space="0" w:color="231F20"/>
              <w:right w:val="single" w:sz="6" w:space="0" w:color="231F20"/>
            </w:tcBorders>
            <w:shd w:val="clear" w:color="auto" w:fill="CCE7D3"/>
          </w:tcPr>
          <w:p w14:paraId="67713E94" w14:textId="77777777" w:rsidR="009948F1" w:rsidRDefault="00BC0563">
            <w:pPr>
              <w:pStyle w:val="TableParagraph"/>
              <w:numPr>
                <w:ilvl w:val="0"/>
                <w:numId w:val="60"/>
              </w:numPr>
              <w:tabs>
                <w:tab w:val="left" w:pos="100"/>
              </w:tabs>
              <w:spacing w:line="259" w:lineRule="auto"/>
              <w:ind w:right="61" w:firstLine="0"/>
              <w:rPr>
                <w:sz w:val="18"/>
              </w:rPr>
            </w:pPr>
            <w:r>
              <w:rPr>
                <w:color w:val="231F20"/>
                <w:w w:val="70"/>
                <w:sz w:val="18"/>
              </w:rPr>
              <w:t>Existing</w:t>
            </w:r>
            <w:r>
              <w:rPr>
                <w:color w:val="231F20"/>
                <w:spacing w:val="-24"/>
                <w:w w:val="70"/>
                <w:sz w:val="18"/>
              </w:rPr>
              <w:t xml:space="preserve"> </w:t>
            </w:r>
            <w:r>
              <w:rPr>
                <w:color w:val="231F20"/>
                <w:w w:val="70"/>
                <w:sz w:val="18"/>
              </w:rPr>
              <w:t>HRH</w:t>
            </w:r>
            <w:r>
              <w:rPr>
                <w:color w:val="231F20"/>
                <w:spacing w:val="-23"/>
                <w:w w:val="70"/>
                <w:sz w:val="18"/>
              </w:rPr>
              <w:t xml:space="preserve"> </w:t>
            </w:r>
            <w:r>
              <w:rPr>
                <w:color w:val="231F20"/>
                <w:w w:val="70"/>
                <w:sz w:val="18"/>
              </w:rPr>
              <w:t>recruitment</w:t>
            </w:r>
            <w:r>
              <w:rPr>
                <w:color w:val="231F20"/>
                <w:spacing w:val="-23"/>
                <w:w w:val="70"/>
                <w:sz w:val="18"/>
              </w:rPr>
              <w:t xml:space="preserve"> </w:t>
            </w:r>
            <w:r>
              <w:rPr>
                <w:color w:val="231F20"/>
                <w:w w:val="70"/>
                <w:sz w:val="18"/>
              </w:rPr>
              <w:t>and</w:t>
            </w:r>
            <w:r>
              <w:rPr>
                <w:color w:val="231F20"/>
                <w:spacing w:val="-23"/>
                <w:w w:val="70"/>
                <w:sz w:val="18"/>
              </w:rPr>
              <w:t xml:space="preserve"> </w:t>
            </w:r>
            <w:r>
              <w:rPr>
                <w:color w:val="231F20"/>
                <w:w w:val="70"/>
                <w:sz w:val="18"/>
              </w:rPr>
              <w:t xml:space="preserve">deployment </w:t>
            </w:r>
            <w:r>
              <w:rPr>
                <w:color w:val="231F20"/>
                <w:w w:val="75"/>
                <w:sz w:val="18"/>
              </w:rPr>
              <w:t>policies reviewed to remove barriers/embargo</w:t>
            </w:r>
          </w:p>
          <w:p w14:paraId="7E7AADE5" w14:textId="77777777" w:rsidR="009948F1" w:rsidRDefault="00BC0563">
            <w:pPr>
              <w:pStyle w:val="TableParagraph"/>
              <w:numPr>
                <w:ilvl w:val="0"/>
                <w:numId w:val="60"/>
              </w:numPr>
              <w:tabs>
                <w:tab w:val="left" w:pos="67"/>
              </w:tabs>
              <w:spacing w:line="259" w:lineRule="auto"/>
              <w:ind w:right="344" w:firstLine="0"/>
              <w:rPr>
                <w:sz w:val="18"/>
              </w:rPr>
            </w:pPr>
            <w:r>
              <w:rPr>
                <w:color w:val="231F20"/>
                <w:w w:val="70"/>
                <w:sz w:val="18"/>
              </w:rPr>
              <w:t>Enabling</w:t>
            </w:r>
            <w:r>
              <w:rPr>
                <w:color w:val="231F20"/>
                <w:spacing w:val="-22"/>
                <w:w w:val="70"/>
                <w:sz w:val="18"/>
              </w:rPr>
              <w:t xml:space="preserve"> </w:t>
            </w:r>
            <w:r>
              <w:rPr>
                <w:color w:val="231F20"/>
                <w:w w:val="70"/>
                <w:sz w:val="18"/>
              </w:rPr>
              <w:t>work</w:t>
            </w:r>
            <w:r>
              <w:rPr>
                <w:color w:val="231F20"/>
                <w:spacing w:val="-21"/>
                <w:w w:val="70"/>
                <w:sz w:val="18"/>
              </w:rPr>
              <w:t xml:space="preserve"> </w:t>
            </w:r>
            <w:r>
              <w:rPr>
                <w:color w:val="231F20"/>
                <w:w w:val="70"/>
                <w:sz w:val="18"/>
              </w:rPr>
              <w:t>and</w:t>
            </w:r>
            <w:r>
              <w:rPr>
                <w:color w:val="231F20"/>
                <w:spacing w:val="-21"/>
                <w:w w:val="70"/>
                <w:sz w:val="18"/>
              </w:rPr>
              <w:t xml:space="preserve"> </w:t>
            </w:r>
            <w:r>
              <w:rPr>
                <w:color w:val="231F20"/>
                <w:w w:val="70"/>
                <w:sz w:val="18"/>
              </w:rPr>
              <w:t>living</w:t>
            </w:r>
            <w:r>
              <w:rPr>
                <w:color w:val="231F20"/>
                <w:spacing w:val="-22"/>
                <w:w w:val="70"/>
                <w:sz w:val="18"/>
              </w:rPr>
              <w:t xml:space="preserve"> </w:t>
            </w:r>
            <w:r>
              <w:rPr>
                <w:color w:val="231F20"/>
                <w:w w:val="70"/>
                <w:sz w:val="18"/>
              </w:rPr>
              <w:t xml:space="preserve">environment </w:t>
            </w:r>
            <w:r>
              <w:rPr>
                <w:color w:val="231F20"/>
                <w:w w:val="75"/>
                <w:sz w:val="18"/>
              </w:rPr>
              <w:t>created</w:t>
            </w:r>
          </w:p>
          <w:p w14:paraId="436E2D3E" w14:textId="77777777" w:rsidR="009948F1" w:rsidRDefault="00BC0563">
            <w:pPr>
              <w:pStyle w:val="TableParagraph"/>
              <w:numPr>
                <w:ilvl w:val="0"/>
                <w:numId w:val="60"/>
              </w:numPr>
              <w:tabs>
                <w:tab w:val="left" w:pos="100"/>
              </w:tabs>
              <w:spacing w:line="206" w:lineRule="exact"/>
              <w:ind w:left="99"/>
              <w:rPr>
                <w:sz w:val="18"/>
              </w:rPr>
            </w:pPr>
            <w:r>
              <w:rPr>
                <w:color w:val="231F20"/>
                <w:w w:val="75"/>
                <w:sz w:val="18"/>
              </w:rPr>
              <w:t>Incentives</w:t>
            </w:r>
            <w:r>
              <w:rPr>
                <w:color w:val="231F20"/>
                <w:spacing w:val="-17"/>
                <w:w w:val="75"/>
                <w:sz w:val="18"/>
              </w:rPr>
              <w:t xml:space="preserve"> </w:t>
            </w:r>
            <w:r>
              <w:rPr>
                <w:color w:val="231F20"/>
                <w:w w:val="75"/>
                <w:sz w:val="18"/>
              </w:rPr>
              <w:t>in</w:t>
            </w:r>
            <w:r>
              <w:rPr>
                <w:color w:val="231F20"/>
                <w:spacing w:val="-17"/>
                <w:w w:val="75"/>
                <w:sz w:val="18"/>
              </w:rPr>
              <w:t xml:space="preserve"> </w:t>
            </w:r>
            <w:r>
              <w:rPr>
                <w:color w:val="231F20"/>
                <w:w w:val="75"/>
                <w:sz w:val="18"/>
              </w:rPr>
              <w:t>the</w:t>
            </w:r>
            <w:r>
              <w:rPr>
                <w:color w:val="231F20"/>
                <w:spacing w:val="-17"/>
                <w:w w:val="75"/>
                <w:sz w:val="18"/>
              </w:rPr>
              <w:t xml:space="preserve"> </w:t>
            </w:r>
            <w:r>
              <w:rPr>
                <w:color w:val="231F20"/>
                <w:w w:val="75"/>
                <w:sz w:val="18"/>
              </w:rPr>
              <w:t>hiring</w:t>
            </w:r>
            <w:r>
              <w:rPr>
                <w:color w:val="231F20"/>
                <w:spacing w:val="-17"/>
                <w:w w:val="75"/>
                <w:sz w:val="18"/>
              </w:rPr>
              <w:t xml:space="preserve"> </w:t>
            </w:r>
            <w:r>
              <w:rPr>
                <w:color w:val="231F20"/>
                <w:w w:val="75"/>
                <w:sz w:val="18"/>
              </w:rPr>
              <w:t>of</w:t>
            </w:r>
            <w:r>
              <w:rPr>
                <w:color w:val="231F20"/>
                <w:spacing w:val="-17"/>
                <w:w w:val="75"/>
                <w:sz w:val="18"/>
              </w:rPr>
              <w:t xml:space="preserve"> </w:t>
            </w:r>
            <w:r>
              <w:rPr>
                <w:color w:val="231F20"/>
                <w:w w:val="75"/>
                <w:sz w:val="18"/>
              </w:rPr>
              <w:t>rural</w:t>
            </w:r>
            <w:r>
              <w:rPr>
                <w:color w:val="231F20"/>
                <w:spacing w:val="-17"/>
                <w:w w:val="75"/>
                <w:sz w:val="18"/>
              </w:rPr>
              <w:t xml:space="preserve"> </w:t>
            </w:r>
            <w:r>
              <w:rPr>
                <w:color w:val="231F20"/>
                <w:w w:val="75"/>
                <w:sz w:val="18"/>
              </w:rPr>
              <w:t>health</w:t>
            </w:r>
          </w:p>
          <w:p w14:paraId="74CA7185" w14:textId="77777777" w:rsidR="009948F1" w:rsidRDefault="00BC0563">
            <w:pPr>
              <w:pStyle w:val="TableParagraph"/>
              <w:spacing w:before="4" w:line="156" w:lineRule="exact"/>
              <w:ind w:left="23"/>
              <w:rPr>
                <w:sz w:val="18"/>
              </w:rPr>
            </w:pPr>
            <w:r>
              <w:rPr>
                <w:color w:val="231F20"/>
                <w:w w:val="75"/>
                <w:sz w:val="18"/>
              </w:rPr>
              <w:t>workers sustained</w:t>
            </w:r>
          </w:p>
        </w:tc>
        <w:tc>
          <w:tcPr>
            <w:tcW w:w="1458" w:type="dxa"/>
            <w:tcBorders>
              <w:top w:val="single" w:sz="12" w:space="0" w:color="231F20"/>
              <w:left w:val="single" w:sz="6" w:space="0" w:color="231F20"/>
              <w:right w:val="single" w:sz="6" w:space="0" w:color="231F20"/>
            </w:tcBorders>
            <w:shd w:val="clear" w:color="auto" w:fill="CCE7D3"/>
          </w:tcPr>
          <w:p w14:paraId="1571FEE5" w14:textId="77777777" w:rsidR="009948F1" w:rsidRDefault="009948F1">
            <w:pPr>
              <w:pStyle w:val="TableParagraph"/>
              <w:rPr>
                <w:rFonts w:ascii="Times New Roman"/>
                <w:sz w:val="12"/>
              </w:rPr>
            </w:pPr>
          </w:p>
        </w:tc>
        <w:tc>
          <w:tcPr>
            <w:tcW w:w="1538" w:type="dxa"/>
            <w:tcBorders>
              <w:top w:val="single" w:sz="12" w:space="0" w:color="231F20"/>
              <w:left w:val="single" w:sz="6" w:space="0" w:color="231F20"/>
              <w:right w:val="single" w:sz="6" w:space="0" w:color="231F20"/>
            </w:tcBorders>
            <w:shd w:val="clear" w:color="auto" w:fill="CCE7D3"/>
          </w:tcPr>
          <w:p w14:paraId="514C492B" w14:textId="77777777" w:rsidR="009948F1" w:rsidRDefault="009948F1">
            <w:pPr>
              <w:pStyle w:val="TableParagraph"/>
              <w:rPr>
                <w:rFonts w:ascii="Times New Roman"/>
                <w:sz w:val="12"/>
              </w:rPr>
            </w:pPr>
          </w:p>
        </w:tc>
      </w:tr>
      <w:tr w:rsidR="009948F1" w14:paraId="4843F020" w14:textId="77777777">
        <w:trPr>
          <w:trHeight w:val="923"/>
        </w:trPr>
        <w:tc>
          <w:tcPr>
            <w:tcW w:w="874" w:type="dxa"/>
            <w:gridSpan w:val="2"/>
            <w:vMerge w:val="restart"/>
            <w:tcBorders>
              <w:top w:val="nil"/>
              <w:bottom w:val="nil"/>
              <w:right w:val="single" w:sz="6" w:space="0" w:color="231F20"/>
            </w:tcBorders>
          </w:tcPr>
          <w:p w14:paraId="6CF02652" w14:textId="77777777" w:rsidR="009948F1" w:rsidRDefault="009948F1">
            <w:pPr>
              <w:pStyle w:val="TableParagraph"/>
              <w:rPr>
                <w:rFonts w:ascii="Times New Roman"/>
                <w:sz w:val="12"/>
              </w:rPr>
            </w:pPr>
          </w:p>
        </w:tc>
        <w:tc>
          <w:tcPr>
            <w:tcW w:w="538" w:type="dxa"/>
            <w:tcBorders>
              <w:left w:val="single" w:sz="6" w:space="0" w:color="231F20"/>
              <w:right w:val="single" w:sz="6" w:space="0" w:color="231F20"/>
            </w:tcBorders>
          </w:tcPr>
          <w:p w14:paraId="53FB04F5" w14:textId="77777777" w:rsidR="009948F1" w:rsidRDefault="009948F1">
            <w:pPr>
              <w:pStyle w:val="TableParagraph"/>
              <w:rPr>
                <w:sz w:val="18"/>
              </w:rPr>
            </w:pPr>
          </w:p>
          <w:p w14:paraId="5FFA1DDE" w14:textId="77777777" w:rsidR="009948F1" w:rsidRDefault="00BC0563">
            <w:pPr>
              <w:pStyle w:val="TableParagraph"/>
              <w:spacing w:before="143"/>
              <w:ind w:left="44" w:right="25"/>
              <w:jc w:val="center"/>
              <w:rPr>
                <w:sz w:val="18"/>
              </w:rPr>
            </w:pPr>
            <w:r>
              <w:rPr>
                <w:color w:val="231F20"/>
                <w:w w:val="75"/>
                <w:sz w:val="18"/>
              </w:rPr>
              <w:t>9.4.1.a</w:t>
            </w:r>
          </w:p>
        </w:tc>
        <w:tc>
          <w:tcPr>
            <w:tcW w:w="5000" w:type="dxa"/>
            <w:gridSpan w:val="2"/>
            <w:tcBorders>
              <w:left w:val="single" w:sz="6" w:space="0" w:color="231F20"/>
              <w:right w:val="single" w:sz="6" w:space="0" w:color="231F20"/>
            </w:tcBorders>
          </w:tcPr>
          <w:p w14:paraId="1958B8F3" w14:textId="77777777" w:rsidR="009948F1" w:rsidRDefault="009948F1">
            <w:pPr>
              <w:pStyle w:val="TableParagraph"/>
              <w:spacing w:before="2"/>
              <w:rPr>
                <w:sz w:val="20"/>
              </w:rPr>
            </w:pPr>
          </w:p>
          <w:p w14:paraId="7BBBF9F2" w14:textId="77777777" w:rsidR="009948F1" w:rsidRDefault="00BC0563">
            <w:pPr>
              <w:pStyle w:val="TableParagraph"/>
              <w:spacing w:line="259" w:lineRule="auto"/>
              <w:ind w:left="24" w:right="168"/>
              <w:rPr>
                <w:sz w:val="18"/>
              </w:rPr>
            </w:pPr>
            <w:r>
              <w:rPr>
                <w:color w:val="231F20"/>
                <w:w w:val="70"/>
                <w:sz w:val="18"/>
              </w:rPr>
              <w:t>Review</w:t>
            </w:r>
            <w:r>
              <w:rPr>
                <w:color w:val="231F20"/>
                <w:spacing w:val="-20"/>
                <w:w w:val="70"/>
                <w:sz w:val="18"/>
              </w:rPr>
              <w:t xml:space="preserve"> </w:t>
            </w:r>
            <w:r>
              <w:rPr>
                <w:color w:val="231F20"/>
                <w:w w:val="70"/>
                <w:sz w:val="18"/>
              </w:rPr>
              <w:t>existing</w:t>
            </w:r>
            <w:r>
              <w:rPr>
                <w:color w:val="231F20"/>
                <w:spacing w:val="-19"/>
                <w:w w:val="70"/>
                <w:sz w:val="18"/>
              </w:rPr>
              <w:t xml:space="preserve"> </w:t>
            </w:r>
            <w:r>
              <w:rPr>
                <w:color w:val="231F20"/>
                <w:w w:val="70"/>
                <w:sz w:val="18"/>
              </w:rPr>
              <w:t>HRH</w:t>
            </w:r>
            <w:r>
              <w:rPr>
                <w:color w:val="231F20"/>
                <w:spacing w:val="-19"/>
                <w:w w:val="70"/>
                <w:sz w:val="18"/>
              </w:rPr>
              <w:t xml:space="preserve"> </w:t>
            </w:r>
            <w:r>
              <w:rPr>
                <w:color w:val="231F20"/>
                <w:w w:val="70"/>
                <w:sz w:val="18"/>
              </w:rPr>
              <w:t>recruitment</w:t>
            </w:r>
            <w:r>
              <w:rPr>
                <w:color w:val="231F20"/>
                <w:spacing w:val="-20"/>
                <w:w w:val="70"/>
                <w:sz w:val="18"/>
              </w:rPr>
              <w:t xml:space="preserve"> </w:t>
            </w:r>
            <w:r>
              <w:rPr>
                <w:color w:val="231F20"/>
                <w:w w:val="70"/>
                <w:sz w:val="18"/>
              </w:rPr>
              <w:t>and</w:t>
            </w:r>
            <w:r>
              <w:rPr>
                <w:color w:val="231F20"/>
                <w:spacing w:val="-19"/>
                <w:w w:val="70"/>
                <w:sz w:val="18"/>
              </w:rPr>
              <w:t xml:space="preserve"> </w:t>
            </w:r>
            <w:r>
              <w:rPr>
                <w:color w:val="231F20"/>
                <w:w w:val="70"/>
                <w:sz w:val="18"/>
              </w:rPr>
              <w:t>deployment</w:t>
            </w:r>
            <w:r>
              <w:rPr>
                <w:color w:val="231F20"/>
                <w:spacing w:val="-19"/>
                <w:w w:val="70"/>
                <w:sz w:val="18"/>
              </w:rPr>
              <w:t xml:space="preserve"> </w:t>
            </w:r>
            <w:r>
              <w:rPr>
                <w:color w:val="231F20"/>
                <w:w w:val="70"/>
                <w:sz w:val="18"/>
              </w:rPr>
              <w:t>policies</w:t>
            </w:r>
            <w:r>
              <w:rPr>
                <w:color w:val="231F20"/>
                <w:spacing w:val="-19"/>
                <w:w w:val="70"/>
                <w:sz w:val="18"/>
              </w:rPr>
              <w:t xml:space="preserve"> </w:t>
            </w:r>
            <w:r>
              <w:rPr>
                <w:color w:val="231F20"/>
                <w:w w:val="70"/>
                <w:sz w:val="18"/>
              </w:rPr>
              <w:t>to</w:t>
            </w:r>
            <w:r>
              <w:rPr>
                <w:color w:val="231F20"/>
                <w:spacing w:val="-20"/>
                <w:w w:val="70"/>
                <w:sz w:val="18"/>
              </w:rPr>
              <w:t xml:space="preserve"> </w:t>
            </w:r>
            <w:r>
              <w:rPr>
                <w:color w:val="231F20"/>
                <w:w w:val="70"/>
                <w:sz w:val="18"/>
              </w:rPr>
              <w:t>remove</w:t>
            </w:r>
            <w:r>
              <w:rPr>
                <w:color w:val="231F20"/>
                <w:spacing w:val="-19"/>
                <w:w w:val="70"/>
                <w:sz w:val="18"/>
              </w:rPr>
              <w:t xml:space="preserve"> </w:t>
            </w:r>
            <w:r>
              <w:rPr>
                <w:color w:val="231F20"/>
                <w:w w:val="70"/>
                <w:sz w:val="18"/>
              </w:rPr>
              <w:t>barriers/embargo</w:t>
            </w:r>
            <w:r>
              <w:rPr>
                <w:color w:val="231F20"/>
                <w:spacing w:val="-19"/>
                <w:w w:val="70"/>
                <w:sz w:val="18"/>
              </w:rPr>
              <w:t xml:space="preserve"> </w:t>
            </w:r>
            <w:r>
              <w:rPr>
                <w:color w:val="231F20"/>
                <w:w w:val="70"/>
                <w:sz w:val="18"/>
              </w:rPr>
              <w:t>to competitive</w:t>
            </w:r>
            <w:r>
              <w:rPr>
                <w:color w:val="231F20"/>
                <w:spacing w:val="-11"/>
                <w:w w:val="70"/>
                <w:sz w:val="18"/>
              </w:rPr>
              <w:t xml:space="preserve"> </w:t>
            </w:r>
            <w:r>
              <w:rPr>
                <w:color w:val="231F20"/>
                <w:w w:val="70"/>
                <w:sz w:val="18"/>
              </w:rPr>
              <w:t>recruitment,</w:t>
            </w:r>
            <w:r>
              <w:rPr>
                <w:color w:val="231F20"/>
                <w:spacing w:val="-11"/>
                <w:w w:val="70"/>
                <w:sz w:val="18"/>
              </w:rPr>
              <w:t xml:space="preserve"> </w:t>
            </w:r>
            <w:r>
              <w:rPr>
                <w:color w:val="231F20"/>
                <w:w w:val="70"/>
                <w:sz w:val="18"/>
              </w:rPr>
              <w:t>deployment</w:t>
            </w:r>
            <w:r>
              <w:rPr>
                <w:color w:val="231F20"/>
                <w:spacing w:val="-10"/>
                <w:w w:val="70"/>
                <w:sz w:val="18"/>
              </w:rPr>
              <w:t xml:space="preserve"> </w:t>
            </w:r>
            <w:r>
              <w:rPr>
                <w:color w:val="231F20"/>
                <w:w w:val="70"/>
                <w:sz w:val="18"/>
              </w:rPr>
              <w:t>and</w:t>
            </w:r>
            <w:r>
              <w:rPr>
                <w:color w:val="231F20"/>
                <w:spacing w:val="-11"/>
                <w:w w:val="70"/>
                <w:sz w:val="18"/>
              </w:rPr>
              <w:t xml:space="preserve"> </w:t>
            </w:r>
            <w:r>
              <w:rPr>
                <w:color w:val="231F20"/>
                <w:w w:val="70"/>
                <w:sz w:val="18"/>
              </w:rPr>
              <w:t>retention</w:t>
            </w:r>
            <w:r>
              <w:rPr>
                <w:color w:val="231F20"/>
                <w:spacing w:val="-10"/>
                <w:w w:val="70"/>
                <w:sz w:val="18"/>
              </w:rPr>
              <w:t xml:space="preserve"> </w:t>
            </w:r>
            <w:r>
              <w:rPr>
                <w:color w:val="231F20"/>
                <w:w w:val="70"/>
                <w:sz w:val="18"/>
              </w:rPr>
              <w:t>of</w:t>
            </w:r>
            <w:r>
              <w:rPr>
                <w:color w:val="231F20"/>
                <w:spacing w:val="-11"/>
                <w:w w:val="70"/>
                <w:sz w:val="18"/>
              </w:rPr>
              <w:t xml:space="preserve"> </w:t>
            </w:r>
            <w:r>
              <w:rPr>
                <w:color w:val="231F20"/>
                <w:w w:val="70"/>
                <w:sz w:val="18"/>
              </w:rPr>
              <w:t>appropriate</w:t>
            </w:r>
            <w:r>
              <w:rPr>
                <w:color w:val="231F20"/>
                <w:spacing w:val="-10"/>
                <w:w w:val="70"/>
                <w:sz w:val="18"/>
              </w:rPr>
              <w:t xml:space="preserve"> </w:t>
            </w:r>
            <w:r>
              <w:rPr>
                <w:color w:val="231F20"/>
                <w:w w:val="70"/>
                <w:sz w:val="18"/>
              </w:rPr>
              <w:t>health</w:t>
            </w:r>
            <w:r>
              <w:rPr>
                <w:color w:val="231F20"/>
                <w:spacing w:val="-11"/>
                <w:w w:val="70"/>
                <w:sz w:val="18"/>
              </w:rPr>
              <w:t xml:space="preserve"> </w:t>
            </w:r>
            <w:r>
              <w:rPr>
                <w:color w:val="231F20"/>
                <w:w w:val="70"/>
                <w:sz w:val="18"/>
              </w:rPr>
              <w:t>workforce</w:t>
            </w:r>
          </w:p>
        </w:tc>
        <w:tc>
          <w:tcPr>
            <w:tcW w:w="1458" w:type="dxa"/>
            <w:tcBorders>
              <w:left w:val="single" w:sz="6" w:space="0" w:color="231F20"/>
              <w:right w:val="single" w:sz="6" w:space="0" w:color="231F20"/>
            </w:tcBorders>
          </w:tcPr>
          <w:p w14:paraId="7570B78A" w14:textId="77777777" w:rsidR="009948F1" w:rsidRDefault="009948F1">
            <w:pPr>
              <w:pStyle w:val="TableParagraph"/>
              <w:rPr>
                <w:sz w:val="18"/>
              </w:rPr>
            </w:pPr>
          </w:p>
          <w:p w14:paraId="003E2871" w14:textId="77777777" w:rsidR="009948F1" w:rsidRDefault="00BC0563">
            <w:pPr>
              <w:pStyle w:val="TableParagraph"/>
              <w:spacing w:before="143"/>
              <w:ind w:left="22"/>
              <w:rPr>
                <w:sz w:val="18"/>
              </w:rPr>
            </w:pPr>
            <w:r>
              <w:rPr>
                <w:color w:val="231F20"/>
                <w:w w:val="75"/>
                <w:sz w:val="18"/>
              </w:rPr>
              <w:t>Lack of funds</w:t>
            </w:r>
          </w:p>
        </w:tc>
        <w:tc>
          <w:tcPr>
            <w:tcW w:w="1538" w:type="dxa"/>
            <w:tcBorders>
              <w:left w:val="single" w:sz="6" w:space="0" w:color="231F20"/>
              <w:right w:val="single" w:sz="6" w:space="0" w:color="231F20"/>
            </w:tcBorders>
          </w:tcPr>
          <w:p w14:paraId="6BA21B8A" w14:textId="77777777" w:rsidR="009948F1" w:rsidRDefault="009948F1">
            <w:pPr>
              <w:pStyle w:val="TableParagraph"/>
              <w:rPr>
                <w:sz w:val="18"/>
              </w:rPr>
            </w:pPr>
          </w:p>
          <w:p w14:paraId="45076895" w14:textId="77777777" w:rsidR="009948F1" w:rsidRDefault="00BC0563">
            <w:pPr>
              <w:pStyle w:val="TableParagraph"/>
              <w:spacing w:before="143"/>
              <w:ind w:left="22"/>
              <w:rPr>
                <w:sz w:val="18"/>
              </w:rPr>
            </w:pPr>
            <w:r>
              <w:rPr>
                <w:color w:val="231F20"/>
                <w:w w:val="75"/>
                <w:sz w:val="18"/>
              </w:rPr>
              <w:t>Review existing HRH</w:t>
            </w:r>
          </w:p>
        </w:tc>
      </w:tr>
      <w:tr w:rsidR="009948F1" w14:paraId="5AB6068C" w14:textId="77777777">
        <w:trPr>
          <w:trHeight w:val="429"/>
        </w:trPr>
        <w:tc>
          <w:tcPr>
            <w:tcW w:w="874" w:type="dxa"/>
            <w:gridSpan w:val="2"/>
            <w:vMerge/>
            <w:tcBorders>
              <w:top w:val="nil"/>
              <w:bottom w:val="nil"/>
              <w:right w:val="single" w:sz="6" w:space="0" w:color="231F20"/>
            </w:tcBorders>
          </w:tcPr>
          <w:p w14:paraId="715FC6DA" w14:textId="77777777" w:rsidR="009948F1" w:rsidRDefault="009948F1">
            <w:pPr>
              <w:rPr>
                <w:sz w:val="2"/>
                <w:szCs w:val="2"/>
              </w:rPr>
            </w:pPr>
          </w:p>
        </w:tc>
        <w:tc>
          <w:tcPr>
            <w:tcW w:w="538" w:type="dxa"/>
            <w:tcBorders>
              <w:left w:val="single" w:sz="6" w:space="0" w:color="231F20"/>
              <w:right w:val="single" w:sz="6" w:space="0" w:color="231F20"/>
            </w:tcBorders>
          </w:tcPr>
          <w:p w14:paraId="025C8120" w14:textId="77777777" w:rsidR="009948F1" w:rsidRDefault="00BC0563">
            <w:pPr>
              <w:pStyle w:val="TableParagraph"/>
              <w:spacing w:before="103"/>
              <w:ind w:left="44" w:right="25"/>
              <w:jc w:val="center"/>
              <w:rPr>
                <w:sz w:val="18"/>
              </w:rPr>
            </w:pPr>
            <w:r>
              <w:rPr>
                <w:color w:val="231F20"/>
                <w:w w:val="75"/>
                <w:sz w:val="18"/>
              </w:rPr>
              <w:t>9.4.1.b</w:t>
            </w:r>
          </w:p>
        </w:tc>
        <w:tc>
          <w:tcPr>
            <w:tcW w:w="5000" w:type="dxa"/>
            <w:gridSpan w:val="2"/>
            <w:tcBorders>
              <w:left w:val="single" w:sz="6" w:space="0" w:color="231F20"/>
              <w:right w:val="single" w:sz="6" w:space="0" w:color="231F20"/>
            </w:tcBorders>
          </w:tcPr>
          <w:p w14:paraId="31D259B4" w14:textId="77777777" w:rsidR="009948F1" w:rsidRDefault="00BC0563">
            <w:pPr>
              <w:pStyle w:val="TableParagraph"/>
              <w:spacing w:line="198" w:lineRule="exact"/>
              <w:ind w:left="24"/>
              <w:rPr>
                <w:sz w:val="18"/>
              </w:rPr>
            </w:pPr>
            <w:r>
              <w:rPr>
                <w:color w:val="231F20"/>
                <w:w w:val="70"/>
                <w:sz w:val="18"/>
              </w:rPr>
              <w:t>Create</w:t>
            </w:r>
            <w:r>
              <w:rPr>
                <w:color w:val="231F20"/>
                <w:spacing w:val="-13"/>
                <w:w w:val="70"/>
                <w:sz w:val="18"/>
              </w:rPr>
              <w:t xml:space="preserve"> </w:t>
            </w:r>
            <w:r>
              <w:rPr>
                <w:color w:val="231F20"/>
                <w:w w:val="70"/>
                <w:sz w:val="18"/>
              </w:rPr>
              <w:t>an</w:t>
            </w:r>
            <w:r>
              <w:rPr>
                <w:color w:val="231F20"/>
                <w:spacing w:val="-13"/>
                <w:w w:val="70"/>
                <w:sz w:val="18"/>
              </w:rPr>
              <w:t xml:space="preserve"> </w:t>
            </w:r>
            <w:r>
              <w:rPr>
                <w:color w:val="231F20"/>
                <w:w w:val="70"/>
                <w:sz w:val="18"/>
              </w:rPr>
              <w:t>enabling</w:t>
            </w:r>
            <w:r>
              <w:rPr>
                <w:color w:val="231F20"/>
                <w:spacing w:val="-12"/>
                <w:w w:val="70"/>
                <w:sz w:val="18"/>
              </w:rPr>
              <w:t xml:space="preserve"> </w:t>
            </w:r>
            <w:r>
              <w:rPr>
                <w:color w:val="231F20"/>
                <w:w w:val="70"/>
                <w:sz w:val="18"/>
              </w:rPr>
              <w:t>work</w:t>
            </w:r>
            <w:r>
              <w:rPr>
                <w:color w:val="231F20"/>
                <w:spacing w:val="-13"/>
                <w:w w:val="70"/>
                <w:sz w:val="18"/>
              </w:rPr>
              <w:t xml:space="preserve"> </w:t>
            </w:r>
            <w:r>
              <w:rPr>
                <w:color w:val="231F20"/>
                <w:w w:val="70"/>
                <w:sz w:val="18"/>
              </w:rPr>
              <w:t>and</w:t>
            </w:r>
            <w:r>
              <w:rPr>
                <w:color w:val="231F20"/>
                <w:spacing w:val="-12"/>
                <w:w w:val="70"/>
                <w:sz w:val="18"/>
              </w:rPr>
              <w:t xml:space="preserve"> </w:t>
            </w:r>
            <w:r>
              <w:rPr>
                <w:color w:val="231F20"/>
                <w:w w:val="70"/>
                <w:sz w:val="18"/>
              </w:rPr>
              <w:t>living</w:t>
            </w:r>
            <w:r>
              <w:rPr>
                <w:color w:val="231F20"/>
                <w:spacing w:val="-13"/>
                <w:w w:val="70"/>
                <w:sz w:val="18"/>
              </w:rPr>
              <w:t xml:space="preserve"> </w:t>
            </w:r>
            <w:r>
              <w:rPr>
                <w:color w:val="231F20"/>
                <w:w w:val="70"/>
                <w:sz w:val="18"/>
              </w:rPr>
              <w:t>environment</w:t>
            </w:r>
            <w:r>
              <w:rPr>
                <w:color w:val="231F20"/>
                <w:spacing w:val="-13"/>
                <w:w w:val="70"/>
                <w:sz w:val="18"/>
              </w:rPr>
              <w:t xml:space="preserve"> </w:t>
            </w:r>
            <w:r>
              <w:rPr>
                <w:color w:val="231F20"/>
                <w:w w:val="70"/>
                <w:sz w:val="18"/>
              </w:rPr>
              <w:t>to</w:t>
            </w:r>
            <w:r>
              <w:rPr>
                <w:color w:val="231F20"/>
                <w:spacing w:val="-12"/>
                <w:w w:val="70"/>
                <w:sz w:val="18"/>
              </w:rPr>
              <w:t xml:space="preserve"> </w:t>
            </w:r>
            <w:r>
              <w:rPr>
                <w:color w:val="231F20"/>
                <w:w w:val="70"/>
                <w:sz w:val="18"/>
              </w:rPr>
              <w:t>promote</w:t>
            </w:r>
            <w:r>
              <w:rPr>
                <w:color w:val="231F20"/>
                <w:spacing w:val="-13"/>
                <w:w w:val="70"/>
                <w:sz w:val="18"/>
              </w:rPr>
              <w:t xml:space="preserve"> </w:t>
            </w:r>
            <w:r>
              <w:rPr>
                <w:color w:val="231F20"/>
                <w:w w:val="70"/>
                <w:sz w:val="18"/>
              </w:rPr>
              <w:t>health</w:t>
            </w:r>
            <w:r>
              <w:rPr>
                <w:color w:val="231F20"/>
                <w:spacing w:val="-12"/>
                <w:w w:val="70"/>
                <w:sz w:val="18"/>
              </w:rPr>
              <w:t xml:space="preserve"> </w:t>
            </w:r>
            <w:r>
              <w:rPr>
                <w:color w:val="231F20"/>
                <w:w w:val="70"/>
                <w:sz w:val="18"/>
              </w:rPr>
              <w:t>worker</w:t>
            </w:r>
            <w:r>
              <w:rPr>
                <w:color w:val="231F20"/>
                <w:spacing w:val="-13"/>
                <w:w w:val="70"/>
                <w:sz w:val="18"/>
              </w:rPr>
              <w:t xml:space="preserve"> </w:t>
            </w:r>
            <w:r>
              <w:rPr>
                <w:color w:val="231F20"/>
                <w:w w:val="70"/>
                <w:sz w:val="18"/>
              </w:rPr>
              <w:t>recruitment</w:t>
            </w:r>
            <w:r>
              <w:rPr>
                <w:color w:val="231F20"/>
                <w:spacing w:val="-12"/>
                <w:w w:val="70"/>
                <w:sz w:val="18"/>
              </w:rPr>
              <w:t xml:space="preserve"> </w:t>
            </w:r>
            <w:r>
              <w:rPr>
                <w:color w:val="231F20"/>
                <w:w w:val="70"/>
                <w:sz w:val="18"/>
              </w:rPr>
              <w:t>and</w:t>
            </w:r>
          </w:p>
          <w:p w14:paraId="6DC82741" w14:textId="77777777" w:rsidR="009948F1" w:rsidRDefault="00BC0563">
            <w:pPr>
              <w:pStyle w:val="TableParagraph"/>
              <w:spacing w:before="16" w:line="196" w:lineRule="exact"/>
              <w:ind w:left="24"/>
              <w:rPr>
                <w:sz w:val="18"/>
              </w:rPr>
            </w:pPr>
            <w:r>
              <w:rPr>
                <w:color w:val="231F20"/>
                <w:w w:val="75"/>
                <w:sz w:val="18"/>
              </w:rPr>
              <w:t>retention</w:t>
            </w:r>
          </w:p>
        </w:tc>
        <w:tc>
          <w:tcPr>
            <w:tcW w:w="1458" w:type="dxa"/>
            <w:tcBorders>
              <w:left w:val="single" w:sz="6" w:space="0" w:color="231F20"/>
              <w:right w:val="single" w:sz="6" w:space="0" w:color="231F20"/>
            </w:tcBorders>
          </w:tcPr>
          <w:p w14:paraId="3296E9CA" w14:textId="77777777" w:rsidR="009948F1" w:rsidRDefault="00BC0563">
            <w:pPr>
              <w:pStyle w:val="TableParagraph"/>
              <w:spacing w:before="103"/>
              <w:ind w:left="22"/>
              <w:rPr>
                <w:sz w:val="18"/>
              </w:rPr>
            </w:pPr>
            <w:r>
              <w:rPr>
                <w:color w:val="231F20"/>
                <w:w w:val="75"/>
                <w:sz w:val="18"/>
              </w:rPr>
              <w:t>Lack of funds</w:t>
            </w:r>
          </w:p>
        </w:tc>
        <w:tc>
          <w:tcPr>
            <w:tcW w:w="1538" w:type="dxa"/>
            <w:tcBorders>
              <w:left w:val="single" w:sz="6" w:space="0" w:color="231F20"/>
              <w:right w:val="single" w:sz="6" w:space="0" w:color="231F20"/>
            </w:tcBorders>
          </w:tcPr>
          <w:p w14:paraId="6293C9EA" w14:textId="77777777" w:rsidR="009948F1" w:rsidRDefault="00BC0563">
            <w:pPr>
              <w:pStyle w:val="TableParagraph"/>
              <w:spacing w:before="103"/>
              <w:ind w:left="22"/>
              <w:rPr>
                <w:sz w:val="18"/>
              </w:rPr>
            </w:pPr>
            <w:r>
              <w:rPr>
                <w:color w:val="231F20"/>
                <w:w w:val="75"/>
                <w:sz w:val="18"/>
              </w:rPr>
              <w:t>No cost</w:t>
            </w:r>
          </w:p>
        </w:tc>
      </w:tr>
      <w:tr w:rsidR="009948F1" w14:paraId="3AABAD13" w14:textId="77777777">
        <w:trPr>
          <w:trHeight w:val="429"/>
        </w:trPr>
        <w:tc>
          <w:tcPr>
            <w:tcW w:w="874" w:type="dxa"/>
            <w:gridSpan w:val="2"/>
            <w:vMerge/>
            <w:tcBorders>
              <w:top w:val="nil"/>
              <w:bottom w:val="nil"/>
              <w:right w:val="single" w:sz="6" w:space="0" w:color="231F20"/>
            </w:tcBorders>
          </w:tcPr>
          <w:p w14:paraId="14262252" w14:textId="77777777" w:rsidR="009948F1" w:rsidRDefault="009948F1">
            <w:pPr>
              <w:rPr>
                <w:sz w:val="2"/>
                <w:szCs w:val="2"/>
              </w:rPr>
            </w:pPr>
          </w:p>
        </w:tc>
        <w:tc>
          <w:tcPr>
            <w:tcW w:w="538" w:type="dxa"/>
            <w:tcBorders>
              <w:left w:val="single" w:sz="6" w:space="0" w:color="231F20"/>
              <w:right w:val="single" w:sz="6" w:space="0" w:color="231F20"/>
            </w:tcBorders>
          </w:tcPr>
          <w:p w14:paraId="15FF6820" w14:textId="77777777" w:rsidR="009948F1" w:rsidRDefault="00BC0563">
            <w:pPr>
              <w:pStyle w:val="TableParagraph"/>
              <w:spacing w:before="103"/>
              <w:ind w:left="44" w:right="24"/>
              <w:jc w:val="center"/>
              <w:rPr>
                <w:sz w:val="18"/>
              </w:rPr>
            </w:pPr>
            <w:r>
              <w:rPr>
                <w:color w:val="231F20"/>
                <w:w w:val="75"/>
                <w:sz w:val="18"/>
              </w:rPr>
              <w:t>9.4.1.c</w:t>
            </w:r>
          </w:p>
        </w:tc>
        <w:tc>
          <w:tcPr>
            <w:tcW w:w="5000" w:type="dxa"/>
            <w:gridSpan w:val="2"/>
            <w:tcBorders>
              <w:left w:val="single" w:sz="6" w:space="0" w:color="231F20"/>
              <w:right w:val="single" w:sz="6" w:space="0" w:color="231F20"/>
            </w:tcBorders>
          </w:tcPr>
          <w:p w14:paraId="024A6048" w14:textId="77777777" w:rsidR="009948F1" w:rsidRDefault="00BC0563">
            <w:pPr>
              <w:pStyle w:val="TableParagraph"/>
              <w:spacing w:line="198" w:lineRule="exact"/>
              <w:ind w:left="24"/>
              <w:rPr>
                <w:sz w:val="18"/>
              </w:rPr>
            </w:pPr>
            <w:r>
              <w:rPr>
                <w:color w:val="231F20"/>
                <w:w w:val="70"/>
                <w:sz w:val="18"/>
              </w:rPr>
              <w:t>Sustain</w:t>
            </w:r>
            <w:r>
              <w:rPr>
                <w:color w:val="231F20"/>
                <w:spacing w:val="-12"/>
                <w:w w:val="70"/>
                <w:sz w:val="18"/>
              </w:rPr>
              <w:t xml:space="preserve"> </w:t>
            </w:r>
            <w:r>
              <w:rPr>
                <w:color w:val="231F20"/>
                <w:w w:val="70"/>
                <w:sz w:val="18"/>
              </w:rPr>
              <w:t>incentives</w:t>
            </w:r>
            <w:r>
              <w:rPr>
                <w:color w:val="231F20"/>
                <w:spacing w:val="-12"/>
                <w:w w:val="70"/>
                <w:sz w:val="18"/>
              </w:rPr>
              <w:t xml:space="preserve"> </w:t>
            </w:r>
            <w:r>
              <w:rPr>
                <w:color w:val="231F20"/>
                <w:w w:val="70"/>
                <w:sz w:val="18"/>
              </w:rPr>
              <w:t>in</w:t>
            </w:r>
            <w:r>
              <w:rPr>
                <w:color w:val="231F20"/>
                <w:spacing w:val="-11"/>
                <w:w w:val="70"/>
                <w:sz w:val="18"/>
              </w:rPr>
              <w:t xml:space="preserve"> </w:t>
            </w:r>
            <w:r>
              <w:rPr>
                <w:color w:val="231F20"/>
                <w:w w:val="70"/>
                <w:sz w:val="18"/>
              </w:rPr>
              <w:t>the</w:t>
            </w:r>
            <w:r>
              <w:rPr>
                <w:color w:val="231F20"/>
                <w:spacing w:val="-12"/>
                <w:w w:val="70"/>
                <w:sz w:val="18"/>
              </w:rPr>
              <w:t xml:space="preserve"> </w:t>
            </w:r>
            <w:r>
              <w:rPr>
                <w:color w:val="231F20"/>
                <w:w w:val="70"/>
                <w:sz w:val="18"/>
              </w:rPr>
              <w:t>hiring</w:t>
            </w:r>
            <w:r>
              <w:rPr>
                <w:color w:val="231F20"/>
                <w:spacing w:val="-11"/>
                <w:w w:val="70"/>
                <w:sz w:val="18"/>
              </w:rPr>
              <w:t xml:space="preserve"> </w:t>
            </w:r>
            <w:r>
              <w:rPr>
                <w:color w:val="231F20"/>
                <w:w w:val="70"/>
                <w:sz w:val="18"/>
              </w:rPr>
              <w:t>of</w:t>
            </w:r>
            <w:r>
              <w:rPr>
                <w:color w:val="231F20"/>
                <w:spacing w:val="-12"/>
                <w:w w:val="70"/>
                <w:sz w:val="18"/>
              </w:rPr>
              <w:t xml:space="preserve"> </w:t>
            </w:r>
            <w:r>
              <w:rPr>
                <w:color w:val="231F20"/>
                <w:w w:val="70"/>
                <w:sz w:val="18"/>
              </w:rPr>
              <w:t>rural</w:t>
            </w:r>
            <w:r>
              <w:rPr>
                <w:color w:val="231F20"/>
                <w:spacing w:val="-12"/>
                <w:w w:val="70"/>
                <w:sz w:val="18"/>
              </w:rPr>
              <w:t xml:space="preserve"> </w:t>
            </w:r>
            <w:r>
              <w:rPr>
                <w:color w:val="231F20"/>
                <w:w w:val="70"/>
                <w:sz w:val="18"/>
              </w:rPr>
              <w:t>health</w:t>
            </w:r>
            <w:r>
              <w:rPr>
                <w:color w:val="231F20"/>
                <w:spacing w:val="-11"/>
                <w:w w:val="70"/>
                <w:sz w:val="18"/>
              </w:rPr>
              <w:t xml:space="preserve"> </w:t>
            </w:r>
            <w:r>
              <w:rPr>
                <w:color w:val="231F20"/>
                <w:w w:val="70"/>
                <w:sz w:val="18"/>
              </w:rPr>
              <w:t>workers</w:t>
            </w:r>
            <w:r>
              <w:rPr>
                <w:color w:val="231F20"/>
                <w:spacing w:val="-12"/>
                <w:w w:val="70"/>
                <w:sz w:val="18"/>
              </w:rPr>
              <w:t xml:space="preserve"> </w:t>
            </w:r>
            <w:r>
              <w:rPr>
                <w:color w:val="231F20"/>
                <w:w w:val="70"/>
                <w:sz w:val="18"/>
              </w:rPr>
              <w:t>in</w:t>
            </w:r>
            <w:r>
              <w:rPr>
                <w:color w:val="231F20"/>
                <w:spacing w:val="-11"/>
                <w:w w:val="70"/>
                <w:sz w:val="18"/>
              </w:rPr>
              <w:t xml:space="preserve"> </w:t>
            </w:r>
            <w:r>
              <w:rPr>
                <w:color w:val="231F20"/>
                <w:w w:val="70"/>
                <w:sz w:val="18"/>
              </w:rPr>
              <w:t>order</w:t>
            </w:r>
            <w:r>
              <w:rPr>
                <w:color w:val="231F20"/>
                <w:spacing w:val="-12"/>
                <w:w w:val="70"/>
                <w:sz w:val="18"/>
              </w:rPr>
              <w:t xml:space="preserve"> </w:t>
            </w:r>
            <w:r>
              <w:rPr>
                <w:color w:val="231F20"/>
                <w:w w:val="70"/>
                <w:sz w:val="18"/>
              </w:rPr>
              <w:t>to</w:t>
            </w:r>
            <w:r>
              <w:rPr>
                <w:color w:val="231F20"/>
                <w:spacing w:val="-12"/>
                <w:w w:val="70"/>
                <w:sz w:val="18"/>
              </w:rPr>
              <w:t xml:space="preserve"> </w:t>
            </w:r>
            <w:r>
              <w:rPr>
                <w:color w:val="231F20"/>
                <w:w w:val="70"/>
                <w:sz w:val="18"/>
              </w:rPr>
              <w:t>attract</w:t>
            </w:r>
            <w:r>
              <w:rPr>
                <w:color w:val="231F20"/>
                <w:spacing w:val="-11"/>
                <w:w w:val="70"/>
                <w:sz w:val="18"/>
              </w:rPr>
              <w:t xml:space="preserve"> </w:t>
            </w:r>
            <w:r>
              <w:rPr>
                <w:color w:val="231F20"/>
                <w:w w:val="70"/>
                <w:sz w:val="18"/>
              </w:rPr>
              <w:t>qualified</w:t>
            </w:r>
            <w:r>
              <w:rPr>
                <w:color w:val="231F20"/>
                <w:spacing w:val="-12"/>
                <w:w w:val="70"/>
                <w:sz w:val="18"/>
              </w:rPr>
              <w:t xml:space="preserve"> </w:t>
            </w:r>
            <w:r>
              <w:rPr>
                <w:color w:val="231F20"/>
                <w:w w:val="70"/>
                <w:sz w:val="18"/>
              </w:rPr>
              <w:t>staff</w:t>
            </w:r>
            <w:r>
              <w:rPr>
                <w:color w:val="231F20"/>
                <w:spacing w:val="-11"/>
                <w:w w:val="70"/>
                <w:sz w:val="18"/>
              </w:rPr>
              <w:t xml:space="preserve"> </w:t>
            </w:r>
            <w:r>
              <w:rPr>
                <w:color w:val="231F20"/>
                <w:w w:val="70"/>
                <w:sz w:val="18"/>
              </w:rPr>
              <w:t>from</w:t>
            </w:r>
          </w:p>
          <w:p w14:paraId="7A5C56A9" w14:textId="77777777" w:rsidR="009948F1" w:rsidRDefault="00BC0563">
            <w:pPr>
              <w:pStyle w:val="TableParagraph"/>
              <w:spacing w:before="16" w:line="196" w:lineRule="exact"/>
              <w:ind w:left="24"/>
              <w:rPr>
                <w:sz w:val="18"/>
              </w:rPr>
            </w:pPr>
            <w:r>
              <w:rPr>
                <w:color w:val="231F20"/>
                <w:w w:val="75"/>
                <w:sz w:val="18"/>
              </w:rPr>
              <w:t>urban areas to work in the rural areas.</w:t>
            </w:r>
          </w:p>
        </w:tc>
        <w:tc>
          <w:tcPr>
            <w:tcW w:w="1458" w:type="dxa"/>
            <w:tcBorders>
              <w:left w:val="single" w:sz="6" w:space="0" w:color="231F20"/>
              <w:right w:val="single" w:sz="6" w:space="0" w:color="231F20"/>
            </w:tcBorders>
          </w:tcPr>
          <w:p w14:paraId="43758D8E" w14:textId="77777777" w:rsidR="009948F1" w:rsidRDefault="00BC0563">
            <w:pPr>
              <w:pStyle w:val="TableParagraph"/>
              <w:spacing w:before="103"/>
              <w:ind w:left="22"/>
              <w:rPr>
                <w:sz w:val="18"/>
              </w:rPr>
            </w:pPr>
            <w:r>
              <w:rPr>
                <w:color w:val="231F20"/>
                <w:w w:val="75"/>
                <w:sz w:val="18"/>
              </w:rPr>
              <w:t>Lack of funds</w:t>
            </w:r>
          </w:p>
        </w:tc>
        <w:tc>
          <w:tcPr>
            <w:tcW w:w="1538" w:type="dxa"/>
            <w:tcBorders>
              <w:left w:val="single" w:sz="6" w:space="0" w:color="231F20"/>
              <w:right w:val="single" w:sz="6" w:space="0" w:color="231F20"/>
            </w:tcBorders>
          </w:tcPr>
          <w:p w14:paraId="0FC44A3E" w14:textId="77777777" w:rsidR="009948F1" w:rsidRDefault="00BC0563">
            <w:pPr>
              <w:pStyle w:val="TableParagraph"/>
              <w:spacing w:line="200" w:lineRule="exact"/>
              <w:ind w:left="22"/>
              <w:rPr>
                <w:sz w:val="18"/>
              </w:rPr>
            </w:pPr>
            <w:r>
              <w:rPr>
                <w:color w:val="231F20"/>
                <w:w w:val="75"/>
                <w:sz w:val="18"/>
              </w:rPr>
              <w:t>Costed in OHT Human</w:t>
            </w:r>
          </w:p>
          <w:p w14:paraId="7860F533" w14:textId="77777777" w:rsidR="009948F1" w:rsidRDefault="00BC0563">
            <w:pPr>
              <w:pStyle w:val="TableParagraph"/>
              <w:spacing w:before="16" w:line="194" w:lineRule="exact"/>
              <w:ind w:left="22"/>
              <w:rPr>
                <w:sz w:val="18"/>
              </w:rPr>
            </w:pPr>
            <w:r>
              <w:rPr>
                <w:color w:val="231F20"/>
                <w:w w:val="75"/>
                <w:sz w:val="18"/>
              </w:rPr>
              <w:t>Resource</w:t>
            </w:r>
          </w:p>
        </w:tc>
      </w:tr>
      <w:tr w:rsidR="009948F1" w14:paraId="09766C25" w14:textId="77777777">
        <w:trPr>
          <w:trHeight w:val="413"/>
        </w:trPr>
        <w:tc>
          <w:tcPr>
            <w:tcW w:w="874" w:type="dxa"/>
            <w:gridSpan w:val="2"/>
            <w:vMerge/>
            <w:tcBorders>
              <w:top w:val="nil"/>
              <w:bottom w:val="nil"/>
              <w:right w:val="single" w:sz="6" w:space="0" w:color="231F20"/>
            </w:tcBorders>
          </w:tcPr>
          <w:p w14:paraId="671B7C01" w14:textId="77777777" w:rsidR="009948F1" w:rsidRDefault="009948F1">
            <w:pPr>
              <w:rPr>
                <w:sz w:val="2"/>
                <w:szCs w:val="2"/>
              </w:rPr>
            </w:pPr>
          </w:p>
        </w:tc>
        <w:tc>
          <w:tcPr>
            <w:tcW w:w="538" w:type="dxa"/>
            <w:tcBorders>
              <w:left w:val="single" w:sz="6" w:space="0" w:color="231F20"/>
              <w:right w:val="single" w:sz="6" w:space="0" w:color="231F20"/>
            </w:tcBorders>
          </w:tcPr>
          <w:p w14:paraId="247124DB" w14:textId="77777777" w:rsidR="009948F1" w:rsidRDefault="00BC0563">
            <w:pPr>
              <w:pStyle w:val="TableParagraph"/>
              <w:spacing w:before="96"/>
              <w:ind w:left="44" w:right="25"/>
              <w:jc w:val="center"/>
              <w:rPr>
                <w:sz w:val="18"/>
              </w:rPr>
            </w:pPr>
            <w:r>
              <w:rPr>
                <w:color w:val="231F20"/>
                <w:w w:val="75"/>
                <w:sz w:val="18"/>
              </w:rPr>
              <w:t>9.4.1.d</w:t>
            </w:r>
          </w:p>
        </w:tc>
        <w:tc>
          <w:tcPr>
            <w:tcW w:w="5000" w:type="dxa"/>
            <w:gridSpan w:val="2"/>
            <w:tcBorders>
              <w:left w:val="single" w:sz="6" w:space="0" w:color="231F20"/>
              <w:right w:val="single" w:sz="6" w:space="0" w:color="231F20"/>
            </w:tcBorders>
          </w:tcPr>
          <w:p w14:paraId="239FAE04" w14:textId="77777777" w:rsidR="009948F1" w:rsidRDefault="00BC0563">
            <w:pPr>
              <w:pStyle w:val="TableParagraph"/>
              <w:spacing w:line="198" w:lineRule="exact"/>
              <w:ind w:left="24"/>
              <w:rPr>
                <w:sz w:val="18"/>
              </w:rPr>
            </w:pPr>
            <w:r>
              <w:rPr>
                <w:color w:val="231F20"/>
                <w:w w:val="70"/>
                <w:sz w:val="18"/>
              </w:rPr>
              <w:t>Introduce</w:t>
            </w:r>
            <w:r>
              <w:rPr>
                <w:color w:val="231F20"/>
                <w:spacing w:val="-16"/>
                <w:w w:val="70"/>
                <w:sz w:val="18"/>
              </w:rPr>
              <w:t xml:space="preserve"> </w:t>
            </w:r>
            <w:r>
              <w:rPr>
                <w:color w:val="231F20"/>
                <w:w w:val="70"/>
                <w:sz w:val="18"/>
              </w:rPr>
              <w:t>performance</w:t>
            </w:r>
            <w:r>
              <w:rPr>
                <w:color w:val="231F20"/>
                <w:spacing w:val="-15"/>
                <w:w w:val="70"/>
                <w:sz w:val="18"/>
              </w:rPr>
              <w:t xml:space="preserve"> </w:t>
            </w:r>
            <w:r>
              <w:rPr>
                <w:color w:val="231F20"/>
                <w:w w:val="70"/>
                <w:sz w:val="18"/>
              </w:rPr>
              <w:t>based</w:t>
            </w:r>
            <w:r>
              <w:rPr>
                <w:color w:val="231F20"/>
                <w:spacing w:val="-15"/>
                <w:w w:val="70"/>
                <w:sz w:val="18"/>
              </w:rPr>
              <w:t xml:space="preserve"> </w:t>
            </w:r>
            <w:r>
              <w:rPr>
                <w:color w:val="231F20"/>
                <w:w w:val="70"/>
                <w:sz w:val="18"/>
              </w:rPr>
              <w:t>reward</w:t>
            </w:r>
            <w:r>
              <w:rPr>
                <w:color w:val="231F20"/>
                <w:spacing w:val="-15"/>
                <w:w w:val="70"/>
                <w:sz w:val="18"/>
              </w:rPr>
              <w:t xml:space="preserve"> </w:t>
            </w:r>
            <w:r>
              <w:rPr>
                <w:color w:val="231F20"/>
                <w:w w:val="70"/>
                <w:sz w:val="18"/>
              </w:rPr>
              <w:t>systems.</w:t>
            </w:r>
            <w:r>
              <w:rPr>
                <w:color w:val="231F20"/>
                <w:spacing w:val="-15"/>
                <w:w w:val="70"/>
                <w:sz w:val="18"/>
              </w:rPr>
              <w:t xml:space="preserve"> </w:t>
            </w:r>
            <w:r>
              <w:rPr>
                <w:color w:val="231F20"/>
                <w:w w:val="70"/>
                <w:sz w:val="18"/>
              </w:rPr>
              <w:t>Best</w:t>
            </w:r>
            <w:r>
              <w:rPr>
                <w:color w:val="231F20"/>
                <w:spacing w:val="-15"/>
                <w:w w:val="70"/>
                <w:sz w:val="18"/>
              </w:rPr>
              <w:t xml:space="preserve"> </w:t>
            </w:r>
            <w:r>
              <w:rPr>
                <w:color w:val="231F20"/>
                <w:w w:val="70"/>
                <w:sz w:val="18"/>
              </w:rPr>
              <w:t>performance</w:t>
            </w:r>
            <w:r>
              <w:rPr>
                <w:color w:val="231F20"/>
                <w:spacing w:val="-15"/>
                <w:w w:val="70"/>
                <w:sz w:val="18"/>
              </w:rPr>
              <w:t xml:space="preserve"> </w:t>
            </w:r>
            <w:r>
              <w:rPr>
                <w:color w:val="231F20"/>
                <w:w w:val="70"/>
                <w:sz w:val="18"/>
              </w:rPr>
              <w:t>from</w:t>
            </w:r>
            <w:r>
              <w:rPr>
                <w:color w:val="231F20"/>
                <w:spacing w:val="-15"/>
                <w:w w:val="70"/>
                <w:sz w:val="18"/>
              </w:rPr>
              <w:t xml:space="preserve"> </w:t>
            </w:r>
            <w:r>
              <w:rPr>
                <w:color w:val="231F20"/>
                <w:w w:val="70"/>
                <w:sz w:val="18"/>
              </w:rPr>
              <w:t>each</w:t>
            </w:r>
            <w:r>
              <w:rPr>
                <w:color w:val="231F20"/>
                <w:spacing w:val="-15"/>
                <w:w w:val="70"/>
                <w:sz w:val="18"/>
              </w:rPr>
              <w:t xml:space="preserve"> </w:t>
            </w:r>
            <w:r>
              <w:rPr>
                <w:color w:val="231F20"/>
                <w:w w:val="70"/>
                <w:sz w:val="18"/>
              </w:rPr>
              <w:t>department</w:t>
            </w:r>
            <w:r>
              <w:rPr>
                <w:color w:val="231F20"/>
                <w:spacing w:val="-15"/>
                <w:w w:val="70"/>
                <w:sz w:val="18"/>
              </w:rPr>
              <w:t xml:space="preserve"> </w:t>
            </w:r>
            <w:r>
              <w:rPr>
                <w:color w:val="231F20"/>
                <w:w w:val="70"/>
                <w:sz w:val="18"/>
              </w:rPr>
              <w:t>in</w:t>
            </w:r>
          </w:p>
          <w:p w14:paraId="3FE39BBB" w14:textId="77777777" w:rsidR="009948F1" w:rsidRDefault="00BC0563">
            <w:pPr>
              <w:pStyle w:val="TableParagraph"/>
              <w:spacing w:before="16" w:line="179" w:lineRule="exact"/>
              <w:ind w:left="24"/>
              <w:rPr>
                <w:sz w:val="18"/>
              </w:rPr>
            </w:pPr>
            <w:r>
              <w:rPr>
                <w:color w:val="231F20"/>
                <w:w w:val="75"/>
                <w:sz w:val="18"/>
              </w:rPr>
              <w:t>SMOH and RSPHCMB annually</w:t>
            </w:r>
          </w:p>
        </w:tc>
        <w:tc>
          <w:tcPr>
            <w:tcW w:w="1458" w:type="dxa"/>
            <w:tcBorders>
              <w:left w:val="single" w:sz="6" w:space="0" w:color="231F20"/>
              <w:right w:val="single" w:sz="6" w:space="0" w:color="231F20"/>
            </w:tcBorders>
          </w:tcPr>
          <w:p w14:paraId="19DA2B54" w14:textId="77777777" w:rsidR="009948F1" w:rsidRDefault="00BC0563">
            <w:pPr>
              <w:pStyle w:val="TableParagraph"/>
              <w:spacing w:before="96"/>
              <w:ind w:left="22"/>
              <w:rPr>
                <w:sz w:val="18"/>
              </w:rPr>
            </w:pPr>
            <w:r>
              <w:rPr>
                <w:color w:val="231F20"/>
                <w:w w:val="75"/>
                <w:sz w:val="18"/>
              </w:rPr>
              <w:t>Lack of funds</w:t>
            </w:r>
          </w:p>
        </w:tc>
        <w:tc>
          <w:tcPr>
            <w:tcW w:w="1538" w:type="dxa"/>
            <w:tcBorders>
              <w:left w:val="single" w:sz="6" w:space="0" w:color="231F20"/>
              <w:right w:val="single" w:sz="6" w:space="0" w:color="231F20"/>
            </w:tcBorders>
          </w:tcPr>
          <w:p w14:paraId="61BCF98C" w14:textId="77777777" w:rsidR="009948F1" w:rsidRDefault="00BC0563">
            <w:pPr>
              <w:pStyle w:val="TableParagraph"/>
              <w:spacing w:line="198" w:lineRule="exact"/>
              <w:ind w:left="22"/>
              <w:rPr>
                <w:sz w:val="18"/>
              </w:rPr>
            </w:pPr>
            <w:r>
              <w:rPr>
                <w:color w:val="231F20"/>
                <w:w w:val="75"/>
                <w:sz w:val="18"/>
              </w:rPr>
              <w:t>Introduce performance</w:t>
            </w:r>
          </w:p>
          <w:p w14:paraId="29BE6D5E" w14:textId="77777777" w:rsidR="009948F1" w:rsidRDefault="00BC0563">
            <w:pPr>
              <w:pStyle w:val="TableParagraph"/>
              <w:spacing w:before="16" w:line="179" w:lineRule="exact"/>
              <w:ind w:left="22"/>
              <w:rPr>
                <w:sz w:val="18"/>
              </w:rPr>
            </w:pPr>
            <w:r>
              <w:rPr>
                <w:color w:val="231F20"/>
                <w:w w:val="75"/>
                <w:sz w:val="18"/>
              </w:rPr>
              <w:t>based reward</w:t>
            </w:r>
          </w:p>
        </w:tc>
      </w:tr>
      <w:tr w:rsidR="009948F1" w14:paraId="3269418C" w14:textId="77777777">
        <w:trPr>
          <w:trHeight w:val="435"/>
        </w:trPr>
        <w:tc>
          <w:tcPr>
            <w:tcW w:w="874" w:type="dxa"/>
            <w:gridSpan w:val="2"/>
            <w:vMerge/>
            <w:tcBorders>
              <w:top w:val="nil"/>
              <w:bottom w:val="nil"/>
              <w:right w:val="single" w:sz="6" w:space="0" w:color="231F20"/>
            </w:tcBorders>
          </w:tcPr>
          <w:p w14:paraId="1F1F7560" w14:textId="77777777" w:rsidR="009948F1" w:rsidRDefault="009948F1">
            <w:pPr>
              <w:rPr>
                <w:sz w:val="2"/>
                <w:szCs w:val="2"/>
              </w:rPr>
            </w:pPr>
          </w:p>
        </w:tc>
        <w:tc>
          <w:tcPr>
            <w:tcW w:w="538" w:type="dxa"/>
            <w:tcBorders>
              <w:left w:val="single" w:sz="6" w:space="0" w:color="231F20"/>
              <w:right w:val="single" w:sz="6" w:space="0" w:color="231F20"/>
            </w:tcBorders>
          </w:tcPr>
          <w:p w14:paraId="14E6A49E" w14:textId="77777777" w:rsidR="009948F1" w:rsidRDefault="00BC0563">
            <w:pPr>
              <w:pStyle w:val="TableParagraph"/>
              <w:spacing w:before="107"/>
              <w:ind w:left="44" w:right="25"/>
              <w:jc w:val="center"/>
              <w:rPr>
                <w:sz w:val="18"/>
              </w:rPr>
            </w:pPr>
            <w:r>
              <w:rPr>
                <w:color w:val="231F20"/>
                <w:w w:val="75"/>
                <w:sz w:val="18"/>
              </w:rPr>
              <w:t>9.4.1.e</w:t>
            </w:r>
          </w:p>
        </w:tc>
        <w:tc>
          <w:tcPr>
            <w:tcW w:w="5000" w:type="dxa"/>
            <w:gridSpan w:val="2"/>
            <w:tcBorders>
              <w:left w:val="single" w:sz="6" w:space="0" w:color="231F20"/>
              <w:right w:val="single" w:sz="6" w:space="0" w:color="231F20"/>
            </w:tcBorders>
          </w:tcPr>
          <w:p w14:paraId="6F45F279" w14:textId="77777777" w:rsidR="009948F1" w:rsidRDefault="00BC0563">
            <w:pPr>
              <w:pStyle w:val="TableParagraph"/>
              <w:spacing w:line="198" w:lineRule="exact"/>
              <w:ind w:left="24"/>
              <w:rPr>
                <w:sz w:val="18"/>
              </w:rPr>
            </w:pPr>
            <w:r>
              <w:rPr>
                <w:color w:val="231F20"/>
                <w:w w:val="70"/>
                <w:sz w:val="18"/>
              </w:rPr>
              <w:t>Institutionalize the Midwifery Service Scheme (MSS) and other flagship interventions to</w:t>
            </w:r>
          </w:p>
          <w:p w14:paraId="69740B2F" w14:textId="77777777" w:rsidR="009948F1" w:rsidRDefault="00BC0563">
            <w:pPr>
              <w:pStyle w:val="TableParagraph"/>
              <w:spacing w:before="16" w:line="201" w:lineRule="exact"/>
              <w:ind w:left="24"/>
              <w:rPr>
                <w:sz w:val="18"/>
              </w:rPr>
            </w:pPr>
            <w:r>
              <w:rPr>
                <w:color w:val="231F20"/>
                <w:w w:val="75"/>
                <w:sz w:val="18"/>
              </w:rPr>
              <w:t>increase HRH availability especially in hard to reach areas</w:t>
            </w:r>
          </w:p>
        </w:tc>
        <w:tc>
          <w:tcPr>
            <w:tcW w:w="1458" w:type="dxa"/>
            <w:tcBorders>
              <w:left w:val="single" w:sz="6" w:space="0" w:color="231F20"/>
              <w:right w:val="single" w:sz="6" w:space="0" w:color="231F20"/>
            </w:tcBorders>
          </w:tcPr>
          <w:p w14:paraId="23DDF466" w14:textId="77777777" w:rsidR="009948F1" w:rsidRDefault="00BC0563">
            <w:pPr>
              <w:pStyle w:val="TableParagraph"/>
              <w:spacing w:before="107"/>
              <w:ind w:left="22"/>
              <w:rPr>
                <w:sz w:val="18"/>
              </w:rPr>
            </w:pPr>
            <w:r>
              <w:rPr>
                <w:color w:val="231F20"/>
                <w:w w:val="75"/>
                <w:sz w:val="18"/>
              </w:rPr>
              <w:t>Lack of funds</w:t>
            </w:r>
          </w:p>
        </w:tc>
        <w:tc>
          <w:tcPr>
            <w:tcW w:w="1538" w:type="dxa"/>
            <w:tcBorders>
              <w:left w:val="single" w:sz="6" w:space="0" w:color="231F20"/>
              <w:right w:val="single" w:sz="6" w:space="0" w:color="231F20"/>
            </w:tcBorders>
          </w:tcPr>
          <w:p w14:paraId="14F5BD3B" w14:textId="77777777" w:rsidR="009948F1" w:rsidRDefault="00BC0563">
            <w:pPr>
              <w:pStyle w:val="TableParagraph"/>
              <w:spacing w:before="107"/>
              <w:ind w:left="22"/>
              <w:rPr>
                <w:sz w:val="18"/>
              </w:rPr>
            </w:pPr>
            <w:r>
              <w:rPr>
                <w:color w:val="231F20"/>
                <w:w w:val="75"/>
                <w:sz w:val="18"/>
              </w:rPr>
              <w:t>Monthly allowance</w:t>
            </w:r>
          </w:p>
        </w:tc>
      </w:tr>
      <w:tr w:rsidR="009948F1" w14:paraId="7B0D6129" w14:textId="77777777">
        <w:trPr>
          <w:trHeight w:val="769"/>
        </w:trPr>
        <w:tc>
          <w:tcPr>
            <w:tcW w:w="409" w:type="dxa"/>
            <w:tcBorders>
              <w:top w:val="nil"/>
              <w:bottom w:val="nil"/>
              <w:right w:val="single" w:sz="6" w:space="0" w:color="231F20"/>
            </w:tcBorders>
          </w:tcPr>
          <w:p w14:paraId="0B046BC8" w14:textId="77777777" w:rsidR="009948F1" w:rsidRDefault="009948F1">
            <w:pPr>
              <w:pStyle w:val="TableParagraph"/>
              <w:rPr>
                <w:rFonts w:ascii="Times New Roman"/>
                <w:sz w:val="12"/>
              </w:rPr>
            </w:pPr>
          </w:p>
        </w:tc>
        <w:tc>
          <w:tcPr>
            <w:tcW w:w="465" w:type="dxa"/>
            <w:tcBorders>
              <w:left w:val="single" w:sz="6" w:space="0" w:color="231F20"/>
              <w:right w:val="single" w:sz="6" w:space="0" w:color="231F20"/>
            </w:tcBorders>
            <w:shd w:val="clear" w:color="auto" w:fill="CCE7D3"/>
          </w:tcPr>
          <w:p w14:paraId="43A79BEB" w14:textId="77777777" w:rsidR="009948F1" w:rsidRDefault="009948F1">
            <w:pPr>
              <w:pStyle w:val="TableParagraph"/>
              <w:spacing w:before="9"/>
              <w:rPr>
                <w:sz w:val="23"/>
              </w:rPr>
            </w:pPr>
          </w:p>
          <w:p w14:paraId="10154C0F" w14:textId="77777777" w:rsidR="009948F1" w:rsidRDefault="00BC0563">
            <w:pPr>
              <w:pStyle w:val="TableParagraph"/>
              <w:ind w:left="59"/>
              <w:rPr>
                <w:sz w:val="18"/>
              </w:rPr>
            </w:pPr>
            <w:r>
              <w:rPr>
                <w:color w:val="231F20"/>
                <w:w w:val="75"/>
                <w:sz w:val="18"/>
              </w:rPr>
              <w:t>9.4.2</w:t>
            </w:r>
          </w:p>
        </w:tc>
        <w:tc>
          <w:tcPr>
            <w:tcW w:w="3103" w:type="dxa"/>
            <w:gridSpan w:val="2"/>
            <w:tcBorders>
              <w:left w:val="single" w:sz="6" w:space="0" w:color="231F20"/>
              <w:right w:val="single" w:sz="6" w:space="0" w:color="231F20"/>
            </w:tcBorders>
            <w:shd w:val="clear" w:color="auto" w:fill="CCE7D3"/>
          </w:tcPr>
          <w:p w14:paraId="1C138C15" w14:textId="77777777" w:rsidR="009948F1" w:rsidRDefault="00BC0563">
            <w:pPr>
              <w:pStyle w:val="TableParagraph"/>
              <w:spacing w:before="154" w:line="259" w:lineRule="auto"/>
              <w:ind w:left="25" w:right="54" w:firstLine="33"/>
              <w:rPr>
                <w:sz w:val="18"/>
              </w:rPr>
            </w:pPr>
            <w:r>
              <w:rPr>
                <w:color w:val="231F20"/>
                <w:w w:val="70"/>
                <w:sz w:val="18"/>
              </w:rPr>
              <w:t>Improve</w:t>
            </w:r>
            <w:r>
              <w:rPr>
                <w:color w:val="231F20"/>
                <w:spacing w:val="-20"/>
                <w:w w:val="70"/>
                <w:sz w:val="18"/>
              </w:rPr>
              <w:t xml:space="preserve"> </w:t>
            </w:r>
            <w:r>
              <w:rPr>
                <w:color w:val="231F20"/>
                <w:w w:val="70"/>
                <w:sz w:val="18"/>
              </w:rPr>
              <w:t>HRH</w:t>
            </w:r>
            <w:r>
              <w:rPr>
                <w:color w:val="231F20"/>
                <w:spacing w:val="-20"/>
                <w:w w:val="70"/>
                <w:sz w:val="18"/>
              </w:rPr>
              <w:t xml:space="preserve"> </w:t>
            </w:r>
            <w:r>
              <w:rPr>
                <w:color w:val="231F20"/>
                <w:w w:val="70"/>
                <w:sz w:val="18"/>
              </w:rPr>
              <w:t>performance</w:t>
            </w:r>
            <w:r>
              <w:rPr>
                <w:color w:val="231F20"/>
                <w:spacing w:val="-20"/>
                <w:w w:val="70"/>
                <w:sz w:val="18"/>
              </w:rPr>
              <w:t xml:space="preserve"> </w:t>
            </w:r>
            <w:r>
              <w:rPr>
                <w:color w:val="231F20"/>
                <w:w w:val="70"/>
                <w:sz w:val="18"/>
              </w:rPr>
              <w:t>management</w:t>
            </w:r>
            <w:r>
              <w:rPr>
                <w:color w:val="231F20"/>
                <w:spacing w:val="-19"/>
                <w:w w:val="70"/>
                <w:sz w:val="18"/>
              </w:rPr>
              <w:t xml:space="preserve"> </w:t>
            </w:r>
            <w:r>
              <w:rPr>
                <w:color w:val="231F20"/>
                <w:w w:val="70"/>
                <w:sz w:val="18"/>
              </w:rPr>
              <w:t>systems</w:t>
            </w:r>
            <w:r>
              <w:rPr>
                <w:color w:val="231F20"/>
                <w:spacing w:val="-20"/>
                <w:w w:val="70"/>
                <w:sz w:val="18"/>
              </w:rPr>
              <w:t xml:space="preserve"> </w:t>
            </w:r>
            <w:r>
              <w:rPr>
                <w:color w:val="231F20"/>
                <w:w w:val="70"/>
                <w:sz w:val="18"/>
              </w:rPr>
              <w:t>at</w:t>
            </w:r>
            <w:r>
              <w:rPr>
                <w:color w:val="231F20"/>
                <w:spacing w:val="-20"/>
                <w:w w:val="70"/>
                <w:sz w:val="18"/>
              </w:rPr>
              <w:t xml:space="preserve"> </w:t>
            </w:r>
            <w:r>
              <w:rPr>
                <w:color w:val="231F20"/>
                <w:w w:val="70"/>
                <w:sz w:val="18"/>
              </w:rPr>
              <w:t xml:space="preserve">all </w:t>
            </w:r>
            <w:r>
              <w:rPr>
                <w:color w:val="231F20"/>
                <w:w w:val="75"/>
                <w:sz w:val="18"/>
              </w:rPr>
              <w:t>levels</w:t>
            </w:r>
          </w:p>
        </w:tc>
        <w:tc>
          <w:tcPr>
            <w:tcW w:w="2435" w:type="dxa"/>
            <w:tcBorders>
              <w:left w:val="single" w:sz="6" w:space="0" w:color="231F20"/>
              <w:right w:val="single" w:sz="6" w:space="0" w:color="231F20"/>
            </w:tcBorders>
            <w:shd w:val="clear" w:color="auto" w:fill="CCE7D3"/>
          </w:tcPr>
          <w:p w14:paraId="34F1B0AF" w14:textId="77777777" w:rsidR="009948F1" w:rsidRDefault="00BC0563">
            <w:pPr>
              <w:pStyle w:val="TableParagraph"/>
              <w:numPr>
                <w:ilvl w:val="0"/>
                <w:numId w:val="59"/>
              </w:numPr>
              <w:tabs>
                <w:tab w:val="left" w:pos="100"/>
              </w:tabs>
              <w:spacing w:line="259" w:lineRule="auto"/>
              <w:ind w:right="123" w:firstLine="0"/>
              <w:rPr>
                <w:sz w:val="18"/>
              </w:rPr>
            </w:pPr>
            <w:r>
              <w:rPr>
                <w:color w:val="231F20"/>
                <w:w w:val="70"/>
                <w:sz w:val="18"/>
              </w:rPr>
              <w:t>System for measuring performance of health</w:t>
            </w:r>
            <w:r>
              <w:rPr>
                <w:color w:val="231F20"/>
                <w:spacing w:val="-17"/>
                <w:w w:val="70"/>
                <w:sz w:val="18"/>
              </w:rPr>
              <w:t xml:space="preserve"> </w:t>
            </w:r>
            <w:r>
              <w:rPr>
                <w:color w:val="231F20"/>
                <w:w w:val="70"/>
                <w:sz w:val="18"/>
              </w:rPr>
              <w:t>workers</w:t>
            </w:r>
            <w:r>
              <w:rPr>
                <w:color w:val="231F20"/>
                <w:spacing w:val="-16"/>
                <w:w w:val="70"/>
                <w:sz w:val="18"/>
              </w:rPr>
              <w:t xml:space="preserve"> </w:t>
            </w:r>
            <w:r>
              <w:rPr>
                <w:color w:val="231F20"/>
                <w:w w:val="70"/>
                <w:sz w:val="18"/>
              </w:rPr>
              <w:t>reviewed</w:t>
            </w:r>
            <w:r>
              <w:rPr>
                <w:color w:val="231F20"/>
                <w:spacing w:val="-16"/>
                <w:w w:val="70"/>
                <w:sz w:val="18"/>
              </w:rPr>
              <w:t xml:space="preserve"> </w:t>
            </w:r>
            <w:r>
              <w:rPr>
                <w:color w:val="231F20"/>
                <w:w w:val="70"/>
                <w:sz w:val="18"/>
              </w:rPr>
              <w:t>and</w:t>
            </w:r>
            <w:r>
              <w:rPr>
                <w:color w:val="231F20"/>
                <w:spacing w:val="-16"/>
                <w:w w:val="70"/>
                <w:sz w:val="18"/>
              </w:rPr>
              <w:t xml:space="preserve"> </w:t>
            </w:r>
            <w:r>
              <w:rPr>
                <w:color w:val="231F20"/>
                <w:spacing w:val="-3"/>
                <w:w w:val="70"/>
                <w:sz w:val="18"/>
              </w:rPr>
              <w:t>implemented</w:t>
            </w:r>
          </w:p>
        </w:tc>
        <w:tc>
          <w:tcPr>
            <w:tcW w:w="1458" w:type="dxa"/>
            <w:tcBorders>
              <w:left w:val="single" w:sz="6" w:space="0" w:color="231F20"/>
              <w:right w:val="single" w:sz="6" w:space="0" w:color="231F20"/>
            </w:tcBorders>
            <w:shd w:val="clear" w:color="auto" w:fill="CCE7D3"/>
          </w:tcPr>
          <w:p w14:paraId="3714061D" w14:textId="77777777" w:rsidR="009948F1" w:rsidRDefault="009948F1">
            <w:pPr>
              <w:pStyle w:val="TableParagraph"/>
              <w:rPr>
                <w:rFonts w:ascii="Times New Roman"/>
                <w:sz w:val="12"/>
              </w:rPr>
            </w:pPr>
          </w:p>
        </w:tc>
        <w:tc>
          <w:tcPr>
            <w:tcW w:w="1538" w:type="dxa"/>
            <w:tcBorders>
              <w:left w:val="single" w:sz="6" w:space="0" w:color="231F20"/>
              <w:right w:val="single" w:sz="6" w:space="0" w:color="231F20"/>
            </w:tcBorders>
            <w:shd w:val="clear" w:color="auto" w:fill="CCE7D3"/>
          </w:tcPr>
          <w:p w14:paraId="163B4687" w14:textId="77777777" w:rsidR="009948F1" w:rsidRDefault="009948F1">
            <w:pPr>
              <w:pStyle w:val="TableParagraph"/>
              <w:rPr>
                <w:rFonts w:ascii="Times New Roman"/>
                <w:sz w:val="12"/>
              </w:rPr>
            </w:pPr>
          </w:p>
        </w:tc>
      </w:tr>
      <w:tr w:rsidR="009948F1" w14:paraId="3D281A71" w14:textId="77777777">
        <w:trPr>
          <w:trHeight w:val="429"/>
        </w:trPr>
        <w:tc>
          <w:tcPr>
            <w:tcW w:w="874" w:type="dxa"/>
            <w:gridSpan w:val="2"/>
            <w:tcBorders>
              <w:top w:val="nil"/>
              <w:bottom w:val="nil"/>
              <w:right w:val="single" w:sz="6" w:space="0" w:color="231F20"/>
            </w:tcBorders>
          </w:tcPr>
          <w:p w14:paraId="4B5563F8" w14:textId="77777777" w:rsidR="009948F1" w:rsidRDefault="009948F1">
            <w:pPr>
              <w:pStyle w:val="TableParagraph"/>
              <w:rPr>
                <w:rFonts w:ascii="Times New Roman"/>
                <w:sz w:val="12"/>
              </w:rPr>
            </w:pPr>
          </w:p>
        </w:tc>
        <w:tc>
          <w:tcPr>
            <w:tcW w:w="538" w:type="dxa"/>
            <w:tcBorders>
              <w:left w:val="single" w:sz="6" w:space="0" w:color="231F20"/>
              <w:right w:val="single" w:sz="6" w:space="0" w:color="231F20"/>
            </w:tcBorders>
          </w:tcPr>
          <w:p w14:paraId="25E90786" w14:textId="77777777" w:rsidR="009948F1" w:rsidRDefault="00BC0563">
            <w:pPr>
              <w:pStyle w:val="TableParagraph"/>
              <w:spacing w:before="103"/>
              <w:ind w:left="44" w:right="25"/>
              <w:jc w:val="center"/>
              <w:rPr>
                <w:sz w:val="18"/>
              </w:rPr>
            </w:pPr>
            <w:r>
              <w:rPr>
                <w:color w:val="231F20"/>
                <w:w w:val="75"/>
                <w:sz w:val="18"/>
              </w:rPr>
              <w:t>9.4.2.a</w:t>
            </w:r>
          </w:p>
        </w:tc>
        <w:tc>
          <w:tcPr>
            <w:tcW w:w="5000" w:type="dxa"/>
            <w:gridSpan w:val="2"/>
            <w:tcBorders>
              <w:left w:val="single" w:sz="6" w:space="0" w:color="231F20"/>
              <w:right w:val="single" w:sz="6" w:space="0" w:color="231F20"/>
            </w:tcBorders>
          </w:tcPr>
          <w:p w14:paraId="77D25EC4" w14:textId="77777777" w:rsidR="009948F1" w:rsidRDefault="00BC0563">
            <w:pPr>
              <w:pStyle w:val="TableParagraph"/>
              <w:spacing w:line="198" w:lineRule="exact"/>
              <w:ind w:left="24"/>
              <w:rPr>
                <w:sz w:val="18"/>
              </w:rPr>
            </w:pPr>
            <w:r>
              <w:rPr>
                <w:color w:val="231F20"/>
                <w:w w:val="70"/>
                <w:sz w:val="18"/>
              </w:rPr>
              <w:t>Review</w:t>
            </w:r>
            <w:r>
              <w:rPr>
                <w:color w:val="231F20"/>
                <w:spacing w:val="-14"/>
                <w:w w:val="70"/>
                <w:sz w:val="18"/>
              </w:rPr>
              <w:t xml:space="preserve"> </w:t>
            </w:r>
            <w:r>
              <w:rPr>
                <w:color w:val="231F20"/>
                <w:w w:val="70"/>
                <w:sz w:val="18"/>
              </w:rPr>
              <w:t>and</w:t>
            </w:r>
            <w:r>
              <w:rPr>
                <w:color w:val="231F20"/>
                <w:spacing w:val="-14"/>
                <w:w w:val="70"/>
                <w:sz w:val="18"/>
              </w:rPr>
              <w:t xml:space="preserve"> </w:t>
            </w:r>
            <w:r>
              <w:rPr>
                <w:color w:val="231F20"/>
                <w:w w:val="70"/>
                <w:sz w:val="18"/>
              </w:rPr>
              <w:t>implement</w:t>
            </w:r>
            <w:r>
              <w:rPr>
                <w:color w:val="231F20"/>
                <w:spacing w:val="-14"/>
                <w:w w:val="70"/>
                <w:sz w:val="18"/>
              </w:rPr>
              <w:t xml:space="preserve"> </w:t>
            </w:r>
            <w:r>
              <w:rPr>
                <w:color w:val="231F20"/>
                <w:w w:val="70"/>
                <w:sz w:val="18"/>
              </w:rPr>
              <w:t>system</w:t>
            </w:r>
            <w:r>
              <w:rPr>
                <w:color w:val="231F20"/>
                <w:spacing w:val="-13"/>
                <w:w w:val="70"/>
                <w:sz w:val="18"/>
              </w:rPr>
              <w:t xml:space="preserve"> </w:t>
            </w:r>
            <w:r>
              <w:rPr>
                <w:color w:val="231F20"/>
                <w:w w:val="70"/>
                <w:sz w:val="18"/>
              </w:rPr>
              <w:t>for</w:t>
            </w:r>
            <w:r>
              <w:rPr>
                <w:color w:val="231F20"/>
                <w:spacing w:val="-14"/>
                <w:w w:val="70"/>
                <w:sz w:val="18"/>
              </w:rPr>
              <w:t xml:space="preserve"> </w:t>
            </w:r>
            <w:r>
              <w:rPr>
                <w:color w:val="231F20"/>
                <w:w w:val="70"/>
                <w:sz w:val="18"/>
              </w:rPr>
              <w:t>measuring</w:t>
            </w:r>
            <w:r>
              <w:rPr>
                <w:color w:val="231F20"/>
                <w:spacing w:val="-14"/>
                <w:w w:val="70"/>
                <w:sz w:val="18"/>
              </w:rPr>
              <w:t xml:space="preserve"> </w:t>
            </w:r>
            <w:r>
              <w:rPr>
                <w:color w:val="231F20"/>
                <w:w w:val="70"/>
                <w:sz w:val="18"/>
              </w:rPr>
              <w:t>performance</w:t>
            </w:r>
            <w:r>
              <w:rPr>
                <w:color w:val="231F20"/>
                <w:spacing w:val="-13"/>
                <w:w w:val="70"/>
                <w:sz w:val="18"/>
              </w:rPr>
              <w:t xml:space="preserve"> </w:t>
            </w:r>
            <w:r>
              <w:rPr>
                <w:color w:val="231F20"/>
                <w:w w:val="70"/>
                <w:sz w:val="18"/>
              </w:rPr>
              <w:t>of</w:t>
            </w:r>
            <w:r>
              <w:rPr>
                <w:color w:val="231F20"/>
                <w:spacing w:val="-14"/>
                <w:w w:val="70"/>
                <w:sz w:val="18"/>
              </w:rPr>
              <w:t xml:space="preserve"> </w:t>
            </w:r>
            <w:r>
              <w:rPr>
                <w:color w:val="231F20"/>
                <w:w w:val="70"/>
                <w:sz w:val="18"/>
              </w:rPr>
              <w:t>health</w:t>
            </w:r>
            <w:r>
              <w:rPr>
                <w:color w:val="231F20"/>
                <w:spacing w:val="-14"/>
                <w:w w:val="70"/>
                <w:sz w:val="18"/>
              </w:rPr>
              <w:t xml:space="preserve"> </w:t>
            </w:r>
            <w:r>
              <w:rPr>
                <w:color w:val="231F20"/>
                <w:w w:val="70"/>
                <w:sz w:val="18"/>
              </w:rPr>
              <w:t>workers</w:t>
            </w:r>
            <w:r>
              <w:rPr>
                <w:color w:val="231F20"/>
                <w:spacing w:val="-14"/>
                <w:w w:val="70"/>
                <w:sz w:val="18"/>
              </w:rPr>
              <w:t xml:space="preserve"> </w:t>
            </w:r>
            <w:r>
              <w:rPr>
                <w:color w:val="231F20"/>
                <w:w w:val="70"/>
                <w:sz w:val="18"/>
              </w:rPr>
              <w:t>in</w:t>
            </w:r>
            <w:r>
              <w:rPr>
                <w:color w:val="231F20"/>
                <w:spacing w:val="-13"/>
                <w:w w:val="70"/>
                <w:sz w:val="18"/>
              </w:rPr>
              <w:t xml:space="preserve"> </w:t>
            </w:r>
            <w:r>
              <w:rPr>
                <w:color w:val="231F20"/>
                <w:w w:val="70"/>
                <w:sz w:val="18"/>
              </w:rPr>
              <w:t>line</w:t>
            </w:r>
            <w:r>
              <w:rPr>
                <w:color w:val="231F20"/>
                <w:spacing w:val="-14"/>
                <w:w w:val="70"/>
                <w:sz w:val="18"/>
              </w:rPr>
              <w:t xml:space="preserve"> </w:t>
            </w:r>
            <w:r>
              <w:rPr>
                <w:color w:val="231F20"/>
                <w:w w:val="70"/>
                <w:sz w:val="18"/>
              </w:rPr>
              <w:t>with</w:t>
            </w:r>
            <w:r>
              <w:rPr>
                <w:color w:val="231F20"/>
                <w:spacing w:val="-14"/>
                <w:w w:val="70"/>
                <w:sz w:val="18"/>
              </w:rPr>
              <w:t xml:space="preserve"> </w:t>
            </w:r>
            <w:r>
              <w:rPr>
                <w:color w:val="231F20"/>
                <w:w w:val="70"/>
                <w:sz w:val="18"/>
              </w:rPr>
              <w:t>the</w:t>
            </w:r>
          </w:p>
          <w:p w14:paraId="5C8A8328" w14:textId="77777777" w:rsidR="009948F1" w:rsidRDefault="00BC0563">
            <w:pPr>
              <w:pStyle w:val="TableParagraph"/>
              <w:spacing w:before="16" w:line="196" w:lineRule="exact"/>
              <w:ind w:left="24"/>
              <w:rPr>
                <w:sz w:val="18"/>
              </w:rPr>
            </w:pPr>
            <w:r>
              <w:rPr>
                <w:color w:val="231F20"/>
                <w:w w:val="75"/>
                <w:sz w:val="18"/>
              </w:rPr>
              <w:t>Civil Service Performance Monitoring System (PMS)</w:t>
            </w:r>
          </w:p>
        </w:tc>
        <w:tc>
          <w:tcPr>
            <w:tcW w:w="1458" w:type="dxa"/>
            <w:tcBorders>
              <w:left w:val="single" w:sz="6" w:space="0" w:color="231F20"/>
              <w:right w:val="single" w:sz="6" w:space="0" w:color="231F20"/>
            </w:tcBorders>
          </w:tcPr>
          <w:p w14:paraId="48D67C68" w14:textId="77777777" w:rsidR="009948F1" w:rsidRDefault="00BC0563">
            <w:pPr>
              <w:pStyle w:val="TableParagraph"/>
              <w:spacing w:before="103"/>
              <w:ind w:left="22"/>
              <w:rPr>
                <w:sz w:val="18"/>
              </w:rPr>
            </w:pPr>
            <w:r>
              <w:rPr>
                <w:color w:val="231F20"/>
                <w:w w:val="75"/>
                <w:sz w:val="18"/>
              </w:rPr>
              <w:t>Lack of funds</w:t>
            </w:r>
          </w:p>
        </w:tc>
        <w:tc>
          <w:tcPr>
            <w:tcW w:w="1538" w:type="dxa"/>
            <w:tcBorders>
              <w:left w:val="single" w:sz="6" w:space="0" w:color="231F20"/>
              <w:right w:val="single" w:sz="6" w:space="0" w:color="231F20"/>
            </w:tcBorders>
          </w:tcPr>
          <w:p w14:paraId="676F8AAE" w14:textId="77777777" w:rsidR="009948F1" w:rsidRDefault="00BC0563">
            <w:pPr>
              <w:pStyle w:val="TableParagraph"/>
              <w:spacing w:before="103"/>
              <w:ind w:left="22"/>
              <w:rPr>
                <w:sz w:val="18"/>
              </w:rPr>
            </w:pPr>
            <w:r>
              <w:rPr>
                <w:color w:val="231F20"/>
                <w:w w:val="75"/>
                <w:sz w:val="18"/>
              </w:rPr>
              <w:t>Promotion activities</w:t>
            </w:r>
          </w:p>
        </w:tc>
      </w:tr>
      <w:tr w:rsidR="009948F1" w14:paraId="1997B2E3" w14:textId="77777777">
        <w:trPr>
          <w:trHeight w:val="1538"/>
        </w:trPr>
        <w:tc>
          <w:tcPr>
            <w:tcW w:w="409" w:type="dxa"/>
            <w:tcBorders>
              <w:top w:val="nil"/>
              <w:bottom w:val="nil"/>
              <w:right w:val="single" w:sz="6" w:space="0" w:color="231F20"/>
            </w:tcBorders>
          </w:tcPr>
          <w:p w14:paraId="468B23BD" w14:textId="77777777" w:rsidR="009948F1" w:rsidRDefault="009948F1">
            <w:pPr>
              <w:pStyle w:val="TableParagraph"/>
              <w:rPr>
                <w:rFonts w:ascii="Times New Roman"/>
                <w:sz w:val="12"/>
              </w:rPr>
            </w:pPr>
          </w:p>
        </w:tc>
        <w:tc>
          <w:tcPr>
            <w:tcW w:w="465" w:type="dxa"/>
            <w:tcBorders>
              <w:left w:val="single" w:sz="6" w:space="0" w:color="231F20"/>
              <w:right w:val="single" w:sz="6" w:space="0" w:color="231F20"/>
            </w:tcBorders>
            <w:shd w:val="clear" w:color="auto" w:fill="CCE7D3"/>
          </w:tcPr>
          <w:p w14:paraId="62E6D676" w14:textId="77777777" w:rsidR="009948F1" w:rsidRDefault="009948F1">
            <w:pPr>
              <w:pStyle w:val="TableParagraph"/>
              <w:rPr>
                <w:sz w:val="18"/>
              </w:rPr>
            </w:pPr>
          </w:p>
          <w:p w14:paraId="4CBE4DAD" w14:textId="77777777" w:rsidR="009948F1" w:rsidRDefault="009948F1">
            <w:pPr>
              <w:pStyle w:val="TableParagraph"/>
              <w:rPr>
                <w:sz w:val="18"/>
              </w:rPr>
            </w:pPr>
          </w:p>
          <w:p w14:paraId="3BB6B366" w14:textId="77777777" w:rsidR="009948F1" w:rsidRDefault="009948F1">
            <w:pPr>
              <w:pStyle w:val="TableParagraph"/>
              <w:spacing w:before="2"/>
              <w:rPr>
                <w:sz w:val="21"/>
              </w:rPr>
            </w:pPr>
          </w:p>
          <w:p w14:paraId="6B0D29D1" w14:textId="77777777" w:rsidR="009948F1" w:rsidRDefault="00BC0563">
            <w:pPr>
              <w:pStyle w:val="TableParagraph"/>
              <w:spacing w:before="1"/>
              <w:ind w:left="59"/>
              <w:rPr>
                <w:sz w:val="18"/>
              </w:rPr>
            </w:pPr>
            <w:r>
              <w:rPr>
                <w:color w:val="231F20"/>
                <w:w w:val="75"/>
                <w:sz w:val="18"/>
              </w:rPr>
              <w:t>9.4.3</w:t>
            </w:r>
          </w:p>
        </w:tc>
        <w:tc>
          <w:tcPr>
            <w:tcW w:w="3103" w:type="dxa"/>
            <w:gridSpan w:val="2"/>
            <w:tcBorders>
              <w:left w:val="single" w:sz="6" w:space="0" w:color="231F20"/>
              <w:right w:val="single" w:sz="6" w:space="0" w:color="231F20"/>
            </w:tcBorders>
            <w:shd w:val="clear" w:color="auto" w:fill="CCE7D3"/>
          </w:tcPr>
          <w:p w14:paraId="730A27FD" w14:textId="77777777" w:rsidR="009948F1" w:rsidRDefault="009948F1">
            <w:pPr>
              <w:pStyle w:val="TableParagraph"/>
              <w:rPr>
                <w:sz w:val="18"/>
              </w:rPr>
            </w:pPr>
          </w:p>
          <w:p w14:paraId="67AD18DB" w14:textId="77777777" w:rsidR="009948F1" w:rsidRDefault="009948F1">
            <w:pPr>
              <w:pStyle w:val="TableParagraph"/>
              <w:rPr>
                <w:sz w:val="18"/>
              </w:rPr>
            </w:pPr>
          </w:p>
          <w:p w14:paraId="769F84D0" w14:textId="4BF77EB1" w:rsidR="009948F1" w:rsidRDefault="00BC0563">
            <w:pPr>
              <w:pStyle w:val="TableParagraph"/>
              <w:spacing w:before="124" w:line="259" w:lineRule="auto"/>
              <w:ind w:left="25" w:right="687" w:firstLine="33"/>
              <w:rPr>
                <w:sz w:val="18"/>
              </w:rPr>
            </w:pPr>
            <w:r>
              <w:rPr>
                <w:color w:val="231F20"/>
                <w:w w:val="70"/>
                <w:sz w:val="18"/>
              </w:rPr>
              <w:t>Strengthen</w:t>
            </w:r>
            <w:r>
              <w:rPr>
                <w:color w:val="231F20"/>
                <w:spacing w:val="-24"/>
                <w:w w:val="70"/>
                <w:sz w:val="18"/>
              </w:rPr>
              <w:t xml:space="preserve"> </w:t>
            </w:r>
            <w:r>
              <w:rPr>
                <w:color w:val="231F20"/>
                <w:w w:val="70"/>
                <w:sz w:val="18"/>
              </w:rPr>
              <w:t>the</w:t>
            </w:r>
            <w:r>
              <w:rPr>
                <w:color w:val="231F20"/>
                <w:spacing w:val="-23"/>
                <w:w w:val="70"/>
                <w:sz w:val="18"/>
              </w:rPr>
              <w:t xml:space="preserve"> </w:t>
            </w:r>
            <w:r w:rsidR="00661EED">
              <w:rPr>
                <w:color w:val="231F20"/>
                <w:w w:val="70"/>
                <w:sz w:val="18"/>
              </w:rPr>
              <w:t xml:space="preserve">task shifting </w:t>
            </w:r>
            <w:proofErr w:type="gramStart"/>
            <w:r>
              <w:rPr>
                <w:color w:val="231F20"/>
                <w:w w:val="70"/>
                <w:sz w:val="18"/>
              </w:rPr>
              <w:t>and</w:t>
            </w:r>
            <w:r w:rsidR="00661EED">
              <w:rPr>
                <w:color w:val="231F20"/>
                <w:w w:val="70"/>
                <w:sz w:val="18"/>
              </w:rPr>
              <w:t xml:space="preserve"> </w:t>
            </w:r>
            <w:r>
              <w:rPr>
                <w:color w:val="231F20"/>
                <w:spacing w:val="-24"/>
                <w:w w:val="70"/>
                <w:sz w:val="18"/>
              </w:rPr>
              <w:t xml:space="preserve"> </w:t>
            </w:r>
            <w:r w:rsidR="00661EED">
              <w:rPr>
                <w:color w:val="231F20"/>
                <w:w w:val="70"/>
                <w:sz w:val="18"/>
              </w:rPr>
              <w:t>task</w:t>
            </w:r>
            <w:proofErr w:type="gramEnd"/>
            <w:r w:rsidR="00661EED">
              <w:rPr>
                <w:color w:val="231F20"/>
                <w:w w:val="70"/>
                <w:sz w:val="18"/>
              </w:rPr>
              <w:t xml:space="preserve"> sharing</w:t>
            </w:r>
            <w:r>
              <w:rPr>
                <w:color w:val="231F20"/>
                <w:w w:val="70"/>
                <w:sz w:val="18"/>
              </w:rPr>
              <w:t xml:space="preserve"> implementation</w:t>
            </w:r>
            <w:r>
              <w:rPr>
                <w:color w:val="231F20"/>
                <w:spacing w:val="-12"/>
                <w:w w:val="70"/>
                <w:sz w:val="18"/>
              </w:rPr>
              <w:t xml:space="preserve"> </w:t>
            </w:r>
            <w:r>
              <w:rPr>
                <w:color w:val="231F20"/>
                <w:w w:val="70"/>
                <w:sz w:val="18"/>
              </w:rPr>
              <w:t>with</w:t>
            </w:r>
            <w:r>
              <w:rPr>
                <w:color w:val="231F20"/>
                <w:spacing w:val="-11"/>
                <w:w w:val="70"/>
                <w:sz w:val="18"/>
              </w:rPr>
              <w:t xml:space="preserve"> </w:t>
            </w:r>
            <w:r>
              <w:rPr>
                <w:color w:val="231F20"/>
                <w:w w:val="70"/>
                <w:sz w:val="18"/>
              </w:rPr>
              <w:t>required</w:t>
            </w:r>
            <w:r>
              <w:rPr>
                <w:color w:val="231F20"/>
                <w:spacing w:val="-11"/>
                <w:w w:val="70"/>
                <w:sz w:val="18"/>
              </w:rPr>
              <w:t xml:space="preserve"> </w:t>
            </w:r>
            <w:r>
              <w:rPr>
                <w:color w:val="231F20"/>
                <w:w w:val="70"/>
                <w:sz w:val="18"/>
              </w:rPr>
              <w:t>guidelines.</w:t>
            </w:r>
          </w:p>
        </w:tc>
        <w:tc>
          <w:tcPr>
            <w:tcW w:w="2435" w:type="dxa"/>
            <w:tcBorders>
              <w:left w:val="single" w:sz="6" w:space="0" w:color="231F20"/>
              <w:right w:val="single" w:sz="6" w:space="0" w:color="231F20"/>
            </w:tcBorders>
            <w:shd w:val="clear" w:color="auto" w:fill="CCE7D3"/>
          </w:tcPr>
          <w:p w14:paraId="60B7180C" w14:textId="77777777" w:rsidR="009948F1" w:rsidRDefault="00BC0563">
            <w:pPr>
              <w:pStyle w:val="TableParagraph"/>
              <w:numPr>
                <w:ilvl w:val="0"/>
                <w:numId w:val="58"/>
              </w:numPr>
              <w:tabs>
                <w:tab w:val="left" w:pos="98"/>
              </w:tabs>
              <w:spacing w:line="259" w:lineRule="auto"/>
              <w:ind w:right="218" w:firstLine="0"/>
              <w:jc w:val="both"/>
              <w:rPr>
                <w:sz w:val="18"/>
              </w:rPr>
            </w:pPr>
            <w:r>
              <w:rPr>
                <w:color w:val="231F20"/>
                <w:w w:val="70"/>
                <w:sz w:val="18"/>
              </w:rPr>
              <w:t>TSTS</w:t>
            </w:r>
            <w:r>
              <w:rPr>
                <w:color w:val="231F20"/>
                <w:spacing w:val="-18"/>
                <w:w w:val="70"/>
                <w:sz w:val="18"/>
              </w:rPr>
              <w:t xml:space="preserve"> </w:t>
            </w:r>
            <w:r>
              <w:rPr>
                <w:color w:val="231F20"/>
                <w:w w:val="70"/>
                <w:sz w:val="18"/>
              </w:rPr>
              <w:t>Policy</w:t>
            </w:r>
            <w:r>
              <w:rPr>
                <w:color w:val="231F20"/>
                <w:spacing w:val="-17"/>
                <w:w w:val="70"/>
                <w:sz w:val="18"/>
              </w:rPr>
              <w:t xml:space="preserve"> </w:t>
            </w:r>
            <w:r>
              <w:rPr>
                <w:color w:val="231F20"/>
                <w:w w:val="70"/>
                <w:sz w:val="18"/>
              </w:rPr>
              <w:t>produced</w:t>
            </w:r>
            <w:r>
              <w:rPr>
                <w:color w:val="231F20"/>
                <w:spacing w:val="-17"/>
                <w:w w:val="70"/>
                <w:sz w:val="18"/>
              </w:rPr>
              <w:t xml:space="preserve"> </w:t>
            </w:r>
            <w:r>
              <w:rPr>
                <w:color w:val="231F20"/>
                <w:w w:val="70"/>
                <w:sz w:val="18"/>
              </w:rPr>
              <w:t>and</w:t>
            </w:r>
            <w:r>
              <w:rPr>
                <w:color w:val="231F20"/>
                <w:spacing w:val="-17"/>
                <w:w w:val="70"/>
                <w:sz w:val="18"/>
              </w:rPr>
              <w:t xml:space="preserve"> </w:t>
            </w:r>
            <w:r>
              <w:rPr>
                <w:color w:val="231F20"/>
                <w:w w:val="70"/>
                <w:sz w:val="18"/>
              </w:rPr>
              <w:t>distribute</w:t>
            </w:r>
            <w:r>
              <w:rPr>
                <w:color w:val="231F20"/>
                <w:spacing w:val="-18"/>
                <w:w w:val="70"/>
                <w:sz w:val="18"/>
              </w:rPr>
              <w:t xml:space="preserve"> </w:t>
            </w:r>
            <w:r>
              <w:rPr>
                <w:color w:val="231F20"/>
                <w:w w:val="70"/>
                <w:sz w:val="18"/>
              </w:rPr>
              <w:t xml:space="preserve">to </w:t>
            </w:r>
            <w:r>
              <w:rPr>
                <w:color w:val="231F20"/>
                <w:w w:val="75"/>
                <w:sz w:val="18"/>
              </w:rPr>
              <w:t>relevant</w:t>
            </w:r>
            <w:r>
              <w:rPr>
                <w:color w:val="231F20"/>
                <w:spacing w:val="-9"/>
                <w:w w:val="75"/>
                <w:sz w:val="18"/>
              </w:rPr>
              <w:t xml:space="preserve"> </w:t>
            </w:r>
            <w:r>
              <w:rPr>
                <w:color w:val="231F20"/>
                <w:w w:val="75"/>
                <w:sz w:val="18"/>
              </w:rPr>
              <w:t>Stakeholders</w:t>
            </w:r>
          </w:p>
          <w:p w14:paraId="6B226131" w14:textId="77777777" w:rsidR="009948F1" w:rsidRDefault="00BC0563">
            <w:pPr>
              <w:pStyle w:val="TableParagraph"/>
              <w:numPr>
                <w:ilvl w:val="0"/>
                <w:numId w:val="58"/>
              </w:numPr>
              <w:tabs>
                <w:tab w:val="left" w:pos="67"/>
              </w:tabs>
              <w:spacing w:line="259" w:lineRule="auto"/>
              <w:ind w:right="112" w:firstLine="0"/>
              <w:jc w:val="both"/>
              <w:rPr>
                <w:sz w:val="18"/>
              </w:rPr>
            </w:pPr>
            <w:r>
              <w:rPr>
                <w:color w:val="231F20"/>
                <w:w w:val="70"/>
                <w:sz w:val="18"/>
              </w:rPr>
              <w:t>Advocacy</w:t>
            </w:r>
            <w:r>
              <w:rPr>
                <w:color w:val="231F20"/>
                <w:spacing w:val="-21"/>
                <w:w w:val="70"/>
                <w:sz w:val="18"/>
              </w:rPr>
              <w:t xml:space="preserve"> </w:t>
            </w:r>
            <w:r>
              <w:rPr>
                <w:color w:val="231F20"/>
                <w:w w:val="70"/>
                <w:sz w:val="18"/>
              </w:rPr>
              <w:t>meeting</w:t>
            </w:r>
            <w:r>
              <w:rPr>
                <w:color w:val="231F20"/>
                <w:spacing w:val="-20"/>
                <w:w w:val="70"/>
                <w:sz w:val="18"/>
              </w:rPr>
              <w:t xml:space="preserve"> </w:t>
            </w:r>
            <w:r>
              <w:rPr>
                <w:color w:val="231F20"/>
                <w:w w:val="70"/>
                <w:sz w:val="18"/>
              </w:rPr>
              <w:t>with</w:t>
            </w:r>
            <w:r>
              <w:rPr>
                <w:color w:val="231F20"/>
                <w:spacing w:val="-20"/>
                <w:w w:val="70"/>
                <w:sz w:val="18"/>
              </w:rPr>
              <w:t xml:space="preserve"> </w:t>
            </w:r>
            <w:r>
              <w:rPr>
                <w:color w:val="231F20"/>
                <w:w w:val="70"/>
                <w:sz w:val="18"/>
              </w:rPr>
              <w:t>Key</w:t>
            </w:r>
            <w:r>
              <w:rPr>
                <w:color w:val="231F20"/>
                <w:spacing w:val="-20"/>
                <w:w w:val="70"/>
                <w:sz w:val="18"/>
              </w:rPr>
              <w:t xml:space="preserve"> </w:t>
            </w:r>
            <w:r>
              <w:rPr>
                <w:color w:val="231F20"/>
                <w:w w:val="70"/>
                <w:sz w:val="18"/>
              </w:rPr>
              <w:t>Stakeholders to</w:t>
            </w:r>
            <w:r>
              <w:rPr>
                <w:color w:val="231F20"/>
                <w:spacing w:val="-20"/>
                <w:w w:val="70"/>
                <w:sz w:val="18"/>
              </w:rPr>
              <w:t xml:space="preserve"> </w:t>
            </w:r>
            <w:r>
              <w:rPr>
                <w:color w:val="231F20"/>
                <w:w w:val="70"/>
                <w:sz w:val="18"/>
              </w:rPr>
              <w:t>sensitize</w:t>
            </w:r>
            <w:r>
              <w:rPr>
                <w:color w:val="231F20"/>
                <w:spacing w:val="-19"/>
                <w:w w:val="70"/>
                <w:sz w:val="18"/>
              </w:rPr>
              <w:t xml:space="preserve"> </w:t>
            </w:r>
            <w:r>
              <w:rPr>
                <w:color w:val="231F20"/>
                <w:w w:val="70"/>
                <w:sz w:val="18"/>
              </w:rPr>
              <w:t>them</w:t>
            </w:r>
            <w:r>
              <w:rPr>
                <w:color w:val="231F20"/>
                <w:spacing w:val="-19"/>
                <w:w w:val="70"/>
                <w:sz w:val="18"/>
              </w:rPr>
              <w:t xml:space="preserve"> </w:t>
            </w:r>
            <w:r>
              <w:rPr>
                <w:color w:val="231F20"/>
                <w:w w:val="70"/>
                <w:sz w:val="18"/>
              </w:rPr>
              <w:t>on</w:t>
            </w:r>
            <w:r>
              <w:rPr>
                <w:color w:val="231F20"/>
                <w:spacing w:val="-20"/>
                <w:w w:val="70"/>
                <w:sz w:val="18"/>
              </w:rPr>
              <w:t xml:space="preserve"> </w:t>
            </w:r>
            <w:r>
              <w:rPr>
                <w:color w:val="231F20"/>
                <w:w w:val="70"/>
                <w:sz w:val="18"/>
              </w:rPr>
              <w:t>TSTS</w:t>
            </w:r>
            <w:r>
              <w:rPr>
                <w:color w:val="231F20"/>
                <w:spacing w:val="-19"/>
                <w:w w:val="70"/>
                <w:sz w:val="18"/>
              </w:rPr>
              <w:t xml:space="preserve"> </w:t>
            </w:r>
            <w:r>
              <w:rPr>
                <w:color w:val="231F20"/>
                <w:w w:val="70"/>
                <w:sz w:val="18"/>
              </w:rPr>
              <w:t xml:space="preserve">Implementation </w:t>
            </w:r>
            <w:r>
              <w:rPr>
                <w:color w:val="231F20"/>
                <w:w w:val="75"/>
                <w:sz w:val="18"/>
              </w:rPr>
              <w:t>with guidelines</w:t>
            </w:r>
            <w:r>
              <w:rPr>
                <w:color w:val="231F20"/>
                <w:spacing w:val="-16"/>
                <w:w w:val="75"/>
                <w:sz w:val="18"/>
              </w:rPr>
              <w:t xml:space="preserve"> </w:t>
            </w:r>
            <w:r>
              <w:rPr>
                <w:color w:val="231F20"/>
                <w:w w:val="75"/>
                <w:sz w:val="18"/>
              </w:rPr>
              <w:t>done</w:t>
            </w:r>
          </w:p>
          <w:p w14:paraId="20F79707" w14:textId="77777777" w:rsidR="009948F1" w:rsidRDefault="00BC0563">
            <w:pPr>
              <w:pStyle w:val="TableParagraph"/>
              <w:numPr>
                <w:ilvl w:val="0"/>
                <w:numId w:val="58"/>
              </w:numPr>
              <w:tabs>
                <w:tab w:val="left" w:pos="98"/>
              </w:tabs>
              <w:spacing w:line="206" w:lineRule="exact"/>
              <w:ind w:left="97" w:hanging="75"/>
              <w:jc w:val="both"/>
              <w:rPr>
                <w:sz w:val="18"/>
              </w:rPr>
            </w:pPr>
            <w:r>
              <w:rPr>
                <w:color w:val="231F20"/>
                <w:w w:val="75"/>
                <w:sz w:val="18"/>
              </w:rPr>
              <w:t>TSTS</w:t>
            </w:r>
            <w:r>
              <w:rPr>
                <w:color w:val="231F20"/>
                <w:spacing w:val="-14"/>
                <w:w w:val="75"/>
                <w:sz w:val="18"/>
              </w:rPr>
              <w:t xml:space="preserve"> </w:t>
            </w:r>
            <w:r>
              <w:rPr>
                <w:color w:val="231F20"/>
                <w:w w:val="75"/>
                <w:sz w:val="18"/>
              </w:rPr>
              <w:t>training</w:t>
            </w:r>
            <w:r>
              <w:rPr>
                <w:color w:val="231F20"/>
                <w:spacing w:val="-14"/>
                <w:w w:val="75"/>
                <w:sz w:val="18"/>
              </w:rPr>
              <w:t xml:space="preserve"> </w:t>
            </w:r>
            <w:r>
              <w:rPr>
                <w:color w:val="231F20"/>
                <w:w w:val="75"/>
                <w:sz w:val="18"/>
              </w:rPr>
              <w:t>for</w:t>
            </w:r>
            <w:r>
              <w:rPr>
                <w:color w:val="231F20"/>
                <w:spacing w:val="-13"/>
                <w:w w:val="75"/>
                <w:sz w:val="18"/>
              </w:rPr>
              <w:t xml:space="preserve"> </w:t>
            </w:r>
            <w:r>
              <w:rPr>
                <w:color w:val="231F20"/>
                <w:w w:val="75"/>
                <w:sz w:val="18"/>
              </w:rPr>
              <w:t>all</w:t>
            </w:r>
            <w:r>
              <w:rPr>
                <w:color w:val="231F20"/>
                <w:spacing w:val="-14"/>
                <w:w w:val="75"/>
                <w:sz w:val="18"/>
              </w:rPr>
              <w:t xml:space="preserve"> </w:t>
            </w:r>
            <w:r>
              <w:rPr>
                <w:color w:val="231F20"/>
                <w:w w:val="75"/>
                <w:sz w:val="18"/>
              </w:rPr>
              <w:t>cadre</w:t>
            </w:r>
            <w:r>
              <w:rPr>
                <w:color w:val="231F20"/>
                <w:spacing w:val="-14"/>
                <w:w w:val="75"/>
                <w:sz w:val="18"/>
              </w:rPr>
              <w:t xml:space="preserve"> </w:t>
            </w:r>
            <w:r>
              <w:rPr>
                <w:color w:val="231F20"/>
                <w:w w:val="75"/>
                <w:sz w:val="18"/>
              </w:rPr>
              <w:t>of</w:t>
            </w:r>
            <w:r>
              <w:rPr>
                <w:color w:val="231F20"/>
                <w:spacing w:val="-13"/>
                <w:w w:val="75"/>
                <w:sz w:val="18"/>
              </w:rPr>
              <w:t xml:space="preserve"> </w:t>
            </w:r>
            <w:r>
              <w:rPr>
                <w:color w:val="231F20"/>
                <w:w w:val="75"/>
                <w:sz w:val="18"/>
              </w:rPr>
              <w:t>HWs</w:t>
            </w:r>
          </w:p>
          <w:p w14:paraId="5569B5B1" w14:textId="77777777" w:rsidR="009948F1" w:rsidRDefault="00BC0563">
            <w:pPr>
              <w:pStyle w:val="TableParagraph"/>
              <w:spacing w:before="6" w:line="189" w:lineRule="exact"/>
              <w:ind w:left="23"/>
              <w:rPr>
                <w:sz w:val="18"/>
              </w:rPr>
            </w:pPr>
            <w:r>
              <w:rPr>
                <w:color w:val="231F20"/>
                <w:w w:val="75"/>
                <w:sz w:val="18"/>
              </w:rPr>
              <w:t>commenced</w:t>
            </w:r>
          </w:p>
        </w:tc>
        <w:tc>
          <w:tcPr>
            <w:tcW w:w="1458" w:type="dxa"/>
            <w:tcBorders>
              <w:left w:val="single" w:sz="6" w:space="0" w:color="231F20"/>
              <w:right w:val="single" w:sz="6" w:space="0" w:color="231F20"/>
            </w:tcBorders>
            <w:shd w:val="clear" w:color="auto" w:fill="CCE7D3"/>
          </w:tcPr>
          <w:p w14:paraId="536C3273" w14:textId="77777777" w:rsidR="009948F1" w:rsidRDefault="009948F1">
            <w:pPr>
              <w:pStyle w:val="TableParagraph"/>
              <w:rPr>
                <w:rFonts w:ascii="Times New Roman"/>
                <w:sz w:val="12"/>
              </w:rPr>
            </w:pPr>
          </w:p>
        </w:tc>
        <w:tc>
          <w:tcPr>
            <w:tcW w:w="1538" w:type="dxa"/>
            <w:tcBorders>
              <w:left w:val="single" w:sz="6" w:space="0" w:color="231F20"/>
              <w:right w:val="single" w:sz="6" w:space="0" w:color="231F20"/>
            </w:tcBorders>
            <w:shd w:val="clear" w:color="auto" w:fill="CCE7D3"/>
          </w:tcPr>
          <w:p w14:paraId="78D835DF" w14:textId="77777777" w:rsidR="009948F1" w:rsidRDefault="009948F1">
            <w:pPr>
              <w:pStyle w:val="TableParagraph"/>
              <w:rPr>
                <w:rFonts w:ascii="Times New Roman"/>
                <w:sz w:val="12"/>
              </w:rPr>
            </w:pPr>
          </w:p>
        </w:tc>
      </w:tr>
      <w:tr w:rsidR="009948F1" w14:paraId="2E47E7BF" w14:textId="77777777">
        <w:trPr>
          <w:trHeight w:val="424"/>
        </w:trPr>
        <w:tc>
          <w:tcPr>
            <w:tcW w:w="874" w:type="dxa"/>
            <w:gridSpan w:val="2"/>
            <w:vMerge w:val="restart"/>
            <w:tcBorders>
              <w:top w:val="nil"/>
              <w:bottom w:val="single" w:sz="12" w:space="0" w:color="231F20"/>
              <w:right w:val="single" w:sz="6" w:space="0" w:color="231F20"/>
            </w:tcBorders>
          </w:tcPr>
          <w:p w14:paraId="6BB66024" w14:textId="77777777" w:rsidR="009948F1" w:rsidRDefault="009948F1">
            <w:pPr>
              <w:pStyle w:val="TableParagraph"/>
              <w:rPr>
                <w:rFonts w:ascii="Times New Roman"/>
                <w:sz w:val="12"/>
              </w:rPr>
            </w:pPr>
          </w:p>
        </w:tc>
        <w:tc>
          <w:tcPr>
            <w:tcW w:w="538" w:type="dxa"/>
            <w:tcBorders>
              <w:left w:val="single" w:sz="6" w:space="0" w:color="231F20"/>
              <w:right w:val="single" w:sz="6" w:space="0" w:color="231F20"/>
            </w:tcBorders>
          </w:tcPr>
          <w:p w14:paraId="4E932F53" w14:textId="77777777" w:rsidR="009948F1" w:rsidRDefault="00BC0563">
            <w:pPr>
              <w:pStyle w:val="TableParagraph"/>
              <w:spacing w:before="103"/>
              <w:ind w:left="44" w:right="25"/>
              <w:jc w:val="center"/>
              <w:rPr>
                <w:sz w:val="18"/>
              </w:rPr>
            </w:pPr>
            <w:r>
              <w:rPr>
                <w:color w:val="231F20"/>
                <w:w w:val="75"/>
                <w:sz w:val="18"/>
              </w:rPr>
              <w:t>9.4.3.a</w:t>
            </w:r>
          </w:p>
        </w:tc>
        <w:tc>
          <w:tcPr>
            <w:tcW w:w="5000" w:type="dxa"/>
            <w:gridSpan w:val="2"/>
            <w:tcBorders>
              <w:left w:val="single" w:sz="6" w:space="0" w:color="231F20"/>
              <w:right w:val="single" w:sz="6" w:space="0" w:color="231F20"/>
            </w:tcBorders>
          </w:tcPr>
          <w:p w14:paraId="7F8B72DE" w14:textId="77777777" w:rsidR="009948F1" w:rsidRDefault="00BC0563">
            <w:pPr>
              <w:pStyle w:val="TableParagraph"/>
              <w:spacing w:line="198" w:lineRule="exact"/>
              <w:ind w:left="24"/>
              <w:rPr>
                <w:sz w:val="18"/>
              </w:rPr>
            </w:pPr>
            <w:r>
              <w:rPr>
                <w:color w:val="231F20"/>
                <w:w w:val="75"/>
                <w:sz w:val="18"/>
              </w:rPr>
              <w:t>Submit</w:t>
            </w:r>
            <w:r>
              <w:rPr>
                <w:color w:val="231F20"/>
                <w:spacing w:val="-26"/>
                <w:w w:val="75"/>
                <w:sz w:val="18"/>
              </w:rPr>
              <w:t xml:space="preserve"> </w:t>
            </w:r>
            <w:r>
              <w:rPr>
                <w:color w:val="231F20"/>
                <w:w w:val="75"/>
                <w:sz w:val="18"/>
              </w:rPr>
              <w:t>draft</w:t>
            </w:r>
            <w:r>
              <w:rPr>
                <w:color w:val="231F20"/>
                <w:spacing w:val="-25"/>
                <w:w w:val="75"/>
                <w:sz w:val="18"/>
              </w:rPr>
              <w:t xml:space="preserve"> </w:t>
            </w:r>
            <w:r>
              <w:rPr>
                <w:color w:val="231F20"/>
                <w:w w:val="75"/>
                <w:sz w:val="18"/>
              </w:rPr>
              <w:t>report</w:t>
            </w:r>
            <w:r>
              <w:rPr>
                <w:color w:val="231F20"/>
                <w:spacing w:val="-26"/>
                <w:w w:val="75"/>
                <w:sz w:val="18"/>
              </w:rPr>
              <w:t xml:space="preserve"> </w:t>
            </w:r>
            <w:r>
              <w:rPr>
                <w:color w:val="231F20"/>
                <w:w w:val="75"/>
                <w:sz w:val="18"/>
              </w:rPr>
              <w:t>of</w:t>
            </w:r>
            <w:r>
              <w:rPr>
                <w:color w:val="231F20"/>
                <w:spacing w:val="-26"/>
                <w:w w:val="75"/>
                <w:sz w:val="18"/>
              </w:rPr>
              <w:t xml:space="preserve"> </w:t>
            </w:r>
            <w:r>
              <w:rPr>
                <w:color w:val="231F20"/>
                <w:spacing w:val="-4"/>
                <w:w w:val="75"/>
                <w:sz w:val="18"/>
              </w:rPr>
              <w:t>Task</w:t>
            </w:r>
            <w:r>
              <w:rPr>
                <w:color w:val="231F20"/>
                <w:spacing w:val="-25"/>
                <w:w w:val="75"/>
                <w:sz w:val="18"/>
              </w:rPr>
              <w:t xml:space="preserve"> </w:t>
            </w:r>
            <w:r>
              <w:rPr>
                <w:color w:val="231F20"/>
                <w:w w:val="75"/>
                <w:sz w:val="18"/>
              </w:rPr>
              <w:t>Shifting</w:t>
            </w:r>
            <w:r>
              <w:rPr>
                <w:color w:val="231F20"/>
                <w:spacing w:val="-26"/>
                <w:w w:val="75"/>
                <w:sz w:val="18"/>
              </w:rPr>
              <w:t xml:space="preserve"> </w:t>
            </w:r>
            <w:r>
              <w:rPr>
                <w:color w:val="231F20"/>
                <w:w w:val="75"/>
                <w:sz w:val="18"/>
              </w:rPr>
              <w:t>/Sharing</w:t>
            </w:r>
            <w:r>
              <w:rPr>
                <w:color w:val="231F20"/>
                <w:spacing w:val="-25"/>
                <w:w w:val="75"/>
                <w:sz w:val="18"/>
              </w:rPr>
              <w:t xml:space="preserve"> </w:t>
            </w:r>
            <w:r>
              <w:rPr>
                <w:color w:val="231F20"/>
                <w:w w:val="75"/>
                <w:sz w:val="18"/>
              </w:rPr>
              <w:t>(TSTS)</w:t>
            </w:r>
            <w:r>
              <w:rPr>
                <w:color w:val="231F20"/>
                <w:spacing w:val="-26"/>
                <w:w w:val="75"/>
                <w:sz w:val="18"/>
              </w:rPr>
              <w:t xml:space="preserve"> </w:t>
            </w:r>
            <w:r>
              <w:rPr>
                <w:color w:val="231F20"/>
                <w:w w:val="75"/>
                <w:sz w:val="18"/>
              </w:rPr>
              <w:t>training</w:t>
            </w:r>
            <w:r>
              <w:rPr>
                <w:color w:val="231F20"/>
                <w:spacing w:val="-25"/>
                <w:w w:val="75"/>
                <w:sz w:val="18"/>
              </w:rPr>
              <w:t xml:space="preserve"> </w:t>
            </w:r>
            <w:r>
              <w:rPr>
                <w:color w:val="231F20"/>
                <w:w w:val="75"/>
                <w:sz w:val="18"/>
              </w:rPr>
              <w:t>to</w:t>
            </w:r>
            <w:r>
              <w:rPr>
                <w:color w:val="231F20"/>
                <w:spacing w:val="-26"/>
                <w:w w:val="75"/>
                <w:sz w:val="18"/>
              </w:rPr>
              <w:t xml:space="preserve"> </w:t>
            </w:r>
            <w:r>
              <w:rPr>
                <w:color w:val="231F20"/>
                <w:w w:val="75"/>
                <w:sz w:val="18"/>
              </w:rPr>
              <w:t>Hon.</w:t>
            </w:r>
            <w:r>
              <w:rPr>
                <w:color w:val="231F20"/>
                <w:spacing w:val="-25"/>
                <w:w w:val="75"/>
                <w:sz w:val="18"/>
              </w:rPr>
              <w:t xml:space="preserve"> </w:t>
            </w:r>
            <w:r>
              <w:rPr>
                <w:color w:val="231F20"/>
                <w:w w:val="75"/>
                <w:sz w:val="18"/>
              </w:rPr>
              <w:t>Commissioner</w:t>
            </w:r>
            <w:r>
              <w:rPr>
                <w:color w:val="231F20"/>
                <w:spacing w:val="-26"/>
                <w:w w:val="75"/>
                <w:sz w:val="18"/>
              </w:rPr>
              <w:t xml:space="preserve"> </w:t>
            </w:r>
            <w:r>
              <w:rPr>
                <w:color w:val="231F20"/>
                <w:w w:val="75"/>
                <w:sz w:val="18"/>
              </w:rPr>
              <w:t>for</w:t>
            </w:r>
          </w:p>
          <w:p w14:paraId="23C2A82F" w14:textId="77777777" w:rsidR="009948F1" w:rsidRDefault="00BC0563">
            <w:pPr>
              <w:pStyle w:val="TableParagraph"/>
              <w:spacing w:before="16" w:line="191" w:lineRule="exact"/>
              <w:ind w:left="24"/>
              <w:rPr>
                <w:sz w:val="18"/>
              </w:rPr>
            </w:pPr>
            <w:r>
              <w:rPr>
                <w:color w:val="231F20"/>
                <w:w w:val="75"/>
                <w:sz w:val="18"/>
              </w:rPr>
              <w:t>Health</w:t>
            </w:r>
          </w:p>
        </w:tc>
        <w:tc>
          <w:tcPr>
            <w:tcW w:w="1458" w:type="dxa"/>
            <w:tcBorders>
              <w:left w:val="single" w:sz="6" w:space="0" w:color="231F20"/>
              <w:right w:val="single" w:sz="6" w:space="0" w:color="231F20"/>
            </w:tcBorders>
          </w:tcPr>
          <w:p w14:paraId="7DBADE86" w14:textId="77777777" w:rsidR="009948F1" w:rsidRDefault="00BC0563">
            <w:pPr>
              <w:pStyle w:val="TableParagraph"/>
              <w:spacing w:before="103"/>
              <w:ind w:left="22"/>
              <w:rPr>
                <w:sz w:val="18"/>
              </w:rPr>
            </w:pPr>
            <w:r>
              <w:rPr>
                <w:color w:val="231F20"/>
                <w:w w:val="75"/>
                <w:sz w:val="18"/>
              </w:rPr>
              <w:t>Lack of funds</w:t>
            </w:r>
          </w:p>
        </w:tc>
        <w:tc>
          <w:tcPr>
            <w:tcW w:w="1538" w:type="dxa"/>
            <w:tcBorders>
              <w:left w:val="single" w:sz="6" w:space="0" w:color="231F20"/>
              <w:right w:val="single" w:sz="6" w:space="0" w:color="231F20"/>
            </w:tcBorders>
          </w:tcPr>
          <w:p w14:paraId="04F7B784" w14:textId="77777777" w:rsidR="009948F1" w:rsidRDefault="00BC0563">
            <w:pPr>
              <w:pStyle w:val="TableParagraph"/>
              <w:spacing w:before="103"/>
              <w:ind w:left="22"/>
              <w:rPr>
                <w:sz w:val="18"/>
              </w:rPr>
            </w:pPr>
            <w:r>
              <w:rPr>
                <w:color w:val="231F20"/>
                <w:w w:val="75"/>
                <w:sz w:val="18"/>
              </w:rPr>
              <w:t>No cost</w:t>
            </w:r>
          </w:p>
        </w:tc>
      </w:tr>
      <w:tr w:rsidR="009948F1" w14:paraId="37E2F180" w14:textId="77777777">
        <w:trPr>
          <w:trHeight w:val="403"/>
        </w:trPr>
        <w:tc>
          <w:tcPr>
            <w:tcW w:w="874" w:type="dxa"/>
            <w:gridSpan w:val="2"/>
            <w:vMerge/>
            <w:tcBorders>
              <w:top w:val="nil"/>
              <w:bottom w:val="single" w:sz="12" w:space="0" w:color="231F20"/>
              <w:right w:val="single" w:sz="6" w:space="0" w:color="231F20"/>
            </w:tcBorders>
          </w:tcPr>
          <w:p w14:paraId="179244FC" w14:textId="77777777" w:rsidR="009948F1" w:rsidRDefault="009948F1">
            <w:pPr>
              <w:rPr>
                <w:sz w:val="2"/>
                <w:szCs w:val="2"/>
              </w:rPr>
            </w:pPr>
          </w:p>
        </w:tc>
        <w:tc>
          <w:tcPr>
            <w:tcW w:w="538" w:type="dxa"/>
            <w:tcBorders>
              <w:left w:val="single" w:sz="6" w:space="0" w:color="231F20"/>
              <w:right w:val="single" w:sz="6" w:space="0" w:color="231F20"/>
            </w:tcBorders>
          </w:tcPr>
          <w:p w14:paraId="616D2CAB" w14:textId="77777777" w:rsidR="009948F1" w:rsidRDefault="00BC0563">
            <w:pPr>
              <w:pStyle w:val="TableParagraph"/>
              <w:spacing w:before="91"/>
              <w:ind w:left="44" w:right="25"/>
              <w:jc w:val="center"/>
              <w:rPr>
                <w:sz w:val="18"/>
              </w:rPr>
            </w:pPr>
            <w:r>
              <w:rPr>
                <w:color w:val="231F20"/>
                <w:w w:val="75"/>
                <w:sz w:val="18"/>
              </w:rPr>
              <w:t>9.4.3.b</w:t>
            </w:r>
          </w:p>
        </w:tc>
        <w:tc>
          <w:tcPr>
            <w:tcW w:w="5000" w:type="dxa"/>
            <w:gridSpan w:val="2"/>
            <w:tcBorders>
              <w:left w:val="single" w:sz="6" w:space="0" w:color="231F20"/>
              <w:right w:val="single" w:sz="6" w:space="0" w:color="231F20"/>
            </w:tcBorders>
          </w:tcPr>
          <w:p w14:paraId="34579402" w14:textId="77777777" w:rsidR="009948F1" w:rsidRDefault="00BC0563">
            <w:pPr>
              <w:pStyle w:val="TableParagraph"/>
              <w:spacing w:before="84"/>
              <w:ind w:left="24"/>
              <w:rPr>
                <w:sz w:val="18"/>
              </w:rPr>
            </w:pPr>
            <w:r>
              <w:rPr>
                <w:color w:val="231F20"/>
                <w:w w:val="75"/>
                <w:sz w:val="18"/>
              </w:rPr>
              <w:t>Produce final copies of TSTS Policy and distribute to relevant Stakeholders</w:t>
            </w:r>
          </w:p>
        </w:tc>
        <w:tc>
          <w:tcPr>
            <w:tcW w:w="1458" w:type="dxa"/>
            <w:tcBorders>
              <w:left w:val="single" w:sz="6" w:space="0" w:color="231F20"/>
              <w:right w:val="single" w:sz="6" w:space="0" w:color="231F20"/>
            </w:tcBorders>
          </w:tcPr>
          <w:p w14:paraId="1ED5DC2F" w14:textId="77777777" w:rsidR="009948F1" w:rsidRDefault="00BC0563">
            <w:pPr>
              <w:pStyle w:val="TableParagraph"/>
              <w:spacing w:before="91"/>
              <w:ind w:left="22"/>
              <w:rPr>
                <w:sz w:val="18"/>
              </w:rPr>
            </w:pPr>
            <w:r>
              <w:rPr>
                <w:color w:val="231F20"/>
                <w:w w:val="75"/>
                <w:sz w:val="18"/>
              </w:rPr>
              <w:t>Lack of funds</w:t>
            </w:r>
          </w:p>
        </w:tc>
        <w:tc>
          <w:tcPr>
            <w:tcW w:w="1538" w:type="dxa"/>
            <w:tcBorders>
              <w:left w:val="single" w:sz="6" w:space="0" w:color="231F20"/>
              <w:right w:val="single" w:sz="6" w:space="0" w:color="231F20"/>
            </w:tcBorders>
          </w:tcPr>
          <w:p w14:paraId="0D6CA72E" w14:textId="77777777" w:rsidR="009948F1" w:rsidRDefault="00BC0563">
            <w:pPr>
              <w:pStyle w:val="TableParagraph"/>
              <w:spacing w:line="193" w:lineRule="exact"/>
              <w:ind w:left="22"/>
              <w:rPr>
                <w:sz w:val="18"/>
              </w:rPr>
            </w:pPr>
            <w:r>
              <w:rPr>
                <w:color w:val="231F20"/>
                <w:w w:val="70"/>
                <w:sz w:val="18"/>
              </w:rPr>
              <w:t>Print and Distribute copies</w:t>
            </w:r>
          </w:p>
          <w:p w14:paraId="1C565AB7" w14:textId="77777777" w:rsidR="009948F1" w:rsidRDefault="00BC0563">
            <w:pPr>
              <w:pStyle w:val="TableParagraph"/>
              <w:spacing w:before="16" w:line="174" w:lineRule="exact"/>
              <w:ind w:left="22"/>
              <w:rPr>
                <w:sz w:val="18"/>
              </w:rPr>
            </w:pPr>
            <w:r>
              <w:rPr>
                <w:color w:val="231F20"/>
                <w:w w:val="75"/>
                <w:sz w:val="18"/>
              </w:rPr>
              <w:t>of TSTS policy</w:t>
            </w:r>
          </w:p>
        </w:tc>
      </w:tr>
      <w:tr w:rsidR="009948F1" w14:paraId="19E9B256" w14:textId="77777777">
        <w:trPr>
          <w:trHeight w:val="425"/>
        </w:trPr>
        <w:tc>
          <w:tcPr>
            <w:tcW w:w="874" w:type="dxa"/>
            <w:gridSpan w:val="2"/>
            <w:vMerge/>
            <w:tcBorders>
              <w:top w:val="nil"/>
              <w:bottom w:val="single" w:sz="12" w:space="0" w:color="231F20"/>
              <w:right w:val="single" w:sz="6" w:space="0" w:color="231F20"/>
            </w:tcBorders>
          </w:tcPr>
          <w:p w14:paraId="18579F3B" w14:textId="77777777" w:rsidR="009948F1" w:rsidRDefault="009948F1">
            <w:pPr>
              <w:rPr>
                <w:sz w:val="2"/>
                <w:szCs w:val="2"/>
              </w:rPr>
            </w:pPr>
          </w:p>
        </w:tc>
        <w:tc>
          <w:tcPr>
            <w:tcW w:w="538" w:type="dxa"/>
            <w:tcBorders>
              <w:left w:val="single" w:sz="6" w:space="0" w:color="231F20"/>
              <w:right w:val="single" w:sz="6" w:space="0" w:color="231F20"/>
            </w:tcBorders>
          </w:tcPr>
          <w:p w14:paraId="74846B34" w14:textId="77777777" w:rsidR="009948F1" w:rsidRDefault="00BC0563">
            <w:pPr>
              <w:pStyle w:val="TableParagraph"/>
              <w:spacing w:before="102"/>
              <w:ind w:left="44" w:right="24"/>
              <w:jc w:val="center"/>
              <w:rPr>
                <w:sz w:val="18"/>
              </w:rPr>
            </w:pPr>
            <w:r>
              <w:rPr>
                <w:color w:val="231F20"/>
                <w:w w:val="75"/>
                <w:sz w:val="18"/>
              </w:rPr>
              <w:t>9.4.3.c</w:t>
            </w:r>
          </w:p>
        </w:tc>
        <w:tc>
          <w:tcPr>
            <w:tcW w:w="5000" w:type="dxa"/>
            <w:gridSpan w:val="2"/>
            <w:tcBorders>
              <w:left w:val="single" w:sz="6" w:space="0" w:color="231F20"/>
              <w:right w:val="single" w:sz="6" w:space="0" w:color="231F20"/>
            </w:tcBorders>
          </w:tcPr>
          <w:p w14:paraId="1711A2C1" w14:textId="77777777" w:rsidR="009948F1" w:rsidRDefault="00BC0563">
            <w:pPr>
              <w:pStyle w:val="TableParagraph"/>
              <w:spacing w:line="193" w:lineRule="exact"/>
              <w:ind w:left="24"/>
              <w:rPr>
                <w:sz w:val="18"/>
              </w:rPr>
            </w:pPr>
            <w:r>
              <w:rPr>
                <w:color w:val="231F20"/>
                <w:w w:val="75"/>
                <w:sz w:val="18"/>
              </w:rPr>
              <w:t>Conduct advocacy meeting with Key Stakeholders to sensitize them on TSTS</w:t>
            </w:r>
          </w:p>
          <w:p w14:paraId="1A9D7924" w14:textId="77777777" w:rsidR="009948F1" w:rsidRDefault="00BC0563">
            <w:pPr>
              <w:pStyle w:val="TableParagraph"/>
              <w:spacing w:before="16" w:line="196" w:lineRule="exact"/>
              <w:ind w:left="24"/>
              <w:rPr>
                <w:sz w:val="18"/>
              </w:rPr>
            </w:pPr>
            <w:r>
              <w:rPr>
                <w:color w:val="231F20"/>
                <w:w w:val="75"/>
                <w:sz w:val="18"/>
              </w:rPr>
              <w:t>Implementation with guidelines</w:t>
            </w:r>
          </w:p>
        </w:tc>
        <w:tc>
          <w:tcPr>
            <w:tcW w:w="1458" w:type="dxa"/>
            <w:tcBorders>
              <w:left w:val="single" w:sz="6" w:space="0" w:color="231F20"/>
              <w:right w:val="single" w:sz="6" w:space="0" w:color="231F20"/>
            </w:tcBorders>
          </w:tcPr>
          <w:p w14:paraId="263D284E" w14:textId="77777777" w:rsidR="009948F1" w:rsidRDefault="00BC0563">
            <w:pPr>
              <w:pStyle w:val="TableParagraph"/>
              <w:spacing w:before="102"/>
              <w:ind w:left="22"/>
              <w:rPr>
                <w:sz w:val="18"/>
              </w:rPr>
            </w:pPr>
            <w:r>
              <w:rPr>
                <w:color w:val="231F20"/>
                <w:w w:val="75"/>
                <w:sz w:val="18"/>
              </w:rPr>
              <w:t>Lack of funds</w:t>
            </w:r>
          </w:p>
        </w:tc>
        <w:tc>
          <w:tcPr>
            <w:tcW w:w="1538" w:type="dxa"/>
            <w:tcBorders>
              <w:left w:val="single" w:sz="6" w:space="0" w:color="231F20"/>
              <w:right w:val="single" w:sz="6" w:space="0" w:color="231F20"/>
            </w:tcBorders>
          </w:tcPr>
          <w:p w14:paraId="13400417" w14:textId="77777777" w:rsidR="009948F1" w:rsidRDefault="00BC0563">
            <w:pPr>
              <w:pStyle w:val="TableParagraph"/>
              <w:spacing w:before="102"/>
              <w:ind w:left="22"/>
              <w:rPr>
                <w:sz w:val="18"/>
              </w:rPr>
            </w:pPr>
            <w:r>
              <w:rPr>
                <w:color w:val="231F20"/>
                <w:w w:val="75"/>
                <w:sz w:val="18"/>
              </w:rPr>
              <w:t>Conduct meeting</w:t>
            </w:r>
          </w:p>
        </w:tc>
      </w:tr>
      <w:tr w:rsidR="009948F1" w14:paraId="7C64B8EF" w14:textId="77777777">
        <w:trPr>
          <w:trHeight w:val="436"/>
        </w:trPr>
        <w:tc>
          <w:tcPr>
            <w:tcW w:w="874" w:type="dxa"/>
            <w:gridSpan w:val="2"/>
            <w:vMerge/>
            <w:tcBorders>
              <w:top w:val="nil"/>
              <w:bottom w:val="single" w:sz="12" w:space="0" w:color="231F20"/>
              <w:right w:val="single" w:sz="6" w:space="0" w:color="231F20"/>
            </w:tcBorders>
          </w:tcPr>
          <w:p w14:paraId="356B47C3" w14:textId="77777777" w:rsidR="009948F1" w:rsidRDefault="009948F1">
            <w:pPr>
              <w:rPr>
                <w:sz w:val="2"/>
                <w:szCs w:val="2"/>
              </w:rPr>
            </w:pPr>
          </w:p>
        </w:tc>
        <w:tc>
          <w:tcPr>
            <w:tcW w:w="538" w:type="dxa"/>
            <w:tcBorders>
              <w:left w:val="single" w:sz="6" w:space="0" w:color="231F20"/>
              <w:right w:val="single" w:sz="6" w:space="0" w:color="231F20"/>
            </w:tcBorders>
          </w:tcPr>
          <w:p w14:paraId="6FACD85B" w14:textId="77777777" w:rsidR="009948F1" w:rsidRDefault="00BC0563">
            <w:pPr>
              <w:pStyle w:val="TableParagraph"/>
              <w:spacing w:before="107"/>
              <w:ind w:left="44" w:right="25"/>
              <w:jc w:val="center"/>
              <w:rPr>
                <w:sz w:val="18"/>
              </w:rPr>
            </w:pPr>
            <w:r>
              <w:rPr>
                <w:color w:val="231F20"/>
                <w:w w:val="75"/>
                <w:sz w:val="18"/>
              </w:rPr>
              <w:t>9.4.3.d</w:t>
            </w:r>
          </w:p>
        </w:tc>
        <w:tc>
          <w:tcPr>
            <w:tcW w:w="5000" w:type="dxa"/>
            <w:gridSpan w:val="2"/>
            <w:tcBorders>
              <w:left w:val="single" w:sz="6" w:space="0" w:color="231F20"/>
              <w:right w:val="single" w:sz="6" w:space="0" w:color="231F20"/>
            </w:tcBorders>
          </w:tcPr>
          <w:p w14:paraId="54F51710" w14:textId="77777777" w:rsidR="009948F1" w:rsidRDefault="00BC0563">
            <w:pPr>
              <w:pStyle w:val="TableParagraph"/>
              <w:spacing w:line="195" w:lineRule="exact"/>
              <w:ind w:left="24"/>
              <w:rPr>
                <w:sz w:val="18"/>
              </w:rPr>
            </w:pPr>
            <w:r>
              <w:rPr>
                <w:color w:val="231F20"/>
                <w:w w:val="75"/>
                <w:sz w:val="18"/>
              </w:rPr>
              <w:t>Hold meeting with Stakeholders, Professional Bodies, Health Institutions on TSTS</w:t>
            </w:r>
          </w:p>
          <w:p w14:paraId="5982B254" w14:textId="77777777" w:rsidR="009948F1" w:rsidRDefault="00BC0563">
            <w:pPr>
              <w:pStyle w:val="TableParagraph"/>
              <w:spacing w:before="16" w:line="205" w:lineRule="exact"/>
              <w:ind w:left="24"/>
              <w:rPr>
                <w:sz w:val="18"/>
              </w:rPr>
            </w:pPr>
            <w:r>
              <w:rPr>
                <w:color w:val="231F20"/>
                <w:w w:val="75"/>
                <w:sz w:val="18"/>
              </w:rPr>
              <w:t>implementation guidelines.</w:t>
            </w:r>
          </w:p>
        </w:tc>
        <w:tc>
          <w:tcPr>
            <w:tcW w:w="1458" w:type="dxa"/>
            <w:tcBorders>
              <w:left w:val="single" w:sz="6" w:space="0" w:color="231F20"/>
              <w:right w:val="single" w:sz="6" w:space="0" w:color="231F20"/>
            </w:tcBorders>
          </w:tcPr>
          <w:p w14:paraId="0600217A" w14:textId="77777777" w:rsidR="009948F1" w:rsidRDefault="00BC0563">
            <w:pPr>
              <w:pStyle w:val="TableParagraph"/>
              <w:spacing w:before="107"/>
              <w:ind w:left="22"/>
              <w:rPr>
                <w:sz w:val="18"/>
              </w:rPr>
            </w:pPr>
            <w:r>
              <w:rPr>
                <w:color w:val="231F20"/>
                <w:w w:val="75"/>
                <w:sz w:val="18"/>
              </w:rPr>
              <w:t>Lack of funds</w:t>
            </w:r>
          </w:p>
        </w:tc>
        <w:tc>
          <w:tcPr>
            <w:tcW w:w="1538" w:type="dxa"/>
            <w:tcBorders>
              <w:left w:val="single" w:sz="6" w:space="0" w:color="231F20"/>
              <w:right w:val="single" w:sz="6" w:space="0" w:color="231F20"/>
            </w:tcBorders>
          </w:tcPr>
          <w:p w14:paraId="4E10FA72" w14:textId="77777777" w:rsidR="009948F1" w:rsidRDefault="00BC0563">
            <w:pPr>
              <w:pStyle w:val="TableParagraph"/>
              <w:spacing w:before="107"/>
              <w:ind w:left="22"/>
              <w:rPr>
                <w:sz w:val="18"/>
              </w:rPr>
            </w:pPr>
            <w:r>
              <w:rPr>
                <w:color w:val="231F20"/>
                <w:w w:val="75"/>
                <w:sz w:val="18"/>
              </w:rPr>
              <w:t>Conduct meeting</w:t>
            </w:r>
          </w:p>
        </w:tc>
      </w:tr>
      <w:tr w:rsidR="009948F1" w14:paraId="0A153DD2" w14:textId="77777777">
        <w:trPr>
          <w:trHeight w:val="421"/>
        </w:trPr>
        <w:tc>
          <w:tcPr>
            <w:tcW w:w="874" w:type="dxa"/>
            <w:gridSpan w:val="2"/>
            <w:vMerge/>
            <w:tcBorders>
              <w:top w:val="nil"/>
              <w:bottom w:val="single" w:sz="12" w:space="0" w:color="231F20"/>
              <w:right w:val="single" w:sz="6" w:space="0" w:color="231F20"/>
            </w:tcBorders>
          </w:tcPr>
          <w:p w14:paraId="3F179AA4" w14:textId="77777777" w:rsidR="009948F1" w:rsidRDefault="009948F1">
            <w:pPr>
              <w:rPr>
                <w:sz w:val="2"/>
                <w:szCs w:val="2"/>
              </w:rPr>
            </w:pPr>
          </w:p>
        </w:tc>
        <w:tc>
          <w:tcPr>
            <w:tcW w:w="538" w:type="dxa"/>
            <w:tcBorders>
              <w:left w:val="single" w:sz="6" w:space="0" w:color="231F20"/>
              <w:bottom w:val="single" w:sz="12" w:space="0" w:color="231F20"/>
              <w:right w:val="single" w:sz="6" w:space="0" w:color="231F20"/>
            </w:tcBorders>
          </w:tcPr>
          <w:p w14:paraId="07945C20" w14:textId="77777777" w:rsidR="009948F1" w:rsidRDefault="00BC0563">
            <w:pPr>
              <w:pStyle w:val="TableParagraph"/>
              <w:spacing w:before="102"/>
              <w:ind w:left="44" w:right="25"/>
              <w:jc w:val="center"/>
              <w:rPr>
                <w:sz w:val="18"/>
              </w:rPr>
            </w:pPr>
            <w:r>
              <w:rPr>
                <w:color w:val="231F20"/>
                <w:w w:val="75"/>
                <w:sz w:val="18"/>
              </w:rPr>
              <w:t>9.4.3.e</w:t>
            </w:r>
          </w:p>
        </w:tc>
        <w:tc>
          <w:tcPr>
            <w:tcW w:w="5000" w:type="dxa"/>
            <w:gridSpan w:val="2"/>
            <w:tcBorders>
              <w:left w:val="single" w:sz="6" w:space="0" w:color="231F20"/>
              <w:bottom w:val="single" w:sz="12" w:space="0" w:color="231F20"/>
              <w:right w:val="single" w:sz="6" w:space="0" w:color="231F20"/>
            </w:tcBorders>
          </w:tcPr>
          <w:p w14:paraId="619EE33B" w14:textId="77777777" w:rsidR="009948F1" w:rsidRDefault="00BC0563">
            <w:pPr>
              <w:pStyle w:val="TableParagraph"/>
              <w:spacing w:before="94"/>
              <w:ind w:left="24"/>
              <w:rPr>
                <w:sz w:val="18"/>
              </w:rPr>
            </w:pPr>
            <w:r>
              <w:rPr>
                <w:color w:val="231F20"/>
                <w:w w:val="75"/>
                <w:sz w:val="18"/>
              </w:rPr>
              <w:t>Commence TSTS training for all cadre of HWs in line with the guidelines</w:t>
            </w:r>
          </w:p>
        </w:tc>
        <w:tc>
          <w:tcPr>
            <w:tcW w:w="1458" w:type="dxa"/>
            <w:tcBorders>
              <w:left w:val="single" w:sz="6" w:space="0" w:color="231F20"/>
              <w:right w:val="single" w:sz="6" w:space="0" w:color="231F20"/>
            </w:tcBorders>
          </w:tcPr>
          <w:p w14:paraId="278043B3" w14:textId="77777777" w:rsidR="009948F1" w:rsidRDefault="00BC0563">
            <w:pPr>
              <w:pStyle w:val="TableParagraph"/>
              <w:spacing w:before="102"/>
              <w:ind w:left="22"/>
              <w:rPr>
                <w:sz w:val="18"/>
              </w:rPr>
            </w:pPr>
            <w:r>
              <w:rPr>
                <w:color w:val="231F20"/>
                <w:w w:val="75"/>
                <w:sz w:val="18"/>
              </w:rPr>
              <w:t>Lack of funds</w:t>
            </w:r>
          </w:p>
        </w:tc>
        <w:tc>
          <w:tcPr>
            <w:tcW w:w="1538" w:type="dxa"/>
            <w:tcBorders>
              <w:left w:val="single" w:sz="6" w:space="0" w:color="231F20"/>
              <w:right w:val="single" w:sz="6" w:space="0" w:color="231F20"/>
            </w:tcBorders>
          </w:tcPr>
          <w:p w14:paraId="7EB1E7C4" w14:textId="77777777" w:rsidR="009948F1" w:rsidRDefault="00BC0563">
            <w:pPr>
              <w:pStyle w:val="TableParagraph"/>
              <w:spacing w:before="102"/>
              <w:ind w:left="22"/>
              <w:rPr>
                <w:sz w:val="18"/>
              </w:rPr>
            </w:pPr>
            <w:r>
              <w:rPr>
                <w:color w:val="231F20"/>
                <w:w w:val="70"/>
                <w:sz w:val="18"/>
              </w:rPr>
              <w:t>Commence TSTS training</w:t>
            </w:r>
          </w:p>
        </w:tc>
      </w:tr>
      <w:tr w:rsidR="009948F1" w14:paraId="05C495C5" w14:textId="77777777">
        <w:trPr>
          <w:trHeight w:val="938"/>
        </w:trPr>
        <w:tc>
          <w:tcPr>
            <w:tcW w:w="409" w:type="dxa"/>
            <w:tcBorders>
              <w:top w:val="single" w:sz="12" w:space="0" w:color="231F20"/>
              <w:left w:val="single" w:sz="12" w:space="0" w:color="231F20"/>
              <w:right w:val="single" w:sz="6" w:space="0" w:color="231F20"/>
            </w:tcBorders>
            <w:shd w:val="clear" w:color="auto" w:fill="FFF200"/>
          </w:tcPr>
          <w:p w14:paraId="6BF15F41" w14:textId="77777777" w:rsidR="009948F1" w:rsidRDefault="009948F1">
            <w:pPr>
              <w:pStyle w:val="TableParagraph"/>
              <w:rPr>
                <w:sz w:val="18"/>
              </w:rPr>
            </w:pPr>
          </w:p>
          <w:p w14:paraId="25E022C5" w14:textId="77777777" w:rsidR="009948F1" w:rsidRDefault="00BC0563">
            <w:pPr>
              <w:pStyle w:val="TableParagraph"/>
              <w:spacing w:before="153"/>
              <w:ind w:left="181"/>
              <w:rPr>
                <w:b/>
                <w:sz w:val="18"/>
              </w:rPr>
            </w:pPr>
            <w:r>
              <w:rPr>
                <w:b/>
                <w:color w:val="231F20"/>
                <w:w w:val="75"/>
                <w:sz w:val="18"/>
              </w:rPr>
              <w:t>9.5</w:t>
            </w:r>
          </w:p>
        </w:tc>
        <w:tc>
          <w:tcPr>
            <w:tcW w:w="6003" w:type="dxa"/>
            <w:gridSpan w:val="4"/>
            <w:tcBorders>
              <w:top w:val="single" w:sz="12" w:space="0" w:color="231F20"/>
              <w:left w:val="single" w:sz="6" w:space="0" w:color="231F20"/>
            </w:tcBorders>
            <w:shd w:val="clear" w:color="auto" w:fill="FFF200"/>
          </w:tcPr>
          <w:p w14:paraId="22A2B79C" w14:textId="77777777" w:rsidR="009948F1" w:rsidRDefault="009948F1">
            <w:pPr>
              <w:pStyle w:val="TableParagraph"/>
              <w:rPr>
                <w:sz w:val="18"/>
              </w:rPr>
            </w:pPr>
          </w:p>
          <w:p w14:paraId="576A9F8E" w14:textId="77777777" w:rsidR="009948F1" w:rsidRDefault="00BC0563">
            <w:pPr>
              <w:pStyle w:val="TableParagraph"/>
              <w:spacing w:before="145"/>
              <w:ind w:left="59"/>
              <w:rPr>
                <w:b/>
                <w:sz w:val="18"/>
              </w:rPr>
            </w:pPr>
            <w:r>
              <w:rPr>
                <w:b/>
                <w:color w:val="231F20"/>
                <w:w w:val="75"/>
                <w:sz w:val="18"/>
              </w:rPr>
              <w:t>Strengthen Health workforce planning for effective management</w:t>
            </w:r>
          </w:p>
        </w:tc>
        <w:tc>
          <w:tcPr>
            <w:tcW w:w="2996" w:type="dxa"/>
            <w:gridSpan w:val="2"/>
            <w:tcBorders>
              <w:right w:val="single" w:sz="6" w:space="0" w:color="231F20"/>
            </w:tcBorders>
            <w:shd w:val="clear" w:color="auto" w:fill="FFF200"/>
          </w:tcPr>
          <w:p w14:paraId="3077FA28" w14:textId="77777777" w:rsidR="009948F1" w:rsidRDefault="009948F1">
            <w:pPr>
              <w:pStyle w:val="TableParagraph"/>
              <w:rPr>
                <w:rFonts w:ascii="Times New Roman"/>
                <w:sz w:val="12"/>
              </w:rPr>
            </w:pPr>
          </w:p>
        </w:tc>
      </w:tr>
      <w:tr w:rsidR="009948F1" w14:paraId="3A480908" w14:textId="77777777">
        <w:trPr>
          <w:trHeight w:val="966"/>
        </w:trPr>
        <w:tc>
          <w:tcPr>
            <w:tcW w:w="409" w:type="dxa"/>
            <w:tcBorders>
              <w:bottom w:val="nil"/>
              <w:right w:val="single" w:sz="6" w:space="0" w:color="231F20"/>
            </w:tcBorders>
          </w:tcPr>
          <w:p w14:paraId="61B253BF" w14:textId="77777777" w:rsidR="009948F1" w:rsidRDefault="009948F1">
            <w:pPr>
              <w:pStyle w:val="TableParagraph"/>
              <w:rPr>
                <w:rFonts w:ascii="Times New Roman"/>
                <w:sz w:val="12"/>
              </w:rPr>
            </w:pPr>
          </w:p>
        </w:tc>
        <w:tc>
          <w:tcPr>
            <w:tcW w:w="465" w:type="dxa"/>
            <w:tcBorders>
              <w:left w:val="single" w:sz="6" w:space="0" w:color="231F20"/>
              <w:right w:val="single" w:sz="6" w:space="0" w:color="231F20"/>
            </w:tcBorders>
            <w:shd w:val="clear" w:color="auto" w:fill="CCE7D3"/>
          </w:tcPr>
          <w:p w14:paraId="1143B489" w14:textId="77777777" w:rsidR="009948F1" w:rsidRDefault="009948F1">
            <w:pPr>
              <w:pStyle w:val="TableParagraph"/>
              <w:rPr>
                <w:sz w:val="18"/>
              </w:rPr>
            </w:pPr>
          </w:p>
          <w:p w14:paraId="6D719FB1" w14:textId="77777777" w:rsidR="009948F1" w:rsidRDefault="009948F1">
            <w:pPr>
              <w:pStyle w:val="TableParagraph"/>
              <w:spacing w:before="3"/>
              <w:rPr>
                <w:sz w:val="14"/>
              </w:rPr>
            </w:pPr>
          </w:p>
          <w:p w14:paraId="3B0844C9" w14:textId="77777777" w:rsidR="009948F1" w:rsidRDefault="00BC0563">
            <w:pPr>
              <w:pStyle w:val="TableParagraph"/>
              <w:spacing w:before="1"/>
              <w:ind w:left="59"/>
              <w:rPr>
                <w:sz w:val="18"/>
              </w:rPr>
            </w:pPr>
            <w:r>
              <w:rPr>
                <w:color w:val="231F20"/>
                <w:w w:val="75"/>
                <w:sz w:val="18"/>
              </w:rPr>
              <w:t>9.5.1</w:t>
            </w:r>
          </w:p>
        </w:tc>
        <w:tc>
          <w:tcPr>
            <w:tcW w:w="3103" w:type="dxa"/>
            <w:gridSpan w:val="2"/>
            <w:tcBorders>
              <w:left w:val="single" w:sz="6" w:space="0" w:color="231F20"/>
              <w:right w:val="single" w:sz="6" w:space="0" w:color="231F20"/>
            </w:tcBorders>
            <w:shd w:val="clear" w:color="auto" w:fill="CCE7D3"/>
          </w:tcPr>
          <w:p w14:paraId="474393AF" w14:textId="77777777" w:rsidR="009948F1" w:rsidRDefault="009948F1">
            <w:pPr>
              <w:pStyle w:val="TableParagraph"/>
              <w:rPr>
                <w:sz w:val="18"/>
              </w:rPr>
            </w:pPr>
          </w:p>
          <w:p w14:paraId="0685710D" w14:textId="77777777" w:rsidR="009948F1" w:rsidRDefault="00BC0563">
            <w:pPr>
              <w:pStyle w:val="TableParagraph"/>
              <w:spacing w:before="157"/>
              <w:ind w:left="59"/>
              <w:rPr>
                <w:sz w:val="18"/>
              </w:rPr>
            </w:pPr>
            <w:r>
              <w:rPr>
                <w:color w:val="231F20"/>
                <w:w w:val="75"/>
                <w:sz w:val="18"/>
              </w:rPr>
              <w:t>Improve capacity for HRH planning at all levels</w:t>
            </w:r>
          </w:p>
        </w:tc>
        <w:tc>
          <w:tcPr>
            <w:tcW w:w="2435" w:type="dxa"/>
            <w:tcBorders>
              <w:left w:val="single" w:sz="6" w:space="0" w:color="231F20"/>
              <w:right w:val="single" w:sz="6" w:space="0" w:color="231F20"/>
            </w:tcBorders>
            <w:shd w:val="clear" w:color="auto" w:fill="CCE7D3"/>
          </w:tcPr>
          <w:p w14:paraId="484EB658" w14:textId="77777777" w:rsidR="009948F1" w:rsidRDefault="00BC0563">
            <w:pPr>
              <w:pStyle w:val="TableParagraph"/>
              <w:numPr>
                <w:ilvl w:val="0"/>
                <w:numId w:val="57"/>
              </w:numPr>
              <w:tabs>
                <w:tab w:val="left" w:pos="100"/>
              </w:tabs>
              <w:spacing w:before="38" w:line="259" w:lineRule="auto"/>
              <w:ind w:right="130" w:firstLine="0"/>
              <w:rPr>
                <w:sz w:val="18"/>
              </w:rPr>
            </w:pPr>
            <w:r>
              <w:rPr>
                <w:color w:val="231F20"/>
                <w:w w:val="70"/>
                <w:sz w:val="18"/>
              </w:rPr>
              <w:t>IT</w:t>
            </w:r>
            <w:r>
              <w:rPr>
                <w:color w:val="231F20"/>
                <w:spacing w:val="-14"/>
                <w:w w:val="70"/>
                <w:sz w:val="18"/>
              </w:rPr>
              <w:t xml:space="preserve"> </w:t>
            </w:r>
            <w:r>
              <w:rPr>
                <w:color w:val="231F20"/>
                <w:w w:val="70"/>
                <w:sz w:val="18"/>
              </w:rPr>
              <w:t>tools</w:t>
            </w:r>
            <w:r>
              <w:rPr>
                <w:color w:val="231F20"/>
                <w:spacing w:val="-11"/>
                <w:w w:val="70"/>
                <w:sz w:val="18"/>
              </w:rPr>
              <w:t xml:space="preserve"> </w:t>
            </w:r>
            <w:r>
              <w:rPr>
                <w:color w:val="231F20"/>
                <w:w w:val="70"/>
                <w:sz w:val="18"/>
              </w:rPr>
              <w:t>to</w:t>
            </w:r>
            <w:r>
              <w:rPr>
                <w:color w:val="231F20"/>
                <w:spacing w:val="-12"/>
                <w:w w:val="70"/>
                <w:sz w:val="18"/>
              </w:rPr>
              <w:t xml:space="preserve"> </w:t>
            </w:r>
            <w:r>
              <w:rPr>
                <w:color w:val="231F20"/>
                <w:w w:val="70"/>
                <w:sz w:val="18"/>
              </w:rPr>
              <w:t>enable</w:t>
            </w:r>
            <w:r>
              <w:rPr>
                <w:color w:val="231F20"/>
                <w:spacing w:val="-11"/>
                <w:w w:val="70"/>
                <w:sz w:val="18"/>
              </w:rPr>
              <w:t xml:space="preserve"> </w:t>
            </w:r>
            <w:r>
              <w:rPr>
                <w:color w:val="231F20"/>
                <w:w w:val="70"/>
                <w:sz w:val="18"/>
              </w:rPr>
              <w:t>HRH</w:t>
            </w:r>
            <w:r>
              <w:rPr>
                <w:color w:val="231F20"/>
                <w:spacing w:val="-12"/>
                <w:w w:val="70"/>
                <w:sz w:val="18"/>
              </w:rPr>
              <w:t xml:space="preserve"> </w:t>
            </w:r>
            <w:r>
              <w:rPr>
                <w:color w:val="231F20"/>
                <w:w w:val="70"/>
                <w:sz w:val="18"/>
              </w:rPr>
              <w:t>unit</w:t>
            </w:r>
            <w:r>
              <w:rPr>
                <w:color w:val="231F20"/>
                <w:spacing w:val="-12"/>
                <w:w w:val="70"/>
                <w:sz w:val="18"/>
              </w:rPr>
              <w:t xml:space="preserve"> </w:t>
            </w:r>
            <w:r>
              <w:rPr>
                <w:color w:val="231F20"/>
                <w:w w:val="70"/>
                <w:sz w:val="18"/>
              </w:rPr>
              <w:t>plan</w:t>
            </w:r>
            <w:r>
              <w:rPr>
                <w:color w:val="231F20"/>
                <w:spacing w:val="-11"/>
                <w:w w:val="70"/>
                <w:sz w:val="18"/>
              </w:rPr>
              <w:t xml:space="preserve"> </w:t>
            </w:r>
            <w:r>
              <w:rPr>
                <w:color w:val="231F20"/>
                <w:w w:val="70"/>
                <w:sz w:val="18"/>
              </w:rPr>
              <w:t>for</w:t>
            </w:r>
            <w:r>
              <w:rPr>
                <w:color w:val="231F20"/>
                <w:spacing w:val="-12"/>
                <w:w w:val="70"/>
                <w:sz w:val="18"/>
              </w:rPr>
              <w:t xml:space="preserve"> </w:t>
            </w:r>
            <w:r>
              <w:rPr>
                <w:color w:val="231F20"/>
                <w:w w:val="70"/>
                <w:sz w:val="18"/>
              </w:rPr>
              <w:t xml:space="preserve">HRH </w:t>
            </w:r>
            <w:r>
              <w:rPr>
                <w:color w:val="231F20"/>
                <w:w w:val="75"/>
                <w:sz w:val="18"/>
              </w:rPr>
              <w:t>needs</w:t>
            </w:r>
            <w:r>
              <w:rPr>
                <w:color w:val="231F20"/>
                <w:spacing w:val="-14"/>
                <w:w w:val="75"/>
                <w:sz w:val="18"/>
              </w:rPr>
              <w:t xml:space="preserve"> </w:t>
            </w:r>
            <w:r>
              <w:rPr>
                <w:color w:val="231F20"/>
                <w:w w:val="75"/>
                <w:sz w:val="18"/>
              </w:rPr>
              <w:t>across</w:t>
            </w:r>
            <w:r>
              <w:rPr>
                <w:color w:val="231F20"/>
                <w:spacing w:val="-13"/>
                <w:w w:val="75"/>
                <w:sz w:val="18"/>
              </w:rPr>
              <w:t xml:space="preserve"> </w:t>
            </w:r>
            <w:r>
              <w:rPr>
                <w:color w:val="231F20"/>
                <w:w w:val="75"/>
                <w:sz w:val="18"/>
              </w:rPr>
              <w:t>all</w:t>
            </w:r>
            <w:r>
              <w:rPr>
                <w:color w:val="231F20"/>
                <w:spacing w:val="-13"/>
                <w:w w:val="75"/>
                <w:sz w:val="18"/>
              </w:rPr>
              <w:t xml:space="preserve"> </w:t>
            </w:r>
            <w:r>
              <w:rPr>
                <w:color w:val="231F20"/>
                <w:w w:val="75"/>
                <w:sz w:val="18"/>
              </w:rPr>
              <w:t>levels</w:t>
            </w:r>
            <w:r>
              <w:rPr>
                <w:color w:val="231F20"/>
                <w:spacing w:val="-13"/>
                <w:w w:val="75"/>
                <w:sz w:val="18"/>
              </w:rPr>
              <w:t xml:space="preserve"> </w:t>
            </w:r>
            <w:r>
              <w:rPr>
                <w:color w:val="231F20"/>
                <w:w w:val="75"/>
                <w:sz w:val="18"/>
              </w:rPr>
              <w:t>provided</w:t>
            </w:r>
          </w:p>
          <w:p w14:paraId="0EB637C5" w14:textId="77777777" w:rsidR="009948F1" w:rsidRDefault="00BC0563">
            <w:pPr>
              <w:pStyle w:val="TableParagraph"/>
              <w:numPr>
                <w:ilvl w:val="0"/>
                <w:numId w:val="57"/>
              </w:numPr>
              <w:tabs>
                <w:tab w:val="left" w:pos="67"/>
              </w:tabs>
              <w:spacing w:line="206" w:lineRule="exact"/>
              <w:ind w:left="66" w:hanging="44"/>
              <w:rPr>
                <w:sz w:val="18"/>
              </w:rPr>
            </w:pPr>
            <w:r>
              <w:rPr>
                <w:color w:val="231F20"/>
                <w:w w:val="75"/>
                <w:sz w:val="18"/>
              </w:rPr>
              <w:t>HRH Personnel</w:t>
            </w:r>
            <w:r>
              <w:rPr>
                <w:color w:val="231F20"/>
                <w:spacing w:val="-17"/>
                <w:w w:val="75"/>
                <w:sz w:val="18"/>
              </w:rPr>
              <w:t xml:space="preserve"> </w:t>
            </w:r>
            <w:r>
              <w:rPr>
                <w:color w:val="231F20"/>
                <w:w w:val="75"/>
                <w:sz w:val="18"/>
              </w:rPr>
              <w:t>trained</w:t>
            </w:r>
          </w:p>
          <w:p w14:paraId="7F864652" w14:textId="77777777" w:rsidR="009948F1" w:rsidRDefault="00BC0563">
            <w:pPr>
              <w:pStyle w:val="TableParagraph"/>
              <w:spacing w:before="16"/>
              <w:ind w:left="23"/>
              <w:rPr>
                <w:sz w:val="18"/>
              </w:rPr>
            </w:pPr>
            <w:r>
              <w:rPr>
                <w:color w:val="231F20"/>
                <w:w w:val="67"/>
                <w:sz w:val="18"/>
              </w:rPr>
              <w:t>•</w:t>
            </w:r>
          </w:p>
        </w:tc>
        <w:tc>
          <w:tcPr>
            <w:tcW w:w="1458" w:type="dxa"/>
            <w:tcBorders>
              <w:left w:val="single" w:sz="6" w:space="0" w:color="231F20"/>
              <w:right w:val="single" w:sz="6" w:space="0" w:color="231F20"/>
            </w:tcBorders>
            <w:shd w:val="clear" w:color="auto" w:fill="CCE7D3"/>
          </w:tcPr>
          <w:p w14:paraId="5D44BC1C" w14:textId="77777777" w:rsidR="009948F1" w:rsidRDefault="009948F1">
            <w:pPr>
              <w:pStyle w:val="TableParagraph"/>
              <w:rPr>
                <w:rFonts w:ascii="Times New Roman"/>
                <w:sz w:val="12"/>
              </w:rPr>
            </w:pPr>
          </w:p>
        </w:tc>
        <w:tc>
          <w:tcPr>
            <w:tcW w:w="1538" w:type="dxa"/>
            <w:tcBorders>
              <w:left w:val="single" w:sz="6" w:space="0" w:color="231F20"/>
              <w:right w:val="single" w:sz="6" w:space="0" w:color="231F20"/>
            </w:tcBorders>
            <w:shd w:val="clear" w:color="auto" w:fill="CCE7D3"/>
          </w:tcPr>
          <w:p w14:paraId="30F175FC" w14:textId="77777777" w:rsidR="009948F1" w:rsidRDefault="009948F1">
            <w:pPr>
              <w:pStyle w:val="TableParagraph"/>
              <w:rPr>
                <w:rFonts w:ascii="Times New Roman"/>
                <w:sz w:val="12"/>
              </w:rPr>
            </w:pPr>
          </w:p>
        </w:tc>
      </w:tr>
      <w:tr w:rsidR="009948F1" w14:paraId="1CE383E5" w14:textId="77777777">
        <w:trPr>
          <w:trHeight w:val="429"/>
        </w:trPr>
        <w:tc>
          <w:tcPr>
            <w:tcW w:w="874" w:type="dxa"/>
            <w:gridSpan w:val="2"/>
            <w:vMerge w:val="restart"/>
            <w:tcBorders>
              <w:top w:val="nil"/>
              <w:bottom w:val="nil"/>
              <w:right w:val="single" w:sz="6" w:space="0" w:color="231F20"/>
            </w:tcBorders>
          </w:tcPr>
          <w:p w14:paraId="788F527E" w14:textId="77777777" w:rsidR="009948F1" w:rsidRDefault="009948F1">
            <w:pPr>
              <w:pStyle w:val="TableParagraph"/>
              <w:rPr>
                <w:rFonts w:ascii="Times New Roman"/>
                <w:sz w:val="12"/>
              </w:rPr>
            </w:pPr>
          </w:p>
        </w:tc>
        <w:tc>
          <w:tcPr>
            <w:tcW w:w="538" w:type="dxa"/>
            <w:tcBorders>
              <w:left w:val="single" w:sz="6" w:space="0" w:color="231F20"/>
              <w:right w:val="single" w:sz="6" w:space="0" w:color="231F20"/>
            </w:tcBorders>
          </w:tcPr>
          <w:p w14:paraId="2D5C9CC4" w14:textId="77777777" w:rsidR="009948F1" w:rsidRDefault="00BC0563">
            <w:pPr>
              <w:pStyle w:val="TableParagraph"/>
              <w:spacing w:before="103"/>
              <w:ind w:left="44" w:right="25"/>
              <w:jc w:val="center"/>
              <w:rPr>
                <w:sz w:val="18"/>
              </w:rPr>
            </w:pPr>
            <w:r>
              <w:rPr>
                <w:color w:val="231F20"/>
                <w:w w:val="75"/>
                <w:sz w:val="18"/>
              </w:rPr>
              <w:t>9.5.1.a</w:t>
            </w:r>
          </w:p>
        </w:tc>
        <w:tc>
          <w:tcPr>
            <w:tcW w:w="5000" w:type="dxa"/>
            <w:gridSpan w:val="2"/>
            <w:tcBorders>
              <w:left w:val="single" w:sz="6" w:space="0" w:color="231F20"/>
              <w:right w:val="single" w:sz="6" w:space="0" w:color="231F20"/>
            </w:tcBorders>
          </w:tcPr>
          <w:p w14:paraId="54F6E1BF" w14:textId="77777777" w:rsidR="009948F1" w:rsidRDefault="00BC0563">
            <w:pPr>
              <w:pStyle w:val="TableParagraph"/>
              <w:spacing w:before="96"/>
              <w:ind w:left="24"/>
              <w:rPr>
                <w:sz w:val="18"/>
              </w:rPr>
            </w:pPr>
            <w:r>
              <w:rPr>
                <w:color w:val="231F20"/>
                <w:w w:val="75"/>
                <w:sz w:val="18"/>
              </w:rPr>
              <w:t>Provide IT tools to enable HRH unit plan for HRH needs across all levels</w:t>
            </w:r>
          </w:p>
        </w:tc>
        <w:tc>
          <w:tcPr>
            <w:tcW w:w="1458" w:type="dxa"/>
            <w:tcBorders>
              <w:left w:val="single" w:sz="6" w:space="0" w:color="231F20"/>
              <w:right w:val="single" w:sz="6" w:space="0" w:color="231F20"/>
            </w:tcBorders>
          </w:tcPr>
          <w:p w14:paraId="1E3F2E5C" w14:textId="77777777" w:rsidR="009948F1" w:rsidRDefault="00BC0563">
            <w:pPr>
              <w:pStyle w:val="TableParagraph"/>
              <w:spacing w:before="103"/>
              <w:ind w:left="22"/>
              <w:rPr>
                <w:sz w:val="18"/>
              </w:rPr>
            </w:pPr>
            <w:r>
              <w:rPr>
                <w:color w:val="231F20"/>
                <w:w w:val="75"/>
                <w:sz w:val="18"/>
              </w:rPr>
              <w:t>Lack of funds</w:t>
            </w:r>
          </w:p>
        </w:tc>
        <w:tc>
          <w:tcPr>
            <w:tcW w:w="1538" w:type="dxa"/>
            <w:tcBorders>
              <w:left w:val="single" w:sz="6" w:space="0" w:color="231F20"/>
              <w:right w:val="single" w:sz="6" w:space="0" w:color="231F20"/>
            </w:tcBorders>
          </w:tcPr>
          <w:p w14:paraId="78E24E51" w14:textId="77777777" w:rsidR="009948F1" w:rsidRDefault="00BC0563">
            <w:pPr>
              <w:pStyle w:val="TableParagraph"/>
              <w:spacing w:before="103"/>
              <w:ind w:left="22"/>
              <w:rPr>
                <w:sz w:val="18"/>
              </w:rPr>
            </w:pPr>
            <w:r>
              <w:rPr>
                <w:color w:val="231F20"/>
                <w:w w:val="75"/>
                <w:sz w:val="18"/>
              </w:rPr>
              <w:t>Provide IT tools</w:t>
            </w:r>
          </w:p>
        </w:tc>
      </w:tr>
      <w:tr w:rsidR="009948F1" w14:paraId="32409134" w14:textId="77777777">
        <w:trPr>
          <w:trHeight w:val="549"/>
        </w:trPr>
        <w:tc>
          <w:tcPr>
            <w:tcW w:w="874" w:type="dxa"/>
            <w:gridSpan w:val="2"/>
            <w:vMerge/>
            <w:tcBorders>
              <w:top w:val="nil"/>
              <w:bottom w:val="nil"/>
              <w:right w:val="single" w:sz="6" w:space="0" w:color="231F20"/>
            </w:tcBorders>
          </w:tcPr>
          <w:p w14:paraId="5F47B571" w14:textId="77777777" w:rsidR="009948F1" w:rsidRDefault="009948F1">
            <w:pPr>
              <w:rPr>
                <w:sz w:val="2"/>
                <w:szCs w:val="2"/>
              </w:rPr>
            </w:pPr>
          </w:p>
        </w:tc>
        <w:tc>
          <w:tcPr>
            <w:tcW w:w="538" w:type="dxa"/>
            <w:tcBorders>
              <w:left w:val="single" w:sz="6" w:space="0" w:color="231F20"/>
              <w:right w:val="single" w:sz="6" w:space="0" w:color="231F20"/>
            </w:tcBorders>
          </w:tcPr>
          <w:p w14:paraId="5D08944E" w14:textId="77777777" w:rsidR="009948F1" w:rsidRDefault="009948F1">
            <w:pPr>
              <w:pStyle w:val="TableParagraph"/>
              <w:spacing w:before="2"/>
              <w:rPr>
                <w:sz w:val="14"/>
              </w:rPr>
            </w:pPr>
          </w:p>
          <w:p w14:paraId="2D2E4F86" w14:textId="77777777" w:rsidR="009948F1" w:rsidRDefault="00BC0563">
            <w:pPr>
              <w:pStyle w:val="TableParagraph"/>
              <w:ind w:left="44" w:right="25"/>
              <w:jc w:val="center"/>
              <w:rPr>
                <w:sz w:val="18"/>
              </w:rPr>
            </w:pPr>
            <w:r>
              <w:rPr>
                <w:color w:val="231F20"/>
                <w:w w:val="75"/>
                <w:sz w:val="18"/>
              </w:rPr>
              <w:t>9.5.1.b</w:t>
            </w:r>
          </w:p>
        </w:tc>
        <w:tc>
          <w:tcPr>
            <w:tcW w:w="5000" w:type="dxa"/>
            <w:gridSpan w:val="2"/>
            <w:tcBorders>
              <w:left w:val="single" w:sz="6" w:space="0" w:color="231F20"/>
              <w:right w:val="single" w:sz="6" w:space="0" w:color="231F20"/>
            </w:tcBorders>
          </w:tcPr>
          <w:p w14:paraId="64ADA3B1" w14:textId="77777777" w:rsidR="009948F1" w:rsidRDefault="00BC0563">
            <w:pPr>
              <w:pStyle w:val="TableParagraph"/>
              <w:spacing w:before="156"/>
              <w:ind w:left="24"/>
              <w:rPr>
                <w:sz w:val="18"/>
              </w:rPr>
            </w:pPr>
            <w:r>
              <w:rPr>
                <w:color w:val="231F20"/>
                <w:w w:val="75"/>
                <w:sz w:val="18"/>
              </w:rPr>
              <w:t>Train HRH Personnel to improve HRH planning at state, LGAs Health Facilities</w:t>
            </w:r>
          </w:p>
        </w:tc>
        <w:tc>
          <w:tcPr>
            <w:tcW w:w="1458" w:type="dxa"/>
            <w:tcBorders>
              <w:left w:val="single" w:sz="6" w:space="0" w:color="231F20"/>
              <w:right w:val="single" w:sz="6" w:space="0" w:color="231F20"/>
            </w:tcBorders>
          </w:tcPr>
          <w:p w14:paraId="746D993C" w14:textId="77777777" w:rsidR="009948F1" w:rsidRDefault="009948F1">
            <w:pPr>
              <w:pStyle w:val="TableParagraph"/>
              <w:spacing w:before="2"/>
              <w:rPr>
                <w:sz w:val="14"/>
              </w:rPr>
            </w:pPr>
          </w:p>
          <w:p w14:paraId="2B9C8E21" w14:textId="77777777" w:rsidR="009948F1" w:rsidRDefault="00BC0563">
            <w:pPr>
              <w:pStyle w:val="TableParagraph"/>
              <w:ind w:left="22"/>
              <w:rPr>
                <w:sz w:val="18"/>
              </w:rPr>
            </w:pPr>
            <w:r>
              <w:rPr>
                <w:color w:val="231F20"/>
                <w:w w:val="75"/>
                <w:sz w:val="18"/>
              </w:rPr>
              <w:t>Lack of funds</w:t>
            </w:r>
          </w:p>
        </w:tc>
        <w:tc>
          <w:tcPr>
            <w:tcW w:w="1538" w:type="dxa"/>
            <w:tcBorders>
              <w:left w:val="single" w:sz="6" w:space="0" w:color="231F20"/>
              <w:right w:val="single" w:sz="6" w:space="0" w:color="231F20"/>
            </w:tcBorders>
          </w:tcPr>
          <w:p w14:paraId="3005613B" w14:textId="77777777" w:rsidR="009948F1" w:rsidRDefault="009948F1">
            <w:pPr>
              <w:pStyle w:val="TableParagraph"/>
              <w:spacing w:before="2"/>
              <w:rPr>
                <w:sz w:val="14"/>
              </w:rPr>
            </w:pPr>
          </w:p>
          <w:p w14:paraId="596FD4B9" w14:textId="77777777" w:rsidR="009948F1" w:rsidRDefault="00BC0563">
            <w:pPr>
              <w:pStyle w:val="TableParagraph"/>
              <w:ind w:left="22"/>
              <w:rPr>
                <w:sz w:val="18"/>
              </w:rPr>
            </w:pPr>
            <w:r>
              <w:rPr>
                <w:color w:val="231F20"/>
                <w:w w:val="75"/>
                <w:sz w:val="18"/>
              </w:rPr>
              <w:t>Training HRH Personnel</w:t>
            </w:r>
          </w:p>
        </w:tc>
      </w:tr>
      <w:tr w:rsidR="009948F1" w14:paraId="5B6021A5" w14:textId="77777777">
        <w:trPr>
          <w:trHeight w:val="768"/>
        </w:trPr>
        <w:tc>
          <w:tcPr>
            <w:tcW w:w="409" w:type="dxa"/>
            <w:tcBorders>
              <w:top w:val="nil"/>
              <w:bottom w:val="nil"/>
              <w:right w:val="single" w:sz="6" w:space="0" w:color="231F20"/>
            </w:tcBorders>
          </w:tcPr>
          <w:p w14:paraId="720F431E" w14:textId="77777777" w:rsidR="009948F1" w:rsidRDefault="009948F1">
            <w:pPr>
              <w:pStyle w:val="TableParagraph"/>
              <w:rPr>
                <w:rFonts w:ascii="Times New Roman"/>
                <w:sz w:val="12"/>
              </w:rPr>
            </w:pPr>
          </w:p>
        </w:tc>
        <w:tc>
          <w:tcPr>
            <w:tcW w:w="465" w:type="dxa"/>
            <w:tcBorders>
              <w:left w:val="single" w:sz="6" w:space="0" w:color="231F20"/>
              <w:right w:val="single" w:sz="6" w:space="0" w:color="231F20"/>
            </w:tcBorders>
            <w:shd w:val="clear" w:color="auto" w:fill="CCE7D3"/>
          </w:tcPr>
          <w:p w14:paraId="4E8EBDD3" w14:textId="77777777" w:rsidR="009948F1" w:rsidRDefault="009948F1">
            <w:pPr>
              <w:pStyle w:val="TableParagraph"/>
              <w:spacing w:before="9"/>
              <w:rPr>
                <w:sz w:val="23"/>
              </w:rPr>
            </w:pPr>
          </w:p>
          <w:p w14:paraId="55151F18" w14:textId="77777777" w:rsidR="009948F1" w:rsidRDefault="00BC0563">
            <w:pPr>
              <w:pStyle w:val="TableParagraph"/>
              <w:ind w:left="59"/>
              <w:rPr>
                <w:sz w:val="18"/>
              </w:rPr>
            </w:pPr>
            <w:r>
              <w:rPr>
                <w:color w:val="231F20"/>
                <w:w w:val="75"/>
                <w:sz w:val="18"/>
              </w:rPr>
              <w:t>9.5.2</w:t>
            </w:r>
          </w:p>
        </w:tc>
        <w:tc>
          <w:tcPr>
            <w:tcW w:w="3103" w:type="dxa"/>
            <w:gridSpan w:val="2"/>
            <w:tcBorders>
              <w:left w:val="single" w:sz="6" w:space="0" w:color="231F20"/>
              <w:right w:val="single" w:sz="6" w:space="0" w:color="231F20"/>
            </w:tcBorders>
            <w:shd w:val="clear" w:color="auto" w:fill="CCE7D3"/>
          </w:tcPr>
          <w:p w14:paraId="2656B496" w14:textId="77777777" w:rsidR="009948F1" w:rsidRDefault="00BC0563">
            <w:pPr>
              <w:pStyle w:val="TableParagraph"/>
              <w:spacing w:before="154" w:line="259" w:lineRule="auto"/>
              <w:ind w:left="25" w:right="351" w:firstLine="33"/>
              <w:rPr>
                <w:sz w:val="18"/>
              </w:rPr>
            </w:pPr>
            <w:r>
              <w:rPr>
                <w:color w:val="231F20"/>
                <w:w w:val="70"/>
                <w:sz w:val="18"/>
              </w:rPr>
              <w:t>Strengthen</w:t>
            </w:r>
            <w:r>
              <w:rPr>
                <w:color w:val="231F20"/>
                <w:spacing w:val="-18"/>
                <w:w w:val="70"/>
                <w:sz w:val="18"/>
              </w:rPr>
              <w:t xml:space="preserve"> </w:t>
            </w:r>
            <w:r>
              <w:rPr>
                <w:color w:val="231F20"/>
                <w:w w:val="70"/>
                <w:sz w:val="18"/>
              </w:rPr>
              <w:t>mechanisms</w:t>
            </w:r>
            <w:r>
              <w:rPr>
                <w:color w:val="231F20"/>
                <w:spacing w:val="-18"/>
                <w:w w:val="70"/>
                <w:sz w:val="18"/>
              </w:rPr>
              <w:t xml:space="preserve"> </w:t>
            </w:r>
            <w:r>
              <w:rPr>
                <w:color w:val="231F20"/>
                <w:w w:val="70"/>
                <w:sz w:val="18"/>
              </w:rPr>
              <w:t>for</w:t>
            </w:r>
            <w:r>
              <w:rPr>
                <w:color w:val="231F20"/>
                <w:spacing w:val="-18"/>
                <w:w w:val="70"/>
                <w:sz w:val="18"/>
              </w:rPr>
              <w:t xml:space="preserve"> </w:t>
            </w:r>
            <w:r>
              <w:rPr>
                <w:color w:val="231F20"/>
                <w:w w:val="70"/>
                <w:sz w:val="18"/>
              </w:rPr>
              <w:t>HRH</w:t>
            </w:r>
            <w:r>
              <w:rPr>
                <w:color w:val="231F20"/>
                <w:spacing w:val="-18"/>
                <w:w w:val="70"/>
                <w:sz w:val="18"/>
              </w:rPr>
              <w:t xml:space="preserve"> </w:t>
            </w:r>
            <w:r>
              <w:rPr>
                <w:color w:val="231F20"/>
                <w:w w:val="70"/>
                <w:sz w:val="18"/>
              </w:rPr>
              <w:t>joint</w:t>
            </w:r>
            <w:r>
              <w:rPr>
                <w:color w:val="231F20"/>
                <w:spacing w:val="-18"/>
                <w:w w:val="70"/>
                <w:sz w:val="18"/>
              </w:rPr>
              <w:t xml:space="preserve"> </w:t>
            </w:r>
            <w:r>
              <w:rPr>
                <w:color w:val="231F20"/>
                <w:w w:val="70"/>
                <w:sz w:val="18"/>
              </w:rPr>
              <w:t>planning</w:t>
            </w:r>
            <w:r>
              <w:rPr>
                <w:color w:val="231F20"/>
                <w:spacing w:val="-18"/>
                <w:w w:val="70"/>
                <w:sz w:val="18"/>
              </w:rPr>
              <w:t xml:space="preserve"> </w:t>
            </w:r>
            <w:r>
              <w:rPr>
                <w:color w:val="231F20"/>
                <w:w w:val="70"/>
                <w:sz w:val="18"/>
              </w:rPr>
              <w:t xml:space="preserve">at </w:t>
            </w:r>
            <w:r>
              <w:rPr>
                <w:color w:val="231F20"/>
                <w:w w:val="75"/>
                <w:sz w:val="18"/>
              </w:rPr>
              <w:t>primary,</w:t>
            </w:r>
            <w:r>
              <w:rPr>
                <w:color w:val="231F20"/>
                <w:spacing w:val="-14"/>
                <w:w w:val="75"/>
                <w:sz w:val="18"/>
              </w:rPr>
              <w:t xml:space="preserve"> </w:t>
            </w:r>
            <w:r>
              <w:rPr>
                <w:color w:val="231F20"/>
                <w:w w:val="75"/>
                <w:sz w:val="18"/>
              </w:rPr>
              <w:t>secondary</w:t>
            </w:r>
            <w:r>
              <w:rPr>
                <w:color w:val="231F20"/>
                <w:spacing w:val="-13"/>
                <w:w w:val="75"/>
                <w:sz w:val="18"/>
              </w:rPr>
              <w:t xml:space="preserve"> </w:t>
            </w:r>
            <w:r>
              <w:rPr>
                <w:color w:val="231F20"/>
                <w:w w:val="75"/>
                <w:sz w:val="18"/>
              </w:rPr>
              <w:t>and</w:t>
            </w:r>
            <w:r>
              <w:rPr>
                <w:color w:val="231F20"/>
                <w:spacing w:val="-14"/>
                <w:w w:val="75"/>
                <w:sz w:val="18"/>
              </w:rPr>
              <w:t xml:space="preserve"> </w:t>
            </w:r>
            <w:r>
              <w:rPr>
                <w:color w:val="231F20"/>
                <w:w w:val="75"/>
                <w:sz w:val="18"/>
              </w:rPr>
              <w:t>tertiary</w:t>
            </w:r>
            <w:r>
              <w:rPr>
                <w:color w:val="231F20"/>
                <w:spacing w:val="-13"/>
                <w:w w:val="75"/>
                <w:sz w:val="18"/>
              </w:rPr>
              <w:t xml:space="preserve"> </w:t>
            </w:r>
            <w:r>
              <w:rPr>
                <w:color w:val="231F20"/>
                <w:w w:val="75"/>
                <w:sz w:val="18"/>
              </w:rPr>
              <w:t>levels</w:t>
            </w:r>
          </w:p>
        </w:tc>
        <w:tc>
          <w:tcPr>
            <w:tcW w:w="2435" w:type="dxa"/>
            <w:tcBorders>
              <w:left w:val="single" w:sz="6" w:space="0" w:color="231F20"/>
              <w:right w:val="single" w:sz="6" w:space="0" w:color="231F20"/>
            </w:tcBorders>
            <w:shd w:val="clear" w:color="auto" w:fill="CCE7D3"/>
          </w:tcPr>
          <w:p w14:paraId="675AA24D" w14:textId="3C714947" w:rsidR="009948F1" w:rsidRDefault="00BC0563">
            <w:pPr>
              <w:pStyle w:val="TableParagraph"/>
              <w:numPr>
                <w:ilvl w:val="0"/>
                <w:numId w:val="56"/>
              </w:numPr>
              <w:tabs>
                <w:tab w:val="left" w:pos="100"/>
              </w:tabs>
              <w:spacing w:before="161" w:line="259" w:lineRule="auto"/>
              <w:ind w:right="22" w:firstLine="0"/>
              <w:rPr>
                <w:sz w:val="18"/>
              </w:rPr>
            </w:pPr>
            <w:r>
              <w:rPr>
                <w:color w:val="231F20"/>
                <w:w w:val="70"/>
                <w:sz w:val="18"/>
              </w:rPr>
              <w:t>Workshop</w:t>
            </w:r>
            <w:r>
              <w:rPr>
                <w:color w:val="231F20"/>
                <w:spacing w:val="-24"/>
                <w:w w:val="70"/>
                <w:sz w:val="18"/>
              </w:rPr>
              <w:t xml:space="preserve"> </w:t>
            </w:r>
            <w:r w:rsidR="00661EED">
              <w:rPr>
                <w:color w:val="231F20"/>
                <w:w w:val="70"/>
                <w:sz w:val="18"/>
              </w:rPr>
              <w:t>organized</w:t>
            </w:r>
            <w:r>
              <w:rPr>
                <w:color w:val="231F20"/>
                <w:w w:val="70"/>
                <w:sz w:val="18"/>
              </w:rPr>
              <w:t>,</w:t>
            </w:r>
            <w:r>
              <w:rPr>
                <w:color w:val="231F20"/>
                <w:spacing w:val="-24"/>
                <w:w w:val="70"/>
                <w:sz w:val="18"/>
              </w:rPr>
              <w:t xml:space="preserve"> </w:t>
            </w:r>
            <w:r>
              <w:rPr>
                <w:color w:val="231F20"/>
                <w:w w:val="70"/>
                <w:sz w:val="18"/>
              </w:rPr>
              <w:t>HRH</w:t>
            </w:r>
            <w:r w:rsidR="00922ECA">
              <w:rPr>
                <w:color w:val="231F20"/>
                <w:w w:val="70"/>
                <w:sz w:val="18"/>
              </w:rPr>
              <w:t xml:space="preserve"> </w:t>
            </w:r>
            <w:r>
              <w:rPr>
                <w:color w:val="231F20"/>
                <w:spacing w:val="-24"/>
                <w:w w:val="70"/>
                <w:sz w:val="18"/>
              </w:rPr>
              <w:t xml:space="preserve"> </w:t>
            </w:r>
            <w:r>
              <w:rPr>
                <w:color w:val="231F20"/>
                <w:w w:val="70"/>
                <w:sz w:val="18"/>
              </w:rPr>
              <w:t>plan</w:t>
            </w:r>
            <w:r>
              <w:rPr>
                <w:color w:val="231F20"/>
                <w:spacing w:val="-24"/>
                <w:w w:val="70"/>
                <w:sz w:val="18"/>
              </w:rPr>
              <w:t xml:space="preserve"> </w:t>
            </w:r>
            <w:r>
              <w:rPr>
                <w:color w:val="231F20"/>
                <w:w w:val="70"/>
                <w:sz w:val="18"/>
              </w:rPr>
              <w:t xml:space="preserve">developed </w:t>
            </w:r>
            <w:r>
              <w:rPr>
                <w:color w:val="231F20"/>
                <w:w w:val="75"/>
                <w:sz w:val="18"/>
              </w:rPr>
              <w:t>and</w:t>
            </w:r>
            <w:r>
              <w:rPr>
                <w:color w:val="231F20"/>
                <w:spacing w:val="-7"/>
                <w:w w:val="75"/>
                <w:sz w:val="18"/>
              </w:rPr>
              <w:t xml:space="preserve"> </w:t>
            </w:r>
            <w:r w:rsidR="00922ECA">
              <w:rPr>
                <w:color w:val="231F20"/>
                <w:w w:val="75"/>
                <w:sz w:val="18"/>
              </w:rPr>
              <w:t>harmonized</w:t>
            </w:r>
          </w:p>
        </w:tc>
        <w:tc>
          <w:tcPr>
            <w:tcW w:w="1458" w:type="dxa"/>
            <w:tcBorders>
              <w:left w:val="single" w:sz="6" w:space="0" w:color="231F20"/>
              <w:right w:val="single" w:sz="6" w:space="0" w:color="231F20"/>
            </w:tcBorders>
            <w:shd w:val="clear" w:color="auto" w:fill="CCE7D3"/>
          </w:tcPr>
          <w:p w14:paraId="1B114C93" w14:textId="77777777" w:rsidR="009948F1" w:rsidRDefault="009948F1">
            <w:pPr>
              <w:pStyle w:val="TableParagraph"/>
              <w:rPr>
                <w:rFonts w:ascii="Times New Roman"/>
                <w:sz w:val="12"/>
              </w:rPr>
            </w:pPr>
          </w:p>
        </w:tc>
        <w:tc>
          <w:tcPr>
            <w:tcW w:w="1538" w:type="dxa"/>
            <w:tcBorders>
              <w:left w:val="single" w:sz="6" w:space="0" w:color="231F20"/>
              <w:right w:val="single" w:sz="6" w:space="0" w:color="231F20"/>
            </w:tcBorders>
            <w:shd w:val="clear" w:color="auto" w:fill="CCE7D3"/>
          </w:tcPr>
          <w:p w14:paraId="01B36CC3" w14:textId="77777777" w:rsidR="009948F1" w:rsidRDefault="009948F1">
            <w:pPr>
              <w:pStyle w:val="TableParagraph"/>
              <w:rPr>
                <w:rFonts w:ascii="Times New Roman"/>
                <w:sz w:val="12"/>
              </w:rPr>
            </w:pPr>
          </w:p>
        </w:tc>
      </w:tr>
      <w:tr w:rsidR="009948F1" w14:paraId="60F3992B" w14:textId="77777777">
        <w:trPr>
          <w:trHeight w:val="464"/>
        </w:trPr>
        <w:tc>
          <w:tcPr>
            <w:tcW w:w="874" w:type="dxa"/>
            <w:gridSpan w:val="2"/>
            <w:tcBorders>
              <w:top w:val="nil"/>
              <w:right w:val="single" w:sz="6" w:space="0" w:color="231F20"/>
            </w:tcBorders>
          </w:tcPr>
          <w:p w14:paraId="11F7A89D" w14:textId="77777777" w:rsidR="009948F1" w:rsidRDefault="009948F1">
            <w:pPr>
              <w:pStyle w:val="TableParagraph"/>
              <w:rPr>
                <w:rFonts w:ascii="Times New Roman"/>
                <w:sz w:val="12"/>
              </w:rPr>
            </w:pPr>
          </w:p>
        </w:tc>
        <w:tc>
          <w:tcPr>
            <w:tcW w:w="538" w:type="dxa"/>
            <w:tcBorders>
              <w:left w:val="single" w:sz="6" w:space="0" w:color="231F20"/>
              <w:bottom w:val="single" w:sz="12" w:space="0" w:color="231F20"/>
              <w:right w:val="single" w:sz="6" w:space="0" w:color="231F20"/>
            </w:tcBorders>
          </w:tcPr>
          <w:p w14:paraId="650C4834" w14:textId="77777777" w:rsidR="009948F1" w:rsidRDefault="00BC0563">
            <w:pPr>
              <w:pStyle w:val="TableParagraph"/>
              <w:spacing w:before="125"/>
              <w:ind w:left="44" w:right="25"/>
              <w:jc w:val="center"/>
              <w:rPr>
                <w:sz w:val="18"/>
              </w:rPr>
            </w:pPr>
            <w:r>
              <w:rPr>
                <w:color w:val="231F20"/>
                <w:w w:val="75"/>
                <w:sz w:val="18"/>
              </w:rPr>
              <w:t>9.5.2.a</w:t>
            </w:r>
          </w:p>
        </w:tc>
        <w:tc>
          <w:tcPr>
            <w:tcW w:w="5000" w:type="dxa"/>
            <w:gridSpan w:val="2"/>
            <w:tcBorders>
              <w:left w:val="single" w:sz="6" w:space="0" w:color="231F20"/>
              <w:bottom w:val="single" w:sz="12" w:space="0" w:color="231F20"/>
              <w:right w:val="single" w:sz="6" w:space="0" w:color="231F20"/>
            </w:tcBorders>
          </w:tcPr>
          <w:p w14:paraId="233AE36F" w14:textId="7F0CE745" w:rsidR="009948F1" w:rsidRDefault="00922ECA">
            <w:pPr>
              <w:pStyle w:val="TableParagraph"/>
              <w:spacing w:before="7"/>
              <w:ind w:left="24"/>
              <w:rPr>
                <w:sz w:val="18"/>
              </w:rPr>
            </w:pPr>
            <w:r>
              <w:rPr>
                <w:color w:val="231F20"/>
                <w:w w:val="70"/>
                <w:sz w:val="18"/>
              </w:rPr>
              <w:t>Organize</w:t>
            </w:r>
            <w:r w:rsidR="00BC0563">
              <w:rPr>
                <w:color w:val="231F20"/>
                <w:w w:val="70"/>
                <w:sz w:val="18"/>
              </w:rPr>
              <w:t xml:space="preserve"> workshop for primary, secondary &amp; tertiary levels to develop </w:t>
            </w:r>
            <w:r>
              <w:rPr>
                <w:color w:val="231F20"/>
                <w:w w:val="70"/>
                <w:sz w:val="18"/>
              </w:rPr>
              <w:t>harmonized</w:t>
            </w:r>
            <w:r w:rsidR="00BC0563">
              <w:rPr>
                <w:color w:val="231F20"/>
                <w:w w:val="70"/>
                <w:sz w:val="18"/>
              </w:rPr>
              <w:t xml:space="preserve"> HRH</w:t>
            </w:r>
          </w:p>
          <w:p w14:paraId="2533EC6C" w14:textId="77777777" w:rsidR="009948F1" w:rsidRDefault="00BC0563">
            <w:pPr>
              <w:pStyle w:val="TableParagraph"/>
              <w:spacing w:before="16"/>
              <w:ind w:left="24"/>
              <w:rPr>
                <w:sz w:val="18"/>
              </w:rPr>
            </w:pPr>
            <w:r>
              <w:rPr>
                <w:color w:val="231F20"/>
                <w:w w:val="75"/>
                <w:sz w:val="18"/>
              </w:rPr>
              <w:t>plan</w:t>
            </w:r>
          </w:p>
        </w:tc>
        <w:tc>
          <w:tcPr>
            <w:tcW w:w="1458" w:type="dxa"/>
            <w:tcBorders>
              <w:left w:val="single" w:sz="6" w:space="0" w:color="231F20"/>
              <w:bottom w:val="single" w:sz="12" w:space="0" w:color="231F20"/>
              <w:right w:val="single" w:sz="6" w:space="0" w:color="231F20"/>
            </w:tcBorders>
          </w:tcPr>
          <w:p w14:paraId="5401AF91" w14:textId="77777777" w:rsidR="009948F1" w:rsidRDefault="00BC0563">
            <w:pPr>
              <w:pStyle w:val="TableParagraph"/>
              <w:spacing w:before="125"/>
              <w:ind w:left="22"/>
              <w:rPr>
                <w:sz w:val="18"/>
              </w:rPr>
            </w:pPr>
            <w:r>
              <w:rPr>
                <w:color w:val="231F20"/>
                <w:w w:val="75"/>
                <w:sz w:val="18"/>
              </w:rPr>
              <w:t>Lack of funds</w:t>
            </w:r>
          </w:p>
        </w:tc>
        <w:tc>
          <w:tcPr>
            <w:tcW w:w="1538" w:type="dxa"/>
            <w:tcBorders>
              <w:left w:val="single" w:sz="6" w:space="0" w:color="231F20"/>
              <w:bottom w:val="single" w:sz="12" w:space="0" w:color="231F20"/>
              <w:right w:val="single" w:sz="6" w:space="0" w:color="231F20"/>
            </w:tcBorders>
          </w:tcPr>
          <w:p w14:paraId="5FB940B0" w14:textId="6AB1BABC" w:rsidR="009948F1" w:rsidRDefault="00922ECA">
            <w:pPr>
              <w:pStyle w:val="TableParagraph"/>
              <w:spacing w:before="125"/>
              <w:ind w:left="22"/>
              <w:rPr>
                <w:sz w:val="18"/>
              </w:rPr>
            </w:pPr>
            <w:r>
              <w:rPr>
                <w:color w:val="231F20"/>
                <w:w w:val="75"/>
                <w:sz w:val="18"/>
              </w:rPr>
              <w:t>Organize</w:t>
            </w:r>
            <w:r w:rsidR="00BC0563">
              <w:rPr>
                <w:color w:val="231F20"/>
                <w:w w:val="75"/>
                <w:sz w:val="18"/>
              </w:rPr>
              <w:t xml:space="preserve"> workshop</w:t>
            </w:r>
          </w:p>
        </w:tc>
      </w:tr>
    </w:tbl>
    <w:p w14:paraId="7C4802C6" w14:textId="77777777" w:rsidR="009948F1" w:rsidRDefault="009948F1">
      <w:pPr>
        <w:rPr>
          <w:sz w:val="18"/>
        </w:rPr>
        <w:sectPr w:rsidR="009948F1">
          <w:pgSz w:w="11910" w:h="16840"/>
          <w:pgMar w:top="1220" w:right="1080" w:bottom="1340" w:left="1120" w:header="0" w:footer="1155" w:gutter="0"/>
          <w:cols w:space="720"/>
        </w:sectPr>
      </w:pPr>
    </w:p>
    <w:tbl>
      <w:tblPr>
        <w:tblW w:w="0" w:type="auto"/>
        <w:tblInd w:w="13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0"/>
        <w:gridCol w:w="407"/>
        <w:gridCol w:w="456"/>
        <w:gridCol w:w="527"/>
        <w:gridCol w:w="2515"/>
        <w:gridCol w:w="2388"/>
        <w:gridCol w:w="1430"/>
        <w:gridCol w:w="1508"/>
      </w:tblGrid>
      <w:tr w:rsidR="009948F1" w14:paraId="0AFE5973" w14:textId="77777777">
        <w:trPr>
          <w:trHeight w:val="303"/>
        </w:trPr>
        <w:tc>
          <w:tcPr>
            <w:tcW w:w="9411" w:type="dxa"/>
            <w:gridSpan w:val="8"/>
            <w:tcBorders>
              <w:right w:val="nil"/>
            </w:tcBorders>
          </w:tcPr>
          <w:p w14:paraId="719F654E" w14:textId="77777777" w:rsidR="009948F1" w:rsidRDefault="00BC0563">
            <w:pPr>
              <w:pStyle w:val="TableParagraph"/>
              <w:spacing w:before="45"/>
              <w:ind w:left="3843" w:right="3802"/>
              <w:jc w:val="center"/>
              <w:rPr>
                <w:b/>
                <w:sz w:val="18"/>
              </w:rPr>
            </w:pPr>
            <w:bookmarkStart w:id="188" w:name="Page_162"/>
            <w:bookmarkEnd w:id="188"/>
            <w:r>
              <w:rPr>
                <w:b/>
                <w:color w:val="231F20"/>
                <w:w w:val="85"/>
                <w:sz w:val="18"/>
              </w:rPr>
              <w:t>10.Health Infrastructure</w:t>
            </w:r>
          </w:p>
        </w:tc>
      </w:tr>
      <w:tr w:rsidR="009948F1" w14:paraId="37D637E8" w14:textId="77777777">
        <w:trPr>
          <w:trHeight w:val="223"/>
        </w:trPr>
        <w:tc>
          <w:tcPr>
            <w:tcW w:w="9411" w:type="dxa"/>
            <w:gridSpan w:val="8"/>
            <w:tcBorders>
              <w:bottom w:val="nil"/>
              <w:right w:val="nil"/>
            </w:tcBorders>
            <w:shd w:val="clear" w:color="auto" w:fill="F6ADCD"/>
          </w:tcPr>
          <w:p w14:paraId="5ABA4AD8" w14:textId="77777777" w:rsidR="009948F1" w:rsidRDefault="00BC0563">
            <w:pPr>
              <w:pStyle w:val="TableParagraph"/>
              <w:spacing w:before="10"/>
              <w:ind w:left="142"/>
              <w:rPr>
                <w:b/>
                <w:sz w:val="15"/>
              </w:rPr>
            </w:pPr>
            <w:r>
              <w:rPr>
                <w:b/>
                <w:color w:val="231F20"/>
                <w:w w:val="80"/>
                <w:sz w:val="15"/>
              </w:rPr>
              <w:t>10. To improve availability and functionality of health infrastructure required to optimize service delivery at all levels and ensure equitable access to effective and</w:t>
            </w:r>
          </w:p>
        </w:tc>
      </w:tr>
      <w:tr w:rsidR="009948F1" w14:paraId="6E41E0F2" w14:textId="77777777">
        <w:trPr>
          <w:trHeight w:val="112"/>
        </w:trPr>
        <w:tc>
          <w:tcPr>
            <w:tcW w:w="180" w:type="dxa"/>
            <w:tcBorders>
              <w:top w:val="nil"/>
            </w:tcBorders>
            <w:shd w:val="clear" w:color="auto" w:fill="F6ADCD"/>
          </w:tcPr>
          <w:p w14:paraId="302B874A" w14:textId="77777777" w:rsidR="009948F1" w:rsidRDefault="009948F1">
            <w:pPr>
              <w:pStyle w:val="TableParagraph"/>
              <w:rPr>
                <w:rFonts w:ascii="Times New Roman"/>
                <w:sz w:val="6"/>
              </w:rPr>
            </w:pPr>
          </w:p>
        </w:tc>
        <w:tc>
          <w:tcPr>
            <w:tcW w:w="407" w:type="dxa"/>
            <w:tcBorders>
              <w:top w:val="nil"/>
              <w:right w:val="single" w:sz="4" w:space="0" w:color="231F20"/>
            </w:tcBorders>
            <w:shd w:val="clear" w:color="auto" w:fill="F6ADCD"/>
          </w:tcPr>
          <w:p w14:paraId="10F1EAB7" w14:textId="77777777" w:rsidR="009948F1" w:rsidRDefault="009948F1">
            <w:pPr>
              <w:pStyle w:val="TableParagraph"/>
              <w:rPr>
                <w:rFonts w:ascii="Times New Roman"/>
                <w:sz w:val="6"/>
              </w:rPr>
            </w:pPr>
          </w:p>
        </w:tc>
        <w:tc>
          <w:tcPr>
            <w:tcW w:w="8824" w:type="dxa"/>
            <w:gridSpan w:val="6"/>
            <w:tcBorders>
              <w:top w:val="nil"/>
              <w:left w:val="single" w:sz="4" w:space="0" w:color="231F20"/>
              <w:right w:val="nil"/>
            </w:tcBorders>
            <w:shd w:val="clear" w:color="auto" w:fill="F6ADCD"/>
          </w:tcPr>
          <w:p w14:paraId="2BC6373D" w14:textId="77777777" w:rsidR="009948F1" w:rsidRDefault="00BC0563">
            <w:pPr>
              <w:pStyle w:val="TableParagraph"/>
              <w:spacing w:line="93" w:lineRule="exact"/>
              <w:ind w:left="2670"/>
              <w:rPr>
                <w:b/>
                <w:sz w:val="15"/>
              </w:rPr>
            </w:pPr>
            <w:r>
              <w:rPr>
                <w:b/>
                <w:color w:val="231F20"/>
                <w:w w:val="90"/>
                <w:sz w:val="15"/>
              </w:rPr>
              <w:t>responsive health services throughout the country.</w:t>
            </w:r>
          </w:p>
        </w:tc>
      </w:tr>
      <w:tr w:rsidR="009948F1" w14:paraId="7192C03C" w14:textId="77777777">
        <w:trPr>
          <w:trHeight w:val="366"/>
        </w:trPr>
        <w:tc>
          <w:tcPr>
            <w:tcW w:w="180" w:type="dxa"/>
            <w:tcBorders>
              <w:bottom w:val="nil"/>
            </w:tcBorders>
          </w:tcPr>
          <w:p w14:paraId="705F902F" w14:textId="77777777" w:rsidR="009948F1" w:rsidRDefault="009948F1">
            <w:pPr>
              <w:pStyle w:val="TableParagraph"/>
              <w:rPr>
                <w:rFonts w:ascii="Times New Roman"/>
                <w:sz w:val="10"/>
              </w:rPr>
            </w:pPr>
          </w:p>
        </w:tc>
        <w:tc>
          <w:tcPr>
            <w:tcW w:w="407" w:type="dxa"/>
            <w:shd w:val="clear" w:color="auto" w:fill="FFF200"/>
          </w:tcPr>
          <w:p w14:paraId="1D2B470C" w14:textId="77777777" w:rsidR="009948F1" w:rsidRDefault="00BC0563">
            <w:pPr>
              <w:pStyle w:val="TableParagraph"/>
              <w:spacing w:before="37"/>
              <w:ind w:left="120"/>
              <w:rPr>
                <w:b/>
                <w:sz w:val="15"/>
              </w:rPr>
            </w:pPr>
            <w:r>
              <w:rPr>
                <w:b/>
                <w:color w:val="231F20"/>
                <w:w w:val="85"/>
                <w:sz w:val="15"/>
              </w:rPr>
              <w:t>10.1</w:t>
            </w:r>
          </w:p>
        </w:tc>
        <w:tc>
          <w:tcPr>
            <w:tcW w:w="5886" w:type="dxa"/>
            <w:gridSpan w:val="4"/>
            <w:tcBorders>
              <w:right w:val="single" w:sz="8" w:space="0" w:color="231F20"/>
            </w:tcBorders>
            <w:shd w:val="clear" w:color="auto" w:fill="FFF200"/>
          </w:tcPr>
          <w:p w14:paraId="20516776" w14:textId="77777777" w:rsidR="009948F1" w:rsidRDefault="00BC0563">
            <w:pPr>
              <w:pStyle w:val="TableParagraph"/>
              <w:spacing w:before="2"/>
              <w:ind w:left="54"/>
              <w:rPr>
                <w:b/>
                <w:sz w:val="15"/>
              </w:rPr>
            </w:pPr>
            <w:r>
              <w:rPr>
                <w:b/>
                <w:color w:val="231F20"/>
                <w:w w:val="80"/>
                <w:sz w:val="15"/>
              </w:rPr>
              <w:t>To improve availability and functionality of health infrastructure required to optimize service delivery</w:t>
            </w:r>
          </w:p>
          <w:p w14:paraId="6DFAD402" w14:textId="77777777" w:rsidR="009948F1" w:rsidRDefault="00BC0563">
            <w:pPr>
              <w:pStyle w:val="TableParagraph"/>
              <w:spacing w:before="26" w:line="145" w:lineRule="exact"/>
              <w:ind w:left="21"/>
              <w:rPr>
                <w:b/>
                <w:sz w:val="15"/>
              </w:rPr>
            </w:pPr>
            <w:r>
              <w:rPr>
                <w:b/>
                <w:color w:val="231F20"/>
                <w:w w:val="90"/>
                <w:sz w:val="15"/>
              </w:rPr>
              <w:t>at all levels</w:t>
            </w:r>
          </w:p>
        </w:tc>
        <w:tc>
          <w:tcPr>
            <w:tcW w:w="1430" w:type="dxa"/>
            <w:tcBorders>
              <w:left w:val="single" w:sz="8" w:space="0" w:color="231F20"/>
              <w:right w:val="single" w:sz="8" w:space="0" w:color="231F20"/>
            </w:tcBorders>
            <w:shd w:val="clear" w:color="auto" w:fill="FFF200"/>
          </w:tcPr>
          <w:p w14:paraId="4AA44F21" w14:textId="77777777" w:rsidR="009948F1" w:rsidRDefault="009948F1">
            <w:pPr>
              <w:pStyle w:val="TableParagraph"/>
              <w:rPr>
                <w:rFonts w:ascii="Times New Roman"/>
                <w:sz w:val="10"/>
              </w:rPr>
            </w:pPr>
          </w:p>
        </w:tc>
        <w:tc>
          <w:tcPr>
            <w:tcW w:w="1508" w:type="dxa"/>
            <w:tcBorders>
              <w:left w:val="single" w:sz="8" w:space="0" w:color="231F20"/>
            </w:tcBorders>
            <w:shd w:val="clear" w:color="auto" w:fill="FFF200"/>
          </w:tcPr>
          <w:p w14:paraId="1C7C8F50" w14:textId="77777777" w:rsidR="009948F1" w:rsidRDefault="009948F1">
            <w:pPr>
              <w:pStyle w:val="TableParagraph"/>
              <w:rPr>
                <w:rFonts w:ascii="Times New Roman"/>
                <w:sz w:val="10"/>
              </w:rPr>
            </w:pPr>
          </w:p>
        </w:tc>
      </w:tr>
      <w:tr w:rsidR="009948F1" w14:paraId="3C15C0FE" w14:textId="77777777">
        <w:trPr>
          <w:trHeight w:val="1376"/>
        </w:trPr>
        <w:tc>
          <w:tcPr>
            <w:tcW w:w="587" w:type="dxa"/>
            <w:gridSpan w:val="2"/>
            <w:tcBorders>
              <w:top w:val="nil"/>
              <w:bottom w:val="nil"/>
            </w:tcBorders>
          </w:tcPr>
          <w:p w14:paraId="25E5A546" w14:textId="77777777" w:rsidR="009948F1" w:rsidRDefault="009948F1">
            <w:pPr>
              <w:pStyle w:val="TableParagraph"/>
              <w:rPr>
                <w:rFonts w:ascii="Times New Roman"/>
                <w:sz w:val="10"/>
              </w:rPr>
            </w:pPr>
          </w:p>
        </w:tc>
        <w:tc>
          <w:tcPr>
            <w:tcW w:w="456" w:type="dxa"/>
            <w:shd w:val="clear" w:color="auto" w:fill="CCE7D3"/>
          </w:tcPr>
          <w:p w14:paraId="7602426C" w14:textId="77777777" w:rsidR="009948F1" w:rsidRDefault="009948F1">
            <w:pPr>
              <w:pStyle w:val="TableParagraph"/>
              <w:rPr>
                <w:sz w:val="16"/>
              </w:rPr>
            </w:pPr>
          </w:p>
          <w:p w14:paraId="4FBB1AD3" w14:textId="77777777" w:rsidR="009948F1" w:rsidRDefault="009948F1">
            <w:pPr>
              <w:pStyle w:val="TableParagraph"/>
              <w:rPr>
                <w:sz w:val="16"/>
              </w:rPr>
            </w:pPr>
          </w:p>
          <w:p w14:paraId="5800F894" w14:textId="77777777" w:rsidR="009948F1" w:rsidRDefault="009948F1">
            <w:pPr>
              <w:pStyle w:val="TableParagraph"/>
              <w:spacing w:before="6"/>
              <w:rPr>
                <w:sz w:val="20"/>
              </w:rPr>
            </w:pPr>
          </w:p>
          <w:p w14:paraId="384D1D22" w14:textId="77777777" w:rsidR="009948F1" w:rsidRDefault="00BC0563">
            <w:pPr>
              <w:pStyle w:val="TableParagraph"/>
              <w:ind w:left="22" w:right="23"/>
              <w:jc w:val="center"/>
              <w:rPr>
                <w:sz w:val="15"/>
              </w:rPr>
            </w:pPr>
            <w:r>
              <w:rPr>
                <w:color w:val="231F20"/>
                <w:w w:val="85"/>
                <w:sz w:val="15"/>
              </w:rPr>
              <w:t>10.1.1</w:t>
            </w:r>
          </w:p>
        </w:tc>
        <w:tc>
          <w:tcPr>
            <w:tcW w:w="3042" w:type="dxa"/>
            <w:gridSpan w:val="2"/>
            <w:shd w:val="clear" w:color="auto" w:fill="CCE7D3"/>
          </w:tcPr>
          <w:p w14:paraId="01637341" w14:textId="77777777" w:rsidR="009948F1" w:rsidRDefault="009948F1">
            <w:pPr>
              <w:pStyle w:val="TableParagraph"/>
              <w:rPr>
                <w:sz w:val="16"/>
              </w:rPr>
            </w:pPr>
          </w:p>
          <w:p w14:paraId="5F49262E" w14:textId="77777777" w:rsidR="009948F1" w:rsidRDefault="009948F1">
            <w:pPr>
              <w:pStyle w:val="TableParagraph"/>
              <w:spacing w:before="1"/>
              <w:rPr>
                <w:sz w:val="19"/>
              </w:rPr>
            </w:pPr>
          </w:p>
          <w:p w14:paraId="144A9AF1" w14:textId="77777777" w:rsidR="009948F1" w:rsidRDefault="00BC0563">
            <w:pPr>
              <w:pStyle w:val="TableParagraph"/>
              <w:spacing w:before="1" w:line="268" w:lineRule="auto"/>
              <w:ind w:left="20" w:right="12" w:firstLine="33"/>
              <w:rPr>
                <w:sz w:val="15"/>
              </w:rPr>
            </w:pPr>
            <w:r>
              <w:rPr>
                <w:color w:val="231F20"/>
                <w:w w:val="80"/>
                <w:sz w:val="15"/>
              </w:rPr>
              <w:t xml:space="preserve">Strengthen legal, policy and institutional framework and </w:t>
            </w:r>
            <w:r>
              <w:rPr>
                <w:color w:val="231F20"/>
                <w:w w:val="90"/>
                <w:sz w:val="15"/>
              </w:rPr>
              <w:t>coordinating mechanism for health infrastructure planning and maintenance in Nigeria</w:t>
            </w:r>
          </w:p>
        </w:tc>
        <w:tc>
          <w:tcPr>
            <w:tcW w:w="2388" w:type="dxa"/>
            <w:shd w:val="clear" w:color="auto" w:fill="CCE7D3"/>
          </w:tcPr>
          <w:p w14:paraId="0D26C188" w14:textId="77777777" w:rsidR="009948F1" w:rsidRDefault="00BC0563">
            <w:pPr>
              <w:pStyle w:val="TableParagraph"/>
              <w:numPr>
                <w:ilvl w:val="0"/>
                <w:numId w:val="55"/>
              </w:numPr>
              <w:tabs>
                <w:tab w:val="left" w:pos="96"/>
              </w:tabs>
              <w:spacing w:before="23" w:line="268" w:lineRule="auto"/>
              <w:ind w:right="90" w:firstLine="0"/>
              <w:rPr>
                <w:sz w:val="15"/>
              </w:rPr>
            </w:pPr>
            <w:r>
              <w:rPr>
                <w:color w:val="231F20"/>
                <w:w w:val="85"/>
                <w:sz w:val="15"/>
              </w:rPr>
              <w:t xml:space="preserve">Policies, laws and guidelines on health </w:t>
            </w:r>
            <w:r>
              <w:rPr>
                <w:color w:val="231F20"/>
                <w:w w:val="80"/>
                <w:sz w:val="15"/>
              </w:rPr>
              <w:t>infrastructure, equipment maintenance</w:t>
            </w:r>
            <w:r>
              <w:rPr>
                <w:color w:val="231F20"/>
                <w:spacing w:val="-23"/>
                <w:w w:val="80"/>
                <w:sz w:val="15"/>
              </w:rPr>
              <w:t xml:space="preserve"> </w:t>
            </w:r>
            <w:r>
              <w:rPr>
                <w:color w:val="231F20"/>
                <w:spacing w:val="-4"/>
                <w:w w:val="80"/>
                <w:sz w:val="15"/>
              </w:rPr>
              <w:t xml:space="preserve">and </w:t>
            </w:r>
            <w:r>
              <w:rPr>
                <w:color w:val="231F20"/>
                <w:w w:val="90"/>
                <w:sz w:val="15"/>
              </w:rPr>
              <w:t>management</w:t>
            </w:r>
            <w:r>
              <w:rPr>
                <w:color w:val="231F20"/>
                <w:spacing w:val="-22"/>
                <w:w w:val="90"/>
                <w:sz w:val="15"/>
              </w:rPr>
              <w:t xml:space="preserve"> </w:t>
            </w:r>
            <w:r>
              <w:rPr>
                <w:color w:val="231F20"/>
                <w:w w:val="90"/>
                <w:sz w:val="15"/>
              </w:rPr>
              <w:t>reviewed</w:t>
            </w:r>
            <w:r>
              <w:rPr>
                <w:color w:val="231F20"/>
                <w:spacing w:val="-22"/>
                <w:w w:val="90"/>
                <w:sz w:val="15"/>
              </w:rPr>
              <w:t xml:space="preserve"> </w:t>
            </w:r>
            <w:r>
              <w:rPr>
                <w:color w:val="231F20"/>
                <w:w w:val="90"/>
                <w:sz w:val="15"/>
              </w:rPr>
              <w:t>and</w:t>
            </w:r>
            <w:r>
              <w:rPr>
                <w:color w:val="231F20"/>
                <w:spacing w:val="-22"/>
                <w:w w:val="90"/>
                <w:sz w:val="15"/>
              </w:rPr>
              <w:t xml:space="preserve"> </w:t>
            </w:r>
            <w:r>
              <w:rPr>
                <w:color w:val="231F20"/>
                <w:w w:val="90"/>
                <w:sz w:val="15"/>
              </w:rPr>
              <w:t>adapted</w:t>
            </w:r>
          </w:p>
          <w:p w14:paraId="22DB37CE" w14:textId="77777777" w:rsidR="009948F1" w:rsidRDefault="00BC0563">
            <w:pPr>
              <w:pStyle w:val="TableParagraph"/>
              <w:numPr>
                <w:ilvl w:val="0"/>
                <w:numId w:val="55"/>
              </w:numPr>
              <w:tabs>
                <w:tab w:val="left" w:pos="96"/>
              </w:tabs>
              <w:spacing w:before="2" w:line="268" w:lineRule="auto"/>
              <w:ind w:right="174" w:firstLine="0"/>
              <w:rPr>
                <w:sz w:val="15"/>
              </w:rPr>
            </w:pPr>
            <w:r>
              <w:rPr>
                <w:color w:val="231F20"/>
                <w:w w:val="80"/>
                <w:sz w:val="15"/>
              </w:rPr>
              <w:t>State</w:t>
            </w:r>
            <w:r>
              <w:rPr>
                <w:color w:val="231F20"/>
                <w:spacing w:val="-7"/>
                <w:w w:val="80"/>
                <w:sz w:val="15"/>
              </w:rPr>
              <w:t xml:space="preserve"> </w:t>
            </w:r>
            <w:r>
              <w:rPr>
                <w:color w:val="231F20"/>
                <w:w w:val="80"/>
                <w:sz w:val="15"/>
              </w:rPr>
              <w:t>strategic</w:t>
            </w:r>
            <w:r>
              <w:rPr>
                <w:color w:val="231F20"/>
                <w:spacing w:val="-7"/>
                <w:w w:val="80"/>
                <w:sz w:val="15"/>
              </w:rPr>
              <w:t xml:space="preserve"> </w:t>
            </w:r>
            <w:r>
              <w:rPr>
                <w:color w:val="231F20"/>
                <w:w w:val="80"/>
                <w:sz w:val="15"/>
              </w:rPr>
              <w:t>health</w:t>
            </w:r>
            <w:r>
              <w:rPr>
                <w:color w:val="231F20"/>
                <w:spacing w:val="-7"/>
                <w:w w:val="80"/>
                <w:sz w:val="15"/>
              </w:rPr>
              <w:t xml:space="preserve"> </w:t>
            </w:r>
            <w:r>
              <w:rPr>
                <w:color w:val="231F20"/>
                <w:w w:val="80"/>
                <w:sz w:val="15"/>
              </w:rPr>
              <w:t>infrastructure</w:t>
            </w:r>
            <w:r>
              <w:rPr>
                <w:color w:val="231F20"/>
                <w:spacing w:val="-7"/>
                <w:w w:val="80"/>
                <w:sz w:val="15"/>
              </w:rPr>
              <w:t xml:space="preserve"> </w:t>
            </w:r>
            <w:r>
              <w:rPr>
                <w:color w:val="231F20"/>
                <w:w w:val="80"/>
                <w:sz w:val="15"/>
              </w:rPr>
              <w:t xml:space="preserve">plan </w:t>
            </w:r>
            <w:r>
              <w:rPr>
                <w:color w:val="231F20"/>
                <w:w w:val="90"/>
                <w:sz w:val="15"/>
              </w:rPr>
              <w:t>developed</w:t>
            </w:r>
          </w:p>
          <w:p w14:paraId="4EF8928E" w14:textId="77777777" w:rsidR="009948F1" w:rsidRDefault="00BC0563">
            <w:pPr>
              <w:pStyle w:val="TableParagraph"/>
              <w:numPr>
                <w:ilvl w:val="0"/>
                <w:numId w:val="55"/>
              </w:numPr>
              <w:tabs>
                <w:tab w:val="left" w:pos="96"/>
              </w:tabs>
              <w:spacing w:before="1"/>
              <w:ind w:left="95" w:hanging="76"/>
              <w:rPr>
                <w:sz w:val="15"/>
              </w:rPr>
            </w:pPr>
            <w:r>
              <w:rPr>
                <w:color w:val="231F20"/>
                <w:w w:val="85"/>
                <w:sz w:val="15"/>
              </w:rPr>
              <w:t>Capacity</w:t>
            </w:r>
            <w:r>
              <w:rPr>
                <w:color w:val="231F20"/>
                <w:spacing w:val="-21"/>
                <w:w w:val="85"/>
                <w:sz w:val="15"/>
              </w:rPr>
              <w:t xml:space="preserve"> </w:t>
            </w:r>
            <w:r>
              <w:rPr>
                <w:color w:val="231F20"/>
                <w:w w:val="85"/>
                <w:sz w:val="15"/>
              </w:rPr>
              <w:t>of</w:t>
            </w:r>
            <w:r>
              <w:rPr>
                <w:color w:val="231F20"/>
                <w:spacing w:val="-20"/>
                <w:w w:val="85"/>
                <w:sz w:val="15"/>
              </w:rPr>
              <w:t xml:space="preserve"> </w:t>
            </w:r>
            <w:r>
              <w:rPr>
                <w:color w:val="231F20"/>
                <w:w w:val="85"/>
                <w:sz w:val="15"/>
              </w:rPr>
              <w:t>health</w:t>
            </w:r>
            <w:r>
              <w:rPr>
                <w:color w:val="231F20"/>
                <w:spacing w:val="-20"/>
                <w:w w:val="85"/>
                <w:sz w:val="15"/>
              </w:rPr>
              <w:t xml:space="preserve"> </w:t>
            </w:r>
            <w:r>
              <w:rPr>
                <w:color w:val="231F20"/>
                <w:w w:val="85"/>
                <w:sz w:val="15"/>
              </w:rPr>
              <w:t>infrastructure</w:t>
            </w:r>
            <w:r>
              <w:rPr>
                <w:color w:val="231F20"/>
                <w:spacing w:val="-20"/>
                <w:w w:val="85"/>
                <w:sz w:val="15"/>
              </w:rPr>
              <w:t xml:space="preserve"> </w:t>
            </w:r>
            <w:r>
              <w:rPr>
                <w:color w:val="231F20"/>
                <w:w w:val="85"/>
                <w:sz w:val="15"/>
              </w:rPr>
              <w:t>unit</w:t>
            </w:r>
            <w:r>
              <w:rPr>
                <w:color w:val="231F20"/>
                <w:spacing w:val="-20"/>
                <w:w w:val="85"/>
                <w:sz w:val="15"/>
              </w:rPr>
              <w:t xml:space="preserve"> </w:t>
            </w:r>
            <w:r>
              <w:rPr>
                <w:color w:val="231F20"/>
                <w:w w:val="85"/>
                <w:sz w:val="15"/>
              </w:rPr>
              <w:t>staff</w:t>
            </w:r>
          </w:p>
          <w:p w14:paraId="311B3EAF" w14:textId="77777777" w:rsidR="009948F1" w:rsidRDefault="00BC0563">
            <w:pPr>
              <w:pStyle w:val="TableParagraph"/>
              <w:spacing w:before="21" w:line="170" w:lineRule="exact"/>
              <w:ind w:left="20"/>
              <w:rPr>
                <w:sz w:val="15"/>
              </w:rPr>
            </w:pPr>
            <w:r>
              <w:rPr>
                <w:color w:val="231F20"/>
                <w:w w:val="90"/>
                <w:sz w:val="15"/>
              </w:rPr>
              <w:t>at state level built</w:t>
            </w:r>
          </w:p>
        </w:tc>
        <w:tc>
          <w:tcPr>
            <w:tcW w:w="1430" w:type="dxa"/>
            <w:shd w:val="clear" w:color="auto" w:fill="CCE7D3"/>
          </w:tcPr>
          <w:p w14:paraId="7D408508" w14:textId="77777777" w:rsidR="009948F1" w:rsidRDefault="009948F1">
            <w:pPr>
              <w:pStyle w:val="TableParagraph"/>
              <w:rPr>
                <w:rFonts w:ascii="Times New Roman"/>
                <w:sz w:val="10"/>
              </w:rPr>
            </w:pPr>
          </w:p>
        </w:tc>
        <w:tc>
          <w:tcPr>
            <w:tcW w:w="1508" w:type="dxa"/>
            <w:tcBorders>
              <w:right w:val="nil"/>
            </w:tcBorders>
            <w:shd w:val="clear" w:color="auto" w:fill="CCE7D3"/>
          </w:tcPr>
          <w:p w14:paraId="2F3C6C5C" w14:textId="77777777" w:rsidR="009948F1" w:rsidRDefault="009948F1">
            <w:pPr>
              <w:pStyle w:val="TableParagraph"/>
              <w:rPr>
                <w:rFonts w:ascii="Times New Roman"/>
                <w:sz w:val="10"/>
              </w:rPr>
            </w:pPr>
          </w:p>
        </w:tc>
      </w:tr>
      <w:tr w:rsidR="009948F1" w14:paraId="6F6445F7" w14:textId="77777777">
        <w:trPr>
          <w:trHeight w:val="375"/>
        </w:trPr>
        <w:tc>
          <w:tcPr>
            <w:tcW w:w="1043" w:type="dxa"/>
            <w:gridSpan w:val="3"/>
            <w:vMerge w:val="restart"/>
            <w:tcBorders>
              <w:top w:val="nil"/>
              <w:bottom w:val="nil"/>
            </w:tcBorders>
          </w:tcPr>
          <w:p w14:paraId="29999343" w14:textId="77777777" w:rsidR="009948F1" w:rsidRDefault="009948F1">
            <w:pPr>
              <w:pStyle w:val="TableParagraph"/>
              <w:rPr>
                <w:rFonts w:ascii="Times New Roman"/>
                <w:sz w:val="10"/>
              </w:rPr>
            </w:pPr>
          </w:p>
        </w:tc>
        <w:tc>
          <w:tcPr>
            <w:tcW w:w="527" w:type="dxa"/>
          </w:tcPr>
          <w:p w14:paraId="03B333A8" w14:textId="77777777" w:rsidR="009948F1" w:rsidRDefault="00BC0563">
            <w:pPr>
              <w:pStyle w:val="TableParagraph"/>
              <w:spacing w:before="103"/>
              <w:ind w:left="19" w:right="8"/>
              <w:jc w:val="center"/>
              <w:rPr>
                <w:sz w:val="15"/>
              </w:rPr>
            </w:pPr>
            <w:r>
              <w:rPr>
                <w:color w:val="231F20"/>
                <w:w w:val="80"/>
                <w:sz w:val="15"/>
              </w:rPr>
              <w:t>10.1.1.a</w:t>
            </w:r>
          </w:p>
        </w:tc>
        <w:tc>
          <w:tcPr>
            <w:tcW w:w="4903" w:type="dxa"/>
            <w:gridSpan w:val="2"/>
          </w:tcPr>
          <w:p w14:paraId="0CD15DFF" w14:textId="77777777" w:rsidR="009948F1" w:rsidRDefault="00BC0563">
            <w:pPr>
              <w:pStyle w:val="TableParagraph"/>
              <w:spacing w:before="97"/>
              <w:ind w:left="20"/>
              <w:rPr>
                <w:sz w:val="15"/>
              </w:rPr>
            </w:pPr>
            <w:r>
              <w:rPr>
                <w:color w:val="231F20"/>
                <w:w w:val="90"/>
                <w:sz w:val="15"/>
              </w:rPr>
              <w:t>Set</w:t>
            </w:r>
            <w:r>
              <w:rPr>
                <w:color w:val="231F20"/>
                <w:spacing w:val="-26"/>
                <w:w w:val="90"/>
                <w:sz w:val="15"/>
              </w:rPr>
              <w:t xml:space="preserve"> </w:t>
            </w:r>
            <w:r>
              <w:rPr>
                <w:color w:val="231F20"/>
                <w:w w:val="90"/>
                <w:sz w:val="15"/>
              </w:rPr>
              <w:t>up</w:t>
            </w:r>
            <w:r>
              <w:rPr>
                <w:color w:val="231F20"/>
                <w:spacing w:val="-25"/>
                <w:w w:val="90"/>
                <w:sz w:val="15"/>
              </w:rPr>
              <w:t xml:space="preserve"> </w:t>
            </w:r>
            <w:r>
              <w:rPr>
                <w:color w:val="231F20"/>
                <w:w w:val="90"/>
                <w:sz w:val="15"/>
              </w:rPr>
              <w:t>a</w:t>
            </w:r>
            <w:r>
              <w:rPr>
                <w:color w:val="231F20"/>
                <w:spacing w:val="-25"/>
                <w:w w:val="90"/>
                <w:sz w:val="15"/>
              </w:rPr>
              <w:t xml:space="preserve"> </w:t>
            </w:r>
            <w:r>
              <w:rPr>
                <w:color w:val="231F20"/>
                <w:w w:val="90"/>
                <w:sz w:val="15"/>
              </w:rPr>
              <w:t>functional</w:t>
            </w:r>
            <w:r>
              <w:rPr>
                <w:color w:val="231F20"/>
                <w:spacing w:val="-25"/>
                <w:w w:val="90"/>
                <w:sz w:val="15"/>
              </w:rPr>
              <w:t xml:space="preserve"> </w:t>
            </w:r>
            <w:r>
              <w:rPr>
                <w:color w:val="231F20"/>
                <w:w w:val="90"/>
                <w:sz w:val="15"/>
              </w:rPr>
              <w:t>health</w:t>
            </w:r>
            <w:r>
              <w:rPr>
                <w:color w:val="231F20"/>
                <w:spacing w:val="-26"/>
                <w:w w:val="90"/>
                <w:sz w:val="15"/>
              </w:rPr>
              <w:t xml:space="preserve"> </w:t>
            </w:r>
            <w:r>
              <w:rPr>
                <w:color w:val="231F20"/>
                <w:w w:val="90"/>
                <w:sz w:val="15"/>
              </w:rPr>
              <w:t>infrastructure</w:t>
            </w:r>
            <w:r>
              <w:rPr>
                <w:color w:val="231F20"/>
                <w:spacing w:val="-25"/>
                <w:w w:val="90"/>
                <w:sz w:val="15"/>
              </w:rPr>
              <w:t xml:space="preserve"> </w:t>
            </w:r>
            <w:r>
              <w:rPr>
                <w:color w:val="231F20"/>
                <w:w w:val="90"/>
                <w:sz w:val="15"/>
              </w:rPr>
              <w:t>coordinating</w:t>
            </w:r>
            <w:r>
              <w:rPr>
                <w:color w:val="231F20"/>
                <w:spacing w:val="-25"/>
                <w:w w:val="90"/>
                <w:sz w:val="15"/>
              </w:rPr>
              <w:t xml:space="preserve"> </w:t>
            </w:r>
            <w:r>
              <w:rPr>
                <w:color w:val="231F20"/>
                <w:w w:val="90"/>
                <w:sz w:val="15"/>
              </w:rPr>
              <w:t>committees</w:t>
            </w:r>
            <w:r>
              <w:rPr>
                <w:color w:val="231F20"/>
                <w:spacing w:val="-25"/>
                <w:w w:val="90"/>
                <w:sz w:val="15"/>
              </w:rPr>
              <w:t xml:space="preserve"> </w:t>
            </w:r>
            <w:r>
              <w:rPr>
                <w:color w:val="231F20"/>
                <w:w w:val="90"/>
                <w:sz w:val="15"/>
              </w:rPr>
              <w:t>at</w:t>
            </w:r>
            <w:r>
              <w:rPr>
                <w:color w:val="231F20"/>
                <w:spacing w:val="-25"/>
                <w:w w:val="90"/>
                <w:sz w:val="15"/>
              </w:rPr>
              <w:t xml:space="preserve"> </w:t>
            </w:r>
            <w:r>
              <w:rPr>
                <w:color w:val="231F20"/>
                <w:w w:val="90"/>
                <w:sz w:val="15"/>
              </w:rPr>
              <w:t>different</w:t>
            </w:r>
            <w:r>
              <w:rPr>
                <w:color w:val="231F20"/>
                <w:spacing w:val="-26"/>
                <w:w w:val="90"/>
                <w:sz w:val="15"/>
              </w:rPr>
              <w:t xml:space="preserve"> </w:t>
            </w:r>
            <w:r>
              <w:rPr>
                <w:color w:val="231F20"/>
                <w:w w:val="90"/>
                <w:sz w:val="15"/>
              </w:rPr>
              <w:t>levels</w:t>
            </w:r>
          </w:p>
        </w:tc>
        <w:tc>
          <w:tcPr>
            <w:tcW w:w="1430" w:type="dxa"/>
          </w:tcPr>
          <w:p w14:paraId="570FA852" w14:textId="77777777" w:rsidR="009948F1" w:rsidRDefault="00BC0563">
            <w:pPr>
              <w:pStyle w:val="TableParagraph"/>
              <w:spacing w:before="103"/>
              <w:ind w:left="20"/>
              <w:rPr>
                <w:sz w:val="15"/>
              </w:rPr>
            </w:pPr>
            <w:r>
              <w:rPr>
                <w:color w:val="231F20"/>
                <w:w w:val="90"/>
                <w:sz w:val="15"/>
              </w:rPr>
              <w:t>Lack of funds</w:t>
            </w:r>
          </w:p>
        </w:tc>
        <w:tc>
          <w:tcPr>
            <w:tcW w:w="1508" w:type="dxa"/>
          </w:tcPr>
          <w:p w14:paraId="0EB943D5" w14:textId="77777777" w:rsidR="009948F1" w:rsidRDefault="00BC0563">
            <w:pPr>
              <w:pStyle w:val="TableParagraph"/>
              <w:spacing w:before="7"/>
              <w:ind w:left="19"/>
              <w:rPr>
                <w:sz w:val="15"/>
              </w:rPr>
            </w:pPr>
            <w:r>
              <w:rPr>
                <w:color w:val="231F20"/>
                <w:w w:val="90"/>
                <w:sz w:val="15"/>
              </w:rPr>
              <w:t>Set up coordinating</w:t>
            </w:r>
          </w:p>
          <w:p w14:paraId="746C0763" w14:textId="77777777" w:rsidR="009948F1" w:rsidRDefault="00BC0563">
            <w:pPr>
              <w:pStyle w:val="TableParagraph"/>
              <w:spacing w:before="21" w:line="155" w:lineRule="exact"/>
              <w:ind w:left="19"/>
              <w:rPr>
                <w:sz w:val="15"/>
              </w:rPr>
            </w:pPr>
            <w:r>
              <w:rPr>
                <w:color w:val="231F20"/>
                <w:w w:val="90"/>
                <w:sz w:val="15"/>
              </w:rPr>
              <w:t>committees</w:t>
            </w:r>
          </w:p>
        </w:tc>
      </w:tr>
      <w:tr w:rsidR="009948F1" w14:paraId="4F75521F" w14:textId="77777777">
        <w:trPr>
          <w:trHeight w:val="361"/>
        </w:trPr>
        <w:tc>
          <w:tcPr>
            <w:tcW w:w="1043" w:type="dxa"/>
            <w:gridSpan w:val="3"/>
            <w:vMerge/>
            <w:tcBorders>
              <w:top w:val="nil"/>
              <w:bottom w:val="nil"/>
            </w:tcBorders>
          </w:tcPr>
          <w:p w14:paraId="74DD0F3C" w14:textId="77777777" w:rsidR="009948F1" w:rsidRDefault="009948F1">
            <w:pPr>
              <w:rPr>
                <w:sz w:val="2"/>
                <w:szCs w:val="2"/>
              </w:rPr>
            </w:pPr>
          </w:p>
        </w:tc>
        <w:tc>
          <w:tcPr>
            <w:tcW w:w="527" w:type="dxa"/>
          </w:tcPr>
          <w:p w14:paraId="5F9E7066" w14:textId="77777777" w:rsidR="009948F1" w:rsidRDefault="00BC0563">
            <w:pPr>
              <w:pStyle w:val="TableParagraph"/>
              <w:spacing w:before="97"/>
              <w:ind w:left="19" w:right="8"/>
              <w:jc w:val="center"/>
              <w:rPr>
                <w:sz w:val="15"/>
              </w:rPr>
            </w:pPr>
            <w:r>
              <w:rPr>
                <w:color w:val="231F20"/>
                <w:w w:val="80"/>
                <w:sz w:val="15"/>
              </w:rPr>
              <w:t>10.1.1.b</w:t>
            </w:r>
          </w:p>
        </w:tc>
        <w:tc>
          <w:tcPr>
            <w:tcW w:w="4903" w:type="dxa"/>
            <w:gridSpan w:val="2"/>
          </w:tcPr>
          <w:p w14:paraId="5C4ADFC8" w14:textId="77777777" w:rsidR="009948F1" w:rsidRDefault="00BC0563">
            <w:pPr>
              <w:pStyle w:val="TableParagraph"/>
              <w:spacing w:before="5"/>
              <w:ind w:left="20"/>
              <w:rPr>
                <w:sz w:val="15"/>
              </w:rPr>
            </w:pPr>
            <w:r>
              <w:rPr>
                <w:color w:val="231F20"/>
                <w:w w:val="80"/>
                <w:sz w:val="15"/>
              </w:rPr>
              <w:t>Review/adapt</w:t>
            </w:r>
            <w:r>
              <w:rPr>
                <w:color w:val="231F20"/>
                <w:spacing w:val="-6"/>
                <w:w w:val="80"/>
                <w:sz w:val="15"/>
              </w:rPr>
              <w:t xml:space="preserve"> </w:t>
            </w:r>
            <w:r>
              <w:rPr>
                <w:color w:val="231F20"/>
                <w:w w:val="80"/>
                <w:sz w:val="15"/>
              </w:rPr>
              <w:t>policies,</w:t>
            </w:r>
            <w:r>
              <w:rPr>
                <w:color w:val="231F20"/>
                <w:spacing w:val="-6"/>
                <w:w w:val="80"/>
                <w:sz w:val="15"/>
              </w:rPr>
              <w:t xml:space="preserve"> </w:t>
            </w:r>
            <w:r>
              <w:rPr>
                <w:color w:val="231F20"/>
                <w:w w:val="80"/>
                <w:sz w:val="15"/>
              </w:rPr>
              <w:t>laws</w:t>
            </w:r>
            <w:r>
              <w:rPr>
                <w:color w:val="231F20"/>
                <w:spacing w:val="-5"/>
                <w:w w:val="80"/>
                <w:sz w:val="15"/>
              </w:rPr>
              <w:t xml:space="preserve"> </w:t>
            </w:r>
            <w:r>
              <w:rPr>
                <w:color w:val="231F20"/>
                <w:w w:val="80"/>
                <w:sz w:val="15"/>
              </w:rPr>
              <w:t>and</w:t>
            </w:r>
            <w:r>
              <w:rPr>
                <w:color w:val="231F20"/>
                <w:spacing w:val="-6"/>
                <w:w w:val="80"/>
                <w:sz w:val="15"/>
              </w:rPr>
              <w:t xml:space="preserve"> </w:t>
            </w:r>
            <w:r>
              <w:rPr>
                <w:color w:val="231F20"/>
                <w:w w:val="80"/>
                <w:sz w:val="15"/>
              </w:rPr>
              <w:t>guidelines</w:t>
            </w:r>
            <w:r>
              <w:rPr>
                <w:color w:val="231F20"/>
                <w:spacing w:val="-5"/>
                <w:w w:val="80"/>
                <w:sz w:val="15"/>
              </w:rPr>
              <w:t xml:space="preserve"> </w:t>
            </w:r>
            <w:r>
              <w:rPr>
                <w:color w:val="231F20"/>
                <w:w w:val="80"/>
                <w:sz w:val="15"/>
              </w:rPr>
              <w:t>on</w:t>
            </w:r>
            <w:r>
              <w:rPr>
                <w:color w:val="231F20"/>
                <w:spacing w:val="-6"/>
                <w:w w:val="80"/>
                <w:sz w:val="15"/>
              </w:rPr>
              <w:t xml:space="preserve"> </w:t>
            </w:r>
            <w:r>
              <w:rPr>
                <w:color w:val="231F20"/>
                <w:w w:val="80"/>
                <w:sz w:val="15"/>
              </w:rPr>
              <w:t>health</w:t>
            </w:r>
            <w:r>
              <w:rPr>
                <w:color w:val="231F20"/>
                <w:spacing w:val="-5"/>
                <w:w w:val="80"/>
                <w:sz w:val="15"/>
              </w:rPr>
              <w:t xml:space="preserve"> </w:t>
            </w:r>
            <w:r>
              <w:rPr>
                <w:color w:val="231F20"/>
                <w:w w:val="80"/>
                <w:sz w:val="15"/>
              </w:rPr>
              <w:t>infrastructure,</w:t>
            </w:r>
            <w:r>
              <w:rPr>
                <w:color w:val="231F20"/>
                <w:spacing w:val="-6"/>
                <w:w w:val="80"/>
                <w:sz w:val="15"/>
              </w:rPr>
              <w:t xml:space="preserve"> </w:t>
            </w:r>
            <w:r>
              <w:rPr>
                <w:color w:val="231F20"/>
                <w:w w:val="80"/>
                <w:sz w:val="15"/>
              </w:rPr>
              <w:t>equipment</w:t>
            </w:r>
            <w:r>
              <w:rPr>
                <w:color w:val="231F20"/>
                <w:spacing w:val="-5"/>
                <w:w w:val="80"/>
                <w:sz w:val="15"/>
              </w:rPr>
              <w:t xml:space="preserve"> </w:t>
            </w:r>
            <w:r>
              <w:rPr>
                <w:color w:val="231F20"/>
                <w:w w:val="80"/>
                <w:sz w:val="15"/>
              </w:rPr>
              <w:t>maintenance</w:t>
            </w:r>
          </w:p>
          <w:p w14:paraId="3F77D69F" w14:textId="77777777" w:rsidR="009948F1" w:rsidRDefault="00BC0563">
            <w:pPr>
              <w:pStyle w:val="TableParagraph"/>
              <w:spacing w:before="22" w:line="142" w:lineRule="exact"/>
              <w:ind w:left="20"/>
              <w:rPr>
                <w:sz w:val="15"/>
              </w:rPr>
            </w:pPr>
            <w:r>
              <w:rPr>
                <w:color w:val="231F20"/>
                <w:w w:val="90"/>
                <w:sz w:val="15"/>
              </w:rPr>
              <w:t>and management</w:t>
            </w:r>
          </w:p>
        </w:tc>
        <w:tc>
          <w:tcPr>
            <w:tcW w:w="1430" w:type="dxa"/>
          </w:tcPr>
          <w:p w14:paraId="737158DE" w14:textId="77777777" w:rsidR="009948F1" w:rsidRDefault="00BC0563">
            <w:pPr>
              <w:pStyle w:val="TableParagraph"/>
              <w:spacing w:before="97"/>
              <w:ind w:left="20"/>
              <w:rPr>
                <w:sz w:val="15"/>
              </w:rPr>
            </w:pPr>
            <w:r>
              <w:rPr>
                <w:color w:val="231F20"/>
                <w:w w:val="90"/>
                <w:sz w:val="15"/>
              </w:rPr>
              <w:t>Lack of funds</w:t>
            </w:r>
          </w:p>
        </w:tc>
        <w:tc>
          <w:tcPr>
            <w:tcW w:w="1508" w:type="dxa"/>
          </w:tcPr>
          <w:p w14:paraId="5E6B24F2" w14:textId="77777777" w:rsidR="009948F1" w:rsidRDefault="00BC0563">
            <w:pPr>
              <w:pStyle w:val="TableParagraph"/>
              <w:spacing w:before="97"/>
              <w:ind w:left="19"/>
              <w:rPr>
                <w:sz w:val="15"/>
              </w:rPr>
            </w:pPr>
            <w:r>
              <w:rPr>
                <w:color w:val="231F20"/>
                <w:w w:val="90"/>
                <w:sz w:val="15"/>
              </w:rPr>
              <w:t>Review/adapt policies</w:t>
            </w:r>
          </w:p>
        </w:tc>
      </w:tr>
      <w:tr w:rsidR="009948F1" w14:paraId="7EFAF6D1" w14:textId="77777777">
        <w:trPr>
          <w:trHeight w:val="380"/>
        </w:trPr>
        <w:tc>
          <w:tcPr>
            <w:tcW w:w="1043" w:type="dxa"/>
            <w:gridSpan w:val="3"/>
            <w:vMerge/>
            <w:tcBorders>
              <w:top w:val="nil"/>
              <w:bottom w:val="nil"/>
            </w:tcBorders>
          </w:tcPr>
          <w:p w14:paraId="62DC52EA" w14:textId="77777777" w:rsidR="009948F1" w:rsidRDefault="009948F1">
            <w:pPr>
              <w:rPr>
                <w:sz w:val="2"/>
                <w:szCs w:val="2"/>
              </w:rPr>
            </w:pPr>
          </w:p>
        </w:tc>
        <w:tc>
          <w:tcPr>
            <w:tcW w:w="527" w:type="dxa"/>
          </w:tcPr>
          <w:p w14:paraId="3965CB2D" w14:textId="77777777" w:rsidR="009948F1" w:rsidRDefault="00BC0563">
            <w:pPr>
              <w:pStyle w:val="TableParagraph"/>
              <w:spacing w:before="106"/>
              <w:ind w:left="20" w:right="8"/>
              <w:jc w:val="center"/>
              <w:rPr>
                <w:sz w:val="15"/>
              </w:rPr>
            </w:pPr>
            <w:r>
              <w:rPr>
                <w:color w:val="231F20"/>
                <w:w w:val="80"/>
                <w:sz w:val="15"/>
              </w:rPr>
              <w:t>10.1.1.c</w:t>
            </w:r>
          </w:p>
        </w:tc>
        <w:tc>
          <w:tcPr>
            <w:tcW w:w="4903" w:type="dxa"/>
            <w:gridSpan w:val="2"/>
          </w:tcPr>
          <w:p w14:paraId="113053F8" w14:textId="77777777" w:rsidR="009948F1" w:rsidRDefault="00BC0563">
            <w:pPr>
              <w:pStyle w:val="TableParagraph"/>
              <w:spacing w:before="100"/>
              <w:ind w:left="20"/>
              <w:rPr>
                <w:sz w:val="15"/>
              </w:rPr>
            </w:pPr>
            <w:r>
              <w:rPr>
                <w:color w:val="231F20"/>
                <w:w w:val="90"/>
                <w:sz w:val="15"/>
              </w:rPr>
              <w:t>Develop a state strategic health infrastructure plan</w:t>
            </w:r>
          </w:p>
        </w:tc>
        <w:tc>
          <w:tcPr>
            <w:tcW w:w="1430" w:type="dxa"/>
          </w:tcPr>
          <w:p w14:paraId="061203AD" w14:textId="77777777" w:rsidR="009948F1" w:rsidRDefault="00BC0563">
            <w:pPr>
              <w:pStyle w:val="TableParagraph"/>
              <w:spacing w:before="106"/>
              <w:ind w:left="20"/>
              <w:rPr>
                <w:sz w:val="15"/>
              </w:rPr>
            </w:pPr>
            <w:r>
              <w:rPr>
                <w:color w:val="231F20"/>
                <w:w w:val="90"/>
                <w:sz w:val="15"/>
              </w:rPr>
              <w:t>Lack of funds</w:t>
            </w:r>
          </w:p>
        </w:tc>
        <w:tc>
          <w:tcPr>
            <w:tcW w:w="1508" w:type="dxa"/>
          </w:tcPr>
          <w:p w14:paraId="7C23A842" w14:textId="77777777" w:rsidR="009948F1" w:rsidRDefault="00BC0563">
            <w:pPr>
              <w:pStyle w:val="TableParagraph"/>
              <w:spacing w:before="106"/>
              <w:ind w:left="19"/>
              <w:rPr>
                <w:sz w:val="15"/>
              </w:rPr>
            </w:pPr>
            <w:r>
              <w:rPr>
                <w:color w:val="231F20"/>
                <w:w w:val="85"/>
                <w:sz w:val="15"/>
              </w:rPr>
              <w:t>Develop a State Strategic</w:t>
            </w:r>
          </w:p>
        </w:tc>
      </w:tr>
      <w:tr w:rsidR="009948F1" w14:paraId="65F57926" w14:textId="77777777">
        <w:trPr>
          <w:trHeight w:val="389"/>
        </w:trPr>
        <w:tc>
          <w:tcPr>
            <w:tcW w:w="1043" w:type="dxa"/>
            <w:gridSpan w:val="3"/>
            <w:vMerge/>
            <w:tcBorders>
              <w:top w:val="nil"/>
              <w:bottom w:val="nil"/>
            </w:tcBorders>
          </w:tcPr>
          <w:p w14:paraId="7CDBA017" w14:textId="77777777" w:rsidR="009948F1" w:rsidRDefault="009948F1">
            <w:pPr>
              <w:rPr>
                <w:sz w:val="2"/>
                <w:szCs w:val="2"/>
              </w:rPr>
            </w:pPr>
          </w:p>
        </w:tc>
        <w:tc>
          <w:tcPr>
            <w:tcW w:w="527" w:type="dxa"/>
          </w:tcPr>
          <w:p w14:paraId="10998F6A" w14:textId="77777777" w:rsidR="009948F1" w:rsidRDefault="00BC0563">
            <w:pPr>
              <w:pStyle w:val="TableParagraph"/>
              <w:spacing w:before="111"/>
              <w:ind w:left="19" w:right="8"/>
              <w:jc w:val="center"/>
              <w:rPr>
                <w:sz w:val="15"/>
              </w:rPr>
            </w:pPr>
            <w:r>
              <w:rPr>
                <w:color w:val="231F20"/>
                <w:w w:val="80"/>
                <w:sz w:val="15"/>
              </w:rPr>
              <w:t>10.1.1.d</w:t>
            </w:r>
          </w:p>
        </w:tc>
        <w:tc>
          <w:tcPr>
            <w:tcW w:w="4903" w:type="dxa"/>
            <w:gridSpan w:val="2"/>
          </w:tcPr>
          <w:p w14:paraId="6E1F8F20" w14:textId="77777777" w:rsidR="009948F1" w:rsidRDefault="00BC0563">
            <w:pPr>
              <w:pStyle w:val="TableParagraph"/>
              <w:spacing w:before="105"/>
              <w:ind w:left="20"/>
              <w:rPr>
                <w:sz w:val="15"/>
              </w:rPr>
            </w:pPr>
            <w:r>
              <w:rPr>
                <w:color w:val="231F20"/>
                <w:w w:val="90"/>
                <w:sz w:val="15"/>
              </w:rPr>
              <w:t>Build capacity of health infrastructure unit at state level</w:t>
            </w:r>
          </w:p>
        </w:tc>
        <w:tc>
          <w:tcPr>
            <w:tcW w:w="1430" w:type="dxa"/>
          </w:tcPr>
          <w:p w14:paraId="4BC2B29D" w14:textId="77777777" w:rsidR="009948F1" w:rsidRDefault="00BC0563">
            <w:pPr>
              <w:pStyle w:val="TableParagraph"/>
              <w:spacing w:before="111"/>
              <w:ind w:left="20"/>
              <w:rPr>
                <w:sz w:val="15"/>
              </w:rPr>
            </w:pPr>
            <w:r>
              <w:rPr>
                <w:color w:val="231F20"/>
                <w:w w:val="90"/>
                <w:sz w:val="15"/>
              </w:rPr>
              <w:t>Lack of funds</w:t>
            </w:r>
          </w:p>
        </w:tc>
        <w:tc>
          <w:tcPr>
            <w:tcW w:w="1508" w:type="dxa"/>
          </w:tcPr>
          <w:p w14:paraId="074B11C5" w14:textId="77777777" w:rsidR="009948F1" w:rsidRDefault="00BC0563">
            <w:pPr>
              <w:pStyle w:val="TableParagraph"/>
              <w:spacing w:before="111"/>
              <w:ind w:left="19"/>
              <w:rPr>
                <w:sz w:val="15"/>
              </w:rPr>
            </w:pPr>
            <w:r>
              <w:rPr>
                <w:color w:val="231F20"/>
                <w:w w:val="90"/>
                <w:sz w:val="15"/>
              </w:rPr>
              <w:t>Build capacity</w:t>
            </w:r>
          </w:p>
        </w:tc>
      </w:tr>
      <w:tr w:rsidR="009948F1" w14:paraId="60F09774" w14:textId="77777777">
        <w:trPr>
          <w:trHeight w:val="947"/>
        </w:trPr>
        <w:tc>
          <w:tcPr>
            <w:tcW w:w="587" w:type="dxa"/>
            <w:gridSpan w:val="2"/>
            <w:tcBorders>
              <w:top w:val="nil"/>
              <w:bottom w:val="nil"/>
            </w:tcBorders>
          </w:tcPr>
          <w:p w14:paraId="153584B1" w14:textId="77777777" w:rsidR="009948F1" w:rsidRDefault="009948F1">
            <w:pPr>
              <w:pStyle w:val="TableParagraph"/>
              <w:rPr>
                <w:rFonts w:ascii="Times New Roman"/>
                <w:sz w:val="10"/>
              </w:rPr>
            </w:pPr>
          </w:p>
        </w:tc>
        <w:tc>
          <w:tcPr>
            <w:tcW w:w="456" w:type="dxa"/>
            <w:shd w:val="clear" w:color="auto" w:fill="CCE7D3"/>
          </w:tcPr>
          <w:p w14:paraId="413044A1" w14:textId="77777777" w:rsidR="009948F1" w:rsidRDefault="009948F1">
            <w:pPr>
              <w:pStyle w:val="TableParagraph"/>
              <w:rPr>
                <w:sz w:val="16"/>
              </w:rPr>
            </w:pPr>
          </w:p>
          <w:p w14:paraId="73C5B585" w14:textId="77777777" w:rsidR="009948F1" w:rsidRDefault="009948F1">
            <w:pPr>
              <w:pStyle w:val="TableParagraph"/>
              <w:spacing w:before="10"/>
              <w:rPr>
                <w:sz w:val="17"/>
              </w:rPr>
            </w:pPr>
          </w:p>
          <w:p w14:paraId="02D191C7" w14:textId="77777777" w:rsidR="009948F1" w:rsidRDefault="00BC0563">
            <w:pPr>
              <w:pStyle w:val="TableParagraph"/>
              <w:ind w:left="22" w:right="23"/>
              <w:jc w:val="center"/>
              <w:rPr>
                <w:sz w:val="15"/>
              </w:rPr>
            </w:pPr>
            <w:r>
              <w:rPr>
                <w:color w:val="231F20"/>
                <w:w w:val="85"/>
                <w:sz w:val="15"/>
              </w:rPr>
              <w:t>10.1.2</w:t>
            </w:r>
          </w:p>
        </w:tc>
        <w:tc>
          <w:tcPr>
            <w:tcW w:w="3042" w:type="dxa"/>
            <w:gridSpan w:val="2"/>
            <w:shd w:val="clear" w:color="auto" w:fill="CCE7D3"/>
          </w:tcPr>
          <w:p w14:paraId="3CD2267B" w14:textId="77777777" w:rsidR="009948F1" w:rsidRDefault="009948F1">
            <w:pPr>
              <w:pStyle w:val="TableParagraph"/>
              <w:spacing w:before="6"/>
              <w:rPr>
                <w:sz w:val="16"/>
              </w:rPr>
            </w:pPr>
          </w:p>
          <w:p w14:paraId="651B1673" w14:textId="77777777" w:rsidR="009948F1" w:rsidRDefault="00BC0563">
            <w:pPr>
              <w:pStyle w:val="TableParagraph"/>
              <w:spacing w:line="268" w:lineRule="auto"/>
              <w:ind w:left="20" w:right="93" w:firstLine="33"/>
              <w:rPr>
                <w:sz w:val="15"/>
              </w:rPr>
            </w:pPr>
            <w:r>
              <w:rPr>
                <w:color w:val="231F20"/>
                <w:w w:val="80"/>
                <w:sz w:val="15"/>
              </w:rPr>
              <w:t>Promote</w:t>
            </w:r>
            <w:r>
              <w:rPr>
                <w:color w:val="231F20"/>
                <w:spacing w:val="-5"/>
                <w:w w:val="80"/>
                <w:sz w:val="15"/>
              </w:rPr>
              <w:t xml:space="preserve"> </w:t>
            </w:r>
            <w:r>
              <w:rPr>
                <w:color w:val="231F20"/>
                <w:w w:val="80"/>
                <w:sz w:val="15"/>
              </w:rPr>
              <w:t>the</w:t>
            </w:r>
            <w:r>
              <w:rPr>
                <w:color w:val="231F20"/>
                <w:spacing w:val="-5"/>
                <w:w w:val="80"/>
                <w:sz w:val="15"/>
              </w:rPr>
              <w:t xml:space="preserve"> </w:t>
            </w:r>
            <w:r>
              <w:rPr>
                <w:color w:val="231F20"/>
                <w:w w:val="80"/>
                <w:sz w:val="15"/>
              </w:rPr>
              <w:t>establishment</w:t>
            </w:r>
            <w:r>
              <w:rPr>
                <w:color w:val="231F20"/>
                <w:spacing w:val="-5"/>
                <w:w w:val="80"/>
                <w:sz w:val="15"/>
              </w:rPr>
              <w:t xml:space="preserve"> </w:t>
            </w:r>
            <w:r>
              <w:rPr>
                <w:color w:val="231F20"/>
                <w:w w:val="80"/>
                <w:sz w:val="15"/>
              </w:rPr>
              <w:t>of</w:t>
            </w:r>
            <w:r>
              <w:rPr>
                <w:color w:val="231F20"/>
                <w:spacing w:val="-5"/>
                <w:w w:val="80"/>
                <w:sz w:val="15"/>
              </w:rPr>
              <w:t xml:space="preserve"> </w:t>
            </w:r>
            <w:r>
              <w:rPr>
                <w:color w:val="231F20"/>
                <w:w w:val="80"/>
                <w:sz w:val="15"/>
              </w:rPr>
              <w:t>norms</w:t>
            </w:r>
            <w:r>
              <w:rPr>
                <w:color w:val="231F20"/>
                <w:spacing w:val="-5"/>
                <w:w w:val="80"/>
                <w:sz w:val="15"/>
              </w:rPr>
              <w:t xml:space="preserve"> </w:t>
            </w:r>
            <w:r>
              <w:rPr>
                <w:color w:val="231F20"/>
                <w:w w:val="80"/>
                <w:sz w:val="15"/>
              </w:rPr>
              <w:t>and</w:t>
            </w:r>
            <w:r>
              <w:rPr>
                <w:color w:val="231F20"/>
                <w:spacing w:val="-5"/>
                <w:w w:val="80"/>
                <w:sz w:val="15"/>
              </w:rPr>
              <w:t xml:space="preserve"> </w:t>
            </w:r>
            <w:r>
              <w:rPr>
                <w:color w:val="231F20"/>
                <w:w w:val="80"/>
                <w:sz w:val="15"/>
              </w:rPr>
              <w:t>standards</w:t>
            </w:r>
            <w:r>
              <w:rPr>
                <w:color w:val="231F20"/>
                <w:spacing w:val="-4"/>
                <w:w w:val="80"/>
                <w:sz w:val="15"/>
              </w:rPr>
              <w:t xml:space="preserve"> </w:t>
            </w:r>
            <w:r>
              <w:rPr>
                <w:color w:val="231F20"/>
                <w:w w:val="80"/>
                <w:sz w:val="15"/>
              </w:rPr>
              <w:t xml:space="preserve">for </w:t>
            </w:r>
            <w:r>
              <w:rPr>
                <w:color w:val="231F20"/>
                <w:w w:val="90"/>
                <w:sz w:val="15"/>
              </w:rPr>
              <w:t>health</w:t>
            </w:r>
            <w:r>
              <w:rPr>
                <w:color w:val="231F20"/>
                <w:spacing w:val="-27"/>
                <w:w w:val="90"/>
                <w:sz w:val="15"/>
              </w:rPr>
              <w:t xml:space="preserve"> </w:t>
            </w:r>
            <w:r>
              <w:rPr>
                <w:color w:val="231F20"/>
                <w:w w:val="90"/>
                <w:sz w:val="15"/>
              </w:rPr>
              <w:t>infrastructure</w:t>
            </w:r>
            <w:r>
              <w:rPr>
                <w:color w:val="231F20"/>
                <w:spacing w:val="-26"/>
                <w:w w:val="90"/>
                <w:sz w:val="15"/>
              </w:rPr>
              <w:t xml:space="preserve"> </w:t>
            </w:r>
            <w:r>
              <w:rPr>
                <w:color w:val="231F20"/>
                <w:w w:val="90"/>
                <w:sz w:val="15"/>
              </w:rPr>
              <w:t>for</w:t>
            </w:r>
            <w:r>
              <w:rPr>
                <w:color w:val="231F20"/>
                <w:spacing w:val="-26"/>
                <w:w w:val="90"/>
                <w:sz w:val="15"/>
              </w:rPr>
              <w:t xml:space="preserve"> </w:t>
            </w:r>
            <w:r>
              <w:rPr>
                <w:color w:val="231F20"/>
                <w:w w:val="90"/>
                <w:sz w:val="15"/>
              </w:rPr>
              <w:t>all</w:t>
            </w:r>
            <w:r>
              <w:rPr>
                <w:color w:val="231F20"/>
                <w:spacing w:val="-26"/>
                <w:w w:val="90"/>
                <w:sz w:val="15"/>
              </w:rPr>
              <w:t xml:space="preserve"> </w:t>
            </w:r>
            <w:r>
              <w:rPr>
                <w:color w:val="231F20"/>
                <w:w w:val="90"/>
                <w:sz w:val="15"/>
              </w:rPr>
              <w:t>levels</w:t>
            </w:r>
            <w:r>
              <w:rPr>
                <w:color w:val="231F20"/>
                <w:spacing w:val="-26"/>
                <w:w w:val="90"/>
                <w:sz w:val="15"/>
              </w:rPr>
              <w:t xml:space="preserve"> </w:t>
            </w:r>
            <w:r>
              <w:rPr>
                <w:color w:val="231F20"/>
                <w:w w:val="90"/>
                <w:sz w:val="15"/>
              </w:rPr>
              <w:t>of</w:t>
            </w:r>
            <w:r>
              <w:rPr>
                <w:color w:val="231F20"/>
                <w:spacing w:val="-26"/>
                <w:w w:val="90"/>
                <w:sz w:val="15"/>
              </w:rPr>
              <w:t xml:space="preserve"> </w:t>
            </w:r>
            <w:r>
              <w:rPr>
                <w:color w:val="231F20"/>
                <w:w w:val="90"/>
                <w:sz w:val="15"/>
              </w:rPr>
              <w:t>the</w:t>
            </w:r>
            <w:r>
              <w:rPr>
                <w:color w:val="231F20"/>
                <w:spacing w:val="-26"/>
                <w:w w:val="90"/>
                <w:sz w:val="15"/>
              </w:rPr>
              <w:t xml:space="preserve"> </w:t>
            </w:r>
            <w:r>
              <w:rPr>
                <w:color w:val="231F20"/>
                <w:w w:val="90"/>
                <w:sz w:val="15"/>
              </w:rPr>
              <w:t>health</w:t>
            </w:r>
            <w:r>
              <w:rPr>
                <w:color w:val="231F20"/>
                <w:spacing w:val="-26"/>
                <w:w w:val="90"/>
                <w:sz w:val="15"/>
              </w:rPr>
              <w:t xml:space="preserve"> </w:t>
            </w:r>
            <w:r>
              <w:rPr>
                <w:color w:val="231F20"/>
                <w:w w:val="90"/>
                <w:sz w:val="15"/>
              </w:rPr>
              <w:t>care system in the</w:t>
            </w:r>
            <w:r>
              <w:rPr>
                <w:color w:val="231F20"/>
                <w:spacing w:val="-22"/>
                <w:w w:val="90"/>
                <w:sz w:val="15"/>
              </w:rPr>
              <w:t xml:space="preserve"> </w:t>
            </w:r>
            <w:r>
              <w:rPr>
                <w:color w:val="231F20"/>
                <w:w w:val="90"/>
                <w:sz w:val="15"/>
              </w:rPr>
              <w:t>country</w:t>
            </w:r>
          </w:p>
        </w:tc>
        <w:tc>
          <w:tcPr>
            <w:tcW w:w="2388" w:type="dxa"/>
            <w:shd w:val="clear" w:color="auto" w:fill="CCE7D3"/>
          </w:tcPr>
          <w:p w14:paraId="5B391B7C" w14:textId="77777777" w:rsidR="009948F1" w:rsidRDefault="00BC0563">
            <w:pPr>
              <w:pStyle w:val="TableParagraph"/>
              <w:numPr>
                <w:ilvl w:val="0"/>
                <w:numId w:val="54"/>
              </w:numPr>
              <w:tabs>
                <w:tab w:val="left" w:pos="96"/>
              </w:tabs>
              <w:spacing w:before="5" w:line="268" w:lineRule="auto"/>
              <w:ind w:right="610" w:firstLine="0"/>
              <w:rPr>
                <w:sz w:val="15"/>
              </w:rPr>
            </w:pPr>
            <w:r>
              <w:rPr>
                <w:color w:val="231F20"/>
                <w:w w:val="80"/>
                <w:sz w:val="15"/>
              </w:rPr>
              <w:t xml:space="preserve">Norms and standards for </w:t>
            </w:r>
            <w:r>
              <w:rPr>
                <w:color w:val="231F20"/>
                <w:spacing w:val="-3"/>
                <w:w w:val="80"/>
                <w:sz w:val="15"/>
              </w:rPr>
              <w:t xml:space="preserve">health </w:t>
            </w:r>
            <w:r>
              <w:rPr>
                <w:color w:val="231F20"/>
                <w:w w:val="90"/>
                <w:sz w:val="15"/>
              </w:rPr>
              <w:t>infrastructure</w:t>
            </w:r>
            <w:r>
              <w:rPr>
                <w:color w:val="231F20"/>
                <w:spacing w:val="-18"/>
                <w:w w:val="90"/>
                <w:sz w:val="15"/>
              </w:rPr>
              <w:t xml:space="preserve"> </w:t>
            </w:r>
            <w:r>
              <w:rPr>
                <w:color w:val="231F20"/>
                <w:w w:val="90"/>
                <w:sz w:val="15"/>
              </w:rPr>
              <w:t>established</w:t>
            </w:r>
          </w:p>
          <w:p w14:paraId="38E0387E" w14:textId="77777777" w:rsidR="009948F1" w:rsidRDefault="00BC0563">
            <w:pPr>
              <w:pStyle w:val="TableParagraph"/>
              <w:numPr>
                <w:ilvl w:val="0"/>
                <w:numId w:val="54"/>
              </w:numPr>
              <w:tabs>
                <w:tab w:val="left" w:pos="96"/>
              </w:tabs>
              <w:spacing w:before="2" w:line="268" w:lineRule="auto"/>
              <w:ind w:right="128" w:firstLine="0"/>
              <w:rPr>
                <w:sz w:val="15"/>
              </w:rPr>
            </w:pPr>
            <w:r>
              <w:rPr>
                <w:color w:val="231F20"/>
                <w:w w:val="80"/>
                <w:sz w:val="15"/>
              </w:rPr>
              <w:t>Meeting</w:t>
            </w:r>
            <w:r>
              <w:rPr>
                <w:color w:val="231F20"/>
                <w:spacing w:val="-6"/>
                <w:w w:val="80"/>
                <w:sz w:val="15"/>
              </w:rPr>
              <w:t xml:space="preserve"> </w:t>
            </w:r>
            <w:r>
              <w:rPr>
                <w:color w:val="231F20"/>
                <w:w w:val="80"/>
                <w:sz w:val="15"/>
              </w:rPr>
              <w:t>of</w:t>
            </w:r>
            <w:r>
              <w:rPr>
                <w:color w:val="231F20"/>
                <w:spacing w:val="-6"/>
                <w:w w:val="80"/>
                <w:sz w:val="15"/>
              </w:rPr>
              <w:t xml:space="preserve"> </w:t>
            </w:r>
            <w:r>
              <w:rPr>
                <w:color w:val="231F20"/>
                <w:w w:val="80"/>
                <w:sz w:val="15"/>
              </w:rPr>
              <w:t>key</w:t>
            </w:r>
            <w:r>
              <w:rPr>
                <w:color w:val="231F20"/>
                <w:spacing w:val="-6"/>
                <w:w w:val="80"/>
                <w:sz w:val="15"/>
              </w:rPr>
              <w:t xml:space="preserve"> </w:t>
            </w:r>
            <w:r>
              <w:rPr>
                <w:color w:val="231F20"/>
                <w:w w:val="80"/>
                <w:sz w:val="15"/>
              </w:rPr>
              <w:t>stakeholders</w:t>
            </w:r>
            <w:r>
              <w:rPr>
                <w:color w:val="231F20"/>
                <w:spacing w:val="-5"/>
                <w:w w:val="80"/>
                <w:sz w:val="15"/>
              </w:rPr>
              <w:t xml:space="preserve"> </w:t>
            </w:r>
            <w:r>
              <w:rPr>
                <w:color w:val="231F20"/>
                <w:w w:val="80"/>
                <w:sz w:val="15"/>
              </w:rPr>
              <w:t>in</w:t>
            </w:r>
            <w:r>
              <w:rPr>
                <w:color w:val="231F20"/>
                <w:spacing w:val="-6"/>
                <w:w w:val="80"/>
                <w:sz w:val="15"/>
              </w:rPr>
              <w:t xml:space="preserve"> </w:t>
            </w:r>
            <w:r>
              <w:rPr>
                <w:color w:val="231F20"/>
                <w:w w:val="80"/>
                <w:sz w:val="15"/>
              </w:rPr>
              <w:t>the</w:t>
            </w:r>
            <w:r>
              <w:rPr>
                <w:color w:val="231F20"/>
                <w:spacing w:val="-6"/>
                <w:w w:val="80"/>
                <w:sz w:val="15"/>
              </w:rPr>
              <w:t xml:space="preserve"> </w:t>
            </w:r>
            <w:r>
              <w:rPr>
                <w:color w:val="231F20"/>
                <w:w w:val="80"/>
                <w:sz w:val="15"/>
              </w:rPr>
              <w:t xml:space="preserve">public </w:t>
            </w:r>
            <w:r>
              <w:rPr>
                <w:color w:val="231F20"/>
                <w:w w:val="90"/>
                <w:sz w:val="15"/>
              </w:rPr>
              <w:t>and</w:t>
            </w:r>
            <w:r>
              <w:rPr>
                <w:color w:val="231F20"/>
                <w:spacing w:val="-13"/>
                <w:w w:val="90"/>
                <w:sz w:val="15"/>
              </w:rPr>
              <w:t xml:space="preserve"> </w:t>
            </w:r>
            <w:r>
              <w:rPr>
                <w:color w:val="231F20"/>
                <w:w w:val="90"/>
                <w:sz w:val="15"/>
              </w:rPr>
              <w:t>private</w:t>
            </w:r>
            <w:r>
              <w:rPr>
                <w:color w:val="231F20"/>
                <w:spacing w:val="-12"/>
                <w:w w:val="90"/>
                <w:sz w:val="15"/>
              </w:rPr>
              <w:t xml:space="preserve"> </w:t>
            </w:r>
            <w:r>
              <w:rPr>
                <w:color w:val="231F20"/>
                <w:w w:val="90"/>
                <w:sz w:val="15"/>
              </w:rPr>
              <w:t>sector</w:t>
            </w:r>
            <w:r>
              <w:rPr>
                <w:color w:val="231F20"/>
                <w:spacing w:val="-12"/>
                <w:w w:val="90"/>
                <w:sz w:val="15"/>
              </w:rPr>
              <w:t xml:space="preserve"> </w:t>
            </w:r>
            <w:r>
              <w:rPr>
                <w:color w:val="231F20"/>
                <w:w w:val="90"/>
                <w:sz w:val="15"/>
              </w:rPr>
              <w:t>convened</w:t>
            </w:r>
          </w:p>
          <w:p w14:paraId="0CE40874" w14:textId="77777777" w:rsidR="009948F1" w:rsidRDefault="00BC0563">
            <w:pPr>
              <w:pStyle w:val="TableParagraph"/>
              <w:spacing w:before="1" w:line="147" w:lineRule="exact"/>
              <w:ind w:left="20"/>
              <w:rPr>
                <w:sz w:val="15"/>
              </w:rPr>
            </w:pPr>
            <w:r>
              <w:rPr>
                <w:color w:val="231F20"/>
                <w:w w:val="79"/>
                <w:sz w:val="15"/>
              </w:rPr>
              <w:t>•</w:t>
            </w:r>
          </w:p>
        </w:tc>
        <w:tc>
          <w:tcPr>
            <w:tcW w:w="1430" w:type="dxa"/>
            <w:shd w:val="clear" w:color="auto" w:fill="CCE7D3"/>
          </w:tcPr>
          <w:p w14:paraId="2324F2FB" w14:textId="77777777" w:rsidR="009948F1" w:rsidRDefault="009948F1">
            <w:pPr>
              <w:pStyle w:val="TableParagraph"/>
              <w:rPr>
                <w:rFonts w:ascii="Times New Roman"/>
                <w:sz w:val="10"/>
              </w:rPr>
            </w:pPr>
          </w:p>
        </w:tc>
        <w:tc>
          <w:tcPr>
            <w:tcW w:w="1508" w:type="dxa"/>
            <w:shd w:val="clear" w:color="auto" w:fill="CCE7D3"/>
          </w:tcPr>
          <w:p w14:paraId="5B8A3A6F" w14:textId="77777777" w:rsidR="009948F1" w:rsidRDefault="009948F1">
            <w:pPr>
              <w:pStyle w:val="TableParagraph"/>
              <w:rPr>
                <w:rFonts w:ascii="Times New Roman"/>
                <w:sz w:val="10"/>
              </w:rPr>
            </w:pPr>
          </w:p>
        </w:tc>
      </w:tr>
      <w:tr w:rsidR="009948F1" w14:paraId="41715813" w14:textId="77777777">
        <w:trPr>
          <w:trHeight w:val="861"/>
        </w:trPr>
        <w:tc>
          <w:tcPr>
            <w:tcW w:w="1043" w:type="dxa"/>
            <w:gridSpan w:val="3"/>
            <w:vMerge w:val="restart"/>
            <w:tcBorders>
              <w:top w:val="nil"/>
              <w:bottom w:val="nil"/>
            </w:tcBorders>
          </w:tcPr>
          <w:p w14:paraId="08EF22E6" w14:textId="77777777" w:rsidR="009948F1" w:rsidRDefault="009948F1">
            <w:pPr>
              <w:pStyle w:val="TableParagraph"/>
              <w:rPr>
                <w:rFonts w:ascii="Times New Roman"/>
                <w:sz w:val="10"/>
              </w:rPr>
            </w:pPr>
          </w:p>
        </w:tc>
        <w:tc>
          <w:tcPr>
            <w:tcW w:w="527" w:type="dxa"/>
          </w:tcPr>
          <w:p w14:paraId="591A784B" w14:textId="77777777" w:rsidR="009948F1" w:rsidRDefault="009948F1">
            <w:pPr>
              <w:pStyle w:val="TableParagraph"/>
              <w:rPr>
                <w:sz w:val="16"/>
              </w:rPr>
            </w:pPr>
          </w:p>
          <w:p w14:paraId="6785AB90" w14:textId="77777777" w:rsidR="009948F1" w:rsidRDefault="009948F1">
            <w:pPr>
              <w:pStyle w:val="TableParagraph"/>
              <w:spacing w:before="1"/>
              <w:rPr>
                <w:sz w:val="14"/>
              </w:rPr>
            </w:pPr>
          </w:p>
          <w:p w14:paraId="0E1396BF" w14:textId="77777777" w:rsidR="009948F1" w:rsidRDefault="00BC0563">
            <w:pPr>
              <w:pStyle w:val="TableParagraph"/>
              <w:ind w:left="19" w:right="8"/>
              <w:jc w:val="center"/>
              <w:rPr>
                <w:sz w:val="15"/>
              </w:rPr>
            </w:pPr>
            <w:r>
              <w:rPr>
                <w:color w:val="231F20"/>
                <w:w w:val="80"/>
                <w:sz w:val="15"/>
              </w:rPr>
              <w:t>10.1.2.a</w:t>
            </w:r>
          </w:p>
        </w:tc>
        <w:tc>
          <w:tcPr>
            <w:tcW w:w="4903" w:type="dxa"/>
            <w:gridSpan w:val="2"/>
          </w:tcPr>
          <w:p w14:paraId="208AD24A" w14:textId="5AFD0DA4" w:rsidR="009948F1" w:rsidRDefault="00BC0563">
            <w:pPr>
              <w:pStyle w:val="TableParagraph"/>
              <w:spacing w:before="50" w:line="268" w:lineRule="auto"/>
              <w:ind w:left="20" w:right="19"/>
              <w:rPr>
                <w:sz w:val="15"/>
              </w:rPr>
            </w:pPr>
            <w:r>
              <w:rPr>
                <w:color w:val="231F20"/>
                <w:w w:val="85"/>
                <w:sz w:val="15"/>
              </w:rPr>
              <w:t xml:space="preserve">Establish norms and standards for health infrastructure (Physical facilities including </w:t>
            </w:r>
            <w:r>
              <w:rPr>
                <w:color w:val="231F20"/>
                <w:w w:val="80"/>
                <w:sz w:val="15"/>
              </w:rPr>
              <w:t xml:space="preserve">laboratory services and municipal services e.g. water, sanitation, electricity facilities), ICT, Communication, equipment, transport, </w:t>
            </w:r>
            <w:r w:rsidR="00661EED">
              <w:rPr>
                <w:color w:val="231F20"/>
                <w:w w:val="80"/>
                <w:sz w:val="15"/>
              </w:rPr>
              <w:t>etc.</w:t>
            </w:r>
            <w:r>
              <w:rPr>
                <w:color w:val="231F20"/>
                <w:w w:val="80"/>
                <w:sz w:val="15"/>
              </w:rPr>
              <w:t xml:space="preserve"> including critical infrastructure (e.g. blood banks, </w:t>
            </w:r>
            <w:r>
              <w:rPr>
                <w:color w:val="231F20"/>
                <w:w w:val="90"/>
                <w:sz w:val="15"/>
              </w:rPr>
              <w:t xml:space="preserve">energy supply systems, laboratories, </w:t>
            </w:r>
            <w:r w:rsidR="00661EED">
              <w:rPr>
                <w:color w:val="231F20"/>
                <w:w w:val="90"/>
                <w:sz w:val="15"/>
              </w:rPr>
              <w:t>etc.</w:t>
            </w:r>
            <w:r>
              <w:rPr>
                <w:color w:val="231F20"/>
                <w:w w:val="90"/>
                <w:sz w:val="15"/>
              </w:rPr>
              <w:t>) at all levels of the healthcare system</w:t>
            </w:r>
          </w:p>
        </w:tc>
        <w:tc>
          <w:tcPr>
            <w:tcW w:w="1430" w:type="dxa"/>
          </w:tcPr>
          <w:p w14:paraId="08B21D81" w14:textId="77777777" w:rsidR="009948F1" w:rsidRDefault="009948F1">
            <w:pPr>
              <w:pStyle w:val="TableParagraph"/>
              <w:rPr>
                <w:sz w:val="16"/>
              </w:rPr>
            </w:pPr>
          </w:p>
          <w:p w14:paraId="34228F51" w14:textId="77777777" w:rsidR="009948F1" w:rsidRDefault="009948F1">
            <w:pPr>
              <w:pStyle w:val="TableParagraph"/>
              <w:spacing w:before="1"/>
              <w:rPr>
                <w:sz w:val="14"/>
              </w:rPr>
            </w:pPr>
          </w:p>
          <w:p w14:paraId="2CE0EBC5" w14:textId="77777777" w:rsidR="009948F1" w:rsidRDefault="00BC0563">
            <w:pPr>
              <w:pStyle w:val="TableParagraph"/>
              <w:ind w:left="20"/>
              <w:rPr>
                <w:sz w:val="15"/>
              </w:rPr>
            </w:pPr>
            <w:r>
              <w:rPr>
                <w:color w:val="231F20"/>
                <w:w w:val="90"/>
                <w:sz w:val="15"/>
              </w:rPr>
              <w:t>Lack of funds</w:t>
            </w:r>
          </w:p>
        </w:tc>
        <w:tc>
          <w:tcPr>
            <w:tcW w:w="1508" w:type="dxa"/>
          </w:tcPr>
          <w:p w14:paraId="4BC1BA22" w14:textId="77777777" w:rsidR="009948F1" w:rsidRDefault="009948F1">
            <w:pPr>
              <w:pStyle w:val="TableParagraph"/>
              <w:rPr>
                <w:sz w:val="16"/>
              </w:rPr>
            </w:pPr>
          </w:p>
          <w:p w14:paraId="620E94D3" w14:textId="77777777" w:rsidR="009948F1" w:rsidRDefault="009948F1">
            <w:pPr>
              <w:pStyle w:val="TableParagraph"/>
              <w:spacing w:before="1"/>
              <w:rPr>
                <w:sz w:val="14"/>
              </w:rPr>
            </w:pPr>
          </w:p>
          <w:p w14:paraId="647040C3" w14:textId="77777777" w:rsidR="009948F1" w:rsidRDefault="00BC0563">
            <w:pPr>
              <w:pStyle w:val="TableParagraph"/>
              <w:ind w:left="19"/>
              <w:rPr>
                <w:sz w:val="15"/>
              </w:rPr>
            </w:pPr>
            <w:r>
              <w:rPr>
                <w:color w:val="231F20"/>
                <w:w w:val="90"/>
                <w:sz w:val="15"/>
              </w:rPr>
              <w:t>Establish norms</w:t>
            </w:r>
          </w:p>
        </w:tc>
      </w:tr>
      <w:tr w:rsidR="009948F1" w14:paraId="022857C9" w14:textId="77777777">
        <w:trPr>
          <w:trHeight w:val="361"/>
        </w:trPr>
        <w:tc>
          <w:tcPr>
            <w:tcW w:w="1043" w:type="dxa"/>
            <w:gridSpan w:val="3"/>
            <w:vMerge/>
            <w:tcBorders>
              <w:top w:val="nil"/>
              <w:bottom w:val="nil"/>
            </w:tcBorders>
          </w:tcPr>
          <w:p w14:paraId="344CA593" w14:textId="77777777" w:rsidR="009948F1" w:rsidRDefault="009948F1">
            <w:pPr>
              <w:rPr>
                <w:sz w:val="2"/>
                <w:szCs w:val="2"/>
              </w:rPr>
            </w:pPr>
          </w:p>
        </w:tc>
        <w:tc>
          <w:tcPr>
            <w:tcW w:w="527" w:type="dxa"/>
          </w:tcPr>
          <w:p w14:paraId="7B78B59E" w14:textId="77777777" w:rsidR="009948F1" w:rsidRDefault="00BC0563">
            <w:pPr>
              <w:pStyle w:val="TableParagraph"/>
              <w:spacing w:before="97"/>
              <w:ind w:left="19" w:right="8"/>
              <w:jc w:val="center"/>
              <w:rPr>
                <w:sz w:val="15"/>
              </w:rPr>
            </w:pPr>
            <w:r>
              <w:rPr>
                <w:color w:val="231F20"/>
                <w:w w:val="80"/>
                <w:sz w:val="15"/>
              </w:rPr>
              <w:t>10.1.2.b</w:t>
            </w:r>
          </w:p>
        </w:tc>
        <w:tc>
          <w:tcPr>
            <w:tcW w:w="4903" w:type="dxa"/>
            <w:gridSpan w:val="2"/>
          </w:tcPr>
          <w:p w14:paraId="60DC5799" w14:textId="77777777" w:rsidR="009948F1" w:rsidRDefault="00BC0563">
            <w:pPr>
              <w:pStyle w:val="TableParagraph"/>
              <w:spacing w:before="5"/>
              <w:ind w:left="20"/>
              <w:rPr>
                <w:sz w:val="15"/>
              </w:rPr>
            </w:pPr>
            <w:r>
              <w:rPr>
                <w:color w:val="231F20"/>
                <w:w w:val="85"/>
                <w:sz w:val="15"/>
              </w:rPr>
              <w:t>Convene</w:t>
            </w:r>
            <w:r>
              <w:rPr>
                <w:color w:val="231F20"/>
                <w:spacing w:val="-20"/>
                <w:w w:val="85"/>
                <w:sz w:val="15"/>
              </w:rPr>
              <w:t xml:space="preserve"> </w:t>
            </w:r>
            <w:r>
              <w:rPr>
                <w:color w:val="231F20"/>
                <w:w w:val="85"/>
                <w:sz w:val="15"/>
              </w:rPr>
              <w:t>meeting</w:t>
            </w:r>
            <w:r>
              <w:rPr>
                <w:color w:val="231F20"/>
                <w:spacing w:val="-19"/>
                <w:w w:val="85"/>
                <w:sz w:val="15"/>
              </w:rPr>
              <w:t xml:space="preserve"> </w:t>
            </w:r>
            <w:r>
              <w:rPr>
                <w:color w:val="231F20"/>
                <w:w w:val="85"/>
                <w:sz w:val="15"/>
              </w:rPr>
              <w:t>of</w:t>
            </w:r>
            <w:r>
              <w:rPr>
                <w:color w:val="231F20"/>
                <w:spacing w:val="-19"/>
                <w:w w:val="85"/>
                <w:sz w:val="15"/>
              </w:rPr>
              <w:t xml:space="preserve"> </w:t>
            </w:r>
            <w:r>
              <w:rPr>
                <w:color w:val="231F20"/>
                <w:w w:val="85"/>
                <w:sz w:val="15"/>
              </w:rPr>
              <w:t>key</w:t>
            </w:r>
            <w:r>
              <w:rPr>
                <w:color w:val="231F20"/>
                <w:spacing w:val="-19"/>
                <w:w w:val="85"/>
                <w:sz w:val="15"/>
              </w:rPr>
              <w:t xml:space="preserve"> </w:t>
            </w:r>
            <w:r>
              <w:rPr>
                <w:color w:val="231F20"/>
                <w:w w:val="85"/>
                <w:sz w:val="15"/>
              </w:rPr>
              <w:t>stakeholders</w:t>
            </w:r>
            <w:r>
              <w:rPr>
                <w:color w:val="231F20"/>
                <w:spacing w:val="-19"/>
                <w:w w:val="85"/>
                <w:sz w:val="15"/>
              </w:rPr>
              <w:t xml:space="preserve"> </w:t>
            </w:r>
            <w:r>
              <w:rPr>
                <w:color w:val="231F20"/>
                <w:w w:val="85"/>
                <w:sz w:val="15"/>
              </w:rPr>
              <w:t>in</w:t>
            </w:r>
            <w:r>
              <w:rPr>
                <w:color w:val="231F20"/>
                <w:spacing w:val="-19"/>
                <w:w w:val="85"/>
                <w:sz w:val="15"/>
              </w:rPr>
              <w:t xml:space="preserve"> </w:t>
            </w:r>
            <w:r>
              <w:rPr>
                <w:color w:val="231F20"/>
                <w:w w:val="85"/>
                <w:sz w:val="15"/>
              </w:rPr>
              <w:t>the</w:t>
            </w:r>
            <w:r>
              <w:rPr>
                <w:color w:val="231F20"/>
                <w:spacing w:val="-19"/>
                <w:w w:val="85"/>
                <w:sz w:val="15"/>
              </w:rPr>
              <w:t xml:space="preserve"> </w:t>
            </w:r>
            <w:r>
              <w:rPr>
                <w:color w:val="231F20"/>
                <w:w w:val="85"/>
                <w:sz w:val="15"/>
              </w:rPr>
              <w:t>public</w:t>
            </w:r>
            <w:r>
              <w:rPr>
                <w:color w:val="231F20"/>
                <w:spacing w:val="-19"/>
                <w:w w:val="85"/>
                <w:sz w:val="15"/>
              </w:rPr>
              <w:t xml:space="preserve"> </w:t>
            </w:r>
            <w:r>
              <w:rPr>
                <w:color w:val="231F20"/>
                <w:w w:val="85"/>
                <w:sz w:val="15"/>
              </w:rPr>
              <w:t>and</w:t>
            </w:r>
            <w:r>
              <w:rPr>
                <w:color w:val="231F20"/>
                <w:spacing w:val="-19"/>
                <w:w w:val="85"/>
                <w:sz w:val="15"/>
              </w:rPr>
              <w:t xml:space="preserve"> </w:t>
            </w:r>
            <w:r>
              <w:rPr>
                <w:color w:val="231F20"/>
                <w:w w:val="85"/>
                <w:sz w:val="15"/>
              </w:rPr>
              <w:t>private</w:t>
            </w:r>
            <w:r>
              <w:rPr>
                <w:color w:val="231F20"/>
                <w:spacing w:val="-19"/>
                <w:w w:val="85"/>
                <w:sz w:val="15"/>
              </w:rPr>
              <w:t xml:space="preserve"> </w:t>
            </w:r>
            <w:r>
              <w:rPr>
                <w:color w:val="231F20"/>
                <w:w w:val="85"/>
                <w:sz w:val="15"/>
              </w:rPr>
              <w:t>sector</w:t>
            </w:r>
            <w:r>
              <w:rPr>
                <w:color w:val="231F20"/>
                <w:spacing w:val="-19"/>
                <w:w w:val="85"/>
                <w:sz w:val="15"/>
              </w:rPr>
              <w:t xml:space="preserve"> </w:t>
            </w:r>
            <w:r>
              <w:rPr>
                <w:color w:val="231F20"/>
                <w:w w:val="85"/>
                <w:sz w:val="15"/>
              </w:rPr>
              <w:t>to</w:t>
            </w:r>
            <w:r>
              <w:rPr>
                <w:color w:val="231F20"/>
                <w:spacing w:val="-19"/>
                <w:w w:val="85"/>
                <w:sz w:val="15"/>
              </w:rPr>
              <w:t xml:space="preserve"> </w:t>
            </w:r>
            <w:r>
              <w:rPr>
                <w:color w:val="231F20"/>
                <w:w w:val="85"/>
                <w:sz w:val="15"/>
              </w:rPr>
              <w:t>review</w:t>
            </w:r>
            <w:r>
              <w:rPr>
                <w:color w:val="231F20"/>
                <w:spacing w:val="-19"/>
                <w:w w:val="85"/>
                <w:sz w:val="15"/>
              </w:rPr>
              <w:t xml:space="preserve"> </w:t>
            </w:r>
            <w:r>
              <w:rPr>
                <w:color w:val="231F20"/>
                <w:w w:val="85"/>
                <w:sz w:val="15"/>
              </w:rPr>
              <w:t>and</w:t>
            </w:r>
            <w:r>
              <w:rPr>
                <w:color w:val="231F20"/>
                <w:spacing w:val="-19"/>
                <w:w w:val="85"/>
                <w:sz w:val="15"/>
              </w:rPr>
              <w:t xml:space="preserve"> </w:t>
            </w:r>
            <w:r>
              <w:rPr>
                <w:color w:val="231F20"/>
                <w:w w:val="85"/>
                <w:sz w:val="15"/>
              </w:rPr>
              <w:t>adopt</w:t>
            </w:r>
          </w:p>
          <w:p w14:paraId="00196353" w14:textId="77777777" w:rsidR="009948F1" w:rsidRDefault="00BC0563">
            <w:pPr>
              <w:pStyle w:val="TableParagraph"/>
              <w:spacing w:before="22" w:line="142" w:lineRule="exact"/>
              <w:ind w:left="20"/>
              <w:rPr>
                <w:sz w:val="15"/>
              </w:rPr>
            </w:pPr>
            <w:r>
              <w:rPr>
                <w:color w:val="231F20"/>
                <w:w w:val="90"/>
                <w:sz w:val="15"/>
              </w:rPr>
              <w:t>the norms</w:t>
            </w:r>
          </w:p>
        </w:tc>
        <w:tc>
          <w:tcPr>
            <w:tcW w:w="1430" w:type="dxa"/>
          </w:tcPr>
          <w:p w14:paraId="6904195A" w14:textId="77777777" w:rsidR="009948F1" w:rsidRDefault="00BC0563">
            <w:pPr>
              <w:pStyle w:val="TableParagraph"/>
              <w:spacing w:before="97"/>
              <w:ind w:left="20"/>
              <w:rPr>
                <w:sz w:val="15"/>
              </w:rPr>
            </w:pPr>
            <w:r>
              <w:rPr>
                <w:color w:val="231F20"/>
                <w:w w:val="90"/>
                <w:sz w:val="15"/>
              </w:rPr>
              <w:t>Lack of funds</w:t>
            </w:r>
          </w:p>
        </w:tc>
        <w:tc>
          <w:tcPr>
            <w:tcW w:w="1508" w:type="dxa"/>
          </w:tcPr>
          <w:p w14:paraId="5D4D865C" w14:textId="77777777" w:rsidR="009948F1" w:rsidRDefault="00BC0563">
            <w:pPr>
              <w:pStyle w:val="TableParagraph"/>
              <w:spacing w:before="97"/>
              <w:ind w:left="19"/>
              <w:rPr>
                <w:sz w:val="15"/>
              </w:rPr>
            </w:pPr>
            <w:r>
              <w:rPr>
                <w:color w:val="231F20"/>
                <w:w w:val="90"/>
                <w:sz w:val="15"/>
              </w:rPr>
              <w:t>Convene meeting</w:t>
            </w:r>
          </w:p>
        </w:tc>
      </w:tr>
      <w:tr w:rsidR="009948F1" w14:paraId="418C5192" w14:textId="77777777" w:rsidTr="00661EED">
        <w:trPr>
          <w:trHeight w:val="691"/>
        </w:trPr>
        <w:tc>
          <w:tcPr>
            <w:tcW w:w="587" w:type="dxa"/>
            <w:gridSpan w:val="2"/>
            <w:tcBorders>
              <w:top w:val="nil"/>
              <w:bottom w:val="nil"/>
            </w:tcBorders>
          </w:tcPr>
          <w:p w14:paraId="60BC5DC2" w14:textId="77777777" w:rsidR="009948F1" w:rsidRDefault="009948F1">
            <w:pPr>
              <w:pStyle w:val="TableParagraph"/>
              <w:rPr>
                <w:rFonts w:ascii="Times New Roman"/>
                <w:sz w:val="10"/>
              </w:rPr>
            </w:pPr>
          </w:p>
        </w:tc>
        <w:tc>
          <w:tcPr>
            <w:tcW w:w="456" w:type="dxa"/>
            <w:shd w:val="clear" w:color="auto" w:fill="CCE7D3"/>
          </w:tcPr>
          <w:p w14:paraId="3565CDF8" w14:textId="77777777" w:rsidR="009948F1" w:rsidRDefault="009948F1">
            <w:pPr>
              <w:pStyle w:val="TableParagraph"/>
              <w:rPr>
                <w:sz w:val="16"/>
              </w:rPr>
            </w:pPr>
          </w:p>
          <w:p w14:paraId="1D9B828E" w14:textId="77777777" w:rsidR="009948F1" w:rsidRDefault="009948F1">
            <w:pPr>
              <w:pStyle w:val="TableParagraph"/>
              <w:spacing w:before="11"/>
              <w:rPr>
                <w:sz w:val="19"/>
              </w:rPr>
            </w:pPr>
          </w:p>
          <w:p w14:paraId="71EC44CB" w14:textId="77777777" w:rsidR="009948F1" w:rsidRDefault="00BC0563">
            <w:pPr>
              <w:pStyle w:val="TableParagraph"/>
              <w:ind w:left="22" w:right="23"/>
              <w:jc w:val="center"/>
              <w:rPr>
                <w:sz w:val="15"/>
              </w:rPr>
            </w:pPr>
            <w:r>
              <w:rPr>
                <w:color w:val="231F20"/>
                <w:w w:val="85"/>
                <w:sz w:val="15"/>
              </w:rPr>
              <w:t>10.1.3</w:t>
            </w:r>
          </w:p>
        </w:tc>
        <w:tc>
          <w:tcPr>
            <w:tcW w:w="3042" w:type="dxa"/>
            <w:gridSpan w:val="2"/>
            <w:shd w:val="clear" w:color="auto" w:fill="CCE7D3"/>
          </w:tcPr>
          <w:p w14:paraId="10181D54" w14:textId="77777777" w:rsidR="009948F1" w:rsidRDefault="00BC0563">
            <w:pPr>
              <w:pStyle w:val="TableParagraph"/>
              <w:spacing w:before="116" w:line="268" w:lineRule="auto"/>
              <w:ind w:left="20" w:right="10" w:firstLine="33"/>
              <w:rPr>
                <w:sz w:val="15"/>
              </w:rPr>
            </w:pPr>
            <w:r>
              <w:rPr>
                <w:color w:val="231F20"/>
                <w:w w:val="90"/>
                <w:sz w:val="15"/>
              </w:rPr>
              <w:t xml:space="preserve">Ensure availability of equipment and other health infrastructure in line with established norms and </w:t>
            </w:r>
            <w:r>
              <w:rPr>
                <w:color w:val="231F20"/>
                <w:w w:val="85"/>
                <w:sz w:val="15"/>
              </w:rPr>
              <w:t>standards</w:t>
            </w:r>
            <w:r>
              <w:rPr>
                <w:color w:val="231F20"/>
                <w:spacing w:val="-25"/>
                <w:w w:val="85"/>
                <w:sz w:val="15"/>
              </w:rPr>
              <w:t xml:space="preserve"> </w:t>
            </w:r>
            <w:r>
              <w:rPr>
                <w:color w:val="231F20"/>
                <w:w w:val="85"/>
                <w:sz w:val="15"/>
              </w:rPr>
              <w:t>for</w:t>
            </w:r>
            <w:r>
              <w:rPr>
                <w:color w:val="231F20"/>
                <w:spacing w:val="-24"/>
                <w:w w:val="85"/>
                <w:sz w:val="15"/>
              </w:rPr>
              <w:t xml:space="preserve"> </w:t>
            </w:r>
            <w:r>
              <w:rPr>
                <w:color w:val="231F20"/>
                <w:w w:val="85"/>
                <w:sz w:val="15"/>
              </w:rPr>
              <w:t>the</w:t>
            </w:r>
            <w:r>
              <w:rPr>
                <w:color w:val="231F20"/>
                <w:spacing w:val="-25"/>
                <w:w w:val="85"/>
                <w:sz w:val="15"/>
              </w:rPr>
              <w:t xml:space="preserve"> </w:t>
            </w:r>
            <w:r>
              <w:rPr>
                <w:color w:val="231F20"/>
                <w:w w:val="85"/>
                <w:sz w:val="15"/>
              </w:rPr>
              <w:t>different</w:t>
            </w:r>
            <w:r>
              <w:rPr>
                <w:color w:val="231F20"/>
                <w:spacing w:val="-24"/>
                <w:w w:val="85"/>
                <w:sz w:val="15"/>
              </w:rPr>
              <w:t xml:space="preserve"> </w:t>
            </w:r>
            <w:r>
              <w:rPr>
                <w:color w:val="231F20"/>
                <w:w w:val="85"/>
                <w:sz w:val="15"/>
              </w:rPr>
              <w:t>levels</w:t>
            </w:r>
            <w:r>
              <w:rPr>
                <w:color w:val="231F20"/>
                <w:spacing w:val="-24"/>
                <w:w w:val="85"/>
                <w:sz w:val="15"/>
              </w:rPr>
              <w:t xml:space="preserve"> </w:t>
            </w:r>
            <w:r>
              <w:rPr>
                <w:color w:val="231F20"/>
                <w:w w:val="85"/>
                <w:sz w:val="15"/>
              </w:rPr>
              <w:t>of</w:t>
            </w:r>
            <w:r>
              <w:rPr>
                <w:color w:val="231F20"/>
                <w:spacing w:val="-25"/>
                <w:w w:val="85"/>
                <w:sz w:val="15"/>
              </w:rPr>
              <w:t xml:space="preserve"> </w:t>
            </w:r>
            <w:r>
              <w:rPr>
                <w:color w:val="231F20"/>
                <w:w w:val="85"/>
                <w:sz w:val="15"/>
              </w:rPr>
              <w:t>health</w:t>
            </w:r>
            <w:r>
              <w:rPr>
                <w:color w:val="231F20"/>
                <w:spacing w:val="-24"/>
                <w:w w:val="85"/>
                <w:sz w:val="15"/>
              </w:rPr>
              <w:t xml:space="preserve"> </w:t>
            </w:r>
            <w:r>
              <w:rPr>
                <w:color w:val="231F20"/>
                <w:w w:val="85"/>
                <w:sz w:val="15"/>
              </w:rPr>
              <w:t>care</w:t>
            </w:r>
            <w:r>
              <w:rPr>
                <w:color w:val="231F20"/>
                <w:spacing w:val="-24"/>
                <w:w w:val="85"/>
                <w:sz w:val="15"/>
              </w:rPr>
              <w:t xml:space="preserve"> </w:t>
            </w:r>
            <w:r>
              <w:rPr>
                <w:color w:val="231F20"/>
                <w:w w:val="85"/>
                <w:sz w:val="15"/>
              </w:rPr>
              <w:t>and</w:t>
            </w:r>
            <w:r>
              <w:rPr>
                <w:color w:val="231F20"/>
                <w:spacing w:val="-25"/>
                <w:w w:val="85"/>
                <w:sz w:val="15"/>
              </w:rPr>
              <w:t xml:space="preserve"> </w:t>
            </w:r>
            <w:r>
              <w:rPr>
                <w:color w:val="231F20"/>
                <w:w w:val="85"/>
                <w:sz w:val="15"/>
              </w:rPr>
              <w:t xml:space="preserve">other </w:t>
            </w:r>
            <w:r>
              <w:rPr>
                <w:color w:val="231F20"/>
                <w:w w:val="90"/>
                <w:sz w:val="15"/>
              </w:rPr>
              <w:t>health</w:t>
            </w:r>
            <w:r>
              <w:rPr>
                <w:color w:val="231F20"/>
                <w:spacing w:val="-7"/>
                <w:w w:val="90"/>
                <w:sz w:val="15"/>
              </w:rPr>
              <w:t xml:space="preserve"> </w:t>
            </w:r>
            <w:r>
              <w:rPr>
                <w:color w:val="231F20"/>
                <w:w w:val="90"/>
                <w:sz w:val="15"/>
              </w:rPr>
              <w:t>institutions</w:t>
            </w:r>
          </w:p>
        </w:tc>
        <w:tc>
          <w:tcPr>
            <w:tcW w:w="2388" w:type="dxa"/>
            <w:shd w:val="clear" w:color="auto" w:fill="CCE7D3"/>
          </w:tcPr>
          <w:p w14:paraId="0829E37B" w14:textId="77777777" w:rsidR="009948F1" w:rsidRDefault="00BC0563">
            <w:pPr>
              <w:pStyle w:val="TableParagraph"/>
              <w:numPr>
                <w:ilvl w:val="0"/>
                <w:numId w:val="53"/>
              </w:numPr>
              <w:tabs>
                <w:tab w:val="left" w:pos="96"/>
              </w:tabs>
              <w:spacing w:before="26" w:line="268" w:lineRule="auto"/>
              <w:ind w:right="64" w:firstLine="0"/>
              <w:rPr>
                <w:sz w:val="15"/>
              </w:rPr>
            </w:pPr>
            <w:r>
              <w:rPr>
                <w:color w:val="231F20"/>
                <w:w w:val="85"/>
                <w:sz w:val="15"/>
              </w:rPr>
              <w:t xml:space="preserve">Facility assessment of equipment in all </w:t>
            </w:r>
            <w:r>
              <w:rPr>
                <w:color w:val="231F20"/>
                <w:w w:val="80"/>
                <w:sz w:val="15"/>
              </w:rPr>
              <w:t>secondary</w:t>
            </w:r>
            <w:r>
              <w:rPr>
                <w:color w:val="231F20"/>
                <w:spacing w:val="-5"/>
                <w:w w:val="80"/>
                <w:sz w:val="15"/>
              </w:rPr>
              <w:t xml:space="preserve"> </w:t>
            </w:r>
            <w:r>
              <w:rPr>
                <w:color w:val="231F20"/>
                <w:w w:val="80"/>
                <w:sz w:val="15"/>
              </w:rPr>
              <w:t>and</w:t>
            </w:r>
            <w:r>
              <w:rPr>
                <w:color w:val="231F20"/>
                <w:spacing w:val="-4"/>
                <w:w w:val="80"/>
                <w:sz w:val="15"/>
              </w:rPr>
              <w:t xml:space="preserve"> </w:t>
            </w:r>
            <w:r>
              <w:rPr>
                <w:color w:val="231F20"/>
                <w:w w:val="80"/>
                <w:sz w:val="15"/>
              </w:rPr>
              <w:t>&amp;</w:t>
            </w:r>
            <w:r>
              <w:rPr>
                <w:color w:val="231F20"/>
                <w:spacing w:val="-4"/>
                <w:w w:val="80"/>
                <w:sz w:val="15"/>
              </w:rPr>
              <w:t xml:space="preserve"> </w:t>
            </w:r>
            <w:r>
              <w:rPr>
                <w:color w:val="231F20"/>
                <w:w w:val="80"/>
                <w:sz w:val="15"/>
              </w:rPr>
              <w:t>PHC</w:t>
            </w:r>
            <w:r>
              <w:rPr>
                <w:color w:val="231F20"/>
                <w:spacing w:val="-4"/>
                <w:w w:val="80"/>
                <w:sz w:val="15"/>
              </w:rPr>
              <w:t xml:space="preserve"> </w:t>
            </w:r>
            <w:r>
              <w:rPr>
                <w:color w:val="231F20"/>
                <w:w w:val="80"/>
                <w:sz w:val="15"/>
              </w:rPr>
              <w:t>health</w:t>
            </w:r>
            <w:r>
              <w:rPr>
                <w:color w:val="231F20"/>
                <w:spacing w:val="-4"/>
                <w:w w:val="80"/>
                <w:sz w:val="15"/>
              </w:rPr>
              <w:t xml:space="preserve"> </w:t>
            </w:r>
            <w:r>
              <w:rPr>
                <w:color w:val="231F20"/>
                <w:w w:val="80"/>
                <w:sz w:val="15"/>
              </w:rPr>
              <w:t>facilities</w:t>
            </w:r>
            <w:r>
              <w:rPr>
                <w:color w:val="231F20"/>
                <w:spacing w:val="-4"/>
                <w:w w:val="80"/>
                <w:sz w:val="15"/>
              </w:rPr>
              <w:t xml:space="preserve"> </w:t>
            </w:r>
            <w:r>
              <w:rPr>
                <w:color w:val="231F20"/>
                <w:spacing w:val="-3"/>
                <w:w w:val="80"/>
                <w:sz w:val="15"/>
              </w:rPr>
              <w:t>done</w:t>
            </w:r>
          </w:p>
          <w:p w14:paraId="4A088F7E" w14:textId="77777777" w:rsidR="009948F1" w:rsidRDefault="00BC0563">
            <w:pPr>
              <w:pStyle w:val="TableParagraph"/>
              <w:numPr>
                <w:ilvl w:val="0"/>
                <w:numId w:val="53"/>
              </w:numPr>
              <w:tabs>
                <w:tab w:val="left" w:pos="64"/>
              </w:tabs>
              <w:spacing w:before="1" w:line="268" w:lineRule="auto"/>
              <w:ind w:right="551" w:firstLine="0"/>
              <w:rPr>
                <w:sz w:val="15"/>
              </w:rPr>
            </w:pPr>
            <w:r>
              <w:rPr>
                <w:color w:val="231F20"/>
                <w:w w:val="80"/>
                <w:sz w:val="15"/>
              </w:rPr>
              <w:t xml:space="preserve">System for procurement of </w:t>
            </w:r>
            <w:r>
              <w:rPr>
                <w:color w:val="231F20"/>
                <w:spacing w:val="-4"/>
                <w:w w:val="80"/>
                <w:sz w:val="15"/>
              </w:rPr>
              <w:t xml:space="preserve">health </w:t>
            </w:r>
            <w:r>
              <w:rPr>
                <w:color w:val="231F20"/>
                <w:w w:val="90"/>
                <w:sz w:val="15"/>
              </w:rPr>
              <w:t>infrastructure</w:t>
            </w:r>
            <w:r>
              <w:rPr>
                <w:color w:val="231F20"/>
                <w:spacing w:val="-17"/>
                <w:w w:val="90"/>
                <w:sz w:val="15"/>
              </w:rPr>
              <w:t xml:space="preserve"> </w:t>
            </w:r>
            <w:r>
              <w:rPr>
                <w:color w:val="231F20"/>
                <w:w w:val="90"/>
                <w:sz w:val="15"/>
              </w:rPr>
              <w:t>established</w:t>
            </w:r>
          </w:p>
          <w:p w14:paraId="4575BC40" w14:textId="3722B830" w:rsidR="009948F1" w:rsidRDefault="009948F1">
            <w:pPr>
              <w:pStyle w:val="TableParagraph"/>
              <w:spacing w:before="1"/>
              <w:ind w:left="20"/>
              <w:rPr>
                <w:sz w:val="15"/>
              </w:rPr>
            </w:pPr>
          </w:p>
        </w:tc>
        <w:tc>
          <w:tcPr>
            <w:tcW w:w="1430" w:type="dxa"/>
            <w:shd w:val="clear" w:color="auto" w:fill="CCE7D3"/>
          </w:tcPr>
          <w:p w14:paraId="50C3B72B" w14:textId="77777777" w:rsidR="009948F1" w:rsidRDefault="009948F1">
            <w:pPr>
              <w:pStyle w:val="TableParagraph"/>
              <w:rPr>
                <w:rFonts w:ascii="Times New Roman"/>
                <w:sz w:val="10"/>
              </w:rPr>
            </w:pPr>
          </w:p>
        </w:tc>
        <w:tc>
          <w:tcPr>
            <w:tcW w:w="1508" w:type="dxa"/>
            <w:shd w:val="clear" w:color="auto" w:fill="CCE7D3"/>
          </w:tcPr>
          <w:p w14:paraId="7F56D73E" w14:textId="77777777" w:rsidR="009948F1" w:rsidRDefault="009948F1">
            <w:pPr>
              <w:pStyle w:val="TableParagraph"/>
              <w:rPr>
                <w:rFonts w:ascii="Times New Roman"/>
                <w:sz w:val="10"/>
              </w:rPr>
            </w:pPr>
          </w:p>
        </w:tc>
      </w:tr>
      <w:tr w:rsidR="009948F1" w14:paraId="4B89B7CF" w14:textId="77777777">
        <w:trPr>
          <w:trHeight w:val="375"/>
        </w:trPr>
        <w:tc>
          <w:tcPr>
            <w:tcW w:w="1043" w:type="dxa"/>
            <w:gridSpan w:val="3"/>
            <w:vMerge w:val="restart"/>
            <w:tcBorders>
              <w:top w:val="nil"/>
              <w:bottom w:val="nil"/>
            </w:tcBorders>
          </w:tcPr>
          <w:p w14:paraId="3F22252E" w14:textId="77777777" w:rsidR="009948F1" w:rsidRDefault="009948F1">
            <w:pPr>
              <w:pStyle w:val="TableParagraph"/>
              <w:rPr>
                <w:rFonts w:ascii="Times New Roman"/>
                <w:sz w:val="10"/>
              </w:rPr>
            </w:pPr>
          </w:p>
        </w:tc>
        <w:tc>
          <w:tcPr>
            <w:tcW w:w="527" w:type="dxa"/>
          </w:tcPr>
          <w:p w14:paraId="1BF93912" w14:textId="77777777" w:rsidR="009948F1" w:rsidRDefault="00BC0563">
            <w:pPr>
              <w:pStyle w:val="TableParagraph"/>
              <w:spacing w:before="103"/>
              <w:ind w:left="19" w:right="8"/>
              <w:jc w:val="center"/>
              <w:rPr>
                <w:sz w:val="15"/>
              </w:rPr>
            </w:pPr>
            <w:r>
              <w:rPr>
                <w:color w:val="231F20"/>
                <w:w w:val="80"/>
                <w:sz w:val="15"/>
              </w:rPr>
              <w:t>10.1.3.a</w:t>
            </w:r>
          </w:p>
        </w:tc>
        <w:tc>
          <w:tcPr>
            <w:tcW w:w="4903" w:type="dxa"/>
            <w:gridSpan w:val="2"/>
          </w:tcPr>
          <w:p w14:paraId="430F1578" w14:textId="77777777" w:rsidR="009948F1" w:rsidRDefault="00BC0563">
            <w:pPr>
              <w:pStyle w:val="TableParagraph"/>
              <w:spacing w:before="5"/>
              <w:ind w:left="20"/>
              <w:rPr>
                <w:sz w:val="15"/>
              </w:rPr>
            </w:pPr>
            <w:r>
              <w:rPr>
                <w:color w:val="231F20"/>
                <w:w w:val="85"/>
                <w:sz w:val="15"/>
              </w:rPr>
              <w:t>Conduct</w:t>
            </w:r>
            <w:r>
              <w:rPr>
                <w:color w:val="231F20"/>
                <w:spacing w:val="-24"/>
                <w:w w:val="85"/>
                <w:sz w:val="15"/>
              </w:rPr>
              <w:t xml:space="preserve"> </w:t>
            </w:r>
            <w:r>
              <w:rPr>
                <w:color w:val="231F20"/>
                <w:w w:val="85"/>
                <w:sz w:val="15"/>
              </w:rPr>
              <w:t>facility</w:t>
            </w:r>
            <w:r>
              <w:rPr>
                <w:color w:val="231F20"/>
                <w:spacing w:val="-23"/>
                <w:w w:val="85"/>
                <w:sz w:val="15"/>
              </w:rPr>
              <w:t xml:space="preserve"> </w:t>
            </w:r>
            <w:r>
              <w:rPr>
                <w:color w:val="231F20"/>
                <w:w w:val="85"/>
                <w:sz w:val="15"/>
              </w:rPr>
              <w:t>assessment</w:t>
            </w:r>
            <w:r>
              <w:rPr>
                <w:color w:val="231F20"/>
                <w:spacing w:val="-23"/>
                <w:w w:val="85"/>
                <w:sz w:val="15"/>
              </w:rPr>
              <w:t xml:space="preserve"> </w:t>
            </w:r>
            <w:r>
              <w:rPr>
                <w:color w:val="231F20"/>
                <w:w w:val="85"/>
                <w:sz w:val="15"/>
              </w:rPr>
              <w:t>of</w:t>
            </w:r>
            <w:r>
              <w:rPr>
                <w:color w:val="231F20"/>
                <w:spacing w:val="-23"/>
                <w:w w:val="85"/>
                <w:sz w:val="15"/>
              </w:rPr>
              <w:t xml:space="preserve"> </w:t>
            </w:r>
            <w:r>
              <w:rPr>
                <w:color w:val="231F20"/>
                <w:w w:val="85"/>
                <w:sz w:val="15"/>
              </w:rPr>
              <w:t>equipment</w:t>
            </w:r>
            <w:r>
              <w:rPr>
                <w:color w:val="231F20"/>
                <w:spacing w:val="-23"/>
                <w:w w:val="85"/>
                <w:sz w:val="15"/>
              </w:rPr>
              <w:t xml:space="preserve"> </w:t>
            </w:r>
            <w:r>
              <w:rPr>
                <w:color w:val="231F20"/>
                <w:w w:val="85"/>
                <w:sz w:val="15"/>
              </w:rPr>
              <w:t>in</w:t>
            </w:r>
            <w:r>
              <w:rPr>
                <w:color w:val="231F20"/>
                <w:spacing w:val="-23"/>
                <w:w w:val="85"/>
                <w:sz w:val="15"/>
              </w:rPr>
              <w:t xml:space="preserve"> </w:t>
            </w:r>
            <w:r>
              <w:rPr>
                <w:color w:val="231F20"/>
                <w:w w:val="85"/>
                <w:sz w:val="15"/>
              </w:rPr>
              <w:t>all</w:t>
            </w:r>
            <w:r>
              <w:rPr>
                <w:color w:val="231F20"/>
                <w:spacing w:val="-23"/>
                <w:w w:val="85"/>
                <w:sz w:val="15"/>
              </w:rPr>
              <w:t xml:space="preserve"> </w:t>
            </w:r>
            <w:r>
              <w:rPr>
                <w:color w:val="231F20"/>
                <w:w w:val="85"/>
                <w:sz w:val="15"/>
              </w:rPr>
              <w:t>secondary</w:t>
            </w:r>
            <w:r>
              <w:rPr>
                <w:color w:val="231F20"/>
                <w:spacing w:val="-23"/>
                <w:w w:val="85"/>
                <w:sz w:val="15"/>
              </w:rPr>
              <w:t xml:space="preserve"> </w:t>
            </w:r>
            <w:r>
              <w:rPr>
                <w:color w:val="231F20"/>
                <w:w w:val="85"/>
                <w:sz w:val="15"/>
              </w:rPr>
              <w:t>and</w:t>
            </w:r>
            <w:r>
              <w:rPr>
                <w:color w:val="231F20"/>
                <w:spacing w:val="-23"/>
                <w:w w:val="85"/>
                <w:sz w:val="15"/>
              </w:rPr>
              <w:t xml:space="preserve"> </w:t>
            </w:r>
            <w:r>
              <w:rPr>
                <w:color w:val="231F20"/>
                <w:w w:val="85"/>
                <w:sz w:val="15"/>
              </w:rPr>
              <w:t>&amp;</w:t>
            </w:r>
            <w:r>
              <w:rPr>
                <w:color w:val="231F20"/>
                <w:spacing w:val="-23"/>
                <w:w w:val="85"/>
                <w:sz w:val="15"/>
              </w:rPr>
              <w:t xml:space="preserve"> </w:t>
            </w:r>
            <w:r>
              <w:rPr>
                <w:color w:val="231F20"/>
                <w:w w:val="85"/>
                <w:sz w:val="15"/>
              </w:rPr>
              <w:t>PHC</w:t>
            </w:r>
            <w:r>
              <w:rPr>
                <w:color w:val="231F20"/>
                <w:spacing w:val="-23"/>
                <w:w w:val="85"/>
                <w:sz w:val="15"/>
              </w:rPr>
              <w:t xml:space="preserve"> </w:t>
            </w:r>
            <w:r>
              <w:rPr>
                <w:color w:val="231F20"/>
                <w:w w:val="85"/>
                <w:sz w:val="15"/>
              </w:rPr>
              <w:t>health</w:t>
            </w:r>
            <w:r>
              <w:rPr>
                <w:color w:val="231F20"/>
                <w:spacing w:val="-23"/>
                <w:w w:val="85"/>
                <w:sz w:val="15"/>
              </w:rPr>
              <w:t xml:space="preserve"> </w:t>
            </w:r>
            <w:r>
              <w:rPr>
                <w:color w:val="231F20"/>
                <w:w w:val="85"/>
                <w:sz w:val="15"/>
              </w:rPr>
              <w:t>facilities</w:t>
            </w:r>
            <w:r>
              <w:rPr>
                <w:color w:val="231F20"/>
                <w:spacing w:val="-23"/>
                <w:w w:val="85"/>
                <w:sz w:val="15"/>
              </w:rPr>
              <w:t xml:space="preserve"> </w:t>
            </w:r>
            <w:r>
              <w:rPr>
                <w:color w:val="231F20"/>
                <w:w w:val="85"/>
                <w:sz w:val="15"/>
              </w:rPr>
              <w:t>in</w:t>
            </w:r>
            <w:r>
              <w:rPr>
                <w:color w:val="231F20"/>
                <w:spacing w:val="-23"/>
                <w:w w:val="85"/>
                <w:sz w:val="15"/>
              </w:rPr>
              <w:t xml:space="preserve"> </w:t>
            </w:r>
            <w:r>
              <w:rPr>
                <w:color w:val="231F20"/>
                <w:w w:val="85"/>
                <w:sz w:val="15"/>
              </w:rPr>
              <w:t>the</w:t>
            </w:r>
          </w:p>
          <w:p w14:paraId="34B783B2" w14:textId="77777777" w:rsidR="009948F1" w:rsidRDefault="00BC0563">
            <w:pPr>
              <w:pStyle w:val="TableParagraph"/>
              <w:spacing w:before="22" w:line="156" w:lineRule="exact"/>
              <w:ind w:left="20"/>
              <w:rPr>
                <w:sz w:val="15"/>
              </w:rPr>
            </w:pPr>
            <w:r>
              <w:rPr>
                <w:color w:val="231F20"/>
                <w:w w:val="90"/>
                <w:sz w:val="15"/>
              </w:rPr>
              <w:t>state by infrastructure coordinating committee</w:t>
            </w:r>
          </w:p>
        </w:tc>
        <w:tc>
          <w:tcPr>
            <w:tcW w:w="1430" w:type="dxa"/>
          </w:tcPr>
          <w:p w14:paraId="7F441B1A" w14:textId="77777777" w:rsidR="009948F1" w:rsidRDefault="00BC0563">
            <w:pPr>
              <w:pStyle w:val="TableParagraph"/>
              <w:spacing w:before="103"/>
              <w:ind w:left="20"/>
              <w:rPr>
                <w:sz w:val="15"/>
              </w:rPr>
            </w:pPr>
            <w:r>
              <w:rPr>
                <w:color w:val="231F20"/>
                <w:w w:val="90"/>
                <w:sz w:val="15"/>
              </w:rPr>
              <w:t>Lack of funds</w:t>
            </w:r>
          </w:p>
        </w:tc>
        <w:tc>
          <w:tcPr>
            <w:tcW w:w="1508" w:type="dxa"/>
          </w:tcPr>
          <w:p w14:paraId="72D0B3AC" w14:textId="77777777" w:rsidR="009948F1" w:rsidRDefault="00BC0563">
            <w:pPr>
              <w:pStyle w:val="TableParagraph"/>
              <w:spacing w:before="103"/>
              <w:ind w:left="19"/>
              <w:rPr>
                <w:sz w:val="15"/>
              </w:rPr>
            </w:pPr>
            <w:r>
              <w:rPr>
                <w:color w:val="231F20"/>
                <w:w w:val="90"/>
                <w:sz w:val="15"/>
              </w:rPr>
              <w:t>Conduct assessment</w:t>
            </w:r>
          </w:p>
        </w:tc>
      </w:tr>
      <w:tr w:rsidR="009948F1" w14:paraId="4C14A560" w14:textId="77777777">
        <w:trPr>
          <w:trHeight w:val="547"/>
        </w:trPr>
        <w:tc>
          <w:tcPr>
            <w:tcW w:w="1043" w:type="dxa"/>
            <w:gridSpan w:val="3"/>
            <w:vMerge/>
            <w:tcBorders>
              <w:top w:val="nil"/>
              <w:bottom w:val="nil"/>
            </w:tcBorders>
          </w:tcPr>
          <w:p w14:paraId="7D5D5072" w14:textId="77777777" w:rsidR="009948F1" w:rsidRDefault="009948F1">
            <w:pPr>
              <w:rPr>
                <w:sz w:val="2"/>
                <w:szCs w:val="2"/>
              </w:rPr>
            </w:pPr>
          </w:p>
        </w:tc>
        <w:tc>
          <w:tcPr>
            <w:tcW w:w="527" w:type="dxa"/>
          </w:tcPr>
          <w:p w14:paraId="7FE413DB" w14:textId="77777777" w:rsidR="009948F1" w:rsidRDefault="009948F1">
            <w:pPr>
              <w:pStyle w:val="TableParagraph"/>
              <w:spacing w:before="6"/>
              <w:rPr>
                <w:sz w:val="16"/>
              </w:rPr>
            </w:pPr>
          </w:p>
          <w:p w14:paraId="6BDAAEDE" w14:textId="77777777" w:rsidR="009948F1" w:rsidRDefault="00BC0563">
            <w:pPr>
              <w:pStyle w:val="TableParagraph"/>
              <w:ind w:left="19" w:right="8"/>
              <w:jc w:val="center"/>
              <w:rPr>
                <w:sz w:val="15"/>
              </w:rPr>
            </w:pPr>
            <w:r>
              <w:rPr>
                <w:color w:val="231F20"/>
                <w:w w:val="80"/>
                <w:sz w:val="15"/>
              </w:rPr>
              <w:t>10.1.3.b</w:t>
            </w:r>
          </w:p>
        </w:tc>
        <w:tc>
          <w:tcPr>
            <w:tcW w:w="4903" w:type="dxa"/>
            <w:gridSpan w:val="2"/>
          </w:tcPr>
          <w:p w14:paraId="3F7373A8" w14:textId="77777777" w:rsidR="009948F1" w:rsidRDefault="00BC0563">
            <w:pPr>
              <w:pStyle w:val="TableParagraph"/>
              <w:spacing w:before="5"/>
              <w:ind w:left="20"/>
              <w:rPr>
                <w:sz w:val="15"/>
              </w:rPr>
            </w:pPr>
            <w:r>
              <w:rPr>
                <w:color w:val="231F20"/>
                <w:w w:val="80"/>
                <w:sz w:val="15"/>
              </w:rPr>
              <w:t>Conduct periodic monitoring and evaluation of provision &amp; distribution of hospital equipment</w:t>
            </w:r>
          </w:p>
          <w:p w14:paraId="4B28DB5B" w14:textId="77777777" w:rsidR="009948F1" w:rsidRDefault="00BC0563">
            <w:pPr>
              <w:pStyle w:val="TableParagraph"/>
              <w:spacing w:before="28" w:line="168" w:lineRule="exact"/>
              <w:ind w:left="20" w:right="141"/>
              <w:rPr>
                <w:sz w:val="15"/>
              </w:rPr>
            </w:pPr>
            <w:r>
              <w:rPr>
                <w:color w:val="231F20"/>
                <w:w w:val="85"/>
                <w:sz w:val="15"/>
              </w:rPr>
              <w:t>to</w:t>
            </w:r>
            <w:r>
              <w:rPr>
                <w:color w:val="231F20"/>
                <w:spacing w:val="-22"/>
                <w:w w:val="85"/>
                <w:sz w:val="15"/>
              </w:rPr>
              <w:t xml:space="preserve"> </w:t>
            </w:r>
            <w:r>
              <w:rPr>
                <w:color w:val="231F20"/>
                <w:w w:val="85"/>
                <w:sz w:val="15"/>
              </w:rPr>
              <w:t>all</w:t>
            </w:r>
            <w:r>
              <w:rPr>
                <w:color w:val="231F20"/>
                <w:spacing w:val="-22"/>
                <w:w w:val="85"/>
                <w:sz w:val="15"/>
              </w:rPr>
              <w:t xml:space="preserve"> </w:t>
            </w:r>
            <w:r>
              <w:rPr>
                <w:color w:val="231F20"/>
                <w:w w:val="85"/>
                <w:sz w:val="15"/>
              </w:rPr>
              <w:t>functional</w:t>
            </w:r>
            <w:r>
              <w:rPr>
                <w:color w:val="231F20"/>
                <w:spacing w:val="-22"/>
                <w:w w:val="85"/>
                <w:sz w:val="15"/>
              </w:rPr>
              <w:t xml:space="preserve"> </w:t>
            </w:r>
            <w:r>
              <w:rPr>
                <w:color w:val="231F20"/>
                <w:w w:val="85"/>
                <w:sz w:val="15"/>
              </w:rPr>
              <w:t>secondary</w:t>
            </w:r>
            <w:r>
              <w:rPr>
                <w:color w:val="231F20"/>
                <w:spacing w:val="-22"/>
                <w:w w:val="85"/>
                <w:sz w:val="15"/>
              </w:rPr>
              <w:t xml:space="preserve"> </w:t>
            </w:r>
            <w:r>
              <w:rPr>
                <w:color w:val="231F20"/>
                <w:w w:val="85"/>
                <w:sz w:val="15"/>
              </w:rPr>
              <w:t>&amp;</w:t>
            </w:r>
            <w:r>
              <w:rPr>
                <w:color w:val="231F20"/>
                <w:spacing w:val="-22"/>
                <w:w w:val="85"/>
                <w:sz w:val="15"/>
              </w:rPr>
              <w:t xml:space="preserve"> </w:t>
            </w:r>
            <w:r>
              <w:rPr>
                <w:color w:val="231F20"/>
                <w:w w:val="85"/>
                <w:sz w:val="15"/>
              </w:rPr>
              <w:t>primary</w:t>
            </w:r>
            <w:r>
              <w:rPr>
                <w:color w:val="231F20"/>
                <w:spacing w:val="-22"/>
                <w:w w:val="85"/>
                <w:sz w:val="15"/>
              </w:rPr>
              <w:t xml:space="preserve"> </w:t>
            </w:r>
            <w:r>
              <w:rPr>
                <w:color w:val="231F20"/>
                <w:w w:val="85"/>
                <w:sz w:val="15"/>
              </w:rPr>
              <w:t>health</w:t>
            </w:r>
            <w:r>
              <w:rPr>
                <w:color w:val="231F20"/>
                <w:spacing w:val="-22"/>
                <w:w w:val="85"/>
                <w:sz w:val="15"/>
              </w:rPr>
              <w:t xml:space="preserve"> </w:t>
            </w:r>
            <w:r>
              <w:rPr>
                <w:color w:val="231F20"/>
                <w:w w:val="85"/>
                <w:sz w:val="15"/>
              </w:rPr>
              <w:t>facilities</w:t>
            </w:r>
            <w:r>
              <w:rPr>
                <w:color w:val="231F20"/>
                <w:spacing w:val="-22"/>
                <w:w w:val="85"/>
                <w:sz w:val="15"/>
              </w:rPr>
              <w:t xml:space="preserve"> </w:t>
            </w:r>
            <w:r>
              <w:rPr>
                <w:color w:val="231F20"/>
                <w:w w:val="85"/>
                <w:sz w:val="15"/>
              </w:rPr>
              <w:t>in</w:t>
            </w:r>
            <w:r>
              <w:rPr>
                <w:color w:val="231F20"/>
                <w:spacing w:val="-22"/>
                <w:w w:val="85"/>
                <w:sz w:val="15"/>
              </w:rPr>
              <w:t xml:space="preserve"> </w:t>
            </w:r>
            <w:r>
              <w:rPr>
                <w:color w:val="231F20"/>
                <w:w w:val="85"/>
                <w:sz w:val="15"/>
              </w:rPr>
              <w:t>the</w:t>
            </w:r>
            <w:r>
              <w:rPr>
                <w:color w:val="231F20"/>
                <w:spacing w:val="-22"/>
                <w:w w:val="85"/>
                <w:sz w:val="15"/>
              </w:rPr>
              <w:t xml:space="preserve"> </w:t>
            </w:r>
            <w:r>
              <w:rPr>
                <w:color w:val="231F20"/>
                <w:w w:val="85"/>
                <w:sz w:val="15"/>
              </w:rPr>
              <w:t>State</w:t>
            </w:r>
            <w:r>
              <w:rPr>
                <w:color w:val="231F20"/>
                <w:spacing w:val="-22"/>
                <w:w w:val="85"/>
                <w:sz w:val="15"/>
              </w:rPr>
              <w:t xml:space="preserve"> </w:t>
            </w:r>
            <w:r>
              <w:rPr>
                <w:color w:val="231F20"/>
                <w:w w:val="85"/>
                <w:sz w:val="15"/>
              </w:rPr>
              <w:t>&amp;</w:t>
            </w:r>
            <w:r>
              <w:rPr>
                <w:color w:val="231F20"/>
                <w:spacing w:val="-22"/>
                <w:w w:val="85"/>
                <w:sz w:val="15"/>
              </w:rPr>
              <w:t xml:space="preserve"> </w:t>
            </w:r>
            <w:r>
              <w:rPr>
                <w:color w:val="231F20"/>
                <w:w w:val="85"/>
                <w:sz w:val="15"/>
              </w:rPr>
              <w:t>LGA</w:t>
            </w:r>
            <w:r>
              <w:rPr>
                <w:color w:val="231F20"/>
                <w:spacing w:val="-25"/>
                <w:w w:val="85"/>
                <w:sz w:val="15"/>
              </w:rPr>
              <w:t xml:space="preserve"> </w:t>
            </w:r>
            <w:r>
              <w:rPr>
                <w:color w:val="231F20"/>
                <w:w w:val="85"/>
                <w:sz w:val="15"/>
              </w:rPr>
              <w:t>as</w:t>
            </w:r>
            <w:r>
              <w:rPr>
                <w:color w:val="231F20"/>
                <w:spacing w:val="-21"/>
                <w:w w:val="85"/>
                <w:sz w:val="15"/>
              </w:rPr>
              <w:t xml:space="preserve"> </w:t>
            </w:r>
            <w:r>
              <w:rPr>
                <w:color w:val="231F20"/>
                <w:w w:val="85"/>
                <w:sz w:val="15"/>
              </w:rPr>
              <w:t>planned</w:t>
            </w:r>
            <w:r>
              <w:rPr>
                <w:color w:val="231F20"/>
                <w:spacing w:val="-22"/>
                <w:w w:val="85"/>
                <w:sz w:val="15"/>
              </w:rPr>
              <w:t xml:space="preserve"> </w:t>
            </w:r>
            <w:r>
              <w:rPr>
                <w:color w:val="231F20"/>
                <w:w w:val="85"/>
                <w:sz w:val="15"/>
              </w:rPr>
              <w:t>by</w:t>
            </w:r>
            <w:r>
              <w:rPr>
                <w:color w:val="231F20"/>
                <w:spacing w:val="-22"/>
                <w:w w:val="85"/>
                <w:sz w:val="15"/>
              </w:rPr>
              <w:t xml:space="preserve"> </w:t>
            </w:r>
            <w:r>
              <w:rPr>
                <w:color w:val="231F20"/>
                <w:w w:val="85"/>
                <w:sz w:val="15"/>
              </w:rPr>
              <w:t xml:space="preserve">the </w:t>
            </w:r>
            <w:r>
              <w:rPr>
                <w:color w:val="231F20"/>
                <w:w w:val="90"/>
                <w:sz w:val="15"/>
              </w:rPr>
              <w:t>various</w:t>
            </w:r>
            <w:r>
              <w:rPr>
                <w:color w:val="231F20"/>
                <w:spacing w:val="-7"/>
                <w:w w:val="90"/>
                <w:sz w:val="15"/>
              </w:rPr>
              <w:t xml:space="preserve"> </w:t>
            </w:r>
            <w:r>
              <w:rPr>
                <w:color w:val="231F20"/>
                <w:w w:val="90"/>
                <w:sz w:val="15"/>
              </w:rPr>
              <w:t>departments</w:t>
            </w:r>
          </w:p>
        </w:tc>
        <w:tc>
          <w:tcPr>
            <w:tcW w:w="1430" w:type="dxa"/>
          </w:tcPr>
          <w:p w14:paraId="79741E67" w14:textId="77777777" w:rsidR="009948F1" w:rsidRDefault="009948F1">
            <w:pPr>
              <w:pStyle w:val="TableParagraph"/>
              <w:spacing w:before="6"/>
              <w:rPr>
                <w:sz w:val="16"/>
              </w:rPr>
            </w:pPr>
          </w:p>
          <w:p w14:paraId="76BF4848" w14:textId="77777777" w:rsidR="009948F1" w:rsidRDefault="00BC0563">
            <w:pPr>
              <w:pStyle w:val="TableParagraph"/>
              <w:ind w:left="20"/>
              <w:rPr>
                <w:sz w:val="15"/>
              </w:rPr>
            </w:pPr>
            <w:r>
              <w:rPr>
                <w:color w:val="231F20"/>
                <w:w w:val="90"/>
                <w:sz w:val="15"/>
              </w:rPr>
              <w:t>Lack of funds</w:t>
            </w:r>
          </w:p>
        </w:tc>
        <w:tc>
          <w:tcPr>
            <w:tcW w:w="1508" w:type="dxa"/>
          </w:tcPr>
          <w:p w14:paraId="2344DD88" w14:textId="77777777" w:rsidR="009948F1" w:rsidRDefault="009948F1">
            <w:pPr>
              <w:pStyle w:val="TableParagraph"/>
              <w:spacing w:before="6"/>
              <w:rPr>
                <w:sz w:val="16"/>
              </w:rPr>
            </w:pPr>
          </w:p>
          <w:p w14:paraId="23F36920" w14:textId="77777777" w:rsidR="009948F1" w:rsidRDefault="00BC0563">
            <w:pPr>
              <w:pStyle w:val="TableParagraph"/>
              <w:ind w:left="19"/>
              <w:rPr>
                <w:sz w:val="15"/>
              </w:rPr>
            </w:pPr>
            <w:r>
              <w:rPr>
                <w:color w:val="231F20"/>
                <w:w w:val="85"/>
                <w:sz w:val="15"/>
              </w:rPr>
              <w:t>Conduct periodic meeting</w:t>
            </w:r>
          </w:p>
        </w:tc>
      </w:tr>
      <w:tr w:rsidR="009948F1" w14:paraId="4F5907F9" w14:textId="77777777" w:rsidTr="00661EED">
        <w:trPr>
          <w:trHeight w:val="578"/>
        </w:trPr>
        <w:tc>
          <w:tcPr>
            <w:tcW w:w="1043" w:type="dxa"/>
            <w:gridSpan w:val="3"/>
            <w:vMerge/>
            <w:tcBorders>
              <w:top w:val="nil"/>
              <w:bottom w:val="nil"/>
            </w:tcBorders>
          </w:tcPr>
          <w:p w14:paraId="4F1928EB" w14:textId="77777777" w:rsidR="009948F1" w:rsidRDefault="009948F1">
            <w:pPr>
              <w:rPr>
                <w:sz w:val="2"/>
                <w:szCs w:val="2"/>
              </w:rPr>
            </w:pPr>
          </w:p>
        </w:tc>
        <w:tc>
          <w:tcPr>
            <w:tcW w:w="527" w:type="dxa"/>
          </w:tcPr>
          <w:p w14:paraId="13439F6F" w14:textId="77777777" w:rsidR="009948F1" w:rsidRDefault="009948F1">
            <w:pPr>
              <w:pStyle w:val="TableParagraph"/>
              <w:spacing w:before="7"/>
            </w:pPr>
          </w:p>
          <w:p w14:paraId="2448138F" w14:textId="77777777" w:rsidR="009948F1" w:rsidRDefault="00BC0563">
            <w:pPr>
              <w:pStyle w:val="TableParagraph"/>
              <w:spacing w:before="1"/>
              <w:ind w:left="20" w:right="8"/>
              <w:jc w:val="center"/>
              <w:rPr>
                <w:sz w:val="15"/>
              </w:rPr>
            </w:pPr>
            <w:r>
              <w:rPr>
                <w:color w:val="231F20"/>
                <w:w w:val="80"/>
                <w:sz w:val="15"/>
              </w:rPr>
              <w:t>10.1.3.c</w:t>
            </w:r>
          </w:p>
        </w:tc>
        <w:tc>
          <w:tcPr>
            <w:tcW w:w="4903" w:type="dxa"/>
            <w:gridSpan w:val="2"/>
          </w:tcPr>
          <w:p w14:paraId="7C230B32" w14:textId="77777777" w:rsidR="009948F1" w:rsidRDefault="009948F1">
            <w:pPr>
              <w:pStyle w:val="TableParagraph"/>
              <w:spacing w:before="7"/>
              <w:rPr>
                <w:sz w:val="13"/>
              </w:rPr>
            </w:pPr>
          </w:p>
          <w:p w14:paraId="67716A7B" w14:textId="256C578B" w:rsidR="009948F1" w:rsidRDefault="00BC0563">
            <w:pPr>
              <w:pStyle w:val="TableParagraph"/>
              <w:spacing w:line="268" w:lineRule="auto"/>
              <w:ind w:left="20" w:right="706"/>
              <w:rPr>
                <w:sz w:val="15"/>
              </w:rPr>
            </w:pPr>
            <w:r>
              <w:rPr>
                <w:color w:val="231F20"/>
                <w:w w:val="80"/>
                <w:sz w:val="15"/>
              </w:rPr>
              <w:t xml:space="preserve">Establish a system for procurements of health infrastructure (e.g. vehicle, ICT, </w:t>
            </w:r>
            <w:r>
              <w:rPr>
                <w:color w:val="231F20"/>
                <w:w w:val="90"/>
                <w:sz w:val="15"/>
              </w:rPr>
              <w:t xml:space="preserve">communication, equipment </w:t>
            </w:r>
            <w:r w:rsidR="00661EED">
              <w:rPr>
                <w:color w:val="231F20"/>
                <w:w w:val="90"/>
                <w:sz w:val="15"/>
              </w:rPr>
              <w:t>etc.</w:t>
            </w:r>
            <w:r>
              <w:rPr>
                <w:color w:val="231F20"/>
                <w:w w:val="90"/>
                <w:sz w:val="15"/>
              </w:rPr>
              <w:t>) in partnership with the private sector</w:t>
            </w:r>
          </w:p>
        </w:tc>
        <w:tc>
          <w:tcPr>
            <w:tcW w:w="1430" w:type="dxa"/>
          </w:tcPr>
          <w:p w14:paraId="050EF17D" w14:textId="77777777" w:rsidR="009948F1" w:rsidRDefault="009948F1">
            <w:pPr>
              <w:pStyle w:val="TableParagraph"/>
              <w:spacing w:before="7"/>
            </w:pPr>
          </w:p>
          <w:p w14:paraId="2953051B" w14:textId="77777777" w:rsidR="009948F1" w:rsidRDefault="00BC0563">
            <w:pPr>
              <w:pStyle w:val="TableParagraph"/>
              <w:spacing w:before="1"/>
              <w:ind w:left="20"/>
              <w:rPr>
                <w:sz w:val="15"/>
              </w:rPr>
            </w:pPr>
            <w:r>
              <w:rPr>
                <w:color w:val="231F20"/>
                <w:w w:val="90"/>
                <w:sz w:val="15"/>
              </w:rPr>
              <w:t>Lack of funds</w:t>
            </w:r>
          </w:p>
        </w:tc>
        <w:tc>
          <w:tcPr>
            <w:tcW w:w="1508" w:type="dxa"/>
          </w:tcPr>
          <w:p w14:paraId="70F7953A" w14:textId="77777777" w:rsidR="009948F1" w:rsidRDefault="009948F1">
            <w:pPr>
              <w:pStyle w:val="TableParagraph"/>
              <w:spacing w:before="7"/>
            </w:pPr>
          </w:p>
          <w:p w14:paraId="6524C9A7" w14:textId="77777777" w:rsidR="009948F1" w:rsidRDefault="00BC0563">
            <w:pPr>
              <w:pStyle w:val="TableParagraph"/>
              <w:spacing w:before="1"/>
              <w:ind w:left="19"/>
              <w:rPr>
                <w:sz w:val="15"/>
              </w:rPr>
            </w:pPr>
            <w:r>
              <w:rPr>
                <w:color w:val="231F20"/>
                <w:w w:val="90"/>
                <w:sz w:val="15"/>
              </w:rPr>
              <w:t>Establish a system</w:t>
            </w:r>
          </w:p>
        </w:tc>
      </w:tr>
      <w:tr w:rsidR="009948F1" w14:paraId="6D67C1FB" w14:textId="77777777" w:rsidTr="00661EED">
        <w:trPr>
          <w:trHeight w:val="587"/>
        </w:trPr>
        <w:tc>
          <w:tcPr>
            <w:tcW w:w="1043" w:type="dxa"/>
            <w:gridSpan w:val="3"/>
            <w:vMerge/>
            <w:tcBorders>
              <w:top w:val="nil"/>
              <w:bottom w:val="nil"/>
            </w:tcBorders>
          </w:tcPr>
          <w:p w14:paraId="2593C269" w14:textId="77777777" w:rsidR="009948F1" w:rsidRDefault="009948F1">
            <w:pPr>
              <w:rPr>
                <w:sz w:val="2"/>
                <w:szCs w:val="2"/>
              </w:rPr>
            </w:pPr>
          </w:p>
        </w:tc>
        <w:tc>
          <w:tcPr>
            <w:tcW w:w="527" w:type="dxa"/>
          </w:tcPr>
          <w:p w14:paraId="3095FFA7" w14:textId="77777777" w:rsidR="009948F1" w:rsidRDefault="009948F1">
            <w:pPr>
              <w:pStyle w:val="TableParagraph"/>
              <w:rPr>
                <w:sz w:val="16"/>
              </w:rPr>
            </w:pPr>
          </w:p>
          <w:p w14:paraId="057D646A" w14:textId="77777777" w:rsidR="009948F1" w:rsidRDefault="00BC0563">
            <w:pPr>
              <w:pStyle w:val="TableParagraph"/>
              <w:spacing w:before="96"/>
              <w:ind w:left="19" w:right="8"/>
              <w:jc w:val="center"/>
              <w:rPr>
                <w:sz w:val="15"/>
              </w:rPr>
            </w:pPr>
            <w:r>
              <w:rPr>
                <w:color w:val="231F20"/>
                <w:w w:val="80"/>
                <w:sz w:val="15"/>
              </w:rPr>
              <w:t>10.1.3.d</w:t>
            </w:r>
          </w:p>
        </w:tc>
        <w:tc>
          <w:tcPr>
            <w:tcW w:w="4903" w:type="dxa"/>
            <w:gridSpan w:val="2"/>
          </w:tcPr>
          <w:p w14:paraId="3681F992" w14:textId="77777777" w:rsidR="009948F1" w:rsidRDefault="009948F1">
            <w:pPr>
              <w:pStyle w:val="TableParagraph"/>
              <w:spacing w:before="4"/>
              <w:rPr>
                <w:sz w:val="15"/>
              </w:rPr>
            </w:pPr>
          </w:p>
          <w:p w14:paraId="33501F52" w14:textId="77777777" w:rsidR="009948F1" w:rsidRDefault="00BC0563">
            <w:pPr>
              <w:pStyle w:val="TableParagraph"/>
              <w:spacing w:before="1" w:line="268" w:lineRule="auto"/>
              <w:ind w:left="20" w:right="51"/>
              <w:rPr>
                <w:sz w:val="15"/>
              </w:rPr>
            </w:pPr>
            <w:r>
              <w:rPr>
                <w:color w:val="231F20"/>
                <w:w w:val="80"/>
                <w:sz w:val="15"/>
              </w:rPr>
              <w:t xml:space="preserve">Cost of engaging and supervising the contractor to provide equipment and infrastructure in </w:t>
            </w:r>
            <w:r>
              <w:rPr>
                <w:color w:val="231F20"/>
                <w:w w:val="90"/>
                <w:sz w:val="15"/>
              </w:rPr>
              <w:t>primary and secondary HFs in the state</w:t>
            </w:r>
          </w:p>
        </w:tc>
        <w:tc>
          <w:tcPr>
            <w:tcW w:w="1430" w:type="dxa"/>
          </w:tcPr>
          <w:p w14:paraId="23CE58FE" w14:textId="77777777" w:rsidR="009948F1" w:rsidRDefault="009948F1">
            <w:pPr>
              <w:pStyle w:val="TableParagraph"/>
              <w:rPr>
                <w:sz w:val="16"/>
              </w:rPr>
            </w:pPr>
          </w:p>
          <w:p w14:paraId="3E38D7B3" w14:textId="77777777" w:rsidR="009948F1" w:rsidRDefault="00BC0563">
            <w:pPr>
              <w:pStyle w:val="TableParagraph"/>
              <w:spacing w:before="96"/>
              <w:ind w:left="20"/>
              <w:rPr>
                <w:sz w:val="15"/>
              </w:rPr>
            </w:pPr>
            <w:r>
              <w:rPr>
                <w:color w:val="231F20"/>
                <w:w w:val="90"/>
                <w:sz w:val="15"/>
              </w:rPr>
              <w:t>Lack of funds</w:t>
            </w:r>
          </w:p>
        </w:tc>
        <w:tc>
          <w:tcPr>
            <w:tcW w:w="1508" w:type="dxa"/>
          </w:tcPr>
          <w:p w14:paraId="25B7B62F" w14:textId="77777777" w:rsidR="009948F1" w:rsidRDefault="009948F1">
            <w:pPr>
              <w:pStyle w:val="TableParagraph"/>
              <w:rPr>
                <w:sz w:val="16"/>
              </w:rPr>
            </w:pPr>
          </w:p>
          <w:p w14:paraId="13D4FFD8" w14:textId="77777777" w:rsidR="009948F1" w:rsidRDefault="00BC0563">
            <w:pPr>
              <w:pStyle w:val="TableParagraph"/>
              <w:spacing w:before="96"/>
              <w:ind w:left="19"/>
              <w:rPr>
                <w:sz w:val="15"/>
              </w:rPr>
            </w:pPr>
            <w:r>
              <w:rPr>
                <w:color w:val="231F20"/>
                <w:w w:val="90"/>
                <w:sz w:val="15"/>
              </w:rPr>
              <w:t>Costed in OHT</w:t>
            </w:r>
          </w:p>
        </w:tc>
      </w:tr>
      <w:tr w:rsidR="009948F1" w14:paraId="6C0753E8" w14:textId="77777777">
        <w:trPr>
          <w:trHeight w:val="380"/>
        </w:trPr>
        <w:tc>
          <w:tcPr>
            <w:tcW w:w="1043" w:type="dxa"/>
            <w:gridSpan w:val="3"/>
            <w:vMerge/>
            <w:tcBorders>
              <w:top w:val="nil"/>
              <w:bottom w:val="nil"/>
            </w:tcBorders>
          </w:tcPr>
          <w:p w14:paraId="4089A315" w14:textId="77777777" w:rsidR="009948F1" w:rsidRDefault="009948F1">
            <w:pPr>
              <w:rPr>
                <w:sz w:val="2"/>
                <w:szCs w:val="2"/>
              </w:rPr>
            </w:pPr>
          </w:p>
        </w:tc>
        <w:tc>
          <w:tcPr>
            <w:tcW w:w="527" w:type="dxa"/>
          </w:tcPr>
          <w:p w14:paraId="7B4241DB" w14:textId="77777777" w:rsidR="009948F1" w:rsidRDefault="00BC0563">
            <w:pPr>
              <w:pStyle w:val="TableParagraph"/>
              <w:spacing w:before="106"/>
              <w:ind w:left="19" w:right="8"/>
              <w:jc w:val="center"/>
              <w:rPr>
                <w:sz w:val="15"/>
              </w:rPr>
            </w:pPr>
            <w:r>
              <w:rPr>
                <w:color w:val="231F20"/>
                <w:w w:val="80"/>
                <w:sz w:val="15"/>
              </w:rPr>
              <w:t>10.1.3.e</w:t>
            </w:r>
          </w:p>
        </w:tc>
        <w:tc>
          <w:tcPr>
            <w:tcW w:w="4903" w:type="dxa"/>
            <w:gridSpan w:val="2"/>
          </w:tcPr>
          <w:p w14:paraId="37E5579C" w14:textId="77777777" w:rsidR="009948F1" w:rsidRDefault="00BC0563">
            <w:pPr>
              <w:pStyle w:val="TableParagraph"/>
              <w:spacing w:before="5"/>
              <w:ind w:left="20"/>
              <w:rPr>
                <w:sz w:val="15"/>
              </w:rPr>
            </w:pPr>
            <w:r>
              <w:rPr>
                <w:color w:val="231F20"/>
                <w:w w:val="85"/>
                <w:sz w:val="15"/>
              </w:rPr>
              <w:t>Advocate</w:t>
            </w:r>
            <w:r>
              <w:rPr>
                <w:color w:val="231F20"/>
                <w:spacing w:val="-20"/>
                <w:w w:val="85"/>
                <w:sz w:val="15"/>
              </w:rPr>
              <w:t xml:space="preserve"> </w:t>
            </w:r>
            <w:r>
              <w:rPr>
                <w:color w:val="231F20"/>
                <w:w w:val="85"/>
                <w:sz w:val="15"/>
              </w:rPr>
              <w:t>for</w:t>
            </w:r>
            <w:r>
              <w:rPr>
                <w:color w:val="231F20"/>
                <w:spacing w:val="-20"/>
                <w:w w:val="85"/>
                <w:sz w:val="15"/>
              </w:rPr>
              <w:t xml:space="preserve"> </w:t>
            </w:r>
            <w:r>
              <w:rPr>
                <w:color w:val="231F20"/>
                <w:w w:val="85"/>
                <w:sz w:val="15"/>
              </w:rPr>
              <w:t>dedicated</w:t>
            </w:r>
            <w:r>
              <w:rPr>
                <w:color w:val="231F20"/>
                <w:spacing w:val="-20"/>
                <w:w w:val="85"/>
                <w:sz w:val="15"/>
              </w:rPr>
              <w:t xml:space="preserve"> </w:t>
            </w:r>
            <w:r>
              <w:rPr>
                <w:color w:val="231F20"/>
                <w:w w:val="85"/>
                <w:sz w:val="15"/>
              </w:rPr>
              <w:t>funds</w:t>
            </w:r>
            <w:r>
              <w:rPr>
                <w:color w:val="231F20"/>
                <w:spacing w:val="-19"/>
                <w:w w:val="85"/>
                <w:sz w:val="15"/>
              </w:rPr>
              <w:t xml:space="preserve"> </w:t>
            </w:r>
            <w:r>
              <w:rPr>
                <w:color w:val="231F20"/>
                <w:w w:val="85"/>
                <w:sz w:val="15"/>
              </w:rPr>
              <w:t>for</w:t>
            </w:r>
            <w:r>
              <w:rPr>
                <w:color w:val="231F20"/>
                <w:spacing w:val="-20"/>
                <w:w w:val="85"/>
                <w:sz w:val="15"/>
              </w:rPr>
              <w:t xml:space="preserve"> </w:t>
            </w:r>
            <w:r>
              <w:rPr>
                <w:color w:val="231F20"/>
                <w:w w:val="85"/>
                <w:sz w:val="15"/>
              </w:rPr>
              <w:t>health</w:t>
            </w:r>
            <w:r>
              <w:rPr>
                <w:color w:val="231F20"/>
                <w:spacing w:val="-20"/>
                <w:w w:val="85"/>
                <w:sz w:val="15"/>
              </w:rPr>
              <w:t xml:space="preserve"> </w:t>
            </w:r>
            <w:r>
              <w:rPr>
                <w:color w:val="231F20"/>
                <w:w w:val="85"/>
                <w:sz w:val="15"/>
              </w:rPr>
              <w:t>infrastructure</w:t>
            </w:r>
            <w:r>
              <w:rPr>
                <w:color w:val="231F20"/>
                <w:spacing w:val="-19"/>
                <w:w w:val="85"/>
                <w:sz w:val="15"/>
              </w:rPr>
              <w:t xml:space="preserve"> </w:t>
            </w:r>
            <w:r>
              <w:rPr>
                <w:color w:val="231F20"/>
                <w:w w:val="85"/>
                <w:sz w:val="15"/>
              </w:rPr>
              <w:t>development</w:t>
            </w:r>
            <w:r>
              <w:rPr>
                <w:color w:val="231F20"/>
                <w:spacing w:val="-20"/>
                <w:w w:val="85"/>
                <w:sz w:val="15"/>
              </w:rPr>
              <w:t xml:space="preserve"> </w:t>
            </w:r>
            <w:r>
              <w:rPr>
                <w:color w:val="231F20"/>
                <w:w w:val="85"/>
                <w:sz w:val="15"/>
              </w:rPr>
              <w:t>and</w:t>
            </w:r>
            <w:r>
              <w:rPr>
                <w:color w:val="231F20"/>
                <w:spacing w:val="-20"/>
                <w:w w:val="85"/>
                <w:sz w:val="15"/>
              </w:rPr>
              <w:t xml:space="preserve"> </w:t>
            </w:r>
            <w:r>
              <w:rPr>
                <w:color w:val="231F20"/>
                <w:w w:val="85"/>
                <w:sz w:val="15"/>
              </w:rPr>
              <w:t>management</w:t>
            </w:r>
            <w:r>
              <w:rPr>
                <w:color w:val="231F20"/>
                <w:spacing w:val="-19"/>
                <w:w w:val="85"/>
                <w:sz w:val="15"/>
              </w:rPr>
              <w:t xml:space="preserve"> </w:t>
            </w:r>
            <w:r>
              <w:rPr>
                <w:color w:val="231F20"/>
                <w:w w:val="85"/>
                <w:sz w:val="15"/>
              </w:rPr>
              <w:t>in</w:t>
            </w:r>
          </w:p>
          <w:p w14:paraId="745EC89F" w14:textId="77777777" w:rsidR="009948F1" w:rsidRDefault="00BC0563">
            <w:pPr>
              <w:pStyle w:val="TableParagraph"/>
              <w:spacing w:before="22" w:line="161" w:lineRule="exact"/>
              <w:ind w:left="20"/>
              <w:rPr>
                <w:sz w:val="15"/>
              </w:rPr>
            </w:pPr>
            <w:r>
              <w:rPr>
                <w:color w:val="231F20"/>
                <w:w w:val="90"/>
                <w:sz w:val="15"/>
              </w:rPr>
              <w:t>Nigeria</w:t>
            </w:r>
          </w:p>
        </w:tc>
        <w:tc>
          <w:tcPr>
            <w:tcW w:w="1430" w:type="dxa"/>
          </w:tcPr>
          <w:p w14:paraId="73436A81" w14:textId="77777777" w:rsidR="009948F1" w:rsidRDefault="00BC0563">
            <w:pPr>
              <w:pStyle w:val="TableParagraph"/>
              <w:spacing w:before="106"/>
              <w:ind w:left="20"/>
              <w:rPr>
                <w:sz w:val="15"/>
              </w:rPr>
            </w:pPr>
            <w:r>
              <w:rPr>
                <w:color w:val="231F20"/>
                <w:w w:val="90"/>
                <w:sz w:val="15"/>
              </w:rPr>
              <w:t>Lack of funds</w:t>
            </w:r>
          </w:p>
        </w:tc>
        <w:tc>
          <w:tcPr>
            <w:tcW w:w="1508" w:type="dxa"/>
          </w:tcPr>
          <w:p w14:paraId="7C59C2AF" w14:textId="77777777" w:rsidR="009948F1" w:rsidRDefault="00BC0563">
            <w:pPr>
              <w:pStyle w:val="TableParagraph"/>
              <w:spacing w:before="9"/>
              <w:ind w:left="19"/>
              <w:rPr>
                <w:sz w:val="15"/>
              </w:rPr>
            </w:pPr>
            <w:r>
              <w:rPr>
                <w:color w:val="231F20"/>
                <w:w w:val="90"/>
                <w:sz w:val="15"/>
              </w:rPr>
              <w:t>Advocate for dedicated</w:t>
            </w:r>
          </w:p>
          <w:p w14:paraId="1A8E9C1A" w14:textId="77777777" w:rsidR="009948F1" w:rsidRDefault="00BC0563">
            <w:pPr>
              <w:pStyle w:val="TableParagraph"/>
              <w:spacing w:before="21" w:line="158" w:lineRule="exact"/>
              <w:ind w:left="19"/>
              <w:rPr>
                <w:sz w:val="15"/>
              </w:rPr>
            </w:pPr>
            <w:r>
              <w:rPr>
                <w:color w:val="231F20"/>
                <w:w w:val="90"/>
                <w:sz w:val="15"/>
              </w:rPr>
              <w:t>fund</w:t>
            </w:r>
          </w:p>
        </w:tc>
      </w:tr>
      <w:tr w:rsidR="009948F1" w14:paraId="62A3AE16" w14:textId="77777777" w:rsidTr="00661EED">
        <w:trPr>
          <w:trHeight w:val="686"/>
        </w:trPr>
        <w:tc>
          <w:tcPr>
            <w:tcW w:w="587" w:type="dxa"/>
            <w:gridSpan w:val="2"/>
            <w:tcBorders>
              <w:top w:val="nil"/>
              <w:bottom w:val="nil"/>
            </w:tcBorders>
          </w:tcPr>
          <w:p w14:paraId="702AC98A" w14:textId="77777777" w:rsidR="009948F1" w:rsidRDefault="009948F1">
            <w:pPr>
              <w:pStyle w:val="TableParagraph"/>
              <w:rPr>
                <w:rFonts w:ascii="Times New Roman"/>
                <w:sz w:val="10"/>
              </w:rPr>
            </w:pPr>
          </w:p>
        </w:tc>
        <w:tc>
          <w:tcPr>
            <w:tcW w:w="456" w:type="dxa"/>
            <w:shd w:val="clear" w:color="auto" w:fill="CCE7D3"/>
          </w:tcPr>
          <w:p w14:paraId="3482A074" w14:textId="77777777" w:rsidR="009948F1" w:rsidRDefault="009948F1">
            <w:pPr>
              <w:pStyle w:val="TableParagraph"/>
              <w:rPr>
                <w:sz w:val="16"/>
              </w:rPr>
            </w:pPr>
          </w:p>
          <w:p w14:paraId="12525C95" w14:textId="77777777" w:rsidR="009948F1" w:rsidRDefault="009948F1">
            <w:pPr>
              <w:pStyle w:val="TableParagraph"/>
              <w:spacing w:before="6"/>
              <w:rPr>
                <w:sz w:val="13"/>
              </w:rPr>
            </w:pPr>
          </w:p>
          <w:p w14:paraId="7CB67CD1" w14:textId="77777777" w:rsidR="009948F1" w:rsidRDefault="00BC0563">
            <w:pPr>
              <w:pStyle w:val="TableParagraph"/>
              <w:ind w:left="22" w:right="23"/>
              <w:jc w:val="center"/>
              <w:rPr>
                <w:sz w:val="15"/>
              </w:rPr>
            </w:pPr>
            <w:r>
              <w:rPr>
                <w:color w:val="231F20"/>
                <w:w w:val="85"/>
                <w:sz w:val="15"/>
              </w:rPr>
              <w:t>10.1.4</w:t>
            </w:r>
          </w:p>
        </w:tc>
        <w:tc>
          <w:tcPr>
            <w:tcW w:w="3042" w:type="dxa"/>
            <w:gridSpan w:val="2"/>
            <w:shd w:val="clear" w:color="auto" w:fill="CCE7D3"/>
          </w:tcPr>
          <w:p w14:paraId="7FDF6312" w14:textId="77777777" w:rsidR="009948F1" w:rsidRDefault="009948F1">
            <w:pPr>
              <w:pStyle w:val="TableParagraph"/>
              <w:spacing w:before="5"/>
              <w:rPr>
                <w:sz w:val="20"/>
              </w:rPr>
            </w:pPr>
          </w:p>
          <w:p w14:paraId="37E8A133" w14:textId="77777777" w:rsidR="009948F1" w:rsidRDefault="00BC0563">
            <w:pPr>
              <w:pStyle w:val="TableParagraph"/>
              <w:spacing w:line="268" w:lineRule="auto"/>
              <w:ind w:left="20" w:right="12" w:firstLine="33"/>
              <w:rPr>
                <w:sz w:val="15"/>
              </w:rPr>
            </w:pPr>
            <w:r>
              <w:rPr>
                <w:color w:val="231F20"/>
                <w:w w:val="80"/>
                <w:sz w:val="15"/>
              </w:rPr>
              <w:t xml:space="preserve">Strengthen the monitoring of health infrastructure, </w:t>
            </w:r>
            <w:r>
              <w:rPr>
                <w:color w:val="231F20"/>
                <w:w w:val="90"/>
                <w:sz w:val="15"/>
              </w:rPr>
              <w:t>including inventories and performance</w:t>
            </w:r>
          </w:p>
        </w:tc>
        <w:tc>
          <w:tcPr>
            <w:tcW w:w="2388" w:type="dxa"/>
            <w:shd w:val="clear" w:color="auto" w:fill="CCE7D3"/>
          </w:tcPr>
          <w:p w14:paraId="727CFE83" w14:textId="77777777" w:rsidR="009948F1" w:rsidRDefault="00BC0563">
            <w:pPr>
              <w:pStyle w:val="TableParagraph"/>
              <w:numPr>
                <w:ilvl w:val="0"/>
                <w:numId w:val="52"/>
              </w:numPr>
              <w:tabs>
                <w:tab w:val="left" w:pos="96"/>
              </w:tabs>
              <w:spacing w:before="5" w:line="268" w:lineRule="auto"/>
              <w:ind w:right="163" w:firstLine="0"/>
              <w:rPr>
                <w:sz w:val="15"/>
              </w:rPr>
            </w:pPr>
            <w:r>
              <w:rPr>
                <w:color w:val="231F20"/>
                <w:w w:val="85"/>
                <w:sz w:val="15"/>
              </w:rPr>
              <w:t xml:space="preserve">Monitoring of health infrastructures, </w:t>
            </w:r>
            <w:r>
              <w:rPr>
                <w:color w:val="231F20"/>
                <w:w w:val="80"/>
                <w:sz w:val="15"/>
              </w:rPr>
              <w:t>including inventories &amp; performance</w:t>
            </w:r>
            <w:r>
              <w:rPr>
                <w:color w:val="231F20"/>
                <w:spacing w:val="-20"/>
                <w:w w:val="80"/>
                <w:sz w:val="15"/>
              </w:rPr>
              <w:t xml:space="preserve"> </w:t>
            </w:r>
            <w:r>
              <w:rPr>
                <w:color w:val="231F20"/>
                <w:spacing w:val="-4"/>
                <w:w w:val="80"/>
                <w:sz w:val="15"/>
              </w:rPr>
              <w:t>done</w:t>
            </w:r>
          </w:p>
          <w:p w14:paraId="403CD164" w14:textId="77777777" w:rsidR="009948F1" w:rsidRDefault="00BC0563">
            <w:pPr>
              <w:pStyle w:val="TableParagraph"/>
              <w:numPr>
                <w:ilvl w:val="0"/>
                <w:numId w:val="52"/>
              </w:numPr>
              <w:tabs>
                <w:tab w:val="left" w:pos="64"/>
              </w:tabs>
              <w:spacing w:before="2" w:line="268" w:lineRule="auto"/>
              <w:ind w:right="280" w:firstLine="0"/>
              <w:rPr>
                <w:sz w:val="15"/>
              </w:rPr>
            </w:pPr>
            <w:r>
              <w:rPr>
                <w:color w:val="231F20"/>
                <w:w w:val="80"/>
                <w:sz w:val="15"/>
              </w:rPr>
              <w:t>Health</w:t>
            </w:r>
            <w:r>
              <w:rPr>
                <w:color w:val="231F20"/>
                <w:spacing w:val="-7"/>
                <w:w w:val="80"/>
                <w:sz w:val="15"/>
              </w:rPr>
              <w:t xml:space="preserve"> </w:t>
            </w:r>
            <w:r>
              <w:rPr>
                <w:color w:val="231F20"/>
                <w:w w:val="80"/>
                <w:sz w:val="15"/>
              </w:rPr>
              <w:t>infrastructures</w:t>
            </w:r>
            <w:r>
              <w:rPr>
                <w:color w:val="231F20"/>
                <w:spacing w:val="-6"/>
                <w:w w:val="80"/>
                <w:sz w:val="15"/>
              </w:rPr>
              <w:t xml:space="preserve"> </w:t>
            </w:r>
            <w:r>
              <w:rPr>
                <w:color w:val="231F20"/>
                <w:w w:val="80"/>
                <w:sz w:val="15"/>
              </w:rPr>
              <w:t>included</w:t>
            </w:r>
            <w:r>
              <w:rPr>
                <w:color w:val="231F20"/>
                <w:spacing w:val="-7"/>
                <w:w w:val="80"/>
                <w:sz w:val="15"/>
              </w:rPr>
              <w:t xml:space="preserve"> </w:t>
            </w:r>
            <w:r>
              <w:rPr>
                <w:color w:val="231F20"/>
                <w:w w:val="80"/>
                <w:sz w:val="15"/>
              </w:rPr>
              <w:t>into</w:t>
            </w:r>
            <w:r>
              <w:rPr>
                <w:color w:val="231F20"/>
                <w:spacing w:val="-6"/>
                <w:w w:val="80"/>
                <w:sz w:val="15"/>
              </w:rPr>
              <w:t xml:space="preserve"> </w:t>
            </w:r>
            <w:r>
              <w:rPr>
                <w:color w:val="231F20"/>
                <w:w w:val="80"/>
                <w:sz w:val="15"/>
              </w:rPr>
              <w:t xml:space="preserve">the </w:t>
            </w:r>
            <w:r>
              <w:rPr>
                <w:color w:val="231F20"/>
                <w:w w:val="90"/>
                <w:sz w:val="15"/>
              </w:rPr>
              <w:t>EMR</w:t>
            </w:r>
            <w:r>
              <w:rPr>
                <w:color w:val="231F20"/>
                <w:spacing w:val="-8"/>
                <w:w w:val="90"/>
                <w:sz w:val="15"/>
              </w:rPr>
              <w:t xml:space="preserve"> </w:t>
            </w:r>
            <w:r>
              <w:rPr>
                <w:color w:val="231F20"/>
                <w:w w:val="90"/>
                <w:sz w:val="15"/>
              </w:rPr>
              <w:t>framework</w:t>
            </w:r>
          </w:p>
        </w:tc>
        <w:tc>
          <w:tcPr>
            <w:tcW w:w="1430" w:type="dxa"/>
            <w:shd w:val="clear" w:color="auto" w:fill="CCE7D3"/>
          </w:tcPr>
          <w:p w14:paraId="7839AF15" w14:textId="77777777" w:rsidR="009948F1" w:rsidRDefault="009948F1">
            <w:pPr>
              <w:pStyle w:val="TableParagraph"/>
              <w:rPr>
                <w:rFonts w:ascii="Times New Roman"/>
                <w:sz w:val="10"/>
              </w:rPr>
            </w:pPr>
          </w:p>
        </w:tc>
        <w:tc>
          <w:tcPr>
            <w:tcW w:w="1508" w:type="dxa"/>
            <w:shd w:val="clear" w:color="auto" w:fill="CCE7D3"/>
          </w:tcPr>
          <w:p w14:paraId="57FEBCF3" w14:textId="77777777" w:rsidR="009948F1" w:rsidRDefault="009948F1">
            <w:pPr>
              <w:pStyle w:val="TableParagraph"/>
              <w:rPr>
                <w:rFonts w:ascii="Times New Roman"/>
                <w:sz w:val="10"/>
              </w:rPr>
            </w:pPr>
          </w:p>
        </w:tc>
      </w:tr>
      <w:tr w:rsidR="009948F1" w14:paraId="4619A64B" w14:textId="77777777" w:rsidTr="00661EED">
        <w:trPr>
          <w:trHeight w:val="346"/>
        </w:trPr>
        <w:tc>
          <w:tcPr>
            <w:tcW w:w="1043" w:type="dxa"/>
            <w:gridSpan w:val="3"/>
            <w:vMerge w:val="restart"/>
            <w:tcBorders>
              <w:top w:val="nil"/>
              <w:bottom w:val="nil"/>
            </w:tcBorders>
          </w:tcPr>
          <w:p w14:paraId="3C5A6CD7" w14:textId="77777777" w:rsidR="009948F1" w:rsidRDefault="009948F1">
            <w:pPr>
              <w:pStyle w:val="TableParagraph"/>
              <w:rPr>
                <w:rFonts w:ascii="Times New Roman"/>
                <w:sz w:val="10"/>
              </w:rPr>
            </w:pPr>
          </w:p>
        </w:tc>
        <w:tc>
          <w:tcPr>
            <w:tcW w:w="527" w:type="dxa"/>
          </w:tcPr>
          <w:p w14:paraId="740E4EB1" w14:textId="77777777" w:rsidR="009948F1" w:rsidRDefault="00BC0563">
            <w:pPr>
              <w:pStyle w:val="TableParagraph"/>
              <w:spacing w:before="103"/>
              <w:ind w:left="19" w:right="8"/>
              <w:jc w:val="center"/>
              <w:rPr>
                <w:sz w:val="15"/>
              </w:rPr>
            </w:pPr>
            <w:r>
              <w:rPr>
                <w:color w:val="231F20"/>
                <w:w w:val="80"/>
                <w:sz w:val="15"/>
              </w:rPr>
              <w:t>10.1.4.a</w:t>
            </w:r>
          </w:p>
        </w:tc>
        <w:tc>
          <w:tcPr>
            <w:tcW w:w="4903" w:type="dxa"/>
            <w:gridSpan w:val="2"/>
          </w:tcPr>
          <w:p w14:paraId="63EDCD4A" w14:textId="77777777" w:rsidR="009948F1" w:rsidRDefault="00BC0563">
            <w:pPr>
              <w:pStyle w:val="TableParagraph"/>
              <w:spacing w:line="92" w:lineRule="exact"/>
              <w:ind w:left="20"/>
              <w:rPr>
                <w:sz w:val="15"/>
              </w:rPr>
            </w:pPr>
            <w:r>
              <w:rPr>
                <w:color w:val="231F20"/>
                <w:w w:val="85"/>
                <w:sz w:val="15"/>
              </w:rPr>
              <w:t>Conduct</w:t>
            </w:r>
            <w:r>
              <w:rPr>
                <w:color w:val="231F20"/>
                <w:spacing w:val="-23"/>
                <w:w w:val="85"/>
                <w:sz w:val="15"/>
              </w:rPr>
              <w:t xml:space="preserve"> </w:t>
            </w:r>
            <w:r>
              <w:rPr>
                <w:color w:val="231F20"/>
                <w:w w:val="85"/>
                <w:sz w:val="15"/>
              </w:rPr>
              <w:t>monitoring</w:t>
            </w:r>
            <w:r>
              <w:rPr>
                <w:color w:val="231F20"/>
                <w:spacing w:val="-23"/>
                <w:w w:val="85"/>
                <w:sz w:val="15"/>
              </w:rPr>
              <w:t xml:space="preserve"> </w:t>
            </w:r>
            <w:r>
              <w:rPr>
                <w:color w:val="231F20"/>
                <w:w w:val="85"/>
                <w:sz w:val="15"/>
              </w:rPr>
              <w:t>of</w:t>
            </w:r>
            <w:r>
              <w:rPr>
                <w:color w:val="231F20"/>
                <w:spacing w:val="-22"/>
                <w:w w:val="85"/>
                <w:sz w:val="15"/>
              </w:rPr>
              <w:t xml:space="preserve"> </w:t>
            </w:r>
            <w:r>
              <w:rPr>
                <w:color w:val="231F20"/>
                <w:w w:val="85"/>
                <w:sz w:val="15"/>
              </w:rPr>
              <w:t>health</w:t>
            </w:r>
            <w:r>
              <w:rPr>
                <w:color w:val="231F20"/>
                <w:spacing w:val="-23"/>
                <w:w w:val="85"/>
                <w:sz w:val="15"/>
              </w:rPr>
              <w:t xml:space="preserve"> </w:t>
            </w:r>
            <w:r>
              <w:rPr>
                <w:color w:val="231F20"/>
                <w:w w:val="85"/>
                <w:sz w:val="15"/>
              </w:rPr>
              <w:t>infrastructures,</w:t>
            </w:r>
            <w:r>
              <w:rPr>
                <w:color w:val="231F20"/>
                <w:spacing w:val="-23"/>
                <w:w w:val="85"/>
                <w:sz w:val="15"/>
              </w:rPr>
              <w:t xml:space="preserve"> </w:t>
            </w:r>
            <w:r>
              <w:rPr>
                <w:color w:val="231F20"/>
                <w:w w:val="85"/>
                <w:sz w:val="15"/>
              </w:rPr>
              <w:t>in</w:t>
            </w:r>
            <w:r>
              <w:rPr>
                <w:color w:val="231F20"/>
                <w:spacing w:val="-16"/>
                <w:w w:val="85"/>
                <w:sz w:val="15"/>
              </w:rPr>
              <w:t xml:space="preserve"> </w:t>
            </w:r>
            <w:r>
              <w:rPr>
                <w:color w:val="231F20"/>
                <w:w w:val="85"/>
                <w:position w:val="9"/>
                <w:sz w:val="15"/>
              </w:rPr>
              <w:t>•</w:t>
            </w:r>
            <w:r>
              <w:rPr>
                <w:color w:val="231F20"/>
                <w:spacing w:val="-12"/>
                <w:w w:val="85"/>
                <w:position w:val="9"/>
                <w:sz w:val="15"/>
              </w:rPr>
              <w:t xml:space="preserve"> </w:t>
            </w:r>
            <w:r>
              <w:rPr>
                <w:color w:val="231F20"/>
                <w:w w:val="85"/>
                <w:sz w:val="15"/>
              </w:rPr>
              <w:t>ding</w:t>
            </w:r>
            <w:r>
              <w:rPr>
                <w:color w:val="231F20"/>
                <w:spacing w:val="-22"/>
                <w:w w:val="85"/>
                <w:sz w:val="15"/>
              </w:rPr>
              <w:t xml:space="preserve"> </w:t>
            </w:r>
            <w:r>
              <w:rPr>
                <w:color w:val="231F20"/>
                <w:w w:val="85"/>
                <w:sz w:val="15"/>
              </w:rPr>
              <w:t>inventories</w:t>
            </w:r>
            <w:r>
              <w:rPr>
                <w:color w:val="231F20"/>
                <w:spacing w:val="-23"/>
                <w:w w:val="85"/>
                <w:sz w:val="15"/>
              </w:rPr>
              <w:t xml:space="preserve"> </w:t>
            </w:r>
            <w:r>
              <w:rPr>
                <w:color w:val="231F20"/>
                <w:w w:val="85"/>
                <w:sz w:val="15"/>
              </w:rPr>
              <w:t>&amp;</w:t>
            </w:r>
            <w:r>
              <w:rPr>
                <w:color w:val="231F20"/>
                <w:spacing w:val="-23"/>
                <w:w w:val="85"/>
                <w:sz w:val="15"/>
              </w:rPr>
              <w:t xml:space="preserve"> </w:t>
            </w:r>
            <w:r>
              <w:rPr>
                <w:color w:val="231F20"/>
                <w:w w:val="85"/>
                <w:sz w:val="15"/>
              </w:rPr>
              <w:t>performance</w:t>
            </w:r>
            <w:r>
              <w:rPr>
                <w:color w:val="231F20"/>
                <w:spacing w:val="-22"/>
                <w:w w:val="85"/>
                <w:sz w:val="15"/>
              </w:rPr>
              <w:t xml:space="preserve"> </w:t>
            </w:r>
            <w:r>
              <w:rPr>
                <w:color w:val="231F20"/>
                <w:w w:val="85"/>
                <w:sz w:val="15"/>
              </w:rPr>
              <w:t>at</w:t>
            </w:r>
            <w:r>
              <w:rPr>
                <w:color w:val="231F20"/>
                <w:spacing w:val="-23"/>
                <w:w w:val="85"/>
                <w:sz w:val="15"/>
              </w:rPr>
              <w:t xml:space="preserve"> </w:t>
            </w:r>
            <w:r>
              <w:rPr>
                <w:color w:val="231F20"/>
                <w:w w:val="85"/>
                <w:sz w:val="15"/>
              </w:rPr>
              <w:t>State</w:t>
            </w:r>
            <w:r>
              <w:rPr>
                <w:color w:val="231F20"/>
                <w:spacing w:val="-23"/>
                <w:w w:val="85"/>
                <w:sz w:val="15"/>
              </w:rPr>
              <w:t xml:space="preserve"> </w:t>
            </w:r>
            <w:r>
              <w:rPr>
                <w:color w:val="231F20"/>
                <w:w w:val="85"/>
                <w:sz w:val="15"/>
              </w:rPr>
              <w:t>&amp;</w:t>
            </w:r>
          </w:p>
          <w:p w14:paraId="34E98CCA" w14:textId="77777777" w:rsidR="009948F1" w:rsidRDefault="00BC0563">
            <w:pPr>
              <w:pStyle w:val="TableParagraph"/>
              <w:spacing w:line="86" w:lineRule="exact"/>
              <w:ind w:left="2454" w:right="2220"/>
              <w:jc w:val="center"/>
              <w:rPr>
                <w:sz w:val="15"/>
              </w:rPr>
            </w:pPr>
            <w:proofErr w:type="spellStart"/>
            <w:r>
              <w:rPr>
                <w:color w:val="231F20"/>
                <w:w w:val="90"/>
                <w:sz w:val="15"/>
              </w:rPr>
              <w:t>clu</w:t>
            </w:r>
            <w:proofErr w:type="spellEnd"/>
          </w:p>
          <w:p w14:paraId="7ECAF35A" w14:textId="77777777" w:rsidR="009948F1" w:rsidRDefault="00BC0563">
            <w:pPr>
              <w:pStyle w:val="TableParagraph"/>
              <w:spacing w:before="21" w:line="156" w:lineRule="exact"/>
              <w:ind w:left="20"/>
              <w:rPr>
                <w:sz w:val="15"/>
              </w:rPr>
            </w:pPr>
            <w:r>
              <w:rPr>
                <w:color w:val="231F20"/>
                <w:w w:val="90"/>
                <w:sz w:val="15"/>
              </w:rPr>
              <w:t>LGA levels LGA levels</w:t>
            </w:r>
          </w:p>
        </w:tc>
        <w:tc>
          <w:tcPr>
            <w:tcW w:w="1430" w:type="dxa"/>
          </w:tcPr>
          <w:p w14:paraId="4AE6B8F5" w14:textId="77777777" w:rsidR="009948F1" w:rsidRDefault="00BC0563">
            <w:pPr>
              <w:pStyle w:val="TableParagraph"/>
              <w:spacing w:before="103"/>
              <w:ind w:left="20"/>
              <w:rPr>
                <w:sz w:val="15"/>
              </w:rPr>
            </w:pPr>
            <w:r>
              <w:rPr>
                <w:color w:val="231F20"/>
                <w:w w:val="90"/>
                <w:sz w:val="15"/>
              </w:rPr>
              <w:t>Lack of funds</w:t>
            </w:r>
          </w:p>
        </w:tc>
        <w:tc>
          <w:tcPr>
            <w:tcW w:w="1508" w:type="dxa"/>
          </w:tcPr>
          <w:p w14:paraId="10527330" w14:textId="77777777" w:rsidR="009948F1" w:rsidRDefault="00BC0563">
            <w:pPr>
              <w:pStyle w:val="TableParagraph"/>
              <w:spacing w:before="103"/>
              <w:ind w:left="19"/>
              <w:rPr>
                <w:sz w:val="15"/>
              </w:rPr>
            </w:pPr>
            <w:r>
              <w:rPr>
                <w:color w:val="231F20"/>
                <w:w w:val="90"/>
                <w:sz w:val="15"/>
              </w:rPr>
              <w:t>Conduct monitoring</w:t>
            </w:r>
          </w:p>
        </w:tc>
      </w:tr>
      <w:tr w:rsidR="009948F1" w14:paraId="1980A684" w14:textId="77777777">
        <w:trPr>
          <w:trHeight w:val="451"/>
        </w:trPr>
        <w:tc>
          <w:tcPr>
            <w:tcW w:w="1043" w:type="dxa"/>
            <w:gridSpan w:val="3"/>
            <w:vMerge/>
            <w:tcBorders>
              <w:top w:val="nil"/>
              <w:bottom w:val="nil"/>
            </w:tcBorders>
          </w:tcPr>
          <w:p w14:paraId="610D6B61" w14:textId="77777777" w:rsidR="009948F1" w:rsidRDefault="009948F1">
            <w:pPr>
              <w:rPr>
                <w:sz w:val="2"/>
                <w:szCs w:val="2"/>
              </w:rPr>
            </w:pPr>
          </w:p>
        </w:tc>
        <w:tc>
          <w:tcPr>
            <w:tcW w:w="527" w:type="dxa"/>
          </w:tcPr>
          <w:p w14:paraId="5ADD43CD" w14:textId="77777777" w:rsidR="009948F1" w:rsidRDefault="00BC0563">
            <w:pPr>
              <w:pStyle w:val="TableParagraph"/>
              <w:spacing w:before="141"/>
              <w:ind w:left="19" w:right="8"/>
              <w:jc w:val="center"/>
              <w:rPr>
                <w:sz w:val="15"/>
              </w:rPr>
            </w:pPr>
            <w:r>
              <w:rPr>
                <w:color w:val="231F20"/>
                <w:w w:val="80"/>
                <w:sz w:val="15"/>
              </w:rPr>
              <w:t>10.1.4.b</w:t>
            </w:r>
          </w:p>
        </w:tc>
        <w:tc>
          <w:tcPr>
            <w:tcW w:w="4903" w:type="dxa"/>
            <w:gridSpan w:val="2"/>
          </w:tcPr>
          <w:p w14:paraId="757EE7F6" w14:textId="77777777" w:rsidR="009948F1" w:rsidRDefault="00BC0563">
            <w:pPr>
              <w:pStyle w:val="TableParagraph"/>
              <w:spacing w:before="38" w:line="268" w:lineRule="auto"/>
              <w:ind w:left="20"/>
              <w:rPr>
                <w:sz w:val="15"/>
              </w:rPr>
            </w:pPr>
            <w:r>
              <w:rPr>
                <w:color w:val="231F20"/>
                <w:w w:val="80"/>
                <w:sz w:val="15"/>
              </w:rPr>
              <w:t xml:space="preserve">Ensure inclusion of health infrastructures into the Electronic Medical Record EMR </w:t>
            </w:r>
            <w:r>
              <w:rPr>
                <w:color w:val="231F20"/>
                <w:w w:val="90"/>
                <w:sz w:val="15"/>
              </w:rPr>
              <w:t>framework for all health facilities</w:t>
            </w:r>
          </w:p>
        </w:tc>
        <w:tc>
          <w:tcPr>
            <w:tcW w:w="1430" w:type="dxa"/>
          </w:tcPr>
          <w:p w14:paraId="2095B610" w14:textId="77777777" w:rsidR="009948F1" w:rsidRDefault="00BC0563">
            <w:pPr>
              <w:pStyle w:val="TableParagraph"/>
              <w:spacing w:before="141"/>
              <w:ind w:left="20"/>
              <w:rPr>
                <w:sz w:val="15"/>
              </w:rPr>
            </w:pPr>
            <w:r>
              <w:rPr>
                <w:color w:val="231F20"/>
                <w:w w:val="90"/>
                <w:sz w:val="15"/>
              </w:rPr>
              <w:t>Lack of funds</w:t>
            </w:r>
          </w:p>
        </w:tc>
        <w:tc>
          <w:tcPr>
            <w:tcW w:w="1508" w:type="dxa"/>
          </w:tcPr>
          <w:p w14:paraId="2A765AA8" w14:textId="77777777" w:rsidR="009948F1" w:rsidRDefault="00BC0563">
            <w:pPr>
              <w:pStyle w:val="TableParagraph"/>
              <w:spacing w:before="141"/>
              <w:ind w:left="19"/>
              <w:rPr>
                <w:sz w:val="15"/>
              </w:rPr>
            </w:pPr>
            <w:r>
              <w:rPr>
                <w:color w:val="231F20"/>
                <w:w w:val="90"/>
                <w:sz w:val="15"/>
              </w:rPr>
              <w:t>Costed in 9.1.2a</w:t>
            </w:r>
          </w:p>
        </w:tc>
      </w:tr>
      <w:tr w:rsidR="009948F1" w14:paraId="719A168E" w14:textId="77777777">
        <w:trPr>
          <w:trHeight w:val="1861"/>
        </w:trPr>
        <w:tc>
          <w:tcPr>
            <w:tcW w:w="587" w:type="dxa"/>
            <w:gridSpan w:val="2"/>
            <w:tcBorders>
              <w:top w:val="nil"/>
              <w:bottom w:val="single" w:sz="8" w:space="0" w:color="231F20"/>
            </w:tcBorders>
          </w:tcPr>
          <w:p w14:paraId="7780D45E" w14:textId="77777777" w:rsidR="009948F1" w:rsidRDefault="009948F1">
            <w:pPr>
              <w:pStyle w:val="TableParagraph"/>
              <w:rPr>
                <w:rFonts w:ascii="Times New Roman"/>
                <w:sz w:val="10"/>
              </w:rPr>
            </w:pPr>
          </w:p>
        </w:tc>
        <w:tc>
          <w:tcPr>
            <w:tcW w:w="456" w:type="dxa"/>
            <w:tcBorders>
              <w:bottom w:val="single" w:sz="12" w:space="0" w:color="231F20"/>
            </w:tcBorders>
            <w:shd w:val="clear" w:color="auto" w:fill="CCE7D3"/>
          </w:tcPr>
          <w:p w14:paraId="245FFFC1" w14:textId="77777777" w:rsidR="009948F1" w:rsidRDefault="009948F1">
            <w:pPr>
              <w:pStyle w:val="TableParagraph"/>
              <w:rPr>
                <w:sz w:val="16"/>
              </w:rPr>
            </w:pPr>
          </w:p>
          <w:p w14:paraId="11E34E48" w14:textId="77777777" w:rsidR="009948F1" w:rsidRDefault="009948F1">
            <w:pPr>
              <w:pStyle w:val="TableParagraph"/>
              <w:rPr>
                <w:sz w:val="16"/>
              </w:rPr>
            </w:pPr>
          </w:p>
          <w:p w14:paraId="583ED85A" w14:textId="77777777" w:rsidR="009948F1" w:rsidRDefault="009948F1">
            <w:pPr>
              <w:pStyle w:val="TableParagraph"/>
              <w:rPr>
                <w:sz w:val="16"/>
              </w:rPr>
            </w:pPr>
          </w:p>
          <w:p w14:paraId="7DFED75F" w14:textId="77777777" w:rsidR="009948F1" w:rsidRDefault="009948F1">
            <w:pPr>
              <w:pStyle w:val="TableParagraph"/>
              <w:rPr>
                <w:sz w:val="16"/>
              </w:rPr>
            </w:pPr>
          </w:p>
          <w:p w14:paraId="3499602F" w14:textId="77777777" w:rsidR="009948F1" w:rsidRDefault="00BC0563">
            <w:pPr>
              <w:pStyle w:val="TableParagraph"/>
              <w:spacing w:before="116"/>
              <w:ind w:left="22" w:right="23"/>
              <w:jc w:val="center"/>
              <w:rPr>
                <w:sz w:val="15"/>
              </w:rPr>
            </w:pPr>
            <w:r>
              <w:rPr>
                <w:color w:val="231F20"/>
                <w:w w:val="85"/>
                <w:sz w:val="15"/>
              </w:rPr>
              <w:t>10.1.5</w:t>
            </w:r>
          </w:p>
        </w:tc>
        <w:tc>
          <w:tcPr>
            <w:tcW w:w="3042" w:type="dxa"/>
            <w:gridSpan w:val="2"/>
            <w:tcBorders>
              <w:bottom w:val="single" w:sz="12" w:space="0" w:color="231F20"/>
            </w:tcBorders>
            <w:shd w:val="clear" w:color="auto" w:fill="CCE7D3"/>
          </w:tcPr>
          <w:p w14:paraId="7B0BAA89" w14:textId="77777777" w:rsidR="009948F1" w:rsidRDefault="009948F1">
            <w:pPr>
              <w:pStyle w:val="TableParagraph"/>
              <w:rPr>
                <w:sz w:val="16"/>
              </w:rPr>
            </w:pPr>
          </w:p>
          <w:p w14:paraId="099A4435" w14:textId="77777777" w:rsidR="009948F1" w:rsidRDefault="009948F1">
            <w:pPr>
              <w:pStyle w:val="TableParagraph"/>
              <w:rPr>
                <w:sz w:val="16"/>
              </w:rPr>
            </w:pPr>
          </w:p>
          <w:p w14:paraId="7E37513C" w14:textId="77777777" w:rsidR="009948F1" w:rsidRDefault="009948F1">
            <w:pPr>
              <w:pStyle w:val="TableParagraph"/>
              <w:rPr>
                <w:sz w:val="16"/>
              </w:rPr>
            </w:pPr>
          </w:p>
          <w:p w14:paraId="2B345C8A" w14:textId="77777777" w:rsidR="009948F1" w:rsidRDefault="009948F1">
            <w:pPr>
              <w:pStyle w:val="TableParagraph"/>
              <w:spacing w:before="1"/>
              <w:rPr>
                <w:sz w:val="17"/>
              </w:rPr>
            </w:pPr>
          </w:p>
          <w:p w14:paraId="12CEE9C9" w14:textId="77777777" w:rsidR="009948F1" w:rsidRDefault="00BC0563">
            <w:pPr>
              <w:pStyle w:val="TableParagraph"/>
              <w:spacing w:before="1" w:line="268" w:lineRule="auto"/>
              <w:ind w:left="20" w:right="12" w:firstLine="33"/>
              <w:rPr>
                <w:sz w:val="15"/>
              </w:rPr>
            </w:pPr>
            <w:r>
              <w:rPr>
                <w:color w:val="231F20"/>
                <w:w w:val="80"/>
                <w:sz w:val="15"/>
              </w:rPr>
              <w:t xml:space="preserve">Strengthen capacities and partnerships for health </w:t>
            </w:r>
            <w:r>
              <w:rPr>
                <w:color w:val="231F20"/>
                <w:w w:val="85"/>
                <w:sz w:val="15"/>
              </w:rPr>
              <w:t>infrastructure Maintenance and management</w:t>
            </w:r>
          </w:p>
        </w:tc>
        <w:tc>
          <w:tcPr>
            <w:tcW w:w="2388" w:type="dxa"/>
            <w:tcBorders>
              <w:bottom w:val="single" w:sz="12" w:space="0" w:color="231F20"/>
            </w:tcBorders>
            <w:shd w:val="clear" w:color="auto" w:fill="CCE7D3"/>
          </w:tcPr>
          <w:p w14:paraId="26EB7AB8" w14:textId="77777777" w:rsidR="009948F1" w:rsidRDefault="00BC0563">
            <w:pPr>
              <w:pStyle w:val="TableParagraph"/>
              <w:numPr>
                <w:ilvl w:val="0"/>
                <w:numId w:val="51"/>
              </w:numPr>
              <w:tabs>
                <w:tab w:val="left" w:pos="96"/>
              </w:tabs>
              <w:spacing w:before="5" w:line="268" w:lineRule="auto"/>
              <w:ind w:right="77" w:firstLine="0"/>
              <w:rPr>
                <w:sz w:val="15"/>
              </w:rPr>
            </w:pPr>
            <w:r>
              <w:rPr>
                <w:color w:val="231F20"/>
                <w:w w:val="85"/>
                <w:sz w:val="15"/>
              </w:rPr>
              <w:t>MoUs</w:t>
            </w:r>
            <w:r>
              <w:rPr>
                <w:color w:val="231F20"/>
                <w:spacing w:val="-17"/>
                <w:w w:val="85"/>
                <w:sz w:val="15"/>
              </w:rPr>
              <w:t xml:space="preserve"> </w:t>
            </w:r>
            <w:r>
              <w:rPr>
                <w:color w:val="231F20"/>
                <w:w w:val="85"/>
                <w:sz w:val="15"/>
              </w:rPr>
              <w:t>with</w:t>
            </w:r>
            <w:r>
              <w:rPr>
                <w:color w:val="231F20"/>
                <w:spacing w:val="-17"/>
                <w:w w:val="85"/>
                <w:sz w:val="15"/>
              </w:rPr>
              <w:t xml:space="preserve"> </w:t>
            </w:r>
            <w:r>
              <w:rPr>
                <w:color w:val="231F20"/>
                <w:w w:val="85"/>
                <w:sz w:val="15"/>
              </w:rPr>
              <w:t>private</w:t>
            </w:r>
            <w:r>
              <w:rPr>
                <w:color w:val="231F20"/>
                <w:spacing w:val="-17"/>
                <w:w w:val="85"/>
                <w:sz w:val="15"/>
              </w:rPr>
              <w:t xml:space="preserve"> </w:t>
            </w:r>
            <w:r>
              <w:rPr>
                <w:color w:val="231F20"/>
                <w:w w:val="85"/>
                <w:sz w:val="15"/>
              </w:rPr>
              <w:t>suppliers</w:t>
            </w:r>
            <w:r>
              <w:rPr>
                <w:color w:val="231F20"/>
                <w:spacing w:val="-16"/>
                <w:w w:val="85"/>
                <w:sz w:val="15"/>
              </w:rPr>
              <w:t xml:space="preserve"> </w:t>
            </w:r>
            <w:r>
              <w:rPr>
                <w:color w:val="231F20"/>
                <w:w w:val="85"/>
                <w:sz w:val="15"/>
              </w:rPr>
              <w:t>in</w:t>
            </w:r>
            <w:r>
              <w:rPr>
                <w:color w:val="231F20"/>
                <w:spacing w:val="-17"/>
                <w:w w:val="85"/>
                <w:sz w:val="15"/>
              </w:rPr>
              <w:t xml:space="preserve"> </w:t>
            </w:r>
            <w:r>
              <w:rPr>
                <w:color w:val="231F20"/>
                <w:w w:val="85"/>
                <w:sz w:val="15"/>
              </w:rPr>
              <w:t>the</w:t>
            </w:r>
            <w:r>
              <w:rPr>
                <w:color w:val="231F20"/>
                <w:spacing w:val="-17"/>
                <w:w w:val="85"/>
                <w:sz w:val="15"/>
              </w:rPr>
              <w:t xml:space="preserve"> </w:t>
            </w:r>
            <w:r>
              <w:rPr>
                <w:color w:val="231F20"/>
                <w:w w:val="85"/>
                <w:sz w:val="15"/>
              </w:rPr>
              <w:t xml:space="preserve">post- </w:t>
            </w:r>
            <w:r>
              <w:rPr>
                <w:color w:val="231F20"/>
                <w:w w:val="80"/>
                <w:sz w:val="15"/>
              </w:rPr>
              <w:t>supply</w:t>
            </w:r>
            <w:r>
              <w:rPr>
                <w:color w:val="231F20"/>
                <w:spacing w:val="-7"/>
                <w:w w:val="80"/>
                <w:sz w:val="15"/>
              </w:rPr>
              <w:t xml:space="preserve"> </w:t>
            </w:r>
            <w:r>
              <w:rPr>
                <w:color w:val="231F20"/>
                <w:w w:val="80"/>
                <w:sz w:val="15"/>
              </w:rPr>
              <w:t>of</w:t>
            </w:r>
            <w:r>
              <w:rPr>
                <w:color w:val="231F20"/>
                <w:spacing w:val="-7"/>
                <w:w w:val="80"/>
                <w:sz w:val="15"/>
              </w:rPr>
              <w:t xml:space="preserve"> </w:t>
            </w:r>
            <w:r>
              <w:rPr>
                <w:color w:val="231F20"/>
                <w:w w:val="80"/>
                <w:sz w:val="15"/>
              </w:rPr>
              <w:t>health</w:t>
            </w:r>
            <w:r>
              <w:rPr>
                <w:color w:val="231F20"/>
                <w:spacing w:val="-7"/>
                <w:w w:val="80"/>
                <w:sz w:val="15"/>
              </w:rPr>
              <w:t xml:space="preserve"> </w:t>
            </w:r>
            <w:r>
              <w:rPr>
                <w:color w:val="231F20"/>
                <w:w w:val="80"/>
                <w:sz w:val="15"/>
              </w:rPr>
              <w:t>infrastructure</w:t>
            </w:r>
            <w:r>
              <w:rPr>
                <w:color w:val="231F20"/>
                <w:spacing w:val="-6"/>
                <w:w w:val="80"/>
                <w:sz w:val="15"/>
              </w:rPr>
              <w:t xml:space="preserve"> </w:t>
            </w:r>
            <w:r>
              <w:rPr>
                <w:color w:val="231F20"/>
                <w:w w:val="80"/>
                <w:sz w:val="15"/>
              </w:rPr>
              <w:t xml:space="preserve">maintenance </w:t>
            </w:r>
            <w:r>
              <w:rPr>
                <w:color w:val="231F20"/>
                <w:w w:val="90"/>
                <w:sz w:val="15"/>
              </w:rPr>
              <w:t>and training of providers in use and maintenance</w:t>
            </w:r>
            <w:r>
              <w:rPr>
                <w:color w:val="231F20"/>
                <w:spacing w:val="-11"/>
                <w:w w:val="90"/>
                <w:sz w:val="15"/>
              </w:rPr>
              <w:t xml:space="preserve"> </w:t>
            </w:r>
            <w:r>
              <w:rPr>
                <w:color w:val="231F20"/>
                <w:w w:val="90"/>
                <w:sz w:val="15"/>
              </w:rPr>
              <w:t>established</w:t>
            </w:r>
          </w:p>
          <w:p w14:paraId="32CFAF40" w14:textId="77777777" w:rsidR="009948F1" w:rsidRDefault="00BC0563">
            <w:pPr>
              <w:pStyle w:val="TableParagraph"/>
              <w:numPr>
                <w:ilvl w:val="0"/>
                <w:numId w:val="51"/>
              </w:numPr>
              <w:tabs>
                <w:tab w:val="left" w:pos="64"/>
              </w:tabs>
              <w:spacing w:before="3" w:line="268" w:lineRule="auto"/>
              <w:ind w:right="97" w:firstLine="0"/>
              <w:rPr>
                <w:sz w:val="15"/>
              </w:rPr>
            </w:pPr>
            <w:r>
              <w:rPr>
                <w:color w:val="231F20"/>
                <w:w w:val="85"/>
                <w:sz w:val="15"/>
              </w:rPr>
              <w:t xml:space="preserve">Resources from development partners, </w:t>
            </w:r>
            <w:r>
              <w:rPr>
                <w:color w:val="231F20"/>
                <w:w w:val="80"/>
                <w:sz w:val="15"/>
              </w:rPr>
              <w:t>philanthropists, and communities on</w:t>
            </w:r>
            <w:r>
              <w:rPr>
                <w:color w:val="231F20"/>
                <w:spacing w:val="-19"/>
                <w:w w:val="80"/>
                <w:sz w:val="15"/>
              </w:rPr>
              <w:t xml:space="preserve"> </w:t>
            </w:r>
            <w:r>
              <w:rPr>
                <w:color w:val="231F20"/>
                <w:spacing w:val="-3"/>
                <w:w w:val="80"/>
                <w:sz w:val="15"/>
              </w:rPr>
              <w:t xml:space="preserve">health </w:t>
            </w:r>
            <w:r>
              <w:rPr>
                <w:color w:val="231F20"/>
                <w:w w:val="80"/>
                <w:sz w:val="15"/>
              </w:rPr>
              <w:t xml:space="preserve">infrastructure development, management </w:t>
            </w:r>
            <w:r>
              <w:rPr>
                <w:color w:val="231F20"/>
                <w:w w:val="90"/>
                <w:sz w:val="15"/>
              </w:rPr>
              <w:t>and maintenance</w:t>
            </w:r>
            <w:r>
              <w:rPr>
                <w:color w:val="231F20"/>
                <w:spacing w:val="-24"/>
                <w:w w:val="90"/>
                <w:sz w:val="15"/>
              </w:rPr>
              <w:t xml:space="preserve"> </w:t>
            </w:r>
            <w:r>
              <w:rPr>
                <w:color w:val="231F20"/>
                <w:w w:val="90"/>
                <w:sz w:val="15"/>
              </w:rPr>
              <w:t>mobilized</w:t>
            </w:r>
          </w:p>
          <w:p w14:paraId="6482EBE3" w14:textId="77777777" w:rsidR="009948F1" w:rsidRDefault="00BC0563">
            <w:pPr>
              <w:pStyle w:val="TableParagraph"/>
              <w:numPr>
                <w:ilvl w:val="0"/>
                <w:numId w:val="51"/>
              </w:numPr>
              <w:tabs>
                <w:tab w:val="left" w:pos="96"/>
              </w:tabs>
              <w:spacing w:before="28" w:line="144" w:lineRule="exact"/>
              <w:ind w:right="253" w:firstLine="0"/>
              <w:rPr>
                <w:sz w:val="15"/>
              </w:rPr>
            </w:pPr>
            <w:r>
              <w:rPr>
                <w:color w:val="231F20"/>
                <w:w w:val="85"/>
                <w:sz w:val="15"/>
              </w:rPr>
              <w:t>Human</w:t>
            </w:r>
            <w:r>
              <w:rPr>
                <w:color w:val="231F20"/>
                <w:spacing w:val="-23"/>
                <w:w w:val="85"/>
                <w:sz w:val="15"/>
              </w:rPr>
              <w:t xml:space="preserve"> </w:t>
            </w:r>
            <w:r>
              <w:rPr>
                <w:color w:val="231F20"/>
                <w:w w:val="85"/>
                <w:sz w:val="15"/>
              </w:rPr>
              <w:t>resource</w:t>
            </w:r>
            <w:r>
              <w:rPr>
                <w:color w:val="231F20"/>
                <w:spacing w:val="-23"/>
                <w:w w:val="85"/>
                <w:sz w:val="15"/>
              </w:rPr>
              <w:t xml:space="preserve"> </w:t>
            </w:r>
            <w:r>
              <w:rPr>
                <w:color w:val="231F20"/>
                <w:w w:val="85"/>
                <w:sz w:val="15"/>
              </w:rPr>
              <w:t>rained</w:t>
            </w:r>
            <w:r>
              <w:rPr>
                <w:color w:val="231F20"/>
                <w:spacing w:val="-23"/>
                <w:w w:val="85"/>
                <w:sz w:val="15"/>
              </w:rPr>
              <w:t xml:space="preserve"> </w:t>
            </w:r>
            <w:r>
              <w:rPr>
                <w:color w:val="231F20"/>
                <w:w w:val="85"/>
                <w:sz w:val="15"/>
              </w:rPr>
              <w:t>in</w:t>
            </w:r>
            <w:r>
              <w:rPr>
                <w:color w:val="231F20"/>
                <w:spacing w:val="-22"/>
                <w:w w:val="85"/>
                <w:sz w:val="15"/>
              </w:rPr>
              <w:t xml:space="preserve"> </w:t>
            </w:r>
            <w:r>
              <w:rPr>
                <w:color w:val="231F20"/>
                <w:w w:val="85"/>
                <w:sz w:val="15"/>
              </w:rPr>
              <w:t>the</w:t>
            </w:r>
            <w:r>
              <w:rPr>
                <w:color w:val="231F20"/>
                <w:spacing w:val="-23"/>
                <w:w w:val="85"/>
                <w:sz w:val="15"/>
              </w:rPr>
              <w:t xml:space="preserve"> </w:t>
            </w:r>
            <w:r>
              <w:rPr>
                <w:color w:val="231F20"/>
                <w:w w:val="85"/>
                <w:sz w:val="15"/>
              </w:rPr>
              <w:t>use</w:t>
            </w:r>
            <w:r>
              <w:rPr>
                <w:color w:val="231F20"/>
                <w:spacing w:val="-23"/>
                <w:w w:val="85"/>
                <w:sz w:val="15"/>
              </w:rPr>
              <w:t xml:space="preserve"> </w:t>
            </w:r>
            <w:r>
              <w:rPr>
                <w:color w:val="231F20"/>
                <w:spacing w:val="-5"/>
                <w:w w:val="85"/>
                <w:sz w:val="15"/>
              </w:rPr>
              <w:t xml:space="preserve">and </w:t>
            </w:r>
            <w:r>
              <w:rPr>
                <w:color w:val="231F20"/>
                <w:w w:val="80"/>
                <w:sz w:val="15"/>
              </w:rPr>
              <w:t>maintenance of the health</w:t>
            </w:r>
            <w:r>
              <w:rPr>
                <w:color w:val="231F20"/>
                <w:spacing w:val="-26"/>
                <w:w w:val="80"/>
                <w:sz w:val="15"/>
              </w:rPr>
              <w:t xml:space="preserve"> </w:t>
            </w:r>
            <w:r>
              <w:rPr>
                <w:color w:val="231F20"/>
                <w:w w:val="80"/>
                <w:sz w:val="15"/>
              </w:rPr>
              <w:t>infrastructure</w:t>
            </w:r>
          </w:p>
        </w:tc>
        <w:tc>
          <w:tcPr>
            <w:tcW w:w="1430" w:type="dxa"/>
            <w:tcBorders>
              <w:bottom w:val="single" w:sz="12" w:space="0" w:color="231F20"/>
            </w:tcBorders>
            <w:shd w:val="clear" w:color="auto" w:fill="CCE7D3"/>
          </w:tcPr>
          <w:p w14:paraId="0DA041CE" w14:textId="77777777" w:rsidR="009948F1" w:rsidRDefault="009948F1">
            <w:pPr>
              <w:pStyle w:val="TableParagraph"/>
              <w:rPr>
                <w:rFonts w:ascii="Times New Roman"/>
                <w:sz w:val="10"/>
              </w:rPr>
            </w:pPr>
          </w:p>
        </w:tc>
        <w:tc>
          <w:tcPr>
            <w:tcW w:w="1508" w:type="dxa"/>
            <w:tcBorders>
              <w:bottom w:val="single" w:sz="12" w:space="0" w:color="231F20"/>
            </w:tcBorders>
            <w:shd w:val="clear" w:color="auto" w:fill="CCE7D3"/>
          </w:tcPr>
          <w:p w14:paraId="5809233F" w14:textId="77777777" w:rsidR="009948F1" w:rsidRDefault="009948F1">
            <w:pPr>
              <w:pStyle w:val="TableParagraph"/>
              <w:rPr>
                <w:rFonts w:ascii="Times New Roman"/>
                <w:sz w:val="10"/>
              </w:rPr>
            </w:pPr>
          </w:p>
        </w:tc>
      </w:tr>
    </w:tbl>
    <w:p w14:paraId="3F602A4A" w14:textId="77777777" w:rsidR="009948F1" w:rsidRDefault="00BC0563">
      <w:pPr>
        <w:rPr>
          <w:sz w:val="2"/>
          <w:szCs w:val="2"/>
        </w:rPr>
      </w:pPr>
      <w:r>
        <w:rPr>
          <w:noProof/>
          <w:lang w:val="en-GB" w:eastAsia="en-GB"/>
        </w:rPr>
        <w:drawing>
          <wp:anchor distT="0" distB="0" distL="0" distR="0" simplePos="0" relativeHeight="468109824" behindDoc="1" locked="0" layoutInCell="1" allowOverlap="1" wp14:anchorId="756E8426" wp14:editId="2BD093BA">
            <wp:simplePos x="0" y="0"/>
            <wp:positionH relativeFrom="page">
              <wp:posOffset>794548</wp:posOffset>
            </wp:positionH>
            <wp:positionV relativeFrom="page">
              <wp:posOffset>838936</wp:posOffset>
            </wp:positionV>
            <wp:extent cx="5916748" cy="197167"/>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38" cstate="print"/>
                    <a:stretch>
                      <a:fillRect/>
                    </a:stretch>
                  </pic:blipFill>
                  <pic:spPr>
                    <a:xfrm>
                      <a:off x="0" y="0"/>
                      <a:ext cx="5916748" cy="197167"/>
                    </a:xfrm>
                    <a:prstGeom prst="rect">
                      <a:avLst/>
                    </a:prstGeom>
                  </pic:spPr>
                </pic:pic>
              </a:graphicData>
            </a:graphic>
          </wp:anchor>
        </w:drawing>
      </w:r>
    </w:p>
    <w:p w14:paraId="67433784" w14:textId="77777777" w:rsidR="009948F1" w:rsidRDefault="009948F1">
      <w:pPr>
        <w:rPr>
          <w:sz w:val="2"/>
          <w:szCs w:val="2"/>
        </w:rPr>
        <w:sectPr w:rsidR="009948F1">
          <w:pgSz w:w="11910" w:h="16840"/>
          <w:pgMar w:top="1280" w:right="1080" w:bottom="1340" w:left="1120" w:header="0" w:footer="1155" w:gutter="0"/>
          <w:cols w:space="720"/>
        </w:sectPr>
      </w:pPr>
    </w:p>
    <w:tbl>
      <w:tblPr>
        <w:tblW w:w="0" w:type="auto"/>
        <w:tblInd w:w="2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3"/>
        <w:gridCol w:w="554"/>
        <w:gridCol w:w="2646"/>
        <w:gridCol w:w="2512"/>
        <w:gridCol w:w="1503"/>
        <w:gridCol w:w="1585"/>
      </w:tblGrid>
      <w:tr w:rsidR="009948F1" w14:paraId="65E65632" w14:textId="77777777">
        <w:trPr>
          <w:trHeight w:val="355"/>
        </w:trPr>
        <w:tc>
          <w:tcPr>
            <w:tcW w:w="473" w:type="dxa"/>
            <w:vMerge w:val="restart"/>
            <w:tcBorders>
              <w:bottom w:val="single" w:sz="12" w:space="0" w:color="231F20"/>
              <w:right w:val="single" w:sz="6" w:space="0" w:color="231F20"/>
            </w:tcBorders>
          </w:tcPr>
          <w:p w14:paraId="18B5AC9B" w14:textId="77777777" w:rsidR="009948F1" w:rsidRDefault="009948F1">
            <w:pPr>
              <w:pStyle w:val="TableParagraph"/>
              <w:rPr>
                <w:rFonts w:ascii="Times New Roman"/>
                <w:sz w:val="12"/>
              </w:rPr>
            </w:pPr>
          </w:p>
        </w:tc>
        <w:tc>
          <w:tcPr>
            <w:tcW w:w="554" w:type="dxa"/>
            <w:tcBorders>
              <w:left w:val="single" w:sz="6" w:space="0" w:color="231F20"/>
              <w:bottom w:val="single" w:sz="6" w:space="0" w:color="231F20"/>
              <w:right w:val="single" w:sz="6" w:space="0" w:color="231F20"/>
            </w:tcBorders>
          </w:tcPr>
          <w:p w14:paraId="0CAB6E22" w14:textId="77777777" w:rsidR="009948F1" w:rsidRDefault="00BC0563">
            <w:pPr>
              <w:pStyle w:val="TableParagraph"/>
              <w:spacing w:before="94"/>
              <w:ind w:right="29"/>
              <w:jc w:val="right"/>
              <w:rPr>
                <w:sz w:val="15"/>
              </w:rPr>
            </w:pPr>
            <w:bookmarkStart w:id="189" w:name="Page_163"/>
            <w:bookmarkEnd w:id="189"/>
            <w:r>
              <w:rPr>
                <w:color w:val="231F20"/>
                <w:w w:val="80"/>
                <w:sz w:val="15"/>
              </w:rPr>
              <w:t>10.1.5.a</w:t>
            </w:r>
          </w:p>
        </w:tc>
        <w:tc>
          <w:tcPr>
            <w:tcW w:w="5158" w:type="dxa"/>
            <w:gridSpan w:val="2"/>
            <w:tcBorders>
              <w:top w:val="single" w:sz="12" w:space="0" w:color="231F20"/>
              <w:left w:val="single" w:sz="6" w:space="0" w:color="231F20"/>
              <w:bottom w:val="single" w:sz="6" w:space="0" w:color="231F20"/>
              <w:right w:val="single" w:sz="6" w:space="0" w:color="231F20"/>
            </w:tcBorders>
          </w:tcPr>
          <w:p w14:paraId="27ACCE31" w14:textId="77777777" w:rsidR="009948F1" w:rsidRDefault="00BC0563">
            <w:pPr>
              <w:pStyle w:val="TableParagraph"/>
              <w:spacing w:before="88"/>
              <w:ind w:left="27"/>
              <w:rPr>
                <w:sz w:val="15"/>
              </w:rPr>
            </w:pPr>
            <w:r>
              <w:rPr>
                <w:color w:val="231F20"/>
                <w:w w:val="95"/>
                <w:sz w:val="15"/>
              </w:rPr>
              <w:t>Establish a plan and system for maintenance of all health infrastructure</w:t>
            </w:r>
          </w:p>
        </w:tc>
        <w:tc>
          <w:tcPr>
            <w:tcW w:w="1503" w:type="dxa"/>
            <w:tcBorders>
              <w:left w:val="single" w:sz="6" w:space="0" w:color="231F20"/>
              <w:bottom w:val="single" w:sz="6" w:space="0" w:color="231F20"/>
              <w:right w:val="single" w:sz="6" w:space="0" w:color="231F20"/>
            </w:tcBorders>
          </w:tcPr>
          <w:p w14:paraId="2B6EFE5A" w14:textId="77777777" w:rsidR="009948F1" w:rsidRDefault="00BC0563">
            <w:pPr>
              <w:pStyle w:val="TableParagraph"/>
              <w:spacing w:before="94"/>
              <w:ind w:left="29"/>
              <w:rPr>
                <w:sz w:val="15"/>
              </w:rPr>
            </w:pPr>
            <w:r>
              <w:rPr>
                <w:color w:val="231F20"/>
                <w:w w:val="95"/>
                <w:sz w:val="15"/>
              </w:rPr>
              <w:t>Lack of funds</w:t>
            </w:r>
          </w:p>
        </w:tc>
        <w:tc>
          <w:tcPr>
            <w:tcW w:w="1585" w:type="dxa"/>
            <w:tcBorders>
              <w:left w:val="single" w:sz="6" w:space="0" w:color="231F20"/>
              <w:bottom w:val="single" w:sz="6" w:space="0" w:color="231F20"/>
            </w:tcBorders>
          </w:tcPr>
          <w:p w14:paraId="5C208049" w14:textId="77777777" w:rsidR="009948F1" w:rsidRDefault="00BC0563">
            <w:pPr>
              <w:pStyle w:val="TableParagraph"/>
              <w:spacing w:before="94"/>
              <w:ind w:left="30"/>
              <w:rPr>
                <w:sz w:val="15"/>
              </w:rPr>
            </w:pPr>
            <w:r>
              <w:rPr>
                <w:color w:val="231F20"/>
                <w:w w:val="95"/>
                <w:sz w:val="15"/>
              </w:rPr>
              <w:t>No cost</w:t>
            </w:r>
          </w:p>
        </w:tc>
      </w:tr>
      <w:tr w:rsidR="009948F1" w14:paraId="2455A3A3" w14:textId="77777777">
        <w:trPr>
          <w:trHeight w:val="337"/>
        </w:trPr>
        <w:tc>
          <w:tcPr>
            <w:tcW w:w="473" w:type="dxa"/>
            <w:vMerge/>
            <w:tcBorders>
              <w:top w:val="nil"/>
              <w:bottom w:val="single" w:sz="12" w:space="0" w:color="231F20"/>
              <w:right w:val="single" w:sz="6" w:space="0" w:color="231F20"/>
            </w:tcBorders>
          </w:tcPr>
          <w:p w14:paraId="5085A8A9"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32A435D6" w14:textId="77777777" w:rsidR="009948F1" w:rsidRDefault="00BC0563">
            <w:pPr>
              <w:pStyle w:val="TableParagraph"/>
              <w:spacing w:before="83"/>
              <w:ind w:right="29"/>
              <w:jc w:val="right"/>
              <w:rPr>
                <w:sz w:val="15"/>
              </w:rPr>
            </w:pPr>
            <w:r>
              <w:rPr>
                <w:color w:val="231F20"/>
                <w:w w:val="80"/>
                <w:sz w:val="15"/>
              </w:rPr>
              <w:t>10.1.5.b</w:t>
            </w:r>
          </w:p>
        </w:tc>
        <w:tc>
          <w:tcPr>
            <w:tcW w:w="5158" w:type="dxa"/>
            <w:gridSpan w:val="2"/>
            <w:tcBorders>
              <w:top w:val="single" w:sz="6" w:space="0" w:color="231F20"/>
              <w:left w:val="single" w:sz="6" w:space="0" w:color="231F20"/>
              <w:bottom w:val="single" w:sz="6" w:space="0" w:color="231F20"/>
              <w:right w:val="single" w:sz="6" w:space="0" w:color="231F20"/>
            </w:tcBorders>
          </w:tcPr>
          <w:p w14:paraId="60B20F6F" w14:textId="77777777" w:rsidR="009948F1" w:rsidRDefault="00BC0563">
            <w:pPr>
              <w:pStyle w:val="TableParagraph"/>
              <w:spacing w:before="2" w:line="166" w:lineRule="exact"/>
              <w:ind w:left="27" w:right="645"/>
              <w:rPr>
                <w:sz w:val="15"/>
              </w:rPr>
            </w:pPr>
            <w:r>
              <w:rPr>
                <w:color w:val="231F20"/>
                <w:w w:val="85"/>
                <w:sz w:val="15"/>
              </w:rPr>
              <w:t xml:space="preserve">Establish MoUs with private suppliers in the post-supply of health infrastructure </w:t>
            </w:r>
            <w:r>
              <w:rPr>
                <w:color w:val="231F20"/>
                <w:w w:val="95"/>
                <w:sz w:val="15"/>
              </w:rPr>
              <w:t>maintenance and training of providers in use and maintenance</w:t>
            </w:r>
          </w:p>
        </w:tc>
        <w:tc>
          <w:tcPr>
            <w:tcW w:w="1503" w:type="dxa"/>
            <w:tcBorders>
              <w:top w:val="single" w:sz="6" w:space="0" w:color="231F20"/>
              <w:left w:val="single" w:sz="6" w:space="0" w:color="231F20"/>
              <w:bottom w:val="single" w:sz="6" w:space="0" w:color="231F20"/>
              <w:right w:val="single" w:sz="6" w:space="0" w:color="231F20"/>
            </w:tcBorders>
          </w:tcPr>
          <w:p w14:paraId="2A06F41C" w14:textId="77777777" w:rsidR="009948F1" w:rsidRDefault="00BC0563">
            <w:pPr>
              <w:pStyle w:val="TableParagraph"/>
              <w:spacing w:before="83"/>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67CFA764" w14:textId="77777777" w:rsidR="009948F1" w:rsidRDefault="00BC0563">
            <w:pPr>
              <w:pStyle w:val="TableParagraph"/>
              <w:spacing w:before="83"/>
              <w:ind w:left="30"/>
              <w:rPr>
                <w:sz w:val="15"/>
              </w:rPr>
            </w:pPr>
            <w:r>
              <w:rPr>
                <w:color w:val="231F20"/>
                <w:w w:val="95"/>
                <w:sz w:val="15"/>
              </w:rPr>
              <w:t>Establish MoU</w:t>
            </w:r>
          </w:p>
        </w:tc>
      </w:tr>
      <w:tr w:rsidR="009948F1" w14:paraId="107AC390" w14:textId="77777777">
        <w:trPr>
          <w:trHeight w:val="355"/>
        </w:trPr>
        <w:tc>
          <w:tcPr>
            <w:tcW w:w="473" w:type="dxa"/>
            <w:vMerge/>
            <w:tcBorders>
              <w:top w:val="nil"/>
              <w:bottom w:val="single" w:sz="12" w:space="0" w:color="231F20"/>
              <w:right w:val="single" w:sz="6" w:space="0" w:color="231F20"/>
            </w:tcBorders>
          </w:tcPr>
          <w:p w14:paraId="047364CF"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59EEFC57" w14:textId="77777777" w:rsidR="009948F1" w:rsidRDefault="00BC0563">
            <w:pPr>
              <w:pStyle w:val="TableParagraph"/>
              <w:spacing w:before="92"/>
              <w:ind w:right="33"/>
              <w:jc w:val="right"/>
              <w:rPr>
                <w:sz w:val="15"/>
              </w:rPr>
            </w:pPr>
            <w:r>
              <w:rPr>
                <w:color w:val="231F20"/>
                <w:w w:val="80"/>
                <w:sz w:val="15"/>
              </w:rPr>
              <w:t>10.1.5.c</w:t>
            </w:r>
          </w:p>
        </w:tc>
        <w:tc>
          <w:tcPr>
            <w:tcW w:w="5158" w:type="dxa"/>
            <w:gridSpan w:val="2"/>
            <w:tcBorders>
              <w:top w:val="single" w:sz="6" w:space="0" w:color="231F20"/>
              <w:left w:val="single" w:sz="6" w:space="0" w:color="231F20"/>
              <w:bottom w:val="single" w:sz="6" w:space="0" w:color="231F20"/>
              <w:right w:val="single" w:sz="6" w:space="0" w:color="231F20"/>
            </w:tcBorders>
          </w:tcPr>
          <w:p w14:paraId="405376B6" w14:textId="77777777" w:rsidR="009948F1" w:rsidRDefault="00BC0563">
            <w:pPr>
              <w:pStyle w:val="TableParagraph"/>
              <w:spacing w:line="167" w:lineRule="exact"/>
              <w:ind w:left="27"/>
              <w:rPr>
                <w:sz w:val="15"/>
              </w:rPr>
            </w:pPr>
            <w:r>
              <w:rPr>
                <w:color w:val="231F20"/>
                <w:w w:val="90"/>
                <w:sz w:val="15"/>
              </w:rPr>
              <w:t>Establish PPP platform on health infrastructure procurement, service provision and</w:t>
            </w:r>
          </w:p>
          <w:p w14:paraId="5CFE0D8A" w14:textId="0D7FF80C" w:rsidR="009948F1" w:rsidRDefault="00BC0563">
            <w:pPr>
              <w:pStyle w:val="TableParagraph"/>
              <w:spacing w:before="16" w:line="152" w:lineRule="exact"/>
              <w:ind w:left="27"/>
              <w:rPr>
                <w:sz w:val="15"/>
              </w:rPr>
            </w:pPr>
            <w:r>
              <w:rPr>
                <w:color w:val="231F20"/>
                <w:w w:val="95"/>
                <w:sz w:val="15"/>
              </w:rPr>
              <w:t>maintenance (</w:t>
            </w:r>
            <w:proofErr w:type="gramStart"/>
            <w:r>
              <w:rPr>
                <w:color w:val="231F20"/>
                <w:w w:val="95"/>
                <w:sz w:val="15"/>
              </w:rPr>
              <w:t>e.g.</w:t>
            </w:r>
            <w:proofErr w:type="gramEnd"/>
            <w:r>
              <w:rPr>
                <w:color w:val="231F20"/>
                <w:w w:val="95"/>
                <w:sz w:val="15"/>
              </w:rPr>
              <w:t xml:space="preserve"> Build and maintain, outsource, contract, concession </w:t>
            </w:r>
            <w:r w:rsidR="00661EED">
              <w:rPr>
                <w:color w:val="231F20"/>
                <w:w w:val="95"/>
                <w:sz w:val="15"/>
              </w:rPr>
              <w:t>etc.</w:t>
            </w:r>
            <w:r>
              <w:rPr>
                <w:color w:val="231F20"/>
                <w:w w:val="95"/>
                <w:sz w:val="15"/>
              </w:rPr>
              <w:t>)</w:t>
            </w:r>
          </w:p>
        </w:tc>
        <w:tc>
          <w:tcPr>
            <w:tcW w:w="1503" w:type="dxa"/>
            <w:tcBorders>
              <w:top w:val="single" w:sz="6" w:space="0" w:color="231F20"/>
              <w:left w:val="single" w:sz="6" w:space="0" w:color="231F20"/>
              <w:bottom w:val="single" w:sz="6" w:space="0" w:color="231F20"/>
              <w:right w:val="single" w:sz="6" w:space="0" w:color="231F20"/>
            </w:tcBorders>
          </w:tcPr>
          <w:p w14:paraId="195A56C7" w14:textId="77777777" w:rsidR="009948F1" w:rsidRDefault="00BC0563">
            <w:pPr>
              <w:pStyle w:val="TableParagraph"/>
              <w:spacing w:before="92"/>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9BFDC7F" w14:textId="77777777" w:rsidR="009948F1" w:rsidRDefault="00BC0563">
            <w:pPr>
              <w:pStyle w:val="TableParagraph"/>
              <w:spacing w:before="92"/>
              <w:ind w:left="30"/>
              <w:rPr>
                <w:sz w:val="15"/>
              </w:rPr>
            </w:pPr>
            <w:r>
              <w:rPr>
                <w:color w:val="231F20"/>
                <w:w w:val="95"/>
                <w:sz w:val="15"/>
              </w:rPr>
              <w:t>Fueling of vehicle</w:t>
            </w:r>
          </w:p>
        </w:tc>
      </w:tr>
      <w:tr w:rsidR="009948F1" w14:paraId="5F1054C0" w14:textId="77777777">
        <w:trPr>
          <w:trHeight w:val="364"/>
        </w:trPr>
        <w:tc>
          <w:tcPr>
            <w:tcW w:w="473" w:type="dxa"/>
            <w:vMerge/>
            <w:tcBorders>
              <w:top w:val="nil"/>
              <w:bottom w:val="single" w:sz="12" w:space="0" w:color="231F20"/>
              <w:right w:val="single" w:sz="6" w:space="0" w:color="231F20"/>
            </w:tcBorders>
          </w:tcPr>
          <w:p w14:paraId="50AD3378"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1F9C595D" w14:textId="77777777" w:rsidR="009948F1" w:rsidRDefault="00BC0563">
            <w:pPr>
              <w:pStyle w:val="TableParagraph"/>
              <w:spacing w:before="97"/>
              <w:ind w:right="29"/>
              <w:jc w:val="right"/>
              <w:rPr>
                <w:sz w:val="15"/>
              </w:rPr>
            </w:pPr>
            <w:r>
              <w:rPr>
                <w:color w:val="231F20"/>
                <w:w w:val="80"/>
                <w:sz w:val="15"/>
              </w:rPr>
              <w:t>10.1.5.d</w:t>
            </w:r>
          </w:p>
        </w:tc>
        <w:tc>
          <w:tcPr>
            <w:tcW w:w="5158" w:type="dxa"/>
            <w:gridSpan w:val="2"/>
            <w:tcBorders>
              <w:top w:val="single" w:sz="6" w:space="0" w:color="231F20"/>
              <w:left w:val="single" w:sz="6" w:space="0" w:color="231F20"/>
              <w:bottom w:val="single" w:sz="6" w:space="0" w:color="231F20"/>
              <w:right w:val="single" w:sz="6" w:space="0" w:color="231F20"/>
            </w:tcBorders>
          </w:tcPr>
          <w:p w14:paraId="4C1D054C" w14:textId="77777777" w:rsidR="009948F1" w:rsidRDefault="00BC0563">
            <w:pPr>
              <w:pStyle w:val="TableParagraph"/>
              <w:spacing w:line="168" w:lineRule="exact"/>
              <w:ind w:left="27"/>
              <w:rPr>
                <w:sz w:val="15"/>
              </w:rPr>
            </w:pPr>
            <w:r>
              <w:rPr>
                <w:color w:val="231F20"/>
                <w:w w:val="85"/>
                <w:sz w:val="15"/>
              </w:rPr>
              <w:t>Mobilize resources from development partners, philanthropists, and communities on health</w:t>
            </w:r>
          </w:p>
          <w:p w14:paraId="10611D83" w14:textId="77777777" w:rsidR="009948F1" w:rsidRDefault="00BC0563">
            <w:pPr>
              <w:pStyle w:val="TableParagraph"/>
              <w:spacing w:before="16" w:line="160" w:lineRule="exact"/>
              <w:ind w:left="27"/>
              <w:rPr>
                <w:sz w:val="15"/>
              </w:rPr>
            </w:pPr>
            <w:r>
              <w:rPr>
                <w:color w:val="231F20"/>
                <w:w w:val="95"/>
                <w:sz w:val="15"/>
              </w:rPr>
              <w:t>infrastructure development, management and maintenance</w:t>
            </w:r>
          </w:p>
        </w:tc>
        <w:tc>
          <w:tcPr>
            <w:tcW w:w="1503" w:type="dxa"/>
            <w:tcBorders>
              <w:top w:val="single" w:sz="6" w:space="0" w:color="231F20"/>
              <w:left w:val="single" w:sz="6" w:space="0" w:color="231F20"/>
              <w:bottom w:val="single" w:sz="6" w:space="0" w:color="231F20"/>
              <w:right w:val="single" w:sz="6" w:space="0" w:color="231F20"/>
            </w:tcBorders>
          </w:tcPr>
          <w:p w14:paraId="78B5E974"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75C9F030" w14:textId="77777777" w:rsidR="009948F1" w:rsidRDefault="00BC0563">
            <w:pPr>
              <w:pStyle w:val="TableParagraph"/>
              <w:spacing w:before="97"/>
              <w:ind w:left="30"/>
              <w:rPr>
                <w:sz w:val="15"/>
              </w:rPr>
            </w:pPr>
            <w:r>
              <w:rPr>
                <w:color w:val="231F20"/>
                <w:w w:val="95"/>
                <w:sz w:val="15"/>
              </w:rPr>
              <w:t>Community visit</w:t>
            </w:r>
          </w:p>
        </w:tc>
      </w:tr>
      <w:tr w:rsidR="009948F1" w14:paraId="446AF99A" w14:textId="77777777">
        <w:trPr>
          <w:trHeight w:val="360"/>
        </w:trPr>
        <w:tc>
          <w:tcPr>
            <w:tcW w:w="473" w:type="dxa"/>
            <w:vMerge/>
            <w:tcBorders>
              <w:top w:val="nil"/>
              <w:bottom w:val="single" w:sz="12" w:space="0" w:color="231F20"/>
              <w:right w:val="single" w:sz="6" w:space="0" w:color="231F20"/>
            </w:tcBorders>
          </w:tcPr>
          <w:p w14:paraId="10903892" w14:textId="77777777" w:rsidR="009948F1" w:rsidRDefault="009948F1">
            <w:pPr>
              <w:rPr>
                <w:sz w:val="2"/>
                <w:szCs w:val="2"/>
              </w:rPr>
            </w:pPr>
          </w:p>
        </w:tc>
        <w:tc>
          <w:tcPr>
            <w:tcW w:w="554" w:type="dxa"/>
            <w:tcBorders>
              <w:top w:val="single" w:sz="6" w:space="0" w:color="231F20"/>
              <w:left w:val="single" w:sz="6" w:space="0" w:color="231F20"/>
              <w:bottom w:val="single" w:sz="12" w:space="0" w:color="231F20"/>
              <w:right w:val="single" w:sz="6" w:space="0" w:color="231F20"/>
            </w:tcBorders>
          </w:tcPr>
          <w:p w14:paraId="07D70552" w14:textId="77777777" w:rsidR="009948F1" w:rsidRDefault="00BC0563">
            <w:pPr>
              <w:pStyle w:val="TableParagraph"/>
              <w:spacing w:before="97"/>
              <w:ind w:right="29"/>
              <w:jc w:val="right"/>
              <w:rPr>
                <w:sz w:val="15"/>
              </w:rPr>
            </w:pPr>
            <w:r>
              <w:rPr>
                <w:color w:val="231F20"/>
                <w:w w:val="80"/>
                <w:sz w:val="15"/>
              </w:rPr>
              <w:t>10.1.5.e</w:t>
            </w:r>
          </w:p>
        </w:tc>
        <w:tc>
          <w:tcPr>
            <w:tcW w:w="5158" w:type="dxa"/>
            <w:gridSpan w:val="2"/>
            <w:tcBorders>
              <w:top w:val="single" w:sz="6" w:space="0" w:color="231F20"/>
              <w:left w:val="single" w:sz="6" w:space="0" w:color="231F20"/>
              <w:bottom w:val="single" w:sz="12" w:space="0" w:color="231F20"/>
              <w:right w:val="single" w:sz="6" w:space="0" w:color="231F20"/>
            </w:tcBorders>
          </w:tcPr>
          <w:p w14:paraId="5EF3CAD1" w14:textId="77777777" w:rsidR="009948F1" w:rsidRDefault="00BC0563">
            <w:pPr>
              <w:pStyle w:val="TableParagraph"/>
              <w:spacing w:before="91"/>
              <w:ind w:left="27"/>
              <w:rPr>
                <w:sz w:val="15"/>
              </w:rPr>
            </w:pPr>
            <w:r>
              <w:rPr>
                <w:color w:val="231F20"/>
                <w:w w:val="95"/>
                <w:sz w:val="15"/>
              </w:rPr>
              <w:t>Train human resource in the use and maintenance of the health infrastructure</w:t>
            </w:r>
          </w:p>
        </w:tc>
        <w:tc>
          <w:tcPr>
            <w:tcW w:w="1503" w:type="dxa"/>
            <w:tcBorders>
              <w:top w:val="single" w:sz="6" w:space="0" w:color="231F20"/>
              <w:left w:val="single" w:sz="6" w:space="0" w:color="231F20"/>
              <w:bottom w:val="single" w:sz="12" w:space="0" w:color="231F20"/>
              <w:right w:val="single" w:sz="6" w:space="0" w:color="231F20"/>
            </w:tcBorders>
          </w:tcPr>
          <w:p w14:paraId="49B89E53"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12" w:space="0" w:color="231F20"/>
            </w:tcBorders>
          </w:tcPr>
          <w:p w14:paraId="4A9EAD4B" w14:textId="77777777" w:rsidR="009948F1" w:rsidRDefault="00BC0563">
            <w:pPr>
              <w:pStyle w:val="TableParagraph"/>
              <w:spacing w:before="97"/>
              <w:ind w:left="30"/>
              <w:rPr>
                <w:sz w:val="15"/>
              </w:rPr>
            </w:pPr>
            <w:r>
              <w:rPr>
                <w:color w:val="231F20"/>
                <w:w w:val="95"/>
                <w:sz w:val="15"/>
              </w:rPr>
              <w:t>Train human resource</w:t>
            </w:r>
          </w:p>
        </w:tc>
      </w:tr>
      <w:tr w:rsidR="009948F1" w14:paraId="3FB8DA4C" w14:textId="77777777">
        <w:trPr>
          <w:trHeight w:val="1736"/>
        </w:trPr>
        <w:tc>
          <w:tcPr>
            <w:tcW w:w="473" w:type="dxa"/>
            <w:tcBorders>
              <w:top w:val="single" w:sz="12" w:space="0" w:color="231F20"/>
              <w:left w:val="single" w:sz="12" w:space="0" w:color="231F20"/>
              <w:bottom w:val="single" w:sz="6" w:space="0" w:color="231F20"/>
              <w:right w:val="single" w:sz="6" w:space="0" w:color="231F20"/>
            </w:tcBorders>
            <w:shd w:val="clear" w:color="auto" w:fill="CCE7D3"/>
          </w:tcPr>
          <w:p w14:paraId="56F65D3D" w14:textId="77777777" w:rsidR="009948F1" w:rsidRDefault="009948F1">
            <w:pPr>
              <w:pStyle w:val="TableParagraph"/>
              <w:rPr>
                <w:sz w:val="14"/>
              </w:rPr>
            </w:pPr>
          </w:p>
          <w:p w14:paraId="4463D443" w14:textId="77777777" w:rsidR="009948F1" w:rsidRDefault="009948F1">
            <w:pPr>
              <w:pStyle w:val="TableParagraph"/>
              <w:rPr>
                <w:sz w:val="14"/>
              </w:rPr>
            </w:pPr>
          </w:p>
          <w:p w14:paraId="44D2E5C8" w14:textId="77777777" w:rsidR="009948F1" w:rsidRDefault="009948F1">
            <w:pPr>
              <w:pStyle w:val="TableParagraph"/>
              <w:rPr>
                <w:sz w:val="14"/>
              </w:rPr>
            </w:pPr>
          </w:p>
          <w:p w14:paraId="69C60285" w14:textId="77777777" w:rsidR="009948F1" w:rsidRDefault="009948F1">
            <w:pPr>
              <w:pStyle w:val="TableParagraph"/>
              <w:rPr>
                <w:sz w:val="14"/>
              </w:rPr>
            </w:pPr>
          </w:p>
          <w:p w14:paraId="6C5B927D" w14:textId="77777777" w:rsidR="009948F1" w:rsidRDefault="009948F1">
            <w:pPr>
              <w:pStyle w:val="TableParagraph"/>
              <w:spacing w:before="11"/>
              <w:rPr>
                <w:sz w:val="11"/>
              </w:rPr>
            </w:pPr>
          </w:p>
          <w:p w14:paraId="100FAE03" w14:textId="77777777" w:rsidR="009948F1" w:rsidRDefault="00BC0563">
            <w:pPr>
              <w:pStyle w:val="TableParagraph"/>
              <w:ind w:left="16" w:right="19"/>
              <w:jc w:val="center"/>
              <w:rPr>
                <w:sz w:val="15"/>
              </w:rPr>
            </w:pPr>
            <w:r>
              <w:rPr>
                <w:color w:val="231F20"/>
                <w:w w:val="90"/>
                <w:sz w:val="15"/>
              </w:rPr>
              <w:t>10.1.6</w:t>
            </w:r>
          </w:p>
        </w:tc>
        <w:tc>
          <w:tcPr>
            <w:tcW w:w="3200" w:type="dxa"/>
            <w:gridSpan w:val="2"/>
            <w:tcBorders>
              <w:top w:val="single" w:sz="12" w:space="0" w:color="231F20"/>
              <w:left w:val="single" w:sz="6" w:space="0" w:color="231F20"/>
              <w:bottom w:val="single" w:sz="6" w:space="0" w:color="231F20"/>
              <w:right w:val="single" w:sz="6" w:space="0" w:color="231F20"/>
            </w:tcBorders>
            <w:shd w:val="clear" w:color="auto" w:fill="CCE7D3"/>
          </w:tcPr>
          <w:p w14:paraId="44937272" w14:textId="77777777" w:rsidR="009948F1" w:rsidRDefault="009948F1">
            <w:pPr>
              <w:pStyle w:val="TableParagraph"/>
              <w:rPr>
                <w:sz w:val="14"/>
              </w:rPr>
            </w:pPr>
          </w:p>
          <w:p w14:paraId="679A5295" w14:textId="77777777" w:rsidR="009948F1" w:rsidRDefault="009948F1">
            <w:pPr>
              <w:pStyle w:val="TableParagraph"/>
              <w:rPr>
                <w:sz w:val="14"/>
              </w:rPr>
            </w:pPr>
          </w:p>
          <w:p w14:paraId="265F0FCC" w14:textId="77777777" w:rsidR="009948F1" w:rsidRDefault="009948F1">
            <w:pPr>
              <w:pStyle w:val="TableParagraph"/>
              <w:spacing w:before="8"/>
              <w:rPr>
                <w:sz w:val="14"/>
              </w:rPr>
            </w:pPr>
          </w:p>
          <w:p w14:paraId="27EDCDA4" w14:textId="77777777" w:rsidR="009948F1" w:rsidRDefault="00BC0563">
            <w:pPr>
              <w:pStyle w:val="TableParagraph"/>
              <w:spacing w:line="264" w:lineRule="auto"/>
              <w:ind w:left="27" w:right="97" w:firstLine="34"/>
              <w:rPr>
                <w:sz w:val="15"/>
              </w:rPr>
            </w:pPr>
            <w:r>
              <w:rPr>
                <w:color w:val="231F20"/>
                <w:w w:val="95"/>
                <w:sz w:val="15"/>
              </w:rPr>
              <w:t xml:space="preserve">Promote partnerships between Equipment </w:t>
            </w:r>
            <w:r>
              <w:rPr>
                <w:color w:val="231F20"/>
                <w:w w:val="85"/>
                <w:sz w:val="15"/>
              </w:rPr>
              <w:t xml:space="preserve">Manufacturers/ Suppliers and government at all levels </w:t>
            </w:r>
            <w:r>
              <w:rPr>
                <w:color w:val="231F20"/>
                <w:w w:val="95"/>
                <w:sz w:val="15"/>
              </w:rPr>
              <w:t>for technology transfer/training/ maintenance agreements.</w:t>
            </w:r>
          </w:p>
        </w:tc>
        <w:tc>
          <w:tcPr>
            <w:tcW w:w="2512" w:type="dxa"/>
            <w:tcBorders>
              <w:top w:val="single" w:sz="12" w:space="0" w:color="231F20"/>
              <w:left w:val="single" w:sz="6" w:space="0" w:color="231F20"/>
              <w:bottom w:val="single" w:sz="6" w:space="0" w:color="231F20"/>
              <w:right w:val="single" w:sz="6" w:space="0" w:color="231F20"/>
            </w:tcBorders>
            <w:shd w:val="clear" w:color="auto" w:fill="CCE7D3"/>
          </w:tcPr>
          <w:p w14:paraId="68F6DFD2" w14:textId="77777777" w:rsidR="009948F1" w:rsidRDefault="00BC0563">
            <w:pPr>
              <w:pStyle w:val="TableParagraph"/>
              <w:numPr>
                <w:ilvl w:val="0"/>
                <w:numId w:val="50"/>
              </w:numPr>
              <w:tabs>
                <w:tab w:val="left" w:pos="107"/>
              </w:tabs>
              <w:spacing w:line="264" w:lineRule="auto"/>
              <w:ind w:right="32" w:firstLine="0"/>
              <w:rPr>
                <w:sz w:val="15"/>
              </w:rPr>
            </w:pPr>
            <w:r>
              <w:rPr>
                <w:color w:val="231F20"/>
                <w:w w:val="95"/>
                <w:sz w:val="15"/>
              </w:rPr>
              <w:t xml:space="preserve">Platform for engagement of major </w:t>
            </w:r>
            <w:r>
              <w:rPr>
                <w:color w:val="231F20"/>
                <w:w w:val="90"/>
                <w:sz w:val="15"/>
              </w:rPr>
              <w:t xml:space="preserve">equipment manufacturers/suppliers for </w:t>
            </w:r>
            <w:r>
              <w:rPr>
                <w:color w:val="231F20"/>
                <w:w w:val="85"/>
                <w:sz w:val="15"/>
              </w:rPr>
              <w:t>technology</w:t>
            </w:r>
            <w:r>
              <w:rPr>
                <w:color w:val="231F20"/>
                <w:spacing w:val="-15"/>
                <w:w w:val="85"/>
                <w:sz w:val="15"/>
              </w:rPr>
              <w:t xml:space="preserve"> </w:t>
            </w:r>
            <w:r>
              <w:rPr>
                <w:color w:val="231F20"/>
                <w:w w:val="85"/>
                <w:sz w:val="15"/>
              </w:rPr>
              <w:t>transfer/training/</w:t>
            </w:r>
            <w:r>
              <w:rPr>
                <w:color w:val="231F20"/>
                <w:spacing w:val="-15"/>
                <w:w w:val="85"/>
                <w:sz w:val="15"/>
              </w:rPr>
              <w:t xml:space="preserve"> </w:t>
            </w:r>
            <w:r>
              <w:rPr>
                <w:color w:val="231F20"/>
                <w:w w:val="85"/>
                <w:sz w:val="15"/>
              </w:rPr>
              <w:t>maintenance</w:t>
            </w:r>
            <w:r>
              <w:rPr>
                <w:color w:val="231F20"/>
                <w:spacing w:val="-14"/>
                <w:w w:val="85"/>
                <w:sz w:val="15"/>
              </w:rPr>
              <w:t xml:space="preserve"> </w:t>
            </w:r>
            <w:r>
              <w:rPr>
                <w:color w:val="231F20"/>
                <w:spacing w:val="-6"/>
                <w:w w:val="85"/>
                <w:sz w:val="15"/>
              </w:rPr>
              <w:t xml:space="preserve">of </w:t>
            </w:r>
            <w:r>
              <w:rPr>
                <w:color w:val="231F20"/>
                <w:w w:val="95"/>
                <w:sz w:val="15"/>
              </w:rPr>
              <w:t>infrastructure</w:t>
            </w:r>
            <w:r>
              <w:rPr>
                <w:color w:val="231F20"/>
                <w:spacing w:val="-23"/>
                <w:w w:val="95"/>
                <w:sz w:val="15"/>
              </w:rPr>
              <w:t xml:space="preserve"> </w:t>
            </w:r>
            <w:r>
              <w:rPr>
                <w:color w:val="231F20"/>
                <w:w w:val="95"/>
                <w:sz w:val="15"/>
              </w:rPr>
              <w:t>identified</w:t>
            </w:r>
            <w:r>
              <w:rPr>
                <w:color w:val="231F20"/>
                <w:spacing w:val="-23"/>
                <w:w w:val="95"/>
                <w:sz w:val="15"/>
              </w:rPr>
              <w:t xml:space="preserve"> </w:t>
            </w:r>
            <w:r>
              <w:rPr>
                <w:color w:val="231F20"/>
                <w:w w:val="95"/>
                <w:sz w:val="15"/>
              </w:rPr>
              <w:t>and</w:t>
            </w:r>
            <w:r>
              <w:rPr>
                <w:color w:val="231F20"/>
                <w:spacing w:val="-23"/>
                <w:w w:val="95"/>
                <w:sz w:val="15"/>
              </w:rPr>
              <w:t xml:space="preserve"> </w:t>
            </w:r>
            <w:r>
              <w:rPr>
                <w:color w:val="231F20"/>
                <w:w w:val="95"/>
                <w:sz w:val="15"/>
              </w:rPr>
              <w:t>provided</w:t>
            </w:r>
          </w:p>
          <w:p w14:paraId="61F573EC" w14:textId="77777777" w:rsidR="009948F1" w:rsidRDefault="00BC0563">
            <w:pPr>
              <w:pStyle w:val="TableParagraph"/>
              <w:numPr>
                <w:ilvl w:val="0"/>
                <w:numId w:val="50"/>
              </w:numPr>
              <w:tabs>
                <w:tab w:val="left" w:pos="74"/>
              </w:tabs>
              <w:spacing w:line="264" w:lineRule="auto"/>
              <w:ind w:right="470" w:firstLine="0"/>
              <w:rPr>
                <w:sz w:val="15"/>
              </w:rPr>
            </w:pPr>
            <w:r>
              <w:rPr>
                <w:color w:val="231F20"/>
                <w:w w:val="85"/>
                <w:sz w:val="15"/>
              </w:rPr>
              <w:t>MoUs for production, training, and maintenance</w:t>
            </w:r>
            <w:r>
              <w:rPr>
                <w:color w:val="231F20"/>
                <w:spacing w:val="-16"/>
                <w:w w:val="85"/>
                <w:sz w:val="15"/>
              </w:rPr>
              <w:t xml:space="preserve"> </w:t>
            </w:r>
            <w:r>
              <w:rPr>
                <w:color w:val="231F20"/>
                <w:w w:val="85"/>
                <w:sz w:val="15"/>
              </w:rPr>
              <w:t>of</w:t>
            </w:r>
            <w:r>
              <w:rPr>
                <w:color w:val="231F20"/>
                <w:spacing w:val="-15"/>
                <w:w w:val="85"/>
                <w:sz w:val="15"/>
              </w:rPr>
              <w:t xml:space="preserve"> </w:t>
            </w:r>
            <w:r>
              <w:rPr>
                <w:color w:val="231F20"/>
                <w:w w:val="85"/>
                <w:sz w:val="15"/>
              </w:rPr>
              <w:t>health</w:t>
            </w:r>
            <w:r>
              <w:rPr>
                <w:color w:val="231F20"/>
                <w:spacing w:val="-16"/>
                <w:w w:val="85"/>
                <w:sz w:val="15"/>
              </w:rPr>
              <w:t xml:space="preserve"> </w:t>
            </w:r>
            <w:r>
              <w:rPr>
                <w:color w:val="231F20"/>
                <w:w w:val="85"/>
                <w:sz w:val="15"/>
              </w:rPr>
              <w:t xml:space="preserve">infrastructure </w:t>
            </w:r>
            <w:r>
              <w:rPr>
                <w:color w:val="231F20"/>
                <w:w w:val="95"/>
                <w:sz w:val="15"/>
              </w:rPr>
              <w:t>developed</w:t>
            </w:r>
            <w:r>
              <w:rPr>
                <w:color w:val="231F20"/>
                <w:spacing w:val="-20"/>
                <w:w w:val="95"/>
                <w:sz w:val="15"/>
              </w:rPr>
              <w:t xml:space="preserve"> </w:t>
            </w:r>
            <w:r>
              <w:rPr>
                <w:color w:val="231F20"/>
                <w:w w:val="95"/>
                <w:sz w:val="15"/>
              </w:rPr>
              <w:t>and</w:t>
            </w:r>
            <w:r>
              <w:rPr>
                <w:color w:val="231F20"/>
                <w:spacing w:val="-20"/>
                <w:w w:val="95"/>
                <w:sz w:val="15"/>
              </w:rPr>
              <w:t xml:space="preserve"> </w:t>
            </w:r>
            <w:r>
              <w:rPr>
                <w:color w:val="231F20"/>
                <w:w w:val="95"/>
                <w:sz w:val="15"/>
              </w:rPr>
              <w:t>implemented</w:t>
            </w:r>
          </w:p>
          <w:p w14:paraId="206D0F82" w14:textId="77777777" w:rsidR="009948F1" w:rsidRDefault="00BC0563">
            <w:pPr>
              <w:pStyle w:val="TableParagraph"/>
              <w:numPr>
                <w:ilvl w:val="0"/>
                <w:numId w:val="50"/>
              </w:numPr>
              <w:tabs>
                <w:tab w:val="left" w:pos="100"/>
              </w:tabs>
              <w:spacing w:line="264" w:lineRule="auto"/>
              <w:ind w:right="18" w:firstLine="0"/>
              <w:rPr>
                <w:sz w:val="15"/>
              </w:rPr>
            </w:pPr>
            <w:r>
              <w:rPr>
                <w:color w:val="231F20"/>
                <w:w w:val="90"/>
                <w:sz w:val="15"/>
              </w:rPr>
              <w:t xml:space="preserve">Advocate an enabling fiscal policy to </w:t>
            </w:r>
            <w:r>
              <w:rPr>
                <w:color w:val="231F20"/>
                <w:w w:val="85"/>
                <w:sz w:val="15"/>
              </w:rPr>
              <w:t>create</w:t>
            </w:r>
            <w:r>
              <w:rPr>
                <w:color w:val="231F20"/>
                <w:spacing w:val="-22"/>
                <w:w w:val="85"/>
                <w:sz w:val="15"/>
              </w:rPr>
              <w:t xml:space="preserve"> </w:t>
            </w:r>
            <w:r>
              <w:rPr>
                <w:color w:val="231F20"/>
                <w:w w:val="85"/>
                <w:sz w:val="15"/>
              </w:rPr>
              <w:t>an</w:t>
            </w:r>
            <w:r>
              <w:rPr>
                <w:color w:val="231F20"/>
                <w:spacing w:val="-22"/>
                <w:w w:val="85"/>
                <w:sz w:val="15"/>
              </w:rPr>
              <w:t xml:space="preserve"> </w:t>
            </w:r>
            <w:r>
              <w:rPr>
                <w:color w:val="231F20"/>
                <w:w w:val="85"/>
                <w:sz w:val="15"/>
              </w:rPr>
              <w:t>enabling</w:t>
            </w:r>
            <w:r>
              <w:rPr>
                <w:color w:val="231F20"/>
                <w:spacing w:val="-22"/>
                <w:w w:val="85"/>
                <w:sz w:val="15"/>
              </w:rPr>
              <w:t xml:space="preserve"> </w:t>
            </w:r>
            <w:r>
              <w:rPr>
                <w:color w:val="231F20"/>
                <w:w w:val="85"/>
                <w:sz w:val="15"/>
              </w:rPr>
              <w:t>environment</w:t>
            </w:r>
            <w:r>
              <w:rPr>
                <w:color w:val="231F20"/>
                <w:spacing w:val="-23"/>
                <w:w w:val="85"/>
                <w:sz w:val="15"/>
              </w:rPr>
              <w:t xml:space="preserve"> </w:t>
            </w:r>
            <w:r>
              <w:rPr>
                <w:color w:val="231F20"/>
                <w:w w:val="85"/>
                <w:sz w:val="15"/>
              </w:rPr>
              <w:t>for</w:t>
            </w:r>
            <w:r>
              <w:rPr>
                <w:color w:val="231F20"/>
                <w:spacing w:val="-22"/>
                <w:w w:val="85"/>
                <w:sz w:val="15"/>
              </w:rPr>
              <w:t xml:space="preserve"> </w:t>
            </w:r>
            <w:r>
              <w:rPr>
                <w:color w:val="231F20"/>
                <w:w w:val="85"/>
                <w:sz w:val="15"/>
              </w:rPr>
              <w:t>PPP</w:t>
            </w:r>
            <w:r>
              <w:rPr>
                <w:color w:val="231F20"/>
                <w:spacing w:val="-23"/>
                <w:w w:val="85"/>
                <w:sz w:val="15"/>
              </w:rPr>
              <w:t xml:space="preserve"> </w:t>
            </w:r>
            <w:r>
              <w:rPr>
                <w:color w:val="231F20"/>
                <w:w w:val="85"/>
                <w:sz w:val="15"/>
              </w:rPr>
              <w:t>done</w:t>
            </w:r>
          </w:p>
        </w:tc>
        <w:tc>
          <w:tcPr>
            <w:tcW w:w="1503" w:type="dxa"/>
            <w:tcBorders>
              <w:top w:val="single" w:sz="12" w:space="0" w:color="231F20"/>
              <w:left w:val="single" w:sz="6" w:space="0" w:color="231F20"/>
              <w:bottom w:val="single" w:sz="6" w:space="0" w:color="231F20"/>
              <w:right w:val="single" w:sz="6" w:space="0" w:color="231F20"/>
            </w:tcBorders>
            <w:shd w:val="clear" w:color="auto" w:fill="CCE7D3"/>
          </w:tcPr>
          <w:p w14:paraId="12F8C1DA" w14:textId="77777777" w:rsidR="009948F1" w:rsidRDefault="009948F1">
            <w:pPr>
              <w:pStyle w:val="TableParagraph"/>
              <w:rPr>
                <w:rFonts w:ascii="Times New Roman"/>
                <w:sz w:val="12"/>
              </w:rPr>
            </w:pPr>
          </w:p>
        </w:tc>
        <w:tc>
          <w:tcPr>
            <w:tcW w:w="1585" w:type="dxa"/>
            <w:tcBorders>
              <w:top w:val="single" w:sz="12" w:space="0" w:color="231F20"/>
              <w:left w:val="single" w:sz="6" w:space="0" w:color="231F20"/>
              <w:bottom w:val="single" w:sz="6" w:space="0" w:color="231F20"/>
            </w:tcBorders>
            <w:shd w:val="clear" w:color="auto" w:fill="CCE7D3"/>
          </w:tcPr>
          <w:p w14:paraId="6C317094" w14:textId="77777777" w:rsidR="009948F1" w:rsidRDefault="009948F1">
            <w:pPr>
              <w:pStyle w:val="TableParagraph"/>
              <w:rPr>
                <w:rFonts w:ascii="Times New Roman"/>
                <w:sz w:val="12"/>
              </w:rPr>
            </w:pPr>
          </w:p>
        </w:tc>
      </w:tr>
      <w:tr w:rsidR="009948F1" w14:paraId="6CC351D3" w14:textId="77777777">
        <w:trPr>
          <w:trHeight w:val="365"/>
        </w:trPr>
        <w:tc>
          <w:tcPr>
            <w:tcW w:w="473" w:type="dxa"/>
            <w:vMerge w:val="restart"/>
            <w:tcBorders>
              <w:top w:val="single" w:sz="6" w:space="0" w:color="231F20"/>
              <w:bottom w:val="single" w:sz="6" w:space="0" w:color="231F20"/>
              <w:right w:val="single" w:sz="6" w:space="0" w:color="231F20"/>
            </w:tcBorders>
          </w:tcPr>
          <w:p w14:paraId="319B6B41" w14:textId="77777777" w:rsidR="009948F1" w:rsidRDefault="009948F1">
            <w:pPr>
              <w:pStyle w:val="TableParagraph"/>
              <w:rPr>
                <w:rFonts w:ascii="Times New Roman"/>
                <w:sz w:val="12"/>
              </w:rPr>
            </w:pPr>
          </w:p>
        </w:tc>
        <w:tc>
          <w:tcPr>
            <w:tcW w:w="554" w:type="dxa"/>
            <w:tcBorders>
              <w:top w:val="single" w:sz="6" w:space="0" w:color="231F20"/>
              <w:left w:val="single" w:sz="6" w:space="0" w:color="231F20"/>
              <w:bottom w:val="single" w:sz="6" w:space="0" w:color="231F20"/>
              <w:right w:val="single" w:sz="6" w:space="0" w:color="231F20"/>
            </w:tcBorders>
          </w:tcPr>
          <w:p w14:paraId="326E67B1" w14:textId="77777777" w:rsidR="009948F1" w:rsidRDefault="00BC0563">
            <w:pPr>
              <w:pStyle w:val="TableParagraph"/>
              <w:spacing w:before="97"/>
              <w:ind w:right="29"/>
              <w:jc w:val="right"/>
              <w:rPr>
                <w:sz w:val="15"/>
              </w:rPr>
            </w:pPr>
            <w:r>
              <w:rPr>
                <w:color w:val="231F20"/>
                <w:w w:val="80"/>
                <w:sz w:val="15"/>
              </w:rPr>
              <w:t>10.1.6.a</w:t>
            </w:r>
          </w:p>
        </w:tc>
        <w:tc>
          <w:tcPr>
            <w:tcW w:w="5158" w:type="dxa"/>
            <w:gridSpan w:val="2"/>
            <w:tcBorders>
              <w:top w:val="single" w:sz="6" w:space="0" w:color="231F20"/>
              <w:left w:val="single" w:sz="6" w:space="0" w:color="231F20"/>
              <w:bottom w:val="single" w:sz="6" w:space="0" w:color="231F20"/>
              <w:right w:val="single" w:sz="6" w:space="0" w:color="231F20"/>
            </w:tcBorders>
          </w:tcPr>
          <w:p w14:paraId="508CCB4A" w14:textId="77777777" w:rsidR="009948F1" w:rsidRDefault="00BC0563">
            <w:pPr>
              <w:pStyle w:val="TableParagraph"/>
              <w:spacing w:before="2"/>
              <w:ind w:left="27"/>
              <w:rPr>
                <w:sz w:val="15"/>
              </w:rPr>
            </w:pPr>
            <w:r>
              <w:rPr>
                <w:color w:val="231F20"/>
                <w:w w:val="85"/>
                <w:sz w:val="15"/>
              </w:rPr>
              <w:t>Identify and provide platform for engagement of major equipment manufacturers/suppliers</w:t>
            </w:r>
          </w:p>
          <w:p w14:paraId="445FB57E" w14:textId="77777777" w:rsidR="009948F1" w:rsidRDefault="00BC0563">
            <w:pPr>
              <w:pStyle w:val="TableParagraph"/>
              <w:spacing w:before="16" w:line="155" w:lineRule="exact"/>
              <w:ind w:left="27"/>
              <w:rPr>
                <w:sz w:val="15"/>
              </w:rPr>
            </w:pPr>
            <w:r>
              <w:rPr>
                <w:color w:val="231F20"/>
                <w:w w:val="95"/>
                <w:sz w:val="15"/>
              </w:rPr>
              <w:t>for technology transfer/training/ maintenance of infrastructure</w:t>
            </w:r>
          </w:p>
        </w:tc>
        <w:tc>
          <w:tcPr>
            <w:tcW w:w="1503" w:type="dxa"/>
            <w:tcBorders>
              <w:top w:val="single" w:sz="6" w:space="0" w:color="231F20"/>
              <w:left w:val="single" w:sz="6" w:space="0" w:color="231F20"/>
              <w:bottom w:val="single" w:sz="6" w:space="0" w:color="231F20"/>
              <w:right w:val="single" w:sz="6" w:space="0" w:color="231F20"/>
            </w:tcBorders>
          </w:tcPr>
          <w:p w14:paraId="26C273EC"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0CE5F3B6" w14:textId="77777777" w:rsidR="009948F1" w:rsidRDefault="00BC0563">
            <w:pPr>
              <w:pStyle w:val="TableParagraph"/>
              <w:spacing w:before="97"/>
              <w:ind w:left="30"/>
              <w:rPr>
                <w:sz w:val="15"/>
              </w:rPr>
            </w:pPr>
            <w:r>
              <w:rPr>
                <w:color w:val="231F20"/>
                <w:w w:val="95"/>
                <w:sz w:val="15"/>
              </w:rPr>
              <w:t>Costed in 10.1.5b</w:t>
            </w:r>
          </w:p>
        </w:tc>
      </w:tr>
      <w:tr w:rsidR="009948F1" w14:paraId="1AF8BE44" w14:textId="77777777">
        <w:trPr>
          <w:trHeight w:val="352"/>
        </w:trPr>
        <w:tc>
          <w:tcPr>
            <w:tcW w:w="473" w:type="dxa"/>
            <w:vMerge/>
            <w:tcBorders>
              <w:top w:val="nil"/>
              <w:bottom w:val="single" w:sz="6" w:space="0" w:color="231F20"/>
              <w:right w:val="single" w:sz="6" w:space="0" w:color="231F20"/>
            </w:tcBorders>
          </w:tcPr>
          <w:p w14:paraId="1C26FB26"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1E7D9F13" w14:textId="77777777" w:rsidR="009948F1" w:rsidRDefault="00BC0563">
            <w:pPr>
              <w:pStyle w:val="TableParagraph"/>
              <w:spacing w:before="91"/>
              <w:ind w:right="29"/>
              <w:jc w:val="right"/>
              <w:rPr>
                <w:sz w:val="15"/>
              </w:rPr>
            </w:pPr>
            <w:r>
              <w:rPr>
                <w:color w:val="231F20"/>
                <w:w w:val="80"/>
                <w:sz w:val="15"/>
              </w:rPr>
              <w:t>10.1.6.b</w:t>
            </w:r>
          </w:p>
        </w:tc>
        <w:tc>
          <w:tcPr>
            <w:tcW w:w="5158" w:type="dxa"/>
            <w:gridSpan w:val="2"/>
            <w:tcBorders>
              <w:top w:val="single" w:sz="6" w:space="0" w:color="231F20"/>
              <w:left w:val="single" w:sz="6" w:space="0" w:color="231F20"/>
              <w:bottom w:val="single" w:sz="6" w:space="0" w:color="231F20"/>
              <w:right w:val="single" w:sz="6" w:space="0" w:color="231F20"/>
            </w:tcBorders>
          </w:tcPr>
          <w:p w14:paraId="544C4D34" w14:textId="77777777" w:rsidR="009948F1" w:rsidRDefault="00BC0563">
            <w:pPr>
              <w:pStyle w:val="TableParagraph"/>
              <w:spacing w:before="2"/>
              <w:ind w:left="27"/>
              <w:rPr>
                <w:sz w:val="15"/>
              </w:rPr>
            </w:pPr>
            <w:r>
              <w:rPr>
                <w:color w:val="231F20"/>
                <w:w w:val="95"/>
                <w:sz w:val="15"/>
              </w:rPr>
              <w:t>Develop</w:t>
            </w:r>
            <w:r>
              <w:rPr>
                <w:color w:val="231F20"/>
                <w:spacing w:val="-26"/>
                <w:w w:val="95"/>
                <w:sz w:val="15"/>
              </w:rPr>
              <w:t xml:space="preserve"> </w:t>
            </w:r>
            <w:r>
              <w:rPr>
                <w:color w:val="231F20"/>
                <w:w w:val="95"/>
                <w:sz w:val="15"/>
              </w:rPr>
              <w:t>and</w:t>
            </w:r>
            <w:r>
              <w:rPr>
                <w:color w:val="231F20"/>
                <w:spacing w:val="-26"/>
                <w:w w:val="95"/>
                <w:sz w:val="15"/>
              </w:rPr>
              <w:t xml:space="preserve"> </w:t>
            </w:r>
            <w:r>
              <w:rPr>
                <w:color w:val="231F20"/>
                <w:w w:val="95"/>
                <w:sz w:val="15"/>
              </w:rPr>
              <w:t>implement</w:t>
            </w:r>
            <w:r>
              <w:rPr>
                <w:color w:val="231F20"/>
                <w:spacing w:val="-26"/>
                <w:w w:val="95"/>
                <w:sz w:val="15"/>
              </w:rPr>
              <w:t xml:space="preserve"> </w:t>
            </w:r>
            <w:r>
              <w:rPr>
                <w:color w:val="231F20"/>
                <w:w w:val="95"/>
                <w:sz w:val="15"/>
              </w:rPr>
              <w:t>MoUs</w:t>
            </w:r>
            <w:r>
              <w:rPr>
                <w:color w:val="231F20"/>
                <w:spacing w:val="-26"/>
                <w:w w:val="95"/>
                <w:sz w:val="15"/>
              </w:rPr>
              <w:t xml:space="preserve"> </w:t>
            </w:r>
            <w:r>
              <w:rPr>
                <w:color w:val="231F20"/>
                <w:w w:val="95"/>
                <w:sz w:val="15"/>
              </w:rPr>
              <w:t>for</w:t>
            </w:r>
            <w:r>
              <w:rPr>
                <w:color w:val="231F20"/>
                <w:spacing w:val="-25"/>
                <w:w w:val="95"/>
                <w:sz w:val="15"/>
              </w:rPr>
              <w:t xml:space="preserve"> </w:t>
            </w:r>
            <w:r>
              <w:rPr>
                <w:color w:val="231F20"/>
                <w:w w:val="95"/>
                <w:sz w:val="15"/>
              </w:rPr>
              <w:t>production,</w:t>
            </w:r>
            <w:r>
              <w:rPr>
                <w:color w:val="231F20"/>
                <w:spacing w:val="-26"/>
                <w:w w:val="95"/>
                <w:sz w:val="15"/>
              </w:rPr>
              <w:t xml:space="preserve"> </w:t>
            </w:r>
            <w:r>
              <w:rPr>
                <w:color w:val="231F20"/>
                <w:w w:val="95"/>
                <w:sz w:val="15"/>
              </w:rPr>
              <w:t>training,</w:t>
            </w:r>
            <w:r>
              <w:rPr>
                <w:color w:val="231F20"/>
                <w:spacing w:val="-26"/>
                <w:w w:val="95"/>
                <w:sz w:val="15"/>
              </w:rPr>
              <w:t xml:space="preserve"> </w:t>
            </w:r>
            <w:r>
              <w:rPr>
                <w:color w:val="231F20"/>
                <w:w w:val="95"/>
                <w:sz w:val="15"/>
              </w:rPr>
              <w:t>and</w:t>
            </w:r>
            <w:r>
              <w:rPr>
                <w:color w:val="231F20"/>
                <w:spacing w:val="-26"/>
                <w:w w:val="95"/>
                <w:sz w:val="15"/>
              </w:rPr>
              <w:t xml:space="preserve"> </w:t>
            </w:r>
            <w:r>
              <w:rPr>
                <w:color w:val="231F20"/>
                <w:w w:val="95"/>
                <w:sz w:val="15"/>
              </w:rPr>
              <w:t>maintenance</w:t>
            </w:r>
            <w:r>
              <w:rPr>
                <w:color w:val="231F20"/>
                <w:spacing w:val="-25"/>
                <w:w w:val="95"/>
                <w:sz w:val="15"/>
              </w:rPr>
              <w:t xml:space="preserve"> </w:t>
            </w:r>
            <w:r>
              <w:rPr>
                <w:color w:val="231F20"/>
                <w:w w:val="95"/>
                <w:sz w:val="15"/>
              </w:rPr>
              <w:t>of</w:t>
            </w:r>
            <w:r>
              <w:rPr>
                <w:color w:val="231F20"/>
                <w:spacing w:val="-26"/>
                <w:w w:val="95"/>
                <w:sz w:val="15"/>
              </w:rPr>
              <w:t xml:space="preserve"> </w:t>
            </w:r>
            <w:r>
              <w:rPr>
                <w:color w:val="231F20"/>
                <w:w w:val="95"/>
                <w:sz w:val="15"/>
              </w:rPr>
              <w:t>health</w:t>
            </w:r>
          </w:p>
          <w:p w14:paraId="0E3AB1AA" w14:textId="77777777" w:rsidR="009948F1" w:rsidRDefault="00BC0563">
            <w:pPr>
              <w:pStyle w:val="TableParagraph"/>
              <w:spacing w:before="16" w:line="141" w:lineRule="exact"/>
              <w:ind w:left="27"/>
              <w:rPr>
                <w:sz w:val="15"/>
              </w:rPr>
            </w:pPr>
            <w:r>
              <w:rPr>
                <w:color w:val="231F20"/>
                <w:w w:val="95"/>
                <w:sz w:val="15"/>
              </w:rPr>
              <w:t>infrastructure</w:t>
            </w:r>
          </w:p>
        </w:tc>
        <w:tc>
          <w:tcPr>
            <w:tcW w:w="1503" w:type="dxa"/>
            <w:tcBorders>
              <w:top w:val="single" w:sz="6" w:space="0" w:color="231F20"/>
              <w:left w:val="single" w:sz="6" w:space="0" w:color="231F20"/>
              <w:bottom w:val="single" w:sz="6" w:space="0" w:color="231F20"/>
              <w:right w:val="single" w:sz="6" w:space="0" w:color="231F20"/>
            </w:tcBorders>
          </w:tcPr>
          <w:p w14:paraId="7CBE7E34" w14:textId="77777777" w:rsidR="009948F1" w:rsidRDefault="00BC0563">
            <w:pPr>
              <w:pStyle w:val="TableParagraph"/>
              <w:spacing w:before="91"/>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2FC7A9E" w14:textId="77777777" w:rsidR="009948F1" w:rsidRDefault="00BC0563">
            <w:pPr>
              <w:pStyle w:val="TableParagraph"/>
              <w:spacing w:before="91"/>
              <w:ind w:left="30"/>
              <w:rPr>
                <w:sz w:val="15"/>
              </w:rPr>
            </w:pPr>
            <w:r>
              <w:rPr>
                <w:color w:val="231F20"/>
                <w:w w:val="95"/>
                <w:sz w:val="15"/>
              </w:rPr>
              <w:t>Costed in 10.1.5b</w:t>
            </w:r>
          </w:p>
        </w:tc>
      </w:tr>
      <w:tr w:rsidR="009948F1" w14:paraId="30DE65D6" w14:textId="77777777">
        <w:trPr>
          <w:trHeight w:val="370"/>
        </w:trPr>
        <w:tc>
          <w:tcPr>
            <w:tcW w:w="473" w:type="dxa"/>
            <w:vMerge/>
            <w:tcBorders>
              <w:top w:val="nil"/>
              <w:bottom w:val="single" w:sz="6" w:space="0" w:color="231F20"/>
              <w:right w:val="single" w:sz="6" w:space="0" w:color="231F20"/>
            </w:tcBorders>
          </w:tcPr>
          <w:p w14:paraId="53A7F963"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6E173E21" w14:textId="77777777" w:rsidR="009948F1" w:rsidRDefault="00BC0563">
            <w:pPr>
              <w:pStyle w:val="TableParagraph"/>
              <w:spacing w:before="100"/>
              <w:ind w:right="33"/>
              <w:jc w:val="right"/>
              <w:rPr>
                <w:sz w:val="15"/>
              </w:rPr>
            </w:pPr>
            <w:r>
              <w:rPr>
                <w:color w:val="231F20"/>
                <w:w w:val="80"/>
                <w:sz w:val="15"/>
              </w:rPr>
              <w:t>10.1.6.c</w:t>
            </w:r>
          </w:p>
        </w:tc>
        <w:tc>
          <w:tcPr>
            <w:tcW w:w="5158" w:type="dxa"/>
            <w:gridSpan w:val="2"/>
            <w:tcBorders>
              <w:top w:val="single" w:sz="6" w:space="0" w:color="231F20"/>
              <w:left w:val="single" w:sz="6" w:space="0" w:color="231F20"/>
              <w:bottom w:val="single" w:sz="6" w:space="0" w:color="231F20"/>
              <w:right w:val="single" w:sz="6" w:space="0" w:color="231F20"/>
            </w:tcBorders>
          </w:tcPr>
          <w:p w14:paraId="0CB758CD" w14:textId="77777777" w:rsidR="009948F1" w:rsidRDefault="00BC0563">
            <w:pPr>
              <w:pStyle w:val="TableParagraph"/>
              <w:spacing w:before="2"/>
              <w:ind w:left="27"/>
              <w:rPr>
                <w:sz w:val="15"/>
              </w:rPr>
            </w:pPr>
            <w:r>
              <w:rPr>
                <w:color w:val="231F20"/>
                <w:w w:val="90"/>
                <w:sz w:val="15"/>
              </w:rPr>
              <w:t>Advocate</w:t>
            </w:r>
            <w:r>
              <w:rPr>
                <w:color w:val="231F20"/>
                <w:spacing w:val="-19"/>
                <w:w w:val="90"/>
                <w:sz w:val="15"/>
              </w:rPr>
              <w:t xml:space="preserve"> </w:t>
            </w:r>
            <w:r>
              <w:rPr>
                <w:color w:val="231F20"/>
                <w:w w:val="90"/>
                <w:sz w:val="15"/>
              </w:rPr>
              <w:t>an</w:t>
            </w:r>
            <w:r>
              <w:rPr>
                <w:color w:val="231F20"/>
                <w:spacing w:val="-19"/>
                <w:w w:val="90"/>
                <w:sz w:val="15"/>
              </w:rPr>
              <w:t xml:space="preserve"> </w:t>
            </w:r>
            <w:r>
              <w:rPr>
                <w:color w:val="231F20"/>
                <w:w w:val="90"/>
                <w:sz w:val="15"/>
              </w:rPr>
              <w:t>enabling</w:t>
            </w:r>
            <w:r>
              <w:rPr>
                <w:color w:val="231F20"/>
                <w:spacing w:val="-19"/>
                <w:w w:val="90"/>
                <w:sz w:val="15"/>
              </w:rPr>
              <w:t xml:space="preserve"> </w:t>
            </w:r>
            <w:r>
              <w:rPr>
                <w:color w:val="231F20"/>
                <w:w w:val="90"/>
                <w:sz w:val="15"/>
              </w:rPr>
              <w:t>fiscal</w:t>
            </w:r>
            <w:r>
              <w:rPr>
                <w:color w:val="231F20"/>
                <w:spacing w:val="-19"/>
                <w:w w:val="90"/>
                <w:sz w:val="15"/>
              </w:rPr>
              <w:t xml:space="preserve"> </w:t>
            </w:r>
            <w:r>
              <w:rPr>
                <w:color w:val="231F20"/>
                <w:w w:val="90"/>
                <w:sz w:val="15"/>
              </w:rPr>
              <w:t>policy</w:t>
            </w:r>
            <w:r>
              <w:rPr>
                <w:color w:val="231F20"/>
                <w:spacing w:val="-19"/>
                <w:w w:val="90"/>
                <w:sz w:val="15"/>
              </w:rPr>
              <w:t xml:space="preserve"> </w:t>
            </w:r>
            <w:r>
              <w:rPr>
                <w:color w:val="231F20"/>
                <w:w w:val="90"/>
                <w:sz w:val="15"/>
              </w:rPr>
              <w:t>to</w:t>
            </w:r>
            <w:r>
              <w:rPr>
                <w:color w:val="231F20"/>
                <w:spacing w:val="-19"/>
                <w:w w:val="90"/>
                <w:sz w:val="15"/>
              </w:rPr>
              <w:t xml:space="preserve"> </w:t>
            </w:r>
            <w:r>
              <w:rPr>
                <w:color w:val="231F20"/>
                <w:w w:val="90"/>
                <w:sz w:val="15"/>
              </w:rPr>
              <w:t>create</w:t>
            </w:r>
            <w:r>
              <w:rPr>
                <w:color w:val="231F20"/>
                <w:spacing w:val="-19"/>
                <w:w w:val="90"/>
                <w:sz w:val="15"/>
              </w:rPr>
              <w:t xml:space="preserve"> </w:t>
            </w:r>
            <w:r>
              <w:rPr>
                <w:color w:val="231F20"/>
                <w:w w:val="90"/>
                <w:sz w:val="15"/>
              </w:rPr>
              <w:t>an</w:t>
            </w:r>
            <w:r>
              <w:rPr>
                <w:color w:val="231F20"/>
                <w:spacing w:val="-19"/>
                <w:w w:val="90"/>
                <w:sz w:val="15"/>
              </w:rPr>
              <w:t xml:space="preserve"> </w:t>
            </w:r>
            <w:r>
              <w:rPr>
                <w:color w:val="231F20"/>
                <w:w w:val="90"/>
                <w:sz w:val="15"/>
              </w:rPr>
              <w:t>enabling</w:t>
            </w:r>
            <w:r>
              <w:rPr>
                <w:color w:val="231F20"/>
                <w:spacing w:val="-19"/>
                <w:w w:val="90"/>
                <w:sz w:val="15"/>
              </w:rPr>
              <w:t xml:space="preserve"> </w:t>
            </w:r>
            <w:r>
              <w:rPr>
                <w:color w:val="231F20"/>
                <w:w w:val="90"/>
                <w:sz w:val="15"/>
              </w:rPr>
              <w:t>environment</w:t>
            </w:r>
            <w:r>
              <w:rPr>
                <w:color w:val="231F20"/>
                <w:spacing w:val="-19"/>
                <w:w w:val="90"/>
                <w:sz w:val="15"/>
              </w:rPr>
              <w:t xml:space="preserve"> </w:t>
            </w:r>
            <w:r>
              <w:rPr>
                <w:color w:val="231F20"/>
                <w:w w:val="90"/>
                <w:sz w:val="15"/>
              </w:rPr>
              <w:t>for</w:t>
            </w:r>
            <w:r>
              <w:rPr>
                <w:color w:val="231F20"/>
                <w:spacing w:val="-19"/>
                <w:w w:val="90"/>
                <w:sz w:val="15"/>
              </w:rPr>
              <w:t xml:space="preserve"> </w:t>
            </w:r>
            <w:r>
              <w:rPr>
                <w:color w:val="231F20"/>
                <w:w w:val="90"/>
                <w:sz w:val="15"/>
              </w:rPr>
              <w:t>PPP</w:t>
            </w:r>
            <w:r>
              <w:rPr>
                <w:color w:val="231F20"/>
                <w:spacing w:val="-21"/>
                <w:w w:val="90"/>
                <w:sz w:val="15"/>
              </w:rPr>
              <w:t xml:space="preserve"> </w:t>
            </w:r>
            <w:r>
              <w:rPr>
                <w:color w:val="231F20"/>
                <w:w w:val="90"/>
                <w:sz w:val="15"/>
              </w:rPr>
              <w:t>on</w:t>
            </w:r>
            <w:r>
              <w:rPr>
                <w:color w:val="231F20"/>
                <w:spacing w:val="-19"/>
                <w:w w:val="90"/>
                <w:sz w:val="15"/>
              </w:rPr>
              <w:t xml:space="preserve"> </w:t>
            </w:r>
            <w:r>
              <w:rPr>
                <w:color w:val="231F20"/>
                <w:w w:val="90"/>
                <w:sz w:val="15"/>
              </w:rPr>
              <w:t>health</w:t>
            </w:r>
          </w:p>
          <w:p w14:paraId="70D657A8" w14:textId="77777777" w:rsidR="009948F1" w:rsidRDefault="00BC0563">
            <w:pPr>
              <w:pStyle w:val="TableParagraph"/>
              <w:spacing w:before="16" w:line="160" w:lineRule="exact"/>
              <w:ind w:left="27"/>
              <w:rPr>
                <w:sz w:val="15"/>
              </w:rPr>
            </w:pPr>
            <w:r>
              <w:rPr>
                <w:color w:val="231F20"/>
                <w:w w:val="95"/>
                <w:sz w:val="15"/>
              </w:rPr>
              <w:t>infrastructure e.g. exemption or reduction on import tariffs</w:t>
            </w:r>
          </w:p>
        </w:tc>
        <w:tc>
          <w:tcPr>
            <w:tcW w:w="1503" w:type="dxa"/>
            <w:tcBorders>
              <w:top w:val="single" w:sz="6" w:space="0" w:color="231F20"/>
              <w:left w:val="single" w:sz="6" w:space="0" w:color="231F20"/>
              <w:bottom w:val="single" w:sz="6" w:space="0" w:color="231F20"/>
              <w:right w:val="single" w:sz="6" w:space="0" w:color="231F20"/>
            </w:tcBorders>
          </w:tcPr>
          <w:p w14:paraId="69EDC828" w14:textId="77777777" w:rsidR="009948F1" w:rsidRDefault="00BC0563">
            <w:pPr>
              <w:pStyle w:val="TableParagraph"/>
              <w:spacing w:before="100"/>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622497BF" w14:textId="77777777" w:rsidR="009948F1" w:rsidRDefault="00BC0563">
            <w:pPr>
              <w:pStyle w:val="TableParagraph"/>
              <w:spacing w:before="100"/>
              <w:ind w:left="30"/>
              <w:rPr>
                <w:sz w:val="15"/>
              </w:rPr>
            </w:pPr>
            <w:r>
              <w:rPr>
                <w:color w:val="231F20"/>
                <w:w w:val="95"/>
                <w:sz w:val="15"/>
              </w:rPr>
              <w:t>Costed in 10.1.3e</w:t>
            </w:r>
          </w:p>
        </w:tc>
      </w:tr>
      <w:tr w:rsidR="009948F1" w14:paraId="1654F32A" w14:textId="77777777">
        <w:trPr>
          <w:trHeight w:val="875"/>
        </w:trPr>
        <w:tc>
          <w:tcPr>
            <w:tcW w:w="473" w:type="dxa"/>
            <w:tcBorders>
              <w:top w:val="single" w:sz="6" w:space="0" w:color="231F20"/>
              <w:left w:val="single" w:sz="12" w:space="0" w:color="231F20"/>
              <w:bottom w:val="single" w:sz="6" w:space="0" w:color="231F20"/>
              <w:right w:val="single" w:sz="6" w:space="0" w:color="231F20"/>
            </w:tcBorders>
            <w:shd w:val="clear" w:color="auto" w:fill="CCE7D3"/>
          </w:tcPr>
          <w:p w14:paraId="5EF58859" w14:textId="77777777" w:rsidR="009948F1" w:rsidRDefault="009948F1">
            <w:pPr>
              <w:pStyle w:val="TableParagraph"/>
              <w:rPr>
                <w:sz w:val="14"/>
              </w:rPr>
            </w:pPr>
          </w:p>
          <w:p w14:paraId="0C7CB4B9" w14:textId="77777777" w:rsidR="009948F1" w:rsidRDefault="009948F1">
            <w:pPr>
              <w:pStyle w:val="TableParagraph"/>
              <w:spacing w:before="7"/>
              <w:rPr>
                <w:sz w:val="16"/>
              </w:rPr>
            </w:pPr>
          </w:p>
          <w:p w14:paraId="272DD063" w14:textId="77777777" w:rsidR="009948F1" w:rsidRDefault="00BC0563">
            <w:pPr>
              <w:pStyle w:val="TableParagraph"/>
              <w:ind w:left="16" w:right="19"/>
              <w:jc w:val="center"/>
              <w:rPr>
                <w:sz w:val="15"/>
              </w:rPr>
            </w:pPr>
            <w:r>
              <w:rPr>
                <w:color w:val="231F20"/>
                <w:w w:val="90"/>
                <w:sz w:val="15"/>
              </w:rPr>
              <w:t>10.1.7</w:t>
            </w:r>
          </w:p>
        </w:tc>
        <w:tc>
          <w:tcPr>
            <w:tcW w:w="3200" w:type="dxa"/>
            <w:gridSpan w:val="2"/>
            <w:tcBorders>
              <w:top w:val="single" w:sz="6" w:space="0" w:color="231F20"/>
              <w:left w:val="single" w:sz="6" w:space="0" w:color="231F20"/>
              <w:bottom w:val="single" w:sz="6" w:space="0" w:color="231F20"/>
              <w:right w:val="single" w:sz="6" w:space="0" w:color="231F20"/>
            </w:tcBorders>
            <w:shd w:val="clear" w:color="auto" w:fill="CCE7D3"/>
          </w:tcPr>
          <w:p w14:paraId="23A01BC4" w14:textId="77777777" w:rsidR="009948F1" w:rsidRDefault="009948F1">
            <w:pPr>
              <w:pStyle w:val="TableParagraph"/>
              <w:spacing w:before="7"/>
              <w:rPr>
                <w:sz w:val="13"/>
              </w:rPr>
            </w:pPr>
          </w:p>
          <w:p w14:paraId="5055F1B6" w14:textId="77777777" w:rsidR="009948F1" w:rsidRDefault="00BC0563">
            <w:pPr>
              <w:pStyle w:val="TableParagraph"/>
              <w:spacing w:line="264" w:lineRule="auto"/>
              <w:ind w:left="27" w:right="48" w:firstLine="34"/>
              <w:rPr>
                <w:sz w:val="15"/>
              </w:rPr>
            </w:pPr>
            <w:r>
              <w:rPr>
                <w:color w:val="231F20"/>
                <w:w w:val="85"/>
                <w:sz w:val="15"/>
              </w:rPr>
              <w:t xml:space="preserve">Scale up training of Biomedical Engineers and health infrastructure equipment maintenance officers, in order </w:t>
            </w:r>
            <w:r>
              <w:rPr>
                <w:color w:val="231F20"/>
                <w:w w:val="95"/>
                <w:sz w:val="15"/>
              </w:rPr>
              <w:t>to increase stock availability.</w:t>
            </w:r>
          </w:p>
        </w:tc>
        <w:tc>
          <w:tcPr>
            <w:tcW w:w="2512" w:type="dxa"/>
            <w:tcBorders>
              <w:top w:val="single" w:sz="6" w:space="0" w:color="231F20"/>
              <w:left w:val="single" w:sz="6" w:space="0" w:color="231F20"/>
              <w:bottom w:val="single" w:sz="6" w:space="0" w:color="231F20"/>
              <w:right w:val="single" w:sz="6" w:space="0" w:color="231F20"/>
            </w:tcBorders>
            <w:shd w:val="clear" w:color="auto" w:fill="CCE7D3"/>
          </w:tcPr>
          <w:p w14:paraId="0C26C636" w14:textId="77777777" w:rsidR="009948F1" w:rsidRDefault="00BC0563">
            <w:pPr>
              <w:pStyle w:val="TableParagraph"/>
              <w:numPr>
                <w:ilvl w:val="0"/>
                <w:numId w:val="49"/>
              </w:numPr>
              <w:tabs>
                <w:tab w:val="left" w:pos="74"/>
              </w:tabs>
              <w:spacing w:before="2" w:line="264" w:lineRule="auto"/>
              <w:ind w:right="273" w:firstLine="0"/>
              <w:rPr>
                <w:sz w:val="15"/>
              </w:rPr>
            </w:pPr>
            <w:r>
              <w:rPr>
                <w:color w:val="231F20"/>
                <w:w w:val="85"/>
                <w:sz w:val="15"/>
              </w:rPr>
              <w:t>Biomedical</w:t>
            </w:r>
            <w:r>
              <w:rPr>
                <w:color w:val="231F20"/>
                <w:spacing w:val="-12"/>
                <w:w w:val="85"/>
                <w:sz w:val="15"/>
              </w:rPr>
              <w:t xml:space="preserve"> </w:t>
            </w:r>
            <w:r>
              <w:rPr>
                <w:color w:val="231F20"/>
                <w:w w:val="85"/>
                <w:sz w:val="15"/>
              </w:rPr>
              <w:t>Engineers,</w:t>
            </w:r>
            <w:r>
              <w:rPr>
                <w:color w:val="231F20"/>
                <w:spacing w:val="-11"/>
                <w:w w:val="85"/>
                <w:sz w:val="15"/>
              </w:rPr>
              <w:t xml:space="preserve"> </w:t>
            </w:r>
            <w:r>
              <w:rPr>
                <w:color w:val="231F20"/>
                <w:w w:val="85"/>
                <w:sz w:val="15"/>
              </w:rPr>
              <w:t>technicians</w:t>
            </w:r>
            <w:r>
              <w:rPr>
                <w:color w:val="231F20"/>
                <w:spacing w:val="-12"/>
                <w:w w:val="85"/>
                <w:sz w:val="15"/>
              </w:rPr>
              <w:t xml:space="preserve"> </w:t>
            </w:r>
            <w:r>
              <w:rPr>
                <w:color w:val="231F20"/>
                <w:spacing w:val="-6"/>
                <w:w w:val="85"/>
                <w:sz w:val="15"/>
              </w:rPr>
              <w:t xml:space="preserve">and </w:t>
            </w:r>
            <w:r>
              <w:rPr>
                <w:color w:val="231F20"/>
                <w:w w:val="85"/>
                <w:sz w:val="15"/>
              </w:rPr>
              <w:t xml:space="preserve">health maintenance officers with major </w:t>
            </w:r>
            <w:r>
              <w:rPr>
                <w:color w:val="231F20"/>
                <w:w w:val="95"/>
                <w:sz w:val="15"/>
              </w:rPr>
              <w:t>equipment</w:t>
            </w:r>
            <w:r>
              <w:rPr>
                <w:color w:val="231F20"/>
                <w:spacing w:val="-25"/>
                <w:w w:val="95"/>
                <w:sz w:val="15"/>
              </w:rPr>
              <w:t xml:space="preserve"> </w:t>
            </w:r>
            <w:r>
              <w:rPr>
                <w:color w:val="231F20"/>
                <w:w w:val="95"/>
                <w:sz w:val="15"/>
              </w:rPr>
              <w:t>manufacturers</w:t>
            </w:r>
            <w:r>
              <w:rPr>
                <w:color w:val="231F20"/>
                <w:spacing w:val="-25"/>
                <w:w w:val="95"/>
                <w:sz w:val="15"/>
              </w:rPr>
              <w:t xml:space="preserve"> </w:t>
            </w:r>
            <w:r>
              <w:rPr>
                <w:color w:val="231F20"/>
                <w:w w:val="95"/>
                <w:sz w:val="15"/>
              </w:rPr>
              <w:t>trained</w:t>
            </w:r>
          </w:p>
          <w:p w14:paraId="468EB918" w14:textId="77777777" w:rsidR="009948F1" w:rsidRDefault="00BC0563">
            <w:pPr>
              <w:pStyle w:val="TableParagraph"/>
              <w:spacing w:line="170" w:lineRule="exact"/>
              <w:ind w:left="28"/>
              <w:rPr>
                <w:sz w:val="15"/>
              </w:rPr>
            </w:pPr>
            <w:r>
              <w:rPr>
                <w:color w:val="231F20"/>
                <w:w w:val="83"/>
                <w:sz w:val="15"/>
              </w:rPr>
              <w:t>•</w:t>
            </w:r>
          </w:p>
          <w:p w14:paraId="6C5F9F63" w14:textId="77777777" w:rsidR="009948F1" w:rsidRDefault="00BC0563">
            <w:pPr>
              <w:pStyle w:val="TableParagraph"/>
              <w:spacing w:before="16" w:line="98" w:lineRule="exact"/>
              <w:ind w:left="28"/>
              <w:rPr>
                <w:sz w:val="15"/>
              </w:rPr>
            </w:pPr>
            <w:r>
              <w:rPr>
                <w:color w:val="231F20"/>
                <w:w w:val="83"/>
                <w:sz w:val="15"/>
              </w:rPr>
              <w:t>•</w:t>
            </w:r>
          </w:p>
        </w:tc>
        <w:tc>
          <w:tcPr>
            <w:tcW w:w="1503" w:type="dxa"/>
            <w:tcBorders>
              <w:top w:val="single" w:sz="6" w:space="0" w:color="231F20"/>
              <w:left w:val="single" w:sz="6" w:space="0" w:color="231F20"/>
              <w:bottom w:val="single" w:sz="6" w:space="0" w:color="231F20"/>
              <w:right w:val="single" w:sz="6" w:space="0" w:color="231F20"/>
            </w:tcBorders>
            <w:shd w:val="clear" w:color="auto" w:fill="CCE7D3"/>
          </w:tcPr>
          <w:p w14:paraId="2B7298B8" w14:textId="77777777" w:rsidR="009948F1" w:rsidRDefault="009948F1">
            <w:pPr>
              <w:pStyle w:val="TableParagraph"/>
              <w:rPr>
                <w:rFonts w:ascii="Times New Roman"/>
                <w:sz w:val="12"/>
              </w:rPr>
            </w:pPr>
          </w:p>
        </w:tc>
        <w:tc>
          <w:tcPr>
            <w:tcW w:w="1585" w:type="dxa"/>
            <w:tcBorders>
              <w:top w:val="single" w:sz="6" w:space="0" w:color="231F20"/>
              <w:left w:val="single" w:sz="6" w:space="0" w:color="231F20"/>
              <w:bottom w:val="single" w:sz="6" w:space="0" w:color="231F20"/>
            </w:tcBorders>
            <w:shd w:val="clear" w:color="auto" w:fill="CCE7D3"/>
          </w:tcPr>
          <w:p w14:paraId="66599924" w14:textId="77777777" w:rsidR="009948F1" w:rsidRDefault="009948F1">
            <w:pPr>
              <w:pStyle w:val="TableParagraph"/>
              <w:rPr>
                <w:rFonts w:ascii="Times New Roman"/>
                <w:sz w:val="12"/>
              </w:rPr>
            </w:pPr>
          </w:p>
        </w:tc>
      </w:tr>
      <w:tr w:rsidR="009948F1" w14:paraId="3953C1C5" w14:textId="77777777">
        <w:trPr>
          <w:trHeight w:val="365"/>
        </w:trPr>
        <w:tc>
          <w:tcPr>
            <w:tcW w:w="473" w:type="dxa"/>
            <w:tcBorders>
              <w:top w:val="single" w:sz="6" w:space="0" w:color="231F20"/>
              <w:bottom w:val="single" w:sz="6" w:space="0" w:color="231F20"/>
              <w:right w:val="single" w:sz="6" w:space="0" w:color="231F20"/>
            </w:tcBorders>
          </w:tcPr>
          <w:p w14:paraId="54015A1D" w14:textId="77777777" w:rsidR="009948F1" w:rsidRDefault="009948F1">
            <w:pPr>
              <w:pStyle w:val="TableParagraph"/>
              <w:rPr>
                <w:rFonts w:ascii="Times New Roman"/>
                <w:sz w:val="12"/>
              </w:rPr>
            </w:pPr>
          </w:p>
        </w:tc>
        <w:tc>
          <w:tcPr>
            <w:tcW w:w="554" w:type="dxa"/>
            <w:tcBorders>
              <w:top w:val="single" w:sz="6" w:space="0" w:color="231F20"/>
              <w:left w:val="single" w:sz="6" w:space="0" w:color="231F20"/>
              <w:bottom w:val="single" w:sz="6" w:space="0" w:color="231F20"/>
              <w:right w:val="single" w:sz="6" w:space="0" w:color="231F20"/>
            </w:tcBorders>
          </w:tcPr>
          <w:p w14:paraId="52EAEBCB" w14:textId="77777777" w:rsidR="009948F1" w:rsidRDefault="00BC0563">
            <w:pPr>
              <w:pStyle w:val="TableParagraph"/>
              <w:spacing w:before="97"/>
              <w:ind w:right="29"/>
              <w:jc w:val="right"/>
              <w:rPr>
                <w:sz w:val="15"/>
              </w:rPr>
            </w:pPr>
            <w:r>
              <w:rPr>
                <w:color w:val="231F20"/>
                <w:w w:val="80"/>
                <w:sz w:val="15"/>
              </w:rPr>
              <w:t>10.1.7.a</w:t>
            </w:r>
          </w:p>
        </w:tc>
        <w:tc>
          <w:tcPr>
            <w:tcW w:w="5158" w:type="dxa"/>
            <w:gridSpan w:val="2"/>
            <w:tcBorders>
              <w:top w:val="single" w:sz="6" w:space="0" w:color="231F20"/>
              <w:left w:val="single" w:sz="6" w:space="0" w:color="231F20"/>
              <w:bottom w:val="single" w:sz="6" w:space="0" w:color="231F20"/>
              <w:right w:val="single" w:sz="6" w:space="0" w:color="231F20"/>
            </w:tcBorders>
          </w:tcPr>
          <w:p w14:paraId="19649BBF" w14:textId="77777777" w:rsidR="009948F1" w:rsidRDefault="00BC0563">
            <w:pPr>
              <w:pStyle w:val="TableParagraph"/>
              <w:spacing w:before="2"/>
              <w:ind w:left="27"/>
              <w:rPr>
                <w:sz w:val="15"/>
              </w:rPr>
            </w:pPr>
            <w:r>
              <w:rPr>
                <w:color w:val="231F20"/>
                <w:w w:val="90"/>
                <w:sz w:val="15"/>
              </w:rPr>
              <w:t>Training and retraining of Biomedical Engineers, technicians and health maintenance</w:t>
            </w:r>
          </w:p>
          <w:p w14:paraId="43B7AF6D" w14:textId="77777777" w:rsidR="009948F1" w:rsidRDefault="00BC0563">
            <w:pPr>
              <w:pStyle w:val="TableParagraph"/>
              <w:spacing w:before="16" w:line="155" w:lineRule="exact"/>
              <w:ind w:left="27"/>
              <w:rPr>
                <w:sz w:val="15"/>
              </w:rPr>
            </w:pPr>
            <w:r>
              <w:rPr>
                <w:color w:val="231F20"/>
                <w:w w:val="95"/>
                <w:sz w:val="15"/>
              </w:rPr>
              <w:t>officers with major equipment manufacturers</w:t>
            </w:r>
          </w:p>
        </w:tc>
        <w:tc>
          <w:tcPr>
            <w:tcW w:w="1503" w:type="dxa"/>
            <w:tcBorders>
              <w:top w:val="single" w:sz="6" w:space="0" w:color="231F20"/>
              <w:left w:val="single" w:sz="6" w:space="0" w:color="231F20"/>
              <w:bottom w:val="single" w:sz="6" w:space="0" w:color="231F20"/>
              <w:right w:val="single" w:sz="6" w:space="0" w:color="231F20"/>
            </w:tcBorders>
          </w:tcPr>
          <w:p w14:paraId="78D1B58C"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202EAA9B" w14:textId="77777777" w:rsidR="009948F1" w:rsidRDefault="00BC0563">
            <w:pPr>
              <w:pStyle w:val="TableParagraph"/>
              <w:spacing w:before="97"/>
              <w:ind w:left="30"/>
              <w:rPr>
                <w:sz w:val="15"/>
              </w:rPr>
            </w:pPr>
            <w:r>
              <w:rPr>
                <w:color w:val="231F20"/>
                <w:w w:val="95"/>
                <w:sz w:val="15"/>
              </w:rPr>
              <w:t>Training and retraining</w:t>
            </w:r>
          </w:p>
        </w:tc>
      </w:tr>
      <w:tr w:rsidR="009948F1" w14:paraId="01191BC6" w14:textId="77777777">
        <w:trPr>
          <w:trHeight w:val="1219"/>
        </w:trPr>
        <w:tc>
          <w:tcPr>
            <w:tcW w:w="473" w:type="dxa"/>
            <w:tcBorders>
              <w:top w:val="single" w:sz="6" w:space="0" w:color="231F20"/>
              <w:left w:val="single" w:sz="12" w:space="0" w:color="231F20"/>
              <w:bottom w:val="single" w:sz="6" w:space="0" w:color="231F20"/>
              <w:right w:val="single" w:sz="6" w:space="0" w:color="231F20"/>
            </w:tcBorders>
            <w:shd w:val="clear" w:color="auto" w:fill="CCE7D3"/>
          </w:tcPr>
          <w:p w14:paraId="5D3D64A7" w14:textId="77777777" w:rsidR="009948F1" w:rsidRDefault="009948F1">
            <w:pPr>
              <w:pStyle w:val="TableParagraph"/>
              <w:rPr>
                <w:sz w:val="14"/>
              </w:rPr>
            </w:pPr>
          </w:p>
          <w:p w14:paraId="174B3C74" w14:textId="77777777" w:rsidR="009948F1" w:rsidRDefault="009948F1">
            <w:pPr>
              <w:pStyle w:val="TableParagraph"/>
              <w:rPr>
                <w:sz w:val="14"/>
              </w:rPr>
            </w:pPr>
          </w:p>
          <w:p w14:paraId="3C5AE331" w14:textId="77777777" w:rsidR="009948F1" w:rsidRDefault="009948F1">
            <w:pPr>
              <w:pStyle w:val="TableParagraph"/>
              <w:spacing w:before="6"/>
              <w:rPr>
                <w:sz w:val="17"/>
              </w:rPr>
            </w:pPr>
          </w:p>
          <w:p w14:paraId="05CA995C" w14:textId="77777777" w:rsidR="009948F1" w:rsidRDefault="00BC0563">
            <w:pPr>
              <w:pStyle w:val="TableParagraph"/>
              <w:ind w:left="16" w:right="19"/>
              <w:jc w:val="center"/>
              <w:rPr>
                <w:sz w:val="15"/>
              </w:rPr>
            </w:pPr>
            <w:r>
              <w:rPr>
                <w:color w:val="231F20"/>
                <w:w w:val="90"/>
                <w:sz w:val="15"/>
              </w:rPr>
              <w:t>10.1.8</w:t>
            </w:r>
          </w:p>
        </w:tc>
        <w:tc>
          <w:tcPr>
            <w:tcW w:w="3200" w:type="dxa"/>
            <w:gridSpan w:val="2"/>
            <w:tcBorders>
              <w:top w:val="single" w:sz="6" w:space="0" w:color="231F20"/>
              <w:left w:val="single" w:sz="6" w:space="0" w:color="231F20"/>
              <w:bottom w:val="single" w:sz="6" w:space="0" w:color="231F20"/>
              <w:right w:val="single" w:sz="6" w:space="0" w:color="231F20"/>
            </w:tcBorders>
            <w:shd w:val="clear" w:color="auto" w:fill="CCE7D3"/>
          </w:tcPr>
          <w:p w14:paraId="486A07A2" w14:textId="77777777" w:rsidR="009948F1" w:rsidRDefault="009948F1">
            <w:pPr>
              <w:pStyle w:val="TableParagraph"/>
              <w:rPr>
                <w:sz w:val="14"/>
              </w:rPr>
            </w:pPr>
          </w:p>
          <w:p w14:paraId="26B3A7F2" w14:textId="77777777" w:rsidR="009948F1" w:rsidRDefault="009948F1">
            <w:pPr>
              <w:pStyle w:val="TableParagraph"/>
              <w:rPr>
                <w:sz w:val="14"/>
              </w:rPr>
            </w:pPr>
          </w:p>
          <w:p w14:paraId="553EBD70" w14:textId="77777777" w:rsidR="009948F1" w:rsidRDefault="00BC0563">
            <w:pPr>
              <w:pStyle w:val="TableParagraph"/>
              <w:spacing w:before="102" w:line="264" w:lineRule="auto"/>
              <w:ind w:left="27" w:right="253" w:firstLine="27"/>
              <w:rPr>
                <w:sz w:val="15"/>
              </w:rPr>
            </w:pPr>
            <w:r>
              <w:rPr>
                <w:color w:val="231F20"/>
                <w:w w:val="90"/>
                <w:sz w:val="15"/>
              </w:rPr>
              <w:t xml:space="preserve">Accelerate the revitalization of primary health </w:t>
            </w:r>
            <w:r>
              <w:rPr>
                <w:color w:val="231F20"/>
                <w:w w:val="85"/>
                <w:sz w:val="15"/>
              </w:rPr>
              <w:t>infrastructure for improved access to health service</w:t>
            </w:r>
          </w:p>
        </w:tc>
        <w:tc>
          <w:tcPr>
            <w:tcW w:w="2512" w:type="dxa"/>
            <w:tcBorders>
              <w:top w:val="single" w:sz="6" w:space="0" w:color="231F20"/>
              <w:left w:val="single" w:sz="6" w:space="0" w:color="231F20"/>
              <w:bottom w:val="single" w:sz="6" w:space="0" w:color="231F20"/>
              <w:right w:val="single" w:sz="6" w:space="0" w:color="231F20"/>
            </w:tcBorders>
            <w:shd w:val="clear" w:color="auto" w:fill="CCE7D3"/>
          </w:tcPr>
          <w:p w14:paraId="62F65950" w14:textId="77777777" w:rsidR="009948F1" w:rsidRDefault="00BC0563">
            <w:pPr>
              <w:pStyle w:val="TableParagraph"/>
              <w:numPr>
                <w:ilvl w:val="0"/>
                <w:numId w:val="48"/>
              </w:numPr>
              <w:tabs>
                <w:tab w:val="left" w:pos="100"/>
              </w:tabs>
              <w:spacing w:before="52" w:line="264" w:lineRule="auto"/>
              <w:ind w:right="162" w:firstLine="0"/>
              <w:rPr>
                <w:sz w:val="15"/>
              </w:rPr>
            </w:pPr>
            <w:r>
              <w:rPr>
                <w:color w:val="231F20"/>
                <w:w w:val="90"/>
                <w:sz w:val="15"/>
              </w:rPr>
              <w:t>At</w:t>
            </w:r>
            <w:r>
              <w:rPr>
                <w:color w:val="231F20"/>
                <w:spacing w:val="-21"/>
                <w:w w:val="90"/>
                <w:sz w:val="15"/>
              </w:rPr>
              <w:t xml:space="preserve"> </w:t>
            </w:r>
            <w:r>
              <w:rPr>
                <w:color w:val="231F20"/>
                <w:w w:val="90"/>
                <w:sz w:val="15"/>
              </w:rPr>
              <w:t>least</w:t>
            </w:r>
            <w:r>
              <w:rPr>
                <w:color w:val="231F20"/>
                <w:spacing w:val="-21"/>
                <w:w w:val="90"/>
                <w:sz w:val="15"/>
              </w:rPr>
              <w:t xml:space="preserve"> </w:t>
            </w:r>
            <w:r>
              <w:rPr>
                <w:color w:val="231F20"/>
                <w:w w:val="90"/>
                <w:sz w:val="15"/>
              </w:rPr>
              <w:t>50</w:t>
            </w:r>
            <w:r>
              <w:rPr>
                <w:color w:val="231F20"/>
                <w:spacing w:val="-21"/>
                <w:w w:val="90"/>
                <w:sz w:val="15"/>
              </w:rPr>
              <w:t xml:space="preserve"> </w:t>
            </w:r>
            <w:r>
              <w:rPr>
                <w:color w:val="231F20"/>
                <w:w w:val="90"/>
                <w:sz w:val="15"/>
              </w:rPr>
              <w:t>PHC</w:t>
            </w:r>
            <w:r>
              <w:rPr>
                <w:color w:val="231F20"/>
                <w:spacing w:val="-21"/>
                <w:w w:val="90"/>
                <w:sz w:val="15"/>
              </w:rPr>
              <w:t xml:space="preserve"> </w:t>
            </w:r>
            <w:r>
              <w:rPr>
                <w:color w:val="231F20"/>
                <w:w w:val="90"/>
                <w:sz w:val="15"/>
              </w:rPr>
              <w:t>facilities</w:t>
            </w:r>
            <w:r>
              <w:rPr>
                <w:color w:val="231F20"/>
                <w:spacing w:val="-21"/>
                <w:w w:val="90"/>
                <w:sz w:val="15"/>
              </w:rPr>
              <w:t xml:space="preserve"> </w:t>
            </w:r>
            <w:r>
              <w:rPr>
                <w:color w:val="231F20"/>
                <w:w w:val="90"/>
                <w:sz w:val="15"/>
              </w:rPr>
              <w:t>in</w:t>
            </w:r>
            <w:r>
              <w:rPr>
                <w:color w:val="231F20"/>
                <w:spacing w:val="-20"/>
                <w:w w:val="90"/>
                <w:sz w:val="15"/>
              </w:rPr>
              <w:t xml:space="preserve"> </w:t>
            </w:r>
            <w:r>
              <w:rPr>
                <w:color w:val="231F20"/>
                <w:w w:val="90"/>
                <w:sz w:val="15"/>
              </w:rPr>
              <w:t>the</w:t>
            </w:r>
            <w:r>
              <w:rPr>
                <w:color w:val="231F20"/>
                <w:spacing w:val="-21"/>
                <w:w w:val="90"/>
                <w:sz w:val="15"/>
              </w:rPr>
              <w:t xml:space="preserve"> </w:t>
            </w:r>
            <w:r>
              <w:rPr>
                <w:color w:val="231F20"/>
                <w:w w:val="90"/>
                <w:sz w:val="15"/>
              </w:rPr>
              <w:t>23</w:t>
            </w:r>
            <w:r>
              <w:rPr>
                <w:color w:val="231F20"/>
                <w:spacing w:val="-21"/>
                <w:w w:val="90"/>
                <w:sz w:val="15"/>
              </w:rPr>
              <w:t xml:space="preserve"> </w:t>
            </w:r>
            <w:r>
              <w:rPr>
                <w:color w:val="231F20"/>
                <w:spacing w:val="-4"/>
                <w:w w:val="90"/>
                <w:sz w:val="15"/>
              </w:rPr>
              <w:t xml:space="preserve">LGAs </w:t>
            </w:r>
            <w:r>
              <w:rPr>
                <w:color w:val="231F20"/>
                <w:w w:val="95"/>
                <w:sz w:val="15"/>
              </w:rPr>
              <w:t>rehabilitated.</w:t>
            </w:r>
          </w:p>
          <w:p w14:paraId="1FCD33EC" w14:textId="77777777" w:rsidR="009948F1" w:rsidRDefault="00BC0563">
            <w:pPr>
              <w:pStyle w:val="TableParagraph"/>
              <w:numPr>
                <w:ilvl w:val="0"/>
                <w:numId w:val="48"/>
              </w:numPr>
              <w:tabs>
                <w:tab w:val="left" w:pos="107"/>
              </w:tabs>
              <w:spacing w:line="264" w:lineRule="auto"/>
              <w:ind w:right="267" w:firstLine="0"/>
              <w:rPr>
                <w:sz w:val="15"/>
              </w:rPr>
            </w:pPr>
            <w:r>
              <w:rPr>
                <w:color w:val="231F20"/>
                <w:w w:val="85"/>
                <w:sz w:val="15"/>
              </w:rPr>
              <w:t>RSPHCMB office complex</w:t>
            </w:r>
            <w:r>
              <w:rPr>
                <w:color w:val="231F20"/>
                <w:spacing w:val="-27"/>
                <w:w w:val="85"/>
                <w:sz w:val="15"/>
              </w:rPr>
              <w:t xml:space="preserve"> </w:t>
            </w:r>
            <w:r>
              <w:rPr>
                <w:color w:val="231F20"/>
                <w:spacing w:val="-3"/>
                <w:w w:val="85"/>
                <w:sz w:val="15"/>
              </w:rPr>
              <w:t xml:space="preserve">(Waterlines </w:t>
            </w:r>
            <w:r>
              <w:rPr>
                <w:color w:val="231F20"/>
                <w:w w:val="95"/>
                <w:sz w:val="15"/>
              </w:rPr>
              <w:t>Building)</w:t>
            </w:r>
            <w:r>
              <w:rPr>
                <w:color w:val="231F20"/>
                <w:spacing w:val="-20"/>
                <w:w w:val="95"/>
                <w:sz w:val="15"/>
              </w:rPr>
              <w:t xml:space="preserve"> </w:t>
            </w:r>
            <w:r>
              <w:rPr>
                <w:color w:val="231F20"/>
                <w:w w:val="95"/>
                <w:sz w:val="15"/>
              </w:rPr>
              <w:t>renovated</w:t>
            </w:r>
            <w:r>
              <w:rPr>
                <w:color w:val="231F20"/>
                <w:spacing w:val="-19"/>
                <w:w w:val="95"/>
                <w:sz w:val="15"/>
              </w:rPr>
              <w:t xml:space="preserve"> </w:t>
            </w:r>
            <w:r>
              <w:rPr>
                <w:color w:val="231F20"/>
                <w:w w:val="95"/>
                <w:sz w:val="15"/>
              </w:rPr>
              <w:t>&amp;</w:t>
            </w:r>
            <w:r>
              <w:rPr>
                <w:color w:val="231F20"/>
                <w:spacing w:val="-19"/>
                <w:w w:val="95"/>
                <w:sz w:val="15"/>
              </w:rPr>
              <w:t xml:space="preserve"> </w:t>
            </w:r>
            <w:r>
              <w:rPr>
                <w:color w:val="231F20"/>
                <w:w w:val="95"/>
                <w:sz w:val="15"/>
              </w:rPr>
              <w:t>equipped</w:t>
            </w:r>
          </w:p>
          <w:p w14:paraId="1E4DA0C1" w14:textId="77777777" w:rsidR="009948F1" w:rsidRDefault="00BC0563">
            <w:pPr>
              <w:pStyle w:val="TableParagraph"/>
              <w:numPr>
                <w:ilvl w:val="0"/>
                <w:numId w:val="48"/>
              </w:numPr>
              <w:tabs>
                <w:tab w:val="left" w:pos="107"/>
              </w:tabs>
              <w:spacing w:line="264" w:lineRule="auto"/>
              <w:ind w:right="53" w:firstLine="0"/>
              <w:rPr>
                <w:sz w:val="15"/>
              </w:rPr>
            </w:pPr>
            <w:r>
              <w:rPr>
                <w:color w:val="231F20"/>
                <w:w w:val="85"/>
                <w:sz w:val="15"/>
              </w:rPr>
              <w:t>ESP</w:t>
            </w:r>
            <w:r>
              <w:rPr>
                <w:color w:val="231F20"/>
                <w:spacing w:val="-10"/>
                <w:w w:val="85"/>
                <w:sz w:val="15"/>
              </w:rPr>
              <w:t xml:space="preserve"> </w:t>
            </w:r>
            <w:r>
              <w:rPr>
                <w:color w:val="231F20"/>
                <w:w w:val="85"/>
                <w:sz w:val="15"/>
              </w:rPr>
              <w:t>of</w:t>
            </w:r>
            <w:r>
              <w:rPr>
                <w:color w:val="231F20"/>
                <w:spacing w:val="-7"/>
                <w:w w:val="85"/>
                <w:sz w:val="15"/>
              </w:rPr>
              <w:t xml:space="preserve"> </w:t>
            </w:r>
            <w:r>
              <w:rPr>
                <w:color w:val="231F20"/>
                <w:w w:val="85"/>
                <w:sz w:val="15"/>
              </w:rPr>
              <w:t>care</w:t>
            </w:r>
            <w:r>
              <w:rPr>
                <w:color w:val="231F20"/>
                <w:spacing w:val="-7"/>
                <w:w w:val="85"/>
                <w:sz w:val="15"/>
              </w:rPr>
              <w:t xml:space="preserve"> </w:t>
            </w:r>
            <w:r>
              <w:rPr>
                <w:color w:val="231F20"/>
                <w:w w:val="85"/>
                <w:sz w:val="15"/>
              </w:rPr>
              <w:t>including</w:t>
            </w:r>
            <w:r>
              <w:rPr>
                <w:color w:val="231F20"/>
                <w:spacing w:val="-7"/>
                <w:w w:val="85"/>
                <w:sz w:val="15"/>
              </w:rPr>
              <w:t xml:space="preserve"> </w:t>
            </w:r>
            <w:proofErr w:type="spellStart"/>
            <w:r>
              <w:rPr>
                <w:color w:val="231F20"/>
                <w:w w:val="85"/>
                <w:sz w:val="15"/>
              </w:rPr>
              <w:t>BEmOC</w:t>
            </w:r>
            <w:proofErr w:type="spellEnd"/>
            <w:r>
              <w:rPr>
                <w:color w:val="231F20"/>
                <w:spacing w:val="-7"/>
                <w:w w:val="85"/>
                <w:sz w:val="15"/>
              </w:rPr>
              <w:t xml:space="preserve"> </w:t>
            </w:r>
            <w:r>
              <w:rPr>
                <w:color w:val="231F20"/>
                <w:w w:val="85"/>
                <w:sz w:val="15"/>
              </w:rPr>
              <w:t>provided</w:t>
            </w:r>
            <w:r>
              <w:rPr>
                <w:color w:val="231F20"/>
                <w:spacing w:val="-6"/>
                <w:w w:val="85"/>
                <w:sz w:val="15"/>
              </w:rPr>
              <w:t xml:space="preserve"> </w:t>
            </w:r>
            <w:r>
              <w:rPr>
                <w:color w:val="231F20"/>
                <w:spacing w:val="-8"/>
                <w:w w:val="85"/>
                <w:sz w:val="15"/>
              </w:rPr>
              <w:t xml:space="preserve">in </w:t>
            </w:r>
            <w:r>
              <w:rPr>
                <w:color w:val="231F20"/>
                <w:w w:val="95"/>
                <w:sz w:val="15"/>
              </w:rPr>
              <w:t>the 319</w:t>
            </w:r>
            <w:r>
              <w:rPr>
                <w:color w:val="231F20"/>
                <w:spacing w:val="-15"/>
                <w:w w:val="95"/>
                <w:sz w:val="15"/>
              </w:rPr>
              <w:t xml:space="preserve"> </w:t>
            </w:r>
            <w:r>
              <w:rPr>
                <w:color w:val="231F20"/>
                <w:w w:val="95"/>
                <w:sz w:val="15"/>
              </w:rPr>
              <w:t>Wards</w:t>
            </w:r>
          </w:p>
        </w:tc>
        <w:tc>
          <w:tcPr>
            <w:tcW w:w="1503" w:type="dxa"/>
            <w:tcBorders>
              <w:top w:val="single" w:sz="6" w:space="0" w:color="231F20"/>
              <w:left w:val="single" w:sz="6" w:space="0" w:color="231F20"/>
              <w:bottom w:val="single" w:sz="6" w:space="0" w:color="231F20"/>
              <w:right w:val="single" w:sz="6" w:space="0" w:color="231F20"/>
            </w:tcBorders>
            <w:shd w:val="clear" w:color="auto" w:fill="CCE7D3"/>
          </w:tcPr>
          <w:p w14:paraId="231CD28C" w14:textId="77777777" w:rsidR="009948F1" w:rsidRDefault="009948F1">
            <w:pPr>
              <w:pStyle w:val="TableParagraph"/>
              <w:rPr>
                <w:rFonts w:ascii="Times New Roman"/>
                <w:sz w:val="12"/>
              </w:rPr>
            </w:pPr>
          </w:p>
        </w:tc>
        <w:tc>
          <w:tcPr>
            <w:tcW w:w="1585" w:type="dxa"/>
            <w:tcBorders>
              <w:top w:val="single" w:sz="6" w:space="0" w:color="231F20"/>
              <w:left w:val="single" w:sz="6" w:space="0" w:color="231F20"/>
              <w:bottom w:val="single" w:sz="6" w:space="0" w:color="231F20"/>
            </w:tcBorders>
            <w:shd w:val="clear" w:color="auto" w:fill="CCE7D3"/>
          </w:tcPr>
          <w:p w14:paraId="23C614CF" w14:textId="77777777" w:rsidR="009948F1" w:rsidRDefault="009948F1">
            <w:pPr>
              <w:pStyle w:val="TableParagraph"/>
              <w:rPr>
                <w:rFonts w:ascii="Times New Roman"/>
                <w:sz w:val="12"/>
              </w:rPr>
            </w:pPr>
          </w:p>
        </w:tc>
      </w:tr>
      <w:tr w:rsidR="009948F1" w14:paraId="570614E2" w14:textId="77777777">
        <w:trPr>
          <w:trHeight w:val="365"/>
        </w:trPr>
        <w:tc>
          <w:tcPr>
            <w:tcW w:w="473" w:type="dxa"/>
            <w:vMerge w:val="restart"/>
            <w:tcBorders>
              <w:top w:val="single" w:sz="6" w:space="0" w:color="231F20"/>
              <w:bottom w:val="single" w:sz="6" w:space="0" w:color="231F20"/>
              <w:right w:val="single" w:sz="6" w:space="0" w:color="231F20"/>
            </w:tcBorders>
          </w:tcPr>
          <w:p w14:paraId="3B4B34DA" w14:textId="77777777" w:rsidR="009948F1" w:rsidRDefault="009948F1">
            <w:pPr>
              <w:pStyle w:val="TableParagraph"/>
              <w:rPr>
                <w:rFonts w:ascii="Times New Roman"/>
                <w:sz w:val="12"/>
              </w:rPr>
            </w:pPr>
          </w:p>
        </w:tc>
        <w:tc>
          <w:tcPr>
            <w:tcW w:w="554" w:type="dxa"/>
            <w:tcBorders>
              <w:top w:val="single" w:sz="6" w:space="0" w:color="231F20"/>
              <w:left w:val="single" w:sz="6" w:space="0" w:color="231F20"/>
              <w:bottom w:val="single" w:sz="6" w:space="0" w:color="231F20"/>
              <w:right w:val="single" w:sz="6" w:space="0" w:color="231F20"/>
            </w:tcBorders>
          </w:tcPr>
          <w:p w14:paraId="4F375255" w14:textId="77777777" w:rsidR="009948F1" w:rsidRDefault="00BC0563">
            <w:pPr>
              <w:pStyle w:val="TableParagraph"/>
              <w:spacing w:before="97"/>
              <w:ind w:right="29"/>
              <w:jc w:val="right"/>
              <w:rPr>
                <w:sz w:val="15"/>
              </w:rPr>
            </w:pPr>
            <w:r>
              <w:rPr>
                <w:color w:val="231F20"/>
                <w:w w:val="80"/>
                <w:sz w:val="15"/>
              </w:rPr>
              <w:t>10.1.8.a</w:t>
            </w:r>
          </w:p>
        </w:tc>
        <w:tc>
          <w:tcPr>
            <w:tcW w:w="5158" w:type="dxa"/>
            <w:gridSpan w:val="2"/>
            <w:tcBorders>
              <w:top w:val="single" w:sz="6" w:space="0" w:color="231F20"/>
              <w:left w:val="single" w:sz="6" w:space="0" w:color="231F20"/>
              <w:bottom w:val="single" w:sz="6" w:space="0" w:color="231F20"/>
              <w:right w:val="single" w:sz="6" w:space="0" w:color="231F20"/>
            </w:tcBorders>
          </w:tcPr>
          <w:p w14:paraId="185E6298" w14:textId="77777777" w:rsidR="009948F1" w:rsidRDefault="00BC0563">
            <w:pPr>
              <w:pStyle w:val="TableParagraph"/>
              <w:spacing w:before="2"/>
              <w:ind w:left="27"/>
              <w:rPr>
                <w:sz w:val="15"/>
              </w:rPr>
            </w:pPr>
            <w:r>
              <w:rPr>
                <w:color w:val="231F20"/>
                <w:w w:val="90"/>
                <w:sz w:val="15"/>
              </w:rPr>
              <w:t>Set</w:t>
            </w:r>
            <w:r>
              <w:rPr>
                <w:color w:val="231F20"/>
                <w:spacing w:val="-20"/>
                <w:w w:val="90"/>
                <w:sz w:val="15"/>
              </w:rPr>
              <w:t xml:space="preserve"> </w:t>
            </w:r>
            <w:r>
              <w:rPr>
                <w:color w:val="231F20"/>
                <w:w w:val="90"/>
                <w:sz w:val="15"/>
              </w:rPr>
              <w:t>up</w:t>
            </w:r>
            <w:r>
              <w:rPr>
                <w:color w:val="231F20"/>
                <w:spacing w:val="-20"/>
                <w:w w:val="90"/>
                <w:sz w:val="15"/>
              </w:rPr>
              <w:t xml:space="preserve"> </w:t>
            </w:r>
            <w:r>
              <w:rPr>
                <w:color w:val="231F20"/>
                <w:w w:val="90"/>
                <w:sz w:val="15"/>
              </w:rPr>
              <w:t>committee</w:t>
            </w:r>
            <w:r>
              <w:rPr>
                <w:color w:val="231F20"/>
                <w:spacing w:val="-20"/>
                <w:w w:val="90"/>
                <w:sz w:val="15"/>
              </w:rPr>
              <w:t xml:space="preserve"> </w:t>
            </w:r>
            <w:r>
              <w:rPr>
                <w:color w:val="231F20"/>
                <w:w w:val="90"/>
                <w:sz w:val="15"/>
              </w:rPr>
              <w:t>to</w:t>
            </w:r>
            <w:r>
              <w:rPr>
                <w:color w:val="231F20"/>
                <w:spacing w:val="-20"/>
                <w:w w:val="90"/>
                <w:sz w:val="15"/>
              </w:rPr>
              <w:t xml:space="preserve"> </w:t>
            </w:r>
            <w:r>
              <w:rPr>
                <w:color w:val="231F20"/>
                <w:w w:val="90"/>
                <w:sz w:val="15"/>
              </w:rPr>
              <w:t>assess</w:t>
            </w:r>
            <w:r>
              <w:rPr>
                <w:color w:val="231F20"/>
                <w:spacing w:val="-19"/>
                <w:w w:val="90"/>
                <w:sz w:val="15"/>
              </w:rPr>
              <w:t xml:space="preserve"> </w:t>
            </w:r>
            <w:r>
              <w:rPr>
                <w:color w:val="231F20"/>
                <w:w w:val="90"/>
                <w:sz w:val="15"/>
              </w:rPr>
              <w:t>the</w:t>
            </w:r>
            <w:r>
              <w:rPr>
                <w:color w:val="231F20"/>
                <w:spacing w:val="-20"/>
                <w:w w:val="90"/>
                <w:sz w:val="15"/>
              </w:rPr>
              <w:t xml:space="preserve"> </w:t>
            </w:r>
            <w:r>
              <w:rPr>
                <w:color w:val="231F20"/>
                <w:w w:val="90"/>
                <w:sz w:val="15"/>
              </w:rPr>
              <w:t>state</w:t>
            </w:r>
            <w:r>
              <w:rPr>
                <w:color w:val="231F20"/>
                <w:spacing w:val="-20"/>
                <w:w w:val="90"/>
                <w:sz w:val="15"/>
              </w:rPr>
              <w:t xml:space="preserve"> </w:t>
            </w:r>
            <w:r>
              <w:rPr>
                <w:color w:val="231F20"/>
                <w:w w:val="90"/>
                <w:sz w:val="15"/>
              </w:rPr>
              <w:t>of</w:t>
            </w:r>
            <w:r>
              <w:rPr>
                <w:color w:val="231F20"/>
                <w:spacing w:val="-20"/>
                <w:w w:val="90"/>
                <w:sz w:val="15"/>
              </w:rPr>
              <w:t xml:space="preserve"> </w:t>
            </w:r>
            <w:r>
              <w:rPr>
                <w:color w:val="231F20"/>
                <w:w w:val="90"/>
                <w:sz w:val="15"/>
              </w:rPr>
              <w:t>existing</w:t>
            </w:r>
            <w:r>
              <w:rPr>
                <w:color w:val="231F20"/>
                <w:spacing w:val="-19"/>
                <w:w w:val="90"/>
                <w:sz w:val="15"/>
              </w:rPr>
              <w:t xml:space="preserve"> </w:t>
            </w:r>
            <w:r>
              <w:rPr>
                <w:color w:val="231F20"/>
                <w:w w:val="90"/>
                <w:sz w:val="15"/>
              </w:rPr>
              <w:t>PHC</w:t>
            </w:r>
            <w:r>
              <w:rPr>
                <w:color w:val="231F20"/>
                <w:spacing w:val="-20"/>
                <w:w w:val="90"/>
                <w:sz w:val="15"/>
              </w:rPr>
              <w:t xml:space="preserve"> </w:t>
            </w:r>
            <w:r>
              <w:rPr>
                <w:color w:val="231F20"/>
                <w:w w:val="90"/>
                <w:sz w:val="15"/>
              </w:rPr>
              <w:t>facilities</w:t>
            </w:r>
            <w:r>
              <w:rPr>
                <w:color w:val="231F20"/>
                <w:spacing w:val="-20"/>
                <w:w w:val="90"/>
                <w:sz w:val="15"/>
              </w:rPr>
              <w:t xml:space="preserve"> </w:t>
            </w:r>
            <w:r>
              <w:rPr>
                <w:color w:val="231F20"/>
                <w:w w:val="90"/>
                <w:sz w:val="15"/>
              </w:rPr>
              <w:t>as</w:t>
            </w:r>
            <w:r>
              <w:rPr>
                <w:color w:val="231F20"/>
                <w:spacing w:val="-20"/>
                <w:w w:val="90"/>
                <w:sz w:val="15"/>
              </w:rPr>
              <w:t xml:space="preserve"> </w:t>
            </w:r>
            <w:r>
              <w:rPr>
                <w:color w:val="231F20"/>
                <w:w w:val="90"/>
                <w:sz w:val="15"/>
              </w:rPr>
              <w:t>well</w:t>
            </w:r>
            <w:r>
              <w:rPr>
                <w:color w:val="231F20"/>
                <w:spacing w:val="-19"/>
                <w:w w:val="90"/>
                <w:sz w:val="15"/>
              </w:rPr>
              <w:t xml:space="preserve"> </w:t>
            </w:r>
            <w:r>
              <w:rPr>
                <w:color w:val="231F20"/>
                <w:w w:val="90"/>
                <w:sz w:val="15"/>
              </w:rPr>
              <w:t>mapping</w:t>
            </w:r>
            <w:r>
              <w:rPr>
                <w:color w:val="231F20"/>
                <w:spacing w:val="-20"/>
                <w:w w:val="90"/>
                <w:sz w:val="15"/>
              </w:rPr>
              <w:t xml:space="preserve"> </w:t>
            </w:r>
            <w:r>
              <w:rPr>
                <w:color w:val="231F20"/>
                <w:w w:val="90"/>
                <w:sz w:val="15"/>
              </w:rPr>
              <w:t>out</w:t>
            </w:r>
            <w:r>
              <w:rPr>
                <w:color w:val="231F20"/>
                <w:spacing w:val="-20"/>
                <w:w w:val="90"/>
                <w:sz w:val="15"/>
              </w:rPr>
              <w:t xml:space="preserve"> </w:t>
            </w:r>
            <w:r>
              <w:rPr>
                <w:color w:val="231F20"/>
                <w:w w:val="90"/>
                <w:sz w:val="15"/>
              </w:rPr>
              <w:t>areas</w:t>
            </w:r>
          </w:p>
          <w:p w14:paraId="77F92148" w14:textId="77777777" w:rsidR="009948F1" w:rsidRDefault="00BC0563">
            <w:pPr>
              <w:pStyle w:val="TableParagraph"/>
              <w:spacing w:before="16" w:line="155" w:lineRule="exact"/>
              <w:ind w:left="27"/>
              <w:rPr>
                <w:sz w:val="15"/>
              </w:rPr>
            </w:pPr>
            <w:r>
              <w:rPr>
                <w:color w:val="231F20"/>
                <w:w w:val="95"/>
                <w:sz w:val="15"/>
              </w:rPr>
              <w:t>for new siting in the 23 LGAs</w:t>
            </w:r>
          </w:p>
        </w:tc>
        <w:tc>
          <w:tcPr>
            <w:tcW w:w="1503" w:type="dxa"/>
            <w:tcBorders>
              <w:top w:val="single" w:sz="6" w:space="0" w:color="231F20"/>
              <w:left w:val="single" w:sz="6" w:space="0" w:color="231F20"/>
              <w:bottom w:val="single" w:sz="6" w:space="0" w:color="231F20"/>
              <w:right w:val="single" w:sz="6" w:space="0" w:color="231F20"/>
            </w:tcBorders>
          </w:tcPr>
          <w:p w14:paraId="2B7EAC9C"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5B0B46A" w14:textId="77777777" w:rsidR="009948F1" w:rsidRDefault="00BC0563">
            <w:pPr>
              <w:pStyle w:val="TableParagraph"/>
              <w:spacing w:before="97"/>
              <w:ind w:left="30"/>
              <w:rPr>
                <w:sz w:val="15"/>
              </w:rPr>
            </w:pPr>
            <w:r>
              <w:rPr>
                <w:color w:val="231F20"/>
                <w:w w:val="95"/>
                <w:sz w:val="15"/>
              </w:rPr>
              <w:t>Set up committee</w:t>
            </w:r>
          </w:p>
        </w:tc>
      </w:tr>
      <w:tr w:rsidR="009948F1" w14:paraId="0137A92E" w14:textId="77777777">
        <w:trPr>
          <w:trHeight w:val="792"/>
        </w:trPr>
        <w:tc>
          <w:tcPr>
            <w:tcW w:w="473" w:type="dxa"/>
            <w:vMerge/>
            <w:tcBorders>
              <w:top w:val="nil"/>
              <w:bottom w:val="single" w:sz="6" w:space="0" w:color="231F20"/>
              <w:right w:val="single" w:sz="6" w:space="0" w:color="231F20"/>
            </w:tcBorders>
          </w:tcPr>
          <w:p w14:paraId="1F5BFBCB"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26D75E7C" w14:textId="77777777" w:rsidR="009948F1" w:rsidRDefault="009948F1">
            <w:pPr>
              <w:pStyle w:val="TableParagraph"/>
              <w:rPr>
                <w:sz w:val="14"/>
              </w:rPr>
            </w:pPr>
          </w:p>
          <w:p w14:paraId="2F507651" w14:textId="77777777" w:rsidR="009948F1" w:rsidRDefault="009948F1">
            <w:pPr>
              <w:pStyle w:val="TableParagraph"/>
              <w:rPr>
                <w:sz w:val="13"/>
              </w:rPr>
            </w:pPr>
          </w:p>
          <w:p w14:paraId="3CD7CEE7" w14:textId="77777777" w:rsidR="009948F1" w:rsidRDefault="00BC0563">
            <w:pPr>
              <w:pStyle w:val="TableParagraph"/>
              <w:ind w:right="29"/>
              <w:jc w:val="right"/>
              <w:rPr>
                <w:sz w:val="15"/>
              </w:rPr>
            </w:pPr>
            <w:r>
              <w:rPr>
                <w:color w:val="231F20"/>
                <w:w w:val="80"/>
                <w:sz w:val="15"/>
              </w:rPr>
              <w:t>10.1.8.b</w:t>
            </w:r>
          </w:p>
        </w:tc>
        <w:tc>
          <w:tcPr>
            <w:tcW w:w="5158" w:type="dxa"/>
            <w:gridSpan w:val="2"/>
            <w:tcBorders>
              <w:top w:val="single" w:sz="6" w:space="0" w:color="231F20"/>
              <w:left w:val="single" w:sz="6" w:space="0" w:color="231F20"/>
              <w:bottom w:val="single" w:sz="6" w:space="0" w:color="231F20"/>
              <w:right w:val="single" w:sz="6" w:space="0" w:color="231F20"/>
            </w:tcBorders>
          </w:tcPr>
          <w:p w14:paraId="3E2946B7" w14:textId="77777777" w:rsidR="009948F1" w:rsidRDefault="009948F1">
            <w:pPr>
              <w:pStyle w:val="TableParagraph"/>
              <w:spacing w:before="3"/>
              <w:rPr>
                <w:sz w:val="18"/>
              </w:rPr>
            </w:pPr>
          </w:p>
          <w:p w14:paraId="508AA94E" w14:textId="77777777" w:rsidR="009948F1" w:rsidRDefault="00BC0563">
            <w:pPr>
              <w:pStyle w:val="TableParagraph"/>
              <w:spacing w:line="264" w:lineRule="auto"/>
              <w:ind w:left="27"/>
              <w:rPr>
                <w:sz w:val="15"/>
              </w:rPr>
            </w:pPr>
            <w:r>
              <w:rPr>
                <w:color w:val="231F20"/>
                <w:w w:val="85"/>
                <w:sz w:val="15"/>
              </w:rPr>
              <w:t xml:space="preserve">Operating cost for engaging and supervising contractor to Rehabilitate 50 PHC facilities in </w:t>
            </w:r>
            <w:r>
              <w:rPr>
                <w:color w:val="231F20"/>
                <w:w w:val="95"/>
                <w:sz w:val="15"/>
              </w:rPr>
              <w:t>the 23 LGAs.</w:t>
            </w:r>
          </w:p>
        </w:tc>
        <w:tc>
          <w:tcPr>
            <w:tcW w:w="1503" w:type="dxa"/>
            <w:tcBorders>
              <w:top w:val="single" w:sz="6" w:space="0" w:color="231F20"/>
              <w:left w:val="single" w:sz="6" w:space="0" w:color="231F20"/>
              <w:bottom w:val="single" w:sz="6" w:space="0" w:color="231F20"/>
              <w:right w:val="single" w:sz="6" w:space="0" w:color="231F20"/>
            </w:tcBorders>
          </w:tcPr>
          <w:p w14:paraId="728DF278" w14:textId="77777777" w:rsidR="009948F1" w:rsidRDefault="009948F1">
            <w:pPr>
              <w:pStyle w:val="TableParagraph"/>
              <w:rPr>
                <w:sz w:val="14"/>
              </w:rPr>
            </w:pPr>
          </w:p>
          <w:p w14:paraId="4A9BDD54" w14:textId="77777777" w:rsidR="009948F1" w:rsidRDefault="009948F1">
            <w:pPr>
              <w:pStyle w:val="TableParagraph"/>
              <w:rPr>
                <w:sz w:val="13"/>
              </w:rPr>
            </w:pPr>
          </w:p>
          <w:p w14:paraId="5886C38B" w14:textId="77777777" w:rsidR="009948F1" w:rsidRDefault="00BC0563">
            <w:pPr>
              <w:pStyle w:val="TableParagraph"/>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45089824" w14:textId="77777777" w:rsidR="009948F1" w:rsidRDefault="009948F1">
            <w:pPr>
              <w:pStyle w:val="TableParagraph"/>
              <w:rPr>
                <w:sz w:val="14"/>
              </w:rPr>
            </w:pPr>
          </w:p>
          <w:p w14:paraId="75C18573" w14:textId="77777777" w:rsidR="009948F1" w:rsidRDefault="009948F1">
            <w:pPr>
              <w:pStyle w:val="TableParagraph"/>
              <w:rPr>
                <w:sz w:val="13"/>
              </w:rPr>
            </w:pPr>
          </w:p>
          <w:p w14:paraId="1C298DF5" w14:textId="77777777" w:rsidR="009948F1" w:rsidRDefault="00BC0563">
            <w:pPr>
              <w:pStyle w:val="TableParagraph"/>
              <w:ind w:left="30"/>
              <w:rPr>
                <w:sz w:val="15"/>
              </w:rPr>
            </w:pPr>
            <w:r>
              <w:rPr>
                <w:color w:val="231F20"/>
                <w:w w:val="95"/>
                <w:sz w:val="15"/>
              </w:rPr>
              <w:t>Costed in OHT</w:t>
            </w:r>
          </w:p>
        </w:tc>
      </w:tr>
      <w:tr w:rsidR="009948F1" w14:paraId="478002F3" w14:textId="77777777">
        <w:trPr>
          <w:trHeight w:val="829"/>
        </w:trPr>
        <w:tc>
          <w:tcPr>
            <w:tcW w:w="473" w:type="dxa"/>
            <w:vMerge/>
            <w:tcBorders>
              <w:top w:val="nil"/>
              <w:bottom w:val="single" w:sz="6" w:space="0" w:color="231F20"/>
              <w:right w:val="single" w:sz="6" w:space="0" w:color="231F20"/>
            </w:tcBorders>
          </w:tcPr>
          <w:p w14:paraId="4F61ED87"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7AE22723" w14:textId="77777777" w:rsidR="009948F1" w:rsidRDefault="009948F1">
            <w:pPr>
              <w:pStyle w:val="TableParagraph"/>
              <w:rPr>
                <w:sz w:val="14"/>
              </w:rPr>
            </w:pPr>
          </w:p>
          <w:p w14:paraId="51045FE0" w14:textId="77777777" w:rsidR="009948F1" w:rsidRDefault="009948F1">
            <w:pPr>
              <w:pStyle w:val="TableParagraph"/>
              <w:spacing w:before="6"/>
              <w:rPr>
                <w:sz w:val="14"/>
              </w:rPr>
            </w:pPr>
          </w:p>
          <w:p w14:paraId="2FDEFF73" w14:textId="77777777" w:rsidR="009948F1" w:rsidRDefault="00BC0563">
            <w:pPr>
              <w:pStyle w:val="TableParagraph"/>
              <w:spacing w:before="1"/>
              <w:ind w:right="33"/>
              <w:jc w:val="right"/>
              <w:rPr>
                <w:sz w:val="15"/>
              </w:rPr>
            </w:pPr>
            <w:r>
              <w:rPr>
                <w:color w:val="231F20"/>
                <w:w w:val="80"/>
                <w:sz w:val="15"/>
              </w:rPr>
              <w:t>10.1.8.c</w:t>
            </w:r>
          </w:p>
        </w:tc>
        <w:tc>
          <w:tcPr>
            <w:tcW w:w="5158" w:type="dxa"/>
            <w:gridSpan w:val="2"/>
            <w:tcBorders>
              <w:top w:val="single" w:sz="6" w:space="0" w:color="231F20"/>
              <w:left w:val="single" w:sz="6" w:space="0" w:color="231F20"/>
              <w:bottom w:val="single" w:sz="6" w:space="0" w:color="231F20"/>
              <w:right w:val="single" w:sz="6" w:space="0" w:color="231F20"/>
            </w:tcBorders>
          </w:tcPr>
          <w:p w14:paraId="18FAA7E9" w14:textId="77777777" w:rsidR="009948F1" w:rsidRDefault="009948F1">
            <w:pPr>
              <w:pStyle w:val="TableParagraph"/>
              <w:spacing w:before="10"/>
              <w:rPr>
                <w:sz w:val="19"/>
              </w:rPr>
            </w:pPr>
          </w:p>
          <w:p w14:paraId="630853E8" w14:textId="77777777" w:rsidR="009948F1" w:rsidRDefault="00BC0563">
            <w:pPr>
              <w:pStyle w:val="TableParagraph"/>
              <w:spacing w:line="264" w:lineRule="auto"/>
              <w:ind w:left="27" w:right="214"/>
              <w:rPr>
                <w:sz w:val="15"/>
              </w:rPr>
            </w:pPr>
            <w:r>
              <w:rPr>
                <w:color w:val="231F20"/>
                <w:w w:val="85"/>
                <w:sz w:val="15"/>
              </w:rPr>
              <w:t>Operating</w:t>
            </w:r>
            <w:r>
              <w:rPr>
                <w:color w:val="231F20"/>
                <w:spacing w:val="-10"/>
                <w:w w:val="85"/>
                <w:sz w:val="15"/>
              </w:rPr>
              <w:t xml:space="preserve"> </w:t>
            </w:r>
            <w:r>
              <w:rPr>
                <w:color w:val="231F20"/>
                <w:w w:val="85"/>
                <w:sz w:val="15"/>
              </w:rPr>
              <w:t>cost</w:t>
            </w:r>
            <w:r>
              <w:rPr>
                <w:color w:val="231F20"/>
                <w:spacing w:val="-9"/>
                <w:w w:val="85"/>
                <w:sz w:val="15"/>
              </w:rPr>
              <w:t xml:space="preserve"> </w:t>
            </w:r>
            <w:r>
              <w:rPr>
                <w:color w:val="231F20"/>
                <w:w w:val="85"/>
                <w:sz w:val="15"/>
              </w:rPr>
              <w:t>for</w:t>
            </w:r>
            <w:r>
              <w:rPr>
                <w:color w:val="231F20"/>
                <w:spacing w:val="-9"/>
                <w:w w:val="85"/>
                <w:sz w:val="15"/>
              </w:rPr>
              <w:t xml:space="preserve"> </w:t>
            </w:r>
            <w:r>
              <w:rPr>
                <w:color w:val="231F20"/>
                <w:w w:val="85"/>
                <w:sz w:val="15"/>
              </w:rPr>
              <w:t>engaging</w:t>
            </w:r>
            <w:r>
              <w:rPr>
                <w:color w:val="231F20"/>
                <w:spacing w:val="-9"/>
                <w:w w:val="85"/>
                <w:sz w:val="15"/>
              </w:rPr>
              <w:t xml:space="preserve"> </w:t>
            </w:r>
            <w:r>
              <w:rPr>
                <w:color w:val="231F20"/>
                <w:w w:val="85"/>
                <w:sz w:val="15"/>
              </w:rPr>
              <w:t>and</w:t>
            </w:r>
            <w:r>
              <w:rPr>
                <w:color w:val="231F20"/>
                <w:spacing w:val="-9"/>
                <w:w w:val="85"/>
                <w:sz w:val="15"/>
              </w:rPr>
              <w:t xml:space="preserve"> </w:t>
            </w:r>
            <w:r>
              <w:rPr>
                <w:color w:val="231F20"/>
                <w:w w:val="85"/>
                <w:sz w:val="15"/>
              </w:rPr>
              <w:t>supervising</w:t>
            </w:r>
            <w:r>
              <w:rPr>
                <w:color w:val="231F20"/>
                <w:spacing w:val="-9"/>
                <w:w w:val="85"/>
                <w:sz w:val="15"/>
              </w:rPr>
              <w:t xml:space="preserve"> </w:t>
            </w:r>
            <w:r>
              <w:rPr>
                <w:color w:val="231F20"/>
                <w:w w:val="85"/>
                <w:sz w:val="15"/>
              </w:rPr>
              <w:t>contractor</w:t>
            </w:r>
            <w:r>
              <w:rPr>
                <w:color w:val="231F20"/>
                <w:spacing w:val="-9"/>
                <w:w w:val="85"/>
                <w:sz w:val="15"/>
              </w:rPr>
              <w:t xml:space="preserve"> </w:t>
            </w:r>
            <w:r>
              <w:rPr>
                <w:color w:val="231F20"/>
                <w:w w:val="85"/>
                <w:sz w:val="15"/>
              </w:rPr>
              <w:t>to</w:t>
            </w:r>
            <w:r>
              <w:rPr>
                <w:color w:val="231F20"/>
                <w:spacing w:val="-9"/>
                <w:w w:val="85"/>
                <w:sz w:val="15"/>
              </w:rPr>
              <w:t xml:space="preserve"> </w:t>
            </w:r>
            <w:r>
              <w:rPr>
                <w:color w:val="231F20"/>
                <w:w w:val="85"/>
                <w:sz w:val="15"/>
              </w:rPr>
              <w:t>renovate</w:t>
            </w:r>
            <w:r>
              <w:rPr>
                <w:color w:val="231F20"/>
                <w:spacing w:val="-10"/>
                <w:w w:val="85"/>
                <w:sz w:val="15"/>
              </w:rPr>
              <w:t xml:space="preserve"> </w:t>
            </w:r>
            <w:r>
              <w:rPr>
                <w:color w:val="231F20"/>
                <w:w w:val="85"/>
                <w:sz w:val="15"/>
              </w:rPr>
              <w:t>Rivers</w:t>
            </w:r>
            <w:r>
              <w:rPr>
                <w:color w:val="231F20"/>
                <w:spacing w:val="-9"/>
                <w:w w:val="85"/>
                <w:sz w:val="15"/>
              </w:rPr>
              <w:t xml:space="preserve"> </w:t>
            </w:r>
            <w:r>
              <w:rPr>
                <w:color w:val="231F20"/>
                <w:w w:val="85"/>
                <w:sz w:val="15"/>
              </w:rPr>
              <w:t>State</w:t>
            </w:r>
            <w:r>
              <w:rPr>
                <w:color w:val="231F20"/>
                <w:spacing w:val="-9"/>
                <w:w w:val="85"/>
                <w:sz w:val="15"/>
              </w:rPr>
              <w:t xml:space="preserve"> </w:t>
            </w:r>
            <w:r>
              <w:rPr>
                <w:color w:val="231F20"/>
                <w:w w:val="85"/>
                <w:sz w:val="15"/>
              </w:rPr>
              <w:t xml:space="preserve">Primary </w:t>
            </w:r>
            <w:r>
              <w:rPr>
                <w:color w:val="231F20"/>
                <w:w w:val="90"/>
                <w:sz w:val="15"/>
              </w:rPr>
              <w:t>Health</w:t>
            </w:r>
            <w:r>
              <w:rPr>
                <w:color w:val="231F20"/>
                <w:spacing w:val="-24"/>
                <w:w w:val="90"/>
                <w:sz w:val="15"/>
              </w:rPr>
              <w:t xml:space="preserve"> </w:t>
            </w:r>
            <w:r>
              <w:rPr>
                <w:color w:val="231F20"/>
                <w:w w:val="90"/>
                <w:sz w:val="15"/>
              </w:rPr>
              <w:t>Care</w:t>
            </w:r>
            <w:r>
              <w:rPr>
                <w:color w:val="231F20"/>
                <w:spacing w:val="-25"/>
                <w:w w:val="90"/>
                <w:sz w:val="15"/>
              </w:rPr>
              <w:t xml:space="preserve"> </w:t>
            </w:r>
            <w:r>
              <w:rPr>
                <w:color w:val="231F20"/>
                <w:w w:val="90"/>
                <w:sz w:val="15"/>
              </w:rPr>
              <w:t>Management</w:t>
            </w:r>
            <w:r>
              <w:rPr>
                <w:color w:val="231F20"/>
                <w:spacing w:val="-24"/>
                <w:w w:val="90"/>
                <w:sz w:val="15"/>
              </w:rPr>
              <w:t xml:space="preserve"> </w:t>
            </w:r>
            <w:r>
              <w:rPr>
                <w:color w:val="231F20"/>
                <w:w w:val="90"/>
                <w:sz w:val="15"/>
              </w:rPr>
              <w:t>Board</w:t>
            </w:r>
            <w:r>
              <w:rPr>
                <w:color w:val="231F20"/>
                <w:spacing w:val="-24"/>
                <w:w w:val="90"/>
                <w:sz w:val="15"/>
              </w:rPr>
              <w:t xml:space="preserve"> </w:t>
            </w:r>
            <w:r>
              <w:rPr>
                <w:color w:val="231F20"/>
                <w:w w:val="90"/>
                <w:sz w:val="15"/>
              </w:rPr>
              <w:t>(RSPHCMB)</w:t>
            </w:r>
            <w:r>
              <w:rPr>
                <w:color w:val="231F20"/>
                <w:spacing w:val="-24"/>
                <w:w w:val="90"/>
                <w:sz w:val="15"/>
              </w:rPr>
              <w:t xml:space="preserve"> </w:t>
            </w:r>
            <w:r>
              <w:rPr>
                <w:color w:val="231F20"/>
                <w:w w:val="90"/>
                <w:sz w:val="15"/>
              </w:rPr>
              <w:t>office</w:t>
            </w:r>
            <w:r>
              <w:rPr>
                <w:color w:val="231F20"/>
                <w:spacing w:val="-24"/>
                <w:w w:val="90"/>
                <w:sz w:val="15"/>
              </w:rPr>
              <w:t xml:space="preserve"> </w:t>
            </w:r>
            <w:r>
              <w:rPr>
                <w:color w:val="231F20"/>
                <w:w w:val="90"/>
                <w:sz w:val="15"/>
              </w:rPr>
              <w:t>complex</w:t>
            </w:r>
            <w:r>
              <w:rPr>
                <w:color w:val="231F20"/>
                <w:spacing w:val="-24"/>
                <w:w w:val="90"/>
                <w:sz w:val="15"/>
              </w:rPr>
              <w:t xml:space="preserve"> </w:t>
            </w:r>
            <w:r>
              <w:rPr>
                <w:color w:val="231F20"/>
                <w:w w:val="90"/>
                <w:sz w:val="15"/>
              </w:rPr>
              <w:t>(Waterlines</w:t>
            </w:r>
            <w:r>
              <w:rPr>
                <w:color w:val="231F20"/>
                <w:spacing w:val="-24"/>
                <w:w w:val="90"/>
                <w:sz w:val="15"/>
              </w:rPr>
              <w:t xml:space="preserve"> </w:t>
            </w:r>
            <w:r>
              <w:rPr>
                <w:color w:val="231F20"/>
                <w:w w:val="90"/>
                <w:sz w:val="15"/>
              </w:rPr>
              <w:t>Building).</w:t>
            </w:r>
          </w:p>
        </w:tc>
        <w:tc>
          <w:tcPr>
            <w:tcW w:w="1503" w:type="dxa"/>
            <w:tcBorders>
              <w:top w:val="single" w:sz="6" w:space="0" w:color="231F20"/>
              <w:left w:val="single" w:sz="6" w:space="0" w:color="231F20"/>
              <w:bottom w:val="single" w:sz="6" w:space="0" w:color="231F20"/>
              <w:right w:val="single" w:sz="6" w:space="0" w:color="231F20"/>
            </w:tcBorders>
          </w:tcPr>
          <w:p w14:paraId="5187E94F" w14:textId="77777777" w:rsidR="009948F1" w:rsidRDefault="009948F1">
            <w:pPr>
              <w:pStyle w:val="TableParagraph"/>
              <w:rPr>
                <w:sz w:val="14"/>
              </w:rPr>
            </w:pPr>
          </w:p>
          <w:p w14:paraId="660E6978" w14:textId="77777777" w:rsidR="009948F1" w:rsidRDefault="009948F1">
            <w:pPr>
              <w:pStyle w:val="TableParagraph"/>
              <w:spacing w:before="6"/>
              <w:rPr>
                <w:sz w:val="14"/>
              </w:rPr>
            </w:pPr>
          </w:p>
          <w:p w14:paraId="51F0FE67" w14:textId="77777777" w:rsidR="009948F1" w:rsidRDefault="00BC0563">
            <w:pPr>
              <w:pStyle w:val="TableParagraph"/>
              <w:spacing w:before="1"/>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255C9F25" w14:textId="77777777" w:rsidR="009948F1" w:rsidRDefault="009948F1">
            <w:pPr>
              <w:pStyle w:val="TableParagraph"/>
              <w:rPr>
                <w:sz w:val="14"/>
              </w:rPr>
            </w:pPr>
          </w:p>
          <w:p w14:paraId="6D520D3B" w14:textId="77777777" w:rsidR="009948F1" w:rsidRDefault="009948F1">
            <w:pPr>
              <w:pStyle w:val="TableParagraph"/>
              <w:spacing w:before="6"/>
              <w:rPr>
                <w:sz w:val="14"/>
              </w:rPr>
            </w:pPr>
          </w:p>
          <w:p w14:paraId="7FD27283" w14:textId="77777777" w:rsidR="009948F1" w:rsidRDefault="00BC0563">
            <w:pPr>
              <w:pStyle w:val="TableParagraph"/>
              <w:spacing w:before="1"/>
              <w:ind w:left="30"/>
              <w:rPr>
                <w:sz w:val="15"/>
              </w:rPr>
            </w:pPr>
            <w:r>
              <w:rPr>
                <w:color w:val="231F20"/>
                <w:w w:val="95"/>
                <w:sz w:val="15"/>
              </w:rPr>
              <w:t>Costed in OHT</w:t>
            </w:r>
          </w:p>
        </w:tc>
      </w:tr>
      <w:tr w:rsidR="009948F1" w14:paraId="66275800" w14:textId="77777777">
        <w:trPr>
          <w:trHeight w:val="689"/>
        </w:trPr>
        <w:tc>
          <w:tcPr>
            <w:tcW w:w="473" w:type="dxa"/>
            <w:vMerge/>
            <w:tcBorders>
              <w:top w:val="nil"/>
              <w:bottom w:val="single" w:sz="6" w:space="0" w:color="231F20"/>
              <w:right w:val="single" w:sz="6" w:space="0" w:color="231F20"/>
            </w:tcBorders>
          </w:tcPr>
          <w:p w14:paraId="14FE0BC2"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7115BF08" w14:textId="77777777" w:rsidR="009948F1" w:rsidRDefault="009948F1">
            <w:pPr>
              <w:pStyle w:val="TableParagraph"/>
              <w:rPr>
                <w:sz w:val="14"/>
              </w:rPr>
            </w:pPr>
          </w:p>
          <w:p w14:paraId="6A4E8087" w14:textId="77777777" w:rsidR="009948F1" w:rsidRDefault="00BC0563">
            <w:pPr>
              <w:pStyle w:val="TableParagraph"/>
              <w:spacing w:before="99"/>
              <w:ind w:right="29"/>
              <w:jc w:val="right"/>
              <w:rPr>
                <w:sz w:val="15"/>
              </w:rPr>
            </w:pPr>
            <w:r>
              <w:rPr>
                <w:color w:val="231F20"/>
                <w:w w:val="80"/>
                <w:sz w:val="15"/>
              </w:rPr>
              <w:t>10.1.8.d</w:t>
            </w:r>
          </w:p>
        </w:tc>
        <w:tc>
          <w:tcPr>
            <w:tcW w:w="5158" w:type="dxa"/>
            <w:gridSpan w:val="2"/>
            <w:tcBorders>
              <w:top w:val="single" w:sz="6" w:space="0" w:color="231F20"/>
              <w:left w:val="single" w:sz="6" w:space="0" w:color="231F20"/>
              <w:bottom w:val="single" w:sz="6" w:space="0" w:color="231F20"/>
              <w:right w:val="single" w:sz="6" w:space="0" w:color="231F20"/>
            </w:tcBorders>
          </w:tcPr>
          <w:p w14:paraId="60A5A72A" w14:textId="77777777" w:rsidR="009948F1" w:rsidRDefault="009948F1">
            <w:pPr>
              <w:pStyle w:val="TableParagraph"/>
              <w:spacing w:before="9"/>
              <w:rPr>
                <w:sz w:val="13"/>
              </w:rPr>
            </w:pPr>
          </w:p>
          <w:p w14:paraId="4E0AD438" w14:textId="77777777" w:rsidR="009948F1" w:rsidRDefault="00BC0563">
            <w:pPr>
              <w:pStyle w:val="TableParagraph"/>
              <w:spacing w:line="264" w:lineRule="auto"/>
              <w:ind w:left="27" w:right="-1"/>
              <w:rPr>
                <w:sz w:val="15"/>
              </w:rPr>
            </w:pPr>
            <w:r>
              <w:rPr>
                <w:color w:val="231F20"/>
                <w:w w:val="85"/>
                <w:sz w:val="15"/>
              </w:rPr>
              <w:t>Operating</w:t>
            </w:r>
            <w:r>
              <w:rPr>
                <w:color w:val="231F20"/>
                <w:spacing w:val="-9"/>
                <w:w w:val="85"/>
                <w:sz w:val="15"/>
              </w:rPr>
              <w:t xml:space="preserve"> </w:t>
            </w:r>
            <w:r>
              <w:rPr>
                <w:color w:val="231F20"/>
                <w:w w:val="85"/>
                <w:sz w:val="15"/>
              </w:rPr>
              <w:t>cost</w:t>
            </w:r>
            <w:r>
              <w:rPr>
                <w:color w:val="231F20"/>
                <w:spacing w:val="-9"/>
                <w:w w:val="85"/>
                <w:sz w:val="15"/>
              </w:rPr>
              <w:t xml:space="preserve"> </w:t>
            </w:r>
            <w:r>
              <w:rPr>
                <w:color w:val="231F20"/>
                <w:w w:val="85"/>
                <w:sz w:val="15"/>
              </w:rPr>
              <w:t>for</w:t>
            </w:r>
            <w:r>
              <w:rPr>
                <w:color w:val="231F20"/>
                <w:spacing w:val="-9"/>
                <w:w w:val="85"/>
                <w:sz w:val="15"/>
              </w:rPr>
              <w:t xml:space="preserve"> </w:t>
            </w:r>
            <w:r>
              <w:rPr>
                <w:color w:val="231F20"/>
                <w:w w:val="85"/>
                <w:sz w:val="15"/>
              </w:rPr>
              <w:t>engaging</w:t>
            </w:r>
            <w:r>
              <w:rPr>
                <w:color w:val="231F20"/>
                <w:spacing w:val="-8"/>
                <w:w w:val="85"/>
                <w:sz w:val="15"/>
              </w:rPr>
              <w:t xml:space="preserve"> </w:t>
            </w:r>
            <w:r>
              <w:rPr>
                <w:color w:val="231F20"/>
                <w:w w:val="85"/>
                <w:sz w:val="15"/>
              </w:rPr>
              <w:t>and</w:t>
            </w:r>
            <w:r>
              <w:rPr>
                <w:color w:val="231F20"/>
                <w:spacing w:val="-9"/>
                <w:w w:val="85"/>
                <w:sz w:val="15"/>
              </w:rPr>
              <w:t xml:space="preserve"> </w:t>
            </w:r>
            <w:r>
              <w:rPr>
                <w:color w:val="231F20"/>
                <w:w w:val="85"/>
                <w:sz w:val="15"/>
              </w:rPr>
              <w:t>supervising</w:t>
            </w:r>
            <w:r>
              <w:rPr>
                <w:color w:val="231F20"/>
                <w:spacing w:val="-9"/>
                <w:w w:val="85"/>
                <w:sz w:val="15"/>
              </w:rPr>
              <w:t xml:space="preserve"> </w:t>
            </w:r>
            <w:r>
              <w:rPr>
                <w:color w:val="231F20"/>
                <w:w w:val="85"/>
                <w:sz w:val="15"/>
              </w:rPr>
              <w:t>contractor</w:t>
            </w:r>
            <w:r>
              <w:rPr>
                <w:color w:val="231F20"/>
                <w:spacing w:val="-9"/>
                <w:w w:val="85"/>
                <w:sz w:val="15"/>
              </w:rPr>
              <w:t xml:space="preserve"> </w:t>
            </w:r>
            <w:r>
              <w:rPr>
                <w:color w:val="231F20"/>
                <w:w w:val="85"/>
                <w:sz w:val="15"/>
              </w:rPr>
              <w:t>to</w:t>
            </w:r>
            <w:r>
              <w:rPr>
                <w:color w:val="231F20"/>
                <w:spacing w:val="-8"/>
                <w:w w:val="85"/>
                <w:sz w:val="15"/>
              </w:rPr>
              <w:t xml:space="preserve"> </w:t>
            </w:r>
            <w:r>
              <w:rPr>
                <w:color w:val="231F20"/>
                <w:w w:val="85"/>
                <w:sz w:val="15"/>
              </w:rPr>
              <w:t>equip</w:t>
            </w:r>
            <w:r>
              <w:rPr>
                <w:color w:val="231F20"/>
                <w:spacing w:val="-9"/>
                <w:w w:val="85"/>
                <w:sz w:val="15"/>
              </w:rPr>
              <w:t xml:space="preserve"> </w:t>
            </w:r>
            <w:r>
              <w:rPr>
                <w:color w:val="231F20"/>
                <w:w w:val="85"/>
                <w:sz w:val="15"/>
              </w:rPr>
              <w:t>Rivers</w:t>
            </w:r>
            <w:r>
              <w:rPr>
                <w:color w:val="231F20"/>
                <w:spacing w:val="-9"/>
                <w:w w:val="85"/>
                <w:sz w:val="15"/>
              </w:rPr>
              <w:t xml:space="preserve"> </w:t>
            </w:r>
            <w:r>
              <w:rPr>
                <w:color w:val="231F20"/>
                <w:w w:val="85"/>
                <w:sz w:val="15"/>
              </w:rPr>
              <w:t>State</w:t>
            </w:r>
            <w:r>
              <w:rPr>
                <w:color w:val="231F20"/>
                <w:spacing w:val="-8"/>
                <w:w w:val="85"/>
                <w:sz w:val="15"/>
              </w:rPr>
              <w:t xml:space="preserve"> </w:t>
            </w:r>
            <w:r>
              <w:rPr>
                <w:color w:val="231F20"/>
                <w:w w:val="85"/>
                <w:sz w:val="15"/>
              </w:rPr>
              <w:t>Primary</w:t>
            </w:r>
            <w:r>
              <w:rPr>
                <w:color w:val="231F20"/>
                <w:spacing w:val="-9"/>
                <w:w w:val="85"/>
                <w:sz w:val="15"/>
              </w:rPr>
              <w:t xml:space="preserve"> </w:t>
            </w:r>
            <w:r>
              <w:rPr>
                <w:color w:val="231F20"/>
                <w:w w:val="85"/>
                <w:sz w:val="15"/>
              </w:rPr>
              <w:t xml:space="preserve">Health </w:t>
            </w:r>
            <w:r>
              <w:rPr>
                <w:color w:val="231F20"/>
                <w:w w:val="95"/>
                <w:sz w:val="15"/>
              </w:rPr>
              <w:t>Care</w:t>
            </w:r>
            <w:r>
              <w:rPr>
                <w:color w:val="231F20"/>
                <w:spacing w:val="-22"/>
                <w:w w:val="95"/>
                <w:sz w:val="15"/>
              </w:rPr>
              <w:t xml:space="preserve"> </w:t>
            </w:r>
            <w:r>
              <w:rPr>
                <w:color w:val="231F20"/>
                <w:w w:val="95"/>
                <w:sz w:val="15"/>
              </w:rPr>
              <w:t>Management</w:t>
            </w:r>
            <w:r>
              <w:rPr>
                <w:color w:val="231F20"/>
                <w:spacing w:val="-22"/>
                <w:w w:val="95"/>
                <w:sz w:val="15"/>
              </w:rPr>
              <w:t xml:space="preserve"> </w:t>
            </w:r>
            <w:r>
              <w:rPr>
                <w:color w:val="231F20"/>
                <w:w w:val="95"/>
                <w:sz w:val="15"/>
              </w:rPr>
              <w:t>Board</w:t>
            </w:r>
            <w:r>
              <w:rPr>
                <w:color w:val="231F20"/>
                <w:spacing w:val="-22"/>
                <w:w w:val="95"/>
                <w:sz w:val="15"/>
              </w:rPr>
              <w:t xml:space="preserve"> </w:t>
            </w:r>
            <w:r>
              <w:rPr>
                <w:color w:val="231F20"/>
                <w:w w:val="95"/>
                <w:sz w:val="15"/>
              </w:rPr>
              <w:t>(RSPHCMB)</w:t>
            </w:r>
            <w:r>
              <w:rPr>
                <w:color w:val="231F20"/>
                <w:spacing w:val="-22"/>
                <w:w w:val="95"/>
                <w:sz w:val="15"/>
              </w:rPr>
              <w:t xml:space="preserve"> </w:t>
            </w:r>
            <w:r>
              <w:rPr>
                <w:color w:val="231F20"/>
                <w:w w:val="95"/>
                <w:sz w:val="15"/>
              </w:rPr>
              <w:t>office</w:t>
            </w:r>
            <w:r>
              <w:rPr>
                <w:color w:val="231F20"/>
                <w:spacing w:val="-21"/>
                <w:w w:val="95"/>
                <w:sz w:val="15"/>
              </w:rPr>
              <w:t xml:space="preserve"> </w:t>
            </w:r>
            <w:r>
              <w:rPr>
                <w:color w:val="231F20"/>
                <w:w w:val="95"/>
                <w:sz w:val="15"/>
              </w:rPr>
              <w:t>complex</w:t>
            </w:r>
            <w:r>
              <w:rPr>
                <w:color w:val="231F20"/>
                <w:spacing w:val="-22"/>
                <w:w w:val="95"/>
                <w:sz w:val="15"/>
              </w:rPr>
              <w:t xml:space="preserve"> </w:t>
            </w:r>
            <w:r>
              <w:rPr>
                <w:color w:val="231F20"/>
                <w:w w:val="95"/>
                <w:sz w:val="15"/>
              </w:rPr>
              <w:t>(Waterlines</w:t>
            </w:r>
            <w:r>
              <w:rPr>
                <w:color w:val="231F20"/>
                <w:spacing w:val="-22"/>
                <w:w w:val="95"/>
                <w:sz w:val="15"/>
              </w:rPr>
              <w:t xml:space="preserve"> </w:t>
            </w:r>
            <w:r>
              <w:rPr>
                <w:color w:val="231F20"/>
                <w:w w:val="95"/>
                <w:sz w:val="15"/>
              </w:rPr>
              <w:t>Building).</w:t>
            </w:r>
          </w:p>
        </w:tc>
        <w:tc>
          <w:tcPr>
            <w:tcW w:w="1503" w:type="dxa"/>
            <w:tcBorders>
              <w:top w:val="single" w:sz="6" w:space="0" w:color="231F20"/>
              <w:left w:val="single" w:sz="6" w:space="0" w:color="231F20"/>
              <w:bottom w:val="single" w:sz="6" w:space="0" w:color="231F20"/>
              <w:right w:val="single" w:sz="6" w:space="0" w:color="231F20"/>
            </w:tcBorders>
          </w:tcPr>
          <w:p w14:paraId="107C39A5" w14:textId="77777777" w:rsidR="009948F1" w:rsidRDefault="009948F1">
            <w:pPr>
              <w:pStyle w:val="TableParagraph"/>
              <w:rPr>
                <w:sz w:val="14"/>
              </w:rPr>
            </w:pPr>
          </w:p>
          <w:p w14:paraId="08BC257E" w14:textId="77777777" w:rsidR="009948F1" w:rsidRDefault="00BC0563">
            <w:pPr>
              <w:pStyle w:val="TableParagraph"/>
              <w:spacing w:before="99"/>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4F70F3E" w14:textId="77777777" w:rsidR="009948F1" w:rsidRDefault="009948F1">
            <w:pPr>
              <w:pStyle w:val="TableParagraph"/>
              <w:rPr>
                <w:sz w:val="14"/>
              </w:rPr>
            </w:pPr>
          </w:p>
          <w:p w14:paraId="05108768" w14:textId="77777777" w:rsidR="009948F1" w:rsidRDefault="00BC0563">
            <w:pPr>
              <w:pStyle w:val="TableParagraph"/>
              <w:spacing w:before="99"/>
              <w:ind w:left="30"/>
              <w:rPr>
                <w:sz w:val="15"/>
              </w:rPr>
            </w:pPr>
            <w:r>
              <w:rPr>
                <w:color w:val="231F20"/>
                <w:w w:val="95"/>
                <w:sz w:val="15"/>
              </w:rPr>
              <w:t>Costed in OHT</w:t>
            </w:r>
          </w:p>
        </w:tc>
      </w:tr>
      <w:tr w:rsidR="009948F1" w14:paraId="5AE41991" w14:textId="77777777">
        <w:trPr>
          <w:trHeight w:val="513"/>
        </w:trPr>
        <w:tc>
          <w:tcPr>
            <w:tcW w:w="473" w:type="dxa"/>
            <w:vMerge/>
            <w:tcBorders>
              <w:top w:val="nil"/>
              <w:bottom w:val="single" w:sz="6" w:space="0" w:color="231F20"/>
              <w:right w:val="single" w:sz="6" w:space="0" w:color="231F20"/>
            </w:tcBorders>
          </w:tcPr>
          <w:p w14:paraId="0E67F32F"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44E91D3A" w14:textId="77777777" w:rsidR="009948F1" w:rsidRDefault="009948F1">
            <w:pPr>
              <w:pStyle w:val="TableParagraph"/>
              <w:spacing w:before="9"/>
              <w:rPr>
                <w:sz w:val="14"/>
              </w:rPr>
            </w:pPr>
          </w:p>
          <w:p w14:paraId="3E131B07" w14:textId="77777777" w:rsidR="009948F1" w:rsidRDefault="00BC0563">
            <w:pPr>
              <w:pStyle w:val="TableParagraph"/>
              <w:ind w:right="29"/>
              <w:jc w:val="right"/>
              <w:rPr>
                <w:sz w:val="15"/>
              </w:rPr>
            </w:pPr>
            <w:r>
              <w:rPr>
                <w:color w:val="231F20"/>
                <w:w w:val="80"/>
                <w:sz w:val="15"/>
              </w:rPr>
              <w:t>10.1.8.e</w:t>
            </w:r>
          </w:p>
        </w:tc>
        <w:tc>
          <w:tcPr>
            <w:tcW w:w="5158" w:type="dxa"/>
            <w:gridSpan w:val="2"/>
            <w:tcBorders>
              <w:top w:val="single" w:sz="6" w:space="0" w:color="231F20"/>
              <w:left w:val="single" w:sz="6" w:space="0" w:color="231F20"/>
              <w:bottom w:val="single" w:sz="6" w:space="0" w:color="231F20"/>
              <w:right w:val="single" w:sz="6" w:space="0" w:color="231F20"/>
            </w:tcBorders>
          </w:tcPr>
          <w:p w14:paraId="7E00B707" w14:textId="538D6CAC" w:rsidR="009948F1" w:rsidRDefault="00BC0563">
            <w:pPr>
              <w:pStyle w:val="TableParagraph"/>
              <w:spacing w:before="71" w:line="264" w:lineRule="auto"/>
              <w:ind w:left="27" w:right="218"/>
              <w:rPr>
                <w:sz w:val="15"/>
              </w:rPr>
            </w:pPr>
            <w:r>
              <w:rPr>
                <w:color w:val="231F20"/>
                <w:w w:val="85"/>
                <w:sz w:val="15"/>
              </w:rPr>
              <w:t>Strengthen</w:t>
            </w:r>
            <w:r>
              <w:rPr>
                <w:color w:val="231F20"/>
                <w:spacing w:val="-7"/>
                <w:w w:val="85"/>
                <w:sz w:val="15"/>
              </w:rPr>
              <w:t xml:space="preserve"> </w:t>
            </w:r>
            <w:r>
              <w:rPr>
                <w:color w:val="231F20"/>
                <w:w w:val="85"/>
                <w:sz w:val="15"/>
              </w:rPr>
              <w:t>at</w:t>
            </w:r>
            <w:r>
              <w:rPr>
                <w:color w:val="231F20"/>
                <w:spacing w:val="-7"/>
                <w:w w:val="85"/>
                <w:sz w:val="15"/>
              </w:rPr>
              <w:t xml:space="preserve"> </w:t>
            </w:r>
            <w:r>
              <w:rPr>
                <w:color w:val="231F20"/>
                <w:w w:val="85"/>
                <w:sz w:val="15"/>
              </w:rPr>
              <w:t>least</w:t>
            </w:r>
            <w:r>
              <w:rPr>
                <w:color w:val="231F20"/>
                <w:spacing w:val="-7"/>
                <w:w w:val="85"/>
                <w:sz w:val="15"/>
              </w:rPr>
              <w:t xml:space="preserve"> </w:t>
            </w:r>
            <w:r>
              <w:rPr>
                <w:color w:val="231F20"/>
                <w:w w:val="85"/>
                <w:sz w:val="15"/>
              </w:rPr>
              <w:t>1</w:t>
            </w:r>
            <w:r>
              <w:rPr>
                <w:color w:val="231F20"/>
                <w:spacing w:val="-7"/>
                <w:w w:val="85"/>
                <w:sz w:val="15"/>
              </w:rPr>
              <w:t xml:space="preserve"> </w:t>
            </w:r>
            <w:r>
              <w:rPr>
                <w:color w:val="231F20"/>
                <w:w w:val="85"/>
                <w:sz w:val="15"/>
              </w:rPr>
              <w:t>PHC</w:t>
            </w:r>
            <w:r>
              <w:rPr>
                <w:color w:val="231F20"/>
                <w:spacing w:val="-7"/>
                <w:w w:val="85"/>
                <w:sz w:val="15"/>
              </w:rPr>
              <w:t xml:space="preserve"> </w:t>
            </w:r>
            <w:r>
              <w:rPr>
                <w:color w:val="231F20"/>
                <w:w w:val="85"/>
                <w:sz w:val="15"/>
              </w:rPr>
              <w:t>per</w:t>
            </w:r>
            <w:r>
              <w:rPr>
                <w:color w:val="231F20"/>
                <w:spacing w:val="-7"/>
                <w:w w:val="85"/>
                <w:sz w:val="15"/>
              </w:rPr>
              <w:t xml:space="preserve"> </w:t>
            </w:r>
            <w:r>
              <w:rPr>
                <w:color w:val="231F20"/>
                <w:w w:val="85"/>
                <w:sz w:val="15"/>
              </w:rPr>
              <w:t>ward</w:t>
            </w:r>
            <w:r>
              <w:rPr>
                <w:color w:val="231F20"/>
                <w:spacing w:val="-7"/>
                <w:w w:val="85"/>
                <w:sz w:val="15"/>
              </w:rPr>
              <w:t xml:space="preserve"> </w:t>
            </w:r>
            <w:r>
              <w:rPr>
                <w:color w:val="231F20"/>
                <w:w w:val="85"/>
                <w:sz w:val="15"/>
              </w:rPr>
              <w:t>to</w:t>
            </w:r>
            <w:r>
              <w:rPr>
                <w:color w:val="231F20"/>
                <w:spacing w:val="-7"/>
                <w:w w:val="85"/>
                <w:sz w:val="15"/>
              </w:rPr>
              <w:t xml:space="preserve"> </w:t>
            </w:r>
            <w:r>
              <w:rPr>
                <w:color w:val="231F20"/>
                <w:w w:val="85"/>
                <w:sz w:val="15"/>
              </w:rPr>
              <w:t>provide</w:t>
            </w:r>
            <w:r>
              <w:rPr>
                <w:color w:val="231F20"/>
                <w:spacing w:val="-7"/>
                <w:w w:val="85"/>
                <w:sz w:val="15"/>
              </w:rPr>
              <w:t xml:space="preserve"> </w:t>
            </w:r>
            <w:r>
              <w:rPr>
                <w:color w:val="231F20"/>
                <w:w w:val="85"/>
                <w:sz w:val="15"/>
              </w:rPr>
              <w:t>the</w:t>
            </w:r>
            <w:r>
              <w:rPr>
                <w:color w:val="231F20"/>
                <w:spacing w:val="-7"/>
                <w:w w:val="85"/>
                <w:sz w:val="15"/>
              </w:rPr>
              <w:t xml:space="preserve"> </w:t>
            </w:r>
            <w:r>
              <w:rPr>
                <w:color w:val="231F20"/>
                <w:w w:val="85"/>
                <w:sz w:val="15"/>
              </w:rPr>
              <w:t>package</w:t>
            </w:r>
            <w:r>
              <w:rPr>
                <w:color w:val="231F20"/>
                <w:spacing w:val="-7"/>
                <w:w w:val="85"/>
                <w:sz w:val="15"/>
              </w:rPr>
              <w:t xml:space="preserve"> </w:t>
            </w:r>
            <w:r>
              <w:rPr>
                <w:color w:val="231F20"/>
                <w:w w:val="85"/>
                <w:sz w:val="15"/>
              </w:rPr>
              <w:t>of</w:t>
            </w:r>
            <w:r>
              <w:rPr>
                <w:color w:val="231F20"/>
                <w:spacing w:val="-7"/>
                <w:w w:val="85"/>
                <w:sz w:val="15"/>
              </w:rPr>
              <w:t xml:space="preserve"> </w:t>
            </w:r>
            <w:r>
              <w:rPr>
                <w:color w:val="231F20"/>
                <w:w w:val="85"/>
                <w:sz w:val="15"/>
              </w:rPr>
              <w:t>essential</w:t>
            </w:r>
            <w:r>
              <w:rPr>
                <w:color w:val="231F20"/>
                <w:spacing w:val="-7"/>
                <w:w w:val="85"/>
                <w:sz w:val="15"/>
              </w:rPr>
              <w:t xml:space="preserve"> </w:t>
            </w:r>
            <w:r>
              <w:rPr>
                <w:color w:val="231F20"/>
                <w:w w:val="85"/>
                <w:sz w:val="15"/>
              </w:rPr>
              <w:t>service</w:t>
            </w:r>
            <w:r>
              <w:rPr>
                <w:color w:val="231F20"/>
                <w:spacing w:val="-7"/>
                <w:w w:val="85"/>
                <w:sz w:val="15"/>
              </w:rPr>
              <w:t xml:space="preserve"> </w:t>
            </w:r>
            <w:r>
              <w:rPr>
                <w:color w:val="231F20"/>
                <w:w w:val="85"/>
                <w:sz w:val="15"/>
              </w:rPr>
              <w:t xml:space="preserve">package </w:t>
            </w:r>
            <w:r>
              <w:rPr>
                <w:color w:val="231F20"/>
                <w:w w:val="95"/>
                <w:sz w:val="15"/>
              </w:rPr>
              <w:t>(ESP) of care including</w:t>
            </w:r>
            <w:r>
              <w:rPr>
                <w:color w:val="231F20"/>
                <w:spacing w:val="-30"/>
                <w:w w:val="95"/>
                <w:sz w:val="15"/>
              </w:rPr>
              <w:t xml:space="preserve"> </w:t>
            </w:r>
            <w:r w:rsidR="00683F0D">
              <w:rPr>
                <w:color w:val="231F20"/>
                <w:spacing w:val="-30"/>
                <w:w w:val="95"/>
                <w:sz w:val="15"/>
              </w:rPr>
              <w:t xml:space="preserve"> </w:t>
            </w:r>
            <w:proofErr w:type="spellStart"/>
            <w:r>
              <w:rPr>
                <w:color w:val="231F20"/>
                <w:w w:val="95"/>
                <w:sz w:val="15"/>
              </w:rPr>
              <w:t>BEmOC</w:t>
            </w:r>
            <w:proofErr w:type="spellEnd"/>
          </w:p>
        </w:tc>
        <w:tc>
          <w:tcPr>
            <w:tcW w:w="1503" w:type="dxa"/>
            <w:tcBorders>
              <w:top w:val="single" w:sz="6" w:space="0" w:color="231F20"/>
              <w:left w:val="single" w:sz="6" w:space="0" w:color="231F20"/>
              <w:bottom w:val="single" w:sz="6" w:space="0" w:color="231F20"/>
              <w:right w:val="single" w:sz="6" w:space="0" w:color="231F20"/>
            </w:tcBorders>
          </w:tcPr>
          <w:p w14:paraId="7C7A7F6D" w14:textId="77777777" w:rsidR="009948F1" w:rsidRDefault="009948F1">
            <w:pPr>
              <w:pStyle w:val="TableParagraph"/>
              <w:spacing w:before="9"/>
              <w:rPr>
                <w:sz w:val="14"/>
              </w:rPr>
            </w:pPr>
          </w:p>
          <w:p w14:paraId="02776A6B" w14:textId="77777777" w:rsidR="009948F1" w:rsidRDefault="00BC0563">
            <w:pPr>
              <w:pStyle w:val="TableParagraph"/>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A3A3B0D" w14:textId="77777777" w:rsidR="009948F1" w:rsidRDefault="009948F1">
            <w:pPr>
              <w:pStyle w:val="TableParagraph"/>
              <w:spacing w:before="9"/>
              <w:rPr>
                <w:sz w:val="14"/>
              </w:rPr>
            </w:pPr>
          </w:p>
          <w:p w14:paraId="66F833B2" w14:textId="738EE516" w:rsidR="009948F1" w:rsidRDefault="00BC0563">
            <w:pPr>
              <w:pStyle w:val="TableParagraph"/>
              <w:ind w:left="30"/>
              <w:rPr>
                <w:sz w:val="15"/>
              </w:rPr>
            </w:pPr>
            <w:r>
              <w:rPr>
                <w:color w:val="231F20"/>
                <w:w w:val="90"/>
                <w:sz w:val="15"/>
              </w:rPr>
              <w:t>Strengthen</w:t>
            </w:r>
            <w:r>
              <w:rPr>
                <w:color w:val="231F20"/>
                <w:spacing w:val="-20"/>
                <w:w w:val="90"/>
                <w:sz w:val="15"/>
              </w:rPr>
              <w:t xml:space="preserve"> </w:t>
            </w:r>
            <w:r>
              <w:rPr>
                <w:color w:val="231F20"/>
                <w:w w:val="90"/>
                <w:sz w:val="15"/>
              </w:rPr>
              <w:t>at</w:t>
            </w:r>
            <w:r>
              <w:rPr>
                <w:color w:val="231F20"/>
                <w:spacing w:val="-19"/>
                <w:w w:val="90"/>
                <w:sz w:val="15"/>
              </w:rPr>
              <w:t xml:space="preserve"> </w:t>
            </w:r>
            <w:r w:rsidR="00683F0D">
              <w:rPr>
                <w:color w:val="231F20"/>
                <w:spacing w:val="-19"/>
                <w:w w:val="90"/>
                <w:sz w:val="15"/>
              </w:rPr>
              <w:t xml:space="preserve"> </w:t>
            </w:r>
            <w:r>
              <w:rPr>
                <w:color w:val="231F20"/>
                <w:w w:val="90"/>
                <w:sz w:val="15"/>
              </w:rPr>
              <w:t>least</w:t>
            </w:r>
            <w:r>
              <w:rPr>
                <w:color w:val="231F20"/>
                <w:spacing w:val="-19"/>
                <w:w w:val="90"/>
                <w:sz w:val="15"/>
              </w:rPr>
              <w:t xml:space="preserve"> </w:t>
            </w:r>
            <w:r>
              <w:rPr>
                <w:color w:val="231F20"/>
                <w:w w:val="90"/>
                <w:sz w:val="15"/>
              </w:rPr>
              <w:t>1</w:t>
            </w:r>
            <w:r>
              <w:rPr>
                <w:color w:val="231F20"/>
                <w:spacing w:val="-19"/>
                <w:w w:val="90"/>
                <w:sz w:val="15"/>
              </w:rPr>
              <w:t xml:space="preserve"> </w:t>
            </w:r>
            <w:r>
              <w:rPr>
                <w:color w:val="231F20"/>
                <w:w w:val="90"/>
                <w:sz w:val="15"/>
              </w:rPr>
              <w:t>PHC</w:t>
            </w:r>
          </w:p>
        </w:tc>
      </w:tr>
      <w:tr w:rsidR="009948F1" w14:paraId="714A18EE" w14:textId="77777777">
        <w:trPr>
          <w:trHeight w:val="1396"/>
        </w:trPr>
        <w:tc>
          <w:tcPr>
            <w:tcW w:w="473" w:type="dxa"/>
            <w:tcBorders>
              <w:top w:val="single" w:sz="6" w:space="0" w:color="231F20"/>
              <w:left w:val="single" w:sz="12" w:space="0" w:color="231F20"/>
              <w:bottom w:val="single" w:sz="6" w:space="0" w:color="231F20"/>
              <w:right w:val="single" w:sz="6" w:space="0" w:color="231F20"/>
            </w:tcBorders>
            <w:shd w:val="clear" w:color="auto" w:fill="CCE7D3"/>
          </w:tcPr>
          <w:p w14:paraId="7BB5AAB6" w14:textId="77777777" w:rsidR="009948F1" w:rsidRDefault="009948F1">
            <w:pPr>
              <w:pStyle w:val="TableParagraph"/>
              <w:rPr>
                <w:sz w:val="14"/>
              </w:rPr>
            </w:pPr>
          </w:p>
          <w:p w14:paraId="0362FC8F" w14:textId="77777777" w:rsidR="009948F1" w:rsidRDefault="009948F1">
            <w:pPr>
              <w:pStyle w:val="TableParagraph"/>
              <w:rPr>
                <w:sz w:val="14"/>
              </w:rPr>
            </w:pPr>
          </w:p>
          <w:p w14:paraId="077FB7EB" w14:textId="77777777" w:rsidR="009948F1" w:rsidRDefault="009948F1">
            <w:pPr>
              <w:pStyle w:val="TableParagraph"/>
              <w:rPr>
                <w:sz w:val="14"/>
              </w:rPr>
            </w:pPr>
          </w:p>
          <w:p w14:paraId="49BF6E2A" w14:textId="77777777" w:rsidR="009948F1" w:rsidRDefault="009948F1">
            <w:pPr>
              <w:pStyle w:val="TableParagraph"/>
              <w:spacing w:before="3"/>
              <w:rPr>
                <w:sz w:val="11"/>
              </w:rPr>
            </w:pPr>
          </w:p>
          <w:p w14:paraId="4FF21926" w14:textId="77777777" w:rsidR="009948F1" w:rsidRDefault="00BC0563">
            <w:pPr>
              <w:pStyle w:val="TableParagraph"/>
              <w:ind w:left="16" w:right="19"/>
              <w:jc w:val="center"/>
              <w:rPr>
                <w:sz w:val="15"/>
              </w:rPr>
            </w:pPr>
            <w:r>
              <w:rPr>
                <w:color w:val="231F20"/>
                <w:w w:val="90"/>
                <w:sz w:val="15"/>
              </w:rPr>
              <w:t>10.1.9</w:t>
            </w:r>
          </w:p>
        </w:tc>
        <w:tc>
          <w:tcPr>
            <w:tcW w:w="3200" w:type="dxa"/>
            <w:gridSpan w:val="2"/>
            <w:tcBorders>
              <w:top w:val="single" w:sz="6" w:space="0" w:color="231F20"/>
              <w:left w:val="single" w:sz="6" w:space="0" w:color="231F20"/>
              <w:bottom w:val="single" w:sz="6" w:space="0" w:color="231F20"/>
              <w:right w:val="single" w:sz="6" w:space="0" w:color="231F20"/>
            </w:tcBorders>
            <w:shd w:val="clear" w:color="auto" w:fill="CCE7D3"/>
          </w:tcPr>
          <w:p w14:paraId="15BBA31F" w14:textId="77777777" w:rsidR="009948F1" w:rsidRDefault="009948F1">
            <w:pPr>
              <w:pStyle w:val="TableParagraph"/>
              <w:rPr>
                <w:sz w:val="14"/>
              </w:rPr>
            </w:pPr>
          </w:p>
          <w:p w14:paraId="5A6D8758" w14:textId="77777777" w:rsidR="009948F1" w:rsidRDefault="009948F1">
            <w:pPr>
              <w:pStyle w:val="TableParagraph"/>
              <w:rPr>
                <w:sz w:val="14"/>
              </w:rPr>
            </w:pPr>
          </w:p>
          <w:p w14:paraId="36EE25D1" w14:textId="77777777" w:rsidR="009948F1" w:rsidRDefault="009948F1">
            <w:pPr>
              <w:pStyle w:val="TableParagraph"/>
              <w:spacing w:before="5"/>
              <w:rPr>
                <w:sz w:val="16"/>
              </w:rPr>
            </w:pPr>
          </w:p>
          <w:p w14:paraId="692D9D83" w14:textId="77777777" w:rsidR="009948F1" w:rsidRDefault="00BC0563">
            <w:pPr>
              <w:pStyle w:val="TableParagraph"/>
              <w:spacing w:line="264" w:lineRule="auto"/>
              <w:ind w:left="27" w:firstLine="34"/>
              <w:rPr>
                <w:sz w:val="15"/>
              </w:rPr>
            </w:pPr>
            <w:r>
              <w:rPr>
                <w:color w:val="231F20"/>
                <w:w w:val="85"/>
                <w:sz w:val="15"/>
              </w:rPr>
              <w:t xml:space="preserve">Improve Secondary and Tertiary levels infrastructure to </w:t>
            </w:r>
            <w:r>
              <w:rPr>
                <w:color w:val="231F20"/>
                <w:w w:val="95"/>
                <w:sz w:val="15"/>
              </w:rPr>
              <w:t>support for referrals systems</w:t>
            </w:r>
          </w:p>
        </w:tc>
        <w:tc>
          <w:tcPr>
            <w:tcW w:w="2512" w:type="dxa"/>
            <w:tcBorders>
              <w:top w:val="single" w:sz="6" w:space="0" w:color="231F20"/>
              <w:left w:val="single" w:sz="6" w:space="0" w:color="231F20"/>
              <w:bottom w:val="single" w:sz="6" w:space="0" w:color="231F20"/>
              <w:right w:val="single" w:sz="6" w:space="0" w:color="231F20"/>
            </w:tcBorders>
            <w:shd w:val="clear" w:color="auto" w:fill="CCE7D3"/>
          </w:tcPr>
          <w:p w14:paraId="16009B96" w14:textId="77777777" w:rsidR="009948F1" w:rsidRDefault="009948F1">
            <w:pPr>
              <w:pStyle w:val="TableParagraph"/>
              <w:spacing w:before="5"/>
              <w:rPr>
                <w:sz w:val="20"/>
              </w:rPr>
            </w:pPr>
          </w:p>
          <w:p w14:paraId="305D79AC" w14:textId="77777777" w:rsidR="009948F1" w:rsidRDefault="00BC0563">
            <w:pPr>
              <w:pStyle w:val="TableParagraph"/>
              <w:numPr>
                <w:ilvl w:val="0"/>
                <w:numId w:val="47"/>
              </w:numPr>
              <w:tabs>
                <w:tab w:val="left" w:pos="107"/>
              </w:tabs>
              <w:spacing w:line="264" w:lineRule="auto"/>
              <w:ind w:right="37" w:firstLine="0"/>
              <w:rPr>
                <w:sz w:val="15"/>
              </w:rPr>
            </w:pPr>
            <w:r>
              <w:rPr>
                <w:color w:val="231F20"/>
                <w:w w:val="85"/>
                <w:sz w:val="15"/>
              </w:rPr>
              <w:t>General</w:t>
            </w:r>
            <w:r>
              <w:rPr>
                <w:color w:val="231F20"/>
                <w:spacing w:val="-7"/>
                <w:w w:val="85"/>
                <w:sz w:val="15"/>
              </w:rPr>
              <w:t xml:space="preserve"> </w:t>
            </w:r>
            <w:r>
              <w:rPr>
                <w:color w:val="231F20"/>
                <w:w w:val="85"/>
                <w:sz w:val="15"/>
              </w:rPr>
              <w:t>&amp;</w:t>
            </w:r>
            <w:r>
              <w:rPr>
                <w:color w:val="231F20"/>
                <w:spacing w:val="-6"/>
                <w:w w:val="85"/>
                <w:sz w:val="15"/>
              </w:rPr>
              <w:t xml:space="preserve"> </w:t>
            </w:r>
            <w:r>
              <w:rPr>
                <w:color w:val="231F20"/>
                <w:w w:val="85"/>
                <w:sz w:val="15"/>
              </w:rPr>
              <w:t>Specialist</w:t>
            </w:r>
            <w:r>
              <w:rPr>
                <w:color w:val="231F20"/>
                <w:spacing w:val="-7"/>
                <w:w w:val="85"/>
                <w:sz w:val="15"/>
              </w:rPr>
              <w:t xml:space="preserve"> </w:t>
            </w:r>
            <w:r>
              <w:rPr>
                <w:color w:val="231F20"/>
                <w:w w:val="85"/>
                <w:sz w:val="15"/>
              </w:rPr>
              <w:t>Hospitals</w:t>
            </w:r>
            <w:r>
              <w:rPr>
                <w:color w:val="231F20"/>
                <w:spacing w:val="-6"/>
                <w:w w:val="85"/>
                <w:sz w:val="15"/>
              </w:rPr>
              <w:t xml:space="preserve"> </w:t>
            </w:r>
            <w:r>
              <w:rPr>
                <w:color w:val="231F20"/>
                <w:w w:val="85"/>
                <w:sz w:val="15"/>
              </w:rPr>
              <w:t>in</w:t>
            </w:r>
            <w:r>
              <w:rPr>
                <w:color w:val="231F20"/>
                <w:spacing w:val="-7"/>
                <w:w w:val="85"/>
                <w:sz w:val="15"/>
              </w:rPr>
              <w:t xml:space="preserve"> </w:t>
            </w:r>
            <w:r>
              <w:rPr>
                <w:color w:val="231F20"/>
                <w:w w:val="85"/>
                <w:sz w:val="15"/>
              </w:rPr>
              <w:t>the</w:t>
            </w:r>
            <w:r>
              <w:rPr>
                <w:color w:val="231F20"/>
                <w:spacing w:val="-6"/>
                <w:w w:val="85"/>
                <w:sz w:val="15"/>
              </w:rPr>
              <w:t xml:space="preserve"> </w:t>
            </w:r>
            <w:r>
              <w:rPr>
                <w:color w:val="231F20"/>
                <w:spacing w:val="-4"/>
                <w:w w:val="85"/>
                <w:sz w:val="15"/>
              </w:rPr>
              <w:t xml:space="preserve">State </w:t>
            </w:r>
            <w:r>
              <w:rPr>
                <w:color w:val="231F20"/>
                <w:w w:val="95"/>
                <w:sz w:val="15"/>
              </w:rPr>
              <w:t>renovated</w:t>
            </w:r>
          </w:p>
          <w:p w14:paraId="0D118D76" w14:textId="77777777" w:rsidR="009948F1" w:rsidRDefault="00BC0563">
            <w:pPr>
              <w:pStyle w:val="TableParagraph"/>
              <w:numPr>
                <w:ilvl w:val="0"/>
                <w:numId w:val="47"/>
              </w:numPr>
              <w:tabs>
                <w:tab w:val="left" w:pos="107"/>
              </w:tabs>
              <w:spacing w:line="264" w:lineRule="auto"/>
              <w:ind w:right="120" w:firstLine="0"/>
              <w:rPr>
                <w:sz w:val="15"/>
              </w:rPr>
            </w:pPr>
            <w:r>
              <w:rPr>
                <w:color w:val="231F20"/>
                <w:w w:val="85"/>
                <w:sz w:val="15"/>
              </w:rPr>
              <w:t>Logistics</w:t>
            </w:r>
            <w:r>
              <w:rPr>
                <w:color w:val="231F20"/>
                <w:spacing w:val="-17"/>
                <w:w w:val="85"/>
                <w:sz w:val="15"/>
              </w:rPr>
              <w:t xml:space="preserve"> </w:t>
            </w:r>
            <w:r>
              <w:rPr>
                <w:color w:val="231F20"/>
                <w:w w:val="85"/>
                <w:sz w:val="15"/>
              </w:rPr>
              <w:t>support</w:t>
            </w:r>
            <w:r>
              <w:rPr>
                <w:color w:val="231F20"/>
                <w:spacing w:val="-17"/>
                <w:w w:val="85"/>
                <w:sz w:val="15"/>
              </w:rPr>
              <w:t xml:space="preserve"> </w:t>
            </w:r>
            <w:r>
              <w:rPr>
                <w:color w:val="231F20"/>
                <w:w w:val="85"/>
                <w:sz w:val="15"/>
              </w:rPr>
              <w:t>including</w:t>
            </w:r>
            <w:r>
              <w:rPr>
                <w:color w:val="231F20"/>
                <w:spacing w:val="-17"/>
                <w:w w:val="85"/>
                <w:sz w:val="15"/>
              </w:rPr>
              <w:t xml:space="preserve"> </w:t>
            </w:r>
            <w:r>
              <w:rPr>
                <w:color w:val="231F20"/>
                <w:w w:val="85"/>
                <w:sz w:val="15"/>
              </w:rPr>
              <w:t xml:space="preserve">transportation and communication systems established </w:t>
            </w:r>
            <w:r>
              <w:rPr>
                <w:color w:val="231F20"/>
                <w:w w:val="95"/>
                <w:sz w:val="15"/>
              </w:rPr>
              <w:t>and</w:t>
            </w:r>
            <w:r>
              <w:rPr>
                <w:color w:val="231F20"/>
                <w:spacing w:val="-9"/>
                <w:w w:val="95"/>
                <w:sz w:val="15"/>
              </w:rPr>
              <w:t xml:space="preserve"> </w:t>
            </w:r>
            <w:r>
              <w:rPr>
                <w:color w:val="231F20"/>
                <w:w w:val="95"/>
                <w:sz w:val="15"/>
              </w:rPr>
              <w:t>strengthened</w:t>
            </w:r>
          </w:p>
        </w:tc>
        <w:tc>
          <w:tcPr>
            <w:tcW w:w="1503" w:type="dxa"/>
            <w:tcBorders>
              <w:top w:val="single" w:sz="6" w:space="0" w:color="231F20"/>
              <w:left w:val="single" w:sz="6" w:space="0" w:color="231F20"/>
              <w:bottom w:val="single" w:sz="6" w:space="0" w:color="231F20"/>
              <w:right w:val="single" w:sz="6" w:space="0" w:color="231F20"/>
            </w:tcBorders>
            <w:shd w:val="clear" w:color="auto" w:fill="CCE7D3"/>
          </w:tcPr>
          <w:p w14:paraId="756C9067" w14:textId="77777777" w:rsidR="009948F1" w:rsidRDefault="009948F1">
            <w:pPr>
              <w:pStyle w:val="TableParagraph"/>
              <w:rPr>
                <w:rFonts w:ascii="Times New Roman"/>
                <w:sz w:val="12"/>
              </w:rPr>
            </w:pPr>
          </w:p>
        </w:tc>
        <w:tc>
          <w:tcPr>
            <w:tcW w:w="1585" w:type="dxa"/>
            <w:tcBorders>
              <w:top w:val="single" w:sz="6" w:space="0" w:color="231F20"/>
              <w:left w:val="single" w:sz="6" w:space="0" w:color="231F20"/>
              <w:bottom w:val="single" w:sz="6" w:space="0" w:color="231F20"/>
            </w:tcBorders>
            <w:shd w:val="clear" w:color="auto" w:fill="CCE7D3"/>
          </w:tcPr>
          <w:p w14:paraId="60ECA385" w14:textId="77777777" w:rsidR="009948F1" w:rsidRDefault="009948F1">
            <w:pPr>
              <w:pStyle w:val="TableParagraph"/>
              <w:rPr>
                <w:rFonts w:ascii="Times New Roman"/>
                <w:sz w:val="12"/>
              </w:rPr>
            </w:pPr>
          </w:p>
        </w:tc>
      </w:tr>
      <w:tr w:rsidR="009948F1" w14:paraId="52E2C0F0" w14:textId="77777777">
        <w:trPr>
          <w:trHeight w:val="365"/>
        </w:trPr>
        <w:tc>
          <w:tcPr>
            <w:tcW w:w="473" w:type="dxa"/>
            <w:vMerge w:val="restart"/>
            <w:tcBorders>
              <w:top w:val="single" w:sz="6" w:space="0" w:color="231F20"/>
              <w:bottom w:val="single" w:sz="6" w:space="0" w:color="231F20"/>
              <w:right w:val="single" w:sz="6" w:space="0" w:color="231F20"/>
            </w:tcBorders>
          </w:tcPr>
          <w:p w14:paraId="42AB46B7" w14:textId="77777777" w:rsidR="009948F1" w:rsidRDefault="009948F1">
            <w:pPr>
              <w:pStyle w:val="TableParagraph"/>
              <w:rPr>
                <w:rFonts w:ascii="Times New Roman"/>
                <w:sz w:val="12"/>
              </w:rPr>
            </w:pPr>
          </w:p>
        </w:tc>
        <w:tc>
          <w:tcPr>
            <w:tcW w:w="554" w:type="dxa"/>
            <w:tcBorders>
              <w:top w:val="single" w:sz="6" w:space="0" w:color="231F20"/>
              <w:left w:val="single" w:sz="6" w:space="0" w:color="231F20"/>
              <w:bottom w:val="single" w:sz="6" w:space="0" w:color="231F20"/>
              <w:right w:val="single" w:sz="6" w:space="0" w:color="231F20"/>
            </w:tcBorders>
          </w:tcPr>
          <w:p w14:paraId="3FC4B5D2" w14:textId="77777777" w:rsidR="009948F1" w:rsidRDefault="00BC0563">
            <w:pPr>
              <w:pStyle w:val="TableParagraph"/>
              <w:spacing w:before="97"/>
              <w:ind w:right="29"/>
              <w:jc w:val="right"/>
              <w:rPr>
                <w:sz w:val="15"/>
              </w:rPr>
            </w:pPr>
            <w:r>
              <w:rPr>
                <w:color w:val="231F20"/>
                <w:w w:val="80"/>
                <w:sz w:val="15"/>
              </w:rPr>
              <w:t>10.1.9.a</w:t>
            </w:r>
          </w:p>
        </w:tc>
        <w:tc>
          <w:tcPr>
            <w:tcW w:w="5158" w:type="dxa"/>
            <w:gridSpan w:val="2"/>
            <w:tcBorders>
              <w:top w:val="single" w:sz="6" w:space="0" w:color="231F20"/>
              <w:left w:val="single" w:sz="6" w:space="0" w:color="231F20"/>
              <w:bottom w:val="single" w:sz="6" w:space="0" w:color="231F20"/>
              <w:right w:val="single" w:sz="6" w:space="0" w:color="231F20"/>
            </w:tcBorders>
          </w:tcPr>
          <w:p w14:paraId="787FFCDF" w14:textId="77777777" w:rsidR="009948F1" w:rsidRDefault="00BC0563">
            <w:pPr>
              <w:pStyle w:val="TableParagraph"/>
              <w:spacing w:before="2"/>
              <w:ind w:left="27"/>
              <w:rPr>
                <w:sz w:val="15"/>
              </w:rPr>
            </w:pPr>
            <w:r>
              <w:rPr>
                <w:color w:val="231F20"/>
                <w:w w:val="85"/>
                <w:sz w:val="15"/>
              </w:rPr>
              <w:t>Operating</w:t>
            </w:r>
            <w:r>
              <w:rPr>
                <w:color w:val="231F20"/>
                <w:spacing w:val="-8"/>
                <w:w w:val="85"/>
                <w:sz w:val="15"/>
              </w:rPr>
              <w:t xml:space="preserve"> </w:t>
            </w:r>
            <w:r>
              <w:rPr>
                <w:color w:val="231F20"/>
                <w:w w:val="85"/>
                <w:sz w:val="15"/>
              </w:rPr>
              <w:t>cost</w:t>
            </w:r>
            <w:r>
              <w:rPr>
                <w:color w:val="231F20"/>
                <w:spacing w:val="-7"/>
                <w:w w:val="85"/>
                <w:sz w:val="15"/>
              </w:rPr>
              <w:t xml:space="preserve"> </w:t>
            </w:r>
            <w:r>
              <w:rPr>
                <w:color w:val="231F20"/>
                <w:w w:val="85"/>
                <w:sz w:val="15"/>
              </w:rPr>
              <w:t>for</w:t>
            </w:r>
            <w:r>
              <w:rPr>
                <w:color w:val="231F20"/>
                <w:spacing w:val="-8"/>
                <w:w w:val="85"/>
                <w:sz w:val="15"/>
              </w:rPr>
              <w:t xml:space="preserve"> </w:t>
            </w:r>
            <w:r>
              <w:rPr>
                <w:color w:val="231F20"/>
                <w:w w:val="85"/>
                <w:sz w:val="15"/>
              </w:rPr>
              <w:t>engaging</w:t>
            </w:r>
            <w:r>
              <w:rPr>
                <w:color w:val="231F20"/>
                <w:spacing w:val="-7"/>
                <w:w w:val="85"/>
                <w:sz w:val="15"/>
              </w:rPr>
              <w:t xml:space="preserve"> </w:t>
            </w:r>
            <w:r>
              <w:rPr>
                <w:color w:val="231F20"/>
                <w:w w:val="85"/>
                <w:sz w:val="15"/>
              </w:rPr>
              <w:t>and</w:t>
            </w:r>
            <w:r>
              <w:rPr>
                <w:color w:val="231F20"/>
                <w:spacing w:val="-7"/>
                <w:w w:val="85"/>
                <w:sz w:val="15"/>
              </w:rPr>
              <w:t xml:space="preserve"> </w:t>
            </w:r>
            <w:r>
              <w:rPr>
                <w:color w:val="231F20"/>
                <w:w w:val="85"/>
                <w:sz w:val="15"/>
              </w:rPr>
              <w:t>supervising</w:t>
            </w:r>
            <w:r>
              <w:rPr>
                <w:color w:val="231F20"/>
                <w:spacing w:val="-8"/>
                <w:w w:val="85"/>
                <w:sz w:val="15"/>
              </w:rPr>
              <w:t xml:space="preserve"> </w:t>
            </w:r>
            <w:r>
              <w:rPr>
                <w:color w:val="231F20"/>
                <w:w w:val="85"/>
                <w:sz w:val="15"/>
              </w:rPr>
              <w:t>contractor</w:t>
            </w:r>
            <w:r>
              <w:rPr>
                <w:color w:val="231F20"/>
                <w:spacing w:val="-7"/>
                <w:w w:val="85"/>
                <w:sz w:val="15"/>
              </w:rPr>
              <w:t xml:space="preserve"> </w:t>
            </w:r>
            <w:r>
              <w:rPr>
                <w:color w:val="231F20"/>
                <w:w w:val="85"/>
                <w:sz w:val="15"/>
              </w:rPr>
              <w:t>to</w:t>
            </w:r>
            <w:r>
              <w:rPr>
                <w:color w:val="231F20"/>
                <w:spacing w:val="-7"/>
                <w:w w:val="85"/>
                <w:sz w:val="15"/>
              </w:rPr>
              <w:t xml:space="preserve"> </w:t>
            </w:r>
            <w:r>
              <w:rPr>
                <w:color w:val="231F20"/>
                <w:w w:val="85"/>
                <w:sz w:val="15"/>
              </w:rPr>
              <w:t>renovate</w:t>
            </w:r>
            <w:r>
              <w:rPr>
                <w:color w:val="231F20"/>
                <w:spacing w:val="-8"/>
                <w:w w:val="85"/>
                <w:sz w:val="15"/>
              </w:rPr>
              <w:t xml:space="preserve"> </w:t>
            </w:r>
            <w:r>
              <w:rPr>
                <w:color w:val="231F20"/>
                <w:w w:val="85"/>
                <w:sz w:val="15"/>
              </w:rPr>
              <w:t>all</w:t>
            </w:r>
            <w:r>
              <w:rPr>
                <w:color w:val="231F20"/>
                <w:spacing w:val="-7"/>
                <w:w w:val="85"/>
                <w:sz w:val="15"/>
              </w:rPr>
              <w:t xml:space="preserve"> </w:t>
            </w:r>
            <w:r>
              <w:rPr>
                <w:color w:val="231F20"/>
                <w:w w:val="85"/>
                <w:sz w:val="15"/>
              </w:rPr>
              <w:t>General</w:t>
            </w:r>
            <w:r>
              <w:rPr>
                <w:color w:val="231F20"/>
                <w:spacing w:val="-7"/>
                <w:w w:val="85"/>
                <w:sz w:val="15"/>
              </w:rPr>
              <w:t xml:space="preserve"> </w:t>
            </w:r>
            <w:r>
              <w:rPr>
                <w:color w:val="231F20"/>
                <w:w w:val="85"/>
                <w:sz w:val="15"/>
              </w:rPr>
              <w:t>&amp;</w:t>
            </w:r>
            <w:r>
              <w:rPr>
                <w:color w:val="231F20"/>
                <w:spacing w:val="-8"/>
                <w:w w:val="85"/>
                <w:sz w:val="15"/>
              </w:rPr>
              <w:t xml:space="preserve"> </w:t>
            </w:r>
            <w:r>
              <w:rPr>
                <w:color w:val="231F20"/>
                <w:w w:val="85"/>
                <w:sz w:val="15"/>
              </w:rPr>
              <w:t>Specialist</w:t>
            </w:r>
          </w:p>
          <w:p w14:paraId="6114F111" w14:textId="77777777" w:rsidR="009948F1" w:rsidRDefault="00BC0563">
            <w:pPr>
              <w:pStyle w:val="TableParagraph"/>
              <w:spacing w:before="16" w:line="155" w:lineRule="exact"/>
              <w:ind w:left="27"/>
              <w:rPr>
                <w:sz w:val="15"/>
              </w:rPr>
            </w:pPr>
            <w:r>
              <w:rPr>
                <w:color w:val="231F20"/>
                <w:w w:val="95"/>
                <w:sz w:val="15"/>
              </w:rPr>
              <w:t>Hospitals in the State.</w:t>
            </w:r>
          </w:p>
        </w:tc>
        <w:tc>
          <w:tcPr>
            <w:tcW w:w="1503" w:type="dxa"/>
            <w:tcBorders>
              <w:top w:val="single" w:sz="6" w:space="0" w:color="231F20"/>
              <w:left w:val="single" w:sz="6" w:space="0" w:color="231F20"/>
              <w:bottom w:val="single" w:sz="6" w:space="0" w:color="231F20"/>
              <w:right w:val="single" w:sz="6" w:space="0" w:color="231F20"/>
            </w:tcBorders>
          </w:tcPr>
          <w:p w14:paraId="7B711554" w14:textId="77777777" w:rsidR="009948F1" w:rsidRDefault="00BC0563">
            <w:pPr>
              <w:pStyle w:val="TableParagraph"/>
              <w:spacing w:before="97"/>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3C4C36E5" w14:textId="77777777" w:rsidR="009948F1" w:rsidRDefault="00BC0563">
            <w:pPr>
              <w:pStyle w:val="TableParagraph"/>
              <w:spacing w:before="97"/>
              <w:ind w:left="30"/>
              <w:rPr>
                <w:sz w:val="15"/>
              </w:rPr>
            </w:pPr>
            <w:r>
              <w:rPr>
                <w:color w:val="231F20"/>
                <w:w w:val="95"/>
                <w:sz w:val="15"/>
              </w:rPr>
              <w:t>Costed in OHT</w:t>
            </w:r>
          </w:p>
        </w:tc>
      </w:tr>
      <w:tr w:rsidR="009948F1" w14:paraId="2B90CA9B" w14:textId="77777777">
        <w:trPr>
          <w:trHeight w:val="625"/>
        </w:trPr>
        <w:tc>
          <w:tcPr>
            <w:tcW w:w="473" w:type="dxa"/>
            <w:vMerge/>
            <w:tcBorders>
              <w:top w:val="nil"/>
              <w:bottom w:val="single" w:sz="6" w:space="0" w:color="231F20"/>
              <w:right w:val="single" w:sz="6" w:space="0" w:color="231F20"/>
            </w:tcBorders>
          </w:tcPr>
          <w:p w14:paraId="6010978B"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77929FF6" w14:textId="77777777" w:rsidR="009948F1" w:rsidRDefault="009948F1">
            <w:pPr>
              <w:pStyle w:val="TableParagraph"/>
              <w:spacing w:before="9"/>
              <w:rPr>
                <w:sz w:val="19"/>
              </w:rPr>
            </w:pPr>
          </w:p>
          <w:p w14:paraId="4F0F92DB" w14:textId="77777777" w:rsidR="009948F1" w:rsidRDefault="00BC0563">
            <w:pPr>
              <w:pStyle w:val="TableParagraph"/>
              <w:ind w:right="29"/>
              <w:jc w:val="right"/>
              <w:rPr>
                <w:sz w:val="15"/>
              </w:rPr>
            </w:pPr>
            <w:r>
              <w:rPr>
                <w:color w:val="231F20"/>
                <w:w w:val="80"/>
                <w:sz w:val="15"/>
              </w:rPr>
              <w:t>10.1.9.b</w:t>
            </w:r>
          </w:p>
        </w:tc>
        <w:tc>
          <w:tcPr>
            <w:tcW w:w="5158" w:type="dxa"/>
            <w:gridSpan w:val="2"/>
            <w:tcBorders>
              <w:top w:val="single" w:sz="6" w:space="0" w:color="231F20"/>
              <w:left w:val="single" w:sz="6" w:space="0" w:color="231F20"/>
              <w:bottom w:val="single" w:sz="6" w:space="0" w:color="231F20"/>
              <w:right w:val="single" w:sz="12" w:space="0" w:color="231F20"/>
            </w:tcBorders>
          </w:tcPr>
          <w:p w14:paraId="2381CA61" w14:textId="77777777" w:rsidR="009948F1" w:rsidRDefault="009948F1">
            <w:pPr>
              <w:pStyle w:val="TableParagraph"/>
              <w:spacing w:before="11"/>
              <w:rPr>
                <w:sz w:val="10"/>
              </w:rPr>
            </w:pPr>
          </w:p>
          <w:p w14:paraId="453DB784" w14:textId="77777777" w:rsidR="009948F1" w:rsidRDefault="00BC0563">
            <w:pPr>
              <w:pStyle w:val="TableParagraph"/>
              <w:spacing w:line="264" w:lineRule="auto"/>
              <w:ind w:left="27" w:right="276"/>
              <w:rPr>
                <w:sz w:val="15"/>
              </w:rPr>
            </w:pPr>
            <w:r>
              <w:rPr>
                <w:color w:val="231F20"/>
                <w:w w:val="85"/>
                <w:sz w:val="15"/>
              </w:rPr>
              <w:t>Operating</w:t>
            </w:r>
            <w:r>
              <w:rPr>
                <w:color w:val="231F20"/>
                <w:spacing w:val="-12"/>
                <w:w w:val="85"/>
                <w:sz w:val="15"/>
              </w:rPr>
              <w:t xml:space="preserve"> </w:t>
            </w:r>
            <w:r>
              <w:rPr>
                <w:color w:val="231F20"/>
                <w:w w:val="85"/>
                <w:sz w:val="15"/>
              </w:rPr>
              <w:t>cost</w:t>
            </w:r>
            <w:r>
              <w:rPr>
                <w:color w:val="231F20"/>
                <w:spacing w:val="-11"/>
                <w:w w:val="85"/>
                <w:sz w:val="15"/>
              </w:rPr>
              <w:t xml:space="preserve"> </w:t>
            </w:r>
            <w:r>
              <w:rPr>
                <w:color w:val="231F20"/>
                <w:w w:val="85"/>
                <w:sz w:val="15"/>
              </w:rPr>
              <w:t>for</w:t>
            </w:r>
            <w:r>
              <w:rPr>
                <w:color w:val="231F20"/>
                <w:spacing w:val="-11"/>
                <w:w w:val="85"/>
                <w:sz w:val="15"/>
              </w:rPr>
              <w:t xml:space="preserve"> </w:t>
            </w:r>
            <w:r>
              <w:rPr>
                <w:color w:val="231F20"/>
                <w:w w:val="85"/>
                <w:sz w:val="15"/>
              </w:rPr>
              <w:t>engaging</w:t>
            </w:r>
            <w:r>
              <w:rPr>
                <w:color w:val="231F20"/>
                <w:spacing w:val="-11"/>
                <w:w w:val="85"/>
                <w:sz w:val="15"/>
              </w:rPr>
              <w:t xml:space="preserve"> </w:t>
            </w:r>
            <w:r>
              <w:rPr>
                <w:color w:val="231F20"/>
                <w:w w:val="85"/>
                <w:sz w:val="15"/>
              </w:rPr>
              <w:t>and</w:t>
            </w:r>
            <w:r>
              <w:rPr>
                <w:color w:val="231F20"/>
                <w:spacing w:val="-11"/>
                <w:w w:val="85"/>
                <w:sz w:val="15"/>
              </w:rPr>
              <w:t xml:space="preserve"> </w:t>
            </w:r>
            <w:r>
              <w:rPr>
                <w:color w:val="231F20"/>
                <w:w w:val="85"/>
                <w:sz w:val="15"/>
              </w:rPr>
              <w:t>supervising</w:t>
            </w:r>
            <w:r>
              <w:rPr>
                <w:color w:val="231F20"/>
                <w:spacing w:val="-11"/>
                <w:w w:val="85"/>
                <w:sz w:val="15"/>
              </w:rPr>
              <w:t xml:space="preserve"> </w:t>
            </w:r>
            <w:r>
              <w:rPr>
                <w:color w:val="231F20"/>
                <w:w w:val="85"/>
                <w:sz w:val="15"/>
              </w:rPr>
              <w:t>contractor</w:t>
            </w:r>
            <w:r>
              <w:rPr>
                <w:color w:val="231F20"/>
                <w:spacing w:val="-11"/>
                <w:w w:val="85"/>
                <w:sz w:val="15"/>
              </w:rPr>
              <w:t xml:space="preserve"> </w:t>
            </w:r>
            <w:r>
              <w:rPr>
                <w:color w:val="231F20"/>
                <w:w w:val="85"/>
                <w:sz w:val="15"/>
              </w:rPr>
              <w:t>to</w:t>
            </w:r>
            <w:r>
              <w:rPr>
                <w:color w:val="231F20"/>
                <w:spacing w:val="-11"/>
                <w:w w:val="85"/>
                <w:sz w:val="15"/>
              </w:rPr>
              <w:t xml:space="preserve"> </w:t>
            </w:r>
            <w:r>
              <w:rPr>
                <w:color w:val="231F20"/>
                <w:w w:val="85"/>
                <w:sz w:val="15"/>
              </w:rPr>
              <w:t>establish/strengthen</w:t>
            </w:r>
            <w:r>
              <w:rPr>
                <w:color w:val="231F20"/>
                <w:spacing w:val="-11"/>
                <w:w w:val="85"/>
                <w:sz w:val="15"/>
              </w:rPr>
              <w:t xml:space="preserve"> </w:t>
            </w:r>
            <w:r>
              <w:rPr>
                <w:color w:val="231F20"/>
                <w:w w:val="85"/>
                <w:sz w:val="15"/>
              </w:rPr>
              <w:t xml:space="preserve">logistics </w:t>
            </w:r>
            <w:r>
              <w:rPr>
                <w:color w:val="231F20"/>
                <w:w w:val="95"/>
                <w:sz w:val="15"/>
              </w:rPr>
              <w:t>support</w:t>
            </w:r>
            <w:r>
              <w:rPr>
                <w:color w:val="231F20"/>
                <w:spacing w:val="-25"/>
                <w:w w:val="95"/>
                <w:sz w:val="15"/>
              </w:rPr>
              <w:t xml:space="preserve"> </w:t>
            </w:r>
            <w:r>
              <w:rPr>
                <w:color w:val="231F20"/>
                <w:w w:val="95"/>
                <w:sz w:val="15"/>
              </w:rPr>
              <w:t>including</w:t>
            </w:r>
            <w:r>
              <w:rPr>
                <w:color w:val="231F20"/>
                <w:spacing w:val="-24"/>
                <w:w w:val="95"/>
                <w:sz w:val="15"/>
              </w:rPr>
              <w:t xml:space="preserve"> </w:t>
            </w:r>
            <w:r>
              <w:rPr>
                <w:color w:val="231F20"/>
                <w:w w:val="95"/>
                <w:sz w:val="15"/>
              </w:rPr>
              <w:t>transportation</w:t>
            </w:r>
            <w:r>
              <w:rPr>
                <w:color w:val="231F20"/>
                <w:spacing w:val="-24"/>
                <w:w w:val="95"/>
                <w:sz w:val="15"/>
              </w:rPr>
              <w:t xml:space="preserve"> </w:t>
            </w:r>
            <w:r>
              <w:rPr>
                <w:color w:val="231F20"/>
                <w:w w:val="95"/>
                <w:sz w:val="15"/>
              </w:rPr>
              <w:t>and</w:t>
            </w:r>
            <w:r>
              <w:rPr>
                <w:color w:val="231F20"/>
                <w:spacing w:val="-24"/>
                <w:w w:val="95"/>
                <w:sz w:val="15"/>
              </w:rPr>
              <w:t xml:space="preserve"> </w:t>
            </w:r>
            <w:r>
              <w:rPr>
                <w:color w:val="231F20"/>
                <w:w w:val="95"/>
                <w:sz w:val="15"/>
              </w:rPr>
              <w:t>communication</w:t>
            </w:r>
            <w:r>
              <w:rPr>
                <w:color w:val="231F20"/>
                <w:spacing w:val="-24"/>
                <w:w w:val="95"/>
                <w:sz w:val="15"/>
              </w:rPr>
              <w:t xml:space="preserve"> </w:t>
            </w:r>
            <w:r>
              <w:rPr>
                <w:color w:val="231F20"/>
                <w:w w:val="95"/>
                <w:sz w:val="15"/>
              </w:rPr>
              <w:t>systems</w:t>
            </w:r>
            <w:r>
              <w:rPr>
                <w:color w:val="231F20"/>
                <w:spacing w:val="-24"/>
                <w:w w:val="95"/>
                <w:sz w:val="15"/>
              </w:rPr>
              <w:t xml:space="preserve"> </w:t>
            </w:r>
            <w:r>
              <w:rPr>
                <w:color w:val="231F20"/>
                <w:w w:val="95"/>
                <w:sz w:val="15"/>
              </w:rPr>
              <w:t>to</w:t>
            </w:r>
            <w:r>
              <w:rPr>
                <w:color w:val="231F20"/>
                <w:spacing w:val="-25"/>
                <w:w w:val="95"/>
                <w:sz w:val="15"/>
              </w:rPr>
              <w:t xml:space="preserve"> </w:t>
            </w:r>
            <w:r>
              <w:rPr>
                <w:color w:val="231F20"/>
                <w:w w:val="95"/>
                <w:sz w:val="15"/>
              </w:rPr>
              <w:t>aid</w:t>
            </w:r>
            <w:r>
              <w:rPr>
                <w:color w:val="231F20"/>
                <w:spacing w:val="-24"/>
                <w:w w:val="95"/>
                <w:sz w:val="15"/>
              </w:rPr>
              <w:t xml:space="preserve"> </w:t>
            </w:r>
            <w:r>
              <w:rPr>
                <w:color w:val="231F20"/>
                <w:w w:val="95"/>
                <w:sz w:val="15"/>
              </w:rPr>
              <w:t>referral</w:t>
            </w:r>
          </w:p>
        </w:tc>
        <w:tc>
          <w:tcPr>
            <w:tcW w:w="1503" w:type="dxa"/>
            <w:tcBorders>
              <w:top w:val="single" w:sz="6" w:space="0" w:color="231F20"/>
              <w:left w:val="single" w:sz="12" w:space="0" w:color="231F20"/>
              <w:bottom w:val="single" w:sz="6" w:space="0" w:color="231F20"/>
              <w:right w:val="single" w:sz="6" w:space="0" w:color="231F20"/>
            </w:tcBorders>
          </w:tcPr>
          <w:p w14:paraId="6BB61958" w14:textId="77777777" w:rsidR="009948F1" w:rsidRDefault="009948F1">
            <w:pPr>
              <w:pStyle w:val="TableParagraph"/>
              <w:spacing w:before="9"/>
              <w:rPr>
                <w:sz w:val="19"/>
              </w:rPr>
            </w:pPr>
          </w:p>
          <w:p w14:paraId="43F72F5E" w14:textId="77777777" w:rsidR="009948F1" w:rsidRDefault="00BC0563">
            <w:pPr>
              <w:pStyle w:val="TableParagraph"/>
              <w:ind w:left="21"/>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7CE10049" w14:textId="77777777" w:rsidR="009948F1" w:rsidRDefault="009948F1">
            <w:pPr>
              <w:pStyle w:val="TableParagraph"/>
              <w:spacing w:before="9"/>
              <w:rPr>
                <w:sz w:val="19"/>
              </w:rPr>
            </w:pPr>
          </w:p>
          <w:p w14:paraId="5ED4FA3C" w14:textId="77777777" w:rsidR="009948F1" w:rsidRDefault="00BC0563">
            <w:pPr>
              <w:pStyle w:val="TableParagraph"/>
              <w:ind w:left="30"/>
              <w:rPr>
                <w:sz w:val="15"/>
              </w:rPr>
            </w:pPr>
            <w:r>
              <w:rPr>
                <w:color w:val="231F20"/>
                <w:w w:val="95"/>
                <w:sz w:val="15"/>
              </w:rPr>
              <w:t>Costed in OHT</w:t>
            </w:r>
          </w:p>
        </w:tc>
      </w:tr>
      <w:tr w:rsidR="009948F1" w14:paraId="7BAFDFB8" w14:textId="77777777">
        <w:trPr>
          <w:trHeight w:val="625"/>
        </w:trPr>
        <w:tc>
          <w:tcPr>
            <w:tcW w:w="473" w:type="dxa"/>
            <w:vMerge/>
            <w:tcBorders>
              <w:top w:val="nil"/>
              <w:bottom w:val="single" w:sz="6" w:space="0" w:color="231F20"/>
              <w:right w:val="single" w:sz="6" w:space="0" w:color="231F20"/>
            </w:tcBorders>
          </w:tcPr>
          <w:p w14:paraId="6CB96AFB" w14:textId="77777777" w:rsidR="009948F1" w:rsidRDefault="009948F1">
            <w:pPr>
              <w:rPr>
                <w:sz w:val="2"/>
                <w:szCs w:val="2"/>
              </w:rPr>
            </w:pPr>
          </w:p>
        </w:tc>
        <w:tc>
          <w:tcPr>
            <w:tcW w:w="554" w:type="dxa"/>
            <w:tcBorders>
              <w:top w:val="single" w:sz="6" w:space="0" w:color="231F20"/>
              <w:left w:val="single" w:sz="6" w:space="0" w:color="231F20"/>
              <w:bottom w:val="single" w:sz="6" w:space="0" w:color="231F20"/>
              <w:right w:val="single" w:sz="6" w:space="0" w:color="231F20"/>
            </w:tcBorders>
          </w:tcPr>
          <w:p w14:paraId="204A14C0" w14:textId="77777777" w:rsidR="009948F1" w:rsidRDefault="009948F1">
            <w:pPr>
              <w:pStyle w:val="TableParagraph"/>
              <w:spacing w:before="9"/>
              <w:rPr>
                <w:sz w:val="19"/>
              </w:rPr>
            </w:pPr>
          </w:p>
          <w:p w14:paraId="550ABD13" w14:textId="77777777" w:rsidR="009948F1" w:rsidRDefault="00BC0563">
            <w:pPr>
              <w:pStyle w:val="TableParagraph"/>
              <w:ind w:right="33"/>
              <w:jc w:val="right"/>
              <w:rPr>
                <w:sz w:val="15"/>
              </w:rPr>
            </w:pPr>
            <w:r>
              <w:rPr>
                <w:color w:val="231F20"/>
                <w:w w:val="80"/>
                <w:sz w:val="15"/>
              </w:rPr>
              <w:t>10.1.9.c</w:t>
            </w:r>
          </w:p>
        </w:tc>
        <w:tc>
          <w:tcPr>
            <w:tcW w:w="5158" w:type="dxa"/>
            <w:gridSpan w:val="2"/>
            <w:tcBorders>
              <w:top w:val="single" w:sz="6" w:space="0" w:color="231F20"/>
              <w:left w:val="single" w:sz="6" w:space="0" w:color="231F20"/>
              <w:bottom w:val="single" w:sz="6" w:space="0" w:color="231F20"/>
              <w:right w:val="single" w:sz="6" w:space="0" w:color="231F20"/>
            </w:tcBorders>
          </w:tcPr>
          <w:p w14:paraId="18046C01" w14:textId="77777777" w:rsidR="009948F1" w:rsidRDefault="009948F1">
            <w:pPr>
              <w:pStyle w:val="TableParagraph"/>
              <w:spacing w:before="11"/>
              <w:rPr>
                <w:sz w:val="10"/>
              </w:rPr>
            </w:pPr>
          </w:p>
          <w:p w14:paraId="7CB01DA1" w14:textId="77777777" w:rsidR="009948F1" w:rsidRDefault="00BC0563">
            <w:pPr>
              <w:pStyle w:val="TableParagraph"/>
              <w:spacing w:line="264" w:lineRule="auto"/>
              <w:ind w:left="27" w:right="212"/>
              <w:rPr>
                <w:sz w:val="15"/>
              </w:rPr>
            </w:pPr>
            <w:r>
              <w:rPr>
                <w:color w:val="231F20"/>
                <w:w w:val="85"/>
                <w:sz w:val="15"/>
              </w:rPr>
              <w:t xml:space="preserve">Establish standard diagnostic centers at all senatorial zones of the State that are WHO </w:t>
            </w:r>
            <w:r>
              <w:rPr>
                <w:color w:val="231F20"/>
                <w:w w:val="95"/>
                <w:sz w:val="15"/>
              </w:rPr>
              <w:t>certified</w:t>
            </w:r>
          </w:p>
        </w:tc>
        <w:tc>
          <w:tcPr>
            <w:tcW w:w="1503" w:type="dxa"/>
            <w:tcBorders>
              <w:top w:val="single" w:sz="6" w:space="0" w:color="231F20"/>
              <w:left w:val="single" w:sz="6" w:space="0" w:color="231F20"/>
              <w:bottom w:val="single" w:sz="6" w:space="0" w:color="231F20"/>
              <w:right w:val="single" w:sz="6" w:space="0" w:color="231F20"/>
            </w:tcBorders>
          </w:tcPr>
          <w:p w14:paraId="0B6D9D55" w14:textId="77777777" w:rsidR="009948F1" w:rsidRDefault="009948F1">
            <w:pPr>
              <w:pStyle w:val="TableParagraph"/>
              <w:spacing w:before="9"/>
              <w:rPr>
                <w:sz w:val="19"/>
              </w:rPr>
            </w:pPr>
          </w:p>
          <w:p w14:paraId="07397277" w14:textId="77777777" w:rsidR="009948F1" w:rsidRDefault="00BC0563">
            <w:pPr>
              <w:pStyle w:val="TableParagraph"/>
              <w:ind w:left="29"/>
              <w:rPr>
                <w:sz w:val="15"/>
              </w:rPr>
            </w:pPr>
            <w:r>
              <w:rPr>
                <w:color w:val="231F20"/>
                <w:w w:val="95"/>
                <w:sz w:val="15"/>
              </w:rPr>
              <w:t>Lack of funds</w:t>
            </w:r>
          </w:p>
        </w:tc>
        <w:tc>
          <w:tcPr>
            <w:tcW w:w="1585" w:type="dxa"/>
            <w:tcBorders>
              <w:top w:val="single" w:sz="6" w:space="0" w:color="231F20"/>
              <w:left w:val="single" w:sz="6" w:space="0" w:color="231F20"/>
              <w:bottom w:val="single" w:sz="6" w:space="0" w:color="231F20"/>
            </w:tcBorders>
          </w:tcPr>
          <w:p w14:paraId="41E8F5A1" w14:textId="77777777" w:rsidR="009948F1" w:rsidRDefault="009948F1">
            <w:pPr>
              <w:pStyle w:val="TableParagraph"/>
              <w:spacing w:before="5"/>
              <w:rPr>
                <w:sz w:val="11"/>
              </w:rPr>
            </w:pPr>
          </w:p>
          <w:p w14:paraId="2123F662" w14:textId="77777777" w:rsidR="009948F1" w:rsidRDefault="00BC0563">
            <w:pPr>
              <w:pStyle w:val="TableParagraph"/>
              <w:spacing w:before="1" w:line="264" w:lineRule="auto"/>
              <w:ind w:left="30"/>
              <w:rPr>
                <w:sz w:val="15"/>
              </w:rPr>
            </w:pPr>
            <w:r>
              <w:rPr>
                <w:color w:val="231F20"/>
                <w:w w:val="85"/>
                <w:sz w:val="15"/>
              </w:rPr>
              <w:t>Establish standard diagnostic centers</w:t>
            </w:r>
          </w:p>
        </w:tc>
      </w:tr>
    </w:tbl>
    <w:p w14:paraId="2526990C" w14:textId="77777777" w:rsidR="009948F1" w:rsidRDefault="009948F1">
      <w:pPr>
        <w:spacing w:line="264" w:lineRule="auto"/>
        <w:rPr>
          <w:sz w:val="15"/>
        </w:rPr>
        <w:sectPr w:rsidR="009948F1">
          <w:pgSz w:w="11910" w:h="16840"/>
          <w:pgMar w:top="1260" w:right="1080" w:bottom="1340" w:left="1120" w:header="0" w:footer="1155" w:gutter="0"/>
          <w:cols w:space="720"/>
        </w:sectPr>
      </w:pPr>
    </w:p>
    <w:p w14:paraId="54CA16EF" w14:textId="77777777" w:rsidR="009948F1" w:rsidRDefault="00244DD0">
      <w:pPr>
        <w:pStyle w:val="BodyText"/>
        <w:rPr>
          <w:sz w:val="20"/>
        </w:rPr>
      </w:pPr>
      <w:r>
        <w:pict w14:anchorId="7BC00C07">
          <v:shape id="_x0000_s2052" type="#_x0000_t202" style="position:absolute;margin-left:65pt;margin-top:63.3pt;width:465.65pt;height:678.7pt;z-index:15750144;mso-position-horizontal-relative:page;mso-position-vertical-relative:page" filled="f" stroked="f">
            <v:textbox inset="0,0,0,0">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7"/>
                    <w:gridCol w:w="401"/>
                    <w:gridCol w:w="449"/>
                    <w:gridCol w:w="519"/>
                    <w:gridCol w:w="2483"/>
                    <w:gridCol w:w="2357"/>
                    <w:gridCol w:w="1410"/>
                    <w:gridCol w:w="1487"/>
                  </w:tblGrid>
                  <w:tr w:rsidR="00080B77" w14:paraId="1990F76D" w14:textId="77777777">
                    <w:trPr>
                      <w:trHeight w:val="265"/>
                    </w:trPr>
                    <w:tc>
                      <w:tcPr>
                        <w:tcW w:w="9283" w:type="dxa"/>
                        <w:gridSpan w:val="8"/>
                        <w:shd w:val="clear" w:color="auto" w:fill="A6CE39"/>
                      </w:tcPr>
                      <w:p w14:paraId="24A2EDFE" w14:textId="77777777" w:rsidR="00080B77" w:rsidRDefault="00080B77">
                        <w:pPr>
                          <w:pStyle w:val="TableParagraph"/>
                          <w:spacing w:before="38"/>
                          <w:ind w:left="2507" w:right="2471"/>
                          <w:jc w:val="center"/>
                          <w:rPr>
                            <w:b/>
                            <w:sz w:val="16"/>
                          </w:rPr>
                        </w:pPr>
                        <w:r>
                          <w:rPr>
                            <w:b/>
                            <w:color w:val="231F20"/>
                            <w:w w:val="95"/>
                            <w:sz w:val="16"/>
                          </w:rPr>
                          <w:t>11.Medicines, Vaccines, Health Technologies and Supplies</w:t>
                        </w:r>
                      </w:p>
                    </w:tc>
                  </w:tr>
                  <w:tr w:rsidR="00080B77" w14:paraId="28B6E0B4" w14:textId="77777777">
                    <w:trPr>
                      <w:trHeight w:val="388"/>
                    </w:trPr>
                    <w:tc>
                      <w:tcPr>
                        <w:tcW w:w="9283" w:type="dxa"/>
                        <w:gridSpan w:val="8"/>
                        <w:shd w:val="clear" w:color="auto" w:fill="F6ADCD"/>
                      </w:tcPr>
                      <w:p w14:paraId="6970D561" w14:textId="77777777" w:rsidR="00080B77" w:rsidRDefault="00080B77">
                        <w:pPr>
                          <w:pStyle w:val="TableParagraph"/>
                          <w:spacing w:before="109"/>
                          <w:ind w:left="403"/>
                          <w:rPr>
                            <w:b/>
                            <w:sz w:val="14"/>
                          </w:rPr>
                        </w:pPr>
                        <w:r>
                          <w:rPr>
                            <w:b/>
                            <w:color w:val="231F20"/>
                            <w:spacing w:val="-3"/>
                            <w:w w:val="90"/>
                            <w:sz w:val="14"/>
                          </w:rPr>
                          <w:t>11.</w:t>
                        </w:r>
                        <w:r>
                          <w:rPr>
                            <w:b/>
                            <w:color w:val="231F20"/>
                            <w:spacing w:val="-21"/>
                            <w:w w:val="90"/>
                            <w:sz w:val="14"/>
                          </w:rPr>
                          <w:t xml:space="preserve"> </w:t>
                        </w:r>
                        <w:r>
                          <w:rPr>
                            <w:b/>
                            <w:color w:val="231F20"/>
                            <w:spacing w:val="-5"/>
                            <w:w w:val="90"/>
                            <w:sz w:val="14"/>
                          </w:rPr>
                          <w:t>To</w:t>
                        </w:r>
                        <w:r>
                          <w:rPr>
                            <w:b/>
                            <w:color w:val="231F20"/>
                            <w:spacing w:val="-20"/>
                            <w:w w:val="90"/>
                            <w:sz w:val="14"/>
                          </w:rPr>
                          <w:t xml:space="preserve"> </w:t>
                        </w:r>
                        <w:r>
                          <w:rPr>
                            <w:b/>
                            <w:color w:val="231F20"/>
                            <w:w w:val="90"/>
                            <w:sz w:val="14"/>
                          </w:rPr>
                          <w:t>ensure</w:t>
                        </w:r>
                        <w:r>
                          <w:rPr>
                            <w:b/>
                            <w:color w:val="231F20"/>
                            <w:spacing w:val="-4"/>
                            <w:w w:val="90"/>
                            <w:sz w:val="14"/>
                          </w:rPr>
                          <w:t xml:space="preserve"> </w:t>
                        </w:r>
                        <w:r>
                          <w:rPr>
                            <w:b/>
                            <w:color w:val="231F20"/>
                            <w:w w:val="90"/>
                            <w:sz w:val="14"/>
                          </w:rPr>
                          <w:t>that</w:t>
                        </w:r>
                        <w:r>
                          <w:rPr>
                            <w:b/>
                            <w:color w:val="231F20"/>
                            <w:spacing w:val="-21"/>
                            <w:w w:val="90"/>
                            <w:sz w:val="14"/>
                          </w:rPr>
                          <w:t xml:space="preserve"> </w:t>
                        </w:r>
                        <w:r>
                          <w:rPr>
                            <w:b/>
                            <w:color w:val="231F20"/>
                            <w:w w:val="90"/>
                            <w:sz w:val="14"/>
                          </w:rPr>
                          <w:t>quality</w:t>
                        </w:r>
                        <w:r>
                          <w:rPr>
                            <w:b/>
                            <w:color w:val="231F20"/>
                            <w:spacing w:val="-20"/>
                            <w:w w:val="90"/>
                            <w:sz w:val="14"/>
                          </w:rPr>
                          <w:t xml:space="preserve"> </w:t>
                        </w:r>
                        <w:r>
                          <w:rPr>
                            <w:b/>
                            <w:color w:val="231F20"/>
                            <w:w w:val="90"/>
                            <w:sz w:val="14"/>
                          </w:rPr>
                          <w:t>medicines,</w:t>
                        </w:r>
                        <w:r>
                          <w:rPr>
                            <w:b/>
                            <w:color w:val="231F20"/>
                            <w:spacing w:val="-20"/>
                            <w:w w:val="90"/>
                            <w:sz w:val="14"/>
                          </w:rPr>
                          <w:t xml:space="preserve"> </w:t>
                        </w:r>
                        <w:r>
                          <w:rPr>
                            <w:b/>
                            <w:color w:val="231F20"/>
                            <w:w w:val="90"/>
                            <w:sz w:val="14"/>
                          </w:rPr>
                          <w:t>vaccines,</w:t>
                        </w:r>
                        <w:r>
                          <w:rPr>
                            <w:b/>
                            <w:color w:val="231F20"/>
                            <w:spacing w:val="-20"/>
                            <w:w w:val="90"/>
                            <w:sz w:val="14"/>
                          </w:rPr>
                          <w:t xml:space="preserve"> </w:t>
                        </w:r>
                        <w:r>
                          <w:rPr>
                            <w:b/>
                            <w:color w:val="231F20"/>
                            <w:w w:val="90"/>
                            <w:sz w:val="14"/>
                          </w:rPr>
                          <w:t>and</w:t>
                        </w:r>
                        <w:r>
                          <w:rPr>
                            <w:b/>
                            <w:color w:val="231F20"/>
                            <w:spacing w:val="-20"/>
                            <w:w w:val="90"/>
                            <w:sz w:val="14"/>
                          </w:rPr>
                          <w:t xml:space="preserve"> </w:t>
                        </w:r>
                        <w:r>
                          <w:rPr>
                            <w:b/>
                            <w:color w:val="231F20"/>
                            <w:w w:val="90"/>
                            <w:sz w:val="14"/>
                          </w:rPr>
                          <w:t>other</w:t>
                        </w:r>
                        <w:r>
                          <w:rPr>
                            <w:b/>
                            <w:color w:val="231F20"/>
                            <w:spacing w:val="-20"/>
                            <w:w w:val="90"/>
                            <w:sz w:val="14"/>
                          </w:rPr>
                          <w:t xml:space="preserve"> </w:t>
                        </w:r>
                        <w:r>
                          <w:rPr>
                            <w:b/>
                            <w:color w:val="231F20"/>
                            <w:w w:val="90"/>
                            <w:sz w:val="14"/>
                          </w:rPr>
                          <w:t>health</w:t>
                        </w:r>
                        <w:r>
                          <w:rPr>
                            <w:b/>
                            <w:color w:val="231F20"/>
                            <w:spacing w:val="-20"/>
                            <w:w w:val="90"/>
                            <w:sz w:val="14"/>
                          </w:rPr>
                          <w:t xml:space="preserve"> </w:t>
                        </w:r>
                        <w:r>
                          <w:rPr>
                            <w:b/>
                            <w:color w:val="231F20"/>
                            <w:w w:val="90"/>
                            <w:sz w:val="14"/>
                          </w:rPr>
                          <w:t>commodities</w:t>
                        </w:r>
                        <w:r>
                          <w:rPr>
                            <w:b/>
                            <w:color w:val="231F20"/>
                            <w:spacing w:val="-20"/>
                            <w:w w:val="90"/>
                            <w:sz w:val="14"/>
                          </w:rPr>
                          <w:t xml:space="preserve"> </w:t>
                        </w:r>
                        <w:r>
                          <w:rPr>
                            <w:b/>
                            <w:color w:val="231F20"/>
                            <w:w w:val="90"/>
                            <w:sz w:val="14"/>
                          </w:rPr>
                          <w:t>and</w:t>
                        </w:r>
                        <w:r>
                          <w:rPr>
                            <w:b/>
                            <w:color w:val="231F20"/>
                            <w:spacing w:val="-20"/>
                            <w:w w:val="90"/>
                            <w:sz w:val="14"/>
                          </w:rPr>
                          <w:t xml:space="preserve"> </w:t>
                        </w:r>
                        <w:r>
                          <w:rPr>
                            <w:b/>
                            <w:color w:val="231F20"/>
                            <w:w w:val="90"/>
                            <w:sz w:val="14"/>
                          </w:rPr>
                          <w:t>technologies</w:t>
                        </w:r>
                        <w:r>
                          <w:rPr>
                            <w:b/>
                            <w:color w:val="231F20"/>
                            <w:spacing w:val="-5"/>
                            <w:w w:val="90"/>
                            <w:sz w:val="14"/>
                          </w:rPr>
                          <w:t xml:space="preserve"> </w:t>
                        </w:r>
                        <w:r>
                          <w:rPr>
                            <w:b/>
                            <w:color w:val="231F20"/>
                            <w:w w:val="90"/>
                            <w:sz w:val="14"/>
                          </w:rPr>
                          <w:t>are</w:t>
                        </w:r>
                        <w:r>
                          <w:rPr>
                            <w:b/>
                            <w:color w:val="231F20"/>
                            <w:spacing w:val="-20"/>
                            <w:w w:val="90"/>
                            <w:sz w:val="14"/>
                          </w:rPr>
                          <w:t xml:space="preserve"> </w:t>
                        </w:r>
                        <w:r>
                          <w:rPr>
                            <w:b/>
                            <w:color w:val="231F20"/>
                            <w:w w:val="90"/>
                            <w:sz w:val="14"/>
                          </w:rPr>
                          <w:t>available,</w:t>
                        </w:r>
                        <w:r>
                          <w:rPr>
                            <w:b/>
                            <w:color w:val="231F20"/>
                            <w:spacing w:val="-20"/>
                            <w:w w:val="90"/>
                            <w:sz w:val="14"/>
                          </w:rPr>
                          <w:t xml:space="preserve"> </w:t>
                        </w:r>
                        <w:r>
                          <w:rPr>
                            <w:b/>
                            <w:color w:val="231F20"/>
                            <w:w w:val="90"/>
                            <w:sz w:val="14"/>
                          </w:rPr>
                          <w:t>affordable</w:t>
                        </w:r>
                        <w:r>
                          <w:rPr>
                            <w:b/>
                            <w:color w:val="231F20"/>
                            <w:spacing w:val="-21"/>
                            <w:w w:val="90"/>
                            <w:sz w:val="14"/>
                          </w:rPr>
                          <w:t xml:space="preserve"> </w:t>
                        </w:r>
                        <w:r>
                          <w:rPr>
                            <w:b/>
                            <w:color w:val="231F20"/>
                            <w:w w:val="90"/>
                            <w:sz w:val="14"/>
                          </w:rPr>
                          <w:t>and</w:t>
                        </w:r>
                        <w:r>
                          <w:rPr>
                            <w:b/>
                            <w:color w:val="231F20"/>
                            <w:spacing w:val="-20"/>
                            <w:w w:val="90"/>
                            <w:sz w:val="14"/>
                          </w:rPr>
                          <w:t xml:space="preserve"> </w:t>
                        </w:r>
                        <w:r>
                          <w:rPr>
                            <w:b/>
                            <w:color w:val="231F20"/>
                            <w:w w:val="90"/>
                            <w:sz w:val="14"/>
                          </w:rPr>
                          <w:t>accessible</w:t>
                        </w:r>
                        <w:r>
                          <w:rPr>
                            <w:b/>
                            <w:color w:val="231F20"/>
                            <w:spacing w:val="-20"/>
                            <w:w w:val="90"/>
                            <w:sz w:val="14"/>
                          </w:rPr>
                          <w:t xml:space="preserve"> </w:t>
                        </w:r>
                        <w:r>
                          <w:rPr>
                            <w:b/>
                            <w:color w:val="231F20"/>
                            <w:w w:val="90"/>
                            <w:sz w:val="14"/>
                          </w:rPr>
                          <w:t>to</w:t>
                        </w:r>
                        <w:r>
                          <w:rPr>
                            <w:b/>
                            <w:color w:val="231F20"/>
                            <w:spacing w:val="-20"/>
                            <w:w w:val="90"/>
                            <w:sz w:val="14"/>
                          </w:rPr>
                          <w:t xml:space="preserve"> </w:t>
                        </w:r>
                        <w:r>
                          <w:rPr>
                            <w:b/>
                            <w:color w:val="231F20"/>
                            <w:w w:val="90"/>
                            <w:sz w:val="14"/>
                          </w:rPr>
                          <w:t>all</w:t>
                        </w:r>
                        <w:r>
                          <w:rPr>
                            <w:b/>
                            <w:color w:val="231F20"/>
                            <w:spacing w:val="-20"/>
                            <w:w w:val="90"/>
                            <w:sz w:val="14"/>
                          </w:rPr>
                          <w:t xml:space="preserve"> </w:t>
                        </w:r>
                        <w:r>
                          <w:rPr>
                            <w:b/>
                            <w:color w:val="231F20"/>
                            <w:w w:val="90"/>
                            <w:sz w:val="14"/>
                          </w:rPr>
                          <w:t>Nigerians</w:t>
                        </w:r>
                      </w:p>
                    </w:tc>
                  </w:tr>
                  <w:tr w:rsidR="00080B77" w14:paraId="5D6D1813" w14:textId="77777777">
                    <w:trPr>
                      <w:trHeight w:val="433"/>
                    </w:trPr>
                    <w:tc>
                      <w:tcPr>
                        <w:tcW w:w="177" w:type="dxa"/>
                        <w:tcBorders>
                          <w:bottom w:val="nil"/>
                        </w:tcBorders>
                      </w:tcPr>
                      <w:p w14:paraId="0AD7138A" w14:textId="77777777" w:rsidR="00080B77" w:rsidRDefault="00080B77">
                        <w:pPr>
                          <w:pStyle w:val="TableParagraph"/>
                          <w:rPr>
                            <w:rFonts w:ascii="Times New Roman"/>
                            <w:sz w:val="10"/>
                          </w:rPr>
                        </w:pPr>
                      </w:p>
                    </w:tc>
                    <w:tc>
                      <w:tcPr>
                        <w:tcW w:w="401" w:type="dxa"/>
                        <w:shd w:val="clear" w:color="auto" w:fill="FFF200"/>
                      </w:tcPr>
                      <w:p w14:paraId="781546CF" w14:textId="77777777" w:rsidR="00080B77" w:rsidRDefault="00080B77">
                        <w:pPr>
                          <w:pStyle w:val="TableParagraph"/>
                          <w:spacing w:before="10"/>
                          <w:rPr>
                            <w:sz w:val="11"/>
                          </w:rPr>
                        </w:pPr>
                      </w:p>
                      <w:p w14:paraId="634A5D72" w14:textId="77777777" w:rsidR="00080B77" w:rsidRDefault="00080B77">
                        <w:pPr>
                          <w:pStyle w:val="TableParagraph"/>
                          <w:spacing w:before="1"/>
                          <w:ind w:left="120"/>
                          <w:rPr>
                            <w:b/>
                            <w:sz w:val="14"/>
                          </w:rPr>
                        </w:pPr>
                        <w:r>
                          <w:rPr>
                            <w:b/>
                            <w:color w:val="231F20"/>
                            <w:w w:val="90"/>
                            <w:sz w:val="14"/>
                          </w:rPr>
                          <w:t>11.1</w:t>
                        </w:r>
                      </w:p>
                    </w:tc>
                    <w:tc>
                      <w:tcPr>
                        <w:tcW w:w="5808" w:type="dxa"/>
                        <w:gridSpan w:val="4"/>
                        <w:tcBorders>
                          <w:right w:val="single" w:sz="8" w:space="0" w:color="231F20"/>
                        </w:tcBorders>
                        <w:shd w:val="clear" w:color="auto" w:fill="FFF200"/>
                      </w:tcPr>
                      <w:p w14:paraId="36EFCE22" w14:textId="77777777" w:rsidR="00080B77" w:rsidRDefault="00080B77">
                        <w:pPr>
                          <w:pStyle w:val="TableParagraph"/>
                          <w:spacing w:before="44" w:line="261" w:lineRule="auto"/>
                          <w:ind w:left="22" w:right="207" w:firstLine="32"/>
                          <w:rPr>
                            <w:b/>
                            <w:sz w:val="14"/>
                          </w:rPr>
                        </w:pPr>
                        <w:r>
                          <w:rPr>
                            <w:b/>
                            <w:color w:val="231F20"/>
                            <w:w w:val="85"/>
                            <w:sz w:val="14"/>
                          </w:rPr>
                          <w:t xml:space="preserve">Strengthen the availability and use of affordable, accessible and quality medicines, vaccines, and </w:t>
                        </w:r>
                        <w:r>
                          <w:rPr>
                            <w:b/>
                            <w:color w:val="231F20"/>
                            <w:w w:val="95"/>
                            <w:sz w:val="14"/>
                          </w:rPr>
                          <w:t>other health commodities and technologies at all levels.</w:t>
                        </w:r>
                      </w:p>
                    </w:tc>
                    <w:tc>
                      <w:tcPr>
                        <w:tcW w:w="1410" w:type="dxa"/>
                        <w:tcBorders>
                          <w:left w:val="single" w:sz="8" w:space="0" w:color="231F20"/>
                          <w:right w:val="single" w:sz="8" w:space="0" w:color="231F20"/>
                        </w:tcBorders>
                        <w:shd w:val="clear" w:color="auto" w:fill="FFF200"/>
                      </w:tcPr>
                      <w:p w14:paraId="28C3C186" w14:textId="77777777" w:rsidR="00080B77" w:rsidRDefault="00080B77">
                        <w:pPr>
                          <w:pStyle w:val="TableParagraph"/>
                          <w:rPr>
                            <w:rFonts w:ascii="Times New Roman"/>
                            <w:sz w:val="10"/>
                          </w:rPr>
                        </w:pPr>
                      </w:p>
                    </w:tc>
                    <w:tc>
                      <w:tcPr>
                        <w:tcW w:w="1487" w:type="dxa"/>
                        <w:tcBorders>
                          <w:left w:val="single" w:sz="8" w:space="0" w:color="231F20"/>
                        </w:tcBorders>
                        <w:shd w:val="clear" w:color="auto" w:fill="FFF200"/>
                      </w:tcPr>
                      <w:p w14:paraId="78E3FCFB" w14:textId="77777777" w:rsidR="00080B77" w:rsidRDefault="00080B77">
                        <w:pPr>
                          <w:pStyle w:val="TableParagraph"/>
                          <w:rPr>
                            <w:rFonts w:ascii="Times New Roman"/>
                            <w:sz w:val="10"/>
                          </w:rPr>
                        </w:pPr>
                      </w:p>
                    </w:tc>
                  </w:tr>
                  <w:tr w:rsidR="00080B77" w14:paraId="1CBF2C66" w14:textId="77777777">
                    <w:trPr>
                      <w:trHeight w:val="950"/>
                    </w:trPr>
                    <w:tc>
                      <w:tcPr>
                        <w:tcW w:w="578" w:type="dxa"/>
                        <w:gridSpan w:val="2"/>
                        <w:tcBorders>
                          <w:top w:val="nil"/>
                          <w:bottom w:val="nil"/>
                        </w:tcBorders>
                      </w:tcPr>
                      <w:p w14:paraId="3D418A83" w14:textId="77777777" w:rsidR="00080B77" w:rsidRDefault="00080B77">
                        <w:pPr>
                          <w:pStyle w:val="TableParagraph"/>
                          <w:rPr>
                            <w:rFonts w:ascii="Times New Roman"/>
                            <w:sz w:val="10"/>
                          </w:rPr>
                        </w:pPr>
                      </w:p>
                    </w:tc>
                    <w:tc>
                      <w:tcPr>
                        <w:tcW w:w="449" w:type="dxa"/>
                        <w:shd w:val="clear" w:color="auto" w:fill="CCE7D3"/>
                      </w:tcPr>
                      <w:p w14:paraId="166B95DD" w14:textId="77777777" w:rsidR="00080B77" w:rsidRDefault="00080B77">
                        <w:pPr>
                          <w:pStyle w:val="TableParagraph"/>
                          <w:rPr>
                            <w:sz w:val="14"/>
                          </w:rPr>
                        </w:pPr>
                      </w:p>
                      <w:p w14:paraId="386103B2" w14:textId="77777777" w:rsidR="00080B77" w:rsidRDefault="00080B77">
                        <w:pPr>
                          <w:pStyle w:val="TableParagraph"/>
                          <w:spacing w:before="3"/>
                          <w:rPr>
                            <w:sz w:val="20"/>
                          </w:rPr>
                        </w:pPr>
                      </w:p>
                      <w:p w14:paraId="7CD79748" w14:textId="77777777" w:rsidR="00080B77" w:rsidRDefault="00080B77">
                        <w:pPr>
                          <w:pStyle w:val="TableParagraph"/>
                          <w:ind w:left="55"/>
                          <w:rPr>
                            <w:sz w:val="14"/>
                          </w:rPr>
                        </w:pPr>
                        <w:r>
                          <w:rPr>
                            <w:color w:val="231F20"/>
                            <w:w w:val="90"/>
                            <w:sz w:val="14"/>
                          </w:rPr>
                          <w:t>11.1.1</w:t>
                        </w:r>
                      </w:p>
                    </w:tc>
                    <w:tc>
                      <w:tcPr>
                        <w:tcW w:w="3002" w:type="dxa"/>
                        <w:gridSpan w:val="2"/>
                        <w:shd w:val="clear" w:color="auto" w:fill="CCE7D3"/>
                      </w:tcPr>
                      <w:p w14:paraId="75D39A44" w14:textId="77777777" w:rsidR="00080B77" w:rsidRDefault="00080B77">
                        <w:pPr>
                          <w:pStyle w:val="TableParagraph"/>
                          <w:spacing w:before="5"/>
                          <w:rPr>
                            <w:sz w:val="11"/>
                          </w:rPr>
                        </w:pPr>
                      </w:p>
                      <w:p w14:paraId="51D21F4F" w14:textId="77777777" w:rsidR="00080B77" w:rsidRDefault="00080B77">
                        <w:pPr>
                          <w:pStyle w:val="TableParagraph"/>
                          <w:spacing w:line="254" w:lineRule="auto"/>
                          <w:ind w:left="23" w:right="7" w:firstLine="32"/>
                          <w:rPr>
                            <w:sz w:val="14"/>
                          </w:rPr>
                        </w:pPr>
                        <w:r>
                          <w:rPr>
                            <w:color w:val="231F20"/>
                            <w:w w:val="90"/>
                            <w:sz w:val="14"/>
                          </w:rPr>
                          <w:t xml:space="preserve">Strengthen the development and implementation of </w:t>
                        </w:r>
                        <w:r>
                          <w:rPr>
                            <w:color w:val="231F20"/>
                            <w:w w:val="85"/>
                            <w:sz w:val="14"/>
                          </w:rPr>
                          <w:t>legal,</w:t>
                        </w:r>
                        <w:r>
                          <w:rPr>
                            <w:color w:val="231F20"/>
                            <w:spacing w:val="-7"/>
                            <w:w w:val="85"/>
                            <w:sz w:val="14"/>
                          </w:rPr>
                          <w:t xml:space="preserve"> </w:t>
                        </w:r>
                        <w:r>
                          <w:rPr>
                            <w:color w:val="231F20"/>
                            <w:w w:val="85"/>
                            <w:sz w:val="14"/>
                          </w:rPr>
                          <w:t>regulatory</w:t>
                        </w:r>
                        <w:r>
                          <w:rPr>
                            <w:color w:val="231F20"/>
                            <w:spacing w:val="-7"/>
                            <w:w w:val="85"/>
                            <w:sz w:val="14"/>
                          </w:rPr>
                          <w:t xml:space="preserve"> </w:t>
                        </w:r>
                        <w:r>
                          <w:rPr>
                            <w:color w:val="231F20"/>
                            <w:w w:val="85"/>
                            <w:sz w:val="14"/>
                          </w:rPr>
                          <w:t>framework,</w:t>
                        </w:r>
                        <w:r>
                          <w:rPr>
                            <w:color w:val="231F20"/>
                            <w:spacing w:val="-6"/>
                            <w:w w:val="85"/>
                            <w:sz w:val="14"/>
                          </w:rPr>
                          <w:t xml:space="preserve"> </w:t>
                        </w:r>
                        <w:r>
                          <w:rPr>
                            <w:color w:val="231F20"/>
                            <w:w w:val="85"/>
                            <w:sz w:val="14"/>
                          </w:rPr>
                          <w:t>policies</w:t>
                        </w:r>
                        <w:r>
                          <w:rPr>
                            <w:color w:val="231F20"/>
                            <w:spacing w:val="-7"/>
                            <w:w w:val="85"/>
                            <w:sz w:val="14"/>
                          </w:rPr>
                          <w:t xml:space="preserve"> </w:t>
                        </w:r>
                        <w:r>
                          <w:rPr>
                            <w:color w:val="231F20"/>
                            <w:w w:val="85"/>
                            <w:sz w:val="14"/>
                          </w:rPr>
                          <w:t>and</w:t>
                        </w:r>
                        <w:r>
                          <w:rPr>
                            <w:color w:val="231F20"/>
                            <w:spacing w:val="-7"/>
                            <w:w w:val="85"/>
                            <w:sz w:val="14"/>
                          </w:rPr>
                          <w:t xml:space="preserve"> </w:t>
                        </w:r>
                        <w:r>
                          <w:rPr>
                            <w:color w:val="231F20"/>
                            <w:w w:val="85"/>
                            <w:sz w:val="14"/>
                          </w:rPr>
                          <w:t>plans</w:t>
                        </w:r>
                        <w:r>
                          <w:rPr>
                            <w:color w:val="231F20"/>
                            <w:spacing w:val="-6"/>
                            <w:w w:val="85"/>
                            <w:sz w:val="14"/>
                          </w:rPr>
                          <w:t xml:space="preserve"> </w:t>
                        </w:r>
                        <w:r>
                          <w:rPr>
                            <w:color w:val="231F20"/>
                            <w:w w:val="85"/>
                            <w:sz w:val="14"/>
                          </w:rPr>
                          <w:t>for</w:t>
                        </w:r>
                        <w:r>
                          <w:rPr>
                            <w:color w:val="231F20"/>
                            <w:spacing w:val="-7"/>
                            <w:w w:val="85"/>
                            <w:sz w:val="14"/>
                          </w:rPr>
                          <w:t xml:space="preserve"> </w:t>
                        </w:r>
                        <w:r>
                          <w:rPr>
                            <w:color w:val="231F20"/>
                            <w:w w:val="85"/>
                            <w:sz w:val="14"/>
                          </w:rPr>
                          <w:t xml:space="preserve">drugs, </w:t>
                        </w:r>
                        <w:r>
                          <w:rPr>
                            <w:color w:val="231F20"/>
                            <w:w w:val="90"/>
                            <w:sz w:val="14"/>
                          </w:rPr>
                          <w:t>vaccines</w:t>
                        </w:r>
                        <w:r>
                          <w:rPr>
                            <w:color w:val="231F20"/>
                            <w:spacing w:val="-18"/>
                            <w:w w:val="90"/>
                            <w:sz w:val="14"/>
                          </w:rPr>
                          <w:t xml:space="preserve"> </w:t>
                        </w:r>
                        <w:r>
                          <w:rPr>
                            <w:color w:val="231F20"/>
                            <w:w w:val="90"/>
                            <w:sz w:val="14"/>
                          </w:rPr>
                          <w:t>,</w:t>
                        </w:r>
                        <w:r>
                          <w:rPr>
                            <w:color w:val="231F20"/>
                            <w:spacing w:val="-18"/>
                            <w:w w:val="90"/>
                            <w:sz w:val="14"/>
                          </w:rPr>
                          <w:t xml:space="preserve"> </w:t>
                        </w:r>
                        <w:r>
                          <w:rPr>
                            <w:color w:val="231F20"/>
                            <w:w w:val="90"/>
                            <w:sz w:val="14"/>
                          </w:rPr>
                          <w:t>commodities</w:t>
                        </w:r>
                        <w:r>
                          <w:rPr>
                            <w:color w:val="231F20"/>
                            <w:spacing w:val="-18"/>
                            <w:w w:val="90"/>
                            <w:sz w:val="14"/>
                          </w:rPr>
                          <w:t xml:space="preserve"> </w:t>
                        </w:r>
                        <w:r>
                          <w:rPr>
                            <w:color w:val="231F20"/>
                            <w:w w:val="90"/>
                            <w:sz w:val="14"/>
                          </w:rPr>
                          <w:t>and</w:t>
                        </w:r>
                        <w:r>
                          <w:rPr>
                            <w:color w:val="231F20"/>
                            <w:spacing w:val="-18"/>
                            <w:w w:val="90"/>
                            <w:sz w:val="14"/>
                          </w:rPr>
                          <w:t xml:space="preserve"> </w:t>
                        </w:r>
                        <w:r>
                          <w:rPr>
                            <w:color w:val="231F20"/>
                            <w:w w:val="90"/>
                            <w:sz w:val="14"/>
                          </w:rPr>
                          <w:t>health</w:t>
                        </w:r>
                        <w:r>
                          <w:rPr>
                            <w:color w:val="231F20"/>
                            <w:spacing w:val="-17"/>
                            <w:w w:val="90"/>
                            <w:sz w:val="14"/>
                          </w:rPr>
                          <w:t xml:space="preserve"> </w:t>
                        </w:r>
                        <w:r>
                          <w:rPr>
                            <w:color w:val="231F20"/>
                            <w:w w:val="90"/>
                            <w:sz w:val="14"/>
                          </w:rPr>
                          <w:t>technologies</w:t>
                        </w:r>
                        <w:r>
                          <w:rPr>
                            <w:color w:val="231F20"/>
                            <w:spacing w:val="-18"/>
                            <w:w w:val="90"/>
                            <w:sz w:val="14"/>
                          </w:rPr>
                          <w:t xml:space="preserve"> </w:t>
                        </w:r>
                        <w:r>
                          <w:rPr>
                            <w:color w:val="231F20"/>
                            <w:w w:val="90"/>
                            <w:sz w:val="14"/>
                          </w:rPr>
                          <w:t>at</w:t>
                        </w:r>
                        <w:r>
                          <w:rPr>
                            <w:color w:val="231F20"/>
                            <w:spacing w:val="-18"/>
                            <w:w w:val="90"/>
                            <w:sz w:val="14"/>
                          </w:rPr>
                          <w:t xml:space="preserve"> </w:t>
                        </w:r>
                        <w:r>
                          <w:rPr>
                            <w:color w:val="231F20"/>
                            <w:w w:val="90"/>
                            <w:sz w:val="14"/>
                          </w:rPr>
                          <w:t xml:space="preserve">all </w:t>
                        </w:r>
                        <w:r>
                          <w:rPr>
                            <w:color w:val="231F20"/>
                            <w:w w:val="95"/>
                            <w:sz w:val="14"/>
                          </w:rPr>
                          <w:t>levels</w:t>
                        </w:r>
                      </w:p>
                    </w:tc>
                    <w:tc>
                      <w:tcPr>
                        <w:tcW w:w="2357" w:type="dxa"/>
                        <w:shd w:val="clear" w:color="auto" w:fill="CCE7D3"/>
                      </w:tcPr>
                      <w:p w14:paraId="0507F63D" w14:textId="77777777" w:rsidR="00080B77" w:rsidRDefault="00080B77">
                        <w:pPr>
                          <w:pStyle w:val="TableParagraph"/>
                          <w:numPr>
                            <w:ilvl w:val="0"/>
                            <w:numId w:val="46"/>
                          </w:numPr>
                          <w:tabs>
                            <w:tab w:val="left" w:pos="100"/>
                          </w:tabs>
                          <w:spacing w:before="52" w:line="254" w:lineRule="auto"/>
                          <w:ind w:right="8" w:firstLine="0"/>
                          <w:rPr>
                            <w:sz w:val="14"/>
                          </w:rPr>
                        </w:pPr>
                        <w:r>
                          <w:rPr>
                            <w:color w:val="231F20"/>
                            <w:w w:val="85"/>
                            <w:sz w:val="14"/>
                          </w:rPr>
                          <w:t>National</w:t>
                        </w:r>
                        <w:r>
                          <w:rPr>
                            <w:color w:val="231F20"/>
                            <w:spacing w:val="-9"/>
                            <w:w w:val="85"/>
                            <w:sz w:val="14"/>
                          </w:rPr>
                          <w:t xml:space="preserve"> </w:t>
                        </w:r>
                        <w:r>
                          <w:rPr>
                            <w:color w:val="231F20"/>
                            <w:w w:val="85"/>
                            <w:sz w:val="14"/>
                          </w:rPr>
                          <w:t>Public</w:t>
                        </w:r>
                        <w:r>
                          <w:rPr>
                            <w:color w:val="231F20"/>
                            <w:spacing w:val="-8"/>
                            <w:w w:val="85"/>
                            <w:sz w:val="14"/>
                          </w:rPr>
                          <w:t xml:space="preserve"> </w:t>
                        </w:r>
                        <w:r>
                          <w:rPr>
                            <w:color w:val="231F20"/>
                            <w:w w:val="85"/>
                            <w:sz w:val="14"/>
                          </w:rPr>
                          <w:t>Health</w:t>
                        </w:r>
                        <w:r>
                          <w:rPr>
                            <w:color w:val="231F20"/>
                            <w:spacing w:val="-9"/>
                            <w:w w:val="85"/>
                            <w:sz w:val="14"/>
                          </w:rPr>
                          <w:t xml:space="preserve"> </w:t>
                        </w:r>
                        <w:r>
                          <w:rPr>
                            <w:color w:val="231F20"/>
                            <w:w w:val="85"/>
                            <w:sz w:val="14"/>
                          </w:rPr>
                          <w:t>Supply</w:t>
                        </w:r>
                        <w:r>
                          <w:rPr>
                            <w:color w:val="231F20"/>
                            <w:spacing w:val="-8"/>
                            <w:w w:val="85"/>
                            <w:sz w:val="14"/>
                          </w:rPr>
                          <w:t xml:space="preserve"> </w:t>
                        </w:r>
                        <w:r>
                          <w:rPr>
                            <w:color w:val="231F20"/>
                            <w:w w:val="85"/>
                            <w:sz w:val="14"/>
                          </w:rPr>
                          <w:t>Chain</w:t>
                        </w:r>
                        <w:r>
                          <w:rPr>
                            <w:color w:val="231F20"/>
                            <w:spacing w:val="-8"/>
                            <w:w w:val="85"/>
                            <w:sz w:val="14"/>
                          </w:rPr>
                          <w:t xml:space="preserve"> </w:t>
                        </w:r>
                        <w:r>
                          <w:rPr>
                            <w:color w:val="231F20"/>
                            <w:w w:val="85"/>
                            <w:sz w:val="14"/>
                          </w:rPr>
                          <w:t xml:space="preserve">Policy </w:t>
                        </w:r>
                        <w:r>
                          <w:rPr>
                            <w:color w:val="231F20"/>
                            <w:w w:val="95"/>
                            <w:sz w:val="14"/>
                          </w:rPr>
                          <w:t>adapted and</w:t>
                        </w:r>
                        <w:r>
                          <w:rPr>
                            <w:color w:val="231F20"/>
                            <w:spacing w:val="-21"/>
                            <w:w w:val="95"/>
                            <w:sz w:val="14"/>
                          </w:rPr>
                          <w:t xml:space="preserve"> </w:t>
                        </w:r>
                        <w:r>
                          <w:rPr>
                            <w:color w:val="231F20"/>
                            <w:w w:val="95"/>
                            <w:sz w:val="14"/>
                          </w:rPr>
                          <w:t>implemented</w:t>
                        </w:r>
                      </w:p>
                      <w:p w14:paraId="1D7E4227" w14:textId="31ECBE71" w:rsidR="00080B77" w:rsidRDefault="00080B77">
                        <w:pPr>
                          <w:pStyle w:val="TableParagraph"/>
                          <w:numPr>
                            <w:ilvl w:val="0"/>
                            <w:numId w:val="46"/>
                          </w:numPr>
                          <w:tabs>
                            <w:tab w:val="left" w:pos="93"/>
                          </w:tabs>
                          <w:spacing w:before="1" w:line="254" w:lineRule="auto"/>
                          <w:ind w:right="575" w:firstLine="0"/>
                          <w:rPr>
                            <w:sz w:val="14"/>
                          </w:rPr>
                        </w:pPr>
                        <w:r>
                          <w:rPr>
                            <w:color w:val="231F20"/>
                            <w:w w:val="85"/>
                            <w:sz w:val="14"/>
                          </w:rPr>
                          <w:t>Annual work plan developed</w:t>
                        </w:r>
                        <w:r>
                          <w:rPr>
                            <w:color w:val="231F20"/>
                            <w:spacing w:val="-21"/>
                            <w:w w:val="85"/>
                            <w:sz w:val="14"/>
                          </w:rPr>
                          <w:t xml:space="preserve"> </w:t>
                        </w:r>
                        <w:r>
                          <w:rPr>
                            <w:color w:val="231F20"/>
                            <w:spacing w:val="-5"/>
                            <w:w w:val="85"/>
                            <w:sz w:val="14"/>
                          </w:rPr>
                          <w:t xml:space="preserve">and </w:t>
                        </w:r>
                        <w:r>
                          <w:rPr>
                            <w:color w:val="231F20"/>
                            <w:w w:val="95"/>
                            <w:sz w:val="14"/>
                          </w:rPr>
                          <w:t>implemented</w:t>
                        </w:r>
                      </w:p>
                      <w:p w14:paraId="0FBC8A4B" w14:textId="77777777" w:rsidR="00080B77" w:rsidRDefault="00080B77">
                        <w:pPr>
                          <w:pStyle w:val="TableParagraph"/>
                          <w:numPr>
                            <w:ilvl w:val="0"/>
                            <w:numId w:val="46"/>
                          </w:numPr>
                          <w:tabs>
                            <w:tab w:val="left" w:pos="100"/>
                          </w:tabs>
                          <w:spacing w:before="1"/>
                          <w:ind w:left="99" w:hanging="75"/>
                          <w:rPr>
                            <w:sz w:val="14"/>
                          </w:rPr>
                        </w:pPr>
                        <w:r>
                          <w:rPr>
                            <w:color w:val="231F20"/>
                            <w:w w:val="95"/>
                            <w:sz w:val="14"/>
                          </w:rPr>
                          <w:t>IPSM TWG set</w:t>
                        </w:r>
                        <w:r>
                          <w:rPr>
                            <w:color w:val="231F20"/>
                            <w:spacing w:val="-25"/>
                            <w:w w:val="95"/>
                            <w:sz w:val="14"/>
                          </w:rPr>
                          <w:t xml:space="preserve"> </w:t>
                        </w:r>
                        <w:r>
                          <w:rPr>
                            <w:color w:val="231F20"/>
                            <w:w w:val="95"/>
                            <w:sz w:val="14"/>
                          </w:rPr>
                          <w:t>up</w:t>
                        </w:r>
                      </w:p>
                    </w:tc>
                    <w:tc>
                      <w:tcPr>
                        <w:tcW w:w="1410" w:type="dxa"/>
                        <w:shd w:val="clear" w:color="auto" w:fill="CCE7D3"/>
                      </w:tcPr>
                      <w:p w14:paraId="4F121498" w14:textId="77777777" w:rsidR="00080B77" w:rsidRDefault="00080B77">
                        <w:pPr>
                          <w:pStyle w:val="TableParagraph"/>
                          <w:rPr>
                            <w:rFonts w:ascii="Times New Roman"/>
                            <w:sz w:val="10"/>
                          </w:rPr>
                        </w:pPr>
                      </w:p>
                    </w:tc>
                    <w:tc>
                      <w:tcPr>
                        <w:tcW w:w="1487" w:type="dxa"/>
                        <w:shd w:val="clear" w:color="auto" w:fill="CCE7D3"/>
                      </w:tcPr>
                      <w:p w14:paraId="03ACF1A6" w14:textId="77777777" w:rsidR="00080B77" w:rsidRDefault="00080B77">
                        <w:pPr>
                          <w:pStyle w:val="TableParagraph"/>
                          <w:rPr>
                            <w:rFonts w:ascii="Times New Roman"/>
                            <w:sz w:val="10"/>
                          </w:rPr>
                        </w:pPr>
                      </w:p>
                    </w:tc>
                  </w:tr>
                  <w:tr w:rsidR="00080B77" w14:paraId="6F94E405" w14:textId="77777777">
                    <w:trPr>
                      <w:trHeight w:val="564"/>
                    </w:trPr>
                    <w:tc>
                      <w:tcPr>
                        <w:tcW w:w="1027" w:type="dxa"/>
                        <w:gridSpan w:val="3"/>
                        <w:vMerge w:val="restart"/>
                        <w:tcBorders>
                          <w:top w:val="nil"/>
                          <w:bottom w:val="nil"/>
                        </w:tcBorders>
                      </w:tcPr>
                      <w:p w14:paraId="6D16F648" w14:textId="77777777" w:rsidR="00080B77" w:rsidRDefault="00080B77">
                        <w:pPr>
                          <w:pStyle w:val="TableParagraph"/>
                          <w:rPr>
                            <w:rFonts w:ascii="Times New Roman"/>
                            <w:sz w:val="10"/>
                          </w:rPr>
                        </w:pPr>
                      </w:p>
                    </w:tc>
                    <w:tc>
                      <w:tcPr>
                        <w:tcW w:w="519" w:type="dxa"/>
                      </w:tcPr>
                      <w:p w14:paraId="24F30EF6" w14:textId="77777777" w:rsidR="00080B77" w:rsidRDefault="00080B77">
                        <w:pPr>
                          <w:pStyle w:val="TableParagraph"/>
                          <w:spacing w:before="5"/>
                          <w:rPr>
                            <w:sz w:val="17"/>
                          </w:rPr>
                        </w:pPr>
                      </w:p>
                      <w:p w14:paraId="1B91AEF0" w14:textId="77777777" w:rsidR="00080B77" w:rsidRDefault="00080B77">
                        <w:pPr>
                          <w:pStyle w:val="TableParagraph"/>
                          <w:spacing w:before="1"/>
                          <w:ind w:left="21" w:right="11"/>
                          <w:jc w:val="center"/>
                          <w:rPr>
                            <w:sz w:val="14"/>
                          </w:rPr>
                        </w:pPr>
                        <w:r>
                          <w:rPr>
                            <w:color w:val="231F20"/>
                            <w:w w:val="85"/>
                            <w:sz w:val="14"/>
                          </w:rPr>
                          <w:t>11.1.1.a</w:t>
                        </w:r>
                      </w:p>
                    </w:tc>
                    <w:tc>
                      <w:tcPr>
                        <w:tcW w:w="4840" w:type="dxa"/>
                        <w:gridSpan w:val="2"/>
                      </w:tcPr>
                      <w:p w14:paraId="3EF0F02C" w14:textId="77777777" w:rsidR="00080B77" w:rsidRDefault="00080B77">
                        <w:pPr>
                          <w:pStyle w:val="TableParagraph"/>
                          <w:spacing w:before="109" w:line="254" w:lineRule="auto"/>
                          <w:ind w:left="24" w:right="163"/>
                          <w:rPr>
                            <w:sz w:val="14"/>
                          </w:rPr>
                        </w:pPr>
                        <w:r>
                          <w:rPr>
                            <w:color w:val="231F20"/>
                            <w:w w:val="85"/>
                            <w:sz w:val="14"/>
                          </w:rPr>
                          <w:t xml:space="preserve">Adapt the National Public Health Supply Chain Policy and implement enabling legal and </w:t>
                        </w:r>
                        <w:r>
                          <w:rPr>
                            <w:color w:val="231F20"/>
                            <w:w w:val="95"/>
                            <w:sz w:val="14"/>
                          </w:rPr>
                          <w:t>regulatory frameworks, policies, guidelines</w:t>
                        </w:r>
                      </w:p>
                    </w:tc>
                    <w:tc>
                      <w:tcPr>
                        <w:tcW w:w="1410" w:type="dxa"/>
                      </w:tcPr>
                      <w:p w14:paraId="3C3AB0A9" w14:textId="77777777" w:rsidR="00080B77" w:rsidRDefault="00080B77">
                        <w:pPr>
                          <w:pStyle w:val="TableParagraph"/>
                          <w:spacing w:before="5"/>
                          <w:rPr>
                            <w:sz w:val="17"/>
                          </w:rPr>
                        </w:pPr>
                      </w:p>
                      <w:p w14:paraId="329813B8" w14:textId="77777777" w:rsidR="00080B77" w:rsidRDefault="00080B77">
                        <w:pPr>
                          <w:pStyle w:val="TableParagraph"/>
                          <w:spacing w:before="1"/>
                          <w:ind w:left="26"/>
                          <w:rPr>
                            <w:sz w:val="14"/>
                          </w:rPr>
                        </w:pPr>
                        <w:r>
                          <w:rPr>
                            <w:color w:val="231F20"/>
                            <w:w w:val="95"/>
                            <w:sz w:val="14"/>
                          </w:rPr>
                          <w:t>Lack of funds</w:t>
                        </w:r>
                      </w:p>
                    </w:tc>
                    <w:tc>
                      <w:tcPr>
                        <w:tcW w:w="1487" w:type="dxa"/>
                      </w:tcPr>
                      <w:p w14:paraId="0F3948E5" w14:textId="77777777" w:rsidR="00080B77" w:rsidRDefault="00080B77">
                        <w:pPr>
                          <w:pStyle w:val="TableParagraph"/>
                          <w:spacing w:before="5"/>
                          <w:rPr>
                            <w:sz w:val="17"/>
                          </w:rPr>
                        </w:pPr>
                      </w:p>
                      <w:p w14:paraId="23AE44DF" w14:textId="77777777" w:rsidR="00080B77" w:rsidRDefault="00080B77">
                        <w:pPr>
                          <w:pStyle w:val="TableParagraph"/>
                          <w:spacing w:before="1"/>
                          <w:ind w:left="28"/>
                          <w:rPr>
                            <w:sz w:val="14"/>
                          </w:rPr>
                        </w:pPr>
                        <w:r>
                          <w:rPr>
                            <w:color w:val="231F20"/>
                            <w:w w:val="95"/>
                            <w:sz w:val="14"/>
                          </w:rPr>
                          <w:t>No cost</w:t>
                        </w:r>
                      </w:p>
                    </w:tc>
                  </w:tr>
                  <w:tr w:rsidR="00080B77" w14:paraId="419E89AD" w14:textId="77777777">
                    <w:trPr>
                      <w:trHeight w:val="514"/>
                    </w:trPr>
                    <w:tc>
                      <w:tcPr>
                        <w:tcW w:w="1027" w:type="dxa"/>
                        <w:gridSpan w:val="3"/>
                        <w:vMerge/>
                        <w:tcBorders>
                          <w:top w:val="nil"/>
                          <w:bottom w:val="nil"/>
                        </w:tcBorders>
                      </w:tcPr>
                      <w:p w14:paraId="3DFC78D2" w14:textId="77777777" w:rsidR="00080B77" w:rsidRDefault="00080B77">
                        <w:pPr>
                          <w:rPr>
                            <w:sz w:val="2"/>
                            <w:szCs w:val="2"/>
                          </w:rPr>
                        </w:pPr>
                      </w:p>
                    </w:tc>
                    <w:tc>
                      <w:tcPr>
                        <w:tcW w:w="519" w:type="dxa"/>
                      </w:tcPr>
                      <w:p w14:paraId="19B3E470" w14:textId="77777777" w:rsidR="00080B77" w:rsidRDefault="00080B77">
                        <w:pPr>
                          <w:pStyle w:val="TableParagraph"/>
                          <w:spacing w:before="3"/>
                          <w:rPr>
                            <w:sz w:val="15"/>
                          </w:rPr>
                        </w:pPr>
                      </w:p>
                      <w:p w14:paraId="254F4F7E" w14:textId="77777777" w:rsidR="00080B77" w:rsidRDefault="00080B77">
                        <w:pPr>
                          <w:pStyle w:val="TableParagraph"/>
                          <w:spacing w:before="1"/>
                          <w:ind w:left="21" w:right="11"/>
                          <w:jc w:val="center"/>
                          <w:rPr>
                            <w:sz w:val="14"/>
                          </w:rPr>
                        </w:pPr>
                        <w:r>
                          <w:rPr>
                            <w:color w:val="231F20"/>
                            <w:w w:val="85"/>
                            <w:sz w:val="14"/>
                          </w:rPr>
                          <w:t>11.1.1.b</w:t>
                        </w:r>
                      </w:p>
                    </w:tc>
                    <w:tc>
                      <w:tcPr>
                        <w:tcW w:w="4840" w:type="dxa"/>
                        <w:gridSpan w:val="2"/>
                      </w:tcPr>
                      <w:p w14:paraId="6EA94E17" w14:textId="77777777" w:rsidR="00080B77" w:rsidRDefault="00080B77">
                        <w:pPr>
                          <w:pStyle w:val="TableParagraph"/>
                          <w:spacing w:before="84" w:line="254" w:lineRule="auto"/>
                          <w:ind w:left="24" w:right="31"/>
                          <w:rPr>
                            <w:sz w:val="14"/>
                          </w:rPr>
                        </w:pPr>
                        <w:r>
                          <w:rPr>
                            <w:color w:val="231F20"/>
                            <w:w w:val="85"/>
                            <w:sz w:val="14"/>
                          </w:rPr>
                          <w:t xml:space="preserve">Develop &amp; disseminate SOPs for medicines, vaccines, laboratory supplies, equipment and </w:t>
                        </w:r>
                        <w:r>
                          <w:rPr>
                            <w:color w:val="231F20"/>
                            <w:w w:val="95"/>
                            <w:sz w:val="14"/>
                          </w:rPr>
                          <w:t>other health commodities</w:t>
                        </w:r>
                      </w:p>
                    </w:tc>
                    <w:tc>
                      <w:tcPr>
                        <w:tcW w:w="1410" w:type="dxa"/>
                      </w:tcPr>
                      <w:p w14:paraId="7025C6D5" w14:textId="77777777" w:rsidR="00080B77" w:rsidRDefault="00080B77">
                        <w:pPr>
                          <w:pStyle w:val="TableParagraph"/>
                          <w:spacing w:before="3"/>
                          <w:rPr>
                            <w:sz w:val="15"/>
                          </w:rPr>
                        </w:pPr>
                      </w:p>
                      <w:p w14:paraId="7449CA98" w14:textId="77777777" w:rsidR="00080B77" w:rsidRDefault="00080B77">
                        <w:pPr>
                          <w:pStyle w:val="TableParagraph"/>
                          <w:spacing w:before="1"/>
                          <w:ind w:left="26"/>
                          <w:rPr>
                            <w:sz w:val="14"/>
                          </w:rPr>
                        </w:pPr>
                        <w:r>
                          <w:rPr>
                            <w:color w:val="231F20"/>
                            <w:w w:val="95"/>
                            <w:sz w:val="14"/>
                          </w:rPr>
                          <w:t>Lack of funds</w:t>
                        </w:r>
                      </w:p>
                    </w:tc>
                    <w:tc>
                      <w:tcPr>
                        <w:tcW w:w="1487" w:type="dxa"/>
                      </w:tcPr>
                      <w:p w14:paraId="4DEE14BE" w14:textId="1C1BB67C" w:rsidR="00080B77" w:rsidRDefault="00080B77">
                        <w:pPr>
                          <w:pStyle w:val="TableParagraph"/>
                          <w:spacing w:before="90" w:line="254" w:lineRule="auto"/>
                          <w:ind w:left="28"/>
                          <w:rPr>
                            <w:sz w:val="14"/>
                          </w:rPr>
                        </w:pPr>
                        <w:r>
                          <w:rPr>
                            <w:color w:val="231F20"/>
                            <w:w w:val="85"/>
                            <w:sz w:val="14"/>
                          </w:rPr>
                          <w:t xml:space="preserve">Develop &amp; disseminate </w:t>
                        </w:r>
                        <w:r>
                          <w:rPr>
                            <w:color w:val="231F20"/>
                            <w:w w:val="95"/>
                            <w:sz w:val="14"/>
                          </w:rPr>
                          <w:t>SOPs</w:t>
                        </w:r>
                      </w:p>
                    </w:tc>
                  </w:tr>
                  <w:tr w:rsidR="00080B77" w14:paraId="27F1F4BA" w14:textId="77777777">
                    <w:trPr>
                      <w:trHeight w:val="429"/>
                    </w:trPr>
                    <w:tc>
                      <w:tcPr>
                        <w:tcW w:w="1027" w:type="dxa"/>
                        <w:gridSpan w:val="3"/>
                        <w:vMerge/>
                        <w:tcBorders>
                          <w:top w:val="nil"/>
                          <w:bottom w:val="nil"/>
                        </w:tcBorders>
                      </w:tcPr>
                      <w:p w14:paraId="7A1484B7" w14:textId="77777777" w:rsidR="00080B77" w:rsidRDefault="00080B77">
                        <w:pPr>
                          <w:rPr>
                            <w:sz w:val="2"/>
                            <w:szCs w:val="2"/>
                          </w:rPr>
                        </w:pPr>
                      </w:p>
                    </w:tc>
                    <w:tc>
                      <w:tcPr>
                        <w:tcW w:w="519" w:type="dxa"/>
                      </w:tcPr>
                      <w:p w14:paraId="00345CA4" w14:textId="77777777" w:rsidR="00080B77" w:rsidRDefault="00080B77">
                        <w:pPr>
                          <w:pStyle w:val="TableParagraph"/>
                          <w:spacing w:before="6"/>
                          <w:rPr>
                            <w:sz w:val="11"/>
                          </w:rPr>
                        </w:pPr>
                      </w:p>
                      <w:p w14:paraId="73D2B24D" w14:textId="77777777" w:rsidR="00080B77" w:rsidRDefault="00080B77">
                        <w:pPr>
                          <w:pStyle w:val="TableParagraph"/>
                          <w:ind w:left="21" w:right="10"/>
                          <w:jc w:val="center"/>
                          <w:rPr>
                            <w:sz w:val="14"/>
                          </w:rPr>
                        </w:pPr>
                        <w:r>
                          <w:rPr>
                            <w:color w:val="231F20"/>
                            <w:w w:val="85"/>
                            <w:sz w:val="14"/>
                          </w:rPr>
                          <w:t>11.1.1.c</w:t>
                        </w:r>
                      </w:p>
                    </w:tc>
                    <w:tc>
                      <w:tcPr>
                        <w:tcW w:w="4840" w:type="dxa"/>
                        <w:gridSpan w:val="2"/>
                      </w:tcPr>
                      <w:p w14:paraId="750F330D" w14:textId="2E77C376" w:rsidR="00080B77" w:rsidRDefault="00080B77">
                        <w:pPr>
                          <w:pStyle w:val="TableParagraph"/>
                          <w:spacing w:before="43" w:line="254" w:lineRule="auto"/>
                          <w:ind w:left="24" w:right="184"/>
                          <w:rPr>
                            <w:sz w:val="14"/>
                          </w:rPr>
                        </w:pPr>
                        <w:r>
                          <w:rPr>
                            <w:color w:val="231F20"/>
                            <w:w w:val="85"/>
                            <w:sz w:val="14"/>
                          </w:rPr>
                          <w:t xml:space="preserve">Establish Logistics Management Coordinating Unit (LMCU) in SMOH &amp; RSPHCMB and </w:t>
                        </w:r>
                        <w:r>
                          <w:rPr>
                            <w:color w:val="231F20"/>
                            <w:w w:val="95"/>
                            <w:sz w:val="14"/>
                          </w:rPr>
                          <w:t>develop annual work plan and ensure implementation</w:t>
                        </w:r>
                      </w:p>
                    </w:tc>
                    <w:tc>
                      <w:tcPr>
                        <w:tcW w:w="1410" w:type="dxa"/>
                      </w:tcPr>
                      <w:p w14:paraId="63266458" w14:textId="77777777" w:rsidR="00080B77" w:rsidRDefault="00080B77">
                        <w:pPr>
                          <w:pStyle w:val="TableParagraph"/>
                          <w:spacing w:before="6"/>
                          <w:rPr>
                            <w:sz w:val="11"/>
                          </w:rPr>
                        </w:pPr>
                      </w:p>
                      <w:p w14:paraId="52E47017" w14:textId="77777777" w:rsidR="00080B77" w:rsidRDefault="00080B77">
                        <w:pPr>
                          <w:pStyle w:val="TableParagraph"/>
                          <w:ind w:left="26"/>
                          <w:rPr>
                            <w:sz w:val="14"/>
                          </w:rPr>
                        </w:pPr>
                        <w:r>
                          <w:rPr>
                            <w:color w:val="231F20"/>
                            <w:w w:val="95"/>
                            <w:sz w:val="14"/>
                          </w:rPr>
                          <w:t>Lack of funds</w:t>
                        </w:r>
                      </w:p>
                    </w:tc>
                    <w:tc>
                      <w:tcPr>
                        <w:tcW w:w="1487" w:type="dxa"/>
                      </w:tcPr>
                      <w:p w14:paraId="20AD0051" w14:textId="77777777" w:rsidR="00080B77" w:rsidRDefault="00080B77">
                        <w:pPr>
                          <w:pStyle w:val="TableParagraph"/>
                          <w:spacing w:line="254" w:lineRule="auto"/>
                          <w:ind w:left="28"/>
                          <w:rPr>
                            <w:sz w:val="14"/>
                          </w:rPr>
                        </w:pPr>
                        <w:r>
                          <w:rPr>
                            <w:color w:val="231F20"/>
                            <w:w w:val="95"/>
                            <w:sz w:val="14"/>
                          </w:rPr>
                          <w:t xml:space="preserve">Establish Logistics </w:t>
                        </w:r>
                        <w:r>
                          <w:rPr>
                            <w:color w:val="231F20"/>
                            <w:w w:val="85"/>
                            <w:sz w:val="14"/>
                          </w:rPr>
                          <w:t>Management Coordinating</w:t>
                        </w:r>
                      </w:p>
                    </w:tc>
                  </w:tr>
                  <w:tr w:rsidR="00080B77" w14:paraId="79CE1506" w14:textId="77777777">
                    <w:trPr>
                      <w:trHeight w:val="472"/>
                    </w:trPr>
                    <w:tc>
                      <w:tcPr>
                        <w:tcW w:w="1027" w:type="dxa"/>
                        <w:gridSpan w:val="3"/>
                        <w:vMerge/>
                        <w:tcBorders>
                          <w:top w:val="nil"/>
                          <w:bottom w:val="nil"/>
                        </w:tcBorders>
                      </w:tcPr>
                      <w:p w14:paraId="08463A1F" w14:textId="77777777" w:rsidR="00080B77" w:rsidRDefault="00080B77">
                        <w:pPr>
                          <w:rPr>
                            <w:sz w:val="2"/>
                            <w:szCs w:val="2"/>
                          </w:rPr>
                        </w:pPr>
                      </w:p>
                    </w:tc>
                    <w:tc>
                      <w:tcPr>
                        <w:tcW w:w="519" w:type="dxa"/>
                      </w:tcPr>
                      <w:p w14:paraId="093073BC" w14:textId="77777777" w:rsidR="00080B77" w:rsidRDefault="00080B77">
                        <w:pPr>
                          <w:pStyle w:val="TableParagraph"/>
                          <w:spacing w:before="6"/>
                          <w:rPr>
                            <w:sz w:val="13"/>
                          </w:rPr>
                        </w:pPr>
                      </w:p>
                      <w:p w14:paraId="22D496D1" w14:textId="77777777" w:rsidR="00080B77" w:rsidRDefault="00080B77">
                        <w:pPr>
                          <w:pStyle w:val="TableParagraph"/>
                          <w:ind w:left="21" w:right="11"/>
                          <w:jc w:val="center"/>
                          <w:rPr>
                            <w:sz w:val="14"/>
                          </w:rPr>
                        </w:pPr>
                        <w:r>
                          <w:rPr>
                            <w:color w:val="231F20"/>
                            <w:w w:val="85"/>
                            <w:sz w:val="14"/>
                          </w:rPr>
                          <w:t>11.1.1.d</w:t>
                        </w:r>
                      </w:p>
                    </w:tc>
                    <w:tc>
                      <w:tcPr>
                        <w:tcW w:w="4840" w:type="dxa"/>
                        <w:gridSpan w:val="2"/>
                      </w:tcPr>
                      <w:p w14:paraId="50AA8726" w14:textId="77777777" w:rsidR="00080B77" w:rsidRDefault="00080B77">
                        <w:pPr>
                          <w:pStyle w:val="TableParagraph"/>
                          <w:spacing w:line="254" w:lineRule="auto"/>
                          <w:ind w:left="24" w:right="240"/>
                          <w:rPr>
                            <w:sz w:val="14"/>
                          </w:rPr>
                        </w:pPr>
                        <w:r>
                          <w:rPr>
                            <w:color w:val="231F20"/>
                            <w:w w:val="85"/>
                            <w:sz w:val="14"/>
                          </w:rPr>
                          <w:t>Set</w:t>
                        </w:r>
                        <w:r>
                          <w:rPr>
                            <w:color w:val="231F20"/>
                            <w:spacing w:val="-9"/>
                            <w:w w:val="85"/>
                            <w:sz w:val="14"/>
                          </w:rPr>
                          <w:t xml:space="preserve"> </w:t>
                        </w:r>
                        <w:r>
                          <w:rPr>
                            <w:color w:val="231F20"/>
                            <w:w w:val="85"/>
                            <w:sz w:val="14"/>
                          </w:rPr>
                          <w:t>up</w:t>
                        </w:r>
                        <w:r>
                          <w:rPr>
                            <w:color w:val="231F20"/>
                            <w:spacing w:val="-9"/>
                            <w:w w:val="85"/>
                            <w:sz w:val="14"/>
                          </w:rPr>
                          <w:t xml:space="preserve"> </w:t>
                        </w:r>
                        <w:r>
                          <w:rPr>
                            <w:color w:val="231F20"/>
                            <w:w w:val="85"/>
                            <w:sz w:val="14"/>
                          </w:rPr>
                          <w:t>state</w:t>
                        </w:r>
                        <w:r>
                          <w:rPr>
                            <w:color w:val="231F20"/>
                            <w:spacing w:val="-9"/>
                            <w:w w:val="85"/>
                            <w:sz w:val="14"/>
                          </w:rPr>
                          <w:t xml:space="preserve"> </w:t>
                        </w:r>
                        <w:r>
                          <w:rPr>
                            <w:color w:val="231F20"/>
                            <w:w w:val="85"/>
                            <w:sz w:val="14"/>
                          </w:rPr>
                          <w:t>Integrated</w:t>
                        </w:r>
                        <w:r>
                          <w:rPr>
                            <w:color w:val="231F20"/>
                            <w:spacing w:val="-9"/>
                            <w:w w:val="85"/>
                            <w:sz w:val="14"/>
                          </w:rPr>
                          <w:t xml:space="preserve"> </w:t>
                        </w:r>
                        <w:r>
                          <w:rPr>
                            <w:color w:val="231F20"/>
                            <w:w w:val="85"/>
                            <w:sz w:val="14"/>
                          </w:rPr>
                          <w:t>Procurement</w:t>
                        </w:r>
                        <w:r>
                          <w:rPr>
                            <w:color w:val="231F20"/>
                            <w:spacing w:val="-8"/>
                            <w:w w:val="85"/>
                            <w:sz w:val="14"/>
                          </w:rPr>
                          <w:t xml:space="preserve"> </w:t>
                        </w:r>
                        <w:r>
                          <w:rPr>
                            <w:color w:val="231F20"/>
                            <w:w w:val="85"/>
                            <w:sz w:val="14"/>
                          </w:rPr>
                          <w:t>and</w:t>
                        </w:r>
                        <w:r>
                          <w:rPr>
                            <w:color w:val="231F20"/>
                            <w:spacing w:val="-9"/>
                            <w:w w:val="85"/>
                            <w:sz w:val="14"/>
                          </w:rPr>
                          <w:t xml:space="preserve"> </w:t>
                        </w:r>
                        <w:r>
                          <w:rPr>
                            <w:color w:val="231F20"/>
                            <w:w w:val="85"/>
                            <w:sz w:val="14"/>
                          </w:rPr>
                          <w:t>Supply</w:t>
                        </w:r>
                        <w:r>
                          <w:rPr>
                            <w:color w:val="231F20"/>
                            <w:spacing w:val="-9"/>
                            <w:w w:val="85"/>
                            <w:sz w:val="14"/>
                          </w:rPr>
                          <w:t xml:space="preserve"> </w:t>
                        </w:r>
                        <w:r>
                          <w:rPr>
                            <w:color w:val="231F20"/>
                            <w:w w:val="85"/>
                            <w:sz w:val="14"/>
                          </w:rPr>
                          <w:t>Chain</w:t>
                        </w:r>
                        <w:r>
                          <w:rPr>
                            <w:color w:val="231F20"/>
                            <w:spacing w:val="-9"/>
                            <w:w w:val="85"/>
                            <w:sz w:val="14"/>
                          </w:rPr>
                          <w:t xml:space="preserve"> </w:t>
                        </w:r>
                        <w:r>
                          <w:rPr>
                            <w:color w:val="231F20"/>
                            <w:w w:val="85"/>
                            <w:sz w:val="14"/>
                          </w:rPr>
                          <w:t>Management</w:t>
                        </w:r>
                        <w:r>
                          <w:rPr>
                            <w:color w:val="231F20"/>
                            <w:spacing w:val="-10"/>
                            <w:w w:val="85"/>
                            <w:sz w:val="14"/>
                          </w:rPr>
                          <w:t xml:space="preserve"> </w:t>
                        </w:r>
                        <w:r>
                          <w:rPr>
                            <w:color w:val="231F20"/>
                            <w:w w:val="85"/>
                            <w:sz w:val="14"/>
                          </w:rPr>
                          <w:t>Technical</w:t>
                        </w:r>
                        <w:r>
                          <w:rPr>
                            <w:color w:val="231F20"/>
                            <w:spacing w:val="-9"/>
                            <w:w w:val="85"/>
                            <w:sz w:val="14"/>
                          </w:rPr>
                          <w:t xml:space="preserve"> </w:t>
                        </w:r>
                        <w:r>
                          <w:rPr>
                            <w:color w:val="231F20"/>
                            <w:w w:val="85"/>
                            <w:sz w:val="14"/>
                          </w:rPr>
                          <w:t xml:space="preserve">Working </w:t>
                        </w:r>
                        <w:r>
                          <w:rPr>
                            <w:color w:val="231F20"/>
                            <w:w w:val="90"/>
                            <w:sz w:val="14"/>
                          </w:rPr>
                          <w:t>Group</w:t>
                        </w:r>
                        <w:r>
                          <w:rPr>
                            <w:color w:val="231F20"/>
                            <w:spacing w:val="-21"/>
                            <w:w w:val="90"/>
                            <w:sz w:val="14"/>
                          </w:rPr>
                          <w:t xml:space="preserve"> </w:t>
                        </w:r>
                        <w:r>
                          <w:rPr>
                            <w:color w:val="231F20"/>
                            <w:w w:val="90"/>
                            <w:sz w:val="14"/>
                          </w:rPr>
                          <w:t>(IPSM</w:t>
                        </w:r>
                        <w:r>
                          <w:rPr>
                            <w:color w:val="231F20"/>
                            <w:spacing w:val="-21"/>
                            <w:w w:val="90"/>
                            <w:sz w:val="14"/>
                          </w:rPr>
                          <w:t xml:space="preserve"> </w:t>
                        </w:r>
                        <w:r>
                          <w:rPr>
                            <w:color w:val="231F20"/>
                            <w:w w:val="90"/>
                            <w:sz w:val="14"/>
                          </w:rPr>
                          <w:t>TWG)</w:t>
                        </w:r>
                        <w:r>
                          <w:rPr>
                            <w:color w:val="231F20"/>
                            <w:spacing w:val="-20"/>
                            <w:w w:val="90"/>
                            <w:sz w:val="14"/>
                          </w:rPr>
                          <w:t xml:space="preserve"> </w:t>
                        </w:r>
                        <w:r>
                          <w:rPr>
                            <w:color w:val="231F20"/>
                            <w:w w:val="90"/>
                            <w:sz w:val="14"/>
                          </w:rPr>
                          <w:t>for</w:t>
                        </w:r>
                        <w:r>
                          <w:rPr>
                            <w:color w:val="231F20"/>
                            <w:spacing w:val="-20"/>
                            <w:w w:val="90"/>
                            <w:sz w:val="14"/>
                          </w:rPr>
                          <w:t xml:space="preserve"> </w:t>
                        </w:r>
                        <w:r>
                          <w:rPr>
                            <w:color w:val="231F20"/>
                            <w:w w:val="90"/>
                            <w:sz w:val="14"/>
                          </w:rPr>
                          <w:t>supply</w:t>
                        </w:r>
                        <w:r>
                          <w:rPr>
                            <w:color w:val="231F20"/>
                            <w:spacing w:val="-20"/>
                            <w:w w:val="90"/>
                            <w:sz w:val="14"/>
                          </w:rPr>
                          <w:t xml:space="preserve"> </w:t>
                        </w:r>
                        <w:r>
                          <w:rPr>
                            <w:color w:val="231F20"/>
                            <w:w w:val="90"/>
                            <w:sz w:val="14"/>
                          </w:rPr>
                          <w:t>chain</w:t>
                        </w:r>
                        <w:r>
                          <w:rPr>
                            <w:color w:val="231F20"/>
                            <w:spacing w:val="-21"/>
                            <w:w w:val="90"/>
                            <w:sz w:val="14"/>
                          </w:rPr>
                          <w:t xml:space="preserve"> </w:t>
                        </w:r>
                        <w:r>
                          <w:rPr>
                            <w:color w:val="231F20"/>
                            <w:w w:val="90"/>
                            <w:sz w:val="14"/>
                          </w:rPr>
                          <w:t>decisions</w:t>
                        </w:r>
                        <w:r>
                          <w:rPr>
                            <w:color w:val="231F20"/>
                            <w:spacing w:val="-20"/>
                            <w:w w:val="90"/>
                            <w:sz w:val="14"/>
                          </w:rPr>
                          <w:t xml:space="preserve"> </w:t>
                        </w:r>
                        <w:r>
                          <w:rPr>
                            <w:color w:val="231F20"/>
                            <w:w w:val="90"/>
                            <w:sz w:val="14"/>
                          </w:rPr>
                          <w:t>at</w:t>
                        </w:r>
                        <w:r>
                          <w:rPr>
                            <w:color w:val="231F20"/>
                            <w:spacing w:val="-20"/>
                            <w:w w:val="90"/>
                            <w:sz w:val="14"/>
                          </w:rPr>
                          <w:t xml:space="preserve"> </w:t>
                        </w:r>
                        <w:r>
                          <w:rPr>
                            <w:color w:val="231F20"/>
                            <w:w w:val="90"/>
                            <w:sz w:val="14"/>
                          </w:rPr>
                          <w:t>the</w:t>
                        </w:r>
                        <w:r>
                          <w:rPr>
                            <w:color w:val="231F20"/>
                            <w:spacing w:val="-20"/>
                            <w:w w:val="90"/>
                            <w:sz w:val="14"/>
                          </w:rPr>
                          <w:t xml:space="preserve"> </w:t>
                        </w:r>
                        <w:r>
                          <w:rPr>
                            <w:color w:val="231F20"/>
                            <w:w w:val="90"/>
                            <w:sz w:val="14"/>
                          </w:rPr>
                          <w:t>highest</w:t>
                        </w:r>
                        <w:r>
                          <w:rPr>
                            <w:color w:val="231F20"/>
                            <w:spacing w:val="-20"/>
                            <w:w w:val="90"/>
                            <w:sz w:val="14"/>
                          </w:rPr>
                          <w:t xml:space="preserve"> </w:t>
                        </w:r>
                        <w:r>
                          <w:rPr>
                            <w:color w:val="231F20"/>
                            <w:w w:val="90"/>
                            <w:sz w:val="14"/>
                          </w:rPr>
                          <w:t>level</w:t>
                        </w:r>
                        <w:r>
                          <w:rPr>
                            <w:color w:val="231F20"/>
                            <w:spacing w:val="-21"/>
                            <w:w w:val="90"/>
                            <w:sz w:val="14"/>
                          </w:rPr>
                          <w:t xml:space="preserve"> </w:t>
                        </w:r>
                        <w:r>
                          <w:rPr>
                            <w:color w:val="231F20"/>
                            <w:w w:val="90"/>
                            <w:sz w:val="14"/>
                          </w:rPr>
                          <w:t>and</w:t>
                        </w:r>
                        <w:r>
                          <w:rPr>
                            <w:color w:val="231F20"/>
                            <w:spacing w:val="-20"/>
                            <w:w w:val="90"/>
                            <w:sz w:val="14"/>
                          </w:rPr>
                          <w:t xml:space="preserve"> </w:t>
                        </w:r>
                        <w:r>
                          <w:rPr>
                            <w:color w:val="231F20"/>
                            <w:w w:val="90"/>
                            <w:sz w:val="14"/>
                          </w:rPr>
                          <w:t>coordinate</w:t>
                        </w:r>
                        <w:r>
                          <w:rPr>
                            <w:color w:val="231F20"/>
                            <w:spacing w:val="-20"/>
                            <w:w w:val="90"/>
                            <w:sz w:val="14"/>
                          </w:rPr>
                          <w:t xml:space="preserve"> </w:t>
                        </w:r>
                        <w:r>
                          <w:rPr>
                            <w:color w:val="231F20"/>
                            <w:w w:val="90"/>
                            <w:sz w:val="14"/>
                          </w:rPr>
                          <w:t>the</w:t>
                        </w:r>
                      </w:p>
                      <w:p w14:paraId="390F91A0" w14:textId="77777777" w:rsidR="00080B77" w:rsidRDefault="00080B77">
                        <w:pPr>
                          <w:pStyle w:val="TableParagraph"/>
                          <w:spacing w:line="114" w:lineRule="exact"/>
                          <w:ind w:left="24"/>
                          <w:rPr>
                            <w:sz w:val="14"/>
                          </w:rPr>
                        </w:pPr>
                        <w:r>
                          <w:rPr>
                            <w:color w:val="231F20"/>
                            <w:w w:val="95"/>
                            <w:sz w:val="14"/>
                          </w:rPr>
                          <w:t>activities</w:t>
                        </w:r>
                      </w:p>
                    </w:tc>
                    <w:tc>
                      <w:tcPr>
                        <w:tcW w:w="1410" w:type="dxa"/>
                      </w:tcPr>
                      <w:p w14:paraId="25527248" w14:textId="77777777" w:rsidR="00080B77" w:rsidRDefault="00080B77">
                        <w:pPr>
                          <w:pStyle w:val="TableParagraph"/>
                          <w:spacing w:before="6"/>
                          <w:rPr>
                            <w:sz w:val="13"/>
                          </w:rPr>
                        </w:pPr>
                      </w:p>
                      <w:p w14:paraId="66F6EEC0" w14:textId="77777777" w:rsidR="00080B77" w:rsidRDefault="00080B77">
                        <w:pPr>
                          <w:pStyle w:val="TableParagraph"/>
                          <w:ind w:left="26"/>
                          <w:rPr>
                            <w:sz w:val="14"/>
                          </w:rPr>
                        </w:pPr>
                        <w:r>
                          <w:rPr>
                            <w:color w:val="231F20"/>
                            <w:w w:val="95"/>
                            <w:sz w:val="14"/>
                          </w:rPr>
                          <w:t>Lack of funds</w:t>
                        </w:r>
                      </w:p>
                    </w:tc>
                    <w:tc>
                      <w:tcPr>
                        <w:tcW w:w="1487" w:type="dxa"/>
                      </w:tcPr>
                      <w:p w14:paraId="2A32173D" w14:textId="77777777" w:rsidR="00080B77" w:rsidRDefault="00080B77">
                        <w:pPr>
                          <w:pStyle w:val="TableParagraph"/>
                          <w:spacing w:before="6"/>
                          <w:rPr>
                            <w:sz w:val="13"/>
                          </w:rPr>
                        </w:pPr>
                      </w:p>
                      <w:p w14:paraId="5EB250AE" w14:textId="77777777" w:rsidR="00080B77" w:rsidRDefault="00080B77">
                        <w:pPr>
                          <w:pStyle w:val="TableParagraph"/>
                          <w:ind w:left="28"/>
                          <w:rPr>
                            <w:sz w:val="14"/>
                          </w:rPr>
                        </w:pPr>
                        <w:r>
                          <w:rPr>
                            <w:color w:val="231F20"/>
                            <w:w w:val="95"/>
                            <w:sz w:val="14"/>
                          </w:rPr>
                          <w:t>Set</w:t>
                        </w:r>
                        <w:r>
                          <w:rPr>
                            <w:color w:val="231F20"/>
                            <w:spacing w:val="-27"/>
                            <w:w w:val="95"/>
                            <w:sz w:val="14"/>
                          </w:rPr>
                          <w:t xml:space="preserve"> </w:t>
                        </w:r>
                        <w:r>
                          <w:rPr>
                            <w:color w:val="231F20"/>
                            <w:w w:val="95"/>
                            <w:sz w:val="14"/>
                          </w:rPr>
                          <w:t>up</w:t>
                        </w:r>
                        <w:r>
                          <w:rPr>
                            <w:color w:val="231F20"/>
                            <w:spacing w:val="-26"/>
                            <w:w w:val="95"/>
                            <w:sz w:val="14"/>
                          </w:rPr>
                          <w:t xml:space="preserve"> </w:t>
                        </w:r>
                        <w:r>
                          <w:rPr>
                            <w:color w:val="231F20"/>
                            <w:w w:val="95"/>
                            <w:sz w:val="14"/>
                          </w:rPr>
                          <w:t>state</w:t>
                        </w:r>
                        <w:r>
                          <w:rPr>
                            <w:color w:val="231F20"/>
                            <w:spacing w:val="-26"/>
                            <w:w w:val="95"/>
                            <w:sz w:val="14"/>
                          </w:rPr>
                          <w:t xml:space="preserve"> </w:t>
                        </w:r>
                        <w:r>
                          <w:rPr>
                            <w:color w:val="231F20"/>
                            <w:w w:val="95"/>
                            <w:sz w:val="14"/>
                          </w:rPr>
                          <w:t>IPSM</w:t>
                        </w:r>
                        <w:r>
                          <w:rPr>
                            <w:color w:val="231F20"/>
                            <w:spacing w:val="-26"/>
                            <w:w w:val="95"/>
                            <w:sz w:val="14"/>
                          </w:rPr>
                          <w:t xml:space="preserve"> </w:t>
                        </w:r>
                        <w:r>
                          <w:rPr>
                            <w:color w:val="231F20"/>
                            <w:w w:val="95"/>
                            <w:sz w:val="14"/>
                          </w:rPr>
                          <w:t>&amp;</w:t>
                        </w:r>
                        <w:r>
                          <w:rPr>
                            <w:color w:val="231F20"/>
                            <w:spacing w:val="-27"/>
                            <w:w w:val="95"/>
                            <w:sz w:val="14"/>
                          </w:rPr>
                          <w:t xml:space="preserve"> </w:t>
                        </w:r>
                        <w:r>
                          <w:rPr>
                            <w:color w:val="231F20"/>
                            <w:w w:val="95"/>
                            <w:sz w:val="14"/>
                          </w:rPr>
                          <w:t>TWG</w:t>
                        </w:r>
                      </w:p>
                    </w:tc>
                  </w:tr>
                  <w:tr w:rsidR="00080B77" w14:paraId="61081102" w14:textId="77777777">
                    <w:trPr>
                      <w:trHeight w:val="333"/>
                    </w:trPr>
                    <w:tc>
                      <w:tcPr>
                        <w:tcW w:w="1027" w:type="dxa"/>
                        <w:gridSpan w:val="3"/>
                        <w:vMerge/>
                        <w:tcBorders>
                          <w:top w:val="nil"/>
                          <w:bottom w:val="nil"/>
                        </w:tcBorders>
                      </w:tcPr>
                      <w:p w14:paraId="72098402" w14:textId="77777777" w:rsidR="00080B77" w:rsidRDefault="00080B77">
                        <w:pPr>
                          <w:rPr>
                            <w:sz w:val="2"/>
                            <w:szCs w:val="2"/>
                          </w:rPr>
                        </w:pPr>
                      </w:p>
                    </w:tc>
                    <w:tc>
                      <w:tcPr>
                        <w:tcW w:w="519" w:type="dxa"/>
                      </w:tcPr>
                      <w:p w14:paraId="721A323D" w14:textId="77777777" w:rsidR="00080B77" w:rsidRDefault="00080B77">
                        <w:pPr>
                          <w:pStyle w:val="TableParagraph"/>
                          <w:spacing w:before="86"/>
                          <w:ind w:left="21" w:right="11"/>
                          <w:jc w:val="center"/>
                          <w:rPr>
                            <w:sz w:val="14"/>
                          </w:rPr>
                        </w:pPr>
                        <w:r>
                          <w:rPr>
                            <w:color w:val="231F20"/>
                            <w:w w:val="85"/>
                            <w:sz w:val="14"/>
                          </w:rPr>
                          <w:t>11.1.1.e</w:t>
                        </w:r>
                      </w:p>
                    </w:tc>
                    <w:tc>
                      <w:tcPr>
                        <w:tcW w:w="4840" w:type="dxa"/>
                        <w:gridSpan w:val="2"/>
                      </w:tcPr>
                      <w:p w14:paraId="7206558E" w14:textId="77777777" w:rsidR="00080B77" w:rsidRDefault="00080B77">
                        <w:pPr>
                          <w:pStyle w:val="TableParagraph"/>
                          <w:spacing w:line="158" w:lineRule="exact"/>
                          <w:ind w:left="24"/>
                          <w:rPr>
                            <w:sz w:val="14"/>
                          </w:rPr>
                        </w:pPr>
                        <w:r>
                          <w:rPr>
                            <w:color w:val="231F20"/>
                            <w:w w:val="85"/>
                            <w:sz w:val="14"/>
                          </w:rPr>
                          <w:t>Conduct</w:t>
                        </w:r>
                        <w:r>
                          <w:rPr>
                            <w:color w:val="231F20"/>
                            <w:spacing w:val="-6"/>
                            <w:w w:val="85"/>
                            <w:sz w:val="14"/>
                          </w:rPr>
                          <w:t xml:space="preserve"> </w:t>
                        </w:r>
                        <w:r>
                          <w:rPr>
                            <w:color w:val="231F20"/>
                            <w:w w:val="85"/>
                            <w:sz w:val="14"/>
                          </w:rPr>
                          <w:t>an</w:t>
                        </w:r>
                        <w:r>
                          <w:rPr>
                            <w:color w:val="231F20"/>
                            <w:spacing w:val="-6"/>
                            <w:w w:val="85"/>
                            <w:sz w:val="14"/>
                          </w:rPr>
                          <w:t xml:space="preserve"> </w:t>
                        </w:r>
                        <w:r>
                          <w:rPr>
                            <w:color w:val="231F20"/>
                            <w:w w:val="85"/>
                            <w:sz w:val="14"/>
                          </w:rPr>
                          <w:t>integrated</w:t>
                        </w:r>
                        <w:r>
                          <w:rPr>
                            <w:color w:val="231F20"/>
                            <w:spacing w:val="-6"/>
                            <w:w w:val="85"/>
                            <w:sz w:val="14"/>
                          </w:rPr>
                          <w:t xml:space="preserve"> </w:t>
                        </w:r>
                        <w:r>
                          <w:rPr>
                            <w:color w:val="231F20"/>
                            <w:w w:val="85"/>
                            <w:sz w:val="14"/>
                          </w:rPr>
                          <w:t>State</w:t>
                        </w:r>
                        <w:r>
                          <w:rPr>
                            <w:color w:val="231F20"/>
                            <w:spacing w:val="-5"/>
                            <w:w w:val="85"/>
                            <w:sz w:val="14"/>
                          </w:rPr>
                          <w:t xml:space="preserve"> </w:t>
                        </w:r>
                        <w:r>
                          <w:rPr>
                            <w:color w:val="231F20"/>
                            <w:w w:val="85"/>
                            <w:sz w:val="14"/>
                          </w:rPr>
                          <w:t>stock</w:t>
                        </w:r>
                        <w:r>
                          <w:rPr>
                            <w:color w:val="231F20"/>
                            <w:spacing w:val="-6"/>
                            <w:w w:val="85"/>
                            <w:sz w:val="14"/>
                          </w:rPr>
                          <w:t xml:space="preserve"> </w:t>
                        </w:r>
                        <w:r>
                          <w:rPr>
                            <w:color w:val="231F20"/>
                            <w:w w:val="85"/>
                            <w:sz w:val="14"/>
                          </w:rPr>
                          <w:t>status</w:t>
                        </w:r>
                        <w:r>
                          <w:rPr>
                            <w:color w:val="231F20"/>
                            <w:spacing w:val="-6"/>
                            <w:w w:val="85"/>
                            <w:sz w:val="14"/>
                          </w:rPr>
                          <w:t xml:space="preserve"> </w:t>
                        </w:r>
                        <w:r>
                          <w:rPr>
                            <w:color w:val="231F20"/>
                            <w:w w:val="85"/>
                            <w:sz w:val="14"/>
                          </w:rPr>
                          <w:t>of</w:t>
                        </w:r>
                        <w:r>
                          <w:rPr>
                            <w:color w:val="231F20"/>
                            <w:spacing w:val="-6"/>
                            <w:w w:val="85"/>
                            <w:sz w:val="14"/>
                          </w:rPr>
                          <w:t xml:space="preserve"> </w:t>
                        </w:r>
                        <w:r>
                          <w:rPr>
                            <w:color w:val="231F20"/>
                            <w:w w:val="85"/>
                            <w:sz w:val="14"/>
                          </w:rPr>
                          <w:t>public</w:t>
                        </w:r>
                        <w:r>
                          <w:rPr>
                            <w:color w:val="231F20"/>
                            <w:spacing w:val="-5"/>
                            <w:w w:val="85"/>
                            <w:sz w:val="14"/>
                          </w:rPr>
                          <w:t xml:space="preserve"> </w:t>
                        </w:r>
                        <w:r>
                          <w:rPr>
                            <w:color w:val="231F20"/>
                            <w:w w:val="85"/>
                            <w:sz w:val="14"/>
                          </w:rPr>
                          <w:t>health</w:t>
                        </w:r>
                        <w:r>
                          <w:rPr>
                            <w:color w:val="231F20"/>
                            <w:spacing w:val="-6"/>
                            <w:w w:val="85"/>
                            <w:sz w:val="14"/>
                          </w:rPr>
                          <w:t xml:space="preserve"> </w:t>
                        </w:r>
                        <w:r>
                          <w:rPr>
                            <w:color w:val="231F20"/>
                            <w:w w:val="85"/>
                            <w:sz w:val="14"/>
                          </w:rPr>
                          <w:t>commodities</w:t>
                        </w:r>
                        <w:r>
                          <w:rPr>
                            <w:color w:val="231F20"/>
                            <w:spacing w:val="-6"/>
                            <w:w w:val="85"/>
                            <w:sz w:val="14"/>
                          </w:rPr>
                          <w:t xml:space="preserve"> </w:t>
                        </w:r>
                        <w:r>
                          <w:rPr>
                            <w:color w:val="231F20"/>
                            <w:w w:val="85"/>
                            <w:sz w:val="14"/>
                          </w:rPr>
                          <w:t>meeting</w:t>
                        </w:r>
                        <w:r>
                          <w:rPr>
                            <w:color w:val="231F20"/>
                            <w:spacing w:val="-6"/>
                            <w:w w:val="85"/>
                            <w:sz w:val="14"/>
                          </w:rPr>
                          <w:t xml:space="preserve"> </w:t>
                        </w:r>
                        <w:r>
                          <w:rPr>
                            <w:color w:val="231F20"/>
                            <w:w w:val="85"/>
                            <w:sz w:val="14"/>
                          </w:rPr>
                          <w:t>at</w:t>
                        </w:r>
                        <w:r>
                          <w:rPr>
                            <w:color w:val="231F20"/>
                            <w:spacing w:val="-5"/>
                            <w:w w:val="85"/>
                            <w:sz w:val="14"/>
                          </w:rPr>
                          <w:t xml:space="preserve"> </w:t>
                        </w:r>
                        <w:r>
                          <w:rPr>
                            <w:color w:val="231F20"/>
                            <w:w w:val="85"/>
                            <w:sz w:val="14"/>
                          </w:rPr>
                          <w:t>State</w:t>
                        </w:r>
                        <w:r>
                          <w:rPr>
                            <w:color w:val="231F20"/>
                            <w:spacing w:val="-6"/>
                            <w:w w:val="85"/>
                            <w:sz w:val="14"/>
                          </w:rPr>
                          <w:t xml:space="preserve"> </w:t>
                        </w:r>
                        <w:r>
                          <w:rPr>
                            <w:color w:val="231F20"/>
                            <w:w w:val="85"/>
                            <w:sz w:val="14"/>
                          </w:rPr>
                          <w:t>and</w:t>
                        </w:r>
                      </w:p>
                      <w:p w14:paraId="780D0B1D" w14:textId="77777777" w:rsidR="00080B77" w:rsidRDefault="00080B77">
                        <w:pPr>
                          <w:pStyle w:val="TableParagraph"/>
                          <w:spacing w:before="10" w:line="146" w:lineRule="exact"/>
                          <w:ind w:left="24"/>
                          <w:rPr>
                            <w:sz w:val="14"/>
                          </w:rPr>
                        </w:pPr>
                        <w:r>
                          <w:rPr>
                            <w:color w:val="231F20"/>
                            <w:w w:val="95"/>
                            <w:sz w:val="14"/>
                          </w:rPr>
                          <w:t>LGA levels</w:t>
                        </w:r>
                      </w:p>
                    </w:tc>
                    <w:tc>
                      <w:tcPr>
                        <w:tcW w:w="1410" w:type="dxa"/>
                      </w:tcPr>
                      <w:p w14:paraId="27705258" w14:textId="77777777" w:rsidR="00080B77" w:rsidRDefault="00080B77">
                        <w:pPr>
                          <w:pStyle w:val="TableParagraph"/>
                          <w:spacing w:before="86"/>
                          <w:ind w:left="26"/>
                          <w:rPr>
                            <w:sz w:val="14"/>
                          </w:rPr>
                        </w:pPr>
                        <w:r>
                          <w:rPr>
                            <w:color w:val="231F20"/>
                            <w:w w:val="95"/>
                            <w:sz w:val="14"/>
                          </w:rPr>
                          <w:t>Lack of funds</w:t>
                        </w:r>
                      </w:p>
                    </w:tc>
                    <w:tc>
                      <w:tcPr>
                        <w:tcW w:w="1487" w:type="dxa"/>
                      </w:tcPr>
                      <w:p w14:paraId="1B13C8B9" w14:textId="77777777" w:rsidR="00080B77" w:rsidRDefault="00080B77">
                        <w:pPr>
                          <w:pStyle w:val="TableParagraph"/>
                          <w:spacing w:before="86"/>
                          <w:ind w:left="28"/>
                          <w:rPr>
                            <w:sz w:val="14"/>
                          </w:rPr>
                        </w:pPr>
                        <w:r>
                          <w:rPr>
                            <w:color w:val="231F20"/>
                            <w:w w:val="95"/>
                            <w:sz w:val="14"/>
                          </w:rPr>
                          <w:t>Conduct meeting</w:t>
                        </w:r>
                      </w:p>
                    </w:tc>
                  </w:tr>
                  <w:tr w:rsidR="00080B77" w14:paraId="13EAF3DF" w14:textId="77777777">
                    <w:trPr>
                      <w:trHeight w:val="1506"/>
                    </w:trPr>
                    <w:tc>
                      <w:tcPr>
                        <w:tcW w:w="578" w:type="dxa"/>
                        <w:gridSpan w:val="2"/>
                        <w:tcBorders>
                          <w:top w:val="nil"/>
                          <w:bottom w:val="nil"/>
                        </w:tcBorders>
                      </w:tcPr>
                      <w:p w14:paraId="0D817596" w14:textId="77777777" w:rsidR="00080B77" w:rsidRDefault="00080B77">
                        <w:pPr>
                          <w:pStyle w:val="TableParagraph"/>
                          <w:rPr>
                            <w:rFonts w:ascii="Times New Roman"/>
                            <w:sz w:val="10"/>
                          </w:rPr>
                        </w:pPr>
                      </w:p>
                    </w:tc>
                    <w:tc>
                      <w:tcPr>
                        <w:tcW w:w="449" w:type="dxa"/>
                        <w:shd w:val="clear" w:color="auto" w:fill="CCE7D3"/>
                      </w:tcPr>
                      <w:p w14:paraId="3A88B8A2" w14:textId="77777777" w:rsidR="00080B77" w:rsidRDefault="00080B77">
                        <w:pPr>
                          <w:pStyle w:val="TableParagraph"/>
                          <w:rPr>
                            <w:sz w:val="14"/>
                          </w:rPr>
                        </w:pPr>
                      </w:p>
                      <w:p w14:paraId="2A200116" w14:textId="77777777" w:rsidR="00080B77" w:rsidRDefault="00080B77">
                        <w:pPr>
                          <w:pStyle w:val="TableParagraph"/>
                          <w:rPr>
                            <w:sz w:val="14"/>
                          </w:rPr>
                        </w:pPr>
                      </w:p>
                      <w:p w14:paraId="28D6617D" w14:textId="77777777" w:rsidR="00080B77" w:rsidRDefault="00080B77">
                        <w:pPr>
                          <w:pStyle w:val="TableParagraph"/>
                          <w:rPr>
                            <w:sz w:val="14"/>
                          </w:rPr>
                        </w:pPr>
                      </w:p>
                      <w:p w14:paraId="4366D09A" w14:textId="77777777" w:rsidR="00080B77" w:rsidRDefault="00080B77">
                        <w:pPr>
                          <w:pStyle w:val="TableParagraph"/>
                          <w:spacing w:before="5"/>
                          <w:rPr>
                            <w:sz w:val="16"/>
                          </w:rPr>
                        </w:pPr>
                      </w:p>
                      <w:p w14:paraId="5A5D75C4" w14:textId="77777777" w:rsidR="00080B77" w:rsidRDefault="00080B77">
                        <w:pPr>
                          <w:pStyle w:val="TableParagraph"/>
                          <w:ind w:left="55"/>
                          <w:rPr>
                            <w:sz w:val="14"/>
                          </w:rPr>
                        </w:pPr>
                        <w:r>
                          <w:rPr>
                            <w:color w:val="231F20"/>
                            <w:w w:val="90"/>
                            <w:sz w:val="14"/>
                          </w:rPr>
                          <w:t>11.1.2</w:t>
                        </w:r>
                      </w:p>
                    </w:tc>
                    <w:tc>
                      <w:tcPr>
                        <w:tcW w:w="3002" w:type="dxa"/>
                        <w:gridSpan w:val="2"/>
                        <w:shd w:val="clear" w:color="auto" w:fill="CCE7D3"/>
                      </w:tcPr>
                      <w:p w14:paraId="4E7BC787" w14:textId="77777777" w:rsidR="00080B77" w:rsidRDefault="00080B77">
                        <w:pPr>
                          <w:pStyle w:val="TableParagraph"/>
                          <w:rPr>
                            <w:sz w:val="14"/>
                          </w:rPr>
                        </w:pPr>
                      </w:p>
                      <w:p w14:paraId="7DA27263" w14:textId="77777777" w:rsidR="00080B77" w:rsidRDefault="00080B77">
                        <w:pPr>
                          <w:pStyle w:val="TableParagraph"/>
                          <w:rPr>
                            <w:sz w:val="14"/>
                          </w:rPr>
                        </w:pPr>
                      </w:p>
                      <w:p w14:paraId="5C0B32D4" w14:textId="77777777" w:rsidR="00080B77" w:rsidRDefault="00080B77">
                        <w:pPr>
                          <w:pStyle w:val="TableParagraph"/>
                          <w:spacing w:before="88" w:line="254" w:lineRule="auto"/>
                          <w:ind w:left="23" w:right="7" w:firstLine="32"/>
                          <w:rPr>
                            <w:sz w:val="14"/>
                          </w:rPr>
                        </w:pPr>
                        <w:r>
                          <w:rPr>
                            <w:color w:val="231F20"/>
                            <w:w w:val="90"/>
                            <w:sz w:val="14"/>
                          </w:rPr>
                          <w:t xml:space="preserve">Strengthen effective coordination of structures that </w:t>
                        </w:r>
                        <w:r>
                          <w:rPr>
                            <w:color w:val="231F20"/>
                            <w:w w:val="95"/>
                            <w:sz w:val="14"/>
                          </w:rPr>
                          <w:t xml:space="preserve">ensures accessibility of medicines, vaccines, </w:t>
                        </w:r>
                        <w:r>
                          <w:rPr>
                            <w:color w:val="231F20"/>
                            <w:w w:val="85"/>
                            <w:sz w:val="14"/>
                          </w:rPr>
                          <w:t xml:space="preserve">commodities and other technologies at all levels and at </w:t>
                        </w:r>
                        <w:r>
                          <w:rPr>
                            <w:color w:val="231F20"/>
                            <w:w w:val="95"/>
                            <w:sz w:val="14"/>
                          </w:rPr>
                          <w:t>all times</w:t>
                        </w:r>
                      </w:p>
                    </w:tc>
                    <w:tc>
                      <w:tcPr>
                        <w:tcW w:w="2357" w:type="dxa"/>
                        <w:shd w:val="clear" w:color="auto" w:fill="CCE7D3"/>
                      </w:tcPr>
                      <w:p w14:paraId="34A9DA64" w14:textId="77777777" w:rsidR="00080B77" w:rsidRDefault="00080B77">
                        <w:pPr>
                          <w:pStyle w:val="TableParagraph"/>
                          <w:numPr>
                            <w:ilvl w:val="0"/>
                            <w:numId w:val="45"/>
                          </w:numPr>
                          <w:tabs>
                            <w:tab w:val="left" w:pos="93"/>
                          </w:tabs>
                          <w:spacing w:line="254" w:lineRule="auto"/>
                          <w:ind w:right="362" w:firstLine="0"/>
                          <w:rPr>
                            <w:sz w:val="14"/>
                          </w:rPr>
                        </w:pPr>
                        <w:r>
                          <w:rPr>
                            <w:color w:val="231F20"/>
                            <w:w w:val="95"/>
                            <w:sz w:val="14"/>
                          </w:rPr>
                          <w:t xml:space="preserve">Advocacy to state &amp; LGs for the </w:t>
                        </w:r>
                        <w:r>
                          <w:rPr>
                            <w:color w:val="231F20"/>
                            <w:w w:val="85"/>
                            <w:sz w:val="14"/>
                          </w:rPr>
                          <w:t>establishment</w:t>
                        </w:r>
                        <w:r>
                          <w:rPr>
                            <w:color w:val="231F20"/>
                            <w:spacing w:val="-7"/>
                            <w:w w:val="85"/>
                            <w:sz w:val="14"/>
                          </w:rPr>
                          <w:t xml:space="preserve"> </w:t>
                        </w:r>
                        <w:r>
                          <w:rPr>
                            <w:color w:val="231F20"/>
                            <w:w w:val="85"/>
                            <w:sz w:val="14"/>
                          </w:rPr>
                          <w:t>of</w:t>
                        </w:r>
                        <w:r>
                          <w:rPr>
                            <w:color w:val="231F20"/>
                            <w:spacing w:val="-7"/>
                            <w:w w:val="85"/>
                            <w:sz w:val="14"/>
                          </w:rPr>
                          <w:t xml:space="preserve"> </w:t>
                        </w:r>
                        <w:r>
                          <w:rPr>
                            <w:color w:val="231F20"/>
                            <w:w w:val="85"/>
                            <w:sz w:val="14"/>
                          </w:rPr>
                          <w:t>funding</w:t>
                        </w:r>
                        <w:r>
                          <w:rPr>
                            <w:color w:val="231F20"/>
                            <w:spacing w:val="-7"/>
                            <w:w w:val="85"/>
                            <w:sz w:val="14"/>
                          </w:rPr>
                          <w:t xml:space="preserve"> </w:t>
                        </w:r>
                        <w:r>
                          <w:rPr>
                            <w:color w:val="231F20"/>
                            <w:w w:val="85"/>
                            <w:sz w:val="14"/>
                          </w:rPr>
                          <w:t>streams</w:t>
                        </w:r>
                        <w:r>
                          <w:rPr>
                            <w:color w:val="231F20"/>
                            <w:spacing w:val="-7"/>
                            <w:w w:val="85"/>
                            <w:sz w:val="14"/>
                          </w:rPr>
                          <w:t xml:space="preserve"> </w:t>
                        </w:r>
                        <w:r>
                          <w:rPr>
                            <w:color w:val="231F20"/>
                            <w:spacing w:val="-4"/>
                            <w:w w:val="85"/>
                            <w:sz w:val="14"/>
                          </w:rPr>
                          <w:t xml:space="preserve">and </w:t>
                        </w:r>
                        <w:r>
                          <w:rPr>
                            <w:color w:val="231F20"/>
                            <w:w w:val="95"/>
                            <w:sz w:val="14"/>
                          </w:rPr>
                          <w:t>explore</w:t>
                        </w:r>
                        <w:r>
                          <w:rPr>
                            <w:color w:val="231F20"/>
                            <w:spacing w:val="-8"/>
                            <w:w w:val="95"/>
                            <w:sz w:val="14"/>
                          </w:rPr>
                          <w:t xml:space="preserve"> </w:t>
                        </w:r>
                        <w:r>
                          <w:rPr>
                            <w:color w:val="231F20"/>
                            <w:w w:val="95"/>
                            <w:sz w:val="14"/>
                          </w:rPr>
                          <w:t>PPP</w:t>
                        </w:r>
                      </w:p>
                      <w:p w14:paraId="732BECF7" w14:textId="77777777" w:rsidR="00080B77" w:rsidRDefault="00080B77">
                        <w:pPr>
                          <w:pStyle w:val="TableParagraph"/>
                          <w:numPr>
                            <w:ilvl w:val="0"/>
                            <w:numId w:val="45"/>
                          </w:numPr>
                          <w:tabs>
                            <w:tab w:val="left" w:pos="68"/>
                          </w:tabs>
                          <w:spacing w:line="254" w:lineRule="auto"/>
                          <w:ind w:right="145" w:firstLine="0"/>
                          <w:rPr>
                            <w:sz w:val="14"/>
                          </w:rPr>
                        </w:pPr>
                        <w:r>
                          <w:rPr>
                            <w:color w:val="231F20"/>
                            <w:w w:val="85"/>
                            <w:sz w:val="14"/>
                          </w:rPr>
                          <w:t>Quality</w:t>
                        </w:r>
                        <w:r>
                          <w:rPr>
                            <w:color w:val="231F20"/>
                            <w:spacing w:val="-7"/>
                            <w:w w:val="85"/>
                            <w:sz w:val="14"/>
                          </w:rPr>
                          <w:t xml:space="preserve"> </w:t>
                        </w:r>
                        <w:r>
                          <w:rPr>
                            <w:color w:val="231F20"/>
                            <w:w w:val="85"/>
                            <w:sz w:val="14"/>
                          </w:rPr>
                          <w:t>data</w:t>
                        </w:r>
                        <w:r>
                          <w:rPr>
                            <w:color w:val="231F20"/>
                            <w:spacing w:val="-6"/>
                            <w:w w:val="85"/>
                            <w:sz w:val="14"/>
                          </w:rPr>
                          <w:t xml:space="preserve"> </w:t>
                        </w:r>
                        <w:r>
                          <w:rPr>
                            <w:color w:val="231F20"/>
                            <w:w w:val="85"/>
                            <w:sz w:val="14"/>
                          </w:rPr>
                          <w:t>generated</w:t>
                        </w:r>
                        <w:r>
                          <w:rPr>
                            <w:color w:val="231F20"/>
                            <w:spacing w:val="-6"/>
                            <w:w w:val="85"/>
                            <w:sz w:val="14"/>
                          </w:rPr>
                          <w:t xml:space="preserve"> </w:t>
                        </w:r>
                        <w:r>
                          <w:rPr>
                            <w:color w:val="231F20"/>
                            <w:w w:val="85"/>
                            <w:sz w:val="14"/>
                          </w:rPr>
                          <w:t>that</w:t>
                        </w:r>
                        <w:r>
                          <w:rPr>
                            <w:color w:val="231F20"/>
                            <w:spacing w:val="-6"/>
                            <w:w w:val="85"/>
                            <w:sz w:val="14"/>
                          </w:rPr>
                          <w:t xml:space="preserve"> </w:t>
                        </w:r>
                        <w:r>
                          <w:rPr>
                            <w:color w:val="231F20"/>
                            <w:w w:val="85"/>
                            <w:sz w:val="14"/>
                          </w:rPr>
                          <w:t>will</w:t>
                        </w:r>
                        <w:r>
                          <w:rPr>
                            <w:color w:val="231F20"/>
                            <w:spacing w:val="-7"/>
                            <w:w w:val="85"/>
                            <w:sz w:val="14"/>
                          </w:rPr>
                          <w:t xml:space="preserve"> </w:t>
                        </w:r>
                        <w:r>
                          <w:rPr>
                            <w:color w:val="231F20"/>
                            <w:w w:val="85"/>
                            <w:sz w:val="14"/>
                          </w:rPr>
                          <w:t>guide</w:t>
                        </w:r>
                        <w:r>
                          <w:rPr>
                            <w:color w:val="231F20"/>
                            <w:spacing w:val="-6"/>
                            <w:w w:val="85"/>
                            <w:sz w:val="14"/>
                          </w:rPr>
                          <w:t xml:space="preserve"> </w:t>
                        </w:r>
                        <w:r>
                          <w:rPr>
                            <w:color w:val="231F20"/>
                            <w:w w:val="85"/>
                            <w:sz w:val="14"/>
                          </w:rPr>
                          <w:t xml:space="preserve">the </w:t>
                        </w:r>
                        <w:r>
                          <w:rPr>
                            <w:color w:val="231F20"/>
                            <w:w w:val="95"/>
                            <w:sz w:val="14"/>
                          </w:rPr>
                          <w:t xml:space="preserve">state in supply planning for health </w:t>
                        </w:r>
                        <w:r>
                          <w:rPr>
                            <w:color w:val="231F20"/>
                            <w:w w:val="85"/>
                            <w:sz w:val="14"/>
                          </w:rPr>
                          <w:t>commodities distribution &amp;</w:t>
                        </w:r>
                        <w:r>
                          <w:rPr>
                            <w:color w:val="231F20"/>
                            <w:spacing w:val="-22"/>
                            <w:w w:val="85"/>
                            <w:sz w:val="14"/>
                          </w:rPr>
                          <w:t xml:space="preserve"> </w:t>
                        </w:r>
                        <w:r>
                          <w:rPr>
                            <w:color w:val="231F20"/>
                            <w:w w:val="85"/>
                            <w:sz w:val="14"/>
                          </w:rPr>
                          <w:t>redistribution.</w:t>
                        </w:r>
                      </w:p>
                      <w:p w14:paraId="772EBA3C" w14:textId="77777777" w:rsidR="00080B77" w:rsidRDefault="00080B77">
                        <w:pPr>
                          <w:pStyle w:val="TableParagraph"/>
                          <w:numPr>
                            <w:ilvl w:val="0"/>
                            <w:numId w:val="45"/>
                          </w:numPr>
                          <w:tabs>
                            <w:tab w:val="left" w:pos="100"/>
                          </w:tabs>
                          <w:spacing w:line="254" w:lineRule="auto"/>
                          <w:ind w:right="237" w:firstLine="0"/>
                          <w:rPr>
                            <w:sz w:val="14"/>
                          </w:rPr>
                        </w:pPr>
                        <w:r>
                          <w:rPr>
                            <w:color w:val="231F20"/>
                            <w:w w:val="85"/>
                            <w:sz w:val="14"/>
                          </w:rPr>
                          <w:t>Last</w:t>
                        </w:r>
                        <w:r>
                          <w:rPr>
                            <w:color w:val="231F20"/>
                            <w:spacing w:val="-7"/>
                            <w:w w:val="85"/>
                            <w:sz w:val="14"/>
                          </w:rPr>
                          <w:t xml:space="preserve"> </w:t>
                        </w:r>
                        <w:r>
                          <w:rPr>
                            <w:color w:val="231F20"/>
                            <w:w w:val="85"/>
                            <w:sz w:val="14"/>
                          </w:rPr>
                          <w:t>Mile</w:t>
                        </w:r>
                        <w:r>
                          <w:rPr>
                            <w:color w:val="231F20"/>
                            <w:spacing w:val="-7"/>
                            <w:w w:val="85"/>
                            <w:sz w:val="14"/>
                          </w:rPr>
                          <w:t xml:space="preserve"> </w:t>
                        </w:r>
                        <w:r>
                          <w:rPr>
                            <w:color w:val="231F20"/>
                            <w:w w:val="85"/>
                            <w:sz w:val="14"/>
                          </w:rPr>
                          <w:t>distribution</w:t>
                        </w:r>
                        <w:r>
                          <w:rPr>
                            <w:color w:val="231F20"/>
                            <w:spacing w:val="-7"/>
                            <w:w w:val="85"/>
                            <w:sz w:val="14"/>
                          </w:rPr>
                          <w:t xml:space="preserve"> </w:t>
                        </w:r>
                        <w:r>
                          <w:rPr>
                            <w:color w:val="231F20"/>
                            <w:w w:val="85"/>
                            <w:sz w:val="14"/>
                          </w:rPr>
                          <w:t>to</w:t>
                        </w:r>
                        <w:r>
                          <w:rPr>
                            <w:color w:val="231F20"/>
                            <w:spacing w:val="-7"/>
                            <w:w w:val="85"/>
                            <w:sz w:val="14"/>
                          </w:rPr>
                          <w:t xml:space="preserve"> </w:t>
                        </w:r>
                        <w:r>
                          <w:rPr>
                            <w:color w:val="231F20"/>
                            <w:w w:val="85"/>
                            <w:sz w:val="14"/>
                          </w:rPr>
                          <w:t>health</w:t>
                        </w:r>
                        <w:r>
                          <w:rPr>
                            <w:color w:val="231F20"/>
                            <w:spacing w:val="-7"/>
                            <w:w w:val="85"/>
                            <w:sz w:val="14"/>
                          </w:rPr>
                          <w:t xml:space="preserve"> </w:t>
                        </w:r>
                        <w:r>
                          <w:rPr>
                            <w:color w:val="231F20"/>
                            <w:w w:val="85"/>
                            <w:sz w:val="14"/>
                          </w:rPr>
                          <w:t xml:space="preserve">facilities </w:t>
                        </w:r>
                        <w:r>
                          <w:rPr>
                            <w:color w:val="231F20"/>
                            <w:w w:val="95"/>
                            <w:sz w:val="14"/>
                          </w:rPr>
                          <w:t>(HFs)</w:t>
                        </w:r>
                        <w:r>
                          <w:rPr>
                            <w:color w:val="231F20"/>
                            <w:spacing w:val="-21"/>
                            <w:w w:val="95"/>
                            <w:sz w:val="14"/>
                          </w:rPr>
                          <w:t xml:space="preserve"> </w:t>
                        </w:r>
                        <w:r>
                          <w:rPr>
                            <w:color w:val="231F20"/>
                            <w:w w:val="95"/>
                            <w:sz w:val="14"/>
                          </w:rPr>
                          <w:t>in</w:t>
                        </w:r>
                        <w:r>
                          <w:rPr>
                            <w:color w:val="231F20"/>
                            <w:spacing w:val="-21"/>
                            <w:w w:val="95"/>
                            <w:sz w:val="14"/>
                          </w:rPr>
                          <w:t xml:space="preserve"> </w:t>
                        </w:r>
                        <w:r>
                          <w:rPr>
                            <w:color w:val="231F20"/>
                            <w:w w:val="95"/>
                            <w:sz w:val="14"/>
                          </w:rPr>
                          <w:t>the</w:t>
                        </w:r>
                        <w:r>
                          <w:rPr>
                            <w:color w:val="231F20"/>
                            <w:spacing w:val="-21"/>
                            <w:w w:val="95"/>
                            <w:sz w:val="14"/>
                          </w:rPr>
                          <w:t xml:space="preserve"> </w:t>
                        </w:r>
                        <w:r>
                          <w:rPr>
                            <w:color w:val="231F20"/>
                            <w:w w:val="95"/>
                            <w:sz w:val="14"/>
                          </w:rPr>
                          <w:t>state</w:t>
                        </w:r>
                        <w:r>
                          <w:rPr>
                            <w:color w:val="231F20"/>
                            <w:spacing w:val="-21"/>
                            <w:w w:val="95"/>
                            <w:sz w:val="14"/>
                          </w:rPr>
                          <w:t xml:space="preserve"> </w:t>
                        </w:r>
                        <w:r>
                          <w:rPr>
                            <w:color w:val="231F20"/>
                            <w:w w:val="95"/>
                            <w:sz w:val="14"/>
                          </w:rPr>
                          <w:t>done</w:t>
                        </w:r>
                        <w:r>
                          <w:rPr>
                            <w:color w:val="231F20"/>
                            <w:spacing w:val="-21"/>
                            <w:w w:val="95"/>
                            <w:sz w:val="14"/>
                          </w:rPr>
                          <w:t xml:space="preserve"> </w:t>
                        </w:r>
                        <w:r>
                          <w:rPr>
                            <w:color w:val="231F20"/>
                            <w:w w:val="95"/>
                            <w:sz w:val="14"/>
                          </w:rPr>
                          <w:t>and</w:t>
                        </w:r>
                        <w:r>
                          <w:rPr>
                            <w:color w:val="231F20"/>
                            <w:spacing w:val="-21"/>
                            <w:w w:val="95"/>
                            <w:sz w:val="14"/>
                          </w:rPr>
                          <w:t xml:space="preserve"> </w:t>
                        </w:r>
                        <w:r>
                          <w:rPr>
                            <w:color w:val="231F20"/>
                            <w:w w:val="95"/>
                            <w:sz w:val="14"/>
                          </w:rPr>
                          <w:t>Proof</w:t>
                        </w:r>
                        <w:r>
                          <w:rPr>
                            <w:color w:val="231F20"/>
                            <w:spacing w:val="-21"/>
                            <w:w w:val="95"/>
                            <w:sz w:val="14"/>
                          </w:rPr>
                          <w:t xml:space="preserve"> </w:t>
                        </w:r>
                        <w:r>
                          <w:rPr>
                            <w:color w:val="231F20"/>
                            <w:w w:val="95"/>
                            <w:sz w:val="14"/>
                          </w:rPr>
                          <w:t>of</w:t>
                        </w:r>
                      </w:p>
                      <w:p w14:paraId="56AB8F66" w14:textId="77777777" w:rsidR="00080B77" w:rsidRDefault="00080B77">
                        <w:pPr>
                          <w:pStyle w:val="TableParagraph"/>
                          <w:spacing w:line="122" w:lineRule="exact"/>
                          <w:ind w:left="25"/>
                          <w:rPr>
                            <w:sz w:val="14"/>
                          </w:rPr>
                        </w:pPr>
                        <w:r>
                          <w:rPr>
                            <w:color w:val="231F20"/>
                            <w:w w:val="90"/>
                            <w:sz w:val="14"/>
                          </w:rPr>
                          <w:t>Deliveries</w:t>
                        </w:r>
                        <w:r>
                          <w:rPr>
                            <w:color w:val="231F20"/>
                            <w:spacing w:val="-23"/>
                            <w:w w:val="90"/>
                            <w:sz w:val="14"/>
                          </w:rPr>
                          <w:t xml:space="preserve"> </w:t>
                        </w:r>
                        <w:r>
                          <w:rPr>
                            <w:color w:val="231F20"/>
                            <w:w w:val="90"/>
                            <w:sz w:val="14"/>
                          </w:rPr>
                          <w:t>(</w:t>
                        </w:r>
                        <w:proofErr w:type="spellStart"/>
                        <w:r>
                          <w:rPr>
                            <w:color w:val="231F20"/>
                            <w:w w:val="90"/>
                            <w:sz w:val="14"/>
                          </w:rPr>
                          <w:t>PoDs</w:t>
                        </w:r>
                        <w:proofErr w:type="spellEnd"/>
                        <w:r>
                          <w:rPr>
                            <w:color w:val="231F20"/>
                            <w:w w:val="90"/>
                            <w:sz w:val="14"/>
                          </w:rPr>
                          <w:t>)</w:t>
                        </w:r>
                        <w:r>
                          <w:rPr>
                            <w:color w:val="231F20"/>
                            <w:spacing w:val="-22"/>
                            <w:w w:val="90"/>
                            <w:sz w:val="14"/>
                          </w:rPr>
                          <w:t xml:space="preserve"> </w:t>
                        </w:r>
                        <w:r>
                          <w:rPr>
                            <w:color w:val="231F20"/>
                            <w:w w:val="90"/>
                            <w:sz w:val="14"/>
                          </w:rPr>
                          <w:t>reconciled</w:t>
                        </w:r>
                        <w:r>
                          <w:rPr>
                            <w:color w:val="231F20"/>
                            <w:spacing w:val="-22"/>
                            <w:w w:val="90"/>
                            <w:sz w:val="14"/>
                          </w:rPr>
                          <w:t xml:space="preserve"> </w:t>
                        </w:r>
                        <w:r>
                          <w:rPr>
                            <w:color w:val="231F20"/>
                            <w:w w:val="90"/>
                            <w:sz w:val="14"/>
                          </w:rPr>
                          <w:t>with</w:t>
                        </w:r>
                        <w:r>
                          <w:rPr>
                            <w:color w:val="231F20"/>
                            <w:spacing w:val="-22"/>
                            <w:w w:val="90"/>
                            <w:sz w:val="14"/>
                          </w:rPr>
                          <w:t xml:space="preserve"> </w:t>
                        </w:r>
                        <w:r>
                          <w:rPr>
                            <w:color w:val="231F20"/>
                            <w:w w:val="90"/>
                            <w:sz w:val="14"/>
                          </w:rPr>
                          <w:t>Last</w:t>
                        </w:r>
                        <w:r>
                          <w:rPr>
                            <w:color w:val="231F20"/>
                            <w:spacing w:val="-22"/>
                            <w:w w:val="90"/>
                            <w:sz w:val="14"/>
                          </w:rPr>
                          <w:t xml:space="preserve"> </w:t>
                        </w:r>
                        <w:r>
                          <w:rPr>
                            <w:color w:val="231F20"/>
                            <w:w w:val="90"/>
                            <w:sz w:val="14"/>
                          </w:rPr>
                          <w:t>Mile</w:t>
                        </w:r>
                      </w:p>
                    </w:tc>
                    <w:tc>
                      <w:tcPr>
                        <w:tcW w:w="1410" w:type="dxa"/>
                        <w:shd w:val="clear" w:color="auto" w:fill="CCE7D3"/>
                      </w:tcPr>
                      <w:p w14:paraId="0EA922C9" w14:textId="77777777" w:rsidR="00080B77" w:rsidRDefault="00080B77">
                        <w:pPr>
                          <w:pStyle w:val="TableParagraph"/>
                          <w:rPr>
                            <w:rFonts w:ascii="Times New Roman"/>
                            <w:sz w:val="10"/>
                          </w:rPr>
                        </w:pPr>
                      </w:p>
                    </w:tc>
                    <w:tc>
                      <w:tcPr>
                        <w:tcW w:w="1487" w:type="dxa"/>
                        <w:shd w:val="clear" w:color="auto" w:fill="CCE7D3"/>
                      </w:tcPr>
                      <w:p w14:paraId="09A82D9F" w14:textId="77777777" w:rsidR="00080B77" w:rsidRDefault="00080B77">
                        <w:pPr>
                          <w:pStyle w:val="TableParagraph"/>
                          <w:rPr>
                            <w:rFonts w:ascii="Times New Roman"/>
                            <w:sz w:val="10"/>
                          </w:rPr>
                        </w:pPr>
                      </w:p>
                    </w:tc>
                  </w:tr>
                  <w:tr w:rsidR="00080B77" w14:paraId="75444F04" w14:textId="77777777">
                    <w:trPr>
                      <w:trHeight w:val="572"/>
                    </w:trPr>
                    <w:tc>
                      <w:tcPr>
                        <w:tcW w:w="1027" w:type="dxa"/>
                        <w:gridSpan w:val="3"/>
                        <w:vMerge w:val="restart"/>
                        <w:tcBorders>
                          <w:top w:val="nil"/>
                          <w:bottom w:val="nil"/>
                        </w:tcBorders>
                      </w:tcPr>
                      <w:p w14:paraId="379A73F3" w14:textId="77777777" w:rsidR="00080B77" w:rsidRDefault="00080B77">
                        <w:pPr>
                          <w:pStyle w:val="TableParagraph"/>
                          <w:rPr>
                            <w:rFonts w:ascii="Times New Roman"/>
                            <w:sz w:val="10"/>
                          </w:rPr>
                        </w:pPr>
                      </w:p>
                    </w:tc>
                    <w:tc>
                      <w:tcPr>
                        <w:tcW w:w="519" w:type="dxa"/>
                      </w:tcPr>
                      <w:p w14:paraId="3B5F051F" w14:textId="77777777" w:rsidR="00080B77" w:rsidRDefault="00080B77">
                        <w:pPr>
                          <w:pStyle w:val="TableParagraph"/>
                          <w:spacing w:before="10"/>
                          <w:rPr>
                            <w:sz w:val="17"/>
                          </w:rPr>
                        </w:pPr>
                      </w:p>
                      <w:p w14:paraId="475459EB" w14:textId="77777777" w:rsidR="00080B77" w:rsidRDefault="00080B77">
                        <w:pPr>
                          <w:pStyle w:val="TableParagraph"/>
                          <w:ind w:left="21" w:right="11"/>
                          <w:jc w:val="center"/>
                          <w:rPr>
                            <w:sz w:val="14"/>
                          </w:rPr>
                        </w:pPr>
                        <w:r>
                          <w:rPr>
                            <w:color w:val="231F20"/>
                            <w:w w:val="85"/>
                            <w:sz w:val="14"/>
                          </w:rPr>
                          <w:t>11.1.2.a</w:t>
                        </w:r>
                      </w:p>
                    </w:tc>
                    <w:tc>
                      <w:tcPr>
                        <w:tcW w:w="4840" w:type="dxa"/>
                        <w:gridSpan w:val="2"/>
                      </w:tcPr>
                      <w:p w14:paraId="0A0A562E" w14:textId="77777777" w:rsidR="00080B77" w:rsidRDefault="00080B77">
                        <w:pPr>
                          <w:pStyle w:val="TableParagraph"/>
                          <w:spacing w:before="114" w:line="254" w:lineRule="auto"/>
                          <w:ind w:left="24" w:right="218"/>
                          <w:rPr>
                            <w:sz w:val="14"/>
                          </w:rPr>
                        </w:pPr>
                        <w:r>
                          <w:rPr>
                            <w:color w:val="231F20"/>
                            <w:w w:val="85"/>
                            <w:sz w:val="14"/>
                          </w:rPr>
                          <w:t>Conduct</w:t>
                        </w:r>
                        <w:r>
                          <w:rPr>
                            <w:color w:val="231F20"/>
                            <w:spacing w:val="-7"/>
                            <w:w w:val="85"/>
                            <w:sz w:val="14"/>
                          </w:rPr>
                          <w:t xml:space="preserve"> </w:t>
                        </w:r>
                        <w:r>
                          <w:rPr>
                            <w:color w:val="231F20"/>
                            <w:w w:val="85"/>
                            <w:sz w:val="14"/>
                          </w:rPr>
                          <w:t>advocacy</w:t>
                        </w:r>
                        <w:r>
                          <w:rPr>
                            <w:color w:val="231F20"/>
                            <w:spacing w:val="-7"/>
                            <w:w w:val="85"/>
                            <w:sz w:val="14"/>
                          </w:rPr>
                          <w:t xml:space="preserve"> </w:t>
                        </w:r>
                        <w:r>
                          <w:rPr>
                            <w:color w:val="231F20"/>
                            <w:w w:val="85"/>
                            <w:sz w:val="14"/>
                          </w:rPr>
                          <w:t>to</w:t>
                        </w:r>
                        <w:r>
                          <w:rPr>
                            <w:color w:val="231F20"/>
                            <w:spacing w:val="-7"/>
                            <w:w w:val="85"/>
                            <w:sz w:val="14"/>
                          </w:rPr>
                          <w:t xml:space="preserve"> </w:t>
                        </w:r>
                        <w:r>
                          <w:rPr>
                            <w:color w:val="231F20"/>
                            <w:w w:val="85"/>
                            <w:sz w:val="14"/>
                          </w:rPr>
                          <w:t>governments</w:t>
                        </w:r>
                        <w:r>
                          <w:rPr>
                            <w:color w:val="231F20"/>
                            <w:spacing w:val="-6"/>
                            <w:w w:val="85"/>
                            <w:sz w:val="14"/>
                          </w:rPr>
                          <w:t xml:space="preserve"> </w:t>
                        </w:r>
                        <w:r>
                          <w:rPr>
                            <w:color w:val="231F20"/>
                            <w:w w:val="85"/>
                            <w:sz w:val="14"/>
                          </w:rPr>
                          <w:t>for</w:t>
                        </w:r>
                        <w:r>
                          <w:rPr>
                            <w:color w:val="231F20"/>
                            <w:spacing w:val="-7"/>
                            <w:w w:val="85"/>
                            <w:sz w:val="14"/>
                          </w:rPr>
                          <w:t xml:space="preserve"> </w:t>
                        </w:r>
                        <w:r>
                          <w:rPr>
                            <w:color w:val="231F20"/>
                            <w:w w:val="85"/>
                            <w:sz w:val="14"/>
                          </w:rPr>
                          <w:t>the</w:t>
                        </w:r>
                        <w:r>
                          <w:rPr>
                            <w:color w:val="231F20"/>
                            <w:spacing w:val="-7"/>
                            <w:w w:val="85"/>
                            <w:sz w:val="14"/>
                          </w:rPr>
                          <w:t xml:space="preserve"> </w:t>
                        </w:r>
                        <w:r>
                          <w:rPr>
                            <w:color w:val="231F20"/>
                            <w:w w:val="85"/>
                            <w:sz w:val="14"/>
                          </w:rPr>
                          <w:t>establishment</w:t>
                        </w:r>
                        <w:r>
                          <w:rPr>
                            <w:color w:val="231F20"/>
                            <w:spacing w:val="-6"/>
                            <w:w w:val="85"/>
                            <w:sz w:val="14"/>
                          </w:rPr>
                          <w:t xml:space="preserve"> </w:t>
                        </w:r>
                        <w:r>
                          <w:rPr>
                            <w:color w:val="231F20"/>
                            <w:w w:val="85"/>
                            <w:sz w:val="14"/>
                          </w:rPr>
                          <w:t>of</w:t>
                        </w:r>
                        <w:r>
                          <w:rPr>
                            <w:color w:val="231F20"/>
                            <w:spacing w:val="-7"/>
                            <w:w w:val="85"/>
                            <w:sz w:val="14"/>
                          </w:rPr>
                          <w:t xml:space="preserve"> </w:t>
                        </w:r>
                        <w:r>
                          <w:rPr>
                            <w:color w:val="231F20"/>
                            <w:w w:val="85"/>
                            <w:sz w:val="14"/>
                          </w:rPr>
                          <w:t>funding</w:t>
                        </w:r>
                        <w:r>
                          <w:rPr>
                            <w:color w:val="231F20"/>
                            <w:spacing w:val="-7"/>
                            <w:w w:val="85"/>
                            <w:sz w:val="14"/>
                          </w:rPr>
                          <w:t xml:space="preserve"> </w:t>
                        </w:r>
                        <w:r>
                          <w:rPr>
                            <w:color w:val="231F20"/>
                            <w:w w:val="85"/>
                            <w:sz w:val="14"/>
                          </w:rPr>
                          <w:t>streams</w:t>
                        </w:r>
                        <w:r>
                          <w:rPr>
                            <w:color w:val="231F20"/>
                            <w:spacing w:val="-7"/>
                            <w:w w:val="85"/>
                            <w:sz w:val="14"/>
                          </w:rPr>
                          <w:t xml:space="preserve"> </w:t>
                        </w:r>
                        <w:r>
                          <w:rPr>
                            <w:color w:val="231F20"/>
                            <w:w w:val="85"/>
                            <w:sz w:val="14"/>
                          </w:rPr>
                          <w:t>and</w:t>
                        </w:r>
                        <w:r>
                          <w:rPr>
                            <w:color w:val="231F20"/>
                            <w:spacing w:val="-6"/>
                            <w:w w:val="85"/>
                            <w:sz w:val="14"/>
                          </w:rPr>
                          <w:t xml:space="preserve"> </w:t>
                        </w:r>
                        <w:r>
                          <w:rPr>
                            <w:color w:val="231F20"/>
                            <w:w w:val="85"/>
                            <w:sz w:val="14"/>
                          </w:rPr>
                          <w:t xml:space="preserve">explore </w:t>
                        </w:r>
                        <w:r>
                          <w:rPr>
                            <w:color w:val="231F20"/>
                            <w:w w:val="90"/>
                            <w:sz w:val="14"/>
                          </w:rPr>
                          <w:t>PPP</w:t>
                        </w:r>
                        <w:r>
                          <w:rPr>
                            <w:color w:val="231F20"/>
                            <w:spacing w:val="-23"/>
                            <w:w w:val="90"/>
                            <w:sz w:val="14"/>
                          </w:rPr>
                          <w:t xml:space="preserve"> </w:t>
                        </w:r>
                        <w:r>
                          <w:rPr>
                            <w:color w:val="231F20"/>
                            <w:w w:val="90"/>
                            <w:sz w:val="14"/>
                          </w:rPr>
                          <w:t>and</w:t>
                        </w:r>
                        <w:r>
                          <w:rPr>
                            <w:color w:val="231F20"/>
                            <w:spacing w:val="-22"/>
                            <w:w w:val="90"/>
                            <w:sz w:val="14"/>
                          </w:rPr>
                          <w:t xml:space="preserve"> </w:t>
                        </w:r>
                        <w:r>
                          <w:rPr>
                            <w:color w:val="231F20"/>
                            <w:w w:val="90"/>
                            <w:sz w:val="14"/>
                          </w:rPr>
                          <w:t>outsourcing</w:t>
                        </w:r>
                        <w:r>
                          <w:rPr>
                            <w:color w:val="231F20"/>
                            <w:spacing w:val="-22"/>
                            <w:w w:val="90"/>
                            <w:sz w:val="14"/>
                          </w:rPr>
                          <w:t xml:space="preserve"> </w:t>
                        </w:r>
                        <w:r>
                          <w:rPr>
                            <w:color w:val="231F20"/>
                            <w:w w:val="90"/>
                            <w:sz w:val="14"/>
                          </w:rPr>
                          <w:t>to</w:t>
                        </w:r>
                        <w:r>
                          <w:rPr>
                            <w:color w:val="231F20"/>
                            <w:spacing w:val="-21"/>
                            <w:w w:val="90"/>
                            <w:sz w:val="14"/>
                          </w:rPr>
                          <w:t xml:space="preserve"> </w:t>
                        </w:r>
                        <w:r>
                          <w:rPr>
                            <w:color w:val="231F20"/>
                            <w:w w:val="90"/>
                            <w:sz w:val="14"/>
                          </w:rPr>
                          <w:t>competent</w:t>
                        </w:r>
                        <w:r>
                          <w:rPr>
                            <w:color w:val="231F20"/>
                            <w:spacing w:val="-22"/>
                            <w:w w:val="90"/>
                            <w:sz w:val="14"/>
                          </w:rPr>
                          <w:t xml:space="preserve"> </w:t>
                        </w:r>
                        <w:r>
                          <w:rPr>
                            <w:color w:val="231F20"/>
                            <w:w w:val="90"/>
                            <w:sz w:val="14"/>
                          </w:rPr>
                          <w:t>companies</w:t>
                        </w:r>
                        <w:r>
                          <w:rPr>
                            <w:color w:val="231F20"/>
                            <w:spacing w:val="-22"/>
                            <w:w w:val="90"/>
                            <w:sz w:val="14"/>
                          </w:rPr>
                          <w:t xml:space="preserve"> </w:t>
                        </w:r>
                        <w:r>
                          <w:rPr>
                            <w:color w:val="231F20"/>
                            <w:w w:val="90"/>
                            <w:sz w:val="14"/>
                          </w:rPr>
                          <w:t>on</w:t>
                        </w:r>
                        <w:r>
                          <w:rPr>
                            <w:color w:val="231F20"/>
                            <w:spacing w:val="-22"/>
                            <w:w w:val="90"/>
                            <w:sz w:val="14"/>
                          </w:rPr>
                          <w:t xml:space="preserve"> </w:t>
                        </w:r>
                        <w:r>
                          <w:rPr>
                            <w:color w:val="231F20"/>
                            <w:w w:val="90"/>
                            <w:sz w:val="14"/>
                          </w:rPr>
                          <w:t>appropriate</w:t>
                        </w:r>
                        <w:r>
                          <w:rPr>
                            <w:color w:val="231F20"/>
                            <w:spacing w:val="-22"/>
                            <w:w w:val="90"/>
                            <w:sz w:val="14"/>
                          </w:rPr>
                          <w:t xml:space="preserve"> </w:t>
                        </w:r>
                        <w:r>
                          <w:rPr>
                            <w:color w:val="231F20"/>
                            <w:w w:val="90"/>
                            <w:sz w:val="14"/>
                          </w:rPr>
                          <w:t>supply</w:t>
                        </w:r>
                        <w:r>
                          <w:rPr>
                            <w:color w:val="231F20"/>
                            <w:spacing w:val="-21"/>
                            <w:w w:val="90"/>
                            <w:sz w:val="14"/>
                          </w:rPr>
                          <w:t xml:space="preserve"> </w:t>
                        </w:r>
                        <w:r>
                          <w:rPr>
                            <w:color w:val="231F20"/>
                            <w:w w:val="90"/>
                            <w:sz w:val="14"/>
                          </w:rPr>
                          <w:t>chain</w:t>
                        </w:r>
                        <w:r>
                          <w:rPr>
                            <w:color w:val="231F20"/>
                            <w:spacing w:val="-22"/>
                            <w:w w:val="90"/>
                            <w:sz w:val="14"/>
                          </w:rPr>
                          <w:t xml:space="preserve"> </w:t>
                        </w:r>
                        <w:r>
                          <w:rPr>
                            <w:color w:val="231F20"/>
                            <w:w w:val="90"/>
                            <w:sz w:val="14"/>
                          </w:rPr>
                          <w:t>functions</w:t>
                        </w:r>
                      </w:p>
                    </w:tc>
                    <w:tc>
                      <w:tcPr>
                        <w:tcW w:w="1410" w:type="dxa"/>
                      </w:tcPr>
                      <w:p w14:paraId="4998D2F7" w14:textId="77777777" w:rsidR="00080B77" w:rsidRDefault="00080B77">
                        <w:pPr>
                          <w:pStyle w:val="TableParagraph"/>
                          <w:spacing w:before="10"/>
                          <w:rPr>
                            <w:sz w:val="17"/>
                          </w:rPr>
                        </w:pPr>
                      </w:p>
                      <w:p w14:paraId="06E226AD" w14:textId="77777777" w:rsidR="00080B77" w:rsidRDefault="00080B77">
                        <w:pPr>
                          <w:pStyle w:val="TableParagraph"/>
                          <w:ind w:left="26"/>
                          <w:rPr>
                            <w:sz w:val="14"/>
                          </w:rPr>
                        </w:pPr>
                        <w:r>
                          <w:rPr>
                            <w:color w:val="231F20"/>
                            <w:w w:val="95"/>
                            <w:sz w:val="14"/>
                          </w:rPr>
                          <w:t>Lack of funds</w:t>
                        </w:r>
                      </w:p>
                    </w:tc>
                    <w:tc>
                      <w:tcPr>
                        <w:tcW w:w="1487" w:type="dxa"/>
                      </w:tcPr>
                      <w:p w14:paraId="2CF25F44" w14:textId="77777777" w:rsidR="00080B77" w:rsidRDefault="00080B77">
                        <w:pPr>
                          <w:pStyle w:val="TableParagraph"/>
                          <w:spacing w:before="10"/>
                          <w:rPr>
                            <w:sz w:val="17"/>
                          </w:rPr>
                        </w:pPr>
                      </w:p>
                      <w:p w14:paraId="693D71D1" w14:textId="77777777" w:rsidR="00080B77" w:rsidRDefault="00080B77">
                        <w:pPr>
                          <w:pStyle w:val="TableParagraph"/>
                          <w:ind w:left="28"/>
                          <w:rPr>
                            <w:sz w:val="14"/>
                          </w:rPr>
                        </w:pPr>
                        <w:r>
                          <w:rPr>
                            <w:color w:val="231F20"/>
                            <w:w w:val="95"/>
                            <w:sz w:val="14"/>
                          </w:rPr>
                          <w:t>No cost</w:t>
                        </w:r>
                      </w:p>
                    </w:tc>
                  </w:tr>
                  <w:tr w:rsidR="00080B77" w14:paraId="1ACFC7DA" w14:textId="77777777">
                    <w:trPr>
                      <w:trHeight w:val="429"/>
                    </w:trPr>
                    <w:tc>
                      <w:tcPr>
                        <w:tcW w:w="1027" w:type="dxa"/>
                        <w:gridSpan w:val="3"/>
                        <w:vMerge/>
                        <w:tcBorders>
                          <w:top w:val="nil"/>
                          <w:bottom w:val="nil"/>
                        </w:tcBorders>
                      </w:tcPr>
                      <w:p w14:paraId="58984277" w14:textId="77777777" w:rsidR="00080B77" w:rsidRDefault="00080B77">
                        <w:pPr>
                          <w:rPr>
                            <w:sz w:val="2"/>
                            <w:szCs w:val="2"/>
                          </w:rPr>
                        </w:pPr>
                      </w:p>
                    </w:tc>
                    <w:tc>
                      <w:tcPr>
                        <w:tcW w:w="519" w:type="dxa"/>
                      </w:tcPr>
                      <w:p w14:paraId="643AAC5D" w14:textId="77777777" w:rsidR="00080B77" w:rsidRDefault="00080B77">
                        <w:pPr>
                          <w:pStyle w:val="TableParagraph"/>
                          <w:spacing w:before="6"/>
                          <w:rPr>
                            <w:sz w:val="11"/>
                          </w:rPr>
                        </w:pPr>
                      </w:p>
                      <w:p w14:paraId="39F36385" w14:textId="77777777" w:rsidR="00080B77" w:rsidRDefault="00080B77">
                        <w:pPr>
                          <w:pStyle w:val="TableParagraph"/>
                          <w:ind w:left="21" w:right="11"/>
                          <w:jc w:val="center"/>
                          <w:rPr>
                            <w:sz w:val="14"/>
                          </w:rPr>
                        </w:pPr>
                        <w:r>
                          <w:rPr>
                            <w:color w:val="231F20"/>
                            <w:w w:val="85"/>
                            <w:sz w:val="14"/>
                          </w:rPr>
                          <w:t>11.1.2.b</w:t>
                        </w:r>
                      </w:p>
                    </w:tc>
                    <w:tc>
                      <w:tcPr>
                        <w:tcW w:w="4840" w:type="dxa"/>
                        <w:gridSpan w:val="2"/>
                      </w:tcPr>
                      <w:p w14:paraId="493DC932" w14:textId="77777777" w:rsidR="00080B77" w:rsidRDefault="00080B77">
                        <w:pPr>
                          <w:pStyle w:val="TableParagraph"/>
                          <w:spacing w:line="142" w:lineRule="exact"/>
                          <w:ind w:left="24"/>
                          <w:rPr>
                            <w:sz w:val="14"/>
                          </w:rPr>
                        </w:pPr>
                        <w:r>
                          <w:rPr>
                            <w:color w:val="231F20"/>
                            <w:w w:val="90"/>
                            <w:sz w:val="14"/>
                          </w:rPr>
                          <w:t>Hold</w:t>
                        </w:r>
                        <w:r>
                          <w:rPr>
                            <w:color w:val="231F20"/>
                            <w:spacing w:val="-20"/>
                            <w:w w:val="90"/>
                            <w:sz w:val="14"/>
                          </w:rPr>
                          <w:t xml:space="preserve"> </w:t>
                        </w:r>
                        <w:r>
                          <w:rPr>
                            <w:color w:val="231F20"/>
                            <w:w w:val="90"/>
                            <w:sz w:val="14"/>
                          </w:rPr>
                          <w:t>monthly</w:t>
                        </w:r>
                        <w:r>
                          <w:rPr>
                            <w:color w:val="231F20"/>
                            <w:spacing w:val="-19"/>
                            <w:w w:val="90"/>
                            <w:sz w:val="14"/>
                          </w:rPr>
                          <w:t xml:space="preserve"> </w:t>
                        </w:r>
                        <w:r>
                          <w:rPr>
                            <w:color w:val="231F20"/>
                            <w:w w:val="90"/>
                            <w:sz w:val="14"/>
                          </w:rPr>
                          <w:t>meeting</w:t>
                        </w:r>
                        <w:r>
                          <w:rPr>
                            <w:color w:val="231F20"/>
                            <w:spacing w:val="-20"/>
                            <w:w w:val="90"/>
                            <w:sz w:val="14"/>
                          </w:rPr>
                          <w:t xml:space="preserve"> </w:t>
                        </w:r>
                        <w:r>
                          <w:rPr>
                            <w:color w:val="231F20"/>
                            <w:w w:val="90"/>
                            <w:sz w:val="14"/>
                          </w:rPr>
                          <w:t>at</w:t>
                        </w:r>
                        <w:r>
                          <w:rPr>
                            <w:color w:val="231F20"/>
                            <w:spacing w:val="-19"/>
                            <w:w w:val="90"/>
                            <w:sz w:val="14"/>
                          </w:rPr>
                          <w:t xml:space="preserve"> </w:t>
                        </w:r>
                        <w:r>
                          <w:rPr>
                            <w:color w:val="231F20"/>
                            <w:w w:val="90"/>
                            <w:sz w:val="14"/>
                          </w:rPr>
                          <w:t>State</w:t>
                        </w:r>
                        <w:r>
                          <w:rPr>
                            <w:color w:val="231F20"/>
                            <w:spacing w:val="-19"/>
                            <w:w w:val="90"/>
                            <w:sz w:val="14"/>
                          </w:rPr>
                          <w:t xml:space="preserve"> </w:t>
                        </w:r>
                        <w:r>
                          <w:rPr>
                            <w:color w:val="231F20"/>
                            <w:w w:val="90"/>
                            <w:sz w:val="14"/>
                          </w:rPr>
                          <w:t>&amp;</w:t>
                        </w:r>
                        <w:r>
                          <w:rPr>
                            <w:color w:val="231F20"/>
                            <w:spacing w:val="-20"/>
                            <w:w w:val="90"/>
                            <w:sz w:val="14"/>
                          </w:rPr>
                          <w:t xml:space="preserve"> </w:t>
                        </w:r>
                        <w:r>
                          <w:rPr>
                            <w:color w:val="231F20"/>
                            <w:w w:val="90"/>
                            <w:sz w:val="14"/>
                          </w:rPr>
                          <w:t>LG</w:t>
                        </w:r>
                        <w:r>
                          <w:rPr>
                            <w:color w:val="231F20"/>
                            <w:spacing w:val="-19"/>
                            <w:w w:val="90"/>
                            <w:sz w:val="14"/>
                          </w:rPr>
                          <w:t xml:space="preserve"> </w:t>
                        </w:r>
                        <w:r>
                          <w:rPr>
                            <w:color w:val="231F20"/>
                            <w:w w:val="90"/>
                            <w:sz w:val="14"/>
                          </w:rPr>
                          <w:t>levels</w:t>
                        </w:r>
                        <w:r>
                          <w:rPr>
                            <w:color w:val="231F20"/>
                            <w:spacing w:val="-20"/>
                            <w:w w:val="90"/>
                            <w:sz w:val="14"/>
                          </w:rPr>
                          <w:t xml:space="preserve"> </w:t>
                        </w:r>
                        <w:r>
                          <w:rPr>
                            <w:color w:val="231F20"/>
                            <w:w w:val="90"/>
                            <w:sz w:val="14"/>
                          </w:rPr>
                          <w:t>for</w:t>
                        </w:r>
                        <w:r>
                          <w:rPr>
                            <w:color w:val="231F20"/>
                            <w:spacing w:val="-19"/>
                            <w:w w:val="90"/>
                            <w:sz w:val="14"/>
                          </w:rPr>
                          <w:t xml:space="preserve"> </w:t>
                        </w:r>
                        <w:r>
                          <w:rPr>
                            <w:color w:val="231F20"/>
                            <w:w w:val="90"/>
                            <w:sz w:val="14"/>
                          </w:rPr>
                          <w:t>data</w:t>
                        </w:r>
                        <w:r>
                          <w:rPr>
                            <w:color w:val="231F20"/>
                            <w:spacing w:val="-19"/>
                            <w:w w:val="90"/>
                            <w:sz w:val="14"/>
                          </w:rPr>
                          <w:t xml:space="preserve"> </w:t>
                        </w:r>
                        <w:r>
                          <w:rPr>
                            <w:color w:val="231F20"/>
                            <w:w w:val="90"/>
                            <w:sz w:val="14"/>
                          </w:rPr>
                          <w:t>collection</w:t>
                        </w:r>
                        <w:r>
                          <w:rPr>
                            <w:color w:val="231F20"/>
                            <w:spacing w:val="-20"/>
                            <w:w w:val="90"/>
                            <w:sz w:val="14"/>
                          </w:rPr>
                          <w:t xml:space="preserve"> </w:t>
                        </w:r>
                        <w:r>
                          <w:rPr>
                            <w:color w:val="231F20"/>
                            <w:w w:val="90"/>
                            <w:sz w:val="14"/>
                          </w:rPr>
                          <w:t>/</w:t>
                        </w:r>
                        <w:r>
                          <w:rPr>
                            <w:color w:val="231F20"/>
                            <w:spacing w:val="-19"/>
                            <w:w w:val="90"/>
                            <w:sz w:val="14"/>
                          </w:rPr>
                          <w:t xml:space="preserve"> </w:t>
                        </w:r>
                        <w:r>
                          <w:rPr>
                            <w:color w:val="231F20"/>
                            <w:w w:val="90"/>
                            <w:sz w:val="14"/>
                          </w:rPr>
                          <w:t>validation,</w:t>
                        </w:r>
                        <w:r>
                          <w:rPr>
                            <w:color w:val="231F20"/>
                            <w:spacing w:val="-19"/>
                            <w:w w:val="90"/>
                            <w:sz w:val="14"/>
                          </w:rPr>
                          <w:t xml:space="preserve"> </w:t>
                        </w:r>
                        <w:r>
                          <w:rPr>
                            <w:color w:val="231F20"/>
                            <w:w w:val="90"/>
                            <w:sz w:val="14"/>
                          </w:rPr>
                          <w:t>to</w:t>
                        </w:r>
                        <w:r>
                          <w:rPr>
                            <w:color w:val="231F20"/>
                            <w:spacing w:val="-20"/>
                            <w:w w:val="90"/>
                            <w:sz w:val="14"/>
                          </w:rPr>
                          <w:t xml:space="preserve"> </w:t>
                        </w:r>
                        <w:r>
                          <w:rPr>
                            <w:color w:val="231F20"/>
                            <w:w w:val="90"/>
                            <w:sz w:val="14"/>
                          </w:rPr>
                          <w:t>ensure</w:t>
                        </w:r>
                        <w:r>
                          <w:rPr>
                            <w:color w:val="231F20"/>
                            <w:spacing w:val="-19"/>
                            <w:w w:val="90"/>
                            <w:sz w:val="14"/>
                          </w:rPr>
                          <w:t xml:space="preserve"> </w:t>
                        </w:r>
                        <w:r>
                          <w:rPr>
                            <w:color w:val="231F20"/>
                            <w:w w:val="90"/>
                            <w:sz w:val="14"/>
                          </w:rPr>
                          <w:t>quality</w:t>
                        </w:r>
                      </w:p>
                      <w:p w14:paraId="625C61DF" w14:textId="77777777" w:rsidR="00080B77" w:rsidRDefault="00080B77">
                        <w:pPr>
                          <w:pStyle w:val="TableParagraph"/>
                          <w:spacing w:before="20" w:line="136" w:lineRule="exact"/>
                          <w:ind w:left="24" w:right="401"/>
                          <w:rPr>
                            <w:sz w:val="14"/>
                          </w:rPr>
                        </w:pPr>
                        <w:r>
                          <w:rPr>
                            <w:color w:val="231F20"/>
                            <w:w w:val="90"/>
                            <w:sz w:val="14"/>
                          </w:rPr>
                          <w:t>data</w:t>
                        </w:r>
                        <w:r>
                          <w:rPr>
                            <w:color w:val="231F20"/>
                            <w:spacing w:val="-24"/>
                            <w:w w:val="90"/>
                            <w:sz w:val="14"/>
                          </w:rPr>
                          <w:t xml:space="preserve"> </w:t>
                        </w:r>
                        <w:r>
                          <w:rPr>
                            <w:color w:val="231F20"/>
                            <w:w w:val="90"/>
                            <w:sz w:val="14"/>
                          </w:rPr>
                          <w:t>that</w:t>
                        </w:r>
                        <w:r>
                          <w:rPr>
                            <w:color w:val="231F20"/>
                            <w:spacing w:val="-11"/>
                            <w:w w:val="90"/>
                            <w:sz w:val="14"/>
                          </w:rPr>
                          <w:t xml:space="preserve"> </w:t>
                        </w:r>
                        <w:r>
                          <w:rPr>
                            <w:color w:val="231F20"/>
                            <w:w w:val="90"/>
                            <w:sz w:val="14"/>
                          </w:rPr>
                          <w:t>will</w:t>
                        </w:r>
                        <w:r>
                          <w:rPr>
                            <w:color w:val="231F20"/>
                            <w:spacing w:val="-23"/>
                            <w:w w:val="90"/>
                            <w:sz w:val="14"/>
                          </w:rPr>
                          <w:t xml:space="preserve"> </w:t>
                        </w:r>
                        <w:r>
                          <w:rPr>
                            <w:color w:val="231F20"/>
                            <w:w w:val="90"/>
                            <w:sz w:val="14"/>
                          </w:rPr>
                          <w:t>guide</w:t>
                        </w:r>
                        <w:r>
                          <w:rPr>
                            <w:color w:val="231F20"/>
                            <w:spacing w:val="-24"/>
                            <w:w w:val="90"/>
                            <w:sz w:val="14"/>
                          </w:rPr>
                          <w:t xml:space="preserve"> </w:t>
                        </w:r>
                        <w:r>
                          <w:rPr>
                            <w:color w:val="231F20"/>
                            <w:w w:val="90"/>
                            <w:sz w:val="14"/>
                          </w:rPr>
                          <w:t>the</w:t>
                        </w:r>
                        <w:r>
                          <w:rPr>
                            <w:color w:val="231F20"/>
                            <w:spacing w:val="-23"/>
                            <w:w w:val="90"/>
                            <w:sz w:val="14"/>
                          </w:rPr>
                          <w:t xml:space="preserve"> </w:t>
                        </w:r>
                        <w:r>
                          <w:rPr>
                            <w:color w:val="231F20"/>
                            <w:w w:val="90"/>
                            <w:sz w:val="14"/>
                          </w:rPr>
                          <w:t>state</w:t>
                        </w:r>
                        <w:r>
                          <w:rPr>
                            <w:color w:val="231F20"/>
                            <w:spacing w:val="-23"/>
                            <w:w w:val="90"/>
                            <w:sz w:val="14"/>
                          </w:rPr>
                          <w:t xml:space="preserve"> </w:t>
                        </w:r>
                        <w:r>
                          <w:rPr>
                            <w:color w:val="231F20"/>
                            <w:w w:val="90"/>
                            <w:sz w:val="14"/>
                          </w:rPr>
                          <w:t>in</w:t>
                        </w:r>
                        <w:r>
                          <w:rPr>
                            <w:color w:val="231F20"/>
                            <w:spacing w:val="-24"/>
                            <w:w w:val="90"/>
                            <w:sz w:val="14"/>
                          </w:rPr>
                          <w:t xml:space="preserve"> </w:t>
                        </w:r>
                        <w:r>
                          <w:rPr>
                            <w:color w:val="231F20"/>
                            <w:w w:val="90"/>
                            <w:sz w:val="14"/>
                          </w:rPr>
                          <w:t>supply</w:t>
                        </w:r>
                        <w:r>
                          <w:rPr>
                            <w:color w:val="231F20"/>
                            <w:spacing w:val="-23"/>
                            <w:w w:val="90"/>
                            <w:sz w:val="14"/>
                          </w:rPr>
                          <w:t xml:space="preserve"> </w:t>
                        </w:r>
                        <w:r>
                          <w:rPr>
                            <w:color w:val="231F20"/>
                            <w:w w:val="90"/>
                            <w:sz w:val="14"/>
                          </w:rPr>
                          <w:t>planning</w:t>
                        </w:r>
                        <w:r>
                          <w:rPr>
                            <w:color w:val="231F20"/>
                            <w:spacing w:val="-23"/>
                            <w:w w:val="90"/>
                            <w:sz w:val="14"/>
                          </w:rPr>
                          <w:t xml:space="preserve"> </w:t>
                        </w:r>
                        <w:r>
                          <w:rPr>
                            <w:color w:val="231F20"/>
                            <w:w w:val="90"/>
                            <w:sz w:val="14"/>
                          </w:rPr>
                          <w:t>for</w:t>
                        </w:r>
                        <w:r>
                          <w:rPr>
                            <w:color w:val="231F20"/>
                            <w:spacing w:val="-24"/>
                            <w:w w:val="90"/>
                            <w:sz w:val="14"/>
                          </w:rPr>
                          <w:t xml:space="preserve"> </w:t>
                        </w:r>
                        <w:r>
                          <w:rPr>
                            <w:color w:val="231F20"/>
                            <w:w w:val="90"/>
                            <w:sz w:val="14"/>
                          </w:rPr>
                          <w:t>health</w:t>
                        </w:r>
                        <w:r>
                          <w:rPr>
                            <w:color w:val="231F20"/>
                            <w:spacing w:val="-23"/>
                            <w:w w:val="90"/>
                            <w:sz w:val="14"/>
                          </w:rPr>
                          <w:t xml:space="preserve"> </w:t>
                        </w:r>
                        <w:r>
                          <w:rPr>
                            <w:color w:val="231F20"/>
                            <w:w w:val="90"/>
                            <w:sz w:val="14"/>
                          </w:rPr>
                          <w:t>commodities</w:t>
                        </w:r>
                        <w:r>
                          <w:rPr>
                            <w:color w:val="231F20"/>
                            <w:spacing w:val="-23"/>
                            <w:w w:val="90"/>
                            <w:sz w:val="14"/>
                          </w:rPr>
                          <w:t xml:space="preserve"> </w:t>
                        </w:r>
                        <w:r>
                          <w:rPr>
                            <w:color w:val="231F20"/>
                            <w:w w:val="90"/>
                            <w:sz w:val="14"/>
                          </w:rPr>
                          <w:t>distribution</w:t>
                        </w:r>
                        <w:r>
                          <w:rPr>
                            <w:color w:val="231F20"/>
                            <w:spacing w:val="-24"/>
                            <w:w w:val="90"/>
                            <w:sz w:val="14"/>
                          </w:rPr>
                          <w:t xml:space="preserve"> </w:t>
                        </w:r>
                        <w:r>
                          <w:rPr>
                            <w:color w:val="231F20"/>
                            <w:w w:val="90"/>
                            <w:sz w:val="14"/>
                          </w:rPr>
                          <w:t xml:space="preserve">&amp; </w:t>
                        </w:r>
                        <w:r>
                          <w:rPr>
                            <w:color w:val="231F20"/>
                            <w:w w:val="95"/>
                            <w:sz w:val="14"/>
                          </w:rPr>
                          <w:t>redistribution.</w:t>
                        </w:r>
                      </w:p>
                    </w:tc>
                    <w:tc>
                      <w:tcPr>
                        <w:tcW w:w="1410" w:type="dxa"/>
                      </w:tcPr>
                      <w:p w14:paraId="0D2398A2" w14:textId="77777777" w:rsidR="00080B77" w:rsidRDefault="00080B77">
                        <w:pPr>
                          <w:pStyle w:val="TableParagraph"/>
                          <w:spacing w:before="6"/>
                          <w:rPr>
                            <w:sz w:val="11"/>
                          </w:rPr>
                        </w:pPr>
                      </w:p>
                      <w:p w14:paraId="29A3328E" w14:textId="77777777" w:rsidR="00080B77" w:rsidRDefault="00080B77">
                        <w:pPr>
                          <w:pStyle w:val="TableParagraph"/>
                          <w:ind w:left="26"/>
                          <w:rPr>
                            <w:sz w:val="14"/>
                          </w:rPr>
                        </w:pPr>
                        <w:r>
                          <w:rPr>
                            <w:color w:val="231F20"/>
                            <w:w w:val="95"/>
                            <w:sz w:val="14"/>
                          </w:rPr>
                          <w:t>Lack of funds</w:t>
                        </w:r>
                      </w:p>
                    </w:tc>
                    <w:tc>
                      <w:tcPr>
                        <w:tcW w:w="1487" w:type="dxa"/>
                      </w:tcPr>
                      <w:p w14:paraId="74D731CC" w14:textId="77777777" w:rsidR="00080B77" w:rsidRDefault="00080B77">
                        <w:pPr>
                          <w:pStyle w:val="TableParagraph"/>
                          <w:spacing w:before="6"/>
                          <w:rPr>
                            <w:sz w:val="11"/>
                          </w:rPr>
                        </w:pPr>
                      </w:p>
                      <w:p w14:paraId="7E9E527F" w14:textId="77777777" w:rsidR="00080B77" w:rsidRDefault="00080B77">
                        <w:pPr>
                          <w:pStyle w:val="TableParagraph"/>
                          <w:ind w:left="28"/>
                          <w:rPr>
                            <w:sz w:val="14"/>
                          </w:rPr>
                        </w:pPr>
                        <w:r>
                          <w:rPr>
                            <w:color w:val="231F20"/>
                            <w:w w:val="95"/>
                            <w:sz w:val="14"/>
                          </w:rPr>
                          <w:t>Hold monthly meeting</w:t>
                        </w:r>
                      </w:p>
                    </w:tc>
                  </w:tr>
                  <w:tr w:rsidR="00080B77" w14:paraId="45B8765E" w14:textId="77777777">
                    <w:trPr>
                      <w:trHeight w:val="329"/>
                    </w:trPr>
                    <w:tc>
                      <w:tcPr>
                        <w:tcW w:w="1027" w:type="dxa"/>
                        <w:gridSpan w:val="3"/>
                        <w:vMerge/>
                        <w:tcBorders>
                          <w:top w:val="nil"/>
                          <w:bottom w:val="nil"/>
                        </w:tcBorders>
                      </w:tcPr>
                      <w:p w14:paraId="3032B776" w14:textId="77777777" w:rsidR="00080B77" w:rsidRDefault="00080B77">
                        <w:pPr>
                          <w:rPr>
                            <w:sz w:val="2"/>
                            <w:szCs w:val="2"/>
                          </w:rPr>
                        </w:pPr>
                      </w:p>
                    </w:tc>
                    <w:tc>
                      <w:tcPr>
                        <w:tcW w:w="519" w:type="dxa"/>
                      </w:tcPr>
                      <w:p w14:paraId="24B4E55D" w14:textId="77777777" w:rsidR="00080B77" w:rsidRDefault="00080B77">
                        <w:pPr>
                          <w:pStyle w:val="TableParagraph"/>
                          <w:spacing w:before="81"/>
                          <w:ind w:left="21" w:right="10"/>
                          <w:jc w:val="center"/>
                          <w:rPr>
                            <w:sz w:val="14"/>
                          </w:rPr>
                        </w:pPr>
                        <w:r>
                          <w:rPr>
                            <w:color w:val="231F20"/>
                            <w:w w:val="85"/>
                            <w:sz w:val="14"/>
                          </w:rPr>
                          <w:t>11.1.2.c</w:t>
                        </w:r>
                      </w:p>
                    </w:tc>
                    <w:tc>
                      <w:tcPr>
                        <w:tcW w:w="4840" w:type="dxa"/>
                        <w:gridSpan w:val="2"/>
                      </w:tcPr>
                      <w:p w14:paraId="4ACFDCCD" w14:textId="77777777" w:rsidR="00080B77" w:rsidRDefault="00080B77">
                        <w:pPr>
                          <w:pStyle w:val="TableParagraph"/>
                          <w:spacing w:line="154" w:lineRule="exact"/>
                          <w:ind w:left="24"/>
                          <w:rPr>
                            <w:sz w:val="14"/>
                          </w:rPr>
                        </w:pPr>
                        <w:r>
                          <w:rPr>
                            <w:color w:val="231F20"/>
                            <w:w w:val="95"/>
                            <w:sz w:val="14"/>
                          </w:rPr>
                          <w:t>Periodic</w:t>
                        </w:r>
                        <w:r>
                          <w:rPr>
                            <w:color w:val="231F20"/>
                            <w:spacing w:val="-23"/>
                            <w:w w:val="95"/>
                            <w:sz w:val="14"/>
                          </w:rPr>
                          <w:t xml:space="preserve"> </w:t>
                        </w:r>
                        <w:r>
                          <w:rPr>
                            <w:color w:val="231F20"/>
                            <w:w w:val="95"/>
                            <w:sz w:val="14"/>
                          </w:rPr>
                          <w:t>and</w:t>
                        </w:r>
                        <w:r>
                          <w:rPr>
                            <w:color w:val="231F20"/>
                            <w:spacing w:val="-23"/>
                            <w:w w:val="95"/>
                            <w:sz w:val="14"/>
                          </w:rPr>
                          <w:t xml:space="preserve"> </w:t>
                        </w:r>
                        <w:r>
                          <w:rPr>
                            <w:color w:val="231F20"/>
                            <w:w w:val="95"/>
                            <w:sz w:val="14"/>
                          </w:rPr>
                          <w:t>random</w:t>
                        </w:r>
                        <w:r>
                          <w:rPr>
                            <w:color w:val="231F20"/>
                            <w:spacing w:val="-23"/>
                            <w:w w:val="95"/>
                            <w:sz w:val="14"/>
                          </w:rPr>
                          <w:t xml:space="preserve"> </w:t>
                        </w:r>
                        <w:r>
                          <w:rPr>
                            <w:color w:val="231F20"/>
                            <w:w w:val="95"/>
                            <w:sz w:val="14"/>
                          </w:rPr>
                          <w:t>sampling</w:t>
                        </w:r>
                        <w:r>
                          <w:rPr>
                            <w:color w:val="231F20"/>
                            <w:spacing w:val="-22"/>
                            <w:w w:val="95"/>
                            <w:sz w:val="14"/>
                          </w:rPr>
                          <w:t xml:space="preserve"> </w:t>
                        </w:r>
                        <w:r>
                          <w:rPr>
                            <w:color w:val="231F20"/>
                            <w:w w:val="95"/>
                            <w:sz w:val="14"/>
                          </w:rPr>
                          <w:t>of</w:t>
                        </w:r>
                        <w:r>
                          <w:rPr>
                            <w:color w:val="231F20"/>
                            <w:spacing w:val="-23"/>
                            <w:w w:val="95"/>
                            <w:sz w:val="14"/>
                          </w:rPr>
                          <w:t xml:space="preserve"> </w:t>
                        </w:r>
                        <w:r>
                          <w:rPr>
                            <w:color w:val="231F20"/>
                            <w:w w:val="95"/>
                            <w:sz w:val="14"/>
                          </w:rPr>
                          <w:t>medicines</w:t>
                        </w:r>
                        <w:r>
                          <w:rPr>
                            <w:color w:val="231F20"/>
                            <w:spacing w:val="-23"/>
                            <w:w w:val="95"/>
                            <w:sz w:val="14"/>
                          </w:rPr>
                          <w:t xml:space="preserve"> </w:t>
                        </w:r>
                        <w:r>
                          <w:rPr>
                            <w:color w:val="231F20"/>
                            <w:w w:val="95"/>
                            <w:sz w:val="14"/>
                          </w:rPr>
                          <w:t>using</w:t>
                        </w:r>
                        <w:r>
                          <w:rPr>
                            <w:color w:val="231F20"/>
                            <w:spacing w:val="-23"/>
                            <w:w w:val="95"/>
                            <w:sz w:val="14"/>
                          </w:rPr>
                          <w:t xml:space="preserve"> </w:t>
                        </w:r>
                        <w:r>
                          <w:rPr>
                            <w:color w:val="231F20"/>
                            <w:w w:val="95"/>
                            <w:sz w:val="14"/>
                          </w:rPr>
                          <w:t>true</w:t>
                        </w:r>
                        <w:r>
                          <w:rPr>
                            <w:color w:val="231F20"/>
                            <w:spacing w:val="-22"/>
                            <w:w w:val="95"/>
                            <w:sz w:val="14"/>
                          </w:rPr>
                          <w:t xml:space="preserve"> </w:t>
                        </w:r>
                        <w:r>
                          <w:rPr>
                            <w:color w:val="231F20"/>
                            <w:w w:val="95"/>
                            <w:sz w:val="14"/>
                          </w:rPr>
                          <w:t>scan</w:t>
                        </w:r>
                        <w:r>
                          <w:rPr>
                            <w:color w:val="231F20"/>
                            <w:spacing w:val="-23"/>
                            <w:w w:val="95"/>
                            <w:sz w:val="14"/>
                          </w:rPr>
                          <w:t xml:space="preserve"> </w:t>
                        </w:r>
                        <w:r>
                          <w:rPr>
                            <w:color w:val="231F20"/>
                            <w:w w:val="95"/>
                            <w:sz w:val="14"/>
                          </w:rPr>
                          <w:t>machines</w:t>
                        </w:r>
                        <w:r>
                          <w:rPr>
                            <w:color w:val="231F20"/>
                            <w:spacing w:val="-23"/>
                            <w:w w:val="95"/>
                            <w:sz w:val="14"/>
                          </w:rPr>
                          <w:t xml:space="preserve"> </w:t>
                        </w:r>
                        <w:r>
                          <w:rPr>
                            <w:color w:val="231F20"/>
                            <w:w w:val="95"/>
                            <w:sz w:val="14"/>
                          </w:rPr>
                          <w:t>in</w:t>
                        </w:r>
                        <w:r>
                          <w:rPr>
                            <w:color w:val="231F20"/>
                            <w:spacing w:val="-22"/>
                            <w:w w:val="95"/>
                            <w:sz w:val="14"/>
                          </w:rPr>
                          <w:t xml:space="preserve"> </w:t>
                        </w:r>
                        <w:r>
                          <w:rPr>
                            <w:color w:val="231F20"/>
                            <w:w w:val="95"/>
                            <w:sz w:val="14"/>
                          </w:rPr>
                          <w:t>the</w:t>
                        </w:r>
                        <w:r>
                          <w:rPr>
                            <w:color w:val="231F20"/>
                            <w:spacing w:val="-23"/>
                            <w:w w:val="95"/>
                            <w:sz w:val="14"/>
                          </w:rPr>
                          <w:t xml:space="preserve"> </w:t>
                        </w:r>
                        <w:r>
                          <w:rPr>
                            <w:color w:val="231F20"/>
                            <w:w w:val="95"/>
                            <w:sz w:val="14"/>
                          </w:rPr>
                          <w:t>three</w:t>
                        </w:r>
                      </w:p>
                      <w:p w14:paraId="23569145" w14:textId="77777777" w:rsidR="00080B77" w:rsidRDefault="00080B77">
                        <w:pPr>
                          <w:pStyle w:val="TableParagraph"/>
                          <w:spacing w:before="10" w:line="146" w:lineRule="exact"/>
                          <w:ind w:left="24"/>
                          <w:rPr>
                            <w:sz w:val="14"/>
                          </w:rPr>
                        </w:pPr>
                        <w:r>
                          <w:rPr>
                            <w:color w:val="231F20"/>
                            <w:w w:val="95"/>
                            <w:sz w:val="14"/>
                          </w:rPr>
                          <w:t>senatorial zone of the state to ascertain for quality assurance</w:t>
                        </w:r>
                      </w:p>
                    </w:tc>
                    <w:tc>
                      <w:tcPr>
                        <w:tcW w:w="1410" w:type="dxa"/>
                      </w:tcPr>
                      <w:p w14:paraId="4B0FD404" w14:textId="77777777" w:rsidR="00080B77" w:rsidRDefault="00080B77">
                        <w:pPr>
                          <w:pStyle w:val="TableParagraph"/>
                          <w:spacing w:before="81"/>
                          <w:ind w:left="26"/>
                          <w:rPr>
                            <w:sz w:val="14"/>
                          </w:rPr>
                        </w:pPr>
                        <w:r>
                          <w:rPr>
                            <w:color w:val="231F20"/>
                            <w:w w:val="95"/>
                            <w:sz w:val="14"/>
                          </w:rPr>
                          <w:t>Lack of funds</w:t>
                        </w:r>
                      </w:p>
                    </w:tc>
                    <w:tc>
                      <w:tcPr>
                        <w:tcW w:w="1487" w:type="dxa"/>
                      </w:tcPr>
                      <w:p w14:paraId="39457006" w14:textId="77777777" w:rsidR="00080B77" w:rsidRDefault="00080B77">
                        <w:pPr>
                          <w:pStyle w:val="TableParagraph"/>
                          <w:spacing w:line="156" w:lineRule="exact"/>
                          <w:ind w:left="28"/>
                          <w:rPr>
                            <w:sz w:val="14"/>
                          </w:rPr>
                        </w:pPr>
                        <w:r>
                          <w:rPr>
                            <w:color w:val="231F20"/>
                            <w:w w:val="95"/>
                            <w:sz w:val="14"/>
                          </w:rPr>
                          <w:t>Periodic and random</w:t>
                        </w:r>
                      </w:p>
                      <w:p w14:paraId="37E77677" w14:textId="77777777" w:rsidR="00080B77" w:rsidRDefault="00080B77">
                        <w:pPr>
                          <w:pStyle w:val="TableParagraph"/>
                          <w:spacing w:before="10" w:line="143" w:lineRule="exact"/>
                          <w:ind w:left="28"/>
                          <w:rPr>
                            <w:sz w:val="14"/>
                          </w:rPr>
                        </w:pPr>
                        <w:r>
                          <w:rPr>
                            <w:color w:val="231F20"/>
                            <w:w w:val="95"/>
                            <w:sz w:val="14"/>
                          </w:rPr>
                          <w:t>sampling</w:t>
                        </w:r>
                      </w:p>
                    </w:tc>
                  </w:tr>
                  <w:tr w:rsidR="00080B77" w14:paraId="62420033" w14:textId="77777777">
                    <w:trPr>
                      <w:trHeight w:val="342"/>
                    </w:trPr>
                    <w:tc>
                      <w:tcPr>
                        <w:tcW w:w="1027" w:type="dxa"/>
                        <w:gridSpan w:val="3"/>
                        <w:vMerge/>
                        <w:tcBorders>
                          <w:top w:val="nil"/>
                          <w:bottom w:val="nil"/>
                        </w:tcBorders>
                      </w:tcPr>
                      <w:p w14:paraId="50A1C465" w14:textId="77777777" w:rsidR="00080B77" w:rsidRDefault="00080B77">
                        <w:pPr>
                          <w:rPr>
                            <w:sz w:val="2"/>
                            <w:szCs w:val="2"/>
                          </w:rPr>
                        </w:pPr>
                      </w:p>
                    </w:tc>
                    <w:tc>
                      <w:tcPr>
                        <w:tcW w:w="519" w:type="dxa"/>
                      </w:tcPr>
                      <w:p w14:paraId="68F84522" w14:textId="77777777" w:rsidR="00080B77" w:rsidRDefault="00080B77">
                        <w:pPr>
                          <w:pStyle w:val="TableParagraph"/>
                          <w:spacing w:before="90"/>
                          <w:ind w:left="21" w:right="11"/>
                          <w:jc w:val="center"/>
                          <w:rPr>
                            <w:sz w:val="14"/>
                          </w:rPr>
                        </w:pPr>
                        <w:r>
                          <w:rPr>
                            <w:color w:val="231F20"/>
                            <w:w w:val="85"/>
                            <w:sz w:val="14"/>
                          </w:rPr>
                          <w:t>11.1.2.d</w:t>
                        </w:r>
                      </w:p>
                    </w:tc>
                    <w:tc>
                      <w:tcPr>
                        <w:tcW w:w="4840" w:type="dxa"/>
                        <w:gridSpan w:val="2"/>
                      </w:tcPr>
                      <w:p w14:paraId="17811F84" w14:textId="2EFD3E22" w:rsidR="00080B77" w:rsidRDefault="00080B77">
                        <w:pPr>
                          <w:pStyle w:val="TableParagraph"/>
                          <w:spacing w:before="84"/>
                          <w:ind w:left="24"/>
                          <w:rPr>
                            <w:sz w:val="14"/>
                          </w:rPr>
                        </w:pPr>
                        <w:r>
                          <w:rPr>
                            <w:color w:val="231F20"/>
                            <w:w w:val="90"/>
                            <w:sz w:val="14"/>
                          </w:rPr>
                          <w:t>Conduct</w:t>
                        </w:r>
                        <w:r>
                          <w:rPr>
                            <w:color w:val="231F20"/>
                            <w:spacing w:val="-24"/>
                            <w:w w:val="90"/>
                            <w:sz w:val="14"/>
                          </w:rPr>
                          <w:t xml:space="preserve"> </w:t>
                        </w:r>
                        <w:r>
                          <w:rPr>
                            <w:color w:val="231F20"/>
                            <w:w w:val="90"/>
                            <w:sz w:val="14"/>
                          </w:rPr>
                          <w:t>quarterly</w:t>
                        </w:r>
                        <w:r>
                          <w:rPr>
                            <w:color w:val="231F20"/>
                            <w:spacing w:val="-23"/>
                            <w:w w:val="90"/>
                            <w:sz w:val="14"/>
                          </w:rPr>
                          <w:t xml:space="preserve"> </w:t>
                        </w:r>
                        <w:r>
                          <w:rPr>
                            <w:color w:val="231F20"/>
                            <w:w w:val="90"/>
                            <w:sz w:val="14"/>
                          </w:rPr>
                          <w:t>partners’</w:t>
                        </w:r>
                        <w:r>
                          <w:rPr>
                            <w:color w:val="231F20"/>
                            <w:spacing w:val="-23"/>
                            <w:w w:val="90"/>
                            <w:sz w:val="14"/>
                          </w:rPr>
                          <w:t xml:space="preserve"> </w:t>
                        </w:r>
                        <w:r>
                          <w:rPr>
                            <w:color w:val="231F20"/>
                            <w:w w:val="90"/>
                            <w:sz w:val="14"/>
                          </w:rPr>
                          <w:t>forum</w:t>
                        </w:r>
                        <w:r>
                          <w:rPr>
                            <w:color w:val="231F20"/>
                            <w:spacing w:val="-23"/>
                            <w:w w:val="90"/>
                            <w:sz w:val="14"/>
                          </w:rPr>
                          <w:t xml:space="preserve"> </w:t>
                        </w:r>
                        <w:r>
                          <w:rPr>
                            <w:color w:val="231F20"/>
                            <w:w w:val="90"/>
                            <w:sz w:val="14"/>
                          </w:rPr>
                          <w:t>of</w:t>
                        </w:r>
                        <w:r>
                          <w:rPr>
                            <w:color w:val="231F20"/>
                            <w:spacing w:val="-23"/>
                            <w:w w:val="90"/>
                            <w:sz w:val="14"/>
                          </w:rPr>
                          <w:t xml:space="preserve"> </w:t>
                        </w:r>
                        <w:r>
                          <w:rPr>
                            <w:color w:val="231F20"/>
                            <w:w w:val="90"/>
                            <w:sz w:val="14"/>
                          </w:rPr>
                          <w:t>all</w:t>
                        </w:r>
                        <w:r>
                          <w:rPr>
                            <w:color w:val="231F20"/>
                            <w:spacing w:val="-23"/>
                            <w:w w:val="90"/>
                            <w:sz w:val="14"/>
                          </w:rPr>
                          <w:t xml:space="preserve"> </w:t>
                        </w:r>
                        <w:r>
                          <w:rPr>
                            <w:color w:val="231F20"/>
                            <w:w w:val="90"/>
                            <w:sz w:val="14"/>
                          </w:rPr>
                          <w:t>implementing</w:t>
                        </w:r>
                        <w:r>
                          <w:rPr>
                            <w:color w:val="231F20"/>
                            <w:spacing w:val="-23"/>
                            <w:w w:val="90"/>
                            <w:sz w:val="14"/>
                          </w:rPr>
                          <w:t xml:space="preserve"> </w:t>
                        </w:r>
                        <w:r>
                          <w:rPr>
                            <w:color w:val="231F20"/>
                            <w:w w:val="90"/>
                            <w:sz w:val="14"/>
                          </w:rPr>
                          <w:t>and</w:t>
                        </w:r>
                        <w:r>
                          <w:rPr>
                            <w:color w:val="231F20"/>
                            <w:spacing w:val="-23"/>
                            <w:w w:val="90"/>
                            <w:sz w:val="14"/>
                          </w:rPr>
                          <w:t xml:space="preserve"> </w:t>
                        </w:r>
                        <w:r>
                          <w:rPr>
                            <w:color w:val="231F20"/>
                            <w:w w:val="90"/>
                            <w:sz w:val="14"/>
                          </w:rPr>
                          <w:t>developing</w:t>
                        </w:r>
                        <w:r>
                          <w:rPr>
                            <w:color w:val="231F20"/>
                            <w:spacing w:val="-23"/>
                            <w:w w:val="90"/>
                            <w:sz w:val="14"/>
                          </w:rPr>
                          <w:t xml:space="preserve"> </w:t>
                        </w:r>
                        <w:r>
                          <w:rPr>
                            <w:color w:val="231F20"/>
                            <w:w w:val="90"/>
                            <w:sz w:val="14"/>
                          </w:rPr>
                          <w:t>partners</w:t>
                        </w:r>
                        <w:r>
                          <w:rPr>
                            <w:color w:val="231F20"/>
                            <w:spacing w:val="-23"/>
                            <w:w w:val="90"/>
                            <w:sz w:val="14"/>
                          </w:rPr>
                          <w:t xml:space="preserve"> </w:t>
                        </w:r>
                        <w:r>
                          <w:rPr>
                            <w:color w:val="231F20"/>
                            <w:w w:val="90"/>
                            <w:sz w:val="14"/>
                          </w:rPr>
                          <w:t>in</w:t>
                        </w:r>
                        <w:r>
                          <w:rPr>
                            <w:color w:val="231F20"/>
                            <w:spacing w:val="-24"/>
                            <w:w w:val="90"/>
                            <w:sz w:val="14"/>
                          </w:rPr>
                          <w:t xml:space="preserve"> </w:t>
                        </w:r>
                        <w:r>
                          <w:rPr>
                            <w:color w:val="231F20"/>
                            <w:w w:val="90"/>
                            <w:sz w:val="14"/>
                          </w:rPr>
                          <w:t>the</w:t>
                        </w:r>
                        <w:r>
                          <w:rPr>
                            <w:color w:val="231F20"/>
                            <w:spacing w:val="-23"/>
                            <w:w w:val="90"/>
                            <w:sz w:val="14"/>
                          </w:rPr>
                          <w:t xml:space="preserve"> </w:t>
                        </w:r>
                        <w:r>
                          <w:rPr>
                            <w:color w:val="231F20"/>
                            <w:w w:val="90"/>
                            <w:sz w:val="14"/>
                          </w:rPr>
                          <w:t>State.</w:t>
                        </w:r>
                      </w:p>
                    </w:tc>
                    <w:tc>
                      <w:tcPr>
                        <w:tcW w:w="1410" w:type="dxa"/>
                      </w:tcPr>
                      <w:p w14:paraId="4FA2CF96" w14:textId="77777777" w:rsidR="00080B77" w:rsidRDefault="00080B77">
                        <w:pPr>
                          <w:pStyle w:val="TableParagraph"/>
                          <w:spacing w:before="90"/>
                          <w:ind w:left="26"/>
                          <w:rPr>
                            <w:sz w:val="14"/>
                          </w:rPr>
                        </w:pPr>
                        <w:r>
                          <w:rPr>
                            <w:color w:val="231F20"/>
                            <w:w w:val="95"/>
                            <w:sz w:val="14"/>
                          </w:rPr>
                          <w:t>Lack of funds</w:t>
                        </w:r>
                      </w:p>
                    </w:tc>
                    <w:tc>
                      <w:tcPr>
                        <w:tcW w:w="1487" w:type="dxa"/>
                      </w:tcPr>
                      <w:p w14:paraId="34029605" w14:textId="77777777" w:rsidR="00080B77" w:rsidRDefault="00080B77">
                        <w:pPr>
                          <w:pStyle w:val="TableParagraph"/>
                          <w:spacing w:before="90"/>
                          <w:ind w:left="28"/>
                          <w:rPr>
                            <w:sz w:val="14"/>
                          </w:rPr>
                        </w:pPr>
                        <w:r>
                          <w:rPr>
                            <w:color w:val="231F20"/>
                            <w:w w:val="95"/>
                            <w:sz w:val="14"/>
                          </w:rPr>
                          <w:t>Conduct partners forum</w:t>
                        </w:r>
                      </w:p>
                    </w:tc>
                  </w:tr>
                  <w:tr w:rsidR="00080B77" w14:paraId="38EAA0E8" w14:textId="77777777">
                    <w:trPr>
                      <w:trHeight w:val="522"/>
                    </w:trPr>
                    <w:tc>
                      <w:tcPr>
                        <w:tcW w:w="1027" w:type="dxa"/>
                        <w:gridSpan w:val="3"/>
                        <w:vMerge/>
                        <w:tcBorders>
                          <w:top w:val="nil"/>
                          <w:bottom w:val="nil"/>
                        </w:tcBorders>
                      </w:tcPr>
                      <w:p w14:paraId="190EA22F" w14:textId="77777777" w:rsidR="00080B77" w:rsidRDefault="00080B77">
                        <w:pPr>
                          <w:rPr>
                            <w:sz w:val="2"/>
                            <w:szCs w:val="2"/>
                          </w:rPr>
                        </w:pPr>
                      </w:p>
                    </w:tc>
                    <w:tc>
                      <w:tcPr>
                        <w:tcW w:w="519" w:type="dxa"/>
                      </w:tcPr>
                      <w:p w14:paraId="6170B000" w14:textId="77777777" w:rsidR="00080B77" w:rsidRDefault="00080B77">
                        <w:pPr>
                          <w:pStyle w:val="TableParagraph"/>
                          <w:spacing w:before="8"/>
                          <w:rPr>
                            <w:sz w:val="15"/>
                          </w:rPr>
                        </w:pPr>
                      </w:p>
                      <w:p w14:paraId="3B1CE26B" w14:textId="77777777" w:rsidR="00080B77" w:rsidRDefault="00080B77">
                        <w:pPr>
                          <w:pStyle w:val="TableParagraph"/>
                          <w:ind w:left="21" w:right="11"/>
                          <w:jc w:val="center"/>
                          <w:rPr>
                            <w:sz w:val="14"/>
                          </w:rPr>
                        </w:pPr>
                        <w:r>
                          <w:rPr>
                            <w:color w:val="231F20"/>
                            <w:w w:val="85"/>
                            <w:sz w:val="14"/>
                          </w:rPr>
                          <w:t>11.1.2.e</w:t>
                        </w:r>
                      </w:p>
                    </w:tc>
                    <w:tc>
                      <w:tcPr>
                        <w:tcW w:w="4840" w:type="dxa"/>
                        <w:gridSpan w:val="2"/>
                      </w:tcPr>
                      <w:p w14:paraId="5E26E45B" w14:textId="77777777" w:rsidR="00080B77" w:rsidRDefault="00080B77">
                        <w:pPr>
                          <w:pStyle w:val="TableParagraph"/>
                          <w:spacing w:before="88" w:line="254" w:lineRule="auto"/>
                          <w:ind w:left="24" w:right="31" w:firstLine="32"/>
                          <w:rPr>
                            <w:sz w:val="14"/>
                          </w:rPr>
                        </w:pPr>
                        <w:r>
                          <w:rPr>
                            <w:color w:val="231F20"/>
                            <w:w w:val="85"/>
                            <w:sz w:val="14"/>
                          </w:rPr>
                          <w:t>Monitor</w:t>
                        </w:r>
                        <w:r>
                          <w:rPr>
                            <w:color w:val="231F20"/>
                            <w:spacing w:val="-6"/>
                            <w:w w:val="85"/>
                            <w:sz w:val="14"/>
                          </w:rPr>
                          <w:t xml:space="preserve"> </w:t>
                        </w:r>
                        <w:r>
                          <w:rPr>
                            <w:color w:val="231F20"/>
                            <w:w w:val="85"/>
                            <w:sz w:val="14"/>
                          </w:rPr>
                          <w:t>the</w:t>
                        </w:r>
                        <w:r>
                          <w:rPr>
                            <w:color w:val="231F20"/>
                            <w:spacing w:val="-6"/>
                            <w:w w:val="85"/>
                            <w:sz w:val="14"/>
                          </w:rPr>
                          <w:t xml:space="preserve"> </w:t>
                        </w:r>
                        <w:r>
                          <w:rPr>
                            <w:color w:val="231F20"/>
                            <w:w w:val="85"/>
                            <w:sz w:val="14"/>
                          </w:rPr>
                          <w:t>Last</w:t>
                        </w:r>
                        <w:r>
                          <w:rPr>
                            <w:color w:val="231F20"/>
                            <w:spacing w:val="-6"/>
                            <w:w w:val="85"/>
                            <w:sz w:val="14"/>
                          </w:rPr>
                          <w:t xml:space="preserve"> </w:t>
                        </w:r>
                        <w:r>
                          <w:rPr>
                            <w:color w:val="231F20"/>
                            <w:w w:val="85"/>
                            <w:sz w:val="14"/>
                          </w:rPr>
                          <w:t>mile</w:t>
                        </w:r>
                        <w:r>
                          <w:rPr>
                            <w:color w:val="231F20"/>
                            <w:spacing w:val="-6"/>
                            <w:w w:val="85"/>
                            <w:sz w:val="14"/>
                          </w:rPr>
                          <w:t xml:space="preserve"> </w:t>
                        </w:r>
                        <w:r>
                          <w:rPr>
                            <w:color w:val="231F20"/>
                            <w:w w:val="85"/>
                            <w:sz w:val="14"/>
                          </w:rPr>
                          <w:t>distribution</w:t>
                        </w:r>
                        <w:r>
                          <w:rPr>
                            <w:color w:val="231F20"/>
                            <w:spacing w:val="-6"/>
                            <w:w w:val="85"/>
                            <w:sz w:val="14"/>
                          </w:rPr>
                          <w:t xml:space="preserve"> </w:t>
                        </w:r>
                        <w:r>
                          <w:rPr>
                            <w:color w:val="231F20"/>
                            <w:w w:val="85"/>
                            <w:sz w:val="14"/>
                          </w:rPr>
                          <w:t>to</w:t>
                        </w:r>
                        <w:r>
                          <w:rPr>
                            <w:color w:val="231F20"/>
                            <w:spacing w:val="-6"/>
                            <w:w w:val="85"/>
                            <w:sz w:val="14"/>
                          </w:rPr>
                          <w:t xml:space="preserve"> </w:t>
                        </w:r>
                        <w:r>
                          <w:rPr>
                            <w:color w:val="231F20"/>
                            <w:w w:val="85"/>
                            <w:sz w:val="14"/>
                          </w:rPr>
                          <w:t>health</w:t>
                        </w:r>
                        <w:r>
                          <w:rPr>
                            <w:color w:val="231F20"/>
                            <w:spacing w:val="-6"/>
                            <w:w w:val="85"/>
                            <w:sz w:val="14"/>
                          </w:rPr>
                          <w:t xml:space="preserve"> </w:t>
                        </w:r>
                        <w:r>
                          <w:rPr>
                            <w:color w:val="231F20"/>
                            <w:w w:val="85"/>
                            <w:sz w:val="14"/>
                          </w:rPr>
                          <w:t>facilities</w:t>
                        </w:r>
                        <w:r>
                          <w:rPr>
                            <w:color w:val="231F20"/>
                            <w:spacing w:val="-6"/>
                            <w:w w:val="85"/>
                            <w:sz w:val="14"/>
                          </w:rPr>
                          <w:t xml:space="preserve"> </w:t>
                        </w:r>
                        <w:r>
                          <w:rPr>
                            <w:color w:val="231F20"/>
                            <w:w w:val="85"/>
                            <w:sz w:val="14"/>
                          </w:rPr>
                          <w:t>(HFs).in</w:t>
                        </w:r>
                        <w:r>
                          <w:rPr>
                            <w:color w:val="231F20"/>
                            <w:spacing w:val="-6"/>
                            <w:w w:val="85"/>
                            <w:sz w:val="14"/>
                          </w:rPr>
                          <w:t xml:space="preserve"> </w:t>
                        </w:r>
                        <w:r>
                          <w:rPr>
                            <w:color w:val="231F20"/>
                            <w:w w:val="85"/>
                            <w:sz w:val="14"/>
                          </w:rPr>
                          <w:t>the</w:t>
                        </w:r>
                        <w:r>
                          <w:rPr>
                            <w:color w:val="231F20"/>
                            <w:spacing w:val="-6"/>
                            <w:w w:val="85"/>
                            <w:sz w:val="14"/>
                          </w:rPr>
                          <w:t xml:space="preserve"> </w:t>
                        </w:r>
                        <w:r>
                          <w:rPr>
                            <w:color w:val="231F20"/>
                            <w:w w:val="85"/>
                            <w:sz w:val="14"/>
                          </w:rPr>
                          <w:t>state</w:t>
                        </w:r>
                        <w:r>
                          <w:rPr>
                            <w:color w:val="231F20"/>
                            <w:spacing w:val="-6"/>
                            <w:w w:val="85"/>
                            <w:sz w:val="14"/>
                          </w:rPr>
                          <w:t xml:space="preserve"> </w:t>
                        </w:r>
                        <w:r>
                          <w:rPr>
                            <w:color w:val="231F20"/>
                            <w:w w:val="85"/>
                            <w:sz w:val="14"/>
                          </w:rPr>
                          <w:t>and</w:t>
                        </w:r>
                        <w:r>
                          <w:rPr>
                            <w:color w:val="231F20"/>
                            <w:spacing w:val="-6"/>
                            <w:w w:val="85"/>
                            <w:sz w:val="14"/>
                          </w:rPr>
                          <w:t xml:space="preserve"> </w:t>
                        </w:r>
                        <w:r>
                          <w:rPr>
                            <w:color w:val="231F20"/>
                            <w:w w:val="85"/>
                            <w:sz w:val="14"/>
                          </w:rPr>
                          <w:t>reconcile</w:t>
                        </w:r>
                        <w:r>
                          <w:rPr>
                            <w:color w:val="231F20"/>
                            <w:spacing w:val="-6"/>
                            <w:w w:val="85"/>
                            <w:sz w:val="14"/>
                          </w:rPr>
                          <w:t xml:space="preserve"> </w:t>
                        </w:r>
                        <w:r>
                          <w:rPr>
                            <w:color w:val="231F20"/>
                            <w:w w:val="85"/>
                            <w:sz w:val="14"/>
                          </w:rPr>
                          <w:t>Proof</w:t>
                        </w:r>
                        <w:r>
                          <w:rPr>
                            <w:color w:val="231F20"/>
                            <w:spacing w:val="-6"/>
                            <w:w w:val="85"/>
                            <w:sz w:val="14"/>
                          </w:rPr>
                          <w:t xml:space="preserve"> </w:t>
                        </w:r>
                        <w:r>
                          <w:rPr>
                            <w:color w:val="231F20"/>
                            <w:w w:val="85"/>
                            <w:sz w:val="14"/>
                          </w:rPr>
                          <w:t xml:space="preserve">of </w:t>
                        </w:r>
                        <w:r>
                          <w:rPr>
                            <w:color w:val="231F20"/>
                            <w:w w:val="95"/>
                            <w:sz w:val="14"/>
                          </w:rPr>
                          <w:t>deliveries</w:t>
                        </w:r>
                        <w:r>
                          <w:rPr>
                            <w:color w:val="231F20"/>
                            <w:spacing w:val="-12"/>
                            <w:w w:val="95"/>
                            <w:sz w:val="14"/>
                          </w:rPr>
                          <w:t xml:space="preserve"> </w:t>
                        </w:r>
                        <w:r>
                          <w:rPr>
                            <w:color w:val="231F20"/>
                            <w:w w:val="95"/>
                            <w:sz w:val="14"/>
                          </w:rPr>
                          <w:t>(</w:t>
                        </w:r>
                        <w:proofErr w:type="spellStart"/>
                        <w:r>
                          <w:rPr>
                            <w:color w:val="231F20"/>
                            <w:w w:val="95"/>
                            <w:sz w:val="14"/>
                          </w:rPr>
                          <w:t>PoDs</w:t>
                        </w:r>
                        <w:proofErr w:type="spellEnd"/>
                        <w:r>
                          <w:rPr>
                            <w:color w:val="231F20"/>
                            <w:w w:val="95"/>
                            <w:sz w:val="14"/>
                          </w:rPr>
                          <w:t>)</w:t>
                        </w:r>
                        <w:r>
                          <w:rPr>
                            <w:color w:val="231F20"/>
                            <w:spacing w:val="-11"/>
                            <w:w w:val="95"/>
                            <w:sz w:val="14"/>
                          </w:rPr>
                          <w:t xml:space="preserve"> </w:t>
                        </w:r>
                        <w:r>
                          <w:rPr>
                            <w:color w:val="231F20"/>
                            <w:w w:val="95"/>
                            <w:sz w:val="14"/>
                          </w:rPr>
                          <w:t>with</w:t>
                        </w:r>
                        <w:r>
                          <w:rPr>
                            <w:color w:val="231F20"/>
                            <w:spacing w:val="-11"/>
                            <w:w w:val="95"/>
                            <w:sz w:val="14"/>
                          </w:rPr>
                          <w:t xml:space="preserve"> </w:t>
                        </w:r>
                        <w:r>
                          <w:rPr>
                            <w:color w:val="231F20"/>
                            <w:w w:val="95"/>
                            <w:sz w:val="14"/>
                          </w:rPr>
                          <w:t>Last</w:t>
                        </w:r>
                        <w:r>
                          <w:rPr>
                            <w:color w:val="231F20"/>
                            <w:spacing w:val="-11"/>
                            <w:w w:val="95"/>
                            <w:sz w:val="14"/>
                          </w:rPr>
                          <w:t xml:space="preserve"> </w:t>
                        </w:r>
                        <w:r>
                          <w:rPr>
                            <w:color w:val="231F20"/>
                            <w:w w:val="95"/>
                            <w:sz w:val="14"/>
                          </w:rPr>
                          <w:t>Mile</w:t>
                        </w:r>
                        <w:r>
                          <w:rPr>
                            <w:color w:val="231F20"/>
                            <w:spacing w:val="-11"/>
                            <w:w w:val="95"/>
                            <w:sz w:val="14"/>
                          </w:rPr>
                          <w:t xml:space="preserve"> </w:t>
                        </w:r>
                        <w:r>
                          <w:rPr>
                            <w:color w:val="231F20"/>
                            <w:w w:val="95"/>
                            <w:sz w:val="14"/>
                          </w:rPr>
                          <w:t>Distribution</w:t>
                        </w:r>
                        <w:r>
                          <w:rPr>
                            <w:color w:val="231F20"/>
                            <w:spacing w:val="-11"/>
                            <w:w w:val="95"/>
                            <w:sz w:val="14"/>
                          </w:rPr>
                          <w:t xml:space="preserve"> </w:t>
                        </w:r>
                        <w:r>
                          <w:rPr>
                            <w:color w:val="231F20"/>
                            <w:w w:val="95"/>
                            <w:sz w:val="14"/>
                          </w:rPr>
                          <w:t>Matrix</w:t>
                        </w:r>
                        <w:r>
                          <w:rPr>
                            <w:color w:val="231F20"/>
                            <w:spacing w:val="-11"/>
                            <w:w w:val="95"/>
                            <w:sz w:val="14"/>
                          </w:rPr>
                          <w:t xml:space="preserve"> </w:t>
                        </w:r>
                        <w:r>
                          <w:rPr>
                            <w:color w:val="231F20"/>
                            <w:w w:val="95"/>
                            <w:sz w:val="14"/>
                          </w:rPr>
                          <w:t>(LMDs)</w:t>
                        </w:r>
                      </w:p>
                    </w:tc>
                    <w:tc>
                      <w:tcPr>
                        <w:tcW w:w="1410" w:type="dxa"/>
                      </w:tcPr>
                      <w:p w14:paraId="15136DD3" w14:textId="77777777" w:rsidR="00080B77" w:rsidRDefault="00080B77">
                        <w:pPr>
                          <w:pStyle w:val="TableParagraph"/>
                          <w:spacing w:before="8"/>
                          <w:rPr>
                            <w:sz w:val="15"/>
                          </w:rPr>
                        </w:pPr>
                      </w:p>
                      <w:p w14:paraId="2568E74F" w14:textId="77777777" w:rsidR="00080B77" w:rsidRDefault="00080B77">
                        <w:pPr>
                          <w:pStyle w:val="TableParagraph"/>
                          <w:ind w:left="26"/>
                          <w:rPr>
                            <w:sz w:val="14"/>
                          </w:rPr>
                        </w:pPr>
                        <w:r>
                          <w:rPr>
                            <w:color w:val="231F20"/>
                            <w:w w:val="95"/>
                            <w:sz w:val="14"/>
                          </w:rPr>
                          <w:t>Lack of funds</w:t>
                        </w:r>
                      </w:p>
                    </w:tc>
                    <w:tc>
                      <w:tcPr>
                        <w:tcW w:w="1487" w:type="dxa"/>
                      </w:tcPr>
                      <w:p w14:paraId="447E8941" w14:textId="77777777" w:rsidR="00080B77" w:rsidRDefault="00080B77">
                        <w:pPr>
                          <w:pStyle w:val="TableParagraph"/>
                          <w:spacing w:before="8"/>
                          <w:rPr>
                            <w:sz w:val="15"/>
                          </w:rPr>
                        </w:pPr>
                      </w:p>
                      <w:p w14:paraId="45646E5C" w14:textId="77777777" w:rsidR="00080B77" w:rsidRDefault="00080B77">
                        <w:pPr>
                          <w:pStyle w:val="TableParagraph"/>
                          <w:ind w:left="28"/>
                          <w:rPr>
                            <w:sz w:val="14"/>
                          </w:rPr>
                        </w:pPr>
                        <w:r>
                          <w:rPr>
                            <w:color w:val="231F20"/>
                            <w:w w:val="95"/>
                            <w:sz w:val="14"/>
                          </w:rPr>
                          <w:t>Costed in 1.3.3b</w:t>
                        </w:r>
                      </w:p>
                    </w:tc>
                  </w:tr>
                  <w:tr w:rsidR="00080B77" w14:paraId="28AE334C" w14:textId="77777777">
                    <w:trPr>
                      <w:trHeight w:val="778"/>
                    </w:trPr>
                    <w:tc>
                      <w:tcPr>
                        <w:tcW w:w="578" w:type="dxa"/>
                        <w:gridSpan w:val="2"/>
                        <w:tcBorders>
                          <w:top w:val="nil"/>
                          <w:bottom w:val="nil"/>
                        </w:tcBorders>
                      </w:tcPr>
                      <w:p w14:paraId="1C2BA3D3" w14:textId="77777777" w:rsidR="00080B77" w:rsidRDefault="00080B77">
                        <w:pPr>
                          <w:pStyle w:val="TableParagraph"/>
                          <w:rPr>
                            <w:rFonts w:ascii="Times New Roman"/>
                            <w:sz w:val="10"/>
                          </w:rPr>
                        </w:pPr>
                      </w:p>
                    </w:tc>
                    <w:tc>
                      <w:tcPr>
                        <w:tcW w:w="449" w:type="dxa"/>
                        <w:shd w:val="clear" w:color="auto" w:fill="CCE7D3"/>
                      </w:tcPr>
                      <w:p w14:paraId="51388A54" w14:textId="77777777" w:rsidR="00080B77" w:rsidRDefault="00080B77">
                        <w:pPr>
                          <w:pStyle w:val="TableParagraph"/>
                          <w:rPr>
                            <w:sz w:val="14"/>
                          </w:rPr>
                        </w:pPr>
                      </w:p>
                      <w:p w14:paraId="011F8698" w14:textId="77777777" w:rsidR="00080B77" w:rsidRDefault="00080B77">
                        <w:pPr>
                          <w:pStyle w:val="TableParagraph"/>
                          <w:spacing w:before="9"/>
                          <w:rPr>
                            <w:sz w:val="12"/>
                          </w:rPr>
                        </w:pPr>
                      </w:p>
                      <w:p w14:paraId="317B3309" w14:textId="77777777" w:rsidR="00080B77" w:rsidRDefault="00080B77">
                        <w:pPr>
                          <w:pStyle w:val="TableParagraph"/>
                          <w:ind w:left="55"/>
                          <w:rPr>
                            <w:sz w:val="14"/>
                          </w:rPr>
                        </w:pPr>
                        <w:r>
                          <w:rPr>
                            <w:color w:val="231F20"/>
                            <w:w w:val="90"/>
                            <w:sz w:val="14"/>
                          </w:rPr>
                          <w:t>11.1.3</w:t>
                        </w:r>
                      </w:p>
                    </w:tc>
                    <w:tc>
                      <w:tcPr>
                        <w:tcW w:w="3002" w:type="dxa"/>
                        <w:gridSpan w:val="2"/>
                        <w:shd w:val="clear" w:color="auto" w:fill="CCE7D3"/>
                      </w:tcPr>
                      <w:p w14:paraId="5E61B47D" w14:textId="77777777" w:rsidR="00080B77" w:rsidRDefault="00080B77">
                        <w:pPr>
                          <w:pStyle w:val="TableParagraph"/>
                          <w:spacing w:before="9"/>
                          <w:rPr>
                            <w:sz w:val="18"/>
                          </w:rPr>
                        </w:pPr>
                      </w:p>
                      <w:p w14:paraId="65560B0B" w14:textId="77777777" w:rsidR="00080B77" w:rsidRDefault="00080B77">
                        <w:pPr>
                          <w:pStyle w:val="TableParagraph"/>
                          <w:spacing w:line="254" w:lineRule="auto"/>
                          <w:ind w:left="23" w:right="7" w:firstLine="32"/>
                          <w:rPr>
                            <w:sz w:val="14"/>
                          </w:rPr>
                        </w:pPr>
                        <w:r>
                          <w:rPr>
                            <w:color w:val="231F20"/>
                            <w:w w:val="85"/>
                            <w:sz w:val="14"/>
                          </w:rPr>
                          <w:t xml:space="preserve">Enhance production and use of locally manufactured </w:t>
                        </w:r>
                        <w:r>
                          <w:rPr>
                            <w:color w:val="231F20"/>
                            <w:w w:val="90"/>
                            <w:sz w:val="14"/>
                          </w:rPr>
                          <w:t>medicines and vaccines that meet global standards</w:t>
                        </w:r>
                      </w:p>
                    </w:tc>
                    <w:tc>
                      <w:tcPr>
                        <w:tcW w:w="2357" w:type="dxa"/>
                        <w:shd w:val="clear" w:color="auto" w:fill="CCE7D3"/>
                      </w:tcPr>
                      <w:p w14:paraId="30F28F3F" w14:textId="2D2BEB11" w:rsidR="00080B77" w:rsidRDefault="00080B77">
                        <w:pPr>
                          <w:pStyle w:val="TableParagraph"/>
                          <w:numPr>
                            <w:ilvl w:val="0"/>
                            <w:numId w:val="44"/>
                          </w:numPr>
                          <w:tabs>
                            <w:tab w:val="left" w:pos="100"/>
                          </w:tabs>
                          <w:spacing w:line="254" w:lineRule="auto"/>
                          <w:ind w:right="88" w:firstLine="0"/>
                          <w:rPr>
                            <w:sz w:val="14"/>
                          </w:rPr>
                        </w:pPr>
                        <w:r>
                          <w:rPr>
                            <w:color w:val="231F20"/>
                            <w:w w:val="90"/>
                            <w:sz w:val="14"/>
                          </w:rPr>
                          <w:t>System</w:t>
                        </w:r>
                        <w:r>
                          <w:rPr>
                            <w:color w:val="231F20"/>
                            <w:spacing w:val="-20"/>
                            <w:w w:val="90"/>
                            <w:sz w:val="14"/>
                          </w:rPr>
                          <w:t xml:space="preserve"> </w:t>
                        </w:r>
                        <w:r>
                          <w:rPr>
                            <w:color w:val="231F20"/>
                            <w:w w:val="90"/>
                            <w:sz w:val="14"/>
                          </w:rPr>
                          <w:t>for</w:t>
                        </w:r>
                        <w:r>
                          <w:rPr>
                            <w:color w:val="231F20"/>
                            <w:spacing w:val="-20"/>
                            <w:w w:val="90"/>
                            <w:sz w:val="14"/>
                          </w:rPr>
                          <w:t xml:space="preserve"> </w:t>
                        </w:r>
                        <w:r>
                          <w:rPr>
                            <w:color w:val="231F20"/>
                            <w:w w:val="90"/>
                            <w:sz w:val="14"/>
                          </w:rPr>
                          <w:t>Public</w:t>
                        </w:r>
                        <w:r>
                          <w:rPr>
                            <w:color w:val="231F20"/>
                            <w:spacing w:val="-20"/>
                            <w:w w:val="90"/>
                            <w:sz w:val="14"/>
                          </w:rPr>
                          <w:t xml:space="preserve"> </w:t>
                        </w:r>
                        <w:r>
                          <w:rPr>
                            <w:color w:val="231F20"/>
                            <w:w w:val="90"/>
                            <w:sz w:val="14"/>
                          </w:rPr>
                          <w:t>Private</w:t>
                        </w:r>
                        <w:r>
                          <w:rPr>
                            <w:color w:val="231F20"/>
                            <w:spacing w:val="-19"/>
                            <w:w w:val="90"/>
                            <w:sz w:val="14"/>
                          </w:rPr>
                          <w:t xml:space="preserve"> </w:t>
                        </w:r>
                        <w:r>
                          <w:rPr>
                            <w:color w:val="231F20"/>
                            <w:w w:val="90"/>
                            <w:sz w:val="14"/>
                          </w:rPr>
                          <w:t>Partnership</w:t>
                        </w:r>
                        <w:r>
                          <w:rPr>
                            <w:color w:val="231F20"/>
                            <w:spacing w:val="-20"/>
                            <w:w w:val="90"/>
                            <w:sz w:val="14"/>
                          </w:rPr>
                          <w:t xml:space="preserve"> </w:t>
                        </w:r>
                        <w:r>
                          <w:rPr>
                            <w:color w:val="231F20"/>
                            <w:w w:val="90"/>
                            <w:sz w:val="14"/>
                          </w:rPr>
                          <w:t xml:space="preserve">for </w:t>
                        </w:r>
                        <w:r>
                          <w:rPr>
                            <w:color w:val="231F20"/>
                            <w:w w:val="85"/>
                            <w:sz w:val="14"/>
                          </w:rPr>
                          <w:t>Production</w:t>
                        </w:r>
                        <w:r>
                          <w:rPr>
                            <w:color w:val="231F20"/>
                            <w:spacing w:val="-7"/>
                            <w:w w:val="85"/>
                            <w:sz w:val="14"/>
                          </w:rPr>
                          <w:t xml:space="preserve"> </w:t>
                        </w:r>
                        <w:r>
                          <w:rPr>
                            <w:color w:val="231F20"/>
                            <w:w w:val="85"/>
                            <w:sz w:val="14"/>
                          </w:rPr>
                          <w:t>and</w:t>
                        </w:r>
                        <w:r>
                          <w:rPr>
                            <w:color w:val="231F20"/>
                            <w:spacing w:val="-6"/>
                            <w:w w:val="85"/>
                            <w:sz w:val="14"/>
                          </w:rPr>
                          <w:t xml:space="preserve"> </w:t>
                        </w:r>
                        <w:r>
                          <w:rPr>
                            <w:color w:val="231F20"/>
                            <w:w w:val="85"/>
                            <w:sz w:val="14"/>
                          </w:rPr>
                          <w:t>Sourcing</w:t>
                        </w:r>
                        <w:r>
                          <w:rPr>
                            <w:color w:val="231F20"/>
                            <w:spacing w:val="-6"/>
                            <w:w w:val="85"/>
                            <w:sz w:val="14"/>
                          </w:rPr>
                          <w:t xml:space="preserve"> </w:t>
                        </w:r>
                        <w:r>
                          <w:rPr>
                            <w:color w:val="231F20"/>
                            <w:w w:val="85"/>
                            <w:sz w:val="14"/>
                          </w:rPr>
                          <w:t>of</w:t>
                        </w:r>
                        <w:r>
                          <w:rPr>
                            <w:color w:val="231F20"/>
                            <w:spacing w:val="-6"/>
                            <w:w w:val="85"/>
                            <w:sz w:val="14"/>
                          </w:rPr>
                          <w:t xml:space="preserve"> </w:t>
                        </w:r>
                        <w:r>
                          <w:rPr>
                            <w:color w:val="231F20"/>
                            <w:w w:val="85"/>
                            <w:sz w:val="14"/>
                          </w:rPr>
                          <w:t>Medicines</w:t>
                        </w:r>
                        <w:r>
                          <w:rPr>
                            <w:color w:val="231F20"/>
                            <w:spacing w:val="-6"/>
                            <w:w w:val="85"/>
                            <w:sz w:val="14"/>
                          </w:rPr>
                          <w:t xml:space="preserve"> </w:t>
                        </w:r>
                        <w:r>
                          <w:rPr>
                            <w:color w:val="231F20"/>
                            <w:w w:val="85"/>
                            <w:sz w:val="14"/>
                          </w:rPr>
                          <w:t>and others</w:t>
                        </w:r>
                        <w:r>
                          <w:rPr>
                            <w:color w:val="231F20"/>
                            <w:spacing w:val="-11"/>
                            <w:w w:val="85"/>
                            <w:sz w:val="14"/>
                          </w:rPr>
                          <w:t xml:space="preserve"> </w:t>
                        </w:r>
                        <w:r>
                          <w:rPr>
                            <w:color w:val="231F20"/>
                            <w:w w:val="85"/>
                            <w:sz w:val="14"/>
                          </w:rPr>
                          <w:t>Health</w:t>
                        </w:r>
                        <w:r>
                          <w:rPr>
                            <w:color w:val="231F20"/>
                            <w:spacing w:val="-10"/>
                            <w:w w:val="85"/>
                            <w:sz w:val="14"/>
                          </w:rPr>
                          <w:t xml:space="preserve"> </w:t>
                        </w:r>
                        <w:r>
                          <w:rPr>
                            <w:color w:val="231F20"/>
                            <w:w w:val="85"/>
                            <w:sz w:val="14"/>
                          </w:rPr>
                          <w:t>Commodities</w:t>
                        </w:r>
                        <w:r>
                          <w:rPr>
                            <w:color w:val="231F20"/>
                            <w:spacing w:val="-10"/>
                            <w:w w:val="85"/>
                            <w:sz w:val="14"/>
                          </w:rPr>
                          <w:t xml:space="preserve"> </w:t>
                        </w:r>
                        <w:r>
                          <w:rPr>
                            <w:color w:val="231F20"/>
                            <w:w w:val="85"/>
                            <w:sz w:val="14"/>
                          </w:rPr>
                          <w:t>and</w:t>
                        </w:r>
                        <w:r>
                          <w:rPr>
                            <w:color w:val="231F20"/>
                            <w:spacing w:val="-10"/>
                            <w:w w:val="85"/>
                            <w:sz w:val="14"/>
                          </w:rPr>
                          <w:t xml:space="preserve"> </w:t>
                        </w:r>
                        <w:r>
                          <w:rPr>
                            <w:color w:val="231F20"/>
                            <w:w w:val="85"/>
                            <w:sz w:val="14"/>
                          </w:rPr>
                          <w:t xml:space="preserve">equipment </w:t>
                        </w:r>
                        <w:r>
                          <w:rPr>
                            <w:color w:val="231F20"/>
                            <w:w w:val="95"/>
                            <w:sz w:val="14"/>
                          </w:rPr>
                          <w:t>institutionalized</w:t>
                        </w:r>
                      </w:p>
                      <w:p w14:paraId="646E2D17" w14:textId="77777777" w:rsidR="00080B77" w:rsidRDefault="00080B77">
                        <w:pPr>
                          <w:pStyle w:val="TableParagraph"/>
                          <w:spacing w:line="78" w:lineRule="exact"/>
                          <w:ind w:left="25"/>
                          <w:rPr>
                            <w:sz w:val="14"/>
                          </w:rPr>
                        </w:pPr>
                        <w:r>
                          <w:rPr>
                            <w:color w:val="231F20"/>
                            <w:w w:val="83"/>
                            <w:sz w:val="14"/>
                          </w:rPr>
                          <w:t>•</w:t>
                        </w:r>
                      </w:p>
                    </w:tc>
                    <w:tc>
                      <w:tcPr>
                        <w:tcW w:w="1410" w:type="dxa"/>
                        <w:shd w:val="clear" w:color="auto" w:fill="CCE7D3"/>
                      </w:tcPr>
                      <w:p w14:paraId="71C4B6F3" w14:textId="77777777" w:rsidR="00080B77" w:rsidRDefault="00080B77">
                        <w:pPr>
                          <w:pStyle w:val="TableParagraph"/>
                          <w:rPr>
                            <w:rFonts w:ascii="Times New Roman"/>
                            <w:sz w:val="10"/>
                          </w:rPr>
                        </w:pPr>
                      </w:p>
                    </w:tc>
                    <w:tc>
                      <w:tcPr>
                        <w:tcW w:w="1487" w:type="dxa"/>
                        <w:shd w:val="clear" w:color="auto" w:fill="CCE7D3"/>
                      </w:tcPr>
                      <w:p w14:paraId="22AB8230" w14:textId="77777777" w:rsidR="00080B77" w:rsidRDefault="00080B77">
                        <w:pPr>
                          <w:pStyle w:val="TableParagraph"/>
                          <w:rPr>
                            <w:rFonts w:ascii="Times New Roman"/>
                            <w:sz w:val="10"/>
                          </w:rPr>
                        </w:pPr>
                      </w:p>
                    </w:tc>
                  </w:tr>
                  <w:tr w:rsidR="00080B77" w14:paraId="1AE4A87C" w14:textId="77777777">
                    <w:trPr>
                      <w:trHeight w:val="472"/>
                    </w:trPr>
                    <w:tc>
                      <w:tcPr>
                        <w:tcW w:w="1027" w:type="dxa"/>
                        <w:gridSpan w:val="3"/>
                        <w:tcBorders>
                          <w:top w:val="nil"/>
                          <w:bottom w:val="nil"/>
                        </w:tcBorders>
                      </w:tcPr>
                      <w:p w14:paraId="3DF2A581" w14:textId="77777777" w:rsidR="00080B77" w:rsidRDefault="00080B77">
                        <w:pPr>
                          <w:pStyle w:val="TableParagraph"/>
                          <w:rPr>
                            <w:rFonts w:ascii="Times New Roman"/>
                            <w:sz w:val="10"/>
                          </w:rPr>
                        </w:pPr>
                      </w:p>
                    </w:tc>
                    <w:tc>
                      <w:tcPr>
                        <w:tcW w:w="519" w:type="dxa"/>
                      </w:tcPr>
                      <w:p w14:paraId="20C416DD" w14:textId="77777777" w:rsidR="00080B77" w:rsidRDefault="00080B77">
                        <w:pPr>
                          <w:pStyle w:val="TableParagraph"/>
                          <w:spacing w:before="6"/>
                          <w:rPr>
                            <w:sz w:val="13"/>
                          </w:rPr>
                        </w:pPr>
                      </w:p>
                      <w:p w14:paraId="1DADDD53" w14:textId="77777777" w:rsidR="00080B77" w:rsidRDefault="00080B77">
                        <w:pPr>
                          <w:pStyle w:val="TableParagraph"/>
                          <w:ind w:left="21" w:right="11"/>
                          <w:jc w:val="center"/>
                          <w:rPr>
                            <w:sz w:val="14"/>
                          </w:rPr>
                        </w:pPr>
                        <w:r>
                          <w:rPr>
                            <w:color w:val="231F20"/>
                            <w:w w:val="85"/>
                            <w:sz w:val="14"/>
                          </w:rPr>
                          <w:t>11.1.3.a</w:t>
                        </w:r>
                      </w:p>
                    </w:tc>
                    <w:tc>
                      <w:tcPr>
                        <w:tcW w:w="4840" w:type="dxa"/>
                        <w:gridSpan w:val="2"/>
                      </w:tcPr>
                      <w:p w14:paraId="3210861B" w14:textId="77777777" w:rsidR="00080B77" w:rsidRDefault="00080B77">
                        <w:pPr>
                          <w:pStyle w:val="TableParagraph"/>
                          <w:spacing w:line="254" w:lineRule="auto"/>
                          <w:ind w:left="24" w:right="5"/>
                          <w:rPr>
                            <w:sz w:val="14"/>
                          </w:rPr>
                        </w:pPr>
                        <w:r>
                          <w:rPr>
                            <w:color w:val="231F20"/>
                            <w:w w:val="90"/>
                            <w:sz w:val="14"/>
                          </w:rPr>
                          <w:t xml:space="preserve">Institutionalize System for Public Private Partnership for Production and Sourcing of </w:t>
                        </w:r>
                        <w:r>
                          <w:rPr>
                            <w:color w:val="231F20"/>
                            <w:w w:val="85"/>
                            <w:sz w:val="14"/>
                          </w:rPr>
                          <w:t>Medicines and others Health Commodities and equipment for affordable service delivery to</w:t>
                        </w:r>
                      </w:p>
                      <w:p w14:paraId="3EF58231" w14:textId="77777777" w:rsidR="00080B77" w:rsidRDefault="00080B77">
                        <w:pPr>
                          <w:pStyle w:val="TableParagraph"/>
                          <w:spacing w:line="114" w:lineRule="exact"/>
                          <w:ind w:left="24"/>
                          <w:rPr>
                            <w:sz w:val="14"/>
                          </w:rPr>
                        </w:pPr>
                        <w:r>
                          <w:rPr>
                            <w:color w:val="231F20"/>
                            <w:w w:val="95"/>
                            <w:sz w:val="14"/>
                          </w:rPr>
                          <w:t>the citizens.</w:t>
                        </w:r>
                      </w:p>
                    </w:tc>
                    <w:tc>
                      <w:tcPr>
                        <w:tcW w:w="1410" w:type="dxa"/>
                      </w:tcPr>
                      <w:p w14:paraId="6B90571B" w14:textId="77777777" w:rsidR="00080B77" w:rsidRDefault="00080B77">
                        <w:pPr>
                          <w:pStyle w:val="TableParagraph"/>
                          <w:spacing w:before="6"/>
                          <w:rPr>
                            <w:sz w:val="13"/>
                          </w:rPr>
                        </w:pPr>
                      </w:p>
                      <w:p w14:paraId="1B6AA7B0" w14:textId="77777777" w:rsidR="00080B77" w:rsidRDefault="00080B77">
                        <w:pPr>
                          <w:pStyle w:val="TableParagraph"/>
                          <w:ind w:left="26"/>
                          <w:rPr>
                            <w:sz w:val="14"/>
                          </w:rPr>
                        </w:pPr>
                        <w:r>
                          <w:rPr>
                            <w:color w:val="231F20"/>
                            <w:w w:val="85"/>
                            <w:sz w:val="14"/>
                          </w:rPr>
                          <w:t>Inadequate collaboration</w:t>
                        </w:r>
                      </w:p>
                    </w:tc>
                    <w:tc>
                      <w:tcPr>
                        <w:tcW w:w="1487" w:type="dxa"/>
                      </w:tcPr>
                      <w:p w14:paraId="65AFCE99" w14:textId="77777777" w:rsidR="00080B77" w:rsidRDefault="00080B77">
                        <w:pPr>
                          <w:pStyle w:val="TableParagraph"/>
                          <w:spacing w:before="6"/>
                          <w:rPr>
                            <w:sz w:val="13"/>
                          </w:rPr>
                        </w:pPr>
                      </w:p>
                      <w:p w14:paraId="24959E3F" w14:textId="77777777" w:rsidR="00080B77" w:rsidRDefault="00080B77">
                        <w:pPr>
                          <w:pStyle w:val="TableParagraph"/>
                          <w:ind w:left="28"/>
                          <w:rPr>
                            <w:sz w:val="14"/>
                          </w:rPr>
                        </w:pPr>
                        <w:r>
                          <w:rPr>
                            <w:color w:val="231F20"/>
                            <w:w w:val="95"/>
                            <w:sz w:val="14"/>
                          </w:rPr>
                          <w:t>No cost</w:t>
                        </w:r>
                      </w:p>
                    </w:tc>
                  </w:tr>
                  <w:tr w:rsidR="00080B77" w14:paraId="7E5BAF44" w14:textId="77777777">
                    <w:trPr>
                      <w:trHeight w:val="892"/>
                    </w:trPr>
                    <w:tc>
                      <w:tcPr>
                        <w:tcW w:w="578" w:type="dxa"/>
                        <w:gridSpan w:val="2"/>
                        <w:tcBorders>
                          <w:top w:val="nil"/>
                          <w:bottom w:val="nil"/>
                        </w:tcBorders>
                      </w:tcPr>
                      <w:p w14:paraId="51206F78" w14:textId="77777777" w:rsidR="00080B77" w:rsidRDefault="00080B77">
                        <w:pPr>
                          <w:pStyle w:val="TableParagraph"/>
                          <w:rPr>
                            <w:rFonts w:ascii="Times New Roman"/>
                            <w:sz w:val="10"/>
                          </w:rPr>
                        </w:pPr>
                      </w:p>
                    </w:tc>
                    <w:tc>
                      <w:tcPr>
                        <w:tcW w:w="449" w:type="dxa"/>
                        <w:shd w:val="clear" w:color="auto" w:fill="CCE7D3"/>
                      </w:tcPr>
                      <w:p w14:paraId="646120F0" w14:textId="77777777" w:rsidR="00080B77" w:rsidRDefault="00080B77">
                        <w:pPr>
                          <w:pStyle w:val="TableParagraph"/>
                          <w:rPr>
                            <w:sz w:val="14"/>
                          </w:rPr>
                        </w:pPr>
                      </w:p>
                      <w:p w14:paraId="7D3988ED" w14:textId="77777777" w:rsidR="00080B77" w:rsidRDefault="00080B77">
                        <w:pPr>
                          <w:pStyle w:val="TableParagraph"/>
                          <w:spacing w:before="8"/>
                          <w:rPr>
                            <w:sz w:val="17"/>
                          </w:rPr>
                        </w:pPr>
                      </w:p>
                      <w:p w14:paraId="2346E1F6" w14:textId="77777777" w:rsidR="00080B77" w:rsidRDefault="00080B77">
                        <w:pPr>
                          <w:pStyle w:val="TableParagraph"/>
                          <w:spacing w:before="1"/>
                          <w:ind w:left="55"/>
                          <w:rPr>
                            <w:sz w:val="14"/>
                          </w:rPr>
                        </w:pPr>
                        <w:r>
                          <w:rPr>
                            <w:color w:val="231F20"/>
                            <w:w w:val="90"/>
                            <w:sz w:val="14"/>
                          </w:rPr>
                          <w:t>11.1.4</w:t>
                        </w:r>
                      </w:p>
                    </w:tc>
                    <w:tc>
                      <w:tcPr>
                        <w:tcW w:w="3002" w:type="dxa"/>
                        <w:gridSpan w:val="2"/>
                        <w:shd w:val="clear" w:color="auto" w:fill="CCE7D3"/>
                      </w:tcPr>
                      <w:p w14:paraId="71576990" w14:textId="0395F682" w:rsidR="00080B77" w:rsidRDefault="00080B77">
                        <w:pPr>
                          <w:pStyle w:val="TableParagraph"/>
                          <w:spacing w:before="102" w:line="254" w:lineRule="auto"/>
                          <w:ind w:left="23" w:right="42" w:firstLine="32"/>
                          <w:rPr>
                            <w:sz w:val="14"/>
                          </w:rPr>
                        </w:pPr>
                        <w:r>
                          <w:rPr>
                            <w:color w:val="231F20"/>
                            <w:w w:val="85"/>
                            <w:sz w:val="14"/>
                          </w:rPr>
                          <w:t>Strengthen</w:t>
                        </w:r>
                        <w:r>
                          <w:rPr>
                            <w:color w:val="231F20"/>
                            <w:spacing w:val="-12"/>
                            <w:w w:val="85"/>
                            <w:sz w:val="14"/>
                          </w:rPr>
                          <w:t xml:space="preserve"> </w:t>
                        </w:r>
                        <w:r>
                          <w:rPr>
                            <w:color w:val="231F20"/>
                            <w:w w:val="85"/>
                            <w:sz w:val="14"/>
                          </w:rPr>
                          <w:t>effective</w:t>
                        </w:r>
                        <w:r>
                          <w:rPr>
                            <w:color w:val="231F20"/>
                            <w:spacing w:val="-12"/>
                            <w:w w:val="85"/>
                            <w:sz w:val="14"/>
                          </w:rPr>
                          <w:t xml:space="preserve"> </w:t>
                        </w:r>
                        <w:r>
                          <w:rPr>
                            <w:color w:val="231F20"/>
                            <w:w w:val="85"/>
                            <w:sz w:val="14"/>
                          </w:rPr>
                          <w:t>procurement</w:t>
                        </w:r>
                        <w:r>
                          <w:rPr>
                            <w:color w:val="231F20"/>
                            <w:spacing w:val="-12"/>
                            <w:w w:val="85"/>
                            <w:sz w:val="14"/>
                          </w:rPr>
                          <w:t xml:space="preserve"> </w:t>
                        </w:r>
                        <w:r>
                          <w:rPr>
                            <w:color w:val="231F20"/>
                            <w:w w:val="85"/>
                            <w:sz w:val="14"/>
                          </w:rPr>
                          <w:t>systems</w:t>
                        </w:r>
                        <w:r>
                          <w:rPr>
                            <w:color w:val="231F20"/>
                            <w:spacing w:val="-11"/>
                            <w:w w:val="85"/>
                            <w:sz w:val="14"/>
                          </w:rPr>
                          <w:t xml:space="preserve"> </w:t>
                        </w:r>
                        <w:r>
                          <w:rPr>
                            <w:color w:val="231F20"/>
                            <w:w w:val="85"/>
                            <w:sz w:val="14"/>
                          </w:rPr>
                          <w:t>(forecasting, orders,</w:t>
                        </w:r>
                        <w:r>
                          <w:rPr>
                            <w:color w:val="231F20"/>
                            <w:spacing w:val="-7"/>
                            <w:w w:val="85"/>
                            <w:sz w:val="14"/>
                          </w:rPr>
                          <w:t xml:space="preserve"> </w:t>
                        </w:r>
                        <w:r>
                          <w:rPr>
                            <w:color w:val="231F20"/>
                            <w:w w:val="85"/>
                            <w:sz w:val="14"/>
                          </w:rPr>
                          <w:t>and procurement)</w:t>
                        </w:r>
                        <w:r>
                          <w:rPr>
                            <w:color w:val="231F20"/>
                            <w:spacing w:val="-6"/>
                            <w:w w:val="85"/>
                            <w:sz w:val="14"/>
                          </w:rPr>
                          <w:t xml:space="preserve"> </w:t>
                        </w:r>
                        <w:r>
                          <w:rPr>
                            <w:color w:val="231F20"/>
                            <w:w w:val="85"/>
                            <w:sz w:val="14"/>
                          </w:rPr>
                          <w:t>to</w:t>
                        </w:r>
                        <w:r>
                          <w:rPr>
                            <w:color w:val="231F20"/>
                            <w:spacing w:val="-6"/>
                            <w:w w:val="85"/>
                            <w:sz w:val="14"/>
                          </w:rPr>
                          <w:t xml:space="preserve"> </w:t>
                        </w:r>
                        <w:r>
                          <w:rPr>
                            <w:color w:val="231F20"/>
                            <w:w w:val="85"/>
                            <w:sz w:val="14"/>
                          </w:rPr>
                          <w:t>ensure</w:t>
                        </w:r>
                        <w:r>
                          <w:rPr>
                            <w:color w:val="231F20"/>
                            <w:spacing w:val="-6"/>
                            <w:w w:val="85"/>
                            <w:sz w:val="14"/>
                          </w:rPr>
                          <w:t xml:space="preserve"> </w:t>
                        </w:r>
                        <w:r>
                          <w:rPr>
                            <w:color w:val="231F20"/>
                            <w:w w:val="85"/>
                            <w:sz w:val="14"/>
                          </w:rPr>
                          <w:t>(40%</w:t>
                        </w:r>
                        <w:r>
                          <w:rPr>
                            <w:color w:val="231F20"/>
                            <w:spacing w:val="-6"/>
                            <w:w w:val="85"/>
                            <w:sz w:val="14"/>
                          </w:rPr>
                          <w:t xml:space="preserve"> </w:t>
                        </w:r>
                        <w:r>
                          <w:rPr>
                            <w:color w:val="231F20"/>
                            <w:w w:val="85"/>
                            <w:sz w:val="14"/>
                          </w:rPr>
                          <w:t>local</w:t>
                        </w:r>
                        <w:r>
                          <w:rPr>
                            <w:color w:val="231F20"/>
                            <w:spacing w:val="-6"/>
                            <w:w w:val="85"/>
                            <w:sz w:val="14"/>
                          </w:rPr>
                          <w:t xml:space="preserve"> </w:t>
                        </w:r>
                        <w:r>
                          <w:rPr>
                            <w:color w:val="231F20"/>
                            <w:w w:val="85"/>
                            <w:sz w:val="14"/>
                          </w:rPr>
                          <w:t>content)</w:t>
                        </w:r>
                        <w:r>
                          <w:rPr>
                            <w:color w:val="231F20"/>
                            <w:spacing w:val="-6"/>
                            <w:w w:val="85"/>
                            <w:sz w:val="14"/>
                          </w:rPr>
                          <w:t xml:space="preserve"> </w:t>
                        </w:r>
                        <w:r>
                          <w:rPr>
                            <w:color w:val="231F20"/>
                            <w:w w:val="85"/>
                            <w:sz w:val="14"/>
                          </w:rPr>
                          <w:t xml:space="preserve">and </w:t>
                        </w:r>
                        <w:r>
                          <w:rPr>
                            <w:color w:val="231F20"/>
                            <w:w w:val="95"/>
                            <w:sz w:val="14"/>
                          </w:rPr>
                          <w:t>commodity</w:t>
                        </w:r>
                        <w:r>
                          <w:rPr>
                            <w:color w:val="231F20"/>
                            <w:spacing w:val="-25"/>
                            <w:w w:val="95"/>
                            <w:sz w:val="14"/>
                          </w:rPr>
                          <w:t xml:space="preserve"> </w:t>
                        </w:r>
                        <w:r>
                          <w:rPr>
                            <w:color w:val="231F20"/>
                            <w:w w:val="95"/>
                            <w:sz w:val="14"/>
                          </w:rPr>
                          <w:t>security</w:t>
                        </w:r>
                        <w:r>
                          <w:rPr>
                            <w:color w:val="231F20"/>
                            <w:spacing w:val="-24"/>
                            <w:w w:val="95"/>
                            <w:sz w:val="14"/>
                          </w:rPr>
                          <w:t xml:space="preserve"> </w:t>
                        </w:r>
                        <w:r>
                          <w:rPr>
                            <w:color w:val="231F20"/>
                            <w:w w:val="95"/>
                            <w:sz w:val="14"/>
                          </w:rPr>
                          <w:t>for</w:t>
                        </w:r>
                        <w:r>
                          <w:rPr>
                            <w:color w:val="231F20"/>
                            <w:spacing w:val="-25"/>
                            <w:w w:val="95"/>
                            <w:sz w:val="14"/>
                          </w:rPr>
                          <w:t xml:space="preserve"> </w:t>
                        </w:r>
                        <w:r>
                          <w:rPr>
                            <w:color w:val="231F20"/>
                            <w:w w:val="95"/>
                            <w:sz w:val="14"/>
                          </w:rPr>
                          <w:t>on</w:t>
                        </w:r>
                        <w:r>
                          <w:rPr>
                            <w:color w:val="231F20"/>
                            <w:spacing w:val="-24"/>
                            <w:w w:val="95"/>
                            <w:sz w:val="14"/>
                          </w:rPr>
                          <w:t xml:space="preserve"> </w:t>
                        </w:r>
                        <w:r>
                          <w:rPr>
                            <w:color w:val="231F20"/>
                            <w:w w:val="95"/>
                            <w:sz w:val="14"/>
                          </w:rPr>
                          <w:t>a</w:t>
                        </w:r>
                        <w:r>
                          <w:rPr>
                            <w:color w:val="231F20"/>
                            <w:spacing w:val="-25"/>
                            <w:w w:val="95"/>
                            <w:sz w:val="14"/>
                          </w:rPr>
                          <w:t xml:space="preserve"> </w:t>
                        </w:r>
                        <w:r>
                          <w:rPr>
                            <w:color w:val="231F20"/>
                            <w:w w:val="95"/>
                            <w:sz w:val="14"/>
                          </w:rPr>
                          <w:t>sustainable</w:t>
                        </w:r>
                        <w:r>
                          <w:rPr>
                            <w:color w:val="231F20"/>
                            <w:spacing w:val="-24"/>
                            <w:w w:val="95"/>
                            <w:sz w:val="14"/>
                          </w:rPr>
                          <w:t xml:space="preserve"> </w:t>
                        </w:r>
                        <w:r>
                          <w:rPr>
                            <w:color w:val="231F20"/>
                            <w:w w:val="95"/>
                            <w:sz w:val="14"/>
                          </w:rPr>
                          <w:t>basis</w:t>
                        </w:r>
                        <w:r>
                          <w:rPr>
                            <w:color w:val="231F20"/>
                            <w:spacing w:val="-25"/>
                            <w:w w:val="95"/>
                            <w:sz w:val="14"/>
                          </w:rPr>
                          <w:t xml:space="preserve"> </w:t>
                        </w:r>
                        <w:r>
                          <w:rPr>
                            <w:color w:val="231F20"/>
                            <w:w w:val="95"/>
                            <w:sz w:val="14"/>
                          </w:rPr>
                          <w:t>at</w:t>
                        </w:r>
                        <w:r>
                          <w:rPr>
                            <w:color w:val="231F20"/>
                            <w:spacing w:val="-24"/>
                            <w:w w:val="95"/>
                            <w:sz w:val="14"/>
                          </w:rPr>
                          <w:t xml:space="preserve"> </w:t>
                        </w:r>
                        <w:r>
                          <w:rPr>
                            <w:color w:val="231F20"/>
                            <w:w w:val="95"/>
                            <w:sz w:val="14"/>
                          </w:rPr>
                          <w:t>all levels</w:t>
                        </w:r>
                        <w:r>
                          <w:rPr>
                            <w:color w:val="231F20"/>
                            <w:spacing w:val="-6"/>
                            <w:w w:val="95"/>
                            <w:sz w:val="14"/>
                          </w:rPr>
                          <w:t>.</w:t>
                        </w:r>
                      </w:p>
                    </w:tc>
                    <w:tc>
                      <w:tcPr>
                        <w:tcW w:w="2357" w:type="dxa"/>
                        <w:shd w:val="clear" w:color="auto" w:fill="CCE7D3"/>
                      </w:tcPr>
                      <w:p w14:paraId="4179B94A" w14:textId="77777777" w:rsidR="00080B77" w:rsidRDefault="00080B77">
                        <w:pPr>
                          <w:pStyle w:val="TableParagraph"/>
                          <w:numPr>
                            <w:ilvl w:val="0"/>
                            <w:numId w:val="43"/>
                          </w:numPr>
                          <w:tabs>
                            <w:tab w:val="left" w:pos="100"/>
                          </w:tabs>
                          <w:spacing w:line="254" w:lineRule="auto"/>
                          <w:ind w:right="2" w:firstLine="0"/>
                          <w:rPr>
                            <w:sz w:val="14"/>
                          </w:rPr>
                        </w:pPr>
                        <w:r>
                          <w:rPr>
                            <w:color w:val="231F20"/>
                            <w:w w:val="85"/>
                            <w:sz w:val="14"/>
                          </w:rPr>
                          <w:t>Existing</w:t>
                        </w:r>
                        <w:r>
                          <w:rPr>
                            <w:color w:val="231F20"/>
                            <w:spacing w:val="-8"/>
                            <w:w w:val="85"/>
                            <w:sz w:val="14"/>
                          </w:rPr>
                          <w:t xml:space="preserve"> </w:t>
                        </w:r>
                        <w:r>
                          <w:rPr>
                            <w:color w:val="231F20"/>
                            <w:w w:val="85"/>
                            <w:sz w:val="14"/>
                          </w:rPr>
                          <w:t>procurement</w:t>
                        </w:r>
                        <w:r>
                          <w:rPr>
                            <w:color w:val="231F20"/>
                            <w:spacing w:val="-8"/>
                            <w:w w:val="85"/>
                            <w:sz w:val="14"/>
                          </w:rPr>
                          <w:t xml:space="preserve"> </w:t>
                        </w:r>
                        <w:r>
                          <w:rPr>
                            <w:color w:val="231F20"/>
                            <w:w w:val="85"/>
                            <w:sz w:val="14"/>
                          </w:rPr>
                          <w:t>system</w:t>
                        </w:r>
                        <w:r>
                          <w:rPr>
                            <w:color w:val="231F20"/>
                            <w:spacing w:val="-8"/>
                            <w:w w:val="85"/>
                            <w:sz w:val="14"/>
                          </w:rPr>
                          <w:t xml:space="preserve"> </w:t>
                        </w:r>
                        <w:r>
                          <w:rPr>
                            <w:color w:val="231F20"/>
                            <w:w w:val="85"/>
                            <w:sz w:val="14"/>
                          </w:rPr>
                          <w:t>reviewed</w:t>
                        </w:r>
                        <w:r>
                          <w:rPr>
                            <w:color w:val="231F20"/>
                            <w:spacing w:val="-7"/>
                            <w:w w:val="85"/>
                            <w:sz w:val="14"/>
                          </w:rPr>
                          <w:t xml:space="preserve"> </w:t>
                        </w:r>
                        <w:r>
                          <w:rPr>
                            <w:color w:val="231F20"/>
                            <w:spacing w:val="-4"/>
                            <w:w w:val="85"/>
                            <w:sz w:val="14"/>
                          </w:rPr>
                          <w:t xml:space="preserve">and </w:t>
                        </w:r>
                        <w:r>
                          <w:rPr>
                            <w:color w:val="231F20"/>
                            <w:w w:val="95"/>
                            <w:sz w:val="14"/>
                          </w:rPr>
                          <w:t>procurement</w:t>
                        </w:r>
                        <w:r>
                          <w:rPr>
                            <w:color w:val="231F20"/>
                            <w:spacing w:val="-23"/>
                            <w:w w:val="95"/>
                            <w:sz w:val="14"/>
                          </w:rPr>
                          <w:t xml:space="preserve"> </w:t>
                        </w:r>
                        <w:r>
                          <w:rPr>
                            <w:color w:val="231F20"/>
                            <w:w w:val="95"/>
                            <w:sz w:val="14"/>
                          </w:rPr>
                          <w:t>plan</w:t>
                        </w:r>
                        <w:r>
                          <w:rPr>
                            <w:color w:val="231F20"/>
                            <w:spacing w:val="-22"/>
                            <w:w w:val="95"/>
                            <w:sz w:val="14"/>
                          </w:rPr>
                          <w:t xml:space="preserve"> </w:t>
                        </w:r>
                        <w:r>
                          <w:rPr>
                            <w:color w:val="231F20"/>
                            <w:w w:val="95"/>
                            <w:sz w:val="14"/>
                          </w:rPr>
                          <w:t>&amp;</w:t>
                        </w:r>
                        <w:r>
                          <w:rPr>
                            <w:color w:val="231F20"/>
                            <w:spacing w:val="-23"/>
                            <w:w w:val="95"/>
                            <w:sz w:val="14"/>
                          </w:rPr>
                          <w:t xml:space="preserve"> </w:t>
                        </w:r>
                        <w:r>
                          <w:rPr>
                            <w:color w:val="231F20"/>
                            <w:w w:val="95"/>
                            <w:sz w:val="14"/>
                          </w:rPr>
                          <w:t>budget</w:t>
                        </w:r>
                        <w:r>
                          <w:rPr>
                            <w:color w:val="231F20"/>
                            <w:spacing w:val="-22"/>
                            <w:w w:val="95"/>
                            <w:sz w:val="14"/>
                          </w:rPr>
                          <w:t xml:space="preserve"> </w:t>
                        </w:r>
                        <w:r>
                          <w:rPr>
                            <w:color w:val="231F20"/>
                            <w:w w:val="95"/>
                            <w:sz w:val="14"/>
                          </w:rPr>
                          <w:t>developed</w:t>
                        </w:r>
                      </w:p>
                      <w:p w14:paraId="75C62F03" w14:textId="77777777" w:rsidR="00080B77" w:rsidRDefault="00080B77">
                        <w:pPr>
                          <w:pStyle w:val="TableParagraph"/>
                          <w:numPr>
                            <w:ilvl w:val="0"/>
                            <w:numId w:val="43"/>
                          </w:numPr>
                          <w:tabs>
                            <w:tab w:val="left" w:pos="68"/>
                          </w:tabs>
                          <w:spacing w:line="254" w:lineRule="auto"/>
                          <w:ind w:right="8" w:firstLine="0"/>
                          <w:rPr>
                            <w:sz w:val="14"/>
                          </w:rPr>
                        </w:pPr>
                        <w:r>
                          <w:rPr>
                            <w:color w:val="231F20"/>
                            <w:w w:val="90"/>
                            <w:sz w:val="14"/>
                          </w:rPr>
                          <w:t xml:space="preserve">Officers responsible for procurement </w:t>
                        </w:r>
                        <w:r>
                          <w:rPr>
                            <w:color w:val="231F20"/>
                            <w:w w:val="80"/>
                            <w:sz w:val="14"/>
                          </w:rPr>
                          <w:t>decisions</w:t>
                        </w:r>
                        <w:r>
                          <w:rPr>
                            <w:color w:val="231F20"/>
                            <w:spacing w:val="-15"/>
                            <w:w w:val="80"/>
                            <w:sz w:val="14"/>
                          </w:rPr>
                          <w:t xml:space="preserve"> </w:t>
                        </w:r>
                        <w:r>
                          <w:rPr>
                            <w:color w:val="231F20"/>
                            <w:w w:val="80"/>
                            <w:sz w:val="14"/>
                          </w:rPr>
                          <w:t>&amp;</w:t>
                        </w:r>
                        <w:r>
                          <w:rPr>
                            <w:color w:val="231F20"/>
                            <w:spacing w:val="-15"/>
                            <w:w w:val="80"/>
                            <w:sz w:val="14"/>
                          </w:rPr>
                          <w:t xml:space="preserve"> </w:t>
                        </w:r>
                        <w:r>
                          <w:rPr>
                            <w:color w:val="231F20"/>
                            <w:w w:val="80"/>
                            <w:sz w:val="14"/>
                          </w:rPr>
                          <w:t>implementations</w:t>
                        </w:r>
                        <w:r>
                          <w:rPr>
                            <w:color w:val="231F20"/>
                            <w:spacing w:val="-14"/>
                            <w:w w:val="80"/>
                            <w:sz w:val="14"/>
                          </w:rPr>
                          <w:t xml:space="preserve"> </w:t>
                        </w:r>
                        <w:r>
                          <w:rPr>
                            <w:color w:val="231F20"/>
                            <w:w w:val="80"/>
                            <w:sz w:val="14"/>
                          </w:rPr>
                          <w:t>in</w:t>
                        </w:r>
                        <w:r>
                          <w:rPr>
                            <w:color w:val="231F20"/>
                            <w:spacing w:val="-15"/>
                            <w:w w:val="80"/>
                            <w:sz w:val="14"/>
                          </w:rPr>
                          <w:t xml:space="preserve"> </w:t>
                        </w:r>
                        <w:r>
                          <w:rPr>
                            <w:color w:val="231F20"/>
                            <w:w w:val="80"/>
                            <w:sz w:val="14"/>
                          </w:rPr>
                          <w:t>the</w:t>
                        </w:r>
                        <w:r>
                          <w:rPr>
                            <w:color w:val="231F20"/>
                            <w:spacing w:val="-14"/>
                            <w:w w:val="80"/>
                            <w:sz w:val="14"/>
                          </w:rPr>
                          <w:t xml:space="preserve"> </w:t>
                        </w:r>
                        <w:r>
                          <w:rPr>
                            <w:color w:val="231F20"/>
                            <w:w w:val="80"/>
                            <w:sz w:val="14"/>
                          </w:rPr>
                          <w:t>State</w:t>
                        </w:r>
                        <w:r>
                          <w:rPr>
                            <w:color w:val="231F20"/>
                            <w:spacing w:val="-15"/>
                            <w:w w:val="80"/>
                            <w:sz w:val="14"/>
                          </w:rPr>
                          <w:t xml:space="preserve"> </w:t>
                        </w:r>
                        <w:r>
                          <w:rPr>
                            <w:color w:val="231F20"/>
                            <w:w w:val="80"/>
                            <w:sz w:val="14"/>
                          </w:rPr>
                          <w:t>trained</w:t>
                        </w:r>
                      </w:p>
                      <w:p w14:paraId="4F066BD8" w14:textId="77777777" w:rsidR="00080B77" w:rsidRDefault="00080B77">
                        <w:pPr>
                          <w:pStyle w:val="TableParagraph"/>
                          <w:numPr>
                            <w:ilvl w:val="0"/>
                            <w:numId w:val="43"/>
                          </w:numPr>
                          <w:tabs>
                            <w:tab w:val="left" w:pos="100"/>
                          </w:tabs>
                          <w:spacing w:before="33" w:line="157" w:lineRule="exact"/>
                          <w:ind w:left="99" w:hanging="75"/>
                          <w:rPr>
                            <w:sz w:val="14"/>
                          </w:rPr>
                        </w:pPr>
                        <w:r>
                          <w:rPr>
                            <w:color w:val="231F20"/>
                            <w:w w:val="95"/>
                            <w:sz w:val="14"/>
                          </w:rPr>
                          <w:t>Stores</w:t>
                        </w:r>
                        <w:r>
                          <w:rPr>
                            <w:color w:val="231F20"/>
                            <w:spacing w:val="-13"/>
                            <w:w w:val="95"/>
                            <w:sz w:val="14"/>
                          </w:rPr>
                          <w:t xml:space="preserve"> </w:t>
                        </w:r>
                        <w:r>
                          <w:rPr>
                            <w:color w:val="231F20"/>
                            <w:w w:val="95"/>
                            <w:sz w:val="14"/>
                          </w:rPr>
                          <w:t>and</w:t>
                        </w:r>
                        <w:r>
                          <w:rPr>
                            <w:color w:val="231F20"/>
                            <w:spacing w:val="-13"/>
                            <w:w w:val="95"/>
                            <w:sz w:val="14"/>
                          </w:rPr>
                          <w:t xml:space="preserve"> </w:t>
                        </w:r>
                        <w:r>
                          <w:rPr>
                            <w:color w:val="231F20"/>
                            <w:w w:val="95"/>
                            <w:sz w:val="14"/>
                          </w:rPr>
                          <w:t>storage</w:t>
                        </w:r>
                        <w:r>
                          <w:rPr>
                            <w:color w:val="231F20"/>
                            <w:spacing w:val="-13"/>
                            <w:w w:val="95"/>
                            <w:sz w:val="14"/>
                          </w:rPr>
                          <w:t xml:space="preserve"> </w:t>
                        </w:r>
                        <w:r>
                          <w:rPr>
                            <w:color w:val="231F20"/>
                            <w:w w:val="95"/>
                            <w:sz w:val="14"/>
                          </w:rPr>
                          <w:t>conditions</w:t>
                        </w:r>
                      </w:p>
                    </w:tc>
                    <w:tc>
                      <w:tcPr>
                        <w:tcW w:w="1410" w:type="dxa"/>
                        <w:shd w:val="clear" w:color="auto" w:fill="CCE7D3"/>
                      </w:tcPr>
                      <w:p w14:paraId="44640AB8" w14:textId="77777777" w:rsidR="00080B77" w:rsidRDefault="00080B77">
                        <w:pPr>
                          <w:pStyle w:val="TableParagraph"/>
                          <w:rPr>
                            <w:rFonts w:ascii="Times New Roman"/>
                            <w:sz w:val="10"/>
                          </w:rPr>
                        </w:pPr>
                      </w:p>
                    </w:tc>
                    <w:tc>
                      <w:tcPr>
                        <w:tcW w:w="1487" w:type="dxa"/>
                        <w:shd w:val="clear" w:color="auto" w:fill="CCE7D3"/>
                      </w:tcPr>
                      <w:p w14:paraId="4CFC1919" w14:textId="77777777" w:rsidR="00080B77" w:rsidRDefault="00080B77">
                        <w:pPr>
                          <w:pStyle w:val="TableParagraph"/>
                          <w:rPr>
                            <w:rFonts w:ascii="Times New Roman"/>
                            <w:sz w:val="10"/>
                          </w:rPr>
                        </w:pPr>
                      </w:p>
                    </w:tc>
                  </w:tr>
                  <w:tr w:rsidR="00080B77" w14:paraId="4BBEC178" w14:textId="77777777">
                    <w:trPr>
                      <w:trHeight w:val="454"/>
                    </w:trPr>
                    <w:tc>
                      <w:tcPr>
                        <w:tcW w:w="1027" w:type="dxa"/>
                        <w:gridSpan w:val="3"/>
                        <w:vMerge w:val="restart"/>
                        <w:tcBorders>
                          <w:top w:val="nil"/>
                          <w:bottom w:val="nil"/>
                        </w:tcBorders>
                      </w:tcPr>
                      <w:p w14:paraId="1E5FC615" w14:textId="77777777" w:rsidR="00080B77" w:rsidRDefault="00080B77">
                        <w:pPr>
                          <w:pStyle w:val="TableParagraph"/>
                          <w:rPr>
                            <w:rFonts w:ascii="Times New Roman"/>
                            <w:sz w:val="10"/>
                          </w:rPr>
                        </w:pPr>
                      </w:p>
                    </w:tc>
                    <w:tc>
                      <w:tcPr>
                        <w:tcW w:w="519" w:type="dxa"/>
                      </w:tcPr>
                      <w:p w14:paraId="5B3EC934" w14:textId="77777777" w:rsidR="00080B77" w:rsidRDefault="00080B77">
                        <w:pPr>
                          <w:pStyle w:val="TableParagraph"/>
                          <w:spacing w:before="7"/>
                          <w:rPr>
                            <w:sz w:val="12"/>
                          </w:rPr>
                        </w:pPr>
                      </w:p>
                      <w:p w14:paraId="12B9A4DD" w14:textId="77777777" w:rsidR="00080B77" w:rsidRDefault="00080B77">
                        <w:pPr>
                          <w:pStyle w:val="TableParagraph"/>
                          <w:ind w:left="21" w:right="11"/>
                          <w:jc w:val="center"/>
                          <w:rPr>
                            <w:sz w:val="14"/>
                          </w:rPr>
                        </w:pPr>
                        <w:r>
                          <w:rPr>
                            <w:color w:val="231F20"/>
                            <w:w w:val="85"/>
                            <w:sz w:val="14"/>
                          </w:rPr>
                          <w:t>11.1.4.a</w:t>
                        </w:r>
                      </w:p>
                    </w:tc>
                    <w:tc>
                      <w:tcPr>
                        <w:tcW w:w="4840" w:type="dxa"/>
                        <w:gridSpan w:val="2"/>
                      </w:tcPr>
                      <w:p w14:paraId="76F66502" w14:textId="77777777" w:rsidR="00080B77" w:rsidRDefault="00080B77">
                        <w:pPr>
                          <w:pStyle w:val="TableParagraph"/>
                          <w:spacing w:line="158" w:lineRule="exact"/>
                          <w:ind w:left="24"/>
                          <w:rPr>
                            <w:sz w:val="14"/>
                          </w:rPr>
                        </w:pPr>
                        <w:r>
                          <w:rPr>
                            <w:color w:val="231F20"/>
                            <w:w w:val="90"/>
                            <w:sz w:val="14"/>
                          </w:rPr>
                          <w:t>Review</w:t>
                        </w:r>
                        <w:r>
                          <w:rPr>
                            <w:color w:val="231F20"/>
                            <w:spacing w:val="-21"/>
                            <w:w w:val="90"/>
                            <w:sz w:val="14"/>
                          </w:rPr>
                          <w:t xml:space="preserve"> </w:t>
                        </w:r>
                        <w:r>
                          <w:rPr>
                            <w:color w:val="231F20"/>
                            <w:w w:val="90"/>
                            <w:sz w:val="14"/>
                          </w:rPr>
                          <w:t>existing</w:t>
                        </w:r>
                        <w:r>
                          <w:rPr>
                            <w:color w:val="231F20"/>
                            <w:spacing w:val="-20"/>
                            <w:w w:val="90"/>
                            <w:sz w:val="14"/>
                          </w:rPr>
                          <w:t xml:space="preserve"> </w:t>
                        </w:r>
                        <w:r>
                          <w:rPr>
                            <w:color w:val="231F20"/>
                            <w:w w:val="90"/>
                            <w:sz w:val="14"/>
                          </w:rPr>
                          <w:t>procurement</w:t>
                        </w:r>
                        <w:r>
                          <w:rPr>
                            <w:color w:val="231F20"/>
                            <w:spacing w:val="-20"/>
                            <w:w w:val="90"/>
                            <w:sz w:val="14"/>
                          </w:rPr>
                          <w:t xml:space="preserve"> </w:t>
                        </w:r>
                        <w:r>
                          <w:rPr>
                            <w:color w:val="231F20"/>
                            <w:w w:val="90"/>
                            <w:sz w:val="14"/>
                          </w:rPr>
                          <w:t>system</w:t>
                        </w:r>
                        <w:r>
                          <w:rPr>
                            <w:color w:val="231F20"/>
                            <w:spacing w:val="-20"/>
                            <w:w w:val="90"/>
                            <w:sz w:val="14"/>
                          </w:rPr>
                          <w:t xml:space="preserve"> </w:t>
                        </w:r>
                        <w:r>
                          <w:rPr>
                            <w:color w:val="231F20"/>
                            <w:w w:val="90"/>
                            <w:sz w:val="14"/>
                          </w:rPr>
                          <w:t>by</w:t>
                        </w:r>
                        <w:r>
                          <w:rPr>
                            <w:color w:val="231F20"/>
                            <w:spacing w:val="-20"/>
                            <w:w w:val="90"/>
                            <w:sz w:val="14"/>
                          </w:rPr>
                          <w:t xml:space="preserve"> </w:t>
                        </w:r>
                        <w:r>
                          <w:rPr>
                            <w:color w:val="231F20"/>
                            <w:w w:val="90"/>
                            <w:sz w:val="14"/>
                          </w:rPr>
                          <w:t>the</w:t>
                        </w:r>
                        <w:r>
                          <w:rPr>
                            <w:color w:val="231F20"/>
                            <w:spacing w:val="-20"/>
                            <w:w w:val="90"/>
                            <w:sz w:val="14"/>
                          </w:rPr>
                          <w:t xml:space="preserve"> </w:t>
                        </w:r>
                        <w:r>
                          <w:rPr>
                            <w:color w:val="231F20"/>
                            <w:w w:val="90"/>
                            <w:sz w:val="14"/>
                          </w:rPr>
                          <w:t>Rivers</w:t>
                        </w:r>
                        <w:r>
                          <w:rPr>
                            <w:color w:val="231F20"/>
                            <w:spacing w:val="-20"/>
                            <w:w w:val="90"/>
                            <w:sz w:val="14"/>
                          </w:rPr>
                          <w:t xml:space="preserve"> </w:t>
                        </w:r>
                        <w:r>
                          <w:rPr>
                            <w:color w:val="231F20"/>
                            <w:w w:val="90"/>
                            <w:sz w:val="14"/>
                          </w:rPr>
                          <w:t>State</w:t>
                        </w:r>
                        <w:r>
                          <w:rPr>
                            <w:color w:val="231F20"/>
                            <w:spacing w:val="-20"/>
                            <w:w w:val="90"/>
                            <w:sz w:val="14"/>
                          </w:rPr>
                          <w:t xml:space="preserve"> </w:t>
                        </w:r>
                        <w:r>
                          <w:rPr>
                            <w:color w:val="231F20"/>
                            <w:w w:val="90"/>
                            <w:sz w:val="14"/>
                          </w:rPr>
                          <w:t>Procurement</w:t>
                        </w:r>
                        <w:r>
                          <w:rPr>
                            <w:color w:val="231F20"/>
                            <w:spacing w:val="-20"/>
                            <w:w w:val="90"/>
                            <w:sz w:val="14"/>
                          </w:rPr>
                          <w:t xml:space="preserve"> </w:t>
                        </w:r>
                        <w:r>
                          <w:rPr>
                            <w:color w:val="231F20"/>
                            <w:w w:val="90"/>
                            <w:sz w:val="14"/>
                          </w:rPr>
                          <w:t>Bureau</w:t>
                        </w:r>
                        <w:r>
                          <w:rPr>
                            <w:color w:val="231F20"/>
                            <w:spacing w:val="-20"/>
                            <w:w w:val="90"/>
                            <w:sz w:val="14"/>
                          </w:rPr>
                          <w:t xml:space="preserve"> </w:t>
                        </w:r>
                        <w:r>
                          <w:rPr>
                            <w:color w:val="231F20"/>
                            <w:w w:val="90"/>
                            <w:sz w:val="14"/>
                          </w:rPr>
                          <w:t>to</w:t>
                        </w:r>
                        <w:r>
                          <w:rPr>
                            <w:color w:val="231F20"/>
                            <w:spacing w:val="-20"/>
                            <w:w w:val="90"/>
                            <w:sz w:val="14"/>
                          </w:rPr>
                          <w:t xml:space="preserve"> </w:t>
                        </w:r>
                        <w:r>
                          <w:rPr>
                            <w:color w:val="231F20"/>
                            <w:w w:val="90"/>
                            <w:sz w:val="14"/>
                          </w:rPr>
                          <w:t>ensure</w:t>
                        </w:r>
                      </w:p>
                      <w:p w14:paraId="658DFCCE" w14:textId="77777777" w:rsidR="00080B77" w:rsidRDefault="00080B77">
                        <w:pPr>
                          <w:pStyle w:val="TableParagraph"/>
                          <w:spacing w:before="34" w:line="134" w:lineRule="exact"/>
                          <w:ind w:left="24" w:right="216"/>
                          <w:rPr>
                            <w:sz w:val="14"/>
                          </w:rPr>
                        </w:pPr>
                        <w:r>
                          <w:rPr>
                            <w:color w:val="231F20"/>
                            <w:w w:val="85"/>
                            <w:sz w:val="14"/>
                          </w:rPr>
                          <w:t xml:space="preserve">accelerated procurement of goods, works and services following due process including </w:t>
                        </w:r>
                        <w:r>
                          <w:rPr>
                            <w:color w:val="231F20"/>
                            <w:w w:val="95"/>
                            <w:sz w:val="14"/>
                          </w:rPr>
                          <w:t>product dissemination, review and feedback</w:t>
                        </w:r>
                      </w:p>
                    </w:tc>
                    <w:tc>
                      <w:tcPr>
                        <w:tcW w:w="1410" w:type="dxa"/>
                      </w:tcPr>
                      <w:p w14:paraId="13284713" w14:textId="77777777" w:rsidR="00080B77" w:rsidRDefault="00080B77">
                        <w:pPr>
                          <w:pStyle w:val="TableParagraph"/>
                          <w:spacing w:before="7"/>
                          <w:rPr>
                            <w:sz w:val="12"/>
                          </w:rPr>
                        </w:pPr>
                      </w:p>
                      <w:p w14:paraId="0B3B6E62" w14:textId="77777777" w:rsidR="00080B77" w:rsidRDefault="00080B77">
                        <w:pPr>
                          <w:pStyle w:val="TableParagraph"/>
                          <w:ind w:left="26"/>
                          <w:rPr>
                            <w:sz w:val="14"/>
                          </w:rPr>
                        </w:pPr>
                        <w:r>
                          <w:rPr>
                            <w:color w:val="231F20"/>
                            <w:w w:val="95"/>
                            <w:sz w:val="14"/>
                          </w:rPr>
                          <w:t>Lack of funds</w:t>
                        </w:r>
                      </w:p>
                    </w:tc>
                    <w:tc>
                      <w:tcPr>
                        <w:tcW w:w="1487" w:type="dxa"/>
                      </w:tcPr>
                      <w:p w14:paraId="02066E36" w14:textId="77777777" w:rsidR="00080B77" w:rsidRDefault="00080B77">
                        <w:pPr>
                          <w:pStyle w:val="TableParagraph"/>
                          <w:spacing w:before="61" w:line="254" w:lineRule="auto"/>
                          <w:ind w:left="28"/>
                          <w:rPr>
                            <w:sz w:val="14"/>
                          </w:rPr>
                        </w:pPr>
                        <w:r>
                          <w:rPr>
                            <w:color w:val="231F20"/>
                            <w:w w:val="85"/>
                            <w:sz w:val="14"/>
                          </w:rPr>
                          <w:t xml:space="preserve">Review existing </w:t>
                        </w:r>
                        <w:r>
                          <w:rPr>
                            <w:color w:val="231F20"/>
                            <w:w w:val="95"/>
                            <w:sz w:val="14"/>
                          </w:rPr>
                          <w:t>procurement</w:t>
                        </w:r>
                      </w:p>
                    </w:tc>
                  </w:tr>
                  <w:tr w:rsidR="00080B77" w14:paraId="5D65BAD8" w14:textId="77777777">
                    <w:trPr>
                      <w:trHeight w:val="312"/>
                    </w:trPr>
                    <w:tc>
                      <w:tcPr>
                        <w:tcW w:w="1027" w:type="dxa"/>
                        <w:gridSpan w:val="3"/>
                        <w:vMerge/>
                        <w:tcBorders>
                          <w:top w:val="nil"/>
                          <w:bottom w:val="nil"/>
                        </w:tcBorders>
                      </w:tcPr>
                      <w:p w14:paraId="7010E6BE" w14:textId="77777777" w:rsidR="00080B77" w:rsidRDefault="00080B77">
                        <w:pPr>
                          <w:rPr>
                            <w:sz w:val="2"/>
                            <w:szCs w:val="2"/>
                          </w:rPr>
                        </w:pPr>
                      </w:p>
                    </w:tc>
                    <w:tc>
                      <w:tcPr>
                        <w:tcW w:w="519" w:type="dxa"/>
                      </w:tcPr>
                      <w:p w14:paraId="5371092C" w14:textId="77777777" w:rsidR="00080B77" w:rsidRDefault="00080B77">
                        <w:pPr>
                          <w:pStyle w:val="TableParagraph"/>
                          <w:spacing w:before="72"/>
                          <w:ind w:left="21" w:right="11"/>
                          <w:jc w:val="center"/>
                          <w:rPr>
                            <w:sz w:val="14"/>
                          </w:rPr>
                        </w:pPr>
                        <w:r>
                          <w:rPr>
                            <w:color w:val="231F20"/>
                            <w:w w:val="85"/>
                            <w:sz w:val="14"/>
                          </w:rPr>
                          <w:t>11.1.4.b</w:t>
                        </w:r>
                      </w:p>
                    </w:tc>
                    <w:tc>
                      <w:tcPr>
                        <w:tcW w:w="4840" w:type="dxa"/>
                        <w:gridSpan w:val="2"/>
                      </w:tcPr>
                      <w:p w14:paraId="3279CA75" w14:textId="77777777" w:rsidR="00080B77" w:rsidRDefault="00080B77">
                        <w:pPr>
                          <w:pStyle w:val="TableParagraph"/>
                          <w:spacing w:before="66"/>
                          <w:ind w:left="24"/>
                          <w:rPr>
                            <w:sz w:val="14"/>
                          </w:rPr>
                        </w:pPr>
                        <w:r>
                          <w:rPr>
                            <w:color w:val="231F20"/>
                            <w:w w:val="95"/>
                            <w:sz w:val="14"/>
                          </w:rPr>
                          <w:t>Conduct workshop to develop Procurement Plan &amp; Budget</w:t>
                        </w:r>
                      </w:p>
                    </w:tc>
                    <w:tc>
                      <w:tcPr>
                        <w:tcW w:w="1410" w:type="dxa"/>
                      </w:tcPr>
                      <w:p w14:paraId="0558AC72" w14:textId="77777777" w:rsidR="00080B77" w:rsidRDefault="00080B77">
                        <w:pPr>
                          <w:pStyle w:val="TableParagraph"/>
                          <w:spacing w:before="72"/>
                          <w:ind w:left="26"/>
                          <w:rPr>
                            <w:sz w:val="14"/>
                          </w:rPr>
                        </w:pPr>
                        <w:r>
                          <w:rPr>
                            <w:color w:val="231F20"/>
                            <w:w w:val="95"/>
                            <w:sz w:val="14"/>
                          </w:rPr>
                          <w:t>Lack of funds</w:t>
                        </w:r>
                      </w:p>
                    </w:tc>
                    <w:tc>
                      <w:tcPr>
                        <w:tcW w:w="1487" w:type="dxa"/>
                      </w:tcPr>
                      <w:p w14:paraId="35DC3EE6" w14:textId="77777777" w:rsidR="00080B77" w:rsidRDefault="00080B77">
                        <w:pPr>
                          <w:pStyle w:val="TableParagraph"/>
                          <w:spacing w:before="72"/>
                          <w:ind w:left="28"/>
                          <w:rPr>
                            <w:sz w:val="14"/>
                          </w:rPr>
                        </w:pPr>
                        <w:r>
                          <w:rPr>
                            <w:color w:val="231F20"/>
                            <w:w w:val="95"/>
                            <w:sz w:val="14"/>
                          </w:rPr>
                          <w:t>Conduct workshop</w:t>
                        </w:r>
                      </w:p>
                    </w:tc>
                  </w:tr>
                  <w:tr w:rsidR="00080B77" w14:paraId="19EEA7FE" w14:textId="77777777">
                    <w:trPr>
                      <w:trHeight w:val="333"/>
                    </w:trPr>
                    <w:tc>
                      <w:tcPr>
                        <w:tcW w:w="1027" w:type="dxa"/>
                        <w:gridSpan w:val="3"/>
                        <w:vMerge/>
                        <w:tcBorders>
                          <w:top w:val="nil"/>
                          <w:bottom w:val="nil"/>
                        </w:tcBorders>
                      </w:tcPr>
                      <w:p w14:paraId="22BDE0A3" w14:textId="77777777" w:rsidR="00080B77" w:rsidRDefault="00080B77">
                        <w:pPr>
                          <w:rPr>
                            <w:sz w:val="2"/>
                            <w:szCs w:val="2"/>
                          </w:rPr>
                        </w:pPr>
                      </w:p>
                    </w:tc>
                    <w:tc>
                      <w:tcPr>
                        <w:tcW w:w="519" w:type="dxa"/>
                      </w:tcPr>
                      <w:p w14:paraId="695FA3D4" w14:textId="77777777" w:rsidR="00080B77" w:rsidRDefault="00080B77">
                        <w:pPr>
                          <w:pStyle w:val="TableParagraph"/>
                          <w:spacing w:before="86"/>
                          <w:ind w:left="21" w:right="10"/>
                          <w:jc w:val="center"/>
                          <w:rPr>
                            <w:sz w:val="14"/>
                          </w:rPr>
                        </w:pPr>
                        <w:r>
                          <w:rPr>
                            <w:color w:val="231F20"/>
                            <w:w w:val="85"/>
                            <w:sz w:val="14"/>
                          </w:rPr>
                          <w:t>11.1.4.c</w:t>
                        </w:r>
                      </w:p>
                    </w:tc>
                    <w:tc>
                      <w:tcPr>
                        <w:tcW w:w="4840" w:type="dxa"/>
                        <w:gridSpan w:val="2"/>
                      </w:tcPr>
                      <w:p w14:paraId="151CFB52" w14:textId="77777777" w:rsidR="00080B77" w:rsidRDefault="00080B77">
                        <w:pPr>
                          <w:pStyle w:val="TableParagraph"/>
                          <w:spacing w:line="158" w:lineRule="exact"/>
                          <w:ind w:left="24"/>
                          <w:rPr>
                            <w:sz w:val="14"/>
                          </w:rPr>
                        </w:pPr>
                        <w:r>
                          <w:rPr>
                            <w:color w:val="231F20"/>
                            <w:w w:val="85"/>
                            <w:sz w:val="14"/>
                          </w:rPr>
                          <w:t>Capacity building of all officers responsible for procurement decisions &amp; implementations in</w:t>
                        </w:r>
                      </w:p>
                      <w:p w14:paraId="13E24392" w14:textId="77777777" w:rsidR="00080B77" w:rsidRDefault="00080B77">
                        <w:pPr>
                          <w:pStyle w:val="TableParagraph"/>
                          <w:spacing w:before="10" w:line="146" w:lineRule="exact"/>
                          <w:ind w:left="24"/>
                          <w:rPr>
                            <w:sz w:val="14"/>
                          </w:rPr>
                        </w:pPr>
                        <w:r>
                          <w:rPr>
                            <w:color w:val="231F20"/>
                            <w:w w:val="95"/>
                            <w:sz w:val="14"/>
                          </w:rPr>
                          <w:t xml:space="preserve">the State including forecasting, </w:t>
                        </w:r>
                        <w:proofErr w:type="gramStart"/>
                        <w:r>
                          <w:rPr>
                            <w:color w:val="231F20"/>
                            <w:w w:val="95"/>
                            <w:sz w:val="14"/>
                          </w:rPr>
                          <w:t>quantification</w:t>
                        </w:r>
                        <w:proofErr w:type="gramEnd"/>
                        <w:r>
                          <w:rPr>
                            <w:color w:val="231F20"/>
                            <w:w w:val="95"/>
                            <w:sz w:val="14"/>
                          </w:rPr>
                          <w:t xml:space="preserve"> and usage.</w:t>
                        </w:r>
                      </w:p>
                    </w:tc>
                    <w:tc>
                      <w:tcPr>
                        <w:tcW w:w="1410" w:type="dxa"/>
                      </w:tcPr>
                      <w:p w14:paraId="6A46F627" w14:textId="77777777" w:rsidR="00080B77" w:rsidRDefault="00080B77">
                        <w:pPr>
                          <w:pStyle w:val="TableParagraph"/>
                          <w:spacing w:before="86"/>
                          <w:ind w:left="26"/>
                          <w:rPr>
                            <w:sz w:val="14"/>
                          </w:rPr>
                        </w:pPr>
                        <w:r>
                          <w:rPr>
                            <w:color w:val="231F20"/>
                            <w:w w:val="95"/>
                            <w:sz w:val="14"/>
                          </w:rPr>
                          <w:t>Lack of funds</w:t>
                        </w:r>
                      </w:p>
                    </w:tc>
                    <w:tc>
                      <w:tcPr>
                        <w:tcW w:w="1487" w:type="dxa"/>
                      </w:tcPr>
                      <w:p w14:paraId="3F5E2643" w14:textId="77777777" w:rsidR="00080B77" w:rsidRDefault="00080B77">
                        <w:pPr>
                          <w:pStyle w:val="TableParagraph"/>
                          <w:spacing w:before="86"/>
                          <w:ind w:left="28"/>
                          <w:rPr>
                            <w:sz w:val="14"/>
                          </w:rPr>
                        </w:pPr>
                        <w:r>
                          <w:rPr>
                            <w:color w:val="231F20"/>
                            <w:w w:val="95"/>
                            <w:sz w:val="14"/>
                          </w:rPr>
                          <w:t>Capacity building</w:t>
                        </w:r>
                      </w:p>
                    </w:tc>
                  </w:tr>
                  <w:tr w:rsidR="00080B77" w14:paraId="3ED0D6F4" w14:textId="77777777">
                    <w:trPr>
                      <w:trHeight w:val="342"/>
                    </w:trPr>
                    <w:tc>
                      <w:tcPr>
                        <w:tcW w:w="1027" w:type="dxa"/>
                        <w:gridSpan w:val="3"/>
                        <w:vMerge/>
                        <w:tcBorders>
                          <w:top w:val="nil"/>
                          <w:bottom w:val="nil"/>
                        </w:tcBorders>
                      </w:tcPr>
                      <w:p w14:paraId="73AF71F8" w14:textId="77777777" w:rsidR="00080B77" w:rsidRDefault="00080B77">
                        <w:pPr>
                          <w:rPr>
                            <w:sz w:val="2"/>
                            <w:szCs w:val="2"/>
                          </w:rPr>
                        </w:pPr>
                      </w:p>
                    </w:tc>
                    <w:tc>
                      <w:tcPr>
                        <w:tcW w:w="519" w:type="dxa"/>
                      </w:tcPr>
                      <w:p w14:paraId="2CB427DD" w14:textId="77777777" w:rsidR="00080B77" w:rsidRDefault="00080B77">
                        <w:pPr>
                          <w:pStyle w:val="TableParagraph"/>
                          <w:spacing w:before="90"/>
                          <w:ind w:left="21" w:right="11"/>
                          <w:jc w:val="center"/>
                          <w:rPr>
                            <w:sz w:val="14"/>
                          </w:rPr>
                        </w:pPr>
                        <w:r>
                          <w:rPr>
                            <w:color w:val="231F20"/>
                            <w:w w:val="85"/>
                            <w:sz w:val="14"/>
                          </w:rPr>
                          <w:t>11.1.4.d</w:t>
                        </w:r>
                      </w:p>
                    </w:tc>
                    <w:tc>
                      <w:tcPr>
                        <w:tcW w:w="4840" w:type="dxa"/>
                        <w:gridSpan w:val="2"/>
                      </w:tcPr>
                      <w:p w14:paraId="166A0B00" w14:textId="77777777" w:rsidR="00080B77" w:rsidRDefault="00080B77">
                        <w:pPr>
                          <w:pStyle w:val="TableParagraph"/>
                          <w:spacing w:line="159" w:lineRule="exact"/>
                          <w:ind w:left="24"/>
                          <w:rPr>
                            <w:sz w:val="14"/>
                          </w:rPr>
                        </w:pPr>
                        <w:r>
                          <w:rPr>
                            <w:color w:val="231F20"/>
                            <w:w w:val="85"/>
                            <w:sz w:val="14"/>
                          </w:rPr>
                          <w:t>Establish/update monthly a database of consumers and clients, consumption patterns and</w:t>
                        </w:r>
                      </w:p>
                      <w:p w14:paraId="7D34BDF0" w14:textId="77777777" w:rsidR="00080B77" w:rsidRDefault="00080B77">
                        <w:pPr>
                          <w:pStyle w:val="TableParagraph"/>
                          <w:spacing w:before="10" w:line="153" w:lineRule="exact"/>
                          <w:ind w:left="24"/>
                          <w:rPr>
                            <w:sz w:val="14"/>
                          </w:rPr>
                        </w:pPr>
                        <w:r>
                          <w:rPr>
                            <w:color w:val="231F20"/>
                            <w:w w:val="95"/>
                            <w:sz w:val="14"/>
                          </w:rPr>
                          <w:t>cost implication</w:t>
                        </w:r>
                      </w:p>
                    </w:tc>
                    <w:tc>
                      <w:tcPr>
                        <w:tcW w:w="1410" w:type="dxa"/>
                      </w:tcPr>
                      <w:p w14:paraId="6B679034" w14:textId="77777777" w:rsidR="00080B77" w:rsidRDefault="00080B77">
                        <w:pPr>
                          <w:pStyle w:val="TableParagraph"/>
                          <w:spacing w:before="90"/>
                          <w:ind w:left="26"/>
                          <w:rPr>
                            <w:sz w:val="14"/>
                          </w:rPr>
                        </w:pPr>
                        <w:r>
                          <w:rPr>
                            <w:color w:val="231F20"/>
                            <w:w w:val="95"/>
                            <w:sz w:val="14"/>
                          </w:rPr>
                          <w:t>Lack of funds</w:t>
                        </w:r>
                      </w:p>
                    </w:tc>
                    <w:tc>
                      <w:tcPr>
                        <w:tcW w:w="1487" w:type="dxa"/>
                      </w:tcPr>
                      <w:p w14:paraId="7F140A01" w14:textId="77777777" w:rsidR="00080B77" w:rsidRDefault="00080B77">
                        <w:pPr>
                          <w:pStyle w:val="TableParagraph"/>
                          <w:spacing w:before="90"/>
                          <w:ind w:left="28"/>
                          <w:rPr>
                            <w:sz w:val="14"/>
                          </w:rPr>
                        </w:pPr>
                        <w:r>
                          <w:rPr>
                            <w:color w:val="231F20"/>
                            <w:w w:val="95"/>
                            <w:sz w:val="14"/>
                          </w:rPr>
                          <w:t>Costed in 1.3.3b</w:t>
                        </w:r>
                      </w:p>
                    </w:tc>
                  </w:tr>
                  <w:tr w:rsidR="00080B77" w14:paraId="47D9D0A2" w14:textId="77777777">
                    <w:trPr>
                      <w:trHeight w:val="333"/>
                    </w:trPr>
                    <w:tc>
                      <w:tcPr>
                        <w:tcW w:w="1027" w:type="dxa"/>
                        <w:gridSpan w:val="3"/>
                        <w:vMerge/>
                        <w:tcBorders>
                          <w:top w:val="nil"/>
                          <w:bottom w:val="nil"/>
                        </w:tcBorders>
                      </w:tcPr>
                      <w:p w14:paraId="6CD31B97" w14:textId="77777777" w:rsidR="00080B77" w:rsidRDefault="00080B77">
                        <w:pPr>
                          <w:rPr>
                            <w:sz w:val="2"/>
                            <w:szCs w:val="2"/>
                          </w:rPr>
                        </w:pPr>
                      </w:p>
                    </w:tc>
                    <w:tc>
                      <w:tcPr>
                        <w:tcW w:w="519" w:type="dxa"/>
                      </w:tcPr>
                      <w:p w14:paraId="79D65E99" w14:textId="77777777" w:rsidR="00080B77" w:rsidRDefault="00080B77">
                        <w:pPr>
                          <w:pStyle w:val="TableParagraph"/>
                          <w:spacing w:before="86"/>
                          <w:ind w:left="21" w:right="11"/>
                          <w:jc w:val="center"/>
                          <w:rPr>
                            <w:sz w:val="14"/>
                          </w:rPr>
                        </w:pPr>
                        <w:r>
                          <w:rPr>
                            <w:color w:val="231F20"/>
                            <w:w w:val="85"/>
                            <w:sz w:val="14"/>
                          </w:rPr>
                          <w:t>11.1.4.e</w:t>
                        </w:r>
                      </w:p>
                    </w:tc>
                    <w:tc>
                      <w:tcPr>
                        <w:tcW w:w="4840" w:type="dxa"/>
                        <w:gridSpan w:val="2"/>
                      </w:tcPr>
                      <w:p w14:paraId="2FF7FF68" w14:textId="77777777" w:rsidR="00080B77" w:rsidRDefault="00080B77">
                        <w:pPr>
                          <w:pStyle w:val="TableParagraph"/>
                          <w:spacing w:line="158" w:lineRule="exact"/>
                          <w:ind w:left="24"/>
                          <w:rPr>
                            <w:sz w:val="14"/>
                          </w:rPr>
                        </w:pPr>
                        <w:r>
                          <w:rPr>
                            <w:color w:val="231F20"/>
                            <w:w w:val="90"/>
                            <w:sz w:val="14"/>
                          </w:rPr>
                          <w:t>Strengthen stores and storage conditions (e.g. power supply, cooling facilities, metal</w:t>
                        </w:r>
                      </w:p>
                      <w:p w14:paraId="580DFAF1" w14:textId="3508F9D2" w:rsidR="00080B77" w:rsidRDefault="00080B77">
                        <w:pPr>
                          <w:pStyle w:val="TableParagraph"/>
                          <w:spacing w:before="10" w:line="146" w:lineRule="exact"/>
                          <w:ind w:left="24"/>
                          <w:rPr>
                            <w:sz w:val="14"/>
                          </w:rPr>
                        </w:pPr>
                        <w:r>
                          <w:rPr>
                            <w:color w:val="231F20"/>
                            <w:w w:val="95"/>
                            <w:sz w:val="14"/>
                          </w:rPr>
                          <w:t>shelves, pallets etc.)</w:t>
                        </w:r>
                      </w:p>
                    </w:tc>
                    <w:tc>
                      <w:tcPr>
                        <w:tcW w:w="1410" w:type="dxa"/>
                      </w:tcPr>
                      <w:p w14:paraId="2B60D84D" w14:textId="77777777" w:rsidR="00080B77" w:rsidRDefault="00080B77">
                        <w:pPr>
                          <w:pStyle w:val="TableParagraph"/>
                          <w:spacing w:before="86"/>
                          <w:ind w:left="26"/>
                          <w:rPr>
                            <w:sz w:val="14"/>
                          </w:rPr>
                        </w:pPr>
                        <w:r>
                          <w:rPr>
                            <w:color w:val="231F20"/>
                            <w:w w:val="95"/>
                            <w:sz w:val="14"/>
                          </w:rPr>
                          <w:t>Lack of funds</w:t>
                        </w:r>
                      </w:p>
                    </w:tc>
                    <w:tc>
                      <w:tcPr>
                        <w:tcW w:w="1487" w:type="dxa"/>
                      </w:tcPr>
                      <w:p w14:paraId="3D56D944" w14:textId="77777777" w:rsidR="00080B77" w:rsidRDefault="00080B77">
                        <w:pPr>
                          <w:pStyle w:val="TableParagraph"/>
                          <w:spacing w:before="86"/>
                          <w:ind w:left="28"/>
                          <w:rPr>
                            <w:sz w:val="14"/>
                          </w:rPr>
                        </w:pPr>
                        <w:r>
                          <w:rPr>
                            <w:color w:val="231F20"/>
                            <w:w w:val="95"/>
                            <w:sz w:val="14"/>
                          </w:rPr>
                          <w:t>Costed in OHT</w:t>
                        </w:r>
                      </w:p>
                    </w:tc>
                  </w:tr>
                  <w:tr w:rsidR="00080B77" w14:paraId="66297890" w14:textId="77777777">
                    <w:trPr>
                      <w:trHeight w:val="1200"/>
                    </w:trPr>
                    <w:tc>
                      <w:tcPr>
                        <w:tcW w:w="578" w:type="dxa"/>
                        <w:gridSpan w:val="2"/>
                        <w:tcBorders>
                          <w:top w:val="nil"/>
                          <w:bottom w:val="single" w:sz="8" w:space="0" w:color="231F20"/>
                        </w:tcBorders>
                      </w:tcPr>
                      <w:p w14:paraId="0A25A2E8" w14:textId="77777777" w:rsidR="00080B77" w:rsidRDefault="00080B77">
                        <w:pPr>
                          <w:pStyle w:val="TableParagraph"/>
                          <w:rPr>
                            <w:rFonts w:ascii="Times New Roman"/>
                            <w:sz w:val="10"/>
                          </w:rPr>
                        </w:pPr>
                      </w:p>
                    </w:tc>
                    <w:tc>
                      <w:tcPr>
                        <w:tcW w:w="449" w:type="dxa"/>
                        <w:tcBorders>
                          <w:bottom w:val="single" w:sz="12" w:space="0" w:color="231F20"/>
                        </w:tcBorders>
                        <w:shd w:val="clear" w:color="auto" w:fill="CCE7D3"/>
                      </w:tcPr>
                      <w:p w14:paraId="60E75FC4" w14:textId="77777777" w:rsidR="00080B77" w:rsidRDefault="00080B77">
                        <w:pPr>
                          <w:pStyle w:val="TableParagraph"/>
                          <w:rPr>
                            <w:sz w:val="14"/>
                          </w:rPr>
                        </w:pPr>
                      </w:p>
                      <w:p w14:paraId="2751D8F7" w14:textId="77777777" w:rsidR="00080B77" w:rsidRDefault="00080B77">
                        <w:pPr>
                          <w:pStyle w:val="TableParagraph"/>
                          <w:rPr>
                            <w:sz w:val="14"/>
                          </w:rPr>
                        </w:pPr>
                      </w:p>
                      <w:p w14:paraId="09FD51C0" w14:textId="77777777" w:rsidR="00080B77" w:rsidRDefault="00080B77">
                        <w:pPr>
                          <w:pStyle w:val="TableParagraph"/>
                          <w:spacing w:before="7"/>
                          <w:rPr>
                            <w:sz w:val="17"/>
                          </w:rPr>
                        </w:pPr>
                      </w:p>
                      <w:p w14:paraId="5635FA4E" w14:textId="77777777" w:rsidR="00080B77" w:rsidRDefault="00080B77">
                        <w:pPr>
                          <w:pStyle w:val="TableParagraph"/>
                          <w:ind w:left="55"/>
                          <w:rPr>
                            <w:sz w:val="14"/>
                          </w:rPr>
                        </w:pPr>
                        <w:r>
                          <w:rPr>
                            <w:color w:val="231F20"/>
                            <w:w w:val="90"/>
                            <w:sz w:val="14"/>
                          </w:rPr>
                          <w:t>11.1.5</w:t>
                        </w:r>
                      </w:p>
                    </w:tc>
                    <w:tc>
                      <w:tcPr>
                        <w:tcW w:w="3002" w:type="dxa"/>
                        <w:gridSpan w:val="2"/>
                        <w:tcBorders>
                          <w:bottom w:val="single" w:sz="12" w:space="0" w:color="231F20"/>
                        </w:tcBorders>
                        <w:shd w:val="clear" w:color="auto" w:fill="CCE7D3"/>
                      </w:tcPr>
                      <w:p w14:paraId="6FD06E15" w14:textId="77777777" w:rsidR="00080B77" w:rsidRDefault="00080B77">
                        <w:pPr>
                          <w:pStyle w:val="TableParagraph"/>
                          <w:spacing w:before="5"/>
                          <w:rPr>
                            <w:sz w:val="15"/>
                          </w:rPr>
                        </w:pPr>
                      </w:p>
                      <w:p w14:paraId="2A1BFD1D" w14:textId="77777777" w:rsidR="00080B77" w:rsidRDefault="00080B77">
                        <w:pPr>
                          <w:pStyle w:val="TableParagraph"/>
                          <w:spacing w:line="254" w:lineRule="auto"/>
                          <w:ind w:left="23" w:right="7" w:firstLine="32"/>
                          <w:rPr>
                            <w:sz w:val="14"/>
                          </w:rPr>
                        </w:pPr>
                        <w:r>
                          <w:rPr>
                            <w:color w:val="231F20"/>
                            <w:w w:val="90"/>
                            <w:sz w:val="14"/>
                          </w:rPr>
                          <w:t xml:space="preserve">Strengthen integrated supply chain management </w:t>
                        </w:r>
                        <w:r>
                          <w:rPr>
                            <w:color w:val="231F20"/>
                            <w:w w:val="85"/>
                            <w:sz w:val="14"/>
                          </w:rPr>
                          <w:t xml:space="preserve">system and quality assurance models for medicines, vaccines, commodities and other technologies with a functional logistics management information system </w:t>
                        </w:r>
                        <w:r>
                          <w:rPr>
                            <w:color w:val="231F20"/>
                            <w:w w:val="95"/>
                            <w:sz w:val="14"/>
                          </w:rPr>
                          <w:t>(LMIS)</w:t>
                        </w:r>
                      </w:p>
                    </w:tc>
                    <w:tc>
                      <w:tcPr>
                        <w:tcW w:w="2357" w:type="dxa"/>
                        <w:tcBorders>
                          <w:bottom w:val="single" w:sz="12" w:space="0" w:color="231F20"/>
                        </w:tcBorders>
                        <w:shd w:val="clear" w:color="auto" w:fill="CCE7D3"/>
                      </w:tcPr>
                      <w:p w14:paraId="0ECA0127" w14:textId="77777777" w:rsidR="00080B77" w:rsidRDefault="00080B77">
                        <w:pPr>
                          <w:pStyle w:val="TableParagraph"/>
                          <w:numPr>
                            <w:ilvl w:val="0"/>
                            <w:numId w:val="42"/>
                          </w:numPr>
                          <w:tabs>
                            <w:tab w:val="left" w:pos="100"/>
                          </w:tabs>
                          <w:spacing w:before="16" w:line="204" w:lineRule="auto"/>
                          <w:ind w:right="321" w:hanging="48"/>
                          <w:rPr>
                            <w:sz w:val="14"/>
                          </w:rPr>
                        </w:pPr>
                        <w:r>
                          <w:rPr>
                            <w:color w:val="231F20"/>
                            <w:w w:val="85"/>
                            <w:sz w:val="14"/>
                          </w:rPr>
                          <w:t xml:space="preserve">Supply Chain coordination </w:t>
                        </w:r>
                        <w:r>
                          <w:rPr>
                            <w:color w:val="231F20"/>
                            <w:spacing w:val="-3"/>
                            <w:w w:val="85"/>
                            <w:sz w:val="14"/>
                          </w:rPr>
                          <w:t xml:space="preserve">structures </w:t>
                        </w:r>
                        <w:r>
                          <w:rPr>
                            <w:color w:val="231F20"/>
                            <w:w w:val="95"/>
                            <w:sz w:val="14"/>
                          </w:rPr>
                          <w:t>established</w:t>
                        </w:r>
                      </w:p>
                      <w:p w14:paraId="769AF0CF" w14:textId="77777777" w:rsidR="00080B77" w:rsidRDefault="00080B77">
                        <w:pPr>
                          <w:pStyle w:val="TableParagraph"/>
                          <w:numPr>
                            <w:ilvl w:val="0"/>
                            <w:numId w:val="42"/>
                          </w:numPr>
                          <w:tabs>
                            <w:tab w:val="left" w:pos="100"/>
                          </w:tabs>
                          <w:spacing w:line="152" w:lineRule="exact"/>
                          <w:ind w:left="99" w:hanging="75"/>
                          <w:rPr>
                            <w:sz w:val="14"/>
                          </w:rPr>
                        </w:pPr>
                        <w:r>
                          <w:rPr>
                            <w:color w:val="231F20"/>
                            <w:w w:val="90"/>
                            <w:sz w:val="14"/>
                          </w:rPr>
                          <w:t>Integrated</w:t>
                        </w:r>
                        <w:r>
                          <w:rPr>
                            <w:color w:val="231F20"/>
                            <w:spacing w:val="-16"/>
                            <w:w w:val="90"/>
                            <w:sz w:val="14"/>
                          </w:rPr>
                          <w:t xml:space="preserve"> </w:t>
                        </w:r>
                        <w:r>
                          <w:rPr>
                            <w:color w:val="231F20"/>
                            <w:w w:val="90"/>
                            <w:sz w:val="14"/>
                          </w:rPr>
                          <w:t>Supply</w:t>
                        </w:r>
                        <w:r>
                          <w:rPr>
                            <w:color w:val="231F20"/>
                            <w:spacing w:val="-15"/>
                            <w:w w:val="90"/>
                            <w:sz w:val="14"/>
                          </w:rPr>
                          <w:t xml:space="preserve"> </w:t>
                        </w:r>
                        <w:r>
                          <w:rPr>
                            <w:color w:val="231F20"/>
                            <w:w w:val="90"/>
                            <w:sz w:val="14"/>
                          </w:rPr>
                          <w:t>Chain</w:t>
                        </w:r>
                        <w:r>
                          <w:rPr>
                            <w:color w:val="231F20"/>
                            <w:spacing w:val="-16"/>
                            <w:w w:val="90"/>
                            <w:sz w:val="14"/>
                          </w:rPr>
                          <w:t xml:space="preserve"> </w:t>
                        </w:r>
                        <w:r>
                          <w:rPr>
                            <w:color w:val="231F20"/>
                            <w:w w:val="90"/>
                            <w:sz w:val="14"/>
                          </w:rPr>
                          <w:t>Management</w:t>
                        </w:r>
                      </w:p>
                      <w:p w14:paraId="31152585" w14:textId="3068DD94" w:rsidR="00080B77" w:rsidRDefault="00080B77">
                        <w:pPr>
                          <w:pStyle w:val="TableParagraph"/>
                          <w:spacing w:before="17" w:line="228" w:lineRule="auto"/>
                          <w:ind w:left="25" w:right="73"/>
                          <w:rPr>
                            <w:sz w:val="14"/>
                          </w:rPr>
                        </w:pPr>
                        <w:r>
                          <w:rPr>
                            <w:color w:val="231F20"/>
                            <w:w w:val="90"/>
                            <w:sz w:val="14"/>
                          </w:rPr>
                          <w:t>(ISCM)</w:t>
                        </w:r>
                        <w:r>
                          <w:rPr>
                            <w:color w:val="231F20"/>
                            <w:spacing w:val="-24"/>
                            <w:w w:val="90"/>
                            <w:sz w:val="14"/>
                          </w:rPr>
                          <w:t xml:space="preserve"> </w:t>
                        </w:r>
                        <w:r>
                          <w:rPr>
                            <w:color w:val="231F20"/>
                            <w:w w:val="90"/>
                            <w:sz w:val="14"/>
                          </w:rPr>
                          <w:t>step</w:t>
                        </w:r>
                        <w:r>
                          <w:rPr>
                            <w:color w:val="231F20"/>
                            <w:spacing w:val="-24"/>
                            <w:w w:val="90"/>
                            <w:sz w:val="14"/>
                          </w:rPr>
                          <w:t xml:space="preserve"> </w:t>
                        </w:r>
                        <w:r>
                          <w:rPr>
                            <w:color w:val="231F20"/>
                            <w:w w:val="90"/>
                            <w:sz w:val="14"/>
                          </w:rPr>
                          <w:t>down</w:t>
                        </w:r>
                        <w:r>
                          <w:rPr>
                            <w:color w:val="231F20"/>
                            <w:spacing w:val="-23"/>
                            <w:w w:val="90"/>
                            <w:sz w:val="14"/>
                          </w:rPr>
                          <w:t xml:space="preserve"> </w:t>
                        </w:r>
                        <w:r>
                          <w:rPr>
                            <w:color w:val="231F20"/>
                            <w:w w:val="90"/>
                            <w:sz w:val="14"/>
                          </w:rPr>
                          <w:t>training</w:t>
                        </w:r>
                        <w:r>
                          <w:rPr>
                            <w:color w:val="231F20"/>
                            <w:spacing w:val="-24"/>
                            <w:w w:val="90"/>
                            <w:sz w:val="14"/>
                          </w:rPr>
                          <w:t xml:space="preserve"> </w:t>
                        </w:r>
                        <w:r>
                          <w:rPr>
                            <w:color w:val="231F20"/>
                            <w:w w:val="90"/>
                            <w:sz w:val="14"/>
                          </w:rPr>
                          <w:t>at</w:t>
                        </w:r>
                        <w:r>
                          <w:rPr>
                            <w:color w:val="231F20"/>
                            <w:spacing w:val="-23"/>
                            <w:w w:val="90"/>
                            <w:sz w:val="14"/>
                          </w:rPr>
                          <w:t xml:space="preserve"> </w:t>
                        </w:r>
                        <w:r>
                          <w:rPr>
                            <w:color w:val="231F20"/>
                            <w:w w:val="90"/>
                            <w:sz w:val="14"/>
                          </w:rPr>
                          <w:t>the</w:t>
                        </w:r>
                        <w:r>
                          <w:rPr>
                            <w:color w:val="231F20"/>
                            <w:spacing w:val="-24"/>
                            <w:w w:val="90"/>
                            <w:sz w:val="14"/>
                          </w:rPr>
                          <w:t xml:space="preserve"> </w:t>
                        </w:r>
                        <w:r>
                          <w:rPr>
                            <w:color w:val="231F20"/>
                            <w:w w:val="90"/>
                            <w:sz w:val="14"/>
                          </w:rPr>
                          <w:t>State</w:t>
                        </w:r>
                        <w:r>
                          <w:rPr>
                            <w:color w:val="231F20"/>
                            <w:spacing w:val="-23"/>
                            <w:w w:val="90"/>
                            <w:sz w:val="14"/>
                          </w:rPr>
                          <w:t xml:space="preserve"> </w:t>
                        </w:r>
                        <w:r>
                          <w:rPr>
                            <w:color w:val="231F20"/>
                            <w:w w:val="90"/>
                            <w:sz w:val="14"/>
                          </w:rPr>
                          <w:t xml:space="preserve">level </w:t>
                        </w:r>
                        <w:r>
                          <w:rPr>
                            <w:color w:val="231F20"/>
                            <w:w w:val="95"/>
                            <w:sz w:val="14"/>
                          </w:rPr>
                          <w:t>done</w:t>
                        </w:r>
                      </w:p>
                      <w:p w14:paraId="134D1D96" w14:textId="77777777" w:rsidR="00080B77" w:rsidRDefault="00080B77">
                        <w:pPr>
                          <w:pStyle w:val="TableParagraph"/>
                          <w:numPr>
                            <w:ilvl w:val="0"/>
                            <w:numId w:val="42"/>
                          </w:numPr>
                          <w:tabs>
                            <w:tab w:val="left" w:pos="100"/>
                          </w:tabs>
                          <w:spacing w:before="18" w:line="208" w:lineRule="auto"/>
                          <w:ind w:left="25" w:right="149" w:firstLine="0"/>
                          <w:rPr>
                            <w:sz w:val="14"/>
                          </w:rPr>
                        </w:pPr>
                        <w:r>
                          <w:rPr>
                            <w:color w:val="231F20"/>
                            <w:w w:val="95"/>
                            <w:sz w:val="14"/>
                          </w:rPr>
                          <w:t xml:space="preserve">LMIS Report collection of </w:t>
                        </w:r>
                        <w:r>
                          <w:rPr>
                            <w:color w:val="231F20"/>
                            <w:spacing w:val="-3"/>
                            <w:w w:val="95"/>
                            <w:sz w:val="14"/>
                          </w:rPr>
                          <w:t xml:space="preserve">HIV, </w:t>
                        </w:r>
                        <w:r>
                          <w:rPr>
                            <w:color w:val="231F20"/>
                            <w:w w:val="95"/>
                            <w:sz w:val="14"/>
                          </w:rPr>
                          <w:t xml:space="preserve">TB, </w:t>
                        </w:r>
                        <w:r>
                          <w:rPr>
                            <w:color w:val="231F20"/>
                            <w:w w:val="85"/>
                            <w:sz w:val="14"/>
                          </w:rPr>
                          <w:t>Malaria, Reproductive health and</w:t>
                        </w:r>
                        <w:r>
                          <w:rPr>
                            <w:color w:val="231F20"/>
                            <w:spacing w:val="-24"/>
                            <w:w w:val="85"/>
                            <w:sz w:val="14"/>
                          </w:rPr>
                          <w:t xml:space="preserve"> </w:t>
                        </w:r>
                        <w:r>
                          <w:rPr>
                            <w:color w:val="231F20"/>
                            <w:spacing w:val="-4"/>
                            <w:w w:val="85"/>
                            <w:sz w:val="14"/>
                          </w:rPr>
                          <w:t>Vaccine</w:t>
                        </w:r>
                      </w:p>
                      <w:p w14:paraId="1074B4CC" w14:textId="77777777" w:rsidR="00080B77" w:rsidRDefault="00080B77">
                        <w:pPr>
                          <w:pStyle w:val="TableParagraph"/>
                          <w:spacing w:line="119" w:lineRule="exact"/>
                          <w:ind w:left="25"/>
                          <w:rPr>
                            <w:sz w:val="14"/>
                          </w:rPr>
                        </w:pPr>
                        <w:r>
                          <w:rPr>
                            <w:color w:val="231F20"/>
                            <w:w w:val="95"/>
                            <w:sz w:val="14"/>
                          </w:rPr>
                          <w:t>programs available</w:t>
                        </w:r>
                      </w:p>
                    </w:tc>
                    <w:tc>
                      <w:tcPr>
                        <w:tcW w:w="1410" w:type="dxa"/>
                        <w:tcBorders>
                          <w:bottom w:val="single" w:sz="12" w:space="0" w:color="231F20"/>
                        </w:tcBorders>
                        <w:shd w:val="clear" w:color="auto" w:fill="CCE7D3"/>
                      </w:tcPr>
                      <w:p w14:paraId="6848BD84" w14:textId="77777777" w:rsidR="00080B77" w:rsidRDefault="00080B77">
                        <w:pPr>
                          <w:pStyle w:val="TableParagraph"/>
                          <w:rPr>
                            <w:rFonts w:ascii="Times New Roman"/>
                            <w:sz w:val="10"/>
                          </w:rPr>
                        </w:pPr>
                      </w:p>
                    </w:tc>
                    <w:tc>
                      <w:tcPr>
                        <w:tcW w:w="1487" w:type="dxa"/>
                        <w:tcBorders>
                          <w:bottom w:val="single" w:sz="12" w:space="0" w:color="231F20"/>
                        </w:tcBorders>
                        <w:shd w:val="clear" w:color="auto" w:fill="CCE7D3"/>
                      </w:tcPr>
                      <w:p w14:paraId="499B4EC3" w14:textId="77777777" w:rsidR="00080B77" w:rsidRDefault="00080B77">
                        <w:pPr>
                          <w:pStyle w:val="TableParagraph"/>
                          <w:rPr>
                            <w:rFonts w:ascii="Times New Roman"/>
                            <w:sz w:val="10"/>
                          </w:rPr>
                        </w:pPr>
                      </w:p>
                    </w:tc>
                  </w:tr>
                </w:tbl>
                <w:p w14:paraId="60031177" w14:textId="77777777" w:rsidR="00080B77" w:rsidRDefault="00080B77">
                  <w:pPr>
                    <w:pStyle w:val="BodyText"/>
                  </w:pPr>
                </w:p>
              </w:txbxContent>
            </v:textbox>
            <w10:wrap anchorx="page" anchory="page"/>
          </v:shape>
        </w:pict>
      </w:r>
    </w:p>
    <w:p w14:paraId="67DEA3CA" w14:textId="77777777" w:rsidR="009948F1" w:rsidRDefault="009948F1">
      <w:pPr>
        <w:pStyle w:val="BodyText"/>
        <w:rPr>
          <w:sz w:val="20"/>
        </w:rPr>
      </w:pPr>
    </w:p>
    <w:p w14:paraId="633E7BD6" w14:textId="77777777" w:rsidR="009948F1" w:rsidRDefault="009948F1">
      <w:pPr>
        <w:pStyle w:val="BodyText"/>
        <w:rPr>
          <w:sz w:val="20"/>
        </w:rPr>
      </w:pPr>
    </w:p>
    <w:p w14:paraId="6F219974" w14:textId="77777777" w:rsidR="009948F1" w:rsidRDefault="009948F1">
      <w:pPr>
        <w:pStyle w:val="BodyText"/>
        <w:rPr>
          <w:sz w:val="20"/>
        </w:rPr>
      </w:pPr>
    </w:p>
    <w:p w14:paraId="7708F9BD" w14:textId="77777777" w:rsidR="009948F1" w:rsidRDefault="009948F1">
      <w:pPr>
        <w:pStyle w:val="BodyText"/>
        <w:rPr>
          <w:sz w:val="20"/>
        </w:rPr>
      </w:pPr>
    </w:p>
    <w:p w14:paraId="2E61B894" w14:textId="77777777" w:rsidR="009948F1" w:rsidRDefault="009948F1">
      <w:pPr>
        <w:pStyle w:val="BodyText"/>
        <w:rPr>
          <w:sz w:val="20"/>
        </w:rPr>
      </w:pPr>
    </w:p>
    <w:p w14:paraId="75F2D569" w14:textId="77777777" w:rsidR="009948F1" w:rsidRDefault="009948F1">
      <w:pPr>
        <w:pStyle w:val="BodyText"/>
        <w:rPr>
          <w:sz w:val="20"/>
        </w:rPr>
      </w:pPr>
    </w:p>
    <w:p w14:paraId="7FF22091" w14:textId="77777777" w:rsidR="009948F1" w:rsidRDefault="009948F1">
      <w:pPr>
        <w:pStyle w:val="BodyText"/>
        <w:rPr>
          <w:sz w:val="20"/>
        </w:rPr>
      </w:pPr>
    </w:p>
    <w:p w14:paraId="06D84B99" w14:textId="77777777" w:rsidR="009948F1" w:rsidRDefault="009948F1">
      <w:pPr>
        <w:pStyle w:val="BodyText"/>
        <w:rPr>
          <w:sz w:val="20"/>
        </w:rPr>
      </w:pPr>
    </w:p>
    <w:p w14:paraId="32D8D5DE" w14:textId="77777777" w:rsidR="009948F1" w:rsidRDefault="009948F1">
      <w:pPr>
        <w:pStyle w:val="BodyText"/>
        <w:rPr>
          <w:sz w:val="20"/>
        </w:rPr>
      </w:pPr>
    </w:p>
    <w:p w14:paraId="439182B6" w14:textId="77777777" w:rsidR="009948F1" w:rsidRDefault="009948F1">
      <w:pPr>
        <w:pStyle w:val="BodyText"/>
        <w:rPr>
          <w:sz w:val="20"/>
        </w:rPr>
      </w:pPr>
    </w:p>
    <w:p w14:paraId="40504A85" w14:textId="77777777" w:rsidR="009948F1" w:rsidRDefault="009948F1">
      <w:pPr>
        <w:pStyle w:val="BodyText"/>
        <w:rPr>
          <w:sz w:val="20"/>
        </w:rPr>
      </w:pPr>
    </w:p>
    <w:p w14:paraId="6347B851" w14:textId="77777777" w:rsidR="009948F1" w:rsidRDefault="009948F1">
      <w:pPr>
        <w:pStyle w:val="BodyText"/>
        <w:rPr>
          <w:sz w:val="20"/>
        </w:rPr>
      </w:pPr>
    </w:p>
    <w:p w14:paraId="5176D9C2" w14:textId="77777777" w:rsidR="009948F1" w:rsidRDefault="009948F1">
      <w:pPr>
        <w:pStyle w:val="BodyText"/>
        <w:rPr>
          <w:sz w:val="20"/>
        </w:rPr>
      </w:pPr>
    </w:p>
    <w:p w14:paraId="578CDB9D" w14:textId="77777777" w:rsidR="009948F1" w:rsidRDefault="009948F1">
      <w:pPr>
        <w:pStyle w:val="BodyText"/>
        <w:spacing w:before="7"/>
        <w:rPr>
          <w:sz w:val="23"/>
        </w:rPr>
      </w:pPr>
    </w:p>
    <w:p w14:paraId="51D204B4" w14:textId="77777777" w:rsidR="009948F1" w:rsidRDefault="00BC0563">
      <w:pPr>
        <w:spacing w:before="77"/>
        <w:ind w:right="1482"/>
        <w:jc w:val="right"/>
        <w:rPr>
          <w:sz w:val="14"/>
        </w:rPr>
      </w:pPr>
      <w:bookmarkStart w:id="190" w:name="Page_164"/>
      <w:bookmarkEnd w:id="190"/>
      <w:r>
        <w:rPr>
          <w:color w:val="231F20"/>
          <w:w w:val="80"/>
          <w:sz w:val="14"/>
        </w:rPr>
        <w:t>Unit</w:t>
      </w:r>
    </w:p>
    <w:p w14:paraId="010B5219" w14:textId="77777777" w:rsidR="009948F1" w:rsidRDefault="009948F1">
      <w:pPr>
        <w:jc w:val="right"/>
        <w:rPr>
          <w:sz w:val="14"/>
        </w:rPr>
        <w:sectPr w:rsidR="009948F1">
          <w:pgSz w:w="11910" w:h="16840"/>
          <w:pgMar w:top="1240" w:right="1080" w:bottom="1340" w:left="1120" w:header="0" w:footer="1155" w:gutter="0"/>
          <w:cols w:space="720"/>
        </w:sectPr>
      </w:pPr>
    </w:p>
    <w:tbl>
      <w:tblPr>
        <w:tblW w:w="0" w:type="auto"/>
        <w:tblInd w:w="29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3"/>
        <w:gridCol w:w="543"/>
        <w:gridCol w:w="2592"/>
        <w:gridCol w:w="2461"/>
        <w:gridCol w:w="1473"/>
        <w:gridCol w:w="1554"/>
      </w:tblGrid>
      <w:tr w:rsidR="009948F1" w14:paraId="36DB7CD5" w14:textId="77777777">
        <w:trPr>
          <w:trHeight w:val="620"/>
        </w:trPr>
        <w:tc>
          <w:tcPr>
            <w:tcW w:w="473" w:type="dxa"/>
            <w:vMerge w:val="restart"/>
            <w:tcBorders>
              <w:right w:val="single" w:sz="6" w:space="0" w:color="231F20"/>
            </w:tcBorders>
          </w:tcPr>
          <w:p w14:paraId="2A59415B" w14:textId="77777777" w:rsidR="009948F1" w:rsidRDefault="009948F1">
            <w:pPr>
              <w:pStyle w:val="TableParagraph"/>
              <w:rPr>
                <w:rFonts w:ascii="Times New Roman"/>
                <w:sz w:val="12"/>
              </w:rPr>
            </w:pPr>
          </w:p>
        </w:tc>
        <w:tc>
          <w:tcPr>
            <w:tcW w:w="543" w:type="dxa"/>
            <w:tcBorders>
              <w:left w:val="single" w:sz="6" w:space="0" w:color="231F20"/>
              <w:right w:val="single" w:sz="6" w:space="0" w:color="231F20"/>
            </w:tcBorders>
          </w:tcPr>
          <w:p w14:paraId="3D2D0359" w14:textId="77777777" w:rsidR="009948F1" w:rsidRDefault="009948F1">
            <w:pPr>
              <w:pStyle w:val="TableParagraph"/>
              <w:spacing w:before="9"/>
              <w:rPr>
                <w:sz w:val="18"/>
              </w:rPr>
            </w:pPr>
          </w:p>
          <w:p w14:paraId="02E630A9" w14:textId="77777777" w:rsidR="009948F1" w:rsidRDefault="00BC0563">
            <w:pPr>
              <w:pStyle w:val="TableParagraph"/>
              <w:spacing w:before="1"/>
              <w:ind w:left="32" w:right="21"/>
              <w:jc w:val="center"/>
              <w:rPr>
                <w:sz w:val="16"/>
              </w:rPr>
            </w:pPr>
            <w:bookmarkStart w:id="191" w:name="Page_165"/>
            <w:bookmarkEnd w:id="191"/>
            <w:r>
              <w:rPr>
                <w:color w:val="231F20"/>
                <w:w w:val="75"/>
                <w:sz w:val="16"/>
              </w:rPr>
              <w:t>11.1.5.a</w:t>
            </w:r>
          </w:p>
        </w:tc>
        <w:tc>
          <w:tcPr>
            <w:tcW w:w="5053" w:type="dxa"/>
            <w:gridSpan w:val="2"/>
            <w:tcBorders>
              <w:top w:val="single" w:sz="12" w:space="0" w:color="231F20"/>
              <w:left w:val="single" w:sz="6" w:space="0" w:color="231F20"/>
              <w:right w:val="single" w:sz="6" w:space="0" w:color="231F20"/>
            </w:tcBorders>
          </w:tcPr>
          <w:p w14:paraId="53E56B8E" w14:textId="77777777" w:rsidR="009948F1" w:rsidRDefault="00BC0563">
            <w:pPr>
              <w:pStyle w:val="TableParagraph"/>
              <w:spacing w:before="109" w:line="261" w:lineRule="auto"/>
              <w:ind w:left="25" w:right="200"/>
              <w:rPr>
                <w:sz w:val="16"/>
              </w:rPr>
            </w:pPr>
            <w:r>
              <w:rPr>
                <w:color w:val="231F20"/>
                <w:w w:val="80"/>
                <w:sz w:val="16"/>
              </w:rPr>
              <w:t>Establish</w:t>
            </w:r>
            <w:r>
              <w:rPr>
                <w:color w:val="231F20"/>
                <w:spacing w:val="-21"/>
                <w:w w:val="80"/>
                <w:sz w:val="16"/>
              </w:rPr>
              <w:t xml:space="preserve"> </w:t>
            </w:r>
            <w:r>
              <w:rPr>
                <w:color w:val="231F20"/>
                <w:w w:val="80"/>
                <w:sz w:val="16"/>
              </w:rPr>
              <w:t>Supply</w:t>
            </w:r>
            <w:r>
              <w:rPr>
                <w:color w:val="231F20"/>
                <w:spacing w:val="-21"/>
                <w:w w:val="80"/>
                <w:sz w:val="16"/>
              </w:rPr>
              <w:t xml:space="preserve"> </w:t>
            </w:r>
            <w:r>
              <w:rPr>
                <w:color w:val="231F20"/>
                <w:w w:val="80"/>
                <w:sz w:val="16"/>
              </w:rPr>
              <w:t>Chain</w:t>
            </w:r>
            <w:r>
              <w:rPr>
                <w:color w:val="231F20"/>
                <w:spacing w:val="-21"/>
                <w:w w:val="80"/>
                <w:sz w:val="16"/>
              </w:rPr>
              <w:t xml:space="preserve"> </w:t>
            </w:r>
            <w:r>
              <w:rPr>
                <w:color w:val="231F20"/>
                <w:w w:val="80"/>
                <w:sz w:val="16"/>
              </w:rPr>
              <w:t>coordination</w:t>
            </w:r>
            <w:r>
              <w:rPr>
                <w:color w:val="231F20"/>
                <w:spacing w:val="-21"/>
                <w:w w:val="80"/>
                <w:sz w:val="16"/>
              </w:rPr>
              <w:t xml:space="preserve"> </w:t>
            </w:r>
            <w:r>
              <w:rPr>
                <w:color w:val="231F20"/>
                <w:w w:val="80"/>
                <w:sz w:val="16"/>
              </w:rPr>
              <w:t>structures</w:t>
            </w:r>
            <w:r>
              <w:rPr>
                <w:color w:val="231F20"/>
                <w:spacing w:val="-21"/>
                <w:w w:val="80"/>
                <w:sz w:val="16"/>
              </w:rPr>
              <w:t xml:space="preserve"> </w:t>
            </w:r>
            <w:r>
              <w:rPr>
                <w:color w:val="231F20"/>
                <w:w w:val="80"/>
                <w:sz w:val="16"/>
              </w:rPr>
              <w:t>in</w:t>
            </w:r>
            <w:r>
              <w:rPr>
                <w:color w:val="231F20"/>
                <w:spacing w:val="-21"/>
                <w:w w:val="80"/>
                <w:sz w:val="16"/>
              </w:rPr>
              <w:t xml:space="preserve"> </w:t>
            </w:r>
            <w:r>
              <w:rPr>
                <w:color w:val="231F20"/>
                <w:w w:val="80"/>
                <w:sz w:val="16"/>
              </w:rPr>
              <w:t>line</w:t>
            </w:r>
            <w:r>
              <w:rPr>
                <w:color w:val="231F20"/>
                <w:spacing w:val="-21"/>
                <w:w w:val="80"/>
                <w:sz w:val="16"/>
              </w:rPr>
              <w:t xml:space="preserve"> </w:t>
            </w:r>
            <w:r>
              <w:rPr>
                <w:color w:val="231F20"/>
                <w:w w:val="80"/>
                <w:sz w:val="16"/>
              </w:rPr>
              <w:t>with</w:t>
            </w:r>
            <w:r>
              <w:rPr>
                <w:color w:val="231F20"/>
                <w:spacing w:val="-21"/>
                <w:w w:val="80"/>
                <w:sz w:val="16"/>
              </w:rPr>
              <w:t xml:space="preserve"> </w:t>
            </w:r>
            <w:r>
              <w:rPr>
                <w:color w:val="231F20"/>
                <w:w w:val="80"/>
                <w:sz w:val="16"/>
              </w:rPr>
              <w:t>national</w:t>
            </w:r>
            <w:r>
              <w:rPr>
                <w:color w:val="231F20"/>
                <w:spacing w:val="-21"/>
                <w:w w:val="80"/>
                <w:sz w:val="16"/>
              </w:rPr>
              <w:t xml:space="preserve"> </w:t>
            </w:r>
            <w:r>
              <w:rPr>
                <w:color w:val="231F20"/>
                <w:w w:val="80"/>
                <w:sz w:val="16"/>
              </w:rPr>
              <w:t>policy,</w:t>
            </w:r>
            <w:r>
              <w:rPr>
                <w:color w:val="231F20"/>
                <w:spacing w:val="-21"/>
                <w:w w:val="80"/>
                <w:sz w:val="16"/>
              </w:rPr>
              <w:t xml:space="preserve"> </w:t>
            </w:r>
            <w:r>
              <w:rPr>
                <w:color w:val="231F20"/>
                <w:w w:val="80"/>
                <w:sz w:val="16"/>
              </w:rPr>
              <w:t>guidelines</w:t>
            </w:r>
            <w:r>
              <w:rPr>
                <w:color w:val="231F20"/>
                <w:spacing w:val="-21"/>
                <w:w w:val="80"/>
                <w:sz w:val="16"/>
              </w:rPr>
              <w:t xml:space="preserve"> </w:t>
            </w:r>
            <w:r>
              <w:rPr>
                <w:color w:val="231F20"/>
                <w:w w:val="80"/>
                <w:sz w:val="16"/>
              </w:rPr>
              <w:t xml:space="preserve">and </w:t>
            </w:r>
            <w:r>
              <w:rPr>
                <w:color w:val="231F20"/>
                <w:w w:val="85"/>
                <w:sz w:val="16"/>
              </w:rPr>
              <w:t>international best</w:t>
            </w:r>
            <w:r>
              <w:rPr>
                <w:color w:val="231F20"/>
                <w:spacing w:val="-12"/>
                <w:w w:val="85"/>
                <w:sz w:val="16"/>
              </w:rPr>
              <w:t xml:space="preserve"> </w:t>
            </w:r>
            <w:r>
              <w:rPr>
                <w:color w:val="231F20"/>
                <w:w w:val="85"/>
                <w:sz w:val="16"/>
              </w:rPr>
              <w:t>practices.</w:t>
            </w:r>
          </w:p>
        </w:tc>
        <w:tc>
          <w:tcPr>
            <w:tcW w:w="1473" w:type="dxa"/>
            <w:tcBorders>
              <w:left w:val="single" w:sz="6" w:space="0" w:color="231F20"/>
              <w:right w:val="single" w:sz="6" w:space="0" w:color="231F20"/>
            </w:tcBorders>
          </w:tcPr>
          <w:p w14:paraId="235C0E37" w14:textId="77777777" w:rsidR="009948F1" w:rsidRDefault="009948F1">
            <w:pPr>
              <w:pStyle w:val="TableParagraph"/>
              <w:spacing w:before="9"/>
              <w:rPr>
                <w:sz w:val="18"/>
              </w:rPr>
            </w:pPr>
          </w:p>
          <w:p w14:paraId="1D9A267B" w14:textId="77777777" w:rsidR="009948F1" w:rsidRDefault="00BC0563">
            <w:pPr>
              <w:pStyle w:val="TableParagraph"/>
              <w:spacing w:before="1"/>
              <w:ind w:left="24"/>
              <w:rPr>
                <w:sz w:val="16"/>
              </w:rPr>
            </w:pPr>
            <w:r>
              <w:rPr>
                <w:color w:val="231F20"/>
                <w:w w:val="85"/>
                <w:sz w:val="16"/>
              </w:rPr>
              <w:t>Lack of funds</w:t>
            </w:r>
          </w:p>
        </w:tc>
        <w:tc>
          <w:tcPr>
            <w:tcW w:w="1554" w:type="dxa"/>
            <w:tcBorders>
              <w:left w:val="single" w:sz="6" w:space="0" w:color="231F20"/>
              <w:right w:val="single" w:sz="6" w:space="0" w:color="231F20"/>
            </w:tcBorders>
          </w:tcPr>
          <w:p w14:paraId="3DC2EFA3" w14:textId="77777777" w:rsidR="009948F1" w:rsidRDefault="009948F1">
            <w:pPr>
              <w:pStyle w:val="TableParagraph"/>
              <w:spacing w:before="9"/>
              <w:rPr>
                <w:sz w:val="18"/>
              </w:rPr>
            </w:pPr>
          </w:p>
          <w:p w14:paraId="7A700778" w14:textId="77777777" w:rsidR="009948F1" w:rsidRDefault="00BC0563">
            <w:pPr>
              <w:pStyle w:val="TableParagraph"/>
              <w:spacing w:before="1"/>
              <w:ind w:left="24"/>
              <w:rPr>
                <w:sz w:val="16"/>
              </w:rPr>
            </w:pPr>
            <w:r>
              <w:rPr>
                <w:color w:val="231F20"/>
                <w:w w:val="85"/>
                <w:sz w:val="16"/>
              </w:rPr>
              <w:t>No cost</w:t>
            </w:r>
          </w:p>
        </w:tc>
      </w:tr>
      <w:tr w:rsidR="009948F1" w14:paraId="2EA4D6A7" w14:textId="77777777">
        <w:trPr>
          <w:trHeight w:val="688"/>
        </w:trPr>
        <w:tc>
          <w:tcPr>
            <w:tcW w:w="473" w:type="dxa"/>
            <w:vMerge/>
            <w:tcBorders>
              <w:top w:val="nil"/>
              <w:right w:val="single" w:sz="6" w:space="0" w:color="231F20"/>
            </w:tcBorders>
          </w:tcPr>
          <w:p w14:paraId="1D50C322" w14:textId="77777777" w:rsidR="009948F1" w:rsidRDefault="009948F1">
            <w:pPr>
              <w:rPr>
                <w:sz w:val="2"/>
                <w:szCs w:val="2"/>
              </w:rPr>
            </w:pPr>
          </w:p>
        </w:tc>
        <w:tc>
          <w:tcPr>
            <w:tcW w:w="543" w:type="dxa"/>
            <w:tcBorders>
              <w:left w:val="single" w:sz="6" w:space="0" w:color="231F20"/>
              <w:right w:val="single" w:sz="6" w:space="0" w:color="231F20"/>
            </w:tcBorders>
          </w:tcPr>
          <w:p w14:paraId="3E5ABB54" w14:textId="77777777" w:rsidR="009948F1" w:rsidRDefault="009948F1">
            <w:pPr>
              <w:pStyle w:val="TableParagraph"/>
              <w:spacing w:before="9"/>
              <w:rPr>
                <w:sz w:val="21"/>
              </w:rPr>
            </w:pPr>
          </w:p>
          <w:p w14:paraId="39D16666" w14:textId="77777777" w:rsidR="009948F1" w:rsidRDefault="00BC0563">
            <w:pPr>
              <w:pStyle w:val="TableParagraph"/>
              <w:ind w:left="32" w:right="21"/>
              <w:jc w:val="center"/>
              <w:rPr>
                <w:sz w:val="16"/>
              </w:rPr>
            </w:pPr>
            <w:r>
              <w:rPr>
                <w:color w:val="231F20"/>
                <w:w w:val="75"/>
                <w:sz w:val="16"/>
              </w:rPr>
              <w:t>11.1.5.b</w:t>
            </w:r>
          </w:p>
        </w:tc>
        <w:tc>
          <w:tcPr>
            <w:tcW w:w="5053" w:type="dxa"/>
            <w:gridSpan w:val="2"/>
            <w:tcBorders>
              <w:left w:val="single" w:sz="6" w:space="0" w:color="231F20"/>
              <w:right w:val="single" w:sz="6" w:space="0" w:color="231F20"/>
            </w:tcBorders>
          </w:tcPr>
          <w:p w14:paraId="31522B93" w14:textId="77777777" w:rsidR="009948F1" w:rsidRDefault="00BC0563">
            <w:pPr>
              <w:pStyle w:val="TableParagraph"/>
              <w:spacing w:before="143" w:line="261" w:lineRule="auto"/>
              <w:ind w:left="25" w:right="396"/>
              <w:rPr>
                <w:sz w:val="16"/>
              </w:rPr>
            </w:pPr>
            <w:r>
              <w:rPr>
                <w:color w:val="231F20"/>
                <w:w w:val="80"/>
                <w:sz w:val="16"/>
              </w:rPr>
              <w:t>Create</w:t>
            </w:r>
            <w:r>
              <w:rPr>
                <w:color w:val="231F20"/>
                <w:spacing w:val="-20"/>
                <w:w w:val="80"/>
                <w:sz w:val="16"/>
              </w:rPr>
              <w:t xml:space="preserve"> </w:t>
            </w:r>
            <w:r>
              <w:rPr>
                <w:color w:val="231F20"/>
                <w:w w:val="80"/>
                <w:sz w:val="16"/>
              </w:rPr>
              <w:t>and</w:t>
            </w:r>
            <w:r>
              <w:rPr>
                <w:color w:val="231F20"/>
                <w:spacing w:val="-20"/>
                <w:w w:val="80"/>
                <w:sz w:val="16"/>
              </w:rPr>
              <w:t xml:space="preserve"> </w:t>
            </w:r>
            <w:r>
              <w:rPr>
                <w:color w:val="231F20"/>
                <w:w w:val="80"/>
                <w:sz w:val="16"/>
              </w:rPr>
              <w:t>sustain</w:t>
            </w:r>
            <w:r>
              <w:rPr>
                <w:color w:val="231F20"/>
                <w:spacing w:val="-20"/>
                <w:w w:val="80"/>
                <w:sz w:val="16"/>
              </w:rPr>
              <w:t xml:space="preserve"> </w:t>
            </w:r>
            <w:r>
              <w:rPr>
                <w:color w:val="231F20"/>
                <w:w w:val="80"/>
                <w:sz w:val="16"/>
              </w:rPr>
              <w:t>a</w:t>
            </w:r>
            <w:r>
              <w:rPr>
                <w:color w:val="231F20"/>
                <w:spacing w:val="-20"/>
                <w:w w:val="80"/>
                <w:sz w:val="16"/>
              </w:rPr>
              <w:t xml:space="preserve"> </w:t>
            </w:r>
            <w:r>
              <w:rPr>
                <w:color w:val="231F20"/>
                <w:w w:val="80"/>
                <w:sz w:val="16"/>
              </w:rPr>
              <w:t>viable</w:t>
            </w:r>
            <w:r>
              <w:rPr>
                <w:color w:val="231F20"/>
                <w:spacing w:val="-20"/>
                <w:w w:val="80"/>
                <w:sz w:val="16"/>
              </w:rPr>
              <w:t xml:space="preserve"> </w:t>
            </w:r>
            <w:r>
              <w:rPr>
                <w:color w:val="231F20"/>
                <w:w w:val="80"/>
                <w:sz w:val="16"/>
              </w:rPr>
              <w:t>distribution</w:t>
            </w:r>
            <w:r>
              <w:rPr>
                <w:color w:val="231F20"/>
                <w:spacing w:val="-20"/>
                <w:w w:val="80"/>
                <w:sz w:val="16"/>
              </w:rPr>
              <w:t xml:space="preserve"> </w:t>
            </w:r>
            <w:r>
              <w:rPr>
                <w:color w:val="231F20"/>
                <w:w w:val="80"/>
                <w:sz w:val="16"/>
              </w:rPr>
              <w:t>network</w:t>
            </w:r>
            <w:r>
              <w:rPr>
                <w:color w:val="231F20"/>
                <w:spacing w:val="-20"/>
                <w:w w:val="80"/>
                <w:sz w:val="16"/>
              </w:rPr>
              <w:t xml:space="preserve"> </w:t>
            </w:r>
            <w:r>
              <w:rPr>
                <w:color w:val="231F20"/>
                <w:w w:val="80"/>
                <w:sz w:val="16"/>
              </w:rPr>
              <w:t>which</w:t>
            </w:r>
            <w:r>
              <w:rPr>
                <w:color w:val="231F20"/>
                <w:spacing w:val="-20"/>
                <w:w w:val="80"/>
                <w:sz w:val="16"/>
              </w:rPr>
              <w:t xml:space="preserve"> </w:t>
            </w:r>
            <w:r>
              <w:rPr>
                <w:color w:val="231F20"/>
                <w:w w:val="80"/>
                <w:sz w:val="16"/>
              </w:rPr>
              <w:t>supports</w:t>
            </w:r>
            <w:r>
              <w:rPr>
                <w:color w:val="231F20"/>
                <w:spacing w:val="-20"/>
                <w:w w:val="80"/>
                <w:sz w:val="16"/>
              </w:rPr>
              <w:t xml:space="preserve"> </w:t>
            </w:r>
            <w:r>
              <w:rPr>
                <w:color w:val="231F20"/>
                <w:w w:val="80"/>
                <w:sz w:val="16"/>
              </w:rPr>
              <w:t>effective</w:t>
            </w:r>
            <w:r>
              <w:rPr>
                <w:color w:val="231F20"/>
                <w:spacing w:val="-20"/>
                <w:w w:val="80"/>
                <w:sz w:val="16"/>
              </w:rPr>
              <w:t xml:space="preserve"> </w:t>
            </w:r>
            <w:r>
              <w:rPr>
                <w:color w:val="231F20"/>
                <w:w w:val="80"/>
                <w:sz w:val="16"/>
              </w:rPr>
              <w:t>and</w:t>
            </w:r>
            <w:r>
              <w:rPr>
                <w:color w:val="231F20"/>
                <w:spacing w:val="-20"/>
                <w:w w:val="80"/>
                <w:sz w:val="16"/>
              </w:rPr>
              <w:t xml:space="preserve"> </w:t>
            </w:r>
            <w:r>
              <w:rPr>
                <w:color w:val="231F20"/>
                <w:w w:val="80"/>
                <w:sz w:val="16"/>
              </w:rPr>
              <w:t xml:space="preserve">efficient </w:t>
            </w:r>
            <w:r>
              <w:rPr>
                <w:color w:val="231F20"/>
                <w:w w:val="85"/>
                <w:sz w:val="16"/>
              </w:rPr>
              <w:t>systems</w:t>
            </w:r>
            <w:r>
              <w:rPr>
                <w:color w:val="231F20"/>
                <w:spacing w:val="-9"/>
                <w:w w:val="85"/>
                <w:sz w:val="16"/>
              </w:rPr>
              <w:t xml:space="preserve"> </w:t>
            </w:r>
            <w:r>
              <w:rPr>
                <w:color w:val="231F20"/>
                <w:w w:val="85"/>
                <w:sz w:val="16"/>
              </w:rPr>
              <w:t>and</w:t>
            </w:r>
            <w:r>
              <w:rPr>
                <w:color w:val="231F20"/>
                <w:spacing w:val="-8"/>
                <w:w w:val="85"/>
                <w:sz w:val="16"/>
              </w:rPr>
              <w:t xml:space="preserve"> </w:t>
            </w:r>
            <w:r>
              <w:rPr>
                <w:color w:val="231F20"/>
                <w:w w:val="85"/>
                <w:sz w:val="16"/>
              </w:rPr>
              <w:t>ensures</w:t>
            </w:r>
            <w:r>
              <w:rPr>
                <w:color w:val="231F20"/>
                <w:spacing w:val="-9"/>
                <w:w w:val="85"/>
                <w:sz w:val="16"/>
              </w:rPr>
              <w:t xml:space="preserve"> </w:t>
            </w:r>
            <w:r>
              <w:rPr>
                <w:color w:val="231F20"/>
                <w:w w:val="85"/>
                <w:sz w:val="16"/>
              </w:rPr>
              <w:t>timely</w:t>
            </w:r>
            <w:r>
              <w:rPr>
                <w:color w:val="231F20"/>
                <w:spacing w:val="-8"/>
                <w:w w:val="85"/>
                <w:sz w:val="16"/>
              </w:rPr>
              <w:t xml:space="preserve"> </w:t>
            </w:r>
            <w:r>
              <w:rPr>
                <w:color w:val="231F20"/>
                <w:w w:val="85"/>
                <w:sz w:val="16"/>
              </w:rPr>
              <w:t>delivery</w:t>
            </w:r>
            <w:r>
              <w:rPr>
                <w:color w:val="231F20"/>
                <w:spacing w:val="-8"/>
                <w:w w:val="85"/>
                <w:sz w:val="16"/>
              </w:rPr>
              <w:t xml:space="preserve"> </w:t>
            </w:r>
            <w:r>
              <w:rPr>
                <w:color w:val="231F20"/>
                <w:w w:val="85"/>
                <w:sz w:val="16"/>
              </w:rPr>
              <w:t>of</w:t>
            </w:r>
            <w:r>
              <w:rPr>
                <w:color w:val="231F20"/>
                <w:spacing w:val="-9"/>
                <w:w w:val="85"/>
                <w:sz w:val="16"/>
              </w:rPr>
              <w:t xml:space="preserve"> </w:t>
            </w:r>
            <w:r>
              <w:rPr>
                <w:color w:val="231F20"/>
                <w:w w:val="85"/>
                <w:sz w:val="16"/>
              </w:rPr>
              <w:t>supplies</w:t>
            </w:r>
          </w:p>
        </w:tc>
        <w:tc>
          <w:tcPr>
            <w:tcW w:w="1473" w:type="dxa"/>
            <w:tcBorders>
              <w:left w:val="single" w:sz="6" w:space="0" w:color="231F20"/>
              <w:right w:val="single" w:sz="6" w:space="0" w:color="231F20"/>
            </w:tcBorders>
          </w:tcPr>
          <w:p w14:paraId="385E7C0C" w14:textId="77777777" w:rsidR="009948F1" w:rsidRDefault="009948F1">
            <w:pPr>
              <w:pStyle w:val="TableParagraph"/>
              <w:spacing w:before="9"/>
              <w:rPr>
                <w:sz w:val="21"/>
              </w:rPr>
            </w:pPr>
          </w:p>
          <w:p w14:paraId="1BC9A371"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218FD9AE" w14:textId="77777777" w:rsidR="009948F1" w:rsidRDefault="009948F1">
            <w:pPr>
              <w:pStyle w:val="TableParagraph"/>
              <w:spacing w:before="9"/>
              <w:rPr>
                <w:sz w:val="21"/>
              </w:rPr>
            </w:pPr>
          </w:p>
          <w:p w14:paraId="269EA175" w14:textId="77777777" w:rsidR="009948F1" w:rsidRDefault="00BC0563">
            <w:pPr>
              <w:pStyle w:val="TableParagraph"/>
              <w:ind w:left="24"/>
              <w:rPr>
                <w:sz w:val="16"/>
              </w:rPr>
            </w:pPr>
            <w:r>
              <w:rPr>
                <w:color w:val="231F20"/>
                <w:w w:val="85"/>
                <w:sz w:val="16"/>
              </w:rPr>
              <w:t>No cost</w:t>
            </w:r>
          </w:p>
        </w:tc>
      </w:tr>
      <w:tr w:rsidR="009948F1" w14:paraId="3AB16563" w14:textId="77777777">
        <w:trPr>
          <w:trHeight w:val="678"/>
        </w:trPr>
        <w:tc>
          <w:tcPr>
            <w:tcW w:w="473" w:type="dxa"/>
            <w:vMerge/>
            <w:tcBorders>
              <w:top w:val="nil"/>
              <w:right w:val="single" w:sz="6" w:space="0" w:color="231F20"/>
            </w:tcBorders>
          </w:tcPr>
          <w:p w14:paraId="04CB93A5" w14:textId="77777777" w:rsidR="009948F1" w:rsidRDefault="009948F1">
            <w:pPr>
              <w:rPr>
                <w:sz w:val="2"/>
                <w:szCs w:val="2"/>
              </w:rPr>
            </w:pPr>
          </w:p>
        </w:tc>
        <w:tc>
          <w:tcPr>
            <w:tcW w:w="543" w:type="dxa"/>
            <w:tcBorders>
              <w:left w:val="single" w:sz="6" w:space="0" w:color="231F20"/>
              <w:right w:val="single" w:sz="6" w:space="0" w:color="231F20"/>
            </w:tcBorders>
          </w:tcPr>
          <w:p w14:paraId="10EBE5A7" w14:textId="77777777" w:rsidR="009948F1" w:rsidRDefault="009948F1">
            <w:pPr>
              <w:pStyle w:val="TableParagraph"/>
              <w:spacing w:before="4"/>
              <w:rPr>
                <w:sz w:val="21"/>
              </w:rPr>
            </w:pPr>
          </w:p>
          <w:p w14:paraId="44D600CC" w14:textId="77777777" w:rsidR="009948F1" w:rsidRDefault="00BC0563">
            <w:pPr>
              <w:pStyle w:val="TableParagraph"/>
              <w:ind w:left="32" w:right="21"/>
              <w:jc w:val="center"/>
              <w:rPr>
                <w:sz w:val="16"/>
              </w:rPr>
            </w:pPr>
            <w:r>
              <w:rPr>
                <w:color w:val="231F20"/>
                <w:w w:val="75"/>
                <w:sz w:val="16"/>
              </w:rPr>
              <w:t>11.1.5.c</w:t>
            </w:r>
          </w:p>
        </w:tc>
        <w:tc>
          <w:tcPr>
            <w:tcW w:w="5053" w:type="dxa"/>
            <w:gridSpan w:val="2"/>
            <w:tcBorders>
              <w:left w:val="single" w:sz="6" w:space="0" w:color="231F20"/>
              <w:right w:val="single" w:sz="6" w:space="0" w:color="231F20"/>
            </w:tcBorders>
          </w:tcPr>
          <w:p w14:paraId="60E976BD" w14:textId="77777777" w:rsidR="009948F1" w:rsidRDefault="00BC0563">
            <w:pPr>
              <w:pStyle w:val="TableParagraph"/>
              <w:spacing w:before="138" w:line="261" w:lineRule="auto"/>
              <w:ind w:left="25" w:right="329" w:firstLine="34"/>
              <w:rPr>
                <w:sz w:val="16"/>
              </w:rPr>
            </w:pPr>
            <w:r>
              <w:rPr>
                <w:color w:val="231F20"/>
                <w:w w:val="80"/>
                <w:sz w:val="16"/>
              </w:rPr>
              <w:t>Integrated</w:t>
            </w:r>
            <w:r>
              <w:rPr>
                <w:color w:val="231F20"/>
                <w:spacing w:val="-18"/>
                <w:w w:val="80"/>
                <w:sz w:val="16"/>
              </w:rPr>
              <w:t xml:space="preserve"> </w:t>
            </w:r>
            <w:r>
              <w:rPr>
                <w:color w:val="231F20"/>
                <w:w w:val="80"/>
                <w:sz w:val="16"/>
              </w:rPr>
              <w:t>Supply</w:t>
            </w:r>
            <w:r>
              <w:rPr>
                <w:color w:val="231F20"/>
                <w:spacing w:val="-18"/>
                <w:w w:val="80"/>
                <w:sz w:val="16"/>
              </w:rPr>
              <w:t xml:space="preserve"> </w:t>
            </w:r>
            <w:r>
              <w:rPr>
                <w:color w:val="231F20"/>
                <w:w w:val="80"/>
                <w:sz w:val="16"/>
              </w:rPr>
              <w:t>Chain</w:t>
            </w:r>
            <w:r>
              <w:rPr>
                <w:color w:val="231F20"/>
                <w:spacing w:val="-18"/>
                <w:w w:val="80"/>
                <w:sz w:val="16"/>
              </w:rPr>
              <w:t xml:space="preserve"> </w:t>
            </w:r>
            <w:r>
              <w:rPr>
                <w:color w:val="231F20"/>
                <w:w w:val="80"/>
                <w:sz w:val="16"/>
              </w:rPr>
              <w:t>Management</w:t>
            </w:r>
            <w:r>
              <w:rPr>
                <w:color w:val="231F20"/>
                <w:spacing w:val="-18"/>
                <w:w w:val="80"/>
                <w:sz w:val="16"/>
              </w:rPr>
              <w:t xml:space="preserve"> </w:t>
            </w:r>
            <w:r>
              <w:rPr>
                <w:color w:val="231F20"/>
                <w:w w:val="80"/>
                <w:sz w:val="16"/>
              </w:rPr>
              <w:t>(ISCM)</w:t>
            </w:r>
            <w:r>
              <w:rPr>
                <w:color w:val="231F20"/>
                <w:spacing w:val="-18"/>
                <w:w w:val="80"/>
                <w:sz w:val="16"/>
              </w:rPr>
              <w:t xml:space="preserve"> </w:t>
            </w:r>
            <w:r>
              <w:rPr>
                <w:color w:val="231F20"/>
                <w:w w:val="80"/>
                <w:sz w:val="16"/>
              </w:rPr>
              <w:t>step</w:t>
            </w:r>
            <w:r>
              <w:rPr>
                <w:color w:val="231F20"/>
                <w:spacing w:val="-18"/>
                <w:w w:val="80"/>
                <w:sz w:val="16"/>
              </w:rPr>
              <w:t xml:space="preserve"> </w:t>
            </w:r>
            <w:r>
              <w:rPr>
                <w:color w:val="231F20"/>
                <w:w w:val="80"/>
                <w:sz w:val="16"/>
              </w:rPr>
              <w:t>down</w:t>
            </w:r>
            <w:r>
              <w:rPr>
                <w:color w:val="231F20"/>
                <w:spacing w:val="-18"/>
                <w:w w:val="80"/>
                <w:sz w:val="16"/>
              </w:rPr>
              <w:t xml:space="preserve"> </w:t>
            </w:r>
            <w:r>
              <w:rPr>
                <w:color w:val="231F20"/>
                <w:w w:val="80"/>
                <w:sz w:val="16"/>
              </w:rPr>
              <w:t>training</w:t>
            </w:r>
            <w:r>
              <w:rPr>
                <w:color w:val="231F20"/>
                <w:spacing w:val="-18"/>
                <w:w w:val="80"/>
                <w:sz w:val="16"/>
              </w:rPr>
              <w:t xml:space="preserve"> </w:t>
            </w:r>
            <w:r>
              <w:rPr>
                <w:color w:val="231F20"/>
                <w:w w:val="80"/>
                <w:sz w:val="16"/>
              </w:rPr>
              <w:t>at</w:t>
            </w:r>
            <w:r>
              <w:rPr>
                <w:color w:val="231F20"/>
                <w:spacing w:val="-18"/>
                <w:w w:val="80"/>
                <w:sz w:val="16"/>
              </w:rPr>
              <w:t xml:space="preserve"> </w:t>
            </w:r>
            <w:r>
              <w:rPr>
                <w:color w:val="231F20"/>
                <w:w w:val="80"/>
                <w:sz w:val="16"/>
              </w:rPr>
              <w:t>the</w:t>
            </w:r>
            <w:r>
              <w:rPr>
                <w:color w:val="231F20"/>
                <w:spacing w:val="-18"/>
                <w:w w:val="80"/>
                <w:sz w:val="16"/>
              </w:rPr>
              <w:t xml:space="preserve"> </w:t>
            </w:r>
            <w:r>
              <w:rPr>
                <w:color w:val="231F20"/>
                <w:w w:val="80"/>
                <w:sz w:val="16"/>
              </w:rPr>
              <w:t>State</w:t>
            </w:r>
            <w:r>
              <w:rPr>
                <w:color w:val="231F20"/>
                <w:spacing w:val="-18"/>
                <w:w w:val="80"/>
                <w:sz w:val="16"/>
              </w:rPr>
              <w:t xml:space="preserve"> </w:t>
            </w:r>
            <w:r>
              <w:rPr>
                <w:color w:val="231F20"/>
                <w:w w:val="80"/>
                <w:sz w:val="16"/>
              </w:rPr>
              <w:t>level</w:t>
            </w:r>
            <w:r>
              <w:rPr>
                <w:color w:val="231F20"/>
                <w:spacing w:val="-18"/>
                <w:w w:val="80"/>
                <w:sz w:val="16"/>
              </w:rPr>
              <w:t xml:space="preserve"> </w:t>
            </w:r>
            <w:r>
              <w:rPr>
                <w:color w:val="231F20"/>
                <w:w w:val="80"/>
                <w:sz w:val="16"/>
              </w:rPr>
              <w:t xml:space="preserve">for </w:t>
            </w:r>
            <w:r>
              <w:rPr>
                <w:color w:val="231F20"/>
                <w:w w:val="85"/>
                <w:sz w:val="16"/>
              </w:rPr>
              <w:t>Logistics</w:t>
            </w:r>
            <w:r>
              <w:rPr>
                <w:color w:val="231F20"/>
                <w:spacing w:val="-12"/>
                <w:w w:val="85"/>
                <w:sz w:val="16"/>
              </w:rPr>
              <w:t xml:space="preserve"> </w:t>
            </w:r>
            <w:r>
              <w:rPr>
                <w:color w:val="231F20"/>
                <w:w w:val="85"/>
                <w:sz w:val="16"/>
              </w:rPr>
              <w:t>Management</w:t>
            </w:r>
            <w:r>
              <w:rPr>
                <w:color w:val="231F20"/>
                <w:spacing w:val="-11"/>
                <w:w w:val="85"/>
                <w:sz w:val="16"/>
              </w:rPr>
              <w:t xml:space="preserve"> </w:t>
            </w:r>
            <w:r>
              <w:rPr>
                <w:color w:val="231F20"/>
                <w:w w:val="85"/>
                <w:sz w:val="16"/>
              </w:rPr>
              <w:t>Coordinating</w:t>
            </w:r>
            <w:r>
              <w:rPr>
                <w:color w:val="231F20"/>
                <w:spacing w:val="-11"/>
                <w:w w:val="85"/>
                <w:sz w:val="16"/>
              </w:rPr>
              <w:t xml:space="preserve"> </w:t>
            </w:r>
            <w:r>
              <w:rPr>
                <w:color w:val="231F20"/>
                <w:w w:val="85"/>
                <w:sz w:val="16"/>
              </w:rPr>
              <w:t>Unit</w:t>
            </w:r>
            <w:r>
              <w:rPr>
                <w:color w:val="231F20"/>
                <w:spacing w:val="-12"/>
                <w:w w:val="85"/>
                <w:sz w:val="16"/>
              </w:rPr>
              <w:t xml:space="preserve"> </w:t>
            </w:r>
            <w:r>
              <w:rPr>
                <w:color w:val="231F20"/>
                <w:w w:val="85"/>
                <w:sz w:val="16"/>
              </w:rPr>
              <w:t>(LMCU)</w:t>
            </w:r>
            <w:r>
              <w:rPr>
                <w:color w:val="231F20"/>
                <w:spacing w:val="-11"/>
                <w:w w:val="85"/>
                <w:sz w:val="16"/>
              </w:rPr>
              <w:t xml:space="preserve"> </w:t>
            </w:r>
            <w:r>
              <w:rPr>
                <w:color w:val="231F20"/>
                <w:w w:val="85"/>
                <w:sz w:val="16"/>
              </w:rPr>
              <w:t>members</w:t>
            </w:r>
          </w:p>
        </w:tc>
        <w:tc>
          <w:tcPr>
            <w:tcW w:w="1473" w:type="dxa"/>
            <w:tcBorders>
              <w:left w:val="single" w:sz="6" w:space="0" w:color="231F20"/>
              <w:right w:val="single" w:sz="6" w:space="0" w:color="231F20"/>
            </w:tcBorders>
          </w:tcPr>
          <w:p w14:paraId="777D0853" w14:textId="77777777" w:rsidR="009948F1" w:rsidRDefault="009948F1">
            <w:pPr>
              <w:pStyle w:val="TableParagraph"/>
              <w:spacing w:before="4"/>
              <w:rPr>
                <w:sz w:val="21"/>
              </w:rPr>
            </w:pPr>
          </w:p>
          <w:p w14:paraId="12B545ED"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4F484C9E" w14:textId="77777777" w:rsidR="009948F1" w:rsidRDefault="009948F1">
            <w:pPr>
              <w:pStyle w:val="TableParagraph"/>
              <w:spacing w:before="4"/>
              <w:rPr>
                <w:sz w:val="21"/>
              </w:rPr>
            </w:pPr>
          </w:p>
          <w:p w14:paraId="23B03A18" w14:textId="6EBA3BB8" w:rsidR="009948F1" w:rsidRDefault="00BC0563">
            <w:pPr>
              <w:pStyle w:val="TableParagraph"/>
              <w:ind w:left="24"/>
              <w:rPr>
                <w:sz w:val="16"/>
              </w:rPr>
            </w:pPr>
            <w:r>
              <w:rPr>
                <w:color w:val="231F20"/>
                <w:w w:val="85"/>
                <w:sz w:val="16"/>
              </w:rPr>
              <w:t xml:space="preserve">Step down </w:t>
            </w:r>
            <w:r w:rsidR="00661EED">
              <w:rPr>
                <w:color w:val="231F20"/>
                <w:w w:val="85"/>
                <w:sz w:val="16"/>
              </w:rPr>
              <w:t>training</w:t>
            </w:r>
          </w:p>
        </w:tc>
      </w:tr>
      <w:tr w:rsidR="009948F1" w14:paraId="0A7FC3FC" w14:textId="77777777">
        <w:trPr>
          <w:trHeight w:val="915"/>
        </w:trPr>
        <w:tc>
          <w:tcPr>
            <w:tcW w:w="473" w:type="dxa"/>
            <w:vMerge/>
            <w:tcBorders>
              <w:top w:val="nil"/>
              <w:right w:val="single" w:sz="6" w:space="0" w:color="231F20"/>
            </w:tcBorders>
          </w:tcPr>
          <w:p w14:paraId="428B696C" w14:textId="77777777" w:rsidR="009948F1" w:rsidRDefault="009948F1">
            <w:pPr>
              <w:rPr>
                <w:sz w:val="2"/>
                <w:szCs w:val="2"/>
              </w:rPr>
            </w:pPr>
          </w:p>
        </w:tc>
        <w:tc>
          <w:tcPr>
            <w:tcW w:w="543" w:type="dxa"/>
            <w:tcBorders>
              <w:left w:val="single" w:sz="6" w:space="0" w:color="231F20"/>
              <w:right w:val="single" w:sz="6" w:space="0" w:color="231F20"/>
            </w:tcBorders>
          </w:tcPr>
          <w:p w14:paraId="795821A2" w14:textId="77777777" w:rsidR="009948F1" w:rsidRDefault="009948F1">
            <w:pPr>
              <w:pStyle w:val="TableParagraph"/>
              <w:rPr>
                <w:sz w:val="16"/>
              </w:rPr>
            </w:pPr>
          </w:p>
          <w:p w14:paraId="450F360B" w14:textId="77777777" w:rsidR="009948F1" w:rsidRDefault="009948F1">
            <w:pPr>
              <w:pStyle w:val="TableParagraph"/>
              <w:spacing w:before="6"/>
              <w:rPr>
                <w:sz w:val="15"/>
              </w:rPr>
            </w:pPr>
          </w:p>
          <w:p w14:paraId="739916F0" w14:textId="77777777" w:rsidR="009948F1" w:rsidRDefault="00BC0563">
            <w:pPr>
              <w:pStyle w:val="TableParagraph"/>
              <w:ind w:left="32" w:right="21"/>
              <w:jc w:val="center"/>
              <w:rPr>
                <w:sz w:val="16"/>
              </w:rPr>
            </w:pPr>
            <w:r>
              <w:rPr>
                <w:color w:val="231F20"/>
                <w:w w:val="75"/>
                <w:sz w:val="16"/>
              </w:rPr>
              <w:t>11.1.5.d</w:t>
            </w:r>
          </w:p>
        </w:tc>
        <w:tc>
          <w:tcPr>
            <w:tcW w:w="5053" w:type="dxa"/>
            <w:gridSpan w:val="2"/>
            <w:tcBorders>
              <w:left w:val="single" w:sz="6" w:space="0" w:color="231F20"/>
              <w:right w:val="single" w:sz="6" w:space="0" w:color="231F20"/>
            </w:tcBorders>
          </w:tcPr>
          <w:p w14:paraId="5311F850" w14:textId="77777777" w:rsidR="009948F1" w:rsidRDefault="009948F1">
            <w:pPr>
              <w:pStyle w:val="TableParagraph"/>
              <w:spacing w:before="4"/>
            </w:pPr>
          </w:p>
          <w:p w14:paraId="736FEA1A" w14:textId="77777777" w:rsidR="009948F1" w:rsidRDefault="00BC0563">
            <w:pPr>
              <w:pStyle w:val="TableParagraph"/>
              <w:spacing w:line="261" w:lineRule="auto"/>
              <w:ind w:left="25" w:right="365"/>
              <w:rPr>
                <w:sz w:val="16"/>
              </w:rPr>
            </w:pPr>
            <w:r>
              <w:rPr>
                <w:color w:val="231F20"/>
                <w:w w:val="80"/>
                <w:sz w:val="16"/>
              </w:rPr>
              <w:t>Conduct</w:t>
            </w:r>
            <w:r>
              <w:rPr>
                <w:color w:val="231F20"/>
                <w:spacing w:val="-21"/>
                <w:w w:val="80"/>
                <w:sz w:val="16"/>
              </w:rPr>
              <w:t xml:space="preserve"> </w:t>
            </w:r>
            <w:r>
              <w:rPr>
                <w:color w:val="231F20"/>
                <w:w w:val="80"/>
                <w:sz w:val="16"/>
              </w:rPr>
              <w:t>LMIS</w:t>
            </w:r>
            <w:r>
              <w:rPr>
                <w:color w:val="231F20"/>
                <w:spacing w:val="-20"/>
                <w:w w:val="80"/>
                <w:sz w:val="16"/>
              </w:rPr>
              <w:t xml:space="preserve"> </w:t>
            </w:r>
            <w:r>
              <w:rPr>
                <w:color w:val="231F20"/>
                <w:w w:val="80"/>
                <w:sz w:val="16"/>
              </w:rPr>
              <w:t>Report</w:t>
            </w:r>
            <w:r>
              <w:rPr>
                <w:color w:val="231F20"/>
                <w:spacing w:val="-20"/>
                <w:w w:val="80"/>
                <w:sz w:val="16"/>
              </w:rPr>
              <w:t xml:space="preserve"> </w:t>
            </w:r>
            <w:r>
              <w:rPr>
                <w:color w:val="231F20"/>
                <w:w w:val="80"/>
                <w:sz w:val="16"/>
              </w:rPr>
              <w:t>collection</w:t>
            </w:r>
            <w:r>
              <w:rPr>
                <w:color w:val="231F20"/>
                <w:spacing w:val="-20"/>
                <w:w w:val="80"/>
                <w:sz w:val="16"/>
              </w:rPr>
              <w:t xml:space="preserve"> </w:t>
            </w:r>
            <w:r>
              <w:rPr>
                <w:color w:val="231F20"/>
                <w:w w:val="80"/>
                <w:sz w:val="16"/>
              </w:rPr>
              <w:t>of</w:t>
            </w:r>
            <w:r>
              <w:rPr>
                <w:color w:val="231F20"/>
                <w:spacing w:val="-20"/>
                <w:w w:val="80"/>
                <w:sz w:val="16"/>
              </w:rPr>
              <w:t xml:space="preserve"> </w:t>
            </w:r>
            <w:r>
              <w:rPr>
                <w:color w:val="231F20"/>
                <w:spacing w:val="-4"/>
                <w:w w:val="80"/>
                <w:sz w:val="16"/>
              </w:rPr>
              <w:t>HIV,</w:t>
            </w:r>
            <w:r>
              <w:rPr>
                <w:color w:val="231F20"/>
                <w:spacing w:val="-21"/>
                <w:w w:val="80"/>
                <w:sz w:val="16"/>
              </w:rPr>
              <w:t xml:space="preserve"> </w:t>
            </w:r>
            <w:r>
              <w:rPr>
                <w:color w:val="231F20"/>
                <w:w w:val="80"/>
                <w:sz w:val="16"/>
              </w:rPr>
              <w:t>TB,</w:t>
            </w:r>
            <w:r>
              <w:rPr>
                <w:color w:val="231F20"/>
                <w:spacing w:val="-20"/>
                <w:w w:val="80"/>
                <w:sz w:val="16"/>
              </w:rPr>
              <w:t xml:space="preserve"> </w:t>
            </w:r>
            <w:r>
              <w:rPr>
                <w:color w:val="231F20"/>
                <w:w w:val="80"/>
                <w:sz w:val="16"/>
              </w:rPr>
              <w:t>Malaria,</w:t>
            </w:r>
            <w:r>
              <w:rPr>
                <w:color w:val="231F20"/>
                <w:spacing w:val="-20"/>
                <w:w w:val="80"/>
                <w:sz w:val="16"/>
              </w:rPr>
              <w:t xml:space="preserve"> </w:t>
            </w:r>
            <w:r>
              <w:rPr>
                <w:color w:val="231F20"/>
                <w:w w:val="80"/>
                <w:sz w:val="16"/>
              </w:rPr>
              <w:t>Reproductive</w:t>
            </w:r>
            <w:r>
              <w:rPr>
                <w:color w:val="231F20"/>
                <w:spacing w:val="-21"/>
                <w:w w:val="80"/>
                <w:sz w:val="16"/>
              </w:rPr>
              <w:t xml:space="preserve"> </w:t>
            </w:r>
            <w:r>
              <w:rPr>
                <w:color w:val="231F20"/>
                <w:w w:val="80"/>
                <w:sz w:val="16"/>
              </w:rPr>
              <w:t>health</w:t>
            </w:r>
            <w:r>
              <w:rPr>
                <w:color w:val="231F20"/>
                <w:spacing w:val="-20"/>
                <w:w w:val="80"/>
                <w:sz w:val="16"/>
              </w:rPr>
              <w:t xml:space="preserve"> </w:t>
            </w:r>
            <w:r>
              <w:rPr>
                <w:color w:val="231F20"/>
                <w:w w:val="80"/>
                <w:sz w:val="16"/>
              </w:rPr>
              <w:t>and</w:t>
            </w:r>
            <w:r>
              <w:rPr>
                <w:color w:val="231F20"/>
                <w:spacing w:val="-20"/>
                <w:w w:val="80"/>
                <w:sz w:val="16"/>
              </w:rPr>
              <w:t xml:space="preserve"> </w:t>
            </w:r>
            <w:r>
              <w:rPr>
                <w:color w:val="231F20"/>
                <w:w w:val="80"/>
                <w:sz w:val="16"/>
              </w:rPr>
              <w:t xml:space="preserve">Vaccine </w:t>
            </w:r>
            <w:r>
              <w:rPr>
                <w:color w:val="231F20"/>
                <w:w w:val="85"/>
                <w:sz w:val="16"/>
              </w:rPr>
              <w:t>programs and validation at the state and</w:t>
            </w:r>
            <w:r>
              <w:rPr>
                <w:color w:val="231F20"/>
                <w:spacing w:val="-26"/>
                <w:w w:val="85"/>
                <w:sz w:val="16"/>
              </w:rPr>
              <w:t xml:space="preserve"> </w:t>
            </w:r>
            <w:r>
              <w:rPr>
                <w:color w:val="231F20"/>
                <w:w w:val="85"/>
                <w:sz w:val="16"/>
              </w:rPr>
              <w:t>LGAs</w:t>
            </w:r>
          </w:p>
        </w:tc>
        <w:tc>
          <w:tcPr>
            <w:tcW w:w="1473" w:type="dxa"/>
            <w:tcBorders>
              <w:left w:val="single" w:sz="6" w:space="0" w:color="231F20"/>
              <w:right w:val="single" w:sz="6" w:space="0" w:color="231F20"/>
            </w:tcBorders>
          </w:tcPr>
          <w:p w14:paraId="2774EDDE" w14:textId="77777777" w:rsidR="009948F1" w:rsidRDefault="009948F1">
            <w:pPr>
              <w:pStyle w:val="TableParagraph"/>
              <w:rPr>
                <w:sz w:val="16"/>
              </w:rPr>
            </w:pPr>
          </w:p>
          <w:p w14:paraId="4BD63264" w14:textId="77777777" w:rsidR="009948F1" w:rsidRDefault="009948F1">
            <w:pPr>
              <w:pStyle w:val="TableParagraph"/>
              <w:spacing w:before="6"/>
              <w:rPr>
                <w:sz w:val="15"/>
              </w:rPr>
            </w:pPr>
          </w:p>
          <w:p w14:paraId="735810E0"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148C4675" w14:textId="77777777" w:rsidR="009948F1" w:rsidRDefault="009948F1">
            <w:pPr>
              <w:pStyle w:val="TableParagraph"/>
              <w:rPr>
                <w:sz w:val="16"/>
              </w:rPr>
            </w:pPr>
          </w:p>
          <w:p w14:paraId="6477AB54" w14:textId="77777777" w:rsidR="009948F1" w:rsidRDefault="009948F1">
            <w:pPr>
              <w:pStyle w:val="TableParagraph"/>
              <w:spacing w:before="6"/>
              <w:rPr>
                <w:sz w:val="15"/>
              </w:rPr>
            </w:pPr>
          </w:p>
          <w:p w14:paraId="5DF49187" w14:textId="77777777" w:rsidR="009948F1" w:rsidRDefault="00BC0563">
            <w:pPr>
              <w:pStyle w:val="TableParagraph"/>
              <w:ind w:left="24"/>
              <w:rPr>
                <w:sz w:val="16"/>
              </w:rPr>
            </w:pPr>
            <w:r>
              <w:rPr>
                <w:color w:val="231F20"/>
                <w:w w:val="85"/>
                <w:sz w:val="16"/>
              </w:rPr>
              <w:t>No cost</w:t>
            </w:r>
          </w:p>
        </w:tc>
      </w:tr>
      <w:tr w:rsidR="009948F1" w14:paraId="48839BA4" w14:textId="77777777">
        <w:trPr>
          <w:trHeight w:val="388"/>
        </w:trPr>
        <w:tc>
          <w:tcPr>
            <w:tcW w:w="473" w:type="dxa"/>
            <w:vMerge/>
            <w:tcBorders>
              <w:top w:val="nil"/>
              <w:right w:val="single" w:sz="6" w:space="0" w:color="231F20"/>
            </w:tcBorders>
          </w:tcPr>
          <w:p w14:paraId="628E4927" w14:textId="77777777" w:rsidR="009948F1" w:rsidRDefault="009948F1">
            <w:pPr>
              <w:rPr>
                <w:sz w:val="2"/>
                <w:szCs w:val="2"/>
              </w:rPr>
            </w:pPr>
          </w:p>
        </w:tc>
        <w:tc>
          <w:tcPr>
            <w:tcW w:w="543" w:type="dxa"/>
            <w:tcBorders>
              <w:left w:val="single" w:sz="6" w:space="0" w:color="231F20"/>
              <w:right w:val="single" w:sz="6" w:space="0" w:color="231F20"/>
            </w:tcBorders>
          </w:tcPr>
          <w:p w14:paraId="07993643" w14:textId="77777777" w:rsidR="009948F1" w:rsidRDefault="00BC0563">
            <w:pPr>
              <w:pStyle w:val="TableParagraph"/>
              <w:spacing w:before="101"/>
              <w:ind w:left="32" w:right="21"/>
              <w:jc w:val="center"/>
              <w:rPr>
                <w:sz w:val="16"/>
              </w:rPr>
            </w:pPr>
            <w:r>
              <w:rPr>
                <w:color w:val="231F20"/>
                <w:w w:val="75"/>
                <w:sz w:val="16"/>
              </w:rPr>
              <w:t>11.1.5.e</w:t>
            </w:r>
          </w:p>
        </w:tc>
        <w:tc>
          <w:tcPr>
            <w:tcW w:w="5053" w:type="dxa"/>
            <w:gridSpan w:val="2"/>
            <w:tcBorders>
              <w:left w:val="single" w:sz="6" w:space="0" w:color="231F20"/>
              <w:right w:val="single" w:sz="6" w:space="0" w:color="231F20"/>
            </w:tcBorders>
          </w:tcPr>
          <w:p w14:paraId="1BC35AB2" w14:textId="77777777" w:rsidR="009948F1" w:rsidRDefault="00BC0563">
            <w:pPr>
              <w:pStyle w:val="TableParagraph"/>
              <w:spacing w:before="94"/>
              <w:ind w:left="25"/>
              <w:rPr>
                <w:sz w:val="16"/>
              </w:rPr>
            </w:pPr>
            <w:r>
              <w:rPr>
                <w:color w:val="231F20"/>
                <w:w w:val="85"/>
                <w:sz w:val="16"/>
              </w:rPr>
              <w:t>Conduct monitoring and supportive supervision to health facilities</w:t>
            </w:r>
          </w:p>
        </w:tc>
        <w:tc>
          <w:tcPr>
            <w:tcW w:w="1473" w:type="dxa"/>
            <w:tcBorders>
              <w:left w:val="single" w:sz="6" w:space="0" w:color="231F20"/>
              <w:right w:val="single" w:sz="6" w:space="0" w:color="231F20"/>
            </w:tcBorders>
          </w:tcPr>
          <w:p w14:paraId="307B148A" w14:textId="77777777" w:rsidR="009948F1" w:rsidRDefault="00BC0563">
            <w:pPr>
              <w:pStyle w:val="TableParagraph"/>
              <w:spacing w:before="101"/>
              <w:ind w:left="24"/>
              <w:rPr>
                <w:sz w:val="16"/>
              </w:rPr>
            </w:pPr>
            <w:r>
              <w:rPr>
                <w:color w:val="231F20"/>
                <w:w w:val="85"/>
                <w:sz w:val="16"/>
              </w:rPr>
              <w:t>Lack of funds</w:t>
            </w:r>
          </w:p>
        </w:tc>
        <w:tc>
          <w:tcPr>
            <w:tcW w:w="1554" w:type="dxa"/>
            <w:tcBorders>
              <w:left w:val="single" w:sz="6" w:space="0" w:color="231F20"/>
              <w:right w:val="single" w:sz="6" w:space="0" w:color="231F20"/>
            </w:tcBorders>
          </w:tcPr>
          <w:p w14:paraId="7CCFBC9C" w14:textId="77777777" w:rsidR="009948F1" w:rsidRDefault="00BC0563">
            <w:pPr>
              <w:pStyle w:val="TableParagraph"/>
              <w:spacing w:before="101"/>
              <w:ind w:left="24"/>
              <w:rPr>
                <w:sz w:val="16"/>
              </w:rPr>
            </w:pPr>
            <w:r>
              <w:rPr>
                <w:color w:val="231F20"/>
                <w:w w:val="85"/>
                <w:sz w:val="16"/>
              </w:rPr>
              <w:t>Conduct monitoring</w:t>
            </w:r>
          </w:p>
        </w:tc>
      </w:tr>
      <w:tr w:rsidR="009948F1" w14:paraId="1FF0B7B9" w14:textId="77777777">
        <w:trPr>
          <w:trHeight w:val="1152"/>
        </w:trPr>
        <w:tc>
          <w:tcPr>
            <w:tcW w:w="473" w:type="dxa"/>
            <w:tcBorders>
              <w:right w:val="single" w:sz="6" w:space="0" w:color="231F20"/>
            </w:tcBorders>
            <w:shd w:val="clear" w:color="auto" w:fill="CCE7D3"/>
          </w:tcPr>
          <w:p w14:paraId="7BF6BCDD" w14:textId="77777777" w:rsidR="009948F1" w:rsidRDefault="009948F1">
            <w:pPr>
              <w:pStyle w:val="TableParagraph"/>
              <w:rPr>
                <w:sz w:val="16"/>
              </w:rPr>
            </w:pPr>
          </w:p>
          <w:p w14:paraId="43B865C4" w14:textId="77777777" w:rsidR="009948F1" w:rsidRDefault="009948F1">
            <w:pPr>
              <w:pStyle w:val="TableParagraph"/>
              <w:rPr>
                <w:sz w:val="16"/>
              </w:rPr>
            </w:pPr>
          </w:p>
          <w:p w14:paraId="1424F73C" w14:textId="77777777" w:rsidR="009948F1" w:rsidRDefault="00BC0563">
            <w:pPr>
              <w:pStyle w:val="TableParagraph"/>
              <w:spacing w:before="114"/>
              <w:ind w:left="60"/>
              <w:rPr>
                <w:sz w:val="16"/>
              </w:rPr>
            </w:pPr>
            <w:r>
              <w:rPr>
                <w:color w:val="231F20"/>
                <w:w w:val="85"/>
                <w:sz w:val="16"/>
              </w:rPr>
              <w:t>11.1.6</w:t>
            </w:r>
          </w:p>
        </w:tc>
        <w:tc>
          <w:tcPr>
            <w:tcW w:w="3135" w:type="dxa"/>
            <w:gridSpan w:val="2"/>
            <w:tcBorders>
              <w:left w:val="single" w:sz="6" w:space="0" w:color="231F20"/>
              <w:right w:val="single" w:sz="6" w:space="0" w:color="231F20"/>
            </w:tcBorders>
            <w:shd w:val="clear" w:color="auto" w:fill="CCE7D3"/>
          </w:tcPr>
          <w:p w14:paraId="692D62E8" w14:textId="77777777" w:rsidR="009948F1" w:rsidRDefault="009948F1">
            <w:pPr>
              <w:pStyle w:val="TableParagraph"/>
              <w:rPr>
                <w:sz w:val="16"/>
              </w:rPr>
            </w:pPr>
          </w:p>
          <w:p w14:paraId="0D383B45" w14:textId="77777777" w:rsidR="009948F1" w:rsidRDefault="009948F1">
            <w:pPr>
              <w:pStyle w:val="TableParagraph"/>
              <w:spacing w:before="8"/>
              <w:rPr>
                <w:sz w:val="16"/>
              </w:rPr>
            </w:pPr>
          </w:p>
          <w:p w14:paraId="41468981" w14:textId="77777777" w:rsidR="009948F1" w:rsidRDefault="00BC0563">
            <w:pPr>
              <w:pStyle w:val="TableParagraph"/>
              <w:spacing w:line="261" w:lineRule="auto"/>
              <w:ind w:left="25" w:right="422" w:firstLine="34"/>
              <w:rPr>
                <w:sz w:val="16"/>
              </w:rPr>
            </w:pPr>
            <w:r>
              <w:rPr>
                <w:color w:val="231F20"/>
                <w:w w:val="80"/>
                <w:sz w:val="16"/>
              </w:rPr>
              <w:t xml:space="preserve">Strengthen rational drug use and antimicrobial </w:t>
            </w:r>
            <w:r>
              <w:rPr>
                <w:color w:val="231F20"/>
                <w:w w:val="85"/>
                <w:sz w:val="16"/>
              </w:rPr>
              <w:t>stewardship at all levels</w:t>
            </w:r>
          </w:p>
        </w:tc>
        <w:tc>
          <w:tcPr>
            <w:tcW w:w="2461" w:type="dxa"/>
            <w:tcBorders>
              <w:left w:val="single" w:sz="6" w:space="0" w:color="231F20"/>
              <w:right w:val="single" w:sz="6" w:space="0" w:color="231F20"/>
            </w:tcBorders>
            <w:shd w:val="clear" w:color="auto" w:fill="CCE7D3"/>
          </w:tcPr>
          <w:p w14:paraId="4A15DF9F" w14:textId="77777777" w:rsidR="009948F1" w:rsidRDefault="00BC0563">
            <w:pPr>
              <w:pStyle w:val="TableParagraph"/>
              <w:numPr>
                <w:ilvl w:val="0"/>
                <w:numId w:val="41"/>
              </w:numPr>
              <w:tabs>
                <w:tab w:val="left" w:pos="103"/>
              </w:tabs>
              <w:spacing w:before="81"/>
              <w:ind w:left="102" w:hanging="78"/>
              <w:rPr>
                <w:sz w:val="16"/>
              </w:rPr>
            </w:pPr>
            <w:r>
              <w:rPr>
                <w:color w:val="231F20"/>
                <w:w w:val="85"/>
                <w:sz w:val="16"/>
              </w:rPr>
              <w:t>STGs</w:t>
            </w:r>
            <w:r>
              <w:rPr>
                <w:color w:val="231F20"/>
                <w:spacing w:val="-13"/>
                <w:w w:val="85"/>
                <w:sz w:val="16"/>
              </w:rPr>
              <w:t xml:space="preserve"> </w:t>
            </w:r>
            <w:r>
              <w:rPr>
                <w:color w:val="231F20"/>
                <w:w w:val="85"/>
                <w:sz w:val="16"/>
              </w:rPr>
              <w:t>produced</w:t>
            </w:r>
            <w:r>
              <w:rPr>
                <w:color w:val="231F20"/>
                <w:spacing w:val="-13"/>
                <w:w w:val="85"/>
                <w:sz w:val="16"/>
              </w:rPr>
              <w:t xml:space="preserve"> </w:t>
            </w:r>
            <w:r>
              <w:rPr>
                <w:color w:val="231F20"/>
                <w:w w:val="85"/>
                <w:sz w:val="16"/>
              </w:rPr>
              <w:t>&amp;</w:t>
            </w:r>
            <w:r>
              <w:rPr>
                <w:color w:val="231F20"/>
                <w:spacing w:val="-13"/>
                <w:w w:val="85"/>
                <w:sz w:val="16"/>
              </w:rPr>
              <w:t xml:space="preserve"> </w:t>
            </w:r>
            <w:r>
              <w:rPr>
                <w:color w:val="231F20"/>
                <w:w w:val="85"/>
                <w:sz w:val="16"/>
              </w:rPr>
              <w:t>disseminated</w:t>
            </w:r>
          </w:p>
          <w:p w14:paraId="4430B4B9" w14:textId="77777777" w:rsidR="009948F1" w:rsidRDefault="00BC0563">
            <w:pPr>
              <w:pStyle w:val="TableParagraph"/>
              <w:numPr>
                <w:ilvl w:val="0"/>
                <w:numId w:val="41"/>
              </w:numPr>
              <w:tabs>
                <w:tab w:val="left" w:pos="103"/>
              </w:tabs>
              <w:spacing w:before="16" w:line="261" w:lineRule="auto"/>
              <w:ind w:right="184" w:firstLine="0"/>
              <w:rPr>
                <w:sz w:val="16"/>
              </w:rPr>
            </w:pPr>
            <w:r>
              <w:rPr>
                <w:color w:val="231F20"/>
                <w:w w:val="80"/>
                <w:sz w:val="16"/>
              </w:rPr>
              <w:t>Products</w:t>
            </w:r>
            <w:r>
              <w:rPr>
                <w:color w:val="231F20"/>
                <w:spacing w:val="-21"/>
                <w:w w:val="80"/>
                <w:sz w:val="16"/>
              </w:rPr>
              <w:t xml:space="preserve"> </w:t>
            </w:r>
            <w:r>
              <w:rPr>
                <w:color w:val="231F20"/>
                <w:w w:val="80"/>
                <w:sz w:val="16"/>
              </w:rPr>
              <w:t>available</w:t>
            </w:r>
            <w:r>
              <w:rPr>
                <w:color w:val="231F20"/>
                <w:spacing w:val="-20"/>
                <w:w w:val="80"/>
                <w:sz w:val="16"/>
              </w:rPr>
              <w:t xml:space="preserve"> </w:t>
            </w:r>
            <w:r>
              <w:rPr>
                <w:color w:val="231F20"/>
                <w:w w:val="80"/>
                <w:sz w:val="16"/>
              </w:rPr>
              <w:t>and</w:t>
            </w:r>
            <w:r>
              <w:rPr>
                <w:color w:val="231F20"/>
                <w:spacing w:val="-20"/>
                <w:w w:val="80"/>
                <w:sz w:val="16"/>
              </w:rPr>
              <w:t xml:space="preserve"> </w:t>
            </w:r>
            <w:r>
              <w:rPr>
                <w:color w:val="231F20"/>
                <w:w w:val="80"/>
                <w:sz w:val="16"/>
              </w:rPr>
              <w:t>affordable</w:t>
            </w:r>
            <w:r>
              <w:rPr>
                <w:color w:val="231F20"/>
                <w:spacing w:val="-20"/>
                <w:w w:val="80"/>
                <w:sz w:val="16"/>
              </w:rPr>
              <w:t xml:space="preserve"> </w:t>
            </w:r>
            <w:r>
              <w:rPr>
                <w:color w:val="231F20"/>
                <w:w w:val="80"/>
                <w:sz w:val="16"/>
              </w:rPr>
              <w:t>at</w:t>
            </w:r>
            <w:r>
              <w:rPr>
                <w:color w:val="231F20"/>
                <w:spacing w:val="-20"/>
                <w:w w:val="80"/>
                <w:sz w:val="16"/>
              </w:rPr>
              <w:t xml:space="preserve"> </w:t>
            </w:r>
            <w:r>
              <w:rPr>
                <w:color w:val="231F20"/>
                <w:w w:val="80"/>
                <w:sz w:val="16"/>
              </w:rPr>
              <w:t xml:space="preserve">the </w:t>
            </w:r>
            <w:r>
              <w:rPr>
                <w:color w:val="231F20"/>
                <w:w w:val="85"/>
                <w:sz w:val="16"/>
              </w:rPr>
              <w:t>lowest</w:t>
            </w:r>
            <w:r>
              <w:rPr>
                <w:color w:val="231F20"/>
                <w:spacing w:val="-11"/>
                <w:w w:val="85"/>
                <w:sz w:val="16"/>
              </w:rPr>
              <w:t xml:space="preserve"> </w:t>
            </w:r>
            <w:r>
              <w:rPr>
                <w:color w:val="231F20"/>
                <w:w w:val="85"/>
                <w:sz w:val="16"/>
              </w:rPr>
              <w:t>tier</w:t>
            </w:r>
            <w:r>
              <w:rPr>
                <w:color w:val="231F20"/>
                <w:spacing w:val="-11"/>
                <w:w w:val="85"/>
                <w:sz w:val="16"/>
              </w:rPr>
              <w:t xml:space="preserve"> </w:t>
            </w:r>
            <w:r>
              <w:rPr>
                <w:color w:val="231F20"/>
                <w:w w:val="85"/>
                <w:sz w:val="16"/>
              </w:rPr>
              <w:t>of</w:t>
            </w:r>
            <w:r>
              <w:rPr>
                <w:color w:val="231F20"/>
                <w:spacing w:val="-11"/>
                <w:w w:val="85"/>
                <w:sz w:val="16"/>
              </w:rPr>
              <w:t xml:space="preserve"> </w:t>
            </w:r>
            <w:r>
              <w:rPr>
                <w:color w:val="231F20"/>
                <w:w w:val="85"/>
                <w:sz w:val="16"/>
              </w:rPr>
              <w:t>service</w:t>
            </w:r>
            <w:r>
              <w:rPr>
                <w:color w:val="231F20"/>
                <w:spacing w:val="-11"/>
                <w:w w:val="85"/>
                <w:sz w:val="16"/>
              </w:rPr>
              <w:t xml:space="preserve"> </w:t>
            </w:r>
            <w:r>
              <w:rPr>
                <w:color w:val="231F20"/>
                <w:w w:val="85"/>
                <w:sz w:val="16"/>
              </w:rPr>
              <w:t>delivery</w:t>
            </w:r>
          </w:p>
          <w:p w14:paraId="1B91EE82" w14:textId="77777777" w:rsidR="009948F1" w:rsidRDefault="00BC0563">
            <w:pPr>
              <w:pStyle w:val="TableParagraph"/>
              <w:numPr>
                <w:ilvl w:val="0"/>
                <w:numId w:val="41"/>
              </w:numPr>
              <w:tabs>
                <w:tab w:val="left" w:pos="103"/>
              </w:tabs>
              <w:spacing w:line="261" w:lineRule="auto"/>
              <w:ind w:right="14" w:firstLine="0"/>
              <w:rPr>
                <w:sz w:val="16"/>
              </w:rPr>
            </w:pPr>
            <w:r>
              <w:rPr>
                <w:color w:val="231F20"/>
                <w:w w:val="75"/>
                <w:sz w:val="16"/>
              </w:rPr>
              <w:t xml:space="preserve">Staff knowledgeable in appropriate product </w:t>
            </w:r>
            <w:r>
              <w:rPr>
                <w:color w:val="231F20"/>
                <w:w w:val="85"/>
                <w:sz w:val="16"/>
              </w:rPr>
              <w:t>use employed &amp;</w:t>
            </w:r>
            <w:r>
              <w:rPr>
                <w:color w:val="231F20"/>
                <w:spacing w:val="-24"/>
                <w:w w:val="85"/>
                <w:sz w:val="16"/>
              </w:rPr>
              <w:t xml:space="preserve"> </w:t>
            </w:r>
            <w:r>
              <w:rPr>
                <w:color w:val="231F20"/>
                <w:w w:val="85"/>
                <w:sz w:val="16"/>
              </w:rPr>
              <w:t>trained</w:t>
            </w:r>
          </w:p>
        </w:tc>
        <w:tc>
          <w:tcPr>
            <w:tcW w:w="1473" w:type="dxa"/>
            <w:tcBorders>
              <w:left w:val="single" w:sz="6" w:space="0" w:color="231F20"/>
              <w:right w:val="single" w:sz="6" w:space="0" w:color="231F20"/>
            </w:tcBorders>
            <w:shd w:val="clear" w:color="auto" w:fill="CCE7D3"/>
          </w:tcPr>
          <w:p w14:paraId="4877A7C6" w14:textId="77777777" w:rsidR="009948F1" w:rsidRDefault="009948F1">
            <w:pPr>
              <w:pStyle w:val="TableParagraph"/>
              <w:rPr>
                <w:rFonts w:ascii="Times New Roman"/>
                <w:sz w:val="12"/>
              </w:rPr>
            </w:pPr>
          </w:p>
        </w:tc>
        <w:tc>
          <w:tcPr>
            <w:tcW w:w="1554" w:type="dxa"/>
            <w:tcBorders>
              <w:left w:val="single" w:sz="6" w:space="0" w:color="231F20"/>
              <w:right w:val="single" w:sz="6" w:space="0" w:color="231F20"/>
            </w:tcBorders>
            <w:shd w:val="clear" w:color="auto" w:fill="CCE7D3"/>
          </w:tcPr>
          <w:p w14:paraId="316C39C3" w14:textId="77777777" w:rsidR="009948F1" w:rsidRDefault="009948F1">
            <w:pPr>
              <w:pStyle w:val="TableParagraph"/>
              <w:rPr>
                <w:rFonts w:ascii="Times New Roman"/>
                <w:sz w:val="12"/>
              </w:rPr>
            </w:pPr>
          </w:p>
        </w:tc>
      </w:tr>
      <w:tr w:rsidR="009948F1" w14:paraId="69B60756" w14:textId="77777777">
        <w:trPr>
          <w:trHeight w:val="383"/>
        </w:trPr>
        <w:tc>
          <w:tcPr>
            <w:tcW w:w="473" w:type="dxa"/>
            <w:vMerge w:val="restart"/>
            <w:tcBorders>
              <w:right w:val="single" w:sz="6" w:space="0" w:color="231F20"/>
            </w:tcBorders>
          </w:tcPr>
          <w:p w14:paraId="70C4EB6D" w14:textId="77777777" w:rsidR="009948F1" w:rsidRDefault="009948F1">
            <w:pPr>
              <w:pStyle w:val="TableParagraph"/>
              <w:rPr>
                <w:rFonts w:ascii="Times New Roman"/>
                <w:sz w:val="12"/>
              </w:rPr>
            </w:pPr>
          </w:p>
        </w:tc>
        <w:tc>
          <w:tcPr>
            <w:tcW w:w="543" w:type="dxa"/>
            <w:tcBorders>
              <w:left w:val="single" w:sz="6" w:space="0" w:color="231F20"/>
              <w:right w:val="single" w:sz="6" w:space="0" w:color="231F20"/>
            </w:tcBorders>
          </w:tcPr>
          <w:p w14:paraId="4D88AFC7" w14:textId="77777777" w:rsidR="009948F1" w:rsidRDefault="00BC0563">
            <w:pPr>
              <w:pStyle w:val="TableParagraph"/>
              <w:spacing w:before="97"/>
              <w:ind w:left="32" w:right="21"/>
              <w:jc w:val="center"/>
              <w:rPr>
                <w:sz w:val="16"/>
              </w:rPr>
            </w:pPr>
            <w:r>
              <w:rPr>
                <w:color w:val="231F20"/>
                <w:w w:val="75"/>
                <w:sz w:val="16"/>
              </w:rPr>
              <w:t>11.1.6.a</w:t>
            </w:r>
          </w:p>
        </w:tc>
        <w:tc>
          <w:tcPr>
            <w:tcW w:w="5053" w:type="dxa"/>
            <w:gridSpan w:val="2"/>
            <w:tcBorders>
              <w:left w:val="single" w:sz="6" w:space="0" w:color="231F20"/>
              <w:right w:val="single" w:sz="6" w:space="0" w:color="231F20"/>
            </w:tcBorders>
          </w:tcPr>
          <w:p w14:paraId="0FCC56D0" w14:textId="77777777" w:rsidR="009948F1" w:rsidRDefault="00BC0563">
            <w:pPr>
              <w:pStyle w:val="TableParagraph"/>
              <w:spacing w:before="91"/>
              <w:ind w:left="25"/>
              <w:rPr>
                <w:sz w:val="16"/>
              </w:rPr>
            </w:pPr>
            <w:r>
              <w:rPr>
                <w:color w:val="231F20"/>
                <w:w w:val="85"/>
                <w:sz w:val="16"/>
              </w:rPr>
              <w:t>Produce and disseminate standard treatment guidelines (STGs)</w:t>
            </w:r>
          </w:p>
        </w:tc>
        <w:tc>
          <w:tcPr>
            <w:tcW w:w="1473" w:type="dxa"/>
            <w:tcBorders>
              <w:left w:val="single" w:sz="6" w:space="0" w:color="231F20"/>
              <w:right w:val="single" w:sz="6" w:space="0" w:color="231F20"/>
            </w:tcBorders>
          </w:tcPr>
          <w:p w14:paraId="2D2B2428" w14:textId="77777777" w:rsidR="009948F1" w:rsidRDefault="00BC0563">
            <w:pPr>
              <w:pStyle w:val="TableParagraph"/>
              <w:spacing w:before="97"/>
              <w:ind w:left="24"/>
              <w:rPr>
                <w:sz w:val="16"/>
              </w:rPr>
            </w:pPr>
            <w:r>
              <w:rPr>
                <w:color w:val="231F20"/>
                <w:w w:val="85"/>
                <w:sz w:val="16"/>
              </w:rPr>
              <w:t>Lack of funds</w:t>
            </w:r>
          </w:p>
        </w:tc>
        <w:tc>
          <w:tcPr>
            <w:tcW w:w="1554" w:type="dxa"/>
            <w:tcBorders>
              <w:left w:val="single" w:sz="6" w:space="0" w:color="231F20"/>
              <w:right w:val="single" w:sz="6" w:space="0" w:color="231F20"/>
            </w:tcBorders>
          </w:tcPr>
          <w:p w14:paraId="6B16EE04" w14:textId="77777777" w:rsidR="009948F1" w:rsidRDefault="00BC0563">
            <w:pPr>
              <w:pStyle w:val="TableParagraph"/>
              <w:spacing w:before="97"/>
              <w:ind w:left="24"/>
              <w:rPr>
                <w:sz w:val="16"/>
              </w:rPr>
            </w:pPr>
            <w:r>
              <w:rPr>
                <w:color w:val="231F20"/>
                <w:w w:val="80"/>
                <w:sz w:val="16"/>
              </w:rPr>
              <w:t>Produce and disseminate</w:t>
            </w:r>
          </w:p>
        </w:tc>
      </w:tr>
      <w:tr w:rsidR="009948F1" w14:paraId="2B3A10F0" w14:textId="77777777">
        <w:trPr>
          <w:trHeight w:val="698"/>
        </w:trPr>
        <w:tc>
          <w:tcPr>
            <w:tcW w:w="473" w:type="dxa"/>
            <w:vMerge/>
            <w:tcBorders>
              <w:top w:val="nil"/>
              <w:right w:val="single" w:sz="6" w:space="0" w:color="231F20"/>
            </w:tcBorders>
          </w:tcPr>
          <w:p w14:paraId="07446010" w14:textId="77777777" w:rsidR="009948F1" w:rsidRDefault="009948F1">
            <w:pPr>
              <w:rPr>
                <w:sz w:val="2"/>
                <w:szCs w:val="2"/>
              </w:rPr>
            </w:pPr>
          </w:p>
        </w:tc>
        <w:tc>
          <w:tcPr>
            <w:tcW w:w="543" w:type="dxa"/>
            <w:tcBorders>
              <w:left w:val="single" w:sz="6" w:space="0" w:color="231F20"/>
              <w:right w:val="single" w:sz="6" w:space="0" w:color="231F20"/>
            </w:tcBorders>
          </w:tcPr>
          <w:p w14:paraId="6525F5EA" w14:textId="77777777" w:rsidR="009948F1" w:rsidRDefault="009948F1">
            <w:pPr>
              <w:pStyle w:val="TableParagraph"/>
              <w:spacing w:before="2"/>
            </w:pPr>
          </w:p>
          <w:p w14:paraId="7C58035F" w14:textId="77777777" w:rsidR="009948F1" w:rsidRDefault="00BC0563">
            <w:pPr>
              <w:pStyle w:val="TableParagraph"/>
              <w:ind w:left="32" w:right="21"/>
              <w:jc w:val="center"/>
              <w:rPr>
                <w:sz w:val="16"/>
              </w:rPr>
            </w:pPr>
            <w:r>
              <w:rPr>
                <w:color w:val="231F20"/>
                <w:w w:val="75"/>
                <w:sz w:val="16"/>
              </w:rPr>
              <w:t>11.1.6.b</w:t>
            </w:r>
          </w:p>
        </w:tc>
        <w:tc>
          <w:tcPr>
            <w:tcW w:w="5053" w:type="dxa"/>
            <w:gridSpan w:val="2"/>
            <w:tcBorders>
              <w:left w:val="single" w:sz="6" w:space="0" w:color="231F20"/>
              <w:right w:val="single" w:sz="6" w:space="0" w:color="231F20"/>
            </w:tcBorders>
          </w:tcPr>
          <w:p w14:paraId="57864CE5" w14:textId="77777777" w:rsidR="009948F1" w:rsidRDefault="00BC0563">
            <w:pPr>
              <w:pStyle w:val="TableParagraph"/>
              <w:spacing w:before="48" w:line="261" w:lineRule="auto"/>
              <w:ind w:left="25" w:right="93"/>
              <w:rPr>
                <w:sz w:val="16"/>
              </w:rPr>
            </w:pPr>
            <w:r>
              <w:rPr>
                <w:color w:val="231F20"/>
                <w:w w:val="80"/>
                <w:sz w:val="16"/>
              </w:rPr>
              <w:t>Provide</w:t>
            </w:r>
            <w:r>
              <w:rPr>
                <w:color w:val="231F20"/>
                <w:spacing w:val="-23"/>
                <w:w w:val="80"/>
                <w:sz w:val="16"/>
              </w:rPr>
              <w:t xml:space="preserve"> </w:t>
            </w:r>
            <w:r>
              <w:rPr>
                <w:color w:val="231F20"/>
                <w:w w:val="80"/>
                <w:sz w:val="16"/>
              </w:rPr>
              <w:t>continuing</w:t>
            </w:r>
            <w:r>
              <w:rPr>
                <w:color w:val="231F20"/>
                <w:spacing w:val="-22"/>
                <w:w w:val="80"/>
                <w:sz w:val="16"/>
              </w:rPr>
              <w:t xml:space="preserve"> </w:t>
            </w:r>
            <w:r>
              <w:rPr>
                <w:color w:val="231F20"/>
                <w:w w:val="80"/>
                <w:sz w:val="16"/>
              </w:rPr>
              <w:t>education</w:t>
            </w:r>
            <w:r>
              <w:rPr>
                <w:color w:val="231F20"/>
                <w:spacing w:val="-23"/>
                <w:w w:val="80"/>
                <w:sz w:val="16"/>
              </w:rPr>
              <w:t xml:space="preserve"> </w:t>
            </w:r>
            <w:r>
              <w:rPr>
                <w:color w:val="231F20"/>
                <w:w w:val="80"/>
                <w:sz w:val="16"/>
              </w:rPr>
              <w:t>to</w:t>
            </w:r>
            <w:r>
              <w:rPr>
                <w:color w:val="231F20"/>
                <w:spacing w:val="-22"/>
                <w:w w:val="80"/>
                <w:sz w:val="16"/>
              </w:rPr>
              <w:t xml:space="preserve"> </w:t>
            </w:r>
            <w:r>
              <w:rPr>
                <w:color w:val="231F20"/>
                <w:w w:val="80"/>
                <w:sz w:val="16"/>
              </w:rPr>
              <w:t>product</w:t>
            </w:r>
            <w:r>
              <w:rPr>
                <w:color w:val="231F20"/>
                <w:spacing w:val="-22"/>
                <w:w w:val="80"/>
                <w:sz w:val="16"/>
              </w:rPr>
              <w:t xml:space="preserve"> </w:t>
            </w:r>
            <w:r>
              <w:rPr>
                <w:color w:val="231F20"/>
                <w:w w:val="80"/>
                <w:sz w:val="16"/>
              </w:rPr>
              <w:t>users</w:t>
            </w:r>
            <w:r>
              <w:rPr>
                <w:color w:val="231F20"/>
                <w:spacing w:val="-23"/>
                <w:w w:val="80"/>
                <w:sz w:val="16"/>
              </w:rPr>
              <w:t xml:space="preserve"> </w:t>
            </w:r>
            <w:r>
              <w:rPr>
                <w:color w:val="231F20"/>
                <w:w w:val="80"/>
                <w:sz w:val="16"/>
              </w:rPr>
              <w:t>(e.g.</w:t>
            </w:r>
            <w:r>
              <w:rPr>
                <w:color w:val="231F20"/>
                <w:spacing w:val="-22"/>
                <w:w w:val="80"/>
                <w:sz w:val="16"/>
              </w:rPr>
              <w:t xml:space="preserve"> </w:t>
            </w:r>
            <w:r>
              <w:rPr>
                <w:color w:val="231F20"/>
                <w:w w:val="80"/>
                <w:sz w:val="16"/>
              </w:rPr>
              <w:t>clinicians,</w:t>
            </w:r>
            <w:r>
              <w:rPr>
                <w:color w:val="231F20"/>
                <w:spacing w:val="-22"/>
                <w:w w:val="80"/>
                <w:sz w:val="16"/>
              </w:rPr>
              <w:t xml:space="preserve"> </w:t>
            </w:r>
            <w:r>
              <w:rPr>
                <w:color w:val="231F20"/>
                <w:w w:val="80"/>
                <w:sz w:val="16"/>
              </w:rPr>
              <w:t>patients,</w:t>
            </w:r>
            <w:r>
              <w:rPr>
                <w:color w:val="231F20"/>
                <w:spacing w:val="-23"/>
                <w:w w:val="80"/>
                <w:sz w:val="16"/>
              </w:rPr>
              <w:t xml:space="preserve"> </w:t>
            </w:r>
            <w:r>
              <w:rPr>
                <w:color w:val="231F20"/>
                <w:w w:val="80"/>
                <w:sz w:val="16"/>
              </w:rPr>
              <w:t>general</w:t>
            </w:r>
            <w:r>
              <w:rPr>
                <w:color w:val="231F20"/>
                <w:spacing w:val="-22"/>
                <w:w w:val="80"/>
                <w:sz w:val="16"/>
              </w:rPr>
              <w:t xml:space="preserve"> </w:t>
            </w:r>
            <w:r>
              <w:rPr>
                <w:color w:val="231F20"/>
                <w:w w:val="80"/>
                <w:sz w:val="16"/>
              </w:rPr>
              <w:t>population, and technicians) on appropriate product use and conduct community sensitization and education</w:t>
            </w:r>
            <w:r>
              <w:rPr>
                <w:color w:val="231F20"/>
                <w:spacing w:val="1"/>
                <w:w w:val="80"/>
                <w:sz w:val="16"/>
              </w:rPr>
              <w:t xml:space="preserve"> </w:t>
            </w:r>
            <w:r>
              <w:rPr>
                <w:color w:val="231F20"/>
                <w:w w:val="80"/>
                <w:sz w:val="16"/>
              </w:rPr>
              <w:t>especially</w:t>
            </w:r>
            <w:r>
              <w:rPr>
                <w:color w:val="231F20"/>
                <w:spacing w:val="-17"/>
                <w:w w:val="80"/>
                <w:sz w:val="16"/>
              </w:rPr>
              <w:t xml:space="preserve"> </w:t>
            </w:r>
            <w:r>
              <w:rPr>
                <w:color w:val="231F20"/>
                <w:w w:val="80"/>
                <w:sz w:val="16"/>
              </w:rPr>
              <w:t>in</w:t>
            </w:r>
            <w:r>
              <w:rPr>
                <w:color w:val="231F20"/>
                <w:spacing w:val="-17"/>
                <w:w w:val="80"/>
                <w:sz w:val="16"/>
              </w:rPr>
              <w:t xml:space="preserve"> </w:t>
            </w:r>
            <w:r>
              <w:rPr>
                <w:color w:val="231F20"/>
                <w:w w:val="80"/>
                <w:sz w:val="16"/>
              </w:rPr>
              <w:t>rural</w:t>
            </w:r>
            <w:r>
              <w:rPr>
                <w:color w:val="231F20"/>
                <w:spacing w:val="-18"/>
                <w:w w:val="80"/>
                <w:sz w:val="16"/>
              </w:rPr>
              <w:t xml:space="preserve"> </w:t>
            </w:r>
            <w:r>
              <w:rPr>
                <w:color w:val="231F20"/>
                <w:w w:val="80"/>
                <w:sz w:val="16"/>
              </w:rPr>
              <w:t>areas</w:t>
            </w:r>
            <w:r>
              <w:rPr>
                <w:color w:val="231F20"/>
                <w:spacing w:val="-17"/>
                <w:w w:val="80"/>
                <w:sz w:val="16"/>
              </w:rPr>
              <w:t xml:space="preserve"> </w:t>
            </w:r>
            <w:r>
              <w:rPr>
                <w:color w:val="231F20"/>
                <w:w w:val="80"/>
                <w:sz w:val="16"/>
              </w:rPr>
              <w:t>to</w:t>
            </w:r>
            <w:r>
              <w:rPr>
                <w:color w:val="231F20"/>
                <w:spacing w:val="-17"/>
                <w:w w:val="80"/>
                <w:sz w:val="16"/>
              </w:rPr>
              <w:t xml:space="preserve"> </w:t>
            </w:r>
            <w:r>
              <w:rPr>
                <w:color w:val="231F20"/>
                <w:w w:val="80"/>
                <w:sz w:val="16"/>
              </w:rPr>
              <w:t>increase</w:t>
            </w:r>
            <w:r>
              <w:rPr>
                <w:color w:val="231F20"/>
                <w:spacing w:val="-17"/>
                <w:w w:val="80"/>
                <w:sz w:val="16"/>
              </w:rPr>
              <w:t xml:space="preserve"> </w:t>
            </w:r>
            <w:r>
              <w:rPr>
                <w:color w:val="231F20"/>
                <w:w w:val="80"/>
                <w:sz w:val="16"/>
              </w:rPr>
              <w:t>understanding</w:t>
            </w:r>
            <w:r>
              <w:rPr>
                <w:color w:val="231F20"/>
                <w:spacing w:val="-18"/>
                <w:w w:val="80"/>
                <w:sz w:val="16"/>
              </w:rPr>
              <w:t xml:space="preserve"> </w:t>
            </w:r>
            <w:r>
              <w:rPr>
                <w:color w:val="231F20"/>
                <w:w w:val="80"/>
                <w:sz w:val="16"/>
              </w:rPr>
              <w:t>and</w:t>
            </w:r>
            <w:r>
              <w:rPr>
                <w:color w:val="231F20"/>
                <w:spacing w:val="-17"/>
                <w:w w:val="80"/>
                <w:sz w:val="16"/>
              </w:rPr>
              <w:t xml:space="preserve"> </w:t>
            </w:r>
            <w:r>
              <w:rPr>
                <w:color w:val="231F20"/>
                <w:w w:val="80"/>
                <w:sz w:val="16"/>
              </w:rPr>
              <w:t>capacity</w:t>
            </w:r>
            <w:r>
              <w:rPr>
                <w:color w:val="231F20"/>
                <w:spacing w:val="-17"/>
                <w:w w:val="80"/>
                <w:sz w:val="16"/>
              </w:rPr>
              <w:t xml:space="preserve"> </w:t>
            </w:r>
            <w:r>
              <w:rPr>
                <w:color w:val="231F20"/>
                <w:w w:val="80"/>
                <w:sz w:val="16"/>
              </w:rPr>
              <w:t>on</w:t>
            </w:r>
            <w:r>
              <w:rPr>
                <w:color w:val="231F20"/>
                <w:spacing w:val="-18"/>
                <w:w w:val="80"/>
                <w:sz w:val="16"/>
              </w:rPr>
              <w:t xml:space="preserve"> </w:t>
            </w:r>
            <w:r>
              <w:rPr>
                <w:color w:val="231F20"/>
                <w:w w:val="80"/>
                <w:sz w:val="16"/>
              </w:rPr>
              <w:t>product</w:t>
            </w:r>
            <w:r>
              <w:rPr>
                <w:color w:val="231F20"/>
                <w:spacing w:val="-17"/>
                <w:w w:val="80"/>
                <w:sz w:val="16"/>
              </w:rPr>
              <w:t xml:space="preserve"> </w:t>
            </w:r>
            <w:r>
              <w:rPr>
                <w:color w:val="231F20"/>
                <w:w w:val="80"/>
                <w:sz w:val="16"/>
              </w:rPr>
              <w:t>use</w:t>
            </w:r>
          </w:p>
        </w:tc>
        <w:tc>
          <w:tcPr>
            <w:tcW w:w="1473" w:type="dxa"/>
            <w:tcBorders>
              <w:left w:val="single" w:sz="6" w:space="0" w:color="231F20"/>
              <w:right w:val="single" w:sz="6" w:space="0" w:color="231F20"/>
            </w:tcBorders>
          </w:tcPr>
          <w:p w14:paraId="5640D0EC" w14:textId="77777777" w:rsidR="009948F1" w:rsidRDefault="009948F1">
            <w:pPr>
              <w:pStyle w:val="TableParagraph"/>
              <w:spacing w:before="2"/>
            </w:pPr>
          </w:p>
          <w:p w14:paraId="0F9BBE83"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64E853B8" w14:textId="77777777" w:rsidR="009948F1" w:rsidRDefault="009948F1">
            <w:pPr>
              <w:pStyle w:val="TableParagraph"/>
              <w:spacing w:before="5"/>
              <w:rPr>
                <w:sz w:val="13"/>
              </w:rPr>
            </w:pPr>
          </w:p>
          <w:p w14:paraId="3FE0B986" w14:textId="77777777" w:rsidR="009948F1" w:rsidRDefault="00BC0563">
            <w:pPr>
              <w:pStyle w:val="TableParagraph"/>
              <w:spacing w:line="261" w:lineRule="auto"/>
              <w:ind w:left="24" w:right="441"/>
              <w:rPr>
                <w:sz w:val="16"/>
              </w:rPr>
            </w:pPr>
            <w:r>
              <w:rPr>
                <w:color w:val="231F20"/>
                <w:w w:val="80"/>
                <w:sz w:val="16"/>
              </w:rPr>
              <w:t xml:space="preserve">Provide continuing </w:t>
            </w:r>
            <w:r>
              <w:rPr>
                <w:color w:val="231F20"/>
                <w:w w:val="85"/>
                <w:sz w:val="16"/>
              </w:rPr>
              <w:t>education</w:t>
            </w:r>
          </w:p>
        </w:tc>
      </w:tr>
      <w:tr w:rsidR="009948F1" w14:paraId="3D914EF1" w14:textId="77777777">
        <w:trPr>
          <w:trHeight w:val="708"/>
        </w:trPr>
        <w:tc>
          <w:tcPr>
            <w:tcW w:w="473" w:type="dxa"/>
            <w:vMerge/>
            <w:tcBorders>
              <w:top w:val="nil"/>
              <w:right w:val="single" w:sz="6" w:space="0" w:color="231F20"/>
            </w:tcBorders>
          </w:tcPr>
          <w:p w14:paraId="6DA8970F" w14:textId="77777777" w:rsidR="009948F1" w:rsidRDefault="009948F1">
            <w:pPr>
              <w:rPr>
                <w:sz w:val="2"/>
                <w:szCs w:val="2"/>
              </w:rPr>
            </w:pPr>
          </w:p>
        </w:tc>
        <w:tc>
          <w:tcPr>
            <w:tcW w:w="543" w:type="dxa"/>
            <w:tcBorders>
              <w:left w:val="single" w:sz="6" w:space="0" w:color="231F20"/>
              <w:right w:val="single" w:sz="6" w:space="0" w:color="231F20"/>
            </w:tcBorders>
          </w:tcPr>
          <w:p w14:paraId="77B80C69" w14:textId="77777777" w:rsidR="009948F1" w:rsidRDefault="009948F1">
            <w:pPr>
              <w:pStyle w:val="TableParagraph"/>
              <w:spacing w:before="7"/>
            </w:pPr>
          </w:p>
          <w:p w14:paraId="6AC122FC" w14:textId="77777777" w:rsidR="009948F1" w:rsidRDefault="00BC0563">
            <w:pPr>
              <w:pStyle w:val="TableParagraph"/>
              <w:ind w:left="32" w:right="21"/>
              <w:jc w:val="center"/>
              <w:rPr>
                <w:sz w:val="16"/>
              </w:rPr>
            </w:pPr>
            <w:r>
              <w:rPr>
                <w:color w:val="231F20"/>
                <w:w w:val="75"/>
                <w:sz w:val="16"/>
              </w:rPr>
              <w:t>11.1.6.c</w:t>
            </w:r>
          </w:p>
        </w:tc>
        <w:tc>
          <w:tcPr>
            <w:tcW w:w="5053" w:type="dxa"/>
            <w:gridSpan w:val="2"/>
            <w:tcBorders>
              <w:left w:val="single" w:sz="6" w:space="0" w:color="231F20"/>
              <w:right w:val="single" w:sz="6" w:space="0" w:color="231F20"/>
            </w:tcBorders>
          </w:tcPr>
          <w:p w14:paraId="0E680DB8" w14:textId="77777777" w:rsidR="009948F1" w:rsidRDefault="009948F1">
            <w:pPr>
              <w:pStyle w:val="TableParagraph"/>
            </w:pPr>
          </w:p>
          <w:p w14:paraId="48E2FC19" w14:textId="77777777" w:rsidR="009948F1" w:rsidRDefault="00BC0563">
            <w:pPr>
              <w:pStyle w:val="TableParagraph"/>
              <w:spacing w:before="1"/>
              <w:ind w:left="25"/>
              <w:rPr>
                <w:sz w:val="16"/>
              </w:rPr>
            </w:pPr>
            <w:r>
              <w:rPr>
                <w:color w:val="231F20"/>
                <w:w w:val="85"/>
                <w:sz w:val="16"/>
              </w:rPr>
              <w:t>Make products available and affordable at the lowest tier of service delivery</w:t>
            </w:r>
          </w:p>
        </w:tc>
        <w:tc>
          <w:tcPr>
            <w:tcW w:w="1473" w:type="dxa"/>
            <w:tcBorders>
              <w:left w:val="single" w:sz="6" w:space="0" w:color="231F20"/>
              <w:right w:val="single" w:sz="6" w:space="0" w:color="231F20"/>
            </w:tcBorders>
          </w:tcPr>
          <w:p w14:paraId="46EE2406" w14:textId="77777777" w:rsidR="009948F1" w:rsidRDefault="009948F1">
            <w:pPr>
              <w:pStyle w:val="TableParagraph"/>
              <w:spacing w:before="7"/>
            </w:pPr>
          </w:p>
          <w:p w14:paraId="38E8C4F5"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54D8CF7B" w14:textId="77777777" w:rsidR="009948F1" w:rsidRDefault="009948F1">
            <w:pPr>
              <w:pStyle w:val="TableParagraph"/>
              <w:spacing w:before="7"/>
            </w:pPr>
          </w:p>
          <w:p w14:paraId="1C9C91C7" w14:textId="77777777" w:rsidR="009948F1" w:rsidRDefault="00BC0563">
            <w:pPr>
              <w:pStyle w:val="TableParagraph"/>
              <w:ind w:left="24"/>
              <w:rPr>
                <w:sz w:val="16"/>
              </w:rPr>
            </w:pPr>
            <w:r>
              <w:rPr>
                <w:color w:val="231F20"/>
                <w:w w:val="85"/>
                <w:sz w:val="16"/>
              </w:rPr>
              <w:t>No cost</w:t>
            </w:r>
          </w:p>
        </w:tc>
      </w:tr>
      <w:tr w:rsidR="009948F1" w14:paraId="4B14478F" w14:textId="77777777">
        <w:trPr>
          <w:trHeight w:val="398"/>
        </w:trPr>
        <w:tc>
          <w:tcPr>
            <w:tcW w:w="473" w:type="dxa"/>
            <w:vMerge/>
            <w:tcBorders>
              <w:top w:val="nil"/>
              <w:right w:val="single" w:sz="6" w:space="0" w:color="231F20"/>
            </w:tcBorders>
          </w:tcPr>
          <w:p w14:paraId="0A8E509E" w14:textId="77777777" w:rsidR="009948F1" w:rsidRDefault="009948F1">
            <w:pPr>
              <w:rPr>
                <w:sz w:val="2"/>
                <w:szCs w:val="2"/>
              </w:rPr>
            </w:pPr>
          </w:p>
        </w:tc>
        <w:tc>
          <w:tcPr>
            <w:tcW w:w="543" w:type="dxa"/>
            <w:tcBorders>
              <w:left w:val="single" w:sz="6" w:space="0" w:color="231F20"/>
              <w:right w:val="single" w:sz="6" w:space="0" w:color="231F20"/>
            </w:tcBorders>
          </w:tcPr>
          <w:p w14:paraId="10B76171" w14:textId="77777777" w:rsidR="009948F1" w:rsidRDefault="00BC0563">
            <w:pPr>
              <w:pStyle w:val="TableParagraph"/>
              <w:spacing w:before="105"/>
              <w:ind w:left="32" w:right="21"/>
              <w:jc w:val="center"/>
              <w:rPr>
                <w:sz w:val="16"/>
              </w:rPr>
            </w:pPr>
            <w:r>
              <w:rPr>
                <w:color w:val="231F20"/>
                <w:w w:val="75"/>
                <w:sz w:val="16"/>
              </w:rPr>
              <w:t>11.1.6.d</w:t>
            </w:r>
          </w:p>
        </w:tc>
        <w:tc>
          <w:tcPr>
            <w:tcW w:w="5053" w:type="dxa"/>
            <w:gridSpan w:val="2"/>
            <w:tcBorders>
              <w:left w:val="single" w:sz="6" w:space="0" w:color="231F20"/>
              <w:right w:val="single" w:sz="6" w:space="0" w:color="231F20"/>
            </w:tcBorders>
          </w:tcPr>
          <w:p w14:paraId="6621EDB0" w14:textId="77777777" w:rsidR="009948F1" w:rsidRDefault="00BC0563">
            <w:pPr>
              <w:pStyle w:val="TableParagraph"/>
              <w:spacing w:before="99"/>
              <w:ind w:left="25"/>
              <w:rPr>
                <w:sz w:val="16"/>
              </w:rPr>
            </w:pPr>
            <w:r>
              <w:rPr>
                <w:color w:val="231F20"/>
                <w:w w:val="85"/>
                <w:sz w:val="16"/>
              </w:rPr>
              <w:t>Employ, train and deploy staff knowledgeable in appropriate product use</w:t>
            </w:r>
          </w:p>
        </w:tc>
        <w:tc>
          <w:tcPr>
            <w:tcW w:w="1473" w:type="dxa"/>
            <w:tcBorders>
              <w:left w:val="single" w:sz="6" w:space="0" w:color="231F20"/>
              <w:right w:val="single" w:sz="6" w:space="0" w:color="231F20"/>
            </w:tcBorders>
          </w:tcPr>
          <w:p w14:paraId="3EA85746" w14:textId="77777777" w:rsidR="009948F1" w:rsidRDefault="00BC0563">
            <w:pPr>
              <w:pStyle w:val="TableParagraph"/>
              <w:spacing w:before="105"/>
              <w:ind w:left="24"/>
              <w:rPr>
                <w:sz w:val="16"/>
              </w:rPr>
            </w:pPr>
            <w:r>
              <w:rPr>
                <w:color w:val="231F20"/>
                <w:w w:val="85"/>
                <w:sz w:val="16"/>
              </w:rPr>
              <w:t>Lack of funds</w:t>
            </w:r>
          </w:p>
        </w:tc>
        <w:tc>
          <w:tcPr>
            <w:tcW w:w="1554" w:type="dxa"/>
            <w:tcBorders>
              <w:left w:val="single" w:sz="6" w:space="0" w:color="231F20"/>
              <w:right w:val="single" w:sz="6" w:space="0" w:color="231F20"/>
            </w:tcBorders>
          </w:tcPr>
          <w:p w14:paraId="5B28E634" w14:textId="77777777" w:rsidR="009948F1" w:rsidRDefault="00BC0563">
            <w:pPr>
              <w:pStyle w:val="TableParagraph"/>
              <w:spacing w:before="105"/>
              <w:ind w:left="24"/>
              <w:rPr>
                <w:sz w:val="16"/>
              </w:rPr>
            </w:pPr>
            <w:r>
              <w:rPr>
                <w:color w:val="231F20"/>
                <w:w w:val="85"/>
                <w:sz w:val="16"/>
              </w:rPr>
              <w:t>Costed in OHT</w:t>
            </w:r>
          </w:p>
        </w:tc>
      </w:tr>
      <w:tr w:rsidR="009948F1" w14:paraId="3A78545E" w14:textId="77777777">
        <w:trPr>
          <w:trHeight w:val="737"/>
        </w:trPr>
        <w:tc>
          <w:tcPr>
            <w:tcW w:w="473" w:type="dxa"/>
            <w:vMerge/>
            <w:tcBorders>
              <w:top w:val="nil"/>
              <w:right w:val="single" w:sz="6" w:space="0" w:color="231F20"/>
            </w:tcBorders>
          </w:tcPr>
          <w:p w14:paraId="640A1DA7" w14:textId="77777777" w:rsidR="009948F1" w:rsidRDefault="009948F1">
            <w:pPr>
              <w:rPr>
                <w:sz w:val="2"/>
                <w:szCs w:val="2"/>
              </w:rPr>
            </w:pPr>
          </w:p>
        </w:tc>
        <w:tc>
          <w:tcPr>
            <w:tcW w:w="543" w:type="dxa"/>
            <w:tcBorders>
              <w:left w:val="single" w:sz="6" w:space="0" w:color="231F20"/>
              <w:right w:val="single" w:sz="6" w:space="0" w:color="231F20"/>
            </w:tcBorders>
          </w:tcPr>
          <w:p w14:paraId="73206E4D" w14:textId="77777777" w:rsidR="009948F1" w:rsidRDefault="009948F1">
            <w:pPr>
              <w:pStyle w:val="TableParagraph"/>
              <w:spacing w:before="10"/>
              <w:rPr>
                <w:sz w:val="23"/>
              </w:rPr>
            </w:pPr>
          </w:p>
          <w:p w14:paraId="3E34699F" w14:textId="77777777" w:rsidR="009948F1" w:rsidRDefault="00BC0563">
            <w:pPr>
              <w:pStyle w:val="TableParagraph"/>
              <w:ind w:left="32" w:right="21"/>
              <w:jc w:val="center"/>
              <w:rPr>
                <w:sz w:val="16"/>
              </w:rPr>
            </w:pPr>
            <w:r>
              <w:rPr>
                <w:color w:val="231F20"/>
                <w:w w:val="75"/>
                <w:sz w:val="16"/>
              </w:rPr>
              <w:t>11.1.6.e</w:t>
            </w:r>
          </w:p>
        </w:tc>
        <w:tc>
          <w:tcPr>
            <w:tcW w:w="5053" w:type="dxa"/>
            <w:gridSpan w:val="2"/>
            <w:tcBorders>
              <w:left w:val="single" w:sz="6" w:space="0" w:color="231F20"/>
              <w:right w:val="single" w:sz="6" w:space="0" w:color="231F20"/>
            </w:tcBorders>
          </w:tcPr>
          <w:p w14:paraId="7BC4D718" w14:textId="77777777" w:rsidR="009948F1" w:rsidRDefault="00BC0563">
            <w:pPr>
              <w:pStyle w:val="TableParagraph"/>
              <w:spacing w:before="68" w:line="261" w:lineRule="auto"/>
              <w:ind w:left="25" w:right="91"/>
              <w:rPr>
                <w:sz w:val="16"/>
              </w:rPr>
            </w:pPr>
            <w:r>
              <w:rPr>
                <w:color w:val="231F20"/>
                <w:w w:val="80"/>
                <w:sz w:val="16"/>
              </w:rPr>
              <w:t>Establish</w:t>
            </w:r>
            <w:r>
              <w:rPr>
                <w:color w:val="231F20"/>
                <w:spacing w:val="-23"/>
                <w:w w:val="80"/>
                <w:sz w:val="16"/>
              </w:rPr>
              <w:t xml:space="preserve"> </w:t>
            </w:r>
            <w:r>
              <w:rPr>
                <w:color w:val="231F20"/>
                <w:w w:val="80"/>
                <w:sz w:val="16"/>
              </w:rPr>
              <w:t>a</w:t>
            </w:r>
            <w:r>
              <w:rPr>
                <w:color w:val="231F20"/>
                <w:spacing w:val="-22"/>
                <w:w w:val="80"/>
                <w:sz w:val="16"/>
              </w:rPr>
              <w:t xml:space="preserve"> </w:t>
            </w:r>
            <w:r>
              <w:rPr>
                <w:color w:val="231F20"/>
                <w:w w:val="80"/>
                <w:sz w:val="16"/>
              </w:rPr>
              <w:t>quality</w:t>
            </w:r>
            <w:r>
              <w:rPr>
                <w:color w:val="231F20"/>
                <w:spacing w:val="-23"/>
                <w:w w:val="80"/>
                <w:sz w:val="16"/>
              </w:rPr>
              <w:t xml:space="preserve"> </w:t>
            </w:r>
            <w:r>
              <w:rPr>
                <w:color w:val="231F20"/>
                <w:w w:val="80"/>
                <w:sz w:val="16"/>
              </w:rPr>
              <w:t>system</w:t>
            </w:r>
            <w:r>
              <w:rPr>
                <w:color w:val="231F20"/>
                <w:spacing w:val="-22"/>
                <w:w w:val="80"/>
                <w:sz w:val="16"/>
              </w:rPr>
              <w:t xml:space="preserve"> </w:t>
            </w:r>
            <w:r>
              <w:rPr>
                <w:color w:val="231F20"/>
                <w:w w:val="80"/>
                <w:sz w:val="16"/>
              </w:rPr>
              <w:t>for</w:t>
            </w:r>
            <w:r>
              <w:rPr>
                <w:color w:val="231F20"/>
                <w:spacing w:val="-23"/>
                <w:w w:val="80"/>
                <w:sz w:val="16"/>
              </w:rPr>
              <w:t xml:space="preserve"> </w:t>
            </w:r>
            <w:r>
              <w:rPr>
                <w:color w:val="231F20"/>
                <w:w w:val="80"/>
                <w:sz w:val="16"/>
              </w:rPr>
              <w:t>pharmacovigilance,</w:t>
            </w:r>
            <w:r>
              <w:rPr>
                <w:color w:val="231F20"/>
                <w:spacing w:val="-22"/>
                <w:w w:val="80"/>
                <w:sz w:val="16"/>
              </w:rPr>
              <w:t xml:space="preserve"> </w:t>
            </w:r>
            <w:r>
              <w:rPr>
                <w:color w:val="231F20"/>
                <w:w w:val="80"/>
                <w:sz w:val="16"/>
              </w:rPr>
              <w:t>which</w:t>
            </w:r>
            <w:r>
              <w:rPr>
                <w:color w:val="231F20"/>
                <w:spacing w:val="-23"/>
                <w:w w:val="80"/>
                <w:sz w:val="16"/>
              </w:rPr>
              <w:t xml:space="preserve"> </w:t>
            </w:r>
            <w:r>
              <w:rPr>
                <w:color w:val="231F20"/>
                <w:w w:val="80"/>
                <w:sz w:val="16"/>
              </w:rPr>
              <w:t>will</w:t>
            </w:r>
            <w:r>
              <w:rPr>
                <w:color w:val="231F20"/>
                <w:spacing w:val="-22"/>
                <w:w w:val="80"/>
                <w:sz w:val="16"/>
              </w:rPr>
              <w:t xml:space="preserve"> </w:t>
            </w:r>
            <w:r>
              <w:rPr>
                <w:color w:val="231F20"/>
                <w:w w:val="80"/>
                <w:sz w:val="16"/>
              </w:rPr>
              <w:t>cover</w:t>
            </w:r>
            <w:r>
              <w:rPr>
                <w:color w:val="231F20"/>
                <w:spacing w:val="-23"/>
                <w:w w:val="80"/>
                <w:sz w:val="16"/>
              </w:rPr>
              <w:t xml:space="preserve"> </w:t>
            </w:r>
            <w:r>
              <w:rPr>
                <w:color w:val="231F20"/>
                <w:w w:val="80"/>
                <w:sz w:val="16"/>
              </w:rPr>
              <w:t>organizational</w:t>
            </w:r>
            <w:r>
              <w:rPr>
                <w:color w:val="231F20"/>
                <w:spacing w:val="-22"/>
                <w:w w:val="80"/>
                <w:sz w:val="16"/>
              </w:rPr>
              <w:t xml:space="preserve"> </w:t>
            </w:r>
            <w:r>
              <w:rPr>
                <w:color w:val="231F20"/>
                <w:w w:val="80"/>
                <w:sz w:val="16"/>
              </w:rPr>
              <w:t xml:space="preserve">structure, responsibilities, procedures, processes and resources as well as appropriate resource, </w:t>
            </w:r>
            <w:r>
              <w:rPr>
                <w:color w:val="231F20"/>
                <w:w w:val="85"/>
                <w:sz w:val="16"/>
              </w:rPr>
              <w:t>compliance and record</w:t>
            </w:r>
            <w:r>
              <w:rPr>
                <w:color w:val="231F20"/>
                <w:spacing w:val="-21"/>
                <w:w w:val="85"/>
                <w:sz w:val="16"/>
              </w:rPr>
              <w:t xml:space="preserve"> </w:t>
            </w:r>
            <w:r>
              <w:rPr>
                <w:color w:val="231F20"/>
                <w:w w:val="85"/>
                <w:sz w:val="16"/>
              </w:rPr>
              <w:t>management.</w:t>
            </w:r>
          </w:p>
        </w:tc>
        <w:tc>
          <w:tcPr>
            <w:tcW w:w="1473" w:type="dxa"/>
            <w:tcBorders>
              <w:left w:val="single" w:sz="6" w:space="0" w:color="231F20"/>
              <w:right w:val="single" w:sz="6" w:space="0" w:color="231F20"/>
            </w:tcBorders>
          </w:tcPr>
          <w:p w14:paraId="497CA7DB" w14:textId="77777777" w:rsidR="009948F1" w:rsidRDefault="009948F1">
            <w:pPr>
              <w:pStyle w:val="TableParagraph"/>
              <w:spacing w:before="10"/>
              <w:rPr>
                <w:sz w:val="23"/>
              </w:rPr>
            </w:pPr>
          </w:p>
          <w:p w14:paraId="4E406B61" w14:textId="77777777" w:rsidR="009948F1" w:rsidRDefault="00BC0563">
            <w:pPr>
              <w:pStyle w:val="TableParagraph"/>
              <w:ind w:left="24"/>
              <w:rPr>
                <w:sz w:val="16"/>
              </w:rPr>
            </w:pPr>
            <w:r>
              <w:rPr>
                <w:color w:val="231F20"/>
                <w:w w:val="85"/>
                <w:sz w:val="16"/>
              </w:rPr>
              <w:t>Lack of funds</w:t>
            </w:r>
          </w:p>
        </w:tc>
        <w:tc>
          <w:tcPr>
            <w:tcW w:w="1554" w:type="dxa"/>
            <w:tcBorders>
              <w:left w:val="single" w:sz="6" w:space="0" w:color="231F20"/>
              <w:right w:val="single" w:sz="6" w:space="0" w:color="231F20"/>
            </w:tcBorders>
          </w:tcPr>
          <w:p w14:paraId="18643485" w14:textId="77777777" w:rsidR="009948F1" w:rsidRDefault="009948F1">
            <w:pPr>
              <w:pStyle w:val="TableParagraph"/>
              <w:spacing w:before="10"/>
              <w:rPr>
                <w:sz w:val="23"/>
              </w:rPr>
            </w:pPr>
          </w:p>
          <w:p w14:paraId="573F8258" w14:textId="77777777" w:rsidR="009948F1" w:rsidRDefault="00BC0563">
            <w:pPr>
              <w:pStyle w:val="TableParagraph"/>
              <w:ind w:left="24"/>
              <w:rPr>
                <w:sz w:val="16"/>
              </w:rPr>
            </w:pPr>
            <w:r>
              <w:rPr>
                <w:color w:val="231F20"/>
                <w:w w:val="85"/>
                <w:sz w:val="16"/>
              </w:rPr>
              <w:t>No cost</w:t>
            </w:r>
          </w:p>
        </w:tc>
      </w:tr>
      <w:tr w:rsidR="009948F1" w14:paraId="5AF2F8B8" w14:textId="77777777">
        <w:trPr>
          <w:trHeight w:val="1379"/>
        </w:trPr>
        <w:tc>
          <w:tcPr>
            <w:tcW w:w="473" w:type="dxa"/>
            <w:tcBorders>
              <w:right w:val="single" w:sz="6" w:space="0" w:color="231F20"/>
            </w:tcBorders>
            <w:shd w:val="clear" w:color="auto" w:fill="CCE7D3"/>
          </w:tcPr>
          <w:p w14:paraId="3549714B" w14:textId="77777777" w:rsidR="009948F1" w:rsidRDefault="009948F1">
            <w:pPr>
              <w:pStyle w:val="TableParagraph"/>
              <w:rPr>
                <w:sz w:val="16"/>
              </w:rPr>
            </w:pPr>
          </w:p>
          <w:p w14:paraId="5D8C073C" w14:textId="77777777" w:rsidR="009948F1" w:rsidRDefault="009948F1">
            <w:pPr>
              <w:pStyle w:val="TableParagraph"/>
              <w:rPr>
                <w:sz w:val="16"/>
              </w:rPr>
            </w:pPr>
          </w:p>
          <w:p w14:paraId="5FFE8374" w14:textId="77777777" w:rsidR="009948F1" w:rsidRDefault="009948F1">
            <w:pPr>
              <w:pStyle w:val="TableParagraph"/>
              <w:spacing w:before="9"/>
              <w:rPr>
                <w:sz w:val="19"/>
              </w:rPr>
            </w:pPr>
          </w:p>
          <w:p w14:paraId="4205E03E" w14:textId="77777777" w:rsidR="009948F1" w:rsidRDefault="00BC0563">
            <w:pPr>
              <w:pStyle w:val="TableParagraph"/>
              <w:ind w:left="60"/>
              <w:rPr>
                <w:sz w:val="16"/>
              </w:rPr>
            </w:pPr>
            <w:r>
              <w:rPr>
                <w:color w:val="231F20"/>
                <w:w w:val="85"/>
                <w:sz w:val="16"/>
              </w:rPr>
              <w:t>11.1.7</w:t>
            </w:r>
          </w:p>
        </w:tc>
        <w:tc>
          <w:tcPr>
            <w:tcW w:w="3135" w:type="dxa"/>
            <w:gridSpan w:val="2"/>
            <w:tcBorders>
              <w:left w:val="single" w:sz="6" w:space="0" w:color="231F20"/>
              <w:right w:val="single" w:sz="6" w:space="0" w:color="231F20"/>
            </w:tcBorders>
            <w:shd w:val="clear" w:color="auto" w:fill="CCE7D3"/>
          </w:tcPr>
          <w:p w14:paraId="767881F6" w14:textId="77777777" w:rsidR="009948F1" w:rsidRDefault="009948F1">
            <w:pPr>
              <w:pStyle w:val="TableParagraph"/>
              <w:rPr>
                <w:sz w:val="16"/>
              </w:rPr>
            </w:pPr>
          </w:p>
          <w:p w14:paraId="081EB999" w14:textId="77777777" w:rsidR="009948F1" w:rsidRDefault="009948F1">
            <w:pPr>
              <w:pStyle w:val="TableParagraph"/>
              <w:spacing w:before="9"/>
              <w:rPr>
                <w:sz w:val="17"/>
              </w:rPr>
            </w:pPr>
          </w:p>
          <w:p w14:paraId="1DC2E68B" w14:textId="77777777" w:rsidR="009948F1" w:rsidRDefault="00BC0563">
            <w:pPr>
              <w:pStyle w:val="TableParagraph"/>
              <w:spacing w:line="261" w:lineRule="auto"/>
              <w:ind w:left="25" w:right="16" w:firstLine="34"/>
              <w:rPr>
                <w:sz w:val="16"/>
              </w:rPr>
            </w:pPr>
            <w:r>
              <w:rPr>
                <w:color w:val="231F20"/>
                <w:w w:val="85"/>
                <w:sz w:val="16"/>
              </w:rPr>
              <w:t>Strengthen</w:t>
            </w:r>
            <w:r>
              <w:rPr>
                <w:color w:val="231F20"/>
                <w:spacing w:val="-27"/>
                <w:w w:val="85"/>
                <w:sz w:val="16"/>
              </w:rPr>
              <w:t xml:space="preserve"> </w:t>
            </w:r>
            <w:r>
              <w:rPr>
                <w:color w:val="231F20"/>
                <w:w w:val="85"/>
                <w:sz w:val="16"/>
              </w:rPr>
              <w:t>existing</w:t>
            </w:r>
            <w:r>
              <w:rPr>
                <w:color w:val="231F20"/>
                <w:spacing w:val="-26"/>
                <w:w w:val="85"/>
                <w:sz w:val="16"/>
              </w:rPr>
              <w:t xml:space="preserve"> </w:t>
            </w:r>
            <w:r>
              <w:rPr>
                <w:color w:val="231F20"/>
                <w:w w:val="85"/>
                <w:sz w:val="16"/>
              </w:rPr>
              <w:t>systems</w:t>
            </w:r>
            <w:r>
              <w:rPr>
                <w:color w:val="231F20"/>
                <w:spacing w:val="-26"/>
                <w:w w:val="85"/>
                <w:sz w:val="16"/>
              </w:rPr>
              <w:t xml:space="preserve"> </w:t>
            </w:r>
            <w:r>
              <w:rPr>
                <w:color w:val="231F20"/>
                <w:w w:val="85"/>
                <w:sz w:val="16"/>
              </w:rPr>
              <w:t>for</w:t>
            </w:r>
            <w:r>
              <w:rPr>
                <w:color w:val="231F20"/>
                <w:spacing w:val="-27"/>
                <w:w w:val="85"/>
                <w:sz w:val="16"/>
              </w:rPr>
              <w:t xml:space="preserve"> </w:t>
            </w:r>
            <w:r>
              <w:rPr>
                <w:color w:val="231F20"/>
                <w:w w:val="85"/>
                <w:sz w:val="16"/>
              </w:rPr>
              <w:t>the</w:t>
            </w:r>
            <w:r>
              <w:rPr>
                <w:color w:val="231F20"/>
                <w:spacing w:val="-26"/>
                <w:w w:val="85"/>
                <w:sz w:val="16"/>
              </w:rPr>
              <w:t xml:space="preserve"> </w:t>
            </w:r>
            <w:r>
              <w:rPr>
                <w:color w:val="231F20"/>
                <w:w w:val="85"/>
                <w:sz w:val="16"/>
              </w:rPr>
              <w:t>management</w:t>
            </w:r>
            <w:r>
              <w:rPr>
                <w:color w:val="231F20"/>
                <w:spacing w:val="-26"/>
                <w:w w:val="85"/>
                <w:sz w:val="16"/>
              </w:rPr>
              <w:t xml:space="preserve"> </w:t>
            </w:r>
            <w:r>
              <w:rPr>
                <w:color w:val="231F20"/>
                <w:w w:val="85"/>
                <w:sz w:val="16"/>
              </w:rPr>
              <w:t xml:space="preserve">of </w:t>
            </w:r>
            <w:r>
              <w:rPr>
                <w:color w:val="231F20"/>
                <w:w w:val="80"/>
                <w:sz w:val="16"/>
              </w:rPr>
              <w:t>biological</w:t>
            </w:r>
            <w:r>
              <w:rPr>
                <w:color w:val="231F20"/>
                <w:spacing w:val="-22"/>
                <w:w w:val="80"/>
                <w:sz w:val="16"/>
              </w:rPr>
              <w:t xml:space="preserve"> </w:t>
            </w:r>
            <w:r>
              <w:rPr>
                <w:color w:val="231F20"/>
                <w:w w:val="80"/>
                <w:sz w:val="16"/>
              </w:rPr>
              <w:t>and</w:t>
            </w:r>
            <w:r>
              <w:rPr>
                <w:color w:val="231F20"/>
                <w:spacing w:val="-22"/>
                <w:w w:val="80"/>
                <w:sz w:val="16"/>
              </w:rPr>
              <w:t xml:space="preserve"> </w:t>
            </w:r>
            <w:r>
              <w:rPr>
                <w:color w:val="231F20"/>
                <w:w w:val="80"/>
                <w:sz w:val="16"/>
              </w:rPr>
              <w:t>non-biological</w:t>
            </w:r>
            <w:r>
              <w:rPr>
                <w:color w:val="231F20"/>
                <w:spacing w:val="-22"/>
                <w:w w:val="80"/>
                <w:sz w:val="16"/>
              </w:rPr>
              <w:t xml:space="preserve"> </w:t>
            </w:r>
            <w:r>
              <w:rPr>
                <w:color w:val="231F20"/>
                <w:w w:val="80"/>
                <w:sz w:val="16"/>
              </w:rPr>
              <w:t>wastes</w:t>
            </w:r>
            <w:r>
              <w:rPr>
                <w:color w:val="231F20"/>
                <w:spacing w:val="-21"/>
                <w:w w:val="80"/>
                <w:sz w:val="16"/>
              </w:rPr>
              <w:t xml:space="preserve"> </w:t>
            </w:r>
            <w:r>
              <w:rPr>
                <w:color w:val="231F20"/>
                <w:w w:val="80"/>
                <w:sz w:val="16"/>
              </w:rPr>
              <w:t>including</w:t>
            </w:r>
            <w:r>
              <w:rPr>
                <w:color w:val="231F20"/>
                <w:spacing w:val="-22"/>
                <w:w w:val="80"/>
                <w:sz w:val="16"/>
              </w:rPr>
              <w:t xml:space="preserve"> </w:t>
            </w:r>
            <w:r>
              <w:rPr>
                <w:color w:val="231F20"/>
                <w:w w:val="80"/>
                <w:sz w:val="16"/>
              </w:rPr>
              <w:t>expiries</w:t>
            </w:r>
            <w:r>
              <w:rPr>
                <w:color w:val="231F20"/>
                <w:spacing w:val="-22"/>
                <w:w w:val="80"/>
                <w:sz w:val="16"/>
              </w:rPr>
              <w:t xml:space="preserve"> </w:t>
            </w:r>
            <w:r>
              <w:rPr>
                <w:color w:val="231F20"/>
                <w:spacing w:val="-6"/>
                <w:w w:val="80"/>
                <w:sz w:val="16"/>
              </w:rPr>
              <w:t xml:space="preserve">of </w:t>
            </w:r>
            <w:r>
              <w:rPr>
                <w:color w:val="231F20"/>
                <w:w w:val="80"/>
                <w:sz w:val="16"/>
              </w:rPr>
              <w:t>medicines,</w:t>
            </w:r>
            <w:r>
              <w:rPr>
                <w:color w:val="231F20"/>
                <w:spacing w:val="-17"/>
                <w:w w:val="80"/>
                <w:sz w:val="16"/>
              </w:rPr>
              <w:t xml:space="preserve"> </w:t>
            </w:r>
            <w:r>
              <w:rPr>
                <w:color w:val="231F20"/>
                <w:w w:val="80"/>
                <w:sz w:val="16"/>
              </w:rPr>
              <w:t>vaccines</w:t>
            </w:r>
            <w:r>
              <w:rPr>
                <w:color w:val="231F20"/>
                <w:spacing w:val="-16"/>
                <w:w w:val="80"/>
                <w:sz w:val="16"/>
              </w:rPr>
              <w:t xml:space="preserve"> </w:t>
            </w:r>
            <w:r>
              <w:rPr>
                <w:color w:val="231F20"/>
                <w:w w:val="80"/>
                <w:sz w:val="16"/>
              </w:rPr>
              <w:t>and</w:t>
            </w:r>
            <w:r>
              <w:rPr>
                <w:color w:val="231F20"/>
                <w:spacing w:val="-17"/>
                <w:w w:val="80"/>
                <w:sz w:val="16"/>
              </w:rPr>
              <w:t xml:space="preserve"> </w:t>
            </w:r>
            <w:r>
              <w:rPr>
                <w:color w:val="231F20"/>
                <w:w w:val="80"/>
                <w:sz w:val="16"/>
              </w:rPr>
              <w:t>other</w:t>
            </w:r>
            <w:r>
              <w:rPr>
                <w:color w:val="231F20"/>
                <w:spacing w:val="-16"/>
                <w:w w:val="80"/>
                <w:sz w:val="16"/>
              </w:rPr>
              <w:t xml:space="preserve"> </w:t>
            </w:r>
            <w:r>
              <w:rPr>
                <w:color w:val="231F20"/>
                <w:w w:val="80"/>
                <w:sz w:val="16"/>
              </w:rPr>
              <w:t>commodities</w:t>
            </w:r>
            <w:r>
              <w:rPr>
                <w:color w:val="231F20"/>
                <w:spacing w:val="-16"/>
                <w:w w:val="80"/>
                <w:sz w:val="16"/>
              </w:rPr>
              <w:t xml:space="preserve"> </w:t>
            </w:r>
            <w:r>
              <w:rPr>
                <w:color w:val="231F20"/>
                <w:w w:val="80"/>
                <w:sz w:val="16"/>
              </w:rPr>
              <w:t>at</w:t>
            </w:r>
            <w:r>
              <w:rPr>
                <w:color w:val="231F20"/>
                <w:spacing w:val="-17"/>
                <w:w w:val="80"/>
                <w:sz w:val="16"/>
              </w:rPr>
              <w:t xml:space="preserve"> </w:t>
            </w:r>
            <w:r>
              <w:rPr>
                <w:color w:val="231F20"/>
                <w:w w:val="80"/>
                <w:sz w:val="16"/>
              </w:rPr>
              <w:t>all</w:t>
            </w:r>
            <w:r>
              <w:rPr>
                <w:color w:val="231F20"/>
                <w:spacing w:val="-16"/>
                <w:w w:val="80"/>
                <w:sz w:val="16"/>
              </w:rPr>
              <w:t xml:space="preserve"> </w:t>
            </w:r>
            <w:r>
              <w:rPr>
                <w:color w:val="231F20"/>
                <w:w w:val="80"/>
                <w:sz w:val="16"/>
              </w:rPr>
              <w:t>levels</w:t>
            </w:r>
          </w:p>
        </w:tc>
        <w:tc>
          <w:tcPr>
            <w:tcW w:w="2461" w:type="dxa"/>
            <w:tcBorders>
              <w:left w:val="single" w:sz="6" w:space="0" w:color="231F20"/>
              <w:right w:val="single" w:sz="6" w:space="0" w:color="231F20"/>
            </w:tcBorders>
            <w:shd w:val="clear" w:color="auto" w:fill="CCE7D3"/>
          </w:tcPr>
          <w:p w14:paraId="591332AB" w14:textId="71BE742B" w:rsidR="009948F1" w:rsidRDefault="00BC0563">
            <w:pPr>
              <w:pStyle w:val="TableParagraph"/>
              <w:numPr>
                <w:ilvl w:val="0"/>
                <w:numId w:val="40"/>
              </w:numPr>
              <w:tabs>
                <w:tab w:val="left" w:pos="103"/>
              </w:tabs>
              <w:spacing w:line="261" w:lineRule="auto"/>
              <w:ind w:right="116" w:firstLine="0"/>
              <w:rPr>
                <w:sz w:val="16"/>
              </w:rPr>
            </w:pPr>
            <w:r>
              <w:rPr>
                <w:color w:val="231F20"/>
                <w:w w:val="80"/>
                <w:sz w:val="16"/>
              </w:rPr>
              <w:t>Quantification</w:t>
            </w:r>
            <w:r>
              <w:rPr>
                <w:color w:val="231F20"/>
                <w:spacing w:val="-24"/>
                <w:w w:val="80"/>
                <w:sz w:val="16"/>
              </w:rPr>
              <w:t xml:space="preserve"> </w:t>
            </w:r>
            <w:r>
              <w:rPr>
                <w:color w:val="231F20"/>
                <w:w w:val="80"/>
                <w:sz w:val="16"/>
              </w:rPr>
              <w:t>of</w:t>
            </w:r>
            <w:r>
              <w:rPr>
                <w:color w:val="231F20"/>
                <w:spacing w:val="-23"/>
                <w:w w:val="80"/>
                <w:sz w:val="16"/>
              </w:rPr>
              <w:t xml:space="preserve"> </w:t>
            </w:r>
            <w:r w:rsidR="00661EED">
              <w:rPr>
                <w:color w:val="231F20"/>
                <w:w w:val="80"/>
                <w:sz w:val="16"/>
              </w:rPr>
              <w:t>expired</w:t>
            </w:r>
            <w:r>
              <w:rPr>
                <w:color w:val="231F20"/>
                <w:spacing w:val="-23"/>
                <w:w w:val="80"/>
                <w:sz w:val="16"/>
              </w:rPr>
              <w:t xml:space="preserve"> </w:t>
            </w:r>
            <w:r>
              <w:rPr>
                <w:color w:val="231F20"/>
                <w:w w:val="80"/>
                <w:sz w:val="16"/>
              </w:rPr>
              <w:t>medicines</w:t>
            </w:r>
            <w:r>
              <w:rPr>
                <w:color w:val="231F20"/>
                <w:spacing w:val="-24"/>
                <w:w w:val="80"/>
                <w:sz w:val="16"/>
              </w:rPr>
              <w:t xml:space="preserve"> </w:t>
            </w:r>
            <w:r>
              <w:rPr>
                <w:color w:val="231F20"/>
                <w:w w:val="80"/>
                <w:sz w:val="16"/>
              </w:rPr>
              <w:t>and other</w:t>
            </w:r>
            <w:r>
              <w:rPr>
                <w:color w:val="231F20"/>
                <w:spacing w:val="-21"/>
                <w:w w:val="80"/>
                <w:sz w:val="16"/>
              </w:rPr>
              <w:t xml:space="preserve"> </w:t>
            </w:r>
            <w:r>
              <w:rPr>
                <w:color w:val="231F20"/>
                <w:w w:val="80"/>
                <w:sz w:val="16"/>
              </w:rPr>
              <w:t>commodities</w:t>
            </w:r>
            <w:r>
              <w:rPr>
                <w:color w:val="231F20"/>
                <w:spacing w:val="-21"/>
                <w:w w:val="80"/>
                <w:sz w:val="16"/>
              </w:rPr>
              <w:t xml:space="preserve"> </w:t>
            </w:r>
            <w:r>
              <w:rPr>
                <w:color w:val="231F20"/>
                <w:w w:val="80"/>
                <w:sz w:val="16"/>
              </w:rPr>
              <w:t>at</w:t>
            </w:r>
            <w:r>
              <w:rPr>
                <w:color w:val="231F20"/>
                <w:spacing w:val="-21"/>
                <w:w w:val="80"/>
                <w:sz w:val="16"/>
              </w:rPr>
              <w:t xml:space="preserve"> </w:t>
            </w:r>
            <w:r>
              <w:rPr>
                <w:color w:val="231F20"/>
                <w:w w:val="80"/>
                <w:sz w:val="16"/>
              </w:rPr>
              <w:t>Health</w:t>
            </w:r>
            <w:r>
              <w:rPr>
                <w:color w:val="231F20"/>
                <w:spacing w:val="-21"/>
                <w:w w:val="80"/>
                <w:sz w:val="16"/>
              </w:rPr>
              <w:t xml:space="preserve"> </w:t>
            </w:r>
            <w:r>
              <w:rPr>
                <w:color w:val="231F20"/>
                <w:w w:val="80"/>
                <w:sz w:val="16"/>
              </w:rPr>
              <w:t>facilities</w:t>
            </w:r>
            <w:r>
              <w:rPr>
                <w:color w:val="231F20"/>
                <w:spacing w:val="-21"/>
                <w:w w:val="80"/>
                <w:sz w:val="16"/>
              </w:rPr>
              <w:t xml:space="preserve"> </w:t>
            </w:r>
            <w:r>
              <w:rPr>
                <w:color w:val="231F20"/>
                <w:w w:val="80"/>
                <w:sz w:val="16"/>
              </w:rPr>
              <w:t>done</w:t>
            </w:r>
          </w:p>
          <w:p w14:paraId="508BB199" w14:textId="77777777" w:rsidR="009948F1" w:rsidRDefault="00BC0563">
            <w:pPr>
              <w:pStyle w:val="TableParagraph"/>
              <w:numPr>
                <w:ilvl w:val="0"/>
                <w:numId w:val="40"/>
              </w:numPr>
              <w:tabs>
                <w:tab w:val="left" w:pos="70"/>
              </w:tabs>
              <w:spacing w:line="261" w:lineRule="auto"/>
              <w:ind w:right="627" w:firstLine="0"/>
              <w:rPr>
                <w:sz w:val="16"/>
              </w:rPr>
            </w:pPr>
            <w:r>
              <w:rPr>
                <w:color w:val="231F20"/>
                <w:w w:val="80"/>
                <w:sz w:val="16"/>
              </w:rPr>
              <w:t>Safe</w:t>
            </w:r>
            <w:r>
              <w:rPr>
                <w:color w:val="231F20"/>
                <w:spacing w:val="-19"/>
                <w:w w:val="80"/>
                <w:sz w:val="16"/>
              </w:rPr>
              <w:t xml:space="preserve"> </w:t>
            </w:r>
            <w:r>
              <w:rPr>
                <w:color w:val="231F20"/>
                <w:w w:val="80"/>
                <w:sz w:val="16"/>
              </w:rPr>
              <w:t>health</w:t>
            </w:r>
            <w:r>
              <w:rPr>
                <w:color w:val="231F20"/>
                <w:spacing w:val="-18"/>
                <w:w w:val="80"/>
                <w:sz w:val="16"/>
              </w:rPr>
              <w:t xml:space="preserve"> </w:t>
            </w:r>
            <w:r>
              <w:rPr>
                <w:color w:val="231F20"/>
                <w:w w:val="80"/>
                <w:sz w:val="16"/>
              </w:rPr>
              <w:t>commodities</w:t>
            </w:r>
            <w:r>
              <w:rPr>
                <w:color w:val="231F20"/>
                <w:spacing w:val="-18"/>
                <w:w w:val="80"/>
                <w:sz w:val="16"/>
              </w:rPr>
              <w:t xml:space="preserve"> </w:t>
            </w:r>
            <w:r>
              <w:rPr>
                <w:color w:val="231F20"/>
                <w:w w:val="80"/>
                <w:sz w:val="16"/>
              </w:rPr>
              <w:t>waste management</w:t>
            </w:r>
            <w:r>
              <w:rPr>
                <w:color w:val="231F20"/>
                <w:spacing w:val="-21"/>
                <w:w w:val="80"/>
                <w:sz w:val="16"/>
              </w:rPr>
              <w:t xml:space="preserve"> </w:t>
            </w:r>
            <w:r>
              <w:rPr>
                <w:color w:val="231F20"/>
                <w:w w:val="80"/>
                <w:sz w:val="16"/>
              </w:rPr>
              <w:t>system</w:t>
            </w:r>
            <w:r>
              <w:rPr>
                <w:color w:val="231F20"/>
                <w:spacing w:val="-20"/>
                <w:w w:val="80"/>
                <w:sz w:val="16"/>
              </w:rPr>
              <w:t xml:space="preserve"> </w:t>
            </w:r>
            <w:r>
              <w:rPr>
                <w:color w:val="231F20"/>
                <w:w w:val="80"/>
                <w:sz w:val="16"/>
              </w:rPr>
              <w:t>in</w:t>
            </w:r>
            <w:r>
              <w:rPr>
                <w:color w:val="231F20"/>
                <w:spacing w:val="-21"/>
                <w:w w:val="80"/>
                <w:sz w:val="16"/>
              </w:rPr>
              <w:t xml:space="preserve"> </w:t>
            </w:r>
            <w:r>
              <w:rPr>
                <w:color w:val="231F20"/>
                <w:w w:val="80"/>
                <w:sz w:val="16"/>
              </w:rPr>
              <w:t>the</w:t>
            </w:r>
            <w:r>
              <w:rPr>
                <w:color w:val="231F20"/>
                <w:spacing w:val="-20"/>
                <w:w w:val="80"/>
                <w:sz w:val="16"/>
              </w:rPr>
              <w:t xml:space="preserve"> </w:t>
            </w:r>
            <w:r>
              <w:rPr>
                <w:color w:val="231F20"/>
                <w:w w:val="80"/>
                <w:sz w:val="16"/>
              </w:rPr>
              <w:t xml:space="preserve">State </w:t>
            </w:r>
            <w:r>
              <w:rPr>
                <w:color w:val="231F20"/>
                <w:w w:val="85"/>
                <w:sz w:val="16"/>
              </w:rPr>
              <w:t>implemented</w:t>
            </w:r>
          </w:p>
          <w:p w14:paraId="1A290E81" w14:textId="77777777" w:rsidR="009948F1" w:rsidRDefault="00BC0563">
            <w:pPr>
              <w:pStyle w:val="TableParagraph"/>
              <w:numPr>
                <w:ilvl w:val="0"/>
                <w:numId w:val="40"/>
              </w:numPr>
              <w:tabs>
                <w:tab w:val="left" w:pos="70"/>
              </w:tabs>
              <w:spacing w:line="183" w:lineRule="exact"/>
              <w:ind w:left="69" w:hanging="45"/>
              <w:rPr>
                <w:sz w:val="16"/>
              </w:rPr>
            </w:pPr>
            <w:r>
              <w:rPr>
                <w:color w:val="231F20"/>
                <w:w w:val="80"/>
                <w:sz w:val="16"/>
              </w:rPr>
              <w:t>Sharp</w:t>
            </w:r>
            <w:r>
              <w:rPr>
                <w:color w:val="231F20"/>
                <w:spacing w:val="-12"/>
                <w:w w:val="80"/>
                <w:sz w:val="16"/>
              </w:rPr>
              <w:t xml:space="preserve"> </w:t>
            </w:r>
            <w:r>
              <w:rPr>
                <w:color w:val="231F20"/>
                <w:w w:val="80"/>
                <w:sz w:val="16"/>
              </w:rPr>
              <w:t>boxes</w:t>
            </w:r>
            <w:r>
              <w:rPr>
                <w:color w:val="231F20"/>
                <w:spacing w:val="-12"/>
                <w:w w:val="80"/>
                <w:sz w:val="16"/>
              </w:rPr>
              <w:t xml:space="preserve"> </w:t>
            </w:r>
            <w:r>
              <w:rPr>
                <w:color w:val="231F20"/>
                <w:w w:val="80"/>
                <w:sz w:val="16"/>
              </w:rPr>
              <w:t>and</w:t>
            </w:r>
            <w:r>
              <w:rPr>
                <w:color w:val="231F20"/>
                <w:spacing w:val="-12"/>
                <w:w w:val="80"/>
                <w:sz w:val="16"/>
              </w:rPr>
              <w:t xml:space="preserve"> </w:t>
            </w:r>
            <w:r>
              <w:rPr>
                <w:color w:val="231F20"/>
                <w:w w:val="80"/>
                <w:sz w:val="16"/>
              </w:rPr>
              <w:t>consumables</w:t>
            </w:r>
            <w:r>
              <w:rPr>
                <w:color w:val="231F20"/>
                <w:spacing w:val="-11"/>
                <w:w w:val="80"/>
                <w:sz w:val="16"/>
              </w:rPr>
              <w:t xml:space="preserve"> </w:t>
            </w:r>
            <w:r>
              <w:rPr>
                <w:color w:val="231F20"/>
                <w:w w:val="80"/>
                <w:sz w:val="16"/>
              </w:rPr>
              <w:t>provided</w:t>
            </w:r>
          </w:p>
          <w:p w14:paraId="341E2F20" w14:textId="77777777" w:rsidR="009948F1" w:rsidRDefault="00BC0563">
            <w:pPr>
              <w:pStyle w:val="TableParagraph"/>
              <w:spacing w:before="12" w:line="161" w:lineRule="exact"/>
              <w:ind w:left="25"/>
              <w:rPr>
                <w:sz w:val="16"/>
              </w:rPr>
            </w:pPr>
            <w:r>
              <w:rPr>
                <w:color w:val="231F20"/>
                <w:w w:val="85"/>
                <w:sz w:val="16"/>
              </w:rPr>
              <w:t>and distributed to all Health facilities</w:t>
            </w:r>
          </w:p>
        </w:tc>
        <w:tc>
          <w:tcPr>
            <w:tcW w:w="1473" w:type="dxa"/>
            <w:tcBorders>
              <w:left w:val="single" w:sz="6" w:space="0" w:color="231F20"/>
              <w:right w:val="single" w:sz="6" w:space="0" w:color="231F20"/>
            </w:tcBorders>
            <w:shd w:val="clear" w:color="auto" w:fill="CCE7D3"/>
          </w:tcPr>
          <w:p w14:paraId="0502A450" w14:textId="77777777" w:rsidR="009948F1" w:rsidRDefault="009948F1">
            <w:pPr>
              <w:pStyle w:val="TableParagraph"/>
              <w:rPr>
                <w:rFonts w:ascii="Times New Roman"/>
                <w:sz w:val="12"/>
              </w:rPr>
            </w:pPr>
          </w:p>
        </w:tc>
        <w:tc>
          <w:tcPr>
            <w:tcW w:w="1554" w:type="dxa"/>
            <w:tcBorders>
              <w:left w:val="single" w:sz="6" w:space="0" w:color="231F20"/>
              <w:right w:val="single" w:sz="6" w:space="0" w:color="231F20"/>
            </w:tcBorders>
            <w:shd w:val="clear" w:color="auto" w:fill="CCE7D3"/>
          </w:tcPr>
          <w:p w14:paraId="516641B1" w14:textId="77777777" w:rsidR="009948F1" w:rsidRDefault="009948F1">
            <w:pPr>
              <w:pStyle w:val="TableParagraph"/>
              <w:rPr>
                <w:rFonts w:ascii="Times New Roman"/>
                <w:sz w:val="12"/>
              </w:rPr>
            </w:pPr>
          </w:p>
        </w:tc>
      </w:tr>
      <w:tr w:rsidR="009948F1" w14:paraId="556032E5" w14:textId="77777777">
        <w:trPr>
          <w:trHeight w:val="383"/>
        </w:trPr>
        <w:tc>
          <w:tcPr>
            <w:tcW w:w="473" w:type="dxa"/>
            <w:vMerge w:val="restart"/>
            <w:tcBorders>
              <w:right w:val="single" w:sz="6" w:space="0" w:color="231F20"/>
            </w:tcBorders>
          </w:tcPr>
          <w:p w14:paraId="363C8762" w14:textId="77777777" w:rsidR="009948F1" w:rsidRDefault="009948F1">
            <w:pPr>
              <w:pStyle w:val="TableParagraph"/>
              <w:rPr>
                <w:rFonts w:ascii="Times New Roman"/>
                <w:sz w:val="12"/>
              </w:rPr>
            </w:pPr>
          </w:p>
        </w:tc>
        <w:tc>
          <w:tcPr>
            <w:tcW w:w="543" w:type="dxa"/>
            <w:tcBorders>
              <w:left w:val="single" w:sz="6" w:space="0" w:color="231F20"/>
              <w:right w:val="single" w:sz="6" w:space="0" w:color="231F20"/>
            </w:tcBorders>
          </w:tcPr>
          <w:p w14:paraId="4B227A97" w14:textId="77777777" w:rsidR="009948F1" w:rsidRDefault="00BC0563">
            <w:pPr>
              <w:pStyle w:val="TableParagraph"/>
              <w:spacing w:before="97"/>
              <w:ind w:left="32" w:right="21"/>
              <w:jc w:val="center"/>
              <w:rPr>
                <w:sz w:val="16"/>
              </w:rPr>
            </w:pPr>
            <w:r>
              <w:rPr>
                <w:color w:val="231F20"/>
                <w:w w:val="75"/>
                <w:sz w:val="16"/>
              </w:rPr>
              <w:t>11.1.7.a</w:t>
            </w:r>
          </w:p>
        </w:tc>
        <w:tc>
          <w:tcPr>
            <w:tcW w:w="5053" w:type="dxa"/>
            <w:gridSpan w:val="2"/>
            <w:tcBorders>
              <w:left w:val="single" w:sz="6" w:space="0" w:color="231F20"/>
              <w:right w:val="single" w:sz="6" w:space="0" w:color="231F20"/>
            </w:tcBorders>
          </w:tcPr>
          <w:p w14:paraId="04C5D158" w14:textId="77777777" w:rsidR="009948F1" w:rsidRDefault="00BC0563">
            <w:pPr>
              <w:pStyle w:val="TableParagraph"/>
              <w:spacing w:line="181" w:lineRule="exact"/>
              <w:ind w:left="25"/>
              <w:rPr>
                <w:sz w:val="16"/>
              </w:rPr>
            </w:pPr>
            <w:r>
              <w:rPr>
                <w:color w:val="231F20"/>
                <w:w w:val="80"/>
                <w:sz w:val="16"/>
              </w:rPr>
              <w:t>Conduct annual quantification of expiries of medicines and other commodities at Health</w:t>
            </w:r>
          </w:p>
          <w:p w14:paraId="33FCD252" w14:textId="390A19D2" w:rsidR="009948F1" w:rsidRDefault="00683F0D">
            <w:pPr>
              <w:pStyle w:val="TableParagraph"/>
              <w:spacing w:before="16" w:line="167" w:lineRule="exact"/>
              <w:ind w:left="25"/>
              <w:rPr>
                <w:sz w:val="16"/>
              </w:rPr>
            </w:pPr>
            <w:r>
              <w:rPr>
                <w:color w:val="231F20"/>
                <w:w w:val="85"/>
                <w:sz w:val="16"/>
              </w:rPr>
              <w:t>Facilities</w:t>
            </w:r>
            <w:r w:rsidR="00BC0563">
              <w:rPr>
                <w:color w:val="231F20"/>
                <w:w w:val="85"/>
                <w:sz w:val="16"/>
              </w:rPr>
              <w:t xml:space="preserve"> in the State.</w:t>
            </w:r>
          </w:p>
        </w:tc>
        <w:tc>
          <w:tcPr>
            <w:tcW w:w="1473" w:type="dxa"/>
            <w:tcBorders>
              <w:left w:val="single" w:sz="6" w:space="0" w:color="231F20"/>
              <w:right w:val="single" w:sz="6" w:space="0" w:color="231F20"/>
            </w:tcBorders>
          </w:tcPr>
          <w:p w14:paraId="051D53DB" w14:textId="77777777" w:rsidR="009948F1" w:rsidRDefault="00BC0563">
            <w:pPr>
              <w:pStyle w:val="TableParagraph"/>
              <w:spacing w:before="97"/>
              <w:ind w:left="24"/>
              <w:rPr>
                <w:sz w:val="16"/>
              </w:rPr>
            </w:pPr>
            <w:r>
              <w:rPr>
                <w:color w:val="231F20"/>
                <w:w w:val="85"/>
                <w:sz w:val="16"/>
              </w:rPr>
              <w:t>Lack of funds</w:t>
            </w:r>
          </w:p>
        </w:tc>
        <w:tc>
          <w:tcPr>
            <w:tcW w:w="1554" w:type="dxa"/>
            <w:tcBorders>
              <w:left w:val="single" w:sz="6" w:space="0" w:color="231F20"/>
              <w:right w:val="single" w:sz="6" w:space="0" w:color="231F20"/>
            </w:tcBorders>
          </w:tcPr>
          <w:p w14:paraId="5126B7A6" w14:textId="77777777" w:rsidR="009948F1" w:rsidRDefault="00BC0563">
            <w:pPr>
              <w:pStyle w:val="TableParagraph"/>
              <w:spacing w:before="97"/>
              <w:ind w:left="24"/>
              <w:rPr>
                <w:sz w:val="16"/>
              </w:rPr>
            </w:pPr>
            <w:r>
              <w:rPr>
                <w:color w:val="231F20"/>
                <w:w w:val="85"/>
                <w:sz w:val="16"/>
              </w:rPr>
              <w:t>No cost</w:t>
            </w:r>
          </w:p>
        </w:tc>
      </w:tr>
      <w:tr w:rsidR="009948F1" w14:paraId="5930C439" w14:textId="77777777">
        <w:trPr>
          <w:trHeight w:val="369"/>
        </w:trPr>
        <w:tc>
          <w:tcPr>
            <w:tcW w:w="473" w:type="dxa"/>
            <w:vMerge/>
            <w:tcBorders>
              <w:top w:val="nil"/>
              <w:right w:val="single" w:sz="6" w:space="0" w:color="231F20"/>
            </w:tcBorders>
          </w:tcPr>
          <w:p w14:paraId="668D61FE" w14:textId="77777777" w:rsidR="009948F1" w:rsidRDefault="009948F1">
            <w:pPr>
              <w:rPr>
                <w:sz w:val="2"/>
                <w:szCs w:val="2"/>
              </w:rPr>
            </w:pPr>
          </w:p>
        </w:tc>
        <w:tc>
          <w:tcPr>
            <w:tcW w:w="543" w:type="dxa"/>
            <w:tcBorders>
              <w:left w:val="single" w:sz="6" w:space="0" w:color="231F20"/>
              <w:right w:val="single" w:sz="6" w:space="0" w:color="231F20"/>
            </w:tcBorders>
          </w:tcPr>
          <w:p w14:paraId="58F52F34" w14:textId="77777777" w:rsidR="009948F1" w:rsidRDefault="00BC0563">
            <w:pPr>
              <w:pStyle w:val="TableParagraph"/>
              <w:spacing w:before="91"/>
              <w:ind w:left="32" w:right="21"/>
              <w:jc w:val="center"/>
              <w:rPr>
                <w:sz w:val="16"/>
              </w:rPr>
            </w:pPr>
            <w:r>
              <w:rPr>
                <w:color w:val="231F20"/>
                <w:w w:val="75"/>
                <w:sz w:val="16"/>
              </w:rPr>
              <w:t>11.1.7.b</w:t>
            </w:r>
          </w:p>
        </w:tc>
        <w:tc>
          <w:tcPr>
            <w:tcW w:w="5053" w:type="dxa"/>
            <w:gridSpan w:val="2"/>
            <w:tcBorders>
              <w:left w:val="single" w:sz="6" w:space="0" w:color="231F20"/>
              <w:right w:val="single" w:sz="6" w:space="0" w:color="231F20"/>
            </w:tcBorders>
          </w:tcPr>
          <w:p w14:paraId="5120C73D" w14:textId="77777777" w:rsidR="009948F1" w:rsidRDefault="00BC0563">
            <w:pPr>
              <w:pStyle w:val="TableParagraph"/>
              <w:spacing w:before="84"/>
              <w:ind w:left="25"/>
              <w:rPr>
                <w:sz w:val="16"/>
              </w:rPr>
            </w:pPr>
            <w:r>
              <w:rPr>
                <w:color w:val="231F20"/>
                <w:w w:val="80"/>
                <w:sz w:val="16"/>
              </w:rPr>
              <w:t>Implement an effective safe health commodities waste management system in the State</w:t>
            </w:r>
          </w:p>
        </w:tc>
        <w:tc>
          <w:tcPr>
            <w:tcW w:w="1473" w:type="dxa"/>
            <w:tcBorders>
              <w:left w:val="single" w:sz="6" w:space="0" w:color="231F20"/>
              <w:right w:val="single" w:sz="6" w:space="0" w:color="231F20"/>
            </w:tcBorders>
          </w:tcPr>
          <w:p w14:paraId="718857D5" w14:textId="77777777" w:rsidR="009948F1" w:rsidRDefault="00BC0563">
            <w:pPr>
              <w:pStyle w:val="TableParagraph"/>
              <w:spacing w:before="91"/>
              <w:ind w:left="24"/>
              <w:rPr>
                <w:sz w:val="16"/>
              </w:rPr>
            </w:pPr>
            <w:r>
              <w:rPr>
                <w:color w:val="231F20"/>
                <w:w w:val="85"/>
                <w:sz w:val="16"/>
              </w:rPr>
              <w:t>Lack of funds</w:t>
            </w:r>
          </w:p>
        </w:tc>
        <w:tc>
          <w:tcPr>
            <w:tcW w:w="1554" w:type="dxa"/>
            <w:tcBorders>
              <w:left w:val="single" w:sz="6" w:space="0" w:color="231F20"/>
              <w:right w:val="single" w:sz="6" w:space="0" w:color="231F20"/>
            </w:tcBorders>
          </w:tcPr>
          <w:p w14:paraId="169E7D11" w14:textId="77777777" w:rsidR="009948F1" w:rsidRDefault="00BC0563">
            <w:pPr>
              <w:pStyle w:val="TableParagraph"/>
              <w:spacing w:before="91"/>
              <w:ind w:left="24"/>
              <w:rPr>
                <w:sz w:val="16"/>
              </w:rPr>
            </w:pPr>
            <w:r>
              <w:rPr>
                <w:color w:val="231F20"/>
                <w:w w:val="85"/>
                <w:sz w:val="16"/>
              </w:rPr>
              <w:t>No cost</w:t>
            </w:r>
          </w:p>
        </w:tc>
      </w:tr>
      <w:tr w:rsidR="009948F1" w14:paraId="1666C52C" w14:textId="77777777">
        <w:trPr>
          <w:trHeight w:val="530"/>
        </w:trPr>
        <w:tc>
          <w:tcPr>
            <w:tcW w:w="473" w:type="dxa"/>
            <w:vMerge/>
            <w:tcBorders>
              <w:top w:val="nil"/>
              <w:right w:val="single" w:sz="6" w:space="0" w:color="231F20"/>
            </w:tcBorders>
          </w:tcPr>
          <w:p w14:paraId="3EE4B0C0" w14:textId="77777777" w:rsidR="009948F1" w:rsidRDefault="009948F1">
            <w:pPr>
              <w:rPr>
                <w:sz w:val="2"/>
                <w:szCs w:val="2"/>
              </w:rPr>
            </w:pPr>
          </w:p>
        </w:tc>
        <w:tc>
          <w:tcPr>
            <w:tcW w:w="543" w:type="dxa"/>
            <w:tcBorders>
              <w:left w:val="single" w:sz="6" w:space="0" w:color="231F20"/>
              <w:right w:val="single" w:sz="6" w:space="0" w:color="231F20"/>
            </w:tcBorders>
          </w:tcPr>
          <w:p w14:paraId="665D7AC2" w14:textId="77777777" w:rsidR="009948F1" w:rsidRDefault="009948F1">
            <w:pPr>
              <w:pStyle w:val="TableParagraph"/>
              <w:spacing w:before="9"/>
              <w:rPr>
                <w:sz w:val="14"/>
              </w:rPr>
            </w:pPr>
          </w:p>
          <w:p w14:paraId="2B3B497B" w14:textId="77777777" w:rsidR="009948F1" w:rsidRDefault="00BC0563">
            <w:pPr>
              <w:pStyle w:val="TableParagraph"/>
              <w:spacing w:before="1"/>
              <w:ind w:left="32" w:right="21"/>
              <w:jc w:val="center"/>
              <w:rPr>
                <w:sz w:val="16"/>
              </w:rPr>
            </w:pPr>
            <w:r>
              <w:rPr>
                <w:color w:val="231F20"/>
                <w:w w:val="75"/>
                <w:sz w:val="16"/>
              </w:rPr>
              <w:t>11.1.7.c</w:t>
            </w:r>
          </w:p>
        </w:tc>
        <w:tc>
          <w:tcPr>
            <w:tcW w:w="5053" w:type="dxa"/>
            <w:gridSpan w:val="2"/>
            <w:tcBorders>
              <w:left w:val="single" w:sz="6" w:space="0" w:color="231F20"/>
              <w:right w:val="single" w:sz="6" w:space="0" w:color="231F20"/>
            </w:tcBorders>
          </w:tcPr>
          <w:p w14:paraId="1C7EC7D5" w14:textId="77777777" w:rsidR="009948F1" w:rsidRDefault="00BC0563">
            <w:pPr>
              <w:pStyle w:val="TableParagraph"/>
              <w:spacing w:before="65" w:line="261" w:lineRule="auto"/>
              <w:ind w:left="25" w:right="316"/>
              <w:rPr>
                <w:sz w:val="16"/>
              </w:rPr>
            </w:pPr>
            <w:r>
              <w:rPr>
                <w:color w:val="231F20"/>
                <w:w w:val="80"/>
                <w:sz w:val="16"/>
              </w:rPr>
              <w:t>Provision</w:t>
            </w:r>
            <w:r>
              <w:rPr>
                <w:color w:val="231F20"/>
                <w:spacing w:val="-17"/>
                <w:w w:val="80"/>
                <w:sz w:val="16"/>
              </w:rPr>
              <w:t xml:space="preserve"> </w:t>
            </w:r>
            <w:r>
              <w:rPr>
                <w:color w:val="231F20"/>
                <w:w w:val="80"/>
                <w:sz w:val="16"/>
              </w:rPr>
              <w:t>and</w:t>
            </w:r>
            <w:r>
              <w:rPr>
                <w:color w:val="231F20"/>
                <w:spacing w:val="-17"/>
                <w:w w:val="80"/>
                <w:sz w:val="16"/>
              </w:rPr>
              <w:t xml:space="preserve"> </w:t>
            </w:r>
            <w:r>
              <w:rPr>
                <w:color w:val="231F20"/>
                <w:w w:val="80"/>
                <w:sz w:val="16"/>
              </w:rPr>
              <w:t>distribution</w:t>
            </w:r>
            <w:r>
              <w:rPr>
                <w:color w:val="231F20"/>
                <w:spacing w:val="-17"/>
                <w:w w:val="80"/>
                <w:sz w:val="16"/>
              </w:rPr>
              <w:t xml:space="preserve"> </w:t>
            </w:r>
            <w:r>
              <w:rPr>
                <w:color w:val="231F20"/>
                <w:w w:val="80"/>
                <w:sz w:val="16"/>
              </w:rPr>
              <w:t>of</w:t>
            </w:r>
            <w:r>
              <w:rPr>
                <w:color w:val="231F20"/>
                <w:spacing w:val="-17"/>
                <w:w w:val="80"/>
                <w:sz w:val="16"/>
              </w:rPr>
              <w:t xml:space="preserve"> </w:t>
            </w:r>
            <w:r>
              <w:rPr>
                <w:color w:val="231F20"/>
                <w:w w:val="80"/>
                <w:sz w:val="16"/>
              </w:rPr>
              <w:t>sharp</w:t>
            </w:r>
            <w:r>
              <w:rPr>
                <w:color w:val="231F20"/>
                <w:spacing w:val="-16"/>
                <w:w w:val="80"/>
                <w:sz w:val="16"/>
              </w:rPr>
              <w:t xml:space="preserve"> </w:t>
            </w:r>
            <w:r>
              <w:rPr>
                <w:color w:val="231F20"/>
                <w:w w:val="80"/>
                <w:sz w:val="16"/>
              </w:rPr>
              <w:t>boxes</w:t>
            </w:r>
            <w:r>
              <w:rPr>
                <w:color w:val="231F20"/>
                <w:spacing w:val="-17"/>
                <w:w w:val="80"/>
                <w:sz w:val="16"/>
              </w:rPr>
              <w:t xml:space="preserve"> </w:t>
            </w:r>
            <w:r>
              <w:rPr>
                <w:color w:val="231F20"/>
                <w:w w:val="80"/>
                <w:sz w:val="16"/>
              </w:rPr>
              <w:t>and</w:t>
            </w:r>
            <w:r>
              <w:rPr>
                <w:color w:val="231F20"/>
                <w:spacing w:val="-17"/>
                <w:w w:val="80"/>
                <w:sz w:val="16"/>
              </w:rPr>
              <w:t xml:space="preserve"> </w:t>
            </w:r>
            <w:r>
              <w:rPr>
                <w:color w:val="231F20"/>
                <w:w w:val="80"/>
                <w:sz w:val="16"/>
              </w:rPr>
              <w:t>consumables</w:t>
            </w:r>
            <w:r>
              <w:rPr>
                <w:color w:val="231F20"/>
                <w:spacing w:val="-17"/>
                <w:w w:val="80"/>
                <w:sz w:val="16"/>
              </w:rPr>
              <w:t xml:space="preserve"> </w:t>
            </w:r>
            <w:r>
              <w:rPr>
                <w:color w:val="231F20"/>
                <w:w w:val="80"/>
                <w:sz w:val="16"/>
              </w:rPr>
              <w:t>to</w:t>
            </w:r>
            <w:r>
              <w:rPr>
                <w:color w:val="231F20"/>
                <w:spacing w:val="-17"/>
                <w:w w:val="80"/>
                <w:sz w:val="16"/>
              </w:rPr>
              <w:t xml:space="preserve"> </w:t>
            </w:r>
            <w:r>
              <w:rPr>
                <w:color w:val="231F20"/>
                <w:w w:val="80"/>
                <w:sz w:val="16"/>
              </w:rPr>
              <w:t>all</w:t>
            </w:r>
            <w:r>
              <w:rPr>
                <w:color w:val="231F20"/>
                <w:spacing w:val="-16"/>
                <w:w w:val="80"/>
                <w:sz w:val="16"/>
              </w:rPr>
              <w:t xml:space="preserve"> </w:t>
            </w:r>
            <w:r>
              <w:rPr>
                <w:color w:val="231F20"/>
                <w:w w:val="80"/>
                <w:sz w:val="16"/>
              </w:rPr>
              <w:t>Health</w:t>
            </w:r>
            <w:r>
              <w:rPr>
                <w:color w:val="231F20"/>
                <w:spacing w:val="-17"/>
                <w:w w:val="80"/>
                <w:sz w:val="16"/>
              </w:rPr>
              <w:t xml:space="preserve"> </w:t>
            </w:r>
            <w:r>
              <w:rPr>
                <w:color w:val="231F20"/>
                <w:w w:val="80"/>
                <w:sz w:val="16"/>
              </w:rPr>
              <w:t>facilities</w:t>
            </w:r>
            <w:r>
              <w:rPr>
                <w:color w:val="231F20"/>
                <w:spacing w:val="-17"/>
                <w:w w:val="80"/>
                <w:sz w:val="16"/>
              </w:rPr>
              <w:t xml:space="preserve"> </w:t>
            </w:r>
            <w:r>
              <w:rPr>
                <w:color w:val="231F20"/>
                <w:w w:val="80"/>
                <w:sz w:val="16"/>
              </w:rPr>
              <w:t>in</w:t>
            </w:r>
            <w:r>
              <w:rPr>
                <w:color w:val="231F20"/>
                <w:spacing w:val="-17"/>
                <w:w w:val="80"/>
                <w:sz w:val="16"/>
              </w:rPr>
              <w:t xml:space="preserve"> </w:t>
            </w:r>
            <w:r>
              <w:rPr>
                <w:color w:val="231F20"/>
                <w:w w:val="80"/>
                <w:sz w:val="16"/>
              </w:rPr>
              <w:t xml:space="preserve">the </w:t>
            </w:r>
            <w:r>
              <w:rPr>
                <w:color w:val="231F20"/>
                <w:w w:val="85"/>
                <w:sz w:val="16"/>
              </w:rPr>
              <w:t>State</w:t>
            </w:r>
          </w:p>
        </w:tc>
        <w:tc>
          <w:tcPr>
            <w:tcW w:w="1473" w:type="dxa"/>
            <w:tcBorders>
              <w:left w:val="single" w:sz="6" w:space="0" w:color="231F20"/>
              <w:right w:val="single" w:sz="6" w:space="0" w:color="231F20"/>
            </w:tcBorders>
          </w:tcPr>
          <w:p w14:paraId="46C4E92E" w14:textId="77777777" w:rsidR="009948F1" w:rsidRDefault="009948F1">
            <w:pPr>
              <w:pStyle w:val="TableParagraph"/>
              <w:spacing w:before="9"/>
              <w:rPr>
                <w:sz w:val="14"/>
              </w:rPr>
            </w:pPr>
          </w:p>
          <w:p w14:paraId="0B326966" w14:textId="77777777" w:rsidR="009948F1" w:rsidRDefault="00BC0563">
            <w:pPr>
              <w:pStyle w:val="TableParagraph"/>
              <w:spacing w:before="1"/>
              <w:ind w:left="24"/>
              <w:rPr>
                <w:sz w:val="16"/>
              </w:rPr>
            </w:pPr>
            <w:r>
              <w:rPr>
                <w:color w:val="231F20"/>
                <w:w w:val="85"/>
                <w:sz w:val="16"/>
              </w:rPr>
              <w:t>Lack of funds</w:t>
            </w:r>
          </w:p>
        </w:tc>
        <w:tc>
          <w:tcPr>
            <w:tcW w:w="1554" w:type="dxa"/>
            <w:tcBorders>
              <w:left w:val="single" w:sz="6" w:space="0" w:color="231F20"/>
              <w:right w:val="single" w:sz="6" w:space="0" w:color="231F20"/>
            </w:tcBorders>
          </w:tcPr>
          <w:p w14:paraId="28021FCF" w14:textId="77777777" w:rsidR="009948F1" w:rsidRDefault="009948F1">
            <w:pPr>
              <w:pStyle w:val="TableParagraph"/>
              <w:spacing w:before="9"/>
              <w:rPr>
                <w:sz w:val="14"/>
              </w:rPr>
            </w:pPr>
          </w:p>
          <w:p w14:paraId="748B130D" w14:textId="77777777" w:rsidR="009948F1" w:rsidRDefault="00BC0563">
            <w:pPr>
              <w:pStyle w:val="TableParagraph"/>
              <w:spacing w:before="1"/>
              <w:ind w:left="24"/>
              <w:rPr>
                <w:sz w:val="16"/>
              </w:rPr>
            </w:pPr>
            <w:r>
              <w:rPr>
                <w:color w:val="231F20"/>
                <w:w w:val="85"/>
                <w:sz w:val="16"/>
              </w:rPr>
              <w:t>Costed in OHT</w:t>
            </w:r>
          </w:p>
        </w:tc>
      </w:tr>
      <w:tr w:rsidR="009948F1" w14:paraId="5D968894" w14:textId="77777777">
        <w:trPr>
          <w:trHeight w:val="1024"/>
        </w:trPr>
        <w:tc>
          <w:tcPr>
            <w:tcW w:w="473" w:type="dxa"/>
            <w:tcBorders>
              <w:right w:val="single" w:sz="6" w:space="0" w:color="231F20"/>
            </w:tcBorders>
            <w:shd w:val="clear" w:color="auto" w:fill="CCE7D3"/>
          </w:tcPr>
          <w:p w14:paraId="7FA6EEBD" w14:textId="77777777" w:rsidR="009948F1" w:rsidRDefault="009948F1">
            <w:pPr>
              <w:pStyle w:val="TableParagraph"/>
              <w:rPr>
                <w:sz w:val="16"/>
              </w:rPr>
            </w:pPr>
          </w:p>
          <w:p w14:paraId="4221CCFC" w14:textId="77777777" w:rsidR="009948F1" w:rsidRDefault="009948F1">
            <w:pPr>
              <w:pStyle w:val="TableParagraph"/>
              <w:spacing w:before="4"/>
              <w:rPr>
                <w:sz w:val="20"/>
              </w:rPr>
            </w:pPr>
          </w:p>
          <w:p w14:paraId="25C1B0FF" w14:textId="77777777" w:rsidR="009948F1" w:rsidRDefault="00BC0563">
            <w:pPr>
              <w:pStyle w:val="TableParagraph"/>
              <w:ind w:left="60"/>
              <w:rPr>
                <w:sz w:val="16"/>
              </w:rPr>
            </w:pPr>
            <w:r>
              <w:rPr>
                <w:color w:val="231F20"/>
                <w:w w:val="85"/>
                <w:sz w:val="16"/>
              </w:rPr>
              <w:t>11.1.8</w:t>
            </w:r>
          </w:p>
        </w:tc>
        <w:tc>
          <w:tcPr>
            <w:tcW w:w="3135" w:type="dxa"/>
            <w:gridSpan w:val="2"/>
            <w:tcBorders>
              <w:left w:val="single" w:sz="6" w:space="0" w:color="231F20"/>
              <w:right w:val="single" w:sz="6" w:space="0" w:color="231F20"/>
            </w:tcBorders>
            <w:shd w:val="clear" w:color="auto" w:fill="CCE7D3"/>
          </w:tcPr>
          <w:p w14:paraId="12AFEB20" w14:textId="77777777" w:rsidR="009948F1" w:rsidRDefault="009948F1">
            <w:pPr>
              <w:pStyle w:val="TableParagraph"/>
              <w:rPr>
                <w:sz w:val="16"/>
              </w:rPr>
            </w:pPr>
          </w:p>
          <w:p w14:paraId="01DBDEDB" w14:textId="77777777" w:rsidR="009948F1" w:rsidRDefault="00BC0563">
            <w:pPr>
              <w:pStyle w:val="TableParagraph"/>
              <w:spacing w:before="127" w:line="261" w:lineRule="auto"/>
              <w:ind w:left="25" w:right="148" w:firstLine="34"/>
              <w:rPr>
                <w:sz w:val="16"/>
              </w:rPr>
            </w:pPr>
            <w:r>
              <w:rPr>
                <w:color w:val="231F20"/>
                <w:w w:val="80"/>
                <w:sz w:val="16"/>
              </w:rPr>
              <w:t>Strengthen</w:t>
            </w:r>
            <w:r>
              <w:rPr>
                <w:color w:val="231F20"/>
                <w:spacing w:val="-22"/>
                <w:w w:val="80"/>
                <w:sz w:val="16"/>
              </w:rPr>
              <w:t xml:space="preserve"> </w:t>
            </w:r>
            <w:r>
              <w:rPr>
                <w:color w:val="231F20"/>
                <w:w w:val="80"/>
                <w:sz w:val="16"/>
              </w:rPr>
              <w:t>the</w:t>
            </w:r>
            <w:r>
              <w:rPr>
                <w:color w:val="231F20"/>
                <w:spacing w:val="-22"/>
                <w:w w:val="80"/>
                <w:sz w:val="16"/>
              </w:rPr>
              <w:t xml:space="preserve"> </w:t>
            </w:r>
            <w:r>
              <w:rPr>
                <w:color w:val="231F20"/>
                <w:w w:val="80"/>
                <w:sz w:val="16"/>
              </w:rPr>
              <w:t>development</w:t>
            </w:r>
            <w:r>
              <w:rPr>
                <w:color w:val="231F20"/>
                <w:spacing w:val="-22"/>
                <w:w w:val="80"/>
                <w:sz w:val="16"/>
              </w:rPr>
              <w:t xml:space="preserve"> </w:t>
            </w:r>
            <w:r>
              <w:rPr>
                <w:color w:val="231F20"/>
                <w:w w:val="80"/>
                <w:sz w:val="16"/>
              </w:rPr>
              <w:t>of</w:t>
            </w:r>
            <w:r>
              <w:rPr>
                <w:color w:val="231F20"/>
                <w:spacing w:val="-22"/>
                <w:w w:val="80"/>
                <w:sz w:val="16"/>
              </w:rPr>
              <w:t xml:space="preserve"> </w:t>
            </w:r>
            <w:r>
              <w:rPr>
                <w:color w:val="231F20"/>
                <w:w w:val="80"/>
                <w:sz w:val="16"/>
              </w:rPr>
              <w:t>traditional</w:t>
            </w:r>
            <w:r>
              <w:rPr>
                <w:color w:val="231F20"/>
                <w:spacing w:val="-22"/>
                <w:w w:val="80"/>
                <w:sz w:val="16"/>
              </w:rPr>
              <w:t xml:space="preserve"> </w:t>
            </w:r>
            <w:r>
              <w:rPr>
                <w:color w:val="231F20"/>
                <w:w w:val="80"/>
                <w:sz w:val="16"/>
              </w:rPr>
              <w:t>medicine</w:t>
            </w:r>
            <w:r>
              <w:rPr>
                <w:color w:val="231F20"/>
                <w:spacing w:val="-22"/>
                <w:w w:val="80"/>
                <w:sz w:val="16"/>
              </w:rPr>
              <w:t xml:space="preserve"> </w:t>
            </w:r>
            <w:r>
              <w:rPr>
                <w:color w:val="231F20"/>
                <w:w w:val="80"/>
                <w:sz w:val="16"/>
              </w:rPr>
              <w:t xml:space="preserve">in </w:t>
            </w:r>
            <w:r>
              <w:rPr>
                <w:color w:val="231F20"/>
                <w:w w:val="85"/>
                <w:sz w:val="16"/>
              </w:rPr>
              <w:t>Nigeria</w:t>
            </w:r>
          </w:p>
        </w:tc>
        <w:tc>
          <w:tcPr>
            <w:tcW w:w="2461" w:type="dxa"/>
            <w:tcBorders>
              <w:left w:val="single" w:sz="6" w:space="0" w:color="231F20"/>
              <w:right w:val="single" w:sz="6" w:space="0" w:color="231F20"/>
            </w:tcBorders>
            <w:shd w:val="clear" w:color="auto" w:fill="CCE7D3"/>
          </w:tcPr>
          <w:p w14:paraId="6B011BD2" w14:textId="77777777" w:rsidR="009948F1" w:rsidRDefault="00BC0563">
            <w:pPr>
              <w:pStyle w:val="TableParagraph"/>
              <w:numPr>
                <w:ilvl w:val="0"/>
                <w:numId w:val="39"/>
              </w:numPr>
              <w:tabs>
                <w:tab w:val="left" w:pos="70"/>
              </w:tabs>
              <w:spacing w:before="17" w:line="261" w:lineRule="auto"/>
              <w:ind w:right="255" w:firstLine="0"/>
              <w:rPr>
                <w:sz w:val="16"/>
              </w:rPr>
            </w:pPr>
            <w:r>
              <w:rPr>
                <w:color w:val="231F20"/>
                <w:w w:val="75"/>
                <w:sz w:val="16"/>
              </w:rPr>
              <w:t xml:space="preserve">Traditional Medicine Board revived and </w:t>
            </w:r>
            <w:r>
              <w:rPr>
                <w:color w:val="231F20"/>
                <w:w w:val="85"/>
                <w:sz w:val="16"/>
              </w:rPr>
              <w:t>periodic meeting</w:t>
            </w:r>
            <w:r>
              <w:rPr>
                <w:color w:val="231F20"/>
                <w:spacing w:val="-17"/>
                <w:w w:val="85"/>
                <w:sz w:val="16"/>
              </w:rPr>
              <w:t xml:space="preserve"> </w:t>
            </w:r>
            <w:r>
              <w:rPr>
                <w:color w:val="231F20"/>
                <w:w w:val="85"/>
                <w:sz w:val="16"/>
              </w:rPr>
              <w:t>held</w:t>
            </w:r>
          </w:p>
          <w:p w14:paraId="24954433" w14:textId="77777777" w:rsidR="009948F1" w:rsidRDefault="00BC0563">
            <w:pPr>
              <w:pStyle w:val="TableParagraph"/>
              <w:numPr>
                <w:ilvl w:val="0"/>
                <w:numId w:val="39"/>
              </w:numPr>
              <w:tabs>
                <w:tab w:val="left" w:pos="70"/>
              </w:tabs>
              <w:spacing w:line="261" w:lineRule="auto"/>
              <w:ind w:right="248" w:firstLine="0"/>
              <w:rPr>
                <w:sz w:val="16"/>
              </w:rPr>
            </w:pPr>
            <w:r>
              <w:rPr>
                <w:color w:val="231F20"/>
                <w:w w:val="75"/>
                <w:sz w:val="16"/>
              </w:rPr>
              <w:t xml:space="preserve">Traditional medicine practitioners in the </w:t>
            </w:r>
            <w:r>
              <w:rPr>
                <w:color w:val="231F20"/>
                <w:w w:val="85"/>
                <w:sz w:val="16"/>
              </w:rPr>
              <w:t>State</w:t>
            </w:r>
            <w:r>
              <w:rPr>
                <w:color w:val="231F20"/>
                <w:spacing w:val="-7"/>
                <w:w w:val="85"/>
                <w:sz w:val="16"/>
              </w:rPr>
              <w:t xml:space="preserve"> </w:t>
            </w:r>
            <w:r>
              <w:rPr>
                <w:color w:val="231F20"/>
                <w:w w:val="85"/>
                <w:sz w:val="16"/>
              </w:rPr>
              <w:t>trained</w:t>
            </w:r>
          </w:p>
          <w:p w14:paraId="0D661B24" w14:textId="77777777" w:rsidR="009948F1" w:rsidRDefault="00BC0563">
            <w:pPr>
              <w:pStyle w:val="TableParagraph"/>
              <w:numPr>
                <w:ilvl w:val="0"/>
                <w:numId w:val="39"/>
              </w:numPr>
              <w:tabs>
                <w:tab w:val="left" w:pos="103"/>
              </w:tabs>
              <w:spacing w:line="184" w:lineRule="exact"/>
              <w:ind w:left="102" w:hanging="78"/>
              <w:rPr>
                <w:sz w:val="16"/>
              </w:rPr>
            </w:pPr>
            <w:r>
              <w:rPr>
                <w:color w:val="231F20"/>
                <w:w w:val="85"/>
                <w:sz w:val="16"/>
              </w:rPr>
              <w:t>Regulatory agency</w:t>
            </w:r>
            <w:r>
              <w:rPr>
                <w:color w:val="231F20"/>
                <w:spacing w:val="-26"/>
                <w:w w:val="85"/>
                <w:sz w:val="16"/>
              </w:rPr>
              <w:t xml:space="preserve"> </w:t>
            </w:r>
            <w:r>
              <w:rPr>
                <w:color w:val="231F20"/>
                <w:w w:val="85"/>
                <w:sz w:val="16"/>
              </w:rPr>
              <w:t>established</w:t>
            </w:r>
          </w:p>
        </w:tc>
        <w:tc>
          <w:tcPr>
            <w:tcW w:w="1473" w:type="dxa"/>
            <w:tcBorders>
              <w:left w:val="single" w:sz="6" w:space="0" w:color="231F20"/>
              <w:right w:val="single" w:sz="6" w:space="0" w:color="231F20"/>
            </w:tcBorders>
            <w:shd w:val="clear" w:color="auto" w:fill="CCE7D3"/>
          </w:tcPr>
          <w:p w14:paraId="212BF9EA" w14:textId="77777777" w:rsidR="009948F1" w:rsidRDefault="009948F1">
            <w:pPr>
              <w:pStyle w:val="TableParagraph"/>
              <w:rPr>
                <w:rFonts w:ascii="Times New Roman"/>
                <w:sz w:val="12"/>
              </w:rPr>
            </w:pPr>
          </w:p>
        </w:tc>
        <w:tc>
          <w:tcPr>
            <w:tcW w:w="1554" w:type="dxa"/>
            <w:tcBorders>
              <w:left w:val="single" w:sz="6" w:space="0" w:color="231F20"/>
              <w:right w:val="single" w:sz="6" w:space="0" w:color="231F20"/>
            </w:tcBorders>
            <w:shd w:val="clear" w:color="auto" w:fill="CCE7D3"/>
          </w:tcPr>
          <w:p w14:paraId="2F1F4493" w14:textId="77777777" w:rsidR="009948F1" w:rsidRDefault="009948F1">
            <w:pPr>
              <w:pStyle w:val="TableParagraph"/>
              <w:rPr>
                <w:rFonts w:ascii="Times New Roman"/>
                <w:sz w:val="12"/>
              </w:rPr>
            </w:pPr>
          </w:p>
        </w:tc>
      </w:tr>
      <w:tr w:rsidR="009948F1" w14:paraId="594D2132" w14:textId="77777777">
        <w:trPr>
          <w:trHeight w:val="442"/>
        </w:trPr>
        <w:tc>
          <w:tcPr>
            <w:tcW w:w="473" w:type="dxa"/>
            <w:vMerge w:val="restart"/>
            <w:tcBorders>
              <w:right w:val="single" w:sz="6" w:space="0" w:color="231F20"/>
            </w:tcBorders>
          </w:tcPr>
          <w:p w14:paraId="7302730C" w14:textId="77777777" w:rsidR="009948F1" w:rsidRDefault="009948F1">
            <w:pPr>
              <w:pStyle w:val="TableParagraph"/>
              <w:rPr>
                <w:rFonts w:ascii="Times New Roman"/>
                <w:sz w:val="12"/>
              </w:rPr>
            </w:pPr>
          </w:p>
        </w:tc>
        <w:tc>
          <w:tcPr>
            <w:tcW w:w="543" w:type="dxa"/>
            <w:tcBorders>
              <w:left w:val="single" w:sz="6" w:space="0" w:color="231F20"/>
              <w:right w:val="single" w:sz="6" w:space="0" w:color="231F20"/>
            </w:tcBorders>
          </w:tcPr>
          <w:p w14:paraId="40049908" w14:textId="77777777" w:rsidR="009948F1" w:rsidRDefault="00BC0563">
            <w:pPr>
              <w:pStyle w:val="TableParagraph"/>
              <w:spacing w:before="127"/>
              <w:ind w:left="32" w:right="21"/>
              <w:jc w:val="center"/>
              <w:rPr>
                <w:sz w:val="16"/>
              </w:rPr>
            </w:pPr>
            <w:r>
              <w:rPr>
                <w:color w:val="231F20"/>
                <w:w w:val="75"/>
                <w:sz w:val="16"/>
              </w:rPr>
              <w:t>11.1.8.a</w:t>
            </w:r>
          </w:p>
        </w:tc>
        <w:tc>
          <w:tcPr>
            <w:tcW w:w="5053" w:type="dxa"/>
            <w:gridSpan w:val="2"/>
            <w:tcBorders>
              <w:left w:val="single" w:sz="6" w:space="0" w:color="231F20"/>
              <w:right w:val="single" w:sz="6" w:space="0" w:color="231F20"/>
            </w:tcBorders>
          </w:tcPr>
          <w:p w14:paraId="0B6FA38C" w14:textId="77777777" w:rsidR="009948F1" w:rsidRDefault="00BC0563">
            <w:pPr>
              <w:pStyle w:val="TableParagraph"/>
              <w:spacing w:before="21" w:line="261" w:lineRule="auto"/>
              <w:ind w:left="25" w:right="580"/>
              <w:rPr>
                <w:sz w:val="16"/>
              </w:rPr>
            </w:pPr>
            <w:r>
              <w:rPr>
                <w:color w:val="231F20"/>
                <w:w w:val="80"/>
                <w:sz w:val="16"/>
              </w:rPr>
              <w:t>Revive</w:t>
            </w:r>
            <w:r>
              <w:rPr>
                <w:color w:val="231F20"/>
                <w:spacing w:val="-21"/>
                <w:w w:val="80"/>
                <w:sz w:val="16"/>
              </w:rPr>
              <w:t xml:space="preserve"> </w:t>
            </w:r>
            <w:r>
              <w:rPr>
                <w:color w:val="231F20"/>
                <w:w w:val="80"/>
                <w:sz w:val="16"/>
              </w:rPr>
              <w:t>Traditional</w:t>
            </w:r>
            <w:r>
              <w:rPr>
                <w:color w:val="231F20"/>
                <w:spacing w:val="-19"/>
                <w:w w:val="80"/>
                <w:sz w:val="16"/>
              </w:rPr>
              <w:t xml:space="preserve"> </w:t>
            </w:r>
            <w:r>
              <w:rPr>
                <w:color w:val="231F20"/>
                <w:w w:val="80"/>
                <w:sz w:val="16"/>
              </w:rPr>
              <w:t>Medicine</w:t>
            </w:r>
            <w:r>
              <w:rPr>
                <w:color w:val="231F20"/>
                <w:spacing w:val="-19"/>
                <w:w w:val="80"/>
                <w:sz w:val="16"/>
              </w:rPr>
              <w:t xml:space="preserve"> </w:t>
            </w:r>
            <w:r>
              <w:rPr>
                <w:color w:val="231F20"/>
                <w:w w:val="80"/>
                <w:sz w:val="16"/>
              </w:rPr>
              <w:t>Board</w:t>
            </w:r>
            <w:r>
              <w:rPr>
                <w:color w:val="231F20"/>
                <w:spacing w:val="-19"/>
                <w:w w:val="80"/>
                <w:sz w:val="16"/>
              </w:rPr>
              <w:t xml:space="preserve"> </w:t>
            </w:r>
            <w:r>
              <w:rPr>
                <w:color w:val="231F20"/>
                <w:w w:val="80"/>
                <w:sz w:val="16"/>
              </w:rPr>
              <w:t>(TMB)</w:t>
            </w:r>
            <w:r>
              <w:rPr>
                <w:color w:val="231F20"/>
                <w:spacing w:val="-19"/>
                <w:w w:val="80"/>
                <w:sz w:val="16"/>
              </w:rPr>
              <w:t xml:space="preserve"> </w:t>
            </w:r>
            <w:r>
              <w:rPr>
                <w:color w:val="231F20"/>
                <w:w w:val="80"/>
                <w:sz w:val="16"/>
              </w:rPr>
              <w:t>and</w:t>
            </w:r>
            <w:r>
              <w:rPr>
                <w:color w:val="231F20"/>
                <w:spacing w:val="-19"/>
                <w:w w:val="80"/>
                <w:sz w:val="16"/>
              </w:rPr>
              <w:t xml:space="preserve"> </w:t>
            </w:r>
            <w:r>
              <w:rPr>
                <w:color w:val="231F20"/>
                <w:w w:val="80"/>
                <w:sz w:val="16"/>
              </w:rPr>
              <w:t>hold</w:t>
            </w:r>
            <w:r>
              <w:rPr>
                <w:color w:val="231F20"/>
                <w:spacing w:val="-19"/>
                <w:w w:val="80"/>
                <w:sz w:val="16"/>
              </w:rPr>
              <w:t xml:space="preserve"> </w:t>
            </w:r>
            <w:r>
              <w:rPr>
                <w:color w:val="231F20"/>
                <w:w w:val="80"/>
                <w:sz w:val="16"/>
              </w:rPr>
              <w:t>periodic</w:t>
            </w:r>
            <w:r>
              <w:rPr>
                <w:color w:val="231F20"/>
                <w:spacing w:val="-19"/>
                <w:w w:val="80"/>
                <w:sz w:val="16"/>
              </w:rPr>
              <w:t xml:space="preserve"> </w:t>
            </w:r>
            <w:r>
              <w:rPr>
                <w:color w:val="231F20"/>
                <w:w w:val="80"/>
                <w:sz w:val="16"/>
              </w:rPr>
              <w:t>meeting</w:t>
            </w:r>
            <w:r>
              <w:rPr>
                <w:color w:val="231F20"/>
                <w:spacing w:val="-19"/>
                <w:w w:val="80"/>
                <w:sz w:val="16"/>
              </w:rPr>
              <w:t xml:space="preserve"> </w:t>
            </w:r>
            <w:r>
              <w:rPr>
                <w:color w:val="231F20"/>
                <w:w w:val="80"/>
                <w:sz w:val="16"/>
              </w:rPr>
              <w:t>to</w:t>
            </w:r>
            <w:r>
              <w:rPr>
                <w:color w:val="231F20"/>
                <w:spacing w:val="-19"/>
                <w:w w:val="80"/>
                <w:sz w:val="16"/>
              </w:rPr>
              <w:t xml:space="preserve"> </w:t>
            </w:r>
            <w:r>
              <w:rPr>
                <w:color w:val="231F20"/>
                <w:w w:val="80"/>
                <w:sz w:val="16"/>
              </w:rPr>
              <w:t>ensure</w:t>
            </w:r>
            <w:r>
              <w:rPr>
                <w:color w:val="231F20"/>
                <w:spacing w:val="-20"/>
                <w:w w:val="80"/>
                <w:sz w:val="16"/>
              </w:rPr>
              <w:t xml:space="preserve"> </w:t>
            </w:r>
            <w:r>
              <w:rPr>
                <w:color w:val="231F20"/>
                <w:w w:val="80"/>
                <w:sz w:val="16"/>
              </w:rPr>
              <w:t>the implementation</w:t>
            </w:r>
            <w:r>
              <w:rPr>
                <w:color w:val="231F20"/>
                <w:spacing w:val="-17"/>
                <w:w w:val="80"/>
                <w:sz w:val="16"/>
              </w:rPr>
              <w:t xml:space="preserve"> </w:t>
            </w:r>
            <w:r>
              <w:rPr>
                <w:color w:val="231F20"/>
                <w:w w:val="80"/>
                <w:sz w:val="16"/>
              </w:rPr>
              <w:t>of</w:t>
            </w:r>
            <w:r>
              <w:rPr>
                <w:color w:val="231F20"/>
                <w:spacing w:val="-16"/>
                <w:w w:val="80"/>
                <w:sz w:val="16"/>
              </w:rPr>
              <w:t xml:space="preserve"> </w:t>
            </w:r>
            <w:r>
              <w:rPr>
                <w:color w:val="231F20"/>
                <w:w w:val="80"/>
                <w:sz w:val="16"/>
              </w:rPr>
              <w:t>the</w:t>
            </w:r>
            <w:r>
              <w:rPr>
                <w:color w:val="231F20"/>
                <w:spacing w:val="-18"/>
                <w:w w:val="80"/>
                <w:sz w:val="16"/>
              </w:rPr>
              <w:t xml:space="preserve"> </w:t>
            </w:r>
            <w:r>
              <w:rPr>
                <w:color w:val="231F20"/>
                <w:w w:val="80"/>
                <w:sz w:val="16"/>
              </w:rPr>
              <w:t>Traditional</w:t>
            </w:r>
            <w:r>
              <w:rPr>
                <w:color w:val="231F20"/>
                <w:spacing w:val="-16"/>
                <w:w w:val="80"/>
                <w:sz w:val="16"/>
              </w:rPr>
              <w:t xml:space="preserve"> </w:t>
            </w:r>
            <w:r>
              <w:rPr>
                <w:color w:val="231F20"/>
                <w:w w:val="80"/>
                <w:sz w:val="16"/>
              </w:rPr>
              <w:t>Medicine</w:t>
            </w:r>
            <w:r>
              <w:rPr>
                <w:color w:val="231F20"/>
                <w:spacing w:val="-17"/>
                <w:w w:val="80"/>
                <w:sz w:val="16"/>
              </w:rPr>
              <w:t xml:space="preserve"> </w:t>
            </w:r>
            <w:r>
              <w:rPr>
                <w:color w:val="231F20"/>
                <w:w w:val="80"/>
                <w:sz w:val="16"/>
              </w:rPr>
              <w:t>Policy</w:t>
            </w:r>
            <w:r>
              <w:rPr>
                <w:color w:val="231F20"/>
                <w:spacing w:val="-16"/>
                <w:w w:val="80"/>
                <w:sz w:val="16"/>
              </w:rPr>
              <w:t xml:space="preserve"> </w:t>
            </w:r>
            <w:r>
              <w:rPr>
                <w:color w:val="231F20"/>
                <w:w w:val="80"/>
                <w:sz w:val="16"/>
              </w:rPr>
              <w:t>guidelines</w:t>
            </w:r>
            <w:r>
              <w:rPr>
                <w:color w:val="231F20"/>
                <w:spacing w:val="-16"/>
                <w:w w:val="80"/>
                <w:sz w:val="16"/>
              </w:rPr>
              <w:t xml:space="preserve"> </w:t>
            </w:r>
            <w:r>
              <w:rPr>
                <w:color w:val="231F20"/>
                <w:w w:val="80"/>
                <w:sz w:val="16"/>
              </w:rPr>
              <w:t>in</w:t>
            </w:r>
            <w:r>
              <w:rPr>
                <w:color w:val="231F20"/>
                <w:spacing w:val="-17"/>
                <w:w w:val="80"/>
                <w:sz w:val="16"/>
              </w:rPr>
              <w:t xml:space="preserve"> </w:t>
            </w:r>
            <w:r>
              <w:rPr>
                <w:color w:val="231F20"/>
                <w:w w:val="80"/>
                <w:sz w:val="16"/>
              </w:rPr>
              <w:t>the</w:t>
            </w:r>
            <w:r>
              <w:rPr>
                <w:color w:val="231F20"/>
                <w:spacing w:val="-16"/>
                <w:w w:val="80"/>
                <w:sz w:val="16"/>
              </w:rPr>
              <w:t xml:space="preserve"> </w:t>
            </w:r>
            <w:r>
              <w:rPr>
                <w:color w:val="231F20"/>
                <w:w w:val="80"/>
                <w:sz w:val="16"/>
              </w:rPr>
              <w:t>State</w:t>
            </w:r>
            <w:r>
              <w:rPr>
                <w:color w:val="231F20"/>
                <w:spacing w:val="-17"/>
                <w:w w:val="80"/>
                <w:sz w:val="16"/>
              </w:rPr>
              <w:t xml:space="preserve"> </w:t>
            </w:r>
            <w:r>
              <w:rPr>
                <w:color w:val="231F20"/>
                <w:w w:val="80"/>
                <w:sz w:val="16"/>
              </w:rPr>
              <w:t>&amp;</w:t>
            </w:r>
            <w:r>
              <w:rPr>
                <w:color w:val="231F20"/>
                <w:spacing w:val="-16"/>
                <w:w w:val="80"/>
                <w:sz w:val="16"/>
              </w:rPr>
              <w:t xml:space="preserve"> </w:t>
            </w:r>
            <w:r>
              <w:rPr>
                <w:color w:val="231F20"/>
                <w:w w:val="80"/>
                <w:sz w:val="16"/>
              </w:rPr>
              <w:t>LGAs</w:t>
            </w:r>
          </w:p>
        </w:tc>
        <w:tc>
          <w:tcPr>
            <w:tcW w:w="1473" w:type="dxa"/>
            <w:tcBorders>
              <w:left w:val="single" w:sz="6" w:space="0" w:color="231F20"/>
              <w:right w:val="single" w:sz="6" w:space="0" w:color="231F20"/>
            </w:tcBorders>
          </w:tcPr>
          <w:p w14:paraId="54E1EAF4" w14:textId="77777777" w:rsidR="009948F1" w:rsidRDefault="00BC0563">
            <w:pPr>
              <w:pStyle w:val="TableParagraph"/>
              <w:spacing w:before="127"/>
              <w:ind w:left="24"/>
              <w:rPr>
                <w:sz w:val="16"/>
              </w:rPr>
            </w:pPr>
            <w:r>
              <w:rPr>
                <w:color w:val="231F20"/>
                <w:w w:val="85"/>
                <w:sz w:val="16"/>
              </w:rPr>
              <w:t>Lack of funds</w:t>
            </w:r>
          </w:p>
        </w:tc>
        <w:tc>
          <w:tcPr>
            <w:tcW w:w="1554" w:type="dxa"/>
            <w:tcBorders>
              <w:left w:val="single" w:sz="6" w:space="0" w:color="231F20"/>
              <w:right w:val="single" w:sz="6" w:space="0" w:color="231F20"/>
            </w:tcBorders>
          </w:tcPr>
          <w:p w14:paraId="79FF7C36" w14:textId="77777777" w:rsidR="009948F1" w:rsidRDefault="00BC0563">
            <w:pPr>
              <w:pStyle w:val="TableParagraph"/>
              <w:spacing w:before="11" w:line="200" w:lineRule="atLeast"/>
              <w:ind w:left="24"/>
              <w:rPr>
                <w:sz w:val="16"/>
              </w:rPr>
            </w:pPr>
            <w:r>
              <w:rPr>
                <w:color w:val="231F20"/>
                <w:w w:val="75"/>
                <w:sz w:val="16"/>
              </w:rPr>
              <w:t xml:space="preserve">Revive Traditional Medicine </w:t>
            </w:r>
            <w:r>
              <w:rPr>
                <w:color w:val="231F20"/>
                <w:w w:val="85"/>
                <w:sz w:val="16"/>
              </w:rPr>
              <w:t>Board</w:t>
            </w:r>
          </w:p>
        </w:tc>
      </w:tr>
      <w:tr w:rsidR="009948F1" w14:paraId="385282C1" w14:textId="77777777">
        <w:trPr>
          <w:trHeight w:val="369"/>
        </w:trPr>
        <w:tc>
          <w:tcPr>
            <w:tcW w:w="473" w:type="dxa"/>
            <w:vMerge/>
            <w:tcBorders>
              <w:top w:val="nil"/>
              <w:right w:val="single" w:sz="6" w:space="0" w:color="231F20"/>
            </w:tcBorders>
          </w:tcPr>
          <w:p w14:paraId="7EFF657C" w14:textId="77777777" w:rsidR="009948F1" w:rsidRDefault="009948F1">
            <w:pPr>
              <w:rPr>
                <w:sz w:val="2"/>
                <w:szCs w:val="2"/>
              </w:rPr>
            </w:pPr>
          </w:p>
        </w:tc>
        <w:tc>
          <w:tcPr>
            <w:tcW w:w="543" w:type="dxa"/>
            <w:tcBorders>
              <w:left w:val="single" w:sz="6" w:space="0" w:color="231F20"/>
              <w:right w:val="single" w:sz="6" w:space="0" w:color="231F20"/>
            </w:tcBorders>
          </w:tcPr>
          <w:p w14:paraId="26E53C96" w14:textId="77777777" w:rsidR="009948F1" w:rsidRDefault="00BC0563">
            <w:pPr>
              <w:pStyle w:val="TableParagraph"/>
              <w:spacing w:before="91"/>
              <w:ind w:left="32" w:right="21"/>
              <w:jc w:val="center"/>
              <w:rPr>
                <w:sz w:val="16"/>
              </w:rPr>
            </w:pPr>
            <w:r>
              <w:rPr>
                <w:color w:val="231F20"/>
                <w:w w:val="75"/>
                <w:sz w:val="16"/>
              </w:rPr>
              <w:t>11.1.8.b</w:t>
            </w:r>
          </w:p>
        </w:tc>
        <w:tc>
          <w:tcPr>
            <w:tcW w:w="5053" w:type="dxa"/>
            <w:gridSpan w:val="2"/>
            <w:tcBorders>
              <w:left w:val="single" w:sz="6" w:space="0" w:color="231F20"/>
              <w:right w:val="single" w:sz="6" w:space="0" w:color="231F20"/>
            </w:tcBorders>
          </w:tcPr>
          <w:p w14:paraId="435207C1" w14:textId="77777777" w:rsidR="009948F1" w:rsidRDefault="00BC0563">
            <w:pPr>
              <w:pStyle w:val="TableParagraph"/>
              <w:spacing w:before="17" w:line="206" w:lineRule="auto"/>
              <w:ind w:left="25" w:right="166"/>
              <w:rPr>
                <w:sz w:val="16"/>
              </w:rPr>
            </w:pPr>
            <w:r>
              <w:rPr>
                <w:color w:val="231F20"/>
                <w:w w:val="80"/>
                <w:sz w:val="16"/>
              </w:rPr>
              <w:t>Conduct</w:t>
            </w:r>
            <w:r>
              <w:rPr>
                <w:color w:val="231F20"/>
                <w:spacing w:val="-18"/>
                <w:w w:val="80"/>
                <w:sz w:val="16"/>
              </w:rPr>
              <w:t xml:space="preserve"> </w:t>
            </w:r>
            <w:r>
              <w:rPr>
                <w:color w:val="231F20"/>
                <w:w w:val="80"/>
                <w:sz w:val="16"/>
              </w:rPr>
              <w:t>advocacy</w:t>
            </w:r>
            <w:r>
              <w:rPr>
                <w:color w:val="231F20"/>
                <w:spacing w:val="-17"/>
                <w:w w:val="80"/>
                <w:sz w:val="16"/>
              </w:rPr>
              <w:t xml:space="preserve"> </w:t>
            </w:r>
            <w:r>
              <w:rPr>
                <w:color w:val="231F20"/>
                <w:w w:val="80"/>
                <w:sz w:val="16"/>
              </w:rPr>
              <w:t>to</w:t>
            </w:r>
            <w:r>
              <w:rPr>
                <w:color w:val="231F20"/>
                <w:spacing w:val="-17"/>
                <w:w w:val="80"/>
                <w:sz w:val="16"/>
              </w:rPr>
              <w:t xml:space="preserve"> </w:t>
            </w:r>
            <w:r>
              <w:rPr>
                <w:color w:val="231F20"/>
                <w:w w:val="80"/>
                <w:sz w:val="16"/>
              </w:rPr>
              <w:t>the</w:t>
            </w:r>
            <w:r>
              <w:rPr>
                <w:color w:val="231F20"/>
                <w:spacing w:val="-18"/>
                <w:w w:val="80"/>
                <w:sz w:val="16"/>
              </w:rPr>
              <w:t xml:space="preserve"> </w:t>
            </w:r>
            <w:r>
              <w:rPr>
                <w:color w:val="231F20"/>
                <w:w w:val="80"/>
                <w:sz w:val="16"/>
              </w:rPr>
              <w:t>government</w:t>
            </w:r>
            <w:r>
              <w:rPr>
                <w:color w:val="231F20"/>
                <w:spacing w:val="-17"/>
                <w:w w:val="80"/>
                <w:sz w:val="16"/>
              </w:rPr>
              <w:t xml:space="preserve"> </w:t>
            </w:r>
            <w:r>
              <w:rPr>
                <w:color w:val="231F20"/>
                <w:w w:val="80"/>
                <w:sz w:val="16"/>
              </w:rPr>
              <w:t>for</w:t>
            </w:r>
            <w:r>
              <w:rPr>
                <w:color w:val="231F20"/>
                <w:spacing w:val="-17"/>
                <w:w w:val="80"/>
                <w:sz w:val="16"/>
              </w:rPr>
              <w:t xml:space="preserve"> </w:t>
            </w:r>
            <w:r>
              <w:rPr>
                <w:color w:val="231F20"/>
                <w:w w:val="80"/>
                <w:sz w:val="16"/>
              </w:rPr>
              <w:t>allocation</w:t>
            </w:r>
            <w:r>
              <w:rPr>
                <w:color w:val="231F20"/>
                <w:spacing w:val="-18"/>
                <w:w w:val="80"/>
                <w:sz w:val="16"/>
              </w:rPr>
              <w:t xml:space="preserve"> </w:t>
            </w:r>
            <w:r>
              <w:rPr>
                <w:color w:val="231F20"/>
                <w:w w:val="80"/>
                <w:sz w:val="16"/>
              </w:rPr>
              <w:t>of</w:t>
            </w:r>
            <w:r>
              <w:rPr>
                <w:color w:val="231F20"/>
                <w:spacing w:val="-17"/>
                <w:w w:val="80"/>
                <w:sz w:val="16"/>
              </w:rPr>
              <w:t xml:space="preserve"> </w:t>
            </w:r>
            <w:r>
              <w:rPr>
                <w:color w:val="231F20"/>
                <w:w w:val="80"/>
                <w:sz w:val="16"/>
              </w:rPr>
              <w:t>adequate</w:t>
            </w:r>
            <w:r>
              <w:rPr>
                <w:color w:val="231F20"/>
                <w:spacing w:val="-17"/>
                <w:w w:val="80"/>
                <w:sz w:val="16"/>
              </w:rPr>
              <w:t xml:space="preserve"> </w:t>
            </w:r>
            <w:r>
              <w:rPr>
                <w:color w:val="231F20"/>
                <w:w w:val="80"/>
                <w:sz w:val="16"/>
              </w:rPr>
              <w:t>funds</w:t>
            </w:r>
            <w:r>
              <w:rPr>
                <w:color w:val="231F20"/>
                <w:spacing w:val="-18"/>
                <w:w w:val="80"/>
                <w:sz w:val="16"/>
              </w:rPr>
              <w:t xml:space="preserve"> </w:t>
            </w:r>
            <w:r>
              <w:rPr>
                <w:color w:val="231F20"/>
                <w:w w:val="80"/>
                <w:sz w:val="16"/>
              </w:rPr>
              <w:t>for</w:t>
            </w:r>
            <w:r>
              <w:rPr>
                <w:color w:val="231F20"/>
                <w:spacing w:val="-17"/>
                <w:w w:val="80"/>
                <w:sz w:val="16"/>
              </w:rPr>
              <w:t xml:space="preserve"> </w:t>
            </w:r>
            <w:r>
              <w:rPr>
                <w:color w:val="231F20"/>
                <w:w w:val="80"/>
                <w:sz w:val="16"/>
              </w:rPr>
              <w:t>the</w:t>
            </w:r>
            <w:r>
              <w:rPr>
                <w:color w:val="231F20"/>
                <w:spacing w:val="-17"/>
                <w:w w:val="80"/>
                <w:sz w:val="16"/>
              </w:rPr>
              <w:t xml:space="preserve"> </w:t>
            </w:r>
            <w:r>
              <w:rPr>
                <w:color w:val="231F20"/>
                <w:w w:val="80"/>
                <w:sz w:val="16"/>
              </w:rPr>
              <w:t>operation</w:t>
            </w:r>
            <w:r>
              <w:rPr>
                <w:color w:val="231F20"/>
                <w:spacing w:val="-18"/>
                <w:w w:val="80"/>
                <w:sz w:val="16"/>
              </w:rPr>
              <w:t xml:space="preserve"> </w:t>
            </w:r>
            <w:r>
              <w:rPr>
                <w:color w:val="231F20"/>
                <w:w w:val="80"/>
                <w:sz w:val="16"/>
              </w:rPr>
              <w:t xml:space="preserve">of </w:t>
            </w:r>
            <w:r>
              <w:rPr>
                <w:color w:val="231F20"/>
                <w:w w:val="85"/>
                <w:sz w:val="16"/>
              </w:rPr>
              <w:t>traditional</w:t>
            </w:r>
            <w:r>
              <w:rPr>
                <w:color w:val="231F20"/>
                <w:spacing w:val="-13"/>
                <w:w w:val="85"/>
                <w:sz w:val="16"/>
              </w:rPr>
              <w:t xml:space="preserve"> </w:t>
            </w:r>
            <w:r>
              <w:rPr>
                <w:color w:val="231F20"/>
                <w:w w:val="85"/>
                <w:sz w:val="16"/>
              </w:rPr>
              <w:t>medicine</w:t>
            </w:r>
            <w:r>
              <w:rPr>
                <w:color w:val="231F20"/>
                <w:spacing w:val="-13"/>
                <w:w w:val="85"/>
                <w:sz w:val="16"/>
              </w:rPr>
              <w:t xml:space="preserve"> </w:t>
            </w:r>
            <w:proofErr w:type="spellStart"/>
            <w:r>
              <w:rPr>
                <w:color w:val="231F20"/>
                <w:w w:val="85"/>
                <w:sz w:val="16"/>
              </w:rPr>
              <w:t>programmes</w:t>
            </w:r>
            <w:proofErr w:type="spellEnd"/>
            <w:r>
              <w:rPr>
                <w:color w:val="231F20"/>
                <w:spacing w:val="-12"/>
                <w:w w:val="85"/>
                <w:sz w:val="16"/>
              </w:rPr>
              <w:t xml:space="preserve"> </w:t>
            </w:r>
            <w:r>
              <w:rPr>
                <w:color w:val="231F20"/>
                <w:w w:val="85"/>
                <w:sz w:val="16"/>
              </w:rPr>
              <w:t>and</w:t>
            </w:r>
            <w:r>
              <w:rPr>
                <w:color w:val="231F20"/>
                <w:spacing w:val="-13"/>
                <w:w w:val="85"/>
                <w:sz w:val="16"/>
              </w:rPr>
              <w:t xml:space="preserve"> </w:t>
            </w:r>
            <w:r>
              <w:rPr>
                <w:color w:val="231F20"/>
                <w:w w:val="85"/>
                <w:sz w:val="16"/>
              </w:rPr>
              <w:t>activities</w:t>
            </w:r>
            <w:r>
              <w:rPr>
                <w:color w:val="231F20"/>
                <w:spacing w:val="-13"/>
                <w:w w:val="85"/>
                <w:sz w:val="16"/>
              </w:rPr>
              <w:t xml:space="preserve"> </w:t>
            </w:r>
            <w:r>
              <w:rPr>
                <w:color w:val="231F20"/>
                <w:w w:val="85"/>
                <w:sz w:val="16"/>
              </w:rPr>
              <w:t>in</w:t>
            </w:r>
            <w:r>
              <w:rPr>
                <w:color w:val="231F20"/>
                <w:spacing w:val="-12"/>
                <w:w w:val="85"/>
                <w:sz w:val="16"/>
              </w:rPr>
              <w:t xml:space="preserve"> </w:t>
            </w:r>
            <w:r>
              <w:rPr>
                <w:color w:val="231F20"/>
                <w:w w:val="85"/>
                <w:sz w:val="16"/>
              </w:rPr>
              <w:t>the</w:t>
            </w:r>
            <w:r>
              <w:rPr>
                <w:color w:val="231F20"/>
                <w:spacing w:val="-13"/>
                <w:w w:val="85"/>
                <w:sz w:val="16"/>
              </w:rPr>
              <w:t xml:space="preserve"> </w:t>
            </w:r>
            <w:r>
              <w:rPr>
                <w:color w:val="231F20"/>
                <w:w w:val="85"/>
                <w:sz w:val="16"/>
              </w:rPr>
              <w:t>State</w:t>
            </w:r>
            <w:r>
              <w:rPr>
                <w:color w:val="231F20"/>
                <w:spacing w:val="-12"/>
                <w:w w:val="85"/>
                <w:sz w:val="16"/>
              </w:rPr>
              <w:t xml:space="preserve"> </w:t>
            </w:r>
            <w:r>
              <w:rPr>
                <w:color w:val="231F20"/>
                <w:w w:val="85"/>
                <w:sz w:val="16"/>
              </w:rPr>
              <w:t>&amp;</w:t>
            </w:r>
            <w:r>
              <w:rPr>
                <w:color w:val="231F20"/>
                <w:spacing w:val="-13"/>
                <w:w w:val="85"/>
                <w:sz w:val="16"/>
              </w:rPr>
              <w:t xml:space="preserve"> </w:t>
            </w:r>
            <w:r>
              <w:rPr>
                <w:color w:val="231F20"/>
                <w:w w:val="85"/>
                <w:sz w:val="16"/>
              </w:rPr>
              <w:t>LGAs</w:t>
            </w:r>
          </w:p>
        </w:tc>
        <w:tc>
          <w:tcPr>
            <w:tcW w:w="1473" w:type="dxa"/>
            <w:tcBorders>
              <w:left w:val="single" w:sz="6" w:space="0" w:color="231F20"/>
              <w:right w:val="single" w:sz="6" w:space="0" w:color="231F20"/>
            </w:tcBorders>
          </w:tcPr>
          <w:p w14:paraId="3D0058F8" w14:textId="77777777" w:rsidR="009948F1" w:rsidRDefault="00BC0563">
            <w:pPr>
              <w:pStyle w:val="TableParagraph"/>
              <w:spacing w:before="91"/>
              <w:ind w:left="24"/>
              <w:rPr>
                <w:sz w:val="16"/>
              </w:rPr>
            </w:pPr>
            <w:r>
              <w:rPr>
                <w:color w:val="231F20"/>
                <w:w w:val="85"/>
                <w:sz w:val="16"/>
              </w:rPr>
              <w:t>Lack of funds</w:t>
            </w:r>
          </w:p>
        </w:tc>
        <w:tc>
          <w:tcPr>
            <w:tcW w:w="1554" w:type="dxa"/>
            <w:tcBorders>
              <w:left w:val="single" w:sz="6" w:space="0" w:color="231F20"/>
              <w:right w:val="single" w:sz="6" w:space="0" w:color="231F20"/>
            </w:tcBorders>
          </w:tcPr>
          <w:p w14:paraId="51620479" w14:textId="77777777" w:rsidR="009948F1" w:rsidRDefault="00BC0563">
            <w:pPr>
              <w:pStyle w:val="TableParagraph"/>
              <w:spacing w:before="91"/>
              <w:ind w:left="24"/>
              <w:rPr>
                <w:sz w:val="16"/>
              </w:rPr>
            </w:pPr>
            <w:r>
              <w:rPr>
                <w:color w:val="231F20"/>
                <w:w w:val="85"/>
                <w:sz w:val="16"/>
              </w:rPr>
              <w:t>Conduct advocacy</w:t>
            </w:r>
          </w:p>
        </w:tc>
      </w:tr>
      <w:tr w:rsidR="009948F1" w14:paraId="6F339A3E" w14:textId="77777777">
        <w:trPr>
          <w:trHeight w:val="388"/>
        </w:trPr>
        <w:tc>
          <w:tcPr>
            <w:tcW w:w="473" w:type="dxa"/>
            <w:vMerge/>
            <w:tcBorders>
              <w:top w:val="nil"/>
              <w:right w:val="single" w:sz="6" w:space="0" w:color="231F20"/>
            </w:tcBorders>
          </w:tcPr>
          <w:p w14:paraId="506EF610" w14:textId="77777777" w:rsidR="009948F1" w:rsidRDefault="009948F1">
            <w:pPr>
              <w:rPr>
                <w:sz w:val="2"/>
                <w:szCs w:val="2"/>
              </w:rPr>
            </w:pPr>
          </w:p>
        </w:tc>
        <w:tc>
          <w:tcPr>
            <w:tcW w:w="543" w:type="dxa"/>
            <w:tcBorders>
              <w:left w:val="single" w:sz="6" w:space="0" w:color="231F20"/>
              <w:right w:val="single" w:sz="6" w:space="0" w:color="231F20"/>
            </w:tcBorders>
          </w:tcPr>
          <w:p w14:paraId="4BE29662" w14:textId="77777777" w:rsidR="009948F1" w:rsidRDefault="00BC0563">
            <w:pPr>
              <w:pStyle w:val="TableParagraph"/>
              <w:spacing w:before="100"/>
              <w:ind w:left="32" w:right="21"/>
              <w:jc w:val="center"/>
              <w:rPr>
                <w:sz w:val="16"/>
              </w:rPr>
            </w:pPr>
            <w:r>
              <w:rPr>
                <w:color w:val="231F20"/>
                <w:w w:val="75"/>
                <w:sz w:val="16"/>
              </w:rPr>
              <w:t>11.1.8.c</w:t>
            </w:r>
          </w:p>
        </w:tc>
        <w:tc>
          <w:tcPr>
            <w:tcW w:w="5053" w:type="dxa"/>
            <w:gridSpan w:val="2"/>
            <w:tcBorders>
              <w:left w:val="single" w:sz="6" w:space="0" w:color="231F20"/>
              <w:right w:val="single" w:sz="6" w:space="0" w:color="231F20"/>
            </w:tcBorders>
          </w:tcPr>
          <w:p w14:paraId="4EB00DE2" w14:textId="77777777" w:rsidR="009948F1" w:rsidRDefault="00BC0563">
            <w:pPr>
              <w:pStyle w:val="TableParagraph"/>
              <w:spacing w:before="94"/>
              <w:ind w:left="25"/>
              <w:rPr>
                <w:sz w:val="16"/>
              </w:rPr>
            </w:pPr>
            <w:r>
              <w:rPr>
                <w:color w:val="231F20"/>
                <w:w w:val="85"/>
                <w:sz w:val="16"/>
              </w:rPr>
              <w:t>Capacity building for traditional medicine practitioners in the State</w:t>
            </w:r>
          </w:p>
        </w:tc>
        <w:tc>
          <w:tcPr>
            <w:tcW w:w="1473" w:type="dxa"/>
            <w:tcBorders>
              <w:left w:val="single" w:sz="6" w:space="0" w:color="231F20"/>
              <w:right w:val="single" w:sz="6" w:space="0" w:color="231F20"/>
            </w:tcBorders>
          </w:tcPr>
          <w:p w14:paraId="5311809A" w14:textId="77777777" w:rsidR="009948F1" w:rsidRDefault="00BC0563">
            <w:pPr>
              <w:pStyle w:val="TableParagraph"/>
              <w:spacing w:before="100"/>
              <w:ind w:left="24"/>
              <w:rPr>
                <w:sz w:val="16"/>
              </w:rPr>
            </w:pPr>
            <w:r>
              <w:rPr>
                <w:color w:val="231F20"/>
                <w:w w:val="85"/>
                <w:sz w:val="16"/>
              </w:rPr>
              <w:t>Lack of funds</w:t>
            </w:r>
          </w:p>
        </w:tc>
        <w:tc>
          <w:tcPr>
            <w:tcW w:w="1554" w:type="dxa"/>
            <w:tcBorders>
              <w:left w:val="single" w:sz="6" w:space="0" w:color="231F20"/>
              <w:right w:val="single" w:sz="6" w:space="0" w:color="231F20"/>
            </w:tcBorders>
          </w:tcPr>
          <w:p w14:paraId="617F6431" w14:textId="77777777" w:rsidR="009948F1" w:rsidRDefault="00BC0563">
            <w:pPr>
              <w:pStyle w:val="TableParagraph"/>
              <w:spacing w:before="100"/>
              <w:ind w:left="24"/>
              <w:rPr>
                <w:sz w:val="16"/>
              </w:rPr>
            </w:pPr>
            <w:r>
              <w:rPr>
                <w:color w:val="231F20"/>
                <w:w w:val="85"/>
                <w:sz w:val="16"/>
              </w:rPr>
              <w:t>Capacity building</w:t>
            </w:r>
          </w:p>
        </w:tc>
      </w:tr>
      <w:tr w:rsidR="009948F1" w14:paraId="5FA4C49E" w14:textId="77777777">
        <w:trPr>
          <w:trHeight w:val="398"/>
        </w:trPr>
        <w:tc>
          <w:tcPr>
            <w:tcW w:w="473" w:type="dxa"/>
            <w:vMerge/>
            <w:tcBorders>
              <w:top w:val="nil"/>
              <w:right w:val="single" w:sz="6" w:space="0" w:color="231F20"/>
            </w:tcBorders>
          </w:tcPr>
          <w:p w14:paraId="29B132B0" w14:textId="77777777" w:rsidR="009948F1" w:rsidRDefault="009948F1">
            <w:pPr>
              <w:rPr>
                <w:sz w:val="2"/>
                <w:szCs w:val="2"/>
              </w:rPr>
            </w:pPr>
          </w:p>
        </w:tc>
        <w:tc>
          <w:tcPr>
            <w:tcW w:w="543" w:type="dxa"/>
            <w:tcBorders>
              <w:left w:val="single" w:sz="6" w:space="0" w:color="231F20"/>
              <w:right w:val="single" w:sz="6" w:space="0" w:color="231F20"/>
            </w:tcBorders>
          </w:tcPr>
          <w:p w14:paraId="0DF24EA6" w14:textId="77777777" w:rsidR="009948F1" w:rsidRDefault="00BC0563">
            <w:pPr>
              <w:pStyle w:val="TableParagraph"/>
              <w:spacing w:before="105"/>
              <w:ind w:left="32" w:right="21"/>
              <w:jc w:val="center"/>
              <w:rPr>
                <w:sz w:val="16"/>
              </w:rPr>
            </w:pPr>
            <w:r>
              <w:rPr>
                <w:color w:val="231F20"/>
                <w:w w:val="75"/>
                <w:sz w:val="16"/>
              </w:rPr>
              <w:t>11.1.8.d</w:t>
            </w:r>
          </w:p>
        </w:tc>
        <w:tc>
          <w:tcPr>
            <w:tcW w:w="5053" w:type="dxa"/>
            <w:gridSpan w:val="2"/>
            <w:tcBorders>
              <w:left w:val="single" w:sz="6" w:space="0" w:color="231F20"/>
              <w:right w:val="single" w:sz="6" w:space="0" w:color="231F20"/>
            </w:tcBorders>
          </w:tcPr>
          <w:p w14:paraId="23BFFF70" w14:textId="4A520FD9" w:rsidR="009948F1" w:rsidRDefault="00BC0563">
            <w:pPr>
              <w:pStyle w:val="TableParagraph"/>
              <w:spacing w:line="182" w:lineRule="exact"/>
              <w:ind w:left="25"/>
              <w:rPr>
                <w:sz w:val="16"/>
              </w:rPr>
            </w:pPr>
            <w:r>
              <w:rPr>
                <w:color w:val="231F20"/>
                <w:w w:val="80"/>
                <w:sz w:val="16"/>
              </w:rPr>
              <w:t>Establish</w:t>
            </w:r>
            <w:r>
              <w:rPr>
                <w:color w:val="231F20"/>
                <w:spacing w:val="-15"/>
                <w:w w:val="80"/>
                <w:sz w:val="16"/>
              </w:rPr>
              <w:t xml:space="preserve"> </w:t>
            </w:r>
            <w:r>
              <w:rPr>
                <w:color w:val="231F20"/>
                <w:w w:val="80"/>
                <w:sz w:val="16"/>
              </w:rPr>
              <w:t>a</w:t>
            </w:r>
            <w:r>
              <w:rPr>
                <w:color w:val="231F20"/>
                <w:spacing w:val="-15"/>
                <w:w w:val="80"/>
                <w:sz w:val="16"/>
              </w:rPr>
              <w:t xml:space="preserve"> </w:t>
            </w:r>
            <w:r>
              <w:rPr>
                <w:color w:val="231F20"/>
                <w:w w:val="80"/>
                <w:sz w:val="16"/>
              </w:rPr>
              <w:t>regulatory</w:t>
            </w:r>
            <w:r>
              <w:rPr>
                <w:color w:val="231F20"/>
                <w:spacing w:val="-15"/>
                <w:w w:val="80"/>
                <w:sz w:val="16"/>
              </w:rPr>
              <w:t xml:space="preserve"> </w:t>
            </w:r>
            <w:r>
              <w:rPr>
                <w:color w:val="231F20"/>
                <w:w w:val="80"/>
                <w:sz w:val="16"/>
              </w:rPr>
              <w:t>agency</w:t>
            </w:r>
            <w:r>
              <w:rPr>
                <w:color w:val="231F20"/>
                <w:spacing w:val="-15"/>
                <w:w w:val="80"/>
                <w:sz w:val="16"/>
              </w:rPr>
              <w:t xml:space="preserve"> </w:t>
            </w:r>
            <w:r>
              <w:rPr>
                <w:color w:val="231F20"/>
                <w:w w:val="80"/>
                <w:sz w:val="16"/>
              </w:rPr>
              <w:t>for</w:t>
            </w:r>
            <w:r>
              <w:rPr>
                <w:color w:val="231F20"/>
                <w:spacing w:val="-15"/>
                <w:w w:val="80"/>
                <w:sz w:val="16"/>
              </w:rPr>
              <w:t xml:space="preserve"> </w:t>
            </w:r>
            <w:r>
              <w:rPr>
                <w:color w:val="231F20"/>
                <w:w w:val="80"/>
                <w:sz w:val="16"/>
              </w:rPr>
              <w:t>the</w:t>
            </w:r>
            <w:r>
              <w:rPr>
                <w:color w:val="231F20"/>
                <w:spacing w:val="-15"/>
                <w:w w:val="80"/>
                <w:sz w:val="16"/>
              </w:rPr>
              <w:t xml:space="preserve"> </w:t>
            </w:r>
            <w:r>
              <w:rPr>
                <w:color w:val="231F20"/>
                <w:w w:val="80"/>
                <w:sz w:val="16"/>
              </w:rPr>
              <w:t>registration,</w:t>
            </w:r>
            <w:r>
              <w:rPr>
                <w:color w:val="231F20"/>
                <w:spacing w:val="-15"/>
                <w:w w:val="80"/>
                <w:sz w:val="16"/>
              </w:rPr>
              <w:t xml:space="preserve"> </w:t>
            </w:r>
            <w:r>
              <w:rPr>
                <w:color w:val="231F20"/>
                <w:w w:val="80"/>
                <w:sz w:val="16"/>
              </w:rPr>
              <w:t>regulation,</w:t>
            </w:r>
            <w:r>
              <w:rPr>
                <w:color w:val="231F20"/>
                <w:spacing w:val="-15"/>
                <w:w w:val="80"/>
                <w:sz w:val="16"/>
              </w:rPr>
              <w:t xml:space="preserve"> </w:t>
            </w:r>
            <w:r w:rsidR="00661EED">
              <w:rPr>
                <w:color w:val="231F20"/>
                <w:w w:val="80"/>
                <w:sz w:val="16"/>
              </w:rPr>
              <w:t>standardization</w:t>
            </w:r>
            <w:r>
              <w:rPr>
                <w:color w:val="231F20"/>
                <w:spacing w:val="-15"/>
                <w:w w:val="80"/>
                <w:sz w:val="16"/>
              </w:rPr>
              <w:t xml:space="preserve"> </w:t>
            </w:r>
            <w:r>
              <w:rPr>
                <w:color w:val="231F20"/>
                <w:w w:val="80"/>
                <w:sz w:val="16"/>
              </w:rPr>
              <w:t>and</w:t>
            </w:r>
            <w:r>
              <w:rPr>
                <w:color w:val="231F20"/>
                <w:spacing w:val="-15"/>
                <w:w w:val="80"/>
                <w:sz w:val="16"/>
              </w:rPr>
              <w:t xml:space="preserve"> </w:t>
            </w:r>
            <w:r>
              <w:rPr>
                <w:color w:val="231F20"/>
                <w:w w:val="80"/>
                <w:sz w:val="16"/>
              </w:rPr>
              <w:t>training</w:t>
            </w:r>
          </w:p>
          <w:p w14:paraId="17B729F5" w14:textId="77777777" w:rsidR="009948F1" w:rsidRDefault="00BC0563">
            <w:pPr>
              <w:pStyle w:val="TableParagraph"/>
              <w:spacing w:before="16" w:line="180" w:lineRule="exact"/>
              <w:ind w:left="25"/>
              <w:rPr>
                <w:sz w:val="16"/>
              </w:rPr>
            </w:pPr>
            <w:r>
              <w:rPr>
                <w:color w:val="231F20"/>
                <w:w w:val="85"/>
                <w:sz w:val="16"/>
              </w:rPr>
              <w:t>with respect to traditional practice.</w:t>
            </w:r>
          </w:p>
        </w:tc>
        <w:tc>
          <w:tcPr>
            <w:tcW w:w="1473" w:type="dxa"/>
            <w:tcBorders>
              <w:left w:val="single" w:sz="6" w:space="0" w:color="231F20"/>
              <w:right w:val="single" w:sz="6" w:space="0" w:color="231F20"/>
            </w:tcBorders>
          </w:tcPr>
          <w:p w14:paraId="68D14D4E" w14:textId="77777777" w:rsidR="009948F1" w:rsidRDefault="00BC0563">
            <w:pPr>
              <w:pStyle w:val="TableParagraph"/>
              <w:spacing w:before="105"/>
              <w:ind w:left="24"/>
              <w:rPr>
                <w:sz w:val="16"/>
              </w:rPr>
            </w:pPr>
            <w:r>
              <w:rPr>
                <w:color w:val="231F20"/>
                <w:w w:val="85"/>
                <w:sz w:val="16"/>
              </w:rPr>
              <w:t>Lack of funds</w:t>
            </w:r>
          </w:p>
        </w:tc>
        <w:tc>
          <w:tcPr>
            <w:tcW w:w="1554" w:type="dxa"/>
            <w:tcBorders>
              <w:left w:val="single" w:sz="6" w:space="0" w:color="231F20"/>
              <w:right w:val="single" w:sz="6" w:space="0" w:color="231F20"/>
            </w:tcBorders>
          </w:tcPr>
          <w:p w14:paraId="408F971B" w14:textId="77777777" w:rsidR="009948F1" w:rsidRDefault="00BC0563">
            <w:pPr>
              <w:pStyle w:val="TableParagraph"/>
              <w:spacing w:before="105"/>
              <w:ind w:left="24"/>
              <w:rPr>
                <w:sz w:val="16"/>
              </w:rPr>
            </w:pPr>
            <w:r>
              <w:rPr>
                <w:color w:val="231F20"/>
                <w:w w:val="85"/>
                <w:sz w:val="16"/>
              </w:rPr>
              <w:t>Costed in 11.1.8a</w:t>
            </w:r>
          </w:p>
        </w:tc>
      </w:tr>
      <w:tr w:rsidR="009948F1" w14:paraId="38FA80A5" w14:textId="77777777">
        <w:trPr>
          <w:trHeight w:val="379"/>
        </w:trPr>
        <w:tc>
          <w:tcPr>
            <w:tcW w:w="473" w:type="dxa"/>
            <w:vMerge/>
            <w:tcBorders>
              <w:top w:val="nil"/>
              <w:right w:val="single" w:sz="6" w:space="0" w:color="231F20"/>
            </w:tcBorders>
          </w:tcPr>
          <w:p w14:paraId="4F17CB1F" w14:textId="77777777" w:rsidR="009948F1" w:rsidRDefault="009948F1">
            <w:pPr>
              <w:rPr>
                <w:sz w:val="2"/>
                <w:szCs w:val="2"/>
              </w:rPr>
            </w:pPr>
          </w:p>
        </w:tc>
        <w:tc>
          <w:tcPr>
            <w:tcW w:w="543" w:type="dxa"/>
            <w:tcBorders>
              <w:left w:val="single" w:sz="6" w:space="0" w:color="231F20"/>
              <w:bottom w:val="single" w:sz="12" w:space="0" w:color="231F20"/>
              <w:right w:val="single" w:sz="6" w:space="0" w:color="231F20"/>
            </w:tcBorders>
          </w:tcPr>
          <w:p w14:paraId="5ED8496A" w14:textId="77777777" w:rsidR="009948F1" w:rsidRDefault="00BC0563">
            <w:pPr>
              <w:pStyle w:val="TableParagraph"/>
              <w:spacing w:before="100"/>
              <w:ind w:left="32" w:right="21"/>
              <w:jc w:val="center"/>
              <w:rPr>
                <w:sz w:val="16"/>
              </w:rPr>
            </w:pPr>
            <w:r>
              <w:rPr>
                <w:color w:val="231F20"/>
                <w:w w:val="75"/>
                <w:sz w:val="16"/>
              </w:rPr>
              <w:t>11.1.8.e</w:t>
            </w:r>
          </w:p>
        </w:tc>
        <w:tc>
          <w:tcPr>
            <w:tcW w:w="5053" w:type="dxa"/>
            <w:gridSpan w:val="2"/>
            <w:tcBorders>
              <w:left w:val="single" w:sz="6" w:space="0" w:color="231F20"/>
              <w:bottom w:val="single" w:sz="12" w:space="0" w:color="231F20"/>
              <w:right w:val="single" w:sz="6" w:space="0" w:color="231F20"/>
            </w:tcBorders>
          </w:tcPr>
          <w:p w14:paraId="2A854997" w14:textId="77777777" w:rsidR="009948F1" w:rsidRDefault="00BC0563">
            <w:pPr>
              <w:pStyle w:val="TableParagraph"/>
              <w:spacing w:before="94"/>
              <w:ind w:left="25"/>
              <w:rPr>
                <w:sz w:val="16"/>
              </w:rPr>
            </w:pPr>
            <w:r>
              <w:rPr>
                <w:color w:val="231F20"/>
                <w:w w:val="85"/>
                <w:sz w:val="16"/>
              </w:rPr>
              <w:t>Promote research and development (R&amp;D) of traditional medicine</w:t>
            </w:r>
          </w:p>
        </w:tc>
        <w:tc>
          <w:tcPr>
            <w:tcW w:w="1473" w:type="dxa"/>
            <w:tcBorders>
              <w:left w:val="single" w:sz="6" w:space="0" w:color="231F20"/>
              <w:bottom w:val="single" w:sz="12" w:space="0" w:color="231F20"/>
              <w:right w:val="single" w:sz="6" w:space="0" w:color="231F20"/>
            </w:tcBorders>
          </w:tcPr>
          <w:p w14:paraId="5664F6C7" w14:textId="77777777" w:rsidR="009948F1" w:rsidRDefault="00BC0563">
            <w:pPr>
              <w:pStyle w:val="TableParagraph"/>
              <w:spacing w:before="100"/>
              <w:ind w:left="24"/>
              <w:rPr>
                <w:sz w:val="16"/>
              </w:rPr>
            </w:pPr>
            <w:r>
              <w:rPr>
                <w:color w:val="231F20"/>
                <w:w w:val="85"/>
                <w:sz w:val="16"/>
              </w:rPr>
              <w:t>Lack of funds</w:t>
            </w:r>
          </w:p>
        </w:tc>
        <w:tc>
          <w:tcPr>
            <w:tcW w:w="1554" w:type="dxa"/>
            <w:tcBorders>
              <w:left w:val="single" w:sz="6" w:space="0" w:color="231F20"/>
              <w:bottom w:val="single" w:sz="12" w:space="0" w:color="231F20"/>
              <w:right w:val="single" w:sz="6" w:space="0" w:color="231F20"/>
            </w:tcBorders>
          </w:tcPr>
          <w:p w14:paraId="7A5C10B9" w14:textId="77777777" w:rsidR="009948F1" w:rsidRDefault="00BC0563">
            <w:pPr>
              <w:pStyle w:val="TableParagraph"/>
              <w:spacing w:before="100"/>
              <w:ind w:left="24"/>
              <w:rPr>
                <w:sz w:val="16"/>
              </w:rPr>
            </w:pPr>
            <w:r>
              <w:rPr>
                <w:color w:val="231F20"/>
                <w:w w:val="85"/>
                <w:sz w:val="16"/>
              </w:rPr>
              <w:t>Create awareness</w:t>
            </w:r>
          </w:p>
        </w:tc>
      </w:tr>
    </w:tbl>
    <w:p w14:paraId="7D260218" w14:textId="77777777" w:rsidR="009948F1" w:rsidRDefault="009948F1">
      <w:pPr>
        <w:rPr>
          <w:sz w:val="16"/>
        </w:rPr>
        <w:sectPr w:rsidR="009948F1">
          <w:pgSz w:w="11910" w:h="16840"/>
          <w:pgMar w:top="1420" w:right="1080" w:bottom="1340" w:left="1120" w:header="0" w:footer="1155" w:gutter="0"/>
          <w:cols w:space="720"/>
        </w:sectPr>
      </w:pPr>
    </w:p>
    <w:tbl>
      <w:tblPr>
        <w:tblW w:w="0" w:type="auto"/>
        <w:tblInd w:w="15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9"/>
        <w:gridCol w:w="405"/>
        <w:gridCol w:w="454"/>
        <w:gridCol w:w="525"/>
        <w:gridCol w:w="2506"/>
        <w:gridCol w:w="2379"/>
        <w:gridCol w:w="1424"/>
        <w:gridCol w:w="1502"/>
      </w:tblGrid>
      <w:tr w:rsidR="009948F1" w14:paraId="36A31EDC" w14:textId="77777777">
        <w:trPr>
          <w:trHeight w:val="221"/>
        </w:trPr>
        <w:tc>
          <w:tcPr>
            <w:tcW w:w="9374" w:type="dxa"/>
            <w:gridSpan w:val="8"/>
            <w:tcBorders>
              <w:right w:val="nil"/>
            </w:tcBorders>
            <w:shd w:val="clear" w:color="auto" w:fill="A6CE39"/>
          </w:tcPr>
          <w:p w14:paraId="362B4FDA" w14:textId="77777777" w:rsidR="009948F1" w:rsidRDefault="00BC0563">
            <w:pPr>
              <w:pStyle w:val="TableParagraph"/>
              <w:spacing w:before="35"/>
              <w:ind w:left="3988" w:right="3942"/>
              <w:jc w:val="center"/>
              <w:rPr>
                <w:b/>
                <w:sz w:val="13"/>
              </w:rPr>
            </w:pPr>
            <w:bookmarkStart w:id="192" w:name="Page_166"/>
            <w:bookmarkEnd w:id="192"/>
            <w:r>
              <w:rPr>
                <w:b/>
                <w:color w:val="231F20"/>
                <w:w w:val="105"/>
                <w:sz w:val="13"/>
              </w:rPr>
              <w:t>12.Health Information</w:t>
            </w:r>
          </w:p>
        </w:tc>
      </w:tr>
      <w:tr w:rsidR="009948F1" w14:paraId="7BA635AD" w14:textId="77777777">
        <w:trPr>
          <w:trHeight w:val="254"/>
        </w:trPr>
        <w:tc>
          <w:tcPr>
            <w:tcW w:w="9374" w:type="dxa"/>
            <w:gridSpan w:val="8"/>
            <w:tcBorders>
              <w:right w:val="nil"/>
            </w:tcBorders>
            <w:shd w:val="clear" w:color="auto" w:fill="F6ADCD"/>
          </w:tcPr>
          <w:p w14:paraId="2AE3AE65" w14:textId="77777777" w:rsidR="009948F1" w:rsidRDefault="00BC0563">
            <w:pPr>
              <w:pStyle w:val="TableParagraph"/>
              <w:spacing w:before="63"/>
              <w:ind w:left="1290"/>
              <w:rPr>
                <w:b/>
                <w:sz w:val="11"/>
              </w:rPr>
            </w:pPr>
            <w:r>
              <w:rPr>
                <w:b/>
                <w:color w:val="231F20"/>
                <w:w w:val="110"/>
                <w:sz w:val="11"/>
              </w:rPr>
              <w:t>12. To institutionalize an integrated and sustainable health information system for decision-making at all levels in Nigeria</w:t>
            </w:r>
          </w:p>
        </w:tc>
      </w:tr>
      <w:tr w:rsidR="009948F1" w14:paraId="24BCA956" w14:textId="77777777">
        <w:trPr>
          <w:trHeight w:val="363"/>
        </w:trPr>
        <w:tc>
          <w:tcPr>
            <w:tcW w:w="179" w:type="dxa"/>
            <w:tcBorders>
              <w:bottom w:val="nil"/>
            </w:tcBorders>
          </w:tcPr>
          <w:p w14:paraId="326617A6" w14:textId="77777777" w:rsidR="009948F1" w:rsidRDefault="009948F1">
            <w:pPr>
              <w:pStyle w:val="TableParagraph"/>
              <w:rPr>
                <w:rFonts w:ascii="Times New Roman"/>
                <w:sz w:val="10"/>
              </w:rPr>
            </w:pPr>
          </w:p>
        </w:tc>
        <w:tc>
          <w:tcPr>
            <w:tcW w:w="405" w:type="dxa"/>
            <w:shd w:val="clear" w:color="auto" w:fill="FFF200"/>
          </w:tcPr>
          <w:p w14:paraId="11A60111" w14:textId="77777777" w:rsidR="009948F1" w:rsidRDefault="009948F1">
            <w:pPr>
              <w:pStyle w:val="TableParagraph"/>
              <w:spacing w:before="7"/>
              <w:rPr>
                <w:sz w:val="10"/>
              </w:rPr>
            </w:pPr>
          </w:p>
          <w:p w14:paraId="2883A0C6" w14:textId="77777777" w:rsidR="009948F1" w:rsidRDefault="00BC0563">
            <w:pPr>
              <w:pStyle w:val="TableParagraph"/>
              <w:ind w:left="120"/>
              <w:rPr>
                <w:b/>
                <w:sz w:val="11"/>
              </w:rPr>
            </w:pPr>
            <w:r>
              <w:rPr>
                <w:b/>
                <w:color w:val="231F20"/>
                <w:w w:val="110"/>
                <w:sz w:val="11"/>
              </w:rPr>
              <w:t>12.1</w:t>
            </w:r>
          </w:p>
        </w:tc>
        <w:tc>
          <w:tcPr>
            <w:tcW w:w="5864" w:type="dxa"/>
            <w:gridSpan w:val="4"/>
            <w:tcBorders>
              <w:right w:val="single" w:sz="8" w:space="0" w:color="231F20"/>
            </w:tcBorders>
            <w:shd w:val="clear" w:color="auto" w:fill="FFF200"/>
          </w:tcPr>
          <w:p w14:paraId="5CBB9D3A" w14:textId="77777777" w:rsidR="009948F1" w:rsidRDefault="00BC0563">
            <w:pPr>
              <w:pStyle w:val="TableParagraph"/>
              <w:spacing w:before="43" w:line="280" w:lineRule="auto"/>
              <w:ind w:left="22" w:right="72" w:firstLine="32"/>
              <w:rPr>
                <w:b/>
                <w:sz w:val="11"/>
              </w:rPr>
            </w:pPr>
            <w:r>
              <w:rPr>
                <w:b/>
                <w:color w:val="231F20"/>
                <w:w w:val="110"/>
                <w:sz w:val="11"/>
              </w:rPr>
              <w:t>Improve</w:t>
            </w:r>
            <w:r>
              <w:rPr>
                <w:b/>
                <w:color w:val="231F20"/>
                <w:spacing w:val="-11"/>
                <w:w w:val="110"/>
                <w:sz w:val="11"/>
              </w:rPr>
              <w:t xml:space="preserve"> </w:t>
            </w:r>
            <w:r>
              <w:rPr>
                <w:b/>
                <w:color w:val="231F20"/>
                <w:w w:val="110"/>
                <w:sz w:val="11"/>
              </w:rPr>
              <w:t>the</w:t>
            </w:r>
            <w:r>
              <w:rPr>
                <w:b/>
                <w:color w:val="231F20"/>
                <w:spacing w:val="-10"/>
                <w:w w:val="110"/>
                <w:sz w:val="11"/>
              </w:rPr>
              <w:t xml:space="preserve"> </w:t>
            </w:r>
            <w:r>
              <w:rPr>
                <w:b/>
                <w:color w:val="231F20"/>
                <w:w w:val="110"/>
                <w:sz w:val="11"/>
              </w:rPr>
              <w:t>health</w:t>
            </w:r>
            <w:r>
              <w:rPr>
                <w:b/>
                <w:color w:val="231F20"/>
                <w:spacing w:val="-10"/>
                <w:w w:val="110"/>
                <w:sz w:val="11"/>
              </w:rPr>
              <w:t xml:space="preserve"> </w:t>
            </w:r>
            <w:r>
              <w:rPr>
                <w:b/>
                <w:color w:val="231F20"/>
                <w:w w:val="110"/>
                <w:sz w:val="11"/>
              </w:rPr>
              <w:t>status</w:t>
            </w:r>
            <w:r>
              <w:rPr>
                <w:b/>
                <w:color w:val="231F20"/>
                <w:spacing w:val="-10"/>
                <w:w w:val="110"/>
                <w:sz w:val="11"/>
              </w:rPr>
              <w:t xml:space="preserve"> </w:t>
            </w:r>
            <w:r>
              <w:rPr>
                <w:b/>
                <w:color w:val="231F20"/>
                <w:w w:val="110"/>
                <w:sz w:val="11"/>
              </w:rPr>
              <w:t>of</w:t>
            </w:r>
            <w:r>
              <w:rPr>
                <w:b/>
                <w:color w:val="231F20"/>
                <w:spacing w:val="-10"/>
                <w:w w:val="110"/>
                <w:sz w:val="11"/>
              </w:rPr>
              <w:t xml:space="preserve"> </w:t>
            </w:r>
            <w:r>
              <w:rPr>
                <w:b/>
                <w:color w:val="231F20"/>
                <w:w w:val="110"/>
                <w:sz w:val="11"/>
              </w:rPr>
              <w:t>Nigerians</w:t>
            </w:r>
            <w:r>
              <w:rPr>
                <w:b/>
                <w:color w:val="231F20"/>
                <w:spacing w:val="-10"/>
                <w:w w:val="110"/>
                <w:sz w:val="11"/>
              </w:rPr>
              <w:t xml:space="preserve"> </w:t>
            </w:r>
            <w:r>
              <w:rPr>
                <w:b/>
                <w:color w:val="231F20"/>
                <w:w w:val="110"/>
                <w:sz w:val="11"/>
              </w:rPr>
              <w:t>through</w:t>
            </w:r>
            <w:r>
              <w:rPr>
                <w:b/>
                <w:color w:val="231F20"/>
                <w:spacing w:val="-10"/>
                <w:w w:val="110"/>
                <w:sz w:val="11"/>
              </w:rPr>
              <w:t xml:space="preserve"> </w:t>
            </w:r>
            <w:r>
              <w:rPr>
                <w:b/>
                <w:color w:val="231F20"/>
                <w:w w:val="110"/>
                <w:sz w:val="11"/>
              </w:rPr>
              <w:t>the</w:t>
            </w:r>
            <w:r>
              <w:rPr>
                <w:b/>
                <w:color w:val="231F20"/>
                <w:spacing w:val="-10"/>
                <w:w w:val="110"/>
                <w:sz w:val="11"/>
              </w:rPr>
              <w:t xml:space="preserve"> </w:t>
            </w:r>
            <w:r>
              <w:rPr>
                <w:b/>
                <w:color w:val="231F20"/>
                <w:w w:val="110"/>
                <w:sz w:val="11"/>
              </w:rPr>
              <w:t>provision</w:t>
            </w:r>
            <w:r>
              <w:rPr>
                <w:b/>
                <w:color w:val="231F20"/>
                <w:spacing w:val="-10"/>
                <w:w w:val="110"/>
                <w:sz w:val="11"/>
              </w:rPr>
              <w:t xml:space="preserve"> </w:t>
            </w:r>
            <w:r>
              <w:rPr>
                <w:b/>
                <w:color w:val="231F20"/>
                <w:w w:val="110"/>
                <w:sz w:val="11"/>
              </w:rPr>
              <w:t>of</w:t>
            </w:r>
            <w:r>
              <w:rPr>
                <w:b/>
                <w:color w:val="231F20"/>
                <w:spacing w:val="-10"/>
                <w:w w:val="110"/>
                <w:sz w:val="11"/>
              </w:rPr>
              <w:t xml:space="preserve"> </w:t>
            </w:r>
            <w:r>
              <w:rPr>
                <w:b/>
                <w:color w:val="231F20"/>
                <w:w w:val="110"/>
                <w:sz w:val="11"/>
              </w:rPr>
              <w:t>timely,</w:t>
            </w:r>
            <w:r>
              <w:rPr>
                <w:b/>
                <w:color w:val="231F20"/>
                <w:spacing w:val="-11"/>
                <w:w w:val="110"/>
                <w:sz w:val="11"/>
              </w:rPr>
              <w:t xml:space="preserve"> </w:t>
            </w:r>
            <w:r>
              <w:rPr>
                <w:b/>
                <w:color w:val="231F20"/>
                <w:w w:val="110"/>
                <w:sz w:val="11"/>
              </w:rPr>
              <w:t>appropriate</w:t>
            </w:r>
            <w:r>
              <w:rPr>
                <w:b/>
                <w:color w:val="231F20"/>
                <w:spacing w:val="-10"/>
                <w:w w:val="110"/>
                <w:sz w:val="11"/>
              </w:rPr>
              <w:t xml:space="preserve"> </w:t>
            </w:r>
            <w:r>
              <w:rPr>
                <w:b/>
                <w:color w:val="231F20"/>
                <w:w w:val="110"/>
                <w:sz w:val="11"/>
              </w:rPr>
              <w:t>and</w:t>
            </w:r>
            <w:r>
              <w:rPr>
                <w:b/>
                <w:color w:val="231F20"/>
                <w:spacing w:val="-10"/>
                <w:w w:val="110"/>
                <w:sz w:val="11"/>
              </w:rPr>
              <w:t xml:space="preserve"> </w:t>
            </w:r>
            <w:r>
              <w:rPr>
                <w:b/>
                <w:color w:val="231F20"/>
                <w:w w:val="110"/>
                <w:sz w:val="11"/>
              </w:rPr>
              <w:t>reliable</w:t>
            </w:r>
            <w:r>
              <w:rPr>
                <w:b/>
                <w:color w:val="231F20"/>
                <w:spacing w:val="-10"/>
                <w:w w:val="110"/>
                <w:sz w:val="11"/>
              </w:rPr>
              <w:t xml:space="preserve"> </w:t>
            </w:r>
            <w:r>
              <w:rPr>
                <w:b/>
                <w:color w:val="231F20"/>
                <w:w w:val="110"/>
                <w:sz w:val="11"/>
              </w:rPr>
              <w:t>health information services at all levels, for evidenced based decision</w:t>
            </w:r>
            <w:r>
              <w:rPr>
                <w:b/>
                <w:color w:val="231F20"/>
                <w:spacing w:val="-22"/>
                <w:w w:val="110"/>
                <w:sz w:val="11"/>
              </w:rPr>
              <w:t xml:space="preserve"> </w:t>
            </w:r>
            <w:r>
              <w:rPr>
                <w:b/>
                <w:color w:val="231F20"/>
                <w:w w:val="110"/>
                <w:sz w:val="11"/>
              </w:rPr>
              <w:t>making.</w:t>
            </w:r>
          </w:p>
        </w:tc>
        <w:tc>
          <w:tcPr>
            <w:tcW w:w="1424" w:type="dxa"/>
            <w:tcBorders>
              <w:left w:val="single" w:sz="8" w:space="0" w:color="231F20"/>
              <w:right w:val="single" w:sz="8" w:space="0" w:color="231F20"/>
            </w:tcBorders>
            <w:shd w:val="clear" w:color="auto" w:fill="FFF200"/>
          </w:tcPr>
          <w:p w14:paraId="248B96FC" w14:textId="77777777" w:rsidR="009948F1" w:rsidRDefault="009948F1">
            <w:pPr>
              <w:pStyle w:val="TableParagraph"/>
              <w:rPr>
                <w:rFonts w:ascii="Times New Roman"/>
                <w:sz w:val="10"/>
              </w:rPr>
            </w:pPr>
          </w:p>
        </w:tc>
        <w:tc>
          <w:tcPr>
            <w:tcW w:w="1502" w:type="dxa"/>
            <w:tcBorders>
              <w:left w:val="single" w:sz="8" w:space="0" w:color="231F20"/>
            </w:tcBorders>
            <w:shd w:val="clear" w:color="auto" w:fill="FFF200"/>
          </w:tcPr>
          <w:p w14:paraId="1A2BFE04" w14:textId="77777777" w:rsidR="009948F1" w:rsidRDefault="009948F1">
            <w:pPr>
              <w:pStyle w:val="TableParagraph"/>
              <w:rPr>
                <w:rFonts w:ascii="Times New Roman"/>
                <w:sz w:val="10"/>
              </w:rPr>
            </w:pPr>
          </w:p>
        </w:tc>
      </w:tr>
      <w:tr w:rsidR="009948F1" w14:paraId="5348F476" w14:textId="77777777">
        <w:trPr>
          <w:trHeight w:val="990"/>
        </w:trPr>
        <w:tc>
          <w:tcPr>
            <w:tcW w:w="584" w:type="dxa"/>
            <w:gridSpan w:val="2"/>
            <w:tcBorders>
              <w:top w:val="nil"/>
              <w:bottom w:val="nil"/>
            </w:tcBorders>
          </w:tcPr>
          <w:p w14:paraId="74B8FF76" w14:textId="77777777" w:rsidR="009948F1" w:rsidRDefault="009948F1">
            <w:pPr>
              <w:pStyle w:val="TableParagraph"/>
              <w:rPr>
                <w:rFonts w:ascii="Times New Roman"/>
                <w:sz w:val="10"/>
              </w:rPr>
            </w:pPr>
          </w:p>
        </w:tc>
        <w:tc>
          <w:tcPr>
            <w:tcW w:w="454" w:type="dxa"/>
            <w:shd w:val="clear" w:color="auto" w:fill="CCE7D3"/>
          </w:tcPr>
          <w:p w14:paraId="782D4D0C" w14:textId="77777777" w:rsidR="009948F1" w:rsidRDefault="009948F1">
            <w:pPr>
              <w:pStyle w:val="TableParagraph"/>
              <w:rPr>
                <w:sz w:val="12"/>
              </w:rPr>
            </w:pPr>
          </w:p>
          <w:p w14:paraId="7CF1B6DF" w14:textId="77777777" w:rsidR="009948F1" w:rsidRDefault="009948F1">
            <w:pPr>
              <w:pStyle w:val="TableParagraph"/>
              <w:rPr>
                <w:sz w:val="12"/>
              </w:rPr>
            </w:pPr>
          </w:p>
          <w:p w14:paraId="60019068" w14:textId="77777777" w:rsidR="009948F1" w:rsidRDefault="009948F1">
            <w:pPr>
              <w:pStyle w:val="TableParagraph"/>
              <w:spacing w:before="9"/>
              <w:rPr>
                <w:sz w:val="13"/>
              </w:rPr>
            </w:pPr>
          </w:p>
          <w:p w14:paraId="370DC850" w14:textId="77777777" w:rsidR="009948F1" w:rsidRDefault="00BC0563">
            <w:pPr>
              <w:pStyle w:val="TableParagraph"/>
              <w:ind w:left="31" w:right="31"/>
              <w:jc w:val="center"/>
              <w:rPr>
                <w:sz w:val="11"/>
              </w:rPr>
            </w:pPr>
            <w:r>
              <w:rPr>
                <w:color w:val="231F20"/>
                <w:w w:val="110"/>
                <w:sz w:val="11"/>
              </w:rPr>
              <w:t>12.1.1</w:t>
            </w:r>
          </w:p>
        </w:tc>
        <w:tc>
          <w:tcPr>
            <w:tcW w:w="3031" w:type="dxa"/>
            <w:gridSpan w:val="2"/>
            <w:shd w:val="clear" w:color="auto" w:fill="CCE7D3"/>
          </w:tcPr>
          <w:p w14:paraId="26CA796F" w14:textId="77777777" w:rsidR="009948F1" w:rsidRDefault="009948F1">
            <w:pPr>
              <w:pStyle w:val="TableParagraph"/>
              <w:rPr>
                <w:sz w:val="12"/>
              </w:rPr>
            </w:pPr>
          </w:p>
          <w:p w14:paraId="40A15F08" w14:textId="77777777" w:rsidR="009948F1" w:rsidRDefault="009948F1">
            <w:pPr>
              <w:pStyle w:val="TableParagraph"/>
              <w:rPr>
                <w:sz w:val="12"/>
              </w:rPr>
            </w:pPr>
          </w:p>
          <w:p w14:paraId="09C7893B" w14:textId="77777777" w:rsidR="009948F1" w:rsidRDefault="00BC0563">
            <w:pPr>
              <w:pStyle w:val="TableParagraph"/>
              <w:spacing w:before="81" w:line="273" w:lineRule="auto"/>
              <w:ind w:left="22" w:right="9" w:firstLine="32"/>
              <w:rPr>
                <w:sz w:val="11"/>
              </w:rPr>
            </w:pPr>
            <w:r>
              <w:rPr>
                <w:color w:val="231F20"/>
                <w:w w:val="110"/>
                <w:sz w:val="11"/>
              </w:rPr>
              <w:t>Strengthen institutional framework and coordination for HIS at all levels</w:t>
            </w:r>
          </w:p>
        </w:tc>
        <w:tc>
          <w:tcPr>
            <w:tcW w:w="2379" w:type="dxa"/>
            <w:shd w:val="clear" w:color="auto" w:fill="CCE7D3"/>
          </w:tcPr>
          <w:p w14:paraId="46E84F4F" w14:textId="77777777" w:rsidR="009948F1" w:rsidRDefault="00BC0563">
            <w:pPr>
              <w:pStyle w:val="TableParagraph"/>
              <w:numPr>
                <w:ilvl w:val="0"/>
                <w:numId w:val="38"/>
              </w:numPr>
              <w:tabs>
                <w:tab w:val="left" w:pos="97"/>
              </w:tabs>
              <w:spacing w:before="74" w:line="273" w:lineRule="auto"/>
              <w:ind w:right="226" w:firstLine="0"/>
              <w:rPr>
                <w:sz w:val="11"/>
              </w:rPr>
            </w:pPr>
            <w:r>
              <w:rPr>
                <w:color w:val="231F20"/>
                <w:w w:val="110"/>
                <w:sz w:val="11"/>
              </w:rPr>
              <w:t>National</w:t>
            </w:r>
            <w:r>
              <w:rPr>
                <w:color w:val="231F20"/>
                <w:spacing w:val="-10"/>
                <w:w w:val="110"/>
                <w:sz w:val="11"/>
              </w:rPr>
              <w:t xml:space="preserve"> </w:t>
            </w:r>
            <w:r>
              <w:rPr>
                <w:color w:val="231F20"/>
                <w:w w:val="110"/>
                <w:sz w:val="11"/>
              </w:rPr>
              <w:t>policy,</w:t>
            </w:r>
            <w:r>
              <w:rPr>
                <w:color w:val="231F20"/>
                <w:spacing w:val="-10"/>
                <w:w w:val="110"/>
                <w:sz w:val="11"/>
              </w:rPr>
              <w:t xml:space="preserve"> </w:t>
            </w:r>
            <w:r>
              <w:rPr>
                <w:color w:val="231F20"/>
                <w:w w:val="110"/>
                <w:sz w:val="11"/>
              </w:rPr>
              <w:t>guidelines</w:t>
            </w:r>
            <w:r>
              <w:rPr>
                <w:color w:val="231F20"/>
                <w:spacing w:val="-9"/>
                <w:w w:val="110"/>
                <w:sz w:val="11"/>
              </w:rPr>
              <w:t xml:space="preserve"> </w:t>
            </w:r>
            <w:r>
              <w:rPr>
                <w:color w:val="231F20"/>
                <w:w w:val="110"/>
                <w:sz w:val="11"/>
              </w:rPr>
              <w:t>and</w:t>
            </w:r>
            <w:r>
              <w:rPr>
                <w:color w:val="231F20"/>
                <w:spacing w:val="-10"/>
                <w:w w:val="110"/>
                <w:sz w:val="11"/>
              </w:rPr>
              <w:t xml:space="preserve"> </w:t>
            </w:r>
            <w:r>
              <w:rPr>
                <w:color w:val="231F20"/>
                <w:w w:val="110"/>
                <w:sz w:val="11"/>
              </w:rPr>
              <w:t>tools</w:t>
            </w:r>
            <w:r>
              <w:rPr>
                <w:color w:val="231F20"/>
                <w:spacing w:val="-9"/>
                <w:w w:val="110"/>
                <w:sz w:val="11"/>
              </w:rPr>
              <w:t xml:space="preserve"> </w:t>
            </w:r>
            <w:r>
              <w:rPr>
                <w:color w:val="231F20"/>
                <w:spacing w:val="-8"/>
                <w:w w:val="110"/>
                <w:sz w:val="11"/>
              </w:rPr>
              <w:t xml:space="preserve">on </w:t>
            </w:r>
            <w:r>
              <w:rPr>
                <w:color w:val="231F20"/>
                <w:w w:val="110"/>
                <w:sz w:val="11"/>
              </w:rPr>
              <w:t>HMIS revised &amp;</w:t>
            </w:r>
            <w:r>
              <w:rPr>
                <w:color w:val="231F20"/>
                <w:spacing w:val="-6"/>
                <w:w w:val="110"/>
                <w:sz w:val="11"/>
              </w:rPr>
              <w:t xml:space="preserve"> </w:t>
            </w:r>
            <w:r>
              <w:rPr>
                <w:color w:val="231F20"/>
                <w:w w:val="110"/>
                <w:sz w:val="11"/>
              </w:rPr>
              <w:t>adapted</w:t>
            </w:r>
          </w:p>
          <w:p w14:paraId="5937705A" w14:textId="77777777" w:rsidR="009948F1" w:rsidRDefault="00BC0563">
            <w:pPr>
              <w:pStyle w:val="TableParagraph"/>
              <w:spacing w:line="273" w:lineRule="auto"/>
              <w:ind w:left="21" w:right="142"/>
              <w:rPr>
                <w:sz w:val="11"/>
              </w:rPr>
            </w:pPr>
            <w:r>
              <w:rPr>
                <w:color w:val="231F20"/>
                <w:w w:val="110"/>
                <w:sz w:val="11"/>
              </w:rPr>
              <w:t>•Collaboration with State Bureau of Statistics done</w:t>
            </w:r>
          </w:p>
          <w:p w14:paraId="3EDE00B1" w14:textId="77777777" w:rsidR="009948F1" w:rsidRDefault="00BC0563">
            <w:pPr>
              <w:pStyle w:val="TableParagraph"/>
              <w:numPr>
                <w:ilvl w:val="0"/>
                <w:numId w:val="38"/>
              </w:numPr>
              <w:tabs>
                <w:tab w:val="left" w:pos="97"/>
              </w:tabs>
              <w:spacing w:line="273" w:lineRule="auto"/>
              <w:ind w:right="210" w:firstLine="0"/>
              <w:rPr>
                <w:sz w:val="11"/>
              </w:rPr>
            </w:pPr>
            <w:r>
              <w:rPr>
                <w:color w:val="231F20"/>
                <w:w w:val="110"/>
                <w:sz w:val="11"/>
              </w:rPr>
              <w:t>Stakeholder</w:t>
            </w:r>
            <w:r>
              <w:rPr>
                <w:color w:val="231F20"/>
                <w:spacing w:val="-10"/>
                <w:w w:val="110"/>
                <w:sz w:val="11"/>
              </w:rPr>
              <w:t xml:space="preserve"> </w:t>
            </w:r>
            <w:r>
              <w:rPr>
                <w:color w:val="231F20"/>
                <w:w w:val="110"/>
                <w:sz w:val="11"/>
              </w:rPr>
              <w:t>consultative</w:t>
            </w:r>
            <w:r>
              <w:rPr>
                <w:color w:val="231F20"/>
                <w:spacing w:val="-10"/>
                <w:w w:val="110"/>
                <w:sz w:val="11"/>
              </w:rPr>
              <w:t xml:space="preserve"> </w:t>
            </w:r>
            <w:r>
              <w:rPr>
                <w:color w:val="231F20"/>
                <w:w w:val="110"/>
                <w:sz w:val="11"/>
              </w:rPr>
              <w:t>forum</w:t>
            </w:r>
            <w:r>
              <w:rPr>
                <w:color w:val="231F20"/>
                <w:spacing w:val="-9"/>
                <w:w w:val="110"/>
                <w:sz w:val="11"/>
              </w:rPr>
              <w:t xml:space="preserve"> </w:t>
            </w:r>
            <w:r>
              <w:rPr>
                <w:color w:val="231F20"/>
                <w:w w:val="110"/>
                <w:sz w:val="11"/>
              </w:rPr>
              <w:t>on</w:t>
            </w:r>
            <w:r>
              <w:rPr>
                <w:color w:val="231F20"/>
                <w:spacing w:val="-10"/>
                <w:w w:val="110"/>
                <w:sz w:val="11"/>
              </w:rPr>
              <w:t xml:space="preserve"> </w:t>
            </w:r>
            <w:r>
              <w:rPr>
                <w:color w:val="231F20"/>
                <w:spacing w:val="-4"/>
                <w:w w:val="110"/>
                <w:sz w:val="11"/>
              </w:rPr>
              <w:t xml:space="preserve">data </w:t>
            </w:r>
            <w:r>
              <w:rPr>
                <w:color w:val="231F20"/>
                <w:w w:val="110"/>
                <w:sz w:val="11"/>
              </w:rPr>
              <w:t>management and use</w:t>
            </w:r>
            <w:r>
              <w:rPr>
                <w:color w:val="231F20"/>
                <w:spacing w:val="-10"/>
                <w:w w:val="110"/>
                <w:sz w:val="11"/>
              </w:rPr>
              <w:t xml:space="preserve"> </w:t>
            </w:r>
            <w:r>
              <w:rPr>
                <w:color w:val="231F20"/>
                <w:w w:val="110"/>
                <w:sz w:val="11"/>
              </w:rPr>
              <w:t>supported</w:t>
            </w:r>
          </w:p>
        </w:tc>
        <w:tc>
          <w:tcPr>
            <w:tcW w:w="1424" w:type="dxa"/>
            <w:shd w:val="clear" w:color="auto" w:fill="CCE7D3"/>
          </w:tcPr>
          <w:p w14:paraId="65CD5187" w14:textId="77777777" w:rsidR="009948F1" w:rsidRDefault="009948F1">
            <w:pPr>
              <w:pStyle w:val="TableParagraph"/>
              <w:rPr>
                <w:rFonts w:ascii="Times New Roman"/>
                <w:sz w:val="10"/>
              </w:rPr>
            </w:pPr>
          </w:p>
        </w:tc>
        <w:tc>
          <w:tcPr>
            <w:tcW w:w="1502" w:type="dxa"/>
            <w:tcBorders>
              <w:right w:val="nil"/>
            </w:tcBorders>
            <w:shd w:val="clear" w:color="auto" w:fill="CCE7D3"/>
          </w:tcPr>
          <w:p w14:paraId="10BD8FF9" w14:textId="77777777" w:rsidR="009948F1" w:rsidRDefault="009948F1">
            <w:pPr>
              <w:pStyle w:val="TableParagraph"/>
              <w:rPr>
                <w:rFonts w:ascii="Times New Roman"/>
                <w:sz w:val="10"/>
              </w:rPr>
            </w:pPr>
          </w:p>
        </w:tc>
      </w:tr>
      <w:tr w:rsidR="009948F1" w14:paraId="1F85608E" w14:textId="77777777">
        <w:trPr>
          <w:trHeight w:val="537"/>
        </w:trPr>
        <w:tc>
          <w:tcPr>
            <w:tcW w:w="1038" w:type="dxa"/>
            <w:gridSpan w:val="3"/>
            <w:vMerge w:val="restart"/>
            <w:tcBorders>
              <w:top w:val="nil"/>
              <w:bottom w:val="nil"/>
            </w:tcBorders>
          </w:tcPr>
          <w:p w14:paraId="30D724C4" w14:textId="77777777" w:rsidR="009948F1" w:rsidRDefault="009948F1">
            <w:pPr>
              <w:pStyle w:val="TableParagraph"/>
              <w:rPr>
                <w:rFonts w:ascii="Times New Roman"/>
                <w:sz w:val="10"/>
              </w:rPr>
            </w:pPr>
          </w:p>
        </w:tc>
        <w:tc>
          <w:tcPr>
            <w:tcW w:w="525" w:type="dxa"/>
          </w:tcPr>
          <w:p w14:paraId="48AA3B22" w14:textId="77777777" w:rsidR="009948F1" w:rsidRDefault="009948F1">
            <w:pPr>
              <w:pStyle w:val="TableParagraph"/>
              <w:rPr>
                <w:sz w:val="12"/>
              </w:rPr>
            </w:pPr>
          </w:p>
          <w:p w14:paraId="45AB6F94" w14:textId="77777777" w:rsidR="009948F1" w:rsidRDefault="00BC0563">
            <w:pPr>
              <w:pStyle w:val="TableParagraph"/>
              <w:spacing w:before="69"/>
              <w:ind w:left="23" w:right="9"/>
              <w:jc w:val="center"/>
              <w:rPr>
                <w:sz w:val="11"/>
              </w:rPr>
            </w:pPr>
            <w:r>
              <w:rPr>
                <w:color w:val="231F20"/>
                <w:w w:val="110"/>
                <w:sz w:val="11"/>
              </w:rPr>
              <w:t>12.1.1.a</w:t>
            </w:r>
          </w:p>
        </w:tc>
        <w:tc>
          <w:tcPr>
            <w:tcW w:w="4885" w:type="dxa"/>
            <w:gridSpan w:val="2"/>
          </w:tcPr>
          <w:p w14:paraId="5CE44DA4" w14:textId="77777777" w:rsidR="009948F1" w:rsidRDefault="009948F1">
            <w:pPr>
              <w:pStyle w:val="TableParagraph"/>
              <w:spacing w:before="5"/>
              <w:rPr>
                <w:sz w:val="11"/>
              </w:rPr>
            </w:pPr>
          </w:p>
          <w:p w14:paraId="3D83745B" w14:textId="77777777" w:rsidR="009948F1" w:rsidRDefault="00BC0563">
            <w:pPr>
              <w:pStyle w:val="TableParagraph"/>
              <w:spacing w:line="273" w:lineRule="auto"/>
              <w:ind w:left="21" w:right="21"/>
              <w:rPr>
                <w:sz w:val="11"/>
              </w:rPr>
            </w:pPr>
            <w:r>
              <w:rPr>
                <w:color w:val="231F20"/>
                <w:w w:val="110"/>
                <w:sz w:val="11"/>
              </w:rPr>
              <w:t>Inaugurate</w:t>
            </w:r>
            <w:r>
              <w:rPr>
                <w:color w:val="231F20"/>
                <w:spacing w:val="-8"/>
                <w:w w:val="110"/>
                <w:sz w:val="11"/>
              </w:rPr>
              <w:t xml:space="preserve"> </w:t>
            </w:r>
            <w:r>
              <w:rPr>
                <w:color w:val="231F20"/>
                <w:w w:val="110"/>
                <w:sz w:val="11"/>
              </w:rPr>
              <w:t>committee</w:t>
            </w:r>
            <w:r>
              <w:rPr>
                <w:color w:val="231F20"/>
                <w:spacing w:val="-8"/>
                <w:w w:val="110"/>
                <w:sz w:val="11"/>
              </w:rPr>
              <w:t xml:space="preserve"> </w:t>
            </w:r>
            <w:r>
              <w:rPr>
                <w:color w:val="231F20"/>
                <w:w w:val="110"/>
                <w:sz w:val="11"/>
              </w:rPr>
              <w:t>to</w:t>
            </w:r>
            <w:r>
              <w:rPr>
                <w:color w:val="231F20"/>
                <w:spacing w:val="-8"/>
                <w:w w:val="110"/>
                <w:sz w:val="11"/>
              </w:rPr>
              <w:t xml:space="preserve"> </w:t>
            </w:r>
            <w:r>
              <w:rPr>
                <w:color w:val="231F20"/>
                <w:w w:val="110"/>
                <w:sz w:val="11"/>
              </w:rPr>
              <w:t>develop</w:t>
            </w:r>
            <w:r>
              <w:rPr>
                <w:color w:val="231F20"/>
                <w:spacing w:val="-8"/>
                <w:w w:val="110"/>
                <w:sz w:val="11"/>
              </w:rPr>
              <w:t xml:space="preserve"> </w:t>
            </w:r>
            <w:r>
              <w:rPr>
                <w:color w:val="231F20"/>
                <w:w w:val="110"/>
                <w:sz w:val="11"/>
              </w:rPr>
              <w:t>terms</w:t>
            </w:r>
            <w:r>
              <w:rPr>
                <w:color w:val="231F20"/>
                <w:spacing w:val="-7"/>
                <w:w w:val="110"/>
                <w:sz w:val="11"/>
              </w:rPr>
              <w:t xml:space="preserve"> </w:t>
            </w:r>
            <w:r>
              <w:rPr>
                <w:color w:val="231F20"/>
                <w:w w:val="110"/>
                <w:sz w:val="11"/>
              </w:rPr>
              <w:t>of</w:t>
            </w:r>
            <w:r>
              <w:rPr>
                <w:color w:val="231F20"/>
                <w:spacing w:val="-8"/>
                <w:w w:val="110"/>
                <w:sz w:val="11"/>
              </w:rPr>
              <w:t xml:space="preserve"> </w:t>
            </w:r>
            <w:r>
              <w:rPr>
                <w:color w:val="231F20"/>
                <w:w w:val="110"/>
                <w:sz w:val="11"/>
              </w:rPr>
              <w:t>reference</w:t>
            </w:r>
            <w:r>
              <w:rPr>
                <w:color w:val="231F20"/>
                <w:spacing w:val="-8"/>
                <w:w w:val="110"/>
                <w:sz w:val="11"/>
              </w:rPr>
              <w:t xml:space="preserve"> </w:t>
            </w:r>
            <w:r>
              <w:rPr>
                <w:color w:val="231F20"/>
                <w:w w:val="110"/>
                <w:sz w:val="11"/>
              </w:rPr>
              <w:t>for</w:t>
            </w:r>
            <w:r>
              <w:rPr>
                <w:color w:val="231F20"/>
                <w:spacing w:val="-8"/>
                <w:w w:val="110"/>
                <w:sz w:val="11"/>
              </w:rPr>
              <w:t xml:space="preserve"> </w:t>
            </w:r>
            <w:r>
              <w:rPr>
                <w:color w:val="231F20"/>
                <w:w w:val="110"/>
                <w:sz w:val="11"/>
              </w:rPr>
              <w:t>the</w:t>
            </w:r>
            <w:r>
              <w:rPr>
                <w:color w:val="231F20"/>
                <w:spacing w:val="-7"/>
                <w:w w:val="110"/>
                <w:sz w:val="11"/>
              </w:rPr>
              <w:t xml:space="preserve"> </w:t>
            </w:r>
            <w:r>
              <w:rPr>
                <w:color w:val="231F20"/>
                <w:w w:val="110"/>
                <w:sz w:val="11"/>
              </w:rPr>
              <w:t>HDGC,</w:t>
            </w:r>
            <w:r>
              <w:rPr>
                <w:color w:val="231F20"/>
                <w:spacing w:val="-8"/>
                <w:w w:val="110"/>
                <w:sz w:val="11"/>
              </w:rPr>
              <w:t xml:space="preserve"> </w:t>
            </w:r>
            <w:r>
              <w:rPr>
                <w:color w:val="231F20"/>
                <w:w w:val="110"/>
                <w:sz w:val="11"/>
              </w:rPr>
              <w:t>review</w:t>
            </w:r>
            <w:r>
              <w:rPr>
                <w:color w:val="231F20"/>
                <w:spacing w:val="-8"/>
                <w:w w:val="110"/>
                <w:sz w:val="11"/>
              </w:rPr>
              <w:t xml:space="preserve"> </w:t>
            </w:r>
            <w:r>
              <w:rPr>
                <w:color w:val="231F20"/>
                <w:w w:val="110"/>
                <w:sz w:val="11"/>
              </w:rPr>
              <w:t>that</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the</w:t>
            </w:r>
            <w:r>
              <w:rPr>
                <w:color w:val="231F20"/>
                <w:spacing w:val="-8"/>
                <w:w w:val="110"/>
                <w:sz w:val="11"/>
              </w:rPr>
              <w:t xml:space="preserve"> </w:t>
            </w:r>
            <w:r>
              <w:rPr>
                <w:color w:val="231F20"/>
                <w:w w:val="110"/>
                <w:sz w:val="11"/>
              </w:rPr>
              <w:t>HDCC and disseminate the roles and responsibilities to all</w:t>
            </w:r>
            <w:r>
              <w:rPr>
                <w:color w:val="231F20"/>
                <w:spacing w:val="-19"/>
                <w:w w:val="110"/>
                <w:sz w:val="11"/>
              </w:rPr>
              <w:t xml:space="preserve"> </w:t>
            </w:r>
            <w:r>
              <w:rPr>
                <w:color w:val="231F20"/>
                <w:w w:val="110"/>
                <w:sz w:val="11"/>
              </w:rPr>
              <w:t>stakeholders</w:t>
            </w:r>
          </w:p>
        </w:tc>
        <w:tc>
          <w:tcPr>
            <w:tcW w:w="1424" w:type="dxa"/>
          </w:tcPr>
          <w:p w14:paraId="7713907C" w14:textId="77777777" w:rsidR="009948F1" w:rsidRDefault="009948F1">
            <w:pPr>
              <w:pStyle w:val="TableParagraph"/>
              <w:rPr>
                <w:sz w:val="12"/>
              </w:rPr>
            </w:pPr>
          </w:p>
          <w:p w14:paraId="449AE58D" w14:textId="77777777" w:rsidR="009948F1" w:rsidRDefault="00BC0563">
            <w:pPr>
              <w:pStyle w:val="TableParagraph"/>
              <w:spacing w:before="69"/>
              <w:ind w:left="22"/>
              <w:rPr>
                <w:sz w:val="11"/>
              </w:rPr>
            </w:pPr>
            <w:r>
              <w:rPr>
                <w:color w:val="231F20"/>
                <w:w w:val="110"/>
                <w:sz w:val="11"/>
              </w:rPr>
              <w:t>Lack of funds</w:t>
            </w:r>
          </w:p>
        </w:tc>
        <w:tc>
          <w:tcPr>
            <w:tcW w:w="1502" w:type="dxa"/>
          </w:tcPr>
          <w:p w14:paraId="0565197C" w14:textId="77777777" w:rsidR="009948F1" w:rsidRDefault="009948F1">
            <w:pPr>
              <w:pStyle w:val="TableParagraph"/>
              <w:rPr>
                <w:sz w:val="12"/>
              </w:rPr>
            </w:pPr>
          </w:p>
          <w:p w14:paraId="128F538F" w14:textId="77777777" w:rsidR="009948F1" w:rsidRDefault="00BC0563">
            <w:pPr>
              <w:pStyle w:val="TableParagraph"/>
              <w:spacing w:before="69"/>
              <w:ind w:left="22"/>
              <w:rPr>
                <w:sz w:val="11"/>
              </w:rPr>
            </w:pPr>
            <w:r>
              <w:rPr>
                <w:color w:val="231F20"/>
                <w:w w:val="110"/>
                <w:sz w:val="11"/>
              </w:rPr>
              <w:t>Inaugurate committee</w:t>
            </w:r>
          </w:p>
        </w:tc>
      </w:tr>
      <w:tr w:rsidR="009948F1" w14:paraId="085B6A86" w14:textId="77777777">
        <w:trPr>
          <w:trHeight w:val="403"/>
        </w:trPr>
        <w:tc>
          <w:tcPr>
            <w:tcW w:w="1038" w:type="dxa"/>
            <w:gridSpan w:val="3"/>
            <w:vMerge/>
            <w:tcBorders>
              <w:top w:val="nil"/>
              <w:bottom w:val="nil"/>
            </w:tcBorders>
          </w:tcPr>
          <w:p w14:paraId="5AD5E5A0" w14:textId="77777777" w:rsidR="009948F1" w:rsidRDefault="009948F1">
            <w:pPr>
              <w:rPr>
                <w:sz w:val="2"/>
                <w:szCs w:val="2"/>
              </w:rPr>
            </w:pPr>
          </w:p>
        </w:tc>
        <w:tc>
          <w:tcPr>
            <w:tcW w:w="525" w:type="dxa"/>
          </w:tcPr>
          <w:p w14:paraId="5AD71440" w14:textId="77777777" w:rsidR="009948F1" w:rsidRDefault="009948F1">
            <w:pPr>
              <w:pStyle w:val="TableParagraph"/>
              <w:spacing w:before="3"/>
              <w:rPr>
                <w:sz w:val="12"/>
              </w:rPr>
            </w:pPr>
          </w:p>
          <w:p w14:paraId="0830AF06" w14:textId="77777777" w:rsidR="009948F1" w:rsidRDefault="00BC0563">
            <w:pPr>
              <w:pStyle w:val="TableParagraph"/>
              <w:ind w:left="23" w:right="9"/>
              <w:jc w:val="center"/>
              <w:rPr>
                <w:sz w:val="11"/>
              </w:rPr>
            </w:pPr>
            <w:r>
              <w:rPr>
                <w:color w:val="231F20"/>
                <w:w w:val="110"/>
                <w:sz w:val="11"/>
              </w:rPr>
              <w:t>12.1.1.b</w:t>
            </w:r>
          </w:p>
        </w:tc>
        <w:tc>
          <w:tcPr>
            <w:tcW w:w="4885" w:type="dxa"/>
            <w:gridSpan w:val="2"/>
          </w:tcPr>
          <w:p w14:paraId="4EB72F81" w14:textId="77777777" w:rsidR="009948F1" w:rsidRDefault="009948F1">
            <w:pPr>
              <w:pStyle w:val="TableParagraph"/>
              <w:spacing w:before="9"/>
              <w:rPr>
                <w:sz w:val="11"/>
              </w:rPr>
            </w:pPr>
          </w:p>
          <w:p w14:paraId="64A635C9" w14:textId="77777777" w:rsidR="009948F1" w:rsidRDefault="00BC0563">
            <w:pPr>
              <w:pStyle w:val="TableParagraph"/>
              <w:spacing w:before="1"/>
              <w:ind w:left="21"/>
              <w:rPr>
                <w:sz w:val="11"/>
              </w:rPr>
            </w:pPr>
            <w:r>
              <w:rPr>
                <w:color w:val="231F20"/>
                <w:w w:val="110"/>
                <w:sz w:val="11"/>
              </w:rPr>
              <w:t>Revise/adapt national policy, guidelines and tools on HMIS</w:t>
            </w:r>
          </w:p>
        </w:tc>
        <w:tc>
          <w:tcPr>
            <w:tcW w:w="1424" w:type="dxa"/>
          </w:tcPr>
          <w:p w14:paraId="576A5CA0" w14:textId="77777777" w:rsidR="009948F1" w:rsidRDefault="009948F1">
            <w:pPr>
              <w:pStyle w:val="TableParagraph"/>
              <w:spacing w:before="3"/>
              <w:rPr>
                <w:sz w:val="12"/>
              </w:rPr>
            </w:pPr>
          </w:p>
          <w:p w14:paraId="26704297" w14:textId="77777777" w:rsidR="009948F1" w:rsidRDefault="00BC0563">
            <w:pPr>
              <w:pStyle w:val="TableParagraph"/>
              <w:ind w:left="22"/>
              <w:rPr>
                <w:sz w:val="11"/>
              </w:rPr>
            </w:pPr>
            <w:r>
              <w:rPr>
                <w:color w:val="231F20"/>
                <w:w w:val="110"/>
                <w:sz w:val="11"/>
              </w:rPr>
              <w:t>Lack of funds</w:t>
            </w:r>
          </w:p>
        </w:tc>
        <w:tc>
          <w:tcPr>
            <w:tcW w:w="1502" w:type="dxa"/>
          </w:tcPr>
          <w:p w14:paraId="3BB753E0" w14:textId="77777777" w:rsidR="009948F1" w:rsidRDefault="009948F1">
            <w:pPr>
              <w:pStyle w:val="TableParagraph"/>
              <w:spacing w:before="3"/>
              <w:rPr>
                <w:sz w:val="12"/>
              </w:rPr>
            </w:pPr>
          </w:p>
          <w:p w14:paraId="03199AFC" w14:textId="77777777" w:rsidR="009948F1" w:rsidRDefault="00BC0563">
            <w:pPr>
              <w:pStyle w:val="TableParagraph"/>
              <w:ind w:left="22"/>
              <w:rPr>
                <w:sz w:val="11"/>
              </w:rPr>
            </w:pPr>
            <w:r>
              <w:rPr>
                <w:color w:val="231F20"/>
                <w:w w:val="110"/>
                <w:sz w:val="11"/>
              </w:rPr>
              <w:t>Costed in 12..1.1a</w:t>
            </w:r>
          </w:p>
        </w:tc>
      </w:tr>
      <w:tr w:rsidR="009948F1" w14:paraId="58B30ABD" w14:textId="77777777">
        <w:trPr>
          <w:trHeight w:val="558"/>
        </w:trPr>
        <w:tc>
          <w:tcPr>
            <w:tcW w:w="1038" w:type="dxa"/>
            <w:gridSpan w:val="3"/>
            <w:vMerge/>
            <w:tcBorders>
              <w:top w:val="nil"/>
              <w:bottom w:val="nil"/>
            </w:tcBorders>
          </w:tcPr>
          <w:p w14:paraId="36125A45" w14:textId="77777777" w:rsidR="009948F1" w:rsidRDefault="009948F1">
            <w:pPr>
              <w:rPr>
                <w:sz w:val="2"/>
                <w:szCs w:val="2"/>
              </w:rPr>
            </w:pPr>
          </w:p>
        </w:tc>
        <w:tc>
          <w:tcPr>
            <w:tcW w:w="525" w:type="dxa"/>
          </w:tcPr>
          <w:p w14:paraId="791DCD63" w14:textId="77777777" w:rsidR="009948F1" w:rsidRDefault="009948F1">
            <w:pPr>
              <w:pStyle w:val="TableParagraph"/>
              <w:rPr>
                <w:sz w:val="12"/>
              </w:rPr>
            </w:pPr>
          </w:p>
          <w:p w14:paraId="075D5910" w14:textId="77777777" w:rsidR="009948F1" w:rsidRDefault="00BC0563">
            <w:pPr>
              <w:pStyle w:val="TableParagraph"/>
              <w:spacing w:before="80"/>
              <w:ind w:left="23" w:right="9"/>
              <w:jc w:val="center"/>
              <w:rPr>
                <w:sz w:val="11"/>
              </w:rPr>
            </w:pPr>
            <w:r>
              <w:rPr>
                <w:color w:val="231F20"/>
                <w:w w:val="110"/>
                <w:sz w:val="11"/>
              </w:rPr>
              <w:t>12.1.1.c</w:t>
            </w:r>
          </w:p>
        </w:tc>
        <w:tc>
          <w:tcPr>
            <w:tcW w:w="4885" w:type="dxa"/>
            <w:gridSpan w:val="2"/>
          </w:tcPr>
          <w:p w14:paraId="232E654D" w14:textId="77777777" w:rsidR="009948F1" w:rsidRDefault="00BC0563">
            <w:pPr>
              <w:pStyle w:val="TableParagraph"/>
              <w:spacing w:before="69" w:line="273" w:lineRule="auto"/>
              <w:ind w:left="21" w:right="51"/>
              <w:rPr>
                <w:sz w:val="11"/>
              </w:rPr>
            </w:pPr>
            <w:r>
              <w:rPr>
                <w:color w:val="231F20"/>
                <w:w w:val="110"/>
                <w:sz w:val="11"/>
              </w:rPr>
              <w:t>Collaboration with State Bureau of Statistics to develop a process for providing annual population</w:t>
            </w:r>
            <w:r>
              <w:rPr>
                <w:color w:val="231F20"/>
                <w:spacing w:val="-8"/>
                <w:w w:val="110"/>
                <w:sz w:val="11"/>
              </w:rPr>
              <w:t xml:space="preserve"> </w:t>
            </w:r>
            <w:r>
              <w:rPr>
                <w:color w:val="231F20"/>
                <w:w w:val="110"/>
                <w:sz w:val="11"/>
              </w:rPr>
              <w:t>figures</w:t>
            </w:r>
            <w:r>
              <w:rPr>
                <w:color w:val="231F20"/>
                <w:spacing w:val="-8"/>
                <w:w w:val="110"/>
                <w:sz w:val="11"/>
              </w:rPr>
              <w:t xml:space="preserve"> </w:t>
            </w:r>
            <w:r>
              <w:rPr>
                <w:color w:val="231F20"/>
                <w:w w:val="110"/>
                <w:sz w:val="11"/>
              </w:rPr>
              <w:t>disaggregated</w:t>
            </w:r>
            <w:r>
              <w:rPr>
                <w:color w:val="231F20"/>
                <w:spacing w:val="-7"/>
                <w:w w:val="110"/>
                <w:sz w:val="11"/>
              </w:rPr>
              <w:t xml:space="preserve"> </w:t>
            </w:r>
            <w:r>
              <w:rPr>
                <w:color w:val="231F20"/>
                <w:w w:val="110"/>
                <w:sz w:val="11"/>
              </w:rPr>
              <w:t>by</w:t>
            </w:r>
            <w:r>
              <w:rPr>
                <w:color w:val="231F20"/>
                <w:spacing w:val="-8"/>
                <w:w w:val="110"/>
                <w:sz w:val="11"/>
              </w:rPr>
              <w:t xml:space="preserve"> </w:t>
            </w:r>
            <w:r>
              <w:rPr>
                <w:color w:val="231F20"/>
                <w:w w:val="110"/>
                <w:sz w:val="11"/>
              </w:rPr>
              <w:t>State,</w:t>
            </w:r>
            <w:r>
              <w:rPr>
                <w:color w:val="231F20"/>
                <w:spacing w:val="-7"/>
                <w:w w:val="110"/>
                <w:sz w:val="11"/>
              </w:rPr>
              <w:t xml:space="preserve"> </w:t>
            </w:r>
            <w:r>
              <w:rPr>
                <w:color w:val="231F20"/>
                <w:w w:val="110"/>
                <w:sz w:val="11"/>
              </w:rPr>
              <w:t>LGA</w:t>
            </w:r>
            <w:r>
              <w:rPr>
                <w:color w:val="231F20"/>
                <w:spacing w:val="-13"/>
                <w:w w:val="110"/>
                <w:sz w:val="11"/>
              </w:rPr>
              <w:t xml:space="preserve"> </w:t>
            </w:r>
            <w:r>
              <w:rPr>
                <w:color w:val="231F20"/>
                <w:w w:val="110"/>
                <w:sz w:val="11"/>
              </w:rPr>
              <w:t>and</w:t>
            </w:r>
            <w:r>
              <w:rPr>
                <w:color w:val="231F20"/>
                <w:spacing w:val="-8"/>
                <w:w w:val="110"/>
                <w:sz w:val="11"/>
              </w:rPr>
              <w:t xml:space="preserve"> </w:t>
            </w:r>
            <w:r>
              <w:rPr>
                <w:color w:val="231F20"/>
                <w:w w:val="110"/>
                <w:sz w:val="11"/>
              </w:rPr>
              <w:t>Ward</w:t>
            </w:r>
            <w:r>
              <w:rPr>
                <w:color w:val="231F20"/>
                <w:spacing w:val="-8"/>
                <w:w w:val="110"/>
                <w:sz w:val="11"/>
              </w:rPr>
              <w:t xml:space="preserve"> </w:t>
            </w:r>
            <w:r>
              <w:rPr>
                <w:color w:val="231F20"/>
                <w:w w:val="110"/>
                <w:sz w:val="11"/>
              </w:rPr>
              <w:t>by</w:t>
            </w:r>
            <w:r>
              <w:rPr>
                <w:color w:val="231F20"/>
                <w:spacing w:val="-7"/>
                <w:w w:val="110"/>
                <w:sz w:val="11"/>
              </w:rPr>
              <w:t xml:space="preserve"> </w:t>
            </w:r>
            <w:r>
              <w:rPr>
                <w:color w:val="231F20"/>
                <w:w w:val="110"/>
                <w:sz w:val="11"/>
              </w:rPr>
              <w:t>the</w:t>
            </w:r>
            <w:r>
              <w:rPr>
                <w:color w:val="231F20"/>
                <w:spacing w:val="-8"/>
                <w:w w:val="110"/>
                <w:sz w:val="11"/>
              </w:rPr>
              <w:t xml:space="preserve"> </w:t>
            </w:r>
            <w:r>
              <w:rPr>
                <w:color w:val="231F20"/>
                <w:w w:val="110"/>
                <w:sz w:val="11"/>
              </w:rPr>
              <w:t>first</w:t>
            </w:r>
            <w:r>
              <w:rPr>
                <w:color w:val="231F20"/>
                <w:spacing w:val="-7"/>
                <w:w w:val="110"/>
                <w:sz w:val="11"/>
              </w:rPr>
              <w:t xml:space="preserve"> </w:t>
            </w:r>
            <w:r>
              <w:rPr>
                <w:color w:val="231F20"/>
                <w:w w:val="110"/>
                <w:sz w:val="11"/>
              </w:rPr>
              <w:t>month</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each</w:t>
            </w:r>
            <w:r>
              <w:rPr>
                <w:color w:val="231F20"/>
                <w:spacing w:val="-8"/>
                <w:w w:val="110"/>
                <w:sz w:val="11"/>
              </w:rPr>
              <w:t xml:space="preserve"> </w:t>
            </w:r>
            <w:r>
              <w:rPr>
                <w:color w:val="231F20"/>
                <w:w w:val="110"/>
                <w:sz w:val="11"/>
              </w:rPr>
              <w:t>year</w:t>
            </w:r>
            <w:r>
              <w:rPr>
                <w:color w:val="231F20"/>
                <w:spacing w:val="-7"/>
                <w:w w:val="110"/>
                <w:sz w:val="11"/>
              </w:rPr>
              <w:t xml:space="preserve"> </w:t>
            </w:r>
            <w:r>
              <w:rPr>
                <w:color w:val="231F20"/>
                <w:w w:val="110"/>
                <w:sz w:val="11"/>
              </w:rPr>
              <w:t>to the SMOH to encourage evidence-informed</w:t>
            </w:r>
            <w:r>
              <w:rPr>
                <w:color w:val="231F20"/>
                <w:spacing w:val="-10"/>
                <w:w w:val="110"/>
                <w:sz w:val="11"/>
              </w:rPr>
              <w:t xml:space="preserve"> </w:t>
            </w:r>
            <w:r>
              <w:rPr>
                <w:color w:val="231F20"/>
                <w:w w:val="110"/>
                <w:sz w:val="11"/>
              </w:rPr>
              <w:t>planning</w:t>
            </w:r>
          </w:p>
        </w:tc>
        <w:tc>
          <w:tcPr>
            <w:tcW w:w="1424" w:type="dxa"/>
          </w:tcPr>
          <w:p w14:paraId="45F0EE13" w14:textId="77777777" w:rsidR="009948F1" w:rsidRDefault="009948F1">
            <w:pPr>
              <w:pStyle w:val="TableParagraph"/>
              <w:rPr>
                <w:sz w:val="12"/>
              </w:rPr>
            </w:pPr>
          </w:p>
          <w:p w14:paraId="46EA2419" w14:textId="77777777" w:rsidR="009948F1" w:rsidRDefault="00BC0563">
            <w:pPr>
              <w:pStyle w:val="TableParagraph"/>
              <w:spacing w:before="80"/>
              <w:ind w:left="22"/>
              <w:rPr>
                <w:sz w:val="11"/>
              </w:rPr>
            </w:pPr>
            <w:r>
              <w:rPr>
                <w:color w:val="231F20"/>
                <w:w w:val="110"/>
                <w:sz w:val="11"/>
              </w:rPr>
              <w:t>Lack of funds</w:t>
            </w:r>
          </w:p>
        </w:tc>
        <w:tc>
          <w:tcPr>
            <w:tcW w:w="1502" w:type="dxa"/>
          </w:tcPr>
          <w:p w14:paraId="1F779AB7" w14:textId="77777777" w:rsidR="009948F1" w:rsidRDefault="009948F1">
            <w:pPr>
              <w:pStyle w:val="TableParagraph"/>
              <w:rPr>
                <w:sz w:val="12"/>
              </w:rPr>
            </w:pPr>
          </w:p>
          <w:p w14:paraId="4A772AD5" w14:textId="77777777" w:rsidR="009948F1" w:rsidRDefault="00BC0563">
            <w:pPr>
              <w:pStyle w:val="TableParagraph"/>
              <w:spacing w:before="80"/>
              <w:ind w:left="22"/>
              <w:rPr>
                <w:sz w:val="11"/>
              </w:rPr>
            </w:pPr>
            <w:r>
              <w:rPr>
                <w:color w:val="231F20"/>
                <w:w w:val="110"/>
                <w:sz w:val="11"/>
              </w:rPr>
              <w:t>No cost</w:t>
            </w:r>
          </w:p>
        </w:tc>
      </w:tr>
      <w:tr w:rsidR="009948F1" w14:paraId="083FBF25" w14:textId="77777777">
        <w:trPr>
          <w:trHeight w:val="452"/>
        </w:trPr>
        <w:tc>
          <w:tcPr>
            <w:tcW w:w="1038" w:type="dxa"/>
            <w:gridSpan w:val="3"/>
            <w:vMerge/>
            <w:tcBorders>
              <w:top w:val="nil"/>
              <w:bottom w:val="nil"/>
            </w:tcBorders>
          </w:tcPr>
          <w:p w14:paraId="67AFDAEF" w14:textId="77777777" w:rsidR="009948F1" w:rsidRDefault="009948F1">
            <w:pPr>
              <w:rPr>
                <w:sz w:val="2"/>
                <w:szCs w:val="2"/>
              </w:rPr>
            </w:pPr>
          </w:p>
        </w:tc>
        <w:tc>
          <w:tcPr>
            <w:tcW w:w="525" w:type="dxa"/>
          </w:tcPr>
          <w:p w14:paraId="606F00B4" w14:textId="77777777" w:rsidR="009948F1" w:rsidRDefault="009948F1">
            <w:pPr>
              <w:pStyle w:val="TableParagraph"/>
              <w:spacing w:before="4"/>
              <w:rPr>
                <w:sz w:val="14"/>
              </w:rPr>
            </w:pPr>
          </w:p>
          <w:p w14:paraId="1D7AD93A" w14:textId="77777777" w:rsidR="009948F1" w:rsidRDefault="00BC0563">
            <w:pPr>
              <w:pStyle w:val="TableParagraph"/>
              <w:ind w:left="23" w:right="9"/>
              <w:jc w:val="center"/>
              <w:rPr>
                <w:sz w:val="11"/>
              </w:rPr>
            </w:pPr>
            <w:r>
              <w:rPr>
                <w:color w:val="231F20"/>
                <w:w w:val="110"/>
                <w:sz w:val="11"/>
              </w:rPr>
              <w:t>12.1.1.d</w:t>
            </w:r>
          </w:p>
        </w:tc>
        <w:tc>
          <w:tcPr>
            <w:tcW w:w="4885" w:type="dxa"/>
            <w:gridSpan w:val="2"/>
          </w:tcPr>
          <w:p w14:paraId="0CEC45C3" w14:textId="77777777" w:rsidR="009948F1" w:rsidRDefault="00BC0563">
            <w:pPr>
              <w:pStyle w:val="TableParagraph"/>
              <w:spacing w:before="5" w:line="144" w:lineRule="exact"/>
              <w:ind w:left="21" w:right="123"/>
              <w:rPr>
                <w:sz w:val="11"/>
              </w:rPr>
            </w:pPr>
            <w:r>
              <w:rPr>
                <w:color w:val="231F20"/>
                <w:w w:val="110"/>
                <w:sz w:val="11"/>
              </w:rPr>
              <w:t>Support</w:t>
            </w:r>
            <w:r>
              <w:rPr>
                <w:color w:val="231F20"/>
                <w:spacing w:val="-9"/>
                <w:w w:val="110"/>
                <w:sz w:val="11"/>
              </w:rPr>
              <w:t xml:space="preserve"> </w:t>
            </w:r>
            <w:r>
              <w:rPr>
                <w:color w:val="231F20"/>
                <w:w w:val="110"/>
                <w:sz w:val="11"/>
              </w:rPr>
              <w:t>the</w:t>
            </w:r>
            <w:r>
              <w:rPr>
                <w:color w:val="231F20"/>
                <w:spacing w:val="-9"/>
                <w:w w:val="110"/>
                <w:sz w:val="11"/>
              </w:rPr>
              <w:t xml:space="preserve"> </w:t>
            </w:r>
            <w:r>
              <w:rPr>
                <w:color w:val="231F20"/>
                <w:w w:val="110"/>
                <w:sz w:val="11"/>
              </w:rPr>
              <w:t>broad</w:t>
            </w:r>
            <w:r>
              <w:rPr>
                <w:color w:val="231F20"/>
                <w:spacing w:val="-9"/>
                <w:w w:val="110"/>
                <w:sz w:val="11"/>
              </w:rPr>
              <w:t xml:space="preserve"> </w:t>
            </w:r>
            <w:r>
              <w:rPr>
                <w:color w:val="231F20"/>
                <w:w w:val="110"/>
                <w:sz w:val="11"/>
              </w:rPr>
              <w:t>stakeholder</w:t>
            </w:r>
            <w:r>
              <w:rPr>
                <w:color w:val="231F20"/>
                <w:spacing w:val="-9"/>
                <w:w w:val="110"/>
                <w:sz w:val="11"/>
              </w:rPr>
              <w:t xml:space="preserve"> </w:t>
            </w:r>
            <w:r>
              <w:rPr>
                <w:color w:val="231F20"/>
                <w:w w:val="110"/>
                <w:sz w:val="11"/>
              </w:rPr>
              <w:t>consultative</w:t>
            </w:r>
            <w:r>
              <w:rPr>
                <w:color w:val="231F20"/>
                <w:spacing w:val="-8"/>
                <w:w w:val="110"/>
                <w:sz w:val="11"/>
              </w:rPr>
              <w:t xml:space="preserve"> </w:t>
            </w:r>
            <w:r>
              <w:rPr>
                <w:color w:val="231F20"/>
                <w:w w:val="110"/>
                <w:sz w:val="11"/>
              </w:rPr>
              <w:t>forum</w:t>
            </w:r>
            <w:r>
              <w:rPr>
                <w:color w:val="231F20"/>
                <w:spacing w:val="-9"/>
                <w:w w:val="110"/>
                <w:sz w:val="11"/>
              </w:rPr>
              <w:t xml:space="preserve"> </w:t>
            </w:r>
            <w:r>
              <w:rPr>
                <w:color w:val="231F20"/>
                <w:w w:val="110"/>
                <w:sz w:val="11"/>
              </w:rPr>
              <w:t>on</w:t>
            </w:r>
            <w:r>
              <w:rPr>
                <w:color w:val="231F20"/>
                <w:spacing w:val="-9"/>
                <w:w w:val="110"/>
                <w:sz w:val="11"/>
              </w:rPr>
              <w:t xml:space="preserve"> </w:t>
            </w:r>
            <w:r>
              <w:rPr>
                <w:color w:val="231F20"/>
                <w:w w:val="110"/>
                <w:sz w:val="11"/>
              </w:rPr>
              <w:t>data</w:t>
            </w:r>
            <w:r>
              <w:rPr>
                <w:color w:val="231F20"/>
                <w:spacing w:val="-9"/>
                <w:w w:val="110"/>
                <w:sz w:val="11"/>
              </w:rPr>
              <w:t xml:space="preserve"> </w:t>
            </w:r>
            <w:r>
              <w:rPr>
                <w:color w:val="231F20"/>
                <w:w w:val="110"/>
                <w:sz w:val="11"/>
              </w:rPr>
              <w:t>management</w:t>
            </w:r>
            <w:r>
              <w:rPr>
                <w:color w:val="231F20"/>
                <w:spacing w:val="-8"/>
                <w:w w:val="110"/>
                <w:sz w:val="11"/>
              </w:rPr>
              <w:t xml:space="preserve"> </w:t>
            </w:r>
            <w:r>
              <w:rPr>
                <w:color w:val="231F20"/>
                <w:w w:val="110"/>
                <w:sz w:val="11"/>
              </w:rPr>
              <w:t>and</w:t>
            </w:r>
            <w:r>
              <w:rPr>
                <w:color w:val="231F20"/>
                <w:spacing w:val="-9"/>
                <w:w w:val="110"/>
                <w:sz w:val="11"/>
              </w:rPr>
              <w:t xml:space="preserve"> </w:t>
            </w:r>
            <w:r>
              <w:rPr>
                <w:color w:val="231F20"/>
                <w:w w:val="110"/>
                <w:sz w:val="11"/>
              </w:rPr>
              <w:t>use</w:t>
            </w:r>
            <w:r>
              <w:rPr>
                <w:color w:val="231F20"/>
                <w:spacing w:val="-9"/>
                <w:w w:val="110"/>
                <w:sz w:val="11"/>
              </w:rPr>
              <w:t xml:space="preserve"> </w:t>
            </w:r>
            <w:r>
              <w:rPr>
                <w:color w:val="231F20"/>
                <w:w w:val="110"/>
                <w:sz w:val="11"/>
              </w:rPr>
              <w:t>to</w:t>
            </w:r>
            <w:r>
              <w:rPr>
                <w:color w:val="231F20"/>
                <w:spacing w:val="-9"/>
                <w:w w:val="110"/>
                <w:sz w:val="11"/>
              </w:rPr>
              <w:t xml:space="preserve"> </w:t>
            </w:r>
            <w:r>
              <w:rPr>
                <w:color w:val="231F20"/>
                <w:w w:val="110"/>
                <w:sz w:val="11"/>
              </w:rPr>
              <w:t>ensure cross-institutional relationships that foster sharing of data and knowledge between the different members of the HDGC and</w:t>
            </w:r>
            <w:r>
              <w:rPr>
                <w:color w:val="231F20"/>
                <w:spacing w:val="-10"/>
                <w:w w:val="110"/>
                <w:sz w:val="11"/>
              </w:rPr>
              <w:t xml:space="preserve"> </w:t>
            </w:r>
            <w:r>
              <w:rPr>
                <w:color w:val="231F20"/>
                <w:w w:val="110"/>
                <w:sz w:val="11"/>
              </w:rPr>
              <w:t>HDCC</w:t>
            </w:r>
          </w:p>
        </w:tc>
        <w:tc>
          <w:tcPr>
            <w:tcW w:w="1424" w:type="dxa"/>
          </w:tcPr>
          <w:p w14:paraId="5F3D0C73" w14:textId="77777777" w:rsidR="009948F1" w:rsidRDefault="009948F1">
            <w:pPr>
              <w:pStyle w:val="TableParagraph"/>
              <w:spacing w:before="4"/>
              <w:rPr>
                <w:sz w:val="14"/>
              </w:rPr>
            </w:pPr>
          </w:p>
          <w:p w14:paraId="441383F9" w14:textId="77777777" w:rsidR="009948F1" w:rsidRDefault="00BC0563">
            <w:pPr>
              <w:pStyle w:val="TableParagraph"/>
              <w:ind w:left="22"/>
              <w:rPr>
                <w:sz w:val="11"/>
              </w:rPr>
            </w:pPr>
            <w:r>
              <w:rPr>
                <w:color w:val="231F20"/>
                <w:w w:val="110"/>
                <w:sz w:val="11"/>
              </w:rPr>
              <w:t>Lack of funds</w:t>
            </w:r>
          </w:p>
        </w:tc>
        <w:tc>
          <w:tcPr>
            <w:tcW w:w="1502" w:type="dxa"/>
          </w:tcPr>
          <w:p w14:paraId="3BBACC63" w14:textId="77777777" w:rsidR="009948F1" w:rsidRDefault="00BC0563">
            <w:pPr>
              <w:pStyle w:val="TableParagraph"/>
              <w:spacing w:before="93" w:line="273" w:lineRule="auto"/>
              <w:ind w:left="22"/>
              <w:rPr>
                <w:sz w:val="11"/>
              </w:rPr>
            </w:pPr>
            <w:r>
              <w:rPr>
                <w:color w:val="231F20"/>
                <w:w w:val="110"/>
                <w:sz w:val="11"/>
              </w:rPr>
              <w:t>Support stakeholder consultative forum</w:t>
            </w:r>
          </w:p>
        </w:tc>
      </w:tr>
      <w:tr w:rsidR="009948F1" w14:paraId="0EB74F4E" w14:textId="77777777">
        <w:trPr>
          <w:trHeight w:val="278"/>
        </w:trPr>
        <w:tc>
          <w:tcPr>
            <w:tcW w:w="1038" w:type="dxa"/>
            <w:gridSpan w:val="3"/>
            <w:vMerge/>
            <w:tcBorders>
              <w:top w:val="nil"/>
              <w:bottom w:val="nil"/>
            </w:tcBorders>
          </w:tcPr>
          <w:p w14:paraId="1094A55E" w14:textId="77777777" w:rsidR="009948F1" w:rsidRDefault="009948F1">
            <w:pPr>
              <w:rPr>
                <w:sz w:val="2"/>
                <w:szCs w:val="2"/>
              </w:rPr>
            </w:pPr>
          </w:p>
        </w:tc>
        <w:tc>
          <w:tcPr>
            <w:tcW w:w="525" w:type="dxa"/>
          </w:tcPr>
          <w:p w14:paraId="3198C018" w14:textId="77777777" w:rsidR="009948F1" w:rsidRDefault="00BC0563">
            <w:pPr>
              <w:pStyle w:val="TableParagraph"/>
              <w:spacing w:before="79"/>
              <w:ind w:left="23" w:right="9"/>
              <w:jc w:val="center"/>
              <w:rPr>
                <w:sz w:val="11"/>
              </w:rPr>
            </w:pPr>
            <w:r>
              <w:rPr>
                <w:color w:val="231F20"/>
                <w:w w:val="110"/>
                <w:sz w:val="11"/>
              </w:rPr>
              <w:t>12.1.1.e</w:t>
            </w:r>
          </w:p>
        </w:tc>
        <w:tc>
          <w:tcPr>
            <w:tcW w:w="4885" w:type="dxa"/>
            <w:gridSpan w:val="2"/>
          </w:tcPr>
          <w:p w14:paraId="4C0E345B" w14:textId="77777777" w:rsidR="009948F1" w:rsidRDefault="00BC0563">
            <w:pPr>
              <w:pStyle w:val="TableParagraph"/>
              <w:spacing w:before="74"/>
              <w:ind w:left="21"/>
              <w:rPr>
                <w:sz w:val="11"/>
              </w:rPr>
            </w:pPr>
            <w:r>
              <w:rPr>
                <w:color w:val="231F20"/>
                <w:w w:val="110"/>
                <w:sz w:val="11"/>
              </w:rPr>
              <w:t>Support monthly review/coordinating meetings of HMIS and M&amp;E officers</w:t>
            </w:r>
          </w:p>
        </w:tc>
        <w:tc>
          <w:tcPr>
            <w:tcW w:w="1424" w:type="dxa"/>
          </w:tcPr>
          <w:p w14:paraId="57FB6684" w14:textId="77777777" w:rsidR="009948F1" w:rsidRDefault="00BC0563">
            <w:pPr>
              <w:pStyle w:val="TableParagraph"/>
              <w:spacing w:before="79"/>
              <w:ind w:left="22"/>
              <w:rPr>
                <w:sz w:val="11"/>
              </w:rPr>
            </w:pPr>
            <w:r>
              <w:rPr>
                <w:color w:val="231F20"/>
                <w:w w:val="110"/>
                <w:sz w:val="11"/>
              </w:rPr>
              <w:t>Lack of funds</w:t>
            </w:r>
          </w:p>
        </w:tc>
        <w:tc>
          <w:tcPr>
            <w:tcW w:w="1502" w:type="dxa"/>
          </w:tcPr>
          <w:p w14:paraId="6298BF86" w14:textId="77777777" w:rsidR="009948F1" w:rsidRDefault="00BC0563">
            <w:pPr>
              <w:pStyle w:val="TableParagraph"/>
              <w:spacing w:before="4"/>
              <w:ind w:left="22"/>
              <w:rPr>
                <w:sz w:val="11"/>
              </w:rPr>
            </w:pPr>
            <w:r>
              <w:rPr>
                <w:color w:val="231F20"/>
                <w:w w:val="110"/>
                <w:sz w:val="11"/>
              </w:rPr>
              <w:t>Support</w:t>
            </w:r>
          </w:p>
          <w:p w14:paraId="18F87543" w14:textId="77777777" w:rsidR="009948F1" w:rsidRDefault="00BC0563">
            <w:pPr>
              <w:pStyle w:val="TableParagraph"/>
              <w:spacing w:before="17" w:line="111" w:lineRule="exact"/>
              <w:ind w:left="22"/>
              <w:rPr>
                <w:sz w:val="11"/>
              </w:rPr>
            </w:pPr>
            <w:r>
              <w:rPr>
                <w:color w:val="231F20"/>
                <w:w w:val="110"/>
                <w:sz w:val="11"/>
              </w:rPr>
              <w:t>review/coordinating</w:t>
            </w:r>
          </w:p>
        </w:tc>
      </w:tr>
      <w:tr w:rsidR="009948F1" w14:paraId="5EF6A3E7" w14:textId="77777777">
        <w:trPr>
          <w:trHeight w:val="1125"/>
        </w:trPr>
        <w:tc>
          <w:tcPr>
            <w:tcW w:w="584" w:type="dxa"/>
            <w:gridSpan w:val="2"/>
            <w:tcBorders>
              <w:top w:val="nil"/>
              <w:bottom w:val="nil"/>
            </w:tcBorders>
          </w:tcPr>
          <w:p w14:paraId="296A0D26" w14:textId="77777777" w:rsidR="009948F1" w:rsidRDefault="009948F1">
            <w:pPr>
              <w:pStyle w:val="TableParagraph"/>
              <w:rPr>
                <w:rFonts w:ascii="Times New Roman"/>
                <w:sz w:val="10"/>
              </w:rPr>
            </w:pPr>
          </w:p>
        </w:tc>
        <w:tc>
          <w:tcPr>
            <w:tcW w:w="454" w:type="dxa"/>
            <w:shd w:val="clear" w:color="auto" w:fill="CCE7D3"/>
          </w:tcPr>
          <w:p w14:paraId="64872BEA" w14:textId="77777777" w:rsidR="009948F1" w:rsidRDefault="009948F1">
            <w:pPr>
              <w:pStyle w:val="TableParagraph"/>
              <w:rPr>
                <w:sz w:val="12"/>
              </w:rPr>
            </w:pPr>
          </w:p>
          <w:p w14:paraId="30ACAA4B" w14:textId="77777777" w:rsidR="009948F1" w:rsidRDefault="009948F1">
            <w:pPr>
              <w:pStyle w:val="TableParagraph"/>
              <w:rPr>
                <w:sz w:val="12"/>
              </w:rPr>
            </w:pPr>
          </w:p>
          <w:p w14:paraId="6B0DC381" w14:textId="77777777" w:rsidR="009948F1" w:rsidRDefault="009948F1">
            <w:pPr>
              <w:pStyle w:val="TableParagraph"/>
              <w:rPr>
                <w:sz w:val="12"/>
              </w:rPr>
            </w:pPr>
          </w:p>
          <w:p w14:paraId="0A1217EA" w14:textId="77777777" w:rsidR="009948F1" w:rsidRDefault="00BC0563">
            <w:pPr>
              <w:pStyle w:val="TableParagraph"/>
              <w:spacing w:before="87"/>
              <w:ind w:left="31" w:right="31"/>
              <w:jc w:val="center"/>
              <w:rPr>
                <w:sz w:val="11"/>
              </w:rPr>
            </w:pPr>
            <w:r>
              <w:rPr>
                <w:color w:val="231F20"/>
                <w:w w:val="110"/>
                <w:sz w:val="11"/>
              </w:rPr>
              <w:t>12.1.2</w:t>
            </w:r>
          </w:p>
        </w:tc>
        <w:tc>
          <w:tcPr>
            <w:tcW w:w="3031" w:type="dxa"/>
            <w:gridSpan w:val="2"/>
            <w:shd w:val="clear" w:color="auto" w:fill="CCE7D3"/>
          </w:tcPr>
          <w:p w14:paraId="732C1CC9" w14:textId="77777777" w:rsidR="009948F1" w:rsidRDefault="009948F1">
            <w:pPr>
              <w:pStyle w:val="TableParagraph"/>
              <w:rPr>
                <w:sz w:val="12"/>
              </w:rPr>
            </w:pPr>
          </w:p>
          <w:p w14:paraId="7E592E5F" w14:textId="77777777" w:rsidR="009948F1" w:rsidRDefault="009948F1">
            <w:pPr>
              <w:pStyle w:val="TableParagraph"/>
              <w:rPr>
                <w:sz w:val="12"/>
              </w:rPr>
            </w:pPr>
          </w:p>
          <w:p w14:paraId="3E54ED52" w14:textId="77777777" w:rsidR="009948F1" w:rsidRDefault="00BC0563">
            <w:pPr>
              <w:pStyle w:val="TableParagraph"/>
              <w:spacing w:before="77" w:line="273" w:lineRule="auto"/>
              <w:ind w:left="22" w:right="9" w:firstLine="32"/>
              <w:rPr>
                <w:sz w:val="11"/>
              </w:rPr>
            </w:pPr>
            <w:r>
              <w:rPr>
                <w:color w:val="231F20"/>
                <w:w w:val="110"/>
                <w:sz w:val="11"/>
              </w:rPr>
              <w:t>Strengthen capacity to generate, transmit, analyze and utilize routine health data, from all health facilities, including private health facilities.</w:t>
            </w:r>
          </w:p>
        </w:tc>
        <w:tc>
          <w:tcPr>
            <w:tcW w:w="2379" w:type="dxa"/>
            <w:shd w:val="clear" w:color="auto" w:fill="CCE7D3"/>
          </w:tcPr>
          <w:p w14:paraId="5B21318A" w14:textId="77777777" w:rsidR="009948F1" w:rsidRDefault="00BC0563">
            <w:pPr>
              <w:pStyle w:val="TableParagraph"/>
              <w:numPr>
                <w:ilvl w:val="0"/>
                <w:numId w:val="37"/>
              </w:numPr>
              <w:tabs>
                <w:tab w:val="left" w:pos="97"/>
              </w:tabs>
              <w:spacing w:before="4" w:line="273" w:lineRule="auto"/>
              <w:ind w:right="148" w:firstLine="0"/>
              <w:rPr>
                <w:sz w:val="11"/>
              </w:rPr>
            </w:pPr>
            <w:r>
              <w:rPr>
                <w:color w:val="231F20"/>
                <w:w w:val="110"/>
                <w:sz w:val="11"/>
              </w:rPr>
              <w:t>DHIS indicators and tools, guidelines, SOPs, including ISS and DQA checklist reviewed,</w:t>
            </w:r>
            <w:r>
              <w:rPr>
                <w:color w:val="231F20"/>
                <w:spacing w:val="-11"/>
                <w:w w:val="110"/>
                <w:sz w:val="11"/>
              </w:rPr>
              <w:t xml:space="preserve"> </w:t>
            </w:r>
            <w:r>
              <w:rPr>
                <w:color w:val="231F20"/>
                <w:w w:val="110"/>
                <w:sz w:val="11"/>
              </w:rPr>
              <w:t>harmonized,</w:t>
            </w:r>
            <w:r>
              <w:rPr>
                <w:color w:val="231F20"/>
                <w:spacing w:val="-11"/>
                <w:w w:val="110"/>
                <w:sz w:val="11"/>
              </w:rPr>
              <w:t xml:space="preserve"> </w:t>
            </w:r>
            <w:r>
              <w:rPr>
                <w:color w:val="231F20"/>
                <w:w w:val="110"/>
                <w:sz w:val="11"/>
              </w:rPr>
              <w:t>updated,</w:t>
            </w:r>
            <w:r>
              <w:rPr>
                <w:color w:val="231F20"/>
                <w:spacing w:val="-11"/>
                <w:w w:val="110"/>
                <w:sz w:val="11"/>
              </w:rPr>
              <w:t xml:space="preserve"> </w:t>
            </w:r>
            <w:r>
              <w:rPr>
                <w:color w:val="231F20"/>
                <w:w w:val="110"/>
                <w:sz w:val="11"/>
              </w:rPr>
              <w:t>printed</w:t>
            </w:r>
            <w:r>
              <w:rPr>
                <w:color w:val="231F20"/>
                <w:spacing w:val="-10"/>
                <w:w w:val="110"/>
                <w:sz w:val="11"/>
              </w:rPr>
              <w:t xml:space="preserve"> </w:t>
            </w:r>
            <w:r>
              <w:rPr>
                <w:color w:val="231F20"/>
                <w:spacing w:val="-16"/>
                <w:w w:val="110"/>
                <w:sz w:val="11"/>
              </w:rPr>
              <w:t xml:space="preserve">&amp; </w:t>
            </w:r>
            <w:r>
              <w:rPr>
                <w:color w:val="231F20"/>
                <w:w w:val="110"/>
                <w:sz w:val="11"/>
              </w:rPr>
              <w:t>distributed</w:t>
            </w:r>
          </w:p>
          <w:p w14:paraId="2376514D" w14:textId="77777777" w:rsidR="009948F1" w:rsidRDefault="00BC0563">
            <w:pPr>
              <w:pStyle w:val="TableParagraph"/>
              <w:spacing w:line="273" w:lineRule="auto"/>
              <w:ind w:left="21" w:right="-9"/>
              <w:rPr>
                <w:sz w:val="11"/>
              </w:rPr>
            </w:pPr>
            <w:r>
              <w:rPr>
                <w:color w:val="231F20"/>
                <w:w w:val="110"/>
                <w:sz w:val="11"/>
              </w:rPr>
              <w:t>•HIO's (SMOH &amp; RSPHCMB) across the 23 LGAs and State HMIS &amp; M&amp;E Officers trained</w:t>
            </w:r>
          </w:p>
          <w:p w14:paraId="0D19CC78" w14:textId="77777777" w:rsidR="009948F1" w:rsidRDefault="00BC0563">
            <w:pPr>
              <w:pStyle w:val="TableParagraph"/>
              <w:numPr>
                <w:ilvl w:val="0"/>
                <w:numId w:val="37"/>
              </w:numPr>
              <w:tabs>
                <w:tab w:val="left" w:pos="97"/>
              </w:tabs>
              <w:spacing w:line="93" w:lineRule="exact"/>
              <w:ind w:left="96" w:hanging="76"/>
              <w:rPr>
                <w:sz w:val="11"/>
              </w:rPr>
            </w:pPr>
            <w:r>
              <w:rPr>
                <w:color w:val="231F20"/>
                <w:w w:val="110"/>
                <w:sz w:val="11"/>
              </w:rPr>
              <w:t>Recruitment</w:t>
            </w:r>
            <w:r>
              <w:rPr>
                <w:color w:val="231F20"/>
                <w:spacing w:val="-8"/>
                <w:w w:val="110"/>
                <w:sz w:val="11"/>
              </w:rPr>
              <w:t xml:space="preserve"> </w:t>
            </w:r>
            <w:r>
              <w:rPr>
                <w:color w:val="231F20"/>
                <w:w w:val="110"/>
                <w:sz w:val="11"/>
              </w:rPr>
              <w:t>and</w:t>
            </w:r>
            <w:r>
              <w:rPr>
                <w:color w:val="231F20"/>
                <w:spacing w:val="-7"/>
                <w:w w:val="110"/>
                <w:sz w:val="11"/>
              </w:rPr>
              <w:t xml:space="preserve"> </w:t>
            </w:r>
            <w:r>
              <w:rPr>
                <w:color w:val="231F20"/>
                <w:w w:val="110"/>
                <w:sz w:val="11"/>
              </w:rPr>
              <w:t>deployment</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HMIS</w:t>
            </w:r>
            <w:r>
              <w:rPr>
                <w:color w:val="231F20"/>
                <w:spacing w:val="-8"/>
                <w:w w:val="110"/>
                <w:sz w:val="11"/>
              </w:rPr>
              <w:t xml:space="preserve"> </w:t>
            </w:r>
            <w:r>
              <w:rPr>
                <w:color w:val="231F20"/>
                <w:w w:val="110"/>
                <w:sz w:val="11"/>
              </w:rPr>
              <w:t>and</w:t>
            </w:r>
          </w:p>
        </w:tc>
        <w:tc>
          <w:tcPr>
            <w:tcW w:w="1424" w:type="dxa"/>
            <w:shd w:val="clear" w:color="auto" w:fill="CCE7D3"/>
          </w:tcPr>
          <w:p w14:paraId="31C5D4BD" w14:textId="77777777" w:rsidR="009948F1" w:rsidRDefault="009948F1">
            <w:pPr>
              <w:pStyle w:val="TableParagraph"/>
              <w:rPr>
                <w:rFonts w:ascii="Times New Roman"/>
                <w:sz w:val="10"/>
              </w:rPr>
            </w:pPr>
          </w:p>
        </w:tc>
        <w:tc>
          <w:tcPr>
            <w:tcW w:w="1502" w:type="dxa"/>
            <w:shd w:val="clear" w:color="auto" w:fill="CCE7D3"/>
          </w:tcPr>
          <w:p w14:paraId="0D7F1288" w14:textId="77777777" w:rsidR="009948F1" w:rsidRDefault="009948F1">
            <w:pPr>
              <w:pStyle w:val="TableParagraph"/>
              <w:rPr>
                <w:rFonts w:ascii="Times New Roman"/>
                <w:sz w:val="10"/>
              </w:rPr>
            </w:pPr>
          </w:p>
        </w:tc>
      </w:tr>
      <w:tr w:rsidR="009948F1" w14:paraId="2C9C9CE2" w14:textId="77777777">
        <w:trPr>
          <w:trHeight w:val="508"/>
        </w:trPr>
        <w:tc>
          <w:tcPr>
            <w:tcW w:w="1038" w:type="dxa"/>
            <w:gridSpan w:val="3"/>
            <w:vMerge w:val="restart"/>
            <w:tcBorders>
              <w:top w:val="nil"/>
              <w:bottom w:val="nil"/>
            </w:tcBorders>
          </w:tcPr>
          <w:p w14:paraId="36FAAD1C" w14:textId="77777777" w:rsidR="009948F1" w:rsidRDefault="009948F1">
            <w:pPr>
              <w:pStyle w:val="TableParagraph"/>
              <w:rPr>
                <w:rFonts w:ascii="Times New Roman"/>
                <w:sz w:val="10"/>
              </w:rPr>
            </w:pPr>
          </w:p>
        </w:tc>
        <w:tc>
          <w:tcPr>
            <w:tcW w:w="525" w:type="dxa"/>
          </w:tcPr>
          <w:p w14:paraId="49CFDCFE" w14:textId="77777777" w:rsidR="009948F1" w:rsidRDefault="009948F1">
            <w:pPr>
              <w:pStyle w:val="TableParagraph"/>
              <w:spacing w:before="9"/>
              <w:rPr>
                <w:sz w:val="16"/>
              </w:rPr>
            </w:pPr>
          </w:p>
          <w:p w14:paraId="465DE399" w14:textId="77777777" w:rsidR="009948F1" w:rsidRDefault="00BC0563">
            <w:pPr>
              <w:pStyle w:val="TableParagraph"/>
              <w:ind w:left="23" w:right="9"/>
              <w:jc w:val="center"/>
              <w:rPr>
                <w:sz w:val="11"/>
              </w:rPr>
            </w:pPr>
            <w:r>
              <w:rPr>
                <w:color w:val="231F20"/>
                <w:w w:val="110"/>
                <w:sz w:val="11"/>
              </w:rPr>
              <w:t>12.1.2.a</w:t>
            </w:r>
          </w:p>
        </w:tc>
        <w:tc>
          <w:tcPr>
            <w:tcW w:w="4885" w:type="dxa"/>
            <w:gridSpan w:val="2"/>
          </w:tcPr>
          <w:p w14:paraId="1AF150EE" w14:textId="77777777" w:rsidR="009948F1" w:rsidRDefault="009948F1">
            <w:pPr>
              <w:pStyle w:val="TableParagraph"/>
              <w:spacing w:before="1"/>
              <w:rPr>
                <w:sz w:val="10"/>
              </w:rPr>
            </w:pPr>
          </w:p>
          <w:p w14:paraId="36BA86F7" w14:textId="77777777" w:rsidR="009948F1" w:rsidRDefault="00BC0563">
            <w:pPr>
              <w:pStyle w:val="TableParagraph"/>
              <w:spacing w:line="273" w:lineRule="auto"/>
              <w:ind w:left="21" w:right="302" w:firstLine="65"/>
              <w:rPr>
                <w:sz w:val="11"/>
              </w:rPr>
            </w:pPr>
            <w:r>
              <w:rPr>
                <w:color w:val="231F20"/>
                <w:w w:val="110"/>
                <w:sz w:val="11"/>
              </w:rPr>
              <w:t>Review,</w:t>
            </w:r>
            <w:r>
              <w:rPr>
                <w:color w:val="231F20"/>
                <w:spacing w:val="-12"/>
                <w:w w:val="110"/>
                <w:sz w:val="11"/>
              </w:rPr>
              <w:t xml:space="preserve"> </w:t>
            </w:r>
            <w:r>
              <w:rPr>
                <w:color w:val="231F20"/>
                <w:w w:val="110"/>
                <w:sz w:val="11"/>
              </w:rPr>
              <w:t>harmonize,</w:t>
            </w:r>
            <w:r>
              <w:rPr>
                <w:color w:val="231F20"/>
                <w:spacing w:val="-11"/>
                <w:w w:val="110"/>
                <w:sz w:val="11"/>
              </w:rPr>
              <w:t xml:space="preserve"> </w:t>
            </w:r>
            <w:r>
              <w:rPr>
                <w:color w:val="231F20"/>
                <w:w w:val="110"/>
                <w:sz w:val="11"/>
              </w:rPr>
              <w:t>update,</w:t>
            </w:r>
            <w:r>
              <w:rPr>
                <w:color w:val="231F20"/>
                <w:spacing w:val="-11"/>
                <w:w w:val="110"/>
                <w:sz w:val="11"/>
              </w:rPr>
              <w:t xml:space="preserve"> </w:t>
            </w:r>
            <w:r>
              <w:rPr>
                <w:color w:val="231F20"/>
                <w:w w:val="110"/>
                <w:sz w:val="11"/>
              </w:rPr>
              <w:t>print</w:t>
            </w:r>
            <w:r>
              <w:rPr>
                <w:color w:val="231F20"/>
                <w:spacing w:val="-11"/>
                <w:w w:val="110"/>
                <w:sz w:val="11"/>
              </w:rPr>
              <w:t xml:space="preserve"> </w:t>
            </w:r>
            <w:r>
              <w:rPr>
                <w:color w:val="231F20"/>
                <w:w w:val="110"/>
                <w:sz w:val="11"/>
              </w:rPr>
              <w:t>and</w:t>
            </w:r>
            <w:r>
              <w:rPr>
                <w:color w:val="231F20"/>
                <w:spacing w:val="-11"/>
                <w:w w:val="110"/>
                <w:sz w:val="11"/>
              </w:rPr>
              <w:t xml:space="preserve"> </w:t>
            </w:r>
            <w:r>
              <w:rPr>
                <w:color w:val="231F20"/>
                <w:w w:val="110"/>
                <w:sz w:val="11"/>
              </w:rPr>
              <w:t>distribute</w:t>
            </w:r>
            <w:r>
              <w:rPr>
                <w:color w:val="231F20"/>
                <w:spacing w:val="-11"/>
                <w:w w:val="110"/>
                <w:sz w:val="11"/>
              </w:rPr>
              <w:t xml:space="preserve"> </w:t>
            </w:r>
            <w:r>
              <w:rPr>
                <w:color w:val="231F20"/>
                <w:w w:val="110"/>
                <w:sz w:val="11"/>
              </w:rPr>
              <w:t>DHIS</w:t>
            </w:r>
            <w:r>
              <w:rPr>
                <w:color w:val="231F20"/>
                <w:spacing w:val="-11"/>
                <w:w w:val="110"/>
                <w:sz w:val="11"/>
              </w:rPr>
              <w:t xml:space="preserve"> </w:t>
            </w:r>
            <w:r>
              <w:rPr>
                <w:color w:val="231F20"/>
                <w:w w:val="110"/>
                <w:sz w:val="11"/>
              </w:rPr>
              <w:t>indicators</w:t>
            </w:r>
            <w:r>
              <w:rPr>
                <w:color w:val="231F20"/>
                <w:spacing w:val="-12"/>
                <w:w w:val="110"/>
                <w:sz w:val="11"/>
              </w:rPr>
              <w:t xml:space="preserve"> </w:t>
            </w:r>
            <w:r>
              <w:rPr>
                <w:color w:val="231F20"/>
                <w:w w:val="110"/>
                <w:sz w:val="11"/>
              </w:rPr>
              <w:t>and</w:t>
            </w:r>
            <w:r>
              <w:rPr>
                <w:color w:val="231F20"/>
                <w:spacing w:val="-11"/>
                <w:w w:val="110"/>
                <w:sz w:val="11"/>
              </w:rPr>
              <w:t xml:space="preserve"> </w:t>
            </w:r>
            <w:r>
              <w:rPr>
                <w:color w:val="231F20"/>
                <w:w w:val="110"/>
                <w:sz w:val="11"/>
              </w:rPr>
              <w:t>tools,</w:t>
            </w:r>
            <w:r>
              <w:rPr>
                <w:color w:val="231F20"/>
                <w:spacing w:val="-11"/>
                <w:w w:val="110"/>
                <w:sz w:val="11"/>
              </w:rPr>
              <w:t xml:space="preserve"> </w:t>
            </w:r>
            <w:r>
              <w:rPr>
                <w:color w:val="231F20"/>
                <w:w w:val="110"/>
                <w:sz w:val="11"/>
              </w:rPr>
              <w:t>guidelines, SOPs, including ISS and DQA</w:t>
            </w:r>
            <w:r>
              <w:rPr>
                <w:color w:val="231F20"/>
                <w:spacing w:val="-18"/>
                <w:w w:val="110"/>
                <w:sz w:val="11"/>
              </w:rPr>
              <w:t xml:space="preserve"> </w:t>
            </w:r>
            <w:r>
              <w:rPr>
                <w:color w:val="231F20"/>
                <w:w w:val="110"/>
                <w:sz w:val="11"/>
              </w:rPr>
              <w:t>checklist</w:t>
            </w:r>
          </w:p>
        </w:tc>
        <w:tc>
          <w:tcPr>
            <w:tcW w:w="1424" w:type="dxa"/>
          </w:tcPr>
          <w:p w14:paraId="2CD876AA" w14:textId="77777777" w:rsidR="009948F1" w:rsidRDefault="009948F1">
            <w:pPr>
              <w:pStyle w:val="TableParagraph"/>
              <w:spacing w:before="9"/>
              <w:rPr>
                <w:sz w:val="16"/>
              </w:rPr>
            </w:pPr>
          </w:p>
          <w:p w14:paraId="074D35CC" w14:textId="77777777" w:rsidR="009948F1" w:rsidRDefault="00BC0563">
            <w:pPr>
              <w:pStyle w:val="TableParagraph"/>
              <w:ind w:left="22"/>
              <w:rPr>
                <w:sz w:val="11"/>
              </w:rPr>
            </w:pPr>
            <w:r>
              <w:rPr>
                <w:color w:val="231F20"/>
                <w:w w:val="110"/>
                <w:sz w:val="11"/>
              </w:rPr>
              <w:t>Lack of funds</w:t>
            </w:r>
          </w:p>
        </w:tc>
        <w:tc>
          <w:tcPr>
            <w:tcW w:w="1502" w:type="dxa"/>
          </w:tcPr>
          <w:p w14:paraId="38158503" w14:textId="77777777" w:rsidR="009948F1" w:rsidRDefault="00BC0563">
            <w:pPr>
              <w:pStyle w:val="TableParagraph"/>
              <w:spacing w:before="49" w:line="273" w:lineRule="auto"/>
              <w:ind w:left="22" w:right="27" w:firstLine="32"/>
              <w:rPr>
                <w:sz w:val="11"/>
              </w:rPr>
            </w:pPr>
            <w:r>
              <w:rPr>
                <w:color w:val="231F20"/>
                <w:w w:val="110"/>
                <w:sz w:val="11"/>
              </w:rPr>
              <w:t>Review, print and distribute DHIS indicators and tools</w:t>
            </w:r>
          </w:p>
        </w:tc>
      </w:tr>
      <w:tr w:rsidR="009948F1" w14:paraId="372482EF" w14:textId="77777777">
        <w:trPr>
          <w:trHeight w:val="473"/>
        </w:trPr>
        <w:tc>
          <w:tcPr>
            <w:tcW w:w="1038" w:type="dxa"/>
            <w:gridSpan w:val="3"/>
            <w:vMerge/>
            <w:tcBorders>
              <w:top w:val="nil"/>
              <w:bottom w:val="nil"/>
            </w:tcBorders>
          </w:tcPr>
          <w:p w14:paraId="0F3B46F2" w14:textId="77777777" w:rsidR="009948F1" w:rsidRDefault="009948F1">
            <w:pPr>
              <w:rPr>
                <w:sz w:val="2"/>
                <w:szCs w:val="2"/>
              </w:rPr>
            </w:pPr>
          </w:p>
        </w:tc>
        <w:tc>
          <w:tcPr>
            <w:tcW w:w="525" w:type="dxa"/>
          </w:tcPr>
          <w:p w14:paraId="701D7845" w14:textId="77777777" w:rsidR="009948F1" w:rsidRDefault="009948F1">
            <w:pPr>
              <w:pStyle w:val="TableParagraph"/>
              <w:spacing w:before="3"/>
              <w:rPr>
                <w:sz w:val="15"/>
              </w:rPr>
            </w:pPr>
          </w:p>
          <w:p w14:paraId="359BDE69" w14:textId="77777777" w:rsidR="009948F1" w:rsidRDefault="00BC0563">
            <w:pPr>
              <w:pStyle w:val="TableParagraph"/>
              <w:ind w:left="23" w:right="9"/>
              <w:jc w:val="center"/>
              <w:rPr>
                <w:sz w:val="11"/>
              </w:rPr>
            </w:pPr>
            <w:r>
              <w:rPr>
                <w:color w:val="231F20"/>
                <w:w w:val="110"/>
                <w:sz w:val="11"/>
              </w:rPr>
              <w:t>12.1.2.b</w:t>
            </w:r>
          </w:p>
        </w:tc>
        <w:tc>
          <w:tcPr>
            <w:tcW w:w="4885" w:type="dxa"/>
            <w:gridSpan w:val="2"/>
          </w:tcPr>
          <w:p w14:paraId="37B038FD" w14:textId="77777777" w:rsidR="009948F1" w:rsidRDefault="00BC0563">
            <w:pPr>
              <w:pStyle w:val="TableParagraph"/>
              <w:spacing w:before="99" w:line="273" w:lineRule="auto"/>
              <w:ind w:left="21" w:right="115"/>
              <w:rPr>
                <w:sz w:val="11"/>
              </w:rPr>
            </w:pPr>
            <w:r>
              <w:rPr>
                <w:color w:val="231F20"/>
                <w:w w:val="110"/>
                <w:sz w:val="11"/>
              </w:rPr>
              <w:t>Develop</w:t>
            </w:r>
            <w:r>
              <w:rPr>
                <w:color w:val="231F20"/>
                <w:spacing w:val="-9"/>
                <w:w w:val="110"/>
                <w:sz w:val="11"/>
              </w:rPr>
              <w:t xml:space="preserve"> </w:t>
            </w:r>
            <w:r>
              <w:rPr>
                <w:color w:val="231F20"/>
                <w:w w:val="110"/>
                <w:sz w:val="11"/>
              </w:rPr>
              <w:t>electronic</w:t>
            </w:r>
            <w:r>
              <w:rPr>
                <w:color w:val="231F20"/>
                <w:spacing w:val="-8"/>
                <w:w w:val="110"/>
                <w:sz w:val="11"/>
              </w:rPr>
              <w:t xml:space="preserve"> </w:t>
            </w:r>
            <w:r>
              <w:rPr>
                <w:color w:val="231F20"/>
                <w:w w:val="110"/>
                <w:sz w:val="11"/>
              </w:rPr>
              <w:t>media</w:t>
            </w:r>
            <w:r>
              <w:rPr>
                <w:color w:val="231F20"/>
                <w:spacing w:val="-8"/>
                <w:w w:val="110"/>
                <w:sz w:val="11"/>
              </w:rPr>
              <w:t xml:space="preserve"> </w:t>
            </w:r>
            <w:r>
              <w:rPr>
                <w:color w:val="231F20"/>
                <w:w w:val="110"/>
                <w:sz w:val="11"/>
              </w:rPr>
              <w:t>for</w:t>
            </w:r>
            <w:r>
              <w:rPr>
                <w:color w:val="231F20"/>
                <w:spacing w:val="-9"/>
                <w:w w:val="110"/>
                <w:sz w:val="11"/>
              </w:rPr>
              <w:t xml:space="preserve"> </w:t>
            </w:r>
            <w:r>
              <w:rPr>
                <w:color w:val="231F20"/>
                <w:w w:val="110"/>
                <w:sz w:val="11"/>
              </w:rPr>
              <w:t>continuous</w:t>
            </w:r>
            <w:r>
              <w:rPr>
                <w:color w:val="231F20"/>
                <w:spacing w:val="-8"/>
                <w:w w:val="110"/>
                <w:sz w:val="11"/>
              </w:rPr>
              <w:t xml:space="preserve"> </w:t>
            </w:r>
            <w:r>
              <w:rPr>
                <w:color w:val="231F20"/>
                <w:w w:val="110"/>
                <w:sz w:val="11"/>
              </w:rPr>
              <w:t>training</w:t>
            </w:r>
            <w:r>
              <w:rPr>
                <w:color w:val="231F20"/>
                <w:spacing w:val="-9"/>
                <w:w w:val="110"/>
                <w:sz w:val="11"/>
              </w:rPr>
              <w:t xml:space="preserve"> </w:t>
            </w:r>
            <w:r>
              <w:rPr>
                <w:color w:val="231F20"/>
                <w:w w:val="110"/>
                <w:sz w:val="11"/>
              </w:rPr>
              <w:t>of</w:t>
            </w:r>
            <w:r>
              <w:rPr>
                <w:color w:val="231F20"/>
                <w:spacing w:val="-8"/>
                <w:w w:val="110"/>
                <w:sz w:val="11"/>
              </w:rPr>
              <w:t xml:space="preserve"> </w:t>
            </w:r>
            <w:r>
              <w:rPr>
                <w:color w:val="231F20"/>
                <w:w w:val="110"/>
                <w:sz w:val="11"/>
              </w:rPr>
              <w:t>HMIS</w:t>
            </w:r>
            <w:r>
              <w:rPr>
                <w:color w:val="231F20"/>
                <w:spacing w:val="-8"/>
                <w:w w:val="110"/>
                <w:sz w:val="11"/>
              </w:rPr>
              <w:t xml:space="preserve"> </w:t>
            </w:r>
            <w:r>
              <w:rPr>
                <w:color w:val="231F20"/>
                <w:w w:val="110"/>
                <w:sz w:val="11"/>
              </w:rPr>
              <w:t>officers</w:t>
            </w:r>
            <w:r>
              <w:rPr>
                <w:color w:val="231F20"/>
                <w:spacing w:val="-9"/>
                <w:w w:val="110"/>
                <w:sz w:val="11"/>
              </w:rPr>
              <w:t xml:space="preserve"> </w:t>
            </w:r>
            <w:r>
              <w:rPr>
                <w:color w:val="231F20"/>
                <w:w w:val="110"/>
                <w:sz w:val="11"/>
              </w:rPr>
              <w:t>and</w:t>
            </w:r>
            <w:r>
              <w:rPr>
                <w:color w:val="231F20"/>
                <w:spacing w:val="-8"/>
                <w:w w:val="110"/>
                <w:sz w:val="11"/>
              </w:rPr>
              <w:t xml:space="preserve"> </w:t>
            </w:r>
            <w:r>
              <w:rPr>
                <w:color w:val="231F20"/>
                <w:w w:val="110"/>
                <w:sz w:val="11"/>
              </w:rPr>
              <w:t>other</w:t>
            </w:r>
            <w:r>
              <w:rPr>
                <w:color w:val="231F20"/>
                <w:spacing w:val="-8"/>
                <w:w w:val="110"/>
                <w:sz w:val="11"/>
              </w:rPr>
              <w:t xml:space="preserve"> </w:t>
            </w:r>
            <w:r>
              <w:rPr>
                <w:color w:val="231F20"/>
                <w:w w:val="110"/>
                <w:sz w:val="11"/>
              </w:rPr>
              <w:t>HIS</w:t>
            </w:r>
            <w:r>
              <w:rPr>
                <w:color w:val="231F20"/>
                <w:spacing w:val="-9"/>
                <w:w w:val="110"/>
                <w:sz w:val="11"/>
              </w:rPr>
              <w:t xml:space="preserve"> </w:t>
            </w:r>
            <w:r>
              <w:rPr>
                <w:color w:val="231F20"/>
                <w:w w:val="110"/>
                <w:sz w:val="11"/>
              </w:rPr>
              <w:t>users</w:t>
            </w:r>
            <w:r>
              <w:rPr>
                <w:color w:val="231F20"/>
                <w:spacing w:val="-8"/>
                <w:w w:val="110"/>
                <w:sz w:val="11"/>
              </w:rPr>
              <w:t xml:space="preserve"> </w:t>
            </w:r>
            <w:r>
              <w:rPr>
                <w:color w:val="231F20"/>
                <w:w w:val="110"/>
                <w:sz w:val="11"/>
              </w:rPr>
              <w:t>and mainstream</w:t>
            </w:r>
            <w:r>
              <w:rPr>
                <w:color w:val="231F20"/>
                <w:spacing w:val="-5"/>
                <w:w w:val="110"/>
                <w:sz w:val="11"/>
              </w:rPr>
              <w:t xml:space="preserve"> </w:t>
            </w:r>
            <w:r>
              <w:rPr>
                <w:color w:val="231F20"/>
                <w:w w:val="110"/>
                <w:sz w:val="11"/>
              </w:rPr>
              <w:t>gender</w:t>
            </w:r>
            <w:r>
              <w:rPr>
                <w:color w:val="231F20"/>
                <w:spacing w:val="-5"/>
                <w:w w:val="110"/>
                <w:sz w:val="11"/>
              </w:rPr>
              <w:t xml:space="preserve"> </w:t>
            </w:r>
            <w:r>
              <w:rPr>
                <w:color w:val="231F20"/>
                <w:w w:val="110"/>
                <w:sz w:val="11"/>
              </w:rPr>
              <w:t>in</w:t>
            </w:r>
            <w:r>
              <w:rPr>
                <w:color w:val="231F20"/>
                <w:spacing w:val="-5"/>
                <w:w w:val="110"/>
                <w:sz w:val="11"/>
              </w:rPr>
              <w:t xml:space="preserve"> </w:t>
            </w:r>
            <w:r>
              <w:rPr>
                <w:color w:val="231F20"/>
                <w:w w:val="110"/>
                <w:sz w:val="11"/>
              </w:rPr>
              <w:t>data</w:t>
            </w:r>
            <w:r>
              <w:rPr>
                <w:color w:val="231F20"/>
                <w:spacing w:val="-5"/>
                <w:w w:val="110"/>
                <w:sz w:val="11"/>
              </w:rPr>
              <w:t xml:space="preserve"> </w:t>
            </w:r>
            <w:r>
              <w:rPr>
                <w:color w:val="231F20"/>
                <w:w w:val="110"/>
                <w:sz w:val="11"/>
              </w:rPr>
              <w:t>generation</w:t>
            </w:r>
            <w:r>
              <w:rPr>
                <w:color w:val="231F20"/>
                <w:spacing w:val="-5"/>
                <w:w w:val="110"/>
                <w:sz w:val="11"/>
              </w:rPr>
              <w:t xml:space="preserve"> </w:t>
            </w:r>
            <w:r>
              <w:rPr>
                <w:color w:val="231F20"/>
                <w:w w:val="110"/>
                <w:sz w:val="11"/>
              </w:rPr>
              <w:t>and</w:t>
            </w:r>
            <w:r>
              <w:rPr>
                <w:color w:val="231F20"/>
                <w:spacing w:val="-5"/>
                <w:w w:val="110"/>
                <w:sz w:val="11"/>
              </w:rPr>
              <w:t xml:space="preserve"> </w:t>
            </w:r>
            <w:r>
              <w:rPr>
                <w:color w:val="231F20"/>
                <w:w w:val="110"/>
                <w:sz w:val="11"/>
              </w:rPr>
              <w:t>analysis</w:t>
            </w:r>
            <w:r>
              <w:rPr>
                <w:color w:val="231F20"/>
                <w:spacing w:val="-4"/>
                <w:w w:val="110"/>
                <w:sz w:val="11"/>
              </w:rPr>
              <w:t xml:space="preserve"> </w:t>
            </w:r>
            <w:r>
              <w:rPr>
                <w:color w:val="231F20"/>
                <w:w w:val="110"/>
                <w:sz w:val="11"/>
              </w:rPr>
              <w:t>(disaggregate</w:t>
            </w:r>
            <w:r>
              <w:rPr>
                <w:color w:val="231F20"/>
                <w:spacing w:val="-5"/>
                <w:w w:val="110"/>
                <w:sz w:val="11"/>
              </w:rPr>
              <w:t xml:space="preserve"> </w:t>
            </w:r>
            <w:r>
              <w:rPr>
                <w:color w:val="231F20"/>
                <w:w w:val="110"/>
                <w:sz w:val="11"/>
              </w:rPr>
              <w:t>data</w:t>
            </w:r>
            <w:r>
              <w:rPr>
                <w:color w:val="231F20"/>
                <w:spacing w:val="-5"/>
                <w:w w:val="110"/>
                <w:sz w:val="11"/>
              </w:rPr>
              <w:t xml:space="preserve"> </w:t>
            </w:r>
            <w:r>
              <w:rPr>
                <w:color w:val="231F20"/>
                <w:w w:val="110"/>
                <w:sz w:val="11"/>
              </w:rPr>
              <w:t>by</w:t>
            </w:r>
            <w:r>
              <w:rPr>
                <w:color w:val="231F20"/>
                <w:spacing w:val="-5"/>
                <w:w w:val="110"/>
                <w:sz w:val="11"/>
              </w:rPr>
              <w:t xml:space="preserve"> </w:t>
            </w:r>
            <w:r>
              <w:rPr>
                <w:color w:val="231F20"/>
                <w:w w:val="110"/>
                <w:sz w:val="11"/>
              </w:rPr>
              <w:t>gender)</w:t>
            </w:r>
          </w:p>
        </w:tc>
        <w:tc>
          <w:tcPr>
            <w:tcW w:w="1424" w:type="dxa"/>
          </w:tcPr>
          <w:p w14:paraId="7E870963" w14:textId="77777777" w:rsidR="009948F1" w:rsidRDefault="009948F1">
            <w:pPr>
              <w:pStyle w:val="TableParagraph"/>
              <w:spacing w:before="3"/>
              <w:rPr>
                <w:sz w:val="15"/>
              </w:rPr>
            </w:pPr>
          </w:p>
          <w:p w14:paraId="1D80261C" w14:textId="77777777" w:rsidR="009948F1" w:rsidRDefault="00BC0563">
            <w:pPr>
              <w:pStyle w:val="TableParagraph"/>
              <w:ind w:left="22"/>
              <w:rPr>
                <w:sz w:val="11"/>
              </w:rPr>
            </w:pPr>
            <w:r>
              <w:rPr>
                <w:color w:val="231F20"/>
                <w:w w:val="110"/>
                <w:sz w:val="11"/>
              </w:rPr>
              <w:t>Lack of funds</w:t>
            </w:r>
          </w:p>
        </w:tc>
        <w:tc>
          <w:tcPr>
            <w:tcW w:w="1502" w:type="dxa"/>
          </w:tcPr>
          <w:p w14:paraId="5842BF7C" w14:textId="77777777" w:rsidR="009948F1" w:rsidRDefault="009948F1">
            <w:pPr>
              <w:pStyle w:val="TableParagraph"/>
              <w:spacing w:before="3"/>
              <w:rPr>
                <w:sz w:val="15"/>
              </w:rPr>
            </w:pPr>
          </w:p>
          <w:p w14:paraId="13B8E48C" w14:textId="77777777" w:rsidR="009948F1" w:rsidRDefault="00BC0563">
            <w:pPr>
              <w:pStyle w:val="TableParagraph"/>
              <w:ind w:left="22"/>
              <w:rPr>
                <w:sz w:val="11"/>
              </w:rPr>
            </w:pPr>
            <w:r>
              <w:rPr>
                <w:color w:val="231F20"/>
                <w:w w:val="110"/>
                <w:sz w:val="11"/>
              </w:rPr>
              <w:t>Develop electronic media</w:t>
            </w:r>
          </w:p>
        </w:tc>
      </w:tr>
      <w:tr w:rsidR="009948F1" w14:paraId="01656D12" w14:textId="77777777">
        <w:trPr>
          <w:trHeight w:val="572"/>
        </w:trPr>
        <w:tc>
          <w:tcPr>
            <w:tcW w:w="1038" w:type="dxa"/>
            <w:gridSpan w:val="3"/>
            <w:vMerge/>
            <w:tcBorders>
              <w:top w:val="nil"/>
              <w:bottom w:val="nil"/>
            </w:tcBorders>
          </w:tcPr>
          <w:p w14:paraId="0EBFEDE2" w14:textId="77777777" w:rsidR="009948F1" w:rsidRDefault="009948F1">
            <w:pPr>
              <w:rPr>
                <w:sz w:val="2"/>
                <w:szCs w:val="2"/>
              </w:rPr>
            </w:pPr>
          </w:p>
        </w:tc>
        <w:tc>
          <w:tcPr>
            <w:tcW w:w="525" w:type="dxa"/>
          </w:tcPr>
          <w:p w14:paraId="7415AF85" w14:textId="77777777" w:rsidR="009948F1" w:rsidRDefault="009948F1">
            <w:pPr>
              <w:pStyle w:val="TableParagraph"/>
              <w:rPr>
                <w:sz w:val="12"/>
              </w:rPr>
            </w:pPr>
          </w:p>
          <w:p w14:paraId="7EFB78E6" w14:textId="77777777" w:rsidR="009948F1" w:rsidRDefault="00BC0563">
            <w:pPr>
              <w:pStyle w:val="TableParagraph"/>
              <w:spacing w:before="87"/>
              <w:ind w:left="23" w:right="9"/>
              <w:jc w:val="center"/>
              <w:rPr>
                <w:sz w:val="11"/>
              </w:rPr>
            </w:pPr>
            <w:r>
              <w:rPr>
                <w:color w:val="231F20"/>
                <w:w w:val="110"/>
                <w:sz w:val="11"/>
              </w:rPr>
              <w:t>12.1.2.c</w:t>
            </w:r>
          </w:p>
        </w:tc>
        <w:tc>
          <w:tcPr>
            <w:tcW w:w="4885" w:type="dxa"/>
            <w:gridSpan w:val="2"/>
          </w:tcPr>
          <w:p w14:paraId="105A0BDD" w14:textId="77777777" w:rsidR="009948F1" w:rsidRDefault="009948F1">
            <w:pPr>
              <w:pStyle w:val="TableParagraph"/>
              <w:spacing w:before="11"/>
              <w:rPr>
                <w:sz w:val="12"/>
              </w:rPr>
            </w:pPr>
          </w:p>
          <w:p w14:paraId="6985DDF2" w14:textId="77777777" w:rsidR="009948F1" w:rsidRDefault="00BC0563">
            <w:pPr>
              <w:pStyle w:val="TableParagraph"/>
              <w:spacing w:line="273" w:lineRule="auto"/>
              <w:ind w:left="21" w:right="146"/>
              <w:rPr>
                <w:sz w:val="11"/>
              </w:rPr>
            </w:pPr>
            <w:r>
              <w:rPr>
                <w:color w:val="231F20"/>
                <w:w w:val="110"/>
                <w:sz w:val="11"/>
              </w:rPr>
              <w:t>Print</w:t>
            </w:r>
            <w:r>
              <w:rPr>
                <w:color w:val="231F20"/>
                <w:spacing w:val="-8"/>
                <w:w w:val="110"/>
                <w:sz w:val="11"/>
              </w:rPr>
              <w:t xml:space="preserve"> </w:t>
            </w:r>
            <w:r>
              <w:rPr>
                <w:color w:val="231F20"/>
                <w:w w:val="110"/>
                <w:sz w:val="11"/>
              </w:rPr>
              <w:t>and</w:t>
            </w:r>
            <w:r>
              <w:rPr>
                <w:color w:val="231F20"/>
                <w:spacing w:val="-8"/>
                <w:w w:val="110"/>
                <w:sz w:val="11"/>
              </w:rPr>
              <w:t xml:space="preserve"> </w:t>
            </w:r>
            <w:r>
              <w:rPr>
                <w:color w:val="231F20"/>
                <w:w w:val="110"/>
                <w:sz w:val="11"/>
              </w:rPr>
              <w:t>disseminate</w:t>
            </w:r>
            <w:r>
              <w:rPr>
                <w:color w:val="231F20"/>
                <w:spacing w:val="-8"/>
                <w:w w:val="110"/>
                <w:sz w:val="11"/>
              </w:rPr>
              <w:t xml:space="preserve"> </w:t>
            </w:r>
            <w:r>
              <w:rPr>
                <w:color w:val="231F20"/>
                <w:w w:val="110"/>
                <w:sz w:val="11"/>
              </w:rPr>
              <w:t>widely</w:t>
            </w:r>
            <w:r>
              <w:rPr>
                <w:color w:val="231F20"/>
                <w:spacing w:val="-7"/>
                <w:w w:val="110"/>
                <w:sz w:val="11"/>
              </w:rPr>
              <w:t xml:space="preserve"> </w:t>
            </w:r>
            <w:r>
              <w:rPr>
                <w:color w:val="231F20"/>
                <w:w w:val="110"/>
                <w:sz w:val="11"/>
              </w:rPr>
              <w:t>the</w:t>
            </w:r>
            <w:r>
              <w:rPr>
                <w:color w:val="231F20"/>
                <w:spacing w:val="-8"/>
                <w:w w:val="110"/>
                <w:sz w:val="11"/>
              </w:rPr>
              <w:t xml:space="preserve"> </w:t>
            </w:r>
            <w:r>
              <w:rPr>
                <w:color w:val="231F20"/>
                <w:w w:val="110"/>
                <w:sz w:val="11"/>
              </w:rPr>
              <w:t>2013</w:t>
            </w:r>
            <w:r>
              <w:rPr>
                <w:color w:val="231F20"/>
                <w:spacing w:val="-8"/>
                <w:w w:val="110"/>
                <w:sz w:val="11"/>
              </w:rPr>
              <w:t xml:space="preserve"> </w:t>
            </w:r>
            <w:r>
              <w:rPr>
                <w:color w:val="231F20"/>
                <w:w w:val="110"/>
                <w:sz w:val="11"/>
              </w:rPr>
              <w:t>version</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the</w:t>
            </w:r>
            <w:r>
              <w:rPr>
                <w:color w:val="231F20"/>
                <w:spacing w:val="-8"/>
                <w:w w:val="110"/>
                <w:sz w:val="11"/>
              </w:rPr>
              <w:t xml:space="preserve"> </w:t>
            </w:r>
            <w:r>
              <w:rPr>
                <w:color w:val="231F20"/>
                <w:w w:val="110"/>
                <w:sz w:val="11"/>
              </w:rPr>
              <w:t>harmonized</w:t>
            </w:r>
            <w:r>
              <w:rPr>
                <w:color w:val="231F20"/>
                <w:spacing w:val="-8"/>
                <w:w w:val="110"/>
                <w:sz w:val="11"/>
              </w:rPr>
              <w:t xml:space="preserve"> </w:t>
            </w:r>
            <w:r>
              <w:rPr>
                <w:color w:val="231F20"/>
                <w:w w:val="110"/>
                <w:sz w:val="11"/>
              </w:rPr>
              <w:t>data</w:t>
            </w:r>
            <w:r>
              <w:rPr>
                <w:color w:val="231F20"/>
                <w:spacing w:val="-8"/>
                <w:w w:val="110"/>
                <w:sz w:val="11"/>
              </w:rPr>
              <w:t xml:space="preserve"> </w:t>
            </w:r>
            <w:r>
              <w:rPr>
                <w:color w:val="231F20"/>
                <w:w w:val="110"/>
                <w:sz w:val="11"/>
              </w:rPr>
              <w:t>collection</w:t>
            </w:r>
            <w:r>
              <w:rPr>
                <w:color w:val="231F20"/>
                <w:spacing w:val="-7"/>
                <w:w w:val="110"/>
                <w:sz w:val="11"/>
              </w:rPr>
              <w:t xml:space="preserve"> </w:t>
            </w:r>
            <w:r>
              <w:rPr>
                <w:color w:val="231F20"/>
                <w:w w:val="110"/>
                <w:sz w:val="11"/>
              </w:rPr>
              <w:t>tools</w:t>
            </w:r>
            <w:r>
              <w:rPr>
                <w:color w:val="231F20"/>
                <w:spacing w:val="-8"/>
                <w:w w:val="110"/>
                <w:sz w:val="11"/>
              </w:rPr>
              <w:t xml:space="preserve"> </w:t>
            </w:r>
            <w:r>
              <w:rPr>
                <w:color w:val="231F20"/>
                <w:spacing w:val="-4"/>
                <w:w w:val="110"/>
                <w:sz w:val="11"/>
              </w:rPr>
              <w:t xml:space="preserve">and </w:t>
            </w:r>
            <w:r>
              <w:rPr>
                <w:color w:val="231F20"/>
                <w:w w:val="110"/>
                <w:sz w:val="11"/>
              </w:rPr>
              <w:t>the national indicator definition/ reference</w:t>
            </w:r>
            <w:r>
              <w:rPr>
                <w:color w:val="231F20"/>
                <w:spacing w:val="-9"/>
                <w:w w:val="110"/>
                <w:sz w:val="11"/>
              </w:rPr>
              <w:t xml:space="preserve"> </w:t>
            </w:r>
            <w:r>
              <w:rPr>
                <w:color w:val="231F20"/>
                <w:w w:val="110"/>
                <w:sz w:val="11"/>
              </w:rPr>
              <w:t>sheets</w:t>
            </w:r>
          </w:p>
        </w:tc>
        <w:tc>
          <w:tcPr>
            <w:tcW w:w="1424" w:type="dxa"/>
          </w:tcPr>
          <w:p w14:paraId="4FA083C0" w14:textId="77777777" w:rsidR="009948F1" w:rsidRDefault="009948F1">
            <w:pPr>
              <w:pStyle w:val="TableParagraph"/>
              <w:rPr>
                <w:sz w:val="12"/>
              </w:rPr>
            </w:pPr>
          </w:p>
          <w:p w14:paraId="5BEB39BC" w14:textId="77777777" w:rsidR="009948F1" w:rsidRDefault="00BC0563">
            <w:pPr>
              <w:pStyle w:val="TableParagraph"/>
              <w:spacing w:before="87"/>
              <w:ind w:left="22"/>
              <w:rPr>
                <w:sz w:val="11"/>
              </w:rPr>
            </w:pPr>
            <w:r>
              <w:rPr>
                <w:color w:val="231F20"/>
                <w:w w:val="110"/>
                <w:sz w:val="11"/>
              </w:rPr>
              <w:t>Lack of funds</w:t>
            </w:r>
          </w:p>
        </w:tc>
        <w:tc>
          <w:tcPr>
            <w:tcW w:w="1502" w:type="dxa"/>
          </w:tcPr>
          <w:p w14:paraId="6A12CB18" w14:textId="77777777" w:rsidR="009948F1" w:rsidRDefault="009948F1">
            <w:pPr>
              <w:pStyle w:val="TableParagraph"/>
              <w:rPr>
                <w:sz w:val="12"/>
              </w:rPr>
            </w:pPr>
          </w:p>
          <w:p w14:paraId="6E0643D6" w14:textId="77777777" w:rsidR="009948F1" w:rsidRDefault="00BC0563">
            <w:pPr>
              <w:pStyle w:val="TableParagraph"/>
              <w:spacing w:before="87"/>
              <w:ind w:left="22"/>
              <w:rPr>
                <w:sz w:val="11"/>
              </w:rPr>
            </w:pPr>
            <w:r>
              <w:rPr>
                <w:color w:val="231F20"/>
                <w:w w:val="110"/>
                <w:sz w:val="11"/>
              </w:rPr>
              <w:t>Print and disseminate</w:t>
            </w:r>
          </w:p>
        </w:tc>
      </w:tr>
      <w:tr w:rsidR="009948F1" w14:paraId="18FE4B6B" w14:textId="77777777">
        <w:trPr>
          <w:trHeight w:val="487"/>
        </w:trPr>
        <w:tc>
          <w:tcPr>
            <w:tcW w:w="1038" w:type="dxa"/>
            <w:gridSpan w:val="3"/>
            <w:vMerge/>
            <w:tcBorders>
              <w:top w:val="nil"/>
              <w:bottom w:val="nil"/>
            </w:tcBorders>
          </w:tcPr>
          <w:p w14:paraId="2B15F6A0" w14:textId="77777777" w:rsidR="009948F1" w:rsidRDefault="009948F1">
            <w:pPr>
              <w:rPr>
                <w:sz w:val="2"/>
                <w:szCs w:val="2"/>
              </w:rPr>
            </w:pPr>
          </w:p>
        </w:tc>
        <w:tc>
          <w:tcPr>
            <w:tcW w:w="525" w:type="dxa"/>
          </w:tcPr>
          <w:p w14:paraId="04A31C9D" w14:textId="77777777" w:rsidR="009948F1" w:rsidRDefault="009948F1">
            <w:pPr>
              <w:pStyle w:val="TableParagraph"/>
              <w:spacing w:before="10"/>
              <w:rPr>
                <w:sz w:val="15"/>
              </w:rPr>
            </w:pPr>
          </w:p>
          <w:p w14:paraId="008D72C4" w14:textId="77777777" w:rsidR="009948F1" w:rsidRDefault="00BC0563">
            <w:pPr>
              <w:pStyle w:val="TableParagraph"/>
              <w:ind w:left="23" w:right="9"/>
              <w:jc w:val="center"/>
              <w:rPr>
                <w:sz w:val="11"/>
              </w:rPr>
            </w:pPr>
            <w:r>
              <w:rPr>
                <w:color w:val="231F20"/>
                <w:w w:val="110"/>
                <w:sz w:val="11"/>
              </w:rPr>
              <w:t>12.1.2.d</w:t>
            </w:r>
          </w:p>
        </w:tc>
        <w:tc>
          <w:tcPr>
            <w:tcW w:w="4885" w:type="dxa"/>
            <w:gridSpan w:val="2"/>
          </w:tcPr>
          <w:p w14:paraId="4D787C1E" w14:textId="77777777" w:rsidR="009948F1" w:rsidRDefault="00BC0563">
            <w:pPr>
              <w:pStyle w:val="TableParagraph"/>
              <w:spacing w:before="106" w:line="273" w:lineRule="auto"/>
              <w:ind w:left="21" w:right="188"/>
              <w:rPr>
                <w:sz w:val="11"/>
              </w:rPr>
            </w:pPr>
            <w:r>
              <w:rPr>
                <w:color w:val="231F20"/>
                <w:w w:val="110"/>
                <w:sz w:val="11"/>
              </w:rPr>
              <w:t>Training and retraining of HIO's (SMOH &amp; RSPHCMB) across the 23 LGA's on data collection</w:t>
            </w:r>
            <w:r>
              <w:rPr>
                <w:color w:val="231F20"/>
                <w:spacing w:val="-8"/>
                <w:w w:val="110"/>
                <w:sz w:val="11"/>
              </w:rPr>
              <w:t xml:space="preserve"> </w:t>
            </w:r>
            <w:r>
              <w:rPr>
                <w:color w:val="231F20"/>
                <w:w w:val="110"/>
                <w:sz w:val="11"/>
              </w:rPr>
              <w:t>tools</w:t>
            </w:r>
            <w:r>
              <w:rPr>
                <w:color w:val="231F20"/>
                <w:spacing w:val="-8"/>
                <w:w w:val="110"/>
                <w:sz w:val="11"/>
              </w:rPr>
              <w:t xml:space="preserve"> </w:t>
            </w:r>
            <w:r>
              <w:rPr>
                <w:color w:val="231F20"/>
                <w:w w:val="110"/>
                <w:sz w:val="11"/>
              </w:rPr>
              <w:t>and</w:t>
            </w:r>
            <w:r>
              <w:rPr>
                <w:color w:val="231F20"/>
                <w:spacing w:val="-7"/>
                <w:w w:val="110"/>
                <w:sz w:val="11"/>
              </w:rPr>
              <w:t xml:space="preserve"> </w:t>
            </w:r>
            <w:r>
              <w:rPr>
                <w:color w:val="231F20"/>
                <w:w w:val="110"/>
                <w:sz w:val="11"/>
              </w:rPr>
              <w:t>train</w:t>
            </w:r>
            <w:r>
              <w:rPr>
                <w:color w:val="231F20"/>
                <w:spacing w:val="-8"/>
                <w:w w:val="110"/>
                <w:sz w:val="11"/>
              </w:rPr>
              <w:t xml:space="preserve"> </w:t>
            </w:r>
            <w:r>
              <w:rPr>
                <w:color w:val="231F20"/>
                <w:w w:val="110"/>
                <w:sz w:val="11"/>
              </w:rPr>
              <w:t>State</w:t>
            </w:r>
            <w:r>
              <w:rPr>
                <w:color w:val="231F20"/>
                <w:spacing w:val="-7"/>
                <w:w w:val="110"/>
                <w:sz w:val="11"/>
              </w:rPr>
              <w:t xml:space="preserve"> </w:t>
            </w:r>
            <w:r>
              <w:rPr>
                <w:color w:val="231F20"/>
                <w:w w:val="110"/>
                <w:sz w:val="11"/>
              </w:rPr>
              <w:t>HMIS</w:t>
            </w:r>
            <w:r>
              <w:rPr>
                <w:color w:val="231F20"/>
                <w:spacing w:val="-8"/>
                <w:w w:val="110"/>
                <w:sz w:val="11"/>
              </w:rPr>
              <w:t xml:space="preserve"> </w:t>
            </w:r>
            <w:r>
              <w:rPr>
                <w:color w:val="231F20"/>
                <w:w w:val="110"/>
                <w:sz w:val="11"/>
              </w:rPr>
              <w:t>and</w:t>
            </w:r>
            <w:r>
              <w:rPr>
                <w:color w:val="231F20"/>
                <w:spacing w:val="-7"/>
                <w:w w:val="110"/>
                <w:sz w:val="11"/>
              </w:rPr>
              <w:t xml:space="preserve"> </w:t>
            </w:r>
            <w:r>
              <w:rPr>
                <w:color w:val="231F20"/>
                <w:w w:val="110"/>
                <w:sz w:val="11"/>
              </w:rPr>
              <w:t>M&amp;E</w:t>
            </w:r>
            <w:r>
              <w:rPr>
                <w:color w:val="231F20"/>
                <w:spacing w:val="-8"/>
                <w:w w:val="110"/>
                <w:sz w:val="11"/>
              </w:rPr>
              <w:t xml:space="preserve"> </w:t>
            </w:r>
            <w:r>
              <w:rPr>
                <w:color w:val="231F20"/>
                <w:w w:val="110"/>
                <w:sz w:val="11"/>
              </w:rPr>
              <w:t>Officers</w:t>
            </w:r>
            <w:r>
              <w:rPr>
                <w:color w:val="231F20"/>
                <w:spacing w:val="-9"/>
                <w:w w:val="110"/>
                <w:sz w:val="11"/>
              </w:rPr>
              <w:t xml:space="preserve"> </w:t>
            </w:r>
            <w:r>
              <w:rPr>
                <w:color w:val="231F20"/>
                <w:w w:val="110"/>
                <w:sz w:val="11"/>
              </w:rPr>
              <w:t>on</w:t>
            </w:r>
            <w:r>
              <w:rPr>
                <w:color w:val="231F20"/>
                <w:spacing w:val="-8"/>
                <w:w w:val="110"/>
                <w:sz w:val="11"/>
              </w:rPr>
              <w:t xml:space="preserve"> </w:t>
            </w:r>
            <w:r>
              <w:rPr>
                <w:color w:val="231F20"/>
                <w:w w:val="110"/>
                <w:sz w:val="11"/>
              </w:rPr>
              <w:t>the</w:t>
            </w:r>
            <w:r>
              <w:rPr>
                <w:color w:val="231F20"/>
                <w:spacing w:val="-7"/>
                <w:w w:val="110"/>
                <w:sz w:val="11"/>
              </w:rPr>
              <w:t xml:space="preserve"> </w:t>
            </w:r>
            <w:r>
              <w:rPr>
                <w:color w:val="231F20"/>
                <w:w w:val="110"/>
                <w:sz w:val="11"/>
              </w:rPr>
              <w:t>administration</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the</w:t>
            </w:r>
            <w:r>
              <w:rPr>
                <w:color w:val="231F20"/>
                <w:spacing w:val="-8"/>
                <w:w w:val="110"/>
                <w:sz w:val="11"/>
              </w:rPr>
              <w:t xml:space="preserve"> </w:t>
            </w:r>
            <w:r>
              <w:rPr>
                <w:color w:val="231F20"/>
                <w:w w:val="110"/>
                <w:sz w:val="11"/>
              </w:rPr>
              <w:t>DHIS</w:t>
            </w:r>
          </w:p>
        </w:tc>
        <w:tc>
          <w:tcPr>
            <w:tcW w:w="1424" w:type="dxa"/>
          </w:tcPr>
          <w:p w14:paraId="223E61DB" w14:textId="77777777" w:rsidR="009948F1" w:rsidRDefault="009948F1">
            <w:pPr>
              <w:pStyle w:val="TableParagraph"/>
              <w:spacing w:before="10"/>
              <w:rPr>
                <w:sz w:val="15"/>
              </w:rPr>
            </w:pPr>
          </w:p>
          <w:p w14:paraId="4E3CD8D0" w14:textId="77777777" w:rsidR="009948F1" w:rsidRDefault="00BC0563">
            <w:pPr>
              <w:pStyle w:val="TableParagraph"/>
              <w:ind w:left="22"/>
              <w:rPr>
                <w:sz w:val="11"/>
              </w:rPr>
            </w:pPr>
            <w:r>
              <w:rPr>
                <w:color w:val="231F20"/>
                <w:w w:val="110"/>
                <w:sz w:val="11"/>
              </w:rPr>
              <w:t>Lack of funds</w:t>
            </w:r>
          </w:p>
        </w:tc>
        <w:tc>
          <w:tcPr>
            <w:tcW w:w="1502" w:type="dxa"/>
          </w:tcPr>
          <w:p w14:paraId="0F567DA1" w14:textId="77777777" w:rsidR="009948F1" w:rsidRDefault="009948F1">
            <w:pPr>
              <w:pStyle w:val="TableParagraph"/>
              <w:spacing w:before="7"/>
              <w:rPr>
                <w:sz w:val="9"/>
              </w:rPr>
            </w:pPr>
          </w:p>
          <w:p w14:paraId="041E49B5" w14:textId="77777777" w:rsidR="009948F1" w:rsidRDefault="00BC0563">
            <w:pPr>
              <w:pStyle w:val="TableParagraph"/>
              <w:spacing w:line="273" w:lineRule="auto"/>
              <w:ind w:left="22" w:right="99"/>
              <w:rPr>
                <w:sz w:val="11"/>
              </w:rPr>
            </w:pPr>
            <w:r>
              <w:rPr>
                <w:color w:val="231F20"/>
                <w:w w:val="110"/>
                <w:sz w:val="11"/>
              </w:rPr>
              <w:t>Training and retraining of HIO's</w:t>
            </w:r>
          </w:p>
        </w:tc>
      </w:tr>
      <w:tr w:rsidR="009948F1" w14:paraId="02D63C5F" w14:textId="77777777">
        <w:trPr>
          <w:trHeight w:val="417"/>
        </w:trPr>
        <w:tc>
          <w:tcPr>
            <w:tcW w:w="1038" w:type="dxa"/>
            <w:gridSpan w:val="3"/>
            <w:vMerge/>
            <w:tcBorders>
              <w:top w:val="nil"/>
              <w:bottom w:val="nil"/>
            </w:tcBorders>
          </w:tcPr>
          <w:p w14:paraId="6EA01738" w14:textId="77777777" w:rsidR="009948F1" w:rsidRDefault="009948F1">
            <w:pPr>
              <w:rPr>
                <w:sz w:val="2"/>
                <w:szCs w:val="2"/>
              </w:rPr>
            </w:pPr>
          </w:p>
        </w:tc>
        <w:tc>
          <w:tcPr>
            <w:tcW w:w="525" w:type="dxa"/>
          </w:tcPr>
          <w:p w14:paraId="0EA7A6E6" w14:textId="77777777" w:rsidR="009948F1" w:rsidRDefault="009948F1">
            <w:pPr>
              <w:pStyle w:val="TableParagraph"/>
              <w:spacing w:before="10"/>
              <w:rPr>
                <w:sz w:val="12"/>
              </w:rPr>
            </w:pPr>
          </w:p>
          <w:p w14:paraId="50BA7A3B" w14:textId="77777777" w:rsidR="009948F1" w:rsidRDefault="00BC0563">
            <w:pPr>
              <w:pStyle w:val="TableParagraph"/>
              <w:ind w:left="23" w:right="9"/>
              <w:jc w:val="center"/>
              <w:rPr>
                <w:sz w:val="11"/>
              </w:rPr>
            </w:pPr>
            <w:r>
              <w:rPr>
                <w:color w:val="231F20"/>
                <w:w w:val="110"/>
                <w:sz w:val="11"/>
              </w:rPr>
              <w:t>12.1.2.e</w:t>
            </w:r>
          </w:p>
        </w:tc>
        <w:tc>
          <w:tcPr>
            <w:tcW w:w="4885" w:type="dxa"/>
            <w:gridSpan w:val="2"/>
          </w:tcPr>
          <w:p w14:paraId="1CEFF783" w14:textId="51611DD6" w:rsidR="009948F1" w:rsidRDefault="00BC0563">
            <w:pPr>
              <w:pStyle w:val="TableParagraph"/>
              <w:spacing w:before="70" w:line="273" w:lineRule="auto"/>
              <w:ind w:left="21" w:right="6"/>
              <w:rPr>
                <w:sz w:val="11"/>
              </w:rPr>
            </w:pPr>
            <w:r>
              <w:rPr>
                <w:color w:val="231F20"/>
                <w:w w:val="110"/>
                <w:sz w:val="11"/>
              </w:rPr>
              <w:t xml:space="preserve">Support </w:t>
            </w:r>
            <w:r w:rsidR="002049E3">
              <w:rPr>
                <w:color w:val="231F20"/>
                <w:w w:val="110"/>
                <w:sz w:val="11"/>
              </w:rPr>
              <w:t>Recruitment</w:t>
            </w:r>
            <w:r>
              <w:rPr>
                <w:color w:val="231F20"/>
                <w:w w:val="110"/>
                <w:sz w:val="11"/>
              </w:rPr>
              <w:t xml:space="preserve"> and deployment of HMIS and M&amp;E officer for health </w:t>
            </w:r>
            <w:proofErr w:type="spellStart"/>
            <w:r>
              <w:rPr>
                <w:color w:val="231F20"/>
                <w:w w:val="110"/>
                <w:sz w:val="11"/>
              </w:rPr>
              <w:t>programmes</w:t>
            </w:r>
            <w:proofErr w:type="spellEnd"/>
            <w:r>
              <w:rPr>
                <w:color w:val="231F20"/>
                <w:w w:val="110"/>
                <w:sz w:val="11"/>
              </w:rPr>
              <w:t xml:space="preserve"> at the state and LGA levels.</w:t>
            </w:r>
          </w:p>
        </w:tc>
        <w:tc>
          <w:tcPr>
            <w:tcW w:w="1424" w:type="dxa"/>
          </w:tcPr>
          <w:p w14:paraId="3CF71A68" w14:textId="77777777" w:rsidR="009948F1" w:rsidRDefault="009948F1">
            <w:pPr>
              <w:pStyle w:val="TableParagraph"/>
              <w:spacing w:before="10"/>
              <w:rPr>
                <w:sz w:val="12"/>
              </w:rPr>
            </w:pPr>
          </w:p>
          <w:p w14:paraId="6EBCDC00" w14:textId="77777777" w:rsidR="009948F1" w:rsidRDefault="00BC0563">
            <w:pPr>
              <w:pStyle w:val="TableParagraph"/>
              <w:ind w:left="22"/>
              <w:rPr>
                <w:sz w:val="11"/>
              </w:rPr>
            </w:pPr>
            <w:r>
              <w:rPr>
                <w:color w:val="231F20"/>
                <w:w w:val="110"/>
                <w:sz w:val="11"/>
              </w:rPr>
              <w:t>Lack of funds</w:t>
            </w:r>
          </w:p>
        </w:tc>
        <w:tc>
          <w:tcPr>
            <w:tcW w:w="1502" w:type="dxa"/>
          </w:tcPr>
          <w:p w14:paraId="5E50CC22" w14:textId="77777777" w:rsidR="009948F1" w:rsidRDefault="009948F1">
            <w:pPr>
              <w:pStyle w:val="TableParagraph"/>
              <w:spacing w:before="10"/>
              <w:rPr>
                <w:sz w:val="12"/>
              </w:rPr>
            </w:pPr>
          </w:p>
          <w:p w14:paraId="5CB40FFD" w14:textId="77777777" w:rsidR="009948F1" w:rsidRDefault="00BC0563">
            <w:pPr>
              <w:pStyle w:val="TableParagraph"/>
              <w:ind w:left="22"/>
              <w:rPr>
                <w:sz w:val="11"/>
              </w:rPr>
            </w:pPr>
            <w:r>
              <w:rPr>
                <w:color w:val="231F20"/>
                <w:w w:val="110"/>
                <w:sz w:val="11"/>
              </w:rPr>
              <w:t>Costed in 9.2.2b</w:t>
            </w:r>
          </w:p>
        </w:tc>
      </w:tr>
      <w:tr w:rsidR="009948F1" w14:paraId="6702EF1F" w14:textId="77777777">
        <w:trPr>
          <w:trHeight w:val="891"/>
        </w:trPr>
        <w:tc>
          <w:tcPr>
            <w:tcW w:w="584" w:type="dxa"/>
            <w:gridSpan w:val="2"/>
            <w:tcBorders>
              <w:top w:val="nil"/>
              <w:bottom w:val="nil"/>
            </w:tcBorders>
          </w:tcPr>
          <w:p w14:paraId="6FD6CBB8" w14:textId="77777777" w:rsidR="009948F1" w:rsidRDefault="009948F1">
            <w:pPr>
              <w:pStyle w:val="TableParagraph"/>
              <w:rPr>
                <w:rFonts w:ascii="Times New Roman"/>
                <w:sz w:val="10"/>
              </w:rPr>
            </w:pPr>
          </w:p>
        </w:tc>
        <w:tc>
          <w:tcPr>
            <w:tcW w:w="454" w:type="dxa"/>
            <w:shd w:val="clear" w:color="auto" w:fill="CCE7D3"/>
          </w:tcPr>
          <w:p w14:paraId="1E524F6E" w14:textId="77777777" w:rsidR="009948F1" w:rsidRDefault="009948F1">
            <w:pPr>
              <w:pStyle w:val="TableParagraph"/>
              <w:rPr>
                <w:sz w:val="12"/>
              </w:rPr>
            </w:pPr>
          </w:p>
          <w:p w14:paraId="56BDE3A2" w14:textId="77777777" w:rsidR="009948F1" w:rsidRDefault="009948F1">
            <w:pPr>
              <w:pStyle w:val="TableParagraph"/>
              <w:rPr>
                <w:sz w:val="12"/>
              </w:rPr>
            </w:pPr>
          </w:p>
          <w:p w14:paraId="4DD2B24A" w14:textId="77777777" w:rsidR="009948F1" w:rsidRDefault="009948F1">
            <w:pPr>
              <w:pStyle w:val="TableParagraph"/>
              <w:spacing w:before="5"/>
              <w:rPr>
                <w:sz w:val="9"/>
              </w:rPr>
            </w:pPr>
          </w:p>
          <w:p w14:paraId="270EA510" w14:textId="77777777" w:rsidR="009948F1" w:rsidRDefault="00BC0563">
            <w:pPr>
              <w:pStyle w:val="TableParagraph"/>
              <w:ind w:left="31" w:right="31"/>
              <w:jc w:val="center"/>
              <w:rPr>
                <w:sz w:val="11"/>
              </w:rPr>
            </w:pPr>
            <w:r>
              <w:rPr>
                <w:color w:val="231F20"/>
                <w:w w:val="110"/>
                <w:sz w:val="11"/>
              </w:rPr>
              <w:t>12.1.3</w:t>
            </w:r>
          </w:p>
        </w:tc>
        <w:tc>
          <w:tcPr>
            <w:tcW w:w="3031" w:type="dxa"/>
            <w:gridSpan w:val="2"/>
            <w:shd w:val="clear" w:color="auto" w:fill="CCE7D3"/>
          </w:tcPr>
          <w:p w14:paraId="77DF2B07" w14:textId="77777777" w:rsidR="009948F1" w:rsidRDefault="009948F1">
            <w:pPr>
              <w:pStyle w:val="TableParagraph"/>
              <w:rPr>
                <w:sz w:val="12"/>
              </w:rPr>
            </w:pPr>
          </w:p>
          <w:p w14:paraId="4782B20A" w14:textId="77777777" w:rsidR="009948F1" w:rsidRDefault="00BC0563">
            <w:pPr>
              <w:pStyle w:val="TableParagraph"/>
              <w:spacing w:before="98" w:line="273" w:lineRule="auto"/>
              <w:ind w:left="22" w:right="16" w:firstLine="32"/>
              <w:rPr>
                <w:sz w:val="11"/>
              </w:rPr>
            </w:pPr>
            <w:r>
              <w:rPr>
                <w:color w:val="231F20"/>
                <w:w w:val="110"/>
                <w:sz w:val="11"/>
              </w:rPr>
              <w:t>Improve</w:t>
            </w:r>
            <w:r>
              <w:rPr>
                <w:color w:val="231F20"/>
                <w:spacing w:val="-11"/>
                <w:w w:val="110"/>
                <w:sz w:val="11"/>
              </w:rPr>
              <w:t xml:space="preserve"> </w:t>
            </w:r>
            <w:r>
              <w:rPr>
                <w:color w:val="231F20"/>
                <w:w w:val="110"/>
                <w:sz w:val="11"/>
              </w:rPr>
              <w:t>integration</w:t>
            </w:r>
            <w:r>
              <w:rPr>
                <w:color w:val="231F20"/>
                <w:spacing w:val="-10"/>
                <w:w w:val="110"/>
                <w:sz w:val="11"/>
              </w:rPr>
              <w:t xml:space="preserve"> </w:t>
            </w:r>
            <w:r>
              <w:rPr>
                <w:color w:val="231F20"/>
                <w:w w:val="110"/>
                <w:sz w:val="11"/>
              </w:rPr>
              <w:t>of</w:t>
            </w:r>
            <w:r>
              <w:rPr>
                <w:color w:val="231F20"/>
                <w:spacing w:val="-10"/>
                <w:w w:val="110"/>
                <w:sz w:val="11"/>
              </w:rPr>
              <w:t xml:space="preserve"> </w:t>
            </w:r>
            <w:r>
              <w:rPr>
                <w:color w:val="231F20"/>
                <w:w w:val="110"/>
                <w:sz w:val="11"/>
              </w:rPr>
              <w:t>existing</w:t>
            </w:r>
            <w:r>
              <w:rPr>
                <w:color w:val="231F20"/>
                <w:spacing w:val="-11"/>
                <w:w w:val="110"/>
                <w:sz w:val="11"/>
              </w:rPr>
              <w:t xml:space="preserve"> </w:t>
            </w:r>
            <w:r>
              <w:rPr>
                <w:color w:val="231F20"/>
                <w:w w:val="110"/>
                <w:sz w:val="11"/>
              </w:rPr>
              <w:t>surveillance</w:t>
            </w:r>
            <w:r>
              <w:rPr>
                <w:color w:val="231F20"/>
                <w:spacing w:val="-10"/>
                <w:w w:val="110"/>
                <w:sz w:val="11"/>
              </w:rPr>
              <w:t xml:space="preserve"> </w:t>
            </w:r>
            <w:r>
              <w:rPr>
                <w:color w:val="231F20"/>
                <w:w w:val="110"/>
                <w:sz w:val="11"/>
              </w:rPr>
              <w:t>systems</w:t>
            </w:r>
            <w:r>
              <w:rPr>
                <w:color w:val="231F20"/>
                <w:spacing w:val="-10"/>
                <w:w w:val="110"/>
                <w:sz w:val="11"/>
              </w:rPr>
              <w:t xml:space="preserve"> </w:t>
            </w:r>
            <w:r>
              <w:rPr>
                <w:color w:val="231F20"/>
                <w:spacing w:val="-4"/>
                <w:w w:val="110"/>
                <w:sz w:val="11"/>
              </w:rPr>
              <w:t xml:space="preserve">and </w:t>
            </w:r>
            <w:r>
              <w:rPr>
                <w:color w:val="231F20"/>
                <w:w w:val="110"/>
                <w:sz w:val="11"/>
              </w:rPr>
              <w:t>diseases registries into the overall health information system</w:t>
            </w:r>
          </w:p>
        </w:tc>
        <w:tc>
          <w:tcPr>
            <w:tcW w:w="2379" w:type="dxa"/>
            <w:shd w:val="clear" w:color="auto" w:fill="CCE7D3"/>
          </w:tcPr>
          <w:p w14:paraId="7BF50544" w14:textId="77777777" w:rsidR="009948F1" w:rsidRDefault="00BC0563">
            <w:pPr>
              <w:pStyle w:val="TableParagraph"/>
              <w:numPr>
                <w:ilvl w:val="0"/>
                <w:numId w:val="36"/>
              </w:numPr>
              <w:tabs>
                <w:tab w:val="left" w:pos="97"/>
              </w:tabs>
              <w:spacing w:before="4" w:line="273" w:lineRule="auto"/>
              <w:ind w:right="112" w:firstLine="0"/>
              <w:jc w:val="both"/>
              <w:rPr>
                <w:sz w:val="11"/>
              </w:rPr>
            </w:pPr>
            <w:r>
              <w:rPr>
                <w:color w:val="231F20"/>
                <w:w w:val="110"/>
                <w:sz w:val="11"/>
              </w:rPr>
              <w:t>Compendium</w:t>
            </w:r>
            <w:r>
              <w:rPr>
                <w:color w:val="231F20"/>
                <w:spacing w:val="-8"/>
                <w:w w:val="110"/>
                <w:sz w:val="11"/>
              </w:rPr>
              <w:t xml:space="preserve"> </w:t>
            </w:r>
            <w:r>
              <w:rPr>
                <w:color w:val="231F20"/>
                <w:w w:val="110"/>
                <w:sz w:val="11"/>
              </w:rPr>
              <w:t>of</w:t>
            </w:r>
            <w:r>
              <w:rPr>
                <w:color w:val="231F20"/>
                <w:spacing w:val="-8"/>
                <w:w w:val="110"/>
                <w:sz w:val="11"/>
              </w:rPr>
              <w:t xml:space="preserve"> </w:t>
            </w:r>
            <w:r>
              <w:rPr>
                <w:color w:val="231F20"/>
                <w:w w:val="110"/>
                <w:sz w:val="11"/>
              </w:rPr>
              <w:t>all</w:t>
            </w:r>
            <w:r>
              <w:rPr>
                <w:color w:val="231F20"/>
                <w:spacing w:val="-8"/>
                <w:w w:val="110"/>
                <w:sz w:val="11"/>
              </w:rPr>
              <w:t xml:space="preserve"> </w:t>
            </w:r>
            <w:r>
              <w:rPr>
                <w:color w:val="231F20"/>
                <w:w w:val="110"/>
                <w:sz w:val="11"/>
              </w:rPr>
              <w:t>health</w:t>
            </w:r>
            <w:r>
              <w:rPr>
                <w:color w:val="231F20"/>
                <w:spacing w:val="-7"/>
                <w:w w:val="110"/>
                <w:sz w:val="11"/>
              </w:rPr>
              <w:t xml:space="preserve"> </w:t>
            </w:r>
            <w:r>
              <w:rPr>
                <w:color w:val="231F20"/>
                <w:w w:val="110"/>
                <w:sz w:val="11"/>
              </w:rPr>
              <w:t>indicators</w:t>
            </w:r>
            <w:r>
              <w:rPr>
                <w:color w:val="231F20"/>
                <w:spacing w:val="-8"/>
                <w:w w:val="110"/>
                <w:sz w:val="11"/>
              </w:rPr>
              <w:t xml:space="preserve"> </w:t>
            </w:r>
            <w:r>
              <w:rPr>
                <w:color w:val="231F20"/>
                <w:spacing w:val="-5"/>
                <w:w w:val="110"/>
                <w:sz w:val="11"/>
              </w:rPr>
              <w:t xml:space="preserve">from </w:t>
            </w:r>
            <w:r>
              <w:rPr>
                <w:color w:val="231F20"/>
                <w:w w:val="110"/>
                <w:sz w:val="11"/>
              </w:rPr>
              <w:t>all</w:t>
            </w:r>
            <w:r>
              <w:rPr>
                <w:color w:val="231F20"/>
                <w:spacing w:val="-7"/>
                <w:w w:val="110"/>
                <w:sz w:val="11"/>
              </w:rPr>
              <w:t xml:space="preserve"> </w:t>
            </w:r>
            <w:r>
              <w:rPr>
                <w:color w:val="231F20"/>
                <w:w w:val="110"/>
                <w:sz w:val="11"/>
              </w:rPr>
              <w:t>health</w:t>
            </w:r>
            <w:r>
              <w:rPr>
                <w:color w:val="231F20"/>
                <w:spacing w:val="-6"/>
                <w:w w:val="110"/>
                <w:sz w:val="11"/>
              </w:rPr>
              <w:t xml:space="preserve"> </w:t>
            </w:r>
            <w:r>
              <w:rPr>
                <w:color w:val="231F20"/>
                <w:w w:val="110"/>
                <w:sz w:val="11"/>
              </w:rPr>
              <w:t>related</w:t>
            </w:r>
            <w:r>
              <w:rPr>
                <w:color w:val="231F20"/>
                <w:spacing w:val="-7"/>
                <w:w w:val="110"/>
                <w:sz w:val="11"/>
              </w:rPr>
              <w:t xml:space="preserve"> </w:t>
            </w:r>
            <w:proofErr w:type="spellStart"/>
            <w:r>
              <w:rPr>
                <w:color w:val="231F20"/>
                <w:w w:val="110"/>
                <w:sz w:val="11"/>
              </w:rPr>
              <w:t>programmes</w:t>
            </w:r>
            <w:proofErr w:type="spellEnd"/>
            <w:r>
              <w:rPr>
                <w:color w:val="231F20"/>
                <w:spacing w:val="-6"/>
                <w:w w:val="110"/>
                <w:sz w:val="11"/>
              </w:rPr>
              <w:t xml:space="preserve"> </w:t>
            </w:r>
            <w:r>
              <w:rPr>
                <w:color w:val="231F20"/>
                <w:w w:val="110"/>
                <w:sz w:val="11"/>
              </w:rPr>
              <w:t>for</w:t>
            </w:r>
            <w:r>
              <w:rPr>
                <w:color w:val="231F20"/>
                <w:spacing w:val="-7"/>
                <w:w w:val="110"/>
                <w:sz w:val="11"/>
              </w:rPr>
              <w:t xml:space="preserve"> </w:t>
            </w:r>
            <w:r>
              <w:rPr>
                <w:color w:val="231F20"/>
                <w:w w:val="110"/>
                <w:sz w:val="11"/>
              </w:rPr>
              <w:t>the</w:t>
            </w:r>
            <w:r>
              <w:rPr>
                <w:color w:val="231F20"/>
                <w:spacing w:val="-6"/>
                <w:w w:val="110"/>
                <w:sz w:val="11"/>
              </w:rPr>
              <w:t xml:space="preserve"> </w:t>
            </w:r>
            <w:r>
              <w:rPr>
                <w:color w:val="231F20"/>
                <w:spacing w:val="-4"/>
                <w:w w:val="110"/>
                <w:sz w:val="11"/>
              </w:rPr>
              <w:t xml:space="preserve">state </w:t>
            </w:r>
            <w:r>
              <w:rPr>
                <w:color w:val="231F20"/>
                <w:w w:val="110"/>
                <w:sz w:val="11"/>
              </w:rPr>
              <w:t>developed and continuously</w:t>
            </w:r>
            <w:r>
              <w:rPr>
                <w:color w:val="231F20"/>
                <w:spacing w:val="-15"/>
                <w:w w:val="110"/>
                <w:sz w:val="11"/>
              </w:rPr>
              <w:t xml:space="preserve"> </w:t>
            </w:r>
            <w:r>
              <w:rPr>
                <w:color w:val="231F20"/>
                <w:w w:val="110"/>
                <w:sz w:val="11"/>
              </w:rPr>
              <w:t>reviewed</w:t>
            </w:r>
          </w:p>
          <w:p w14:paraId="01D80787" w14:textId="77777777" w:rsidR="009948F1" w:rsidRDefault="00BC0563">
            <w:pPr>
              <w:pStyle w:val="TableParagraph"/>
              <w:spacing w:line="273" w:lineRule="auto"/>
              <w:ind w:left="21" w:right="142"/>
              <w:rPr>
                <w:sz w:val="11"/>
              </w:rPr>
            </w:pPr>
            <w:r>
              <w:rPr>
                <w:color w:val="231F20"/>
                <w:w w:val="110"/>
                <w:sz w:val="11"/>
              </w:rPr>
              <w:t>•DHIS2, EMRs and other health systems information sub-systems and disease registers integrated</w:t>
            </w:r>
          </w:p>
        </w:tc>
        <w:tc>
          <w:tcPr>
            <w:tcW w:w="1424" w:type="dxa"/>
            <w:shd w:val="clear" w:color="auto" w:fill="CCE7D3"/>
          </w:tcPr>
          <w:p w14:paraId="57A58967" w14:textId="77777777" w:rsidR="009948F1" w:rsidRDefault="009948F1">
            <w:pPr>
              <w:pStyle w:val="TableParagraph"/>
              <w:rPr>
                <w:rFonts w:ascii="Times New Roman"/>
                <w:sz w:val="10"/>
              </w:rPr>
            </w:pPr>
          </w:p>
        </w:tc>
        <w:tc>
          <w:tcPr>
            <w:tcW w:w="1502" w:type="dxa"/>
            <w:shd w:val="clear" w:color="auto" w:fill="CCE7D3"/>
          </w:tcPr>
          <w:p w14:paraId="04951994" w14:textId="77777777" w:rsidR="009948F1" w:rsidRDefault="009948F1">
            <w:pPr>
              <w:pStyle w:val="TableParagraph"/>
              <w:rPr>
                <w:rFonts w:ascii="Times New Roman"/>
                <w:sz w:val="10"/>
              </w:rPr>
            </w:pPr>
          </w:p>
        </w:tc>
      </w:tr>
      <w:tr w:rsidR="009948F1" w14:paraId="3BEC52D5" w14:textId="77777777">
        <w:trPr>
          <w:trHeight w:val="600"/>
        </w:trPr>
        <w:tc>
          <w:tcPr>
            <w:tcW w:w="1038" w:type="dxa"/>
            <w:gridSpan w:val="3"/>
            <w:vMerge w:val="restart"/>
            <w:tcBorders>
              <w:top w:val="nil"/>
              <w:bottom w:val="nil"/>
            </w:tcBorders>
          </w:tcPr>
          <w:p w14:paraId="769C667A" w14:textId="77777777" w:rsidR="009948F1" w:rsidRDefault="009948F1">
            <w:pPr>
              <w:pStyle w:val="TableParagraph"/>
              <w:rPr>
                <w:rFonts w:ascii="Times New Roman"/>
                <w:sz w:val="10"/>
              </w:rPr>
            </w:pPr>
          </w:p>
        </w:tc>
        <w:tc>
          <w:tcPr>
            <w:tcW w:w="525" w:type="dxa"/>
          </w:tcPr>
          <w:p w14:paraId="69145DF0" w14:textId="77777777" w:rsidR="009948F1" w:rsidRDefault="009948F1">
            <w:pPr>
              <w:pStyle w:val="TableParagraph"/>
              <w:rPr>
                <w:sz w:val="12"/>
              </w:rPr>
            </w:pPr>
          </w:p>
          <w:p w14:paraId="4D64B7B3" w14:textId="77777777" w:rsidR="009948F1" w:rsidRDefault="00BC0563">
            <w:pPr>
              <w:pStyle w:val="TableParagraph"/>
              <w:spacing w:before="101"/>
              <w:ind w:left="23" w:right="9"/>
              <w:jc w:val="center"/>
              <w:rPr>
                <w:sz w:val="11"/>
              </w:rPr>
            </w:pPr>
            <w:r>
              <w:rPr>
                <w:color w:val="231F20"/>
                <w:w w:val="110"/>
                <w:sz w:val="11"/>
              </w:rPr>
              <w:t>12.1.3.a</w:t>
            </w:r>
          </w:p>
        </w:tc>
        <w:tc>
          <w:tcPr>
            <w:tcW w:w="4885" w:type="dxa"/>
            <w:gridSpan w:val="2"/>
          </w:tcPr>
          <w:p w14:paraId="2BE81D01" w14:textId="77777777" w:rsidR="009948F1" w:rsidRDefault="00BC0563">
            <w:pPr>
              <w:pStyle w:val="TableParagraph"/>
              <w:spacing w:line="88" w:lineRule="exact"/>
              <w:ind w:left="227"/>
              <w:jc w:val="center"/>
              <w:rPr>
                <w:sz w:val="11"/>
              </w:rPr>
            </w:pPr>
            <w:r>
              <w:rPr>
                <w:color w:val="231F20"/>
                <w:w w:val="107"/>
                <w:sz w:val="11"/>
              </w:rPr>
              <w:t>•</w:t>
            </w:r>
          </w:p>
          <w:p w14:paraId="02AD7414" w14:textId="1324123C" w:rsidR="009948F1" w:rsidRDefault="00BC0563">
            <w:pPr>
              <w:pStyle w:val="TableParagraph"/>
              <w:spacing w:before="75" w:line="273" w:lineRule="auto"/>
              <w:ind w:left="21" w:right="112"/>
              <w:rPr>
                <w:sz w:val="11"/>
              </w:rPr>
            </w:pPr>
            <w:r>
              <w:rPr>
                <w:color w:val="231F20"/>
                <w:w w:val="110"/>
                <w:sz w:val="11"/>
              </w:rPr>
              <w:t>Develop</w:t>
            </w:r>
            <w:r>
              <w:rPr>
                <w:color w:val="231F20"/>
                <w:spacing w:val="-10"/>
                <w:w w:val="110"/>
                <w:sz w:val="11"/>
              </w:rPr>
              <w:t xml:space="preserve"> </w:t>
            </w:r>
            <w:r>
              <w:rPr>
                <w:color w:val="231F20"/>
                <w:w w:val="110"/>
                <w:sz w:val="11"/>
              </w:rPr>
              <w:t>and</w:t>
            </w:r>
            <w:r>
              <w:rPr>
                <w:color w:val="231F20"/>
                <w:spacing w:val="-9"/>
                <w:w w:val="110"/>
                <w:sz w:val="11"/>
              </w:rPr>
              <w:t xml:space="preserve"> </w:t>
            </w:r>
            <w:r w:rsidR="002049E3">
              <w:rPr>
                <w:color w:val="231F20"/>
                <w:w w:val="110"/>
                <w:sz w:val="11"/>
              </w:rPr>
              <w:t>continuously</w:t>
            </w:r>
            <w:r>
              <w:rPr>
                <w:color w:val="231F20"/>
                <w:spacing w:val="-10"/>
                <w:w w:val="110"/>
                <w:sz w:val="11"/>
              </w:rPr>
              <w:t xml:space="preserve"> </w:t>
            </w:r>
            <w:r>
              <w:rPr>
                <w:color w:val="231F20"/>
                <w:w w:val="110"/>
                <w:sz w:val="11"/>
              </w:rPr>
              <w:t>review</w:t>
            </w:r>
            <w:r>
              <w:rPr>
                <w:color w:val="231F20"/>
                <w:spacing w:val="-9"/>
                <w:w w:val="110"/>
                <w:sz w:val="11"/>
              </w:rPr>
              <w:t xml:space="preserve"> </w:t>
            </w:r>
            <w:r>
              <w:rPr>
                <w:color w:val="231F20"/>
                <w:w w:val="110"/>
                <w:sz w:val="11"/>
              </w:rPr>
              <w:t>compendium</w:t>
            </w:r>
            <w:r>
              <w:rPr>
                <w:color w:val="231F20"/>
                <w:spacing w:val="-9"/>
                <w:w w:val="110"/>
                <w:sz w:val="11"/>
              </w:rPr>
              <w:t xml:space="preserve"> </w:t>
            </w:r>
            <w:r>
              <w:rPr>
                <w:color w:val="231F20"/>
                <w:w w:val="110"/>
                <w:sz w:val="11"/>
              </w:rPr>
              <w:t>of</w:t>
            </w:r>
            <w:r>
              <w:rPr>
                <w:color w:val="231F20"/>
                <w:spacing w:val="-10"/>
                <w:w w:val="110"/>
                <w:sz w:val="11"/>
              </w:rPr>
              <w:t xml:space="preserve"> </w:t>
            </w:r>
            <w:r>
              <w:rPr>
                <w:color w:val="231F20"/>
                <w:w w:val="110"/>
                <w:sz w:val="11"/>
              </w:rPr>
              <w:t>all</w:t>
            </w:r>
            <w:r>
              <w:rPr>
                <w:color w:val="231F20"/>
                <w:spacing w:val="-9"/>
                <w:w w:val="110"/>
                <w:sz w:val="11"/>
              </w:rPr>
              <w:t xml:space="preserve"> </w:t>
            </w:r>
            <w:r>
              <w:rPr>
                <w:color w:val="231F20"/>
                <w:w w:val="110"/>
                <w:sz w:val="11"/>
              </w:rPr>
              <w:t>health</w:t>
            </w:r>
            <w:r>
              <w:rPr>
                <w:color w:val="231F20"/>
                <w:spacing w:val="-9"/>
                <w:w w:val="110"/>
                <w:sz w:val="11"/>
              </w:rPr>
              <w:t xml:space="preserve"> </w:t>
            </w:r>
            <w:r>
              <w:rPr>
                <w:color w:val="231F20"/>
                <w:w w:val="110"/>
                <w:sz w:val="11"/>
              </w:rPr>
              <w:t>indicators</w:t>
            </w:r>
            <w:r>
              <w:rPr>
                <w:color w:val="231F20"/>
                <w:spacing w:val="-10"/>
                <w:w w:val="110"/>
                <w:sz w:val="11"/>
              </w:rPr>
              <w:t xml:space="preserve"> </w:t>
            </w:r>
            <w:r>
              <w:rPr>
                <w:color w:val="231F20"/>
                <w:w w:val="110"/>
                <w:sz w:val="11"/>
              </w:rPr>
              <w:t>from</w:t>
            </w:r>
            <w:r>
              <w:rPr>
                <w:color w:val="231F20"/>
                <w:spacing w:val="-9"/>
                <w:w w:val="110"/>
                <w:sz w:val="11"/>
              </w:rPr>
              <w:t xml:space="preserve"> </w:t>
            </w:r>
            <w:r>
              <w:rPr>
                <w:color w:val="231F20"/>
                <w:w w:val="110"/>
                <w:sz w:val="11"/>
              </w:rPr>
              <w:t>all</w:t>
            </w:r>
            <w:r>
              <w:rPr>
                <w:color w:val="231F20"/>
                <w:spacing w:val="-9"/>
                <w:w w:val="110"/>
                <w:sz w:val="11"/>
              </w:rPr>
              <w:t xml:space="preserve"> </w:t>
            </w:r>
            <w:r>
              <w:rPr>
                <w:color w:val="231F20"/>
                <w:w w:val="110"/>
                <w:sz w:val="11"/>
              </w:rPr>
              <w:t>health</w:t>
            </w:r>
            <w:r>
              <w:rPr>
                <w:color w:val="231F20"/>
                <w:spacing w:val="-10"/>
                <w:w w:val="110"/>
                <w:sz w:val="11"/>
              </w:rPr>
              <w:t xml:space="preserve"> </w:t>
            </w:r>
            <w:r>
              <w:rPr>
                <w:color w:val="231F20"/>
                <w:w w:val="110"/>
                <w:sz w:val="11"/>
              </w:rPr>
              <w:t xml:space="preserve">related </w:t>
            </w:r>
            <w:proofErr w:type="spellStart"/>
            <w:r>
              <w:rPr>
                <w:color w:val="231F20"/>
                <w:w w:val="110"/>
                <w:sz w:val="11"/>
              </w:rPr>
              <w:t>programmes</w:t>
            </w:r>
            <w:proofErr w:type="spellEnd"/>
            <w:r>
              <w:rPr>
                <w:color w:val="231F20"/>
                <w:w w:val="110"/>
                <w:sz w:val="11"/>
              </w:rPr>
              <w:t xml:space="preserve"> for the</w:t>
            </w:r>
            <w:r>
              <w:rPr>
                <w:color w:val="231F20"/>
                <w:spacing w:val="-4"/>
                <w:w w:val="110"/>
                <w:sz w:val="11"/>
              </w:rPr>
              <w:t xml:space="preserve"> </w:t>
            </w:r>
            <w:r>
              <w:rPr>
                <w:color w:val="231F20"/>
                <w:w w:val="110"/>
                <w:sz w:val="11"/>
              </w:rPr>
              <w:t>state</w:t>
            </w:r>
          </w:p>
        </w:tc>
        <w:tc>
          <w:tcPr>
            <w:tcW w:w="1424" w:type="dxa"/>
          </w:tcPr>
          <w:p w14:paraId="534AC608" w14:textId="77777777" w:rsidR="009948F1" w:rsidRDefault="009948F1">
            <w:pPr>
              <w:pStyle w:val="TableParagraph"/>
              <w:rPr>
                <w:sz w:val="12"/>
              </w:rPr>
            </w:pPr>
          </w:p>
          <w:p w14:paraId="769C0589" w14:textId="77777777" w:rsidR="009948F1" w:rsidRDefault="00BC0563">
            <w:pPr>
              <w:pStyle w:val="TableParagraph"/>
              <w:spacing w:before="101"/>
              <w:ind w:left="22"/>
              <w:rPr>
                <w:sz w:val="11"/>
              </w:rPr>
            </w:pPr>
            <w:r>
              <w:rPr>
                <w:color w:val="231F20"/>
                <w:w w:val="110"/>
                <w:sz w:val="11"/>
              </w:rPr>
              <w:t>Lack of funds</w:t>
            </w:r>
          </w:p>
        </w:tc>
        <w:tc>
          <w:tcPr>
            <w:tcW w:w="1502" w:type="dxa"/>
          </w:tcPr>
          <w:p w14:paraId="5A8D4770" w14:textId="77777777" w:rsidR="009948F1" w:rsidRDefault="009948F1">
            <w:pPr>
              <w:pStyle w:val="TableParagraph"/>
              <w:rPr>
                <w:sz w:val="12"/>
              </w:rPr>
            </w:pPr>
          </w:p>
          <w:p w14:paraId="78FA7877" w14:textId="77777777" w:rsidR="009948F1" w:rsidRDefault="00BC0563">
            <w:pPr>
              <w:pStyle w:val="TableParagraph"/>
              <w:spacing w:before="101"/>
              <w:ind w:left="22"/>
              <w:rPr>
                <w:sz w:val="11"/>
              </w:rPr>
            </w:pPr>
            <w:r>
              <w:rPr>
                <w:color w:val="231F20"/>
                <w:w w:val="110"/>
                <w:sz w:val="11"/>
              </w:rPr>
              <w:t>Costed in 1.3.3b</w:t>
            </w:r>
          </w:p>
        </w:tc>
      </w:tr>
      <w:tr w:rsidR="009948F1" w14:paraId="0BEB9F6B" w14:textId="77777777">
        <w:trPr>
          <w:trHeight w:val="380"/>
        </w:trPr>
        <w:tc>
          <w:tcPr>
            <w:tcW w:w="1038" w:type="dxa"/>
            <w:gridSpan w:val="3"/>
            <w:vMerge/>
            <w:tcBorders>
              <w:top w:val="nil"/>
              <w:bottom w:val="nil"/>
            </w:tcBorders>
          </w:tcPr>
          <w:p w14:paraId="74329AE7" w14:textId="77777777" w:rsidR="009948F1" w:rsidRDefault="009948F1">
            <w:pPr>
              <w:rPr>
                <w:sz w:val="2"/>
                <w:szCs w:val="2"/>
              </w:rPr>
            </w:pPr>
          </w:p>
        </w:tc>
        <w:tc>
          <w:tcPr>
            <w:tcW w:w="525" w:type="dxa"/>
          </w:tcPr>
          <w:p w14:paraId="546D94D7" w14:textId="77777777" w:rsidR="009948F1" w:rsidRDefault="009948F1">
            <w:pPr>
              <w:pStyle w:val="TableParagraph"/>
              <w:spacing w:before="2"/>
              <w:rPr>
                <w:sz w:val="11"/>
              </w:rPr>
            </w:pPr>
          </w:p>
          <w:p w14:paraId="0AF3DEF0" w14:textId="77777777" w:rsidR="009948F1" w:rsidRDefault="00BC0563">
            <w:pPr>
              <w:pStyle w:val="TableParagraph"/>
              <w:ind w:left="23" w:right="9"/>
              <w:jc w:val="center"/>
              <w:rPr>
                <w:sz w:val="11"/>
              </w:rPr>
            </w:pPr>
            <w:r>
              <w:rPr>
                <w:color w:val="231F20"/>
                <w:w w:val="110"/>
                <w:sz w:val="11"/>
              </w:rPr>
              <w:t>12.1.3.b</w:t>
            </w:r>
          </w:p>
        </w:tc>
        <w:tc>
          <w:tcPr>
            <w:tcW w:w="4885" w:type="dxa"/>
            <w:gridSpan w:val="2"/>
          </w:tcPr>
          <w:p w14:paraId="48BC6711" w14:textId="77777777" w:rsidR="009948F1" w:rsidRDefault="00BC0563">
            <w:pPr>
              <w:pStyle w:val="TableParagraph"/>
              <w:spacing w:before="53" w:line="273" w:lineRule="auto"/>
              <w:ind w:left="21" w:right="281"/>
              <w:rPr>
                <w:sz w:val="11"/>
              </w:rPr>
            </w:pPr>
            <w:r>
              <w:rPr>
                <w:color w:val="231F20"/>
                <w:w w:val="110"/>
                <w:sz w:val="11"/>
              </w:rPr>
              <w:t xml:space="preserve">Interoperation/Integration of DHIS2, EMRs and other health systems information </w:t>
            </w:r>
            <w:r>
              <w:rPr>
                <w:color w:val="231F20"/>
                <w:spacing w:val="-3"/>
                <w:w w:val="110"/>
                <w:sz w:val="11"/>
              </w:rPr>
              <w:t xml:space="preserve">sub- </w:t>
            </w:r>
            <w:r>
              <w:rPr>
                <w:color w:val="231F20"/>
                <w:w w:val="110"/>
                <w:sz w:val="11"/>
              </w:rPr>
              <w:t>systems and disease registers by the development of common data architectures</w:t>
            </w:r>
          </w:p>
        </w:tc>
        <w:tc>
          <w:tcPr>
            <w:tcW w:w="1424" w:type="dxa"/>
          </w:tcPr>
          <w:p w14:paraId="7ECAD4C2" w14:textId="77777777" w:rsidR="009948F1" w:rsidRDefault="009948F1">
            <w:pPr>
              <w:pStyle w:val="TableParagraph"/>
              <w:spacing w:before="2"/>
              <w:rPr>
                <w:sz w:val="11"/>
              </w:rPr>
            </w:pPr>
          </w:p>
          <w:p w14:paraId="465111A9" w14:textId="77777777" w:rsidR="009948F1" w:rsidRDefault="00BC0563">
            <w:pPr>
              <w:pStyle w:val="TableParagraph"/>
              <w:ind w:left="22"/>
              <w:rPr>
                <w:sz w:val="11"/>
              </w:rPr>
            </w:pPr>
            <w:r>
              <w:rPr>
                <w:color w:val="231F20"/>
                <w:w w:val="110"/>
                <w:sz w:val="11"/>
              </w:rPr>
              <w:t>Lack of funds</w:t>
            </w:r>
          </w:p>
        </w:tc>
        <w:tc>
          <w:tcPr>
            <w:tcW w:w="1502" w:type="dxa"/>
          </w:tcPr>
          <w:p w14:paraId="2F1F4B8D" w14:textId="77777777" w:rsidR="009948F1" w:rsidRDefault="009948F1">
            <w:pPr>
              <w:pStyle w:val="TableParagraph"/>
              <w:spacing w:before="2"/>
              <w:rPr>
                <w:sz w:val="11"/>
              </w:rPr>
            </w:pPr>
          </w:p>
          <w:p w14:paraId="5EA21AD1" w14:textId="77777777" w:rsidR="009948F1" w:rsidRDefault="00BC0563">
            <w:pPr>
              <w:pStyle w:val="TableParagraph"/>
              <w:ind w:left="22"/>
              <w:rPr>
                <w:sz w:val="11"/>
              </w:rPr>
            </w:pPr>
            <w:r>
              <w:rPr>
                <w:color w:val="231F20"/>
                <w:w w:val="110"/>
                <w:sz w:val="11"/>
              </w:rPr>
              <w:t>Costed in 12.1.2a</w:t>
            </w:r>
          </w:p>
        </w:tc>
      </w:tr>
      <w:tr w:rsidR="009948F1" w14:paraId="5CE23305" w14:textId="77777777">
        <w:trPr>
          <w:trHeight w:val="636"/>
        </w:trPr>
        <w:tc>
          <w:tcPr>
            <w:tcW w:w="584" w:type="dxa"/>
            <w:gridSpan w:val="2"/>
            <w:tcBorders>
              <w:top w:val="nil"/>
              <w:bottom w:val="nil"/>
            </w:tcBorders>
          </w:tcPr>
          <w:p w14:paraId="694F7707" w14:textId="77777777" w:rsidR="009948F1" w:rsidRDefault="009948F1">
            <w:pPr>
              <w:pStyle w:val="TableParagraph"/>
              <w:rPr>
                <w:rFonts w:ascii="Times New Roman"/>
                <w:sz w:val="10"/>
              </w:rPr>
            </w:pPr>
          </w:p>
        </w:tc>
        <w:tc>
          <w:tcPr>
            <w:tcW w:w="454" w:type="dxa"/>
            <w:shd w:val="clear" w:color="auto" w:fill="CCE7D3"/>
          </w:tcPr>
          <w:p w14:paraId="2896395C" w14:textId="77777777" w:rsidR="009948F1" w:rsidRDefault="009948F1">
            <w:pPr>
              <w:pStyle w:val="TableParagraph"/>
              <w:rPr>
                <w:sz w:val="12"/>
              </w:rPr>
            </w:pPr>
          </w:p>
          <w:p w14:paraId="262354E4" w14:textId="77777777" w:rsidR="009948F1" w:rsidRDefault="009948F1">
            <w:pPr>
              <w:pStyle w:val="TableParagraph"/>
              <w:spacing w:before="3"/>
              <w:rPr>
                <w:sz w:val="10"/>
              </w:rPr>
            </w:pPr>
          </w:p>
          <w:p w14:paraId="347C79D5" w14:textId="77777777" w:rsidR="009948F1" w:rsidRDefault="00BC0563">
            <w:pPr>
              <w:pStyle w:val="TableParagraph"/>
              <w:spacing w:before="1"/>
              <w:ind w:left="31" w:right="31"/>
              <w:jc w:val="center"/>
              <w:rPr>
                <w:sz w:val="11"/>
              </w:rPr>
            </w:pPr>
            <w:r>
              <w:rPr>
                <w:color w:val="231F20"/>
                <w:w w:val="110"/>
                <w:sz w:val="11"/>
              </w:rPr>
              <w:t>12.1.4</w:t>
            </w:r>
          </w:p>
        </w:tc>
        <w:tc>
          <w:tcPr>
            <w:tcW w:w="3031" w:type="dxa"/>
            <w:gridSpan w:val="2"/>
            <w:shd w:val="clear" w:color="auto" w:fill="CCE7D3"/>
          </w:tcPr>
          <w:p w14:paraId="265AB367" w14:textId="77777777" w:rsidR="009948F1" w:rsidRDefault="009948F1">
            <w:pPr>
              <w:pStyle w:val="TableParagraph"/>
              <w:spacing w:before="8"/>
              <w:rPr>
                <w:sz w:val="15"/>
              </w:rPr>
            </w:pPr>
          </w:p>
          <w:p w14:paraId="00A133CA" w14:textId="44C5F0F8" w:rsidR="009948F1" w:rsidRDefault="00BC0563">
            <w:pPr>
              <w:pStyle w:val="TableParagraph"/>
              <w:spacing w:line="273" w:lineRule="auto"/>
              <w:ind w:left="22" w:right="16" w:firstLine="32"/>
              <w:rPr>
                <w:sz w:val="11"/>
              </w:rPr>
            </w:pPr>
            <w:r>
              <w:rPr>
                <w:color w:val="231F20"/>
                <w:w w:val="110"/>
                <w:sz w:val="11"/>
              </w:rPr>
              <w:t>Improve</w:t>
            </w:r>
            <w:r>
              <w:rPr>
                <w:color w:val="231F20"/>
                <w:spacing w:val="-10"/>
                <w:w w:val="110"/>
                <w:sz w:val="11"/>
              </w:rPr>
              <w:t xml:space="preserve"> </w:t>
            </w:r>
            <w:r>
              <w:rPr>
                <w:color w:val="231F20"/>
                <w:w w:val="110"/>
                <w:sz w:val="11"/>
              </w:rPr>
              <w:t>the</w:t>
            </w:r>
            <w:r>
              <w:rPr>
                <w:color w:val="231F20"/>
                <w:spacing w:val="-9"/>
                <w:w w:val="110"/>
                <w:sz w:val="11"/>
              </w:rPr>
              <w:t xml:space="preserve"> </w:t>
            </w:r>
            <w:r w:rsidR="002049E3">
              <w:rPr>
                <w:color w:val="231F20"/>
                <w:w w:val="110"/>
                <w:sz w:val="11"/>
              </w:rPr>
              <w:t>mechanize</w:t>
            </w:r>
            <w:r>
              <w:rPr>
                <w:color w:val="231F20"/>
                <w:spacing w:val="-9"/>
                <w:w w:val="110"/>
                <w:sz w:val="11"/>
              </w:rPr>
              <w:t xml:space="preserve"> </w:t>
            </w:r>
            <w:r>
              <w:rPr>
                <w:color w:val="231F20"/>
                <w:w w:val="110"/>
                <w:sz w:val="11"/>
              </w:rPr>
              <w:t>of</w:t>
            </w:r>
            <w:r>
              <w:rPr>
                <w:color w:val="231F20"/>
                <w:spacing w:val="-9"/>
                <w:w w:val="110"/>
                <w:sz w:val="11"/>
              </w:rPr>
              <w:t xml:space="preserve"> </w:t>
            </w:r>
            <w:r>
              <w:rPr>
                <w:color w:val="231F20"/>
                <w:w w:val="110"/>
                <w:sz w:val="11"/>
              </w:rPr>
              <w:t>an</w:t>
            </w:r>
            <w:r>
              <w:rPr>
                <w:color w:val="231F20"/>
                <w:spacing w:val="15"/>
                <w:w w:val="110"/>
                <w:sz w:val="11"/>
              </w:rPr>
              <w:t xml:space="preserve"> </w:t>
            </w:r>
            <w:r>
              <w:rPr>
                <w:color w:val="231F20"/>
                <w:w w:val="110"/>
                <w:sz w:val="11"/>
              </w:rPr>
              <w:t>integrated</w:t>
            </w:r>
            <w:r>
              <w:rPr>
                <w:color w:val="231F20"/>
                <w:spacing w:val="-9"/>
                <w:w w:val="110"/>
                <w:sz w:val="11"/>
              </w:rPr>
              <w:t xml:space="preserve"> </w:t>
            </w:r>
            <w:r>
              <w:rPr>
                <w:color w:val="231F20"/>
                <w:w w:val="110"/>
                <w:sz w:val="11"/>
              </w:rPr>
              <w:t>data</w:t>
            </w:r>
            <w:r>
              <w:rPr>
                <w:color w:val="231F20"/>
                <w:spacing w:val="-10"/>
                <w:w w:val="110"/>
                <w:sz w:val="11"/>
              </w:rPr>
              <w:t xml:space="preserve"> </w:t>
            </w:r>
            <w:r>
              <w:rPr>
                <w:color w:val="231F20"/>
                <w:w w:val="110"/>
                <w:sz w:val="11"/>
              </w:rPr>
              <w:t>repository for</w:t>
            </w:r>
            <w:r>
              <w:rPr>
                <w:color w:val="231F20"/>
                <w:spacing w:val="-5"/>
                <w:w w:val="110"/>
                <w:sz w:val="11"/>
              </w:rPr>
              <w:t xml:space="preserve"> </w:t>
            </w:r>
            <w:r>
              <w:rPr>
                <w:color w:val="231F20"/>
                <w:w w:val="110"/>
                <w:sz w:val="11"/>
              </w:rPr>
              <w:t>data</w:t>
            </w:r>
            <w:r>
              <w:rPr>
                <w:color w:val="231F20"/>
                <w:spacing w:val="-4"/>
                <w:w w:val="110"/>
                <w:sz w:val="11"/>
              </w:rPr>
              <w:t xml:space="preserve"> </w:t>
            </w:r>
            <w:r>
              <w:rPr>
                <w:color w:val="231F20"/>
                <w:w w:val="110"/>
                <w:sz w:val="11"/>
              </w:rPr>
              <w:t>sharing</w:t>
            </w:r>
            <w:r>
              <w:rPr>
                <w:color w:val="231F20"/>
                <w:spacing w:val="-4"/>
                <w:w w:val="110"/>
                <w:sz w:val="11"/>
              </w:rPr>
              <w:t xml:space="preserve"> </w:t>
            </w:r>
            <w:r>
              <w:rPr>
                <w:color w:val="231F20"/>
                <w:w w:val="110"/>
                <w:sz w:val="11"/>
              </w:rPr>
              <w:t>amongst</w:t>
            </w:r>
            <w:r>
              <w:rPr>
                <w:color w:val="231F20"/>
                <w:spacing w:val="-4"/>
                <w:w w:val="110"/>
                <w:sz w:val="11"/>
              </w:rPr>
              <w:t xml:space="preserve"> </w:t>
            </w:r>
            <w:r>
              <w:rPr>
                <w:color w:val="231F20"/>
                <w:w w:val="110"/>
                <w:sz w:val="11"/>
              </w:rPr>
              <w:t>stakeholders</w:t>
            </w:r>
            <w:r>
              <w:rPr>
                <w:color w:val="231F20"/>
                <w:spacing w:val="-4"/>
                <w:w w:val="110"/>
                <w:sz w:val="11"/>
              </w:rPr>
              <w:t xml:space="preserve"> </w:t>
            </w:r>
            <w:r>
              <w:rPr>
                <w:color w:val="231F20"/>
                <w:w w:val="110"/>
                <w:sz w:val="11"/>
              </w:rPr>
              <w:t>at</w:t>
            </w:r>
            <w:r>
              <w:rPr>
                <w:color w:val="231F20"/>
                <w:spacing w:val="-4"/>
                <w:w w:val="110"/>
                <w:sz w:val="11"/>
              </w:rPr>
              <w:t xml:space="preserve"> </w:t>
            </w:r>
            <w:r>
              <w:rPr>
                <w:color w:val="231F20"/>
                <w:w w:val="110"/>
                <w:sz w:val="11"/>
              </w:rPr>
              <w:t>all</w:t>
            </w:r>
            <w:r>
              <w:rPr>
                <w:color w:val="231F20"/>
                <w:spacing w:val="-4"/>
                <w:w w:val="110"/>
                <w:sz w:val="11"/>
              </w:rPr>
              <w:t xml:space="preserve"> </w:t>
            </w:r>
            <w:r>
              <w:rPr>
                <w:color w:val="231F20"/>
                <w:w w:val="110"/>
                <w:sz w:val="11"/>
              </w:rPr>
              <w:t>levels</w:t>
            </w:r>
          </w:p>
        </w:tc>
        <w:tc>
          <w:tcPr>
            <w:tcW w:w="2379" w:type="dxa"/>
            <w:shd w:val="clear" w:color="auto" w:fill="CCE7D3"/>
          </w:tcPr>
          <w:p w14:paraId="434C76CB" w14:textId="77777777" w:rsidR="009948F1" w:rsidRDefault="00BC0563">
            <w:pPr>
              <w:pStyle w:val="TableParagraph"/>
              <w:numPr>
                <w:ilvl w:val="0"/>
                <w:numId w:val="35"/>
              </w:numPr>
              <w:tabs>
                <w:tab w:val="left" w:pos="97"/>
              </w:tabs>
              <w:spacing w:before="12" w:line="220" w:lineRule="auto"/>
              <w:ind w:right="13" w:firstLine="0"/>
              <w:rPr>
                <w:sz w:val="11"/>
              </w:rPr>
            </w:pPr>
            <w:r>
              <w:rPr>
                <w:color w:val="231F20"/>
                <w:w w:val="110"/>
                <w:sz w:val="11"/>
              </w:rPr>
              <w:t>Comprehensive</w:t>
            </w:r>
            <w:r>
              <w:rPr>
                <w:color w:val="231F20"/>
                <w:spacing w:val="-9"/>
                <w:w w:val="110"/>
                <w:sz w:val="11"/>
              </w:rPr>
              <w:t xml:space="preserve"> </w:t>
            </w:r>
            <w:r>
              <w:rPr>
                <w:color w:val="231F20"/>
                <w:w w:val="110"/>
                <w:sz w:val="11"/>
              </w:rPr>
              <w:t>&amp;</w:t>
            </w:r>
            <w:r>
              <w:rPr>
                <w:color w:val="231F20"/>
                <w:spacing w:val="-8"/>
                <w:w w:val="110"/>
                <w:sz w:val="11"/>
              </w:rPr>
              <w:t xml:space="preserve"> </w:t>
            </w:r>
            <w:r>
              <w:rPr>
                <w:color w:val="231F20"/>
                <w:w w:val="110"/>
                <w:sz w:val="11"/>
              </w:rPr>
              <w:t>accessible</w:t>
            </w:r>
            <w:r>
              <w:rPr>
                <w:color w:val="231F20"/>
                <w:spacing w:val="-9"/>
                <w:w w:val="110"/>
                <w:sz w:val="11"/>
              </w:rPr>
              <w:t xml:space="preserve"> </w:t>
            </w:r>
            <w:r>
              <w:rPr>
                <w:color w:val="231F20"/>
                <w:w w:val="110"/>
                <w:sz w:val="11"/>
              </w:rPr>
              <w:t>data</w:t>
            </w:r>
            <w:r>
              <w:rPr>
                <w:color w:val="231F20"/>
                <w:spacing w:val="-8"/>
                <w:w w:val="110"/>
                <w:sz w:val="11"/>
              </w:rPr>
              <w:t xml:space="preserve"> </w:t>
            </w:r>
            <w:r>
              <w:rPr>
                <w:color w:val="231F20"/>
                <w:w w:val="110"/>
                <w:sz w:val="11"/>
              </w:rPr>
              <w:t>bank</w:t>
            </w:r>
            <w:r>
              <w:rPr>
                <w:color w:val="231F20"/>
                <w:spacing w:val="-8"/>
                <w:w w:val="110"/>
                <w:sz w:val="11"/>
              </w:rPr>
              <w:t xml:space="preserve"> </w:t>
            </w:r>
            <w:r>
              <w:rPr>
                <w:color w:val="231F20"/>
                <w:spacing w:val="-6"/>
                <w:w w:val="110"/>
                <w:sz w:val="11"/>
              </w:rPr>
              <w:t xml:space="preserve">for </w:t>
            </w:r>
            <w:r>
              <w:rPr>
                <w:color w:val="231F20"/>
                <w:w w:val="110"/>
                <w:sz w:val="11"/>
              </w:rPr>
              <w:t>all health data in the state established &amp; maintained</w:t>
            </w:r>
          </w:p>
          <w:p w14:paraId="67761C3E" w14:textId="77777777" w:rsidR="009948F1" w:rsidRDefault="00BC0563">
            <w:pPr>
              <w:pStyle w:val="TableParagraph"/>
              <w:spacing w:before="8"/>
              <w:ind w:left="21"/>
              <w:rPr>
                <w:sz w:val="11"/>
              </w:rPr>
            </w:pPr>
            <w:r>
              <w:rPr>
                <w:color w:val="231F20"/>
                <w:w w:val="110"/>
                <w:sz w:val="11"/>
              </w:rPr>
              <w:t>•Multi-sectoral data collaborative forum</w:t>
            </w:r>
          </w:p>
          <w:p w14:paraId="39265B4D" w14:textId="77777777" w:rsidR="009948F1" w:rsidRDefault="00BC0563">
            <w:pPr>
              <w:pStyle w:val="TableParagraph"/>
              <w:spacing w:before="16" w:line="104" w:lineRule="exact"/>
              <w:ind w:left="21"/>
              <w:rPr>
                <w:sz w:val="11"/>
              </w:rPr>
            </w:pPr>
            <w:r>
              <w:rPr>
                <w:color w:val="231F20"/>
                <w:w w:val="110"/>
                <w:sz w:val="11"/>
              </w:rPr>
              <w:t>drawing from all relevant MDAs established</w:t>
            </w:r>
          </w:p>
        </w:tc>
        <w:tc>
          <w:tcPr>
            <w:tcW w:w="1424" w:type="dxa"/>
            <w:shd w:val="clear" w:color="auto" w:fill="CCE7D3"/>
          </w:tcPr>
          <w:p w14:paraId="0F897E94" w14:textId="77777777" w:rsidR="009948F1" w:rsidRDefault="009948F1">
            <w:pPr>
              <w:pStyle w:val="TableParagraph"/>
              <w:rPr>
                <w:rFonts w:ascii="Times New Roman"/>
                <w:sz w:val="10"/>
              </w:rPr>
            </w:pPr>
          </w:p>
        </w:tc>
        <w:tc>
          <w:tcPr>
            <w:tcW w:w="1502" w:type="dxa"/>
            <w:shd w:val="clear" w:color="auto" w:fill="CCE7D3"/>
          </w:tcPr>
          <w:p w14:paraId="28C9B2EF" w14:textId="77777777" w:rsidR="009948F1" w:rsidRDefault="009948F1">
            <w:pPr>
              <w:pStyle w:val="TableParagraph"/>
              <w:rPr>
                <w:rFonts w:ascii="Times New Roman"/>
                <w:sz w:val="10"/>
              </w:rPr>
            </w:pPr>
          </w:p>
        </w:tc>
      </w:tr>
      <w:tr w:rsidR="009948F1" w14:paraId="25EDB142" w14:textId="77777777">
        <w:trPr>
          <w:trHeight w:val="275"/>
        </w:trPr>
        <w:tc>
          <w:tcPr>
            <w:tcW w:w="1038" w:type="dxa"/>
            <w:gridSpan w:val="3"/>
            <w:vMerge w:val="restart"/>
            <w:tcBorders>
              <w:top w:val="nil"/>
              <w:bottom w:val="nil"/>
            </w:tcBorders>
          </w:tcPr>
          <w:p w14:paraId="6CCC297F" w14:textId="77777777" w:rsidR="009948F1" w:rsidRDefault="009948F1">
            <w:pPr>
              <w:pStyle w:val="TableParagraph"/>
              <w:rPr>
                <w:rFonts w:ascii="Times New Roman"/>
                <w:sz w:val="10"/>
              </w:rPr>
            </w:pPr>
          </w:p>
        </w:tc>
        <w:tc>
          <w:tcPr>
            <w:tcW w:w="525" w:type="dxa"/>
          </w:tcPr>
          <w:p w14:paraId="6F60CF71" w14:textId="77777777" w:rsidR="009948F1" w:rsidRDefault="00BC0563">
            <w:pPr>
              <w:pStyle w:val="TableParagraph"/>
              <w:spacing w:before="76"/>
              <w:ind w:left="23" w:right="9"/>
              <w:jc w:val="center"/>
              <w:rPr>
                <w:sz w:val="11"/>
              </w:rPr>
            </w:pPr>
            <w:r>
              <w:rPr>
                <w:color w:val="231F20"/>
                <w:w w:val="110"/>
                <w:sz w:val="11"/>
              </w:rPr>
              <w:t>12.1.4.a</w:t>
            </w:r>
          </w:p>
        </w:tc>
        <w:tc>
          <w:tcPr>
            <w:tcW w:w="4885" w:type="dxa"/>
            <w:gridSpan w:val="2"/>
          </w:tcPr>
          <w:p w14:paraId="700307E0" w14:textId="77777777" w:rsidR="009948F1" w:rsidRDefault="00BC0563">
            <w:pPr>
              <w:pStyle w:val="TableParagraph"/>
              <w:spacing w:before="72"/>
              <w:ind w:left="21"/>
              <w:rPr>
                <w:sz w:val="11"/>
              </w:rPr>
            </w:pPr>
            <w:r>
              <w:rPr>
                <w:color w:val="231F20"/>
                <w:w w:val="110"/>
                <w:sz w:val="11"/>
              </w:rPr>
              <w:t>Establish</w:t>
            </w:r>
            <w:r>
              <w:rPr>
                <w:color w:val="231F20"/>
                <w:spacing w:val="-7"/>
                <w:w w:val="110"/>
                <w:sz w:val="11"/>
              </w:rPr>
              <w:t xml:space="preserve"> </w:t>
            </w:r>
            <w:r>
              <w:rPr>
                <w:color w:val="231F20"/>
                <w:w w:val="110"/>
                <w:sz w:val="11"/>
              </w:rPr>
              <w:t>and</w:t>
            </w:r>
            <w:r>
              <w:rPr>
                <w:color w:val="231F20"/>
                <w:spacing w:val="-7"/>
                <w:w w:val="110"/>
                <w:sz w:val="11"/>
              </w:rPr>
              <w:t xml:space="preserve"> </w:t>
            </w:r>
            <w:r>
              <w:rPr>
                <w:color w:val="231F20"/>
                <w:w w:val="110"/>
                <w:sz w:val="11"/>
              </w:rPr>
              <w:t>maintain</w:t>
            </w:r>
            <w:r>
              <w:rPr>
                <w:color w:val="231F20"/>
                <w:spacing w:val="-7"/>
                <w:w w:val="110"/>
                <w:sz w:val="11"/>
              </w:rPr>
              <w:t xml:space="preserve"> </w:t>
            </w:r>
            <w:r>
              <w:rPr>
                <w:color w:val="231F20"/>
                <w:w w:val="110"/>
                <w:sz w:val="11"/>
              </w:rPr>
              <w:t>comprehensive,</w:t>
            </w:r>
            <w:r>
              <w:rPr>
                <w:color w:val="231F20"/>
                <w:spacing w:val="-7"/>
                <w:w w:val="110"/>
                <w:sz w:val="11"/>
              </w:rPr>
              <w:t xml:space="preserve"> </w:t>
            </w:r>
            <w:r>
              <w:rPr>
                <w:color w:val="231F20"/>
                <w:w w:val="110"/>
                <w:sz w:val="11"/>
              </w:rPr>
              <w:t>accessible</w:t>
            </w:r>
            <w:r>
              <w:rPr>
                <w:color w:val="231F20"/>
                <w:spacing w:val="-7"/>
                <w:w w:val="110"/>
                <w:sz w:val="11"/>
              </w:rPr>
              <w:t xml:space="preserve"> </w:t>
            </w:r>
            <w:r>
              <w:rPr>
                <w:color w:val="231F20"/>
                <w:w w:val="110"/>
                <w:sz w:val="11"/>
              </w:rPr>
              <w:t>data</w:t>
            </w:r>
            <w:r>
              <w:rPr>
                <w:color w:val="231F20"/>
                <w:spacing w:val="-7"/>
                <w:w w:val="110"/>
                <w:sz w:val="11"/>
              </w:rPr>
              <w:t xml:space="preserve"> </w:t>
            </w:r>
            <w:r>
              <w:rPr>
                <w:color w:val="231F20"/>
                <w:w w:val="110"/>
                <w:sz w:val="11"/>
              </w:rPr>
              <w:t>bank</w:t>
            </w:r>
            <w:r>
              <w:rPr>
                <w:color w:val="231F20"/>
                <w:spacing w:val="-7"/>
                <w:w w:val="110"/>
                <w:sz w:val="11"/>
              </w:rPr>
              <w:t xml:space="preserve"> </w:t>
            </w:r>
            <w:r>
              <w:rPr>
                <w:color w:val="231F20"/>
                <w:w w:val="110"/>
                <w:sz w:val="11"/>
              </w:rPr>
              <w:t>for</w:t>
            </w:r>
            <w:r>
              <w:rPr>
                <w:color w:val="231F20"/>
                <w:spacing w:val="-7"/>
                <w:w w:val="110"/>
                <w:sz w:val="11"/>
              </w:rPr>
              <w:t xml:space="preserve"> </w:t>
            </w:r>
            <w:r>
              <w:rPr>
                <w:color w:val="231F20"/>
                <w:w w:val="110"/>
                <w:sz w:val="11"/>
              </w:rPr>
              <w:t>all</w:t>
            </w:r>
            <w:r>
              <w:rPr>
                <w:color w:val="231F20"/>
                <w:spacing w:val="-7"/>
                <w:w w:val="110"/>
                <w:sz w:val="11"/>
              </w:rPr>
              <w:t xml:space="preserve"> </w:t>
            </w:r>
            <w:r>
              <w:rPr>
                <w:color w:val="231F20"/>
                <w:w w:val="110"/>
                <w:sz w:val="11"/>
              </w:rPr>
              <w:t>health</w:t>
            </w:r>
            <w:r>
              <w:rPr>
                <w:color w:val="231F20"/>
                <w:spacing w:val="-7"/>
                <w:w w:val="110"/>
                <w:sz w:val="11"/>
              </w:rPr>
              <w:t xml:space="preserve"> </w:t>
            </w:r>
            <w:r>
              <w:rPr>
                <w:color w:val="231F20"/>
                <w:w w:val="110"/>
                <w:sz w:val="11"/>
              </w:rPr>
              <w:t>data</w:t>
            </w:r>
            <w:r>
              <w:rPr>
                <w:color w:val="231F20"/>
                <w:spacing w:val="-7"/>
                <w:w w:val="110"/>
                <w:sz w:val="11"/>
              </w:rPr>
              <w:t xml:space="preserve"> </w:t>
            </w:r>
            <w:r>
              <w:rPr>
                <w:color w:val="231F20"/>
                <w:w w:val="110"/>
                <w:sz w:val="11"/>
              </w:rPr>
              <w:t>in</w:t>
            </w:r>
            <w:r>
              <w:rPr>
                <w:color w:val="231F20"/>
                <w:spacing w:val="-7"/>
                <w:w w:val="110"/>
                <w:sz w:val="11"/>
              </w:rPr>
              <w:t xml:space="preserve"> </w:t>
            </w:r>
            <w:r>
              <w:rPr>
                <w:color w:val="231F20"/>
                <w:w w:val="110"/>
                <w:sz w:val="11"/>
              </w:rPr>
              <w:t>the</w:t>
            </w:r>
            <w:r>
              <w:rPr>
                <w:color w:val="231F20"/>
                <w:spacing w:val="-7"/>
                <w:w w:val="110"/>
                <w:sz w:val="11"/>
              </w:rPr>
              <w:t xml:space="preserve"> </w:t>
            </w:r>
            <w:r>
              <w:rPr>
                <w:color w:val="231F20"/>
                <w:w w:val="110"/>
                <w:sz w:val="11"/>
              </w:rPr>
              <w:t>state</w:t>
            </w:r>
          </w:p>
        </w:tc>
        <w:tc>
          <w:tcPr>
            <w:tcW w:w="1424" w:type="dxa"/>
          </w:tcPr>
          <w:p w14:paraId="3F5216E2" w14:textId="77777777" w:rsidR="009948F1" w:rsidRDefault="00BC0563">
            <w:pPr>
              <w:pStyle w:val="TableParagraph"/>
              <w:spacing w:before="76"/>
              <w:ind w:left="22"/>
              <w:rPr>
                <w:sz w:val="11"/>
              </w:rPr>
            </w:pPr>
            <w:r>
              <w:rPr>
                <w:color w:val="231F20"/>
                <w:w w:val="110"/>
                <w:sz w:val="11"/>
              </w:rPr>
              <w:t>Lack of funds</w:t>
            </w:r>
          </w:p>
        </w:tc>
        <w:tc>
          <w:tcPr>
            <w:tcW w:w="1502" w:type="dxa"/>
          </w:tcPr>
          <w:p w14:paraId="4B44B557" w14:textId="77777777" w:rsidR="009948F1" w:rsidRDefault="00BC0563">
            <w:pPr>
              <w:pStyle w:val="TableParagraph"/>
              <w:spacing w:before="76"/>
              <w:ind w:left="22"/>
              <w:rPr>
                <w:sz w:val="11"/>
              </w:rPr>
            </w:pPr>
            <w:r>
              <w:rPr>
                <w:color w:val="231F20"/>
                <w:w w:val="110"/>
                <w:sz w:val="11"/>
              </w:rPr>
              <w:t>Costed in 1.3.3b</w:t>
            </w:r>
          </w:p>
        </w:tc>
      </w:tr>
      <w:tr w:rsidR="009948F1" w14:paraId="73BB11CA" w14:textId="77777777">
        <w:trPr>
          <w:trHeight w:val="264"/>
        </w:trPr>
        <w:tc>
          <w:tcPr>
            <w:tcW w:w="1038" w:type="dxa"/>
            <w:gridSpan w:val="3"/>
            <w:vMerge/>
            <w:tcBorders>
              <w:top w:val="nil"/>
              <w:bottom w:val="nil"/>
            </w:tcBorders>
          </w:tcPr>
          <w:p w14:paraId="2AB604F9" w14:textId="77777777" w:rsidR="009948F1" w:rsidRDefault="009948F1">
            <w:pPr>
              <w:rPr>
                <w:sz w:val="2"/>
                <w:szCs w:val="2"/>
              </w:rPr>
            </w:pPr>
          </w:p>
        </w:tc>
        <w:tc>
          <w:tcPr>
            <w:tcW w:w="525" w:type="dxa"/>
          </w:tcPr>
          <w:p w14:paraId="23E98FB0" w14:textId="77777777" w:rsidR="009948F1" w:rsidRDefault="00BC0563">
            <w:pPr>
              <w:pStyle w:val="TableParagraph"/>
              <w:spacing w:before="72"/>
              <w:ind w:left="23" w:right="9"/>
              <w:jc w:val="center"/>
              <w:rPr>
                <w:sz w:val="11"/>
              </w:rPr>
            </w:pPr>
            <w:r>
              <w:rPr>
                <w:color w:val="231F20"/>
                <w:w w:val="110"/>
                <w:sz w:val="11"/>
              </w:rPr>
              <w:t>12.1.4.b</w:t>
            </w:r>
          </w:p>
        </w:tc>
        <w:tc>
          <w:tcPr>
            <w:tcW w:w="4885" w:type="dxa"/>
            <w:gridSpan w:val="2"/>
          </w:tcPr>
          <w:p w14:paraId="523A1480" w14:textId="77777777" w:rsidR="009948F1" w:rsidRDefault="00BC0563">
            <w:pPr>
              <w:pStyle w:val="TableParagraph"/>
              <w:spacing w:before="67"/>
              <w:ind w:left="21"/>
              <w:rPr>
                <w:sz w:val="11"/>
              </w:rPr>
            </w:pPr>
            <w:r>
              <w:rPr>
                <w:color w:val="231F20"/>
                <w:w w:val="110"/>
                <w:sz w:val="11"/>
              </w:rPr>
              <w:t>Establish multi-sectoral data collaborative forum drawing from all relevant MDAs</w:t>
            </w:r>
          </w:p>
        </w:tc>
        <w:tc>
          <w:tcPr>
            <w:tcW w:w="1424" w:type="dxa"/>
          </w:tcPr>
          <w:p w14:paraId="193149DE" w14:textId="77777777" w:rsidR="009948F1" w:rsidRDefault="00BC0563">
            <w:pPr>
              <w:pStyle w:val="TableParagraph"/>
              <w:spacing w:before="72"/>
              <w:ind w:left="22"/>
              <w:rPr>
                <w:sz w:val="11"/>
              </w:rPr>
            </w:pPr>
            <w:r>
              <w:rPr>
                <w:color w:val="231F20"/>
                <w:w w:val="110"/>
                <w:sz w:val="11"/>
              </w:rPr>
              <w:t>Lack of funds</w:t>
            </w:r>
          </w:p>
        </w:tc>
        <w:tc>
          <w:tcPr>
            <w:tcW w:w="1502" w:type="dxa"/>
          </w:tcPr>
          <w:p w14:paraId="12EB9B8C" w14:textId="77777777" w:rsidR="009948F1" w:rsidRDefault="00BC0563">
            <w:pPr>
              <w:pStyle w:val="TableParagraph"/>
              <w:spacing w:before="72"/>
              <w:ind w:left="22"/>
              <w:rPr>
                <w:sz w:val="11"/>
              </w:rPr>
            </w:pPr>
            <w:r>
              <w:rPr>
                <w:color w:val="231F20"/>
                <w:w w:val="110"/>
                <w:sz w:val="11"/>
              </w:rPr>
              <w:t>Costed in 12.1.1d</w:t>
            </w:r>
          </w:p>
        </w:tc>
      </w:tr>
      <w:tr w:rsidR="009948F1" w14:paraId="006936E0" w14:textId="77777777">
        <w:trPr>
          <w:trHeight w:val="558"/>
        </w:trPr>
        <w:tc>
          <w:tcPr>
            <w:tcW w:w="584" w:type="dxa"/>
            <w:gridSpan w:val="2"/>
            <w:tcBorders>
              <w:top w:val="nil"/>
              <w:bottom w:val="nil"/>
            </w:tcBorders>
          </w:tcPr>
          <w:p w14:paraId="6AA65A9B" w14:textId="77777777" w:rsidR="009948F1" w:rsidRDefault="009948F1">
            <w:pPr>
              <w:pStyle w:val="TableParagraph"/>
              <w:rPr>
                <w:rFonts w:ascii="Times New Roman"/>
                <w:sz w:val="10"/>
              </w:rPr>
            </w:pPr>
          </w:p>
        </w:tc>
        <w:tc>
          <w:tcPr>
            <w:tcW w:w="454" w:type="dxa"/>
            <w:shd w:val="clear" w:color="auto" w:fill="CCE7D3"/>
          </w:tcPr>
          <w:p w14:paraId="0AEEDFA0" w14:textId="77777777" w:rsidR="009948F1" w:rsidRDefault="009948F1">
            <w:pPr>
              <w:pStyle w:val="TableParagraph"/>
              <w:rPr>
                <w:sz w:val="12"/>
              </w:rPr>
            </w:pPr>
          </w:p>
          <w:p w14:paraId="0905C582" w14:textId="77777777" w:rsidR="009948F1" w:rsidRDefault="00BC0563">
            <w:pPr>
              <w:pStyle w:val="TableParagraph"/>
              <w:spacing w:before="80"/>
              <w:ind w:left="31" w:right="31"/>
              <w:jc w:val="center"/>
              <w:rPr>
                <w:sz w:val="11"/>
              </w:rPr>
            </w:pPr>
            <w:r>
              <w:rPr>
                <w:color w:val="231F20"/>
                <w:w w:val="110"/>
                <w:sz w:val="11"/>
              </w:rPr>
              <w:t>12.1.5</w:t>
            </w:r>
          </w:p>
        </w:tc>
        <w:tc>
          <w:tcPr>
            <w:tcW w:w="3031" w:type="dxa"/>
            <w:gridSpan w:val="2"/>
            <w:shd w:val="clear" w:color="auto" w:fill="CCE7D3"/>
          </w:tcPr>
          <w:p w14:paraId="3D76D189" w14:textId="77777777" w:rsidR="009948F1" w:rsidRDefault="009948F1">
            <w:pPr>
              <w:pStyle w:val="TableParagraph"/>
              <w:rPr>
                <w:sz w:val="12"/>
              </w:rPr>
            </w:pPr>
          </w:p>
          <w:p w14:paraId="12514F49" w14:textId="77777777" w:rsidR="009948F1" w:rsidRDefault="00BC0563">
            <w:pPr>
              <w:pStyle w:val="TableParagraph"/>
              <w:spacing w:before="75"/>
              <w:ind w:left="54"/>
              <w:rPr>
                <w:sz w:val="11"/>
              </w:rPr>
            </w:pPr>
            <w:r>
              <w:rPr>
                <w:color w:val="231F20"/>
                <w:w w:val="110"/>
                <w:sz w:val="11"/>
              </w:rPr>
              <w:t>Strengthen monitoring of the sub-sector performance</w:t>
            </w:r>
          </w:p>
        </w:tc>
        <w:tc>
          <w:tcPr>
            <w:tcW w:w="2379" w:type="dxa"/>
            <w:shd w:val="clear" w:color="auto" w:fill="CCE7D3"/>
          </w:tcPr>
          <w:p w14:paraId="545B672E" w14:textId="17846ABC" w:rsidR="009948F1" w:rsidRDefault="00BC0563">
            <w:pPr>
              <w:pStyle w:val="TableParagraph"/>
              <w:numPr>
                <w:ilvl w:val="0"/>
                <w:numId w:val="34"/>
              </w:numPr>
              <w:tabs>
                <w:tab w:val="left" w:pos="97"/>
              </w:tabs>
              <w:spacing w:before="4"/>
              <w:ind w:hanging="76"/>
              <w:rPr>
                <w:sz w:val="11"/>
              </w:rPr>
            </w:pPr>
            <w:r>
              <w:rPr>
                <w:color w:val="231F20"/>
                <w:w w:val="110"/>
                <w:sz w:val="11"/>
              </w:rPr>
              <w:t>Data</w:t>
            </w:r>
            <w:r>
              <w:rPr>
                <w:color w:val="231F20"/>
                <w:spacing w:val="-10"/>
                <w:w w:val="110"/>
                <w:sz w:val="11"/>
              </w:rPr>
              <w:t xml:space="preserve"> </w:t>
            </w:r>
            <w:r>
              <w:rPr>
                <w:color w:val="231F20"/>
                <w:w w:val="110"/>
                <w:sz w:val="11"/>
              </w:rPr>
              <w:t>Quality</w:t>
            </w:r>
            <w:r>
              <w:rPr>
                <w:color w:val="231F20"/>
                <w:spacing w:val="-14"/>
                <w:w w:val="110"/>
                <w:sz w:val="11"/>
              </w:rPr>
              <w:t xml:space="preserve"> </w:t>
            </w:r>
            <w:r>
              <w:rPr>
                <w:color w:val="231F20"/>
                <w:w w:val="110"/>
                <w:sz w:val="11"/>
              </w:rPr>
              <w:t>Assessment</w:t>
            </w:r>
            <w:r>
              <w:rPr>
                <w:color w:val="231F20"/>
                <w:spacing w:val="-10"/>
                <w:w w:val="110"/>
                <w:sz w:val="11"/>
              </w:rPr>
              <w:t xml:space="preserve"> </w:t>
            </w:r>
            <w:r w:rsidR="002049E3">
              <w:rPr>
                <w:color w:val="231F20"/>
                <w:w w:val="110"/>
                <w:sz w:val="11"/>
              </w:rPr>
              <w:t>exercises</w:t>
            </w:r>
            <w:r>
              <w:rPr>
                <w:color w:val="231F20"/>
                <w:spacing w:val="-9"/>
                <w:w w:val="110"/>
                <w:sz w:val="11"/>
              </w:rPr>
              <w:t xml:space="preserve"> </w:t>
            </w:r>
            <w:r>
              <w:rPr>
                <w:color w:val="231F20"/>
                <w:w w:val="110"/>
                <w:sz w:val="11"/>
              </w:rPr>
              <w:t>done</w:t>
            </w:r>
          </w:p>
          <w:p w14:paraId="51922A60" w14:textId="77777777" w:rsidR="009948F1" w:rsidRDefault="00BC0563">
            <w:pPr>
              <w:pStyle w:val="TableParagraph"/>
              <w:spacing w:before="17"/>
              <w:ind w:left="21"/>
              <w:rPr>
                <w:sz w:val="11"/>
              </w:rPr>
            </w:pPr>
            <w:r>
              <w:rPr>
                <w:color w:val="231F20"/>
                <w:w w:val="110"/>
                <w:sz w:val="11"/>
              </w:rPr>
              <w:t>•Regular supportive supervisory visits done</w:t>
            </w:r>
          </w:p>
          <w:p w14:paraId="6F707678" w14:textId="77777777" w:rsidR="009948F1" w:rsidRDefault="00BC0563">
            <w:pPr>
              <w:pStyle w:val="TableParagraph"/>
              <w:spacing w:before="4" w:line="140" w:lineRule="atLeast"/>
              <w:ind w:left="21" w:right="142"/>
              <w:rPr>
                <w:sz w:val="11"/>
              </w:rPr>
            </w:pPr>
            <w:r>
              <w:rPr>
                <w:color w:val="231F20"/>
                <w:w w:val="110"/>
                <w:sz w:val="11"/>
              </w:rPr>
              <w:t>•Dashboard to monitor data entry and quality of data entered developed</w:t>
            </w:r>
          </w:p>
        </w:tc>
        <w:tc>
          <w:tcPr>
            <w:tcW w:w="1424" w:type="dxa"/>
            <w:shd w:val="clear" w:color="auto" w:fill="CCE7D3"/>
          </w:tcPr>
          <w:p w14:paraId="487DD261" w14:textId="77777777" w:rsidR="009948F1" w:rsidRDefault="009948F1">
            <w:pPr>
              <w:pStyle w:val="TableParagraph"/>
              <w:rPr>
                <w:rFonts w:ascii="Times New Roman"/>
                <w:sz w:val="10"/>
              </w:rPr>
            </w:pPr>
          </w:p>
        </w:tc>
        <w:tc>
          <w:tcPr>
            <w:tcW w:w="1502" w:type="dxa"/>
            <w:shd w:val="clear" w:color="auto" w:fill="CCE7D3"/>
          </w:tcPr>
          <w:p w14:paraId="1DFCA596" w14:textId="77777777" w:rsidR="009948F1" w:rsidRDefault="009948F1">
            <w:pPr>
              <w:pStyle w:val="TableParagraph"/>
              <w:rPr>
                <w:rFonts w:ascii="Times New Roman"/>
                <w:sz w:val="10"/>
              </w:rPr>
            </w:pPr>
          </w:p>
        </w:tc>
      </w:tr>
      <w:tr w:rsidR="009948F1" w14:paraId="10F19D16" w14:textId="77777777">
        <w:trPr>
          <w:trHeight w:val="477"/>
        </w:trPr>
        <w:tc>
          <w:tcPr>
            <w:tcW w:w="1038" w:type="dxa"/>
            <w:gridSpan w:val="3"/>
            <w:vMerge w:val="restart"/>
            <w:tcBorders>
              <w:top w:val="nil"/>
              <w:bottom w:val="single" w:sz="8" w:space="0" w:color="231F20"/>
            </w:tcBorders>
          </w:tcPr>
          <w:p w14:paraId="5F6AD882" w14:textId="77777777" w:rsidR="009948F1" w:rsidRDefault="009948F1">
            <w:pPr>
              <w:pStyle w:val="TableParagraph"/>
              <w:rPr>
                <w:rFonts w:ascii="Times New Roman"/>
                <w:sz w:val="10"/>
              </w:rPr>
            </w:pPr>
          </w:p>
        </w:tc>
        <w:tc>
          <w:tcPr>
            <w:tcW w:w="525" w:type="dxa"/>
          </w:tcPr>
          <w:p w14:paraId="2100E8B8" w14:textId="77777777" w:rsidR="009948F1" w:rsidRDefault="009948F1">
            <w:pPr>
              <w:pStyle w:val="TableParagraph"/>
              <w:spacing w:before="7"/>
              <w:rPr>
                <w:sz w:val="15"/>
              </w:rPr>
            </w:pPr>
          </w:p>
          <w:p w14:paraId="3AEC9583" w14:textId="77777777" w:rsidR="009948F1" w:rsidRDefault="00BC0563">
            <w:pPr>
              <w:pStyle w:val="TableParagraph"/>
              <w:ind w:left="23" w:right="9"/>
              <w:jc w:val="center"/>
              <w:rPr>
                <w:sz w:val="11"/>
              </w:rPr>
            </w:pPr>
            <w:r>
              <w:rPr>
                <w:color w:val="231F20"/>
                <w:w w:val="110"/>
                <w:sz w:val="11"/>
              </w:rPr>
              <w:t>12.1.5.a</w:t>
            </w:r>
          </w:p>
        </w:tc>
        <w:tc>
          <w:tcPr>
            <w:tcW w:w="4885" w:type="dxa"/>
            <w:gridSpan w:val="2"/>
          </w:tcPr>
          <w:p w14:paraId="2130A50C" w14:textId="77777777" w:rsidR="009948F1" w:rsidRDefault="009948F1">
            <w:pPr>
              <w:pStyle w:val="TableParagraph"/>
              <w:spacing w:before="2"/>
              <w:rPr>
                <w:sz w:val="15"/>
              </w:rPr>
            </w:pPr>
          </w:p>
          <w:p w14:paraId="62388AC2" w14:textId="6366DAAE" w:rsidR="009948F1" w:rsidRDefault="002049E3">
            <w:pPr>
              <w:pStyle w:val="TableParagraph"/>
              <w:ind w:left="21"/>
              <w:rPr>
                <w:sz w:val="11"/>
              </w:rPr>
            </w:pPr>
            <w:r>
              <w:rPr>
                <w:color w:val="231F20"/>
                <w:w w:val="110"/>
                <w:sz w:val="11"/>
              </w:rPr>
              <w:t>Conduct</w:t>
            </w:r>
            <w:r w:rsidR="00BC0563">
              <w:rPr>
                <w:color w:val="231F20"/>
                <w:w w:val="110"/>
                <w:sz w:val="11"/>
              </w:rPr>
              <w:t xml:space="preserve"> Data Quality Assessment </w:t>
            </w:r>
            <w:r>
              <w:rPr>
                <w:color w:val="231F20"/>
                <w:w w:val="110"/>
                <w:sz w:val="11"/>
              </w:rPr>
              <w:t>exercises</w:t>
            </w:r>
          </w:p>
        </w:tc>
        <w:tc>
          <w:tcPr>
            <w:tcW w:w="1424" w:type="dxa"/>
          </w:tcPr>
          <w:p w14:paraId="2E3026AB" w14:textId="77777777" w:rsidR="009948F1" w:rsidRDefault="009948F1">
            <w:pPr>
              <w:pStyle w:val="TableParagraph"/>
              <w:spacing w:before="7"/>
              <w:rPr>
                <w:sz w:val="15"/>
              </w:rPr>
            </w:pPr>
          </w:p>
          <w:p w14:paraId="08484112" w14:textId="77777777" w:rsidR="009948F1" w:rsidRDefault="00BC0563">
            <w:pPr>
              <w:pStyle w:val="TableParagraph"/>
              <w:ind w:left="22"/>
              <w:rPr>
                <w:sz w:val="11"/>
              </w:rPr>
            </w:pPr>
            <w:r>
              <w:rPr>
                <w:color w:val="231F20"/>
                <w:w w:val="110"/>
                <w:sz w:val="11"/>
              </w:rPr>
              <w:t>Lack of funds</w:t>
            </w:r>
          </w:p>
        </w:tc>
        <w:tc>
          <w:tcPr>
            <w:tcW w:w="1502" w:type="dxa"/>
          </w:tcPr>
          <w:p w14:paraId="56F505F0" w14:textId="5CC65307" w:rsidR="009948F1" w:rsidRDefault="002049E3">
            <w:pPr>
              <w:pStyle w:val="TableParagraph"/>
              <w:spacing w:before="107" w:line="273" w:lineRule="auto"/>
              <w:ind w:left="22"/>
              <w:rPr>
                <w:sz w:val="11"/>
              </w:rPr>
            </w:pPr>
            <w:r>
              <w:rPr>
                <w:color w:val="231F20"/>
                <w:w w:val="110"/>
                <w:sz w:val="11"/>
              </w:rPr>
              <w:t>Conduct</w:t>
            </w:r>
            <w:r w:rsidR="00BC0563">
              <w:rPr>
                <w:color w:val="231F20"/>
                <w:w w:val="110"/>
                <w:sz w:val="11"/>
              </w:rPr>
              <w:t xml:space="preserve"> Data Quality Assessment</w:t>
            </w:r>
          </w:p>
        </w:tc>
      </w:tr>
      <w:tr w:rsidR="009948F1" w14:paraId="3ED1BA16" w14:textId="77777777">
        <w:trPr>
          <w:trHeight w:val="461"/>
        </w:trPr>
        <w:tc>
          <w:tcPr>
            <w:tcW w:w="1038" w:type="dxa"/>
            <w:gridSpan w:val="3"/>
            <w:vMerge/>
            <w:tcBorders>
              <w:top w:val="nil"/>
              <w:bottom w:val="single" w:sz="8" w:space="0" w:color="231F20"/>
            </w:tcBorders>
          </w:tcPr>
          <w:p w14:paraId="202400C1" w14:textId="77777777" w:rsidR="009948F1" w:rsidRDefault="009948F1">
            <w:pPr>
              <w:rPr>
                <w:sz w:val="2"/>
                <w:szCs w:val="2"/>
              </w:rPr>
            </w:pPr>
          </w:p>
        </w:tc>
        <w:tc>
          <w:tcPr>
            <w:tcW w:w="525" w:type="dxa"/>
          </w:tcPr>
          <w:p w14:paraId="203DA297" w14:textId="77777777" w:rsidR="009948F1" w:rsidRDefault="009948F1">
            <w:pPr>
              <w:pStyle w:val="TableParagraph"/>
              <w:spacing w:before="9"/>
              <w:rPr>
                <w:sz w:val="14"/>
              </w:rPr>
            </w:pPr>
          </w:p>
          <w:p w14:paraId="7793305A" w14:textId="77777777" w:rsidR="009948F1" w:rsidRDefault="00BC0563">
            <w:pPr>
              <w:pStyle w:val="TableParagraph"/>
              <w:ind w:left="23" w:right="9"/>
              <w:jc w:val="center"/>
              <w:rPr>
                <w:sz w:val="11"/>
              </w:rPr>
            </w:pPr>
            <w:r>
              <w:rPr>
                <w:color w:val="231F20"/>
                <w:w w:val="110"/>
                <w:sz w:val="11"/>
              </w:rPr>
              <w:t>12.1.5.b</w:t>
            </w:r>
          </w:p>
        </w:tc>
        <w:tc>
          <w:tcPr>
            <w:tcW w:w="4885" w:type="dxa"/>
            <w:gridSpan w:val="2"/>
          </w:tcPr>
          <w:p w14:paraId="64B2E10F" w14:textId="77777777" w:rsidR="009948F1" w:rsidRDefault="009948F1">
            <w:pPr>
              <w:pStyle w:val="TableParagraph"/>
              <w:spacing w:before="4"/>
              <w:rPr>
                <w:sz w:val="14"/>
              </w:rPr>
            </w:pPr>
          </w:p>
          <w:p w14:paraId="3D70D9BC" w14:textId="77777777" w:rsidR="009948F1" w:rsidRDefault="00BC0563">
            <w:pPr>
              <w:pStyle w:val="TableParagraph"/>
              <w:ind w:left="21"/>
              <w:rPr>
                <w:sz w:val="11"/>
              </w:rPr>
            </w:pPr>
            <w:r>
              <w:rPr>
                <w:color w:val="231F20"/>
                <w:w w:val="110"/>
                <w:sz w:val="11"/>
              </w:rPr>
              <w:t>Conduct regular supportive supervisory visits</w:t>
            </w:r>
          </w:p>
        </w:tc>
        <w:tc>
          <w:tcPr>
            <w:tcW w:w="1424" w:type="dxa"/>
          </w:tcPr>
          <w:p w14:paraId="2D5DE09B" w14:textId="77777777" w:rsidR="009948F1" w:rsidRDefault="009948F1">
            <w:pPr>
              <w:pStyle w:val="TableParagraph"/>
              <w:spacing w:before="9"/>
              <w:rPr>
                <w:sz w:val="14"/>
              </w:rPr>
            </w:pPr>
          </w:p>
          <w:p w14:paraId="057E75F3" w14:textId="77777777" w:rsidR="009948F1" w:rsidRDefault="00BC0563">
            <w:pPr>
              <w:pStyle w:val="TableParagraph"/>
              <w:ind w:left="22"/>
              <w:rPr>
                <w:sz w:val="11"/>
              </w:rPr>
            </w:pPr>
            <w:r>
              <w:rPr>
                <w:color w:val="231F20"/>
                <w:w w:val="110"/>
                <w:sz w:val="11"/>
              </w:rPr>
              <w:t>Lack of funds</w:t>
            </w:r>
          </w:p>
        </w:tc>
        <w:tc>
          <w:tcPr>
            <w:tcW w:w="1502" w:type="dxa"/>
          </w:tcPr>
          <w:p w14:paraId="5F7FA45F" w14:textId="77777777" w:rsidR="009948F1" w:rsidRDefault="00BC0563">
            <w:pPr>
              <w:pStyle w:val="TableParagraph"/>
              <w:spacing w:before="97" w:line="273" w:lineRule="auto"/>
              <w:ind w:left="22"/>
              <w:rPr>
                <w:sz w:val="11"/>
              </w:rPr>
            </w:pPr>
            <w:r>
              <w:rPr>
                <w:color w:val="231F20"/>
                <w:w w:val="110"/>
                <w:sz w:val="11"/>
              </w:rPr>
              <w:t>Conduct supportive supervisory visits</w:t>
            </w:r>
          </w:p>
        </w:tc>
      </w:tr>
      <w:tr w:rsidR="009948F1" w14:paraId="48E49B0A" w14:textId="77777777">
        <w:trPr>
          <w:trHeight w:val="454"/>
        </w:trPr>
        <w:tc>
          <w:tcPr>
            <w:tcW w:w="1038" w:type="dxa"/>
            <w:gridSpan w:val="3"/>
            <w:vMerge/>
            <w:tcBorders>
              <w:top w:val="nil"/>
              <w:bottom w:val="single" w:sz="8" w:space="0" w:color="231F20"/>
            </w:tcBorders>
          </w:tcPr>
          <w:p w14:paraId="0EDCB536" w14:textId="77777777" w:rsidR="009948F1" w:rsidRDefault="009948F1">
            <w:pPr>
              <w:rPr>
                <w:sz w:val="2"/>
                <w:szCs w:val="2"/>
              </w:rPr>
            </w:pPr>
          </w:p>
        </w:tc>
        <w:tc>
          <w:tcPr>
            <w:tcW w:w="525" w:type="dxa"/>
          </w:tcPr>
          <w:p w14:paraId="44209C94" w14:textId="77777777" w:rsidR="009948F1" w:rsidRDefault="009948F1">
            <w:pPr>
              <w:pStyle w:val="TableParagraph"/>
              <w:spacing w:before="5"/>
              <w:rPr>
                <w:sz w:val="14"/>
              </w:rPr>
            </w:pPr>
          </w:p>
          <w:p w14:paraId="3223A9F1" w14:textId="77777777" w:rsidR="009948F1" w:rsidRDefault="00BC0563">
            <w:pPr>
              <w:pStyle w:val="TableParagraph"/>
              <w:ind w:left="23" w:right="9"/>
              <w:jc w:val="center"/>
              <w:rPr>
                <w:sz w:val="11"/>
              </w:rPr>
            </w:pPr>
            <w:r>
              <w:rPr>
                <w:color w:val="231F20"/>
                <w:w w:val="110"/>
                <w:sz w:val="11"/>
              </w:rPr>
              <w:t>12.1.5.c</w:t>
            </w:r>
          </w:p>
        </w:tc>
        <w:tc>
          <w:tcPr>
            <w:tcW w:w="4885" w:type="dxa"/>
            <w:gridSpan w:val="2"/>
          </w:tcPr>
          <w:p w14:paraId="1D3B43AA" w14:textId="77777777" w:rsidR="009948F1" w:rsidRDefault="009948F1">
            <w:pPr>
              <w:pStyle w:val="TableParagraph"/>
              <w:rPr>
                <w:sz w:val="14"/>
              </w:rPr>
            </w:pPr>
          </w:p>
          <w:p w14:paraId="059FA4AE" w14:textId="77777777" w:rsidR="009948F1" w:rsidRDefault="00BC0563">
            <w:pPr>
              <w:pStyle w:val="TableParagraph"/>
              <w:spacing w:before="1"/>
              <w:ind w:left="21"/>
              <w:rPr>
                <w:sz w:val="11"/>
              </w:rPr>
            </w:pPr>
            <w:r>
              <w:rPr>
                <w:color w:val="231F20"/>
                <w:w w:val="110"/>
                <w:sz w:val="11"/>
              </w:rPr>
              <w:t>Develop a dashboard to monitor data entry and quality of data entered</w:t>
            </w:r>
          </w:p>
        </w:tc>
        <w:tc>
          <w:tcPr>
            <w:tcW w:w="1424" w:type="dxa"/>
          </w:tcPr>
          <w:p w14:paraId="587D6B78" w14:textId="77777777" w:rsidR="009948F1" w:rsidRDefault="009948F1">
            <w:pPr>
              <w:pStyle w:val="TableParagraph"/>
              <w:spacing w:before="5"/>
              <w:rPr>
                <w:sz w:val="14"/>
              </w:rPr>
            </w:pPr>
          </w:p>
          <w:p w14:paraId="5E90C6A4" w14:textId="77777777" w:rsidR="009948F1" w:rsidRDefault="00BC0563">
            <w:pPr>
              <w:pStyle w:val="TableParagraph"/>
              <w:ind w:left="22"/>
              <w:rPr>
                <w:sz w:val="11"/>
              </w:rPr>
            </w:pPr>
            <w:r>
              <w:rPr>
                <w:color w:val="231F20"/>
                <w:w w:val="110"/>
                <w:sz w:val="11"/>
              </w:rPr>
              <w:t>Lack of funds</w:t>
            </w:r>
          </w:p>
        </w:tc>
        <w:tc>
          <w:tcPr>
            <w:tcW w:w="1502" w:type="dxa"/>
          </w:tcPr>
          <w:p w14:paraId="73215891" w14:textId="77777777" w:rsidR="009948F1" w:rsidRDefault="009948F1">
            <w:pPr>
              <w:pStyle w:val="TableParagraph"/>
              <w:spacing w:before="5"/>
              <w:rPr>
                <w:sz w:val="14"/>
              </w:rPr>
            </w:pPr>
          </w:p>
          <w:p w14:paraId="614FAE75" w14:textId="77777777" w:rsidR="009948F1" w:rsidRDefault="00BC0563">
            <w:pPr>
              <w:pStyle w:val="TableParagraph"/>
              <w:ind w:left="22"/>
              <w:rPr>
                <w:sz w:val="11"/>
              </w:rPr>
            </w:pPr>
            <w:r>
              <w:rPr>
                <w:color w:val="231F20"/>
                <w:w w:val="110"/>
                <w:sz w:val="11"/>
              </w:rPr>
              <w:t>No cost</w:t>
            </w:r>
          </w:p>
        </w:tc>
      </w:tr>
      <w:tr w:rsidR="009948F1" w14:paraId="1A9079E7" w14:textId="77777777">
        <w:trPr>
          <w:trHeight w:val="280"/>
        </w:trPr>
        <w:tc>
          <w:tcPr>
            <w:tcW w:w="1038" w:type="dxa"/>
            <w:gridSpan w:val="3"/>
            <w:vMerge/>
            <w:tcBorders>
              <w:top w:val="nil"/>
              <w:bottom w:val="single" w:sz="8" w:space="0" w:color="231F20"/>
            </w:tcBorders>
          </w:tcPr>
          <w:p w14:paraId="051CB4FD" w14:textId="77777777" w:rsidR="009948F1" w:rsidRDefault="009948F1">
            <w:pPr>
              <w:rPr>
                <w:sz w:val="2"/>
                <w:szCs w:val="2"/>
              </w:rPr>
            </w:pPr>
          </w:p>
        </w:tc>
        <w:tc>
          <w:tcPr>
            <w:tcW w:w="525" w:type="dxa"/>
          </w:tcPr>
          <w:p w14:paraId="39580608" w14:textId="77777777" w:rsidR="009948F1" w:rsidRDefault="00BC0563">
            <w:pPr>
              <w:pStyle w:val="TableParagraph"/>
              <w:spacing w:before="80"/>
              <w:ind w:left="23" w:right="9"/>
              <w:jc w:val="center"/>
              <w:rPr>
                <w:sz w:val="11"/>
              </w:rPr>
            </w:pPr>
            <w:r>
              <w:rPr>
                <w:color w:val="231F20"/>
                <w:w w:val="110"/>
                <w:sz w:val="11"/>
              </w:rPr>
              <w:t>12.1.5.d</w:t>
            </w:r>
          </w:p>
        </w:tc>
        <w:tc>
          <w:tcPr>
            <w:tcW w:w="4885" w:type="dxa"/>
            <w:gridSpan w:val="2"/>
          </w:tcPr>
          <w:p w14:paraId="00EC3C9F" w14:textId="77777777" w:rsidR="009948F1" w:rsidRDefault="00BC0563">
            <w:pPr>
              <w:pStyle w:val="TableParagraph"/>
              <w:spacing w:before="75"/>
              <w:ind w:left="21"/>
              <w:rPr>
                <w:sz w:val="11"/>
              </w:rPr>
            </w:pPr>
            <w:r>
              <w:rPr>
                <w:color w:val="231F20"/>
                <w:w w:val="110"/>
                <w:sz w:val="11"/>
              </w:rPr>
              <w:t>Institute a mechanism for pooling resources from MDAs and Partners for HMIS activities</w:t>
            </w:r>
          </w:p>
        </w:tc>
        <w:tc>
          <w:tcPr>
            <w:tcW w:w="1424" w:type="dxa"/>
          </w:tcPr>
          <w:p w14:paraId="01DE5FD4" w14:textId="77777777" w:rsidR="009948F1" w:rsidRDefault="00BC0563">
            <w:pPr>
              <w:pStyle w:val="TableParagraph"/>
              <w:spacing w:before="80"/>
              <w:ind w:left="22"/>
              <w:rPr>
                <w:sz w:val="11"/>
              </w:rPr>
            </w:pPr>
            <w:r>
              <w:rPr>
                <w:color w:val="231F20"/>
                <w:w w:val="110"/>
                <w:sz w:val="11"/>
              </w:rPr>
              <w:t>Lack of funds</w:t>
            </w:r>
          </w:p>
        </w:tc>
        <w:tc>
          <w:tcPr>
            <w:tcW w:w="1502" w:type="dxa"/>
          </w:tcPr>
          <w:p w14:paraId="4B0F071B" w14:textId="77777777" w:rsidR="009948F1" w:rsidRDefault="00BC0563">
            <w:pPr>
              <w:pStyle w:val="TableParagraph"/>
              <w:spacing w:before="80"/>
              <w:ind w:left="22"/>
              <w:rPr>
                <w:sz w:val="11"/>
              </w:rPr>
            </w:pPr>
            <w:r>
              <w:rPr>
                <w:color w:val="231F20"/>
                <w:w w:val="110"/>
                <w:sz w:val="11"/>
              </w:rPr>
              <w:t>No cost</w:t>
            </w:r>
          </w:p>
        </w:tc>
      </w:tr>
      <w:tr w:rsidR="009948F1" w14:paraId="1D4481B0" w14:textId="77777777">
        <w:trPr>
          <w:trHeight w:val="270"/>
        </w:trPr>
        <w:tc>
          <w:tcPr>
            <w:tcW w:w="1038" w:type="dxa"/>
            <w:gridSpan w:val="3"/>
            <w:vMerge/>
            <w:tcBorders>
              <w:top w:val="nil"/>
              <w:bottom w:val="single" w:sz="8" w:space="0" w:color="231F20"/>
            </w:tcBorders>
          </w:tcPr>
          <w:p w14:paraId="33A14B0A" w14:textId="77777777" w:rsidR="009948F1" w:rsidRDefault="009948F1">
            <w:pPr>
              <w:rPr>
                <w:sz w:val="2"/>
                <w:szCs w:val="2"/>
              </w:rPr>
            </w:pPr>
          </w:p>
        </w:tc>
        <w:tc>
          <w:tcPr>
            <w:tcW w:w="525" w:type="dxa"/>
            <w:tcBorders>
              <w:bottom w:val="single" w:sz="8" w:space="0" w:color="231F20"/>
            </w:tcBorders>
          </w:tcPr>
          <w:p w14:paraId="4DC89A58" w14:textId="77777777" w:rsidR="009948F1" w:rsidRDefault="00BC0563">
            <w:pPr>
              <w:pStyle w:val="TableParagraph"/>
              <w:spacing w:before="76"/>
              <w:ind w:left="23" w:right="9"/>
              <w:jc w:val="center"/>
              <w:rPr>
                <w:sz w:val="11"/>
              </w:rPr>
            </w:pPr>
            <w:r>
              <w:rPr>
                <w:color w:val="231F20"/>
                <w:w w:val="110"/>
                <w:sz w:val="11"/>
              </w:rPr>
              <w:t>12.1.5.e</w:t>
            </w:r>
          </w:p>
        </w:tc>
        <w:tc>
          <w:tcPr>
            <w:tcW w:w="4885" w:type="dxa"/>
            <w:gridSpan w:val="2"/>
            <w:tcBorders>
              <w:bottom w:val="single" w:sz="8" w:space="0" w:color="231F20"/>
            </w:tcBorders>
          </w:tcPr>
          <w:p w14:paraId="23D60866" w14:textId="60CBFF1E" w:rsidR="009948F1" w:rsidRDefault="002049E3">
            <w:pPr>
              <w:pStyle w:val="TableParagraph"/>
              <w:spacing w:before="1"/>
              <w:ind w:left="21"/>
              <w:rPr>
                <w:sz w:val="11"/>
              </w:rPr>
            </w:pPr>
            <w:r>
              <w:rPr>
                <w:color w:val="231F20"/>
                <w:w w:val="110"/>
                <w:sz w:val="11"/>
              </w:rPr>
              <w:t>Institutionalize</w:t>
            </w:r>
            <w:r w:rsidR="00BC0563">
              <w:rPr>
                <w:color w:val="231F20"/>
                <w:spacing w:val="-9"/>
                <w:w w:val="110"/>
                <w:sz w:val="11"/>
              </w:rPr>
              <w:t xml:space="preserve"> </w:t>
            </w:r>
            <w:r w:rsidR="00BC0563">
              <w:rPr>
                <w:color w:val="231F20"/>
                <w:w w:val="110"/>
                <w:sz w:val="11"/>
              </w:rPr>
              <w:t>performance</w:t>
            </w:r>
            <w:r w:rsidR="00BC0563">
              <w:rPr>
                <w:color w:val="231F20"/>
                <w:spacing w:val="-9"/>
                <w:w w:val="110"/>
                <w:sz w:val="11"/>
              </w:rPr>
              <w:t xml:space="preserve"> </w:t>
            </w:r>
            <w:r w:rsidR="00BC0563">
              <w:rPr>
                <w:color w:val="231F20"/>
                <w:w w:val="110"/>
                <w:sz w:val="11"/>
              </w:rPr>
              <w:t>plan</w:t>
            </w:r>
            <w:r w:rsidR="00BC0563">
              <w:rPr>
                <w:color w:val="231F20"/>
                <w:spacing w:val="-8"/>
                <w:w w:val="110"/>
                <w:sz w:val="11"/>
              </w:rPr>
              <w:t xml:space="preserve"> </w:t>
            </w:r>
            <w:r w:rsidR="00BC0563">
              <w:rPr>
                <w:color w:val="231F20"/>
                <w:w w:val="110"/>
                <w:sz w:val="11"/>
              </w:rPr>
              <w:t>for</w:t>
            </w:r>
            <w:r w:rsidR="00BC0563">
              <w:rPr>
                <w:color w:val="231F20"/>
                <w:spacing w:val="-9"/>
                <w:w w:val="110"/>
                <w:sz w:val="11"/>
              </w:rPr>
              <w:t xml:space="preserve"> </w:t>
            </w:r>
            <w:r w:rsidR="00BC0563">
              <w:rPr>
                <w:color w:val="231F20"/>
                <w:w w:val="110"/>
                <w:sz w:val="11"/>
              </w:rPr>
              <w:t>monitoring</w:t>
            </w:r>
            <w:r w:rsidR="00BC0563">
              <w:rPr>
                <w:color w:val="231F20"/>
                <w:spacing w:val="-8"/>
                <w:w w:val="110"/>
                <w:sz w:val="11"/>
              </w:rPr>
              <w:t xml:space="preserve"> </w:t>
            </w:r>
            <w:r w:rsidR="00BC0563">
              <w:rPr>
                <w:color w:val="231F20"/>
                <w:w w:val="110"/>
                <w:sz w:val="11"/>
              </w:rPr>
              <w:t>the</w:t>
            </w:r>
            <w:r w:rsidR="00BC0563">
              <w:rPr>
                <w:color w:val="231F20"/>
                <w:spacing w:val="-9"/>
                <w:w w:val="110"/>
                <w:sz w:val="11"/>
              </w:rPr>
              <w:t xml:space="preserve"> </w:t>
            </w:r>
            <w:r w:rsidR="00BC0563">
              <w:rPr>
                <w:color w:val="231F20"/>
                <w:w w:val="110"/>
                <w:sz w:val="11"/>
              </w:rPr>
              <w:t>budget</w:t>
            </w:r>
            <w:r w:rsidR="00BC0563">
              <w:rPr>
                <w:color w:val="231F20"/>
                <w:spacing w:val="-8"/>
                <w:w w:val="110"/>
                <w:sz w:val="11"/>
              </w:rPr>
              <w:t xml:space="preserve"> </w:t>
            </w:r>
            <w:r w:rsidR="00BC0563">
              <w:rPr>
                <w:color w:val="231F20"/>
                <w:w w:val="110"/>
                <w:sz w:val="11"/>
              </w:rPr>
              <w:t>allocated</w:t>
            </w:r>
            <w:r w:rsidR="00BC0563">
              <w:rPr>
                <w:color w:val="231F20"/>
                <w:spacing w:val="-9"/>
                <w:w w:val="110"/>
                <w:sz w:val="11"/>
              </w:rPr>
              <w:t xml:space="preserve"> </w:t>
            </w:r>
            <w:r w:rsidR="00BC0563">
              <w:rPr>
                <w:color w:val="231F20"/>
                <w:w w:val="110"/>
                <w:sz w:val="11"/>
              </w:rPr>
              <w:t>and</w:t>
            </w:r>
            <w:r w:rsidR="00BC0563">
              <w:rPr>
                <w:color w:val="231F20"/>
                <w:spacing w:val="-8"/>
                <w:w w:val="110"/>
                <w:sz w:val="11"/>
              </w:rPr>
              <w:t xml:space="preserve"> </w:t>
            </w:r>
            <w:r w:rsidR="00BC0563">
              <w:rPr>
                <w:color w:val="231F20"/>
                <w:w w:val="110"/>
                <w:sz w:val="11"/>
              </w:rPr>
              <w:t>released</w:t>
            </w:r>
            <w:r w:rsidR="00BC0563">
              <w:rPr>
                <w:color w:val="231F20"/>
                <w:spacing w:val="-9"/>
                <w:w w:val="110"/>
                <w:sz w:val="11"/>
              </w:rPr>
              <w:t xml:space="preserve"> </w:t>
            </w:r>
            <w:r w:rsidR="00BC0563">
              <w:rPr>
                <w:color w:val="231F20"/>
                <w:w w:val="110"/>
                <w:sz w:val="11"/>
              </w:rPr>
              <w:t>by</w:t>
            </w:r>
            <w:r w:rsidR="00BC0563">
              <w:rPr>
                <w:color w:val="231F20"/>
                <w:spacing w:val="-9"/>
                <w:w w:val="110"/>
                <w:sz w:val="11"/>
              </w:rPr>
              <w:t xml:space="preserve"> </w:t>
            </w:r>
            <w:r w:rsidR="00BC0563">
              <w:rPr>
                <w:color w:val="231F20"/>
                <w:w w:val="110"/>
                <w:sz w:val="11"/>
              </w:rPr>
              <w:t>MDAs</w:t>
            </w:r>
          </w:p>
          <w:p w14:paraId="650CF024" w14:textId="77777777" w:rsidR="009948F1" w:rsidRDefault="00BC0563">
            <w:pPr>
              <w:pStyle w:val="TableParagraph"/>
              <w:spacing w:before="18" w:line="105" w:lineRule="exact"/>
              <w:ind w:left="21"/>
              <w:rPr>
                <w:sz w:val="11"/>
              </w:rPr>
            </w:pPr>
            <w:r>
              <w:rPr>
                <w:color w:val="231F20"/>
                <w:w w:val="110"/>
                <w:sz w:val="11"/>
              </w:rPr>
              <w:t>for HMIS activities</w:t>
            </w:r>
          </w:p>
        </w:tc>
        <w:tc>
          <w:tcPr>
            <w:tcW w:w="1424" w:type="dxa"/>
            <w:tcBorders>
              <w:bottom w:val="single" w:sz="8" w:space="0" w:color="231F20"/>
            </w:tcBorders>
          </w:tcPr>
          <w:p w14:paraId="3C659308" w14:textId="77777777" w:rsidR="009948F1" w:rsidRDefault="00BC0563">
            <w:pPr>
              <w:pStyle w:val="TableParagraph"/>
              <w:spacing w:before="76"/>
              <w:ind w:left="22"/>
              <w:rPr>
                <w:sz w:val="11"/>
              </w:rPr>
            </w:pPr>
            <w:r>
              <w:rPr>
                <w:color w:val="231F20"/>
                <w:w w:val="110"/>
                <w:sz w:val="11"/>
              </w:rPr>
              <w:t>Lack of funds</w:t>
            </w:r>
          </w:p>
        </w:tc>
        <w:tc>
          <w:tcPr>
            <w:tcW w:w="1502" w:type="dxa"/>
            <w:tcBorders>
              <w:bottom w:val="single" w:sz="8" w:space="0" w:color="231F20"/>
            </w:tcBorders>
          </w:tcPr>
          <w:p w14:paraId="1FC680B6" w14:textId="77777777" w:rsidR="009948F1" w:rsidRDefault="00BC0563">
            <w:pPr>
              <w:pStyle w:val="TableParagraph"/>
              <w:spacing w:before="76"/>
              <w:ind w:left="22"/>
              <w:rPr>
                <w:sz w:val="11"/>
              </w:rPr>
            </w:pPr>
            <w:r>
              <w:rPr>
                <w:color w:val="231F20"/>
                <w:w w:val="110"/>
                <w:sz w:val="11"/>
              </w:rPr>
              <w:t>Production &amp; distribution</w:t>
            </w:r>
          </w:p>
        </w:tc>
      </w:tr>
    </w:tbl>
    <w:p w14:paraId="682FFFEC" w14:textId="77777777" w:rsidR="009948F1" w:rsidRDefault="009948F1">
      <w:pPr>
        <w:rPr>
          <w:sz w:val="11"/>
        </w:rPr>
        <w:sectPr w:rsidR="009948F1">
          <w:pgSz w:w="11910" w:h="16840"/>
          <w:pgMar w:top="1240" w:right="1080" w:bottom="1340" w:left="1120" w:header="0" w:footer="1155" w:gutter="0"/>
          <w:cols w:space="720"/>
        </w:sectPr>
      </w:pPr>
    </w:p>
    <w:tbl>
      <w:tblPr>
        <w:tblW w:w="0" w:type="auto"/>
        <w:tblInd w:w="2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6"/>
        <w:gridCol w:w="398"/>
        <w:gridCol w:w="446"/>
        <w:gridCol w:w="516"/>
        <w:gridCol w:w="2463"/>
        <w:gridCol w:w="2338"/>
        <w:gridCol w:w="1399"/>
        <w:gridCol w:w="1476"/>
      </w:tblGrid>
      <w:tr w:rsidR="009948F1" w14:paraId="23FC3178" w14:textId="77777777">
        <w:trPr>
          <w:trHeight w:val="238"/>
        </w:trPr>
        <w:tc>
          <w:tcPr>
            <w:tcW w:w="9212" w:type="dxa"/>
            <w:gridSpan w:val="8"/>
            <w:tcBorders>
              <w:left w:val="single" w:sz="6" w:space="0" w:color="231F20"/>
              <w:bottom w:val="single" w:sz="6" w:space="0" w:color="231F20"/>
              <w:right w:val="single" w:sz="6" w:space="0" w:color="231F20"/>
            </w:tcBorders>
            <w:shd w:val="clear" w:color="auto" w:fill="A6CE39"/>
          </w:tcPr>
          <w:p w14:paraId="1479E96A" w14:textId="77777777" w:rsidR="009948F1" w:rsidRDefault="00BC0563">
            <w:pPr>
              <w:pStyle w:val="TableParagraph"/>
              <w:spacing w:before="41"/>
              <w:ind w:left="3978"/>
              <w:rPr>
                <w:b/>
                <w:sz w:val="14"/>
              </w:rPr>
            </w:pPr>
            <w:bookmarkStart w:id="193" w:name="Page_167"/>
            <w:bookmarkEnd w:id="193"/>
            <w:r>
              <w:rPr>
                <w:b/>
                <w:color w:val="231F20"/>
                <w:sz w:val="14"/>
              </w:rPr>
              <w:t>13. Health Research</w:t>
            </w:r>
          </w:p>
        </w:tc>
      </w:tr>
      <w:tr w:rsidR="009948F1" w14:paraId="0780609F" w14:textId="77777777">
        <w:trPr>
          <w:trHeight w:val="373"/>
        </w:trPr>
        <w:tc>
          <w:tcPr>
            <w:tcW w:w="9212" w:type="dxa"/>
            <w:gridSpan w:val="8"/>
            <w:tcBorders>
              <w:top w:val="single" w:sz="6" w:space="0" w:color="231F20"/>
              <w:left w:val="single" w:sz="6" w:space="0" w:color="231F20"/>
              <w:bottom w:val="single" w:sz="6" w:space="0" w:color="231F20"/>
              <w:right w:val="single" w:sz="6" w:space="0" w:color="231F20"/>
            </w:tcBorders>
            <w:shd w:val="clear" w:color="auto" w:fill="F6ADCD"/>
          </w:tcPr>
          <w:p w14:paraId="1D0297A5" w14:textId="77777777" w:rsidR="009948F1" w:rsidRDefault="00BC0563">
            <w:pPr>
              <w:pStyle w:val="TableParagraph"/>
              <w:spacing w:before="39" w:line="266" w:lineRule="auto"/>
              <w:ind w:left="3796" w:hanging="3593"/>
              <w:rPr>
                <w:b/>
                <w:sz w:val="12"/>
              </w:rPr>
            </w:pPr>
            <w:r>
              <w:rPr>
                <w:b/>
                <w:color w:val="231F20"/>
                <w:sz w:val="12"/>
              </w:rPr>
              <w:t>13.</w:t>
            </w:r>
            <w:r>
              <w:rPr>
                <w:b/>
                <w:color w:val="231F20"/>
                <w:spacing w:val="-13"/>
                <w:sz w:val="12"/>
              </w:rPr>
              <w:t xml:space="preserve"> </w:t>
            </w:r>
            <w:r>
              <w:rPr>
                <w:b/>
                <w:color w:val="231F20"/>
                <w:spacing w:val="-5"/>
                <w:sz w:val="12"/>
              </w:rPr>
              <w:t>To</w:t>
            </w:r>
            <w:r>
              <w:rPr>
                <w:b/>
                <w:color w:val="231F20"/>
                <w:spacing w:val="-12"/>
                <w:sz w:val="12"/>
              </w:rPr>
              <w:t xml:space="preserve"> </w:t>
            </w:r>
            <w:r>
              <w:rPr>
                <w:b/>
                <w:color w:val="231F20"/>
                <w:sz w:val="12"/>
              </w:rPr>
              <w:t>utilize</w:t>
            </w:r>
            <w:r>
              <w:rPr>
                <w:b/>
                <w:color w:val="231F20"/>
                <w:spacing w:val="-12"/>
                <w:sz w:val="12"/>
              </w:rPr>
              <w:t xml:space="preserve"> </w:t>
            </w:r>
            <w:r>
              <w:rPr>
                <w:b/>
                <w:color w:val="231F20"/>
                <w:sz w:val="12"/>
              </w:rPr>
              <w:t>research</w:t>
            </w:r>
            <w:r>
              <w:rPr>
                <w:b/>
                <w:color w:val="231F20"/>
                <w:spacing w:val="-13"/>
                <w:sz w:val="12"/>
              </w:rPr>
              <w:t xml:space="preserve"> </w:t>
            </w:r>
            <w:r>
              <w:rPr>
                <w:b/>
                <w:color w:val="231F20"/>
                <w:sz w:val="12"/>
              </w:rPr>
              <w:t>to</w:t>
            </w:r>
            <w:r>
              <w:rPr>
                <w:b/>
                <w:color w:val="231F20"/>
                <w:spacing w:val="-12"/>
                <w:sz w:val="12"/>
              </w:rPr>
              <w:t xml:space="preserve"> </w:t>
            </w:r>
            <w:r>
              <w:rPr>
                <w:b/>
                <w:color w:val="231F20"/>
                <w:sz w:val="12"/>
              </w:rPr>
              <w:t>inform</w:t>
            </w:r>
            <w:r>
              <w:rPr>
                <w:b/>
                <w:color w:val="231F20"/>
                <w:spacing w:val="-12"/>
                <w:sz w:val="12"/>
              </w:rPr>
              <w:t xml:space="preserve"> </w:t>
            </w:r>
            <w:r>
              <w:rPr>
                <w:b/>
                <w:color w:val="231F20"/>
                <w:sz w:val="12"/>
              </w:rPr>
              <w:t>policy</w:t>
            </w:r>
            <w:r>
              <w:rPr>
                <w:b/>
                <w:color w:val="231F20"/>
                <w:spacing w:val="-13"/>
                <w:sz w:val="12"/>
              </w:rPr>
              <w:t xml:space="preserve"> </w:t>
            </w:r>
            <w:r>
              <w:rPr>
                <w:b/>
                <w:color w:val="231F20"/>
                <w:sz w:val="12"/>
              </w:rPr>
              <w:t>and</w:t>
            </w:r>
            <w:r>
              <w:rPr>
                <w:b/>
                <w:color w:val="231F20"/>
                <w:spacing w:val="-12"/>
                <w:sz w:val="12"/>
              </w:rPr>
              <w:t xml:space="preserve"> </w:t>
            </w:r>
            <w:r>
              <w:rPr>
                <w:b/>
                <w:color w:val="231F20"/>
                <w:sz w:val="12"/>
              </w:rPr>
              <w:t>programming</w:t>
            </w:r>
            <w:r>
              <w:rPr>
                <w:b/>
                <w:color w:val="231F20"/>
                <w:spacing w:val="-12"/>
                <w:sz w:val="12"/>
              </w:rPr>
              <w:t xml:space="preserve"> </w:t>
            </w:r>
            <w:r>
              <w:rPr>
                <w:b/>
                <w:color w:val="231F20"/>
                <w:sz w:val="12"/>
              </w:rPr>
              <w:t>for</w:t>
            </w:r>
            <w:r>
              <w:rPr>
                <w:b/>
                <w:color w:val="231F20"/>
                <w:spacing w:val="-13"/>
                <w:sz w:val="12"/>
              </w:rPr>
              <w:t xml:space="preserve"> </w:t>
            </w:r>
            <w:r>
              <w:rPr>
                <w:b/>
                <w:color w:val="231F20"/>
                <w:sz w:val="12"/>
              </w:rPr>
              <w:t>improved</w:t>
            </w:r>
            <w:r>
              <w:rPr>
                <w:b/>
                <w:color w:val="231F20"/>
                <w:spacing w:val="-12"/>
                <w:sz w:val="12"/>
              </w:rPr>
              <w:t xml:space="preserve"> </w:t>
            </w:r>
            <w:r>
              <w:rPr>
                <w:b/>
                <w:color w:val="231F20"/>
                <w:sz w:val="12"/>
              </w:rPr>
              <w:t>performance</w:t>
            </w:r>
            <w:r>
              <w:rPr>
                <w:b/>
                <w:color w:val="231F20"/>
                <w:spacing w:val="-12"/>
                <w:sz w:val="12"/>
              </w:rPr>
              <w:t xml:space="preserve"> </w:t>
            </w:r>
            <w:r>
              <w:rPr>
                <w:b/>
                <w:color w:val="231F20"/>
                <w:sz w:val="12"/>
              </w:rPr>
              <w:t>of</w:t>
            </w:r>
            <w:r>
              <w:rPr>
                <w:b/>
                <w:color w:val="231F20"/>
                <w:spacing w:val="-13"/>
                <w:sz w:val="12"/>
              </w:rPr>
              <w:t xml:space="preserve"> </w:t>
            </w:r>
            <w:r>
              <w:rPr>
                <w:b/>
                <w:color w:val="231F20"/>
                <w:sz w:val="12"/>
              </w:rPr>
              <w:t>the</w:t>
            </w:r>
            <w:r>
              <w:rPr>
                <w:b/>
                <w:color w:val="231F20"/>
                <w:spacing w:val="-12"/>
                <w:sz w:val="12"/>
              </w:rPr>
              <w:t xml:space="preserve"> </w:t>
            </w:r>
            <w:r>
              <w:rPr>
                <w:b/>
                <w:color w:val="231F20"/>
                <w:sz w:val="12"/>
              </w:rPr>
              <w:t>health</w:t>
            </w:r>
            <w:r>
              <w:rPr>
                <w:b/>
                <w:color w:val="231F20"/>
                <w:spacing w:val="-12"/>
                <w:sz w:val="12"/>
              </w:rPr>
              <w:t xml:space="preserve"> </w:t>
            </w:r>
            <w:r>
              <w:rPr>
                <w:b/>
                <w:color w:val="231F20"/>
                <w:sz w:val="12"/>
              </w:rPr>
              <w:t>sector</w:t>
            </w:r>
            <w:r>
              <w:rPr>
                <w:b/>
                <w:color w:val="231F20"/>
                <w:spacing w:val="-12"/>
                <w:sz w:val="12"/>
              </w:rPr>
              <w:t xml:space="preserve"> </w:t>
            </w:r>
            <w:r>
              <w:rPr>
                <w:b/>
                <w:color w:val="231F20"/>
                <w:sz w:val="12"/>
              </w:rPr>
              <w:t>and</w:t>
            </w:r>
            <w:r>
              <w:rPr>
                <w:b/>
                <w:color w:val="231F20"/>
                <w:spacing w:val="-13"/>
                <w:sz w:val="12"/>
              </w:rPr>
              <w:t xml:space="preserve"> </w:t>
            </w:r>
            <w:r>
              <w:rPr>
                <w:b/>
                <w:color w:val="231F20"/>
                <w:sz w:val="12"/>
              </w:rPr>
              <w:t>better</w:t>
            </w:r>
            <w:r>
              <w:rPr>
                <w:b/>
                <w:color w:val="231F20"/>
                <w:spacing w:val="-12"/>
                <w:sz w:val="12"/>
              </w:rPr>
              <w:t xml:space="preserve"> </w:t>
            </w:r>
            <w:r>
              <w:rPr>
                <w:b/>
                <w:color w:val="231F20"/>
                <w:sz w:val="12"/>
              </w:rPr>
              <w:t>health</w:t>
            </w:r>
            <w:r>
              <w:rPr>
                <w:b/>
                <w:color w:val="231F20"/>
                <w:spacing w:val="-12"/>
                <w:sz w:val="12"/>
              </w:rPr>
              <w:t xml:space="preserve"> </w:t>
            </w:r>
            <w:r>
              <w:rPr>
                <w:b/>
                <w:color w:val="231F20"/>
                <w:sz w:val="12"/>
              </w:rPr>
              <w:t>outcomes;</w:t>
            </w:r>
            <w:r>
              <w:rPr>
                <w:b/>
                <w:color w:val="231F20"/>
                <w:spacing w:val="-13"/>
                <w:sz w:val="12"/>
              </w:rPr>
              <w:t xml:space="preserve"> </w:t>
            </w:r>
            <w:r>
              <w:rPr>
                <w:b/>
                <w:color w:val="231F20"/>
                <w:sz w:val="12"/>
              </w:rPr>
              <w:t>and</w:t>
            </w:r>
            <w:r>
              <w:rPr>
                <w:b/>
                <w:color w:val="231F20"/>
                <w:spacing w:val="-12"/>
                <w:sz w:val="12"/>
              </w:rPr>
              <w:t xml:space="preserve"> </w:t>
            </w:r>
            <w:r>
              <w:rPr>
                <w:b/>
                <w:color w:val="231F20"/>
                <w:sz w:val="12"/>
              </w:rPr>
              <w:t>to</w:t>
            </w:r>
            <w:r>
              <w:rPr>
                <w:b/>
                <w:color w:val="231F20"/>
                <w:spacing w:val="-12"/>
                <w:sz w:val="12"/>
              </w:rPr>
              <w:t xml:space="preserve"> </w:t>
            </w:r>
            <w:r>
              <w:rPr>
                <w:b/>
                <w:color w:val="231F20"/>
                <w:sz w:val="12"/>
              </w:rPr>
              <w:t>contribute</w:t>
            </w:r>
            <w:r>
              <w:rPr>
                <w:b/>
                <w:color w:val="231F20"/>
                <w:spacing w:val="-13"/>
                <w:sz w:val="12"/>
              </w:rPr>
              <w:t xml:space="preserve"> </w:t>
            </w:r>
            <w:r>
              <w:rPr>
                <w:b/>
                <w:color w:val="231F20"/>
                <w:sz w:val="12"/>
              </w:rPr>
              <w:t>to</w:t>
            </w:r>
            <w:r>
              <w:rPr>
                <w:b/>
                <w:color w:val="231F20"/>
                <w:spacing w:val="-12"/>
                <w:sz w:val="12"/>
              </w:rPr>
              <w:t xml:space="preserve"> </w:t>
            </w:r>
            <w:r>
              <w:rPr>
                <w:b/>
                <w:color w:val="231F20"/>
                <w:sz w:val="12"/>
              </w:rPr>
              <w:t>global health knowledge</w:t>
            </w:r>
            <w:r>
              <w:rPr>
                <w:b/>
                <w:color w:val="231F20"/>
                <w:spacing w:val="-4"/>
                <w:sz w:val="12"/>
              </w:rPr>
              <w:t xml:space="preserve"> </w:t>
            </w:r>
            <w:r>
              <w:rPr>
                <w:b/>
                <w:color w:val="231F20"/>
                <w:sz w:val="12"/>
              </w:rPr>
              <w:t>production</w:t>
            </w:r>
          </w:p>
        </w:tc>
      </w:tr>
      <w:tr w:rsidR="009948F1" w14:paraId="1B165159" w14:textId="77777777">
        <w:trPr>
          <w:trHeight w:val="377"/>
        </w:trPr>
        <w:tc>
          <w:tcPr>
            <w:tcW w:w="176" w:type="dxa"/>
            <w:tcBorders>
              <w:top w:val="single" w:sz="6" w:space="0" w:color="231F20"/>
              <w:left w:val="single" w:sz="6" w:space="0" w:color="231F20"/>
              <w:bottom w:val="nil"/>
              <w:right w:val="single" w:sz="6" w:space="0" w:color="231F20"/>
            </w:tcBorders>
          </w:tcPr>
          <w:p w14:paraId="630778C5" w14:textId="77777777" w:rsidR="009948F1" w:rsidRDefault="009948F1">
            <w:pPr>
              <w:pStyle w:val="TableParagraph"/>
              <w:rPr>
                <w:rFonts w:ascii="Times New Roman"/>
                <w:sz w:val="10"/>
              </w:rPr>
            </w:pPr>
          </w:p>
        </w:tc>
        <w:tc>
          <w:tcPr>
            <w:tcW w:w="398" w:type="dxa"/>
            <w:tcBorders>
              <w:top w:val="single" w:sz="6" w:space="0" w:color="231F20"/>
              <w:left w:val="single" w:sz="6" w:space="0" w:color="231F20"/>
              <w:bottom w:val="single" w:sz="6" w:space="0" w:color="231F20"/>
              <w:right w:val="single" w:sz="6" w:space="0" w:color="231F20"/>
            </w:tcBorders>
            <w:shd w:val="clear" w:color="auto" w:fill="FFF200"/>
          </w:tcPr>
          <w:p w14:paraId="30B10292" w14:textId="77777777" w:rsidR="009948F1" w:rsidRDefault="009948F1">
            <w:pPr>
              <w:pStyle w:val="TableParagraph"/>
              <w:spacing w:before="6"/>
              <w:rPr>
                <w:sz w:val="10"/>
              </w:rPr>
            </w:pPr>
          </w:p>
          <w:p w14:paraId="11BC6F30" w14:textId="77777777" w:rsidR="009948F1" w:rsidRDefault="00BC0563">
            <w:pPr>
              <w:pStyle w:val="TableParagraph"/>
              <w:ind w:left="118"/>
              <w:rPr>
                <w:b/>
                <w:sz w:val="12"/>
              </w:rPr>
            </w:pPr>
            <w:r>
              <w:rPr>
                <w:b/>
                <w:color w:val="231F20"/>
                <w:sz w:val="12"/>
              </w:rPr>
              <w:t>13.1</w:t>
            </w:r>
          </w:p>
        </w:tc>
        <w:tc>
          <w:tcPr>
            <w:tcW w:w="5763" w:type="dxa"/>
            <w:gridSpan w:val="4"/>
            <w:tcBorders>
              <w:top w:val="single" w:sz="6" w:space="0" w:color="231F20"/>
              <w:left w:val="single" w:sz="6" w:space="0" w:color="231F20"/>
              <w:bottom w:val="single" w:sz="6" w:space="0" w:color="231F20"/>
              <w:right w:val="single" w:sz="8" w:space="0" w:color="231F20"/>
            </w:tcBorders>
            <w:shd w:val="clear" w:color="auto" w:fill="FFF200"/>
          </w:tcPr>
          <w:p w14:paraId="0502373E" w14:textId="77777777" w:rsidR="009948F1" w:rsidRDefault="00BC0563">
            <w:pPr>
              <w:pStyle w:val="TableParagraph"/>
              <w:spacing w:before="40" w:line="266" w:lineRule="auto"/>
              <w:ind w:left="21" w:right="38" w:firstLine="32"/>
              <w:rPr>
                <w:b/>
                <w:sz w:val="12"/>
              </w:rPr>
            </w:pPr>
            <w:r>
              <w:rPr>
                <w:b/>
                <w:color w:val="231F20"/>
                <w:spacing w:val="-5"/>
                <w:sz w:val="12"/>
              </w:rPr>
              <w:t>To</w:t>
            </w:r>
            <w:r>
              <w:rPr>
                <w:b/>
                <w:color w:val="231F20"/>
                <w:spacing w:val="-14"/>
                <w:sz w:val="12"/>
              </w:rPr>
              <w:t xml:space="preserve"> </w:t>
            </w:r>
            <w:r>
              <w:rPr>
                <w:b/>
                <w:color w:val="231F20"/>
                <w:sz w:val="12"/>
              </w:rPr>
              <w:t>significantly</w:t>
            </w:r>
            <w:r>
              <w:rPr>
                <w:b/>
                <w:color w:val="231F20"/>
                <w:spacing w:val="-14"/>
                <w:sz w:val="12"/>
              </w:rPr>
              <w:t xml:space="preserve"> </w:t>
            </w:r>
            <w:r>
              <w:rPr>
                <w:b/>
                <w:color w:val="231F20"/>
                <w:sz w:val="12"/>
              </w:rPr>
              <w:t>contribute</w:t>
            </w:r>
            <w:r>
              <w:rPr>
                <w:b/>
                <w:color w:val="231F20"/>
                <w:spacing w:val="-13"/>
                <w:sz w:val="12"/>
              </w:rPr>
              <w:t xml:space="preserve"> </w:t>
            </w:r>
            <w:r>
              <w:rPr>
                <w:b/>
                <w:color w:val="231F20"/>
                <w:sz w:val="12"/>
              </w:rPr>
              <w:t>to</w:t>
            </w:r>
            <w:r>
              <w:rPr>
                <w:b/>
                <w:color w:val="231F20"/>
                <w:spacing w:val="-14"/>
                <w:sz w:val="12"/>
              </w:rPr>
              <w:t xml:space="preserve"> </w:t>
            </w:r>
            <w:r>
              <w:rPr>
                <w:b/>
                <w:color w:val="231F20"/>
                <w:sz w:val="12"/>
              </w:rPr>
              <w:t>the</w:t>
            </w:r>
            <w:r>
              <w:rPr>
                <w:b/>
                <w:color w:val="231F20"/>
                <w:spacing w:val="-14"/>
                <w:sz w:val="12"/>
              </w:rPr>
              <w:t xml:space="preserve"> </w:t>
            </w:r>
            <w:r>
              <w:rPr>
                <w:b/>
                <w:color w:val="231F20"/>
                <w:sz w:val="12"/>
              </w:rPr>
              <w:t>overall</w:t>
            </w:r>
            <w:r>
              <w:rPr>
                <w:b/>
                <w:color w:val="231F20"/>
                <w:spacing w:val="-13"/>
                <w:sz w:val="12"/>
              </w:rPr>
              <w:t xml:space="preserve"> </w:t>
            </w:r>
            <w:r>
              <w:rPr>
                <w:b/>
                <w:color w:val="231F20"/>
                <w:sz w:val="12"/>
              </w:rPr>
              <w:t>improvement</w:t>
            </w:r>
            <w:r>
              <w:rPr>
                <w:b/>
                <w:color w:val="231F20"/>
                <w:spacing w:val="-14"/>
                <w:sz w:val="12"/>
              </w:rPr>
              <w:t xml:space="preserve"> </w:t>
            </w:r>
            <w:r>
              <w:rPr>
                <w:b/>
                <w:color w:val="231F20"/>
                <w:sz w:val="12"/>
              </w:rPr>
              <w:t>of</w:t>
            </w:r>
            <w:r>
              <w:rPr>
                <w:b/>
                <w:color w:val="231F20"/>
                <w:spacing w:val="-13"/>
                <w:sz w:val="12"/>
              </w:rPr>
              <w:t xml:space="preserve"> </w:t>
            </w:r>
            <w:r>
              <w:rPr>
                <w:b/>
                <w:color w:val="231F20"/>
                <w:sz w:val="12"/>
              </w:rPr>
              <w:t>the</w:t>
            </w:r>
            <w:r>
              <w:rPr>
                <w:b/>
                <w:color w:val="231F20"/>
                <w:spacing w:val="-14"/>
                <w:sz w:val="12"/>
              </w:rPr>
              <w:t xml:space="preserve"> </w:t>
            </w:r>
            <w:r>
              <w:rPr>
                <w:b/>
                <w:color w:val="231F20"/>
                <w:sz w:val="12"/>
              </w:rPr>
              <w:t>performance</w:t>
            </w:r>
            <w:r>
              <w:rPr>
                <w:b/>
                <w:color w:val="231F20"/>
                <w:spacing w:val="-14"/>
                <w:sz w:val="12"/>
              </w:rPr>
              <w:t xml:space="preserve"> </w:t>
            </w:r>
            <w:r>
              <w:rPr>
                <w:b/>
                <w:color w:val="231F20"/>
                <w:sz w:val="12"/>
              </w:rPr>
              <w:t>of</w:t>
            </w:r>
            <w:r>
              <w:rPr>
                <w:b/>
                <w:color w:val="231F20"/>
                <w:spacing w:val="-13"/>
                <w:sz w:val="12"/>
              </w:rPr>
              <w:t xml:space="preserve"> </w:t>
            </w:r>
            <w:r>
              <w:rPr>
                <w:b/>
                <w:color w:val="231F20"/>
                <w:sz w:val="12"/>
              </w:rPr>
              <w:t>the</w:t>
            </w:r>
            <w:r>
              <w:rPr>
                <w:b/>
                <w:color w:val="231F20"/>
                <w:spacing w:val="-14"/>
                <w:sz w:val="12"/>
              </w:rPr>
              <w:t xml:space="preserve"> </w:t>
            </w:r>
            <w:r>
              <w:rPr>
                <w:b/>
                <w:color w:val="231F20"/>
                <w:sz w:val="12"/>
              </w:rPr>
              <w:t>Nigerian</w:t>
            </w:r>
            <w:r>
              <w:rPr>
                <w:b/>
                <w:color w:val="231F20"/>
                <w:spacing w:val="-13"/>
                <w:sz w:val="12"/>
              </w:rPr>
              <w:t xml:space="preserve"> </w:t>
            </w:r>
            <w:r>
              <w:rPr>
                <w:b/>
                <w:color w:val="231F20"/>
                <w:sz w:val="12"/>
              </w:rPr>
              <w:t>health system</w:t>
            </w:r>
          </w:p>
        </w:tc>
        <w:tc>
          <w:tcPr>
            <w:tcW w:w="1399" w:type="dxa"/>
            <w:tcBorders>
              <w:top w:val="single" w:sz="6" w:space="0" w:color="231F20"/>
              <w:left w:val="single" w:sz="8" w:space="0" w:color="231F20"/>
              <w:bottom w:val="single" w:sz="6" w:space="0" w:color="231F20"/>
              <w:right w:val="single" w:sz="8" w:space="0" w:color="231F20"/>
            </w:tcBorders>
            <w:shd w:val="clear" w:color="auto" w:fill="FFF200"/>
          </w:tcPr>
          <w:p w14:paraId="410DFED8" w14:textId="77777777" w:rsidR="009948F1" w:rsidRDefault="009948F1">
            <w:pPr>
              <w:pStyle w:val="TableParagraph"/>
              <w:rPr>
                <w:rFonts w:ascii="Times New Roman"/>
                <w:sz w:val="10"/>
              </w:rPr>
            </w:pPr>
          </w:p>
        </w:tc>
        <w:tc>
          <w:tcPr>
            <w:tcW w:w="1476" w:type="dxa"/>
            <w:tcBorders>
              <w:top w:val="single" w:sz="6" w:space="0" w:color="231F20"/>
              <w:left w:val="single" w:sz="8" w:space="0" w:color="231F20"/>
              <w:bottom w:val="single" w:sz="6" w:space="0" w:color="231F20"/>
              <w:right w:val="single" w:sz="6" w:space="0" w:color="231F20"/>
            </w:tcBorders>
            <w:shd w:val="clear" w:color="auto" w:fill="FFF200"/>
          </w:tcPr>
          <w:p w14:paraId="50F67C95" w14:textId="77777777" w:rsidR="009948F1" w:rsidRDefault="009948F1">
            <w:pPr>
              <w:pStyle w:val="TableParagraph"/>
              <w:rPr>
                <w:rFonts w:ascii="Times New Roman"/>
                <w:sz w:val="10"/>
              </w:rPr>
            </w:pPr>
          </w:p>
        </w:tc>
      </w:tr>
      <w:tr w:rsidR="009948F1" w14:paraId="5A88CD75" w14:textId="77777777">
        <w:trPr>
          <w:trHeight w:val="1137"/>
        </w:trPr>
        <w:tc>
          <w:tcPr>
            <w:tcW w:w="574" w:type="dxa"/>
            <w:gridSpan w:val="2"/>
            <w:tcBorders>
              <w:top w:val="nil"/>
              <w:left w:val="single" w:sz="6" w:space="0" w:color="231F20"/>
              <w:bottom w:val="nil"/>
              <w:right w:val="single" w:sz="6" w:space="0" w:color="231F20"/>
            </w:tcBorders>
          </w:tcPr>
          <w:p w14:paraId="423B886B" w14:textId="77777777" w:rsidR="009948F1" w:rsidRDefault="009948F1">
            <w:pPr>
              <w:pStyle w:val="TableParagraph"/>
              <w:rPr>
                <w:rFonts w:ascii="Times New Roman"/>
                <w:sz w:val="10"/>
              </w:rPr>
            </w:pPr>
          </w:p>
        </w:tc>
        <w:tc>
          <w:tcPr>
            <w:tcW w:w="446" w:type="dxa"/>
            <w:tcBorders>
              <w:top w:val="single" w:sz="6" w:space="0" w:color="231F20"/>
              <w:left w:val="single" w:sz="6" w:space="0" w:color="231F20"/>
              <w:bottom w:val="single" w:sz="6" w:space="0" w:color="231F20"/>
              <w:right w:val="single" w:sz="6" w:space="0" w:color="231F20"/>
            </w:tcBorders>
            <w:shd w:val="clear" w:color="auto" w:fill="CCE7D3"/>
          </w:tcPr>
          <w:p w14:paraId="00ED367C" w14:textId="77777777" w:rsidR="009948F1" w:rsidRDefault="009948F1">
            <w:pPr>
              <w:pStyle w:val="TableParagraph"/>
              <w:rPr>
                <w:sz w:val="12"/>
              </w:rPr>
            </w:pPr>
          </w:p>
          <w:p w14:paraId="274FDCB5" w14:textId="77777777" w:rsidR="009948F1" w:rsidRDefault="009948F1">
            <w:pPr>
              <w:pStyle w:val="TableParagraph"/>
              <w:rPr>
                <w:sz w:val="12"/>
              </w:rPr>
            </w:pPr>
          </w:p>
          <w:p w14:paraId="3DD2E54B" w14:textId="77777777" w:rsidR="009948F1" w:rsidRDefault="009948F1">
            <w:pPr>
              <w:pStyle w:val="TableParagraph"/>
              <w:rPr>
                <w:sz w:val="12"/>
              </w:rPr>
            </w:pPr>
          </w:p>
          <w:p w14:paraId="5EB355E8" w14:textId="77777777" w:rsidR="009948F1" w:rsidRDefault="00BC0563">
            <w:pPr>
              <w:pStyle w:val="TableParagraph"/>
              <w:spacing w:before="86"/>
              <w:ind w:left="29" w:right="28"/>
              <w:jc w:val="center"/>
              <w:rPr>
                <w:sz w:val="12"/>
              </w:rPr>
            </w:pPr>
            <w:r>
              <w:rPr>
                <w:color w:val="231F20"/>
                <w:sz w:val="12"/>
              </w:rPr>
              <w:t>13.1.1</w:t>
            </w:r>
          </w:p>
        </w:tc>
        <w:tc>
          <w:tcPr>
            <w:tcW w:w="2979" w:type="dxa"/>
            <w:gridSpan w:val="2"/>
            <w:tcBorders>
              <w:top w:val="single" w:sz="6" w:space="0" w:color="231F20"/>
              <w:left w:val="single" w:sz="6" w:space="0" w:color="231F20"/>
              <w:bottom w:val="single" w:sz="6" w:space="0" w:color="231F20"/>
              <w:right w:val="single" w:sz="6" w:space="0" w:color="231F20"/>
            </w:tcBorders>
            <w:shd w:val="clear" w:color="auto" w:fill="CCE7D3"/>
          </w:tcPr>
          <w:p w14:paraId="20F39DC5" w14:textId="77777777" w:rsidR="009948F1" w:rsidRDefault="009948F1">
            <w:pPr>
              <w:pStyle w:val="TableParagraph"/>
              <w:rPr>
                <w:sz w:val="12"/>
              </w:rPr>
            </w:pPr>
          </w:p>
          <w:p w14:paraId="3CF8450A" w14:textId="77777777" w:rsidR="009948F1" w:rsidRDefault="009948F1">
            <w:pPr>
              <w:pStyle w:val="TableParagraph"/>
              <w:rPr>
                <w:sz w:val="12"/>
              </w:rPr>
            </w:pPr>
          </w:p>
          <w:p w14:paraId="1B7D6C7F" w14:textId="77777777" w:rsidR="009948F1" w:rsidRDefault="00BC0563">
            <w:pPr>
              <w:pStyle w:val="TableParagraph"/>
              <w:spacing w:before="70" w:line="259" w:lineRule="auto"/>
              <w:ind w:left="21" w:right="25" w:firstLine="32"/>
              <w:rPr>
                <w:sz w:val="12"/>
              </w:rPr>
            </w:pPr>
            <w:r>
              <w:rPr>
                <w:color w:val="231F20"/>
                <w:sz w:val="12"/>
              </w:rPr>
              <w:t>Strengthen</w:t>
            </w:r>
            <w:r>
              <w:rPr>
                <w:color w:val="231F20"/>
                <w:spacing w:val="-18"/>
                <w:sz w:val="12"/>
              </w:rPr>
              <w:t xml:space="preserve"> </w:t>
            </w:r>
            <w:r>
              <w:rPr>
                <w:color w:val="231F20"/>
                <w:sz w:val="12"/>
              </w:rPr>
              <w:t>coordination</w:t>
            </w:r>
            <w:r>
              <w:rPr>
                <w:color w:val="231F20"/>
                <w:spacing w:val="-18"/>
                <w:sz w:val="12"/>
              </w:rPr>
              <w:t xml:space="preserve"> </w:t>
            </w:r>
            <w:r>
              <w:rPr>
                <w:color w:val="231F20"/>
                <w:sz w:val="12"/>
              </w:rPr>
              <w:t>and</w:t>
            </w:r>
            <w:r>
              <w:rPr>
                <w:color w:val="231F20"/>
                <w:spacing w:val="-18"/>
                <w:sz w:val="12"/>
              </w:rPr>
              <w:t xml:space="preserve"> </w:t>
            </w:r>
            <w:r>
              <w:rPr>
                <w:color w:val="231F20"/>
                <w:sz w:val="12"/>
              </w:rPr>
              <w:t>regulatory</w:t>
            </w:r>
            <w:r>
              <w:rPr>
                <w:color w:val="231F20"/>
                <w:spacing w:val="-17"/>
                <w:sz w:val="12"/>
              </w:rPr>
              <w:t xml:space="preserve"> </w:t>
            </w:r>
            <w:r>
              <w:rPr>
                <w:color w:val="231F20"/>
                <w:sz w:val="12"/>
              </w:rPr>
              <w:t>mechanisms</w:t>
            </w:r>
            <w:r>
              <w:rPr>
                <w:color w:val="231F20"/>
                <w:spacing w:val="-18"/>
                <w:sz w:val="12"/>
              </w:rPr>
              <w:t xml:space="preserve"> </w:t>
            </w:r>
            <w:r>
              <w:rPr>
                <w:color w:val="231F20"/>
                <w:sz w:val="12"/>
              </w:rPr>
              <w:t>for health research and development by all relevant stakeholders,</w:t>
            </w:r>
            <w:r>
              <w:rPr>
                <w:color w:val="231F20"/>
                <w:spacing w:val="-8"/>
                <w:sz w:val="12"/>
              </w:rPr>
              <w:t xml:space="preserve"> </w:t>
            </w:r>
            <w:r>
              <w:rPr>
                <w:color w:val="231F20"/>
                <w:sz w:val="12"/>
              </w:rPr>
              <w:t>in</w:t>
            </w:r>
            <w:r>
              <w:rPr>
                <w:color w:val="231F20"/>
                <w:spacing w:val="-8"/>
                <w:sz w:val="12"/>
              </w:rPr>
              <w:t xml:space="preserve"> </w:t>
            </w:r>
            <w:r>
              <w:rPr>
                <w:color w:val="231F20"/>
                <w:sz w:val="12"/>
              </w:rPr>
              <w:t>line</w:t>
            </w:r>
            <w:r>
              <w:rPr>
                <w:color w:val="231F20"/>
                <w:spacing w:val="-8"/>
                <w:sz w:val="12"/>
              </w:rPr>
              <w:t xml:space="preserve"> </w:t>
            </w:r>
            <w:r>
              <w:rPr>
                <w:color w:val="231F20"/>
                <w:sz w:val="12"/>
              </w:rPr>
              <w:t>with</w:t>
            </w:r>
            <w:r>
              <w:rPr>
                <w:color w:val="231F20"/>
                <w:spacing w:val="-8"/>
                <w:sz w:val="12"/>
              </w:rPr>
              <w:t xml:space="preserve"> </w:t>
            </w:r>
            <w:r>
              <w:rPr>
                <w:color w:val="231F20"/>
                <w:sz w:val="12"/>
              </w:rPr>
              <w:t>the</w:t>
            </w:r>
            <w:r>
              <w:rPr>
                <w:color w:val="231F20"/>
                <w:spacing w:val="-7"/>
                <w:sz w:val="12"/>
              </w:rPr>
              <w:t xml:space="preserve"> </w:t>
            </w:r>
            <w:r>
              <w:rPr>
                <w:color w:val="231F20"/>
                <w:sz w:val="12"/>
              </w:rPr>
              <w:t>National</w:t>
            </w:r>
            <w:r>
              <w:rPr>
                <w:color w:val="231F20"/>
                <w:spacing w:val="-8"/>
                <w:sz w:val="12"/>
              </w:rPr>
              <w:t xml:space="preserve"> </w:t>
            </w:r>
            <w:r>
              <w:rPr>
                <w:color w:val="231F20"/>
                <w:sz w:val="12"/>
              </w:rPr>
              <w:t>Health</w:t>
            </w:r>
            <w:r>
              <w:rPr>
                <w:color w:val="231F20"/>
                <w:spacing w:val="-13"/>
                <w:sz w:val="12"/>
              </w:rPr>
              <w:t xml:space="preserve"> </w:t>
            </w:r>
            <w:r>
              <w:rPr>
                <w:color w:val="231F20"/>
                <w:sz w:val="12"/>
              </w:rPr>
              <w:t>Act</w:t>
            </w:r>
            <w:r>
              <w:rPr>
                <w:color w:val="231F20"/>
                <w:spacing w:val="-8"/>
                <w:sz w:val="12"/>
              </w:rPr>
              <w:t xml:space="preserve"> </w:t>
            </w:r>
            <w:r>
              <w:rPr>
                <w:color w:val="231F20"/>
                <w:sz w:val="12"/>
              </w:rPr>
              <w:t>2014</w:t>
            </w:r>
          </w:p>
        </w:tc>
        <w:tc>
          <w:tcPr>
            <w:tcW w:w="2338" w:type="dxa"/>
            <w:tcBorders>
              <w:top w:val="single" w:sz="6" w:space="0" w:color="231F20"/>
              <w:left w:val="single" w:sz="6" w:space="0" w:color="231F20"/>
              <w:bottom w:val="single" w:sz="6" w:space="0" w:color="231F20"/>
              <w:right w:val="single" w:sz="6" w:space="0" w:color="231F20"/>
            </w:tcBorders>
            <w:shd w:val="clear" w:color="auto" w:fill="CCE7D3"/>
          </w:tcPr>
          <w:p w14:paraId="35B81223" w14:textId="77777777" w:rsidR="009948F1" w:rsidRDefault="00BC0563">
            <w:pPr>
              <w:pStyle w:val="TableParagraph"/>
              <w:numPr>
                <w:ilvl w:val="0"/>
                <w:numId w:val="33"/>
              </w:numPr>
              <w:tabs>
                <w:tab w:val="left" w:pos="96"/>
              </w:tabs>
              <w:spacing w:before="52" w:line="259" w:lineRule="auto"/>
              <w:ind w:right="458" w:firstLine="0"/>
              <w:rPr>
                <w:sz w:val="12"/>
              </w:rPr>
            </w:pPr>
            <w:r>
              <w:rPr>
                <w:color w:val="231F20"/>
                <w:sz w:val="12"/>
              </w:rPr>
              <w:t>State</w:t>
            </w:r>
            <w:r>
              <w:rPr>
                <w:color w:val="231F20"/>
                <w:spacing w:val="-13"/>
                <w:sz w:val="12"/>
              </w:rPr>
              <w:t xml:space="preserve"> </w:t>
            </w:r>
            <w:r>
              <w:rPr>
                <w:color w:val="231F20"/>
                <w:sz w:val="12"/>
              </w:rPr>
              <w:t>Health</w:t>
            </w:r>
            <w:r>
              <w:rPr>
                <w:color w:val="231F20"/>
                <w:spacing w:val="-12"/>
                <w:sz w:val="12"/>
              </w:rPr>
              <w:t xml:space="preserve"> </w:t>
            </w:r>
            <w:r>
              <w:rPr>
                <w:color w:val="231F20"/>
                <w:sz w:val="12"/>
              </w:rPr>
              <w:t>Research</w:t>
            </w:r>
            <w:r>
              <w:rPr>
                <w:color w:val="231F20"/>
                <w:spacing w:val="-12"/>
                <w:sz w:val="12"/>
              </w:rPr>
              <w:t xml:space="preserve"> </w:t>
            </w:r>
            <w:r>
              <w:rPr>
                <w:color w:val="231F20"/>
                <w:spacing w:val="-3"/>
                <w:sz w:val="12"/>
              </w:rPr>
              <w:t xml:space="preserve">Committee </w:t>
            </w:r>
            <w:r>
              <w:rPr>
                <w:color w:val="231F20"/>
                <w:sz w:val="12"/>
              </w:rPr>
              <w:t>strengthened</w:t>
            </w:r>
          </w:p>
          <w:p w14:paraId="719CA5EC" w14:textId="77777777" w:rsidR="009948F1" w:rsidRDefault="00BC0563">
            <w:pPr>
              <w:pStyle w:val="TableParagraph"/>
              <w:ind w:left="22"/>
              <w:rPr>
                <w:sz w:val="12"/>
              </w:rPr>
            </w:pPr>
            <w:r>
              <w:rPr>
                <w:color w:val="231F20"/>
                <w:sz w:val="12"/>
              </w:rPr>
              <w:t>•National Health Act 2014 adapted</w:t>
            </w:r>
          </w:p>
          <w:p w14:paraId="21964D71" w14:textId="77777777" w:rsidR="009948F1" w:rsidRDefault="00BC0563">
            <w:pPr>
              <w:pStyle w:val="TableParagraph"/>
              <w:numPr>
                <w:ilvl w:val="0"/>
                <w:numId w:val="33"/>
              </w:numPr>
              <w:tabs>
                <w:tab w:val="left" w:pos="96"/>
              </w:tabs>
              <w:spacing w:before="12" w:line="259" w:lineRule="auto"/>
              <w:ind w:right="192" w:firstLine="0"/>
              <w:rPr>
                <w:sz w:val="12"/>
              </w:rPr>
            </w:pPr>
            <w:r>
              <w:rPr>
                <w:color w:val="231F20"/>
                <w:sz w:val="12"/>
              </w:rPr>
              <w:t>Capacity</w:t>
            </w:r>
            <w:r>
              <w:rPr>
                <w:color w:val="231F20"/>
                <w:spacing w:val="-12"/>
                <w:sz w:val="12"/>
              </w:rPr>
              <w:t xml:space="preserve"> </w:t>
            </w:r>
            <w:r>
              <w:rPr>
                <w:color w:val="231F20"/>
                <w:sz w:val="12"/>
              </w:rPr>
              <w:t>of</w:t>
            </w:r>
            <w:r>
              <w:rPr>
                <w:color w:val="231F20"/>
                <w:spacing w:val="-11"/>
                <w:sz w:val="12"/>
              </w:rPr>
              <w:t xml:space="preserve"> </w:t>
            </w:r>
            <w:r>
              <w:rPr>
                <w:color w:val="231F20"/>
                <w:sz w:val="12"/>
              </w:rPr>
              <w:t>all</w:t>
            </w:r>
            <w:r>
              <w:rPr>
                <w:color w:val="231F20"/>
                <w:spacing w:val="-11"/>
                <w:sz w:val="12"/>
              </w:rPr>
              <w:t xml:space="preserve"> </w:t>
            </w:r>
            <w:r>
              <w:rPr>
                <w:color w:val="231F20"/>
                <w:sz w:val="12"/>
              </w:rPr>
              <w:t>relevant</w:t>
            </w:r>
            <w:r>
              <w:rPr>
                <w:color w:val="231F20"/>
                <w:spacing w:val="-11"/>
                <w:sz w:val="12"/>
              </w:rPr>
              <w:t xml:space="preserve"> </w:t>
            </w:r>
            <w:r>
              <w:rPr>
                <w:color w:val="231F20"/>
                <w:sz w:val="12"/>
              </w:rPr>
              <w:t>stakeholders</w:t>
            </w:r>
            <w:r>
              <w:rPr>
                <w:color w:val="231F20"/>
                <w:spacing w:val="-12"/>
                <w:sz w:val="12"/>
              </w:rPr>
              <w:t xml:space="preserve"> </w:t>
            </w:r>
            <w:r>
              <w:rPr>
                <w:color w:val="231F20"/>
                <w:spacing w:val="-8"/>
                <w:sz w:val="12"/>
              </w:rPr>
              <w:t xml:space="preserve">on </w:t>
            </w:r>
            <w:r>
              <w:rPr>
                <w:color w:val="231F20"/>
                <w:sz w:val="12"/>
              </w:rPr>
              <w:t>health research</w:t>
            </w:r>
            <w:r>
              <w:rPr>
                <w:color w:val="231F20"/>
                <w:spacing w:val="-4"/>
                <w:sz w:val="12"/>
              </w:rPr>
              <w:t xml:space="preserve"> </w:t>
            </w:r>
            <w:r>
              <w:rPr>
                <w:color w:val="231F20"/>
                <w:sz w:val="12"/>
              </w:rPr>
              <w:t>built</w:t>
            </w:r>
          </w:p>
          <w:p w14:paraId="1E25A186" w14:textId="77777777" w:rsidR="009948F1" w:rsidRDefault="00BC0563">
            <w:pPr>
              <w:pStyle w:val="TableParagraph"/>
              <w:numPr>
                <w:ilvl w:val="0"/>
                <w:numId w:val="33"/>
              </w:numPr>
              <w:tabs>
                <w:tab w:val="left" w:pos="96"/>
              </w:tabs>
              <w:spacing w:line="259" w:lineRule="auto"/>
              <w:ind w:right="290" w:firstLine="0"/>
              <w:rPr>
                <w:sz w:val="12"/>
              </w:rPr>
            </w:pPr>
            <w:r>
              <w:rPr>
                <w:color w:val="231F20"/>
                <w:sz w:val="12"/>
              </w:rPr>
              <w:t>Platform</w:t>
            </w:r>
            <w:r>
              <w:rPr>
                <w:color w:val="231F20"/>
                <w:spacing w:val="-11"/>
                <w:sz w:val="12"/>
              </w:rPr>
              <w:t xml:space="preserve"> </w:t>
            </w:r>
            <w:r>
              <w:rPr>
                <w:color w:val="231F20"/>
                <w:sz w:val="12"/>
              </w:rPr>
              <w:t>for</w:t>
            </w:r>
            <w:r>
              <w:rPr>
                <w:color w:val="231F20"/>
                <w:spacing w:val="-10"/>
                <w:sz w:val="12"/>
              </w:rPr>
              <w:t xml:space="preserve"> </w:t>
            </w:r>
            <w:r>
              <w:rPr>
                <w:color w:val="231F20"/>
                <w:sz w:val="12"/>
              </w:rPr>
              <w:t>linking</w:t>
            </w:r>
            <w:r>
              <w:rPr>
                <w:color w:val="231F20"/>
                <w:spacing w:val="-11"/>
                <w:sz w:val="12"/>
              </w:rPr>
              <w:t xml:space="preserve"> </w:t>
            </w:r>
            <w:r>
              <w:rPr>
                <w:color w:val="231F20"/>
                <w:sz w:val="12"/>
              </w:rPr>
              <w:t>academia</w:t>
            </w:r>
            <w:r>
              <w:rPr>
                <w:color w:val="231F20"/>
                <w:spacing w:val="-10"/>
                <w:sz w:val="12"/>
              </w:rPr>
              <w:t xml:space="preserve"> </w:t>
            </w:r>
            <w:r>
              <w:rPr>
                <w:color w:val="231F20"/>
                <w:sz w:val="12"/>
              </w:rPr>
              <w:t>with</w:t>
            </w:r>
            <w:r>
              <w:rPr>
                <w:color w:val="231F20"/>
                <w:spacing w:val="-11"/>
                <w:sz w:val="12"/>
              </w:rPr>
              <w:t xml:space="preserve"> </w:t>
            </w:r>
            <w:r>
              <w:rPr>
                <w:color w:val="231F20"/>
                <w:spacing w:val="-6"/>
                <w:sz w:val="12"/>
              </w:rPr>
              <w:t xml:space="preserve">the </w:t>
            </w:r>
            <w:r>
              <w:rPr>
                <w:color w:val="231F20"/>
                <w:sz w:val="12"/>
              </w:rPr>
              <w:t>health sector</w:t>
            </w:r>
            <w:r>
              <w:rPr>
                <w:color w:val="231F20"/>
                <w:spacing w:val="-6"/>
                <w:sz w:val="12"/>
              </w:rPr>
              <w:t xml:space="preserve"> </w:t>
            </w:r>
            <w:r>
              <w:rPr>
                <w:color w:val="231F20"/>
                <w:sz w:val="12"/>
              </w:rPr>
              <w:t>established</w:t>
            </w:r>
          </w:p>
        </w:tc>
        <w:tc>
          <w:tcPr>
            <w:tcW w:w="1399" w:type="dxa"/>
            <w:tcBorders>
              <w:top w:val="single" w:sz="6" w:space="0" w:color="231F20"/>
              <w:left w:val="single" w:sz="6" w:space="0" w:color="231F20"/>
              <w:bottom w:val="single" w:sz="6" w:space="0" w:color="231F20"/>
              <w:right w:val="single" w:sz="6" w:space="0" w:color="231F20"/>
            </w:tcBorders>
            <w:shd w:val="clear" w:color="auto" w:fill="CCE7D3"/>
          </w:tcPr>
          <w:p w14:paraId="24B2515F" w14:textId="77777777" w:rsidR="009948F1" w:rsidRDefault="009948F1">
            <w:pPr>
              <w:pStyle w:val="TableParagraph"/>
              <w:rPr>
                <w:rFonts w:ascii="Times New Roman"/>
                <w:sz w:val="10"/>
              </w:rPr>
            </w:pPr>
          </w:p>
        </w:tc>
        <w:tc>
          <w:tcPr>
            <w:tcW w:w="1476" w:type="dxa"/>
            <w:tcBorders>
              <w:top w:val="single" w:sz="6" w:space="0" w:color="231F20"/>
              <w:left w:val="single" w:sz="6" w:space="0" w:color="231F20"/>
              <w:bottom w:val="single" w:sz="6" w:space="0" w:color="231F20"/>
              <w:right w:val="single" w:sz="6" w:space="0" w:color="231F20"/>
            </w:tcBorders>
            <w:shd w:val="clear" w:color="auto" w:fill="CCE7D3"/>
          </w:tcPr>
          <w:p w14:paraId="67E86C1F" w14:textId="77777777" w:rsidR="009948F1" w:rsidRDefault="009948F1">
            <w:pPr>
              <w:pStyle w:val="TableParagraph"/>
              <w:rPr>
                <w:rFonts w:ascii="Times New Roman"/>
                <w:sz w:val="10"/>
              </w:rPr>
            </w:pPr>
          </w:p>
        </w:tc>
      </w:tr>
      <w:tr w:rsidR="009948F1" w14:paraId="5D00BF97" w14:textId="77777777">
        <w:trPr>
          <w:trHeight w:val="520"/>
        </w:trPr>
        <w:tc>
          <w:tcPr>
            <w:tcW w:w="1020" w:type="dxa"/>
            <w:gridSpan w:val="3"/>
            <w:vMerge w:val="restart"/>
            <w:tcBorders>
              <w:top w:val="nil"/>
              <w:left w:val="single" w:sz="6" w:space="0" w:color="231F20"/>
              <w:bottom w:val="nil"/>
              <w:right w:val="single" w:sz="6" w:space="0" w:color="231F20"/>
            </w:tcBorders>
          </w:tcPr>
          <w:p w14:paraId="4D3EE66F" w14:textId="77777777" w:rsidR="009948F1" w:rsidRDefault="009948F1">
            <w:pPr>
              <w:pStyle w:val="TableParagraph"/>
              <w:rPr>
                <w:rFonts w:ascii="Times New Roman"/>
                <w:sz w:val="10"/>
              </w:rPr>
            </w:pPr>
          </w:p>
        </w:tc>
        <w:tc>
          <w:tcPr>
            <w:tcW w:w="516" w:type="dxa"/>
            <w:tcBorders>
              <w:top w:val="single" w:sz="6" w:space="0" w:color="231F20"/>
              <w:left w:val="single" w:sz="6" w:space="0" w:color="231F20"/>
              <w:bottom w:val="single" w:sz="6" w:space="0" w:color="231F20"/>
              <w:right w:val="single" w:sz="6" w:space="0" w:color="231F20"/>
            </w:tcBorders>
          </w:tcPr>
          <w:p w14:paraId="011AFD81" w14:textId="77777777" w:rsidR="009948F1" w:rsidRDefault="009948F1">
            <w:pPr>
              <w:pStyle w:val="TableParagraph"/>
              <w:spacing w:before="7"/>
              <w:rPr>
                <w:sz w:val="16"/>
              </w:rPr>
            </w:pPr>
          </w:p>
          <w:p w14:paraId="037BF4CA" w14:textId="77777777" w:rsidR="009948F1" w:rsidRDefault="00BC0563">
            <w:pPr>
              <w:pStyle w:val="TableParagraph"/>
              <w:spacing w:before="1"/>
              <w:ind w:left="47"/>
              <w:rPr>
                <w:sz w:val="12"/>
              </w:rPr>
            </w:pPr>
            <w:r>
              <w:rPr>
                <w:color w:val="231F20"/>
                <w:sz w:val="12"/>
              </w:rPr>
              <w:t>13.1.1.a</w:t>
            </w:r>
          </w:p>
        </w:tc>
        <w:tc>
          <w:tcPr>
            <w:tcW w:w="4801" w:type="dxa"/>
            <w:gridSpan w:val="2"/>
            <w:tcBorders>
              <w:top w:val="single" w:sz="6" w:space="0" w:color="231F20"/>
              <w:left w:val="single" w:sz="6" w:space="0" w:color="231F20"/>
              <w:bottom w:val="single" w:sz="6" w:space="0" w:color="231F20"/>
              <w:right w:val="single" w:sz="6" w:space="0" w:color="231F20"/>
            </w:tcBorders>
          </w:tcPr>
          <w:p w14:paraId="456AA254" w14:textId="77777777" w:rsidR="009948F1" w:rsidRDefault="00BC0563">
            <w:pPr>
              <w:pStyle w:val="TableParagraph"/>
              <w:spacing w:before="37" w:line="259" w:lineRule="auto"/>
              <w:ind w:left="21" w:right="75"/>
              <w:rPr>
                <w:sz w:val="12"/>
              </w:rPr>
            </w:pPr>
            <w:r>
              <w:rPr>
                <w:color w:val="231F20"/>
                <w:sz w:val="12"/>
              </w:rPr>
              <w:t>Strengthen the Research Unit of the Planning, Research, and Statistics Department (SMOH,</w:t>
            </w:r>
            <w:r>
              <w:rPr>
                <w:color w:val="231F20"/>
                <w:spacing w:val="-14"/>
                <w:sz w:val="12"/>
              </w:rPr>
              <w:t xml:space="preserve"> </w:t>
            </w:r>
            <w:r>
              <w:rPr>
                <w:color w:val="231F20"/>
                <w:sz w:val="12"/>
              </w:rPr>
              <w:t>RSPHCMB</w:t>
            </w:r>
            <w:r>
              <w:rPr>
                <w:color w:val="231F20"/>
                <w:spacing w:val="-13"/>
                <w:sz w:val="12"/>
              </w:rPr>
              <w:t xml:space="preserve"> </w:t>
            </w:r>
            <w:r>
              <w:rPr>
                <w:color w:val="231F20"/>
                <w:sz w:val="12"/>
              </w:rPr>
              <w:t>&amp;</w:t>
            </w:r>
            <w:r>
              <w:rPr>
                <w:color w:val="231F20"/>
                <w:spacing w:val="-13"/>
                <w:sz w:val="12"/>
              </w:rPr>
              <w:t xml:space="preserve"> </w:t>
            </w:r>
            <w:r>
              <w:rPr>
                <w:color w:val="231F20"/>
                <w:sz w:val="12"/>
              </w:rPr>
              <w:t>RSHMB)</w:t>
            </w:r>
            <w:r>
              <w:rPr>
                <w:color w:val="231F20"/>
                <w:spacing w:val="-13"/>
                <w:sz w:val="12"/>
              </w:rPr>
              <w:t xml:space="preserve"> </w:t>
            </w:r>
            <w:r>
              <w:rPr>
                <w:color w:val="231F20"/>
                <w:sz w:val="12"/>
              </w:rPr>
              <w:t>to</w:t>
            </w:r>
            <w:r>
              <w:rPr>
                <w:color w:val="231F20"/>
                <w:spacing w:val="-14"/>
                <w:sz w:val="12"/>
              </w:rPr>
              <w:t xml:space="preserve"> </w:t>
            </w:r>
            <w:r>
              <w:rPr>
                <w:color w:val="231F20"/>
                <w:sz w:val="12"/>
              </w:rPr>
              <w:t>provide</w:t>
            </w:r>
            <w:r>
              <w:rPr>
                <w:color w:val="231F20"/>
                <w:spacing w:val="-13"/>
                <w:sz w:val="12"/>
              </w:rPr>
              <w:t xml:space="preserve"> </w:t>
            </w:r>
            <w:r>
              <w:rPr>
                <w:color w:val="231F20"/>
                <w:sz w:val="12"/>
              </w:rPr>
              <w:t>stewardship</w:t>
            </w:r>
            <w:r>
              <w:rPr>
                <w:color w:val="231F20"/>
                <w:spacing w:val="-13"/>
                <w:sz w:val="12"/>
              </w:rPr>
              <w:t xml:space="preserve"> </w:t>
            </w:r>
            <w:r>
              <w:rPr>
                <w:color w:val="231F20"/>
                <w:sz w:val="12"/>
              </w:rPr>
              <w:t>on</w:t>
            </w:r>
            <w:r>
              <w:rPr>
                <w:color w:val="231F20"/>
                <w:spacing w:val="-13"/>
                <w:sz w:val="12"/>
              </w:rPr>
              <w:t xml:space="preserve"> </w:t>
            </w:r>
            <w:r>
              <w:rPr>
                <w:color w:val="231F20"/>
                <w:sz w:val="12"/>
              </w:rPr>
              <w:t>research,</w:t>
            </w:r>
            <w:r>
              <w:rPr>
                <w:color w:val="231F20"/>
                <w:spacing w:val="-14"/>
                <w:sz w:val="12"/>
              </w:rPr>
              <w:t xml:space="preserve"> </w:t>
            </w:r>
            <w:r>
              <w:rPr>
                <w:color w:val="231F20"/>
                <w:sz w:val="12"/>
              </w:rPr>
              <w:t>and</w:t>
            </w:r>
            <w:r>
              <w:rPr>
                <w:color w:val="231F20"/>
                <w:spacing w:val="-13"/>
                <w:sz w:val="12"/>
              </w:rPr>
              <w:t xml:space="preserve"> </w:t>
            </w:r>
            <w:r>
              <w:rPr>
                <w:color w:val="231F20"/>
                <w:sz w:val="12"/>
              </w:rPr>
              <w:t>harness</w:t>
            </w:r>
            <w:r>
              <w:rPr>
                <w:color w:val="231F20"/>
                <w:spacing w:val="-13"/>
                <w:sz w:val="12"/>
              </w:rPr>
              <w:t xml:space="preserve"> </w:t>
            </w:r>
            <w:r>
              <w:rPr>
                <w:color w:val="231F20"/>
                <w:sz w:val="12"/>
              </w:rPr>
              <w:t>research findings for</w:t>
            </w:r>
            <w:r>
              <w:rPr>
                <w:color w:val="231F20"/>
                <w:spacing w:val="-3"/>
                <w:sz w:val="12"/>
              </w:rPr>
              <w:t xml:space="preserve"> </w:t>
            </w:r>
            <w:r>
              <w:rPr>
                <w:color w:val="231F20"/>
                <w:sz w:val="12"/>
              </w:rPr>
              <w:t>decision-making</w:t>
            </w:r>
          </w:p>
        </w:tc>
        <w:tc>
          <w:tcPr>
            <w:tcW w:w="1399" w:type="dxa"/>
            <w:tcBorders>
              <w:top w:val="single" w:sz="6" w:space="0" w:color="231F20"/>
              <w:left w:val="single" w:sz="6" w:space="0" w:color="231F20"/>
              <w:bottom w:val="single" w:sz="6" w:space="0" w:color="231F20"/>
              <w:right w:val="single" w:sz="6" w:space="0" w:color="231F20"/>
            </w:tcBorders>
          </w:tcPr>
          <w:p w14:paraId="26E257A7" w14:textId="77777777" w:rsidR="009948F1" w:rsidRDefault="009948F1">
            <w:pPr>
              <w:pStyle w:val="TableParagraph"/>
              <w:spacing w:before="7"/>
              <w:rPr>
                <w:sz w:val="16"/>
              </w:rPr>
            </w:pPr>
          </w:p>
          <w:p w14:paraId="544961CE" w14:textId="77777777" w:rsidR="009948F1" w:rsidRDefault="00BC0563">
            <w:pPr>
              <w:pStyle w:val="TableParagraph"/>
              <w:spacing w:before="1"/>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1E3A0842" w14:textId="77777777" w:rsidR="009948F1" w:rsidRDefault="009948F1">
            <w:pPr>
              <w:pStyle w:val="TableParagraph"/>
              <w:spacing w:before="1"/>
              <w:rPr>
                <w:sz w:val="10"/>
              </w:rPr>
            </w:pPr>
          </w:p>
          <w:p w14:paraId="335B9F73" w14:textId="77777777" w:rsidR="009948F1" w:rsidRDefault="00BC0563">
            <w:pPr>
              <w:pStyle w:val="TableParagraph"/>
              <w:spacing w:line="259" w:lineRule="auto"/>
              <w:ind w:left="23"/>
              <w:rPr>
                <w:sz w:val="12"/>
              </w:rPr>
            </w:pPr>
            <w:r>
              <w:rPr>
                <w:color w:val="231F20"/>
                <w:sz w:val="12"/>
              </w:rPr>
              <w:t>Strengthen the Research Unit</w:t>
            </w:r>
          </w:p>
        </w:tc>
      </w:tr>
      <w:tr w:rsidR="009948F1" w14:paraId="4192BACD" w14:textId="77777777">
        <w:trPr>
          <w:trHeight w:val="275"/>
        </w:trPr>
        <w:tc>
          <w:tcPr>
            <w:tcW w:w="1020" w:type="dxa"/>
            <w:gridSpan w:val="3"/>
            <w:vMerge/>
            <w:tcBorders>
              <w:top w:val="nil"/>
              <w:left w:val="single" w:sz="6" w:space="0" w:color="231F20"/>
              <w:bottom w:val="nil"/>
              <w:right w:val="single" w:sz="6" w:space="0" w:color="231F20"/>
            </w:tcBorders>
          </w:tcPr>
          <w:p w14:paraId="00C2E245"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4F6F1F72" w14:textId="77777777" w:rsidR="009948F1" w:rsidRDefault="00BC0563">
            <w:pPr>
              <w:pStyle w:val="TableParagraph"/>
              <w:spacing w:before="69"/>
              <w:ind w:left="47"/>
              <w:rPr>
                <w:sz w:val="12"/>
              </w:rPr>
            </w:pPr>
            <w:r>
              <w:rPr>
                <w:color w:val="231F20"/>
                <w:sz w:val="12"/>
              </w:rPr>
              <w:t>13.1.1.b</w:t>
            </w:r>
          </w:p>
        </w:tc>
        <w:tc>
          <w:tcPr>
            <w:tcW w:w="4801" w:type="dxa"/>
            <w:gridSpan w:val="2"/>
            <w:tcBorders>
              <w:top w:val="single" w:sz="6" w:space="0" w:color="231F20"/>
              <w:left w:val="single" w:sz="6" w:space="0" w:color="231F20"/>
              <w:bottom w:val="single" w:sz="6" w:space="0" w:color="231F20"/>
              <w:right w:val="single" w:sz="6" w:space="0" w:color="231F20"/>
            </w:tcBorders>
          </w:tcPr>
          <w:p w14:paraId="751642F6" w14:textId="77777777" w:rsidR="009948F1" w:rsidRDefault="00BC0563">
            <w:pPr>
              <w:pStyle w:val="TableParagraph"/>
              <w:spacing w:line="137" w:lineRule="exact"/>
              <w:ind w:left="21"/>
              <w:rPr>
                <w:sz w:val="12"/>
              </w:rPr>
            </w:pPr>
            <w:r>
              <w:rPr>
                <w:color w:val="231F20"/>
                <w:sz w:val="12"/>
              </w:rPr>
              <w:t>Strengthen State Health Research Ethics Committee at RSHMB to coordinate research</w:t>
            </w:r>
          </w:p>
          <w:p w14:paraId="7213C7E8" w14:textId="77777777" w:rsidR="009948F1" w:rsidRDefault="00BC0563">
            <w:pPr>
              <w:pStyle w:val="TableParagraph"/>
              <w:spacing w:before="11" w:line="107" w:lineRule="exact"/>
              <w:ind w:left="21"/>
              <w:rPr>
                <w:sz w:val="12"/>
              </w:rPr>
            </w:pPr>
            <w:r>
              <w:rPr>
                <w:color w:val="231F20"/>
                <w:sz w:val="12"/>
              </w:rPr>
              <w:t>activities in the state</w:t>
            </w:r>
          </w:p>
        </w:tc>
        <w:tc>
          <w:tcPr>
            <w:tcW w:w="1399" w:type="dxa"/>
            <w:tcBorders>
              <w:top w:val="single" w:sz="6" w:space="0" w:color="231F20"/>
              <w:left w:val="single" w:sz="6" w:space="0" w:color="231F20"/>
              <w:bottom w:val="single" w:sz="6" w:space="0" w:color="231F20"/>
              <w:right w:val="single" w:sz="6" w:space="0" w:color="231F20"/>
            </w:tcBorders>
          </w:tcPr>
          <w:p w14:paraId="7BE908E3" w14:textId="77777777" w:rsidR="009948F1" w:rsidRDefault="00BC0563">
            <w:pPr>
              <w:pStyle w:val="TableParagraph"/>
              <w:spacing w:before="69"/>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3606E52D" w14:textId="77777777" w:rsidR="009948F1" w:rsidRDefault="00BC0563">
            <w:pPr>
              <w:pStyle w:val="TableParagraph"/>
              <w:spacing w:before="69"/>
              <w:ind w:left="23"/>
              <w:rPr>
                <w:sz w:val="12"/>
              </w:rPr>
            </w:pPr>
            <w:r>
              <w:rPr>
                <w:color w:val="231F20"/>
                <w:sz w:val="12"/>
              </w:rPr>
              <w:t>Strengthen Committee</w:t>
            </w:r>
          </w:p>
        </w:tc>
      </w:tr>
      <w:tr w:rsidR="009948F1" w14:paraId="4CFF906D" w14:textId="77777777">
        <w:trPr>
          <w:trHeight w:val="289"/>
        </w:trPr>
        <w:tc>
          <w:tcPr>
            <w:tcW w:w="1020" w:type="dxa"/>
            <w:gridSpan w:val="3"/>
            <w:vMerge/>
            <w:tcBorders>
              <w:top w:val="nil"/>
              <w:left w:val="single" w:sz="6" w:space="0" w:color="231F20"/>
              <w:bottom w:val="nil"/>
              <w:right w:val="single" w:sz="6" w:space="0" w:color="231F20"/>
            </w:tcBorders>
          </w:tcPr>
          <w:p w14:paraId="351520F1"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069D888F" w14:textId="77777777" w:rsidR="009948F1" w:rsidRDefault="00BC0563">
            <w:pPr>
              <w:pStyle w:val="TableParagraph"/>
              <w:spacing w:before="76"/>
              <w:ind w:left="51"/>
              <w:rPr>
                <w:sz w:val="12"/>
              </w:rPr>
            </w:pPr>
            <w:r>
              <w:rPr>
                <w:color w:val="231F20"/>
                <w:sz w:val="12"/>
              </w:rPr>
              <w:t>13.1.1.c</w:t>
            </w:r>
          </w:p>
        </w:tc>
        <w:tc>
          <w:tcPr>
            <w:tcW w:w="4801" w:type="dxa"/>
            <w:gridSpan w:val="2"/>
            <w:tcBorders>
              <w:top w:val="single" w:sz="6" w:space="0" w:color="231F20"/>
              <w:left w:val="single" w:sz="6" w:space="0" w:color="231F20"/>
              <w:bottom w:val="single" w:sz="6" w:space="0" w:color="231F20"/>
              <w:right w:val="single" w:sz="6" w:space="0" w:color="231F20"/>
            </w:tcBorders>
          </w:tcPr>
          <w:p w14:paraId="648C829B" w14:textId="77777777" w:rsidR="009948F1" w:rsidRDefault="00BC0563">
            <w:pPr>
              <w:pStyle w:val="TableParagraph"/>
              <w:spacing w:before="71"/>
              <w:ind w:left="21"/>
              <w:rPr>
                <w:sz w:val="12"/>
              </w:rPr>
            </w:pPr>
            <w:r>
              <w:rPr>
                <w:color w:val="231F20"/>
                <w:sz w:val="12"/>
              </w:rPr>
              <w:t>Adapt National Health Act 2014</w:t>
            </w:r>
          </w:p>
        </w:tc>
        <w:tc>
          <w:tcPr>
            <w:tcW w:w="1399" w:type="dxa"/>
            <w:tcBorders>
              <w:top w:val="single" w:sz="6" w:space="0" w:color="231F20"/>
              <w:left w:val="single" w:sz="6" w:space="0" w:color="231F20"/>
              <w:bottom w:val="single" w:sz="6" w:space="0" w:color="231F20"/>
              <w:right w:val="single" w:sz="6" w:space="0" w:color="231F20"/>
            </w:tcBorders>
          </w:tcPr>
          <w:p w14:paraId="7D7B5809" w14:textId="77777777" w:rsidR="009948F1" w:rsidRDefault="00BC0563">
            <w:pPr>
              <w:pStyle w:val="TableParagraph"/>
              <w:spacing w:before="76"/>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7FED4867" w14:textId="77777777" w:rsidR="009948F1" w:rsidRDefault="00BC0563">
            <w:pPr>
              <w:pStyle w:val="TableParagraph"/>
              <w:spacing w:before="76"/>
              <w:ind w:left="23"/>
              <w:rPr>
                <w:sz w:val="12"/>
              </w:rPr>
            </w:pPr>
            <w:r>
              <w:rPr>
                <w:color w:val="231F20"/>
                <w:sz w:val="12"/>
              </w:rPr>
              <w:t>Costed in 13.1.1b</w:t>
            </w:r>
          </w:p>
        </w:tc>
      </w:tr>
      <w:tr w:rsidR="009948F1" w14:paraId="34A43749" w14:textId="77777777">
        <w:trPr>
          <w:trHeight w:val="296"/>
        </w:trPr>
        <w:tc>
          <w:tcPr>
            <w:tcW w:w="1020" w:type="dxa"/>
            <w:gridSpan w:val="3"/>
            <w:vMerge/>
            <w:tcBorders>
              <w:top w:val="nil"/>
              <w:left w:val="single" w:sz="6" w:space="0" w:color="231F20"/>
              <w:bottom w:val="nil"/>
              <w:right w:val="single" w:sz="6" w:space="0" w:color="231F20"/>
            </w:tcBorders>
          </w:tcPr>
          <w:p w14:paraId="03548CEE"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5DAF2614" w14:textId="77777777" w:rsidR="009948F1" w:rsidRDefault="00BC0563">
            <w:pPr>
              <w:pStyle w:val="TableParagraph"/>
              <w:spacing w:before="80"/>
              <w:ind w:left="47"/>
              <w:rPr>
                <w:sz w:val="12"/>
              </w:rPr>
            </w:pPr>
            <w:r>
              <w:rPr>
                <w:color w:val="231F20"/>
                <w:sz w:val="12"/>
              </w:rPr>
              <w:t>13.1.1.d</w:t>
            </w:r>
          </w:p>
        </w:tc>
        <w:tc>
          <w:tcPr>
            <w:tcW w:w="4801" w:type="dxa"/>
            <w:gridSpan w:val="2"/>
            <w:tcBorders>
              <w:top w:val="single" w:sz="6" w:space="0" w:color="231F20"/>
              <w:left w:val="single" w:sz="6" w:space="0" w:color="231F20"/>
              <w:bottom w:val="single" w:sz="6" w:space="0" w:color="231F20"/>
              <w:right w:val="single" w:sz="6" w:space="0" w:color="231F20"/>
            </w:tcBorders>
          </w:tcPr>
          <w:p w14:paraId="2354C023" w14:textId="77777777" w:rsidR="009948F1" w:rsidRDefault="00BC0563">
            <w:pPr>
              <w:pStyle w:val="TableParagraph"/>
              <w:spacing w:before="75"/>
              <w:ind w:left="21"/>
              <w:rPr>
                <w:sz w:val="12"/>
              </w:rPr>
            </w:pPr>
            <w:r>
              <w:rPr>
                <w:color w:val="231F20"/>
                <w:sz w:val="12"/>
              </w:rPr>
              <w:t>Build capacity of all relevant stakeholders on health research</w:t>
            </w:r>
          </w:p>
        </w:tc>
        <w:tc>
          <w:tcPr>
            <w:tcW w:w="1399" w:type="dxa"/>
            <w:tcBorders>
              <w:top w:val="single" w:sz="6" w:space="0" w:color="231F20"/>
              <w:left w:val="single" w:sz="6" w:space="0" w:color="231F20"/>
              <w:bottom w:val="single" w:sz="6" w:space="0" w:color="231F20"/>
              <w:right w:val="single" w:sz="6" w:space="0" w:color="231F20"/>
            </w:tcBorders>
          </w:tcPr>
          <w:p w14:paraId="055BB44B" w14:textId="77777777" w:rsidR="009948F1" w:rsidRDefault="00BC0563">
            <w:pPr>
              <w:pStyle w:val="TableParagraph"/>
              <w:spacing w:before="80"/>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2A204FDA" w14:textId="77777777" w:rsidR="009948F1" w:rsidRDefault="00BC0563">
            <w:pPr>
              <w:pStyle w:val="TableParagraph"/>
              <w:spacing w:before="80"/>
              <w:ind w:left="23"/>
              <w:rPr>
                <w:sz w:val="12"/>
              </w:rPr>
            </w:pPr>
            <w:r>
              <w:rPr>
                <w:color w:val="231F20"/>
                <w:sz w:val="12"/>
              </w:rPr>
              <w:t>Costed in OHT</w:t>
            </w:r>
          </w:p>
        </w:tc>
      </w:tr>
      <w:tr w:rsidR="009948F1" w14:paraId="5F96CBE9" w14:textId="77777777">
        <w:trPr>
          <w:trHeight w:val="289"/>
        </w:trPr>
        <w:tc>
          <w:tcPr>
            <w:tcW w:w="1020" w:type="dxa"/>
            <w:gridSpan w:val="3"/>
            <w:vMerge/>
            <w:tcBorders>
              <w:top w:val="nil"/>
              <w:left w:val="single" w:sz="6" w:space="0" w:color="231F20"/>
              <w:bottom w:val="nil"/>
              <w:right w:val="single" w:sz="6" w:space="0" w:color="231F20"/>
            </w:tcBorders>
          </w:tcPr>
          <w:p w14:paraId="1AE9C43D"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151A0E09" w14:textId="77777777" w:rsidR="009948F1" w:rsidRDefault="00BC0563">
            <w:pPr>
              <w:pStyle w:val="TableParagraph"/>
              <w:spacing w:before="76"/>
              <w:ind w:left="47"/>
              <w:rPr>
                <w:sz w:val="12"/>
              </w:rPr>
            </w:pPr>
            <w:r>
              <w:rPr>
                <w:color w:val="231F20"/>
                <w:sz w:val="12"/>
              </w:rPr>
              <w:t>13.1.1.e</w:t>
            </w:r>
          </w:p>
        </w:tc>
        <w:tc>
          <w:tcPr>
            <w:tcW w:w="4801" w:type="dxa"/>
            <w:gridSpan w:val="2"/>
            <w:tcBorders>
              <w:top w:val="single" w:sz="6" w:space="0" w:color="231F20"/>
              <w:left w:val="single" w:sz="6" w:space="0" w:color="231F20"/>
              <w:bottom w:val="single" w:sz="6" w:space="0" w:color="231F20"/>
              <w:right w:val="single" w:sz="6" w:space="0" w:color="231F20"/>
            </w:tcBorders>
          </w:tcPr>
          <w:p w14:paraId="239939C0" w14:textId="77777777" w:rsidR="009948F1" w:rsidRDefault="00BC0563">
            <w:pPr>
              <w:pStyle w:val="TableParagraph"/>
              <w:spacing w:line="137" w:lineRule="exact"/>
              <w:ind w:left="21"/>
              <w:rPr>
                <w:sz w:val="12"/>
              </w:rPr>
            </w:pPr>
            <w:r>
              <w:rPr>
                <w:color w:val="231F20"/>
                <w:sz w:val="12"/>
              </w:rPr>
              <w:t>Establish a platform for linking academia with the health sector on linking research to</w:t>
            </w:r>
          </w:p>
          <w:p w14:paraId="4849435B" w14:textId="77777777" w:rsidR="009948F1" w:rsidRDefault="00BC0563">
            <w:pPr>
              <w:pStyle w:val="TableParagraph"/>
              <w:spacing w:before="11" w:line="122" w:lineRule="exact"/>
              <w:ind w:left="21"/>
              <w:rPr>
                <w:sz w:val="12"/>
              </w:rPr>
            </w:pPr>
            <w:r>
              <w:rPr>
                <w:color w:val="231F20"/>
                <w:sz w:val="12"/>
              </w:rPr>
              <w:t>national/state priorities and translating research to action</w:t>
            </w:r>
          </w:p>
        </w:tc>
        <w:tc>
          <w:tcPr>
            <w:tcW w:w="1399" w:type="dxa"/>
            <w:tcBorders>
              <w:top w:val="single" w:sz="6" w:space="0" w:color="231F20"/>
              <w:left w:val="single" w:sz="6" w:space="0" w:color="231F20"/>
              <w:bottom w:val="single" w:sz="6" w:space="0" w:color="231F20"/>
              <w:right w:val="single" w:sz="6" w:space="0" w:color="231F20"/>
            </w:tcBorders>
          </w:tcPr>
          <w:p w14:paraId="3DA9D446" w14:textId="77777777" w:rsidR="009948F1" w:rsidRDefault="00BC0563">
            <w:pPr>
              <w:pStyle w:val="TableParagraph"/>
              <w:spacing w:before="76"/>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37414F95" w14:textId="77777777" w:rsidR="009948F1" w:rsidRDefault="00BC0563">
            <w:pPr>
              <w:pStyle w:val="TableParagraph"/>
              <w:spacing w:before="76"/>
              <w:ind w:left="23"/>
              <w:rPr>
                <w:sz w:val="12"/>
              </w:rPr>
            </w:pPr>
            <w:r>
              <w:rPr>
                <w:color w:val="231F20"/>
                <w:sz w:val="12"/>
              </w:rPr>
              <w:t>Costed in 3.1.1c</w:t>
            </w:r>
          </w:p>
        </w:tc>
      </w:tr>
      <w:tr w:rsidR="009948F1" w14:paraId="49FFBDC9" w14:textId="77777777">
        <w:trPr>
          <w:trHeight w:val="851"/>
        </w:trPr>
        <w:tc>
          <w:tcPr>
            <w:tcW w:w="574" w:type="dxa"/>
            <w:gridSpan w:val="2"/>
            <w:tcBorders>
              <w:top w:val="nil"/>
              <w:left w:val="single" w:sz="6" w:space="0" w:color="231F20"/>
              <w:bottom w:val="nil"/>
              <w:right w:val="single" w:sz="6" w:space="0" w:color="231F20"/>
            </w:tcBorders>
          </w:tcPr>
          <w:p w14:paraId="3719A01B" w14:textId="77777777" w:rsidR="009948F1" w:rsidRDefault="009948F1">
            <w:pPr>
              <w:pStyle w:val="TableParagraph"/>
              <w:rPr>
                <w:rFonts w:ascii="Times New Roman"/>
                <w:sz w:val="10"/>
              </w:rPr>
            </w:pPr>
          </w:p>
        </w:tc>
        <w:tc>
          <w:tcPr>
            <w:tcW w:w="446" w:type="dxa"/>
            <w:tcBorders>
              <w:top w:val="single" w:sz="6" w:space="0" w:color="231F20"/>
              <w:left w:val="single" w:sz="6" w:space="0" w:color="231F20"/>
              <w:bottom w:val="single" w:sz="6" w:space="0" w:color="231F20"/>
              <w:right w:val="single" w:sz="6" w:space="0" w:color="231F20"/>
            </w:tcBorders>
            <w:shd w:val="clear" w:color="auto" w:fill="CCE7D3"/>
          </w:tcPr>
          <w:p w14:paraId="6D200C50" w14:textId="77777777" w:rsidR="009948F1" w:rsidRDefault="009948F1">
            <w:pPr>
              <w:pStyle w:val="TableParagraph"/>
              <w:rPr>
                <w:sz w:val="12"/>
              </w:rPr>
            </w:pPr>
          </w:p>
          <w:p w14:paraId="01855778" w14:textId="77777777" w:rsidR="009948F1" w:rsidRDefault="009948F1">
            <w:pPr>
              <w:pStyle w:val="TableParagraph"/>
              <w:rPr>
                <w:sz w:val="12"/>
              </w:rPr>
            </w:pPr>
          </w:p>
          <w:p w14:paraId="73795A8D" w14:textId="77777777" w:rsidR="009948F1" w:rsidRDefault="00BC0563">
            <w:pPr>
              <w:pStyle w:val="TableParagraph"/>
              <w:spacing w:before="81"/>
              <w:ind w:left="29" w:right="28"/>
              <w:jc w:val="center"/>
              <w:rPr>
                <w:sz w:val="12"/>
              </w:rPr>
            </w:pPr>
            <w:r>
              <w:rPr>
                <w:color w:val="231F20"/>
                <w:sz w:val="12"/>
              </w:rPr>
              <w:t>13.1.2</w:t>
            </w:r>
          </w:p>
        </w:tc>
        <w:tc>
          <w:tcPr>
            <w:tcW w:w="2979" w:type="dxa"/>
            <w:gridSpan w:val="2"/>
            <w:tcBorders>
              <w:top w:val="single" w:sz="6" w:space="0" w:color="231F20"/>
              <w:left w:val="single" w:sz="6" w:space="0" w:color="231F20"/>
              <w:bottom w:val="single" w:sz="6" w:space="0" w:color="231F20"/>
              <w:right w:val="single" w:sz="6" w:space="0" w:color="231F20"/>
            </w:tcBorders>
            <w:shd w:val="clear" w:color="auto" w:fill="CCE7D3"/>
          </w:tcPr>
          <w:p w14:paraId="1193C9C3" w14:textId="77777777" w:rsidR="009948F1" w:rsidRDefault="009948F1">
            <w:pPr>
              <w:pStyle w:val="TableParagraph"/>
              <w:rPr>
                <w:sz w:val="12"/>
              </w:rPr>
            </w:pPr>
          </w:p>
          <w:p w14:paraId="6DB00A7D" w14:textId="77777777" w:rsidR="009948F1" w:rsidRDefault="009948F1">
            <w:pPr>
              <w:pStyle w:val="TableParagraph"/>
              <w:spacing w:before="2"/>
              <w:rPr>
                <w:sz w:val="12"/>
              </w:rPr>
            </w:pPr>
          </w:p>
          <w:p w14:paraId="158F56A6" w14:textId="77777777" w:rsidR="009948F1" w:rsidRDefault="00BC0563">
            <w:pPr>
              <w:pStyle w:val="TableParagraph"/>
              <w:spacing w:line="259" w:lineRule="auto"/>
              <w:ind w:left="21" w:right="-19" w:firstLine="32"/>
              <w:rPr>
                <w:sz w:val="12"/>
              </w:rPr>
            </w:pPr>
            <w:r>
              <w:rPr>
                <w:color w:val="231F20"/>
                <w:sz w:val="12"/>
              </w:rPr>
              <w:t xml:space="preserve">Strengthen the development and implementation of </w:t>
            </w:r>
            <w:r>
              <w:rPr>
                <w:color w:val="231F20"/>
                <w:spacing w:val="-4"/>
                <w:sz w:val="12"/>
              </w:rPr>
              <w:t xml:space="preserve">the </w:t>
            </w:r>
            <w:r>
              <w:rPr>
                <w:color w:val="231F20"/>
                <w:sz w:val="12"/>
              </w:rPr>
              <w:t>national research agenda</w:t>
            </w:r>
          </w:p>
        </w:tc>
        <w:tc>
          <w:tcPr>
            <w:tcW w:w="2338" w:type="dxa"/>
            <w:tcBorders>
              <w:top w:val="single" w:sz="6" w:space="0" w:color="231F20"/>
              <w:left w:val="single" w:sz="6" w:space="0" w:color="231F20"/>
              <w:bottom w:val="single" w:sz="6" w:space="0" w:color="231F20"/>
              <w:right w:val="single" w:sz="6" w:space="0" w:color="231F20"/>
            </w:tcBorders>
            <w:shd w:val="clear" w:color="auto" w:fill="CCE7D3"/>
          </w:tcPr>
          <w:p w14:paraId="36FBCDE3" w14:textId="77777777" w:rsidR="009948F1" w:rsidRDefault="00BC0563">
            <w:pPr>
              <w:pStyle w:val="TableParagraph"/>
              <w:numPr>
                <w:ilvl w:val="0"/>
                <w:numId w:val="32"/>
              </w:numPr>
              <w:tabs>
                <w:tab w:val="left" w:pos="96"/>
              </w:tabs>
              <w:spacing w:line="259" w:lineRule="auto"/>
              <w:ind w:right="367" w:firstLine="0"/>
              <w:rPr>
                <w:sz w:val="12"/>
              </w:rPr>
            </w:pPr>
            <w:r>
              <w:rPr>
                <w:color w:val="231F20"/>
                <w:sz w:val="12"/>
              </w:rPr>
              <w:t>State</w:t>
            </w:r>
            <w:r>
              <w:rPr>
                <w:color w:val="231F20"/>
                <w:spacing w:val="-13"/>
                <w:sz w:val="12"/>
              </w:rPr>
              <w:t xml:space="preserve"> </w:t>
            </w:r>
            <w:r>
              <w:rPr>
                <w:color w:val="231F20"/>
                <w:sz w:val="12"/>
              </w:rPr>
              <w:t>research</w:t>
            </w:r>
            <w:r>
              <w:rPr>
                <w:color w:val="231F20"/>
                <w:spacing w:val="-12"/>
                <w:sz w:val="12"/>
              </w:rPr>
              <w:t xml:space="preserve"> </w:t>
            </w:r>
            <w:r>
              <w:rPr>
                <w:color w:val="231F20"/>
                <w:sz w:val="12"/>
              </w:rPr>
              <w:t>agenda</w:t>
            </w:r>
            <w:r>
              <w:rPr>
                <w:color w:val="231F20"/>
                <w:spacing w:val="-13"/>
                <w:sz w:val="12"/>
              </w:rPr>
              <w:t xml:space="preserve"> </w:t>
            </w:r>
            <w:r>
              <w:rPr>
                <w:color w:val="231F20"/>
                <w:sz w:val="12"/>
              </w:rPr>
              <w:t>developed</w:t>
            </w:r>
            <w:r>
              <w:rPr>
                <w:color w:val="231F20"/>
                <w:spacing w:val="-12"/>
                <w:sz w:val="12"/>
              </w:rPr>
              <w:t xml:space="preserve"> </w:t>
            </w:r>
            <w:r>
              <w:rPr>
                <w:color w:val="231F20"/>
                <w:spacing w:val="-17"/>
                <w:sz w:val="12"/>
              </w:rPr>
              <w:t xml:space="preserve">&amp; </w:t>
            </w:r>
            <w:r>
              <w:rPr>
                <w:color w:val="231F20"/>
                <w:sz w:val="12"/>
              </w:rPr>
              <w:t>platform for collaborative research established</w:t>
            </w:r>
          </w:p>
          <w:p w14:paraId="75163E0D" w14:textId="77777777" w:rsidR="009948F1" w:rsidRDefault="00BC0563">
            <w:pPr>
              <w:pStyle w:val="TableParagraph"/>
              <w:spacing w:line="259" w:lineRule="auto"/>
              <w:ind w:left="22" w:right="154"/>
              <w:rPr>
                <w:sz w:val="12"/>
              </w:rPr>
            </w:pPr>
            <w:r>
              <w:rPr>
                <w:color w:val="231F20"/>
                <w:sz w:val="12"/>
              </w:rPr>
              <w:t>•Researchers</w:t>
            </w:r>
            <w:r>
              <w:rPr>
                <w:color w:val="231F20"/>
                <w:spacing w:val="-11"/>
                <w:sz w:val="12"/>
              </w:rPr>
              <w:t xml:space="preserve"> </w:t>
            </w:r>
            <w:r>
              <w:rPr>
                <w:color w:val="231F20"/>
                <w:sz w:val="12"/>
              </w:rPr>
              <w:t>trained</w:t>
            </w:r>
            <w:r>
              <w:rPr>
                <w:color w:val="231F20"/>
                <w:spacing w:val="-10"/>
                <w:sz w:val="12"/>
              </w:rPr>
              <w:t xml:space="preserve"> </w:t>
            </w:r>
            <w:r>
              <w:rPr>
                <w:color w:val="231F20"/>
                <w:sz w:val="12"/>
              </w:rPr>
              <w:t>on</w:t>
            </w:r>
            <w:r>
              <w:rPr>
                <w:color w:val="231F20"/>
                <w:spacing w:val="-10"/>
                <w:sz w:val="12"/>
              </w:rPr>
              <w:t xml:space="preserve"> </w:t>
            </w:r>
            <w:r>
              <w:rPr>
                <w:color w:val="231F20"/>
                <w:sz w:val="12"/>
              </w:rPr>
              <w:t>both</w:t>
            </w:r>
            <w:r>
              <w:rPr>
                <w:color w:val="231F20"/>
                <w:spacing w:val="-10"/>
                <w:sz w:val="12"/>
              </w:rPr>
              <w:t xml:space="preserve"> </w:t>
            </w:r>
            <w:r>
              <w:rPr>
                <w:color w:val="231F20"/>
                <w:spacing w:val="-3"/>
                <w:sz w:val="12"/>
              </w:rPr>
              <w:t xml:space="preserve">quantitative </w:t>
            </w:r>
            <w:r>
              <w:rPr>
                <w:color w:val="231F20"/>
                <w:sz w:val="12"/>
              </w:rPr>
              <w:t>and qualitative research</w:t>
            </w:r>
            <w:r>
              <w:rPr>
                <w:color w:val="231F20"/>
                <w:spacing w:val="-13"/>
                <w:sz w:val="12"/>
              </w:rPr>
              <w:t xml:space="preserve"> </w:t>
            </w:r>
            <w:r>
              <w:rPr>
                <w:color w:val="231F20"/>
                <w:sz w:val="12"/>
              </w:rPr>
              <w:t>annually</w:t>
            </w:r>
          </w:p>
          <w:p w14:paraId="71576897" w14:textId="77777777" w:rsidR="009948F1" w:rsidRDefault="00BC0563">
            <w:pPr>
              <w:pStyle w:val="TableParagraph"/>
              <w:numPr>
                <w:ilvl w:val="0"/>
                <w:numId w:val="32"/>
              </w:numPr>
              <w:tabs>
                <w:tab w:val="left" w:pos="96"/>
              </w:tabs>
              <w:spacing w:line="87" w:lineRule="exact"/>
              <w:ind w:left="95"/>
              <w:rPr>
                <w:sz w:val="12"/>
              </w:rPr>
            </w:pPr>
            <w:r>
              <w:rPr>
                <w:color w:val="231F20"/>
                <w:sz w:val="12"/>
              </w:rPr>
              <w:t>Promotion</w:t>
            </w:r>
            <w:r>
              <w:rPr>
                <w:color w:val="231F20"/>
                <w:spacing w:val="-11"/>
                <w:sz w:val="12"/>
              </w:rPr>
              <w:t xml:space="preserve"> </w:t>
            </w:r>
            <w:r>
              <w:rPr>
                <w:color w:val="231F20"/>
                <w:sz w:val="12"/>
              </w:rPr>
              <w:t>of</w:t>
            </w:r>
            <w:r>
              <w:rPr>
                <w:color w:val="231F20"/>
                <w:spacing w:val="-11"/>
                <w:sz w:val="12"/>
              </w:rPr>
              <w:t xml:space="preserve"> </w:t>
            </w:r>
            <w:r>
              <w:rPr>
                <w:color w:val="231F20"/>
                <w:sz w:val="12"/>
              </w:rPr>
              <w:t>PPP</w:t>
            </w:r>
            <w:r>
              <w:rPr>
                <w:color w:val="231F20"/>
                <w:spacing w:val="-13"/>
                <w:sz w:val="12"/>
              </w:rPr>
              <w:t xml:space="preserve"> </w:t>
            </w:r>
            <w:r>
              <w:rPr>
                <w:color w:val="231F20"/>
                <w:sz w:val="12"/>
              </w:rPr>
              <w:t>in</w:t>
            </w:r>
            <w:r>
              <w:rPr>
                <w:color w:val="231F20"/>
                <w:spacing w:val="-10"/>
                <w:sz w:val="12"/>
              </w:rPr>
              <w:t xml:space="preserve"> </w:t>
            </w:r>
            <w:r>
              <w:rPr>
                <w:color w:val="231F20"/>
                <w:sz w:val="12"/>
              </w:rPr>
              <w:t>R&amp;D</w:t>
            </w:r>
            <w:r>
              <w:rPr>
                <w:color w:val="231F20"/>
                <w:spacing w:val="-11"/>
                <w:sz w:val="12"/>
              </w:rPr>
              <w:t xml:space="preserve"> </w:t>
            </w:r>
            <w:r>
              <w:rPr>
                <w:color w:val="231F20"/>
                <w:sz w:val="12"/>
              </w:rPr>
              <w:t>done</w:t>
            </w:r>
          </w:p>
        </w:tc>
        <w:tc>
          <w:tcPr>
            <w:tcW w:w="1399" w:type="dxa"/>
            <w:tcBorders>
              <w:top w:val="single" w:sz="6" w:space="0" w:color="231F20"/>
              <w:left w:val="single" w:sz="6" w:space="0" w:color="231F20"/>
              <w:bottom w:val="single" w:sz="6" w:space="0" w:color="231F20"/>
              <w:right w:val="single" w:sz="6" w:space="0" w:color="231F20"/>
            </w:tcBorders>
            <w:shd w:val="clear" w:color="auto" w:fill="CCE7D3"/>
          </w:tcPr>
          <w:p w14:paraId="41544A0A" w14:textId="77777777" w:rsidR="009948F1" w:rsidRDefault="009948F1">
            <w:pPr>
              <w:pStyle w:val="TableParagraph"/>
              <w:rPr>
                <w:rFonts w:ascii="Times New Roman"/>
                <w:sz w:val="10"/>
              </w:rPr>
            </w:pPr>
          </w:p>
        </w:tc>
        <w:tc>
          <w:tcPr>
            <w:tcW w:w="1476" w:type="dxa"/>
            <w:tcBorders>
              <w:top w:val="single" w:sz="6" w:space="0" w:color="231F20"/>
              <w:left w:val="single" w:sz="6" w:space="0" w:color="231F20"/>
              <w:bottom w:val="single" w:sz="6" w:space="0" w:color="231F20"/>
              <w:right w:val="single" w:sz="6" w:space="0" w:color="231F20"/>
            </w:tcBorders>
            <w:shd w:val="clear" w:color="auto" w:fill="CCE7D3"/>
          </w:tcPr>
          <w:p w14:paraId="59A92BBC" w14:textId="77777777" w:rsidR="009948F1" w:rsidRDefault="009948F1">
            <w:pPr>
              <w:pStyle w:val="TableParagraph"/>
              <w:rPr>
                <w:rFonts w:ascii="Times New Roman"/>
                <w:sz w:val="10"/>
              </w:rPr>
            </w:pPr>
          </w:p>
        </w:tc>
      </w:tr>
      <w:tr w:rsidR="009948F1" w14:paraId="70A79617" w14:textId="77777777">
        <w:trPr>
          <w:trHeight w:val="454"/>
        </w:trPr>
        <w:tc>
          <w:tcPr>
            <w:tcW w:w="1020" w:type="dxa"/>
            <w:gridSpan w:val="3"/>
            <w:vMerge w:val="restart"/>
            <w:tcBorders>
              <w:top w:val="nil"/>
              <w:left w:val="single" w:sz="6" w:space="0" w:color="231F20"/>
              <w:bottom w:val="nil"/>
              <w:right w:val="single" w:sz="6" w:space="0" w:color="231F20"/>
            </w:tcBorders>
          </w:tcPr>
          <w:p w14:paraId="7320B6D6" w14:textId="77777777" w:rsidR="009948F1" w:rsidRDefault="009948F1">
            <w:pPr>
              <w:pStyle w:val="TableParagraph"/>
              <w:rPr>
                <w:rFonts w:ascii="Times New Roman"/>
                <w:sz w:val="10"/>
              </w:rPr>
            </w:pPr>
          </w:p>
        </w:tc>
        <w:tc>
          <w:tcPr>
            <w:tcW w:w="516" w:type="dxa"/>
            <w:tcBorders>
              <w:top w:val="single" w:sz="6" w:space="0" w:color="231F20"/>
              <w:left w:val="single" w:sz="6" w:space="0" w:color="231F20"/>
              <w:bottom w:val="single" w:sz="6" w:space="0" w:color="231F20"/>
              <w:right w:val="single" w:sz="6" w:space="0" w:color="231F20"/>
            </w:tcBorders>
          </w:tcPr>
          <w:p w14:paraId="49132262" w14:textId="77777777" w:rsidR="009948F1" w:rsidRDefault="009948F1">
            <w:pPr>
              <w:pStyle w:val="TableParagraph"/>
              <w:spacing w:before="9"/>
              <w:rPr>
                <w:sz w:val="13"/>
              </w:rPr>
            </w:pPr>
          </w:p>
          <w:p w14:paraId="7E1AE024" w14:textId="77777777" w:rsidR="009948F1" w:rsidRDefault="00BC0563">
            <w:pPr>
              <w:pStyle w:val="TableParagraph"/>
              <w:ind w:left="47"/>
              <w:rPr>
                <w:sz w:val="12"/>
              </w:rPr>
            </w:pPr>
            <w:r>
              <w:rPr>
                <w:color w:val="231F20"/>
                <w:sz w:val="12"/>
              </w:rPr>
              <w:t>13.1.2.a</w:t>
            </w:r>
          </w:p>
        </w:tc>
        <w:tc>
          <w:tcPr>
            <w:tcW w:w="4801" w:type="dxa"/>
            <w:gridSpan w:val="2"/>
            <w:tcBorders>
              <w:top w:val="single" w:sz="6" w:space="0" w:color="231F20"/>
              <w:left w:val="single" w:sz="6" w:space="0" w:color="231F20"/>
              <w:bottom w:val="single" w:sz="6" w:space="0" w:color="231F20"/>
              <w:right w:val="single" w:sz="6" w:space="0" w:color="231F20"/>
            </w:tcBorders>
          </w:tcPr>
          <w:p w14:paraId="6815BD69" w14:textId="77777777" w:rsidR="009948F1" w:rsidRDefault="00BC0563">
            <w:pPr>
              <w:pStyle w:val="TableParagraph"/>
              <w:spacing w:before="79" w:line="259" w:lineRule="auto"/>
              <w:ind w:left="21" w:right="38"/>
              <w:rPr>
                <w:sz w:val="12"/>
              </w:rPr>
            </w:pPr>
            <w:r>
              <w:rPr>
                <w:color w:val="231F20"/>
                <w:sz w:val="12"/>
              </w:rPr>
              <w:t>Develop</w:t>
            </w:r>
            <w:r>
              <w:rPr>
                <w:color w:val="231F20"/>
                <w:spacing w:val="-14"/>
                <w:sz w:val="12"/>
              </w:rPr>
              <w:t xml:space="preserve"> </w:t>
            </w:r>
            <w:r>
              <w:rPr>
                <w:color w:val="231F20"/>
                <w:sz w:val="12"/>
              </w:rPr>
              <w:t>a</w:t>
            </w:r>
            <w:r>
              <w:rPr>
                <w:color w:val="231F20"/>
                <w:spacing w:val="-13"/>
                <w:sz w:val="12"/>
              </w:rPr>
              <w:t xml:space="preserve"> </w:t>
            </w:r>
            <w:r>
              <w:rPr>
                <w:color w:val="231F20"/>
                <w:sz w:val="12"/>
              </w:rPr>
              <w:t>State</w:t>
            </w:r>
            <w:r>
              <w:rPr>
                <w:color w:val="231F20"/>
                <w:spacing w:val="-14"/>
                <w:sz w:val="12"/>
              </w:rPr>
              <w:t xml:space="preserve"> </w:t>
            </w:r>
            <w:r>
              <w:rPr>
                <w:color w:val="231F20"/>
                <w:sz w:val="12"/>
              </w:rPr>
              <w:t>research</w:t>
            </w:r>
            <w:r>
              <w:rPr>
                <w:color w:val="231F20"/>
                <w:spacing w:val="-13"/>
                <w:sz w:val="12"/>
              </w:rPr>
              <w:t xml:space="preserve"> </w:t>
            </w:r>
            <w:r>
              <w:rPr>
                <w:color w:val="231F20"/>
                <w:sz w:val="12"/>
              </w:rPr>
              <w:t>agenda</w:t>
            </w:r>
            <w:r>
              <w:rPr>
                <w:color w:val="231F20"/>
                <w:spacing w:val="-14"/>
                <w:sz w:val="12"/>
              </w:rPr>
              <w:t xml:space="preserve"> </w:t>
            </w:r>
            <w:r>
              <w:rPr>
                <w:color w:val="231F20"/>
                <w:sz w:val="12"/>
              </w:rPr>
              <w:t>(including</w:t>
            </w:r>
            <w:r>
              <w:rPr>
                <w:color w:val="231F20"/>
                <w:spacing w:val="-13"/>
                <w:sz w:val="12"/>
              </w:rPr>
              <w:t xml:space="preserve"> </w:t>
            </w:r>
            <w:r>
              <w:rPr>
                <w:color w:val="231F20"/>
                <w:sz w:val="12"/>
              </w:rPr>
              <w:t>criteria</w:t>
            </w:r>
            <w:r>
              <w:rPr>
                <w:color w:val="231F20"/>
                <w:spacing w:val="-14"/>
                <w:sz w:val="12"/>
              </w:rPr>
              <w:t xml:space="preserve"> </w:t>
            </w:r>
            <w:r>
              <w:rPr>
                <w:color w:val="231F20"/>
                <w:sz w:val="12"/>
              </w:rPr>
              <w:t>for</w:t>
            </w:r>
            <w:r>
              <w:rPr>
                <w:color w:val="231F20"/>
                <w:spacing w:val="-13"/>
                <w:sz w:val="12"/>
              </w:rPr>
              <w:t xml:space="preserve"> </w:t>
            </w:r>
            <w:r>
              <w:rPr>
                <w:color w:val="231F20"/>
                <w:sz w:val="12"/>
              </w:rPr>
              <w:t>identifying</w:t>
            </w:r>
            <w:r>
              <w:rPr>
                <w:color w:val="231F20"/>
                <w:spacing w:val="-14"/>
                <w:sz w:val="12"/>
              </w:rPr>
              <w:t xml:space="preserve"> </w:t>
            </w:r>
            <w:r>
              <w:rPr>
                <w:color w:val="231F20"/>
                <w:sz w:val="12"/>
              </w:rPr>
              <w:t>health</w:t>
            </w:r>
            <w:r>
              <w:rPr>
                <w:color w:val="231F20"/>
                <w:spacing w:val="-13"/>
                <w:sz w:val="12"/>
              </w:rPr>
              <w:t xml:space="preserve"> </w:t>
            </w:r>
            <w:r>
              <w:rPr>
                <w:color w:val="231F20"/>
                <w:sz w:val="12"/>
              </w:rPr>
              <w:t>research</w:t>
            </w:r>
            <w:r>
              <w:rPr>
                <w:color w:val="231F20"/>
                <w:spacing w:val="-14"/>
                <w:sz w:val="12"/>
              </w:rPr>
              <w:t xml:space="preserve"> </w:t>
            </w:r>
            <w:r>
              <w:rPr>
                <w:color w:val="231F20"/>
                <w:sz w:val="12"/>
              </w:rPr>
              <w:t>priorities, conduct and dissemination of research</w:t>
            </w:r>
            <w:r>
              <w:rPr>
                <w:color w:val="231F20"/>
                <w:spacing w:val="-10"/>
                <w:sz w:val="12"/>
              </w:rPr>
              <w:t xml:space="preserve"> </w:t>
            </w:r>
            <w:r>
              <w:rPr>
                <w:color w:val="231F20"/>
                <w:sz w:val="12"/>
              </w:rPr>
              <w:t>findings)</w:t>
            </w:r>
          </w:p>
        </w:tc>
        <w:tc>
          <w:tcPr>
            <w:tcW w:w="1399" w:type="dxa"/>
            <w:tcBorders>
              <w:top w:val="single" w:sz="6" w:space="0" w:color="231F20"/>
              <w:left w:val="single" w:sz="6" w:space="0" w:color="231F20"/>
              <w:bottom w:val="single" w:sz="6" w:space="0" w:color="231F20"/>
              <w:right w:val="single" w:sz="6" w:space="0" w:color="231F20"/>
            </w:tcBorders>
          </w:tcPr>
          <w:p w14:paraId="25105A8F" w14:textId="77777777" w:rsidR="009948F1" w:rsidRDefault="009948F1">
            <w:pPr>
              <w:pStyle w:val="TableParagraph"/>
              <w:spacing w:before="9"/>
              <w:rPr>
                <w:sz w:val="13"/>
              </w:rPr>
            </w:pPr>
          </w:p>
          <w:p w14:paraId="7F6EEBA0"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5D52447F" w14:textId="77777777" w:rsidR="009948F1" w:rsidRDefault="009948F1">
            <w:pPr>
              <w:pStyle w:val="TableParagraph"/>
              <w:spacing w:before="9"/>
              <w:rPr>
                <w:sz w:val="13"/>
              </w:rPr>
            </w:pPr>
          </w:p>
          <w:p w14:paraId="381AA137" w14:textId="77777777" w:rsidR="009948F1" w:rsidRDefault="00BC0563">
            <w:pPr>
              <w:pStyle w:val="TableParagraph"/>
              <w:ind w:left="23"/>
              <w:rPr>
                <w:sz w:val="12"/>
              </w:rPr>
            </w:pPr>
            <w:r>
              <w:rPr>
                <w:color w:val="231F20"/>
                <w:sz w:val="12"/>
              </w:rPr>
              <w:t>Costed in 13.1.1b</w:t>
            </w:r>
          </w:p>
        </w:tc>
      </w:tr>
      <w:tr w:rsidR="009948F1" w14:paraId="0DC39E88" w14:textId="77777777">
        <w:trPr>
          <w:trHeight w:val="275"/>
        </w:trPr>
        <w:tc>
          <w:tcPr>
            <w:tcW w:w="1020" w:type="dxa"/>
            <w:gridSpan w:val="3"/>
            <w:vMerge/>
            <w:tcBorders>
              <w:top w:val="nil"/>
              <w:left w:val="single" w:sz="6" w:space="0" w:color="231F20"/>
              <w:bottom w:val="nil"/>
              <w:right w:val="single" w:sz="6" w:space="0" w:color="231F20"/>
            </w:tcBorders>
          </w:tcPr>
          <w:p w14:paraId="6835EBC3"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77A277F8" w14:textId="77777777" w:rsidR="009948F1" w:rsidRDefault="00BC0563">
            <w:pPr>
              <w:pStyle w:val="TableParagraph"/>
              <w:spacing w:before="69"/>
              <w:ind w:left="47"/>
              <w:rPr>
                <w:sz w:val="12"/>
              </w:rPr>
            </w:pPr>
            <w:r>
              <w:rPr>
                <w:color w:val="231F20"/>
                <w:sz w:val="12"/>
              </w:rPr>
              <w:t>13.1.2.b</w:t>
            </w:r>
          </w:p>
        </w:tc>
        <w:tc>
          <w:tcPr>
            <w:tcW w:w="4801" w:type="dxa"/>
            <w:gridSpan w:val="2"/>
            <w:tcBorders>
              <w:top w:val="single" w:sz="6" w:space="0" w:color="231F20"/>
              <w:left w:val="single" w:sz="6" w:space="0" w:color="231F20"/>
              <w:bottom w:val="single" w:sz="6" w:space="0" w:color="231F20"/>
              <w:right w:val="single" w:sz="6" w:space="0" w:color="231F20"/>
            </w:tcBorders>
          </w:tcPr>
          <w:p w14:paraId="2EE16705" w14:textId="77777777" w:rsidR="009948F1" w:rsidRDefault="00BC0563">
            <w:pPr>
              <w:pStyle w:val="TableParagraph"/>
              <w:spacing w:before="64"/>
              <w:ind w:left="21"/>
              <w:rPr>
                <w:sz w:val="12"/>
              </w:rPr>
            </w:pPr>
            <w:r>
              <w:rPr>
                <w:color w:val="231F20"/>
                <w:sz w:val="12"/>
              </w:rPr>
              <w:t>Establish a platform for collaborative research</w:t>
            </w:r>
          </w:p>
        </w:tc>
        <w:tc>
          <w:tcPr>
            <w:tcW w:w="1399" w:type="dxa"/>
            <w:tcBorders>
              <w:top w:val="single" w:sz="6" w:space="0" w:color="231F20"/>
              <w:left w:val="single" w:sz="6" w:space="0" w:color="231F20"/>
              <w:bottom w:val="single" w:sz="6" w:space="0" w:color="231F20"/>
              <w:right w:val="single" w:sz="6" w:space="0" w:color="231F20"/>
            </w:tcBorders>
          </w:tcPr>
          <w:p w14:paraId="183A0376" w14:textId="77777777" w:rsidR="009948F1" w:rsidRDefault="00BC0563">
            <w:pPr>
              <w:pStyle w:val="TableParagraph"/>
              <w:spacing w:before="69"/>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04A374C7" w14:textId="77777777" w:rsidR="009948F1" w:rsidRDefault="00BC0563">
            <w:pPr>
              <w:pStyle w:val="TableParagraph"/>
              <w:spacing w:before="69"/>
              <w:ind w:left="23"/>
              <w:rPr>
                <w:sz w:val="12"/>
              </w:rPr>
            </w:pPr>
            <w:r>
              <w:rPr>
                <w:color w:val="231F20"/>
                <w:sz w:val="12"/>
              </w:rPr>
              <w:t>Costed in 13.1.1b</w:t>
            </w:r>
          </w:p>
        </w:tc>
      </w:tr>
      <w:tr w:rsidR="009948F1" w14:paraId="574A3381" w14:textId="77777777">
        <w:trPr>
          <w:trHeight w:val="289"/>
        </w:trPr>
        <w:tc>
          <w:tcPr>
            <w:tcW w:w="1020" w:type="dxa"/>
            <w:gridSpan w:val="3"/>
            <w:vMerge/>
            <w:tcBorders>
              <w:top w:val="nil"/>
              <w:left w:val="single" w:sz="6" w:space="0" w:color="231F20"/>
              <w:bottom w:val="nil"/>
              <w:right w:val="single" w:sz="6" w:space="0" w:color="231F20"/>
            </w:tcBorders>
          </w:tcPr>
          <w:p w14:paraId="24A58FA4"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7E843DF2" w14:textId="77777777" w:rsidR="009948F1" w:rsidRDefault="00BC0563">
            <w:pPr>
              <w:pStyle w:val="TableParagraph"/>
              <w:spacing w:before="76"/>
              <w:ind w:left="51"/>
              <w:rPr>
                <w:sz w:val="12"/>
              </w:rPr>
            </w:pPr>
            <w:r>
              <w:rPr>
                <w:color w:val="231F20"/>
                <w:sz w:val="12"/>
              </w:rPr>
              <w:t>13.1.2.c</w:t>
            </w:r>
          </w:p>
        </w:tc>
        <w:tc>
          <w:tcPr>
            <w:tcW w:w="4801" w:type="dxa"/>
            <w:gridSpan w:val="2"/>
            <w:tcBorders>
              <w:top w:val="single" w:sz="6" w:space="0" w:color="231F20"/>
              <w:left w:val="single" w:sz="6" w:space="0" w:color="231F20"/>
              <w:bottom w:val="single" w:sz="6" w:space="0" w:color="231F20"/>
              <w:right w:val="single" w:sz="6" w:space="0" w:color="231F20"/>
            </w:tcBorders>
          </w:tcPr>
          <w:p w14:paraId="32497609" w14:textId="77777777" w:rsidR="009948F1" w:rsidRDefault="00BC0563">
            <w:pPr>
              <w:pStyle w:val="TableParagraph"/>
              <w:spacing w:line="137" w:lineRule="exact"/>
              <w:ind w:left="21"/>
              <w:rPr>
                <w:sz w:val="12"/>
              </w:rPr>
            </w:pPr>
            <w:r>
              <w:rPr>
                <w:color w:val="231F20"/>
                <w:sz w:val="12"/>
              </w:rPr>
              <w:t>Train researchers to strengthen their competencies on both quantitative and qualitative</w:t>
            </w:r>
          </w:p>
          <w:p w14:paraId="4741FA55" w14:textId="77777777" w:rsidR="009948F1" w:rsidRDefault="00BC0563">
            <w:pPr>
              <w:pStyle w:val="TableParagraph"/>
              <w:spacing w:before="11" w:line="122" w:lineRule="exact"/>
              <w:ind w:left="21"/>
              <w:rPr>
                <w:sz w:val="12"/>
              </w:rPr>
            </w:pPr>
            <w:r>
              <w:rPr>
                <w:color w:val="231F20"/>
                <w:sz w:val="12"/>
              </w:rPr>
              <w:t>research</w:t>
            </w:r>
          </w:p>
        </w:tc>
        <w:tc>
          <w:tcPr>
            <w:tcW w:w="1399" w:type="dxa"/>
            <w:tcBorders>
              <w:top w:val="single" w:sz="6" w:space="0" w:color="231F20"/>
              <w:left w:val="single" w:sz="6" w:space="0" w:color="231F20"/>
              <w:bottom w:val="single" w:sz="6" w:space="0" w:color="231F20"/>
              <w:right w:val="single" w:sz="6" w:space="0" w:color="231F20"/>
            </w:tcBorders>
          </w:tcPr>
          <w:p w14:paraId="492D5829" w14:textId="77777777" w:rsidR="009948F1" w:rsidRDefault="00BC0563">
            <w:pPr>
              <w:pStyle w:val="TableParagraph"/>
              <w:spacing w:before="76"/>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6B9BE918" w14:textId="77777777" w:rsidR="009948F1" w:rsidRDefault="00BC0563">
            <w:pPr>
              <w:pStyle w:val="TableParagraph"/>
              <w:spacing w:before="76"/>
              <w:ind w:left="23"/>
              <w:rPr>
                <w:sz w:val="12"/>
              </w:rPr>
            </w:pPr>
            <w:r>
              <w:rPr>
                <w:color w:val="231F20"/>
                <w:sz w:val="12"/>
              </w:rPr>
              <w:t>Costed in OHT</w:t>
            </w:r>
          </w:p>
        </w:tc>
      </w:tr>
      <w:tr w:rsidR="009948F1" w14:paraId="354CEBCD" w14:textId="77777777">
        <w:trPr>
          <w:trHeight w:val="462"/>
        </w:trPr>
        <w:tc>
          <w:tcPr>
            <w:tcW w:w="1020" w:type="dxa"/>
            <w:gridSpan w:val="3"/>
            <w:vMerge/>
            <w:tcBorders>
              <w:top w:val="nil"/>
              <w:left w:val="single" w:sz="6" w:space="0" w:color="231F20"/>
              <w:bottom w:val="nil"/>
              <w:right w:val="single" w:sz="6" w:space="0" w:color="231F20"/>
            </w:tcBorders>
          </w:tcPr>
          <w:p w14:paraId="54A6CA62"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1DAEE85F" w14:textId="77777777" w:rsidR="009948F1" w:rsidRDefault="009948F1">
            <w:pPr>
              <w:pStyle w:val="TableParagraph"/>
              <w:spacing w:before="1"/>
              <w:rPr>
                <w:sz w:val="14"/>
              </w:rPr>
            </w:pPr>
          </w:p>
          <w:p w14:paraId="5A154506" w14:textId="77777777" w:rsidR="009948F1" w:rsidRDefault="00BC0563">
            <w:pPr>
              <w:pStyle w:val="TableParagraph"/>
              <w:ind w:left="47"/>
              <w:rPr>
                <w:sz w:val="12"/>
              </w:rPr>
            </w:pPr>
            <w:r>
              <w:rPr>
                <w:color w:val="231F20"/>
                <w:sz w:val="12"/>
              </w:rPr>
              <w:t>13.1.2.d</w:t>
            </w:r>
          </w:p>
        </w:tc>
        <w:tc>
          <w:tcPr>
            <w:tcW w:w="4801" w:type="dxa"/>
            <w:gridSpan w:val="2"/>
            <w:tcBorders>
              <w:top w:val="single" w:sz="6" w:space="0" w:color="231F20"/>
              <w:left w:val="single" w:sz="6" w:space="0" w:color="231F20"/>
              <w:bottom w:val="single" w:sz="6" w:space="0" w:color="231F20"/>
              <w:right w:val="single" w:sz="6" w:space="0" w:color="231F20"/>
            </w:tcBorders>
          </w:tcPr>
          <w:p w14:paraId="7D05E013" w14:textId="77777777" w:rsidR="009948F1" w:rsidRDefault="009948F1">
            <w:pPr>
              <w:pStyle w:val="TableParagraph"/>
              <w:spacing w:before="8"/>
              <w:rPr>
                <w:sz w:val="13"/>
              </w:rPr>
            </w:pPr>
          </w:p>
          <w:p w14:paraId="6572447E" w14:textId="77777777" w:rsidR="009948F1" w:rsidRDefault="00BC0563">
            <w:pPr>
              <w:pStyle w:val="TableParagraph"/>
              <w:ind w:left="21"/>
              <w:rPr>
                <w:sz w:val="12"/>
              </w:rPr>
            </w:pPr>
            <w:r>
              <w:rPr>
                <w:color w:val="231F20"/>
                <w:sz w:val="12"/>
              </w:rPr>
              <w:t>Promote PPP in Research and Development (R&amp;D)</w:t>
            </w:r>
          </w:p>
        </w:tc>
        <w:tc>
          <w:tcPr>
            <w:tcW w:w="1399" w:type="dxa"/>
            <w:tcBorders>
              <w:top w:val="single" w:sz="6" w:space="0" w:color="231F20"/>
              <w:left w:val="single" w:sz="6" w:space="0" w:color="231F20"/>
              <w:bottom w:val="single" w:sz="6" w:space="0" w:color="231F20"/>
              <w:right w:val="single" w:sz="6" w:space="0" w:color="231F20"/>
            </w:tcBorders>
          </w:tcPr>
          <w:p w14:paraId="6BBA7EE5" w14:textId="77777777" w:rsidR="009948F1" w:rsidRDefault="009948F1">
            <w:pPr>
              <w:pStyle w:val="TableParagraph"/>
              <w:spacing w:before="1"/>
              <w:rPr>
                <w:sz w:val="14"/>
              </w:rPr>
            </w:pPr>
          </w:p>
          <w:p w14:paraId="6CA31152"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46DC79FD" w14:textId="77777777" w:rsidR="009948F1" w:rsidRDefault="009948F1">
            <w:pPr>
              <w:pStyle w:val="TableParagraph"/>
              <w:spacing w:before="1"/>
              <w:rPr>
                <w:sz w:val="14"/>
              </w:rPr>
            </w:pPr>
          </w:p>
          <w:p w14:paraId="1340BADA" w14:textId="77777777" w:rsidR="009948F1" w:rsidRDefault="00BC0563">
            <w:pPr>
              <w:pStyle w:val="TableParagraph"/>
              <w:ind w:left="23"/>
              <w:rPr>
                <w:sz w:val="12"/>
              </w:rPr>
            </w:pPr>
            <w:r>
              <w:rPr>
                <w:color w:val="231F20"/>
                <w:sz w:val="12"/>
              </w:rPr>
              <w:t>No cost</w:t>
            </w:r>
          </w:p>
        </w:tc>
      </w:tr>
      <w:tr w:rsidR="009948F1" w14:paraId="70775DF5" w14:textId="77777777">
        <w:trPr>
          <w:trHeight w:val="462"/>
        </w:trPr>
        <w:tc>
          <w:tcPr>
            <w:tcW w:w="1020" w:type="dxa"/>
            <w:gridSpan w:val="3"/>
            <w:vMerge/>
            <w:tcBorders>
              <w:top w:val="nil"/>
              <w:left w:val="single" w:sz="6" w:space="0" w:color="231F20"/>
              <w:bottom w:val="nil"/>
              <w:right w:val="single" w:sz="6" w:space="0" w:color="231F20"/>
            </w:tcBorders>
          </w:tcPr>
          <w:p w14:paraId="62FEF090"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695F9D07" w14:textId="77777777" w:rsidR="009948F1" w:rsidRDefault="009948F1">
            <w:pPr>
              <w:pStyle w:val="TableParagraph"/>
              <w:spacing w:before="1"/>
              <w:rPr>
                <w:sz w:val="14"/>
              </w:rPr>
            </w:pPr>
          </w:p>
          <w:p w14:paraId="1417F1C8" w14:textId="77777777" w:rsidR="009948F1" w:rsidRDefault="00BC0563">
            <w:pPr>
              <w:pStyle w:val="TableParagraph"/>
              <w:ind w:left="47"/>
              <w:rPr>
                <w:sz w:val="12"/>
              </w:rPr>
            </w:pPr>
            <w:r>
              <w:rPr>
                <w:color w:val="231F20"/>
                <w:sz w:val="12"/>
              </w:rPr>
              <w:t>13.1.2.e</w:t>
            </w:r>
          </w:p>
        </w:tc>
        <w:tc>
          <w:tcPr>
            <w:tcW w:w="4801" w:type="dxa"/>
            <w:gridSpan w:val="2"/>
            <w:tcBorders>
              <w:top w:val="single" w:sz="6" w:space="0" w:color="231F20"/>
              <w:left w:val="single" w:sz="6" w:space="0" w:color="231F20"/>
              <w:bottom w:val="single" w:sz="6" w:space="0" w:color="231F20"/>
              <w:right w:val="single" w:sz="6" w:space="0" w:color="231F20"/>
            </w:tcBorders>
          </w:tcPr>
          <w:p w14:paraId="75A35022" w14:textId="77777777" w:rsidR="009948F1" w:rsidRDefault="00BC0563">
            <w:pPr>
              <w:pStyle w:val="TableParagraph"/>
              <w:spacing w:before="82" w:line="259" w:lineRule="auto"/>
              <w:ind w:left="21" w:right="189"/>
              <w:rPr>
                <w:sz w:val="12"/>
              </w:rPr>
            </w:pPr>
            <w:r>
              <w:rPr>
                <w:color w:val="231F20"/>
                <w:sz w:val="12"/>
              </w:rPr>
              <w:t>Carry</w:t>
            </w:r>
            <w:r>
              <w:rPr>
                <w:color w:val="231F20"/>
                <w:spacing w:val="-11"/>
                <w:sz w:val="12"/>
              </w:rPr>
              <w:t xml:space="preserve"> </w:t>
            </w:r>
            <w:r>
              <w:rPr>
                <w:color w:val="231F20"/>
                <w:sz w:val="12"/>
              </w:rPr>
              <w:t>out</w:t>
            </w:r>
            <w:r>
              <w:rPr>
                <w:color w:val="231F20"/>
                <w:spacing w:val="-10"/>
                <w:sz w:val="12"/>
              </w:rPr>
              <w:t xml:space="preserve"> </w:t>
            </w:r>
            <w:r>
              <w:rPr>
                <w:color w:val="231F20"/>
                <w:sz w:val="12"/>
              </w:rPr>
              <w:t>actual</w:t>
            </w:r>
            <w:r>
              <w:rPr>
                <w:color w:val="231F20"/>
                <w:spacing w:val="-11"/>
                <w:sz w:val="12"/>
              </w:rPr>
              <w:t xml:space="preserve"> </w:t>
            </w:r>
            <w:r>
              <w:rPr>
                <w:color w:val="231F20"/>
                <w:sz w:val="12"/>
              </w:rPr>
              <w:t>studies</w:t>
            </w:r>
            <w:r>
              <w:rPr>
                <w:color w:val="231F20"/>
                <w:spacing w:val="-10"/>
                <w:sz w:val="12"/>
              </w:rPr>
              <w:t xml:space="preserve"> </w:t>
            </w:r>
            <w:r>
              <w:rPr>
                <w:color w:val="231F20"/>
                <w:sz w:val="12"/>
              </w:rPr>
              <w:t>to</w:t>
            </w:r>
            <w:r>
              <w:rPr>
                <w:color w:val="231F20"/>
                <w:spacing w:val="-11"/>
                <w:sz w:val="12"/>
              </w:rPr>
              <w:t xml:space="preserve"> </w:t>
            </w:r>
            <w:r>
              <w:rPr>
                <w:color w:val="231F20"/>
                <w:sz w:val="12"/>
              </w:rPr>
              <w:t>determine</w:t>
            </w:r>
            <w:r>
              <w:rPr>
                <w:color w:val="231F20"/>
                <w:spacing w:val="-10"/>
                <w:sz w:val="12"/>
              </w:rPr>
              <w:t xml:space="preserve"> </w:t>
            </w:r>
            <w:r>
              <w:rPr>
                <w:color w:val="231F20"/>
                <w:sz w:val="12"/>
              </w:rPr>
              <w:t>costs</w:t>
            </w:r>
            <w:r>
              <w:rPr>
                <w:color w:val="231F20"/>
                <w:spacing w:val="-11"/>
                <w:sz w:val="12"/>
              </w:rPr>
              <w:t xml:space="preserve"> </w:t>
            </w:r>
            <w:r>
              <w:rPr>
                <w:color w:val="231F20"/>
                <w:sz w:val="12"/>
              </w:rPr>
              <w:t>premium</w:t>
            </w:r>
            <w:r>
              <w:rPr>
                <w:color w:val="231F20"/>
                <w:spacing w:val="-10"/>
                <w:sz w:val="12"/>
              </w:rPr>
              <w:t xml:space="preserve"> </w:t>
            </w:r>
            <w:r>
              <w:rPr>
                <w:color w:val="231F20"/>
                <w:sz w:val="12"/>
              </w:rPr>
              <w:t>&amp;</w:t>
            </w:r>
            <w:r>
              <w:rPr>
                <w:color w:val="231F20"/>
                <w:spacing w:val="-11"/>
                <w:sz w:val="12"/>
              </w:rPr>
              <w:t xml:space="preserve"> </w:t>
            </w:r>
            <w:r>
              <w:rPr>
                <w:color w:val="231F20"/>
                <w:sz w:val="12"/>
              </w:rPr>
              <w:t>capitation</w:t>
            </w:r>
            <w:r>
              <w:rPr>
                <w:color w:val="231F20"/>
                <w:spacing w:val="-10"/>
                <w:sz w:val="12"/>
              </w:rPr>
              <w:t xml:space="preserve"> </w:t>
            </w:r>
            <w:r>
              <w:rPr>
                <w:color w:val="231F20"/>
                <w:sz w:val="12"/>
              </w:rPr>
              <w:t>/</w:t>
            </w:r>
            <w:r>
              <w:rPr>
                <w:color w:val="231F20"/>
                <w:spacing w:val="-11"/>
                <w:sz w:val="12"/>
              </w:rPr>
              <w:t xml:space="preserve"> </w:t>
            </w:r>
            <w:r>
              <w:rPr>
                <w:color w:val="231F20"/>
                <w:sz w:val="12"/>
              </w:rPr>
              <w:t>willingness</w:t>
            </w:r>
            <w:r>
              <w:rPr>
                <w:color w:val="231F20"/>
                <w:spacing w:val="-10"/>
                <w:sz w:val="12"/>
              </w:rPr>
              <w:t xml:space="preserve"> </w:t>
            </w:r>
            <w:r>
              <w:rPr>
                <w:color w:val="231F20"/>
                <w:sz w:val="12"/>
              </w:rPr>
              <w:t>&amp;</w:t>
            </w:r>
            <w:r>
              <w:rPr>
                <w:color w:val="231F20"/>
                <w:spacing w:val="-11"/>
                <w:sz w:val="12"/>
              </w:rPr>
              <w:t xml:space="preserve"> </w:t>
            </w:r>
            <w:r>
              <w:rPr>
                <w:color w:val="231F20"/>
                <w:sz w:val="12"/>
              </w:rPr>
              <w:t>ability</w:t>
            </w:r>
            <w:r>
              <w:rPr>
                <w:color w:val="231F20"/>
                <w:spacing w:val="-10"/>
                <w:sz w:val="12"/>
              </w:rPr>
              <w:t xml:space="preserve"> </w:t>
            </w:r>
            <w:r>
              <w:rPr>
                <w:color w:val="231F20"/>
                <w:sz w:val="12"/>
              </w:rPr>
              <w:t>to pay</w:t>
            </w:r>
          </w:p>
        </w:tc>
        <w:tc>
          <w:tcPr>
            <w:tcW w:w="1399" w:type="dxa"/>
            <w:tcBorders>
              <w:top w:val="single" w:sz="6" w:space="0" w:color="231F20"/>
              <w:left w:val="single" w:sz="6" w:space="0" w:color="231F20"/>
              <w:bottom w:val="single" w:sz="6" w:space="0" w:color="231F20"/>
              <w:right w:val="single" w:sz="6" w:space="0" w:color="231F20"/>
            </w:tcBorders>
          </w:tcPr>
          <w:p w14:paraId="15461753" w14:textId="77777777" w:rsidR="009948F1" w:rsidRDefault="009948F1">
            <w:pPr>
              <w:pStyle w:val="TableParagraph"/>
              <w:spacing w:before="1"/>
              <w:rPr>
                <w:sz w:val="14"/>
              </w:rPr>
            </w:pPr>
          </w:p>
          <w:p w14:paraId="3CF97F14"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4A8CF762" w14:textId="77777777" w:rsidR="009948F1" w:rsidRDefault="009948F1">
            <w:pPr>
              <w:pStyle w:val="TableParagraph"/>
              <w:spacing w:before="1"/>
              <w:rPr>
                <w:sz w:val="14"/>
              </w:rPr>
            </w:pPr>
          </w:p>
          <w:p w14:paraId="1CFB51A1" w14:textId="77777777" w:rsidR="009948F1" w:rsidRDefault="00BC0563">
            <w:pPr>
              <w:pStyle w:val="TableParagraph"/>
              <w:ind w:left="23"/>
              <w:rPr>
                <w:sz w:val="12"/>
              </w:rPr>
            </w:pPr>
            <w:r>
              <w:rPr>
                <w:color w:val="231F20"/>
                <w:sz w:val="12"/>
              </w:rPr>
              <w:t>Carry out studies</w:t>
            </w:r>
          </w:p>
        </w:tc>
      </w:tr>
      <w:tr w:rsidR="009948F1" w14:paraId="076128B0" w14:textId="77777777">
        <w:trPr>
          <w:trHeight w:val="1276"/>
        </w:trPr>
        <w:tc>
          <w:tcPr>
            <w:tcW w:w="574" w:type="dxa"/>
            <w:gridSpan w:val="2"/>
            <w:tcBorders>
              <w:top w:val="nil"/>
              <w:left w:val="single" w:sz="6" w:space="0" w:color="231F20"/>
              <w:bottom w:val="nil"/>
              <w:right w:val="single" w:sz="6" w:space="0" w:color="231F20"/>
            </w:tcBorders>
          </w:tcPr>
          <w:p w14:paraId="2E5C835B" w14:textId="77777777" w:rsidR="009948F1" w:rsidRDefault="009948F1">
            <w:pPr>
              <w:pStyle w:val="TableParagraph"/>
              <w:rPr>
                <w:rFonts w:ascii="Times New Roman"/>
                <w:sz w:val="10"/>
              </w:rPr>
            </w:pPr>
          </w:p>
        </w:tc>
        <w:tc>
          <w:tcPr>
            <w:tcW w:w="446" w:type="dxa"/>
            <w:tcBorders>
              <w:top w:val="single" w:sz="6" w:space="0" w:color="231F20"/>
              <w:left w:val="single" w:sz="6" w:space="0" w:color="231F20"/>
              <w:bottom w:val="single" w:sz="6" w:space="0" w:color="231F20"/>
              <w:right w:val="single" w:sz="6" w:space="0" w:color="231F20"/>
            </w:tcBorders>
            <w:shd w:val="clear" w:color="auto" w:fill="CCE7D3"/>
          </w:tcPr>
          <w:p w14:paraId="2E27FD92" w14:textId="77777777" w:rsidR="009948F1" w:rsidRDefault="009948F1">
            <w:pPr>
              <w:pStyle w:val="TableParagraph"/>
              <w:rPr>
                <w:sz w:val="12"/>
              </w:rPr>
            </w:pPr>
          </w:p>
          <w:p w14:paraId="4F3796C4" w14:textId="77777777" w:rsidR="009948F1" w:rsidRDefault="009948F1">
            <w:pPr>
              <w:pStyle w:val="TableParagraph"/>
              <w:rPr>
                <w:sz w:val="12"/>
              </w:rPr>
            </w:pPr>
          </w:p>
          <w:p w14:paraId="229FB70B" w14:textId="77777777" w:rsidR="009948F1" w:rsidRDefault="009948F1">
            <w:pPr>
              <w:pStyle w:val="TableParagraph"/>
              <w:rPr>
                <w:sz w:val="12"/>
              </w:rPr>
            </w:pPr>
          </w:p>
          <w:p w14:paraId="643DF2AB" w14:textId="77777777" w:rsidR="009948F1" w:rsidRDefault="009948F1">
            <w:pPr>
              <w:pStyle w:val="TableParagraph"/>
              <w:spacing w:before="5"/>
              <w:rPr>
                <w:sz w:val="13"/>
              </w:rPr>
            </w:pPr>
          </w:p>
          <w:p w14:paraId="37936383" w14:textId="77777777" w:rsidR="009948F1" w:rsidRDefault="00BC0563">
            <w:pPr>
              <w:pStyle w:val="TableParagraph"/>
              <w:spacing w:before="1"/>
              <w:ind w:left="29" w:right="28"/>
              <w:jc w:val="center"/>
              <w:rPr>
                <w:sz w:val="12"/>
              </w:rPr>
            </w:pPr>
            <w:r>
              <w:rPr>
                <w:color w:val="231F20"/>
                <w:sz w:val="12"/>
              </w:rPr>
              <w:t>13.1.3</w:t>
            </w:r>
          </w:p>
        </w:tc>
        <w:tc>
          <w:tcPr>
            <w:tcW w:w="2979" w:type="dxa"/>
            <w:gridSpan w:val="2"/>
            <w:tcBorders>
              <w:top w:val="single" w:sz="6" w:space="0" w:color="231F20"/>
              <w:left w:val="single" w:sz="6" w:space="0" w:color="231F20"/>
              <w:bottom w:val="single" w:sz="6" w:space="0" w:color="231F20"/>
              <w:right w:val="single" w:sz="6" w:space="0" w:color="231F20"/>
            </w:tcBorders>
            <w:shd w:val="clear" w:color="auto" w:fill="CCE7D3"/>
          </w:tcPr>
          <w:p w14:paraId="2C5D66D1" w14:textId="77777777" w:rsidR="009948F1" w:rsidRDefault="009948F1">
            <w:pPr>
              <w:pStyle w:val="TableParagraph"/>
              <w:rPr>
                <w:sz w:val="12"/>
              </w:rPr>
            </w:pPr>
          </w:p>
          <w:p w14:paraId="163E2BAE" w14:textId="77777777" w:rsidR="009948F1" w:rsidRDefault="009948F1">
            <w:pPr>
              <w:pStyle w:val="TableParagraph"/>
              <w:spacing w:before="7"/>
              <w:rPr>
                <w:sz w:val="17"/>
              </w:rPr>
            </w:pPr>
          </w:p>
          <w:p w14:paraId="6A1E7E30" w14:textId="77777777" w:rsidR="009948F1" w:rsidRDefault="00BC0563">
            <w:pPr>
              <w:pStyle w:val="TableParagraph"/>
              <w:spacing w:line="259" w:lineRule="auto"/>
              <w:ind w:left="21" w:right="25" w:firstLine="32"/>
              <w:rPr>
                <w:sz w:val="12"/>
              </w:rPr>
            </w:pPr>
            <w:r>
              <w:rPr>
                <w:color w:val="231F20"/>
                <w:sz w:val="12"/>
              </w:rPr>
              <w:t xml:space="preserve">Increase resource mobilization and allocation for research activities at all levels in line with agreed </w:t>
            </w:r>
            <w:r>
              <w:rPr>
                <w:color w:val="231F20"/>
                <w:w w:val="95"/>
                <w:sz w:val="12"/>
              </w:rPr>
              <w:t xml:space="preserve">international declarations, especially Algiers Declaration </w:t>
            </w:r>
            <w:r>
              <w:rPr>
                <w:color w:val="231F20"/>
                <w:sz w:val="12"/>
              </w:rPr>
              <w:t>on Health Research</w:t>
            </w:r>
          </w:p>
        </w:tc>
        <w:tc>
          <w:tcPr>
            <w:tcW w:w="2338" w:type="dxa"/>
            <w:tcBorders>
              <w:top w:val="single" w:sz="6" w:space="0" w:color="231F20"/>
              <w:left w:val="single" w:sz="6" w:space="0" w:color="231F20"/>
              <w:bottom w:val="single" w:sz="6" w:space="0" w:color="231F20"/>
              <w:right w:val="single" w:sz="6" w:space="0" w:color="231F20"/>
            </w:tcBorders>
            <w:shd w:val="clear" w:color="auto" w:fill="CCE7D3"/>
          </w:tcPr>
          <w:p w14:paraId="2EDBD852" w14:textId="77777777" w:rsidR="009948F1" w:rsidRDefault="00BC0563">
            <w:pPr>
              <w:pStyle w:val="TableParagraph"/>
              <w:numPr>
                <w:ilvl w:val="0"/>
                <w:numId w:val="31"/>
              </w:numPr>
              <w:tabs>
                <w:tab w:val="left" w:pos="89"/>
              </w:tabs>
              <w:spacing w:before="6" w:line="223" w:lineRule="auto"/>
              <w:ind w:right="65" w:firstLine="0"/>
              <w:rPr>
                <w:sz w:val="12"/>
              </w:rPr>
            </w:pPr>
            <w:r>
              <w:rPr>
                <w:color w:val="231F20"/>
                <w:sz w:val="12"/>
              </w:rPr>
              <w:t>Advocacy meeting to policy makers to inform</w:t>
            </w:r>
            <w:r>
              <w:rPr>
                <w:color w:val="231F20"/>
                <w:spacing w:val="-9"/>
                <w:sz w:val="12"/>
              </w:rPr>
              <w:t xml:space="preserve"> </w:t>
            </w:r>
            <w:r>
              <w:rPr>
                <w:color w:val="231F20"/>
                <w:sz w:val="12"/>
              </w:rPr>
              <w:t>on</w:t>
            </w:r>
            <w:r>
              <w:rPr>
                <w:color w:val="231F20"/>
                <w:spacing w:val="-9"/>
                <w:sz w:val="12"/>
              </w:rPr>
              <w:t xml:space="preserve"> </w:t>
            </w:r>
            <w:r>
              <w:rPr>
                <w:color w:val="231F20"/>
                <w:sz w:val="12"/>
              </w:rPr>
              <w:t>the</w:t>
            </w:r>
            <w:r>
              <w:rPr>
                <w:color w:val="231F20"/>
                <w:spacing w:val="-15"/>
                <w:sz w:val="12"/>
              </w:rPr>
              <w:t xml:space="preserve"> </w:t>
            </w:r>
            <w:r>
              <w:rPr>
                <w:color w:val="231F20"/>
                <w:sz w:val="12"/>
              </w:rPr>
              <w:t>Algiers</w:t>
            </w:r>
            <w:r>
              <w:rPr>
                <w:color w:val="231F20"/>
                <w:spacing w:val="-9"/>
                <w:sz w:val="12"/>
              </w:rPr>
              <w:t xml:space="preserve"> </w:t>
            </w:r>
            <w:r>
              <w:rPr>
                <w:color w:val="231F20"/>
                <w:sz w:val="12"/>
              </w:rPr>
              <w:t>Declaration</w:t>
            </w:r>
            <w:r>
              <w:rPr>
                <w:color w:val="231F20"/>
                <w:spacing w:val="-8"/>
                <w:sz w:val="12"/>
              </w:rPr>
              <w:t xml:space="preserve"> </w:t>
            </w:r>
            <w:r>
              <w:rPr>
                <w:color w:val="231F20"/>
                <w:sz w:val="12"/>
              </w:rPr>
              <w:t>and</w:t>
            </w:r>
            <w:r>
              <w:rPr>
                <w:color w:val="231F20"/>
                <w:spacing w:val="-9"/>
                <w:sz w:val="12"/>
              </w:rPr>
              <w:t xml:space="preserve"> </w:t>
            </w:r>
            <w:r>
              <w:rPr>
                <w:color w:val="231F20"/>
                <w:spacing w:val="-4"/>
                <w:sz w:val="12"/>
              </w:rPr>
              <w:t xml:space="preserve">solicit </w:t>
            </w:r>
            <w:r>
              <w:rPr>
                <w:color w:val="231F20"/>
                <w:sz w:val="12"/>
              </w:rPr>
              <w:t>their commitment to increase budgetary allocation research</w:t>
            </w:r>
            <w:r>
              <w:rPr>
                <w:color w:val="231F20"/>
                <w:spacing w:val="-5"/>
                <w:sz w:val="12"/>
              </w:rPr>
              <w:t xml:space="preserve"> </w:t>
            </w:r>
            <w:r>
              <w:rPr>
                <w:color w:val="231F20"/>
                <w:sz w:val="12"/>
              </w:rPr>
              <w:t>done</w:t>
            </w:r>
          </w:p>
          <w:p w14:paraId="4306964F" w14:textId="77777777" w:rsidR="009948F1" w:rsidRDefault="00BC0563">
            <w:pPr>
              <w:pStyle w:val="TableParagraph"/>
              <w:numPr>
                <w:ilvl w:val="0"/>
                <w:numId w:val="31"/>
              </w:numPr>
              <w:tabs>
                <w:tab w:val="left" w:pos="96"/>
              </w:tabs>
              <w:spacing w:before="39" w:line="242" w:lineRule="auto"/>
              <w:ind w:right="102" w:firstLine="0"/>
              <w:rPr>
                <w:sz w:val="12"/>
              </w:rPr>
            </w:pPr>
            <w:r>
              <w:rPr>
                <w:color w:val="231F20"/>
                <w:sz w:val="12"/>
              </w:rPr>
              <w:t>Government</w:t>
            </w:r>
            <w:r>
              <w:rPr>
                <w:color w:val="231F20"/>
                <w:spacing w:val="-11"/>
                <w:sz w:val="12"/>
              </w:rPr>
              <w:t xml:space="preserve"> </w:t>
            </w:r>
            <w:r>
              <w:rPr>
                <w:color w:val="231F20"/>
                <w:sz w:val="12"/>
              </w:rPr>
              <w:t>support</w:t>
            </w:r>
            <w:r>
              <w:rPr>
                <w:color w:val="231F20"/>
                <w:spacing w:val="-11"/>
                <w:sz w:val="12"/>
              </w:rPr>
              <w:t xml:space="preserve"> </w:t>
            </w:r>
            <w:r>
              <w:rPr>
                <w:color w:val="231F20"/>
                <w:sz w:val="12"/>
              </w:rPr>
              <w:t>for</w:t>
            </w:r>
            <w:r>
              <w:rPr>
                <w:color w:val="231F20"/>
                <w:spacing w:val="-11"/>
                <w:sz w:val="12"/>
              </w:rPr>
              <w:t xml:space="preserve"> </w:t>
            </w:r>
            <w:r>
              <w:rPr>
                <w:color w:val="231F20"/>
                <w:sz w:val="12"/>
              </w:rPr>
              <w:t>the</w:t>
            </w:r>
            <w:r>
              <w:rPr>
                <w:color w:val="231F20"/>
                <w:spacing w:val="-10"/>
                <w:sz w:val="12"/>
              </w:rPr>
              <w:t xml:space="preserve"> </w:t>
            </w:r>
            <w:r>
              <w:rPr>
                <w:color w:val="231F20"/>
                <w:spacing w:val="-3"/>
                <w:sz w:val="12"/>
              </w:rPr>
              <w:t xml:space="preserve">development </w:t>
            </w:r>
            <w:r>
              <w:rPr>
                <w:color w:val="231F20"/>
                <w:sz w:val="12"/>
              </w:rPr>
              <w:t>of collaborative research proposals and their implementation</w:t>
            </w:r>
            <w:r>
              <w:rPr>
                <w:color w:val="231F20"/>
                <w:spacing w:val="-7"/>
                <w:sz w:val="12"/>
              </w:rPr>
              <w:t xml:space="preserve"> </w:t>
            </w:r>
            <w:r>
              <w:rPr>
                <w:color w:val="231F20"/>
                <w:sz w:val="12"/>
              </w:rPr>
              <w:t>achieved</w:t>
            </w:r>
          </w:p>
          <w:p w14:paraId="6EC12A57" w14:textId="77777777" w:rsidR="009948F1" w:rsidRDefault="00BC0563">
            <w:pPr>
              <w:pStyle w:val="TableParagraph"/>
              <w:numPr>
                <w:ilvl w:val="0"/>
                <w:numId w:val="31"/>
              </w:numPr>
              <w:tabs>
                <w:tab w:val="left" w:pos="96"/>
              </w:tabs>
              <w:spacing w:before="12" w:line="140" w:lineRule="atLeast"/>
              <w:ind w:right="303" w:firstLine="0"/>
              <w:rPr>
                <w:sz w:val="12"/>
              </w:rPr>
            </w:pPr>
            <w:r>
              <w:rPr>
                <w:color w:val="231F20"/>
                <w:sz w:val="12"/>
              </w:rPr>
              <w:t>Capacity</w:t>
            </w:r>
            <w:r>
              <w:rPr>
                <w:color w:val="231F20"/>
                <w:spacing w:val="-13"/>
                <w:sz w:val="12"/>
              </w:rPr>
              <w:t xml:space="preserve"> </w:t>
            </w:r>
            <w:r>
              <w:rPr>
                <w:color w:val="231F20"/>
                <w:sz w:val="12"/>
              </w:rPr>
              <w:t>for</w:t>
            </w:r>
            <w:r>
              <w:rPr>
                <w:color w:val="231F20"/>
                <w:spacing w:val="-13"/>
                <w:sz w:val="12"/>
              </w:rPr>
              <w:t xml:space="preserve"> </w:t>
            </w:r>
            <w:r>
              <w:rPr>
                <w:color w:val="231F20"/>
                <w:sz w:val="12"/>
              </w:rPr>
              <w:t>resource</w:t>
            </w:r>
            <w:r>
              <w:rPr>
                <w:color w:val="231F20"/>
                <w:spacing w:val="-12"/>
                <w:sz w:val="12"/>
              </w:rPr>
              <w:t xml:space="preserve"> </w:t>
            </w:r>
            <w:r>
              <w:rPr>
                <w:color w:val="231F20"/>
                <w:sz w:val="12"/>
              </w:rPr>
              <w:t>mobilization</w:t>
            </w:r>
            <w:r>
              <w:rPr>
                <w:color w:val="231F20"/>
                <w:spacing w:val="-13"/>
                <w:sz w:val="12"/>
              </w:rPr>
              <w:t xml:space="preserve"> </w:t>
            </w:r>
            <w:r>
              <w:rPr>
                <w:color w:val="231F20"/>
                <w:spacing w:val="-6"/>
                <w:sz w:val="12"/>
              </w:rPr>
              <w:t xml:space="preserve">for </w:t>
            </w:r>
            <w:r>
              <w:rPr>
                <w:color w:val="231F20"/>
                <w:sz w:val="12"/>
              </w:rPr>
              <w:t>health research</w:t>
            </w:r>
            <w:r>
              <w:rPr>
                <w:color w:val="231F20"/>
                <w:spacing w:val="-4"/>
                <w:sz w:val="12"/>
              </w:rPr>
              <w:t xml:space="preserve"> </w:t>
            </w:r>
            <w:r>
              <w:rPr>
                <w:color w:val="231F20"/>
                <w:sz w:val="12"/>
              </w:rPr>
              <w:t>built</w:t>
            </w:r>
          </w:p>
        </w:tc>
        <w:tc>
          <w:tcPr>
            <w:tcW w:w="1399" w:type="dxa"/>
            <w:tcBorders>
              <w:top w:val="single" w:sz="6" w:space="0" w:color="231F20"/>
              <w:left w:val="single" w:sz="6" w:space="0" w:color="231F20"/>
              <w:bottom w:val="single" w:sz="6" w:space="0" w:color="231F20"/>
              <w:right w:val="single" w:sz="6" w:space="0" w:color="231F20"/>
            </w:tcBorders>
            <w:shd w:val="clear" w:color="auto" w:fill="CCE7D3"/>
          </w:tcPr>
          <w:p w14:paraId="03823D0D" w14:textId="77777777" w:rsidR="009948F1" w:rsidRDefault="009948F1">
            <w:pPr>
              <w:pStyle w:val="TableParagraph"/>
              <w:rPr>
                <w:rFonts w:ascii="Times New Roman"/>
                <w:sz w:val="10"/>
              </w:rPr>
            </w:pPr>
          </w:p>
        </w:tc>
        <w:tc>
          <w:tcPr>
            <w:tcW w:w="1476" w:type="dxa"/>
            <w:tcBorders>
              <w:top w:val="single" w:sz="6" w:space="0" w:color="231F20"/>
              <w:left w:val="single" w:sz="6" w:space="0" w:color="231F20"/>
              <w:bottom w:val="single" w:sz="6" w:space="0" w:color="231F20"/>
              <w:right w:val="single" w:sz="6" w:space="0" w:color="231F20"/>
            </w:tcBorders>
            <w:shd w:val="clear" w:color="auto" w:fill="CCE7D3"/>
          </w:tcPr>
          <w:p w14:paraId="366CCF80" w14:textId="77777777" w:rsidR="009948F1" w:rsidRDefault="009948F1">
            <w:pPr>
              <w:pStyle w:val="TableParagraph"/>
              <w:rPr>
                <w:rFonts w:ascii="Times New Roman"/>
                <w:sz w:val="10"/>
              </w:rPr>
            </w:pPr>
          </w:p>
        </w:tc>
      </w:tr>
      <w:tr w:rsidR="009948F1" w14:paraId="0E7AB2B1" w14:textId="77777777">
        <w:trPr>
          <w:trHeight w:val="286"/>
        </w:trPr>
        <w:tc>
          <w:tcPr>
            <w:tcW w:w="1020" w:type="dxa"/>
            <w:gridSpan w:val="3"/>
            <w:vMerge w:val="restart"/>
            <w:tcBorders>
              <w:top w:val="nil"/>
              <w:left w:val="single" w:sz="6" w:space="0" w:color="231F20"/>
              <w:bottom w:val="nil"/>
              <w:right w:val="single" w:sz="6" w:space="0" w:color="231F20"/>
            </w:tcBorders>
          </w:tcPr>
          <w:p w14:paraId="35628A7B" w14:textId="77777777" w:rsidR="009948F1" w:rsidRDefault="009948F1">
            <w:pPr>
              <w:pStyle w:val="TableParagraph"/>
              <w:rPr>
                <w:rFonts w:ascii="Times New Roman"/>
                <w:sz w:val="10"/>
              </w:rPr>
            </w:pPr>
          </w:p>
        </w:tc>
        <w:tc>
          <w:tcPr>
            <w:tcW w:w="516" w:type="dxa"/>
            <w:tcBorders>
              <w:top w:val="single" w:sz="6" w:space="0" w:color="231F20"/>
              <w:left w:val="single" w:sz="6" w:space="0" w:color="231F20"/>
              <w:bottom w:val="single" w:sz="6" w:space="0" w:color="231F20"/>
              <w:right w:val="single" w:sz="6" w:space="0" w:color="231F20"/>
            </w:tcBorders>
          </w:tcPr>
          <w:p w14:paraId="20676069" w14:textId="77777777" w:rsidR="009948F1" w:rsidRDefault="00BC0563">
            <w:pPr>
              <w:pStyle w:val="TableParagraph"/>
              <w:spacing w:before="74"/>
              <w:ind w:left="47"/>
              <w:rPr>
                <w:sz w:val="12"/>
              </w:rPr>
            </w:pPr>
            <w:r>
              <w:rPr>
                <w:color w:val="231F20"/>
                <w:sz w:val="12"/>
              </w:rPr>
              <w:t>13.1.3.a</w:t>
            </w:r>
          </w:p>
        </w:tc>
        <w:tc>
          <w:tcPr>
            <w:tcW w:w="4801" w:type="dxa"/>
            <w:gridSpan w:val="2"/>
            <w:tcBorders>
              <w:top w:val="single" w:sz="6" w:space="0" w:color="231F20"/>
              <w:left w:val="single" w:sz="6" w:space="0" w:color="231F20"/>
              <w:bottom w:val="single" w:sz="6" w:space="0" w:color="231F20"/>
              <w:right w:val="single" w:sz="6" w:space="0" w:color="231F20"/>
            </w:tcBorders>
          </w:tcPr>
          <w:p w14:paraId="38EA59D0" w14:textId="77777777" w:rsidR="009948F1" w:rsidRDefault="00BC0563">
            <w:pPr>
              <w:pStyle w:val="TableParagraph"/>
              <w:spacing w:line="137" w:lineRule="exact"/>
              <w:ind w:left="21"/>
              <w:rPr>
                <w:sz w:val="12"/>
              </w:rPr>
            </w:pPr>
            <w:r>
              <w:rPr>
                <w:color w:val="231F20"/>
                <w:sz w:val="12"/>
              </w:rPr>
              <w:t>Conduct</w:t>
            </w:r>
            <w:r>
              <w:rPr>
                <w:color w:val="231F20"/>
                <w:spacing w:val="-10"/>
                <w:sz w:val="12"/>
              </w:rPr>
              <w:t xml:space="preserve"> </w:t>
            </w:r>
            <w:r>
              <w:rPr>
                <w:color w:val="231F20"/>
                <w:sz w:val="12"/>
              </w:rPr>
              <w:t>advocacy</w:t>
            </w:r>
            <w:r>
              <w:rPr>
                <w:color w:val="231F20"/>
                <w:spacing w:val="-10"/>
                <w:sz w:val="12"/>
              </w:rPr>
              <w:t xml:space="preserve"> </w:t>
            </w:r>
            <w:r>
              <w:rPr>
                <w:color w:val="231F20"/>
                <w:sz w:val="12"/>
              </w:rPr>
              <w:t>meeting</w:t>
            </w:r>
            <w:r>
              <w:rPr>
                <w:color w:val="231F20"/>
                <w:spacing w:val="-10"/>
                <w:sz w:val="12"/>
              </w:rPr>
              <w:t xml:space="preserve"> </w:t>
            </w:r>
            <w:r>
              <w:rPr>
                <w:color w:val="231F20"/>
                <w:sz w:val="12"/>
              </w:rPr>
              <w:t>to</w:t>
            </w:r>
            <w:r>
              <w:rPr>
                <w:color w:val="231F20"/>
                <w:spacing w:val="-10"/>
                <w:sz w:val="12"/>
              </w:rPr>
              <w:t xml:space="preserve"> </w:t>
            </w:r>
            <w:r>
              <w:rPr>
                <w:color w:val="231F20"/>
                <w:sz w:val="12"/>
              </w:rPr>
              <w:t>policy</w:t>
            </w:r>
            <w:r>
              <w:rPr>
                <w:color w:val="231F20"/>
                <w:spacing w:val="-9"/>
                <w:sz w:val="12"/>
              </w:rPr>
              <w:t xml:space="preserve"> </w:t>
            </w:r>
            <w:r>
              <w:rPr>
                <w:color w:val="231F20"/>
                <w:sz w:val="12"/>
              </w:rPr>
              <w:t>makers</w:t>
            </w:r>
            <w:r>
              <w:rPr>
                <w:color w:val="231F20"/>
                <w:spacing w:val="-10"/>
                <w:sz w:val="12"/>
              </w:rPr>
              <w:t xml:space="preserve"> </w:t>
            </w:r>
            <w:r>
              <w:rPr>
                <w:color w:val="231F20"/>
                <w:sz w:val="12"/>
              </w:rPr>
              <w:t>to</w:t>
            </w:r>
            <w:r>
              <w:rPr>
                <w:color w:val="231F20"/>
                <w:spacing w:val="-10"/>
                <w:sz w:val="12"/>
              </w:rPr>
              <w:t xml:space="preserve"> </w:t>
            </w:r>
            <w:r>
              <w:rPr>
                <w:color w:val="231F20"/>
                <w:sz w:val="12"/>
              </w:rPr>
              <w:t>inform</w:t>
            </w:r>
            <w:r>
              <w:rPr>
                <w:color w:val="231F20"/>
                <w:spacing w:val="-10"/>
                <w:sz w:val="12"/>
              </w:rPr>
              <w:t xml:space="preserve"> </w:t>
            </w:r>
            <w:r>
              <w:rPr>
                <w:color w:val="231F20"/>
                <w:sz w:val="12"/>
              </w:rPr>
              <w:t>on</w:t>
            </w:r>
            <w:r>
              <w:rPr>
                <w:color w:val="231F20"/>
                <w:spacing w:val="-9"/>
                <w:sz w:val="12"/>
              </w:rPr>
              <w:t xml:space="preserve"> </w:t>
            </w:r>
            <w:r>
              <w:rPr>
                <w:color w:val="231F20"/>
                <w:sz w:val="12"/>
              </w:rPr>
              <w:t>the</w:t>
            </w:r>
            <w:r>
              <w:rPr>
                <w:color w:val="231F20"/>
                <w:spacing w:val="-15"/>
                <w:sz w:val="12"/>
              </w:rPr>
              <w:t xml:space="preserve"> </w:t>
            </w:r>
            <w:r>
              <w:rPr>
                <w:color w:val="231F20"/>
                <w:sz w:val="12"/>
              </w:rPr>
              <w:t>Algiers</w:t>
            </w:r>
            <w:r>
              <w:rPr>
                <w:color w:val="231F20"/>
                <w:spacing w:val="-10"/>
                <w:sz w:val="12"/>
              </w:rPr>
              <w:t xml:space="preserve"> </w:t>
            </w:r>
            <w:r>
              <w:rPr>
                <w:color w:val="231F20"/>
                <w:sz w:val="12"/>
              </w:rPr>
              <w:t>Declaration</w:t>
            </w:r>
            <w:r>
              <w:rPr>
                <w:color w:val="231F20"/>
                <w:spacing w:val="-10"/>
                <w:sz w:val="12"/>
              </w:rPr>
              <w:t xml:space="preserve"> </w:t>
            </w:r>
            <w:r>
              <w:rPr>
                <w:color w:val="231F20"/>
                <w:sz w:val="12"/>
              </w:rPr>
              <w:t>and</w:t>
            </w:r>
            <w:r>
              <w:rPr>
                <w:color w:val="231F20"/>
                <w:spacing w:val="-10"/>
                <w:sz w:val="12"/>
              </w:rPr>
              <w:t xml:space="preserve"> </w:t>
            </w:r>
            <w:r>
              <w:rPr>
                <w:color w:val="231F20"/>
                <w:sz w:val="12"/>
              </w:rPr>
              <w:t>solicit</w:t>
            </w:r>
          </w:p>
          <w:p w14:paraId="118446D9" w14:textId="77777777" w:rsidR="009948F1" w:rsidRDefault="00BC0563">
            <w:pPr>
              <w:pStyle w:val="TableParagraph"/>
              <w:spacing w:before="11" w:line="118" w:lineRule="exact"/>
              <w:ind w:left="21"/>
              <w:rPr>
                <w:sz w:val="12"/>
              </w:rPr>
            </w:pPr>
            <w:r>
              <w:rPr>
                <w:color w:val="231F20"/>
                <w:sz w:val="12"/>
              </w:rPr>
              <w:t>their commitment to increase budgetary allocation to research</w:t>
            </w:r>
          </w:p>
        </w:tc>
        <w:tc>
          <w:tcPr>
            <w:tcW w:w="1399" w:type="dxa"/>
            <w:tcBorders>
              <w:top w:val="single" w:sz="6" w:space="0" w:color="231F20"/>
              <w:left w:val="single" w:sz="6" w:space="0" w:color="231F20"/>
              <w:bottom w:val="single" w:sz="6" w:space="0" w:color="231F20"/>
              <w:right w:val="single" w:sz="6" w:space="0" w:color="231F20"/>
            </w:tcBorders>
          </w:tcPr>
          <w:p w14:paraId="1A9EB4D9" w14:textId="77777777" w:rsidR="009948F1" w:rsidRDefault="00BC0563">
            <w:pPr>
              <w:pStyle w:val="TableParagraph"/>
              <w:spacing w:before="74"/>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558C9D48" w14:textId="77777777" w:rsidR="009948F1" w:rsidRDefault="00BC0563">
            <w:pPr>
              <w:pStyle w:val="TableParagraph"/>
              <w:spacing w:before="74"/>
              <w:ind w:left="23"/>
              <w:rPr>
                <w:sz w:val="12"/>
              </w:rPr>
            </w:pPr>
            <w:r>
              <w:rPr>
                <w:color w:val="231F20"/>
                <w:sz w:val="12"/>
              </w:rPr>
              <w:t>Conduct</w:t>
            </w:r>
            <w:r>
              <w:rPr>
                <w:color w:val="231F20"/>
                <w:spacing w:val="-15"/>
                <w:sz w:val="12"/>
              </w:rPr>
              <w:t xml:space="preserve"> </w:t>
            </w:r>
            <w:r>
              <w:rPr>
                <w:color w:val="231F20"/>
                <w:sz w:val="12"/>
              </w:rPr>
              <w:t>advocacy</w:t>
            </w:r>
            <w:r>
              <w:rPr>
                <w:color w:val="231F20"/>
                <w:spacing w:val="-15"/>
                <w:sz w:val="12"/>
              </w:rPr>
              <w:t xml:space="preserve"> </w:t>
            </w:r>
            <w:r>
              <w:rPr>
                <w:color w:val="231F20"/>
                <w:sz w:val="12"/>
              </w:rPr>
              <w:t>meeting</w:t>
            </w:r>
          </w:p>
        </w:tc>
      </w:tr>
      <w:tr w:rsidR="009948F1" w14:paraId="4FB041A2" w14:textId="77777777">
        <w:trPr>
          <w:trHeight w:val="462"/>
        </w:trPr>
        <w:tc>
          <w:tcPr>
            <w:tcW w:w="1020" w:type="dxa"/>
            <w:gridSpan w:val="3"/>
            <w:vMerge/>
            <w:tcBorders>
              <w:top w:val="nil"/>
              <w:left w:val="single" w:sz="6" w:space="0" w:color="231F20"/>
              <w:bottom w:val="nil"/>
              <w:right w:val="single" w:sz="6" w:space="0" w:color="231F20"/>
            </w:tcBorders>
          </w:tcPr>
          <w:p w14:paraId="1425FA7C"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100713C8" w14:textId="77777777" w:rsidR="009948F1" w:rsidRDefault="009948F1">
            <w:pPr>
              <w:pStyle w:val="TableParagraph"/>
              <w:spacing w:before="1"/>
              <w:rPr>
                <w:sz w:val="14"/>
              </w:rPr>
            </w:pPr>
          </w:p>
          <w:p w14:paraId="7A8EA3FD" w14:textId="77777777" w:rsidR="009948F1" w:rsidRDefault="00BC0563">
            <w:pPr>
              <w:pStyle w:val="TableParagraph"/>
              <w:ind w:left="47"/>
              <w:rPr>
                <w:sz w:val="12"/>
              </w:rPr>
            </w:pPr>
            <w:r>
              <w:rPr>
                <w:color w:val="231F20"/>
                <w:sz w:val="12"/>
              </w:rPr>
              <w:t>13.1.3.b</w:t>
            </w:r>
          </w:p>
        </w:tc>
        <w:tc>
          <w:tcPr>
            <w:tcW w:w="4801" w:type="dxa"/>
            <w:gridSpan w:val="2"/>
            <w:tcBorders>
              <w:top w:val="single" w:sz="6" w:space="0" w:color="231F20"/>
              <w:left w:val="single" w:sz="6" w:space="0" w:color="231F20"/>
              <w:bottom w:val="single" w:sz="6" w:space="0" w:color="231F20"/>
              <w:right w:val="single" w:sz="6" w:space="0" w:color="231F20"/>
            </w:tcBorders>
          </w:tcPr>
          <w:p w14:paraId="4D3613ED" w14:textId="77777777" w:rsidR="009948F1" w:rsidRDefault="00BC0563">
            <w:pPr>
              <w:pStyle w:val="TableParagraph"/>
              <w:spacing w:before="1" w:line="150" w:lineRule="exact"/>
              <w:ind w:left="21" w:right="132"/>
              <w:rPr>
                <w:sz w:val="12"/>
              </w:rPr>
            </w:pPr>
            <w:r>
              <w:rPr>
                <w:color w:val="231F20"/>
                <w:sz w:val="12"/>
              </w:rPr>
              <w:t>Ensure</w:t>
            </w:r>
            <w:r>
              <w:rPr>
                <w:color w:val="231F20"/>
                <w:spacing w:val="-13"/>
                <w:sz w:val="12"/>
              </w:rPr>
              <w:t xml:space="preserve"> </w:t>
            </w:r>
            <w:r>
              <w:rPr>
                <w:color w:val="231F20"/>
                <w:sz w:val="12"/>
              </w:rPr>
              <w:t>Government</w:t>
            </w:r>
            <w:r>
              <w:rPr>
                <w:color w:val="231F20"/>
                <w:spacing w:val="-12"/>
                <w:sz w:val="12"/>
              </w:rPr>
              <w:t xml:space="preserve"> </w:t>
            </w:r>
            <w:r>
              <w:rPr>
                <w:color w:val="231F20"/>
                <w:sz w:val="12"/>
              </w:rPr>
              <w:t>support</w:t>
            </w:r>
            <w:r>
              <w:rPr>
                <w:color w:val="231F20"/>
                <w:spacing w:val="8"/>
                <w:sz w:val="12"/>
              </w:rPr>
              <w:t xml:space="preserve"> </w:t>
            </w:r>
            <w:r>
              <w:rPr>
                <w:color w:val="231F20"/>
                <w:sz w:val="12"/>
              </w:rPr>
              <w:t>for</w:t>
            </w:r>
            <w:r>
              <w:rPr>
                <w:color w:val="231F20"/>
                <w:spacing w:val="-13"/>
                <w:sz w:val="12"/>
              </w:rPr>
              <w:t xml:space="preserve"> </w:t>
            </w:r>
            <w:r>
              <w:rPr>
                <w:color w:val="231F20"/>
                <w:sz w:val="12"/>
              </w:rPr>
              <w:t>the</w:t>
            </w:r>
            <w:r>
              <w:rPr>
                <w:color w:val="231F20"/>
                <w:spacing w:val="-12"/>
                <w:sz w:val="12"/>
              </w:rPr>
              <w:t xml:space="preserve"> </w:t>
            </w:r>
            <w:r>
              <w:rPr>
                <w:color w:val="231F20"/>
                <w:sz w:val="12"/>
              </w:rPr>
              <w:t>development</w:t>
            </w:r>
            <w:r>
              <w:rPr>
                <w:color w:val="231F20"/>
                <w:spacing w:val="-13"/>
                <w:sz w:val="12"/>
              </w:rPr>
              <w:t xml:space="preserve"> </w:t>
            </w:r>
            <w:r>
              <w:rPr>
                <w:color w:val="231F20"/>
                <w:sz w:val="12"/>
              </w:rPr>
              <w:t>of</w:t>
            </w:r>
            <w:r>
              <w:rPr>
                <w:color w:val="231F20"/>
                <w:spacing w:val="-12"/>
                <w:sz w:val="12"/>
              </w:rPr>
              <w:t xml:space="preserve"> </w:t>
            </w:r>
            <w:r>
              <w:rPr>
                <w:color w:val="231F20"/>
                <w:sz w:val="12"/>
              </w:rPr>
              <w:t>collaborative</w:t>
            </w:r>
            <w:r>
              <w:rPr>
                <w:color w:val="231F20"/>
                <w:spacing w:val="-13"/>
                <w:sz w:val="12"/>
              </w:rPr>
              <w:t xml:space="preserve"> </w:t>
            </w:r>
            <w:r>
              <w:rPr>
                <w:color w:val="231F20"/>
                <w:sz w:val="12"/>
              </w:rPr>
              <w:t>research</w:t>
            </w:r>
            <w:r>
              <w:rPr>
                <w:color w:val="231F20"/>
                <w:spacing w:val="-12"/>
                <w:sz w:val="12"/>
              </w:rPr>
              <w:t xml:space="preserve"> </w:t>
            </w:r>
            <w:r>
              <w:rPr>
                <w:color w:val="231F20"/>
                <w:sz w:val="12"/>
              </w:rPr>
              <w:t>proposals</w:t>
            </w:r>
            <w:r>
              <w:rPr>
                <w:color w:val="231F20"/>
                <w:spacing w:val="-13"/>
                <w:sz w:val="12"/>
              </w:rPr>
              <w:t xml:space="preserve"> </w:t>
            </w:r>
            <w:r>
              <w:rPr>
                <w:color w:val="231F20"/>
                <w:spacing w:val="-4"/>
                <w:sz w:val="12"/>
              </w:rPr>
              <w:t xml:space="preserve">and </w:t>
            </w:r>
            <w:r>
              <w:rPr>
                <w:color w:val="231F20"/>
                <w:sz w:val="12"/>
              </w:rPr>
              <w:t xml:space="preserve">their implementation between governments and public and private health research </w:t>
            </w:r>
            <w:proofErr w:type="spellStart"/>
            <w:r>
              <w:rPr>
                <w:color w:val="231F20"/>
                <w:sz w:val="12"/>
              </w:rPr>
              <w:t>organisations</w:t>
            </w:r>
            <w:proofErr w:type="spellEnd"/>
          </w:p>
        </w:tc>
        <w:tc>
          <w:tcPr>
            <w:tcW w:w="1399" w:type="dxa"/>
            <w:tcBorders>
              <w:top w:val="single" w:sz="6" w:space="0" w:color="231F20"/>
              <w:left w:val="single" w:sz="6" w:space="0" w:color="231F20"/>
              <w:bottom w:val="single" w:sz="6" w:space="0" w:color="231F20"/>
              <w:right w:val="single" w:sz="6" w:space="0" w:color="231F20"/>
            </w:tcBorders>
          </w:tcPr>
          <w:p w14:paraId="2EA73E0B" w14:textId="77777777" w:rsidR="009948F1" w:rsidRDefault="009948F1">
            <w:pPr>
              <w:pStyle w:val="TableParagraph"/>
              <w:spacing w:before="1"/>
              <w:rPr>
                <w:sz w:val="14"/>
              </w:rPr>
            </w:pPr>
          </w:p>
          <w:p w14:paraId="610408C1"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72D0CF5E" w14:textId="77777777" w:rsidR="009948F1" w:rsidRDefault="00BC0563">
            <w:pPr>
              <w:pStyle w:val="TableParagraph"/>
              <w:spacing w:before="87" w:line="259" w:lineRule="auto"/>
              <w:ind w:left="23"/>
              <w:rPr>
                <w:sz w:val="12"/>
              </w:rPr>
            </w:pPr>
            <w:r>
              <w:rPr>
                <w:color w:val="231F20"/>
                <w:sz w:val="12"/>
              </w:rPr>
              <w:t>Ensure Government support</w:t>
            </w:r>
          </w:p>
        </w:tc>
      </w:tr>
      <w:tr w:rsidR="009948F1" w14:paraId="09B13087" w14:textId="77777777">
        <w:trPr>
          <w:trHeight w:val="425"/>
        </w:trPr>
        <w:tc>
          <w:tcPr>
            <w:tcW w:w="1020" w:type="dxa"/>
            <w:gridSpan w:val="3"/>
            <w:vMerge/>
            <w:tcBorders>
              <w:top w:val="nil"/>
              <w:left w:val="single" w:sz="6" w:space="0" w:color="231F20"/>
              <w:bottom w:val="nil"/>
              <w:right w:val="single" w:sz="6" w:space="0" w:color="231F20"/>
            </w:tcBorders>
          </w:tcPr>
          <w:p w14:paraId="37D2C0B0"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2B36FBCD" w14:textId="77777777" w:rsidR="009948F1" w:rsidRDefault="009948F1">
            <w:pPr>
              <w:pStyle w:val="TableParagraph"/>
              <w:spacing w:before="6"/>
              <w:rPr>
                <w:sz w:val="12"/>
              </w:rPr>
            </w:pPr>
          </w:p>
          <w:p w14:paraId="7766B578" w14:textId="77777777" w:rsidR="009948F1" w:rsidRDefault="00BC0563">
            <w:pPr>
              <w:pStyle w:val="TableParagraph"/>
              <w:ind w:left="51"/>
              <w:rPr>
                <w:sz w:val="12"/>
              </w:rPr>
            </w:pPr>
            <w:r>
              <w:rPr>
                <w:color w:val="231F20"/>
                <w:sz w:val="12"/>
              </w:rPr>
              <w:t>13.1.3.c</w:t>
            </w:r>
          </w:p>
        </w:tc>
        <w:tc>
          <w:tcPr>
            <w:tcW w:w="4801" w:type="dxa"/>
            <w:gridSpan w:val="2"/>
            <w:tcBorders>
              <w:top w:val="single" w:sz="6" w:space="0" w:color="231F20"/>
              <w:left w:val="single" w:sz="6" w:space="0" w:color="231F20"/>
              <w:bottom w:val="single" w:sz="6" w:space="0" w:color="231F20"/>
              <w:right w:val="single" w:sz="6" w:space="0" w:color="231F20"/>
            </w:tcBorders>
          </w:tcPr>
          <w:p w14:paraId="3A4CC02B" w14:textId="77777777" w:rsidR="009948F1" w:rsidRDefault="00BC0563">
            <w:pPr>
              <w:pStyle w:val="TableParagraph"/>
              <w:spacing w:before="64" w:line="259" w:lineRule="auto"/>
              <w:ind w:left="21" w:right="583"/>
              <w:rPr>
                <w:sz w:val="12"/>
              </w:rPr>
            </w:pPr>
            <w:r>
              <w:rPr>
                <w:color w:val="231F20"/>
                <w:sz w:val="12"/>
              </w:rPr>
              <w:t>Build</w:t>
            </w:r>
            <w:r>
              <w:rPr>
                <w:color w:val="231F20"/>
                <w:spacing w:val="-14"/>
                <w:sz w:val="12"/>
              </w:rPr>
              <w:t xml:space="preserve"> </w:t>
            </w:r>
            <w:r>
              <w:rPr>
                <w:color w:val="231F20"/>
                <w:sz w:val="12"/>
              </w:rPr>
              <w:t>capacity</w:t>
            </w:r>
            <w:r>
              <w:rPr>
                <w:color w:val="231F20"/>
                <w:spacing w:val="-13"/>
                <w:sz w:val="12"/>
              </w:rPr>
              <w:t xml:space="preserve"> </w:t>
            </w:r>
            <w:r>
              <w:rPr>
                <w:color w:val="231F20"/>
                <w:sz w:val="12"/>
              </w:rPr>
              <w:t>for</w:t>
            </w:r>
            <w:r>
              <w:rPr>
                <w:color w:val="231F20"/>
                <w:spacing w:val="-13"/>
                <w:sz w:val="12"/>
              </w:rPr>
              <w:t xml:space="preserve"> </w:t>
            </w:r>
            <w:r>
              <w:rPr>
                <w:color w:val="231F20"/>
                <w:sz w:val="12"/>
              </w:rPr>
              <w:t>resource</w:t>
            </w:r>
            <w:r>
              <w:rPr>
                <w:color w:val="231F20"/>
                <w:spacing w:val="-14"/>
                <w:sz w:val="12"/>
              </w:rPr>
              <w:t xml:space="preserve"> </w:t>
            </w:r>
            <w:r>
              <w:rPr>
                <w:color w:val="231F20"/>
                <w:sz w:val="12"/>
              </w:rPr>
              <w:t>mobilization</w:t>
            </w:r>
            <w:r>
              <w:rPr>
                <w:color w:val="231F20"/>
                <w:spacing w:val="-13"/>
                <w:sz w:val="12"/>
              </w:rPr>
              <w:t xml:space="preserve"> </w:t>
            </w:r>
            <w:r>
              <w:rPr>
                <w:color w:val="231F20"/>
                <w:sz w:val="12"/>
              </w:rPr>
              <w:t>for</w:t>
            </w:r>
            <w:r>
              <w:rPr>
                <w:color w:val="231F20"/>
                <w:spacing w:val="-13"/>
                <w:sz w:val="12"/>
              </w:rPr>
              <w:t xml:space="preserve"> </w:t>
            </w:r>
            <w:r>
              <w:rPr>
                <w:color w:val="231F20"/>
                <w:sz w:val="12"/>
              </w:rPr>
              <w:t>health</w:t>
            </w:r>
            <w:r>
              <w:rPr>
                <w:color w:val="231F20"/>
                <w:spacing w:val="-14"/>
                <w:sz w:val="12"/>
              </w:rPr>
              <w:t xml:space="preserve"> </w:t>
            </w:r>
            <w:r>
              <w:rPr>
                <w:color w:val="231F20"/>
                <w:sz w:val="12"/>
              </w:rPr>
              <w:t>research</w:t>
            </w:r>
            <w:r>
              <w:rPr>
                <w:color w:val="231F20"/>
                <w:spacing w:val="-13"/>
                <w:sz w:val="12"/>
              </w:rPr>
              <w:t xml:space="preserve"> </w:t>
            </w:r>
            <w:r>
              <w:rPr>
                <w:color w:val="231F20"/>
                <w:sz w:val="12"/>
              </w:rPr>
              <w:t>(e.g.</w:t>
            </w:r>
            <w:r>
              <w:rPr>
                <w:color w:val="231F20"/>
                <w:spacing w:val="-13"/>
                <w:sz w:val="12"/>
              </w:rPr>
              <w:t xml:space="preserve"> </w:t>
            </w:r>
            <w:r>
              <w:rPr>
                <w:color w:val="231F20"/>
                <w:sz w:val="12"/>
              </w:rPr>
              <w:t>proposal</w:t>
            </w:r>
            <w:r>
              <w:rPr>
                <w:color w:val="231F20"/>
                <w:spacing w:val="-14"/>
                <w:sz w:val="12"/>
              </w:rPr>
              <w:t xml:space="preserve"> </w:t>
            </w:r>
            <w:r>
              <w:rPr>
                <w:color w:val="231F20"/>
                <w:sz w:val="12"/>
              </w:rPr>
              <w:t>writing, grantsmanship, fund-raising</w:t>
            </w:r>
            <w:r>
              <w:rPr>
                <w:color w:val="231F20"/>
                <w:spacing w:val="-4"/>
                <w:sz w:val="12"/>
              </w:rPr>
              <w:t xml:space="preserve"> </w:t>
            </w:r>
            <w:proofErr w:type="spellStart"/>
            <w:r>
              <w:rPr>
                <w:color w:val="231F20"/>
                <w:sz w:val="12"/>
              </w:rPr>
              <w:t>etc</w:t>
            </w:r>
            <w:proofErr w:type="spellEnd"/>
            <w:r>
              <w:rPr>
                <w:color w:val="231F20"/>
                <w:sz w:val="12"/>
              </w:rPr>
              <w:t>).</w:t>
            </w:r>
          </w:p>
        </w:tc>
        <w:tc>
          <w:tcPr>
            <w:tcW w:w="1399" w:type="dxa"/>
            <w:tcBorders>
              <w:top w:val="single" w:sz="6" w:space="0" w:color="231F20"/>
              <w:left w:val="single" w:sz="6" w:space="0" w:color="231F20"/>
              <w:bottom w:val="single" w:sz="6" w:space="0" w:color="231F20"/>
              <w:right w:val="single" w:sz="6" w:space="0" w:color="231F20"/>
            </w:tcBorders>
          </w:tcPr>
          <w:p w14:paraId="2D7509F7" w14:textId="77777777" w:rsidR="009948F1" w:rsidRDefault="009948F1">
            <w:pPr>
              <w:pStyle w:val="TableParagraph"/>
              <w:spacing w:before="6"/>
              <w:rPr>
                <w:sz w:val="12"/>
              </w:rPr>
            </w:pPr>
          </w:p>
          <w:p w14:paraId="7E0C021F"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2DBA64B6" w14:textId="77777777" w:rsidR="009948F1" w:rsidRDefault="009948F1">
            <w:pPr>
              <w:pStyle w:val="TableParagraph"/>
              <w:spacing w:before="6"/>
              <w:rPr>
                <w:sz w:val="12"/>
              </w:rPr>
            </w:pPr>
          </w:p>
          <w:p w14:paraId="62B660EC" w14:textId="77777777" w:rsidR="009948F1" w:rsidRDefault="00BC0563">
            <w:pPr>
              <w:pStyle w:val="TableParagraph"/>
              <w:ind w:left="23"/>
              <w:rPr>
                <w:sz w:val="12"/>
              </w:rPr>
            </w:pPr>
            <w:r>
              <w:rPr>
                <w:color w:val="231F20"/>
                <w:sz w:val="12"/>
              </w:rPr>
              <w:t>Costed in OHT</w:t>
            </w:r>
          </w:p>
        </w:tc>
      </w:tr>
      <w:tr w:rsidR="009948F1" w14:paraId="2F45FD34" w14:textId="77777777">
        <w:trPr>
          <w:trHeight w:val="483"/>
        </w:trPr>
        <w:tc>
          <w:tcPr>
            <w:tcW w:w="1020" w:type="dxa"/>
            <w:gridSpan w:val="3"/>
            <w:vMerge/>
            <w:tcBorders>
              <w:top w:val="nil"/>
              <w:left w:val="single" w:sz="6" w:space="0" w:color="231F20"/>
              <w:bottom w:val="nil"/>
              <w:right w:val="single" w:sz="6" w:space="0" w:color="231F20"/>
            </w:tcBorders>
          </w:tcPr>
          <w:p w14:paraId="6D9F6902"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178C53E3" w14:textId="77777777" w:rsidR="009948F1" w:rsidRDefault="009948F1">
            <w:pPr>
              <w:pStyle w:val="TableParagraph"/>
              <w:spacing w:before="1"/>
              <w:rPr>
                <w:sz w:val="15"/>
              </w:rPr>
            </w:pPr>
          </w:p>
          <w:p w14:paraId="7D7ADD24" w14:textId="77777777" w:rsidR="009948F1" w:rsidRDefault="00BC0563">
            <w:pPr>
              <w:pStyle w:val="TableParagraph"/>
              <w:ind w:left="47"/>
              <w:rPr>
                <w:sz w:val="12"/>
              </w:rPr>
            </w:pPr>
            <w:r>
              <w:rPr>
                <w:color w:val="231F20"/>
                <w:sz w:val="12"/>
              </w:rPr>
              <w:t>13.1.3.d</w:t>
            </w:r>
          </w:p>
        </w:tc>
        <w:tc>
          <w:tcPr>
            <w:tcW w:w="4801" w:type="dxa"/>
            <w:gridSpan w:val="2"/>
            <w:tcBorders>
              <w:top w:val="single" w:sz="6" w:space="0" w:color="231F20"/>
              <w:left w:val="single" w:sz="6" w:space="0" w:color="231F20"/>
              <w:bottom w:val="single" w:sz="6" w:space="0" w:color="231F20"/>
              <w:right w:val="single" w:sz="6" w:space="0" w:color="231F20"/>
            </w:tcBorders>
          </w:tcPr>
          <w:p w14:paraId="6D829853" w14:textId="77777777" w:rsidR="009948F1" w:rsidRDefault="009948F1">
            <w:pPr>
              <w:pStyle w:val="TableParagraph"/>
              <w:spacing w:before="7"/>
              <w:rPr>
                <w:sz w:val="14"/>
              </w:rPr>
            </w:pPr>
          </w:p>
          <w:p w14:paraId="461A97DF" w14:textId="77777777" w:rsidR="009948F1" w:rsidRDefault="00BC0563">
            <w:pPr>
              <w:pStyle w:val="TableParagraph"/>
              <w:ind w:left="21"/>
              <w:rPr>
                <w:sz w:val="12"/>
              </w:rPr>
            </w:pPr>
            <w:r>
              <w:rPr>
                <w:color w:val="231F20"/>
                <w:sz w:val="12"/>
              </w:rPr>
              <w:t>Build institutional capacities of the research institutes for research</w:t>
            </w:r>
          </w:p>
        </w:tc>
        <w:tc>
          <w:tcPr>
            <w:tcW w:w="1399" w:type="dxa"/>
            <w:tcBorders>
              <w:top w:val="single" w:sz="6" w:space="0" w:color="231F20"/>
              <w:left w:val="single" w:sz="6" w:space="0" w:color="231F20"/>
              <w:bottom w:val="single" w:sz="6" w:space="0" w:color="231F20"/>
              <w:right w:val="single" w:sz="6" w:space="0" w:color="231F20"/>
            </w:tcBorders>
          </w:tcPr>
          <w:p w14:paraId="05411943" w14:textId="77777777" w:rsidR="009948F1" w:rsidRDefault="009948F1">
            <w:pPr>
              <w:pStyle w:val="TableParagraph"/>
              <w:spacing w:before="1"/>
              <w:rPr>
                <w:sz w:val="15"/>
              </w:rPr>
            </w:pPr>
          </w:p>
          <w:p w14:paraId="2D72CB40"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27EC1AA9" w14:textId="77777777" w:rsidR="009948F1" w:rsidRDefault="009948F1">
            <w:pPr>
              <w:pStyle w:val="TableParagraph"/>
              <w:spacing w:before="1"/>
              <w:rPr>
                <w:sz w:val="15"/>
              </w:rPr>
            </w:pPr>
          </w:p>
          <w:p w14:paraId="27C79904" w14:textId="77777777" w:rsidR="009948F1" w:rsidRDefault="00BC0563">
            <w:pPr>
              <w:pStyle w:val="TableParagraph"/>
              <w:ind w:left="23"/>
              <w:rPr>
                <w:sz w:val="12"/>
              </w:rPr>
            </w:pPr>
            <w:r>
              <w:rPr>
                <w:color w:val="231F20"/>
                <w:sz w:val="12"/>
              </w:rPr>
              <w:t>Costed in OHT</w:t>
            </w:r>
          </w:p>
        </w:tc>
      </w:tr>
      <w:tr w:rsidR="009948F1" w14:paraId="486656A5" w14:textId="77777777">
        <w:trPr>
          <w:trHeight w:val="939"/>
        </w:trPr>
        <w:tc>
          <w:tcPr>
            <w:tcW w:w="574" w:type="dxa"/>
            <w:gridSpan w:val="2"/>
            <w:tcBorders>
              <w:top w:val="nil"/>
              <w:left w:val="single" w:sz="6" w:space="0" w:color="231F20"/>
              <w:bottom w:val="nil"/>
              <w:right w:val="single" w:sz="6" w:space="0" w:color="231F20"/>
            </w:tcBorders>
          </w:tcPr>
          <w:p w14:paraId="2B0F8A0F" w14:textId="77777777" w:rsidR="009948F1" w:rsidRDefault="009948F1">
            <w:pPr>
              <w:pStyle w:val="TableParagraph"/>
              <w:rPr>
                <w:rFonts w:ascii="Times New Roman"/>
                <w:sz w:val="10"/>
              </w:rPr>
            </w:pPr>
          </w:p>
        </w:tc>
        <w:tc>
          <w:tcPr>
            <w:tcW w:w="446" w:type="dxa"/>
            <w:tcBorders>
              <w:top w:val="single" w:sz="6" w:space="0" w:color="231F20"/>
              <w:left w:val="single" w:sz="6" w:space="0" w:color="231F20"/>
              <w:bottom w:val="single" w:sz="6" w:space="0" w:color="231F20"/>
              <w:right w:val="single" w:sz="6" w:space="0" w:color="231F20"/>
            </w:tcBorders>
            <w:shd w:val="clear" w:color="auto" w:fill="CCE7D3"/>
          </w:tcPr>
          <w:p w14:paraId="0E3036F2" w14:textId="77777777" w:rsidR="009948F1" w:rsidRDefault="009948F1">
            <w:pPr>
              <w:pStyle w:val="TableParagraph"/>
              <w:rPr>
                <w:sz w:val="12"/>
              </w:rPr>
            </w:pPr>
          </w:p>
          <w:p w14:paraId="6AB89F0E" w14:textId="77777777" w:rsidR="009948F1" w:rsidRDefault="009948F1">
            <w:pPr>
              <w:pStyle w:val="TableParagraph"/>
              <w:rPr>
                <w:sz w:val="12"/>
              </w:rPr>
            </w:pPr>
          </w:p>
          <w:p w14:paraId="47BABE51" w14:textId="77777777" w:rsidR="009948F1" w:rsidRDefault="009948F1">
            <w:pPr>
              <w:pStyle w:val="TableParagraph"/>
              <w:spacing w:before="9"/>
              <w:rPr>
                <w:sz w:val="10"/>
              </w:rPr>
            </w:pPr>
          </w:p>
          <w:p w14:paraId="62240849" w14:textId="77777777" w:rsidR="009948F1" w:rsidRDefault="00BC0563">
            <w:pPr>
              <w:pStyle w:val="TableParagraph"/>
              <w:ind w:left="29" w:right="28"/>
              <w:jc w:val="center"/>
              <w:rPr>
                <w:sz w:val="12"/>
              </w:rPr>
            </w:pPr>
            <w:r>
              <w:rPr>
                <w:color w:val="231F20"/>
                <w:sz w:val="12"/>
              </w:rPr>
              <w:t>13.1.4</w:t>
            </w:r>
          </w:p>
        </w:tc>
        <w:tc>
          <w:tcPr>
            <w:tcW w:w="2979" w:type="dxa"/>
            <w:gridSpan w:val="2"/>
            <w:tcBorders>
              <w:top w:val="single" w:sz="6" w:space="0" w:color="231F20"/>
              <w:left w:val="single" w:sz="6" w:space="0" w:color="231F20"/>
              <w:bottom w:val="single" w:sz="6" w:space="0" w:color="231F20"/>
              <w:right w:val="single" w:sz="6" w:space="0" w:color="231F20"/>
            </w:tcBorders>
            <w:shd w:val="clear" w:color="auto" w:fill="CCE7D3"/>
          </w:tcPr>
          <w:p w14:paraId="1B5EB0B6" w14:textId="77777777" w:rsidR="009948F1" w:rsidRDefault="00BC0563">
            <w:pPr>
              <w:pStyle w:val="TableParagraph"/>
              <w:spacing w:before="97" w:line="259" w:lineRule="auto"/>
              <w:ind w:left="21" w:right="38" w:firstLine="32"/>
              <w:rPr>
                <w:sz w:val="12"/>
              </w:rPr>
            </w:pPr>
            <w:r>
              <w:rPr>
                <w:color w:val="231F20"/>
                <w:sz w:val="12"/>
              </w:rPr>
              <w:t>Strengthen</w:t>
            </w:r>
            <w:r>
              <w:rPr>
                <w:color w:val="231F20"/>
                <w:spacing w:val="-16"/>
                <w:sz w:val="12"/>
              </w:rPr>
              <w:t xml:space="preserve"> </w:t>
            </w:r>
            <w:r>
              <w:rPr>
                <w:color w:val="231F20"/>
                <w:sz w:val="12"/>
              </w:rPr>
              <w:t>the</w:t>
            </w:r>
            <w:r>
              <w:rPr>
                <w:color w:val="231F20"/>
                <w:spacing w:val="-15"/>
                <w:sz w:val="12"/>
              </w:rPr>
              <w:t xml:space="preserve"> </w:t>
            </w:r>
            <w:r>
              <w:rPr>
                <w:color w:val="231F20"/>
                <w:sz w:val="12"/>
              </w:rPr>
              <w:t>national</w:t>
            </w:r>
            <w:r>
              <w:rPr>
                <w:color w:val="231F20"/>
                <w:spacing w:val="-15"/>
                <w:sz w:val="12"/>
              </w:rPr>
              <w:t xml:space="preserve"> </w:t>
            </w:r>
            <w:r>
              <w:rPr>
                <w:color w:val="231F20"/>
                <w:sz w:val="12"/>
              </w:rPr>
              <w:t>health</w:t>
            </w:r>
            <w:r>
              <w:rPr>
                <w:color w:val="231F20"/>
                <w:spacing w:val="-15"/>
                <w:sz w:val="12"/>
              </w:rPr>
              <w:t xml:space="preserve"> </w:t>
            </w:r>
            <w:r>
              <w:rPr>
                <w:color w:val="231F20"/>
                <w:sz w:val="12"/>
              </w:rPr>
              <w:t>research</w:t>
            </w:r>
            <w:r>
              <w:rPr>
                <w:color w:val="231F20"/>
                <w:spacing w:val="-15"/>
                <w:sz w:val="12"/>
              </w:rPr>
              <w:t xml:space="preserve"> </w:t>
            </w:r>
            <w:r>
              <w:rPr>
                <w:color w:val="231F20"/>
                <w:sz w:val="12"/>
              </w:rPr>
              <w:t>institutions</w:t>
            </w:r>
            <w:r>
              <w:rPr>
                <w:color w:val="231F20"/>
                <w:spacing w:val="-15"/>
                <w:sz w:val="12"/>
              </w:rPr>
              <w:t xml:space="preserve"> </w:t>
            </w:r>
            <w:r>
              <w:rPr>
                <w:color w:val="231F20"/>
                <w:sz w:val="12"/>
              </w:rPr>
              <w:t>(the National</w:t>
            </w:r>
            <w:r>
              <w:rPr>
                <w:color w:val="231F20"/>
                <w:spacing w:val="-11"/>
                <w:sz w:val="12"/>
              </w:rPr>
              <w:t xml:space="preserve"> </w:t>
            </w:r>
            <w:r>
              <w:rPr>
                <w:color w:val="231F20"/>
                <w:sz w:val="12"/>
              </w:rPr>
              <w:t>Institute</w:t>
            </w:r>
            <w:r>
              <w:rPr>
                <w:color w:val="231F20"/>
                <w:spacing w:val="-11"/>
                <w:sz w:val="12"/>
              </w:rPr>
              <w:t xml:space="preserve"> </w:t>
            </w:r>
            <w:r>
              <w:rPr>
                <w:color w:val="231F20"/>
                <w:sz w:val="12"/>
              </w:rPr>
              <w:t>of</w:t>
            </w:r>
            <w:r>
              <w:rPr>
                <w:color w:val="231F20"/>
                <w:spacing w:val="-11"/>
                <w:sz w:val="12"/>
              </w:rPr>
              <w:t xml:space="preserve"> </w:t>
            </w:r>
            <w:r>
              <w:rPr>
                <w:color w:val="231F20"/>
                <w:sz w:val="12"/>
              </w:rPr>
              <w:t>Medical</w:t>
            </w:r>
            <w:r>
              <w:rPr>
                <w:color w:val="231F20"/>
                <w:spacing w:val="-10"/>
                <w:sz w:val="12"/>
              </w:rPr>
              <w:t xml:space="preserve"> </w:t>
            </w:r>
            <w:r>
              <w:rPr>
                <w:color w:val="231F20"/>
                <w:sz w:val="12"/>
              </w:rPr>
              <w:t>Research</w:t>
            </w:r>
            <w:r>
              <w:rPr>
                <w:color w:val="231F20"/>
                <w:spacing w:val="-11"/>
                <w:sz w:val="12"/>
              </w:rPr>
              <w:t xml:space="preserve"> </w:t>
            </w:r>
            <w:r>
              <w:rPr>
                <w:color w:val="231F20"/>
                <w:sz w:val="12"/>
              </w:rPr>
              <w:t>and</w:t>
            </w:r>
            <w:r>
              <w:rPr>
                <w:color w:val="231F20"/>
                <w:spacing w:val="-11"/>
                <w:sz w:val="12"/>
              </w:rPr>
              <w:t xml:space="preserve"> </w:t>
            </w:r>
            <w:r>
              <w:rPr>
                <w:color w:val="231F20"/>
                <w:sz w:val="12"/>
              </w:rPr>
              <w:t>the</w:t>
            </w:r>
            <w:r>
              <w:rPr>
                <w:color w:val="231F20"/>
                <w:spacing w:val="-10"/>
                <w:sz w:val="12"/>
              </w:rPr>
              <w:t xml:space="preserve"> </w:t>
            </w:r>
            <w:r>
              <w:rPr>
                <w:color w:val="231F20"/>
                <w:sz w:val="12"/>
              </w:rPr>
              <w:t>National Institute</w:t>
            </w:r>
            <w:r>
              <w:rPr>
                <w:color w:val="231F20"/>
                <w:spacing w:val="-18"/>
                <w:sz w:val="12"/>
              </w:rPr>
              <w:t xml:space="preserve"> </w:t>
            </w:r>
            <w:r>
              <w:rPr>
                <w:color w:val="231F20"/>
                <w:sz w:val="12"/>
              </w:rPr>
              <w:t>of</w:t>
            </w:r>
            <w:r>
              <w:rPr>
                <w:color w:val="231F20"/>
                <w:spacing w:val="-18"/>
                <w:sz w:val="12"/>
              </w:rPr>
              <w:t xml:space="preserve"> </w:t>
            </w:r>
            <w:r>
              <w:rPr>
                <w:color w:val="231F20"/>
                <w:sz w:val="12"/>
              </w:rPr>
              <w:t>Pharmaceutical</w:t>
            </w:r>
            <w:r>
              <w:rPr>
                <w:color w:val="231F20"/>
                <w:spacing w:val="-18"/>
                <w:sz w:val="12"/>
              </w:rPr>
              <w:t xml:space="preserve"> </w:t>
            </w:r>
            <w:r>
              <w:rPr>
                <w:color w:val="231F20"/>
                <w:sz w:val="12"/>
              </w:rPr>
              <w:t>Research</w:t>
            </w:r>
            <w:r>
              <w:rPr>
                <w:color w:val="231F20"/>
                <w:spacing w:val="-18"/>
                <w:sz w:val="12"/>
              </w:rPr>
              <w:t xml:space="preserve"> </w:t>
            </w:r>
            <w:r>
              <w:rPr>
                <w:color w:val="231F20"/>
                <w:sz w:val="12"/>
              </w:rPr>
              <w:t>and</w:t>
            </w:r>
            <w:r>
              <w:rPr>
                <w:color w:val="231F20"/>
                <w:spacing w:val="-18"/>
                <w:sz w:val="12"/>
              </w:rPr>
              <w:t xml:space="preserve"> </w:t>
            </w:r>
            <w:r>
              <w:rPr>
                <w:color w:val="231F20"/>
                <w:sz w:val="12"/>
              </w:rPr>
              <w:t>Development) to contribute to evidence-based decision making and R&amp;D</w:t>
            </w:r>
          </w:p>
        </w:tc>
        <w:tc>
          <w:tcPr>
            <w:tcW w:w="2338" w:type="dxa"/>
            <w:tcBorders>
              <w:top w:val="single" w:sz="6" w:space="0" w:color="231F20"/>
              <w:left w:val="single" w:sz="6" w:space="0" w:color="231F20"/>
              <w:bottom w:val="single" w:sz="6" w:space="0" w:color="231F20"/>
              <w:right w:val="single" w:sz="6" w:space="0" w:color="231F20"/>
            </w:tcBorders>
            <w:shd w:val="clear" w:color="auto" w:fill="CCE7D3"/>
          </w:tcPr>
          <w:p w14:paraId="1AAE07F1" w14:textId="77777777" w:rsidR="009948F1" w:rsidRDefault="009948F1">
            <w:pPr>
              <w:pStyle w:val="TableParagraph"/>
              <w:spacing w:before="4"/>
              <w:rPr>
                <w:sz w:val="15"/>
              </w:rPr>
            </w:pPr>
          </w:p>
          <w:p w14:paraId="21736984" w14:textId="77777777" w:rsidR="009948F1" w:rsidRDefault="00BC0563">
            <w:pPr>
              <w:pStyle w:val="TableParagraph"/>
              <w:numPr>
                <w:ilvl w:val="0"/>
                <w:numId w:val="30"/>
              </w:numPr>
              <w:tabs>
                <w:tab w:val="left" w:pos="89"/>
              </w:tabs>
              <w:spacing w:line="259" w:lineRule="auto"/>
              <w:ind w:right="240" w:firstLine="0"/>
              <w:rPr>
                <w:sz w:val="12"/>
              </w:rPr>
            </w:pPr>
            <w:r>
              <w:rPr>
                <w:color w:val="231F20"/>
                <w:sz w:val="12"/>
              </w:rPr>
              <w:t>Advocate for increased funding for research</w:t>
            </w:r>
            <w:r>
              <w:rPr>
                <w:color w:val="231F20"/>
                <w:spacing w:val="-12"/>
                <w:sz w:val="12"/>
              </w:rPr>
              <w:t xml:space="preserve"> </w:t>
            </w:r>
            <w:r>
              <w:rPr>
                <w:color w:val="231F20"/>
                <w:sz w:val="12"/>
              </w:rPr>
              <w:t>institutions</w:t>
            </w:r>
            <w:r>
              <w:rPr>
                <w:color w:val="231F20"/>
                <w:spacing w:val="-12"/>
                <w:sz w:val="12"/>
              </w:rPr>
              <w:t xml:space="preserve"> </w:t>
            </w:r>
            <w:r>
              <w:rPr>
                <w:color w:val="231F20"/>
                <w:sz w:val="12"/>
              </w:rPr>
              <w:t>in</w:t>
            </w:r>
            <w:r>
              <w:rPr>
                <w:color w:val="231F20"/>
                <w:spacing w:val="-11"/>
                <w:sz w:val="12"/>
              </w:rPr>
              <w:t xml:space="preserve"> </w:t>
            </w:r>
            <w:r>
              <w:rPr>
                <w:color w:val="231F20"/>
                <w:sz w:val="12"/>
              </w:rPr>
              <w:t>the</w:t>
            </w:r>
            <w:r>
              <w:rPr>
                <w:color w:val="231F20"/>
                <w:spacing w:val="-12"/>
                <w:sz w:val="12"/>
              </w:rPr>
              <w:t xml:space="preserve"> </w:t>
            </w:r>
            <w:r>
              <w:rPr>
                <w:color w:val="231F20"/>
                <w:sz w:val="12"/>
              </w:rPr>
              <w:t>country</w:t>
            </w:r>
            <w:r>
              <w:rPr>
                <w:color w:val="231F20"/>
                <w:spacing w:val="-11"/>
                <w:sz w:val="12"/>
              </w:rPr>
              <w:t xml:space="preserve"> </w:t>
            </w:r>
            <w:r>
              <w:rPr>
                <w:color w:val="231F20"/>
                <w:spacing w:val="-4"/>
                <w:sz w:val="12"/>
              </w:rPr>
              <w:t>done</w:t>
            </w:r>
          </w:p>
          <w:p w14:paraId="63A3B2EF" w14:textId="77777777" w:rsidR="009948F1" w:rsidRDefault="00BC0563">
            <w:pPr>
              <w:pStyle w:val="TableParagraph"/>
              <w:spacing w:before="1"/>
              <w:ind w:left="22"/>
              <w:rPr>
                <w:sz w:val="12"/>
              </w:rPr>
            </w:pPr>
            <w:r>
              <w:rPr>
                <w:color w:val="231F20"/>
                <w:w w:val="97"/>
                <w:sz w:val="12"/>
              </w:rPr>
              <w:t>•</w:t>
            </w:r>
          </w:p>
          <w:p w14:paraId="1A146DB1" w14:textId="77777777" w:rsidR="009948F1" w:rsidRDefault="00BC0563">
            <w:pPr>
              <w:pStyle w:val="TableParagraph"/>
              <w:spacing w:before="11"/>
              <w:ind w:left="22"/>
              <w:rPr>
                <w:sz w:val="12"/>
              </w:rPr>
            </w:pPr>
            <w:r>
              <w:rPr>
                <w:color w:val="231F20"/>
                <w:w w:val="97"/>
                <w:sz w:val="12"/>
              </w:rPr>
              <w:t>•</w:t>
            </w:r>
          </w:p>
        </w:tc>
        <w:tc>
          <w:tcPr>
            <w:tcW w:w="1399" w:type="dxa"/>
            <w:tcBorders>
              <w:top w:val="single" w:sz="6" w:space="0" w:color="231F20"/>
              <w:left w:val="single" w:sz="6" w:space="0" w:color="231F20"/>
              <w:bottom w:val="single" w:sz="6" w:space="0" w:color="231F20"/>
              <w:right w:val="single" w:sz="6" w:space="0" w:color="231F20"/>
            </w:tcBorders>
            <w:shd w:val="clear" w:color="auto" w:fill="CCE7D3"/>
          </w:tcPr>
          <w:p w14:paraId="1CC0E43D" w14:textId="77777777" w:rsidR="009948F1" w:rsidRDefault="009948F1">
            <w:pPr>
              <w:pStyle w:val="TableParagraph"/>
              <w:rPr>
                <w:rFonts w:ascii="Times New Roman"/>
                <w:sz w:val="10"/>
              </w:rPr>
            </w:pPr>
          </w:p>
        </w:tc>
        <w:tc>
          <w:tcPr>
            <w:tcW w:w="1476" w:type="dxa"/>
            <w:tcBorders>
              <w:top w:val="single" w:sz="6" w:space="0" w:color="231F20"/>
              <w:left w:val="single" w:sz="6" w:space="0" w:color="231F20"/>
              <w:bottom w:val="single" w:sz="6" w:space="0" w:color="231F20"/>
              <w:right w:val="single" w:sz="6" w:space="0" w:color="231F20"/>
            </w:tcBorders>
            <w:shd w:val="clear" w:color="auto" w:fill="CCE7D3"/>
          </w:tcPr>
          <w:p w14:paraId="2F00AFD5" w14:textId="77777777" w:rsidR="009948F1" w:rsidRDefault="009948F1">
            <w:pPr>
              <w:pStyle w:val="TableParagraph"/>
              <w:rPr>
                <w:rFonts w:ascii="Times New Roman"/>
                <w:sz w:val="10"/>
              </w:rPr>
            </w:pPr>
          </w:p>
        </w:tc>
      </w:tr>
      <w:tr w:rsidR="009948F1" w14:paraId="666454AD" w14:textId="77777777">
        <w:trPr>
          <w:trHeight w:val="513"/>
        </w:trPr>
        <w:tc>
          <w:tcPr>
            <w:tcW w:w="1020" w:type="dxa"/>
            <w:gridSpan w:val="3"/>
            <w:tcBorders>
              <w:top w:val="nil"/>
              <w:left w:val="single" w:sz="6" w:space="0" w:color="231F20"/>
              <w:bottom w:val="nil"/>
              <w:right w:val="single" w:sz="6" w:space="0" w:color="231F20"/>
            </w:tcBorders>
          </w:tcPr>
          <w:p w14:paraId="1916D0BC" w14:textId="77777777" w:rsidR="009948F1" w:rsidRDefault="009948F1">
            <w:pPr>
              <w:pStyle w:val="TableParagraph"/>
              <w:rPr>
                <w:rFonts w:ascii="Times New Roman"/>
                <w:sz w:val="10"/>
              </w:rPr>
            </w:pPr>
          </w:p>
        </w:tc>
        <w:tc>
          <w:tcPr>
            <w:tcW w:w="516" w:type="dxa"/>
            <w:tcBorders>
              <w:top w:val="single" w:sz="6" w:space="0" w:color="231F20"/>
              <w:left w:val="single" w:sz="6" w:space="0" w:color="231F20"/>
              <w:bottom w:val="single" w:sz="6" w:space="0" w:color="231F20"/>
              <w:right w:val="single" w:sz="6" w:space="0" w:color="231F20"/>
            </w:tcBorders>
          </w:tcPr>
          <w:p w14:paraId="1B527924" w14:textId="77777777" w:rsidR="009948F1" w:rsidRDefault="009948F1">
            <w:pPr>
              <w:pStyle w:val="TableParagraph"/>
              <w:spacing w:before="4"/>
              <w:rPr>
                <w:sz w:val="16"/>
              </w:rPr>
            </w:pPr>
          </w:p>
          <w:p w14:paraId="45FE2070" w14:textId="77777777" w:rsidR="009948F1" w:rsidRDefault="00BC0563">
            <w:pPr>
              <w:pStyle w:val="TableParagraph"/>
              <w:ind w:left="47"/>
              <w:rPr>
                <w:sz w:val="12"/>
              </w:rPr>
            </w:pPr>
            <w:r>
              <w:rPr>
                <w:color w:val="231F20"/>
                <w:sz w:val="12"/>
              </w:rPr>
              <w:t>13.1.4.a</w:t>
            </w:r>
          </w:p>
        </w:tc>
        <w:tc>
          <w:tcPr>
            <w:tcW w:w="4801" w:type="dxa"/>
            <w:gridSpan w:val="2"/>
            <w:tcBorders>
              <w:top w:val="single" w:sz="6" w:space="0" w:color="231F20"/>
              <w:left w:val="single" w:sz="6" w:space="0" w:color="231F20"/>
              <w:bottom w:val="single" w:sz="6" w:space="0" w:color="231F20"/>
              <w:right w:val="single" w:sz="6" w:space="0" w:color="231F20"/>
            </w:tcBorders>
          </w:tcPr>
          <w:p w14:paraId="412F31AB" w14:textId="77777777" w:rsidR="009948F1" w:rsidRDefault="009948F1">
            <w:pPr>
              <w:pStyle w:val="TableParagraph"/>
              <w:spacing w:before="10"/>
              <w:rPr>
                <w:sz w:val="15"/>
              </w:rPr>
            </w:pPr>
          </w:p>
          <w:p w14:paraId="4A9143D0" w14:textId="77777777" w:rsidR="009948F1" w:rsidRDefault="00BC0563">
            <w:pPr>
              <w:pStyle w:val="TableParagraph"/>
              <w:spacing w:before="1"/>
              <w:ind w:left="21"/>
              <w:rPr>
                <w:sz w:val="12"/>
              </w:rPr>
            </w:pPr>
            <w:r>
              <w:rPr>
                <w:color w:val="231F20"/>
                <w:sz w:val="12"/>
              </w:rPr>
              <w:t>Advocate for increased funding for research institutions in the country</w:t>
            </w:r>
          </w:p>
        </w:tc>
        <w:tc>
          <w:tcPr>
            <w:tcW w:w="1399" w:type="dxa"/>
            <w:tcBorders>
              <w:top w:val="single" w:sz="6" w:space="0" w:color="231F20"/>
              <w:left w:val="single" w:sz="6" w:space="0" w:color="231F20"/>
              <w:bottom w:val="single" w:sz="6" w:space="0" w:color="231F20"/>
              <w:right w:val="single" w:sz="6" w:space="0" w:color="231F20"/>
            </w:tcBorders>
          </w:tcPr>
          <w:p w14:paraId="41E36279" w14:textId="77777777" w:rsidR="009948F1" w:rsidRDefault="009948F1">
            <w:pPr>
              <w:pStyle w:val="TableParagraph"/>
              <w:spacing w:before="4"/>
              <w:rPr>
                <w:sz w:val="16"/>
              </w:rPr>
            </w:pPr>
          </w:p>
          <w:p w14:paraId="4B45829D"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44B0A5E4" w14:textId="77777777" w:rsidR="009948F1" w:rsidRDefault="009948F1">
            <w:pPr>
              <w:pStyle w:val="TableParagraph"/>
              <w:spacing w:before="4"/>
              <w:rPr>
                <w:sz w:val="16"/>
              </w:rPr>
            </w:pPr>
          </w:p>
          <w:p w14:paraId="47D8E209" w14:textId="77777777" w:rsidR="009948F1" w:rsidRDefault="00BC0563">
            <w:pPr>
              <w:pStyle w:val="TableParagraph"/>
              <w:ind w:left="23"/>
              <w:rPr>
                <w:sz w:val="12"/>
              </w:rPr>
            </w:pPr>
            <w:r>
              <w:rPr>
                <w:color w:val="231F20"/>
                <w:sz w:val="12"/>
              </w:rPr>
              <w:t>No cost</w:t>
            </w:r>
          </w:p>
        </w:tc>
      </w:tr>
      <w:tr w:rsidR="009948F1" w14:paraId="4C903FD2" w14:textId="77777777">
        <w:trPr>
          <w:trHeight w:val="806"/>
        </w:trPr>
        <w:tc>
          <w:tcPr>
            <w:tcW w:w="574" w:type="dxa"/>
            <w:gridSpan w:val="2"/>
            <w:tcBorders>
              <w:top w:val="nil"/>
              <w:left w:val="single" w:sz="6" w:space="0" w:color="231F20"/>
              <w:bottom w:val="nil"/>
              <w:right w:val="single" w:sz="6" w:space="0" w:color="231F20"/>
            </w:tcBorders>
          </w:tcPr>
          <w:p w14:paraId="32114FC8" w14:textId="77777777" w:rsidR="009948F1" w:rsidRDefault="009948F1">
            <w:pPr>
              <w:pStyle w:val="TableParagraph"/>
              <w:rPr>
                <w:rFonts w:ascii="Times New Roman"/>
                <w:sz w:val="10"/>
              </w:rPr>
            </w:pPr>
          </w:p>
        </w:tc>
        <w:tc>
          <w:tcPr>
            <w:tcW w:w="446" w:type="dxa"/>
            <w:tcBorders>
              <w:top w:val="single" w:sz="6" w:space="0" w:color="231F20"/>
              <w:left w:val="single" w:sz="6" w:space="0" w:color="231F20"/>
              <w:bottom w:val="single" w:sz="6" w:space="0" w:color="231F20"/>
              <w:right w:val="single" w:sz="6" w:space="0" w:color="231F20"/>
            </w:tcBorders>
            <w:shd w:val="clear" w:color="auto" w:fill="CCE7D3"/>
          </w:tcPr>
          <w:p w14:paraId="5D2E8AD0" w14:textId="77777777" w:rsidR="009948F1" w:rsidRDefault="009948F1">
            <w:pPr>
              <w:pStyle w:val="TableParagraph"/>
              <w:rPr>
                <w:sz w:val="12"/>
              </w:rPr>
            </w:pPr>
          </w:p>
          <w:p w14:paraId="5D9041A0" w14:textId="77777777" w:rsidR="009948F1" w:rsidRDefault="009948F1">
            <w:pPr>
              <w:pStyle w:val="TableParagraph"/>
              <w:spacing w:before="1"/>
              <w:rPr>
                <w:sz w:val="17"/>
              </w:rPr>
            </w:pPr>
          </w:p>
          <w:p w14:paraId="02327ED4" w14:textId="77777777" w:rsidR="009948F1" w:rsidRDefault="00BC0563">
            <w:pPr>
              <w:pStyle w:val="TableParagraph"/>
              <w:ind w:left="29" w:right="28"/>
              <w:jc w:val="center"/>
              <w:rPr>
                <w:sz w:val="12"/>
              </w:rPr>
            </w:pPr>
            <w:r>
              <w:rPr>
                <w:color w:val="231F20"/>
                <w:sz w:val="12"/>
              </w:rPr>
              <w:t>13.1.5</w:t>
            </w:r>
          </w:p>
        </w:tc>
        <w:tc>
          <w:tcPr>
            <w:tcW w:w="2979" w:type="dxa"/>
            <w:gridSpan w:val="2"/>
            <w:tcBorders>
              <w:top w:val="single" w:sz="6" w:space="0" w:color="231F20"/>
              <w:left w:val="single" w:sz="6" w:space="0" w:color="231F20"/>
              <w:bottom w:val="single" w:sz="6" w:space="0" w:color="231F20"/>
              <w:right w:val="single" w:sz="6" w:space="0" w:color="231F20"/>
            </w:tcBorders>
            <w:shd w:val="clear" w:color="auto" w:fill="CCE7D3"/>
          </w:tcPr>
          <w:p w14:paraId="66384D7A" w14:textId="77777777" w:rsidR="009948F1" w:rsidRDefault="009948F1">
            <w:pPr>
              <w:pStyle w:val="TableParagraph"/>
              <w:spacing w:before="8"/>
              <w:rPr>
                <w:sz w:val="15"/>
              </w:rPr>
            </w:pPr>
          </w:p>
          <w:p w14:paraId="19011F96" w14:textId="77777777" w:rsidR="009948F1" w:rsidRDefault="00BC0563">
            <w:pPr>
              <w:pStyle w:val="TableParagraph"/>
              <w:spacing w:line="259" w:lineRule="auto"/>
              <w:ind w:left="21" w:right="55" w:firstLine="64"/>
              <w:rPr>
                <w:sz w:val="12"/>
              </w:rPr>
            </w:pPr>
            <w:r>
              <w:rPr>
                <w:color w:val="231F20"/>
                <w:sz w:val="12"/>
              </w:rPr>
              <w:t>Strengthen</w:t>
            </w:r>
            <w:r>
              <w:rPr>
                <w:color w:val="231F20"/>
                <w:spacing w:val="-12"/>
                <w:sz w:val="12"/>
              </w:rPr>
              <w:t xml:space="preserve"> </w:t>
            </w:r>
            <w:r>
              <w:rPr>
                <w:color w:val="231F20"/>
                <w:sz w:val="12"/>
              </w:rPr>
              <w:t>institutions</w:t>
            </w:r>
            <w:r>
              <w:rPr>
                <w:color w:val="231F20"/>
                <w:spacing w:val="-11"/>
                <w:sz w:val="12"/>
              </w:rPr>
              <w:t xml:space="preserve"> </w:t>
            </w:r>
            <w:r>
              <w:rPr>
                <w:color w:val="231F20"/>
                <w:sz w:val="12"/>
              </w:rPr>
              <w:t>and</w:t>
            </w:r>
            <w:r>
              <w:rPr>
                <w:color w:val="231F20"/>
                <w:spacing w:val="-11"/>
                <w:sz w:val="12"/>
              </w:rPr>
              <w:t xml:space="preserve"> </w:t>
            </w:r>
            <w:r>
              <w:rPr>
                <w:color w:val="231F20"/>
                <w:sz w:val="12"/>
              </w:rPr>
              <w:t>systems</w:t>
            </w:r>
            <w:r>
              <w:rPr>
                <w:color w:val="231F20"/>
                <w:spacing w:val="-12"/>
                <w:sz w:val="12"/>
              </w:rPr>
              <w:t xml:space="preserve"> </w:t>
            </w:r>
            <w:r>
              <w:rPr>
                <w:color w:val="231F20"/>
                <w:sz w:val="12"/>
              </w:rPr>
              <w:t>at</w:t>
            </w:r>
            <w:r>
              <w:rPr>
                <w:color w:val="231F20"/>
                <w:spacing w:val="-11"/>
                <w:sz w:val="12"/>
              </w:rPr>
              <w:t xml:space="preserve"> </w:t>
            </w:r>
            <w:r>
              <w:rPr>
                <w:color w:val="231F20"/>
                <w:sz w:val="12"/>
              </w:rPr>
              <w:t>all</w:t>
            </w:r>
            <w:r>
              <w:rPr>
                <w:color w:val="231F20"/>
                <w:spacing w:val="-11"/>
                <w:sz w:val="12"/>
              </w:rPr>
              <w:t xml:space="preserve"> </w:t>
            </w:r>
            <w:r>
              <w:rPr>
                <w:color w:val="231F20"/>
                <w:sz w:val="12"/>
              </w:rPr>
              <w:t>levels</w:t>
            </w:r>
            <w:r>
              <w:rPr>
                <w:color w:val="231F20"/>
                <w:spacing w:val="-11"/>
                <w:sz w:val="12"/>
              </w:rPr>
              <w:t xml:space="preserve"> </w:t>
            </w:r>
            <w:r>
              <w:rPr>
                <w:color w:val="231F20"/>
                <w:sz w:val="12"/>
              </w:rPr>
              <w:t>for</w:t>
            </w:r>
            <w:r>
              <w:rPr>
                <w:color w:val="231F20"/>
                <w:spacing w:val="-12"/>
                <w:sz w:val="12"/>
              </w:rPr>
              <w:t xml:space="preserve"> </w:t>
            </w:r>
            <w:r>
              <w:rPr>
                <w:color w:val="231F20"/>
                <w:sz w:val="12"/>
              </w:rPr>
              <w:t>the promotion,</w:t>
            </w:r>
            <w:r>
              <w:rPr>
                <w:color w:val="231F20"/>
                <w:spacing w:val="-12"/>
                <w:sz w:val="12"/>
              </w:rPr>
              <w:t xml:space="preserve"> </w:t>
            </w:r>
            <w:r>
              <w:rPr>
                <w:color w:val="231F20"/>
                <w:sz w:val="12"/>
              </w:rPr>
              <w:t>regulation</w:t>
            </w:r>
            <w:r>
              <w:rPr>
                <w:color w:val="231F20"/>
                <w:spacing w:val="-12"/>
                <w:sz w:val="12"/>
              </w:rPr>
              <w:t xml:space="preserve"> </w:t>
            </w:r>
            <w:r>
              <w:rPr>
                <w:color w:val="231F20"/>
                <w:sz w:val="12"/>
              </w:rPr>
              <w:t>and</w:t>
            </w:r>
            <w:r>
              <w:rPr>
                <w:color w:val="231F20"/>
                <w:spacing w:val="-11"/>
                <w:sz w:val="12"/>
              </w:rPr>
              <w:t xml:space="preserve"> </w:t>
            </w:r>
            <w:r>
              <w:rPr>
                <w:color w:val="231F20"/>
                <w:sz w:val="12"/>
              </w:rPr>
              <w:t>ethical</w:t>
            </w:r>
            <w:r>
              <w:rPr>
                <w:color w:val="231F20"/>
                <w:spacing w:val="-12"/>
                <w:sz w:val="12"/>
              </w:rPr>
              <w:t xml:space="preserve"> </w:t>
            </w:r>
            <w:r>
              <w:rPr>
                <w:color w:val="231F20"/>
                <w:sz w:val="12"/>
              </w:rPr>
              <w:t>oversight</w:t>
            </w:r>
            <w:r>
              <w:rPr>
                <w:color w:val="231F20"/>
                <w:spacing w:val="-11"/>
                <w:sz w:val="12"/>
              </w:rPr>
              <w:t xml:space="preserve"> </w:t>
            </w:r>
            <w:r>
              <w:rPr>
                <w:color w:val="231F20"/>
                <w:sz w:val="12"/>
              </w:rPr>
              <w:t>of</w:t>
            </w:r>
            <w:r>
              <w:rPr>
                <w:color w:val="231F20"/>
                <w:spacing w:val="-12"/>
                <w:sz w:val="12"/>
              </w:rPr>
              <w:t xml:space="preserve"> </w:t>
            </w:r>
            <w:r>
              <w:rPr>
                <w:color w:val="231F20"/>
                <w:sz w:val="12"/>
              </w:rPr>
              <w:t>essential national health</w:t>
            </w:r>
            <w:r>
              <w:rPr>
                <w:color w:val="231F20"/>
                <w:spacing w:val="-4"/>
                <w:sz w:val="12"/>
              </w:rPr>
              <w:t xml:space="preserve"> </w:t>
            </w:r>
            <w:r>
              <w:rPr>
                <w:color w:val="231F20"/>
                <w:sz w:val="12"/>
              </w:rPr>
              <w:t>research</w:t>
            </w:r>
          </w:p>
        </w:tc>
        <w:tc>
          <w:tcPr>
            <w:tcW w:w="2338" w:type="dxa"/>
            <w:tcBorders>
              <w:top w:val="single" w:sz="6" w:space="0" w:color="231F20"/>
              <w:left w:val="single" w:sz="6" w:space="0" w:color="231F20"/>
              <w:bottom w:val="single" w:sz="6" w:space="0" w:color="231F20"/>
              <w:right w:val="single" w:sz="6" w:space="0" w:color="231F20"/>
            </w:tcBorders>
            <w:shd w:val="clear" w:color="auto" w:fill="CCE7D3"/>
          </w:tcPr>
          <w:p w14:paraId="5B2574F0" w14:textId="77777777" w:rsidR="009948F1" w:rsidRDefault="009948F1">
            <w:pPr>
              <w:pStyle w:val="TableParagraph"/>
              <w:spacing w:before="6"/>
              <w:rPr>
                <w:sz w:val="9"/>
              </w:rPr>
            </w:pPr>
          </w:p>
          <w:p w14:paraId="470404E9" w14:textId="77777777" w:rsidR="009948F1" w:rsidRDefault="00BC0563">
            <w:pPr>
              <w:pStyle w:val="TableParagraph"/>
              <w:numPr>
                <w:ilvl w:val="0"/>
                <w:numId w:val="29"/>
              </w:numPr>
              <w:tabs>
                <w:tab w:val="left" w:pos="96"/>
              </w:tabs>
              <w:spacing w:before="1"/>
              <w:ind w:left="95"/>
              <w:rPr>
                <w:sz w:val="12"/>
              </w:rPr>
            </w:pPr>
            <w:r>
              <w:rPr>
                <w:color w:val="231F20"/>
                <w:sz w:val="12"/>
              </w:rPr>
              <w:t>SHREC</w:t>
            </w:r>
            <w:r>
              <w:rPr>
                <w:color w:val="231F20"/>
                <w:spacing w:val="-2"/>
                <w:sz w:val="12"/>
              </w:rPr>
              <w:t xml:space="preserve"> </w:t>
            </w:r>
            <w:r>
              <w:rPr>
                <w:color w:val="231F20"/>
                <w:sz w:val="12"/>
              </w:rPr>
              <w:t>empowered</w:t>
            </w:r>
          </w:p>
          <w:p w14:paraId="003D43CD" w14:textId="77777777" w:rsidR="009948F1" w:rsidRDefault="00BC0563">
            <w:pPr>
              <w:pStyle w:val="TableParagraph"/>
              <w:numPr>
                <w:ilvl w:val="0"/>
                <w:numId w:val="29"/>
              </w:numPr>
              <w:tabs>
                <w:tab w:val="left" w:pos="96"/>
              </w:tabs>
              <w:spacing w:before="11"/>
              <w:ind w:left="95"/>
              <w:rPr>
                <w:sz w:val="12"/>
              </w:rPr>
            </w:pPr>
            <w:r>
              <w:rPr>
                <w:color w:val="231F20"/>
                <w:sz w:val="12"/>
              </w:rPr>
              <w:t>SHREC members</w:t>
            </w:r>
            <w:r>
              <w:rPr>
                <w:color w:val="231F20"/>
                <w:spacing w:val="-5"/>
                <w:sz w:val="12"/>
              </w:rPr>
              <w:t xml:space="preserve"> </w:t>
            </w:r>
            <w:r>
              <w:rPr>
                <w:color w:val="231F20"/>
                <w:sz w:val="12"/>
              </w:rPr>
              <w:t>trained</w:t>
            </w:r>
          </w:p>
          <w:p w14:paraId="495ECB31" w14:textId="77777777" w:rsidR="009948F1" w:rsidRDefault="00BC0563">
            <w:pPr>
              <w:pStyle w:val="TableParagraph"/>
              <w:numPr>
                <w:ilvl w:val="0"/>
                <w:numId w:val="29"/>
              </w:numPr>
              <w:tabs>
                <w:tab w:val="left" w:pos="96"/>
              </w:tabs>
              <w:spacing w:before="11" w:line="259" w:lineRule="auto"/>
              <w:ind w:right="356" w:firstLine="0"/>
              <w:rPr>
                <w:sz w:val="12"/>
              </w:rPr>
            </w:pPr>
            <w:r>
              <w:rPr>
                <w:color w:val="231F20"/>
                <w:sz w:val="12"/>
              </w:rPr>
              <w:t>Infrastructure in health research institutions</w:t>
            </w:r>
            <w:r>
              <w:rPr>
                <w:color w:val="231F20"/>
                <w:spacing w:val="-12"/>
                <w:sz w:val="12"/>
              </w:rPr>
              <w:t xml:space="preserve"> </w:t>
            </w:r>
            <w:r>
              <w:rPr>
                <w:color w:val="231F20"/>
                <w:sz w:val="12"/>
              </w:rPr>
              <w:t>developed</w:t>
            </w:r>
            <w:r>
              <w:rPr>
                <w:color w:val="231F20"/>
                <w:spacing w:val="-11"/>
                <w:sz w:val="12"/>
              </w:rPr>
              <w:t xml:space="preserve"> </w:t>
            </w:r>
            <w:r>
              <w:rPr>
                <w:color w:val="231F20"/>
                <w:sz w:val="12"/>
              </w:rPr>
              <w:t>&amp;</w:t>
            </w:r>
            <w:r>
              <w:rPr>
                <w:color w:val="231F20"/>
                <w:spacing w:val="-11"/>
                <w:sz w:val="12"/>
              </w:rPr>
              <w:t xml:space="preserve"> </w:t>
            </w:r>
            <w:r>
              <w:rPr>
                <w:color w:val="231F20"/>
                <w:spacing w:val="-3"/>
                <w:sz w:val="12"/>
              </w:rPr>
              <w:t>strengthened</w:t>
            </w:r>
          </w:p>
        </w:tc>
        <w:tc>
          <w:tcPr>
            <w:tcW w:w="1399" w:type="dxa"/>
            <w:tcBorders>
              <w:top w:val="single" w:sz="6" w:space="0" w:color="231F20"/>
              <w:left w:val="single" w:sz="6" w:space="0" w:color="231F20"/>
              <w:bottom w:val="single" w:sz="6" w:space="0" w:color="231F20"/>
              <w:right w:val="single" w:sz="6" w:space="0" w:color="231F20"/>
            </w:tcBorders>
            <w:shd w:val="clear" w:color="auto" w:fill="CCE7D3"/>
          </w:tcPr>
          <w:p w14:paraId="54A5E7B9" w14:textId="77777777" w:rsidR="009948F1" w:rsidRDefault="009948F1">
            <w:pPr>
              <w:pStyle w:val="TableParagraph"/>
              <w:rPr>
                <w:rFonts w:ascii="Times New Roman"/>
                <w:sz w:val="10"/>
              </w:rPr>
            </w:pPr>
          </w:p>
        </w:tc>
        <w:tc>
          <w:tcPr>
            <w:tcW w:w="1476" w:type="dxa"/>
            <w:tcBorders>
              <w:top w:val="single" w:sz="6" w:space="0" w:color="231F20"/>
              <w:left w:val="single" w:sz="6" w:space="0" w:color="231F20"/>
              <w:bottom w:val="single" w:sz="6" w:space="0" w:color="231F20"/>
              <w:right w:val="single" w:sz="6" w:space="0" w:color="231F20"/>
            </w:tcBorders>
            <w:shd w:val="clear" w:color="auto" w:fill="CCE7D3"/>
          </w:tcPr>
          <w:p w14:paraId="7BB79306" w14:textId="77777777" w:rsidR="009948F1" w:rsidRDefault="009948F1">
            <w:pPr>
              <w:pStyle w:val="TableParagraph"/>
              <w:rPr>
                <w:rFonts w:ascii="Times New Roman"/>
                <w:sz w:val="10"/>
              </w:rPr>
            </w:pPr>
          </w:p>
        </w:tc>
      </w:tr>
      <w:tr w:rsidR="009948F1" w14:paraId="438E8713" w14:textId="77777777">
        <w:trPr>
          <w:trHeight w:val="423"/>
        </w:trPr>
        <w:tc>
          <w:tcPr>
            <w:tcW w:w="1020" w:type="dxa"/>
            <w:gridSpan w:val="3"/>
            <w:vMerge w:val="restart"/>
            <w:tcBorders>
              <w:top w:val="nil"/>
              <w:left w:val="single" w:sz="6" w:space="0" w:color="231F20"/>
              <w:bottom w:val="single" w:sz="8" w:space="0" w:color="231F20"/>
              <w:right w:val="single" w:sz="6" w:space="0" w:color="231F20"/>
            </w:tcBorders>
          </w:tcPr>
          <w:p w14:paraId="54ED31D5" w14:textId="77777777" w:rsidR="009948F1" w:rsidRDefault="009948F1">
            <w:pPr>
              <w:pStyle w:val="TableParagraph"/>
              <w:rPr>
                <w:rFonts w:ascii="Times New Roman"/>
                <w:sz w:val="10"/>
              </w:rPr>
            </w:pPr>
          </w:p>
        </w:tc>
        <w:tc>
          <w:tcPr>
            <w:tcW w:w="516" w:type="dxa"/>
            <w:tcBorders>
              <w:top w:val="single" w:sz="6" w:space="0" w:color="231F20"/>
              <w:left w:val="single" w:sz="6" w:space="0" w:color="231F20"/>
              <w:bottom w:val="single" w:sz="6" w:space="0" w:color="231F20"/>
              <w:right w:val="single" w:sz="6" w:space="0" w:color="231F20"/>
            </w:tcBorders>
          </w:tcPr>
          <w:p w14:paraId="2A9D8A5A" w14:textId="77777777" w:rsidR="009948F1" w:rsidRDefault="009948F1">
            <w:pPr>
              <w:pStyle w:val="TableParagraph"/>
              <w:spacing w:before="6"/>
              <w:rPr>
                <w:sz w:val="12"/>
              </w:rPr>
            </w:pPr>
          </w:p>
          <w:p w14:paraId="78D16D97" w14:textId="77777777" w:rsidR="009948F1" w:rsidRDefault="00BC0563">
            <w:pPr>
              <w:pStyle w:val="TableParagraph"/>
              <w:ind w:left="47"/>
              <w:rPr>
                <w:sz w:val="12"/>
              </w:rPr>
            </w:pPr>
            <w:r>
              <w:rPr>
                <w:color w:val="231F20"/>
                <w:sz w:val="12"/>
              </w:rPr>
              <w:t>13.1.5.a</w:t>
            </w:r>
          </w:p>
        </w:tc>
        <w:tc>
          <w:tcPr>
            <w:tcW w:w="4801" w:type="dxa"/>
            <w:gridSpan w:val="2"/>
            <w:tcBorders>
              <w:top w:val="single" w:sz="6" w:space="0" w:color="231F20"/>
              <w:left w:val="single" w:sz="6" w:space="0" w:color="231F20"/>
              <w:bottom w:val="single" w:sz="6" w:space="0" w:color="231F20"/>
              <w:right w:val="single" w:sz="6" w:space="0" w:color="231F20"/>
            </w:tcBorders>
          </w:tcPr>
          <w:p w14:paraId="15664453" w14:textId="77777777" w:rsidR="009948F1" w:rsidRDefault="00BC0563">
            <w:pPr>
              <w:pStyle w:val="TableParagraph"/>
              <w:spacing w:before="64" w:line="259" w:lineRule="auto"/>
              <w:ind w:left="21" w:right="477"/>
              <w:rPr>
                <w:sz w:val="12"/>
              </w:rPr>
            </w:pPr>
            <w:r>
              <w:rPr>
                <w:color w:val="231F20"/>
                <w:sz w:val="12"/>
              </w:rPr>
              <w:t>Empower</w:t>
            </w:r>
            <w:r>
              <w:rPr>
                <w:color w:val="231F20"/>
                <w:spacing w:val="-14"/>
                <w:sz w:val="12"/>
              </w:rPr>
              <w:t xml:space="preserve"> </w:t>
            </w:r>
            <w:r>
              <w:rPr>
                <w:color w:val="231F20"/>
                <w:sz w:val="12"/>
              </w:rPr>
              <w:t>RSHMB</w:t>
            </w:r>
            <w:r>
              <w:rPr>
                <w:color w:val="231F20"/>
                <w:spacing w:val="-13"/>
                <w:sz w:val="12"/>
              </w:rPr>
              <w:t xml:space="preserve"> </w:t>
            </w:r>
            <w:r>
              <w:rPr>
                <w:color w:val="231F20"/>
                <w:sz w:val="12"/>
              </w:rPr>
              <w:t>to</w:t>
            </w:r>
            <w:r>
              <w:rPr>
                <w:color w:val="231F20"/>
                <w:spacing w:val="-14"/>
                <w:sz w:val="12"/>
              </w:rPr>
              <w:t xml:space="preserve"> </w:t>
            </w:r>
            <w:r>
              <w:rPr>
                <w:color w:val="231F20"/>
                <w:sz w:val="12"/>
              </w:rPr>
              <w:t>oversee,</w:t>
            </w:r>
            <w:r>
              <w:rPr>
                <w:color w:val="231F20"/>
                <w:spacing w:val="-13"/>
                <w:sz w:val="12"/>
              </w:rPr>
              <w:t xml:space="preserve"> </w:t>
            </w:r>
            <w:r>
              <w:rPr>
                <w:color w:val="231F20"/>
                <w:sz w:val="12"/>
              </w:rPr>
              <w:t>monitor</w:t>
            </w:r>
            <w:r>
              <w:rPr>
                <w:color w:val="231F20"/>
                <w:spacing w:val="-14"/>
                <w:sz w:val="12"/>
              </w:rPr>
              <w:t xml:space="preserve"> </w:t>
            </w:r>
            <w:r>
              <w:rPr>
                <w:color w:val="231F20"/>
                <w:sz w:val="12"/>
              </w:rPr>
              <w:t>&amp;</w:t>
            </w:r>
            <w:r>
              <w:rPr>
                <w:color w:val="231F20"/>
                <w:spacing w:val="-13"/>
                <w:sz w:val="12"/>
              </w:rPr>
              <w:t xml:space="preserve"> </w:t>
            </w:r>
            <w:r>
              <w:rPr>
                <w:color w:val="231F20"/>
                <w:sz w:val="12"/>
              </w:rPr>
              <w:t>review</w:t>
            </w:r>
            <w:r>
              <w:rPr>
                <w:color w:val="231F20"/>
                <w:spacing w:val="-14"/>
                <w:sz w:val="12"/>
              </w:rPr>
              <w:t xml:space="preserve"> </w:t>
            </w:r>
            <w:r>
              <w:rPr>
                <w:color w:val="231F20"/>
                <w:sz w:val="12"/>
              </w:rPr>
              <w:t>implementation</w:t>
            </w:r>
            <w:r>
              <w:rPr>
                <w:color w:val="231F20"/>
                <w:spacing w:val="-13"/>
                <w:sz w:val="12"/>
              </w:rPr>
              <w:t xml:space="preserve"> </w:t>
            </w:r>
            <w:r>
              <w:rPr>
                <w:color w:val="231F20"/>
                <w:sz w:val="12"/>
              </w:rPr>
              <w:t>of</w:t>
            </w:r>
            <w:r>
              <w:rPr>
                <w:color w:val="231F20"/>
                <w:spacing w:val="-14"/>
                <w:sz w:val="12"/>
              </w:rPr>
              <w:t xml:space="preserve"> </w:t>
            </w:r>
            <w:r>
              <w:rPr>
                <w:color w:val="231F20"/>
                <w:sz w:val="12"/>
              </w:rPr>
              <w:t>approved</w:t>
            </w:r>
            <w:r>
              <w:rPr>
                <w:color w:val="231F20"/>
                <w:spacing w:val="-13"/>
                <w:sz w:val="12"/>
              </w:rPr>
              <w:t xml:space="preserve"> </w:t>
            </w:r>
            <w:r>
              <w:rPr>
                <w:color w:val="231F20"/>
                <w:sz w:val="12"/>
              </w:rPr>
              <w:t>health research on human subjects across all</w:t>
            </w:r>
            <w:r>
              <w:rPr>
                <w:color w:val="231F20"/>
                <w:spacing w:val="-13"/>
                <w:sz w:val="12"/>
              </w:rPr>
              <w:t xml:space="preserve"> </w:t>
            </w:r>
            <w:r>
              <w:rPr>
                <w:color w:val="231F20"/>
                <w:sz w:val="12"/>
              </w:rPr>
              <w:t>levels</w:t>
            </w:r>
          </w:p>
        </w:tc>
        <w:tc>
          <w:tcPr>
            <w:tcW w:w="1399" w:type="dxa"/>
            <w:tcBorders>
              <w:top w:val="single" w:sz="6" w:space="0" w:color="231F20"/>
              <w:left w:val="single" w:sz="6" w:space="0" w:color="231F20"/>
              <w:bottom w:val="single" w:sz="6" w:space="0" w:color="231F20"/>
              <w:right w:val="single" w:sz="6" w:space="0" w:color="231F20"/>
            </w:tcBorders>
          </w:tcPr>
          <w:p w14:paraId="0F57F168" w14:textId="77777777" w:rsidR="009948F1" w:rsidRDefault="009948F1">
            <w:pPr>
              <w:pStyle w:val="TableParagraph"/>
              <w:spacing w:before="6"/>
              <w:rPr>
                <w:sz w:val="12"/>
              </w:rPr>
            </w:pPr>
          </w:p>
          <w:p w14:paraId="3BD4E0AC" w14:textId="77777777" w:rsidR="009948F1" w:rsidRDefault="00BC0563">
            <w:pPr>
              <w:pStyle w:val="TableParagraph"/>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70BC01AB" w14:textId="77777777" w:rsidR="009948F1" w:rsidRDefault="009948F1">
            <w:pPr>
              <w:pStyle w:val="TableParagraph"/>
              <w:spacing w:before="6"/>
              <w:rPr>
                <w:sz w:val="12"/>
              </w:rPr>
            </w:pPr>
          </w:p>
          <w:p w14:paraId="7798FF7E" w14:textId="77777777" w:rsidR="009948F1" w:rsidRDefault="00BC0563">
            <w:pPr>
              <w:pStyle w:val="TableParagraph"/>
              <w:ind w:left="23"/>
              <w:rPr>
                <w:sz w:val="12"/>
              </w:rPr>
            </w:pPr>
            <w:r>
              <w:rPr>
                <w:color w:val="231F20"/>
                <w:sz w:val="12"/>
              </w:rPr>
              <w:t>Empower RSHMB</w:t>
            </w:r>
          </w:p>
        </w:tc>
      </w:tr>
      <w:tr w:rsidR="009948F1" w14:paraId="1D566BE5" w14:textId="77777777">
        <w:trPr>
          <w:trHeight w:val="270"/>
        </w:trPr>
        <w:tc>
          <w:tcPr>
            <w:tcW w:w="1020" w:type="dxa"/>
            <w:gridSpan w:val="3"/>
            <w:vMerge/>
            <w:tcBorders>
              <w:top w:val="nil"/>
              <w:left w:val="single" w:sz="6" w:space="0" w:color="231F20"/>
              <w:bottom w:val="single" w:sz="8" w:space="0" w:color="231F20"/>
              <w:right w:val="single" w:sz="6" w:space="0" w:color="231F20"/>
            </w:tcBorders>
          </w:tcPr>
          <w:p w14:paraId="4DE0B8F2"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4123FBF9" w14:textId="77777777" w:rsidR="009948F1" w:rsidRDefault="00BC0563">
            <w:pPr>
              <w:pStyle w:val="TableParagraph"/>
              <w:spacing w:before="66"/>
              <w:ind w:left="47"/>
              <w:rPr>
                <w:sz w:val="12"/>
              </w:rPr>
            </w:pPr>
            <w:r>
              <w:rPr>
                <w:color w:val="231F20"/>
                <w:sz w:val="12"/>
              </w:rPr>
              <w:t>13.1.5.b</w:t>
            </w:r>
          </w:p>
        </w:tc>
        <w:tc>
          <w:tcPr>
            <w:tcW w:w="4801" w:type="dxa"/>
            <w:gridSpan w:val="2"/>
            <w:tcBorders>
              <w:top w:val="single" w:sz="6" w:space="0" w:color="231F20"/>
              <w:left w:val="single" w:sz="6" w:space="0" w:color="231F20"/>
              <w:bottom w:val="single" w:sz="6" w:space="0" w:color="231F20"/>
              <w:right w:val="single" w:sz="6" w:space="0" w:color="231F20"/>
            </w:tcBorders>
          </w:tcPr>
          <w:p w14:paraId="1C86540E" w14:textId="77777777" w:rsidR="009948F1" w:rsidRDefault="00BC0563">
            <w:pPr>
              <w:pStyle w:val="TableParagraph"/>
              <w:spacing w:before="62"/>
              <w:ind w:left="21"/>
              <w:rPr>
                <w:sz w:val="12"/>
              </w:rPr>
            </w:pPr>
            <w:r>
              <w:rPr>
                <w:color w:val="231F20"/>
                <w:sz w:val="12"/>
              </w:rPr>
              <w:t>Conduct training for SHREC members</w:t>
            </w:r>
          </w:p>
        </w:tc>
        <w:tc>
          <w:tcPr>
            <w:tcW w:w="1399" w:type="dxa"/>
            <w:tcBorders>
              <w:top w:val="single" w:sz="6" w:space="0" w:color="231F20"/>
              <w:left w:val="single" w:sz="6" w:space="0" w:color="231F20"/>
              <w:bottom w:val="single" w:sz="6" w:space="0" w:color="231F20"/>
              <w:right w:val="single" w:sz="6" w:space="0" w:color="231F20"/>
            </w:tcBorders>
          </w:tcPr>
          <w:p w14:paraId="68535355" w14:textId="77777777" w:rsidR="009948F1" w:rsidRDefault="00BC0563">
            <w:pPr>
              <w:pStyle w:val="TableParagraph"/>
              <w:spacing w:before="66"/>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5FB0D133" w14:textId="77777777" w:rsidR="009948F1" w:rsidRDefault="00BC0563">
            <w:pPr>
              <w:pStyle w:val="TableParagraph"/>
              <w:spacing w:before="66"/>
              <w:ind w:left="23"/>
              <w:rPr>
                <w:sz w:val="12"/>
              </w:rPr>
            </w:pPr>
            <w:r>
              <w:rPr>
                <w:color w:val="231F20"/>
                <w:sz w:val="12"/>
              </w:rPr>
              <w:t>Conduct training</w:t>
            </w:r>
          </w:p>
        </w:tc>
      </w:tr>
      <w:tr w:rsidR="009948F1" w14:paraId="4DE72595" w14:textId="77777777">
        <w:trPr>
          <w:trHeight w:val="284"/>
        </w:trPr>
        <w:tc>
          <w:tcPr>
            <w:tcW w:w="1020" w:type="dxa"/>
            <w:gridSpan w:val="3"/>
            <w:vMerge/>
            <w:tcBorders>
              <w:top w:val="nil"/>
              <w:left w:val="single" w:sz="6" w:space="0" w:color="231F20"/>
              <w:bottom w:val="single" w:sz="8" w:space="0" w:color="231F20"/>
              <w:right w:val="single" w:sz="6" w:space="0" w:color="231F20"/>
            </w:tcBorders>
          </w:tcPr>
          <w:p w14:paraId="1775E5EB" w14:textId="77777777" w:rsidR="009948F1" w:rsidRDefault="009948F1">
            <w:pPr>
              <w:rPr>
                <w:sz w:val="2"/>
                <w:szCs w:val="2"/>
              </w:rPr>
            </w:pPr>
          </w:p>
        </w:tc>
        <w:tc>
          <w:tcPr>
            <w:tcW w:w="516" w:type="dxa"/>
            <w:tcBorders>
              <w:top w:val="single" w:sz="6" w:space="0" w:color="231F20"/>
              <w:left w:val="single" w:sz="6" w:space="0" w:color="231F20"/>
              <w:bottom w:val="single" w:sz="6" w:space="0" w:color="231F20"/>
              <w:right w:val="single" w:sz="6" w:space="0" w:color="231F20"/>
            </w:tcBorders>
          </w:tcPr>
          <w:p w14:paraId="210224EA" w14:textId="77777777" w:rsidR="009948F1" w:rsidRDefault="00BC0563">
            <w:pPr>
              <w:pStyle w:val="TableParagraph"/>
              <w:spacing w:before="74"/>
              <w:ind w:left="51"/>
              <w:rPr>
                <w:sz w:val="12"/>
              </w:rPr>
            </w:pPr>
            <w:r>
              <w:rPr>
                <w:color w:val="231F20"/>
                <w:sz w:val="12"/>
              </w:rPr>
              <w:t>13.1.5.c</w:t>
            </w:r>
          </w:p>
        </w:tc>
        <w:tc>
          <w:tcPr>
            <w:tcW w:w="4801" w:type="dxa"/>
            <w:gridSpan w:val="2"/>
            <w:tcBorders>
              <w:top w:val="single" w:sz="6" w:space="0" w:color="231F20"/>
              <w:left w:val="single" w:sz="6" w:space="0" w:color="231F20"/>
              <w:bottom w:val="single" w:sz="6" w:space="0" w:color="231F20"/>
              <w:right w:val="single" w:sz="6" w:space="0" w:color="231F20"/>
            </w:tcBorders>
          </w:tcPr>
          <w:p w14:paraId="6A4EF5DA" w14:textId="77777777" w:rsidR="009948F1" w:rsidRDefault="00BC0563">
            <w:pPr>
              <w:pStyle w:val="TableParagraph"/>
              <w:spacing w:before="69"/>
              <w:ind w:left="21"/>
              <w:rPr>
                <w:sz w:val="12"/>
              </w:rPr>
            </w:pPr>
            <w:r>
              <w:rPr>
                <w:color w:val="231F20"/>
                <w:sz w:val="12"/>
              </w:rPr>
              <w:t>Develop/strengthen infrastructure in health research institutions</w:t>
            </w:r>
          </w:p>
        </w:tc>
        <w:tc>
          <w:tcPr>
            <w:tcW w:w="1399" w:type="dxa"/>
            <w:tcBorders>
              <w:top w:val="single" w:sz="6" w:space="0" w:color="231F20"/>
              <w:left w:val="single" w:sz="6" w:space="0" w:color="231F20"/>
              <w:bottom w:val="single" w:sz="6" w:space="0" w:color="231F20"/>
              <w:right w:val="single" w:sz="6" w:space="0" w:color="231F20"/>
            </w:tcBorders>
          </w:tcPr>
          <w:p w14:paraId="723AAC05" w14:textId="77777777" w:rsidR="009948F1" w:rsidRDefault="00BC0563">
            <w:pPr>
              <w:pStyle w:val="TableParagraph"/>
              <w:spacing w:before="74"/>
              <w:ind w:left="22"/>
              <w:rPr>
                <w:sz w:val="12"/>
              </w:rPr>
            </w:pPr>
            <w:r>
              <w:rPr>
                <w:color w:val="231F20"/>
                <w:sz w:val="12"/>
              </w:rPr>
              <w:t>Lack of funds</w:t>
            </w:r>
          </w:p>
        </w:tc>
        <w:tc>
          <w:tcPr>
            <w:tcW w:w="1476" w:type="dxa"/>
            <w:tcBorders>
              <w:top w:val="single" w:sz="6" w:space="0" w:color="231F20"/>
              <w:left w:val="single" w:sz="6" w:space="0" w:color="231F20"/>
              <w:bottom w:val="single" w:sz="6" w:space="0" w:color="231F20"/>
              <w:right w:val="single" w:sz="6" w:space="0" w:color="231F20"/>
            </w:tcBorders>
          </w:tcPr>
          <w:p w14:paraId="4FE6375F" w14:textId="77777777" w:rsidR="009948F1" w:rsidRDefault="00BC0563">
            <w:pPr>
              <w:pStyle w:val="TableParagraph"/>
              <w:spacing w:before="74"/>
              <w:ind w:left="23"/>
              <w:rPr>
                <w:sz w:val="12"/>
              </w:rPr>
            </w:pPr>
            <w:r>
              <w:rPr>
                <w:color w:val="231F20"/>
                <w:sz w:val="12"/>
              </w:rPr>
              <w:t>Costed in OHT</w:t>
            </w:r>
          </w:p>
        </w:tc>
      </w:tr>
      <w:tr w:rsidR="009948F1" w14:paraId="4DC7C107" w14:textId="77777777">
        <w:trPr>
          <w:trHeight w:val="288"/>
        </w:trPr>
        <w:tc>
          <w:tcPr>
            <w:tcW w:w="1020" w:type="dxa"/>
            <w:gridSpan w:val="3"/>
            <w:vMerge/>
            <w:tcBorders>
              <w:top w:val="nil"/>
              <w:left w:val="single" w:sz="6" w:space="0" w:color="231F20"/>
              <w:bottom w:val="single" w:sz="8" w:space="0" w:color="231F20"/>
              <w:right w:val="single" w:sz="6" w:space="0" w:color="231F20"/>
            </w:tcBorders>
          </w:tcPr>
          <w:p w14:paraId="37999873" w14:textId="77777777" w:rsidR="009948F1" w:rsidRDefault="009948F1">
            <w:pPr>
              <w:rPr>
                <w:sz w:val="2"/>
                <w:szCs w:val="2"/>
              </w:rPr>
            </w:pPr>
          </w:p>
        </w:tc>
        <w:tc>
          <w:tcPr>
            <w:tcW w:w="516" w:type="dxa"/>
            <w:tcBorders>
              <w:top w:val="single" w:sz="6" w:space="0" w:color="231F20"/>
              <w:left w:val="single" w:sz="6" w:space="0" w:color="231F20"/>
              <w:bottom w:val="single" w:sz="8" w:space="0" w:color="231F20"/>
              <w:right w:val="single" w:sz="6" w:space="0" w:color="231F20"/>
            </w:tcBorders>
          </w:tcPr>
          <w:p w14:paraId="1A7A4D05" w14:textId="77777777" w:rsidR="009948F1" w:rsidRDefault="00BC0563">
            <w:pPr>
              <w:pStyle w:val="TableParagraph"/>
              <w:spacing w:before="77"/>
              <w:ind w:left="47"/>
              <w:rPr>
                <w:sz w:val="12"/>
              </w:rPr>
            </w:pPr>
            <w:r>
              <w:rPr>
                <w:color w:val="231F20"/>
                <w:sz w:val="12"/>
              </w:rPr>
              <w:t>13.1.5.d</w:t>
            </w:r>
          </w:p>
        </w:tc>
        <w:tc>
          <w:tcPr>
            <w:tcW w:w="4801" w:type="dxa"/>
            <w:gridSpan w:val="2"/>
            <w:tcBorders>
              <w:top w:val="single" w:sz="6" w:space="0" w:color="231F20"/>
              <w:left w:val="single" w:sz="6" w:space="0" w:color="231F20"/>
              <w:bottom w:val="single" w:sz="8" w:space="0" w:color="231F20"/>
              <w:right w:val="single" w:sz="6" w:space="0" w:color="231F20"/>
            </w:tcBorders>
          </w:tcPr>
          <w:p w14:paraId="60E9791A" w14:textId="77777777" w:rsidR="009948F1" w:rsidRDefault="00BC0563">
            <w:pPr>
              <w:pStyle w:val="TableParagraph"/>
              <w:spacing w:line="135" w:lineRule="exact"/>
              <w:ind w:left="21"/>
              <w:rPr>
                <w:sz w:val="12"/>
              </w:rPr>
            </w:pPr>
            <w:r>
              <w:rPr>
                <w:color w:val="231F20"/>
                <w:sz w:val="12"/>
              </w:rPr>
              <w:t>Foster</w:t>
            </w:r>
            <w:r>
              <w:rPr>
                <w:color w:val="231F20"/>
                <w:spacing w:val="-11"/>
                <w:sz w:val="12"/>
              </w:rPr>
              <w:t xml:space="preserve"> </w:t>
            </w:r>
            <w:r>
              <w:rPr>
                <w:color w:val="231F20"/>
                <w:sz w:val="12"/>
              </w:rPr>
              <w:t>strategic</w:t>
            </w:r>
            <w:r>
              <w:rPr>
                <w:color w:val="231F20"/>
                <w:spacing w:val="-11"/>
                <w:sz w:val="12"/>
              </w:rPr>
              <w:t xml:space="preserve"> </w:t>
            </w:r>
            <w:r>
              <w:rPr>
                <w:color w:val="231F20"/>
                <w:sz w:val="12"/>
              </w:rPr>
              <w:t>partnerships</w:t>
            </w:r>
            <w:r>
              <w:rPr>
                <w:color w:val="231F20"/>
                <w:spacing w:val="-11"/>
                <w:sz w:val="12"/>
              </w:rPr>
              <w:t xml:space="preserve"> </w:t>
            </w:r>
            <w:r>
              <w:rPr>
                <w:color w:val="231F20"/>
                <w:sz w:val="12"/>
              </w:rPr>
              <w:t>at</w:t>
            </w:r>
            <w:r>
              <w:rPr>
                <w:color w:val="231F20"/>
                <w:spacing w:val="-11"/>
                <w:sz w:val="12"/>
              </w:rPr>
              <w:t xml:space="preserve"> </w:t>
            </w:r>
            <w:r>
              <w:rPr>
                <w:color w:val="231F20"/>
                <w:sz w:val="12"/>
              </w:rPr>
              <w:t>national</w:t>
            </w:r>
            <w:r>
              <w:rPr>
                <w:color w:val="231F20"/>
                <w:spacing w:val="-11"/>
                <w:sz w:val="12"/>
              </w:rPr>
              <w:t xml:space="preserve"> </w:t>
            </w:r>
            <w:r>
              <w:rPr>
                <w:color w:val="231F20"/>
                <w:sz w:val="12"/>
              </w:rPr>
              <w:t>and</w:t>
            </w:r>
            <w:r>
              <w:rPr>
                <w:color w:val="231F20"/>
                <w:spacing w:val="-11"/>
                <w:sz w:val="12"/>
              </w:rPr>
              <w:t xml:space="preserve"> </w:t>
            </w:r>
            <w:r>
              <w:rPr>
                <w:color w:val="231F20"/>
                <w:sz w:val="12"/>
              </w:rPr>
              <w:t>international</w:t>
            </w:r>
            <w:r>
              <w:rPr>
                <w:color w:val="231F20"/>
                <w:spacing w:val="-11"/>
                <w:sz w:val="12"/>
              </w:rPr>
              <w:t xml:space="preserve"> </w:t>
            </w:r>
            <w:r>
              <w:rPr>
                <w:color w:val="231F20"/>
                <w:sz w:val="12"/>
              </w:rPr>
              <w:t>levels</w:t>
            </w:r>
            <w:r>
              <w:rPr>
                <w:color w:val="231F20"/>
                <w:spacing w:val="-10"/>
                <w:sz w:val="12"/>
              </w:rPr>
              <w:t xml:space="preserve"> </w:t>
            </w:r>
            <w:r>
              <w:rPr>
                <w:color w:val="231F20"/>
                <w:sz w:val="12"/>
              </w:rPr>
              <w:t>for</w:t>
            </w:r>
            <w:r>
              <w:rPr>
                <w:color w:val="231F20"/>
                <w:spacing w:val="-11"/>
                <w:sz w:val="12"/>
              </w:rPr>
              <w:t xml:space="preserve"> </w:t>
            </w:r>
            <w:r>
              <w:rPr>
                <w:color w:val="231F20"/>
                <w:sz w:val="12"/>
              </w:rPr>
              <w:t>improved</w:t>
            </w:r>
            <w:r>
              <w:rPr>
                <w:color w:val="231F20"/>
                <w:spacing w:val="-11"/>
                <w:sz w:val="12"/>
              </w:rPr>
              <w:t xml:space="preserve"> </w:t>
            </w:r>
            <w:r>
              <w:rPr>
                <w:color w:val="231F20"/>
                <w:sz w:val="12"/>
              </w:rPr>
              <w:t>quality</w:t>
            </w:r>
            <w:r>
              <w:rPr>
                <w:color w:val="231F20"/>
                <w:spacing w:val="-11"/>
                <w:sz w:val="12"/>
              </w:rPr>
              <w:t xml:space="preserve"> </w:t>
            </w:r>
            <w:r>
              <w:rPr>
                <w:color w:val="231F20"/>
                <w:sz w:val="12"/>
              </w:rPr>
              <w:t>health</w:t>
            </w:r>
          </w:p>
          <w:p w14:paraId="77D7D4CD" w14:textId="77777777" w:rsidR="009948F1" w:rsidRDefault="00BC0563">
            <w:pPr>
              <w:pStyle w:val="TableParagraph"/>
              <w:spacing w:before="11" w:line="121" w:lineRule="exact"/>
              <w:ind w:left="21"/>
              <w:rPr>
                <w:sz w:val="12"/>
              </w:rPr>
            </w:pPr>
            <w:r>
              <w:rPr>
                <w:color w:val="231F20"/>
                <w:sz w:val="12"/>
              </w:rPr>
              <w:t>research output</w:t>
            </w:r>
          </w:p>
        </w:tc>
        <w:tc>
          <w:tcPr>
            <w:tcW w:w="1399" w:type="dxa"/>
            <w:tcBorders>
              <w:top w:val="single" w:sz="6" w:space="0" w:color="231F20"/>
              <w:left w:val="single" w:sz="6" w:space="0" w:color="231F20"/>
              <w:bottom w:val="single" w:sz="8" w:space="0" w:color="231F20"/>
              <w:right w:val="single" w:sz="6" w:space="0" w:color="231F20"/>
            </w:tcBorders>
          </w:tcPr>
          <w:p w14:paraId="2E0BAE11" w14:textId="77777777" w:rsidR="009948F1" w:rsidRDefault="00BC0563">
            <w:pPr>
              <w:pStyle w:val="TableParagraph"/>
              <w:spacing w:before="77"/>
              <w:ind w:left="22"/>
              <w:rPr>
                <w:sz w:val="12"/>
              </w:rPr>
            </w:pPr>
            <w:r>
              <w:rPr>
                <w:color w:val="231F20"/>
                <w:sz w:val="12"/>
              </w:rPr>
              <w:t>Lack of funds</w:t>
            </w:r>
          </w:p>
        </w:tc>
        <w:tc>
          <w:tcPr>
            <w:tcW w:w="1476" w:type="dxa"/>
            <w:tcBorders>
              <w:top w:val="single" w:sz="6" w:space="0" w:color="231F20"/>
              <w:left w:val="single" w:sz="6" w:space="0" w:color="231F20"/>
              <w:bottom w:val="single" w:sz="8" w:space="0" w:color="231F20"/>
              <w:right w:val="single" w:sz="6" w:space="0" w:color="231F20"/>
            </w:tcBorders>
          </w:tcPr>
          <w:p w14:paraId="112183BE" w14:textId="77777777" w:rsidR="009948F1" w:rsidRDefault="00BC0563">
            <w:pPr>
              <w:pStyle w:val="TableParagraph"/>
              <w:spacing w:before="77"/>
              <w:ind w:left="23"/>
              <w:rPr>
                <w:sz w:val="12"/>
              </w:rPr>
            </w:pPr>
            <w:r>
              <w:rPr>
                <w:color w:val="231F20"/>
                <w:sz w:val="12"/>
              </w:rPr>
              <w:t>Costed in 3.1.3b</w:t>
            </w:r>
          </w:p>
        </w:tc>
      </w:tr>
    </w:tbl>
    <w:p w14:paraId="0344FB72" w14:textId="77777777" w:rsidR="009948F1" w:rsidRDefault="009948F1">
      <w:pPr>
        <w:rPr>
          <w:sz w:val="12"/>
        </w:rPr>
        <w:sectPr w:rsidR="009948F1">
          <w:pgSz w:w="11910" w:h="16840"/>
          <w:pgMar w:top="1300" w:right="1080" w:bottom="1340" w:left="1120" w:header="0" w:footer="1155" w:gutter="0"/>
          <w:cols w:space="720"/>
        </w:sectPr>
      </w:pPr>
    </w:p>
    <w:tbl>
      <w:tblPr>
        <w:tblW w:w="0" w:type="auto"/>
        <w:tblInd w:w="2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2"/>
        <w:gridCol w:w="553"/>
        <w:gridCol w:w="2641"/>
        <w:gridCol w:w="2507"/>
        <w:gridCol w:w="1500"/>
        <w:gridCol w:w="1582"/>
      </w:tblGrid>
      <w:tr w:rsidR="009948F1" w14:paraId="325EFEC7" w14:textId="77777777">
        <w:trPr>
          <w:trHeight w:val="2013"/>
        </w:trPr>
        <w:tc>
          <w:tcPr>
            <w:tcW w:w="472" w:type="dxa"/>
            <w:tcBorders>
              <w:left w:val="single" w:sz="12" w:space="0" w:color="231F20"/>
              <w:right w:val="single" w:sz="6" w:space="0" w:color="231F20"/>
            </w:tcBorders>
            <w:shd w:val="clear" w:color="auto" w:fill="CCE7D3"/>
          </w:tcPr>
          <w:p w14:paraId="086EE5FC" w14:textId="77777777" w:rsidR="009948F1" w:rsidRDefault="009948F1">
            <w:pPr>
              <w:pStyle w:val="TableParagraph"/>
              <w:rPr>
                <w:sz w:val="20"/>
              </w:rPr>
            </w:pPr>
          </w:p>
          <w:p w14:paraId="2179B66A" w14:textId="77777777" w:rsidR="009948F1" w:rsidRDefault="009948F1">
            <w:pPr>
              <w:pStyle w:val="TableParagraph"/>
              <w:rPr>
                <w:sz w:val="20"/>
              </w:rPr>
            </w:pPr>
          </w:p>
          <w:p w14:paraId="5557BE03" w14:textId="77777777" w:rsidR="009948F1" w:rsidRDefault="009948F1">
            <w:pPr>
              <w:pStyle w:val="TableParagraph"/>
              <w:rPr>
                <w:sz w:val="20"/>
              </w:rPr>
            </w:pPr>
          </w:p>
          <w:p w14:paraId="22216EEB" w14:textId="77777777" w:rsidR="009948F1" w:rsidRDefault="009948F1">
            <w:pPr>
              <w:pStyle w:val="TableParagraph"/>
              <w:spacing w:before="5"/>
              <w:rPr>
                <w:sz w:val="17"/>
              </w:rPr>
            </w:pPr>
          </w:p>
          <w:p w14:paraId="77A8E5DD" w14:textId="77777777" w:rsidR="009948F1" w:rsidRDefault="00BC0563">
            <w:pPr>
              <w:pStyle w:val="TableParagraph"/>
              <w:ind w:left="22" w:right="25"/>
              <w:jc w:val="center"/>
              <w:rPr>
                <w:sz w:val="20"/>
              </w:rPr>
            </w:pPr>
            <w:bookmarkStart w:id="194" w:name="Page_168"/>
            <w:bookmarkEnd w:id="194"/>
            <w:r>
              <w:rPr>
                <w:color w:val="231F20"/>
                <w:w w:val="65"/>
                <w:sz w:val="20"/>
              </w:rPr>
              <w:t>13.1.6</w:t>
            </w:r>
          </w:p>
        </w:tc>
        <w:tc>
          <w:tcPr>
            <w:tcW w:w="3194" w:type="dxa"/>
            <w:gridSpan w:val="2"/>
            <w:tcBorders>
              <w:left w:val="single" w:sz="6" w:space="0" w:color="231F20"/>
              <w:right w:val="single" w:sz="6" w:space="0" w:color="231F20"/>
            </w:tcBorders>
            <w:shd w:val="clear" w:color="auto" w:fill="CCE7D3"/>
          </w:tcPr>
          <w:p w14:paraId="25874DD7" w14:textId="77777777" w:rsidR="009948F1" w:rsidRDefault="009948F1">
            <w:pPr>
              <w:pStyle w:val="TableParagraph"/>
              <w:rPr>
                <w:sz w:val="20"/>
              </w:rPr>
            </w:pPr>
          </w:p>
          <w:p w14:paraId="52C20300" w14:textId="77777777" w:rsidR="009948F1" w:rsidRDefault="009948F1">
            <w:pPr>
              <w:pStyle w:val="TableParagraph"/>
              <w:rPr>
                <w:sz w:val="20"/>
              </w:rPr>
            </w:pPr>
          </w:p>
          <w:p w14:paraId="77FA054B" w14:textId="77777777" w:rsidR="009948F1" w:rsidRDefault="00BC0563">
            <w:pPr>
              <w:pStyle w:val="TableParagraph"/>
              <w:spacing w:before="174" w:line="259" w:lineRule="auto"/>
              <w:ind w:left="27" w:right="321" w:firstLine="34"/>
              <w:rPr>
                <w:sz w:val="20"/>
              </w:rPr>
            </w:pPr>
            <w:r>
              <w:rPr>
                <w:color w:val="231F20"/>
                <w:w w:val="65"/>
                <w:sz w:val="20"/>
              </w:rPr>
              <w:t>Enhance</w:t>
            </w:r>
            <w:r>
              <w:rPr>
                <w:color w:val="231F20"/>
                <w:spacing w:val="-19"/>
                <w:w w:val="65"/>
                <w:sz w:val="20"/>
              </w:rPr>
              <w:t xml:space="preserve"> </w:t>
            </w:r>
            <w:r>
              <w:rPr>
                <w:color w:val="231F20"/>
                <w:w w:val="65"/>
                <w:sz w:val="20"/>
              </w:rPr>
              <w:t>strategic</w:t>
            </w:r>
            <w:r>
              <w:rPr>
                <w:color w:val="231F20"/>
                <w:spacing w:val="-18"/>
                <w:w w:val="65"/>
                <w:sz w:val="20"/>
              </w:rPr>
              <w:t xml:space="preserve"> </w:t>
            </w:r>
            <w:r>
              <w:rPr>
                <w:color w:val="231F20"/>
                <w:w w:val="65"/>
                <w:sz w:val="20"/>
              </w:rPr>
              <w:t>partnerships</w:t>
            </w:r>
            <w:r>
              <w:rPr>
                <w:color w:val="231F20"/>
                <w:spacing w:val="-18"/>
                <w:w w:val="65"/>
                <w:sz w:val="20"/>
              </w:rPr>
              <w:t xml:space="preserve"> </w:t>
            </w:r>
            <w:r>
              <w:rPr>
                <w:color w:val="231F20"/>
                <w:w w:val="65"/>
                <w:sz w:val="20"/>
              </w:rPr>
              <w:t>at</w:t>
            </w:r>
            <w:r>
              <w:rPr>
                <w:color w:val="231F20"/>
                <w:spacing w:val="-18"/>
                <w:w w:val="65"/>
                <w:sz w:val="20"/>
              </w:rPr>
              <w:t xml:space="preserve"> </w:t>
            </w:r>
            <w:r>
              <w:rPr>
                <w:color w:val="231F20"/>
                <w:w w:val="65"/>
                <w:sz w:val="20"/>
              </w:rPr>
              <w:t>the</w:t>
            </w:r>
            <w:r>
              <w:rPr>
                <w:color w:val="231F20"/>
                <w:spacing w:val="-19"/>
                <w:w w:val="65"/>
                <w:sz w:val="20"/>
              </w:rPr>
              <w:t xml:space="preserve"> </w:t>
            </w:r>
            <w:r>
              <w:rPr>
                <w:color w:val="231F20"/>
                <w:w w:val="65"/>
                <w:sz w:val="20"/>
              </w:rPr>
              <w:t>national</w:t>
            </w:r>
            <w:r>
              <w:rPr>
                <w:color w:val="231F20"/>
                <w:spacing w:val="-18"/>
                <w:w w:val="65"/>
                <w:sz w:val="20"/>
              </w:rPr>
              <w:t xml:space="preserve"> </w:t>
            </w:r>
            <w:r>
              <w:rPr>
                <w:color w:val="231F20"/>
                <w:spacing w:val="-4"/>
                <w:w w:val="65"/>
                <w:sz w:val="20"/>
              </w:rPr>
              <w:t xml:space="preserve">and </w:t>
            </w:r>
            <w:r>
              <w:rPr>
                <w:color w:val="231F20"/>
                <w:w w:val="65"/>
                <w:sz w:val="20"/>
              </w:rPr>
              <w:t xml:space="preserve">international levels for the promotion and timely </w:t>
            </w:r>
            <w:r>
              <w:rPr>
                <w:color w:val="231F20"/>
                <w:w w:val="70"/>
                <w:sz w:val="20"/>
              </w:rPr>
              <w:t>dissemination</w:t>
            </w:r>
            <w:r>
              <w:rPr>
                <w:color w:val="231F20"/>
                <w:spacing w:val="-12"/>
                <w:w w:val="70"/>
                <w:sz w:val="20"/>
              </w:rPr>
              <w:t xml:space="preserve"> </w:t>
            </w:r>
            <w:r>
              <w:rPr>
                <w:color w:val="231F20"/>
                <w:w w:val="70"/>
                <w:sz w:val="20"/>
              </w:rPr>
              <w:t>of</w:t>
            </w:r>
            <w:r>
              <w:rPr>
                <w:color w:val="231F20"/>
                <w:spacing w:val="-12"/>
                <w:w w:val="70"/>
                <w:sz w:val="20"/>
              </w:rPr>
              <w:t xml:space="preserve"> </w:t>
            </w:r>
            <w:r>
              <w:rPr>
                <w:color w:val="231F20"/>
                <w:w w:val="70"/>
                <w:sz w:val="20"/>
              </w:rPr>
              <w:t>research</w:t>
            </w:r>
            <w:r>
              <w:rPr>
                <w:color w:val="231F20"/>
                <w:spacing w:val="-11"/>
                <w:w w:val="70"/>
                <w:sz w:val="20"/>
              </w:rPr>
              <w:t xml:space="preserve"> </w:t>
            </w:r>
            <w:r>
              <w:rPr>
                <w:color w:val="231F20"/>
                <w:w w:val="70"/>
                <w:sz w:val="20"/>
              </w:rPr>
              <w:t>findings</w:t>
            </w:r>
          </w:p>
        </w:tc>
        <w:tc>
          <w:tcPr>
            <w:tcW w:w="2507" w:type="dxa"/>
            <w:tcBorders>
              <w:left w:val="single" w:sz="6" w:space="0" w:color="231F20"/>
              <w:right w:val="single" w:sz="6" w:space="0" w:color="231F20"/>
            </w:tcBorders>
            <w:shd w:val="clear" w:color="auto" w:fill="CCE7D3"/>
          </w:tcPr>
          <w:p w14:paraId="4DA9F679" w14:textId="77777777" w:rsidR="009948F1" w:rsidRDefault="00BC0563">
            <w:pPr>
              <w:pStyle w:val="TableParagraph"/>
              <w:numPr>
                <w:ilvl w:val="0"/>
                <w:numId w:val="28"/>
              </w:numPr>
              <w:tabs>
                <w:tab w:val="left" w:pos="107"/>
              </w:tabs>
              <w:spacing w:before="24" w:line="208" w:lineRule="auto"/>
              <w:ind w:right="358" w:firstLine="0"/>
              <w:rPr>
                <w:sz w:val="20"/>
              </w:rPr>
            </w:pPr>
            <w:r>
              <w:rPr>
                <w:color w:val="231F20"/>
                <w:w w:val="65"/>
                <w:sz w:val="20"/>
              </w:rPr>
              <w:t>Memorandum</w:t>
            </w:r>
            <w:r>
              <w:rPr>
                <w:color w:val="231F20"/>
                <w:spacing w:val="-25"/>
                <w:w w:val="65"/>
                <w:sz w:val="20"/>
              </w:rPr>
              <w:t xml:space="preserve"> </w:t>
            </w:r>
            <w:r>
              <w:rPr>
                <w:color w:val="231F20"/>
                <w:w w:val="65"/>
                <w:sz w:val="20"/>
              </w:rPr>
              <w:t>of</w:t>
            </w:r>
            <w:r>
              <w:rPr>
                <w:color w:val="231F20"/>
                <w:spacing w:val="-24"/>
                <w:w w:val="65"/>
                <w:sz w:val="20"/>
              </w:rPr>
              <w:t xml:space="preserve"> </w:t>
            </w:r>
            <w:r>
              <w:rPr>
                <w:color w:val="231F20"/>
                <w:w w:val="65"/>
                <w:sz w:val="20"/>
              </w:rPr>
              <w:t>Understanding</w:t>
            </w:r>
            <w:r>
              <w:rPr>
                <w:color w:val="231F20"/>
                <w:spacing w:val="-25"/>
                <w:w w:val="65"/>
                <w:sz w:val="20"/>
              </w:rPr>
              <w:t xml:space="preserve"> </w:t>
            </w:r>
            <w:r>
              <w:rPr>
                <w:color w:val="231F20"/>
                <w:w w:val="65"/>
                <w:sz w:val="20"/>
              </w:rPr>
              <w:t>with national</w:t>
            </w:r>
            <w:r>
              <w:rPr>
                <w:color w:val="231F20"/>
                <w:spacing w:val="-15"/>
                <w:w w:val="65"/>
                <w:sz w:val="20"/>
              </w:rPr>
              <w:t xml:space="preserve"> </w:t>
            </w:r>
            <w:r>
              <w:rPr>
                <w:color w:val="231F20"/>
                <w:w w:val="65"/>
                <w:sz w:val="20"/>
              </w:rPr>
              <w:t>and</w:t>
            </w:r>
            <w:r>
              <w:rPr>
                <w:color w:val="231F20"/>
                <w:spacing w:val="-14"/>
                <w:w w:val="65"/>
                <w:sz w:val="20"/>
              </w:rPr>
              <w:t xml:space="preserve"> </w:t>
            </w:r>
            <w:r>
              <w:rPr>
                <w:color w:val="231F20"/>
                <w:w w:val="65"/>
                <w:sz w:val="20"/>
              </w:rPr>
              <w:t>international</w:t>
            </w:r>
            <w:r>
              <w:rPr>
                <w:color w:val="231F20"/>
                <w:spacing w:val="-15"/>
                <w:w w:val="65"/>
                <w:sz w:val="20"/>
              </w:rPr>
              <w:t xml:space="preserve"> </w:t>
            </w:r>
            <w:r>
              <w:rPr>
                <w:color w:val="231F20"/>
                <w:w w:val="65"/>
                <w:sz w:val="20"/>
              </w:rPr>
              <w:t>partners</w:t>
            </w:r>
            <w:r>
              <w:rPr>
                <w:color w:val="231F20"/>
                <w:spacing w:val="-14"/>
                <w:w w:val="65"/>
                <w:sz w:val="20"/>
              </w:rPr>
              <w:t xml:space="preserve"> </w:t>
            </w:r>
            <w:r>
              <w:rPr>
                <w:color w:val="231F20"/>
                <w:w w:val="65"/>
                <w:sz w:val="20"/>
              </w:rPr>
              <w:t xml:space="preserve">to </w:t>
            </w:r>
            <w:r>
              <w:rPr>
                <w:color w:val="231F20"/>
                <w:w w:val="60"/>
                <w:sz w:val="20"/>
              </w:rPr>
              <w:t>promote research activities</w:t>
            </w:r>
            <w:r>
              <w:rPr>
                <w:color w:val="231F20"/>
                <w:spacing w:val="-12"/>
                <w:w w:val="60"/>
                <w:sz w:val="20"/>
              </w:rPr>
              <w:t xml:space="preserve"> </w:t>
            </w:r>
            <w:r>
              <w:rPr>
                <w:color w:val="231F20"/>
                <w:w w:val="60"/>
                <w:sz w:val="20"/>
              </w:rPr>
              <w:t>developed</w:t>
            </w:r>
          </w:p>
          <w:p w14:paraId="0C614CE9" w14:textId="77777777" w:rsidR="009948F1" w:rsidRDefault="00BC0563">
            <w:pPr>
              <w:pStyle w:val="TableParagraph"/>
              <w:numPr>
                <w:ilvl w:val="0"/>
                <w:numId w:val="28"/>
              </w:numPr>
              <w:tabs>
                <w:tab w:val="left" w:pos="73"/>
              </w:tabs>
              <w:spacing w:before="6" w:line="216" w:lineRule="auto"/>
              <w:ind w:right="143" w:firstLine="0"/>
              <w:rPr>
                <w:sz w:val="20"/>
              </w:rPr>
            </w:pPr>
            <w:r>
              <w:rPr>
                <w:color w:val="231F20"/>
                <w:w w:val="65"/>
                <w:sz w:val="20"/>
              </w:rPr>
              <w:t>Existing and potential health research entities</w:t>
            </w:r>
            <w:r>
              <w:rPr>
                <w:color w:val="231F20"/>
                <w:spacing w:val="-21"/>
                <w:w w:val="65"/>
                <w:sz w:val="20"/>
              </w:rPr>
              <w:t xml:space="preserve"> </w:t>
            </w:r>
            <w:r>
              <w:rPr>
                <w:color w:val="231F20"/>
                <w:w w:val="65"/>
                <w:sz w:val="20"/>
              </w:rPr>
              <w:t>at</w:t>
            </w:r>
            <w:r>
              <w:rPr>
                <w:color w:val="231F20"/>
                <w:spacing w:val="-20"/>
                <w:w w:val="65"/>
                <w:sz w:val="20"/>
              </w:rPr>
              <w:t xml:space="preserve"> </w:t>
            </w:r>
            <w:r>
              <w:rPr>
                <w:color w:val="231F20"/>
                <w:w w:val="65"/>
                <w:sz w:val="20"/>
              </w:rPr>
              <w:t>national</w:t>
            </w:r>
            <w:r>
              <w:rPr>
                <w:color w:val="231F20"/>
                <w:spacing w:val="-21"/>
                <w:w w:val="65"/>
                <w:sz w:val="20"/>
              </w:rPr>
              <w:t xml:space="preserve"> </w:t>
            </w:r>
            <w:r>
              <w:rPr>
                <w:color w:val="231F20"/>
                <w:w w:val="65"/>
                <w:sz w:val="20"/>
              </w:rPr>
              <w:t>and</w:t>
            </w:r>
            <w:r>
              <w:rPr>
                <w:color w:val="231F20"/>
                <w:spacing w:val="-20"/>
                <w:w w:val="65"/>
                <w:sz w:val="20"/>
              </w:rPr>
              <w:t xml:space="preserve"> </w:t>
            </w:r>
            <w:r>
              <w:rPr>
                <w:color w:val="231F20"/>
                <w:w w:val="65"/>
                <w:sz w:val="20"/>
              </w:rPr>
              <w:t>international</w:t>
            </w:r>
            <w:r>
              <w:rPr>
                <w:color w:val="231F20"/>
                <w:spacing w:val="-20"/>
                <w:w w:val="65"/>
                <w:sz w:val="20"/>
              </w:rPr>
              <w:t xml:space="preserve"> </w:t>
            </w:r>
            <w:r>
              <w:rPr>
                <w:color w:val="231F20"/>
                <w:w w:val="65"/>
                <w:sz w:val="20"/>
              </w:rPr>
              <w:t xml:space="preserve">levels </w:t>
            </w:r>
            <w:r>
              <w:rPr>
                <w:color w:val="231F20"/>
                <w:w w:val="70"/>
                <w:sz w:val="20"/>
              </w:rPr>
              <w:t>mapped</w:t>
            </w:r>
          </w:p>
          <w:p w14:paraId="0BD04F07" w14:textId="77777777" w:rsidR="009948F1" w:rsidRDefault="00BC0563">
            <w:pPr>
              <w:pStyle w:val="TableParagraph"/>
              <w:numPr>
                <w:ilvl w:val="0"/>
                <w:numId w:val="28"/>
              </w:numPr>
              <w:tabs>
                <w:tab w:val="left" w:pos="107"/>
              </w:tabs>
              <w:spacing w:line="259" w:lineRule="auto"/>
              <w:ind w:right="30" w:firstLine="0"/>
              <w:rPr>
                <w:sz w:val="20"/>
              </w:rPr>
            </w:pPr>
            <w:r>
              <w:rPr>
                <w:color w:val="231F20"/>
                <w:w w:val="60"/>
                <w:sz w:val="20"/>
              </w:rPr>
              <w:t xml:space="preserve">Sensitization workshops for policy makers, </w:t>
            </w:r>
            <w:r>
              <w:rPr>
                <w:color w:val="231F20"/>
                <w:w w:val="70"/>
                <w:sz w:val="20"/>
              </w:rPr>
              <w:t>health care providers and other target audiences</w:t>
            </w:r>
            <w:r>
              <w:rPr>
                <w:color w:val="231F20"/>
                <w:spacing w:val="-7"/>
                <w:w w:val="70"/>
                <w:sz w:val="20"/>
              </w:rPr>
              <w:t xml:space="preserve"> </w:t>
            </w:r>
            <w:r>
              <w:rPr>
                <w:color w:val="231F20"/>
                <w:w w:val="70"/>
                <w:sz w:val="20"/>
              </w:rPr>
              <w:t>done</w:t>
            </w:r>
          </w:p>
        </w:tc>
        <w:tc>
          <w:tcPr>
            <w:tcW w:w="1500" w:type="dxa"/>
            <w:tcBorders>
              <w:left w:val="single" w:sz="6" w:space="0" w:color="231F20"/>
              <w:right w:val="single" w:sz="6" w:space="0" w:color="231F20"/>
            </w:tcBorders>
            <w:shd w:val="clear" w:color="auto" w:fill="CCE7D3"/>
          </w:tcPr>
          <w:p w14:paraId="517484DA" w14:textId="77777777" w:rsidR="009948F1" w:rsidRDefault="009948F1">
            <w:pPr>
              <w:pStyle w:val="TableParagraph"/>
              <w:rPr>
                <w:rFonts w:ascii="Times New Roman"/>
                <w:sz w:val="12"/>
              </w:rPr>
            </w:pPr>
          </w:p>
        </w:tc>
        <w:tc>
          <w:tcPr>
            <w:tcW w:w="1582" w:type="dxa"/>
            <w:tcBorders>
              <w:left w:val="single" w:sz="6" w:space="0" w:color="231F20"/>
              <w:right w:val="single" w:sz="6" w:space="0" w:color="231F20"/>
            </w:tcBorders>
            <w:shd w:val="clear" w:color="auto" w:fill="CCE7D3"/>
          </w:tcPr>
          <w:p w14:paraId="7E1979B5" w14:textId="77777777" w:rsidR="009948F1" w:rsidRDefault="009948F1">
            <w:pPr>
              <w:pStyle w:val="TableParagraph"/>
              <w:rPr>
                <w:rFonts w:ascii="Times New Roman"/>
                <w:sz w:val="12"/>
              </w:rPr>
            </w:pPr>
          </w:p>
        </w:tc>
      </w:tr>
      <w:tr w:rsidR="009948F1" w14:paraId="68542B73" w14:textId="77777777">
        <w:trPr>
          <w:trHeight w:val="628"/>
        </w:trPr>
        <w:tc>
          <w:tcPr>
            <w:tcW w:w="472" w:type="dxa"/>
            <w:vMerge w:val="restart"/>
            <w:tcBorders>
              <w:right w:val="single" w:sz="6" w:space="0" w:color="231F20"/>
            </w:tcBorders>
          </w:tcPr>
          <w:p w14:paraId="0160F309" w14:textId="77777777" w:rsidR="009948F1" w:rsidRDefault="009948F1">
            <w:pPr>
              <w:pStyle w:val="TableParagraph"/>
              <w:rPr>
                <w:rFonts w:ascii="Times New Roman"/>
                <w:sz w:val="12"/>
              </w:rPr>
            </w:pPr>
          </w:p>
        </w:tc>
        <w:tc>
          <w:tcPr>
            <w:tcW w:w="553" w:type="dxa"/>
            <w:tcBorders>
              <w:left w:val="single" w:sz="6" w:space="0" w:color="231F20"/>
              <w:right w:val="single" w:sz="6" w:space="0" w:color="231F20"/>
            </w:tcBorders>
          </w:tcPr>
          <w:p w14:paraId="7F585278" w14:textId="77777777" w:rsidR="009948F1" w:rsidRDefault="009948F1">
            <w:pPr>
              <w:pStyle w:val="TableParagraph"/>
              <w:spacing w:before="2"/>
              <w:rPr>
                <w:sz w:val="17"/>
              </w:rPr>
            </w:pPr>
          </w:p>
          <w:p w14:paraId="7A60BA41" w14:textId="77777777" w:rsidR="009948F1" w:rsidRDefault="00BC0563">
            <w:pPr>
              <w:pStyle w:val="TableParagraph"/>
              <w:spacing w:before="1"/>
              <w:ind w:right="29"/>
              <w:jc w:val="right"/>
              <w:rPr>
                <w:sz w:val="20"/>
              </w:rPr>
            </w:pPr>
            <w:r>
              <w:rPr>
                <w:color w:val="231F20"/>
                <w:w w:val="60"/>
                <w:sz w:val="20"/>
              </w:rPr>
              <w:t>13.1.6.a</w:t>
            </w:r>
          </w:p>
        </w:tc>
        <w:tc>
          <w:tcPr>
            <w:tcW w:w="5148" w:type="dxa"/>
            <w:gridSpan w:val="2"/>
            <w:tcBorders>
              <w:left w:val="single" w:sz="6" w:space="0" w:color="231F20"/>
              <w:right w:val="single" w:sz="6" w:space="0" w:color="231F20"/>
            </w:tcBorders>
          </w:tcPr>
          <w:p w14:paraId="6BD6544F" w14:textId="77777777" w:rsidR="009948F1" w:rsidRDefault="00BC0563">
            <w:pPr>
              <w:pStyle w:val="TableParagraph"/>
              <w:spacing w:before="66" w:line="259" w:lineRule="auto"/>
              <w:ind w:left="27" w:right="413"/>
              <w:rPr>
                <w:sz w:val="20"/>
              </w:rPr>
            </w:pPr>
            <w:r>
              <w:rPr>
                <w:color w:val="231F20"/>
                <w:w w:val="65"/>
                <w:sz w:val="20"/>
              </w:rPr>
              <w:t>Conduct</w:t>
            </w:r>
            <w:r>
              <w:rPr>
                <w:color w:val="231F20"/>
                <w:spacing w:val="-20"/>
                <w:w w:val="65"/>
                <w:sz w:val="20"/>
              </w:rPr>
              <w:t xml:space="preserve"> </w:t>
            </w:r>
            <w:r>
              <w:rPr>
                <w:color w:val="231F20"/>
                <w:w w:val="65"/>
                <w:sz w:val="20"/>
              </w:rPr>
              <w:t>meeting</w:t>
            </w:r>
            <w:r>
              <w:rPr>
                <w:color w:val="231F20"/>
                <w:spacing w:val="-20"/>
                <w:w w:val="65"/>
                <w:sz w:val="20"/>
              </w:rPr>
              <w:t xml:space="preserve"> </w:t>
            </w:r>
            <w:r>
              <w:rPr>
                <w:color w:val="231F20"/>
                <w:w w:val="65"/>
                <w:sz w:val="20"/>
              </w:rPr>
              <w:t>for</w:t>
            </w:r>
            <w:r>
              <w:rPr>
                <w:color w:val="231F20"/>
                <w:spacing w:val="-19"/>
                <w:w w:val="65"/>
                <w:sz w:val="20"/>
              </w:rPr>
              <w:t xml:space="preserve"> </w:t>
            </w:r>
            <w:r>
              <w:rPr>
                <w:color w:val="231F20"/>
                <w:w w:val="65"/>
                <w:sz w:val="20"/>
              </w:rPr>
              <w:t>PPP</w:t>
            </w:r>
            <w:r>
              <w:rPr>
                <w:color w:val="231F20"/>
                <w:spacing w:val="-21"/>
                <w:w w:val="65"/>
                <w:sz w:val="20"/>
              </w:rPr>
              <w:t xml:space="preserve"> </w:t>
            </w:r>
            <w:r>
              <w:rPr>
                <w:color w:val="231F20"/>
                <w:w w:val="65"/>
                <w:sz w:val="20"/>
              </w:rPr>
              <w:t>committee</w:t>
            </w:r>
            <w:r>
              <w:rPr>
                <w:color w:val="231F20"/>
                <w:spacing w:val="-20"/>
                <w:w w:val="65"/>
                <w:sz w:val="20"/>
              </w:rPr>
              <w:t xml:space="preserve"> </w:t>
            </w:r>
            <w:r>
              <w:rPr>
                <w:color w:val="231F20"/>
                <w:w w:val="65"/>
                <w:sz w:val="20"/>
              </w:rPr>
              <w:t>to</w:t>
            </w:r>
            <w:r>
              <w:rPr>
                <w:color w:val="231F20"/>
                <w:spacing w:val="-19"/>
                <w:w w:val="65"/>
                <w:sz w:val="20"/>
              </w:rPr>
              <w:t xml:space="preserve"> </w:t>
            </w:r>
            <w:r>
              <w:rPr>
                <w:color w:val="231F20"/>
                <w:w w:val="65"/>
                <w:sz w:val="20"/>
              </w:rPr>
              <w:t>develop</w:t>
            </w:r>
            <w:r>
              <w:rPr>
                <w:color w:val="231F20"/>
                <w:spacing w:val="-20"/>
                <w:w w:val="65"/>
                <w:sz w:val="20"/>
              </w:rPr>
              <w:t xml:space="preserve"> </w:t>
            </w:r>
            <w:r>
              <w:rPr>
                <w:color w:val="231F20"/>
                <w:w w:val="65"/>
                <w:sz w:val="20"/>
              </w:rPr>
              <w:t>Memorandum</w:t>
            </w:r>
            <w:r>
              <w:rPr>
                <w:color w:val="231F20"/>
                <w:spacing w:val="-20"/>
                <w:w w:val="65"/>
                <w:sz w:val="20"/>
              </w:rPr>
              <w:t xml:space="preserve"> </w:t>
            </w:r>
            <w:r>
              <w:rPr>
                <w:color w:val="231F20"/>
                <w:w w:val="65"/>
                <w:sz w:val="20"/>
              </w:rPr>
              <w:t>of</w:t>
            </w:r>
            <w:r>
              <w:rPr>
                <w:color w:val="231F20"/>
                <w:spacing w:val="-19"/>
                <w:w w:val="65"/>
                <w:sz w:val="20"/>
              </w:rPr>
              <w:t xml:space="preserve"> </w:t>
            </w:r>
            <w:r>
              <w:rPr>
                <w:color w:val="231F20"/>
                <w:w w:val="65"/>
                <w:sz w:val="20"/>
              </w:rPr>
              <w:t>Understanding</w:t>
            </w:r>
            <w:r>
              <w:rPr>
                <w:color w:val="231F20"/>
                <w:spacing w:val="-20"/>
                <w:w w:val="65"/>
                <w:sz w:val="20"/>
              </w:rPr>
              <w:t xml:space="preserve"> </w:t>
            </w:r>
            <w:r>
              <w:rPr>
                <w:color w:val="231F20"/>
                <w:w w:val="65"/>
                <w:sz w:val="20"/>
              </w:rPr>
              <w:t xml:space="preserve">with </w:t>
            </w:r>
            <w:r>
              <w:rPr>
                <w:color w:val="231F20"/>
                <w:w w:val="70"/>
                <w:sz w:val="20"/>
              </w:rPr>
              <w:t>national</w:t>
            </w:r>
            <w:r>
              <w:rPr>
                <w:color w:val="231F20"/>
                <w:spacing w:val="-15"/>
                <w:w w:val="70"/>
                <w:sz w:val="20"/>
              </w:rPr>
              <w:t xml:space="preserve"> </w:t>
            </w:r>
            <w:r>
              <w:rPr>
                <w:color w:val="231F20"/>
                <w:w w:val="70"/>
                <w:sz w:val="20"/>
              </w:rPr>
              <w:t>and</w:t>
            </w:r>
            <w:r>
              <w:rPr>
                <w:color w:val="231F20"/>
                <w:spacing w:val="-15"/>
                <w:w w:val="70"/>
                <w:sz w:val="20"/>
              </w:rPr>
              <w:t xml:space="preserve"> </w:t>
            </w:r>
            <w:r>
              <w:rPr>
                <w:color w:val="231F20"/>
                <w:w w:val="70"/>
                <w:sz w:val="20"/>
              </w:rPr>
              <w:t>international</w:t>
            </w:r>
            <w:r>
              <w:rPr>
                <w:color w:val="231F20"/>
                <w:spacing w:val="-14"/>
                <w:w w:val="70"/>
                <w:sz w:val="20"/>
              </w:rPr>
              <w:t xml:space="preserve"> </w:t>
            </w:r>
            <w:r>
              <w:rPr>
                <w:color w:val="231F20"/>
                <w:w w:val="70"/>
                <w:sz w:val="20"/>
              </w:rPr>
              <w:t>partners</w:t>
            </w:r>
            <w:r>
              <w:rPr>
                <w:color w:val="231F20"/>
                <w:spacing w:val="-15"/>
                <w:w w:val="70"/>
                <w:sz w:val="20"/>
              </w:rPr>
              <w:t xml:space="preserve"> </w:t>
            </w:r>
            <w:r>
              <w:rPr>
                <w:color w:val="231F20"/>
                <w:w w:val="70"/>
                <w:sz w:val="20"/>
              </w:rPr>
              <w:t>to</w:t>
            </w:r>
            <w:r>
              <w:rPr>
                <w:color w:val="231F20"/>
                <w:spacing w:val="-15"/>
                <w:w w:val="70"/>
                <w:sz w:val="20"/>
              </w:rPr>
              <w:t xml:space="preserve"> </w:t>
            </w:r>
            <w:r>
              <w:rPr>
                <w:color w:val="231F20"/>
                <w:w w:val="70"/>
                <w:sz w:val="20"/>
              </w:rPr>
              <w:t>promote</w:t>
            </w:r>
            <w:r>
              <w:rPr>
                <w:color w:val="231F20"/>
                <w:spacing w:val="-14"/>
                <w:w w:val="70"/>
                <w:sz w:val="20"/>
              </w:rPr>
              <w:t xml:space="preserve"> </w:t>
            </w:r>
            <w:r>
              <w:rPr>
                <w:color w:val="231F20"/>
                <w:w w:val="70"/>
                <w:sz w:val="20"/>
              </w:rPr>
              <w:t>research</w:t>
            </w:r>
            <w:r>
              <w:rPr>
                <w:color w:val="231F20"/>
                <w:spacing w:val="-15"/>
                <w:w w:val="70"/>
                <w:sz w:val="20"/>
              </w:rPr>
              <w:t xml:space="preserve"> </w:t>
            </w:r>
            <w:r>
              <w:rPr>
                <w:color w:val="231F20"/>
                <w:w w:val="70"/>
                <w:sz w:val="20"/>
              </w:rPr>
              <w:t>activities</w:t>
            </w:r>
          </w:p>
        </w:tc>
        <w:tc>
          <w:tcPr>
            <w:tcW w:w="1500" w:type="dxa"/>
            <w:tcBorders>
              <w:left w:val="single" w:sz="6" w:space="0" w:color="231F20"/>
              <w:right w:val="single" w:sz="6" w:space="0" w:color="231F20"/>
            </w:tcBorders>
          </w:tcPr>
          <w:p w14:paraId="186D4EEA" w14:textId="77777777" w:rsidR="009948F1" w:rsidRDefault="009948F1">
            <w:pPr>
              <w:pStyle w:val="TableParagraph"/>
              <w:spacing w:before="2"/>
              <w:rPr>
                <w:sz w:val="17"/>
              </w:rPr>
            </w:pPr>
          </w:p>
          <w:p w14:paraId="3479365C" w14:textId="77777777" w:rsidR="009948F1" w:rsidRDefault="00BC0563">
            <w:pPr>
              <w:pStyle w:val="TableParagraph"/>
              <w:spacing w:before="1"/>
              <w:ind w:left="28"/>
              <w:rPr>
                <w:sz w:val="20"/>
              </w:rPr>
            </w:pPr>
            <w:r>
              <w:rPr>
                <w:color w:val="231F20"/>
                <w:w w:val="70"/>
                <w:sz w:val="20"/>
              </w:rPr>
              <w:t>Lack of funds</w:t>
            </w:r>
          </w:p>
        </w:tc>
        <w:tc>
          <w:tcPr>
            <w:tcW w:w="1582" w:type="dxa"/>
            <w:tcBorders>
              <w:left w:val="single" w:sz="6" w:space="0" w:color="231F20"/>
              <w:right w:val="single" w:sz="6" w:space="0" w:color="231F20"/>
            </w:tcBorders>
          </w:tcPr>
          <w:p w14:paraId="2927289C" w14:textId="77777777" w:rsidR="009948F1" w:rsidRDefault="009948F1">
            <w:pPr>
              <w:pStyle w:val="TableParagraph"/>
              <w:spacing w:before="2"/>
              <w:rPr>
                <w:sz w:val="17"/>
              </w:rPr>
            </w:pPr>
          </w:p>
          <w:p w14:paraId="5E4DC38F" w14:textId="77777777" w:rsidR="009948F1" w:rsidRDefault="00BC0563">
            <w:pPr>
              <w:pStyle w:val="TableParagraph"/>
              <w:spacing w:before="1"/>
              <w:ind w:left="29"/>
              <w:rPr>
                <w:sz w:val="20"/>
              </w:rPr>
            </w:pPr>
            <w:r>
              <w:rPr>
                <w:color w:val="231F20"/>
                <w:w w:val="70"/>
                <w:sz w:val="20"/>
              </w:rPr>
              <w:t>Costed in 3.1.1c</w:t>
            </w:r>
          </w:p>
        </w:tc>
      </w:tr>
      <w:tr w:rsidR="009948F1" w14:paraId="0832B077" w14:textId="77777777">
        <w:trPr>
          <w:trHeight w:val="464"/>
        </w:trPr>
        <w:tc>
          <w:tcPr>
            <w:tcW w:w="472" w:type="dxa"/>
            <w:vMerge/>
            <w:tcBorders>
              <w:top w:val="nil"/>
              <w:right w:val="single" w:sz="6" w:space="0" w:color="231F20"/>
            </w:tcBorders>
          </w:tcPr>
          <w:p w14:paraId="0013C734" w14:textId="77777777" w:rsidR="009948F1" w:rsidRDefault="009948F1">
            <w:pPr>
              <w:rPr>
                <w:sz w:val="2"/>
                <w:szCs w:val="2"/>
              </w:rPr>
            </w:pPr>
          </w:p>
        </w:tc>
        <w:tc>
          <w:tcPr>
            <w:tcW w:w="553" w:type="dxa"/>
            <w:tcBorders>
              <w:left w:val="single" w:sz="6" w:space="0" w:color="231F20"/>
              <w:right w:val="single" w:sz="6" w:space="0" w:color="231F20"/>
            </w:tcBorders>
          </w:tcPr>
          <w:p w14:paraId="11CDC300" w14:textId="77777777" w:rsidR="009948F1" w:rsidRDefault="00BC0563">
            <w:pPr>
              <w:pStyle w:val="TableParagraph"/>
              <w:spacing w:before="117"/>
              <w:ind w:right="29"/>
              <w:jc w:val="right"/>
              <w:rPr>
                <w:sz w:val="20"/>
              </w:rPr>
            </w:pPr>
            <w:r>
              <w:rPr>
                <w:color w:val="231F20"/>
                <w:w w:val="60"/>
                <w:sz w:val="20"/>
              </w:rPr>
              <w:t>13.1.6.b</w:t>
            </w:r>
          </w:p>
        </w:tc>
        <w:tc>
          <w:tcPr>
            <w:tcW w:w="5148" w:type="dxa"/>
            <w:gridSpan w:val="2"/>
            <w:tcBorders>
              <w:left w:val="single" w:sz="6" w:space="0" w:color="231F20"/>
              <w:right w:val="single" w:sz="6" w:space="0" w:color="231F20"/>
            </w:tcBorders>
          </w:tcPr>
          <w:p w14:paraId="1DBE97D1" w14:textId="77777777" w:rsidR="009948F1" w:rsidRDefault="00BC0563">
            <w:pPr>
              <w:pStyle w:val="TableParagraph"/>
              <w:ind w:left="27"/>
              <w:rPr>
                <w:sz w:val="20"/>
              </w:rPr>
            </w:pPr>
            <w:r>
              <w:rPr>
                <w:color w:val="231F20"/>
                <w:w w:val="65"/>
                <w:sz w:val="20"/>
              </w:rPr>
              <w:t>Map existing and potential health research entities at national and international level and</w:t>
            </w:r>
          </w:p>
          <w:p w14:paraId="33D2F2A1" w14:textId="77777777" w:rsidR="009948F1" w:rsidRDefault="00BC0563">
            <w:pPr>
              <w:pStyle w:val="TableParagraph"/>
              <w:spacing w:before="19" w:line="195" w:lineRule="exact"/>
              <w:ind w:left="27"/>
              <w:rPr>
                <w:sz w:val="20"/>
              </w:rPr>
            </w:pPr>
            <w:r>
              <w:rPr>
                <w:color w:val="231F20"/>
                <w:w w:val="70"/>
                <w:sz w:val="20"/>
              </w:rPr>
              <w:t>maintain a database</w:t>
            </w:r>
          </w:p>
        </w:tc>
        <w:tc>
          <w:tcPr>
            <w:tcW w:w="1500" w:type="dxa"/>
            <w:tcBorders>
              <w:left w:val="single" w:sz="6" w:space="0" w:color="231F20"/>
              <w:right w:val="single" w:sz="6" w:space="0" w:color="231F20"/>
            </w:tcBorders>
          </w:tcPr>
          <w:p w14:paraId="3EB2D99D" w14:textId="77777777" w:rsidR="009948F1" w:rsidRDefault="00BC0563">
            <w:pPr>
              <w:pStyle w:val="TableParagraph"/>
              <w:spacing w:before="117"/>
              <w:ind w:left="28"/>
              <w:rPr>
                <w:sz w:val="20"/>
              </w:rPr>
            </w:pPr>
            <w:r>
              <w:rPr>
                <w:color w:val="231F20"/>
                <w:w w:val="70"/>
                <w:sz w:val="20"/>
              </w:rPr>
              <w:t>Lack of funds</w:t>
            </w:r>
          </w:p>
        </w:tc>
        <w:tc>
          <w:tcPr>
            <w:tcW w:w="1582" w:type="dxa"/>
            <w:tcBorders>
              <w:left w:val="single" w:sz="6" w:space="0" w:color="231F20"/>
              <w:right w:val="single" w:sz="6" w:space="0" w:color="231F20"/>
            </w:tcBorders>
          </w:tcPr>
          <w:p w14:paraId="6E532EAE" w14:textId="77777777" w:rsidR="009948F1" w:rsidRDefault="00BC0563">
            <w:pPr>
              <w:pStyle w:val="TableParagraph"/>
              <w:spacing w:before="117"/>
              <w:ind w:left="29"/>
              <w:rPr>
                <w:sz w:val="20"/>
              </w:rPr>
            </w:pPr>
            <w:r>
              <w:rPr>
                <w:color w:val="231F20"/>
                <w:w w:val="70"/>
                <w:sz w:val="20"/>
              </w:rPr>
              <w:t>Costed in 13.1.5a</w:t>
            </w:r>
          </w:p>
        </w:tc>
      </w:tr>
      <w:tr w:rsidR="009948F1" w14:paraId="1F589905" w14:textId="77777777">
        <w:trPr>
          <w:trHeight w:val="488"/>
        </w:trPr>
        <w:tc>
          <w:tcPr>
            <w:tcW w:w="472" w:type="dxa"/>
            <w:vMerge/>
            <w:tcBorders>
              <w:top w:val="nil"/>
              <w:right w:val="single" w:sz="6" w:space="0" w:color="231F20"/>
            </w:tcBorders>
          </w:tcPr>
          <w:p w14:paraId="1BA88466" w14:textId="77777777" w:rsidR="009948F1" w:rsidRDefault="009948F1">
            <w:pPr>
              <w:rPr>
                <w:sz w:val="2"/>
                <w:szCs w:val="2"/>
              </w:rPr>
            </w:pPr>
          </w:p>
        </w:tc>
        <w:tc>
          <w:tcPr>
            <w:tcW w:w="553" w:type="dxa"/>
            <w:tcBorders>
              <w:left w:val="single" w:sz="6" w:space="0" w:color="231F20"/>
              <w:right w:val="single" w:sz="6" w:space="0" w:color="231F20"/>
            </w:tcBorders>
          </w:tcPr>
          <w:p w14:paraId="2AEBF541" w14:textId="77777777" w:rsidR="009948F1" w:rsidRDefault="00BC0563">
            <w:pPr>
              <w:pStyle w:val="TableParagraph"/>
              <w:spacing w:before="129"/>
              <w:ind w:right="33"/>
              <w:jc w:val="right"/>
              <w:rPr>
                <w:sz w:val="20"/>
              </w:rPr>
            </w:pPr>
            <w:r>
              <w:rPr>
                <w:color w:val="231F20"/>
                <w:w w:val="60"/>
                <w:sz w:val="20"/>
              </w:rPr>
              <w:t>13.1.6.c</w:t>
            </w:r>
          </w:p>
        </w:tc>
        <w:tc>
          <w:tcPr>
            <w:tcW w:w="5148" w:type="dxa"/>
            <w:gridSpan w:val="2"/>
            <w:tcBorders>
              <w:left w:val="single" w:sz="6" w:space="0" w:color="231F20"/>
              <w:right w:val="single" w:sz="6" w:space="0" w:color="231F20"/>
            </w:tcBorders>
          </w:tcPr>
          <w:p w14:paraId="392C7AEE" w14:textId="77777777" w:rsidR="009948F1" w:rsidRDefault="00BC0563">
            <w:pPr>
              <w:pStyle w:val="TableParagraph"/>
              <w:ind w:left="27"/>
              <w:rPr>
                <w:sz w:val="20"/>
              </w:rPr>
            </w:pPr>
            <w:r>
              <w:rPr>
                <w:color w:val="231F20"/>
                <w:w w:val="65"/>
                <w:sz w:val="20"/>
              </w:rPr>
              <w:t>Conduct</w:t>
            </w:r>
            <w:r>
              <w:rPr>
                <w:color w:val="231F20"/>
                <w:spacing w:val="-14"/>
                <w:w w:val="65"/>
                <w:sz w:val="20"/>
              </w:rPr>
              <w:t xml:space="preserve"> </w:t>
            </w:r>
            <w:r>
              <w:rPr>
                <w:color w:val="231F20"/>
                <w:w w:val="65"/>
                <w:sz w:val="20"/>
              </w:rPr>
              <w:t>sensitization</w:t>
            </w:r>
            <w:r>
              <w:rPr>
                <w:color w:val="231F20"/>
                <w:spacing w:val="-14"/>
                <w:w w:val="65"/>
                <w:sz w:val="20"/>
              </w:rPr>
              <w:t xml:space="preserve"> </w:t>
            </w:r>
            <w:r>
              <w:rPr>
                <w:color w:val="231F20"/>
                <w:w w:val="65"/>
                <w:sz w:val="20"/>
              </w:rPr>
              <w:t>workshops</w:t>
            </w:r>
            <w:r>
              <w:rPr>
                <w:color w:val="231F20"/>
                <w:spacing w:val="-14"/>
                <w:w w:val="65"/>
                <w:sz w:val="20"/>
              </w:rPr>
              <w:t xml:space="preserve"> </w:t>
            </w:r>
            <w:r>
              <w:rPr>
                <w:color w:val="231F20"/>
                <w:w w:val="65"/>
                <w:sz w:val="20"/>
              </w:rPr>
              <w:t>for</w:t>
            </w:r>
            <w:r>
              <w:rPr>
                <w:color w:val="231F20"/>
                <w:spacing w:val="-14"/>
                <w:w w:val="65"/>
                <w:sz w:val="20"/>
              </w:rPr>
              <w:t xml:space="preserve"> </w:t>
            </w:r>
            <w:r>
              <w:rPr>
                <w:color w:val="231F20"/>
                <w:w w:val="65"/>
                <w:sz w:val="20"/>
              </w:rPr>
              <w:t>policy</w:t>
            </w:r>
            <w:r>
              <w:rPr>
                <w:color w:val="231F20"/>
                <w:spacing w:val="-14"/>
                <w:w w:val="65"/>
                <w:sz w:val="20"/>
              </w:rPr>
              <w:t xml:space="preserve"> </w:t>
            </w:r>
            <w:r>
              <w:rPr>
                <w:color w:val="231F20"/>
                <w:w w:val="65"/>
                <w:sz w:val="20"/>
              </w:rPr>
              <w:t>makers,</w:t>
            </w:r>
            <w:r>
              <w:rPr>
                <w:color w:val="231F20"/>
                <w:spacing w:val="-14"/>
                <w:w w:val="65"/>
                <w:sz w:val="20"/>
              </w:rPr>
              <w:t xml:space="preserve"> </w:t>
            </w:r>
            <w:r>
              <w:rPr>
                <w:color w:val="231F20"/>
                <w:w w:val="65"/>
                <w:sz w:val="20"/>
              </w:rPr>
              <w:t>health</w:t>
            </w:r>
            <w:r>
              <w:rPr>
                <w:color w:val="231F20"/>
                <w:spacing w:val="-13"/>
                <w:w w:val="65"/>
                <w:sz w:val="20"/>
              </w:rPr>
              <w:t xml:space="preserve"> </w:t>
            </w:r>
            <w:r>
              <w:rPr>
                <w:color w:val="231F20"/>
                <w:w w:val="65"/>
                <w:sz w:val="20"/>
              </w:rPr>
              <w:t>care</w:t>
            </w:r>
            <w:r>
              <w:rPr>
                <w:color w:val="231F20"/>
                <w:spacing w:val="-14"/>
                <w:w w:val="65"/>
                <w:sz w:val="20"/>
              </w:rPr>
              <w:t xml:space="preserve"> </w:t>
            </w:r>
            <w:r>
              <w:rPr>
                <w:color w:val="231F20"/>
                <w:w w:val="65"/>
                <w:sz w:val="20"/>
              </w:rPr>
              <w:t>providers</w:t>
            </w:r>
            <w:r>
              <w:rPr>
                <w:color w:val="231F20"/>
                <w:spacing w:val="-14"/>
                <w:w w:val="65"/>
                <w:sz w:val="20"/>
              </w:rPr>
              <w:t xml:space="preserve"> </w:t>
            </w:r>
            <w:r>
              <w:rPr>
                <w:color w:val="231F20"/>
                <w:w w:val="65"/>
                <w:sz w:val="20"/>
              </w:rPr>
              <w:t>and</w:t>
            </w:r>
            <w:r>
              <w:rPr>
                <w:color w:val="231F20"/>
                <w:spacing w:val="-14"/>
                <w:w w:val="65"/>
                <w:sz w:val="20"/>
              </w:rPr>
              <w:t xml:space="preserve"> </w:t>
            </w:r>
            <w:r>
              <w:rPr>
                <w:color w:val="231F20"/>
                <w:w w:val="65"/>
                <w:sz w:val="20"/>
              </w:rPr>
              <w:t>other</w:t>
            </w:r>
            <w:r>
              <w:rPr>
                <w:color w:val="231F20"/>
                <w:spacing w:val="-14"/>
                <w:w w:val="65"/>
                <w:sz w:val="20"/>
              </w:rPr>
              <w:t xml:space="preserve"> </w:t>
            </w:r>
            <w:r>
              <w:rPr>
                <w:color w:val="231F20"/>
                <w:w w:val="65"/>
                <w:sz w:val="20"/>
              </w:rPr>
              <w:t>target</w:t>
            </w:r>
          </w:p>
          <w:p w14:paraId="7A74DEC3" w14:textId="77777777" w:rsidR="009948F1" w:rsidRDefault="00BC0563">
            <w:pPr>
              <w:pStyle w:val="TableParagraph"/>
              <w:spacing w:before="19" w:line="219" w:lineRule="exact"/>
              <w:ind w:left="27"/>
              <w:rPr>
                <w:sz w:val="20"/>
              </w:rPr>
            </w:pPr>
            <w:r>
              <w:rPr>
                <w:color w:val="231F20"/>
                <w:w w:val="65"/>
                <w:sz w:val="20"/>
              </w:rPr>
              <w:t>audiences</w:t>
            </w:r>
            <w:r>
              <w:rPr>
                <w:color w:val="231F20"/>
                <w:spacing w:val="-16"/>
                <w:w w:val="65"/>
                <w:sz w:val="20"/>
              </w:rPr>
              <w:t xml:space="preserve"> </w:t>
            </w:r>
            <w:r>
              <w:rPr>
                <w:color w:val="231F20"/>
                <w:w w:val="65"/>
                <w:sz w:val="20"/>
              </w:rPr>
              <w:t>to</w:t>
            </w:r>
            <w:r>
              <w:rPr>
                <w:color w:val="231F20"/>
                <w:spacing w:val="-15"/>
                <w:w w:val="65"/>
                <w:sz w:val="20"/>
              </w:rPr>
              <w:t xml:space="preserve"> </w:t>
            </w:r>
            <w:r>
              <w:rPr>
                <w:color w:val="231F20"/>
                <w:w w:val="65"/>
                <w:sz w:val="20"/>
              </w:rPr>
              <w:t>share</w:t>
            </w:r>
            <w:r>
              <w:rPr>
                <w:color w:val="231F20"/>
                <w:spacing w:val="-16"/>
                <w:w w:val="65"/>
                <w:sz w:val="20"/>
              </w:rPr>
              <w:t xml:space="preserve"> </w:t>
            </w:r>
            <w:r>
              <w:rPr>
                <w:color w:val="231F20"/>
                <w:w w:val="65"/>
                <w:sz w:val="20"/>
              </w:rPr>
              <w:t>research</w:t>
            </w:r>
            <w:r>
              <w:rPr>
                <w:color w:val="231F20"/>
                <w:spacing w:val="-15"/>
                <w:w w:val="65"/>
                <w:sz w:val="20"/>
              </w:rPr>
              <w:t xml:space="preserve"> </w:t>
            </w:r>
            <w:r>
              <w:rPr>
                <w:color w:val="231F20"/>
                <w:w w:val="65"/>
                <w:sz w:val="20"/>
              </w:rPr>
              <w:t>findings</w:t>
            </w:r>
            <w:r>
              <w:rPr>
                <w:color w:val="231F20"/>
                <w:spacing w:val="-15"/>
                <w:w w:val="65"/>
                <w:sz w:val="20"/>
              </w:rPr>
              <w:t xml:space="preserve"> </w:t>
            </w:r>
            <w:r>
              <w:rPr>
                <w:color w:val="231F20"/>
                <w:w w:val="65"/>
                <w:sz w:val="20"/>
              </w:rPr>
              <w:t>and</w:t>
            </w:r>
            <w:r>
              <w:rPr>
                <w:color w:val="231F20"/>
                <w:spacing w:val="-16"/>
                <w:w w:val="65"/>
                <w:sz w:val="20"/>
              </w:rPr>
              <w:t xml:space="preserve"> </w:t>
            </w:r>
            <w:r>
              <w:rPr>
                <w:color w:val="231F20"/>
                <w:w w:val="65"/>
                <w:sz w:val="20"/>
              </w:rPr>
              <w:t>appraise</w:t>
            </w:r>
            <w:r>
              <w:rPr>
                <w:color w:val="231F20"/>
                <w:spacing w:val="-15"/>
                <w:w w:val="65"/>
                <w:sz w:val="20"/>
              </w:rPr>
              <w:t xml:space="preserve"> </w:t>
            </w:r>
            <w:r>
              <w:rPr>
                <w:color w:val="231F20"/>
                <w:w w:val="65"/>
                <w:sz w:val="20"/>
              </w:rPr>
              <w:t>them</w:t>
            </w:r>
            <w:r>
              <w:rPr>
                <w:color w:val="231F20"/>
                <w:spacing w:val="-16"/>
                <w:w w:val="65"/>
                <w:sz w:val="20"/>
              </w:rPr>
              <w:t xml:space="preserve"> </w:t>
            </w:r>
            <w:r>
              <w:rPr>
                <w:color w:val="231F20"/>
                <w:w w:val="65"/>
                <w:sz w:val="20"/>
              </w:rPr>
              <w:t>on</w:t>
            </w:r>
            <w:r>
              <w:rPr>
                <w:color w:val="231F20"/>
                <w:spacing w:val="-15"/>
                <w:w w:val="65"/>
                <w:sz w:val="20"/>
              </w:rPr>
              <w:t xml:space="preserve"> </w:t>
            </w:r>
            <w:r>
              <w:rPr>
                <w:color w:val="231F20"/>
                <w:w w:val="65"/>
                <w:sz w:val="20"/>
              </w:rPr>
              <w:t>policy</w:t>
            </w:r>
            <w:r>
              <w:rPr>
                <w:color w:val="231F20"/>
                <w:spacing w:val="-15"/>
                <w:w w:val="65"/>
                <w:sz w:val="20"/>
              </w:rPr>
              <w:t xml:space="preserve"> </w:t>
            </w:r>
            <w:r>
              <w:rPr>
                <w:color w:val="231F20"/>
                <w:w w:val="65"/>
                <w:sz w:val="20"/>
              </w:rPr>
              <w:t>and</w:t>
            </w:r>
            <w:r>
              <w:rPr>
                <w:color w:val="231F20"/>
                <w:spacing w:val="-16"/>
                <w:w w:val="65"/>
                <w:sz w:val="20"/>
              </w:rPr>
              <w:t xml:space="preserve"> </w:t>
            </w:r>
            <w:r>
              <w:rPr>
                <w:color w:val="231F20"/>
                <w:w w:val="65"/>
                <w:sz w:val="20"/>
              </w:rPr>
              <w:t>practice</w:t>
            </w:r>
            <w:r>
              <w:rPr>
                <w:color w:val="231F20"/>
                <w:spacing w:val="-15"/>
                <w:w w:val="65"/>
                <w:sz w:val="20"/>
              </w:rPr>
              <w:t xml:space="preserve"> </w:t>
            </w:r>
            <w:r>
              <w:rPr>
                <w:color w:val="231F20"/>
                <w:w w:val="65"/>
                <w:sz w:val="20"/>
              </w:rPr>
              <w:t>implications</w:t>
            </w:r>
          </w:p>
        </w:tc>
        <w:tc>
          <w:tcPr>
            <w:tcW w:w="1500" w:type="dxa"/>
            <w:tcBorders>
              <w:left w:val="single" w:sz="6" w:space="0" w:color="231F20"/>
              <w:right w:val="single" w:sz="6" w:space="0" w:color="231F20"/>
            </w:tcBorders>
          </w:tcPr>
          <w:p w14:paraId="7092EB07" w14:textId="77777777" w:rsidR="009948F1" w:rsidRDefault="00BC0563">
            <w:pPr>
              <w:pStyle w:val="TableParagraph"/>
              <w:spacing w:before="129"/>
              <w:ind w:left="28"/>
              <w:rPr>
                <w:sz w:val="20"/>
              </w:rPr>
            </w:pPr>
            <w:r>
              <w:rPr>
                <w:color w:val="231F20"/>
                <w:w w:val="70"/>
                <w:sz w:val="20"/>
              </w:rPr>
              <w:t>Lack of funds</w:t>
            </w:r>
          </w:p>
        </w:tc>
        <w:tc>
          <w:tcPr>
            <w:tcW w:w="1582" w:type="dxa"/>
            <w:tcBorders>
              <w:left w:val="single" w:sz="6" w:space="0" w:color="231F20"/>
              <w:right w:val="single" w:sz="6" w:space="0" w:color="231F20"/>
            </w:tcBorders>
          </w:tcPr>
          <w:p w14:paraId="4F4F660D" w14:textId="77777777" w:rsidR="009948F1" w:rsidRDefault="00BC0563">
            <w:pPr>
              <w:pStyle w:val="TableParagraph"/>
              <w:spacing w:before="4"/>
              <w:ind w:left="29"/>
              <w:rPr>
                <w:sz w:val="20"/>
              </w:rPr>
            </w:pPr>
            <w:r>
              <w:rPr>
                <w:color w:val="231F20"/>
                <w:w w:val="70"/>
                <w:sz w:val="20"/>
              </w:rPr>
              <w:t>Conduct sensitization</w:t>
            </w:r>
          </w:p>
          <w:p w14:paraId="340AD9F7" w14:textId="77777777" w:rsidR="009948F1" w:rsidRDefault="00BC0563">
            <w:pPr>
              <w:pStyle w:val="TableParagraph"/>
              <w:spacing w:before="19" w:line="215" w:lineRule="exact"/>
              <w:ind w:left="29"/>
              <w:rPr>
                <w:sz w:val="20"/>
              </w:rPr>
            </w:pPr>
            <w:r>
              <w:rPr>
                <w:color w:val="231F20"/>
                <w:w w:val="70"/>
                <w:sz w:val="20"/>
              </w:rPr>
              <w:t>workshop</w:t>
            </w:r>
          </w:p>
        </w:tc>
      </w:tr>
      <w:tr w:rsidR="009948F1" w14:paraId="1246AFD6" w14:textId="77777777">
        <w:trPr>
          <w:trHeight w:val="2061"/>
        </w:trPr>
        <w:tc>
          <w:tcPr>
            <w:tcW w:w="472" w:type="dxa"/>
            <w:tcBorders>
              <w:left w:val="single" w:sz="12" w:space="0" w:color="231F20"/>
              <w:right w:val="single" w:sz="6" w:space="0" w:color="231F20"/>
            </w:tcBorders>
            <w:shd w:val="clear" w:color="auto" w:fill="CCE7D3"/>
          </w:tcPr>
          <w:p w14:paraId="24F328D0" w14:textId="77777777" w:rsidR="009948F1" w:rsidRDefault="009948F1">
            <w:pPr>
              <w:pStyle w:val="TableParagraph"/>
              <w:rPr>
                <w:sz w:val="20"/>
              </w:rPr>
            </w:pPr>
          </w:p>
          <w:p w14:paraId="1F717ECB" w14:textId="77777777" w:rsidR="009948F1" w:rsidRDefault="009948F1">
            <w:pPr>
              <w:pStyle w:val="TableParagraph"/>
              <w:rPr>
                <w:sz w:val="20"/>
              </w:rPr>
            </w:pPr>
          </w:p>
          <w:p w14:paraId="6019F34F" w14:textId="77777777" w:rsidR="009948F1" w:rsidRDefault="009948F1">
            <w:pPr>
              <w:pStyle w:val="TableParagraph"/>
              <w:rPr>
                <w:sz w:val="20"/>
              </w:rPr>
            </w:pPr>
          </w:p>
          <w:p w14:paraId="5E97F510" w14:textId="77777777" w:rsidR="009948F1" w:rsidRDefault="009948F1">
            <w:pPr>
              <w:pStyle w:val="TableParagraph"/>
              <w:spacing w:before="6"/>
              <w:rPr>
                <w:sz w:val="19"/>
              </w:rPr>
            </w:pPr>
          </w:p>
          <w:p w14:paraId="06A15F14" w14:textId="77777777" w:rsidR="009948F1" w:rsidRDefault="00BC0563">
            <w:pPr>
              <w:pStyle w:val="TableParagraph"/>
              <w:spacing w:before="1"/>
              <w:ind w:left="22" w:right="25"/>
              <w:jc w:val="center"/>
              <w:rPr>
                <w:sz w:val="20"/>
              </w:rPr>
            </w:pPr>
            <w:r>
              <w:rPr>
                <w:color w:val="231F20"/>
                <w:w w:val="65"/>
                <w:sz w:val="20"/>
              </w:rPr>
              <w:t>13.1.7</w:t>
            </w:r>
          </w:p>
        </w:tc>
        <w:tc>
          <w:tcPr>
            <w:tcW w:w="3194" w:type="dxa"/>
            <w:gridSpan w:val="2"/>
            <w:tcBorders>
              <w:left w:val="single" w:sz="6" w:space="0" w:color="231F20"/>
              <w:right w:val="single" w:sz="6" w:space="0" w:color="231F20"/>
            </w:tcBorders>
            <w:shd w:val="clear" w:color="auto" w:fill="CCE7D3"/>
          </w:tcPr>
          <w:p w14:paraId="77C923D5" w14:textId="77777777" w:rsidR="009948F1" w:rsidRDefault="009948F1">
            <w:pPr>
              <w:pStyle w:val="TableParagraph"/>
              <w:rPr>
                <w:sz w:val="20"/>
              </w:rPr>
            </w:pPr>
          </w:p>
          <w:p w14:paraId="7A708A9A" w14:textId="77777777" w:rsidR="009948F1" w:rsidRDefault="009948F1">
            <w:pPr>
              <w:pStyle w:val="TableParagraph"/>
              <w:rPr>
                <w:sz w:val="20"/>
              </w:rPr>
            </w:pPr>
          </w:p>
          <w:p w14:paraId="4A822942" w14:textId="77777777" w:rsidR="009948F1" w:rsidRDefault="009948F1">
            <w:pPr>
              <w:pStyle w:val="TableParagraph"/>
              <w:spacing w:before="1"/>
              <w:rPr>
                <w:sz w:val="28"/>
              </w:rPr>
            </w:pPr>
          </w:p>
          <w:p w14:paraId="7E75B7CB" w14:textId="77777777" w:rsidR="009948F1" w:rsidRDefault="00BC0563">
            <w:pPr>
              <w:pStyle w:val="TableParagraph"/>
              <w:spacing w:line="259" w:lineRule="auto"/>
              <w:ind w:left="27" w:right="81" w:firstLine="34"/>
              <w:rPr>
                <w:sz w:val="20"/>
              </w:rPr>
            </w:pPr>
            <w:r>
              <w:rPr>
                <w:color w:val="231F20"/>
                <w:w w:val="65"/>
                <w:sz w:val="20"/>
              </w:rPr>
              <w:t>Strengthen</w:t>
            </w:r>
            <w:r>
              <w:rPr>
                <w:color w:val="231F20"/>
                <w:spacing w:val="-19"/>
                <w:w w:val="65"/>
                <w:sz w:val="20"/>
              </w:rPr>
              <w:t xml:space="preserve"> </w:t>
            </w:r>
            <w:r>
              <w:rPr>
                <w:color w:val="231F20"/>
                <w:w w:val="65"/>
                <w:sz w:val="20"/>
              </w:rPr>
              <w:t>the</w:t>
            </w:r>
            <w:r>
              <w:rPr>
                <w:color w:val="231F20"/>
                <w:spacing w:val="-18"/>
                <w:w w:val="65"/>
                <w:sz w:val="20"/>
              </w:rPr>
              <w:t xml:space="preserve"> </w:t>
            </w:r>
            <w:r>
              <w:rPr>
                <w:color w:val="231F20"/>
                <w:w w:val="65"/>
                <w:sz w:val="20"/>
              </w:rPr>
              <w:t>utilization</w:t>
            </w:r>
            <w:r>
              <w:rPr>
                <w:color w:val="231F20"/>
                <w:spacing w:val="-18"/>
                <w:w w:val="65"/>
                <w:sz w:val="20"/>
              </w:rPr>
              <w:t xml:space="preserve"> </w:t>
            </w:r>
            <w:r>
              <w:rPr>
                <w:color w:val="231F20"/>
                <w:w w:val="65"/>
                <w:sz w:val="20"/>
              </w:rPr>
              <w:t>of</w:t>
            </w:r>
            <w:r>
              <w:rPr>
                <w:color w:val="231F20"/>
                <w:spacing w:val="-18"/>
                <w:w w:val="65"/>
                <w:sz w:val="20"/>
              </w:rPr>
              <w:t xml:space="preserve"> </w:t>
            </w:r>
            <w:r>
              <w:rPr>
                <w:color w:val="231F20"/>
                <w:w w:val="65"/>
                <w:sz w:val="20"/>
              </w:rPr>
              <w:t>research</w:t>
            </w:r>
            <w:r>
              <w:rPr>
                <w:color w:val="231F20"/>
                <w:spacing w:val="-18"/>
                <w:w w:val="65"/>
                <w:sz w:val="20"/>
              </w:rPr>
              <w:t xml:space="preserve"> </w:t>
            </w:r>
            <w:r>
              <w:rPr>
                <w:color w:val="231F20"/>
                <w:w w:val="65"/>
                <w:sz w:val="20"/>
              </w:rPr>
              <w:t>findings</w:t>
            </w:r>
            <w:r>
              <w:rPr>
                <w:color w:val="231F20"/>
                <w:spacing w:val="-18"/>
                <w:w w:val="65"/>
                <w:sz w:val="20"/>
              </w:rPr>
              <w:t xml:space="preserve"> </w:t>
            </w:r>
            <w:r>
              <w:rPr>
                <w:color w:val="231F20"/>
                <w:w w:val="65"/>
                <w:sz w:val="20"/>
              </w:rPr>
              <w:t>to</w:t>
            </w:r>
            <w:r>
              <w:rPr>
                <w:color w:val="231F20"/>
                <w:spacing w:val="-18"/>
                <w:w w:val="65"/>
                <w:sz w:val="20"/>
              </w:rPr>
              <w:t xml:space="preserve"> </w:t>
            </w:r>
            <w:r>
              <w:rPr>
                <w:color w:val="231F20"/>
                <w:w w:val="65"/>
                <w:sz w:val="20"/>
              </w:rPr>
              <w:t xml:space="preserve">inform </w:t>
            </w:r>
            <w:r>
              <w:rPr>
                <w:color w:val="231F20"/>
                <w:w w:val="70"/>
                <w:sz w:val="20"/>
              </w:rPr>
              <w:t>policy, programming and</w:t>
            </w:r>
            <w:r>
              <w:rPr>
                <w:color w:val="231F20"/>
                <w:spacing w:val="-31"/>
                <w:w w:val="70"/>
                <w:sz w:val="20"/>
              </w:rPr>
              <w:t xml:space="preserve"> </w:t>
            </w:r>
            <w:r>
              <w:rPr>
                <w:color w:val="231F20"/>
                <w:w w:val="70"/>
                <w:sz w:val="20"/>
              </w:rPr>
              <w:t>practice</w:t>
            </w:r>
          </w:p>
        </w:tc>
        <w:tc>
          <w:tcPr>
            <w:tcW w:w="2507" w:type="dxa"/>
            <w:tcBorders>
              <w:left w:val="single" w:sz="6" w:space="0" w:color="231F20"/>
              <w:right w:val="single" w:sz="6" w:space="0" w:color="231F20"/>
            </w:tcBorders>
            <w:shd w:val="clear" w:color="auto" w:fill="CCE7D3"/>
          </w:tcPr>
          <w:p w14:paraId="0518D964" w14:textId="77777777" w:rsidR="009948F1" w:rsidRDefault="00BC0563">
            <w:pPr>
              <w:pStyle w:val="TableParagraph"/>
              <w:numPr>
                <w:ilvl w:val="0"/>
                <w:numId w:val="27"/>
              </w:numPr>
              <w:tabs>
                <w:tab w:val="left" w:pos="107"/>
              </w:tabs>
              <w:spacing w:before="15" w:line="220" w:lineRule="auto"/>
              <w:ind w:right="58" w:firstLine="0"/>
              <w:rPr>
                <w:sz w:val="20"/>
              </w:rPr>
            </w:pPr>
            <w:r>
              <w:rPr>
                <w:color w:val="231F20"/>
                <w:w w:val="60"/>
                <w:sz w:val="20"/>
              </w:rPr>
              <w:t xml:space="preserve">Communication strategy for dissemination </w:t>
            </w:r>
            <w:r>
              <w:rPr>
                <w:color w:val="231F20"/>
                <w:w w:val="70"/>
                <w:sz w:val="20"/>
              </w:rPr>
              <w:t>of research findings developed &amp; strengthened</w:t>
            </w:r>
          </w:p>
          <w:p w14:paraId="25588182" w14:textId="77777777" w:rsidR="009948F1" w:rsidRDefault="00BC0563">
            <w:pPr>
              <w:pStyle w:val="TableParagraph"/>
              <w:numPr>
                <w:ilvl w:val="0"/>
                <w:numId w:val="27"/>
              </w:numPr>
              <w:tabs>
                <w:tab w:val="left" w:pos="107"/>
              </w:tabs>
              <w:spacing w:before="38" w:line="206" w:lineRule="auto"/>
              <w:ind w:right="192" w:firstLine="0"/>
              <w:rPr>
                <w:sz w:val="20"/>
              </w:rPr>
            </w:pPr>
            <w:r>
              <w:rPr>
                <w:color w:val="231F20"/>
                <w:w w:val="65"/>
                <w:sz w:val="20"/>
              </w:rPr>
              <w:t>Platform for regular dialogue between researchers</w:t>
            </w:r>
            <w:r>
              <w:rPr>
                <w:color w:val="231F20"/>
                <w:spacing w:val="-18"/>
                <w:w w:val="65"/>
                <w:sz w:val="20"/>
              </w:rPr>
              <w:t xml:space="preserve"> </w:t>
            </w:r>
            <w:r>
              <w:rPr>
                <w:color w:val="231F20"/>
                <w:w w:val="65"/>
                <w:sz w:val="20"/>
              </w:rPr>
              <w:t>and</w:t>
            </w:r>
            <w:r>
              <w:rPr>
                <w:color w:val="231F20"/>
                <w:spacing w:val="-17"/>
                <w:w w:val="65"/>
                <w:sz w:val="20"/>
              </w:rPr>
              <w:t xml:space="preserve"> </w:t>
            </w:r>
            <w:r>
              <w:rPr>
                <w:color w:val="231F20"/>
                <w:w w:val="65"/>
                <w:sz w:val="20"/>
              </w:rPr>
              <w:t>policy</w:t>
            </w:r>
            <w:r>
              <w:rPr>
                <w:color w:val="231F20"/>
                <w:spacing w:val="-17"/>
                <w:w w:val="65"/>
                <w:sz w:val="20"/>
              </w:rPr>
              <w:t xml:space="preserve"> </w:t>
            </w:r>
            <w:r>
              <w:rPr>
                <w:color w:val="231F20"/>
                <w:w w:val="65"/>
                <w:sz w:val="20"/>
              </w:rPr>
              <w:t>makers</w:t>
            </w:r>
            <w:r>
              <w:rPr>
                <w:color w:val="231F20"/>
                <w:spacing w:val="-17"/>
                <w:w w:val="65"/>
                <w:sz w:val="20"/>
              </w:rPr>
              <w:t xml:space="preserve"> </w:t>
            </w:r>
            <w:r>
              <w:rPr>
                <w:color w:val="231F20"/>
                <w:w w:val="65"/>
                <w:sz w:val="20"/>
              </w:rPr>
              <w:t>created</w:t>
            </w:r>
            <w:r>
              <w:rPr>
                <w:color w:val="231F20"/>
                <w:spacing w:val="-17"/>
                <w:w w:val="65"/>
                <w:sz w:val="20"/>
              </w:rPr>
              <w:t xml:space="preserve"> </w:t>
            </w:r>
            <w:r>
              <w:rPr>
                <w:color w:val="231F20"/>
                <w:spacing w:val="-16"/>
                <w:w w:val="65"/>
                <w:sz w:val="20"/>
              </w:rPr>
              <w:t xml:space="preserve">&amp; </w:t>
            </w:r>
            <w:r>
              <w:rPr>
                <w:color w:val="231F20"/>
                <w:w w:val="70"/>
                <w:sz w:val="20"/>
              </w:rPr>
              <w:t>supported</w:t>
            </w:r>
          </w:p>
          <w:p w14:paraId="4F6D2A33" w14:textId="77777777" w:rsidR="009948F1" w:rsidRDefault="00BC0563">
            <w:pPr>
              <w:pStyle w:val="TableParagraph"/>
              <w:numPr>
                <w:ilvl w:val="0"/>
                <w:numId w:val="27"/>
              </w:numPr>
              <w:tabs>
                <w:tab w:val="left" w:pos="73"/>
              </w:tabs>
              <w:spacing w:before="22" w:line="222" w:lineRule="exact"/>
              <w:ind w:left="72" w:hanging="45"/>
              <w:rPr>
                <w:sz w:val="20"/>
              </w:rPr>
            </w:pPr>
            <w:r>
              <w:rPr>
                <w:color w:val="231F20"/>
                <w:w w:val="65"/>
                <w:sz w:val="20"/>
              </w:rPr>
              <w:t>Platform</w:t>
            </w:r>
            <w:r>
              <w:rPr>
                <w:color w:val="231F20"/>
                <w:spacing w:val="-12"/>
                <w:w w:val="65"/>
                <w:sz w:val="20"/>
              </w:rPr>
              <w:t xml:space="preserve"> </w:t>
            </w:r>
            <w:r>
              <w:rPr>
                <w:color w:val="231F20"/>
                <w:w w:val="65"/>
                <w:sz w:val="20"/>
              </w:rPr>
              <w:t>for</w:t>
            </w:r>
            <w:r>
              <w:rPr>
                <w:color w:val="231F20"/>
                <w:spacing w:val="-11"/>
                <w:w w:val="65"/>
                <w:sz w:val="20"/>
              </w:rPr>
              <w:t xml:space="preserve"> </w:t>
            </w:r>
            <w:r>
              <w:rPr>
                <w:color w:val="231F20"/>
                <w:w w:val="65"/>
                <w:sz w:val="20"/>
              </w:rPr>
              <w:t>research</w:t>
            </w:r>
            <w:r>
              <w:rPr>
                <w:color w:val="231F20"/>
                <w:spacing w:val="-11"/>
                <w:w w:val="65"/>
                <w:sz w:val="20"/>
              </w:rPr>
              <w:t xml:space="preserve"> </w:t>
            </w:r>
            <w:r>
              <w:rPr>
                <w:color w:val="231F20"/>
                <w:w w:val="65"/>
                <w:sz w:val="20"/>
              </w:rPr>
              <w:t>findings</w:t>
            </w:r>
            <w:r>
              <w:rPr>
                <w:color w:val="231F20"/>
                <w:spacing w:val="-12"/>
                <w:w w:val="65"/>
                <w:sz w:val="20"/>
              </w:rPr>
              <w:t xml:space="preserve"> </w:t>
            </w:r>
            <w:r>
              <w:rPr>
                <w:color w:val="231F20"/>
                <w:w w:val="65"/>
                <w:sz w:val="20"/>
              </w:rPr>
              <w:t>developed</w:t>
            </w:r>
          </w:p>
          <w:p w14:paraId="29F8B56E" w14:textId="77777777" w:rsidR="009948F1" w:rsidRDefault="00BC0563">
            <w:pPr>
              <w:pStyle w:val="TableParagraph"/>
              <w:numPr>
                <w:ilvl w:val="0"/>
                <w:numId w:val="27"/>
              </w:numPr>
              <w:tabs>
                <w:tab w:val="left" w:pos="107"/>
              </w:tabs>
              <w:spacing w:line="264" w:lineRule="auto"/>
              <w:ind w:left="-9" w:right="51" w:firstLine="36"/>
              <w:rPr>
                <w:sz w:val="20"/>
              </w:rPr>
            </w:pPr>
            <w:r>
              <w:rPr>
                <w:color w:val="231F20"/>
                <w:w w:val="65"/>
                <w:sz w:val="20"/>
              </w:rPr>
              <w:t>Engagement</w:t>
            </w:r>
            <w:r>
              <w:rPr>
                <w:color w:val="231F20"/>
                <w:spacing w:val="-18"/>
                <w:w w:val="65"/>
                <w:sz w:val="20"/>
              </w:rPr>
              <w:t xml:space="preserve"> </w:t>
            </w:r>
            <w:r>
              <w:rPr>
                <w:color w:val="231F20"/>
                <w:w w:val="65"/>
                <w:sz w:val="20"/>
              </w:rPr>
              <w:t>of</w:t>
            </w:r>
            <w:r>
              <w:rPr>
                <w:color w:val="231F20"/>
                <w:spacing w:val="-18"/>
                <w:w w:val="65"/>
                <w:sz w:val="20"/>
              </w:rPr>
              <w:t xml:space="preserve"> </w:t>
            </w:r>
            <w:r>
              <w:rPr>
                <w:color w:val="231F20"/>
                <w:w w:val="65"/>
                <w:sz w:val="20"/>
              </w:rPr>
              <w:t>media</w:t>
            </w:r>
            <w:r>
              <w:rPr>
                <w:color w:val="231F20"/>
                <w:spacing w:val="-17"/>
                <w:w w:val="65"/>
                <w:sz w:val="20"/>
              </w:rPr>
              <w:t xml:space="preserve"> </w:t>
            </w:r>
            <w:r>
              <w:rPr>
                <w:color w:val="231F20"/>
                <w:w w:val="65"/>
                <w:sz w:val="20"/>
              </w:rPr>
              <w:t>on</w:t>
            </w:r>
            <w:r>
              <w:rPr>
                <w:color w:val="231F20"/>
                <w:spacing w:val="-18"/>
                <w:w w:val="65"/>
                <w:sz w:val="20"/>
              </w:rPr>
              <w:t xml:space="preserve"> </w:t>
            </w:r>
            <w:r>
              <w:rPr>
                <w:color w:val="231F20"/>
                <w:w w:val="65"/>
                <w:sz w:val="20"/>
              </w:rPr>
              <w:t>dissemination</w:t>
            </w:r>
            <w:r>
              <w:rPr>
                <w:color w:val="231F20"/>
                <w:spacing w:val="-17"/>
                <w:w w:val="65"/>
                <w:sz w:val="20"/>
              </w:rPr>
              <w:t xml:space="preserve"> </w:t>
            </w:r>
            <w:r>
              <w:rPr>
                <w:color w:val="231F20"/>
                <w:spacing w:val="-8"/>
                <w:w w:val="65"/>
                <w:sz w:val="20"/>
              </w:rPr>
              <w:t xml:space="preserve">of </w:t>
            </w:r>
            <w:r>
              <w:rPr>
                <w:color w:val="231F20"/>
                <w:w w:val="70"/>
                <w:sz w:val="20"/>
              </w:rPr>
              <w:t>research</w:t>
            </w:r>
            <w:r>
              <w:rPr>
                <w:color w:val="231F20"/>
                <w:spacing w:val="-16"/>
                <w:w w:val="70"/>
                <w:sz w:val="20"/>
              </w:rPr>
              <w:t xml:space="preserve"> </w:t>
            </w:r>
            <w:r>
              <w:rPr>
                <w:color w:val="231F20"/>
                <w:w w:val="70"/>
                <w:sz w:val="20"/>
              </w:rPr>
              <w:t>findings</w:t>
            </w:r>
            <w:r>
              <w:rPr>
                <w:color w:val="231F20"/>
                <w:spacing w:val="-16"/>
                <w:w w:val="70"/>
                <w:sz w:val="20"/>
              </w:rPr>
              <w:t xml:space="preserve"> </w:t>
            </w:r>
            <w:r>
              <w:rPr>
                <w:color w:val="231F20"/>
                <w:w w:val="70"/>
                <w:sz w:val="20"/>
              </w:rPr>
              <w:t>to</w:t>
            </w:r>
            <w:r>
              <w:rPr>
                <w:color w:val="231F20"/>
                <w:spacing w:val="-16"/>
                <w:w w:val="70"/>
                <w:sz w:val="20"/>
              </w:rPr>
              <w:t xml:space="preserve"> </w:t>
            </w:r>
            <w:r>
              <w:rPr>
                <w:color w:val="231F20"/>
                <w:w w:val="70"/>
                <w:sz w:val="20"/>
              </w:rPr>
              <w:t>the</w:t>
            </w:r>
            <w:r>
              <w:rPr>
                <w:color w:val="231F20"/>
                <w:spacing w:val="-16"/>
                <w:w w:val="70"/>
                <w:sz w:val="20"/>
              </w:rPr>
              <w:t xml:space="preserve"> </w:t>
            </w:r>
            <w:r>
              <w:rPr>
                <w:color w:val="231F20"/>
                <w:w w:val="70"/>
                <w:sz w:val="20"/>
              </w:rPr>
              <w:t>public</w:t>
            </w:r>
            <w:r>
              <w:rPr>
                <w:color w:val="231F20"/>
                <w:spacing w:val="-16"/>
                <w:w w:val="70"/>
                <w:sz w:val="20"/>
              </w:rPr>
              <w:t xml:space="preserve"> </w:t>
            </w:r>
            <w:r>
              <w:rPr>
                <w:color w:val="231F20"/>
                <w:w w:val="70"/>
                <w:sz w:val="20"/>
              </w:rPr>
              <w:t>done</w:t>
            </w:r>
          </w:p>
        </w:tc>
        <w:tc>
          <w:tcPr>
            <w:tcW w:w="1500" w:type="dxa"/>
            <w:tcBorders>
              <w:left w:val="single" w:sz="6" w:space="0" w:color="231F20"/>
              <w:right w:val="single" w:sz="6" w:space="0" w:color="231F20"/>
            </w:tcBorders>
            <w:shd w:val="clear" w:color="auto" w:fill="CCE7D3"/>
          </w:tcPr>
          <w:p w14:paraId="4554FAB4" w14:textId="77777777" w:rsidR="009948F1" w:rsidRDefault="009948F1">
            <w:pPr>
              <w:pStyle w:val="TableParagraph"/>
              <w:rPr>
                <w:rFonts w:ascii="Times New Roman"/>
                <w:sz w:val="12"/>
              </w:rPr>
            </w:pPr>
          </w:p>
        </w:tc>
        <w:tc>
          <w:tcPr>
            <w:tcW w:w="1582" w:type="dxa"/>
            <w:tcBorders>
              <w:left w:val="single" w:sz="6" w:space="0" w:color="231F20"/>
              <w:right w:val="single" w:sz="6" w:space="0" w:color="231F20"/>
            </w:tcBorders>
            <w:shd w:val="clear" w:color="auto" w:fill="CCE7D3"/>
          </w:tcPr>
          <w:p w14:paraId="682298A4" w14:textId="77777777" w:rsidR="009948F1" w:rsidRDefault="009948F1">
            <w:pPr>
              <w:pStyle w:val="TableParagraph"/>
              <w:rPr>
                <w:rFonts w:ascii="Times New Roman"/>
                <w:sz w:val="12"/>
              </w:rPr>
            </w:pPr>
          </w:p>
        </w:tc>
      </w:tr>
      <w:tr w:rsidR="009948F1" w14:paraId="27F54482" w14:textId="77777777">
        <w:trPr>
          <w:trHeight w:val="800"/>
        </w:trPr>
        <w:tc>
          <w:tcPr>
            <w:tcW w:w="472" w:type="dxa"/>
            <w:vMerge w:val="restart"/>
            <w:tcBorders>
              <w:right w:val="single" w:sz="6" w:space="0" w:color="231F20"/>
            </w:tcBorders>
          </w:tcPr>
          <w:p w14:paraId="3CD45991" w14:textId="77777777" w:rsidR="009948F1" w:rsidRDefault="009948F1">
            <w:pPr>
              <w:pStyle w:val="TableParagraph"/>
              <w:rPr>
                <w:rFonts w:ascii="Times New Roman"/>
                <w:sz w:val="12"/>
              </w:rPr>
            </w:pPr>
          </w:p>
        </w:tc>
        <w:tc>
          <w:tcPr>
            <w:tcW w:w="553" w:type="dxa"/>
            <w:tcBorders>
              <w:left w:val="single" w:sz="6" w:space="0" w:color="231F20"/>
              <w:right w:val="single" w:sz="6" w:space="0" w:color="231F20"/>
            </w:tcBorders>
          </w:tcPr>
          <w:p w14:paraId="397CEBB0" w14:textId="77777777" w:rsidR="009948F1" w:rsidRDefault="009948F1">
            <w:pPr>
              <w:pStyle w:val="TableParagraph"/>
              <w:spacing w:before="9"/>
              <w:rPr>
                <w:sz w:val="24"/>
              </w:rPr>
            </w:pPr>
          </w:p>
          <w:p w14:paraId="086A9AE1" w14:textId="77777777" w:rsidR="009948F1" w:rsidRDefault="00BC0563">
            <w:pPr>
              <w:pStyle w:val="TableParagraph"/>
              <w:ind w:right="29"/>
              <w:jc w:val="right"/>
              <w:rPr>
                <w:sz w:val="20"/>
              </w:rPr>
            </w:pPr>
            <w:r>
              <w:rPr>
                <w:color w:val="231F20"/>
                <w:w w:val="60"/>
                <w:sz w:val="20"/>
              </w:rPr>
              <w:t>13.1.7.a</w:t>
            </w:r>
          </w:p>
        </w:tc>
        <w:tc>
          <w:tcPr>
            <w:tcW w:w="5148" w:type="dxa"/>
            <w:gridSpan w:val="2"/>
            <w:tcBorders>
              <w:left w:val="single" w:sz="6" w:space="0" w:color="231F20"/>
              <w:right w:val="single" w:sz="6" w:space="0" w:color="231F20"/>
            </w:tcBorders>
          </w:tcPr>
          <w:p w14:paraId="7CC45857" w14:textId="77777777" w:rsidR="009948F1" w:rsidRDefault="00BC0563">
            <w:pPr>
              <w:pStyle w:val="TableParagraph"/>
              <w:spacing w:before="28" w:line="259" w:lineRule="auto"/>
              <w:ind w:left="27" w:right="114"/>
              <w:rPr>
                <w:sz w:val="20"/>
              </w:rPr>
            </w:pPr>
            <w:r>
              <w:rPr>
                <w:color w:val="231F20"/>
                <w:w w:val="65"/>
                <w:sz w:val="20"/>
              </w:rPr>
              <w:t>Develop</w:t>
            </w:r>
            <w:r>
              <w:rPr>
                <w:color w:val="231F20"/>
                <w:spacing w:val="-17"/>
                <w:w w:val="65"/>
                <w:sz w:val="20"/>
              </w:rPr>
              <w:t xml:space="preserve"> </w:t>
            </w:r>
            <w:r>
              <w:rPr>
                <w:color w:val="231F20"/>
                <w:w w:val="65"/>
                <w:sz w:val="20"/>
              </w:rPr>
              <w:t>communication</w:t>
            </w:r>
            <w:r>
              <w:rPr>
                <w:color w:val="231F20"/>
                <w:spacing w:val="-17"/>
                <w:w w:val="65"/>
                <w:sz w:val="20"/>
              </w:rPr>
              <w:t xml:space="preserve"> </w:t>
            </w:r>
            <w:r>
              <w:rPr>
                <w:color w:val="231F20"/>
                <w:w w:val="65"/>
                <w:sz w:val="20"/>
              </w:rPr>
              <w:t>strategy</w:t>
            </w:r>
            <w:r>
              <w:rPr>
                <w:color w:val="231F20"/>
                <w:spacing w:val="-17"/>
                <w:w w:val="65"/>
                <w:sz w:val="20"/>
              </w:rPr>
              <w:t xml:space="preserve"> </w:t>
            </w:r>
            <w:r>
              <w:rPr>
                <w:color w:val="231F20"/>
                <w:w w:val="65"/>
                <w:sz w:val="20"/>
              </w:rPr>
              <w:t>for</w:t>
            </w:r>
            <w:r>
              <w:rPr>
                <w:color w:val="231F20"/>
                <w:spacing w:val="-17"/>
                <w:w w:val="65"/>
                <w:sz w:val="20"/>
              </w:rPr>
              <w:t xml:space="preserve"> </w:t>
            </w:r>
            <w:r>
              <w:rPr>
                <w:color w:val="231F20"/>
                <w:w w:val="65"/>
                <w:sz w:val="20"/>
              </w:rPr>
              <w:t>dissemination</w:t>
            </w:r>
            <w:r>
              <w:rPr>
                <w:color w:val="231F20"/>
                <w:spacing w:val="-17"/>
                <w:w w:val="65"/>
                <w:sz w:val="20"/>
              </w:rPr>
              <w:t xml:space="preserve"> </w:t>
            </w:r>
            <w:r>
              <w:rPr>
                <w:color w:val="231F20"/>
                <w:w w:val="65"/>
                <w:sz w:val="20"/>
              </w:rPr>
              <w:t>of</w:t>
            </w:r>
            <w:r>
              <w:rPr>
                <w:color w:val="231F20"/>
                <w:spacing w:val="-17"/>
                <w:w w:val="65"/>
                <w:sz w:val="20"/>
              </w:rPr>
              <w:t xml:space="preserve"> </w:t>
            </w:r>
            <w:r>
              <w:rPr>
                <w:color w:val="231F20"/>
                <w:w w:val="65"/>
                <w:sz w:val="20"/>
              </w:rPr>
              <w:t>research</w:t>
            </w:r>
            <w:r>
              <w:rPr>
                <w:color w:val="231F20"/>
                <w:spacing w:val="-17"/>
                <w:w w:val="65"/>
                <w:sz w:val="20"/>
              </w:rPr>
              <w:t xml:space="preserve"> </w:t>
            </w:r>
            <w:r>
              <w:rPr>
                <w:color w:val="231F20"/>
                <w:w w:val="65"/>
                <w:sz w:val="20"/>
              </w:rPr>
              <w:t>findings</w:t>
            </w:r>
            <w:r>
              <w:rPr>
                <w:color w:val="231F20"/>
                <w:spacing w:val="-17"/>
                <w:w w:val="65"/>
                <w:sz w:val="20"/>
              </w:rPr>
              <w:t xml:space="preserve"> </w:t>
            </w:r>
            <w:r>
              <w:rPr>
                <w:color w:val="231F20"/>
                <w:w w:val="65"/>
                <w:sz w:val="20"/>
              </w:rPr>
              <w:t>to</w:t>
            </w:r>
            <w:r>
              <w:rPr>
                <w:color w:val="231F20"/>
                <w:spacing w:val="-17"/>
                <w:w w:val="65"/>
                <w:sz w:val="20"/>
              </w:rPr>
              <w:t xml:space="preserve"> </w:t>
            </w:r>
            <w:r>
              <w:rPr>
                <w:color w:val="231F20"/>
                <w:w w:val="65"/>
                <w:sz w:val="20"/>
              </w:rPr>
              <w:t>different</w:t>
            </w:r>
            <w:r>
              <w:rPr>
                <w:color w:val="231F20"/>
                <w:spacing w:val="-17"/>
                <w:w w:val="65"/>
                <w:sz w:val="20"/>
              </w:rPr>
              <w:t xml:space="preserve"> </w:t>
            </w:r>
            <w:r>
              <w:rPr>
                <w:color w:val="231F20"/>
                <w:w w:val="65"/>
                <w:sz w:val="20"/>
              </w:rPr>
              <w:t>target audiences</w:t>
            </w:r>
            <w:r>
              <w:rPr>
                <w:color w:val="231F20"/>
                <w:spacing w:val="-24"/>
                <w:w w:val="65"/>
                <w:sz w:val="20"/>
              </w:rPr>
              <w:t xml:space="preserve"> </w:t>
            </w:r>
            <w:r>
              <w:rPr>
                <w:color w:val="231F20"/>
                <w:w w:val="65"/>
                <w:sz w:val="20"/>
              </w:rPr>
              <w:t>(e.g.</w:t>
            </w:r>
            <w:r>
              <w:rPr>
                <w:color w:val="231F20"/>
                <w:spacing w:val="-23"/>
                <w:w w:val="65"/>
                <w:sz w:val="20"/>
              </w:rPr>
              <w:t xml:space="preserve"> </w:t>
            </w:r>
            <w:r>
              <w:rPr>
                <w:color w:val="231F20"/>
                <w:w w:val="65"/>
                <w:sz w:val="20"/>
              </w:rPr>
              <w:t>policy</w:t>
            </w:r>
            <w:r>
              <w:rPr>
                <w:color w:val="231F20"/>
                <w:spacing w:val="-23"/>
                <w:w w:val="65"/>
                <w:sz w:val="20"/>
              </w:rPr>
              <w:t xml:space="preserve"> </w:t>
            </w:r>
            <w:r>
              <w:rPr>
                <w:color w:val="231F20"/>
                <w:w w:val="65"/>
                <w:sz w:val="20"/>
              </w:rPr>
              <w:t>makers,</w:t>
            </w:r>
            <w:r>
              <w:rPr>
                <w:color w:val="231F20"/>
                <w:spacing w:val="-23"/>
                <w:w w:val="65"/>
                <w:sz w:val="20"/>
              </w:rPr>
              <w:t xml:space="preserve"> </w:t>
            </w:r>
            <w:r>
              <w:rPr>
                <w:color w:val="231F20"/>
                <w:w w:val="65"/>
                <w:sz w:val="20"/>
              </w:rPr>
              <w:t>politicians,</w:t>
            </w:r>
            <w:r>
              <w:rPr>
                <w:color w:val="231F20"/>
                <w:spacing w:val="-23"/>
                <w:w w:val="65"/>
                <w:sz w:val="20"/>
              </w:rPr>
              <w:t xml:space="preserve"> </w:t>
            </w:r>
            <w:r>
              <w:rPr>
                <w:color w:val="231F20"/>
                <w:w w:val="65"/>
                <w:sz w:val="20"/>
              </w:rPr>
              <w:t>practitioners,</w:t>
            </w:r>
            <w:r>
              <w:rPr>
                <w:color w:val="231F20"/>
                <w:spacing w:val="-23"/>
                <w:w w:val="65"/>
                <w:sz w:val="20"/>
              </w:rPr>
              <w:t xml:space="preserve"> </w:t>
            </w:r>
            <w:r>
              <w:rPr>
                <w:color w:val="231F20"/>
                <w:w w:val="65"/>
                <w:sz w:val="20"/>
              </w:rPr>
              <w:t>consumers,</w:t>
            </w:r>
            <w:r>
              <w:rPr>
                <w:color w:val="231F20"/>
                <w:spacing w:val="-23"/>
                <w:w w:val="65"/>
                <w:sz w:val="20"/>
              </w:rPr>
              <w:t xml:space="preserve"> </w:t>
            </w:r>
            <w:r>
              <w:rPr>
                <w:color w:val="231F20"/>
                <w:w w:val="65"/>
                <w:sz w:val="20"/>
              </w:rPr>
              <w:t>development</w:t>
            </w:r>
            <w:r>
              <w:rPr>
                <w:color w:val="231F20"/>
                <w:spacing w:val="-23"/>
                <w:w w:val="65"/>
                <w:sz w:val="20"/>
              </w:rPr>
              <w:t xml:space="preserve"> </w:t>
            </w:r>
            <w:r>
              <w:rPr>
                <w:color w:val="231F20"/>
                <w:spacing w:val="-3"/>
                <w:w w:val="65"/>
                <w:sz w:val="20"/>
              </w:rPr>
              <w:t xml:space="preserve">partners </w:t>
            </w:r>
            <w:r>
              <w:rPr>
                <w:color w:val="231F20"/>
                <w:w w:val="70"/>
                <w:sz w:val="20"/>
              </w:rPr>
              <w:t>and the general</w:t>
            </w:r>
            <w:r>
              <w:rPr>
                <w:color w:val="231F20"/>
                <w:spacing w:val="-17"/>
                <w:w w:val="70"/>
                <w:sz w:val="20"/>
              </w:rPr>
              <w:t xml:space="preserve"> </w:t>
            </w:r>
            <w:r>
              <w:rPr>
                <w:color w:val="231F20"/>
                <w:w w:val="70"/>
                <w:sz w:val="20"/>
              </w:rPr>
              <w:t>public)</w:t>
            </w:r>
          </w:p>
        </w:tc>
        <w:tc>
          <w:tcPr>
            <w:tcW w:w="1500" w:type="dxa"/>
            <w:tcBorders>
              <w:left w:val="single" w:sz="6" w:space="0" w:color="231F20"/>
              <w:right w:val="single" w:sz="6" w:space="0" w:color="231F20"/>
            </w:tcBorders>
          </w:tcPr>
          <w:p w14:paraId="137E0110" w14:textId="77777777" w:rsidR="009948F1" w:rsidRDefault="009948F1">
            <w:pPr>
              <w:pStyle w:val="TableParagraph"/>
              <w:spacing w:before="9"/>
              <w:rPr>
                <w:sz w:val="24"/>
              </w:rPr>
            </w:pPr>
          </w:p>
          <w:p w14:paraId="63FB753D" w14:textId="77777777" w:rsidR="009948F1" w:rsidRDefault="00BC0563">
            <w:pPr>
              <w:pStyle w:val="TableParagraph"/>
              <w:ind w:left="28"/>
              <w:rPr>
                <w:sz w:val="20"/>
              </w:rPr>
            </w:pPr>
            <w:r>
              <w:rPr>
                <w:color w:val="231F20"/>
                <w:w w:val="70"/>
                <w:sz w:val="20"/>
              </w:rPr>
              <w:t>Lack of funds</w:t>
            </w:r>
          </w:p>
        </w:tc>
        <w:tc>
          <w:tcPr>
            <w:tcW w:w="1582" w:type="dxa"/>
            <w:tcBorders>
              <w:left w:val="single" w:sz="6" w:space="0" w:color="231F20"/>
              <w:right w:val="single" w:sz="6" w:space="0" w:color="231F20"/>
            </w:tcBorders>
          </w:tcPr>
          <w:p w14:paraId="40CD885E" w14:textId="77777777" w:rsidR="009948F1" w:rsidRDefault="00BC0563">
            <w:pPr>
              <w:pStyle w:val="TableParagraph"/>
              <w:spacing w:before="160" w:line="259" w:lineRule="auto"/>
              <w:ind w:left="29" w:right="130"/>
              <w:rPr>
                <w:sz w:val="20"/>
              </w:rPr>
            </w:pPr>
            <w:r>
              <w:rPr>
                <w:color w:val="231F20"/>
                <w:w w:val="65"/>
                <w:sz w:val="20"/>
              </w:rPr>
              <w:t xml:space="preserve">Develop communication </w:t>
            </w:r>
            <w:r>
              <w:rPr>
                <w:color w:val="231F20"/>
                <w:w w:val="70"/>
                <w:sz w:val="20"/>
              </w:rPr>
              <w:t>strategy</w:t>
            </w:r>
          </w:p>
        </w:tc>
      </w:tr>
      <w:tr w:rsidR="009948F1" w14:paraId="13247803" w14:textId="77777777">
        <w:trPr>
          <w:trHeight w:val="628"/>
        </w:trPr>
        <w:tc>
          <w:tcPr>
            <w:tcW w:w="472" w:type="dxa"/>
            <w:vMerge/>
            <w:tcBorders>
              <w:top w:val="nil"/>
              <w:right w:val="single" w:sz="6" w:space="0" w:color="231F20"/>
            </w:tcBorders>
          </w:tcPr>
          <w:p w14:paraId="0751F836" w14:textId="77777777" w:rsidR="009948F1" w:rsidRDefault="009948F1">
            <w:pPr>
              <w:rPr>
                <w:sz w:val="2"/>
                <w:szCs w:val="2"/>
              </w:rPr>
            </w:pPr>
          </w:p>
        </w:tc>
        <w:tc>
          <w:tcPr>
            <w:tcW w:w="553" w:type="dxa"/>
            <w:tcBorders>
              <w:left w:val="single" w:sz="6" w:space="0" w:color="231F20"/>
              <w:right w:val="single" w:sz="6" w:space="0" w:color="231F20"/>
            </w:tcBorders>
          </w:tcPr>
          <w:p w14:paraId="6EABDFF2" w14:textId="77777777" w:rsidR="009948F1" w:rsidRDefault="009948F1">
            <w:pPr>
              <w:pStyle w:val="TableParagraph"/>
              <w:spacing w:before="2"/>
              <w:rPr>
                <w:sz w:val="17"/>
              </w:rPr>
            </w:pPr>
          </w:p>
          <w:p w14:paraId="52BB26D2" w14:textId="77777777" w:rsidR="009948F1" w:rsidRDefault="00BC0563">
            <w:pPr>
              <w:pStyle w:val="TableParagraph"/>
              <w:spacing w:before="1"/>
              <w:ind w:right="29"/>
              <w:jc w:val="right"/>
              <w:rPr>
                <w:sz w:val="20"/>
              </w:rPr>
            </w:pPr>
            <w:r>
              <w:rPr>
                <w:color w:val="231F20"/>
                <w:w w:val="60"/>
                <w:sz w:val="20"/>
              </w:rPr>
              <w:t>13.1.7.b</w:t>
            </w:r>
          </w:p>
        </w:tc>
        <w:tc>
          <w:tcPr>
            <w:tcW w:w="5148" w:type="dxa"/>
            <w:gridSpan w:val="2"/>
            <w:tcBorders>
              <w:left w:val="single" w:sz="6" w:space="0" w:color="231F20"/>
              <w:right w:val="single" w:sz="6" w:space="0" w:color="231F20"/>
            </w:tcBorders>
          </w:tcPr>
          <w:p w14:paraId="70CD334F" w14:textId="77777777" w:rsidR="009948F1" w:rsidRDefault="00BC0563">
            <w:pPr>
              <w:pStyle w:val="TableParagraph"/>
              <w:spacing w:before="66" w:line="259" w:lineRule="auto"/>
              <w:ind w:left="27" w:right="76"/>
              <w:rPr>
                <w:sz w:val="20"/>
              </w:rPr>
            </w:pPr>
            <w:r>
              <w:rPr>
                <w:color w:val="231F20"/>
                <w:w w:val="65"/>
                <w:sz w:val="20"/>
              </w:rPr>
              <w:t>Create</w:t>
            </w:r>
            <w:r>
              <w:rPr>
                <w:color w:val="231F20"/>
                <w:spacing w:val="-18"/>
                <w:w w:val="65"/>
                <w:sz w:val="20"/>
              </w:rPr>
              <w:t xml:space="preserve"> </w:t>
            </w:r>
            <w:r>
              <w:rPr>
                <w:color w:val="231F20"/>
                <w:w w:val="65"/>
                <w:sz w:val="20"/>
              </w:rPr>
              <w:t>and</w:t>
            </w:r>
            <w:r>
              <w:rPr>
                <w:color w:val="231F20"/>
                <w:spacing w:val="-17"/>
                <w:w w:val="65"/>
                <w:sz w:val="20"/>
              </w:rPr>
              <w:t xml:space="preserve"> </w:t>
            </w:r>
            <w:r>
              <w:rPr>
                <w:color w:val="231F20"/>
                <w:w w:val="65"/>
                <w:sz w:val="20"/>
              </w:rPr>
              <w:t>support</w:t>
            </w:r>
            <w:r>
              <w:rPr>
                <w:color w:val="231F20"/>
                <w:spacing w:val="-17"/>
                <w:w w:val="65"/>
                <w:sz w:val="20"/>
              </w:rPr>
              <w:t xml:space="preserve"> </w:t>
            </w:r>
            <w:r>
              <w:rPr>
                <w:color w:val="231F20"/>
                <w:w w:val="65"/>
                <w:sz w:val="20"/>
              </w:rPr>
              <w:t>a</w:t>
            </w:r>
            <w:r>
              <w:rPr>
                <w:color w:val="231F20"/>
                <w:spacing w:val="-18"/>
                <w:w w:val="65"/>
                <w:sz w:val="20"/>
              </w:rPr>
              <w:t xml:space="preserve"> </w:t>
            </w:r>
            <w:r>
              <w:rPr>
                <w:color w:val="231F20"/>
                <w:w w:val="65"/>
                <w:sz w:val="20"/>
              </w:rPr>
              <w:t>platform</w:t>
            </w:r>
            <w:r>
              <w:rPr>
                <w:color w:val="231F20"/>
                <w:spacing w:val="-17"/>
                <w:w w:val="65"/>
                <w:sz w:val="20"/>
              </w:rPr>
              <w:t xml:space="preserve"> </w:t>
            </w:r>
            <w:r>
              <w:rPr>
                <w:color w:val="231F20"/>
                <w:w w:val="65"/>
                <w:sz w:val="20"/>
              </w:rPr>
              <w:t>for</w:t>
            </w:r>
            <w:r>
              <w:rPr>
                <w:color w:val="231F20"/>
                <w:spacing w:val="-17"/>
                <w:w w:val="65"/>
                <w:sz w:val="20"/>
              </w:rPr>
              <w:t xml:space="preserve"> </w:t>
            </w:r>
            <w:r>
              <w:rPr>
                <w:color w:val="231F20"/>
                <w:w w:val="65"/>
                <w:sz w:val="20"/>
              </w:rPr>
              <w:t>regular</w:t>
            </w:r>
            <w:r>
              <w:rPr>
                <w:color w:val="231F20"/>
                <w:spacing w:val="-18"/>
                <w:w w:val="65"/>
                <w:sz w:val="20"/>
              </w:rPr>
              <w:t xml:space="preserve"> </w:t>
            </w:r>
            <w:r>
              <w:rPr>
                <w:color w:val="231F20"/>
                <w:w w:val="65"/>
                <w:sz w:val="20"/>
              </w:rPr>
              <w:t>dialogue</w:t>
            </w:r>
            <w:r>
              <w:rPr>
                <w:color w:val="231F20"/>
                <w:spacing w:val="-17"/>
                <w:w w:val="65"/>
                <w:sz w:val="20"/>
              </w:rPr>
              <w:t xml:space="preserve"> </w:t>
            </w:r>
            <w:r>
              <w:rPr>
                <w:color w:val="231F20"/>
                <w:w w:val="65"/>
                <w:sz w:val="20"/>
              </w:rPr>
              <w:t>between</w:t>
            </w:r>
            <w:r>
              <w:rPr>
                <w:color w:val="231F20"/>
                <w:spacing w:val="-17"/>
                <w:w w:val="65"/>
                <w:sz w:val="20"/>
              </w:rPr>
              <w:t xml:space="preserve"> </w:t>
            </w:r>
            <w:r>
              <w:rPr>
                <w:color w:val="231F20"/>
                <w:w w:val="65"/>
                <w:sz w:val="20"/>
              </w:rPr>
              <w:t>researchers</w:t>
            </w:r>
            <w:r>
              <w:rPr>
                <w:color w:val="231F20"/>
                <w:spacing w:val="-18"/>
                <w:w w:val="65"/>
                <w:sz w:val="20"/>
              </w:rPr>
              <w:t xml:space="preserve"> </w:t>
            </w:r>
            <w:r>
              <w:rPr>
                <w:color w:val="231F20"/>
                <w:w w:val="65"/>
                <w:sz w:val="20"/>
              </w:rPr>
              <w:t>and</w:t>
            </w:r>
            <w:r>
              <w:rPr>
                <w:color w:val="231F20"/>
                <w:spacing w:val="-17"/>
                <w:w w:val="65"/>
                <w:sz w:val="20"/>
              </w:rPr>
              <w:t xml:space="preserve"> </w:t>
            </w:r>
            <w:r>
              <w:rPr>
                <w:color w:val="231F20"/>
                <w:w w:val="65"/>
                <w:sz w:val="20"/>
              </w:rPr>
              <w:t>policy</w:t>
            </w:r>
            <w:r>
              <w:rPr>
                <w:color w:val="231F20"/>
                <w:spacing w:val="-17"/>
                <w:w w:val="65"/>
                <w:sz w:val="20"/>
              </w:rPr>
              <w:t xml:space="preserve"> </w:t>
            </w:r>
            <w:r>
              <w:rPr>
                <w:color w:val="231F20"/>
                <w:w w:val="65"/>
                <w:sz w:val="20"/>
              </w:rPr>
              <w:t xml:space="preserve">makers </w:t>
            </w:r>
            <w:r>
              <w:rPr>
                <w:color w:val="231F20"/>
                <w:w w:val="70"/>
                <w:sz w:val="20"/>
              </w:rPr>
              <w:t>for evidence-based</w:t>
            </w:r>
            <w:r>
              <w:rPr>
                <w:color w:val="231F20"/>
                <w:spacing w:val="-13"/>
                <w:w w:val="70"/>
                <w:sz w:val="20"/>
              </w:rPr>
              <w:t xml:space="preserve"> </w:t>
            </w:r>
            <w:r>
              <w:rPr>
                <w:color w:val="231F20"/>
                <w:w w:val="70"/>
                <w:sz w:val="20"/>
              </w:rPr>
              <w:t>decisions</w:t>
            </w:r>
          </w:p>
        </w:tc>
        <w:tc>
          <w:tcPr>
            <w:tcW w:w="1500" w:type="dxa"/>
            <w:tcBorders>
              <w:left w:val="single" w:sz="6" w:space="0" w:color="231F20"/>
              <w:right w:val="single" w:sz="6" w:space="0" w:color="231F20"/>
            </w:tcBorders>
          </w:tcPr>
          <w:p w14:paraId="0B36428E" w14:textId="77777777" w:rsidR="009948F1" w:rsidRDefault="009948F1">
            <w:pPr>
              <w:pStyle w:val="TableParagraph"/>
              <w:spacing w:before="2"/>
              <w:rPr>
                <w:sz w:val="17"/>
              </w:rPr>
            </w:pPr>
          </w:p>
          <w:p w14:paraId="3BA407F2" w14:textId="77777777" w:rsidR="009948F1" w:rsidRDefault="00BC0563">
            <w:pPr>
              <w:pStyle w:val="TableParagraph"/>
              <w:spacing w:before="1"/>
              <w:ind w:left="28"/>
              <w:rPr>
                <w:sz w:val="20"/>
              </w:rPr>
            </w:pPr>
            <w:r>
              <w:rPr>
                <w:color w:val="231F20"/>
                <w:w w:val="70"/>
                <w:sz w:val="20"/>
              </w:rPr>
              <w:t>Lack of funds</w:t>
            </w:r>
          </w:p>
        </w:tc>
        <w:tc>
          <w:tcPr>
            <w:tcW w:w="1582" w:type="dxa"/>
            <w:tcBorders>
              <w:left w:val="single" w:sz="6" w:space="0" w:color="231F20"/>
              <w:right w:val="single" w:sz="6" w:space="0" w:color="231F20"/>
            </w:tcBorders>
          </w:tcPr>
          <w:p w14:paraId="1ED197E6" w14:textId="77777777" w:rsidR="009948F1" w:rsidRDefault="009948F1">
            <w:pPr>
              <w:pStyle w:val="TableParagraph"/>
              <w:spacing w:before="2"/>
              <w:rPr>
                <w:sz w:val="17"/>
              </w:rPr>
            </w:pPr>
          </w:p>
          <w:p w14:paraId="69BD02E2" w14:textId="77777777" w:rsidR="009948F1" w:rsidRDefault="00BC0563">
            <w:pPr>
              <w:pStyle w:val="TableParagraph"/>
              <w:spacing w:before="1"/>
              <w:ind w:left="29"/>
              <w:rPr>
                <w:sz w:val="20"/>
              </w:rPr>
            </w:pPr>
            <w:r>
              <w:rPr>
                <w:color w:val="231F20"/>
                <w:w w:val="70"/>
                <w:sz w:val="20"/>
              </w:rPr>
              <w:t>Costed in 13.1.7a</w:t>
            </w:r>
          </w:p>
        </w:tc>
      </w:tr>
      <w:tr w:rsidR="009948F1" w14:paraId="5D5A2570" w14:textId="77777777">
        <w:trPr>
          <w:trHeight w:val="488"/>
        </w:trPr>
        <w:tc>
          <w:tcPr>
            <w:tcW w:w="472" w:type="dxa"/>
            <w:vMerge/>
            <w:tcBorders>
              <w:top w:val="nil"/>
              <w:right w:val="single" w:sz="6" w:space="0" w:color="231F20"/>
            </w:tcBorders>
          </w:tcPr>
          <w:p w14:paraId="791CD1BE" w14:textId="77777777" w:rsidR="009948F1" w:rsidRDefault="009948F1">
            <w:pPr>
              <w:rPr>
                <w:sz w:val="2"/>
                <w:szCs w:val="2"/>
              </w:rPr>
            </w:pPr>
          </w:p>
        </w:tc>
        <w:tc>
          <w:tcPr>
            <w:tcW w:w="553" w:type="dxa"/>
            <w:tcBorders>
              <w:left w:val="single" w:sz="6" w:space="0" w:color="231F20"/>
              <w:right w:val="single" w:sz="6" w:space="0" w:color="231F20"/>
            </w:tcBorders>
          </w:tcPr>
          <w:p w14:paraId="61A7713D" w14:textId="77777777" w:rsidR="009948F1" w:rsidRDefault="00BC0563">
            <w:pPr>
              <w:pStyle w:val="TableParagraph"/>
              <w:spacing w:before="129"/>
              <w:ind w:right="33"/>
              <w:jc w:val="right"/>
              <w:rPr>
                <w:sz w:val="20"/>
              </w:rPr>
            </w:pPr>
            <w:r>
              <w:rPr>
                <w:color w:val="231F20"/>
                <w:w w:val="60"/>
                <w:sz w:val="20"/>
              </w:rPr>
              <w:t>13.1.7.c</w:t>
            </w:r>
          </w:p>
        </w:tc>
        <w:tc>
          <w:tcPr>
            <w:tcW w:w="5148" w:type="dxa"/>
            <w:gridSpan w:val="2"/>
            <w:tcBorders>
              <w:left w:val="single" w:sz="6" w:space="0" w:color="231F20"/>
              <w:right w:val="single" w:sz="6" w:space="0" w:color="231F20"/>
            </w:tcBorders>
          </w:tcPr>
          <w:p w14:paraId="6FB01DE1" w14:textId="77777777" w:rsidR="009948F1" w:rsidRDefault="00BC0563">
            <w:pPr>
              <w:pStyle w:val="TableParagraph"/>
              <w:spacing w:before="121"/>
              <w:ind w:left="27"/>
              <w:rPr>
                <w:sz w:val="20"/>
              </w:rPr>
            </w:pPr>
            <w:r>
              <w:rPr>
                <w:color w:val="231F20"/>
                <w:w w:val="70"/>
                <w:sz w:val="20"/>
              </w:rPr>
              <w:t>Develop a platform to promote commercialization of research findings</w:t>
            </w:r>
          </w:p>
        </w:tc>
        <w:tc>
          <w:tcPr>
            <w:tcW w:w="1500" w:type="dxa"/>
            <w:tcBorders>
              <w:left w:val="single" w:sz="6" w:space="0" w:color="231F20"/>
              <w:right w:val="single" w:sz="6" w:space="0" w:color="231F20"/>
            </w:tcBorders>
          </w:tcPr>
          <w:p w14:paraId="52773015" w14:textId="77777777" w:rsidR="009948F1" w:rsidRDefault="00BC0563">
            <w:pPr>
              <w:pStyle w:val="TableParagraph"/>
              <w:spacing w:before="129"/>
              <w:ind w:left="28"/>
              <w:rPr>
                <w:sz w:val="20"/>
              </w:rPr>
            </w:pPr>
            <w:r>
              <w:rPr>
                <w:color w:val="231F20"/>
                <w:w w:val="70"/>
                <w:sz w:val="20"/>
              </w:rPr>
              <w:t>Lack of funds</w:t>
            </w:r>
          </w:p>
        </w:tc>
        <w:tc>
          <w:tcPr>
            <w:tcW w:w="1582" w:type="dxa"/>
            <w:tcBorders>
              <w:left w:val="single" w:sz="6" w:space="0" w:color="231F20"/>
              <w:right w:val="single" w:sz="6" w:space="0" w:color="231F20"/>
            </w:tcBorders>
          </w:tcPr>
          <w:p w14:paraId="417C6C79" w14:textId="77777777" w:rsidR="009948F1" w:rsidRDefault="00BC0563">
            <w:pPr>
              <w:pStyle w:val="TableParagraph"/>
              <w:spacing w:before="129"/>
              <w:ind w:left="29"/>
              <w:rPr>
                <w:sz w:val="20"/>
              </w:rPr>
            </w:pPr>
            <w:r>
              <w:rPr>
                <w:color w:val="231F20"/>
                <w:w w:val="70"/>
                <w:sz w:val="20"/>
              </w:rPr>
              <w:t>Costed in 13.1.7a</w:t>
            </w:r>
          </w:p>
        </w:tc>
      </w:tr>
      <w:tr w:rsidR="009948F1" w14:paraId="59185553" w14:textId="77777777">
        <w:trPr>
          <w:trHeight w:val="500"/>
        </w:trPr>
        <w:tc>
          <w:tcPr>
            <w:tcW w:w="472" w:type="dxa"/>
            <w:vMerge/>
            <w:tcBorders>
              <w:top w:val="nil"/>
              <w:right w:val="single" w:sz="6" w:space="0" w:color="231F20"/>
            </w:tcBorders>
          </w:tcPr>
          <w:p w14:paraId="665B1E77" w14:textId="77777777" w:rsidR="009948F1" w:rsidRDefault="009948F1">
            <w:pPr>
              <w:rPr>
                <w:sz w:val="2"/>
                <w:szCs w:val="2"/>
              </w:rPr>
            </w:pPr>
          </w:p>
        </w:tc>
        <w:tc>
          <w:tcPr>
            <w:tcW w:w="553" w:type="dxa"/>
            <w:tcBorders>
              <w:left w:val="single" w:sz="6" w:space="0" w:color="231F20"/>
              <w:right w:val="single" w:sz="6" w:space="0" w:color="231F20"/>
            </w:tcBorders>
          </w:tcPr>
          <w:p w14:paraId="50ACA0D5" w14:textId="77777777" w:rsidR="009948F1" w:rsidRDefault="00BC0563">
            <w:pPr>
              <w:pStyle w:val="TableParagraph"/>
              <w:spacing w:before="135"/>
              <w:ind w:right="29"/>
              <w:jc w:val="right"/>
              <w:rPr>
                <w:sz w:val="20"/>
              </w:rPr>
            </w:pPr>
            <w:r>
              <w:rPr>
                <w:color w:val="231F20"/>
                <w:w w:val="60"/>
                <w:sz w:val="20"/>
              </w:rPr>
              <w:t>13.1.7.d</w:t>
            </w:r>
          </w:p>
        </w:tc>
        <w:tc>
          <w:tcPr>
            <w:tcW w:w="5148" w:type="dxa"/>
            <w:gridSpan w:val="2"/>
            <w:tcBorders>
              <w:left w:val="single" w:sz="6" w:space="0" w:color="231F20"/>
              <w:right w:val="single" w:sz="6" w:space="0" w:color="231F20"/>
            </w:tcBorders>
          </w:tcPr>
          <w:p w14:paraId="09A2F0E9" w14:textId="77777777" w:rsidR="009948F1" w:rsidRDefault="00BC0563">
            <w:pPr>
              <w:pStyle w:val="TableParagraph"/>
              <w:spacing w:before="127"/>
              <w:ind w:left="27"/>
              <w:rPr>
                <w:sz w:val="20"/>
              </w:rPr>
            </w:pPr>
            <w:r>
              <w:rPr>
                <w:color w:val="231F20"/>
                <w:w w:val="70"/>
                <w:sz w:val="20"/>
              </w:rPr>
              <w:t>Engage media on dissemination of research findings to the public</w:t>
            </w:r>
          </w:p>
        </w:tc>
        <w:tc>
          <w:tcPr>
            <w:tcW w:w="1500" w:type="dxa"/>
            <w:tcBorders>
              <w:left w:val="single" w:sz="6" w:space="0" w:color="231F20"/>
              <w:right w:val="single" w:sz="6" w:space="0" w:color="231F20"/>
            </w:tcBorders>
          </w:tcPr>
          <w:p w14:paraId="4B00D2D7" w14:textId="77777777" w:rsidR="009948F1" w:rsidRDefault="00BC0563">
            <w:pPr>
              <w:pStyle w:val="TableParagraph"/>
              <w:spacing w:before="135"/>
              <w:ind w:left="28"/>
              <w:rPr>
                <w:sz w:val="20"/>
              </w:rPr>
            </w:pPr>
            <w:r>
              <w:rPr>
                <w:color w:val="231F20"/>
                <w:w w:val="70"/>
                <w:sz w:val="20"/>
              </w:rPr>
              <w:t>Lack of funds</w:t>
            </w:r>
          </w:p>
        </w:tc>
        <w:tc>
          <w:tcPr>
            <w:tcW w:w="1582" w:type="dxa"/>
            <w:tcBorders>
              <w:left w:val="single" w:sz="6" w:space="0" w:color="231F20"/>
              <w:right w:val="single" w:sz="6" w:space="0" w:color="231F20"/>
            </w:tcBorders>
          </w:tcPr>
          <w:p w14:paraId="79A564C8" w14:textId="77777777" w:rsidR="009948F1" w:rsidRDefault="00BC0563">
            <w:pPr>
              <w:pStyle w:val="TableParagraph"/>
              <w:spacing w:before="135"/>
              <w:ind w:left="29"/>
              <w:rPr>
                <w:sz w:val="20"/>
              </w:rPr>
            </w:pPr>
            <w:r>
              <w:rPr>
                <w:color w:val="231F20"/>
                <w:w w:val="70"/>
                <w:sz w:val="20"/>
              </w:rPr>
              <w:t>Engage media</w:t>
            </w:r>
          </w:p>
        </w:tc>
      </w:tr>
      <w:tr w:rsidR="009948F1" w14:paraId="18EC84FC" w14:textId="77777777">
        <w:trPr>
          <w:trHeight w:val="2086"/>
        </w:trPr>
        <w:tc>
          <w:tcPr>
            <w:tcW w:w="472" w:type="dxa"/>
            <w:tcBorders>
              <w:left w:val="single" w:sz="12" w:space="0" w:color="231F20"/>
              <w:right w:val="single" w:sz="6" w:space="0" w:color="231F20"/>
            </w:tcBorders>
            <w:shd w:val="clear" w:color="auto" w:fill="CCE7D3"/>
          </w:tcPr>
          <w:p w14:paraId="158E36FC" w14:textId="77777777" w:rsidR="009948F1" w:rsidRDefault="009948F1">
            <w:pPr>
              <w:pStyle w:val="TableParagraph"/>
              <w:rPr>
                <w:sz w:val="20"/>
              </w:rPr>
            </w:pPr>
          </w:p>
          <w:p w14:paraId="0BE00F42" w14:textId="77777777" w:rsidR="009948F1" w:rsidRDefault="009948F1">
            <w:pPr>
              <w:pStyle w:val="TableParagraph"/>
              <w:rPr>
                <w:sz w:val="20"/>
              </w:rPr>
            </w:pPr>
          </w:p>
          <w:p w14:paraId="2DB602D0" w14:textId="77777777" w:rsidR="009948F1" w:rsidRDefault="009948F1">
            <w:pPr>
              <w:pStyle w:val="TableParagraph"/>
              <w:rPr>
                <w:sz w:val="20"/>
              </w:rPr>
            </w:pPr>
          </w:p>
          <w:p w14:paraId="3A96A301" w14:textId="77777777" w:rsidR="009948F1" w:rsidRDefault="009948F1">
            <w:pPr>
              <w:pStyle w:val="TableParagraph"/>
              <w:spacing w:before="7"/>
              <w:rPr>
                <w:sz w:val="20"/>
              </w:rPr>
            </w:pPr>
          </w:p>
          <w:p w14:paraId="3FF8351B" w14:textId="77777777" w:rsidR="009948F1" w:rsidRDefault="00BC0563">
            <w:pPr>
              <w:pStyle w:val="TableParagraph"/>
              <w:ind w:left="22" w:right="25"/>
              <w:jc w:val="center"/>
              <w:rPr>
                <w:sz w:val="20"/>
              </w:rPr>
            </w:pPr>
            <w:r>
              <w:rPr>
                <w:color w:val="231F20"/>
                <w:w w:val="65"/>
                <w:sz w:val="20"/>
              </w:rPr>
              <w:t>13.1.8</w:t>
            </w:r>
          </w:p>
        </w:tc>
        <w:tc>
          <w:tcPr>
            <w:tcW w:w="3194" w:type="dxa"/>
            <w:gridSpan w:val="2"/>
            <w:tcBorders>
              <w:left w:val="single" w:sz="6" w:space="0" w:color="231F20"/>
              <w:right w:val="single" w:sz="6" w:space="0" w:color="231F20"/>
            </w:tcBorders>
            <w:shd w:val="clear" w:color="auto" w:fill="CCE7D3"/>
          </w:tcPr>
          <w:p w14:paraId="301A1B2F" w14:textId="77777777" w:rsidR="009948F1" w:rsidRDefault="009948F1">
            <w:pPr>
              <w:pStyle w:val="TableParagraph"/>
              <w:rPr>
                <w:sz w:val="20"/>
              </w:rPr>
            </w:pPr>
          </w:p>
          <w:p w14:paraId="7491B3C3" w14:textId="77777777" w:rsidR="009948F1" w:rsidRDefault="009948F1">
            <w:pPr>
              <w:pStyle w:val="TableParagraph"/>
              <w:rPr>
                <w:sz w:val="20"/>
              </w:rPr>
            </w:pPr>
          </w:p>
          <w:p w14:paraId="14AA29F1" w14:textId="77777777" w:rsidR="009948F1" w:rsidRDefault="009948F1">
            <w:pPr>
              <w:pStyle w:val="TableParagraph"/>
              <w:spacing w:before="3"/>
              <w:rPr>
                <w:sz w:val="18"/>
              </w:rPr>
            </w:pPr>
          </w:p>
          <w:p w14:paraId="5F17BDD1" w14:textId="77777777" w:rsidR="009948F1" w:rsidRDefault="00BC0563">
            <w:pPr>
              <w:pStyle w:val="TableParagraph"/>
              <w:spacing w:line="259" w:lineRule="auto"/>
              <w:ind w:left="27" w:right="407" w:firstLine="69"/>
              <w:jc w:val="both"/>
              <w:rPr>
                <w:sz w:val="20"/>
              </w:rPr>
            </w:pPr>
            <w:r>
              <w:rPr>
                <w:color w:val="231F20"/>
                <w:w w:val="65"/>
                <w:sz w:val="20"/>
              </w:rPr>
              <w:t>Facilitate</w:t>
            </w:r>
            <w:r>
              <w:rPr>
                <w:color w:val="231F20"/>
                <w:spacing w:val="-15"/>
                <w:w w:val="65"/>
                <w:sz w:val="20"/>
              </w:rPr>
              <w:t xml:space="preserve"> </w:t>
            </w:r>
            <w:r>
              <w:rPr>
                <w:color w:val="231F20"/>
                <w:w w:val="65"/>
                <w:sz w:val="20"/>
              </w:rPr>
              <w:t>the</w:t>
            </w:r>
            <w:r>
              <w:rPr>
                <w:color w:val="231F20"/>
                <w:spacing w:val="-14"/>
                <w:w w:val="65"/>
                <w:sz w:val="20"/>
              </w:rPr>
              <w:t xml:space="preserve"> </w:t>
            </w:r>
            <w:r>
              <w:rPr>
                <w:color w:val="231F20"/>
                <w:w w:val="65"/>
                <w:sz w:val="20"/>
              </w:rPr>
              <w:t>development</w:t>
            </w:r>
            <w:r>
              <w:rPr>
                <w:color w:val="231F20"/>
                <w:spacing w:val="-14"/>
                <w:w w:val="65"/>
                <w:sz w:val="20"/>
              </w:rPr>
              <w:t xml:space="preserve"> </w:t>
            </w:r>
            <w:r>
              <w:rPr>
                <w:color w:val="231F20"/>
                <w:w w:val="65"/>
                <w:sz w:val="20"/>
              </w:rPr>
              <w:t>of</w:t>
            </w:r>
            <w:r>
              <w:rPr>
                <w:color w:val="231F20"/>
                <w:spacing w:val="-14"/>
                <w:w w:val="65"/>
                <w:sz w:val="20"/>
              </w:rPr>
              <w:t xml:space="preserve"> </w:t>
            </w:r>
            <w:r>
              <w:rPr>
                <w:color w:val="231F20"/>
                <w:w w:val="65"/>
                <w:sz w:val="20"/>
              </w:rPr>
              <w:t>a</w:t>
            </w:r>
            <w:r>
              <w:rPr>
                <w:color w:val="231F20"/>
                <w:spacing w:val="-14"/>
                <w:w w:val="65"/>
                <w:sz w:val="20"/>
              </w:rPr>
              <w:t xml:space="preserve"> </w:t>
            </w:r>
            <w:r>
              <w:rPr>
                <w:color w:val="231F20"/>
                <w:w w:val="65"/>
                <w:sz w:val="20"/>
              </w:rPr>
              <w:t>repository</w:t>
            </w:r>
            <w:r>
              <w:rPr>
                <w:color w:val="231F20"/>
                <w:spacing w:val="7"/>
                <w:w w:val="65"/>
                <w:sz w:val="20"/>
              </w:rPr>
              <w:t xml:space="preserve"> </w:t>
            </w:r>
            <w:r>
              <w:rPr>
                <w:color w:val="231F20"/>
                <w:w w:val="65"/>
                <w:sz w:val="20"/>
              </w:rPr>
              <w:t>for</w:t>
            </w:r>
            <w:r>
              <w:rPr>
                <w:color w:val="231F20"/>
                <w:spacing w:val="-14"/>
                <w:w w:val="65"/>
                <w:sz w:val="20"/>
              </w:rPr>
              <w:t xml:space="preserve"> </w:t>
            </w:r>
            <w:r>
              <w:rPr>
                <w:color w:val="231F20"/>
                <w:w w:val="65"/>
                <w:sz w:val="20"/>
              </w:rPr>
              <w:t>he collation</w:t>
            </w:r>
            <w:r>
              <w:rPr>
                <w:color w:val="231F20"/>
                <w:spacing w:val="-18"/>
                <w:w w:val="65"/>
                <w:sz w:val="20"/>
              </w:rPr>
              <w:t xml:space="preserve"> </w:t>
            </w:r>
            <w:r>
              <w:rPr>
                <w:color w:val="231F20"/>
                <w:w w:val="65"/>
                <w:sz w:val="20"/>
              </w:rPr>
              <w:t>and</w:t>
            </w:r>
            <w:r>
              <w:rPr>
                <w:color w:val="231F20"/>
                <w:spacing w:val="-18"/>
                <w:w w:val="65"/>
                <w:sz w:val="20"/>
              </w:rPr>
              <w:t xml:space="preserve"> </w:t>
            </w:r>
            <w:r>
              <w:rPr>
                <w:color w:val="231F20"/>
                <w:w w:val="65"/>
                <w:sz w:val="20"/>
              </w:rPr>
              <w:t>archiving</w:t>
            </w:r>
            <w:r>
              <w:rPr>
                <w:color w:val="231F20"/>
                <w:spacing w:val="-18"/>
                <w:w w:val="65"/>
                <w:sz w:val="20"/>
              </w:rPr>
              <w:t xml:space="preserve"> </w:t>
            </w:r>
            <w:r>
              <w:rPr>
                <w:color w:val="231F20"/>
                <w:w w:val="65"/>
                <w:sz w:val="20"/>
              </w:rPr>
              <w:t>of</w:t>
            </w:r>
            <w:r>
              <w:rPr>
                <w:color w:val="231F20"/>
                <w:spacing w:val="-17"/>
                <w:w w:val="65"/>
                <w:sz w:val="20"/>
              </w:rPr>
              <w:t xml:space="preserve"> </w:t>
            </w:r>
            <w:r>
              <w:rPr>
                <w:color w:val="231F20"/>
                <w:w w:val="65"/>
                <w:sz w:val="20"/>
              </w:rPr>
              <w:t>health-related</w:t>
            </w:r>
            <w:r>
              <w:rPr>
                <w:color w:val="231F20"/>
                <w:spacing w:val="-18"/>
                <w:w w:val="65"/>
                <w:sz w:val="20"/>
              </w:rPr>
              <w:t xml:space="preserve"> </w:t>
            </w:r>
            <w:r>
              <w:rPr>
                <w:color w:val="231F20"/>
                <w:w w:val="65"/>
                <w:sz w:val="20"/>
              </w:rPr>
              <w:t>research findings</w:t>
            </w:r>
            <w:r>
              <w:rPr>
                <w:color w:val="231F20"/>
                <w:spacing w:val="-13"/>
                <w:w w:val="65"/>
                <w:sz w:val="20"/>
              </w:rPr>
              <w:t xml:space="preserve"> </w:t>
            </w:r>
            <w:r>
              <w:rPr>
                <w:color w:val="231F20"/>
                <w:w w:val="65"/>
                <w:sz w:val="20"/>
              </w:rPr>
              <w:t>for</w:t>
            </w:r>
            <w:r>
              <w:rPr>
                <w:color w:val="231F20"/>
                <w:spacing w:val="-12"/>
                <w:w w:val="65"/>
                <w:sz w:val="20"/>
              </w:rPr>
              <w:t xml:space="preserve"> </w:t>
            </w:r>
            <w:r>
              <w:rPr>
                <w:color w:val="231F20"/>
                <w:w w:val="65"/>
                <w:sz w:val="20"/>
              </w:rPr>
              <w:t>improved</w:t>
            </w:r>
            <w:r>
              <w:rPr>
                <w:color w:val="231F20"/>
                <w:spacing w:val="-12"/>
                <w:w w:val="65"/>
                <w:sz w:val="20"/>
              </w:rPr>
              <w:t xml:space="preserve"> </w:t>
            </w:r>
            <w:r>
              <w:rPr>
                <w:color w:val="231F20"/>
                <w:w w:val="65"/>
                <w:sz w:val="20"/>
              </w:rPr>
              <w:t>knowledge</w:t>
            </w:r>
            <w:r>
              <w:rPr>
                <w:color w:val="231F20"/>
                <w:spacing w:val="-12"/>
                <w:w w:val="65"/>
                <w:sz w:val="20"/>
              </w:rPr>
              <w:t xml:space="preserve"> </w:t>
            </w:r>
            <w:r>
              <w:rPr>
                <w:color w:val="231F20"/>
                <w:w w:val="65"/>
                <w:sz w:val="20"/>
              </w:rPr>
              <w:t>management</w:t>
            </w:r>
          </w:p>
        </w:tc>
        <w:tc>
          <w:tcPr>
            <w:tcW w:w="2507" w:type="dxa"/>
            <w:tcBorders>
              <w:left w:val="single" w:sz="6" w:space="0" w:color="231F20"/>
              <w:right w:val="single" w:sz="6" w:space="0" w:color="231F20"/>
            </w:tcBorders>
            <w:shd w:val="clear" w:color="auto" w:fill="CCE7D3"/>
          </w:tcPr>
          <w:p w14:paraId="2CD9EEC4" w14:textId="77777777" w:rsidR="009948F1" w:rsidRDefault="009948F1">
            <w:pPr>
              <w:pStyle w:val="TableParagraph"/>
              <w:spacing w:before="7"/>
              <w:rPr>
                <w:sz w:val="15"/>
              </w:rPr>
            </w:pPr>
          </w:p>
          <w:p w14:paraId="3FA9A800" w14:textId="77777777" w:rsidR="009948F1" w:rsidRDefault="00BC0563">
            <w:pPr>
              <w:pStyle w:val="TableParagraph"/>
              <w:numPr>
                <w:ilvl w:val="0"/>
                <w:numId w:val="26"/>
              </w:numPr>
              <w:tabs>
                <w:tab w:val="left" w:pos="107"/>
              </w:tabs>
              <w:spacing w:line="259" w:lineRule="auto"/>
              <w:ind w:right="120" w:firstLine="0"/>
              <w:rPr>
                <w:sz w:val="20"/>
              </w:rPr>
            </w:pPr>
            <w:r>
              <w:rPr>
                <w:color w:val="231F20"/>
                <w:w w:val="65"/>
                <w:sz w:val="20"/>
              </w:rPr>
              <w:t>Health</w:t>
            </w:r>
            <w:r>
              <w:rPr>
                <w:color w:val="231F20"/>
                <w:spacing w:val="-17"/>
                <w:w w:val="65"/>
                <w:sz w:val="20"/>
              </w:rPr>
              <w:t xml:space="preserve"> </w:t>
            </w:r>
            <w:r>
              <w:rPr>
                <w:color w:val="231F20"/>
                <w:w w:val="65"/>
                <w:sz w:val="20"/>
              </w:rPr>
              <w:t>research</w:t>
            </w:r>
            <w:r>
              <w:rPr>
                <w:color w:val="231F20"/>
                <w:spacing w:val="-17"/>
                <w:w w:val="65"/>
                <w:sz w:val="20"/>
              </w:rPr>
              <w:t xml:space="preserve"> </w:t>
            </w:r>
            <w:r>
              <w:rPr>
                <w:color w:val="231F20"/>
                <w:w w:val="65"/>
                <w:sz w:val="20"/>
              </w:rPr>
              <w:t>library</w:t>
            </w:r>
            <w:r>
              <w:rPr>
                <w:color w:val="231F20"/>
                <w:spacing w:val="-16"/>
                <w:w w:val="65"/>
                <w:sz w:val="20"/>
              </w:rPr>
              <w:t xml:space="preserve"> </w:t>
            </w:r>
            <w:r>
              <w:rPr>
                <w:color w:val="231F20"/>
                <w:w w:val="65"/>
                <w:sz w:val="20"/>
              </w:rPr>
              <w:t>established</w:t>
            </w:r>
            <w:r>
              <w:rPr>
                <w:color w:val="231F20"/>
                <w:spacing w:val="-17"/>
                <w:w w:val="65"/>
                <w:sz w:val="20"/>
              </w:rPr>
              <w:t xml:space="preserve"> </w:t>
            </w:r>
            <w:r>
              <w:rPr>
                <w:color w:val="231F20"/>
                <w:w w:val="65"/>
                <w:sz w:val="20"/>
              </w:rPr>
              <w:t>in</w:t>
            </w:r>
            <w:r>
              <w:rPr>
                <w:color w:val="231F20"/>
                <w:spacing w:val="-17"/>
                <w:w w:val="65"/>
                <w:sz w:val="20"/>
              </w:rPr>
              <w:t xml:space="preserve"> </w:t>
            </w:r>
            <w:r>
              <w:rPr>
                <w:color w:val="231F20"/>
                <w:spacing w:val="-6"/>
                <w:w w:val="65"/>
                <w:sz w:val="20"/>
              </w:rPr>
              <w:t xml:space="preserve">the </w:t>
            </w:r>
            <w:r>
              <w:rPr>
                <w:color w:val="231F20"/>
                <w:w w:val="70"/>
                <w:sz w:val="20"/>
              </w:rPr>
              <w:t>in the</w:t>
            </w:r>
            <w:r>
              <w:rPr>
                <w:color w:val="231F20"/>
                <w:spacing w:val="-12"/>
                <w:w w:val="70"/>
                <w:sz w:val="20"/>
              </w:rPr>
              <w:t xml:space="preserve"> </w:t>
            </w:r>
            <w:r>
              <w:rPr>
                <w:color w:val="231F20"/>
                <w:w w:val="70"/>
                <w:sz w:val="20"/>
              </w:rPr>
              <w:t>state</w:t>
            </w:r>
          </w:p>
          <w:p w14:paraId="6A9ED6D3" w14:textId="77777777" w:rsidR="009948F1" w:rsidRDefault="00BC0563">
            <w:pPr>
              <w:pStyle w:val="TableParagraph"/>
              <w:numPr>
                <w:ilvl w:val="0"/>
                <w:numId w:val="26"/>
              </w:numPr>
              <w:tabs>
                <w:tab w:val="left" w:pos="73"/>
              </w:tabs>
              <w:spacing w:before="2" w:line="259" w:lineRule="auto"/>
              <w:ind w:right="53" w:firstLine="0"/>
              <w:rPr>
                <w:sz w:val="20"/>
              </w:rPr>
            </w:pPr>
            <w:r>
              <w:rPr>
                <w:color w:val="231F20"/>
                <w:w w:val="65"/>
                <w:sz w:val="20"/>
              </w:rPr>
              <w:t>Build capacity of the data managers and web</w:t>
            </w:r>
            <w:r>
              <w:rPr>
                <w:color w:val="231F20"/>
                <w:spacing w:val="-16"/>
                <w:w w:val="65"/>
                <w:sz w:val="20"/>
              </w:rPr>
              <w:t xml:space="preserve"> </w:t>
            </w:r>
            <w:r>
              <w:rPr>
                <w:color w:val="231F20"/>
                <w:w w:val="65"/>
                <w:sz w:val="20"/>
              </w:rPr>
              <w:t>masters</w:t>
            </w:r>
            <w:r>
              <w:rPr>
                <w:color w:val="231F20"/>
                <w:spacing w:val="-15"/>
                <w:w w:val="65"/>
                <w:sz w:val="20"/>
              </w:rPr>
              <w:t xml:space="preserve"> </w:t>
            </w:r>
            <w:r>
              <w:rPr>
                <w:color w:val="231F20"/>
                <w:w w:val="65"/>
                <w:sz w:val="20"/>
              </w:rPr>
              <w:t>on</w:t>
            </w:r>
            <w:r>
              <w:rPr>
                <w:color w:val="231F20"/>
                <w:spacing w:val="-16"/>
                <w:w w:val="65"/>
                <w:sz w:val="20"/>
              </w:rPr>
              <w:t xml:space="preserve"> </w:t>
            </w:r>
            <w:r>
              <w:rPr>
                <w:color w:val="231F20"/>
                <w:w w:val="65"/>
                <w:sz w:val="20"/>
              </w:rPr>
              <w:t>handling</w:t>
            </w:r>
            <w:r>
              <w:rPr>
                <w:color w:val="231F20"/>
                <w:spacing w:val="-15"/>
                <w:w w:val="65"/>
                <w:sz w:val="20"/>
              </w:rPr>
              <w:t xml:space="preserve"> </w:t>
            </w:r>
            <w:r>
              <w:rPr>
                <w:color w:val="231F20"/>
                <w:w w:val="65"/>
                <w:sz w:val="20"/>
              </w:rPr>
              <w:t>and</w:t>
            </w:r>
            <w:r>
              <w:rPr>
                <w:color w:val="231F20"/>
                <w:spacing w:val="-16"/>
                <w:w w:val="65"/>
                <w:sz w:val="20"/>
              </w:rPr>
              <w:t xml:space="preserve"> </w:t>
            </w:r>
            <w:r>
              <w:rPr>
                <w:color w:val="231F20"/>
                <w:w w:val="65"/>
                <w:sz w:val="20"/>
              </w:rPr>
              <w:t>processing</w:t>
            </w:r>
            <w:r>
              <w:rPr>
                <w:color w:val="231F20"/>
                <w:spacing w:val="-15"/>
                <w:w w:val="65"/>
                <w:sz w:val="20"/>
              </w:rPr>
              <w:t xml:space="preserve"> </w:t>
            </w:r>
            <w:r>
              <w:rPr>
                <w:color w:val="231F20"/>
                <w:spacing w:val="-8"/>
                <w:w w:val="65"/>
                <w:sz w:val="20"/>
              </w:rPr>
              <w:t xml:space="preserve">of </w:t>
            </w:r>
            <w:r>
              <w:rPr>
                <w:color w:val="231F20"/>
                <w:w w:val="70"/>
                <w:sz w:val="20"/>
              </w:rPr>
              <w:t>research documents</w:t>
            </w:r>
            <w:r>
              <w:rPr>
                <w:color w:val="231F20"/>
                <w:spacing w:val="-20"/>
                <w:w w:val="70"/>
                <w:sz w:val="20"/>
              </w:rPr>
              <w:t xml:space="preserve"> </w:t>
            </w:r>
            <w:r>
              <w:rPr>
                <w:color w:val="231F20"/>
                <w:w w:val="70"/>
                <w:sz w:val="20"/>
              </w:rPr>
              <w:t>done</w:t>
            </w:r>
          </w:p>
          <w:p w14:paraId="6AA439C9" w14:textId="77777777" w:rsidR="009948F1" w:rsidRDefault="00BC0563">
            <w:pPr>
              <w:pStyle w:val="TableParagraph"/>
              <w:numPr>
                <w:ilvl w:val="0"/>
                <w:numId w:val="26"/>
              </w:numPr>
              <w:tabs>
                <w:tab w:val="left" w:pos="107"/>
              </w:tabs>
              <w:spacing w:before="2" w:line="259" w:lineRule="auto"/>
              <w:ind w:right="226" w:firstLine="0"/>
              <w:rPr>
                <w:sz w:val="20"/>
              </w:rPr>
            </w:pPr>
            <w:r>
              <w:rPr>
                <w:color w:val="231F20"/>
                <w:w w:val="65"/>
                <w:sz w:val="20"/>
              </w:rPr>
              <w:t>Website</w:t>
            </w:r>
            <w:r>
              <w:rPr>
                <w:color w:val="231F20"/>
                <w:spacing w:val="-21"/>
                <w:w w:val="65"/>
                <w:sz w:val="20"/>
              </w:rPr>
              <w:t xml:space="preserve"> </w:t>
            </w:r>
            <w:r>
              <w:rPr>
                <w:color w:val="231F20"/>
                <w:w w:val="65"/>
                <w:sz w:val="20"/>
              </w:rPr>
              <w:t>created</w:t>
            </w:r>
            <w:r>
              <w:rPr>
                <w:color w:val="231F20"/>
                <w:spacing w:val="-20"/>
                <w:w w:val="65"/>
                <w:sz w:val="20"/>
              </w:rPr>
              <w:t xml:space="preserve"> </w:t>
            </w:r>
            <w:r>
              <w:rPr>
                <w:color w:val="231F20"/>
                <w:w w:val="65"/>
                <w:sz w:val="20"/>
              </w:rPr>
              <w:t>and</w:t>
            </w:r>
            <w:r>
              <w:rPr>
                <w:color w:val="231F20"/>
                <w:spacing w:val="-20"/>
                <w:w w:val="65"/>
                <w:sz w:val="20"/>
              </w:rPr>
              <w:t xml:space="preserve"> </w:t>
            </w:r>
            <w:r>
              <w:rPr>
                <w:color w:val="231F20"/>
                <w:w w:val="65"/>
                <w:sz w:val="20"/>
              </w:rPr>
              <w:t>subscription</w:t>
            </w:r>
            <w:r>
              <w:rPr>
                <w:color w:val="231F20"/>
                <w:spacing w:val="-20"/>
                <w:w w:val="65"/>
                <w:sz w:val="20"/>
              </w:rPr>
              <w:t xml:space="preserve"> </w:t>
            </w:r>
            <w:r>
              <w:rPr>
                <w:color w:val="231F20"/>
                <w:spacing w:val="-4"/>
                <w:w w:val="65"/>
                <w:sz w:val="20"/>
              </w:rPr>
              <w:t xml:space="preserve">done </w:t>
            </w:r>
            <w:r>
              <w:rPr>
                <w:color w:val="231F20"/>
                <w:w w:val="70"/>
                <w:sz w:val="20"/>
              </w:rPr>
              <w:t>annually</w:t>
            </w:r>
            <w:r>
              <w:rPr>
                <w:color w:val="231F20"/>
                <w:spacing w:val="-7"/>
                <w:w w:val="70"/>
                <w:sz w:val="20"/>
              </w:rPr>
              <w:t xml:space="preserve"> </w:t>
            </w:r>
            <w:r>
              <w:rPr>
                <w:color w:val="231F20"/>
                <w:w w:val="70"/>
                <w:sz w:val="20"/>
              </w:rPr>
              <w:t>done</w:t>
            </w:r>
          </w:p>
        </w:tc>
        <w:tc>
          <w:tcPr>
            <w:tcW w:w="1500" w:type="dxa"/>
            <w:tcBorders>
              <w:left w:val="single" w:sz="6" w:space="0" w:color="231F20"/>
              <w:right w:val="single" w:sz="6" w:space="0" w:color="231F20"/>
            </w:tcBorders>
            <w:shd w:val="clear" w:color="auto" w:fill="CCE7D3"/>
          </w:tcPr>
          <w:p w14:paraId="3949CBC1" w14:textId="77777777" w:rsidR="009948F1" w:rsidRDefault="009948F1">
            <w:pPr>
              <w:pStyle w:val="TableParagraph"/>
              <w:rPr>
                <w:rFonts w:ascii="Times New Roman"/>
                <w:sz w:val="12"/>
              </w:rPr>
            </w:pPr>
          </w:p>
        </w:tc>
        <w:tc>
          <w:tcPr>
            <w:tcW w:w="1582" w:type="dxa"/>
            <w:tcBorders>
              <w:left w:val="single" w:sz="6" w:space="0" w:color="231F20"/>
              <w:right w:val="single" w:sz="6" w:space="0" w:color="231F20"/>
            </w:tcBorders>
            <w:shd w:val="clear" w:color="auto" w:fill="CCE7D3"/>
          </w:tcPr>
          <w:p w14:paraId="5F1A8EFE" w14:textId="77777777" w:rsidR="009948F1" w:rsidRDefault="009948F1">
            <w:pPr>
              <w:pStyle w:val="TableParagraph"/>
              <w:rPr>
                <w:rFonts w:ascii="Times New Roman"/>
                <w:sz w:val="12"/>
              </w:rPr>
            </w:pPr>
          </w:p>
        </w:tc>
      </w:tr>
      <w:tr w:rsidR="009948F1" w14:paraId="0C110E2D" w14:textId="77777777">
        <w:trPr>
          <w:trHeight w:val="1069"/>
        </w:trPr>
        <w:tc>
          <w:tcPr>
            <w:tcW w:w="472" w:type="dxa"/>
            <w:vMerge w:val="restart"/>
            <w:tcBorders>
              <w:right w:val="single" w:sz="6" w:space="0" w:color="231F20"/>
            </w:tcBorders>
          </w:tcPr>
          <w:p w14:paraId="44B681CD" w14:textId="77777777" w:rsidR="009948F1" w:rsidRDefault="009948F1">
            <w:pPr>
              <w:pStyle w:val="TableParagraph"/>
              <w:rPr>
                <w:rFonts w:ascii="Times New Roman"/>
                <w:sz w:val="12"/>
              </w:rPr>
            </w:pPr>
          </w:p>
        </w:tc>
        <w:tc>
          <w:tcPr>
            <w:tcW w:w="553" w:type="dxa"/>
            <w:tcBorders>
              <w:left w:val="single" w:sz="6" w:space="0" w:color="231F20"/>
              <w:right w:val="single" w:sz="6" w:space="0" w:color="231F20"/>
            </w:tcBorders>
          </w:tcPr>
          <w:p w14:paraId="289E6F8A" w14:textId="77777777" w:rsidR="009948F1" w:rsidRDefault="009948F1">
            <w:pPr>
              <w:pStyle w:val="TableParagraph"/>
              <w:rPr>
                <w:sz w:val="20"/>
              </w:rPr>
            </w:pPr>
          </w:p>
          <w:p w14:paraId="6129C158" w14:textId="77777777" w:rsidR="009948F1" w:rsidRDefault="009948F1">
            <w:pPr>
              <w:pStyle w:val="TableParagraph"/>
              <w:spacing w:before="5"/>
              <w:rPr>
                <w:sz w:val="16"/>
              </w:rPr>
            </w:pPr>
          </w:p>
          <w:p w14:paraId="19EB405C" w14:textId="77777777" w:rsidR="009948F1" w:rsidRDefault="00BC0563">
            <w:pPr>
              <w:pStyle w:val="TableParagraph"/>
              <w:ind w:right="29"/>
              <w:jc w:val="right"/>
              <w:rPr>
                <w:sz w:val="20"/>
              </w:rPr>
            </w:pPr>
            <w:r>
              <w:rPr>
                <w:color w:val="231F20"/>
                <w:w w:val="60"/>
                <w:sz w:val="20"/>
              </w:rPr>
              <w:t>13.1.8.a</w:t>
            </w:r>
          </w:p>
        </w:tc>
        <w:tc>
          <w:tcPr>
            <w:tcW w:w="5148" w:type="dxa"/>
            <w:gridSpan w:val="2"/>
            <w:tcBorders>
              <w:left w:val="single" w:sz="6" w:space="0" w:color="231F20"/>
              <w:right w:val="single" w:sz="6" w:space="0" w:color="231F20"/>
            </w:tcBorders>
          </w:tcPr>
          <w:p w14:paraId="7110D8C5" w14:textId="77777777" w:rsidR="009948F1" w:rsidRDefault="009948F1">
            <w:pPr>
              <w:pStyle w:val="TableParagraph"/>
              <w:rPr>
                <w:sz w:val="25"/>
              </w:rPr>
            </w:pPr>
          </w:p>
          <w:p w14:paraId="2E58E51E" w14:textId="77777777" w:rsidR="009948F1" w:rsidRDefault="00BC0563">
            <w:pPr>
              <w:pStyle w:val="TableParagraph"/>
              <w:spacing w:line="259" w:lineRule="auto"/>
              <w:ind w:left="27" w:right="280"/>
              <w:rPr>
                <w:sz w:val="20"/>
              </w:rPr>
            </w:pPr>
            <w:r>
              <w:rPr>
                <w:color w:val="231F20"/>
                <w:w w:val="65"/>
                <w:sz w:val="20"/>
              </w:rPr>
              <w:t>Operating</w:t>
            </w:r>
            <w:r>
              <w:rPr>
                <w:color w:val="231F20"/>
                <w:spacing w:val="-19"/>
                <w:w w:val="65"/>
                <w:sz w:val="20"/>
              </w:rPr>
              <w:t xml:space="preserve"> </w:t>
            </w:r>
            <w:r>
              <w:rPr>
                <w:color w:val="231F20"/>
                <w:w w:val="65"/>
                <w:sz w:val="20"/>
              </w:rPr>
              <w:t>cost</w:t>
            </w:r>
            <w:r>
              <w:rPr>
                <w:color w:val="231F20"/>
                <w:spacing w:val="-18"/>
                <w:w w:val="65"/>
                <w:sz w:val="20"/>
              </w:rPr>
              <w:t xml:space="preserve"> </w:t>
            </w:r>
            <w:r>
              <w:rPr>
                <w:color w:val="231F20"/>
                <w:w w:val="65"/>
                <w:sz w:val="20"/>
              </w:rPr>
              <w:t>for</w:t>
            </w:r>
            <w:r>
              <w:rPr>
                <w:color w:val="231F20"/>
                <w:spacing w:val="-18"/>
                <w:w w:val="65"/>
                <w:sz w:val="20"/>
              </w:rPr>
              <w:t xml:space="preserve"> </w:t>
            </w:r>
            <w:r>
              <w:rPr>
                <w:color w:val="231F20"/>
                <w:w w:val="65"/>
                <w:sz w:val="20"/>
              </w:rPr>
              <w:t>engaging</w:t>
            </w:r>
            <w:r>
              <w:rPr>
                <w:color w:val="231F20"/>
                <w:spacing w:val="-19"/>
                <w:w w:val="65"/>
                <w:sz w:val="20"/>
              </w:rPr>
              <w:t xml:space="preserve"> </w:t>
            </w:r>
            <w:r>
              <w:rPr>
                <w:color w:val="231F20"/>
                <w:w w:val="65"/>
                <w:sz w:val="20"/>
              </w:rPr>
              <w:t>and</w:t>
            </w:r>
            <w:r>
              <w:rPr>
                <w:color w:val="231F20"/>
                <w:spacing w:val="-18"/>
                <w:w w:val="65"/>
                <w:sz w:val="20"/>
              </w:rPr>
              <w:t xml:space="preserve"> </w:t>
            </w:r>
            <w:r>
              <w:rPr>
                <w:color w:val="231F20"/>
                <w:w w:val="65"/>
                <w:sz w:val="20"/>
              </w:rPr>
              <w:t>supervising</w:t>
            </w:r>
            <w:r>
              <w:rPr>
                <w:color w:val="231F20"/>
                <w:spacing w:val="-18"/>
                <w:w w:val="65"/>
                <w:sz w:val="20"/>
              </w:rPr>
              <w:t xml:space="preserve"> </w:t>
            </w:r>
            <w:r>
              <w:rPr>
                <w:color w:val="231F20"/>
                <w:w w:val="65"/>
                <w:sz w:val="20"/>
              </w:rPr>
              <w:t>the</w:t>
            </w:r>
            <w:r>
              <w:rPr>
                <w:color w:val="231F20"/>
                <w:spacing w:val="-19"/>
                <w:w w:val="65"/>
                <w:sz w:val="20"/>
              </w:rPr>
              <w:t xml:space="preserve"> </w:t>
            </w:r>
            <w:r>
              <w:rPr>
                <w:color w:val="231F20"/>
                <w:w w:val="65"/>
                <w:sz w:val="20"/>
              </w:rPr>
              <w:t>contractor</w:t>
            </w:r>
            <w:r>
              <w:rPr>
                <w:color w:val="231F20"/>
                <w:spacing w:val="-18"/>
                <w:w w:val="65"/>
                <w:sz w:val="20"/>
              </w:rPr>
              <w:t xml:space="preserve"> </w:t>
            </w:r>
            <w:r>
              <w:rPr>
                <w:color w:val="231F20"/>
                <w:w w:val="65"/>
                <w:sz w:val="20"/>
              </w:rPr>
              <w:t>to</w:t>
            </w:r>
            <w:r>
              <w:rPr>
                <w:color w:val="231F20"/>
                <w:spacing w:val="-18"/>
                <w:w w:val="65"/>
                <w:sz w:val="20"/>
              </w:rPr>
              <w:t xml:space="preserve"> </w:t>
            </w:r>
            <w:r>
              <w:rPr>
                <w:color w:val="231F20"/>
                <w:w w:val="65"/>
                <w:sz w:val="20"/>
              </w:rPr>
              <w:t>establish</w:t>
            </w:r>
            <w:r>
              <w:rPr>
                <w:color w:val="231F20"/>
                <w:spacing w:val="-19"/>
                <w:w w:val="65"/>
                <w:sz w:val="20"/>
              </w:rPr>
              <w:t xml:space="preserve"> </w:t>
            </w:r>
            <w:r>
              <w:rPr>
                <w:color w:val="231F20"/>
                <w:w w:val="65"/>
                <w:sz w:val="20"/>
              </w:rPr>
              <w:t>health</w:t>
            </w:r>
            <w:r>
              <w:rPr>
                <w:color w:val="231F20"/>
                <w:spacing w:val="-18"/>
                <w:w w:val="65"/>
                <w:sz w:val="20"/>
              </w:rPr>
              <w:t xml:space="preserve"> </w:t>
            </w:r>
            <w:r>
              <w:rPr>
                <w:color w:val="231F20"/>
                <w:w w:val="65"/>
                <w:sz w:val="20"/>
              </w:rPr>
              <w:t xml:space="preserve">research </w:t>
            </w:r>
            <w:r>
              <w:rPr>
                <w:color w:val="231F20"/>
                <w:w w:val="70"/>
                <w:sz w:val="20"/>
              </w:rPr>
              <w:t>library</w:t>
            </w:r>
            <w:r>
              <w:rPr>
                <w:color w:val="231F20"/>
                <w:spacing w:val="-25"/>
                <w:w w:val="70"/>
                <w:sz w:val="20"/>
              </w:rPr>
              <w:t xml:space="preserve"> </w:t>
            </w:r>
            <w:r>
              <w:rPr>
                <w:color w:val="231F20"/>
                <w:w w:val="70"/>
                <w:sz w:val="20"/>
              </w:rPr>
              <w:t>in</w:t>
            </w:r>
            <w:r>
              <w:rPr>
                <w:color w:val="231F20"/>
                <w:spacing w:val="-25"/>
                <w:w w:val="70"/>
                <w:sz w:val="20"/>
              </w:rPr>
              <w:t xml:space="preserve"> </w:t>
            </w:r>
            <w:r>
              <w:rPr>
                <w:color w:val="231F20"/>
                <w:w w:val="70"/>
                <w:sz w:val="20"/>
              </w:rPr>
              <w:t>the</w:t>
            </w:r>
            <w:r>
              <w:rPr>
                <w:color w:val="231F20"/>
                <w:spacing w:val="-24"/>
                <w:w w:val="70"/>
                <w:sz w:val="20"/>
              </w:rPr>
              <w:t xml:space="preserve"> </w:t>
            </w:r>
            <w:r>
              <w:rPr>
                <w:color w:val="231F20"/>
                <w:w w:val="70"/>
                <w:sz w:val="20"/>
              </w:rPr>
              <w:t>in</w:t>
            </w:r>
            <w:r>
              <w:rPr>
                <w:color w:val="231F20"/>
                <w:spacing w:val="-25"/>
                <w:w w:val="70"/>
                <w:sz w:val="20"/>
              </w:rPr>
              <w:t xml:space="preserve"> </w:t>
            </w:r>
            <w:r>
              <w:rPr>
                <w:color w:val="231F20"/>
                <w:w w:val="70"/>
                <w:sz w:val="20"/>
              </w:rPr>
              <w:t>the</w:t>
            </w:r>
            <w:r>
              <w:rPr>
                <w:color w:val="231F20"/>
                <w:spacing w:val="-24"/>
                <w:w w:val="70"/>
                <w:sz w:val="20"/>
              </w:rPr>
              <w:t xml:space="preserve"> </w:t>
            </w:r>
            <w:r>
              <w:rPr>
                <w:color w:val="231F20"/>
                <w:w w:val="70"/>
                <w:sz w:val="20"/>
              </w:rPr>
              <w:t>state</w:t>
            </w:r>
            <w:r>
              <w:rPr>
                <w:color w:val="231F20"/>
                <w:spacing w:val="-25"/>
                <w:w w:val="70"/>
                <w:sz w:val="20"/>
              </w:rPr>
              <w:t xml:space="preserve"> </w:t>
            </w:r>
            <w:r>
              <w:rPr>
                <w:color w:val="231F20"/>
                <w:w w:val="70"/>
                <w:sz w:val="20"/>
              </w:rPr>
              <w:t>with</w:t>
            </w:r>
            <w:r>
              <w:rPr>
                <w:color w:val="231F20"/>
                <w:spacing w:val="-25"/>
                <w:w w:val="70"/>
                <w:sz w:val="20"/>
              </w:rPr>
              <w:t xml:space="preserve"> </w:t>
            </w:r>
            <w:r>
              <w:rPr>
                <w:color w:val="231F20"/>
                <w:w w:val="70"/>
                <w:sz w:val="20"/>
              </w:rPr>
              <w:t>assess</w:t>
            </w:r>
            <w:r>
              <w:rPr>
                <w:color w:val="231F20"/>
                <w:spacing w:val="-24"/>
                <w:w w:val="70"/>
                <w:sz w:val="20"/>
              </w:rPr>
              <w:t xml:space="preserve"> </w:t>
            </w:r>
            <w:r>
              <w:rPr>
                <w:color w:val="231F20"/>
                <w:w w:val="70"/>
                <w:sz w:val="20"/>
              </w:rPr>
              <w:t>to</w:t>
            </w:r>
            <w:r>
              <w:rPr>
                <w:color w:val="231F20"/>
                <w:spacing w:val="-25"/>
                <w:w w:val="70"/>
                <w:sz w:val="20"/>
              </w:rPr>
              <w:t xml:space="preserve"> </w:t>
            </w:r>
            <w:r>
              <w:rPr>
                <w:color w:val="231F20"/>
                <w:w w:val="70"/>
                <w:sz w:val="20"/>
              </w:rPr>
              <w:t>printed</w:t>
            </w:r>
            <w:r>
              <w:rPr>
                <w:color w:val="231F20"/>
                <w:spacing w:val="-24"/>
                <w:w w:val="70"/>
                <w:sz w:val="20"/>
              </w:rPr>
              <w:t xml:space="preserve"> </w:t>
            </w:r>
            <w:r>
              <w:rPr>
                <w:color w:val="231F20"/>
                <w:w w:val="70"/>
                <w:sz w:val="20"/>
              </w:rPr>
              <w:t>and</w:t>
            </w:r>
            <w:r>
              <w:rPr>
                <w:color w:val="231F20"/>
                <w:spacing w:val="-25"/>
                <w:w w:val="70"/>
                <w:sz w:val="20"/>
              </w:rPr>
              <w:t xml:space="preserve"> </w:t>
            </w:r>
            <w:r>
              <w:rPr>
                <w:color w:val="231F20"/>
                <w:w w:val="70"/>
                <w:sz w:val="20"/>
              </w:rPr>
              <w:t>electronic</w:t>
            </w:r>
            <w:r>
              <w:rPr>
                <w:color w:val="231F20"/>
                <w:spacing w:val="-25"/>
                <w:w w:val="70"/>
                <w:sz w:val="20"/>
              </w:rPr>
              <w:t xml:space="preserve"> </w:t>
            </w:r>
            <w:r>
              <w:rPr>
                <w:color w:val="231F20"/>
                <w:w w:val="70"/>
                <w:sz w:val="20"/>
              </w:rPr>
              <w:t>research</w:t>
            </w:r>
            <w:r>
              <w:rPr>
                <w:color w:val="231F20"/>
                <w:spacing w:val="-24"/>
                <w:w w:val="70"/>
                <w:sz w:val="20"/>
              </w:rPr>
              <w:t xml:space="preserve"> </w:t>
            </w:r>
            <w:r>
              <w:rPr>
                <w:color w:val="231F20"/>
                <w:w w:val="70"/>
                <w:sz w:val="20"/>
              </w:rPr>
              <w:t>materials</w:t>
            </w:r>
          </w:p>
        </w:tc>
        <w:tc>
          <w:tcPr>
            <w:tcW w:w="1500" w:type="dxa"/>
            <w:tcBorders>
              <w:left w:val="single" w:sz="6" w:space="0" w:color="231F20"/>
              <w:right w:val="single" w:sz="6" w:space="0" w:color="231F20"/>
            </w:tcBorders>
          </w:tcPr>
          <w:p w14:paraId="235A8AF0" w14:textId="77777777" w:rsidR="009948F1" w:rsidRDefault="009948F1">
            <w:pPr>
              <w:pStyle w:val="TableParagraph"/>
              <w:rPr>
                <w:sz w:val="20"/>
              </w:rPr>
            </w:pPr>
          </w:p>
          <w:p w14:paraId="6390E743" w14:textId="77777777" w:rsidR="009948F1" w:rsidRDefault="009948F1">
            <w:pPr>
              <w:pStyle w:val="TableParagraph"/>
              <w:spacing w:before="5"/>
              <w:rPr>
                <w:sz w:val="16"/>
              </w:rPr>
            </w:pPr>
          </w:p>
          <w:p w14:paraId="4904D985" w14:textId="77777777" w:rsidR="009948F1" w:rsidRDefault="00BC0563">
            <w:pPr>
              <w:pStyle w:val="TableParagraph"/>
              <w:ind w:left="28"/>
              <w:rPr>
                <w:sz w:val="20"/>
              </w:rPr>
            </w:pPr>
            <w:r>
              <w:rPr>
                <w:color w:val="231F20"/>
                <w:w w:val="70"/>
                <w:sz w:val="20"/>
              </w:rPr>
              <w:t>Lack of funds</w:t>
            </w:r>
          </w:p>
        </w:tc>
        <w:tc>
          <w:tcPr>
            <w:tcW w:w="1582" w:type="dxa"/>
            <w:tcBorders>
              <w:left w:val="single" w:sz="6" w:space="0" w:color="231F20"/>
              <w:right w:val="single" w:sz="6" w:space="0" w:color="231F20"/>
            </w:tcBorders>
          </w:tcPr>
          <w:p w14:paraId="5A199789" w14:textId="77777777" w:rsidR="009948F1" w:rsidRDefault="009948F1">
            <w:pPr>
              <w:pStyle w:val="TableParagraph"/>
              <w:rPr>
                <w:sz w:val="20"/>
              </w:rPr>
            </w:pPr>
          </w:p>
          <w:p w14:paraId="22D742E8" w14:textId="77777777" w:rsidR="009948F1" w:rsidRDefault="009948F1">
            <w:pPr>
              <w:pStyle w:val="TableParagraph"/>
              <w:spacing w:before="5"/>
              <w:rPr>
                <w:sz w:val="16"/>
              </w:rPr>
            </w:pPr>
          </w:p>
          <w:p w14:paraId="372E737B" w14:textId="77777777" w:rsidR="009948F1" w:rsidRDefault="00BC0563">
            <w:pPr>
              <w:pStyle w:val="TableParagraph"/>
              <w:ind w:left="29"/>
              <w:rPr>
                <w:sz w:val="20"/>
              </w:rPr>
            </w:pPr>
            <w:r>
              <w:rPr>
                <w:color w:val="231F20"/>
                <w:w w:val="70"/>
                <w:sz w:val="20"/>
              </w:rPr>
              <w:t>Costed in OHT</w:t>
            </w:r>
          </w:p>
        </w:tc>
      </w:tr>
      <w:tr w:rsidR="009948F1" w14:paraId="6742E98D" w14:textId="77777777">
        <w:trPr>
          <w:trHeight w:val="464"/>
        </w:trPr>
        <w:tc>
          <w:tcPr>
            <w:tcW w:w="472" w:type="dxa"/>
            <w:vMerge/>
            <w:tcBorders>
              <w:top w:val="nil"/>
              <w:right w:val="single" w:sz="6" w:space="0" w:color="231F20"/>
            </w:tcBorders>
          </w:tcPr>
          <w:p w14:paraId="05599BAF" w14:textId="77777777" w:rsidR="009948F1" w:rsidRDefault="009948F1">
            <w:pPr>
              <w:rPr>
                <w:sz w:val="2"/>
                <w:szCs w:val="2"/>
              </w:rPr>
            </w:pPr>
          </w:p>
        </w:tc>
        <w:tc>
          <w:tcPr>
            <w:tcW w:w="553" w:type="dxa"/>
            <w:tcBorders>
              <w:left w:val="single" w:sz="6" w:space="0" w:color="231F20"/>
              <w:right w:val="single" w:sz="6" w:space="0" w:color="231F20"/>
            </w:tcBorders>
          </w:tcPr>
          <w:p w14:paraId="59B6390D" w14:textId="77777777" w:rsidR="009948F1" w:rsidRDefault="00BC0563">
            <w:pPr>
              <w:pStyle w:val="TableParagraph"/>
              <w:spacing w:before="117"/>
              <w:ind w:right="29"/>
              <w:jc w:val="right"/>
              <w:rPr>
                <w:sz w:val="20"/>
              </w:rPr>
            </w:pPr>
            <w:r>
              <w:rPr>
                <w:color w:val="231F20"/>
                <w:w w:val="60"/>
                <w:sz w:val="20"/>
              </w:rPr>
              <w:t>13.1.8.b</w:t>
            </w:r>
          </w:p>
        </w:tc>
        <w:tc>
          <w:tcPr>
            <w:tcW w:w="5148" w:type="dxa"/>
            <w:gridSpan w:val="2"/>
            <w:tcBorders>
              <w:left w:val="single" w:sz="6" w:space="0" w:color="231F20"/>
              <w:right w:val="single" w:sz="6" w:space="0" w:color="231F20"/>
            </w:tcBorders>
          </w:tcPr>
          <w:p w14:paraId="3EB79591" w14:textId="77777777" w:rsidR="009948F1" w:rsidRDefault="00BC0563">
            <w:pPr>
              <w:pStyle w:val="TableParagraph"/>
              <w:spacing w:before="109"/>
              <w:ind w:left="27"/>
              <w:rPr>
                <w:sz w:val="20"/>
              </w:rPr>
            </w:pPr>
            <w:r>
              <w:rPr>
                <w:color w:val="231F20"/>
                <w:w w:val="70"/>
                <w:sz w:val="20"/>
              </w:rPr>
              <w:t>Subscribe to relevant national and international health journals</w:t>
            </w:r>
          </w:p>
        </w:tc>
        <w:tc>
          <w:tcPr>
            <w:tcW w:w="1500" w:type="dxa"/>
            <w:tcBorders>
              <w:left w:val="single" w:sz="6" w:space="0" w:color="231F20"/>
              <w:right w:val="single" w:sz="6" w:space="0" w:color="231F20"/>
            </w:tcBorders>
          </w:tcPr>
          <w:p w14:paraId="23F1C075" w14:textId="77777777" w:rsidR="009948F1" w:rsidRDefault="00BC0563">
            <w:pPr>
              <w:pStyle w:val="TableParagraph"/>
              <w:spacing w:before="117"/>
              <w:ind w:left="28"/>
              <w:rPr>
                <w:sz w:val="20"/>
              </w:rPr>
            </w:pPr>
            <w:r>
              <w:rPr>
                <w:color w:val="231F20"/>
                <w:w w:val="70"/>
                <w:sz w:val="20"/>
              </w:rPr>
              <w:t>Lack of funds</w:t>
            </w:r>
          </w:p>
        </w:tc>
        <w:tc>
          <w:tcPr>
            <w:tcW w:w="1582" w:type="dxa"/>
            <w:tcBorders>
              <w:left w:val="single" w:sz="6" w:space="0" w:color="231F20"/>
              <w:right w:val="single" w:sz="6" w:space="0" w:color="231F20"/>
            </w:tcBorders>
          </w:tcPr>
          <w:p w14:paraId="0C7107BF" w14:textId="77777777" w:rsidR="009948F1" w:rsidRDefault="00BC0563">
            <w:pPr>
              <w:pStyle w:val="TableParagraph"/>
              <w:spacing w:before="117"/>
              <w:ind w:left="29"/>
              <w:rPr>
                <w:sz w:val="20"/>
              </w:rPr>
            </w:pPr>
            <w:r>
              <w:rPr>
                <w:color w:val="231F20"/>
                <w:w w:val="70"/>
                <w:sz w:val="20"/>
              </w:rPr>
              <w:t>Subscribe</w:t>
            </w:r>
          </w:p>
        </w:tc>
      </w:tr>
      <w:tr w:rsidR="009948F1" w14:paraId="05F0F38B" w14:textId="77777777">
        <w:trPr>
          <w:trHeight w:val="488"/>
        </w:trPr>
        <w:tc>
          <w:tcPr>
            <w:tcW w:w="472" w:type="dxa"/>
            <w:vMerge/>
            <w:tcBorders>
              <w:top w:val="nil"/>
              <w:right w:val="single" w:sz="6" w:space="0" w:color="231F20"/>
            </w:tcBorders>
          </w:tcPr>
          <w:p w14:paraId="0D06A4C9" w14:textId="77777777" w:rsidR="009948F1" w:rsidRDefault="009948F1">
            <w:pPr>
              <w:rPr>
                <w:sz w:val="2"/>
                <w:szCs w:val="2"/>
              </w:rPr>
            </w:pPr>
          </w:p>
        </w:tc>
        <w:tc>
          <w:tcPr>
            <w:tcW w:w="553" w:type="dxa"/>
            <w:tcBorders>
              <w:left w:val="single" w:sz="6" w:space="0" w:color="231F20"/>
              <w:right w:val="single" w:sz="6" w:space="0" w:color="231F20"/>
            </w:tcBorders>
          </w:tcPr>
          <w:p w14:paraId="52EC6F56" w14:textId="77777777" w:rsidR="009948F1" w:rsidRDefault="00BC0563">
            <w:pPr>
              <w:pStyle w:val="TableParagraph"/>
              <w:spacing w:before="129"/>
              <w:ind w:right="33"/>
              <w:jc w:val="right"/>
              <w:rPr>
                <w:sz w:val="20"/>
              </w:rPr>
            </w:pPr>
            <w:r>
              <w:rPr>
                <w:color w:val="231F20"/>
                <w:w w:val="60"/>
                <w:sz w:val="20"/>
              </w:rPr>
              <w:t>13.1.8.c</w:t>
            </w:r>
          </w:p>
        </w:tc>
        <w:tc>
          <w:tcPr>
            <w:tcW w:w="5148" w:type="dxa"/>
            <w:gridSpan w:val="2"/>
            <w:tcBorders>
              <w:left w:val="single" w:sz="6" w:space="0" w:color="231F20"/>
              <w:right w:val="single" w:sz="6" w:space="0" w:color="231F20"/>
            </w:tcBorders>
          </w:tcPr>
          <w:p w14:paraId="5378188C" w14:textId="77777777" w:rsidR="009948F1" w:rsidRDefault="00BC0563">
            <w:pPr>
              <w:pStyle w:val="TableParagraph"/>
              <w:ind w:left="27"/>
              <w:rPr>
                <w:sz w:val="20"/>
              </w:rPr>
            </w:pPr>
            <w:r>
              <w:rPr>
                <w:color w:val="231F20"/>
                <w:w w:val="70"/>
                <w:sz w:val="20"/>
              </w:rPr>
              <w:t>Build</w:t>
            </w:r>
            <w:r>
              <w:rPr>
                <w:color w:val="231F20"/>
                <w:spacing w:val="-25"/>
                <w:w w:val="70"/>
                <w:sz w:val="20"/>
              </w:rPr>
              <w:t xml:space="preserve"> </w:t>
            </w:r>
            <w:r>
              <w:rPr>
                <w:color w:val="231F20"/>
                <w:w w:val="70"/>
                <w:sz w:val="20"/>
              </w:rPr>
              <w:t>capacity</w:t>
            </w:r>
            <w:r>
              <w:rPr>
                <w:color w:val="231F20"/>
                <w:spacing w:val="-24"/>
                <w:w w:val="70"/>
                <w:sz w:val="20"/>
              </w:rPr>
              <w:t xml:space="preserve"> </w:t>
            </w:r>
            <w:r>
              <w:rPr>
                <w:color w:val="231F20"/>
                <w:w w:val="70"/>
                <w:sz w:val="20"/>
              </w:rPr>
              <w:t>of</w:t>
            </w:r>
            <w:r>
              <w:rPr>
                <w:color w:val="231F20"/>
                <w:spacing w:val="-25"/>
                <w:w w:val="70"/>
                <w:sz w:val="20"/>
              </w:rPr>
              <w:t xml:space="preserve"> </w:t>
            </w:r>
            <w:r>
              <w:rPr>
                <w:color w:val="231F20"/>
                <w:w w:val="70"/>
                <w:sz w:val="20"/>
              </w:rPr>
              <w:t>the</w:t>
            </w:r>
            <w:r>
              <w:rPr>
                <w:color w:val="231F20"/>
                <w:spacing w:val="-24"/>
                <w:w w:val="70"/>
                <w:sz w:val="20"/>
              </w:rPr>
              <w:t xml:space="preserve"> </w:t>
            </w:r>
            <w:r>
              <w:rPr>
                <w:color w:val="231F20"/>
                <w:w w:val="70"/>
                <w:sz w:val="20"/>
              </w:rPr>
              <w:t>data</w:t>
            </w:r>
            <w:r>
              <w:rPr>
                <w:color w:val="231F20"/>
                <w:spacing w:val="-24"/>
                <w:w w:val="70"/>
                <w:sz w:val="20"/>
              </w:rPr>
              <w:t xml:space="preserve"> </w:t>
            </w:r>
            <w:r>
              <w:rPr>
                <w:color w:val="231F20"/>
                <w:w w:val="70"/>
                <w:sz w:val="20"/>
              </w:rPr>
              <w:t>managers</w:t>
            </w:r>
            <w:r>
              <w:rPr>
                <w:color w:val="231F20"/>
                <w:spacing w:val="-25"/>
                <w:w w:val="70"/>
                <w:sz w:val="20"/>
              </w:rPr>
              <w:t xml:space="preserve"> </w:t>
            </w:r>
            <w:r>
              <w:rPr>
                <w:color w:val="231F20"/>
                <w:w w:val="70"/>
                <w:sz w:val="20"/>
              </w:rPr>
              <w:t>and</w:t>
            </w:r>
            <w:r>
              <w:rPr>
                <w:color w:val="231F20"/>
                <w:spacing w:val="-24"/>
                <w:w w:val="70"/>
                <w:sz w:val="20"/>
              </w:rPr>
              <w:t xml:space="preserve"> </w:t>
            </w:r>
            <w:r>
              <w:rPr>
                <w:color w:val="231F20"/>
                <w:w w:val="70"/>
                <w:sz w:val="20"/>
              </w:rPr>
              <w:t>web</w:t>
            </w:r>
            <w:r>
              <w:rPr>
                <w:color w:val="231F20"/>
                <w:spacing w:val="-24"/>
                <w:w w:val="70"/>
                <w:sz w:val="20"/>
              </w:rPr>
              <w:t xml:space="preserve"> </w:t>
            </w:r>
            <w:r>
              <w:rPr>
                <w:color w:val="231F20"/>
                <w:w w:val="70"/>
                <w:sz w:val="20"/>
              </w:rPr>
              <w:t>masters</w:t>
            </w:r>
            <w:r>
              <w:rPr>
                <w:color w:val="231F20"/>
                <w:spacing w:val="-25"/>
                <w:w w:val="70"/>
                <w:sz w:val="20"/>
              </w:rPr>
              <w:t xml:space="preserve"> </w:t>
            </w:r>
            <w:r>
              <w:rPr>
                <w:color w:val="231F20"/>
                <w:w w:val="70"/>
                <w:sz w:val="20"/>
              </w:rPr>
              <w:t>on</w:t>
            </w:r>
            <w:r>
              <w:rPr>
                <w:color w:val="231F20"/>
                <w:spacing w:val="-24"/>
                <w:w w:val="70"/>
                <w:sz w:val="20"/>
              </w:rPr>
              <w:t xml:space="preserve"> </w:t>
            </w:r>
            <w:r>
              <w:rPr>
                <w:color w:val="231F20"/>
                <w:w w:val="70"/>
                <w:sz w:val="20"/>
              </w:rPr>
              <w:t>handling</w:t>
            </w:r>
            <w:r>
              <w:rPr>
                <w:color w:val="231F20"/>
                <w:spacing w:val="-25"/>
                <w:w w:val="70"/>
                <w:sz w:val="20"/>
              </w:rPr>
              <w:t xml:space="preserve"> </w:t>
            </w:r>
            <w:r>
              <w:rPr>
                <w:color w:val="231F20"/>
                <w:w w:val="70"/>
                <w:sz w:val="20"/>
              </w:rPr>
              <w:t>and</w:t>
            </w:r>
            <w:r>
              <w:rPr>
                <w:color w:val="231F20"/>
                <w:spacing w:val="-24"/>
                <w:w w:val="70"/>
                <w:sz w:val="20"/>
              </w:rPr>
              <w:t xml:space="preserve"> </w:t>
            </w:r>
            <w:r>
              <w:rPr>
                <w:color w:val="231F20"/>
                <w:w w:val="70"/>
                <w:sz w:val="20"/>
              </w:rPr>
              <w:t>processing</w:t>
            </w:r>
            <w:r>
              <w:rPr>
                <w:color w:val="231F20"/>
                <w:spacing w:val="-24"/>
                <w:w w:val="70"/>
                <w:sz w:val="20"/>
              </w:rPr>
              <w:t xml:space="preserve"> </w:t>
            </w:r>
            <w:r>
              <w:rPr>
                <w:color w:val="231F20"/>
                <w:w w:val="70"/>
                <w:sz w:val="20"/>
              </w:rPr>
              <w:t>of</w:t>
            </w:r>
          </w:p>
          <w:p w14:paraId="415298B0" w14:textId="77777777" w:rsidR="009948F1" w:rsidRDefault="00BC0563">
            <w:pPr>
              <w:pStyle w:val="TableParagraph"/>
              <w:spacing w:before="19" w:line="219" w:lineRule="exact"/>
              <w:ind w:left="27"/>
              <w:rPr>
                <w:sz w:val="20"/>
              </w:rPr>
            </w:pPr>
            <w:r>
              <w:rPr>
                <w:color w:val="231F20"/>
                <w:w w:val="70"/>
                <w:sz w:val="20"/>
              </w:rPr>
              <w:t>research documents</w:t>
            </w:r>
          </w:p>
        </w:tc>
        <w:tc>
          <w:tcPr>
            <w:tcW w:w="1500" w:type="dxa"/>
            <w:tcBorders>
              <w:left w:val="single" w:sz="6" w:space="0" w:color="231F20"/>
              <w:right w:val="single" w:sz="6" w:space="0" w:color="231F20"/>
            </w:tcBorders>
          </w:tcPr>
          <w:p w14:paraId="18B86C03" w14:textId="77777777" w:rsidR="009948F1" w:rsidRDefault="00BC0563">
            <w:pPr>
              <w:pStyle w:val="TableParagraph"/>
              <w:spacing w:before="129"/>
              <w:ind w:left="28"/>
              <w:rPr>
                <w:sz w:val="20"/>
              </w:rPr>
            </w:pPr>
            <w:r>
              <w:rPr>
                <w:color w:val="231F20"/>
                <w:w w:val="70"/>
                <w:sz w:val="20"/>
              </w:rPr>
              <w:t>Lack of funds</w:t>
            </w:r>
          </w:p>
        </w:tc>
        <w:tc>
          <w:tcPr>
            <w:tcW w:w="1582" w:type="dxa"/>
            <w:tcBorders>
              <w:left w:val="single" w:sz="6" w:space="0" w:color="231F20"/>
              <w:right w:val="single" w:sz="6" w:space="0" w:color="231F20"/>
            </w:tcBorders>
          </w:tcPr>
          <w:p w14:paraId="76145AEC" w14:textId="77777777" w:rsidR="009948F1" w:rsidRDefault="00BC0563">
            <w:pPr>
              <w:pStyle w:val="TableParagraph"/>
              <w:spacing w:before="129"/>
              <w:ind w:left="29"/>
              <w:rPr>
                <w:sz w:val="20"/>
              </w:rPr>
            </w:pPr>
            <w:r>
              <w:rPr>
                <w:color w:val="231F20"/>
                <w:w w:val="70"/>
                <w:sz w:val="20"/>
              </w:rPr>
              <w:t>Costed in OHT</w:t>
            </w:r>
          </w:p>
        </w:tc>
      </w:tr>
      <w:tr w:rsidR="009948F1" w14:paraId="026C8A64" w14:textId="77777777">
        <w:trPr>
          <w:trHeight w:val="500"/>
        </w:trPr>
        <w:tc>
          <w:tcPr>
            <w:tcW w:w="472" w:type="dxa"/>
            <w:vMerge/>
            <w:tcBorders>
              <w:top w:val="nil"/>
              <w:right w:val="single" w:sz="6" w:space="0" w:color="231F20"/>
            </w:tcBorders>
          </w:tcPr>
          <w:p w14:paraId="07BBCCE1" w14:textId="77777777" w:rsidR="009948F1" w:rsidRDefault="009948F1">
            <w:pPr>
              <w:rPr>
                <w:sz w:val="2"/>
                <w:szCs w:val="2"/>
              </w:rPr>
            </w:pPr>
          </w:p>
        </w:tc>
        <w:tc>
          <w:tcPr>
            <w:tcW w:w="553" w:type="dxa"/>
            <w:tcBorders>
              <w:left w:val="single" w:sz="6" w:space="0" w:color="231F20"/>
              <w:right w:val="single" w:sz="6" w:space="0" w:color="231F20"/>
            </w:tcBorders>
          </w:tcPr>
          <w:p w14:paraId="4AAF7BC0" w14:textId="77777777" w:rsidR="009948F1" w:rsidRDefault="00BC0563">
            <w:pPr>
              <w:pStyle w:val="TableParagraph"/>
              <w:spacing w:before="135"/>
              <w:ind w:right="29"/>
              <w:jc w:val="right"/>
              <w:rPr>
                <w:sz w:val="20"/>
              </w:rPr>
            </w:pPr>
            <w:r>
              <w:rPr>
                <w:color w:val="231F20"/>
                <w:w w:val="60"/>
                <w:sz w:val="20"/>
              </w:rPr>
              <w:t>13.1.8.d</w:t>
            </w:r>
          </w:p>
        </w:tc>
        <w:tc>
          <w:tcPr>
            <w:tcW w:w="5148" w:type="dxa"/>
            <w:gridSpan w:val="2"/>
            <w:tcBorders>
              <w:left w:val="single" w:sz="6" w:space="0" w:color="231F20"/>
              <w:right w:val="single" w:sz="6" w:space="0" w:color="231F20"/>
            </w:tcBorders>
          </w:tcPr>
          <w:p w14:paraId="492B4E70" w14:textId="77777777" w:rsidR="009948F1" w:rsidRDefault="00BC0563">
            <w:pPr>
              <w:pStyle w:val="TableParagraph"/>
              <w:spacing w:before="2"/>
              <w:ind w:left="27"/>
              <w:rPr>
                <w:sz w:val="20"/>
              </w:rPr>
            </w:pPr>
            <w:r>
              <w:rPr>
                <w:color w:val="231F20"/>
                <w:w w:val="70"/>
                <w:sz w:val="20"/>
              </w:rPr>
              <w:t>Create</w:t>
            </w:r>
            <w:r>
              <w:rPr>
                <w:color w:val="231F20"/>
                <w:spacing w:val="-25"/>
                <w:w w:val="70"/>
                <w:sz w:val="20"/>
              </w:rPr>
              <w:t xml:space="preserve"> </w:t>
            </w:r>
            <w:r>
              <w:rPr>
                <w:color w:val="231F20"/>
                <w:w w:val="70"/>
                <w:sz w:val="20"/>
              </w:rPr>
              <w:t>a</w:t>
            </w:r>
            <w:r>
              <w:rPr>
                <w:color w:val="231F20"/>
                <w:spacing w:val="-25"/>
                <w:w w:val="70"/>
                <w:sz w:val="20"/>
              </w:rPr>
              <w:t xml:space="preserve"> </w:t>
            </w:r>
            <w:r>
              <w:rPr>
                <w:color w:val="231F20"/>
                <w:w w:val="70"/>
                <w:sz w:val="20"/>
              </w:rPr>
              <w:t>mechanism</w:t>
            </w:r>
            <w:r>
              <w:rPr>
                <w:color w:val="231F20"/>
                <w:spacing w:val="-25"/>
                <w:w w:val="70"/>
                <w:sz w:val="20"/>
              </w:rPr>
              <w:t xml:space="preserve"> </w:t>
            </w:r>
            <w:r>
              <w:rPr>
                <w:color w:val="231F20"/>
                <w:w w:val="70"/>
                <w:sz w:val="20"/>
              </w:rPr>
              <w:t>for</w:t>
            </w:r>
            <w:r>
              <w:rPr>
                <w:color w:val="231F20"/>
                <w:spacing w:val="-25"/>
                <w:w w:val="70"/>
                <w:sz w:val="20"/>
              </w:rPr>
              <w:t xml:space="preserve"> </w:t>
            </w:r>
            <w:r>
              <w:rPr>
                <w:color w:val="231F20"/>
                <w:w w:val="70"/>
                <w:sz w:val="20"/>
              </w:rPr>
              <w:t>harvesting,</w:t>
            </w:r>
            <w:r>
              <w:rPr>
                <w:color w:val="231F20"/>
                <w:spacing w:val="-25"/>
                <w:w w:val="70"/>
                <w:sz w:val="20"/>
              </w:rPr>
              <w:t xml:space="preserve"> </w:t>
            </w:r>
            <w:r>
              <w:rPr>
                <w:color w:val="231F20"/>
                <w:w w:val="70"/>
                <w:sz w:val="20"/>
              </w:rPr>
              <w:t>collating,</w:t>
            </w:r>
            <w:r>
              <w:rPr>
                <w:color w:val="231F20"/>
                <w:spacing w:val="-25"/>
                <w:w w:val="70"/>
                <w:sz w:val="20"/>
              </w:rPr>
              <w:t xml:space="preserve"> </w:t>
            </w:r>
            <w:r>
              <w:rPr>
                <w:color w:val="231F20"/>
                <w:w w:val="70"/>
                <w:sz w:val="20"/>
              </w:rPr>
              <w:t>documenting</w:t>
            </w:r>
            <w:r>
              <w:rPr>
                <w:color w:val="231F20"/>
                <w:spacing w:val="-25"/>
                <w:w w:val="70"/>
                <w:sz w:val="20"/>
              </w:rPr>
              <w:t xml:space="preserve"> </w:t>
            </w:r>
            <w:r>
              <w:rPr>
                <w:color w:val="231F20"/>
                <w:w w:val="70"/>
                <w:sz w:val="20"/>
              </w:rPr>
              <w:t>and</w:t>
            </w:r>
            <w:r>
              <w:rPr>
                <w:color w:val="231F20"/>
                <w:spacing w:val="-25"/>
                <w:w w:val="70"/>
                <w:sz w:val="20"/>
              </w:rPr>
              <w:t xml:space="preserve"> </w:t>
            </w:r>
            <w:r>
              <w:rPr>
                <w:color w:val="231F20"/>
                <w:w w:val="70"/>
                <w:sz w:val="20"/>
              </w:rPr>
              <w:t>uploading</w:t>
            </w:r>
            <w:r>
              <w:rPr>
                <w:color w:val="231F20"/>
                <w:spacing w:val="-25"/>
                <w:w w:val="70"/>
                <w:sz w:val="20"/>
              </w:rPr>
              <w:t xml:space="preserve"> </w:t>
            </w:r>
            <w:r>
              <w:rPr>
                <w:color w:val="231F20"/>
                <w:w w:val="70"/>
                <w:sz w:val="20"/>
              </w:rPr>
              <w:t>of</w:t>
            </w:r>
            <w:r>
              <w:rPr>
                <w:color w:val="231F20"/>
                <w:spacing w:val="-25"/>
                <w:w w:val="70"/>
                <w:sz w:val="20"/>
              </w:rPr>
              <w:t xml:space="preserve"> </w:t>
            </w:r>
            <w:r>
              <w:rPr>
                <w:color w:val="231F20"/>
                <w:w w:val="70"/>
                <w:sz w:val="20"/>
              </w:rPr>
              <w:t>health</w:t>
            </w:r>
          </w:p>
          <w:p w14:paraId="1D6D08CA" w14:textId="77777777" w:rsidR="009948F1" w:rsidRDefault="00BC0563">
            <w:pPr>
              <w:pStyle w:val="TableParagraph"/>
              <w:spacing w:before="19" w:line="229" w:lineRule="exact"/>
              <w:ind w:left="27"/>
              <w:rPr>
                <w:sz w:val="20"/>
              </w:rPr>
            </w:pPr>
            <w:r>
              <w:rPr>
                <w:color w:val="231F20"/>
                <w:w w:val="70"/>
                <w:sz w:val="20"/>
              </w:rPr>
              <w:t>researches on the website</w:t>
            </w:r>
          </w:p>
        </w:tc>
        <w:tc>
          <w:tcPr>
            <w:tcW w:w="1500" w:type="dxa"/>
            <w:tcBorders>
              <w:left w:val="single" w:sz="6" w:space="0" w:color="231F20"/>
              <w:right w:val="single" w:sz="6" w:space="0" w:color="231F20"/>
            </w:tcBorders>
          </w:tcPr>
          <w:p w14:paraId="7AF6E8A6" w14:textId="77777777" w:rsidR="009948F1" w:rsidRDefault="00BC0563">
            <w:pPr>
              <w:pStyle w:val="TableParagraph"/>
              <w:spacing w:before="135"/>
              <w:ind w:left="28"/>
              <w:rPr>
                <w:sz w:val="20"/>
              </w:rPr>
            </w:pPr>
            <w:r>
              <w:rPr>
                <w:color w:val="231F20"/>
                <w:w w:val="70"/>
                <w:sz w:val="20"/>
              </w:rPr>
              <w:t>Lack of funds</w:t>
            </w:r>
          </w:p>
        </w:tc>
        <w:tc>
          <w:tcPr>
            <w:tcW w:w="1582" w:type="dxa"/>
            <w:tcBorders>
              <w:left w:val="single" w:sz="6" w:space="0" w:color="231F20"/>
              <w:right w:val="single" w:sz="6" w:space="0" w:color="231F20"/>
            </w:tcBorders>
          </w:tcPr>
          <w:p w14:paraId="6D481C24" w14:textId="77777777" w:rsidR="009948F1" w:rsidRDefault="00BC0563">
            <w:pPr>
              <w:pStyle w:val="TableParagraph"/>
              <w:spacing w:before="135"/>
              <w:ind w:left="29"/>
              <w:rPr>
                <w:sz w:val="20"/>
              </w:rPr>
            </w:pPr>
            <w:r>
              <w:rPr>
                <w:color w:val="231F20"/>
                <w:w w:val="70"/>
                <w:sz w:val="20"/>
              </w:rPr>
              <w:t>Create mechanism</w:t>
            </w:r>
          </w:p>
        </w:tc>
      </w:tr>
      <w:tr w:rsidR="009948F1" w14:paraId="7A551B5E" w14:textId="77777777">
        <w:trPr>
          <w:trHeight w:val="479"/>
        </w:trPr>
        <w:tc>
          <w:tcPr>
            <w:tcW w:w="472" w:type="dxa"/>
            <w:vMerge/>
            <w:tcBorders>
              <w:top w:val="nil"/>
              <w:right w:val="single" w:sz="6" w:space="0" w:color="231F20"/>
            </w:tcBorders>
          </w:tcPr>
          <w:p w14:paraId="1905D4CE" w14:textId="77777777" w:rsidR="009948F1" w:rsidRDefault="009948F1">
            <w:pPr>
              <w:rPr>
                <w:sz w:val="2"/>
                <w:szCs w:val="2"/>
              </w:rPr>
            </w:pPr>
          </w:p>
        </w:tc>
        <w:tc>
          <w:tcPr>
            <w:tcW w:w="553" w:type="dxa"/>
            <w:tcBorders>
              <w:left w:val="single" w:sz="6" w:space="0" w:color="231F20"/>
              <w:bottom w:val="single" w:sz="12" w:space="0" w:color="231F20"/>
              <w:right w:val="single" w:sz="6" w:space="0" w:color="231F20"/>
            </w:tcBorders>
          </w:tcPr>
          <w:p w14:paraId="0FC19857" w14:textId="77777777" w:rsidR="009948F1" w:rsidRDefault="00BC0563">
            <w:pPr>
              <w:pStyle w:val="TableParagraph"/>
              <w:spacing w:before="129"/>
              <w:ind w:right="29"/>
              <w:jc w:val="right"/>
              <w:rPr>
                <w:sz w:val="20"/>
              </w:rPr>
            </w:pPr>
            <w:r>
              <w:rPr>
                <w:color w:val="231F20"/>
                <w:w w:val="60"/>
                <w:sz w:val="20"/>
              </w:rPr>
              <w:t>13.1.8.e</w:t>
            </w:r>
          </w:p>
        </w:tc>
        <w:tc>
          <w:tcPr>
            <w:tcW w:w="5148" w:type="dxa"/>
            <w:gridSpan w:val="2"/>
            <w:tcBorders>
              <w:left w:val="single" w:sz="6" w:space="0" w:color="231F20"/>
              <w:bottom w:val="single" w:sz="12" w:space="0" w:color="231F20"/>
              <w:right w:val="single" w:sz="6" w:space="0" w:color="231F20"/>
            </w:tcBorders>
          </w:tcPr>
          <w:p w14:paraId="10FE0040" w14:textId="77777777" w:rsidR="009948F1" w:rsidRDefault="00BC0563">
            <w:pPr>
              <w:pStyle w:val="TableParagraph"/>
              <w:spacing w:before="121"/>
              <w:ind w:left="27"/>
              <w:rPr>
                <w:sz w:val="20"/>
              </w:rPr>
            </w:pPr>
            <w:r>
              <w:rPr>
                <w:color w:val="231F20"/>
                <w:w w:val="70"/>
                <w:sz w:val="20"/>
              </w:rPr>
              <w:t>Annual subscription for website</w:t>
            </w:r>
          </w:p>
        </w:tc>
        <w:tc>
          <w:tcPr>
            <w:tcW w:w="1500" w:type="dxa"/>
            <w:tcBorders>
              <w:left w:val="single" w:sz="6" w:space="0" w:color="231F20"/>
              <w:bottom w:val="single" w:sz="12" w:space="0" w:color="231F20"/>
              <w:right w:val="single" w:sz="6" w:space="0" w:color="231F20"/>
            </w:tcBorders>
          </w:tcPr>
          <w:p w14:paraId="7B5C4507" w14:textId="77777777" w:rsidR="009948F1" w:rsidRDefault="00BC0563">
            <w:pPr>
              <w:pStyle w:val="TableParagraph"/>
              <w:spacing w:before="129"/>
              <w:ind w:left="28"/>
              <w:rPr>
                <w:sz w:val="20"/>
              </w:rPr>
            </w:pPr>
            <w:r>
              <w:rPr>
                <w:color w:val="231F20"/>
                <w:w w:val="70"/>
                <w:sz w:val="20"/>
              </w:rPr>
              <w:t>Lack of funds</w:t>
            </w:r>
          </w:p>
        </w:tc>
        <w:tc>
          <w:tcPr>
            <w:tcW w:w="1582" w:type="dxa"/>
            <w:tcBorders>
              <w:left w:val="single" w:sz="6" w:space="0" w:color="231F20"/>
              <w:bottom w:val="single" w:sz="12" w:space="0" w:color="231F20"/>
              <w:right w:val="single" w:sz="6" w:space="0" w:color="231F20"/>
            </w:tcBorders>
          </w:tcPr>
          <w:p w14:paraId="1DD11D13" w14:textId="697CB3AF" w:rsidR="009948F1" w:rsidRDefault="00BC0563">
            <w:pPr>
              <w:pStyle w:val="TableParagraph"/>
              <w:spacing w:before="129"/>
              <w:ind w:left="29"/>
              <w:rPr>
                <w:sz w:val="20"/>
              </w:rPr>
            </w:pPr>
            <w:r>
              <w:rPr>
                <w:color w:val="231F20"/>
                <w:w w:val="70"/>
                <w:sz w:val="20"/>
              </w:rPr>
              <w:t xml:space="preserve">Annual </w:t>
            </w:r>
            <w:r w:rsidR="00683F0D">
              <w:rPr>
                <w:color w:val="231F20"/>
                <w:w w:val="70"/>
                <w:sz w:val="20"/>
              </w:rPr>
              <w:t>subscription</w:t>
            </w:r>
          </w:p>
        </w:tc>
      </w:tr>
    </w:tbl>
    <w:p w14:paraId="2E07F191" w14:textId="77777777" w:rsidR="009948F1" w:rsidRDefault="009948F1">
      <w:pPr>
        <w:rPr>
          <w:sz w:val="20"/>
        </w:rPr>
        <w:sectPr w:rsidR="009948F1">
          <w:pgSz w:w="11910" w:h="16840"/>
          <w:pgMar w:top="1300" w:right="1080" w:bottom="1340" w:left="1120" w:header="0" w:footer="1155" w:gutter="0"/>
          <w:cols w:space="720"/>
        </w:sectPr>
      </w:pPr>
    </w:p>
    <w:p w14:paraId="01CB0A71" w14:textId="77777777" w:rsidR="009948F1" w:rsidRDefault="00244DD0">
      <w:pPr>
        <w:pStyle w:val="BodyText"/>
        <w:rPr>
          <w:sz w:val="20"/>
        </w:rPr>
      </w:pPr>
      <w:r>
        <w:pict w14:anchorId="119A50FF">
          <v:shape id="_x0000_s2051" type="#_x0000_t202" style="position:absolute;margin-left:64.7pt;margin-top:63.9pt;width:466.45pt;height:681.3pt;z-index:15750656;mso-position-horizontal-relative:page;mso-position-vertical-relative:page" filled="f" stroked="f">
            <v:textbox inset="0,0,0,0">
              <w:txbxContent>
                <w:tbl>
                  <w:tblPr>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8"/>
                    <w:gridCol w:w="403"/>
                    <w:gridCol w:w="451"/>
                    <w:gridCol w:w="522"/>
                    <w:gridCol w:w="2489"/>
                    <w:gridCol w:w="2363"/>
                    <w:gridCol w:w="1415"/>
                    <w:gridCol w:w="1493"/>
                  </w:tblGrid>
                  <w:tr w:rsidR="00080B77" w14:paraId="6B3320FA" w14:textId="77777777">
                    <w:trPr>
                      <w:trHeight w:val="311"/>
                    </w:trPr>
                    <w:tc>
                      <w:tcPr>
                        <w:tcW w:w="9314" w:type="dxa"/>
                        <w:gridSpan w:val="8"/>
                        <w:tcBorders>
                          <w:left w:val="single" w:sz="6" w:space="0" w:color="231F20"/>
                          <w:right w:val="single" w:sz="6" w:space="0" w:color="231F20"/>
                        </w:tcBorders>
                      </w:tcPr>
                      <w:p w14:paraId="5960A1FC" w14:textId="77777777" w:rsidR="00080B77" w:rsidRDefault="00080B77">
                        <w:pPr>
                          <w:pStyle w:val="TableParagraph"/>
                          <w:spacing w:before="56"/>
                          <w:ind w:left="1452" w:right="1437"/>
                          <w:jc w:val="center"/>
                          <w:rPr>
                            <w:b/>
                            <w:sz w:val="17"/>
                          </w:rPr>
                        </w:pPr>
                        <w:r>
                          <w:rPr>
                            <w:b/>
                            <w:color w:val="231F20"/>
                            <w:w w:val="105"/>
                            <w:sz w:val="17"/>
                          </w:rPr>
                          <w:t>Strategic Pillar Four: Protection from Public Health Emergencies and Risks</w:t>
                        </w:r>
                      </w:p>
                    </w:tc>
                  </w:tr>
                  <w:tr w:rsidR="00080B77" w14:paraId="4280C222" w14:textId="77777777">
                    <w:trPr>
                      <w:trHeight w:val="217"/>
                    </w:trPr>
                    <w:tc>
                      <w:tcPr>
                        <w:tcW w:w="9314" w:type="dxa"/>
                        <w:gridSpan w:val="8"/>
                        <w:tcBorders>
                          <w:left w:val="single" w:sz="6" w:space="0" w:color="231F20"/>
                          <w:bottom w:val="single" w:sz="6" w:space="0" w:color="231F20"/>
                          <w:right w:val="single" w:sz="6" w:space="0" w:color="231F20"/>
                        </w:tcBorders>
                        <w:shd w:val="clear" w:color="auto" w:fill="A6CE39"/>
                      </w:tcPr>
                      <w:p w14:paraId="23850E42" w14:textId="77777777" w:rsidR="00080B77" w:rsidRDefault="00080B77">
                        <w:pPr>
                          <w:pStyle w:val="TableParagraph"/>
                          <w:spacing w:before="31"/>
                          <w:ind w:left="1452" w:right="1402"/>
                          <w:jc w:val="center"/>
                          <w:rPr>
                            <w:b/>
                            <w:sz w:val="13"/>
                          </w:rPr>
                        </w:pPr>
                        <w:r>
                          <w:rPr>
                            <w:b/>
                            <w:color w:val="231F20"/>
                            <w:w w:val="105"/>
                            <w:sz w:val="13"/>
                          </w:rPr>
                          <w:t>14.Public Health Emergencies: Preparedness and Response</w:t>
                        </w:r>
                      </w:p>
                    </w:tc>
                  </w:tr>
                  <w:tr w:rsidR="00080B77" w14:paraId="1E618AC7" w14:textId="77777777">
                    <w:trPr>
                      <w:trHeight w:val="323"/>
                    </w:trPr>
                    <w:tc>
                      <w:tcPr>
                        <w:tcW w:w="9314" w:type="dxa"/>
                        <w:gridSpan w:val="8"/>
                        <w:tcBorders>
                          <w:top w:val="single" w:sz="6" w:space="0" w:color="231F20"/>
                          <w:left w:val="single" w:sz="6" w:space="0" w:color="231F20"/>
                          <w:bottom w:val="single" w:sz="6" w:space="0" w:color="231F20"/>
                          <w:right w:val="single" w:sz="6" w:space="0" w:color="231F20"/>
                        </w:tcBorders>
                        <w:shd w:val="clear" w:color="auto" w:fill="F6ADCD"/>
                      </w:tcPr>
                      <w:p w14:paraId="60A4691E" w14:textId="77777777" w:rsidR="00080B77" w:rsidRDefault="00080B77">
                        <w:pPr>
                          <w:pStyle w:val="TableParagraph"/>
                          <w:spacing w:before="98"/>
                          <w:ind w:left="2462"/>
                          <w:rPr>
                            <w:b/>
                            <w:sz w:val="11"/>
                          </w:rPr>
                        </w:pPr>
                        <w:r>
                          <w:rPr>
                            <w:b/>
                            <w:color w:val="231F20"/>
                            <w:w w:val="105"/>
                            <w:sz w:val="11"/>
                          </w:rPr>
                          <w:t>14. Significantly reduce the incidence and impact of public health emergencies</w:t>
                        </w:r>
                      </w:p>
                    </w:tc>
                  </w:tr>
                  <w:tr w:rsidR="00080B77" w14:paraId="744B8142" w14:textId="77777777">
                    <w:trPr>
                      <w:trHeight w:val="362"/>
                    </w:trPr>
                    <w:tc>
                      <w:tcPr>
                        <w:tcW w:w="178" w:type="dxa"/>
                        <w:tcBorders>
                          <w:top w:val="single" w:sz="6" w:space="0" w:color="231F20"/>
                          <w:left w:val="single" w:sz="6" w:space="0" w:color="231F20"/>
                          <w:bottom w:val="nil"/>
                          <w:right w:val="single" w:sz="6" w:space="0" w:color="231F20"/>
                        </w:tcBorders>
                      </w:tcPr>
                      <w:p w14:paraId="1F15B6D5" w14:textId="77777777" w:rsidR="00080B77" w:rsidRDefault="00080B77">
                        <w:pPr>
                          <w:pStyle w:val="TableParagraph"/>
                          <w:rPr>
                            <w:rFonts w:ascii="Times New Roman"/>
                            <w:sz w:val="10"/>
                          </w:rPr>
                        </w:pPr>
                      </w:p>
                    </w:tc>
                    <w:tc>
                      <w:tcPr>
                        <w:tcW w:w="403" w:type="dxa"/>
                        <w:tcBorders>
                          <w:top w:val="single" w:sz="6" w:space="0" w:color="231F20"/>
                          <w:left w:val="single" w:sz="6" w:space="0" w:color="231F20"/>
                          <w:bottom w:val="single" w:sz="6" w:space="0" w:color="231F20"/>
                          <w:right w:val="single" w:sz="6" w:space="0" w:color="231F20"/>
                        </w:tcBorders>
                        <w:shd w:val="clear" w:color="auto" w:fill="FFF200"/>
                      </w:tcPr>
                      <w:p w14:paraId="1F13C83F" w14:textId="77777777" w:rsidR="00080B77" w:rsidRDefault="00080B77">
                        <w:pPr>
                          <w:pStyle w:val="TableParagraph"/>
                          <w:spacing w:before="6"/>
                          <w:rPr>
                            <w:sz w:val="10"/>
                          </w:rPr>
                        </w:pPr>
                      </w:p>
                      <w:p w14:paraId="54F5DB92" w14:textId="77777777" w:rsidR="00080B77" w:rsidRDefault="00080B77">
                        <w:pPr>
                          <w:pStyle w:val="TableParagraph"/>
                          <w:ind w:left="119"/>
                          <w:rPr>
                            <w:b/>
                            <w:sz w:val="11"/>
                          </w:rPr>
                        </w:pPr>
                        <w:r>
                          <w:rPr>
                            <w:b/>
                            <w:color w:val="231F20"/>
                            <w:w w:val="105"/>
                            <w:sz w:val="11"/>
                          </w:rPr>
                          <w:t>14.1</w:t>
                        </w:r>
                      </w:p>
                    </w:tc>
                    <w:tc>
                      <w:tcPr>
                        <w:tcW w:w="5825" w:type="dxa"/>
                        <w:gridSpan w:val="4"/>
                        <w:tcBorders>
                          <w:top w:val="single" w:sz="6" w:space="0" w:color="231F20"/>
                          <w:left w:val="single" w:sz="6" w:space="0" w:color="231F20"/>
                          <w:bottom w:val="single" w:sz="6" w:space="0" w:color="231F20"/>
                        </w:tcBorders>
                        <w:shd w:val="clear" w:color="auto" w:fill="FFF200"/>
                      </w:tcPr>
                      <w:p w14:paraId="76F56333" w14:textId="77777777" w:rsidR="00080B77" w:rsidRDefault="00080B77">
                        <w:pPr>
                          <w:pStyle w:val="TableParagraph"/>
                          <w:spacing w:before="2"/>
                          <w:rPr>
                            <w:sz w:val="10"/>
                          </w:rPr>
                        </w:pPr>
                      </w:p>
                      <w:p w14:paraId="3EEBA2B3" w14:textId="77777777" w:rsidR="00080B77" w:rsidRDefault="00080B77">
                        <w:pPr>
                          <w:pStyle w:val="TableParagraph"/>
                          <w:ind w:left="53"/>
                          <w:rPr>
                            <w:b/>
                            <w:sz w:val="11"/>
                          </w:rPr>
                        </w:pPr>
                        <w:r>
                          <w:rPr>
                            <w:b/>
                            <w:color w:val="231F20"/>
                            <w:w w:val="105"/>
                            <w:sz w:val="11"/>
                          </w:rPr>
                          <w:t>Reduce incidence and impact of public health emergencies in Nigeria</w:t>
                        </w:r>
                      </w:p>
                    </w:tc>
                    <w:tc>
                      <w:tcPr>
                        <w:tcW w:w="1415" w:type="dxa"/>
                        <w:tcBorders>
                          <w:top w:val="single" w:sz="6" w:space="0" w:color="231F20"/>
                          <w:bottom w:val="single" w:sz="6" w:space="0" w:color="231F20"/>
                        </w:tcBorders>
                        <w:shd w:val="clear" w:color="auto" w:fill="FFF200"/>
                      </w:tcPr>
                      <w:p w14:paraId="70CD7A93" w14:textId="77777777" w:rsidR="00080B77" w:rsidRDefault="00080B77">
                        <w:pPr>
                          <w:pStyle w:val="TableParagraph"/>
                          <w:rPr>
                            <w:rFonts w:ascii="Times New Roman"/>
                            <w:sz w:val="10"/>
                          </w:rPr>
                        </w:pPr>
                      </w:p>
                    </w:tc>
                    <w:tc>
                      <w:tcPr>
                        <w:tcW w:w="1493" w:type="dxa"/>
                        <w:tcBorders>
                          <w:top w:val="single" w:sz="6" w:space="0" w:color="231F20"/>
                          <w:bottom w:val="single" w:sz="6" w:space="0" w:color="231F20"/>
                          <w:right w:val="single" w:sz="6" w:space="0" w:color="231F20"/>
                        </w:tcBorders>
                        <w:shd w:val="clear" w:color="auto" w:fill="FFF200"/>
                      </w:tcPr>
                      <w:p w14:paraId="15E45988" w14:textId="77777777" w:rsidR="00080B77" w:rsidRDefault="00080B77">
                        <w:pPr>
                          <w:pStyle w:val="TableParagraph"/>
                          <w:rPr>
                            <w:rFonts w:ascii="Times New Roman"/>
                            <w:sz w:val="10"/>
                          </w:rPr>
                        </w:pPr>
                      </w:p>
                    </w:tc>
                  </w:tr>
                  <w:tr w:rsidR="00080B77" w14:paraId="11D04063" w14:textId="77777777">
                    <w:trPr>
                      <w:trHeight w:val="1051"/>
                    </w:trPr>
                    <w:tc>
                      <w:tcPr>
                        <w:tcW w:w="581" w:type="dxa"/>
                        <w:gridSpan w:val="2"/>
                        <w:tcBorders>
                          <w:top w:val="nil"/>
                          <w:left w:val="single" w:sz="6" w:space="0" w:color="231F20"/>
                          <w:bottom w:val="nil"/>
                          <w:right w:val="single" w:sz="6" w:space="0" w:color="231F20"/>
                        </w:tcBorders>
                      </w:tcPr>
                      <w:p w14:paraId="0FAAAC6D" w14:textId="77777777" w:rsidR="00080B77" w:rsidRDefault="00080B77">
                        <w:pPr>
                          <w:pStyle w:val="TableParagraph"/>
                          <w:rPr>
                            <w:rFonts w:ascii="Times New Roman"/>
                            <w:sz w:val="10"/>
                          </w:rPr>
                        </w:pPr>
                      </w:p>
                    </w:tc>
                    <w:tc>
                      <w:tcPr>
                        <w:tcW w:w="451" w:type="dxa"/>
                        <w:tcBorders>
                          <w:top w:val="single" w:sz="6" w:space="0" w:color="231F20"/>
                          <w:left w:val="single" w:sz="6" w:space="0" w:color="231F20"/>
                          <w:bottom w:val="single" w:sz="6" w:space="0" w:color="231F20"/>
                          <w:right w:val="single" w:sz="6" w:space="0" w:color="231F20"/>
                        </w:tcBorders>
                        <w:shd w:val="clear" w:color="auto" w:fill="CCE7D3"/>
                      </w:tcPr>
                      <w:p w14:paraId="21A5975C" w14:textId="77777777" w:rsidR="00080B77" w:rsidRDefault="00080B77">
                        <w:pPr>
                          <w:pStyle w:val="TableParagraph"/>
                          <w:rPr>
                            <w:sz w:val="12"/>
                          </w:rPr>
                        </w:pPr>
                      </w:p>
                      <w:p w14:paraId="68AC5C04" w14:textId="77777777" w:rsidR="00080B77" w:rsidRDefault="00080B77">
                        <w:pPr>
                          <w:pStyle w:val="TableParagraph"/>
                          <w:rPr>
                            <w:sz w:val="12"/>
                          </w:rPr>
                        </w:pPr>
                      </w:p>
                      <w:p w14:paraId="3752FD1D" w14:textId="77777777" w:rsidR="00080B77" w:rsidRDefault="00080B77">
                        <w:pPr>
                          <w:pStyle w:val="TableParagraph"/>
                          <w:spacing w:before="5"/>
                          <w:rPr>
                            <w:sz w:val="16"/>
                          </w:rPr>
                        </w:pPr>
                      </w:p>
                      <w:p w14:paraId="05C51E73" w14:textId="77777777" w:rsidR="00080B77" w:rsidRDefault="00080B77">
                        <w:pPr>
                          <w:pStyle w:val="TableParagraph"/>
                          <w:ind w:left="53"/>
                          <w:rPr>
                            <w:sz w:val="11"/>
                          </w:rPr>
                        </w:pPr>
                        <w:r>
                          <w:rPr>
                            <w:color w:val="231F20"/>
                            <w:w w:val="105"/>
                            <w:sz w:val="11"/>
                          </w:rPr>
                          <w:t>14.1.1</w:t>
                        </w:r>
                      </w:p>
                    </w:tc>
                    <w:tc>
                      <w:tcPr>
                        <w:tcW w:w="3011" w:type="dxa"/>
                        <w:gridSpan w:val="2"/>
                        <w:tcBorders>
                          <w:top w:val="single" w:sz="6" w:space="0" w:color="231F20"/>
                          <w:left w:val="single" w:sz="6" w:space="0" w:color="231F20"/>
                          <w:bottom w:val="single" w:sz="6" w:space="0" w:color="231F20"/>
                          <w:right w:val="single" w:sz="6" w:space="0" w:color="231F20"/>
                        </w:tcBorders>
                        <w:shd w:val="clear" w:color="auto" w:fill="CCE7D3"/>
                      </w:tcPr>
                      <w:p w14:paraId="762DDE3E" w14:textId="77777777" w:rsidR="00080B77" w:rsidRDefault="00080B77">
                        <w:pPr>
                          <w:pStyle w:val="TableParagraph"/>
                          <w:rPr>
                            <w:sz w:val="12"/>
                          </w:rPr>
                        </w:pPr>
                      </w:p>
                      <w:p w14:paraId="58B3E0C4" w14:textId="77777777" w:rsidR="00080B77" w:rsidRDefault="00080B77">
                        <w:pPr>
                          <w:pStyle w:val="TableParagraph"/>
                          <w:spacing w:before="6"/>
                          <w:rPr>
                            <w:sz w:val="15"/>
                          </w:rPr>
                        </w:pPr>
                      </w:p>
                      <w:p w14:paraId="07C29CF1" w14:textId="77777777" w:rsidR="00080B77" w:rsidRDefault="00080B77">
                        <w:pPr>
                          <w:pStyle w:val="TableParagraph"/>
                          <w:spacing w:line="273" w:lineRule="auto"/>
                          <w:ind w:left="20" w:right="83" w:firstLine="32"/>
                          <w:jc w:val="both"/>
                          <w:rPr>
                            <w:sz w:val="11"/>
                          </w:rPr>
                        </w:pPr>
                        <w:r>
                          <w:rPr>
                            <w:color w:val="231F20"/>
                            <w:w w:val="105"/>
                            <w:sz w:val="11"/>
                          </w:rPr>
                          <w:t>Promote the development and implementation of legal, regulatory framework, policies and plans for emergency preparedness at all levels</w:t>
                        </w:r>
                      </w:p>
                    </w:tc>
                    <w:tc>
                      <w:tcPr>
                        <w:tcW w:w="2363" w:type="dxa"/>
                        <w:tcBorders>
                          <w:top w:val="single" w:sz="6" w:space="0" w:color="231F20"/>
                          <w:left w:val="single" w:sz="6" w:space="0" w:color="231F20"/>
                          <w:bottom w:val="single" w:sz="6" w:space="0" w:color="231F20"/>
                          <w:right w:val="single" w:sz="6" w:space="0" w:color="231F20"/>
                        </w:tcBorders>
                        <w:shd w:val="clear" w:color="auto" w:fill="CCE7D3"/>
                      </w:tcPr>
                      <w:p w14:paraId="500B85F1" w14:textId="77777777" w:rsidR="00080B77" w:rsidRDefault="00080B77">
                        <w:pPr>
                          <w:pStyle w:val="TableParagraph"/>
                          <w:numPr>
                            <w:ilvl w:val="0"/>
                            <w:numId w:val="25"/>
                          </w:numPr>
                          <w:tabs>
                            <w:tab w:val="left" w:pos="93"/>
                          </w:tabs>
                          <w:spacing w:before="34" w:line="273" w:lineRule="auto"/>
                          <w:ind w:right="109" w:firstLine="0"/>
                          <w:rPr>
                            <w:sz w:val="11"/>
                          </w:rPr>
                        </w:pPr>
                        <w:r>
                          <w:rPr>
                            <w:color w:val="231F20"/>
                            <w:w w:val="105"/>
                            <w:sz w:val="11"/>
                          </w:rPr>
                          <w:t xml:space="preserve">Legal framework for compliance with </w:t>
                        </w:r>
                        <w:r>
                          <w:rPr>
                            <w:color w:val="231F20"/>
                            <w:spacing w:val="-6"/>
                            <w:w w:val="105"/>
                            <w:sz w:val="11"/>
                          </w:rPr>
                          <w:t xml:space="preserve">IHR </w:t>
                        </w:r>
                        <w:r>
                          <w:rPr>
                            <w:color w:val="231F20"/>
                            <w:w w:val="105"/>
                            <w:sz w:val="11"/>
                          </w:rPr>
                          <w:t>in place</w:t>
                        </w:r>
                      </w:p>
                      <w:p w14:paraId="651E57D3" w14:textId="77777777" w:rsidR="00080B77" w:rsidRDefault="00080B77">
                        <w:pPr>
                          <w:pStyle w:val="TableParagraph"/>
                          <w:spacing w:line="273" w:lineRule="auto"/>
                          <w:ind w:left="18"/>
                          <w:rPr>
                            <w:sz w:val="11"/>
                          </w:rPr>
                        </w:pPr>
                        <w:r>
                          <w:rPr>
                            <w:color w:val="231F20"/>
                            <w:w w:val="105"/>
                            <w:sz w:val="11"/>
                          </w:rPr>
                          <w:t>•Updated IDSR epidemic management protocol and SOPs available</w:t>
                        </w:r>
                      </w:p>
                      <w:p w14:paraId="581C1B5C" w14:textId="77777777" w:rsidR="00080B77" w:rsidRDefault="00080B77">
                        <w:pPr>
                          <w:pStyle w:val="TableParagraph"/>
                          <w:numPr>
                            <w:ilvl w:val="0"/>
                            <w:numId w:val="25"/>
                          </w:numPr>
                          <w:tabs>
                            <w:tab w:val="left" w:pos="93"/>
                          </w:tabs>
                          <w:spacing w:line="273" w:lineRule="auto"/>
                          <w:ind w:right="435" w:firstLine="0"/>
                          <w:rPr>
                            <w:sz w:val="11"/>
                          </w:rPr>
                        </w:pPr>
                        <w:r>
                          <w:rPr>
                            <w:color w:val="231F20"/>
                            <w:w w:val="105"/>
                            <w:sz w:val="11"/>
                          </w:rPr>
                          <w:t xml:space="preserve">Laws and policies for outbreak </w:t>
                        </w:r>
                        <w:r>
                          <w:rPr>
                            <w:color w:val="231F20"/>
                            <w:spacing w:val="-5"/>
                            <w:w w:val="105"/>
                            <w:sz w:val="11"/>
                          </w:rPr>
                          <w:t xml:space="preserve">and </w:t>
                        </w:r>
                        <w:r>
                          <w:rPr>
                            <w:color w:val="231F20"/>
                            <w:w w:val="105"/>
                            <w:sz w:val="11"/>
                          </w:rPr>
                          <w:t>surveillance activities as it related</w:t>
                        </w:r>
                        <w:r>
                          <w:rPr>
                            <w:color w:val="231F20"/>
                            <w:spacing w:val="29"/>
                            <w:w w:val="105"/>
                            <w:sz w:val="11"/>
                          </w:rPr>
                          <w:t xml:space="preserve"> </w:t>
                        </w:r>
                        <w:r>
                          <w:rPr>
                            <w:color w:val="231F20"/>
                            <w:w w:val="105"/>
                            <w:sz w:val="11"/>
                          </w:rPr>
                          <w:t>to</w:t>
                        </w:r>
                      </w:p>
                      <w:p w14:paraId="49526CDE" w14:textId="77777777" w:rsidR="00080B77" w:rsidRDefault="00080B77">
                        <w:pPr>
                          <w:pStyle w:val="TableParagraph"/>
                          <w:spacing w:line="126" w:lineRule="exact"/>
                          <w:ind w:left="18"/>
                          <w:rPr>
                            <w:sz w:val="11"/>
                          </w:rPr>
                        </w:pPr>
                        <w:r>
                          <w:rPr>
                            <w:color w:val="231F20"/>
                            <w:w w:val="105"/>
                            <w:sz w:val="11"/>
                          </w:rPr>
                          <w:t>isolation and quarantine reviewed</w:t>
                        </w:r>
                      </w:p>
                    </w:tc>
                    <w:tc>
                      <w:tcPr>
                        <w:tcW w:w="1415" w:type="dxa"/>
                        <w:tcBorders>
                          <w:top w:val="single" w:sz="6" w:space="0" w:color="231F20"/>
                          <w:left w:val="single" w:sz="6" w:space="0" w:color="231F20"/>
                          <w:bottom w:val="single" w:sz="6" w:space="0" w:color="231F20"/>
                          <w:right w:val="single" w:sz="6" w:space="0" w:color="231F20"/>
                        </w:tcBorders>
                        <w:shd w:val="clear" w:color="auto" w:fill="CCE7D3"/>
                      </w:tcPr>
                      <w:p w14:paraId="7A274F52" w14:textId="77777777" w:rsidR="00080B77" w:rsidRDefault="00080B77">
                        <w:pPr>
                          <w:pStyle w:val="TableParagraph"/>
                          <w:rPr>
                            <w:rFonts w:ascii="Times New Roman"/>
                            <w:sz w:val="10"/>
                          </w:rPr>
                        </w:pPr>
                      </w:p>
                    </w:tc>
                    <w:tc>
                      <w:tcPr>
                        <w:tcW w:w="1493" w:type="dxa"/>
                        <w:tcBorders>
                          <w:top w:val="single" w:sz="6" w:space="0" w:color="231F20"/>
                          <w:left w:val="single" w:sz="6" w:space="0" w:color="231F20"/>
                          <w:bottom w:val="single" w:sz="6" w:space="0" w:color="231F20"/>
                          <w:right w:val="single" w:sz="6" w:space="0" w:color="231F20"/>
                        </w:tcBorders>
                        <w:shd w:val="clear" w:color="auto" w:fill="CCE7D3"/>
                      </w:tcPr>
                      <w:p w14:paraId="511AF25A" w14:textId="77777777" w:rsidR="00080B77" w:rsidRDefault="00080B77">
                        <w:pPr>
                          <w:pStyle w:val="TableParagraph"/>
                          <w:rPr>
                            <w:rFonts w:ascii="Times New Roman"/>
                            <w:sz w:val="10"/>
                          </w:rPr>
                        </w:pPr>
                      </w:p>
                    </w:tc>
                  </w:tr>
                  <w:tr w:rsidR="00080B77" w14:paraId="7D5D0A4C" w14:textId="77777777">
                    <w:trPr>
                      <w:trHeight w:val="437"/>
                    </w:trPr>
                    <w:tc>
                      <w:tcPr>
                        <w:tcW w:w="1032" w:type="dxa"/>
                        <w:gridSpan w:val="3"/>
                        <w:vMerge w:val="restart"/>
                        <w:tcBorders>
                          <w:top w:val="nil"/>
                          <w:left w:val="single" w:sz="6" w:space="0" w:color="231F20"/>
                          <w:bottom w:val="nil"/>
                          <w:right w:val="single" w:sz="6" w:space="0" w:color="231F20"/>
                        </w:tcBorders>
                      </w:tcPr>
                      <w:p w14:paraId="7D42D9B2" w14:textId="77777777" w:rsidR="00080B77" w:rsidRDefault="00080B77">
                        <w:pPr>
                          <w:pStyle w:val="TableParagraph"/>
                          <w:rPr>
                            <w:rFonts w:ascii="Times New Roman"/>
                            <w:sz w:val="10"/>
                          </w:rPr>
                        </w:pPr>
                      </w:p>
                    </w:tc>
                    <w:tc>
                      <w:tcPr>
                        <w:tcW w:w="522" w:type="dxa"/>
                        <w:tcBorders>
                          <w:top w:val="single" w:sz="6" w:space="0" w:color="231F20"/>
                          <w:left w:val="single" w:sz="6" w:space="0" w:color="231F20"/>
                          <w:bottom w:val="single" w:sz="6" w:space="0" w:color="231F20"/>
                          <w:right w:val="single" w:sz="6" w:space="0" w:color="231F20"/>
                        </w:tcBorders>
                      </w:tcPr>
                      <w:p w14:paraId="08A689AA" w14:textId="77777777" w:rsidR="00080B77" w:rsidRDefault="00080B77">
                        <w:pPr>
                          <w:pStyle w:val="TableParagraph"/>
                          <w:spacing w:before="8"/>
                          <w:rPr>
                            <w:sz w:val="13"/>
                          </w:rPr>
                        </w:pPr>
                      </w:p>
                      <w:p w14:paraId="77FBE5F1" w14:textId="77777777" w:rsidR="00080B77" w:rsidRDefault="00080B77">
                        <w:pPr>
                          <w:pStyle w:val="TableParagraph"/>
                          <w:ind w:left="29" w:right="19"/>
                          <w:jc w:val="center"/>
                          <w:rPr>
                            <w:sz w:val="11"/>
                          </w:rPr>
                        </w:pPr>
                        <w:r>
                          <w:rPr>
                            <w:color w:val="231F20"/>
                            <w:w w:val="105"/>
                            <w:sz w:val="11"/>
                          </w:rPr>
                          <w:t>14.1.1.a</w:t>
                        </w:r>
                      </w:p>
                    </w:tc>
                    <w:tc>
                      <w:tcPr>
                        <w:tcW w:w="4852" w:type="dxa"/>
                        <w:gridSpan w:val="2"/>
                        <w:tcBorders>
                          <w:top w:val="single" w:sz="6" w:space="0" w:color="231F20"/>
                          <w:left w:val="single" w:sz="6" w:space="0" w:color="231F20"/>
                          <w:bottom w:val="single" w:sz="6" w:space="0" w:color="231F20"/>
                          <w:right w:val="single" w:sz="6" w:space="0" w:color="231F20"/>
                        </w:tcBorders>
                      </w:tcPr>
                      <w:p w14:paraId="15B14EAE" w14:textId="77777777" w:rsidR="00080B77" w:rsidRDefault="00080B77">
                        <w:pPr>
                          <w:pStyle w:val="TableParagraph"/>
                          <w:spacing w:before="81" w:line="273" w:lineRule="auto"/>
                          <w:ind w:left="19"/>
                          <w:rPr>
                            <w:sz w:val="11"/>
                          </w:rPr>
                        </w:pPr>
                        <w:r>
                          <w:rPr>
                            <w:color w:val="231F20"/>
                            <w:w w:val="105"/>
                            <w:sz w:val="11"/>
                          </w:rPr>
                          <w:t>Strengthen Epidemic Prepared and Response Committees at state and LGA levels to coordinate rapid response epidemiological services</w:t>
                        </w:r>
                      </w:p>
                    </w:tc>
                    <w:tc>
                      <w:tcPr>
                        <w:tcW w:w="1415" w:type="dxa"/>
                        <w:tcBorders>
                          <w:top w:val="single" w:sz="6" w:space="0" w:color="231F20"/>
                          <w:left w:val="single" w:sz="6" w:space="0" w:color="231F20"/>
                          <w:bottom w:val="single" w:sz="6" w:space="0" w:color="231F20"/>
                          <w:right w:val="single" w:sz="6" w:space="0" w:color="231F20"/>
                        </w:tcBorders>
                      </w:tcPr>
                      <w:p w14:paraId="4E243410" w14:textId="77777777" w:rsidR="00080B77" w:rsidRDefault="00080B77">
                        <w:pPr>
                          <w:pStyle w:val="TableParagraph"/>
                          <w:spacing w:before="8"/>
                          <w:rPr>
                            <w:sz w:val="13"/>
                          </w:rPr>
                        </w:pPr>
                      </w:p>
                      <w:p w14:paraId="5DEE3542"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167E10F3" w14:textId="77777777" w:rsidR="00080B77" w:rsidRDefault="00080B77">
                        <w:pPr>
                          <w:pStyle w:val="TableParagraph"/>
                          <w:spacing w:before="85" w:line="273" w:lineRule="auto"/>
                          <w:ind w:left="16"/>
                          <w:rPr>
                            <w:sz w:val="11"/>
                          </w:rPr>
                        </w:pPr>
                        <w:r>
                          <w:rPr>
                            <w:color w:val="231F20"/>
                            <w:w w:val="105"/>
                            <w:sz w:val="11"/>
                          </w:rPr>
                          <w:t>Strengthen Epidemic Preparedness</w:t>
                        </w:r>
                      </w:p>
                    </w:tc>
                  </w:tr>
                  <w:tr w:rsidR="00080B77" w14:paraId="36FAA1FF" w14:textId="77777777">
                    <w:trPr>
                      <w:trHeight w:val="571"/>
                    </w:trPr>
                    <w:tc>
                      <w:tcPr>
                        <w:tcW w:w="1032" w:type="dxa"/>
                        <w:gridSpan w:val="3"/>
                        <w:vMerge/>
                        <w:tcBorders>
                          <w:top w:val="nil"/>
                          <w:left w:val="single" w:sz="6" w:space="0" w:color="231F20"/>
                          <w:bottom w:val="nil"/>
                          <w:right w:val="single" w:sz="6" w:space="0" w:color="231F20"/>
                        </w:tcBorders>
                      </w:tcPr>
                      <w:p w14:paraId="75610582"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261D4ED4" w14:textId="77777777" w:rsidR="00080B77" w:rsidRDefault="00080B77">
                        <w:pPr>
                          <w:pStyle w:val="TableParagraph"/>
                          <w:rPr>
                            <w:sz w:val="12"/>
                          </w:rPr>
                        </w:pPr>
                      </w:p>
                      <w:p w14:paraId="4D65E592" w14:textId="77777777" w:rsidR="00080B77" w:rsidRDefault="00080B77">
                        <w:pPr>
                          <w:pStyle w:val="TableParagraph"/>
                          <w:spacing w:before="86"/>
                          <w:ind w:left="29" w:right="19"/>
                          <w:jc w:val="center"/>
                          <w:rPr>
                            <w:sz w:val="11"/>
                          </w:rPr>
                        </w:pPr>
                        <w:r>
                          <w:rPr>
                            <w:color w:val="231F20"/>
                            <w:w w:val="105"/>
                            <w:sz w:val="11"/>
                          </w:rPr>
                          <w:t>14.1.1.b</w:t>
                        </w:r>
                      </w:p>
                    </w:tc>
                    <w:tc>
                      <w:tcPr>
                        <w:tcW w:w="4852" w:type="dxa"/>
                        <w:gridSpan w:val="2"/>
                        <w:tcBorders>
                          <w:top w:val="single" w:sz="6" w:space="0" w:color="231F20"/>
                          <w:left w:val="single" w:sz="6" w:space="0" w:color="231F20"/>
                          <w:bottom w:val="single" w:sz="6" w:space="0" w:color="231F20"/>
                          <w:right w:val="single" w:sz="6" w:space="0" w:color="231F20"/>
                        </w:tcBorders>
                      </w:tcPr>
                      <w:p w14:paraId="5924E19D" w14:textId="77777777" w:rsidR="00080B77" w:rsidRDefault="00080B77">
                        <w:pPr>
                          <w:pStyle w:val="TableParagraph"/>
                          <w:spacing w:before="76" w:line="273" w:lineRule="auto"/>
                          <w:ind w:left="19" w:firstLine="32"/>
                          <w:rPr>
                            <w:sz w:val="11"/>
                          </w:rPr>
                        </w:pPr>
                        <w:r>
                          <w:rPr>
                            <w:color w:val="231F20"/>
                            <w:w w:val="105"/>
                            <w:sz w:val="11"/>
                          </w:rPr>
                          <w:t>Conduct continuous advocacy to policy and decision makers for resource mobilization and provision of adequate funding to support Integrated Disease Surveillance and Response (IDSR) activities</w:t>
                        </w:r>
                      </w:p>
                    </w:tc>
                    <w:tc>
                      <w:tcPr>
                        <w:tcW w:w="1415" w:type="dxa"/>
                        <w:tcBorders>
                          <w:top w:val="single" w:sz="6" w:space="0" w:color="231F20"/>
                          <w:left w:val="single" w:sz="6" w:space="0" w:color="231F20"/>
                          <w:bottom w:val="single" w:sz="6" w:space="0" w:color="231F20"/>
                          <w:right w:val="single" w:sz="6" w:space="0" w:color="231F20"/>
                        </w:tcBorders>
                      </w:tcPr>
                      <w:p w14:paraId="76F01A20" w14:textId="77777777" w:rsidR="00080B77" w:rsidRDefault="00080B77">
                        <w:pPr>
                          <w:pStyle w:val="TableParagraph"/>
                          <w:rPr>
                            <w:sz w:val="12"/>
                          </w:rPr>
                        </w:pPr>
                      </w:p>
                      <w:p w14:paraId="74273283" w14:textId="77777777" w:rsidR="00080B77" w:rsidRDefault="00080B77">
                        <w:pPr>
                          <w:pStyle w:val="TableParagraph"/>
                          <w:spacing w:before="86"/>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1EC9B338" w14:textId="77777777" w:rsidR="00080B77" w:rsidRDefault="00080B77">
                        <w:pPr>
                          <w:pStyle w:val="TableParagraph"/>
                          <w:rPr>
                            <w:sz w:val="12"/>
                          </w:rPr>
                        </w:pPr>
                      </w:p>
                      <w:p w14:paraId="3AED26EA" w14:textId="77777777" w:rsidR="00080B77" w:rsidRDefault="00080B77">
                        <w:pPr>
                          <w:pStyle w:val="TableParagraph"/>
                          <w:spacing w:before="86"/>
                          <w:ind w:left="16"/>
                          <w:rPr>
                            <w:sz w:val="11"/>
                          </w:rPr>
                        </w:pPr>
                        <w:r>
                          <w:rPr>
                            <w:color w:val="231F20"/>
                            <w:w w:val="105"/>
                            <w:sz w:val="11"/>
                          </w:rPr>
                          <w:t>No cost</w:t>
                        </w:r>
                      </w:p>
                    </w:tc>
                  </w:tr>
                  <w:tr w:rsidR="00080B77" w14:paraId="129FCBB6" w14:textId="77777777">
                    <w:trPr>
                      <w:trHeight w:val="521"/>
                    </w:trPr>
                    <w:tc>
                      <w:tcPr>
                        <w:tcW w:w="1032" w:type="dxa"/>
                        <w:gridSpan w:val="3"/>
                        <w:vMerge/>
                        <w:tcBorders>
                          <w:top w:val="nil"/>
                          <w:left w:val="single" w:sz="6" w:space="0" w:color="231F20"/>
                          <w:bottom w:val="nil"/>
                          <w:right w:val="single" w:sz="6" w:space="0" w:color="231F20"/>
                        </w:tcBorders>
                      </w:tcPr>
                      <w:p w14:paraId="482575F3"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602ABB99" w14:textId="77777777" w:rsidR="00080B77" w:rsidRDefault="00080B77">
                        <w:pPr>
                          <w:pStyle w:val="TableParagraph"/>
                          <w:spacing w:before="4"/>
                          <w:rPr>
                            <w:sz w:val="17"/>
                          </w:rPr>
                        </w:pPr>
                      </w:p>
                      <w:p w14:paraId="626BD1FE" w14:textId="77777777" w:rsidR="00080B77" w:rsidRDefault="00080B77">
                        <w:pPr>
                          <w:pStyle w:val="TableParagraph"/>
                          <w:ind w:left="29" w:right="18"/>
                          <w:jc w:val="center"/>
                          <w:rPr>
                            <w:sz w:val="11"/>
                          </w:rPr>
                        </w:pPr>
                        <w:r>
                          <w:rPr>
                            <w:color w:val="231F20"/>
                            <w:w w:val="105"/>
                            <w:sz w:val="11"/>
                          </w:rPr>
                          <w:t>14.1.1.c</w:t>
                        </w:r>
                      </w:p>
                    </w:tc>
                    <w:tc>
                      <w:tcPr>
                        <w:tcW w:w="4852" w:type="dxa"/>
                        <w:gridSpan w:val="2"/>
                        <w:tcBorders>
                          <w:top w:val="single" w:sz="6" w:space="0" w:color="231F20"/>
                          <w:left w:val="single" w:sz="6" w:space="0" w:color="231F20"/>
                          <w:bottom w:val="single" w:sz="6" w:space="0" w:color="231F20"/>
                          <w:right w:val="single" w:sz="6" w:space="0" w:color="231F20"/>
                        </w:tcBorders>
                      </w:tcPr>
                      <w:p w14:paraId="5D63EF50" w14:textId="77777777" w:rsidR="00080B77" w:rsidRDefault="00080B77">
                        <w:pPr>
                          <w:pStyle w:val="TableParagraph"/>
                          <w:spacing w:before="11"/>
                          <w:rPr>
                            <w:sz w:val="16"/>
                          </w:rPr>
                        </w:pPr>
                      </w:p>
                      <w:p w14:paraId="5DE0BB6F" w14:textId="77777777" w:rsidR="00080B77" w:rsidRDefault="00080B77">
                        <w:pPr>
                          <w:pStyle w:val="TableParagraph"/>
                          <w:ind w:left="19"/>
                          <w:rPr>
                            <w:sz w:val="11"/>
                          </w:rPr>
                        </w:pPr>
                        <w:r>
                          <w:rPr>
                            <w:color w:val="231F20"/>
                            <w:w w:val="105"/>
                            <w:sz w:val="11"/>
                          </w:rPr>
                          <w:t>Ensure legal framework is in place for compliance with International Health Regulation (IHR)</w:t>
                        </w:r>
                      </w:p>
                    </w:tc>
                    <w:tc>
                      <w:tcPr>
                        <w:tcW w:w="1415" w:type="dxa"/>
                        <w:tcBorders>
                          <w:top w:val="single" w:sz="6" w:space="0" w:color="231F20"/>
                          <w:left w:val="single" w:sz="6" w:space="0" w:color="231F20"/>
                          <w:bottom w:val="single" w:sz="6" w:space="0" w:color="231F20"/>
                          <w:right w:val="single" w:sz="6" w:space="0" w:color="231F20"/>
                        </w:tcBorders>
                      </w:tcPr>
                      <w:p w14:paraId="11837655" w14:textId="77777777" w:rsidR="00080B77" w:rsidRDefault="00080B77">
                        <w:pPr>
                          <w:pStyle w:val="TableParagraph"/>
                          <w:spacing w:before="4"/>
                          <w:rPr>
                            <w:sz w:val="17"/>
                          </w:rPr>
                        </w:pPr>
                      </w:p>
                      <w:p w14:paraId="7B5F48A8"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11735490" w14:textId="77777777" w:rsidR="00080B77" w:rsidRDefault="00080B77">
                        <w:pPr>
                          <w:pStyle w:val="TableParagraph"/>
                          <w:spacing w:before="4"/>
                          <w:rPr>
                            <w:sz w:val="17"/>
                          </w:rPr>
                        </w:pPr>
                      </w:p>
                      <w:p w14:paraId="107FD1C9" w14:textId="77777777" w:rsidR="00080B77" w:rsidRDefault="00080B77">
                        <w:pPr>
                          <w:pStyle w:val="TableParagraph"/>
                          <w:ind w:left="16"/>
                          <w:rPr>
                            <w:sz w:val="11"/>
                          </w:rPr>
                        </w:pPr>
                        <w:r>
                          <w:rPr>
                            <w:color w:val="231F20"/>
                            <w:w w:val="105"/>
                            <w:sz w:val="11"/>
                          </w:rPr>
                          <w:t>Costed in 14.1.1a</w:t>
                        </w:r>
                      </w:p>
                    </w:tc>
                  </w:tr>
                  <w:tr w:rsidR="00080B77" w14:paraId="4C271BFA" w14:textId="77777777">
                    <w:trPr>
                      <w:trHeight w:val="451"/>
                    </w:trPr>
                    <w:tc>
                      <w:tcPr>
                        <w:tcW w:w="1032" w:type="dxa"/>
                        <w:gridSpan w:val="3"/>
                        <w:vMerge/>
                        <w:tcBorders>
                          <w:top w:val="nil"/>
                          <w:left w:val="single" w:sz="6" w:space="0" w:color="231F20"/>
                          <w:bottom w:val="nil"/>
                          <w:right w:val="single" w:sz="6" w:space="0" w:color="231F20"/>
                        </w:tcBorders>
                      </w:tcPr>
                      <w:p w14:paraId="1756C7BB"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773916C4" w14:textId="77777777" w:rsidR="00080B77" w:rsidRDefault="00080B77">
                        <w:pPr>
                          <w:pStyle w:val="TableParagraph"/>
                          <w:spacing w:before="4"/>
                          <w:rPr>
                            <w:sz w:val="14"/>
                          </w:rPr>
                        </w:pPr>
                      </w:p>
                      <w:p w14:paraId="642B4221" w14:textId="77777777" w:rsidR="00080B77" w:rsidRDefault="00080B77">
                        <w:pPr>
                          <w:pStyle w:val="TableParagraph"/>
                          <w:ind w:left="29" w:right="19"/>
                          <w:jc w:val="center"/>
                          <w:rPr>
                            <w:sz w:val="11"/>
                          </w:rPr>
                        </w:pPr>
                        <w:r>
                          <w:rPr>
                            <w:color w:val="231F20"/>
                            <w:w w:val="105"/>
                            <w:sz w:val="11"/>
                          </w:rPr>
                          <w:t>14.1.1.d</w:t>
                        </w:r>
                      </w:p>
                    </w:tc>
                    <w:tc>
                      <w:tcPr>
                        <w:tcW w:w="4852" w:type="dxa"/>
                        <w:gridSpan w:val="2"/>
                        <w:tcBorders>
                          <w:top w:val="single" w:sz="6" w:space="0" w:color="231F20"/>
                          <w:left w:val="single" w:sz="6" w:space="0" w:color="231F20"/>
                          <w:bottom w:val="single" w:sz="6" w:space="0" w:color="231F20"/>
                          <w:right w:val="single" w:sz="6" w:space="0" w:color="231F20"/>
                        </w:tcBorders>
                      </w:tcPr>
                      <w:p w14:paraId="6A94DF9A" w14:textId="77777777" w:rsidR="00080B77" w:rsidRDefault="00080B77">
                        <w:pPr>
                          <w:pStyle w:val="TableParagraph"/>
                          <w:spacing w:before="16" w:line="273" w:lineRule="auto"/>
                          <w:ind w:left="19" w:right="93"/>
                          <w:rPr>
                            <w:sz w:val="11"/>
                          </w:rPr>
                        </w:pPr>
                        <w:r>
                          <w:rPr>
                            <w:color w:val="231F20"/>
                            <w:w w:val="105"/>
                            <w:sz w:val="11"/>
                          </w:rPr>
                          <w:t>Update IDSR epidemic management protocol and Standard Operating Procedures (SOPs) and make available to health personnel at all levels.</w:t>
                        </w:r>
                      </w:p>
                    </w:tc>
                    <w:tc>
                      <w:tcPr>
                        <w:tcW w:w="1415" w:type="dxa"/>
                        <w:tcBorders>
                          <w:top w:val="single" w:sz="6" w:space="0" w:color="231F20"/>
                          <w:left w:val="single" w:sz="6" w:space="0" w:color="231F20"/>
                          <w:bottom w:val="single" w:sz="6" w:space="0" w:color="231F20"/>
                          <w:right w:val="single" w:sz="6" w:space="0" w:color="231F20"/>
                        </w:tcBorders>
                      </w:tcPr>
                      <w:p w14:paraId="6C52FB32" w14:textId="77777777" w:rsidR="00080B77" w:rsidRDefault="00080B77">
                        <w:pPr>
                          <w:pStyle w:val="TableParagraph"/>
                          <w:spacing w:before="4"/>
                          <w:rPr>
                            <w:sz w:val="14"/>
                          </w:rPr>
                        </w:pPr>
                      </w:p>
                      <w:p w14:paraId="467BAEB7"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11EA7E92" w14:textId="77777777" w:rsidR="00080B77" w:rsidRDefault="00080B77">
                        <w:pPr>
                          <w:pStyle w:val="TableParagraph"/>
                          <w:spacing w:before="4"/>
                          <w:rPr>
                            <w:sz w:val="14"/>
                          </w:rPr>
                        </w:pPr>
                      </w:p>
                      <w:p w14:paraId="6C066394" w14:textId="77777777" w:rsidR="00080B77" w:rsidRDefault="00080B77">
                        <w:pPr>
                          <w:pStyle w:val="TableParagraph"/>
                          <w:ind w:left="16"/>
                          <w:rPr>
                            <w:sz w:val="11"/>
                          </w:rPr>
                        </w:pPr>
                        <w:r>
                          <w:rPr>
                            <w:color w:val="231F20"/>
                            <w:w w:val="105"/>
                            <w:sz w:val="11"/>
                          </w:rPr>
                          <w:t>Costed in 14.1.1d</w:t>
                        </w:r>
                      </w:p>
                    </w:tc>
                  </w:tr>
                  <w:tr w:rsidR="00080B77" w14:paraId="553354D6" w14:textId="77777777">
                    <w:trPr>
                      <w:trHeight w:val="337"/>
                    </w:trPr>
                    <w:tc>
                      <w:tcPr>
                        <w:tcW w:w="1032" w:type="dxa"/>
                        <w:gridSpan w:val="3"/>
                        <w:vMerge/>
                        <w:tcBorders>
                          <w:top w:val="nil"/>
                          <w:left w:val="single" w:sz="6" w:space="0" w:color="231F20"/>
                          <w:bottom w:val="nil"/>
                          <w:right w:val="single" w:sz="6" w:space="0" w:color="231F20"/>
                        </w:tcBorders>
                      </w:tcPr>
                      <w:p w14:paraId="13691F5D"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42E4E895" w14:textId="77777777" w:rsidR="00080B77" w:rsidRDefault="00080B77">
                        <w:pPr>
                          <w:pStyle w:val="TableParagraph"/>
                          <w:spacing w:before="107"/>
                          <w:ind w:left="29" w:right="19"/>
                          <w:jc w:val="center"/>
                          <w:rPr>
                            <w:sz w:val="11"/>
                          </w:rPr>
                        </w:pPr>
                        <w:r>
                          <w:rPr>
                            <w:color w:val="231F20"/>
                            <w:w w:val="105"/>
                            <w:sz w:val="11"/>
                          </w:rPr>
                          <w:t>14.1.1.e</w:t>
                        </w:r>
                      </w:p>
                    </w:tc>
                    <w:tc>
                      <w:tcPr>
                        <w:tcW w:w="4852" w:type="dxa"/>
                        <w:gridSpan w:val="2"/>
                        <w:tcBorders>
                          <w:top w:val="single" w:sz="6" w:space="0" w:color="231F20"/>
                          <w:left w:val="single" w:sz="6" w:space="0" w:color="231F20"/>
                          <w:bottom w:val="single" w:sz="6" w:space="0" w:color="231F20"/>
                          <w:right w:val="single" w:sz="6" w:space="0" w:color="231F20"/>
                        </w:tcBorders>
                      </w:tcPr>
                      <w:p w14:paraId="62BB8600" w14:textId="77777777" w:rsidR="00080B77" w:rsidRDefault="00080B77">
                        <w:pPr>
                          <w:pStyle w:val="TableParagraph"/>
                          <w:spacing w:before="18" w:line="140" w:lineRule="atLeast"/>
                          <w:ind w:left="19" w:right="157"/>
                          <w:rPr>
                            <w:sz w:val="11"/>
                          </w:rPr>
                        </w:pPr>
                        <w:r>
                          <w:rPr>
                            <w:color w:val="231F20"/>
                            <w:w w:val="105"/>
                            <w:sz w:val="11"/>
                          </w:rPr>
                          <w:t>Review laws and policies for outbreak and surveillance activities as it related to isolation and quarantine</w:t>
                        </w:r>
                      </w:p>
                    </w:tc>
                    <w:tc>
                      <w:tcPr>
                        <w:tcW w:w="1415" w:type="dxa"/>
                        <w:tcBorders>
                          <w:top w:val="single" w:sz="6" w:space="0" w:color="231F20"/>
                          <w:left w:val="single" w:sz="6" w:space="0" w:color="231F20"/>
                          <w:bottom w:val="single" w:sz="6" w:space="0" w:color="231F20"/>
                          <w:right w:val="single" w:sz="6" w:space="0" w:color="231F20"/>
                        </w:tcBorders>
                      </w:tcPr>
                      <w:p w14:paraId="4F10A117" w14:textId="77777777" w:rsidR="00080B77" w:rsidRDefault="00080B77">
                        <w:pPr>
                          <w:pStyle w:val="TableParagraph"/>
                          <w:spacing w:before="107"/>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4C00C932" w14:textId="77777777" w:rsidR="00080B77" w:rsidRDefault="00080B77">
                        <w:pPr>
                          <w:pStyle w:val="TableParagraph"/>
                          <w:spacing w:before="107"/>
                          <w:ind w:left="16"/>
                          <w:rPr>
                            <w:sz w:val="11"/>
                          </w:rPr>
                        </w:pPr>
                        <w:r>
                          <w:rPr>
                            <w:color w:val="231F20"/>
                            <w:w w:val="105"/>
                            <w:sz w:val="11"/>
                          </w:rPr>
                          <w:t>Costed in 14.1.1d</w:t>
                        </w:r>
                      </w:p>
                    </w:tc>
                  </w:tr>
                  <w:tr w:rsidR="00080B77" w14:paraId="571C625F" w14:textId="77777777">
                    <w:trPr>
                      <w:trHeight w:val="945"/>
                    </w:trPr>
                    <w:tc>
                      <w:tcPr>
                        <w:tcW w:w="581" w:type="dxa"/>
                        <w:gridSpan w:val="2"/>
                        <w:tcBorders>
                          <w:top w:val="nil"/>
                          <w:left w:val="single" w:sz="6" w:space="0" w:color="231F20"/>
                          <w:bottom w:val="nil"/>
                          <w:right w:val="single" w:sz="6" w:space="0" w:color="231F20"/>
                        </w:tcBorders>
                      </w:tcPr>
                      <w:p w14:paraId="2D4A6F22" w14:textId="77777777" w:rsidR="00080B77" w:rsidRDefault="00080B77">
                        <w:pPr>
                          <w:pStyle w:val="TableParagraph"/>
                          <w:rPr>
                            <w:rFonts w:ascii="Times New Roman"/>
                            <w:sz w:val="10"/>
                          </w:rPr>
                        </w:pPr>
                      </w:p>
                    </w:tc>
                    <w:tc>
                      <w:tcPr>
                        <w:tcW w:w="451" w:type="dxa"/>
                        <w:tcBorders>
                          <w:top w:val="single" w:sz="6" w:space="0" w:color="231F20"/>
                          <w:left w:val="single" w:sz="6" w:space="0" w:color="231F20"/>
                          <w:bottom w:val="single" w:sz="6" w:space="0" w:color="231F20"/>
                          <w:right w:val="single" w:sz="6" w:space="0" w:color="231F20"/>
                        </w:tcBorders>
                        <w:shd w:val="clear" w:color="auto" w:fill="CCE7D3"/>
                      </w:tcPr>
                      <w:p w14:paraId="1B963994" w14:textId="77777777" w:rsidR="00080B77" w:rsidRDefault="00080B77">
                        <w:pPr>
                          <w:pStyle w:val="TableParagraph"/>
                          <w:rPr>
                            <w:sz w:val="12"/>
                          </w:rPr>
                        </w:pPr>
                      </w:p>
                      <w:p w14:paraId="6D2BAE84" w14:textId="77777777" w:rsidR="00080B77" w:rsidRDefault="00080B77">
                        <w:pPr>
                          <w:pStyle w:val="TableParagraph"/>
                          <w:rPr>
                            <w:sz w:val="12"/>
                          </w:rPr>
                        </w:pPr>
                      </w:p>
                      <w:p w14:paraId="3FD2F04B" w14:textId="77777777" w:rsidR="00080B77" w:rsidRDefault="00080B77">
                        <w:pPr>
                          <w:pStyle w:val="TableParagraph"/>
                          <w:spacing w:before="9"/>
                          <w:rPr>
                            <w:sz w:val="11"/>
                          </w:rPr>
                        </w:pPr>
                      </w:p>
                      <w:p w14:paraId="1A594E48" w14:textId="77777777" w:rsidR="00080B77" w:rsidRDefault="00080B77">
                        <w:pPr>
                          <w:pStyle w:val="TableParagraph"/>
                          <w:ind w:left="53"/>
                          <w:rPr>
                            <w:sz w:val="11"/>
                          </w:rPr>
                        </w:pPr>
                        <w:r>
                          <w:rPr>
                            <w:color w:val="231F20"/>
                            <w:w w:val="105"/>
                            <w:sz w:val="11"/>
                          </w:rPr>
                          <w:t>14.1.2</w:t>
                        </w:r>
                      </w:p>
                    </w:tc>
                    <w:tc>
                      <w:tcPr>
                        <w:tcW w:w="3011" w:type="dxa"/>
                        <w:gridSpan w:val="2"/>
                        <w:tcBorders>
                          <w:top w:val="single" w:sz="6" w:space="0" w:color="231F20"/>
                          <w:left w:val="single" w:sz="6" w:space="0" w:color="231F20"/>
                          <w:bottom w:val="single" w:sz="6" w:space="0" w:color="231F20"/>
                          <w:right w:val="single" w:sz="6" w:space="0" w:color="231F20"/>
                        </w:tcBorders>
                        <w:shd w:val="clear" w:color="auto" w:fill="CCE7D3"/>
                      </w:tcPr>
                      <w:p w14:paraId="6F1CDC3F" w14:textId="77777777" w:rsidR="00080B77" w:rsidRDefault="00080B77">
                        <w:pPr>
                          <w:pStyle w:val="TableParagraph"/>
                          <w:rPr>
                            <w:sz w:val="12"/>
                          </w:rPr>
                        </w:pPr>
                      </w:p>
                      <w:p w14:paraId="413A50A7" w14:textId="77777777" w:rsidR="00080B77" w:rsidRDefault="00080B77">
                        <w:pPr>
                          <w:pStyle w:val="TableParagraph"/>
                          <w:spacing w:before="10"/>
                          <w:rPr>
                            <w:sz w:val="10"/>
                          </w:rPr>
                        </w:pPr>
                      </w:p>
                      <w:p w14:paraId="7534E291" w14:textId="77777777" w:rsidR="00080B77" w:rsidRDefault="00080B77">
                        <w:pPr>
                          <w:pStyle w:val="TableParagraph"/>
                          <w:spacing w:line="273" w:lineRule="auto"/>
                          <w:ind w:left="20" w:right="48" w:firstLine="32"/>
                          <w:rPr>
                            <w:sz w:val="11"/>
                          </w:rPr>
                        </w:pPr>
                        <w:r>
                          <w:rPr>
                            <w:color w:val="231F20"/>
                            <w:w w:val="105"/>
                            <w:sz w:val="11"/>
                          </w:rPr>
                          <w:t>Promote an integrated national disease surveillance system in line with International Health Regulation (IHR) and IDSR</w:t>
                        </w:r>
                      </w:p>
                    </w:tc>
                    <w:tc>
                      <w:tcPr>
                        <w:tcW w:w="2363" w:type="dxa"/>
                        <w:tcBorders>
                          <w:top w:val="single" w:sz="6" w:space="0" w:color="231F20"/>
                          <w:left w:val="single" w:sz="6" w:space="0" w:color="231F20"/>
                          <w:bottom w:val="single" w:sz="6" w:space="0" w:color="231F20"/>
                          <w:right w:val="single" w:sz="6" w:space="0" w:color="231F20"/>
                        </w:tcBorders>
                        <w:shd w:val="clear" w:color="auto" w:fill="CCE7D3"/>
                      </w:tcPr>
                      <w:p w14:paraId="08E4D4F5" w14:textId="77777777" w:rsidR="00080B77" w:rsidRDefault="00080B77">
                        <w:pPr>
                          <w:pStyle w:val="TableParagraph"/>
                          <w:numPr>
                            <w:ilvl w:val="0"/>
                            <w:numId w:val="24"/>
                          </w:numPr>
                          <w:tabs>
                            <w:tab w:val="left" w:pos="93"/>
                          </w:tabs>
                          <w:spacing w:before="3" w:line="273" w:lineRule="auto"/>
                          <w:ind w:right="91" w:firstLine="0"/>
                          <w:rPr>
                            <w:sz w:val="11"/>
                          </w:rPr>
                        </w:pPr>
                        <w:r>
                          <w:rPr>
                            <w:color w:val="231F20"/>
                            <w:w w:val="105"/>
                            <w:sz w:val="11"/>
                          </w:rPr>
                          <w:t xml:space="preserve">Epidemiology unit of the SMOH strengthened to review all existing IHR </w:t>
                        </w:r>
                        <w:r>
                          <w:rPr>
                            <w:color w:val="231F20"/>
                            <w:spacing w:val="-6"/>
                            <w:w w:val="105"/>
                            <w:sz w:val="11"/>
                          </w:rPr>
                          <w:t xml:space="preserve">and </w:t>
                        </w:r>
                        <w:r>
                          <w:rPr>
                            <w:color w:val="231F20"/>
                            <w:w w:val="105"/>
                            <w:sz w:val="11"/>
                          </w:rPr>
                          <w:t>IDSR</w:t>
                        </w:r>
                      </w:p>
                      <w:p w14:paraId="4DCA6D48" w14:textId="77777777" w:rsidR="00080B77" w:rsidRDefault="00080B77">
                        <w:pPr>
                          <w:pStyle w:val="TableParagraph"/>
                          <w:numPr>
                            <w:ilvl w:val="0"/>
                            <w:numId w:val="24"/>
                          </w:numPr>
                          <w:tabs>
                            <w:tab w:val="left" w:pos="93"/>
                          </w:tabs>
                          <w:spacing w:line="92" w:lineRule="exact"/>
                          <w:ind w:left="92" w:hanging="75"/>
                          <w:rPr>
                            <w:sz w:val="11"/>
                          </w:rPr>
                        </w:pPr>
                        <w:r>
                          <w:rPr>
                            <w:color w:val="231F20"/>
                            <w:w w:val="105"/>
                            <w:sz w:val="11"/>
                          </w:rPr>
                          <w:t>Provision of infrastructural support, ICT</w:t>
                        </w:r>
                        <w:r>
                          <w:rPr>
                            <w:color w:val="231F20"/>
                            <w:spacing w:val="29"/>
                            <w:w w:val="105"/>
                            <w:sz w:val="11"/>
                          </w:rPr>
                          <w:t xml:space="preserve"> </w:t>
                        </w:r>
                        <w:r>
                          <w:rPr>
                            <w:color w:val="231F20"/>
                            <w:w w:val="105"/>
                            <w:sz w:val="11"/>
                          </w:rPr>
                          <w:t>for</w:t>
                        </w:r>
                      </w:p>
                      <w:p w14:paraId="69CF386C" w14:textId="77777777" w:rsidR="00080B77" w:rsidRDefault="00080B77">
                        <w:pPr>
                          <w:pStyle w:val="TableParagraph"/>
                          <w:spacing w:before="18" w:line="273" w:lineRule="auto"/>
                          <w:ind w:left="18"/>
                          <w:rPr>
                            <w:sz w:val="11"/>
                          </w:rPr>
                        </w:pPr>
                        <w:r>
                          <w:rPr>
                            <w:color w:val="231F20"/>
                            <w:w w:val="105"/>
                            <w:sz w:val="11"/>
                          </w:rPr>
                          <w:t>health databases &amp; IDSR data tools at all health service delivery points done</w:t>
                        </w:r>
                      </w:p>
                      <w:p w14:paraId="4DB47C32" w14:textId="77777777" w:rsidR="00080B77" w:rsidRDefault="00080B77">
                        <w:pPr>
                          <w:pStyle w:val="TableParagraph"/>
                          <w:numPr>
                            <w:ilvl w:val="0"/>
                            <w:numId w:val="24"/>
                          </w:numPr>
                          <w:tabs>
                            <w:tab w:val="left" w:pos="93"/>
                          </w:tabs>
                          <w:spacing w:line="91" w:lineRule="exact"/>
                          <w:ind w:left="92" w:hanging="75"/>
                          <w:rPr>
                            <w:sz w:val="11"/>
                          </w:rPr>
                        </w:pPr>
                        <w:r>
                          <w:rPr>
                            <w:color w:val="231F20"/>
                            <w:w w:val="105"/>
                            <w:sz w:val="11"/>
                          </w:rPr>
                          <w:t>Sentinel surveillance sites</w:t>
                        </w:r>
                        <w:r>
                          <w:rPr>
                            <w:color w:val="231F20"/>
                            <w:spacing w:val="10"/>
                            <w:w w:val="105"/>
                            <w:sz w:val="11"/>
                          </w:rPr>
                          <w:t xml:space="preserve"> </w:t>
                        </w:r>
                        <w:r>
                          <w:rPr>
                            <w:color w:val="231F20"/>
                            <w:w w:val="105"/>
                            <w:sz w:val="11"/>
                          </w:rPr>
                          <w:t>established</w:t>
                        </w:r>
                      </w:p>
                    </w:tc>
                    <w:tc>
                      <w:tcPr>
                        <w:tcW w:w="1415" w:type="dxa"/>
                        <w:tcBorders>
                          <w:top w:val="single" w:sz="6" w:space="0" w:color="231F20"/>
                          <w:left w:val="single" w:sz="6" w:space="0" w:color="231F20"/>
                          <w:bottom w:val="single" w:sz="6" w:space="0" w:color="231F20"/>
                          <w:right w:val="single" w:sz="6" w:space="0" w:color="231F20"/>
                        </w:tcBorders>
                        <w:shd w:val="clear" w:color="auto" w:fill="CCE7D3"/>
                      </w:tcPr>
                      <w:p w14:paraId="200D78C3" w14:textId="77777777" w:rsidR="00080B77" w:rsidRDefault="00080B77">
                        <w:pPr>
                          <w:pStyle w:val="TableParagraph"/>
                          <w:rPr>
                            <w:rFonts w:ascii="Times New Roman"/>
                            <w:sz w:val="10"/>
                          </w:rPr>
                        </w:pPr>
                      </w:p>
                    </w:tc>
                    <w:tc>
                      <w:tcPr>
                        <w:tcW w:w="1493" w:type="dxa"/>
                        <w:tcBorders>
                          <w:top w:val="single" w:sz="6" w:space="0" w:color="231F20"/>
                          <w:left w:val="single" w:sz="6" w:space="0" w:color="231F20"/>
                          <w:bottom w:val="single" w:sz="6" w:space="0" w:color="231F20"/>
                          <w:right w:val="single" w:sz="6" w:space="0" w:color="231F20"/>
                        </w:tcBorders>
                        <w:shd w:val="clear" w:color="auto" w:fill="CCE7D3"/>
                      </w:tcPr>
                      <w:p w14:paraId="3FDE8836" w14:textId="77777777" w:rsidR="00080B77" w:rsidRDefault="00080B77">
                        <w:pPr>
                          <w:pStyle w:val="TableParagraph"/>
                          <w:rPr>
                            <w:rFonts w:ascii="Times New Roman"/>
                            <w:sz w:val="10"/>
                          </w:rPr>
                        </w:pPr>
                      </w:p>
                    </w:tc>
                  </w:tr>
                  <w:tr w:rsidR="00080B77" w14:paraId="5F9A756F" w14:textId="77777777">
                    <w:trPr>
                      <w:trHeight w:val="493"/>
                    </w:trPr>
                    <w:tc>
                      <w:tcPr>
                        <w:tcW w:w="1032" w:type="dxa"/>
                        <w:gridSpan w:val="3"/>
                        <w:vMerge w:val="restart"/>
                        <w:tcBorders>
                          <w:top w:val="nil"/>
                          <w:left w:val="single" w:sz="6" w:space="0" w:color="231F20"/>
                          <w:bottom w:val="nil"/>
                          <w:right w:val="single" w:sz="6" w:space="0" w:color="231F20"/>
                        </w:tcBorders>
                      </w:tcPr>
                      <w:p w14:paraId="76F6BFC8" w14:textId="77777777" w:rsidR="00080B77" w:rsidRDefault="00080B77">
                        <w:pPr>
                          <w:pStyle w:val="TableParagraph"/>
                          <w:rPr>
                            <w:rFonts w:ascii="Times New Roman"/>
                            <w:sz w:val="10"/>
                          </w:rPr>
                        </w:pPr>
                      </w:p>
                    </w:tc>
                    <w:tc>
                      <w:tcPr>
                        <w:tcW w:w="522" w:type="dxa"/>
                        <w:tcBorders>
                          <w:top w:val="single" w:sz="6" w:space="0" w:color="231F20"/>
                          <w:left w:val="single" w:sz="6" w:space="0" w:color="231F20"/>
                          <w:bottom w:val="single" w:sz="6" w:space="0" w:color="231F20"/>
                          <w:right w:val="single" w:sz="6" w:space="0" w:color="231F20"/>
                        </w:tcBorders>
                      </w:tcPr>
                      <w:p w14:paraId="732863B9" w14:textId="77777777" w:rsidR="00080B77" w:rsidRDefault="00080B77">
                        <w:pPr>
                          <w:pStyle w:val="TableParagraph"/>
                          <w:spacing w:before="2"/>
                          <w:rPr>
                            <w:sz w:val="16"/>
                          </w:rPr>
                        </w:pPr>
                      </w:p>
                      <w:p w14:paraId="6F86AB03" w14:textId="77777777" w:rsidR="00080B77" w:rsidRDefault="00080B77">
                        <w:pPr>
                          <w:pStyle w:val="TableParagraph"/>
                          <w:ind w:left="29" w:right="19"/>
                          <w:jc w:val="center"/>
                          <w:rPr>
                            <w:sz w:val="11"/>
                          </w:rPr>
                        </w:pPr>
                        <w:r>
                          <w:rPr>
                            <w:color w:val="231F20"/>
                            <w:w w:val="105"/>
                            <w:sz w:val="11"/>
                          </w:rPr>
                          <w:t>14.1.2.a</w:t>
                        </w:r>
                      </w:p>
                    </w:tc>
                    <w:tc>
                      <w:tcPr>
                        <w:tcW w:w="4852" w:type="dxa"/>
                        <w:gridSpan w:val="2"/>
                        <w:tcBorders>
                          <w:top w:val="single" w:sz="6" w:space="0" w:color="231F20"/>
                          <w:left w:val="single" w:sz="6" w:space="0" w:color="231F20"/>
                          <w:bottom w:val="single" w:sz="6" w:space="0" w:color="231F20"/>
                          <w:right w:val="single" w:sz="6" w:space="0" w:color="231F20"/>
                        </w:tcBorders>
                      </w:tcPr>
                      <w:p w14:paraId="1C5B8735" w14:textId="77777777" w:rsidR="00080B77" w:rsidRDefault="00080B77">
                        <w:pPr>
                          <w:pStyle w:val="TableParagraph"/>
                          <w:spacing w:before="37" w:line="273" w:lineRule="auto"/>
                          <w:ind w:left="19"/>
                          <w:rPr>
                            <w:sz w:val="11"/>
                          </w:rPr>
                        </w:pPr>
                        <w:r>
                          <w:rPr>
                            <w:color w:val="231F20"/>
                            <w:w w:val="105"/>
                            <w:sz w:val="11"/>
                          </w:rPr>
                          <w:t>Strengthen the epidemiology unit of the SMOH to review all existing IHR and IDSR and domesticate to suite the circumstance of the state as well as integrate and harmonize all vertical surveillance systems into IDSR including digitization of the surveillance system</w:t>
                        </w:r>
                      </w:p>
                    </w:tc>
                    <w:tc>
                      <w:tcPr>
                        <w:tcW w:w="1415" w:type="dxa"/>
                        <w:tcBorders>
                          <w:top w:val="single" w:sz="6" w:space="0" w:color="231F20"/>
                          <w:left w:val="single" w:sz="6" w:space="0" w:color="231F20"/>
                          <w:bottom w:val="single" w:sz="6" w:space="0" w:color="231F20"/>
                          <w:right w:val="single" w:sz="6" w:space="0" w:color="231F20"/>
                        </w:tcBorders>
                      </w:tcPr>
                      <w:p w14:paraId="7E5EAC21" w14:textId="77777777" w:rsidR="00080B77" w:rsidRDefault="00080B77">
                        <w:pPr>
                          <w:pStyle w:val="TableParagraph"/>
                          <w:spacing w:before="2"/>
                          <w:rPr>
                            <w:sz w:val="16"/>
                          </w:rPr>
                        </w:pPr>
                      </w:p>
                      <w:p w14:paraId="10FE70D1"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0C3ABB19" w14:textId="77777777" w:rsidR="00080B77" w:rsidRDefault="00080B77">
                        <w:pPr>
                          <w:pStyle w:val="TableParagraph"/>
                          <w:spacing w:before="2"/>
                          <w:rPr>
                            <w:sz w:val="16"/>
                          </w:rPr>
                        </w:pPr>
                      </w:p>
                      <w:p w14:paraId="44287843" w14:textId="77777777" w:rsidR="00080B77" w:rsidRDefault="00080B77">
                        <w:pPr>
                          <w:pStyle w:val="TableParagraph"/>
                          <w:ind w:left="16"/>
                          <w:rPr>
                            <w:sz w:val="11"/>
                          </w:rPr>
                        </w:pPr>
                        <w:r>
                          <w:rPr>
                            <w:color w:val="231F20"/>
                            <w:w w:val="105"/>
                            <w:sz w:val="11"/>
                          </w:rPr>
                          <w:t>Costed in OHT</w:t>
                        </w:r>
                      </w:p>
                    </w:tc>
                  </w:tr>
                  <w:tr w:rsidR="00080B77" w14:paraId="6FF6A388" w14:textId="77777777">
                    <w:trPr>
                      <w:trHeight w:val="662"/>
                    </w:trPr>
                    <w:tc>
                      <w:tcPr>
                        <w:tcW w:w="1032" w:type="dxa"/>
                        <w:gridSpan w:val="3"/>
                        <w:vMerge/>
                        <w:tcBorders>
                          <w:top w:val="nil"/>
                          <w:left w:val="single" w:sz="6" w:space="0" w:color="231F20"/>
                          <w:bottom w:val="nil"/>
                          <w:right w:val="single" w:sz="6" w:space="0" w:color="231F20"/>
                        </w:tcBorders>
                      </w:tcPr>
                      <w:p w14:paraId="43980E06"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3B5EC8D5" w14:textId="77777777" w:rsidR="00080B77" w:rsidRDefault="00080B77">
                        <w:pPr>
                          <w:pStyle w:val="TableParagraph"/>
                          <w:rPr>
                            <w:sz w:val="12"/>
                          </w:rPr>
                        </w:pPr>
                      </w:p>
                      <w:p w14:paraId="3E4B6640" w14:textId="77777777" w:rsidR="00080B77" w:rsidRDefault="00080B77">
                        <w:pPr>
                          <w:pStyle w:val="TableParagraph"/>
                          <w:spacing w:before="5"/>
                          <w:rPr>
                            <w:sz w:val="11"/>
                          </w:rPr>
                        </w:pPr>
                      </w:p>
                      <w:p w14:paraId="6D9E7B0A" w14:textId="77777777" w:rsidR="00080B77" w:rsidRDefault="00080B77">
                        <w:pPr>
                          <w:pStyle w:val="TableParagraph"/>
                          <w:ind w:left="29" w:right="19"/>
                          <w:jc w:val="center"/>
                          <w:rPr>
                            <w:sz w:val="11"/>
                          </w:rPr>
                        </w:pPr>
                        <w:r>
                          <w:rPr>
                            <w:color w:val="231F20"/>
                            <w:w w:val="105"/>
                            <w:sz w:val="11"/>
                          </w:rPr>
                          <w:t>14.1.2.b</w:t>
                        </w:r>
                      </w:p>
                    </w:tc>
                    <w:tc>
                      <w:tcPr>
                        <w:tcW w:w="4852" w:type="dxa"/>
                        <w:gridSpan w:val="2"/>
                        <w:tcBorders>
                          <w:top w:val="single" w:sz="6" w:space="0" w:color="231F20"/>
                          <w:left w:val="single" w:sz="6" w:space="0" w:color="231F20"/>
                          <w:bottom w:val="single" w:sz="6" w:space="0" w:color="231F20"/>
                          <w:right w:val="single" w:sz="6" w:space="0" w:color="231F20"/>
                        </w:tcBorders>
                      </w:tcPr>
                      <w:p w14:paraId="73E32E02" w14:textId="77777777" w:rsidR="00080B77" w:rsidRDefault="00080B77">
                        <w:pPr>
                          <w:pStyle w:val="TableParagraph"/>
                          <w:spacing w:before="6"/>
                          <w:rPr>
                            <w:sz w:val="10"/>
                          </w:rPr>
                        </w:pPr>
                      </w:p>
                      <w:p w14:paraId="6D68FAD6" w14:textId="77777777" w:rsidR="00080B77" w:rsidRDefault="00080B77">
                        <w:pPr>
                          <w:pStyle w:val="TableParagraph"/>
                          <w:spacing w:line="273" w:lineRule="auto"/>
                          <w:ind w:left="19"/>
                          <w:rPr>
                            <w:sz w:val="11"/>
                          </w:rPr>
                        </w:pPr>
                        <w:r>
                          <w:rPr>
                            <w:color w:val="231F20"/>
                            <w:w w:val="105"/>
                            <w:sz w:val="11"/>
                          </w:rPr>
                          <w:t>Dissemination of health information at the state level as well as provision of functional communication gadgets to all levels of IDSR system, from community level for IDRS timely reporting and response</w:t>
                        </w:r>
                      </w:p>
                    </w:tc>
                    <w:tc>
                      <w:tcPr>
                        <w:tcW w:w="1415" w:type="dxa"/>
                        <w:tcBorders>
                          <w:top w:val="single" w:sz="6" w:space="0" w:color="231F20"/>
                          <w:left w:val="single" w:sz="6" w:space="0" w:color="231F20"/>
                          <w:bottom w:val="single" w:sz="6" w:space="0" w:color="231F20"/>
                          <w:right w:val="single" w:sz="6" w:space="0" w:color="231F20"/>
                        </w:tcBorders>
                      </w:tcPr>
                      <w:p w14:paraId="6F6BC42C" w14:textId="77777777" w:rsidR="00080B77" w:rsidRDefault="00080B77">
                        <w:pPr>
                          <w:pStyle w:val="TableParagraph"/>
                          <w:rPr>
                            <w:sz w:val="12"/>
                          </w:rPr>
                        </w:pPr>
                      </w:p>
                      <w:p w14:paraId="1451C37F" w14:textId="77777777" w:rsidR="00080B77" w:rsidRDefault="00080B77">
                        <w:pPr>
                          <w:pStyle w:val="TableParagraph"/>
                          <w:spacing w:before="5"/>
                          <w:rPr>
                            <w:sz w:val="11"/>
                          </w:rPr>
                        </w:pPr>
                      </w:p>
                      <w:p w14:paraId="1FC5AE30"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7DB8331D" w14:textId="77777777" w:rsidR="00080B77" w:rsidRDefault="00080B77">
                        <w:pPr>
                          <w:pStyle w:val="TableParagraph"/>
                          <w:rPr>
                            <w:sz w:val="12"/>
                          </w:rPr>
                        </w:pPr>
                      </w:p>
                      <w:p w14:paraId="1E8DCAE9" w14:textId="77777777" w:rsidR="00080B77" w:rsidRDefault="00080B77">
                        <w:pPr>
                          <w:pStyle w:val="TableParagraph"/>
                          <w:spacing w:before="5"/>
                          <w:rPr>
                            <w:sz w:val="11"/>
                          </w:rPr>
                        </w:pPr>
                      </w:p>
                      <w:p w14:paraId="40AE0B5C" w14:textId="77777777" w:rsidR="00080B77" w:rsidRDefault="00080B77">
                        <w:pPr>
                          <w:pStyle w:val="TableParagraph"/>
                          <w:ind w:left="16"/>
                          <w:rPr>
                            <w:sz w:val="11"/>
                          </w:rPr>
                        </w:pPr>
                        <w:r>
                          <w:rPr>
                            <w:color w:val="231F20"/>
                            <w:w w:val="105"/>
                            <w:sz w:val="11"/>
                          </w:rPr>
                          <w:t>No cost</w:t>
                        </w:r>
                      </w:p>
                    </w:tc>
                  </w:tr>
                  <w:tr w:rsidR="00080B77" w14:paraId="545F4038" w14:textId="77777777">
                    <w:trPr>
                      <w:trHeight w:val="557"/>
                    </w:trPr>
                    <w:tc>
                      <w:tcPr>
                        <w:tcW w:w="1032" w:type="dxa"/>
                        <w:gridSpan w:val="3"/>
                        <w:vMerge/>
                        <w:tcBorders>
                          <w:top w:val="nil"/>
                          <w:left w:val="single" w:sz="6" w:space="0" w:color="231F20"/>
                          <w:bottom w:val="nil"/>
                          <w:right w:val="single" w:sz="6" w:space="0" w:color="231F20"/>
                        </w:tcBorders>
                      </w:tcPr>
                      <w:p w14:paraId="63EC93D0"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05EF72B3" w14:textId="77777777" w:rsidR="00080B77" w:rsidRDefault="00080B77">
                        <w:pPr>
                          <w:pStyle w:val="TableParagraph"/>
                          <w:rPr>
                            <w:sz w:val="12"/>
                          </w:rPr>
                        </w:pPr>
                      </w:p>
                      <w:p w14:paraId="4E0FF23A" w14:textId="77777777" w:rsidR="00080B77" w:rsidRDefault="00080B77">
                        <w:pPr>
                          <w:pStyle w:val="TableParagraph"/>
                          <w:spacing w:before="79"/>
                          <w:ind w:left="29" w:right="18"/>
                          <w:jc w:val="center"/>
                          <w:rPr>
                            <w:sz w:val="11"/>
                          </w:rPr>
                        </w:pPr>
                        <w:r>
                          <w:rPr>
                            <w:color w:val="231F20"/>
                            <w:w w:val="105"/>
                            <w:sz w:val="11"/>
                          </w:rPr>
                          <w:t>14.1.2.c</w:t>
                        </w:r>
                      </w:p>
                    </w:tc>
                    <w:tc>
                      <w:tcPr>
                        <w:tcW w:w="4852" w:type="dxa"/>
                        <w:gridSpan w:val="2"/>
                        <w:tcBorders>
                          <w:top w:val="single" w:sz="6" w:space="0" w:color="231F20"/>
                          <w:left w:val="single" w:sz="6" w:space="0" w:color="231F20"/>
                          <w:bottom w:val="single" w:sz="6" w:space="0" w:color="231F20"/>
                          <w:right w:val="single" w:sz="6" w:space="0" w:color="231F20"/>
                        </w:tcBorders>
                      </w:tcPr>
                      <w:p w14:paraId="54CC738F" w14:textId="77777777" w:rsidR="00080B77" w:rsidRDefault="00080B77">
                        <w:pPr>
                          <w:pStyle w:val="TableParagraph"/>
                          <w:spacing w:before="3"/>
                          <w:rPr>
                            <w:sz w:val="12"/>
                          </w:rPr>
                        </w:pPr>
                      </w:p>
                      <w:p w14:paraId="427A22A5" w14:textId="339F69CB" w:rsidR="00080B77" w:rsidRDefault="00080B77">
                        <w:pPr>
                          <w:pStyle w:val="TableParagraph"/>
                          <w:spacing w:line="273" w:lineRule="auto"/>
                          <w:ind w:left="19"/>
                          <w:rPr>
                            <w:sz w:val="11"/>
                          </w:rPr>
                        </w:pPr>
                        <w:r>
                          <w:rPr>
                            <w:color w:val="231F20"/>
                            <w:w w:val="105"/>
                            <w:sz w:val="11"/>
                          </w:rPr>
                          <w:t>Establish sentinel surveillance sites for active surveillance and more robust analysis for targeted diseases of public health importance, e.g. VHF, cholera, measles, monkey pox</w:t>
                        </w:r>
                      </w:p>
                    </w:tc>
                    <w:tc>
                      <w:tcPr>
                        <w:tcW w:w="1415" w:type="dxa"/>
                        <w:tcBorders>
                          <w:top w:val="single" w:sz="6" w:space="0" w:color="231F20"/>
                          <w:left w:val="single" w:sz="6" w:space="0" w:color="231F20"/>
                          <w:bottom w:val="single" w:sz="6" w:space="0" w:color="231F20"/>
                          <w:right w:val="single" w:sz="6" w:space="0" w:color="231F20"/>
                        </w:tcBorders>
                      </w:tcPr>
                      <w:p w14:paraId="628FEAC8" w14:textId="77777777" w:rsidR="00080B77" w:rsidRDefault="00080B77">
                        <w:pPr>
                          <w:pStyle w:val="TableParagraph"/>
                          <w:rPr>
                            <w:sz w:val="12"/>
                          </w:rPr>
                        </w:pPr>
                      </w:p>
                      <w:p w14:paraId="462EE880" w14:textId="77777777" w:rsidR="00080B77" w:rsidRDefault="00080B77">
                        <w:pPr>
                          <w:pStyle w:val="TableParagraph"/>
                          <w:spacing w:before="79"/>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109A5B48" w14:textId="77777777" w:rsidR="00080B77" w:rsidRDefault="00080B77">
                        <w:pPr>
                          <w:pStyle w:val="TableParagraph"/>
                          <w:rPr>
                            <w:sz w:val="12"/>
                          </w:rPr>
                        </w:pPr>
                      </w:p>
                      <w:p w14:paraId="0CAC9866" w14:textId="77777777" w:rsidR="00080B77" w:rsidRDefault="00080B77">
                        <w:pPr>
                          <w:pStyle w:val="TableParagraph"/>
                          <w:spacing w:before="79"/>
                          <w:ind w:left="16"/>
                          <w:rPr>
                            <w:sz w:val="11"/>
                          </w:rPr>
                        </w:pPr>
                        <w:r>
                          <w:rPr>
                            <w:color w:val="231F20"/>
                            <w:w w:val="105"/>
                            <w:sz w:val="11"/>
                          </w:rPr>
                          <w:t>No cost</w:t>
                        </w:r>
                      </w:p>
                    </w:tc>
                  </w:tr>
                  <w:tr w:rsidR="00080B77" w14:paraId="05BEDF63" w14:textId="77777777">
                    <w:trPr>
                      <w:trHeight w:val="634"/>
                    </w:trPr>
                    <w:tc>
                      <w:tcPr>
                        <w:tcW w:w="1032" w:type="dxa"/>
                        <w:gridSpan w:val="3"/>
                        <w:vMerge/>
                        <w:tcBorders>
                          <w:top w:val="nil"/>
                          <w:left w:val="single" w:sz="6" w:space="0" w:color="231F20"/>
                          <w:bottom w:val="nil"/>
                          <w:right w:val="single" w:sz="6" w:space="0" w:color="231F20"/>
                        </w:tcBorders>
                      </w:tcPr>
                      <w:p w14:paraId="652F82E7"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6ABDBA99" w14:textId="77777777" w:rsidR="00080B77" w:rsidRDefault="00080B77">
                        <w:pPr>
                          <w:pStyle w:val="TableParagraph"/>
                          <w:rPr>
                            <w:sz w:val="12"/>
                          </w:rPr>
                        </w:pPr>
                      </w:p>
                      <w:p w14:paraId="0BAC61E4" w14:textId="77777777" w:rsidR="00080B77" w:rsidRDefault="00080B77">
                        <w:pPr>
                          <w:pStyle w:val="TableParagraph"/>
                          <w:spacing w:before="3"/>
                          <w:rPr>
                            <w:sz w:val="10"/>
                          </w:rPr>
                        </w:pPr>
                      </w:p>
                      <w:p w14:paraId="6F34274A" w14:textId="77777777" w:rsidR="00080B77" w:rsidRDefault="00080B77">
                        <w:pPr>
                          <w:pStyle w:val="TableParagraph"/>
                          <w:ind w:left="29" w:right="19"/>
                          <w:jc w:val="center"/>
                          <w:rPr>
                            <w:sz w:val="11"/>
                          </w:rPr>
                        </w:pPr>
                        <w:r>
                          <w:rPr>
                            <w:color w:val="231F20"/>
                            <w:w w:val="105"/>
                            <w:sz w:val="11"/>
                          </w:rPr>
                          <w:t>14.1.2.d</w:t>
                        </w:r>
                      </w:p>
                    </w:tc>
                    <w:tc>
                      <w:tcPr>
                        <w:tcW w:w="4852" w:type="dxa"/>
                        <w:gridSpan w:val="2"/>
                        <w:tcBorders>
                          <w:top w:val="single" w:sz="6" w:space="0" w:color="231F20"/>
                          <w:left w:val="single" w:sz="6" w:space="0" w:color="231F20"/>
                          <w:bottom w:val="single" w:sz="6" w:space="0" w:color="231F20"/>
                          <w:right w:val="single" w:sz="6" w:space="0" w:color="231F20"/>
                        </w:tcBorders>
                      </w:tcPr>
                      <w:p w14:paraId="3ED43C51" w14:textId="77777777" w:rsidR="00080B77" w:rsidRDefault="00080B77">
                        <w:pPr>
                          <w:pStyle w:val="TableParagraph"/>
                          <w:spacing w:before="107" w:line="273" w:lineRule="auto"/>
                          <w:ind w:left="19" w:right="93"/>
                          <w:rPr>
                            <w:sz w:val="11"/>
                          </w:rPr>
                        </w:pPr>
                        <w:r>
                          <w:rPr>
                            <w:color w:val="231F20"/>
                            <w:w w:val="105"/>
                            <w:sz w:val="11"/>
                          </w:rPr>
                          <w:t>Supervisory visits and distribution of IDSR data tools to strengthen data collection using IDSR tools at all levels of health care and ensure availability of IDSR tools at all health service delivery points at all levels</w:t>
                        </w:r>
                      </w:p>
                    </w:tc>
                    <w:tc>
                      <w:tcPr>
                        <w:tcW w:w="1415" w:type="dxa"/>
                        <w:tcBorders>
                          <w:top w:val="single" w:sz="6" w:space="0" w:color="231F20"/>
                          <w:left w:val="single" w:sz="6" w:space="0" w:color="231F20"/>
                          <w:bottom w:val="single" w:sz="6" w:space="0" w:color="231F20"/>
                          <w:right w:val="single" w:sz="6" w:space="0" w:color="231F20"/>
                        </w:tcBorders>
                      </w:tcPr>
                      <w:p w14:paraId="6F1AC1C5" w14:textId="77777777" w:rsidR="00080B77" w:rsidRDefault="00080B77">
                        <w:pPr>
                          <w:pStyle w:val="TableParagraph"/>
                          <w:rPr>
                            <w:sz w:val="12"/>
                          </w:rPr>
                        </w:pPr>
                      </w:p>
                      <w:p w14:paraId="7088944E" w14:textId="77777777" w:rsidR="00080B77" w:rsidRDefault="00080B77">
                        <w:pPr>
                          <w:pStyle w:val="TableParagraph"/>
                          <w:spacing w:before="3"/>
                          <w:rPr>
                            <w:sz w:val="10"/>
                          </w:rPr>
                        </w:pPr>
                      </w:p>
                      <w:p w14:paraId="42AE6A59"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3832B578" w14:textId="77777777" w:rsidR="00080B77" w:rsidRDefault="00080B77">
                        <w:pPr>
                          <w:pStyle w:val="TableParagraph"/>
                          <w:rPr>
                            <w:sz w:val="12"/>
                          </w:rPr>
                        </w:pPr>
                      </w:p>
                      <w:p w14:paraId="0C688DF8" w14:textId="77777777" w:rsidR="00080B77" w:rsidRDefault="00080B77">
                        <w:pPr>
                          <w:pStyle w:val="TableParagraph"/>
                          <w:spacing w:before="3"/>
                          <w:rPr>
                            <w:sz w:val="10"/>
                          </w:rPr>
                        </w:pPr>
                      </w:p>
                      <w:p w14:paraId="221B209D" w14:textId="77777777" w:rsidR="00080B77" w:rsidRDefault="00080B77">
                        <w:pPr>
                          <w:pStyle w:val="TableParagraph"/>
                          <w:ind w:left="16"/>
                          <w:rPr>
                            <w:sz w:val="11"/>
                          </w:rPr>
                        </w:pPr>
                        <w:r>
                          <w:rPr>
                            <w:color w:val="231F20"/>
                            <w:w w:val="105"/>
                            <w:sz w:val="11"/>
                          </w:rPr>
                          <w:t>Supervisory visits</w:t>
                        </w:r>
                      </w:p>
                    </w:tc>
                  </w:tr>
                  <w:tr w:rsidR="00080B77" w14:paraId="5B7A457F" w14:textId="77777777">
                    <w:trPr>
                      <w:trHeight w:val="507"/>
                    </w:trPr>
                    <w:tc>
                      <w:tcPr>
                        <w:tcW w:w="1032" w:type="dxa"/>
                        <w:gridSpan w:val="3"/>
                        <w:vMerge/>
                        <w:tcBorders>
                          <w:top w:val="nil"/>
                          <w:left w:val="single" w:sz="6" w:space="0" w:color="231F20"/>
                          <w:bottom w:val="nil"/>
                          <w:right w:val="single" w:sz="6" w:space="0" w:color="231F20"/>
                        </w:tcBorders>
                      </w:tcPr>
                      <w:p w14:paraId="068C7CDC"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569EB79F" w14:textId="77777777" w:rsidR="00080B77" w:rsidRDefault="00080B77">
                        <w:pPr>
                          <w:pStyle w:val="TableParagraph"/>
                          <w:spacing w:before="9"/>
                          <w:rPr>
                            <w:sz w:val="16"/>
                          </w:rPr>
                        </w:pPr>
                      </w:p>
                      <w:p w14:paraId="21F73557" w14:textId="77777777" w:rsidR="00080B77" w:rsidRDefault="00080B77">
                        <w:pPr>
                          <w:pStyle w:val="TableParagraph"/>
                          <w:ind w:left="29" w:right="19"/>
                          <w:jc w:val="center"/>
                          <w:rPr>
                            <w:sz w:val="11"/>
                          </w:rPr>
                        </w:pPr>
                        <w:r>
                          <w:rPr>
                            <w:color w:val="231F20"/>
                            <w:w w:val="105"/>
                            <w:sz w:val="11"/>
                          </w:rPr>
                          <w:t>14.1.2.e</w:t>
                        </w:r>
                      </w:p>
                    </w:tc>
                    <w:tc>
                      <w:tcPr>
                        <w:tcW w:w="4852" w:type="dxa"/>
                        <w:gridSpan w:val="2"/>
                        <w:tcBorders>
                          <w:top w:val="single" w:sz="6" w:space="0" w:color="231F20"/>
                          <w:left w:val="single" w:sz="6" w:space="0" w:color="231F20"/>
                          <w:bottom w:val="single" w:sz="6" w:space="0" w:color="231F20"/>
                          <w:right w:val="single" w:sz="6" w:space="0" w:color="231F20"/>
                        </w:tcBorders>
                      </w:tcPr>
                      <w:p w14:paraId="23C617A2" w14:textId="7207B95B" w:rsidR="00080B77" w:rsidRDefault="00080B77">
                        <w:pPr>
                          <w:pStyle w:val="TableParagraph"/>
                          <w:spacing w:before="44" w:line="273" w:lineRule="auto"/>
                          <w:ind w:left="19" w:right="166"/>
                          <w:jc w:val="both"/>
                          <w:rPr>
                            <w:sz w:val="11"/>
                          </w:rPr>
                        </w:pPr>
                        <w:r>
                          <w:rPr>
                            <w:color w:val="231F20"/>
                            <w:w w:val="105"/>
                            <w:sz w:val="11"/>
                          </w:rPr>
                          <w:t>Conduct sensitization workshops for clinicians and heads of health bodies and the private sector on IDSR to enlist their participation in IDSR implementation (case detection, timely and complete case reporting and appropriate management of cases)</w:t>
                        </w:r>
                      </w:p>
                    </w:tc>
                    <w:tc>
                      <w:tcPr>
                        <w:tcW w:w="1415" w:type="dxa"/>
                        <w:tcBorders>
                          <w:top w:val="single" w:sz="6" w:space="0" w:color="231F20"/>
                          <w:left w:val="single" w:sz="6" w:space="0" w:color="231F20"/>
                          <w:bottom w:val="single" w:sz="6" w:space="0" w:color="231F20"/>
                          <w:right w:val="single" w:sz="6" w:space="0" w:color="231F20"/>
                        </w:tcBorders>
                      </w:tcPr>
                      <w:p w14:paraId="01857134" w14:textId="77777777" w:rsidR="00080B77" w:rsidRDefault="00080B77">
                        <w:pPr>
                          <w:pStyle w:val="TableParagraph"/>
                          <w:spacing w:before="9"/>
                          <w:rPr>
                            <w:sz w:val="16"/>
                          </w:rPr>
                        </w:pPr>
                      </w:p>
                      <w:p w14:paraId="77549913"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03816F29" w14:textId="77777777" w:rsidR="00080B77" w:rsidRDefault="00080B77">
                        <w:pPr>
                          <w:pStyle w:val="TableParagraph"/>
                          <w:spacing w:before="9"/>
                          <w:rPr>
                            <w:sz w:val="16"/>
                          </w:rPr>
                        </w:pPr>
                      </w:p>
                      <w:p w14:paraId="17921D49" w14:textId="77777777" w:rsidR="00080B77" w:rsidRDefault="00080B77">
                        <w:pPr>
                          <w:pStyle w:val="TableParagraph"/>
                          <w:ind w:left="16"/>
                          <w:rPr>
                            <w:sz w:val="11"/>
                          </w:rPr>
                        </w:pPr>
                        <w:r>
                          <w:rPr>
                            <w:color w:val="231F20"/>
                            <w:w w:val="105"/>
                            <w:sz w:val="11"/>
                          </w:rPr>
                          <w:t>Conduct sensitization</w:t>
                        </w:r>
                      </w:p>
                    </w:tc>
                  </w:tr>
                  <w:tr w:rsidR="00080B77" w14:paraId="4CB41F47" w14:textId="77777777">
                    <w:trPr>
                      <w:trHeight w:val="1214"/>
                    </w:trPr>
                    <w:tc>
                      <w:tcPr>
                        <w:tcW w:w="581" w:type="dxa"/>
                        <w:gridSpan w:val="2"/>
                        <w:tcBorders>
                          <w:top w:val="nil"/>
                          <w:left w:val="single" w:sz="6" w:space="0" w:color="231F20"/>
                          <w:bottom w:val="nil"/>
                          <w:right w:val="single" w:sz="6" w:space="0" w:color="231F20"/>
                        </w:tcBorders>
                      </w:tcPr>
                      <w:p w14:paraId="7CC8FA04" w14:textId="77777777" w:rsidR="00080B77" w:rsidRDefault="00080B77">
                        <w:pPr>
                          <w:pStyle w:val="TableParagraph"/>
                          <w:rPr>
                            <w:rFonts w:ascii="Times New Roman"/>
                            <w:sz w:val="10"/>
                          </w:rPr>
                        </w:pPr>
                      </w:p>
                    </w:tc>
                    <w:tc>
                      <w:tcPr>
                        <w:tcW w:w="451" w:type="dxa"/>
                        <w:tcBorders>
                          <w:top w:val="single" w:sz="6" w:space="0" w:color="231F20"/>
                          <w:left w:val="single" w:sz="6" w:space="0" w:color="231F20"/>
                          <w:bottom w:val="single" w:sz="6" w:space="0" w:color="231F20"/>
                          <w:right w:val="single" w:sz="6" w:space="0" w:color="231F20"/>
                        </w:tcBorders>
                        <w:shd w:val="clear" w:color="auto" w:fill="CCE7D3"/>
                      </w:tcPr>
                      <w:p w14:paraId="452C6656" w14:textId="77777777" w:rsidR="00080B77" w:rsidRDefault="00080B77">
                        <w:pPr>
                          <w:pStyle w:val="TableParagraph"/>
                          <w:rPr>
                            <w:sz w:val="12"/>
                          </w:rPr>
                        </w:pPr>
                      </w:p>
                      <w:p w14:paraId="535EC6E2" w14:textId="77777777" w:rsidR="00080B77" w:rsidRDefault="00080B77">
                        <w:pPr>
                          <w:pStyle w:val="TableParagraph"/>
                          <w:rPr>
                            <w:sz w:val="12"/>
                          </w:rPr>
                        </w:pPr>
                      </w:p>
                      <w:p w14:paraId="7600BD8A" w14:textId="77777777" w:rsidR="00080B77" w:rsidRDefault="00080B77">
                        <w:pPr>
                          <w:pStyle w:val="TableParagraph"/>
                          <w:rPr>
                            <w:sz w:val="12"/>
                          </w:rPr>
                        </w:pPr>
                      </w:p>
                      <w:p w14:paraId="1574577D" w14:textId="77777777" w:rsidR="00080B77" w:rsidRDefault="00080B77">
                        <w:pPr>
                          <w:pStyle w:val="TableParagraph"/>
                          <w:spacing w:before="5"/>
                          <w:rPr>
                            <w:sz w:val="11"/>
                          </w:rPr>
                        </w:pPr>
                      </w:p>
                      <w:p w14:paraId="2B4D0FBB" w14:textId="77777777" w:rsidR="00080B77" w:rsidRDefault="00080B77">
                        <w:pPr>
                          <w:pStyle w:val="TableParagraph"/>
                          <w:ind w:left="53"/>
                          <w:rPr>
                            <w:sz w:val="11"/>
                          </w:rPr>
                        </w:pPr>
                        <w:r>
                          <w:rPr>
                            <w:color w:val="231F20"/>
                            <w:w w:val="105"/>
                            <w:sz w:val="11"/>
                          </w:rPr>
                          <w:t>14.1.3</w:t>
                        </w:r>
                      </w:p>
                    </w:tc>
                    <w:tc>
                      <w:tcPr>
                        <w:tcW w:w="3011" w:type="dxa"/>
                        <w:gridSpan w:val="2"/>
                        <w:tcBorders>
                          <w:top w:val="single" w:sz="6" w:space="0" w:color="231F20"/>
                          <w:left w:val="single" w:sz="6" w:space="0" w:color="231F20"/>
                          <w:bottom w:val="single" w:sz="6" w:space="0" w:color="231F20"/>
                          <w:right w:val="single" w:sz="6" w:space="0" w:color="231F20"/>
                        </w:tcBorders>
                        <w:shd w:val="clear" w:color="auto" w:fill="CCE7D3"/>
                      </w:tcPr>
                      <w:p w14:paraId="4661510D" w14:textId="77777777" w:rsidR="00080B77" w:rsidRDefault="00080B77">
                        <w:pPr>
                          <w:pStyle w:val="TableParagraph"/>
                          <w:rPr>
                            <w:sz w:val="12"/>
                          </w:rPr>
                        </w:pPr>
                      </w:p>
                      <w:p w14:paraId="1E6F2A94" w14:textId="77777777" w:rsidR="00080B77" w:rsidRDefault="00080B77">
                        <w:pPr>
                          <w:pStyle w:val="TableParagraph"/>
                          <w:rPr>
                            <w:sz w:val="12"/>
                          </w:rPr>
                        </w:pPr>
                      </w:p>
                      <w:p w14:paraId="29C134DA" w14:textId="77777777" w:rsidR="00080B77" w:rsidRDefault="00080B77">
                        <w:pPr>
                          <w:pStyle w:val="TableParagraph"/>
                          <w:spacing w:before="10"/>
                          <w:rPr>
                            <w:sz w:val="16"/>
                          </w:rPr>
                        </w:pPr>
                      </w:p>
                      <w:p w14:paraId="741554CD" w14:textId="77777777" w:rsidR="00080B77" w:rsidRDefault="00080B77">
                        <w:pPr>
                          <w:pStyle w:val="TableParagraph"/>
                          <w:spacing w:line="273" w:lineRule="auto"/>
                          <w:ind w:left="20" w:right="48" w:firstLine="32"/>
                          <w:rPr>
                            <w:sz w:val="11"/>
                          </w:rPr>
                        </w:pPr>
                        <w:r>
                          <w:rPr>
                            <w:color w:val="231F20"/>
                            <w:w w:val="105"/>
                            <w:sz w:val="11"/>
                          </w:rPr>
                          <w:t>Expand/strengthen a network of public health laboratories in Nigeria</w:t>
                        </w:r>
                      </w:p>
                    </w:tc>
                    <w:tc>
                      <w:tcPr>
                        <w:tcW w:w="2363" w:type="dxa"/>
                        <w:tcBorders>
                          <w:top w:val="single" w:sz="6" w:space="0" w:color="231F20"/>
                          <w:left w:val="single" w:sz="6" w:space="0" w:color="231F20"/>
                          <w:bottom w:val="single" w:sz="6" w:space="0" w:color="231F20"/>
                          <w:right w:val="single" w:sz="6" w:space="0" w:color="231F20"/>
                        </w:tcBorders>
                        <w:shd w:val="clear" w:color="auto" w:fill="CCE7D3"/>
                      </w:tcPr>
                      <w:p w14:paraId="716332DB" w14:textId="77777777" w:rsidR="00080B77" w:rsidRDefault="00080B77">
                        <w:pPr>
                          <w:pStyle w:val="TableParagraph"/>
                          <w:numPr>
                            <w:ilvl w:val="0"/>
                            <w:numId w:val="23"/>
                          </w:numPr>
                          <w:tabs>
                            <w:tab w:val="left" w:pos="93"/>
                          </w:tabs>
                          <w:spacing w:before="3" w:line="273" w:lineRule="auto"/>
                          <w:ind w:right="19" w:firstLine="0"/>
                          <w:rPr>
                            <w:sz w:val="11"/>
                          </w:rPr>
                        </w:pPr>
                        <w:r>
                          <w:rPr>
                            <w:color w:val="231F20"/>
                            <w:w w:val="105"/>
                            <w:sz w:val="11"/>
                          </w:rPr>
                          <w:t>Standards and guidelines for the operation of the public health labs at all levels</w:t>
                        </w:r>
                        <w:r>
                          <w:rPr>
                            <w:color w:val="231F20"/>
                            <w:spacing w:val="10"/>
                            <w:w w:val="105"/>
                            <w:sz w:val="11"/>
                          </w:rPr>
                          <w:t xml:space="preserve"> </w:t>
                        </w:r>
                        <w:r>
                          <w:rPr>
                            <w:color w:val="231F20"/>
                            <w:spacing w:val="-3"/>
                            <w:w w:val="105"/>
                            <w:sz w:val="11"/>
                          </w:rPr>
                          <w:t>adopted</w:t>
                        </w:r>
                      </w:p>
                      <w:p w14:paraId="05A2FB77" w14:textId="77777777" w:rsidR="00080B77" w:rsidRDefault="00080B77">
                        <w:pPr>
                          <w:pStyle w:val="TableParagraph"/>
                          <w:spacing w:line="273" w:lineRule="auto"/>
                          <w:ind w:left="18" w:right="100"/>
                          <w:rPr>
                            <w:sz w:val="11"/>
                          </w:rPr>
                        </w:pPr>
                        <w:r>
                          <w:rPr>
                            <w:color w:val="231F20"/>
                            <w:w w:val="105"/>
                            <w:sz w:val="11"/>
                          </w:rPr>
                          <w:t>•Standard public health laboratory built &amp; equipped and BMSH laboratory strengthened</w:t>
                        </w:r>
                      </w:p>
                      <w:p w14:paraId="5895BA1A" w14:textId="77777777" w:rsidR="00080B77" w:rsidRDefault="00080B77">
                        <w:pPr>
                          <w:pStyle w:val="TableParagraph"/>
                          <w:numPr>
                            <w:ilvl w:val="0"/>
                            <w:numId w:val="23"/>
                          </w:numPr>
                          <w:tabs>
                            <w:tab w:val="left" w:pos="93"/>
                          </w:tabs>
                          <w:spacing w:line="273" w:lineRule="auto"/>
                          <w:ind w:right="254" w:firstLine="0"/>
                          <w:rPr>
                            <w:sz w:val="11"/>
                          </w:rPr>
                        </w:pPr>
                        <w:r>
                          <w:rPr>
                            <w:color w:val="231F20"/>
                            <w:w w:val="105"/>
                            <w:sz w:val="11"/>
                          </w:rPr>
                          <w:t>System for laboratory reagents procurement and supplies</w:t>
                        </w:r>
                        <w:r>
                          <w:rPr>
                            <w:color w:val="231F20"/>
                            <w:spacing w:val="5"/>
                            <w:w w:val="105"/>
                            <w:sz w:val="11"/>
                          </w:rPr>
                          <w:t xml:space="preserve"> </w:t>
                        </w:r>
                        <w:r>
                          <w:rPr>
                            <w:color w:val="231F20"/>
                            <w:spacing w:val="-2"/>
                            <w:w w:val="105"/>
                            <w:sz w:val="11"/>
                          </w:rPr>
                          <w:t>strengthened</w:t>
                        </w:r>
                      </w:p>
                      <w:p w14:paraId="0311684B" w14:textId="77777777" w:rsidR="00080B77" w:rsidRDefault="00080B77">
                        <w:pPr>
                          <w:pStyle w:val="TableParagraph"/>
                          <w:spacing w:line="126" w:lineRule="exact"/>
                          <w:ind w:left="51"/>
                          <w:rPr>
                            <w:sz w:val="11"/>
                          </w:rPr>
                        </w:pPr>
                        <w:r>
                          <w:rPr>
                            <w:color w:val="231F20"/>
                            <w:w w:val="105"/>
                            <w:sz w:val="11"/>
                          </w:rPr>
                          <w:t>•System for communication with the LGA</w:t>
                        </w:r>
                      </w:p>
                    </w:tc>
                    <w:tc>
                      <w:tcPr>
                        <w:tcW w:w="1415" w:type="dxa"/>
                        <w:tcBorders>
                          <w:top w:val="single" w:sz="6" w:space="0" w:color="231F20"/>
                          <w:left w:val="single" w:sz="6" w:space="0" w:color="231F20"/>
                          <w:bottom w:val="single" w:sz="6" w:space="0" w:color="231F20"/>
                          <w:right w:val="single" w:sz="6" w:space="0" w:color="231F20"/>
                        </w:tcBorders>
                        <w:shd w:val="clear" w:color="auto" w:fill="CCE7D3"/>
                      </w:tcPr>
                      <w:p w14:paraId="4DDAA77D" w14:textId="77777777" w:rsidR="00080B77" w:rsidRDefault="00080B77">
                        <w:pPr>
                          <w:pStyle w:val="TableParagraph"/>
                          <w:rPr>
                            <w:rFonts w:ascii="Times New Roman"/>
                            <w:sz w:val="10"/>
                          </w:rPr>
                        </w:pPr>
                      </w:p>
                    </w:tc>
                    <w:tc>
                      <w:tcPr>
                        <w:tcW w:w="1493" w:type="dxa"/>
                        <w:tcBorders>
                          <w:top w:val="single" w:sz="6" w:space="0" w:color="231F20"/>
                          <w:left w:val="single" w:sz="6" w:space="0" w:color="231F20"/>
                          <w:bottom w:val="single" w:sz="6" w:space="0" w:color="231F20"/>
                          <w:right w:val="single" w:sz="6" w:space="0" w:color="231F20"/>
                        </w:tcBorders>
                        <w:shd w:val="clear" w:color="auto" w:fill="CCE7D3"/>
                      </w:tcPr>
                      <w:p w14:paraId="585840A0" w14:textId="77777777" w:rsidR="00080B77" w:rsidRDefault="00080B77">
                        <w:pPr>
                          <w:pStyle w:val="TableParagraph"/>
                          <w:rPr>
                            <w:rFonts w:ascii="Times New Roman"/>
                            <w:sz w:val="10"/>
                          </w:rPr>
                        </w:pPr>
                      </w:p>
                    </w:tc>
                  </w:tr>
                  <w:tr w:rsidR="00080B77" w14:paraId="15AB06CF" w14:textId="77777777">
                    <w:trPr>
                      <w:trHeight w:val="458"/>
                    </w:trPr>
                    <w:tc>
                      <w:tcPr>
                        <w:tcW w:w="1032" w:type="dxa"/>
                        <w:gridSpan w:val="3"/>
                        <w:vMerge w:val="restart"/>
                        <w:tcBorders>
                          <w:top w:val="nil"/>
                          <w:left w:val="single" w:sz="6" w:space="0" w:color="231F20"/>
                          <w:bottom w:val="nil"/>
                          <w:right w:val="single" w:sz="6" w:space="0" w:color="231F20"/>
                        </w:tcBorders>
                      </w:tcPr>
                      <w:p w14:paraId="3520C8E0" w14:textId="77777777" w:rsidR="00080B77" w:rsidRDefault="00080B77">
                        <w:pPr>
                          <w:pStyle w:val="TableParagraph"/>
                          <w:rPr>
                            <w:rFonts w:ascii="Times New Roman"/>
                            <w:sz w:val="10"/>
                          </w:rPr>
                        </w:pPr>
                      </w:p>
                    </w:tc>
                    <w:tc>
                      <w:tcPr>
                        <w:tcW w:w="522" w:type="dxa"/>
                        <w:tcBorders>
                          <w:top w:val="single" w:sz="6" w:space="0" w:color="231F20"/>
                          <w:left w:val="single" w:sz="6" w:space="0" w:color="231F20"/>
                          <w:bottom w:val="single" w:sz="6" w:space="0" w:color="231F20"/>
                          <w:right w:val="single" w:sz="6" w:space="0" w:color="231F20"/>
                        </w:tcBorders>
                      </w:tcPr>
                      <w:p w14:paraId="45C70A4C" w14:textId="77777777" w:rsidR="00080B77" w:rsidRDefault="00080B77">
                        <w:pPr>
                          <w:pStyle w:val="TableParagraph"/>
                          <w:spacing w:before="7"/>
                          <w:rPr>
                            <w:sz w:val="14"/>
                          </w:rPr>
                        </w:pPr>
                      </w:p>
                      <w:p w14:paraId="7FE2E60A" w14:textId="77777777" w:rsidR="00080B77" w:rsidRDefault="00080B77">
                        <w:pPr>
                          <w:pStyle w:val="TableParagraph"/>
                          <w:ind w:left="29" w:right="19"/>
                          <w:jc w:val="center"/>
                          <w:rPr>
                            <w:sz w:val="11"/>
                          </w:rPr>
                        </w:pPr>
                        <w:r>
                          <w:rPr>
                            <w:color w:val="231F20"/>
                            <w:w w:val="105"/>
                            <w:sz w:val="11"/>
                          </w:rPr>
                          <w:t>14.1.3.a</w:t>
                        </w:r>
                      </w:p>
                    </w:tc>
                    <w:tc>
                      <w:tcPr>
                        <w:tcW w:w="4852" w:type="dxa"/>
                        <w:gridSpan w:val="2"/>
                        <w:tcBorders>
                          <w:top w:val="single" w:sz="6" w:space="0" w:color="231F20"/>
                          <w:left w:val="single" w:sz="6" w:space="0" w:color="231F20"/>
                          <w:bottom w:val="single" w:sz="6" w:space="0" w:color="231F20"/>
                          <w:right w:val="single" w:sz="6" w:space="0" w:color="231F20"/>
                        </w:tcBorders>
                      </w:tcPr>
                      <w:p w14:paraId="3EA00512" w14:textId="29D7DCE2" w:rsidR="00080B77" w:rsidRDefault="00080B77">
                        <w:pPr>
                          <w:pStyle w:val="TableParagraph"/>
                          <w:spacing w:before="91" w:line="273" w:lineRule="auto"/>
                          <w:ind w:left="19" w:right="93"/>
                          <w:rPr>
                            <w:sz w:val="11"/>
                          </w:rPr>
                        </w:pPr>
                        <w:r>
                          <w:rPr>
                            <w:color w:val="231F20"/>
                            <w:w w:val="105"/>
                            <w:sz w:val="11"/>
                          </w:rPr>
                          <w:t>Adopt standards and guidelines for the operation of the public health labs at all levels, including MoU with network of PHL in the country</w:t>
                        </w:r>
                      </w:p>
                    </w:tc>
                    <w:tc>
                      <w:tcPr>
                        <w:tcW w:w="1415" w:type="dxa"/>
                        <w:tcBorders>
                          <w:top w:val="single" w:sz="6" w:space="0" w:color="231F20"/>
                          <w:left w:val="single" w:sz="6" w:space="0" w:color="231F20"/>
                          <w:bottom w:val="single" w:sz="6" w:space="0" w:color="231F20"/>
                          <w:right w:val="single" w:sz="6" w:space="0" w:color="231F20"/>
                        </w:tcBorders>
                      </w:tcPr>
                      <w:p w14:paraId="1BEF4BB3" w14:textId="77777777" w:rsidR="00080B77" w:rsidRDefault="00080B77">
                        <w:pPr>
                          <w:pStyle w:val="TableParagraph"/>
                          <w:spacing w:before="7"/>
                          <w:rPr>
                            <w:sz w:val="14"/>
                          </w:rPr>
                        </w:pPr>
                      </w:p>
                      <w:p w14:paraId="4637C26E"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642ADCD6" w14:textId="77777777" w:rsidR="00080B77" w:rsidRDefault="00080B77">
                        <w:pPr>
                          <w:pStyle w:val="TableParagraph"/>
                          <w:spacing w:before="7"/>
                          <w:rPr>
                            <w:sz w:val="14"/>
                          </w:rPr>
                        </w:pPr>
                      </w:p>
                      <w:p w14:paraId="5B66E6A4" w14:textId="77777777" w:rsidR="00080B77" w:rsidRDefault="00080B77">
                        <w:pPr>
                          <w:pStyle w:val="TableParagraph"/>
                          <w:ind w:left="16"/>
                          <w:rPr>
                            <w:sz w:val="11"/>
                          </w:rPr>
                        </w:pPr>
                        <w:r>
                          <w:rPr>
                            <w:color w:val="231F20"/>
                            <w:w w:val="105"/>
                            <w:sz w:val="11"/>
                          </w:rPr>
                          <w:t>Costed in 14.1.1a</w:t>
                        </w:r>
                      </w:p>
                    </w:tc>
                  </w:tr>
                  <w:tr w:rsidR="00080B77" w14:paraId="433D082F" w14:textId="77777777">
                    <w:trPr>
                      <w:trHeight w:val="465"/>
                    </w:trPr>
                    <w:tc>
                      <w:tcPr>
                        <w:tcW w:w="1032" w:type="dxa"/>
                        <w:gridSpan w:val="3"/>
                        <w:vMerge/>
                        <w:tcBorders>
                          <w:top w:val="nil"/>
                          <w:left w:val="single" w:sz="6" w:space="0" w:color="231F20"/>
                          <w:bottom w:val="nil"/>
                          <w:right w:val="single" w:sz="6" w:space="0" w:color="231F20"/>
                        </w:tcBorders>
                      </w:tcPr>
                      <w:p w14:paraId="5D30F5E2"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3A55D244" w14:textId="77777777" w:rsidR="00080B77" w:rsidRDefault="00080B77">
                        <w:pPr>
                          <w:pStyle w:val="TableParagraph"/>
                          <w:spacing w:before="11"/>
                          <w:rPr>
                            <w:sz w:val="14"/>
                          </w:rPr>
                        </w:pPr>
                      </w:p>
                      <w:p w14:paraId="09705B84" w14:textId="77777777" w:rsidR="00080B77" w:rsidRDefault="00080B77">
                        <w:pPr>
                          <w:pStyle w:val="TableParagraph"/>
                          <w:ind w:left="29" w:right="19"/>
                          <w:jc w:val="center"/>
                          <w:rPr>
                            <w:sz w:val="11"/>
                          </w:rPr>
                        </w:pPr>
                        <w:r>
                          <w:rPr>
                            <w:color w:val="231F20"/>
                            <w:w w:val="105"/>
                            <w:sz w:val="11"/>
                          </w:rPr>
                          <w:t>14.1.3.b</w:t>
                        </w:r>
                      </w:p>
                    </w:tc>
                    <w:tc>
                      <w:tcPr>
                        <w:tcW w:w="4852" w:type="dxa"/>
                        <w:gridSpan w:val="2"/>
                        <w:tcBorders>
                          <w:top w:val="single" w:sz="6" w:space="0" w:color="231F20"/>
                          <w:left w:val="single" w:sz="6" w:space="0" w:color="231F20"/>
                          <w:bottom w:val="single" w:sz="6" w:space="0" w:color="231F20"/>
                          <w:right w:val="single" w:sz="6" w:space="0" w:color="231F20"/>
                        </w:tcBorders>
                      </w:tcPr>
                      <w:p w14:paraId="36737E24" w14:textId="77777777" w:rsidR="00080B77" w:rsidRDefault="00080B77">
                        <w:pPr>
                          <w:pStyle w:val="TableParagraph"/>
                          <w:spacing w:before="10" w:line="140" w:lineRule="atLeast"/>
                          <w:ind w:left="19" w:right="35"/>
                          <w:rPr>
                            <w:sz w:val="11"/>
                          </w:rPr>
                        </w:pPr>
                        <w:r>
                          <w:rPr>
                            <w:color w:val="231F20"/>
                            <w:w w:val="105"/>
                            <w:sz w:val="11"/>
                          </w:rPr>
                          <w:t>Cost for engaging and supervising the contractor to build and equip a standard public health laboratory in the state. Strengthen for confirmation of special pathogens and also act as quality control for State laboratories and Infection Control Practices</w:t>
                        </w:r>
                      </w:p>
                    </w:tc>
                    <w:tc>
                      <w:tcPr>
                        <w:tcW w:w="1415" w:type="dxa"/>
                        <w:tcBorders>
                          <w:top w:val="single" w:sz="6" w:space="0" w:color="231F20"/>
                          <w:left w:val="single" w:sz="6" w:space="0" w:color="231F20"/>
                          <w:bottom w:val="single" w:sz="6" w:space="0" w:color="231F20"/>
                          <w:right w:val="single" w:sz="6" w:space="0" w:color="231F20"/>
                        </w:tcBorders>
                      </w:tcPr>
                      <w:p w14:paraId="07BB04D9" w14:textId="77777777" w:rsidR="00080B77" w:rsidRDefault="00080B77">
                        <w:pPr>
                          <w:pStyle w:val="TableParagraph"/>
                          <w:spacing w:before="11"/>
                          <w:rPr>
                            <w:sz w:val="14"/>
                          </w:rPr>
                        </w:pPr>
                      </w:p>
                      <w:p w14:paraId="2CB59D2C" w14:textId="77777777" w:rsidR="00080B77" w:rsidRDefault="00080B77">
                        <w:pPr>
                          <w:pStyle w:val="TableParagraph"/>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4E5B7E7F" w14:textId="77777777" w:rsidR="00080B77" w:rsidRDefault="00080B77">
                        <w:pPr>
                          <w:pStyle w:val="TableParagraph"/>
                          <w:spacing w:before="11"/>
                          <w:rPr>
                            <w:sz w:val="14"/>
                          </w:rPr>
                        </w:pPr>
                      </w:p>
                      <w:p w14:paraId="27109BFD" w14:textId="77777777" w:rsidR="00080B77" w:rsidRDefault="00080B77">
                        <w:pPr>
                          <w:pStyle w:val="TableParagraph"/>
                          <w:ind w:left="16"/>
                          <w:rPr>
                            <w:sz w:val="11"/>
                          </w:rPr>
                        </w:pPr>
                        <w:r>
                          <w:rPr>
                            <w:color w:val="231F20"/>
                            <w:w w:val="105"/>
                            <w:sz w:val="11"/>
                          </w:rPr>
                          <w:t>Costed in OHT</w:t>
                        </w:r>
                      </w:p>
                    </w:tc>
                  </w:tr>
                  <w:tr w:rsidR="00080B77" w14:paraId="2CD5C809" w14:textId="77777777">
                    <w:trPr>
                      <w:trHeight w:val="550"/>
                    </w:trPr>
                    <w:tc>
                      <w:tcPr>
                        <w:tcW w:w="1032" w:type="dxa"/>
                        <w:gridSpan w:val="3"/>
                        <w:vMerge/>
                        <w:tcBorders>
                          <w:top w:val="nil"/>
                          <w:left w:val="single" w:sz="6" w:space="0" w:color="231F20"/>
                          <w:bottom w:val="nil"/>
                          <w:right w:val="single" w:sz="6" w:space="0" w:color="231F20"/>
                        </w:tcBorders>
                      </w:tcPr>
                      <w:p w14:paraId="176FD3A9"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3817B30B" w14:textId="77777777" w:rsidR="00080B77" w:rsidRDefault="00080B77">
                        <w:pPr>
                          <w:pStyle w:val="TableParagraph"/>
                          <w:rPr>
                            <w:sz w:val="12"/>
                          </w:rPr>
                        </w:pPr>
                      </w:p>
                      <w:p w14:paraId="003C6CC4" w14:textId="77777777" w:rsidR="00080B77" w:rsidRDefault="00080B77">
                        <w:pPr>
                          <w:pStyle w:val="TableParagraph"/>
                          <w:spacing w:before="76"/>
                          <w:ind w:left="29" w:right="18"/>
                          <w:jc w:val="center"/>
                          <w:rPr>
                            <w:sz w:val="11"/>
                          </w:rPr>
                        </w:pPr>
                        <w:r>
                          <w:rPr>
                            <w:color w:val="231F20"/>
                            <w:w w:val="105"/>
                            <w:sz w:val="11"/>
                          </w:rPr>
                          <w:t>14.1.3.c</w:t>
                        </w:r>
                      </w:p>
                    </w:tc>
                    <w:tc>
                      <w:tcPr>
                        <w:tcW w:w="4852" w:type="dxa"/>
                        <w:gridSpan w:val="2"/>
                        <w:tcBorders>
                          <w:top w:val="single" w:sz="6" w:space="0" w:color="231F20"/>
                          <w:left w:val="single" w:sz="6" w:space="0" w:color="231F20"/>
                          <w:bottom w:val="single" w:sz="6" w:space="0" w:color="231F20"/>
                          <w:right w:val="single" w:sz="6" w:space="0" w:color="231F20"/>
                        </w:tcBorders>
                      </w:tcPr>
                      <w:p w14:paraId="29253E6C" w14:textId="77777777" w:rsidR="00080B77" w:rsidRDefault="00080B77">
                        <w:pPr>
                          <w:pStyle w:val="TableParagraph"/>
                          <w:rPr>
                            <w:sz w:val="12"/>
                          </w:rPr>
                        </w:pPr>
                      </w:p>
                      <w:p w14:paraId="14D876F3" w14:textId="77777777" w:rsidR="00080B77" w:rsidRDefault="00080B77">
                        <w:pPr>
                          <w:pStyle w:val="TableParagraph"/>
                          <w:spacing w:before="71"/>
                          <w:ind w:left="19"/>
                          <w:rPr>
                            <w:sz w:val="11"/>
                          </w:rPr>
                        </w:pPr>
                        <w:r>
                          <w:rPr>
                            <w:color w:val="231F20"/>
                            <w:w w:val="105"/>
                            <w:sz w:val="11"/>
                          </w:rPr>
                          <w:t>Strengthen BMSH Laboratory to handle public health investigations including VHFs</w:t>
                        </w:r>
                      </w:p>
                    </w:tc>
                    <w:tc>
                      <w:tcPr>
                        <w:tcW w:w="1415" w:type="dxa"/>
                        <w:tcBorders>
                          <w:top w:val="single" w:sz="6" w:space="0" w:color="231F20"/>
                          <w:left w:val="single" w:sz="6" w:space="0" w:color="231F20"/>
                          <w:bottom w:val="single" w:sz="6" w:space="0" w:color="231F20"/>
                          <w:right w:val="single" w:sz="6" w:space="0" w:color="231F20"/>
                        </w:tcBorders>
                      </w:tcPr>
                      <w:p w14:paraId="4F58159A" w14:textId="77777777" w:rsidR="00080B77" w:rsidRDefault="00080B77">
                        <w:pPr>
                          <w:pStyle w:val="TableParagraph"/>
                          <w:rPr>
                            <w:sz w:val="12"/>
                          </w:rPr>
                        </w:pPr>
                      </w:p>
                      <w:p w14:paraId="0141A02C" w14:textId="77777777" w:rsidR="00080B77" w:rsidRDefault="00080B77">
                        <w:pPr>
                          <w:pStyle w:val="TableParagraph"/>
                          <w:spacing w:before="76"/>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4DAA68B0" w14:textId="77777777" w:rsidR="00080B77" w:rsidRDefault="00080B77">
                        <w:pPr>
                          <w:pStyle w:val="TableParagraph"/>
                          <w:rPr>
                            <w:sz w:val="12"/>
                          </w:rPr>
                        </w:pPr>
                      </w:p>
                      <w:p w14:paraId="1D7F0454" w14:textId="77777777" w:rsidR="00080B77" w:rsidRDefault="00080B77">
                        <w:pPr>
                          <w:pStyle w:val="TableParagraph"/>
                          <w:spacing w:before="76"/>
                          <w:ind w:left="16"/>
                          <w:rPr>
                            <w:sz w:val="11"/>
                          </w:rPr>
                        </w:pPr>
                        <w:r>
                          <w:rPr>
                            <w:color w:val="231F20"/>
                            <w:w w:val="105"/>
                            <w:sz w:val="11"/>
                          </w:rPr>
                          <w:t>Costed in OHT</w:t>
                        </w:r>
                      </w:p>
                    </w:tc>
                  </w:tr>
                  <w:tr w:rsidR="00080B77" w14:paraId="51BD2BBF" w14:textId="77777777">
                    <w:trPr>
                      <w:trHeight w:val="571"/>
                    </w:trPr>
                    <w:tc>
                      <w:tcPr>
                        <w:tcW w:w="1032" w:type="dxa"/>
                        <w:gridSpan w:val="3"/>
                        <w:vMerge/>
                        <w:tcBorders>
                          <w:top w:val="nil"/>
                          <w:left w:val="single" w:sz="6" w:space="0" w:color="231F20"/>
                          <w:bottom w:val="nil"/>
                          <w:right w:val="single" w:sz="6" w:space="0" w:color="231F20"/>
                        </w:tcBorders>
                      </w:tcPr>
                      <w:p w14:paraId="2067B99E"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4648ACA7" w14:textId="77777777" w:rsidR="00080B77" w:rsidRDefault="00080B77">
                        <w:pPr>
                          <w:pStyle w:val="TableParagraph"/>
                          <w:rPr>
                            <w:sz w:val="12"/>
                          </w:rPr>
                        </w:pPr>
                      </w:p>
                      <w:p w14:paraId="6D145CBB" w14:textId="77777777" w:rsidR="00080B77" w:rsidRDefault="00080B77">
                        <w:pPr>
                          <w:pStyle w:val="TableParagraph"/>
                          <w:spacing w:before="86"/>
                          <w:ind w:left="29" w:right="19"/>
                          <w:jc w:val="center"/>
                          <w:rPr>
                            <w:sz w:val="11"/>
                          </w:rPr>
                        </w:pPr>
                        <w:r>
                          <w:rPr>
                            <w:color w:val="231F20"/>
                            <w:w w:val="105"/>
                            <w:sz w:val="11"/>
                          </w:rPr>
                          <w:t>14.1.3.d</w:t>
                        </w:r>
                      </w:p>
                    </w:tc>
                    <w:tc>
                      <w:tcPr>
                        <w:tcW w:w="4852" w:type="dxa"/>
                        <w:gridSpan w:val="2"/>
                        <w:tcBorders>
                          <w:top w:val="single" w:sz="6" w:space="0" w:color="231F20"/>
                          <w:left w:val="single" w:sz="6" w:space="0" w:color="231F20"/>
                          <w:bottom w:val="single" w:sz="6" w:space="0" w:color="231F20"/>
                          <w:right w:val="single" w:sz="6" w:space="0" w:color="231F20"/>
                        </w:tcBorders>
                      </w:tcPr>
                      <w:p w14:paraId="41365883" w14:textId="77777777" w:rsidR="00080B77" w:rsidRDefault="00080B77">
                        <w:pPr>
                          <w:pStyle w:val="TableParagraph"/>
                          <w:spacing w:before="10"/>
                          <w:rPr>
                            <w:sz w:val="12"/>
                          </w:rPr>
                        </w:pPr>
                      </w:p>
                      <w:p w14:paraId="5CEE66B1" w14:textId="77777777" w:rsidR="00080B77" w:rsidRDefault="00080B77">
                        <w:pPr>
                          <w:pStyle w:val="TableParagraph"/>
                          <w:spacing w:line="273" w:lineRule="auto"/>
                          <w:ind w:left="19" w:right="93"/>
                          <w:rPr>
                            <w:sz w:val="11"/>
                          </w:rPr>
                        </w:pPr>
                        <w:r>
                          <w:rPr>
                            <w:color w:val="231F20"/>
                            <w:w w:val="105"/>
                            <w:sz w:val="11"/>
                          </w:rPr>
                          <w:t>Strengthen the system for sustainable laboratory reagents procurement and supplies including VHF reagent pack for the virology lab.</w:t>
                        </w:r>
                      </w:p>
                    </w:tc>
                    <w:tc>
                      <w:tcPr>
                        <w:tcW w:w="1415" w:type="dxa"/>
                        <w:tcBorders>
                          <w:top w:val="single" w:sz="6" w:space="0" w:color="231F20"/>
                          <w:left w:val="single" w:sz="6" w:space="0" w:color="231F20"/>
                          <w:bottom w:val="single" w:sz="6" w:space="0" w:color="231F20"/>
                          <w:right w:val="single" w:sz="6" w:space="0" w:color="231F20"/>
                        </w:tcBorders>
                      </w:tcPr>
                      <w:p w14:paraId="40E66A9E" w14:textId="77777777" w:rsidR="00080B77" w:rsidRDefault="00080B77">
                        <w:pPr>
                          <w:pStyle w:val="TableParagraph"/>
                          <w:rPr>
                            <w:sz w:val="12"/>
                          </w:rPr>
                        </w:pPr>
                      </w:p>
                      <w:p w14:paraId="629512D4" w14:textId="77777777" w:rsidR="00080B77" w:rsidRDefault="00080B77">
                        <w:pPr>
                          <w:pStyle w:val="TableParagraph"/>
                          <w:spacing w:before="86"/>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0C002A48" w14:textId="77777777" w:rsidR="00080B77" w:rsidRDefault="00080B77">
                        <w:pPr>
                          <w:pStyle w:val="TableParagraph"/>
                          <w:rPr>
                            <w:sz w:val="12"/>
                          </w:rPr>
                        </w:pPr>
                      </w:p>
                      <w:p w14:paraId="7D62C8C5" w14:textId="77777777" w:rsidR="00080B77" w:rsidRDefault="00080B77">
                        <w:pPr>
                          <w:pStyle w:val="TableParagraph"/>
                          <w:spacing w:before="86"/>
                          <w:ind w:left="16"/>
                          <w:rPr>
                            <w:sz w:val="11"/>
                          </w:rPr>
                        </w:pPr>
                        <w:r>
                          <w:rPr>
                            <w:color w:val="231F20"/>
                            <w:w w:val="105"/>
                            <w:sz w:val="11"/>
                          </w:rPr>
                          <w:t>Costed in OHT</w:t>
                        </w:r>
                      </w:p>
                    </w:tc>
                  </w:tr>
                  <w:tr w:rsidR="00080B77" w14:paraId="59D90C9E" w14:textId="77777777">
                    <w:trPr>
                      <w:trHeight w:val="536"/>
                    </w:trPr>
                    <w:tc>
                      <w:tcPr>
                        <w:tcW w:w="1032" w:type="dxa"/>
                        <w:gridSpan w:val="3"/>
                        <w:vMerge/>
                        <w:tcBorders>
                          <w:top w:val="nil"/>
                          <w:left w:val="single" w:sz="6" w:space="0" w:color="231F20"/>
                          <w:bottom w:val="nil"/>
                          <w:right w:val="single" w:sz="6" w:space="0" w:color="231F20"/>
                        </w:tcBorders>
                      </w:tcPr>
                      <w:p w14:paraId="614413BA" w14:textId="77777777" w:rsidR="00080B77" w:rsidRDefault="00080B77">
                        <w:pPr>
                          <w:rPr>
                            <w:sz w:val="2"/>
                            <w:szCs w:val="2"/>
                          </w:rPr>
                        </w:pPr>
                      </w:p>
                    </w:tc>
                    <w:tc>
                      <w:tcPr>
                        <w:tcW w:w="522" w:type="dxa"/>
                        <w:tcBorders>
                          <w:top w:val="single" w:sz="6" w:space="0" w:color="231F20"/>
                          <w:left w:val="single" w:sz="6" w:space="0" w:color="231F20"/>
                          <w:bottom w:val="single" w:sz="6" w:space="0" w:color="231F20"/>
                          <w:right w:val="single" w:sz="6" w:space="0" w:color="231F20"/>
                        </w:tcBorders>
                      </w:tcPr>
                      <w:p w14:paraId="0BB5C281" w14:textId="77777777" w:rsidR="00080B77" w:rsidRDefault="00080B77">
                        <w:pPr>
                          <w:pStyle w:val="TableParagraph"/>
                          <w:rPr>
                            <w:sz w:val="12"/>
                          </w:rPr>
                        </w:pPr>
                      </w:p>
                      <w:p w14:paraId="56F392F9" w14:textId="77777777" w:rsidR="00080B77" w:rsidRDefault="00080B77">
                        <w:pPr>
                          <w:pStyle w:val="TableParagraph"/>
                          <w:spacing w:before="69"/>
                          <w:ind w:left="29" w:right="19"/>
                          <w:jc w:val="center"/>
                          <w:rPr>
                            <w:sz w:val="11"/>
                          </w:rPr>
                        </w:pPr>
                        <w:r>
                          <w:rPr>
                            <w:color w:val="231F20"/>
                            <w:w w:val="105"/>
                            <w:sz w:val="11"/>
                          </w:rPr>
                          <w:t>14.1.3.e</w:t>
                        </w:r>
                      </w:p>
                    </w:tc>
                    <w:tc>
                      <w:tcPr>
                        <w:tcW w:w="4852" w:type="dxa"/>
                        <w:gridSpan w:val="2"/>
                        <w:tcBorders>
                          <w:top w:val="single" w:sz="6" w:space="0" w:color="231F20"/>
                          <w:left w:val="single" w:sz="6" w:space="0" w:color="231F20"/>
                          <w:bottom w:val="single" w:sz="6" w:space="0" w:color="231F20"/>
                          <w:right w:val="single" w:sz="6" w:space="0" w:color="231F20"/>
                        </w:tcBorders>
                      </w:tcPr>
                      <w:p w14:paraId="595A3891" w14:textId="77777777" w:rsidR="00080B77" w:rsidRDefault="00080B77">
                        <w:pPr>
                          <w:pStyle w:val="TableParagraph"/>
                          <w:spacing w:before="4"/>
                          <w:rPr>
                            <w:sz w:val="11"/>
                          </w:rPr>
                        </w:pPr>
                      </w:p>
                      <w:p w14:paraId="7538F1E8" w14:textId="77777777" w:rsidR="00080B77" w:rsidRDefault="00080B77">
                        <w:pPr>
                          <w:pStyle w:val="TableParagraph"/>
                          <w:spacing w:line="273" w:lineRule="auto"/>
                          <w:ind w:left="19"/>
                          <w:rPr>
                            <w:sz w:val="11"/>
                          </w:rPr>
                        </w:pPr>
                        <w:r>
                          <w:rPr>
                            <w:color w:val="231F20"/>
                            <w:w w:val="105"/>
                            <w:sz w:val="11"/>
                          </w:rPr>
                          <w:t>Establish a system for communication with the LGA and adequate transportation of the samples from health facilities/LGAs to the PHLs</w:t>
                        </w:r>
                      </w:p>
                    </w:tc>
                    <w:tc>
                      <w:tcPr>
                        <w:tcW w:w="1415" w:type="dxa"/>
                        <w:tcBorders>
                          <w:top w:val="single" w:sz="6" w:space="0" w:color="231F20"/>
                          <w:left w:val="single" w:sz="6" w:space="0" w:color="231F20"/>
                          <w:bottom w:val="single" w:sz="6" w:space="0" w:color="231F20"/>
                          <w:right w:val="single" w:sz="6" w:space="0" w:color="231F20"/>
                        </w:tcBorders>
                      </w:tcPr>
                      <w:p w14:paraId="24A54C51" w14:textId="77777777" w:rsidR="00080B77" w:rsidRDefault="00080B77">
                        <w:pPr>
                          <w:pStyle w:val="TableParagraph"/>
                          <w:rPr>
                            <w:sz w:val="12"/>
                          </w:rPr>
                        </w:pPr>
                      </w:p>
                      <w:p w14:paraId="746D7CCA" w14:textId="77777777" w:rsidR="00080B77" w:rsidRDefault="00080B77">
                        <w:pPr>
                          <w:pStyle w:val="TableParagraph"/>
                          <w:spacing w:before="69"/>
                          <w:ind w:left="17"/>
                          <w:rPr>
                            <w:sz w:val="11"/>
                          </w:rPr>
                        </w:pPr>
                        <w:r>
                          <w:rPr>
                            <w:color w:val="231F20"/>
                            <w:w w:val="105"/>
                            <w:sz w:val="11"/>
                          </w:rPr>
                          <w:t>Lack of funds</w:t>
                        </w:r>
                      </w:p>
                    </w:tc>
                    <w:tc>
                      <w:tcPr>
                        <w:tcW w:w="1493" w:type="dxa"/>
                        <w:tcBorders>
                          <w:top w:val="single" w:sz="6" w:space="0" w:color="231F20"/>
                          <w:left w:val="single" w:sz="6" w:space="0" w:color="231F20"/>
                          <w:bottom w:val="single" w:sz="6" w:space="0" w:color="231F20"/>
                          <w:right w:val="single" w:sz="6" w:space="0" w:color="231F20"/>
                        </w:tcBorders>
                      </w:tcPr>
                      <w:p w14:paraId="27594885" w14:textId="77777777" w:rsidR="00080B77" w:rsidRDefault="00080B77">
                        <w:pPr>
                          <w:pStyle w:val="TableParagraph"/>
                          <w:rPr>
                            <w:sz w:val="12"/>
                          </w:rPr>
                        </w:pPr>
                      </w:p>
                      <w:p w14:paraId="273FE8F7" w14:textId="77777777" w:rsidR="00080B77" w:rsidRDefault="00080B77">
                        <w:pPr>
                          <w:pStyle w:val="TableParagraph"/>
                          <w:spacing w:before="69"/>
                          <w:ind w:left="16"/>
                          <w:rPr>
                            <w:sz w:val="11"/>
                          </w:rPr>
                        </w:pPr>
                        <w:r>
                          <w:rPr>
                            <w:color w:val="231F20"/>
                            <w:w w:val="105"/>
                            <w:sz w:val="11"/>
                          </w:rPr>
                          <w:t>Establish system</w:t>
                        </w:r>
                      </w:p>
                    </w:tc>
                  </w:tr>
                  <w:tr w:rsidR="00080B77" w14:paraId="3F3A6FDA" w14:textId="77777777">
                    <w:trPr>
                      <w:trHeight w:val="1066"/>
                    </w:trPr>
                    <w:tc>
                      <w:tcPr>
                        <w:tcW w:w="581" w:type="dxa"/>
                        <w:gridSpan w:val="2"/>
                        <w:tcBorders>
                          <w:top w:val="nil"/>
                          <w:left w:val="single" w:sz="6" w:space="0" w:color="231F20"/>
                          <w:right w:val="single" w:sz="6" w:space="0" w:color="231F20"/>
                        </w:tcBorders>
                      </w:tcPr>
                      <w:p w14:paraId="76C5EEC6" w14:textId="77777777" w:rsidR="00080B77" w:rsidRDefault="00080B77">
                        <w:pPr>
                          <w:pStyle w:val="TableParagraph"/>
                          <w:rPr>
                            <w:rFonts w:ascii="Times New Roman"/>
                            <w:sz w:val="10"/>
                          </w:rPr>
                        </w:pPr>
                      </w:p>
                    </w:tc>
                    <w:tc>
                      <w:tcPr>
                        <w:tcW w:w="451" w:type="dxa"/>
                        <w:tcBorders>
                          <w:top w:val="single" w:sz="6" w:space="0" w:color="231F20"/>
                          <w:left w:val="single" w:sz="6" w:space="0" w:color="231F20"/>
                          <w:right w:val="single" w:sz="6" w:space="0" w:color="231F20"/>
                        </w:tcBorders>
                        <w:shd w:val="clear" w:color="auto" w:fill="CCE7D3"/>
                      </w:tcPr>
                      <w:p w14:paraId="226618EB" w14:textId="77777777" w:rsidR="00080B77" w:rsidRDefault="00080B77">
                        <w:pPr>
                          <w:pStyle w:val="TableParagraph"/>
                          <w:rPr>
                            <w:sz w:val="12"/>
                          </w:rPr>
                        </w:pPr>
                      </w:p>
                      <w:p w14:paraId="41D6B3EE" w14:textId="77777777" w:rsidR="00080B77" w:rsidRDefault="00080B77">
                        <w:pPr>
                          <w:pStyle w:val="TableParagraph"/>
                          <w:rPr>
                            <w:sz w:val="12"/>
                          </w:rPr>
                        </w:pPr>
                      </w:p>
                      <w:p w14:paraId="64C19304" w14:textId="77777777" w:rsidR="00080B77" w:rsidRDefault="00080B77">
                        <w:pPr>
                          <w:pStyle w:val="TableParagraph"/>
                          <w:spacing w:before="4"/>
                          <w:rPr>
                            <w:sz w:val="17"/>
                          </w:rPr>
                        </w:pPr>
                      </w:p>
                      <w:p w14:paraId="7131ED52" w14:textId="77777777" w:rsidR="00080B77" w:rsidRDefault="00080B77">
                        <w:pPr>
                          <w:pStyle w:val="TableParagraph"/>
                          <w:ind w:left="53"/>
                          <w:rPr>
                            <w:sz w:val="11"/>
                          </w:rPr>
                        </w:pPr>
                        <w:r>
                          <w:rPr>
                            <w:color w:val="231F20"/>
                            <w:w w:val="105"/>
                            <w:sz w:val="11"/>
                          </w:rPr>
                          <w:t>14.1.4</w:t>
                        </w:r>
                      </w:p>
                    </w:tc>
                    <w:tc>
                      <w:tcPr>
                        <w:tcW w:w="3011" w:type="dxa"/>
                        <w:gridSpan w:val="2"/>
                        <w:tcBorders>
                          <w:top w:val="single" w:sz="6" w:space="0" w:color="231F20"/>
                          <w:left w:val="single" w:sz="6" w:space="0" w:color="231F20"/>
                          <w:right w:val="single" w:sz="6" w:space="0" w:color="231F20"/>
                        </w:tcBorders>
                        <w:shd w:val="clear" w:color="auto" w:fill="CCE7D3"/>
                      </w:tcPr>
                      <w:p w14:paraId="236A6012" w14:textId="77777777" w:rsidR="00080B77" w:rsidRDefault="00080B77">
                        <w:pPr>
                          <w:pStyle w:val="TableParagraph"/>
                          <w:rPr>
                            <w:sz w:val="12"/>
                          </w:rPr>
                        </w:pPr>
                      </w:p>
                      <w:p w14:paraId="42F460FD" w14:textId="77777777" w:rsidR="00080B77" w:rsidRDefault="00080B77">
                        <w:pPr>
                          <w:pStyle w:val="TableParagraph"/>
                          <w:rPr>
                            <w:sz w:val="12"/>
                          </w:rPr>
                        </w:pPr>
                      </w:p>
                      <w:p w14:paraId="3439AA92" w14:textId="77777777" w:rsidR="00080B77" w:rsidRDefault="00080B77">
                        <w:pPr>
                          <w:pStyle w:val="TableParagraph"/>
                          <w:spacing w:before="7"/>
                          <w:rPr>
                            <w:sz w:val="10"/>
                          </w:rPr>
                        </w:pPr>
                      </w:p>
                      <w:p w14:paraId="235162A8" w14:textId="77777777" w:rsidR="00080B77" w:rsidRDefault="00080B77">
                        <w:pPr>
                          <w:pStyle w:val="TableParagraph"/>
                          <w:spacing w:line="273" w:lineRule="auto"/>
                          <w:ind w:left="20" w:right="48" w:firstLine="32"/>
                          <w:rPr>
                            <w:sz w:val="11"/>
                          </w:rPr>
                        </w:pPr>
                        <w:r>
                          <w:rPr>
                            <w:color w:val="231F20"/>
                            <w:w w:val="105"/>
                            <w:sz w:val="11"/>
                          </w:rPr>
                          <w:t>Scale-up public education and awareness creation on public health emergencies</w:t>
                        </w:r>
                      </w:p>
                    </w:tc>
                    <w:tc>
                      <w:tcPr>
                        <w:tcW w:w="2363" w:type="dxa"/>
                        <w:tcBorders>
                          <w:top w:val="single" w:sz="6" w:space="0" w:color="231F20"/>
                          <w:left w:val="single" w:sz="6" w:space="0" w:color="231F20"/>
                          <w:right w:val="single" w:sz="6" w:space="0" w:color="231F20"/>
                        </w:tcBorders>
                        <w:shd w:val="clear" w:color="auto" w:fill="CCE7D3"/>
                      </w:tcPr>
                      <w:p w14:paraId="044282AE" w14:textId="77777777" w:rsidR="00080B77" w:rsidRDefault="00080B77">
                        <w:pPr>
                          <w:pStyle w:val="TableParagraph"/>
                          <w:numPr>
                            <w:ilvl w:val="0"/>
                            <w:numId w:val="22"/>
                          </w:numPr>
                          <w:tabs>
                            <w:tab w:val="left" w:pos="93"/>
                          </w:tabs>
                          <w:spacing w:before="44" w:line="273" w:lineRule="auto"/>
                          <w:ind w:right="213" w:firstLine="0"/>
                          <w:rPr>
                            <w:sz w:val="11"/>
                          </w:rPr>
                        </w:pPr>
                        <w:r>
                          <w:rPr>
                            <w:color w:val="231F20"/>
                            <w:w w:val="105"/>
                            <w:sz w:val="11"/>
                          </w:rPr>
                          <w:t>Materials on public health emergencies designed, printed &amp;</w:t>
                        </w:r>
                        <w:r>
                          <w:rPr>
                            <w:color w:val="231F20"/>
                            <w:spacing w:val="5"/>
                            <w:w w:val="105"/>
                            <w:sz w:val="11"/>
                          </w:rPr>
                          <w:t xml:space="preserve"> </w:t>
                        </w:r>
                        <w:r>
                          <w:rPr>
                            <w:color w:val="231F20"/>
                            <w:w w:val="105"/>
                            <w:sz w:val="11"/>
                          </w:rPr>
                          <w:t>distributed</w:t>
                        </w:r>
                      </w:p>
                      <w:p w14:paraId="069BF0CE" w14:textId="0638ED83" w:rsidR="00080B77" w:rsidRDefault="00080B77">
                        <w:pPr>
                          <w:pStyle w:val="TableParagraph"/>
                          <w:spacing w:line="273" w:lineRule="auto"/>
                          <w:ind w:left="18" w:right="100"/>
                          <w:rPr>
                            <w:sz w:val="11"/>
                          </w:rPr>
                        </w:pPr>
                        <w:r>
                          <w:rPr>
                            <w:color w:val="231F20"/>
                            <w:w w:val="105"/>
                            <w:sz w:val="11"/>
                          </w:rPr>
                          <w:t xml:space="preserve">•Mass edutainment on Lassa Fever, Dengue fever, cholera, monkey pox </w:t>
                        </w:r>
                        <w:r>
                          <w:rPr>
                            <w:color w:val="231F20"/>
                            <w:spacing w:val="-6"/>
                            <w:w w:val="105"/>
                            <w:sz w:val="11"/>
                          </w:rPr>
                          <w:t xml:space="preserve">and </w:t>
                        </w:r>
                        <w:r>
                          <w:rPr>
                            <w:color w:val="231F20"/>
                            <w:w w:val="105"/>
                            <w:sz w:val="11"/>
                          </w:rPr>
                          <w:t>other infectious diseases</w:t>
                        </w:r>
                        <w:r>
                          <w:rPr>
                            <w:color w:val="231F20"/>
                            <w:spacing w:val="6"/>
                            <w:w w:val="105"/>
                            <w:sz w:val="11"/>
                          </w:rPr>
                          <w:t xml:space="preserve"> </w:t>
                        </w:r>
                        <w:r>
                          <w:rPr>
                            <w:color w:val="231F20"/>
                            <w:w w:val="105"/>
                            <w:sz w:val="11"/>
                          </w:rPr>
                          <w:t>done</w:t>
                        </w:r>
                      </w:p>
                      <w:p w14:paraId="2771CD07" w14:textId="77777777" w:rsidR="00080B77" w:rsidRDefault="00080B77">
                        <w:pPr>
                          <w:pStyle w:val="TableParagraph"/>
                          <w:numPr>
                            <w:ilvl w:val="0"/>
                            <w:numId w:val="22"/>
                          </w:numPr>
                          <w:tabs>
                            <w:tab w:val="left" w:pos="93"/>
                          </w:tabs>
                          <w:spacing w:line="125" w:lineRule="exact"/>
                          <w:ind w:left="92" w:hanging="75"/>
                          <w:rPr>
                            <w:sz w:val="11"/>
                          </w:rPr>
                        </w:pPr>
                        <w:r>
                          <w:rPr>
                            <w:color w:val="231F20"/>
                            <w:w w:val="105"/>
                            <w:sz w:val="11"/>
                          </w:rPr>
                          <w:t>Social mobilization activities with OB</w:t>
                        </w:r>
                        <w:r>
                          <w:rPr>
                            <w:color w:val="231F20"/>
                            <w:spacing w:val="22"/>
                            <w:w w:val="105"/>
                            <w:sz w:val="11"/>
                          </w:rPr>
                          <w:t xml:space="preserve"> </w:t>
                        </w:r>
                        <w:r>
                          <w:rPr>
                            <w:color w:val="231F20"/>
                            <w:spacing w:val="-3"/>
                            <w:w w:val="105"/>
                            <w:sz w:val="11"/>
                          </w:rPr>
                          <w:t>Van</w:t>
                        </w:r>
                      </w:p>
                      <w:p w14:paraId="53D3563D" w14:textId="77777777" w:rsidR="00080B77" w:rsidRDefault="00080B77">
                        <w:pPr>
                          <w:pStyle w:val="TableParagraph"/>
                          <w:spacing w:before="17"/>
                          <w:ind w:left="18"/>
                          <w:rPr>
                            <w:sz w:val="11"/>
                          </w:rPr>
                        </w:pPr>
                        <w:r>
                          <w:rPr>
                            <w:color w:val="231F20"/>
                            <w:w w:val="105"/>
                            <w:sz w:val="11"/>
                          </w:rPr>
                          <w:t>(rallies, campaigns), Video Show done</w:t>
                        </w:r>
                      </w:p>
                    </w:tc>
                    <w:tc>
                      <w:tcPr>
                        <w:tcW w:w="1415" w:type="dxa"/>
                        <w:tcBorders>
                          <w:top w:val="single" w:sz="6" w:space="0" w:color="231F20"/>
                          <w:left w:val="single" w:sz="6" w:space="0" w:color="231F20"/>
                          <w:right w:val="single" w:sz="6" w:space="0" w:color="231F20"/>
                        </w:tcBorders>
                        <w:shd w:val="clear" w:color="auto" w:fill="CCE7D3"/>
                      </w:tcPr>
                      <w:p w14:paraId="6DA0540C" w14:textId="77777777" w:rsidR="00080B77" w:rsidRDefault="00080B77">
                        <w:pPr>
                          <w:pStyle w:val="TableParagraph"/>
                          <w:rPr>
                            <w:rFonts w:ascii="Times New Roman"/>
                            <w:sz w:val="10"/>
                          </w:rPr>
                        </w:pPr>
                      </w:p>
                    </w:tc>
                    <w:tc>
                      <w:tcPr>
                        <w:tcW w:w="1493" w:type="dxa"/>
                        <w:tcBorders>
                          <w:top w:val="single" w:sz="6" w:space="0" w:color="231F20"/>
                          <w:left w:val="single" w:sz="6" w:space="0" w:color="231F20"/>
                          <w:right w:val="single" w:sz="6" w:space="0" w:color="231F20"/>
                        </w:tcBorders>
                        <w:shd w:val="clear" w:color="auto" w:fill="CCE7D3"/>
                      </w:tcPr>
                      <w:p w14:paraId="3AC55429" w14:textId="77777777" w:rsidR="00080B77" w:rsidRDefault="00080B77">
                        <w:pPr>
                          <w:pStyle w:val="TableParagraph"/>
                          <w:rPr>
                            <w:rFonts w:ascii="Times New Roman"/>
                            <w:sz w:val="10"/>
                          </w:rPr>
                        </w:pPr>
                      </w:p>
                    </w:tc>
                  </w:tr>
                </w:tbl>
                <w:p w14:paraId="3FE1D88F" w14:textId="77777777" w:rsidR="00080B77" w:rsidRDefault="00080B77">
                  <w:pPr>
                    <w:pStyle w:val="BodyText"/>
                  </w:pPr>
                </w:p>
              </w:txbxContent>
            </v:textbox>
            <w10:wrap anchorx="page" anchory="page"/>
          </v:shape>
        </w:pict>
      </w:r>
    </w:p>
    <w:p w14:paraId="655C3E75" w14:textId="77777777" w:rsidR="009948F1" w:rsidRDefault="009948F1">
      <w:pPr>
        <w:pStyle w:val="BodyText"/>
        <w:rPr>
          <w:sz w:val="20"/>
        </w:rPr>
      </w:pPr>
    </w:p>
    <w:p w14:paraId="1ED4EB32" w14:textId="77777777" w:rsidR="009948F1" w:rsidRDefault="009948F1">
      <w:pPr>
        <w:pStyle w:val="BodyText"/>
        <w:rPr>
          <w:sz w:val="20"/>
        </w:rPr>
      </w:pPr>
    </w:p>
    <w:p w14:paraId="694F9BBA" w14:textId="77777777" w:rsidR="009948F1" w:rsidRDefault="009948F1">
      <w:pPr>
        <w:pStyle w:val="BodyText"/>
        <w:rPr>
          <w:sz w:val="20"/>
        </w:rPr>
      </w:pPr>
    </w:p>
    <w:p w14:paraId="2E16221C" w14:textId="77777777" w:rsidR="009948F1" w:rsidRDefault="009948F1">
      <w:pPr>
        <w:pStyle w:val="BodyText"/>
        <w:rPr>
          <w:sz w:val="20"/>
        </w:rPr>
      </w:pPr>
    </w:p>
    <w:p w14:paraId="22276976" w14:textId="77777777" w:rsidR="009948F1" w:rsidRDefault="009948F1">
      <w:pPr>
        <w:pStyle w:val="BodyText"/>
        <w:rPr>
          <w:sz w:val="20"/>
        </w:rPr>
      </w:pPr>
    </w:p>
    <w:p w14:paraId="5D058CD0" w14:textId="77777777" w:rsidR="009948F1" w:rsidRDefault="009948F1">
      <w:pPr>
        <w:pStyle w:val="BodyText"/>
        <w:rPr>
          <w:sz w:val="20"/>
        </w:rPr>
      </w:pPr>
    </w:p>
    <w:p w14:paraId="38F7E333" w14:textId="77777777" w:rsidR="009948F1" w:rsidRDefault="009948F1">
      <w:pPr>
        <w:pStyle w:val="BodyText"/>
        <w:rPr>
          <w:sz w:val="20"/>
        </w:rPr>
      </w:pPr>
    </w:p>
    <w:p w14:paraId="18D3FAFD" w14:textId="77777777" w:rsidR="009948F1" w:rsidRDefault="009948F1">
      <w:pPr>
        <w:pStyle w:val="BodyText"/>
        <w:rPr>
          <w:sz w:val="20"/>
        </w:rPr>
      </w:pPr>
    </w:p>
    <w:p w14:paraId="17507F20" w14:textId="77777777" w:rsidR="009948F1" w:rsidRDefault="009948F1">
      <w:pPr>
        <w:pStyle w:val="BodyText"/>
        <w:rPr>
          <w:sz w:val="20"/>
        </w:rPr>
      </w:pPr>
    </w:p>
    <w:p w14:paraId="06299F7B" w14:textId="77777777" w:rsidR="009948F1" w:rsidRDefault="009948F1">
      <w:pPr>
        <w:pStyle w:val="BodyText"/>
        <w:rPr>
          <w:sz w:val="20"/>
        </w:rPr>
      </w:pPr>
    </w:p>
    <w:p w14:paraId="05D7F5A6" w14:textId="77777777" w:rsidR="009948F1" w:rsidRDefault="009948F1">
      <w:pPr>
        <w:pStyle w:val="BodyText"/>
        <w:rPr>
          <w:sz w:val="20"/>
        </w:rPr>
      </w:pPr>
    </w:p>
    <w:p w14:paraId="48F78B1D" w14:textId="77777777" w:rsidR="009948F1" w:rsidRDefault="009948F1">
      <w:pPr>
        <w:pStyle w:val="BodyText"/>
        <w:rPr>
          <w:sz w:val="20"/>
        </w:rPr>
      </w:pPr>
    </w:p>
    <w:p w14:paraId="5BA0BF02" w14:textId="77777777" w:rsidR="009948F1" w:rsidRDefault="009948F1">
      <w:pPr>
        <w:pStyle w:val="BodyText"/>
        <w:rPr>
          <w:sz w:val="20"/>
        </w:rPr>
      </w:pPr>
    </w:p>
    <w:p w14:paraId="40CCAA03" w14:textId="77777777" w:rsidR="009948F1" w:rsidRDefault="009948F1">
      <w:pPr>
        <w:pStyle w:val="BodyText"/>
        <w:rPr>
          <w:sz w:val="20"/>
        </w:rPr>
      </w:pPr>
    </w:p>
    <w:p w14:paraId="06A2F95A" w14:textId="77777777" w:rsidR="009948F1" w:rsidRDefault="009948F1">
      <w:pPr>
        <w:pStyle w:val="BodyText"/>
        <w:rPr>
          <w:sz w:val="20"/>
        </w:rPr>
      </w:pPr>
    </w:p>
    <w:p w14:paraId="3544B761" w14:textId="77777777" w:rsidR="009948F1" w:rsidRDefault="009948F1">
      <w:pPr>
        <w:pStyle w:val="BodyText"/>
        <w:rPr>
          <w:sz w:val="20"/>
        </w:rPr>
      </w:pPr>
    </w:p>
    <w:p w14:paraId="283BDB3B" w14:textId="77777777" w:rsidR="009948F1" w:rsidRDefault="009948F1">
      <w:pPr>
        <w:pStyle w:val="BodyText"/>
        <w:rPr>
          <w:sz w:val="20"/>
        </w:rPr>
      </w:pPr>
    </w:p>
    <w:p w14:paraId="1B563BDB" w14:textId="77777777" w:rsidR="009948F1" w:rsidRDefault="009948F1">
      <w:pPr>
        <w:pStyle w:val="BodyText"/>
        <w:rPr>
          <w:sz w:val="20"/>
        </w:rPr>
      </w:pPr>
    </w:p>
    <w:p w14:paraId="5642F6BB" w14:textId="77777777" w:rsidR="009948F1" w:rsidRDefault="009948F1">
      <w:pPr>
        <w:pStyle w:val="BodyText"/>
        <w:rPr>
          <w:sz w:val="20"/>
        </w:rPr>
      </w:pPr>
    </w:p>
    <w:p w14:paraId="62004A49" w14:textId="77777777" w:rsidR="009948F1" w:rsidRDefault="009948F1">
      <w:pPr>
        <w:pStyle w:val="BodyText"/>
        <w:rPr>
          <w:sz w:val="20"/>
        </w:rPr>
      </w:pPr>
    </w:p>
    <w:p w14:paraId="402EB101" w14:textId="77777777" w:rsidR="009948F1" w:rsidRDefault="009948F1">
      <w:pPr>
        <w:pStyle w:val="BodyText"/>
        <w:rPr>
          <w:sz w:val="20"/>
        </w:rPr>
      </w:pPr>
    </w:p>
    <w:p w14:paraId="5A494F13" w14:textId="77777777" w:rsidR="009948F1" w:rsidRDefault="009948F1">
      <w:pPr>
        <w:pStyle w:val="BodyText"/>
        <w:rPr>
          <w:sz w:val="20"/>
        </w:rPr>
      </w:pPr>
    </w:p>
    <w:p w14:paraId="496B7254" w14:textId="77777777" w:rsidR="009948F1" w:rsidRDefault="009948F1">
      <w:pPr>
        <w:pStyle w:val="BodyText"/>
        <w:rPr>
          <w:sz w:val="20"/>
        </w:rPr>
      </w:pPr>
    </w:p>
    <w:p w14:paraId="3A0DE5F8" w14:textId="77777777" w:rsidR="009948F1" w:rsidRDefault="009948F1">
      <w:pPr>
        <w:pStyle w:val="BodyText"/>
        <w:rPr>
          <w:sz w:val="20"/>
        </w:rPr>
      </w:pPr>
    </w:p>
    <w:p w14:paraId="423C32AF" w14:textId="77777777" w:rsidR="009948F1" w:rsidRDefault="009948F1">
      <w:pPr>
        <w:pStyle w:val="BodyText"/>
        <w:rPr>
          <w:sz w:val="20"/>
        </w:rPr>
      </w:pPr>
    </w:p>
    <w:p w14:paraId="1A714A61" w14:textId="77777777" w:rsidR="009948F1" w:rsidRDefault="009948F1">
      <w:pPr>
        <w:pStyle w:val="BodyText"/>
        <w:rPr>
          <w:sz w:val="20"/>
        </w:rPr>
      </w:pPr>
    </w:p>
    <w:p w14:paraId="073F26CF" w14:textId="77777777" w:rsidR="009948F1" w:rsidRDefault="009948F1">
      <w:pPr>
        <w:pStyle w:val="BodyText"/>
        <w:rPr>
          <w:sz w:val="20"/>
        </w:rPr>
      </w:pPr>
    </w:p>
    <w:p w14:paraId="1CC09630" w14:textId="77777777" w:rsidR="009948F1" w:rsidRDefault="009948F1">
      <w:pPr>
        <w:pStyle w:val="BodyText"/>
        <w:rPr>
          <w:sz w:val="20"/>
        </w:rPr>
      </w:pPr>
    </w:p>
    <w:p w14:paraId="234E71C0" w14:textId="77777777" w:rsidR="009948F1" w:rsidRDefault="009948F1">
      <w:pPr>
        <w:pStyle w:val="BodyText"/>
        <w:rPr>
          <w:sz w:val="20"/>
        </w:rPr>
      </w:pPr>
    </w:p>
    <w:p w14:paraId="136EA314" w14:textId="77777777" w:rsidR="009948F1" w:rsidRDefault="009948F1">
      <w:pPr>
        <w:pStyle w:val="BodyText"/>
        <w:rPr>
          <w:sz w:val="20"/>
        </w:rPr>
      </w:pPr>
    </w:p>
    <w:p w14:paraId="1672DEF4" w14:textId="77777777" w:rsidR="009948F1" w:rsidRDefault="009948F1">
      <w:pPr>
        <w:pStyle w:val="BodyText"/>
        <w:rPr>
          <w:sz w:val="20"/>
        </w:rPr>
      </w:pPr>
    </w:p>
    <w:p w14:paraId="4FE00251" w14:textId="77777777" w:rsidR="009948F1" w:rsidRDefault="009948F1">
      <w:pPr>
        <w:pStyle w:val="BodyText"/>
        <w:rPr>
          <w:sz w:val="20"/>
        </w:rPr>
      </w:pPr>
    </w:p>
    <w:p w14:paraId="5FC5C8CC" w14:textId="77777777" w:rsidR="009948F1" w:rsidRDefault="009948F1">
      <w:pPr>
        <w:pStyle w:val="BodyText"/>
        <w:rPr>
          <w:sz w:val="20"/>
        </w:rPr>
      </w:pPr>
    </w:p>
    <w:p w14:paraId="41B51F1D" w14:textId="77777777" w:rsidR="009948F1" w:rsidRDefault="009948F1">
      <w:pPr>
        <w:pStyle w:val="BodyText"/>
        <w:rPr>
          <w:sz w:val="20"/>
        </w:rPr>
      </w:pPr>
    </w:p>
    <w:p w14:paraId="5C776FAE" w14:textId="77777777" w:rsidR="009948F1" w:rsidRDefault="009948F1">
      <w:pPr>
        <w:pStyle w:val="BodyText"/>
        <w:rPr>
          <w:sz w:val="20"/>
        </w:rPr>
      </w:pPr>
    </w:p>
    <w:p w14:paraId="6D043F60" w14:textId="77777777" w:rsidR="009948F1" w:rsidRDefault="009948F1">
      <w:pPr>
        <w:pStyle w:val="BodyText"/>
        <w:rPr>
          <w:sz w:val="20"/>
        </w:rPr>
      </w:pPr>
    </w:p>
    <w:p w14:paraId="5700258F" w14:textId="77777777" w:rsidR="009948F1" w:rsidRDefault="009948F1">
      <w:pPr>
        <w:pStyle w:val="BodyText"/>
        <w:rPr>
          <w:sz w:val="20"/>
        </w:rPr>
      </w:pPr>
    </w:p>
    <w:p w14:paraId="3BADB724" w14:textId="77777777" w:rsidR="009948F1" w:rsidRDefault="009948F1">
      <w:pPr>
        <w:pStyle w:val="BodyText"/>
        <w:rPr>
          <w:sz w:val="20"/>
        </w:rPr>
      </w:pPr>
    </w:p>
    <w:p w14:paraId="1257B1E7" w14:textId="77777777" w:rsidR="009948F1" w:rsidRDefault="009948F1">
      <w:pPr>
        <w:pStyle w:val="BodyText"/>
        <w:rPr>
          <w:sz w:val="20"/>
        </w:rPr>
      </w:pPr>
    </w:p>
    <w:p w14:paraId="4950ABE1" w14:textId="77777777" w:rsidR="009948F1" w:rsidRDefault="009948F1">
      <w:pPr>
        <w:pStyle w:val="BodyText"/>
        <w:rPr>
          <w:sz w:val="20"/>
        </w:rPr>
      </w:pPr>
    </w:p>
    <w:p w14:paraId="36DEC316" w14:textId="77777777" w:rsidR="009948F1" w:rsidRDefault="009948F1">
      <w:pPr>
        <w:pStyle w:val="BodyText"/>
        <w:spacing w:before="2"/>
        <w:rPr>
          <w:sz w:val="25"/>
        </w:rPr>
      </w:pPr>
    </w:p>
    <w:p w14:paraId="1AEEEF7F" w14:textId="77777777" w:rsidR="009948F1" w:rsidRDefault="00BC0563">
      <w:pPr>
        <w:spacing w:before="87"/>
        <w:ind w:left="4243"/>
        <w:rPr>
          <w:sz w:val="11"/>
        </w:rPr>
      </w:pPr>
      <w:bookmarkStart w:id="195" w:name="Page_169"/>
      <w:bookmarkEnd w:id="195"/>
      <w:r>
        <w:rPr>
          <w:color w:val="231F20"/>
          <w:w w:val="105"/>
          <w:sz w:val="11"/>
        </w:rPr>
        <w:t>and adequate transportation of the samples</w:t>
      </w:r>
    </w:p>
    <w:p w14:paraId="5B66A012" w14:textId="77777777" w:rsidR="009948F1" w:rsidRDefault="009948F1">
      <w:pPr>
        <w:rPr>
          <w:sz w:val="11"/>
        </w:rPr>
        <w:sectPr w:rsidR="009948F1">
          <w:pgSz w:w="11910" w:h="16840"/>
          <w:pgMar w:top="1260" w:right="1080" w:bottom="1340" w:left="1120" w:header="0" w:footer="1155" w:gutter="0"/>
          <w:cols w:space="720"/>
        </w:sectPr>
      </w:pPr>
    </w:p>
    <w:tbl>
      <w:tblPr>
        <w:tblW w:w="0" w:type="auto"/>
        <w:tblInd w:w="19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84"/>
        <w:gridCol w:w="555"/>
        <w:gridCol w:w="2652"/>
        <w:gridCol w:w="2518"/>
        <w:gridCol w:w="1507"/>
        <w:gridCol w:w="1590"/>
      </w:tblGrid>
      <w:tr w:rsidR="009948F1" w14:paraId="330E38B4" w14:textId="77777777">
        <w:trPr>
          <w:trHeight w:val="673"/>
        </w:trPr>
        <w:tc>
          <w:tcPr>
            <w:tcW w:w="484" w:type="dxa"/>
            <w:vMerge w:val="restart"/>
            <w:tcBorders>
              <w:bottom w:val="single" w:sz="6" w:space="0" w:color="231F20"/>
              <w:right w:val="single" w:sz="6" w:space="0" w:color="231F20"/>
            </w:tcBorders>
          </w:tcPr>
          <w:p w14:paraId="0B17B094" w14:textId="77777777" w:rsidR="009948F1" w:rsidRDefault="009948F1">
            <w:pPr>
              <w:pStyle w:val="TableParagraph"/>
              <w:rPr>
                <w:rFonts w:ascii="Times New Roman"/>
                <w:sz w:val="12"/>
              </w:rPr>
            </w:pPr>
          </w:p>
        </w:tc>
        <w:tc>
          <w:tcPr>
            <w:tcW w:w="555" w:type="dxa"/>
            <w:tcBorders>
              <w:left w:val="single" w:sz="6" w:space="0" w:color="231F20"/>
              <w:bottom w:val="single" w:sz="6" w:space="0" w:color="231F20"/>
              <w:right w:val="single" w:sz="6" w:space="0" w:color="231F20"/>
            </w:tcBorders>
          </w:tcPr>
          <w:p w14:paraId="26DDCFAB" w14:textId="77777777" w:rsidR="009948F1" w:rsidRDefault="009948F1">
            <w:pPr>
              <w:pStyle w:val="TableParagraph"/>
              <w:rPr>
                <w:sz w:val="12"/>
              </w:rPr>
            </w:pPr>
          </w:p>
          <w:p w14:paraId="2674ABEA" w14:textId="77777777" w:rsidR="009948F1" w:rsidRDefault="009948F1">
            <w:pPr>
              <w:pStyle w:val="TableParagraph"/>
              <w:spacing w:before="2"/>
              <w:rPr>
                <w:sz w:val="11"/>
              </w:rPr>
            </w:pPr>
          </w:p>
          <w:p w14:paraId="64F3ECD9" w14:textId="77777777" w:rsidR="009948F1" w:rsidRDefault="00BC0563">
            <w:pPr>
              <w:pStyle w:val="TableParagraph"/>
              <w:spacing w:before="1"/>
              <w:ind w:left="32" w:right="11"/>
              <w:jc w:val="center"/>
              <w:rPr>
                <w:sz w:val="12"/>
              </w:rPr>
            </w:pPr>
            <w:bookmarkStart w:id="196" w:name="Page_170"/>
            <w:bookmarkEnd w:id="196"/>
            <w:r>
              <w:rPr>
                <w:color w:val="231F20"/>
                <w:w w:val="105"/>
                <w:sz w:val="12"/>
              </w:rPr>
              <w:t>14.1.4.a</w:t>
            </w:r>
          </w:p>
        </w:tc>
        <w:tc>
          <w:tcPr>
            <w:tcW w:w="5170" w:type="dxa"/>
            <w:gridSpan w:val="2"/>
            <w:tcBorders>
              <w:left w:val="single" w:sz="6" w:space="0" w:color="231F20"/>
              <w:bottom w:val="single" w:sz="6" w:space="0" w:color="231F20"/>
              <w:right w:val="single" w:sz="6" w:space="0" w:color="231F20"/>
            </w:tcBorders>
          </w:tcPr>
          <w:p w14:paraId="7CD22D8D" w14:textId="77777777" w:rsidR="009948F1" w:rsidRDefault="00BC0563">
            <w:pPr>
              <w:pStyle w:val="TableParagraph"/>
              <w:spacing w:before="44" w:line="254" w:lineRule="auto"/>
              <w:ind w:left="27" w:right="101"/>
              <w:rPr>
                <w:sz w:val="12"/>
              </w:rPr>
            </w:pPr>
            <w:r>
              <w:rPr>
                <w:color w:val="231F20"/>
                <w:w w:val="105"/>
                <w:sz w:val="12"/>
              </w:rPr>
              <w:t>Advocacy/sensitization meetings with the Key Stakeholders- NMA, NANNAM, AGMPPH, NLC, MHWU, Pharmaceutical Society of Nigeria, MWAN, Traditional rulers, Religious leaders, women leaders, Media Executives NUJ, NAWOJ, RATTAWU, NOA, Rotary Club, Red Cross, Lions Club, Market Women leaders on public health emergencies</w:t>
            </w:r>
          </w:p>
        </w:tc>
        <w:tc>
          <w:tcPr>
            <w:tcW w:w="1507" w:type="dxa"/>
            <w:tcBorders>
              <w:left w:val="single" w:sz="6" w:space="0" w:color="231F20"/>
              <w:bottom w:val="single" w:sz="6" w:space="0" w:color="231F20"/>
              <w:right w:val="single" w:sz="6" w:space="0" w:color="231F20"/>
            </w:tcBorders>
          </w:tcPr>
          <w:p w14:paraId="262A6991" w14:textId="77777777" w:rsidR="009948F1" w:rsidRDefault="009948F1">
            <w:pPr>
              <w:pStyle w:val="TableParagraph"/>
              <w:rPr>
                <w:sz w:val="12"/>
              </w:rPr>
            </w:pPr>
          </w:p>
          <w:p w14:paraId="4420B685" w14:textId="77777777" w:rsidR="009948F1" w:rsidRDefault="009948F1">
            <w:pPr>
              <w:pStyle w:val="TableParagraph"/>
              <w:spacing w:before="2"/>
              <w:rPr>
                <w:sz w:val="11"/>
              </w:rPr>
            </w:pPr>
          </w:p>
          <w:p w14:paraId="3606D3CD" w14:textId="77777777" w:rsidR="009948F1" w:rsidRDefault="00BC0563">
            <w:pPr>
              <w:pStyle w:val="TableParagraph"/>
              <w:spacing w:before="1"/>
              <w:ind w:left="28"/>
              <w:rPr>
                <w:sz w:val="12"/>
              </w:rPr>
            </w:pPr>
            <w:r>
              <w:rPr>
                <w:color w:val="231F20"/>
                <w:w w:val="105"/>
                <w:sz w:val="12"/>
              </w:rPr>
              <w:t>Lack of funds</w:t>
            </w:r>
          </w:p>
        </w:tc>
        <w:tc>
          <w:tcPr>
            <w:tcW w:w="1590" w:type="dxa"/>
            <w:tcBorders>
              <w:left w:val="single" w:sz="6" w:space="0" w:color="231F20"/>
              <w:bottom w:val="single" w:sz="6" w:space="0" w:color="231F20"/>
            </w:tcBorders>
          </w:tcPr>
          <w:p w14:paraId="3EF81DE3" w14:textId="77777777" w:rsidR="009948F1" w:rsidRDefault="009948F1">
            <w:pPr>
              <w:pStyle w:val="TableParagraph"/>
              <w:spacing w:before="11"/>
              <w:rPr>
                <w:sz w:val="16"/>
              </w:rPr>
            </w:pPr>
          </w:p>
          <w:p w14:paraId="4F9F7311" w14:textId="1CBBEB30" w:rsidR="009948F1" w:rsidRDefault="00BC0563">
            <w:pPr>
              <w:pStyle w:val="TableParagraph"/>
              <w:spacing w:line="254" w:lineRule="auto"/>
              <w:ind w:left="28"/>
              <w:rPr>
                <w:sz w:val="12"/>
              </w:rPr>
            </w:pPr>
            <w:r>
              <w:rPr>
                <w:color w:val="231F20"/>
                <w:sz w:val="12"/>
              </w:rPr>
              <w:t>Advocacy/</w:t>
            </w:r>
            <w:r w:rsidR="002049E3">
              <w:rPr>
                <w:color w:val="231F20"/>
                <w:sz w:val="12"/>
              </w:rPr>
              <w:t>sensitization</w:t>
            </w:r>
            <w:r>
              <w:rPr>
                <w:color w:val="231F20"/>
                <w:sz w:val="12"/>
              </w:rPr>
              <w:t xml:space="preserve"> </w:t>
            </w:r>
            <w:r>
              <w:rPr>
                <w:color w:val="231F20"/>
                <w:w w:val="105"/>
                <w:sz w:val="12"/>
              </w:rPr>
              <w:t>meeting</w:t>
            </w:r>
          </w:p>
        </w:tc>
      </w:tr>
      <w:tr w:rsidR="009948F1" w14:paraId="76E149CA" w14:textId="77777777">
        <w:trPr>
          <w:trHeight w:val="457"/>
        </w:trPr>
        <w:tc>
          <w:tcPr>
            <w:tcW w:w="484" w:type="dxa"/>
            <w:vMerge/>
            <w:tcBorders>
              <w:top w:val="nil"/>
              <w:bottom w:val="single" w:sz="6" w:space="0" w:color="231F20"/>
              <w:right w:val="single" w:sz="6" w:space="0" w:color="231F20"/>
            </w:tcBorders>
          </w:tcPr>
          <w:p w14:paraId="43A22FF3"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40165FF5" w14:textId="77777777" w:rsidR="009948F1" w:rsidRDefault="009948F1">
            <w:pPr>
              <w:pStyle w:val="TableParagraph"/>
              <w:spacing w:before="10"/>
              <w:rPr>
                <w:sz w:val="13"/>
              </w:rPr>
            </w:pPr>
          </w:p>
          <w:p w14:paraId="356C1C50" w14:textId="77777777" w:rsidR="009948F1" w:rsidRDefault="00BC0563">
            <w:pPr>
              <w:pStyle w:val="TableParagraph"/>
              <w:ind w:left="32" w:right="11"/>
              <w:jc w:val="center"/>
              <w:rPr>
                <w:sz w:val="12"/>
              </w:rPr>
            </w:pPr>
            <w:r>
              <w:rPr>
                <w:color w:val="231F20"/>
                <w:w w:val="105"/>
                <w:sz w:val="12"/>
              </w:rPr>
              <w:t>14.1.4.b</w:t>
            </w:r>
          </w:p>
        </w:tc>
        <w:tc>
          <w:tcPr>
            <w:tcW w:w="5170" w:type="dxa"/>
            <w:gridSpan w:val="2"/>
            <w:tcBorders>
              <w:top w:val="single" w:sz="6" w:space="0" w:color="231F20"/>
              <w:left w:val="single" w:sz="6" w:space="0" w:color="231F20"/>
              <w:bottom w:val="single" w:sz="6" w:space="0" w:color="231F20"/>
              <w:right w:val="single" w:sz="6" w:space="0" w:color="231F20"/>
            </w:tcBorders>
          </w:tcPr>
          <w:p w14:paraId="0F86E888" w14:textId="01276061" w:rsidR="009948F1" w:rsidRDefault="00BC0563">
            <w:pPr>
              <w:pStyle w:val="TableParagraph"/>
              <w:spacing w:before="81" w:line="254" w:lineRule="auto"/>
              <w:ind w:left="27" w:right="101"/>
              <w:rPr>
                <w:sz w:val="12"/>
              </w:rPr>
            </w:pPr>
            <w:r>
              <w:rPr>
                <w:color w:val="231F20"/>
                <w:w w:val="105"/>
                <w:sz w:val="12"/>
              </w:rPr>
              <w:t xml:space="preserve">Design, print and distribute materials on public health emergencies for public education (IEC materials, posters, flyers, jingles </w:t>
            </w:r>
            <w:r w:rsidR="002049E3">
              <w:rPr>
                <w:color w:val="231F20"/>
                <w:w w:val="105"/>
                <w:sz w:val="12"/>
              </w:rPr>
              <w:t>etc.</w:t>
            </w:r>
            <w:r>
              <w:rPr>
                <w:color w:val="231F20"/>
                <w:w w:val="105"/>
                <w:sz w:val="12"/>
              </w:rPr>
              <w:t>)</w:t>
            </w:r>
          </w:p>
        </w:tc>
        <w:tc>
          <w:tcPr>
            <w:tcW w:w="1507" w:type="dxa"/>
            <w:tcBorders>
              <w:top w:val="single" w:sz="6" w:space="0" w:color="231F20"/>
              <w:left w:val="single" w:sz="6" w:space="0" w:color="231F20"/>
              <w:bottom w:val="single" w:sz="6" w:space="0" w:color="231F20"/>
              <w:right w:val="single" w:sz="6" w:space="0" w:color="231F20"/>
            </w:tcBorders>
          </w:tcPr>
          <w:p w14:paraId="4593571D" w14:textId="77777777" w:rsidR="009948F1" w:rsidRDefault="009948F1">
            <w:pPr>
              <w:pStyle w:val="TableParagraph"/>
              <w:spacing w:before="10"/>
              <w:rPr>
                <w:sz w:val="13"/>
              </w:rPr>
            </w:pPr>
          </w:p>
          <w:p w14:paraId="4081C5BB"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4D8B7ABD" w14:textId="77777777" w:rsidR="009948F1" w:rsidRDefault="009948F1">
            <w:pPr>
              <w:pStyle w:val="TableParagraph"/>
              <w:spacing w:before="10"/>
              <w:rPr>
                <w:sz w:val="13"/>
              </w:rPr>
            </w:pPr>
          </w:p>
          <w:p w14:paraId="7AF07C66" w14:textId="77777777" w:rsidR="009948F1" w:rsidRDefault="00BC0563">
            <w:pPr>
              <w:pStyle w:val="TableParagraph"/>
              <w:ind w:left="28"/>
              <w:rPr>
                <w:sz w:val="12"/>
              </w:rPr>
            </w:pPr>
            <w:r>
              <w:rPr>
                <w:color w:val="231F20"/>
                <w:w w:val="105"/>
                <w:sz w:val="12"/>
              </w:rPr>
              <w:t>Design, print and distribute</w:t>
            </w:r>
          </w:p>
        </w:tc>
      </w:tr>
      <w:tr w:rsidR="009948F1" w14:paraId="0AF778B3" w14:textId="77777777">
        <w:trPr>
          <w:trHeight w:val="572"/>
        </w:trPr>
        <w:tc>
          <w:tcPr>
            <w:tcW w:w="484" w:type="dxa"/>
            <w:vMerge/>
            <w:tcBorders>
              <w:top w:val="nil"/>
              <w:bottom w:val="single" w:sz="6" w:space="0" w:color="231F20"/>
              <w:right w:val="single" w:sz="6" w:space="0" w:color="231F20"/>
            </w:tcBorders>
          </w:tcPr>
          <w:p w14:paraId="3BD8CA96"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06E0AE3E" w14:textId="77777777" w:rsidR="009948F1" w:rsidRDefault="009948F1">
            <w:pPr>
              <w:pStyle w:val="TableParagraph"/>
              <w:rPr>
                <w:sz w:val="12"/>
              </w:rPr>
            </w:pPr>
          </w:p>
          <w:p w14:paraId="74893A84" w14:textId="77777777" w:rsidR="009948F1" w:rsidRDefault="00BC0563">
            <w:pPr>
              <w:pStyle w:val="TableParagraph"/>
              <w:spacing w:before="78"/>
              <w:ind w:left="32" w:right="11"/>
              <w:jc w:val="center"/>
              <w:rPr>
                <w:sz w:val="12"/>
              </w:rPr>
            </w:pPr>
            <w:r>
              <w:rPr>
                <w:color w:val="231F20"/>
                <w:w w:val="105"/>
                <w:sz w:val="12"/>
              </w:rPr>
              <w:t>14.1.4.c</w:t>
            </w:r>
          </w:p>
        </w:tc>
        <w:tc>
          <w:tcPr>
            <w:tcW w:w="5170" w:type="dxa"/>
            <w:gridSpan w:val="2"/>
            <w:tcBorders>
              <w:top w:val="single" w:sz="6" w:space="0" w:color="231F20"/>
              <w:left w:val="single" w:sz="6" w:space="0" w:color="231F20"/>
              <w:bottom w:val="single" w:sz="6" w:space="0" w:color="231F20"/>
              <w:right w:val="single" w:sz="6" w:space="0" w:color="231F20"/>
            </w:tcBorders>
          </w:tcPr>
          <w:p w14:paraId="4F96CA6B" w14:textId="77777777" w:rsidR="009948F1" w:rsidRDefault="009948F1">
            <w:pPr>
              <w:pStyle w:val="TableParagraph"/>
              <w:spacing w:before="1"/>
              <w:rPr>
                <w:sz w:val="12"/>
              </w:rPr>
            </w:pPr>
          </w:p>
          <w:p w14:paraId="66E05D6F" w14:textId="533E82D4" w:rsidR="009948F1" w:rsidRDefault="00BC0563">
            <w:pPr>
              <w:pStyle w:val="TableParagraph"/>
              <w:spacing w:line="254" w:lineRule="auto"/>
              <w:ind w:left="27"/>
              <w:rPr>
                <w:sz w:val="12"/>
              </w:rPr>
            </w:pPr>
            <w:r>
              <w:rPr>
                <w:color w:val="231F20"/>
                <w:w w:val="105"/>
                <w:sz w:val="12"/>
              </w:rPr>
              <w:t xml:space="preserve">Conduct mass edutainment on Lassa Fever, Dengue fever, cholera, </w:t>
            </w:r>
            <w:r w:rsidR="002049E3">
              <w:rPr>
                <w:color w:val="231F20"/>
                <w:w w:val="105"/>
                <w:sz w:val="12"/>
              </w:rPr>
              <w:t>monkey pox</w:t>
            </w:r>
            <w:r>
              <w:rPr>
                <w:color w:val="231F20"/>
                <w:w w:val="105"/>
                <w:sz w:val="12"/>
              </w:rPr>
              <w:t xml:space="preserve"> and other infectious diseases</w:t>
            </w:r>
          </w:p>
        </w:tc>
        <w:tc>
          <w:tcPr>
            <w:tcW w:w="1507" w:type="dxa"/>
            <w:tcBorders>
              <w:top w:val="single" w:sz="6" w:space="0" w:color="231F20"/>
              <w:left w:val="single" w:sz="6" w:space="0" w:color="231F20"/>
              <w:bottom w:val="single" w:sz="6" w:space="0" w:color="231F20"/>
              <w:right w:val="single" w:sz="6" w:space="0" w:color="231F20"/>
            </w:tcBorders>
          </w:tcPr>
          <w:p w14:paraId="486D611C" w14:textId="77777777" w:rsidR="009948F1" w:rsidRDefault="009948F1">
            <w:pPr>
              <w:pStyle w:val="TableParagraph"/>
              <w:rPr>
                <w:sz w:val="12"/>
              </w:rPr>
            </w:pPr>
          </w:p>
          <w:p w14:paraId="27335DB1" w14:textId="77777777" w:rsidR="009948F1" w:rsidRDefault="00BC0563">
            <w:pPr>
              <w:pStyle w:val="TableParagraph"/>
              <w:spacing w:before="78"/>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789E2611" w14:textId="77777777" w:rsidR="009948F1" w:rsidRDefault="009948F1">
            <w:pPr>
              <w:pStyle w:val="TableParagraph"/>
              <w:rPr>
                <w:sz w:val="12"/>
              </w:rPr>
            </w:pPr>
          </w:p>
          <w:p w14:paraId="6627410D" w14:textId="77777777" w:rsidR="009948F1" w:rsidRDefault="00BC0563">
            <w:pPr>
              <w:pStyle w:val="TableParagraph"/>
              <w:spacing w:before="78"/>
              <w:ind w:left="28"/>
              <w:rPr>
                <w:sz w:val="12"/>
              </w:rPr>
            </w:pPr>
            <w:r>
              <w:rPr>
                <w:color w:val="231F20"/>
                <w:w w:val="105"/>
                <w:sz w:val="12"/>
              </w:rPr>
              <w:t>Conduct mass edutainment</w:t>
            </w:r>
          </w:p>
        </w:tc>
      </w:tr>
      <w:tr w:rsidR="009948F1" w14:paraId="1DE25613" w14:textId="77777777">
        <w:trPr>
          <w:trHeight w:val="371"/>
        </w:trPr>
        <w:tc>
          <w:tcPr>
            <w:tcW w:w="484" w:type="dxa"/>
            <w:vMerge/>
            <w:tcBorders>
              <w:top w:val="nil"/>
              <w:bottom w:val="single" w:sz="6" w:space="0" w:color="231F20"/>
              <w:right w:val="single" w:sz="6" w:space="0" w:color="231F20"/>
            </w:tcBorders>
          </w:tcPr>
          <w:p w14:paraId="52DE30DC"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31054CDA" w14:textId="77777777" w:rsidR="009948F1" w:rsidRDefault="009948F1">
            <w:pPr>
              <w:pStyle w:val="TableParagraph"/>
              <w:rPr>
                <w:sz w:val="10"/>
              </w:rPr>
            </w:pPr>
          </w:p>
          <w:p w14:paraId="3362145F" w14:textId="77777777" w:rsidR="009948F1" w:rsidRDefault="00BC0563">
            <w:pPr>
              <w:pStyle w:val="TableParagraph"/>
              <w:ind w:left="32" w:right="11"/>
              <w:jc w:val="center"/>
              <w:rPr>
                <w:sz w:val="12"/>
              </w:rPr>
            </w:pPr>
            <w:r>
              <w:rPr>
                <w:color w:val="231F20"/>
                <w:w w:val="105"/>
                <w:sz w:val="12"/>
              </w:rPr>
              <w:t>14.1.4.d</w:t>
            </w:r>
          </w:p>
        </w:tc>
        <w:tc>
          <w:tcPr>
            <w:tcW w:w="5170" w:type="dxa"/>
            <w:gridSpan w:val="2"/>
            <w:tcBorders>
              <w:top w:val="single" w:sz="6" w:space="0" w:color="231F20"/>
              <w:left w:val="single" w:sz="6" w:space="0" w:color="231F20"/>
              <w:bottom w:val="single" w:sz="6" w:space="0" w:color="231F20"/>
              <w:right w:val="single" w:sz="6" w:space="0" w:color="231F20"/>
            </w:tcBorders>
          </w:tcPr>
          <w:p w14:paraId="54B45DCC" w14:textId="77777777" w:rsidR="009948F1" w:rsidRDefault="009948F1">
            <w:pPr>
              <w:pStyle w:val="TableParagraph"/>
              <w:spacing w:before="7"/>
              <w:rPr>
                <w:sz w:val="9"/>
              </w:rPr>
            </w:pPr>
          </w:p>
          <w:p w14:paraId="267F3A6C" w14:textId="77777777" w:rsidR="009948F1" w:rsidRDefault="00BC0563">
            <w:pPr>
              <w:pStyle w:val="TableParagraph"/>
              <w:ind w:left="27"/>
              <w:rPr>
                <w:sz w:val="12"/>
              </w:rPr>
            </w:pPr>
            <w:r>
              <w:rPr>
                <w:color w:val="231F20"/>
                <w:w w:val="105"/>
                <w:sz w:val="12"/>
              </w:rPr>
              <w:t>Social mobilization activities with OB Van (rallies, campaigns), Video Show</w:t>
            </w:r>
          </w:p>
        </w:tc>
        <w:tc>
          <w:tcPr>
            <w:tcW w:w="1507" w:type="dxa"/>
            <w:tcBorders>
              <w:top w:val="single" w:sz="6" w:space="0" w:color="231F20"/>
              <w:left w:val="single" w:sz="6" w:space="0" w:color="231F20"/>
              <w:bottom w:val="single" w:sz="6" w:space="0" w:color="231F20"/>
              <w:right w:val="single" w:sz="6" w:space="0" w:color="231F20"/>
            </w:tcBorders>
          </w:tcPr>
          <w:p w14:paraId="79F0F681" w14:textId="77777777" w:rsidR="009948F1" w:rsidRDefault="009948F1">
            <w:pPr>
              <w:pStyle w:val="TableParagraph"/>
              <w:rPr>
                <w:sz w:val="10"/>
              </w:rPr>
            </w:pPr>
          </w:p>
          <w:p w14:paraId="2C2DB8B0"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7112FB4C" w14:textId="77777777" w:rsidR="009948F1" w:rsidRDefault="009948F1">
            <w:pPr>
              <w:pStyle w:val="TableParagraph"/>
              <w:rPr>
                <w:sz w:val="10"/>
              </w:rPr>
            </w:pPr>
          </w:p>
          <w:p w14:paraId="003F77C4" w14:textId="77777777" w:rsidR="009948F1" w:rsidRDefault="00BC0563">
            <w:pPr>
              <w:pStyle w:val="TableParagraph"/>
              <w:ind w:left="28"/>
              <w:rPr>
                <w:sz w:val="12"/>
              </w:rPr>
            </w:pPr>
            <w:r>
              <w:rPr>
                <w:color w:val="231F20"/>
                <w:w w:val="105"/>
                <w:sz w:val="12"/>
              </w:rPr>
              <w:t>Social mobilization</w:t>
            </w:r>
          </w:p>
        </w:tc>
      </w:tr>
      <w:tr w:rsidR="009948F1" w14:paraId="0C24178A" w14:textId="77777777">
        <w:trPr>
          <w:trHeight w:val="1102"/>
        </w:trPr>
        <w:tc>
          <w:tcPr>
            <w:tcW w:w="484" w:type="dxa"/>
            <w:tcBorders>
              <w:top w:val="single" w:sz="6" w:space="0" w:color="231F20"/>
              <w:left w:val="single" w:sz="12" w:space="0" w:color="231F20"/>
              <w:bottom w:val="single" w:sz="6" w:space="0" w:color="231F20"/>
              <w:right w:val="single" w:sz="6" w:space="0" w:color="231F20"/>
            </w:tcBorders>
            <w:shd w:val="clear" w:color="auto" w:fill="CCE7D3"/>
          </w:tcPr>
          <w:p w14:paraId="0F0CCF67" w14:textId="77777777" w:rsidR="009948F1" w:rsidRDefault="009948F1">
            <w:pPr>
              <w:pStyle w:val="TableParagraph"/>
              <w:rPr>
                <w:sz w:val="12"/>
              </w:rPr>
            </w:pPr>
          </w:p>
          <w:p w14:paraId="797D62A1" w14:textId="77777777" w:rsidR="009948F1" w:rsidRDefault="009948F1">
            <w:pPr>
              <w:pStyle w:val="TableParagraph"/>
              <w:rPr>
                <w:sz w:val="12"/>
              </w:rPr>
            </w:pPr>
          </w:p>
          <w:p w14:paraId="5A3DADE0" w14:textId="77777777" w:rsidR="009948F1" w:rsidRDefault="009948F1">
            <w:pPr>
              <w:pStyle w:val="TableParagraph"/>
              <w:spacing w:before="10"/>
              <w:rPr>
                <w:sz w:val="17"/>
              </w:rPr>
            </w:pPr>
          </w:p>
          <w:p w14:paraId="0B446017" w14:textId="77777777" w:rsidR="009948F1" w:rsidRDefault="00BC0563">
            <w:pPr>
              <w:pStyle w:val="TableParagraph"/>
              <w:ind w:left="36" w:right="34"/>
              <w:jc w:val="center"/>
              <w:rPr>
                <w:sz w:val="12"/>
              </w:rPr>
            </w:pPr>
            <w:r>
              <w:rPr>
                <w:color w:val="231F20"/>
                <w:w w:val="105"/>
                <w:sz w:val="12"/>
              </w:rPr>
              <w:t>14.1.5</w:t>
            </w:r>
          </w:p>
        </w:tc>
        <w:tc>
          <w:tcPr>
            <w:tcW w:w="3207" w:type="dxa"/>
            <w:gridSpan w:val="2"/>
            <w:tcBorders>
              <w:top w:val="single" w:sz="6" w:space="0" w:color="231F20"/>
              <w:left w:val="single" w:sz="6" w:space="0" w:color="231F20"/>
              <w:bottom w:val="single" w:sz="6" w:space="0" w:color="231F20"/>
              <w:right w:val="single" w:sz="6" w:space="0" w:color="231F20"/>
            </w:tcBorders>
            <w:shd w:val="clear" w:color="auto" w:fill="CCE7D3"/>
          </w:tcPr>
          <w:p w14:paraId="5927138B" w14:textId="77777777" w:rsidR="009948F1" w:rsidRDefault="009948F1">
            <w:pPr>
              <w:pStyle w:val="TableParagraph"/>
              <w:rPr>
                <w:sz w:val="12"/>
              </w:rPr>
            </w:pPr>
          </w:p>
          <w:p w14:paraId="4B259662" w14:textId="77777777" w:rsidR="009948F1" w:rsidRDefault="009948F1">
            <w:pPr>
              <w:pStyle w:val="TableParagraph"/>
              <w:spacing w:before="9"/>
              <w:rPr>
                <w:sz w:val="16"/>
              </w:rPr>
            </w:pPr>
          </w:p>
          <w:p w14:paraId="7C07141A" w14:textId="77777777" w:rsidR="009948F1" w:rsidRDefault="00BC0563">
            <w:pPr>
              <w:pStyle w:val="TableParagraph"/>
              <w:spacing w:line="254" w:lineRule="auto"/>
              <w:ind w:left="26" w:firstLine="34"/>
              <w:rPr>
                <w:sz w:val="12"/>
              </w:rPr>
            </w:pPr>
            <w:r>
              <w:rPr>
                <w:color w:val="231F20"/>
                <w:w w:val="105"/>
                <w:sz w:val="12"/>
              </w:rPr>
              <w:t>Promote access to comprehensive services for the prevention, treatment and impact mitigation of public health emergencies</w:t>
            </w:r>
          </w:p>
        </w:tc>
        <w:tc>
          <w:tcPr>
            <w:tcW w:w="2518" w:type="dxa"/>
            <w:tcBorders>
              <w:top w:val="single" w:sz="6" w:space="0" w:color="231F20"/>
              <w:left w:val="single" w:sz="6" w:space="0" w:color="231F20"/>
              <w:bottom w:val="single" w:sz="6" w:space="0" w:color="231F20"/>
              <w:right w:val="single" w:sz="6" w:space="0" w:color="231F20"/>
            </w:tcBorders>
            <w:shd w:val="clear" w:color="auto" w:fill="CCE7D3"/>
          </w:tcPr>
          <w:p w14:paraId="369B15DE" w14:textId="77777777" w:rsidR="009948F1" w:rsidRDefault="00BC0563">
            <w:pPr>
              <w:pStyle w:val="TableParagraph"/>
              <w:numPr>
                <w:ilvl w:val="0"/>
                <w:numId w:val="21"/>
              </w:numPr>
              <w:tabs>
                <w:tab w:val="left" w:pos="100"/>
              </w:tabs>
              <w:spacing w:before="44" w:line="254" w:lineRule="auto"/>
              <w:ind w:right="268" w:firstLine="0"/>
              <w:rPr>
                <w:sz w:val="12"/>
              </w:rPr>
            </w:pPr>
            <w:r>
              <w:rPr>
                <w:color w:val="231F20"/>
                <w:w w:val="105"/>
                <w:sz w:val="12"/>
              </w:rPr>
              <w:t xml:space="preserve">Ambulances stationed at the EOC </w:t>
            </w:r>
            <w:r>
              <w:rPr>
                <w:color w:val="231F20"/>
                <w:spacing w:val="-4"/>
                <w:w w:val="105"/>
                <w:sz w:val="12"/>
              </w:rPr>
              <w:t xml:space="preserve">and </w:t>
            </w:r>
            <w:r>
              <w:rPr>
                <w:color w:val="231F20"/>
                <w:w w:val="105"/>
                <w:sz w:val="12"/>
              </w:rPr>
              <w:t>Infectious Disease Treatment</w:t>
            </w:r>
            <w:r>
              <w:rPr>
                <w:color w:val="231F20"/>
                <w:spacing w:val="-10"/>
                <w:w w:val="105"/>
                <w:sz w:val="12"/>
              </w:rPr>
              <w:t xml:space="preserve"> </w:t>
            </w:r>
            <w:proofErr w:type="spellStart"/>
            <w:r>
              <w:rPr>
                <w:color w:val="231F20"/>
                <w:w w:val="105"/>
                <w:sz w:val="12"/>
              </w:rPr>
              <w:t>centres</w:t>
            </w:r>
            <w:proofErr w:type="spellEnd"/>
          </w:p>
          <w:p w14:paraId="76A2B931" w14:textId="77777777" w:rsidR="009948F1" w:rsidRDefault="00BC0563">
            <w:pPr>
              <w:pStyle w:val="TableParagraph"/>
              <w:numPr>
                <w:ilvl w:val="0"/>
                <w:numId w:val="21"/>
              </w:numPr>
              <w:tabs>
                <w:tab w:val="left" w:pos="73"/>
              </w:tabs>
              <w:spacing w:line="254" w:lineRule="auto"/>
              <w:ind w:right="12" w:firstLine="0"/>
              <w:rPr>
                <w:sz w:val="12"/>
              </w:rPr>
            </w:pPr>
            <w:r>
              <w:rPr>
                <w:color w:val="231F20"/>
                <w:w w:val="105"/>
                <w:sz w:val="12"/>
              </w:rPr>
              <w:t xml:space="preserve">Isolation wards or holding areas for infectious patients provided in at least 5 </w:t>
            </w:r>
            <w:r>
              <w:rPr>
                <w:color w:val="231F20"/>
                <w:spacing w:val="-5"/>
                <w:w w:val="105"/>
                <w:sz w:val="12"/>
              </w:rPr>
              <w:t xml:space="preserve">HFs </w:t>
            </w:r>
            <w:r>
              <w:rPr>
                <w:color w:val="231F20"/>
                <w:w w:val="105"/>
                <w:sz w:val="12"/>
              </w:rPr>
              <w:t>in each of the 23</w:t>
            </w:r>
            <w:r>
              <w:rPr>
                <w:color w:val="231F20"/>
                <w:spacing w:val="-5"/>
                <w:w w:val="105"/>
                <w:sz w:val="12"/>
              </w:rPr>
              <w:t xml:space="preserve"> </w:t>
            </w:r>
            <w:r>
              <w:rPr>
                <w:color w:val="231F20"/>
                <w:w w:val="105"/>
                <w:sz w:val="12"/>
              </w:rPr>
              <w:t>LGAs</w:t>
            </w:r>
          </w:p>
          <w:p w14:paraId="5BA77AF2" w14:textId="77777777" w:rsidR="009948F1" w:rsidRDefault="00BC0563">
            <w:pPr>
              <w:pStyle w:val="TableParagraph"/>
              <w:numPr>
                <w:ilvl w:val="0"/>
                <w:numId w:val="21"/>
              </w:numPr>
              <w:tabs>
                <w:tab w:val="left" w:pos="107"/>
              </w:tabs>
              <w:spacing w:line="254" w:lineRule="auto"/>
              <w:ind w:right="52" w:firstLine="0"/>
              <w:rPr>
                <w:sz w:val="12"/>
              </w:rPr>
            </w:pPr>
            <w:r>
              <w:rPr>
                <w:color w:val="231F20"/>
                <w:w w:val="105"/>
                <w:sz w:val="12"/>
              </w:rPr>
              <w:t xml:space="preserve">Quarantine </w:t>
            </w:r>
            <w:proofErr w:type="spellStart"/>
            <w:r>
              <w:rPr>
                <w:color w:val="231F20"/>
                <w:w w:val="105"/>
                <w:sz w:val="12"/>
              </w:rPr>
              <w:t>centres</w:t>
            </w:r>
            <w:proofErr w:type="spellEnd"/>
            <w:r>
              <w:rPr>
                <w:color w:val="231F20"/>
                <w:w w:val="105"/>
                <w:sz w:val="12"/>
              </w:rPr>
              <w:t xml:space="preserve"> for infectious</w:t>
            </w:r>
            <w:r>
              <w:rPr>
                <w:color w:val="231F20"/>
                <w:spacing w:val="-25"/>
                <w:w w:val="105"/>
                <w:sz w:val="12"/>
              </w:rPr>
              <w:t xml:space="preserve"> </w:t>
            </w:r>
            <w:r>
              <w:rPr>
                <w:color w:val="231F20"/>
                <w:w w:val="105"/>
                <w:sz w:val="12"/>
              </w:rPr>
              <w:t>diseases built and</w:t>
            </w:r>
            <w:r>
              <w:rPr>
                <w:color w:val="231F20"/>
                <w:spacing w:val="-2"/>
                <w:w w:val="105"/>
                <w:sz w:val="12"/>
              </w:rPr>
              <w:t xml:space="preserve"> </w:t>
            </w:r>
            <w:r>
              <w:rPr>
                <w:color w:val="231F20"/>
                <w:w w:val="105"/>
                <w:sz w:val="12"/>
              </w:rPr>
              <w:t>equipped</w:t>
            </w:r>
          </w:p>
        </w:tc>
        <w:tc>
          <w:tcPr>
            <w:tcW w:w="1507" w:type="dxa"/>
            <w:tcBorders>
              <w:top w:val="single" w:sz="6" w:space="0" w:color="231F20"/>
              <w:left w:val="single" w:sz="6" w:space="0" w:color="231F20"/>
              <w:bottom w:val="single" w:sz="6" w:space="0" w:color="231F20"/>
              <w:right w:val="single" w:sz="6" w:space="0" w:color="231F20"/>
            </w:tcBorders>
            <w:shd w:val="clear" w:color="auto" w:fill="CCE7D3"/>
          </w:tcPr>
          <w:p w14:paraId="4324705A" w14:textId="77777777" w:rsidR="009948F1" w:rsidRDefault="009948F1">
            <w:pPr>
              <w:pStyle w:val="TableParagraph"/>
              <w:rPr>
                <w:rFonts w:ascii="Times New Roman"/>
                <w:sz w:val="12"/>
              </w:rPr>
            </w:pPr>
          </w:p>
        </w:tc>
        <w:tc>
          <w:tcPr>
            <w:tcW w:w="1590" w:type="dxa"/>
            <w:tcBorders>
              <w:top w:val="single" w:sz="6" w:space="0" w:color="231F20"/>
              <w:left w:val="single" w:sz="6" w:space="0" w:color="231F20"/>
              <w:bottom w:val="single" w:sz="6" w:space="0" w:color="231F20"/>
            </w:tcBorders>
            <w:shd w:val="clear" w:color="auto" w:fill="CCE7D3"/>
          </w:tcPr>
          <w:p w14:paraId="67F70FC0" w14:textId="77777777" w:rsidR="009948F1" w:rsidRDefault="009948F1">
            <w:pPr>
              <w:pStyle w:val="TableParagraph"/>
              <w:rPr>
                <w:rFonts w:ascii="Times New Roman"/>
                <w:sz w:val="12"/>
              </w:rPr>
            </w:pPr>
          </w:p>
        </w:tc>
      </w:tr>
      <w:tr w:rsidR="009948F1" w14:paraId="139213DB" w14:textId="77777777">
        <w:trPr>
          <w:trHeight w:val="408"/>
        </w:trPr>
        <w:tc>
          <w:tcPr>
            <w:tcW w:w="484" w:type="dxa"/>
            <w:vMerge w:val="restart"/>
            <w:tcBorders>
              <w:top w:val="single" w:sz="6" w:space="0" w:color="231F20"/>
              <w:bottom w:val="single" w:sz="6" w:space="0" w:color="231F20"/>
              <w:right w:val="single" w:sz="6" w:space="0" w:color="231F20"/>
            </w:tcBorders>
          </w:tcPr>
          <w:p w14:paraId="5FA7B3FD" w14:textId="77777777" w:rsidR="009948F1" w:rsidRDefault="009948F1">
            <w:pPr>
              <w:pStyle w:val="TableParagraph"/>
              <w:rPr>
                <w:rFonts w:ascii="Times New Roman"/>
                <w:sz w:val="12"/>
              </w:rPr>
            </w:pPr>
          </w:p>
        </w:tc>
        <w:tc>
          <w:tcPr>
            <w:tcW w:w="555" w:type="dxa"/>
            <w:tcBorders>
              <w:top w:val="single" w:sz="6" w:space="0" w:color="231F20"/>
              <w:left w:val="single" w:sz="6" w:space="0" w:color="231F20"/>
              <w:bottom w:val="single" w:sz="6" w:space="0" w:color="231F20"/>
              <w:right w:val="single" w:sz="6" w:space="0" w:color="231F20"/>
            </w:tcBorders>
          </w:tcPr>
          <w:p w14:paraId="3FB0ED37" w14:textId="77777777" w:rsidR="009948F1" w:rsidRDefault="009948F1">
            <w:pPr>
              <w:pStyle w:val="TableParagraph"/>
              <w:spacing w:before="8"/>
              <w:rPr>
                <w:sz w:val="11"/>
              </w:rPr>
            </w:pPr>
          </w:p>
          <w:p w14:paraId="01893DF0" w14:textId="77777777" w:rsidR="009948F1" w:rsidRDefault="00BC0563">
            <w:pPr>
              <w:pStyle w:val="TableParagraph"/>
              <w:ind w:left="32" w:right="11"/>
              <w:jc w:val="center"/>
              <w:rPr>
                <w:sz w:val="12"/>
              </w:rPr>
            </w:pPr>
            <w:r>
              <w:rPr>
                <w:color w:val="231F20"/>
                <w:w w:val="105"/>
                <w:sz w:val="12"/>
              </w:rPr>
              <w:t>14.1.5.a</w:t>
            </w:r>
          </w:p>
        </w:tc>
        <w:tc>
          <w:tcPr>
            <w:tcW w:w="5170" w:type="dxa"/>
            <w:gridSpan w:val="2"/>
            <w:tcBorders>
              <w:top w:val="single" w:sz="6" w:space="0" w:color="231F20"/>
              <w:left w:val="single" w:sz="6" w:space="0" w:color="231F20"/>
              <w:bottom w:val="single" w:sz="6" w:space="0" w:color="231F20"/>
              <w:right w:val="single" w:sz="6" w:space="0" w:color="231F20"/>
            </w:tcBorders>
          </w:tcPr>
          <w:p w14:paraId="0919C355" w14:textId="77777777" w:rsidR="009948F1" w:rsidRDefault="00BC0563">
            <w:pPr>
              <w:pStyle w:val="TableParagraph"/>
              <w:spacing w:before="56" w:line="254" w:lineRule="auto"/>
              <w:ind w:left="27" w:right="101"/>
              <w:rPr>
                <w:sz w:val="12"/>
              </w:rPr>
            </w:pPr>
            <w:r>
              <w:rPr>
                <w:color w:val="231F20"/>
                <w:w w:val="105"/>
                <w:sz w:val="12"/>
              </w:rPr>
              <w:t xml:space="preserve">Cost for engaging and supervising the contractor to provide stationed ambulances at the EOC and Infectious Disease Treatment </w:t>
            </w:r>
            <w:proofErr w:type="spellStart"/>
            <w:r>
              <w:rPr>
                <w:color w:val="231F20"/>
                <w:w w:val="105"/>
                <w:sz w:val="12"/>
              </w:rPr>
              <w:t>centres</w:t>
            </w:r>
            <w:proofErr w:type="spellEnd"/>
          </w:p>
        </w:tc>
        <w:tc>
          <w:tcPr>
            <w:tcW w:w="1507" w:type="dxa"/>
            <w:tcBorders>
              <w:top w:val="single" w:sz="6" w:space="0" w:color="231F20"/>
              <w:left w:val="single" w:sz="6" w:space="0" w:color="231F20"/>
              <w:bottom w:val="single" w:sz="6" w:space="0" w:color="231F20"/>
              <w:right w:val="single" w:sz="6" w:space="0" w:color="231F20"/>
            </w:tcBorders>
          </w:tcPr>
          <w:p w14:paraId="3C674EA0" w14:textId="77777777" w:rsidR="009948F1" w:rsidRDefault="009948F1">
            <w:pPr>
              <w:pStyle w:val="TableParagraph"/>
              <w:spacing w:before="8"/>
              <w:rPr>
                <w:sz w:val="11"/>
              </w:rPr>
            </w:pPr>
          </w:p>
          <w:p w14:paraId="62401EB0"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50E61DE7" w14:textId="77777777" w:rsidR="009948F1" w:rsidRDefault="009948F1">
            <w:pPr>
              <w:pStyle w:val="TableParagraph"/>
              <w:spacing w:before="8"/>
              <w:rPr>
                <w:sz w:val="11"/>
              </w:rPr>
            </w:pPr>
          </w:p>
          <w:p w14:paraId="27160A33" w14:textId="77777777" w:rsidR="009948F1" w:rsidRDefault="00BC0563">
            <w:pPr>
              <w:pStyle w:val="TableParagraph"/>
              <w:ind w:left="28"/>
              <w:rPr>
                <w:sz w:val="12"/>
              </w:rPr>
            </w:pPr>
            <w:r>
              <w:rPr>
                <w:color w:val="231F20"/>
                <w:w w:val="105"/>
                <w:sz w:val="12"/>
              </w:rPr>
              <w:t>Costed in OHT</w:t>
            </w:r>
          </w:p>
        </w:tc>
      </w:tr>
      <w:tr w:rsidR="009948F1" w14:paraId="106462F7" w14:textId="77777777">
        <w:trPr>
          <w:trHeight w:val="493"/>
        </w:trPr>
        <w:tc>
          <w:tcPr>
            <w:tcW w:w="484" w:type="dxa"/>
            <w:vMerge/>
            <w:tcBorders>
              <w:top w:val="nil"/>
              <w:bottom w:val="single" w:sz="6" w:space="0" w:color="231F20"/>
              <w:right w:val="single" w:sz="6" w:space="0" w:color="231F20"/>
            </w:tcBorders>
          </w:tcPr>
          <w:p w14:paraId="66107D6A"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21A848F1" w14:textId="77777777" w:rsidR="009948F1" w:rsidRDefault="009948F1">
            <w:pPr>
              <w:pStyle w:val="TableParagraph"/>
              <w:spacing w:before="4"/>
              <w:rPr>
                <w:sz w:val="15"/>
              </w:rPr>
            </w:pPr>
          </w:p>
          <w:p w14:paraId="5002FB93" w14:textId="77777777" w:rsidR="009948F1" w:rsidRDefault="00BC0563">
            <w:pPr>
              <w:pStyle w:val="TableParagraph"/>
              <w:spacing w:before="1"/>
              <w:ind w:left="32" w:right="11"/>
              <w:jc w:val="center"/>
              <w:rPr>
                <w:sz w:val="12"/>
              </w:rPr>
            </w:pPr>
            <w:r>
              <w:rPr>
                <w:color w:val="231F20"/>
                <w:w w:val="105"/>
                <w:sz w:val="12"/>
              </w:rPr>
              <w:t>14.1.5.b</w:t>
            </w:r>
          </w:p>
        </w:tc>
        <w:tc>
          <w:tcPr>
            <w:tcW w:w="5170" w:type="dxa"/>
            <w:gridSpan w:val="2"/>
            <w:tcBorders>
              <w:top w:val="single" w:sz="6" w:space="0" w:color="231F20"/>
              <w:left w:val="single" w:sz="6" w:space="0" w:color="231F20"/>
              <w:bottom w:val="single" w:sz="6" w:space="0" w:color="231F20"/>
              <w:right w:val="single" w:sz="6" w:space="0" w:color="231F20"/>
            </w:tcBorders>
          </w:tcPr>
          <w:p w14:paraId="1D7A0ED2" w14:textId="77777777" w:rsidR="009948F1" w:rsidRDefault="00BC0563">
            <w:pPr>
              <w:pStyle w:val="TableParagraph"/>
              <w:spacing w:before="99" w:line="254" w:lineRule="auto"/>
              <w:ind w:left="27" w:right="-5"/>
              <w:rPr>
                <w:sz w:val="12"/>
              </w:rPr>
            </w:pPr>
            <w:r>
              <w:rPr>
                <w:color w:val="231F20"/>
                <w:w w:val="105"/>
                <w:sz w:val="12"/>
              </w:rPr>
              <w:t>Cost for engaging and supervising the contractor to provide isolation wards or holding areas for infectious patients at all health care facilities</w:t>
            </w:r>
          </w:p>
        </w:tc>
        <w:tc>
          <w:tcPr>
            <w:tcW w:w="1507" w:type="dxa"/>
            <w:tcBorders>
              <w:top w:val="single" w:sz="6" w:space="0" w:color="231F20"/>
              <w:left w:val="single" w:sz="6" w:space="0" w:color="231F20"/>
              <w:bottom w:val="single" w:sz="6" w:space="0" w:color="231F20"/>
              <w:right w:val="single" w:sz="6" w:space="0" w:color="231F20"/>
            </w:tcBorders>
          </w:tcPr>
          <w:p w14:paraId="6E974EA6" w14:textId="77777777" w:rsidR="009948F1" w:rsidRDefault="009948F1">
            <w:pPr>
              <w:pStyle w:val="TableParagraph"/>
              <w:spacing w:before="4"/>
              <w:rPr>
                <w:sz w:val="15"/>
              </w:rPr>
            </w:pPr>
          </w:p>
          <w:p w14:paraId="3DB137A2" w14:textId="77777777" w:rsidR="009948F1" w:rsidRDefault="00BC0563">
            <w:pPr>
              <w:pStyle w:val="TableParagraph"/>
              <w:spacing w:before="1"/>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52B0091C" w14:textId="77777777" w:rsidR="009948F1" w:rsidRDefault="009948F1">
            <w:pPr>
              <w:pStyle w:val="TableParagraph"/>
              <w:spacing w:before="4"/>
              <w:rPr>
                <w:sz w:val="15"/>
              </w:rPr>
            </w:pPr>
          </w:p>
          <w:p w14:paraId="465A470C" w14:textId="77777777" w:rsidR="009948F1" w:rsidRDefault="00BC0563">
            <w:pPr>
              <w:pStyle w:val="TableParagraph"/>
              <w:spacing w:before="1"/>
              <w:ind w:left="28"/>
              <w:rPr>
                <w:sz w:val="12"/>
              </w:rPr>
            </w:pPr>
            <w:r>
              <w:rPr>
                <w:color w:val="231F20"/>
                <w:w w:val="105"/>
                <w:sz w:val="12"/>
              </w:rPr>
              <w:t>Costed in OHT</w:t>
            </w:r>
          </w:p>
        </w:tc>
      </w:tr>
      <w:tr w:rsidR="009948F1" w14:paraId="46997FAA" w14:textId="77777777">
        <w:trPr>
          <w:trHeight w:val="558"/>
        </w:trPr>
        <w:tc>
          <w:tcPr>
            <w:tcW w:w="484" w:type="dxa"/>
            <w:vMerge/>
            <w:tcBorders>
              <w:top w:val="nil"/>
              <w:bottom w:val="single" w:sz="6" w:space="0" w:color="231F20"/>
              <w:right w:val="single" w:sz="6" w:space="0" w:color="231F20"/>
            </w:tcBorders>
          </w:tcPr>
          <w:p w14:paraId="76355BC5"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780E7DB0" w14:textId="77777777" w:rsidR="009948F1" w:rsidRDefault="009948F1">
            <w:pPr>
              <w:pStyle w:val="TableParagraph"/>
              <w:rPr>
                <w:sz w:val="12"/>
              </w:rPr>
            </w:pPr>
          </w:p>
          <w:p w14:paraId="5EF8C325" w14:textId="77777777" w:rsidR="009948F1" w:rsidRDefault="00BC0563">
            <w:pPr>
              <w:pStyle w:val="TableParagraph"/>
              <w:spacing w:before="71"/>
              <w:ind w:left="32" w:right="11"/>
              <w:jc w:val="center"/>
              <w:rPr>
                <w:sz w:val="12"/>
              </w:rPr>
            </w:pPr>
            <w:r>
              <w:rPr>
                <w:color w:val="231F20"/>
                <w:w w:val="105"/>
                <w:sz w:val="12"/>
              </w:rPr>
              <w:t>14.1.5.c</w:t>
            </w:r>
          </w:p>
        </w:tc>
        <w:tc>
          <w:tcPr>
            <w:tcW w:w="5170" w:type="dxa"/>
            <w:gridSpan w:val="2"/>
            <w:tcBorders>
              <w:top w:val="single" w:sz="6" w:space="0" w:color="231F20"/>
              <w:left w:val="single" w:sz="6" w:space="0" w:color="231F20"/>
              <w:bottom w:val="single" w:sz="6" w:space="0" w:color="231F20"/>
              <w:right w:val="single" w:sz="6" w:space="0" w:color="231F20"/>
            </w:tcBorders>
          </w:tcPr>
          <w:p w14:paraId="0863462D" w14:textId="77777777" w:rsidR="009948F1" w:rsidRDefault="009948F1">
            <w:pPr>
              <w:pStyle w:val="TableParagraph"/>
              <w:spacing w:before="5"/>
              <w:rPr>
                <w:sz w:val="11"/>
              </w:rPr>
            </w:pPr>
          </w:p>
          <w:p w14:paraId="6387D6C1" w14:textId="77777777" w:rsidR="009948F1" w:rsidRDefault="00BC0563">
            <w:pPr>
              <w:pStyle w:val="TableParagraph"/>
              <w:spacing w:line="254" w:lineRule="auto"/>
              <w:ind w:left="27" w:right="101"/>
              <w:rPr>
                <w:sz w:val="12"/>
              </w:rPr>
            </w:pPr>
            <w:r>
              <w:rPr>
                <w:color w:val="231F20"/>
                <w:w w:val="105"/>
                <w:sz w:val="12"/>
              </w:rPr>
              <w:t xml:space="preserve">Cost for engaging and supervising the contractor to build quarantine </w:t>
            </w:r>
            <w:proofErr w:type="spellStart"/>
            <w:r>
              <w:rPr>
                <w:color w:val="231F20"/>
                <w:w w:val="105"/>
                <w:sz w:val="12"/>
              </w:rPr>
              <w:t>centres</w:t>
            </w:r>
            <w:proofErr w:type="spellEnd"/>
            <w:r>
              <w:rPr>
                <w:color w:val="231F20"/>
                <w:w w:val="105"/>
                <w:sz w:val="12"/>
              </w:rPr>
              <w:t xml:space="preserve"> for infectious diseases</w:t>
            </w:r>
          </w:p>
        </w:tc>
        <w:tc>
          <w:tcPr>
            <w:tcW w:w="1507" w:type="dxa"/>
            <w:tcBorders>
              <w:top w:val="single" w:sz="6" w:space="0" w:color="231F20"/>
              <w:left w:val="single" w:sz="6" w:space="0" w:color="231F20"/>
              <w:bottom w:val="single" w:sz="6" w:space="0" w:color="231F20"/>
              <w:right w:val="single" w:sz="6" w:space="0" w:color="231F20"/>
            </w:tcBorders>
          </w:tcPr>
          <w:p w14:paraId="6D46A2F8" w14:textId="77777777" w:rsidR="009948F1" w:rsidRDefault="009948F1">
            <w:pPr>
              <w:pStyle w:val="TableParagraph"/>
              <w:rPr>
                <w:sz w:val="12"/>
              </w:rPr>
            </w:pPr>
          </w:p>
          <w:p w14:paraId="49E703C5" w14:textId="77777777" w:rsidR="009948F1" w:rsidRDefault="00BC0563">
            <w:pPr>
              <w:pStyle w:val="TableParagraph"/>
              <w:spacing w:before="71"/>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3E888A30" w14:textId="77777777" w:rsidR="009948F1" w:rsidRDefault="009948F1">
            <w:pPr>
              <w:pStyle w:val="TableParagraph"/>
              <w:rPr>
                <w:sz w:val="12"/>
              </w:rPr>
            </w:pPr>
          </w:p>
          <w:p w14:paraId="172A2350" w14:textId="77777777" w:rsidR="009948F1" w:rsidRDefault="00BC0563">
            <w:pPr>
              <w:pStyle w:val="TableParagraph"/>
              <w:spacing w:before="71"/>
              <w:ind w:left="28"/>
              <w:rPr>
                <w:sz w:val="12"/>
              </w:rPr>
            </w:pPr>
            <w:r>
              <w:rPr>
                <w:color w:val="231F20"/>
                <w:w w:val="105"/>
                <w:sz w:val="12"/>
              </w:rPr>
              <w:t>Costed in OHT</w:t>
            </w:r>
          </w:p>
        </w:tc>
      </w:tr>
      <w:tr w:rsidR="009948F1" w14:paraId="5D5CB46A" w14:textId="77777777">
        <w:trPr>
          <w:trHeight w:val="629"/>
        </w:trPr>
        <w:tc>
          <w:tcPr>
            <w:tcW w:w="484" w:type="dxa"/>
            <w:vMerge/>
            <w:tcBorders>
              <w:top w:val="nil"/>
              <w:bottom w:val="single" w:sz="6" w:space="0" w:color="231F20"/>
              <w:right w:val="single" w:sz="6" w:space="0" w:color="231F20"/>
            </w:tcBorders>
          </w:tcPr>
          <w:p w14:paraId="09C3812A"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2C3EEB05" w14:textId="77777777" w:rsidR="009948F1" w:rsidRDefault="009948F1">
            <w:pPr>
              <w:pStyle w:val="TableParagraph"/>
              <w:rPr>
                <w:sz w:val="12"/>
              </w:rPr>
            </w:pPr>
          </w:p>
          <w:p w14:paraId="04CAF297" w14:textId="77777777" w:rsidR="009948F1" w:rsidRDefault="00BC0563">
            <w:pPr>
              <w:pStyle w:val="TableParagraph"/>
              <w:spacing w:before="107"/>
              <w:ind w:left="32" w:right="11"/>
              <w:jc w:val="center"/>
              <w:rPr>
                <w:sz w:val="12"/>
              </w:rPr>
            </w:pPr>
            <w:r>
              <w:rPr>
                <w:color w:val="231F20"/>
                <w:w w:val="105"/>
                <w:sz w:val="12"/>
              </w:rPr>
              <w:t>14.1.5.d</w:t>
            </w:r>
          </w:p>
        </w:tc>
        <w:tc>
          <w:tcPr>
            <w:tcW w:w="5170" w:type="dxa"/>
            <w:gridSpan w:val="2"/>
            <w:tcBorders>
              <w:top w:val="single" w:sz="6" w:space="0" w:color="231F20"/>
              <w:left w:val="single" w:sz="6" w:space="0" w:color="231F20"/>
              <w:bottom w:val="single" w:sz="6" w:space="0" w:color="231F20"/>
              <w:right w:val="single" w:sz="6" w:space="0" w:color="231F20"/>
            </w:tcBorders>
          </w:tcPr>
          <w:p w14:paraId="78C9412D" w14:textId="77777777" w:rsidR="009948F1" w:rsidRDefault="009948F1">
            <w:pPr>
              <w:pStyle w:val="TableParagraph"/>
              <w:spacing w:before="6"/>
              <w:rPr>
                <w:sz w:val="14"/>
              </w:rPr>
            </w:pPr>
          </w:p>
          <w:p w14:paraId="5BD64FA3" w14:textId="77777777" w:rsidR="009948F1" w:rsidRDefault="00BC0563">
            <w:pPr>
              <w:pStyle w:val="TableParagraph"/>
              <w:spacing w:before="1" w:line="254" w:lineRule="auto"/>
              <w:ind w:left="27" w:right="101"/>
              <w:rPr>
                <w:sz w:val="12"/>
              </w:rPr>
            </w:pPr>
            <w:r>
              <w:rPr>
                <w:color w:val="231F20"/>
                <w:w w:val="105"/>
                <w:sz w:val="12"/>
              </w:rPr>
              <w:t xml:space="preserve">Cost for engaging and supervising the contractor for equipping of quarantine </w:t>
            </w:r>
            <w:proofErr w:type="spellStart"/>
            <w:r>
              <w:rPr>
                <w:color w:val="231F20"/>
                <w:w w:val="105"/>
                <w:sz w:val="12"/>
              </w:rPr>
              <w:t>centres</w:t>
            </w:r>
            <w:proofErr w:type="spellEnd"/>
            <w:r>
              <w:rPr>
                <w:color w:val="231F20"/>
                <w:w w:val="105"/>
                <w:sz w:val="12"/>
              </w:rPr>
              <w:t xml:space="preserve"> for infectious diseases in the state</w:t>
            </w:r>
          </w:p>
        </w:tc>
        <w:tc>
          <w:tcPr>
            <w:tcW w:w="1507" w:type="dxa"/>
            <w:tcBorders>
              <w:top w:val="single" w:sz="6" w:space="0" w:color="231F20"/>
              <w:left w:val="single" w:sz="6" w:space="0" w:color="231F20"/>
              <w:bottom w:val="single" w:sz="6" w:space="0" w:color="231F20"/>
              <w:right w:val="single" w:sz="6" w:space="0" w:color="231F20"/>
            </w:tcBorders>
          </w:tcPr>
          <w:p w14:paraId="47B9F675" w14:textId="77777777" w:rsidR="009948F1" w:rsidRDefault="009948F1">
            <w:pPr>
              <w:pStyle w:val="TableParagraph"/>
              <w:rPr>
                <w:sz w:val="12"/>
              </w:rPr>
            </w:pPr>
          </w:p>
          <w:p w14:paraId="4430C2F7" w14:textId="77777777" w:rsidR="009948F1" w:rsidRDefault="00BC0563">
            <w:pPr>
              <w:pStyle w:val="TableParagraph"/>
              <w:spacing w:before="107"/>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1DB45D1E" w14:textId="77777777" w:rsidR="009948F1" w:rsidRDefault="009948F1">
            <w:pPr>
              <w:pStyle w:val="TableParagraph"/>
              <w:rPr>
                <w:sz w:val="12"/>
              </w:rPr>
            </w:pPr>
          </w:p>
          <w:p w14:paraId="2B650424" w14:textId="77777777" w:rsidR="009948F1" w:rsidRDefault="00BC0563">
            <w:pPr>
              <w:pStyle w:val="TableParagraph"/>
              <w:spacing w:before="107"/>
              <w:ind w:left="28"/>
              <w:rPr>
                <w:sz w:val="12"/>
              </w:rPr>
            </w:pPr>
            <w:r>
              <w:rPr>
                <w:color w:val="231F20"/>
                <w:w w:val="105"/>
                <w:sz w:val="12"/>
              </w:rPr>
              <w:t>Costed in OHT</w:t>
            </w:r>
          </w:p>
        </w:tc>
      </w:tr>
      <w:tr w:rsidR="009948F1" w14:paraId="4F2232EE" w14:textId="77777777">
        <w:trPr>
          <w:trHeight w:val="443"/>
        </w:trPr>
        <w:tc>
          <w:tcPr>
            <w:tcW w:w="484" w:type="dxa"/>
            <w:vMerge/>
            <w:tcBorders>
              <w:top w:val="nil"/>
              <w:bottom w:val="single" w:sz="6" w:space="0" w:color="231F20"/>
              <w:right w:val="single" w:sz="6" w:space="0" w:color="231F20"/>
            </w:tcBorders>
          </w:tcPr>
          <w:p w14:paraId="48823075"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4589CC33" w14:textId="77777777" w:rsidR="009948F1" w:rsidRDefault="009948F1">
            <w:pPr>
              <w:pStyle w:val="TableParagraph"/>
              <w:spacing w:before="2"/>
              <w:rPr>
                <w:sz w:val="13"/>
              </w:rPr>
            </w:pPr>
          </w:p>
          <w:p w14:paraId="526B963F" w14:textId="77777777" w:rsidR="009948F1" w:rsidRDefault="00BC0563">
            <w:pPr>
              <w:pStyle w:val="TableParagraph"/>
              <w:spacing w:before="1"/>
              <w:ind w:left="32" w:right="11"/>
              <w:jc w:val="center"/>
              <w:rPr>
                <w:sz w:val="12"/>
              </w:rPr>
            </w:pPr>
            <w:r>
              <w:rPr>
                <w:color w:val="231F20"/>
                <w:w w:val="105"/>
                <w:sz w:val="12"/>
              </w:rPr>
              <w:t>14.1.5.e</w:t>
            </w:r>
          </w:p>
        </w:tc>
        <w:tc>
          <w:tcPr>
            <w:tcW w:w="5170" w:type="dxa"/>
            <w:gridSpan w:val="2"/>
            <w:tcBorders>
              <w:top w:val="single" w:sz="6" w:space="0" w:color="231F20"/>
              <w:left w:val="single" w:sz="6" w:space="0" w:color="231F20"/>
              <w:bottom w:val="single" w:sz="6" w:space="0" w:color="231F20"/>
              <w:right w:val="single" w:sz="6" w:space="0" w:color="231F20"/>
            </w:tcBorders>
          </w:tcPr>
          <w:p w14:paraId="046FC0F0" w14:textId="1829F0E2" w:rsidR="009948F1" w:rsidRDefault="00BC0563">
            <w:pPr>
              <w:pStyle w:val="TableParagraph"/>
              <w:spacing w:before="74" w:line="254" w:lineRule="auto"/>
              <w:ind w:left="27" w:right="527"/>
              <w:rPr>
                <w:sz w:val="12"/>
              </w:rPr>
            </w:pPr>
            <w:r>
              <w:rPr>
                <w:color w:val="231F20"/>
                <w:w w:val="105"/>
                <w:sz w:val="12"/>
              </w:rPr>
              <w:t xml:space="preserve">Develop/Review a state emergency </w:t>
            </w:r>
            <w:r w:rsidR="002049E3">
              <w:rPr>
                <w:color w:val="231F20"/>
                <w:w w:val="105"/>
                <w:sz w:val="12"/>
              </w:rPr>
              <w:t>resilience</w:t>
            </w:r>
            <w:r>
              <w:rPr>
                <w:color w:val="231F20"/>
                <w:w w:val="105"/>
                <w:sz w:val="12"/>
              </w:rPr>
              <w:t xml:space="preserve"> and response plan for Public Health Emergency (PHE)</w:t>
            </w:r>
          </w:p>
        </w:tc>
        <w:tc>
          <w:tcPr>
            <w:tcW w:w="1507" w:type="dxa"/>
            <w:tcBorders>
              <w:top w:val="single" w:sz="6" w:space="0" w:color="231F20"/>
              <w:left w:val="single" w:sz="6" w:space="0" w:color="231F20"/>
              <w:bottom w:val="single" w:sz="6" w:space="0" w:color="231F20"/>
              <w:right w:val="single" w:sz="6" w:space="0" w:color="231F20"/>
            </w:tcBorders>
          </w:tcPr>
          <w:p w14:paraId="4E4966B1" w14:textId="77777777" w:rsidR="009948F1" w:rsidRDefault="009948F1">
            <w:pPr>
              <w:pStyle w:val="TableParagraph"/>
              <w:spacing w:before="2"/>
              <w:rPr>
                <w:sz w:val="13"/>
              </w:rPr>
            </w:pPr>
          </w:p>
          <w:p w14:paraId="70F57448" w14:textId="77777777" w:rsidR="009948F1" w:rsidRDefault="00BC0563">
            <w:pPr>
              <w:pStyle w:val="TableParagraph"/>
              <w:spacing w:before="1"/>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137AE226" w14:textId="77777777" w:rsidR="009948F1" w:rsidRDefault="009948F1">
            <w:pPr>
              <w:pStyle w:val="TableParagraph"/>
              <w:spacing w:before="2"/>
              <w:rPr>
                <w:sz w:val="13"/>
              </w:rPr>
            </w:pPr>
          </w:p>
          <w:p w14:paraId="6C42862C" w14:textId="77777777" w:rsidR="009948F1" w:rsidRDefault="00BC0563">
            <w:pPr>
              <w:pStyle w:val="TableParagraph"/>
              <w:spacing w:before="1"/>
              <w:ind w:left="28"/>
              <w:rPr>
                <w:sz w:val="12"/>
              </w:rPr>
            </w:pPr>
            <w:r>
              <w:rPr>
                <w:color w:val="231F20"/>
                <w:w w:val="105"/>
                <w:sz w:val="12"/>
              </w:rPr>
              <w:t>Costed in 14.1.1a</w:t>
            </w:r>
          </w:p>
        </w:tc>
      </w:tr>
      <w:tr w:rsidR="009948F1" w14:paraId="062A964F" w14:textId="77777777">
        <w:trPr>
          <w:trHeight w:val="366"/>
        </w:trPr>
        <w:tc>
          <w:tcPr>
            <w:tcW w:w="484" w:type="dxa"/>
            <w:tcBorders>
              <w:top w:val="single" w:sz="6" w:space="0" w:color="231F20"/>
              <w:left w:val="single" w:sz="12" w:space="0" w:color="231F20"/>
              <w:bottom w:val="single" w:sz="6" w:space="0" w:color="231F20"/>
              <w:right w:val="single" w:sz="6" w:space="0" w:color="231F20"/>
            </w:tcBorders>
            <w:shd w:val="clear" w:color="auto" w:fill="CCE7D3"/>
          </w:tcPr>
          <w:p w14:paraId="6E08B27E" w14:textId="77777777" w:rsidR="009948F1" w:rsidRDefault="009948F1">
            <w:pPr>
              <w:pStyle w:val="TableParagraph"/>
              <w:spacing w:before="9"/>
              <w:rPr>
                <w:sz w:val="9"/>
              </w:rPr>
            </w:pPr>
          </w:p>
          <w:p w14:paraId="5EB48A67" w14:textId="77777777" w:rsidR="009948F1" w:rsidRDefault="00BC0563">
            <w:pPr>
              <w:pStyle w:val="TableParagraph"/>
              <w:spacing w:before="1"/>
              <w:ind w:left="36" w:right="34"/>
              <w:jc w:val="center"/>
              <w:rPr>
                <w:sz w:val="12"/>
              </w:rPr>
            </w:pPr>
            <w:r>
              <w:rPr>
                <w:color w:val="231F20"/>
                <w:w w:val="105"/>
                <w:sz w:val="12"/>
              </w:rPr>
              <w:t>14.1.6</w:t>
            </w:r>
          </w:p>
        </w:tc>
        <w:tc>
          <w:tcPr>
            <w:tcW w:w="3207" w:type="dxa"/>
            <w:gridSpan w:val="2"/>
            <w:tcBorders>
              <w:top w:val="single" w:sz="6" w:space="0" w:color="231F20"/>
              <w:left w:val="single" w:sz="6" w:space="0" w:color="231F20"/>
              <w:bottom w:val="single" w:sz="6" w:space="0" w:color="231F20"/>
              <w:right w:val="single" w:sz="6" w:space="0" w:color="231F20"/>
            </w:tcBorders>
            <w:shd w:val="clear" w:color="auto" w:fill="CCE7D3"/>
          </w:tcPr>
          <w:p w14:paraId="4F2E6A5B" w14:textId="77777777" w:rsidR="009948F1" w:rsidRDefault="00BC0563">
            <w:pPr>
              <w:pStyle w:val="TableParagraph"/>
              <w:spacing w:before="36" w:line="254" w:lineRule="auto"/>
              <w:ind w:left="26" w:firstLine="34"/>
              <w:rPr>
                <w:sz w:val="12"/>
              </w:rPr>
            </w:pPr>
            <w:r>
              <w:rPr>
                <w:color w:val="231F20"/>
                <w:w w:val="105"/>
                <w:sz w:val="12"/>
              </w:rPr>
              <w:t>Promote integration of disease surveillance activities at all levels of the health care system</w:t>
            </w:r>
          </w:p>
        </w:tc>
        <w:tc>
          <w:tcPr>
            <w:tcW w:w="2518" w:type="dxa"/>
            <w:tcBorders>
              <w:top w:val="single" w:sz="6" w:space="0" w:color="231F20"/>
              <w:left w:val="single" w:sz="6" w:space="0" w:color="231F20"/>
              <w:bottom w:val="single" w:sz="6" w:space="0" w:color="231F20"/>
              <w:right w:val="single" w:sz="6" w:space="0" w:color="231F20"/>
            </w:tcBorders>
            <w:shd w:val="clear" w:color="auto" w:fill="CCE7D3"/>
          </w:tcPr>
          <w:p w14:paraId="42B31633" w14:textId="77777777" w:rsidR="009948F1" w:rsidRDefault="00BC0563">
            <w:pPr>
              <w:pStyle w:val="TableParagraph"/>
              <w:numPr>
                <w:ilvl w:val="0"/>
                <w:numId w:val="20"/>
              </w:numPr>
              <w:tabs>
                <w:tab w:val="left" w:pos="107"/>
              </w:tabs>
              <w:spacing w:before="6" w:line="218" w:lineRule="auto"/>
              <w:ind w:right="115" w:firstLine="0"/>
              <w:rPr>
                <w:sz w:val="12"/>
              </w:rPr>
            </w:pPr>
            <w:r>
              <w:rPr>
                <w:color w:val="231F20"/>
                <w:w w:val="105"/>
                <w:sz w:val="12"/>
              </w:rPr>
              <w:t xml:space="preserve">Integrate all vertical surveillance </w:t>
            </w:r>
            <w:r>
              <w:rPr>
                <w:color w:val="231F20"/>
                <w:spacing w:val="-3"/>
                <w:w w:val="105"/>
                <w:sz w:val="12"/>
              </w:rPr>
              <w:t xml:space="preserve">systems </w:t>
            </w:r>
            <w:r>
              <w:rPr>
                <w:color w:val="231F20"/>
                <w:w w:val="105"/>
                <w:sz w:val="12"/>
              </w:rPr>
              <w:t>done</w:t>
            </w:r>
          </w:p>
          <w:p w14:paraId="6B678701" w14:textId="77777777" w:rsidR="009948F1" w:rsidRDefault="00BC0563">
            <w:pPr>
              <w:pStyle w:val="TableParagraph"/>
              <w:numPr>
                <w:ilvl w:val="0"/>
                <w:numId w:val="20"/>
              </w:numPr>
              <w:tabs>
                <w:tab w:val="left" w:pos="73"/>
              </w:tabs>
              <w:spacing w:line="89" w:lineRule="exact"/>
              <w:ind w:left="72" w:hanging="46"/>
              <w:rPr>
                <w:sz w:val="12"/>
              </w:rPr>
            </w:pPr>
            <w:r>
              <w:rPr>
                <w:color w:val="231F20"/>
                <w:w w:val="105"/>
                <w:sz w:val="12"/>
              </w:rPr>
              <w:t>Monitor and evaluate IDSR at all</w:t>
            </w:r>
            <w:r>
              <w:rPr>
                <w:color w:val="231F20"/>
                <w:spacing w:val="-9"/>
                <w:w w:val="105"/>
                <w:sz w:val="12"/>
              </w:rPr>
              <w:t xml:space="preserve"> </w:t>
            </w:r>
            <w:r>
              <w:rPr>
                <w:color w:val="231F20"/>
                <w:w w:val="105"/>
                <w:sz w:val="12"/>
              </w:rPr>
              <w:t>levels</w:t>
            </w:r>
          </w:p>
        </w:tc>
        <w:tc>
          <w:tcPr>
            <w:tcW w:w="1507" w:type="dxa"/>
            <w:tcBorders>
              <w:top w:val="single" w:sz="6" w:space="0" w:color="231F20"/>
              <w:left w:val="single" w:sz="6" w:space="0" w:color="231F20"/>
              <w:bottom w:val="single" w:sz="6" w:space="0" w:color="231F20"/>
              <w:right w:val="single" w:sz="6" w:space="0" w:color="231F20"/>
            </w:tcBorders>
            <w:shd w:val="clear" w:color="auto" w:fill="CCE7D3"/>
          </w:tcPr>
          <w:p w14:paraId="7DB32174" w14:textId="77777777" w:rsidR="009948F1" w:rsidRDefault="009948F1">
            <w:pPr>
              <w:pStyle w:val="TableParagraph"/>
              <w:rPr>
                <w:rFonts w:ascii="Times New Roman"/>
                <w:sz w:val="12"/>
              </w:rPr>
            </w:pPr>
          </w:p>
        </w:tc>
        <w:tc>
          <w:tcPr>
            <w:tcW w:w="1590" w:type="dxa"/>
            <w:tcBorders>
              <w:top w:val="single" w:sz="6" w:space="0" w:color="231F20"/>
              <w:left w:val="single" w:sz="6" w:space="0" w:color="231F20"/>
              <w:bottom w:val="single" w:sz="6" w:space="0" w:color="231F20"/>
            </w:tcBorders>
            <w:shd w:val="clear" w:color="auto" w:fill="CCE7D3"/>
          </w:tcPr>
          <w:p w14:paraId="5C175527" w14:textId="77777777" w:rsidR="009948F1" w:rsidRDefault="009948F1">
            <w:pPr>
              <w:pStyle w:val="TableParagraph"/>
              <w:rPr>
                <w:rFonts w:ascii="Times New Roman"/>
                <w:sz w:val="12"/>
              </w:rPr>
            </w:pPr>
          </w:p>
        </w:tc>
      </w:tr>
      <w:tr w:rsidR="009948F1" w14:paraId="2B764B73" w14:textId="77777777">
        <w:trPr>
          <w:trHeight w:val="493"/>
        </w:trPr>
        <w:tc>
          <w:tcPr>
            <w:tcW w:w="484" w:type="dxa"/>
            <w:vMerge w:val="restart"/>
            <w:tcBorders>
              <w:top w:val="single" w:sz="6" w:space="0" w:color="231F20"/>
              <w:bottom w:val="single" w:sz="6" w:space="0" w:color="231F20"/>
              <w:right w:val="single" w:sz="6" w:space="0" w:color="231F20"/>
            </w:tcBorders>
          </w:tcPr>
          <w:p w14:paraId="2AD4FFB6" w14:textId="77777777" w:rsidR="009948F1" w:rsidRDefault="009948F1">
            <w:pPr>
              <w:pStyle w:val="TableParagraph"/>
              <w:rPr>
                <w:rFonts w:ascii="Times New Roman"/>
                <w:sz w:val="12"/>
              </w:rPr>
            </w:pPr>
          </w:p>
        </w:tc>
        <w:tc>
          <w:tcPr>
            <w:tcW w:w="555" w:type="dxa"/>
            <w:tcBorders>
              <w:top w:val="single" w:sz="6" w:space="0" w:color="231F20"/>
              <w:left w:val="single" w:sz="6" w:space="0" w:color="231F20"/>
              <w:bottom w:val="single" w:sz="6" w:space="0" w:color="231F20"/>
              <w:right w:val="single" w:sz="6" w:space="0" w:color="231F20"/>
            </w:tcBorders>
          </w:tcPr>
          <w:p w14:paraId="4862A6A2" w14:textId="77777777" w:rsidR="009948F1" w:rsidRDefault="009948F1">
            <w:pPr>
              <w:pStyle w:val="TableParagraph"/>
              <w:spacing w:before="4"/>
              <w:rPr>
                <w:sz w:val="15"/>
              </w:rPr>
            </w:pPr>
          </w:p>
          <w:p w14:paraId="0B9F7390" w14:textId="77777777" w:rsidR="009948F1" w:rsidRDefault="00BC0563">
            <w:pPr>
              <w:pStyle w:val="TableParagraph"/>
              <w:spacing w:before="1"/>
              <w:ind w:left="32" w:right="11"/>
              <w:jc w:val="center"/>
              <w:rPr>
                <w:sz w:val="12"/>
              </w:rPr>
            </w:pPr>
            <w:r>
              <w:rPr>
                <w:color w:val="231F20"/>
                <w:w w:val="105"/>
                <w:sz w:val="12"/>
              </w:rPr>
              <w:t>14.1.6.a</w:t>
            </w:r>
          </w:p>
        </w:tc>
        <w:tc>
          <w:tcPr>
            <w:tcW w:w="5170" w:type="dxa"/>
            <w:gridSpan w:val="2"/>
            <w:tcBorders>
              <w:top w:val="single" w:sz="6" w:space="0" w:color="231F20"/>
              <w:left w:val="single" w:sz="6" w:space="0" w:color="231F20"/>
              <w:bottom w:val="single" w:sz="6" w:space="0" w:color="231F20"/>
              <w:right w:val="single" w:sz="6" w:space="0" w:color="231F20"/>
            </w:tcBorders>
          </w:tcPr>
          <w:p w14:paraId="7F212590" w14:textId="77777777" w:rsidR="009948F1" w:rsidRDefault="009948F1">
            <w:pPr>
              <w:pStyle w:val="TableParagraph"/>
              <w:rPr>
                <w:sz w:val="15"/>
              </w:rPr>
            </w:pPr>
          </w:p>
          <w:p w14:paraId="35AB05BE" w14:textId="77777777" w:rsidR="009948F1" w:rsidRDefault="00BC0563">
            <w:pPr>
              <w:pStyle w:val="TableParagraph"/>
              <w:ind w:left="27"/>
              <w:rPr>
                <w:sz w:val="12"/>
              </w:rPr>
            </w:pPr>
            <w:r>
              <w:rPr>
                <w:color w:val="231F20"/>
                <w:w w:val="105"/>
                <w:sz w:val="12"/>
              </w:rPr>
              <w:t>Integrate all vertical surveillance systems (addressed in 14.1.2)</w:t>
            </w:r>
          </w:p>
        </w:tc>
        <w:tc>
          <w:tcPr>
            <w:tcW w:w="1507" w:type="dxa"/>
            <w:tcBorders>
              <w:top w:val="single" w:sz="6" w:space="0" w:color="231F20"/>
              <w:left w:val="single" w:sz="6" w:space="0" w:color="231F20"/>
              <w:bottom w:val="single" w:sz="6" w:space="0" w:color="231F20"/>
              <w:right w:val="single" w:sz="6" w:space="0" w:color="231F20"/>
            </w:tcBorders>
          </w:tcPr>
          <w:p w14:paraId="7D080A62" w14:textId="77777777" w:rsidR="009948F1" w:rsidRDefault="009948F1">
            <w:pPr>
              <w:pStyle w:val="TableParagraph"/>
              <w:spacing w:before="4"/>
              <w:rPr>
                <w:sz w:val="15"/>
              </w:rPr>
            </w:pPr>
          </w:p>
          <w:p w14:paraId="388352EE" w14:textId="77777777" w:rsidR="009948F1" w:rsidRDefault="00BC0563">
            <w:pPr>
              <w:pStyle w:val="TableParagraph"/>
              <w:spacing w:before="1"/>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21113BB8" w14:textId="77777777" w:rsidR="009948F1" w:rsidRDefault="009948F1">
            <w:pPr>
              <w:pStyle w:val="TableParagraph"/>
              <w:spacing w:before="4"/>
              <w:rPr>
                <w:sz w:val="15"/>
              </w:rPr>
            </w:pPr>
          </w:p>
          <w:p w14:paraId="2D2CD1B8" w14:textId="77777777" w:rsidR="009948F1" w:rsidRDefault="00BC0563">
            <w:pPr>
              <w:pStyle w:val="TableParagraph"/>
              <w:spacing w:before="1"/>
              <w:ind w:left="28"/>
              <w:rPr>
                <w:sz w:val="12"/>
              </w:rPr>
            </w:pPr>
            <w:r>
              <w:rPr>
                <w:color w:val="231F20"/>
                <w:w w:val="105"/>
                <w:sz w:val="12"/>
              </w:rPr>
              <w:t>No cost</w:t>
            </w:r>
          </w:p>
        </w:tc>
      </w:tr>
      <w:tr w:rsidR="009948F1" w14:paraId="132ACE60" w14:textId="77777777">
        <w:trPr>
          <w:trHeight w:val="521"/>
        </w:trPr>
        <w:tc>
          <w:tcPr>
            <w:tcW w:w="484" w:type="dxa"/>
            <w:vMerge/>
            <w:tcBorders>
              <w:top w:val="nil"/>
              <w:bottom w:val="single" w:sz="6" w:space="0" w:color="231F20"/>
              <w:right w:val="single" w:sz="6" w:space="0" w:color="231F20"/>
            </w:tcBorders>
          </w:tcPr>
          <w:p w14:paraId="743938D1"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5245930D" w14:textId="77777777" w:rsidR="009948F1" w:rsidRDefault="009948F1">
            <w:pPr>
              <w:pStyle w:val="TableParagraph"/>
              <w:spacing w:before="7"/>
              <w:rPr>
                <w:sz w:val="16"/>
              </w:rPr>
            </w:pPr>
          </w:p>
          <w:p w14:paraId="52272D91" w14:textId="77777777" w:rsidR="009948F1" w:rsidRDefault="00BC0563">
            <w:pPr>
              <w:pStyle w:val="TableParagraph"/>
              <w:ind w:left="32" w:right="11"/>
              <w:jc w:val="center"/>
              <w:rPr>
                <w:sz w:val="12"/>
              </w:rPr>
            </w:pPr>
            <w:r>
              <w:rPr>
                <w:color w:val="231F20"/>
                <w:w w:val="105"/>
                <w:sz w:val="12"/>
              </w:rPr>
              <w:t>14.1.6.b</w:t>
            </w:r>
          </w:p>
        </w:tc>
        <w:tc>
          <w:tcPr>
            <w:tcW w:w="5170" w:type="dxa"/>
            <w:gridSpan w:val="2"/>
            <w:tcBorders>
              <w:top w:val="single" w:sz="6" w:space="0" w:color="231F20"/>
              <w:left w:val="single" w:sz="6" w:space="0" w:color="231F20"/>
              <w:bottom w:val="single" w:sz="6" w:space="0" w:color="231F20"/>
              <w:right w:val="single" w:sz="6" w:space="0" w:color="231F20"/>
            </w:tcBorders>
          </w:tcPr>
          <w:p w14:paraId="440BF755" w14:textId="77777777" w:rsidR="009948F1" w:rsidRDefault="009948F1">
            <w:pPr>
              <w:pStyle w:val="TableParagraph"/>
              <w:spacing w:before="2"/>
              <w:rPr>
                <w:sz w:val="16"/>
              </w:rPr>
            </w:pPr>
          </w:p>
          <w:p w14:paraId="1A1C41B0" w14:textId="77777777" w:rsidR="009948F1" w:rsidRDefault="00BC0563">
            <w:pPr>
              <w:pStyle w:val="TableParagraph"/>
              <w:spacing w:before="1"/>
              <w:ind w:left="27"/>
              <w:rPr>
                <w:sz w:val="12"/>
              </w:rPr>
            </w:pPr>
            <w:r>
              <w:rPr>
                <w:color w:val="231F20"/>
                <w:w w:val="105"/>
                <w:sz w:val="12"/>
              </w:rPr>
              <w:t>Monitor and evaluate IDSR at all levels and establishment of monitoring protocol</w:t>
            </w:r>
          </w:p>
        </w:tc>
        <w:tc>
          <w:tcPr>
            <w:tcW w:w="1507" w:type="dxa"/>
            <w:tcBorders>
              <w:top w:val="single" w:sz="6" w:space="0" w:color="231F20"/>
              <w:left w:val="single" w:sz="6" w:space="0" w:color="231F20"/>
              <w:bottom w:val="single" w:sz="6" w:space="0" w:color="231F20"/>
              <w:right w:val="single" w:sz="6" w:space="0" w:color="231F20"/>
            </w:tcBorders>
          </w:tcPr>
          <w:p w14:paraId="4910AD31" w14:textId="77777777" w:rsidR="009948F1" w:rsidRDefault="009948F1">
            <w:pPr>
              <w:pStyle w:val="TableParagraph"/>
              <w:spacing w:before="7"/>
              <w:rPr>
                <w:sz w:val="16"/>
              </w:rPr>
            </w:pPr>
          </w:p>
          <w:p w14:paraId="1FD109BE"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316F88CE" w14:textId="77777777" w:rsidR="009948F1" w:rsidRDefault="009948F1">
            <w:pPr>
              <w:pStyle w:val="TableParagraph"/>
              <w:spacing w:before="7"/>
              <w:rPr>
                <w:sz w:val="16"/>
              </w:rPr>
            </w:pPr>
          </w:p>
          <w:p w14:paraId="1EE004F4" w14:textId="77777777" w:rsidR="009948F1" w:rsidRDefault="00BC0563">
            <w:pPr>
              <w:pStyle w:val="TableParagraph"/>
              <w:ind w:left="28"/>
              <w:rPr>
                <w:sz w:val="12"/>
              </w:rPr>
            </w:pPr>
            <w:r>
              <w:rPr>
                <w:color w:val="231F20"/>
                <w:w w:val="105"/>
                <w:sz w:val="12"/>
              </w:rPr>
              <w:t>Costed in 1.3.3b</w:t>
            </w:r>
          </w:p>
        </w:tc>
      </w:tr>
      <w:tr w:rsidR="009948F1" w14:paraId="3A3BEE82" w14:textId="77777777">
        <w:trPr>
          <w:trHeight w:val="1224"/>
        </w:trPr>
        <w:tc>
          <w:tcPr>
            <w:tcW w:w="484" w:type="dxa"/>
            <w:tcBorders>
              <w:top w:val="single" w:sz="6" w:space="0" w:color="231F20"/>
              <w:left w:val="single" w:sz="12" w:space="0" w:color="231F20"/>
              <w:bottom w:val="single" w:sz="6" w:space="0" w:color="231F20"/>
              <w:right w:val="single" w:sz="6" w:space="0" w:color="231F20"/>
            </w:tcBorders>
            <w:shd w:val="clear" w:color="auto" w:fill="CCE7D3"/>
          </w:tcPr>
          <w:p w14:paraId="6C3BE228" w14:textId="77777777" w:rsidR="009948F1" w:rsidRDefault="009948F1">
            <w:pPr>
              <w:pStyle w:val="TableParagraph"/>
              <w:rPr>
                <w:sz w:val="12"/>
              </w:rPr>
            </w:pPr>
          </w:p>
          <w:p w14:paraId="50601BF4" w14:textId="77777777" w:rsidR="009948F1" w:rsidRDefault="009948F1">
            <w:pPr>
              <w:pStyle w:val="TableParagraph"/>
              <w:rPr>
                <w:sz w:val="12"/>
              </w:rPr>
            </w:pPr>
          </w:p>
          <w:p w14:paraId="121D5090" w14:textId="77777777" w:rsidR="009948F1" w:rsidRDefault="009948F1">
            <w:pPr>
              <w:pStyle w:val="TableParagraph"/>
              <w:rPr>
                <w:sz w:val="12"/>
              </w:rPr>
            </w:pPr>
          </w:p>
          <w:p w14:paraId="09A84D87" w14:textId="77777777" w:rsidR="009948F1" w:rsidRDefault="009948F1">
            <w:pPr>
              <w:pStyle w:val="TableParagraph"/>
              <w:spacing w:before="1"/>
              <w:rPr>
                <w:sz w:val="11"/>
              </w:rPr>
            </w:pPr>
          </w:p>
          <w:p w14:paraId="18B2E3C6" w14:textId="77777777" w:rsidR="009948F1" w:rsidRDefault="00BC0563">
            <w:pPr>
              <w:pStyle w:val="TableParagraph"/>
              <w:spacing w:before="1"/>
              <w:ind w:left="36" w:right="34"/>
              <w:jc w:val="center"/>
              <w:rPr>
                <w:sz w:val="12"/>
              </w:rPr>
            </w:pPr>
            <w:r>
              <w:rPr>
                <w:color w:val="231F20"/>
                <w:w w:val="105"/>
                <w:sz w:val="12"/>
              </w:rPr>
              <w:t>14.1.7</w:t>
            </w:r>
          </w:p>
        </w:tc>
        <w:tc>
          <w:tcPr>
            <w:tcW w:w="3207" w:type="dxa"/>
            <w:gridSpan w:val="2"/>
            <w:tcBorders>
              <w:top w:val="single" w:sz="6" w:space="0" w:color="231F20"/>
              <w:left w:val="single" w:sz="6" w:space="0" w:color="231F20"/>
              <w:bottom w:val="single" w:sz="6" w:space="0" w:color="231F20"/>
              <w:right w:val="single" w:sz="6" w:space="0" w:color="231F20"/>
            </w:tcBorders>
            <w:shd w:val="clear" w:color="auto" w:fill="CCE7D3"/>
          </w:tcPr>
          <w:p w14:paraId="21D8F175" w14:textId="77777777" w:rsidR="009948F1" w:rsidRDefault="009948F1">
            <w:pPr>
              <w:pStyle w:val="TableParagraph"/>
              <w:rPr>
                <w:sz w:val="12"/>
              </w:rPr>
            </w:pPr>
          </w:p>
          <w:p w14:paraId="1AB3D6C5" w14:textId="77777777" w:rsidR="009948F1" w:rsidRDefault="009948F1">
            <w:pPr>
              <w:pStyle w:val="TableParagraph"/>
              <w:rPr>
                <w:sz w:val="12"/>
              </w:rPr>
            </w:pPr>
          </w:p>
          <w:p w14:paraId="0042FF10" w14:textId="77777777" w:rsidR="009948F1" w:rsidRDefault="009948F1">
            <w:pPr>
              <w:pStyle w:val="TableParagraph"/>
              <w:rPr>
                <w:sz w:val="10"/>
              </w:rPr>
            </w:pPr>
          </w:p>
          <w:p w14:paraId="253FC4D5" w14:textId="77777777" w:rsidR="009948F1" w:rsidRDefault="00BC0563">
            <w:pPr>
              <w:pStyle w:val="TableParagraph"/>
              <w:spacing w:before="1" w:line="254" w:lineRule="auto"/>
              <w:ind w:left="26" w:firstLine="34"/>
              <w:rPr>
                <w:sz w:val="12"/>
              </w:rPr>
            </w:pPr>
            <w:r>
              <w:rPr>
                <w:color w:val="231F20"/>
                <w:w w:val="105"/>
                <w:sz w:val="12"/>
              </w:rPr>
              <w:t>Build human resource capacity and equitably distribute them for appropriate and optimal response to public health emergencies</w:t>
            </w:r>
          </w:p>
        </w:tc>
        <w:tc>
          <w:tcPr>
            <w:tcW w:w="2518" w:type="dxa"/>
            <w:tcBorders>
              <w:top w:val="single" w:sz="6" w:space="0" w:color="231F20"/>
              <w:left w:val="single" w:sz="6" w:space="0" w:color="231F20"/>
              <w:bottom w:val="single" w:sz="6" w:space="0" w:color="231F20"/>
              <w:right w:val="single" w:sz="6" w:space="0" w:color="231F20"/>
            </w:tcBorders>
            <w:shd w:val="clear" w:color="auto" w:fill="CCE7D3"/>
          </w:tcPr>
          <w:p w14:paraId="1A6EE5D1" w14:textId="77777777" w:rsidR="009948F1" w:rsidRDefault="00BC0563">
            <w:pPr>
              <w:pStyle w:val="TableParagraph"/>
              <w:numPr>
                <w:ilvl w:val="0"/>
                <w:numId w:val="19"/>
              </w:numPr>
              <w:tabs>
                <w:tab w:val="left" w:pos="100"/>
              </w:tabs>
              <w:spacing w:before="11" w:line="206" w:lineRule="auto"/>
              <w:ind w:right="393" w:firstLine="0"/>
              <w:jc w:val="both"/>
              <w:rPr>
                <w:sz w:val="12"/>
              </w:rPr>
            </w:pPr>
            <w:r>
              <w:rPr>
                <w:color w:val="231F20"/>
                <w:w w:val="105"/>
                <w:sz w:val="12"/>
              </w:rPr>
              <w:t>Adapt WHO generic</w:t>
            </w:r>
            <w:r>
              <w:rPr>
                <w:color w:val="231F20"/>
                <w:spacing w:val="-22"/>
                <w:w w:val="105"/>
                <w:sz w:val="12"/>
              </w:rPr>
              <w:t xml:space="preserve"> </w:t>
            </w:r>
            <w:r>
              <w:rPr>
                <w:color w:val="231F20"/>
                <w:w w:val="105"/>
                <w:sz w:val="12"/>
              </w:rPr>
              <w:t>materials/adopt national training materials for</w:t>
            </w:r>
            <w:r>
              <w:rPr>
                <w:color w:val="231F20"/>
                <w:spacing w:val="-15"/>
                <w:w w:val="105"/>
                <w:sz w:val="12"/>
              </w:rPr>
              <w:t xml:space="preserve"> </w:t>
            </w:r>
            <w:r>
              <w:rPr>
                <w:color w:val="231F20"/>
                <w:w w:val="105"/>
                <w:sz w:val="12"/>
              </w:rPr>
              <w:t>disease surveillance</w:t>
            </w:r>
            <w:r>
              <w:rPr>
                <w:color w:val="231F20"/>
                <w:spacing w:val="-1"/>
                <w:w w:val="105"/>
                <w:sz w:val="12"/>
              </w:rPr>
              <w:t xml:space="preserve"> </w:t>
            </w:r>
            <w:r>
              <w:rPr>
                <w:color w:val="231F20"/>
                <w:w w:val="105"/>
                <w:sz w:val="12"/>
              </w:rPr>
              <w:t>done</w:t>
            </w:r>
          </w:p>
          <w:p w14:paraId="2B733AE6" w14:textId="77777777" w:rsidR="009948F1" w:rsidRDefault="00BC0563">
            <w:pPr>
              <w:pStyle w:val="TableParagraph"/>
              <w:numPr>
                <w:ilvl w:val="0"/>
                <w:numId w:val="19"/>
              </w:numPr>
              <w:tabs>
                <w:tab w:val="left" w:pos="107"/>
              </w:tabs>
              <w:spacing w:line="254" w:lineRule="auto"/>
              <w:ind w:right="79" w:firstLine="0"/>
              <w:rPr>
                <w:sz w:val="12"/>
              </w:rPr>
            </w:pPr>
            <w:r>
              <w:rPr>
                <w:color w:val="231F20"/>
                <w:w w:val="105"/>
                <w:sz w:val="12"/>
              </w:rPr>
              <w:t xml:space="preserve">Public health laboratory personnel </w:t>
            </w:r>
            <w:r>
              <w:rPr>
                <w:color w:val="231F20"/>
                <w:spacing w:val="-3"/>
                <w:w w:val="105"/>
                <w:sz w:val="12"/>
              </w:rPr>
              <w:t xml:space="preserve">trained </w:t>
            </w:r>
            <w:r>
              <w:rPr>
                <w:color w:val="231F20"/>
                <w:w w:val="105"/>
                <w:sz w:val="12"/>
              </w:rPr>
              <w:t>&amp; re-trained on response to public health emergencies and equitably</w:t>
            </w:r>
            <w:r>
              <w:rPr>
                <w:color w:val="231F20"/>
                <w:spacing w:val="-5"/>
                <w:w w:val="105"/>
                <w:sz w:val="12"/>
              </w:rPr>
              <w:t xml:space="preserve"> </w:t>
            </w:r>
            <w:r>
              <w:rPr>
                <w:color w:val="231F20"/>
                <w:w w:val="105"/>
                <w:sz w:val="12"/>
              </w:rPr>
              <w:t>distributed</w:t>
            </w:r>
          </w:p>
          <w:p w14:paraId="7EA75754" w14:textId="77777777" w:rsidR="009948F1" w:rsidRDefault="00BC0563">
            <w:pPr>
              <w:pStyle w:val="TableParagraph"/>
              <w:numPr>
                <w:ilvl w:val="0"/>
                <w:numId w:val="19"/>
              </w:numPr>
              <w:tabs>
                <w:tab w:val="left" w:pos="142"/>
              </w:tabs>
              <w:spacing w:line="137" w:lineRule="exact"/>
              <w:ind w:left="141" w:hanging="115"/>
              <w:rPr>
                <w:sz w:val="12"/>
              </w:rPr>
            </w:pPr>
            <w:r>
              <w:rPr>
                <w:color w:val="231F20"/>
                <w:w w:val="105"/>
                <w:sz w:val="12"/>
              </w:rPr>
              <w:t>DSNOs and Data management team</w:t>
            </w:r>
            <w:r>
              <w:rPr>
                <w:color w:val="231F20"/>
                <w:spacing w:val="-10"/>
                <w:w w:val="105"/>
                <w:sz w:val="12"/>
              </w:rPr>
              <w:t xml:space="preserve"> </w:t>
            </w:r>
            <w:r>
              <w:rPr>
                <w:color w:val="231F20"/>
                <w:w w:val="105"/>
                <w:sz w:val="12"/>
              </w:rPr>
              <w:t>at</w:t>
            </w:r>
          </w:p>
          <w:p w14:paraId="74CE202F" w14:textId="77777777" w:rsidR="009948F1" w:rsidRDefault="00BC0563">
            <w:pPr>
              <w:pStyle w:val="TableParagraph"/>
              <w:spacing w:before="8" w:line="132" w:lineRule="exact"/>
              <w:ind w:left="27" w:right="-17"/>
              <w:rPr>
                <w:sz w:val="12"/>
              </w:rPr>
            </w:pPr>
            <w:r>
              <w:rPr>
                <w:color w:val="231F20"/>
                <w:w w:val="105"/>
                <w:sz w:val="12"/>
              </w:rPr>
              <w:t>state level trained &amp; re-trained on use of ICT in IDSR &amp; equitably distributed</w:t>
            </w:r>
          </w:p>
        </w:tc>
        <w:tc>
          <w:tcPr>
            <w:tcW w:w="1507" w:type="dxa"/>
            <w:tcBorders>
              <w:top w:val="single" w:sz="6" w:space="0" w:color="231F20"/>
              <w:left w:val="single" w:sz="6" w:space="0" w:color="231F20"/>
              <w:bottom w:val="single" w:sz="6" w:space="0" w:color="231F20"/>
              <w:right w:val="single" w:sz="6" w:space="0" w:color="231F20"/>
            </w:tcBorders>
            <w:shd w:val="clear" w:color="auto" w:fill="CCE7D3"/>
          </w:tcPr>
          <w:p w14:paraId="22B58FDB" w14:textId="77777777" w:rsidR="009948F1" w:rsidRDefault="009948F1">
            <w:pPr>
              <w:pStyle w:val="TableParagraph"/>
              <w:rPr>
                <w:rFonts w:ascii="Times New Roman"/>
                <w:sz w:val="12"/>
              </w:rPr>
            </w:pPr>
          </w:p>
        </w:tc>
        <w:tc>
          <w:tcPr>
            <w:tcW w:w="1590" w:type="dxa"/>
            <w:tcBorders>
              <w:top w:val="single" w:sz="6" w:space="0" w:color="231F20"/>
              <w:left w:val="single" w:sz="6" w:space="0" w:color="231F20"/>
              <w:bottom w:val="single" w:sz="6" w:space="0" w:color="231F20"/>
            </w:tcBorders>
            <w:shd w:val="clear" w:color="auto" w:fill="CCE7D3"/>
          </w:tcPr>
          <w:p w14:paraId="2A5C83E0" w14:textId="77777777" w:rsidR="009948F1" w:rsidRDefault="009948F1">
            <w:pPr>
              <w:pStyle w:val="TableParagraph"/>
              <w:rPr>
                <w:rFonts w:ascii="Times New Roman"/>
                <w:sz w:val="12"/>
              </w:rPr>
            </w:pPr>
          </w:p>
        </w:tc>
      </w:tr>
      <w:tr w:rsidR="009948F1" w14:paraId="4516D46E" w14:textId="77777777">
        <w:trPr>
          <w:trHeight w:val="429"/>
        </w:trPr>
        <w:tc>
          <w:tcPr>
            <w:tcW w:w="484" w:type="dxa"/>
            <w:vMerge w:val="restart"/>
            <w:tcBorders>
              <w:top w:val="single" w:sz="6" w:space="0" w:color="231F20"/>
              <w:bottom w:val="single" w:sz="6" w:space="0" w:color="231F20"/>
              <w:right w:val="single" w:sz="6" w:space="0" w:color="231F20"/>
            </w:tcBorders>
          </w:tcPr>
          <w:p w14:paraId="2839CBAB" w14:textId="77777777" w:rsidR="009948F1" w:rsidRDefault="009948F1">
            <w:pPr>
              <w:pStyle w:val="TableParagraph"/>
              <w:rPr>
                <w:rFonts w:ascii="Times New Roman"/>
                <w:sz w:val="12"/>
              </w:rPr>
            </w:pPr>
          </w:p>
        </w:tc>
        <w:tc>
          <w:tcPr>
            <w:tcW w:w="555" w:type="dxa"/>
            <w:tcBorders>
              <w:top w:val="single" w:sz="6" w:space="0" w:color="231F20"/>
              <w:left w:val="single" w:sz="6" w:space="0" w:color="231F20"/>
              <w:bottom w:val="single" w:sz="6" w:space="0" w:color="231F20"/>
              <w:right w:val="single" w:sz="6" w:space="0" w:color="231F20"/>
            </w:tcBorders>
          </w:tcPr>
          <w:p w14:paraId="4C471BD0" w14:textId="77777777" w:rsidR="009948F1" w:rsidRDefault="009948F1">
            <w:pPr>
              <w:pStyle w:val="TableParagraph"/>
              <w:spacing w:before="7"/>
              <w:rPr>
                <w:sz w:val="12"/>
              </w:rPr>
            </w:pPr>
          </w:p>
          <w:p w14:paraId="5F02D958" w14:textId="77777777" w:rsidR="009948F1" w:rsidRDefault="00BC0563">
            <w:pPr>
              <w:pStyle w:val="TableParagraph"/>
              <w:ind w:left="32" w:right="11"/>
              <w:jc w:val="center"/>
              <w:rPr>
                <w:sz w:val="12"/>
              </w:rPr>
            </w:pPr>
            <w:r>
              <w:rPr>
                <w:color w:val="231F20"/>
                <w:w w:val="105"/>
                <w:sz w:val="12"/>
              </w:rPr>
              <w:t>14.1.7.a</w:t>
            </w:r>
          </w:p>
        </w:tc>
        <w:tc>
          <w:tcPr>
            <w:tcW w:w="5170" w:type="dxa"/>
            <w:gridSpan w:val="2"/>
            <w:tcBorders>
              <w:top w:val="single" w:sz="6" w:space="0" w:color="231F20"/>
              <w:left w:val="single" w:sz="6" w:space="0" w:color="231F20"/>
              <w:bottom w:val="single" w:sz="6" w:space="0" w:color="231F20"/>
              <w:right w:val="single" w:sz="6" w:space="0" w:color="231F20"/>
            </w:tcBorders>
          </w:tcPr>
          <w:p w14:paraId="0B58FC8F" w14:textId="77777777" w:rsidR="009948F1" w:rsidRDefault="00BC0563">
            <w:pPr>
              <w:pStyle w:val="TableParagraph"/>
              <w:spacing w:before="67" w:line="254" w:lineRule="auto"/>
              <w:ind w:left="27" w:right="101"/>
              <w:rPr>
                <w:sz w:val="12"/>
              </w:rPr>
            </w:pPr>
            <w:r>
              <w:rPr>
                <w:color w:val="231F20"/>
                <w:w w:val="105"/>
                <w:sz w:val="12"/>
              </w:rPr>
              <w:t>Adapt WHO generic materials/adopt national training materials for disease surveillance, laboratory diagnosis and public health emergencies and response</w:t>
            </w:r>
          </w:p>
        </w:tc>
        <w:tc>
          <w:tcPr>
            <w:tcW w:w="1507" w:type="dxa"/>
            <w:tcBorders>
              <w:top w:val="single" w:sz="6" w:space="0" w:color="231F20"/>
              <w:left w:val="single" w:sz="6" w:space="0" w:color="231F20"/>
              <w:bottom w:val="single" w:sz="6" w:space="0" w:color="231F20"/>
              <w:right w:val="single" w:sz="6" w:space="0" w:color="231F20"/>
            </w:tcBorders>
          </w:tcPr>
          <w:p w14:paraId="6FDDA987" w14:textId="77777777" w:rsidR="009948F1" w:rsidRDefault="009948F1">
            <w:pPr>
              <w:pStyle w:val="TableParagraph"/>
              <w:spacing w:before="7"/>
              <w:rPr>
                <w:sz w:val="12"/>
              </w:rPr>
            </w:pPr>
          </w:p>
          <w:p w14:paraId="25BD86FF"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72F0AE4A" w14:textId="77777777" w:rsidR="009948F1" w:rsidRDefault="009948F1">
            <w:pPr>
              <w:pStyle w:val="TableParagraph"/>
              <w:spacing w:before="7"/>
              <w:rPr>
                <w:sz w:val="12"/>
              </w:rPr>
            </w:pPr>
          </w:p>
          <w:p w14:paraId="165B3BEE" w14:textId="77777777" w:rsidR="009948F1" w:rsidRDefault="00BC0563">
            <w:pPr>
              <w:pStyle w:val="TableParagraph"/>
              <w:ind w:left="28"/>
              <w:rPr>
                <w:sz w:val="12"/>
              </w:rPr>
            </w:pPr>
            <w:r>
              <w:rPr>
                <w:color w:val="231F20"/>
                <w:w w:val="105"/>
                <w:sz w:val="12"/>
              </w:rPr>
              <w:t>Costed in 14.1.1a</w:t>
            </w:r>
          </w:p>
        </w:tc>
      </w:tr>
      <w:tr w:rsidR="009948F1" w14:paraId="3673034C" w14:textId="77777777">
        <w:trPr>
          <w:trHeight w:val="268"/>
        </w:trPr>
        <w:tc>
          <w:tcPr>
            <w:tcW w:w="484" w:type="dxa"/>
            <w:vMerge/>
            <w:tcBorders>
              <w:top w:val="nil"/>
              <w:bottom w:val="single" w:sz="6" w:space="0" w:color="231F20"/>
              <w:right w:val="single" w:sz="6" w:space="0" w:color="231F20"/>
            </w:tcBorders>
          </w:tcPr>
          <w:p w14:paraId="17E057EE"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149A0261" w14:textId="77777777" w:rsidR="009948F1" w:rsidRDefault="00BC0563">
            <w:pPr>
              <w:pStyle w:val="TableParagraph"/>
              <w:spacing w:before="64"/>
              <w:ind w:left="32" w:right="11"/>
              <w:jc w:val="center"/>
              <w:rPr>
                <w:sz w:val="12"/>
              </w:rPr>
            </w:pPr>
            <w:r>
              <w:rPr>
                <w:color w:val="231F20"/>
                <w:w w:val="105"/>
                <w:sz w:val="12"/>
              </w:rPr>
              <w:t>14.1.7.b</w:t>
            </w:r>
          </w:p>
        </w:tc>
        <w:tc>
          <w:tcPr>
            <w:tcW w:w="5170" w:type="dxa"/>
            <w:gridSpan w:val="2"/>
            <w:tcBorders>
              <w:top w:val="single" w:sz="6" w:space="0" w:color="231F20"/>
              <w:left w:val="single" w:sz="6" w:space="0" w:color="231F20"/>
              <w:bottom w:val="single" w:sz="6" w:space="0" w:color="231F20"/>
              <w:right w:val="single" w:sz="6" w:space="0" w:color="231F20"/>
            </w:tcBorders>
          </w:tcPr>
          <w:p w14:paraId="735A1090" w14:textId="77777777" w:rsidR="009948F1" w:rsidRDefault="00BC0563">
            <w:pPr>
              <w:pStyle w:val="TableParagraph"/>
              <w:spacing w:line="134" w:lineRule="exact"/>
              <w:ind w:left="61"/>
              <w:rPr>
                <w:sz w:val="12"/>
              </w:rPr>
            </w:pPr>
            <w:r>
              <w:rPr>
                <w:color w:val="231F20"/>
                <w:w w:val="105"/>
                <w:sz w:val="12"/>
              </w:rPr>
              <w:t>Training and retraining/deployment of Public health laboratory personnel on response to</w:t>
            </w:r>
          </w:p>
          <w:p w14:paraId="613A4F88" w14:textId="77777777" w:rsidR="009948F1" w:rsidRDefault="00BC0563">
            <w:pPr>
              <w:pStyle w:val="TableParagraph"/>
              <w:spacing w:before="7" w:line="106" w:lineRule="exact"/>
              <w:ind w:left="27"/>
              <w:rPr>
                <w:sz w:val="12"/>
              </w:rPr>
            </w:pPr>
            <w:r>
              <w:rPr>
                <w:color w:val="231F20"/>
                <w:w w:val="105"/>
                <w:sz w:val="12"/>
              </w:rPr>
              <w:t>public health emergencies</w:t>
            </w:r>
          </w:p>
        </w:tc>
        <w:tc>
          <w:tcPr>
            <w:tcW w:w="1507" w:type="dxa"/>
            <w:tcBorders>
              <w:top w:val="single" w:sz="6" w:space="0" w:color="231F20"/>
              <w:left w:val="single" w:sz="6" w:space="0" w:color="231F20"/>
              <w:bottom w:val="single" w:sz="6" w:space="0" w:color="231F20"/>
              <w:right w:val="single" w:sz="6" w:space="0" w:color="231F20"/>
            </w:tcBorders>
          </w:tcPr>
          <w:p w14:paraId="150A11EA" w14:textId="77777777" w:rsidR="009948F1" w:rsidRDefault="00BC0563">
            <w:pPr>
              <w:pStyle w:val="TableParagraph"/>
              <w:spacing w:before="64"/>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3E5DFB00" w14:textId="77777777" w:rsidR="009948F1" w:rsidRDefault="00BC0563">
            <w:pPr>
              <w:pStyle w:val="TableParagraph"/>
              <w:spacing w:before="64"/>
              <w:ind w:left="28"/>
              <w:rPr>
                <w:sz w:val="12"/>
              </w:rPr>
            </w:pPr>
            <w:r>
              <w:rPr>
                <w:color w:val="231F20"/>
                <w:w w:val="105"/>
                <w:sz w:val="12"/>
              </w:rPr>
              <w:t>Training and retraining</w:t>
            </w:r>
          </w:p>
        </w:tc>
      </w:tr>
      <w:tr w:rsidR="009948F1" w14:paraId="452AC9A5" w14:textId="77777777">
        <w:trPr>
          <w:trHeight w:val="450"/>
        </w:trPr>
        <w:tc>
          <w:tcPr>
            <w:tcW w:w="484" w:type="dxa"/>
            <w:vMerge/>
            <w:tcBorders>
              <w:top w:val="nil"/>
              <w:bottom w:val="single" w:sz="6" w:space="0" w:color="231F20"/>
              <w:right w:val="single" w:sz="6" w:space="0" w:color="231F20"/>
            </w:tcBorders>
          </w:tcPr>
          <w:p w14:paraId="75523B58"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6EBB9CC5" w14:textId="77777777" w:rsidR="009948F1" w:rsidRDefault="009948F1">
            <w:pPr>
              <w:pStyle w:val="TableParagraph"/>
              <w:spacing w:before="6"/>
              <w:rPr>
                <w:sz w:val="13"/>
              </w:rPr>
            </w:pPr>
          </w:p>
          <w:p w14:paraId="2E7A30DF" w14:textId="77777777" w:rsidR="009948F1" w:rsidRDefault="00BC0563">
            <w:pPr>
              <w:pStyle w:val="TableParagraph"/>
              <w:ind w:left="32" w:right="11"/>
              <w:jc w:val="center"/>
              <w:rPr>
                <w:sz w:val="12"/>
              </w:rPr>
            </w:pPr>
            <w:r>
              <w:rPr>
                <w:color w:val="231F20"/>
                <w:w w:val="105"/>
                <w:sz w:val="12"/>
              </w:rPr>
              <w:t>14.1.7.c</w:t>
            </w:r>
          </w:p>
        </w:tc>
        <w:tc>
          <w:tcPr>
            <w:tcW w:w="5170" w:type="dxa"/>
            <w:gridSpan w:val="2"/>
            <w:tcBorders>
              <w:top w:val="single" w:sz="6" w:space="0" w:color="231F20"/>
              <w:left w:val="single" w:sz="6" w:space="0" w:color="231F20"/>
              <w:bottom w:val="single" w:sz="6" w:space="0" w:color="231F20"/>
              <w:right w:val="single" w:sz="6" w:space="0" w:color="231F20"/>
            </w:tcBorders>
          </w:tcPr>
          <w:p w14:paraId="20B1A5DE" w14:textId="77777777" w:rsidR="009948F1" w:rsidRDefault="009948F1">
            <w:pPr>
              <w:pStyle w:val="TableParagraph"/>
              <w:spacing w:before="1"/>
              <w:rPr>
                <w:sz w:val="13"/>
              </w:rPr>
            </w:pPr>
          </w:p>
          <w:p w14:paraId="5A34FABB" w14:textId="77777777" w:rsidR="009948F1" w:rsidRDefault="00BC0563">
            <w:pPr>
              <w:pStyle w:val="TableParagraph"/>
              <w:ind w:left="27"/>
              <w:rPr>
                <w:sz w:val="12"/>
              </w:rPr>
            </w:pPr>
            <w:r>
              <w:rPr>
                <w:color w:val="231F20"/>
                <w:w w:val="105"/>
                <w:sz w:val="12"/>
              </w:rPr>
              <w:t>Training of clinicians, EHOs and Nurses at all levels to handle infectious diseases</w:t>
            </w:r>
          </w:p>
        </w:tc>
        <w:tc>
          <w:tcPr>
            <w:tcW w:w="1507" w:type="dxa"/>
            <w:tcBorders>
              <w:top w:val="single" w:sz="6" w:space="0" w:color="231F20"/>
              <w:left w:val="single" w:sz="6" w:space="0" w:color="231F20"/>
              <w:bottom w:val="single" w:sz="6" w:space="0" w:color="231F20"/>
              <w:right w:val="single" w:sz="6" w:space="0" w:color="231F20"/>
            </w:tcBorders>
          </w:tcPr>
          <w:p w14:paraId="3D83C3E8" w14:textId="77777777" w:rsidR="009948F1" w:rsidRDefault="009948F1">
            <w:pPr>
              <w:pStyle w:val="TableParagraph"/>
              <w:spacing w:before="6"/>
              <w:rPr>
                <w:sz w:val="13"/>
              </w:rPr>
            </w:pPr>
          </w:p>
          <w:p w14:paraId="02FF6B4F"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1BC468E1" w14:textId="77777777" w:rsidR="009948F1" w:rsidRDefault="009948F1">
            <w:pPr>
              <w:pStyle w:val="TableParagraph"/>
              <w:spacing w:before="6"/>
              <w:rPr>
                <w:sz w:val="13"/>
              </w:rPr>
            </w:pPr>
          </w:p>
          <w:p w14:paraId="58F8358A" w14:textId="77777777" w:rsidR="009948F1" w:rsidRDefault="00BC0563">
            <w:pPr>
              <w:pStyle w:val="TableParagraph"/>
              <w:ind w:left="28"/>
              <w:rPr>
                <w:sz w:val="12"/>
              </w:rPr>
            </w:pPr>
            <w:r>
              <w:rPr>
                <w:color w:val="231F20"/>
                <w:w w:val="105"/>
                <w:sz w:val="12"/>
              </w:rPr>
              <w:t>Training of clinicians</w:t>
            </w:r>
          </w:p>
        </w:tc>
      </w:tr>
      <w:tr w:rsidR="009948F1" w14:paraId="123B0C65" w14:textId="77777777">
        <w:trPr>
          <w:trHeight w:val="429"/>
        </w:trPr>
        <w:tc>
          <w:tcPr>
            <w:tcW w:w="484" w:type="dxa"/>
            <w:vMerge/>
            <w:tcBorders>
              <w:top w:val="nil"/>
              <w:bottom w:val="single" w:sz="6" w:space="0" w:color="231F20"/>
              <w:right w:val="single" w:sz="6" w:space="0" w:color="231F20"/>
            </w:tcBorders>
          </w:tcPr>
          <w:p w14:paraId="1586A8F8"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6A0CE664" w14:textId="77777777" w:rsidR="009948F1" w:rsidRDefault="009948F1">
            <w:pPr>
              <w:pStyle w:val="TableParagraph"/>
              <w:spacing w:before="7"/>
              <w:rPr>
                <w:sz w:val="12"/>
              </w:rPr>
            </w:pPr>
          </w:p>
          <w:p w14:paraId="0BEF824B" w14:textId="77777777" w:rsidR="009948F1" w:rsidRDefault="00BC0563">
            <w:pPr>
              <w:pStyle w:val="TableParagraph"/>
              <w:ind w:left="32" w:right="11"/>
              <w:jc w:val="center"/>
              <w:rPr>
                <w:sz w:val="12"/>
              </w:rPr>
            </w:pPr>
            <w:r>
              <w:rPr>
                <w:color w:val="231F20"/>
                <w:w w:val="105"/>
                <w:sz w:val="12"/>
              </w:rPr>
              <w:t>14.1.7.d</w:t>
            </w:r>
          </w:p>
        </w:tc>
        <w:tc>
          <w:tcPr>
            <w:tcW w:w="5170" w:type="dxa"/>
            <w:gridSpan w:val="2"/>
            <w:tcBorders>
              <w:top w:val="single" w:sz="6" w:space="0" w:color="231F20"/>
              <w:left w:val="single" w:sz="6" w:space="0" w:color="231F20"/>
              <w:bottom w:val="single" w:sz="6" w:space="0" w:color="231F20"/>
              <w:right w:val="single" w:sz="6" w:space="0" w:color="231F20"/>
            </w:tcBorders>
          </w:tcPr>
          <w:p w14:paraId="7E66234D" w14:textId="77777777" w:rsidR="009948F1" w:rsidRDefault="00BC0563">
            <w:pPr>
              <w:pStyle w:val="TableParagraph"/>
              <w:spacing w:line="134" w:lineRule="exact"/>
              <w:ind w:left="27"/>
              <w:rPr>
                <w:sz w:val="12"/>
              </w:rPr>
            </w:pPr>
            <w:r>
              <w:rPr>
                <w:color w:val="231F20"/>
                <w:w w:val="105"/>
                <w:sz w:val="12"/>
              </w:rPr>
              <w:t>Training of DSNOs, EHOs, CHEWs, SMOs, Media, CBOs NOA, Volunteer Health workers,</w:t>
            </w:r>
          </w:p>
          <w:p w14:paraId="2F6539AF" w14:textId="2AA59A76" w:rsidR="009948F1" w:rsidRDefault="002049E3">
            <w:pPr>
              <w:pStyle w:val="TableParagraph"/>
              <w:spacing w:before="5" w:line="140" w:lineRule="atLeast"/>
              <w:ind w:left="27"/>
              <w:rPr>
                <w:sz w:val="12"/>
              </w:rPr>
            </w:pPr>
            <w:r>
              <w:rPr>
                <w:color w:val="231F20"/>
                <w:w w:val="105"/>
                <w:sz w:val="12"/>
              </w:rPr>
              <w:t>Informants</w:t>
            </w:r>
            <w:r w:rsidR="00BC0563">
              <w:rPr>
                <w:color w:val="231F20"/>
                <w:w w:val="105"/>
                <w:sz w:val="12"/>
              </w:rPr>
              <w:t>, Ward Health Committees, Traditional Rulers, CDC chairmen, CAN, and Muslim group on response to public health emergencies.</w:t>
            </w:r>
          </w:p>
        </w:tc>
        <w:tc>
          <w:tcPr>
            <w:tcW w:w="1507" w:type="dxa"/>
            <w:tcBorders>
              <w:top w:val="single" w:sz="6" w:space="0" w:color="231F20"/>
              <w:left w:val="single" w:sz="6" w:space="0" w:color="231F20"/>
              <w:bottom w:val="single" w:sz="6" w:space="0" w:color="231F20"/>
              <w:right w:val="single" w:sz="6" w:space="0" w:color="231F20"/>
            </w:tcBorders>
          </w:tcPr>
          <w:p w14:paraId="5962BA07" w14:textId="77777777" w:rsidR="009948F1" w:rsidRDefault="009948F1">
            <w:pPr>
              <w:pStyle w:val="TableParagraph"/>
              <w:spacing w:before="7"/>
              <w:rPr>
                <w:sz w:val="12"/>
              </w:rPr>
            </w:pPr>
          </w:p>
          <w:p w14:paraId="3B877503"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56A0BF18" w14:textId="77777777" w:rsidR="009948F1" w:rsidRDefault="009948F1">
            <w:pPr>
              <w:pStyle w:val="TableParagraph"/>
              <w:spacing w:before="7"/>
              <w:rPr>
                <w:sz w:val="12"/>
              </w:rPr>
            </w:pPr>
          </w:p>
          <w:p w14:paraId="6FCFCEBD" w14:textId="77777777" w:rsidR="009948F1" w:rsidRDefault="00BC0563">
            <w:pPr>
              <w:pStyle w:val="TableParagraph"/>
              <w:ind w:left="28"/>
              <w:rPr>
                <w:sz w:val="12"/>
              </w:rPr>
            </w:pPr>
            <w:r>
              <w:rPr>
                <w:color w:val="231F20"/>
                <w:w w:val="105"/>
                <w:sz w:val="12"/>
              </w:rPr>
              <w:t>Training of DSNOs, EHOs</w:t>
            </w:r>
          </w:p>
        </w:tc>
      </w:tr>
      <w:tr w:rsidR="009948F1" w14:paraId="7C8B34E3" w14:textId="77777777">
        <w:trPr>
          <w:trHeight w:val="282"/>
        </w:trPr>
        <w:tc>
          <w:tcPr>
            <w:tcW w:w="484" w:type="dxa"/>
            <w:vMerge/>
            <w:tcBorders>
              <w:top w:val="nil"/>
              <w:bottom w:val="single" w:sz="6" w:space="0" w:color="231F20"/>
              <w:right w:val="single" w:sz="6" w:space="0" w:color="231F20"/>
            </w:tcBorders>
          </w:tcPr>
          <w:p w14:paraId="7E57292C"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70D37CCF" w14:textId="77777777" w:rsidR="009948F1" w:rsidRDefault="00BC0563">
            <w:pPr>
              <w:pStyle w:val="TableParagraph"/>
              <w:spacing w:before="72"/>
              <w:ind w:left="32" w:right="11"/>
              <w:jc w:val="center"/>
              <w:rPr>
                <w:sz w:val="12"/>
              </w:rPr>
            </w:pPr>
            <w:r>
              <w:rPr>
                <w:color w:val="231F20"/>
                <w:w w:val="105"/>
                <w:sz w:val="12"/>
              </w:rPr>
              <w:t>14.1.7.e</w:t>
            </w:r>
          </w:p>
        </w:tc>
        <w:tc>
          <w:tcPr>
            <w:tcW w:w="5170" w:type="dxa"/>
            <w:gridSpan w:val="2"/>
            <w:tcBorders>
              <w:top w:val="single" w:sz="6" w:space="0" w:color="231F20"/>
              <w:left w:val="single" w:sz="6" w:space="0" w:color="231F20"/>
              <w:bottom w:val="single" w:sz="6" w:space="0" w:color="231F20"/>
              <w:right w:val="single" w:sz="6" w:space="0" w:color="231F20"/>
            </w:tcBorders>
          </w:tcPr>
          <w:p w14:paraId="7C680CE7" w14:textId="77777777" w:rsidR="009948F1" w:rsidRDefault="00BC0563">
            <w:pPr>
              <w:pStyle w:val="TableParagraph"/>
              <w:spacing w:line="134" w:lineRule="exact"/>
              <w:ind w:left="27"/>
              <w:rPr>
                <w:sz w:val="12"/>
              </w:rPr>
            </w:pPr>
            <w:r>
              <w:rPr>
                <w:color w:val="231F20"/>
                <w:w w:val="105"/>
                <w:sz w:val="12"/>
              </w:rPr>
              <w:t>Training and retraining of DSNOs and Data management team at state level on use of ICT</w:t>
            </w:r>
          </w:p>
          <w:p w14:paraId="3EC3F5ED" w14:textId="77777777" w:rsidR="009948F1" w:rsidRDefault="00BC0563">
            <w:pPr>
              <w:pStyle w:val="TableParagraph"/>
              <w:spacing w:before="7" w:line="121" w:lineRule="exact"/>
              <w:ind w:left="27"/>
              <w:rPr>
                <w:sz w:val="12"/>
              </w:rPr>
            </w:pPr>
            <w:r>
              <w:rPr>
                <w:color w:val="231F20"/>
                <w:w w:val="105"/>
                <w:sz w:val="12"/>
              </w:rPr>
              <w:t>in IDSR</w:t>
            </w:r>
          </w:p>
        </w:tc>
        <w:tc>
          <w:tcPr>
            <w:tcW w:w="1507" w:type="dxa"/>
            <w:tcBorders>
              <w:top w:val="single" w:sz="6" w:space="0" w:color="231F20"/>
              <w:left w:val="single" w:sz="6" w:space="0" w:color="231F20"/>
              <w:bottom w:val="single" w:sz="6" w:space="0" w:color="231F20"/>
              <w:right w:val="single" w:sz="6" w:space="0" w:color="231F20"/>
            </w:tcBorders>
          </w:tcPr>
          <w:p w14:paraId="7EBE503F" w14:textId="77777777" w:rsidR="009948F1" w:rsidRDefault="00BC0563">
            <w:pPr>
              <w:pStyle w:val="TableParagraph"/>
              <w:spacing w:before="72"/>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66198835" w14:textId="77777777" w:rsidR="009948F1" w:rsidRDefault="00BC0563">
            <w:pPr>
              <w:pStyle w:val="TableParagraph"/>
              <w:spacing w:before="72"/>
              <w:ind w:left="28"/>
              <w:rPr>
                <w:sz w:val="12"/>
              </w:rPr>
            </w:pPr>
            <w:r>
              <w:rPr>
                <w:color w:val="231F20"/>
                <w:w w:val="105"/>
                <w:sz w:val="12"/>
              </w:rPr>
              <w:t>Training and retraining</w:t>
            </w:r>
          </w:p>
        </w:tc>
      </w:tr>
      <w:tr w:rsidR="009948F1" w14:paraId="732F0CA6" w14:textId="77777777">
        <w:trPr>
          <w:trHeight w:val="579"/>
        </w:trPr>
        <w:tc>
          <w:tcPr>
            <w:tcW w:w="484" w:type="dxa"/>
            <w:tcBorders>
              <w:top w:val="single" w:sz="6" w:space="0" w:color="231F20"/>
              <w:left w:val="single" w:sz="12" w:space="0" w:color="231F20"/>
              <w:bottom w:val="single" w:sz="6" w:space="0" w:color="231F20"/>
              <w:right w:val="single" w:sz="6" w:space="0" w:color="231F20"/>
            </w:tcBorders>
            <w:shd w:val="clear" w:color="auto" w:fill="CCE7D3"/>
          </w:tcPr>
          <w:p w14:paraId="0378EE4A" w14:textId="77777777" w:rsidR="009948F1" w:rsidRDefault="009948F1">
            <w:pPr>
              <w:pStyle w:val="TableParagraph"/>
              <w:rPr>
                <w:sz w:val="12"/>
              </w:rPr>
            </w:pPr>
          </w:p>
          <w:p w14:paraId="515A503E" w14:textId="77777777" w:rsidR="009948F1" w:rsidRDefault="00BC0563">
            <w:pPr>
              <w:pStyle w:val="TableParagraph"/>
              <w:spacing w:before="82"/>
              <w:ind w:left="36" w:right="34"/>
              <w:jc w:val="center"/>
              <w:rPr>
                <w:sz w:val="12"/>
              </w:rPr>
            </w:pPr>
            <w:r>
              <w:rPr>
                <w:color w:val="231F20"/>
                <w:w w:val="105"/>
                <w:sz w:val="12"/>
              </w:rPr>
              <w:t>14.1.8</w:t>
            </w:r>
          </w:p>
        </w:tc>
        <w:tc>
          <w:tcPr>
            <w:tcW w:w="3207" w:type="dxa"/>
            <w:gridSpan w:val="2"/>
            <w:tcBorders>
              <w:top w:val="single" w:sz="6" w:space="0" w:color="231F20"/>
              <w:left w:val="single" w:sz="6" w:space="0" w:color="231F20"/>
              <w:bottom w:val="single" w:sz="6" w:space="0" w:color="231F20"/>
              <w:right w:val="single" w:sz="6" w:space="0" w:color="231F20"/>
            </w:tcBorders>
            <w:shd w:val="clear" w:color="auto" w:fill="CCE7D3"/>
          </w:tcPr>
          <w:p w14:paraId="10C53FAE" w14:textId="77777777" w:rsidR="009948F1" w:rsidRDefault="009948F1">
            <w:pPr>
              <w:pStyle w:val="TableParagraph"/>
              <w:spacing w:before="4"/>
              <w:rPr>
                <w:sz w:val="12"/>
              </w:rPr>
            </w:pPr>
          </w:p>
          <w:p w14:paraId="7A28B1ED" w14:textId="77777777" w:rsidR="009948F1" w:rsidRDefault="00BC0563">
            <w:pPr>
              <w:pStyle w:val="TableParagraph"/>
              <w:spacing w:before="1" w:line="254" w:lineRule="auto"/>
              <w:ind w:left="26" w:firstLine="34"/>
              <w:rPr>
                <w:sz w:val="12"/>
              </w:rPr>
            </w:pPr>
            <w:r>
              <w:rPr>
                <w:color w:val="231F20"/>
                <w:w w:val="105"/>
                <w:sz w:val="12"/>
              </w:rPr>
              <w:t>Strengthen coordination mechanisms for public health emergencies at all levels</w:t>
            </w:r>
          </w:p>
        </w:tc>
        <w:tc>
          <w:tcPr>
            <w:tcW w:w="2518" w:type="dxa"/>
            <w:tcBorders>
              <w:top w:val="single" w:sz="6" w:space="0" w:color="231F20"/>
              <w:left w:val="single" w:sz="6" w:space="0" w:color="231F20"/>
              <w:bottom w:val="single" w:sz="6" w:space="0" w:color="231F20"/>
              <w:right w:val="single" w:sz="6" w:space="0" w:color="231F20"/>
            </w:tcBorders>
            <w:shd w:val="clear" w:color="auto" w:fill="CCE7D3"/>
          </w:tcPr>
          <w:p w14:paraId="063EC863" w14:textId="77777777" w:rsidR="009948F1" w:rsidRDefault="00BC0563">
            <w:pPr>
              <w:pStyle w:val="TableParagraph"/>
              <w:numPr>
                <w:ilvl w:val="0"/>
                <w:numId w:val="18"/>
              </w:numPr>
              <w:tabs>
                <w:tab w:val="left" w:pos="107"/>
              </w:tabs>
              <w:spacing w:before="74" w:line="254" w:lineRule="auto"/>
              <w:ind w:right="175" w:firstLine="0"/>
              <w:rPr>
                <w:sz w:val="12"/>
              </w:rPr>
            </w:pPr>
            <w:r>
              <w:rPr>
                <w:color w:val="231F20"/>
                <w:w w:val="105"/>
                <w:sz w:val="12"/>
              </w:rPr>
              <w:t>•Infectious Disease Treatment Centre</w:t>
            </w:r>
            <w:r>
              <w:rPr>
                <w:color w:val="231F20"/>
                <w:spacing w:val="-20"/>
                <w:w w:val="105"/>
                <w:sz w:val="12"/>
              </w:rPr>
              <w:t xml:space="preserve"> </w:t>
            </w:r>
            <w:r>
              <w:rPr>
                <w:color w:val="231F20"/>
                <w:spacing w:val="-6"/>
                <w:w w:val="105"/>
                <w:sz w:val="12"/>
              </w:rPr>
              <w:t xml:space="preserve">at </w:t>
            </w:r>
            <w:proofErr w:type="spellStart"/>
            <w:r>
              <w:rPr>
                <w:color w:val="231F20"/>
                <w:w w:val="105"/>
                <w:sz w:val="12"/>
              </w:rPr>
              <w:t>Emohua</w:t>
            </w:r>
            <w:proofErr w:type="spellEnd"/>
            <w:r>
              <w:rPr>
                <w:color w:val="231F20"/>
                <w:w w:val="105"/>
                <w:sz w:val="12"/>
              </w:rPr>
              <w:t xml:space="preserve"> renovated and</w:t>
            </w:r>
            <w:r>
              <w:rPr>
                <w:color w:val="231F20"/>
                <w:spacing w:val="-4"/>
                <w:w w:val="105"/>
                <w:sz w:val="12"/>
              </w:rPr>
              <w:t xml:space="preserve"> </w:t>
            </w:r>
            <w:r>
              <w:rPr>
                <w:color w:val="231F20"/>
                <w:w w:val="105"/>
                <w:sz w:val="12"/>
              </w:rPr>
              <w:t>upgraded</w:t>
            </w:r>
          </w:p>
          <w:p w14:paraId="319A3809" w14:textId="77777777" w:rsidR="009948F1" w:rsidRDefault="00BC0563">
            <w:pPr>
              <w:pStyle w:val="TableParagraph"/>
              <w:numPr>
                <w:ilvl w:val="0"/>
                <w:numId w:val="18"/>
              </w:numPr>
              <w:tabs>
                <w:tab w:val="left" w:pos="107"/>
              </w:tabs>
              <w:spacing w:line="137" w:lineRule="exact"/>
              <w:ind w:left="106" w:hanging="80"/>
              <w:rPr>
                <w:sz w:val="12"/>
              </w:rPr>
            </w:pPr>
            <w:r>
              <w:rPr>
                <w:color w:val="231F20"/>
                <w:w w:val="105"/>
                <w:sz w:val="12"/>
              </w:rPr>
              <w:t>logistics for emergency response</w:t>
            </w:r>
            <w:r>
              <w:rPr>
                <w:color w:val="231F20"/>
                <w:spacing w:val="-13"/>
                <w:w w:val="105"/>
                <w:sz w:val="12"/>
              </w:rPr>
              <w:t xml:space="preserve"> </w:t>
            </w:r>
            <w:r>
              <w:rPr>
                <w:color w:val="231F20"/>
                <w:w w:val="105"/>
                <w:sz w:val="12"/>
              </w:rPr>
              <w:t>provided</w:t>
            </w:r>
          </w:p>
        </w:tc>
        <w:tc>
          <w:tcPr>
            <w:tcW w:w="1507" w:type="dxa"/>
            <w:tcBorders>
              <w:top w:val="single" w:sz="6" w:space="0" w:color="231F20"/>
              <w:left w:val="single" w:sz="6" w:space="0" w:color="231F20"/>
              <w:bottom w:val="single" w:sz="6" w:space="0" w:color="231F20"/>
              <w:right w:val="single" w:sz="6" w:space="0" w:color="231F20"/>
            </w:tcBorders>
            <w:shd w:val="clear" w:color="auto" w:fill="CCE7D3"/>
          </w:tcPr>
          <w:p w14:paraId="04648259" w14:textId="77777777" w:rsidR="009948F1" w:rsidRDefault="009948F1">
            <w:pPr>
              <w:pStyle w:val="TableParagraph"/>
              <w:rPr>
                <w:rFonts w:ascii="Times New Roman"/>
                <w:sz w:val="12"/>
              </w:rPr>
            </w:pPr>
          </w:p>
        </w:tc>
        <w:tc>
          <w:tcPr>
            <w:tcW w:w="1590" w:type="dxa"/>
            <w:tcBorders>
              <w:top w:val="single" w:sz="6" w:space="0" w:color="231F20"/>
              <w:left w:val="single" w:sz="6" w:space="0" w:color="231F20"/>
              <w:bottom w:val="single" w:sz="6" w:space="0" w:color="231F20"/>
            </w:tcBorders>
            <w:shd w:val="clear" w:color="auto" w:fill="CCE7D3"/>
          </w:tcPr>
          <w:p w14:paraId="1EE931FA" w14:textId="77777777" w:rsidR="009948F1" w:rsidRDefault="009948F1">
            <w:pPr>
              <w:pStyle w:val="TableParagraph"/>
              <w:rPr>
                <w:rFonts w:ascii="Times New Roman"/>
                <w:sz w:val="12"/>
              </w:rPr>
            </w:pPr>
          </w:p>
        </w:tc>
      </w:tr>
      <w:tr w:rsidR="009948F1" w14:paraId="60604638" w14:textId="77777777">
        <w:trPr>
          <w:trHeight w:val="556"/>
        </w:trPr>
        <w:tc>
          <w:tcPr>
            <w:tcW w:w="484" w:type="dxa"/>
            <w:vMerge w:val="restart"/>
            <w:tcBorders>
              <w:top w:val="single" w:sz="6" w:space="0" w:color="231F20"/>
              <w:right w:val="single" w:sz="6" w:space="0" w:color="231F20"/>
            </w:tcBorders>
          </w:tcPr>
          <w:p w14:paraId="6F052B6C" w14:textId="77777777" w:rsidR="009948F1" w:rsidRDefault="009948F1">
            <w:pPr>
              <w:pStyle w:val="TableParagraph"/>
              <w:rPr>
                <w:rFonts w:ascii="Times New Roman"/>
                <w:sz w:val="12"/>
              </w:rPr>
            </w:pPr>
          </w:p>
        </w:tc>
        <w:tc>
          <w:tcPr>
            <w:tcW w:w="555" w:type="dxa"/>
            <w:tcBorders>
              <w:top w:val="single" w:sz="6" w:space="0" w:color="231F20"/>
              <w:left w:val="single" w:sz="6" w:space="0" w:color="231F20"/>
              <w:bottom w:val="single" w:sz="6" w:space="0" w:color="231F20"/>
              <w:right w:val="single" w:sz="6" w:space="0" w:color="231F20"/>
            </w:tcBorders>
          </w:tcPr>
          <w:p w14:paraId="345FB676" w14:textId="77777777" w:rsidR="009948F1" w:rsidRDefault="009948F1">
            <w:pPr>
              <w:pStyle w:val="TableParagraph"/>
              <w:rPr>
                <w:sz w:val="12"/>
              </w:rPr>
            </w:pPr>
          </w:p>
          <w:p w14:paraId="56E799D1" w14:textId="77777777" w:rsidR="009948F1" w:rsidRDefault="00BC0563">
            <w:pPr>
              <w:pStyle w:val="TableParagraph"/>
              <w:spacing w:before="71"/>
              <w:ind w:left="32" w:right="11"/>
              <w:jc w:val="center"/>
              <w:rPr>
                <w:sz w:val="12"/>
              </w:rPr>
            </w:pPr>
            <w:r>
              <w:rPr>
                <w:color w:val="231F20"/>
                <w:w w:val="105"/>
                <w:sz w:val="12"/>
              </w:rPr>
              <w:t>14.1.8.a</w:t>
            </w:r>
          </w:p>
        </w:tc>
        <w:tc>
          <w:tcPr>
            <w:tcW w:w="5170" w:type="dxa"/>
            <w:gridSpan w:val="2"/>
            <w:tcBorders>
              <w:top w:val="single" w:sz="6" w:space="0" w:color="231F20"/>
              <w:left w:val="single" w:sz="6" w:space="0" w:color="231F20"/>
              <w:bottom w:val="single" w:sz="6" w:space="0" w:color="231F20"/>
              <w:right w:val="single" w:sz="6" w:space="0" w:color="231F20"/>
            </w:tcBorders>
          </w:tcPr>
          <w:p w14:paraId="0E04D5AC" w14:textId="77777777" w:rsidR="009948F1" w:rsidRDefault="009948F1">
            <w:pPr>
              <w:pStyle w:val="TableParagraph"/>
              <w:spacing w:before="9"/>
              <w:rPr>
                <w:sz w:val="17"/>
              </w:rPr>
            </w:pPr>
          </w:p>
          <w:p w14:paraId="6A85ECCA" w14:textId="77777777" w:rsidR="009948F1" w:rsidRDefault="00BC0563">
            <w:pPr>
              <w:pStyle w:val="TableParagraph"/>
              <w:ind w:left="27"/>
              <w:rPr>
                <w:sz w:val="12"/>
              </w:rPr>
            </w:pPr>
            <w:r>
              <w:rPr>
                <w:color w:val="231F20"/>
                <w:w w:val="105"/>
                <w:sz w:val="12"/>
              </w:rPr>
              <w:t>Develop a road map and commence implementation of Global Health Security Agenda</w:t>
            </w:r>
          </w:p>
        </w:tc>
        <w:tc>
          <w:tcPr>
            <w:tcW w:w="1507" w:type="dxa"/>
            <w:tcBorders>
              <w:top w:val="single" w:sz="6" w:space="0" w:color="231F20"/>
              <w:left w:val="single" w:sz="6" w:space="0" w:color="231F20"/>
              <w:bottom w:val="single" w:sz="6" w:space="0" w:color="231F20"/>
              <w:right w:val="single" w:sz="6" w:space="0" w:color="231F20"/>
            </w:tcBorders>
          </w:tcPr>
          <w:p w14:paraId="2EDA0243" w14:textId="77777777" w:rsidR="009948F1" w:rsidRDefault="009948F1">
            <w:pPr>
              <w:pStyle w:val="TableParagraph"/>
              <w:rPr>
                <w:sz w:val="12"/>
              </w:rPr>
            </w:pPr>
          </w:p>
          <w:p w14:paraId="7C9587FF" w14:textId="77777777" w:rsidR="009948F1" w:rsidRDefault="00BC0563">
            <w:pPr>
              <w:pStyle w:val="TableParagraph"/>
              <w:spacing w:before="71"/>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0F8F42AB" w14:textId="77777777" w:rsidR="009948F1" w:rsidRDefault="009948F1">
            <w:pPr>
              <w:pStyle w:val="TableParagraph"/>
              <w:rPr>
                <w:sz w:val="12"/>
              </w:rPr>
            </w:pPr>
          </w:p>
          <w:p w14:paraId="05FD4582" w14:textId="77777777" w:rsidR="009948F1" w:rsidRDefault="00BC0563">
            <w:pPr>
              <w:pStyle w:val="TableParagraph"/>
              <w:spacing w:before="71"/>
              <w:ind w:left="28"/>
              <w:rPr>
                <w:sz w:val="12"/>
              </w:rPr>
            </w:pPr>
            <w:r>
              <w:rPr>
                <w:color w:val="231F20"/>
                <w:w w:val="105"/>
                <w:sz w:val="12"/>
              </w:rPr>
              <w:t>No cost</w:t>
            </w:r>
          </w:p>
        </w:tc>
      </w:tr>
      <w:tr w:rsidR="009948F1" w14:paraId="3AECCBDF" w14:textId="77777777">
        <w:trPr>
          <w:trHeight w:val="553"/>
        </w:trPr>
        <w:tc>
          <w:tcPr>
            <w:tcW w:w="484" w:type="dxa"/>
            <w:vMerge/>
            <w:tcBorders>
              <w:top w:val="nil"/>
              <w:right w:val="single" w:sz="6" w:space="0" w:color="231F20"/>
            </w:tcBorders>
          </w:tcPr>
          <w:p w14:paraId="6872C2CF"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15A871B1" w14:textId="77777777" w:rsidR="009948F1" w:rsidRDefault="009948F1">
            <w:pPr>
              <w:pStyle w:val="TableParagraph"/>
              <w:spacing w:before="11"/>
              <w:rPr>
                <w:sz w:val="17"/>
              </w:rPr>
            </w:pPr>
          </w:p>
          <w:p w14:paraId="7A1E5BC1" w14:textId="77777777" w:rsidR="009948F1" w:rsidRDefault="00BC0563">
            <w:pPr>
              <w:pStyle w:val="TableParagraph"/>
              <w:ind w:left="32" w:right="11"/>
              <w:jc w:val="center"/>
              <w:rPr>
                <w:sz w:val="12"/>
              </w:rPr>
            </w:pPr>
            <w:r>
              <w:rPr>
                <w:color w:val="231F20"/>
                <w:w w:val="105"/>
                <w:sz w:val="12"/>
              </w:rPr>
              <w:t>14.1.8.b</w:t>
            </w:r>
          </w:p>
        </w:tc>
        <w:tc>
          <w:tcPr>
            <w:tcW w:w="5170" w:type="dxa"/>
            <w:gridSpan w:val="2"/>
            <w:tcBorders>
              <w:top w:val="single" w:sz="6" w:space="0" w:color="231F20"/>
              <w:left w:val="single" w:sz="6" w:space="0" w:color="231F20"/>
              <w:bottom w:val="single" w:sz="6" w:space="0" w:color="231F20"/>
              <w:right w:val="single" w:sz="6" w:space="0" w:color="231F20"/>
            </w:tcBorders>
          </w:tcPr>
          <w:p w14:paraId="79B2EDC0" w14:textId="77777777" w:rsidR="009948F1" w:rsidRDefault="00BC0563">
            <w:pPr>
              <w:pStyle w:val="TableParagraph"/>
              <w:spacing w:before="56" w:line="254" w:lineRule="auto"/>
              <w:ind w:left="27" w:right="101"/>
              <w:rPr>
                <w:sz w:val="12"/>
              </w:rPr>
            </w:pPr>
            <w:r>
              <w:rPr>
                <w:color w:val="231F20"/>
                <w:w w:val="105"/>
                <w:sz w:val="12"/>
              </w:rPr>
              <w:t xml:space="preserve">Cost for engaging and supervising the contractor to renovate and upgrade the Infectious Disease Treatment Centre at </w:t>
            </w:r>
            <w:proofErr w:type="spellStart"/>
            <w:r>
              <w:rPr>
                <w:color w:val="231F20"/>
                <w:w w:val="105"/>
                <w:sz w:val="12"/>
              </w:rPr>
              <w:t>Emohua</w:t>
            </w:r>
            <w:proofErr w:type="spellEnd"/>
            <w:r>
              <w:rPr>
                <w:color w:val="231F20"/>
                <w:w w:val="105"/>
                <w:sz w:val="12"/>
              </w:rPr>
              <w:t xml:space="preserve"> to serve as zonal </w:t>
            </w:r>
            <w:proofErr w:type="spellStart"/>
            <w:r>
              <w:rPr>
                <w:color w:val="231F20"/>
                <w:w w:val="105"/>
                <w:sz w:val="12"/>
              </w:rPr>
              <w:t>centre</w:t>
            </w:r>
            <w:proofErr w:type="spellEnd"/>
            <w:r>
              <w:rPr>
                <w:color w:val="231F20"/>
                <w:w w:val="105"/>
                <w:sz w:val="12"/>
              </w:rPr>
              <w:t xml:space="preserve"> for management of Viral </w:t>
            </w:r>
            <w:proofErr w:type="spellStart"/>
            <w:r>
              <w:rPr>
                <w:color w:val="231F20"/>
                <w:w w:val="105"/>
                <w:sz w:val="12"/>
              </w:rPr>
              <w:t>Haemorrhagic</w:t>
            </w:r>
            <w:proofErr w:type="spellEnd"/>
            <w:r>
              <w:rPr>
                <w:color w:val="231F20"/>
                <w:w w:val="105"/>
                <w:sz w:val="12"/>
              </w:rPr>
              <w:t xml:space="preserve"> Fevers (VHFs).</w:t>
            </w:r>
          </w:p>
        </w:tc>
        <w:tc>
          <w:tcPr>
            <w:tcW w:w="1507" w:type="dxa"/>
            <w:tcBorders>
              <w:top w:val="single" w:sz="6" w:space="0" w:color="231F20"/>
              <w:left w:val="single" w:sz="6" w:space="0" w:color="231F20"/>
              <w:bottom w:val="single" w:sz="6" w:space="0" w:color="231F20"/>
              <w:right w:val="single" w:sz="6" w:space="0" w:color="231F20"/>
            </w:tcBorders>
          </w:tcPr>
          <w:p w14:paraId="6057DBA7" w14:textId="77777777" w:rsidR="009948F1" w:rsidRDefault="009948F1">
            <w:pPr>
              <w:pStyle w:val="TableParagraph"/>
              <w:spacing w:before="11"/>
              <w:rPr>
                <w:sz w:val="17"/>
              </w:rPr>
            </w:pPr>
          </w:p>
          <w:p w14:paraId="25928E14"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02616B23" w14:textId="77777777" w:rsidR="009948F1" w:rsidRDefault="009948F1">
            <w:pPr>
              <w:pStyle w:val="TableParagraph"/>
              <w:spacing w:before="11"/>
              <w:rPr>
                <w:sz w:val="17"/>
              </w:rPr>
            </w:pPr>
          </w:p>
          <w:p w14:paraId="6E57D755" w14:textId="77777777" w:rsidR="009948F1" w:rsidRDefault="00BC0563">
            <w:pPr>
              <w:pStyle w:val="TableParagraph"/>
              <w:ind w:left="28"/>
              <w:rPr>
                <w:sz w:val="12"/>
              </w:rPr>
            </w:pPr>
            <w:r>
              <w:rPr>
                <w:color w:val="231F20"/>
                <w:w w:val="105"/>
                <w:sz w:val="12"/>
              </w:rPr>
              <w:t>Costed in OHT</w:t>
            </w:r>
          </w:p>
        </w:tc>
      </w:tr>
      <w:tr w:rsidR="009948F1" w14:paraId="7B044248" w14:textId="77777777">
        <w:trPr>
          <w:trHeight w:val="789"/>
        </w:trPr>
        <w:tc>
          <w:tcPr>
            <w:tcW w:w="484" w:type="dxa"/>
            <w:vMerge/>
            <w:tcBorders>
              <w:top w:val="nil"/>
              <w:right w:val="single" w:sz="6" w:space="0" w:color="231F20"/>
            </w:tcBorders>
          </w:tcPr>
          <w:p w14:paraId="2955FB76" w14:textId="77777777" w:rsidR="009948F1" w:rsidRDefault="009948F1">
            <w:pPr>
              <w:rPr>
                <w:sz w:val="2"/>
                <w:szCs w:val="2"/>
              </w:rPr>
            </w:pPr>
          </w:p>
        </w:tc>
        <w:tc>
          <w:tcPr>
            <w:tcW w:w="555" w:type="dxa"/>
            <w:tcBorders>
              <w:top w:val="single" w:sz="6" w:space="0" w:color="231F20"/>
              <w:left w:val="single" w:sz="6" w:space="0" w:color="231F20"/>
              <w:bottom w:val="single" w:sz="6" w:space="0" w:color="231F20"/>
              <w:right w:val="single" w:sz="6" w:space="0" w:color="231F20"/>
            </w:tcBorders>
          </w:tcPr>
          <w:p w14:paraId="629CA25A" w14:textId="77777777" w:rsidR="009948F1" w:rsidRDefault="009948F1">
            <w:pPr>
              <w:pStyle w:val="TableParagraph"/>
              <w:rPr>
                <w:sz w:val="12"/>
              </w:rPr>
            </w:pPr>
          </w:p>
          <w:p w14:paraId="2E0D3149" w14:textId="77777777" w:rsidR="009948F1" w:rsidRDefault="009948F1">
            <w:pPr>
              <w:pStyle w:val="TableParagraph"/>
              <w:spacing w:before="3"/>
              <w:rPr>
                <w:sz w:val="16"/>
              </w:rPr>
            </w:pPr>
          </w:p>
          <w:p w14:paraId="4B288826" w14:textId="77777777" w:rsidR="009948F1" w:rsidRDefault="00BC0563">
            <w:pPr>
              <w:pStyle w:val="TableParagraph"/>
              <w:ind w:left="32" w:right="11"/>
              <w:jc w:val="center"/>
              <w:rPr>
                <w:sz w:val="12"/>
              </w:rPr>
            </w:pPr>
            <w:r>
              <w:rPr>
                <w:color w:val="231F20"/>
                <w:w w:val="105"/>
                <w:sz w:val="12"/>
              </w:rPr>
              <w:t>14.1.8.c</w:t>
            </w:r>
          </w:p>
        </w:tc>
        <w:tc>
          <w:tcPr>
            <w:tcW w:w="5170" w:type="dxa"/>
            <w:gridSpan w:val="2"/>
            <w:tcBorders>
              <w:top w:val="single" w:sz="6" w:space="0" w:color="231F20"/>
              <w:left w:val="single" w:sz="6" w:space="0" w:color="231F20"/>
              <w:bottom w:val="single" w:sz="6" w:space="0" w:color="231F20"/>
              <w:right w:val="single" w:sz="6" w:space="0" w:color="231F20"/>
            </w:tcBorders>
          </w:tcPr>
          <w:p w14:paraId="6CFBF058" w14:textId="5C1936F8" w:rsidR="009948F1" w:rsidRDefault="00BC0563">
            <w:pPr>
              <w:pStyle w:val="TableParagraph"/>
              <w:spacing w:before="29" w:line="254" w:lineRule="auto"/>
              <w:ind w:left="27" w:right="77"/>
              <w:rPr>
                <w:sz w:val="12"/>
              </w:rPr>
            </w:pPr>
            <w:r>
              <w:rPr>
                <w:color w:val="231F20"/>
                <w:w w:val="105"/>
                <w:sz w:val="12"/>
              </w:rPr>
              <w:t xml:space="preserve">Cost for engaging and supervising the contractor for provision of logistics for emergency response (vehicles, motorcycles, drugs and other materials/consumables - PPEs, Hand gloves- latex and thick rubber, body bags, digital thermometers, </w:t>
            </w:r>
            <w:proofErr w:type="spellStart"/>
            <w:r>
              <w:rPr>
                <w:color w:val="231F20"/>
                <w:w w:val="105"/>
                <w:sz w:val="12"/>
              </w:rPr>
              <w:t>Thermoscan</w:t>
            </w:r>
            <w:proofErr w:type="spellEnd"/>
            <w:r>
              <w:rPr>
                <w:color w:val="231F20"/>
                <w:w w:val="105"/>
                <w:sz w:val="12"/>
              </w:rPr>
              <w:t xml:space="preserve">, hand sanitizers, bleach, chlorine, coverall, face masks, N95 Respirators, </w:t>
            </w:r>
            <w:r w:rsidR="002049E3">
              <w:rPr>
                <w:color w:val="231F20"/>
                <w:w w:val="105"/>
                <w:sz w:val="12"/>
              </w:rPr>
              <w:t>Ribavirin</w:t>
            </w:r>
            <w:r>
              <w:rPr>
                <w:color w:val="231F20"/>
                <w:w w:val="105"/>
                <w:sz w:val="12"/>
              </w:rPr>
              <w:t>, stationaries etc.) at all health care levels</w:t>
            </w:r>
          </w:p>
        </w:tc>
        <w:tc>
          <w:tcPr>
            <w:tcW w:w="1507" w:type="dxa"/>
            <w:tcBorders>
              <w:top w:val="single" w:sz="6" w:space="0" w:color="231F20"/>
              <w:left w:val="single" w:sz="6" w:space="0" w:color="231F20"/>
              <w:bottom w:val="single" w:sz="6" w:space="0" w:color="231F20"/>
              <w:right w:val="single" w:sz="6" w:space="0" w:color="231F20"/>
            </w:tcBorders>
          </w:tcPr>
          <w:p w14:paraId="1840584E" w14:textId="77777777" w:rsidR="009948F1" w:rsidRDefault="009948F1">
            <w:pPr>
              <w:pStyle w:val="TableParagraph"/>
              <w:rPr>
                <w:sz w:val="12"/>
              </w:rPr>
            </w:pPr>
          </w:p>
          <w:p w14:paraId="77887762" w14:textId="77777777" w:rsidR="009948F1" w:rsidRDefault="009948F1">
            <w:pPr>
              <w:pStyle w:val="TableParagraph"/>
              <w:spacing w:before="3"/>
              <w:rPr>
                <w:sz w:val="16"/>
              </w:rPr>
            </w:pPr>
          </w:p>
          <w:p w14:paraId="4958DCA4" w14:textId="77777777" w:rsidR="009948F1" w:rsidRDefault="00BC0563">
            <w:pPr>
              <w:pStyle w:val="TableParagraph"/>
              <w:ind w:left="28"/>
              <w:rPr>
                <w:sz w:val="12"/>
              </w:rPr>
            </w:pPr>
            <w:r>
              <w:rPr>
                <w:color w:val="231F20"/>
                <w:w w:val="105"/>
                <w:sz w:val="12"/>
              </w:rPr>
              <w:t>Lack of funds</w:t>
            </w:r>
          </w:p>
        </w:tc>
        <w:tc>
          <w:tcPr>
            <w:tcW w:w="1590" w:type="dxa"/>
            <w:tcBorders>
              <w:top w:val="single" w:sz="6" w:space="0" w:color="231F20"/>
              <w:left w:val="single" w:sz="6" w:space="0" w:color="231F20"/>
              <w:bottom w:val="single" w:sz="6" w:space="0" w:color="231F20"/>
            </w:tcBorders>
          </w:tcPr>
          <w:p w14:paraId="71156B19" w14:textId="77777777" w:rsidR="009948F1" w:rsidRDefault="009948F1">
            <w:pPr>
              <w:pStyle w:val="TableParagraph"/>
              <w:rPr>
                <w:sz w:val="12"/>
              </w:rPr>
            </w:pPr>
          </w:p>
          <w:p w14:paraId="5DBA9105" w14:textId="77777777" w:rsidR="009948F1" w:rsidRDefault="009948F1">
            <w:pPr>
              <w:pStyle w:val="TableParagraph"/>
              <w:spacing w:before="3"/>
              <w:rPr>
                <w:sz w:val="16"/>
              </w:rPr>
            </w:pPr>
          </w:p>
          <w:p w14:paraId="595A5F3B" w14:textId="77777777" w:rsidR="009948F1" w:rsidRDefault="00BC0563">
            <w:pPr>
              <w:pStyle w:val="TableParagraph"/>
              <w:ind w:left="28"/>
              <w:rPr>
                <w:sz w:val="12"/>
              </w:rPr>
            </w:pPr>
            <w:r>
              <w:rPr>
                <w:color w:val="231F20"/>
                <w:w w:val="105"/>
                <w:sz w:val="12"/>
              </w:rPr>
              <w:t>Costed in OHT</w:t>
            </w:r>
          </w:p>
        </w:tc>
      </w:tr>
      <w:tr w:rsidR="009948F1" w14:paraId="66DAD4C6" w14:textId="77777777">
        <w:trPr>
          <w:trHeight w:val="606"/>
        </w:trPr>
        <w:tc>
          <w:tcPr>
            <w:tcW w:w="484" w:type="dxa"/>
            <w:vMerge/>
            <w:tcBorders>
              <w:top w:val="nil"/>
              <w:right w:val="single" w:sz="6" w:space="0" w:color="231F20"/>
            </w:tcBorders>
          </w:tcPr>
          <w:p w14:paraId="6D6FBAEA" w14:textId="77777777" w:rsidR="009948F1" w:rsidRDefault="009948F1">
            <w:pPr>
              <w:rPr>
                <w:sz w:val="2"/>
                <w:szCs w:val="2"/>
              </w:rPr>
            </w:pPr>
          </w:p>
        </w:tc>
        <w:tc>
          <w:tcPr>
            <w:tcW w:w="555" w:type="dxa"/>
            <w:tcBorders>
              <w:top w:val="single" w:sz="6" w:space="0" w:color="231F20"/>
              <w:left w:val="single" w:sz="6" w:space="0" w:color="231F20"/>
              <w:right w:val="single" w:sz="6" w:space="0" w:color="231F20"/>
            </w:tcBorders>
          </w:tcPr>
          <w:p w14:paraId="72629F76" w14:textId="77777777" w:rsidR="009948F1" w:rsidRDefault="009948F1">
            <w:pPr>
              <w:pStyle w:val="TableParagraph"/>
              <w:rPr>
                <w:sz w:val="12"/>
              </w:rPr>
            </w:pPr>
          </w:p>
          <w:p w14:paraId="4C8C66D4" w14:textId="77777777" w:rsidR="009948F1" w:rsidRDefault="00BC0563">
            <w:pPr>
              <w:pStyle w:val="TableParagraph"/>
              <w:spacing w:before="97"/>
              <w:ind w:left="32" w:right="11"/>
              <w:jc w:val="center"/>
              <w:rPr>
                <w:sz w:val="12"/>
              </w:rPr>
            </w:pPr>
            <w:r>
              <w:rPr>
                <w:color w:val="231F20"/>
                <w:w w:val="105"/>
                <w:sz w:val="12"/>
              </w:rPr>
              <w:t>14.1.8.d</w:t>
            </w:r>
          </w:p>
        </w:tc>
        <w:tc>
          <w:tcPr>
            <w:tcW w:w="5170" w:type="dxa"/>
            <w:gridSpan w:val="2"/>
            <w:tcBorders>
              <w:top w:val="single" w:sz="6" w:space="0" w:color="231F20"/>
              <w:left w:val="single" w:sz="6" w:space="0" w:color="231F20"/>
              <w:right w:val="single" w:sz="6" w:space="0" w:color="231F20"/>
            </w:tcBorders>
          </w:tcPr>
          <w:p w14:paraId="4151C1AF" w14:textId="77777777" w:rsidR="009948F1" w:rsidRDefault="009948F1">
            <w:pPr>
              <w:pStyle w:val="TableParagraph"/>
              <w:spacing w:before="8"/>
              <w:rPr>
                <w:sz w:val="13"/>
              </w:rPr>
            </w:pPr>
          </w:p>
          <w:p w14:paraId="78803B46" w14:textId="77777777" w:rsidR="009948F1" w:rsidRDefault="00BC0563">
            <w:pPr>
              <w:pStyle w:val="TableParagraph"/>
              <w:spacing w:line="254" w:lineRule="auto"/>
              <w:ind w:left="27" w:right="101"/>
              <w:rPr>
                <w:sz w:val="12"/>
              </w:rPr>
            </w:pPr>
            <w:r>
              <w:rPr>
                <w:color w:val="231F20"/>
                <w:w w:val="105"/>
                <w:sz w:val="12"/>
              </w:rPr>
              <w:t>Conduct periodic meetings for EOC and Emergency Preparedness and Response Committee</w:t>
            </w:r>
          </w:p>
        </w:tc>
        <w:tc>
          <w:tcPr>
            <w:tcW w:w="1507" w:type="dxa"/>
            <w:tcBorders>
              <w:top w:val="single" w:sz="6" w:space="0" w:color="231F20"/>
              <w:left w:val="single" w:sz="6" w:space="0" w:color="231F20"/>
              <w:right w:val="single" w:sz="6" w:space="0" w:color="231F20"/>
            </w:tcBorders>
          </w:tcPr>
          <w:p w14:paraId="6A6EF16D" w14:textId="77777777" w:rsidR="009948F1" w:rsidRDefault="009948F1">
            <w:pPr>
              <w:pStyle w:val="TableParagraph"/>
              <w:rPr>
                <w:sz w:val="12"/>
              </w:rPr>
            </w:pPr>
          </w:p>
          <w:p w14:paraId="3D30CC52" w14:textId="77777777" w:rsidR="009948F1" w:rsidRDefault="00BC0563">
            <w:pPr>
              <w:pStyle w:val="TableParagraph"/>
              <w:spacing w:before="97"/>
              <w:ind w:left="28"/>
              <w:rPr>
                <w:sz w:val="12"/>
              </w:rPr>
            </w:pPr>
            <w:r>
              <w:rPr>
                <w:color w:val="231F20"/>
                <w:w w:val="105"/>
                <w:sz w:val="12"/>
              </w:rPr>
              <w:t>Lack of funds</w:t>
            </w:r>
          </w:p>
        </w:tc>
        <w:tc>
          <w:tcPr>
            <w:tcW w:w="1590" w:type="dxa"/>
            <w:tcBorders>
              <w:top w:val="single" w:sz="6" w:space="0" w:color="231F20"/>
              <w:left w:val="single" w:sz="6" w:space="0" w:color="231F20"/>
            </w:tcBorders>
          </w:tcPr>
          <w:p w14:paraId="141B4AF2" w14:textId="77777777" w:rsidR="009948F1" w:rsidRDefault="009948F1">
            <w:pPr>
              <w:pStyle w:val="TableParagraph"/>
              <w:rPr>
                <w:sz w:val="12"/>
              </w:rPr>
            </w:pPr>
          </w:p>
          <w:p w14:paraId="7616E1A1" w14:textId="4B62647C" w:rsidR="009948F1" w:rsidRDefault="00BC0563">
            <w:pPr>
              <w:pStyle w:val="TableParagraph"/>
              <w:spacing w:before="97"/>
              <w:ind w:left="28"/>
              <w:rPr>
                <w:sz w:val="12"/>
              </w:rPr>
            </w:pPr>
            <w:r>
              <w:rPr>
                <w:color w:val="231F20"/>
                <w:w w:val="105"/>
                <w:sz w:val="12"/>
              </w:rPr>
              <w:t xml:space="preserve">Conduct </w:t>
            </w:r>
            <w:r w:rsidR="002049E3">
              <w:rPr>
                <w:color w:val="231F20"/>
                <w:w w:val="105"/>
                <w:sz w:val="12"/>
              </w:rPr>
              <w:t>periodic</w:t>
            </w:r>
            <w:r>
              <w:rPr>
                <w:color w:val="231F20"/>
                <w:w w:val="105"/>
                <w:sz w:val="12"/>
              </w:rPr>
              <w:t xml:space="preserve"> meetings</w:t>
            </w:r>
          </w:p>
        </w:tc>
      </w:tr>
    </w:tbl>
    <w:p w14:paraId="7421905C" w14:textId="77777777" w:rsidR="009948F1" w:rsidRDefault="009948F1">
      <w:pPr>
        <w:rPr>
          <w:sz w:val="12"/>
        </w:rPr>
        <w:sectPr w:rsidR="009948F1">
          <w:pgSz w:w="11910" w:h="16840"/>
          <w:pgMar w:top="1260" w:right="1080" w:bottom="1340" w:left="1120" w:header="0" w:footer="1155" w:gutter="0"/>
          <w:cols w:space="720"/>
        </w:sectPr>
      </w:pPr>
    </w:p>
    <w:p w14:paraId="46AC10DC" w14:textId="77777777" w:rsidR="009948F1" w:rsidRDefault="00244DD0">
      <w:pPr>
        <w:pStyle w:val="BodyText"/>
        <w:rPr>
          <w:sz w:val="20"/>
        </w:rPr>
      </w:pPr>
      <w:r>
        <w:pict w14:anchorId="68220234">
          <v:shape id="_x0000_s2050" type="#_x0000_t202" style="position:absolute;margin-left:68.25pt;margin-top:65.15pt;width:459.15pt;height:683.8pt;z-index:15751168;mso-position-horizontal-relative:page;mso-position-vertical-relative:page" filled="f" stroked="f">
            <v:textbox inset="0,0,0,0">
              <w:txbxContent>
                <w:tbl>
                  <w:tblPr>
                    <w:tblW w:w="0" w:type="auto"/>
                    <w:tblInd w:w="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5"/>
                    <w:gridCol w:w="396"/>
                    <w:gridCol w:w="443"/>
                    <w:gridCol w:w="512"/>
                    <w:gridCol w:w="2448"/>
                    <w:gridCol w:w="2324"/>
                    <w:gridCol w:w="1391"/>
                    <w:gridCol w:w="1467"/>
                  </w:tblGrid>
                  <w:tr w:rsidR="00080B77" w14:paraId="59486472" w14:textId="77777777">
                    <w:trPr>
                      <w:trHeight w:val="1066"/>
                    </w:trPr>
                    <w:tc>
                      <w:tcPr>
                        <w:tcW w:w="571" w:type="dxa"/>
                        <w:gridSpan w:val="2"/>
                        <w:tcBorders>
                          <w:left w:val="single" w:sz="6" w:space="0" w:color="231F20"/>
                          <w:bottom w:val="nil"/>
                          <w:right w:val="single" w:sz="6" w:space="0" w:color="231F20"/>
                        </w:tcBorders>
                      </w:tcPr>
                      <w:p w14:paraId="1A49B62D" w14:textId="77777777" w:rsidR="00080B77" w:rsidRDefault="00080B77">
                        <w:pPr>
                          <w:pStyle w:val="TableParagraph"/>
                          <w:rPr>
                            <w:rFonts w:ascii="Times New Roman"/>
                            <w:sz w:val="10"/>
                          </w:rPr>
                        </w:pPr>
                      </w:p>
                    </w:tc>
                    <w:tc>
                      <w:tcPr>
                        <w:tcW w:w="443" w:type="dxa"/>
                        <w:tcBorders>
                          <w:left w:val="single" w:sz="6" w:space="0" w:color="231F20"/>
                          <w:bottom w:val="single" w:sz="6" w:space="0" w:color="231F20"/>
                          <w:right w:val="single" w:sz="6" w:space="0" w:color="231F20"/>
                        </w:tcBorders>
                        <w:shd w:val="clear" w:color="auto" w:fill="CCE7D3"/>
                      </w:tcPr>
                      <w:p w14:paraId="18DEAD33" w14:textId="77777777" w:rsidR="00080B77" w:rsidRDefault="00080B77">
                        <w:pPr>
                          <w:pStyle w:val="TableParagraph"/>
                          <w:rPr>
                            <w:sz w:val="10"/>
                          </w:rPr>
                        </w:pPr>
                      </w:p>
                      <w:p w14:paraId="31A730A1" w14:textId="77777777" w:rsidR="00080B77" w:rsidRDefault="00080B77">
                        <w:pPr>
                          <w:pStyle w:val="TableParagraph"/>
                          <w:rPr>
                            <w:sz w:val="10"/>
                          </w:rPr>
                        </w:pPr>
                      </w:p>
                      <w:p w14:paraId="760165AE" w14:textId="77777777" w:rsidR="00080B77" w:rsidRDefault="00080B77">
                        <w:pPr>
                          <w:pStyle w:val="TableParagraph"/>
                          <w:rPr>
                            <w:sz w:val="10"/>
                          </w:rPr>
                        </w:pPr>
                      </w:p>
                      <w:p w14:paraId="2EA6B235" w14:textId="77777777" w:rsidR="00080B77" w:rsidRDefault="00080B77">
                        <w:pPr>
                          <w:pStyle w:val="TableParagraph"/>
                          <w:spacing w:before="6"/>
                          <w:rPr>
                            <w:sz w:val="11"/>
                          </w:rPr>
                        </w:pPr>
                      </w:p>
                      <w:p w14:paraId="4C0F679B" w14:textId="77777777" w:rsidR="00080B77" w:rsidRDefault="00080B77">
                        <w:pPr>
                          <w:pStyle w:val="TableParagraph"/>
                          <w:ind w:left="34" w:right="34"/>
                          <w:jc w:val="center"/>
                          <w:rPr>
                            <w:sz w:val="10"/>
                          </w:rPr>
                        </w:pPr>
                        <w:r>
                          <w:rPr>
                            <w:color w:val="231F20"/>
                            <w:w w:val="115"/>
                            <w:sz w:val="10"/>
                          </w:rPr>
                          <w:t>14.1.9</w:t>
                        </w:r>
                      </w:p>
                    </w:tc>
                    <w:tc>
                      <w:tcPr>
                        <w:tcW w:w="2960" w:type="dxa"/>
                        <w:gridSpan w:val="2"/>
                        <w:tcBorders>
                          <w:left w:val="single" w:sz="6" w:space="0" w:color="231F20"/>
                          <w:bottom w:val="single" w:sz="6" w:space="0" w:color="231F20"/>
                          <w:right w:val="single" w:sz="6" w:space="0" w:color="231F20"/>
                        </w:tcBorders>
                        <w:shd w:val="clear" w:color="auto" w:fill="CCE7D3"/>
                      </w:tcPr>
                      <w:p w14:paraId="060682AC" w14:textId="77777777" w:rsidR="00080B77" w:rsidRDefault="00080B77">
                        <w:pPr>
                          <w:pStyle w:val="TableParagraph"/>
                          <w:rPr>
                            <w:sz w:val="10"/>
                          </w:rPr>
                        </w:pPr>
                      </w:p>
                      <w:p w14:paraId="42CFC066" w14:textId="77777777" w:rsidR="00080B77" w:rsidRDefault="00080B77">
                        <w:pPr>
                          <w:pStyle w:val="TableParagraph"/>
                          <w:rPr>
                            <w:sz w:val="10"/>
                          </w:rPr>
                        </w:pPr>
                      </w:p>
                      <w:p w14:paraId="3714E092" w14:textId="77777777" w:rsidR="00080B77" w:rsidRDefault="00080B77">
                        <w:pPr>
                          <w:pStyle w:val="TableParagraph"/>
                          <w:rPr>
                            <w:sz w:val="10"/>
                          </w:rPr>
                        </w:pPr>
                      </w:p>
                      <w:p w14:paraId="36F820E0" w14:textId="77777777" w:rsidR="00080B77" w:rsidRDefault="00080B77">
                        <w:pPr>
                          <w:pStyle w:val="TableParagraph"/>
                          <w:spacing w:before="63" w:line="273" w:lineRule="auto"/>
                          <w:ind w:left="21" w:right="647" w:firstLine="32"/>
                          <w:rPr>
                            <w:sz w:val="10"/>
                          </w:rPr>
                        </w:pPr>
                        <w:r>
                          <w:rPr>
                            <w:color w:val="231F20"/>
                            <w:w w:val="115"/>
                            <w:sz w:val="10"/>
                          </w:rPr>
                          <w:t>Promote community participation in disease surveillance activities</w:t>
                        </w:r>
                      </w:p>
                    </w:tc>
                    <w:tc>
                      <w:tcPr>
                        <w:tcW w:w="2324" w:type="dxa"/>
                        <w:tcBorders>
                          <w:left w:val="single" w:sz="6" w:space="0" w:color="231F20"/>
                          <w:bottom w:val="single" w:sz="6" w:space="0" w:color="231F20"/>
                          <w:right w:val="single" w:sz="6" w:space="0" w:color="231F20"/>
                        </w:tcBorders>
                        <w:shd w:val="clear" w:color="auto" w:fill="CCE7D3"/>
                      </w:tcPr>
                      <w:p w14:paraId="6811F110" w14:textId="77777777" w:rsidR="00080B77" w:rsidRDefault="00080B77">
                        <w:pPr>
                          <w:pStyle w:val="TableParagraph"/>
                          <w:numPr>
                            <w:ilvl w:val="0"/>
                            <w:numId w:val="17"/>
                          </w:numPr>
                          <w:tabs>
                            <w:tab w:val="left" w:pos="91"/>
                          </w:tabs>
                          <w:spacing w:before="18" w:line="273" w:lineRule="auto"/>
                          <w:ind w:right="272" w:firstLine="0"/>
                          <w:rPr>
                            <w:sz w:val="10"/>
                          </w:rPr>
                        </w:pPr>
                        <w:r>
                          <w:rPr>
                            <w:color w:val="231F20"/>
                            <w:w w:val="115"/>
                            <w:sz w:val="10"/>
                          </w:rPr>
                          <w:t xml:space="preserve">Advocacy visits to the gatekeepers </w:t>
                        </w:r>
                        <w:r>
                          <w:rPr>
                            <w:color w:val="231F20"/>
                            <w:spacing w:val="-6"/>
                            <w:w w:val="115"/>
                            <w:sz w:val="10"/>
                          </w:rPr>
                          <w:t xml:space="preserve">on </w:t>
                        </w:r>
                        <w:r>
                          <w:rPr>
                            <w:color w:val="231F20"/>
                            <w:w w:val="115"/>
                            <w:sz w:val="10"/>
                          </w:rPr>
                          <w:t>community participation in disease surveillance</w:t>
                        </w:r>
                        <w:r>
                          <w:rPr>
                            <w:color w:val="231F20"/>
                            <w:spacing w:val="-1"/>
                            <w:w w:val="115"/>
                            <w:sz w:val="10"/>
                          </w:rPr>
                          <w:t xml:space="preserve"> </w:t>
                        </w:r>
                        <w:r>
                          <w:rPr>
                            <w:color w:val="231F20"/>
                            <w:w w:val="115"/>
                            <w:sz w:val="10"/>
                          </w:rPr>
                          <w:t>done</w:t>
                        </w:r>
                      </w:p>
                      <w:p w14:paraId="1359DBCA" w14:textId="77777777" w:rsidR="00080B77" w:rsidRDefault="00080B77">
                        <w:pPr>
                          <w:pStyle w:val="TableParagraph"/>
                          <w:numPr>
                            <w:ilvl w:val="0"/>
                            <w:numId w:val="17"/>
                          </w:numPr>
                          <w:tabs>
                            <w:tab w:val="left" w:pos="66"/>
                          </w:tabs>
                          <w:spacing w:before="1" w:line="273" w:lineRule="auto"/>
                          <w:ind w:right="184" w:firstLine="0"/>
                          <w:rPr>
                            <w:sz w:val="10"/>
                          </w:rPr>
                        </w:pPr>
                        <w:r>
                          <w:rPr>
                            <w:color w:val="231F20"/>
                            <w:w w:val="115"/>
                            <w:sz w:val="10"/>
                          </w:rPr>
                          <w:t>Community health workers, volunteer health workers, ward health committee, focal persons and informants trained and sensitized</w:t>
                        </w:r>
                      </w:p>
                      <w:p w14:paraId="79519A36" w14:textId="77777777" w:rsidR="00080B77" w:rsidRDefault="00080B77">
                        <w:pPr>
                          <w:pStyle w:val="TableParagraph"/>
                          <w:numPr>
                            <w:ilvl w:val="0"/>
                            <w:numId w:val="17"/>
                          </w:numPr>
                          <w:tabs>
                            <w:tab w:val="left" w:pos="97"/>
                          </w:tabs>
                          <w:spacing w:before="2" w:line="107" w:lineRule="exact"/>
                          <w:ind w:left="96" w:hanging="74"/>
                          <w:rPr>
                            <w:sz w:val="10"/>
                          </w:rPr>
                        </w:pPr>
                        <w:r>
                          <w:rPr>
                            <w:color w:val="231F20"/>
                            <w:w w:val="115"/>
                            <w:sz w:val="10"/>
                          </w:rPr>
                          <w:t>Quarterly review meeting for DSNOs</w:t>
                        </w:r>
                        <w:r>
                          <w:rPr>
                            <w:color w:val="231F20"/>
                            <w:spacing w:val="3"/>
                            <w:w w:val="115"/>
                            <w:sz w:val="10"/>
                          </w:rPr>
                          <w:t xml:space="preserve"> </w:t>
                        </w:r>
                        <w:r>
                          <w:rPr>
                            <w:color w:val="231F20"/>
                            <w:w w:val="115"/>
                            <w:sz w:val="10"/>
                          </w:rPr>
                          <w:t>held</w:t>
                        </w:r>
                      </w:p>
                    </w:tc>
                    <w:tc>
                      <w:tcPr>
                        <w:tcW w:w="1391" w:type="dxa"/>
                        <w:tcBorders>
                          <w:left w:val="single" w:sz="6" w:space="0" w:color="231F20"/>
                          <w:bottom w:val="single" w:sz="6" w:space="0" w:color="231F20"/>
                          <w:right w:val="single" w:sz="6" w:space="0" w:color="231F20"/>
                        </w:tcBorders>
                        <w:shd w:val="clear" w:color="auto" w:fill="CCE7D3"/>
                      </w:tcPr>
                      <w:p w14:paraId="4A9614E9" w14:textId="77777777" w:rsidR="00080B77" w:rsidRDefault="00080B77">
                        <w:pPr>
                          <w:pStyle w:val="TableParagraph"/>
                          <w:rPr>
                            <w:rFonts w:ascii="Times New Roman"/>
                            <w:sz w:val="10"/>
                          </w:rPr>
                        </w:pPr>
                      </w:p>
                    </w:tc>
                    <w:tc>
                      <w:tcPr>
                        <w:tcW w:w="1467" w:type="dxa"/>
                        <w:tcBorders>
                          <w:left w:val="single" w:sz="6" w:space="0" w:color="231F20"/>
                          <w:bottom w:val="single" w:sz="6" w:space="0" w:color="231F20"/>
                          <w:right w:val="single" w:sz="6" w:space="0" w:color="231F20"/>
                        </w:tcBorders>
                        <w:shd w:val="clear" w:color="auto" w:fill="CCE7D3"/>
                      </w:tcPr>
                      <w:p w14:paraId="7AACFBE4" w14:textId="77777777" w:rsidR="00080B77" w:rsidRDefault="00080B77">
                        <w:pPr>
                          <w:pStyle w:val="TableParagraph"/>
                          <w:rPr>
                            <w:rFonts w:ascii="Times New Roman"/>
                            <w:sz w:val="10"/>
                          </w:rPr>
                        </w:pPr>
                      </w:p>
                    </w:tc>
                  </w:tr>
                  <w:tr w:rsidR="00080B77" w14:paraId="1150DC43" w14:textId="77777777">
                    <w:trPr>
                      <w:trHeight w:val="373"/>
                    </w:trPr>
                    <w:tc>
                      <w:tcPr>
                        <w:tcW w:w="1014" w:type="dxa"/>
                        <w:gridSpan w:val="3"/>
                        <w:vMerge w:val="restart"/>
                        <w:tcBorders>
                          <w:top w:val="nil"/>
                          <w:left w:val="single" w:sz="6" w:space="0" w:color="231F20"/>
                          <w:bottom w:val="nil"/>
                          <w:right w:val="single" w:sz="6" w:space="0" w:color="231F20"/>
                        </w:tcBorders>
                      </w:tcPr>
                      <w:p w14:paraId="494244C0" w14:textId="77777777" w:rsidR="00080B77" w:rsidRDefault="00080B77">
                        <w:pPr>
                          <w:pStyle w:val="TableParagraph"/>
                          <w:rPr>
                            <w:rFonts w:ascii="Times New Roman"/>
                            <w:sz w:val="10"/>
                          </w:rPr>
                        </w:pPr>
                      </w:p>
                    </w:tc>
                    <w:tc>
                      <w:tcPr>
                        <w:tcW w:w="512" w:type="dxa"/>
                        <w:tcBorders>
                          <w:top w:val="single" w:sz="6" w:space="0" w:color="231F20"/>
                          <w:left w:val="single" w:sz="6" w:space="0" w:color="231F20"/>
                          <w:bottom w:val="single" w:sz="6" w:space="0" w:color="231F20"/>
                          <w:right w:val="single" w:sz="6" w:space="0" w:color="231F20"/>
                        </w:tcBorders>
                      </w:tcPr>
                      <w:p w14:paraId="0E5463B4" w14:textId="77777777" w:rsidR="00080B77" w:rsidRDefault="00080B77">
                        <w:pPr>
                          <w:pStyle w:val="TableParagraph"/>
                          <w:spacing w:before="5"/>
                          <w:rPr>
                            <w:sz w:val="11"/>
                          </w:rPr>
                        </w:pPr>
                      </w:p>
                      <w:p w14:paraId="56819DB9" w14:textId="77777777" w:rsidR="00080B77" w:rsidRDefault="00080B77">
                        <w:pPr>
                          <w:pStyle w:val="TableParagraph"/>
                          <w:ind w:left="28" w:right="12"/>
                          <w:jc w:val="center"/>
                          <w:rPr>
                            <w:sz w:val="10"/>
                          </w:rPr>
                        </w:pPr>
                        <w:r>
                          <w:rPr>
                            <w:color w:val="231F20"/>
                            <w:w w:val="115"/>
                            <w:sz w:val="10"/>
                          </w:rPr>
                          <w:t>14.1.9.a</w:t>
                        </w:r>
                      </w:p>
                    </w:tc>
                    <w:tc>
                      <w:tcPr>
                        <w:tcW w:w="4772" w:type="dxa"/>
                        <w:gridSpan w:val="2"/>
                        <w:tcBorders>
                          <w:top w:val="single" w:sz="6" w:space="0" w:color="231F20"/>
                          <w:left w:val="single" w:sz="6" w:space="0" w:color="231F20"/>
                          <w:bottom w:val="single" w:sz="6" w:space="0" w:color="231F20"/>
                          <w:right w:val="single" w:sz="6" w:space="0" w:color="231F20"/>
                        </w:tcBorders>
                      </w:tcPr>
                      <w:p w14:paraId="458C97ED" w14:textId="60A0CB92" w:rsidR="00080B77" w:rsidRDefault="00080B77">
                        <w:pPr>
                          <w:pStyle w:val="TableParagraph"/>
                          <w:spacing w:before="61" w:line="273" w:lineRule="auto"/>
                          <w:ind w:left="22"/>
                          <w:rPr>
                            <w:sz w:val="10"/>
                          </w:rPr>
                        </w:pPr>
                        <w:r>
                          <w:rPr>
                            <w:color w:val="231F20"/>
                            <w:w w:val="115"/>
                            <w:sz w:val="10"/>
                          </w:rPr>
                          <w:t>Advocacy visits to the gatekeepers (Council Chairmen and Councilors of health, Traditional rulers, CDC chairmen) on community participation in disease surveillance</w:t>
                        </w:r>
                      </w:p>
                    </w:tc>
                    <w:tc>
                      <w:tcPr>
                        <w:tcW w:w="1391" w:type="dxa"/>
                        <w:tcBorders>
                          <w:top w:val="single" w:sz="6" w:space="0" w:color="231F20"/>
                          <w:left w:val="single" w:sz="6" w:space="0" w:color="231F20"/>
                          <w:bottom w:val="single" w:sz="6" w:space="0" w:color="231F20"/>
                          <w:right w:val="single" w:sz="6" w:space="0" w:color="231F20"/>
                        </w:tcBorders>
                      </w:tcPr>
                      <w:p w14:paraId="3DAD3125" w14:textId="77777777" w:rsidR="00080B77" w:rsidRDefault="00080B77">
                        <w:pPr>
                          <w:pStyle w:val="TableParagraph"/>
                          <w:spacing w:before="5"/>
                          <w:rPr>
                            <w:sz w:val="11"/>
                          </w:rPr>
                        </w:pPr>
                      </w:p>
                      <w:p w14:paraId="38432E4F"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04546CB0" w14:textId="77777777" w:rsidR="00080B77" w:rsidRDefault="00080B77">
                        <w:pPr>
                          <w:pStyle w:val="TableParagraph"/>
                          <w:spacing w:before="5"/>
                          <w:rPr>
                            <w:sz w:val="11"/>
                          </w:rPr>
                        </w:pPr>
                      </w:p>
                      <w:p w14:paraId="35DA4333" w14:textId="77777777" w:rsidR="00080B77" w:rsidRDefault="00080B77">
                        <w:pPr>
                          <w:pStyle w:val="TableParagraph"/>
                          <w:ind w:left="26"/>
                          <w:rPr>
                            <w:sz w:val="10"/>
                          </w:rPr>
                        </w:pPr>
                        <w:r>
                          <w:rPr>
                            <w:color w:val="231F20"/>
                            <w:w w:val="115"/>
                            <w:sz w:val="10"/>
                          </w:rPr>
                          <w:t>Advocacy visits</w:t>
                        </w:r>
                      </w:p>
                    </w:tc>
                  </w:tr>
                  <w:tr w:rsidR="00080B77" w14:paraId="2999E4D4" w14:textId="77777777">
                    <w:trPr>
                      <w:trHeight w:val="489"/>
                    </w:trPr>
                    <w:tc>
                      <w:tcPr>
                        <w:tcW w:w="1014" w:type="dxa"/>
                        <w:gridSpan w:val="3"/>
                        <w:vMerge/>
                        <w:tcBorders>
                          <w:top w:val="nil"/>
                          <w:left w:val="single" w:sz="6" w:space="0" w:color="231F20"/>
                          <w:bottom w:val="nil"/>
                          <w:right w:val="single" w:sz="6" w:space="0" w:color="231F20"/>
                        </w:tcBorders>
                      </w:tcPr>
                      <w:p w14:paraId="661EBCEC"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4442879F" w14:textId="77777777" w:rsidR="00080B77" w:rsidRDefault="00080B77">
                        <w:pPr>
                          <w:pStyle w:val="TableParagraph"/>
                          <w:rPr>
                            <w:sz w:val="10"/>
                          </w:rPr>
                        </w:pPr>
                      </w:p>
                      <w:p w14:paraId="4759A917" w14:textId="77777777" w:rsidR="00080B77" w:rsidRDefault="00080B77">
                        <w:pPr>
                          <w:pStyle w:val="TableParagraph"/>
                          <w:spacing w:before="74"/>
                          <w:ind w:left="28" w:right="12"/>
                          <w:jc w:val="center"/>
                          <w:rPr>
                            <w:sz w:val="10"/>
                          </w:rPr>
                        </w:pPr>
                        <w:r>
                          <w:rPr>
                            <w:color w:val="231F20"/>
                            <w:w w:val="115"/>
                            <w:sz w:val="10"/>
                          </w:rPr>
                          <w:t>14.1.9.b</w:t>
                        </w:r>
                      </w:p>
                    </w:tc>
                    <w:tc>
                      <w:tcPr>
                        <w:tcW w:w="4772" w:type="dxa"/>
                        <w:gridSpan w:val="2"/>
                        <w:tcBorders>
                          <w:top w:val="single" w:sz="6" w:space="0" w:color="231F20"/>
                          <w:left w:val="single" w:sz="6" w:space="0" w:color="231F20"/>
                          <w:bottom w:val="single" w:sz="6" w:space="0" w:color="231F20"/>
                          <w:right w:val="single" w:sz="6" w:space="0" w:color="231F20"/>
                        </w:tcBorders>
                      </w:tcPr>
                      <w:p w14:paraId="55B8B863" w14:textId="77777777" w:rsidR="00080B77" w:rsidRDefault="00080B77">
                        <w:pPr>
                          <w:pStyle w:val="TableParagraph"/>
                          <w:spacing w:before="5"/>
                          <w:rPr>
                            <w:sz w:val="10"/>
                          </w:rPr>
                        </w:pPr>
                      </w:p>
                      <w:p w14:paraId="2A86906C" w14:textId="77777777" w:rsidR="00080B77" w:rsidRDefault="00080B77">
                        <w:pPr>
                          <w:pStyle w:val="TableParagraph"/>
                          <w:spacing w:line="273" w:lineRule="auto"/>
                          <w:ind w:left="22"/>
                          <w:rPr>
                            <w:sz w:val="10"/>
                          </w:rPr>
                        </w:pPr>
                        <w:r>
                          <w:rPr>
                            <w:color w:val="231F20"/>
                            <w:w w:val="115"/>
                            <w:sz w:val="10"/>
                          </w:rPr>
                          <w:t>Sensitization and training meetings with the Community health workers, volunteer health workers, ward health committee, focal persons and informants.</w:t>
                        </w:r>
                      </w:p>
                    </w:tc>
                    <w:tc>
                      <w:tcPr>
                        <w:tcW w:w="1391" w:type="dxa"/>
                        <w:tcBorders>
                          <w:top w:val="single" w:sz="6" w:space="0" w:color="231F20"/>
                          <w:left w:val="single" w:sz="6" w:space="0" w:color="231F20"/>
                          <w:bottom w:val="single" w:sz="6" w:space="0" w:color="231F20"/>
                          <w:right w:val="single" w:sz="6" w:space="0" w:color="231F20"/>
                        </w:tcBorders>
                      </w:tcPr>
                      <w:p w14:paraId="075F4CA4" w14:textId="77777777" w:rsidR="00080B77" w:rsidRDefault="00080B77">
                        <w:pPr>
                          <w:pStyle w:val="TableParagraph"/>
                          <w:rPr>
                            <w:sz w:val="10"/>
                          </w:rPr>
                        </w:pPr>
                      </w:p>
                      <w:p w14:paraId="6E0BD50A" w14:textId="77777777" w:rsidR="00080B77" w:rsidRDefault="00080B77">
                        <w:pPr>
                          <w:pStyle w:val="TableParagraph"/>
                          <w:spacing w:before="74"/>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56F8D9F1" w14:textId="77777777" w:rsidR="00080B77" w:rsidRDefault="00080B77">
                        <w:pPr>
                          <w:pStyle w:val="TableParagraph"/>
                          <w:rPr>
                            <w:sz w:val="10"/>
                          </w:rPr>
                        </w:pPr>
                      </w:p>
                      <w:p w14:paraId="23CDCF64" w14:textId="77777777" w:rsidR="00080B77" w:rsidRDefault="00080B77">
                        <w:pPr>
                          <w:pStyle w:val="TableParagraph"/>
                          <w:spacing w:before="74"/>
                          <w:ind w:left="26"/>
                          <w:rPr>
                            <w:sz w:val="10"/>
                          </w:rPr>
                        </w:pPr>
                        <w:r>
                          <w:rPr>
                            <w:color w:val="231F20"/>
                            <w:w w:val="115"/>
                            <w:sz w:val="10"/>
                          </w:rPr>
                          <w:t>Sensitization meetings</w:t>
                        </w:r>
                      </w:p>
                    </w:tc>
                  </w:tr>
                  <w:tr w:rsidR="00080B77" w14:paraId="0C264EDB" w14:textId="77777777">
                    <w:trPr>
                      <w:trHeight w:val="476"/>
                    </w:trPr>
                    <w:tc>
                      <w:tcPr>
                        <w:tcW w:w="1014" w:type="dxa"/>
                        <w:gridSpan w:val="3"/>
                        <w:vMerge/>
                        <w:tcBorders>
                          <w:top w:val="nil"/>
                          <w:left w:val="single" w:sz="6" w:space="0" w:color="231F20"/>
                          <w:bottom w:val="nil"/>
                          <w:right w:val="single" w:sz="6" w:space="0" w:color="231F20"/>
                        </w:tcBorders>
                      </w:tcPr>
                      <w:p w14:paraId="0FEC6705"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7B38E1A9" w14:textId="77777777" w:rsidR="00080B77" w:rsidRDefault="00080B77">
                        <w:pPr>
                          <w:pStyle w:val="TableParagraph"/>
                          <w:rPr>
                            <w:sz w:val="10"/>
                          </w:rPr>
                        </w:pPr>
                      </w:p>
                      <w:p w14:paraId="50360F19" w14:textId="77777777" w:rsidR="00080B77" w:rsidRDefault="00080B77">
                        <w:pPr>
                          <w:pStyle w:val="TableParagraph"/>
                          <w:spacing w:before="68"/>
                          <w:ind w:left="28" w:right="12"/>
                          <w:jc w:val="center"/>
                          <w:rPr>
                            <w:sz w:val="10"/>
                          </w:rPr>
                        </w:pPr>
                        <w:r>
                          <w:rPr>
                            <w:color w:val="231F20"/>
                            <w:w w:val="115"/>
                            <w:sz w:val="10"/>
                          </w:rPr>
                          <w:t>14.1.9.c</w:t>
                        </w:r>
                      </w:p>
                    </w:tc>
                    <w:tc>
                      <w:tcPr>
                        <w:tcW w:w="4772" w:type="dxa"/>
                        <w:gridSpan w:val="2"/>
                        <w:tcBorders>
                          <w:top w:val="single" w:sz="6" w:space="0" w:color="231F20"/>
                          <w:left w:val="single" w:sz="6" w:space="0" w:color="231F20"/>
                          <w:bottom w:val="single" w:sz="6" w:space="0" w:color="231F20"/>
                          <w:right w:val="single" w:sz="6" w:space="0" w:color="231F20"/>
                        </w:tcBorders>
                      </w:tcPr>
                      <w:p w14:paraId="44EE11EA" w14:textId="77777777" w:rsidR="00080B77" w:rsidRDefault="00080B77">
                        <w:pPr>
                          <w:pStyle w:val="TableParagraph"/>
                          <w:spacing w:before="9"/>
                          <w:rPr>
                            <w:sz w:val="9"/>
                          </w:rPr>
                        </w:pPr>
                      </w:p>
                      <w:p w14:paraId="7C32240F" w14:textId="77777777" w:rsidR="00080B77" w:rsidRDefault="00080B77">
                        <w:pPr>
                          <w:pStyle w:val="TableParagraph"/>
                          <w:spacing w:line="273" w:lineRule="auto"/>
                          <w:ind w:left="22"/>
                          <w:rPr>
                            <w:sz w:val="10"/>
                          </w:rPr>
                        </w:pPr>
                        <w:r>
                          <w:rPr>
                            <w:color w:val="231F20"/>
                            <w:w w:val="115"/>
                            <w:sz w:val="10"/>
                          </w:rPr>
                          <w:t>Conduct periodic feedback and review meetings for the DSNOs; also hold integrated review meetings with stakeholders at all health care levels</w:t>
                        </w:r>
                      </w:p>
                    </w:tc>
                    <w:tc>
                      <w:tcPr>
                        <w:tcW w:w="1391" w:type="dxa"/>
                        <w:tcBorders>
                          <w:top w:val="single" w:sz="6" w:space="0" w:color="231F20"/>
                          <w:left w:val="single" w:sz="6" w:space="0" w:color="231F20"/>
                          <w:bottom w:val="single" w:sz="6" w:space="0" w:color="231F20"/>
                          <w:right w:val="single" w:sz="6" w:space="0" w:color="231F20"/>
                        </w:tcBorders>
                      </w:tcPr>
                      <w:p w14:paraId="2A9E3C6D" w14:textId="77777777" w:rsidR="00080B77" w:rsidRDefault="00080B77">
                        <w:pPr>
                          <w:pStyle w:val="TableParagraph"/>
                          <w:rPr>
                            <w:sz w:val="10"/>
                          </w:rPr>
                        </w:pPr>
                      </w:p>
                      <w:p w14:paraId="1380E782" w14:textId="77777777" w:rsidR="00080B77" w:rsidRDefault="00080B77">
                        <w:pPr>
                          <w:pStyle w:val="TableParagraph"/>
                          <w:spacing w:before="68"/>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533E2BC2" w14:textId="77777777" w:rsidR="00080B77" w:rsidRDefault="00080B77">
                        <w:pPr>
                          <w:pStyle w:val="TableParagraph"/>
                          <w:rPr>
                            <w:sz w:val="10"/>
                          </w:rPr>
                        </w:pPr>
                      </w:p>
                      <w:p w14:paraId="1321A0E6" w14:textId="77777777" w:rsidR="00080B77" w:rsidRDefault="00080B77">
                        <w:pPr>
                          <w:pStyle w:val="TableParagraph"/>
                          <w:spacing w:before="68"/>
                          <w:ind w:left="26"/>
                          <w:rPr>
                            <w:sz w:val="10"/>
                          </w:rPr>
                        </w:pPr>
                        <w:r>
                          <w:rPr>
                            <w:color w:val="231F20"/>
                            <w:w w:val="115"/>
                            <w:sz w:val="10"/>
                          </w:rPr>
                          <w:t>Conduct periodic feedback</w:t>
                        </w:r>
                      </w:p>
                    </w:tc>
                  </w:tr>
                  <w:tr w:rsidR="00080B77" w14:paraId="40497694" w14:textId="77777777">
                    <w:trPr>
                      <w:trHeight w:val="287"/>
                    </w:trPr>
                    <w:tc>
                      <w:tcPr>
                        <w:tcW w:w="9156" w:type="dxa"/>
                        <w:gridSpan w:val="8"/>
                        <w:tcBorders>
                          <w:top w:val="nil"/>
                          <w:left w:val="single" w:sz="6" w:space="0" w:color="231F20"/>
                          <w:right w:val="single" w:sz="6" w:space="0" w:color="231F20"/>
                        </w:tcBorders>
                      </w:tcPr>
                      <w:p w14:paraId="34ABDCFC" w14:textId="77777777" w:rsidR="00080B77" w:rsidRDefault="00080B77">
                        <w:pPr>
                          <w:pStyle w:val="TableParagraph"/>
                          <w:spacing w:before="50"/>
                          <w:ind w:left="2985" w:right="2956"/>
                          <w:jc w:val="center"/>
                          <w:rPr>
                            <w:b/>
                            <w:sz w:val="16"/>
                          </w:rPr>
                        </w:pPr>
                        <w:r>
                          <w:rPr>
                            <w:b/>
                            <w:color w:val="231F20"/>
                            <w:w w:val="110"/>
                            <w:sz w:val="16"/>
                          </w:rPr>
                          <w:t>Strategic Pillar Five: Health Financing</w:t>
                        </w:r>
                      </w:p>
                    </w:tc>
                  </w:tr>
                  <w:tr w:rsidR="00080B77" w14:paraId="6AD2B00C" w14:textId="77777777">
                    <w:trPr>
                      <w:trHeight w:val="197"/>
                    </w:trPr>
                    <w:tc>
                      <w:tcPr>
                        <w:tcW w:w="9156" w:type="dxa"/>
                        <w:gridSpan w:val="8"/>
                        <w:tcBorders>
                          <w:left w:val="single" w:sz="6" w:space="0" w:color="231F20"/>
                          <w:bottom w:val="single" w:sz="6" w:space="0" w:color="231F20"/>
                          <w:right w:val="single" w:sz="6" w:space="0" w:color="231F20"/>
                        </w:tcBorders>
                        <w:shd w:val="clear" w:color="auto" w:fill="50B848"/>
                      </w:tcPr>
                      <w:p w14:paraId="5D56ED19" w14:textId="77777777" w:rsidR="00080B77" w:rsidRDefault="00080B77">
                        <w:pPr>
                          <w:pStyle w:val="TableParagraph"/>
                          <w:spacing w:before="27"/>
                          <w:ind w:left="2985" w:right="2926"/>
                          <w:jc w:val="center"/>
                          <w:rPr>
                            <w:b/>
                            <w:sz w:val="12"/>
                          </w:rPr>
                        </w:pPr>
                        <w:r>
                          <w:rPr>
                            <w:b/>
                            <w:color w:val="231F20"/>
                            <w:w w:val="115"/>
                            <w:sz w:val="12"/>
                          </w:rPr>
                          <w:t>15.Health Financing</w:t>
                        </w:r>
                      </w:p>
                    </w:tc>
                  </w:tr>
                  <w:tr w:rsidR="00080B77" w14:paraId="58D123FA" w14:textId="77777777">
                    <w:trPr>
                      <w:trHeight w:val="136"/>
                    </w:trPr>
                    <w:tc>
                      <w:tcPr>
                        <w:tcW w:w="9156" w:type="dxa"/>
                        <w:gridSpan w:val="8"/>
                        <w:tcBorders>
                          <w:top w:val="single" w:sz="6" w:space="0" w:color="231F20"/>
                          <w:left w:val="single" w:sz="6" w:space="0" w:color="231F20"/>
                          <w:bottom w:val="single" w:sz="6" w:space="0" w:color="231F20"/>
                          <w:right w:val="single" w:sz="6" w:space="0" w:color="231F20"/>
                        </w:tcBorders>
                        <w:shd w:val="clear" w:color="auto" w:fill="F6ADCD"/>
                      </w:tcPr>
                      <w:p w14:paraId="2FB89FA4" w14:textId="3AF19C8D" w:rsidR="00080B77" w:rsidRDefault="00080B77">
                        <w:pPr>
                          <w:pStyle w:val="TableParagraph"/>
                          <w:spacing w:before="11" w:line="106" w:lineRule="exact"/>
                          <w:ind w:left="1008"/>
                          <w:rPr>
                            <w:b/>
                            <w:sz w:val="10"/>
                          </w:rPr>
                        </w:pPr>
                        <w:r>
                          <w:rPr>
                            <w:b/>
                            <w:color w:val="231F20"/>
                            <w:w w:val="115"/>
                            <w:sz w:val="10"/>
                          </w:rPr>
                          <w:t>15. Ensure all Nigerians have access to health services without any financial barriers or impediments at the point of accessing care</w:t>
                        </w:r>
                      </w:p>
                    </w:tc>
                  </w:tr>
                  <w:tr w:rsidR="00080B77" w14:paraId="5D6009F2" w14:textId="77777777">
                    <w:trPr>
                      <w:trHeight w:val="329"/>
                    </w:trPr>
                    <w:tc>
                      <w:tcPr>
                        <w:tcW w:w="175" w:type="dxa"/>
                        <w:tcBorders>
                          <w:top w:val="single" w:sz="6" w:space="0" w:color="231F20"/>
                          <w:left w:val="single" w:sz="6" w:space="0" w:color="231F20"/>
                          <w:bottom w:val="nil"/>
                          <w:right w:val="single" w:sz="6" w:space="0" w:color="231F20"/>
                        </w:tcBorders>
                      </w:tcPr>
                      <w:p w14:paraId="6A5E2002" w14:textId="77777777" w:rsidR="00080B77" w:rsidRDefault="00080B77">
                        <w:pPr>
                          <w:pStyle w:val="TableParagraph"/>
                          <w:rPr>
                            <w:rFonts w:ascii="Times New Roman"/>
                            <w:sz w:val="10"/>
                          </w:rPr>
                        </w:pPr>
                      </w:p>
                    </w:tc>
                    <w:tc>
                      <w:tcPr>
                        <w:tcW w:w="396" w:type="dxa"/>
                        <w:tcBorders>
                          <w:top w:val="single" w:sz="6" w:space="0" w:color="231F20"/>
                          <w:left w:val="single" w:sz="6" w:space="0" w:color="231F20"/>
                          <w:right w:val="single" w:sz="6" w:space="0" w:color="231F20"/>
                        </w:tcBorders>
                        <w:shd w:val="clear" w:color="auto" w:fill="FFF200"/>
                      </w:tcPr>
                      <w:p w14:paraId="37FEE609" w14:textId="77777777" w:rsidR="00080B77" w:rsidRDefault="00080B77">
                        <w:pPr>
                          <w:pStyle w:val="TableParagraph"/>
                          <w:spacing w:before="8"/>
                          <w:rPr>
                            <w:sz w:val="9"/>
                          </w:rPr>
                        </w:pPr>
                      </w:p>
                      <w:p w14:paraId="48CBC408" w14:textId="77777777" w:rsidR="00080B77" w:rsidRDefault="00080B77">
                        <w:pPr>
                          <w:pStyle w:val="TableParagraph"/>
                          <w:ind w:left="117"/>
                          <w:rPr>
                            <w:b/>
                            <w:sz w:val="10"/>
                          </w:rPr>
                        </w:pPr>
                        <w:r>
                          <w:rPr>
                            <w:b/>
                            <w:color w:val="231F20"/>
                            <w:w w:val="115"/>
                            <w:sz w:val="10"/>
                          </w:rPr>
                          <w:t>15.1</w:t>
                        </w:r>
                      </w:p>
                    </w:tc>
                    <w:tc>
                      <w:tcPr>
                        <w:tcW w:w="5727" w:type="dxa"/>
                        <w:gridSpan w:val="4"/>
                        <w:tcBorders>
                          <w:top w:val="single" w:sz="6" w:space="0" w:color="231F20"/>
                          <w:left w:val="single" w:sz="6" w:space="0" w:color="231F20"/>
                        </w:tcBorders>
                        <w:shd w:val="clear" w:color="auto" w:fill="FFF200"/>
                      </w:tcPr>
                      <w:p w14:paraId="4C2C3BCD" w14:textId="77777777" w:rsidR="00080B77" w:rsidRDefault="00080B77">
                        <w:pPr>
                          <w:pStyle w:val="TableParagraph"/>
                          <w:spacing w:before="40" w:line="280" w:lineRule="auto"/>
                          <w:ind w:left="21" w:firstLine="32"/>
                          <w:rPr>
                            <w:b/>
                            <w:sz w:val="10"/>
                          </w:rPr>
                        </w:pPr>
                        <w:r>
                          <w:rPr>
                            <w:b/>
                            <w:color w:val="231F20"/>
                            <w:w w:val="115"/>
                            <w:sz w:val="10"/>
                          </w:rPr>
                          <w:t>Strengthened Governance and Coordination for actualizing stewardship and ownership of Health Financing reforms</w:t>
                        </w:r>
                      </w:p>
                    </w:tc>
                    <w:tc>
                      <w:tcPr>
                        <w:tcW w:w="1391" w:type="dxa"/>
                        <w:tcBorders>
                          <w:top w:val="single" w:sz="6" w:space="0" w:color="231F20"/>
                          <w:bottom w:val="single" w:sz="6" w:space="0" w:color="231F20"/>
                        </w:tcBorders>
                        <w:shd w:val="clear" w:color="auto" w:fill="FFF200"/>
                      </w:tcPr>
                      <w:p w14:paraId="57FEF998" w14:textId="77777777" w:rsidR="00080B77" w:rsidRDefault="00080B77">
                        <w:pPr>
                          <w:pStyle w:val="TableParagraph"/>
                          <w:rPr>
                            <w:rFonts w:ascii="Times New Roman"/>
                            <w:sz w:val="10"/>
                          </w:rPr>
                        </w:pPr>
                      </w:p>
                    </w:tc>
                    <w:tc>
                      <w:tcPr>
                        <w:tcW w:w="1467" w:type="dxa"/>
                        <w:tcBorders>
                          <w:top w:val="single" w:sz="6" w:space="0" w:color="231F20"/>
                          <w:right w:val="single" w:sz="6" w:space="0" w:color="231F20"/>
                        </w:tcBorders>
                        <w:shd w:val="clear" w:color="auto" w:fill="FFF200"/>
                      </w:tcPr>
                      <w:p w14:paraId="6BBA190D" w14:textId="77777777" w:rsidR="00080B77" w:rsidRDefault="00080B77">
                        <w:pPr>
                          <w:pStyle w:val="TableParagraph"/>
                          <w:rPr>
                            <w:rFonts w:ascii="Times New Roman"/>
                            <w:sz w:val="10"/>
                          </w:rPr>
                        </w:pPr>
                      </w:p>
                    </w:tc>
                  </w:tr>
                  <w:tr w:rsidR="00080B77" w14:paraId="76039C65" w14:textId="77777777">
                    <w:trPr>
                      <w:trHeight w:val="809"/>
                    </w:trPr>
                    <w:tc>
                      <w:tcPr>
                        <w:tcW w:w="571" w:type="dxa"/>
                        <w:gridSpan w:val="2"/>
                        <w:tcBorders>
                          <w:top w:val="nil"/>
                          <w:left w:val="single" w:sz="6" w:space="0" w:color="231F20"/>
                          <w:bottom w:val="nil"/>
                          <w:right w:val="single" w:sz="6" w:space="0" w:color="231F20"/>
                        </w:tcBorders>
                      </w:tcPr>
                      <w:p w14:paraId="486A7D6D" w14:textId="77777777" w:rsidR="00080B77" w:rsidRDefault="00080B77">
                        <w:pPr>
                          <w:pStyle w:val="TableParagraph"/>
                          <w:rPr>
                            <w:rFonts w:ascii="Times New Roman"/>
                            <w:sz w:val="10"/>
                          </w:rPr>
                        </w:pPr>
                      </w:p>
                    </w:tc>
                    <w:tc>
                      <w:tcPr>
                        <w:tcW w:w="443" w:type="dxa"/>
                        <w:tcBorders>
                          <w:left w:val="single" w:sz="6" w:space="0" w:color="231F20"/>
                          <w:bottom w:val="single" w:sz="6" w:space="0" w:color="231F20"/>
                          <w:right w:val="single" w:sz="6" w:space="0" w:color="231F20"/>
                        </w:tcBorders>
                        <w:shd w:val="clear" w:color="auto" w:fill="CCE7D3"/>
                      </w:tcPr>
                      <w:p w14:paraId="385AA9BF" w14:textId="77777777" w:rsidR="00080B77" w:rsidRDefault="00080B77">
                        <w:pPr>
                          <w:pStyle w:val="TableParagraph"/>
                          <w:rPr>
                            <w:sz w:val="10"/>
                          </w:rPr>
                        </w:pPr>
                      </w:p>
                      <w:p w14:paraId="092ED47D" w14:textId="77777777" w:rsidR="00080B77" w:rsidRDefault="00080B77">
                        <w:pPr>
                          <w:pStyle w:val="TableParagraph"/>
                          <w:rPr>
                            <w:sz w:val="10"/>
                          </w:rPr>
                        </w:pPr>
                      </w:p>
                      <w:p w14:paraId="649A798D" w14:textId="77777777" w:rsidR="00080B77" w:rsidRDefault="00080B77">
                        <w:pPr>
                          <w:pStyle w:val="TableParagraph"/>
                          <w:spacing w:before="2"/>
                          <w:rPr>
                            <w:sz w:val="10"/>
                          </w:rPr>
                        </w:pPr>
                      </w:p>
                      <w:p w14:paraId="153614A1" w14:textId="77777777" w:rsidR="00080B77" w:rsidRDefault="00080B77">
                        <w:pPr>
                          <w:pStyle w:val="TableParagraph"/>
                          <w:ind w:left="34" w:right="34"/>
                          <w:jc w:val="center"/>
                          <w:rPr>
                            <w:sz w:val="10"/>
                          </w:rPr>
                        </w:pPr>
                        <w:r>
                          <w:rPr>
                            <w:color w:val="231F20"/>
                            <w:w w:val="115"/>
                            <w:sz w:val="10"/>
                          </w:rPr>
                          <w:t>15.1.1</w:t>
                        </w:r>
                      </w:p>
                    </w:tc>
                    <w:tc>
                      <w:tcPr>
                        <w:tcW w:w="2960" w:type="dxa"/>
                        <w:gridSpan w:val="2"/>
                        <w:tcBorders>
                          <w:left w:val="single" w:sz="6" w:space="0" w:color="231F20"/>
                          <w:bottom w:val="single" w:sz="6" w:space="0" w:color="231F20"/>
                          <w:right w:val="single" w:sz="6" w:space="0" w:color="231F20"/>
                        </w:tcBorders>
                        <w:shd w:val="clear" w:color="auto" w:fill="CCE7D3"/>
                      </w:tcPr>
                      <w:p w14:paraId="56C2285F" w14:textId="77777777" w:rsidR="00080B77" w:rsidRDefault="00080B77">
                        <w:pPr>
                          <w:pStyle w:val="TableParagraph"/>
                          <w:rPr>
                            <w:sz w:val="10"/>
                          </w:rPr>
                        </w:pPr>
                      </w:p>
                      <w:p w14:paraId="7193B414" w14:textId="77777777" w:rsidR="00080B77" w:rsidRDefault="00080B77">
                        <w:pPr>
                          <w:pStyle w:val="TableParagraph"/>
                          <w:spacing w:before="2"/>
                          <w:rPr>
                            <w:sz w:val="14"/>
                          </w:rPr>
                        </w:pPr>
                      </w:p>
                      <w:p w14:paraId="4A704EDD" w14:textId="77777777" w:rsidR="00080B77" w:rsidRDefault="00080B77">
                        <w:pPr>
                          <w:pStyle w:val="TableParagraph"/>
                          <w:spacing w:line="273" w:lineRule="auto"/>
                          <w:ind w:left="21" w:right="22" w:firstLine="32"/>
                          <w:rPr>
                            <w:sz w:val="10"/>
                          </w:rPr>
                        </w:pPr>
                        <w:r>
                          <w:rPr>
                            <w:color w:val="231F20"/>
                            <w:w w:val="115"/>
                            <w:sz w:val="10"/>
                          </w:rPr>
                          <w:t>Strengthen Health Financing Equity and Investment Units at Federal, 36 States, and FCT</w:t>
                        </w:r>
                      </w:p>
                    </w:tc>
                    <w:tc>
                      <w:tcPr>
                        <w:tcW w:w="2324" w:type="dxa"/>
                        <w:tcBorders>
                          <w:left w:val="single" w:sz="6" w:space="0" w:color="231F20"/>
                          <w:bottom w:val="single" w:sz="6" w:space="0" w:color="231F20"/>
                          <w:right w:val="single" w:sz="6" w:space="0" w:color="231F20"/>
                        </w:tcBorders>
                        <w:shd w:val="clear" w:color="auto" w:fill="CCE7D3"/>
                      </w:tcPr>
                      <w:p w14:paraId="518E47D4" w14:textId="77777777" w:rsidR="00080B77" w:rsidRDefault="00080B77">
                        <w:pPr>
                          <w:pStyle w:val="TableParagraph"/>
                          <w:numPr>
                            <w:ilvl w:val="0"/>
                            <w:numId w:val="16"/>
                          </w:numPr>
                          <w:tabs>
                            <w:tab w:val="left" w:pos="97"/>
                          </w:tabs>
                          <w:spacing w:before="19" w:line="273" w:lineRule="auto"/>
                          <w:ind w:right="172" w:firstLine="0"/>
                          <w:rPr>
                            <w:sz w:val="10"/>
                          </w:rPr>
                        </w:pPr>
                        <w:r>
                          <w:rPr>
                            <w:color w:val="231F20"/>
                            <w:w w:val="115"/>
                            <w:sz w:val="10"/>
                          </w:rPr>
                          <w:t xml:space="preserve">TWG inaugurated and members </w:t>
                        </w:r>
                        <w:r>
                          <w:rPr>
                            <w:color w:val="231F20"/>
                            <w:spacing w:val="-3"/>
                            <w:w w:val="115"/>
                            <w:sz w:val="10"/>
                          </w:rPr>
                          <w:t xml:space="preserve">trained </w:t>
                        </w:r>
                        <w:r>
                          <w:rPr>
                            <w:color w:val="231F20"/>
                            <w:w w:val="115"/>
                            <w:sz w:val="10"/>
                          </w:rPr>
                          <w:t>on the Health Care Financing</w:t>
                        </w:r>
                        <w:r>
                          <w:rPr>
                            <w:color w:val="231F20"/>
                            <w:spacing w:val="3"/>
                            <w:w w:val="115"/>
                            <w:sz w:val="10"/>
                          </w:rPr>
                          <w:t xml:space="preserve"> </w:t>
                        </w:r>
                        <w:r>
                          <w:rPr>
                            <w:color w:val="231F20"/>
                            <w:w w:val="115"/>
                            <w:sz w:val="10"/>
                          </w:rPr>
                          <w:t>Reforms</w:t>
                        </w:r>
                      </w:p>
                      <w:p w14:paraId="5A667E29" w14:textId="77777777" w:rsidR="00080B77" w:rsidRDefault="00080B77">
                        <w:pPr>
                          <w:pStyle w:val="TableParagraph"/>
                          <w:numPr>
                            <w:ilvl w:val="0"/>
                            <w:numId w:val="16"/>
                          </w:numPr>
                          <w:tabs>
                            <w:tab w:val="left" w:pos="66"/>
                          </w:tabs>
                          <w:spacing w:before="1" w:line="273" w:lineRule="auto"/>
                          <w:ind w:right="73" w:firstLine="0"/>
                          <w:rPr>
                            <w:sz w:val="10"/>
                          </w:rPr>
                        </w:pPr>
                        <w:r>
                          <w:rPr>
                            <w:color w:val="231F20"/>
                            <w:w w:val="115"/>
                            <w:sz w:val="10"/>
                          </w:rPr>
                          <w:t xml:space="preserve">Health Financing Equity &amp; Investment </w:t>
                        </w:r>
                        <w:r>
                          <w:rPr>
                            <w:color w:val="231F20"/>
                            <w:spacing w:val="-3"/>
                            <w:w w:val="115"/>
                            <w:sz w:val="10"/>
                          </w:rPr>
                          <w:t xml:space="preserve">Unit </w:t>
                        </w:r>
                        <w:r>
                          <w:rPr>
                            <w:color w:val="231F20"/>
                            <w:w w:val="115"/>
                            <w:sz w:val="10"/>
                          </w:rPr>
                          <w:t>created and</w:t>
                        </w:r>
                        <w:r>
                          <w:rPr>
                            <w:color w:val="231F20"/>
                            <w:spacing w:val="-1"/>
                            <w:w w:val="115"/>
                            <w:sz w:val="10"/>
                          </w:rPr>
                          <w:t xml:space="preserve"> </w:t>
                        </w:r>
                        <w:r>
                          <w:rPr>
                            <w:color w:val="231F20"/>
                            <w:w w:val="115"/>
                            <w:sz w:val="10"/>
                          </w:rPr>
                          <w:t>equipped</w:t>
                        </w:r>
                      </w:p>
                      <w:p w14:paraId="2902C52F" w14:textId="77777777" w:rsidR="00080B77" w:rsidRDefault="00080B77">
                        <w:pPr>
                          <w:pStyle w:val="TableParagraph"/>
                          <w:numPr>
                            <w:ilvl w:val="0"/>
                            <w:numId w:val="16"/>
                          </w:numPr>
                          <w:tabs>
                            <w:tab w:val="left" w:pos="97"/>
                          </w:tabs>
                          <w:spacing w:before="1"/>
                          <w:ind w:left="96" w:hanging="74"/>
                          <w:rPr>
                            <w:sz w:val="10"/>
                          </w:rPr>
                        </w:pPr>
                        <w:r>
                          <w:rPr>
                            <w:color w:val="231F20"/>
                            <w:w w:val="115"/>
                            <w:sz w:val="10"/>
                          </w:rPr>
                          <w:t>Personnel trained and re-trained</w:t>
                        </w:r>
                        <w:r>
                          <w:rPr>
                            <w:color w:val="231F20"/>
                            <w:spacing w:val="1"/>
                            <w:w w:val="115"/>
                            <w:sz w:val="10"/>
                          </w:rPr>
                          <w:t xml:space="preserve"> </w:t>
                        </w:r>
                        <w:r>
                          <w:rPr>
                            <w:color w:val="231F20"/>
                            <w:w w:val="115"/>
                            <w:sz w:val="10"/>
                          </w:rPr>
                          <w:t>on</w:t>
                        </w:r>
                      </w:p>
                      <w:p w14:paraId="6A537131" w14:textId="77777777" w:rsidR="00080B77" w:rsidRDefault="00080B77">
                        <w:pPr>
                          <w:pStyle w:val="TableParagraph"/>
                          <w:spacing w:before="16" w:line="112" w:lineRule="exact"/>
                          <w:ind w:left="23"/>
                          <w:rPr>
                            <w:sz w:val="10"/>
                          </w:rPr>
                        </w:pPr>
                        <w:r>
                          <w:rPr>
                            <w:color w:val="231F20"/>
                            <w:w w:val="115"/>
                            <w:sz w:val="10"/>
                          </w:rPr>
                          <w:t>current Health Care Financing (HCF) reform</w:t>
                        </w:r>
                      </w:p>
                    </w:tc>
                    <w:tc>
                      <w:tcPr>
                        <w:tcW w:w="1391" w:type="dxa"/>
                        <w:tcBorders>
                          <w:top w:val="single" w:sz="6" w:space="0" w:color="231F20"/>
                          <w:left w:val="single" w:sz="6" w:space="0" w:color="231F20"/>
                          <w:bottom w:val="single" w:sz="6" w:space="0" w:color="231F20"/>
                          <w:right w:val="single" w:sz="6" w:space="0" w:color="231F20"/>
                        </w:tcBorders>
                        <w:shd w:val="clear" w:color="auto" w:fill="CCE7D3"/>
                      </w:tcPr>
                      <w:p w14:paraId="1E2A4BD4" w14:textId="77777777" w:rsidR="00080B77" w:rsidRDefault="00080B77">
                        <w:pPr>
                          <w:pStyle w:val="TableParagraph"/>
                          <w:rPr>
                            <w:rFonts w:ascii="Times New Roman"/>
                            <w:sz w:val="10"/>
                          </w:rPr>
                        </w:pPr>
                      </w:p>
                    </w:tc>
                    <w:tc>
                      <w:tcPr>
                        <w:tcW w:w="1467" w:type="dxa"/>
                        <w:tcBorders>
                          <w:left w:val="single" w:sz="6" w:space="0" w:color="231F20"/>
                          <w:bottom w:val="single" w:sz="6" w:space="0" w:color="231F20"/>
                          <w:right w:val="single" w:sz="6" w:space="0" w:color="231F20"/>
                        </w:tcBorders>
                        <w:shd w:val="clear" w:color="auto" w:fill="CCE7D3"/>
                      </w:tcPr>
                      <w:p w14:paraId="57ABD47D" w14:textId="77777777" w:rsidR="00080B77" w:rsidRDefault="00080B77">
                        <w:pPr>
                          <w:pStyle w:val="TableParagraph"/>
                          <w:rPr>
                            <w:rFonts w:ascii="Times New Roman"/>
                            <w:sz w:val="10"/>
                          </w:rPr>
                        </w:pPr>
                      </w:p>
                    </w:tc>
                  </w:tr>
                  <w:tr w:rsidR="00080B77" w14:paraId="378E5420" w14:textId="77777777">
                    <w:trPr>
                      <w:trHeight w:val="437"/>
                    </w:trPr>
                    <w:tc>
                      <w:tcPr>
                        <w:tcW w:w="1014" w:type="dxa"/>
                        <w:gridSpan w:val="3"/>
                        <w:vMerge w:val="restart"/>
                        <w:tcBorders>
                          <w:top w:val="nil"/>
                          <w:left w:val="single" w:sz="6" w:space="0" w:color="231F20"/>
                          <w:bottom w:val="nil"/>
                          <w:right w:val="single" w:sz="6" w:space="0" w:color="231F20"/>
                        </w:tcBorders>
                      </w:tcPr>
                      <w:p w14:paraId="0393B87F" w14:textId="77777777" w:rsidR="00080B77" w:rsidRDefault="00080B77">
                        <w:pPr>
                          <w:pStyle w:val="TableParagraph"/>
                          <w:rPr>
                            <w:rFonts w:ascii="Times New Roman"/>
                            <w:sz w:val="10"/>
                          </w:rPr>
                        </w:pPr>
                      </w:p>
                    </w:tc>
                    <w:tc>
                      <w:tcPr>
                        <w:tcW w:w="512" w:type="dxa"/>
                        <w:tcBorders>
                          <w:top w:val="single" w:sz="6" w:space="0" w:color="231F20"/>
                          <w:left w:val="single" w:sz="6" w:space="0" w:color="231F20"/>
                          <w:bottom w:val="single" w:sz="6" w:space="0" w:color="231F20"/>
                          <w:right w:val="single" w:sz="6" w:space="0" w:color="231F20"/>
                        </w:tcBorders>
                      </w:tcPr>
                      <w:p w14:paraId="55197F88" w14:textId="77777777" w:rsidR="00080B77" w:rsidRDefault="00080B77">
                        <w:pPr>
                          <w:pStyle w:val="TableParagraph"/>
                          <w:spacing w:before="3"/>
                          <w:rPr>
                            <w:sz w:val="14"/>
                          </w:rPr>
                        </w:pPr>
                      </w:p>
                      <w:p w14:paraId="4E3E625E" w14:textId="77777777" w:rsidR="00080B77" w:rsidRDefault="00080B77">
                        <w:pPr>
                          <w:pStyle w:val="TableParagraph"/>
                          <w:ind w:left="28" w:right="12"/>
                          <w:jc w:val="center"/>
                          <w:rPr>
                            <w:sz w:val="10"/>
                          </w:rPr>
                        </w:pPr>
                        <w:r>
                          <w:rPr>
                            <w:color w:val="231F20"/>
                            <w:w w:val="115"/>
                            <w:sz w:val="10"/>
                          </w:rPr>
                          <w:t>15.1.1.a</w:t>
                        </w:r>
                      </w:p>
                    </w:tc>
                    <w:tc>
                      <w:tcPr>
                        <w:tcW w:w="4772" w:type="dxa"/>
                        <w:gridSpan w:val="2"/>
                        <w:tcBorders>
                          <w:top w:val="single" w:sz="6" w:space="0" w:color="231F20"/>
                          <w:left w:val="single" w:sz="6" w:space="0" w:color="231F20"/>
                          <w:bottom w:val="single" w:sz="6" w:space="0" w:color="231F20"/>
                          <w:right w:val="single" w:sz="6" w:space="0" w:color="231F20"/>
                        </w:tcBorders>
                      </w:tcPr>
                      <w:p w14:paraId="4A508172" w14:textId="77777777" w:rsidR="00080B77" w:rsidRDefault="00080B77">
                        <w:pPr>
                          <w:pStyle w:val="TableParagraph"/>
                          <w:spacing w:before="1"/>
                          <w:rPr>
                            <w:sz w:val="8"/>
                          </w:rPr>
                        </w:pPr>
                      </w:p>
                      <w:p w14:paraId="0D82CF54" w14:textId="77777777" w:rsidR="00080B77" w:rsidRDefault="00080B77">
                        <w:pPr>
                          <w:pStyle w:val="TableParagraph"/>
                          <w:spacing w:line="273" w:lineRule="auto"/>
                          <w:ind w:left="22" w:right="55"/>
                          <w:rPr>
                            <w:sz w:val="10"/>
                          </w:rPr>
                        </w:pPr>
                        <w:r>
                          <w:rPr>
                            <w:color w:val="231F20"/>
                            <w:w w:val="115"/>
                            <w:sz w:val="10"/>
                          </w:rPr>
                          <w:t>Inaugurate &amp; train Technical Working Group (TWG) members on the Health Care Financing Reforms</w:t>
                        </w:r>
                      </w:p>
                    </w:tc>
                    <w:tc>
                      <w:tcPr>
                        <w:tcW w:w="1391" w:type="dxa"/>
                        <w:tcBorders>
                          <w:top w:val="single" w:sz="6" w:space="0" w:color="231F20"/>
                          <w:left w:val="single" w:sz="6" w:space="0" w:color="231F20"/>
                          <w:bottom w:val="single" w:sz="6" w:space="0" w:color="231F20"/>
                          <w:right w:val="single" w:sz="6" w:space="0" w:color="231F20"/>
                        </w:tcBorders>
                      </w:tcPr>
                      <w:p w14:paraId="6E5885FB" w14:textId="77777777" w:rsidR="00080B77" w:rsidRDefault="00080B77">
                        <w:pPr>
                          <w:pStyle w:val="TableParagraph"/>
                          <w:spacing w:before="3"/>
                          <w:rPr>
                            <w:sz w:val="14"/>
                          </w:rPr>
                        </w:pPr>
                      </w:p>
                      <w:p w14:paraId="5518DE6D"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3619D955" w14:textId="77777777" w:rsidR="00080B77" w:rsidRDefault="00080B77">
                        <w:pPr>
                          <w:pStyle w:val="TableParagraph"/>
                          <w:spacing w:before="3"/>
                          <w:rPr>
                            <w:sz w:val="14"/>
                          </w:rPr>
                        </w:pPr>
                      </w:p>
                      <w:p w14:paraId="18B374A3" w14:textId="77777777" w:rsidR="00080B77" w:rsidRDefault="00080B77">
                        <w:pPr>
                          <w:pStyle w:val="TableParagraph"/>
                          <w:ind w:left="26"/>
                          <w:rPr>
                            <w:sz w:val="10"/>
                          </w:rPr>
                        </w:pPr>
                        <w:r>
                          <w:rPr>
                            <w:color w:val="231F20"/>
                            <w:w w:val="115"/>
                            <w:sz w:val="10"/>
                          </w:rPr>
                          <w:t>Inaugurate &amp; train</w:t>
                        </w:r>
                      </w:p>
                    </w:tc>
                  </w:tr>
                  <w:tr w:rsidR="00080B77" w14:paraId="146506ED" w14:textId="77777777">
                    <w:trPr>
                      <w:trHeight w:val="437"/>
                    </w:trPr>
                    <w:tc>
                      <w:tcPr>
                        <w:tcW w:w="1014" w:type="dxa"/>
                        <w:gridSpan w:val="3"/>
                        <w:vMerge/>
                        <w:tcBorders>
                          <w:top w:val="nil"/>
                          <w:left w:val="single" w:sz="6" w:space="0" w:color="231F20"/>
                          <w:bottom w:val="nil"/>
                          <w:right w:val="single" w:sz="6" w:space="0" w:color="231F20"/>
                        </w:tcBorders>
                      </w:tcPr>
                      <w:p w14:paraId="6A3E3154"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6EF75E52" w14:textId="77777777" w:rsidR="00080B77" w:rsidRDefault="00080B77">
                        <w:pPr>
                          <w:pStyle w:val="TableParagraph"/>
                          <w:spacing w:before="3"/>
                          <w:rPr>
                            <w:sz w:val="14"/>
                          </w:rPr>
                        </w:pPr>
                      </w:p>
                      <w:p w14:paraId="22EA64D4" w14:textId="77777777" w:rsidR="00080B77" w:rsidRDefault="00080B77">
                        <w:pPr>
                          <w:pStyle w:val="TableParagraph"/>
                          <w:ind w:left="28" w:right="12"/>
                          <w:jc w:val="center"/>
                          <w:rPr>
                            <w:sz w:val="10"/>
                          </w:rPr>
                        </w:pPr>
                        <w:r>
                          <w:rPr>
                            <w:color w:val="231F20"/>
                            <w:w w:val="115"/>
                            <w:sz w:val="10"/>
                          </w:rPr>
                          <w:t>15.1.1.b</w:t>
                        </w:r>
                      </w:p>
                    </w:tc>
                    <w:tc>
                      <w:tcPr>
                        <w:tcW w:w="4772" w:type="dxa"/>
                        <w:gridSpan w:val="2"/>
                        <w:tcBorders>
                          <w:top w:val="single" w:sz="6" w:space="0" w:color="231F20"/>
                          <w:left w:val="single" w:sz="6" w:space="0" w:color="231F20"/>
                          <w:bottom w:val="single" w:sz="6" w:space="0" w:color="231F20"/>
                          <w:right w:val="single" w:sz="6" w:space="0" w:color="231F20"/>
                        </w:tcBorders>
                      </w:tcPr>
                      <w:p w14:paraId="152AE85E" w14:textId="77777777" w:rsidR="00080B77" w:rsidRDefault="00080B77">
                        <w:pPr>
                          <w:pStyle w:val="TableParagraph"/>
                          <w:spacing w:before="13" w:line="130" w:lineRule="atLeast"/>
                          <w:ind w:left="22" w:right="317"/>
                          <w:jc w:val="both"/>
                          <w:rPr>
                            <w:sz w:val="10"/>
                          </w:rPr>
                        </w:pPr>
                        <w:r>
                          <w:rPr>
                            <w:color w:val="231F20"/>
                            <w:w w:val="115"/>
                            <w:sz w:val="10"/>
                          </w:rPr>
                          <w:t>Conduct advocacy to the Commissioner &amp; Permanent Secretary MOH on State Health Insurance &amp; the need for creating Health Financing Equity &amp; Investment Unit (HFU) as recommended by the FMOH</w:t>
                        </w:r>
                      </w:p>
                    </w:tc>
                    <w:tc>
                      <w:tcPr>
                        <w:tcW w:w="1391" w:type="dxa"/>
                        <w:tcBorders>
                          <w:top w:val="single" w:sz="6" w:space="0" w:color="231F20"/>
                          <w:left w:val="single" w:sz="6" w:space="0" w:color="231F20"/>
                          <w:bottom w:val="single" w:sz="6" w:space="0" w:color="231F20"/>
                          <w:right w:val="single" w:sz="6" w:space="0" w:color="231F20"/>
                        </w:tcBorders>
                      </w:tcPr>
                      <w:p w14:paraId="2A211F56" w14:textId="77777777" w:rsidR="00080B77" w:rsidRDefault="00080B77">
                        <w:pPr>
                          <w:pStyle w:val="TableParagraph"/>
                          <w:spacing w:before="3"/>
                          <w:rPr>
                            <w:sz w:val="14"/>
                          </w:rPr>
                        </w:pPr>
                      </w:p>
                      <w:p w14:paraId="53BC0121"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6E84357D" w14:textId="77777777" w:rsidR="00080B77" w:rsidRDefault="00080B77">
                        <w:pPr>
                          <w:pStyle w:val="TableParagraph"/>
                          <w:spacing w:before="3"/>
                          <w:rPr>
                            <w:sz w:val="14"/>
                          </w:rPr>
                        </w:pPr>
                      </w:p>
                      <w:p w14:paraId="6104E8D4" w14:textId="77777777" w:rsidR="00080B77" w:rsidRDefault="00080B77">
                        <w:pPr>
                          <w:pStyle w:val="TableParagraph"/>
                          <w:ind w:left="26"/>
                          <w:rPr>
                            <w:sz w:val="10"/>
                          </w:rPr>
                        </w:pPr>
                        <w:r>
                          <w:rPr>
                            <w:color w:val="231F20"/>
                            <w:w w:val="115"/>
                            <w:sz w:val="10"/>
                          </w:rPr>
                          <w:t>Conduct advocacy</w:t>
                        </w:r>
                      </w:p>
                    </w:tc>
                  </w:tr>
                  <w:tr w:rsidR="00080B77" w14:paraId="43EB19B5" w14:textId="77777777">
                    <w:trPr>
                      <w:trHeight w:val="379"/>
                    </w:trPr>
                    <w:tc>
                      <w:tcPr>
                        <w:tcW w:w="1014" w:type="dxa"/>
                        <w:gridSpan w:val="3"/>
                        <w:vMerge/>
                        <w:tcBorders>
                          <w:top w:val="nil"/>
                          <w:left w:val="single" w:sz="6" w:space="0" w:color="231F20"/>
                          <w:bottom w:val="nil"/>
                          <w:right w:val="single" w:sz="6" w:space="0" w:color="231F20"/>
                        </w:tcBorders>
                      </w:tcPr>
                      <w:p w14:paraId="02C779E2"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399B8707" w14:textId="77777777" w:rsidR="00080B77" w:rsidRDefault="00080B77">
                        <w:pPr>
                          <w:pStyle w:val="TableParagraph"/>
                          <w:spacing w:before="8"/>
                          <w:rPr>
                            <w:sz w:val="11"/>
                          </w:rPr>
                        </w:pPr>
                      </w:p>
                      <w:p w14:paraId="1E97ECAB" w14:textId="77777777" w:rsidR="00080B77" w:rsidRDefault="00080B77">
                        <w:pPr>
                          <w:pStyle w:val="TableParagraph"/>
                          <w:ind w:left="28" w:right="12"/>
                          <w:jc w:val="center"/>
                          <w:rPr>
                            <w:sz w:val="10"/>
                          </w:rPr>
                        </w:pPr>
                        <w:r>
                          <w:rPr>
                            <w:color w:val="231F20"/>
                            <w:w w:val="115"/>
                            <w:sz w:val="10"/>
                          </w:rPr>
                          <w:t>15.1.1.c</w:t>
                        </w:r>
                      </w:p>
                    </w:tc>
                    <w:tc>
                      <w:tcPr>
                        <w:tcW w:w="4772" w:type="dxa"/>
                        <w:gridSpan w:val="2"/>
                        <w:tcBorders>
                          <w:top w:val="single" w:sz="6" w:space="0" w:color="231F20"/>
                          <w:left w:val="single" w:sz="6" w:space="0" w:color="231F20"/>
                          <w:bottom w:val="single" w:sz="6" w:space="0" w:color="231F20"/>
                          <w:right w:val="single" w:sz="6" w:space="0" w:color="231F20"/>
                        </w:tcBorders>
                      </w:tcPr>
                      <w:p w14:paraId="455F0D6D" w14:textId="77777777" w:rsidR="00080B77" w:rsidRDefault="00080B77">
                        <w:pPr>
                          <w:pStyle w:val="TableParagraph"/>
                          <w:spacing w:before="3"/>
                          <w:ind w:left="22"/>
                          <w:rPr>
                            <w:sz w:val="10"/>
                          </w:rPr>
                        </w:pPr>
                        <w:r>
                          <w:rPr>
                            <w:color w:val="231F20"/>
                            <w:w w:val="115"/>
                            <w:sz w:val="10"/>
                          </w:rPr>
                          <w:t>Cost for engaging and supervising the contractor to equip Health Financing Equity &amp;</w:t>
                        </w:r>
                      </w:p>
                      <w:p w14:paraId="6A92D601" w14:textId="77777777" w:rsidR="00080B77" w:rsidRDefault="00080B77">
                        <w:pPr>
                          <w:pStyle w:val="TableParagraph"/>
                          <w:spacing w:before="2" w:line="130" w:lineRule="atLeast"/>
                          <w:ind w:left="22"/>
                          <w:rPr>
                            <w:sz w:val="10"/>
                          </w:rPr>
                        </w:pPr>
                        <w:r>
                          <w:rPr>
                            <w:color w:val="231F20"/>
                            <w:w w:val="115"/>
                            <w:sz w:val="10"/>
                          </w:rPr>
                          <w:t>Investment Unit to analyzing equity and efficiency of different healthcare financing mechanisms.</w:t>
                        </w:r>
                      </w:p>
                    </w:tc>
                    <w:tc>
                      <w:tcPr>
                        <w:tcW w:w="1391" w:type="dxa"/>
                        <w:tcBorders>
                          <w:top w:val="single" w:sz="6" w:space="0" w:color="231F20"/>
                          <w:left w:val="single" w:sz="6" w:space="0" w:color="231F20"/>
                          <w:bottom w:val="single" w:sz="6" w:space="0" w:color="231F20"/>
                          <w:right w:val="single" w:sz="6" w:space="0" w:color="231F20"/>
                        </w:tcBorders>
                      </w:tcPr>
                      <w:p w14:paraId="1E28C22D" w14:textId="77777777" w:rsidR="00080B77" w:rsidRDefault="00080B77">
                        <w:pPr>
                          <w:pStyle w:val="TableParagraph"/>
                          <w:spacing w:before="8"/>
                          <w:rPr>
                            <w:sz w:val="11"/>
                          </w:rPr>
                        </w:pPr>
                      </w:p>
                      <w:p w14:paraId="1CADFBB6"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599E33E8" w14:textId="77777777" w:rsidR="00080B77" w:rsidRDefault="00080B77">
                        <w:pPr>
                          <w:pStyle w:val="TableParagraph"/>
                          <w:spacing w:before="8"/>
                          <w:rPr>
                            <w:sz w:val="11"/>
                          </w:rPr>
                        </w:pPr>
                      </w:p>
                      <w:p w14:paraId="253A2D5D" w14:textId="77777777" w:rsidR="00080B77" w:rsidRDefault="00080B77">
                        <w:pPr>
                          <w:pStyle w:val="TableParagraph"/>
                          <w:ind w:left="26"/>
                          <w:rPr>
                            <w:sz w:val="10"/>
                          </w:rPr>
                        </w:pPr>
                        <w:r>
                          <w:rPr>
                            <w:color w:val="231F20"/>
                            <w:w w:val="115"/>
                            <w:sz w:val="10"/>
                          </w:rPr>
                          <w:t>Costed in OHT</w:t>
                        </w:r>
                      </w:p>
                    </w:tc>
                  </w:tr>
                  <w:tr w:rsidR="00080B77" w14:paraId="1E750F17" w14:textId="77777777">
                    <w:trPr>
                      <w:trHeight w:val="386"/>
                    </w:trPr>
                    <w:tc>
                      <w:tcPr>
                        <w:tcW w:w="1014" w:type="dxa"/>
                        <w:gridSpan w:val="3"/>
                        <w:vMerge/>
                        <w:tcBorders>
                          <w:top w:val="nil"/>
                          <w:left w:val="single" w:sz="6" w:space="0" w:color="231F20"/>
                          <w:bottom w:val="nil"/>
                          <w:right w:val="single" w:sz="6" w:space="0" w:color="231F20"/>
                        </w:tcBorders>
                      </w:tcPr>
                      <w:p w14:paraId="2D461530"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74A7A382" w14:textId="77777777" w:rsidR="00080B77" w:rsidRDefault="00080B77">
                        <w:pPr>
                          <w:pStyle w:val="TableParagraph"/>
                          <w:rPr>
                            <w:sz w:val="12"/>
                          </w:rPr>
                        </w:pPr>
                      </w:p>
                      <w:p w14:paraId="5E38A098" w14:textId="77777777" w:rsidR="00080B77" w:rsidRDefault="00080B77">
                        <w:pPr>
                          <w:pStyle w:val="TableParagraph"/>
                          <w:ind w:left="28" w:right="12"/>
                          <w:jc w:val="center"/>
                          <w:rPr>
                            <w:sz w:val="10"/>
                          </w:rPr>
                        </w:pPr>
                        <w:r>
                          <w:rPr>
                            <w:color w:val="231F20"/>
                            <w:w w:val="115"/>
                            <w:sz w:val="10"/>
                          </w:rPr>
                          <w:t>15.1.1.d</w:t>
                        </w:r>
                      </w:p>
                    </w:tc>
                    <w:tc>
                      <w:tcPr>
                        <w:tcW w:w="4772" w:type="dxa"/>
                        <w:gridSpan w:val="2"/>
                        <w:tcBorders>
                          <w:top w:val="single" w:sz="6" w:space="0" w:color="231F20"/>
                          <w:left w:val="single" w:sz="6" w:space="0" w:color="231F20"/>
                          <w:bottom w:val="single" w:sz="6" w:space="0" w:color="231F20"/>
                          <w:right w:val="single" w:sz="6" w:space="0" w:color="231F20"/>
                        </w:tcBorders>
                      </w:tcPr>
                      <w:p w14:paraId="3D75D67D" w14:textId="77777777" w:rsidR="00080B77" w:rsidRDefault="00080B77">
                        <w:pPr>
                          <w:pStyle w:val="TableParagraph"/>
                          <w:spacing w:before="7"/>
                          <w:rPr>
                            <w:sz w:val="11"/>
                          </w:rPr>
                        </w:pPr>
                      </w:p>
                      <w:p w14:paraId="6CB24922" w14:textId="77777777" w:rsidR="00080B77" w:rsidRDefault="00080B77">
                        <w:pPr>
                          <w:pStyle w:val="TableParagraph"/>
                          <w:ind w:left="22"/>
                          <w:rPr>
                            <w:sz w:val="10"/>
                          </w:rPr>
                        </w:pPr>
                        <w:r>
                          <w:rPr>
                            <w:color w:val="231F20"/>
                            <w:w w:val="115"/>
                            <w:sz w:val="10"/>
                          </w:rPr>
                          <w:t>Train &amp; re-train personnel on current Health Care Financing (HCF) reforms</w:t>
                        </w:r>
                      </w:p>
                    </w:tc>
                    <w:tc>
                      <w:tcPr>
                        <w:tcW w:w="1391" w:type="dxa"/>
                        <w:tcBorders>
                          <w:top w:val="single" w:sz="6" w:space="0" w:color="231F20"/>
                          <w:left w:val="single" w:sz="6" w:space="0" w:color="231F20"/>
                          <w:bottom w:val="single" w:sz="6" w:space="0" w:color="231F20"/>
                          <w:right w:val="single" w:sz="6" w:space="0" w:color="231F20"/>
                        </w:tcBorders>
                      </w:tcPr>
                      <w:p w14:paraId="0EAC8162" w14:textId="77777777" w:rsidR="00080B77" w:rsidRDefault="00080B77">
                        <w:pPr>
                          <w:pStyle w:val="TableParagraph"/>
                          <w:rPr>
                            <w:sz w:val="12"/>
                          </w:rPr>
                        </w:pPr>
                      </w:p>
                      <w:p w14:paraId="0AEC52F6"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27377059" w14:textId="77777777" w:rsidR="00080B77" w:rsidRDefault="00080B77">
                        <w:pPr>
                          <w:pStyle w:val="TableParagraph"/>
                          <w:rPr>
                            <w:sz w:val="12"/>
                          </w:rPr>
                        </w:pPr>
                      </w:p>
                      <w:p w14:paraId="14DDDD07" w14:textId="77777777" w:rsidR="00080B77" w:rsidRDefault="00080B77">
                        <w:pPr>
                          <w:pStyle w:val="TableParagraph"/>
                          <w:ind w:left="26"/>
                          <w:rPr>
                            <w:sz w:val="10"/>
                          </w:rPr>
                        </w:pPr>
                        <w:r>
                          <w:rPr>
                            <w:color w:val="231F20"/>
                            <w:w w:val="115"/>
                            <w:sz w:val="10"/>
                          </w:rPr>
                          <w:t>Train &amp; re-train</w:t>
                        </w:r>
                      </w:p>
                    </w:tc>
                  </w:tr>
                  <w:tr w:rsidR="00080B77" w14:paraId="06C82C97" w14:textId="77777777">
                    <w:trPr>
                      <w:trHeight w:val="217"/>
                    </w:trPr>
                    <w:tc>
                      <w:tcPr>
                        <w:tcW w:w="1014" w:type="dxa"/>
                        <w:gridSpan w:val="3"/>
                        <w:vMerge/>
                        <w:tcBorders>
                          <w:top w:val="nil"/>
                          <w:left w:val="single" w:sz="6" w:space="0" w:color="231F20"/>
                          <w:bottom w:val="nil"/>
                          <w:right w:val="single" w:sz="6" w:space="0" w:color="231F20"/>
                        </w:tcBorders>
                      </w:tcPr>
                      <w:p w14:paraId="0BD0AC04"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5F63D3F1" w14:textId="77777777" w:rsidR="00080B77" w:rsidRDefault="00080B77">
                        <w:pPr>
                          <w:pStyle w:val="TableParagraph"/>
                          <w:spacing w:before="54"/>
                          <w:ind w:left="28" w:right="12"/>
                          <w:jc w:val="center"/>
                          <w:rPr>
                            <w:sz w:val="10"/>
                          </w:rPr>
                        </w:pPr>
                        <w:r>
                          <w:rPr>
                            <w:color w:val="231F20"/>
                            <w:w w:val="115"/>
                            <w:sz w:val="10"/>
                          </w:rPr>
                          <w:t>15.1.1.e</w:t>
                        </w:r>
                      </w:p>
                    </w:tc>
                    <w:tc>
                      <w:tcPr>
                        <w:tcW w:w="4772" w:type="dxa"/>
                        <w:gridSpan w:val="2"/>
                        <w:tcBorders>
                          <w:top w:val="single" w:sz="6" w:space="0" w:color="231F20"/>
                          <w:left w:val="single" w:sz="6" w:space="0" w:color="231F20"/>
                          <w:bottom w:val="single" w:sz="6" w:space="0" w:color="231F20"/>
                          <w:right w:val="single" w:sz="6" w:space="0" w:color="231F20"/>
                        </w:tcBorders>
                      </w:tcPr>
                      <w:p w14:paraId="13C6B120" w14:textId="77777777" w:rsidR="00080B77" w:rsidRDefault="00080B77">
                        <w:pPr>
                          <w:pStyle w:val="TableParagraph"/>
                          <w:spacing w:before="3"/>
                          <w:ind w:left="22"/>
                          <w:rPr>
                            <w:sz w:val="10"/>
                          </w:rPr>
                        </w:pPr>
                        <w:r>
                          <w:rPr>
                            <w:color w:val="231F20"/>
                            <w:w w:val="115"/>
                            <w:sz w:val="10"/>
                          </w:rPr>
                          <w:t>Operational cost for engaging and supervising the contractor to provide vehicles for the</w:t>
                        </w:r>
                      </w:p>
                      <w:p w14:paraId="4885D3AB" w14:textId="77777777" w:rsidR="00080B77" w:rsidRDefault="00080B77">
                        <w:pPr>
                          <w:pStyle w:val="TableParagraph"/>
                          <w:spacing w:before="17" w:line="62" w:lineRule="exact"/>
                          <w:ind w:left="22"/>
                          <w:rPr>
                            <w:sz w:val="10"/>
                          </w:rPr>
                        </w:pPr>
                        <w:r>
                          <w:rPr>
                            <w:color w:val="231F20"/>
                            <w:w w:val="115"/>
                            <w:sz w:val="10"/>
                          </w:rPr>
                          <w:t>operations of the unit</w:t>
                        </w:r>
                      </w:p>
                    </w:tc>
                    <w:tc>
                      <w:tcPr>
                        <w:tcW w:w="1391" w:type="dxa"/>
                        <w:tcBorders>
                          <w:top w:val="single" w:sz="6" w:space="0" w:color="231F20"/>
                          <w:left w:val="single" w:sz="6" w:space="0" w:color="231F20"/>
                          <w:bottom w:val="single" w:sz="6" w:space="0" w:color="231F20"/>
                          <w:right w:val="single" w:sz="6" w:space="0" w:color="231F20"/>
                        </w:tcBorders>
                      </w:tcPr>
                      <w:p w14:paraId="5116260E" w14:textId="77777777" w:rsidR="00080B77" w:rsidRDefault="00080B77">
                        <w:pPr>
                          <w:pStyle w:val="TableParagraph"/>
                          <w:spacing w:before="54"/>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59BEC63E" w14:textId="77777777" w:rsidR="00080B77" w:rsidRDefault="00080B77">
                        <w:pPr>
                          <w:pStyle w:val="TableParagraph"/>
                          <w:spacing w:before="54"/>
                          <w:ind w:left="26"/>
                          <w:rPr>
                            <w:sz w:val="10"/>
                          </w:rPr>
                        </w:pPr>
                        <w:r>
                          <w:rPr>
                            <w:color w:val="231F20"/>
                            <w:w w:val="115"/>
                            <w:sz w:val="10"/>
                          </w:rPr>
                          <w:t>Costed in OHT</w:t>
                        </w:r>
                      </w:p>
                    </w:tc>
                  </w:tr>
                  <w:tr w:rsidR="00080B77" w14:paraId="6074F181" w14:textId="77777777">
                    <w:trPr>
                      <w:trHeight w:val="677"/>
                    </w:trPr>
                    <w:tc>
                      <w:tcPr>
                        <w:tcW w:w="571" w:type="dxa"/>
                        <w:gridSpan w:val="2"/>
                        <w:tcBorders>
                          <w:top w:val="nil"/>
                          <w:left w:val="single" w:sz="6" w:space="0" w:color="231F20"/>
                          <w:bottom w:val="nil"/>
                          <w:right w:val="single" w:sz="6" w:space="0" w:color="231F20"/>
                        </w:tcBorders>
                      </w:tcPr>
                      <w:p w14:paraId="48635E31" w14:textId="77777777" w:rsidR="00080B77" w:rsidRDefault="00080B77">
                        <w:pPr>
                          <w:pStyle w:val="TableParagraph"/>
                          <w:rPr>
                            <w:rFonts w:ascii="Times New Roman"/>
                            <w:sz w:val="10"/>
                          </w:rPr>
                        </w:pPr>
                      </w:p>
                    </w:tc>
                    <w:tc>
                      <w:tcPr>
                        <w:tcW w:w="443" w:type="dxa"/>
                        <w:tcBorders>
                          <w:top w:val="single" w:sz="6" w:space="0" w:color="231F20"/>
                          <w:left w:val="single" w:sz="6" w:space="0" w:color="231F20"/>
                          <w:bottom w:val="single" w:sz="6" w:space="0" w:color="231F20"/>
                          <w:right w:val="single" w:sz="6" w:space="0" w:color="231F20"/>
                        </w:tcBorders>
                        <w:shd w:val="clear" w:color="auto" w:fill="CCE7D3"/>
                      </w:tcPr>
                      <w:p w14:paraId="272166A1" w14:textId="77777777" w:rsidR="00080B77" w:rsidRDefault="00080B77">
                        <w:pPr>
                          <w:pStyle w:val="TableParagraph"/>
                          <w:rPr>
                            <w:sz w:val="10"/>
                          </w:rPr>
                        </w:pPr>
                      </w:p>
                      <w:p w14:paraId="476AE662" w14:textId="77777777" w:rsidR="00080B77" w:rsidRDefault="00080B77">
                        <w:pPr>
                          <w:pStyle w:val="TableParagraph"/>
                          <w:spacing w:before="7"/>
                          <w:rPr>
                            <w:sz w:val="14"/>
                          </w:rPr>
                        </w:pPr>
                      </w:p>
                      <w:p w14:paraId="6B152AC5" w14:textId="77777777" w:rsidR="00080B77" w:rsidRDefault="00080B77">
                        <w:pPr>
                          <w:pStyle w:val="TableParagraph"/>
                          <w:spacing w:before="1"/>
                          <w:ind w:left="34" w:right="34"/>
                          <w:jc w:val="center"/>
                          <w:rPr>
                            <w:sz w:val="10"/>
                          </w:rPr>
                        </w:pPr>
                        <w:r>
                          <w:rPr>
                            <w:color w:val="231F20"/>
                            <w:w w:val="115"/>
                            <w:sz w:val="10"/>
                          </w:rPr>
                          <w:t>15.1.2</w:t>
                        </w:r>
                      </w:p>
                    </w:tc>
                    <w:tc>
                      <w:tcPr>
                        <w:tcW w:w="2960" w:type="dxa"/>
                        <w:gridSpan w:val="2"/>
                        <w:tcBorders>
                          <w:top w:val="single" w:sz="6" w:space="0" w:color="231F20"/>
                          <w:left w:val="single" w:sz="6" w:space="0" w:color="231F20"/>
                          <w:bottom w:val="single" w:sz="6" w:space="0" w:color="231F20"/>
                          <w:right w:val="single" w:sz="6" w:space="0" w:color="231F20"/>
                        </w:tcBorders>
                        <w:shd w:val="clear" w:color="auto" w:fill="CCE7D3"/>
                      </w:tcPr>
                      <w:p w14:paraId="2616BA5C" w14:textId="77777777" w:rsidR="00080B77" w:rsidRDefault="00080B77">
                        <w:pPr>
                          <w:pStyle w:val="TableParagraph"/>
                          <w:rPr>
                            <w:sz w:val="10"/>
                          </w:rPr>
                        </w:pPr>
                      </w:p>
                      <w:p w14:paraId="50F81963" w14:textId="77777777" w:rsidR="00080B77" w:rsidRDefault="00080B77">
                        <w:pPr>
                          <w:pStyle w:val="TableParagraph"/>
                          <w:spacing w:before="6"/>
                          <w:rPr>
                            <w:sz w:val="8"/>
                          </w:rPr>
                        </w:pPr>
                      </w:p>
                      <w:p w14:paraId="58F2CD1F" w14:textId="77777777" w:rsidR="00080B77" w:rsidRDefault="00080B77">
                        <w:pPr>
                          <w:pStyle w:val="TableParagraph"/>
                          <w:spacing w:line="273" w:lineRule="auto"/>
                          <w:ind w:left="21" w:firstLine="32"/>
                          <w:rPr>
                            <w:sz w:val="10"/>
                          </w:rPr>
                        </w:pPr>
                        <w:r>
                          <w:rPr>
                            <w:color w:val="231F20"/>
                            <w:w w:val="115"/>
                            <w:sz w:val="10"/>
                          </w:rPr>
                          <w:t>Strengthen Coordination Frameworks and TWGs for health financing at Federal, 36 States, and FCT</w:t>
                        </w:r>
                      </w:p>
                    </w:tc>
                    <w:tc>
                      <w:tcPr>
                        <w:tcW w:w="2324" w:type="dxa"/>
                        <w:tcBorders>
                          <w:top w:val="single" w:sz="6" w:space="0" w:color="231F20"/>
                          <w:left w:val="single" w:sz="6" w:space="0" w:color="231F20"/>
                          <w:bottom w:val="single" w:sz="6" w:space="0" w:color="231F20"/>
                          <w:right w:val="single" w:sz="6" w:space="0" w:color="231F20"/>
                        </w:tcBorders>
                        <w:shd w:val="clear" w:color="auto" w:fill="CCE7D3"/>
                      </w:tcPr>
                      <w:p w14:paraId="75B3F626" w14:textId="77777777" w:rsidR="00080B77" w:rsidRDefault="00080B77">
                        <w:pPr>
                          <w:pStyle w:val="TableParagraph"/>
                          <w:numPr>
                            <w:ilvl w:val="0"/>
                            <w:numId w:val="15"/>
                          </w:numPr>
                          <w:tabs>
                            <w:tab w:val="left" w:pos="91"/>
                          </w:tabs>
                          <w:spacing w:before="20" w:line="273" w:lineRule="auto"/>
                          <w:ind w:right="11" w:firstLine="0"/>
                          <w:rPr>
                            <w:sz w:val="10"/>
                          </w:rPr>
                        </w:pPr>
                        <w:r>
                          <w:rPr>
                            <w:color w:val="231F20"/>
                            <w:w w:val="115"/>
                            <w:sz w:val="10"/>
                          </w:rPr>
                          <w:t>Advocate for the implementation of Health Financing Equity framework/guidelines</w:t>
                        </w:r>
                        <w:r>
                          <w:rPr>
                            <w:color w:val="231F20"/>
                            <w:spacing w:val="11"/>
                            <w:w w:val="115"/>
                            <w:sz w:val="10"/>
                          </w:rPr>
                          <w:t xml:space="preserve"> </w:t>
                        </w:r>
                        <w:r>
                          <w:rPr>
                            <w:color w:val="231F20"/>
                            <w:spacing w:val="-4"/>
                            <w:w w:val="115"/>
                            <w:sz w:val="10"/>
                          </w:rPr>
                          <w:t>done</w:t>
                        </w:r>
                      </w:p>
                      <w:p w14:paraId="13F7127C" w14:textId="77777777" w:rsidR="00080B77" w:rsidRDefault="00080B77">
                        <w:pPr>
                          <w:pStyle w:val="TableParagraph"/>
                          <w:numPr>
                            <w:ilvl w:val="0"/>
                            <w:numId w:val="15"/>
                          </w:numPr>
                          <w:tabs>
                            <w:tab w:val="left" w:pos="66"/>
                          </w:tabs>
                          <w:spacing w:before="1" w:line="273" w:lineRule="auto"/>
                          <w:ind w:right="150" w:firstLine="0"/>
                          <w:rPr>
                            <w:sz w:val="10"/>
                          </w:rPr>
                        </w:pPr>
                        <w:r>
                          <w:rPr>
                            <w:color w:val="231F20"/>
                            <w:w w:val="115"/>
                            <w:sz w:val="10"/>
                          </w:rPr>
                          <w:t>HCF implementation strategies designed and</w:t>
                        </w:r>
                        <w:r>
                          <w:rPr>
                            <w:color w:val="231F20"/>
                            <w:spacing w:val="-1"/>
                            <w:w w:val="115"/>
                            <w:sz w:val="10"/>
                          </w:rPr>
                          <w:t xml:space="preserve"> </w:t>
                        </w:r>
                        <w:r>
                          <w:rPr>
                            <w:color w:val="231F20"/>
                            <w:w w:val="115"/>
                            <w:sz w:val="10"/>
                          </w:rPr>
                          <w:t>developed</w:t>
                        </w:r>
                      </w:p>
                      <w:p w14:paraId="088CCA22" w14:textId="77777777" w:rsidR="00080B77" w:rsidRDefault="00080B77">
                        <w:pPr>
                          <w:pStyle w:val="TableParagraph"/>
                          <w:numPr>
                            <w:ilvl w:val="0"/>
                            <w:numId w:val="15"/>
                          </w:numPr>
                          <w:tabs>
                            <w:tab w:val="left" w:pos="97"/>
                          </w:tabs>
                          <w:spacing w:before="1" w:line="110" w:lineRule="exact"/>
                          <w:ind w:left="96" w:hanging="74"/>
                          <w:rPr>
                            <w:sz w:val="10"/>
                          </w:rPr>
                        </w:pPr>
                        <w:r>
                          <w:rPr>
                            <w:color w:val="231F20"/>
                            <w:w w:val="115"/>
                            <w:sz w:val="10"/>
                          </w:rPr>
                          <w:t>TWG members</w:t>
                        </w:r>
                        <w:r>
                          <w:rPr>
                            <w:color w:val="231F20"/>
                            <w:spacing w:val="-1"/>
                            <w:w w:val="115"/>
                            <w:sz w:val="10"/>
                          </w:rPr>
                          <w:t xml:space="preserve"> </w:t>
                        </w:r>
                        <w:r>
                          <w:rPr>
                            <w:color w:val="231F20"/>
                            <w:w w:val="115"/>
                            <w:sz w:val="10"/>
                          </w:rPr>
                          <w:t>trained</w:t>
                        </w:r>
                      </w:p>
                    </w:tc>
                    <w:tc>
                      <w:tcPr>
                        <w:tcW w:w="1391" w:type="dxa"/>
                        <w:tcBorders>
                          <w:top w:val="single" w:sz="6" w:space="0" w:color="231F20"/>
                          <w:left w:val="single" w:sz="6" w:space="0" w:color="231F20"/>
                          <w:bottom w:val="single" w:sz="6" w:space="0" w:color="231F20"/>
                          <w:right w:val="single" w:sz="6" w:space="0" w:color="231F20"/>
                        </w:tcBorders>
                        <w:shd w:val="clear" w:color="auto" w:fill="CCE7D3"/>
                      </w:tcPr>
                      <w:p w14:paraId="1C333ED7" w14:textId="77777777" w:rsidR="00080B77" w:rsidRDefault="00080B77">
                        <w:pPr>
                          <w:pStyle w:val="TableParagraph"/>
                          <w:rPr>
                            <w:rFonts w:ascii="Times New Roman"/>
                            <w:sz w:val="10"/>
                          </w:rPr>
                        </w:pPr>
                      </w:p>
                    </w:tc>
                    <w:tc>
                      <w:tcPr>
                        <w:tcW w:w="1467" w:type="dxa"/>
                        <w:tcBorders>
                          <w:top w:val="single" w:sz="6" w:space="0" w:color="231F20"/>
                          <w:left w:val="single" w:sz="6" w:space="0" w:color="231F20"/>
                          <w:bottom w:val="single" w:sz="6" w:space="0" w:color="231F20"/>
                          <w:right w:val="single" w:sz="6" w:space="0" w:color="231F20"/>
                        </w:tcBorders>
                        <w:shd w:val="clear" w:color="auto" w:fill="CCE7D3"/>
                      </w:tcPr>
                      <w:p w14:paraId="74FE7254" w14:textId="77777777" w:rsidR="00080B77" w:rsidRDefault="00080B77">
                        <w:pPr>
                          <w:pStyle w:val="TableParagraph"/>
                          <w:rPr>
                            <w:rFonts w:ascii="Times New Roman"/>
                            <w:sz w:val="10"/>
                          </w:rPr>
                        </w:pPr>
                      </w:p>
                    </w:tc>
                  </w:tr>
                  <w:tr w:rsidR="00080B77" w14:paraId="0495C052" w14:textId="77777777">
                    <w:trPr>
                      <w:trHeight w:val="386"/>
                    </w:trPr>
                    <w:tc>
                      <w:tcPr>
                        <w:tcW w:w="1014" w:type="dxa"/>
                        <w:gridSpan w:val="3"/>
                        <w:vMerge w:val="restart"/>
                        <w:tcBorders>
                          <w:top w:val="nil"/>
                          <w:left w:val="single" w:sz="6" w:space="0" w:color="231F20"/>
                          <w:bottom w:val="nil"/>
                          <w:right w:val="single" w:sz="6" w:space="0" w:color="231F20"/>
                        </w:tcBorders>
                      </w:tcPr>
                      <w:p w14:paraId="0161DEC6" w14:textId="77777777" w:rsidR="00080B77" w:rsidRDefault="00080B77">
                        <w:pPr>
                          <w:pStyle w:val="TableParagraph"/>
                          <w:rPr>
                            <w:rFonts w:ascii="Times New Roman"/>
                            <w:sz w:val="10"/>
                          </w:rPr>
                        </w:pPr>
                      </w:p>
                    </w:tc>
                    <w:tc>
                      <w:tcPr>
                        <w:tcW w:w="512" w:type="dxa"/>
                        <w:tcBorders>
                          <w:top w:val="single" w:sz="6" w:space="0" w:color="231F20"/>
                          <w:left w:val="single" w:sz="6" w:space="0" w:color="231F20"/>
                          <w:bottom w:val="single" w:sz="6" w:space="0" w:color="231F20"/>
                          <w:right w:val="single" w:sz="6" w:space="0" w:color="231F20"/>
                        </w:tcBorders>
                      </w:tcPr>
                      <w:p w14:paraId="22ABFD8A" w14:textId="77777777" w:rsidR="00080B77" w:rsidRDefault="00080B77">
                        <w:pPr>
                          <w:pStyle w:val="TableParagraph"/>
                          <w:rPr>
                            <w:sz w:val="12"/>
                          </w:rPr>
                        </w:pPr>
                      </w:p>
                      <w:p w14:paraId="3B2A6609" w14:textId="77777777" w:rsidR="00080B77" w:rsidRDefault="00080B77">
                        <w:pPr>
                          <w:pStyle w:val="TableParagraph"/>
                          <w:ind w:left="28" w:right="12"/>
                          <w:jc w:val="center"/>
                          <w:rPr>
                            <w:sz w:val="10"/>
                          </w:rPr>
                        </w:pPr>
                        <w:r>
                          <w:rPr>
                            <w:color w:val="231F20"/>
                            <w:w w:val="115"/>
                            <w:sz w:val="10"/>
                          </w:rPr>
                          <w:t>15.1.2.a</w:t>
                        </w:r>
                      </w:p>
                    </w:tc>
                    <w:tc>
                      <w:tcPr>
                        <w:tcW w:w="4772" w:type="dxa"/>
                        <w:gridSpan w:val="2"/>
                        <w:tcBorders>
                          <w:top w:val="single" w:sz="6" w:space="0" w:color="231F20"/>
                          <w:left w:val="single" w:sz="6" w:space="0" w:color="231F20"/>
                          <w:bottom w:val="single" w:sz="6" w:space="0" w:color="231F20"/>
                          <w:right w:val="single" w:sz="6" w:space="0" w:color="231F20"/>
                        </w:tcBorders>
                      </w:tcPr>
                      <w:p w14:paraId="64993083" w14:textId="77777777" w:rsidR="00080B77" w:rsidRDefault="00080B77">
                        <w:pPr>
                          <w:pStyle w:val="TableParagraph"/>
                          <w:spacing w:before="7"/>
                          <w:rPr>
                            <w:sz w:val="11"/>
                          </w:rPr>
                        </w:pPr>
                      </w:p>
                      <w:p w14:paraId="63E6ED73" w14:textId="77777777" w:rsidR="00080B77" w:rsidRDefault="00080B77">
                        <w:pPr>
                          <w:pStyle w:val="TableParagraph"/>
                          <w:ind w:left="22"/>
                          <w:rPr>
                            <w:sz w:val="10"/>
                          </w:rPr>
                        </w:pPr>
                        <w:r>
                          <w:rPr>
                            <w:color w:val="231F20"/>
                            <w:w w:val="115"/>
                            <w:sz w:val="10"/>
                          </w:rPr>
                          <w:t>Empower Technical Working Group (TWG) to hold periodic meetings</w:t>
                        </w:r>
                      </w:p>
                    </w:tc>
                    <w:tc>
                      <w:tcPr>
                        <w:tcW w:w="1391" w:type="dxa"/>
                        <w:tcBorders>
                          <w:top w:val="single" w:sz="6" w:space="0" w:color="231F20"/>
                          <w:left w:val="single" w:sz="6" w:space="0" w:color="231F20"/>
                          <w:bottom w:val="single" w:sz="6" w:space="0" w:color="231F20"/>
                          <w:right w:val="single" w:sz="6" w:space="0" w:color="231F20"/>
                        </w:tcBorders>
                      </w:tcPr>
                      <w:p w14:paraId="2D304924" w14:textId="77777777" w:rsidR="00080B77" w:rsidRDefault="00080B77">
                        <w:pPr>
                          <w:pStyle w:val="TableParagraph"/>
                          <w:rPr>
                            <w:sz w:val="12"/>
                          </w:rPr>
                        </w:pPr>
                      </w:p>
                      <w:p w14:paraId="3072C74A"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3E543A39" w14:textId="77777777" w:rsidR="00080B77" w:rsidRDefault="00080B77">
                        <w:pPr>
                          <w:pStyle w:val="TableParagraph"/>
                          <w:rPr>
                            <w:sz w:val="12"/>
                          </w:rPr>
                        </w:pPr>
                      </w:p>
                      <w:p w14:paraId="404A7C77" w14:textId="77777777" w:rsidR="00080B77" w:rsidRDefault="00080B77">
                        <w:pPr>
                          <w:pStyle w:val="TableParagraph"/>
                          <w:ind w:left="58"/>
                          <w:rPr>
                            <w:sz w:val="10"/>
                          </w:rPr>
                        </w:pPr>
                        <w:r>
                          <w:rPr>
                            <w:color w:val="231F20"/>
                            <w:w w:val="115"/>
                            <w:sz w:val="10"/>
                          </w:rPr>
                          <w:t>Hold periodic meetings</w:t>
                        </w:r>
                      </w:p>
                    </w:tc>
                  </w:tr>
                  <w:tr w:rsidR="00080B77" w14:paraId="66DD33DE" w14:textId="77777777">
                    <w:trPr>
                      <w:trHeight w:val="269"/>
                    </w:trPr>
                    <w:tc>
                      <w:tcPr>
                        <w:tcW w:w="1014" w:type="dxa"/>
                        <w:gridSpan w:val="3"/>
                        <w:vMerge/>
                        <w:tcBorders>
                          <w:top w:val="nil"/>
                          <w:left w:val="single" w:sz="6" w:space="0" w:color="231F20"/>
                          <w:bottom w:val="nil"/>
                          <w:right w:val="single" w:sz="6" w:space="0" w:color="231F20"/>
                        </w:tcBorders>
                      </w:tcPr>
                      <w:p w14:paraId="7FFFAA28"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0E2FAC5B" w14:textId="77777777" w:rsidR="00080B77" w:rsidRDefault="00080B77">
                        <w:pPr>
                          <w:pStyle w:val="TableParagraph"/>
                          <w:spacing w:before="79"/>
                          <w:ind w:left="28" w:right="12"/>
                          <w:jc w:val="center"/>
                          <w:rPr>
                            <w:sz w:val="10"/>
                          </w:rPr>
                        </w:pPr>
                        <w:r>
                          <w:rPr>
                            <w:color w:val="231F20"/>
                            <w:w w:val="115"/>
                            <w:sz w:val="10"/>
                          </w:rPr>
                          <w:t>15.1.2.b</w:t>
                        </w:r>
                      </w:p>
                    </w:tc>
                    <w:tc>
                      <w:tcPr>
                        <w:tcW w:w="4772" w:type="dxa"/>
                        <w:gridSpan w:val="2"/>
                        <w:tcBorders>
                          <w:top w:val="single" w:sz="6" w:space="0" w:color="231F20"/>
                          <w:left w:val="single" w:sz="6" w:space="0" w:color="231F20"/>
                          <w:bottom w:val="single" w:sz="6" w:space="0" w:color="231F20"/>
                          <w:right w:val="single" w:sz="6" w:space="0" w:color="231F20"/>
                        </w:tcBorders>
                      </w:tcPr>
                      <w:p w14:paraId="55F3E138" w14:textId="77777777" w:rsidR="00080B77" w:rsidRDefault="00080B77">
                        <w:pPr>
                          <w:pStyle w:val="TableParagraph"/>
                          <w:spacing w:before="10"/>
                          <w:ind w:left="22"/>
                          <w:rPr>
                            <w:sz w:val="10"/>
                          </w:rPr>
                        </w:pPr>
                        <w:r>
                          <w:rPr>
                            <w:color w:val="231F20"/>
                            <w:w w:val="115"/>
                            <w:sz w:val="10"/>
                          </w:rPr>
                          <w:t>Advocate for the implementation of Health Financing Equity framework/guidelines at all</w:t>
                        </w:r>
                      </w:p>
                      <w:p w14:paraId="08140A19" w14:textId="77777777" w:rsidR="00080B77" w:rsidRDefault="00080B77">
                        <w:pPr>
                          <w:pStyle w:val="TableParagraph"/>
                          <w:spacing w:before="16" w:line="108" w:lineRule="exact"/>
                          <w:ind w:left="22"/>
                          <w:rPr>
                            <w:sz w:val="10"/>
                          </w:rPr>
                        </w:pPr>
                        <w:r>
                          <w:rPr>
                            <w:color w:val="231F20"/>
                            <w:w w:val="115"/>
                            <w:sz w:val="10"/>
                          </w:rPr>
                          <w:t>levels and MDAs</w:t>
                        </w:r>
                      </w:p>
                    </w:tc>
                    <w:tc>
                      <w:tcPr>
                        <w:tcW w:w="1391" w:type="dxa"/>
                        <w:tcBorders>
                          <w:top w:val="single" w:sz="6" w:space="0" w:color="231F20"/>
                          <w:left w:val="single" w:sz="6" w:space="0" w:color="231F20"/>
                          <w:bottom w:val="single" w:sz="6" w:space="0" w:color="231F20"/>
                          <w:right w:val="single" w:sz="6" w:space="0" w:color="231F20"/>
                        </w:tcBorders>
                      </w:tcPr>
                      <w:p w14:paraId="03D41204" w14:textId="77777777" w:rsidR="00080B77" w:rsidRDefault="00080B77">
                        <w:pPr>
                          <w:pStyle w:val="TableParagraph"/>
                          <w:spacing w:before="79"/>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79C3C804" w14:textId="77777777" w:rsidR="00080B77" w:rsidRDefault="00080B77">
                        <w:pPr>
                          <w:pStyle w:val="TableParagraph"/>
                          <w:spacing w:before="2" w:line="132" w:lineRule="exact"/>
                          <w:ind w:left="26" w:right="568"/>
                          <w:rPr>
                            <w:sz w:val="10"/>
                          </w:rPr>
                        </w:pPr>
                        <w:r>
                          <w:rPr>
                            <w:color w:val="231F20"/>
                            <w:w w:val="115"/>
                            <w:sz w:val="10"/>
                          </w:rPr>
                          <w:t>Advocate for the implementation</w:t>
                        </w:r>
                      </w:p>
                    </w:tc>
                  </w:tr>
                  <w:tr w:rsidR="00080B77" w14:paraId="187E443F" w14:textId="77777777">
                    <w:trPr>
                      <w:trHeight w:val="333"/>
                    </w:trPr>
                    <w:tc>
                      <w:tcPr>
                        <w:tcW w:w="1014" w:type="dxa"/>
                        <w:gridSpan w:val="3"/>
                        <w:vMerge/>
                        <w:tcBorders>
                          <w:top w:val="nil"/>
                          <w:left w:val="single" w:sz="6" w:space="0" w:color="231F20"/>
                          <w:bottom w:val="nil"/>
                          <w:right w:val="single" w:sz="6" w:space="0" w:color="231F20"/>
                        </w:tcBorders>
                      </w:tcPr>
                      <w:p w14:paraId="4F1BB393"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74C4E5C4" w14:textId="77777777" w:rsidR="00080B77" w:rsidRDefault="00080B77">
                        <w:pPr>
                          <w:pStyle w:val="TableParagraph"/>
                          <w:spacing w:before="8"/>
                          <w:rPr>
                            <w:sz w:val="9"/>
                          </w:rPr>
                        </w:pPr>
                      </w:p>
                      <w:p w14:paraId="40AF8877" w14:textId="77777777" w:rsidR="00080B77" w:rsidRDefault="00080B77">
                        <w:pPr>
                          <w:pStyle w:val="TableParagraph"/>
                          <w:ind w:left="28" w:right="12"/>
                          <w:jc w:val="center"/>
                          <w:rPr>
                            <w:sz w:val="10"/>
                          </w:rPr>
                        </w:pPr>
                        <w:r>
                          <w:rPr>
                            <w:color w:val="231F20"/>
                            <w:w w:val="115"/>
                            <w:sz w:val="10"/>
                          </w:rPr>
                          <w:t>15.1.2.c</w:t>
                        </w:r>
                      </w:p>
                    </w:tc>
                    <w:tc>
                      <w:tcPr>
                        <w:tcW w:w="4772" w:type="dxa"/>
                        <w:gridSpan w:val="2"/>
                        <w:tcBorders>
                          <w:top w:val="single" w:sz="6" w:space="0" w:color="231F20"/>
                          <w:left w:val="single" w:sz="6" w:space="0" w:color="231F20"/>
                          <w:bottom w:val="single" w:sz="6" w:space="0" w:color="231F20"/>
                          <w:right w:val="single" w:sz="6" w:space="0" w:color="231F20"/>
                        </w:tcBorders>
                      </w:tcPr>
                      <w:p w14:paraId="2913053D" w14:textId="77777777" w:rsidR="00080B77" w:rsidRDefault="00080B77">
                        <w:pPr>
                          <w:pStyle w:val="TableParagraph"/>
                          <w:spacing w:before="3"/>
                          <w:rPr>
                            <w:sz w:val="9"/>
                          </w:rPr>
                        </w:pPr>
                      </w:p>
                      <w:p w14:paraId="59BCBDFD" w14:textId="77777777" w:rsidR="00080B77" w:rsidRDefault="00080B77">
                        <w:pPr>
                          <w:pStyle w:val="TableParagraph"/>
                          <w:spacing w:before="1"/>
                          <w:ind w:left="22"/>
                          <w:rPr>
                            <w:sz w:val="10"/>
                          </w:rPr>
                        </w:pPr>
                        <w:r>
                          <w:rPr>
                            <w:color w:val="231F20"/>
                            <w:w w:val="115"/>
                            <w:sz w:val="10"/>
                          </w:rPr>
                          <w:t>Support the design and development of HCF implementation strategies</w:t>
                        </w:r>
                      </w:p>
                    </w:tc>
                    <w:tc>
                      <w:tcPr>
                        <w:tcW w:w="1391" w:type="dxa"/>
                        <w:tcBorders>
                          <w:top w:val="single" w:sz="6" w:space="0" w:color="231F20"/>
                          <w:left w:val="single" w:sz="6" w:space="0" w:color="231F20"/>
                          <w:bottom w:val="single" w:sz="6" w:space="0" w:color="231F20"/>
                          <w:right w:val="single" w:sz="6" w:space="0" w:color="231F20"/>
                        </w:tcBorders>
                      </w:tcPr>
                      <w:p w14:paraId="38D18208" w14:textId="77777777" w:rsidR="00080B77" w:rsidRDefault="00080B77">
                        <w:pPr>
                          <w:pStyle w:val="TableParagraph"/>
                          <w:spacing w:before="8"/>
                          <w:rPr>
                            <w:sz w:val="9"/>
                          </w:rPr>
                        </w:pPr>
                      </w:p>
                      <w:p w14:paraId="58762EB1"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48EA2892" w14:textId="77777777" w:rsidR="00080B77" w:rsidRDefault="00080B77">
                        <w:pPr>
                          <w:pStyle w:val="TableParagraph"/>
                          <w:spacing w:before="8"/>
                          <w:rPr>
                            <w:sz w:val="9"/>
                          </w:rPr>
                        </w:pPr>
                      </w:p>
                      <w:p w14:paraId="5A2354EF" w14:textId="77777777" w:rsidR="00080B77" w:rsidRDefault="00080B77">
                        <w:pPr>
                          <w:pStyle w:val="TableParagraph"/>
                          <w:ind w:left="26"/>
                          <w:rPr>
                            <w:sz w:val="10"/>
                          </w:rPr>
                        </w:pPr>
                        <w:r>
                          <w:rPr>
                            <w:color w:val="231F20"/>
                            <w:w w:val="115"/>
                            <w:sz w:val="10"/>
                          </w:rPr>
                          <w:t>No cost</w:t>
                        </w:r>
                      </w:p>
                    </w:tc>
                  </w:tr>
                  <w:tr w:rsidR="00080B77" w14:paraId="43B9E37B" w14:textId="77777777">
                    <w:trPr>
                      <w:trHeight w:val="269"/>
                    </w:trPr>
                    <w:tc>
                      <w:tcPr>
                        <w:tcW w:w="1014" w:type="dxa"/>
                        <w:gridSpan w:val="3"/>
                        <w:vMerge/>
                        <w:tcBorders>
                          <w:top w:val="nil"/>
                          <w:left w:val="single" w:sz="6" w:space="0" w:color="231F20"/>
                          <w:bottom w:val="nil"/>
                          <w:right w:val="single" w:sz="6" w:space="0" w:color="231F20"/>
                        </w:tcBorders>
                      </w:tcPr>
                      <w:p w14:paraId="3F0CDC2F"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6B67D2DC" w14:textId="77777777" w:rsidR="00080B77" w:rsidRDefault="00080B77">
                        <w:pPr>
                          <w:pStyle w:val="TableParagraph"/>
                          <w:spacing w:before="79"/>
                          <w:ind w:left="28" w:right="12"/>
                          <w:jc w:val="center"/>
                          <w:rPr>
                            <w:sz w:val="10"/>
                          </w:rPr>
                        </w:pPr>
                        <w:r>
                          <w:rPr>
                            <w:color w:val="231F20"/>
                            <w:w w:val="115"/>
                            <w:sz w:val="10"/>
                          </w:rPr>
                          <w:t>15.1.2.d</w:t>
                        </w:r>
                      </w:p>
                    </w:tc>
                    <w:tc>
                      <w:tcPr>
                        <w:tcW w:w="4772" w:type="dxa"/>
                        <w:gridSpan w:val="2"/>
                        <w:tcBorders>
                          <w:top w:val="single" w:sz="6" w:space="0" w:color="231F20"/>
                          <w:left w:val="single" w:sz="6" w:space="0" w:color="231F20"/>
                          <w:bottom w:val="single" w:sz="6" w:space="0" w:color="231F20"/>
                          <w:right w:val="single" w:sz="6" w:space="0" w:color="231F20"/>
                        </w:tcBorders>
                      </w:tcPr>
                      <w:p w14:paraId="09112F52" w14:textId="77777777" w:rsidR="00080B77" w:rsidRDefault="00080B77">
                        <w:pPr>
                          <w:pStyle w:val="TableParagraph"/>
                          <w:spacing w:before="75"/>
                          <w:ind w:left="22"/>
                          <w:rPr>
                            <w:sz w:val="10"/>
                          </w:rPr>
                        </w:pPr>
                        <w:r>
                          <w:rPr>
                            <w:color w:val="231F20"/>
                            <w:w w:val="115"/>
                            <w:sz w:val="10"/>
                          </w:rPr>
                          <w:t>Conduct capacity building workshop for TWG members</w:t>
                        </w:r>
                      </w:p>
                    </w:tc>
                    <w:tc>
                      <w:tcPr>
                        <w:tcW w:w="1391" w:type="dxa"/>
                        <w:tcBorders>
                          <w:top w:val="single" w:sz="6" w:space="0" w:color="231F20"/>
                          <w:left w:val="single" w:sz="6" w:space="0" w:color="231F20"/>
                          <w:bottom w:val="single" w:sz="6" w:space="0" w:color="231F20"/>
                          <w:right w:val="single" w:sz="6" w:space="0" w:color="231F20"/>
                        </w:tcBorders>
                      </w:tcPr>
                      <w:p w14:paraId="735117C1" w14:textId="77777777" w:rsidR="00080B77" w:rsidRDefault="00080B77">
                        <w:pPr>
                          <w:pStyle w:val="TableParagraph"/>
                          <w:spacing w:before="79"/>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09094572" w14:textId="77777777" w:rsidR="00080B77" w:rsidRDefault="00080B77">
                        <w:pPr>
                          <w:pStyle w:val="TableParagraph"/>
                          <w:spacing w:before="79"/>
                          <w:ind w:left="26"/>
                          <w:rPr>
                            <w:sz w:val="10"/>
                          </w:rPr>
                        </w:pPr>
                        <w:r>
                          <w:rPr>
                            <w:color w:val="231F20"/>
                            <w:w w:val="115"/>
                            <w:sz w:val="10"/>
                          </w:rPr>
                          <w:t>Conduct workshop</w:t>
                        </w:r>
                      </w:p>
                    </w:tc>
                  </w:tr>
                  <w:tr w:rsidR="00080B77" w14:paraId="2B2ADCC0" w14:textId="77777777">
                    <w:trPr>
                      <w:trHeight w:val="722"/>
                    </w:trPr>
                    <w:tc>
                      <w:tcPr>
                        <w:tcW w:w="571" w:type="dxa"/>
                        <w:gridSpan w:val="2"/>
                        <w:tcBorders>
                          <w:top w:val="nil"/>
                          <w:left w:val="single" w:sz="6" w:space="0" w:color="231F20"/>
                          <w:bottom w:val="nil"/>
                          <w:right w:val="single" w:sz="6" w:space="0" w:color="231F20"/>
                        </w:tcBorders>
                      </w:tcPr>
                      <w:p w14:paraId="4D58C0F2" w14:textId="77777777" w:rsidR="00080B77" w:rsidRDefault="00080B77">
                        <w:pPr>
                          <w:pStyle w:val="TableParagraph"/>
                          <w:rPr>
                            <w:rFonts w:ascii="Times New Roman"/>
                            <w:sz w:val="10"/>
                          </w:rPr>
                        </w:pPr>
                      </w:p>
                    </w:tc>
                    <w:tc>
                      <w:tcPr>
                        <w:tcW w:w="443" w:type="dxa"/>
                        <w:tcBorders>
                          <w:top w:val="single" w:sz="6" w:space="0" w:color="231F20"/>
                          <w:left w:val="single" w:sz="6" w:space="0" w:color="231F20"/>
                          <w:bottom w:val="single" w:sz="6" w:space="0" w:color="231F20"/>
                          <w:right w:val="single" w:sz="6" w:space="0" w:color="231F20"/>
                        </w:tcBorders>
                        <w:shd w:val="clear" w:color="auto" w:fill="CCE7D3"/>
                      </w:tcPr>
                      <w:p w14:paraId="60EEE6E5" w14:textId="77777777" w:rsidR="00080B77" w:rsidRDefault="00080B77">
                        <w:pPr>
                          <w:pStyle w:val="TableParagraph"/>
                          <w:rPr>
                            <w:sz w:val="10"/>
                          </w:rPr>
                        </w:pPr>
                      </w:p>
                      <w:p w14:paraId="481CB702" w14:textId="77777777" w:rsidR="00080B77" w:rsidRDefault="00080B77">
                        <w:pPr>
                          <w:pStyle w:val="TableParagraph"/>
                          <w:rPr>
                            <w:sz w:val="10"/>
                          </w:rPr>
                        </w:pPr>
                      </w:p>
                      <w:p w14:paraId="10A59D13" w14:textId="77777777" w:rsidR="00080B77" w:rsidRDefault="00080B77">
                        <w:pPr>
                          <w:pStyle w:val="TableParagraph"/>
                          <w:spacing w:before="76"/>
                          <w:ind w:left="34" w:right="34"/>
                          <w:jc w:val="center"/>
                          <w:rPr>
                            <w:sz w:val="10"/>
                          </w:rPr>
                        </w:pPr>
                        <w:r>
                          <w:rPr>
                            <w:color w:val="231F20"/>
                            <w:w w:val="115"/>
                            <w:sz w:val="10"/>
                          </w:rPr>
                          <w:t>15.1.3</w:t>
                        </w:r>
                      </w:p>
                    </w:tc>
                    <w:tc>
                      <w:tcPr>
                        <w:tcW w:w="2960" w:type="dxa"/>
                        <w:gridSpan w:val="2"/>
                        <w:tcBorders>
                          <w:top w:val="single" w:sz="6" w:space="0" w:color="231F20"/>
                          <w:left w:val="single" w:sz="6" w:space="0" w:color="231F20"/>
                          <w:bottom w:val="single" w:sz="6" w:space="0" w:color="231F20"/>
                          <w:right w:val="single" w:sz="6" w:space="0" w:color="231F20"/>
                        </w:tcBorders>
                        <w:shd w:val="clear" w:color="auto" w:fill="CCE7D3"/>
                      </w:tcPr>
                      <w:p w14:paraId="3C87911C" w14:textId="77777777" w:rsidR="00080B77" w:rsidRDefault="00080B77">
                        <w:pPr>
                          <w:pStyle w:val="TableParagraph"/>
                          <w:rPr>
                            <w:sz w:val="10"/>
                          </w:rPr>
                        </w:pPr>
                      </w:p>
                      <w:p w14:paraId="37D6A348" w14:textId="77777777" w:rsidR="00080B77" w:rsidRDefault="00080B77">
                        <w:pPr>
                          <w:pStyle w:val="TableParagraph"/>
                          <w:spacing w:before="5"/>
                          <w:rPr>
                            <w:sz w:val="10"/>
                          </w:rPr>
                        </w:pPr>
                      </w:p>
                      <w:p w14:paraId="4042DF44" w14:textId="77777777" w:rsidR="00080B77" w:rsidRDefault="00080B77">
                        <w:pPr>
                          <w:pStyle w:val="TableParagraph"/>
                          <w:spacing w:line="273" w:lineRule="auto"/>
                          <w:ind w:left="21" w:firstLine="32"/>
                          <w:rPr>
                            <w:sz w:val="10"/>
                          </w:rPr>
                        </w:pPr>
                        <w:r>
                          <w:rPr>
                            <w:color w:val="231F20"/>
                            <w:w w:val="115"/>
                            <w:sz w:val="10"/>
                          </w:rPr>
                          <w:t>Develop Health Financing Policy &amp; Strategy and Investment case at Federal, 36 States, and FCT</w:t>
                        </w:r>
                      </w:p>
                    </w:tc>
                    <w:tc>
                      <w:tcPr>
                        <w:tcW w:w="2324" w:type="dxa"/>
                        <w:tcBorders>
                          <w:top w:val="single" w:sz="6" w:space="0" w:color="231F20"/>
                          <w:left w:val="single" w:sz="6" w:space="0" w:color="231F20"/>
                          <w:bottom w:val="single" w:sz="6" w:space="0" w:color="231F20"/>
                          <w:right w:val="single" w:sz="6" w:space="0" w:color="231F20"/>
                        </w:tcBorders>
                        <w:shd w:val="clear" w:color="auto" w:fill="CCE7D3"/>
                      </w:tcPr>
                      <w:p w14:paraId="607C12EF" w14:textId="77777777" w:rsidR="00080B77" w:rsidRDefault="00080B77">
                        <w:pPr>
                          <w:pStyle w:val="TableParagraph"/>
                          <w:numPr>
                            <w:ilvl w:val="0"/>
                            <w:numId w:val="14"/>
                          </w:numPr>
                          <w:tabs>
                            <w:tab w:val="left" w:pos="97"/>
                          </w:tabs>
                          <w:spacing w:before="3" w:line="273" w:lineRule="auto"/>
                          <w:ind w:right="165" w:firstLine="0"/>
                          <w:rPr>
                            <w:sz w:val="10"/>
                          </w:rPr>
                        </w:pPr>
                        <w:r>
                          <w:rPr>
                            <w:color w:val="231F20"/>
                            <w:w w:val="115"/>
                            <w:sz w:val="10"/>
                          </w:rPr>
                          <w:t xml:space="preserve">Health Financing (HF) Policy document adopted and Health Financing &amp; </w:t>
                        </w:r>
                        <w:r>
                          <w:rPr>
                            <w:color w:val="231F20"/>
                            <w:spacing w:val="-3"/>
                            <w:w w:val="115"/>
                            <w:sz w:val="10"/>
                          </w:rPr>
                          <w:t xml:space="preserve">Strategy </w:t>
                        </w:r>
                        <w:r>
                          <w:rPr>
                            <w:color w:val="231F20"/>
                            <w:w w:val="115"/>
                            <w:sz w:val="10"/>
                          </w:rPr>
                          <w:t>and Investment case developed, printed and</w:t>
                        </w:r>
                        <w:r>
                          <w:rPr>
                            <w:color w:val="231F20"/>
                            <w:spacing w:val="-1"/>
                            <w:w w:val="115"/>
                            <w:sz w:val="10"/>
                          </w:rPr>
                          <w:t xml:space="preserve"> </w:t>
                        </w:r>
                        <w:r>
                          <w:rPr>
                            <w:color w:val="231F20"/>
                            <w:w w:val="115"/>
                            <w:sz w:val="10"/>
                          </w:rPr>
                          <w:t>disseminated</w:t>
                        </w:r>
                      </w:p>
                      <w:p w14:paraId="12EF55DC" w14:textId="77777777" w:rsidR="00080B77" w:rsidRDefault="00080B77">
                        <w:pPr>
                          <w:pStyle w:val="TableParagraph"/>
                          <w:numPr>
                            <w:ilvl w:val="0"/>
                            <w:numId w:val="14"/>
                          </w:numPr>
                          <w:tabs>
                            <w:tab w:val="left" w:pos="91"/>
                          </w:tabs>
                          <w:spacing w:before="2"/>
                          <w:ind w:left="90" w:hanging="68"/>
                          <w:rPr>
                            <w:sz w:val="10"/>
                          </w:rPr>
                        </w:pPr>
                        <w:r>
                          <w:rPr>
                            <w:color w:val="231F20"/>
                            <w:w w:val="115"/>
                            <w:sz w:val="10"/>
                          </w:rPr>
                          <w:t xml:space="preserve">Advocate for </w:t>
                        </w:r>
                        <w:proofErr w:type="spellStart"/>
                        <w:r>
                          <w:rPr>
                            <w:color w:val="231F20"/>
                            <w:w w:val="115"/>
                            <w:sz w:val="10"/>
                          </w:rPr>
                          <w:t>favourable</w:t>
                        </w:r>
                        <w:proofErr w:type="spellEnd"/>
                        <w:r>
                          <w:rPr>
                            <w:color w:val="231F20"/>
                            <w:w w:val="115"/>
                            <w:sz w:val="10"/>
                          </w:rPr>
                          <w:t xml:space="preserve"> fiscal</w:t>
                        </w:r>
                        <w:r>
                          <w:rPr>
                            <w:color w:val="231F20"/>
                            <w:spacing w:val="1"/>
                            <w:w w:val="115"/>
                            <w:sz w:val="10"/>
                          </w:rPr>
                          <w:t xml:space="preserve"> </w:t>
                        </w:r>
                        <w:r>
                          <w:rPr>
                            <w:color w:val="231F20"/>
                            <w:w w:val="115"/>
                            <w:sz w:val="10"/>
                          </w:rPr>
                          <w:t>policies</w:t>
                        </w:r>
                      </w:p>
                    </w:tc>
                    <w:tc>
                      <w:tcPr>
                        <w:tcW w:w="1391" w:type="dxa"/>
                        <w:tcBorders>
                          <w:top w:val="single" w:sz="6" w:space="0" w:color="231F20"/>
                          <w:left w:val="single" w:sz="6" w:space="0" w:color="231F20"/>
                          <w:bottom w:val="single" w:sz="6" w:space="0" w:color="231F20"/>
                          <w:right w:val="single" w:sz="6" w:space="0" w:color="231F20"/>
                        </w:tcBorders>
                        <w:shd w:val="clear" w:color="auto" w:fill="CCE7D3"/>
                      </w:tcPr>
                      <w:p w14:paraId="02BD9624" w14:textId="77777777" w:rsidR="00080B77" w:rsidRDefault="00080B77">
                        <w:pPr>
                          <w:pStyle w:val="TableParagraph"/>
                          <w:rPr>
                            <w:rFonts w:ascii="Times New Roman"/>
                            <w:sz w:val="10"/>
                          </w:rPr>
                        </w:pPr>
                      </w:p>
                    </w:tc>
                    <w:tc>
                      <w:tcPr>
                        <w:tcW w:w="1467" w:type="dxa"/>
                        <w:tcBorders>
                          <w:top w:val="single" w:sz="6" w:space="0" w:color="231F20"/>
                          <w:left w:val="single" w:sz="6" w:space="0" w:color="231F20"/>
                          <w:bottom w:val="single" w:sz="6" w:space="0" w:color="231F20"/>
                          <w:right w:val="single" w:sz="6" w:space="0" w:color="231F20"/>
                        </w:tcBorders>
                        <w:shd w:val="clear" w:color="auto" w:fill="CCE7D3"/>
                      </w:tcPr>
                      <w:p w14:paraId="3E35A5EA" w14:textId="77777777" w:rsidR="00080B77" w:rsidRDefault="00080B77">
                        <w:pPr>
                          <w:pStyle w:val="TableParagraph"/>
                          <w:rPr>
                            <w:rFonts w:ascii="Times New Roman"/>
                            <w:sz w:val="10"/>
                          </w:rPr>
                        </w:pPr>
                      </w:p>
                    </w:tc>
                  </w:tr>
                  <w:tr w:rsidR="00080B77" w14:paraId="7100CE4E" w14:textId="77777777">
                    <w:trPr>
                      <w:trHeight w:val="250"/>
                    </w:trPr>
                    <w:tc>
                      <w:tcPr>
                        <w:tcW w:w="1014" w:type="dxa"/>
                        <w:gridSpan w:val="3"/>
                        <w:vMerge w:val="restart"/>
                        <w:tcBorders>
                          <w:top w:val="nil"/>
                          <w:left w:val="single" w:sz="6" w:space="0" w:color="231F20"/>
                          <w:bottom w:val="nil"/>
                          <w:right w:val="single" w:sz="6" w:space="0" w:color="231F20"/>
                        </w:tcBorders>
                      </w:tcPr>
                      <w:p w14:paraId="26637AF5" w14:textId="77777777" w:rsidR="00080B77" w:rsidRDefault="00080B77">
                        <w:pPr>
                          <w:pStyle w:val="TableParagraph"/>
                          <w:rPr>
                            <w:rFonts w:ascii="Times New Roman"/>
                            <w:sz w:val="10"/>
                          </w:rPr>
                        </w:pPr>
                      </w:p>
                    </w:tc>
                    <w:tc>
                      <w:tcPr>
                        <w:tcW w:w="512" w:type="dxa"/>
                        <w:tcBorders>
                          <w:top w:val="single" w:sz="6" w:space="0" w:color="231F20"/>
                          <w:left w:val="single" w:sz="6" w:space="0" w:color="231F20"/>
                          <w:bottom w:val="single" w:sz="6" w:space="0" w:color="231F20"/>
                          <w:right w:val="single" w:sz="6" w:space="0" w:color="231F20"/>
                        </w:tcBorders>
                      </w:tcPr>
                      <w:p w14:paraId="5170CE3D" w14:textId="77777777" w:rsidR="00080B77" w:rsidRDefault="00080B77">
                        <w:pPr>
                          <w:pStyle w:val="TableParagraph"/>
                          <w:spacing w:before="70"/>
                          <w:ind w:left="28" w:right="12"/>
                          <w:jc w:val="center"/>
                          <w:rPr>
                            <w:sz w:val="10"/>
                          </w:rPr>
                        </w:pPr>
                        <w:r>
                          <w:rPr>
                            <w:color w:val="231F20"/>
                            <w:w w:val="115"/>
                            <w:sz w:val="10"/>
                          </w:rPr>
                          <w:t>15.1.3.a</w:t>
                        </w:r>
                      </w:p>
                    </w:tc>
                    <w:tc>
                      <w:tcPr>
                        <w:tcW w:w="4772" w:type="dxa"/>
                        <w:gridSpan w:val="2"/>
                        <w:tcBorders>
                          <w:top w:val="single" w:sz="6" w:space="0" w:color="231F20"/>
                          <w:left w:val="single" w:sz="6" w:space="0" w:color="231F20"/>
                          <w:bottom w:val="single" w:sz="6" w:space="0" w:color="231F20"/>
                          <w:right w:val="single" w:sz="6" w:space="0" w:color="231F20"/>
                        </w:tcBorders>
                      </w:tcPr>
                      <w:p w14:paraId="6FA4CDB4" w14:textId="77777777" w:rsidR="00080B77" w:rsidRDefault="00080B77">
                        <w:pPr>
                          <w:pStyle w:val="TableParagraph"/>
                          <w:spacing w:before="65"/>
                          <w:ind w:left="22"/>
                          <w:rPr>
                            <w:sz w:val="10"/>
                          </w:rPr>
                        </w:pPr>
                        <w:r>
                          <w:rPr>
                            <w:color w:val="231F20"/>
                            <w:w w:val="115"/>
                            <w:sz w:val="10"/>
                          </w:rPr>
                          <w:t>Adopt Health Financing (HF) Policy document in the state</w:t>
                        </w:r>
                      </w:p>
                    </w:tc>
                    <w:tc>
                      <w:tcPr>
                        <w:tcW w:w="1391" w:type="dxa"/>
                        <w:tcBorders>
                          <w:top w:val="single" w:sz="6" w:space="0" w:color="231F20"/>
                          <w:left w:val="single" w:sz="6" w:space="0" w:color="231F20"/>
                          <w:bottom w:val="single" w:sz="6" w:space="0" w:color="231F20"/>
                          <w:right w:val="single" w:sz="6" w:space="0" w:color="231F20"/>
                        </w:tcBorders>
                      </w:tcPr>
                      <w:p w14:paraId="2074608A" w14:textId="77777777" w:rsidR="00080B77" w:rsidRDefault="00080B77">
                        <w:pPr>
                          <w:pStyle w:val="TableParagraph"/>
                          <w:spacing w:before="70"/>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2BA84236" w14:textId="7F7ECF30" w:rsidR="00080B77" w:rsidRDefault="00080B77">
                        <w:pPr>
                          <w:pStyle w:val="TableParagraph"/>
                          <w:spacing w:before="70"/>
                          <w:ind w:left="26"/>
                          <w:rPr>
                            <w:sz w:val="10"/>
                          </w:rPr>
                        </w:pPr>
                        <w:r>
                          <w:rPr>
                            <w:color w:val="231F20"/>
                            <w:w w:val="115"/>
                            <w:sz w:val="10"/>
                          </w:rPr>
                          <w:t>Adopt Health Financing</w:t>
                        </w:r>
                      </w:p>
                    </w:tc>
                  </w:tr>
                  <w:tr w:rsidR="00080B77" w14:paraId="0D52933D" w14:textId="77777777">
                    <w:trPr>
                      <w:trHeight w:val="424"/>
                    </w:trPr>
                    <w:tc>
                      <w:tcPr>
                        <w:tcW w:w="1014" w:type="dxa"/>
                        <w:gridSpan w:val="3"/>
                        <w:vMerge/>
                        <w:tcBorders>
                          <w:top w:val="nil"/>
                          <w:left w:val="single" w:sz="6" w:space="0" w:color="231F20"/>
                          <w:bottom w:val="nil"/>
                          <w:right w:val="single" w:sz="6" w:space="0" w:color="231F20"/>
                        </w:tcBorders>
                      </w:tcPr>
                      <w:p w14:paraId="46F78B7C"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21AEE559" w14:textId="77777777" w:rsidR="00080B77" w:rsidRDefault="00080B77">
                        <w:pPr>
                          <w:pStyle w:val="TableParagraph"/>
                          <w:spacing w:before="8"/>
                          <w:rPr>
                            <w:sz w:val="13"/>
                          </w:rPr>
                        </w:pPr>
                      </w:p>
                      <w:p w14:paraId="4DA13DE1" w14:textId="77777777" w:rsidR="00080B77" w:rsidRDefault="00080B77">
                        <w:pPr>
                          <w:pStyle w:val="TableParagraph"/>
                          <w:ind w:left="28" w:right="12"/>
                          <w:jc w:val="center"/>
                          <w:rPr>
                            <w:sz w:val="10"/>
                          </w:rPr>
                        </w:pPr>
                        <w:r>
                          <w:rPr>
                            <w:color w:val="231F20"/>
                            <w:w w:val="115"/>
                            <w:sz w:val="10"/>
                          </w:rPr>
                          <w:t>15.1.3.b</w:t>
                        </w:r>
                      </w:p>
                    </w:tc>
                    <w:tc>
                      <w:tcPr>
                        <w:tcW w:w="4772" w:type="dxa"/>
                        <w:gridSpan w:val="2"/>
                        <w:tcBorders>
                          <w:top w:val="single" w:sz="6" w:space="0" w:color="231F20"/>
                          <w:left w:val="single" w:sz="6" w:space="0" w:color="231F20"/>
                          <w:bottom w:val="single" w:sz="6" w:space="0" w:color="231F20"/>
                          <w:right w:val="single" w:sz="6" w:space="0" w:color="231F20"/>
                        </w:tcBorders>
                      </w:tcPr>
                      <w:p w14:paraId="3DCFC392" w14:textId="77777777" w:rsidR="00080B77" w:rsidRDefault="00080B77">
                        <w:pPr>
                          <w:pStyle w:val="TableParagraph"/>
                          <w:spacing w:before="3"/>
                          <w:rPr>
                            <w:sz w:val="13"/>
                          </w:rPr>
                        </w:pPr>
                      </w:p>
                      <w:p w14:paraId="668E81EB" w14:textId="77777777" w:rsidR="00080B77" w:rsidRDefault="00080B77">
                        <w:pPr>
                          <w:pStyle w:val="TableParagraph"/>
                          <w:spacing w:before="1"/>
                          <w:ind w:left="22"/>
                          <w:rPr>
                            <w:sz w:val="10"/>
                          </w:rPr>
                        </w:pPr>
                        <w:proofErr w:type="spellStart"/>
                        <w:r>
                          <w:rPr>
                            <w:color w:val="231F20"/>
                            <w:w w:val="115"/>
                            <w:sz w:val="10"/>
                          </w:rPr>
                          <w:t>Organise</w:t>
                        </w:r>
                        <w:proofErr w:type="spellEnd"/>
                        <w:r>
                          <w:rPr>
                            <w:color w:val="231F20"/>
                            <w:w w:val="115"/>
                            <w:sz w:val="10"/>
                          </w:rPr>
                          <w:t xml:space="preserve"> workshop to develop Health Financing &amp; Strategy and Investment case</w:t>
                        </w:r>
                      </w:p>
                    </w:tc>
                    <w:tc>
                      <w:tcPr>
                        <w:tcW w:w="1391" w:type="dxa"/>
                        <w:tcBorders>
                          <w:top w:val="single" w:sz="6" w:space="0" w:color="231F20"/>
                          <w:left w:val="single" w:sz="6" w:space="0" w:color="231F20"/>
                          <w:bottom w:val="single" w:sz="6" w:space="0" w:color="231F20"/>
                          <w:right w:val="single" w:sz="6" w:space="0" w:color="231F20"/>
                        </w:tcBorders>
                      </w:tcPr>
                      <w:p w14:paraId="041AF1F6" w14:textId="77777777" w:rsidR="00080B77" w:rsidRDefault="00080B77">
                        <w:pPr>
                          <w:pStyle w:val="TableParagraph"/>
                          <w:spacing w:before="8"/>
                          <w:rPr>
                            <w:sz w:val="13"/>
                          </w:rPr>
                        </w:pPr>
                      </w:p>
                      <w:p w14:paraId="18C118D3"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42E221CE" w14:textId="77777777" w:rsidR="00080B77" w:rsidRDefault="00080B77">
                        <w:pPr>
                          <w:pStyle w:val="TableParagraph"/>
                          <w:spacing w:before="8"/>
                          <w:rPr>
                            <w:sz w:val="13"/>
                          </w:rPr>
                        </w:pPr>
                      </w:p>
                      <w:p w14:paraId="7837BCCA" w14:textId="1FF42ABC" w:rsidR="00080B77" w:rsidRDefault="00080B77">
                        <w:pPr>
                          <w:pStyle w:val="TableParagraph"/>
                          <w:ind w:left="26"/>
                          <w:rPr>
                            <w:sz w:val="10"/>
                          </w:rPr>
                        </w:pPr>
                        <w:proofErr w:type="spellStart"/>
                        <w:r>
                          <w:rPr>
                            <w:color w:val="231F20"/>
                            <w:w w:val="115"/>
                            <w:sz w:val="10"/>
                          </w:rPr>
                          <w:t>Organise</w:t>
                        </w:r>
                        <w:proofErr w:type="spellEnd"/>
                        <w:r>
                          <w:rPr>
                            <w:color w:val="231F20"/>
                            <w:w w:val="115"/>
                            <w:sz w:val="10"/>
                          </w:rPr>
                          <w:t xml:space="preserve"> workshop</w:t>
                        </w:r>
                      </w:p>
                    </w:tc>
                  </w:tr>
                  <w:tr w:rsidR="00080B77" w14:paraId="2C11052D" w14:textId="77777777">
                    <w:trPr>
                      <w:trHeight w:val="240"/>
                    </w:trPr>
                    <w:tc>
                      <w:tcPr>
                        <w:tcW w:w="1014" w:type="dxa"/>
                        <w:gridSpan w:val="3"/>
                        <w:vMerge/>
                        <w:tcBorders>
                          <w:top w:val="nil"/>
                          <w:left w:val="single" w:sz="6" w:space="0" w:color="231F20"/>
                          <w:bottom w:val="nil"/>
                          <w:right w:val="single" w:sz="6" w:space="0" w:color="231F20"/>
                        </w:tcBorders>
                      </w:tcPr>
                      <w:p w14:paraId="33E73665"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481E931D" w14:textId="77777777" w:rsidR="00080B77" w:rsidRDefault="00080B77">
                        <w:pPr>
                          <w:pStyle w:val="TableParagraph"/>
                          <w:spacing w:before="65"/>
                          <w:ind w:left="28" w:right="12"/>
                          <w:jc w:val="center"/>
                          <w:rPr>
                            <w:sz w:val="10"/>
                          </w:rPr>
                        </w:pPr>
                        <w:r>
                          <w:rPr>
                            <w:color w:val="231F20"/>
                            <w:w w:val="115"/>
                            <w:sz w:val="10"/>
                          </w:rPr>
                          <w:t>15.1.3.c</w:t>
                        </w:r>
                      </w:p>
                    </w:tc>
                    <w:tc>
                      <w:tcPr>
                        <w:tcW w:w="4772" w:type="dxa"/>
                        <w:gridSpan w:val="2"/>
                        <w:tcBorders>
                          <w:top w:val="single" w:sz="6" w:space="0" w:color="231F20"/>
                          <w:left w:val="single" w:sz="6" w:space="0" w:color="231F20"/>
                          <w:bottom w:val="single" w:sz="6" w:space="0" w:color="231F20"/>
                          <w:right w:val="single" w:sz="6" w:space="0" w:color="231F20"/>
                        </w:tcBorders>
                      </w:tcPr>
                      <w:p w14:paraId="57FE91E1" w14:textId="77777777" w:rsidR="00080B77" w:rsidRDefault="00080B77">
                        <w:pPr>
                          <w:pStyle w:val="TableParagraph"/>
                          <w:spacing w:before="3"/>
                          <w:ind w:left="22"/>
                          <w:rPr>
                            <w:sz w:val="10"/>
                          </w:rPr>
                        </w:pPr>
                        <w:r>
                          <w:rPr>
                            <w:color w:val="231F20"/>
                            <w:w w:val="115"/>
                            <w:sz w:val="10"/>
                          </w:rPr>
                          <w:t>Print &amp; disseminate copies of the Health Financing &amp; Strategy and Investment case in the</w:t>
                        </w:r>
                      </w:p>
                      <w:p w14:paraId="5C2F567A" w14:textId="77777777" w:rsidR="00080B77" w:rsidRDefault="00080B77">
                        <w:pPr>
                          <w:pStyle w:val="TableParagraph"/>
                          <w:spacing w:before="17" w:line="86" w:lineRule="exact"/>
                          <w:ind w:left="22"/>
                          <w:rPr>
                            <w:sz w:val="10"/>
                          </w:rPr>
                        </w:pPr>
                        <w:r>
                          <w:rPr>
                            <w:color w:val="231F20"/>
                            <w:w w:val="115"/>
                            <w:sz w:val="10"/>
                          </w:rPr>
                          <w:t>State &amp; LGAs</w:t>
                        </w:r>
                      </w:p>
                    </w:tc>
                    <w:tc>
                      <w:tcPr>
                        <w:tcW w:w="1391" w:type="dxa"/>
                        <w:tcBorders>
                          <w:top w:val="single" w:sz="6" w:space="0" w:color="231F20"/>
                          <w:left w:val="single" w:sz="6" w:space="0" w:color="231F20"/>
                          <w:bottom w:val="single" w:sz="6" w:space="0" w:color="231F20"/>
                          <w:right w:val="single" w:sz="6" w:space="0" w:color="231F20"/>
                        </w:tcBorders>
                      </w:tcPr>
                      <w:p w14:paraId="1F157C2F" w14:textId="77777777" w:rsidR="00080B77" w:rsidRDefault="00080B77">
                        <w:pPr>
                          <w:pStyle w:val="TableParagraph"/>
                          <w:spacing w:before="65"/>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1649E634" w14:textId="069F645D" w:rsidR="00080B77" w:rsidRDefault="00080B77">
                        <w:pPr>
                          <w:pStyle w:val="TableParagraph"/>
                          <w:spacing w:before="65"/>
                          <w:ind w:left="26"/>
                          <w:rPr>
                            <w:sz w:val="10"/>
                          </w:rPr>
                        </w:pPr>
                        <w:r>
                          <w:rPr>
                            <w:color w:val="231F20"/>
                            <w:w w:val="115"/>
                            <w:sz w:val="10"/>
                          </w:rPr>
                          <w:t>Print &amp; disseminate</w:t>
                        </w:r>
                      </w:p>
                    </w:tc>
                  </w:tr>
                  <w:tr w:rsidR="00080B77" w14:paraId="1BE68C67" w14:textId="77777777">
                    <w:trPr>
                      <w:trHeight w:val="386"/>
                    </w:trPr>
                    <w:tc>
                      <w:tcPr>
                        <w:tcW w:w="1014" w:type="dxa"/>
                        <w:gridSpan w:val="3"/>
                        <w:vMerge/>
                        <w:tcBorders>
                          <w:top w:val="nil"/>
                          <w:left w:val="single" w:sz="6" w:space="0" w:color="231F20"/>
                          <w:bottom w:val="nil"/>
                          <w:right w:val="single" w:sz="6" w:space="0" w:color="231F20"/>
                        </w:tcBorders>
                      </w:tcPr>
                      <w:p w14:paraId="2400503D"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3B12F32D" w14:textId="77777777" w:rsidR="00080B77" w:rsidRDefault="00080B77">
                        <w:pPr>
                          <w:pStyle w:val="TableParagraph"/>
                          <w:rPr>
                            <w:sz w:val="12"/>
                          </w:rPr>
                        </w:pPr>
                      </w:p>
                      <w:p w14:paraId="6107D5F8" w14:textId="77777777" w:rsidR="00080B77" w:rsidRDefault="00080B77">
                        <w:pPr>
                          <w:pStyle w:val="TableParagraph"/>
                          <w:ind w:left="28" w:right="12"/>
                          <w:jc w:val="center"/>
                          <w:rPr>
                            <w:sz w:val="10"/>
                          </w:rPr>
                        </w:pPr>
                        <w:r>
                          <w:rPr>
                            <w:color w:val="231F20"/>
                            <w:w w:val="115"/>
                            <w:sz w:val="10"/>
                          </w:rPr>
                          <w:t>15.1.3.d</w:t>
                        </w:r>
                      </w:p>
                    </w:tc>
                    <w:tc>
                      <w:tcPr>
                        <w:tcW w:w="4772" w:type="dxa"/>
                        <w:gridSpan w:val="2"/>
                        <w:tcBorders>
                          <w:top w:val="single" w:sz="6" w:space="0" w:color="231F20"/>
                          <w:left w:val="single" w:sz="6" w:space="0" w:color="231F20"/>
                          <w:bottom w:val="single" w:sz="6" w:space="0" w:color="231F20"/>
                          <w:right w:val="single" w:sz="6" w:space="0" w:color="231F20"/>
                        </w:tcBorders>
                      </w:tcPr>
                      <w:p w14:paraId="04A87605" w14:textId="2100560B" w:rsidR="00080B77" w:rsidRDefault="00080B77">
                        <w:pPr>
                          <w:pStyle w:val="TableParagraph"/>
                          <w:spacing w:before="67" w:line="273" w:lineRule="auto"/>
                          <w:ind w:left="22"/>
                          <w:rPr>
                            <w:sz w:val="10"/>
                          </w:rPr>
                        </w:pPr>
                        <w:r>
                          <w:rPr>
                            <w:color w:val="231F20"/>
                            <w:w w:val="115"/>
                            <w:sz w:val="10"/>
                          </w:rPr>
                          <w:t xml:space="preserve">Advocate for </w:t>
                        </w:r>
                        <w:proofErr w:type="spellStart"/>
                        <w:r>
                          <w:rPr>
                            <w:color w:val="231F20"/>
                            <w:w w:val="115"/>
                            <w:sz w:val="10"/>
                          </w:rPr>
                          <w:t>favourable</w:t>
                        </w:r>
                        <w:proofErr w:type="spellEnd"/>
                        <w:r>
                          <w:rPr>
                            <w:color w:val="231F20"/>
                            <w:w w:val="115"/>
                            <w:sz w:val="10"/>
                          </w:rPr>
                          <w:t xml:space="preserve"> fiscal policies (e.g. tariffs for importation of drugs, free health services, customs clearance etc.)</w:t>
                        </w:r>
                      </w:p>
                    </w:tc>
                    <w:tc>
                      <w:tcPr>
                        <w:tcW w:w="1391" w:type="dxa"/>
                        <w:tcBorders>
                          <w:top w:val="single" w:sz="6" w:space="0" w:color="231F20"/>
                          <w:left w:val="single" w:sz="6" w:space="0" w:color="231F20"/>
                          <w:bottom w:val="single" w:sz="6" w:space="0" w:color="231F20"/>
                          <w:right w:val="single" w:sz="6" w:space="0" w:color="231F20"/>
                        </w:tcBorders>
                      </w:tcPr>
                      <w:p w14:paraId="4DC45902" w14:textId="77777777" w:rsidR="00080B77" w:rsidRDefault="00080B77">
                        <w:pPr>
                          <w:pStyle w:val="TableParagraph"/>
                          <w:rPr>
                            <w:sz w:val="12"/>
                          </w:rPr>
                        </w:pPr>
                      </w:p>
                      <w:p w14:paraId="00978E9A"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51465A80" w14:textId="77777777" w:rsidR="00080B77" w:rsidRDefault="00080B77">
                        <w:pPr>
                          <w:pStyle w:val="TableParagraph"/>
                          <w:rPr>
                            <w:sz w:val="12"/>
                          </w:rPr>
                        </w:pPr>
                      </w:p>
                      <w:p w14:paraId="130AAEF4" w14:textId="77777777" w:rsidR="00080B77" w:rsidRDefault="00080B77">
                        <w:pPr>
                          <w:pStyle w:val="TableParagraph"/>
                          <w:ind w:left="26"/>
                          <w:rPr>
                            <w:sz w:val="10"/>
                          </w:rPr>
                        </w:pPr>
                        <w:r>
                          <w:rPr>
                            <w:color w:val="231F20"/>
                            <w:w w:val="115"/>
                            <w:sz w:val="10"/>
                          </w:rPr>
                          <w:t>No cost</w:t>
                        </w:r>
                      </w:p>
                    </w:tc>
                  </w:tr>
                  <w:tr w:rsidR="00080B77" w14:paraId="5536CB11" w14:textId="77777777">
                    <w:trPr>
                      <w:trHeight w:val="253"/>
                    </w:trPr>
                    <w:tc>
                      <w:tcPr>
                        <w:tcW w:w="1014" w:type="dxa"/>
                        <w:gridSpan w:val="3"/>
                        <w:vMerge/>
                        <w:tcBorders>
                          <w:top w:val="nil"/>
                          <w:left w:val="single" w:sz="6" w:space="0" w:color="231F20"/>
                          <w:bottom w:val="nil"/>
                          <w:right w:val="single" w:sz="6" w:space="0" w:color="231F20"/>
                        </w:tcBorders>
                      </w:tcPr>
                      <w:p w14:paraId="76A50303"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337181C0" w14:textId="77777777" w:rsidR="00080B77" w:rsidRDefault="00080B77">
                        <w:pPr>
                          <w:pStyle w:val="TableParagraph"/>
                          <w:spacing w:before="72"/>
                          <w:ind w:left="28" w:right="12"/>
                          <w:jc w:val="center"/>
                          <w:rPr>
                            <w:sz w:val="10"/>
                          </w:rPr>
                        </w:pPr>
                        <w:r>
                          <w:rPr>
                            <w:color w:val="231F20"/>
                            <w:w w:val="115"/>
                            <w:sz w:val="10"/>
                          </w:rPr>
                          <w:t>15.1.3.e</w:t>
                        </w:r>
                      </w:p>
                    </w:tc>
                    <w:tc>
                      <w:tcPr>
                        <w:tcW w:w="4772" w:type="dxa"/>
                        <w:gridSpan w:val="2"/>
                        <w:tcBorders>
                          <w:top w:val="single" w:sz="6" w:space="0" w:color="231F20"/>
                          <w:left w:val="single" w:sz="6" w:space="0" w:color="231F20"/>
                          <w:bottom w:val="single" w:sz="6" w:space="0" w:color="231F20"/>
                          <w:right w:val="single" w:sz="6" w:space="0" w:color="231F20"/>
                        </w:tcBorders>
                      </w:tcPr>
                      <w:p w14:paraId="248B7FBD" w14:textId="77777777" w:rsidR="00080B77" w:rsidRDefault="00080B77">
                        <w:pPr>
                          <w:pStyle w:val="TableParagraph"/>
                          <w:spacing w:before="67"/>
                          <w:ind w:left="22"/>
                          <w:rPr>
                            <w:sz w:val="10"/>
                          </w:rPr>
                        </w:pPr>
                        <w:r>
                          <w:rPr>
                            <w:color w:val="231F20"/>
                            <w:w w:val="115"/>
                            <w:sz w:val="10"/>
                          </w:rPr>
                          <w:t>Strengthening drug revolving funds (DRF) at all levels</w:t>
                        </w:r>
                      </w:p>
                    </w:tc>
                    <w:tc>
                      <w:tcPr>
                        <w:tcW w:w="1391" w:type="dxa"/>
                        <w:tcBorders>
                          <w:top w:val="single" w:sz="6" w:space="0" w:color="231F20"/>
                          <w:left w:val="single" w:sz="6" w:space="0" w:color="231F20"/>
                          <w:bottom w:val="single" w:sz="6" w:space="0" w:color="231F20"/>
                          <w:right w:val="single" w:sz="6" w:space="0" w:color="231F20"/>
                        </w:tcBorders>
                      </w:tcPr>
                      <w:p w14:paraId="16B03919" w14:textId="77777777" w:rsidR="00080B77" w:rsidRDefault="00080B77">
                        <w:pPr>
                          <w:pStyle w:val="TableParagraph"/>
                          <w:spacing w:before="72"/>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018B39D8" w14:textId="77777777" w:rsidR="00080B77" w:rsidRDefault="00080B77">
                        <w:pPr>
                          <w:pStyle w:val="TableParagraph"/>
                          <w:spacing w:before="72"/>
                          <w:ind w:left="26"/>
                          <w:rPr>
                            <w:sz w:val="10"/>
                          </w:rPr>
                        </w:pPr>
                        <w:r>
                          <w:rPr>
                            <w:color w:val="231F20"/>
                            <w:w w:val="115"/>
                            <w:sz w:val="10"/>
                          </w:rPr>
                          <w:t>No cost</w:t>
                        </w:r>
                      </w:p>
                    </w:tc>
                  </w:tr>
                  <w:tr w:rsidR="00080B77" w14:paraId="309A9C69" w14:textId="77777777">
                    <w:trPr>
                      <w:trHeight w:val="878"/>
                    </w:trPr>
                    <w:tc>
                      <w:tcPr>
                        <w:tcW w:w="571" w:type="dxa"/>
                        <w:gridSpan w:val="2"/>
                        <w:tcBorders>
                          <w:top w:val="nil"/>
                          <w:left w:val="single" w:sz="6" w:space="0" w:color="231F20"/>
                          <w:bottom w:val="nil"/>
                          <w:right w:val="single" w:sz="6" w:space="0" w:color="231F20"/>
                        </w:tcBorders>
                      </w:tcPr>
                      <w:p w14:paraId="32191C7A" w14:textId="77777777" w:rsidR="00080B77" w:rsidRDefault="00080B77">
                        <w:pPr>
                          <w:pStyle w:val="TableParagraph"/>
                          <w:rPr>
                            <w:rFonts w:ascii="Times New Roman"/>
                            <w:sz w:val="10"/>
                          </w:rPr>
                        </w:pPr>
                      </w:p>
                    </w:tc>
                    <w:tc>
                      <w:tcPr>
                        <w:tcW w:w="443" w:type="dxa"/>
                        <w:tcBorders>
                          <w:top w:val="single" w:sz="6" w:space="0" w:color="231F20"/>
                          <w:left w:val="single" w:sz="6" w:space="0" w:color="231F20"/>
                          <w:bottom w:val="single" w:sz="6" w:space="0" w:color="231F20"/>
                          <w:right w:val="single" w:sz="6" w:space="0" w:color="231F20"/>
                        </w:tcBorders>
                        <w:shd w:val="clear" w:color="auto" w:fill="CCE7D3"/>
                      </w:tcPr>
                      <w:p w14:paraId="08663656" w14:textId="77777777" w:rsidR="00080B77" w:rsidRDefault="00080B77">
                        <w:pPr>
                          <w:pStyle w:val="TableParagraph"/>
                          <w:rPr>
                            <w:sz w:val="10"/>
                          </w:rPr>
                        </w:pPr>
                      </w:p>
                      <w:p w14:paraId="543F35B1" w14:textId="77777777" w:rsidR="00080B77" w:rsidRDefault="00080B77">
                        <w:pPr>
                          <w:pStyle w:val="TableParagraph"/>
                          <w:rPr>
                            <w:sz w:val="10"/>
                          </w:rPr>
                        </w:pPr>
                      </w:p>
                      <w:p w14:paraId="17FBA6D6" w14:textId="77777777" w:rsidR="00080B77" w:rsidRDefault="00080B77">
                        <w:pPr>
                          <w:pStyle w:val="TableParagraph"/>
                          <w:spacing w:before="4"/>
                          <w:rPr>
                            <w:sz w:val="13"/>
                          </w:rPr>
                        </w:pPr>
                      </w:p>
                      <w:p w14:paraId="2C3C29EC" w14:textId="77777777" w:rsidR="00080B77" w:rsidRDefault="00080B77">
                        <w:pPr>
                          <w:pStyle w:val="TableParagraph"/>
                          <w:spacing w:before="1"/>
                          <w:ind w:left="34" w:right="34"/>
                          <w:jc w:val="center"/>
                          <w:rPr>
                            <w:sz w:val="10"/>
                          </w:rPr>
                        </w:pPr>
                        <w:r>
                          <w:rPr>
                            <w:color w:val="231F20"/>
                            <w:w w:val="115"/>
                            <w:sz w:val="10"/>
                          </w:rPr>
                          <w:t>15.1.4</w:t>
                        </w:r>
                      </w:p>
                    </w:tc>
                    <w:tc>
                      <w:tcPr>
                        <w:tcW w:w="2960" w:type="dxa"/>
                        <w:gridSpan w:val="2"/>
                        <w:tcBorders>
                          <w:top w:val="single" w:sz="6" w:space="0" w:color="231F20"/>
                          <w:left w:val="single" w:sz="6" w:space="0" w:color="231F20"/>
                          <w:bottom w:val="single" w:sz="6" w:space="0" w:color="231F20"/>
                          <w:right w:val="single" w:sz="6" w:space="0" w:color="231F20"/>
                        </w:tcBorders>
                        <w:shd w:val="clear" w:color="auto" w:fill="CCE7D3"/>
                      </w:tcPr>
                      <w:p w14:paraId="1B2115D5" w14:textId="77777777" w:rsidR="00080B77" w:rsidRDefault="00080B77">
                        <w:pPr>
                          <w:pStyle w:val="TableParagraph"/>
                          <w:rPr>
                            <w:sz w:val="10"/>
                          </w:rPr>
                        </w:pPr>
                      </w:p>
                      <w:p w14:paraId="5F4F50B6" w14:textId="77777777" w:rsidR="00080B77" w:rsidRDefault="00080B77">
                        <w:pPr>
                          <w:pStyle w:val="TableParagraph"/>
                          <w:spacing w:before="7"/>
                          <w:rPr>
                            <w:sz w:val="11"/>
                          </w:rPr>
                        </w:pPr>
                      </w:p>
                      <w:p w14:paraId="00D84923" w14:textId="77777777" w:rsidR="00080B77" w:rsidRDefault="00080B77">
                        <w:pPr>
                          <w:pStyle w:val="TableParagraph"/>
                          <w:spacing w:line="273" w:lineRule="auto"/>
                          <w:ind w:left="21" w:firstLine="32"/>
                          <w:rPr>
                            <w:sz w:val="10"/>
                          </w:rPr>
                        </w:pPr>
                        <w:r>
                          <w:rPr>
                            <w:color w:val="231F20"/>
                            <w:w w:val="115"/>
                            <w:sz w:val="10"/>
                          </w:rPr>
                          <w:t>Establish systems for health financing evidence generation and management at Federal, 36 States, and FCT</w:t>
                        </w:r>
                      </w:p>
                    </w:tc>
                    <w:tc>
                      <w:tcPr>
                        <w:tcW w:w="2324" w:type="dxa"/>
                        <w:tcBorders>
                          <w:top w:val="single" w:sz="6" w:space="0" w:color="231F20"/>
                          <w:left w:val="single" w:sz="6" w:space="0" w:color="231F20"/>
                          <w:bottom w:val="single" w:sz="6" w:space="0" w:color="231F20"/>
                          <w:right w:val="single" w:sz="6" w:space="0" w:color="231F20"/>
                        </w:tcBorders>
                        <w:shd w:val="clear" w:color="auto" w:fill="CCE7D3"/>
                      </w:tcPr>
                      <w:p w14:paraId="047A703A" w14:textId="77777777" w:rsidR="00080B77" w:rsidRDefault="00080B77">
                        <w:pPr>
                          <w:pStyle w:val="TableParagraph"/>
                          <w:numPr>
                            <w:ilvl w:val="0"/>
                            <w:numId w:val="13"/>
                          </w:numPr>
                          <w:tabs>
                            <w:tab w:val="left" w:pos="97"/>
                          </w:tabs>
                          <w:spacing w:before="3" w:line="273" w:lineRule="auto"/>
                          <w:ind w:right="56" w:firstLine="0"/>
                          <w:rPr>
                            <w:sz w:val="10"/>
                          </w:rPr>
                        </w:pPr>
                        <w:r>
                          <w:rPr>
                            <w:color w:val="231F20"/>
                            <w:w w:val="115"/>
                            <w:sz w:val="10"/>
                          </w:rPr>
                          <w:t>Institutional capacity for integrated financial management system development strengthened</w:t>
                        </w:r>
                      </w:p>
                      <w:p w14:paraId="68301080" w14:textId="77777777" w:rsidR="00080B77" w:rsidRDefault="00080B77">
                        <w:pPr>
                          <w:pStyle w:val="TableParagraph"/>
                          <w:numPr>
                            <w:ilvl w:val="0"/>
                            <w:numId w:val="13"/>
                          </w:numPr>
                          <w:tabs>
                            <w:tab w:val="left" w:pos="66"/>
                          </w:tabs>
                          <w:spacing w:before="2" w:line="273" w:lineRule="auto"/>
                          <w:ind w:right="138" w:firstLine="0"/>
                          <w:rPr>
                            <w:sz w:val="10"/>
                          </w:rPr>
                        </w:pPr>
                        <w:r>
                          <w:rPr>
                            <w:color w:val="231F20"/>
                            <w:w w:val="115"/>
                            <w:sz w:val="10"/>
                          </w:rPr>
                          <w:t>Information system for resource mapping for revenue generation updated</w:t>
                        </w:r>
                      </w:p>
                      <w:p w14:paraId="16F5E304" w14:textId="77777777" w:rsidR="00080B77" w:rsidRDefault="00080B77">
                        <w:pPr>
                          <w:pStyle w:val="TableParagraph"/>
                          <w:numPr>
                            <w:ilvl w:val="0"/>
                            <w:numId w:val="13"/>
                          </w:numPr>
                          <w:tabs>
                            <w:tab w:val="left" w:pos="129"/>
                          </w:tabs>
                          <w:spacing w:before="1"/>
                          <w:ind w:left="128" w:hanging="106"/>
                          <w:rPr>
                            <w:sz w:val="10"/>
                          </w:rPr>
                        </w:pPr>
                        <w:r>
                          <w:rPr>
                            <w:color w:val="231F20"/>
                            <w:spacing w:val="-3"/>
                            <w:w w:val="115"/>
                            <w:sz w:val="10"/>
                          </w:rPr>
                          <w:t xml:space="preserve">Tools </w:t>
                        </w:r>
                        <w:r>
                          <w:rPr>
                            <w:color w:val="231F20"/>
                            <w:w w:val="115"/>
                            <w:sz w:val="10"/>
                          </w:rPr>
                          <w:t xml:space="preserve">for collecting, </w:t>
                        </w:r>
                        <w:proofErr w:type="spellStart"/>
                        <w:r>
                          <w:rPr>
                            <w:color w:val="231F20"/>
                            <w:w w:val="115"/>
                            <w:sz w:val="10"/>
                          </w:rPr>
                          <w:t>analysing</w:t>
                        </w:r>
                        <w:proofErr w:type="spellEnd"/>
                        <w:r>
                          <w:rPr>
                            <w:color w:val="231F20"/>
                            <w:spacing w:val="3"/>
                            <w:w w:val="115"/>
                            <w:sz w:val="10"/>
                          </w:rPr>
                          <w:t xml:space="preserve"> </w:t>
                        </w:r>
                        <w:r>
                          <w:rPr>
                            <w:color w:val="231F20"/>
                            <w:w w:val="115"/>
                            <w:sz w:val="10"/>
                          </w:rPr>
                          <w:t>&amp;</w:t>
                        </w:r>
                      </w:p>
                      <w:p w14:paraId="7212C2E1" w14:textId="77777777" w:rsidR="00080B77" w:rsidRDefault="00080B77">
                        <w:pPr>
                          <w:pStyle w:val="TableParagraph"/>
                          <w:spacing w:before="16" w:line="65" w:lineRule="exact"/>
                          <w:ind w:left="23"/>
                          <w:rPr>
                            <w:sz w:val="10"/>
                          </w:rPr>
                        </w:pPr>
                        <w:r>
                          <w:rPr>
                            <w:color w:val="231F20"/>
                            <w:w w:val="115"/>
                            <w:sz w:val="10"/>
                          </w:rPr>
                          <w:t>dissemination of HF data developed</w:t>
                        </w:r>
                      </w:p>
                    </w:tc>
                    <w:tc>
                      <w:tcPr>
                        <w:tcW w:w="1391" w:type="dxa"/>
                        <w:tcBorders>
                          <w:top w:val="single" w:sz="6" w:space="0" w:color="231F20"/>
                          <w:left w:val="single" w:sz="6" w:space="0" w:color="231F20"/>
                          <w:bottom w:val="single" w:sz="6" w:space="0" w:color="231F20"/>
                          <w:right w:val="single" w:sz="6" w:space="0" w:color="231F20"/>
                        </w:tcBorders>
                        <w:shd w:val="clear" w:color="auto" w:fill="CCE7D3"/>
                      </w:tcPr>
                      <w:p w14:paraId="54CB14F1" w14:textId="77777777" w:rsidR="00080B77" w:rsidRDefault="00080B77">
                        <w:pPr>
                          <w:pStyle w:val="TableParagraph"/>
                          <w:rPr>
                            <w:rFonts w:ascii="Times New Roman"/>
                            <w:sz w:val="10"/>
                          </w:rPr>
                        </w:pPr>
                      </w:p>
                    </w:tc>
                    <w:tc>
                      <w:tcPr>
                        <w:tcW w:w="1467" w:type="dxa"/>
                        <w:tcBorders>
                          <w:top w:val="single" w:sz="6" w:space="0" w:color="231F20"/>
                          <w:left w:val="single" w:sz="6" w:space="0" w:color="231F20"/>
                          <w:bottom w:val="single" w:sz="6" w:space="0" w:color="231F20"/>
                          <w:right w:val="single" w:sz="6" w:space="0" w:color="231F20"/>
                        </w:tcBorders>
                        <w:shd w:val="clear" w:color="auto" w:fill="CCE7D3"/>
                      </w:tcPr>
                      <w:p w14:paraId="0DEF4E46" w14:textId="77777777" w:rsidR="00080B77" w:rsidRDefault="00080B77">
                        <w:pPr>
                          <w:pStyle w:val="TableParagraph"/>
                          <w:rPr>
                            <w:rFonts w:ascii="Times New Roman"/>
                            <w:sz w:val="10"/>
                          </w:rPr>
                        </w:pPr>
                      </w:p>
                    </w:tc>
                  </w:tr>
                  <w:tr w:rsidR="00080B77" w14:paraId="025A809B" w14:textId="77777777">
                    <w:trPr>
                      <w:trHeight w:val="370"/>
                    </w:trPr>
                    <w:tc>
                      <w:tcPr>
                        <w:tcW w:w="1014" w:type="dxa"/>
                        <w:gridSpan w:val="3"/>
                        <w:vMerge w:val="restart"/>
                        <w:tcBorders>
                          <w:top w:val="nil"/>
                          <w:left w:val="single" w:sz="6" w:space="0" w:color="231F20"/>
                          <w:right w:val="single" w:sz="6" w:space="0" w:color="231F20"/>
                        </w:tcBorders>
                      </w:tcPr>
                      <w:p w14:paraId="366F3ED6" w14:textId="77777777" w:rsidR="00080B77" w:rsidRDefault="00080B77">
                        <w:pPr>
                          <w:pStyle w:val="TableParagraph"/>
                          <w:rPr>
                            <w:rFonts w:ascii="Times New Roman"/>
                            <w:sz w:val="10"/>
                          </w:rPr>
                        </w:pPr>
                      </w:p>
                    </w:tc>
                    <w:tc>
                      <w:tcPr>
                        <w:tcW w:w="512" w:type="dxa"/>
                        <w:tcBorders>
                          <w:top w:val="single" w:sz="6" w:space="0" w:color="231F20"/>
                          <w:left w:val="single" w:sz="6" w:space="0" w:color="231F20"/>
                          <w:bottom w:val="single" w:sz="6" w:space="0" w:color="231F20"/>
                          <w:right w:val="single" w:sz="6" w:space="0" w:color="231F20"/>
                        </w:tcBorders>
                      </w:tcPr>
                      <w:p w14:paraId="64CA77A6" w14:textId="77777777" w:rsidR="00080B77" w:rsidRDefault="00080B77">
                        <w:pPr>
                          <w:pStyle w:val="TableParagraph"/>
                          <w:spacing w:before="5"/>
                          <w:rPr>
                            <w:sz w:val="11"/>
                          </w:rPr>
                        </w:pPr>
                      </w:p>
                      <w:p w14:paraId="465D0853" w14:textId="77777777" w:rsidR="00080B77" w:rsidRDefault="00080B77">
                        <w:pPr>
                          <w:pStyle w:val="TableParagraph"/>
                          <w:ind w:left="28" w:right="12"/>
                          <w:jc w:val="center"/>
                          <w:rPr>
                            <w:sz w:val="10"/>
                          </w:rPr>
                        </w:pPr>
                        <w:r>
                          <w:rPr>
                            <w:color w:val="231F20"/>
                            <w:w w:val="115"/>
                            <w:sz w:val="10"/>
                          </w:rPr>
                          <w:t>15.1.4.a</w:t>
                        </w:r>
                      </w:p>
                    </w:tc>
                    <w:tc>
                      <w:tcPr>
                        <w:tcW w:w="4772" w:type="dxa"/>
                        <w:gridSpan w:val="2"/>
                        <w:tcBorders>
                          <w:top w:val="single" w:sz="6" w:space="0" w:color="231F20"/>
                          <w:left w:val="single" w:sz="6" w:space="0" w:color="231F20"/>
                          <w:bottom w:val="single" w:sz="6" w:space="0" w:color="231F20"/>
                          <w:right w:val="single" w:sz="6" w:space="0" w:color="231F20"/>
                        </w:tcBorders>
                      </w:tcPr>
                      <w:p w14:paraId="7A153D01" w14:textId="224D63A6" w:rsidR="00080B77" w:rsidRDefault="00080B77">
                        <w:pPr>
                          <w:pStyle w:val="TableParagraph"/>
                          <w:spacing w:before="3"/>
                          <w:ind w:left="54"/>
                          <w:rPr>
                            <w:sz w:val="10"/>
                          </w:rPr>
                        </w:pPr>
                        <w:r>
                          <w:rPr>
                            <w:color w:val="231F20"/>
                            <w:w w:val="115"/>
                            <w:sz w:val="10"/>
                          </w:rPr>
                          <w:t>Establish/strengthen institutional capacity for integrated financial management system</w:t>
                        </w:r>
                      </w:p>
                      <w:p w14:paraId="1BD23BF0" w14:textId="77777777" w:rsidR="00080B77" w:rsidRDefault="00080B77">
                        <w:pPr>
                          <w:pStyle w:val="TableParagraph"/>
                          <w:spacing w:before="2" w:line="130" w:lineRule="atLeast"/>
                          <w:ind w:left="22" w:right="55"/>
                          <w:rPr>
                            <w:sz w:val="10"/>
                          </w:rPr>
                        </w:pPr>
                        <w:r>
                          <w:rPr>
                            <w:color w:val="231F20"/>
                            <w:w w:val="115"/>
                            <w:sz w:val="10"/>
                          </w:rPr>
                          <w:t>development for all health financing functions (resource mobilization, pooling and purchase of services)</w:t>
                        </w:r>
                      </w:p>
                    </w:tc>
                    <w:tc>
                      <w:tcPr>
                        <w:tcW w:w="1391" w:type="dxa"/>
                        <w:tcBorders>
                          <w:top w:val="single" w:sz="6" w:space="0" w:color="231F20"/>
                          <w:left w:val="single" w:sz="6" w:space="0" w:color="231F20"/>
                          <w:bottom w:val="single" w:sz="6" w:space="0" w:color="231F20"/>
                          <w:right w:val="single" w:sz="6" w:space="0" w:color="231F20"/>
                        </w:tcBorders>
                      </w:tcPr>
                      <w:p w14:paraId="6B52214E" w14:textId="77777777" w:rsidR="00080B77" w:rsidRDefault="00080B77">
                        <w:pPr>
                          <w:pStyle w:val="TableParagraph"/>
                          <w:spacing w:before="5"/>
                          <w:rPr>
                            <w:sz w:val="11"/>
                          </w:rPr>
                        </w:pPr>
                      </w:p>
                      <w:p w14:paraId="48D4933D"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1E216633" w14:textId="4844F1B1" w:rsidR="00080B77" w:rsidRDefault="00080B77">
                        <w:pPr>
                          <w:pStyle w:val="TableParagraph"/>
                          <w:spacing w:before="65" w:line="273" w:lineRule="auto"/>
                          <w:ind w:left="26" w:right="363"/>
                          <w:rPr>
                            <w:sz w:val="10"/>
                          </w:rPr>
                        </w:pPr>
                        <w:r>
                          <w:rPr>
                            <w:color w:val="231F20"/>
                            <w:w w:val="115"/>
                            <w:sz w:val="10"/>
                          </w:rPr>
                          <w:t>Establish/strengthen institutional capacity</w:t>
                        </w:r>
                      </w:p>
                    </w:tc>
                  </w:tr>
                  <w:tr w:rsidR="00080B77" w14:paraId="4913E40A" w14:textId="77777777">
                    <w:trPr>
                      <w:trHeight w:val="546"/>
                    </w:trPr>
                    <w:tc>
                      <w:tcPr>
                        <w:tcW w:w="1014" w:type="dxa"/>
                        <w:gridSpan w:val="3"/>
                        <w:vMerge/>
                        <w:tcBorders>
                          <w:top w:val="nil"/>
                          <w:left w:val="single" w:sz="6" w:space="0" w:color="231F20"/>
                          <w:right w:val="single" w:sz="6" w:space="0" w:color="231F20"/>
                        </w:tcBorders>
                      </w:tcPr>
                      <w:p w14:paraId="6504781F"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778137D8" w14:textId="77777777" w:rsidR="00080B77" w:rsidRDefault="00080B77">
                        <w:pPr>
                          <w:pStyle w:val="TableParagraph"/>
                          <w:rPr>
                            <w:sz w:val="10"/>
                          </w:rPr>
                        </w:pPr>
                      </w:p>
                      <w:p w14:paraId="3348509B" w14:textId="77777777" w:rsidR="00080B77" w:rsidRDefault="00080B77">
                        <w:pPr>
                          <w:pStyle w:val="TableParagraph"/>
                          <w:spacing w:before="6"/>
                          <w:rPr>
                            <w:sz w:val="8"/>
                          </w:rPr>
                        </w:pPr>
                      </w:p>
                      <w:p w14:paraId="78491CF4" w14:textId="77777777" w:rsidR="00080B77" w:rsidRDefault="00080B77">
                        <w:pPr>
                          <w:pStyle w:val="TableParagraph"/>
                          <w:ind w:left="28" w:right="12"/>
                          <w:jc w:val="center"/>
                          <w:rPr>
                            <w:sz w:val="10"/>
                          </w:rPr>
                        </w:pPr>
                        <w:r>
                          <w:rPr>
                            <w:color w:val="231F20"/>
                            <w:w w:val="115"/>
                            <w:sz w:val="10"/>
                          </w:rPr>
                          <w:t>15.1.4.b</w:t>
                        </w:r>
                      </w:p>
                    </w:tc>
                    <w:tc>
                      <w:tcPr>
                        <w:tcW w:w="4772" w:type="dxa"/>
                        <w:gridSpan w:val="2"/>
                        <w:tcBorders>
                          <w:top w:val="single" w:sz="6" w:space="0" w:color="231F20"/>
                          <w:left w:val="single" w:sz="6" w:space="0" w:color="231F20"/>
                          <w:bottom w:val="single" w:sz="6" w:space="0" w:color="231F20"/>
                          <w:right w:val="single" w:sz="6" w:space="0" w:color="231F20"/>
                        </w:tcBorders>
                      </w:tcPr>
                      <w:p w14:paraId="27E8A3E5" w14:textId="77777777" w:rsidR="00080B77" w:rsidRDefault="00080B77">
                        <w:pPr>
                          <w:pStyle w:val="TableParagraph"/>
                          <w:spacing w:before="77" w:line="273" w:lineRule="auto"/>
                          <w:ind w:left="22" w:right="95"/>
                          <w:rPr>
                            <w:sz w:val="10"/>
                          </w:rPr>
                        </w:pPr>
                        <w:r>
                          <w:rPr>
                            <w:color w:val="231F20"/>
                            <w:w w:val="115"/>
                            <w:sz w:val="10"/>
                          </w:rPr>
                          <w:t>Establish mechanisms for fostering inter-sectorial collaborations, public-private partnerships, and collaboration with community members, CSOs, and Development Partners to ensure improvement and coordination of health financing functions</w:t>
                        </w:r>
                      </w:p>
                    </w:tc>
                    <w:tc>
                      <w:tcPr>
                        <w:tcW w:w="1391" w:type="dxa"/>
                        <w:tcBorders>
                          <w:top w:val="single" w:sz="6" w:space="0" w:color="231F20"/>
                          <w:left w:val="single" w:sz="6" w:space="0" w:color="231F20"/>
                          <w:bottom w:val="single" w:sz="6" w:space="0" w:color="231F20"/>
                          <w:right w:val="single" w:sz="6" w:space="0" w:color="231F20"/>
                        </w:tcBorders>
                      </w:tcPr>
                      <w:p w14:paraId="22E4475C" w14:textId="77777777" w:rsidR="00080B77" w:rsidRDefault="00080B77">
                        <w:pPr>
                          <w:pStyle w:val="TableParagraph"/>
                          <w:rPr>
                            <w:sz w:val="10"/>
                          </w:rPr>
                        </w:pPr>
                      </w:p>
                      <w:p w14:paraId="2A924C9F" w14:textId="77777777" w:rsidR="00080B77" w:rsidRDefault="00080B77">
                        <w:pPr>
                          <w:pStyle w:val="TableParagraph"/>
                          <w:spacing w:before="6"/>
                          <w:rPr>
                            <w:sz w:val="8"/>
                          </w:rPr>
                        </w:pPr>
                      </w:p>
                      <w:p w14:paraId="49922C14"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07B1DD93" w14:textId="77777777" w:rsidR="00080B77" w:rsidRDefault="00080B77">
                        <w:pPr>
                          <w:pStyle w:val="TableParagraph"/>
                          <w:rPr>
                            <w:sz w:val="10"/>
                          </w:rPr>
                        </w:pPr>
                      </w:p>
                      <w:p w14:paraId="4D8E0FDE" w14:textId="77777777" w:rsidR="00080B77" w:rsidRDefault="00080B77">
                        <w:pPr>
                          <w:pStyle w:val="TableParagraph"/>
                          <w:spacing w:before="6"/>
                          <w:rPr>
                            <w:sz w:val="8"/>
                          </w:rPr>
                        </w:pPr>
                      </w:p>
                      <w:p w14:paraId="5E038BB7" w14:textId="77777777" w:rsidR="00080B77" w:rsidRDefault="00080B77">
                        <w:pPr>
                          <w:pStyle w:val="TableParagraph"/>
                          <w:ind w:left="26"/>
                          <w:rPr>
                            <w:sz w:val="10"/>
                          </w:rPr>
                        </w:pPr>
                        <w:r>
                          <w:rPr>
                            <w:color w:val="231F20"/>
                            <w:w w:val="115"/>
                            <w:sz w:val="10"/>
                          </w:rPr>
                          <w:t>Costed in 3.1.1b</w:t>
                        </w:r>
                      </w:p>
                    </w:tc>
                  </w:tr>
                  <w:tr w:rsidR="00080B77" w14:paraId="715EDEE4" w14:textId="77777777">
                    <w:trPr>
                      <w:trHeight w:val="374"/>
                    </w:trPr>
                    <w:tc>
                      <w:tcPr>
                        <w:tcW w:w="1014" w:type="dxa"/>
                        <w:gridSpan w:val="3"/>
                        <w:vMerge/>
                        <w:tcBorders>
                          <w:top w:val="nil"/>
                          <w:left w:val="single" w:sz="6" w:space="0" w:color="231F20"/>
                          <w:right w:val="single" w:sz="6" w:space="0" w:color="231F20"/>
                        </w:tcBorders>
                      </w:tcPr>
                      <w:p w14:paraId="1B203771"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3DFB9B6E" w14:textId="77777777" w:rsidR="00080B77" w:rsidRDefault="00080B77">
                        <w:pPr>
                          <w:pStyle w:val="TableParagraph"/>
                          <w:spacing w:before="6"/>
                          <w:rPr>
                            <w:sz w:val="11"/>
                          </w:rPr>
                        </w:pPr>
                      </w:p>
                      <w:p w14:paraId="78869955" w14:textId="77777777" w:rsidR="00080B77" w:rsidRDefault="00080B77">
                        <w:pPr>
                          <w:pStyle w:val="TableParagraph"/>
                          <w:ind w:left="28" w:right="12"/>
                          <w:jc w:val="center"/>
                          <w:rPr>
                            <w:sz w:val="10"/>
                          </w:rPr>
                        </w:pPr>
                        <w:r>
                          <w:rPr>
                            <w:color w:val="231F20"/>
                            <w:w w:val="115"/>
                            <w:sz w:val="10"/>
                          </w:rPr>
                          <w:t>15.1.4.c</w:t>
                        </w:r>
                      </w:p>
                    </w:tc>
                    <w:tc>
                      <w:tcPr>
                        <w:tcW w:w="4772" w:type="dxa"/>
                        <w:gridSpan w:val="2"/>
                        <w:tcBorders>
                          <w:top w:val="single" w:sz="6" w:space="0" w:color="231F20"/>
                          <w:left w:val="single" w:sz="6" w:space="0" w:color="231F20"/>
                          <w:bottom w:val="single" w:sz="6" w:space="0" w:color="231F20"/>
                          <w:right w:val="single" w:sz="6" w:space="0" w:color="231F20"/>
                        </w:tcBorders>
                      </w:tcPr>
                      <w:p w14:paraId="5EB551EE" w14:textId="77777777" w:rsidR="00080B77" w:rsidRDefault="00080B77">
                        <w:pPr>
                          <w:pStyle w:val="TableParagraph"/>
                          <w:spacing w:before="1"/>
                          <w:rPr>
                            <w:sz w:val="11"/>
                          </w:rPr>
                        </w:pPr>
                      </w:p>
                      <w:p w14:paraId="6D1501A2" w14:textId="77777777" w:rsidR="00080B77" w:rsidRDefault="00080B77">
                        <w:pPr>
                          <w:pStyle w:val="TableParagraph"/>
                          <w:spacing w:before="1"/>
                          <w:ind w:left="22"/>
                          <w:rPr>
                            <w:sz w:val="10"/>
                          </w:rPr>
                        </w:pPr>
                        <w:r>
                          <w:rPr>
                            <w:color w:val="231F20"/>
                            <w:w w:val="115"/>
                            <w:sz w:val="10"/>
                          </w:rPr>
                          <w:t>Update information system for resource mapping for revenue generation.</w:t>
                        </w:r>
                      </w:p>
                    </w:tc>
                    <w:tc>
                      <w:tcPr>
                        <w:tcW w:w="1391" w:type="dxa"/>
                        <w:tcBorders>
                          <w:top w:val="single" w:sz="6" w:space="0" w:color="231F20"/>
                          <w:left w:val="single" w:sz="6" w:space="0" w:color="231F20"/>
                          <w:bottom w:val="single" w:sz="6" w:space="0" w:color="231F20"/>
                          <w:right w:val="single" w:sz="6" w:space="0" w:color="231F20"/>
                        </w:tcBorders>
                      </w:tcPr>
                      <w:p w14:paraId="59EC8C73" w14:textId="77777777" w:rsidR="00080B77" w:rsidRDefault="00080B77">
                        <w:pPr>
                          <w:pStyle w:val="TableParagraph"/>
                          <w:spacing w:before="6"/>
                          <w:rPr>
                            <w:sz w:val="11"/>
                          </w:rPr>
                        </w:pPr>
                      </w:p>
                      <w:p w14:paraId="62D5077E"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218D664F" w14:textId="77777777" w:rsidR="00080B77" w:rsidRDefault="00080B77">
                        <w:pPr>
                          <w:pStyle w:val="TableParagraph"/>
                          <w:spacing w:before="6"/>
                          <w:rPr>
                            <w:sz w:val="11"/>
                          </w:rPr>
                        </w:pPr>
                      </w:p>
                      <w:p w14:paraId="489AB001" w14:textId="77777777" w:rsidR="00080B77" w:rsidRDefault="00080B77">
                        <w:pPr>
                          <w:pStyle w:val="TableParagraph"/>
                          <w:ind w:left="26"/>
                          <w:rPr>
                            <w:sz w:val="10"/>
                          </w:rPr>
                        </w:pPr>
                        <w:r>
                          <w:rPr>
                            <w:color w:val="231F20"/>
                            <w:w w:val="115"/>
                            <w:sz w:val="10"/>
                          </w:rPr>
                          <w:t>No cost</w:t>
                        </w:r>
                      </w:p>
                    </w:tc>
                  </w:tr>
                  <w:tr w:rsidR="00080B77" w14:paraId="7E7FA169" w14:textId="77777777">
                    <w:trPr>
                      <w:trHeight w:val="328"/>
                    </w:trPr>
                    <w:tc>
                      <w:tcPr>
                        <w:tcW w:w="1014" w:type="dxa"/>
                        <w:gridSpan w:val="3"/>
                        <w:vMerge/>
                        <w:tcBorders>
                          <w:top w:val="nil"/>
                          <w:left w:val="single" w:sz="6" w:space="0" w:color="231F20"/>
                          <w:right w:val="single" w:sz="6" w:space="0" w:color="231F20"/>
                        </w:tcBorders>
                      </w:tcPr>
                      <w:p w14:paraId="5F99CA6F" w14:textId="77777777" w:rsidR="00080B77" w:rsidRDefault="00080B77">
                        <w:pPr>
                          <w:rPr>
                            <w:sz w:val="2"/>
                            <w:szCs w:val="2"/>
                          </w:rPr>
                        </w:pPr>
                      </w:p>
                    </w:tc>
                    <w:tc>
                      <w:tcPr>
                        <w:tcW w:w="512" w:type="dxa"/>
                        <w:tcBorders>
                          <w:top w:val="single" w:sz="6" w:space="0" w:color="231F20"/>
                          <w:left w:val="single" w:sz="6" w:space="0" w:color="231F20"/>
                          <w:bottom w:val="single" w:sz="6" w:space="0" w:color="231F20"/>
                          <w:right w:val="single" w:sz="6" w:space="0" w:color="231F20"/>
                        </w:tcBorders>
                      </w:tcPr>
                      <w:p w14:paraId="29F7FD09" w14:textId="77777777" w:rsidR="00080B77" w:rsidRDefault="00080B77">
                        <w:pPr>
                          <w:pStyle w:val="TableParagraph"/>
                          <w:spacing w:before="5"/>
                          <w:rPr>
                            <w:sz w:val="9"/>
                          </w:rPr>
                        </w:pPr>
                      </w:p>
                      <w:p w14:paraId="29B30DA6" w14:textId="77777777" w:rsidR="00080B77" w:rsidRDefault="00080B77">
                        <w:pPr>
                          <w:pStyle w:val="TableParagraph"/>
                          <w:ind w:left="28" w:right="12"/>
                          <w:jc w:val="center"/>
                          <w:rPr>
                            <w:sz w:val="10"/>
                          </w:rPr>
                        </w:pPr>
                        <w:r>
                          <w:rPr>
                            <w:color w:val="231F20"/>
                            <w:w w:val="115"/>
                            <w:sz w:val="10"/>
                          </w:rPr>
                          <w:t>15.1.4.d</w:t>
                        </w:r>
                      </w:p>
                    </w:tc>
                    <w:tc>
                      <w:tcPr>
                        <w:tcW w:w="4772" w:type="dxa"/>
                        <w:gridSpan w:val="2"/>
                        <w:tcBorders>
                          <w:top w:val="single" w:sz="6" w:space="0" w:color="231F20"/>
                          <w:left w:val="single" w:sz="6" w:space="0" w:color="231F20"/>
                          <w:bottom w:val="single" w:sz="6" w:space="0" w:color="231F20"/>
                          <w:right w:val="single" w:sz="6" w:space="0" w:color="231F20"/>
                        </w:tcBorders>
                      </w:tcPr>
                      <w:p w14:paraId="551F68CD" w14:textId="77777777" w:rsidR="00080B77" w:rsidRDefault="00080B77">
                        <w:pPr>
                          <w:pStyle w:val="TableParagraph"/>
                          <w:spacing w:before="1"/>
                          <w:rPr>
                            <w:sz w:val="9"/>
                          </w:rPr>
                        </w:pPr>
                      </w:p>
                      <w:p w14:paraId="310475F6" w14:textId="77777777" w:rsidR="00080B77" w:rsidRDefault="00080B77">
                        <w:pPr>
                          <w:pStyle w:val="TableParagraph"/>
                          <w:ind w:left="54"/>
                          <w:rPr>
                            <w:sz w:val="10"/>
                          </w:rPr>
                        </w:pPr>
                        <w:r>
                          <w:rPr>
                            <w:color w:val="231F20"/>
                            <w:w w:val="115"/>
                            <w:sz w:val="10"/>
                          </w:rPr>
                          <w:t xml:space="preserve">Develop tools for collecting, </w:t>
                        </w:r>
                        <w:proofErr w:type="spellStart"/>
                        <w:r>
                          <w:rPr>
                            <w:color w:val="231F20"/>
                            <w:w w:val="115"/>
                            <w:sz w:val="10"/>
                          </w:rPr>
                          <w:t>analysing</w:t>
                        </w:r>
                        <w:proofErr w:type="spellEnd"/>
                        <w:r>
                          <w:rPr>
                            <w:color w:val="231F20"/>
                            <w:w w:val="115"/>
                            <w:sz w:val="10"/>
                          </w:rPr>
                          <w:t xml:space="preserve"> &amp; dissemination of HF data</w:t>
                        </w:r>
                      </w:p>
                    </w:tc>
                    <w:tc>
                      <w:tcPr>
                        <w:tcW w:w="1391" w:type="dxa"/>
                        <w:tcBorders>
                          <w:top w:val="single" w:sz="6" w:space="0" w:color="231F20"/>
                          <w:left w:val="single" w:sz="6" w:space="0" w:color="231F20"/>
                          <w:bottom w:val="single" w:sz="6" w:space="0" w:color="231F20"/>
                          <w:right w:val="single" w:sz="6" w:space="0" w:color="231F20"/>
                        </w:tcBorders>
                      </w:tcPr>
                      <w:p w14:paraId="132E3104" w14:textId="77777777" w:rsidR="00080B77" w:rsidRDefault="00080B77">
                        <w:pPr>
                          <w:pStyle w:val="TableParagraph"/>
                          <w:spacing w:before="5"/>
                          <w:rPr>
                            <w:sz w:val="9"/>
                          </w:rPr>
                        </w:pPr>
                      </w:p>
                      <w:p w14:paraId="6E1B2757"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bottom w:val="single" w:sz="6" w:space="0" w:color="231F20"/>
                          <w:right w:val="single" w:sz="6" w:space="0" w:color="231F20"/>
                        </w:tcBorders>
                      </w:tcPr>
                      <w:p w14:paraId="22C119FC" w14:textId="77777777" w:rsidR="00080B77" w:rsidRDefault="00080B77">
                        <w:pPr>
                          <w:pStyle w:val="TableParagraph"/>
                          <w:spacing w:before="5"/>
                          <w:rPr>
                            <w:sz w:val="9"/>
                          </w:rPr>
                        </w:pPr>
                      </w:p>
                      <w:p w14:paraId="650EA93E" w14:textId="77777777" w:rsidR="00080B77" w:rsidRDefault="00080B77">
                        <w:pPr>
                          <w:pStyle w:val="TableParagraph"/>
                          <w:ind w:left="26"/>
                          <w:rPr>
                            <w:sz w:val="10"/>
                          </w:rPr>
                        </w:pPr>
                        <w:r>
                          <w:rPr>
                            <w:color w:val="231F20"/>
                            <w:w w:val="115"/>
                            <w:sz w:val="10"/>
                          </w:rPr>
                          <w:t>Develop tools</w:t>
                        </w:r>
                      </w:p>
                    </w:tc>
                  </w:tr>
                  <w:tr w:rsidR="00080B77" w14:paraId="547BAD4D" w14:textId="77777777">
                    <w:trPr>
                      <w:trHeight w:val="410"/>
                    </w:trPr>
                    <w:tc>
                      <w:tcPr>
                        <w:tcW w:w="1014" w:type="dxa"/>
                        <w:gridSpan w:val="3"/>
                        <w:vMerge/>
                        <w:tcBorders>
                          <w:top w:val="nil"/>
                          <w:left w:val="single" w:sz="6" w:space="0" w:color="231F20"/>
                          <w:right w:val="single" w:sz="6" w:space="0" w:color="231F20"/>
                        </w:tcBorders>
                      </w:tcPr>
                      <w:p w14:paraId="01603CF3" w14:textId="77777777" w:rsidR="00080B77" w:rsidRDefault="00080B77">
                        <w:pPr>
                          <w:rPr>
                            <w:sz w:val="2"/>
                            <w:szCs w:val="2"/>
                          </w:rPr>
                        </w:pPr>
                      </w:p>
                    </w:tc>
                    <w:tc>
                      <w:tcPr>
                        <w:tcW w:w="512" w:type="dxa"/>
                        <w:tcBorders>
                          <w:top w:val="single" w:sz="6" w:space="0" w:color="231F20"/>
                          <w:left w:val="single" w:sz="6" w:space="0" w:color="231F20"/>
                          <w:right w:val="single" w:sz="6" w:space="0" w:color="231F20"/>
                        </w:tcBorders>
                      </w:tcPr>
                      <w:p w14:paraId="640ED6DF" w14:textId="77777777" w:rsidR="00080B77" w:rsidRDefault="00080B77">
                        <w:pPr>
                          <w:pStyle w:val="TableParagraph"/>
                          <w:spacing w:before="2"/>
                          <w:rPr>
                            <w:sz w:val="13"/>
                          </w:rPr>
                        </w:pPr>
                      </w:p>
                      <w:p w14:paraId="28560361" w14:textId="77777777" w:rsidR="00080B77" w:rsidRDefault="00080B77">
                        <w:pPr>
                          <w:pStyle w:val="TableParagraph"/>
                          <w:ind w:left="28" w:right="12"/>
                          <w:jc w:val="center"/>
                          <w:rPr>
                            <w:sz w:val="10"/>
                          </w:rPr>
                        </w:pPr>
                        <w:r>
                          <w:rPr>
                            <w:color w:val="231F20"/>
                            <w:w w:val="115"/>
                            <w:sz w:val="10"/>
                          </w:rPr>
                          <w:t>15.1.4.e</w:t>
                        </w:r>
                      </w:p>
                    </w:tc>
                    <w:tc>
                      <w:tcPr>
                        <w:tcW w:w="4772" w:type="dxa"/>
                        <w:gridSpan w:val="2"/>
                        <w:tcBorders>
                          <w:top w:val="single" w:sz="6" w:space="0" w:color="231F20"/>
                          <w:left w:val="single" w:sz="6" w:space="0" w:color="231F20"/>
                          <w:right w:val="single" w:sz="6" w:space="0" w:color="231F20"/>
                        </w:tcBorders>
                      </w:tcPr>
                      <w:p w14:paraId="06CC616E" w14:textId="77777777" w:rsidR="00080B77" w:rsidRDefault="00080B77">
                        <w:pPr>
                          <w:pStyle w:val="TableParagraph"/>
                          <w:spacing w:before="81" w:line="273" w:lineRule="auto"/>
                          <w:ind w:left="22"/>
                          <w:rPr>
                            <w:sz w:val="10"/>
                          </w:rPr>
                        </w:pPr>
                        <w:r>
                          <w:rPr>
                            <w:color w:val="231F20"/>
                            <w:w w:val="115"/>
                            <w:sz w:val="10"/>
                          </w:rPr>
                          <w:t>Establish a platform for strategic collaborative linkages between NHIS and state health insurance schemes as well as NPHCDA and SPHCDAs</w:t>
                        </w:r>
                      </w:p>
                    </w:tc>
                    <w:tc>
                      <w:tcPr>
                        <w:tcW w:w="1391" w:type="dxa"/>
                        <w:tcBorders>
                          <w:top w:val="single" w:sz="6" w:space="0" w:color="231F20"/>
                          <w:left w:val="single" w:sz="6" w:space="0" w:color="231F20"/>
                          <w:right w:val="single" w:sz="6" w:space="0" w:color="231F20"/>
                        </w:tcBorders>
                      </w:tcPr>
                      <w:p w14:paraId="69C26D7C" w14:textId="77777777" w:rsidR="00080B77" w:rsidRDefault="00080B77">
                        <w:pPr>
                          <w:pStyle w:val="TableParagraph"/>
                          <w:spacing w:before="2"/>
                          <w:rPr>
                            <w:sz w:val="13"/>
                          </w:rPr>
                        </w:pPr>
                      </w:p>
                      <w:p w14:paraId="62EF148C" w14:textId="77777777" w:rsidR="00080B77" w:rsidRDefault="00080B77">
                        <w:pPr>
                          <w:pStyle w:val="TableParagraph"/>
                          <w:ind w:left="25"/>
                          <w:rPr>
                            <w:sz w:val="10"/>
                          </w:rPr>
                        </w:pPr>
                        <w:r>
                          <w:rPr>
                            <w:color w:val="231F20"/>
                            <w:w w:val="115"/>
                            <w:sz w:val="10"/>
                          </w:rPr>
                          <w:t>Lack of funds</w:t>
                        </w:r>
                      </w:p>
                    </w:tc>
                    <w:tc>
                      <w:tcPr>
                        <w:tcW w:w="1467" w:type="dxa"/>
                        <w:tcBorders>
                          <w:top w:val="single" w:sz="6" w:space="0" w:color="231F20"/>
                          <w:left w:val="single" w:sz="6" w:space="0" w:color="231F20"/>
                          <w:right w:val="single" w:sz="6" w:space="0" w:color="231F20"/>
                        </w:tcBorders>
                      </w:tcPr>
                      <w:p w14:paraId="08F42B49" w14:textId="77777777" w:rsidR="00080B77" w:rsidRDefault="00080B77">
                        <w:pPr>
                          <w:pStyle w:val="TableParagraph"/>
                          <w:spacing w:before="2"/>
                          <w:rPr>
                            <w:sz w:val="13"/>
                          </w:rPr>
                        </w:pPr>
                      </w:p>
                      <w:p w14:paraId="1A2D3CA1" w14:textId="77777777" w:rsidR="00080B77" w:rsidRDefault="00080B77">
                        <w:pPr>
                          <w:pStyle w:val="TableParagraph"/>
                          <w:ind w:left="26"/>
                          <w:rPr>
                            <w:sz w:val="10"/>
                          </w:rPr>
                        </w:pPr>
                        <w:r>
                          <w:rPr>
                            <w:color w:val="231F20"/>
                            <w:w w:val="115"/>
                            <w:sz w:val="10"/>
                          </w:rPr>
                          <w:t>No cost</w:t>
                        </w:r>
                      </w:p>
                    </w:tc>
                  </w:tr>
                </w:tbl>
                <w:p w14:paraId="27B44162" w14:textId="77777777" w:rsidR="00080B77" w:rsidRDefault="00080B77">
                  <w:pPr>
                    <w:pStyle w:val="BodyText"/>
                  </w:pPr>
                </w:p>
              </w:txbxContent>
            </v:textbox>
            <w10:wrap anchorx="page" anchory="page"/>
          </v:shape>
        </w:pict>
      </w:r>
    </w:p>
    <w:p w14:paraId="520F9014" w14:textId="77777777" w:rsidR="009948F1" w:rsidRDefault="009948F1">
      <w:pPr>
        <w:pStyle w:val="BodyText"/>
        <w:rPr>
          <w:sz w:val="20"/>
        </w:rPr>
      </w:pPr>
    </w:p>
    <w:p w14:paraId="3A172609" w14:textId="77777777" w:rsidR="009948F1" w:rsidRDefault="009948F1">
      <w:pPr>
        <w:pStyle w:val="BodyText"/>
        <w:rPr>
          <w:sz w:val="20"/>
        </w:rPr>
      </w:pPr>
    </w:p>
    <w:p w14:paraId="251AE7C9" w14:textId="77777777" w:rsidR="009948F1" w:rsidRDefault="009948F1">
      <w:pPr>
        <w:pStyle w:val="BodyText"/>
        <w:rPr>
          <w:sz w:val="20"/>
        </w:rPr>
      </w:pPr>
    </w:p>
    <w:p w14:paraId="143ACC8F" w14:textId="77777777" w:rsidR="009948F1" w:rsidRDefault="009948F1">
      <w:pPr>
        <w:pStyle w:val="BodyText"/>
        <w:rPr>
          <w:sz w:val="20"/>
        </w:rPr>
      </w:pPr>
    </w:p>
    <w:p w14:paraId="2EC648D1" w14:textId="77777777" w:rsidR="009948F1" w:rsidRDefault="009948F1">
      <w:pPr>
        <w:pStyle w:val="BodyText"/>
        <w:rPr>
          <w:sz w:val="20"/>
        </w:rPr>
      </w:pPr>
    </w:p>
    <w:p w14:paraId="07E43C9E" w14:textId="77777777" w:rsidR="009948F1" w:rsidRDefault="009948F1">
      <w:pPr>
        <w:pStyle w:val="BodyText"/>
        <w:rPr>
          <w:sz w:val="20"/>
        </w:rPr>
      </w:pPr>
    </w:p>
    <w:p w14:paraId="59F61FD6" w14:textId="77777777" w:rsidR="009948F1" w:rsidRDefault="009948F1">
      <w:pPr>
        <w:pStyle w:val="BodyText"/>
        <w:rPr>
          <w:sz w:val="20"/>
        </w:rPr>
      </w:pPr>
    </w:p>
    <w:p w14:paraId="5230358C" w14:textId="77777777" w:rsidR="009948F1" w:rsidRDefault="009948F1">
      <w:pPr>
        <w:pStyle w:val="BodyText"/>
        <w:rPr>
          <w:sz w:val="20"/>
        </w:rPr>
      </w:pPr>
    </w:p>
    <w:p w14:paraId="1E832FC7" w14:textId="77777777" w:rsidR="009948F1" w:rsidRDefault="009948F1">
      <w:pPr>
        <w:pStyle w:val="BodyText"/>
        <w:rPr>
          <w:sz w:val="20"/>
        </w:rPr>
      </w:pPr>
    </w:p>
    <w:p w14:paraId="29CC98B2" w14:textId="77777777" w:rsidR="009948F1" w:rsidRDefault="009948F1">
      <w:pPr>
        <w:pStyle w:val="BodyText"/>
        <w:rPr>
          <w:sz w:val="20"/>
        </w:rPr>
      </w:pPr>
    </w:p>
    <w:p w14:paraId="290AAF5F" w14:textId="77777777" w:rsidR="009948F1" w:rsidRDefault="009948F1">
      <w:pPr>
        <w:pStyle w:val="BodyText"/>
        <w:rPr>
          <w:sz w:val="20"/>
        </w:rPr>
      </w:pPr>
    </w:p>
    <w:p w14:paraId="19F686A9" w14:textId="77777777" w:rsidR="009948F1" w:rsidRDefault="009948F1">
      <w:pPr>
        <w:pStyle w:val="BodyText"/>
        <w:rPr>
          <w:sz w:val="20"/>
        </w:rPr>
      </w:pPr>
    </w:p>
    <w:p w14:paraId="2198CF3F" w14:textId="77777777" w:rsidR="009948F1" w:rsidRDefault="009948F1">
      <w:pPr>
        <w:pStyle w:val="BodyText"/>
        <w:rPr>
          <w:sz w:val="20"/>
        </w:rPr>
      </w:pPr>
    </w:p>
    <w:p w14:paraId="7E537328" w14:textId="77777777" w:rsidR="009948F1" w:rsidRDefault="009948F1">
      <w:pPr>
        <w:pStyle w:val="BodyText"/>
        <w:rPr>
          <w:sz w:val="20"/>
        </w:rPr>
      </w:pPr>
    </w:p>
    <w:p w14:paraId="6275CC7A" w14:textId="77777777" w:rsidR="009948F1" w:rsidRDefault="009948F1">
      <w:pPr>
        <w:pStyle w:val="BodyText"/>
        <w:rPr>
          <w:sz w:val="20"/>
        </w:rPr>
      </w:pPr>
    </w:p>
    <w:p w14:paraId="5C324367" w14:textId="77777777" w:rsidR="009948F1" w:rsidRDefault="009948F1">
      <w:pPr>
        <w:pStyle w:val="BodyText"/>
        <w:rPr>
          <w:sz w:val="20"/>
        </w:rPr>
      </w:pPr>
    </w:p>
    <w:p w14:paraId="0F50B384" w14:textId="77777777" w:rsidR="009948F1" w:rsidRDefault="009948F1">
      <w:pPr>
        <w:pStyle w:val="BodyText"/>
        <w:rPr>
          <w:sz w:val="20"/>
        </w:rPr>
      </w:pPr>
    </w:p>
    <w:p w14:paraId="2603946A" w14:textId="77777777" w:rsidR="009948F1" w:rsidRDefault="009948F1">
      <w:pPr>
        <w:pStyle w:val="BodyText"/>
        <w:rPr>
          <w:sz w:val="20"/>
        </w:rPr>
      </w:pPr>
    </w:p>
    <w:p w14:paraId="72616898" w14:textId="77777777" w:rsidR="009948F1" w:rsidRDefault="009948F1">
      <w:pPr>
        <w:pStyle w:val="BodyText"/>
        <w:rPr>
          <w:sz w:val="20"/>
        </w:rPr>
      </w:pPr>
    </w:p>
    <w:p w14:paraId="1DF67101" w14:textId="77777777" w:rsidR="009948F1" w:rsidRDefault="009948F1">
      <w:pPr>
        <w:pStyle w:val="BodyText"/>
        <w:rPr>
          <w:sz w:val="20"/>
        </w:rPr>
      </w:pPr>
    </w:p>
    <w:p w14:paraId="1259E87E" w14:textId="77777777" w:rsidR="009948F1" w:rsidRDefault="009948F1">
      <w:pPr>
        <w:pStyle w:val="BodyText"/>
        <w:rPr>
          <w:sz w:val="20"/>
        </w:rPr>
      </w:pPr>
    </w:p>
    <w:p w14:paraId="1E38D4EF" w14:textId="77777777" w:rsidR="009948F1" w:rsidRDefault="009948F1">
      <w:pPr>
        <w:pStyle w:val="BodyText"/>
        <w:rPr>
          <w:sz w:val="20"/>
        </w:rPr>
      </w:pPr>
    </w:p>
    <w:p w14:paraId="054DA048" w14:textId="77777777" w:rsidR="009948F1" w:rsidRDefault="009948F1">
      <w:pPr>
        <w:pStyle w:val="BodyText"/>
        <w:rPr>
          <w:sz w:val="20"/>
        </w:rPr>
      </w:pPr>
    </w:p>
    <w:p w14:paraId="0E0A9A43" w14:textId="77777777" w:rsidR="009948F1" w:rsidRDefault="009948F1">
      <w:pPr>
        <w:pStyle w:val="BodyText"/>
        <w:rPr>
          <w:sz w:val="20"/>
        </w:rPr>
      </w:pPr>
    </w:p>
    <w:p w14:paraId="47CCC758" w14:textId="77777777" w:rsidR="009948F1" w:rsidRDefault="009948F1">
      <w:pPr>
        <w:pStyle w:val="BodyText"/>
        <w:rPr>
          <w:sz w:val="20"/>
        </w:rPr>
      </w:pPr>
    </w:p>
    <w:p w14:paraId="16084DFE" w14:textId="77777777" w:rsidR="009948F1" w:rsidRDefault="009948F1">
      <w:pPr>
        <w:pStyle w:val="BodyText"/>
        <w:rPr>
          <w:sz w:val="20"/>
        </w:rPr>
      </w:pPr>
    </w:p>
    <w:p w14:paraId="57A4C6A3" w14:textId="77777777" w:rsidR="009948F1" w:rsidRDefault="009948F1">
      <w:pPr>
        <w:pStyle w:val="BodyText"/>
        <w:rPr>
          <w:sz w:val="20"/>
        </w:rPr>
      </w:pPr>
    </w:p>
    <w:p w14:paraId="67655259" w14:textId="77777777" w:rsidR="009948F1" w:rsidRDefault="009948F1">
      <w:pPr>
        <w:pStyle w:val="BodyText"/>
        <w:rPr>
          <w:sz w:val="20"/>
        </w:rPr>
      </w:pPr>
    </w:p>
    <w:p w14:paraId="35151931" w14:textId="77777777" w:rsidR="009948F1" w:rsidRDefault="009948F1">
      <w:pPr>
        <w:pStyle w:val="BodyText"/>
        <w:rPr>
          <w:sz w:val="20"/>
        </w:rPr>
      </w:pPr>
    </w:p>
    <w:p w14:paraId="0574461F" w14:textId="77777777" w:rsidR="009948F1" w:rsidRDefault="009948F1">
      <w:pPr>
        <w:pStyle w:val="BodyText"/>
        <w:rPr>
          <w:sz w:val="20"/>
        </w:rPr>
      </w:pPr>
    </w:p>
    <w:p w14:paraId="58B2B427" w14:textId="77777777" w:rsidR="009948F1" w:rsidRDefault="009948F1">
      <w:pPr>
        <w:pStyle w:val="BodyText"/>
        <w:rPr>
          <w:sz w:val="20"/>
        </w:rPr>
      </w:pPr>
    </w:p>
    <w:p w14:paraId="5AB63267" w14:textId="77777777" w:rsidR="009948F1" w:rsidRDefault="009948F1">
      <w:pPr>
        <w:pStyle w:val="BodyText"/>
        <w:rPr>
          <w:sz w:val="20"/>
        </w:rPr>
      </w:pPr>
    </w:p>
    <w:p w14:paraId="1AB88B63" w14:textId="77777777" w:rsidR="009948F1" w:rsidRDefault="009948F1">
      <w:pPr>
        <w:pStyle w:val="BodyText"/>
        <w:rPr>
          <w:sz w:val="20"/>
        </w:rPr>
      </w:pPr>
    </w:p>
    <w:p w14:paraId="34C81302" w14:textId="77777777" w:rsidR="009948F1" w:rsidRDefault="009948F1">
      <w:pPr>
        <w:pStyle w:val="BodyText"/>
        <w:rPr>
          <w:sz w:val="20"/>
        </w:rPr>
      </w:pPr>
    </w:p>
    <w:p w14:paraId="7A8DF67C" w14:textId="77777777" w:rsidR="009948F1" w:rsidRDefault="009948F1">
      <w:pPr>
        <w:pStyle w:val="BodyText"/>
        <w:rPr>
          <w:sz w:val="20"/>
        </w:rPr>
      </w:pPr>
    </w:p>
    <w:p w14:paraId="3335ED2E" w14:textId="77777777" w:rsidR="009948F1" w:rsidRDefault="009948F1">
      <w:pPr>
        <w:pStyle w:val="BodyText"/>
        <w:rPr>
          <w:sz w:val="20"/>
        </w:rPr>
      </w:pPr>
    </w:p>
    <w:p w14:paraId="36D8DA8C" w14:textId="77777777" w:rsidR="009948F1" w:rsidRDefault="009948F1">
      <w:pPr>
        <w:pStyle w:val="BodyText"/>
        <w:spacing w:before="9"/>
        <w:rPr>
          <w:sz w:val="29"/>
        </w:rPr>
      </w:pPr>
    </w:p>
    <w:p w14:paraId="384508B9" w14:textId="77777777" w:rsidR="009948F1" w:rsidRDefault="00BC0563">
      <w:pPr>
        <w:spacing w:before="90"/>
        <w:ind w:left="280" w:right="1225"/>
        <w:jc w:val="center"/>
        <w:rPr>
          <w:sz w:val="10"/>
        </w:rPr>
      </w:pPr>
      <w:bookmarkStart w:id="197" w:name="Page_171"/>
      <w:bookmarkEnd w:id="197"/>
      <w:r>
        <w:rPr>
          <w:color w:val="231F20"/>
          <w:w w:val="115"/>
          <w:sz w:val="10"/>
        </w:rPr>
        <w:t>done</w:t>
      </w:r>
    </w:p>
    <w:p w14:paraId="4B6C6F35" w14:textId="77777777" w:rsidR="009948F1" w:rsidRDefault="009948F1">
      <w:pPr>
        <w:jc w:val="center"/>
        <w:rPr>
          <w:sz w:val="10"/>
        </w:rPr>
        <w:sectPr w:rsidR="009948F1">
          <w:pgSz w:w="11910" w:h="16840"/>
          <w:pgMar w:top="1280" w:right="1080" w:bottom="1340" w:left="1120" w:header="0" w:footer="1155" w:gutter="0"/>
          <w:cols w:space="720"/>
        </w:sectPr>
      </w:pPr>
    </w:p>
    <w:tbl>
      <w:tblPr>
        <w:tblW w:w="0" w:type="auto"/>
        <w:tblInd w:w="2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1"/>
        <w:gridCol w:w="456"/>
        <w:gridCol w:w="527"/>
        <w:gridCol w:w="2516"/>
        <w:gridCol w:w="2389"/>
        <w:gridCol w:w="1430"/>
        <w:gridCol w:w="1508"/>
      </w:tblGrid>
      <w:tr w:rsidR="009948F1" w14:paraId="33D23F7A" w14:textId="77777777">
        <w:trPr>
          <w:trHeight w:val="361"/>
        </w:trPr>
        <w:tc>
          <w:tcPr>
            <w:tcW w:w="411" w:type="dxa"/>
            <w:tcBorders>
              <w:left w:val="single" w:sz="8" w:space="0" w:color="231F20"/>
              <w:bottom w:val="single" w:sz="8" w:space="0" w:color="231F20"/>
            </w:tcBorders>
            <w:shd w:val="clear" w:color="auto" w:fill="FFF200"/>
          </w:tcPr>
          <w:p w14:paraId="19F32178" w14:textId="77777777" w:rsidR="009948F1" w:rsidRDefault="009948F1">
            <w:pPr>
              <w:pStyle w:val="TableParagraph"/>
              <w:spacing w:before="7"/>
              <w:rPr>
                <w:sz w:val="10"/>
              </w:rPr>
            </w:pPr>
          </w:p>
          <w:p w14:paraId="1F57AA93" w14:textId="77777777" w:rsidR="009948F1" w:rsidRDefault="00BC0563">
            <w:pPr>
              <w:pStyle w:val="TableParagraph"/>
              <w:ind w:left="103" w:right="15"/>
              <w:jc w:val="center"/>
              <w:rPr>
                <w:b/>
                <w:sz w:val="11"/>
              </w:rPr>
            </w:pPr>
            <w:bookmarkStart w:id="198" w:name="Page_172"/>
            <w:bookmarkEnd w:id="198"/>
            <w:r>
              <w:rPr>
                <w:b/>
                <w:color w:val="231F20"/>
                <w:w w:val="110"/>
                <w:sz w:val="11"/>
              </w:rPr>
              <w:t>15.2</w:t>
            </w:r>
          </w:p>
        </w:tc>
        <w:tc>
          <w:tcPr>
            <w:tcW w:w="5888" w:type="dxa"/>
            <w:gridSpan w:val="4"/>
            <w:tcBorders>
              <w:bottom w:val="single" w:sz="8" w:space="0" w:color="231F20"/>
              <w:right w:val="single" w:sz="8" w:space="0" w:color="231F20"/>
            </w:tcBorders>
            <w:shd w:val="clear" w:color="auto" w:fill="FFF200"/>
          </w:tcPr>
          <w:p w14:paraId="013782CD" w14:textId="77777777" w:rsidR="009948F1" w:rsidRDefault="009948F1">
            <w:pPr>
              <w:pStyle w:val="TableParagraph"/>
              <w:spacing w:before="2"/>
              <w:rPr>
                <w:sz w:val="10"/>
              </w:rPr>
            </w:pPr>
          </w:p>
          <w:p w14:paraId="49A1AB31" w14:textId="77777777" w:rsidR="009948F1" w:rsidRDefault="00BC0563">
            <w:pPr>
              <w:pStyle w:val="TableParagraph"/>
              <w:ind w:left="57"/>
              <w:rPr>
                <w:b/>
                <w:sz w:val="11"/>
              </w:rPr>
            </w:pPr>
            <w:r>
              <w:rPr>
                <w:b/>
                <w:color w:val="231F20"/>
                <w:w w:val="110"/>
                <w:sz w:val="11"/>
              </w:rPr>
              <w:t>Increase sustainable and predictable revenue for health</w:t>
            </w:r>
          </w:p>
        </w:tc>
        <w:tc>
          <w:tcPr>
            <w:tcW w:w="2938" w:type="dxa"/>
            <w:gridSpan w:val="2"/>
            <w:tcBorders>
              <w:left w:val="single" w:sz="8" w:space="0" w:color="231F20"/>
              <w:bottom w:val="single" w:sz="8" w:space="0" w:color="231F20"/>
            </w:tcBorders>
            <w:shd w:val="clear" w:color="auto" w:fill="FFF200"/>
          </w:tcPr>
          <w:p w14:paraId="5A3163E5" w14:textId="77777777" w:rsidR="009948F1" w:rsidRDefault="009948F1">
            <w:pPr>
              <w:pStyle w:val="TableParagraph"/>
              <w:rPr>
                <w:rFonts w:ascii="Times New Roman"/>
                <w:sz w:val="10"/>
              </w:rPr>
            </w:pPr>
          </w:p>
        </w:tc>
      </w:tr>
      <w:tr w:rsidR="009948F1" w14:paraId="15EA585A" w14:textId="77777777">
        <w:trPr>
          <w:trHeight w:val="865"/>
        </w:trPr>
        <w:tc>
          <w:tcPr>
            <w:tcW w:w="411" w:type="dxa"/>
            <w:tcBorders>
              <w:top w:val="single" w:sz="8" w:space="0" w:color="231F20"/>
              <w:left w:val="single" w:sz="8" w:space="0" w:color="231F20"/>
              <w:bottom w:val="nil"/>
            </w:tcBorders>
          </w:tcPr>
          <w:p w14:paraId="23DA0BC1" w14:textId="77777777" w:rsidR="009948F1" w:rsidRDefault="009948F1">
            <w:pPr>
              <w:pStyle w:val="TableParagraph"/>
              <w:rPr>
                <w:rFonts w:ascii="Times New Roman"/>
                <w:sz w:val="10"/>
              </w:rPr>
            </w:pPr>
          </w:p>
        </w:tc>
        <w:tc>
          <w:tcPr>
            <w:tcW w:w="456" w:type="dxa"/>
            <w:tcBorders>
              <w:top w:val="single" w:sz="8" w:space="0" w:color="231F20"/>
            </w:tcBorders>
            <w:shd w:val="clear" w:color="auto" w:fill="CCE7D3"/>
          </w:tcPr>
          <w:p w14:paraId="7F01BC2F" w14:textId="77777777" w:rsidR="009948F1" w:rsidRDefault="009948F1">
            <w:pPr>
              <w:pStyle w:val="TableParagraph"/>
              <w:rPr>
                <w:sz w:val="12"/>
              </w:rPr>
            </w:pPr>
          </w:p>
          <w:p w14:paraId="009D4573" w14:textId="77777777" w:rsidR="009948F1" w:rsidRDefault="009948F1">
            <w:pPr>
              <w:pStyle w:val="TableParagraph"/>
              <w:rPr>
                <w:sz w:val="12"/>
              </w:rPr>
            </w:pPr>
          </w:p>
          <w:p w14:paraId="2C7DEF52" w14:textId="77777777" w:rsidR="009948F1" w:rsidRDefault="00BC0563">
            <w:pPr>
              <w:pStyle w:val="TableParagraph"/>
              <w:spacing w:before="94"/>
              <w:ind w:left="22" w:right="17"/>
              <w:jc w:val="center"/>
              <w:rPr>
                <w:sz w:val="11"/>
              </w:rPr>
            </w:pPr>
            <w:r>
              <w:rPr>
                <w:color w:val="231F20"/>
                <w:w w:val="110"/>
                <w:sz w:val="11"/>
              </w:rPr>
              <w:t>15.2.1</w:t>
            </w:r>
          </w:p>
        </w:tc>
        <w:tc>
          <w:tcPr>
            <w:tcW w:w="3043" w:type="dxa"/>
            <w:gridSpan w:val="2"/>
            <w:tcBorders>
              <w:top w:val="single" w:sz="8" w:space="0" w:color="231F20"/>
            </w:tcBorders>
            <w:shd w:val="clear" w:color="auto" w:fill="CCE7D3"/>
          </w:tcPr>
          <w:p w14:paraId="7652EC83" w14:textId="77777777" w:rsidR="009948F1" w:rsidRDefault="009948F1">
            <w:pPr>
              <w:pStyle w:val="TableParagraph"/>
              <w:rPr>
                <w:sz w:val="12"/>
              </w:rPr>
            </w:pPr>
          </w:p>
          <w:p w14:paraId="66484D1E" w14:textId="77777777" w:rsidR="009948F1" w:rsidRDefault="009948F1">
            <w:pPr>
              <w:pStyle w:val="TableParagraph"/>
              <w:rPr>
                <w:sz w:val="12"/>
              </w:rPr>
            </w:pPr>
          </w:p>
          <w:p w14:paraId="7EC3734D" w14:textId="77777777" w:rsidR="009948F1" w:rsidRDefault="00BC0563">
            <w:pPr>
              <w:pStyle w:val="TableParagraph"/>
              <w:spacing w:before="89"/>
              <w:ind w:left="50"/>
              <w:rPr>
                <w:sz w:val="11"/>
              </w:rPr>
            </w:pPr>
            <w:r>
              <w:rPr>
                <w:color w:val="231F20"/>
                <w:w w:val="110"/>
                <w:sz w:val="11"/>
              </w:rPr>
              <w:t>Alignment of health allocations to national priorities</w:t>
            </w:r>
          </w:p>
        </w:tc>
        <w:tc>
          <w:tcPr>
            <w:tcW w:w="2389" w:type="dxa"/>
            <w:tcBorders>
              <w:top w:val="single" w:sz="8" w:space="0" w:color="231F20"/>
            </w:tcBorders>
            <w:shd w:val="clear" w:color="auto" w:fill="CCE7D3"/>
          </w:tcPr>
          <w:p w14:paraId="2B2B5765" w14:textId="77777777" w:rsidR="009948F1" w:rsidRDefault="00BC0563">
            <w:pPr>
              <w:pStyle w:val="TableParagraph"/>
              <w:spacing w:line="302" w:lineRule="auto"/>
              <w:ind w:left="24"/>
              <w:rPr>
                <w:sz w:val="11"/>
              </w:rPr>
            </w:pPr>
            <w:r>
              <w:rPr>
                <w:color w:val="231F20"/>
                <w:w w:val="110"/>
                <w:sz w:val="11"/>
              </w:rPr>
              <w:t>•Advocacy on allocation of at least 15% of State and LGAs budgets done</w:t>
            </w:r>
          </w:p>
          <w:p w14:paraId="38C49270" w14:textId="77777777" w:rsidR="009948F1" w:rsidRDefault="00BC0563">
            <w:pPr>
              <w:pStyle w:val="TableParagraph"/>
              <w:spacing w:line="118" w:lineRule="exact"/>
              <w:ind w:left="24"/>
              <w:rPr>
                <w:sz w:val="11"/>
              </w:rPr>
            </w:pPr>
            <w:r>
              <w:rPr>
                <w:color w:val="231F20"/>
                <w:w w:val="110"/>
                <w:sz w:val="11"/>
              </w:rPr>
              <w:t>•State health priorities included into MTEF</w:t>
            </w:r>
          </w:p>
          <w:p w14:paraId="683296DF" w14:textId="77777777" w:rsidR="009948F1" w:rsidRDefault="00BC0563">
            <w:pPr>
              <w:pStyle w:val="TableParagraph"/>
              <w:spacing w:before="5"/>
              <w:ind w:left="24"/>
              <w:rPr>
                <w:sz w:val="11"/>
              </w:rPr>
            </w:pPr>
            <w:r>
              <w:rPr>
                <w:color w:val="231F20"/>
                <w:w w:val="105"/>
                <w:sz w:val="11"/>
              </w:rPr>
              <w:t>and all LGAs, MDAs and donors aligned to it.</w:t>
            </w:r>
          </w:p>
          <w:p w14:paraId="77D2CE16" w14:textId="77777777" w:rsidR="009948F1" w:rsidRDefault="00BC0563">
            <w:pPr>
              <w:pStyle w:val="TableParagraph"/>
              <w:numPr>
                <w:ilvl w:val="0"/>
                <w:numId w:val="12"/>
              </w:numPr>
              <w:tabs>
                <w:tab w:val="left" w:pos="93"/>
              </w:tabs>
              <w:spacing w:before="21" w:line="230" w:lineRule="auto"/>
              <w:ind w:right="176" w:firstLine="0"/>
              <w:rPr>
                <w:sz w:val="11"/>
              </w:rPr>
            </w:pPr>
            <w:r>
              <w:rPr>
                <w:color w:val="231F20"/>
                <w:w w:val="110"/>
                <w:sz w:val="11"/>
              </w:rPr>
              <w:t>Advocacy</w:t>
            </w:r>
            <w:r>
              <w:rPr>
                <w:color w:val="231F20"/>
                <w:spacing w:val="-7"/>
                <w:w w:val="110"/>
                <w:sz w:val="11"/>
              </w:rPr>
              <w:t xml:space="preserve"> </w:t>
            </w:r>
            <w:r>
              <w:rPr>
                <w:color w:val="231F20"/>
                <w:w w:val="110"/>
                <w:sz w:val="11"/>
              </w:rPr>
              <w:t>to</w:t>
            </w:r>
            <w:r>
              <w:rPr>
                <w:color w:val="231F20"/>
                <w:spacing w:val="-7"/>
                <w:w w:val="110"/>
                <w:sz w:val="11"/>
              </w:rPr>
              <w:t xml:space="preserve"> </w:t>
            </w:r>
            <w:r>
              <w:rPr>
                <w:color w:val="231F20"/>
                <w:w w:val="110"/>
                <w:sz w:val="11"/>
              </w:rPr>
              <w:t>increase</w:t>
            </w:r>
            <w:r>
              <w:rPr>
                <w:color w:val="231F20"/>
                <w:spacing w:val="-7"/>
                <w:w w:val="110"/>
                <w:sz w:val="11"/>
              </w:rPr>
              <w:t xml:space="preserve"> </w:t>
            </w:r>
            <w:r>
              <w:rPr>
                <w:color w:val="231F20"/>
                <w:w w:val="110"/>
                <w:sz w:val="11"/>
              </w:rPr>
              <w:t>domestic</w:t>
            </w:r>
            <w:r>
              <w:rPr>
                <w:color w:val="231F20"/>
                <w:spacing w:val="-7"/>
                <w:w w:val="110"/>
                <w:sz w:val="11"/>
              </w:rPr>
              <w:t xml:space="preserve"> </w:t>
            </w:r>
            <w:r>
              <w:rPr>
                <w:color w:val="231F20"/>
                <w:spacing w:val="-3"/>
                <w:w w:val="110"/>
                <w:sz w:val="11"/>
              </w:rPr>
              <w:t xml:space="preserve">revenue </w:t>
            </w:r>
            <w:r>
              <w:rPr>
                <w:color w:val="231F20"/>
                <w:w w:val="110"/>
                <w:sz w:val="11"/>
              </w:rPr>
              <w:t>for health</w:t>
            </w:r>
            <w:r>
              <w:rPr>
                <w:color w:val="231F20"/>
                <w:spacing w:val="-3"/>
                <w:w w:val="110"/>
                <w:sz w:val="11"/>
              </w:rPr>
              <w:t xml:space="preserve"> </w:t>
            </w:r>
            <w:r>
              <w:rPr>
                <w:color w:val="231F20"/>
                <w:w w:val="110"/>
                <w:sz w:val="11"/>
              </w:rPr>
              <w:t>done</w:t>
            </w:r>
          </w:p>
        </w:tc>
        <w:tc>
          <w:tcPr>
            <w:tcW w:w="1430" w:type="dxa"/>
            <w:shd w:val="clear" w:color="auto" w:fill="CCE7D3"/>
          </w:tcPr>
          <w:p w14:paraId="6D392377" w14:textId="77777777" w:rsidR="009948F1" w:rsidRDefault="009948F1">
            <w:pPr>
              <w:pStyle w:val="TableParagraph"/>
              <w:rPr>
                <w:rFonts w:ascii="Times New Roman"/>
                <w:sz w:val="10"/>
              </w:rPr>
            </w:pPr>
          </w:p>
        </w:tc>
        <w:tc>
          <w:tcPr>
            <w:tcW w:w="1508" w:type="dxa"/>
            <w:tcBorders>
              <w:top w:val="single" w:sz="8" w:space="0" w:color="231F20"/>
            </w:tcBorders>
            <w:shd w:val="clear" w:color="auto" w:fill="CCE7D3"/>
          </w:tcPr>
          <w:p w14:paraId="441287A3" w14:textId="77777777" w:rsidR="009948F1" w:rsidRDefault="009948F1">
            <w:pPr>
              <w:pStyle w:val="TableParagraph"/>
              <w:rPr>
                <w:rFonts w:ascii="Times New Roman"/>
                <w:sz w:val="10"/>
              </w:rPr>
            </w:pPr>
          </w:p>
        </w:tc>
      </w:tr>
      <w:tr w:rsidR="009948F1" w14:paraId="5B9FF818" w14:textId="77777777">
        <w:trPr>
          <w:trHeight w:val="275"/>
        </w:trPr>
        <w:tc>
          <w:tcPr>
            <w:tcW w:w="867" w:type="dxa"/>
            <w:gridSpan w:val="2"/>
            <w:vMerge w:val="restart"/>
            <w:tcBorders>
              <w:top w:val="nil"/>
              <w:left w:val="single" w:sz="8" w:space="0" w:color="231F20"/>
              <w:bottom w:val="nil"/>
            </w:tcBorders>
          </w:tcPr>
          <w:p w14:paraId="5A4C29E5" w14:textId="77777777" w:rsidR="009948F1" w:rsidRDefault="009948F1">
            <w:pPr>
              <w:pStyle w:val="TableParagraph"/>
              <w:rPr>
                <w:rFonts w:ascii="Times New Roman"/>
                <w:sz w:val="10"/>
              </w:rPr>
            </w:pPr>
          </w:p>
        </w:tc>
        <w:tc>
          <w:tcPr>
            <w:tcW w:w="527" w:type="dxa"/>
          </w:tcPr>
          <w:p w14:paraId="36F00EAF" w14:textId="77777777" w:rsidR="009948F1" w:rsidRDefault="00BC0563">
            <w:pPr>
              <w:pStyle w:val="TableParagraph"/>
              <w:spacing w:before="76"/>
              <w:ind w:left="24" w:right="6"/>
              <w:jc w:val="center"/>
              <w:rPr>
                <w:sz w:val="11"/>
              </w:rPr>
            </w:pPr>
            <w:r>
              <w:rPr>
                <w:color w:val="231F20"/>
                <w:w w:val="110"/>
                <w:sz w:val="11"/>
              </w:rPr>
              <w:t>15.2.1.a</w:t>
            </w:r>
          </w:p>
        </w:tc>
        <w:tc>
          <w:tcPr>
            <w:tcW w:w="4905" w:type="dxa"/>
            <w:gridSpan w:val="2"/>
          </w:tcPr>
          <w:p w14:paraId="327016E8" w14:textId="77777777" w:rsidR="009948F1" w:rsidRDefault="00BC0563">
            <w:pPr>
              <w:pStyle w:val="TableParagraph"/>
              <w:spacing w:before="4"/>
              <w:ind w:left="50"/>
              <w:rPr>
                <w:sz w:val="11"/>
              </w:rPr>
            </w:pPr>
            <w:r>
              <w:rPr>
                <w:color w:val="231F20"/>
                <w:w w:val="110"/>
                <w:sz w:val="11"/>
              </w:rPr>
              <w:t>Advocacy to the Governor for allocation of at least 15% of State and LGAs budgets to</w:t>
            </w:r>
          </w:p>
          <w:p w14:paraId="112B9920" w14:textId="77777777" w:rsidR="009948F1" w:rsidRDefault="00BC0563">
            <w:pPr>
              <w:pStyle w:val="TableParagraph"/>
              <w:spacing w:before="17" w:line="107" w:lineRule="exact"/>
              <w:ind w:left="24"/>
              <w:rPr>
                <w:sz w:val="11"/>
              </w:rPr>
            </w:pPr>
            <w:r>
              <w:rPr>
                <w:color w:val="231F20"/>
                <w:w w:val="110"/>
                <w:sz w:val="11"/>
              </w:rPr>
              <w:t>health in compliance with Abuja declaration.</w:t>
            </w:r>
          </w:p>
        </w:tc>
        <w:tc>
          <w:tcPr>
            <w:tcW w:w="1430" w:type="dxa"/>
          </w:tcPr>
          <w:p w14:paraId="509E281B" w14:textId="77777777" w:rsidR="009948F1" w:rsidRDefault="00BC0563">
            <w:pPr>
              <w:pStyle w:val="TableParagraph"/>
              <w:spacing w:before="76"/>
              <w:ind w:left="24"/>
              <w:rPr>
                <w:sz w:val="11"/>
              </w:rPr>
            </w:pPr>
            <w:r>
              <w:rPr>
                <w:color w:val="231F20"/>
                <w:w w:val="110"/>
                <w:sz w:val="11"/>
              </w:rPr>
              <w:t>Lack of funds</w:t>
            </w:r>
          </w:p>
        </w:tc>
        <w:tc>
          <w:tcPr>
            <w:tcW w:w="1508" w:type="dxa"/>
          </w:tcPr>
          <w:p w14:paraId="5E757896" w14:textId="77777777" w:rsidR="009948F1" w:rsidRDefault="00BC0563">
            <w:pPr>
              <w:pStyle w:val="TableParagraph"/>
              <w:spacing w:before="76"/>
              <w:ind w:left="24"/>
              <w:rPr>
                <w:sz w:val="11"/>
              </w:rPr>
            </w:pPr>
            <w:r>
              <w:rPr>
                <w:color w:val="231F20"/>
                <w:w w:val="110"/>
                <w:sz w:val="11"/>
              </w:rPr>
              <w:t>Costed in 9.1..3a</w:t>
            </w:r>
          </w:p>
        </w:tc>
      </w:tr>
      <w:tr w:rsidR="009948F1" w14:paraId="7C9F6EAF" w14:textId="77777777">
        <w:trPr>
          <w:trHeight w:val="264"/>
        </w:trPr>
        <w:tc>
          <w:tcPr>
            <w:tcW w:w="867" w:type="dxa"/>
            <w:gridSpan w:val="2"/>
            <w:vMerge/>
            <w:tcBorders>
              <w:top w:val="nil"/>
              <w:left w:val="single" w:sz="8" w:space="0" w:color="231F20"/>
              <w:bottom w:val="nil"/>
            </w:tcBorders>
          </w:tcPr>
          <w:p w14:paraId="22FD9640" w14:textId="77777777" w:rsidR="009948F1" w:rsidRDefault="009948F1">
            <w:pPr>
              <w:rPr>
                <w:sz w:val="2"/>
                <w:szCs w:val="2"/>
              </w:rPr>
            </w:pPr>
          </w:p>
        </w:tc>
        <w:tc>
          <w:tcPr>
            <w:tcW w:w="527" w:type="dxa"/>
          </w:tcPr>
          <w:p w14:paraId="7579CD71" w14:textId="77777777" w:rsidR="009948F1" w:rsidRDefault="00BC0563">
            <w:pPr>
              <w:pStyle w:val="TableParagraph"/>
              <w:spacing w:before="71"/>
              <w:ind w:left="24" w:right="6"/>
              <w:jc w:val="center"/>
              <w:rPr>
                <w:sz w:val="11"/>
              </w:rPr>
            </w:pPr>
            <w:r>
              <w:rPr>
                <w:color w:val="231F20"/>
                <w:w w:val="110"/>
                <w:sz w:val="11"/>
              </w:rPr>
              <w:t>15.2.1.b</w:t>
            </w:r>
          </w:p>
        </w:tc>
        <w:tc>
          <w:tcPr>
            <w:tcW w:w="4905" w:type="dxa"/>
            <w:gridSpan w:val="2"/>
          </w:tcPr>
          <w:p w14:paraId="5CCB7118" w14:textId="77777777" w:rsidR="009948F1" w:rsidRDefault="00BC0563">
            <w:pPr>
              <w:pStyle w:val="TableParagraph"/>
              <w:spacing w:before="67"/>
              <w:ind w:left="57"/>
              <w:rPr>
                <w:sz w:val="11"/>
              </w:rPr>
            </w:pPr>
            <w:r>
              <w:rPr>
                <w:color w:val="231F20"/>
                <w:w w:val="110"/>
                <w:sz w:val="11"/>
              </w:rPr>
              <w:t>Include state health priorities into MTEF and align all LGAs, MDAs and donors to it.</w:t>
            </w:r>
          </w:p>
        </w:tc>
        <w:tc>
          <w:tcPr>
            <w:tcW w:w="1430" w:type="dxa"/>
          </w:tcPr>
          <w:p w14:paraId="03BE881B" w14:textId="77777777" w:rsidR="009948F1" w:rsidRDefault="00BC0563">
            <w:pPr>
              <w:pStyle w:val="TableParagraph"/>
              <w:spacing w:before="71"/>
              <w:ind w:left="24"/>
              <w:rPr>
                <w:sz w:val="11"/>
              </w:rPr>
            </w:pPr>
            <w:r>
              <w:rPr>
                <w:color w:val="231F20"/>
                <w:w w:val="110"/>
                <w:sz w:val="11"/>
              </w:rPr>
              <w:t>Lack of funds</w:t>
            </w:r>
          </w:p>
        </w:tc>
        <w:tc>
          <w:tcPr>
            <w:tcW w:w="1508" w:type="dxa"/>
          </w:tcPr>
          <w:p w14:paraId="3F7813E1" w14:textId="77777777" w:rsidR="009948F1" w:rsidRDefault="00BC0563">
            <w:pPr>
              <w:pStyle w:val="TableParagraph"/>
              <w:spacing w:before="71"/>
              <w:ind w:left="24"/>
              <w:rPr>
                <w:sz w:val="11"/>
              </w:rPr>
            </w:pPr>
            <w:r>
              <w:rPr>
                <w:color w:val="231F20"/>
                <w:w w:val="110"/>
                <w:sz w:val="11"/>
              </w:rPr>
              <w:t>No cost</w:t>
            </w:r>
          </w:p>
        </w:tc>
      </w:tr>
      <w:tr w:rsidR="009948F1" w14:paraId="12388367" w14:textId="77777777">
        <w:trPr>
          <w:trHeight w:val="278"/>
        </w:trPr>
        <w:tc>
          <w:tcPr>
            <w:tcW w:w="867" w:type="dxa"/>
            <w:gridSpan w:val="2"/>
            <w:vMerge/>
            <w:tcBorders>
              <w:top w:val="nil"/>
              <w:left w:val="single" w:sz="8" w:space="0" w:color="231F20"/>
              <w:bottom w:val="nil"/>
            </w:tcBorders>
          </w:tcPr>
          <w:p w14:paraId="0B662883" w14:textId="77777777" w:rsidR="009948F1" w:rsidRDefault="009948F1">
            <w:pPr>
              <w:rPr>
                <w:sz w:val="2"/>
                <w:szCs w:val="2"/>
              </w:rPr>
            </w:pPr>
          </w:p>
        </w:tc>
        <w:tc>
          <w:tcPr>
            <w:tcW w:w="527" w:type="dxa"/>
          </w:tcPr>
          <w:p w14:paraId="692CE3A8" w14:textId="77777777" w:rsidR="009948F1" w:rsidRDefault="00BC0563">
            <w:pPr>
              <w:pStyle w:val="TableParagraph"/>
              <w:spacing w:before="78"/>
              <w:ind w:left="24" w:right="5"/>
              <w:jc w:val="center"/>
              <w:rPr>
                <w:sz w:val="11"/>
              </w:rPr>
            </w:pPr>
            <w:r>
              <w:rPr>
                <w:color w:val="231F20"/>
                <w:w w:val="110"/>
                <w:sz w:val="11"/>
              </w:rPr>
              <w:t>15.2.1.c</w:t>
            </w:r>
          </w:p>
        </w:tc>
        <w:tc>
          <w:tcPr>
            <w:tcW w:w="4905" w:type="dxa"/>
            <w:gridSpan w:val="2"/>
          </w:tcPr>
          <w:p w14:paraId="7A269B77" w14:textId="77777777" w:rsidR="009948F1" w:rsidRDefault="00BC0563">
            <w:pPr>
              <w:pStyle w:val="TableParagraph"/>
              <w:spacing w:before="4"/>
              <w:ind w:left="24"/>
              <w:rPr>
                <w:sz w:val="11"/>
              </w:rPr>
            </w:pPr>
            <w:r>
              <w:rPr>
                <w:color w:val="231F20"/>
                <w:w w:val="110"/>
                <w:sz w:val="11"/>
              </w:rPr>
              <w:t>Conduct evidence-based advocacy to increase health revenue for health using innovative</w:t>
            </w:r>
          </w:p>
          <w:p w14:paraId="3627129A" w14:textId="77777777" w:rsidR="009948F1" w:rsidRDefault="00BC0563">
            <w:pPr>
              <w:pStyle w:val="TableParagraph"/>
              <w:spacing w:before="17" w:line="111" w:lineRule="exact"/>
              <w:ind w:left="24"/>
              <w:rPr>
                <w:sz w:val="11"/>
              </w:rPr>
            </w:pPr>
            <w:r>
              <w:rPr>
                <w:color w:val="231F20"/>
                <w:w w:val="110"/>
                <w:sz w:val="11"/>
              </w:rPr>
              <w:t>financing strategies</w:t>
            </w:r>
          </w:p>
        </w:tc>
        <w:tc>
          <w:tcPr>
            <w:tcW w:w="1430" w:type="dxa"/>
          </w:tcPr>
          <w:p w14:paraId="140166DB" w14:textId="77777777" w:rsidR="009948F1" w:rsidRDefault="00BC0563">
            <w:pPr>
              <w:pStyle w:val="TableParagraph"/>
              <w:spacing w:before="78"/>
              <w:ind w:left="24"/>
              <w:rPr>
                <w:sz w:val="11"/>
              </w:rPr>
            </w:pPr>
            <w:r>
              <w:rPr>
                <w:color w:val="231F20"/>
                <w:w w:val="110"/>
                <w:sz w:val="11"/>
              </w:rPr>
              <w:t>Lack of funds</w:t>
            </w:r>
          </w:p>
        </w:tc>
        <w:tc>
          <w:tcPr>
            <w:tcW w:w="1508" w:type="dxa"/>
          </w:tcPr>
          <w:p w14:paraId="14D388EC" w14:textId="2CCFB3E4" w:rsidR="009948F1" w:rsidRDefault="00BC0563">
            <w:pPr>
              <w:pStyle w:val="TableParagraph"/>
              <w:spacing w:before="78"/>
              <w:ind w:left="24"/>
              <w:rPr>
                <w:sz w:val="11"/>
              </w:rPr>
            </w:pPr>
            <w:r>
              <w:rPr>
                <w:color w:val="231F20"/>
                <w:w w:val="110"/>
                <w:sz w:val="11"/>
              </w:rPr>
              <w:t xml:space="preserve">Conduct </w:t>
            </w:r>
            <w:r w:rsidR="002049E3">
              <w:rPr>
                <w:color w:val="231F20"/>
                <w:w w:val="110"/>
                <w:sz w:val="11"/>
              </w:rPr>
              <w:t>advocacy</w:t>
            </w:r>
          </w:p>
        </w:tc>
      </w:tr>
      <w:tr w:rsidR="009948F1" w14:paraId="20C42FEA" w14:textId="77777777">
        <w:trPr>
          <w:trHeight w:val="1300"/>
        </w:trPr>
        <w:tc>
          <w:tcPr>
            <w:tcW w:w="411" w:type="dxa"/>
            <w:tcBorders>
              <w:top w:val="nil"/>
              <w:left w:val="single" w:sz="8" w:space="0" w:color="231F20"/>
              <w:bottom w:val="nil"/>
            </w:tcBorders>
          </w:tcPr>
          <w:p w14:paraId="1D15CCB4" w14:textId="77777777" w:rsidR="009948F1" w:rsidRDefault="009948F1">
            <w:pPr>
              <w:pStyle w:val="TableParagraph"/>
              <w:rPr>
                <w:rFonts w:ascii="Times New Roman"/>
                <w:sz w:val="10"/>
              </w:rPr>
            </w:pPr>
          </w:p>
        </w:tc>
        <w:tc>
          <w:tcPr>
            <w:tcW w:w="456" w:type="dxa"/>
            <w:shd w:val="clear" w:color="auto" w:fill="CCE7D3"/>
          </w:tcPr>
          <w:p w14:paraId="685AD766" w14:textId="77777777" w:rsidR="009948F1" w:rsidRDefault="009948F1">
            <w:pPr>
              <w:pStyle w:val="TableParagraph"/>
              <w:rPr>
                <w:sz w:val="12"/>
              </w:rPr>
            </w:pPr>
          </w:p>
          <w:p w14:paraId="0006653C" w14:textId="77777777" w:rsidR="009948F1" w:rsidRDefault="009948F1">
            <w:pPr>
              <w:pStyle w:val="TableParagraph"/>
              <w:rPr>
                <w:sz w:val="12"/>
              </w:rPr>
            </w:pPr>
          </w:p>
          <w:p w14:paraId="106667F8" w14:textId="77777777" w:rsidR="009948F1" w:rsidRDefault="009948F1">
            <w:pPr>
              <w:pStyle w:val="TableParagraph"/>
              <w:rPr>
                <w:sz w:val="12"/>
              </w:rPr>
            </w:pPr>
          </w:p>
          <w:p w14:paraId="43AF5F46" w14:textId="77777777" w:rsidR="009948F1" w:rsidRDefault="009948F1">
            <w:pPr>
              <w:pStyle w:val="TableParagraph"/>
              <w:spacing w:before="3"/>
              <w:rPr>
                <w:sz w:val="15"/>
              </w:rPr>
            </w:pPr>
          </w:p>
          <w:p w14:paraId="39E6E12E" w14:textId="77777777" w:rsidR="009948F1" w:rsidRDefault="00BC0563">
            <w:pPr>
              <w:pStyle w:val="TableParagraph"/>
              <w:ind w:left="22" w:right="17"/>
              <w:jc w:val="center"/>
              <w:rPr>
                <w:sz w:val="11"/>
              </w:rPr>
            </w:pPr>
            <w:r>
              <w:rPr>
                <w:color w:val="231F20"/>
                <w:w w:val="110"/>
                <w:sz w:val="11"/>
              </w:rPr>
              <w:t>15.2.3</w:t>
            </w:r>
          </w:p>
        </w:tc>
        <w:tc>
          <w:tcPr>
            <w:tcW w:w="3043" w:type="dxa"/>
            <w:gridSpan w:val="2"/>
            <w:shd w:val="clear" w:color="auto" w:fill="CCE7D3"/>
          </w:tcPr>
          <w:p w14:paraId="695986C9" w14:textId="77777777" w:rsidR="009948F1" w:rsidRDefault="009948F1">
            <w:pPr>
              <w:pStyle w:val="TableParagraph"/>
              <w:rPr>
                <w:sz w:val="12"/>
              </w:rPr>
            </w:pPr>
          </w:p>
          <w:p w14:paraId="2A94CE7F" w14:textId="77777777" w:rsidR="009948F1" w:rsidRDefault="009948F1">
            <w:pPr>
              <w:pStyle w:val="TableParagraph"/>
              <w:rPr>
                <w:sz w:val="12"/>
              </w:rPr>
            </w:pPr>
          </w:p>
          <w:p w14:paraId="29C2B32F" w14:textId="77777777" w:rsidR="009948F1" w:rsidRDefault="009948F1">
            <w:pPr>
              <w:pStyle w:val="TableParagraph"/>
              <w:rPr>
                <w:sz w:val="12"/>
              </w:rPr>
            </w:pPr>
          </w:p>
          <w:p w14:paraId="2D60CBC5" w14:textId="77777777" w:rsidR="009948F1" w:rsidRDefault="00BC0563">
            <w:pPr>
              <w:pStyle w:val="TableParagraph"/>
              <w:spacing w:before="98" w:line="273" w:lineRule="auto"/>
              <w:ind w:left="24" w:right="15" w:firstLine="26"/>
              <w:rPr>
                <w:sz w:val="11"/>
              </w:rPr>
            </w:pPr>
            <w:r>
              <w:rPr>
                <w:color w:val="231F20"/>
                <w:w w:val="110"/>
                <w:sz w:val="11"/>
              </w:rPr>
              <w:t>Advocate</w:t>
            </w:r>
            <w:r>
              <w:rPr>
                <w:color w:val="231F20"/>
                <w:spacing w:val="-7"/>
                <w:w w:val="110"/>
                <w:sz w:val="11"/>
              </w:rPr>
              <w:t xml:space="preserve"> </w:t>
            </w:r>
            <w:r>
              <w:rPr>
                <w:color w:val="231F20"/>
                <w:w w:val="110"/>
                <w:sz w:val="11"/>
              </w:rPr>
              <w:t>for</w:t>
            </w:r>
            <w:r>
              <w:rPr>
                <w:color w:val="231F20"/>
                <w:spacing w:val="-7"/>
                <w:w w:val="110"/>
                <w:sz w:val="11"/>
              </w:rPr>
              <w:t xml:space="preserve"> </w:t>
            </w:r>
            <w:r>
              <w:rPr>
                <w:color w:val="231F20"/>
                <w:w w:val="110"/>
                <w:sz w:val="11"/>
              </w:rPr>
              <w:t>increase</w:t>
            </w:r>
            <w:r>
              <w:rPr>
                <w:color w:val="231F20"/>
                <w:spacing w:val="-7"/>
                <w:w w:val="110"/>
                <w:sz w:val="11"/>
              </w:rPr>
              <w:t xml:space="preserve"> </w:t>
            </w:r>
            <w:r>
              <w:rPr>
                <w:color w:val="231F20"/>
                <w:w w:val="110"/>
                <w:sz w:val="11"/>
              </w:rPr>
              <w:t>in</w:t>
            </w:r>
            <w:r>
              <w:rPr>
                <w:color w:val="231F20"/>
                <w:spacing w:val="-7"/>
                <w:w w:val="110"/>
                <w:sz w:val="11"/>
              </w:rPr>
              <w:t xml:space="preserve"> </w:t>
            </w:r>
            <w:r>
              <w:rPr>
                <w:color w:val="231F20"/>
                <w:w w:val="110"/>
                <w:sz w:val="11"/>
              </w:rPr>
              <w:t>government</w:t>
            </w:r>
            <w:r>
              <w:rPr>
                <w:color w:val="231F20"/>
                <w:spacing w:val="-7"/>
                <w:w w:val="110"/>
                <w:sz w:val="11"/>
              </w:rPr>
              <w:t xml:space="preserve"> </w:t>
            </w:r>
            <w:r>
              <w:rPr>
                <w:color w:val="231F20"/>
                <w:w w:val="110"/>
                <w:sz w:val="11"/>
              </w:rPr>
              <w:t>annual</w:t>
            </w:r>
            <w:r>
              <w:rPr>
                <w:color w:val="231F20"/>
                <w:spacing w:val="-7"/>
                <w:w w:val="110"/>
                <w:sz w:val="11"/>
              </w:rPr>
              <w:t xml:space="preserve"> </w:t>
            </w:r>
            <w:r>
              <w:rPr>
                <w:color w:val="231F20"/>
                <w:w w:val="110"/>
                <w:sz w:val="11"/>
              </w:rPr>
              <w:t>budget</w:t>
            </w:r>
            <w:r>
              <w:rPr>
                <w:color w:val="231F20"/>
                <w:spacing w:val="-7"/>
                <w:w w:val="110"/>
                <w:sz w:val="11"/>
              </w:rPr>
              <w:t xml:space="preserve"> </w:t>
            </w:r>
            <w:r>
              <w:rPr>
                <w:color w:val="231F20"/>
                <w:spacing w:val="-5"/>
                <w:w w:val="110"/>
                <w:sz w:val="11"/>
              </w:rPr>
              <w:t xml:space="preserve">and </w:t>
            </w:r>
            <w:r>
              <w:rPr>
                <w:color w:val="231F20"/>
                <w:w w:val="110"/>
                <w:sz w:val="11"/>
              </w:rPr>
              <w:t>spending on</w:t>
            </w:r>
            <w:r>
              <w:rPr>
                <w:color w:val="231F20"/>
                <w:spacing w:val="-3"/>
                <w:w w:val="110"/>
                <w:sz w:val="11"/>
              </w:rPr>
              <w:t xml:space="preserve"> </w:t>
            </w:r>
            <w:r>
              <w:rPr>
                <w:color w:val="231F20"/>
                <w:w w:val="110"/>
                <w:sz w:val="11"/>
              </w:rPr>
              <w:t>health</w:t>
            </w:r>
          </w:p>
        </w:tc>
        <w:tc>
          <w:tcPr>
            <w:tcW w:w="2389" w:type="dxa"/>
            <w:shd w:val="clear" w:color="auto" w:fill="CCE7D3"/>
          </w:tcPr>
          <w:p w14:paraId="75761928" w14:textId="77777777" w:rsidR="009948F1" w:rsidRDefault="00BC0563">
            <w:pPr>
              <w:pStyle w:val="TableParagraph"/>
              <w:numPr>
                <w:ilvl w:val="0"/>
                <w:numId w:val="11"/>
              </w:numPr>
              <w:tabs>
                <w:tab w:val="left" w:pos="93"/>
              </w:tabs>
              <w:spacing w:before="85" w:line="273" w:lineRule="auto"/>
              <w:ind w:right="97" w:firstLine="0"/>
              <w:rPr>
                <w:sz w:val="11"/>
              </w:rPr>
            </w:pPr>
            <w:r>
              <w:rPr>
                <w:color w:val="231F20"/>
                <w:w w:val="110"/>
                <w:sz w:val="11"/>
              </w:rPr>
              <w:t>Advocacy</w:t>
            </w:r>
            <w:r>
              <w:rPr>
                <w:color w:val="231F20"/>
                <w:spacing w:val="-7"/>
                <w:w w:val="110"/>
                <w:sz w:val="11"/>
              </w:rPr>
              <w:t xml:space="preserve"> </w:t>
            </w:r>
            <w:r>
              <w:rPr>
                <w:color w:val="231F20"/>
                <w:w w:val="110"/>
                <w:sz w:val="11"/>
              </w:rPr>
              <w:t>to</w:t>
            </w:r>
            <w:r>
              <w:rPr>
                <w:color w:val="231F20"/>
                <w:spacing w:val="-8"/>
                <w:w w:val="110"/>
                <w:sz w:val="11"/>
              </w:rPr>
              <w:t xml:space="preserve"> </w:t>
            </w:r>
            <w:r>
              <w:rPr>
                <w:color w:val="231F20"/>
                <w:w w:val="110"/>
                <w:sz w:val="11"/>
              </w:rPr>
              <w:t>make</w:t>
            </w:r>
            <w:r>
              <w:rPr>
                <w:color w:val="231F20"/>
                <w:spacing w:val="-7"/>
                <w:w w:val="110"/>
                <w:sz w:val="11"/>
              </w:rPr>
              <w:t xml:space="preserve"> </w:t>
            </w:r>
            <w:r>
              <w:rPr>
                <w:color w:val="231F20"/>
                <w:w w:val="110"/>
                <w:sz w:val="11"/>
              </w:rPr>
              <w:t>financial</w:t>
            </w:r>
            <w:r>
              <w:rPr>
                <w:color w:val="231F20"/>
                <w:spacing w:val="-7"/>
                <w:w w:val="110"/>
                <w:sz w:val="11"/>
              </w:rPr>
              <w:t xml:space="preserve"> </w:t>
            </w:r>
            <w:r>
              <w:rPr>
                <w:color w:val="231F20"/>
                <w:w w:val="110"/>
                <w:sz w:val="11"/>
              </w:rPr>
              <w:t>provisions</w:t>
            </w:r>
            <w:r>
              <w:rPr>
                <w:color w:val="231F20"/>
                <w:spacing w:val="-7"/>
                <w:w w:val="110"/>
                <w:sz w:val="11"/>
              </w:rPr>
              <w:t xml:space="preserve"> </w:t>
            </w:r>
            <w:r>
              <w:rPr>
                <w:color w:val="231F20"/>
                <w:spacing w:val="-5"/>
                <w:w w:val="110"/>
                <w:sz w:val="11"/>
              </w:rPr>
              <w:t xml:space="preserve">for </w:t>
            </w:r>
            <w:r>
              <w:rPr>
                <w:color w:val="231F20"/>
                <w:w w:val="110"/>
                <w:sz w:val="11"/>
              </w:rPr>
              <w:t>poor and vulnerable groups &amp; diseases of public health significance</w:t>
            </w:r>
            <w:r>
              <w:rPr>
                <w:color w:val="231F20"/>
                <w:spacing w:val="-7"/>
                <w:w w:val="110"/>
                <w:sz w:val="11"/>
              </w:rPr>
              <w:t xml:space="preserve"> </w:t>
            </w:r>
            <w:r>
              <w:rPr>
                <w:color w:val="231F20"/>
                <w:w w:val="110"/>
                <w:sz w:val="11"/>
              </w:rPr>
              <w:t>done</w:t>
            </w:r>
          </w:p>
          <w:p w14:paraId="4EB01681" w14:textId="77777777" w:rsidR="009948F1" w:rsidRDefault="00BC0563">
            <w:pPr>
              <w:pStyle w:val="TableParagraph"/>
              <w:spacing w:line="273" w:lineRule="auto"/>
              <w:ind w:left="24" w:right="-20"/>
              <w:rPr>
                <w:sz w:val="11"/>
              </w:rPr>
            </w:pPr>
            <w:r>
              <w:rPr>
                <w:color w:val="231F20"/>
                <w:w w:val="110"/>
                <w:sz w:val="11"/>
              </w:rPr>
              <w:t>•Advocacy strategy for increased and timely release of health budgets developed and implemented</w:t>
            </w:r>
          </w:p>
          <w:p w14:paraId="545C402F" w14:textId="77777777" w:rsidR="009948F1" w:rsidRDefault="00BC0563">
            <w:pPr>
              <w:pStyle w:val="TableParagraph"/>
              <w:numPr>
                <w:ilvl w:val="0"/>
                <w:numId w:val="11"/>
              </w:numPr>
              <w:tabs>
                <w:tab w:val="left" w:pos="100"/>
              </w:tabs>
              <w:spacing w:line="273" w:lineRule="auto"/>
              <w:ind w:right="116" w:firstLine="0"/>
              <w:rPr>
                <w:sz w:val="11"/>
              </w:rPr>
            </w:pPr>
            <w:r>
              <w:rPr>
                <w:color w:val="231F20"/>
                <w:w w:val="110"/>
                <w:sz w:val="11"/>
              </w:rPr>
              <w:t>Health</w:t>
            </w:r>
            <w:r>
              <w:rPr>
                <w:color w:val="231F20"/>
                <w:spacing w:val="-9"/>
                <w:w w:val="110"/>
                <w:sz w:val="11"/>
              </w:rPr>
              <w:t xml:space="preserve"> </w:t>
            </w:r>
            <w:r>
              <w:rPr>
                <w:color w:val="231F20"/>
                <w:w w:val="110"/>
                <w:sz w:val="11"/>
              </w:rPr>
              <w:t>advocacy</w:t>
            </w:r>
            <w:r>
              <w:rPr>
                <w:color w:val="231F20"/>
                <w:spacing w:val="-8"/>
                <w:w w:val="110"/>
                <w:sz w:val="11"/>
              </w:rPr>
              <w:t xml:space="preserve"> </w:t>
            </w:r>
            <w:r>
              <w:rPr>
                <w:color w:val="231F20"/>
                <w:w w:val="110"/>
                <w:sz w:val="11"/>
              </w:rPr>
              <w:t>committee</w:t>
            </w:r>
            <w:r>
              <w:rPr>
                <w:color w:val="231F20"/>
                <w:spacing w:val="-8"/>
                <w:w w:val="110"/>
                <w:sz w:val="11"/>
              </w:rPr>
              <w:t xml:space="preserve"> </w:t>
            </w:r>
            <w:r>
              <w:rPr>
                <w:color w:val="231F20"/>
                <w:w w:val="110"/>
                <w:sz w:val="11"/>
              </w:rPr>
              <w:t>supported</w:t>
            </w:r>
            <w:r>
              <w:rPr>
                <w:color w:val="231F20"/>
                <w:spacing w:val="-8"/>
                <w:w w:val="110"/>
                <w:sz w:val="11"/>
              </w:rPr>
              <w:t xml:space="preserve"> to </w:t>
            </w:r>
            <w:r>
              <w:rPr>
                <w:color w:val="231F20"/>
                <w:w w:val="110"/>
                <w:sz w:val="11"/>
              </w:rPr>
              <w:t>advocate for increase in health</w:t>
            </w:r>
            <w:r>
              <w:rPr>
                <w:color w:val="231F20"/>
                <w:spacing w:val="-19"/>
                <w:w w:val="110"/>
                <w:sz w:val="11"/>
              </w:rPr>
              <w:t xml:space="preserve"> </w:t>
            </w:r>
            <w:r>
              <w:rPr>
                <w:color w:val="231F20"/>
                <w:w w:val="110"/>
                <w:sz w:val="11"/>
              </w:rPr>
              <w:t>budget</w:t>
            </w:r>
          </w:p>
        </w:tc>
        <w:tc>
          <w:tcPr>
            <w:tcW w:w="1430" w:type="dxa"/>
            <w:shd w:val="clear" w:color="auto" w:fill="CCE7D3"/>
          </w:tcPr>
          <w:p w14:paraId="7217256F" w14:textId="77777777" w:rsidR="009948F1" w:rsidRDefault="009948F1">
            <w:pPr>
              <w:pStyle w:val="TableParagraph"/>
              <w:rPr>
                <w:rFonts w:ascii="Times New Roman"/>
                <w:sz w:val="10"/>
              </w:rPr>
            </w:pPr>
          </w:p>
        </w:tc>
        <w:tc>
          <w:tcPr>
            <w:tcW w:w="1508" w:type="dxa"/>
            <w:shd w:val="clear" w:color="auto" w:fill="CCE7D3"/>
          </w:tcPr>
          <w:p w14:paraId="7D0415C5" w14:textId="77777777" w:rsidR="009948F1" w:rsidRDefault="009948F1">
            <w:pPr>
              <w:pStyle w:val="TableParagraph"/>
              <w:rPr>
                <w:rFonts w:ascii="Times New Roman"/>
                <w:sz w:val="10"/>
              </w:rPr>
            </w:pPr>
          </w:p>
        </w:tc>
      </w:tr>
      <w:tr w:rsidR="009948F1" w14:paraId="6EBDAA05" w14:textId="77777777">
        <w:trPr>
          <w:trHeight w:val="769"/>
        </w:trPr>
        <w:tc>
          <w:tcPr>
            <w:tcW w:w="867" w:type="dxa"/>
            <w:gridSpan w:val="2"/>
            <w:vMerge w:val="restart"/>
            <w:tcBorders>
              <w:top w:val="nil"/>
              <w:left w:val="single" w:sz="8" w:space="0" w:color="231F20"/>
              <w:bottom w:val="nil"/>
            </w:tcBorders>
          </w:tcPr>
          <w:p w14:paraId="216ED58A" w14:textId="77777777" w:rsidR="009948F1" w:rsidRDefault="009948F1">
            <w:pPr>
              <w:pStyle w:val="TableParagraph"/>
              <w:rPr>
                <w:rFonts w:ascii="Times New Roman"/>
                <w:sz w:val="10"/>
              </w:rPr>
            </w:pPr>
          </w:p>
        </w:tc>
        <w:tc>
          <w:tcPr>
            <w:tcW w:w="527" w:type="dxa"/>
          </w:tcPr>
          <w:p w14:paraId="3402C515" w14:textId="77777777" w:rsidR="009948F1" w:rsidRDefault="009948F1">
            <w:pPr>
              <w:pStyle w:val="TableParagraph"/>
              <w:rPr>
                <w:sz w:val="12"/>
              </w:rPr>
            </w:pPr>
          </w:p>
          <w:p w14:paraId="694F8813" w14:textId="77777777" w:rsidR="009948F1" w:rsidRDefault="009948F1">
            <w:pPr>
              <w:pStyle w:val="TableParagraph"/>
              <w:spacing w:before="2"/>
              <w:rPr>
                <w:sz w:val="16"/>
              </w:rPr>
            </w:pPr>
          </w:p>
          <w:p w14:paraId="2B242BC0" w14:textId="77777777" w:rsidR="009948F1" w:rsidRDefault="00BC0563">
            <w:pPr>
              <w:pStyle w:val="TableParagraph"/>
              <w:ind w:left="24" w:right="6"/>
              <w:jc w:val="center"/>
              <w:rPr>
                <w:sz w:val="11"/>
              </w:rPr>
            </w:pPr>
            <w:r>
              <w:rPr>
                <w:color w:val="231F20"/>
                <w:w w:val="110"/>
                <w:sz w:val="11"/>
              </w:rPr>
              <w:t>15.2.3.a</w:t>
            </w:r>
          </w:p>
        </w:tc>
        <w:tc>
          <w:tcPr>
            <w:tcW w:w="4905" w:type="dxa"/>
            <w:gridSpan w:val="2"/>
          </w:tcPr>
          <w:p w14:paraId="25AF3F57" w14:textId="0669EF30" w:rsidR="009948F1" w:rsidRDefault="00BC0563">
            <w:pPr>
              <w:pStyle w:val="TableParagraph"/>
              <w:spacing w:before="18" w:line="140" w:lineRule="atLeast"/>
              <w:ind w:left="24" w:right="-4" w:firstLine="33"/>
              <w:rPr>
                <w:sz w:val="11"/>
              </w:rPr>
            </w:pPr>
            <w:r>
              <w:rPr>
                <w:color w:val="231F20"/>
                <w:w w:val="110"/>
                <w:sz w:val="11"/>
              </w:rPr>
              <w:t>Conduct advocacy to the Government at all levels (State and Local Government) to make financial provisions for poor and vulnerable groups in the form of direct payments, subsidies, paying for insurance contributions or any other methods. Make special provision for diseases of public health significance such as Malaria, HIV/AIDS, TB, Leprosy, Monk</w:t>
            </w:r>
            <w:r w:rsidR="002049E3">
              <w:rPr>
                <w:color w:val="231F20"/>
                <w:w w:val="110"/>
                <w:sz w:val="11"/>
              </w:rPr>
              <w:t>e</w:t>
            </w:r>
            <w:r>
              <w:rPr>
                <w:color w:val="231F20"/>
                <w:w w:val="110"/>
                <w:sz w:val="11"/>
              </w:rPr>
              <w:t>y</w:t>
            </w:r>
            <w:r w:rsidR="002049E3">
              <w:rPr>
                <w:color w:val="231F20"/>
                <w:w w:val="110"/>
                <w:sz w:val="11"/>
              </w:rPr>
              <w:t xml:space="preserve"> </w:t>
            </w:r>
            <w:r>
              <w:rPr>
                <w:color w:val="231F20"/>
                <w:w w:val="110"/>
                <w:sz w:val="11"/>
              </w:rPr>
              <w:t>pox, vaccine preventable diseases and others</w:t>
            </w:r>
          </w:p>
        </w:tc>
        <w:tc>
          <w:tcPr>
            <w:tcW w:w="1430" w:type="dxa"/>
          </w:tcPr>
          <w:p w14:paraId="4F1DB73C" w14:textId="77777777" w:rsidR="009948F1" w:rsidRDefault="009948F1">
            <w:pPr>
              <w:pStyle w:val="TableParagraph"/>
              <w:rPr>
                <w:sz w:val="12"/>
              </w:rPr>
            </w:pPr>
          </w:p>
          <w:p w14:paraId="420B4F57" w14:textId="77777777" w:rsidR="009948F1" w:rsidRDefault="009948F1">
            <w:pPr>
              <w:pStyle w:val="TableParagraph"/>
              <w:spacing w:before="2"/>
              <w:rPr>
                <w:sz w:val="16"/>
              </w:rPr>
            </w:pPr>
          </w:p>
          <w:p w14:paraId="46EF8E94" w14:textId="77777777" w:rsidR="009948F1" w:rsidRDefault="00BC0563">
            <w:pPr>
              <w:pStyle w:val="TableParagraph"/>
              <w:ind w:left="24"/>
              <w:rPr>
                <w:sz w:val="11"/>
              </w:rPr>
            </w:pPr>
            <w:r>
              <w:rPr>
                <w:color w:val="231F20"/>
                <w:w w:val="110"/>
                <w:sz w:val="11"/>
              </w:rPr>
              <w:t>Lack of funds</w:t>
            </w:r>
          </w:p>
        </w:tc>
        <w:tc>
          <w:tcPr>
            <w:tcW w:w="1508" w:type="dxa"/>
          </w:tcPr>
          <w:p w14:paraId="6F3D92AA" w14:textId="77777777" w:rsidR="009948F1" w:rsidRDefault="009948F1">
            <w:pPr>
              <w:pStyle w:val="TableParagraph"/>
              <w:rPr>
                <w:sz w:val="12"/>
              </w:rPr>
            </w:pPr>
          </w:p>
          <w:p w14:paraId="283067DD" w14:textId="77777777" w:rsidR="009948F1" w:rsidRDefault="009948F1">
            <w:pPr>
              <w:pStyle w:val="TableParagraph"/>
              <w:spacing w:before="2"/>
              <w:rPr>
                <w:sz w:val="16"/>
              </w:rPr>
            </w:pPr>
          </w:p>
          <w:p w14:paraId="640D5689" w14:textId="77777777" w:rsidR="009948F1" w:rsidRDefault="00BC0563">
            <w:pPr>
              <w:pStyle w:val="TableParagraph"/>
              <w:ind w:left="24"/>
              <w:rPr>
                <w:sz w:val="11"/>
              </w:rPr>
            </w:pPr>
            <w:r>
              <w:rPr>
                <w:color w:val="231F20"/>
                <w:w w:val="110"/>
                <w:sz w:val="11"/>
              </w:rPr>
              <w:t>Conduct advocacy</w:t>
            </w:r>
          </w:p>
        </w:tc>
      </w:tr>
      <w:tr w:rsidR="009948F1" w14:paraId="42715CE0" w14:textId="77777777">
        <w:trPr>
          <w:trHeight w:val="544"/>
        </w:trPr>
        <w:tc>
          <w:tcPr>
            <w:tcW w:w="867" w:type="dxa"/>
            <w:gridSpan w:val="2"/>
            <w:vMerge/>
            <w:tcBorders>
              <w:top w:val="nil"/>
              <w:left w:val="single" w:sz="8" w:space="0" w:color="231F20"/>
              <w:bottom w:val="nil"/>
            </w:tcBorders>
          </w:tcPr>
          <w:p w14:paraId="7D30835D" w14:textId="77777777" w:rsidR="009948F1" w:rsidRDefault="009948F1">
            <w:pPr>
              <w:rPr>
                <w:sz w:val="2"/>
                <w:szCs w:val="2"/>
              </w:rPr>
            </w:pPr>
          </w:p>
        </w:tc>
        <w:tc>
          <w:tcPr>
            <w:tcW w:w="527" w:type="dxa"/>
          </w:tcPr>
          <w:p w14:paraId="492C893C" w14:textId="77777777" w:rsidR="009948F1" w:rsidRDefault="009948F1">
            <w:pPr>
              <w:pStyle w:val="TableParagraph"/>
              <w:rPr>
                <w:sz w:val="12"/>
              </w:rPr>
            </w:pPr>
          </w:p>
          <w:p w14:paraId="4C99A5C7" w14:textId="77777777" w:rsidR="009948F1" w:rsidRDefault="00BC0563">
            <w:pPr>
              <w:pStyle w:val="TableParagraph"/>
              <w:spacing w:before="73"/>
              <w:ind w:left="24" w:right="6"/>
              <w:jc w:val="center"/>
              <w:rPr>
                <w:sz w:val="11"/>
              </w:rPr>
            </w:pPr>
            <w:r>
              <w:rPr>
                <w:color w:val="231F20"/>
                <w:w w:val="110"/>
                <w:sz w:val="11"/>
              </w:rPr>
              <w:t>15.2.3.b</w:t>
            </w:r>
          </w:p>
        </w:tc>
        <w:tc>
          <w:tcPr>
            <w:tcW w:w="4905" w:type="dxa"/>
            <w:gridSpan w:val="2"/>
          </w:tcPr>
          <w:p w14:paraId="3D799B1C" w14:textId="77777777" w:rsidR="009948F1" w:rsidRDefault="009948F1">
            <w:pPr>
              <w:pStyle w:val="TableParagraph"/>
              <w:spacing w:before="8"/>
              <w:rPr>
                <w:sz w:val="11"/>
              </w:rPr>
            </w:pPr>
          </w:p>
          <w:p w14:paraId="7D405683" w14:textId="77777777" w:rsidR="009948F1" w:rsidRDefault="00BC0563">
            <w:pPr>
              <w:pStyle w:val="TableParagraph"/>
              <w:spacing w:line="273" w:lineRule="auto"/>
              <w:ind w:left="24" w:right="319"/>
              <w:rPr>
                <w:sz w:val="11"/>
              </w:rPr>
            </w:pPr>
            <w:r>
              <w:rPr>
                <w:color w:val="231F20"/>
                <w:w w:val="110"/>
                <w:sz w:val="11"/>
              </w:rPr>
              <w:t>Develop and implement advocacy strategy for increased and timely release of health budgets</w:t>
            </w:r>
          </w:p>
        </w:tc>
        <w:tc>
          <w:tcPr>
            <w:tcW w:w="1430" w:type="dxa"/>
          </w:tcPr>
          <w:p w14:paraId="2843DB86" w14:textId="77777777" w:rsidR="009948F1" w:rsidRDefault="009948F1">
            <w:pPr>
              <w:pStyle w:val="TableParagraph"/>
              <w:rPr>
                <w:sz w:val="12"/>
              </w:rPr>
            </w:pPr>
          </w:p>
          <w:p w14:paraId="4E4967F0" w14:textId="77777777" w:rsidR="009948F1" w:rsidRDefault="00BC0563">
            <w:pPr>
              <w:pStyle w:val="TableParagraph"/>
              <w:spacing w:before="73"/>
              <w:ind w:left="24"/>
              <w:rPr>
                <w:sz w:val="11"/>
              </w:rPr>
            </w:pPr>
            <w:r>
              <w:rPr>
                <w:color w:val="231F20"/>
                <w:w w:val="110"/>
                <w:sz w:val="11"/>
              </w:rPr>
              <w:t>Lack of funds</w:t>
            </w:r>
          </w:p>
        </w:tc>
        <w:tc>
          <w:tcPr>
            <w:tcW w:w="1508" w:type="dxa"/>
          </w:tcPr>
          <w:p w14:paraId="71254E3B" w14:textId="77777777" w:rsidR="009948F1" w:rsidRDefault="009948F1">
            <w:pPr>
              <w:pStyle w:val="TableParagraph"/>
              <w:rPr>
                <w:sz w:val="12"/>
              </w:rPr>
            </w:pPr>
          </w:p>
          <w:p w14:paraId="3F372ACA" w14:textId="77777777" w:rsidR="009948F1" w:rsidRDefault="00BC0563">
            <w:pPr>
              <w:pStyle w:val="TableParagraph"/>
              <w:spacing w:before="73"/>
              <w:ind w:left="24"/>
              <w:rPr>
                <w:sz w:val="11"/>
              </w:rPr>
            </w:pPr>
            <w:r>
              <w:rPr>
                <w:color w:val="231F20"/>
                <w:w w:val="110"/>
                <w:sz w:val="11"/>
              </w:rPr>
              <w:t>No cost</w:t>
            </w:r>
          </w:p>
        </w:tc>
      </w:tr>
      <w:tr w:rsidR="009948F1" w14:paraId="53A31BDC" w14:textId="77777777">
        <w:trPr>
          <w:trHeight w:val="544"/>
        </w:trPr>
        <w:tc>
          <w:tcPr>
            <w:tcW w:w="867" w:type="dxa"/>
            <w:gridSpan w:val="2"/>
            <w:vMerge/>
            <w:tcBorders>
              <w:top w:val="nil"/>
              <w:left w:val="single" w:sz="8" w:space="0" w:color="231F20"/>
              <w:bottom w:val="nil"/>
            </w:tcBorders>
          </w:tcPr>
          <w:p w14:paraId="1204E0E2" w14:textId="77777777" w:rsidR="009948F1" w:rsidRDefault="009948F1">
            <w:pPr>
              <w:rPr>
                <w:sz w:val="2"/>
                <w:szCs w:val="2"/>
              </w:rPr>
            </w:pPr>
          </w:p>
        </w:tc>
        <w:tc>
          <w:tcPr>
            <w:tcW w:w="527" w:type="dxa"/>
          </w:tcPr>
          <w:p w14:paraId="6033F9F8" w14:textId="77777777" w:rsidR="009948F1" w:rsidRDefault="009948F1">
            <w:pPr>
              <w:pStyle w:val="TableParagraph"/>
              <w:rPr>
                <w:sz w:val="12"/>
              </w:rPr>
            </w:pPr>
          </w:p>
          <w:p w14:paraId="45097DF4" w14:textId="77777777" w:rsidR="009948F1" w:rsidRDefault="00BC0563">
            <w:pPr>
              <w:pStyle w:val="TableParagraph"/>
              <w:spacing w:before="73"/>
              <w:ind w:left="24" w:right="5"/>
              <w:jc w:val="center"/>
              <w:rPr>
                <w:sz w:val="11"/>
              </w:rPr>
            </w:pPr>
            <w:r>
              <w:rPr>
                <w:color w:val="231F20"/>
                <w:w w:val="110"/>
                <w:sz w:val="11"/>
              </w:rPr>
              <w:t>15.2.3.c</w:t>
            </w:r>
          </w:p>
        </w:tc>
        <w:tc>
          <w:tcPr>
            <w:tcW w:w="4905" w:type="dxa"/>
            <w:gridSpan w:val="2"/>
          </w:tcPr>
          <w:p w14:paraId="1831D1D5" w14:textId="77777777" w:rsidR="009948F1" w:rsidRDefault="009948F1">
            <w:pPr>
              <w:pStyle w:val="TableParagraph"/>
              <w:spacing w:before="8"/>
              <w:rPr>
                <w:sz w:val="11"/>
              </w:rPr>
            </w:pPr>
          </w:p>
          <w:p w14:paraId="4A4BAA33" w14:textId="77777777" w:rsidR="009948F1" w:rsidRDefault="00BC0563">
            <w:pPr>
              <w:pStyle w:val="TableParagraph"/>
              <w:spacing w:line="273" w:lineRule="auto"/>
              <w:ind w:left="24" w:right="286" w:firstLine="33"/>
              <w:rPr>
                <w:sz w:val="11"/>
              </w:rPr>
            </w:pPr>
            <w:r>
              <w:rPr>
                <w:color w:val="231F20"/>
                <w:w w:val="110"/>
                <w:sz w:val="11"/>
              </w:rPr>
              <w:t>Support health advocacy committee to advocate for increase in health budget, timely budgetary releases and adequate expenditure tracking.</w:t>
            </w:r>
          </w:p>
        </w:tc>
        <w:tc>
          <w:tcPr>
            <w:tcW w:w="1430" w:type="dxa"/>
          </w:tcPr>
          <w:p w14:paraId="53CD4DDA" w14:textId="77777777" w:rsidR="009948F1" w:rsidRDefault="009948F1">
            <w:pPr>
              <w:pStyle w:val="TableParagraph"/>
              <w:rPr>
                <w:sz w:val="12"/>
              </w:rPr>
            </w:pPr>
          </w:p>
          <w:p w14:paraId="0630908C" w14:textId="77777777" w:rsidR="009948F1" w:rsidRDefault="00BC0563">
            <w:pPr>
              <w:pStyle w:val="TableParagraph"/>
              <w:spacing w:before="73"/>
              <w:ind w:left="24"/>
              <w:rPr>
                <w:sz w:val="11"/>
              </w:rPr>
            </w:pPr>
            <w:r>
              <w:rPr>
                <w:color w:val="231F20"/>
                <w:w w:val="110"/>
                <w:sz w:val="11"/>
              </w:rPr>
              <w:t>Lack of funds</w:t>
            </w:r>
          </w:p>
        </w:tc>
        <w:tc>
          <w:tcPr>
            <w:tcW w:w="1508" w:type="dxa"/>
          </w:tcPr>
          <w:p w14:paraId="1025F100" w14:textId="77777777" w:rsidR="009948F1" w:rsidRDefault="009948F1">
            <w:pPr>
              <w:pStyle w:val="TableParagraph"/>
              <w:rPr>
                <w:sz w:val="12"/>
              </w:rPr>
            </w:pPr>
          </w:p>
          <w:p w14:paraId="1A9B51F0" w14:textId="77777777" w:rsidR="009948F1" w:rsidRDefault="00BC0563">
            <w:pPr>
              <w:pStyle w:val="TableParagraph"/>
              <w:spacing w:before="73"/>
              <w:ind w:left="24"/>
              <w:rPr>
                <w:sz w:val="11"/>
              </w:rPr>
            </w:pPr>
            <w:r>
              <w:rPr>
                <w:color w:val="231F20"/>
                <w:w w:val="110"/>
                <w:sz w:val="11"/>
              </w:rPr>
              <w:t>No cost</w:t>
            </w:r>
          </w:p>
        </w:tc>
      </w:tr>
      <w:tr w:rsidR="009948F1" w14:paraId="0180F9FB" w14:textId="77777777">
        <w:trPr>
          <w:trHeight w:val="776"/>
        </w:trPr>
        <w:tc>
          <w:tcPr>
            <w:tcW w:w="411" w:type="dxa"/>
            <w:tcBorders>
              <w:top w:val="nil"/>
              <w:left w:val="single" w:sz="8" w:space="0" w:color="231F20"/>
              <w:bottom w:val="nil"/>
            </w:tcBorders>
          </w:tcPr>
          <w:p w14:paraId="33709F30" w14:textId="77777777" w:rsidR="009948F1" w:rsidRDefault="009948F1">
            <w:pPr>
              <w:pStyle w:val="TableParagraph"/>
              <w:rPr>
                <w:rFonts w:ascii="Times New Roman"/>
                <w:sz w:val="10"/>
              </w:rPr>
            </w:pPr>
          </w:p>
        </w:tc>
        <w:tc>
          <w:tcPr>
            <w:tcW w:w="456" w:type="dxa"/>
            <w:shd w:val="clear" w:color="auto" w:fill="CCE7D3"/>
          </w:tcPr>
          <w:p w14:paraId="0297CD3B" w14:textId="77777777" w:rsidR="009948F1" w:rsidRDefault="009948F1">
            <w:pPr>
              <w:pStyle w:val="TableParagraph"/>
              <w:rPr>
                <w:sz w:val="12"/>
              </w:rPr>
            </w:pPr>
          </w:p>
          <w:p w14:paraId="14A90D47" w14:textId="77777777" w:rsidR="009948F1" w:rsidRDefault="009948F1">
            <w:pPr>
              <w:pStyle w:val="TableParagraph"/>
              <w:spacing w:before="5"/>
              <w:rPr>
                <w:sz w:val="16"/>
              </w:rPr>
            </w:pPr>
          </w:p>
          <w:p w14:paraId="346F2327" w14:textId="77777777" w:rsidR="009948F1" w:rsidRDefault="00BC0563">
            <w:pPr>
              <w:pStyle w:val="TableParagraph"/>
              <w:spacing w:before="1"/>
              <w:ind w:left="22" w:right="17"/>
              <w:jc w:val="center"/>
              <w:rPr>
                <w:sz w:val="11"/>
              </w:rPr>
            </w:pPr>
            <w:r>
              <w:rPr>
                <w:color w:val="231F20"/>
                <w:w w:val="110"/>
                <w:sz w:val="11"/>
              </w:rPr>
              <w:t>15.2.4</w:t>
            </w:r>
          </w:p>
        </w:tc>
        <w:tc>
          <w:tcPr>
            <w:tcW w:w="3043" w:type="dxa"/>
            <w:gridSpan w:val="2"/>
            <w:shd w:val="clear" w:color="auto" w:fill="CCE7D3"/>
          </w:tcPr>
          <w:p w14:paraId="26A46F27" w14:textId="77777777" w:rsidR="009948F1" w:rsidRDefault="009948F1">
            <w:pPr>
              <w:pStyle w:val="TableParagraph"/>
              <w:rPr>
                <w:sz w:val="12"/>
              </w:rPr>
            </w:pPr>
          </w:p>
          <w:p w14:paraId="0D48F8CC" w14:textId="77777777" w:rsidR="009948F1" w:rsidRDefault="009948F1">
            <w:pPr>
              <w:pStyle w:val="TableParagraph"/>
              <w:spacing w:before="9"/>
              <w:rPr>
                <w:sz w:val="9"/>
              </w:rPr>
            </w:pPr>
          </w:p>
          <w:p w14:paraId="437D647B" w14:textId="77777777" w:rsidR="009948F1" w:rsidRDefault="00BC0563">
            <w:pPr>
              <w:pStyle w:val="TableParagraph"/>
              <w:spacing w:line="273" w:lineRule="auto"/>
              <w:ind w:left="24" w:right="16" w:firstLine="33"/>
              <w:rPr>
                <w:sz w:val="11"/>
              </w:rPr>
            </w:pPr>
            <w:r>
              <w:rPr>
                <w:color w:val="231F20"/>
                <w:w w:val="110"/>
                <w:sz w:val="11"/>
              </w:rPr>
              <w:t>Strengthen</w:t>
            </w:r>
            <w:r>
              <w:rPr>
                <w:color w:val="231F20"/>
                <w:spacing w:val="-9"/>
                <w:w w:val="110"/>
                <w:sz w:val="11"/>
              </w:rPr>
              <w:t xml:space="preserve"> </w:t>
            </w:r>
            <w:r>
              <w:rPr>
                <w:color w:val="231F20"/>
                <w:w w:val="110"/>
                <w:sz w:val="11"/>
              </w:rPr>
              <w:t>legal</w:t>
            </w:r>
            <w:r>
              <w:rPr>
                <w:color w:val="231F20"/>
                <w:spacing w:val="-8"/>
                <w:w w:val="110"/>
                <w:sz w:val="11"/>
              </w:rPr>
              <w:t xml:space="preserve"> </w:t>
            </w:r>
            <w:r>
              <w:rPr>
                <w:color w:val="231F20"/>
                <w:w w:val="110"/>
                <w:sz w:val="11"/>
              </w:rPr>
              <w:t>and</w:t>
            </w:r>
            <w:r>
              <w:rPr>
                <w:color w:val="231F20"/>
                <w:spacing w:val="-9"/>
                <w:w w:val="110"/>
                <w:sz w:val="11"/>
              </w:rPr>
              <w:t xml:space="preserve"> </w:t>
            </w:r>
            <w:r>
              <w:rPr>
                <w:color w:val="231F20"/>
                <w:w w:val="110"/>
                <w:sz w:val="11"/>
              </w:rPr>
              <w:t>coordinating</w:t>
            </w:r>
            <w:r>
              <w:rPr>
                <w:color w:val="231F20"/>
                <w:spacing w:val="-8"/>
                <w:w w:val="110"/>
                <w:sz w:val="11"/>
              </w:rPr>
              <w:t xml:space="preserve"> </w:t>
            </w:r>
            <w:r>
              <w:rPr>
                <w:color w:val="231F20"/>
                <w:w w:val="110"/>
                <w:sz w:val="11"/>
              </w:rPr>
              <w:t>framework</w:t>
            </w:r>
            <w:r>
              <w:rPr>
                <w:color w:val="231F20"/>
                <w:spacing w:val="-8"/>
                <w:w w:val="110"/>
                <w:sz w:val="11"/>
              </w:rPr>
              <w:t xml:space="preserve"> </w:t>
            </w:r>
            <w:r>
              <w:rPr>
                <w:color w:val="231F20"/>
                <w:w w:val="110"/>
                <w:sz w:val="11"/>
              </w:rPr>
              <w:t>for</w:t>
            </w:r>
            <w:r>
              <w:rPr>
                <w:color w:val="231F20"/>
                <w:spacing w:val="-9"/>
                <w:w w:val="110"/>
                <w:sz w:val="11"/>
              </w:rPr>
              <w:t xml:space="preserve"> </w:t>
            </w:r>
            <w:r>
              <w:rPr>
                <w:color w:val="231F20"/>
                <w:w w:val="110"/>
                <w:sz w:val="11"/>
              </w:rPr>
              <w:t>PPP</w:t>
            </w:r>
            <w:r>
              <w:rPr>
                <w:color w:val="231F20"/>
                <w:spacing w:val="-8"/>
                <w:w w:val="110"/>
                <w:sz w:val="11"/>
              </w:rPr>
              <w:t xml:space="preserve"> </w:t>
            </w:r>
            <w:r>
              <w:rPr>
                <w:color w:val="231F20"/>
                <w:w w:val="110"/>
                <w:sz w:val="11"/>
              </w:rPr>
              <w:t>at Federal and State</w:t>
            </w:r>
            <w:r>
              <w:rPr>
                <w:color w:val="231F20"/>
                <w:spacing w:val="-5"/>
                <w:w w:val="110"/>
                <w:sz w:val="11"/>
              </w:rPr>
              <w:t xml:space="preserve"> </w:t>
            </w:r>
            <w:r>
              <w:rPr>
                <w:color w:val="231F20"/>
                <w:w w:val="110"/>
                <w:sz w:val="11"/>
              </w:rPr>
              <w:t>levels</w:t>
            </w:r>
          </w:p>
        </w:tc>
        <w:tc>
          <w:tcPr>
            <w:tcW w:w="2389" w:type="dxa"/>
            <w:shd w:val="clear" w:color="auto" w:fill="CCE7D3"/>
          </w:tcPr>
          <w:p w14:paraId="3C848944" w14:textId="77777777" w:rsidR="009948F1" w:rsidRDefault="00BC0563">
            <w:pPr>
              <w:pStyle w:val="TableParagraph"/>
              <w:numPr>
                <w:ilvl w:val="0"/>
                <w:numId w:val="10"/>
              </w:numPr>
              <w:tabs>
                <w:tab w:val="left" w:pos="100"/>
              </w:tabs>
              <w:spacing w:before="4" w:line="273" w:lineRule="auto"/>
              <w:ind w:right="130" w:firstLine="0"/>
              <w:rPr>
                <w:sz w:val="11"/>
              </w:rPr>
            </w:pPr>
            <w:r>
              <w:rPr>
                <w:color w:val="231F20"/>
                <w:w w:val="110"/>
                <w:sz w:val="11"/>
              </w:rPr>
              <w:t>Legal</w:t>
            </w:r>
            <w:r>
              <w:rPr>
                <w:color w:val="231F20"/>
                <w:spacing w:val="-9"/>
                <w:w w:val="110"/>
                <w:sz w:val="11"/>
              </w:rPr>
              <w:t xml:space="preserve"> </w:t>
            </w:r>
            <w:r>
              <w:rPr>
                <w:color w:val="231F20"/>
                <w:w w:val="110"/>
                <w:sz w:val="11"/>
              </w:rPr>
              <w:t>&amp;</w:t>
            </w:r>
            <w:r>
              <w:rPr>
                <w:color w:val="231F20"/>
                <w:spacing w:val="-8"/>
                <w:w w:val="110"/>
                <w:sz w:val="11"/>
              </w:rPr>
              <w:t xml:space="preserve"> </w:t>
            </w:r>
            <w:r>
              <w:rPr>
                <w:color w:val="231F20"/>
                <w:w w:val="110"/>
                <w:sz w:val="11"/>
              </w:rPr>
              <w:t>Coordinating</w:t>
            </w:r>
            <w:r>
              <w:rPr>
                <w:color w:val="231F20"/>
                <w:spacing w:val="-8"/>
                <w:w w:val="110"/>
                <w:sz w:val="11"/>
              </w:rPr>
              <w:t xml:space="preserve"> </w:t>
            </w:r>
            <w:r>
              <w:rPr>
                <w:color w:val="231F20"/>
                <w:w w:val="110"/>
                <w:sz w:val="11"/>
              </w:rPr>
              <w:t>framework</w:t>
            </w:r>
            <w:r>
              <w:rPr>
                <w:color w:val="231F20"/>
                <w:spacing w:val="-8"/>
                <w:w w:val="110"/>
                <w:sz w:val="11"/>
              </w:rPr>
              <w:t xml:space="preserve"> </w:t>
            </w:r>
            <w:r>
              <w:rPr>
                <w:color w:val="231F20"/>
                <w:w w:val="110"/>
                <w:sz w:val="11"/>
              </w:rPr>
              <w:t>for</w:t>
            </w:r>
            <w:r>
              <w:rPr>
                <w:color w:val="231F20"/>
                <w:spacing w:val="-9"/>
                <w:w w:val="110"/>
                <w:sz w:val="11"/>
              </w:rPr>
              <w:t xml:space="preserve"> </w:t>
            </w:r>
            <w:r>
              <w:rPr>
                <w:color w:val="231F20"/>
                <w:w w:val="110"/>
                <w:sz w:val="11"/>
              </w:rPr>
              <w:t>PPP reviewed and</w:t>
            </w:r>
            <w:r>
              <w:rPr>
                <w:color w:val="231F20"/>
                <w:spacing w:val="-4"/>
                <w:w w:val="110"/>
                <w:sz w:val="11"/>
              </w:rPr>
              <w:t xml:space="preserve"> </w:t>
            </w:r>
            <w:r>
              <w:rPr>
                <w:color w:val="231F20"/>
                <w:w w:val="110"/>
                <w:sz w:val="11"/>
              </w:rPr>
              <w:t>domesticated</w:t>
            </w:r>
          </w:p>
          <w:p w14:paraId="4392D397" w14:textId="77777777" w:rsidR="009948F1" w:rsidRDefault="00BC0563">
            <w:pPr>
              <w:pStyle w:val="TableParagraph"/>
              <w:spacing w:line="273" w:lineRule="auto"/>
              <w:ind w:left="24"/>
              <w:rPr>
                <w:sz w:val="11"/>
              </w:rPr>
            </w:pPr>
            <w:r>
              <w:rPr>
                <w:color w:val="231F20"/>
                <w:w w:val="110"/>
                <w:sz w:val="11"/>
              </w:rPr>
              <w:t>•PPP committee updated in PPP policy changes</w:t>
            </w:r>
          </w:p>
          <w:p w14:paraId="72CC122E" w14:textId="77777777" w:rsidR="009948F1" w:rsidRDefault="00BC0563">
            <w:pPr>
              <w:pStyle w:val="TableParagraph"/>
              <w:numPr>
                <w:ilvl w:val="0"/>
                <w:numId w:val="10"/>
              </w:numPr>
              <w:tabs>
                <w:tab w:val="left" w:pos="100"/>
              </w:tabs>
              <w:spacing w:line="126" w:lineRule="exact"/>
              <w:ind w:left="99" w:hanging="76"/>
              <w:rPr>
                <w:sz w:val="11"/>
              </w:rPr>
            </w:pPr>
            <w:r>
              <w:rPr>
                <w:color w:val="231F20"/>
                <w:w w:val="110"/>
                <w:sz w:val="11"/>
              </w:rPr>
              <w:t>Rivers State Legal Framework</w:t>
            </w:r>
            <w:r>
              <w:rPr>
                <w:color w:val="231F20"/>
                <w:spacing w:val="-21"/>
                <w:w w:val="110"/>
                <w:sz w:val="11"/>
              </w:rPr>
              <w:t xml:space="preserve"> </w:t>
            </w:r>
            <w:r>
              <w:rPr>
                <w:color w:val="231F20"/>
                <w:w w:val="110"/>
                <w:sz w:val="11"/>
              </w:rPr>
              <w:t>produced</w:t>
            </w:r>
          </w:p>
        </w:tc>
        <w:tc>
          <w:tcPr>
            <w:tcW w:w="1430" w:type="dxa"/>
            <w:shd w:val="clear" w:color="auto" w:fill="CCE7D3"/>
          </w:tcPr>
          <w:p w14:paraId="19E2761C" w14:textId="77777777" w:rsidR="009948F1" w:rsidRDefault="009948F1">
            <w:pPr>
              <w:pStyle w:val="TableParagraph"/>
              <w:rPr>
                <w:rFonts w:ascii="Times New Roman"/>
                <w:sz w:val="10"/>
              </w:rPr>
            </w:pPr>
          </w:p>
        </w:tc>
        <w:tc>
          <w:tcPr>
            <w:tcW w:w="1508" w:type="dxa"/>
            <w:shd w:val="clear" w:color="auto" w:fill="CCE7D3"/>
          </w:tcPr>
          <w:p w14:paraId="1FD9CC57" w14:textId="77777777" w:rsidR="009948F1" w:rsidRDefault="009948F1">
            <w:pPr>
              <w:pStyle w:val="TableParagraph"/>
              <w:rPr>
                <w:rFonts w:ascii="Times New Roman"/>
                <w:sz w:val="10"/>
              </w:rPr>
            </w:pPr>
          </w:p>
        </w:tc>
      </w:tr>
      <w:tr w:rsidR="009948F1" w14:paraId="5201B7D4" w14:textId="77777777">
        <w:trPr>
          <w:trHeight w:val="275"/>
        </w:trPr>
        <w:tc>
          <w:tcPr>
            <w:tcW w:w="867" w:type="dxa"/>
            <w:gridSpan w:val="2"/>
            <w:vMerge w:val="restart"/>
            <w:tcBorders>
              <w:top w:val="nil"/>
              <w:left w:val="single" w:sz="8" w:space="0" w:color="231F20"/>
              <w:bottom w:val="nil"/>
            </w:tcBorders>
          </w:tcPr>
          <w:p w14:paraId="4C02B387" w14:textId="77777777" w:rsidR="009948F1" w:rsidRDefault="009948F1">
            <w:pPr>
              <w:pStyle w:val="TableParagraph"/>
              <w:rPr>
                <w:rFonts w:ascii="Times New Roman"/>
                <w:sz w:val="10"/>
              </w:rPr>
            </w:pPr>
          </w:p>
        </w:tc>
        <w:tc>
          <w:tcPr>
            <w:tcW w:w="527" w:type="dxa"/>
          </w:tcPr>
          <w:p w14:paraId="1EAE155E" w14:textId="77777777" w:rsidR="009948F1" w:rsidRDefault="00BC0563">
            <w:pPr>
              <w:pStyle w:val="TableParagraph"/>
              <w:spacing w:before="76"/>
              <w:ind w:left="24" w:right="6"/>
              <w:jc w:val="center"/>
              <w:rPr>
                <w:sz w:val="11"/>
              </w:rPr>
            </w:pPr>
            <w:r>
              <w:rPr>
                <w:color w:val="231F20"/>
                <w:w w:val="110"/>
                <w:sz w:val="11"/>
              </w:rPr>
              <w:t>15.2.4.a</w:t>
            </w:r>
          </w:p>
        </w:tc>
        <w:tc>
          <w:tcPr>
            <w:tcW w:w="4905" w:type="dxa"/>
            <w:gridSpan w:val="2"/>
          </w:tcPr>
          <w:p w14:paraId="1776757E" w14:textId="77777777" w:rsidR="009948F1" w:rsidRDefault="00BC0563">
            <w:pPr>
              <w:pStyle w:val="TableParagraph"/>
              <w:spacing w:line="58" w:lineRule="exact"/>
              <w:ind w:left="2540"/>
              <w:rPr>
                <w:sz w:val="11"/>
              </w:rPr>
            </w:pPr>
            <w:r>
              <w:rPr>
                <w:color w:val="231F20"/>
                <w:w w:val="110"/>
                <w:sz w:val="11"/>
              </w:rPr>
              <w:t>and disseminated</w:t>
            </w:r>
          </w:p>
          <w:p w14:paraId="36861B0C" w14:textId="77777777" w:rsidR="009948F1" w:rsidRDefault="00BC0563">
            <w:pPr>
              <w:pStyle w:val="TableParagraph"/>
              <w:spacing w:before="14"/>
              <w:ind w:left="24"/>
              <w:rPr>
                <w:sz w:val="11"/>
              </w:rPr>
            </w:pPr>
            <w:r>
              <w:rPr>
                <w:color w:val="231F20"/>
                <w:w w:val="110"/>
                <w:sz w:val="11"/>
              </w:rPr>
              <w:t>Review &amp; domesticate Legal &amp; Coordinating framework for PPP for the state</w:t>
            </w:r>
          </w:p>
        </w:tc>
        <w:tc>
          <w:tcPr>
            <w:tcW w:w="1430" w:type="dxa"/>
          </w:tcPr>
          <w:p w14:paraId="51C85EA5" w14:textId="77777777" w:rsidR="009948F1" w:rsidRDefault="00BC0563">
            <w:pPr>
              <w:pStyle w:val="TableParagraph"/>
              <w:spacing w:before="76"/>
              <w:ind w:left="24"/>
              <w:rPr>
                <w:sz w:val="11"/>
              </w:rPr>
            </w:pPr>
            <w:r>
              <w:rPr>
                <w:color w:val="231F20"/>
                <w:w w:val="110"/>
                <w:sz w:val="11"/>
              </w:rPr>
              <w:t>Lack of funds</w:t>
            </w:r>
          </w:p>
        </w:tc>
        <w:tc>
          <w:tcPr>
            <w:tcW w:w="1508" w:type="dxa"/>
          </w:tcPr>
          <w:p w14:paraId="0EE3BE21" w14:textId="77777777" w:rsidR="009948F1" w:rsidRDefault="00BC0563">
            <w:pPr>
              <w:pStyle w:val="TableParagraph"/>
              <w:spacing w:before="76"/>
              <w:ind w:left="24"/>
              <w:rPr>
                <w:sz w:val="11"/>
              </w:rPr>
            </w:pPr>
            <w:r>
              <w:rPr>
                <w:color w:val="231F20"/>
                <w:w w:val="110"/>
                <w:sz w:val="11"/>
              </w:rPr>
              <w:t>Review &amp; domesticate</w:t>
            </w:r>
          </w:p>
        </w:tc>
      </w:tr>
      <w:tr w:rsidR="009948F1" w14:paraId="43976BA1" w14:textId="77777777">
        <w:trPr>
          <w:trHeight w:val="264"/>
        </w:trPr>
        <w:tc>
          <w:tcPr>
            <w:tcW w:w="867" w:type="dxa"/>
            <w:gridSpan w:val="2"/>
            <w:vMerge/>
            <w:tcBorders>
              <w:top w:val="nil"/>
              <w:left w:val="single" w:sz="8" w:space="0" w:color="231F20"/>
              <w:bottom w:val="nil"/>
            </w:tcBorders>
          </w:tcPr>
          <w:p w14:paraId="26F61091" w14:textId="77777777" w:rsidR="009948F1" w:rsidRDefault="009948F1">
            <w:pPr>
              <w:rPr>
                <w:sz w:val="2"/>
                <w:szCs w:val="2"/>
              </w:rPr>
            </w:pPr>
          </w:p>
        </w:tc>
        <w:tc>
          <w:tcPr>
            <w:tcW w:w="527" w:type="dxa"/>
          </w:tcPr>
          <w:p w14:paraId="48E64844" w14:textId="77777777" w:rsidR="009948F1" w:rsidRDefault="00BC0563">
            <w:pPr>
              <w:pStyle w:val="TableParagraph"/>
              <w:spacing w:before="71"/>
              <w:ind w:left="24" w:right="6"/>
              <w:jc w:val="center"/>
              <w:rPr>
                <w:sz w:val="11"/>
              </w:rPr>
            </w:pPr>
            <w:r>
              <w:rPr>
                <w:color w:val="231F20"/>
                <w:w w:val="110"/>
                <w:sz w:val="11"/>
              </w:rPr>
              <w:t>15.2.4.b</w:t>
            </w:r>
          </w:p>
        </w:tc>
        <w:tc>
          <w:tcPr>
            <w:tcW w:w="4905" w:type="dxa"/>
            <w:gridSpan w:val="2"/>
          </w:tcPr>
          <w:p w14:paraId="456F3E61" w14:textId="77777777" w:rsidR="009948F1" w:rsidRDefault="00BC0563">
            <w:pPr>
              <w:pStyle w:val="TableParagraph"/>
              <w:spacing w:before="67"/>
              <w:ind w:left="24"/>
              <w:rPr>
                <w:sz w:val="11"/>
              </w:rPr>
            </w:pPr>
            <w:r>
              <w:rPr>
                <w:color w:val="231F20"/>
                <w:w w:val="110"/>
                <w:sz w:val="11"/>
              </w:rPr>
              <w:t>Conduct periodic training for PPP committee for update in PPP policy changes</w:t>
            </w:r>
          </w:p>
        </w:tc>
        <w:tc>
          <w:tcPr>
            <w:tcW w:w="1430" w:type="dxa"/>
          </w:tcPr>
          <w:p w14:paraId="57B8FBBC" w14:textId="77777777" w:rsidR="009948F1" w:rsidRDefault="00BC0563">
            <w:pPr>
              <w:pStyle w:val="TableParagraph"/>
              <w:spacing w:before="71"/>
              <w:ind w:left="24"/>
              <w:rPr>
                <w:sz w:val="11"/>
              </w:rPr>
            </w:pPr>
            <w:r>
              <w:rPr>
                <w:color w:val="231F20"/>
                <w:w w:val="110"/>
                <w:sz w:val="11"/>
              </w:rPr>
              <w:t>Lack of funds</w:t>
            </w:r>
          </w:p>
        </w:tc>
        <w:tc>
          <w:tcPr>
            <w:tcW w:w="1508" w:type="dxa"/>
          </w:tcPr>
          <w:p w14:paraId="6E9E35BC" w14:textId="77777777" w:rsidR="009948F1" w:rsidRDefault="00BC0563">
            <w:pPr>
              <w:pStyle w:val="TableParagraph"/>
              <w:spacing w:before="4"/>
              <w:ind w:left="24"/>
              <w:rPr>
                <w:sz w:val="11"/>
              </w:rPr>
            </w:pPr>
            <w:r>
              <w:rPr>
                <w:color w:val="231F20"/>
                <w:w w:val="110"/>
                <w:sz w:val="11"/>
              </w:rPr>
              <w:t>Conduct periodic training</w:t>
            </w:r>
          </w:p>
          <w:p w14:paraId="4680505A" w14:textId="77777777" w:rsidR="009948F1" w:rsidRDefault="00BC0563">
            <w:pPr>
              <w:pStyle w:val="TableParagraph"/>
              <w:spacing w:before="17" w:line="97" w:lineRule="exact"/>
              <w:ind w:left="24"/>
              <w:rPr>
                <w:sz w:val="11"/>
              </w:rPr>
            </w:pPr>
            <w:r>
              <w:rPr>
                <w:color w:val="231F20"/>
                <w:w w:val="110"/>
                <w:sz w:val="11"/>
              </w:rPr>
              <w:t>for PPP</w:t>
            </w:r>
          </w:p>
        </w:tc>
      </w:tr>
      <w:tr w:rsidR="009948F1" w14:paraId="43A9CC6A" w14:textId="77777777">
        <w:trPr>
          <w:trHeight w:val="278"/>
        </w:trPr>
        <w:tc>
          <w:tcPr>
            <w:tcW w:w="867" w:type="dxa"/>
            <w:gridSpan w:val="2"/>
            <w:vMerge/>
            <w:tcBorders>
              <w:top w:val="nil"/>
              <w:left w:val="single" w:sz="8" w:space="0" w:color="231F20"/>
              <w:bottom w:val="nil"/>
            </w:tcBorders>
          </w:tcPr>
          <w:p w14:paraId="2308DEA6" w14:textId="77777777" w:rsidR="009948F1" w:rsidRDefault="009948F1">
            <w:pPr>
              <w:rPr>
                <w:sz w:val="2"/>
                <w:szCs w:val="2"/>
              </w:rPr>
            </w:pPr>
          </w:p>
        </w:tc>
        <w:tc>
          <w:tcPr>
            <w:tcW w:w="527" w:type="dxa"/>
          </w:tcPr>
          <w:p w14:paraId="26525402" w14:textId="77777777" w:rsidR="009948F1" w:rsidRDefault="00BC0563">
            <w:pPr>
              <w:pStyle w:val="TableParagraph"/>
              <w:spacing w:before="78"/>
              <w:ind w:left="24" w:right="5"/>
              <w:jc w:val="center"/>
              <w:rPr>
                <w:sz w:val="11"/>
              </w:rPr>
            </w:pPr>
            <w:r>
              <w:rPr>
                <w:color w:val="231F20"/>
                <w:w w:val="110"/>
                <w:sz w:val="11"/>
              </w:rPr>
              <w:t>15.2.4.c</w:t>
            </w:r>
          </w:p>
        </w:tc>
        <w:tc>
          <w:tcPr>
            <w:tcW w:w="4905" w:type="dxa"/>
            <w:gridSpan w:val="2"/>
          </w:tcPr>
          <w:p w14:paraId="3F6D9210" w14:textId="478EEE97" w:rsidR="009948F1" w:rsidRDefault="00BC0563">
            <w:pPr>
              <w:pStyle w:val="TableParagraph"/>
              <w:spacing w:before="4"/>
              <w:ind w:left="24"/>
              <w:rPr>
                <w:sz w:val="11"/>
              </w:rPr>
            </w:pPr>
            <w:r>
              <w:rPr>
                <w:color w:val="231F20"/>
                <w:w w:val="110"/>
                <w:sz w:val="11"/>
              </w:rPr>
              <w:t xml:space="preserve">Produce copies of Rivers State Legal Framework &amp; </w:t>
            </w:r>
            <w:r w:rsidR="002049E3">
              <w:rPr>
                <w:color w:val="231F20"/>
                <w:w w:val="110"/>
                <w:sz w:val="11"/>
              </w:rPr>
              <w:t>disseminate</w:t>
            </w:r>
            <w:r>
              <w:rPr>
                <w:color w:val="231F20"/>
                <w:w w:val="110"/>
                <w:sz w:val="11"/>
              </w:rPr>
              <w:t xml:space="preserve"> to all stakeholders in the</w:t>
            </w:r>
          </w:p>
          <w:p w14:paraId="698958A3" w14:textId="77777777" w:rsidR="009948F1" w:rsidRDefault="00BC0563">
            <w:pPr>
              <w:pStyle w:val="TableParagraph"/>
              <w:spacing w:before="17" w:line="111" w:lineRule="exact"/>
              <w:ind w:left="24"/>
              <w:rPr>
                <w:sz w:val="11"/>
              </w:rPr>
            </w:pPr>
            <w:r>
              <w:rPr>
                <w:color w:val="231F20"/>
                <w:w w:val="110"/>
                <w:sz w:val="11"/>
              </w:rPr>
              <w:t>Public &amp; Private sectors</w:t>
            </w:r>
          </w:p>
        </w:tc>
        <w:tc>
          <w:tcPr>
            <w:tcW w:w="1430" w:type="dxa"/>
          </w:tcPr>
          <w:p w14:paraId="551A4379" w14:textId="77777777" w:rsidR="009948F1" w:rsidRDefault="00BC0563">
            <w:pPr>
              <w:pStyle w:val="TableParagraph"/>
              <w:spacing w:before="78"/>
              <w:ind w:left="24"/>
              <w:rPr>
                <w:sz w:val="11"/>
              </w:rPr>
            </w:pPr>
            <w:r>
              <w:rPr>
                <w:color w:val="231F20"/>
                <w:w w:val="110"/>
                <w:sz w:val="11"/>
              </w:rPr>
              <w:t>Lack of funds</w:t>
            </w:r>
          </w:p>
        </w:tc>
        <w:tc>
          <w:tcPr>
            <w:tcW w:w="1508" w:type="dxa"/>
          </w:tcPr>
          <w:p w14:paraId="6B9B6620" w14:textId="11002A82" w:rsidR="009948F1" w:rsidRDefault="00BC0563">
            <w:pPr>
              <w:pStyle w:val="TableParagraph"/>
              <w:spacing w:before="78"/>
              <w:ind w:left="24"/>
              <w:rPr>
                <w:sz w:val="11"/>
              </w:rPr>
            </w:pPr>
            <w:r>
              <w:rPr>
                <w:color w:val="231F20"/>
                <w:w w:val="110"/>
                <w:sz w:val="11"/>
              </w:rPr>
              <w:t xml:space="preserve">Produce &amp; </w:t>
            </w:r>
            <w:r w:rsidR="002049E3">
              <w:rPr>
                <w:color w:val="231F20"/>
                <w:w w:val="110"/>
                <w:sz w:val="11"/>
              </w:rPr>
              <w:t>disseminate</w:t>
            </w:r>
          </w:p>
        </w:tc>
      </w:tr>
      <w:tr w:rsidR="009948F1" w14:paraId="33218E90" w14:textId="77777777">
        <w:trPr>
          <w:trHeight w:val="285"/>
        </w:trPr>
        <w:tc>
          <w:tcPr>
            <w:tcW w:w="867" w:type="dxa"/>
            <w:gridSpan w:val="2"/>
            <w:vMerge/>
            <w:tcBorders>
              <w:top w:val="nil"/>
              <w:left w:val="single" w:sz="8" w:space="0" w:color="231F20"/>
              <w:bottom w:val="nil"/>
            </w:tcBorders>
          </w:tcPr>
          <w:p w14:paraId="6413E2D6" w14:textId="77777777" w:rsidR="009948F1" w:rsidRDefault="009948F1">
            <w:pPr>
              <w:rPr>
                <w:sz w:val="2"/>
                <w:szCs w:val="2"/>
              </w:rPr>
            </w:pPr>
          </w:p>
        </w:tc>
        <w:tc>
          <w:tcPr>
            <w:tcW w:w="527" w:type="dxa"/>
          </w:tcPr>
          <w:p w14:paraId="69F20DE5" w14:textId="77777777" w:rsidR="009948F1" w:rsidRDefault="00BC0563">
            <w:pPr>
              <w:pStyle w:val="TableParagraph"/>
              <w:spacing w:before="82"/>
              <w:ind w:left="24" w:right="6"/>
              <w:jc w:val="center"/>
              <w:rPr>
                <w:sz w:val="11"/>
              </w:rPr>
            </w:pPr>
            <w:r>
              <w:rPr>
                <w:color w:val="231F20"/>
                <w:w w:val="110"/>
                <w:sz w:val="11"/>
              </w:rPr>
              <w:t>15.2.4.d</w:t>
            </w:r>
          </w:p>
        </w:tc>
        <w:tc>
          <w:tcPr>
            <w:tcW w:w="4905" w:type="dxa"/>
            <w:gridSpan w:val="2"/>
          </w:tcPr>
          <w:p w14:paraId="060C0873" w14:textId="77777777" w:rsidR="009948F1" w:rsidRDefault="00BC0563">
            <w:pPr>
              <w:pStyle w:val="TableParagraph"/>
              <w:spacing w:before="5"/>
              <w:ind w:left="24"/>
              <w:rPr>
                <w:sz w:val="11"/>
              </w:rPr>
            </w:pPr>
            <w:r>
              <w:rPr>
                <w:color w:val="231F20"/>
                <w:w w:val="110"/>
                <w:sz w:val="11"/>
              </w:rPr>
              <w:t>Advocate for PPP legal backing in health Agencies laws and implementation of PPP policy</w:t>
            </w:r>
          </w:p>
          <w:p w14:paraId="16ACD9BB" w14:textId="77777777" w:rsidR="009948F1" w:rsidRDefault="00BC0563">
            <w:pPr>
              <w:pStyle w:val="TableParagraph"/>
              <w:spacing w:before="17" w:line="117" w:lineRule="exact"/>
              <w:ind w:left="24"/>
              <w:rPr>
                <w:sz w:val="11"/>
              </w:rPr>
            </w:pPr>
            <w:r>
              <w:rPr>
                <w:color w:val="231F20"/>
                <w:w w:val="110"/>
                <w:sz w:val="11"/>
              </w:rPr>
              <w:t>at all levels</w:t>
            </w:r>
          </w:p>
        </w:tc>
        <w:tc>
          <w:tcPr>
            <w:tcW w:w="1430" w:type="dxa"/>
          </w:tcPr>
          <w:p w14:paraId="00298606" w14:textId="77777777" w:rsidR="009948F1" w:rsidRDefault="00BC0563">
            <w:pPr>
              <w:pStyle w:val="TableParagraph"/>
              <w:spacing w:before="82"/>
              <w:ind w:left="24"/>
              <w:rPr>
                <w:sz w:val="11"/>
              </w:rPr>
            </w:pPr>
            <w:r>
              <w:rPr>
                <w:color w:val="231F20"/>
                <w:w w:val="110"/>
                <w:sz w:val="11"/>
              </w:rPr>
              <w:t>Lack of funds</w:t>
            </w:r>
          </w:p>
        </w:tc>
        <w:tc>
          <w:tcPr>
            <w:tcW w:w="1508" w:type="dxa"/>
          </w:tcPr>
          <w:p w14:paraId="5407324D" w14:textId="77777777" w:rsidR="009948F1" w:rsidRDefault="00BC0563">
            <w:pPr>
              <w:pStyle w:val="TableParagraph"/>
              <w:spacing w:before="82"/>
              <w:ind w:left="24"/>
              <w:rPr>
                <w:sz w:val="11"/>
              </w:rPr>
            </w:pPr>
            <w:r>
              <w:rPr>
                <w:color w:val="231F20"/>
                <w:w w:val="110"/>
                <w:sz w:val="11"/>
              </w:rPr>
              <w:t>No cost</w:t>
            </w:r>
          </w:p>
        </w:tc>
      </w:tr>
      <w:tr w:rsidR="009948F1" w14:paraId="75873ACC" w14:textId="77777777">
        <w:trPr>
          <w:trHeight w:val="572"/>
        </w:trPr>
        <w:tc>
          <w:tcPr>
            <w:tcW w:w="411" w:type="dxa"/>
            <w:tcBorders>
              <w:top w:val="nil"/>
              <w:left w:val="single" w:sz="8" w:space="0" w:color="231F20"/>
              <w:bottom w:val="nil"/>
            </w:tcBorders>
          </w:tcPr>
          <w:p w14:paraId="29670354" w14:textId="77777777" w:rsidR="009948F1" w:rsidRDefault="009948F1">
            <w:pPr>
              <w:pStyle w:val="TableParagraph"/>
              <w:rPr>
                <w:rFonts w:ascii="Times New Roman"/>
                <w:sz w:val="10"/>
              </w:rPr>
            </w:pPr>
          </w:p>
        </w:tc>
        <w:tc>
          <w:tcPr>
            <w:tcW w:w="456" w:type="dxa"/>
            <w:shd w:val="clear" w:color="auto" w:fill="CCE7D3"/>
          </w:tcPr>
          <w:p w14:paraId="6FF77F43" w14:textId="77777777" w:rsidR="009948F1" w:rsidRDefault="009948F1">
            <w:pPr>
              <w:pStyle w:val="TableParagraph"/>
              <w:rPr>
                <w:sz w:val="12"/>
              </w:rPr>
            </w:pPr>
          </w:p>
          <w:p w14:paraId="04DA0DB4" w14:textId="77777777" w:rsidR="009948F1" w:rsidRDefault="00BC0563">
            <w:pPr>
              <w:pStyle w:val="TableParagraph"/>
              <w:spacing w:before="87"/>
              <w:ind w:left="22" w:right="17"/>
              <w:jc w:val="center"/>
              <w:rPr>
                <w:sz w:val="11"/>
              </w:rPr>
            </w:pPr>
            <w:r>
              <w:rPr>
                <w:color w:val="231F20"/>
                <w:w w:val="110"/>
                <w:sz w:val="11"/>
              </w:rPr>
              <w:t>15.2.5</w:t>
            </w:r>
          </w:p>
        </w:tc>
        <w:tc>
          <w:tcPr>
            <w:tcW w:w="3043" w:type="dxa"/>
            <w:gridSpan w:val="2"/>
            <w:shd w:val="clear" w:color="auto" w:fill="CCE7D3"/>
          </w:tcPr>
          <w:p w14:paraId="3C4C5648" w14:textId="77777777" w:rsidR="009948F1" w:rsidRDefault="00BC0563">
            <w:pPr>
              <w:pStyle w:val="TableParagraph"/>
              <w:spacing w:before="76" w:line="273" w:lineRule="auto"/>
              <w:ind w:left="24" w:right="96" w:firstLine="33"/>
              <w:jc w:val="both"/>
              <w:rPr>
                <w:sz w:val="11"/>
              </w:rPr>
            </w:pPr>
            <w:r>
              <w:rPr>
                <w:color w:val="231F20"/>
                <w:w w:val="110"/>
                <w:sz w:val="11"/>
              </w:rPr>
              <w:t>Develop</w:t>
            </w:r>
            <w:r>
              <w:rPr>
                <w:color w:val="231F20"/>
                <w:spacing w:val="-10"/>
                <w:w w:val="110"/>
                <w:sz w:val="11"/>
              </w:rPr>
              <w:t xml:space="preserve"> </w:t>
            </w:r>
            <w:r>
              <w:rPr>
                <w:color w:val="231F20"/>
                <w:w w:val="110"/>
                <w:sz w:val="11"/>
              </w:rPr>
              <w:t>and</w:t>
            </w:r>
            <w:r>
              <w:rPr>
                <w:color w:val="231F20"/>
                <w:spacing w:val="-10"/>
                <w:w w:val="110"/>
                <w:sz w:val="11"/>
              </w:rPr>
              <w:t xml:space="preserve"> </w:t>
            </w:r>
            <w:r>
              <w:rPr>
                <w:color w:val="231F20"/>
                <w:w w:val="110"/>
                <w:sz w:val="11"/>
              </w:rPr>
              <w:t>implement</w:t>
            </w:r>
            <w:r>
              <w:rPr>
                <w:color w:val="231F20"/>
                <w:spacing w:val="-10"/>
                <w:w w:val="110"/>
                <w:sz w:val="11"/>
              </w:rPr>
              <w:t xml:space="preserve"> </w:t>
            </w:r>
            <w:r>
              <w:rPr>
                <w:color w:val="231F20"/>
                <w:w w:val="110"/>
                <w:sz w:val="11"/>
              </w:rPr>
              <w:t>resource</w:t>
            </w:r>
            <w:r>
              <w:rPr>
                <w:color w:val="231F20"/>
                <w:spacing w:val="-10"/>
                <w:w w:val="110"/>
                <w:sz w:val="11"/>
              </w:rPr>
              <w:t xml:space="preserve"> </w:t>
            </w:r>
            <w:r>
              <w:rPr>
                <w:color w:val="231F20"/>
                <w:w w:val="110"/>
                <w:sz w:val="11"/>
              </w:rPr>
              <w:t>mobilization</w:t>
            </w:r>
            <w:r>
              <w:rPr>
                <w:color w:val="231F20"/>
                <w:spacing w:val="-10"/>
                <w:w w:val="110"/>
                <w:sz w:val="11"/>
              </w:rPr>
              <w:t xml:space="preserve"> </w:t>
            </w:r>
            <w:r>
              <w:rPr>
                <w:color w:val="231F20"/>
                <w:w w:val="110"/>
                <w:sz w:val="11"/>
              </w:rPr>
              <w:t>strategy and</w:t>
            </w:r>
            <w:r>
              <w:rPr>
                <w:color w:val="231F20"/>
                <w:spacing w:val="-6"/>
                <w:w w:val="110"/>
                <w:sz w:val="11"/>
              </w:rPr>
              <w:t xml:space="preserve"> </w:t>
            </w:r>
            <w:r>
              <w:rPr>
                <w:color w:val="231F20"/>
                <w:w w:val="110"/>
                <w:sz w:val="11"/>
              </w:rPr>
              <w:t>guideline</w:t>
            </w:r>
            <w:r>
              <w:rPr>
                <w:color w:val="231F20"/>
                <w:spacing w:val="-6"/>
                <w:w w:val="110"/>
                <w:sz w:val="11"/>
              </w:rPr>
              <w:t xml:space="preserve"> </w:t>
            </w:r>
            <w:r>
              <w:rPr>
                <w:color w:val="231F20"/>
                <w:w w:val="110"/>
                <w:sz w:val="11"/>
              </w:rPr>
              <w:t>including</w:t>
            </w:r>
            <w:r>
              <w:rPr>
                <w:color w:val="231F20"/>
                <w:spacing w:val="-6"/>
                <w:w w:val="110"/>
                <w:sz w:val="11"/>
              </w:rPr>
              <w:t xml:space="preserve"> </w:t>
            </w:r>
            <w:r>
              <w:rPr>
                <w:color w:val="231F20"/>
                <w:w w:val="110"/>
                <w:sz w:val="11"/>
              </w:rPr>
              <w:t>Sin</w:t>
            </w:r>
            <w:r>
              <w:rPr>
                <w:color w:val="231F20"/>
                <w:spacing w:val="-6"/>
                <w:w w:val="110"/>
                <w:sz w:val="11"/>
              </w:rPr>
              <w:t xml:space="preserve"> </w:t>
            </w:r>
            <w:r>
              <w:rPr>
                <w:color w:val="231F20"/>
                <w:spacing w:val="-3"/>
                <w:w w:val="110"/>
                <w:sz w:val="11"/>
              </w:rPr>
              <w:t>Taxes,</w:t>
            </w:r>
            <w:r>
              <w:rPr>
                <w:color w:val="231F20"/>
                <w:spacing w:val="-6"/>
                <w:w w:val="110"/>
                <w:sz w:val="11"/>
              </w:rPr>
              <w:t xml:space="preserve"> </w:t>
            </w:r>
            <w:r>
              <w:rPr>
                <w:color w:val="231F20"/>
                <w:spacing w:val="-3"/>
                <w:w w:val="110"/>
                <w:sz w:val="11"/>
              </w:rPr>
              <w:t>Telecom</w:t>
            </w:r>
            <w:r>
              <w:rPr>
                <w:color w:val="231F20"/>
                <w:spacing w:val="-6"/>
                <w:w w:val="110"/>
                <w:sz w:val="11"/>
              </w:rPr>
              <w:t xml:space="preserve"> </w:t>
            </w:r>
            <w:r>
              <w:rPr>
                <w:color w:val="231F20"/>
                <w:spacing w:val="-3"/>
                <w:w w:val="110"/>
                <w:sz w:val="11"/>
              </w:rPr>
              <w:t>Taxes,</w:t>
            </w:r>
            <w:r>
              <w:rPr>
                <w:color w:val="231F20"/>
                <w:spacing w:val="-6"/>
                <w:w w:val="110"/>
                <w:sz w:val="11"/>
              </w:rPr>
              <w:t xml:space="preserve"> </w:t>
            </w:r>
            <w:r>
              <w:rPr>
                <w:color w:val="231F20"/>
                <w:spacing w:val="-11"/>
                <w:w w:val="110"/>
                <w:sz w:val="11"/>
              </w:rPr>
              <w:t xml:space="preserve">VAT, </w:t>
            </w:r>
            <w:r>
              <w:rPr>
                <w:color w:val="231F20"/>
                <w:w w:val="110"/>
                <w:sz w:val="11"/>
              </w:rPr>
              <w:t xml:space="preserve">Aviation </w:t>
            </w:r>
            <w:r>
              <w:rPr>
                <w:color w:val="231F20"/>
                <w:spacing w:val="-3"/>
                <w:w w:val="110"/>
                <w:sz w:val="11"/>
              </w:rPr>
              <w:t xml:space="preserve">Taxes, </w:t>
            </w:r>
            <w:r>
              <w:rPr>
                <w:color w:val="231F20"/>
                <w:w w:val="110"/>
                <w:sz w:val="11"/>
              </w:rPr>
              <w:t>etc.</w:t>
            </w:r>
          </w:p>
        </w:tc>
        <w:tc>
          <w:tcPr>
            <w:tcW w:w="2389" w:type="dxa"/>
            <w:shd w:val="clear" w:color="auto" w:fill="CCE7D3"/>
          </w:tcPr>
          <w:p w14:paraId="5796E238" w14:textId="77777777" w:rsidR="009948F1" w:rsidRDefault="00BC0563">
            <w:pPr>
              <w:pStyle w:val="TableParagraph"/>
              <w:numPr>
                <w:ilvl w:val="0"/>
                <w:numId w:val="9"/>
              </w:numPr>
              <w:tabs>
                <w:tab w:val="left" w:pos="100"/>
              </w:tabs>
              <w:spacing w:before="9" w:line="273" w:lineRule="auto"/>
              <w:ind w:right="343" w:firstLine="0"/>
              <w:rPr>
                <w:sz w:val="11"/>
              </w:rPr>
            </w:pPr>
            <w:r>
              <w:rPr>
                <w:color w:val="231F20"/>
                <w:w w:val="110"/>
                <w:sz w:val="11"/>
              </w:rPr>
              <w:t>Resource mobilization strategy and guideline</w:t>
            </w:r>
            <w:r>
              <w:rPr>
                <w:color w:val="231F20"/>
                <w:spacing w:val="-15"/>
                <w:w w:val="110"/>
                <w:sz w:val="11"/>
              </w:rPr>
              <w:t xml:space="preserve"> </w:t>
            </w:r>
            <w:r>
              <w:rPr>
                <w:color w:val="231F20"/>
                <w:w w:val="110"/>
                <w:sz w:val="11"/>
              </w:rPr>
              <w:t>developed</w:t>
            </w:r>
            <w:r>
              <w:rPr>
                <w:color w:val="231F20"/>
                <w:spacing w:val="-14"/>
                <w:w w:val="110"/>
                <w:sz w:val="11"/>
              </w:rPr>
              <w:t xml:space="preserve"> </w:t>
            </w:r>
            <w:r>
              <w:rPr>
                <w:color w:val="231F20"/>
                <w:w w:val="110"/>
                <w:sz w:val="11"/>
              </w:rPr>
              <w:t>and</w:t>
            </w:r>
            <w:r>
              <w:rPr>
                <w:color w:val="231F20"/>
                <w:spacing w:val="-15"/>
                <w:w w:val="110"/>
                <w:sz w:val="11"/>
              </w:rPr>
              <w:t xml:space="preserve"> </w:t>
            </w:r>
            <w:r>
              <w:rPr>
                <w:color w:val="231F20"/>
                <w:w w:val="110"/>
                <w:sz w:val="11"/>
              </w:rPr>
              <w:t>implemented</w:t>
            </w:r>
          </w:p>
          <w:p w14:paraId="527164EB" w14:textId="77777777" w:rsidR="009948F1" w:rsidRDefault="00BC0563">
            <w:pPr>
              <w:pStyle w:val="TableParagraph"/>
              <w:spacing w:line="126" w:lineRule="exact"/>
              <w:ind w:left="24"/>
              <w:rPr>
                <w:sz w:val="11"/>
              </w:rPr>
            </w:pPr>
            <w:r>
              <w:rPr>
                <w:color w:val="231F20"/>
                <w:w w:val="108"/>
                <w:sz w:val="11"/>
              </w:rPr>
              <w:t>•</w:t>
            </w:r>
          </w:p>
          <w:p w14:paraId="63397EC2" w14:textId="77777777" w:rsidR="009948F1" w:rsidRDefault="00BC0563">
            <w:pPr>
              <w:pStyle w:val="TableParagraph"/>
              <w:spacing w:before="18" w:line="111" w:lineRule="exact"/>
              <w:ind w:left="24"/>
              <w:rPr>
                <w:sz w:val="11"/>
              </w:rPr>
            </w:pPr>
            <w:r>
              <w:rPr>
                <w:color w:val="231F20"/>
                <w:w w:val="108"/>
                <w:sz w:val="11"/>
              </w:rPr>
              <w:t>•</w:t>
            </w:r>
          </w:p>
        </w:tc>
        <w:tc>
          <w:tcPr>
            <w:tcW w:w="1430" w:type="dxa"/>
            <w:shd w:val="clear" w:color="auto" w:fill="CCE7D3"/>
          </w:tcPr>
          <w:p w14:paraId="2FC0CE31" w14:textId="77777777" w:rsidR="009948F1" w:rsidRDefault="009948F1">
            <w:pPr>
              <w:pStyle w:val="TableParagraph"/>
              <w:rPr>
                <w:rFonts w:ascii="Times New Roman"/>
                <w:sz w:val="10"/>
              </w:rPr>
            </w:pPr>
          </w:p>
        </w:tc>
        <w:tc>
          <w:tcPr>
            <w:tcW w:w="1508" w:type="dxa"/>
            <w:shd w:val="clear" w:color="auto" w:fill="CCE7D3"/>
          </w:tcPr>
          <w:p w14:paraId="12B2EEFE" w14:textId="77777777" w:rsidR="009948F1" w:rsidRDefault="009948F1">
            <w:pPr>
              <w:pStyle w:val="TableParagraph"/>
              <w:rPr>
                <w:rFonts w:ascii="Times New Roman"/>
                <w:sz w:val="10"/>
              </w:rPr>
            </w:pPr>
          </w:p>
        </w:tc>
      </w:tr>
      <w:tr w:rsidR="009948F1" w14:paraId="1F0C289E" w14:textId="77777777">
        <w:trPr>
          <w:trHeight w:val="407"/>
        </w:trPr>
        <w:tc>
          <w:tcPr>
            <w:tcW w:w="867" w:type="dxa"/>
            <w:gridSpan w:val="2"/>
            <w:vMerge w:val="restart"/>
            <w:tcBorders>
              <w:top w:val="nil"/>
              <w:left w:val="single" w:sz="8" w:space="0" w:color="231F20"/>
              <w:bottom w:val="single" w:sz="8" w:space="0" w:color="231F20"/>
            </w:tcBorders>
          </w:tcPr>
          <w:p w14:paraId="5FE78A9C" w14:textId="77777777" w:rsidR="009948F1" w:rsidRDefault="009948F1">
            <w:pPr>
              <w:pStyle w:val="TableParagraph"/>
              <w:rPr>
                <w:rFonts w:ascii="Times New Roman"/>
                <w:sz w:val="10"/>
              </w:rPr>
            </w:pPr>
          </w:p>
        </w:tc>
        <w:tc>
          <w:tcPr>
            <w:tcW w:w="527" w:type="dxa"/>
          </w:tcPr>
          <w:p w14:paraId="50BD6F18" w14:textId="77777777" w:rsidR="009948F1" w:rsidRDefault="009948F1">
            <w:pPr>
              <w:pStyle w:val="TableParagraph"/>
              <w:spacing w:before="6"/>
              <w:rPr>
                <w:sz w:val="12"/>
              </w:rPr>
            </w:pPr>
          </w:p>
          <w:p w14:paraId="0E5BBF31" w14:textId="77777777" w:rsidR="009948F1" w:rsidRDefault="00BC0563">
            <w:pPr>
              <w:pStyle w:val="TableParagraph"/>
              <w:ind w:left="24" w:right="6"/>
              <w:jc w:val="center"/>
              <w:rPr>
                <w:sz w:val="11"/>
              </w:rPr>
            </w:pPr>
            <w:r>
              <w:rPr>
                <w:color w:val="231F20"/>
                <w:w w:val="110"/>
                <w:sz w:val="11"/>
              </w:rPr>
              <w:t>15.2.5.a</w:t>
            </w:r>
          </w:p>
        </w:tc>
        <w:tc>
          <w:tcPr>
            <w:tcW w:w="4905" w:type="dxa"/>
            <w:gridSpan w:val="2"/>
          </w:tcPr>
          <w:p w14:paraId="70C27B9C" w14:textId="77777777" w:rsidR="009948F1" w:rsidRDefault="009948F1">
            <w:pPr>
              <w:pStyle w:val="TableParagraph"/>
              <w:spacing w:before="1"/>
              <w:rPr>
                <w:sz w:val="12"/>
              </w:rPr>
            </w:pPr>
          </w:p>
          <w:p w14:paraId="700D1471" w14:textId="77777777" w:rsidR="009948F1" w:rsidRDefault="00BC0563">
            <w:pPr>
              <w:pStyle w:val="TableParagraph"/>
              <w:ind w:left="24"/>
              <w:rPr>
                <w:sz w:val="11"/>
              </w:rPr>
            </w:pPr>
            <w:r>
              <w:rPr>
                <w:color w:val="231F20"/>
                <w:w w:val="110"/>
                <w:sz w:val="11"/>
              </w:rPr>
              <w:t>Develop resource mobilization strategy and guideline</w:t>
            </w:r>
          </w:p>
        </w:tc>
        <w:tc>
          <w:tcPr>
            <w:tcW w:w="1430" w:type="dxa"/>
          </w:tcPr>
          <w:p w14:paraId="40D62E29" w14:textId="77777777" w:rsidR="009948F1" w:rsidRDefault="009948F1">
            <w:pPr>
              <w:pStyle w:val="TableParagraph"/>
              <w:spacing w:before="6"/>
              <w:rPr>
                <w:sz w:val="12"/>
              </w:rPr>
            </w:pPr>
          </w:p>
          <w:p w14:paraId="73B59F27" w14:textId="77777777" w:rsidR="009948F1" w:rsidRDefault="00BC0563">
            <w:pPr>
              <w:pStyle w:val="TableParagraph"/>
              <w:ind w:left="24"/>
              <w:rPr>
                <w:sz w:val="11"/>
              </w:rPr>
            </w:pPr>
            <w:r>
              <w:rPr>
                <w:color w:val="231F20"/>
                <w:w w:val="110"/>
                <w:sz w:val="11"/>
              </w:rPr>
              <w:t>Lack of funds</w:t>
            </w:r>
          </w:p>
        </w:tc>
        <w:tc>
          <w:tcPr>
            <w:tcW w:w="1508" w:type="dxa"/>
          </w:tcPr>
          <w:p w14:paraId="19A78738" w14:textId="77777777" w:rsidR="009948F1" w:rsidRDefault="009948F1">
            <w:pPr>
              <w:pStyle w:val="TableParagraph"/>
              <w:spacing w:before="6"/>
              <w:rPr>
                <w:sz w:val="12"/>
              </w:rPr>
            </w:pPr>
          </w:p>
          <w:p w14:paraId="4AFB201F" w14:textId="77777777" w:rsidR="009948F1" w:rsidRDefault="00BC0563">
            <w:pPr>
              <w:pStyle w:val="TableParagraph"/>
              <w:ind w:left="24"/>
              <w:rPr>
                <w:sz w:val="11"/>
              </w:rPr>
            </w:pPr>
            <w:r>
              <w:rPr>
                <w:color w:val="231F20"/>
                <w:w w:val="110"/>
                <w:sz w:val="11"/>
              </w:rPr>
              <w:t>Costed in 15.1.3b</w:t>
            </w:r>
          </w:p>
        </w:tc>
      </w:tr>
      <w:tr w:rsidR="009948F1" w14:paraId="319957E5" w14:textId="77777777">
        <w:trPr>
          <w:trHeight w:val="701"/>
        </w:trPr>
        <w:tc>
          <w:tcPr>
            <w:tcW w:w="867" w:type="dxa"/>
            <w:gridSpan w:val="2"/>
            <w:vMerge/>
            <w:tcBorders>
              <w:top w:val="nil"/>
              <w:left w:val="single" w:sz="8" w:space="0" w:color="231F20"/>
              <w:bottom w:val="single" w:sz="8" w:space="0" w:color="231F20"/>
            </w:tcBorders>
          </w:tcPr>
          <w:p w14:paraId="307F09B2" w14:textId="77777777" w:rsidR="009948F1" w:rsidRDefault="009948F1">
            <w:pPr>
              <w:rPr>
                <w:sz w:val="2"/>
                <w:szCs w:val="2"/>
              </w:rPr>
            </w:pPr>
          </w:p>
        </w:tc>
        <w:tc>
          <w:tcPr>
            <w:tcW w:w="527" w:type="dxa"/>
          </w:tcPr>
          <w:p w14:paraId="14A3B268" w14:textId="77777777" w:rsidR="009948F1" w:rsidRDefault="009948F1">
            <w:pPr>
              <w:pStyle w:val="TableParagraph"/>
              <w:rPr>
                <w:sz w:val="12"/>
              </w:rPr>
            </w:pPr>
          </w:p>
          <w:p w14:paraId="66FFF0DB" w14:textId="77777777" w:rsidR="009948F1" w:rsidRDefault="009948F1">
            <w:pPr>
              <w:pStyle w:val="TableParagraph"/>
              <w:spacing w:before="2"/>
              <w:rPr>
                <w:sz w:val="13"/>
              </w:rPr>
            </w:pPr>
          </w:p>
          <w:p w14:paraId="03C800CA" w14:textId="77777777" w:rsidR="009948F1" w:rsidRDefault="00BC0563">
            <w:pPr>
              <w:pStyle w:val="TableParagraph"/>
              <w:ind w:left="24" w:right="6"/>
              <w:jc w:val="center"/>
              <w:rPr>
                <w:sz w:val="11"/>
              </w:rPr>
            </w:pPr>
            <w:r>
              <w:rPr>
                <w:color w:val="231F20"/>
                <w:w w:val="110"/>
                <w:sz w:val="11"/>
              </w:rPr>
              <w:t>15.2.5.b</w:t>
            </w:r>
          </w:p>
        </w:tc>
        <w:tc>
          <w:tcPr>
            <w:tcW w:w="4905" w:type="dxa"/>
            <w:gridSpan w:val="2"/>
          </w:tcPr>
          <w:p w14:paraId="2AD30932" w14:textId="77777777" w:rsidR="009948F1" w:rsidRDefault="009948F1">
            <w:pPr>
              <w:pStyle w:val="TableParagraph"/>
              <w:rPr>
                <w:sz w:val="12"/>
              </w:rPr>
            </w:pPr>
          </w:p>
          <w:p w14:paraId="7D148566" w14:textId="77777777" w:rsidR="009948F1" w:rsidRDefault="009948F1">
            <w:pPr>
              <w:pStyle w:val="TableParagraph"/>
              <w:spacing w:before="9"/>
              <w:rPr>
                <w:sz w:val="12"/>
              </w:rPr>
            </w:pPr>
          </w:p>
          <w:p w14:paraId="174E89C7" w14:textId="77777777" w:rsidR="009948F1" w:rsidRDefault="00BC0563">
            <w:pPr>
              <w:pStyle w:val="TableParagraph"/>
              <w:ind w:left="24"/>
              <w:rPr>
                <w:sz w:val="11"/>
              </w:rPr>
            </w:pPr>
            <w:r>
              <w:rPr>
                <w:color w:val="231F20"/>
                <w:w w:val="110"/>
                <w:sz w:val="11"/>
              </w:rPr>
              <w:t>Engage telecommunication companies for telecom tax</w:t>
            </w:r>
          </w:p>
        </w:tc>
        <w:tc>
          <w:tcPr>
            <w:tcW w:w="1430" w:type="dxa"/>
          </w:tcPr>
          <w:p w14:paraId="3B08442D" w14:textId="77777777" w:rsidR="009948F1" w:rsidRDefault="009948F1">
            <w:pPr>
              <w:pStyle w:val="TableParagraph"/>
              <w:rPr>
                <w:sz w:val="12"/>
              </w:rPr>
            </w:pPr>
          </w:p>
          <w:p w14:paraId="472C449E" w14:textId="77777777" w:rsidR="009948F1" w:rsidRDefault="009948F1">
            <w:pPr>
              <w:pStyle w:val="TableParagraph"/>
              <w:spacing w:before="2"/>
              <w:rPr>
                <w:sz w:val="13"/>
              </w:rPr>
            </w:pPr>
          </w:p>
          <w:p w14:paraId="08514C2D" w14:textId="77777777" w:rsidR="009948F1" w:rsidRDefault="00BC0563">
            <w:pPr>
              <w:pStyle w:val="TableParagraph"/>
              <w:ind w:left="24"/>
              <w:rPr>
                <w:sz w:val="11"/>
              </w:rPr>
            </w:pPr>
            <w:r>
              <w:rPr>
                <w:color w:val="231F20"/>
                <w:w w:val="110"/>
                <w:sz w:val="11"/>
              </w:rPr>
              <w:t>Lack of funds</w:t>
            </w:r>
          </w:p>
        </w:tc>
        <w:tc>
          <w:tcPr>
            <w:tcW w:w="1508" w:type="dxa"/>
          </w:tcPr>
          <w:p w14:paraId="31E4079B" w14:textId="77777777" w:rsidR="009948F1" w:rsidRDefault="009948F1">
            <w:pPr>
              <w:pStyle w:val="TableParagraph"/>
              <w:rPr>
                <w:sz w:val="12"/>
              </w:rPr>
            </w:pPr>
          </w:p>
          <w:p w14:paraId="14049410" w14:textId="77777777" w:rsidR="009948F1" w:rsidRDefault="009948F1">
            <w:pPr>
              <w:pStyle w:val="TableParagraph"/>
              <w:spacing w:before="2"/>
              <w:rPr>
                <w:sz w:val="13"/>
              </w:rPr>
            </w:pPr>
          </w:p>
          <w:p w14:paraId="0EB0D99F" w14:textId="77777777" w:rsidR="009948F1" w:rsidRDefault="00BC0563">
            <w:pPr>
              <w:pStyle w:val="TableParagraph"/>
              <w:ind w:left="24"/>
              <w:rPr>
                <w:sz w:val="11"/>
              </w:rPr>
            </w:pPr>
            <w:r>
              <w:rPr>
                <w:color w:val="231F20"/>
                <w:w w:val="110"/>
                <w:sz w:val="11"/>
              </w:rPr>
              <w:t>Engage telecommunication</w:t>
            </w:r>
          </w:p>
        </w:tc>
      </w:tr>
      <w:tr w:rsidR="009948F1" w14:paraId="44ADDC80" w14:textId="77777777">
        <w:trPr>
          <w:trHeight w:val="546"/>
        </w:trPr>
        <w:tc>
          <w:tcPr>
            <w:tcW w:w="867" w:type="dxa"/>
            <w:gridSpan w:val="2"/>
            <w:vMerge/>
            <w:tcBorders>
              <w:top w:val="nil"/>
              <w:left w:val="single" w:sz="8" w:space="0" w:color="231F20"/>
              <w:bottom w:val="single" w:sz="8" w:space="0" w:color="231F20"/>
            </w:tcBorders>
          </w:tcPr>
          <w:p w14:paraId="62CDA955" w14:textId="77777777" w:rsidR="009948F1" w:rsidRDefault="009948F1">
            <w:pPr>
              <w:rPr>
                <w:sz w:val="2"/>
                <w:szCs w:val="2"/>
              </w:rPr>
            </w:pPr>
          </w:p>
        </w:tc>
        <w:tc>
          <w:tcPr>
            <w:tcW w:w="527" w:type="dxa"/>
          </w:tcPr>
          <w:p w14:paraId="06E6041D" w14:textId="77777777" w:rsidR="009948F1" w:rsidRDefault="009948F1">
            <w:pPr>
              <w:pStyle w:val="TableParagraph"/>
              <w:rPr>
                <w:sz w:val="12"/>
              </w:rPr>
            </w:pPr>
          </w:p>
          <w:p w14:paraId="41388508" w14:textId="77777777" w:rsidR="009948F1" w:rsidRDefault="00BC0563">
            <w:pPr>
              <w:pStyle w:val="TableParagraph"/>
              <w:spacing w:before="74"/>
              <w:ind w:left="24" w:right="5"/>
              <w:jc w:val="center"/>
              <w:rPr>
                <w:sz w:val="11"/>
              </w:rPr>
            </w:pPr>
            <w:r>
              <w:rPr>
                <w:color w:val="231F20"/>
                <w:w w:val="110"/>
                <w:sz w:val="11"/>
              </w:rPr>
              <w:t>15.2.5.c</w:t>
            </w:r>
          </w:p>
        </w:tc>
        <w:tc>
          <w:tcPr>
            <w:tcW w:w="4905" w:type="dxa"/>
            <w:gridSpan w:val="2"/>
          </w:tcPr>
          <w:p w14:paraId="30545C19" w14:textId="77777777" w:rsidR="009948F1" w:rsidRDefault="009948F1">
            <w:pPr>
              <w:pStyle w:val="TableParagraph"/>
              <w:spacing w:before="9"/>
              <w:rPr>
                <w:sz w:val="11"/>
              </w:rPr>
            </w:pPr>
          </w:p>
          <w:p w14:paraId="2F5DFCE8" w14:textId="77777777" w:rsidR="009948F1" w:rsidRDefault="00BC0563">
            <w:pPr>
              <w:pStyle w:val="TableParagraph"/>
              <w:spacing w:line="273" w:lineRule="auto"/>
              <w:ind w:left="24" w:right="332"/>
              <w:rPr>
                <w:sz w:val="11"/>
              </w:rPr>
            </w:pPr>
            <w:r>
              <w:rPr>
                <w:color w:val="231F20"/>
                <w:w w:val="110"/>
                <w:sz w:val="11"/>
              </w:rPr>
              <w:t>Advocacy</w:t>
            </w:r>
            <w:r>
              <w:rPr>
                <w:color w:val="231F20"/>
                <w:spacing w:val="-8"/>
                <w:w w:val="110"/>
                <w:sz w:val="11"/>
              </w:rPr>
              <w:t xml:space="preserve"> </w:t>
            </w:r>
            <w:r>
              <w:rPr>
                <w:color w:val="231F20"/>
                <w:w w:val="110"/>
                <w:sz w:val="11"/>
              </w:rPr>
              <w:t>to</w:t>
            </w:r>
            <w:r>
              <w:rPr>
                <w:color w:val="231F20"/>
                <w:spacing w:val="-8"/>
                <w:w w:val="110"/>
                <w:sz w:val="11"/>
              </w:rPr>
              <w:t xml:space="preserve"> </w:t>
            </w:r>
            <w:r>
              <w:rPr>
                <w:color w:val="231F20"/>
                <w:w w:val="110"/>
                <w:sz w:val="11"/>
              </w:rPr>
              <w:t>Board</w:t>
            </w:r>
            <w:r>
              <w:rPr>
                <w:color w:val="231F20"/>
                <w:spacing w:val="-8"/>
                <w:w w:val="110"/>
                <w:sz w:val="11"/>
              </w:rPr>
              <w:t xml:space="preserve"> </w:t>
            </w:r>
            <w:r>
              <w:rPr>
                <w:color w:val="231F20"/>
                <w:w w:val="110"/>
                <w:sz w:val="11"/>
              </w:rPr>
              <w:t>of</w:t>
            </w:r>
            <w:r>
              <w:rPr>
                <w:color w:val="231F20"/>
                <w:spacing w:val="-8"/>
                <w:w w:val="110"/>
                <w:sz w:val="11"/>
              </w:rPr>
              <w:t xml:space="preserve"> </w:t>
            </w:r>
            <w:r>
              <w:rPr>
                <w:color w:val="231F20"/>
                <w:w w:val="110"/>
                <w:sz w:val="11"/>
              </w:rPr>
              <w:t>Internal</w:t>
            </w:r>
            <w:r>
              <w:rPr>
                <w:color w:val="231F20"/>
                <w:spacing w:val="-7"/>
                <w:w w:val="110"/>
                <w:sz w:val="11"/>
              </w:rPr>
              <w:t xml:space="preserve"> </w:t>
            </w:r>
            <w:r>
              <w:rPr>
                <w:color w:val="231F20"/>
                <w:w w:val="110"/>
                <w:sz w:val="11"/>
              </w:rPr>
              <w:t>Revenue</w:t>
            </w:r>
            <w:r>
              <w:rPr>
                <w:color w:val="231F20"/>
                <w:spacing w:val="-8"/>
                <w:w w:val="110"/>
                <w:sz w:val="11"/>
              </w:rPr>
              <w:t xml:space="preserve"> </w:t>
            </w:r>
            <w:r>
              <w:rPr>
                <w:color w:val="231F20"/>
                <w:w w:val="110"/>
                <w:sz w:val="11"/>
              </w:rPr>
              <w:t>(</w:t>
            </w:r>
            <w:r>
              <w:rPr>
                <w:color w:val="231F20"/>
                <w:spacing w:val="-8"/>
                <w:w w:val="110"/>
                <w:sz w:val="11"/>
              </w:rPr>
              <w:t xml:space="preserve"> </w:t>
            </w:r>
            <w:r>
              <w:rPr>
                <w:color w:val="231F20"/>
                <w:w w:val="110"/>
                <w:sz w:val="11"/>
              </w:rPr>
              <w:t>BIR)</w:t>
            </w:r>
            <w:r>
              <w:rPr>
                <w:color w:val="231F20"/>
                <w:spacing w:val="-8"/>
                <w:w w:val="110"/>
                <w:sz w:val="11"/>
              </w:rPr>
              <w:t xml:space="preserve"> </w:t>
            </w:r>
            <w:r>
              <w:rPr>
                <w:color w:val="231F20"/>
                <w:w w:val="110"/>
                <w:sz w:val="11"/>
              </w:rPr>
              <w:t>for</w:t>
            </w:r>
            <w:r>
              <w:rPr>
                <w:color w:val="231F20"/>
                <w:spacing w:val="-8"/>
                <w:w w:val="110"/>
                <w:sz w:val="11"/>
              </w:rPr>
              <w:t xml:space="preserve"> </w:t>
            </w:r>
            <w:r>
              <w:rPr>
                <w:color w:val="231F20"/>
                <w:w w:val="110"/>
                <w:sz w:val="11"/>
              </w:rPr>
              <w:t>establishment</w:t>
            </w:r>
            <w:r>
              <w:rPr>
                <w:color w:val="231F20"/>
                <w:spacing w:val="-8"/>
                <w:w w:val="110"/>
                <w:sz w:val="11"/>
              </w:rPr>
              <w:t xml:space="preserve"> </w:t>
            </w:r>
            <w:r>
              <w:rPr>
                <w:color w:val="231F20"/>
                <w:w w:val="110"/>
                <w:sz w:val="11"/>
              </w:rPr>
              <w:t>of</w:t>
            </w:r>
            <w:r>
              <w:rPr>
                <w:color w:val="231F20"/>
                <w:spacing w:val="-7"/>
                <w:w w:val="110"/>
                <w:sz w:val="11"/>
              </w:rPr>
              <w:t xml:space="preserve"> </w:t>
            </w:r>
            <w:r>
              <w:rPr>
                <w:color w:val="231F20"/>
                <w:w w:val="110"/>
                <w:sz w:val="11"/>
              </w:rPr>
              <w:t>SIN,</w:t>
            </w:r>
            <w:r>
              <w:rPr>
                <w:color w:val="231F20"/>
                <w:spacing w:val="-8"/>
                <w:w w:val="110"/>
                <w:sz w:val="11"/>
              </w:rPr>
              <w:t xml:space="preserve"> </w:t>
            </w:r>
            <w:r>
              <w:rPr>
                <w:color w:val="231F20"/>
                <w:w w:val="110"/>
                <w:sz w:val="11"/>
              </w:rPr>
              <w:t>Telecom,</w:t>
            </w:r>
            <w:r>
              <w:rPr>
                <w:color w:val="231F20"/>
                <w:spacing w:val="-8"/>
                <w:w w:val="110"/>
                <w:sz w:val="11"/>
              </w:rPr>
              <w:t xml:space="preserve"> VAT, </w:t>
            </w:r>
            <w:r>
              <w:rPr>
                <w:color w:val="231F20"/>
                <w:w w:val="110"/>
                <w:sz w:val="11"/>
              </w:rPr>
              <w:t>Aviation</w:t>
            </w:r>
            <w:r>
              <w:rPr>
                <w:color w:val="231F20"/>
                <w:spacing w:val="-2"/>
                <w:w w:val="110"/>
                <w:sz w:val="11"/>
              </w:rPr>
              <w:t xml:space="preserve"> </w:t>
            </w:r>
            <w:r>
              <w:rPr>
                <w:color w:val="231F20"/>
                <w:spacing w:val="-4"/>
                <w:w w:val="110"/>
                <w:sz w:val="11"/>
              </w:rPr>
              <w:t>Taxes</w:t>
            </w:r>
          </w:p>
        </w:tc>
        <w:tc>
          <w:tcPr>
            <w:tcW w:w="1430" w:type="dxa"/>
          </w:tcPr>
          <w:p w14:paraId="43BC113F" w14:textId="77777777" w:rsidR="009948F1" w:rsidRDefault="009948F1">
            <w:pPr>
              <w:pStyle w:val="TableParagraph"/>
              <w:rPr>
                <w:sz w:val="12"/>
              </w:rPr>
            </w:pPr>
          </w:p>
          <w:p w14:paraId="20EE63DF" w14:textId="77777777" w:rsidR="009948F1" w:rsidRDefault="00BC0563">
            <w:pPr>
              <w:pStyle w:val="TableParagraph"/>
              <w:spacing w:before="74"/>
              <w:ind w:left="24"/>
              <w:rPr>
                <w:sz w:val="11"/>
              </w:rPr>
            </w:pPr>
            <w:r>
              <w:rPr>
                <w:color w:val="231F20"/>
                <w:w w:val="110"/>
                <w:sz w:val="11"/>
              </w:rPr>
              <w:t>Lack of funds</w:t>
            </w:r>
          </w:p>
        </w:tc>
        <w:tc>
          <w:tcPr>
            <w:tcW w:w="1508" w:type="dxa"/>
          </w:tcPr>
          <w:p w14:paraId="747A2E83" w14:textId="77777777" w:rsidR="009948F1" w:rsidRDefault="009948F1">
            <w:pPr>
              <w:pStyle w:val="TableParagraph"/>
              <w:rPr>
                <w:sz w:val="12"/>
              </w:rPr>
            </w:pPr>
          </w:p>
          <w:p w14:paraId="0E5742E4" w14:textId="77777777" w:rsidR="009948F1" w:rsidRDefault="00BC0563">
            <w:pPr>
              <w:pStyle w:val="TableParagraph"/>
              <w:spacing w:before="74"/>
              <w:ind w:left="24"/>
              <w:rPr>
                <w:sz w:val="11"/>
              </w:rPr>
            </w:pPr>
            <w:r>
              <w:rPr>
                <w:color w:val="231F20"/>
                <w:w w:val="110"/>
                <w:sz w:val="11"/>
              </w:rPr>
              <w:t>Advocacy to BIR</w:t>
            </w:r>
          </w:p>
        </w:tc>
      </w:tr>
      <w:tr w:rsidR="009948F1" w14:paraId="4FCE852C" w14:textId="77777777">
        <w:trPr>
          <w:trHeight w:val="383"/>
        </w:trPr>
        <w:tc>
          <w:tcPr>
            <w:tcW w:w="867" w:type="dxa"/>
            <w:gridSpan w:val="2"/>
            <w:vMerge/>
            <w:tcBorders>
              <w:top w:val="nil"/>
              <w:left w:val="single" w:sz="8" w:space="0" w:color="231F20"/>
              <w:bottom w:val="single" w:sz="8" w:space="0" w:color="231F20"/>
            </w:tcBorders>
          </w:tcPr>
          <w:p w14:paraId="5CF0F2C4" w14:textId="77777777" w:rsidR="009948F1" w:rsidRDefault="009948F1">
            <w:pPr>
              <w:rPr>
                <w:sz w:val="2"/>
                <w:szCs w:val="2"/>
              </w:rPr>
            </w:pPr>
          </w:p>
        </w:tc>
        <w:tc>
          <w:tcPr>
            <w:tcW w:w="527" w:type="dxa"/>
            <w:tcBorders>
              <w:bottom w:val="single" w:sz="8" w:space="0" w:color="231F20"/>
            </w:tcBorders>
          </w:tcPr>
          <w:p w14:paraId="229E21FF" w14:textId="77777777" w:rsidR="009948F1" w:rsidRDefault="009948F1">
            <w:pPr>
              <w:pStyle w:val="TableParagraph"/>
              <w:spacing w:before="3"/>
              <w:rPr>
                <w:sz w:val="11"/>
              </w:rPr>
            </w:pPr>
          </w:p>
          <w:p w14:paraId="278AF07B" w14:textId="77777777" w:rsidR="009948F1" w:rsidRDefault="00BC0563">
            <w:pPr>
              <w:pStyle w:val="TableParagraph"/>
              <w:ind w:left="24" w:right="6"/>
              <w:jc w:val="center"/>
              <w:rPr>
                <w:sz w:val="11"/>
              </w:rPr>
            </w:pPr>
            <w:r>
              <w:rPr>
                <w:color w:val="231F20"/>
                <w:w w:val="110"/>
                <w:sz w:val="11"/>
              </w:rPr>
              <w:t>15.2.5.d</w:t>
            </w:r>
          </w:p>
        </w:tc>
        <w:tc>
          <w:tcPr>
            <w:tcW w:w="4905" w:type="dxa"/>
            <w:gridSpan w:val="2"/>
            <w:tcBorders>
              <w:bottom w:val="single" w:sz="8" w:space="0" w:color="231F20"/>
            </w:tcBorders>
          </w:tcPr>
          <w:p w14:paraId="1838650B" w14:textId="77777777" w:rsidR="009948F1" w:rsidRDefault="009948F1">
            <w:pPr>
              <w:pStyle w:val="TableParagraph"/>
              <w:spacing w:before="10"/>
              <w:rPr>
                <w:sz w:val="10"/>
              </w:rPr>
            </w:pPr>
          </w:p>
          <w:p w14:paraId="46891FFA" w14:textId="77777777" w:rsidR="009948F1" w:rsidRDefault="00BC0563">
            <w:pPr>
              <w:pStyle w:val="TableParagraph"/>
              <w:ind w:left="24"/>
              <w:rPr>
                <w:sz w:val="11"/>
              </w:rPr>
            </w:pPr>
            <w:r>
              <w:rPr>
                <w:color w:val="231F20"/>
                <w:w w:val="110"/>
                <w:sz w:val="11"/>
              </w:rPr>
              <w:t>Engage BIR for tax reform review and audits</w:t>
            </w:r>
          </w:p>
        </w:tc>
        <w:tc>
          <w:tcPr>
            <w:tcW w:w="1430" w:type="dxa"/>
          </w:tcPr>
          <w:p w14:paraId="159C9084" w14:textId="77777777" w:rsidR="009948F1" w:rsidRDefault="009948F1">
            <w:pPr>
              <w:pStyle w:val="TableParagraph"/>
              <w:spacing w:before="3"/>
              <w:rPr>
                <w:sz w:val="11"/>
              </w:rPr>
            </w:pPr>
          </w:p>
          <w:p w14:paraId="3260D180" w14:textId="77777777" w:rsidR="009948F1" w:rsidRDefault="00BC0563">
            <w:pPr>
              <w:pStyle w:val="TableParagraph"/>
              <w:ind w:left="24"/>
              <w:rPr>
                <w:sz w:val="11"/>
              </w:rPr>
            </w:pPr>
            <w:r>
              <w:rPr>
                <w:color w:val="231F20"/>
                <w:w w:val="110"/>
                <w:sz w:val="11"/>
              </w:rPr>
              <w:t>Lack of funds</w:t>
            </w:r>
          </w:p>
        </w:tc>
        <w:tc>
          <w:tcPr>
            <w:tcW w:w="1508" w:type="dxa"/>
          </w:tcPr>
          <w:p w14:paraId="4751E228" w14:textId="77777777" w:rsidR="009948F1" w:rsidRDefault="009948F1">
            <w:pPr>
              <w:pStyle w:val="TableParagraph"/>
              <w:spacing w:before="3"/>
              <w:rPr>
                <w:sz w:val="11"/>
              </w:rPr>
            </w:pPr>
          </w:p>
          <w:p w14:paraId="2B5DFD63" w14:textId="77777777" w:rsidR="009948F1" w:rsidRDefault="00BC0563">
            <w:pPr>
              <w:pStyle w:val="TableParagraph"/>
              <w:ind w:left="24"/>
              <w:rPr>
                <w:sz w:val="11"/>
              </w:rPr>
            </w:pPr>
            <w:r>
              <w:rPr>
                <w:color w:val="231F20"/>
                <w:w w:val="110"/>
                <w:sz w:val="11"/>
              </w:rPr>
              <w:t>Engage BIR</w:t>
            </w:r>
          </w:p>
        </w:tc>
      </w:tr>
      <w:tr w:rsidR="009948F1" w14:paraId="66F0ABE5" w14:textId="77777777">
        <w:trPr>
          <w:trHeight w:val="357"/>
        </w:trPr>
        <w:tc>
          <w:tcPr>
            <w:tcW w:w="411" w:type="dxa"/>
            <w:tcBorders>
              <w:left w:val="single" w:sz="8" w:space="0" w:color="231F20"/>
              <w:bottom w:val="single" w:sz="8" w:space="0" w:color="231F20"/>
            </w:tcBorders>
            <w:shd w:val="clear" w:color="auto" w:fill="FFF200"/>
          </w:tcPr>
          <w:p w14:paraId="40D7CA64" w14:textId="77777777" w:rsidR="009948F1" w:rsidRDefault="009948F1">
            <w:pPr>
              <w:pStyle w:val="TableParagraph"/>
              <w:spacing w:before="3"/>
              <w:rPr>
                <w:sz w:val="10"/>
              </w:rPr>
            </w:pPr>
          </w:p>
          <w:p w14:paraId="317C3D43" w14:textId="77777777" w:rsidR="009948F1" w:rsidRDefault="00BC0563">
            <w:pPr>
              <w:pStyle w:val="TableParagraph"/>
              <w:ind w:left="103" w:right="15"/>
              <w:jc w:val="center"/>
              <w:rPr>
                <w:b/>
                <w:sz w:val="11"/>
              </w:rPr>
            </w:pPr>
            <w:r>
              <w:rPr>
                <w:b/>
                <w:color w:val="231F20"/>
                <w:w w:val="110"/>
                <w:sz w:val="11"/>
              </w:rPr>
              <w:t>15.3</w:t>
            </w:r>
          </w:p>
        </w:tc>
        <w:tc>
          <w:tcPr>
            <w:tcW w:w="5888" w:type="dxa"/>
            <w:gridSpan w:val="4"/>
            <w:tcBorders>
              <w:top w:val="single" w:sz="8" w:space="0" w:color="231F20"/>
              <w:bottom w:val="single" w:sz="8" w:space="0" w:color="231F20"/>
              <w:right w:val="single" w:sz="8" w:space="0" w:color="231F20"/>
            </w:tcBorders>
            <w:shd w:val="clear" w:color="auto" w:fill="FFF200"/>
          </w:tcPr>
          <w:p w14:paraId="06471281" w14:textId="77777777" w:rsidR="009948F1" w:rsidRDefault="009948F1">
            <w:pPr>
              <w:pStyle w:val="TableParagraph"/>
              <w:spacing w:before="10"/>
              <w:rPr>
                <w:sz w:val="9"/>
              </w:rPr>
            </w:pPr>
          </w:p>
          <w:p w14:paraId="6F9D8633" w14:textId="77777777" w:rsidR="009948F1" w:rsidRDefault="00BC0563">
            <w:pPr>
              <w:pStyle w:val="TableParagraph"/>
              <w:ind w:left="57"/>
              <w:rPr>
                <w:b/>
                <w:sz w:val="11"/>
              </w:rPr>
            </w:pPr>
            <w:r>
              <w:rPr>
                <w:b/>
                <w:color w:val="231F20"/>
                <w:w w:val="110"/>
                <w:sz w:val="11"/>
              </w:rPr>
              <w:t>Enhance financial risk protection through pooled funds at federal and state levels</w:t>
            </w:r>
          </w:p>
        </w:tc>
        <w:tc>
          <w:tcPr>
            <w:tcW w:w="2938" w:type="dxa"/>
            <w:gridSpan w:val="2"/>
            <w:tcBorders>
              <w:left w:val="single" w:sz="8" w:space="0" w:color="231F20"/>
              <w:bottom w:val="single" w:sz="8" w:space="0" w:color="231F20"/>
            </w:tcBorders>
            <w:shd w:val="clear" w:color="auto" w:fill="FFF200"/>
          </w:tcPr>
          <w:p w14:paraId="09323A3B" w14:textId="77777777" w:rsidR="009948F1" w:rsidRDefault="009948F1">
            <w:pPr>
              <w:pStyle w:val="TableParagraph"/>
              <w:rPr>
                <w:rFonts w:ascii="Times New Roman"/>
                <w:sz w:val="10"/>
              </w:rPr>
            </w:pPr>
          </w:p>
        </w:tc>
      </w:tr>
      <w:tr w:rsidR="009948F1" w14:paraId="216B5DF1" w14:textId="77777777">
        <w:trPr>
          <w:trHeight w:val="1056"/>
        </w:trPr>
        <w:tc>
          <w:tcPr>
            <w:tcW w:w="411" w:type="dxa"/>
            <w:tcBorders>
              <w:top w:val="single" w:sz="8" w:space="0" w:color="231F20"/>
              <w:left w:val="single" w:sz="8" w:space="0" w:color="231F20"/>
              <w:bottom w:val="nil"/>
            </w:tcBorders>
          </w:tcPr>
          <w:p w14:paraId="39FF4E74" w14:textId="77777777" w:rsidR="009948F1" w:rsidRDefault="009948F1">
            <w:pPr>
              <w:pStyle w:val="TableParagraph"/>
              <w:rPr>
                <w:rFonts w:ascii="Times New Roman"/>
                <w:sz w:val="10"/>
              </w:rPr>
            </w:pPr>
          </w:p>
        </w:tc>
        <w:tc>
          <w:tcPr>
            <w:tcW w:w="456" w:type="dxa"/>
            <w:tcBorders>
              <w:top w:val="single" w:sz="8" w:space="0" w:color="231F20"/>
            </w:tcBorders>
            <w:shd w:val="clear" w:color="auto" w:fill="CCE7D3"/>
          </w:tcPr>
          <w:p w14:paraId="12717EF3" w14:textId="77777777" w:rsidR="009948F1" w:rsidRDefault="009948F1">
            <w:pPr>
              <w:pStyle w:val="TableParagraph"/>
              <w:rPr>
                <w:sz w:val="12"/>
              </w:rPr>
            </w:pPr>
          </w:p>
          <w:p w14:paraId="271FFCB5" w14:textId="77777777" w:rsidR="009948F1" w:rsidRDefault="009948F1">
            <w:pPr>
              <w:pStyle w:val="TableParagraph"/>
              <w:rPr>
                <w:sz w:val="12"/>
              </w:rPr>
            </w:pPr>
          </w:p>
          <w:p w14:paraId="112E69B9" w14:textId="77777777" w:rsidR="009948F1" w:rsidRDefault="009948F1">
            <w:pPr>
              <w:pStyle w:val="TableParagraph"/>
              <w:spacing w:before="5"/>
              <w:rPr>
                <w:sz w:val="16"/>
              </w:rPr>
            </w:pPr>
          </w:p>
          <w:p w14:paraId="3C9A9A00" w14:textId="77777777" w:rsidR="009948F1" w:rsidRDefault="00BC0563">
            <w:pPr>
              <w:pStyle w:val="TableParagraph"/>
              <w:spacing w:before="1"/>
              <w:ind w:left="22" w:right="17"/>
              <w:jc w:val="center"/>
              <w:rPr>
                <w:sz w:val="11"/>
              </w:rPr>
            </w:pPr>
            <w:r>
              <w:rPr>
                <w:color w:val="231F20"/>
                <w:w w:val="110"/>
                <w:sz w:val="11"/>
              </w:rPr>
              <w:t>15.3.1</w:t>
            </w:r>
          </w:p>
        </w:tc>
        <w:tc>
          <w:tcPr>
            <w:tcW w:w="3043" w:type="dxa"/>
            <w:gridSpan w:val="2"/>
            <w:tcBorders>
              <w:top w:val="single" w:sz="8" w:space="0" w:color="231F20"/>
            </w:tcBorders>
            <w:shd w:val="clear" w:color="auto" w:fill="CCE7D3"/>
          </w:tcPr>
          <w:p w14:paraId="1212C9E5" w14:textId="77777777" w:rsidR="009948F1" w:rsidRDefault="009948F1">
            <w:pPr>
              <w:pStyle w:val="TableParagraph"/>
              <w:rPr>
                <w:sz w:val="12"/>
              </w:rPr>
            </w:pPr>
          </w:p>
          <w:p w14:paraId="75D80C23" w14:textId="77777777" w:rsidR="009948F1" w:rsidRDefault="009948F1">
            <w:pPr>
              <w:pStyle w:val="TableParagraph"/>
              <w:rPr>
                <w:sz w:val="12"/>
              </w:rPr>
            </w:pPr>
          </w:p>
          <w:p w14:paraId="7C569286" w14:textId="77777777" w:rsidR="009948F1" w:rsidRDefault="009948F1">
            <w:pPr>
              <w:pStyle w:val="TableParagraph"/>
              <w:spacing w:before="9"/>
              <w:rPr>
                <w:sz w:val="9"/>
              </w:rPr>
            </w:pPr>
          </w:p>
          <w:p w14:paraId="2040099B" w14:textId="77777777" w:rsidR="009948F1" w:rsidRDefault="00BC0563">
            <w:pPr>
              <w:pStyle w:val="TableParagraph"/>
              <w:spacing w:line="273" w:lineRule="auto"/>
              <w:ind w:left="24" w:right="258" w:firstLine="33"/>
              <w:rPr>
                <w:sz w:val="11"/>
              </w:rPr>
            </w:pPr>
            <w:r>
              <w:rPr>
                <w:color w:val="231F20"/>
                <w:w w:val="110"/>
                <w:sz w:val="11"/>
              </w:rPr>
              <w:t>Engage Stakeholders to increase enrolment and contribution to Health Insurance</w:t>
            </w:r>
          </w:p>
        </w:tc>
        <w:tc>
          <w:tcPr>
            <w:tcW w:w="2389" w:type="dxa"/>
            <w:tcBorders>
              <w:top w:val="single" w:sz="8" w:space="0" w:color="231F20"/>
            </w:tcBorders>
            <w:shd w:val="clear" w:color="auto" w:fill="CCE7D3"/>
          </w:tcPr>
          <w:p w14:paraId="53BD3A93" w14:textId="77777777" w:rsidR="009948F1" w:rsidRDefault="00BC0563">
            <w:pPr>
              <w:pStyle w:val="TableParagraph"/>
              <w:numPr>
                <w:ilvl w:val="0"/>
                <w:numId w:val="8"/>
              </w:numPr>
              <w:tabs>
                <w:tab w:val="left" w:pos="100"/>
              </w:tabs>
              <w:spacing w:before="34" w:line="273" w:lineRule="auto"/>
              <w:ind w:right="663" w:firstLine="0"/>
              <w:rPr>
                <w:sz w:val="11"/>
              </w:rPr>
            </w:pPr>
            <w:r>
              <w:rPr>
                <w:color w:val="231F20"/>
                <w:w w:val="110"/>
                <w:sz w:val="11"/>
              </w:rPr>
              <w:t>Third</w:t>
            </w:r>
            <w:r>
              <w:rPr>
                <w:color w:val="231F20"/>
                <w:spacing w:val="-10"/>
                <w:w w:val="110"/>
                <w:sz w:val="11"/>
              </w:rPr>
              <w:t xml:space="preserve"> </w:t>
            </w:r>
            <w:r>
              <w:rPr>
                <w:color w:val="231F20"/>
                <w:w w:val="110"/>
                <w:sz w:val="11"/>
              </w:rPr>
              <w:t>Party</w:t>
            </w:r>
            <w:r>
              <w:rPr>
                <w:color w:val="231F20"/>
                <w:spacing w:val="-14"/>
                <w:w w:val="110"/>
                <w:sz w:val="11"/>
              </w:rPr>
              <w:t xml:space="preserve"> </w:t>
            </w:r>
            <w:r>
              <w:rPr>
                <w:color w:val="231F20"/>
                <w:w w:val="110"/>
                <w:sz w:val="11"/>
              </w:rPr>
              <w:t>Association</w:t>
            </w:r>
            <w:r>
              <w:rPr>
                <w:color w:val="231F20"/>
                <w:spacing w:val="-9"/>
                <w:w w:val="110"/>
                <w:sz w:val="11"/>
              </w:rPr>
              <w:t xml:space="preserve"> </w:t>
            </w:r>
            <w:r>
              <w:rPr>
                <w:color w:val="231F20"/>
                <w:spacing w:val="-4"/>
                <w:w w:val="110"/>
                <w:sz w:val="11"/>
              </w:rPr>
              <w:t xml:space="preserve">(TPAs) </w:t>
            </w:r>
            <w:r>
              <w:rPr>
                <w:color w:val="231F20"/>
                <w:w w:val="110"/>
                <w:sz w:val="11"/>
              </w:rPr>
              <w:t>commissioned</w:t>
            </w:r>
          </w:p>
          <w:p w14:paraId="1D7D0D3E" w14:textId="77777777" w:rsidR="009948F1" w:rsidRDefault="00BC0563">
            <w:pPr>
              <w:pStyle w:val="TableParagraph"/>
              <w:spacing w:line="273" w:lineRule="auto"/>
              <w:ind w:left="24"/>
              <w:rPr>
                <w:sz w:val="11"/>
              </w:rPr>
            </w:pPr>
            <w:r>
              <w:rPr>
                <w:color w:val="231F20"/>
                <w:w w:val="110"/>
                <w:sz w:val="11"/>
              </w:rPr>
              <w:t xml:space="preserve">•Employers of </w:t>
            </w:r>
            <w:proofErr w:type="spellStart"/>
            <w:r>
              <w:rPr>
                <w:color w:val="231F20"/>
                <w:w w:val="110"/>
                <w:sz w:val="11"/>
              </w:rPr>
              <w:t>labour</w:t>
            </w:r>
            <w:proofErr w:type="spellEnd"/>
            <w:r>
              <w:rPr>
                <w:color w:val="231F20"/>
                <w:w w:val="110"/>
                <w:sz w:val="11"/>
              </w:rPr>
              <w:t xml:space="preserve"> sensitized to key into health insurance for their employers</w:t>
            </w:r>
          </w:p>
          <w:p w14:paraId="6171D651" w14:textId="77777777" w:rsidR="009948F1" w:rsidRDefault="00BC0563">
            <w:pPr>
              <w:pStyle w:val="TableParagraph"/>
              <w:numPr>
                <w:ilvl w:val="0"/>
                <w:numId w:val="8"/>
              </w:numPr>
              <w:tabs>
                <w:tab w:val="left" w:pos="100"/>
              </w:tabs>
              <w:spacing w:line="126" w:lineRule="exact"/>
              <w:ind w:left="99" w:hanging="76"/>
              <w:rPr>
                <w:sz w:val="11"/>
              </w:rPr>
            </w:pPr>
            <w:r>
              <w:rPr>
                <w:color w:val="231F20"/>
                <w:w w:val="110"/>
                <w:sz w:val="11"/>
              </w:rPr>
              <w:t>Philanthropists</w:t>
            </w:r>
            <w:r>
              <w:rPr>
                <w:color w:val="231F20"/>
                <w:spacing w:val="-10"/>
                <w:w w:val="110"/>
                <w:sz w:val="11"/>
              </w:rPr>
              <w:t xml:space="preserve"> </w:t>
            </w:r>
            <w:r>
              <w:rPr>
                <w:color w:val="231F20"/>
                <w:w w:val="110"/>
                <w:sz w:val="11"/>
              </w:rPr>
              <w:t>and</w:t>
            </w:r>
            <w:r>
              <w:rPr>
                <w:color w:val="231F20"/>
                <w:spacing w:val="-9"/>
                <w:w w:val="110"/>
                <w:sz w:val="11"/>
              </w:rPr>
              <w:t xml:space="preserve"> </w:t>
            </w:r>
            <w:r>
              <w:rPr>
                <w:color w:val="231F20"/>
                <w:w w:val="110"/>
                <w:sz w:val="11"/>
              </w:rPr>
              <w:t>community</w:t>
            </w:r>
            <w:r>
              <w:rPr>
                <w:color w:val="231F20"/>
                <w:spacing w:val="-9"/>
                <w:w w:val="110"/>
                <w:sz w:val="11"/>
              </w:rPr>
              <w:t xml:space="preserve"> </w:t>
            </w:r>
            <w:r>
              <w:rPr>
                <w:color w:val="231F20"/>
                <w:w w:val="110"/>
                <w:sz w:val="11"/>
              </w:rPr>
              <w:t>influencers</w:t>
            </w:r>
          </w:p>
          <w:p w14:paraId="6737D69D" w14:textId="77777777" w:rsidR="009948F1" w:rsidRDefault="00BC0563">
            <w:pPr>
              <w:pStyle w:val="TableParagraph"/>
              <w:spacing w:before="3" w:line="140" w:lineRule="atLeast"/>
              <w:ind w:left="24" w:right="2"/>
              <w:rPr>
                <w:sz w:val="11"/>
              </w:rPr>
            </w:pPr>
            <w:r>
              <w:rPr>
                <w:color w:val="231F20"/>
                <w:w w:val="110"/>
                <w:sz w:val="11"/>
              </w:rPr>
              <w:t>engaged to enroll community members and support vulnerable groups</w:t>
            </w:r>
          </w:p>
        </w:tc>
        <w:tc>
          <w:tcPr>
            <w:tcW w:w="1430" w:type="dxa"/>
            <w:shd w:val="clear" w:color="auto" w:fill="CCE7D3"/>
          </w:tcPr>
          <w:p w14:paraId="6431222B" w14:textId="77777777" w:rsidR="009948F1" w:rsidRDefault="009948F1">
            <w:pPr>
              <w:pStyle w:val="TableParagraph"/>
              <w:rPr>
                <w:rFonts w:ascii="Times New Roman"/>
                <w:sz w:val="10"/>
              </w:rPr>
            </w:pPr>
          </w:p>
        </w:tc>
        <w:tc>
          <w:tcPr>
            <w:tcW w:w="1508" w:type="dxa"/>
            <w:tcBorders>
              <w:top w:val="single" w:sz="8" w:space="0" w:color="231F20"/>
            </w:tcBorders>
            <w:shd w:val="clear" w:color="auto" w:fill="CCE7D3"/>
          </w:tcPr>
          <w:p w14:paraId="4BF8C35B" w14:textId="77777777" w:rsidR="009948F1" w:rsidRDefault="009948F1">
            <w:pPr>
              <w:pStyle w:val="TableParagraph"/>
              <w:rPr>
                <w:rFonts w:ascii="Times New Roman"/>
                <w:sz w:val="10"/>
              </w:rPr>
            </w:pPr>
          </w:p>
        </w:tc>
      </w:tr>
      <w:tr w:rsidR="009948F1" w14:paraId="6ED68E46" w14:textId="77777777">
        <w:trPr>
          <w:trHeight w:val="300"/>
        </w:trPr>
        <w:tc>
          <w:tcPr>
            <w:tcW w:w="867" w:type="dxa"/>
            <w:gridSpan w:val="2"/>
            <w:vMerge w:val="restart"/>
            <w:tcBorders>
              <w:top w:val="nil"/>
              <w:left w:val="single" w:sz="8" w:space="0" w:color="231F20"/>
              <w:bottom w:val="single" w:sz="8" w:space="0" w:color="231F20"/>
            </w:tcBorders>
          </w:tcPr>
          <w:p w14:paraId="2EFF9EE6" w14:textId="77777777" w:rsidR="009948F1" w:rsidRDefault="009948F1">
            <w:pPr>
              <w:pStyle w:val="TableParagraph"/>
              <w:rPr>
                <w:rFonts w:ascii="Times New Roman"/>
                <w:sz w:val="10"/>
              </w:rPr>
            </w:pPr>
          </w:p>
        </w:tc>
        <w:tc>
          <w:tcPr>
            <w:tcW w:w="527" w:type="dxa"/>
          </w:tcPr>
          <w:p w14:paraId="1F7FA7D0" w14:textId="77777777" w:rsidR="009948F1" w:rsidRDefault="00BC0563">
            <w:pPr>
              <w:pStyle w:val="TableParagraph"/>
              <w:spacing w:before="90"/>
              <w:ind w:left="24" w:right="6"/>
              <w:jc w:val="center"/>
              <w:rPr>
                <w:sz w:val="11"/>
              </w:rPr>
            </w:pPr>
            <w:r>
              <w:rPr>
                <w:color w:val="231F20"/>
                <w:w w:val="110"/>
                <w:sz w:val="11"/>
              </w:rPr>
              <w:t>15.3.1.a</w:t>
            </w:r>
          </w:p>
        </w:tc>
        <w:tc>
          <w:tcPr>
            <w:tcW w:w="4905" w:type="dxa"/>
            <w:gridSpan w:val="2"/>
          </w:tcPr>
          <w:p w14:paraId="7F558A42" w14:textId="0B96ECB8" w:rsidR="009948F1" w:rsidRDefault="00BC0563">
            <w:pPr>
              <w:pStyle w:val="TableParagraph"/>
              <w:spacing w:before="85"/>
              <w:ind w:left="24"/>
              <w:rPr>
                <w:sz w:val="11"/>
              </w:rPr>
            </w:pPr>
            <w:r>
              <w:rPr>
                <w:color w:val="231F20"/>
                <w:w w:val="110"/>
                <w:sz w:val="11"/>
              </w:rPr>
              <w:t xml:space="preserve">Commission Third Party Associators (TPAs) to register and </w:t>
            </w:r>
            <w:r w:rsidR="002049E3">
              <w:rPr>
                <w:color w:val="231F20"/>
                <w:w w:val="110"/>
                <w:sz w:val="11"/>
              </w:rPr>
              <w:t>enroll</w:t>
            </w:r>
            <w:r>
              <w:rPr>
                <w:color w:val="231F20"/>
                <w:w w:val="110"/>
                <w:sz w:val="11"/>
              </w:rPr>
              <w:t xml:space="preserve"> beneficiaries</w:t>
            </w:r>
          </w:p>
        </w:tc>
        <w:tc>
          <w:tcPr>
            <w:tcW w:w="1430" w:type="dxa"/>
          </w:tcPr>
          <w:p w14:paraId="0FA612EC" w14:textId="77777777" w:rsidR="009948F1" w:rsidRDefault="00BC0563">
            <w:pPr>
              <w:pStyle w:val="TableParagraph"/>
              <w:spacing w:before="90"/>
              <w:ind w:left="24"/>
              <w:rPr>
                <w:sz w:val="11"/>
              </w:rPr>
            </w:pPr>
            <w:r>
              <w:rPr>
                <w:color w:val="231F20"/>
                <w:w w:val="110"/>
                <w:sz w:val="11"/>
              </w:rPr>
              <w:t>Lack of commitment</w:t>
            </w:r>
          </w:p>
        </w:tc>
        <w:tc>
          <w:tcPr>
            <w:tcW w:w="1508" w:type="dxa"/>
          </w:tcPr>
          <w:p w14:paraId="71308E78" w14:textId="77777777" w:rsidR="009948F1" w:rsidRDefault="00BC0563">
            <w:pPr>
              <w:pStyle w:val="TableParagraph"/>
              <w:spacing w:before="90"/>
              <w:ind w:left="24"/>
              <w:rPr>
                <w:sz w:val="11"/>
              </w:rPr>
            </w:pPr>
            <w:r>
              <w:rPr>
                <w:color w:val="231F20"/>
                <w:w w:val="110"/>
                <w:sz w:val="11"/>
              </w:rPr>
              <w:t>No cost</w:t>
            </w:r>
          </w:p>
        </w:tc>
      </w:tr>
      <w:tr w:rsidR="009948F1" w14:paraId="13F32561" w14:textId="77777777">
        <w:trPr>
          <w:trHeight w:val="397"/>
        </w:trPr>
        <w:tc>
          <w:tcPr>
            <w:tcW w:w="867" w:type="dxa"/>
            <w:gridSpan w:val="2"/>
            <w:vMerge/>
            <w:tcBorders>
              <w:top w:val="nil"/>
              <w:left w:val="single" w:sz="8" w:space="0" w:color="231F20"/>
              <w:bottom w:val="single" w:sz="8" w:space="0" w:color="231F20"/>
            </w:tcBorders>
          </w:tcPr>
          <w:p w14:paraId="381CF6DC" w14:textId="77777777" w:rsidR="009948F1" w:rsidRDefault="009948F1">
            <w:pPr>
              <w:rPr>
                <w:sz w:val="2"/>
                <w:szCs w:val="2"/>
              </w:rPr>
            </w:pPr>
          </w:p>
        </w:tc>
        <w:tc>
          <w:tcPr>
            <w:tcW w:w="527" w:type="dxa"/>
          </w:tcPr>
          <w:p w14:paraId="4A373142" w14:textId="77777777" w:rsidR="009948F1" w:rsidRDefault="009948F1">
            <w:pPr>
              <w:pStyle w:val="TableParagraph"/>
              <w:rPr>
                <w:sz w:val="12"/>
              </w:rPr>
            </w:pPr>
          </w:p>
          <w:p w14:paraId="42699AED" w14:textId="77777777" w:rsidR="009948F1" w:rsidRDefault="00BC0563">
            <w:pPr>
              <w:pStyle w:val="TableParagraph"/>
              <w:ind w:left="24" w:right="6"/>
              <w:jc w:val="center"/>
              <w:rPr>
                <w:sz w:val="11"/>
              </w:rPr>
            </w:pPr>
            <w:r>
              <w:rPr>
                <w:color w:val="231F20"/>
                <w:w w:val="110"/>
                <w:sz w:val="11"/>
              </w:rPr>
              <w:t>15.3.1.b</w:t>
            </w:r>
          </w:p>
        </w:tc>
        <w:tc>
          <w:tcPr>
            <w:tcW w:w="4905" w:type="dxa"/>
            <w:gridSpan w:val="2"/>
          </w:tcPr>
          <w:p w14:paraId="686949CA" w14:textId="77777777" w:rsidR="009948F1" w:rsidRDefault="00BC0563">
            <w:pPr>
              <w:pStyle w:val="TableParagraph"/>
              <w:spacing w:before="61" w:line="273" w:lineRule="auto"/>
              <w:ind w:left="24"/>
              <w:rPr>
                <w:sz w:val="11"/>
              </w:rPr>
            </w:pPr>
            <w:r>
              <w:rPr>
                <w:color w:val="231F20"/>
                <w:w w:val="110"/>
                <w:sz w:val="11"/>
              </w:rPr>
              <w:t xml:space="preserve">Conduct sensitization workshops for engaging employers of </w:t>
            </w:r>
            <w:proofErr w:type="spellStart"/>
            <w:r>
              <w:rPr>
                <w:color w:val="231F20"/>
                <w:w w:val="110"/>
                <w:sz w:val="11"/>
              </w:rPr>
              <w:t>labour</w:t>
            </w:r>
            <w:proofErr w:type="spellEnd"/>
            <w:r>
              <w:rPr>
                <w:color w:val="231F20"/>
                <w:w w:val="110"/>
                <w:sz w:val="11"/>
              </w:rPr>
              <w:t xml:space="preserve"> to key into health insurance for their employees</w:t>
            </w:r>
          </w:p>
        </w:tc>
        <w:tc>
          <w:tcPr>
            <w:tcW w:w="1430" w:type="dxa"/>
          </w:tcPr>
          <w:p w14:paraId="2A40C677" w14:textId="77777777" w:rsidR="009948F1" w:rsidRDefault="009948F1">
            <w:pPr>
              <w:pStyle w:val="TableParagraph"/>
              <w:rPr>
                <w:sz w:val="12"/>
              </w:rPr>
            </w:pPr>
          </w:p>
          <w:p w14:paraId="120A9548" w14:textId="77777777" w:rsidR="009948F1" w:rsidRDefault="00BC0563">
            <w:pPr>
              <w:pStyle w:val="TableParagraph"/>
              <w:ind w:left="24"/>
              <w:rPr>
                <w:sz w:val="11"/>
              </w:rPr>
            </w:pPr>
            <w:r>
              <w:rPr>
                <w:color w:val="231F20"/>
                <w:w w:val="110"/>
                <w:sz w:val="11"/>
              </w:rPr>
              <w:t>Lack of funds</w:t>
            </w:r>
          </w:p>
        </w:tc>
        <w:tc>
          <w:tcPr>
            <w:tcW w:w="1508" w:type="dxa"/>
          </w:tcPr>
          <w:p w14:paraId="3B0D9AA9" w14:textId="77777777" w:rsidR="009948F1" w:rsidRDefault="00BC0563">
            <w:pPr>
              <w:pStyle w:val="TableParagraph"/>
              <w:spacing w:before="65" w:line="273" w:lineRule="auto"/>
              <w:ind w:left="24"/>
              <w:rPr>
                <w:sz w:val="11"/>
              </w:rPr>
            </w:pPr>
            <w:r>
              <w:rPr>
                <w:color w:val="231F20"/>
                <w:w w:val="110"/>
                <w:sz w:val="11"/>
              </w:rPr>
              <w:t>Conduct sensitization workshop</w:t>
            </w:r>
          </w:p>
        </w:tc>
      </w:tr>
      <w:tr w:rsidR="009948F1" w14:paraId="133FDF1F" w14:textId="77777777">
        <w:trPr>
          <w:trHeight w:val="411"/>
        </w:trPr>
        <w:tc>
          <w:tcPr>
            <w:tcW w:w="867" w:type="dxa"/>
            <w:gridSpan w:val="2"/>
            <w:vMerge/>
            <w:tcBorders>
              <w:top w:val="nil"/>
              <w:left w:val="single" w:sz="8" w:space="0" w:color="231F20"/>
              <w:bottom w:val="single" w:sz="8" w:space="0" w:color="231F20"/>
            </w:tcBorders>
          </w:tcPr>
          <w:p w14:paraId="71EDC7DC" w14:textId="77777777" w:rsidR="009948F1" w:rsidRDefault="009948F1">
            <w:pPr>
              <w:rPr>
                <w:sz w:val="2"/>
                <w:szCs w:val="2"/>
              </w:rPr>
            </w:pPr>
          </w:p>
        </w:tc>
        <w:tc>
          <w:tcPr>
            <w:tcW w:w="527" w:type="dxa"/>
          </w:tcPr>
          <w:p w14:paraId="4A194A04" w14:textId="77777777" w:rsidR="009948F1" w:rsidRDefault="009948F1">
            <w:pPr>
              <w:pStyle w:val="TableParagraph"/>
              <w:spacing w:before="7"/>
              <w:rPr>
                <w:sz w:val="12"/>
              </w:rPr>
            </w:pPr>
          </w:p>
          <w:p w14:paraId="47396879" w14:textId="77777777" w:rsidR="009948F1" w:rsidRDefault="00BC0563">
            <w:pPr>
              <w:pStyle w:val="TableParagraph"/>
              <w:ind w:left="24" w:right="5"/>
              <w:jc w:val="center"/>
              <w:rPr>
                <w:sz w:val="11"/>
              </w:rPr>
            </w:pPr>
            <w:r>
              <w:rPr>
                <w:color w:val="231F20"/>
                <w:w w:val="110"/>
                <w:sz w:val="11"/>
              </w:rPr>
              <w:t>15.3.1.c</w:t>
            </w:r>
          </w:p>
        </w:tc>
        <w:tc>
          <w:tcPr>
            <w:tcW w:w="4905" w:type="dxa"/>
            <w:gridSpan w:val="2"/>
          </w:tcPr>
          <w:p w14:paraId="0069CED1" w14:textId="0DD3FE2C" w:rsidR="009948F1" w:rsidRDefault="00BC0563">
            <w:pPr>
              <w:pStyle w:val="TableParagraph"/>
              <w:spacing w:before="68" w:line="273" w:lineRule="auto"/>
              <w:ind w:left="24" w:right="312"/>
              <w:rPr>
                <w:sz w:val="11"/>
              </w:rPr>
            </w:pPr>
            <w:r>
              <w:rPr>
                <w:color w:val="231F20"/>
                <w:w w:val="110"/>
                <w:sz w:val="11"/>
              </w:rPr>
              <w:t xml:space="preserve">Engage philanthropists and community influencers to </w:t>
            </w:r>
            <w:r w:rsidR="002049E3">
              <w:rPr>
                <w:color w:val="231F20"/>
                <w:w w:val="110"/>
                <w:sz w:val="11"/>
              </w:rPr>
              <w:t>enroll</w:t>
            </w:r>
            <w:r>
              <w:rPr>
                <w:color w:val="231F20"/>
                <w:w w:val="110"/>
                <w:sz w:val="11"/>
              </w:rPr>
              <w:t xml:space="preserve"> community members and support vulnerable groups</w:t>
            </w:r>
          </w:p>
        </w:tc>
        <w:tc>
          <w:tcPr>
            <w:tcW w:w="1430" w:type="dxa"/>
          </w:tcPr>
          <w:p w14:paraId="762FC7C4" w14:textId="77777777" w:rsidR="009948F1" w:rsidRDefault="009948F1">
            <w:pPr>
              <w:pStyle w:val="TableParagraph"/>
              <w:spacing w:before="7"/>
              <w:rPr>
                <w:sz w:val="12"/>
              </w:rPr>
            </w:pPr>
          </w:p>
          <w:p w14:paraId="220FB1FA" w14:textId="77777777" w:rsidR="009948F1" w:rsidRDefault="00BC0563">
            <w:pPr>
              <w:pStyle w:val="TableParagraph"/>
              <w:ind w:left="24"/>
              <w:rPr>
                <w:sz w:val="11"/>
              </w:rPr>
            </w:pPr>
            <w:r>
              <w:rPr>
                <w:color w:val="231F20"/>
                <w:w w:val="110"/>
                <w:sz w:val="11"/>
              </w:rPr>
              <w:t>Lack of funds</w:t>
            </w:r>
          </w:p>
        </w:tc>
        <w:tc>
          <w:tcPr>
            <w:tcW w:w="1508" w:type="dxa"/>
          </w:tcPr>
          <w:p w14:paraId="4F2B8AC7" w14:textId="77777777" w:rsidR="009948F1" w:rsidRDefault="009948F1">
            <w:pPr>
              <w:pStyle w:val="TableParagraph"/>
              <w:spacing w:before="7"/>
              <w:rPr>
                <w:sz w:val="12"/>
              </w:rPr>
            </w:pPr>
          </w:p>
          <w:p w14:paraId="5477CEA8" w14:textId="17A26403" w:rsidR="009948F1" w:rsidRDefault="00BC0563">
            <w:pPr>
              <w:pStyle w:val="TableParagraph"/>
              <w:ind w:left="24"/>
              <w:rPr>
                <w:sz w:val="11"/>
              </w:rPr>
            </w:pPr>
            <w:r>
              <w:rPr>
                <w:color w:val="231F20"/>
                <w:w w:val="110"/>
                <w:sz w:val="11"/>
              </w:rPr>
              <w:t xml:space="preserve">Engage </w:t>
            </w:r>
            <w:r w:rsidR="002049E3">
              <w:rPr>
                <w:color w:val="231F20"/>
                <w:w w:val="110"/>
                <w:sz w:val="11"/>
              </w:rPr>
              <w:t>philanthropists</w:t>
            </w:r>
          </w:p>
        </w:tc>
      </w:tr>
      <w:tr w:rsidR="009948F1" w14:paraId="05A96333" w14:textId="77777777">
        <w:trPr>
          <w:trHeight w:val="460"/>
        </w:trPr>
        <w:tc>
          <w:tcPr>
            <w:tcW w:w="867" w:type="dxa"/>
            <w:gridSpan w:val="2"/>
            <w:vMerge/>
            <w:tcBorders>
              <w:top w:val="nil"/>
              <w:left w:val="single" w:sz="8" w:space="0" w:color="231F20"/>
              <w:bottom w:val="single" w:sz="8" w:space="0" w:color="231F20"/>
            </w:tcBorders>
          </w:tcPr>
          <w:p w14:paraId="145F64CF" w14:textId="77777777" w:rsidR="009948F1" w:rsidRDefault="009948F1">
            <w:pPr>
              <w:rPr>
                <w:sz w:val="2"/>
                <w:szCs w:val="2"/>
              </w:rPr>
            </w:pPr>
          </w:p>
        </w:tc>
        <w:tc>
          <w:tcPr>
            <w:tcW w:w="527" w:type="dxa"/>
          </w:tcPr>
          <w:p w14:paraId="2AAB03AF" w14:textId="77777777" w:rsidR="009948F1" w:rsidRDefault="009948F1">
            <w:pPr>
              <w:pStyle w:val="TableParagraph"/>
              <w:spacing w:before="8"/>
              <w:rPr>
                <w:sz w:val="14"/>
              </w:rPr>
            </w:pPr>
          </w:p>
          <w:p w14:paraId="7DB92A09" w14:textId="77777777" w:rsidR="009948F1" w:rsidRDefault="00BC0563">
            <w:pPr>
              <w:pStyle w:val="TableParagraph"/>
              <w:ind w:left="24" w:right="6"/>
              <w:jc w:val="center"/>
              <w:rPr>
                <w:sz w:val="11"/>
              </w:rPr>
            </w:pPr>
            <w:r>
              <w:rPr>
                <w:color w:val="231F20"/>
                <w:w w:val="110"/>
                <w:sz w:val="11"/>
              </w:rPr>
              <w:t>15.3.1.d</w:t>
            </w:r>
          </w:p>
        </w:tc>
        <w:tc>
          <w:tcPr>
            <w:tcW w:w="4905" w:type="dxa"/>
            <w:gridSpan w:val="2"/>
          </w:tcPr>
          <w:p w14:paraId="438E96D4" w14:textId="77777777" w:rsidR="009948F1" w:rsidRDefault="00BC0563">
            <w:pPr>
              <w:pStyle w:val="TableParagraph"/>
              <w:spacing w:before="92" w:line="273" w:lineRule="auto"/>
              <w:ind w:left="24" w:right="56"/>
              <w:rPr>
                <w:sz w:val="11"/>
              </w:rPr>
            </w:pPr>
            <w:r>
              <w:rPr>
                <w:color w:val="231F20"/>
                <w:w w:val="110"/>
                <w:sz w:val="11"/>
              </w:rPr>
              <w:t>Engage the media in promoting health insurance as well as produce and disseminate IEC materials on Health Insurance</w:t>
            </w:r>
          </w:p>
        </w:tc>
        <w:tc>
          <w:tcPr>
            <w:tcW w:w="1430" w:type="dxa"/>
          </w:tcPr>
          <w:p w14:paraId="503D0AB9" w14:textId="77777777" w:rsidR="009948F1" w:rsidRDefault="009948F1">
            <w:pPr>
              <w:pStyle w:val="TableParagraph"/>
              <w:spacing w:before="8"/>
              <w:rPr>
                <w:sz w:val="14"/>
              </w:rPr>
            </w:pPr>
          </w:p>
          <w:p w14:paraId="50D12E87" w14:textId="77777777" w:rsidR="009948F1" w:rsidRDefault="00BC0563">
            <w:pPr>
              <w:pStyle w:val="TableParagraph"/>
              <w:ind w:left="24"/>
              <w:rPr>
                <w:sz w:val="11"/>
              </w:rPr>
            </w:pPr>
            <w:r>
              <w:rPr>
                <w:color w:val="231F20"/>
                <w:w w:val="110"/>
                <w:sz w:val="11"/>
              </w:rPr>
              <w:t>Lack of funds</w:t>
            </w:r>
          </w:p>
        </w:tc>
        <w:tc>
          <w:tcPr>
            <w:tcW w:w="1508" w:type="dxa"/>
          </w:tcPr>
          <w:p w14:paraId="03F2CA49" w14:textId="77777777" w:rsidR="009948F1" w:rsidRDefault="009948F1">
            <w:pPr>
              <w:pStyle w:val="TableParagraph"/>
              <w:spacing w:before="8"/>
              <w:rPr>
                <w:sz w:val="14"/>
              </w:rPr>
            </w:pPr>
          </w:p>
          <w:p w14:paraId="144712D0" w14:textId="77777777" w:rsidR="009948F1" w:rsidRDefault="00BC0563">
            <w:pPr>
              <w:pStyle w:val="TableParagraph"/>
              <w:ind w:left="24"/>
              <w:rPr>
                <w:sz w:val="11"/>
              </w:rPr>
            </w:pPr>
            <w:r>
              <w:rPr>
                <w:color w:val="231F20"/>
                <w:w w:val="110"/>
                <w:sz w:val="11"/>
              </w:rPr>
              <w:t>Engage the media</w:t>
            </w:r>
          </w:p>
        </w:tc>
      </w:tr>
      <w:tr w:rsidR="009948F1" w14:paraId="101EBF76" w14:textId="77777777">
        <w:trPr>
          <w:trHeight w:val="499"/>
        </w:trPr>
        <w:tc>
          <w:tcPr>
            <w:tcW w:w="867" w:type="dxa"/>
            <w:gridSpan w:val="2"/>
            <w:vMerge/>
            <w:tcBorders>
              <w:top w:val="nil"/>
              <w:left w:val="single" w:sz="8" w:space="0" w:color="231F20"/>
              <w:bottom w:val="single" w:sz="8" w:space="0" w:color="231F20"/>
            </w:tcBorders>
          </w:tcPr>
          <w:p w14:paraId="4E4F4064" w14:textId="77777777" w:rsidR="009948F1" w:rsidRDefault="009948F1">
            <w:pPr>
              <w:rPr>
                <w:sz w:val="2"/>
                <w:szCs w:val="2"/>
              </w:rPr>
            </w:pPr>
          </w:p>
        </w:tc>
        <w:tc>
          <w:tcPr>
            <w:tcW w:w="527" w:type="dxa"/>
            <w:tcBorders>
              <w:bottom w:val="single" w:sz="8" w:space="0" w:color="231F20"/>
            </w:tcBorders>
          </w:tcPr>
          <w:p w14:paraId="51662441" w14:textId="77777777" w:rsidR="009948F1" w:rsidRDefault="009948F1">
            <w:pPr>
              <w:pStyle w:val="TableParagraph"/>
              <w:spacing w:before="6"/>
              <w:rPr>
                <w:sz w:val="16"/>
              </w:rPr>
            </w:pPr>
          </w:p>
          <w:p w14:paraId="5689A8FB" w14:textId="77777777" w:rsidR="009948F1" w:rsidRDefault="00BC0563">
            <w:pPr>
              <w:pStyle w:val="TableParagraph"/>
              <w:spacing w:before="1"/>
              <w:ind w:left="24" w:right="6"/>
              <w:jc w:val="center"/>
              <w:rPr>
                <w:sz w:val="11"/>
              </w:rPr>
            </w:pPr>
            <w:r>
              <w:rPr>
                <w:color w:val="231F20"/>
                <w:w w:val="110"/>
                <w:sz w:val="11"/>
              </w:rPr>
              <w:t>15.3.1.e</w:t>
            </w:r>
          </w:p>
        </w:tc>
        <w:tc>
          <w:tcPr>
            <w:tcW w:w="4905" w:type="dxa"/>
            <w:gridSpan w:val="2"/>
            <w:tcBorders>
              <w:bottom w:val="single" w:sz="8" w:space="0" w:color="231F20"/>
            </w:tcBorders>
          </w:tcPr>
          <w:p w14:paraId="7A247714" w14:textId="77777777" w:rsidR="009948F1" w:rsidRDefault="009948F1">
            <w:pPr>
              <w:pStyle w:val="TableParagraph"/>
              <w:spacing w:before="2"/>
              <w:rPr>
                <w:sz w:val="16"/>
              </w:rPr>
            </w:pPr>
          </w:p>
          <w:p w14:paraId="63F9288F" w14:textId="77777777" w:rsidR="009948F1" w:rsidRDefault="00BC0563">
            <w:pPr>
              <w:pStyle w:val="TableParagraph"/>
              <w:ind w:left="24"/>
              <w:rPr>
                <w:sz w:val="11"/>
              </w:rPr>
            </w:pPr>
            <w:r>
              <w:rPr>
                <w:color w:val="231F20"/>
                <w:w w:val="110"/>
                <w:sz w:val="11"/>
              </w:rPr>
              <w:t>Engage communities and NGOs on financial risk protection benefit of Health insurance</w:t>
            </w:r>
          </w:p>
        </w:tc>
        <w:tc>
          <w:tcPr>
            <w:tcW w:w="1430" w:type="dxa"/>
            <w:tcBorders>
              <w:bottom w:val="single" w:sz="8" w:space="0" w:color="231F20"/>
            </w:tcBorders>
          </w:tcPr>
          <w:p w14:paraId="6895DE2C" w14:textId="77777777" w:rsidR="009948F1" w:rsidRDefault="009948F1">
            <w:pPr>
              <w:pStyle w:val="TableParagraph"/>
              <w:spacing w:before="6"/>
              <w:rPr>
                <w:sz w:val="16"/>
              </w:rPr>
            </w:pPr>
          </w:p>
          <w:p w14:paraId="58793139" w14:textId="77777777" w:rsidR="009948F1" w:rsidRDefault="00BC0563">
            <w:pPr>
              <w:pStyle w:val="TableParagraph"/>
              <w:spacing w:before="1"/>
              <w:ind w:left="24"/>
              <w:rPr>
                <w:sz w:val="11"/>
              </w:rPr>
            </w:pPr>
            <w:r>
              <w:rPr>
                <w:color w:val="231F20"/>
                <w:w w:val="110"/>
                <w:sz w:val="11"/>
              </w:rPr>
              <w:t>Lack of funds</w:t>
            </w:r>
          </w:p>
        </w:tc>
        <w:tc>
          <w:tcPr>
            <w:tcW w:w="1508" w:type="dxa"/>
            <w:tcBorders>
              <w:bottom w:val="single" w:sz="8" w:space="0" w:color="231F20"/>
            </w:tcBorders>
          </w:tcPr>
          <w:p w14:paraId="3C623F7C" w14:textId="77777777" w:rsidR="009948F1" w:rsidRDefault="009948F1">
            <w:pPr>
              <w:pStyle w:val="TableParagraph"/>
              <w:spacing w:before="6"/>
              <w:rPr>
                <w:sz w:val="16"/>
              </w:rPr>
            </w:pPr>
          </w:p>
          <w:p w14:paraId="202A417B" w14:textId="77777777" w:rsidR="009948F1" w:rsidRDefault="00BC0563">
            <w:pPr>
              <w:pStyle w:val="TableParagraph"/>
              <w:spacing w:before="1"/>
              <w:ind w:left="24"/>
              <w:rPr>
                <w:sz w:val="11"/>
              </w:rPr>
            </w:pPr>
            <w:r>
              <w:rPr>
                <w:color w:val="231F20"/>
                <w:w w:val="110"/>
                <w:sz w:val="11"/>
              </w:rPr>
              <w:t>Engage communities</w:t>
            </w:r>
          </w:p>
        </w:tc>
      </w:tr>
    </w:tbl>
    <w:p w14:paraId="06A3D90E" w14:textId="77777777" w:rsidR="009948F1" w:rsidRDefault="009948F1">
      <w:pPr>
        <w:rPr>
          <w:sz w:val="11"/>
        </w:rPr>
        <w:sectPr w:rsidR="009948F1">
          <w:pgSz w:w="11910" w:h="16840"/>
          <w:pgMar w:top="1300" w:right="1080" w:bottom="1340" w:left="1120" w:header="0" w:footer="1155" w:gutter="0"/>
          <w:cols w:space="720"/>
        </w:sectPr>
      </w:pPr>
    </w:p>
    <w:tbl>
      <w:tblPr>
        <w:tblW w:w="0" w:type="auto"/>
        <w:tblInd w:w="17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6"/>
        <w:gridCol w:w="462"/>
        <w:gridCol w:w="534"/>
        <w:gridCol w:w="2552"/>
        <w:gridCol w:w="2423"/>
        <w:gridCol w:w="1450"/>
        <w:gridCol w:w="1530"/>
      </w:tblGrid>
      <w:tr w:rsidR="009948F1" w14:paraId="01BCB9D2" w14:textId="77777777">
        <w:trPr>
          <w:trHeight w:val="1139"/>
        </w:trPr>
        <w:tc>
          <w:tcPr>
            <w:tcW w:w="356" w:type="dxa"/>
            <w:tcBorders>
              <w:bottom w:val="nil"/>
              <w:right w:val="single" w:sz="6" w:space="0" w:color="231F20"/>
            </w:tcBorders>
          </w:tcPr>
          <w:p w14:paraId="56CA90A0" w14:textId="77777777" w:rsidR="009948F1" w:rsidRDefault="009948F1">
            <w:pPr>
              <w:pStyle w:val="TableParagraph"/>
              <w:rPr>
                <w:rFonts w:ascii="Times New Roman"/>
                <w:sz w:val="12"/>
              </w:rPr>
            </w:pPr>
          </w:p>
        </w:tc>
        <w:tc>
          <w:tcPr>
            <w:tcW w:w="462" w:type="dxa"/>
            <w:tcBorders>
              <w:left w:val="single" w:sz="6" w:space="0" w:color="231F20"/>
              <w:bottom w:val="single" w:sz="6" w:space="0" w:color="231F20"/>
              <w:right w:val="single" w:sz="6" w:space="0" w:color="231F20"/>
            </w:tcBorders>
            <w:shd w:val="clear" w:color="auto" w:fill="CCE7D3"/>
          </w:tcPr>
          <w:p w14:paraId="341B4037" w14:textId="77777777" w:rsidR="009948F1" w:rsidRDefault="009948F1">
            <w:pPr>
              <w:pStyle w:val="TableParagraph"/>
              <w:rPr>
                <w:sz w:val="12"/>
              </w:rPr>
            </w:pPr>
          </w:p>
          <w:p w14:paraId="147B3BA6" w14:textId="77777777" w:rsidR="009948F1" w:rsidRDefault="009948F1">
            <w:pPr>
              <w:pStyle w:val="TableParagraph"/>
              <w:rPr>
                <w:sz w:val="12"/>
              </w:rPr>
            </w:pPr>
          </w:p>
          <w:p w14:paraId="56AC1596" w14:textId="77777777" w:rsidR="009948F1" w:rsidRDefault="009948F1">
            <w:pPr>
              <w:pStyle w:val="TableParagraph"/>
              <w:rPr>
                <w:sz w:val="12"/>
              </w:rPr>
            </w:pPr>
          </w:p>
          <w:p w14:paraId="22C503DF" w14:textId="77777777" w:rsidR="009948F1" w:rsidRDefault="00BC0563">
            <w:pPr>
              <w:pStyle w:val="TableParagraph"/>
              <w:spacing w:before="82"/>
              <w:ind w:left="58"/>
              <w:rPr>
                <w:sz w:val="12"/>
              </w:rPr>
            </w:pPr>
            <w:bookmarkStart w:id="199" w:name="Page_173"/>
            <w:bookmarkEnd w:id="199"/>
            <w:r>
              <w:rPr>
                <w:color w:val="231F20"/>
                <w:sz w:val="12"/>
              </w:rPr>
              <w:t>15.3.2</w:t>
            </w:r>
          </w:p>
        </w:tc>
        <w:tc>
          <w:tcPr>
            <w:tcW w:w="3086" w:type="dxa"/>
            <w:gridSpan w:val="2"/>
            <w:tcBorders>
              <w:left w:val="single" w:sz="6" w:space="0" w:color="231F20"/>
              <w:bottom w:val="single" w:sz="6" w:space="0" w:color="231F20"/>
              <w:right w:val="single" w:sz="6" w:space="0" w:color="231F20"/>
            </w:tcBorders>
            <w:shd w:val="clear" w:color="auto" w:fill="CCE7D3"/>
          </w:tcPr>
          <w:p w14:paraId="7B323675" w14:textId="77777777" w:rsidR="009948F1" w:rsidRDefault="009948F1">
            <w:pPr>
              <w:pStyle w:val="TableParagraph"/>
              <w:rPr>
                <w:sz w:val="12"/>
              </w:rPr>
            </w:pPr>
          </w:p>
          <w:p w14:paraId="50602C66" w14:textId="77777777" w:rsidR="009948F1" w:rsidRDefault="009948F1">
            <w:pPr>
              <w:pStyle w:val="TableParagraph"/>
              <w:rPr>
                <w:sz w:val="12"/>
              </w:rPr>
            </w:pPr>
          </w:p>
          <w:p w14:paraId="149435AD" w14:textId="77777777" w:rsidR="009948F1" w:rsidRDefault="009948F1">
            <w:pPr>
              <w:pStyle w:val="TableParagraph"/>
              <w:spacing w:before="1"/>
              <w:rPr>
                <w:sz w:val="12"/>
              </w:rPr>
            </w:pPr>
          </w:p>
          <w:p w14:paraId="14DBE18D" w14:textId="77777777" w:rsidR="009948F1" w:rsidRDefault="00BC0563">
            <w:pPr>
              <w:pStyle w:val="TableParagraph"/>
              <w:spacing w:line="264" w:lineRule="auto"/>
              <w:ind w:left="25" w:firstLine="33"/>
              <w:rPr>
                <w:sz w:val="12"/>
              </w:rPr>
            </w:pPr>
            <w:r>
              <w:rPr>
                <w:color w:val="231F20"/>
                <w:sz w:val="12"/>
              </w:rPr>
              <w:t>Strengthen Laws and regulations for the implementation of the NHIS</w:t>
            </w:r>
          </w:p>
        </w:tc>
        <w:tc>
          <w:tcPr>
            <w:tcW w:w="2423" w:type="dxa"/>
            <w:tcBorders>
              <w:left w:val="single" w:sz="6" w:space="0" w:color="231F20"/>
              <w:bottom w:val="single" w:sz="6" w:space="0" w:color="231F20"/>
              <w:right w:val="single" w:sz="6" w:space="0" w:color="231F20"/>
            </w:tcBorders>
            <w:shd w:val="clear" w:color="auto" w:fill="CCE7D3"/>
          </w:tcPr>
          <w:p w14:paraId="52689E6F" w14:textId="77777777" w:rsidR="009948F1" w:rsidRDefault="00BC0563">
            <w:pPr>
              <w:pStyle w:val="TableParagraph"/>
              <w:spacing w:before="42" w:line="264" w:lineRule="auto"/>
              <w:ind w:left="27" w:right="99"/>
              <w:rPr>
                <w:sz w:val="12"/>
              </w:rPr>
            </w:pPr>
            <w:r>
              <w:rPr>
                <w:color w:val="231F20"/>
                <w:sz w:val="12"/>
              </w:rPr>
              <w:t>•Advocacy to the Executive Governor / House of Assembly to facilitate passage of RIVCHPP bill done</w:t>
            </w:r>
          </w:p>
          <w:p w14:paraId="1292FBB8" w14:textId="77777777" w:rsidR="009948F1" w:rsidRDefault="00BC0563">
            <w:pPr>
              <w:pStyle w:val="TableParagraph"/>
              <w:numPr>
                <w:ilvl w:val="0"/>
                <w:numId w:val="7"/>
              </w:numPr>
              <w:tabs>
                <w:tab w:val="left" w:pos="104"/>
              </w:tabs>
              <w:spacing w:line="264" w:lineRule="auto"/>
              <w:ind w:right="222" w:firstLine="0"/>
              <w:rPr>
                <w:sz w:val="12"/>
              </w:rPr>
            </w:pPr>
            <w:r>
              <w:rPr>
                <w:color w:val="231F20"/>
                <w:sz w:val="12"/>
              </w:rPr>
              <w:t>BMHB package, operational guidelines and SOPs developed</w:t>
            </w:r>
          </w:p>
          <w:p w14:paraId="2BCF6AD5" w14:textId="77777777" w:rsidR="009948F1" w:rsidRDefault="00BC0563">
            <w:pPr>
              <w:pStyle w:val="TableParagraph"/>
              <w:numPr>
                <w:ilvl w:val="0"/>
                <w:numId w:val="7"/>
              </w:numPr>
              <w:tabs>
                <w:tab w:val="left" w:pos="97"/>
              </w:tabs>
              <w:spacing w:line="264" w:lineRule="auto"/>
              <w:ind w:right="256" w:firstLine="0"/>
              <w:rPr>
                <w:sz w:val="12"/>
              </w:rPr>
            </w:pPr>
            <w:r>
              <w:rPr>
                <w:color w:val="231F20"/>
                <w:sz w:val="12"/>
              </w:rPr>
              <w:t>Advocacy for laws to establish/enforce SHIS done</w:t>
            </w:r>
          </w:p>
        </w:tc>
        <w:tc>
          <w:tcPr>
            <w:tcW w:w="1450" w:type="dxa"/>
            <w:tcBorders>
              <w:left w:val="single" w:sz="6" w:space="0" w:color="231F20"/>
              <w:bottom w:val="single" w:sz="6" w:space="0" w:color="231F20"/>
              <w:right w:val="single" w:sz="6" w:space="0" w:color="231F20"/>
            </w:tcBorders>
            <w:shd w:val="clear" w:color="auto" w:fill="CCE7D3"/>
          </w:tcPr>
          <w:p w14:paraId="4F422E91" w14:textId="77777777" w:rsidR="009948F1" w:rsidRDefault="009948F1">
            <w:pPr>
              <w:pStyle w:val="TableParagraph"/>
              <w:rPr>
                <w:rFonts w:ascii="Times New Roman"/>
                <w:sz w:val="12"/>
              </w:rPr>
            </w:pPr>
          </w:p>
        </w:tc>
        <w:tc>
          <w:tcPr>
            <w:tcW w:w="1530" w:type="dxa"/>
            <w:tcBorders>
              <w:left w:val="single" w:sz="6" w:space="0" w:color="231F20"/>
              <w:bottom w:val="single" w:sz="6" w:space="0" w:color="231F20"/>
              <w:right w:val="single" w:sz="6" w:space="0" w:color="231F20"/>
            </w:tcBorders>
            <w:shd w:val="clear" w:color="auto" w:fill="CCE7D3"/>
          </w:tcPr>
          <w:p w14:paraId="39014B91" w14:textId="77777777" w:rsidR="009948F1" w:rsidRDefault="009948F1">
            <w:pPr>
              <w:pStyle w:val="TableParagraph"/>
              <w:rPr>
                <w:rFonts w:ascii="Times New Roman"/>
                <w:sz w:val="12"/>
              </w:rPr>
            </w:pPr>
          </w:p>
        </w:tc>
      </w:tr>
      <w:tr w:rsidR="009948F1" w14:paraId="57984BD9" w14:textId="77777777">
        <w:trPr>
          <w:trHeight w:val="461"/>
        </w:trPr>
        <w:tc>
          <w:tcPr>
            <w:tcW w:w="818" w:type="dxa"/>
            <w:gridSpan w:val="2"/>
            <w:vMerge w:val="restart"/>
            <w:tcBorders>
              <w:top w:val="nil"/>
              <w:bottom w:val="nil"/>
              <w:right w:val="single" w:sz="6" w:space="0" w:color="231F20"/>
            </w:tcBorders>
          </w:tcPr>
          <w:p w14:paraId="40314CFC"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3E633305" w14:textId="77777777" w:rsidR="009948F1" w:rsidRDefault="009948F1">
            <w:pPr>
              <w:pStyle w:val="TableParagraph"/>
              <w:spacing w:before="7"/>
              <w:rPr>
                <w:sz w:val="13"/>
              </w:rPr>
            </w:pPr>
          </w:p>
          <w:p w14:paraId="7EA91EA1" w14:textId="77777777" w:rsidR="009948F1" w:rsidRDefault="00BC0563">
            <w:pPr>
              <w:pStyle w:val="TableParagraph"/>
              <w:ind w:left="33" w:right="12"/>
              <w:jc w:val="center"/>
              <w:rPr>
                <w:sz w:val="12"/>
              </w:rPr>
            </w:pPr>
            <w:r>
              <w:rPr>
                <w:color w:val="231F20"/>
                <w:sz w:val="12"/>
              </w:rPr>
              <w:t>15.3.2.a</w:t>
            </w:r>
          </w:p>
        </w:tc>
        <w:tc>
          <w:tcPr>
            <w:tcW w:w="4975" w:type="dxa"/>
            <w:gridSpan w:val="2"/>
            <w:tcBorders>
              <w:top w:val="single" w:sz="6" w:space="0" w:color="231F20"/>
              <w:left w:val="single" w:sz="6" w:space="0" w:color="231F20"/>
              <w:bottom w:val="single" w:sz="6" w:space="0" w:color="231F20"/>
              <w:right w:val="single" w:sz="6" w:space="0" w:color="231F20"/>
            </w:tcBorders>
          </w:tcPr>
          <w:p w14:paraId="39090232" w14:textId="706EE385" w:rsidR="009948F1" w:rsidRDefault="00BC0563">
            <w:pPr>
              <w:pStyle w:val="TableParagraph"/>
              <w:spacing w:before="75" w:line="264" w:lineRule="auto"/>
              <w:ind w:left="26" w:right="83"/>
              <w:rPr>
                <w:sz w:val="12"/>
              </w:rPr>
            </w:pPr>
            <w:r>
              <w:rPr>
                <w:color w:val="231F20"/>
                <w:sz w:val="12"/>
              </w:rPr>
              <w:t xml:space="preserve">Advocacy to the Executive Governor / House of Assembly to facilitate passage of Rivers </w:t>
            </w:r>
            <w:r w:rsidR="002049E3">
              <w:rPr>
                <w:color w:val="231F20"/>
                <w:sz w:val="12"/>
              </w:rPr>
              <w:t>State</w:t>
            </w:r>
            <w:r>
              <w:rPr>
                <w:color w:val="231F20"/>
                <w:sz w:val="12"/>
              </w:rPr>
              <w:t xml:space="preserve"> Contributory Health Protection </w:t>
            </w:r>
            <w:proofErr w:type="spellStart"/>
            <w:r>
              <w:rPr>
                <w:color w:val="231F20"/>
                <w:sz w:val="12"/>
              </w:rPr>
              <w:t>Programme</w:t>
            </w:r>
            <w:proofErr w:type="spellEnd"/>
            <w:r>
              <w:rPr>
                <w:color w:val="231F20"/>
                <w:sz w:val="12"/>
              </w:rPr>
              <w:t xml:space="preserve"> (RIVCHPP) bill</w:t>
            </w:r>
          </w:p>
        </w:tc>
        <w:tc>
          <w:tcPr>
            <w:tcW w:w="1450" w:type="dxa"/>
            <w:tcBorders>
              <w:top w:val="single" w:sz="6" w:space="0" w:color="231F20"/>
              <w:left w:val="single" w:sz="6" w:space="0" w:color="231F20"/>
              <w:bottom w:val="single" w:sz="6" w:space="0" w:color="231F20"/>
              <w:right w:val="single" w:sz="6" w:space="0" w:color="231F20"/>
            </w:tcBorders>
          </w:tcPr>
          <w:p w14:paraId="29A60DCF" w14:textId="77777777" w:rsidR="009948F1" w:rsidRDefault="009948F1">
            <w:pPr>
              <w:pStyle w:val="TableParagraph"/>
              <w:spacing w:before="7"/>
              <w:rPr>
                <w:sz w:val="13"/>
              </w:rPr>
            </w:pPr>
          </w:p>
          <w:p w14:paraId="626C8947" w14:textId="77777777" w:rsidR="009948F1" w:rsidRDefault="00BC0563">
            <w:pPr>
              <w:pStyle w:val="TableParagraph"/>
              <w:ind w:left="28"/>
              <w:rPr>
                <w:sz w:val="12"/>
              </w:rPr>
            </w:pPr>
            <w:r>
              <w:rPr>
                <w:color w:val="231F20"/>
                <w:sz w:val="12"/>
              </w:rPr>
              <w:t>Lack of Political Will</w:t>
            </w:r>
          </w:p>
        </w:tc>
        <w:tc>
          <w:tcPr>
            <w:tcW w:w="1530" w:type="dxa"/>
            <w:tcBorders>
              <w:top w:val="single" w:sz="6" w:space="0" w:color="231F20"/>
              <w:left w:val="single" w:sz="6" w:space="0" w:color="231F20"/>
              <w:bottom w:val="single" w:sz="6" w:space="0" w:color="231F20"/>
              <w:right w:val="single" w:sz="6" w:space="0" w:color="231F20"/>
            </w:tcBorders>
          </w:tcPr>
          <w:p w14:paraId="78DB42C7" w14:textId="77777777" w:rsidR="009948F1" w:rsidRDefault="009948F1">
            <w:pPr>
              <w:pStyle w:val="TableParagraph"/>
              <w:spacing w:before="7"/>
              <w:rPr>
                <w:sz w:val="13"/>
              </w:rPr>
            </w:pPr>
          </w:p>
          <w:p w14:paraId="0E9DD245" w14:textId="77777777" w:rsidR="009948F1" w:rsidRDefault="00BC0563">
            <w:pPr>
              <w:pStyle w:val="TableParagraph"/>
              <w:ind w:left="29"/>
              <w:rPr>
                <w:sz w:val="12"/>
              </w:rPr>
            </w:pPr>
            <w:r>
              <w:rPr>
                <w:color w:val="231F20"/>
                <w:sz w:val="12"/>
              </w:rPr>
              <w:t>No cost</w:t>
            </w:r>
          </w:p>
        </w:tc>
      </w:tr>
      <w:tr w:rsidR="009948F1" w14:paraId="2EA19423" w14:textId="77777777">
        <w:trPr>
          <w:trHeight w:val="542"/>
        </w:trPr>
        <w:tc>
          <w:tcPr>
            <w:tcW w:w="818" w:type="dxa"/>
            <w:gridSpan w:val="2"/>
            <w:vMerge/>
            <w:tcBorders>
              <w:top w:val="nil"/>
              <w:bottom w:val="nil"/>
              <w:right w:val="single" w:sz="6" w:space="0" w:color="231F20"/>
            </w:tcBorders>
          </w:tcPr>
          <w:p w14:paraId="08A2B92C"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65A691B1" w14:textId="77777777" w:rsidR="009948F1" w:rsidRDefault="009948F1">
            <w:pPr>
              <w:pStyle w:val="TableParagraph"/>
              <w:spacing w:before="1"/>
              <w:rPr>
                <w:sz w:val="17"/>
              </w:rPr>
            </w:pPr>
          </w:p>
          <w:p w14:paraId="423022CB" w14:textId="77777777" w:rsidR="009948F1" w:rsidRDefault="00BC0563">
            <w:pPr>
              <w:pStyle w:val="TableParagraph"/>
              <w:spacing w:before="1"/>
              <w:ind w:left="33" w:right="12"/>
              <w:jc w:val="center"/>
              <w:rPr>
                <w:sz w:val="12"/>
              </w:rPr>
            </w:pPr>
            <w:r>
              <w:rPr>
                <w:color w:val="231F20"/>
                <w:sz w:val="12"/>
              </w:rPr>
              <w:t>15.3.2.b</w:t>
            </w:r>
          </w:p>
        </w:tc>
        <w:tc>
          <w:tcPr>
            <w:tcW w:w="4975" w:type="dxa"/>
            <w:gridSpan w:val="2"/>
            <w:tcBorders>
              <w:top w:val="single" w:sz="6" w:space="0" w:color="231F20"/>
              <w:left w:val="single" w:sz="6" w:space="0" w:color="231F20"/>
              <w:bottom w:val="single" w:sz="6" w:space="0" w:color="231F20"/>
              <w:right w:val="single" w:sz="6" w:space="0" w:color="231F20"/>
            </w:tcBorders>
          </w:tcPr>
          <w:p w14:paraId="4BB3AA60" w14:textId="77777777" w:rsidR="009948F1" w:rsidRDefault="009948F1">
            <w:pPr>
              <w:pStyle w:val="TableParagraph"/>
              <w:spacing w:before="8"/>
              <w:rPr>
                <w:sz w:val="16"/>
              </w:rPr>
            </w:pPr>
          </w:p>
          <w:p w14:paraId="469BFC8B" w14:textId="0CD6726C" w:rsidR="009948F1" w:rsidRDefault="00BC0563">
            <w:pPr>
              <w:pStyle w:val="TableParagraph"/>
              <w:ind w:left="26"/>
              <w:rPr>
                <w:sz w:val="12"/>
              </w:rPr>
            </w:pPr>
            <w:r>
              <w:rPr>
                <w:color w:val="231F20"/>
                <w:sz w:val="12"/>
              </w:rPr>
              <w:t>Develop memo for public heari</w:t>
            </w:r>
            <w:r w:rsidR="00683F0D">
              <w:rPr>
                <w:color w:val="231F20"/>
                <w:sz w:val="12"/>
              </w:rPr>
              <w:t>ng and passage of RIVCHPP bill.</w:t>
            </w:r>
          </w:p>
        </w:tc>
        <w:tc>
          <w:tcPr>
            <w:tcW w:w="1450" w:type="dxa"/>
            <w:tcBorders>
              <w:top w:val="single" w:sz="6" w:space="0" w:color="231F20"/>
              <w:left w:val="single" w:sz="6" w:space="0" w:color="231F20"/>
              <w:bottom w:val="single" w:sz="6" w:space="0" w:color="231F20"/>
              <w:right w:val="single" w:sz="6" w:space="0" w:color="231F20"/>
            </w:tcBorders>
          </w:tcPr>
          <w:p w14:paraId="693427E7" w14:textId="77777777" w:rsidR="009948F1" w:rsidRDefault="009948F1">
            <w:pPr>
              <w:pStyle w:val="TableParagraph"/>
              <w:spacing w:before="1"/>
              <w:rPr>
                <w:sz w:val="17"/>
              </w:rPr>
            </w:pPr>
          </w:p>
          <w:p w14:paraId="10EBA6BB" w14:textId="77777777" w:rsidR="009948F1" w:rsidRDefault="00BC0563">
            <w:pPr>
              <w:pStyle w:val="TableParagraph"/>
              <w:spacing w:before="1"/>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3B68174B" w14:textId="77777777" w:rsidR="009948F1" w:rsidRDefault="009948F1">
            <w:pPr>
              <w:pStyle w:val="TableParagraph"/>
              <w:spacing w:before="1"/>
              <w:rPr>
                <w:sz w:val="17"/>
              </w:rPr>
            </w:pPr>
          </w:p>
          <w:p w14:paraId="23527D67" w14:textId="77777777" w:rsidR="009948F1" w:rsidRDefault="00BC0563">
            <w:pPr>
              <w:pStyle w:val="TableParagraph"/>
              <w:spacing w:before="1"/>
              <w:ind w:left="29"/>
              <w:rPr>
                <w:sz w:val="12"/>
              </w:rPr>
            </w:pPr>
            <w:r>
              <w:rPr>
                <w:color w:val="231F20"/>
                <w:sz w:val="12"/>
              </w:rPr>
              <w:t>Develop memo</w:t>
            </w:r>
          </w:p>
        </w:tc>
      </w:tr>
      <w:tr w:rsidR="009948F1" w14:paraId="4CF0164D" w14:textId="77777777">
        <w:trPr>
          <w:trHeight w:val="490"/>
        </w:trPr>
        <w:tc>
          <w:tcPr>
            <w:tcW w:w="818" w:type="dxa"/>
            <w:gridSpan w:val="2"/>
            <w:vMerge/>
            <w:tcBorders>
              <w:top w:val="nil"/>
              <w:bottom w:val="nil"/>
              <w:right w:val="single" w:sz="6" w:space="0" w:color="231F20"/>
            </w:tcBorders>
          </w:tcPr>
          <w:p w14:paraId="07BCD3A4"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720FF4A5" w14:textId="77777777" w:rsidR="009948F1" w:rsidRDefault="009948F1">
            <w:pPr>
              <w:pStyle w:val="TableParagraph"/>
              <w:spacing w:before="10"/>
              <w:rPr>
                <w:sz w:val="14"/>
              </w:rPr>
            </w:pPr>
          </w:p>
          <w:p w14:paraId="69295560" w14:textId="77777777" w:rsidR="009948F1" w:rsidRDefault="00BC0563">
            <w:pPr>
              <w:pStyle w:val="TableParagraph"/>
              <w:ind w:left="33" w:right="11"/>
              <w:jc w:val="center"/>
              <w:rPr>
                <w:sz w:val="12"/>
              </w:rPr>
            </w:pPr>
            <w:r>
              <w:rPr>
                <w:color w:val="231F20"/>
                <w:sz w:val="12"/>
              </w:rPr>
              <w:t>15.3.2.c</w:t>
            </w:r>
          </w:p>
        </w:tc>
        <w:tc>
          <w:tcPr>
            <w:tcW w:w="4975" w:type="dxa"/>
            <w:gridSpan w:val="2"/>
            <w:tcBorders>
              <w:top w:val="single" w:sz="6" w:space="0" w:color="231F20"/>
              <w:left w:val="single" w:sz="6" w:space="0" w:color="231F20"/>
              <w:bottom w:val="single" w:sz="6" w:space="0" w:color="231F20"/>
              <w:right w:val="single" w:sz="6" w:space="0" w:color="231F20"/>
            </w:tcBorders>
          </w:tcPr>
          <w:p w14:paraId="71BD3264" w14:textId="77777777" w:rsidR="009948F1" w:rsidRDefault="00BC0563">
            <w:pPr>
              <w:pStyle w:val="TableParagraph"/>
              <w:spacing w:before="90" w:line="264" w:lineRule="auto"/>
              <w:ind w:left="26" w:right="224"/>
              <w:rPr>
                <w:sz w:val="12"/>
              </w:rPr>
            </w:pPr>
            <w:r>
              <w:rPr>
                <w:color w:val="231F20"/>
                <w:sz w:val="12"/>
              </w:rPr>
              <w:t>Development of Basic Minimum Health Benefit (BMHB) package, operational guidelines and SOPs</w:t>
            </w:r>
          </w:p>
        </w:tc>
        <w:tc>
          <w:tcPr>
            <w:tcW w:w="1450" w:type="dxa"/>
            <w:tcBorders>
              <w:top w:val="single" w:sz="6" w:space="0" w:color="231F20"/>
              <w:left w:val="single" w:sz="6" w:space="0" w:color="231F20"/>
              <w:bottom w:val="single" w:sz="6" w:space="0" w:color="231F20"/>
              <w:right w:val="single" w:sz="6" w:space="0" w:color="231F20"/>
            </w:tcBorders>
          </w:tcPr>
          <w:p w14:paraId="02432376" w14:textId="77777777" w:rsidR="009948F1" w:rsidRDefault="009948F1">
            <w:pPr>
              <w:pStyle w:val="TableParagraph"/>
              <w:spacing w:before="10"/>
              <w:rPr>
                <w:sz w:val="14"/>
              </w:rPr>
            </w:pPr>
          </w:p>
          <w:p w14:paraId="64B42687"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6E36FFE1" w14:textId="77777777" w:rsidR="009948F1" w:rsidRDefault="009948F1">
            <w:pPr>
              <w:pStyle w:val="TableParagraph"/>
              <w:spacing w:before="10"/>
              <w:rPr>
                <w:sz w:val="14"/>
              </w:rPr>
            </w:pPr>
          </w:p>
          <w:p w14:paraId="4F034EBA" w14:textId="77777777" w:rsidR="009948F1" w:rsidRDefault="00BC0563">
            <w:pPr>
              <w:pStyle w:val="TableParagraph"/>
              <w:ind w:left="29"/>
              <w:rPr>
                <w:sz w:val="12"/>
              </w:rPr>
            </w:pPr>
            <w:r>
              <w:rPr>
                <w:color w:val="231F20"/>
                <w:sz w:val="12"/>
              </w:rPr>
              <w:t>Costed in 15.1.3b</w:t>
            </w:r>
          </w:p>
        </w:tc>
      </w:tr>
      <w:tr w:rsidR="009948F1" w14:paraId="4BD8CD4A" w14:textId="77777777">
        <w:trPr>
          <w:trHeight w:val="646"/>
        </w:trPr>
        <w:tc>
          <w:tcPr>
            <w:tcW w:w="818" w:type="dxa"/>
            <w:gridSpan w:val="2"/>
            <w:vMerge/>
            <w:tcBorders>
              <w:top w:val="nil"/>
              <w:bottom w:val="nil"/>
              <w:right w:val="single" w:sz="6" w:space="0" w:color="231F20"/>
            </w:tcBorders>
          </w:tcPr>
          <w:p w14:paraId="319474EB"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27563942" w14:textId="77777777" w:rsidR="009948F1" w:rsidRDefault="009948F1">
            <w:pPr>
              <w:pStyle w:val="TableParagraph"/>
              <w:rPr>
                <w:sz w:val="12"/>
              </w:rPr>
            </w:pPr>
          </w:p>
          <w:p w14:paraId="31DF634E" w14:textId="77777777" w:rsidR="009948F1" w:rsidRDefault="009948F1">
            <w:pPr>
              <w:pStyle w:val="TableParagraph"/>
              <w:spacing w:before="7"/>
              <w:rPr>
                <w:sz w:val="9"/>
              </w:rPr>
            </w:pPr>
          </w:p>
          <w:p w14:paraId="61F1885E" w14:textId="77777777" w:rsidR="009948F1" w:rsidRDefault="00BC0563">
            <w:pPr>
              <w:pStyle w:val="TableParagraph"/>
              <w:ind w:left="33" w:right="12"/>
              <w:jc w:val="center"/>
              <w:rPr>
                <w:sz w:val="12"/>
              </w:rPr>
            </w:pPr>
            <w:r>
              <w:rPr>
                <w:color w:val="231F20"/>
                <w:sz w:val="12"/>
              </w:rPr>
              <w:t>15.3.2.d</w:t>
            </w:r>
          </w:p>
        </w:tc>
        <w:tc>
          <w:tcPr>
            <w:tcW w:w="4975" w:type="dxa"/>
            <w:gridSpan w:val="2"/>
            <w:tcBorders>
              <w:top w:val="single" w:sz="6" w:space="0" w:color="231F20"/>
              <w:left w:val="single" w:sz="6" w:space="0" w:color="231F20"/>
              <w:bottom w:val="single" w:sz="6" w:space="0" w:color="231F20"/>
              <w:right w:val="single" w:sz="6" w:space="0" w:color="231F20"/>
            </w:tcBorders>
          </w:tcPr>
          <w:p w14:paraId="0A09609C" w14:textId="77777777" w:rsidR="009948F1" w:rsidRDefault="009948F1">
            <w:pPr>
              <w:pStyle w:val="TableParagraph"/>
              <w:rPr>
                <w:sz w:val="12"/>
              </w:rPr>
            </w:pPr>
          </w:p>
          <w:p w14:paraId="24CBE7B6" w14:textId="77777777" w:rsidR="009948F1" w:rsidRDefault="00BC0563">
            <w:pPr>
              <w:pStyle w:val="TableParagraph"/>
              <w:spacing w:before="106"/>
              <w:ind w:left="26"/>
              <w:rPr>
                <w:sz w:val="12"/>
              </w:rPr>
            </w:pPr>
            <w:r>
              <w:rPr>
                <w:color w:val="231F20"/>
                <w:sz w:val="12"/>
              </w:rPr>
              <w:t>Develop Framework for consolidation of fund pools at state levels</w:t>
            </w:r>
          </w:p>
        </w:tc>
        <w:tc>
          <w:tcPr>
            <w:tcW w:w="1450" w:type="dxa"/>
            <w:tcBorders>
              <w:top w:val="single" w:sz="6" w:space="0" w:color="231F20"/>
              <w:left w:val="single" w:sz="6" w:space="0" w:color="231F20"/>
              <w:bottom w:val="single" w:sz="6" w:space="0" w:color="231F20"/>
              <w:right w:val="single" w:sz="6" w:space="0" w:color="231F20"/>
            </w:tcBorders>
          </w:tcPr>
          <w:p w14:paraId="3D84FCF2" w14:textId="77777777" w:rsidR="009948F1" w:rsidRDefault="009948F1">
            <w:pPr>
              <w:pStyle w:val="TableParagraph"/>
              <w:rPr>
                <w:sz w:val="12"/>
              </w:rPr>
            </w:pPr>
          </w:p>
          <w:p w14:paraId="31E8A2DC" w14:textId="77777777" w:rsidR="009948F1" w:rsidRDefault="009948F1">
            <w:pPr>
              <w:pStyle w:val="TableParagraph"/>
              <w:spacing w:before="7"/>
              <w:rPr>
                <w:sz w:val="9"/>
              </w:rPr>
            </w:pPr>
          </w:p>
          <w:p w14:paraId="44BCAEAF"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15864479" w14:textId="77777777" w:rsidR="009948F1" w:rsidRDefault="009948F1">
            <w:pPr>
              <w:pStyle w:val="TableParagraph"/>
              <w:rPr>
                <w:sz w:val="12"/>
              </w:rPr>
            </w:pPr>
          </w:p>
          <w:p w14:paraId="5AFD81B7" w14:textId="77777777" w:rsidR="009948F1" w:rsidRDefault="009948F1">
            <w:pPr>
              <w:pStyle w:val="TableParagraph"/>
              <w:spacing w:before="7"/>
              <w:rPr>
                <w:sz w:val="9"/>
              </w:rPr>
            </w:pPr>
          </w:p>
          <w:p w14:paraId="4A662651" w14:textId="77777777" w:rsidR="009948F1" w:rsidRDefault="00BC0563">
            <w:pPr>
              <w:pStyle w:val="TableParagraph"/>
              <w:ind w:left="29"/>
              <w:rPr>
                <w:sz w:val="12"/>
              </w:rPr>
            </w:pPr>
            <w:r>
              <w:rPr>
                <w:color w:val="231F20"/>
                <w:sz w:val="12"/>
              </w:rPr>
              <w:t>No cost</w:t>
            </w:r>
          </w:p>
        </w:tc>
      </w:tr>
      <w:tr w:rsidR="009948F1" w14:paraId="0AC76597" w14:textId="77777777">
        <w:trPr>
          <w:trHeight w:val="438"/>
        </w:trPr>
        <w:tc>
          <w:tcPr>
            <w:tcW w:w="818" w:type="dxa"/>
            <w:gridSpan w:val="2"/>
            <w:vMerge/>
            <w:tcBorders>
              <w:top w:val="nil"/>
              <w:bottom w:val="nil"/>
              <w:right w:val="single" w:sz="6" w:space="0" w:color="231F20"/>
            </w:tcBorders>
          </w:tcPr>
          <w:p w14:paraId="57485DE2"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0E468451" w14:textId="77777777" w:rsidR="009948F1" w:rsidRDefault="009948F1">
            <w:pPr>
              <w:pStyle w:val="TableParagraph"/>
              <w:spacing w:before="7"/>
              <w:rPr>
                <w:sz w:val="12"/>
              </w:rPr>
            </w:pPr>
          </w:p>
          <w:p w14:paraId="424EC967" w14:textId="77777777" w:rsidR="009948F1" w:rsidRDefault="00BC0563">
            <w:pPr>
              <w:pStyle w:val="TableParagraph"/>
              <w:ind w:left="33" w:right="12"/>
              <w:jc w:val="center"/>
              <w:rPr>
                <w:sz w:val="12"/>
              </w:rPr>
            </w:pPr>
            <w:r>
              <w:rPr>
                <w:color w:val="231F20"/>
                <w:sz w:val="12"/>
              </w:rPr>
              <w:t>15.3.2.e</w:t>
            </w:r>
          </w:p>
        </w:tc>
        <w:tc>
          <w:tcPr>
            <w:tcW w:w="4975" w:type="dxa"/>
            <w:gridSpan w:val="2"/>
            <w:tcBorders>
              <w:top w:val="single" w:sz="6" w:space="0" w:color="231F20"/>
              <w:left w:val="single" w:sz="6" w:space="0" w:color="231F20"/>
              <w:bottom w:val="single" w:sz="6" w:space="0" w:color="231F20"/>
              <w:right w:val="single" w:sz="6" w:space="0" w:color="231F20"/>
            </w:tcBorders>
          </w:tcPr>
          <w:p w14:paraId="6391542D" w14:textId="77777777" w:rsidR="009948F1" w:rsidRDefault="00BC0563">
            <w:pPr>
              <w:pStyle w:val="TableParagraph"/>
              <w:spacing w:before="64" w:line="264" w:lineRule="auto"/>
              <w:ind w:left="26" w:right="83"/>
              <w:rPr>
                <w:sz w:val="12"/>
              </w:rPr>
            </w:pPr>
            <w:r>
              <w:rPr>
                <w:color w:val="231F20"/>
                <w:sz w:val="12"/>
              </w:rPr>
              <w:t>Conduct advocacy for laws to establish/enforce SHIS and scale up Community Health Insurance Scheme in Primary/Secondary Health Facilities across the State.</w:t>
            </w:r>
          </w:p>
        </w:tc>
        <w:tc>
          <w:tcPr>
            <w:tcW w:w="1450" w:type="dxa"/>
            <w:tcBorders>
              <w:top w:val="single" w:sz="6" w:space="0" w:color="231F20"/>
              <w:left w:val="single" w:sz="6" w:space="0" w:color="231F20"/>
              <w:bottom w:val="single" w:sz="6" w:space="0" w:color="231F20"/>
              <w:right w:val="single" w:sz="6" w:space="0" w:color="231F20"/>
            </w:tcBorders>
          </w:tcPr>
          <w:p w14:paraId="5957216E" w14:textId="77777777" w:rsidR="009948F1" w:rsidRDefault="009948F1">
            <w:pPr>
              <w:pStyle w:val="TableParagraph"/>
              <w:spacing w:before="7"/>
              <w:rPr>
                <w:sz w:val="12"/>
              </w:rPr>
            </w:pPr>
          </w:p>
          <w:p w14:paraId="7EAA660E"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6A1A12E8" w14:textId="77777777" w:rsidR="009948F1" w:rsidRDefault="009948F1">
            <w:pPr>
              <w:pStyle w:val="TableParagraph"/>
              <w:spacing w:before="7"/>
              <w:rPr>
                <w:sz w:val="12"/>
              </w:rPr>
            </w:pPr>
          </w:p>
          <w:p w14:paraId="055436CF" w14:textId="77777777" w:rsidR="009948F1" w:rsidRDefault="00BC0563">
            <w:pPr>
              <w:pStyle w:val="TableParagraph"/>
              <w:ind w:left="29"/>
              <w:rPr>
                <w:sz w:val="12"/>
              </w:rPr>
            </w:pPr>
            <w:r>
              <w:rPr>
                <w:color w:val="231F20"/>
                <w:sz w:val="12"/>
              </w:rPr>
              <w:t>No cost</w:t>
            </w:r>
          </w:p>
        </w:tc>
      </w:tr>
      <w:tr w:rsidR="009948F1" w14:paraId="5B281E13" w14:textId="77777777">
        <w:trPr>
          <w:trHeight w:val="1168"/>
        </w:trPr>
        <w:tc>
          <w:tcPr>
            <w:tcW w:w="356" w:type="dxa"/>
            <w:tcBorders>
              <w:top w:val="nil"/>
              <w:bottom w:val="nil"/>
              <w:right w:val="single" w:sz="6" w:space="0" w:color="231F20"/>
            </w:tcBorders>
          </w:tcPr>
          <w:p w14:paraId="1E9102C9"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3C24A3F3" w14:textId="77777777" w:rsidR="009948F1" w:rsidRDefault="009948F1">
            <w:pPr>
              <w:pStyle w:val="TableParagraph"/>
              <w:rPr>
                <w:sz w:val="12"/>
              </w:rPr>
            </w:pPr>
          </w:p>
          <w:p w14:paraId="64B26D54" w14:textId="77777777" w:rsidR="009948F1" w:rsidRDefault="009948F1">
            <w:pPr>
              <w:pStyle w:val="TableParagraph"/>
              <w:rPr>
                <w:sz w:val="12"/>
              </w:rPr>
            </w:pPr>
          </w:p>
          <w:p w14:paraId="2C19175E" w14:textId="77777777" w:rsidR="009948F1" w:rsidRDefault="009948F1">
            <w:pPr>
              <w:pStyle w:val="TableParagraph"/>
              <w:rPr>
                <w:sz w:val="12"/>
              </w:rPr>
            </w:pPr>
          </w:p>
          <w:p w14:paraId="59A2418C" w14:textId="77777777" w:rsidR="009948F1" w:rsidRDefault="00BC0563">
            <w:pPr>
              <w:pStyle w:val="TableParagraph"/>
              <w:spacing w:before="96"/>
              <w:ind w:left="58"/>
              <w:rPr>
                <w:sz w:val="12"/>
              </w:rPr>
            </w:pPr>
            <w:r>
              <w:rPr>
                <w:color w:val="231F20"/>
                <w:sz w:val="12"/>
              </w:rPr>
              <w:t>15.3.3</w:t>
            </w:r>
          </w:p>
        </w:tc>
        <w:tc>
          <w:tcPr>
            <w:tcW w:w="3086" w:type="dxa"/>
            <w:gridSpan w:val="2"/>
            <w:tcBorders>
              <w:top w:val="single" w:sz="6" w:space="0" w:color="231F20"/>
              <w:left w:val="single" w:sz="6" w:space="0" w:color="231F20"/>
              <w:bottom w:val="single" w:sz="6" w:space="0" w:color="231F20"/>
              <w:right w:val="single" w:sz="6" w:space="0" w:color="231F20"/>
            </w:tcBorders>
            <w:shd w:val="clear" w:color="auto" w:fill="CCE7D3"/>
          </w:tcPr>
          <w:p w14:paraId="40B96DE1" w14:textId="77777777" w:rsidR="009948F1" w:rsidRDefault="009948F1">
            <w:pPr>
              <w:pStyle w:val="TableParagraph"/>
              <w:rPr>
                <w:sz w:val="12"/>
              </w:rPr>
            </w:pPr>
          </w:p>
          <w:p w14:paraId="24B9184C" w14:textId="77777777" w:rsidR="009948F1" w:rsidRDefault="009948F1">
            <w:pPr>
              <w:pStyle w:val="TableParagraph"/>
              <w:rPr>
                <w:sz w:val="12"/>
              </w:rPr>
            </w:pPr>
          </w:p>
          <w:p w14:paraId="6BE5E0FE" w14:textId="77777777" w:rsidR="009948F1" w:rsidRDefault="009948F1">
            <w:pPr>
              <w:pStyle w:val="TableParagraph"/>
              <w:spacing w:before="4"/>
              <w:rPr>
                <w:sz w:val="13"/>
              </w:rPr>
            </w:pPr>
          </w:p>
          <w:p w14:paraId="6CF551C1" w14:textId="77777777" w:rsidR="009948F1" w:rsidRDefault="00BC0563">
            <w:pPr>
              <w:pStyle w:val="TableParagraph"/>
              <w:spacing w:line="264" w:lineRule="auto"/>
              <w:ind w:left="25" w:right="204" w:firstLine="33"/>
              <w:rPr>
                <w:sz w:val="12"/>
              </w:rPr>
            </w:pPr>
            <w:r>
              <w:rPr>
                <w:color w:val="231F20"/>
                <w:sz w:val="12"/>
              </w:rPr>
              <w:t>Strengthen technical capacity of health personnel on health insurance and contributory schemes</w:t>
            </w:r>
          </w:p>
        </w:tc>
        <w:tc>
          <w:tcPr>
            <w:tcW w:w="2423" w:type="dxa"/>
            <w:tcBorders>
              <w:top w:val="single" w:sz="6" w:space="0" w:color="231F20"/>
              <w:left w:val="single" w:sz="6" w:space="0" w:color="231F20"/>
              <w:bottom w:val="single" w:sz="6" w:space="0" w:color="231F20"/>
              <w:right w:val="single" w:sz="6" w:space="0" w:color="231F20"/>
            </w:tcBorders>
            <w:shd w:val="clear" w:color="auto" w:fill="CCE7D3"/>
          </w:tcPr>
          <w:p w14:paraId="1A4E3F18" w14:textId="77777777" w:rsidR="009948F1" w:rsidRDefault="009948F1">
            <w:pPr>
              <w:pStyle w:val="TableParagraph"/>
              <w:spacing w:before="5"/>
              <w:rPr>
                <w:sz w:val="11"/>
              </w:rPr>
            </w:pPr>
          </w:p>
          <w:p w14:paraId="46D73770" w14:textId="77777777" w:rsidR="009948F1" w:rsidRDefault="00BC0563">
            <w:pPr>
              <w:pStyle w:val="TableParagraph"/>
              <w:numPr>
                <w:ilvl w:val="0"/>
                <w:numId w:val="6"/>
              </w:numPr>
              <w:tabs>
                <w:tab w:val="left" w:pos="104"/>
              </w:tabs>
              <w:spacing w:line="264" w:lineRule="auto"/>
              <w:ind w:right="224" w:firstLine="0"/>
              <w:rPr>
                <w:sz w:val="12"/>
              </w:rPr>
            </w:pPr>
            <w:r>
              <w:rPr>
                <w:color w:val="231F20"/>
                <w:sz w:val="12"/>
              </w:rPr>
              <w:t xml:space="preserve">Staff trained on basic Health </w:t>
            </w:r>
            <w:r>
              <w:rPr>
                <w:color w:val="231F20"/>
                <w:spacing w:val="-3"/>
                <w:sz w:val="12"/>
              </w:rPr>
              <w:t xml:space="preserve">Insurance </w:t>
            </w:r>
            <w:r>
              <w:rPr>
                <w:color w:val="231F20"/>
                <w:sz w:val="12"/>
              </w:rPr>
              <w:t>strategy and principle</w:t>
            </w:r>
          </w:p>
          <w:p w14:paraId="4976949C" w14:textId="77777777" w:rsidR="009948F1" w:rsidRDefault="00BC0563">
            <w:pPr>
              <w:pStyle w:val="TableParagraph"/>
              <w:spacing w:line="264" w:lineRule="auto"/>
              <w:ind w:left="27" w:right="33"/>
              <w:rPr>
                <w:sz w:val="12"/>
              </w:rPr>
            </w:pPr>
            <w:r>
              <w:rPr>
                <w:color w:val="231F20"/>
                <w:sz w:val="12"/>
              </w:rPr>
              <w:t>•Health human resources in private and public health facilities trained &amp; re-trained on health insurance &amp; contributory</w:t>
            </w:r>
            <w:r>
              <w:rPr>
                <w:color w:val="231F20"/>
                <w:spacing w:val="21"/>
                <w:sz w:val="12"/>
              </w:rPr>
              <w:t xml:space="preserve"> </w:t>
            </w:r>
            <w:r>
              <w:rPr>
                <w:color w:val="231F20"/>
                <w:spacing w:val="-4"/>
                <w:sz w:val="12"/>
              </w:rPr>
              <w:t>schemes</w:t>
            </w:r>
          </w:p>
          <w:p w14:paraId="6530051A" w14:textId="77777777" w:rsidR="009948F1" w:rsidRDefault="00BC0563">
            <w:pPr>
              <w:pStyle w:val="TableParagraph"/>
              <w:spacing w:line="137" w:lineRule="exact"/>
              <w:ind w:left="27"/>
              <w:rPr>
                <w:sz w:val="12"/>
              </w:rPr>
            </w:pPr>
            <w:r>
              <w:rPr>
                <w:color w:val="231F20"/>
                <w:sz w:val="12"/>
              </w:rPr>
              <w:t>•</w:t>
            </w:r>
          </w:p>
        </w:tc>
        <w:tc>
          <w:tcPr>
            <w:tcW w:w="1450" w:type="dxa"/>
            <w:tcBorders>
              <w:top w:val="single" w:sz="6" w:space="0" w:color="231F20"/>
              <w:left w:val="single" w:sz="6" w:space="0" w:color="231F20"/>
              <w:bottom w:val="single" w:sz="6" w:space="0" w:color="231F20"/>
              <w:right w:val="single" w:sz="6" w:space="0" w:color="231F20"/>
            </w:tcBorders>
            <w:shd w:val="clear" w:color="auto" w:fill="CCE7D3"/>
          </w:tcPr>
          <w:p w14:paraId="7E40ADE1" w14:textId="77777777" w:rsidR="009948F1" w:rsidRDefault="009948F1">
            <w:pPr>
              <w:pStyle w:val="TableParagraph"/>
              <w:rPr>
                <w:rFonts w:ascii="Times New Roman"/>
                <w:sz w:val="12"/>
              </w:rPr>
            </w:pPr>
          </w:p>
        </w:tc>
        <w:tc>
          <w:tcPr>
            <w:tcW w:w="1530" w:type="dxa"/>
            <w:tcBorders>
              <w:top w:val="single" w:sz="6" w:space="0" w:color="231F20"/>
              <w:left w:val="single" w:sz="6" w:space="0" w:color="231F20"/>
              <w:bottom w:val="single" w:sz="6" w:space="0" w:color="231F20"/>
              <w:right w:val="single" w:sz="6" w:space="0" w:color="231F20"/>
            </w:tcBorders>
            <w:shd w:val="clear" w:color="auto" w:fill="CCE7D3"/>
          </w:tcPr>
          <w:p w14:paraId="125B7F1C" w14:textId="77777777" w:rsidR="009948F1" w:rsidRDefault="009948F1">
            <w:pPr>
              <w:pStyle w:val="TableParagraph"/>
              <w:rPr>
                <w:rFonts w:ascii="Times New Roman"/>
                <w:sz w:val="12"/>
              </w:rPr>
            </w:pPr>
          </w:p>
        </w:tc>
      </w:tr>
      <w:tr w:rsidR="009948F1" w14:paraId="20981B96" w14:textId="77777777">
        <w:trPr>
          <w:trHeight w:val="453"/>
        </w:trPr>
        <w:tc>
          <w:tcPr>
            <w:tcW w:w="818" w:type="dxa"/>
            <w:gridSpan w:val="2"/>
            <w:vMerge w:val="restart"/>
            <w:tcBorders>
              <w:top w:val="nil"/>
              <w:bottom w:val="nil"/>
              <w:right w:val="single" w:sz="6" w:space="0" w:color="231F20"/>
            </w:tcBorders>
          </w:tcPr>
          <w:p w14:paraId="2D16B4FE"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5B2A31F0" w14:textId="77777777" w:rsidR="009948F1" w:rsidRDefault="009948F1">
            <w:pPr>
              <w:pStyle w:val="TableParagraph"/>
              <w:spacing w:before="3"/>
              <w:rPr>
                <w:sz w:val="13"/>
              </w:rPr>
            </w:pPr>
          </w:p>
          <w:p w14:paraId="7CCAB0D5" w14:textId="77777777" w:rsidR="009948F1" w:rsidRDefault="00BC0563">
            <w:pPr>
              <w:pStyle w:val="TableParagraph"/>
              <w:ind w:left="33" w:right="12"/>
              <w:jc w:val="center"/>
              <w:rPr>
                <w:sz w:val="12"/>
              </w:rPr>
            </w:pPr>
            <w:r>
              <w:rPr>
                <w:color w:val="231F20"/>
                <w:sz w:val="12"/>
              </w:rPr>
              <w:t>15.3.3.a</w:t>
            </w:r>
          </w:p>
        </w:tc>
        <w:tc>
          <w:tcPr>
            <w:tcW w:w="4975" w:type="dxa"/>
            <w:gridSpan w:val="2"/>
            <w:tcBorders>
              <w:top w:val="single" w:sz="6" w:space="0" w:color="231F20"/>
              <w:left w:val="single" w:sz="6" w:space="0" w:color="231F20"/>
              <w:bottom w:val="single" w:sz="6" w:space="0" w:color="231F20"/>
              <w:right w:val="single" w:sz="6" w:space="0" w:color="231F20"/>
            </w:tcBorders>
          </w:tcPr>
          <w:p w14:paraId="06EEC3C2" w14:textId="77777777" w:rsidR="009948F1" w:rsidRDefault="009948F1">
            <w:pPr>
              <w:pStyle w:val="TableParagraph"/>
              <w:spacing w:before="10"/>
              <w:rPr>
                <w:sz w:val="12"/>
              </w:rPr>
            </w:pPr>
          </w:p>
          <w:p w14:paraId="10D89E01" w14:textId="77777777" w:rsidR="009948F1" w:rsidRDefault="00BC0563">
            <w:pPr>
              <w:pStyle w:val="TableParagraph"/>
              <w:ind w:left="26"/>
              <w:rPr>
                <w:sz w:val="12"/>
              </w:rPr>
            </w:pPr>
            <w:r>
              <w:rPr>
                <w:color w:val="231F20"/>
                <w:sz w:val="12"/>
              </w:rPr>
              <w:t>Training of staff on basic Health Insurance strategy and principle</w:t>
            </w:r>
          </w:p>
        </w:tc>
        <w:tc>
          <w:tcPr>
            <w:tcW w:w="1450" w:type="dxa"/>
            <w:tcBorders>
              <w:top w:val="single" w:sz="6" w:space="0" w:color="231F20"/>
              <w:left w:val="single" w:sz="6" w:space="0" w:color="231F20"/>
              <w:bottom w:val="single" w:sz="6" w:space="0" w:color="231F20"/>
              <w:right w:val="single" w:sz="6" w:space="0" w:color="231F20"/>
            </w:tcBorders>
          </w:tcPr>
          <w:p w14:paraId="61324C80" w14:textId="77777777" w:rsidR="009948F1" w:rsidRDefault="009948F1">
            <w:pPr>
              <w:pStyle w:val="TableParagraph"/>
              <w:spacing w:before="3"/>
              <w:rPr>
                <w:sz w:val="13"/>
              </w:rPr>
            </w:pPr>
          </w:p>
          <w:p w14:paraId="61ADB6EB"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604F4F34" w14:textId="77777777" w:rsidR="009948F1" w:rsidRDefault="009948F1">
            <w:pPr>
              <w:pStyle w:val="TableParagraph"/>
              <w:spacing w:before="3"/>
              <w:rPr>
                <w:sz w:val="13"/>
              </w:rPr>
            </w:pPr>
          </w:p>
          <w:p w14:paraId="5D9E6511" w14:textId="77777777" w:rsidR="009948F1" w:rsidRDefault="00BC0563">
            <w:pPr>
              <w:pStyle w:val="TableParagraph"/>
              <w:ind w:left="29"/>
              <w:rPr>
                <w:sz w:val="12"/>
              </w:rPr>
            </w:pPr>
            <w:r>
              <w:rPr>
                <w:color w:val="231F20"/>
                <w:sz w:val="12"/>
              </w:rPr>
              <w:t>Training of staff</w:t>
            </w:r>
          </w:p>
        </w:tc>
      </w:tr>
      <w:tr w:rsidR="009948F1" w14:paraId="0BA35F9C" w14:textId="77777777">
        <w:trPr>
          <w:trHeight w:val="453"/>
        </w:trPr>
        <w:tc>
          <w:tcPr>
            <w:tcW w:w="818" w:type="dxa"/>
            <w:gridSpan w:val="2"/>
            <w:vMerge/>
            <w:tcBorders>
              <w:top w:val="nil"/>
              <w:bottom w:val="nil"/>
              <w:right w:val="single" w:sz="6" w:space="0" w:color="231F20"/>
            </w:tcBorders>
          </w:tcPr>
          <w:p w14:paraId="06671E3D"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3CFFCE58" w14:textId="77777777" w:rsidR="009948F1" w:rsidRDefault="009948F1">
            <w:pPr>
              <w:pStyle w:val="TableParagraph"/>
              <w:spacing w:before="3"/>
              <w:rPr>
                <w:sz w:val="13"/>
              </w:rPr>
            </w:pPr>
          </w:p>
          <w:p w14:paraId="3C9BEB0C" w14:textId="77777777" w:rsidR="009948F1" w:rsidRDefault="00BC0563">
            <w:pPr>
              <w:pStyle w:val="TableParagraph"/>
              <w:ind w:left="33" w:right="12"/>
              <w:jc w:val="center"/>
              <w:rPr>
                <w:sz w:val="12"/>
              </w:rPr>
            </w:pPr>
            <w:r>
              <w:rPr>
                <w:color w:val="231F20"/>
                <w:sz w:val="12"/>
              </w:rPr>
              <w:t>15.3.3.b</w:t>
            </w:r>
          </w:p>
        </w:tc>
        <w:tc>
          <w:tcPr>
            <w:tcW w:w="4975" w:type="dxa"/>
            <w:gridSpan w:val="2"/>
            <w:tcBorders>
              <w:top w:val="single" w:sz="6" w:space="0" w:color="231F20"/>
              <w:left w:val="single" w:sz="6" w:space="0" w:color="231F20"/>
              <w:bottom w:val="single" w:sz="6" w:space="0" w:color="231F20"/>
              <w:right w:val="single" w:sz="6" w:space="0" w:color="231F20"/>
            </w:tcBorders>
          </w:tcPr>
          <w:p w14:paraId="44950679" w14:textId="77777777" w:rsidR="009948F1" w:rsidRDefault="00BC0563">
            <w:pPr>
              <w:pStyle w:val="TableParagraph"/>
              <w:spacing w:before="72" w:line="264" w:lineRule="auto"/>
              <w:ind w:left="26" w:right="415"/>
              <w:rPr>
                <w:sz w:val="12"/>
              </w:rPr>
            </w:pPr>
            <w:r>
              <w:rPr>
                <w:color w:val="231F20"/>
                <w:sz w:val="12"/>
              </w:rPr>
              <w:t>Routine training &amp; re-training of health human resources in private and public health facilities</w:t>
            </w:r>
          </w:p>
        </w:tc>
        <w:tc>
          <w:tcPr>
            <w:tcW w:w="1450" w:type="dxa"/>
            <w:tcBorders>
              <w:top w:val="single" w:sz="6" w:space="0" w:color="231F20"/>
              <w:left w:val="single" w:sz="6" w:space="0" w:color="231F20"/>
              <w:bottom w:val="single" w:sz="6" w:space="0" w:color="231F20"/>
              <w:right w:val="single" w:sz="6" w:space="0" w:color="231F20"/>
            </w:tcBorders>
          </w:tcPr>
          <w:p w14:paraId="24262501" w14:textId="77777777" w:rsidR="009948F1" w:rsidRDefault="009948F1">
            <w:pPr>
              <w:pStyle w:val="TableParagraph"/>
              <w:spacing w:before="3"/>
              <w:rPr>
                <w:sz w:val="13"/>
              </w:rPr>
            </w:pPr>
          </w:p>
          <w:p w14:paraId="6666510E"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7E40810A" w14:textId="77777777" w:rsidR="009948F1" w:rsidRDefault="00BC0563">
            <w:pPr>
              <w:pStyle w:val="TableParagraph"/>
              <w:spacing w:before="76" w:line="264" w:lineRule="auto"/>
              <w:ind w:left="29" w:right="332"/>
              <w:rPr>
                <w:sz w:val="12"/>
              </w:rPr>
            </w:pPr>
            <w:r>
              <w:rPr>
                <w:color w:val="231F20"/>
                <w:sz w:val="12"/>
              </w:rPr>
              <w:t>Routine training &amp; re- training</w:t>
            </w:r>
          </w:p>
        </w:tc>
      </w:tr>
      <w:tr w:rsidR="009948F1" w14:paraId="2BB3F057" w14:textId="77777777">
        <w:trPr>
          <w:trHeight w:val="878"/>
        </w:trPr>
        <w:tc>
          <w:tcPr>
            <w:tcW w:w="356" w:type="dxa"/>
            <w:tcBorders>
              <w:top w:val="nil"/>
              <w:bottom w:val="nil"/>
              <w:right w:val="single" w:sz="6" w:space="0" w:color="231F20"/>
            </w:tcBorders>
          </w:tcPr>
          <w:p w14:paraId="1597AAA2"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7679BCD9" w14:textId="77777777" w:rsidR="009948F1" w:rsidRDefault="009948F1">
            <w:pPr>
              <w:pStyle w:val="TableParagraph"/>
              <w:rPr>
                <w:sz w:val="12"/>
              </w:rPr>
            </w:pPr>
          </w:p>
          <w:p w14:paraId="374ED348" w14:textId="77777777" w:rsidR="009948F1" w:rsidRDefault="009948F1">
            <w:pPr>
              <w:pStyle w:val="TableParagraph"/>
              <w:rPr>
                <w:sz w:val="12"/>
              </w:rPr>
            </w:pPr>
          </w:p>
          <w:p w14:paraId="660C5422" w14:textId="77777777" w:rsidR="009948F1" w:rsidRDefault="00BC0563">
            <w:pPr>
              <w:pStyle w:val="TableParagraph"/>
              <w:spacing w:before="88"/>
              <w:ind w:left="58"/>
              <w:rPr>
                <w:sz w:val="12"/>
              </w:rPr>
            </w:pPr>
            <w:r>
              <w:rPr>
                <w:color w:val="231F20"/>
                <w:sz w:val="12"/>
              </w:rPr>
              <w:t>15.3.4</w:t>
            </w:r>
          </w:p>
        </w:tc>
        <w:tc>
          <w:tcPr>
            <w:tcW w:w="3086" w:type="dxa"/>
            <w:gridSpan w:val="2"/>
            <w:tcBorders>
              <w:top w:val="single" w:sz="6" w:space="0" w:color="231F20"/>
              <w:left w:val="single" w:sz="6" w:space="0" w:color="231F20"/>
              <w:bottom w:val="single" w:sz="6" w:space="0" w:color="231F20"/>
              <w:right w:val="single" w:sz="6" w:space="0" w:color="231F20"/>
            </w:tcBorders>
            <w:shd w:val="clear" w:color="auto" w:fill="CCE7D3"/>
          </w:tcPr>
          <w:p w14:paraId="02049A89" w14:textId="77777777" w:rsidR="009948F1" w:rsidRDefault="009948F1">
            <w:pPr>
              <w:pStyle w:val="TableParagraph"/>
              <w:rPr>
                <w:sz w:val="12"/>
              </w:rPr>
            </w:pPr>
          </w:p>
          <w:p w14:paraId="05A928C1" w14:textId="77777777" w:rsidR="009948F1" w:rsidRDefault="009948F1">
            <w:pPr>
              <w:pStyle w:val="TableParagraph"/>
              <w:spacing w:before="8"/>
              <w:rPr>
                <w:sz w:val="12"/>
              </w:rPr>
            </w:pPr>
          </w:p>
          <w:p w14:paraId="458D2352" w14:textId="77777777" w:rsidR="009948F1" w:rsidRDefault="00BC0563">
            <w:pPr>
              <w:pStyle w:val="TableParagraph"/>
              <w:spacing w:line="264" w:lineRule="auto"/>
              <w:ind w:left="25" w:right="24" w:firstLine="33"/>
              <w:rPr>
                <w:sz w:val="12"/>
              </w:rPr>
            </w:pPr>
            <w:r>
              <w:rPr>
                <w:color w:val="231F20"/>
                <w:sz w:val="12"/>
              </w:rPr>
              <w:t>Establish and expand Mandatory State Health Insurance and contributory Schemes in 36 States &amp;</w:t>
            </w:r>
            <w:r>
              <w:rPr>
                <w:color w:val="231F20"/>
                <w:spacing w:val="17"/>
                <w:sz w:val="12"/>
              </w:rPr>
              <w:t xml:space="preserve"> </w:t>
            </w:r>
            <w:r>
              <w:rPr>
                <w:color w:val="231F20"/>
                <w:spacing w:val="-6"/>
                <w:sz w:val="12"/>
              </w:rPr>
              <w:t>FCT</w:t>
            </w:r>
          </w:p>
        </w:tc>
        <w:tc>
          <w:tcPr>
            <w:tcW w:w="2423" w:type="dxa"/>
            <w:tcBorders>
              <w:top w:val="single" w:sz="6" w:space="0" w:color="231F20"/>
              <w:left w:val="single" w:sz="6" w:space="0" w:color="231F20"/>
              <w:bottom w:val="single" w:sz="6" w:space="0" w:color="231F20"/>
              <w:right w:val="single" w:sz="6" w:space="0" w:color="231F20"/>
            </w:tcBorders>
            <w:shd w:val="clear" w:color="auto" w:fill="CCE7D3"/>
          </w:tcPr>
          <w:p w14:paraId="5290DBE4" w14:textId="77777777" w:rsidR="009948F1" w:rsidRDefault="00BC0563">
            <w:pPr>
              <w:pStyle w:val="TableParagraph"/>
              <w:numPr>
                <w:ilvl w:val="0"/>
                <w:numId w:val="5"/>
              </w:numPr>
              <w:tabs>
                <w:tab w:val="left" w:pos="97"/>
              </w:tabs>
              <w:spacing w:before="62" w:line="264" w:lineRule="auto"/>
              <w:ind w:right="285" w:firstLine="0"/>
              <w:rPr>
                <w:sz w:val="12"/>
              </w:rPr>
            </w:pPr>
            <w:r>
              <w:rPr>
                <w:color w:val="231F20"/>
                <w:sz w:val="12"/>
              </w:rPr>
              <w:t xml:space="preserve">Agency for RIVCHPP established </w:t>
            </w:r>
            <w:r>
              <w:rPr>
                <w:color w:val="231F20"/>
                <w:spacing w:val="-5"/>
                <w:sz w:val="12"/>
              </w:rPr>
              <w:t xml:space="preserve">and </w:t>
            </w:r>
            <w:r>
              <w:rPr>
                <w:color w:val="231F20"/>
                <w:sz w:val="12"/>
              </w:rPr>
              <w:t>relevant qualified staff deployed</w:t>
            </w:r>
          </w:p>
          <w:p w14:paraId="1A50A5F4" w14:textId="77777777" w:rsidR="009948F1" w:rsidRDefault="00BC0563">
            <w:pPr>
              <w:pStyle w:val="TableParagraph"/>
              <w:spacing w:line="264" w:lineRule="auto"/>
              <w:ind w:left="27" w:right="84"/>
              <w:rPr>
                <w:sz w:val="12"/>
              </w:rPr>
            </w:pPr>
            <w:r>
              <w:rPr>
                <w:color w:val="231F20"/>
                <w:sz w:val="12"/>
              </w:rPr>
              <w:t>•23 LGA desk offices established and desk officers appointed</w:t>
            </w:r>
          </w:p>
          <w:p w14:paraId="22FB393D" w14:textId="77777777" w:rsidR="009948F1" w:rsidRDefault="00BC0563">
            <w:pPr>
              <w:pStyle w:val="TableParagraph"/>
              <w:numPr>
                <w:ilvl w:val="0"/>
                <w:numId w:val="5"/>
              </w:numPr>
              <w:tabs>
                <w:tab w:val="left" w:pos="104"/>
              </w:tabs>
              <w:spacing w:line="137" w:lineRule="exact"/>
              <w:ind w:left="103" w:hanging="77"/>
              <w:rPr>
                <w:sz w:val="12"/>
              </w:rPr>
            </w:pPr>
            <w:r>
              <w:rPr>
                <w:color w:val="231F20"/>
                <w:sz w:val="12"/>
              </w:rPr>
              <w:t>Desk officers trained and</w:t>
            </w:r>
            <w:r>
              <w:rPr>
                <w:color w:val="231F20"/>
                <w:spacing w:val="1"/>
                <w:sz w:val="12"/>
              </w:rPr>
              <w:t xml:space="preserve"> </w:t>
            </w:r>
            <w:r>
              <w:rPr>
                <w:color w:val="231F20"/>
                <w:sz w:val="12"/>
              </w:rPr>
              <w:t>re-trained</w:t>
            </w:r>
          </w:p>
        </w:tc>
        <w:tc>
          <w:tcPr>
            <w:tcW w:w="1450" w:type="dxa"/>
            <w:tcBorders>
              <w:top w:val="single" w:sz="6" w:space="0" w:color="231F20"/>
              <w:left w:val="single" w:sz="6" w:space="0" w:color="231F20"/>
              <w:bottom w:val="single" w:sz="6" w:space="0" w:color="231F20"/>
              <w:right w:val="single" w:sz="6" w:space="0" w:color="231F20"/>
            </w:tcBorders>
            <w:shd w:val="clear" w:color="auto" w:fill="CCE7D3"/>
          </w:tcPr>
          <w:p w14:paraId="1ACFAA76" w14:textId="77777777" w:rsidR="009948F1" w:rsidRDefault="009948F1">
            <w:pPr>
              <w:pStyle w:val="TableParagraph"/>
              <w:rPr>
                <w:rFonts w:ascii="Times New Roman"/>
                <w:sz w:val="12"/>
              </w:rPr>
            </w:pPr>
          </w:p>
        </w:tc>
        <w:tc>
          <w:tcPr>
            <w:tcW w:w="1530" w:type="dxa"/>
            <w:tcBorders>
              <w:top w:val="single" w:sz="6" w:space="0" w:color="231F20"/>
              <w:left w:val="single" w:sz="6" w:space="0" w:color="231F20"/>
              <w:bottom w:val="single" w:sz="6" w:space="0" w:color="231F20"/>
              <w:right w:val="single" w:sz="6" w:space="0" w:color="231F20"/>
            </w:tcBorders>
            <w:shd w:val="clear" w:color="auto" w:fill="CCE7D3"/>
          </w:tcPr>
          <w:p w14:paraId="2BCB276B" w14:textId="77777777" w:rsidR="009948F1" w:rsidRDefault="009948F1">
            <w:pPr>
              <w:pStyle w:val="TableParagraph"/>
              <w:rPr>
                <w:rFonts w:ascii="Times New Roman"/>
                <w:sz w:val="12"/>
              </w:rPr>
            </w:pPr>
          </w:p>
        </w:tc>
      </w:tr>
      <w:tr w:rsidR="009948F1" w14:paraId="3E377E6C" w14:textId="77777777">
        <w:trPr>
          <w:trHeight w:val="573"/>
        </w:trPr>
        <w:tc>
          <w:tcPr>
            <w:tcW w:w="818" w:type="dxa"/>
            <w:gridSpan w:val="2"/>
            <w:vMerge w:val="restart"/>
            <w:tcBorders>
              <w:top w:val="nil"/>
              <w:bottom w:val="single" w:sz="4" w:space="0" w:color="231F20"/>
              <w:right w:val="single" w:sz="6" w:space="0" w:color="231F20"/>
            </w:tcBorders>
          </w:tcPr>
          <w:p w14:paraId="3118037C"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014A89A3" w14:textId="77777777" w:rsidR="009948F1" w:rsidRDefault="009948F1">
            <w:pPr>
              <w:pStyle w:val="TableParagraph"/>
              <w:rPr>
                <w:sz w:val="12"/>
              </w:rPr>
            </w:pPr>
          </w:p>
          <w:p w14:paraId="238EE0AC" w14:textId="77777777" w:rsidR="009948F1" w:rsidRDefault="00BC0563">
            <w:pPr>
              <w:pStyle w:val="TableParagraph"/>
              <w:spacing w:before="74"/>
              <w:ind w:left="33" w:right="12"/>
              <w:jc w:val="center"/>
              <w:rPr>
                <w:sz w:val="12"/>
              </w:rPr>
            </w:pPr>
            <w:r>
              <w:rPr>
                <w:color w:val="231F20"/>
                <w:sz w:val="12"/>
              </w:rPr>
              <w:t>15.3.4.a</w:t>
            </w:r>
          </w:p>
        </w:tc>
        <w:tc>
          <w:tcPr>
            <w:tcW w:w="4975" w:type="dxa"/>
            <w:gridSpan w:val="2"/>
            <w:tcBorders>
              <w:top w:val="single" w:sz="6" w:space="0" w:color="231F20"/>
              <w:left w:val="single" w:sz="6" w:space="0" w:color="231F20"/>
              <w:bottom w:val="single" w:sz="6" w:space="0" w:color="231F20"/>
              <w:right w:val="single" w:sz="6" w:space="0" w:color="231F20"/>
            </w:tcBorders>
          </w:tcPr>
          <w:p w14:paraId="3B4DF1A4" w14:textId="77777777" w:rsidR="009948F1" w:rsidRDefault="009948F1">
            <w:pPr>
              <w:pStyle w:val="TableParagraph"/>
              <w:spacing w:before="5"/>
              <w:rPr>
                <w:sz w:val="11"/>
              </w:rPr>
            </w:pPr>
          </w:p>
          <w:p w14:paraId="383BE6AD" w14:textId="77777777" w:rsidR="009948F1" w:rsidRDefault="00BC0563">
            <w:pPr>
              <w:pStyle w:val="TableParagraph"/>
              <w:spacing w:line="264" w:lineRule="auto"/>
              <w:ind w:left="26" w:right="224"/>
              <w:rPr>
                <w:sz w:val="12"/>
              </w:rPr>
            </w:pPr>
            <w:r>
              <w:rPr>
                <w:color w:val="231F20"/>
                <w:sz w:val="12"/>
              </w:rPr>
              <w:t>Establish an Agency for RIVCHPP/Deploy relevant qualified staff to occupy the offices in the established agency</w:t>
            </w:r>
          </w:p>
        </w:tc>
        <w:tc>
          <w:tcPr>
            <w:tcW w:w="1450" w:type="dxa"/>
            <w:tcBorders>
              <w:top w:val="single" w:sz="6" w:space="0" w:color="231F20"/>
              <w:left w:val="single" w:sz="6" w:space="0" w:color="231F20"/>
              <w:bottom w:val="single" w:sz="6" w:space="0" w:color="231F20"/>
              <w:right w:val="single" w:sz="6" w:space="0" w:color="231F20"/>
            </w:tcBorders>
          </w:tcPr>
          <w:p w14:paraId="6D0D3E95" w14:textId="77777777" w:rsidR="009948F1" w:rsidRDefault="009948F1">
            <w:pPr>
              <w:pStyle w:val="TableParagraph"/>
              <w:rPr>
                <w:sz w:val="12"/>
              </w:rPr>
            </w:pPr>
          </w:p>
          <w:p w14:paraId="3026BBC3" w14:textId="77777777" w:rsidR="009948F1" w:rsidRDefault="00BC0563">
            <w:pPr>
              <w:pStyle w:val="TableParagraph"/>
              <w:spacing w:before="74"/>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58FDF564" w14:textId="77777777" w:rsidR="009948F1" w:rsidRDefault="009948F1">
            <w:pPr>
              <w:pStyle w:val="TableParagraph"/>
              <w:rPr>
                <w:sz w:val="12"/>
              </w:rPr>
            </w:pPr>
          </w:p>
          <w:p w14:paraId="21BBD718" w14:textId="77777777" w:rsidR="009948F1" w:rsidRDefault="00BC0563">
            <w:pPr>
              <w:pStyle w:val="TableParagraph"/>
              <w:spacing w:before="74"/>
              <w:ind w:left="29"/>
              <w:rPr>
                <w:sz w:val="12"/>
              </w:rPr>
            </w:pPr>
            <w:r>
              <w:rPr>
                <w:color w:val="231F20"/>
                <w:sz w:val="12"/>
              </w:rPr>
              <w:t>No cost</w:t>
            </w:r>
          </w:p>
        </w:tc>
      </w:tr>
      <w:tr w:rsidR="009948F1" w14:paraId="467BBC4A" w14:textId="77777777">
        <w:trPr>
          <w:trHeight w:val="279"/>
        </w:trPr>
        <w:tc>
          <w:tcPr>
            <w:tcW w:w="818" w:type="dxa"/>
            <w:gridSpan w:val="2"/>
            <w:vMerge/>
            <w:tcBorders>
              <w:top w:val="nil"/>
              <w:bottom w:val="single" w:sz="4" w:space="0" w:color="231F20"/>
              <w:right w:val="single" w:sz="6" w:space="0" w:color="231F20"/>
            </w:tcBorders>
          </w:tcPr>
          <w:p w14:paraId="71F9D2BE"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816B73D" w14:textId="77777777" w:rsidR="009948F1" w:rsidRDefault="00BC0563">
            <w:pPr>
              <w:pStyle w:val="TableParagraph"/>
              <w:spacing w:before="65"/>
              <w:ind w:left="33" w:right="12"/>
              <w:jc w:val="center"/>
              <w:rPr>
                <w:sz w:val="12"/>
              </w:rPr>
            </w:pPr>
            <w:r>
              <w:rPr>
                <w:color w:val="231F20"/>
                <w:sz w:val="12"/>
              </w:rPr>
              <w:t>15.3.4.b</w:t>
            </w:r>
          </w:p>
        </w:tc>
        <w:tc>
          <w:tcPr>
            <w:tcW w:w="4975" w:type="dxa"/>
            <w:gridSpan w:val="2"/>
            <w:tcBorders>
              <w:top w:val="single" w:sz="6" w:space="0" w:color="231F20"/>
              <w:left w:val="single" w:sz="6" w:space="0" w:color="231F20"/>
              <w:bottom w:val="single" w:sz="6" w:space="0" w:color="231F20"/>
            </w:tcBorders>
          </w:tcPr>
          <w:p w14:paraId="3A806E83" w14:textId="77777777" w:rsidR="009948F1" w:rsidRDefault="00BC0563">
            <w:pPr>
              <w:pStyle w:val="TableParagraph"/>
              <w:spacing w:before="60"/>
              <w:ind w:left="26"/>
              <w:rPr>
                <w:sz w:val="12"/>
              </w:rPr>
            </w:pPr>
            <w:r>
              <w:rPr>
                <w:color w:val="231F20"/>
                <w:sz w:val="12"/>
              </w:rPr>
              <w:t>Establish 23 LGA desk offices and appoint desk officers</w:t>
            </w:r>
          </w:p>
        </w:tc>
        <w:tc>
          <w:tcPr>
            <w:tcW w:w="1450" w:type="dxa"/>
            <w:tcBorders>
              <w:top w:val="single" w:sz="6" w:space="0" w:color="231F20"/>
              <w:bottom w:val="single" w:sz="6" w:space="0" w:color="231F20"/>
              <w:right w:val="single" w:sz="6" w:space="0" w:color="231F20"/>
            </w:tcBorders>
          </w:tcPr>
          <w:p w14:paraId="6C1C58C6" w14:textId="77777777" w:rsidR="009948F1" w:rsidRDefault="00BC0563">
            <w:pPr>
              <w:pStyle w:val="TableParagraph"/>
              <w:spacing w:before="65"/>
              <w:ind w:left="25"/>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1686A52F" w14:textId="77777777" w:rsidR="009948F1" w:rsidRDefault="00BC0563">
            <w:pPr>
              <w:pStyle w:val="TableParagraph"/>
              <w:spacing w:before="65"/>
              <w:ind w:left="29"/>
              <w:rPr>
                <w:sz w:val="12"/>
              </w:rPr>
            </w:pPr>
            <w:r>
              <w:rPr>
                <w:color w:val="231F20"/>
                <w:sz w:val="12"/>
              </w:rPr>
              <w:t>No cost</w:t>
            </w:r>
          </w:p>
        </w:tc>
      </w:tr>
      <w:tr w:rsidR="009948F1" w14:paraId="351F2B0E" w14:textId="77777777">
        <w:trPr>
          <w:trHeight w:val="293"/>
        </w:trPr>
        <w:tc>
          <w:tcPr>
            <w:tcW w:w="818" w:type="dxa"/>
            <w:gridSpan w:val="2"/>
            <w:vMerge/>
            <w:tcBorders>
              <w:top w:val="nil"/>
              <w:bottom w:val="single" w:sz="4" w:space="0" w:color="231F20"/>
              <w:right w:val="single" w:sz="6" w:space="0" w:color="231F20"/>
            </w:tcBorders>
          </w:tcPr>
          <w:p w14:paraId="13F32FEA"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7381CCFE" w14:textId="77777777" w:rsidR="009948F1" w:rsidRDefault="00BC0563">
            <w:pPr>
              <w:pStyle w:val="TableParagraph"/>
              <w:spacing w:before="73"/>
              <w:ind w:left="33" w:right="11"/>
              <w:jc w:val="center"/>
              <w:rPr>
                <w:sz w:val="12"/>
              </w:rPr>
            </w:pPr>
            <w:r>
              <w:rPr>
                <w:color w:val="231F20"/>
                <w:sz w:val="12"/>
              </w:rPr>
              <w:t>15.3.4.c</w:t>
            </w:r>
          </w:p>
        </w:tc>
        <w:tc>
          <w:tcPr>
            <w:tcW w:w="4975" w:type="dxa"/>
            <w:gridSpan w:val="2"/>
            <w:tcBorders>
              <w:top w:val="single" w:sz="6" w:space="0" w:color="231F20"/>
              <w:left w:val="single" w:sz="6" w:space="0" w:color="231F20"/>
              <w:bottom w:val="single" w:sz="6" w:space="0" w:color="231F20"/>
            </w:tcBorders>
          </w:tcPr>
          <w:p w14:paraId="55A213D3" w14:textId="77777777" w:rsidR="009948F1" w:rsidRDefault="00BC0563">
            <w:pPr>
              <w:pStyle w:val="TableParagraph"/>
              <w:spacing w:before="68"/>
              <w:ind w:left="26"/>
              <w:rPr>
                <w:sz w:val="12"/>
              </w:rPr>
            </w:pPr>
            <w:r>
              <w:rPr>
                <w:color w:val="231F20"/>
                <w:sz w:val="12"/>
              </w:rPr>
              <w:t>Training and retraining of desk officers</w:t>
            </w:r>
          </w:p>
        </w:tc>
        <w:tc>
          <w:tcPr>
            <w:tcW w:w="1450" w:type="dxa"/>
            <w:tcBorders>
              <w:top w:val="single" w:sz="6" w:space="0" w:color="231F20"/>
              <w:bottom w:val="single" w:sz="6" w:space="0" w:color="231F20"/>
              <w:right w:val="single" w:sz="6" w:space="0" w:color="231F20"/>
            </w:tcBorders>
          </w:tcPr>
          <w:p w14:paraId="45DF60B1" w14:textId="77777777" w:rsidR="009948F1" w:rsidRDefault="00BC0563">
            <w:pPr>
              <w:pStyle w:val="TableParagraph"/>
              <w:spacing w:before="73"/>
              <w:ind w:left="25"/>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258D3461" w14:textId="77777777" w:rsidR="009948F1" w:rsidRDefault="00BC0563">
            <w:pPr>
              <w:pStyle w:val="TableParagraph"/>
              <w:spacing w:before="73"/>
              <w:ind w:left="29"/>
              <w:rPr>
                <w:sz w:val="12"/>
              </w:rPr>
            </w:pPr>
            <w:r>
              <w:rPr>
                <w:color w:val="231F20"/>
                <w:sz w:val="12"/>
              </w:rPr>
              <w:t>Train and re-train</w:t>
            </w:r>
          </w:p>
        </w:tc>
      </w:tr>
      <w:tr w:rsidR="009948F1" w14:paraId="23A7E3DA" w14:textId="77777777">
        <w:trPr>
          <w:trHeight w:val="580"/>
        </w:trPr>
        <w:tc>
          <w:tcPr>
            <w:tcW w:w="818" w:type="dxa"/>
            <w:gridSpan w:val="2"/>
            <w:vMerge/>
            <w:tcBorders>
              <w:top w:val="nil"/>
              <w:bottom w:val="single" w:sz="4" w:space="0" w:color="231F20"/>
              <w:right w:val="single" w:sz="6" w:space="0" w:color="231F20"/>
            </w:tcBorders>
          </w:tcPr>
          <w:p w14:paraId="07C38C4F"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73EA6C77" w14:textId="77777777" w:rsidR="009948F1" w:rsidRDefault="009948F1">
            <w:pPr>
              <w:pStyle w:val="TableParagraph"/>
              <w:rPr>
                <w:sz w:val="12"/>
              </w:rPr>
            </w:pPr>
          </w:p>
          <w:p w14:paraId="03501329" w14:textId="77777777" w:rsidR="009948F1" w:rsidRDefault="00BC0563">
            <w:pPr>
              <w:pStyle w:val="TableParagraph"/>
              <w:spacing w:before="77"/>
              <w:ind w:left="33" w:right="12"/>
              <w:jc w:val="center"/>
              <w:rPr>
                <w:sz w:val="12"/>
              </w:rPr>
            </w:pPr>
            <w:r>
              <w:rPr>
                <w:color w:val="231F20"/>
                <w:sz w:val="12"/>
              </w:rPr>
              <w:t>15.3.4.d</w:t>
            </w:r>
          </w:p>
        </w:tc>
        <w:tc>
          <w:tcPr>
            <w:tcW w:w="4975" w:type="dxa"/>
            <w:gridSpan w:val="2"/>
            <w:tcBorders>
              <w:top w:val="single" w:sz="6" w:space="0" w:color="231F20"/>
              <w:left w:val="single" w:sz="6" w:space="0" w:color="231F20"/>
              <w:bottom w:val="single" w:sz="6" w:space="0" w:color="231F20"/>
              <w:right w:val="single" w:sz="6" w:space="0" w:color="231F20"/>
            </w:tcBorders>
          </w:tcPr>
          <w:p w14:paraId="31FBBE2C" w14:textId="77777777" w:rsidR="009948F1" w:rsidRDefault="00BC0563">
            <w:pPr>
              <w:pStyle w:val="TableParagraph"/>
              <w:spacing w:before="59" w:line="264" w:lineRule="auto"/>
              <w:ind w:left="26" w:right="83"/>
              <w:rPr>
                <w:sz w:val="12"/>
              </w:rPr>
            </w:pPr>
            <w:r>
              <w:rPr>
                <w:color w:val="231F20"/>
                <w:sz w:val="12"/>
              </w:rPr>
              <w:t xml:space="preserve">Review all existing </w:t>
            </w:r>
            <w:proofErr w:type="spellStart"/>
            <w:r>
              <w:rPr>
                <w:color w:val="231F20"/>
                <w:sz w:val="12"/>
              </w:rPr>
              <w:t>programmes</w:t>
            </w:r>
            <w:proofErr w:type="spellEnd"/>
            <w:r>
              <w:rPr>
                <w:color w:val="231F20"/>
                <w:sz w:val="12"/>
              </w:rPr>
              <w:t xml:space="preserve"> in the states with the aim of integrating them into a single pool</w:t>
            </w:r>
          </w:p>
        </w:tc>
        <w:tc>
          <w:tcPr>
            <w:tcW w:w="1450" w:type="dxa"/>
            <w:tcBorders>
              <w:top w:val="single" w:sz="6" w:space="0" w:color="231F20"/>
              <w:left w:val="single" w:sz="6" w:space="0" w:color="231F20"/>
              <w:bottom w:val="single" w:sz="6" w:space="0" w:color="231F20"/>
              <w:right w:val="single" w:sz="6" w:space="0" w:color="231F20"/>
            </w:tcBorders>
          </w:tcPr>
          <w:p w14:paraId="21BB7342" w14:textId="77777777" w:rsidR="009948F1" w:rsidRDefault="009948F1">
            <w:pPr>
              <w:pStyle w:val="TableParagraph"/>
              <w:rPr>
                <w:sz w:val="12"/>
              </w:rPr>
            </w:pPr>
          </w:p>
          <w:p w14:paraId="2F416A38" w14:textId="77777777" w:rsidR="009948F1" w:rsidRDefault="00BC0563">
            <w:pPr>
              <w:pStyle w:val="TableParagraph"/>
              <w:spacing w:before="77"/>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7B94A581" w14:textId="77777777" w:rsidR="009948F1" w:rsidRDefault="009948F1">
            <w:pPr>
              <w:pStyle w:val="TableParagraph"/>
              <w:spacing w:before="2"/>
              <w:rPr>
                <w:sz w:val="12"/>
              </w:rPr>
            </w:pPr>
          </w:p>
          <w:p w14:paraId="109E4ACA" w14:textId="77777777" w:rsidR="009948F1" w:rsidRDefault="00BC0563">
            <w:pPr>
              <w:pStyle w:val="TableParagraph"/>
              <w:spacing w:line="264" w:lineRule="auto"/>
              <w:ind w:left="29" w:right="478"/>
              <w:rPr>
                <w:sz w:val="12"/>
              </w:rPr>
            </w:pPr>
            <w:r>
              <w:rPr>
                <w:color w:val="231F20"/>
                <w:sz w:val="12"/>
              </w:rPr>
              <w:t xml:space="preserve">Review all existing </w:t>
            </w:r>
            <w:proofErr w:type="spellStart"/>
            <w:r>
              <w:rPr>
                <w:color w:val="231F20"/>
                <w:sz w:val="12"/>
              </w:rPr>
              <w:t>programmes</w:t>
            </w:r>
            <w:proofErr w:type="spellEnd"/>
          </w:p>
        </w:tc>
      </w:tr>
      <w:tr w:rsidR="009948F1" w14:paraId="425C8A78" w14:textId="77777777">
        <w:trPr>
          <w:trHeight w:val="294"/>
        </w:trPr>
        <w:tc>
          <w:tcPr>
            <w:tcW w:w="818" w:type="dxa"/>
            <w:gridSpan w:val="2"/>
            <w:vMerge/>
            <w:tcBorders>
              <w:top w:val="nil"/>
              <w:bottom w:val="single" w:sz="4" w:space="0" w:color="231F20"/>
              <w:right w:val="single" w:sz="6" w:space="0" w:color="231F20"/>
            </w:tcBorders>
          </w:tcPr>
          <w:p w14:paraId="7ADCEC12" w14:textId="77777777" w:rsidR="009948F1" w:rsidRDefault="009948F1">
            <w:pPr>
              <w:rPr>
                <w:sz w:val="2"/>
                <w:szCs w:val="2"/>
              </w:rPr>
            </w:pPr>
          </w:p>
        </w:tc>
        <w:tc>
          <w:tcPr>
            <w:tcW w:w="534" w:type="dxa"/>
            <w:tcBorders>
              <w:top w:val="single" w:sz="6" w:space="0" w:color="231F20"/>
              <w:left w:val="single" w:sz="6" w:space="0" w:color="231F20"/>
              <w:bottom w:val="single" w:sz="4" w:space="0" w:color="231F20"/>
              <w:right w:val="single" w:sz="6" w:space="0" w:color="231F20"/>
            </w:tcBorders>
          </w:tcPr>
          <w:p w14:paraId="0859727E" w14:textId="77777777" w:rsidR="009948F1" w:rsidRDefault="00BC0563">
            <w:pPr>
              <w:pStyle w:val="TableParagraph"/>
              <w:spacing w:before="73"/>
              <w:ind w:left="33" w:right="12"/>
              <w:jc w:val="center"/>
              <w:rPr>
                <w:sz w:val="12"/>
              </w:rPr>
            </w:pPr>
            <w:r>
              <w:rPr>
                <w:color w:val="231F20"/>
                <w:sz w:val="12"/>
              </w:rPr>
              <w:t>15.3.4.e</w:t>
            </w:r>
          </w:p>
        </w:tc>
        <w:tc>
          <w:tcPr>
            <w:tcW w:w="4975" w:type="dxa"/>
            <w:gridSpan w:val="2"/>
            <w:tcBorders>
              <w:top w:val="single" w:sz="6" w:space="0" w:color="231F20"/>
              <w:left w:val="single" w:sz="6" w:space="0" w:color="231F20"/>
              <w:bottom w:val="single" w:sz="4" w:space="0" w:color="231F20"/>
              <w:right w:val="single" w:sz="6" w:space="0" w:color="231F20"/>
            </w:tcBorders>
          </w:tcPr>
          <w:p w14:paraId="6A89FA4D" w14:textId="77777777" w:rsidR="009948F1" w:rsidRDefault="00BC0563">
            <w:pPr>
              <w:pStyle w:val="TableParagraph"/>
              <w:spacing w:before="68"/>
              <w:ind w:left="26"/>
              <w:rPr>
                <w:sz w:val="12"/>
              </w:rPr>
            </w:pPr>
            <w:r>
              <w:rPr>
                <w:color w:val="231F20"/>
                <w:sz w:val="12"/>
              </w:rPr>
              <w:t>Engage NHIS, to decide on how to collapse schemes into one single pool</w:t>
            </w:r>
          </w:p>
        </w:tc>
        <w:tc>
          <w:tcPr>
            <w:tcW w:w="1450" w:type="dxa"/>
            <w:tcBorders>
              <w:top w:val="single" w:sz="6" w:space="0" w:color="231F20"/>
              <w:left w:val="single" w:sz="6" w:space="0" w:color="231F20"/>
              <w:bottom w:val="single" w:sz="6" w:space="0" w:color="231F20"/>
              <w:right w:val="single" w:sz="6" w:space="0" w:color="231F20"/>
            </w:tcBorders>
          </w:tcPr>
          <w:p w14:paraId="4A545475" w14:textId="77777777" w:rsidR="009948F1" w:rsidRDefault="00BC0563">
            <w:pPr>
              <w:pStyle w:val="TableParagraph"/>
              <w:spacing w:before="73"/>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2038E958" w14:textId="77777777" w:rsidR="009948F1" w:rsidRDefault="00BC0563">
            <w:pPr>
              <w:pStyle w:val="TableParagraph"/>
              <w:spacing w:before="73"/>
              <w:ind w:left="29"/>
              <w:rPr>
                <w:sz w:val="12"/>
              </w:rPr>
            </w:pPr>
            <w:r>
              <w:rPr>
                <w:color w:val="231F20"/>
                <w:sz w:val="12"/>
              </w:rPr>
              <w:t>No cost</w:t>
            </w:r>
          </w:p>
        </w:tc>
      </w:tr>
      <w:tr w:rsidR="009948F1" w14:paraId="0C233F8D" w14:textId="77777777">
        <w:trPr>
          <w:trHeight w:val="379"/>
        </w:trPr>
        <w:tc>
          <w:tcPr>
            <w:tcW w:w="356" w:type="dxa"/>
            <w:tcBorders>
              <w:top w:val="single" w:sz="4" w:space="0" w:color="231F20"/>
              <w:right w:val="single" w:sz="6" w:space="0" w:color="231F20"/>
            </w:tcBorders>
            <w:shd w:val="clear" w:color="auto" w:fill="FFF200"/>
          </w:tcPr>
          <w:p w14:paraId="7338EB97" w14:textId="77777777" w:rsidR="009948F1" w:rsidRDefault="009948F1">
            <w:pPr>
              <w:pStyle w:val="TableParagraph"/>
              <w:spacing w:before="2"/>
              <w:rPr>
                <w:sz w:val="10"/>
              </w:rPr>
            </w:pPr>
          </w:p>
          <w:p w14:paraId="69B3036D" w14:textId="77777777" w:rsidR="009948F1" w:rsidRDefault="00BC0563">
            <w:pPr>
              <w:pStyle w:val="TableParagraph"/>
              <w:ind w:left="66"/>
              <w:rPr>
                <w:b/>
                <w:sz w:val="12"/>
              </w:rPr>
            </w:pPr>
            <w:r>
              <w:rPr>
                <w:b/>
                <w:color w:val="231F20"/>
                <w:sz w:val="12"/>
              </w:rPr>
              <w:t>15.4</w:t>
            </w:r>
          </w:p>
        </w:tc>
        <w:tc>
          <w:tcPr>
            <w:tcW w:w="5971" w:type="dxa"/>
            <w:gridSpan w:val="4"/>
            <w:tcBorders>
              <w:top w:val="single" w:sz="4" w:space="0" w:color="231F20"/>
              <w:left w:val="single" w:sz="6" w:space="0" w:color="231F20"/>
            </w:tcBorders>
            <w:shd w:val="clear" w:color="auto" w:fill="FFF200"/>
          </w:tcPr>
          <w:p w14:paraId="13976B4E" w14:textId="77777777" w:rsidR="009948F1" w:rsidRDefault="009948F1">
            <w:pPr>
              <w:pStyle w:val="TableParagraph"/>
              <w:spacing w:before="9"/>
              <w:rPr>
                <w:sz w:val="9"/>
              </w:rPr>
            </w:pPr>
          </w:p>
          <w:p w14:paraId="32FC48BB" w14:textId="77777777" w:rsidR="009948F1" w:rsidRDefault="00BC0563">
            <w:pPr>
              <w:pStyle w:val="TableParagraph"/>
              <w:ind w:left="58"/>
              <w:rPr>
                <w:b/>
                <w:sz w:val="12"/>
              </w:rPr>
            </w:pPr>
            <w:r>
              <w:rPr>
                <w:b/>
                <w:color w:val="231F20"/>
                <w:sz w:val="12"/>
              </w:rPr>
              <w:t>Enhance transparency and accountability in strategic purchasing of Health Services</w:t>
            </w:r>
          </w:p>
        </w:tc>
        <w:tc>
          <w:tcPr>
            <w:tcW w:w="2980" w:type="dxa"/>
            <w:gridSpan w:val="2"/>
            <w:tcBorders>
              <w:top w:val="single" w:sz="6" w:space="0" w:color="231F20"/>
              <w:right w:val="single" w:sz="6" w:space="0" w:color="231F20"/>
            </w:tcBorders>
            <w:shd w:val="clear" w:color="auto" w:fill="FFF200"/>
          </w:tcPr>
          <w:p w14:paraId="137F0D05" w14:textId="77777777" w:rsidR="009948F1" w:rsidRDefault="009948F1">
            <w:pPr>
              <w:pStyle w:val="TableParagraph"/>
              <w:rPr>
                <w:rFonts w:ascii="Times New Roman"/>
                <w:sz w:val="12"/>
              </w:rPr>
            </w:pPr>
          </w:p>
        </w:tc>
      </w:tr>
      <w:tr w:rsidR="009948F1" w14:paraId="12A9FDBB" w14:textId="77777777">
        <w:trPr>
          <w:trHeight w:val="621"/>
        </w:trPr>
        <w:tc>
          <w:tcPr>
            <w:tcW w:w="356" w:type="dxa"/>
            <w:tcBorders>
              <w:bottom w:val="nil"/>
              <w:right w:val="single" w:sz="6" w:space="0" w:color="231F20"/>
            </w:tcBorders>
          </w:tcPr>
          <w:p w14:paraId="3F49C9AE" w14:textId="77777777" w:rsidR="009948F1" w:rsidRDefault="009948F1">
            <w:pPr>
              <w:pStyle w:val="TableParagraph"/>
              <w:rPr>
                <w:rFonts w:ascii="Times New Roman"/>
                <w:sz w:val="12"/>
              </w:rPr>
            </w:pPr>
          </w:p>
        </w:tc>
        <w:tc>
          <w:tcPr>
            <w:tcW w:w="462" w:type="dxa"/>
            <w:tcBorders>
              <w:left w:val="single" w:sz="6" w:space="0" w:color="231F20"/>
              <w:bottom w:val="single" w:sz="6" w:space="0" w:color="231F20"/>
              <w:right w:val="single" w:sz="6" w:space="0" w:color="231F20"/>
            </w:tcBorders>
            <w:shd w:val="clear" w:color="auto" w:fill="CCE7D3"/>
          </w:tcPr>
          <w:p w14:paraId="0CCB00AA" w14:textId="77777777" w:rsidR="009948F1" w:rsidRDefault="009948F1">
            <w:pPr>
              <w:pStyle w:val="TableParagraph"/>
              <w:rPr>
                <w:sz w:val="12"/>
              </w:rPr>
            </w:pPr>
          </w:p>
          <w:p w14:paraId="62E5352D" w14:textId="77777777" w:rsidR="009948F1" w:rsidRDefault="00BC0563">
            <w:pPr>
              <w:pStyle w:val="TableParagraph"/>
              <w:spacing w:before="96"/>
              <w:ind w:left="58"/>
              <w:rPr>
                <w:sz w:val="12"/>
              </w:rPr>
            </w:pPr>
            <w:r>
              <w:rPr>
                <w:color w:val="231F20"/>
                <w:sz w:val="12"/>
              </w:rPr>
              <w:t>15.4.1</w:t>
            </w:r>
          </w:p>
        </w:tc>
        <w:tc>
          <w:tcPr>
            <w:tcW w:w="3086" w:type="dxa"/>
            <w:gridSpan w:val="2"/>
            <w:tcBorders>
              <w:left w:val="single" w:sz="6" w:space="0" w:color="231F20"/>
              <w:bottom w:val="single" w:sz="6" w:space="0" w:color="231F20"/>
              <w:right w:val="single" w:sz="6" w:space="0" w:color="231F20"/>
            </w:tcBorders>
            <w:shd w:val="clear" w:color="auto" w:fill="CCE7D3"/>
          </w:tcPr>
          <w:p w14:paraId="0E35DAC3" w14:textId="77777777" w:rsidR="009948F1" w:rsidRDefault="009948F1">
            <w:pPr>
              <w:pStyle w:val="TableParagraph"/>
              <w:spacing w:before="4"/>
              <w:rPr>
                <w:sz w:val="13"/>
              </w:rPr>
            </w:pPr>
          </w:p>
          <w:p w14:paraId="43163565" w14:textId="77777777" w:rsidR="009948F1" w:rsidRDefault="00BC0563">
            <w:pPr>
              <w:pStyle w:val="TableParagraph"/>
              <w:spacing w:before="1" w:line="264" w:lineRule="auto"/>
              <w:ind w:left="25" w:right="44" w:firstLine="33"/>
              <w:rPr>
                <w:sz w:val="12"/>
              </w:rPr>
            </w:pPr>
            <w:r>
              <w:rPr>
                <w:color w:val="231F20"/>
                <w:sz w:val="12"/>
              </w:rPr>
              <w:t>Review Provider Payment mechanisms in the Nigerian health sector to focus on RBF</w:t>
            </w:r>
          </w:p>
        </w:tc>
        <w:tc>
          <w:tcPr>
            <w:tcW w:w="2423" w:type="dxa"/>
            <w:tcBorders>
              <w:left w:val="single" w:sz="6" w:space="0" w:color="231F20"/>
              <w:bottom w:val="single" w:sz="6" w:space="0" w:color="231F20"/>
              <w:right w:val="single" w:sz="6" w:space="0" w:color="231F20"/>
            </w:tcBorders>
            <w:shd w:val="clear" w:color="auto" w:fill="CCE7D3"/>
          </w:tcPr>
          <w:p w14:paraId="460B3344" w14:textId="77777777" w:rsidR="009948F1" w:rsidRDefault="00BC0563">
            <w:pPr>
              <w:pStyle w:val="TableParagraph"/>
              <w:numPr>
                <w:ilvl w:val="0"/>
                <w:numId w:val="4"/>
              </w:numPr>
              <w:tabs>
                <w:tab w:val="left" w:pos="104"/>
              </w:tabs>
              <w:spacing w:before="8" w:line="264" w:lineRule="auto"/>
              <w:ind w:right="665" w:firstLine="0"/>
              <w:rPr>
                <w:sz w:val="12"/>
              </w:rPr>
            </w:pPr>
            <w:r>
              <w:rPr>
                <w:color w:val="231F20"/>
                <w:sz w:val="12"/>
              </w:rPr>
              <w:t xml:space="preserve">PPM developed, validated </w:t>
            </w:r>
            <w:r>
              <w:rPr>
                <w:color w:val="231F20"/>
                <w:spacing w:val="-5"/>
                <w:sz w:val="12"/>
              </w:rPr>
              <w:t xml:space="preserve">and </w:t>
            </w:r>
            <w:r>
              <w:rPr>
                <w:color w:val="231F20"/>
                <w:sz w:val="12"/>
              </w:rPr>
              <w:t>disseminated to</w:t>
            </w:r>
            <w:r>
              <w:rPr>
                <w:color w:val="231F20"/>
                <w:spacing w:val="2"/>
                <w:sz w:val="12"/>
              </w:rPr>
              <w:t xml:space="preserve"> </w:t>
            </w:r>
            <w:r>
              <w:rPr>
                <w:color w:val="231F20"/>
                <w:sz w:val="12"/>
              </w:rPr>
              <w:t>stakeholders</w:t>
            </w:r>
          </w:p>
          <w:p w14:paraId="36BA8DCC" w14:textId="77777777" w:rsidR="009948F1" w:rsidRDefault="00BC0563">
            <w:pPr>
              <w:pStyle w:val="TableParagraph"/>
              <w:spacing w:line="137" w:lineRule="exact"/>
              <w:ind w:left="27"/>
              <w:rPr>
                <w:sz w:val="12"/>
              </w:rPr>
            </w:pPr>
            <w:r>
              <w:rPr>
                <w:color w:val="231F20"/>
                <w:sz w:val="12"/>
              </w:rPr>
              <w:t>•</w:t>
            </w:r>
          </w:p>
          <w:p w14:paraId="2DDE99A3" w14:textId="77777777" w:rsidR="009948F1" w:rsidRDefault="00BC0563">
            <w:pPr>
              <w:pStyle w:val="TableParagraph"/>
              <w:spacing w:before="13"/>
              <w:ind w:left="27"/>
              <w:rPr>
                <w:sz w:val="12"/>
              </w:rPr>
            </w:pPr>
            <w:r>
              <w:rPr>
                <w:color w:val="231F20"/>
                <w:sz w:val="12"/>
              </w:rPr>
              <w:t>•</w:t>
            </w:r>
          </w:p>
        </w:tc>
        <w:tc>
          <w:tcPr>
            <w:tcW w:w="1450" w:type="dxa"/>
            <w:tcBorders>
              <w:top w:val="single" w:sz="6" w:space="0" w:color="231F20"/>
              <w:left w:val="single" w:sz="6" w:space="0" w:color="231F20"/>
              <w:bottom w:val="single" w:sz="6" w:space="0" w:color="231F20"/>
              <w:right w:val="single" w:sz="6" w:space="0" w:color="231F20"/>
            </w:tcBorders>
            <w:shd w:val="clear" w:color="auto" w:fill="CCE7D3"/>
          </w:tcPr>
          <w:p w14:paraId="4FB8C37A" w14:textId="77777777" w:rsidR="009948F1" w:rsidRDefault="009948F1">
            <w:pPr>
              <w:pStyle w:val="TableParagraph"/>
              <w:rPr>
                <w:rFonts w:ascii="Times New Roman"/>
                <w:sz w:val="12"/>
              </w:rPr>
            </w:pPr>
          </w:p>
        </w:tc>
        <w:tc>
          <w:tcPr>
            <w:tcW w:w="1530" w:type="dxa"/>
            <w:tcBorders>
              <w:left w:val="single" w:sz="6" w:space="0" w:color="231F20"/>
              <w:bottom w:val="single" w:sz="6" w:space="0" w:color="231F20"/>
              <w:right w:val="single" w:sz="6" w:space="0" w:color="231F20"/>
            </w:tcBorders>
            <w:shd w:val="clear" w:color="auto" w:fill="CCE7D3"/>
          </w:tcPr>
          <w:p w14:paraId="7E30012C" w14:textId="77777777" w:rsidR="009948F1" w:rsidRDefault="009948F1">
            <w:pPr>
              <w:pStyle w:val="TableParagraph"/>
              <w:rPr>
                <w:rFonts w:ascii="Times New Roman"/>
                <w:sz w:val="12"/>
              </w:rPr>
            </w:pPr>
          </w:p>
        </w:tc>
      </w:tr>
      <w:tr w:rsidR="009948F1" w14:paraId="5DA54997" w14:textId="77777777">
        <w:trPr>
          <w:trHeight w:val="446"/>
        </w:trPr>
        <w:tc>
          <w:tcPr>
            <w:tcW w:w="818" w:type="dxa"/>
            <w:gridSpan w:val="2"/>
            <w:vMerge w:val="restart"/>
            <w:tcBorders>
              <w:top w:val="nil"/>
              <w:bottom w:val="nil"/>
              <w:right w:val="single" w:sz="6" w:space="0" w:color="231F20"/>
            </w:tcBorders>
          </w:tcPr>
          <w:p w14:paraId="1E77B572"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717886F7" w14:textId="77777777" w:rsidR="009948F1" w:rsidRDefault="009948F1">
            <w:pPr>
              <w:pStyle w:val="TableParagraph"/>
              <w:spacing w:before="11"/>
              <w:rPr>
                <w:sz w:val="12"/>
              </w:rPr>
            </w:pPr>
          </w:p>
          <w:p w14:paraId="37DEA68B" w14:textId="77777777" w:rsidR="009948F1" w:rsidRDefault="00BC0563">
            <w:pPr>
              <w:pStyle w:val="TableParagraph"/>
              <w:ind w:left="33" w:right="12"/>
              <w:jc w:val="center"/>
              <w:rPr>
                <w:sz w:val="12"/>
              </w:rPr>
            </w:pPr>
            <w:r>
              <w:rPr>
                <w:color w:val="231F20"/>
                <w:sz w:val="12"/>
              </w:rPr>
              <w:t>15.4.1.a</w:t>
            </w:r>
          </w:p>
        </w:tc>
        <w:tc>
          <w:tcPr>
            <w:tcW w:w="4975" w:type="dxa"/>
            <w:gridSpan w:val="2"/>
            <w:tcBorders>
              <w:top w:val="single" w:sz="6" w:space="0" w:color="231F20"/>
              <w:left w:val="single" w:sz="6" w:space="0" w:color="231F20"/>
              <w:bottom w:val="single" w:sz="6" w:space="0" w:color="231F20"/>
              <w:right w:val="single" w:sz="6" w:space="0" w:color="231F20"/>
            </w:tcBorders>
          </w:tcPr>
          <w:p w14:paraId="73A8033A" w14:textId="77777777" w:rsidR="009948F1" w:rsidRDefault="009948F1">
            <w:pPr>
              <w:pStyle w:val="TableParagraph"/>
              <w:spacing w:before="6"/>
              <w:rPr>
                <w:sz w:val="12"/>
              </w:rPr>
            </w:pPr>
          </w:p>
          <w:p w14:paraId="0F90B505" w14:textId="77777777" w:rsidR="009948F1" w:rsidRDefault="00BC0563">
            <w:pPr>
              <w:pStyle w:val="TableParagraph"/>
              <w:ind w:left="26"/>
              <w:rPr>
                <w:sz w:val="12"/>
              </w:rPr>
            </w:pPr>
            <w:r>
              <w:rPr>
                <w:color w:val="231F20"/>
                <w:sz w:val="12"/>
              </w:rPr>
              <w:t>Conduct workshop to develop Provider Payment Mechanism (PPM)</w:t>
            </w:r>
          </w:p>
        </w:tc>
        <w:tc>
          <w:tcPr>
            <w:tcW w:w="1450" w:type="dxa"/>
            <w:tcBorders>
              <w:top w:val="single" w:sz="6" w:space="0" w:color="231F20"/>
              <w:left w:val="single" w:sz="6" w:space="0" w:color="231F20"/>
              <w:bottom w:val="single" w:sz="6" w:space="0" w:color="231F20"/>
              <w:right w:val="single" w:sz="6" w:space="0" w:color="231F20"/>
            </w:tcBorders>
          </w:tcPr>
          <w:p w14:paraId="3D7D387D" w14:textId="77777777" w:rsidR="009948F1" w:rsidRDefault="009948F1">
            <w:pPr>
              <w:pStyle w:val="TableParagraph"/>
              <w:spacing w:before="11"/>
              <w:rPr>
                <w:sz w:val="12"/>
              </w:rPr>
            </w:pPr>
          </w:p>
          <w:p w14:paraId="07ECEBAE"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271A24A4" w14:textId="77777777" w:rsidR="009948F1" w:rsidRDefault="009948F1">
            <w:pPr>
              <w:pStyle w:val="TableParagraph"/>
              <w:spacing w:before="11"/>
              <w:rPr>
                <w:sz w:val="12"/>
              </w:rPr>
            </w:pPr>
          </w:p>
          <w:p w14:paraId="30FC646C" w14:textId="44DCEF30" w:rsidR="009948F1" w:rsidRDefault="00BC0563">
            <w:pPr>
              <w:pStyle w:val="TableParagraph"/>
              <w:ind w:left="29"/>
              <w:rPr>
                <w:sz w:val="12"/>
              </w:rPr>
            </w:pPr>
            <w:r>
              <w:rPr>
                <w:color w:val="231F20"/>
                <w:sz w:val="12"/>
              </w:rPr>
              <w:t xml:space="preserve">Conduct </w:t>
            </w:r>
            <w:r w:rsidR="002049E3">
              <w:rPr>
                <w:color w:val="231F20"/>
                <w:sz w:val="12"/>
              </w:rPr>
              <w:t>workshop</w:t>
            </w:r>
          </w:p>
        </w:tc>
      </w:tr>
      <w:tr w:rsidR="009948F1" w14:paraId="44F11B08" w14:textId="77777777">
        <w:trPr>
          <w:trHeight w:val="527"/>
        </w:trPr>
        <w:tc>
          <w:tcPr>
            <w:tcW w:w="818" w:type="dxa"/>
            <w:gridSpan w:val="2"/>
            <w:vMerge/>
            <w:tcBorders>
              <w:top w:val="nil"/>
              <w:bottom w:val="nil"/>
              <w:right w:val="single" w:sz="6" w:space="0" w:color="231F20"/>
            </w:tcBorders>
          </w:tcPr>
          <w:p w14:paraId="29051533"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430B1C38" w14:textId="77777777" w:rsidR="009948F1" w:rsidRDefault="009948F1">
            <w:pPr>
              <w:pStyle w:val="TableParagraph"/>
              <w:spacing w:before="5"/>
              <w:rPr>
                <w:sz w:val="16"/>
              </w:rPr>
            </w:pPr>
          </w:p>
          <w:p w14:paraId="1C467041" w14:textId="77777777" w:rsidR="009948F1" w:rsidRDefault="00BC0563">
            <w:pPr>
              <w:pStyle w:val="TableParagraph"/>
              <w:spacing w:before="1"/>
              <w:ind w:left="33" w:right="12"/>
              <w:jc w:val="center"/>
              <w:rPr>
                <w:sz w:val="12"/>
              </w:rPr>
            </w:pPr>
            <w:r>
              <w:rPr>
                <w:color w:val="231F20"/>
                <w:sz w:val="12"/>
              </w:rPr>
              <w:t>15.4.1.b</w:t>
            </w:r>
          </w:p>
        </w:tc>
        <w:tc>
          <w:tcPr>
            <w:tcW w:w="4975" w:type="dxa"/>
            <w:gridSpan w:val="2"/>
            <w:tcBorders>
              <w:top w:val="single" w:sz="6" w:space="0" w:color="231F20"/>
              <w:left w:val="single" w:sz="6" w:space="0" w:color="231F20"/>
              <w:bottom w:val="single" w:sz="6" w:space="0" w:color="231F20"/>
              <w:right w:val="single" w:sz="6" w:space="0" w:color="231F20"/>
            </w:tcBorders>
          </w:tcPr>
          <w:p w14:paraId="554D3445" w14:textId="77777777" w:rsidR="009948F1" w:rsidRDefault="009948F1">
            <w:pPr>
              <w:pStyle w:val="TableParagraph"/>
              <w:spacing w:before="1"/>
              <w:rPr>
                <w:sz w:val="16"/>
              </w:rPr>
            </w:pPr>
          </w:p>
          <w:p w14:paraId="0DDB1FEC" w14:textId="77777777" w:rsidR="009948F1" w:rsidRDefault="00BC0563">
            <w:pPr>
              <w:pStyle w:val="TableParagraph"/>
              <w:ind w:left="26"/>
              <w:rPr>
                <w:sz w:val="12"/>
              </w:rPr>
            </w:pPr>
            <w:r>
              <w:rPr>
                <w:color w:val="231F20"/>
                <w:sz w:val="12"/>
              </w:rPr>
              <w:t>Conduct workshop to validate the PPM</w:t>
            </w:r>
          </w:p>
        </w:tc>
        <w:tc>
          <w:tcPr>
            <w:tcW w:w="1450" w:type="dxa"/>
            <w:tcBorders>
              <w:top w:val="single" w:sz="6" w:space="0" w:color="231F20"/>
              <w:left w:val="single" w:sz="6" w:space="0" w:color="231F20"/>
              <w:bottom w:val="single" w:sz="6" w:space="0" w:color="231F20"/>
              <w:right w:val="single" w:sz="6" w:space="0" w:color="231F20"/>
            </w:tcBorders>
          </w:tcPr>
          <w:p w14:paraId="2A6466F2" w14:textId="77777777" w:rsidR="009948F1" w:rsidRDefault="009948F1">
            <w:pPr>
              <w:pStyle w:val="TableParagraph"/>
              <w:spacing w:before="5"/>
              <w:rPr>
                <w:sz w:val="16"/>
              </w:rPr>
            </w:pPr>
          </w:p>
          <w:p w14:paraId="68CE0CF5" w14:textId="77777777" w:rsidR="009948F1" w:rsidRDefault="00BC0563">
            <w:pPr>
              <w:pStyle w:val="TableParagraph"/>
              <w:spacing w:before="1"/>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43D3F1F0" w14:textId="77777777" w:rsidR="009948F1" w:rsidRDefault="009948F1">
            <w:pPr>
              <w:pStyle w:val="TableParagraph"/>
              <w:spacing w:before="5"/>
              <w:rPr>
                <w:sz w:val="16"/>
              </w:rPr>
            </w:pPr>
          </w:p>
          <w:p w14:paraId="34F56359" w14:textId="77777777" w:rsidR="009948F1" w:rsidRDefault="00BC0563">
            <w:pPr>
              <w:pStyle w:val="TableParagraph"/>
              <w:spacing w:before="1"/>
              <w:ind w:left="29"/>
              <w:rPr>
                <w:sz w:val="12"/>
              </w:rPr>
            </w:pPr>
            <w:r>
              <w:rPr>
                <w:color w:val="231F20"/>
                <w:sz w:val="12"/>
              </w:rPr>
              <w:t>Costed in 15.1.1a</w:t>
            </w:r>
          </w:p>
        </w:tc>
      </w:tr>
      <w:tr w:rsidR="009948F1" w14:paraId="613A52B9" w14:textId="77777777">
        <w:trPr>
          <w:trHeight w:val="293"/>
        </w:trPr>
        <w:tc>
          <w:tcPr>
            <w:tcW w:w="818" w:type="dxa"/>
            <w:gridSpan w:val="2"/>
            <w:vMerge/>
            <w:tcBorders>
              <w:top w:val="nil"/>
              <w:bottom w:val="nil"/>
              <w:right w:val="single" w:sz="6" w:space="0" w:color="231F20"/>
            </w:tcBorders>
          </w:tcPr>
          <w:p w14:paraId="70A6E99B"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4E5CC822" w14:textId="77777777" w:rsidR="009948F1" w:rsidRDefault="00BC0563">
            <w:pPr>
              <w:pStyle w:val="TableParagraph"/>
              <w:spacing w:before="73"/>
              <w:ind w:left="33" w:right="11"/>
              <w:jc w:val="center"/>
              <w:rPr>
                <w:sz w:val="12"/>
              </w:rPr>
            </w:pPr>
            <w:r>
              <w:rPr>
                <w:color w:val="231F20"/>
                <w:sz w:val="12"/>
              </w:rPr>
              <w:t>15.4.1.c</w:t>
            </w:r>
          </w:p>
        </w:tc>
        <w:tc>
          <w:tcPr>
            <w:tcW w:w="4975" w:type="dxa"/>
            <w:gridSpan w:val="2"/>
            <w:tcBorders>
              <w:top w:val="single" w:sz="6" w:space="0" w:color="231F20"/>
              <w:left w:val="single" w:sz="6" w:space="0" w:color="231F20"/>
              <w:bottom w:val="single" w:sz="6" w:space="0" w:color="231F20"/>
              <w:right w:val="single" w:sz="6" w:space="0" w:color="231F20"/>
            </w:tcBorders>
          </w:tcPr>
          <w:p w14:paraId="58769EAF" w14:textId="77777777" w:rsidR="009948F1" w:rsidRDefault="00BC0563">
            <w:pPr>
              <w:pStyle w:val="TableParagraph"/>
              <w:spacing w:before="68"/>
              <w:ind w:left="26"/>
              <w:rPr>
                <w:sz w:val="12"/>
              </w:rPr>
            </w:pPr>
            <w:r>
              <w:rPr>
                <w:color w:val="231F20"/>
                <w:sz w:val="12"/>
              </w:rPr>
              <w:t>Print and disseminate to stakeholders the developed PPM</w:t>
            </w:r>
          </w:p>
        </w:tc>
        <w:tc>
          <w:tcPr>
            <w:tcW w:w="1450" w:type="dxa"/>
            <w:tcBorders>
              <w:top w:val="single" w:sz="6" w:space="0" w:color="231F20"/>
              <w:left w:val="single" w:sz="6" w:space="0" w:color="231F20"/>
              <w:bottom w:val="single" w:sz="6" w:space="0" w:color="231F20"/>
              <w:right w:val="single" w:sz="6" w:space="0" w:color="231F20"/>
            </w:tcBorders>
          </w:tcPr>
          <w:p w14:paraId="59B293B6" w14:textId="77777777" w:rsidR="009948F1" w:rsidRDefault="00BC0563">
            <w:pPr>
              <w:pStyle w:val="TableParagraph"/>
              <w:spacing w:before="73"/>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32D99BCA" w14:textId="77777777" w:rsidR="009948F1" w:rsidRDefault="00BC0563">
            <w:pPr>
              <w:pStyle w:val="TableParagraph"/>
              <w:spacing w:before="73"/>
              <w:ind w:left="29"/>
              <w:rPr>
                <w:sz w:val="12"/>
              </w:rPr>
            </w:pPr>
            <w:r>
              <w:rPr>
                <w:color w:val="231F20"/>
                <w:sz w:val="12"/>
              </w:rPr>
              <w:t>Print and disseminate</w:t>
            </w:r>
          </w:p>
        </w:tc>
      </w:tr>
      <w:tr w:rsidR="009948F1" w14:paraId="5860B604" w14:textId="77777777">
        <w:trPr>
          <w:trHeight w:val="996"/>
        </w:trPr>
        <w:tc>
          <w:tcPr>
            <w:tcW w:w="356" w:type="dxa"/>
            <w:tcBorders>
              <w:top w:val="nil"/>
              <w:bottom w:val="nil"/>
              <w:right w:val="single" w:sz="6" w:space="0" w:color="231F20"/>
            </w:tcBorders>
          </w:tcPr>
          <w:p w14:paraId="158461D8" w14:textId="77777777" w:rsidR="009948F1" w:rsidRDefault="009948F1">
            <w:pPr>
              <w:pStyle w:val="TableParagraph"/>
              <w:rPr>
                <w:rFonts w:ascii="Times New Roman"/>
                <w:sz w:val="12"/>
              </w:rPr>
            </w:pPr>
          </w:p>
        </w:tc>
        <w:tc>
          <w:tcPr>
            <w:tcW w:w="462" w:type="dxa"/>
            <w:tcBorders>
              <w:top w:val="single" w:sz="6" w:space="0" w:color="231F20"/>
              <w:left w:val="single" w:sz="6" w:space="0" w:color="231F20"/>
              <w:bottom w:val="single" w:sz="6" w:space="0" w:color="231F20"/>
              <w:right w:val="single" w:sz="6" w:space="0" w:color="231F20"/>
            </w:tcBorders>
            <w:shd w:val="clear" w:color="auto" w:fill="CCE7D3"/>
          </w:tcPr>
          <w:p w14:paraId="12AA5EC2" w14:textId="77777777" w:rsidR="009948F1" w:rsidRDefault="009948F1">
            <w:pPr>
              <w:pStyle w:val="TableParagraph"/>
              <w:rPr>
                <w:sz w:val="12"/>
              </w:rPr>
            </w:pPr>
          </w:p>
          <w:p w14:paraId="2D01F04D" w14:textId="77777777" w:rsidR="009948F1" w:rsidRDefault="009948F1">
            <w:pPr>
              <w:pStyle w:val="TableParagraph"/>
              <w:rPr>
                <w:sz w:val="12"/>
              </w:rPr>
            </w:pPr>
          </w:p>
          <w:p w14:paraId="3E6C79D0" w14:textId="77777777" w:rsidR="009948F1" w:rsidRDefault="009948F1">
            <w:pPr>
              <w:pStyle w:val="TableParagraph"/>
              <w:spacing w:before="9"/>
              <w:rPr>
                <w:sz w:val="12"/>
              </w:rPr>
            </w:pPr>
          </w:p>
          <w:p w14:paraId="6289F11C" w14:textId="77777777" w:rsidR="009948F1" w:rsidRDefault="00BC0563">
            <w:pPr>
              <w:pStyle w:val="TableParagraph"/>
              <w:ind w:left="58"/>
              <w:rPr>
                <w:sz w:val="12"/>
              </w:rPr>
            </w:pPr>
            <w:r>
              <w:rPr>
                <w:color w:val="231F20"/>
                <w:sz w:val="12"/>
              </w:rPr>
              <w:t>15.4.2</w:t>
            </w:r>
          </w:p>
        </w:tc>
        <w:tc>
          <w:tcPr>
            <w:tcW w:w="3086" w:type="dxa"/>
            <w:gridSpan w:val="2"/>
            <w:tcBorders>
              <w:top w:val="single" w:sz="6" w:space="0" w:color="231F20"/>
              <w:left w:val="single" w:sz="6" w:space="0" w:color="231F20"/>
              <w:bottom w:val="single" w:sz="6" w:space="0" w:color="231F20"/>
              <w:right w:val="single" w:sz="6" w:space="0" w:color="231F20"/>
            </w:tcBorders>
            <w:shd w:val="clear" w:color="auto" w:fill="CCE7D3"/>
          </w:tcPr>
          <w:p w14:paraId="60F3A320" w14:textId="77777777" w:rsidR="009948F1" w:rsidRDefault="009948F1">
            <w:pPr>
              <w:pStyle w:val="TableParagraph"/>
              <w:rPr>
                <w:sz w:val="12"/>
              </w:rPr>
            </w:pPr>
          </w:p>
          <w:p w14:paraId="7DC5E84D" w14:textId="77777777" w:rsidR="009948F1" w:rsidRDefault="009948F1">
            <w:pPr>
              <w:pStyle w:val="TableParagraph"/>
              <w:spacing w:before="2"/>
              <w:rPr>
                <w:sz w:val="11"/>
              </w:rPr>
            </w:pPr>
          </w:p>
          <w:p w14:paraId="2C6DBE78" w14:textId="77777777" w:rsidR="009948F1" w:rsidRDefault="00BC0563">
            <w:pPr>
              <w:pStyle w:val="TableParagraph"/>
              <w:spacing w:before="1" w:line="264" w:lineRule="auto"/>
              <w:ind w:left="25" w:right="31" w:firstLine="33"/>
              <w:rPr>
                <w:sz w:val="12"/>
              </w:rPr>
            </w:pPr>
            <w:r>
              <w:rPr>
                <w:color w:val="231F20"/>
                <w:sz w:val="12"/>
              </w:rPr>
              <w:t>Develop Framework for competition between public and private sector providers in the allocation of new resources for healthcare</w:t>
            </w:r>
          </w:p>
        </w:tc>
        <w:tc>
          <w:tcPr>
            <w:tcW w:w="2423" w:type="dxa"/>
            <w:tcBorders>
              <w:top w:val="single" w:sz="6" w:space="0" w:color="231F20"/>
              <w:left w:val="single" w:sz="6" w:space="0" w:color="231F20"/>
              <w:bottom w:val="single" w:sz="6" w:space="0" w:color="231F20"/>
              <w:right w:val="single" w:sz="6" w:space="0" w:color="231F20"/>
            </w:tcBorders>
            <w:shd w:val="clear" w:color="auto" w:fill="CCE7D3"/>
          </w:tcPr>
          <w:p w14:paraId="0930DC09" w14:textId="77777777" w:rsidR="009948F1" w:rsidRDefault="00BC0563">
            <w:pPr>
              <w:pStyle w:val="TableParagraph"/>
              <w:numPr>
                <w:ilvl w:val="0"/>
                <w:numId w:val="3"/>
              </w:numPr>
              <w:tabs>
                <w:tab w:val="left" w:pos="104"/>
              </w:tabs>
              <w:spacing w:before="46" w:line="264" w:lineRule="auto"/>
              <w:ind w:right="35" w:firstLine="0"/>
              <w:rPr>
                <w:sz w:val="12"/>
              </w:rPr>
            </w:pPr>
            <w:r>
              <w:rPr>
                <w:color w:val="231F20"/>
                <w:sz w:val="12"/>
              </w:rPr>
              <w:t xml:space="preserve">Framework for competition between </w:t>
            </w:r>
            <w:r>
              <w:rPr>
                <w:color w:val="231F20"/>
                <w:spacing w:val="-3"/>
                <w:sz w:val="12"/>
              </w:rPr>
              <w:t xml:space="preserve">public </w:t>
            </w:r>
            <w:r>
              <w:rPr>
                <w:color w:val="231F20"/>
                <w:sz w:val="12"/>
              </w:rPr>
              <w:t>and private sector providers</w:t>
            </w:r>
            <w:r>
              <w:rPr>
                <w:color w:val="231F20"/>
                <w:spacing w:val="3"/>
                <w:sz w:val="12"/>
              </w:rPr>
              <w:t xml:space="preserve"> </w:t>
            </w:r>
            <w:r>
              <w:rPr>
                <w:color w:val="231F20"/>
                <w:sz w:val="12"/>
              </w:rPr>
              <w:t>developed</w:t>
            </w:r>
          </w:p>
          <w:p w14:paraId="327601F6" w14:textId="77777777" w:rsidR="009948F1" w:rsidRDefault="00BC0563">
            <w:pPr>
              <w:pStyle w:val="TableParagraph"/>
              <w:spacing w:line="264" w:lineRule="auto"/>
              <w:ind w:left="27" w:right="244"/>
              <w:rPr>
                <w:sz w:val="12"/>
              </w:rPr>
            </w:pPr>
            <w:r>
              <w:rPr>
                <w:color w:val="231F20"/>
                <w:sz w:val="12"/>
              </w:rPr>
              <w:t>•Financial health bulletin developed and published</w:t>
            </w:r>
          </w:p>
          <w:p w14:paraId="74361926" w14:textId="77777777" w:rsidR="009948F1" w:rsidRDefault="00BC0563">
            <w:pPr>
              <w:pStyle w:val="TableParagraph"/>
              <w:numPr>
                <w:ilvl w:val="0"/>
                <w:numId w:val="3"/>
              </w:numPr>
              <w:tabs>
                <w:tab w:val="left" w:pos="104"/>
              </w:tabs>
              <w:spacing w:line="264" w:lineRule="auto"/>
              <w:ind w:right="169" w:firstLine="0"/>
              <w:rPr>
                <w:sz w:val="12"/>
              </w:rPr>
            </w:pPr>
            <w:r>
              <w:rPr>
                <w:color w:val="231F20"/>
                <w:sz w:val="12"/>
              </w:rPr>
              <w:t xml:space="preserve">Empowerment/provision of incentives </w:t>
            </w:r>
            <w:r>
              <w:rPr>
                <w:color w:val="231F20"/>
                <w:spacing w:val="-9"/>
                <w:sz w:val="12"/>
              </w:rPr>
              <w:t xml:space="preserve">to </w:t>
            </w:r>
            <w:r>
              <w:rPr>
                <w:color w:val="231F20"/>
                <w:sz w:val="12"/>
              </w:rPr>
              <w:t>enhance performance done</w:t>
            </w:r>
          </w:p>
        </w:tc>
        <w:tc>
          <w:tcPr>
            <w:tcW w:w="1450" w:type="dxa"/>
            <w:tcBorders>
              <w:top w:val="single" w:sz="6" w:space="0" w:color="231F20"/>
              <w:left w:val="single" w:sz="6" w:space="0" w:color="231F20"/>
              <w:bottom w:val="single" w:sz="6" w:space="0" w:color="231F20"/>
              <w:right w:val="single" w:sz="6" w:space="0" w:color="231F20"/>
            </w:tcBorders>
            <w:shd w:val="clear" w:color="auto" w:fill="CCE7D3"/>
          </w:tcPr>
          <w:p w14:paraId="5A6FBE64" w14:textId="77777777" w:rsidR="009948F1" w:rsidRDefault="009948F1">
            <w:pPr>
              <w:pStyle w:val="TableParagraph"/>
              <w:rPr>
                <w:rFonts w:ascii="Times New Roman"/>
                <w:sz w:val="12"/>
              </w:rPr>
            </w:pPr>
          </w:p>
        </w:tc>
        <w:tc>
          <w:tcPr>
            <w:tcW w:w="1530" w:type="dxa"/>
            <w:tcBorders>
              <w:top w:val="single" w:sz="6" w:space="0" w:color="231F20"/>
              <w:left w:val="single" w:sz="6" w:space="0" w:color="231F20"/>
              <w:bottom w:val="single" w:sz="6" w:space="0" w:color="231F20"/>
              <w:right w:val="single" w:sz="6" w:space="0" w:color="231F20"/>
            </w:tcBorders>
            <w:shd w:val="clear" w:color="auto" w:fill="CCE7D3"/>
          </w:tcPr>
          <w:p w14:paraId="0BE7D846" w14:textId="77777777" w:rsidR="009948F1" w:rsidRDefault="009948F1">
            <w:pPr>
              <w:pStyle w:val="TableParagraph"/>
              <w:rPr>
                <w:rFonts w:ascii="Times New Roman"/>
                <w:sz w:val="12"/>
              </w:rPr>
            </w:pPr>
          </w:p>
        </w:tc>
      </w:tr>
      <w:tr w:rsidR="009948F1" w14:paraId="1A3D21AD" w14:textId="77777777">
        <w:trPr>
          <w:trHeight w:val="287"/>
        </w:trPr>
        <w:tc>
          <w:tcPr>
            <w:tcW w:w="818" w:type="dxa"/>
            <w:gridSpan w:val="2"/>
            <w:vMerge w:val="restart"/>
            <w:tcBorders>
              <w:top w:val="nil"/>
              <w:right w:val="single" w:sz="6" w:space="0" w:color="231F20"/>
            </w:tcBorders>
          </w:tcPr>
          <w:p w14:paraId="1133A753" w14:textId="77777777" w:rsidR="009948F1" w:rsidRDefault="009948F1">
            <w:pPr>
              <w:pStyle w:val="TableParagraph"/>
              <w:rPr>
                <w:rFonts w:ascii="Times New Roman"/>
                <w:sz w:val="12"/>
              </w:rPr>
            </w:pPr>
          </w:p>
        </w:tc>
        <w:tc>
          <w:tcPr>
            <w:tcW w:w="534" w:type="dxa"/>
            <w:tcBorders>
              <w:top w:val="single" w:sz="6" w:space="0" w:color="231F20"/>
              <w:left w:val="single" w:sz="6" w:space="0" w:color="231F20"/>
              <w:bottom w:val="single" w:sz="6" w:space="0" w:color="231F20"/>
              <w:right w:val="single" w:sz="6" w:space="0" w:color="231F20"/>
            </w:tcBorders>
          </w:tcPr>
          <w:p w14:paraId="05A6D5E6" w14:textId="77777777" w:rsidR="009948F1" w:rsidRDefault="00BC0563">
            <w:pPr>
              <w:pStyle w:val="TableParagraph"/>
              <w:spacing w:before="70"/>
              <w:ind w:left="33" w:right="12"/>
              <w:jc w:val="center"/>
              <w:rPr>
                <w:sz w:val="12"/>
              </w:rPr>
            </w:pPr>
            <w:r>
              <w:rPr>
                <w:color w:val="231F20"/>
                <w:sz w:val="12"/>
              </w:rPr>
              <w:t>15.4.2.a</w:t>
            </w:r>
          </w:p>
        </w:tc>
        <w:tc>
          <w:tcPr>
            <w:tcW w:w="4975" w:type="dxa"/>
            <w:gridSpan w:val="2"/>
            <w:tcBorders>
              <w:top w:val="single" w:sz="6" w:space="0" w:color="231F20"/>
              <w:left w:val="single" w:sz="6" w:space="0" w:color="231F20"/>
              <w:bottom w:val="single" w:sz="6" w:space="0" w:color="231F20"/>
              <w:right w:val="single" w:sz="6" w:space="0" w:color="231F20"/>
            </w:tcBorders>
          </w:tcPr>
          <w:p w14:paraId="6C689B9D" w14:textId="77777777" w:rsidR="009948F1" w:rsidRDefault="00BC0563">
            <w:pPr>
              <w:pStyle w:val="TableParagraph"/>
              <w:spacing w:before="65"/>
              <w:ind w:left="26"/>
              <w:rPr>
                <w:sz w:val="12"/>
              </w:rPr>
            </w:pPr>
            <w:r>
              <w:rPr>
                <w:color w:val="231F20"/>
                <w:sz w:val="12"/>
              </w:rPr>
              <w:t>Develop framework for competition between public and private sector providers</w:t>
            </w:r>
          </w:p>
        </w:tc>
        <w:tc>
          <w:tcPr>
            <w:tcW w:w="1450" w:type="dxa"/>
            <w:tcBorders>
              <w:top w:val="single" w:sz="6" w:space="0" w:color="231F20"/>
              <w:left w:val="single" w:sz="6" w:space="0" w:color="231F20"/>
              <w:bottom w:val="single" w:sz="6" w:space="0" w:color="231F20"/>
              <w:right w:val="single" w:sz="6" w:space="0" w:color="231F20"/>
            </w:tcBorders>
          </w:tcPr>
          <w:p w14:paraId="0426C5AF" w14:textId="77777777" w:rsidR="009948F1" w:rsidRDefault="00BC0563">
            <w:pPr>
              <w:pStyle w:val="TableParagraph"/>
              <w:spacing w:before="70"/>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5E7A7090" w14:textId="77777777" w:rsidR="009948F1" w:rsidRDefault="00BC0563">
            <w:pPr>
              <w:pStyle w:val="TableParagraph"/>
              <w:spacing w:before="70"/>
              <w:ind w:left="29"/>
              <w:rPr>
                <w:sz w:val="12"/>
              </w:rPr>
            </w:pPr>
            <w:r>
              <w:rPr>
                <w:color w:val="231F20"/>
                <w:sz w:val="12"/>
              </w:rPr>
              <w:t>Develop framework</w:t>
            </w:r>
          </w:p>
        </w:tc>
      </w:tr>
      <w:tr w:rsidR="009948F1" w14:paraId="77A26EFD" w14:textId="77777777">
        <w:trPr>
          <w:trHeight w:val="274"/>
        </w:trPr>
        <w:tc>
          <w:tcPr>
            <w:tcW w:w="818" w:type="dxa"/>
            <w:gridSpan w:val="2"/>
            <w:vMerge/>
            <w:tcBorders>
              <w:top w:val="nil"/>
              <w:right w:val="single" w:sz="6" w:space="0" w:color="231F20"/>
            </w:tcBorders>
          </w:tcPr>
          <w:p w14:paraId="3641A9C3"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101A755C" w14:textId="77777777" w:rsidR="009948F1" w:rsidRDefault="00BC0563">
            <w:pPr>
              <w:pStyle w:val="TableParagraph"/>
              <w:spacing w:before="63"/>
              <w:ind w:left="33" w:right="12"/>
              <w:jc w:val="center"/>
              <w:rPr>
                <w:sz w:val="12"/>
              </w:rPr>
            </w:pPr>
            <w:r>
              <w:rPr>
                <w:color w:val="231F20"/>
                <w:sz w:val="12"/>
              </w:rPr>
              <w:t>15.4.2.b</w:t>
            </w:r>
          </w:p>
        </w:tc>
        <w:tc>
          <w:tcPr>
            <w:tcW w:w="4975" w:type="dxa"/>
            <w:gridSpan w:val="2"/>
            <w:tcBorders>
              <w:top w:val="single" w:sz="6" w:space="0" w:color="231F20"/>
              <w:left w:val="single" w:sz="6" w:space="0" w:color="231F20"/>
              <w:bottom w:val="single" w:sz="6" w:space="0" w:color="231F20"/>
              <w:right w:val="single" w:sz="6" w:space="0" w:color="231F20"/>
            </w:tcBorders>
          </w:tcPr>
          <w:p w14:paraId="621503E4" w14:textId="77777777" w:rsidR="009948F1" w:rsidRDefault="00BC0563">
            <w:pPr>
              <w:pStyle w:val="TableParagraph"/>
              <w:spacing w:line="130" w:lineRule="exact"/>
              <w:ind w:left="26"/>
              <w:rPr>
                <w:sz w:val="12"/>
              </w:rPr>
            </w:pPr>
            <w:r>
              <w:rPr>
                <w:color w:val="231F20"/>
                <w:sz w:val="12"/>
              </w:rPr>
              <w:t>Develop/publish financial health bulletin for feedback/disseminate to eligible public and</w:t>
            </w:r>
          </w:p>
          <w:p w14:paraId="5B4327E1" w14:textId="77777777" w:rsidR="009948F1" w:rsidRDefault="00BC0563">
            <w:pPr>
              <w:pStyle w:val="TableParagraph"/>
              <w:spacing w:before="13" w:line="111" w:lineRule="exact"/>
              <w:ind w:left="26"/>
              <w:rPr>
                <w:sz w:val="12"/>
              </w:rPr>
            </w:pPr>
            <w:r>
              <w:rPr>
                <w:color w:val="231F20"/>
                <w:sz w:val="12"/>
              </w:rPr>
              <w:t>private providers</w:t>
            </w:r>
          </w:p>
        </w:tc>
        <w:tc>
          <w:tcPr>
            <w:tcW w:w="1450" w:type="dxa"/>
            <w:tcBorders>
              <w:top w:val="single" w:sz="6" w:space="0" w:color="231F20"/>
              <w:left w:val="single" w:sz="6" w:space="0" w:color="231F20"/>
              <w:bottom w:val="single" w:sz="6" w:space="0" w:color="231F20"/>
              <w:right w:val="single" w:sz="6" w:space="0" w:color="231F20"/>
            </w:tcBorders>
          </w:tcPr>
          <w:p w14:paraId="3A5DCBB7" w14:textId="77777777" w:rsidR="009948F1" w:rsidRDefault="00BC0563">
            <w:pPr>
              <w:pStyle w:val="TableParagraph"/>
              <w:spacing w:before="63"/>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3B5CF150" w14:textId="6A031A6E" w:rsidR="009948F1" w:rsidRDefault="002049E3">
            <w:pPr>
              <w:pStyle w:val="TableParagraph"/>
              <w:spacing w:before="63"/>
              <w:ind w:left="29"/>
              <w:rPr>
                <w:sz w:val="12"/>
              </w:rPr>
            </w:pPr>
            <w:r>
              <w:rPr>
                <w:color w:val="231F20"/>
                <w:sz w:val="12"/>
              </w:rPr>
              <w:t>Develop</w:t>
            </w:r>
            <w:r w:rsidR="00BC0563">
              <w:rPr>
                <w:color w:val="231F20"/>
                <w:sz w:val="12"/>
              </w:rPr>
              <w:t>/publish</w:t>
            </w:r>
          </w:p>
        </w:tc>
      </w:tr>
      <w:tr w:rsidR="009948F1" w14:paraId="58AB1355" w14:textId="77777777">
        <w:trPr>
          <w:trHeight w:val="288"/>
        </w:trPr>
        <w:tc>
          <w:tcPr>
            <w:tcW w:w="818" w:type="dxa"/>
            <w:gridSpan w:val="2"/>
            <w:vMerge/>
            <w:tcBorders>
              <w:top w:val="nil"/>
              <w:right w:val="single" w:sz="6" w:space="0" w:color="231F20"/>
            </w:tcBorders>
          </w:tcPr>
          <w:p w14:paraId="2D88D373" w14:textId="77777777" w:rsidR="009948F1" w:rsidRDefault="009948F1">
            <w:pPr>
              <w:rPr>
                <w:sz w:val="2"/>
                <w:szCs w:val="2"/>
              </w:rPr>
            </w:pPr>
          </w:p>
        </w:tc>
        <w:tc>
          <w:tcPr>
            <w:tcW w:w="534" w:type="dxa"/>
            <w:tcBorders>
              <w:top w:val="single" w:sz="6" w:space="0" w:color="231F20"/>
              <w:left w:val="single" w:sz="6" w:space="0" w:color="231F20"/>
              <w:bottom w:val="single" w:sz="6" w:space="0" w:color="231F20"/>
              <w:right w:val="single" w:sz="6" w:space="0" w:color="231F20"/>
            </w:tcBorders>
          </w:tcPr>
          <w:p w14:paraId="7524C036" w14:textId="77777777" w:rsidR="009948F1" w:rsidRDefault="00BC0563">
            <w:pPr>
              <w:pStyle w:val="TableParagraph"/>
              <w:spacing w:before="70"/>
              <w:ind w:left="33" w:right="11"/>
              <w:jc w:val="center"/>
              <w:rPr>
                <w:sz w:val="12"/>
              </w:rPr>
            </w:pPr>
            <w:r>
              <w:rPr>
                <w:color w:val="231F20"/>
                <w:sz w:val="12"/>
              </w:rPr>
              <w:t>15.4.2.c</w:t>
            </w:r>
          </w:p>
        </w:tc>
        <w:tc>
          <w:tcPr>
            <w:tcW w:w="4975" w:type="dxa"/>
            <w:gridSpan w:val="2"/>
            <w:tcBorders>
              <w:top w:val="single" w:sz="6" w:space="0" w:color="231F20"/>
              <w:left w:val="single" w:sz="6" w:space="0" w:color="231F20"/>
              <w:bottom w:val="single" w:sz="6" w:space="0" w:color="231F20"/>
              <w:right w:val="single" w:sz="6" w:space="0" w:color="231F20"/>
            </w:tcBorders>
          </w:tcPr>
          <w:p w14:paraId="1DEEC4DD" w14:textId="77777777" w:rsidR="009948F1" w:rsidRDefault="00BC0563">
            <w:pPr>
              <w:pStyle w:val="TableParagraph"/>
              <w:spacing w:before="65"/>
              <w:ind w:left="26"/>
              <w:rPr>
                <w:sz w:val="12"/>
              </w:rPr>
            </w:pPr>
            <w:r>
              <w:rPr>
                <w:color w:val="231F20"/>
                <w:sz w:val="12"/>
              </w:rPr>
              <w:t>Regular monitoring on adherence to SOPs for Service delivery</w:t>
            </w:r>
          </w:p>
        </w:tc>
        <w:tc>
          <w:tcPr>
            <w:tcW w:w="1450" w:type="dxa"/>
            <w:tcBorders>
              <w:top w:val="single" w:sz="6" w:space="0" w:color="231F20"/>
              <w:left w:val="single" w:sz="6" w:space="0" w:color="231F20"/>
              <w:bottom w:val="single" w:sz="6" w:space="0" w:color="231F20"/>
              <w:right w:val="single" w:sz="6" w:space="0" w:color="231F20"/>
            </w:tcBorders>
          </w:tcPr>
          <w:p w14:paraId="6C0325D4" w14:textId="77777777" w:rsidR="009948F1" w:rsidRDefault="00BC0563">
            <w:pPr>
              <w:pStyle w:val="TableParagraph"/>
              <w:spacing w:before="70"/>
              <w:ind w:left="28"/>
              <w:rPr>
                <w:sz w:val="12"/>
              </w:rPr>
            </w:pPr>
            <w:r>
              <w:rPr>
                <w:color w:val="231F20"/>
                <w:sz w:val="12"/>
              </w:rPr>
              <w:t>Lack of funds</w:t>
            </w:r>
          </w:p>
        </w:tc>
        <w:tc>
          <w:tcPr>
            <w:tcW w:w="1530" w:type="dxa"/>
            <w:tcBorders>
              <w:top w:val="single" w:sz="6" w:space="0" w:color="231F20"/>
              <w:left w:val="single" w:sz="6" w:space="0" w:color="231F20"/>
              <w:bottom w:val="single" w:sz="6" w:space="0" w:color="231F20"/>
              <w:right w:val="single" w:sz="6" w:space="0" w:color="231F20"/>
            </w:tcBorders>
          </w:tcPr>
          <w:p w14:paraId="4FCF2429" w14:textId="77777777" w:rsidR="009948F1" w:rsidRDefault="00BC0563">
            <w:pPr>
              <w:pStyle w:val="TableParagraph"/>
              <w:spacing w:before="70"/>
              <w:ind w:left="29"/>
              <w:rPr>
                <w:sz w:val="12"/>
              </w:rPr>
            </w:pPr>
            <w:r>
              <w:rPr>
                <w:color w:val="231F20"/>
                <w:sz w:val="12"/>
              </w:rPr>
              <w:t>Regular monitoring</w:t>
            </w:r>
          </w:p>
        </w:tc>
      </w:tr>
      <w:tr w:rsidR="009948F1" w14:paraId="5AD135FE" w14:textId="77777777">
        <w:trPr>
          <w:trHeight w:val="407"/>
        </w:trPr>
        <w:tc>
          <w:tcPr>
            <w:tcW w:w="818" w:type="dxa"/>
            <w:gridSpan w:val="2"/>
            <w:vMerge/>
            <w:tcBorders>
              <w:top w:val="nil"/>
              <w:right w:val="single" w:sz="6" w:space="0" w:color="231F20"/>
            </w:tcBorders>
          </w:tcPr>
          <w:p w14:paraId="361186EF" w14:textId="77777777" w:rsidR="009948F1" w:rsidRDefault="009948F1">
            <w:pPr>
              <w:rPr>
                <w:sz w:val="2"/>
                <w:szCs w:val="2"/>
              </w:rPr>
            </w:pPr>
          </w:p>
        </w:tc>
        <w:tc>
          <w:tcPr>
            <w:tcW w:w="534" w:type="dxa"/>
            <w:tcBorders>
              <w:top w:val="single" w:sz="6" w:space="0" w:color="231F20"/>
              <w:left w:val="single" w:sz="6" w:space="0" w:color="231F20"/>
              <w:right w:val="single" w:sz="6" w:space="0" w:color="231F20"/>
            </w:tcBorders>
          </w:tcPr>
          <w:p w14:paraId="59725D9B" w14:textId="77777777" w:rsidR="009948F1" w:rsidRDefault="009948F1">
            <w:pPr>
              <w:pStyle w:val="TableParagraph"/>
              <w:spacing w:before="5"/>
              <w:rPr>
                <w:sz w:val="11"/>
              </w:rPr>
            </w:pPr>
          </w:p>
          <w:p w14:paraId="137DFAE6" w14:textId="77777777" w:rsidR="009948F1" w:rsidRDefault="00BC0563">
            <w:pPr>
              <w:pStyle w:val="TableParagraph"/>
              <w:ind w:left="33" w:right="12"/>
              <w:jc w:val="center"/>
              <w:rPr>
                <w:sz w:val="12"/>
              </w:rPr>
            </w:pPr>
            <w:r>
              <w:rPr>
                <w:color w:val="231F20"/>
                <w:sz w:val="12"/>
              </w:rPr>
              <w:t>15.4.2.d</w:t>
            </w:r>
          </w:p>
        </w:tc>
        <w:tc>
          <w:tcPr>
            <w:tcW w:w="4975" w:type="dxa"/>
            <w:gridSpan w:val="2"/>
            <w:tcBorders>
              <w:top w:val="single" w:sz="6" w:space="0" w:color="231F20"/>
              <w:left w:val="single" w:sz="6" w:space="0" w:color="231F20"/>
              <w:right w:val="single" w:sz="6" w:space="0" w:color="231F20"/>
            </w:tcBorders>
          </w:tcPr>
          <w:p w14:paraId="630EF922" w14:textId="77777777" w:rsidR="009948F1" w:rsidRDefault="009948F1">
            <w:pPr>
              <w:pStyle w:val="TableParagraph"/>
              <w:rPr>
                <w:sz w:val="11"/>
              </w:rPr>
            </w:pPr>
          </w:p>
          <w:p w14:paraId="5078744D" w14:textId="77777777" w:rsidR="009948F1" w:rsidRDefault="00BC0563">
            <w:pPr>
              <w:pStyle w:val="TableParagraph"/>
              <w:ind w:left="26"/>
              <w:rPr>
                <w:sz w:val="12"/>
              </w:rPr>
            </w:pPr>
            <w:r>
              <w:rPr>
                <w:color w:val="231F20"/>
                <w:sz w:val="12"/>
              </w:rPr>
              <w:t>Empowerment/provision of incentives to enhance performance</w:t>
            </w:r>
          </w:p>
        </w:tc>
        <w:tc>
          <w:tcPr>
            <w:tcW w:w="1450" w:type="dxa"/>
            <w:tcBorders>
              <w:top w:val="single" w:sz="6" w:space="0" w:color="231F20"/>
              <w:left w:val="single" w:sz="6" w:space="0" w:color="231F20"/>
              <w:right w:val="single" w:sz="6" w:space="0" w:color="231F20"/>
            </w:tcBorders>
          </w:tcPr>
          <w:p w14:paraId="38129DD7" w14:textId="77777777" w:rsidR="009948F1" w:rsidRDefault="009948F1">
            <w:pPr>
              <w:pStyle w:val="TableParagraph"/>
              <w:spacing w:before="5"/>
              <w:rPr>
                <w:sz w:val="11"/>
              </w:rPr>
            </w:pPr>
          </w:p>
          <w:p w14:paraId="3D3E2237" w14:textId="77777777" w:rsidR="009948F1" w:rsidRDefault="00BC0563">
            <w:pPr>
              <w:pStyle w:val="TableParagraph"/>
              <w:ind w:left="28"/>
              <w:rPr>
                <w:sz w:val="12"/>
              </w:rPr>
            </w:pPr>
            <w:r>
              <w:rPr>
                <w:color w:val="231F20"/>
                <w:sz w:val="12"/>
              </w:rPr>
              <w:t>Lack of funds</w:t>
            </w:r>
          </w:p>
        </w:tc>
        <w:tc>
          <w:tcPr>
            <w:tcW w:w="1530" w:type="dxa"/>
            <w:tcBorders>
              <w:top w:val="single" w:sz="6" w:space="0" w:color="231F20"/>
              <w:left w:val="single" w:sz="6" w:space="0" w:color="231F20"/>
              <w:right w:val="single" w:sz="6" w:space="0" w:color="231F20"/>
            </w:tcBorders>
          </w:tcPr>
          <w:p w14:paraId="13B35B0B" w14:textId="77777777" w:rsidR="009948F1" w:rsidRDefault="009948F1">
            <w:pPr>
              <w:pStyle w:val="TableParagraph"/>
              <w:spacing w:before="5"/>
              <w:rPr>
                <w:sz w:val="11"/>
              </w:rPr>
            </w:pPr>
          </w:p>
          <w:p w14:paraId="62B87E46" w14:textId="77777777" w:rsidR="009948F1" w:rsidRDefault="00BC0563">
            <w:pPr>
              <w:pStyle w:val="TableParagraph"/>
              <w:ind w:left="29"/>
              <w:rPr>
                <w:sz w:val="12"/>
              </w:rPr>
            </w:pPr>
            <w:r>
              <w:rPr>
                <w:color w:val="231F20"/>
                <w:sz w:val="12"/>
              </w:rPr>
              <w:t>No cost</w:t>
            </w:r>
          </w:p>
        </w:tc>
      </w:tr>
    </w:tbl>
    <w:p w14:paraId="27114710" w14:textId="77777777" w:rsidR="009948F1" w:rsidRDefault="009948F1">
      <w:pPr>
        <w:rPr>
          <w:sz w:val="12"/>
        </w:rPr>
        <w:sectPr w:rsidR="009948F1">
          <w:pgSz w:w="11910" w:h="16840"/>
          <w:pgMar w:top="1320" w:right="1080" w:bottom="1340" w:left="1120" w:header="0" w:footer="1155" w:gutter="0"/>
          <w:cols w:space="720"/>
        </w:sectPr>
      </w:pPr>
    </w:p>
    <w:p w14:paraId="5CDFF8F8" w14:textId="77777777" w:rsidR="009948F1" w:rsidRDefault="009948F1">
      <w:pPr>
        <w:pStyle w:val="BodyText"/>
        <w:spacing w:before="5"/>
        <w:rPr>
          <w:sz w:val="26"/>
        </w:rPr>
      </w:pPr>
    </w:p>
    <w:tbl>
      <w:tblPr>
        <w:tblW w:w="0" w:type="auto"/>
        <w:tblInd w:w="17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
        <w:gridCol w:w="464"/>
        <w:gridCol w:w="537"/>
        <w:gridCol w:w="2566"/>
        <w:gridCol w:w="2436"/>
        <w:gridCol w:w="1458"/>
        <w:gridCol w:w="1538"/>
      </w:tblGrid>
      <w:tr w:rsidR="009948F1" w14:paraId="501EC581" w14:textId="77777777">
        <w:trPr>
          <w:trHeight w:val="738"/>
        </w:trPr>
        <w:tc>
          <w:tcPr>
            <w:tcW w:w="338" w:type="dxa"/>
            <w:tcBorders>
              <w:bottom w:val="nil"/>
              <w:right w:val="single" w:sz="6" w:space="0" w:color="231F20"/>
            </w:tcBorders>
          </w:tcPr>
          <w:p w14:paraId="175F18DD" w14:textId="77777777" w:rsidR="009948F1" w:rsidRDefault="009948F1">
            <w:pPr>
              <w:pStyle w:val="TableParagraph"/>
              <w:rPr>
                <w:rFonts w:ascii="Times New Roman"/>
                <w:sz w:val="12"/>
              </w:rPr>
            </w:pPr>
          </w:p>
        </w:tc>
        <w:tc>
          <w:tcPr>
            <w:tcW w:w="464" w:type="dxa"/>
            <w:tcBorders>
              <w:top w:val="single" w:sz="12" w:space="0" w:color="231F20"/>
              <w:left w:val="single" w:sz="6" w:space="0" w:color="231F20"/>
              <w:bottom w:val="single" w:sz="6" w:space="0" w:color="231F20"/>
              <w:right w:val="single" w:sz="6" w:space="0" w:color="231F20"/>
            </w:tcBorders>
            <w:shd w:val="clear" w:color="auto" w:fill="CCE7D3"/>
          </w:tcPr>
          <w:p w14:paraId="364996CD" w14:textId="77777777" w:rsidR="009948F1" w:rsidRDefault="009948F1">
            <w:pPr>
              <w:pStyle w:val="TableParagraph"/>
              <w:rPr>
                <w:sz w:val="14"/>
              </w:rPr>
            </w:pPr>
          </w:p>
          <w:p w14:paraId="402AF902" w14:textId="77777777" w:rsidR="009948F1" w:rsidRDefault="00BC0563">
            <w:pPr>
              <w:pStyle w:val="TableParagraph"/>
              <w:spacing w:before="121"/>
              <w:ind w:left="30" w:right="23"/>
              <w:jc w:val="center"/>
              <w:rPr>
                <w:sz w:val="15"/>
              </w:rPr>
            </w:pPr>
            <w:bookmarkStart w:id="200" w:name="Page_174"/>
            <w:bookmarkEnd w:id="200"/>
            <w:r>
              <w:rPr>
                <w:color w:val="231F20"/>
                <w:w w:val="85"/>
                <w:sz w:val="15"/>
              </w:rPr>
              <w:t>15.4.4</w:t>
            </w:r>
          </w:p>
        </w:tc>
        <w:tc>
          <w:tcPr>
            <w:tcW w:w="3103" w:type="dxa"/>
            <w:gridSpan w:val="2"/>
            <w:tcBorders>
              <w:top w:val="single" w:sz="12" w:space="0" w:color="231F20"/>
              <w:left w:val="single" w:sz="6" w:space="0" w:color="231F20"/>
              <w:bottom w:val="single" w:sz="6" w:space="0" w:color="231F20"/>
              <w:right w:val="single" w:sz="6" w:space="0" w:color="231F20"/>
            </w:tcBorders>
            <w:shd w:val="clear" w:color="auto" w:fill="CCE7D3"/>
          </w:tcPr>
          <w:p w14:paraId="4B9FA6F4" w14:textId="77777777" w:rsidR="009948F1" w:rsidRDefault="009948F1">
            <w:pPr>
              <w:pStyle w:val="TableParagraph"/>
              <w:spacing w:before="9"/>
              <w:rPr>
                <w:sz w:val="15"/>
              </w:rPr>
            </w:pPr>
          </w:p>
          <w:p w14:paraId="46D4C7B1" w14:textId="77777777" w:rsidR="009948F1" w:rsidRDefault="00BC0563">
            <w:pPr>
              <w:pStyle w:val="TableParagraph"/>
              <w:spacing w:line="264" w:lineRule="auto"/>
              <w:ind w:left="26" w:right="54" w:firstLine="33"/>
              <w:rPr>
                <w:sz w:val="15"/>
              </w:rPr>
            </w:pPr>
            <w:r>
              <w:rPr>
                <w:color w:val="231F20"/>
                <w:w w:val="80"/>
                <w:sz w:val="15"/>
              </w:rPr>
              <w:t xml:space="preserve">Institutionalize routine NHA and expenditure tracking </w:t>
            </w:r>
            <w:r>
              <w:rPr>
                <w:color w:val="231F20"/>
                <w:w w:val="90"/>
                <w:sz w:val="15"/>
              </w:rPr>
              <w:t>mechanisms at State and Federal levels</w:t>
            </w:r>
          </w:p>
        </w:tc>
        <w:tc>
          <w:tcPr>
            <w:tcW w:w="2436" w:type="dxa"/>
            <w:tcBorders>
              <w:top w:val="single" w:sz="12" w:space="0" w:color="231F20"/>
              <w:left w:val="single" w:sz="6" w:space="0" w:color="231F20"/>
              <w:bottom w:val="single" w:sz="6" w:space="0" w:color="231F20"/>
              <w:right w:val="single" w:sz="6" w:space="0" w:color="231F20"/>
            </w:tcBorders>
            <w:shd w:val="clear" w:color="auto" w:fill="CCE7D3"/>
          </w:tcPr>
          <w:p w14:paraId="6BFD9E1A" w14:textId="77777777" w:rsidR="009948F1" w:rsidRDefault="00BC0563">
            <w:pPr>
              <w:pStyle w:val="TableParagraph"/>
              <w:numPr>
                <w:ilvl w:val="0"/>
                <w:numId w:val="2"/>
              </w:numPr>
              <w:tabs>
                <w:tab w:val="left" w:pos="71"/>
              </w:tabs>
              <w:spacing w:line="264" w:lineRule="auto"/>
              <w:ind w:right="373" w:firstLine="0"/>
              <w:rPr>
                <w:sz w:val="15"/>
              </w:rPr>
            </w:pPr>
            <w:r>
              <w:rPr>
                <w:color w:val="231F20"/>
                <w:w w:val="80"/>
                <w:sz w:val="15"/>
              </w:rPr>
              <w:t xml:space="preserve">Periodic health expenditure resource </w:t>
            </w:r>
            <w:r>
              <w:rPr>
                <w:color w:val="231F20"/>
                <w:w w:val="90"/>
                <w:sz w:val="15"/>
              </w:rPr>
              <w:t>tracking</w:t>
            </w:r>
            <w:r>
              <w:rPr>
                <w:color w:val="231F20"/>
                <w:spacing w:val="-6"/>
                <w:w w:val="90"/>
                <w:sz w:val="15"/>
              </w:rPr>
              <w:t xml:space="preserve"> </w:t>
            </w:r>
            <w:r>
              <w:rPr>
                <w:color w:val="231F20"/>
                <w:w w:val="90"/>
                <w:sz w:val="15"/>
              </w:rPr>
              <w:t>done</w:t>
            </w:r>
          </w:p>
          <w:p w14:paraId="7BA72C40" w14:textId="77777777" w:rsidR="009948F1" w:rsidRDefault="00BC0563">
            <w:pPr>
              <w:pStyle w:val="TableParagraph"/>
              <w:numPr>
                <w:ilvl w:val="0"/>
                <w:numId w:val="2"/>
              </w:numPr>
              <w:tabs>
                <w:tab w:val="left" w:pos="71"/>
              </w:tabs>
              <w:ind w:left="70"/>
              <w:rPr>
                <w:sz w:val="15"/>
              </w:rPr>
            </w:pPr>
            <w:r>
              <w:rPr>
                <w:color w:val="231F20"/>
                <w:w w:val="85"/>
                <w:sz w:val="15"/>
              </w:rPr>
              <w:t>Annual</w:t>
            </w:r>
            <w:r>
              <w:rPr>
                <w:color w:val="231F20"/>
                <w:spacing w:val="-23"/>
                <w:w w:val="85"/>
                <w:sz w:val="15"/>
              </w:rPr>
              <w:t xml:space="preserve"> </w:t>
            </w:r>
            <w:r>
              <w:rPr>
                <w:color w:val="231F20"/>
                <w:w w:val="85"/>
                <w:sz w:val="15"/>
              </w:rPr>
              <w:t>State</w:t>
            </w:r>
            <w:r>
              <w:rPr>
                <w:color w:val="231F20"/>
                <w:spacing w:val="-22"/>
                <w:w w:val="85"/>
                <w:sz w:val="15"/>
              </w:rPr>
              <w:t xml:space="preserve"> </w:t>
            </w:r>
            <w:r>
              <w:rPr>
                <w:color w:val="231F20"/>
                <w:w w:val="85"/>
                <w:sz w:val="15"/>
              </w:rPr>
              <w:t>Health</w:t>
            </w:r>
            <w:r>
              <w:rPr>
                <w:color w:val="231F20"/>
                <w:spacing w:val="-25"/>
                <w:w w:val="85"/>
                <w:sz w:val="15"/>
              </w:rPr>
              <w:t xml:space="preserve"> </w:t>
            </w:r>
            <w:r>
              <w:rPr>
                <w:color w:val="231F20"/>
                <w:w w:val="85"/>
                <w:sz w:val="15"/>
              </w:rPr>
              <w:t>Account</w:t>
            </w:r>
            <w:r>
              <w:rPr>
                <w:color w:val="231F20"/>
                <w:spacing w:val="-22"/>
                <w:w w:val="85"/>
                <w:sz w:val="15"/>
              </w:rPr>
              <w:t xml:space="preserve"> </w:t>
            </w:r>
            <w:r>
              <w:rPr>
                <w:color w:val="231F20"/>
                <w:w w:val="85"/>
                <w:sz w:val="15"/>
              </w:rPr>
              <w:t>data</w:t>
            </w:r>
            <w:r>
              <w:rPr>
                <w:color w:val="231F20"/>
                <w:spacing w:val="-22"/>
                <w:w w:val="85"/>
                <w:sz w:val="15"/>
              </w:rPr>
              <w:t xml:space="preserve"> </w:t>
            </w:r>
            <w:r>
              <w:rPr>
                <w:color w:val="231F20"/>
                <w:w w:val="85"/>
                <w:sz w:val="15"/>
              </w:rPr>
              <w:t>collected</w:t>
            </w:r>
          </w:p>
          <w:p w14:paraId="5759872A" w14:textId="77777777" w:rsidR="009948F1" w:rsidRDefault="00BC0563">
            <w:pPr>
              <w:pStyle w:val="TableParagraph"/>
              <w:numPr>
                <w:ilvl w:val="0"/>
                <w:numId w:val="2"/>
              </w:numPr>
              <w:tabs>
                <w:tab w:val="left" w:pos="104"/>
              </w:tabs>
              <w:spacing w:before="17" w:line="149" w:lineRule="exact"/>
              <w:ind w:left="103" w:hanging="77"/>
              <w:rPr>
                <w:sz w:val="15"/>
              </w:rPr>
            </w:pPr>
            <w:r>
              <w:rPr>
                <w:color w:val="231F20"/>
                <w:w w:val="90"/>
                <w:sz w:val="15"/>
              </w:rPr>
              <w:t>Budget execution</w:t>
            </w:r>
            <w:r>
              <w:rPr>
                <w:color w:val="231F20"/>
                <w:spacing w:val="-21"/>
                <w:w w:val="90"/>
                <w:sz w:val="15"/>
              </w:rPr>
              <w:t xml:space="preserve"> </w:t>
            </w:r>
            <w:r>
              <w:rPr>
                <w:color w:val="231F20"/>
                <w:w w:val="90"/>
                <w:sz w:val="15"/>
              </w:rPr>
              <w:t>monitored</w:t>
            </w:r>
          </w:p>
        </w:tc>
        <w:tc>
          <w:tcPr>
            <w:tcW w:w="1458" w:type="dxa"/>
            <w:tcBorders>
              <w:top w:val="single" w:sz="12" w:space="0" w:color="231F20"/>
              <w:left w:val="single" w:sz="6" w:space="0" w:color="231F20"/>
              <w:bottom w:val="single" w:sz="6" w:space="0" w:color="231F20"/>
              <w:right w:val="single" w:sz="6" w:space="0" w:color="231F20"/>
            </w:tcBorders>
            <w:shd w:val="clear" w:color="auto" w:fill="CCE7D3"/>
          </w:tcPr>
          <w:p w14:paraId="20A33019" w14:textId="77777777" w:rsidR="009948F1" w:rsidRDefault="009948F1">
            <w:pPr>
              <w:pStyle w:val="TableParagraph"/>
              <w:rPr>
                <w:rFonts w:ascii="Times New Roman"/>
                <w:sz w:val="12"/>
              </w:rPr>
            </w:pPr>
          </w:p>
        </w:tc>
        <w:tc>
          <w:tcPr>
            <w:tcW w:w="1538" w:type="dxa"/>
            <w:tcBorders>
              <w:top w:val="single" w:sz="12" w:space="0" w:color="231F20"/>
              <w:left w:val="single" w:sz="6" w:space="0" w:color="231F20"/>
              <w:bottom w:val="single" w:sz="6" w:space="0" w:color="231F20"/>
              <w:right w:val="single" w:sz="6" w:space="0" w:color="231F20"/>
            </w:tcBorders>
            <w:shd w:val="clear" w:color="auto" w:fill="CCE7D3"/>
          </w:tcPr>
          <w:p w14:paraId="2F7900C1" w14:textId="77777777" w:rsidR="009948F1" w:rsidRDefault="009948F1">
            <w:pPr>
              <w:pStyle w:val="TableParagraph"/>
              <w:rPr>
                <w:rFonts w:ascii="Times New Roman"/>
                <w:sz w:val="12"/>
              </w:rPr>
            </w:pPr>
          </w:p>
        </w:tc>
      </w:tr>
      <w:tr w:rsidR="009948F1" w14:paraId="413B44C9" w14:textId="77777777">
        <w:trPr>
          <w:trHeight w:val="516"/>
        </w:trPr>
        <w:tc>
          <w:tcPr>
            <w:tcW w:w="802" w:type="dxa"/>
            <w:gridSpan w:val="2"/>
            <w:vMerge w:val="restart"/>
            <w:tcBorders>
              <w:top w:val="nil"/>
              <w:bottom w:val="nil"/>
              <w:right w:val="single" w:sz="6" w:space="0" w:color="231F20"/>
            </w:tcBorders>
          </w:tcPr>
          <w:p w14:paraId="478BB417"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5588A21B" w14:textId="77777777" w:rsidR="009948F1" w:rsidRDefault="009948F1">
            <w:pPr>
              <w:pStyle w:val="TableParagraph"/>
              <w:rPr>
                <w:sz w:val="15"/>
              </w:rPr>
            </w:pPr>
          </w:p>
          <w:p w14:paraId="75BFD825" w14:textId="77777777" w:rsidR="009948F1" w:rsidRDefault="00BC0563">
            <w:pPr>
              <w:pStyle w:val="TableParagraph"/>
              <w:ind w:left="35" w:right="13"/>
              <w:jc w:val="center"/>
              <w:rPr>
                <w:sz w:val="15"/>
              </w:rPr>
            </w:pPr>
            <w:r>
              <w:rPr>
                <w:color w:val="231F20"/>
                <w:w w:val="80"/>
                <w:sz w:val="15"/>
              </w:rPr>
              <w:t>15.4.4.a</w:t>
            </w:r>
          </w:p>
        </w:tc>
        <w:tc>
          <w:tcPr>
            <w:tcW w:w="5002" w:type="dxa"/>
            <w:gridSpan w:val="2"/>
            <w:tcBorders>
              <w:top w:val="single" w:sz="6" w:space="0" w:color="231F20"/>
              <w:left w:val="single" w:sz="6" w:space="0" w:color="231F20"/>
              <w:bottom w:val="single" w:sz="6" w:space="0" w:color="231F20"/>
              <w:right w:val="single" w:sz="6" w:space="0" w:color="231F20"/>
            </w:tcBorders>
          </w:tcPr>
          <w:p w14:paraId="5BD40AB0" w14:textId="77777777" w:rsidR="009948F1" w:rsidRDefault="009948F1">
            <w:pPr>
              <w:pStyle w:val="TableParagraph"/>
              <w:spacing w:before="5"/>
              <w:rPr>
                <w:sz w:val="14"/>
              </w:rPr>
            </w:pPr>
          </w:p>
          <w:p w14:paraId="70AAD687" w14:textId="77777777" w:rsidR="009948F1" w:rsidRDefault="00BC0563">
            <w:pPr>
              <w:pStyle w:val="TableParagraph"/>
              <w:ind w:left="27"/>
              <w:rPr>
                <w:sz w:val="15"/>
              </w:rPr>
            </w:pPr>
            <w:r>
              <w:rPr>
                <w:color w:val="231F20"/>
                <w:w w:val="90"/>
                <w:sz w:val="15"/>
              </w:rPr>
              <w:t>Conduct periodic health expenditure resource tracking</w:t>
            </w:r>
          </w:p>
        </w:tc>
        <w:tc>
          <w:tcPr>
            <w:tcW w:w="1458" w:type="dxa"/>
            <w:tcBorders>
              <w:top w:val="single" w:sz="6" w:space="0" w:color="231F20"/>
              <w:left w:val="single" w:sz="6" w:space="0" w:color="231F20"/>
              <w:bottom w:val="single" w:sz="6" w:space="0" w:color="231F20"/>
              <w:right w:val="single" w:sz="6" w:space="0" w:color="231F20"/>
            </w:tcBorders>
          </w:tcPr>
          <w:p w14:paraId="64F4FC04" w14:textId="77777777" w:rsidR="009948F1" w:rsidRDefault="009948F1">
            <w:pPr>
              <w:pStyle w:val="TableParagraph"/>
              <w:rPr>
                <w:sz w:val="15"/>
              </w:rPr>
            </w:pPr>
          </w:p>
          <w:p w14:paraId="257512C7" w14:textId="77777777" w:rsidR="009948F1" w:rsidRDefault="00BC0563">
            <w:pPr>
              <w:pStyle w:val="TableParagraph"/>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175E104C" w14:textId="77777777" w:rsidR="009948F1" w:rsidRDefault="009948F1">
            <w:pPr>
              <w:pStyle w:val="TableParagraph"/>
              <w:rPr>
                <w:sz w:val="15"/>
              </w:rPr>
            </w:pPr>
          </w:p>
          <w:p w14:paraId="0EA3E956" w14:textId="77777777" w:rsidR="009948F1" w:rsidRDefault="00BC0563">
            <w:pPr>
              <w:pStyle w:val="TableParagraph"/>
              <w:ind w:left="28"/>
              <w:rPr>
                <w:sz w:val="15"/>
              </w:rPr>
            </w:pPr>
            <w:r>
              <w:rPr>
                <w:color w:val="231F20"/>
                <w:w w:val="90"/>
                <w:sz w:val="15"/>
              </w:rPr>
              <w:t>No cost</w:t>
            </w:r>
          </w:p>
        </w:tc>
      </w:tr>
      <w:tr w:rsidR="009948F1" w14:paraId="7C9D72FC" w14:textId="77777777">
        <w:trPr>
          <w:trHeight w:val="442"/>
        </w:trPr>
        <w:tc>
          <w:tcPr>
            <w:tcW w:w="802" w:type="dxa"/>
            <w:gridSpan w:val="2"/>
            <w:vMerge/>
            <w:tcBorders>
              <w:top w:val="nil"/>
              <w:bottom w:val="nil"/>
              <w:right w:val="single" w:sz="6" w:space="0" w:color="231F20"/>
            </w:tcBorders>
          </w:tcPr>
          <w:p w14:paraId="19CAA3DF"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0DFD551E" w14:textId="77777777" w:rsidR="009948F1" w:rsidRDefault="009948F1">
            <w:pPr>
              <w:pStyle w:val="TableParagraph"/>
              <w:spacing w:before="9"/>
              <w:rPr>
                <w:sz w:val="11"/>
              </w:rPr>
            </w:pPr>
          </w:p>
          <w:p w14:paraId="4AB70EBA" w14:textId="77777777" w:rsidR="009948F1" w:rsidRDefault="00BC0563">
            <w:pPr>
              <w:pStyle w:val="TableParagraph"/>
              <w:ind w:left="35" w:right="13"/>
              <w:jc w:val="center"/>
              <w:rPr>
                <w:sz w:val="15"/>
              </w:rPr>
            </w:pPr>
            <w:r>
              <w:rPr>
                <w:color w:val="231F20"/>
                <w:w w:val="80"/>
                <w:sz w:val="15"/>
              </w:rPr>
              <w:t>15.4.4.b</w:t>
            </w:r>
          </w:p>
        </w:tc>
        <w:tc>
          <w:tcPr>
            <w:tcW w:w="5002" w:type="dxa"/>
            <w:gridSpan w:val="2"/>
            <w:tcBorders>
              <w:top w:val="single" w:sz="6" w:space="0" w:color="231F20"/>
              <w:left w:val="single" w:sz="6" w:space="0" w:color="231F20"/>
              <w:bottom w:val="single" w:sz="6" w:space="0" w:color="231F20"/>
              <w:right w:val="single" w:sz="6" w:space="0" w:color="231F20"/>
            </w:tcBorders>
          </w:tcPr>
          <w:p w14:paraId="6BBCE390" w14:textId="77777777" w:rsidR="009948F1" w:rsidRDefault="009948F1">
            <w:pPr>
              <w:pStyle w:val="TableParagraph"/>
              <w:spacing w:before="2"/>
              <w:rPr>
                <w:sz w:val="11"/>
              </w:rPr>
            </w:pPr>
          </w:p>
          <w:p w14:paraId="4872FE07" w14:textId="77777777" w:rsidR="009948F1" w:rsidRDefault="00BC0563">
            <w:pPr>
              <w:pStyle w:val="TableParagraph"/>
              <w:spacing w:before="1"/>
              <w:ind w:left="27"/>
              <w:rPr>
                <w:sz w:val="15"/>
              </w:rPr>
            </w:pPr>
            <w:r>
              <w:rPr>
                <w:color w:val="231F20"/>
                <w:w w:val="90"/>
                <w:sz w:val="15"/>
              </w:rPr>
              <w:t>Conduct Household Surveys</w:t>
            </w:r>
          </w:p>
        </w:tc>
        <w:tc>
          <w:tcPr>
            <w:tcW w:w="1458" w:type="dxa"/>
            <w:tcBorders>
              <w:top w:val="single" w:sz="6" w:space="0" w:color="231F20"/>
              <w:left w:val="single" w:sz="6" w:space="0" w:color="231F20"/>
              <w:bottom w:val="single" w:sz="6" w:space="0" w:color="231F20"/>
              <w:right w:val="single" w:sz="6" w:space="0" w:color="231F20"/>
            </w:tcBorders>
          </w:tcPr>
          <w:p w14:paraId="7E882FFA" w14:textId="77777777" w:rsidR="009948F1" w:rsidRDefault="009948F1">
            <w:pPr>
              <w:pStyle w:val="TableParagraph"/>
              <w:spacing w:before="9"/>
              <w:rPr>
                <w:sz w:val="11"/>
              </w:rPr>
            </w:pPr>
          </w:p>
          <w:p w14:paraId="49A57711" w14:textId="77777777" w:rsidR="009948F1" w:rsidRDefault="00BC0563">
            <w:pPr>
              <w:pStyle w:val="TableParagraph"/>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6BD59AB8" w14:textId="77777777" w:rsidR="009948F1" w:rsidRDefault="00BC0563">
            <w:pPr>
              <w:pStyle w:val="TableParagraph"/>
              <w:spacing w:before="41" w:line="264" w:lineRule="auto"/>
              <w:ind w:left="28" w:right="420"/>
              <w:rPr>
                <w:sz w:val="15"/>
              </w:rPr>
            </w:pPr>
            <w:r>
              <w:rPr>
                <w:color w:val="231F20"/>
                <w:w w:val="80"/>
                <w:sz w:val="15"/>
              </w:rPr>
              <w:t xml:space="preserve">Conduct Household </w:t>
            </w:r>
            <w:r>
              <w:rPr>
                <w:color w:val="231F20"/>
                <w:w w:val="90"/>
                <w:sz w:val="15"/>
              </w:rPr>
              <w:t>Surveys</w:t>
            </w:r>
          </w:p>
        </w:tc>
      </w:tr>
      <w:tr w:rsidR="009948F1" w14:paraId="0A66F508" w14:textId="77777777">
        <w:trPr>
          <w:trHeight w:val="470"/>
        </w:trPr>
        <w:tc>
          <w:tcPr>
            <w:tcW w:w="802" w:type="dxa"/>
            <w:gridSpan w:val="2"/>
            <w:vMerge/>
            <w:tcBorders>
              <w:top w:val="nil"/>
              <w:bottom w:val="nil"/>
              <w:right w:val="single" w:sz="6" w:space="0" w:color="231F20"/>
            </w:tcBorders>
          </w:tcPr>
          <w:p w14:paraId="3F512E59"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86BEF77" w14:textId="77777777" w:rsidR="009948F1" w:rsidRDefault="009948F1">
            <w:pPr>
              <w:pStyle w:val="TableParagraph"/>
              <w:rPr>
                <w:sz w:val="13"/>
              </w:rPr>
            </w:pPr>
          </w:p>
          <w:p w14:paraId="4FCE679F" w14:textId="77777777" w:rsidR="009948F1" w:rsidRDefault="00BC0563">
            <w:pPr>
              <w:pStyle w:val="TableParagraph"/>
              <w:ind w:left="35" w:right="12"/>
              <w:jc w:val="center"/>
              <w:rPr>
                <w:sz w:val="15"/>
              </w:rPr>
            </w:pPr>
            <w:r>
              <w:rPr>
                <w:color w:val="231F20"/>
                <w:w w:val="80"/>
                <w:sz w:val="15"/>
              </w:rPr>
              <w:t>15.4.4.c</w:t>
            </w:r>
          </w:p>
        </w:tc>
        <w:tc>
          <w:tcPr>
            <w:tcW w:w="5002" w:type="dxa"/>
            <w:gridSpan w:val="2"/>
            <w:tcBorders>
              <w:top w:val="single" w:sz="6" w:space="0" w:color="231F20"/>
              <w:left w:val="single" w:sz="6" w:space="0" w:color="231F20"/>
              <w:bottom w:val="single" w:sz="6" w:space="0" w:color="231F20"/>
              <w:right w:val="single" w:sz="6" w:space="0" w:color="231F20"/>
            </w:tcBorders>
          </w:tcPr>
          <w:p w14:paraId="3C6A0BDD" w14:textId="77777777" w:rsidR="009948F1" w:rsidRDefault="009948F1">
            <w:pPr>
              <w:pStyle w:val="TableParagraph"/>
              <w:spacing w:before="5"/>
              <w:rPr>
                <w:sz w:val="12"/>
              </w:rPr>
            </w:pPr>
          </w:p>
          <w:p w14:paraId="4B55F39A" w14:textId="77777777" w:rsidR="009948F1" w:rsidRDefault="00BC0563">
            <w:pPr>
              <w:pStyle w:val="TableParagraph"/>
              <w:ind w:left="27"/>
              <w:rPr>
                <w:sz w:val="15"/>
              </w:rPr>
            </w:pPr>
            <w:r>
              <w:rPr>
                <w:color w:val="231F20"/>
                <w:w w:val="90"/>
                <w:sz w:val="15"/>
              </w:rPr>
              <w:t>Institutionalize annual SHA</w:t>
            </w:r>
          </w:p>
        </w:tc>
        <w:tc>
          <w:tcPr>
            <w:tcW w:w="1458" w:type="dxa"/>
            <w:tcBorders>
              <w:top w:val="single" w:sz="6" w:space="0" w:color="231F20"/>
              <w:left w:val="single" w:sz="6" w:space="0" w:color="231F20"/>
              <w:bottom w:val="single" w:sz="6" w:space="0" w:color="231F20"/>
              <w:right w:val="single" w:sz="6" w:space="0" w:color="231F20"/>
            </w:tcBorders>
          </w:tcPr>
          <w:p w14:paraId="3B6F3E60" w14:textId="77777777" w:rsidR="009948F1" w:rsidRDefault="009948F1">
            <w:pPr>
              <w:pStyle w:val="TableParagraph"/>
              <w:rPr>
                <w:sz w:val="13"/>
              </w:rPr>
            </w:pPr>
          </w:p>
          <w:p w14:paraId="35B8C423" w14:textId="77777777" w:rsidR="009948F1" w:rsidRDefault="00BC0563">
            <w:pPr>
              <w:pStyle w:val="TableParagraph"/>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0C4955B3" w14:textId="77777777" w:rsidR="009948F1" w:rsidRDefault="009948F1">
            <w:pPr>
              <w:pStyle w:val="TableParagraph"/>
              <w:rPr>
                <w:sz w:val="13"/>
              </w:rPr>
            </w:pPr>
          </w:p>
          <w:p w14:paraId="7469657A" w14:textId="77777777" w:rsidR="009948F1" w:rsidRDefault="00BC0563">
            <w:pPr>
              <w:pStyle w:val="TableParagraph"/>
              <w:ind w:left="28"/>
              <w:rPr>
                <w:sz w:val="15"/>
              </w:rPr>
            </w:pPr>
            <w:r>
              <w:rPr>
                <w:color w:val="231F20"/>
                <w:w w:val="90"/>
                <w:sz w:val="15"/>
              </w:rPr>
              <w:t>Institutionalize SHA</w:t>
            </w:r>
          </w:p>
        </w:tc>
      </w:tr>
      <w:tr w:rsidR="009948F1" w14:paraId="4031850F" w14:textId="77777777">
        <w:trPr>
          <w:trHeight w:val="629"/>
        </w:trPr>
        <w:tc>
          <w:tcPr>
            <w:tcW w:w="802" w:type="dxa"/>
            <w:gridSpan w:val="2"/>
            <w:vMerge/>
            <w:tcBorders>
              <w:top w:val="nil"/>
              <w:bottom w:val="nil"/>
              <w:right w:val="single" w:sz="6" w:space="0" w:color="231F20"/>
            </w:tcBorders>
          </w:tcPr>
          <w:p w14:paraId="2AD2E330"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77627383" w14:textId="77777777" w:rsidR="009948F1" w:rsidRDefault="009948F1">
            <w:pPr>
              <w:pStyle w:val="TableParagraph"/>
              <w:spacing w:before="11"/>
              <w:rPr>
                <w:sz w:val="19"/>
              </w:rPr>
            </w:pPr>
          </w:p>
          <w:p w14:paraId="16F668F2" w14:textId="77777777" w:rsidR="009948F1" w:rsidRDefault="00BC0563">
            <w:pPr>
              <w:pStyle w:val="TableParagraph"/>
              <w:ind w:left="35" w:right="13"/>
              <w:jc w:val="center"/>
              <w:rPr>
                <w:sz w:val="15"/>
              </w:rPr>
            </w:pPr>
            <w:r>
              <w:rPr>
                <w:color w:val="231F20"/>
                <w:w w:val="80"/>
                <w:sz w:val="15"/>
              </w:rPr>
              <w:t>15.4.4.d</w:t>
            </w:r>
          </w:p>
        </w:tc>
        <w:tc>
          <w:tcPr>
            <w:tcW w:w="5002" w:type="dxa"/>
            <w:gridSpan w:val="2"/>
            <w:tcBorders>
              <w:top w:val="single" w:sz="6" w:space="0" w:color="231F20"/>
              <w:left w:val="single" w:sz="6" w:space="0" w:color="231F20"/>
              <w:bottom w:val="single" w:sz="6" w:space="0" w:color="231F20"/>
              <w:right w:val="single" w:sz="6" w:space="0" w:color="231F20"/>
            </w:tcBorders>
          </w:tcPr>
          <w:p w14:paraId="0624C53D" w14:textId="77777777" w:rsidR="009948F1" w:rsidRDefault="009948F1">
            <w:pPr>
              <w:pStyle w:val="TableParagraph"/>
              <w:spacing w:before="1"/>
              <w:rPr>
                <w:sz w:val="11"/>
              </w:rPr>
            </w:pPr>
          </w:p>
          <w:p w14:paraId="4BAF66EA" w14:textId="77777777" w:rsidR="009948F1" w:rsidRDefault="00BC0563">
            <w:pPr>
              <w:pStyle w:val="TableParagraph"/>
              <w:spacing w:line="264" w:lineRule="auto"/>
              <w:ind w:left="27" w:right="127"/>
              <w:rPr>
                <w:sz w:val="15"/>
              </w:rPr>
            </w:pPr>
            <w:r>
              <w:rPr>
                <w:color w:val="231F20"/>
                <w:w w:val="85"/>
                <w:sz w:val="15"/>
              </w:rPr>
              <w:t>Conduct</w:t>
            </w:r>
            <w:r>
              <w:rPr>
                <w:color w:val="231F20"/>
                <w:spacing w:val="-25"/>
                <w:w w:val="85"/>
                <w:sz w:val="15"/>
              </w:rPr>
              <w:t xml:space="preserve"> </w:t>
            </w:r>
            <w:r>
              <w:rPr>
                <w:color w:val="231F20"/>
                <w:w w:val="85"/>
                <w:sz w:val="15"/>
              </w:rPr>
              <w:t>Annual</w:t>
            </w:r>
            <w:r>
              <w:rPr>
                <w:color w:val="231F20"/>
                <w:spacing w:val="-21"/>
                <w:w w:val="85"/>
                <w:sz w:val="15"/>
              </w:rPr>
              <w:t xml:space="preserve"> </w:t>
            </w:r>
            <w:r>
              <w:rPr>
                <w:color w:val="231F20"/>
                <w:w w:val="85"/>
                <w:sz w:val="15"/>
              </w:rPr>
              <w:t>State</w:t>
            </w:r>
            <w:r>
              <w:rPr>
                <w:color w:val="231F20"/>
                <w:spacing w:val="-21"/>
                <w:w w:val="85"/>
                <w:sz w:val="15"/>
              </w:rPr>
              <w:t xml:space="preserve"> </w:t>
            </w:r>
            <w:r>
              <w:rPr>
                <w:color w:val="231F20"/>
                <w:w w:val="85"/>
                <w:sz w:val="15"/>
              </w:rPr>
              <w:t>Health</w:t>
            </w:r>
            <w:r>
              <w:rPr>
                <w:color w:val="231F20"/>
                <w:spacing w:val="-25"/>
                <w:w w:val="85"/>
                <w:sz w:val="15"/>
              </w:rPr>
              <w:t xml:space="preserve"> </w:t>
            </w:r>
            <w:r>
              <w:rPr>
                <w:color w:val="231F20"/>
                <w:w w:val="85"/>
                <w:sz w:val="15"/>
              </w:rPr>
              <w:t>Account</w:t>
            </w:r>
            <w:r>
              <w:rPr>
                <w:color w:val="231F20"/>
                <w:spacing w:val="-21"/>
                <w:w w:val="85"/>
                <w:sz w:val="15"/>
              </w:rPr>
              <w:t xml:space="preserve"> </w:t>
            </w:r>
            <w:r>
              <w:rPr>
                <w:color w:val="231F20"/>
                <w:w w:val="85"/>
                <w:sz w:val="15"/>
              </w:rPr>
              <w:t>data</w:t>
            </w:r>
            <w:r>
              <w:rPr>
                <w:color w:val="231F20"/>
                <w:spacing w:val="-21"/>
                <w:w w:val="85"/>
                <w:sz w:val="15"/>
              </w:rPr>
              <w:t xml:space="preserve"> </w:t>
            </w:r>
            <w:r>
              <w:rPr>
                <w:color w:val="231F20"/>
                <w:w w:val="85"/>
                <w:sz w:val="15"/>
              </w:rPr>
              <w:t>collection</w:t>
            </w:r>
            <w:r>
              <w:rPr>
                <w:color w:val="231F20"/>
                <w:spacing w:val="-22"/>
                <w:w w:val="85"/>
                <w:sz w:val="15"/>
              </w:rPr>
              <w:t xml:space="preserve"> </w:t>
            </w:r>
            <w:r>
              <w:rPr>
                <w:color w:val="231F20"/>
                <w:w w:val="85"/>
                <w:sz w:val="15"/>
              </w:rPr>
              <w:t>in</w:t>
            </w:r>
            <w:r>
              <w:rPr>
                <w:color w:val="231F20"/>
                <w:spacing w:val="-21"/>
                <w:w w:val="85"/>
                <w:sz w:val="15"/>
              </w:rPr>
              <w:t xml:space="preserve"> </w:t>
            </w:r>
            <w:r>
              <w:rPr>
                <w:color w:val="231F20"/>
                <w:w w:val="85"/>
                <w:sz w:val="15"/>
              </w:rPr>
              <w:t>accordance</w:t>
            </w:r>
            <w:r>
              <w:rPr>
                <w:color w:val="231F20"/>
                <w:spacing w:val="-21"/>
                <w:w w:val="85"/>
                <w:sz w:val="15"/>
              </w:rPr>
              <w:t xml:space="preserve"> </w:t>
            </w:r>
            <w:r>
              <w:rPr>
                <w:color w:val="231F20"/>
                <w:w w:val="85"/>
                <w:sz w:val="15"/>
              </w:rPr>
              <w:t>with</w:t>
            </w:r>
            <w:r>
              <w:rPr>
                <w:color w:val="231F20"/>
                <w:spacing w:val="-22"/>
                <w:w w:val="85"/>
                <w:sz w:val="15"/>
              </w:rPr>
              <w:t xml:space="preserve"> </w:t>
            </w:r>
            <w:r>
              <w:rPr>
                <w:color w:val="231F20"/>
                <w:w w:val="85"/>
                <w:sz w:val="15"/>
              </w:rPr>
              <w:t>the</w:t>
            </w:r>
            <w:r>
              <w:rPr>
                <w:color w:val="231F20"/>
                <w:spacing w:val="-21"/>
                <w:w w:val="85"/>
                <w:sz w:val="15"/>
              </w:rPr>
              <w:t xml:space="preserve"> </w:t>
            </w:r>
            <w:r>
              <w:rPr>
                <w:color w:val="231F20"/>
                <w:w w:val="85"/>
                <w:sz w:val="15"/>
              </w:rPr>
              <w:t>establish</w:t>
            </w:r>
            <w:r>
              <w:rPr>
                <w:color w:val="231F20"/>
                <w:spacing w:val="-21"/>
                <w:w w:val="85"/>
                <w:sz w:val="15"/>
              </w:rPr>
              <w:t xml:space="preserve"> </w:t>
            </w:r>
            <w:r>
              <w:rPr>
                <w:color w:val="231F20"/>
                <w:w w:val="85"/>
                <w:sz w:val="15"/>
              </w:rPr>
              <w:t xml:space="preserve">sub </w:t>
            </w:r>
            <w:r>
              <w:rPr>
                <w:color w:val="231F20"/>
                <w:w w:val="90"/>
                <w:sz w:val="15"/>
              </w:rPr>
              <w:t>National</w:t>
            </w:r>
            <w:r>
              <w:rPr>
                <w:color w:val="231F20"/>
                <w:spacing w:val="-14"/>
                <w:w w:val="90"/>
                <w:sz w:val="15"/>
              </w:rPr>
              <w:t xml:space="preserve"> </w:t>
            </w:r>
            <w:r>
              <w:rPr>
                <w:color w:val="231F20"/>
                <w:w w:val="90"/>
                <w:sz w:val="15"/>
              </w:rPr>
              <w:t>health</w:t>
            </w:r>
            <w:r>
              <w:rPr>
                <w:color w:val="231F20"/>
                <w:spacing w:val="-18"/>
                <w:w w:val="90"/>
                <w:sz w:val="15"/>
              </w:rPr>
              <w:t xml:space="preserve"> </w:t>
            </w:r>
            <w:r>
              <w:rPr>
                <w:color w:val="231F20"/>
                <w:w w:val="90"/>
                <w:sz w:val="15"/>
              </w:rPr>
              <w:t>Account</w:t>
            </w:r>
            <w:r>
              <w:rPr>
                <w:color w:val="231F20"/>
                <w:spacing w:val="-13"/>
                <w:w w:val="90"/>
                <w:sz w:val="15"/>
              </w:rPr>
              <w:t xml:space="preserve"> </w:t>
            </w:r>
            <w:r>
              <w:rPr>
                <w:color w:val="231F20"/>
                <w:w w:val="90"/>
                <w:sz w:val="15"/>
              </w:rPr>
              <w:t>guidelines</w:t>
            </w:r>
            <w:r>
              <w:rPr>
                <w:color w:val="231F20"/>
                <w:spacing w:val="-13"/>
                <w:w w:val="90"/>
                <w:sz w:val="15"/>
              </w:rPr>
              <w:t xml:space="preserve"> </w:t>
            </w:r>
            <w:r>
              <w:rPr>
                <w:color w:val="231F20"/>
                <w:w w:val="90"/>
                <w:sz w:val="15"/>
              </w:rPr>
              <w:t>and</w:t>
            </w:r>
            <w:r>
              <w:rPr>
                <w:color w:val="231F20"/>
                <w:spacing w:val="-13"/>
                <w:w w:val="90"/>
                <w:sz w:val="15"/>
              </w:rPr>
              <w:t xml:space="preserve"> </w:t>
            </w:r>
            <w:r>
              <w:rPr>
                <w:color w:val="231F20"/>
                <w:w w:val="90"/>
                <w:sz w:val="15"/>
              </w:rPr>
              <w:t>disseminate</w:t>
            </w:r>
            <w:r>
              <w:rPr>
                <w:color w:val="231F20"/>
                <w:spacing w:val="-13"/>
                <w:w w:val="90"/>
                <w:sz w:val="15"/>
              </w:rPr>
              <w:t xml:space="preserve"> </w:t>
            </w:r>
            <w:r>
              <w:rPr>
                <w:color w:val="231F20"/>
                <w:w w:val="90"/>
                <w:sz w:val="15"/>
              </w:rPr>
              <w:t>to</w:t>
            </w:r>
            <w:r>
              <w:rPr>
                <w:color w:val="231F20"/>
                <w:spacing w:val="-13"/>
                <w:w w:val="90"/>
                <w:sz w:val="15"/>
              </w:rPr>
              <w:t xml:space="preserve"> </w:t>
            </w:r>
            <w:r>
              <w:rPr>
                <w:color w:val="231F20"/>
                <w:w w:val="90"/>
                <w:sz w:val="15"/>
              </w:rPr>
              <w:t>stakeholders</w:t>
            </w:r>
          </w:p>
        </w:tc>
        <w:tc>
          <w:tcPr>
            <w:tcW w:w="1458" w:type="dxa"/>
            <w:tcBorders>
              <w:top w:val="single" w:sz="6" w:space="0" w:color="231F20"/>
              <w:left w:val="single" w:sz="6" w:space="0" w:color="231F20"/>
              <w:bottom w:val="single" w:sz="6" w:space="0" w:color="231F20"/>
              <w:right w:val="single" w:sz="6" w:space="0" w:color="231F20"/>
            </w:tcBorders>
          </w:tcPr>
          <w:p w14:paraId="230BE9DD" w14:textId="77777777" w:rsidR="009948F1" w:rsidRDefault="009948F1">
            <w:pPr>
              <w:pStyle w:val="TableParagraph"/>
              <w:spacing w:before="11"/>
              <w:rPr>
                <w:sz w:val="19"/>
              </w:rPr>
            </w:pPr>
          </w:p>
          <w:p w14:paraId="1B17885F" w14:textId="77777777" w:rsidR="009948F1" w:rsidRDefault="00BC0563">
            <w:pPr>
              <w:pStyle w:val="TableParagraph"/>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70D76A1E" w14:textId="77777777" w:rsidR="009948F1" w:rsidRDefault="009948F1">
            <w:pPr>
              <w:pStyle w:val="TableParagraph"/>
              <w:spacing w:before="7"/>
              <w:rPr>
                <w:sz w:val="11"/>
              </w:rPr>
            </w:pPr>
          </w:p>
          <w:p w14:paraId="130EF74A" w14:textId="77777777" w:rsidR="009948F1" w:rsidRDefault="00BC0563">
            <w:pPr>
              <w:pStyle w:val="TableParagraph"/>
              <w:spacing w:line="264" w:lineRule="auto"/>
              <w:ind w:left="28" w:right="263"/>
              <w:rPr>
                <w:sz w:val="15"/>
              </w:rPr>
            </w:pPr>
            <w:r>
              <w:rPr>
                <w:color w:val="231F20"/>
                <w:w w:val="85"/>
                <w:sz w:val="15"/>
              </w:rPr>
              <w:t xml:space="preserve">Conduct State Health </w:t>
            </w:r>
            <w:r>
              <w:rPr>
                <w:color w:val="231F20"/>
                <w:w w:val="90"/>
                <w:sz w:val="15"/>
              </w:rPr>
              <w:t>Account data</w:t>
            </w:r>
          </w:p>
        </w:tc>
      </w:tr>
      <w:tr w:rsidR="009948F1" w14:paraId="50C23074" w14:textId="77777777">
        <w:trPr>
          <w:trHeight w:val="545"/>
        </w:trPr>
        <w:tc>
          <w:tcPr>
            <w:tcW w:w="802" w:type="dxa"/>
            <w:gridSpan w:val="2"/>
            <w:vMerge/>
            <w:tcBorders>
              <w:top w:val="nil"/>
              <w:bottom w:val="nil"/>
              <w:right w:val="single" w:sz="6" w:space="0" w:color="231F20"/>
            </w:tcBorders>
          </w:tcPr>
          <w:p w14:paraId="46CA6C9C"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5EB5868B" w14:textId="77777777" w:rsidR="009948F1" w:rsidRDefault="009948F1">
            <w:pPr>
              <w:pStyle w:val="TableParagraph"/>
              <w:spacing w:before="4"/>
              <w:rPr>
                <w:sz w:val="16"/>
              </w:rPr>
            </w:pPr>
          </w:p>
          <w:p w14:paraId="74F77595" w14:textId="77777777" w:rsidR="009948F1" w:rsidRDefault="00BC0563">
            <w:pPr>
              <w:pStyle w:val="TableParagraph"/>
              <w:ind w:left="35" w:right="13"/>
              <w:jc w:val="center"/>
              <w:rPr>
                <w:sz w:val="15"/>
              </w:rPr>
            </w:pPr>
            <w:r>
              <w:rPr>
                <w:color w:val="231F20"/>
                <w:w w:val="80"/>
                <w:sz w:val="15"/>
              </w:rPr>
              <w:t>15.4.4.e</w:t>
            </w:r>
          </w:p>
        </w:tc>
        <w:tc>
          <w:tcPr>
            <w:tcW w:w="5002" w:type="dxa"/>
            <w:gridSpan w:val="2"/>
            <w:tcBorders>
              <w:top w:val="single" w:sz="6" w:space="0" w:color="231F20"/>
              <w:left w:val="single" w:sz="6" w:space="0" w:color="231F20"/>
              <w:bottom w:val="single" w:sz="6" w:space="0" w:color="231F20"/>
              <w:right w:val="single" w:sz="6" w:space="0" w:color="231F20"/>
            </w:tcBorders>
          </w:tcPr>
          <w:p w14:paraId="5466D555" w14:textId="77777777" w:rsidR="009948F1" w:rsidRDefault="009948F1">
            <w:pPr>
              <w:pStyle w:val="TableParagraph"/>
              <w:spacing w:before="9"/>
              <w:rPr>
                <w:sz w:val="15"/>
              </w:rPr>
            </w:pPr>
          </w:p>
          <w:p w14:paraId="0812EFA1" w14:textId="77777777" w:rsidR="009948F1" w:rsidRDefault="00BC0563">
            <w:pPr>
              <w:pStyle w:val="TableParagraph"/>
              <w:ind w:left="27"/>
              <w:rPr>
                <w:sz w:val="15"/>
              </w:rPr>
            </w:pPr>
            <w:r>
              <w:rPr>
                <w:color w:val="231F20"/>
                <w:w w:val="90"/>
                <w:sz w:val="15"/>
              </w:rPr>
              <w:t>Monitor budget execution</w:t>
            </w:r>
          </w:p>
        </w:tc>
        <w:tc>
          <w:tcPr>
            <w:tcW w:w="1458" w:type="dxa"/>
            <w:tcBorders>
              <w:top w:val="single" w:sz="6" w:space="0" w:color="231F20"/>
              <w:left w:val="single" w:sz="6" w:space="0" w:color="231F20"/>
              <w:bottom w:val="single" w:sz="6" w:space="0" w:color="231F20"/>
              <w:right w:val="single" w:sz="6" w:space="0" w:color="231F20"/>
            </w:tcBorders>
          </w:tcPr>
          <w:p w14:paraId="597FAD7B" w14:textId="77777777" w:rsidR="009948F1" w:rsidRDefault="009948F1">
            <w:pPr>
              <w:pStyle w:val="TableParagraph"/>
              <w:spacing w:before="4"/>
              <w:rPr>
                <w:sz w:val="16"/>
              </w:rPr>
            </w:pPr>
          </w:p>
          <w:p w14:paraId="122F3827" w14:textId="77777777" w:rsidR="009948F1" w:rsidRDefault="00BC0563">
            <w:pPr>
              <w:pStyle w:val="TableParagraph"/>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3889FC4C" w14:textId="77777777" w:rsidR="009948F1" w:rsidRDefault="009948F1">
            <w:pPr>
              <w:pStyle w:val="TableParagraph"/>
              <w:spacing w:before="4"/>
              <w:rPr>
                <w:sz w:val="16"/>
              </w:rPr>
            </w:pPr>
          </w:p>
          <w:p w14:paraId="20A0B811" w14:textId="77777777" w:rsidR="009948F1" w:rsidRDefault="00BC0563">
            <w:pPr>
              <w:pStyle w:val="TableParagraph"/>
              <w:ind w:left="28"/>
              <w:rPr>
                <w:sz w:val="15"/>
              </w:rPr>
            </w:pPr>
            <w:r>
              <w:rPr>
                <w:color w:val="231F20"/>
                <w:w w:val="90"/>
                <w:sz w:val="15"/>
              </w:rPr>
              <w:t>No cost</w:t>
            </w:r>
          </w:p>
        </w:tc>
      </w:tr>
      <w:tr w:rsidR="009948F1" w14:paraId="6EE1D67D" w14:textId="77777777">
        <w:trPr>
          <w:trHeight w:val="1564"/>
        </w:trPr>
        <w:tc>
          <w:tcPr>
            <w:tcW w:w="338" w:type="dxa"/>
            <w:tcBorders>
              <w:top w:val="nil"/>
              <w:bottom w:val="nil"/>
              <w:right w:val="single" w:sz="6" w:space="0" w:color="231F20"/>
            </w:tcBorders>
          </w:tcPr>
          <w:p w14:paraId="44C9A888" w14:textId="77777777" w:rsidR="009948F1" w:rsidRDefault="009948F1">
            <w:pPr>
              <w:pStyle w:val="TableParagraph"/>
              <w:rPr>
                <w:rFonts w:ascii="Times New Roman"/>
                <w:sz w:val="12"/>
              </w:rPr>
            </w:pPr>
          </w:p>
        </w:tc>
        <w:tc>
          <w:tcPr>
            <w:tcW w:w="464" w:type="dxa"/>
            <w:tcBorders>
              <w:top w:val="single" w:sz="6" w:space="0" w:color="231F20"/>
              <w:left w:val="single" w:sz="6" w:space="0" w:color="231F20"/>
              <w:bottom w:val="single" w:sz="6" w:space="0" w:color="231F20"/>
              <w:right w:val="single" w:sz="6" w:space="0" w:color="231F20"/>
            </w:tcBorders>
            <w:shd w:val="clear" w:color="auto" w:fill="CCE7D3"/>
          </w:tcPr>
          <w:p w14:paraId="075353CF" w14:textId="77777777" w:rsidR="009948F1" w:rsidRDefault="009948F1">
            <w:pPr>
              <w:pStyle w:val="TableParagraph"/>
              <w:rPr>
                <w:sz w:val="14"/>
              </w:rPr>
            </w:pPr>
          </w:p>
          <w:p w14:paraId="22C2DCFB" w14:textId="77777777" w:rsidR="009948F1" w:rsidRDefault="009948F1">
            <w:pPr>
              <w:pStyle w:val="TableParagraph"/>
              <w:rPr>
                <w:sz w:val="14"/>
              </w:rPr>
            </w:pPr>
          </w:p>
          <w:p w14:paraId="28A4462D" w14:textId="77777777" w:rsidR="009948F1" w:rsidRDefault="009948F1">
            <w:pPr>
              <w:pStyle w:val="TableParagraph"/>
              <w:rPr>
                <w:sz w:val="14"/>
              </w:rPr>
            </w:pPr>
          </w:p>
          <w:p w14:paraId="412500A4" w14:textId="77777777" w:rsidR="009948F1" w:rsidRDefault="009948F1">
            <w:pPr>
              <w:pStyle w:val="TableParagraph"/>
              <w:spacing w:before="6"/>
              <w:rPr>
                <w:sz w:val="18"/>
              </w:rPr>
            </w:pPr>
          </w:p>
          <w:p w14:paraId="43967AAE" w14:textId="77777777" w:rsidR="009948F1" w:rsidRDefault="00BC0563">
            <w:pPr>
              <w:pStyle w:val="TableParagraph"/>
              <w:ind w:left="30" w:right="23"/>
              <w:jc w:val="center"/>
              <w:rPr>
                <w:sz w:val="15"/>
              </w:rPr>
            </w:pPr>
            <w:r>
              <w:rPr>
                <w:color w:val="231F20"/>
                <w:w w:val="85"/>
                <w:sz w:val="15"/>
              </w:rPr>
              <w:t>15.4.5</w:t>
            </w:r>
          </w:p>
        </w:tc>
        <w:tc>
          <w:tcPr>
            <w:tcW w:w="3103" w:type="dxa"/>
            <w:gridSpan w:val="2"/>
            <w:tcBorders>
              <w:top w:val="single" w:sz="6" w:space="0" w:color="231F20"/>
              <w:left w:val="single" w:sz="6" w:space="0" w:color="231F20"/>
              <w:bottom w:val="single" w:sz="6" w:space="0" w:color="231F20"/>
              <w:right w:val="single" w:sz="6" w:space="0" w:color="231F20"/>
            </w:tcBorders>
            <w:shd w:val="clear" w:color="auto" w:fill="CCE7D3"/>
          </w:tcPr>
          <w:p w14:paraId="7EED3CA6" w14:textId="77777777" w:rsidR="009948F1" w:rsidRDefault="009948F1">
            <w:pPr>
              <w:pStyle w:val="TableParagraph"/>
              <w:rPr>
                <w:sz w:val="14"/>
              </w:rPr>
            </w:pPr>
          </w:p>
          <w:p w14:paraId="6E3CAB88" w14:textId="77777777" w:rsidR="009948F1" w:rsidRDefault="009948F1">
            <w:pPr>
              <w:pStyle w:val="TableParagraph"/>
              <w:rPr>
                <w:sz w:val="14"/>
              </w:rPr>
            </w:pPr>
          </w:p>
          <w:p w14:paraId="288D6ABB" w14:textId="77777777" w:rsidR="009948F1" w:rsidRDefault="009948F1">
            <w:pPr>
              <w:pStyle w:val="TableParagraph"/>
              <w:rPr>
                <w:sz w:val="14"/>
              </w:rPr>
            </w:pPr>
          </w:p>
          <w:p w14:paraId="5444582E" w14:textId="77777777" w:rsidR="009948F1" w:rsidRDefault="00BC0563">
            <w:pPr>
              <w:pStyle w:val="TableParagraph"/>
              <w:spacing w:before="113" w:line="264" w:lineRule="auto"/>
              <w:ind w:left="26" w:right="54" w:firstLine="33"/>
              <w:rPr>
                <w:sz w:val="15"/>
              </w:rPr>
            </w:pPr>
            <w:r>
              <w:rPr>
                <w:color w:val="231F20"/>
                <w:w w:val="80"/>
                <w:sz w:val="15"/>
              </w:rPr>
              <w:t xml:space="preserve">Institute Public Finance Management (PFM) reforms at </w:t>
            </w:r>
            <w:r>
              <w:rPr>
                <w:color w:val="231F20"/>
                <w:w w:val="90"/>
                <w:sz w:val="15"/>
              </w:rPr>
              <w:t>the Federal and State levels</w:t>
            </w:r>
          </w:p>
        </w:tc>
        <w:tc>
          <w:tcPr>
            <w:tcW w:w="2436" w:type="dxa"/>
            <w:tcBorders>
              <w:top w:val="single" w:sz="6" w:space="0" w:color="231F20"/>
              <w:left w:val="single" w:sz="6" w:space="0" w:color="231F20"/>
              <w:bottom w:val="single" w:sz="6" w:space="0" w:color="231F20"/>
              <w:right w:val="single" w:sz="6" w:space="0" w:color="231F20"/>
            </w:tcBorders>
            <w:shd w:val="clear" w:color="auto" w:fill="CCE7D3"/>
          </w:tcPr>
          <w:p w14:paraId="5CF7CB27" w14:textId="77777777" w:rsidR="009948F1" w:rsidRDefault="009948F1">
            <w:pPr>
              <w:pStyle w:val="TableParagraph"/>
              <w:spacing w:before="11"/>
              <w:rPr>
                <w:sz w:val="10"/>
              </w:rPr>
            </w:pPr>
          </w:p>
          <w:p w14:paraId="29398D55" w14:textId="77777777" w:rsidR="009948F1" w:rsidRDefault="00BC0563">
            <w:pPr>
              <w:pStyle w:val="TableParagraph"/>
              <w:numPr>
                <w:ilvl w:val="0"/>
                <w:numId w:val="1"/>
              </w:numPr>
              <w:tabs>
                <w:tab w:val="left" w:pos="104"/>
              </w:tabs>
              <w:spacing w:line="264" w:lineRule="auto"/>
              <w:ind w:right="17" w:firstLine="0"/>
              <w:rPr>
                <w:sz w:val="15"/>
              </w:rPr>
            </w:pPr>
            <w:r>
              <w:rPr>
                <w:color w:val="231F20"/>
                <w:w w:val="90"/>
                <w:sz w:val="15"/>
              </w:rPr>
              <w:t xml:space="preserve">Financial management systems </w:t>
            </w:r>
            <w:r>
              <w:rPr>
                <w:color w:val="231F20"/>
                <w:w w:val="85"/>
                <w:sz w:val="15"/>
              </w:rPr>
              <w:t>established</w:t>
            </w:r>
            <w:r>
              <w:rPr>
                <w:color w:val="231F20"/>
                <w:spacing w:val="-22"/>
                <w:w w:val="85"/>
                <w:sz w:val="15"/>
              </w:rPr>
              <w:t xml:space="preserve"> </w:t>
            </w:r>
            <w:r>
              <w:rPr>
                <w:color w:val="231F20"/>
                <w:w w:val="85"/>
                <w:sz w:val="15"/>
              </w:rPr>
              <w:t>&amp;</w:t>
            </w:r>
            <w:r>
              <w:rPr>
                <w:color w:val="231F20"/>
                <w:spacing w:val="-22"/>
                <w:w w:val="85"/>
                <w:sz w:val="15"/>
              </w:rPr>
              <w:t xml:space="preserve"> </w:t>
            </w:r>
            <w:r>
              <w:rPr>
                <w:color w:val="231F20"/>
                <w:w w:val="85"/>
                <w:sz w:val="15"/>
              </w:rPr>
              <w:t>stakeholders</w:t>
            </w:r>
            <w:r>
              <w:rPr>
                <w:color w:val="231F20"/>
                <w:spacing w:val="-21"/>
                <w:w w:val="85"/>
                <w:sz w:val="15"/>
              </w:rPr>
              <w:t xml:space="preserve"> </w:t>
            </w:r>
            <w:r>
              <w:rPr>
                <w:color w:val="231F20"/>
                <w:w w:val="85"/>
                <w:sz w:val="15"/>
              </w:rPr>
              <w:t>engaged</w:t>
            </w:r>
            <w:r>
              <w:rPr>
                <w:color w:val="231F20"/>
                <w:spacing w:val="-22"/>
                <w:w w:val="85"/>
                <w:sz w:val="15"/>
              </w:rPr>
              <w:t xml:space="preserve"> </w:t>
            </w:r>
            <w:r>
              <w:rPr>
                <w:color w:val="231F20"/>
                <w:w w:val="85"/>
                <w:sz w:val="15"/>
              </w:rPr>
              <w:t>in</w:t>
            </w:r>
            <w:r>
              <w:rPr>
                <w:color w:val="231F20"/>
                <w:spacing w:val="-22"/>
                <w:w w:val="85"/>
                <w:sz w:val="15"/>
              </w:rPr>
              <w:t xml:space="preserve"> </w:t>
            </w:r>
            <w:r>
              <w:rPr>
                <w:color w:val="231F20"/>
                <w:spacing w:val="-6"/>
                <w:w w:val="85"/>
                <w:sz w:val="15"/>
              </w:rPr>
              <w:t xml:space="preserve">PFM </w:t>
            </w:r>
            <w:r>
              <w:rPr>
                <w:color w:val="231F20"/>
                <w:w w:val="90"/>
                <w:sz w:val="15"/>
              </w:rPr>
              <w:t>reforms</w:t>
            </w:r>
          </w:p>
          <w:p w14:paraId="1FEFBA84" w14:textId="77777777" w:rsidR="009948F1" w:rsidRDefault="00BC0563">
            <w:pPr>
              <w:pStyle w:val="TableParagraph"/>
              <w:numPr>
                <w:ilvl w:val="0"/>
                <w:numId w:val="1"/>
              </w:numPr>
              <w:tabs>
                <w:tab w:val="left" w:pos="71"/>
              </w:tabs>
              <w:spacing w:before="1" w:line="264" w:lineRule="auto"/>
              <w:ind w:right="436" w:firstLine="0"/>
              <w:rPr>
                <w:sz w:val="15"/>
              </w:rPr>
            </w:pPr>
            <w:r>
              <w:rPr>
                <w:color w:val="231F20"/>
                <w:w w:val="85"/>
                <w:sz w:val="15"/>
              </w:rPr>
              <w:t>Accounting</w:t>
            </w:r>
            <w:r>
              <w:rPr>
                <w:color w:val="231F20"/>
                <w:spacing w:val="-20"/>
                <w:w w:val="85"/>
                <w:sz w:val="15"/>
              </w:rPr>
              <w:t xml:space="preserve"> </w:t>
            </w:r>
            <w:r>
              <w:rPr>
                <w:color w:val="231F20"/>
                <w:w w:val="85"/>
                <w:sz w:val="15"/>
              </w:rPr>
              <w:t>staff</w:t>
            </w:r>
            <w:r>
              <w:rPr>
                <w:color w:val="231F20"/>
                <w:spacing w:val="-20"/>
                <w:w w:val="85"/>
                <w:sz w:val="15"/>
              </w:rPr>
              <w:t xml:space="preserve"> </w:t>
            </w:r>
            <w:r>
              <w:rPr>
                <w:color w:val="231F20"/>
                <w:w w:val="85"/>
                <w:sz w:val="15"/>
              </w:rPr>
              <w:t>trained</w:t>
            </w:r>
            <w:r>
              <w:rPr>
                <w:color w:val="231F20"/>
                <w:spacing w:val="-20"/>
                <w:w w:val="85"/>
                <w:sz w:val="15"/>
              </w:rPr>
              <w:t xml:space="preserve"> </w:t>
            </w:r>
            <w:r>
              <w:rPr>
                <w:color w:val="231F20"/>
                <w:w w:val="85"/>
                <w:sz w:val="15"/>
              </w:rPr>
              <w:t>on</w:t>
            </w:r>
            <w:r>
              <w:rPr>
                <w:color w:val="231F20"/>
                <w:spacing w:val="-20"/>
                <w:w w:val="85"/>
                <w:sz w:val="15"/>
              </w:rPr>
              <w:t xml:space="preserve"> </w:t>
            </w:r>
            <w:r>
              <w:rPr>
                <w:color w:val="231F20"/>
                <w:spacing w:val="-3"/>
                <w:w w:val="85"/>
                <w:sz w:val="15"/>
              </w:rPr>
              <w:t xml:space="preserve">financial </w:t>
            </w:r>
            <w:r>
              <w:rPr>
                <w:color w:val="231F20"/>
                <w:w w:val="85"/>
                <w:sz w:val="15"/>
              </w:rPr>
              <w:t>management</w:t>
            </w:r>
            <w:r>
              <w:rPr>
                <w:color w:val="231F20"/>
                <w:spacing w:val="-17"/>
                <w:w w:val="85"/>
                <w:sz w:val="15"/>
              </w:rPr>
              <w:t xml:space="preserve"> </w:t>
            </w:r>
            <w:r>
              <w:rPr>
                <w:color w:val="231F20"/>
                <w:w w:val="85"/>
                <w:sz w:val="15"/>
              </w:rPr>
              <w:t>and</w:t>
            </w:r>
            <w:r>
              <w:rPr>
                <w:color w:val="231F20"/>
                <w:spacing w:val="-17"/>
                <w:w w:val="85"/>
                <w:sz w:val="15"/>
              </w:rPr>
              <w:t xml:space="preserve"> </w:t>
            </w:r>
            <w:r>
              <w:rPr>
                <w:color w:val="231F20"/>
                <w:w w:val="85"/>
                <w:sz w:val="15"/>
              </w:rPr>
              <w:t>IPSAS</w:t>
            </w:r>
            <w:r>
              <w:rPr>
                <w:color w:val="231F20"/>
                <w:spacing w:val="-16"/>
                <w:w w:val="85"/>
                <w:sz w:val="15"/>
              </w:rPr>
              <w:t xml:space="preserve"> </w:t>
            </w:r>
            <w:r>
              <w:rPr>
                <w:color w:val="231F20"/>
                <w:w w:val="85"/>
                <w:sz w:val="15"/>
              </w:rPr>
              <w:t>system</w:t>
            </w:r>
            <w:r>
              <w:rPr>
                <w:color w:val="231F20"/>
                <w:spacing w:val="-17"/>
                <w:w w:val="85"/>
                <w:sz w:val="15"/>
              </w:rPr>
              <w:t xml:space="preserve"> </w:t>
            </w:r>
            <w:r>
              <w:rPr>
                <w:color w:val="231F20"/>
                <w:w w:val="85"/>
                <w:sz w:val="15"/>
              </w:rPr>
              <w:t xml:space="preserve">of </w:t>
            </w:r>
            <w:r>
              <w:rPr>
                <w:color w:val="231F20"/>
                <w:w w:val="90"/>
                <w:sz w:val="15"/>
              </w:rPr>
              <w:t>accounting</w:t>
            </w:r>
          </w:p>
          <w:p w14:paraId="4AD31C1D" w14:textId="77777777" w:rsidR="009948F1" w:rsidRDefault="00BC0563">
            <w:pPr>
              <w:pStyle w:val="TableParagraph"/>
              <w:numPr>
                <w:ilvl w:val="0"/>
                <w:numId w:val="1"/>
              </w:numPr>
              <w:tabs>
                <w:tab w:val="left" w:pos="104"/>
              </w:tabs>
              <w:spacing w:before="1"/>
              <w:ind w:left="103"/>
              <w:rPr>
                <w:sz w:val="15"/>
              </w:rPr>
            </w:pPr>
            <w:r>
              <w:rPr>
                <w:color w:val="231F20"/>
                <w:w w:val="85"/>
                <w:sz w:val="15"/>
              </w:rPr>
              <w:t>Financial</w:t>
            </w:r>
            <w:r>
              <w:rPr>
                <w:color w:val="231F20"/>
                <w:spacing w:val="-18"/>
                <w:w w:val="85"/>
                <w:sz w:val="15"/>
              </w:rPr>
              <w:t xml:space="preserve"> </w:t>
            </w:r>
            <w:r>
              <w:rPr>
                <w:color w:val="231F20"/>
                <w:w w:val="85"/>
                <w:sz w:val="15"/>
              </w:rPr>
              <w:t>Audit</w:t>
            </w:r>
            <w:r>
              <w:rPr>
                <w:color w:val="231F20"/>
                <w:spacing w:val="-14"/>
                <w:w w:val="85"/>
                <w:sz w:val="15"/>
              </w:rPr>
              <w:t xml:space="preserve"> </w:t>
            </w:r>
            <w:r>
              <w:rPr>
                <w:color w:val="231F20"/>
                <w:w w:val="85"/>
                <w:sz w:val="15"/>
              </w:rPr>
              <w:t>done</w:t>
            </w:r>
            <w:r>
              <w:rPr>
                <w:color w:val="231F20"/>
                <w:spacing w:val="-13"/>
                <w:w w:val="85"/>
                <w:sz w:val="15"/>
              </w:rPr>
              <w:t xml:space="preserve"> </w:t>
            </w:r>
            <w:r>
              <w:rPr>
                <w:color w:val="231F20"/>
                <w:w w:val="85"/>
                <w:sz w:val="15"/>
              </w:rPr>
              <w:t>in</w:t>
            </w:r>
            <w:r>
              <w:rPr>
                <w:color w:val="231F20"/>
                <w:spacing w:val="-13"/>
                <w:w w:val="85"/>
                <w:sz w:val="15"/>
              </w:rPr>
              <w:t xml:space="preserve"> </w:t>
            </w:r>
            <w:r>
              <w:rPr>
                <w:color w:val="231F20"/>
                <w:w w:val="85"/>
                <w:sz w:val="15"/>
              </w:rPr>
              <w:t>all</w:t>
            </w:r>
            <w:r>
              <w:rPr>
                <w:color w:val="231F20"/>
                <w:spacing w:val="-13"/>
                <w:w w:val="85"/>
                <w:sz w:val="15"/>
              </w:rPr>
              <w:t xml:space="preserve"> </w:t>
            </w:r>
            <w:r>
              <w:rPr>
                <w:color w:val="231F20"/>
                <w:w w:val="85"/>
                <w:sz w:val="15"/>
              </w:rPr>
              <w:t>health</w:t>
            </w:r>
            <w:r>
              <w:rPr>
                <w:color w:val="231F20"/>
                <w:spacing w:val="-14"/>
                <w:w w:val="85"/>
                <w:sz w:val="15"/>
              </w:rPr>
              <w:t xml:space="preserve"> </w:t>
            </w:r>
            <w:r>
              <w:rPr>
                <w:color w:val="231F20"/>
                <w:w w:val="85"/>
                <w:sz w:val="15"/>
              </w:rPr>
              <w:t>facilities</w:t>
            </w:r>
          </w:p>
        </w:tc>
        <w:tc>
          <w:tcPr>
            <w:tcW w:w="1458" w:type="dxa"/>
            <w:tcBorders>
              <w:top w:val="single" w:sz="6" w:space="0" w:color="231F20"/>
              <w:left w:val="single" w:sz="6" w:space="0" w:color="231F20"/>
              <w:bottom w:val="single" w:sz="6" w:space="0" w:color="231F20"/>
              <w:right w:val="single" w:sz="6" w:space="0" w:color="231F20"/>
            </w:tcBorders>
            <w:shd w:val="clear" w:color="auto" w:fill="CCE7D3"/>
          </w:tcPr>
          <w:p w14:paraId="1FEA6D4A" w14:textId="77777777" w:rsidR="009948F1" w:rsidRDefault="009948F1">
            <w:pPr>
              <w:pStyle w:val="TableParagraph"/>
              <w:rPr>
                <w:rFonts w:ascii="Times New Roman"/>
                <w:sz w:val="12"/>
              </w:rPr>
            </w:pPr>
          </w:p>
        </w:tc>
        <w:tc>
          <w:tcPr>
            <w:tcW w:w="1538" w:type="dxa"/>
            <w:tcBorders>
              <w:top w:val="single" w:sz="6" w:space="0" w:color="231F20"/>
              <w:left w:val="single" w:sz="6" w:space="0" w:color="231F20"/>
              <w:bottom w:val="single" w:sz="6" w:space="0" w:color="231F20"/>
              <w:right w:val="single" w:sz="6" w:space="0" w:color="231F20"/>
            </w:tcBorders>
            <w:shd w:val="clear" w:color="auto" w:fill="CCE7D3"/>
          </w:tcPr>
          <w:p w14:paraId="7F6F60CF" w14:textId="77777777" w:rsidR="009948F1" w:rsidRDefault="009948F1">
            <w:pPr>
              <w:pStyle w:val="TableParagraph"/>
              <w:rPr>
                <w:rFonts w:ascii="Times New Roman"/>
                <w:sz w:val="12"/>
              </w:rPr>
            </w:pPr>
          </w:p>
        </w:tc>
      </w:tr>
      <w:tr w:rsidR="009948F1" w14:paraId="35813A49" w14:textId="77777777">
        <w:trPr>
          <w:trHeight w:val="547"/>
        </w:trPr>
        <w:tc>
          <w:tcPr>
            <w:tcW w:w="802" w:type="dxa"/>
            <w:gridSpan w:val="2"/>
            <w:vMerge w:val="restart"/>
            <w:tcBorders>
              <w:top w:val="nil"/>
              <w:bottom w:val="single" w:sz="12" w:space="0" w:color="231F20"/>
              <w:right w:val="single" w:sz="6" w:space="0" w:color="231F20"/>
            </w:tcBorders>
          </w:tcPr>
          <w:p w14:paraId="68EE6BD3" w14:textId="77777777" w:rsidR="009948F1" w:rsidRDefault="009948F1">
            <w:pPr>
              <w:pStyle w:val="TableParagraph"/>
              <w:rPr>
                <w:rFonts w:ascii="Times New Roman"/>
                <w:sz w:val="12"/>
              </w:rPr>
            </w:pPr>
          </w:p>
        </w:tc>
        <w:tc>
          <w:tcPr>
            <w:tcW w:w="537" w:type="dxa"/>
            <w:tcBorders>
              <w:top w:val="single" w:sz="6" w:space="0" w:color="231F20"/>
              <w:left w:val="single" w:sz="6" w:space="0" w:color="231F20"/>
              <w:bottom w:val="single" w:sz="6" w:space="0" w:color="231F20"/>
              <w:right w:val="single" w:sz="6" w:space="0" w:color="231F20"/>
            </w:tcBorders>
          </w:tcPr>
          <w:p w14:paraId="1DAB6595" w14:textId="77777777" w:rsidR="009948F1" w:rsidRDefault="009948F1">
            <w:pPr>
              <w:pStyle w:val="TableParagraph"/>
              <w:spacing w:before="8"/>
              <w:rPr>
                <w:sz w:val="16"/>
              </w:rPr>
            </w:pPr>
          </w:p>
          <w:p w14:paraId="5364B622" w14:textId="77777777" w:rsidR="009948F1" w:rsidRDefault="00BC0563">
            <w:pPr>
              <w:pStyle w:val="TableParagraph"/>
              <w:spacing w:before="1"/>
              <w:ind w:left="35" w:right="13"/>
              <w:jc w:val="center"/>
              <w:rPr>
                <w:sz w:val="15"/>
              </w:rPr>
            </w:pPr>
            <w:r>
              <w:rPr>
                <w:color w:val="231F20"/>
                <w:w w:val="80"/>
                <w:sz w:val="15"/>
              </w:rPr>
              <w:t>15.4.5.a</w:t>
            </w:r>
          </w:p>
        </w:tc>
        <w:tc>
          <w:tcPr>
            <w:tcW w:w="5002" w:type="dxa"/>
            <w:gridSpan w:val="2"/>
            <w:tcBorders>
              <w:top w:val="single" w:sz="6" w:space="0" w:color="231F20"/>
              <w:left w:val="single" w:sz="6" w:space="0" w:color="231F20"/>
              <w:bottom w:val="single" w:sz="6" w:space="0" w:color="231F20"/>
              <w:right w:val="single" w:sz="6" w:space="0" w:color="231F20"/>
            </w:tcBorders>
          </w:tcPr>
          <w:p w14:paraId="59AC083F" w14:textId="77777777" w:rsidR="009948F1" w:rsidRDefault="009948F1">
            <w:pPr>
              <w:pStyle w:val="TableParagraph"/>
              <w:spacing w:before="2"/>
              <w:rPr>
                <w:sz w:val="16"/>
              </w:rPr>
            </w:pPr>
          </w:p>
          <w:p w14:paraId="37C5472F" w14:textId="77777777" w:rsidR="009948F1" w:rsidRDefault="00BC0563">
            <w:pPr>
              <w:pStyle w:val="TableParagraph"/>
              <w:ind w:left="27"/>
              <w:rPr>
                <w:sz w:val="15"/>
              </w:rPr>
            </w:pPr>
            <w:r>
              <w:rPr>
                <w:color w:val="231F20"/>
                <w:w w:val="90"/>
                <w:sz w:val="15"/>
              </w:rPr>
              <w:t>Establish financial management systems</w:t>
            </w:r>
          </w:p>
        </w:tc>
        <w:tc>
          <w:tcPr>
            <w:tcW w:w="1458" w:type="dxa"/>
            <w:tcBorders>
              <w:top w:val="single" w:sz="6" w:space="0" w:color="231F20"/>
              <w:left w:val="single" w:sz="6" w:space="0" w:color="231F20"/>
              <w:bottom w:val="single" w:sz="6" w:space="0" w:color="231F20"/>
              <w:right w:val="single" w:sz="6" w:space="0" w:color="231F20"/>
            </w:tcBorders>
          </w:tcPr>
          <w:p w14:paraId="264897F0" w14:textId="77777777" w:rsidR="009948F1" w:rsidRDefault="009948F1">
            <w:pPr>
              <w:pStyle w:val="TableParagraph"/>
              <w:spacing w:before="8"/>
              <w:rPr>
                <w:sz w:val="16"/>
              </w:rPr>
            </w:pPr>
          </w:p>
          <w:p w14:paraId="49F99F10" w14:textId="77777777" w:rsidR="009948F1" w:rsidRDefault="00BC0563">
            <w:pPr>
              <w:pStyle w:val="TableParagraph"/>
              <w:spacing w:before="1"/>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08581098" w14:textId="77777777" w:rsidR="009948F1" w:rsidRDefault="00BC0563">
            <w:pPr>
              <w:pStyle w:val="TableParagraph"/>
              <w:spacing w:before="97" w:line="264" w:lineRule="auto"/>
              <w:ind w:left="28" w:right="301"/>
              <w:rPr>
                <w:sz w:val="15"/>
              </w:rPr>
            </w:pPr>
            <w:r>
              <w:rPr>
                <w:color w:val="231F20"/>
                <w:w w:val="90"/>
                <w:sz w:val="15"/>
              </w:rPr>
              <w:t xml:space="preserve">Establish financial </w:t>
            </w:r>
            <w:r>
              <w:rPr>
                <w:color w:val="231F20"/>
                <w:w w:val="80"/>
                <w:sz w:val="15"/>
              </w:rPr>
              <w:t>management systems</w:t>
            </w:r>
          </w:p>
        </w:tc>
      </w:tr>
      <w:tr w:rsidR="009948F1" w14:paraId="482F4DD9" w14:textId="77777777">
        <w:trPr>
          <w:trHeight w:val="339"/>
        </w:trPr>
        <w:tc>
          <w:tcPr>
            <w:tcW w:w="802" w:type="dxa"/>
            <w:gridSpan w:val="2"/>
            <w:vMerge/>
            <w:tcBorders>
              <w:top w:val="nil"/>
              <w:bottom w:val="single" w:sz="12" w:space="0" w:color="231F20"/>
              <w:right w:val="single" w:sz="6" w:space="0" w:color="231F20"/>
            </w:tcBorders>
          </w:tcPr>
          <w:p w14:paraId="39A5DCA9"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2B0F0694" w14:textId="77777777" w:rsidR="009948F1" w:rsidRDefault="00BC0563">
            <w:pPr>
              <w:pStyle w:val="TableParagraph"/>
              <w:spacing w:before="85"/>
              <w:ind w:left="35" w:right="13"/>
              <w:jc w:val="center"/>
              <w:rPr>
                <w:sz w:val="15"/>
              </w:rPr>
            </w:pPr>
            <w:r>
              <w:rPr>
                <w:color w:val="231F20"/>
                <w:w w:val="80"/>
                <w:sz w:val="15"/>
              </w:rPr>
              <w:t>15.4.5.b</w:t>
            </w:r>
          </w:p>
        </w:tc>
        <w:tc>
          <w:tcPr>
            <w:tcW w:w="5002" w:type="dxa"/>
            <w:gridSpan w:val="2"/>
            <w:tcBorders>
              <w:top w:val="single" w:sz="6" w:space="0" w:color="231F20"/>
              <w:left w:val="single" w:sz="6" w:space="0" w:color="231F20"/>
              <w:bottom w:val="single" w:sz="6" w:space="0" w:color="231F20"/>
              <w:right w:val="single" w:sz="6" w:space="0" w:color="231F20"/>
            </w:tcBorders>
          </w:tcPr>
          <w:p w14:paraId="7A7C24AB" w14:textId="77777777" w:rsidR="009948F1" w:rsidRDefault="00BC0563">
            <w:pPr>
              <w:pStyle w:val="TableParagraph"/>
              <w:spacing w:before="78"/>
              <w:ind w:left="27"/>
              <w:rPr>
                <w:sz w:val="15"/>
              </w:rPr>
            </w:pPr>
            <w:r>
              <w:rPr>
                <w:color w:val="231F20"/>
                <w:w w:val="90"/>
                <w:sz w:val="15"/>
              </w:rPr>
              <w:t>Engage stakeholders on public finance management reforms</w:t>
            </w:r>
          </w:p>
        </w:tc>
        <w:tc>
          <w:tcPr>
            <w:tcW w:w="1458" w:type="dxa"/>
            <w:tcBorders>
              <w:top w:val="single" w:sz="6" w:space="0" w:color="231F20"/>
              <w:left w:val="single" w:sz="6" w:space="0" w:color="231F20"/>
              <w:bottom w:val="single" w:sz="6" w:space="0" w:color="231F20"/>
              <w:right w:val="single" w:sz="6" w:space="0" w:color="231F20"/>
            </w:tcBorders>
          </w:tcPr>
          <w:p w14:paraId="0797AA36" w14:textId="77777777" w:rsidR="009948F1" w:rsidRDefault="00BC0563">
            <w:pPr>
              <w:pStyle w:val="TableParagraph"/>
              <w:spacing w:line="168" w:lineRule="exact"/>
              <w:ind w:left="27"/>
              <w:rPr>
                <w:sz w:val="15"/>
              </w:rPr>
            </w:pPr>
            <w:r>
              <w:rPr>
                <w:color w:val="231F20"/>
                <w:w w:val="90"/>
                <w:sz w:val="15"/>
              </w:rPr>
              <w:t>Lack of funds &amp;</w:t>
            </w:r>
          </w:p>
          <w:p w14:paraId="60699748" w14:textId="77777777" w:rsidR="009948F1" w:rsidRDefault="00BC0563">
            <w:pPr>
              <w:pStyle w:val="TableParagraph"/>
              <w:spacing w:before="17" w:line="134" w:lineRule="exact"/>
              <w:ind w:left="27"/>
              <w:rPr>
                <w:sz w:val="15"/>
              </w:rPr>
            </w:pPr>
            <w:r>
              <w:rPr>
                <w:color w:val="231F20"/>
                <w:w w:val="90"/>
                <w:sz w:val="15"/>
              </w:rPr>
              <w:t>commitment</w:t>
            </w:r>
          </w:p>
        </w:tc>
        <w:tc>
          <w:tcPr>
            <w:tcW w:w="1538" w:type="dxa"/>
            <w:tcBorders>
              <w:top w:val="single" w:sz="6" w:space="0" w:color="231F20"/>
              <w:left w:val="single" w:sz="6" w:space="0" w:color="231F20"/>
              <w:bottom w:val="single" w:sz="6" w:space="0" w:color="231F20"/>
              <w:right w:val="single" w:sz="6" w:space="0" w:color="231F20"/>
            </w:tcBorders>
          </w:tcPr>
          <w:p w14:paraId="4DDD91CD" w14:textId="77777777" w:rsidR="009948F1" w:rsidRDefault="00BC0563">
            <w:pPr>
              <w:pStyle w:val="TableParagraph"/>
              <w:spacing w:before="85"/>
              <w:ind w:left="28"/>
              <w:rPr>
                <w:sz w:val="15"/>
              </w:rPr>
            </w:pPr>
            <w:r>
              <w:rPr>
                <w:color w:val="231F20"/>
                <w:w w:val="90"/>
                <w:sz w:val="15"/>
              </w:rPr>
              <w:t>No cost</w:t>
            </w:r>
          </w:p>
        </w:tc>
      </w:tr>
      <w:tr w:rsidR="009948F1" w14:paraId="4D86A5D7" w14:textId="77777777">
        <w:trPr>
          <w:trHeight w:val="651"/>
        </w:trPr>
        <w:tc>
          <w:tcPr>
            <w:tcW w:w="802" w:type="dxa"/>
            <w:gridSpan w:val="2"/>
            <w:vMerge/>
            <w:tcBorders>
              <w:top w:val="nil"/>
              <w:bottom w:val="single" w:sz="12" w:space="0" w:color="231F20"/>
              <w:right w:val="single" w:sz="6" w:space="0" w:color="231F20"/>
            </w:tcBorders>
          </w:tcPr>
          <w:p w14:paraId="59CA58A5" w14:textId="77777777" w:rsidR="009948F1" w:rsidRDefault="009948F1">
            <w:pPr>
              <w:rPr>
                <w:sz w:val="2"/>
                <w:szCs w:val="2"/>
              </w:rPr>
            </w:pPr>
          </w:p>
        </w:tc>
        <w:tc>
          <w:tcPr>
            <w:tcW w:w="537" w:type="dxa"/>
            <w:tcBorders>
              <w:top w:val="single" w:sz="6" w:space="0" w:color="231F20"/>
              <w:left w:val="single" w:sz="6" w:space="0" w:color="231F20"/>
              <w:bottom w:val="single" w:sz="6" w:space="0" w:color="231F20"/>
              <w:right w:val="single" w:sz="6" w:space="0" w:color="231F20"/>
            </w:tcBorders>
          </w:tcPr>
          <w:p w14:paraId="42B7917A" w14:textId="77777777" w:rsidR="009948F1" w:rsidRDefault="009948F1">
            <w:pPr>
              <w:pStyle w:val="TableParagraph"/>
              <w:spacing w:before="10"/>
              <w:rPr>
                <w:sz w:val="20"/>
              </w:rPr>
            </w:pPr>
          </w:p>
          <w:p w14:paraId="1754BF81" w14:textId="77777777" w:rsidR="009948F1" w:rsidRDefault="00BC0563">
            <w:pPr>
              <w:pStyle w:val="TableParagraph"/>
              <w:spacing w:before="1"/>
              <w:ind w:left="35" w:right="12"/>
              <w:jc w:val="center"/>
              <w:rPr>
                <w:sz w:val="15"/>
              </w:rPr>
            </w:pPr>
            <w:r>
              <w:rPr>
                <w:color w:val="231F20"/>
                <w:w w:val="80"/>
                <w:sz w:val="15"/>
              </w:rPr>
              <w:t>15.4.5.c</w:t>
            </w:r>
          </w:p>
        </w:tc>
        <w:tc>
          <w:tcPr>
            <w:tcW w:w="5002" w:type="dxa"/>
            <w:gridSpan w:val="2"/>
            <w:tcBorders>
              <w:top w:val="single" w:sz="6" w:space="0" w:color="231F20"/>
              <w:left w:val="single" w:sz="6" w:space="0" w:color="231F20"/>
              <w:bottom w:val="single" w:sz="6" w:space="0" w:color="231F20"/>
              <w:right w:val="single" w:sz="6" w:space="0" w:color="231F20"/>
            </w:tcBorders>
          </w:tcPr>
          <w:p w14:paraId="29436499" w14:textId="77777777" w:rsidR="009948F1" w:rsidRDefault="009948F1">
            <w:pPr>
              <w:pStyle w:val="TableParagraph"/>
              <w:rPr>
                <w:sz w:val="12"/>
              </w:rPr>
            </w:pPr>
          </w:p>
          <w:p w14:paraId="197705EB" w14:textId="77777777" w:rsidR="009948F1" w:rsidRDefault="00BC0563">
            <w:pPr>
              <w:pStyle w:val="TableParagraph"/>
              <w:spacing w:before="1" w:line="264" w:lineRule="auto"/>
              <w:ind w:left="27"/>
              <w:rPr>
                <w:sz w:val="15"/>
              </w:rPr>
            </w:pPr>
            <w:r>
              <w:rPr>
                <w:color w:val="231F20"/>
                <w:w w:val="80"/>
                <w:sz w:val="15"/>
              </w:rPr>
              <w:t xml:space="preserve">Train accounting staff on financial management and International Public Sector Accounting </w:t>
            </w:r>
            <w:r>
              <w:rPr>
                <w:color w:val="231F20"/>
                <w:w w:val="90"/>
                <w:sz w:val="15"/>
              </w:rPr>
              <w:t>Standard (IPSAS) system of accounting</w:t>
            </w:r>
          </w:p>
        </w:tc>
        <w:tc>
          <w:tcPr>
            <w:tcW w:w="1458" w:type="dxa"/>
            <w:tcBorders>
              <w:top w:val="single" w:sz="6" w:space="0" w:color="231F20"/>
              <w:left w:val="single" w:sz="6" w:space="0" w:color="231F20"/>
              <w:bottom w:val="single" w:sz="6" w:space="0" w:color="231F20"/>
              <w:right w:val="single" w:sz="6" w:space="0" w:color="231F20"/>
            </w:tcBorders>
          </w:tcPr>
          <w:p w14:paraId="062AD507" w14:textId="77777777" w:rsidR="009948F1" w:rsidRDefault="009948F1">
            <w:pPr>
              <w:pStyle w:val="TableParagraph"/>
              <w:spacing w:before="10"/>
              <w:rPr>
                <w:sz w:val="20"/>
              </w:rPr>
            </w:pPr>
          </w:p>
          <w:p w14:paraId="343B1A0D" w14:textId="77777777" w:rsidR="009948F1" w:rsidRDefault="00BC0563">
            <w:pPr>
              <w:pStyle w:val="TableParagraph"/>
              <w:spacing w:before="1"/>
              <w:ind w:left="27"/>
              <w:rPr>
                <w:sz w:val="15"/>
              </w:rPr>
            </w:pPr>
            <w:r>
              <w:rPr>
                <w:color w:val="231F20"/>
                <w:w w:val="90"/>
                <w:sz w:val="15"/>
              </w:rPr>
              <w:t>Lack of funds</w:t>
            </w:r>
          </w:p>
        </w:tc>
        <w:tc>
          <w:tcPr>
            <w:tcW w:w="1538" w:type="dxa"/>
            <w:tcBorders>
              <w:top w:val="single" w:sz="6" w:space="0" w:color="231F20"/>
              <w:left w:val="single" w:sz="6" w:space="0" w:color="231F20"/>
              <w:bottom w:val="single" w:sz="6" w:space="0" w:color="231F20"/>
              <w:right w:val="single" w:sz="6" w:space="0" w:color="231F20"/>
            </w:tcBorders>
          </w:tcPr>
          <w:p w14:paraId="5A633A84" w14:textId="77777777" w:rsidR="009948F1" w:rsidRDefault="009948F1">
            <w:pPr>
              <w:pStyle w:val="TableParagraph"/>
              <w:spacing w:before="10"/>
              <w:rPr>
                <w:sz w:val="20"/>
              </w:rPr>
            </w:pPr>
          </w:p>
          <w:p w14:paraId="2BC8B2F8" w14:textId="77777777" w:rsidR="009948F1" w:rsidRDefault="00BC0563">
            <w:pPr>
              <w:pStyle w:val="TableParagraph"/>
              <w:spacing w:before="1"/>
              <w:ind w:left="28"/>
              <w:rPr>
                <w:sz w:val="15"/>
              </w:rPr>
            </w:pPr>
            <w:r>
              <w:rPr>
                <w:color w:val="231F20"/>
                <w:w w:val="90"/>
                <w:sz w:val="15"/>
              </w:rPr>
              <w:t>Train accounting staff</w:t>
            </w:r>
          </w:p>
        </w:tc>
      </w:tr>
      <w:tr w:rsidR="009948F1" w14:paraId="0FB6240F" w14:textId="77777777">
        <w:trPr>
          <w:trHeight w:val="368"/>
        </w:trPr>
        <w:tc>
          <w:tcPr>
            <w:tcW w:w="802" w:type="dxa"/>
            <w:gridSpan w:val="2"/>
            <w:vMerge/>
            <w:tcBorders>
              <w:top w:val="nil"/>
              <w:bottom w:val="single" w:sz="12" w:space="0" w:color="231F20"/>
              <w:right w:val="single" w:sz="6" w:space="0" w:color="231F20"/>
            </w:tcBorders>
          </w:tcPr>
          <w:p w14:paraId="41950977" w14:textId="77777777" w:rsidR="009948F1" w:rsidRDefault="009948F1">
            <w:pPr>
              <w:rPr>
                <w:sz w:val="2"/>
                <w:szCs w:val="2"/>
              </w:rPr>
            </w:pPr>
          </w:p>
        </w:tc>
        <w:tc>
          <w:tcPr>
            <w:tcW w:w="537" w:type="dxa"/>
            <w:tcBorders>
              <w:top w:val="single" w:sz="6" w:space="0" w:color="231F20"/>
              <w:left w:val="single" w:sz="6" w:space="0" w:color="231F20"/>
              <w:bottom w:val="single" w:sz="12" w:space="0" w:color="231F20"/>
              <w:right w:val="single" w:sz="6" w:space="0" w:color="231F20"/>
            </w:tcBorders>
          </w:tcPr>
          <w:p w14:paraId="0D98E457" w14:textId="77777777" w:rsidR="009948F1" w:rsidRDefault="00BC0563">
            <w:pPr>
              <w:pStyle w:val="TableParagraph"/>
              <w:spacing w:before="98"/>
              <w:ind w:left="35" w:right="13"/>
              <w:jc w:val="center"/>
              <w:rPr>
                <w:sz w:val="15"/>
              </w:rPr>
            </w:pPr>
            <w:r>
              <w:rPr>
                <w:color w:val="231F20"/>
                <w:w w:val="80"/>
                <w:sz w:val="15"/>
              </w:rPr>
              <w:t>15.4.5.d</w:t>
            </w:r>
          </w:p>
        </w:tc>
        <w:tc>
          <w:tcPr>
            <w:tcW w:w="5002" w:type="dxa"/>
            <w:gridSpan w:val="2"/>
            <w:tcBorders>
              <w:top w:val="single" w:sz="6" w:space="0" w:color="231F20"/>
              <w:left w:val="single" w:sz="6" w:space="0" w:color="231F20"/>
              <w:bottom w:val="single" w:sz="12" w:space="0" w:color="231F20"/>
              <w:right w:val="single" w:sz="6" w:space="0" w:color="231F20"/>
            </w:tcBorders>
          </w:tcPr>
          <w:p w14:paraId="3D7C835F" w14:textId="77777777" w:rsidR="009948F1" w:rsidRDefault="00BC0563">
            <w:pPr>
              <w:pStyle w:val="TableParagraph"/>
              <w:spacing w:before="92"/>
              <w:ind w:left="27"/>
              <w:rPr>
                <w:sz w:val="15"/>
              </w:rPr>
            </w:pPr>
            <w:r>
              <w:rPr>
                <w:color w:val="231F20"/>
                <w:w w:val="90"/>
                <w:sz w:val="15"/>
              </w:rPr>
              <w:t>Conduct financial Audit of all health facilities</w:t>
            </w:r>
          </w:p>
        </w:tc>
        <w:tc>
          <w:tcPr>
            <w:tcW w:w="1458" w:type="dxa"/>
            <w:tcBorders>
              <w:top w:val="single" w:sz="6" w:space="0" w:color="231F20"/>
              <w:left w:val="single" w:sz="6" w:space="0" w:color="231F20"/>
              <w:bottom w:val="single" w:sz="6" w:space="0" w:color="231F20"/>
              <w:right w:val="single" w:sz="6" w:space="0" w:color="231F20"/>
            </w:tcBorders>
          </w:tcPr>
          <w:p w14:paraId="6CC89BF7" w14:textId="77777777" w:rsidR="009948F1" w:rsidRDefault="00BC0563">
            <w:pPr>
              <w:pStyle w:val="TableParagraph"/>
              <w:spacing w:before="98"/>
              <w:ind w:left="27"/>
              <w:rPr>
                <w:sz w:val="15"/>
              </w:rPr>
            </w:pPr>
            <w:r>
              <w:rPr>
                <w:color w:val="231F20"/>
                <w:w w:val="90"/>
                <w:sz w:val="15"/>
              </w:rPr>
              <w:t>Lack of funds</w:t>
            </w:r>
          </w:p>
        </w:tc>
        <w:tc>
          <w:tcPr>
            <w:tcW w:w="1538" w:type="dxa"/>
            <w:tcBorders>
              <w:top w:val="single" w:sz="6" w:space="0" w:color="231F20"/>
              <w:left w:val="single" w:sz="6" w:space="0" w:color="231F20"/>
              <w:bottom w:val="single" w:sz="12" w:space="0" w:color="231F20"/>
              <w:right w:val="single" w:sz="6" w:space="0" w:color="231F20"/>
            </w:tcBorders>
          </w:tcPr>
          <w:p w14:paraId="6714455E" w14:textId="77777777" w:rsidR="009948F1" w:rsidRDefault="00BC0563">
            <w:pPr>
              <w:pStyle w:val="TableParagraph"/>
              <w:spacing w:before="98"/>
              <w:ind w:left="28"/>
              <w:rPr>
                <w:sz w:val="15"/>
              </w:rPr>
            </w:pPr>
            <w:r>
              <w:rPr>
                <w:color w:val="231F20"/>
                <w:w w:val="90"/>
                <w:sz w:val="15"/>
              </w:rPr>
              <w:t>Conduct financial Audit</w:t>
            </w:r>
          </w:p>
        </w:tc>
      </w:tr>
    </w:tbl>
    <w:p w14:paraId="5991FF0E" w14:textId="77777777" w:rsidR="00BC0563" w:rsidRDefault="00BC0563"/>
    <w:sectPr w:rsidR="00BC0563">
      <w:pgSz w:w="11910" w:h="16840"/>
      <w:pgMar w:top="1580" w:right="1080" w:bottom="1340" w:left="1120" w:header="0" w:footer="11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5B415" w14:textId="77777777" w:rsidR="007E674B" w:rsidRDefault="007E674B">
      <w:r>
        <w:separator/>
      </w:r>
    </w:p>
  </w:endnote>
  <w:endnote w:type="continuationSeparator" w:id="0">
    <w:p w14:paraId="51FA7789" w14:textId="77777777" w:rsidR="007E674B" w:rsidRDefault="007E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lito">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BABEL Unicode">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C161" w14:textId="77777777" w:rsidR="00080B77" w:rsidRDefault="00244DD0">
    <w:pPr>
      <w:pStyle w:val="BodyText"/>
      <w:spacing w:line="14" w:lineRule="auto"/>
      <w:rPr>
        <w:sz w:val="20"/>
      </w:rPr>
    </w:pPr>
    <w:r>
      <w:pict w14:anchorId="13759AE6">
        <v:rect id="_x0000_s1049" style="position:absolute;margin-left:63.75pt;margin-top:776.3pt;width:190.65pt;height:.85pt;z-index:-35227648;mso-position-horizontal-relative:page;mso-position-vertical-relative:page" fillcolor="#231f20" stroked="f">
          <w10:wrap anchorx="page" anchory="page"/>
        </v:rect>
      </w:pict>
    </w:r>
    <w:r>
      <w:pict w14:anchorId="21C420EE">
        <v:rect id="_x0000_s1048" style="position:absolute;margin-left:340.85pt;margin-top:776.3pt;width:190.65pt;height:.85pt;z-index:-35227136;mso-position-horizontal-relative:page;mso-position-vertical-relative:page" fillcolor="#231f20" stroked="f">
          <w10:wrap anchorx="page" anchory="page"/>
        </v:rect>
      </w:pict>
    </w:r>
    <w:r>
      <w:pict w14:anchorId="7C3006DA">
        <v:rect id="_x0000_s1047" style="position:absolute;margin-left:63.75pt;margin-top:772.5pt;width:190.65pt;height:1.8pt;z-index:-35226624;mso-position-horizontal-relative:page;mso-position-vertical-relative:page" fillcolor="#231f20" stroked="f">
          <w10:wrap anchorx="page" anchory="page"/>
        </v:rect>
      </w:pict>
    </w:r>
    <w:r>
      <w:pict w14:anchorId="5983C278">
        <v:rect id="_x0000_s1046" style="position:absolute;margin-left:340.85pt;margin-top:772.5pt;width:190.65pt;height:1.8pt;z-index:-35226112;mso-position-horizontal-relative:page;mso-position-vertical-relative:page" fillcolor="#231f20" stroked="f">
          <w10:wrap anchorx="page" anchory="page"/>
        </v:rect>
      </w:pict>
    </w:r>
    <w:r>
      <w:pict w14:anchorId="2EC85760">
        <v:shapetype id="_x0000_t202" coordsize="21600,21600" o:spt="202" path="m,l,21600r21600,l21600,xe">
          <v:stroke joinstyle="miter"/>
          <v:path gradientshapeok="t" o:connecttype="rect"/>
        </v:shapetype>
        <v:shape id="_x0000_s1045" type="#_x0000_t202" style="position:absolute;margin-left:284.05pt;margin-top:769pt;width:26.05pt;height:14.2pt;z-index:-35225600;mso-position-horizontal-relative:page;mso-position-vertical-relative:page" filled="f" stroked="f">
          <v:textbox inset="0,0,0,0">
            <w:txbxContent>
              <w:p w14:paraId="14D40809" w14:textId="77777777" w:rsidR="00080B77" w:rsidRDefault="00080B77">
                <w:pPr>
                  <w:spacing w:line="260" w:lineRule="exact"/>
                  <w:ind w:left="60"/>
                  <w:rPr>
                    <w:b/>
                    <w:sz w:val="24"/>
                  </w:rPr>
                </w:pPr>
                <w:r>
                  <w:fldChar w:fldCharType="begin"/>
                </w:r>
                <w:r>
                  <w:rPr>
                    <w:b/>
                    <w:color w:val="231F20"/>
                    <w:sz w:val="24"/>
                  </w:rPr>
                  <w:instrText xml:space="preserve"> PAGE </w:instrText>
                </w:r>
                <w:r>
                  <w:fldChar w:fldCharType="separate"/>
                </w:r>
                <w:r w:rsidR="002536D6">
                  <w:rPr>
                    <w:b/>
                    <w:noProof/>
                    <w:color w:val="231F20"/>
                    <w:sz w:val="24"/>
                  </w:rPr>
                  <w:t>20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7A61" w14:textId="77777777" w:rsidR="00080B77" w:rsidRDefault="00244DD0">
    <w:pPr>
      <w:pStyle w:val="BodyText"/>
      <w:spacing w:line="14" w:lineRule="auto"/>
      <w:rPr>
        <w:sz w:val="20"/>
      </w:rPr>
    </w:pPr>
    <w:r>
      <w:pict w14:anchorId="56CCD949">
        <v:rect id="_x0000_s1044" style="position:absolute;margin-left:64.7pt;margin-top:777.55pt;width:190.65pt;height:.85pt;z-index:-35225088;mso-position-horizontal-relative:page;mso-position-vertical-relative:page" fillcolor="#231f20" stroked="f">
          <w10:wrap anchorx="page" anchory="page"/>
        </v:rect>
      </w:pict>
    </w:r>
    <w:r>
      <w:pict w14:anchorId="0BB8B671">
        <v:shapetype id="_x0000_t202" coordsize="21600,21600" o:spt="202" path="m,l,21600r21600,l21600,xe">
          <v:stroke joinstyle="miter"/>
          <v:path gradientshapeok="t" o:connecttype="rect"/>
        </v:shapetype>
        <v:shape id="_x0000_s1043" type="#_x0000_t202" style="position:absolute;margin-left:284.05pt;margin-top:769.15pt;width:26.05pt;height:14pt;z-index:-35224576;mso-position-horizontal-relative:page;mso-position-vertical-relative:page" filled="f" stroked="f">
          <v:textbox inset="0,0,0,0">
            <w:txbxContent>
              <w:p w14:paraId="619EF2DC"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109</w:t>
                </w:r>
                <w:r>
                  <w:fldChar w:fldCharType="end"/>
                </w:r>
              </w:p>
            </w:txbxContent>
          </v:textbox>
          <w10:wrap anchorx="page" anchory="page"/>
        </v:shape>
      </w:pict>
    </w:r>
    <w:r>
      <w:pict w14:anchorId="483BB643">
        <v:shape id="_x0000_s1042" type="#_x0000_t202" style="position:absolute;margin-left:340.8pt;margin-top:769.15pt;width:195.75pt;height:14pt;z-index:-35224064;mso-position-horizontal-relative:page;mso-position-vertical-relative:page" filled="f" stroked="f">
          <v:textbox inset="0,0,0,0">
            <w:txbxContent>
              <w:p w14:paraId="55398EC7" w14:textId="77777777" w:rsidR="00080B77" w:rsidRDefault="00080B77">
                <w:pPr>
                  <w:tabs>
                    <w:tab w:val="left" w:pos="3894"/>
                  </w:tabs>
                  <w:spacing w:line="257" w:lineRule="exact"/>
                  <w:ind w:left="20"/>
                  <w:rPr>
                    <w:b/>
                    <w:sz w:val="24"/>
                  </w:rPr>
                </w:pPr>
                <w:r>
                  <w:rPr>
                    <w:b/>
                    <w:color w:val="231F20"/>
                    <w:sz w:val="24"/>
                    <w:u w:val="single" w:color="231F20"/>
                  </w:rPr>
                  <w:t xml:space="preserve"> </w:t>
                </w:r>
                <w:r>
                  <w:rPr>
                    <w:b/>
                    <w:color w:val="231F20"/>
                    <w:sz w:val="24"/>
                    <w:u w:val="single" w:color="231F20"/>
                  </w:rPr>
                  <w:tab/>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7D2F" w14:textId="77777777" w:rsidR="00080B77" w:rsidRDefault="00244DD0">
    <w:pPr>
      <w:pStyle w:val="BodyText"/>
      <w:spacing w:line="14" w:lineRule="auto"/>
      <w:rPr>
        <w:sz w:val="20"/>
      </w:rPr>
    </w:pPr>
    <w:r>
      <w:pict w14:anchorId="35CBFE6F">
        <v:rect id="_x0000_s1041" style="position:absolute;margin-left:63.45pt;margin-top:776.6pt;width:190.65pt;height:.85pt;z-index:-35223552;mso-position-horizontal-relative:page;mso-position-vertical-relative:page" fillcolor="#231f20" stroked="f">
          <w10:wrap anchorx="page" anchory="page"/>
        </v:rect>
      </w:pict>
    </w:r>
    <w:r>
      <w:pict w14:anchorId="6DECB6D9">
        <v:rect id="_x0000_s1040" style="position:absolute;margin-left:340.55pt;margin-top:776.6pt;width:190.65pt;height:.85pt;z-index:-35223040;mso-position-horizontal-relative:page;mso-position-vertical-relative:page" fillcolor="#231f20" stroked="f">
          <w10:wrap anchorx="page" anchory="page"/>
        </v:rect>
      </w:pict>
    </w:r>
    <w:r>
      <w:pict w14:anchorId="2D2F8A76">
        <v:rect id="_x0000_s1039" style="position:absolute;margin-left:63.45pt;margin-top:772.8pt;width:190.65pt;height:1.8pt;z-index:-35222528;mso-position-horizontal-relative:page;mso-position-vertical-relative:page" fillcolor="#231f20" stroked="f">
          <w10:wrap anchorx="page" anchory="page"/>
        </v:rect>
      </w:pict>
    </w:r>
    <w:r>
      <w:pict w14:anchorId="13DF8C70">
        <v:rect id="_x0000_s1038" style="position:absolute;margin-left:340.55pt;margin-top:772.8pt;width:190.65pt;height:1.8pt;z-index:-35222016;mso-position-horizontal-relative:page;mso-position-vertical-relative:page" fillcolor="#231f20" stroked="f">
          <w10:wrap anchorx="page" anchory="page"/>
        </v:rect>
      </w:pict>
    </w:r>
    <w:r>
      <w:pict w14:anchorId="021B67AD">
        <v:shapetype id="_x0000_t202" coordsize="21600,21600" o:spt="202" path="m,l,21600r21600,l21600,xe">
          <v:stroke joinstyle="miter"/>
          <v:path gradientshapeok="t" o:connecttype="rect"/>
        </v:shapetype>
        <v:shape id="_x0000_s1037" type="#_x0000_t202" style="position:absolute;margin-left:284.4pt;margin-top:769.15pt;width:25.4pt;height:14pt;z-index:-35221504;mso-position-horizontal-relative:page;mso-position-vertical-relative:page" filled="f" stroked="f">
          <v:textbox inset="0,0,0,0">
            <w:txbxContent>
              <w:p w14:paraId="298B3F3D"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115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034B" w14:textId="77777777" w:rsidR="00080B77" w:rsidRDefault="00244DD0">
    <w:pPr>
      <w:pStyle w:val="BodyText"/>
      <w:spacing w:line="14" w:lineRule="auto"/>
      <w:rPr>
        <w:sz w:val="20"/>
      </w:rPr>
    </w:pPr>
    <w:r>
      <w:pict w14:anchorId="70651A28">
        <v:shapetype id="_x0000_t202" coordsize="21600,21600" o:spt="202" path="m,l,21600r21600,l21600,xe">
          <v:stroke joinstyle="miter"/>
          <v:path gradientshapeok="t" o:connecttype="rect"/>
        </v:shapetype>
        <v:shape id="_x0000_s1036" type="#_x0000_t202" style="position:absolute;margin-left:284.4pt;margin-top:769.15pt;width:25.4pt;height:14pt;z-index:-35220992;mso-position-horizontal-relative:page;mso-position-vertical-relative:page" filled="f" stroked="f">
          <v:textbox inset="0,0,0,0">
            <w:txbxContent>
              <w:p w14:paraId="22A9ADC5"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117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45C1" w14:textId="77777777" w:rsidR="00080B77" w:rsidRDefault="00244DD0">
    <w:pPr>
      <w:pStyle w:val="BodyText"/>
      <w:spacing w:line="14" w:lineRule="auto"/>
      <w:rPr>
        <w:sz w:val="16"/>
      </w:rPr>
    </w:pPr>
    <w:r>
      <w:pict w14:anchorId="71A96738">
        <v:rect id="_x0000_s1035" style="position:absolute;margin-left:63.45pt;margin-top:775.75pt;width:190.65pt;height:.85pt;z-index:-35220480;mso-position-horizontal-relative:page;mso-position-vertical-relative:page" fillcolor="#231f20" stroked="f">
          <w10:wrap anchorx="page" anchory="page"/>
        </v:rect>
      </w:pict>
    </w:r>
    <w:r>
      <w:pict w14:anchorId="0AE9B579">
        <v:rect id="_x0000_s1034" style="position:absolute;margin-left:340.55pt;margin-top:775.75pt;width:190.65pt;height:.85pt;z-index:-35219968;mso-position-horizontal-relative:page;mso-position-vertical-relative:page" fillcolor="#231f20" stroked="f">
          <w10:wrap anchorx="page" anchory="page"/>
        </v:rect>
      </w:pict>
    </w:r>
    <w:r>
      <w:pict w14:anchorId="42E3AC9D">
        <v:rect id="_x0000_s1033" style="position:absolute;margin-left:63.45pt;margin-top:771.95pt;width:190.65pt;height:1.8pt;z-index:-35219456;mso-position-horizontal-relative:page;mso-position-vertical-relative:page" fillcolor="#231f20" stroked="f">
          <w10:wrap anchorx="page" anchory="page"/>
        </v:rect>
      </w:pict>
    </w:r>
    <w:r>
      <w:pict w14:anchorId="3361CBB7">
        <v:rect id="_x0000_s1032" style="position:absolute;margin-left:340.55pt;margin-top:771.95pt;width:190.65pt;height:1.8pt;z-index:-35218944;mso-position-horizontal-relative:page;mso-position-vertical-relative:page" fillcolor="#231f20" stroked="f">
          <w10:wrap anchorx="page" anchory="page"/>
        </v:rect>
      </w:pict>
    </w:r>
    <w:r>
      <w:pict w14:anchorId="49D10CAA">
        <v:shapetype id="_x0000_t202" coordsize="21600,21600" o:spt="202" path="m,l,21600r21600,l21600,xe">
          <v:stroke joinstyle="miter"/>
          <v:path gradientshapeok="t" o:connecttype="rect"/>
        </v:shapetype>
        <v:shape id="_x0000_s1031" type="#_x0000_t202" style="position:absolute;margin-left:284.05pt;margin-top:769.15pt;width:26.05pt;height:14pt;z-index:-35218432;mso-position-horizontal-relative:page;mso-position-vertical-relative:page" filled="f" stroked="f">
          <v:textbox inset="0,0,0,0">
            <w:txbxContent>
              <w:p w14:paraId="4E28D205"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143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8A02" w14:textId="77777777" w:rsidR="00080B77" w:rsidRDefault="00244DD0">
    <w:pPr>
      <w:pStyle w:val="BodyText"/>
      <w:spacing w:line="14" w:lineRule="auto"/>
      <w:rPr>
        <w:sz w:val="20"/>
      </w:rPr>
    </w:pPr>
    <w:r>
      <w:pict w14:anchorId="73DF9FC9">
        <v:shapetype id="_x0000_t202" coordsize="21600,21600" o:spt="202" path="m,l,21600r21600,l21600,xe">
          <v:stroke joinstyle="miter"/>
          <v:path gradientshapeok="t" o:connecttype="rect"/>
        </v:shapetype>
        <v:shape id="_x0000_s1030" type="#_x0000_t202" style="position:absolute;margin-left:284.05pt;margin-top:769.15pt;width:26.05pt;height:14pt;z-index:-35217920;mso-position-horizontal-relative:page;mso-position-vertical-relative:page" filled="f" stroked="f">
          <v:textbox inset="0,0,0,0">
            <w:txbxContent>
              <w:p w14:paraId="22D5165A"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144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8F4F" w14:textId="77777777" w:rsidR="00080B77" w:rsidRDefault="00244DD0">
    <w:pPr>
      <w:pStyle w:val="BodyText"/>
      <w:spacing w:line="14" w:lineRule="auto"/>
      <w:rPr>
        <w:sz w:val="20"/>
      </w:rPr>
    </w:pPr>
    <w:r>
      <w:pict w14:anchorId="6501CD8A">
        <v:rect id="_x0000_s1029" style="position:absolute;margin-left:63.75pt;margin-top:776.1pt;width:190.65pt;height:.85pt;z-index:-35217408;mso-position-horizontal-relative:page;mso-position-vertical-relative:page" fillcolor="#231f20" stroked="f">
          <w10:wrap anchorx="page" anchory="page"/>
        </v:rect>
      </w:pict>
    </w:r>
    <w:r>
      <w:pict w14:anchorId="11371A27">
        <v:rect id="_x0000_s1028" style="position:absolute;margin-left:340.85pt;margin-top:776.1pt;width:190.65pt;height:.85pt;z-index:-35216896;mso-position-horizontal-relative:page;mso-position-vertical-relative:page" fillcolor="#231f20" stroked="f">
          <w10:wrap anchorx="page" anchory="page"/>
        </v:rect>
      </w:pict>
    </w:r>
    <w:r>
      <w:pict w14:anchorId="09F2F6AE">
        <v:rect id="_x0000_s1027" style="position:absolute;margin-left:63.75pt;margin-top:772.3pt;width:190.65pt;height:1.8pt;z-index:-35216384;mso-position-horizontal-relative:page;mso-position-vertical-relative:page" fillcolor="#231f20" stroked="f">
          <w10:wrap anchorx="page" anchory="page"/>
        </v:rect>
      </w:pict>
    </w:r>
    <w:r>
      <w:pict w14:anchorId="48EE20A4">
        <v:rect id="_x0000_s1026" style="position:absolute;margin-left:340.85pt;margin-top:772.3pt;width:190.65pt;height:1.8pt;z-index:-35215872;mso-position-horizontal-relative:page;mso-position-vertical-relative:page" fillcolor="#231f20" stroked="f">
          <w10:wrap anchorx="page" anchory="page"/>
        </v:rect>
      </w:pict>
    </w:r>
    <w:r>
      <w:pict w14:anchorId="72670C97">
        <v:shapetype id="_x0000_t202" coordsize="21600,21600" o:spt="202" path="m,l,21600r21600,l21600,xe">
          <v:stroke joinstyle="miter"/>
          <v:path gradientshapeok="t" o:connecttype="rect"/>
        </v:shapetype>
        <v:shape id="_x0000_s1025" type="#_x0000_t202" style="position:absolute;margin-left:284.05pt;margin-top:769.15pt;width:26.05pt;height:14pt;z-index:-35215360;mso-position-horizontal-relative:page;mso-position-vertical-relative:page" filled="f" stroked="f">
          <v:textbox inset="0,0,0,0">
            <w:txbxContent>
              <w:p w14:paraId="6E485CDD" w14:textId="77777777" w:rsidR="00080B77" w:rsidRDefault="00080B77">
                <w:pPr>
                  <w:spacing w:line="257" w:lineRule="exact"/>
                  <w:ind w:left="60"/>
                  <w:rPr>
                    <w:b/>
                    <w:sz w:val="24"/>
                  </w:rPr>
                </w:pPr>
                <w:r>
                  <w:fldChar w:fldCharType="begin"/>
                </w:r>
                <w:r>
                  <w:rPr>
                    <w:b/>
                    <w:color w:val="231F20"/>
                    <w:sz w:val="24"/>
                  </w:rPr>
                  <w:instrText xml:space="preserve"> PAGE </w:instrText>
                </w:r>
                <w:r>
                  <w:fldChar w:fldCharType="separate"/>
                </w:r>
                <w:r w:rsidR="001D6C4A">
                  <w:rPr>
                    <w:b/>
                    <w:noProof/>
                    <w:color w:val="231F20"/>
                    <w:sz w:val="24"/>
                  </w:rPr>
                  <w:t>173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842A2" w14:textId="77777777" w:rsidR="007E674B" w:rsidRDefault="007E674B">
      <w:r>
        <w:separator/>
      </w:r>
    </w:p>
  </w:footnote>
  <w:footnote w:type="continuationSeparator" w:id="0">
    <w:p w14:paraId="7602BC5A" w14:textId="77777777" w:rsidR="007E674B" w:rsidRDefault="007E67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F84"/>
    <w:multiLevelType w:val="hybridMultilevel"/>
    <w:tmpl w:val="A07EA7AC"/>
    <w:lvl w:ilvl="0" w:tplc="DC6E1F06">
      <w:numFmt w:val="bullet"/>
      <w:lvlText w:val="•"/>
      <w:lvlJc w:val="left"/>
      <w:pPr>
        <w:ind w:left="24" w:hanging="69"/>
      </w:pPr>
      <w:rPr>
        <w:rFonts w:ascii="Arial" w:eastAsia="Arial" w:hAnsi="Arial" w:cs="Arial" w:hint="default"/>
        <w:color w:val="231F20"/>
        <w:w w:val="84"/>
        <w:sz w:val="14"/>
        <w:szCs w:val="14"/>
        <w:lang w:val="en-US" w:eastAsia="en-US" w:bidi="ar-SA"/>
      </w:rPr>
    </w:lvl>
    <w:lvl w:ilvl="1" w:tplc="A880B658">
      <w:numFmt w:val="bullet"/>
      <w:lvlText w:val="•"/>
      <w:lvlJc w:val="left"/>
      <w:pPr>
        <w:ind w:left="255" w:hanging="69"/>
      </w:pPr>
      <w:rPr>
        <w:rFonts w:hint="default"/>
        <w:lang w:val="en-US" w:eastAsia="en-US" w:bidi="ar-SA"/>
      </w:rPr>
    </w:lvl>
    <w:lvl w:ilvl="2" w:tplc="F17253D6">
      <w:numFmt w:val="bullet"/>
      <w:lvlText w:val="•"/>
      <w:lvlJc w:val="left"/>
      <w:pPr>
        <w:ind w:left="490" w:hanging="69"/>
      </w:pPr>
      <w:rPr>
        <w:rFonts w:hint="default"/>
        <w:lang w:val="en-US" w:eastAsia="en-US" w:bidi="ar-SA"/>
      </w:rPr>
    </w:lvl>
    <w:lvl w:ilvl="3" w:tplc="C762B00C">
      <w:numFmt w:val="bullet"/>
      <w:lvlText w:val="•"/>
      <w:lvlJc w:val="left"/>
      <w:pPr>
        <w:ind w:left="726" w:hanging="69"/>
      </w:pPr>
      <w:rPr>
        <w:rFonts w:hint="default"/>
        <w:lang w:val="en-US" w:eastAsia="en-US" w:bidi="ar-SA"/>
      </w:rPr>
    </w:lvl>
    <w:lvl w:ilvl="4" w:tplc="427E48A2">
      <w:numFmt w:val="bullet"/>
      <w:lvlText w:val="•"/>
      <w:lvlJc w:val="left"/>
      <w:pPr>
        <w:ind w:left="961" w:hanging="69"/>
      </w:pPr>
      <w:rPr>
        <w:rFonts w:hint="default"/>
        <w:lang w:val="en-US" w:eastAsia="en-US" w:bidi="ar-SA"/>
      </w:rPr>
    </w:lvl>
    <w:lvl w:ilvl="5" w:tplc="F4588C8A">
      <w:numFmt w:val="bullet"/>
      <w:lvlText w:val="•"/>
      <w:lvlJc w:val="left"/>
      <w:pPr>
        <w:ind w:left="1197" w:hanging="69"/>
      </w:pPr>
      <w:rPr>
        <w:rFonts w:hint="default"/>
        <w:lang w:val="en-US" w:eastAsia="en-US" w:bidi="ar-SA"/>
      </w:rPr>
    </w:lvl>
    <w:lvl w:ilvl="6" w:tplc="EF4A9782">
      <w:numFmt w:val="bullet"/>
      <w:lvlText w:val="•"/>
      <w:lvlJc w:val="left"/>
      <w:pPr>
        <w:ind w:left="1432" w:hanging="69"/>
      </w:pPr>
      <w:rPr>
        <w:rFonts w:hint="default"/>
        <w:lang w:val="en-US" w:eastAsia="en-US" w:bidi="ar-SA"/>
      </w:rPr>
    </w:lvl>
    <w:lvl w:ilvl="7" w:tplc="EC8C3F2A">
      <w:numFmt w:val="bullet"/>
      <w:lvlText w:val="•"/>
      <w:lvlJc w:val="left"/>
      <w:pPr>
        <w:ind w:left="1667" w:hanging="69"/>
      </w:pPr>
      <w:rPr>
        <w:rFonts w:hint="default"/>
        <w:lang w:val="en-US" w:eastAsia="en-US" w:bidi="ar-SA"/>
      </w:rPr>
    </w:lvl>
    <w:lvl w:ilvl="8" w:tplc="A9CEDA18">
      <w:numFmt w:val="bullet"/>
      <w:lvlText w:val="•"/>
      <w:lvlJc w:val="left"/>
      <w:pPr>
        <w:ind w:left="1903" w:hanging="69"/>
      </w:pPr>
      <w:rPr>
        <w:rFonts w:hint="default"/>
        <w:lang w:val="en-US" w:eastAsia="en-US" w:bidi="ar-SA"/>
      </w:rPr>
    </w:lvl>
  </w:abstractNum>
  <w:abstractNum w:abstractNumId="1" w15:restartNumberingAfterBreak="0">
    <w:nsid w:val="00894732"/>
    <w:multiLevelType w:val="hybridMultilevel"/>
    <w:tmpl w:val="15303BC4"/>
    <w:lvl w:ilvl="0" w:tplc="28D834B4">
      <w:numFmt w:val="bullet"/>
      <w:lvlText w:val="•"/>
      <w:lvlJc w:val="left"/>
      <w:pPr>
        <w:ind w:left="25" w:hanging="73"/>
      </w:pPr>
      <w:rPr>
        <w:rFonts w:ascii="Arial" w:eastAsia="Arial" w:hAnsi="Arial" w:cs="Arial" w:hint="default"/>
        <w:color w:val="231F20"/>
        <w:w w:val="105"/>
        <w:sz w:val="12"/>
        <w:szCs w:val="12"/>
        <w:lang w:val="en-US" w:eastAsia="en-US" w:bidi="ar-SA"/>
      </w:rPr>
    </w:lvl>
    <w:lvl w:ilvl="1" w:tplc="40BE1EB8">
      <w:numFmt w:val="bullet"/>
      <w:lvlText w:val="•"/>
      <w:lvlJc w:val="left"/>
      <w:pPr>
        <w:ind w:left="271" w:hanging="73"/>
      </w:pPr>
      <w:rPr>
        <w:rFonts w:hint="default"/>
        <w:lang w:val="en-US" w:eastAsia="en-US" w:bidi="ar-SA"/>
      </w:rPr>
    </w:lvl>
    <w:lvl w:ilvl="2" w:tplc="C80C29C8">
      <w:numFmt w:val="bullet"/>
      <w:lvlText w:val="•"/>
      <w:lvlJc w:val="left"/>
      <w:pPr>
        <w:ind w:left="522" w:hanging="73"/>
      </w:pPr>
      <w:rPr>
        <w:rFonts w:hint="default"/>
        <w:lang w:val="en-US" w:eastAsia="en-US" w:bidi="ar-SA"/>
      </w:rPr>
    </w:lvl>
    <w:lvl w:ilvl="3" w:tplc="43C2F4E8">
      <w:numFmt w:val="bullet"/>
      <w:lvlText w:val="•"/>
      <w:lvlJc w:val="left"/>
      <w:pPr>
        <w:ind w:left="773" w:hanging="73"/>
      </w:pPr>
      <w:rPr>
        <w:rFonts w:hint="default"/>
        <w:lang w:val="en-US" w:eastAsia="en-US" w:bidi="ar-SA"/>
      </w:rPr>
    </w:lvl>
    <w:lvl w:ilvl="4" w:tplc="0BF0622E">
      <w:numFmt w:val="bullet"/>
      <w:lvlText w:val="•"/>
      <w:lvlJc w:val="left"/>
      <w:pPr>
        <w:ind w:left="1024" w:hanging="73"/>
      </w:pPr>
      <w:rPr>
        <w:rFonts w:hint="default"/>
        <w:lang w:val="en-US" w:eastAsia="en-US" w:bidi="ar-SA"/>
      </w:rPr>
    </w:lvl>
    <w:lvl w:ilvl="5" w:tplc="EFC2AB1E">
      <w:numFmt w:val="bullet"/>
      <w:lvlText w:val="•"/>
      <w:lvlJc w:val="left"/>
      <w:pPr>
        <w:ind w:left="1275" w:hanging="73"/>
      </w:pPr>
      <w:rPr>
        <w:rFonts w:hint="default"/>
        <w:lang w:val="en-US" w:eastAsia="en-US" w:bidi="ar-SA"/>
      </w:rPr>
    </w:lvl>
    <w:lvl w:ilvl="6" w:tplc="17102836">
      <w:numFmt w:val="bullet"/>
      <w:lvlText w:val="•"/>
      <w:lvlJc w:val="left"/>
      <w:pPr>
        <w:ind w:left="1526" w:hanging="73"/>
      </w:pPr>
      <w:rPr>
        <w:rFonts w:hint="default"/>
        <w:lang w:val="en-US" w:eastAsia="en-US" w:bidi="ar-SA"/>
      </w:rPr>
    </w:lvl>
    <w:lvl w:ilvl="7" w:tplc="ED80EAB6">
      <w:numFmt w:val="bullet"/>
      <w:lvlText w:val="•"/>
      <w:lvlJc w:val="left"/>
      <w:pPr>
        <w:ind w:left="1777" w:hanging="73"/>
      </w:pPr>
      <w:rPr>
        <w:rFonts w:hint="default"/>
        <w:lang w:val="en-US" w:eastAsia="en-US" w:bidi="ar-SA"/>
      </w:rPr>
    </w:lvl>
    <w:lvl w:ilvl="8" w:tplc="02D4DBD4">
      <w:numFmt w:val="bullet"/>
      <w:lvlText w:val="•"/>
      <w:lvlJc w:val="left"/>
      <w:pPr>
        <w:ind w:left="2028" w:hanging="73"/>
      </w:pPr>
      <w:rPr>
        <w:rFonts w:hint="default"/>
        <w:lang w:val="en-US" w:eastAsia="en-US" w:bidi="ar-SA"/>
      </w:rPr>
    </w:lvl>
  </w:abstractNum>
  <w:abstractNum w:abstractNumId="2" w15:restartNumberingAfterBreak="0">
    <w:nsid w:val="01067BFC"/>
    <w:multiLevelType w:val="hybridMultilevel"/>
    <w:tmpl w:val="7A22DF6A"/>
    <w:lvl w:ilvl="0" w:tplc="A7563188">
      <w:numFmt w:val="bullet"/>
      <w:lvlText w:val="•"/>
      <w:lvlJc w:val="left"/>
      <w:pPr>
        <w:ind w:left="28" w:hanging="76"/>
      </w:pPr>
      <w:rPr>
        <w:rFonts w:ascii="Arial" w:eastAsia="Arial" w:hAnsi="Arial" w:cs="Arial" w:hint="default"/>
        <w:color w:val="231F20"/>
        <w:w w:val="70"/>
        <w:sz w:val="17"/>
        <w:szCs w:val="17"/>
        <w:lang w:val="en-US" w:eastAsia="en-US" w:bidi="ar-SA"/>
      </w:rPr>
    </w:lvl>
    <w:lvl w:ilvl="1" w:tplc="B94C50BC">
      <w:numFmt w:val="bullet"/>
      <w:lvlText w:val="•"/>
      <w:lvlJc w:val="left"/>
      <w:pPr>
        <w:ind w:left="258" w:hanging="76"/>
      </w:pPr>
      <w:rPr>
        <w:rFonts w:hint="default"/>
        <w:lang w:val="en-US" w:eastAsia="en-US" w:bidi="ar-SA"/>
      </w:rPr>
    </w:lvl>
    <w:lvl w:ilvl="2" w:tplc="9F54E4EC">
      <w:numFmt w:val="bullet"/>
      <w:lvlText w:val="•"/>
      <w:lvlJc w:val="left"/>
      <w:pPr>
        <w:ind w:left="497" w:hanging="76"/>
      </w:pPr>
      <w:rPr>
        <w:rFonts w:hint="default"/>
        <w:lang w:val="en-US" w:eastAsia="en-US" w:bidi="ar-SA"/>
      </w:rPr>
    </w:lvl>
    <w:lvl w:ilvl="3" w:tplc="D0EA2BF8">
      <w:numFmt w:val="bullet"/>
      <w:lvlText w:val="•"/>
      <w:lvlJc w:val="left"/>
      <w:pPr>
        <w:ind w:left="735" w:hanging="76"/>
      </w:pPr>
      <w:rPr>
        <w:rFonts w:hint="default"/>
        <w:lang w:val="en-US" w:eastAsia="en-US" w:bidi="ar-SA"/>
      </w:rPr>
    </w:lvl>
    <w:lvl w:ilvl="4" w:tplc="34506FE8">
      <w:numFmt w:val="bullet"/>
      <w:lvlText w:val="•"/>
      <w:lvlJc w:val="left"/>
      <w:pPr>
        <w:ind w:left="974" w:hanging="76"/>
      </w:pPr>
      <w:rPr>
        <w:rFonts w:hint="default"/>
        <w:lang w:val="en-US" w:eastAsia="en-US" w:bidi="ar-SA"/>
      </w:rPr>
    </w:lvl>
    <w:lvl w:ilvl="5" w:tplc="8308527C">
      <w:numFmt w:val="bullet"/>
      <w:lvlText w:val="•"/>
      <w:lvlJc w:val="left"/>
      <w:pPr>
        <w:ind w:left="1213" w:hanging="76"/>
      </w:pPr>
      <w:rPr>
        <w:rFonts w:hint="default"/>
        <w:lang w:val="en-US" w:eastAsia="en-US" w:bidi="ar-SA"/>
      </w:rPr>
    </w:lvl>
    <w:lvl w:ilvl="6" w:tplc="F2F07114">
      <w:numFmt w:val="bullet"/>
      <w:lvlText w:val="•"/>
      <w:lvlJc w:val="left"/>
      <w:pPr>
        <w:ind w:left="1451" w:hanging="76"/>
      </w:pPr>
      <w:rPr>
        <w:rFonts w:hint="default"/>
        <w:lang w:val="en-US" w:eastAsia="en-US" w:bidi="ar-SA"/>
      </w:rPr>
    </w:lvl>
    <w:lvl w:ilvl="7" w:tplc="73C86030">
      <w:numFmt w:val="bullet"/>
      <w:lvlText w:val="•"/>
      <w:lvlJc w:val="left"/>
      <w:pPr>
        <w:ind w:left="1690" w:hanging="76"/>
      </w:pPr>
      <w:rPr>
        <w:rFonts w:hint="default"/>
        <w:lang w:val="en-US" w:eastAsia="en-US" w:bidi="ar-SA"/>
      </w:rPr>
    </w:lvl>
    <w:lvl w:ilvl="8" w:tplc="71986EA0">
      <w:numFmt w:val="bullet"/>
      <w:lvlText w:val="•"/>
      <w:lvlJc w:val="left"/>
      <w:pPr>
        <w:ind w:left="1928" w:hanging="76"/>
      </w:pPr>
      <w:rPr>
        <w:rFonts w:hint="default"/>
        <w:lang w:val="en-US" w:eastAsia="en-US" w:bidi="ar-SA"/>
      </w:rPr>
    </w:lvl>
  </w:abstractNum>
  <w:abstractNum w:abstractNumId="3" w15:restartNumberingAfterBreak="0">
    <w:nsid w:val="015A1864"/>
    <w:multiLevelType w:val="hybridMultilevel"/>
    <w:tmpl w:val="C8C0271A"/>
    <w:lvl w:ilvl="0" w:tplc="882A4792">
      <w:start w:val="1"/>
      <w:numFmt w:val="decimal"/>
      <w:lvlText w:val="%1."/>
      <w:lvlJc w:val="left"/>
      <w:pPr>
        <w:ind w:left="878" w:hanging="360"/>
      </w:pPr>
      <w:rPr>
        <w:rFonts w:hint="default"/>
        <w:spacing w:val="-25"/>
        <w:w w:val="99"/>
        <w:lang w:val="en-US" w:eastAsia="en-US" w:bidi="ar-SA"/>
      </w:rPr>
    </w:lvl>
    <w:lvl w:ilvl="1" w:tplc="0742DEA2">
      <w:numFmt w:val="bullet"/>
      <w:lvlText w:val="•"/>
      <w:lvlJc w:val="left"/>
      <w:pPr>
        <w:ind w:left="1762" w:hanging="360"/>
      </w:pPr>
      <w:rPr>
        <w:rFonts w:hint="default"/>
        <w:lang w:val="en-US" w:eastAsia="en-US" w:bidi="ar-SA"/>
      </w:rPr>
    </w:lvl>
    <w:lvl w:ilvl="2" w:tplc="95347914">
      <w:numFmt w:val="bullet"/>
      <w:lvlText w:val="•"/>
      <w:lvlJc w:val="left"/>
      <w:pPr>
        <w:ind w:left="2645" w:hanging="360"/>
      </w:pPr>
      <w:rPr>
        <w:rFonts w:hint="default"/>
        <w:lang w:val="en-US" w:eastAsia="en-US" w:bidi="ar-SA"/>
      </w:rPr>
    </w:lvl>
    <w:lvl w:ilvl="3" w:tplc="69926420">
      <w:numFmt w:val="bullet"/>
      <w:lvlText w:val="•"/>
      <w:lvlJc w:val="left"/>
      <w:pPr>
        <w:ind w:left="3527" w:hanging="360"/>
      </w:pPr>
      <w:rPr>
        <w:rFonts w:hint="default"/>
        <w:lang w:val="en-US" w:eastAsia="en-US" w:bidi="ar-SA"/>
      </w:rPr>
    </w:lvl>
    <w:lvl w:ilvl="4" w:tplc="A538D2D4">
      <w:numFmt w:val="bullet"/>
      <w:lvlText w:val="•"/>
      <w:lvlJc w:val="left"/>
      <w:pPr>
        <w:ind w:left="4410" w:hanging="360"/>
      </w:pPr>
      <w:rPr>
        <w:rFonts w:hint="default"/>
        <w:lang w:val="en-US" w:eastAsia="en-US" w:bidi="ar-SA"/>
      </w:rPr>
    </w:lvl>
    <w:lvl w:ilvl="5" w:tplc="AEF46174">
      <w:numFmt w:val="bullet"/>
      <w:lvlText w:val="•"/>
      <w:lvlJc w:val="left"/>
      <w:pPr>
        <w:ind w:left="5292" w:hanging="360"/>
      </w:pPr>
      <w:rPr>
        <w:rFonts w:hint="default"/>
        <w:lang w:val="en-US" w:eastAsia="en-US" w:bidi="ar-SA"/>
      </w:rPr>
    </w:lvl>
    <w:lvl w:ilvl="6" w:tplc="F4FAB7F8">
      <w:numFmt w:val="bullet"/>
      <w:lvlText w:val="•"/>
      <w:lvlJc w:val="left"/>
      <w:pPr>
        <w:ind w:left="6175" w:hanging="360"/>
      </w:pPr>
      <w:rPr>
        <w:rFonts w:hint="default"/>
        <w:lang w:val="en-US" w:eastAsia="en-US" w:bidi="ar-SA"/>
      </w:rPr>
    </w:lvl>
    <w:lvl w:ilvl="7" w:tplc="3578A8B6">
      <w:numFmt w:val="bullet"/>
      <w:lvlText w:val="•"/>
      <w:lvlJc w:val="left"/>
      <w:pPr>
        <w:ind w:left="7057" w:hanging="360"/>
      </w:pPr>
      <w:rPr>
        <w:rFonts w:hint="default"/>
        <w:lang w:val="en-US" w:eastAsia="en-US" w:bidi="ar-SA"/>
      </w:rPr>
    </w:lvl>
    <w:lvl w:ilvl="8" w:tplc="D29A02BE">
      <w:numFmt w:val="bullet"/>
      <w:lvlText w:val="•"/>
      <w:lvlJc w:val="left"/>
      <w:pPr>
        <w:ind w:left="7940" w:hanging="360"/>
      </w:pPr>
      <w:rPr>
        <w:rFonts w:hint="default"/>
        <w:lang w:val="en-US" w:eastAsia="en-US" w:bidi="ar-SA"/>
      </w:rPr>
    </w:lvl>
  </w:abstractNum>
  <w:abstractNum w:abstractNumId="4" w15:restartNumberingAfterBreak="0">
    <w:nsid w:val="01B52AA1"/>
    <w:multiLevelType w:val="hybridMultilevel"/>
    <w:tmpl w:val="40BA7A14"/>
    <w:lvl w:ilvl="0" w:tplc="E80E17A8">
      <w:numFmt w:val="bullet"/>
      <w:lvlText w:val="•"/>
      <w:lvlJc w:val="left"/>
      <w:pPr>
        <w:ind w:left="26" w:hanging="70"/>
      </w:pPr>
      <w:rPr>
        <w:rFonts w:ascii="Arial" w:eastAsia="Arial" w:hAnsi="Arial" w:cs="Arial" w:hint="default"/>
        <w:color w:val="231F20"/>
        <w:w w:val="80"/>
        <w:sz w:val="15"/>
        <w:szCs w:val="15"/>
        <w:lang w:val="en-US" w:eastAsia="en-US" w:bidi="ar-SA"/>
      </w:rPr>
    </w:lvl>
    <w:lvl w:ilvl="1" w:tplc="D584A794">
      <w:numFmt w:val="bullet"/>
      <w:lvlText w:val="•"/>
      <w:lvlJc w:val="left"/>
      <w:pPr>
        <w:ind w:left="258" w:hanging="70"/>
      </w:pPr>
      <w:rPr>
        <w:rFonts w:hint="default"/>
        <w:lang w:val="en-US" w:eastAsia="en-US" w:bidi="ar-SA"/>
      </w:rPr>
    </w:lvl>
    <w:lvl w:ilvl="2" w:tplc="61848502">
      <w:numFmt w:val="bullet"/>
      <w:lvlText w:val="•"/>
      <w:lvlJc w:val="left"/>
      <w:pPr>
        <w:ind w:left="497" w:hanging="70"/>
      </w:pPr>
      <w:rPr>
        <w:rFonts w:hint="default"/>
        <w:lang w:val="en-US" w:eastAsia="en-US" w:bidi="ar-SA"/>
      </w:rPr>
    </w:lvl>
    <w:lvl w:ilvl="3" w:tplc="3ED498D4">
      <w:numFmt w:val="bullet"/>
      <w:lvlText w:val="•"/>
      <w:lvlJc w:val="left"/>
      <w:pPr>
        <w:ind w:left="736" w:hanging="70"/>
      </w:pPr>
      <w:rPr>
        <w:rFonts w:hint="default"/>
        <w:lang w:val="en-US" w:eastAsia="en-US" w:bidi="ar-SA"/>
      </w:rPr>
    </w:lvl>
    <w:lvl w:ilvl="4" w:tplc="9A7E57DC">
      <w:numFmt w:val="bullet"/>
      <w:lvlText w:val="•"/>
      <w:lvlJc w:val="left"/>
      <w:pPr>
        <w:ind w:left="975" w:hanging="70"/>
      </w:pPr>
      <w:rPr>
        <w:rFonts w:hint="default"/>
        <w:lang w:val="en-US" w:eastAsia="en-US" w:bidi="ar-SA"/>
      </w:rPr>
    </w:lvl>
    <w:lvl w:ilvl="5" w:tplc="01AEBF7A">
      <w:numFmt w:val="bullet"/>
      <w:lvlText w:val="•"/>
      <w:lvlJc w:val="left"/>
      <w:pPr>
        <w:ind w:left="1214" w:hanging="70"/>
      </w:pPr>
      <w:rPr>
        <w:rFonts w:hint="default"/>
        <w:lang w:val="en-US" w:eastAsia="en-US" w:bidi="ar-SA"/>
      </w:rPr>
    </w:lvl>
    <w:lvl w:ilvl="6" w:tplc="38021CBC">
      <w:numFmt w:val="bullet"/>
      <w:lvlText w:val="•"/>
      <w:lvlJc w:val="left"/>
      <w:pPr>
        <w:ind w:left="1452" w:hanging="70"/>
      </w:pPr>
      <w:rPr>
        <w:rFonts w:hint="default"/>
        <w:lang w:val="en-US" w:eastAsia="en-US" w:bidi="ar-SA"/>
      </w:rPr>
    </w:lvl>
    <w:lvl w:ilvl="7" w:tplc="C58C1852">
      <w:numFmt w:val="bullet"/>
      <w:lvlText w:val="•"/>
      <w:lvlJc w:val="left"/>
      <w:pPr>
        <w:ind w:left="1691" w:hanging="70"/>
      </w:pPr>
      <w:rPr>
        <w:rFonts w:hint="default"/>
        <w:lang w:val="en-US" w:eastAsia="en-US" w:bidi="ar-SA"/>
      </w:rPr>
    </w:lvl>
    <w:lvl w:ilvl="8" w:tplc="70FAB72A">
      <w:numFmt w:val="bullet"/>
      <w:lvlText w:val="•"/>
      <w:lvlJc w:val="left"/>
      <w:pPr>
        <w:ind w:left="1930" w:hanging="70"/>
      </w:pPr>
      <w:rPr>
        <w:rFonts w:hint="default"/>
        <w:lang w:val="en-US" w:eastAsia="en-US" w:bidi="ar-SA"/>
      </w:rPr>
    </w:lvl>
  </w:abstractNum>
  <w:abstractNum w:abstractNumId="5" w15:restartNumberingAfterBreak="0">
    <w:nsid w:val="02052511"/>
    <w:multiLevelType w:val="hybridMultilevel"/>
    <w:tmpl w:val="5BB83300"/>
    <w:lvl w:ilvl="0" w:tplc="0750C54C">
      <w:numFmt w:val="bullet"/>
      <w:lvlText w:val="•"/>
      <w:lvlJc w:val="left"/>
      <w:pPr>
        <w:ind w:left="26" w:hanging="76"/>
      </w:pPr>
      <w:rPr>
        <w:rFonts w:ascii="Arial" w:eastAsia="Arial" w:hAnsi="Arial" w:cs="Arial" w:hint="default"/>
        <w:color w:val="231F20"/>
        <w:w w:val="100"/>
        <w:sz w:val="12"/>
        <w:szCs w:val="12"/>
        <w:lang w:val="en-US" w:eastAsia="en-US" w:bidi="ar-SA"/>
      </w:rPr>
    </w:lvl>
    <w:lvl w:ilvl="1" w:tplc="75580B86">
      <w:numFmt w:val="bullet"/>
      <w:lvlText w:val="•"/>
      <w:lvlJc w:val="left"/>
      <w:pPr>
        <w:ind w:left="258" w:hanging="76"/>
      </w:pPr>
      <w:rPr>
        <w:rFonts w:hint="default"/>
        <w:lang w:val="en-US" w:eastAsia="en-US" w:bidi="ar-SA"/>
      </w:rPr>
    </w:lvl>
    <w:lvl w:ilvl="2" w:tplc="8BB88246">
      <w:numFmt w:val="bullet"/>
      <w:lvlText w:val="•"/>
      <w:lvlJc w:val="left"/>
      <w:pPr>
        <w:ind w:left="496" w:hanging="76"/>
      </w:pPr>
      <w:rPr>
        <w:rFonts w:hint="default"/>
        <w:lang w:val="en-US" w:eastAsia="en-US" w:bidi="ar-SA"/>
      </w:rPr>
    </w:lvl>
    <w:lvl w:ilvl="3" w:tplc="45C4040C">
      <w:numFmt w:val="bullet"/>
      <w:lvlText w:val="•"/>
      <w:lvlJc w:val="left"/>
      <w:pPr>
        <w:ind w:left="735" w:hanging="76"/>
      </w:pPr>
      <w:rPr>
        <w:rFonts w:hint="default"/>
        <w:lang w:val="en-US" w:eastAsia="en-US" w:bidi="ar-SA"/>
      </w:rPr>
    </w:lvl>
    <w:lvl w:ilvl="4" w:tplc="7F206406">
      <w:numFmt w:val="bullet"/>
      <w:lvlText w:val="•"/>
      <w:lvlJc w:val="left"/>
      <w:pPr>
        <w:ind w:left="973" w:hanging="76"/>
      </w:pPr>
      <w:rPr>
        <w:rFonts w:hint="default"/>
        <w:lang w:val="en-US" w:eastAsia="en-US" w:bidi="ar-SA"/>
      </w:rPr>
    </w:lvl>
    <w:lvl w:ilvl="5" w:tplc="AE6C1B20">
      <w:numFmt w:val="bullet"/>
      <w:lvlText w:val="•"/>
      <w:lvlJc w:val="left"/>
      <w:pPr>
        <w:ind w:left="1212" w:hanging="76"/>
      </w:pPr>
      <w:rPr>
        <w:rFonts w:hint="default"/>
        <w:lang w:val="en-US" w:eastAsia="en-US" w:bidi="ar-SA"/>
      </w:rPr>
    </w:lvl>
    <w:lvl w:ilvl="6" w:tplc="E7762F8E">
      <w:numFmt w:val="bullet"/>
      <w:lvlText w:val="•"/>
      <w:lvlJc w:val="left"/>
      <w:pPr>
        <w:ind w:left="1450" w:hanging="76"/>
      </w:pPr>
      <w:rPr>
        <w:rFonts w:hint="default"/>
        <w:lang w:val="en-US" w:eastAsia="en-US" w:bidi="ar-SA"/>
      </w:rPr>
    </w:lvl>
    <w:lvl w:ilvl="7" w:tplc="C5B64FC6">
      <w:numFmt w:val="bullet"/>
      <w:lvlText w:val="•"/>
      <w:lvlJc w:val="left"/>
      <w:pPr>
        <w:ind w:left="1688" w:hanging="76"/>
      </w:pPr>
      <w:rPr>
        <w:rFonts w:hint="default"/>
        <w:lang w:val="en-US" w:eastAsia="en-US" w:bidi="ar-SA"/>
      </w:rPr>
    </w:lvl>
    <w:lvl w:ilvl="8" w:tplc="F7A2BF66">
      <w:numFmt w:val="bullet"/>
      <w:lvlText w:val="•"/>
      <w:lvlJc w:val="left"/>
      <w:pPr>
        <w:ind w:left="1927" w:hanging="76"/>
      </w:pPr>
      <w:rPr>
        <w:rFonts w:hint="default"/>
        <w:lang w:val="en-US" w:eastAsia="en-US" w:bidi="ar-SA"/>
      </w:rPr>
    </w:lvl>
  </w:abstractNum>
  <w:abstractNum w:abstractNumId="6" w15:restartNumberingAfterBreak="0">
    <w:nsid w:val="02966890"/>
    <w:multiLevelType w:val="multilevel"/>
    <w:tmpl w:val="76286494"/>
    <w:lvl w:ilvl="0">
      <w:start w:val="5"/>
      <w:numFmt w:val="decimal"/>
      <w:lvlText w:val="%1"/>
      <w:lvlJc w:val="left"/>
      <w:pPr>
        <w:ind w:left="169" w:hanging="577"/>
      </w:pPr>
      <w:rPr>
        <w:rFonts w:hint="default"/>
        <w:lang w:val="en-US" w:eastAsia="en-US" w:bidi="ar-SA"/>
      </w:rPr>
    </w:lvl>
    <w:lvl w:ilvl="1">
      <w:start w:val="5"/>
      <w:numFmt w:val="decimal"/>
      <w:lvlText w:val="%1.%2"/>
      <w:lvlJc w:val="left"/>
      <w:pPr>
        <w:ind w:left="169" w:hanging="577"/>
      </w:pPr>
      <w:rPr>
        <w:rFonts w:hint="default"/>
        <w:lang w:val="en-US" w:eastAsia="en-US" w:bidi="ar-SA"/>
      </w:rPr>
    </w:lvl>
    <w:lvl w:ilvl="2">
      <w:start w:val="2"/>
      <w:numFmt w:val="decimal"/>
      <w:lvlText w:val="%1.%2.%3"/>
      <w:lvlJc w:val="left"/>
      <w:pPr>
        <w:ind w:left="169" w:hanging="577"/>
      </w:pPr>
      <w:rPr>
        <w:rFonts w:ascii="Arial" w:eastAsia="Arial" w:hAnsi="Arial" w:cs="Arial" w:hint="default"/>
        <w:b/>
        <w:bCs/>
        <w:color w:val="231F20"/>
        <w:w w:val="99"/>
        <w:sz w:val="22"/>
        <w:szCs w:val="22"/>
        <w:lang w:val="en-US" w:eastAsia="en-US" w:bidi="ar-SA"/>
      </w:rPr>
    </w:lvl>
    <w:lvl w:ilvl="3">
      <w:start w:val="1"/>
      <w:numFmt w:val="decimal"/>
      <w:lvlText w:val="%1.%2.%3.%4"/>
      <w:lvlJc w:val="left"/>
      <w:pPr>
        <w:ind w:left="144" w:hanging="711"/>
      </w:pPr>
      <w:rPr>
        <w:rFonts w:ascii="Arial" w:eastAsia="Arial" w:hAnsi="Arial" w:cs="Arial" w:hint="default"/>
        <w:color w:val="231F20"/>
        <w:w w:val="99"/>
        <w:sz w:val="22"/>
        <w:szCs w:val="22"/>
        <w:lang w:val="en-US" w:eastAsia="en-US" w:bidi="ar-SA"/>
      </w:rPr>
    </w:lvl>
    <w:lvl w:ilvl="4">
      <w:numFmt w:val="bullet"/>
      <w:lvlText w:val="•"/>
      <w:lvlJc w:val="left"/>
      <w:pPr>
        <w:ind w:left="3341" w:hanging="711"/>
      </w:pPr>
      <w:rPr>
        <w:rFonts w:hint="default"/>
        <w:lang w:val="en-US" w:eastAsia="en-US" w:bidi="ar-SA"/>
      </w:rPr>
    </w:lvl>
    <w:lvl w:ilvl="5">
      <w:numFmt w:val="bullet"/>
      <w:lvlText w:val="•"/>
      <w:lvlJc w:val="left"/>
      <w:pPr>
        <w:ind w:left="4402" w:hanging="711"/>
      </w:pPr>
      <w:rPr>
        <w:rFonts w:hint="default"/>
        <w:lang w:val="en-US" w:eastAsia="en-US" w:bidi="ar-SA"/>
      </w:rPr>
    </w:lvl>
    <w:lvl w:ilvl="6">
      <w:numFmt w:val="bullet"/>
      <w:lvlText w:val="•"/>
      <w:lvlJc w:val="left"/>
      <w:pPr>
        <w:ind w:left="5463" w:hanging="711"/>
      </w:pPr>
      <w:rPr>
        <w:rFonts w:hint="default"/>
        <w:lang w:val="en-US" w:eastAsia="en-US" w:bidi="ar-SA"/>
      </w:rPr>
    </w:lvl>
    <w:lvl w:ilvl="7">
      <w:numFmt w:val="bullet"/>
      <w:lvlText w:val="•"/>
      <w:lvlJc w:val="left"/>
      <w:pPr>
        <w:ind w:left="6523" w:hanging="711"/>
      </w:pPr>
      <w:rPr>
        <w:rFonts w:hint="default"/>
        <w:lang w:val="en-US" w:eastAsia="en-US" w:bidi="ar-SA"/>
      </w:rPr>
    </w:lvl>
    <w:lvl w:ilvl="8">
      <w:numFmt w:val="bullet"/>
      <w:lvlText w:val="•"/>
      <w:lvlJc w:val="left"/>
      <w:pPr>
        <w:ind w:left="7584" w:hanging="711"/>
      </w:pPr>
      <w:rPr>
        <w:rFonts w:hint="default"/>
        <w:lang w:val="en-US" w:eastAsia="en-US" w:bidi="ar-SA"/>
      </w:rPr>
    </w:lvl>
  </w:abstractNum>
  <w:abstractNum w:abstractNumId="7" w15:restartNumberingAfterBreak="0">
    <w:nsid w:val="03800676"/>
    <w:multiLevelType w:val="hybridMultilevel"/>
    <w:tmpl w:val="2402AC48"/>
    <w:lvl w:ilvl="0" w:tplc="B0B0E406">
      <w:numFmt w:val="bullet"/>
      <w:lvlText w:val="•"/>
      <w:lvlJc w:val="left"/>
      <w:pPr>
        <w:ind w:left="25" w:hanging="72"/>
      </w:pPr>
      <w:rPr>
        <w:rFonts w:ascii="Arial" w:eastAsia="Arial" w:hAnsi="Arial" w:cs="Arial" w:hint="default"/>
        <w:color w:val="231F20"/>
        <w:w w:val="88"/>
        <w:sz w:val="14"/>
        <w:szCs w:val="14"/>
        <w:lang w:val="en-US" w:eastAsia="en-US" w:bidi="ar-SA"/>
      </w:rPr>
    </w:lvl>
    <w:lvl w:ilvl="1" w:tplc="7DBE57F2">
      <w:numFmt w:val="bullet"/>
      <w:lvlText w:val="•"/>
      <w:lvlJc w:val="left"/>
      <w:pPr>
        <w:ind w:left="266" w:hanging="72"/>
      </w:pPr>
      <w:rPr>
        <w:rFonts w:hint="default"/>
        <w:lang w:val="en-US" w:eastAsia="en-US" w:bidi="ar-SA"/>
      </w:rPr>
    </w:lvl>
    <w:lvl w:ilvl="2" w:tplc="54B41542">
      <w:numFmt w:val="bullet"/>
      <w:lvlText w:val="•"/>
      <w:lvlJc w:val="left"/>
      <w:pPr>
        <w:ind w:left="512" w:hanging="72"/>
      </w:pPr>
      <w:rPr>
        <w:rFonts w:hint="default"/>
        <w:lang w:val="en-US" w:eastAsia="en-US" w:bidi="ar-SA"/>
      </w:rPr>
    </w:lvl>
    <w:lvl w:ilvl="3" w:tplc="DF7E7608">
      <w:numFmt w:val="bullet"/>
      <w:lvlText w:val="•"/>
      <w:lvlJc w:val="left"/>
      <w:pPr>
        <w:ind w:left="758" w:hanging="72"/>
      </w:pPr>
      <w:rPr>
        <w:rFonts w:hint="default"/>
        <w:lang w:val="en-US" w:eastAsia="en-US" w:bidi="ar-SA"/>
      </w:rPr>
    </w:lvl>
    <w:lvl w:ilvl="4" w:tplc="8626BE84">
      <w:numFmt w:val="bullet"/>
      <w:lvlText w:val="•"/>
      <w:lvlJc w:val="left"/>
      <w:pPr>
        <w:ind w:left="1004" w:hanging="72"/>
      </w:pPr>
      <w:rPr>
        <w:rFonts w:hint="default"/>
        <w:lang w:val="en-US" w:eastAsia="en-US" w:bidi="ar-SA"/>
      </w:rPr>
    </w:lvl>
    <w:lvl w:ilvl="5" w:tplc="4D54F4DA">
      <w:numFmt w:val="bullet"/>
      <w:lvlText w:val="•"/>
      <w:lvlJc w:val="left"/>
      <w:pPr>
        <w:ind w:left="1251" w:hanging="72"/>
      </w:pPr>
      <w:rPr>
        <w:rFonts w:hint="default"/>
        <w:lang w:val="en-US" w:eastAsia="en-US" w:bidi="ar-SA"/>
      </w:rPr>
    </w:lvl>
    <w:lvl w:ilvl="6" w:tplc="1A220EDC">
      <w:numFmt w:val="bullet"/>
      <w:lvlText w:val="•"/>
      <w:lvlJc w:val="left"/>
      <w:pPr>
        <w:ind w:left="1497" w:hanging="72"/>
      </w:pPr>
      <w:rPr>
        <w:rFonts w:hint="default"/>
        <w:lang w:val="en-US" w:eastAsia="en-US" w:bidi="ar-SA"/>
      </w:rPr>
    </w:lvl>
    <w:lvl w:ilvl="7" w:tplc="507E7414">
      <w:numFmt w:val="bullet"/>
      <w:lvlText w:val="•"/>
      <w:lvlJc w:val="left"/>
      <w:pPr>
        <w:ind w:left="1743" w:hanging="72"/>
      </w:pPr>
      <w:rPr>
        <w:rFonts w:hint="default"/>
        <w:lang w:val="en-US" w:eastAsia="en-US" w:bidi="ar-SA"/>
      </w:rPr>
    </w:lvl>
    <w:lvl w:ilvl="8" w:tplc="8640B47C">
      <w:numFmt w:val="bullet"/>
      <w:lvlText w:val="•"/>
      <w:lvlJc w:val="left"/>
      <w:pPr>
        <w:ind w:left="1989" w:hanging="72"/>
      </w:pPr>
      <w:rPr>
        <w:rFonts w:hint="default"/>
        <w:lang w:val="en-US" w:eastAsia="en-US" w:bidi="ar-SA"/>
      </w:rPr>
    </w:lvl>
  </w:abstractNum>
  <w:abstractNum w:abstractNumId="8" w15:restartNumberingAfterBreak="0">
    <w:nsid w:val="04444A5A"/>
    <w:multiLevelType w:val="hybridMultilevel"/>
    <w:tmpl w:val="3DE2853E"/>
    <w:lvl w:ilvl="0" w:tplc="102478E2">
      <w:numFmt w:val="bullet"/>
      <w:lvlText w:val="•"/>
      <w:lvlJc w:val="left"/>
      <w:pPr>
        <w:ind w:left="27" w:hanging="72"/>
      </w:pPr>
      <w:rPr>
        <w:rFonts w:ascii="Arial" w:eastAsia="Arial" w:hAnsi="Arial" w:cs="Arial" w:hint="default"/>
        <w:color w:val="231F20"/>
        <w:w w:val="73"/>
        <w:sz w:val="17"/>
        <w:szCs w:val="17"/>
        <w:lang w:val="en-US" w:eastAsia="en-US" w:bidi="ar-SA"/>
      </w:rPr>
    </w:lvl>
    <w:lvl w:ilvl="1" w:tplc="16D68E34">
      <w:numFmt w:val="bullet"/>
      <w:lvlText w:val="•"/>
      <w:lvlJc w:val="left"/>
      <w:pPr>
        <w:ind w:left="268" w:hanging="72"/>
      </w:pPr>
      <w:rPr>
        <w:rFonts w:hint="default"/>
        <w:lang w:val="en-US" w:eastAsia="en-US" w:bidi="ar-SA"/>
      </w:rPr>
    </w:lvl>
    <w:lvl w:ilvl="2" w:tplc="ED4ACFB0">
      <w:numFmt w:val="bullet"/>
      <w:lvlText w:val="•"/>
      <w:lvlJc w:val="left"/>
      <w:pPr>
        <w:ind w:left="517" w:hanging="72"/>
      </w:pPr>
      <w:rPr>
        <w:rFonts w:hint="default"/>
        <w:lang w:val="en-US" w:eastAsia="en-US" w:bidi="ar-SA"/>
      </w:rPr>
    </w:lvl>
    <w:lvl w:ilvl="3" w:tplc="0D5E50CA">
      <w:numFmt w:val="bullet"/>
      <w:lvlText w:val="•"/>
      <w:lvlJc w:val="left"/>
      <w:pPr>
        <w:ind w:left="766" w:hanging="72"/>
      </w:pPr>
      <w:rPr>
        <w:rFonts w:hint="default"/>
        <w:lang w:val="en-US" w:eastAsia="en-US" w:bidi="ar-SA"/>
      </w:rPr>
    </w:lvl>
    <w:lvl w:ilvl="4" w:tplc="CD560DAE">
      <w:numFmt w:val="bullet"/>
      <w:lvlText w:val="•"/>
      <w:lvlJc w:val="left"/>
      <w:pPr>
        <w:ind w:left="1014" w:hanging="72"/>
      </w:pPr>
      <w:rPr>
        <w:rFonts w:hint="default"/>
        <w:lang w:val="en-US" w:eastAsia="en-US" w:bidi="ar-SA"/>
      </w:rPr>
    </w:lvl>
    <w:lvl w:ilvl="5" w:tplc="360023A8">
      <w:numFmt w:val="bullet"/>
      <w:lvlText w:val="•"/>
      <w:lvlJc w:val="left"/>
      <w:pPr>
        <w:ind w:left="1263" w:hanging="72"/>
      </w:pPr>
      <w:rPr>
        <w:rFonts w:hint="default"/>
        <w:lang w:val="en-US" w:eastAsia="en-US" w:bidi="ar-SA"/>
      </w:rPr>
    </w:lvl>
    <w:lvl w:ilvl="6" w:tplc="4B1826D6">
      <w:numFmt w:val="bullet"/>
      <w:lvlText w:val="•"/>
      <w:lvlJc w:val="left"/>
      <w:pPr>
        <w:ind w:left="1512" w:hanging="72"/>
      </w:pPr>
      <w:rPr>
        <w:rFonts w:hint="default"/>
        <w:lang w:val="en-US" w:eastAsia="en-US" w:bidi="ar-SA"/>
      </w:rPr>
    </w:lvl>
    <w:lvl w:ilvl="7" w:tplc="61986BF0">
      <w:numFmt w:val="bullet"/>
      <w:lvlText w:val="•"/>
      <w:lvlJc w:val="left"/>
      <w:pPr>
        <w:ind w:left="1760" w:hanging="72"/>
      </w:pPr>
      <w:rPr>
        <w:rFonts w:hint="default"/>
        <w:lang w:val="en-US" w:eastAsia="en-US" w:bidi="ar-SA"/>
      </w:rPr>
    </w:lvl>
    <w:lvl w:ilvl="8" w:tplc="45868DF4">
      <w:numFmt w:val="bullet"/>
      <w:lvlText w:val="•"/>
      <w:lvlJc w:val="left"/>
      <w:pPr>
        <w:ind w:left="2009" w:hanging="72"/>
      </w:pPr>
      <w:rPr>
        <w:rFonts w:hint="default"/>
        <w:lang w:val="en-US" w:eastAsia="en-US" w:bidi="ar-SA"/>
      </w:rPr>
    </w:lvl>
  </w:abstractNum>
  <w:abstractNum w:abstractNumId="9" w15:restartNumberingAfterBreak="0">
    <w:nsid w:val="047E07F0"/>
    <w:multiLevelType w:val="hybridMultilevel"/>
    <w:tmpl w:val="4E325386"/>
    <w:lvl w:ilvl="0" w:tplc="A5C4D5BA">
      <w:numFmt w:val="bullet"/>
      <w:lvlText w:val="•"/>
      <w:lvlJc w:val="left"/>
      <w:pPr>
        <w:ind w:left="23" w:hanging="77"/>
      </w:pPr>
      <w:rPr>
        <w:rFonts w:ascii="Arial" w:eastAsia="Arial" w:hAnsi="Arial" w:cs="Arial" w:hint="default"/>
        <w:color w:val="231F20"/>
        <w:w w:val="67"/>
        <w:sz w:val="18"/>
        <w:szCs w:val="18"/>
        <w:lang w:val="en-US" w:eastAsia="en-US" w:bidi="ar-SA"/>
      </w:rPr>
    </w:lvl>
    <w:lvl w:ilvl="1" w:tplc="BDE23388">
      <w:numFmt w:val="bullet"/>
      <w:lvlText w:val="•"/>
      <w:lvlJc w:val="left"/>
      <w:pPr>
        <w:ind w:left="260" w:hanging="77"/>
      </w:pPr>
      <w:rPr>
        <w:rFonts w:hint="default"/>
        <w:lang w:val="en-US" w:eastAsia="en-US" w:bidi="ar-SA"/>
      </w:rPr>
    </w:lvl>
    <w:lvl w:ilvl="2" w:tplc="75222E82">
      <w:numFmt w:val="bullet"/>
      <w:lvlText w:val="•"/>
      <w:lvlJc w:val="left"/>
      <w:pPr>
        <w:ind w:left="500" w:hanging="77"/>
      </w:pPr>
      <w:rPr>
        <w:rFonts w:hint="default"/>
        <w:lang w:val="en-US" w:eastAsia="en-US" w:bidi="ar-SA"/>
      </w:rPr>
    </w:lvl>
    <w:lvl w:ilvl="3" w:tplc="A1E4464A">
      <w:numFmt w:val="bullet"/>
      <w:lvlText w:val="•"/>
      <w:lvlJc w:val="left"/>
      <w:pPr>
        <w:ind w:left="740" w:hanging="77"/>
      </w:pPr>
      <w:rPr>
        <w:rFonts w:hint="default"/>
        <w:lang w:val="en-US" w:eastAsia="en-US" w:bidi="ar-SA"/>
      </w:rPr>
    </w:lvl>
    <w:lvl w:ilvl="4" w:tplc="0DC82D2C">
      <w:numFmt w:val="bullet"/>
      <w:lvlText w:val="•"/>
      <w:lvlJc w:val="left"/>
      <w:pPr>
        <w:ind w:left="980" w:hanging="77"/>
      </w:pPr>
      <w:rPr>
        <w:rFonts w:hint="default"/>
        <w:lang w:val="en-US" w:eastAsia="en-US" w:bidi="ar-SA"/>
      </w:rPr>
    </w:lvl>
    <w:lvl w:ilvl="5" w:tplc="536CD126">
      <w:numFmt w:val="bullet"/>
      <w:lvlText w:val="•"/>
      <w:lvlJc w:val="left"/>
      <w:pPr>
        <w:ind w:left="1220" w:hanging="77"/>
      </w:pPr>
      <w:rPr>
        <w:rFonts w:hint="default"/>
        <w:lang w:val="en-US" w:eastAsia="en-US" w:bidi="ar-SA"/>
      </w:rPr>
    </w:lvl>
    <w:lvl w:ilvl="6" w:tplc="4190BBEE">
      <w:numFmt w:val="bullet"/>
      <w:lvlText w:val="•"/>
      <w:lvlJc w:val="left"/>
      <w:pPr>
        <w:ind w:left="1460" w:hanging="77"/>
      </w:pPr>
      <w:rPr>
        <w:rFonts w:hint="default"/>
        <w:lang w:val="en-US" w:eastAsia="en-US" w:bidi="ar-SA"/>
      </w:rPr>
    </w:lvl>
    <w:lvl w:ilvl="7" w:tplc="517EDAFE">
      <w:numFmt w:val="bullet"/>
      <w:lvlText w:val="•"/>
      <w:lvlJc w:val="left"/>
      <w:pPr>
        <w:ind w:left="1700" w:hanging="77"/>
      </w:pPr>
      <w:rPr>
        <w:rFonts w:hint="default"/>
        <w:lang w:val="en-US" w:eastAsia="en-US" w:bidi="ar-SA"/>
      </w:rPr>
    </w:lvl>
    <w:lvl w:ilvl="8" w:tplc="ED2A011A">
      <w:numFmt w:val="bullet"/>
      <w:lvlText w:val="•"/>
      <w:lvlJc w:val="left"/>
      <w:pPr>
        <w:ind w:left="1940" w:hanging="77"/>
      </w:pPr>
      <w:rPr>
        <w:rFonts w:hint="default"/>
        <w:lang w:val="en-US" w:eastAsia="en-US" w:bidi="ar-SA"/>
      </w:rPr>
    </w:lvl>
  </w:abstractNum>
  <w:abstractNum w:abstractNumId="10" w15:restartNumberingAfterBreak="0">
    <w:nsid w:val="04D9383D"/>
    <w:multiLevelType w:val="hybridMultilevel"/>
    <w:tmpl w:val="6AACC516"/>
    <w:lvl w:ilvl="0" w:tplc="74FA330E">
      <w:start w:val="1"/>
      <w:numFmt w:val="lowerRoman"/>
      <w:lvlText w:val="%1."/>
      <w:lvlJc w:val="left"/>
      <w:pPr>
        <w:ind w:left="863" w:hanging="294"/>
      </w:pPr>
      <w:rPr>
        <w:rFonts w:ascii="Arial" w:eastAsia="Arial" w:hAnsi="Arial" w:cs="Arial" w:hint="default"/>
        <w:color w:val="231F20"/>
        <w:spacing w:val="-25"/>
        <w:w w:val="99"/>
        <w:sz w:val="22"/>
        <w:szCs w:val="22"/>
        <w:lang w:val="en-US" w:eastAsia="en-US" w:bidi="ar-SA"/>
      </w:rPr>
    </w:lvl>
    <w:lvl w:ilvl="1" w:tplc="EC0A030A">
      <w:numFmt w:val="bullet"/>
      <w:lvlText w:val="•"/>
      <w:lvlJc w:val="left"/>
      <w:pPr>
        <w:ind w:left="1744" w:hanging="294"/>
      </w:pPr>
      <w:rPr>
        <w:rFonts w:hint="default"/>
        <w:lang w:val="en-US" w:eastAsia="en-US" w:bidi="ar-SA"/>
      </w:rPr>
    </w:lvl>
    <w:lvl w:ilvl="2" w:tplc="E85EDD7A">
      <w:numFmt w:val="bullet"/>
      <w:lvlText w:val="•"/>
      <w:lvlJc w:val="left"/>
      <w:pPr>
        <w:ind w:left="2629" w:hanging="294"/>
      </w:pPr>
      <w:rPr>
        <w:rFonts w:hint="default"/>
        <w:lang w:val="en-US" w:eastAsia="en-US" w:bidi="ar-SA"/>
      </w:rPr>
    </w:lvl>
    <w:lvl w:ilvl="3" w:tplc="3088274A">
      <w:numFmt w:val="bullet"/>
      <w:lvlText w:val="•"/>
      <w:lvlJc w:val="left"/>
      <w:pPr>
        <w:ind w:left="3513" w:hanging="294"/>
      </w:pPr>
      <w:rPr>
        <w:rFonts w:hint="default"/>
        <w:lang w:val="en-US" w:eastAsia="en-US" w:bidi="ar-SA"/>
      </w:rPr>
    </w:lvl>
    <w:lvl w:ilvl="4" w:tplc="CCEADE1A">
      <w:numFmt w:val="bullet"/>
      <w:lvlText w:val="•"/>
      <w:lvlJc w:val="left"/>
      <w:pPr>
        <w:ind w:left="4398" w:hanging="294"/>
      </w:pPr>
      <w:rPr>
        <w:rFonts w:hint="default"/>
        <w:lang w:val="en-US" w:eastAsia="en-US" w:bidi="ar-SA"/>
      </w:rPr>
    </w:lvl>
    <w:lvl w:ilvl="5" w:tplc="2EF02142">
      <w:numFmt w:val="bullet"/>
      <w:lvlText w:val="•"/>
      <w:lvlJc w:val="left"/>
      <w:pPr>
        <w:ind w:left="5282" w:hanging="294"/>
      </w:pPr>
      <w:rPr>
        <w:rFonts w:hint="default"/>
        <w:lang w:val="en-US" w:eastAsia="en-US" w:bidi="ar-SA"/>
      </w:rPr>
    </w:lvl>
    <w:lvl w:ilvl="6" w:tplc="3A36978A">
      <w:numFmt w:val="bullet"/>
      <w:lvlText w:val="•"/>
      <w:lvlJc w:val="left"/>
      <w:pPr>
        <w:ind w:left="6167" w:hanging="294"/>
      </w:pPr>
      <w:rPr>
        <w:rFonts w:hint="default"/>
        <w:lang w:val="en-US" w:eastAsia="en-US" w:bidi="ar-SA"/>
      </w:rPr>
    </w:lvl>
    <w:lvl w:ilvl="7" w:tplc="F37C8174">
      <w:numFmt w:val="bullet"/>
      <w:lvlText w:val="•"/>
      <w:lvlJc w:val="left"/>
      <w:pPr>
        <w:ind w:left="7051" w:hanging="294"/>
      </w:pPr>
      <w:rPr>
        <w:rFonts w:hint="default"/>
        <w:lang w:val="en-US" w:eastAsia="en-US" w:bidi="ar-SA"/>
      </w:rPr>
    </w:lvl>
    <w:lvl w:ilvl="8" w:tplc="9DB00E20">
      <w:numFmt w:val="bullet"/>
      <w:lvlText w:val="•"/>
      <w:lvlJc w:val="left"/>
      <w:pPr>
        <w:ind w:left="7936" w:hanging="294"/>
      </w:pPr>
      <w:rPr>
        <w:rFonts w:hint="default"/>
        <w:lang w:val="en-US" w:eastAsia="en-US" w:bidi="ar-SA"/>
      </w:rPr>
    </w:lvl>
  </w:abstractNum>
  <w:abstractNum w:abstractNumId="11" w15:restartNumberingAfterBreak="0">
    <w:nsid w:val="05E97DC6"/>
    <w:multiLevelType w:val="multilevel"/>
    <w:tmpl w:val="1D84BF8A"/>
    <w:lvl w:ilvl="0">
      <w:start w:val="5"/>
      <w:numFmt w:val="decimal"/>
      <w:lvlText w:val="%1"/>
      <w:lvlJc w:val="left"/>
      <w:pPr>
        <w:ind w:left="160" w:hanging="772"/>
      </w:pPr>
      <w:rPr>
        <w:rFonts w:hint="default"/>
        <w:lang w:val="en-US" w:eastAsia="en-US" w:bidi="ar-SA"/>
      </w:rPr>
    </w:lvl>
    <w:lvl w:ilvl="1">
      <w:start w:val="5"/>
      <w:numFmt w:val="decimal"/>
      <w:lvlText w:val="%1.%2"/>
      <w:lvlJc w:val="left"/>
      <w:pPr>
        <w:ind w:left="160" w:hanging="772"/>
      </w:pPr>
      <w:rPr>
        <w:rFonts w:hint="default"/>
        <w:lang w:val="en-US" w:eastAsia="en-US" w:bidi="ar-SA"/>
      </w:rPr>
    </w:lvl>
    <w:lvl w:ilvl="2">
      <w:start w:val="6"/>
      <w:numFmt w:val="decimal"/>
      <w:lvlText w:val="%1.%2.%3"/>
      <w:lvlJc w:val="left"/>
      <w:pPr>
        <w:ind w:left="160" w:hanging="772"/>
      </w:pPr>
      <w:rPr>
        <w:rFonts w:hint="default"/>
        <w:lang w:val="en-US" w:eastAsia="en-US" w:bidi="ar-SA"/>
      </w:rPr>
    </w:lvl>
    <w:lvl w:ilvl="3">
      <w:numFmt w:val="decimal"/>
      <w:lvlText w:val="%1.%2.%3.%4"/>
      <w:lvlJc w:val="left"/>
      <w:pPr>
        <w:ind w:left="160" w:hanging="772"/>
      </w:pPr>
      <w:rPr>
        <w:rFonts w:ascii="Arial" w:eastAsia="Arial" w:hAnsi="Arial" w:cs="Arial" w:hint="default"/>
        <w:color w:val="231F20"/>
        <w:spacing w:val="-25"/>
        <w:w w:val="99"/>
        <w:sz w:val="22"/>
        <w:szCs w:val="22"/>
        <w:lang w:val="en-US" w:eastAsia="en-US" w:bidi="ar-SA"/>
      </w:rPr>
    </w:lvl>
    <w:lvl w:ilvl="4">
      <w:numFmt w:val="bullet"/>
      <w:lvlText w:val="•"/>
      <w:lvlJc w:val="left"/>
      <w:pPr>
        <w:ind w:left="3978" w:hanging="772"/>
      </w:pPr>
      <w:rPr>
        <w:rFonts w:hint="default"/>
        <w:lang w:val="en-US" w:eastAsia="en-US" w:bidi="ar-SA"/>
      </w:rPr>
    </w:lvl>
    <w:lvl w:ilvl="5">
      <w:numFmt w:val="bullet"/>
      <w:lvlText w:val="•"/>
      <w:lvlJc w:val="left"/>
      <w:pPr>
        <w:ind w:left="4932" w:hanging="772"/>
      </w:pPr>
      <w:rPr>
        <w:rFonts w:hint="default"/>
        <w:lang w:val="en-US" w:eastAsia="en-US" w:bidi="ar-SA"/>
      </w:rPr>
    </w:lvl>
    <w:lvl w:ilvl="6">
      <w:numFmt w:val="bullet"/>
      <w:lvlText w:val="•"/>
      <w:lvlJc w:val="left"/>
      <w:pPr>
        <w:ind w:left="5887" w:hanging="772"/>
      </w:pPr>
      <w:rPr>
        <w:rFonts w:hint="default"/>
        <w:lang w:val="en-US" w:eastAsia="en-US" w:bidi="ar-SA"/>
      </w:rPr>
    </w:lvl>
    <w:lvl w:ilvl="7">
      <w:numFmt w:val="bullet"/>
      <w:lvlText w:val="•"/>
      <w:lvlJc w:val="left"/>
      <w:pPr>
        <w:ind w:left="6841" w:hanging="772"/>
      </w:pPr>
      <w:rPr>
        <w:rFonts w:hint="default"/>
        <w:lang w:val="en-US" w:eastAsia="en-US" w:bidi="ar-SA"/>
      </w:rPr>
    </w:lvl>
    <w:lvl w:ilvl="8">
      <w:numFmt w:val="bullet"/>
      <w:lvlText w:val="•"/>
      <w:lvlJc w:val="left"/>
      <w:pPr>
        <w:ind w:left="7796" w:hanging="772"/>
      </w:pPr>
      <w:rPr>
        <w:rFonts w:hint="default"/>
        <w:lang w:val="en-US" w:eastAsia="en-US" w:bidi="ar-SA"/>
      </w:rPr>
    </w:lvl>
  </w:abstractNum>
  <w:abstractNum w:abstractNumId="12" w15:restartNumberingAfterBreak="0">
    <w:nsid w:val="062E4F5E"/>
    <w:multiLevelType w:val="hybridMultilevel"/>
    <w:tmpl w:val="24B0E754"/>
    <w:lvl w:ilvl="0" w:tplc="383841F8">
      <w:numFmt w:val="bullet"/>
      <w:lvlText w:val="•"/>
      <w:lvlJc w:val="left"/>
      <w:pPr>
        <w:ind w:left="25" w:hanging="46"/>
      </w:pPr>
      <w:rPr>
        <w:rFonts w:ascii="Arial" w:eastAsia="Arial" w:hAnsi="Arial" w:cs="Arial" w:hint="default"/>
        <w:color w:val="231F20"/>
        <w:w w:val="105"/>
        <w:sz w:val="10"/>
        <w:szCs w:val="10"/>
        <w:lang w:val="en-US" w:eastAsia="en-US" w:bidi="ar-SA"/>
      </w:rPr>
    </w:lvl>
    <w:lvl w:ilvl="1" w:tplc="2A763568">
      <w:numFmt w:val="bullet"/>
      <w:lvlText w:val="•"/>
      <w:lvlJc w:val="left"/>
      <w:pPr>
        <w:ind w:left="141" w:hanging="46"/>
      </w:pPr>
      <w:rPr>
        <w:rFonts w:ascii="Arial" w:eastAsia="Arial" w:hAnsi="Arial" w:cs="Arial" w:hint="default"/>
        <w:color w:val="231F20"/>
        <w:w w:val="105"/>
        <w:sz w:val="10"/>
        <w:szCs w:val="10"/>
        <w:lang w:val="en-US" w:eastAsia="en-US" w:bidi="ar-SA"/>
      </w:rPr>
    </w:lvl>
    <w:lvl w:ilvl="2" w:tplc="594E6220">
      <w:numFmt w:val="bullet"/>
      <w:lvlText w:val="•"/>
      <w:lvlJc w:val="left"/>
      <w:pPr>
        <w:ind w:left="405" w:hanging="46"/>
      </w:pPr>
      <w:rPr>
        <w:rFonts w:hint="default"/>
        <w:lang w:val="en-US" w:eastAsia="en-US" w:bidi="ar-SA"/>
      </w:rPr>
    </w:lvl>
    <w:lvl w:ilvl="3" w:tplc="E32A8858">
      <w:numFmt w:val="bullet"/>
      <w:lvlText w:val="•"/>
      <w:lvlJc w:val="left"/>
      <w:pPr>
        <w:ind w:left="671" w:hanging="46"/>
      </w:pPr>
      <w:rPr>
        <w:rFonts w:hint="default"/>
        <w:lang w:val="en-US" w:eastAsia="en-US" w:bidi="ar-SA"/>
      </w:rPr>
    </w:lvl>
    <w:lvl w:ilvl="4" w:tplc="40F68802">
      <w:numFmt w:val="bullet"/>
      <w:lvlText w:val="•"/>
      <w:lvlJc w:val="left"/>
      <w:pPr>
        <w:ind w:left="937" w:hanging="46"/>
      </w:pPr>
      <w:rPr>
        <w:rFonts w:hint="default"/>
        <w:lang w:val="en-US" w:eastAsia="en-US" w:bidi="ar-SA"/>
      </w:rPr>
    </w:lvl>
    <w:lvl w:ilvl="5" w:tplc="46688EFA">
      <w:numFmt w:val="bullet"/>
      <w:lvlText w:val="•"/>
      <w:lvlJc w:val="left"/>
      <w:pPr>
        <w:ind w:left="1202" w:hanging="46"/>
      </w:pPr>
      <w:rPr>
        <w:rFonts w:hint="default"/>
        <w:lang w:val="en-US" w:eastAsia="en-US" w:bidi="ar-SA"/>
      </w:rPr>
    </w:lvl>
    <w:lvl w:ilvl="6" w:tplc="6F881FB2">
      <w:numFmt w:val="bullet"/>
      <w:lvlText w:val="•"/>
      <w:lvlJc w:val="left"/>
      <w:pPr>
        <w:ind w:left="1468" w:hanging="46"/>
      </w:pPr>
      <w:rPr>
        <w:rFonts w:hint="default"/>
        <w:lang w:val="en-US" w:eastAsia="en-US" w:bidi="ar-SA"/>
      </w:rPr>
    </w:lvl>
    <w:lvl w:ilvl="7" w:tplc="5E00B410">
      <w:numFmt w:val="bullet"/>
      <w:lvlText w:val="•"/>
      <w:lvlJc w:val="left"/>
      <w:pPr>
        <w:ind w:left="1734" w:hanging="46"/>
      </w:pPr>
      <w:rPr>
        <w:rFonts w:hint="default"/>
        <w:lang w:val="en-US" w:eastAsia="en-US" w:bidi="ar-SA"/>
      </w:rPr>
    </w:lvl>
    <w:lvl w:ilvl="8" w:tplc="6CD49B56">
      <w:numFmt w:val="bullet"/>
      <w:lvlText w:val="•"/>
      <w:lvlJc w:val="left"/>
      <w:pPr>
        <w:ind w:left="1999" w:hanging="46"/>
      </w:pPr>
      <w:rPr>
        <w:rFonts w:hint="default"/>
        <w:lang w:val="en-US" w:eastAsia="en-US" w:bidi="ar-SA"/>
      </w:rPr>
    </w:lvl>
  </w:abstractNum>
  <w:abstractNum w:abstractNumId="13" w15:restartNumberingAfterBreak="0">
    <w:nsid w:val="06505DF4"/>
    <w:multiLevelType w:val="hybridMultilevel"/>
    <w:tmpl w:val="4DD8C574"/>
    <w:lvl w:ilvl="0" w:tplc="786896B4">
      <w:numFmt w:val="bullet"/>
      <w:lvlText w:val="•"/>
      <w:lvlJc w:val="left"/>
      <w:pPr>
        <w:ind w:left="19" w:hanging="75"/>
      </w:pPr>
      <w:rPr>
        <w:rFonts w:ascii="Arial" w:eastAsia="Arial" w:hAnsi="Arial" w:cs="Arial" w:hint="default"/>
        <w:color w:val="231F20"/>
        <w:w w:val="66"/>
        <w:sz w:val="18"/>
        <w:szCs w:val="18"/>
        <w:lang w:val="en-US" w:eastAsia="en-US" w:bidi="ar-SA"/>
      </w:rPr>
    </w:lvl>
    <w:lvl w:ilvl="1" w:tplc="F710A258">
      <w:numFmt w:val="bullet"/>
      <w:lvlText w:val="•"/>
      <w:lvlJc w:val="left"/>
      <w:pPr>
        <w:ind w:left="256" w:hanging="75"/>
      </w:pPr>
      <w:rPr>
        <w:rFonts w:hint="default"/>
        <w:lang w:val="en-US" w:eastAsia="en-US" w:bidi="ar-SA"/>
      </w:rPr>
    </w:lvl>
    <w:lvl w:ilvl="2" w:tplc="8A567B32">
      <w:numFmt w:val="bullet"/>
      <w:lvlText w:val="•"/>
      <w:lvlJc w:val="left"/>
      <w:pPr>
        <w:ind w:left="492" w:hanging="75"/>
      </w:pPr>
      <w:rPr>
        <w:rFonts w:hint="default"/>
        <w:lang w:val="en-US" w:eastAsia="en-US" w:bidi="ar-SA"/>
      </w:rPr>
    </w:lvl>
    <w:lvl w:ilvl="3" w:tplc="CBFAAB06">
      <w:numFmt w:val="bullet"/>
      <w:lvlText w:val="•"/>
      <w:lvlJc w:val="left"/>
      <w:pPr>
        <w:ind w:left="729" w:hanging="75"/>
      </w:pPr>
      <w:rPr>
        <w:rFonts w:hint="default"/>
        <w:lang w:val="en-US" w:eastAsia="en-US" w:bidi="ar-SA"/>
      </w:rPr>
    </w:lvl>
    <w:lvl w:ilvl="4" w:tplc="827A06D4">
      <w:numFmt w:val="bullet"/>
      <w:lvlText w:val="•"/>
      <w:lvlJc w:val="left"/>
      <w:pPr>
        <w:ind w:left="965" w:hanging="75"/>
      </w:pPr>
      <w:rPr>
        <w:rFonts w:hint="default"/>
        <w:lang w:val="en-US" w:eastAsia="en-US" w:bidi="ar-SA"/>
      </w:rPr>
    </w:lvl>
    <w:lvl w:ilvl="5" w:tplc="6A9C4C98">
      <w:numFmt w:val="bullet"/>
      <w:lvlText w:val="•"/>
      <w:lvlJc w:val="left"/>
      <w:pPr>
        <w:ind w:left="1202" w:hanging="75"/>
      </w:pPr>
      <w:rPr>
        <w:rFonts w:hint="default"/>
        <w:lang w:val="en-US" w:eastAsia="en-US" w:bidi="ar-SA"/>
      </w:rPr>
    </w:lvl>
    <w:lvl w:ilvl="6" w:tplc="F3B630BA">
      <w:numFmt w:val="bullet"/>
      <w:lvlText w:val="•"/>
      <w:lvlJc w:val="left"/>
      <w:pPr>
        <w:ind w:left="1438" w:hanging="75"/>
      </w:pPr>
      <w:rPr>
        <w:rFonts w:hint="default"/>
        <w:lang w:val="en-US" w:eastAsia="en-US" w:bidi="ar-SA"/>
      </w:rPr>
    </w:lvl>
    <w:lvl w:ilvl="7" w:tplc="C974E524">
      <w:numFmt w:val="bullet"/>
      <w:lvlText w:val="•"/>
      <w:lvlJc w:val="left"/>
      <w:pPr>
        <w:ind w:left="1674" w:hanging="75"/>
      </w:pPr>
      <w:rPr>
        <w:rFonts w:hint="default"/>
        <w:lang w:val="en-US" w:eastAsia="en-US" w:bidi="ar-SA"/>
      </w:rPr>
    </w:lvl>
    <w:lvl w:ilvl="8" w:tplc="2CD8C872">
      <w:numFmt w:val="bullet"/>
      <w:lvlText w:val="•"/>
      <w:lvlJc w:val="left"/>
      <w:pPr>
        <w:ind w:left="1911" w:hanging="75"/>
      </w:pPr>
      <w:rPr>
        <w:rFonts w:hint="default"/>
        <w:lang w:val="en-US" w:eastAsia="en-US" w:bidi="ar-SA"/>
      </w:rPr>
    </w:lvl>
  </w:abstractNum>
  <w:abstractNum w:abstractNumId="14" w15:restartNumberingAfterBreak="0">
    <w:nsid w:val="0669163F"/>
    <w:multiLevelType w:val="multilevel"/>
    <w:tmpl w:val="8D964658"/>
    <w:lvl w:ilvl="0">
      <w:start w:val="5"/>
      <w:numFmt w:val="decimal"/>
      <w:lvlText w:val="%1"/>
      <w:lvlJc w:val="left"/>
      <w:pPr>
        <w:ind w:left="127" w:hanging="746"/>
      </w:pPr>
      <w:rPr>
        <w:rFonts w:hint="default"/>
        <w:lang w:val="en-US" w:eastAsia="en-US" w:bidi="ar-SA"/>
      </w:rPr>
    </w:lvl>
    <w:lvl w:ilvl="1">
      <w:start w:val="6"/>
      <w:numFmt w:val="decimal"/>
      <w:lvlText w:val="%1.%2"/>
      <w:lvlJc w:val="left"/>
      <w:pPr>
        <w:ind w:left="127" w:hanging="746"/>
      </w:pPr>
      <w:rPr>
        <w:rFonts w:hint="default"/>
        <w:lang w:val="en-US" w:eastAsia="en-US" w:bidi="ar-SA"/>
      </w:rPr>
    </w:lvl>
    <w:lvl w:ilvl="2">
      <w:start w:val="1"/>
      <w:numFmt w:val="decimal"/>
      <w:lvlText w:val="%1.%2.%3"/>
      <w:lvlJc w:val="left"/>
      <w:pPr>
        <w:ind w:left="127" w:hanging="746"/>
      </w:pPr>
      <w:rPr>
        <w:rFonts w:hint="default"/>
        <w:lang w:val="en-US" w:eastAsia="en-US" w:bidi="ar-SA"/>
      </w:rPr>
    </w:lvl>
    <w:lvl w:ilvl="3">
      <w:start w:val="1"/>
      <w:numFmt w:val="decimal"/>
      <w:lvlText w:val="%1.%2.%3.%4"/>
      <w:lvlJc w:val="left"/>
      <w:pPr>
        <w:ind w:left="127" w:hanging="746"/>
      </w:pPr>
      <w:rPr>
        <w:rFonts w:ascii="Arial" w:eastAsia="Arial" w:hAnsi="Arial" w:cs="Arial" w:hint="default"/>
        <w:color w:val="231F20"/>
        <w:w w:val="99"/>
        <w:sz w:val="22"/>
        <w:szCs w:val="22"/>
        <w:lang w:val="en-US" w:eastAsia="en-US" w:bidi="ar-SA"/>
      </w:rPr>
    </w:lvl>
    <w:lvl w:ilvl="4">
      <w:numFmt w:val="bullet"/>
      <w:lvlText w:val="•"/>
      <w:lvlJc w:val="left"/>
      <w:pPr>
        <w:ind w:left="3954" w:hanging="746"/>
      </w:pPr>
      <w:rPr>
        <w:rFonts w:hint="default"/>
        <w:lang w:val="en-US" w:eastAsia="en-US" w:bidi="ar-SA"/>
      </w:rPr>
    </w:lvl>
    <w:lvl w:ilvl="5">
      <w:numFmt w:val="bullet"/>
      <w:lvlText w:val="•"/>
      <w:lvlJc w:val="left"/>
      <w:pPr>
        <w:ind w:left="4912" w:hanging="746"/>
      </w:pPr>
      <w:rPr>
        <w:rFonts w:hint="default"/>
        <w:lang w:val="en-US" w:eastAsia="en-US" w:bidi="ar-SA"/>
      </w:rPr>
    </w:lvl>
    <w:lvl w:ilvl="6">
      <w:numFmt w:val="bullet"/>
      <w:lvlText w:val="•"/>
      <w:lvlJc w:val="left"/>
      <w:pPr>
        <w:ind w:left="5871" w:hanging="746"/>
      </w:pPr>
      <w:rPr>
        <w:rFonts w:hint="default"/>
        <w:lang w:val="en-US" w:eastAsia="en-US" w:bidi="ar-SA"/>
      </w:rPr>
    </w:lvl>
    <w:lvl w:ilvl="7">
      <w:numFmt w:val="bullet"/>
      <w:lvlText w:val="•"/>
      <w:lvlJc w:val="left"/>
      <w:pPr>
        <w:ind w:left="6829" w:hanging="746"/>
      </w:pPr>
      <w:rPr>
        <w:rFonts w:hint="default"/>
        <w:lang w:val="en-US" w:eastAsia="en-US" w:bidi="ar-SA"/>
      </w:rPr>
    </w:lvl>
    <w:lvl w:ilvl="8">
      <w:numFmt w:val="bullet"/>
      <w:lvlText w:val="•"/>
      <w:lvlJc w:val="left"/>
      <w:pPr>
        <w:ind w:left="7788" w:hanging="746"/>
      </w:pPr>
      <w:rPr>
        <w:rFonts w:hint="default"/>
        <w:lang w:val="en-US" w:eastAsia="en-US" w:bidi="ar-SA"/>
      </w:rPr>
    </w:lvl>
  </w:abstractNum>
  <w:abstractNum w:abstractNumId="15" w15:restartNumberingAfterBreak="0">
    <w:nsid w:val="06BA4A13"/>
    <w:multiLevelType w:val="hybridMultilevel"/>
    <w:tmpl w:val="15FE2E86"/>
    <w:lvl w:ilvl="0" w:tplc="4B56B232">
      <w:numFmt w:val="bullet"/>
      <w:lvlText w:val="•"/>
      <w:lvlJc w:val="left"/>
      <w:pPr>
        <w:ind w:left="26" w:hanging="76"/>
      </w:pPr>
      <w:rPr>
        <w:rFonts w:ascii="Arial" w:eastAsia="Arial" w:hAnsi="Arial" w:cs="Arial" w:hint="default"/>
        <w:color w:val="231F20"/>
        <w:w w:val="100"/>
        <w:sz w:val="12"/>
        <w:szCs w:val="12"/>
        <w:lang w:val="en-US" w:eastAsia="en-US" w:bidi="ar-SA"/>
      </w:rPr>
    </w:lvl>
    <w:lvl w:ilvl="1" w:tplc="CB10B0B2">
      <w:numFmt w:val="bullet"/>
      <w:lvlText w:val="•"/>
      <w:lvlJc w:val="left"/>
      <w:pPr>
        <w:ind w:left="257" w:hanging="76"/>
      </w:pPr>
      <w:rPr>
        <w:rFonts w:hint="default"/>
        <w:lang w:val="en-US" w:eastAsia="en-US" w:bidi="ar-SA"/>
      </w:rPr>
    </w:lvl>
    <w:lvl w:ilvl="2" w:tplc="308A76BC">
      <w:numFmt w:val="bullet"/>
      <w:lvlText w:val="•"/>
      <w:lvlJc w:val="left"/>
      <w:pPr>
        <w:ind w:left="495" w:hanging="76"/>
      </w:pPr>
      <w:rPr>
        <w:rFonts w:hint="default"/>
        <w:lang w:val="en-US" w:eastAsia="en-US" w:bidi="ar-SA"/>
      </w:rPr>
    </w:lvl>
    <w:lvl w:ilvl="3" w:tplc="9D9A8498">
      <w:numFmt w:val="bullet"/>
      <w:lvlText w:val="•"/>
      <w:lvlJc w:val="left"/>
      <w:pPr>
        <w:ind w:left="733" w:hanging="76"/>
      </w:pPr>
      <w:rPr>
        <w:rFonts w:hint="default"/>
        <w:lang w:val="en-US" w:eastAsia="en-US" w:bidi="ar-SA"/>
      </w:rPr>
    </w:lvl>
    <w:lvl w:ilvl="4" w:tplc="21340960">
      <w:numFmt w:val="bullet"/>
      <w:lvlText w:val="•"/>
      <w:lvlJc w:val="left"/>
      <w:pPr>
        <w:ind w:left="970" w:hanging="76"/>
      </w:pPr>
      <w:rPr>
        <w:rFonts w:hint="default"/>
        <w:lang w:val="en-US" w:eastAsia="en-US" w:bidi="ar-SA"/>
      </w:rPr>
    </w:lvl>
    <w:lvl w:ilvl="5" w:tplc="1618DC2E">
      <w:numFmt w:val="bullet"/>
      <w:lvlText w:val="•"/>
      <w:lvlJc w:val="left"/>
      <w:pPr>
        <w:ind w:left="1208" w:hanging="76"/>
      </w:pPr>
      <w:rPr>
        <w:rFonts w:hint="default"/>
        <w:lang w:val="en-US" w:eastAsia="en-US" w:bidi="ar-SA"/>
      </w:rPr>
    </w:lvl>
    <w:lvl w:ilvl="6" w:tplc="6254965C">
      <w:numFmt w:val="bullet"/>
      <w:lvlText w:val="•"/>
      <w:lvlJc w:val="left"/>
      <w:pPr>
        <w:ind w:left="1446" w:hanging="76"/>
      </w:pPr>
      <w:rPr>
        <w:rFonts w:hint="default"/>
        <w:lang w:val="en-US" w:eastAsia="en-US" w:bidi="ar-SA"/>
      </w:rPr>
    </w:lvl>
    <w:lvl w:ilvl="7" w:tplc="B58648D2">
      <w:numFmt w:val="bullet"/>
      <w:lvlText w:val="•"/>
      <w:lvlJc w:val="left"/>
      <w:pPr>
        <w:ind w:left="1683" w:hanging="76"/>
      </w:pPr>
      <w:rPr>
        <w:rFonts w:hint="default"/>
        <w:lang w:val="en-US" w:eastAsia="en-US" w:bidi="ar-SA"/>
      </w:rPr>
    </w:lvl>
    <w:lvl w:ilvl="8" w:tplc="1DC2FC3A">
      <w:numFmt w:val="bullet"/>
      <w:lvlText w:val="•"/>
      <w:lvlJc w:val="left"/>
      <w:pPr>
        <w:ind w:left="1921" w:hanging="76"/>
      </w:pPr>
      <w:rPr>
        <w:rFonts w:hint="default"/>
        <w:lang w:val="en-US" w:eastAsia="en-US" w:bidi="ar-SA"/>
      </w:rPr>
    </w:lvl>
  </w:abstractNum>
  <w:abstractNum w:abstractNumId="16" w15:restartNumberingAfterBreak="0">
    <w:nsid w:val="075A3C82"/>
    <w:multiLevelType w:val="hybridMultilevel"/>
    <w:tmpl w:val="FFE22E6A"/>
    <w:lvl w:ilvl="0" w:tplc="E0E0ACEE">
      <w:numFmt w:val="bullet"/>
      <w:lvlText w:val="•"/>
      <w:lvlJc w:val="left"/>
      <w:pPr>
        <w:ind w:left="27" w:hanging="79"/>
      </w:pPr>
      <w:rPr>
        <w:rFonts w:ascii="Arial" w:eastAsia="Arial" w:hAnsi="Arial" w:cs="Arial" w:hint="default"/>
        <w:color w:val="231F20"/>
        <w:w w:val="104"/>
        <w:sz w:val="12"/>
        <w:szCs w:val="12"/>
        <w:lang w:val="en-US" w:eastAsia="en-US" w:bidi="ar-SA"/>
      </w:rPr>
    </w:lvl>
    <w:lvl w:ilvl="1" w:tplc="BB32226E">
      <w:numFmt w:val="bullet"/>
      <w:lvlText w:val="•"/>
      <w:lvlJc w:val="left"/>
      <w:pPr>
        <w:ind w:left="268" w:hanging="79"/>
      </w:pPr>
      <w:rPr>
        <w:rFonts w:hint="default"/>
        <w:lang w:val="en-US" w:eastAsia="en-US" w:bidi="ar-SA"/>
      </w:rPr>
    </w:lvl>
    <w:lvl w:ilvl="2" w:tplc="20DA940A">
      <w:numFmt w:val="bullet"/>
      <w:lvlText w:val="•"/>
      <w:lvlJc w:val="left"/>
      <w:pPr>
        <w:ind w:left="516" w:hanging="79"/>
      </w:pPr>
      <w:rPr>
        <w:rFonts w:hint="default"/>
        <w:lang w:val="en-US" w:eastAsia="en-US" w:bidi="ar-SA"/>
      </w:rPr>
    </w:lvl>
    <w:lvl w:ilvl="3" w:tplc="F1FE2948">
      <w:numFmt w:val="bullet"/>
      <w:lvlText w:val="•"/>
      <w:lvlJc w:val="left"/>
      <w:pPr>
        <w:ind w:left="764" w:hanging="79"/>
      </w:pPr>
      <w:rPr>
        <w:rFonts w:hint="default"/>
        <w:lang w:val="en-US" w:eastAsia="en-US" w:bidi="ar-SA"/>
      </w:rPr>
    </w:lvl>
    <w:lvl w:ilvl="4" w:tplc="069600AC">
      <w:numFmt w:val="bullet"/>
      <w:lvlText w:val="•"/>
      <w:lvlJc w:val="left"/>
      <w:pPr>
        <w:ind w:left="1013" w:hanging="79"/>
      </w:pPr>
      <w:rPr>
        <w:rFonts w:hint="default"/>
        <w:lang w:val="en-US" w:eastAsia="en-US" w:bidi="ar-SA"/>
      </w:rPr>
    </w:lvl>
    <w:lvl w:ilvl="5" w:tplc="0FC8C938">
      <w:numFmt w:val="bullet"/>
      <w:lvlText w:val="•"/>
      <w:lvlJc w:val="left"/>
      <w:pPr>
        <w:ind w:left="1261" w:hanging="79"/>
      </w:pPr>
      <w:rPr>
        <w:rFonts w:hint="default"/>
        <w:lang w:val="en-US" w:eastAsia="en-US" w:bidi="ar-SA"/>
      </w:rPr>
    </w:lvl>
    <w:lvl w:ilvl="6" w:tplc="02C0E8BA">
      <w:numFmt w:val="bullet"/>
      <w:lvlText w:val="•"/>
      <w:lvlJc w:val="left"/>
      <w:pPr>
        <w:ind w:left="1509" w:hanging="79"/>
      </w:pPr>
      <w:rPr>
        <w:rFonts w:hint="default"/>
        <w:lang w:val="en-US" w:eastAsia="en-US" w:bidi="ar-SA"/>
      </w:rPr>
    </w:lvl>
    <w:lvl w:ilvl="7" w:tplc="A6A8E41A">
      <w:numFmt w:val="bullet"/>
      <w:lvlText w:val="•"/>
      <w:lvlJc w:val="left"/>
      <w:pPr>
        <w:ind w:left="1758" w:hanging="79"/>
      </w:pPr>
      <w:rPr>
        <w:rFonts w:hint="default"/>
        <w:lang w:val="en-US" w:eastAsia="en-US" w:bidi="ar-SA"/>
      </w:rPr>
    </w:lvl>
    <w:lvl w:ilvl="8" w:tplc="76D2D372">
      <w:numFmt w:val="bullet"/>
      <w:lvlText w:val="•"/>
      <w:lvlJc w:val="left"/>
      <w:pPr>
        <w:ind w:left="2006" w:hanging="79"/>
      </w:pPr>
      <w:rPr>
        <w:rFonts w:hint="default"/>
        <w:lang w:val="en-US" w:eastAsia="en-US" w:bidi="ar-SA"/>
      </w:rPr>
    </w:lvl>
  </w:abstractNum>
  <w:abstractNum w:abstractNumId="17" w15:restartNumberingAfterBreak="0">
    <w:nsid w:val="07602F00"/>
    <w:multiLevelType w:val="hybridMultilevel"/>
    <w:tmpl w:val="7AA443EA"/>
    <w:lvl w:ilvl="0" w:tplc="DADEF916">
      <w:numFmt w:val="bullet"/>
      <w:lvlText w:val="o"/>
      <w:lvlJc w:val="left"/>
      <w:pPr>
        <w:ind w:left="838" w:hanging="365"/>
      </w:pPr>
      <w:rPr>
        <w:rFonts w:ascii="Courier New" w:eastAsia="Courier New" w:hAnsi="Courier New" w:cs="Courier New" w:hint="default"/>
        <w:color w:val="231F20"/>
        <w:w w:val="140"/>
        <w:sz w:val="13"/>
        <w:szCs w:val="13"/>
        <w:lang w:val="en-US" w:eastAsia="en-US" w:bidi="ar-SA"/>
      </w:rPr>
    </w:lvl>
    <w:lvl w:ilvl="1" w:tplc="704EC176">
      <w:numFmt w:val="bullet"/>
      <w:lvlText w:val="•"/>
      <w:lvlJc w:val="left"/>
      <w:pPr>
        <w:ind w:left="1247" w:hanging="365"/>
      </w:pPr>
      <w:rPr>
        <w:rFonts w:hint="default"/>
        <w:lang w:val="en-US" w:eastAsia="en-US" w:bidi="ar-SA"/>
      </w:rPr>
    </w:lvl>
    <w:lvl w:ilvl="2" w:tplc="67D613E4">
      <w:numFmt w:val="bullet"/>
      <w:lvlText w:val="•"/>
      <w:lvlJc w:val="left"/>
      <w:pPr>
        <w:ind w:left="1655" w:hanging="365"/>
      </w:pPr>
      <w:rPr>
        <w:rFonts w:hint="default"/>
        <w:lang w:val="en-US" w:eastAsia="en-US" w:bidi="ar-SA"/>
      </w:rPr>
    </w:lvl>
    <w:lvl w:ilvl="3" w:tplc="857082D4">
      <w:numFmt w:val="bullet"/>
      <w:lvlText w:val="•"/>
      <w:lvlJc w:val="left"/>
      <w:pPr>
        <w:ind w:left="2063" w:hanging="365"/>
      </w:pPr>
      <w:rPr>
        <w:rFonts w:hint="default"/>
        <w:lang w:val="en-US" w:eastAsia="en-US" w:bidi="ar-SA"/>
      </w:rPr>
    </w:lvl>
    <w:lvl w:ilvl="4" w:tplc="87DA51E2">
      <w:numFmt w:val="bullet"/>
      <w:lvlText w:val="•"/>
      <w:lvlJc w:val="left"/>
      <w:pPr>
        <w:ind w:left="2471" w:hanging="365"/>
      </w:pPr>
      <w:rPr>
        <w:rFonts w:hint="default"/>
        <w:lang w:val="en-US" w:eastAsia="en-US" w:bidi="ar-SA"/>
      </w:rPr>
    </w:lvl>
    <w:lvl w:ilvl="5" w:tplc="DA5A6A4C">
      <w:numFmt w:val="bullet"/>
      <w:lvlText w:val="•"/>
      <w:lvlJc w:val="left"/>
      <w:pPr>
        <w:ind w:left="2879" w:hanging="365"/>
      </w:pPr>
      <w:rPr>
        <w:rFonts w:hint="default"/>
        <w:lang w:val="en-US" w:eastAsia="en-US" w:bidi="ar-SA"/>
      </w:rPr>
    </w:lvl>
    <w:lvl w:ilvl="6" w:tplc="7418317E">
      <w:numFmt w:val="bullet"/>
      <w:lvlText w:val="•"/>
      <w:lvlJc w:val="left"/>
      <w:pPr>
        <w:ind w:left="3287" w:hanging="365"/>
      </w:pPr>
      <w:rPr>
        <w:rFonts w:hint="default"/>
        <w:lang w:val="en-US" w:eastAsia="en-US" w:bidi="ar-SA"/>
      </w:rPr>
    </w:lvl>
    <w:lvl w:ilvl="7" w:tplc="0C9C388C">
      <w:numFmt w:val="bullet"/>
      <w:lvlText w:val="•"/>
      <w:lvlJc w:val="left"/>
      <w:pPr>
        <w:ind w:left="3695" w:hanging="365"/>
      </w:pPr>
      <w:rPr>
        <w:rFonts w:hint="default"/>
        <w:lang w:val="en-US" w:eastAsia="en-US" w:bidi="ar-SA"/>
      </w:rPr>
    </w:lvl>
    <w:lvl w:ilvl="8" w:tplc="CC8CA198">
      <w:numFmt w:val="bullet"/>
      <w:lvlText w:val="•"/>
      <w:lvlJc w:val="left"/>
      <w:pPr>
        <w:ind w:left="4103" w:hanging="365"/>
      </w:pPr>
      <w:rPr>
        <w:rFonts w:hint="default"/>
        <w:lang w:val="en-US" w:eastAsia="en-US" w:bidi="ar-SA"/>
      </w:rPr>
    </w:lvl>
  </w:abstractNum>
  <w:abstractNum w:abstractNumId="18" w15:restartNumberingAfterBreak="0">
    <w:nsid w:val="07C71069"/>
    <w:multiLevelType w:val="hybridMultilevel"/>
    <w:tmpl w:val="90349CF0"/>
    <w:lvl w:ilvl="0" w:tplc="3066241A">
      <w:numFmt w:val="bullet"/>
      <w:lvlText w:val="•"/>
      <w:lvlJc w:val="left"/>
      <w:pPr>
        <w:ind w:left="23" w:hanging="75"/>
      </w:pPr>
      <w:rPr>
        <w:rFonts w:ascii="Arial" w:eastAsia="Arial" w:hAnsi="Arial" w:cs="Arial" w:hint="default"/>
        <w:color w:val="231F20"/>
        <w:w w:val="74"/>
        <w:sz w:val="16"/>
        <w:szCs w:val="16"/>
        <w:lang w:val="en-US" w:eastAsia="en-US" w:bidi="ar-SA"/>
      </w:rPr>
    </w:lvl>
    <w:lvl w:ilvl="1" w:tplc="51FEEE44">
      <w:numFmt w:val="bullet"/>
      <w:lvlText w:val="•"/>
      <w:lvlJc w:val="left"/>
      <w:pPr>
        <w:ind w:left="255" w:hanging="75"/>
      </w:pPr>
      <w:rPr>
        <w:rFonts w:hint="default"/>
        <w:lang w:val="en-US" w:eastAsia="en-US" w:bidi="ar-SA"/>
      </w:rPr>
    </w:lvl>
    <w:lvl w:ilvl="2" w:tplc="297E501C">
      <w:numFmt w:val="bullet"/>
      <w:lvlText w:val="•"/>
      <w:lvlJc w:val="left"/>
      <w:pPr>
        <w:ind w:left="491" w:hanging="75"/>
      </w:pPr>
      <w:rPr>
        <w:rFonts w:hint="default"/>
        <w:lang w:val="en-US" w:eastAsia="en-US" w:bidi="ar-SA"/>
      </w:rPr>
    </w:lvl>
    <w:lvl w:ilvl="3" w:tplc="B1743784">
      <w:numFmt w:val="bullet"/>
      <w:lvlText w:val="•"/>
      <w:lvlJc w:val="left"/>
      <w:pPr>
        <w:ind w:left="726" w:hanging="75"/>
      </w:pPr>
      <w:rPr>
        <w:rFonts w:hint="default"/>
        <w:lang w:val="en-US" w:eastAsia="en-US" w:bidi="ar-SA"/>
      </w:rPr>
    </w:lvl>
    <w:lvl w:ilvl="4" w:tplc="122A4BE6">
      <w:numFmt w:val="bullet"/>
      <w:lvlText w:val="•"/>
      <w:lvlJc w:val="left"/>
      <w:pPr>
        <w:ind w:left="962" w:hanging="75"/>
      </w:pPr>
      <w:rPr>
        <w:rFonts w:hint="default"/>
        <w:lang w:val="en-US" w:eastAsia="en-US" w:bidi="ar-SA"/>
      </w:rPr>
    </w:lvl>
    <w:lvl w:ilvl="5" w:tplc="215C47B2">
      <w:numFmt w:val="bullet"/>
      <w:lvlText w:val="•"/>
      <w:lvlJc w:val="left"/>
      <w:pPr>
        <w:ind w:left="1198" w:hanging="75"/>
      </w:pPr>
      <w:rPr>
        <w:rFonts w:hint="default"/>
        <w:lang w:val="en-US" w:eastAsia="en-US" w:bidi="ar-SA"/>
      </w:rPr>
    </w:lvl>
    <w:lvl w:ilvl="6" w:tplc="F920CE3A">
      <w:numFmt w:val="bullet"/>
      <w:lvlText w:val="•"/>
      <w:lvlJc w:val="left"/>
      <w:pPr>
        <w:ind w:left="1433" w:hanging="75"/>
      </w:pPr>
      <w:rPr>
        <w:rFonts w:hint="default"/>
        <w:lang w:val="en-US" w:eastAsia="en-US" w:bidi="ar-SA"/>
      </w:rPr>
    </w:lvl>
    <w:lvl w:ilvl="7" w:tplc="0F28B0F0">
      <w:numFmt w:val="bullet"/>
      <w:lvlText w:val="•"/>
      <w:lvlJc w:val="left"/>
      <w:pPr>
        <w:ind w:left="1669" w:hanging="75"/>
      </w:pPr>
      <w:rPr>
        <w:rFonts w:hint="default"/>
        <w:lang w:val="en-US" w:eastAsia="en-US" w:bidi="ar-SA"/>
      </w:rPr>
    </w:lvl>
    <w:lvl w:ilvl="8" w:tplc="5B52E990">
      <w:numFmt w:val="bullet"/>
      <w:lvlText w:val="•"/>
      <w:lvlJc w:val="left"/>
      <w:pPr>
        <w:ind w:left="1904" w:hanging="75"/>
      </w:pPr>
      <w:rPr>
        <w:rFonts w:hint="default"/>
        <w:lang w:val="en-US" w:eastAsia="en-US" w:bidi="ar-SA"/>
      </w:rPr>
    </w:lvl>
  </w:abstractNum>
  <w:abstractNum w:abstractNumId="19" w15:restartNumberingAfterBreak="0">
    <w:nsid w:val="082E0981"/>
    <w:multiLevelType w:val="hybridMultilevel"/>
    <w:tmpl w:val="83D88242"/>
    <w:lvl w:ilvl="0" w:tplc="9EBE7806">
      <w:numFmt w:val="bullet"/>
      <w:lvlText w:val="o"/>
      <w:lvlJc w:val="left"/>
      <w:pPr>
        <w:ind w:left="460" w:hanging="356"/>
      </w:pPr>
      <w:rPr>
        <w:rFonts w:ascii="Courier New" w:eastAsia="Courier New" w:hAnsi="Courier New" w:cs="Courier New" w:hint="default"/>
        <w:color w:val="231F20"/>
        <w:w w:val="109"/>
        <w:sz w:val="18"/>
        <w:szCs w:val="18"/>
        <w:lang w:val="en-US" w:eastAsia="en-US" w:bidi="ar-SA"/>
      </w:rPr>
    </w:lvl>
    <w:lvl w:ilvl="1" w:tplc="E81E88C6">
      <w:numFmt w:val="bullet"/>
      <w:lvlText w:val="•"/>
      <w:lvlJc w:val="left"/>
      <w:pPr>
        <w:ind w:left="962" w:hanging="356"/>
      </w:pPr>
      <w:rPr>
        <w:rFonts w:hint="default"/>
        <w:lang w:val="en-US" w:eastAsia="en-US" w:bidi="ar-SA"/>
      </w:rPr>
    </w:lvl>
    <w:lvl w:ilvl="2" w:tplc="8C5C1BE0">
      <w:numFmt w:val="bullet"/>
      <w:lvlText w:val="•"/>
      <w:lvlJc w:val="left"/>
      <w:pPr>
        <w:ind w:left="1465" w:hanging="356"/>
      </w:pPr>
      <w:rPr>
        <w:rFonts w:hint="default"/>
        <w:lang w:val="en-US" w:eastAsia="en-US" w:bidi="ar-SA"/>
      </w:rPr>
    </w:lvl>
    <w:lvl w:ilvl="3" w:tplc="BA249982">
      <w:numFmt w:val="bullet"/>
      <w:lvlText w:val="•"/>
      <w:lvlJc w:val="left"/>
      <w:pPr>
        <w:ind w:left="1968" w:hanging="356"/>
      </w:pPr>
      <w:rPr>
        <w:rFonts w:hint="default"/>
        <w:lang w:val="en-US" w:eastAsia="en-US" w:bidi="ar-SA"/>
      </w:rPr>
    </w:lvl>
    <w:lvl w:ilvl="4" w:tplc="806C3458">
      <w:numFmt w:val="bullet"/>
      <w:lvlText w:val="•"/>
      <w:lvlJc w:val="left"/>
      <w:pPr>
        <w:ind w:left="2471" w:hanging="356"/>
      </w:pPr>
      <w:rPr>
        <w:rFonts w:hint="default"/>
        <w:lang w:val="en-US" w:eastAsia="en-US" w:bidi="ar-SA"/>
      </w:rPr>
    </w:lvl>
    <w:lvl w:ilvl="5" w:tplc="8A126EF0">
      <w:numFmt w:val="bullet"/>
      <w:lvlText w:val="•"/>
      <w:lvlJc w:val="left"/>
      <w:pPr>
        <w:ind w:left="2974" w:hanging="356"/>
      </w:pPr>
      <w:rPr>
        <w:rFonts w:hint="default"/>
        <w:lang w:val="en-US" w:eastAsia="en-US" w:bidi="ar-SA"/>
      </w:rPr>
    </w:lvl>
    <w:lvl w:ilvl="6" w:tplc="8368AF6C">
      <w:numFmt w:val="bullet"/>
      <w:lvlText w:val="•"/>
      <w:lvlJc w:val="left"/>
      <w:pPr>
        <w:ind w:left="3476" w:hanging="356"/>
      </w:pPr>
      <w:rPr>
        <w:rFonts w:hint="default"/>
        <w:lang w:val="en-US" w:eastAsia="en-US" w:bidi="ar-SA"/>
      </w:rPr>
    </w:lvl>
    <w:lvl w:ilvl="7" w:tplc="42CC0DE8">
      <w:numFmt w:val="bullet"/>
      <w:lvlText w:val="•"/>
      <w:lvlJc w:val="left"/>
      <w:pPr>
        <w:ind w:left="3979" w:hanging="356"/>
      </w:pPr>
      <w:rPr>
        <w:rFonts w:hint="default"/>
        <w:lang w:val="en-US" w:eastAsia="en-US" w:bidi="ar-SA"/>
      </w:rPr>
    </w:lvl>
    <w:lvl w:ilvl="8" w:tplc="C29ECEC4">
      <w:numFmt w:val="bullet"/>
      <w:lvlText w:val="•"/>
      <w:lvlJc w:val="left"/>
      <w:pPr>
        <w:ind w:left="4482" w:hanging="356"/>
      </w:pPr>
      <w:rPr>
        <w:rFonts w:hint="default"/>
        <w:lang w:val="en-US" w:eastAsia="en-US" w:bidi="ar-SA"/>
      </w:rPr>
    </w:lvl>
  </w:abstractNum>
  <w:abstractNum w:abstractNumId="20" w15:restartNumberingAfterBreak="0">
    <w:nsid w:val="086658E4"/>
    <w:multiLevelType w:val="hybridMultilevel"/>
    <w:tmpl w:val="C32E3A92"/>
    <w:lvl w:ilvl="0" w:tplc="836C5D30">
      <w:numFmt w:val="bullet"/>
      <w:lvlText w:val="•"/>
      <w:lvlJc w:val="left"/>
      <w:pPr>
        <w:ind w:left="516" w:hanging="720"/>
      </w:pPr>
      <w:rPr>
        <w:rFonts w:ascii="Arial" w:eastAsia="Arial" w:hAnsi="Arial" w:cs="Arial" w:hint="default"/>
        <w:color w:val="231F20"/>
        <w:w w:val="99"/>
        <w:sz w:val="22"/>
        <w:szCs w:val="22"/>
        <w:lang w:val="en-US" w:eastAsia="en-US" w:bidi="ar-SA"/>
      </w:rPr>
    </w:lvl>
    <w:lvl w:ilvl="1" w:tplc="7062C69E">
      <w:numFmt w:val="bullet"/>
      <w:lvlText w:val="•"/>
      <w:lvlJc w:val="left"/>
      <w:pPr>
        <w:ind w:left="1438" w:hanging="720"/>
      </w:pPr>
      <w:rPr>
        <w:rFonts w:hint="default"/>
        <w:lang w:val="en-US" w:eastAsia="en-US" w:bidi="ar-SA"/>
      </w:rPr>
    </w:lvl>
    <w:lvl w:ilvl="2" w:tplc="3F1A504A">
      <w:numFmt w:val="bullet"/>
      <w:lvlText w:val="•"/>
      <w:lvlJc w:val="left"/>
      <w:pPr>
        <w:ind w:left="2357" w:hanging="720"/>
      </w:pPr>
      <w:rPr>
        <w:rFonts w:hint="default"/>
        <w:lang w:val="en-US" w:eastAsia="en-US" w:bidi="ar-SA"/>
      </w:rPr>
    </w:lvl>
    <w:lvl w:ilvl="3" w:tplc="BF9C677E">
      <w:numFmt w:val="bullet"/>
      <w:lvlText w:val="•"/>
      <w:lvlJc w:val="left"/>
      <w:pPr>
        <w:ind w:left="3275" w:hanging="720"/>
      </w:pPr>
      <w:rPr>
        <w:rFonts w:hint="default"/>
        <w:lang w:val="en-US" w:eastAsia="en-US" w:bidi="ar-SA"/>
      </w:rPr>
    </w:lvl>
    <w:lvl w:ilvl="4" w:tplc="A3D80E28">
      <w:numFmt w:val="bullet"/>
      <w:lvlText w:val="•"/>
      <w:lvlJc w:val="left"/>
      <w:pPr>
        <w:ind w:left="4194" w:hanging="720"/>
      </w:pPr>
      <w:rPr>
        <w:rFonts w:hint="default"/>
        <w:lang w:val="en-US" w:eastAsia="en-US" w:bidi="ar-SA"/>
      </w:rPr>
    </w:lvl>
    <w:lvl w:ilvl="5" w:tplc="6A720FCE">
      <w:numFmt w:val="bullet"/>
      <w:lvlText w:val="•"/>
      <w:lvlJc w:val="left"/>
      <w:pPr>
        <w:ind w:left="5112" w:hanging="720"/>
      </w:pPr>
      <w:rPr>
        <w:rFonts w:hint="default"/>
        <w:lang w:val="en-US" w:eastAsia="en-US" w:bidi="ar-SA"/>
      </w:rPr>
    </w:lvl>
    <w:lvl w:ilvl="6" w:tplc="B7663B5A">
      <w:numFmt w:val="bullet"/>
      <w:lvlText w:val="•"/>
      <w:lvlJc w:val="left"/>
      <w:pPr>
        <w:ind w:left="6031" w:hanging="720"/>
      </w:pPr>
      <w:rPr>
        <w:rFonts w:hint="default"/>
        <w:lang w:val="en-US" w:eastAsia="en-US" w:bidi="ar-SA"/>
      </w:rPr>
    </w:lvl>
    <w:lvl w:ilvl="7" w:tplc="7FBE2DB0">
      <w:numFmt w:val="bullet"/>
      <w:lvlText w:val="•"/>
      <w:lvlJc w:val="left"/>
      <w:pPr>
        <w:ind w:left="6949" w:hanging="720"/>
      </w:pPr>
      <w:rPr>
        <w:rFonts w:hint="default"/>
        <w:lang w:val="en-US" w:eastAsia="en-US" w:bidi="ar-SA"/>
      </w:rPr>
    </w:lvl>
    <w:lvl w:ilvl="8" w:tplc="257683E0">
      <w:numFmt w:val="bullet"/>
      <w:lvlText w:val="•"/>
      <w:lvlJc w:val="left"/>
      <w:pPr>
        <w:ind w:left="7868" w:hanging="720"/>
      </w:pPr>
      <w:rPr>
        <w:rFonts w:hint="default"/>
        <w:lang w:val="en-US" w:eastAsia="en-US" w:bidi="ar-SA"/>
      </w:rPr>
    </w:lvl>
  </w:abstractNum>
  <w:abstractNum w:abstractNumId="21" w15:restartNumberingAfterBreak="0">
    <w:nsid w:val="089A2CFD"/>
    <w:multiLevelType w:val="hybridMultilevel"/>
    <w:tmpl w:val="48AC57CE"/>
    <w:lvl w:ilvl="0" w:tplc="D42632B6">
      <w:numFmt w:val="bullet"/>
      <w:lvlText w:val="•"/>
      <w:lvlJc w:val="left"/>
      <w:pPr>
        <w:ind w:left="24" w:hanging="75"/>
      </w:pPr>
      <w:rPr>
        <w:rFonts w:ascii="Arial" w:eastAsia="Arial" w:hAnsi="Arial" w:cs="Arial" w:hint="default"/>
        <w:color w:val="231F20"/>
        <w:w w:val="91"/>
        <w:sz w:val="13"/>
        <w:szCs w:val="13"/>
        <w:lang w:val="en-US" w:eastAsia="en-US" w:bidi="ar-SA"/>
      </w:rPr>
    </w:lvl>
    <w:lvl w:ilvl="1" w:tplc="C56A2D36">
      <w:numFmt w:val="bullet"/>
      <w:lvlText w:val="•"/>
      <w:lvlJc w:val="left"/>
      <w:pPr>
        <w:ind w:left="256" w:hanging="75"/>
      </w:pPr>
      <w:rPr>
        <w:rFonts w:hint="default"/>
        <w:lang w:val="en-US" w:eastAsia="en-US" w:bidi="ar-SA"/>
      </w:rPr>
    </w:lvl>
    <w:lvl w:ilvl="2" w:tplc="EA1480BC">
      <w:numFmt w:val="bullet"/>
      <w:lvlText w:val="•"/>
      <w:lvlJc w:val="left"/>
      <w:pPr>
        <w:ind w:left="492" w:hanging="75"/>
      </w:pPr>
      <w:rPr>
        <w:rFonts w:hint="default"/>
        <w:lang w:val="en-US" w:eastAsia="en-US" w:bidi="ar-SA"/>
      </w:rPr>
    </w:lvl>
    <w:lvl w:ilvl="3" w:tplc="4692AE62">
      <w:numFmt w:val="bullet"/>
      <w:lvlText w:val="•"/>
      <w:lvlJc w:val="left"/>
      <w:pPr>
        <w:ind w:left="728" w:hanging="75"/>
      </w:pPr>
      <w:rPr>
        <w:rFonts w:hint="default"/>
        <w:lang w:val="en-US" w:eastAsia="en-US" w:bidi="ar-SA"/>
      </w:rPr>
    </w:lvl>
    <w:lvl w:ilvl="4" w:tplc="8CB68B56">
      <w:numFmt w:val="bullet"/>
      <w:lvlText w:val="•"/>
      <w:lvlJc w:val="left"/>
      <w:pPr>
        <w:ind w:left="964" w:hanging="75"/>
      </w:pPr>
      <w:rPr>
        <w:rFonts w:hint="default"/>
        <w:lang w:val="en-US" w:eastAsia="en-US" w:bidi="ar-SA"/>
      </w:rPr>
    </w:lvl>
    <w:lvl w:ilvl="5" w:tplc="F3AEEFE0">
      <w:numFmt w:val="bullet"/>
      <w:lvlText w:val="•"/>
      <w:lvlJc w:val="left"/>
      <w:pPr>
        <w:ind w:left="1200" w:hanging="75"/>
      </w:pPr>
      <w:rPr>
        <w:rFonts w:hint="default"/>
        <w:lang w:val="en-US" w:eastAsia="en-US" w:bidi="ar-SA"/>
      </w:rPr>
    </w:lvl>
    <w:lvl w:ilvl="6" w:tplc="288A9F78">
      <w:numFmt w:val="bullet"/>
      <w:lvlText w:val="•"/>
      <w:lvlJc w:val="left"/>
      <w:pPr>
        <w:ind w:left="1436" w:hanging="75"/>
      </w:pPr>
      <w:rPr>
        <w:rFonts w:hint="default"/>
        <w:lang w:val="en-US" w:eastAsia="en-US" w:bidi="ar-SA"/>
      </w:rPr>
    </w:lvl>
    <w:lvl w:ilvl="7" w:tplc="64D49CD4">
      <w:numFmt w:val="bullet"/>
      <w:lvlText w:val="•"/>
      <w:lvlJc w:val="left"/>
      <w:pPr>
        <w:ind w:left="1672" w:hanging="75"/>
      </w:pPr>
      <w:rPr>
        <w:rFonts w:hint="default"/>
        <w:lang w:val="en-US" w:eastAsia="en-US" w:bidi="ar-SA"/>
      </w:rPr>
    </w:lvl>
    <w:lvl w:ilvl="8" w:tplc="093A605E">
      <w:numFmt w:val="bullet"/>
      <w:lvlText w:val="•"/>
      <w:lvlJc w:val="left"/>
      <w:pPr>
        <w:ind w:left="1908" w:hanging="75"/>
      </w:pPr>
      <w:rPr>
        <w:rFonts w:hint="default"/>
        <w:lang w:val="en-US" w:eastAsia="en-US" w:bidi="ar-SA"/>
      </w:rPr>
    </w:lvl>
  </w:abstractNum>
  <w:abstractNum w:abstractNumId="22" w15:restartNumberingAfterBreak="0">
    <w:nsid w:val="08B07F6E"/>
    <w:multiLevelType w:val="hybridMultilevel"/>
    <w:tmpl w:val="C5025C42"/>
    <w:lvl w:ilvl="0" w:tplc="B184CC2A">
      <w:numFmt w:val="bullet"/>
      <w:lvlText w:val="•"/>
      <w:lvlJc w:val="left"/>
      <w:pPr>
        <w:ind w:left="25" w:hanging="44"/>
      </w:pPr>
      <w:rPr>
        <w:rFonts w:ascii="Arial" w:eastAsia="Arial" w:hAnsi="Arial" w:cs="Arial" w:hint="default"/>
        <w:color w:val="231F20"/>
        <w:w w:val="76"/>
        <w:sz w:val="14"/>
        <w:szCs w:val="14"/>
        <w:lang w:val="en-US" w:eastAsia="en-US" w:bidi="ar-SA"/>
      </w:rPr>
    </w:lvl>
    <w:lvl w:ilvl="1" w:tplc="143A5C4A">
      <w:numFmt w:val="bullet"/>
      <w:lvlText w:val="•"/>
      <w:lvlJc w:val="left"/>
      <w:pPr>
        <w:ind w:left="262" w:hanging="44"/>
      </w:pPr>
      <w:rPr>
        <w:rFonts w:hint="default"/>
        <w:lang w:val="en-US" w:eastAsia="en-US" w:bidi="ar-SA"/>
      </w:rPr>
    </w:lvl>
    <w:lvl w:ilvl="2" w:tplc="E81887A0">
      <w:numFmt w:val="bullet"/>
      <w:lvlText w:val="•"/>
      <w:lvlJc w:val="left"/>
      <w:pPr>
        <w:ind w:left="505" w:hanging="44"/>
      </w:pPr>
      <w:rPr>
        <w:rFonts w:hint="default"/>
        <w:lang w:val="en-US" w:eastAsia="en-US" w:bidi="ar-SA"/>
      </w:rPr>
    </w:lvl>
    <w:lvl w:ilvl="3" w:tplc="972AA14A">
      <w:numFmt w:val="bullet"/>
      <w:lvlText w:val="•"/>
      <w:lvlJc w:val="left"/>
      <w:pPr>
        <w:ind w:left="747" w:hanging="44"/>
      </w:pPr>
      <w:rPr>
        <w:rFonts w:hint="default"/>
        <w:lang w:val="en-US" w:eastAsia="en-US" w:bidi="ar-SA"/>
      </w:rPr>
    </w:lvl>
    <w:lvl w:ilvl="4" w:tplc="1A7C613A">
      <w:numFmt w:val="bullet"/>
      <w:lvlText w:val="•"/>
      <w:lvlJc w:val="left"/>
      <w:pPr>
        <w:ind w:left="990" w:hanging="44"/>
      </w:pPr>
      <w:rPr>
        <w:rFonts w:hint="default"/>
        <w:lang w:val="en-US" w:eastAsia="en-US" w:bidi="ar-SA"/>
      </w:rPr>
    </w:lvl>
    <w:lvl w:ilvl="5" w:tplc="4282043E">
      <w:numFmt w:val="bullet"/>
      <w:lvlText w:val="•"/>
      <w:lvlJc w:val="left"/>
      <w:pPr>
        <w:ind w:left="1233" w:hanging="44"/>
      </w:pPr>
      <w:rPr>
        <w:rFonts w:hint="default"/>
        <w:lang w:val="en-US" w:eastAsia="en-US" w:bidi="ar-SA"/>
      </w:rPr>
    </w:lvl>
    <w:lvl w:ilvl="6" w:tplc="2092EC92">
      <w:numFmt w:val="bullet"/>
      <w:lvlText w:val="•"/>
      <w:lvlJc w:val="left"/>
      <w:pPr>
        <w:ind w:left="1475" w:hanging="44"/>
      </w:pPr>
      <w:rPr>
        <w:rFonts w:hint="default"/>
        <w:lang w:val="en-US" w:eastAsia="en-US" w:bidi="ar-SA"/>
      </w:rPr>
    </w:lvl>
    <w:lvl w:ilvl="7" w:tplc="416643B2">
      <w:numFmt w:val="bullet"/>
      <w:lvlText w:val="•"/>
      <w:lvlJc w:val="left"/>
      <w:pPr>
        <w:ind w:left="1718" w:hanging="44"/>
      </w:pPr>
      <w:rPr>
        <w:rFonts w:hint="default"/>
        <w:lang w:val="en-US" w:eastAsia="en-US" w:bidi="ar-SA"/>
      </w:rPr>
    </w:lvl>
    <w:lvl w:ilvl="8" w:tplc="7D0CABAA">
      <w:numFmt w:val="bullet"/>
      <w:lvlText w:val="•"/>
      <w:lvlJc w:val="left"/>
      <w:pPr>
        <w:ind w:left="1960" w:hanging="44"/>
      </w:pPr>
      <w:rPr>
        <w:rFonts w:hint="default"/>
        <w:lang w:val="en-US" w:eastAsia="en-US" w:bidi="ar-SA"/>
      </w:rPr>
    </w:lvl>
  </w:abstractNum>
  <w:abstractNum w:abstractNumId="23" w15:restartNumberingAfterBreak="0">
    <w:nsid w:val="09036718"/>
    <w:multiLevelType w:val="multilevel"/>
    <w:tmpl w:val="2F400098"/>
    <w:lvl w:ilvl="0">
      <w:start w:val="6"/>
      <w:numFmt w:val="decimal"/>
      <w:lvlText w:val="%1"/>
      <w:lvlJc w:val="left"/>
      <w:pPr>
        <w:ind w:left="1057" w:hanging="885"/>
      </w:pPr>
      <w:rPr>
        <w:rFonts w:hint="default"/>
        <w:lang w:val="en-US" w:eastAsia="en-US" w:bidi="ar-SA"/>
      </w:rPr>
    </w:lvl>
    <w:lvl w:ilvl="1">
      <w:start w:val="9"/>
      <w:numFmt w:val="decimal"/>
      <w:lvlText w:val="%1.%2"/>
      <w:lvlJc w:val="left"/>
      <w:pPr>
        <w:ind w:left="1057" w:hanging="885"/>
      </w:pPr>
      <w:rPr>
        <w:rFonts w:hint="default"/>
        <w:lang w:val="en-US" w:eastAsia="en-US" w:bidi="ar-SA"/>
      </w:rPr>
    </w:lvl>
    <w:lvl w:ilvl="2">
      <w:start w:val="3"/>
      <w:numFmt w:val="decimal"/>
      <w:lvlText w:val="%1.%2.%3"/>
      <w:lvlJc w:val="left"/>
      <w:pPr>
        <w:ind w:left="1057" w:hanging="885"/>
      </w:pPr>
      <w:rPr>
        <w:rFonts w:hint="default"/>
        <w:lang w:val="en-US" w:eastAsia="en-US" w:bidi="ar-SA"/>
      </w:rPr>
    </w:lvl>
    <w:lvl w:ilvl="3">
      <w:start w:val="1"/>
      <w:numFmt w:val="decimal"/>
      <w:lvlText w:val="%1.%2.%3.%4"/>
      <w:lvlJc w:val="left"/>
      <w:pPr>
        <w:ind w:left="1057" w:hanging="885"/>
      </w:pPr>
      <w:rPr>
        <w:rFonts w:ascii="Arial" w:eastAsia="Arial" w:hAnsi="Arial" w:cs="Arial" w:hint="default"/>
        <w:b/>
        <w:bCs/>
        <w:color w:val="231F20"/>
        <w:spacing w:val="-11"/>
        <w:w w:val="99"/>
        <w:sz w:val="22"/>
        <w:szCs w:val="22"/>
        <w:lang w:val="en-US" w:eastAsia="en-US" w:bidi="ar-SA"/>
      </w:rPr>
    </w:lvl>
    <w:lvl w:ilvl="4">
      <w:numFmt w:val="bullet"/>
      <w:lvlText w:val="•"/>
      <w:lvlJc w:val="left"/>
      <w:pPr>
        <w:ind w:left="4518" w:hanging="885"/>
      </w:pPr>
      <w:rPr>
        <w:rFonts w:hint="default"/>
        <w:lang w:val="en-US" w:eastAsia="en-US" w:bidi="ar-SA"/>
      </w:rPr>
    </w:lvl>
    <w:lvl w:ilvl="5">
      <w:numFmt w:val="bullet"/>
      <w:lvlText w:val="•"/>
      <w:lvlJc w:val="left"/>
      <w:pPr>
        <w:ind w:left="5382" w:hanging="885"/>
      </w:pPr>
      <w:rPr>
        <w:rFonts w:hint="default"/>
        <w:lang w:val="en-US" w:eastAsia="en-US" w:bidi="ar-SA"/>
      </w:rPr>
    </w:lvl>
    <w:lvl w:ilvl="6">
      <w:numFmt w:val="bullet"/>
      <w:lvlText w:val="•"/>
      <w:lvlJc w:val="left"/>
      <w:pPr>
        <w:ind w:left="6247" w:hanging="885"/>
      </w:pPr>
      <w:rPr>
        <w:rFonts w:hint="default"/>
        <w:lang w:val="en-US" w:eastAsia="en-US" w:bidi="ar-SA"/>
      </w:rPr>
    </w:lvl>
    <w:lvl w:ilvl="7">
      <w:numFmt w:val="bullet"/>
      <w:lvlText w:val="•"/>
      <w:lvlJc w:val="left"/>
      <w:pPr>
        <w:ind w:left="7111" w:hanging="885"/>
      </w:pPr>
      <w:rPr>
        <w:rFonts w:hint="default"/>
        <w:lang w:val="en-US" w:eastAsia="en-US" w:bidi="ar-SA"/>
      </w:rPr>
    </w:lvl>
    <w:lvl w:ilvl="8">
      <w:numFmt w:val="bullet"/>
      <w:lvlText w:val="•"/>
      <w:lvlJc w:val="left"/>
      <w:pPr>
        <w:ind w:left="7976" w:hanging="885"/>
      </w:pPr>
      <w:rPr>
        <w:rFonts w:hint="default"/>
        <w:lang w:val="en-US" w:eastAsia="en-US" w:bidi="ar-SA"/>
      </w:rPr>
    </w:lvl>
  </w:abstractNum>
  <w:abstractNum w:abstractNumId="24" w15:restartNumberingAfterBreak="0">
    <w:nsid w:val="09577131"/>
    <w:multiLevelType w:val="multilevel"/>
    <w:tmpl w:val="3A66C568"/>
    <w:lvl w:ilvl="0">
      <w:start w:val="6"/>
      <w:numFmt w:val="decimal"/>
      <w:lvlText w:val="%1"/>
      <w:lvlJc w:val="left"/>
      <w:pPr>
        <w:ind w:left="138" w:hanging="767"/>
      </w:pPr>
      <w:rPr>
        <w:rFonts w:hint="default"/>
        <w:lang w:val="en-US" w:eastAsia="en-US" w:bidi="ar-SA"/>
      </w:rPr>
    </w:lvl>
    <w:lvl w:ilvl="1">
      <w:start w:val="9"/>
      <w:numFmt w:val="decimal"/>
      <w:lvlText w:val="%1.%2"/>
      <w:lvlJc w:val="left"/>
      <w:pPr>
        <w:ind w:left="138" w:hanging="767"/>
      </w:pPr>
      <w:rPr>
        <w:rFonts w:hint="default"/>
        <w:lang w:val="en-US" w:eastAsia="en-US" w:bidi="ar-SA"/>
      </w:rPr>
    </w:lvl>
    <w:lvl w:ilvl="2">
      <w:start w:val="2"/>
      <w:numFmt w:val="decimal"/>
      <w:lvlText w:val="%1.%2.%3"/>
      <w:lvlJc w:val="left"/>
      <w:pPr>
        <w:ind w:left="138" w:hanging="767"/>
      </w:pPr>
      <w:rPr>
        <w:rFonts w:hint="default"/>
        <w:lang w:val="en-US" w:eastAsia="en-US" w:bidi="ar-SA"/>
      </w:rPr>
    </w:lvl>
    <w:lvl w:ilvl="3">
      <w:start w:val="1"/>
      <w:numFmt w:val="decimal"/>
      <w:lvlText w:val="%1.%2.%3.%4"/>
      <w:lvlJc w:val="left"/>
      <w:pPr>
        <w:ind w:left="138" w:hanging="767"/>
      </w:pPr>
      <w:rPr>
        <w:rFonts w:ascii="Arial" w:eastAsia="Arial" w:hAnsi="Arial" w:cs="Arial" w:hint="default"/>
        <w:b/>
        <w:bCs/>
        <w:color w:val="231F20"/>
        <w:spacing w:val="-29"/>
        <w:w w:val="99"/>
        <w:sz w:val="22"/>
        <w:szCs w:val="22"/>
        <w:lang w:val="en-US" w:eastAsia="en-US" w:bidi="ar-SA"/>
      </w:rPr>
    </w:lvl>
    <w:lvl w:ilvl="4">
      <w:numFmt w:val="bullet"/>
      <w:lvlText w:val="•"/>
      <w:lvlJc w:val="left"/>
      <w:pPr>
        <w:ind w:left="3966" w:hanging="767"/>
      </w:pPr>
      <w:rPr>
        <w:rFonts w:hint="default"/>
        <w:lang w:val="en-US" w:eastAsia="en-US" w:bidi="ar-SA"/>
      </w:rPr>
    </w:lvl>
    <w:lvl w:ilvl="5">
      <w:numFmt w:val="bullet"/>
      <w:lvlText w:val="•"/>
      <w:lvlJc w:val="left"/>
      <w:pPr>
        <w:ind w:left="4922" w:hanging="767"/>
      </w:pPr>
      <w:rPr>
        <w:rFonts w:hint="default"/>
        <w:lang w:val="en-US" w:eastAsia="en-US" w:bidi="ar-SA"/>
      </w:rPr>
    </w:lvl>
    <w:lvl w:ilvl="6">
      <w:numFmt w:val="bullet"/>
      <w:lvlText w:val="•"/>
      <w:lvlJc w:val="left"/>
      <w:pPr>
        <w:ind w:left="5879" w:hanging="767"/>
      </w:pPr>
      <w:rPr>
        <w:rFonts w:hint="default"/>
        <w:lang w:val="en-US" w:eastAsia="en-US" w:bidi="ar-SA"/>
      </w:rPr>
    </w:lvl>
    <w:lvl w:ilvl="7">
      <w:numFmt w:val="bullet"/>
      <w:lvlText w:val="•"/>
      <w:lvlJc w:val="left"/>
      <w:pPr>
        <w:ind w:left="6835" w:hanging="767"/>
      </w:pPr>
      <w:rPr>
        <w:rFonts w:hint="default"/>
        <w:lang w:val="en-US" w:eastAsia="en-US" w:bidi="ar-SA"/>
      </w:rPr>
    </w:lvl>
    <w:lvl w:ilvl="8">
      <w:numFmt w:val="bullet"/>
      <w:lvlText w:val="•"/>
      <w:lvlJc w:val="left"/>
      <w:pPr>
        <w:ind w:left="7792" w:hanging="767"/>
      </w:pPr>
      <w:rPr>
        <w:rFonts w:hint="default"/>
        <w:lang w:val="en-US" w:eastAsia="en-US" w:bidi="ar-SA"/>
      </w:rPr>
    </w:lvl>
  </w:abstractNum>
  <w:abstractNum w:abstractNumId="25" w15:restartNumberingAfterBreak="0">
    <w:nsid w:val="0A022F3F"/>
    <w:multiLevelType w:val="hybridMultilevel"/>
    <w:tmpl w:val="8E5AC01C"/>
    <w:lvl w:ilvl="0" w:tplc="A12ED0C4">
      <w:start w:val="1"/>
      <w:numFmt w:val="decimal"/>
      <w:lvlText w:val="%1."/>
      <w:lvlJc w:val="left"/>
      <w:pPr>
        <w:ind w:left="176" w:hanging="177"/>
      </w:pPr>
      <w:rPr>
        <w:rFonts w:ascii="Carlito" w:eastAsia="Carlito" w:hAnsi="Carlito" w:cs="Carlito" w:hint="default"/>
        <w:b/>
        <w:bCs/>
        <w:color w:val="231F20"/>
        <w:spacing w:val="-1"/>
        <w:w w:val="92"/>
        <w:sz w:val="19"/>
        <w:szCs w:val="19"/>
        <w:lang w:val="en-US" w:eastAsia="en-US" w:bidi="ar-SA"/>
      </w:rPr>
    </w:lvl>
    <w:lvl w:ilvl="1" w:tplc="A7F4CB56">
      <w:numFmt w:val="bullet"/>
      <w:lvlText w:val="•"/>
      <w:lvlJc w:val="left"/>
      <w:pPr>
        <w:ind w:left="266" w:hanging="177"/>
      </w:pPr>
      <w:rPr>
        <w:rFonts w:hint="default"/>
        <w:lang w:val="en-US" w:eastAsia="en-US" w:bidi="ar-SA"/>
      </w:rPr>
    </w:lvl>
    <w:lvl w:ilvl="2" w:tplc="43F22F38">
      <w:numFmt w:val="bullet"/>
      <w:lvlText w:val="•"/>
      <w:lvlJc w:val="left"/>
      <w:pPr>
        <w:ind w:left="353" w:hanging="177"/>
      </w:pPr>
      <w:rPr>
        <w:rFonts w:hint="default"/>
        <w:lang w:val="en-US" w:eastAsia="en-US" w:bidi="ar-SA"/>
      </w:rPr>
    </w:lvl>
    <w:lvl w:ilvl="3" w:tplc="E5D60260">
      <w:numFmt w:val="bullet"/>
      <w:lvlText w:val="•"/>
      <w:lvlJc w:val="left"/>
      <w:pPr>
        <w:ind w:left="440" w:hanging="177"/>
      </w:pPr>
      <w:rPr>
        <w:rFonts w:hint="default"/>
        <w:lang w:val="en-US" w:eastAsia="en-US" w:bidi="ar-SA"/>
      </w:rPr>
    </w:lvl>
    <w:lvl w:ilvl="4" w:tplc="726ABAF0">
      <w:numFmt w:val="bullet"/>
      <w:lvlText w:val="•"/>
      <w:lvlJc w:val="left"/>
      <w:pPr>
        <w:ind w:left="527" w:hanging="177"/>
      </w:pPr>
      <w:rPr>
        <w:rFonts w:hint="default"/>
        <w:lang w:val="en-US" w:eastAsia="en-US" w:bidi="ar-SA"/>
      </w:rPr>
    </w:lvl>
    <w:lvl w:ilvl="5" w:tplc="40FA21C8">
      <w:numFmt w:val="bullet"/>
      <w:lvlText w:val="•"/>
      <w:lvlJc w:val="left"/>
      <w:pPr>
        <w:ind w:left="614" w:hanging="177"/>
      </w:pPr>
      <w:rPr>
        <w:rFonts w:hint="default"/>
        <w:lang w:val="en-US" w:eastAsia="en-US" w:bidi="ar-SA"/>
      </w:rPr>
    </w:lvl>
    <w:lvl w:ilvl="6" w:tplc="40F8CA7C">
      <w:numFmt w:val="bullet"/>
      <w:lvlText w:val="•"/>
      <w:lvlJc w:val="left"/>
      <w:pPr>
        <w:ind w:left="701" w:hanging="177"/>
      </w:pPr>
      <w:rPr>
        <w:rFonts w:hint="default"/>
        <w:lang w:val="en-US" w:eastAsia="en-US" w:bidi="ar-SA"/>
      </w:rPr>
    </w:lvl>
    <w:lvl w:ilvl="7" w:tplc="B044AB3C">
      <w:numFmt w:val="bullet"/>
      <w:lvlText w:val="•"/>
      <w:lvlJc w:val="left"/>
      <w:pPr>
        <w:ind w:left="788" w:hanging="177"/>
      </w:pPr>
      <w:rPr>
        <w:rFonts w:hint="default"/>
        <w:lang w:val="en-US" w:eastAsia="en-US" w:bidi="ar-SA"/>
      </w:rPr>
    </w:lvl>
    <w:lvl w:ilvl="8" w:tplc="AFA82B70">
      <w:numFmt w:val="bullet"/>
      <w:lvlText w:val="•"/>
      <w:lvlJc w:val="left"/>
      <w:pPr>
        <w:ind w:left="875" w:hanging="177"/>
      </w:pPr>
      <w:rPr>
        <w:rFonts w:hint="default"/>
        <w:lang w:val="en-US" w:eastAsia="en-US" w:bidi="ar-SA"/>
      </w:rPr>
    </w:lvl>
  </w:abstractNum>
  <w:abstractNum w:abstractNumId="26" w15:restartNumberingAfterBreak="0">
    <w:nsid w:val="0B0A31D2"/>
    <w:multiLevelType w:val="hybridMultilevel"/>
    <w:tmpl w:val="FB406A42"/>
    <w:lvl w:ilvl="0" w:tplc="D8C22122">
      <w:numFmt w:val="bullet"/>
      <w:lvlText w:val="•"/>
      <w:lvlJc w:val="left"/>
      <w:pPr>
        <w:ind w:left="23" w:hanging="77"/>
      </w:pPr>
      <w:rPr>
        <w:rFonts w:ascii="Arial" w:eastAsia="Arial" w:hAnsi="Arial" w:cs="Arial" w:hint="default"/>
        <w:color w:val="231F20"/>
        <w:w w:val="67"/>
        <w:sz w:val="18"/>
        <w:szCs w:val="18"/>
        <w:lang w:val="en-US" w:eastAsia="en-US" w:bidi="ar-SA"/>
      </w:rPr>
    </w:lvl>
    <w:lvl w:ilvl="1" w:tplc="7C2E523E">
      <w:numFmt w:val="bullet"/>
      <w:lvlText w:val="•"/>
      <w:lvlJc w:val="left"/>
      <w:pPr>
        <w:ind w:left="260" w:hanging="77"/>
      </w:pPr>
      <w:rPr>
        <w:rFonts w:hint="default"/>
        <w:lang w:val="en-US" w:eastAsia="en-US" w:bidi="ar-SA"/>
      </w:rPr>
    </w:lvl>
    <w:lvl w:ilvl="2" w:tplc="9F3E925C">
      <w:numFmt w:val="bullet"/>
      <w:lvlText w:val="•"/>
      <w:lvlJc w:val="left"/>
      <w:pPr>
        <w:ind w:left="500" w:hanging="77"/>
      </w:pPr>
      <w:rPr>
        <w:rFonts w:hint="default"/>
        <w:lang w:val="en-US" w:eastAsia="en-US" w:bidi="ar-SA"/>
      </w:rPr>
    </w:lvl>
    <w:lvl w:ilvl="3" w:tplc="49B03E9A">
      <w:numFmt w:val="bullet"/>
      <w:lvlText w:val="•"/>
      <w:lvlJc w:val="left"/>
      <w:pPr>
        <w:ind w:left="740" w:hanging="77"/>
      </w:pPr>
      <w:rPr>
        <w:rFonts w:hint="default"/>
        <w:lang w:val="en-US" w:eastAsia="en-US" w:bidi="ar-SA"/>
      </w:rPr>
    </w:lvl>
    <w:lvl w:ilvl="4" w:tplc="2D207A6E">
      <w:numFmt w:val="bullet"/>
      <w:lvlText w:val="•"/>
      <w:lvlJc w:val="left"/>
      <w:pPr>
        <w:ind w:left="980" w:hanging="77"/>
      </w:pPr>
      <w:rPr>
        <w:rFonts w:hint="default"/>
        <w:lang w:val="en-US" w:eastAsia="en-US" w:bidi="ar-SA"/>
      </w:rPr>
    </w:lvl>
    <w:lvl w:ilvl="5" w:tplc="5BA08680">
      <w:numFmt w:val="bullet"/>
      <w:lvlText w:val="•"/>
      <w:lvlJc w:val="left"/>
      <w:pPr>
        <w:ind w:left="1220" w:hanging="77"/>
      </w:pPr>
      <w:rPr>
        <w:rFonts w:hint="default"/>
        <w:lang w:val="en-US" w:eastAsia="en-US" w:bidi="ar-SA"/>
      </w:rPr>
    </w:lvl>
    <w:lvl w:ilvl="6" w:tplc="3D1A6CF0">
      <w:numFmt w:val="bullet"/>
      <w:lvlText w:val="•"/>
      <w:lvlJc w:val="left"/>
      <w:pPr>
        <w:ind w:left="1460" w:hanging="77"/>
      </w:pPr>
      <w:rPr>
        <w:rFonts w:hint="default"/>
        <w:lang w:val="en-US" w:eastAsia="en-US" w:bidi="ar-SA"/>
      </w:rPr>
    </w:lvl>
    <w:lvl w:ilvl="7" w:tplc="92B0F914">
      <w:numFmt w:val="bullet"/>
      <w:lvlText w:val="•"/>
      <w:lvlJc w:val="left"/>
      <w:pPr>
        <w:ind w:left="1700" w:hanging="77"/>
      </w:pPr>
      <w:rPr>
        <w:rFonts w:hint="default"/>
        <w:lang w:val="en-US" w:eastAsia="en-US" w:bidi="ar-SA"/>
      </w:rPr>
    </w:lvl>
    <w:lvl w:ilvl="8" w:tplc="221845A8">
      <w:numFmt w:val="bullet"/>
      <w:lvlText w:val="•"/>
      <w:lvlJc w:val="left"/>
      <w:pPr>
        <w:ind w:left="1940" w:hanging="77"/>
      </w:pPr>
      <w:rPr>
        <w:rFonts w:hint="default"/>
        <w:lang w:val="en-US" w:eastAsia="en-US" w:bidi="ar-SA"/>
      </w:rPr>
    </w:lvl>
  </w:abstractNum>
  <w:abstractNum w:abstractNumId="27" w15:restartNumberingAfterBreak="0">
    <w:nsid w:val="0B6D7DD7"/>
    <w:multiLevelType w:val="hybridMultilevel"/>
    <w:tmpl w:val="02360EFE"/>
    <w:lvl w:ilvl="0" w:tplc="685AD638">
      <w:numFmt w:val="bullet"/>
      <w:lvlText w:val="•"/>
      <w:lvlJc w:val="left"/>
      <w:pPr>
        <w:ind w:left="23" w:hanging="74"/>
      </w:pPr>
      <w:rPr>
        <w:rFonts w:ascii="Arial" w:eastAsia="Arial" w:hAnsi="Arial" w:cs="Arial" w:hint="default"/>
        <w:color w:val="231F20"/>
        <w:w w:val="67"/>
        <w:sz w:val="18"/>
        <w:szCs w:val="18"/>
        <w:lang w:val="en-US" w:eastAsia="en-US" w:bidi="ar-SA"/>
      </w:rPr>
    </w:lvl>
    <w:lvl w:ilvl="1" w:tplc="A71A17C4">
      <w:numFmt w:val="bullet"/>
      <w:lvlText w:val="•"/>
      <w:lvlJc w:val="left"/>
      <w:pPr>
        <w:ind w:left="260" w:hanging="74"/>
      </w:pPr>
      <w:rPr>
        <w:rFonts w:hint="default"/>
        <w:lang w:val="en-US" w:eastAsia="en-US" w:bidi="ar-SA"/>
      </w:rPr>
    </w:lvl>
    <w:lvl w:ilvl="2" w:tplc="225ECF9E">
      <w:numFmt w:val="bullet"/>
      <w:lvlText w:val="•"/>
      <w:lvlJc w:val="left"/>
      <w:pPr>
        <w:ind w:left="500" w:hanging="74"/>
      </w:pPr>
      <w:rPr>
        <w:rFonts w:hint="default"/>
        <w:lang w:val="en-US" w:eastAsia="en-US" w:bidi="ar-SA"/>
      </w:rPr>
    </w:lvl>
    <w:lvl w:ilvl="3" w:tplc="937C77A6">
      <w:numFmt w:val="bullet"/>
      <w:lvlText w:val="•"/>
      <w:lvlJc w:val="left"/>
      <w:pPr>
        <w:ind w:left="740" w:hanging="74"/>
      </w:pPr>
      <w:rPr>
        <w:rFonts w:hint="default"/>
        <w:lang w:val="en-US" w:eastAsia="en-US" w:bidi="ar-SA"/>
      </w:rPr>
    </w:lvl>
    <w:lvl w:ilvl="4" w:tplc="C0BCA14A">
      <w:numFmt w:val="bullet"/>
      <w:lvlText w:val="•"/>
      <w:lvlJc w:val="left"/>
      <w:pPr>
        <w:ind w:left="980" w:hanging="74"/>
      </w:pPr>
      <w:rPr>
        <w:rFonts w:hint="default"/>
        <w:lang w:val="en-US" w:eastAsia="en-US" w:bidi="ar-SA"/>
      </w:rPr>
    </w:lvl>
    <w:lvl w:ilvl="5" w:tplc="12E059B2">
      <w:numFmt w:val="bullet"/>
      <w:lvlText w:val="•"/>
      <w:lvlJc w:val="left"/>
      <w:pPr>
        <w:ind w:left="1220" w:hanging="74"/>
      </w:pPr>
      <w:rPr>
        <w:rFonts w:hint="default"/>
        <w:lang w:val="en-US" w:eastAsia="en-US" w:bidi="ar-SA"/>
      </w:rPr>
    </w:lvl>
    <w:lvl w:ilvl="6" w:tplc="98EE7316">
      <w:numFmt w:val="bullet"/>
      <w:lvlText w:val="•"/>
      <w:lvlJc w:val="left"/>
      <w:pPr>
        <w:ind w:left="1460" w:hanging="74"/>
      </w:pPr>
      <w:rPr>
        <w:rFonts w:hint="default"/>
        <w:lang w:val="en-US" w:eastAsia="en-US" w:bidi="ar-SA"/>
      </w:rPr>
    </w:lvl>
    <w:lvl w:ilvl="7" w:tplc="6F464B48">
      <w:numFmt w:val="bullet"/>
      <w:lvlText w:val="•"/>
      <w:lvlJc w:val="left"/>
      <w:pPr>
        <w:ind w:left="1700" w:hanging="74"/>
      </w:pPr>
      <w:rPr>
        <w:rFonts w:hint="default"/>
        <w:lang w:val="en-US" w:eastAsia="en-US" w:bidi="ar-SA"/>
      </w:rPr>
    </w:lvl>
    <w:lvl w:ilvl="8" w:tplc="8C2280BC">
      <w:numFmt w:val="bullet"/>
      <w:lvlText w:val="•"/>
      <w:lvlJc w:val="left"/>
      <w:pPr>
        <w:ind w:left="1940" w:hanging="74"/>
      </w:pPr>
      <w:rPr>
        <w:rFonts w:hint="default"/>
        <w:lang w:val="en-US" w:eastAsia="en-US" w:bidi="ar-SA"/>
      </w:rPr>
    </w:lvl>
  </w:abstractNum>
  <w:abstractNum w:abstractNumId="28" w15:restartNumberingAfterBreak="0">
    <w:nsid w:val="0B810BE8"/>
    <w:multiLevelType w:val="hybridMultilevel"/>
    <w:tmpl w:val="ED46140A"/>
    <w:lvl w:ilvl="0" w:tplc="0BDEAD26">
      <w:start w:val="1"/>
      <w:numFmt w:val="lowerLetter"/>
      <w:lvlText w:val="%1."/>
      <w:lvlJc w:val="left"/>
      <w:pPr>
        <w:ind w:left="878" w:hanging="360"/>
      </w:pPr>
      <w:rPr>
        <w:rFonts w:ascii="Arial" w:eastAsia="Arial" w:hAnsi="Arial" w:cs="Arial" w:hint="default"/>
        <w:color w:val="231F20"/>
        <w:spacing w:val="-25"/>
        <w:w w:val="99"/>
        <w:sz w:val="22"/>
        <w:szCs w:val="22"/>
        <w:lang w:val="en-US" w:eastAsia="en-US" w:bidi="ar-SA"/>
      </w:rPr>
    </w:lvl>
    <w:lvl w:ilvl="1" w:tplc="2DF44326">
      <w:numFmt w:val="bullet"/>
      <w:lvlText w:val="•"/>
      <w:lvlJc w:val="left"/>
      <w:pPr>
        <w:ind w:left="1762" w:hanging="360"/>
      </w:pPr>
      <w:rPr>
        <w:rFonts w:hint="default"/>
        <w:lang w:val="en-US" w:eastAsia="en-US" w:bidi="ar-SA"/>
      </w:rPr>
    </w:lvl>
    <w:lvl w:ilvl="2" w:tplc="951CC98C">
      <w:numFmt w:val="bullet"/>
      <w:lvlText w:val="•"/>
      <w:lvlJc w:val="left"/>
      <w:pPr>
        <w:ind w:left="2645" w:hanging="360"/>
      </w:pPr>
      <w:rPr>
        <w:rFonts w:hint="default"/>
        <w:lang w:val="en-US" w:eastAsia="en-US" w:bidi="ar-SA"/>
      </w:rPr>
    </w:lvl>
    <w:lvl w:ilvl="3" w:tplc="855478D2">
      <w:numFmt w:val="bullet"/>
      <w:lvlText w:val="•"/>
      <w:lvlJc w:val="left"/>
      <w:pPr>
        <w:ind w:left="3527" w:hanging="360"/>
      </w:pPr>
      <w:rPr>
        <w:rFonts w:hint="default"/>
        <w:lang w:val="en-US" w:eastAsia="en-US" w:bidi="ar-SA"/>
      </w:rPr>
    </w:lvl>
    <w:lvl w:ilvl="4" w:tplc="B3B0D752">
      <w:numFmt w:val="bullet"/>
      <w:lvlText w:val="•"/>
      <w:lvlJc w:val="left"/>
      <w:pPr>
        <w:ind w:left="4410" w:hanging="360"/>
      </w:pPr>
      <w:rPr>
        <w:rFonts w:hint="default"/>
        <w:lang w:val="en-US" w:eastAsia="en-US" w:bidi="ar-SA"/>
      </w:rPr>
    </w:lvl>
    <w:lvl w:ilvl="5" w:tplc="17BA9760">
      <w:numFmt w:val="bullet"/>
      <w:lvlText w:val="•"/>
      <w:lvlJc w:val="left"/>
      <w:pPr>
        <w:ind w:left="5292" w:hanging="360"/>
      </w:pPr>
      <w:rPr>
        <w:rFonts w:hint="default"/>
        <w:lang w:val="en-US" w:eastAsia="en-US" w:bidi="ar-SA"/>
      </w:rPr>
    </w:lvl>
    <w:lvl w:ilvl="6" w:tplc="B25E39A4">
      <w:numFmt w:val="bullet"/>
      <w:lvlText w:val="•"/>
      <w:lvlJc w:val="left"/>
      <w:pPr>
        <w:ind w:left="6175" w:hanging="360"/>
      </w:pPr>
      <w:rPr>
        <w:rFonts w:hint="default"/>
        <w:lang w:val="en-US" w:eastAsia="en-US" w:bidi="ar-SA"/>
      </w:rPr>
    </w:lvl>
    <w:lvl w:ilvl="7" w:tplc="D8AE19BC">
      <w:numFmt w:val="bullet"/>
      <w:lvlText w:val="•"/>
      <w:lvlJc w:val="left"/>
      <w:pPr>
        <w:ind w:left="7057" w:hanging="360"/>
      </w:pPr>
      <w:rPr>
        <w:rFonts w:hint="default"/>
        <w:lang w:val="en-US" w:eastAsia="en-US" w:bidi="ar-SA"/>
      </w:rPr>
    </w:lvl>
    <w:lvl w:ilvl="8" w:tplc="B37061A8">
      <w:numFmt w:val="bullet"/>
      <w:lvlText w:val="•"/>
      <w:lvlJc w:val="left"/>
      <w:pPr>
        <w:ind w:left="7940" w:hanging="360"/>
      </w:pPr>
      <w:rPr>
        <w:rFonts w:hint="default"/>
        <w:lang w:val="en-US" w:eastAsia="en-US" w:bidi="ar-SA"/>
      </w:rPr>
    </w:lvl>
  </w:abstractNum>
  <w:abstractNum w:abstractNumId="29" w15:restartNumberingAfterBreak="0">
    <w:nsid w:val="0B865011"/>
    <w:multiLevelType w:val="multilevel"/>
    <w:tmpl w:val="C4E88E10"/>
    <w:lvl w:ilvl="0">
      <w:start w:val="5"/>
      <w:numFmt w:val="decimal"/>
      <w:lvlText w:val="%1"/>
      <w:lvlJc w:val="left"/>
      <w:pPr>
        <w:ind w:left="134" w:hanging="719"/>
      </w:pPr>
      <w:rPr>
        <w:rFonts w:hint="default"/>
        <w:lang w:val="en-US" w:eastAsia="en-US" w:bidi="ar-SA"/>
      </w:rPr>
    </w:lvl>
    <w:lvl w:ilvl="1">
      <w:start w:val="6"/>
      <w:numFmt w:val="decimal"/>
      <w:lvlText w:val="%1.%2"/>
      <w:lvlJc w:val="left"/>
      <w:pPr>
        <w:ind w:left="134" w:hanging="719"/>
      </w:pPr>
      <w:rPr>
        <w:rFonts w:hint="default"/>
        <w:lang w:val="en-US" w:eastAsia="en-US" w:bidi="ar-SA"/>
      </w:rPr>
    </w:lvl>
    <w:lvl w:ilvl="2">
      <w:start w:val="4"/>
      <w:numFmt w:val="decimal"/>
      <w:lvlText w:val="%1.%2.%3"/>
      <w:lvlJc w:val="left"/>
      <w:pPr>
        <w:ind w:left="134" w:hanging="719"/>
      </w:pPr>
      <w:rPr>
        <w:rFonts w:hint="default"/>
        <w:lang w:val="en-US" w:eastAsia="en-US" w:bidi="ar-SA"/>
      </w:rPr>
    </w:lvl>
    <w:lvl w:ilvl="3">
      <w:start w:val="1"/>
      <w:numFmt w:val="decimal"/>
      <w:lvlText w:val="%1.%2.%3.%4"/>
      <w:lvlJc w:val="left"/>
      <w:pPr>
        <w:ind w:left="134" w:hanging="719"/>
      </w:pPr>
      <w:rPr>
        <w:rFonts w:ascii="Arial" w:eastAsia="Arial" w:hAnsi="Arial" w:cs="Arial" w:hint="default"/>
        <w:color w:val="231F20"/>
        <w:w w:val="99"/>
        <w:sz w:val="22"/>
        <w:szCs w:val="22"/>
        <w:lang w:val="en-US" w:eastAsia="en-US" w:bidi="ar-SA"/>
      </w:rPr>
    </w:lvl>
    <w:lvl w:ilvl="4">
      <w:numFmt w:val="bullet"/>
      <w:lvlText w:val="•"/>
      <w:lvlJc w:val="left"/>
      <w:pPr>
        <w:ind w:left="3966" w:hanging="719"/>
      </w:pPr>
      <w:rPr>
        <w:rFonts w:hint="default"/>
        <w:lang w:val="en-US" w:eastAsia="en-US" w:bidi="ar-SA"/>
      </w:rPr>
    </w:lvl>
    <w:lvl w:ilvl="5">
      <w:numFmt w:val="bullet"/>
      <w:lvlText w:val="•"/>
      <w:lvlJc w:val="left"/>
      <w:pPr>
        <w:ind w:left="4922" w:hanging="719"/>
      </w:pPr>
      <w:rPr>
        <w:rFonts w:hint="default"/>
        <w:lang w:val="en-US" w:eastAsia="en-US" w:bidi="ar-SA"/>
      </w:rPr>
    </w:lvl>
    <w:lvl w:ilvl="6">
      <w:numFmt w:val="bullet"/>
      <w:lvlText w:val="•"/>
      <w:lvlJc w:val="left"/>
      <w:pPr>
        <w:ind w:left="5879" w:hanging="719"/>
      </w:pPr>
      <w:rPr>
        <w:rFonts w:hint="default"/>
        <w:lang w:val="en-US" w:eastAsia="en-US" w:bidi="ar-SA"/>
      </w:rPr>
    </w:lvl>
    <w:lvl w:ilvl="7">
      <w:numFmt w:val="bullet"/>
      <w:lvlText w:val="•"/>
      <w:lvlJc w:val="left"/>
      <w:pPr>
        <w:ind w:left="6835" w:hanging="719"/>
      </w:pPr>
      <w:rPr>
        <w:rFonts w:hint="default"/>
        <w:lang w:val="en-US" w:eastAsia="en-US" w:bidi="ar-SA"/>
      </w:rPr>
    </w:lvl>
    <w:lvl w:ilvl="8">
      <w:numFmt w:val="bullet"/>
      <w:lvlText w:val="•"/>
      <w:lvlJc w:val="left"/>
      <w:pPr>
        <w:ind w:left="7792" w:hanging="719"/>
      </w:pPr>
      <w:rPr>
        <w:rFonts w:hint="default"/>
        <w:lang w:val="en-US" w:eastAsia="en-US" w:bidi="ar-SA"/>
      </w:rPr>
    </w:lvl>
  </w:abstractNum>
  <w:abstractNum w:abstractNumId="30" w15:restartNumberingAfterBreak="0">
    <w:nsid w:val="0BF44ACD"/>
    <w:multiLevelType w:val="multilevel"/>
    <w:tmpl w:val="9828C6A0"/>
    <w:lvl w:ilvl="0">
      <w:start w:val="2"/>
      <w:numFmt w:val="decimal"/>
      <w:lvlText w:val="%1"/>
      <w:lvlJc w:val="left"/>
      <w:pPr>
        <w:ind w:left="880" w:hanging="720"/>
      </w:pPr>
      <w:rPr>
        <w:rFonts w:hint="default"/>
        <w:lang w:val="en-US" w:eastAsia="en-US" w:bidi="ar-SA"/>
      </w:rPr>
    </w:lvl>
    <w:lvl w:ilvl="1">
      <w:start w:val="3"/>
      <w:numFmt w:val="decimal"/>
      <w:lvlText w:val="%1.%2"/>
      <w:lvlJc w:val="left"/>
      <w:pPr>
        <w:ind w:left="880" w:hanging="720"/>
      </w:pPr>
      <w:rPr>
        <w:rFonts w:hint="default"/>
        <w:lang w:val="en-US" w:eastAsia="en-US" w:bidi="ar-SA"/>
      </w:rPr>
    </w:lvl>
    <w:lvl w:ilvl="2">
      <w:start w:val="5"/>
      <w:numFmt w:val="decimal"/>
      <w:lvlText w:val="%1.%2.%3"/>
      <w:lvlJc w:val="left"/>
      <w:pPr>
        <w:ind w:left="880" w:hanging="720"/>
      </w:pPr>
      <w:rPr>
        <w:rFonts w:ascii="Arial" w:eastAsia="Arial" w:hAnsi="Arial" w:cs="Arial" w:hint="default"/>
        <w:b/>
        <w:bCs/>
        <w:color w:val="231F20"/>
        <w:spacing w:val="-25"/>
        <w:w w:val="99"/>
        <w:sz w:val="22"/>
        <w:szCs w:val="22"/>
        <w:lang w:val="en-US" w:eastAsia="en-US" w:bidi="ar-SA"/>
      </w:rPr>
    </w:lvl>
    <w:lvl w:ilvl="3">
      <w:start w:val="1"/>
      <w:numFmt w:val="decimal"/>
      <w:lvlText w:val="%4."/>
      <w:lvlJc w:val="left"/>
      <w:pPr>
        <w:ind w:left="880" w:hanging="360"/>
      </w:pPr>
      <w:rPr>
        <w:rFonts w:ascii="Arial" w:eastAsia="Arial" w:hAnsi="Arial" w:cs="Arial" w:hint="default"/>
        <w:color w:val="231F20"/>
        <w:spacing w:val="-7"/>
        <w:w w:val="99"/>
        <w:sz w:val="22"/>
        <w:szCs w:val="22"/>
        <w:lang w:val="en-US" w:eastAsia="en-US" w:bidi="ar-SA"/>
      </w:rPr>
    </w:lvl>
    <w:lvl w:ilvl="4">
      <w:numFmt w:val="bullet"/>
      <w:lvlText w:val="•"/>
      <w:lvlJc w:val="left"/>
      <w:pPr>
        <w:ind w:left="4410" w:hanging="360"/>
      </w:pPr>
      <w:rPr>
        <w:rFonts w:hint="default"/>
        <w:lang w:val="en-US" w:eastAsia="en-US" w:bidi="ar-SA"/>
      </w:rPr>
    </w:lvl>
    <w:lvl w:ilvl="5">
      <w:numFmt w:val="bullet"/>
      <w:lvlText w:val="•"/>
      <w:lvlJc w:val="left"/>
      <w:pPr>
        <w:ind w:left="5292"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7940" w:hanging="360"/>
      </w:pPr>
      <w:rPr>
        <w:rFonts w:hint="default"/>
        <w:lang w:val="en-US" w:eastAsia="en-US" w:bidi="ar-SA"/>
      </w:rPr>
    </w:lvl>
  </w:abstractNum>
  <w:abstractNum w:abstractNumId="31" w15:restartNumberingAfterBreak="0">
    <w:nsid w:val="0C60670C"/>
    <w:multiLevelType w:val="multilevel"/>
    <w:tmpl w:val="A38807F8"/>
    <w:lvl w:ilvl="0">
      <w:start w:val="7"/>
      <w:numFmt w:val="decimal"/>
      <w:lvlText w:val="%1"/>
      <w:lvlJc w:val="left"/>
      <w:pPr>
        <w:ind w:left="653" w:hanging="465"/>
      </w:pPr>
      <w:rPr>
        <w:rFonts w:hint="default"/>
        <w:lang w:val="en-US" w:eastAsia="en-US" w:bidi="ar-SA"/>
      </w:rPr>
    </w:lvl>
    <w:lvl w:ilvl="1">
      <w:start w:val="14"/>
      <w:numFmt w:val="decimal"/>
      <w:lvlText w:val="%1.%2"/>
      <w:lvlJc w:val="left"/>
      <w:pPr>
        <w:ind w:left="653" w:hanging="465"/>
      </w:pPr>
      <w:rPr>
        <w:rFonts w:ascii="Arial" w:eastAsia="Arial" w:hAnsi="Arial" w:cs="Arial" w:hint="default"/>
        <w:b/>
        <w:bCs/>
        <w:color w:val="231F20"/>
        <w:w w:val="99"/>
        <w:sz w:val="22"/>
        <w:szCs w:val="22"/>
        <w:lang w:val="en-US" w:eastAsia="en-US" w:bidi="ar-SA"/>
      </w:rPr>
    </w:lvl>
    <w:lvl w:ilvl="2">
      <w:start w:val="1"/>
      <w:numFmt w:val="decimal"/>
      <w:lvlText w:val="%1.%2.%3"/>
      <w:lvlJc w:val="left"/>
      <w:pPr>
        <w:ind w:left="188" w:hanging="649"/>
      </w:pPr>
      <w:rPr>
        <w:rFonts w:ascii="Arial" w:eastAsia="Arial" w:hAnsi="Arial" w:cs="Arial" w:hint="default"/>
        <w:b/>
        <w:bCs/>
        <w:color w:val="231F20"/>
        <w:w w:val="99"/>
        <w:sz w:val="22"/>
        <w:szCs w:val="22"/>
        <w:lang w:val="en-US" w:eastAsia="en-US" w:bidi="ar-SA"/>
      </w:rPr>
    </w:lvl>
    <w:lvl w:ilvl="3">
      <w:start w:val="1"/>
      <w:numFmt w:val="decimal"/>
      <w:lvlText w:val="%1.%2.%3.%4"/>
      <w:lvlJc w:val="left"/>
      <w:pPr>
        <w:ind w:left="134" w:hanging="837"/>
      </w:pPr>
      <w:rPr>
        <w:rFonts w:ascii="Arial" w:eastAsia="Arial" w:hAnsi="Arial" w:cs="Arial" w:hint="default"/>
        <w:b/>
        <w:bCs/>
        <w:color w:val="231F20"/>
        <w:w w:val="99"/>
        <w:sz w:val="22"/>
        <w:szCs w:val="22"/>
        <w:lang w:val="en-US" w:eastAsia="en-US" w:bidi="ar-SA"/>
      </w:rPr>
    </w:lvl>
    <w:lvl w:ilvl="4">
      <w:numFmt w:val="bullet"/>
      <w:lvlText w:val="•"/>
      <w:lvlJc w:val="left"/>
      <w:pPr>
        <w:ind w:left="2921" w:hanging="837"/>
      </w:pPr>
      <w:rPr>
        <w:rFonts w:hint="default"/>
        <w:lang w:val="en-US" w:eastAsia="en-US" w:bidi="ar-SA"/>
      </w:rPr>
    </w:lvl>
    <w:lvl w:ilvl="5">
      <w:numFmt w:val="bullet"/>
      <w:lvlText w:val="•"/>
      <w:lvlJc w:val="left"/>
      <w:pPr>
        <w:ind w:left="4052" w:hanging="837"/>
      </w:pPr>
      <w:rPr>
        <w:rFonts w:hint="default"/>
        <w:lang w:val="en-US" w:eastAsia="en-US" w:bidi="ar-SA"/>
      </w:rPr>
    </w:lvl>
    <w:lvl w:ilvl="6">
      <w:numFmt w:val="bullet"/>
      <w:lvlText w:val="•"/>
      <w:lvlJc w:val="left"/>
      <w:pPr>
        <w:ind w:left="5182" w:hanging="837"/>
      </w:pPr>
      <w:rPr>
        <w:rFonts w:hint="default"/>
        <w:lang w:val="en-US" w:eastAsia="en-US" w:bidi="ar-SA"/>
      </w:rPr>
    </w:lvl>
    <w:lvl w:ilvl="7">
      <w:numFmt w:val="bullet"/>
      <w:lvlText w:val="•"/>
      <w:lvlJc w:val="left"/>
      <w:pPr>
        <w:ind w:left="6313" w:hanging="837"/>
      </w:pPr>
      <w:rPr>
        <w:rFonts w:hint="default"/>
        <w:lang w:val="en-US" w:eastAsia="en-US" w:bidi="ar-SA"/>
      </w:rPr>
    </w:lvl>
    <w:lvl w:ilvl="8">
      <w:numFmt w:val="bullet"/>
      <w:lvlText w:val="•"/>
      <w:lvlJc w:val="left"/>
      <w:pPr>
        <w:ind w:left="7444" w:hanging="837"/>
      </w:pPr>
      <w:rPr>
        <w:rFonts w:hint="default"/>
        <w:lang w:val="en-US" w:eastAsia="en-US" w:bidi="ar-SA"/>
      </w:rPr>
    </w:lvl>
  </w:abstractNum>
  <w:abstractNum w:abstractNumId="32" w15:restartNumberingAfterBreak="0">
    <w:nsid w:val="0CB36B13"/>
    <w:multiLevelType w:val="hybridMultilevel"/>
    <w:tmpl w:val="20826DE6"/>
    <w:lvl w:ilvl="0" w:tplc="70F0391A">
      <w:numFmt w:val="bullet"/>
      <w:lvlText w:val="•"/>
      <w:lvlJc w:val="left"/>
      <w:pPr>
        <w:ind w:left="24" w:hanging="69"/>
      </w:pPr>
      <w:rPr>
        <w:rFonts w:ascii="Arial" w:eastAsia="Arial" w:hAnsi="Arial" w:cs="Arial" w:hint="default"/>
        <w:color w:val="231F20"/>
        <w:w w:val="84"/>
        <w:sz w:val="14"/>
        <w:szCs w:val="14"/>
        <w:lang w:val="en-US" w:eastAsia="en-US" w:bidi="ar-SA"/>
      </w:rPr>
    </w:lvl>
    <w:lvl w:ilvl="1" w:tplc="FD7AFD66">
      <w:numFmt w:val="bullet"/>
      <w:lvlText w:val="•"/>
      <w:lvlJc w:val="left"/>
      <w:pPr>
        <w:ind w:left="255" w:hanging="69"/>
      </w:pPr>
      <w:rPr>
        <w:rFonts w:hint="default"/>
        <w:lang w:val="en-US" w:eastAsia="en-US" w:bidi="ar-SA"/>
      </w:rPr>
    </w:lvl>
    <w:lvl w:ilvl="2" w:tplc="FB0EE7C6">
      <w:numFmt w:val="bullet"/>
      <w:lvlText w:val="•"/>
      <w:lvlJc w:val="left"/>
      <w:pPr>
        <w:ind w:left="490" w:hanging="69"/>
      </w:pPr>
      <w:rPr>
        <w:rFonts w:hint="default"/>
        <w:lang w:val="en-US" w:eastAsia="en-US" w:bidi="ar-SA"/>
      </w:rPr>
    </w:lvl>
    <w:lvl w:ilvl="3" w:tplc="5ACCA808">
      <w:numFmt w:val="bullet"/>
      <w:lvlText w:val="•"/>
      <w:lvlJc w:val="left"/>
      <w:pPr>
        <w:ind w:left="726" w:hanging="69"/>
      </w:pPr>
      <w:rPr>
        <w:rFonts w:hint="default"/>
        <w:lang w:val="en-US" w:eastAsia="en-US" w:bidi="ar-SA"/>
      </w:rPr>
    </w:lvl>
    <w:lvl w:ilvl="4" w:tplc="CADC0CFE">
      <w:numFmt w:val="bullet"/>
      <w:lvlText w:val="•"/>
      <w:lvlJc w:val="left"/>
      <w:pPr>
        <w:ind w:left="961" w:hanging="69"/>
      </w:pPr>
      <w:rPr>
        <w:rFonts w:hint="default"/>
        <w:lang w:val="en-US" w:eastAsia="en-US" w:bidi="ar-SA"/>
      </w:rPr>
    </w:lvl>
    <w:lvl w:ilvl="5" w:tplc="DC40091E">
      <w:numFmt w:val="bullet"/>
      <w:lvlText w:val="•"/>
      <w:lvlJc w:val="left"/>
      <w:pPr>
        <w:ind w:left="1197" w:hanging="69"/>
      </w:pPr>
      <w:rPr>
        <w:rFonts w:hint="default"/>
        <w:lang w:val="en-US" w:eastAsia="en-US" w:bidi="ar-SA"/>
      </w:rPr>
    </w:lvl>
    <w:lvl w:ilvl="6" w:tplc="48428A3A">
      <w:numFmt w:val="bullet"/>
      <w:lvlText w:val="•"/>
      <w:lvlJc w:val="left"/>
      <w:pPr>
        <w:ind w:left="1432" w:hanging="69"/>
      </w:pPr>
      <w:rPr>
        <w:rFonts w:hint="default"/>
        <w:lang w:val="en-US" w:eastAsia="en-US" w:bidi="ar-SA"/>
      </w:rPr>
    </w:lvl>
    <w:lvl w:ilvl="7" w:tplc="3E78DBE8">
      <w:numFmt w:val="bullet"/>
      <w:lvlText w:val="•"/>
      <w:lvlJc w:val="left"/>
      <w:pPr>
        <w:ind w:left="1667" w:hanging="69"/>
      </w:pPr>
      <w:rPr>
        <w:rFonts w:hint="default"/>
        <w:lang w:val="en-US" w:eastAsia="en-US" w:bidi="ar-SA"/>
      </w:rPr>
    </w:lvl>
    <w:lvl w:ilvl="8" w:tplc="14185644">
      <w:numFmt w:val="bullet"/>
      <w:lvlText w:val="•"/>
      <w:lvlJc w:val="left"/>
      <w:pPr>
        <w:ind w:left="1903" w:hanging="69"/>
      </w:pPr>
      <w:rPr>
        <w:rFonts w:hint="default"/>
        <w:lang w:val="en-US" w:eastAsia="en-US" w:bidi="ar-SA"/>
      </w:rPr>
    </w:lvl>
  </w:abstractNum>
  <w:abstractNum w:abstractNumId="33" w15:restartNumberingAfterBreak="0">
    <w:nsid w:val="0CB8113C"/>
    <w:multiLevelType w:val="hybridMultilevel"/>
    <w:tmpl w:val="B732AB16"/>
    <w:lvl w:ilvl="0" w:tplc="D984198A">
      <w:numFmt w:val="bullet"/>
      <w:lvlText w:val="•"/>
      <w:lvlJc w:val="left"/>
      <w:pPr>
        <w:ind w:left="23" w:hanging="76"/>
      </w:pPr>
      <w:rPr>
        <w:rFonts w:ascii="Arial" w:eastAsia="Arial" w:hAnsi="Arial" w:cs="Arial" w:hint="default"/>
        <w:color w:val="231F20"/>
        <w:w w:val="80"/>
        <w:sz w:val="15"/>
        <w:szCs w:val="15"/>
        <w:lang w:val="en-US" w:eastAsia="en-US" w:bidi="ar-SA"/>
      </w:rPr>
    </w:lvl>
    <w:lvl w:ilvl="1" w:tplc="3D706332">
      <w:numFmt w:val="bullet"/>
      <w:lvlText w:val="•"/>
      <w:lvlJc w:val="left"/>
      <w:pPr>
        <w:ind w:left="258" w:hanging="76"/>
      </w:pPr>
      <w:rPr>
        <w:rFonts w:hint="default"/>
        <w:lang w:val="en-US" w:eastAsia="en-US" w:bidi="ar-SA"/>
      </w:rPr>
    </w:lvl>
    <w:lvl w:ilvl="2" w:tplc="EB7E02DA">
      <w:numFmt w:val="bullet"/>
      <w:lvlText w:val="•"/>
      <w:lvlJc w:val="left"/>
      <w:pPr>
        <w:ind w:left="496" w:hanging="76"/>
      </w:pPr>
      <w:rPr>
        <w:rFonts w:hint="default"/>
        <w:lang w:val="en-US" w:eastAsia="en-US" w:bidi="ar-SA"/>
      </w:rPr>
    </w:lvl>
    <w:lvl w:ilvl="3" w:tplc="B2CE22BC">
      <w:numFmt w:val="bullet"/>
      <w:lvlText w:val="•"/>
      <w:lvlJc w:val="left"/>
      <w:pPr>
        <w:ind w:left="734" w:hanging="76"/>
      </w:pPr>
      <w:rPr>
        <w:rFonts w:hint="default"/>
        <w:lang w:val="en-US" w:eastAsia="en-US" w:bidi="ar-SA"/>
      </w:rPr>
    </w:lvl>
    <w:lvl w:ilvl="4" w:tplc="FD707DCA">
      <w:numFmt w:val="bullet"/>
      <w:lvlText w:val="•"/>
      <w:lvlJc w:val="left"/>
      <w:pPr>
        <w:ind w:left="973" w:hanging="76"/>
      </w:pPr>
      <w:rPr>
        <w:rFonts w:hint="default"/>
        <w:lang w:val="en-US" w:eastAsia="en-US" w:bidi="ar-SA"/>
      </w:rPr>
    </w:lvl>
    <w:lvl w:ilvl="5" w:tplc="2D8E056E">
      <w:numFmt w:val="bullet"/>
      <w:lvlText w:val="•"/>
      <w:lvlJc w:val="left"/>
      <w:pPr>
        <w:ind w:left="1211" w:hanging="76"/>
      </w:pPr>
      <w:rPr>
        <w:rFonts w:hint="default"/>
        <w:lang w:val="en-US" w:eastAsia="en-US" w:bidi="ar-SA"/>
      </w:rPr>
    </w:lvl>
    <w:lvl w:ilvl="6" w:tplc="AF56EE74">
      <w:numFmt w:val="bullet"/>
      <w:lvlText w:val="•"/>
      <w:lvlJc w:val="left"/>
      <w:pPr>
        <w:ind w:left="1449" w:hanging="76"/>
      </w:pPr>
      <w:rPr>
        <w:rFonts w:hint="default"/>
        <w:lang w:val="en-US" w:eastAsia="en-US" w:bidi="ar-SA"/>
      </w:rPr>
    </w:lvl>
    <w:lvl w:ilvl="7" w:tplc="A0C8814C">
      <w:numFmt w:val="bullet"/>
      <w:lvlText w:val="•"/>
      <w:lvlJc w:val="left"/>
      <w:pPr>
        <w:ind w:left="1688" w:hanging="76"/>
      </w:pPr>
      <w:rPr>
        <w:rFonts w:hint="default"/>
        <w:lang w:val="en-US" w:eastAsia="en-US" w:bidi="ar-SA"/>
      </w:rPr>
    </w:lvl>
    <w:lvl w:ilvl="8" w:tplc="DECA85D0">
      <w:numFmt w:val="bullet"/>
      <w:lvlText w:val="•"/>
      <w:lvlJc w:val="left"/>
      <w:pPr>
        <w:ind w:left="1926" w:hanging="76"/>
      </w:pPr>
      <w:rPr>
        <w:rFonts w:hint="default"/>
        <w:lang w:val="en-US" w:eastAsia="en-US" w:bidi="ar-SA"/>
      </w:rPr>
    </w:lvl>
  </w:abstractNum>
  <w:abstractNum w:abstractNumId="34" w15:restartNumberingAfterBreak="0">
    <w:nsid w:val="0D5C2342"/>
    <w:multiLevelType w:val="hybridMultilevel"/>
    <w:tmpl w:val="850804F4"/>
    <w:lvl w:ilvl="0" w:tplc="47C6E462">
      <w:numFmt w:val="bullet"/>
      <w:lvlText w:val="•"/>
      <w:lvlJc w:val="left"/>
      <w:pPr>
        <w:ind w:left="25" w:hanging="73"/>
      </w:pPr>
      <w:rPr>
        <w:rFonts w:ascii="Arial" w:eastAsia="Arial" w:hAnsi="Arial" w:cs="Arial" w:hint="default"/>
        <w:color w:val="231F20"/>
        <w:w w:val="78"/>
        <w:sz w:val="16"/>
        <w:szCs w:val="16"/>
        <w:lang w:val="en-US" w:eastAsia="en-US" w:bidi="ar-SA"/>
      </w:rPr>
    </w:lvl>
    <w:lvl w:ilvl="1" w:tplc="25AECB54">
      <w:numFmt w:val="bullet"/>
      <w:lvlText w:val="•"/>
      <w:lvlJc w:val="left"/>
      <w:pPr>
        <w:ind w:left="270" w:hanging="73"/>
      </w:pPr>
      <w:rPr>
        <w:rFonts w:hint="default"/>
        <w:lang w:val="en-US" w:eastAsia="en-US" w:bidi="ar-SA"/>
      </w:rPr>
    </w:lvl>
    <w:lvl w:ilvl="2" w:tplc="083056A8">
      <w:numFmt w:val="bullet"/>
      <w:lvlText w:val="•"/>
      <w:lvlJc w:val="left"/>
      <w:pPr>
        <w:ind w:left="520" w:hanging="73"/>
      </w:pPr>
      <w:rPr>
        <w:rFonts w:hint="default"/>
        <w:lang w:val="en-US" w:eastAsia="en-US" w:bidi="ar-SA"/>
      </w:rPr>
    </w:lvl>
    <w:lvl w:ilvl="3" w:tplc="CDCEFF2C">
      <w:numFmt w:val="bullet"/>
      <w:lvlText w:val="•"/>
      <w:lvlJc w:val="left"/>
      <w:pPr>
        <w:ind w:left="770" w:hanging="73"/>
      </w:pPr>
      <w:rPr>
        <w:rFonts w:hint="default"/>
        <w:lang w:val="en-US" w:eastAsia="en-US" w:bidi="ar-SA"/>
      </w:rPr>
    </w:lvl>
    <w:lvl w:ilvl="4" w:tplc="F372E738">
      <w:numFmt w:val="bullet"/>
      <w:lvlText w:val="•"/>
      <w:lvlJc w:val="left"/>
      <w:pPr>
        <w:ind w:left="1021" w:hanging="73"/>
      </w:pPr>
      <w:rPr>
        <w:rFonts w:hint="default"/>
        <w:lang w:val="en-US" w:eastAsia="en-US" w:bidi="ar-SA"/>
      </w:rPr>
    </w:lvl>
    <w:lvl w:ilvl="5" w:tplc="EEEEC98C">
      <w:numFmt w:val="bullet"/>
      <w:lvlText w:val="•"/>
      <w:lvlJc w:val="left"/>
      <w:pPr>
        <w:ind w:left="1271" w:hanging="73"/>
      </w:pPr>
      <w:rPr>
        <w:rFonts w:hint="default"/>
        <w:lang w:val="en-US" w:eastAsia="en-US" w:bidi="ar-SA"/>
      </w:rPr>
    </w:lvl>
    <w:lvl w:ilvl="6" w:tplc="B39857C6">
      <w:numFmt w:val="bullet"/>
      <w:lvlText w:val="•"/>
      <w:lvlJc w:val="left"/>
      <w:pPr>
        <w:ind w:left="1521" w:hanging="73"/>
      </w:pPr>
      <w:rPr>
        <w:rFonts w:hint="default"/>
        <w:lang w:val="en-US" w:eastAsia="en-US" w:bidi="ar-SA"/>
      </w:rPr>
    </w:lvl>
    <w:lvl w:ilvl="7" w:tplc="CA1C375C">
      <w:numFmt w:val="bullet"/>
      <w:lvlText w:val="•"/>
      <w:lvlJc w:val="left"/>
      <w:pPr>
        <w:ind w:left="1772" w:hanging="73"/>
      </w:pPr>
      <w:rPr>
        <w:rFonts w:hint="default"/>
        <w:lang w:val="en-US" w:eastAsia="en-US" w:bidi="ar-SA"/>
      </w:rPr>
    </w:lvl>
    <w:lvl w:ilvl="8" w:tplc="0CDEFD4C">
      <w:numFmt w:val="bullet"/>
      <w:lvlText w:val="•"/>
      <w:lvlJc w:val="left"/>
      <w:pPr>
        <w:ind w:left="2022" w:hanging="73"/>
      </w:pPr>
      <w:rPr>
        <w:rFonts w:hint="default"/>
        <w:lang w:val="en-US" w:eastAsia="en-US" w:bidi="ar-SA"/>
      </w:rPr>
    </w:lvl>
  </w:abstractNum>
  <w:abstractNum w:abstractNumId="35" w15:restartNumberingAfterBreak="0">
    <w:nsid w:val="0DAE7530"/>
    <w:multiLevelType w:val="hybridMultilevel"/>
    <w:tmpl w:val="27CABB56"/>
    <w:lvl w:ilvl="0" w:tplc="7606443C">
      <w:numFmt w:val="bullet"/>
      <w:lvlText w:val="•"/>
      <w:lvlJc w:val="left"/>
      <w:pPr>
        <w:ind w:left="24" w:hanging="68"/>
      </w:pPr>
      <w:rPr>
        <w:rFonts w:ascii="Arial" w:eastAsia="Arial" w:hAnsi="Arial" w:cs="Arial" w:hint="default"/>
        <w:color w:val="231F20"/>
        <w:w w:val="91"/>
        <w:sz w:val="13"/>
        <w:szCs w:val="13"/>
        <w:lang w:val="en-US" w:eastAsia="en-US" w:bidi="ar-SA"/>
      </w:rPr>
    </w:lvl>
    <w:lvl w:ilvl="1" w:tplc="27449E84">
      <w:numFmt w:val="bullet"/>
      <w:lvlText w:val="•"/>
      <w:lvlJc w:val="left"/>
      <w:pPr>
        <w:ind w:left="254" w:hanging="68"/>
      </w:pPr>
      <w:rPr>
        <w:rFonts w:hint="default"/>
        <w:lang w:val="en-US" w:eastAsia="en-US" w:bidi="ar-SA"/>
      </w:rPr>
    </w:lvl>
    <w:lvl w:ilvl="2" w:tplc="96362EB0">
      <w:numFmt w:val="bullet"/>
      <w:lvlText w:val="•"/>
      <w:lvlJc w:val="left"/>
      <w:pPr>
        <w:ind w:left="489" w:hanging="68"/>
      </w:pPr>
      <w:rPr>
        <w:rFonts w:hint="default"/>
        <w:lang w:val="en-US" w:eastAsia="en-US" w:bidi="ar-SA"/>
      </w:rPr>
    </w:lvl>
    <w:lvl w:ilvl="3" w:tplc="A2123728">
      <w:numFmt w:val="bullet"/>
      <w:lvlText w:val="•"/>
      <w:lvlJc w:val="left"/>
      <w:pPr>
        <w:ind w:left="723" w:hanging="68"/>
      </w:pPr>
      <w:rPr>
        <w:rFonts w:hint="default"/>
        <w:lang w:val="en-US" w:eastAsia="en-US" w:bidi="ar-SA"/>
      </w:rPr>
    </w:lvl>
    <w:lvl w:ilvl="4" w:tplc="65D27E0E">
      <w:numFmt w:val="bullet"/>
      <w:lvlText w:val="•"/>
      <w:lvlJc w:val="left"/>
      <w:pPr>
        <w:ind w:left="958" w:hanging="68"/>
      </w:pPr>
      <w:rPr>
        <w:rFonts w:hint="default"/>
        <w:lang w:val="en-US" w:eastAsia="en-US" w:bidi="ar-SA"/>
      </w:rPr>
    </w:lvl>
    <w:lvl w:ilvl="5" w:tplc="3EF6B780">
      <w:numFmt w:val="bullet"/>
      <w:lvlText w:val="•"/>
      <w:lvlJc w:val="left"/>
      <w:pPr>
        <w:ind w:left="1193" w:hanging="68"/>
      </w:pPr>
      <w:rPr>
        <w:rFonts w:hint="default"/>
        <w:lang w:val="en-US" w:eastAsia="en-US" w:bidi="ar-SA"/>
      </w:rPr>
    </w:lvl>
    <w:lvl w:ilvl="6" w:tplc="25D236F6">
      <w:numFmt w:val="bullet"/>
      <w:lvlText w:val="•"/>
      <w:lvlJc w:val="left"/>
      <w:pPr>
        <w:ind w:left="1427" w:hanging="68"/>
      </w:pPr>
      <w:rPr>
        <w:rFonts w:hint="default"/>
        <w:lang w:val="en-US" w:eastAsia="en-US" w:bidi="ar-SA"/>
      </w:rPr>
    </w:lvl>
    <w:lvl w:ilvl="7" w:tplc="D4E27732">
      <w:numFmt w:val="bullet"/>
      <w:lvlText w:val="•"/>
      <w:lvlJc w:val="left"/>
      <w:pPr>
        <w:ind w:left="1662" w:hanging="68"/>
      </w:pPr>
      <w:rPr>
        <w:rFonts w:hint="default"/>
        <w:lang w:val="en-US" w:eastAsia="en-US" w:bidi="ar-SA"/>
      </w:rPr>
    </w:lvl>
    <w:lvl w:ilvl="8" w:tplc="3564CC48">
      <w:numFmt w:val="bullet"/>
      <w:lvlText w:val="•"/>
      <w:lvlJc w:val="left"/>
      <w:pPr>
        <w:ind w:left="1896" w:hanging="68"/>
      </w:pPr>
      <w:rPr>
        <w:rFonts w:hint="default"/>
        <w:lang w:val="en-US" w:eastAsia="en-US" w:bidi="ar-SA"/>
      </w:rPr>
    </w:lvl>
  </w:abstractNum>
  <w:abstractNum w:abstractNumId="36" w15:restartNumberingAfterBreak="0">
    <w:nsid w:val="0DE961B5"/>
    <w:multiLevelType w:val="multilevel"/>
    <w:tmpl w:val="1DFEEE06"/>
    <w:lvl w:ilvl="0">
      <w:start w:val="8"/>
      <w:numFmt w:val="decimal"/>
      <w:lvlText w:val="%1"/>
      <w:lvlJc w:val="left"/>
      <w:pPr>
        <w:ind w:left="165" w:hanging="896"/>
      </w:pPr>
      <w:rPr>
        <w:rFonts w:hint="default"/>
        <w:lang w:val="en-US" w:eastAsia="en-US" w:bidi="ar-SA"/>
      </w:rPr>
    </w:lvl>
    <w:lvl w:ilvl="1">
      <w:start w:val="15"/>
      <w:numFmt w:val="decimal"/>
      <w:lvlText w:val="%1.%2"/>
      <w:lvlJc w:val="left"/>
      <w:pPr>
        <w:ind w:left="165" w:hanging="896"/>
      </w:pPr>
      <w:rPr>
        <w:rFonts w:hint="default"/>
        <w:lang w:val="en-US" w:eastAsia="en-US" w:bidi="ar-SA"/>
      </w:rPr>
    </w:lvl>
    <w:lvl w:ilvl="2">
      <w:start w:val="1"/>
      <w:numFmt w:val="decimal"/>
      <w:lvlText w:val="%1.%2.%3"/>
      <w:lvlJc w:val="left"/>
      <w:pPr>
        <w:ind w:left="165" w:hanging="896"/>
      </w:pPr>
      <w:rPr>
        <w:rFonts w:hint="default"/>
        <w:lang w:val="en-US" w:eastAsia="en-US" w:bidi="ar-SA"/>
      </w:rPr>
    </w:lvl>
    <w:lvl w:ilvl="3">
      <w:start w:val="1"/>
      <w:numFmt w:val="decimal"/>
      <w:lvlText w:val="%1.%2.%3.%4"/>
      <w:lvlJc w:val="left"/>
      <w:pPr>
        <w:ind w:left="165" w:hanging="896"/>
      </w:pPr>
      <w:rPr>
        <w:rFonts w:ascii="Arial" w:eastAsia="Arial" w:hAnsi="Arial" w:cs="Arial" w:hint="default"/>
        <w:color w:val="231F20"/>
        <w:spacing w:val="-25"/>
        <w:w w:val="99"/>
        <w:sz w:val="22"/>
        <w:szCs w:val="22"/>
        <w:lang w:val="en-US" w:eastAsia="en-US" w:bidi="ar-SA"/>
      </w:rPr>
    </w:lvl>
    <w:lvl w:ilvl="4">
      <w:numFmt w:val="bullet"/>
      <w:lvlText w:val="•"/>
      <w:lvlJc w:val="left"/>
      <w:pPr>
        <w:ind w:left="3978" w:hanging="896"/>
      </w:pPr>
      <w:rPr>
        <w:rFonts w:hint="default"/>
        <w:lang w:val="en-US" w:eastAsia="en-US" w:bidi="ar-SA"/>
      </w:rPr>
    </w:lvl>
    <w:lvl w:ilvl="5">
      <w:numFmt w:val="bullet"/>
      <w:lvlText w:val="•"/>
      <w:lvlJc w:val="left"/>
      <w:pPr>
        <w:ind w:left="4932" w:hanging="896"/>
      </w:pPr>
      <w:rPr>
        <w:rFonts w:hint="default"/>
        <w:lang w:val="en-US" w:eastAsia="en-US" w:bidi="ar-SA"/>
      </w:rPr>
    </w:lvl>
    <w:lvl w:ilvl="6">
      <w:numFmt w:val="bullet"/>
      <w:lvlText w:val="•"/>
      <w:lvlJc w:val="left"/>
      <w:pPr>
        <w:ind w:left="5887" w:hanging="896"/>
      </w:pPr>
      <w:rPr>
        <w:rFonts w:hint="default"/>
        <w:lang w:val="en-US" w:eastAsia="en-US" w:bidi="ar-SA"/>
      </w:rPr>
    </w:lvl>
    <w:lvl w:ilvl="7">
      <w:numFmt w:val="bullet"/>
      <w:lvlText w:val="•"/>
      <w:lvlJc w:val="left"/>
      <w:pPr>
        <w:ind w:left="6841" w:hanging="896"/>
      </w:pPr>
      <w:rPr>
        <w:rFonts w:hint="default"/>
        <w:lang w:val="en-US" w:eastAsia="en-US" w:bidi="ar-SA"/>
      </w:rPr>
    </w:lvl>
    <w:lvl w:ilvl="8">
      <w:numFmt w:val="bullet"/>
      <w:lvlText w:val="•"/>
      <w:lvlJc w:val="left"/>
      <w:pPr>
        <w:ind w:left="7796" w:hanging="896"/>
      </w:pPr>
      <w:rPr>
        <w:rFonts w:hint="default"/>
        <w:lang w:val="en-US" w:eastAsia="en-US" w:bidi="ar-SA"/>
      </w:rPr>
    </w:lvl>
  </w:abstractNum>
  <w:abstractNum w:abstractNumId="37" w15:restartNumberingAfterBreak="0">
    <w:nsid w:val="0ED373BE"/>
    <w:multiLevelType w:val="hybridMultilevel"/>
    <w:tmpl w:val="2D52011C"/>
    <w:lvl w:ilvl="0" w:tplc="CEECC790">
      <w:numFmt w:val="bullet"/>
      <w:lvlText w:val="•"/>
      <w:lvlJc w:val="left"/>
      <w:pPr>
        <w:ind w:left="26" w:hanging="79"/>
      </w:pPr>
      <w:rPr>
        <w:rFonts w:ascii="Arial" w:eastAsia="Arial" w:hAnsi="Arial" w:cs="Arial" w:hint="default"/>
        <w:color w:val="231F20"/>
        <w:w w:val="62"/>
        <w:sz w:val="20"/>
        <w:szCs w:val="20"/>
        <w:lang w:val="en-US" w:eastAsia="en-US" w:bidi="ar-SA"/>
      </w:rPr>
    </w:lvl>
    <w:lvl w:ilvl="1" w:tplc="9D9845DE">
      <w:numFmt w:val="bullet"/>
      <w:lvlText w:val="•"/>
      <w:lvlJc w:val="left"/>
      <w:pPr>
        <w:ind w:left="269" w:hanging="79"/>
      </w:pPr>
      <w:rPr>
        <w:rFonts w:hint="default"/>
        <w:lang w:val="en-US" w:eastAsia="en-US" w:bidi="ar-SA"/>
      </w:rPr>
    </w:lvl>
    <w:lvl w:ilvl="2" w:tplc="CDA49022">
      <w:numFmt w:val="bullet"/>
      <w:lvlText w:val="•"/>
      <w:lvlJc w:val="left"/>
      <w:pPr>
        <w:ind w:left="518" w:hanging="79"/>
      </w:pPr>
      <w:rPr>
        <w:rFonts w:hint="default"/>
        <w:lang w:val="en-US" w:eastAsia="en-US" w:bidi="ar-SA"/>
      </w:rPr>
    </w:lvl>
    <w:lvl w:ilvl="3" w:tplc="F0FECBCA">
      <w:numFmt w:val="bullet"/>
      <w:lvlText w:val="•"/>
      <w:lvlJc w:val="left"/>
      <w:pPr>
        <w:ind w:left="767" w:hanging="79"/>
      </w:pPr>
      <w:rPr>
        <w:rFonts w:hint="default"/>
        <w:lang w:val="en-US" w:eastAsia="en-US" w:bidi="ar-SA"/>
      </w:rPr>
    </w:lvl>
    <w:lvl w:ilvl="4" w:tplc="B174458C">
      <w:numFmt w:val="bullet"/>
      <w:lvlText w:val="•"/>
      <w:lvlJc w:val="left"/>
      <w:pPr>
        <w:ind w:left="1016" w:hanging="79"/>
      </w:pPr>
      <w:rPr>
        <w:rFonts w:hint="default"/>
        <w:lang w:val="en-US" w:eastAsia="en-US" w:bidi="ar-SA"/>
      </w:rPr>
    </w:lvl>
    <w:lvl w:ilvl="5" w:tplc="67882C94">
      <w:numFmt w:val="bullet"/>
      <w:lvlText w:val="•"/>
      <w:lvlJc w:val="left"/>
      <w:pPr>
        <w:ind w:left="1265" w:hanging="79"/>
      </w:pPr>
      <w:rPr>
        <w:rFonts w:hint="default"/>
        <w:lang w:val="en-US" w:eastAsia="en-US" w:bidi="ar-SA"/>
      </w:rPr>
    </w:lvl>
    <w:lvl w:ilvl="6" w:tplc="8E46931A">
      <w:numFmt w:val="bullet"/>
      <w:lvlText w:val="•"/>
      <w:lvlJc w:val="left"/>
      <w:pPr>
        <w:ind w:left="1514" w:hanging="79"/>
      </w:pPr>
      <w:rPr>
        <w:rFonts w:hint="default"/>
        <w:lang w:val="en-US" w:eastAsia="en-US" w:bidi="ar-SA"/>
      </w:rPr>
    </w:lvl>
    <w:lvl w:ilvl="7" w:tplc="F91C6CF2">
      <w:numFmt w:val="bullet"/>
      <w:lvlText w:val="•"/>
      <w:lvlJc w:val="left"/>
      <w:pPr>
        <w:ind w:left="1763" w:hanging="79"/>
      </w:pPr>
      <w:rPr>
        <w:rFonts w:hint="default"/>
        <w:lang w:val="en-US" w:eastAsia="en-US" w:bidi="ar-SA"/>
      </w:rPr>
    </w:lvl>
    <w:lvl w:ilvl="8" w:tplc="D6B0B004">
      <w:numFmt w:val="bullet"/>
      <w:lvlText w:val="•"/>
      <w:lvlJc w:val="left"/>
      <w:pPr>
        <w:ind w:left="2012" w:hanging="79"/>
      </w:pPr>
      <w:rPr>
        <w:rFonts w:hint="default"/>
        <w:lang w:val="en-US" w:eastAsia="en-US" w:bidi="ar-SA"/>
      </w:rPr>
    </w:lvl>
  </w:abstractNum>
  <w:abstractNum w:abstractNumId="38" w15:restartNumberingAfterBreak="0">
    <w:nsid w:val="0FBA0087"/>
    <w:multiLevelType w:val="hybridMultilevel"/>
    <w:tmpl w:val="D1CAEADC"/>
    <w:lvl w:ilvl="0" w:tplc="BD227028">
      <w:numFmt w:val="bullet"/>
      <w:lvlText w:val="•"/>
      <w:lvlJc w:val="left"/>
      <w:pPr>
        <w:ind w:left="23" w:hanging="84"/>
      </w:pPr>
      <w:rPr>
        <w:rFonts w:ascii="Arial" w:eastAsia="Arial" w:hAnsi="Arial" w:cs="Arial" w:hint="default"/>
        <w:color w:val="231F20"/>
        <w:w w:val="66"/>
        <w:sz w:val="20"/>
        <w:szCs w:val="20"/>
        <w:lang w:val="en-US" w:eastAsia="en-US" w:bidi="ar-SA"/>
      </w:rPr>
    </w:lvl>
    <w:lvl w:ilvl="1" w:tplc="2F14868A">
      <w:numFmt w:val="bullet"/>
      <w:lvlText w:val="•"/>
      <w:lvlJc w:val="left"/>
      <w:pPr>
        <w:ind w:left="282" w:hanging="84"/>
      </w:pPr>
      <w:rPr>
        <w:rFonts w:hint="default"/>
        <w:lang w:val="en-US" w:eastAsia="en-US" w:bidi="ar-SA"/>
      </w:rPr>
    </w:lvl>
    <w:lvl w:ilvl="2" w:tplc="F8403986">
      <w:numFmt w:val="bullet"/>
      <w:lvlText w:val="•"/>
      <w:lvlJc w:val="left"/>
      <w:pPr>
        <w:ind w:left="545" w:hanging="84"/>
      </w:pPr>
      <w:rPr>
        <w:rFonts w:hint="default"/>
        <w:lang w:val="en-US" w:eastAsia="en-US" w:bidi="ar-SA"/>
      </w:rPr>
    </w:lvl>
    <w:lvl w:ilvl="3" w:tplc="29C850BA">
      <w:numFmt w:val="bullet"/>
      <w:lvlText w:val="•"/>
      <w:lvlJc w:val="left"/>
      <w:pPr>
        <w:ind w:left="807" w:hanging="84"/>
      </w:pPr>
      <w:rPr>
        <w:rFonts w:hint="default"/>
        <w:lang w:val="en-US" w:eastAsia="en-US" w:bidi="ar-SA"/>
      </w:rPr>
    </w:lvl>
    <w:lvl w:ilvl="4" w:tplc="62500358">
      <w:numFmt w:val="bullet"/>
      <w:lvlText w:val="•"/>
      <w:lvlJc w:val="left"/>
      <w:pPr>
        <w:ind w:left="1070" w:hanging="84"/>
      </w:pPr>
      <w:rPr>
        <w:rFonts w:hint="default"/>
        <w:lang w:val="en-US" w:eastAsia="en-US" w:bidi="ar-SA"/>
      </w:rPr>
    </w:lvl>
    <w:lvl w:ilvl="5" w:tplc="A100F84C">
      <w:numFmt w:val="bullet"/>
      <w:lvlText w:val="•"/>
      <w:lvlJc w:val="left"/>
      <w:pPr>
        <w:ind w:left="1332" w:hanging="84"/>
      </w:pPr>
      <w:rPr>
        <w:rFonts w:hint="default"/>
        <w:lang w:val="en-US" w:eastAsia="en-US" w:bidi="ar-SA"/>
      </w:rPr>
    </w:lvl>
    <w:lvl w:ilvl="6" w:tplc="0E10BA54">
      <w:numFmt w:val="bullet"/>
      <w:lvlText w:val="•"/>
      <w:lvlJc w:val="left"/>
      <w:pPr>
        <w:ind w:left="1595" w:hanging="84"/>
      </w:pPr>
      <w:rPr>
        <w:rFonts w:hint="default"/>
        <w:lang w:val="en-US" w:eastAsia="en-US" w:bidi="ar-SA"/>
      </w:rPr>
    </w:lvl>
    <w:lvl w:ilvl="7" w:tplc="9C98E85A">
      <w:numFmt w:val="bullet"/>
      <w:lvlText w:val="•"/>
      <w:lvlJc w:val="left"/>
      <w:pPr>
        <w:ind w:left="1857" w:hanging="84"/>
      </w:pPr>
      <w:rPr>
        <w:rFonts w:hint="default"/>
        <w:lang w:val="en-US" w:eastAsia="en-US" w:bidi="ar-SA"/>
      </w:rPr>
    </w:lvl>
    <w:lvl w:ilvl="8" w:tplc="477007D2">
      <w:numFmt w:val="bullet"/>
      <w:lvlText w:val="•"/>
      <w:lvlJc w:val="left"/>
      <w:pPr>
        <w:ind w:left="2120" w:hanging="84"/>
      </w:pPr>
      <w:rPr>
        <w:rFonts w:hint="default"/>
        <w:lang w:val="en-US" w:eastAsia="en-US" w:bidi="ar-SA"/>
      </w:rPr>
    </w:lvl>
  </w:abstractNum>
  <w:abstractNum w:abstractNumId="39" w15:restartNumberingAfterBreak="0">
    <w:nsid w:val="0FD87DB8"/>
    <w:multiLevelType w:val="hybridMultilevel"/>
    <w:tmpl w:val="8F0C5E60"/>
    <w:lvl w:ilvl="0" w:tplc="E2766C2A">
      <w:numFmt w:val="bullet"/>
      <w:lvlText w:val="•"/>
      <w:lvlJc w:val="left"/>
      <w:pPr>
        <w:ind w:left="25" w:hanging="75"/>
      </w:pPr>
      <w:rPr>
        <w:rFonts w:ascii="Arial" w:eastAsia="Arial" w:hAnsi="Arial" w:cs="Arial" w:hint="default"/>
        <w:color w:val="231F20"/>
        <w:w w:val="73"/>
        <w:sz w:val="16"/>
        <w:szCs w:val="16"/>
        <w:lang w:val="en-US" w:eastAsia="en-US" w:bidi="ar-SA"/>
      </w:rPr>
    </w:lvl>
    <w:lvl w:ilvl="1" w:tplc="21E839B8">
      <w:numFmt w:val="bullet"/>
      <w:lvlText w:val="•"/>
      <w:lvlJc w:val="left"/>
      <w:pPr>
        <w:ind w:left="253" w:hanging="75"/>
      </w:pPr>
      <w:rPr>
        <w:rFonts w:hint="default"/>
        <w:lang w:val="en-US" w:eastAsia="en-US" w:bidi="ar-SA"/>
      </w:rPr>
    </w:lvl>
    <w:lvl w:ilvl="2" w:tplc="BC2466B6">
      <w:numFmt w:val="bullet"/>
      <w:lvlText w:val="•"/>
      <w:lvlJc w:val="left"/>
      <w:pPr>
        <w:ind w:left="487" w:hanging="75"/>
      </w:pPr>
      <w:rPr>
        <w:rFonts w:hint="default"/>
        <w:lang w:val="en-US" w:eastAsia="en-US" w:bidi="ar-SA"/>
      </w:rPr>
    </w:lvl>
    <w:lvl w:ilvl="3" w:tplc="DE3C35FA">
      <w:numFmt w:val="bullet"/>
      <w:lvlText w:val="•"/>
      <w:lvlJc w:val="left"/>
      <w:pPr>
        <w:ind w:left="720" w:hanging="75"/>
      </w:pPr>
      <w:rPr>
        <w:rFonts w:hint="default"/>
        <w:lang w:val="en-US" w:eastAsia="en-US" w:bidi="ar-SA"/>
      </w:rPr>
    </w:lvl>
    <w:lvl w:ilvl="4" w:tplc="35DEF83E">
      <w:numFmt w:val="bullet"/>
      <w:lvlText w:val="•"/>
      <w:lvlJc w:val="left"/>
      <w:pPr>
        <w:ind w:left="954" w:hanging="75"/>
      </w:pPr>
      <w:rPr>
        <w:rFonts w:hint="default"/>
        <w:lang w:val="en-US" w:eastAsia="en-US" w:bidi="ar-SA"/>
      </w:rPr>
    </w:lvl>
    <w:lvl w:ilvl="5" w:tplc="EA069344">
      <w:numFmt w:val="bullet"/>
      <w:lvlText w:val="•"/>
      <w:lvlJc w:val="left"/>
      <w:pPr>
        <w:ind w:left="1187" w:hanging="75"/>
      </w:pPr>
      <w:rPr>
        <w:rFonts w:hint="default"/>
        <w:lang w:val="en-US" w:eastAsia="en-US" w:bidi="ar-SA"/>
      </w:rPr>
    </w:lvl>
    <w:lvl w:ilvl="6" w:tplc="2124B984">
      <w:numFmt w:val="bullet"/>
      <w:lvlText w:val="•"/>
      <w:lvlJc w:val="left"/>
      <w:pPr>
        <w:ind w:left="1421" w:hanging="75"/>
      </w:pPr>
      <w:rPr>
        <w:rFonts w:hint="default"/>
        <w:lang w:val="en-US" w:eastAsia="en-US" w:bidi="ar-SA"/>
      </w:rPr>
    </w:lvl>
    <w:lvl w:ilvl="7" w:tplc="79B22A5E">
      <w:numFmt w:val="bullet"/>
      <w:lvlText w:val="•"/>
      <w:lvlJc w:val="left"/>
      <w:pPr>
        <w:ind w:left="1654" w:hanging="75"/>
      </w:pPr>
      <w:rPr>
        <w:rFonts w:hint="default"/>
        <w:lang w:val="en-US" w:eastAsia="en-US" w:bidi="ar-SA"/>
      </w:rPr>
    </w:lvl>
    <w:lvl w:ilvl="8" w:tplc="A5A641F0">
      <w:numFmt w:val="bullet"/>
      <w:lvlText w:val="•"/>
      <w:lvlJc w:val="left"/>
      <w:pPr>
        <w:ind w:left="1888" w:hanging="75"/>
      </w:pPr>
      <w:rPr>
        <w:rFonts w:hint="default"/>
        <w:lang w:val="en-US" w:eastAsia="en-US" w:bidi="ar-SA"/>
      </w:rPr>
    </w:lvl>
  </w:abstractNum>
  <w:abstractNum w:abstractNumId="40" w15:restartNumberingAfterBreak="0">
    <w:nsid w:val="10135AD6"/>
    <w:multiLevelType w:val="hybridMultilevel"/>
    <w:tmpl w:val="145A1F7E"/>
    <w:lvl w:ilvl="0" w:tplc="67CA3BD8">
      <w:numFmt w:val="bullet"/>
      <w:lvlText w:val="•"/>
      <w:lvlJc w:val="left"/>
      <w:pPr>
        <w:ind w:left="20" w:hanging="68"/>
      </w:pPr>
      <w:rPr>
        <w:rFonts w:ascii="Arial" w:eastAsia="Arial" w:hAnsi="Arial" w:cs="Arial" w:hint="default"/>
        <w:color w:val="231F20"/>
        <w:w w:val="98"/>
        <w:sz w:val="12"/>
        <w:szCs w:val="12"/>
        <w:lang w:val="en-US" w:eastAsia="en-US" w:bidi="ar-SA"/>
      </w:rPr>
    </w:lvl>
    <w:lvl w:ilvl="1" w:tplc="3CE8E116">
      <w:numFmt w:val="bullet"/>
      <w:lvlText w:val="•"/>
      <w:lvlJc w:val="left"/>
      <w:pPr>
        <w:ind w:left="254" w:hanging="68"/>
      </w:pPr>
      <w:rPr>
        <w:rFonts w:hint="default"/>
        <w:lang w:val="en-US" w:eastAsia="en-US" w:bidi="ar-SA"/>
      </w:rPr>
    </w:lvl>
    <w:lvl w:ilvl="2" w:tplc="C9C050C4">
      <w:numFmt w:val="bullet"/>
      <w:lvlText w:val="•"/>
      <w:lvlJc w:val="left"/>
      <w:pPr>
        <w:ind w:left="489" w:hanging="68"/>
      </w:pPr>
      <w:rPr>
        <w:rFonts w:hint="default"/>
        <w:lang w:val="en-US" w:eastAsia="en-US" w:bidi="ar-SA"/>
      </w:rPr>
    </w:lvl>
    <w:lvl w:ilvl="3" w:tplc="C9CE6D38">
      <w:numFmt w:val="bullet"/>
      <w:lvlText w:val="•"/>
      <w:lvlJc w:val="left"/>
      <w:pPr>
        <w:ind w:left="724" w:hanging="68"/>
      </w:pPr>
      <w:rPr>
        <w:rFonts w:hint="default"/>
        <w:lang w:val="en-US" w:eastAsia="en-US" w:bidi="ar-SA"/>
      </w:rPr>
    </w:lvl>
    <w:lvl w:ilvl="4" w:tplc="8140F740">
      <w:numFmt w:val="bullet"/>
      <w:lvlText w:val="•"/>
      <w:lvlJc w:val="left"/>
      <w:pPr>
        <w:ind w:left="959" w:hanging="68"/>
      </w:pPr>
      <w:rPr>
        <w:rFonts w:hint="default"/>
        <w:lang w:val="en-US" w:eastAsia="en-US" w:bidi="ar-SA"/>
      </w:rPr>
    </w:lvl>
    <w:lvl w:ilvl="5" w:tplc="00D68F3A">
      <w:numFmt w:val="bullet"/>
      <w:lvlText w:val="•"/>
      <w:lvlJc w:val="left"/>
      <w:pPr>
        <w:ind w:left="1193" w:hanging="68"/>
      </w:pPr>
      <w:rPr>
        <w:rFonts w:hint="default"/>
        <w:lang w:val="en-US" w:eastAsia="en-US" w:bidi="ar-SA"/>
      </w:rPr>
    </w:lvl>
    <w:lvl w:ilvl="6" w:tplc="406CC384">
      <w:numFmt w:val="bullet"/>
      <w:lvlText w:val="•"/>
      <w:lvlJc w:val="left"/>
      <w:pPr>
        <w:ind w:left="1428" w:hanging="68"/>
      </w:pPr>
      <w:rPr>
        <w:rFonts w:hint="default"/>
        <w:lang w:val="en-US" w:eastAsia="en-US" w:bidi="ar-SA"/>
      </w:rPr>
    </w:lvl>
    <w:lvl w:ilvl="7" w:tplc="3704185C">
      <w:numFmt w:val="bullet"/>
      <w:lvlText w:val="•"/>
      <w:lvlJc w:val="left"/>
      <w:pPr>
        <w:ind w:left="1663" w:hanging="68"/>
      </w:pPr>
      <w:rPr>
        <w:rFonts w:hint="default"/>
        <w:lang w:val="en-US" w:eastAsia="en-US" w:bidi="ar-SA"/>
      </w:rPr>
    </w:lvl>
    <w:lvl w:ilvl="8" w:tplc="F94800F8">
      <w:numFmt w:val="bullet"/>
      <w:lvlText w:val="•"/>
      <w:lvlJc w:val="left"/>
      <w:pPr>
        <w:ind w:left="1898" w:hanging="68"/>
      </w:pPr>
      <w:rPr>
        <w:rFonts w:hint="default"/>
        <w:lang w:val="en-US" w:eastAsia="en-US" w:bidi="ar-SA"/>
      </w:rPr>
    </w:lvl>
  </w:abstractNum>
  <w:abstractNum w:abstractNumId="41" w15:restartNumberingAfterBreak="0">
    <w:nsid w:val="10582255"/>
    <w:multiLevelType w:val="hybridMultilevel"/>
    <w:tmpl w:val="AB0EDD44"/>
    <w:lvl w:ilvl="0" w:tplc="0F3834F4">
      <w:numFmt w:val="bullet"/>
      <w:lvlText w:val="•"/>
      <w:lvlJc w:val="left"/>
      <w:pPr>
        <w:ind w:left="24" w:hanging="72"/>
      </w:pPr>
      <w:rPr>
        <w:rFonts w:ascii="Arial" w:eastAsia="Arial" w:hAnsi="Arial" w:cs="Arial" w:hint="default"/>
        <w:color w:val="231F20"/>
        <w:w w:val="69"/>
        <w:sz w:val="17"/>
        <w:szCs w:val="17"/>
        <w:lang w:val="en-US" w:eastAsia="en-US" w:bidi="ar-SA"/>
      </w:rPr>
    </w:lvl>
    <w:lvl w:ilvl="1" w:tplc="F8DA6C2A">
      <w:numFmt w:val="bullet"/>
      <w:lvlText w:val="•"/>
      <w:lvlJc w:val="left"/>
      <w:pPr>
        <w:ind w:left="253" w:hanging="72"/>
      </w:pPr>
      <w:rPr>
        <w:rFonts w:hint="default"/>
        <w:lang w:val="en-US" w:eastAsia="en-US" w:bidi="ar-SA"/>
      </w:rPr>
    </w:lvl>
    <w:lvl w:ilvl="2" w:tplc="15C82174">
      <w:numFmt w:val="bullet"/>
      <w:lvlText w:val="•"/>
      <w:lvlJc w:val="left"/>
      <w:pPr>
        <w:ind w:left="486" w:hanging="72"/>
      </w:pPr>
      <w:rPr>
        <w:rFonts w:hint="default"/>
        <w:lang w:val="en-US" w:eastAsia="en-US" w:bidi="ar-SA"/>
      </w:rPr>
    </w:lvl>
    <w:lvl w:ilvl="3" w:tplc="A55A0E9E">
      <w:numFmt w:val="bullet"/>
      <w:lvlText w:val="•"/>
      <w:lvlJc w:val="left"/>
      <w:pPr>
        <w:ind w:left="719" w:hanging="72"/>
      </w:pPr>
      <w:rPr>
        <w:rFonts w:hint="default"/>
        <w:lang w:val="en-US" w:eastAsia="en-US" w:bidi="ar-SA"/>
      </w:rPr>
    </w:lvl>
    <w:lvl w:ilvl="4" w:tplc="096CC4DA">
      <w:numFmt w:val="bullet"/>
      <w:lvlText w:val="•"/>
      <w:lvlJc w:val="left"/>
      <w:pPr>
        <w:ind w:left="953" w:hanging="72"/>
      </w:pPr>
      <w:rPr>
        <w:rFonts w:hint="default"/>
        <w:lang w:val="en-US" w:eastAsia="en-US" w:bidi="ar-SA"/>
      </w:rPr>
    </w:lvl>
    <w:lvl w:ilvl="5" w:tplc="706C5B22">
      <w:numFmt w:val="bullet"/>
      <w:lvlText w:val="•"/>
      <w:lvlJc w:val="left"/>
      <w:pPr>
        <w:ind w:left="1186" w:hanging="72"/>
      </w:pPr>
      <w:rPr>
        <w:rFonts w:hint="default"/>
        <w:lang w:val="en-US" w:eastAsia="en-US" w:bidi="ar-SA"/>
      </w:rPr>
    </w:lvl>
    <w:lvl w:ilvl="6" w:tplc="865E35BA">
      <w:numFmt w:val="bullet"/>
      <w:lvlText w:val="•"/>
      <w:lvlJc w:val="left"/>
      <w:pPr>
        <w:ind w:left="1419" w:hanging="72"/>
      </w:pPr>
      <w:rPr>
        <w:rFonts w:hint="default"/>
        <w:lang w:val="en-US" w:eastAsia="en-US" w:bidi="ar-SA"/>
      </w:rPr>
    </w:lvl>
    <w:lvl w:ilvl="7" w:tplc="7C10D958">
      <w:numFmt w:val="bullet"/>
      <w:lvlText w:val="•"/>
      <w:lvlJc w:val="left"/>
      <w:pPr>
        <w:ind w:left="1653" w:hanging="72"/>
      </w:pPr>
      <w:rPr>
        <w:rFonts w:hint="default"/>
        <w:lang w:val="en-US" w:eastAsia="en-US" w:bidi="ar-SA"/>
      </w:rPr>
    </w:lvl>
    <w:lvl w:ilvl="8" w:tplc="7F22D7D0">
      <w:numFmt w:val="bullet"/>
      <w:lvlText w:val="•"/>
      <w:lvlJc w:val="left"/>
      <w:pPr>
        <w:ind w:left="1886" w:hanging="72"/>
      </w:pPr>
      <w:rPr>
        <w:rFonts w:hint="default"/>
        <w:lang w:val="en-US" w:eastAsia="en-US" w:bidi="ar-SA"/>
      </w:rPr>
    </w:lvl>
  </w:abstractNum>
  <w:abstractNum w:abstractNumId="42" w15:restartNumberingAfterBreak="0">
    <w:nsid w:val="10A81E44"/>
    <w:multiLevelType w:val="multilevel"/>
    <w:tmpl w:val="F24E568A"/>
    <w:lvl w:ilvl="0">
      <w:start w:val="5"/>
      <w:numFmt w:val="decimal"/>
      <w:lvlText w:val="%1"/>
      <w:lvlJc w:val="left"/>
      <w:pPr>
        <w:ind w:left="146" w:hanging="742"/>
      </w:pPr>
      <w:rPr>
        <w:rFonts w:hint="default"/>
        <w:lang w:val="en-US" w:eastAsia="en-US" w:bidi="ar-SA"/>
      </w:rPr>
    </w:lvl>
    <w:lvl w:ilvl="1">
      <w:start w:val="6"/>
      <w:numFmt w:val="decimal"/>
      <w:lvlText w:val="%1.%2"/>
      <w:lvlJc w:val="left"/>
      <w:pPr>
        <w:ind w:left="146" w:hanging="742"/>
      </w:pPr>
      <w:rPr>
        <w:rFonts w:hint="default"/>
        <w:lang w:val="en-US" w:eastAsia="en-US" w:bidi="ar-SA"/>
      </w:rPr>
    </w:lvl>
    <w:lvl w:ilvl="2">
      <w:start w:val="2"/>
      <w:numFmt w:val="decimal"/>
      <w:lvlText w:val="%1.%2.%3"/>
      <w:lvlJc w:val="left"/>
      <w:pPr>
        <w:ind w:left="146" w:hanging="742"/>
      </w:pPr>
      <w:rPr>
        <w:rFonts w:hint="default"/>
        <w:lang w:val="en-US" w:eastAsia="en-US" w:bidi="ar-SA"/>
      </w:rPr>
    </w:lvl>
    <w:lvl w:ilvl="3">
      <w:start w:val="1"/>
      <w:numFmt w:val="decimal"/>
      <w:lvlText w:val="%1.%2.%3.%4"/>
      <w:lvlJc w:val="left"/>
      <w:pPr>
        <w:ind w:left="146" w:hanging="742"/>
      </w:pPr>
      <w:rPr>
        <w:rFonts w:ascii="Arial" w:eastAsia="Arial" w:hAnsi="Arial" w:cs="Arial" w:hint="default"/>
        <w:color w:val="231F20"/>
        <w:w w:val="99"/>
        <w:sz w:val="22"/>
        <w:szCs w:val="22"/>
        <w:lang w:val="en-US" w:eastAsia="en-US" w:bidi="ar-SA"/>
      </w:rPr>
    </w:lvl>
    <w:lvl w:ilvl="4">
      <w:numFmt w:val="bullet"/>
      <w:lvlText w:val="•"/>
      <w:lvlJc w:val="left"/>
      <w:pPr>
        <w:ind w:left="3966" w:hanging="742"/>
      </w:pPr>
      <w:rPr>
        <w:rFonts w:hint="default"/>
        <w:lang w:val="en-US" w:eastAsia="en-US" w:bidi="ar-SA"/>
      </w:rPr>
    </w:lvl>
    <w:lvl w:ilvl="5">
      <w:numFmt w:val="bullet"/>
      <w:lvlText w:val="•"/>
      <w:lvlJc w:val="left"/>
      <w:pPr>
        <w:ind w:left="4922" w:hanging="742"/>
      </w:pPr>
      <w:rPr>
        <w:rFonts w:hint="default"/>
        <w:lang w:val="en-US" w:eastAsia="en-US" w:bidi="ar-SA"/>
      </w:rPr>
    </w:lvl>
    <w:lvl w:ilvl="6">
      <w:numFmt w:val="bullet"/>
      <w:lvlText w:val="•"/>
      <w:lvlJc w:val="left"/>
      <w:pPr>
        <w:ind w:left="5879" w:hanging="742"/>
      </w:pPr>
      <w:rPr>
        <w:rFonts w:hint="default"/>
        <w:lang w:val="en-US" w:eastAsia="en-US" w:bidi="ar-SA"/>
      </w:rPr>
    </w:lvl>
    <w:lvl w:ilvl="7">
      <w:numFmt w:val="bullet"/>
      <w:lvlText w:val="•"/>
      <w:lvlJc w:val="left"/>
      <w:pPr>
        <w:ind w:left="6835" w:hanging="742"/>
      </w:pPr>
      <w:rPr>
        <w:rFonts w:hint="default"/>
        <w:lang w:val="en-US" w:eastAsia="en-US" w:bidi="ar-SA"/>
      </w:rPr>
    </w:lvl>
    <w:lvl w:ilvl="8">
      <w:numFmt w:val="bullet"/>
      <w:lvlText w:val="•"/>
      <w:lvlJc w:val="left"/>
      <w:pPr>
        <w:ind w:left="7792" w:hanging="742"/>
      </w:pPr>
      <w:rPr>
        <w:rFonts w:hint="default"/>
        <w:lang w:val="en-US" w:eastAsia="en-US" w:bidi="ar-SA"/>
      </w:rPr>
    </w:lvl>
  </w:abstractNum>
  <w:abstractNum w:abstractNumId="43" w15:restartNumberingAfterBreak="0">
    <w:nsid w:val="10EF5071"/>
    <w:multiLevelType w:val="hybridMultilevel"/>
    <w:tmpl w:val="930218FE"/>
    <w:lvl w:ilvl="0" w:tplc="35E4DDC8">
      <w:numFmt w:val="bullet"/>
      <w:lvlText w:val="•"/>
      <w:lvlJc w:val="left"/>
      <w:pPr>
        <w:ind w:left="96" w:hanging="75"/>
      </w:pPr>
      <w:rPr>
        <w:rFonts w:ascii="Arial" w:eastAsia="Arial" w:hAnsi="Arial" w:cs="Arial" w:hint="default"/>
        <w:color w:val="231F20"/>
        <w:w w:val="107"/>
        <w:sz w:val="11"/>
        <w:szCs w:val="11"/>
        <w:lang w:val="en-US" w:eastAsia="en-US" w:bidi="ar-SA"/>
      </w:rPr>
    </w:lvl>
    <w:lvl w:ilvl="1" w:tplc="D53E60F2">
      <w:numFmt w:val="bullet"/>
      <w:lvlText w:val="•"/>
      <w:lvlJc w:val="left"/>
      <w:pPr>
        <w:ind w:left="326" w:hanging="75"/>
      </w:pPr>
      <w:rPr>
        <w:rFonts w:hint="default"/>
        <w:lang w:val="en-US" w:eastAsia="en-US" w:bidi="ar-SA"/>
      </w:rPr>
    </w:lvl>
    <w:lvl w:ilvl="2" w:tplc="AF7E2904">
      <w:numFmt w:val="bullet"/>
      <w:lvlText w:val="•"/>
      <w:lvlJc w:val="left"/>
      <w:pPr>
        <w:ind w:left="552" w:hanging="75"/>
      </w:pPr>
      <w:rPr>
        <w:rFonts w:hint="default"/>
        <w:lang w:val="en-US" w:eastAsia="en-US" w:bidi="ar-SA"/>
      </w:rPr>
    </w:lvl>
    <w:lvl w:ilvl="3" w:tplc="F0CEBEB0">
      <w:numFmt w:val="bullet"/>
      <w:lvlText w:val="•"/>
      <w:lvlJc w:val="left"/>
      <w:pPr>
        <w:ind w:left="779" w:hanging="75"/>
      </w:pPr>
      <w:rPr>
        <w:rFonts w:hint="default"/>
        <w:lang w:val="en-US" w:eastAsia="en-US" w:bidi="ar-SA"/>
      </w:rPr>
    </w:lvl>
    <w:lvl w:ilvl="4" w:tplc="DF042E42">
      <w:numFmt w:val="bullet"/>
      <w:lvlText w:val="•"/>
      <w:lvlJc w:val="left"/>
      <w:pPr>
        <w:ind w:left="1005" w:hanging="75"/>
      </w:pPr>
      <w:rPr>
        <w:rFonts w:hint="default"/>
        <w:lang w:val="en-US" w:eastAsia="en-US" w:bidi="ar-SA"/>
      </w:rPr>
    </w:lvl>
    <w:lvl w:ilvl="5" w:tplc="23DAEE46">
      <w:numFmt w:val="bullet"/>
      <w:lvlText w:val="•"/>
      <w:lvlJc w:val="left"/>
      <w:pPr>
        <w:ind w:left="1232" w:hanging="75"/>
      </w:pPr>
      <w:rPr>
        <w:rFonts w:hint="default"/>
        <w:lang w:val="en-US" w:eastAsia="en-US" w:bidi="ar-SA"/>
      </w:rPr>
    </w:lvl>
    <w:lvl w:ilvl="6" w:tplc="B5FC2DB4">
      <w:numFmt w:val="bullet"/>
      <w:lvlText w:val="•"/>
      <w:lvlJc w:val="left"/>
      <w:pPr>
        <w:ind w:left="1458" w:hanging="75"/>
      </w:pPr>
      <w:rPr>
        <w:rFonts w:hint="default"/>
        <w:lang w:val="en-US" w:eastAsia="en-US" w:bidi="ar-SA"/>
      </w:rPr>
    </w:lvl>
    <w:lvl w:ilvl="7" w:tplc="C83EAAB4">
      <w:numFmt w:val="bullet"/>
      <w:lvlText w:val="•"/>
      <w:lvlJc w:val="left"/>
      <w:pPr>
        <w:ind w:left="1684" w:hanging="75"/>
      </w:pPr>
      <w:rPr>
        <w:rFonts w:hint="default"/>
        <w:lang w:val="en-US" w:eastAsia="en-US" w:bidi="ar-SA"/>
      </w:rPr>
    </w:lvl>
    <w:lvl w:ilvl="8" w:tplc="5FF26136">
      <w:numFmt w:val="bullet"/>
      <w:lvlText w:val="•"/>
      <w:lvlJc w:val="left"/>
      <w:pPr>
        <w:ind w:left="1911" w:hanging="75"/>
      </w:pPr>
      <w:rPr>
        <w:rFonts w:hint="default"/>
        <w:lang w:val="en-US" w:eastAsia="en-US" w:bidi="ar-SA"/>
      </w:rPr>
    </w:lvl>
  </w:abstractNum>
  <w:abstractNum w:abstractNumId="44" w15:restartNumberingAfterBreak="0">
    <w:nsid w:val="11162A1D"/>
    <w:multiLevelType w:val="multilevel"/>
    <w:tmpl w:val="665A29FC"/>
    <w:lvl w:ilvl="0">
      <w:start w:val="3"/>
      <w:numFmt w:val="decimal"/>
      <w:lvlText w:val="%1"/>
      <w:lvlJc w:val="left"/>
      <w:pPr>
        <w:ind w:left="730" w:hanging="588"/>
      </w:pPr>
      <w:rPr>
        <w:rFonts w:hint="default"/>
        <w:lang w:val="en-US" w:eastAsia="en-US" w:bidi="ar-SA"/>
      </w:rPr>
    </w:lvl>
    <w:lvl w:ilvl="1">
      <w:start w:val="4"/>
      <w:numFmt w:val="decimal"/>
      <w:lvlText w:val="%1.%2"/>
      <w:lvlJc w:val="left"/>
      <w:pPr>
        <w:ind w:left="730" w:hanging="588"/>
      </w:pPr>
      <w:rPr>
        <w:rFonts w:hint="default"/>
        <w:lang w:val="en-US" w:eastAsia="en-US" w:bidi="ar-SA"/>
      </w:rPr>
    </w:lvl>
    <w:lvl w:ilvl="2">
      <w:start w:val="2"/>
      <w:numFmt w:val="decimal"/>
      <w:lvlText w:val="%1.%2.%3."/>
      <w:lvlJc w:val="left"/>
      <w:pPr>
        <w:ind w:left="730" w:hanging="588"/>
      </w:pPr>
      <w:rPr>
        <w:rFonts w:ascii="Arial" w:eastAsia="Arial" w:hAnsi="Arial" w:cs="Arial" w:hint="default"/>
        <w:b/>
        <w:bCs/>
        <w:color w:val="231F20"/>
        <w:w w:val="100"/>
        <w:sz w:val="22"/>
        <w:szCs w:val="22"/>
        <w:lang w:val="en-US" w:eastAsia="en-US" w:bidi="ar-SA"/>
      </w:rPr>
    </w:lvl>
    <w:lvl w:ilvl="3">
      <w:numFmt w:val="bullet"/>
      <w:lvlText w:val="•"/>
      <w:lvlJc w:val="left"/>
      <w:pPr>
        <w:ind w:left="3429" w:hanging="588"/>
      </w:pPr>
      <w:rPr>
        <w:rFonts w:hint="default"/>
        <w:lang w:val="en-US" w:eastAsia="en-US" w:bidi="ar-SA"/>
      </w:rPr>
    </w:lvl>
    <w:lvl w:ilvl="4">
      <w:numFmt w:val="bullet"/>
      <w:lvlText w:val="•"/>
      <w:lvlJc w:val="left"/>
      <w:pPr>
        <w:ind w:left="4326" w:hanging="588"/>
      </w:pPr>
      <w:rPr>
        <w:rFonts w:hint="default"/>
        <w:lang w:val="en-US" w:eastAsia="en-US" w:bidi="ar-SA"/>
      </w:rPr>
    </w:lvl>
    <w:lvl w:ilvl="5">
      <w:numFmt w:val="bullet"/>
      <w:lvlText w:val="•"/>
      <w:lvlJc w:val="left"/>
      <w:pPr>
        <w:ind w:left="5222" w:hanging="588"/>
      </w:pPr>
      <w:rPr>
        <w:rFonts w:hint="default"/>
        <w:lang w:val="en-US" w:eastAsia="en-US" w:bidi="ar-SA"/>
      </w:rPr>
    </w:lvl>
    <w:lvl w:ilvl="6">
      <w:numFmt w:val="bullet"/>
      <w:lvlText w:val="•"/>
      <w:lvlJc w:val="left"/>
      <w:pPr>
        <w:ind w:left="6119" w:hanging="588"/>
      </w:pPr>
      <w:rPr>
        <w:rFonts w:hint="default"/>
        <w:lang w:val="en-US" w:eastAsia="en-US" w:bidi="ar-SA"/>
      </w:rPr>
    </w:lvl>
    <w:lvl w:ilvl="7">
      <w:numFmt w:val="bullet"/>
      <w:lvlText w:val="•"/>
      <w:lvlJc w:val="left"/>
      <w:pPr>
        <w:ind w:left="7015" w:hanging="588"/>
      </w:pPr>
      <w:rPr>
        <w:rFonts w:hint="default"/>
        <w:lang w:val="en-US" w:eastAsia="en-US" w:bidi="ar-SA"/>
      </w:rPr>
    </w:lvl>
    <w:lvl w:ilvl="8">
      <w:numFmt w:val="bullet"/>
      <w:lvlText w:val="•"/>
      <w:lvlJc w:val="left"/>
      <w:pPr>
        <w:ind w:left="7912" w:hanging="588"/>
      </w:pPr>
      <w:rPr>
        <w:rFonts w:hint="default"/>
        <w:lang w:val="en-US" w:eastAsia="en-US" w:bidi="ar-SA"/>
      </w:rPr>
    </w:lvl>
  </w:abstractNum>
  <w:abstractNum w:abstractNumId="45" w15:restartNumberingAfterBreak="0">
    <w:nsid w:val="114F31DF"/>
    <w:multiLevelType w:val="multilevel"/>
    <w:tmpl w:val="1B84F898"/>
    <w:lvl w:ilvl="0">
      <w:start w:val="2"/>
      <w:numFmt w:val="decimal"/>
      <w:lvlText w:val="%1"/>
      <w:lvlJc w:val="left"/>
      <w:pPr>
        <w:ind w:left="507" w:hanging="374"/>
      </w:pPr>
      <w:rPr>
        <w:rFonts w:hint="default"/>
        <w:lang w:val="en-US" w:eastAsia="en-US" w:bidi="ar-SA"/>
      </w:rPr>
    </w:lvl>
    <w:lvl w:ilvl="1">
      <w:start w:val="1"/>
      <w:numFmt w:val="decimal"/>
      <w:lvlText w:val="%1.%2"/>
      <w:lvlJc w:val="left"/>
      <w:pPr>
        <w:ind w:left="507" w:hanging="374"/>
      </w:pPr>
      <w:rPr>
        <w:rFonts w:ascii="Arial" w:eastAsia="Arial" w:hAnsi="Arial" w:cs="Arial" w:hint="default"/>
        <w:color w:val="231F20"/>
        <w:w w:val="99"/>
        <w:sz w:val="24"/>
        <w:szCs w:val="24"/>
        <w:lang w:val="en-US" w:eastAsia="en-US" w:bidi="ar-SA"/>
      </w:rPr>
    </w:lvl>
    <w:lvl w:ilvl="2">
      <w:numFmt w:val="bullet"/>
      <w:lvlText w:val="•"/>
      <w:lvlJc w:val="left"/>
      <w:pPr>
        <w:ind w:left="2341" w:hanging="374"/>
      </w:pPr>
      <w:rPr>
        <w:rFonts w:hint="default"/>
        <w:lang w:val="en-US" w:eastAsia="en-US" w:bidi="ar-SA"/>
      </w:rPr>
    </w:lvl>
    <w:lvl w:ilvl="3">
      <w:numFmt w:val="bullet"/>
      <w:lvlText w:val="•"/>
      <w:lvlJc w:val="left"/>
      <w:pPr>
        <w:ind w:left="3261" w:hanging="374"/>
      </w:pPr>
      <w:rPr>
        <w:rFonts w:hint="default"/>
        <w:lang w:val="en-US" w:eastAsia="en-US" w:bidi="ar-SA"/>
      </w:rPr>
    </w:lvl>
    <w:lvl w:ilvl="4">
      <w:numFmt w:val="bullet"/>
      <w:lvlText w:val="•"/>
      <w:lvlJc w:val="left"/>
      <w:pPr>
        <w:ind w:left="4182" w:hanging="374"/>
      </w:pPr>
      <w:rPr>
        <w:rFonts w:hint="default"/>
        <w:lang w:val="en-US" w:eastAsia="en-US" w:bidi="ar-SA"/>
      </w:rPr>
    </w:lvl>
    <w:lvl w:ilvl="5">
      <w:numFmt w:val="bullet"/>
      <w:lvlText w:val="•"/>
      <w:lvlJc w:val="left"/>
      <w:pPr>
        <w:ind w:left="5102" w:hanging="374"/>
      </w:pPr>
      <w:rPr>
        <w:rFonts w:hint="default"/>
        <w:lang w:val="en-US" w:eastAsia="en-US" w:bidi="ar-SA"/>
      </w:rPr>
    </w:lvl>
    <w:lvl w:ilvl="6">
      <w:numFmt w:val="bullet"/>
      <w:lvlText w:val="•"/>
      <w:lvlJc w:val="left"/>
      <w:pPr>
        <w:ind w:left="6023" w:hanging="374"/>
      </w:pPr>
      <w:rPr>
        <w:rFonts w:hint="default"/>
        <w:lang w:val="en-US" w:eastAsia="en-US" w:bidi="ar-SA"/>
      </w:rPr>
    </w:lvl>
    <w:lvl w:ilvl="7">
      <w:numFmt w:val="bullet"/>
      <w:lvlText w:val="•"/>
      <w:lvlJc w:val="left"/>
      <w:pPr>
        <w:ind w:left="6943" w:hanging="374"/>
      </w:pPr>
      <w:rPr>
        <w:rFonts w:hint="default"/>
        <w:lang w:val="en-US" w:eastAsia="en-US" w:bidi="ar-SA"/>
      </w:rPr>
    </w:lvl>
    <w:lvl w:ilvl="8">
      <w:numFmt w:val="bullet"/>
      <w:lvlText w:val="•"/>
      <w:lvlJc w:val="left"/>
      <w:pPr>
        <w:ind w:left="7864" w:hanging="374"/>
      </w:pPr>
      <w:rPr>
        <w:rFonts w:hint="default"/>
        <w:lang w:val="en-US" w:eastAsia="en-US" w:bidi="ar-SA"/>
      </w:rPr>
    </w:lvl>
  </w:abstractNum>
  <w:abstractNum w:abstractNumId="46" w15:restartNumberingAfterBreak="0">
    <w:nsid w:val="125B731E"/>
    <w:multiLevelType w:val="hybridMultilevel"/>
    <w:tmpl w:val="41608582"/>
    <w:lvl w:ilvl="0" w:tplc="462092A8">
      <w:numFmt w:val="bullet"/>
      <w:lvlText w:val="•"/>
      <w:lvlJc w:val="left"/>
      <w:pPr>
        <w:ind w:left="25" w:hanging="76"/>
      </w:pPr>
      <w:rPr>
        <w:rFonts w:ascii="Arial" w:eastAsia="Arial" w:hAnsi="Arial" w:cs="Arial" w:hint="default"/>
        <w:color w:val="231F20"/>
        <w:w w:val="91"/>
        <w:sz w:val="13"/>
        <w:szCs w:val="13"/>
        <w:lang w:val="en-US" w:eastAsia="en-US" w:bidi="ar-SA"/>
      </w:rPr>
    </w:lvl>
    <w:lvl w:ilvl="1" w:tplc="CE261E36">
      <w:numFmt w:val="bullet"/>
      <w:lvlText w:val="•"/>
      <w:lvlJc w:val="left"/>
      <w:pPr>
        <w:ind w:left="256" w:hanging="76"/>
      </w:pPr>
      <w:rPr>
        <w:rFonts w:hint="default"/>
        <w:lang w:val="en-US" w:eastAsia="en-US" w:bidi="ar-SA"/>
      </w:rPr>
    </w:lvl>
    <w:lvl w:ilvl="2" w:tplc="534AC52C">
      <w:numFmt w:val="bullet"/>
      <w:lvlText w:val="•"/>
      <w:lvlJc w:val="left"/>
      <w:pPr>
        <w:ind w:left="493" w:hanging="76"/>
      </w:pPr>
      <w:rPr>
        <w:rFonts w:hint="default"/>
        <w:lang w:val="en-US" w:eastAsia="en-US" w:bidi="ar-SA"/>
      </w:rPr>
    </w:lvl>
    <w:lvl w:ilvl="3" w:tplc="B8680864">
      <w:numFmt w:val="bullet"/>
      <w:lvlText w:val="•"/>
      <w:lvlJc w:val="left"/>
      <w:pPr>
        <w:ind w:left="729" w:hanging="76"/>
      </w:pPr>
      <w:rPr>
        <w:rFonts w:hint="default"/>
        <w:lang w:val="en-US" w:eastAsia="en-US" w:bidi="ar-SA"/>
      </w:rPr>
    </w:lvl>
    <w:lvl w:ilvl="4" w:tplc="6130F842">
      <w:numFmt w:val="bullet"/>
      <w:lvlText w:val="•"/>
      <w:lvlJc w:val="left"/>
      <w:pPr>
        <w:ind w:left="966" w:hanging="76"/>
      </w:pPr>
      <w:rPr>
        <w:rFonts w:hint="default"/>
        <w:lang w:val="en-US" w:eastAsia="en-US" w:bidi="ar-SA"/>
      </w:rPr>
    </w:lvl>
    <w:lvl w:ilvl="5" w:tplc="7FF09126">
      <w:numFmt w:val="bullet"/>
      <w:lvlText w:val="•"/>
      <w:lvlJc w:val="left"/>
      <w:pPr>
        <w:ind w:left="1203" w:hanging="76"/>
      </w:pPr>
      <w:rPr>
        <w:rFonts w:hint="default"/>
        <w:lang w:val="en-US" w:eastAsia="en-US" w:bidi="ar-SA"/>
      </w:rPr>
    </w:lvl>
    <w:lvl w:ilvl="6" w:tplc="F584837E">
      <w:numFmt w:val="bullet"/>
      <w:lvlText w:val="•"/>
      <w:lvlJc w:val="left"/>
      <w:pPr>
        <w:ind w:left="1439" w:hanging="76"/>
      </w:pPr>
      <w:rPr>
        <w:rFonts w:hint="default"/>
        <w:lang w:val="en-US" w:eastAsia="en-US" w:bidi="ar-SA"/>
      </w:rPr>
    </w:lvl>
    <w:lvl w:ilvl="7" w:tplc="034CF516">
      <w:numFmt w:val="bullet"/>
      <w:lvlText w:val="•"/>
      <w:lvlJc w:val="left"/>
      <w:pPr>
        <w:ind w:left="1676" w:hanging="76"/>
      </w:pPr>
      <w:rPr>
        <w:rFonts w:hint="default"/>
        <w:lang w:val="en-US" w:eastAsia="en-US" w:bidi="ar-SA"/>
      </w:rPr>
    </w:lvl>
    <w:lvl w:ilvl="8" w:tplc="06FE7CCA">
      <w:numFmt w:val="bullet"/>
      <w:lvlText w:val="•"/>
      <w:lvlJc w:val="left"/>
      <w:pPr>
        <w:ind w:left="1912" w:hanging="76"/>
      </w:pPr>
      <w:rPr>
        <w:rFonts w:hint="default"/>
        <w:lang w:val="en-US" w:eastAsia="en-US" w:bidi="ar-SA"/>
      </w:rPr>
    </w:lvl>
  </w:abstractNum>
  <w:abstractNum w:abstractNumId="47" w15:restartNumberingAfterBreak="0">
    <w:nsid w:val="12796E44"/>
    <w:multiLevelType w:val="hybridMultilevel"/>
    <w:tmpl w:val="D0C6EE70"/>
    <w:lvl w:ilvl="0" w:tplc="DC0E8B00">
      <w:numFmt w:val="bullet"/>
      <w:lvlText w:val="•"/>
      <w:lvlJc w:val="left"/>
      <w:pPr>
        <w:ind w:left="21" w:hanging="74"/>
      </w:pPr>
      <w:rPr>
        <w:rFonts w:ascii="Arial" w:eastAsia="Arial" w:hAnsi="Arial" w:cs="Arial" w:hint="default"/>
        <w:color w:val="231F20"/>
        <w:w w:val="97"/>
        <w:sz w:val="12"/>
        <w:szCs w:val="12"/>
        <w:lang w:val="en-US" w:eastAsia="en-US" w:bidi="ar-SA"/>
      </w:rPr>
    </w:lvl>
    <w:lvl w:ilvl="1" w:tplc="EDA0C1EE">
      <w:numFmt w:val="bullet"/>
      <w:lvlText w:val="•"/>
      <w:lvlJc w:val="left"/>
      <w:pPr>
        <w:ind w:left="250" w:hanging="74"/>
      </w:pPr>
      <w:rPr>
        <w:rFonts w:hint="default"/>
        <w:lang w:val="en-US" w:eastAsia="en-US" w:bidi="ar-SA"/>
      </w:rPr>
    </w:lvl>
    <w:lvl w:ilvl="2" w:tplc="3C94650C">
      <w:numFmt w:val="bullet"/>
      <w:lvlText w:val="•"/>
      <w:lvlJc w:val="left"/>
      <w:pPr>
        <w:ind w:left="481" w:hanging="74"/>
      </w:pPr>
      <w:rPr>
        <w:rFonts w:hint="default"/>
        <w:lang w:val="en-US" w:eastAsia="en-US" w:bidi="ar-SA"/>
      </w:rPr>
    </w:lvl>
    <w:lvl w:ilvl="3" w:tplc="DCC057C4">
      <w:numFmt w:val="bullet"/>
      <w:lvlText w:val="•"/>
      <w:lvlJc w:val="left"/>
      <w:pPr>
        <w:ind w:left="712" w:hanging="74"/>
      </w:pPr>
      <w:rPr>
        <w:rFonts w:hint="default"/>
        <w:lang w:val="en-US" w:eastAsia="en-US" w:bidi="ar-SA"/>
      </w:rPr>
    </w:lvl>
    <w:lvl w:ilvl="4" w:tplc="79F2DE1E">
      <w:numFmt w:val="bullet"/>
      <w:lvlText w:val="•"/>
      <w:lvlJc w:val="left"/>
      <w:pPr>
        <w:ind w:left="943" w:hanging="74"/>
      </w:pPr>
      <w:rPr>
        <w:rFonts w:hint="default"/>
        <w:lang w:val="en-US" w:eastAsia="en-US" w:bidi="ar-SA"/>
      </w:rPr>
    </w:lvl>
    <w:lvl w:ilvl="5" w:tplc="C4FEC518">
      <w:numFmt w:val="bullet"/>
      <w:lvlText w:val="•"/>
      <w:lvlJc w:val="left"/>
      <w:pPr>
        <w:ind w:left="1174" w:hanging="74"/>
      </w:pPr>
      <w:rPr>
        <w:rFonts w:hint="default"/>
        <w:lang w:val="en-US" w:eastAsia="en-US" w:bidi="ar-SA"/>
      </w:rPr>
    </w:lvl>
    <w:lvl w:ilvl="6" w:tplc="DADA6D82">
      <w:numFmt w:val="bullet"/>
      <w:lvlText w:val="•"/>
      <w:lvlJc w:val="left"/>
      <w:pPr>
        <w:ind w:left="1404" w:hanging="74"/>
      </w:pPr>
      <w:rPr>
        <w:rFonts w:hint="default"/>
        <w:lang w:val="en-US" w:eastAsia="en-US" w:bidi="ar-SA"/>
      </w:rPr>
    </w:lvl>
    <w:lvl w:ilvl="7" w:tplc="95D4836E">
      <w:numFmt w:val="bullet"/>
      <w:lvlText w:val="•"/>
      <w:lvlJc w:val="left"/>
      <w:pPr>
        <w:ind w:left="1635" w:hanging="74"/>
      </w:pPr>
      <w:rPr>
        <w:rFonts w:hint="default"/>
        <w:lang w:val="en-US" w:eastAsia="en-US" w:bidi="ar-SA"/>
      </w:rPr>
    </w:lvl>
    <w:lvl w:ilvl="8" w:tplc="AA7CFF00">
      <w:numFmt w:val="bullet"/>
      <w:lvlText w:val="•"/>
      <w:lvlJc w:val="left"/>
      <w:pPr>
        <w:ind w:left="1866" w:hanging="74"/>
      </w:pPr>
      <w:rPr>
        <w:rFonts w:hint="default"/>
        <w:lang w:val="en-US" w:eastAsia="en-US" w:bidi="ar-SA"/>
      </w:rPr>
    </w:lvl>
  </w:abstractNum>
  <w:abstractNum w:abstractNumId="48" w15:restartNumberingAfterBreak="0">
    <w:nsid w:val="1285215E"/>
    <w:multiLevelType w:val="hybridMultilevel"/>
    <w:tmpl w:val="A8F2DC0C"/>
    <w:lvl w:ilvl="0" w:tplc="477AA892">
      <w:numFmt w:val="bullet"/>
      <w:lvlText w:val="•"/>
      <w:lvlJc w:val="left"/>
      <w:pPr>
        <w:ind w:left="25" w:hanging="78"/>
      </w:pPr>
      <w:rPr>
        <w:rFonts w:ascii="Arial" w:eastAsia="Arial" w:hAnsi="Arial" w:cs="Arial" w:hint="default"/>
        <w:color w:val="231F20"/>
        <w:w w:val="95"/>
        <w:sz w:val="13"/>
        <w:szCs w:val="13"/>
        <w:lang w:val="en-US" w:eastAsia="en-US" w:bidi="ar-SA"/>
      </w:rPr>
    </w:lvl>
    <w:lvl w:ilvl="1" w:tplc="74160A34">
      <w:numFmt w:val="bullet"/>
      <w:lvlText w:val="•"/>
      <w:lvlJc w:val="left"/>
      <w:pPr>
        <w:ind w:left="265" w:hanging="78"/>
      </w:pPr>
      <w:rPr>
        <w:rFonts w:hint="default"/>
        <w:lang w:val="en-US" w:eastAsia="en-US" w:bidi="ar-SA"/>
      </w:rPr>
    </w:lvl>
    <w:lvl w:ilvl="2" w:tplc="DBA87354">
      <w:numFmt w:val="bullet"/>
      <w:lvlText w:val="•"/>
      <w:lvlJc w:val="left"/>
      <w:pPr>
        <w:ind w:left="510" w:hanging="78"/>
      </w:pPr>
      <w:rPr>
        <w:rFonts w:hint="default"/>
        <w:lang w:val="en-US" w:eastAsia="en-US" w:bidi="ar-SA"/>
      </w:rPr>
    </w:lvl>
    <w:lvl w:ilvl="3" w:tplc="DB888364">
      <w:numFmt w:val="bullet"/>
      <w:lvlText w:val="•"/>
      <w:lvlJc w:val="left"/>
      <w:pPr>
        <w:ind w:left="755" w:hanging="78"/>
      </w:pPr>
      <w:rPr>
        <w:rFonts w:hint="default"/>
        <w:lang w:val="en-US" w:eastAsia="en-US" w:bidi="ar-SA"/>
      </w:rPr>
    </w:lvl>
    <w:lvl w:ilvl="4" w:tplc="284AE7DE">
      <w:numFmt w:val="bullet"/>
      <w:lvlText w:val="•"/>
      <w:lvlJc w:val="left"/>
      <w:pPr>
        <w:ind w:left="1001" w:hanging="78"/>
      </w:pPr>
      <w:rPr>
        <w:rFonts w:hint="default"/>
        <w:lang w:val="en-US" w:eastAsia="en-US" w:bidi="ar-SA"/>
      </w:rPr>
    </w:lvl>
    <w:lvl w:ilvl="5" w:tplc="BE30E1F6">
      <w:numFmt w:val="bullet"/>
      <w:lvlText w:val="•"/>
      <w:lvlJc w:val="left"/>
      <w:pPr>
        <w:ind w:left="1246" w:hanging="78"/>
      </w:pPr>
      <w:rPr>
        <w:rFonts w:hint="default"/>
        <w:lang w:val="en-US" w:eastAsia="en-US" w:bidi="ar-SA"/>
      </w:rPr>
    </w:lvl>
    <w:lvl w:ilvl="6" w:tplc="41CA4140">
      <w:numFmt w:val="bullet"/>
      <w:lvlText w:val="•"/>
      <w:lvlJc w:val="left"/>
      <w:pPr>
        <w:ind w:left="1491" w:hanging="78"/>
      </w:pPr>
      <w:rPr>
        <w:rFonts w:hint="default"/>
        <w:lang w:val="en-US" w:eastAsia="en-US" w:bidi="ar-SA"/>
      </w:rPr>
    </w:lvl>
    <w:lvl w:ilvl="7" w:tplc="B7BA0D9E">
      <w:numFmt w:val="bullet"/>
      <w:lvlText w:val="•"/>
      <w:lvlJc w:val="left"/>
      <w:pPr>
        <w:ind w:left="1737" w:hanging="78"/>
      </w:pPr>
      <w:rPr>
        <w:rFonts w:hint="default"/>
        <w:lang w:val="en-US" w:eastAsia="en-US" w:bidi="ar-SA"/>
      </w:rPr>
    </w:lvl>
    <w:lvl w:ilvl="8" w:tplc="A98027C0">
      <w:numFmt w:val="bullet"/>
      <w:lvlText w:val="•"/>
      <w:lvlJc w:val="left"/>
      <w:pPr>
        <w:ind w:left="1982" w:hanging="78"/>
      </w:pPr>
      <w:rPr>
        <w:rFonts w:hint="default"/>
        <w:lang w:val="en-US" w:eastAsia="en-US" w:bidi="ar-SA"/>
      </w:rPr>
    </w:lvl>
  </w:abstractNum>
  <w:abstractNum w:abstractNumId="49" w15:restartNumberingAfterBreak="0">
    <w:nsid w:val="129A48F1"/>
    <w:multiLevelType w:val="hybridMultilevel"/>
    <w:tmpl w:val="0EF2BE20"/>
    <w:lvl w:ilvl="0" w:tplc="59E64AC4">
      <w:numFmt w:val="bullet"/>
      <w:lvlText w:val="•"/>
      <w:lvlJc w:val="left"/>
      <w:pPr>
        <w:ind w:left="24" w:hanging="68"/>
      </w:pPr>
      <w:rPr>
        <w:rFonts w:ascii="Arial" w:eastAsia="Arial" w:hAnsi="Arial" w:cs="Arial" w:hint="default"/>
        <w:color w:val="231F20"/>
        <w:w w:val="91"/>
        <w:sz w:val="13"/>
        <w:szCs w:val="13"/>
        <w:lang w:val="en-US" w:eastAsia="en-US" w:bidi="ar-SA"/>
      </w:rPr>
    </w:lvl>
    <w:lvl w:ilvl="1" w:tplc="A5182AEA">
      <w:numFmt w:val="bullet"/>
      <w:lvlText w:val="•"/>
      <w:lvlJc w:val="left"/>
      <w:pPr>
        <w:ind w:left="254" w:hanging="68"/>
      </w:pPr>
      <w:rPr>
        <w:rFonts w:hint="default"/>
        <w:lang w:val="en-US" w:eastAsia="en-US" w:bidi="ar-SA"/>
      </w:rPr>
    </w:lvl>
    <w:lvl w:ilvl="2" w:tplc="B102315E">
      <w:numFmt w:val="bullet"/>
      <w:lvlText w:val="•"/>
      <w:lvlJc w:val="left"/>
      <w:pPr>
        <w:ind w:left="489" w:hanging="68"/>
      </w:pPr>
      <w:rPr>
        <w:rFonts w:hint="default"/>
        <w:lang w:val="en-US" w:eastAsia="en-US" w:bidi="ar-SA"/>
      </w:rPr>
    </w:lvl>
    <w:lvl w:ilvl="3" w:tplc="5D2E4640">
      <w:numFmt w:val="bullet"/>
      <w:lvlText w:val="•"/>
      <w:lvlJc w:val="left"/>
      <w:pPr>
        <w:ind w:left="723" w:hanging="68"/>
      </w:pPr>
      <w:rPr>
        <w:rFonts w:hint="default"/>
        <w:lang w:val="en-US" w:eastAsia="en-US" w:bidi="ar-SA"/>
      </w:rPr>
    </w:lvl>
    <w:lvl w:ilvl="4" w:tplc="74705F36">
      <w:numFmt w:val="bullet"/>
      <w:lvlText w:val="•"/>
      <w:lvlJc w:val="left"/>
      <w:pPr>
        <w:ind w:left="958" w:hanging="68"/>
      </w:pPr>
      <w:rPr>
        <w:rFonts w:hint="default"/>
        <w:lang w:val="en-US" w:eastAsia="en-US" w:bidi="ar-SA"/>
      </w:rPr>
    </w:lvl>
    <w:lvl w:ilvl="5" w:tplc="1FCC43AE">
      <w:numFmt w:val="bullet"/>
      <w:lvlText w:val="•"/>
      <w:lvlJc w:val="left"/>
      <w:pPr>
        <w:ind w:left="1193" w:hanging="68"/>
      </w:pPr>
      <w:rPr>
        <w:rFonts w:hint="default"/>
        <w:lang w:val="en-US" w:eastAsia="en-US" w:bidi="ar-SA"/>
      </w:rPr>
    </w:lvl>
    <w:lvl w:ilvl="6" w:tplc="FBD25514">
      <w:numFmt w:val="bullet"/>
      <w:lvlText w:val="•"/>
      <w:lvlJc w:val="left"/>
      <w:pPr>
        <w:ind w:left="1427" w:hanging="68"/>
      </w:pPr>
      <w:rPr>
        <w:rFonts w:hint="default"/>
        <w:lang w:val="en-US" w:eastAsia="en-US" w:bidi="ar-SA"/>
      </w:rPr>
    </w:lvl>
    <w:lvl w:ilvl="7" w:tplc="39D4EECC">
      <w:numFmt w:val="bullet"/>
      <w:lvlText w:val="•"/>
      <w:lvlJc w:val="left"/>
      <w:pPr>
        <w:ind w:left="1662" w:hanging="68"/>
      </w:pPr>
      <w:rPr>
        <w:rFonts w:hint="default"/>
        <w:lang w:val="en-US" w:eastAsia="en-US" w:bidi="ar-SA"/>
      </w:rPr>
    </w:lvl>
    <w:lvl w:ilvl="8" w:tplc="BD8E96E6">
      <w:numFmt w:val="bullet"/>
      <w:lvlText w:val="•"/>
      <w:lvlJc w:val="left"/>
      <w:pPr>
        <w:ind w:left="1896" w:hanging="68"/>
      </w:pPr>
      <w:rPr>
        <w:rFonts w:hint="default"/>
        <w:lang w:val="en-US" w:eastAsia="en-US" w:bidi="ar-SA"/>
      </w:rPr>
    </w:lvl>
  </w:abstractNum>
  <w:abstractNum w:abstractNumId="50" w15:restartNumberingAfterBreak="0">
    <w:nsid w:val="12BF69BA"/>
    <w:multiLevelType w:val="hybridMultilevel"/>
    <w:tmpl w:val="AEE2AA1A"/>
    <w:lvl w:ilvl="0" w:tplc="3282F6DE">
      <w:numFmt w:val="bullet"/>
      <w:lvlText w:val="•"/>
      <w:lvlJc w:val="left"/>
      <w:pPr>
        <w:ind w:left="21" w:hanging="75"/>
      </w:pPr>
      <w:rPr>
        <w:rFonts w:ascii="Arial" w:eastAsia="Arial" w:hAnsi="Arial" w:cs="Arial" w:hint="default"/>
        <w:color w:val="231F20"/>
        <w:w w:val="107"/>
        <w:sz w:val="11"/>
        <w:szCs w:val="11"/>
        <w:lang w:val="en-US" w:eastAsia="en-US" w:bidi="ar-SA"/>
      </w:rPr>
    </w:lvl>
    <w:lvl w:ilvl="1" w:tplc="58CE3ADE">
      <w:numFmt w:val="bullet"/>
      <w:lvlText w:val="•"/>
      <w:lvlJc w:val="left"/>
      <w:pPr>
        <w:ind w:left="254" w:hanging="75"/>
      </w:pPr>
      <w:rPr>
        <w:rFonts w:hint="default"/>
        <w:lang w:val="en-US" w:eastAsia="en-US" w:bidi="ar-SA"/>
      </w:rPr>
    </w:lvl>
    <w:lvl w:ilvl="2" w:tplc="ACA84074">
      <w:numFmt w:val="bullet"/>
      <w:lvlText w:val="•"/>
      <w:lvlJc w:val="left"/>
      <w:pPr>
        <w:ind w:left="488" w:hanging="75"/>
      </w:pPr>
      <w:rPr>
        <w:rFonts w:hint="default"/>
        <w:lang w:val="en-US" w:eastAsia="en-US" w:bidi="ar-SA"/>
      </w:rPr>
    </w:lvl>
    <w:lvl w:ilvl="3" w:tplc="0506F762">
      <w:numFmt w:val="bullet"/>
      <w:lvlText w:val="•"/>
      <w:lvlJc w:val="left"/>
      <w:pPr>
        <w:ind w:left="723" w:hanging="75"/>
      </w:pPr>
      <w:rPr>
        <w:rFonts w:hint="default"/>
        <w:lang w:val="en-US" w:eastAsia="en-US" w:bidi="ar-SA"/>
      </w:rPr>
    </w:lvl>
    <w:lvl w:ilvl="4" w:tplc="2F0AFE5A">
      <w:numFmt w:val="bullet"/>
      <w:lvlText w:val="•"/>
      <w:lvlJc w:val="left"/>
      <w:pPr>
        <w:ind w:left="957" w:hanging="75"/>
      </w:pPr>
      <w:rPr>
        <w:rFonts w:hint="default"/>
        <w:lang w:val="en-US" w:eastAsia="en-US" w:bidi="ar-SA"/>
      </w:rPr>
    </w:lvl>
    <w:lvl w:ilvl="5" w:tplc="55DC6FF2">
      <w:numFmt w:val="bullet"/>
      <w:lvlText w:val="•"/>
      <w:lvlJc w:val="left"/>
      <w:pPr>
        <w:ind w:left="1192" w:hanging="75"/>
      </w:pPr>
      <w:rPr>
        <w:rFonts w:hint="default"/>
        <w:lang w:val="en-US" w:eastAsia="en-US" w:bidi="ar-SA"/>
      </w:rPr>
    </w:lvl>
    <w:lvl w:ilvl="6" w:tplc="2D0215CA">
      <w:numFmt w:val="bullet"/>
      <w:lvlText w:val="•"/>
      <w:lvlJc w:val="left"/>
      <w:pPr>
        <w:ind w:left="1426" w:hanging="75"/>
      </w:pPr>
      <w:rPr>
        <w:rFonts w:hint="default"/>
        <w:lang w:val="en-US" w:eastAsia="en-US" w:bidi="ar-SA"/>
      </w:rPr>
    </w:lvl>
    <w:lvl w:ilvl="7" w:tplc="4CC6D3BC">
      <w:numFmt w:val="bullet"/>
      <w:lvlText w:val="•"/>
      <w:lvlJc w:val="left"/>
      <w:pPr>
        <w:ind w:left="1660" w:hanging="75"/>
      </w:pPr>
      <w:rPr>
        <w:rFonts w:hint="default"/>
        <w:lang w:val="en-US" w:eastAsia="en-US" w:bidi="ar-SA"/>
      </w:rPr>
    </w:lvl>
    <w:lvl w:ilvl="8" w:tplc="8A7E89AC">
      <w:numFmt w:val="bullet"/>
      <w:lvlText w:val="•"/>
      <w:lvlJc w:val="left"/>
      <w:pPr>
        <w:ind w:left="1895" w:hanging="75"/>
      </w:pPr>
      <w:rPr>
        <w:rFonts w:hint="default"/>
        <w:lang w:val="en-US" w:eastAsia="en-US" w:bidi="ar-SA"/>
      </w:rPr>
    </w:lvl>
  </w:abstractNum>
  <w:abstractNum w:abstractNumId="51" w15:restartNumberingAfterBreak="0">
    <w:nsid w:val="141D5475"/>
    <w:multiLevelType w:val="hybridMultilevel"/>
    <w:tmpl w:val="B7B88190"/>
    <w:lvl w:ilvl="0" w:tplc="D93A3DFC">
      <w:numFmt w:val="bullet"/>
      <w:lvlText w:val="•"/>
      <w:lvlJc w:val="left"/>
      <w:pPr>
        <w:ind w:left="27" w:hanging="78"/>
      </w:pPr>
      <w:rPr>
        <w:rFonts w:ascii="Arial" w:eastAsia="Arial" w:hAnsi="Arial" w:cs="Arial" w:hint="default"/>
        <w:color w:val="231F20"/>
        <w:w w:val="87"/>
        <w:sz w:val="14"/>
        <w:szCs w:val="14"/>
        <w:lang w:val="en-US" w:eastAsia="en-US" w:bidi="ar-SA"/>
      </w:rPr>
    </w:lvl>
    <w:lvl w:ilvl="1" w:tplc="6F185226">
      <w:numFmt w:val="bullet"/>
      <w:lvlText w:val="•"/>
      <w:lvlJc w:val="left"/>
      <w:pPr>
        <w:ind w:left="263" w:hanging="78"/>
      </w:pPr>
      <w:rPr>
        <w:rFonts w:hint="default"/>
        <w:lang w:val="en-US" w:eastAsia="en-US" w:bidi="ar-SA"/>
      </w:rPr>
    </w:lvl>
    <w:lvl w:ilvl="2" w:tplc="E4A63DF8">
      <w:numFmt w:val="bullet"/>
      <w:lvlText w:val="•"/>
      <w:lvlJc w:val="left"/>
      <w:pPr>
        <w:ind w:left="507" w:hanging="78"/>
      </w:pPr>
      <w:rPr>
        <w:rFonts w:hint="default"/>
        <w:lang w:val="en-US" w:eastAsia="en-US" w:bidi="ar-SA"/>
      </w:rPr>
    </w:lvl>
    <w:lvl w:ilvl="3" w:tplc="E0E8E212">
      <w:numFmt w:val="bullet"/>
      <w:lvlText w:val="•"/>
      <w:lvlJc w:val="left"/>
      <w:pPr>
        <w:ind w:left="750" w:hanging="78"/>
      </w:pPr>
      <w:rPr>
        <w:rFonts w:hint="default"/>
        <w:lang w:val="en-US" w:eastAsia="en-US" w:bidi="ar-SA"/>
      </w:rPr>
    </w:lvl>
    <w:lvl w:ilvl="4" w:tplc="6736234E">
      <w:numFmt w:val="bullet"/>
      <w:lvlText w:val="•"/>
      <w:lvlJc w:val="left"/>
      <w:pPr>
        <w:ind w:left="994" w:hanging="78"/>
      </w:pPr>
      <w:rPr>
        <w:rFonts w:hint="default"/>
        <w:lang w:val="en-US" w:eastAsia="en-US" w:bidi="ar-SA"/>
      </w:rPr>
    </w:lvl>
    <w:lvl w:ilvl="5" w:tplc="C2142516">
      <w:numFmt w:val="bullet"/>
      <w:lvlText w:val="•"/>
      <w:lvlJc w:val="left"/>
      <w:pPr>
        <w:ind w:left="1238" w:hanging="78"/>
      </w:pPr>
      <w:rPr>
        <w:rFonts w:hint="default"/>
        <w:lang w:val="en-US" w:eastAsia="en-US" w:bidi="ar-SA"/>
      </w:rPr>
    </w:lvl>
    <w:lvl w:ilvl="6" w:tplc="00447B72">
      <w:numFmt w:val="bullet"/>
      <w:lvlText w:val="•"/>
      <w:lvlJc w:val="left"/>
      <w:pPr>
        <w:ind w:left="1481" w:hanging="78"/>
      </w:pPr>
      <w:rPr>
        <w:rFonts w:hint="default"/>
        <w:lang w:val="en-US" w:eastAsia="en-US" w:bidi="ar-SA"/>
      </w:rPr>
    </w:lvl>
    <w:lvl w:ilvl="7" w:tplc="46E07408">
      <w:numFmt w:val="bullet"/>
      <w:lvlText w:val="•"/>
      <w:lvlJc w:val="left"/>
      <w:pPr>
        <w:ind w:left="1725" w:hanging="78"/>
      </w:pPr>
      <w:rPr>
        <w:rFonts w:hint="default"/>
        <w:lang w:val="en-US" w:eastAsia="en-US" w:bidi="ar-SA"/>
      </w:rPr>
    </w:lvl>
    <w:lvl w:ilvl="8" w:tplc="DA604406">
      <w:numFmt w:val="bullet"/>
      <w:lvlText w:val="•"/>
      <w:lvlJc w:val="left"/>
      <w:pPr>
        <w:ind w:left="1968" w:hanging="78"/>
      </w:pPr>
      <w:rPr>
        <w:rFonts w:hint="default"/>
        <w:lang w:val="en-US" w:eastAsia="en-US" w:bidi="ar-SA"/>
      </w:rPr>
    </w:lvl>
  </w:abstractNum>
  <w:abstractNum w:abstractNumId="52" w15:restartNumberingAfterBreak="0">
    <w:nsid w:val="144010A0"/>
    <w:multiLevelType w:val="hybridMultilevel"/>
    <w:tmpl w:val="05DC0BD0"/>
    <w:lvl w:ilvl="0" w:tplc="A726C872">
      <w:numFmt w:val="bullet"/>
      <w:lvlText w:val="•"/>
      <w:lvlJc w:val="left"/>
      <w:pPr>
        <w:ind w:left="25" w:hanging="72"/>
      </w:pPr>
      <w:rPr>
        <w:rFonts w:ascii="Arial" w:eastAsia="Arial" w:hAnsi="Arial" w:cs="Arial" w:hint="default"/>
        <w:color w:val="231F20"/>
        <w:w w:val="88"/>
        <w:sz w:val="14"/>
        <w:szCs w:val="14"/>
        <w:lang w:val="en-US" w:eastAsia="en-US" w:bidi="ar-SA"/>
      </w:rPr>
    </w:lvl>
    <w:lvl w:ilvl="1" w:tplc="324E6470">
      <w:numFmt w:val="bullet"/>
      <w:lvlText w:val="•"/>
      <w:lvlJc w:val="left"/>
      <w:pPr>
        <w:ind w:left="266" w:hanging="72"/>
      </w:pPr>
      <w:rPr>
        <w:rFonts w:hint="default"/>
        <w:lang w:val="en-US" w:eastAsia="en-US" w:bidi="ar-SA"/>
      </w:rPr>
    </w:lvl>
    <w:lvl w:ilvl="2" w:tplc="7AFA29AA">
      <w:numFmt w:val="bullet"/>
      <w:lvlText w:val="•"/>
      <w:lvlJc w:val="left"/>
      <w:pPr>
        <w:ind w:left="512" w:hanging="72"/>
      </w:pPr>
      <w:rPr>
        <w:rFonts w:hint="default"/>
        <w:lang w:val="en-US" w:eastAsia="en-US" w:bidi="ar-SA"/>
      </w:rPr>
    </w:lvl>
    <w:lvl w:ilvl="3" w:tplc="BBB483A6">
      <w:numFmt w:val="bullet"/>
      <w:lvlText w:val="•"/>
      <w:lvlJc w:val="left"/>
      <w:pPr>
        <w:ind w:left="758" w:hanging="72"/>
      </w:pPr>
      <w:rPr>
        <w:rFonts w:hint="default"/>
        <w:lang w:val="en-US" w:eastAsia="en-US" w:bidi="ar-SA"/>
      </w:rPr>
    </w:lvl>
    <w:lvl w:ilvl="4" w:tplc="EBD02236">
      <w:numFmt w:val="bullet"/>
      <w:lvlText w:val="•"/>
      <w:lvlJc w:val="left"/>
      <w:pPr>
        <w:ind w:left="1004" w:hanging="72"/>
      </w:pPr>
      <w:rPr>
        <w:rFonts w:hint="default"/>
        <w:lang w:val="en-US" w:eastAsia="en-US" w:bidi="ar-SA"/>
      </w:rPr>
    </w:lvl>
    <w:lvl w:ilvl="5" w:tplc="F7B8D36A">
      <w:numFmt w:val="bullet"/>
      <w:lvlText w:val="•"/>
      <w:lvlJc w:val="left"/>
      <w:pPr>
        <w:ind w:left="1251" w:hanging="72"/>
      </w:pPr>
      <w:rPr>
        <w:rFonts w:hint="default"/>
        <w:lang w:val="en-US" w:eastAsia="en-US" w:bidi="ar-SA"/>
      </w:rPr>
    </w:lvl>
    <w:lvl w:ilvl="6" w:tplc="1688DF0C">
      <w:numFmt w:val="bullet"/>
      <w:lvlText w:val="•"/>
      <w:lvlJc w:val="left"/>
      <w:pPr>
        <w:ind w:left="1497" w:hanging="72"/>
      </w:pPr>
      <w:rPr>
        <w:rFonts w:hint="default"/>
        <w:lang w:val="en-US" w:eastAsia="en-US" w:bidi="ar-SA"/>
      </w:rPr>
    </w:lvl>
    <w:lvl w:ilvl="7" w:tplc="7B305392">
      <w:numFmt w:val="bullet"/>
      <w:lvlText w:val="•"/>
      <w:lvlJc w:val="left"/>
      <w:pPr>
        <w:ind w:left="1743" w:hanging="72"/>
      </w:pPr>
      <w:rPr>
        <w:rFonts w:hint="default"/>
        <w:lang w:val="en-US" w:eastAsia="en-US" w:bidi="ar-SA"/>
      </w:rPr>
    </w:lvl>
    <w:lvl w:ilvl="8" w:tplc="884E8598">
      <w:numFmt w:val="bullet"/>
      <w:lvlText w:val="•"/>
      <w:lvlJc w:val="left"/>
      <w:pPr>
        <w:ind w:left="1989" w:hanging="72"/>
      </w:pPr>
      <w:rPr>
        <w:rFonts w:hint="default"/>
        <w:lang w:val="en-US" w:eastAsia="en-US" w:bidi="ar-SA"/>
      </w:rPr>
    </w:lvl>
  </w:abstractNum>
  <w:abstractNum w:abstractNumId="53" w15:restartNumberingAfterBreak="0">
    <w:nsid w:val="145D779C"/>
    <w:multiLevelType w:val="hybridMultilevel"/>
    <w:tmpl w:val="F10A9FD2"/>
    <w:lvl w:ilvl="0" w:tplc="BC827EE8">
      <w:numFmt w:val="bullet"/>
      <w:lvlText w:val="•"/>
      <w:lvlJc w:val="left"/>
      <w:pPr>
        <w:ind w:left="18" w:hanging="74"/>
      </w:pPr>
      <w:rPr>
        <w:rFonts w:ascii="Arial" w:eastAsia="Arial" w:hAnsi="Arial" w:cs="Arial" w:hint="default"/>
        <w:color w:val="231F20"/>
        <w:w w:val="106"/>
        <w:sz w:val="11"/>
        <w:szCs w:val="11"/>
        <w:lang w:val="en-US" w:eastAsia="en-US" w:bidi="ar-SA"/>
      </w:rPr>
    </w:lvl>
    <w:lvl w:ilvl="1" w:tplc="FA24C00A">
      <w:numFmt w:val="bullet"/>
      <w:lvlText w:val="•"/>
      <w:lvlJc w:val="left"/>
      <w:pPr>
        <w:ind w:left="252" w:hanging="74"/>
      </w:pPr>
      <w:rPr>
        <w:rFonts w:hint="default"/>
        <w:lang w:val="en-US" w:eastAsia="en-US" w:bidi="ar-SA"/>
      </w:rPr>
    </w:lvl>
    <w:lvl w:ilvl="2" w:tplc="F954BDFC">
      <w:numFmt w:val="bullet"/>
      <w:lvlText w:val="•"/>
      <w:lvlJc w:val="left"/>
      <w:pPr>
        <w:ind w:left="485" w:hanging="74"/>
      </w:pPr>
      <w:rPr>
        <w:rFonts w:hint="default"/>
        <w:lang w:val="en-US" w:eastAsia="en-US" w:bidi="ar-SA"/>
      </w:rPr>
    </w:lvl>
    <w:lvl w:ilvl="3" w:tplc="FADEA3C6">
      <w:numFmt w:val="bullet"/>
      <w:lvlText w:val="•"/>
      <w:lvlJc w:val="left"/>
      <w:pPr>
        <w:ind w:left="718" w:hanging="74"/>
      </w:pPr>
      <w:rPr>
        <w:rFonts w:hint="default"/>
        <w:lang w:val="en-US" w:eastAsia="en-US" w:bidi="ar-SA"/>
      </w:rPr>
    </w:lvl>
    <w:lvl w:ilvl="4" w:tplc="76529992">
      <w:numFmt w:val="bullet"/>
      <w:lvlText w:val="•"/>
      <w:lvlJc w:val="left"/>
      <w:pPr>
        <w:ind w:left="951" w:hanging="74"/>
      </w:pPr>
      <w:rPr>
        <w:rFonts w:hint="default"/>
        <w:lang w:val="en-US" w:eastAsia="en-US" w:bidi="ar-SA"/>
      </w:rPr>
    </w:lvl>
    <w:lvl w:ilvl="5" w:tplc="0526D450">
      <w:numFmt w:val="bullet"/>
      <w:lvlText w:val="•"/>
      <w:lvlJc w:val="left"/>
      <w:pPr>
        <w:ind w:left="1184" w:hanging="74"/>
      </w:pPr>
      <w:rPr>
        <w:rFonts w:hint="default"/>
        <w:lang w:val="en-US" w:eastAsia="en-US" w:bidi="ar-SA"/>
      </w:rPr>
    </w:lvl>
    <w:lvl w:ilvl="6" w:tplc="A8D2342A">
      <w:numFmt w:val="bullet"/>
      <w:lvlText w:val="•"/>
      <w:lvlJc w:val="left"/>
      <w:pPr>
        <w:ind w:left="1416" w:hanging="74"/>
      </w:pPr>
      <w:rPr>
        <w:rFonts w:hint="default"/>
        <w:lang w:val="en-US" w:eastAsia="en-US" w:bidi="ar-SA"/>
      </w:rPr>
    </w:lvl>
    <w:lvl w:ilvl="7" w:tplc="92E2945A">
      <w:numFmt w:val="bullet"/>
      <w:lvlText w:val="•"/>
      <w:lvlJc w:val="left"/>
      <w:pPr>
        <w:ind w:left="1649" w:hanging="74"/>
      </w:pPr>
      <w:rPr>
        <w:rFonts w:hint="default"/>
        <w:lang w:val="en-US" w:eastAsia="en-US" w:bidi="ar-SA"/>
      </w:rPr>
    </w:lvl>
    <w:lvl w:ilvl="8" w:tplc="C0145446">
      <w:numFmt w:val="bullet"/>
      <w:lvlText w:val="•"/>
      <w:lvlJc w:val="left"/>
      <w:pPr>
        <w:ind w:left="1882" w:hanging="74"/>
      </w:pPr>
      <w:rPr>
        <w:rFonts w:hint="default"/>
        <w:lang w:val="en-US" w:eastAsia="en-US" w:bidi="ar-SA"/>
      </w:rPr>
    </w:lvl>
  </w:abstractNum>
  <w:abstractNum w:abstractNumId="54" w15:restartNumberingAfterBreak="0">
    <w:nsid w:val="151C7985"/>
    <w:multiLevelType w:val="hybridMultilevel"/>
    <w:tmpl w:val="4E821FDE"/>
    <w:lvl w:ilvl="0" w:tplc="D626161E">
      <w:numFmt w:val="bullet"/>
      <w:lvlText w:val="•"/>
      <w:lvlJc w:val="left"/>
      <w:pPr>
        <w:ind w:left="25" w:hanging="71"/>
      </w:pPr>
      <w:rPr>
        <w:rFonts w:ascii="Arial" w:eastAsia="Arial" w:hAnsi="Arial" w:cs="Arial" w:hint="default"/>
        <w:color w:val="231F20"/>
        <w:w w:val="95"/>
        <w:sz w:val="13"/>
        <w:szCs w:val="13"/>
        <w:lang w:val="en-US" w:eastAsia="en-US" w:bidi="ar-SA"/>
      </w:rPr>
    </w:lvl>
    <w:lvl w:ilvl="1" w:tplc="C0D2D488">
      <w:numFmt w:val="bullet"/>
      <w:lvlText w:val="•"/>
      <w:lvlJc w:val="left"/>
      <w:pPr>
        <w:ind w:left="265" w:hanging="71"/>
      </w:pPr>
      <w:rPr>
        <w:rFonts w:hint="default"/>
        <w:lang w:val="en-US" w:eastAsia="en-US" w:bidi="ar-SA"/>
      </w:rPr>
    </w:lvl>
    <w:lvl w:ilvl="2" w:tplc="EA78BDAE">
      <w:numFmt w:val="bullet"/>
      <w:lvlText w:val="•"/>
      <w:lvlJc w:val="left"/>
      <w:pPr>
        <w:ind w:left="510" w:hanging="71"/>
      </w:pPr>
      <w:rPr>
        <w:rFonts w:hint="default"/>
        <w:lang w:val="en-US" w:eastAsia="en-US" w:bidi="ar-SA"/>
      </w:rPr>
    </w:lvl>
    <w:lvl w:ilvl="3" w:tplc="6EE822B0">
      <w:numFmt w:val="bullet"/>
      <w:lvlText w:val="•"/>
      <w:lvlJc w:val="left"/>
      <w:pPr>
        <w:ind w:left="755" w:hanging="71"/>
      </w:pPr>
      <w:rPr>
        <w:rFonts w:hint="default"/>
        <w:lang w:val="en-US" w:eastAsia="en-US" w:bidi="ar-SA"/>
      </w:rPr>
    </w:lvl>
    <w:lvl w:ilvl="4" w:tplc="2E04B82A">
      <w:numFmt w:val="bullet"/>
      <w:lvlText w:val="•"/>
      <w:lvlJc w:val="left"/>
      <w:pPr>
        <w:ind w:left="1001" w:hanging="71"/>
      </w:pPr>
      <w:rPr>
        <w:rFonts w:hint="default"/>
        <w:lang w:val="en-US" w:eastAsia="en-US" w:bidi="ar-SA"/>
      </w:rPr>
    </w:lvl>
    <w:lvl w:ilvl="5" w:tplc="C506FF38">
      <w:numFmt w:val="bullet"/>
      <w:lvlText w:val="•"/>
      <w:lvlJc w:val="left"/>
      <w:pPr>
        <w:ind w:left="1246" w:hanging="71"/>
      </w:pPr>
      <w:rPr>
        <w:rFonts w:hint="default"/>
        <w:lang w:val="en-US" w:eastAsia="en-US" w:bidi="ar-SA"/>
      </w:rPr>
    </w:lvl>
    <w:lvl w:ilvl="6" w:tplc="C9B0DBCA">
      <w:numFmt w:val="bullet"/>
      <w:lvlText w:val="•"/>
      <w:lvlJc w:val="left"/>
      <w:pPr>
        <w:ind w:left="1491" w:hanging="71"/>
      </w:pPr>
      <w:rPr>
        <w:rFonts w:hint="default"/>
        <w:lang w:val="en-US" w:eastAsia="en-US" w:bidi="ar-SA"/>
      </w:rPr>
    </w:lvl>
    <w:lvl w:ilvl="7" w:tplc="828240C2">
      <w:numFmt w:val="bullet"/>
      <w:lvlText w:val="•"/>
      <w:lvlJc w:val="left"/>
      <w:pPr>
        <w:ind w:left="1737" w:hanging="71"/>
      </w:pPr>
      <w:rPr>
        <w:rFonts w:hint="default"/>
        <w:lang w:val="en-US" w:eastAsia="en-US" w:bidi="ar-SA"/>
      </w:rPr>
    </w:lvl>
    <w:lvl w:ilvl="8" w:tplc="DCF648CA">
      <w:numFmt w:val="bullet"/>
      <w:lvlText w:val="•"/>
      <w:lvlJc w:val="left"/>
      <w:pPr>
        <w:ind w:left="1982" w:hanging="71"/>
      </w:pPr>
      <w:rPr>
        <w:rFonts w:hint="default"/>
        <w:lang w:val="en-US" w:eastAsia="en-US" w:bidi="ar-SA"/>
      </w:rPr>
    </w:lvl>
  </w:abstractNum>
  <w:abstractNum w:abstractNumId="55" w15:restartNumberingAfterBreak="0">
    <w:nsid w:val="15BA3568"/>
    <w:multiLevelType w:val="hybridMultilevel"/>
    <w:tmpl w:val="0E5E90D2"/>
    <w:lvl w:ilvl="0" w:tplc="569885C6">
      <w:numFmt w:val="bullet"/>
      <w:lvlText w:val="•"/>
      <w:lvlJc w:val="left"/>
      <w:pPr>
        <w:ind w:left="20" w:hanging="75"/>
      </w:pPr>
      <w:rPr>
        <w:rFonts w:ascii="Arial" w:eastAsia="Arial" w:hAnsi="Arial" w:cs="Arial" w:hint="default"/>
        <w:color w:val="231F20"/>
        <w:w w:val="98"/>
        <w:sz w:val="12"/>
        <w:szCs w:val="12"/>
        <w:lang w:val="en-US" w:eastAsia="en-US" w:bidi="ar-SA"/>
      </w:rPr>
    </w:lvl>
    <w:lvl w:ilvl="1" w:tplc="8590568C">
      <w:numFmt w:val="bullet"/>
      <w:lvlText w:val="•"/>
      <w:lvlJc w:val="left"/>
      <w:pPr>
        <w:ind w:left="255" w:hanging="75"/>
      </w:pPr>
      <w:rPr>
        <w:rFonts w:hint="default"/>
        <w:lang w:val="en-US" w:eastAsia="en-US" w:bidi="ar-SA"/>
      </w:rPr>
    </w:lvl>
    <w:lvl w:ilvl="2" w:tplc="CE529BA2">
      <w:numFmt w:val="bullet"/>
      <w:lvlText w:val="•"/>
      <w:lvlJc w:val="left"/>
      <w:pPr>
        <w:ind w:left="490" w:hanging="75"/>
      </w:pPr>
      <w:rPr>
        <w:rFonts w:hint="default"/>
        <w:lang w:val="en-US" w:eastAsia="en-US" w:bidi="ar-SA"/>
      </w:rPr>
    </w:lvl>
    <w:lvl w:ilvl="3" w:tplc="FF5ADBC4">
      <w:numFmt w:val="bullet"/>
      <w:lvlText w:val="•"/>
      <w:lvlJc w:val="left"/>
      <w:pPr>
        <w:ind w:left="725" w:hanging="75"/>
      </w:pPr>
      <w:rPr>
        <w:rFonts w:hint="default"/>
        <w:lang w:val="en-US" w:eastAsia="en-US" w:bidi="ar-SA"/>
      </w:rPr>
    </w:lvl>
    <w:lvl w:ilvl="4" w:tplc="7C9869EE">
      <w:numFmt w:val="bullet"/>
      <w:lvlText w:val="•"/>
      <w:lvlJc w:val="left"/>
      <w:pPr>
        <w:ind w:left="960" w:hanging="75"/>
      </w:pPr>
      <w:rPr>
        <w:rFonts w:hint="default"/>
        <w:lang w:val="en-US" w:eastAsia="en-US" w:bidi="ar-SA"/>
      </w:rPr>
    </w:lvl>
    <w:lvl w:ilvl="5" w:tplc="295E896A">
      <w:numFmt w:val="bullet"/>
      <w:lvlText w:val="•"/>
      <w:lvlJc w:val="left"/>
      <w:pPr>
        <w:ind w:left="1195" w:hanging="75"/>
      </w:pPr>
      <w:rPr>
        <w:rFonts w:hint="default"/>
        <w:lang w:val="en-US" w:eastAsia="en-US" w:bidi="ar-SA"/>
      </w:rPr>
    </w:lvl>
    <w:lvl w:ilvl="6" w:tplc="2BB407F2">
      <w:numFmt w:val="bullet"/>
      <w:lvlText w:val="•"/>
      <w:lvlJc w:val="left"/>
      <w:pPr>
        <w:ind w:left="1430" w:hanging="75"/>
      </w:pPr>
      <w:rPr>
        <w:rFonts w:hint="default"/>
        <w:lang w:val="en-US" w:eastAsia="en-US" w:bidi="ar-SA"/>
      </w:rPr>
    </w:lvl>
    <w:lvl w:ilvl="7" w:tplc="36969D76">
      <w:numFmt w:val="bullet"/>
      <w:lvlText w:val="•"/>
      <w:lvlJc w:val="left"/>
      <w:pPr>
        <w:ind w:left="1665" w:hanging="75"/>
      </w:pPr>
      <w:rPr>
        <w:rFonts w:hint="default"/>
        <w:lang w:val="en-US" w:eastAsia="en-US" w:bidi="ar-SA"/>
      </w:rPr>
    </w:lvl>
    <w:lvl w:ilvl="8" w:tplc="62D4F9B4">
      <w:numFmt w:val="bullet"/>
      <w:lvlText w:val="•"/>
      <w:lvlJc w:val="left"/>
      <w:pPr>
        <w:ind w:left="1900" w:hanging="75"/>
      </w:pPr>
      <w:rPr>
        <w:rFonts w:hint="default"/>
        <w:lang w:val="en-US" w:eastAsia="en-US" w:bidi="ar-SA"/>
      </w:rPr>
    </w:lvl>
  </w:abstractNum>
  <w:abstractNum w:abstractNumId="56" w15:restartNumberingAfterBreak="0">
    <w:nsid w:val="15EB0206"/>
    <w:multiLevelType w:val="hybridMultilevel"/>
    <w:tmpl w:val="BF5005AC"/>
    <w:lvl w:ilvl="0" w:tplc="D3307D6E">
      <w:numFmt w:val="bullet"/>
      <w:lvlText w:val="•"/>
      <w:lvlJc w:val="left"/>
      <w:pPr>
        <w:ind w:left="25" w:hanging="74"/>
      </w:pPr>
      <w:rPr>
        <w:rFonts w:ascii="Arial" w:eastAsia="Arial" w:hAnsi="Arial" w:cs="Arial" w:hint="default"/>
        <w:color w:val="231F20"/>
        <w:w w:val="83"/>
        <w:sz w:val="14"/>
        <w:szCs w:val="14"/>
        <w:lang w:val="en-US" w:eastAsia="en-US" w:bidi="ar-SA"/>
      </w:rPr>
    </w:lvl>
    <w:lvl w:ilvl="1" w:tplc="5AB64A7A">
      <w:numFmt w:val="bullet"/>
      <w:lvlText w:val="•"/>
      <w:lvlJc w:val="left"/>
      <w:pPr>
        <w:ind w:left="252" w:hanging="74"/>
      </w:pPr>
      <w:rPr>
        <w:rFonts w:hint="default"/>
        <w:lang w:val="en-US" w:eastAsia="en-US" w:bidi="ar-SA"/>
      </w:rPr>
    </w:lvl>
    <w:lvl w:ilvl="2" w:tplc="A6DE0A32">
      <w:numFmt w:val="bullet"/>
      <w:lvlText w:val="•"/>
      <w:lvlJc w:val="left"/>
      <w:pPr>
        <w:ind w:left="484" w:hanging="74"/>
      </w:pPr>
      <w:rPr>
        <w:rFonts w:hint="default"/>
        <w:lang w:val="en-US" w:eastAsia="en-US" w:bidi="ar-SA"/>
      </w:rPr>
    </w:lvl>
    <w:lvl w:ilvl="3" w:tplc="66D20F10">
      <w:numFmt w:val="bullet"/>
      <w:lvlText w:val="•"/>
      <w:lvlJc w:val="left"/>
      <w:pPr>
        <w:ind w:left="716" w:hanging="74"/>
      </w:pPr>
      <w:rPr>
        <w:rFonts w:hint="default"/>
        <w:lang w:val="en-US" w:eastAsia="en-US" w:bidi="ar-SA"/>
      </w:rPr>
    </w:lvl>
    <w:lvl w:ilvl="4" w:tplc="34D06E28">
      <w:numFmt w:val="bullet"/>
      <w:lvlText w:val="•"/>
      <w:lvlJc w:val="left"/>
      <w:pPr>
        <w:ind w:left="948" w:hanging="74"/>
      </w:pPr>
      <w:rPr>
        <w:rFonts w:hint="default"/>
        <w:lang w:val="en-US" w:eastAsia="en-US" w:bidi="ar-SA"/>
      </w:rPr>
    </w:lvl>
    <w:lvl w:ilvl="5" w:tplc="65FCCCB4">
      <w:numFmt w:val="bullet"/>
      <w:lvlText w:val="•"/>
      <w:lvlJc w:val="left"/>
      <w:pPr>
        <w:ind w:left="1181" w:hanging="74"/>
      </w:pPr>
      <w:rPr>
        <w:rFonts w:hint="default"/>
        <w:lang w:val="en-US" w:eastAsia="en-US" w:bidi="ar-SA"/>
      </w:rPr>
    </w:lvl>
    <w:lvl w:ilvl="6" w:tplc="9EC0A512">
      <w:numFmt w:val="bullet"/>
      <w:lvlText w:val="•"/>
      <w:lvlJc w:val="left"/>
      <w:pPr>
        <w:ind w:left="1413" w:hanging="74"/>
      </w:pPr>
      <w:rPr>
        <w:rFonts w:hint="default"/>
        <w:lang w:val="en-US" w:eastAsia="en-US" w:bidi="ar-SA"/>
      </w:rPr>
    </w:lvl>
    <w:lvl w:ilvl="7" w:tplc="500EAAC6">
      <w:numFmt w:val="bullet"/>
      <w:lvlText w:val="•"/>
      <w:lvlJc w:val="left"/>
      <w:pPr>
        <w:ind w:left="1645" w:hanging="74"/>
      </w:pPr>
      <w:rPr>
        <w:rFonts w:hint="default"/>
        <w:lang w:val="en-US" w:eastAsia="en-US" w:bidi="ar-SA"/>
      </w:rPr>
    </w:lvl>
    <w:lvl w:ilvl="8" w:tplc="FA7063A6">
      <w:numFmt w:val="bullet"/>
      <w:lvlText w:val="•"/>
      <w:lvlJc w:val="left"/>
      <w:pPr>
        <w:ind w:left="1877" w:hanging="74"/>
      </w:pPr>
      <w:rPr>
        <w:rFonts w:hint="default"/>
        <w:lang w:val="en-US" w:eastAsia="en-US" w:bidi="ar-SA"/>
      </w:rPr>
    </w:lvl>
  </w:abstractNum>
  <w:abstractNum w:abstractNumId="57" w15:restartNumberingAfterBreak="0">
    <w:nsid w:val="169A5343"/>
    <w:multiLevelType w:val="hybridMultilevel"/>
    <w:tmpl w:val="0FF23670"/>
    <w:lvl w:ilvl="0" w:tplc="B7FEF8C0">
      <w:start w:val="1"/>
      <w:numFmt w:val="lowerLetter"/>
      <w:lvlText w:val="%1."/>
      <w:lvlJc w:val="left"/>
      <w:pPr>
        <w:ind w:left="874" w:hanging="360"/>
      </w:pPr>
      <w:rPr>
        <w:rFonts w:ascii="Arial" w:eastAsia="Arial" w:hAnsi="Arial" w:cs="Arial" w:hint="default"/>
        <w:color w:val="231F20"/>
        <w:spacing w:val="-27"/>
        <w:w w:val="99"/>
        <w:sz w:val="22"/>
        <w:szCs w:val="22"/>
        <w:lang w:val="en-US" w:eastAsia="en-US" w:bidi="ar-SA"/>
      </w:rPr>
    </w:lvl>
    <w:lvl w:ilvl="1" w:tplc="7004D0D8">
      <w:numFmt w:val="bullet"/>
      <w:lvlText w:val="•"/>
      <w:lvlJc w:val="left"/>
      <w:pPr>
        <w:ind w:left="1762" w:hanging="360"/>
      </w:pPr>
      <w:rPr>
        <w:rFonts w:hint="default"/>
        <w:lang w:val="en-US" w:eastAsia="en-US" w:bidi="ar-SA"/>
      </w:rPr>
    </w:lvl>
    <w:lvl w:ilvl="2" w:tplc="A858A142">
      <w:numFmt w:val="bullet"/>
      <w:lvlText w:val="•"/>
      <w:lvlJc w:val="left"/>
      <w:pPr>
        <w:ind w:left="2645" w:hanging="360"/>
      </w:pPr>
      <w:rPr>
        <w:rFonts w:hint="default"/>
        <w:lang w:val="en-US" w:eastAsia="en-US" w:bidi="ar-SA"/>
      </w:rPr>
    </w:lvl>
    <w:lvl w:ilvl="3" w:tplc="CE900B4E">
      <w:numFmt w:val="bullet"/>
      <w:lvlText w:val="•"/>
      <w:lvlJc w:val="left"/>
      <w:pPr>
        <w:ind w:left="3527" w:hanging="360"/>
      </w:pPr>
      <w:rPr>
        <w:rFonts w:hint="default"/>
        <w:lang w:val="en-US" w:eastAsia="en-US" w:bidi="ar-SA"/>
      </w:rPr>
    </w:lvl>
    <w:lvl w:ilvl="4" w:tplc="10C0D142">
      <w:numFmt w:val="bullet"/>
      <w:lvlText w:val="•"/>
      <w:lvlJc w:val="left"/>
      <w:pPr>
        <w:ind w:left="4410" w:hanging="360"/>
      </w:pPr>
      <w:rPr>
        <w:rFonts w:hint="default"/>
        <w:lang w:val="en-US" w:eastAsia="en-US" w:bidi="ar-SA"/>
      </w:rPr>
    </w:lvl>
    <w:lvl w:ilvl="5" w:tplc="895AA17C">
      <w:numFmt w:val="bullet"/>
      <w:lvlText w:val="•"/>
      <w:lvlJc w:val="left"/>
      <w:pPr>
        <w:ind w:left="5292" w:hanging="360"/>
      </w:pPr>
      <w:rPr>
        <w:rFonts w:hint="default"/>
        <w:lang w:val="en-US" w:eastAsia="en-US" w:bidi="ar-SA"/>
      </w:rPr>
    </w:lvl>
    <w:lvl w:ilvl="6" w:tplc="C136B5C6">
      <w:numFmt w:val="bullet"/>
      <w:lvlText w:val="•"/>
      <w:lvlJc w:val="left"/>
      <w:pPr>
        <w:ind w:left="6175" w:hanging="360"/>
      </w:pPr>
      <w:rPr>
        <w:rFonts w:hint="default"/>
        <w:lang w:val="en-US" w:eastAsia="en-US" w:bidi="ar-SA"/>
      </w:rPr>
    </w:lvl>
    <w:lvl w:ilvl="7" w:tplc="1818DA9E">
      <w:numFmt w:val="bullet"/>
      <w:lvlText w:val="•"/>
      <w:lvlJc w:val="left"/>
      <w:pPr>
        <w:ind w:left="7057" w:hanging="360"/>
      </w:pPr>
      <w:rPr>
        <w:rFonts w:hint="default"/>
        <w:lang w:val="en-US" w:eastAsia="en-US" w:bidi="ar-SA"/>
      </w:rPr>
    </w:lvl>
    <w:lvl w:ilvl="8" w:tplc="9EBC151C">
      <w:numFmt w:val="bullet"/>
      <w:lvlText w:val="•"/>
      <w:lvlJc w:val="left"/>
      <w:pPr>
        <w:ind w:left="7940" w:hanging="360"/>
      </w:pPr>
      <w:rPr>
        <w:rFonts w:hint="default"/>
        <w:lang w:val="en-US" w:eastAsia="en-US" w:bidi="ar-SA"/>
      </w:rPr>
    </w:lvl>
  </w:abstractNum>
  <w:abstractNum w:abstractNumId="58" w15:restartNumberingAfterBreak="0">
    <w:nsid w:val="16CC3829"/>
    <w:multiLevelType w:val="hybridMultilevel"/>
    <w:tmpl w:val="89029436"/>
    <w:lvl w:ilvl="0" w:tplc="3F0E6E8A">
      <w:numFmt w:val="bullet"/>
      <w:lvlText w:val="•"/>
      <w:lvlJc w:val="left"/>
      <w:pPr>
        <w:ind w:left="20" w:hanging="75"/>
      </w:pPr>
      <w:rPr>
        <w:rFonts w:ascii="Arial" w:eastAsia="Arial" w:hAnsi="Arial" w:cs="Arial" w:hint="default"/>
        <w:color w:val="231F20"/>
        <w:w w:val="98"/>
        <w:sz w:val="12"/>
        <w:szCs w:val="12"/>
        <w:lang w:val="en-US" w:eastAsia="en-US" w:bidi="ar-SA"/>
      </w:rPr>
    </w:lvl>
    <w:lvl w:ilvl="1" w:tplc="34B67472">
      <w:numFmt w:val="bullet"/>
      <w:lvlText w:val="•"/>
      <w:lvlJc w:val="left"/>
      <w:pPr>
        <w:ind w:left="255" w:hanging="75"/>
      </w:pPr>
      <w:rPr>
        <w:rFonts w:hint="default"/>
        <w:lang w:val="en-US" w:eastAsia="en-US" w:bidi="ar-SA"/>
      </w:rPr>
    </w:lvl>
    <w:lvl w:ilvl="2" w:tplc="BE9CE814">
      <w:numFmt w:val="bullet"/>
      <w:lvlText w:val="•"/>
      <w:lvlJc w:val="left"/>
      <w:pPr>
        <w:ind w:left="490" w:hanging="75"/>
      </w:pPr>
      <w:rPr>
        <w:rFonts w:hint="default"/>
        <w:lang w:val="en-US" w:eastAsia="en-US" w:bidi="ar-SA"/>
      </w:rPr>
    </w:lvl>
    <w:lvl w:ilvl="3" w:tplc="E26A7D16">
      <w:numFmt w:val="bullet"/>
      <w:lvlText w:val="•"/>
      <w:lvlJc w:val="left"/>
      <w:pPr>
        <w:ind w:left="725" w:hanging="75"/>
      </w:pPr>
      <w:rPr>
        <w:rFonts w:hint="default"/>
        <w:lang w:val="en-US" w:eastAsia="en-US" w:bidi="ar-SA"/>
      </w:rPr>
    </w:lvl>
    <w:lvl w:ilvl="4" w:tplc="3AD8EC0C">
      <w:numFmt w:val="bullet"/>
      <w:lvlText w:val="•"/>
      <w:lvlJc w:val="left"/>
      <w:pPr>
        <w:ind w:left="960" w:hanging="75"/>
      </w:pPr>
      <w:rPr>
        <w:rFonts w:hint="default"/>
        <w:lang w:val="en-US" w:eastAsia="en-US" w:bidi="ar-SA"/>
      </w:rPr>
    </w:lvl>
    <w:lvl w:ilvl="5" w:tplc="386AA7B2">
      <w:numFmt w:val="bullet"/>
      <w:lvlText w:val="•"/>
      <w:lvlJc w:val="left"/>
      <w:pPr>
        <w:ind w:left="1195" w:hanging="75"/>
      </w:pPr>
      <w:rPr>
        <w:rFonts w:hint="default"/>
        <w:lang w:val="en-US" w:eastAsia="en-US" w:bidi="ar-SA"/>
      </w:rPr>
    </w:lvl>
    <w:lvl w:ilvl="6" w:tplc="CDFA6CEA">
      <w:numFmt w:val="bullet"/>
      <w:lvlText w:val="•"/>
      <w:lvlJc w:val="left"/>
      <w:pPr>
        <w:ind w:left="1430" w:hanging="75"/>
      </w:pPr>
      <w:rPr>
        <w:rFonts w:hint="default"/>
        <w:lang w:val="en-US" w:eastAsia="en-US" w:bidi="ar-SA"/>
      </w:rPr>
    </w:lvl>
    <w:lvl w:ilvl="7" w:tplc="A48057E6">
      <w:numFmt w:val="bullet"/>
      <w:lvlText w:val="•"/>
      <w:lvlJc w:val="left"/>
      <w:pPr>
        <w:ind w:left="1665" w:hanging="75"/>
      </w:pPr>
      <w:rPr>
        <w:rFonts w:hint="default"/>
        <w:lang w:val="en-US" w:eastAsia="en-US" w:bidi="ar-SA"/>
      </w:rPr>
    </w:lvl>
    <w:lvl w:ilvl="8" w:tplc="7D98B194">
      <w:numFmt w:val="bullet"/>
      <w:lvlText w:val="•"/>
      <w:lvlJc w:val="left"/>
      <w:pPr>
        <w:ind w:left="1900" w:hanging="75"/>
      </w:pPr>
      <w:rPr>
        <w:rFonts w:hint="default"/>
        <w:lang w:val="en-US" w:eastAsia="en-US" w:bidi="ar-SA"/>
      </w:rPr>
    </w:lvl>
  </w:abstractNum>
  <w:abstractNum w:abstractNumId="59" w15:restartNumberingAfterBreak="0">
    <w:nsid w:val="17890C55"/>
    <w:multiLevelType w:val="multilevel"/>
    <w:tmpl w:val="9432AB08"/>
    <w:lvl w:ilvl="0">
      <w:start w:val="5"/>
      <w:numFmt w:val="decimal"/>
      <w:lvlText w:val="%1"/>
      <w:lvlJc w:val="left"/>
      <w:pPr>
        <w:ind w:left="139" w:hanging="713"/>
      </w:pPr>
      <w:rPr>
        <w:rFonts w:hint="default"/>
        <w:lang w:val="en-US" w:eastAsia="en-US" w:bidi="ar-SA"/>
      </w:rPr>
    </w:lvl>
    <w:lvl w:ilvl="1">
      <w:start w:val="8"/>
      <w:numFmt w:val="decimal"/>
      <w:lvlText w:val="%1.%2"/>
      <w:lvlJc w:val="left"/>
      <w:pPr>
        <w:ind w:left="139" w:hanging="713"/>
      </w:pPr>
      <w:rPr>
        <w:rFonts w:hint="default"/>
        <w:lang w:val="en-US" w:eastAsia="en-US" w:bidi="ar-SA"/>
      </w:rPr>
    </w:lvl>
    <w:lvl w:ilvl="2">
      <w:start w:val="1"/>
      <w:numFmt w:val="decimal"/>
      <w:lvlText w:val="%1.%2.%3"/>
      <w:lvlJc w:val="left"/>
      <w:pPr>
        <w:ind w:left="139" w:hanging="713"/>
      </w:pPr>
      <w:rPr>
        <w:rFonts w:hint="default"/>
        <w:lang w:val="en-US" w:eastAsia="en-US" w:bidi="ar-SA"/>
      </w:rPr>
    </w:lvl>
    <w:lvl w:ilvl="3">
      <w:start w:val="1"/>
      <w:numFmt w:val="decimal"/>
      <w:lvlText w:val="%1.%2.%3.%4"/>
      <w:lvlJc w:val="left"/>
      <w:pPr>
        <w:ind w:left="139" w:hanging="713"/>
      </w:pPr>
      <w:rPr>
        <w:rFonts w:ascii="Arial" w:eastAsia="Arial" w:hAnsi="Arial" w:cs="Arial" w:hint="default"/>
        <w:color w:val="231F20"/>
        <w:w w:val="99"/>
        <w:sz w:val="22"/>
        <w:szCs w:val="22"/>
        <w:lang w:val="en-US" w:eastAsia="en-US" w:bidi="ar-SA"/>
      </w:rPr>
    </w:lvl>
    <w:lvl w:ilvl="4">
      <w:numFmt w:val="bullet"/>
      <w:lvlText w:val="•"/>
      <w:lvlJc w:val="left"/>
      <w:pPr>
        <w:ind w:left="3966" w:hanging="713"/>
      </w:pPr>
      <w:rPr>
        <w:rFonts w:hint="default"/>
        <w:lang w:val="en-US" w:eastAsia="en-US" w:bidi="ar-SA"/>
      </w:rPr>
    </w:lvl>
    <w:lvl w:ilvl="5">
      <w:numFmt w:val="bullet"/>
      <w:lvlText w:val="•"/>
      <w:lvlJc w:val="left"/>
      <w:pPr>
        <w:ind w:left="4922" w:hanging="713"/>
      </w:pPr>
      <w:rPr>
        <w:rFonts w:hint="default"/>
        <w:lang w:val="en-US" w:eastAsia="en-US" w:bidi="ar-SA"/>
      </w:rPr>
    </w:lvl>
    <w:lvl w:ilvl="6">
      <w:numFmt w:val="bullet"/>
      <w:lvlText w:val="•"/>
      <w:lvlJc w:val="left"/>
      <w:pPr>
        <w:ind w:left="5879" w:hanging="713"/>
      </w:pPr>
      <w:rPr>
        <w:rFonts w:hint="default"/>
        <w:lang w:val="en-US" w:eastAsia="en-US" w:bidi="ar-SA"/>
      </w:rPr>
    </w:lvl>
    <w:lvl w:ilvl="7">
      <w:numFmt w:val="bullet"/>
      <w:lvlText w:val="•"/>
      <w:lvlJc w:val="left"/>
      <w:pPr>
        <w:ind w:left="6835" w:hanging="713"/>
      </w:pPr>
      <w:rPr>
        <w:rFonts w:hint="default"/>
        <w:lang w:val="en-US" w:eastAsia="en-US" w:bidi="ar-SA"/>
      </w:rPr>
    </w:lvl>
    <w:lvl w:ilvl="8">
      <w:numFmt w:val="bullet"/>
      <w:lvlText w:val="•"/>
      <w:lvlJc w:val="left"/>
      <w:pPr>
        <w:ind w:left="7792" w:hanging="713"/>
      </w:pPr>
      <w:rPr>
        <w:rFonts w:hint="default"/>
        <w:lang w:val="en-US" w:eastAsia="en-US" w:bidi="ar-SA"/>
      </w:rPr>
    </w:lvl>
  </w:abstractNum>
  <w:abstractNum w:abstractNumId="60" w15:restartNumberingAfterBreak="0">
    <w:nsid w:val="1827390E"/>
    <w:multiLevelType w:val="hybridMultilevel"/>
    <w:tmpl w:val="34306CE4"/>
    <w:lvl w:ilvl="0" w:tplc="F0687F22">
      <w:numFmt w:val="bullet"/>
      <w:lvlText w:val="•"/>
      <w:lvlJc w:val="left"/>
      <w:pPr>
        <w:ind w:left="27" w:hanging="72"/>
      </w:pPr>
      <w:rPr>
        <w:rFonts w:ascii="Arial" w:eastAsia="Arial" w:hAnsi="Arial" w:cs="Arial" w:hint="default"/>
        <w:color w:val="231F20"/>
        <w:w w:val="104"/>
        <w:sz w:val="12"/>
        <w:szCs w:val="12"/>
        <w:lang w:val="en-US" w:eastAsia="en-US" w:bidi="ar-SA"/>
      </w:rPr>
    </w:lvl>
    <w:lvl w:ilvl="1" w:tplc="D34828FE">
      <w:numFmt w:val="bullet"/>
      <w:lvlText w:val="•"/>
      <w:lvlJc w:val="left"/>
      <w:pPr>
        <w:ind w:left="267" w:hanging="72"/>
      </w:pPr>
      <w:rPr>
        <w:rFonts w:hint="default"/>
        <w:lang w:val="en-US" w:eastAsia="en-US" w:bidi="ar-SA"/>
      </w:rPr>
    </w:lvl>
    <w:lvl w:ilvl="2" w:tplc="E3EEC104">
      <w:numFmt w:val="bullet"/>
      <w:lvlText w:val="•"/>
      <w:lvlJc w:val="left"/>
      <w:pPr>
        <w:ind w:left="515" w:hanging="72"/>
      </w:pPr>
      <w:rPr>
        <w:rFonts w:hint="default"/>
        <w:lang w:val="en-US" w:eastAsia="en-US" w:bidi="ar-SA"/>
      </w:rPr>
    </w:lvl>
    <w:lvl w:ilvl="3" w:tplc="5D4A39D0">
      <w:numFmt w:val="bullet"/>
      <w:lvlText w:val="•"/>
      <w:lvlJc w:val="left"/>
      <w:pPr>
        <w:ind w:left="763" w:hanging="72"/>
      </w:pPr>
      <w:rPr>
        <w:rFonts w:hint="default"/>
        <w:lang w:val="en-US" w:eastAsia="en-US" w:bidi="ar-SA"/>
      </w:rPr>
    </w:lvl>
    <w:lvl w:ilvl="4" w:tplc="4BF09C3A">
      <w:numFmt w:val="bullet"/>
      <w:lvlText w:val="•"/>
      <w:lvlJc w:val="left"/>
      <w:pPr>
        <w:ind w:left="1010" w:hanging="72"/>
      </w:pPr>
      <w:rPr>
        <w:rFonts w:hint="default"/>
        <w:lang w:val="en-US" w:eastAsia="en-US" w:bidi="ar-SA"/>
      </w:rPr>
    </w:lvl>
    <w:lvl w:ilvl="5" w:tplc="CA9661EA">
      <w:numFmt w:val="bullet"/>
      <w:lvlText w:val="•"/>
      <w:lvlJc w:val="left"/>
      <w:pPr>
        <w:ind w:left="1258" w:hanging="72"/>
      </w:pPr>
      <w:rPr>
        <w:rFonts w:hint="default"/>
        <w:lang w:val="en-US" w:eastAsia="en-US" w:bidi="ar-SA"/>
      </w:rPr>
    </w:lvl>
    <w:lvl w:ilvl="6" w:tplc="C4D48F1E">
      <w:numFmt w:val="bullet"/>
      <w:lvlText w:val="•"/>
      <w:lvlJc w:val="left"/>
      <w:pPr>
        <w:ind w:left="1506" w:hanging="72"/>
      </w:pPr>
      <w:rPr>
        <w:rFonts w:hint="default"/>
        <w:lang w:val="en-US" w:eastAsia="en-US" w:bidi="ar-SA"/>
      </w:rPr>
    </w:lvl>
    <w:lvl w:ilvl="7" w:tplc="1F86C8BE">
      <w:numFmt w:val="bullet"/>
      <w:lvlText w:val="•"/>
      <w:lvlJc w:val="left"/>
      <w:pPr>
        <w:ind w:left="1753" w:hanging="72"/>
      </w:pPr>
      <w:rPr>
        <w:rFonts w:hint="default"/>
        <w:lang w:val="en-US" w:eastAsia="en-US" w:bidi="ar-SA"/>
      </w:rPr>
    </w:lvl>
    <w:lvl w:ilvl="8" w:tplc="B9A2F9B0">
      <w:numFmt w:val="bullet"/>
      <w:lvlText w:val="•"/>
      <w:lvlJc w:val="left"/>
      <w:pPr>
        <w:ind w:left="2001" w:hanging="72"/>
      </w:pPr>
      <w:rPr>
        <w:rFonts w:hint="default"/>
        <w:lang w:val="en-US" w:eastAsia="en-US" w:bidi="ar-SA"/>
      </w:rPr>
    </w:lvl>
  </w:abstractNum>
  <w:abstractNum w:abstractNumId="61" w15:restartNumberingAfterBreak="0">
    <w:nsid w:val="188C794D"/>
    <w:multiLevelType w:val="hybridMultilevel"/>
    <w:tmpl w:val="90685992"/>
    <w:lvl w:ilvl="0" w:tplc="CCB4A9F8">
      <w:numFmt w:val="bullet"/>
      <w:lvlText w:val="•"/>
      <w:lvlJc w:val="left"/>
      <w:pPr>
        <w:ind w:left="26" w:hanging="76"/>
      </w:pPr>
      <w:rPr>
        <w:rFonts w:ascii="Arial" w:eastAsia="Arial" w:hAnsi="Arial" w:cs="Arial" w:hint="default"/>
        <w:color w:val="231F20"/>
        <w:w w:val="100"/>
        <w:sz w:val="12"/>
        <w:szCs w:val="12"/>
        <w:lang w:val="en-US" w:eastAsia="en-US" w:bidi="ar-SA"/>
      </w:rPr>
    </w:lvl>
    <w:lvl w:ilvl="1" w:tplc="168C479E">
      <w:numFmt w:val="bullet"/>
      <w:lvlText w:val="•"/>
      <w:lvlJc w:val="left"/>
      <w:pPr>
        <w:ind w:left="258" w:hanging="76"/>
      </w:pPr>
      <w:rPr>
        <w:rFonts w:hint="default"/>
        <w:lang w:val="en-US" w:eastAsia="en-US" w:bidi="ar-SA"/>
      </w:rPr>
    </w:lvl>
    <w:lvl w:ilvl="2" w:tplc="F312A8C6">
      <w:numFmt w:val="bullet"/>
      <w:lvlText w:val="•"/>
      <w:lvlJc w:val="left"/>
      <w:pPr>
        <w:ind w:left="496" w:hanging="76"/>
      </w:pPr>
      <w:rPr>
        <w:rFonts w:hint="default"/>
        <w:lang w:val="en-US" w:eastAsia="en-US" w:bidi="ar-SA"/>
      </w:rPr>
    </w:lvl>
    <w:lvl w:ilvl="3" w:tplc="463E138E">
      <w:numFmt w:val="bullet"/>
      <w:lvlText w:val="•"/>
      <w:lvlJc w:val="left"/>
      <w:pPr>
        <w:ind w:left="735" w:hanging="76"/>
      </w:pPr>
      <w:rPr>
        <w:rFonts w:hint="default"/>
        <w:lang w:val="en-US" w:eastAsia="en-US" w:bidi="ar-SA"/>
      </w:rPr>
    </w:lvl>
    <w:lvl w:ilvl="4" w:tplc="A69C2F92">
      <w:numFmt w:val="bullet"/>
      <w:lvlText w:val="•"/>
      <w:lvlJc w:val="left"/>
      <w:pPr>
        <w:ind w:left="973" w:hanging="76"/>
      </w:pPr>
      <w:rPr>
        <w:rFonts w:hint="default"/>
        <w:lang w:val="en-US" w:eastAsia="en-US" w:bidi="ar-SA"/>
      </w:rPr>
    </w:lvl>
    <w:lvl w:ilvl="5" w:tplc="62469DC4">
      <w:numFmt w:val="bullet"/>
      <w:lvlText w:val="•"/>
      <w:lvlJc w:val="left"/>
      <w:pPr>
        <w:ind w:left="1212" w:hanging="76"/>
      </w:pPr>
      <w:rPr>
        <w:rFonts w:hint="default"/>
        <w:lang w:val="en-US" w:eastAsia="en-US" w:bidi="ar-SA"/>
      </w:rPr>
    </w:lvl>
    <w:lvl w:ilvl="6" w:tplc="ED70636A">
      <w:numFmt w:val="bullet"/>
      <w:lvlText w:val="•"/>
      <w:lvlJc w:val="left"/>
      <w:pPr>
        <w:ind w:left="1450" w:hanging="76"/>
      </w:pPr>
      <w:rPr>
        <w:rFonts w:hint="default"/>
        <w:lang w:val="en-US" w:eastAsia="en-US" w:bidi="ar-SA"/>
      </w:rPr>
    </w:lvl>
    <w:lvl w:ilvl="7" w:tplc="3A30BE38">
      <w:numFmt w:val="bullet"/>
      <w:lvlText w:val="•"/>
      <w:lvlJc w:val="left"/>
      <w:pPr>
        <w:ind w:left="1688" w:hanging="76"/>
      </w:pPr>
      <w:rPr>
        <w:rFonts w:hint="default"/>
        <w:lang w:val="en-US" w:eastAsia="en-US" w:bidi="ar-SA"/>
      </w:rPr>
    </w:lvl>
    <w:lvl w:ilvl="8" w:tplc="0B564704">
      <w:numFmt w:val="bullet"/>
      <w:lvlText w:val="•"/>
      <w:lvlJc w:val="left"/>
      <w:pPr>
        <w:ind w:left="1927" w:hanging="76"/>
      </w:pPr>
      <w:rPr>
        <w:rFonts w:hint="default"/>
        <w:lang w:val="en-US" w:eastAsia="en-US" w:bidi="ar-SA"/>
      </w:rPr>
    </w:lvl>
  </w:abstractNum>
  <w:abstractNum w:abstractNumId="62" w15:restartNumberingAfterBreak="0">
    <w:nsid w:val="19534020"/>
    <w:multiLevelType w:val="hybridMultilevel"/>
    <w:tmpl w:val="7CB24BE6"/>
    <w:lvl w:ilvl="0" w:tplc="41E665E6">
      <w:numFmt w:val="bullet"/>
      <w:lvlText w:val="•"/>
      <w:lvlJc w:val="left"/>
      <w:pPr>
        <w:ind w:left="25" w:hanging="74"/>
      </w:pPr>
      <w:rPr>
        <w:rFonts w:ascii="Arial" w:eastAsia="Arial" w:hAnsi="Arial" w:cs="Arial" w:hint="default"/>
        <w:color w:val="231F20"/>
        <w:w w:val="73"/>
        <w:sz w:val="16"/>
        <w:szCs w:val="16"/>
        <w:lang w:val="en-US" w:eastAsia="en-US" w:bidi="ar-SA"/>
      </w:rPr>
    </w:lvl>
    <w:lvl w:ilvl="1" w:tplc="8816412E">
      <w:numFmt w:val="bullet"/>
      <w:lvlText w:val="•"/>
      <w:lvlJc w:val="left"/>
      <w:pPr>
        <w:ind w:left="252" w:hanging="74"/>
      </w:pPr>
      <w:rPr>
        <w:rFonts w:hint="default"/>
        <w:lang w:val="en-US" w:eastAsia="en-US" w:bidi="ar-SA"/>
      </w:rPr>
    </w:lvl>
    <w:lvl w:ilvl="2" w:tplc="D0CA6242">
      <w:numFmt w:val="bullet"/>
      <w:lvlText w:val="•"/>
      <w:lvlJc w:val="left"/>
      <w:pPr>
        <w:ind w:left="484" w:hanging="74"/>
      </w:pPr>
      <w:rPr>
        <w:rFonts w:hint="default"/>
        <w:lang w:val="en-US" w:eastAsia="en-US" w:bidi="ar-SA"/>
      </w:rPr>
    </w:lvl>
    <w:lvl w:ilvl="3" w:tplc="0300835E">
      <w:numFmt w:val="bullet"/>
      <w:lvlText w:val="•"/>
      <w:lvlJc w:val="left"/>
      <w:pPr>
        <w:ind w:left="716" w:hanging="74"/>
      </w:pPr>
      <w:rPr>
        <w:rFonts w:hint="default"/>
        <w:lang w:val="en-US" w:eastAsia="en-US" w:bidi="ar-SA"/>
      </w:rPr>
    </w:lvl>
    <w:lvl w:ilvl="4" w:tplc="57467412">
      <w:numFmt w:val="bullet"/>
      <w:lvlText w:val="•"/>
      <w:lvlJc w:val="left"/>
      <w:pPr>
        <w:ind w:left="948" w:hanging="74"/>
      </w:pPr>
      <w:rPr>
        <w:rFonts w:hint="default"/>
        <w:lang w:val="en-US" w:eastAsia="en-US" w:bidi="ar-SA"/>
      </w:rPr>
    </w:lvl>
    <w:lvl w:ilvl="5" w:tplc="541E5D3E">
      <w:numFmt w:val="bullet"/>
      <w:lvlText w:val="•"/>
      <w:lvlJc w:val="left"/>
      <w:pPr>
        <w:ind w:left="1180" w:hanging="74"/>
      </w:pPr>
      <w:rPr>
        <w:rFonts w:hint="default"/>
        <w:lang w:val="en-US" w:eastAsia="en-US" w:bidi="ar-SA"/>
      </w:rPr>
    </w:lvl>
    <w:lvl w:ilvl="6" w:tplc="7CBE16DA">
      <w:numFmt w:val="bullet"/>
      <w:lvlText w:val="•"/>
      <w:lvlJc w:val="left"/>
      <w:pPr>
        <w:ind w:left="1412" w:hanging="74"/>
      </w:pPr>
      <w:rPr>
        <w:rFonts w:hint="default"/>
        <w:lang w:val="en-US" w:eastAsia="en-US" w:bidi="ar-SA"/>
      </w:rPr>
    </w:lvl>
    <w:lvl w:ilvl="7" w:tplc="E7E28FB4">
      <w:numFmt w:val="bullet"/>
      <w:lvlText w:val="•"/>
      <w:lvlJc w:val="left"/>
      <w:pPr>
        <w:ind w:left="1644" w:hanging="74"/>
      </w:pPr>
      <w:rPr>
        <w:rFonts w:hint="default"/>
        <w:lang w:val="en-US" w:eastAsia="en-US" w:bidi="ar-SA"/>
      </w:rPr>
    </w:lvl>
    <w:lvl w:ilvl="8" w:tplc="6EB2269E">
      <w:numFmt w:val="bullet"/>
      <w:lvlText w:val="•"/>
      <w:lvlJc w:val="left"/>
      <w:pPr>
        <w:ind w:left="1876" w:hanging="74"/>
      </w:pPr>
      <w:rPr>
        <w:rFonts w:hint="default"/>
        <w:lang w:val="en-US" w:eastAsia="en-US" w:bidi="ar-SA"/>
      </w:rPr>
    </w:lvl>
  </w:abstractNum>
  <w:abstractNum w:abstractNumId="63" w15:restartNumberingAfterBreak="0">
    <w:nsid w:val="1A6250C7"/>
    <w:multiLevelType w:val="hybridMultilevel"/>
    <w:tmpl w:val="51720B9E"/>
    <w:lvl w:ilvl="0" w:tplc="2AA45E5C">
      <w:start w:val="1"/>
      <w:numFmt w:val="lowerRoman"/>
      <w:lvlText w:val="%1."/>
      <w:lvlJc w:val="left"/>
      <w:pPr>
        <w:ind w:left="863" w:hanging="720"/>
      </w:pPr>
      <w:rPr>
        <w:rFonts w:ascii="Arial" w:eastAsia="Arial" w:hAnsi="Arial" w:cs="Arial" w:hint="default"/>
        <w:color w:val="231F20"/>
        <w:spacing w:val="-25"/>
        <w:w w:val="99"/>
        <w:sz w:val="22"/>
        <w:szCs w:val="22"/>
        <w:lang w:val="en-US" w:eastAsia="en-US" w:bidi="ar-SA"/>
      </w:rPr>
    </w:lvl>
    <w:lvl w:ilvl="1" w:tplc="7516456C">
      <w:numFmt w:val="bullet"/>
      <w:lvlText w:val="•"/>
      <w:lvlJc w:val="left"/>
      <w:pPr>
        <w:ind w:left="1744" w:hanging="720"/>
      </w:pPr>
      <w:rPr>
        <w:rFonts w:hint="default"/>
        <w:lang w:val="en-US" w:eastAsia="en-US" w:bidi="ar-SA"/>
      </w:rPr>
    </w:lvl>
    <w:lvl w:ilvl="2" w:tplc="99944EC6">
      <w:numFmt w:val="bullet"/>
      <w:lvlText w:val="•"/>
      <w:lvlJc w:val="left"/>
      <w:pPr>
        <w:ind w:left="2629" w:hanging="720"/>
      </w:pPr>
      <w:rPr>
        <w:rFonts w:hint="default"/>
        <w:lang w:val="en-US" w:eastAsia="en-US" w:bidi="ar-SA"/>
      </w:rPr>
    </w:lvl>
    <w:lvl w:ilvl="3" w:tplc="5226E9F6">
      <w:numFmt w:val="bullet"/>
      <w:lvlText w:val="•"/>
      <w:lvlJc w:val="left"/>
      <w:pPr>
        <w:ind w:left="3513" w:hanging="720"/>
      </w:pPr>
      <w:rPr>
        <w:rFonts w:hint="default"/>
        <w:lang w:val="en-US" w:eastAsia="en-US" w:bidi="ar-SA"/>
      </w:rPr>
    </w:lvl>
    <w:lvl w:ilvl="4" w:tplc="3CC26A8A">
      <w:numFmt w:val="bullet"/>
      <w:lvlText w:val="•"/>
      <w:lvlJc w:val="left"/>
      <w:pPr>
        <w:ind w:left="4398" w:hanging="720"/>
      </w:pPr>
      <w:rPr>
        <w:rFonts w:hint="default"/>
        <w:lang w:val="en-US" w:eastAsia="en-US" w:bidi="ar-SA"/>
      </w:rPr>
    </w:lvl>
    <w:lvl w:ilvl="5" w:tplc="8E9672FC">
      <w:numFmt w:val="bullet"/>
      <w:lvlText w:val="•"/>
      <w:lvlJc w:val="left"/>
      <w:pPr>
        <w:ind w:left="5282" w:hanging="720"/>
      </w:pPr>
      <w:rPr>
        <w:rFonts w:hint="default"/>
        <w:lang w:val="en-US" w:eastAsia="en-US" w:bidi="ar-SA"/>
      </w:rPr>
    </w:lvl>
    <w:lvl w:ilvl="6" w:tplc="87F68CFA">
      <w:numFmt w:val="bullet"/>
      <w:lvlText w:val="•"/>
      <w:lvlJc w:val="left"/>
      <w:pPr>
        <w:ind w:left="6167" w:hanging="720"/>
      </w:pPr>
      <w:rPr>
        <w:rFonts w:hint="default"/>
        <w:lang w:val="en-US" w:eastAsia="en-US" w:bidi="ar-SA"/>
      </w:rPr>
    </w:lvl>
    <w:lvl w:ilvl="7" w:tplc="DB70DE8E">
      <w:numFmt w:val="bullet"/>
      <w:lvlText w:val="•"/>
      <w:lvlJc w:val="left"/>
      <w:pPr>
        <w:ind w:left="7051" w:hanging="720"/>
      </w:pPr>
      <w:rPr>
        <w:rFonts w:hint="default"/>
        <w:lang w:val="en-US" w:eastAsia="en-US" w:bidi="ar-SA"/>
      </w:rPr>
    </w:lvl>
    <w:lvl w:ilvl="8" w:tplc="6D36296E">
      <w:numFmt w:val="bullet"/>
      <w:lvlText w:val="•"/>
      <w:lvlJc w:val="left"/>
      <w:pPr>
        <w:ind w:left="7936" w:hanging="720"/>
      </w:pPr>
      <w:rPr>
        <w:rFonts w:hint="default"/>
        <w:lang w:val="en-US" w:eastAsia="en-US" w:bidi="ar-SA"/>
      </w:rPr>
    </w:lvl>
  </w:abstractNum>
  <w:abstractNum w:abstractNumId="64" w15:restartNumberingAfterBreak="0">
    <w:nsid w:val="1AA02AC8"/>
    <w:multiLevelType w:val="hybridMultilevel"/>
    <w:tmpl w:val="F4ACEEA4"/>
    <w:lvl w:ilvl="0" w:tplc="A53C7DD6">
      <w:numFmt w:val="bullet"/>
      <w:lvlText w:val="•"/>
      <w:lvlJc w:val="left"/>
      <w:pPr>
        <w:ind w:left="27" w:hanging="79"/>
      </w:pPr>
      <w:rPr>
        <w:rFonts w:ascii="Arial" w:eastAsia="Arial" w:hAnsi="Arial" w:cs="Arial" w:hint="default"/>
        <w:color w:val="231F20"/>
        <w:w w:val="96"/>
        <w:sz w:val="13"/>
        <w:szCs w:val="13"/>
        <w:lang w:val="en-US" w:eastAsia="en-US" w:bidi="ar-SA"/>
      </w:rPr>
    </w:lvl>
    <w:lvl w:ilvl="1" w:tplc="09041FF6">
      <w:numFmt w:val="bullet"/>
      <w:lvlText w:val="•"/>
      <w:lvlJc w:val="left"/>
      <w:pPr>
        <w:ind w:left="268" w:hanging="79"/>
      </w:pPr>
      <w:rPr>
        <w:rFonts w:hint="default"/>
        <w:lang w:val="en-US" w:eastAsia="en-US" w:bidi="ar-SA"/>
      </w:rPr>
    </w:lvl>
    <w:lvl w:ilvl="2" w:tplc="8830F90E">
      <w:numFmt w:val="bullet"/>
      <w:lvlText w:val="•"/>
      <w:lvlJc w:val="left"/>
      <w:pPr>
        <w:ind w:left="517" w:hanging="79"/>
      </w:pPr>
      <w:rPr>
        <w:rFonts w:hint="default"/>
        <w:lang w:val="en-US" w:eastAsia="en-US" w:bidi="ar-SA"/>
      </w:rPr>
    </w:lvl>
    <w:lvl w:ilvl="3" w:tplc="1640F7AA">
      <w:numFmt w:val="bullet"/>
      <w:lvlText w:val="•"/>
      <w:lvlJc w:val="left"/>
      <w:pPr>
        <w:ind w:left="766" w:hanging="79"/>
      </w:pPr>
      <w:rPr>
        <w:rFonts w:hint="default"/>
        <w:lang w:val="en-US" w:eastAsia="en-US" w:bidi="ar-SA"/>
      </w:rPr>
    </w:lvl>
    <w:lvl w:ilvl="4" w:tplc="C204ADCC">
      <w:numFmt w:val="bullet"/>
      <w:lvlText w:val="•"/>
      <w:lvlJc w:val="left"/>
      <w:pPr>
        <w:ind w:left="1015" w:hanging="79"/>
      </w:pPr>
      <w:rPr>
        <w:rFonts w:hint="default"/>
        <w:lang w:val="en-US" w:eastAsia="en-US" w:bidi="ar-SA"/>
      </w:rPr>
    </w:lvl>
    <w:lvl w:ilvl="5" w:tplc="036208DE">
      <w:numFmt w:val="bullet"/>
      <w:lvlText w:val="•"/>
      <w:lvlJc w:val="left"/>
      <w:pPr>
        <w:ind w:left="1264" w:hanging="79"/>
      </w:pPr>
      <w:rPr>
        <w:rFonts w:hint="default"/>
        <w:lang w:val="en-US" w:eastAsia="en-US" w:bidi="ar-SA"/>
      </w:rPr>
    </w:lvl>
    <w:lvl w:ilvl="6" w:tplc="6AF6D318">
      <w:numFmt w:val="bullet"/>
      <w:lvlText w:val="•"/>
      <w:lvlJc w:val="left"/>
      <w:pPr>
        <w:ind w:left="1513" w:hanging="79"/>
      </w:pPr>
      <w:rPr>
        <w:rFonts w:hint="default"/>
        <w:lang w:val="en-US" w:eastAsia="en-US" w:bidi="ar-SA"/>
      </w:rPr>
    </w:lvl>
    <w:lvl w:ilvl="7" w:tplc="F5F2088E">
      <w:numFmt w:val="bullet"/>
      <w:lvlText w:val="•"/>
      <w:lvlJc w:val="left"/>
      <w:pPr>
        <w:ind w:left="1762" w:hanging="79"/>
      </w:pPr>
      <w:rPr>
        <w:rFonts w:hint="default"/>
        <w:lang w:val="en-US" w:eastAsia="en-US" w:bidi="ar-SA"/>
      </w:rPr>
    </w:lvl>
    <w:lvl w:ilvl="8" w:tplc="A754A9CA">
      <w:numFmt w:val="bullet"/>
      <w:lvlText w:val="•"/>
      <w:lvlJc w:val="left"/>
      <w:pPr>
        <w:ind w:left="2011" w:hanging="79"/>
      </w:pPr>
      <w:rPr>
        <w:rFonts w:hint="default"/>
        <w:lang w:val="en-US" w:eastAsia="en-US" w:bidi="ar-SA"/>
      </w:rPr>
    </w:lvl>
  </w:abstractNum>
  <w:abstractNum w:abstractNumId="65" w15:restartNumberingAfterBreak="0">
    <w:nsid w:val="1AE749BD"/>
    <w:multiLevelType w:val="multilevel"/>
    <w:tmpl w:val="518AB598"/>
    <w:lvl w:ilvl="0">
      <w:start w:val="4"/>
      <w:numFmt w:val="decimal"/>
      <w:lvlText w:val="%1"/>
      <w:lvlJc w:val="left"/>
      <w:pPr>
        <w:ind w:left="491" w:hanging="343"/>
      </w:pPr>
      <w:rPr>
        <w:rFonts w:hint="default"/>
        <w:lang w:val="en-US" w:eastAsia="en-US" w:bidi="ar-SA"/>
      </w:rPr>
    </w:lvl>
    <w:lvl w:ilvl="1">
      <w:start w:val="3"/>
      <w:numFmt w:val="decimal"/>
      <w:lvlText w:val="%1.%2"/>
      <w:lvlJc w:val="left"/>
      <w:pPr>
        <w:ind w:left="491" w:hanging="343"/>
      </w:pPr>
      <w:rPr>
        <w:rFonts w:ascii="Arial" w:eastAsia="Arial" w:hAnsi="Arial" w:cs="Arial" w:hint="default"/>
        <w:b/>
        <w:bCs/>
        <w:color w:val="231F20"/>
        <w:w w:val="99"/>
        <w:sz w:val="22"/>
        <w:szCs w:val="22"/>
        <w:lang w:val="en-US" w:eastAsia="en-US" w:bidi="ar-SA"/>
      </w:rPr>
    </w:lvl>
    <w:lvl w:ilvl="2">
      <w:start w:val="1"/>
      <w:numFmt w:val="decimal"/>
      <w:lvlText w:val="%1.%2.%3"/>
      <w:lvlJc w:val="left"/>
      <w:pPr>
        <w:ind w:left="706" w:hanging="558"/>
      </w:pPr>
      <w:rPr>
        <w:rFonts w:ascii="Arial" w:eastAsia="Arial" w:hAnsi="Arial" w:cs="Arial" w:hint="default"/>
        <w:b/>
        <w:bCs/>
        <w:color w:val="231F20"/>
        <w:w w:val="101"/>
        <w:sz w:val="22"/>
        <w:szCs w:val="22"/>
        <w:lang w:val="en-US" w:eastAsia="en-US" w:bidi="ar-SA"/>
      </w:rPr>
    </w:lvl>
    <w:lvl w:ilvl="3">
      <w:start w:val="1"/>
      <w:numFmt w:val="decimal"/>
      <w:lvlText w:val="%1.%2.%3.%4"/>
      <w:lvlJc w:val="left"/>
      <w:pPr>
        <w:ind w:left="172" w:hanging="716"/>
      </w:pPr>
      <w:rPr>
        <w:rFonts w:ascii="Arial" w:eastAsia="Arial" w:hAnsi="Arial" w:cs="Arial" w:hint="default"/>
        <w:color w:val="231F20"/>
        <w:w w:val="99"/>
        <w:sz w:val="22"/>
        <w:szCs w:val="22"/>
        <w:lang w:val="en-US" w:eastAsia="en-US" w:bidi="ar-SA"/>
      </w:rPr>
    </w:lvl>
    <w:lvl w:ilvl="4">
      <w:start w:val="1"/>
      <w:numFmt w:val="lowerRoman"/>
      <w:lvlText w:val="%5."/>
      <w:lvlJc w:val="left"/>
      <w:pPr>
        <w:ind w:left="861" w:hanging="360"/>
      </w:pPr>
      <w:rPr>
        <w:rFonts w:ascii="Arial" w:eastAsia="Arial" w:hAnsi="Arial" w:cs="Arial"/>
        <w:color w:val="231F20"/>
        <w:spacing w:val="-25"/>
        <w:w w:val="99"/>
        <w:sz w:val="22"/>
        <w:szCs w:val="22"/>
        <w:lang w:val="en-US" w:eastAsia="en-US" w:bidi="ar-SA"/>
      </w:rPr>
    </w:lvl>
    <w:lvl w:ilvl="5">
      <w:numFmt w:val="bullet"/>
      <w:lvlText w:val="•"/>
      <w:lvlJc w:val="left"/>
      <w:pPr>
        <w:ind w:left="3387" w:hanging="360"/>
      </w:pPr>
      <w:rPr>
        <w:rFonts w:hint="default"/>
        <w:lang w:val="en-US" w:eastAsia="en-US" w:bidi="ar-SA"/>
      </w:rPr>
    </w:lvl>
    <w:lvl w:ilvl="6">
      <w:numFmt w:val="bullet"/>
      <w:lvlText w:val="•"/>
      <w:lvlJc w:val="left"/>
      <w:pPr>
        <w:ind w:left="4650" w:hanging="360"/>
      </w:pPr>
      <w:rPr>
        <w:rFonts w:hint="default"/>
        <w:lang w:val="en-US" w:eastAsia="en-US" w:bidi="ar-SA"/>
      </w:rPr>
    </w:lvl>
    <w:lvl w:ilvl="7">
      <w:numFmt w:val="bullet"/>
      <w:lvlText w:val="•"/>
      <w:lvlJc w:val="left"/>
      <w:pPr>
        <w:ind w:left="5914" w:hanging="360"/>
      </w:pPr>
      <w:rPr>
        <w:rFonts w:hint="default"/>
        <w:lang w:val="en-US" w:eastAsia="en-US" w:bidi="ar-SA"/>
      </w:rPr>
    </w:lvl>
    <w:lvl w:ilvl="8">
      <w:numFmt w:val="bullet"/>
      <w:lvlText w:val="•"/>
      <w:lvlJc w:val="left"/>
      <w:pPr>
        <w:ind w:left="7178" w:hanging="360"/>
      </w:pPr>
      <w:rPr>
        <w:rFonts w:hint="default"/>
        <w:lang w:val="en-US" w:eastAsia="en-US" w:bidi="ar-SA"/>
      </w:rPr>
    </w:lvl>
  </w:abstractNum>
  <w:abstractNum w:abstractNumId="66" w15:restartNumberingAfterBreak="0">
    <w:nsid w:val="1AE86C54"/>
    <w:multiLevelType w:val="multilevel"/>
    <w:tmpl w:val="E876AB1A"/>
    <w:lvl w:ilvl="0">
      <w:start w:val="8"/>
      <w:numFmt w:val="decimal"/>
      <w:lvlText w:val="%1"/>
      <w:lvlJc w:val="left"/>
      <w:pPr>
        <w:ind w:left="191" w:hanging="854"/>
      </w:pPr>
      <w:rPr>
        <w:rFonts w:hint="default"/>
        <w:lang w:val="en-US" w:eastAsia="en-US" w:bidi="ar-SA"/>
      </w:rPr>
    </w:lvl>
    <w:lvl w:ilvl="1">
      <w:start w:val="15"/>
      <w:numFmt w:val="decimal"/>
      <w:lvlText w:val="%1.%2"/>
      <w:lvlJc w:val="left"/>
      <w:pPr>
        <w:ind w:left="191" w:hanging="854"/>
      </w:pPr>
      <w:rPr>
        <w:rFonts w:hint="default"/>
        <w:lang w:val="en-US" w:eastAsia="en-US" w:bidi="ar-SA"/>
      </w:rPr>
    </w:lvl>
    <w:lvl w:ilvl="2">
      <w:start w:val="4"/>
      <w:numFmt w:val="decimal"/>
      <w:lvlText w:val="%1.%2.%3"/>
      <w:lvlJc w:val="left"/>
      <w:pPr>
        <w:ind w:left="191" w:hanging="854"/>
      </w:pPr>
      <w:rPr>
        <w:rFonts w:hint="default"/>
        <w:lang w:val="en-US" w:eastAsia="en-US" w:bidi="ar-SA"/>
      </w:rPr>
    </w:lvl>
    <w:lvl w:ilvl="3">
      <w:start w:val="4"/>
      <w:numFmt w:val="decimal"/>
      <w:lvlText w:val="%1.%2.%3.%4"/>
      <w:lvlJc w:val="left"/>
      <w:pPr>
        <w:ind w:left="191" w:hanging="854"/>
      </w:pPr>
      <w:rPr>
        <w:rFonts w:ascii="Arial" w:eastAsia="Arial" w:hAnsi="Arial" w:cs="Arial" w:hint="default"/>
        <w:color w:val="231F20"/>
        <w:w w:val="99"/>
        <w:sz w:val="22"/>
        <w:szCs w:val="22"/>
        <w:lang w:val="en-US" w:eastAsia="en-US" w:bidi="ar-SA"/>
      </w:rPr>
    </w:lvl>
    <w:lvl w:ilvl="4">
      <w:numFmt w:val="bullet"/>
      <w:lvlText w:val="•"/>
      <w:lvlJc w:val="left"/>
      <w:pPr>
        <w:ind w:left="4002" w:hanging="854"/>
      </w:pPr>
      <w:rPr>
        <w:rFonts w:hint="default"/>
        <w:lang w:val="en-US" w:eastAsia="en-US" w:bidi="ar-SA"/>
      </w:rPr>
    </w:lvl>
    <w:lvl w:ilvl="5">
      <w:numFmt w:val="bullet"/>
      <w:lvlText w:val="•"/>
      <w:lvlJc w:val="left"/>
      <w:pPr>
        <w:ind w:left="4952" w:hanging="854"/>
      </w:pPr>
      <w:rPr>
        <w:rFonts w:hint="default"/>
        <w:lang w:val="en-US" w:eastAsia="en-US" w:bidi="ar-SA"/>
      </w:rPr>
    </w:lvl>
    <w:lvl w:ilvl="6">
      <w:numFmt w:val="bullet"/>
      <w:lvlText w:val="•"/>
      <w:lvlJc w:val="left"/>
      <w:pPr>
        <w:ind w:left="5903" w:hanging="854"/>
      </w:pPr>
      <w:rPr>
        <w:rFonts w:hint="default"/>
        <w:lang w:val="en-US" w:eastAsia="en-US" w:bidi="ar-SA"/>
      </w:rPr>
    </w:lvl>
    <w:lvl w:ilvl="7">
      <w:numFmt w:val="bullet"/>
      <w:lvlText w:val="•"/>
      <w:lvlJc w:val="left"/>
      <w:pPr>
        <w:ind w:left="6853" w:hanging="854"/>
      </w:pPr>
      <w:rPr>
        <w:rFonts w:hint="default"/>
        <w:lang w:val="en-US" w:eastAsia="en-US" w:bidi="ar-SA"/>
      </w:rPr>
    </w:lvl>
    <w:lvl w:ilvl="8">
      <w:numFmt w:val="bullet"/>
      <w:lvlText w:val="•"/>
      <w:lvlJc w:val="left"/>
      <w:pPr>
        <w:ind w:left="7804" w:hanging="854"/>
      </w:pPr>
      <w:rPr>
        <w:rFonts w:hint="default"/>
        <w:lang w:val="en-US" w:eastAsia="en-US" w:bidi="ar-SA"/>
      </w:rPr>
    </w:lvl>
  </w:abstractNum>
  <w:abstractNum w:abstractNumId="67" w15:restartNumberingAfterBreak="0">
    <w:nsid w:val="1B8322F9"/>
    <w:multiLevelType w:val="hybridMultilevel"/>
    <w:tmpl w:val="A5089FA0"/>
    <w:lvl w:ilvl="0" w:tplc="5B5A08DA">
      <w:numFmt w:val="bullet"/>
      <w:lvlText w:val="•"/>
      <w:lvlJc w:val="left"/>
      <w:pPr>
        <w:ind w:left="26" w:hanging="76"/>
      </w:pPr>
      <w:rPr>
        <w:rFonts w:ascii="Arial" w:eastAsia="Arial" w:hAnsi="Arial" w:cs="Arial" w:hint="default"/>
        <w:color w:val="231F20"/>
        <w:w w:val="100"/>
        <w:sz w:val="12"/>
        <w:szCs w:val="12"/>
        <w:lang w:val="en-US" w:eastAsia="en-US" w:bidi="ar-SA"/>
      </w:rPr>
    </w:lvl>
    <w:lvl w:ilvl="1" w:tplc="F550A308">
      <w:numFmt w:val="bullet"/>
      <w:lvlText w:val="•"/>
      <w:lvlJc w:val="left"/>
      <w:pPr>
        <w:ind w:left="257" w:hanging="76"/>
      </w:pPr>
      <w:rPr>
        <w:rFonts w:hint="default"/>
        <w:lang w:val="en-US" w:eastAsia="en-US" w:bidi="ar-SA"/>
      </w:rPr>
    </w:lvl>
    <w:lvl w:ilvl="2" w:tplc="FED6F7BC">
      <w:numFmt w:val="bullet"/>
      <w:lvlText w:val="•"/>
      <w:lvlJc w:val="left"/>
      <w:pPr>
        <w:ind w:left="495" w:hanging="76"/>
      </w:pPr>
      <w:rPr>
        <w:rFonts w:hint="default"/>
        <w:lang w:val="en-US" w:eastAsia="en-US" w:bidi="ar-SA"/>
      </w:rPr>
    </w:lvl>
    <w:lvl w:ilvl="3" w:tplc="71C064F0">
      <w:numFmt w:val="bullet"/>
      <w:lvlText w:val="•"/>
      <w:lvlJc w:val="left"/>
      <w:pPr>
        <w:ind w:left="733" w:hanging="76"/>
      </w:pPr>
      <w:rPr>
        <w:rFonts w:hint="default"/>
        <w:lang w:val="en-US" w:eastAsia="en-US" w:bidi="ar-SA"/>
      </w:rPr>
    </w:lvl>
    <w:lvl w:ilvl="4" w:tplc="A55A1678">
      <w:numFmt w:val="bullet"/>
      <w:lvlText w:val="•"/>
      <w:lvlJc w:val="left"/>
      <w:pPr>
        <w:ind w:left="970" w:hanging="76"/>
      </w:pPr>
      <w:rPr>
        <w:rFonts w:hint="default"/>
        <w:lang w:val="en-US" w:eastAsia="en-US" w:bidi="ar-SA"/>
      </w:rPr>
    </w:lvl>
    <w:lvl w:ilvl="5" w:tplc="5348462E">
      <w:numFmt w:val="bullet"/>
      <w:lvlText w:val="•"/>
      <w:lvlJc w:val="left"/>
      <w:pPr>
        <w:ind w:left="1208" w:hanging="76"/>
      </w:pPr>
      <w:rPr>
        <w:rFonts w:hint="default"/>
        <w:lang w:val="en-US" w:eastAsia="en-US" w:bidi="ar-SA"/>
      </w:rPr>
    </w:lvl>
    <w:lvl w:ilvl="6" w:tplc="A63CCBA8">
      <w:numFmt w:val="bullet"/>
      <w:lvlText w:val="•"/>
      <w:lvlJc w:val="left"/>
      <w:pPr>
        <w:ind w:left="1446" w:hanging="76"/>
      </w:pPr>
      <w:rPr>
        <w:rFonts w:hint="default"/>
        <w:lang w:val="en-US" w:eastAsia="en-US" w:bidi="ar-SA"/>
      </w:rPr>
    </w:lvl>
    <w:lvl w:ilvl="7" w:tplc="6D54B620">
      <w:numFmt w:val="bullet"/>
      <w:lvlText w:val="•"/>
      <w:lvlJc w:val="left"/>
      <w:pPr>
        <w:ind w:left="1683" w:hanging="76"/>
      </w:pPr>
      <w:rPr>
        <w:rFonts w:hint="default"/>
        <w:lang w:val="en-US" w:eastAsia="en-US" w:bidi="ar-SA"/>
      </w:rPr>
    </w:lvl>
    <w:lvl w:ilvl="8" w:tplc="6A48ACC0">
      <w:numFmt w:val="bullet"/>
      <w:lvlText w:val="•"/>
      <w:lvlJc w:val="left"/>
      <w:pPr>
        <w:ind w:left="1921" w:hanging="76"/>
      </w:pPr>
      <w:rPr>
        <w:rFonts w:hint="default"/>
        <w:lang w:val="en-US" w:eastAsia="en-US" w:bidi="ar-SA"/>
      </w:rPr>
    </w:lvl>
  </w:abstractNum>
  <w:abstractNum w:abstractNumId="68" w15:restartNumberingAfterBreak="0">
    <w:nsid w:val="1C517A4A"/>
    <w:multiLevelType w:val="hybridMultilevel"/>
    <w:tmpl w:val="616270F4"/>
    <w:lvl w:ilvl="0" w:tplc="D86AD18C">
      <w:numFmt w:val="bullet"/>
      <w:lvlText w:val="•"/>
      <w:lvlJc w:val="left"/>
      <w:pPr>
        <w:ind w:left="23" w:hanging="74"/>
      </w:pPr>
      <w:rPr>
        <w:rFonts w:ascii="Arial" w:eastAsia="Arial" w:hAnsi="Arial" w:cs="Arial" w:hint="default"/>
        <w:color w:val="231F20"/>
        <w:w w:val="53"/>
        <w:sz w:val="22"/>
        <w:szCs w:val="22"/>
        <w:lang w:val="en-US" w:eastAsia="en-US" w:bidi="ar-SA"/>
      </w:rPr>
    </w:lvl>
    <w:lvl w:ilvl="1" w:tplc="8818AA14">
      <w:numFmt w:val="bullet"/>
      <w:lvlText w:val="•"/>
      <w:lvlJc w:val="left"/>
      <w:pPr>
        <w:ind w:left="252" w:hanging="74"/>
      </w:pPr>
      <w:rPr>
        <w:rFonts w:hint="default"/>
        <w:lang w:val="en-US" w:eastAsia="en-US" w:bidi="ar-SA"/>
      </w:rPr>
    </w:lvl>
    <w:lvl w:ilvl="2" w:tplc="73ECAD74">
      <w:numFmt w:val="bullet"/>
      <w:lvlText w:val="•"/>
      <w:lvlJc w:val="left"/>
      <w:pPr>
        <w:ind w:left="484" w:hanging="74"/>
      </w:pPr>
      <w:rPr>
        <w:rFonts w:hint="default"/>
        <w:lang w:val="en-US" w:eastAsia="en-US" w:bidi="ar-SA"/>
      </w:rPr>
    </w:lvl>
    <w:lvl w:ilvl="3" w:tplc="CE22AA86">
      <w:numFmt w:val="bullet"/>
      <w:lvlText w:val="•"/>
      <w:lvlJc w:val="left"/>
      <w:pPr>
        <w:ind w:left="716" w:hanging="74"/>
      </w:pPr>
      <w:rPr>
        <w:rFonts w:hint="default"/>
        <w:lang w:val="en-US" w:eastAsia="en-US" w:bidi="ar-SA"/>
      </w:rPr>
    </w:lvl>
    <w:lvl w:ilvl="4" w:tplc="6DA262EE">
      <w:numFmt w:val="bullet"/>
      <w:lvlText w:val="•"/>
      <w:lvlJc w:val="left"/>
      <w:pPr>
        <w:ind w:left="948" w:hanging="74"/>
      </w:pPr>
      <w:rPr>
        <w:rFonts w:hint="default"/>
        <w:lang w:val="en-US" w:eastAsia="en-US" w:bidi="ar-SA"/>
      </w:rPr>
    </w:lvl>
    <w:lvl w:ilvl="5" w:tplc="D7F0B41A">
      <w:numFmt w:val="bullet"/>
      <w:lvlText w:val="•"/>
      <w:lvlJc w:val="left"/>
      <w:pPr>
        <w:ind w:left="1180" w:hanging="74"/>
      </w:pPr>
      <w:rPr>
        <w:rFonts w:hint="default"/>
        <w:lang w:val="en-US" w:eastAsia="en-US" w:bidi="ar-SA"/>
      </w:rPr>
    </w:lvl>
    <w:lvl w:ilvl="6" w:tplc="E6749484">
      <w:numFmt w:val="bullet"/>
      <w:lvlText w:val="•"/>
      <w:lvlJc w:val="left"/>
      <w:pPr>
        <w:ind w:left="1412" w:hanging="74"/>
      </w:pPr>
      <w:rPr>
        <w:rFonts w:hint="default"/>
        <w:lang w:val="en-US" w:eastAsia="en-US" w:bidi="ar-SA"/>
      </w:rPr>
    </w:lvl>
    <w:lvl w:ilvl="7" w:tplc="277638E2">
      <w:numFmt w:val="bullet"/>
      <w:lvlText w:val="•"/>
      <w:lvlJc w:val="left"/>
      <w:pPr>
        <w:ind w:left="1644" w:hanging="74"/>
      </w:pPr>
      <w:rPr>
        <w:rFonts w:hint="default"/>
        <w:lang w:val="en-US" w:eastAsia="en-US" w:bidi="ar-SA"/>
      </w:rPr>
    </w:lvl>
    <w:lvl w:ilvl="8" w:tplc="A78411DA">
      <w:numFmt w:val="bullet"/>
      <w:lvlText w:val="•"/>
      <w:lvlJc w:val="left"/>
      <w:pPr>
        <w:ind w:left="1876" w:hanging="74"/>
      </w:pPr>
      <w:rPr>
        <w:rFonts w:hint="default"/>
        <w:lang w:val="en-US" w:eastAsia="en-US" w:bidi="ar-SA"/>
      </w:rPr>
    </w:lvl>
  </w:abstractNum>
  <w:abstractNum w:abstractNumId="69" w15:restartNumberingAfterBreak="0">
    <w:nsid w:val="1C6C0D0F"/>
    <w:multiLevelType w:val="hybridMultilevel"/>
    <w:tmpl w:val="7892F9F2"/>
    <w:lvl w:ilvl="0" w:tplc="4A26FC58">
      <w:numFmt w:val="bullet"/>
      <w:lvlText w:val="•"/>
      <w:lvlJc w:val="left"/>
      <w:pPr>
        <w:ind w:left="25" w:hanging="80"/>
      </w:pPr>
      <w:rPr>
        <w:rFonts w:ascii="Arial" w:eastAsia="Arial" w:hAnsi="Arial" w:cs="Arial" w:hint="default"/>
        <w:color w:val="231F20"/>
        <w:w w:val="78"/>
        <w:sz w:val="16"/>
        <w:szCs w:val="16"/>
        <w:lang w:val="en-US" w:eastAsia="en-US" w:bidi="ar-SA"/>
      </w:rPr>
    </w:lvl>
    <w:lvl w:ilvl="1" w:tplc="8166C4B4">
      <w:numFmt w:val="bullet"/>
      <w:lvlText w:val="•"/>
      <w:lvlJc w:val="left"/>
      <w:pPr>
        <w:ind w:left="270" w:hanging="80"/>
      </w:pPr>
      <w:rPr>
        <w:rFonts w:hint="default"/>
        <w:lang w:val="en-US" w:eastAsia="en-US" w:bidi="ar-SA"/>
      </w:rPr>
    </w:lvl>
    <w:lvl w:ilvl="2" w:tplc="9F0E8588">
      <w:numFmt w:val="bullet"/>
      <w:lvlText w:val="•"/>
      <w:lvlJc w:val="left"/>
      <w:pPr>
        <w:ind w:left="520" w:hanging="80"/>
      </w:pPr>
      <w:rPr>
        <w:rFonts w:hint="default"/>
        <w:lang w:val="en-US" w:eastAsia="en-US" w:bidi="ar-SA"/>
      </w:rPr>
    </w:lvl>
    <w:lvl w:ilvl="3" w:tplc="411ACDA4">
      <w:numFmt w:val="bullet"/>
      <w:lvlText w:val="•"/>
      <w:lvlJc w:val="left"/>
      <w:pPr>
        <w:ind w:left="770" w:hanging="80"/>
      </w:pPr>
      <w:rPr>
        <w:rFonts w:hint="default"/>
        <w:lang w:val="en-US" w:eastAsia="en-US" w:bidi="ar-SA"/>
      </w:rPr>
    </w:lvl>
    <w:lvl w:ilvl="4" w:tplc="A0C2CD00">
      <w:numFmt w:val="bullet"/>
      <w:lvlText w:val="•"/>
      <w:lvlJc w:val="left"/>
      <w:pPr>
        <w:ind w:left="1021" w:hanging="80"/>
      </w:pPr>
      <w:rPr>
        <w:rFonts w:hint="default"/>
        <w:lang w:val="en-US" w:eastAsia="en-US" w:bidi="ar-SA"/>
      </w:rPr>
    </w:lvl>
    <w:lvl w:ilvl="5" w:tplc="257C7624">
      <w:numFmt w:val="bullet"/>
      <w:lvlText w:val="•"/>
      <w:lvlJc w:val="left"/>
      <w:pPr>
        <w:ind w:left="1271" w:hanging="80"/>
      </w:pPr>
      <w:rPr>
        <w:rFonts w:hint="default"/>
        <w:lang w:val="en-US" w:eastAsia="en-US" w:bidi="ar-SA"/>
      </w:rPr>
    </w:lvl>
    <w:lvl w:ilvl="6" w:tplc="AD0E6BE6">
      <w:numFmt w:val="bullet"/>
      <w:lvlText w:val="•"/>
      <w:lvlJc w:val="left"/>
      <w:pPr>
        <w:ind w:left="1521" w:hanging="80"/>
      </w:pPr>
      <w:rPr>
        <w:rFonts w:hint="default"/>
        <w:lang w:val="en-US" w:eastAsia="en-US" w:bidi="ar-SA"/>
      </w:rPr>
    </w:lvl>
    <w:lvl w:ilvl="7" w:tplc="BB1E1FFE">
      <w:numFmt w:val="bullet"/>
      <w:lvlText w:val="•"/>
      <w:lvlJc w:val="left"/>
      <w:pPr>
        <w:ind w:left="1772" w:hanging="80"/>
      </w:pPr>
      <w:rPr>
        <w:rFonts w:hint="default"/>
        <w:lang w:val="en-US" w:eastAsia="en-US" w:bidi="ar-SA"/>
      </w:rPr>
    </w:lvl>
    <w:lvl w:ilvl="8" w:tplc="990E3004">
      <w:numFmt w:val="bullet"/>
      <w:lvlText w:val="•"/>
      <w:lvlJc w:val="left"/>
      <w:pPr>
        <w:ind w:left="2022" w:hanging="80"/>
      </w:pPr>
      <w:rPr>
        <w:rFonts w:hint="default"/>
        <w:lang w:val="en-US" w:eastAsia="en-US" w:bidi="ar-SA"/>
      </w:rPr>
    </w:lvl>
  </w:abstractNum>
  <w:abstractNum w:abstractNumId="70" w15:restartNumberingAfterBreak="0">
    <w:nsid w:val="1CA17398"/>
    <w:multiLevelType w:val="multilevel"/>
    <w:tmpl w:val="A244B0D2"/>
    <w:lvl w:ilvl="0">
      <w:start w:val="10"/>
      <w:numFmt w:val="decimal"/>
      <w:lvlText w:val="%1"/>
      <w:lvlJc w:val="left"/>
      <w:pPr>
        <w:ind w:left="889" w:hanging="708"/>
      </w:pPr>
      <w:rPr>
        <w:rFonts w:hint="default"/>
        <w:lang w:val="en-US" w:eastAsia="en-US" w:bidi="ar-SA"/>
      </w:rPr>
    </w:lvl>
    <w:lvl w:ilvl="1">
      <w:start w:val="3"/>
      <w:numFmt w:val="decimal"/>
      <w:lvlText w:val="%1.%2"/>
      <w:lvlJc w:val="left"/>
      <w:pPr>
        <w:ind w:left="889" w:hanging="708"/>
      </w:pPr>
      <w:rPr>
        <w:rFonts w:hint="default"/>
        <w:lang w:val="en-US" w:eastAsia="en-US" w:bidi="ar-SA"/>
      </w:rPr>
    </w:lvl>
    <w:lvl w:ilvl="2">
      <w:start w:val="1"/>
      <w:numFmt w:val="decimal"/>
      <w:lvlText w:val="%1.%2.%3"/>
      <w:lvlJc w:val="left"/>
      <w:pPr>
        <w:ind w:left="889" w:hanging="708"/>
        <w:jc w:val="right"/>
      </w:pPr>
      <w:rPr>
        <w:rFonts w:hint="default"/>
        <w:spacing w:val="-1"/>
        <w:w w:val="96"/>
        <w:lang w:val="en-US" w:eastAsia="en-US" w:bidi="ar-SA"/>
      </w:rPr>
    </w:lvl>
    <w:lvl w:ilvl="3">
      <w:numFmt w:val="bullet"/>
      <w:lvlText w:val="•"/>
      <w:lvlJc w:val="left"/>
      <w:pPr>
        <w:ind w:left="3527" w:hanging="708"/>
      </w:pPr>
      <w:rPr>
        <w:rFonts w:hint="default"/>
        <w:lang w:val="en-US" w:eastAsia="en-US" w:bidi="ar-SA"/>
      </w:rPr>
    </w:lvl>
    <w:lvl w:ilvl="4">
      <w:numFmt w:val="bullet"/>
      <w:lvlText w:val="•"/>
      <w:lvlJc w:val="left"/>
      <w:pPr>
        <w:ind w:left="4410" w:hanging="708"/>
      </w:pPr>
      <w:rPr>
        <w:rFonts w:hint="default"/>
        <w:lang w:val="en-US" w:eastAsia="en-US" w:bidi="ar-SA"/>
      </w:rPr>
    </w:lvl>
    <w:lvl w:ilvl="5">
      <w:numFmt w:val="bullet"/>
      <w:lvlText w:val="•"/>
      <w:lvlJc w:val="left"/>
      <w:pPr>
        <w:ind w:left="5292" w:hanging="708"/>
      </w:pPr>
      <w:rPr>
        <w:rFonts w:hint="default"/>
        <w:lang w:val="en-US" w:eastAsia="en-US" w:bidi="ar-SA"/>
      </w:rPr>
    </w:lvl>
    <w:lvl w:ilvl="6">
      <w:numFmt w:val="bullet"/>
      <w:lvlText w:val="•"/>
      <w:lvlJc w:val="left"/>
      <w:pPr>
        <w:ind w:left="6175" w:hanging="708"/>
      </w:pPr>
      <w:rPr>
        <w:rFonts w:hint="default"/>
        <w:lang w:val="en-US" w:eastAsia="en-US" w:bidi="ar-SA"/>
      </w:rPr>
    </w:lvl>
    <w:lvl w:ilvl="7">
      <w:numFmt w:val="bullet"/>
      <w:lvlText w:val="•"/>
      <w:lvlJc w:val="left"/>
      <w:pPr>
        <w:ind w:left="7057" w:hanging="708"/>
      </w:pPr>
      <w:rPr>
        <w:rFonts w:hint="default"/>
        <w:lang w:val="en-US" w:eastAsia="en-US" w:bidi="ar-SA"/>
      </w:rPr>
    </w:lvl>
    <w:lvl w:ilvl="8">
      <w:numFmt w:val="bullet"/>
      <w:lvlText w:val="•"/>
      <w:lvlJc w:val="left"/>
      <w:pPr>
        <w:ind w:left="7940" w:hanging="708"/>
      </w:pPr>
      <w:rPr>
        <w:rFonts w:hint="default"/>
        <w:lang w:val="en-US" w:eastAsia="en-US" w:bidi="ar-SA"/>
      </w:rPr>
    </w:lvl>
  </w:abstractNum>
  <w:abstractNum w:abstractNumId="71" w15:restartNumberingAfterBreak="0">
    <w:nsid w:val="1CA463BB"/>
    <w:multiLevelType w:val="multilevel"/>
    <w:tmpl w:val="00865AD8"/>
    <w:lvl w:ilvl="0">
      <w:start w:val="10"/>
      <w:numFmt w:val="decimal"/>
      <w:lvlText w:val="%1"/>
      <w:lvlJc w:val="left"/>
      <w:pPr>
        <w:ind w:left="858" w:hanging="720"/>
      </w:pPr>
      <w:rPr>
        <w:rFonts w:hint="default"/>
        <w:lang w:val="en-US" w:eastAsia="en-US" w:bidi="ar-SA"/>
      </w:rPr>
    </w:lvl>
    <w:lvl w:ilvl="1">
      <w:numFmt w:val="decimal"/>
      <w:lvlText w:val="%1.%2"/>
      <w:lvlJc w:val="left"/>
      <w:pPr>
        <w:ind w:left="858" w:hanging="720"/>
      </w:pPr>
      <w:rPr>
        <w:rFonts w:ascii="Arial" w:eastAsia="Arial" w:hAnsi="Arial" w:cs="Arial" w:hint="default"/>
        <w:color w:val="231F20"/>
        <w:w w:val="99"/>
        <w:sz w:val="22"/>
        <w:szCs w:val="22"/>
        <w:lang w:val="en-US" w:eastAsia="en-US" w:bidi="ar-SA"/>
      </w:rPr>
    </w:lvl>
    <w:lvl w:ilvl="2">
      <w:start w:val="1"/>
      <w:numFmt w:val="upperRoman"/>
      <w:lvlText w:val="(%3)"/>
      <w:lvlJc w:val="left"/>
      <w:pPr>
        <w:ind w:left="1578" w:hanging="900"/>
      </w:pPr>
      <w:rPr>
        <w:rFonts w:ascii="Arial" w:eastAsia="Arial" w:hAnsi="Arial" w:cs="Arial" w:hint="default"/>
        <w:color w:val="231F20"/>
        <w:w w:val="100"/>
        <w:sz w:val="22"/>
        <w:szCs w:val="22"/>
        <w:lang w:val="en-US" w:eastAsia="en-US" w:bidi="ar-SA"/>
      </w:rPr>
    </w:lvl>
    <w:lvl w:ilvl="3">
      <w:numFmt w:val="bullet"/>
      <w:lvlText w:val="•"/>
      <w:lvlJc w:val="left"/>
      <w:pPr>
        <w:ind w:left="3385" w:hanging="900"/>
      </w:pPr>
      <w:rPr>
        <w:rFonts w:hint="default"/>
        <w:lang w:val="en-US" w:eastAsia="en-US" w:bidi="ar-SA"/>
      </w:rPr>
    </w:lvl>
    <w:lvl w:ilvl="4">
      <w:numFmt w:val="bullet"/>
      <w:lvlText w:val="•"/>
      <w:lvlJc w:val="left"/>
      <w:pPr>
        <w:ind w:left="4288" w:hanging="900"/>
      </w:pPr>
      <w:rPr>
        <w:rFonts w:hint="default"/>
        <w:lang w:val="en-US" w:eastAsia="en-US" w:bidi="ar-SA"/>
      </w:rPr>
    </w:lvl>
    <w:lvl w:ilvl="5">
      <w:numFmt w:val="bullet"/>
      <w:lvlText w:val="•"/>
      <w:lvlJc w:val="left"/>
      <w:pPr>
        <w:ind w:left="5191" w:hanging="900"/>
      </w:pPr>
      <w:rPr>
        <w:rFonts w:hint="default"/>
        <w:lang w:val="en-US" w:eastAsia="en-US" w:bidi="ar-SA"/>
      </w:rPr>
    </w:lvl>
    <w:lvl w:ilvl="6">
      <w:numFmt w:val="bullet"/>
      <w:lvlText w:val="•"/>
      <w:lvlJc w:val="left"/>
      <w:pPr>
        <w:ind w:left="6094" w:hanging="900"/>
      </w:pPr>
      <w:rPr>
        <w:rFonts w:hint="default"/>
        <w:lang w:val="en-US" w:eastAsia="en-US" w:bidi="ar-SA"/>
      </w:rPr>
    </w:lvl>
    <w:lvl w:ilvl="7">
      <w:numFmt w:val="bullet"/>
      <w:lvlText w:val="•"/>
      <w:lvlJc w:val="left"/>
      <w:pPr>
        <w:ind w:left="6997" w:hanging="900"/>
      </w:pPr>
      <w:rPr>
        <w:rFonts w:hint="default"/>
        <w:lang w:val="en-US" w:eastAsia="en-US" w:bidi="ar-SA"/>
      </w:rPr>
    </w:lvl>
    <w:lvl w:ilvl="8">
      <w:numFmt w:val="bullet"/>
      <w:lvlText w:val="•"/>
      <w:lvlJc w:val="left"/>
      <w:pPr>
        <w:ind w:left="7899" w:hanging="900"/>
      </w:pPr>
      <w:rPr>
        <w:rFonts w:hint="default"/>
        <w:lang w:val="en-US" w:eastAsia="en-US" w:bidi="ar-SA"/>
      </w:rPr>
    </w:lvl>
  </w:abstractNum>
  <w:abstractNum w:abstractNumId="72" w15:restartNumberingAfterBreak="0">
    <w:nsid w:val="1CD26084"/>
    <w:multiLevelType w:val="hybridMultilevel"/>
    <w:tmpl w:val="CDD043B6"/>
    <w:lvl w:ilvl="0" w:tplc="F9B63F00">
      <w:numFmt w:val="bullet"/>
      <w:lvlText w:val="•"/>
      <w:lvlJc w:val="left"/>
      <w:pPr>
        <w:ind w:left="27" w:hanging="73"/>
      </w:pPr>
      <w:rPr>
        <w:rFonts w:ascii="Arial" w:eastAsia="Arial" w:hAnsi="Arial" w:cs="Arial" w:hint="default"/>
        <w:color w:val="231F20"/>
        <w:w w:val="83"/>
        <w:sz w:val="15"/>
        <w:szCs w:val="15"/>
        <w:lang w:val="en-US" w:eastAsia="en-US" w:bidi="ar-SA"/>
      </w:rPr>
    </w:lvl>
    <w:lvl w:ilvl="1" w:tplc="402AE5CC">
      <w:numFmt w:val="bullet"/>
      <w:lvlText w:val="•"/>
      <w:lvlJc w:val="left"/>
      <w:pPr>
        <w:ind w:left="268" w:hanging="73"/>
      </w:pPr>
      <w:rPr>
        <w:rFonts w:hint="default"/>
        <w:lang w:val="en-US" w:eastAsia="en-US" w:bidi="ar-SA"/>
      </w:rPr>
    </w:lvl>
    <w:lvl w:ilvl="2" w:tplc="4B08D66C">
      <w:numFmt w:val="bullet"/>
      <w:lvlText w:val="•"/>
      <w:lvlJc w:val="left"/>
      <w:pPr>
        <w:ind w:left="517" w:hanging="73"/>
      </w:pPr>
      <w:rPr>
        <w:rFonts w:hint="default"/>
        <w:lang w:val="en-US" w:eastAsia="en-US" w:bidi="ar-SA"/>
      </w:rPr>
    </w:lvl>
    <w:lvl w:ilvl="3" w:tplc="80EEA33E">
      <w:numFmt w:val="bullet"/>
      <w:lvlText w:val="•"/>
      <w:lvlJc w:val="left"/>
      <w:pPr>
        <w:ind w:left="766" w:hanging="73"/>
      </w:pPr>
      <w:rPr>
        <w:rFonts w:hint="default"/>
        <w:lang w:val="en-US" w:eastAsia="en-US" w:bidi="ar-SA"/>
      </w:rPr>
    </w:lvl>
    <w:lvl w:ilvl="4" w:tplc="F61A0680">
      <w:numFmt w:val="bullet"/>
      <w:lvlText w:val="•"/>
      <w:lvlJc w:val="left"/>
      <w:pPr>
        <w:ind w:left="1015" w:hanging="73"/>
      </w:pPr>
      <w:rPr>
        <w:rFonts w:hint="default"/>
        <w:lang w:val="en-US" w:eastAsia="en-US" w:bidi="ar-SA"/>
      </w:rPr>
    </w:lvl>
    <w:lvl w:ilvl="5" w:tplc="A844DF70">
      <w:numFmt w:val="bullet"/>
      <w:lvlText w:val="•"/>
      <w:lvlJc w:val="left"/>
      <w:pPr>
        <w:ind w:left="1264" w:hanging="73"/>
      </w:pPr>
      <w:rPr>
        <w:rFonts w:hint="default"/>
        <w:lang w:val="en-US" w:eastAsia="en-US" w:bidi="ar-SA"/>
      </w:rPr>
    </w:lvl>
    <w:lvl w:ilvl="6" w:tplc="598E19F2">
      <w:numFmt w:val="bullet"/>
      <w:lvlText w:val="•"/>
      <w:lvlJc w:val="left"/>
      <w:pPr>
        <w:ind w:left="1513" w:hanging="73"/>
      </w:pPr>
      <w:rPr>
        <w:rFonts w:hint="default"/>
        <w:lang w:val="en-US" w:eastAsia="en-US" w:bidi="ar-SA"/>
      </w:rPr>
    </w:lvl>
    <w:lvl w:ilvl="7" w:tplc="CCB24580">
      <w:numFmt w:val="bullet"/>
      <w:lvlText w:val="•"/>
      <w:lvlJc w:val="left"/>
      <w:pPr>
        <w:ind w:left="1762" w:hanging="73"/>
      </w:pPr>
      <w:rPr>
        <w:rFonts w:hint="default"/>
        <w:lang w:val="en-US" w:eastAsia="en-US" w:bidi="ar-SA"/>
      </w:rPr>
    </w:lvl>
    <w:lvl w:ilvl="8" w:tplc="95543960">
      <w:numFmt w:val="bullet"/>
      <w:lvlText w:val="•"/>
      <w:lvlJc w:val="left"/>
      <w:pPr>
        <w:ind w:left="2011" w:hanging="73"/>
      </w:pPr>
      <w:rPr>
        <w:rFonts w:hint="default"/>
        <w:lang w:val="en-US" w:eastAsia="en-US" w:bidi="ar-SA"/>
      </w:rPr>
    </w:lvl>
  </w:abstractNum>
  <w:abstractNum w:abstractNumId="73" w15:restartNumberingAfterBreak="0">
    <w:nsid w:val="1CD72B2D"/>
    <w:multiLevelType w:val="hybridMultilevel"/>
    <w:tmpl w:val="29088620"/>
    <w:lvl w:ilvl="0" w:tplc="1A104916">
      <w:numFmt w:val="bullet"/>
      <w:lvlText w:val="•"/>
      <w:lvlJc w:val="left"/>
      <w:pPr>
        <w:ind w:left="23" w:hanging="73"/>
      </w:pPr>
      <w:rPr>
        <w:rFonts w:ascii="Arial" w:eastAsia="Arial" w:hAnsi="Arial" w:cs="Arial" w:hint="default"/>
        <w:color w:val="231F20"/>
        <w:w w:val="115"/>
        <w:sz w:val="10"/>
        <w:szCs w:val="10"/>
        <w:lang w:val="en-US" w:eastAsia="en-US" w:bidi="ar-SA"/>
      </w:rPr>
    </w:lvl>
    <w:lvl w:ilvl="1" w:tplc="67B62A68">
      <w:numFmt w:val="bullet"/>
      <w:lvlText w:val="•"/>
      <w:lvlJc w:val="left"/>
      <w:pPr>
        <w:ind w:left="248" w:hanging="73"/>
      </w:pPr>
      <w:rPr>
        <w:rFonts w:hint="default"/>
        <w:lang w:val="en-US" w:eastAsia="en-US" w:bidi="ar-SA"/>
      </w:rPr>
    </w:lvl>
    <w:lvl w:ilvl="2" w:tplc="5816DAAA">
      <w:numFmt w:val="bullet"/>
      <w:lvlText w:val="•"/>
      <w:lvlJc w:val="left"/>
      <w:pPr>
        <w:ind w:left="477" w:hanging="73"/>
      </w:pPr>
      <w:rPr>
        <w:rFonts w:hint="default"/>
        <w:lang w:val="en-US" w:eastAsia="en-US" w:bidi="ar-SA"/>
      </w:rPr>
    </w:lvl>
    <w:lvl w:ilvl="3" w:tplc="29BC74E0">
      <w:numFmt w:val="bullet"/>
      <w:lvlText w:val="•"/>
      <w:lvlJc w:val="left"/>
      <w:pPr>
        <w:ind w:left="706" w:hanging="73"/>
      </w:pPr>
      <w:rPr>
        <w:rFonts w:hint="default"/>
        <w:lang w:val="en-US" w:eastAsia="en-US" w:bidi="ar-SA"/>
      </w:rPr>
    </w:lvl>
    <w:lvl w:ilvl="4" w:tplc="463E2C2C">
      <w:numFmt w:val="bullet"/>
      <w:lvlText w:val="•"/>
      <w:lvlJc w:val="left"/>
      <w:pPr>
        <w:ind w:left="935" w:hanging="73"/>
      </w:pPr>
      <w:rPr>
        <w:rFonts w:hint="default"/>
        <w:lang w:val="en-US" w:eastAsia="en-US" w:bidi="ar-SA"/>
      </w:rPr>
    </w:lvl>
    <w:lvl w:ilvl="5" w:tplc="EFA65304">
      <w:numFmt w:val="bullet"/>
      <w:lvlText w:val="•"/>
      <w:lvlJc w:val="left"/>
      <w:pPr>
        <w:ind w:left="1164" w:hanging="73"/>
      </w:pPr>
      <w:rPr>
        <w:rFonts w:hint="default"/>
        <w:lang w:val="en-US" w:eastAsia="en-US" w:bidi="ar-SA"/>
      </w:rPr>
    </w:lvl>
    <w:lvl w:ilvl="6" w:tplc="587C1BCA">
      <w:numFmt w:val="bullet"/>
      <w:lvlText w:val="•"/>
      <w:lvlJc w:val="left"/>
      <w:pPr>
        <w:ind w:left="1393" w:hanging="73"/>
      </w:pPr>
      <w:rPr>
        <w:rFonts w:hint="default"/>
        <w:lang w:val="en-US" w:eastAsia="en-US" w:bidi="ar-SA"/>
      </w:rPr>
    </w:lvl>
    <w:lvl w:ilvl="7" w:tplc="7230F432">
      <w:numFmt w:val="bullet"/>
      <w:lvlText w:val="•"/>
      <w:lvlJc w:val="left"/>
      <w:pPr>
        <w:ind w:left="1622" w:hanging="73"/>
      </w:pPr>
      <w:rPr>
        <w:rFonts w:hint="default"/>
        <w:lang w:val="en-US" w:eastAsia="en-US" w:bidi="ar-SA"/>
      </w:rPr>
    </w:lvl>
    <w:lvl w:ilvl="8" w:tplc="BDE8118E">
      <w:numFmt w:val="bullet"/>
      <w:lvlText w:val="•"/>
      <w:lvlJc w:val="left"/>
      <w:pPr>
        <w:ind w:left="1851" w:hanging="73"/>
      </w:pPr>
      <w:rPr>
        <w:rFonts w:hint="default"/>
        <w:lang w:val="en-US" w:eastAsia="en-US" w:bidi="ar-SA"/>
      </w:rPr>
    </w:lvl>
  </w:abstractNum>
  <w:abstractNum w:abstractNumId="74" w15:restartNumberingAfterBreak="0">
    <w:nsid w:val="1D021F2A"/>
    <w:multiLevelType w:val="hybridMultilevel"/>
    <w:tmpl w:val="767CFE6A"/>
    <w:lvl w:ilvl="0" w:tplc="E6CA6C2E">
      <w:numFmt w:val="bullet"/>
      <w:lvlText w:val="•"/>
      <w:lvlJc w:val="left"/>
      <w:pPr>
        <w:ind w:left="67" w:hanging="43"/>
      </w:pPr>
      <w:rPr>
        <w:rFonts w:ascii="Arial" w:eastAsia="Arial" w:hAnsi="Arial" w:cs="Arial" w:hint="default"/>
        <w:color w:val="231F20"/>
        <w:w w:val="73"/>
        <w:sz w:val="14"/>
        <w:szCs w:val="14"/>
        <w:lang w:val="en-US" w:eastAsia="en-US" w:bidi="ar-SA"/>
      </w:rPr>
    </w:lvl>
    <w:lvl w:ilvl="1" w:tplc="78D0612E">
      <w:numFmt w:val="bullet"/>
      <w:lvlText w:val="•"/>
      <w:lvlJc w:val="left"/>
      <w:pPr>
        <w:ind w:left="289" w:hanging="43"/>
      </w:pPr>
      <w:rPr>
        <w:rFonts w:hint="default"/>
        <w:lang w:val="en-US" w:eastAsia="en-US" w:bidi="ar-SA"/>
      </w:rPr>
    </w:lvl>
    <w:lvl w:ilvl="2" w:tplc="B7E67FFC">
      <w:numFmt w:val="bullet"/>
      <w:lvlText w:val="•"/>
      <w:lvlJc w:val="left"/>
      <w:pPr>
        <w:ind w:left="519" w:hanging="43"/>
      </w:pPr>
      <w:rPr>
        <w:rFonts w:hint="default"/>
        <w:lang w:val="en-US" w:eastAsia="en-US" w:bidi="ar-SA"/>
      </w:rPr>
    </w:lvl>
    <w:lvl w:ilvl="3" w:tplc="604E0310">
      <w:numFmt w:val="bullet"/>
      <w:lvlText w:val="•"/>
      <w:lvlJc w:val="left"/>
      <w:pPr>
        <w:ind w:left="748" w:hanging="43"/>
      </w:pPr>
      <w:rPr>
        <w:rFonts w:hint="default"/>
        <w:lang w:val="en-US" w:eastAsia="en-US" w:bidi="ar-SA"/>
      </w:rPr>
    </w:lvl>
    <w:lvl w:ilvl="4" w:tplc="BCDA904E">
      <w:numFmt w:val="bullet"/>
      <w:lvlText w:val="•"/>
      <w:lvlJc w:val="left"/>
      <w:pPr>
        <w:ind w:left="978" w:hanging="43"/>
      </w:pPr>
      <w:rPr>
        <w:rFonts w:hint="default"/>
        <w:lang w:val="en-US" w:eastAsia="en-US" w:bidi="ar-SA"/>
      </w:rPr>
    </w:lvl>
    <w:lvl w:ilvl="5" w:tplc="69CC53E6">
      <w:numFmt w:val="bullet"/>
      <w:lvlText w:val="•"/>
      <w:lvlJc w:val="left"/>
      <w:pPr>
        <w:ind w:left="1207" w:hanging="43"/>
      </w:pPr>
      <w:rPr>
        <w:rFonts w:hint="default"/>
        <w:lang w:val="en-US" w:eastAsia="en-US" w:bidi="ar-SA"/>
      </w:rPr>
    </w:lvl>
    <w:lvl w:ilvl="6" w:tplc="20304EFA">
      <w:numFmt w:val="bullet"/>
      <w:lvlText w:val="•"/>
      <w:lvlJc w:val="left"/>
      <w:pPr>
        <w:ind w:left="1437" w:hanging="43"/>
      </w:pPr>
      <w:rPr>
        <w:rFonts w:hint="default"/>
        <w:lang w:val="en-US" w:eastAsia="en-US" w:bidi="ar-SA"/>
      </w:rPr>
    </w:lvl>
    <w:lvl w:ilvl="7" w:tplc="5F98E246">
      <w:numFmt w:val="bullet"/>
      <w:lvlText w:val="•"/>
      <w:lvlJc w:val="left"/>
      <w:pPr>
        <w:ind w:left="1666" w:hanging="43"/>
      </w:pPr>
      <w:rPr>
        <w:rFonts w:hint="default"/>
        <w:lang w:val="en-US" w:eastAsia="en-US" w:bidi="ar-SA"/>
      </w:rPr>
    </w:lvl>
    <w:lvl w:ilvl="8" w:tplc="42BECB66">
      <w:numFmt w:val="bullet"/>
      <w:lvlText w:val="•"/>
      <w:lvlJc w:val="left"/>
      <w:pPr>
        <w:ind w:left="1896" w:hanging="43"/>
      </w:pPr>
      <w:rPr>
        <w:rFonts w:hint="default"/>
        <w:lang w:val="en-US" w:eastAsia="en-US" w:bidi="ar-SA"/>
      </w:rPr>
    </w:lvl>
  </w:abstractNum>
  <w:abstractNum w:abstractNumId="75" w15:restartNumberingAfterBreak="0">
    <w:nsid w:val="1D2E171D"/>
    <w:multiLevelType w:val="hybridMultilevel"/>
    <w:tmpl w:val="B9522BA2"/>
    <w:lvl w:ilvl="0" w:tplc="29CE2218">
      <w:numFmt w:val="bullet"/>
      <w:lvlText w:val="•"/>
      <w:lvlJc w:val="left"/>
      <w:pPr>
        <w:ind w:left="27" w:hanging="79"/>
      </w:pPr>
      <w:rPr>
        <w:rFonts w:ascii="Arial" w:eastAsia="Arial" w:hAnsi="Arial" w:cs="Arial" w:hint="default"/>
        <w:color w:val="231F20"/>
        <w:w w:val="96"/>
        <w:sz w:val="13"/>
        <w:szCs w:val="13"/>
        <w:lang w:val="en-US" w:eastAsia="en-US" w:bidi="ar-SA"/>
      </w:rPr>
    </w:lvl>
    <w:lvl w:ilvl="1" w:tplc="3D846C94">
      <w:numFmt w:val="bullet"/>
      <w:lvlText w:val="•"/>
      <w:lvlJc w:val="left"/>
      <w:pPr>
        <w:ind w:left="268" w:hanging="79"/>
      </w:pPr>
      <w:rPr>
        <w:rFonts w:hint="default"/>
        <w:lang w:val="en-US" w:eastAsia="en-US" w:bidi="ar-SA"/>
      </w:rPr>
    </w:lvl>
    <w:lvl w:ilvl="2" w:tplc="0A4A2590">
      <w:numFmt w:val="bullet"/>
      <w:lvlText w:val="•"/>
      <w:lvlJc w:val="left"/>
      <w:pPr>
        <w:ind w:left="517" w:hanging="79"/>
      </w:pPr>
      <w:rPr>
        <w:rFonts w:hint="default"/>
        <w:lang w:val="en-US" w:eastAsia="en-US" w:bidi="ar-SA"/>
      </w:rPr>
    </w:lvl>
    <w:lvl w:ilvl="3" w:tplc="91DC13CA">
      <w:numFmt w:val="bullet"/>
      <w:lvlText w:val="•"/>
      <w:lvlJc w:val="left"/>
      <w:pPr>
        <w:ind w:left="766" w:hanging="79"/>
      </w:pPr>
      <w:rPr>
        <w:rFonts w:hint="default"/>
        <w:lang w:val="en-US" w:eastAsia="en-US" w:bidi="ar-SA"/>
      </w:rPr>
    </w:lvl>
    <w:lvl w:ilvl="4" w:tplc="71A661E8">
      <w:numFmt w:val="bullet"/>
      <w:lvlText w:val="•"/>
      <w:lvlJc w:val="left"/>
      <w:pPr>
        <w:ind w:left="1015" w:hanging="79"/>
      </w:pPr>
      <w:rPr>
        <w:rFonts w:hint="default"/>
        <w:lang w:val="en-US" w:eastAsia="en-US" w:bidi="ar-SA"/>
      </w:rPr>
    </w:lvl>
    <w:lvl w:ilvl="5" w:tplc="74C05150">
      <w:numFmt w:val="bullet"/>
      <w:lvlText w:val="•"/>
      <w:lvlJc w:val="left"/>
      <w:pPr>
        <w:ind w:left="1264" w:hanging="79"/>
      </w:pPr>
      <w:rPr>
        <w:rFonts w:hint="default"/>
        <w:lang w:val="en-US" w:eastAsia="en-US" w:bidi="ar-SA"/>
      </w:rPr>
    </w:lvl>
    <w:lvl w:ilvl="6" w:tplc="046E35DC">
      <w:numFmt w:val="bullet"/>
      <w:lvlText w:val="•"/>
      <w:lvlJc w:val="left"/>
      <w:pPr>
        <w:ind w:left="1513" w:hanging="79"/>
      </w:pPr>
      <w:rPr>
        <w:rFonts w:hint="default"/>
        <w:lang w:val="en-US" w:eastAsia="en-US" w:bidi="ar-SA"/>
      </w:rPr>
    </w:lvl>
    <w:lvl w:ilvl="7" w:tplc="C224942E">
      <w:numFmt w:val="bullet"/>
      <w:lvlText w:val="•"/>
      <w:lvlJc w:val="left"/>
      <w:pPr>
        <w:ind w:left="1762" w:hanging="79"/>
      </w:pPr>
      <w:rPr>
        <w:rFonts w:hint="default"/>
        <w:lang w:val="en-US" w:eastAsia="en-US" w:bidi="ar-SA"/>
      </w:rPr>
    </w:lvl>
    <w:lvl w:ilvl="8" w:tplc="2A1E14D6">
      <w:numFmt w:val="bullet"/>
      <w:lvlText w:val="•"/>
      <w:lvlJc w:val="left"/>
      <w:pPr>
        <w:ind w:left="2011" w:hanging="79"/>
      </w:pPr>
      <w:rPr>
        <w:rFonts w:hint="default"/>
        <w:lang w:val="en-US" w:eastAsia="en-US" w:bidi="ar-SA"/>
      </w:rPr>
    </w:lvl>
  </w:abstractNum>
  <w:abstractNum w:abstractNumId="76" w15:restartNumberingAfterBreak="0">
    <w:nsid w:val="1D4342BB"/>
    <w:multiLevelType w:val="multilevel"/>
    <w:tmpl w:val="A85205E6"/>
    <w:lvl w:ilvl="0">
      <w:start w:val="5"/>
      <w:numFmt w:val="decimal"/>
      <w:lvlText w:val="%1"/>
      <w:lvlJc w:val="left"/>
      <w:pPr>
        <w:ind w:left="134" w:hanging="638"/>
      </w:pPr>
      <w:rPr>
        <w:rFonts w:hint="default"/>
        <w:lang w:val="en-US" w:eastAsia="en-US" w:bidi="ar-SA"/>
      </w:rPr>
    </w:lvl>
    <w:lvl w:ilvl="1">
      <w:start w:val="7"/>
      <w:numFmt w:val="decimal"/>
      <w:lvlText w:val="%1.%2"/>
      <w:lvlJc w:val="left"/>
      <w:pPr>
        <w:ind w:left="134" w:hanging="638"/>
      </w:pPr>
      <w:rPr>
        <w:rFonts w:hint="default"/>
        <w:lang w:val="en-US" w:eastAsia="en-US" w:bidi="ar-SA"/>
      </w:rPr>
    </w:lvl>
    <w:lvl w:ilvl="2">
      <w:numFmt w:val="decimal"/>
      <w:lvlText w:val="%1.%2.%3"/>
      <w:lvlJc w:val="left"/>
      <w:pPr>
        <w:ind w:left="134" w:hanging="638"/>
        <w:jc w:val="right"/>
      </w:pPr>
      <w:rPr>
        <w:rFonts w:hint="default"/>
        <w:w w:val="99"/>
        <w:lang w:val="en-US" w:eastAsia="en-US" w:bidi="ar-SA"/>
      </w:rPr>
    </w:lvl>
    <w:lvl w:ilvl="3">
      <w:start w:val="1"/>
      <w:numFmt w:val="decimal"/>
      <w:lvlText w:val="%1.%2.%3.%4"/>
      <w:lvlJc w:val="left"/>
      <w:pPr>
        <w:ind w:left="134" w:hanging="738"/>
      </w:pPr>
      <w:rPr>
        <w:rFonts w:ascii="Arial" w:eastAsia="Arial" w:hAnsi="Arial" w:cs="Arial" w:hint="default"/>
        <w:color w:val="231F20"/>
        <w:w w:val="99"/>
        <w:sz w:val="22"/>
        <w:szCs w:val="22"/>
        <w:lang w:val="en-US" w:eastAsia="en-US" w:bidi="ar-SA"/>
      </w:rPr>
    </w:lvl>
    <w:lvl w:ilvl="4">
      <w:numFmt w:val="bullet"/>
      <w:lvlText w:val="•"/>
      <w:lvlJc w:val="left"/>
      <w:pPr>
        <w:ind w:left="3355" w:hanging="738"/>
      </w:pPr>
      <w:rPr>
        <w:rFonts w:hint="default"/>
        <w:lang w:val="en-US" w:eastAsia="en-US" w:bidi="ar-SA"/>
      </w:rPr>
    </w:lvl>
    <w:lvl w:ilvl="5">
      <w:numFmt w:val="bullet"/>
      <w:lvlText w:val="•"/>
      <w:lvlJc w:val="left"/>
      <w:pPr>
        <w:ind w:left="4413" w:hanging="738"/>
      </w:pPr>
      <w:rPr>
        <w:rFonts w:hint="default"/>
        <w:lang w:val="en-US" w:eastAsia="en-US" w:bidi="ar-SA"/>
      </w:rPr>
    </w:lvl>
    <w:lvl w:ilvl="6">
      <w:numFmt w:val="bullet"/>
      <w:lvlText w:val="•"/>
      <w:lvlJc w:val="left"/>
      <w:pPr>
        <w:ind w:left="5471" w:hanging="738"/>
      </w:pPr>
      <w:rPr>
        <w:rFonts w:hint="default"/>
        <w:lang w:val="en-US" w:eastAsia="en-US" w:bidi="ar-SA"/>
      </w:rPr>
    </w:lvl>
    <w:lvl w:ilvl="7">
      <w:numFmt w:val="bullet"/>
      <w:lvlText w:val="•"/>
      <w:lvlJc w:val="left"/>
      <w:pPr>
        <w:ind w:left="6530" w:hanging="738"/>
      </w:pPr>
      <w:rPr>
        <w:rFonts w:hint="default"/>
        <w:lang w:val="en-US" w:eastAsia="en-US" w:bidi="ar-SA"/>
      </w:rPr>
    </w:lvl>
    <w:lvl w:ilvl="8">
      <w:numFmt w:val="bullet"/>
      <w:lvlText w:val="•"/>
      <w:lvlJc w:val="left"/>
      <w:pPr>
        <w:ind w:left="7588" w:hanging="738"/>
      </w:pPr>
      <w:rPr>
        <w:rFonts w:hint="default"/>
        <w:lang w:val="en-US" w:eastAsia="en-US" w:bidi="ar-SA"/>
      </w:rPr>
    </w:lvl>
  </w:abstractNum>
  <w:abstractNum w:abstractNumId="77" w15:restartNumberingAfterBreak="0">
    <w:nsid w:val="1D8E13B1"/>
    <w:multiLevelType w:val="multilevel"/>
    <w:tmpl w:val="8C8A2792"/>
    <w:lvl w:ilvl="0">
      <w:start w:val="5"/>
      <w:numFmt w:val="decimal"/>
      <w:lvlText w:val="%1"/>
      <w:lvlJc w:val="left"/>
      <w:pPr>
        <w:ind w:left="172" w:hanging="748"/>
      </w:pPr>
      <w:rPr>
        <w:rFonts w:hint="default"/>
        <w:lang w:val="en-US" w:eastAsia="en-US" w:bidi="ar-SA"/>
      </w:rPr>
    </w:lvl>
    <w:lvl w:ilvl="1">
      <w:start w:val="4"/>
      <w:numFmt w:val="decimal"/>
      <w:lvlText w:val="%1.%2"/>
      <w:lvlJc w:val="left"/>
      <w:pPr>
        <w:ind w:left="172" w:hanging="748"/>
      </w:pPr>
      <w:rPr>
        <w:rFonts w:hint="default"/>
        <w:lang w:val="en-US" w:eastAsia="en-US" w:bidi="ar-SA"/>
      </w:rPr>
    </w:lvl>
    <w:lvl w:ilvl="2">
      <w:start w:val="1"/>
      <w:numFmt w:val="decimal"/>
      <w:lvlText w:val="%1.%2.%3"/>
      <w:lvlJc w:val="left"/>
      <w:pPr>
        <w:ind w:left="172" w:hanging="748"/>
      </w:pPr>
      <w:rPr>
        <w:rFonts w:hint="default"/>
        <w:lang w:val="en-US" w:eastAsia="en-US" w:bidi="ar-SA"/>
      </w:rPr>
    </w:lvl>
    <w:lvl w:ilvl="3">
      <w:start w:val="1"/>
      <w:numFmt w:val="decimal"/>
      <w:lvlText w:val="%1.%2.%3.%4"/>
      <w:lvlJc w:val="left"/>
      <w:pPr>
        <w:ind w:left="172" w:hanging="748"/>
      </w:pPr>
      <w:rPr>
        <w:rFonts w:ascii="Arial" w:eastAsia="Arial" w:hAnsi="Arial" w:cs="Arial" w:hint="default"/>
        <w:color w:val="231F20"/>
        <w:w w:val="99"/>
        <w:sz w:val="22"/>
        <w:szCs w:val="22"/>
        <w:lang w:val="en-US" w:eastAsia="en-US" w:bidi="ar-SA"/>
      </w:rPr>
    </w:lvl>
    <w:lvl w:ilvl="4">
      <w:numFmt w:val="bullet"/>
      <w:lvlText w:val="•"/>
      <w:lvlJc w:val="left"/>
      <w:pPr>
        <w:ind w:left="3990" w:hanging="748"/>
      </w:pPr>
      <w:rPr>
        <w:rFonts w:hint="default"/>
        <w:lang w:val="en-US" w:eastAsia="en-US" w:bidi="ar-SA"/>
      </w:rPr>
    </w:lvl>
    <w:lvl w:ilvl="5">
      <w:numFmt w:val="bullet"/>
      <w:lvlText w:val="•"/>
      <w:lvlJc w:val="left"/>
      <w:pPr>
        <w:ind w:left="4942" w:hanging="748"/>
      </w:pPr>
      <w:rPr>
        <w:rFonts w:hint="default"/>
        <w:lang w:val="en-US" w:eastAsia="en-US" w:bidi="ar-SA"/>
      </w:rPr>
    </w:lvl>
    <w:lvl w:ilvl="6">
      <w:numFmt w:val="bullet"/>
      <w:lvlText w:val="•"/>
      <w:lvlJc w:val="left"/>
      <w:pPr>
        <w:ind w:left="5895" w:hanging="748"/>
      </w:pPr>
      <w:rPr>
        <w:rFonts w:hint="default"/>
        <w:lang w:val="en-US" w:eastAsia="en-US" w:bidi="ar-SA"/>
      </w:rPr>
    </w:lvl>
    <w:lvl w:ilvl="7">
      <w:numFmt w:val="bullet"/>
      <w:lvlText w:val="•"/>
      <w:lvlJc w:val="left"/>
      <w:pPr>
        <w:ind w:left="6847" w:hanging="748"/>
      </w:pPr>
      <w:rPr>
        <w:rFonts w:hint="default"/>
        <w:lang w:val="en-US" w:eastAsia="en-US" w:bidi="ar-SA"/>
      </w:rPr>
    </w:lvl>
    <w:lvl w:ilvl="8">
      <w:numFmt w:val="bullet"/>
      <w:lvlText w:val="•"/>
      <w:lvlJc w:val="left"/>
      <w:pPr>
        <w:ind w:left="7800" w:hanging="748"/>
      </w:pPr>
      <w:rPr>
        <w:rFonts w:hint="default"/>
        <w:lang w:val="en-US" w:eastAsia="en-US" w:bidi="ar-SA"/>
      </w:rPr>
    </w:lvl>
  </w:abstractNum>
  <w:abstractNum w:abstractNumId="78" w15:restartNumberingAfterBreak="0">
    <w:nsid w:val="1ECB1412"/>
    <w:multiLevelType w:val="multilevel"/>
    <w:tmpl w:val="8A9AA254"/>
    <w:lvl w:ilvl="0">
      <w:start w:val="5"/>
      <w:numFmt w:val="decimal"/>
      <w:lvlText w:val="%1"/>
      <w:lvlJc w:val="left"/>
      <w:pPr>
        <w:ind w:left="167" w:hanging="625"/>
      </w:pPr>
      <w:rPr>
        <w:rFonts w:hint="default"/>
        <w:lang w:val="en-US" w:eastAsia="en-US" w:bidi="ar-SA"/>
      </w:rPr>
    </w:lvl>
    <w:lvl w:ilvl="1">
      <w:start w:val="5"/>
      <w:numFmt w:val="decimal"/>
      <w:lvlText w:val="%1.%2"/>
      <w:lvlJc w:val="left"/>
      <w:pPr>
        <w:ind w:left="167" w:hanging="625"/>
      </w:pPr>
      <w:rPr>
        <w:rFonts w:hint="default"/>
        <w:lang w:val="en-US" w:eastAsia="en-US" w:bidi="ar-SA"/>
      </w:rPr>
    </w:lvl>
    <w:lvl w:ilvl="2">
      <w:start w:val="5"/>
      <w:numFmt w:val="decimal"/>
      <w:lvlText w:val="%1.%2.%3"/>
      <w:lvlJc w:val="left"/>
      <w:pPr>
        <w:ind w:left="167" w:hanging="625"/>
      </w:pPr>
      <w:rPr>
        <w:rFonts w:ascii="Arial" w:eastAsia="Arial" w:hAnsi="Arial" w:cs="Arial" w:hint="default"/>
        <w:b/>
        <w:bCs/>
        <w:color w:val="231F20"/>
        <w:spacing w:val="-25"/>
        <w:w w:val="99"/>
        <w:sz w:val="22"/>
        <w:szCs w:val="22"/>
        <w:lang w:val="en-US" w:eastAsia="en-US" w:bidi="ar-SA"/>
      </w:rPr>
    </w:lvl>
    <w:lvl w:ilvl="3">
      <w:start w:val="1"/>
      <w:numFmt w:val="decimal"/>
      <w:lvlText w:val="%1.%2.%3.%4"/>
      <w:lvlJc w:val="left"/>
      <w:pPr>
        <w:ind w:left="171" w:hanging="717"/>
      </w:pPr>
      <w:rPr>
        <w:rFonts w:ascii="Arial" w:eastAsia="Arial" w:hAnsi="Arial" w:cs="Arial" w:hint="default"/>
        <w:color w:val="231F20"/>
        <w:w w:val="99"/>
        <w:sz w:val="22"/>
        <w:szCs w:val="22"/>
        <w:lang w:val="en-US" w:eastAsia="en-US" w:bidi="ar-SA"/>
      </w:rPr>
    </w:lvl>
    <w:lvl w:ilvl="4">
      <w:numFmt w:val="bullet"/>
      <w:lvlText w:val="•"/>
      <w:lvlJc w:val="left"/>
      <w:pPr>
        <w:ind w:left="3355" w:hanging="717"/>
      </w:pPr>
      <w:rPr>
        <w:rFonts w:hint="default"/>
        <w:lang w:val="en-US" w:eastAsia="en-US" w:bidi="ar-SA"/>
      </w:rPr>
    </w:lvl>
    <w:lvl w:ilvl="5">
      <w:numFmt w:val="bullet"/>
      <w:lvlText w:val="•"/>
      <w:lvlJc w:val="left"/>
      <w:pPr>
        <w:ind w:left="4413" w:hanging="717"/>
      </w:pPr>
      <w:rPr>
        <w:rFonts w:hint="default"/>
        <w:lang w:val="en-US" w:eastAsia="en-US" w:bidi="ar-SA"/>
      </w:rPr>
    </w:lvl>
    <w:lvl w:ilvl="6">
      <w:numFmt w:val="bullet"/>
      <w:lvlText w:val="•"/>
      <w:lvlJc w:val="left"/>
      <w:pPr>
        <w:ind w:left="5471" w:hanging="717"/>
      </w:pPr>
      <w:rPr>
        <w:rFonts w:hint="default"/>
        <w:lang w:val="en-US" w:eastAsia="en-US" w:bidi="ar-SA"/>
      </w:rPr>
    </w:lvl>
    <w:lvl w:ilvl="7">
      <w:numFmt w:val="bullet"/>
      <w:lvlText w:val="•"/>
      <w:lvlJc w:val="left"/>
      <w:pPr>
        <w:ind w:left="6530" w:hanging="717"/>
      </w:pPr>
      <w:rPr>
        <w:rFonts w:hint="default"/>
        <w:lang w:val="en-US" w:eastAsia="en-US" w:bidi="ar-SA"/>
      </w:rPr>
    </w:lvl>
    <w:lvl w:ilvl="8">
      <w:numFmt w:val="bullet"/>
      <w:lvlText w:val="•"/>
      <w:lvlJc w:val="left"/>
      <w:pPr>
        <w:ind w:left="7588" w:hanging="717"/>
      </w:pPr>
      <w:rPr>
        <w:rFonts w:hint="default"/>
        <w:lang w:val="en-US" w:eastAsia="en-US" w:bidi="ar-SA"/>
      </w:rPr>
    </w:lvl>
  </w:abstractNum>
  <w:abstractNum w:abstractNumId="79" w15:restartNumberingAfterBreak="0">
    <w:nsid w:val="1FB35A4E"/>
    <w:multiLevelType w:val="hybridMultilevel"/>
    <w:tmpl w:val="4E986C12"/>
    <w:lvl w:ilvl="0" w:tplc="82CA0566">
      <w:numFmt w:val="bullet"/>
      <w:lvlText w:val="•"/>
      <w:lvlJc w:val="left"/>
      <w:pPr>
        <w:ind w:left="23" w:hanging="84"/>
      </w:pPr>
      <w:rPr>
        <w:rFonts w:ascii="Arial" w:eastAsia="Arial" w:hAnsi="Arial" w:cs="Arial" w:hint="default"/>
        <w:color w:val="231F20"/>
        <w:w w:val="66"/>
        <w:sz w:val="20"/>
        <w:szCs w:val="20"/>
        <w:lang w:val="en-US" w:eastAsia="en-US" w:bidi="ar-SA"/>
      </w:rPr>
    </w:lvl>
    <w:lvl w:ilvl="1" w:tplc="9A9CD418">
      <w:numFmt w:val="bullet"/>
      <w:lvlText w:val="•"/>
      <w:lvlJc w:val="left"/>
      <w:pPr>
        <w:ind w:left="282" w:hanging="84"/>
      </w:pPr>
      <w:rPr>
        <w:rFonts w:hint="default"/>
        <w:lang w:val="en-US" w:eastAsia="en-US" w:bidi="ar-SA"/>
      </w:rPr>
    </w:lvl>
    <w:lvl w:ilvl="2" w:tplc="23FE2804">
      <w:numFmt w:val="bullet"/>
      <w:lvlText w:val="•"/>
      <w:lvlJc w:val="left"/>
      <w:pPr>
        <w:ind w:left="545" w:hanging="84"/>
      </w:pPr>
      <w:rPr>
        <w:rFonts w:hint="default"/>
        <w:lang w:val="en-US" w:eastAsia="en-US" w:bidi="ar-SA"/>
      </w:rPr>
    </w:lvl>
    <w:lvl w:ilvl="3" w:tplc="95DECA0E">
      <w:numFmt w:val="bullet"/>
      <w:lvlText w:val="•"/>
      <w:lvlJc w:val="left"/>
      <w:pPr>
        <w:ind w:left="807" w:hanging="84"/>
      </w:pPr>
      <w:rPr>
        <w:rFonts w:hint="default"/>
        <w:lang w:val="en-US" w:eastAsia="en-US" w:bidi="ar-SA"/>
      </w:rPr>
    </w:lvl>
    <w:lvl w:ilvl="4" w:tplc="0066A41C">
      <w:numFmt w:val="bullet"/>
      <w:lvlText w:val="•"/>
      <w:lvlJc w:val="left"/>
      <w:pPr>
        <w:ind w:left="1070" w:hanging="84"/>
      </w:pPr>
      <w:rPr>
        <w:rFonts w:hint="default"/>
        <w:lang w:val="en-US" w:eastAsia="en-US" w:bidi="ar-SA"/>
      </w:rPr>
    </w:lvl>
    <w:lvl w:ilvl="5" w:tplc="2F4AA3AC">
      <w:numFmt w:val="bullet"/>
      <w:lvlText w:val="•"/>
      <w:lvlJc w:val="left"/>
      <w:pPr>
        <w:ind w:left="1332" w:hanging="84"/>
      </w:pPr>
      <w:rPr>
        <w:rFonts w:hint="default"/>
        <w:lang w:val="en-US" w:eastAsia="en-US" w:bidi="ar-SA"/>
      </w:rPr>
    </w:lvl>
    <w:lvl w:ilvl="6" w:tplc="786423EC">
      <w:numFmt w:val="bullet"/>
      <w:lvlText w:val="•"/>
      <w:lvlJc w:val="left"/>
      <w:pPr>
        <w:ind w:left="1595" w:hanging="84"/>
      </w:pPr>
      <w:rPr>
        <w:rFonts w:hint="default"/>
        <w:lang w:val="en-US" w:eastAsia="en-US" w:bidi="ar-SA"/>
      </w:rPr>
    </w:lvl>
    <w:lvl w:ilvl="7" w:tplc="983A8FFA">
      <w:numFmt w:val="bullet"/>
      <w:lvlText w:val="•"/>
      <w:lvlJc w:val="left"/>
      <w:pPr>
        <w:ind w:left="1857" w:hanging="84"/>
      </w:pPr>
      <w:rPr>
        <w:rFonts w:hint="default"/>
        <w:lang w:val="en-US" w:eastAsia="en-US" w:bidi="ar-SA"/>
      </w:rPr>
    </w:lvl>
    <w:lvl w:ilvl="8" w:tplc="08B0900A">
      <w:numFmt w:val="bullet"/>
      <w:lvlText w:val="•"/>
      <w:lvlJc w:val="left"/>
      <w:pPr>
        <w:ind w:left="2120" w:hanging="84"/>
      </w:pPr>
      <w:rPr>
        <w:rFonts w:hint="default"/>
        <w:lang w:val="en-US" w:eastAsia="en-US" w:bidi="ar-SA"/>
      </w:rPr>
    </w:lvl>
  </w:abstractNum>
  <w:abstractNum w:abstractNumId="80" w15:restartNumberingAfterBreak="0">
    <w:nsid w:val="1FD02E8E"/>
    <w:multiLevelType w:val="hybridMultilevel"/>
    <w:tmpl w:val="73C49FC2"/>
    <w:lvl w:ilvl="0" w:tplc="6D54D292">
      <w:numFmt w:val="bullet"/>
      <w:lvlText w:val="•"/>
      <w:lvlJc w:val="left"/>
      <w:pPr>
        <w:ind w:left="19" w:hanging="75"/>
      </w:pPr>
      <w:rPr>
        <w:rFonts w:ascii="Arial" w:eastAsia="Arial" w:hAnsi="Arial" w:cs="Arial" w:hint="default"/>
        <w:color w:val="231F20"/>
        <w:w w:val="66"/>
        <w:sz w:val="18"/>
        <w:szCs w:val="18"/>
        <w:lang w:val="en-US" w:eastAsia="en-US" w:bidi="ar-SA"/>
      </w:rPr>
    </w:lvl>
    <w:lvl w:ilvl="1" w:tplc="CB44987A">
      <w:numFmt w:val="bullet"/>
      <w:lvlText w:val="•"/>
      <w:lvlJc w:val="left"/>
      <w:pPr>
        <w:ind w:left="256" w:hanging="75"/>
      </w:pPr>
      <w:rPr>
        <w:rFonts w:hint="default"/>
        <w:lang w:val="en-US" w:eastAsia="en-US" w:bidi="ar-SA"/>
      </w:rPr>
    </w:lvl>
    <w:lvl w:ilvl="2" w:tplc="EF0436A6">
      <w:numFmt w:val="bullet"/>
      <w:lvlText w:val="•"/>
      <w:lvlJc w:val="left"/>
      <w:pPr>
        <w:ind w:left="492" w:hanging="75"/>
      </w:pPr>
      <w:rPr>
        <w:rFonts w:hint="default"/>
        <w:lang w:val="en-US" w:eastAsia="en-US" w:bidi="ar-SA"/>
      </w:rPr>
    </w:lvl>
    <w:lvl w:ilvl="3" w:tplc="DE503578">
      <w:numFmt w:val="bullet"/>
      <w:lvlText w:val="•"/>
      <w:lvlJc w:val="left"/>
      <w:pPr>
        <w:ind w:left="729" w:hanging="75"/>
      </w:pPr>
      <w:rPr>
        <w:rFonts w:hint="default"/>
        <w:lang w:val="en-US" w:eastAsia="en-US" w:bidi="ar-SA"/>
      </w:rPr>
    </w:lvl>
    <w:lvl w:ilvl="4" w:tplc="898416B4">
      <w:numFmt w:val="bullet"/>
      <w:lvlText w:val="•"/>
      <w:lvlJc w:val="left"/>
      <w:pPr>
        <w:ind w:left="965" w:hanging="75"/>
      </w:pPr>
      <w:rPr>
        <w:rFonts w:hint="default"/>
        <w:lang w:val="en-US" w:eastAsia="en-US" w:bidi="ar-SA"/>
      </w:rPr>
    </w:lvl>
    <w:lvl w:ilvl="5" w:tplc="5B6EE550">
      <w:numFmt w:val="bullet"/>
      <w:lvlText w:val="•"/>
      <w:lvlJc w:val="left"/>
      <w:pPr>
        <w:ind w:left="1202" w:hanging="75"/>
      </w:pPr>
      <w:rPr>
        <w:rFonts w:hint="default"/>
        <w:lang w:val="en-US" w:eastAsia="en-US" w:bidi="ar-SA"/>
      </w:rPr>
    </w:lvl>
    <w:lvl w:ilvl="6" w:tplc="BFD49C10">
      <w:numFmt w:val="bullet"/>
      <w:lvlText w:val="•"/>
      <w:lvlJc w:val="left"/>
      <w:pPr>
        <w:ind w:left="1438" w:hanging="75"/>
      </w:pPr>
      <w:rPr>
        <w:rFonts w:hint="default"/>
        <w:lang w:val="en-US" w:eastAsia="en-US" w:bidi="ar-SA"/>
      </w:rPr>
    </w:lvl>
    <w:lvl w:ilvl="7" w:tplc="9D925B24">
      <w:numFmt w:val="bullet"/>
      <w:lvlText w:val="•"/>
      <w:lvlJc w:val="left"/>
      <w:pPr>
        <w:ind w:left="1674" w:hanging="75"/>
      </w:pPr>
      <w:rPr>
        <w:rFonts w:hint="default"/>
        <w:lang w:val="en-US" w:eastAsia="en-US" w:bidi="ar-SA"/>
      </w:rPr>
    </w:lvl>
    <w:lvl w:ilvl="8" w:tplc="D80CCFF2">
      <w:numFmt w:val="bullet"/>
      <w:lvlText w:val="•"/>
      <w:lvlJc w:val="left"/>
      <w:pPr>
        <w:ind w:left="1911" w:hanging="75"/>
      </w:pPr>
      <w:rPr>
        <w:rFonts w:hint="default"/>
        <w:lang w:val="en-US" w:eastAsia="en-US" w:bidi="ar-SA"/>
      </w:rPr>
    </w:lvl>
  </w:abstractNum>
  <w:abstractNum w:abstractNumId="81" w15:restartNumberingAfterBreak="0">
    <w:nsid w:val="20284496"/>
    <w:multiLevelType w:val="hybridMultilevel"/>
    <w:tmpl w:val="E9D085DC"/>
    <w:lvl w:ilvl="0" w:tplc="B6D47D0E">
      <w:numFmt w:val="bullet"/>
      <w:lvlText w:val="•"/>
      <w:lvlJc w:val="left"/>
      <w:pPr>
        <w:ind w:left="24" w:hanging="75"/>
      </w:pPr>
      <w:rPr>
        <w:rFonts w:ascii="Arial" w:eastAsia="Arial" w:hAnsi="Arial" w:cs="Arial" w:hint="default"/>
        <w:color w:val="231F20"/>
        <w:w w:val="108"/>
        <w:sz w:val="11"/>
        <w:szCs w:val="11"/>
        <w:lang w:val="en-US" w:eastAsia="en-US" w:bidi="ar-SA"/>
      </w:rPr>
    </w:lvl>
    <w:lvl w:ilvl="1" w:tplc="E4B0CE20">
      <w:numFmt w:val="bullet"/>
      <w:lvlText w:val="•"/>
      <w:lvlJc w:val="left"/>
      <w:pPr>
        <w:ind w:left="255" w:hanging="75"/>
      </w:pPr>
      <w:rPr>
        <w:rFonts w:hint="default"/>
        <w:lang w:val="en-US" w:eastAsia="en-US" w:bidi="ar-SA"/>
      </w:rPr>
    </w:lvl>
    <w:lvl w:ilvl="2" w:tplc="185275EE">
      <w:numFmt w:val="bullet"/>
      <w:lvlText w:val="•"/>
      <w:lvlJc w:val="left"/>
      <w:pPr>
        <w:ind w:left="490" w:hanging="75"/>
      </w:pPr>
      <w:rPr>
        <w:rFonts w:hint="default"/>
        <w:lang w:val="en-US" w:eastAsia="en-US" w:bidi="ar-SA"/>
      </w:rPr>
    </w:lvl>
    <w:lvl w:ilvl="3" w:tplc="BCB059A4">
      <w:numFmt w:val="bullet"/>
      <w:lvlText w:val="•"/>
      <w:lvlJc w:val="left"/>
      <w:pPr>
        <w:ind w:left="726" w:hanging="75"/>
      </w:pPr>
      <w:rPr>
        <w:rFonts w:hint="default"/>
        <w:lang w:val="en-US" w:eastAsia="en-US" w:bidi="ar-SA"/>
      </w:rPr>
    </w:lvl>
    <w:lvl w:ilvl="4" w:tplc="77E4F96A">
      <w:numFmt w:val="bullet"/>
      <w:lvlText w:val="•"/>
      <w:lvlJc w:val="left"/>
      <w:pPr>
        <w:ind w:left="961" w:hanging="75"/>
      </w:pPr>
      <w:rPr>
        <w:rFonts w:hint="default"/>
        <w:lang w:val="en-US" w:eastAsia="en-US" w:bidi="ar-SA"/>
      </w:rPr>
    </w:lvl>
    <w:lvl w:ilvl="5" w:tplc="F6A6F04A">
      <w:numFmt w:val="bullet"/>
      <w:lvlText w:val="•"/>
      <w:lvlJc w:val="left"/>
      <w:pPr>
        <w:ind w:left="1197" w:hanging="75"/>
      </w:pPr>
      <w:rPr>
        <w:rFonts w:hint="default"/>
        <w:lang w:val="en-US" w:eastAsia="en-US" w:bidi="ar-SA"/>
      </w:rPr>
    </w:lvl>
    <w:lvl w:ilvl="6" w:tplc="F55E9D98">
      <w:numFmt w:val="bullet"/>
      <w:lvlText w:val="•"/>
      <w:lvlJc w:val="left"/>
      <w:pPr>
        <w:ind w:left="1432" w:hanging="75"/>
      </w:pPr>
      <w:rPr>
        <w:rFonts w:hint="default"/>
        <w:lang w:val="en-US" w:eastAsia="en-US" w:bidi="ar-SA"/>
      </w:rPr>
    </w:lvl>
    <w:lvl w:ilvl="7" w:tplc="3B8E1554">
      <w:numFmt w:val="bullet"/>
      <w:lvlText w:val="•"/>
      <w:lvlJc w:val="left"/>
      <w:pPr>
        <w:ind w:left="1667" w:hanging="75"/>
      </w:pPr>
      <w:rPr>
        <w:rFonts w:hint="default"/>
        <w:lang w:val="en-US" w:eastAsia="en-US" w:bidi="ar-SA"/>
      </w:rPr>
    </w:lvl>
    <w:lvl w:ilvl="8" w:tplc="953CC596">
      <w:numFmt w:val="bullet"/>
      <w:lvlText w:val="•"/>
      <w:lvlJc w:val="left"/>
      <w:pPr>
        <w:ind w:left="1903" w:hanging="75"/>
      </w:pPr>
      <w:rPr>
        <w:rFonts w:hint="default"/>
        <w:lang w:val="en-US" w:eastAsia="en-US" w:bidi="ar-SA"/>
      </w:rPr>
    </w:lvl>
  </w:abstractNum>
  <w:abstractNum w:abstractNumId="82" w15:restartNumberingAfterBreak="0">
    <w:nsid w:val="203A7F8C"/>
    <w:multiLevelType w:val="hybridMultilevel"/>
    <w:tmpl w:val="D19260E6"/>
    <w:lvl w:ilvl="0" w:tplc="D8ACBC26">
      <w:numFmt w:val="bullet"/>
      <w:lvlText w:val="•"/>
      <w:lvlJc w:val="left"/>
      <w:pPr>
        <w:ind w:left="29" w:hanging="75"/>
      </w:pPr>
      <w:rPr>
        <w:rFonts w:ascii="Arial" w:eastAsia="Arial" w:hAnsi="Arial" w:cs="Arial" w:hint="default"/>
        <w:color w:val="231F20"/>
        <w:w w:val="78"/>
        <w:sz w:val="15"/>
        <w:szCs w:val="15"/>
        <w:lang w:val="en-US" w:eastAsia="en-US" w:bidi="ar-SA"/>
      </w:rPr>
    </w:lvl>
    <w:lvl w:ilvl="1" w:tplc="9D146EB4">
      <w:numFmt w:val="bullet"/>
      <w:lvlText w:val="•"/>
      <w:lvlJc w:val="left"/>
      <w:pPr>
        <w:ind w:left="254" w:hanging="75"/>
      </w:pPr>
      <w:rPr>
        <w:rFonts w:hint="default"/>
        <w:lang w:val="en-US" w:eastAsia="en-US" w:bidi="ar-SA"/>
      </w:rPr>
    </w:lvl>
    <w:lvl w:ilvl="2" w:tplc="7FBE433E">
      <w:numFmt w:val="bullet"/>
      <w:lvlText w:val="•"/>
      <w:lvlJc w:val="left"/>
      <w:pPr>
        <w:ind w:left="488" w:hanging="75"/>
      </w:pPr>
      <w:rPr>
        <w:rFonts w:hint="default"/>
        <w:lang w:val="en-US" w:eastAsia="en-US" w:bidi="ar-SA"/>
      </w:rPr>
    </w:lvl>
    <w:lvl w:ilvl="3" w:tplc="2D928C64">
      <w:numFmt w:val="bullet"/>
      <w:lvlText w:val="•"/>
      <w:lvlJc w:val="left"/>
      <w:pPr>
        <w:ind w:left="723" w:hanging="75"/>
      </w:pPr>
      <w:rPr>
        <w:rFonts w:hint="default"/>
        <w:lang w:val="en-US" w:eastAsia="en-US" w:bidi="ar-SA"/>
      </w:rPr>
    </w:lvl>
    <w:lvl w:ilvl="4" w:tplc="4C04C408">
      <w:numFmt w:val="bullet"/>
      <w:lvlText w:val="•"/>
      <w:lvlJc w:val="left"/>
      <w:pPr>
        <w:ind w:left="957" w:hanging="75"/>
      </w:pPr>
      <w:rPr>
        <w:rFonts w:hint="default"/>
        <w:lang w:val="en-US" w:eastAsia="en-US" w:bidi="ar-SA"/>
      </w:rPr>
    </w:lvl>
    <w:lvl w:ilvl="5" w:tplc="DE527BEE">
      <w:numFmt w:val="bullet"/>
      <w:lvlText w:val="•"/>
      <w:lvlJc w:val="left"/>
      <w:pPr>
        <w:ind w:left="1192" w:hanging="75"/>
      </w:pPr>
      <w:rPr>
        <w:rFonts w:hint="default"/>
        <w:lang w:val="en-US" w:eastAsia="en-US" w:bidi="ar-SA"/>
      </w:rPr>
    </w:lvl>
    <w:lvl w:ilvl="6" w:tplc="F79E126E">
      <w:numFmt w:val="bullet"/>
      <w:lvlText w:val="•"/>
      <w:lvlJc w:val="left"/>
      <w:pPr>
        <w:ind w:left="1426" w:hanging="75"/>
      </w:pPr>
      <w:rPr>
        <w:rFonts w:hint="default"/>
        <w:lang w:val="en-US" w:eastAsia="en-US" w:bidi="ar-SA"/>
      </w:rPr>
    </w:lvl>
    <w:lvl w:ilvl="7" w:tplc="86BA117C">
      <w:numFmt w:val="bullet"/>
      <w:lvlText w:val="•"/>
      <w:lvlJc w:val="left"/>
      <w:pPr>
        <w:ind w:left="1660" w:hanging="75"/>
      </w:pPr>
      <w:rPr>
        <w:rFonts w:hint="default"/>
        <w:lang w:val="en-US" w:eastAsia="en-US" w:bidi="ar-SA"/>
      </w:rPr>
    </w:lvl>
    <w:lvl w:ilvl="8" w:tplc="2070BEDC">
      <w:numFmt w:val="bullet"/>
      <w:lvlText w:val="•"/>
      <w:lvlJc w:val="left"/>
      <w:pPr>
        <w:ind w:left="1895" w:hanging="75"/>
      </w:pPr>
      <w:rPr>
        <w:rFonts w:hint="default"/>
        <w:lang w:val="en-US" w:eastAsia="en-US" w:bidi="ar-SA"/>
      </w:rPr>
    </w:lvl>
  </w:abstractNum>
  <w:abstractNum w:abstractNumId="83" w15:restartNumberingAfterBreak="0">
    <w:nsid w:val="20A1090F"/>
    <w:multiLevelType w:val="hybridMultilevel"/>
    <w:tmpl w:val="6FA2FF8A"/>
    <w:lvl w:ilvl="0" w:tplc="F81C12E4">
      <w:numFmt w:val="bullet"/>
      <w:lvlText w:val="•"/>
      <w:lvlJc w:val="left"/>
      <w:pPr>
        <w:ind w:left="28" w:hanging="79"/>
      </w:pPr>
      <w:rPr>
        <w:rFonts w:ascii="Arial" w:eastAsia="Arial" w:hAnsi="Arial" w:cs="Arial" w:hint="default"/>
        <w:color w:val="231F20"/>
        <w:w w:val="83"/>
        <w:sz w:val="15"/>
        <w:szCs w:val="15"/>
        <w:lang w:val="en-US" w:eastAsia="en-US" w:bidi="ar-SA"/>
      </w:rPr>
    </w:lvl>
    <w:lvl w:ilvl="1" w:tplc="F54024CC">
      <w:numFmt w:val="bullet"/>
      <w:lvlText w:val="•"/>
      <w:lvlJc w:val="left"/>
      <w:pPr>
        <w:ind w:left="267" w:hanging="79"/>
      </w:pPr>
      <w:rPr>
        <w:rFonts w:hint="default"/>
        <w:lang w:val="en-US" w:eastAsia="en-US" w:bidi="ar-SA"/>
      </w:rPr>
    </w:lvl>
    <w:lvl w:ilvl="2" w:tplc="0C6AC28A">
      <w:numFmt w:val="bullet"/>
      <w:lvlText w:val="•"/>
      <w:lvlJc w:val="left"/>
      <w:pPr>
        <w:ind w:left="515" w:hanging="79"/>
      </w:pPr>
      <w:rPr>
        <w:rFonts w:hint="default"/>
        <w:lang w:val="en-US" w:eastAsia="en-US" w:bidi="ar-SA"/>
      </w:rPr>
    </w:lvl>
    <w:lvl w:ilvl="3" w:tplc="A88A4D20">
      <w:numFmt w:val="bullet"/>
      <w:lvlText w:val="•"/>
      <w:lvlJc w:val="left"/>
      <w:pPr>
        <w:ind w:left="763" w:hanging="79"/>
      </w:pPr>
      <w:rPr>
        <w:rFonts w:hint="default"/>
        <w:lang w:val="en-US" w:eastAsia="en-US" w:bidi="ar-SA"/>
      </w:rPr>
    </w:lvl>
    <w:lvl w:ilvl="4" w:tplc="33A223B2">
      <w:numFmt w:val="bullet"/>
      <w:lvlText w:val="•"/>
      <w:lvlJc w:val="left"/>
      <w:pPr>
        <w:ind w:left="1010" w:hanging="79"/>
      </w:pPr>
      <w:rPr>
        <w:rFonts w:hint="default"/>
        <w:lang w:val="en-US" w:eastAsia="en-US" w:bidi="ar-SA"/>
      </w:rPr>
    </w:lvl>
    <w:lvl w:ilvl="5" w:tplc="D33652D0">
      <w:numFmt w:val="bullet"/>
      <w:lvlText w:val="•"/>
      <w:lvlJc w:val="left"/>
      <w:pPr>
        <w:ind w:left="1258" w:hanging="79"/>
      </w:pPr>
      <w:rPr>
        <w:rFonts w:hint="default"/>
        <w:lang w:val="en-US" w:eastAsia="en-US" w:bidi="ar-SA"/>
      </w:rPr>
    </w:lvl>
    <w:lvl w:ilvl="6" w:tplc="78921840">
      <w:numFmt w:val="bullet"/>
      <w:lvlText w:val="•"/>
      <w:lvlJc w:val="left"/>
      <w:pPr>
        <w:ind w:left="1506" w:hanging="79"/>
      </w:pPr>
      <w:rPr>
        <w:rFonts w:hint="default"/>
        <w:lang w:val="en-US" w:eastAsia="en-US" w:bidi="ar-SA"/>
      </w:rPr>
    </w:lvl>
    <w:lvl w:ilvl="7" w:tplc="D5EEABBE">
      <w:numFmt w:val="bullet"/>
      <w:lvlText w:val="•"/>
      <w:lvlJc w:val="left"/>
      <w:pPr>
        <w:ind w:left="1753" w:hanging="79"/>
      </w:pPr>
      <w:rPr>
        <w:rFonts w:hint="default"/>
        <w:lang w:val="en-US" w:eastAsia="en-US" w:bidi="ar-SA"/>
      </w:rPr>
    </w:lvl>
    <w:lvl w:ilvl="8" w:tplc="45B0E416">
      <w:numFmt w:val="bullet"/>
      <w:lvlText w:val="•"/>
      <w:lvlJc w:val="left"/>
      <w:pPr>
        <w:ind w:left="2001" w:hanging="79"/>
      </w:pPr>
      <w:rPr>
        <w:rFonts w:hint="default"/>
        <w:lang w:val="en-US" w:eastAsia="en-US" w:bidi="ar-SA"/>
      </w:rPr>
    </w:lvl>
  </w:abstractNum>
  <w:abstractNum w:abstractNumId="84" w15:restartNumberingAfterBreak="0">
    <w:nsid w:val="21090AC5"/>
    <w:multiLevelType w:val="hybridMultilevel"/>
    <w:tmpl w:val="B04E4290"/>
    <w:lvl w:ilvl="0" w:tplc="EC2CEF36">
      <w:numFmt w:val="bullet"/>
      <w:lvlText w:val="•"/>
      <w:lvlJc w:val="left"/>
      <w:pPr>
        <w:ind w:left="22" w:hanging="75"/>
      </w:pPr>
      <w:rPr>
        <w:rFonts w:ascii="Arial" w:eastAsia="Arial" w:hAnsi="Arial" w:cs="Arial" w:hint="default"/>
        <w:color w:val="231F20"/>
        <w:w w:val="74"/>
        <w:sz w:val="16"/>
        <w:szCs w:val="16"/>
        <w:lang w:val="en-US" w:eastAsia="en-US" w:bidi="ar-SA"/>
      </w:rPr>
    </w:lvl>
    <w:lvl w:ilvl="1" w:tplc="8070E2A6">
      <w:numFmt w:val="bullet"/>
      <w:lvlText w:val="•"/>
      <w:lvlJc w:val="left"/>
      <w:pPr>
        <w:ind w:left="254" w:hanging="75"/>
      </w:pPr>
      <w:rPr>
        <w:rFonts w:hint="default"/>
        <w:lang w:val="en-US" w:eastAsia="en-US" w:bidi="ar-SA"/>
      </w:rPr>
    </w:lvl>
    <w:lvl w:ilvl="2" w:tplc="A156DB68">
      <w:numFmt w:val="bullet"/>
      <w:lvlText w:val="•"/>
      <w:lvlJc w:val="left"/>
      <w:pPr>
        <w:ind w:left="488" w:hanging="75"/>
      </w:pPr>
      <w:rPr>
        <w:rFonts w:hint="default"/>
        <w:lang w:val="en-US" w:eastAsia="en-US" w:bidi="ar-SA"/>
      </w:rPr>
    </w:lvl>
    <w:lvl w:ilvl="3" w:tplc="A1A6F12C">
      <w:numFmt w:val="bullet"/>
      <w:lvlText w:val="•"/>
      <w:lvlJc w:val="left"/>
      <w:pPr>
        <w:ind w:left="723" w:hanging="75"/>
      </w:pPr>
      <w:rPr>
        <w:rFonts w:hint="default"/>
        <w:lang w:val="en-US" w:eastAsia="en-US" w:bidi="ar-SA"/>
      </w:rPr>
    </w:lvl>
    <w:lvl w:ilvl="4" w:tplc="ACACBC38">
      <w:numFmt w:val="bullet"/>
      <w:lvlText w:val="•"/>
      <w:lvlJc w:val="left"/>
      <w:pPr>
        <w:ind w:left="957" w:hanging="75"/>
      </w:pPr>
      <w:rPr>
        <w:rFonts w:hint="default"/>
        <w:lang w:val="en-US" w:eastAsia="en-US" w:bidi="ar-SA"/>
      </w:rPr>
    </w:lvl>
    <w:lvl w:ilvl="5" w:tplc="64DCC182">
      <w:numFmt w:val="bullet"/>
      <w:lvlText w:val="•"/>
      <w:lvlJc w:val="left"/>
      <w:pPr>
        <w:ind w:left="1192" w:hanging="75"/>
      </w:pPr>
      <w:rPr>
        <w:rFonts w:hint="default"/>
        <w:lang w:val="en-US" w:eastAsia="en-US" w:bidi="ar-SA"/>
      </w:rPr>
    </w:lvl>
    <w:lvl w:ilvl="6" w:tplc="3FD4FAA0">
      <w:numFmt w:val="bullet"/>
      <w:lvlText w:val="•"/>
      <w:lvlJc w:val="left"/>
      <w:pPr>
        <w:ind w:left="1426" w:hanging="75"/>
      </w:pPr>
      <w:rPr>
        <w:rFonts w:hint="default"/>
        <w:lang w:val="en-US" w:eastAsia="en-US" w:bidi="ar-SA"/>
      </w:rPr>
    </w:lvl>
    <w:lvl w:ilvl="7" w:tplc="559497C8">
      <w:numFmt w:val="bullet"/>
      <w:lvlText w:val="•"/>
      <w:lvlJc w:val="left"/>
      <w:pPr>
        <w:ind w:left="1660" w:hanging="75"/>
      </w:pPr>
      <w:rPr>
        <w:rFonts w:hint="default"/>
        <w:lang w:val="en-US" w:eastAsia="en-US" w:bidi="ar-SA"/>
      </w:rPr>
    </w:lvl>
    <w:lvl w:ilvl="8" w:tplc="680E3DCC">
      <w:numFmt w:val="bullet"/>
      <w:lvlText w:val="•"/>
      <w:lvlJc w:val="left"/>
      <w:pPr>
        <w:ind w:left="1895" w:hanging="75"/>
      </w:pPr>
      <w:rPr>
        <w:rFonts w:hint="default"/>
        <w:lang w:val="en-US" w:eastAsia="en-US" w:bidi="ar-SA"/>
      </w:rPr>
    </w:lvl>
  </w:abstractNum>
  <w:abstractNum w:abstractNumId="85" w15:restartNumberingAfterBreak="0">
    <w:nsid w:val="2130684F"/>
    <w:multiLevelType w:val="hybridMultilevel"/>
    <w:tmpl w:val="E0D4DBA4"/>
    <w:lvl w:ilvl="0" w:tplc="9D321178">
      <w:numFmt w:val="bullet"/>
      <w:lvlText w:val="•"/>
      <w:lvlJc w:val="left"/>
      <w:pPr>
        <w:ind w:left="29" w:hanging="108"/>
      </w:pPr>
      <w:rPr>
        <w:rFonts w:ascii="Arial" w:eastAsia="Arial" w:hAnsi="Arial" w:cs="Arial" w:hint="default"/>
        <w:color w:val="231F20"/>
        <w:w w:val="78"/>
        <w:sz w:val="15"/>
        <w:szCs w:val="15"/>
        <w:lang w:val="en-US" w:eastAsia="en-US" w:bidi="ar-SA"/>
      </w:rPr>
    </w:lvl>
    <w:lvl w:ilvl="1" w:tplc="711A9592">
      <w:numFmt w:val="bullet"/>
      <w:lvlText w:val="•"/>
      <w:lvlJc w:val="left"/>
      <w:pPr>
        <w:ind w:left="254" w:hanging="108"/>
      </w:pPr>
      <w:rPr>
        <w:rFonts w:hint="default"/>
        <w:lang w:val="en-US" w:eastAsia="en-US" w:bidi="ar-SA"/>
      </w:rPr>
    </w:lvl>
    <w:lvl w:ilvl="2" w:tplc="9EF6B5B4">
      <w:numFmt w:val="bullet"/>
      <w:lvlText w:val="•"/>
      <w:lvlJc w:val="left"/>
      <w:pPr>
        <w:ind w:left="488" w:hanging="108"/>
      </w:pPr>
      <w:rPr>
        <w:rFonts w:hint="default"/>
        <w:lang w:val="en-US" w:eastAsia="en-US" w:bidi="ar-SA"/>
      </w:rPr>
    </w:lvl>
    <w:lvl w:ilvl="3" w:tplc="2E84CA94">
      <w:numFmt w:val="bullet"/>
      <w:lvlText w:val="•"/>
      <w:lvlJc w:val="left"/>
      <w:pPr>
        <w:ind w:left="723" w:hanging="108"/>
      </w:pPr>
      <w:rPr>
        <w:rFonts w:hint="default"/>
        <w:lang w:val="en-US" w:eastAsia="en-US" w:bidi="ar-SA"/>
      </w:rPr>
    </w:lvl>
    <w:lvl w:ilvl="4" w:tplc="3D1A9BB2">
      <w:numFmt w:val="bullet"/>
      <w:lvlText w:val="•"/>
      <w:lvlJc w:val="left"/>
      <w:pPr>
        <w:ind w:left="957" w:hanging="108"/>
      </w:pPr>
      <w:rPr>
        <w:rFonts w:hint="default"/>
        <w:lang w:val="en-US" w:eastAsia="en-US" w:bidi="ar-SA"/>
      </w:rPr>
    </w:lvl>
    <w:lvl w:ilvl="5" w:tplc="9C28198A">
      <w:numFmt w:val="bullet"/>
      <w:lvlText w:val="•"/>
      <w:lvlJc w:val="left"/>
      <w:pPr>
        <w:ind w:left="1192" w:hanging="108"/>
      </w:pPr>
      <w:rPr>
        <w:rFonts w:hint="default"/>
        <w:lang w:val="en-US" w:eastAsia="en-US" w:bidi="ar-SA"/>
      </w:rPr>
    </w:lvl>
    <w:lvl w:ilvl="6" w:tplc="145A250C">
      <w:numFmt w:val="bullet"/>
      <w:lvlText w:val="•"/>
      <w:lvlJc w:val="left"/>
      <w:pPr>
        <w:ind w:left="1426" w:hanging="108"/>
      </w:pPr>
      <w:rPr>
        <w:rFonts w:hint="default"/>
        <w:lang w:val="en-US" w:eastAsia="en-US" w:bidi="ar-SA"/>
      </w:rPr>
    </w:lvl>
    <w:lvl w:ilvl="7" w:tplc="C186D820">
      <w:numFmt w:val="bullet"/>
      <w:lvlText w:val="•"/>
      <w:lvlJc w:val="left"/>
      <w:pPr>
        <w:ind w:left="1660" w:hanging="108"/>
      </w:pPr>
      <w:rPr>
        <w:rFonts w:hint="default"/>
        <w:lang w:val="en-US" w:eastAsia="en-US" w:bidi="ar-SA"/>
      </w:rPr>
    </w:lvl>
    <w:lvl w:ilvl="8" w:tplc="CB74B432">
      <w:numFmt w:val="bullet"/>
      <w:lvlText w:val="•"/>
      <w:lvlJc w:val="left"/>
      <w:pPr>
        <w:ind w:left="1895" w:hanging="108"/>
      </w:pPr>
      <w:rPr>
        <w:rFonts w:hint="default"/>
        <w:lang w:val="en-US" w:eastAsia="en-US" w:bidi="ar-SA"/>
      </w:rPr>
    </w:lvl>
  </w:abstractNum>
  <w:abstractNum w:abstractNumId="86" w15:restartNumberingAfterBreak="0">
    <w:nsid w:val="21492613"/>
    <w:multiLevelType w:val="hybridMultilevel"/>
    <w:tmpl w:val="B00E864E"/>
    <w:lvl w:ilvl="0" w:tplc="D0EC71D6">
      <w:numFmt w:val="bullet"/>
      <w:lvlText w:val="•"/>
      <w:lvlJc w:val="left"/>
      <w:pPr>
        <w:ind w:left="24" w:hanging="75"/>
      </w:pPr>
      <w:rPr>
        <w:rFonts w:ascii="Arial" w:eastAsia="Arial" w:hAnsi="Arial" w:cs="Arial" w:hint="default"/>
        <w:color w:val="231F20"/>
        <w:w w:val="69"/>
        <w:sz w:val="17"/>
        <w:szCs w:val="17"/>
        <w:lang w:val="en-US" w:eastAsia="en-US" w:bidi="ar-SA"/>
      </w:rPr>
    </w:lvl>
    <w:lvl w:ilvl="1" w:tplc="BAACED50">
      <w:numFmt w:val="bullet"/>
      <w:lvlText w:val="•"/>
      <w:lvlJc w:val="left"/>
      <w:pPr>
        <w:ind w:left="253" w:hanging="75"/>
      </w:pPr>
      <w:rPr>
        <w:rFonts w:hint="default"/>
        <w:lang w:val="en-US" w:eastAsia="en-US" w:bidi="ar-SA"/>
      </w:rPr>
    </w:lvl>
    <w:lvl w:ilvl="2" w:tplc="D12E4EF4">
      <w:numFmt w:val="bullet"/>
      <w:lvlText w:val="•"/>
      <w:lvlJc w:val="left"/>
      <w:pPr>
        <w:ind w:left="486" w:hanging="75"/>
      </w:pPr>
      <w:rPr>
        <w:rFonts w:hint="default"/>
        <w:lang w:val="en-US" w:eastAsia="en-US" w:bidi="ar-SA"/>
      </w:rPr>
    </w:lvl>
    <w:lvl w:ilvl="3" w:tplc="5D52822C">
      <w:numFmt w:val="bullet"/>
      <w:lvlText w:val="•"/>
      <w:lvlJc w:val="left"/>
      <w:pPr>
        <w:ind w:left="719" w:hanging="75"/>
      </w:pPr>
      <w:rPr>
        <w:rFonts w:hint="default"/>
        <w:lang w:val="en-US" w:eastAsia="en-US" w:bidi="ar-SA"/>
      </w:rPr>
    </w:lvl>
    <w:lvl w:ilvl="4" w:tplc="71564C82">
      <w:numFmt w:val="bullet"/>
      <w:lvlText w:val="•"/>
      <w:lvlJc w:val="left"/>
      <w:pPr>
        <w:ind w:left="953" w:hanging="75"/>
      </w:pPr>
      <w:rPr>
        <w:rFonts w:hint="default"/>
        <w:lang w:val="en-US" w:eastAsia="en-US" w:bidi="ar-SA"/>
      </w:rPr>
    </w:lvl>
    <w:lvl w:ilvl="5" w:tplc="9B9A01C2">
      <w:numFmt w:val="bullet"/>
      <w:lvlText w:val="•"/>
      <w:lvlJc w:val="left"/>
      <w:pPr>
        <w:ind w:left="1186" w:hanging="75"/>
      </w:pPr>
      <w:rPr>
        <w:rFonts w:hint="default"/>
        <w:lang w:val="en-US" w:eastAsia="en-US" w:bidi="ar-SA"/>
      </w:rPr>
    </w:lvl>
    <w:lvl w:ilvl="6" w:tplc="AFF288DC">
      <w:numFmt w:val="bullet"/>
      <w:lvlText w:val="•"/>
      <w:lvlJc w:val="left"/>
      <w:pPr>
        <w:ind w:left="1419" w:hanging="75"/>
      </w:pPr>
      <w:rPr>
        <w:rFonts w:hint="default"/>
        <w:lang w:val="en-US" w:eastAsia="en-US" w:bidi="ar-SA"/>
      </w:rPr>
    </w:lvl>
    <w:lvl w:ilvl="7" w:tplc="D3DC37E4">
      <w:numFmt w:val="bullet"/>
      <w:lvlText w:val="•"/>
      <w:lvlJc w:val="left"/>
      <w:pPr>
        <w:ind w:left="1653" w:hanging="75"/>
      </w:pPr>
      <w:rPr>
        <w:rFonts w:hint="default"/>
        <w:lang w:val="en-US" w:eastAsia="en-US" w:bidi="ar-SA"/>
      </w:rPr>
    </w:lvl>
    <w:lvl w:ilvl="8" w:tplc="B310E0D2">
      <w:numFmt w:val="bullet"/>
      <w:lvlText w:val="•"/>
      <w:lvlJc w:val="left"/>
      <w:pPr>
        <w:ind w:left="1886" w:hanging="75"/>
      </w:pPr>
      <w:rPr>
        <w:rFonts w:hint="default"/>
        <w:lang w:val="en-US" w:eastAsia="en-US" w:bidi="ar-SA"/>
      </w:rPr>
    </w:lvl>
  </w:abstractNum>
  <w:abstractNum w:abstractNumId="87" w15:restartNumberingAfterBreak="0">
    <w:nsid w:val="21CE0A55"/>
    <w:multiLevelType w:val="hybridMultilevel"/>
    <w:tmpl w:val="3438B11A"/>
    <w:lvl w:ilvl="0" w:tplc="A9AA64FA">
      <w:numFmt w:val="bullet"/>
      <w:lvlText w:val="•"/>
      <w:lvlJc w:val="left"/>
      <w:pPr>
        <w:ind w:left="25" w:hanging="77"/>
      </w:pPr>
      <w:rPr>
        <w:rFonts w:ascii="Arial" w:eastAsia="Arial" w:hAnsi="Arial" w:cs="Arial" w:hint="default"/>
        <w:color w:val="231F20"/>
        <w:w w:val="76"/>
        <w:sz w:val="16"/>
        <w:szCs w:val="16"/>
        <w:lang w:val="en-US" w:eastAsia="en-US" w:bidi="ar-SA"/>
      </w:rPr>
    </w:lvl>
    <w:lvl w:ilvl="1" w:tplc="28663878">
      <w:numFmt w:val="bullet"/>
      <w:lvlText w:val="•"/>
      <w:lvlJc w:val="left"/>
      <w:pPr>
        <w:ind w:left="262" w:hanging="77"/>
      </w:pPr>
      <w:rPr>
        <w:rFonts w:hint="default"/>
        <w:lang w:val="en-US" w:eastAsia="en-US" w:bidi="ar-SA"/>
      </w:rPr>
    </w:lvl>
    <w:lvl w:ilvl="2" w:tplc="BD68F89A">
      <w:numFmt w:val="bullet"/>
      <w:lvlText w:val="•"/>
      <w:lvlJc w:val="left"/>
      <w:pPr>
        <w:ind w:left="505" w:hanging="77"/>
      </w:pPr>
      <w:rPr>
        <w:rFonts w:hint="default"/>
        <w:lang w:val="en-US" w:eastAsia="en-US" w:bidi="ar-SA"/>
      </w:rPr>
    </w:lvl>
    <w:lvl w:ilvl="3" w:tplc="E18651BE">
      <w:numFmt w:val="bullet"/>
      <w:lvlText w:val="•"/>
      <w:lvlJc w:val="left"/>
      <w:pPr>
        <w:ind w:left="747" w:hanging="77"/>
      </w:pPr>
      <w:rPr>
        <w:rFonts w:hint="default"/>
        <w:lang w:val="en-US" w:eastAsia="en-US" w:bidi="ar-SA"/>
      </w:rPr>
    </w:lvl>
    <w:lvl w:ilvl="4" w:tplc="6988FF90">
      <w:numFmt w:val="bullet"/>
      <w:lvlText w:val="•"/>
      <w:lvlJc w:val="left"/>
      <w:pPr>
        <w:ind w:left="990" w:hanging="77"/>
      </w:pPr>
      <w:rPr>
        <w:rFonts w:hint="default"/>
        <w:lang w:val="en-US" w:eastAsia="en-US" w:bidi="ar-SA"/>
      </w:rPr>
    </w:lvl>
    <w:lvl w:ilvl="5" w:tplc="DC1809DA">
      <w:numFmt w:val="bullet"/>
      <w:lvlText w:val="•"/>
      <w:lvlJc w:val="left"/>
      <w:pPr>
        <w:ind w:left="1233" w:hanging="77"/>
      </w:pPr>
      <w:rPr>
        <w:rFonts w:hint="default"/>
        <w:lang w:val="en-US" w:eastAsia="en-US" w:bidi="ar-SA"/>
      </w:rPr>
    </w:lvl>
    <w:lvl w:ilvl="6" w:tplc="6C14A14A">
      <w:numFmt w:val="bullet"/>
      <w:lvlText w:val="•"/>
      <w:lvlJc w:val="left"/>
      <w:pPr>
        <w:ind w:left="1475" w:hanging="77"/>
      </w:pPr>
      <w:rPr>
        <w:rFonts w:hint="default"/>
        <w:lang w:val="en-US" w:eastAsia="en-US" w:bidi="ar-SA"/>
      </w:rPr>
    </w:lvl>
    <w:lvl w:ilvl="7" w:tplc="25A2FB0E">
      <w:numFmt w:val="bullet"/>
      <w:lvlText w:val="•"/>
      <w:lvlJc w:val="left"/>
      <w:pPr>
        <w:ind w:left="1718" w:hanging="77"/>
      </w:pPr>
      <w:rPr>
        <w:rFonts w:hint="default"/>
        <w:lang w:val="en-US" w:eastAsia="en-US" w:bidi="ar-SA"/>
      </w:rPr>
    </w:lvl>
    <w:lvl w:ilvl="8" w:tplc="FE107124">
      <w:numFmt w:val="bullet"/>
      <w:lvlText w:val="•"/>
      <w:lvlJc w:val="left"/>
      <w:pPr>
        <w:ind w:left="1960" w:hanging="77"/>
      </w:pPr>
      <w:rPr>
        <w:rFonts w:hint="default"/>
        <w:lang w:val="en-US" w:eastAsia="en-US" w:bidi="ar-SA"/>
      </w:rPr>
    </w:lvl>
  </w:abstractNum>
  <w:abstractNum w:abstractNumId="88" w15:restartNumberingAfterBreak="0">
    <w:nsid w:val="22AE2BB3"/>
    <w:multiLevelType w:val="hybridMultilevel"/>
    <w:tmpl w:val="59381318"/>
    <w:lvl w:ilvl="0" w:tplc="EBA6BD28">
      <w:numFmt w:val="bullet"/>
      <w:lvlText w:val="•"/>
      <w:lvlJc w:val="left"/>
      <w:pPr>
        <w:ind w:left="27" w:hanging="76"/>
      </w:pPr>
      <w:rPr>
        <w:rFonts w:ascii="Arial" w:eastAsia="Arial" w:hAnsi="Arial" w:cs="Arial" w:hint="default"/>
        <w:color w:val="231F20"/>
        <w:w w:val="100"/>
        <w:sz w:val="12"/>
        <w:szCs w:val="12"/>
        <w:lang w:val="en-US" w:eastAsia="en-US" w:bidi="ar-SA"/>
      </w:rPr>
    </w:lvl>
    <w:lvl w:ilvl="1" w:tplc="186670B4">
      <w:numFmt w:val="bullet"/>
      <w:lvlText w:val="•"/>
      <w:lvlJc w:val="left"/>
      <w:pPr>
        <w:ind w:left="258" w:hanging="76"/>
      </w:pPr>
      <w:rPr>
        <w:rFonts w:hint="default"/>
        <w:lang w:val="en-US" w:eastAsia="en-US" w:bidi="ar-SA"/>
      </w:rPr>
    </w:lvl>
    <w:lvl w:ilvl="2" w:tplc="231E950C">
      <w:numFmt w:val="bullet"/>
      <w:lvlText w:val="•"/>
      <w:lvlJc w:val="left"/>
      <w:pPr>
        <w:ind w:left="497" w:hanging="76"/>
      </w:pPr>
      <w:rPr>
        <w:rFonts w:hint="default"/>
        <w:lang w:val="en-US" w:eastAsia="en-US" w:bidi="ar-SA"/>
      </w:rPr>
    </w:lvl>
    <w:lvl w:ilvl="3" w:tplc="5B008700">
      <w:numFmt w:val="bullet"/>
      <w:lvlText w:val="•"/>
      <w:lvlJc w:val="left"/>
      <w:pPr>
        <w:ind w:left="736" w:hanging="76"/>
      </w:pPr>
      <w:rPr>
        <w:rFonts w:hint="default"/>
        <w:lang w:val="en-US" w:eastAsia="en-US" w:bidi="ar-SA"/>
      </w:rPr>
    </w:lvl>
    <w:lvl w:ilvl="4" w:tplc="901853C8">
      <w:numFmt w:val="bullet"/>
      <w:lvlText w:val="•"/>
      <w:lvlJc w:val="left"/>
      <w:pPr>
        <w:ind w:left="975" w:hanging="76"/>
      </w:pPr>
      <w:rPr>
        <w:rFonts w:hint="default"/>
        <w:lang w:val="en-US" w:eastAsia="en-US" w:bidi="ar-SA"/>
      </w:rPr>
    </w:lvl>
    <w:lvl w:ilvl="5" w:tplc="864CB116">
      <w:numFmt w:val="bullet"/>
      <w:lvlText w:val="•"/>
      <w:lvlJc w:val="left"/>
      <w:pPr>
        <w:ind w:left="1214" w:hanging="76"/>
      </w:pPr>
      <w:rPr>
        <w:rFonts w:hint="default"/>
        <w:lang w:val="en-US" w:eastAsia="en-US" w:bidi="ar-SA"/>
      </w:rPr>
    </w:lvl>
    <w:lvl w:ilvl="6" w:tplc="260CFB2E">
      <w:numFmt w:val="bullet"/>
      <w:lvlText w:val="•"/>
      <w:lvlJc w:val="left"/>
      <w:pPr>
        <w:ind w:left="1452" w:hanging="76"/>
      </w:pPr>
      <w:rPr>
        <w:rFonts w:hint="default"/>
        <w:lang w:val="en-US" w:eastAsia="en-US" w:bidi="ar-SA"/>
      </w:rPr>
    </w:lvl>
    <w:lvl w:ilvl="7" w:tplc="C28E46A6">
      <w:numFmt w:val="bullet"/>
      <w:lvlText w:val="•"/>
      <w:lvlJc w:val="left"/>
      <w:pPr>
        <w:ind w:left="1691" w:hanging="76"/>
      </w:pPr>
      <w:rPr>
        <w:rFonts w:hint="default"/>
        <w:lang w:val="en-US" w:eastAsia="en-US" w:bidi="ar-SA"/>
      </w:rPr>
    </w:lvl>
    <w:lvl w:ilvl="8" w:tplc="B0D6A946">
      <w:numFmt w:val="bullet"/>
      <w:lvlText w:val="•"/>
      <w:lvlJc w:val="left"/>
      <w:pPr>
        <w:ind w:left="1930" w:hanging="76"/>
      </w:pPr>
      <w:rPr>
        <w:rFonts w:hint="default"/>
        <w:lang w:val="en-US" w:eastAsia="en-US" w:bidi="ar-SA"/>
      </w:rPr>
    </w:lvl>
  </w:abstractNum>
  <w:abstractNum w:abstractNumId="89" w15:restartNumberingAfterBreak="0">
    <w:nsid w:val="23A0638C"/>
    <w:multiLevelType w:val="hybridMultilevel"/>
    <w:tmpl w:val="9D0C50F4"/>
    <w:lvl w:ilvl="0" w:tplc="FD927DA4">
      <w:numFmt w:val="bullet"/>
      <w:lvlText w:val="•"/>
      <w:lvlJc w:val="left"/>
      <w:pPr>
        <w:ind w:left="27" w:hanging="44"/>
      </w:pPr>
      <w:rPr>
        <w:rFonts w:ascii="Arial" w:eastAsia="Arial" w:hAnsi="Arial" w:cs="Arial" w:hint="default"/>
        <w:color w:val="231F20"/>
        <w:w w:val="80"/>
        <w:sz w:val="13"/>
        <w:szCs w:val="13"/>
        <w:lang w:val="en-US" w:eastAsia="en-US" w:bidi="ar-SA"/>
      </w:rPr>
    </w:lvl>
    <w:lvl w:ilvl="1" w:tplc="99B2DA16">
      <w:numFmt w:val="bullet"/>
      <w:lvlText w:val="•"/>
      <w:lvlJc w:val="left"/>
      <w:pPr>
        <w:ind w:left="260" w:hanging="44"/>
      </w:pPr>
      <w:rPr>
        <w:rFonts w:hint="default"/>
        <w:lang w:val="en-US" w:eastAsia="en-US" w:bidi="ar-SA"/>
      </w:rPr>
    </w:lvl>
    <w:lvl w:ilvl="2" w:tplc="FB3008A6">
      <w:numFmt w:val="bullet"/>
      <w:lvlText w:val="•"/>
      <w:lvlJc w:val="left"/>
      <w:pPr>
        <w:ind w:left="500" w:hanging="44"/>
      </w:pPr>
      <w:rPr>
        <w:rFonts w:hint="default"/>
        <w:lang w:val="en-US" w:eastAsia="en-US" w:bidi="ar-SA"/>
      </w:rPr>
    </w:lvl>
    <w:lvl w:ilvl="3" w:tplc="37148C78">
      <w:numFmt w:val="bullet"/>
      <w:lvlText w:val="•"/>
      <w:lvlJc w:val="left"/>
      <w:pPr>
        <w:ind w:left="740" w:hanging="44"/>
      </w:pPr>
      <w:rPr>
        <w:rFonts w:hint="default"/>
        <w:lang w:val="en-US" w:eastAsia="en-US" w:bidi="ar-SA"/>
      </w:rPr>
    </w:lvl>
    <w:lvl w:ilvl="4" w:tplc="7AB296BA">
      <w:numFmt w:val="bullet"/>
      <w:lvlText w:val="•"/>
      <w:lvlJc w:val="left"/>
      <w:pPr>
        <w:ind w:left="980" w:hanging="44"/>
      </w:pPr>
      <w:rPr>
        <w:rFonts w:hint="default"/>
        <w:lang w:val="en-US" w:eastAsia="en-US" w:bidi="ar-SA"/>
      </w:rPr>
    </w:lvl>
    <w:lvl w:ilvl="5" w:tplc="F91EAC72">
      <w:numFmt w:val="bullet"/>
      <w:lvlText w:val="•"/>
      <w:lvlJc w:val="left"/>
      <w:pPr>
        <w:ind w:left="1220" w:hanging="44"/>
      </w:pPr>
      <w:rPr>
        <w:rFonts w:hint="default"/>
        <w:lang w:val="en-US" w:eastAsia="en-US" w:bidi="ar-SA"/>
      </w:rPr>
    </w:lvl>
    <w:lvl w:ilvl="6" w:tplc="31527FD2">
      <w:numFmt w:val="bullet"/>
      <w:lvlText w:val="•"/>
      <w:lvlJc w:val="left"/>
      <w:pPr>
        <w:ind w:left="1460" w:hanging="44"/>
      </w:pPr>
      <w:rPr>
        <w:rFonts w:hint="default"/>
        <w:lang w:val="en-US" w:eastAsia="en-US" w:bidi="ar-SA"/>
      </w:rPr>
    </w:lvl>
    <w:lvl w:ilvl="7" w:tplc="0FBAB48E">
      <w:numFmt w:val="bullet"/>
      <w:lvlText w:val="•"/>
      <w:lvlJc w:val="left"/>
      <w:pPr>
        <w:ind w:left="1700" w:hanging="44"/>
      </w:pPr>
      <w:rPr>
        <w:rFonts w:hint="default"/>
        <w:lang w:val="en-US" w:eastAsia="en-US" w:bidi="ar-SA"/>
      </w:rPr>
    </w:lvl>
    <w:lvl w:ilvl="8" w:tplc="3A9A87EC">
      <w:numFmt w:val="bullet"/>
      <w:lvlText w:val="•"/>
      <w:lvlJc w:val="left"/>
      <w:pPr>
        <w:ind w:left="1940" w:hanging="44"/>
      </w:pPr>
      <w:rPr>
        <w:rFonts w:hint="default"/>
        <w:lang w:val="en-US" w:eastAsia="en-US" w:bidi="ar-SA"/>
      </w:rPr>
    </w:lvl>
  </w:abstractNum>
  <w:abstractNum w:abstractNumId="90" w15:restartNumberingAfterBreak="0">
    <w:nsid w:val="23E07E0D"/>
    <w:multiLevelType w:val="hybridMultilevel"/>
    <w:tmpl w:val="166ECBA0"/>
    <w:lvl w:ilvl="0" w:tplc="70FE26E0">
      <w:numFmt w:val="bullet"/>
      <w:lvlText w:val="•"/>
      <w:lvlJc w:val="left"/>
      <w:pPr>
        <w:ind w:left="26" w:hanging="76"/>
      </w:pPr>
      <w:rPr>
        <w:rFonts w:ascii="Arial" w:eastAsia="Arial" w:hAnsi="Arial" w:cs="Arial" w:hint="default"/>
        <w:color w:val="231F20"/>
        <w:w w:val="80"/>
        <w:sz w:val="15"/>
        <w:szCs w:val="15"/>
        <w:lang w:val="en-US" w:eastAsia="en-US" w:bidi="ar-SA"/>
      </w:rPr>
    </w:lvl>
    <w:lvl w:ilvl="1" w:tplc="C49E9034">
      <w:numFmt w:val="bullet"/>
      <w:lvlText w:val="•"/>
      <w:lvlJc w:val="left"/>
      <w:pPr>
        <w:ind w:left="258" w:hanging="76"/>
      </w:pPr>
      <w:rPr>
        <w:rFonts w:hint="default"/>
        <w:lang w:val="en-US" w:eastAsia="en-US" w:bidi="ar-SA"/>
      </w:rPr>
    </w:lvl>
    <w:lvl w:ilvl="2" w:tplc="937C913A">
      <w:numFmt w:val="bullet"/>
      <w:lvlText w:val="•"/>
      <w:lvlJc w:val="left"/>
      <w:pPr>
        <w:ind w:left="497" w:hanging="76"/>
      </w:pPr>
      <w:rPr>
        <w:rFonts w:hint="default"/>
        <w:lang w:val="en-US" w:eastAsia="en-US" w:bidi="ar-SA"/>
      </w:rPr>
    </w:lvl>
    <w:lvl w:ilvl="3" w:tplc="D96EE27C">
      <w:numFmt w:val="bullet"/>
      <w:lvlText w:val="•"/>
      <w:lvlJc w:val="left"/>
      <w:pPr>
        <w:ind w:left="736" w:hanging="76"/>
      </w:pPr>
      <w:rPr>
        <w:rFonts w:hint="default"/>
        <w:lang w:val="en-US" w:eastAsia="en-US" w:bidi="ar-SA"/>
      </w:rPr>
    </w:lvl>
    <w:lvl w:ilvl="4" w:tplc="6A12CC82">
      <w:numFmt w:val="bullet"/>
      <w:lvlText w:val="•"/>
      <w:lvlJc w:val="left"/>
      <w:pPr>
        <w:ind w:left="975" w:hanging="76"/>
      </w:pPr>
      <w:rPr>
        <w:rFonts w:hint="default"/>
        <w:lang w:val="en-US" w:eastAsia="en-US" w:bidi="ar-SA"/>
      </w:rPr>
    </w:lvl>
    <w:lvl w:ilvl="5" w:tplc="1FF8C684">
      <w:numFmt w:val="bullet"/>
      <w:lvlText w:val="•"/>
      <w:lvlJc w:val="left"/>
      <w:pPr>
        <w:ind w:left="1214" w:hanging="76"/>
      </w:pPr>
      <w:rPr>
        <w:rFonts w:hint="default"/>
        <w:lang w:val="en-US" w:eastAsia="en-US" w:bidi="ar-SA"/>
      </w:rPr>
    </w:lvl>
    <w:lvl w:ilvl="6" w:tplc="41942478">
      <w:numFmt w:val="bullet"/>
      <w:lvlText w:val="•"/>
      <w:lvlJc w:val="left"/>
      <w:pPr>
        <w:ind w:left="1452" w:hanging="76"/>
      </w:pPr>
      <w:rPr>
        <w:rFonts w:hint="default"/>
        <w:lang w:val="en-US" w:eastAsia="en-US" w:bidi="ar-SA"/>
      </w:rPr>
    </w:lvl>
    <w:lvl w:ilvl="7" w:tplc="8FD0BB10">
      <w:numFmt w:val="bullet"/>
      <w:lvlText w:val="•"/>
      <w:lvlJc w:val="left"/>
      <w:pPr>
        <w:ind w:left="1691" w:hanging="76"/>
      </w:pPr>
      <w:rPr>
        <w:rFonts w:hint="default"/>
        <w:lang w:val="en-US" w:eastAsia="en-US" w:bidi="ar-SA"/>
      </w:rPr>
    </w:lvl>
    <w:lvl w:ilvl="8" w:tplc="E46A5E0E">
      <w:numFmt w:val="bullet"/>
      <w:lvlText w:val="•"/>
      <w:lvlJc w:val="left"/>
      <w:pPr>
        <w:ind w:left="1930" w:hanging="76"/>
      </w:pPr>
      <w:rPr>
        <w:rFonts w:hint="default"/>
        <w:lang w:val="en-US" w:eastAsia="en-US" w:bidi="ar-SA"/>
      </w:rPr>
    </w:lvl>
  </w:abstractNum>
  <w:abstractNum w:abstractNumId="91" w15:restartNumberingAfterBreak="0">
    <w:nsid w:val="23E1372E"/>
    <w:multiLevelType w:val="hybridMultilevel"/>
    <w:tmpl w:val="32BA7CB2"/>
    <w:lvl w:ilvl="0" w:tplc="18689B06">
      <w:numFmt w:val="bullet"/>
      <w:lvlText w:val="•"/>
      <w:lvlJc w:val="left"/>
      <w:pPr>
        <w:ind w:left="26" w:hanging="79"/>
      </w:pPr>
      <w:rPr>
        <w:rFonts w:ascii="Arial" w:eastAsia="Arial" w:hAnsi="Arial" w:cs="Arial" w:hint="default"/>
        <w:color w:val="231F20"/>
        <w:w w:val="82"/>
        <w:sz w:val="15"/>
        <w:szCs w:val="15"/>
        <w:lang w:val="en-US" w:eastAsia="en-US" w:bidi="ar-SA"/>
      </w:rPr>
    </w:lvl>
    <w:lvl w:ilvl="1" w:tplc="BAD89D78">
      <w:numFmt w:val="bullet"/>
      <w:lvlText w:val="•"/>
      <w:lvlJc w:val="left"/>
      <w:pPr>
        <w:ind w:left="266" w:hanging="79"/>
      </w:pPr>
      <w:rPr>
        <w:rFonts w:hint="default"/>
        <w:lang w:val="en-US" w:eastAsia="en-US" w:bidi="ar-SA"/>
      </w:rPr>
    </w:lvl>
    <w:lvl w:ilvl="2" w:tplc="6CB48D42">
      <w:numFmt w:val="bullet"/>
      <w:lvlText w:val="•"/>
      <w:lvlJc w:val="left"/>
      <w:pPr>
        <w:ind w:left="512" w:hanging="79"/>
      </w:pPr>
      <w:rPr>
        <w:rFonts w:hint="default"/>
        <w:lang w:val="en-US" w:eastAsia="en-US" w:bidi="ar-SA"/>
      </w:rPr>
    </w:lvl>
    <w:lvl w:ilvl="3" w:tplc="8D2A14D6">
      <w:numFmt w:val="bullet"/>
      <w:lvlText w:val="•"/>
      <w:lvlJc w:val="left"/>
      <w:pPr>
        <w:ind w:left="758" w:hanging="79"/>
      </w:pPr>
      <w:rPr>
        <w:rFonts w:hint="default"/>
        <w:lang w:val="en-US" w:eastAsia="en-US" w:bidi="ar-SA"/>
      </w:rPr>
    </w:lvl>
    <w:lvl w:ilvl="4" w:tplc="B636CE24">
      <w:numFmt w:val="bullet"/>
      <w:lvlText w:val="•"/>
      <w:lvlJc w:val="left"/>
      <w:pPr>
        <w:ind w:left="1005" w:hanging="79"/>
      </w:pPr>
      <w:rPr>
        <w:rFonts w:hint="default"/>
        <w:lang w:val="en-US" w:eastAsia="en-US" w:bidi="ar-SA"/>
      </w:rPr>
    </w:lvl>
    <w:lvl w:ilvl="5" w:tplc="B08ECB84">
      <w:numFmt w:val="bullet"/>
      <w:lvlText w:val="•"/>
      <w:lvlJc w:val="left"/>
      <w:pPr>
        <w:ind w:left="1251" w:hanging="79"/>
      </w:pPr>
      <w:rPr>
        <w:rFonts w:hint="default"/>
        <w:lang w:val="en-US" w:eastAsia="en-US" w:bidi="ar-SA"/>
      </w:rPr>
    </w:lvl>
    <w:lvl w:ilvl="6" w:tplc="2E7239C6">
      <w:numFmt w:val="bullet"/>
      <w:lvlText w:val="•"/>
      <w:lvlJc w:val="left"/>
      <w:pPr>
        <w:ind w:left="1497" w:hanging="79"/>
      </w:pPr>
      <w:rPr>
        <w:rFonts w:hint="default"/>
        <w:lang w:val="en-US" w:eastAsia="en-US" w:bidi="ar-SA"/>
      </w:rPr>
    </w:lvl>
    <w:lvl w:ilvl="7" w:tplc="AA4EEE64">
      <w:numFmt w:val="bullet"/>
      <w:lvlText w:val="•"/>
      <w:lvlJc w:val="left"/>
      <w:pPr>
        <w:ind w:left="1744" w:hanging="79"/>
      </w:pPr>
      <w:rPr>
        <w:rFonts w:hint="default"/>
        <w:lang w:val="en-US" w:eastAsia="en-US" w:bidi="ar-SA"/>
      </w:rPr>
    </w:lvl>
    <w:lvl w:ilvl="8" w:tplc="2F5AE3C2">
      <w:numFmt w:val="bullet"/>
      <w:lvlText w:val="•"/>
      <w:lvlJc w:val="left"/>
      <w:pPr>
        <w:ind w:left="1990" w:hanging="79"/>
      </w:pPr>
      <w:rPr>
        <w:rFonts w:hint="default"/>
        <w:lang w:val="en-US" w:eastAsia="en-US" w:bidi="ar-SA"/>
      </w:rPr>
    </w:lvl>
  </w:abstractNum>
  <w:abstractNum w:abstractNumId="92" w15:restartNumberingAfterBreak="0">
    <w:nsid w:val="23F11D2C"/>
    <w:multiLevelType w:val="hybridMultilevel"/>
    <w:tmpl w:val="8D3EED6A"/>
    <w:lvl w:ilvl="0" w:tplc="AE4E6426">
      <w:numFmt w:val="bullet"/>
      <w:lvlText w:val="•"/>
      <w:lvlJc w:val="left"/>
      <w:pPr>
        <w:ind w:left="26" w:hanging="75"/>
      </w:pPr>
      <w:rPr>
        <w:rFonts w:ascii="Arial" w:eastAsia="Arial" w:hAnsi="Arial" w:cs="Arial" w:hint="default"/>
        <w:color w:val="231F20"/>
        <w:w w:val="78"/>
        <w:sz w:val="15"/>
        <w:szCs w:val="15"/>
        <w:lang w:val="en-US" w:eastAsia="en-US" w:bidi="ar-SA"/>
      </w:rPr>
    </w:lvl>
    <w:lvl w:ilvl="1" w:tplc="7678538A">
      <w:numFmt w:val="bullet"/>
      <w:lvlText w:val="•"/>
      <w:lvlJc w:val="left"/>
      <w:pPr>
        <w:ind w:left="254" w:hanging="75"/>
      </w:pPr>
      <w:rPr>
        <w:rFonts w:hint="default"/>
        <w:lang w:val="en-US" w:eastAsia="en-US" w:bidi="ar-SA"/>
      </w:rPr>
    </w:lvl>
    <w:lvl w:ilvl="2" w:tplc="63820EA6">
      <w:numFmt w:val="bullet"/>
      <w:lvlText w:val="•"/>
      <w:lvlJc w:val="left"/>
      <w:pPr>
        <w:ind w:left="488" w:hanging="75"/>
      </w:pPr>
      <w:rPr>
        <w:rFonts w:hint="default"/>
        <w:lang w:val="en-US" w:eastAsia="en-US" w:bidi="ar-SA"/>
      </w:rPr>
    </w:lvl>
    <w:lvl w:ilvl="3" w:tplc="39109B20">
      <w:numFmt w:val="bullet"/>
      <w:lvlText w:val="•"/>
      <w:lvlJc w:val="left"/>
      <w:pPr>
        <w:ind w:left="722" w:hanging="75"/>
      </w:pPr>
      <w:rPr>
        <w:rFonts w:hint="default"/>
        <w:lang w:val="en-US" w:eastAsia="en-US" w:bidi="ar-SA"/>
      </w:rPr>
    </w:lvl>
    <w:lvl w:ilvl="4" w:tplc="C06A54F4">
      <w:numFmt w:val="bullet"/>
      <w:lvlText w:val="•"/>
      <w:lvlJc w:val="left"/>
      <w:pPr>
        <w:ind w:left="956" w:hanging="75"/>
      </w:pPr>
      <w:rPr>
        <w:rFonts w:hint="default"/>
        <w:lang w:val="en-US" w:eastAsia="en-US" w:bidi="ar-SA"/>
      </w:rPr>
    </w:lvl>
    <w:lvl w:ilvl="5" w:tplc="667C0322">
      <w:numFmt w:val="bullet"/>
      <w:lvlText w:val="•"/>
      <w:lvlJc w:val="left"/>
      <w:pPr>
        <w:ind w:left="1191" w:hanging="75"/>
      </w:pPr>
      <w:rPr>
        <w:rFonts w:hint="default"/>
        <w:lang w:val="en-US" w:eastAsia="en-US" w:bidi="ar-SA"/>
      </w:rPr>
    </w:lvl>
    <w:lvl w:ilvl="6" w:tplc="A198C7E2">
      <w:numFmt w:val="bullet"/>
      <w:lvlText w:val="•"/>
      <w:lvlJc w:val="left"/>
      <w:pPr>
        <w:ind w:left="1425" w:hanging="75"/>
      </w:pPr>
      <w:rPr>
        <w:rFonts w:hint="default"/>
        <w:lang w:val="en-US" w:eastAsia="en-US" w:bidi="ar-SA"/>
      </w:rPr>
    </w:lvl>
    <w:lvl w:ilvl="7" w:tplc="AE4C2B86">
      <w:numFmt w:val="bullet"/>
      <w:lvlText w:val="•"/>
      <w:lvlJc w:val="left"/>
      <w:pPr>
        <w:ind w:left="1659" w:hanging="75"/>
      </w:pPr>
      <w:rPr>
        <w:rFonts w:hint="default"/>
        <w:lang w:val="en-US" w:eastAsia="en-US" w:bidi="ar-SA"/>
      </w:rPr>
    </w:lvl>
    <w:lvl w:ilvl="8" w:tplc="3BEE9BBA">
      <w:numFmt w:val="bullet"/>
      <w:lvlText w:val="•"/>
      <w:lvlJc w:val="left"/>
      <w:pPr>
        <w:ind w:left="1893" w:hanging="75"/>
      </w:pPr>
      <w:rPr>
        <w:rFonts w:hint="default"/>
        <w:lang w:val="en-US" w:eastAsia="en-US" w:bidi="ar-SA"/>
      </w:rPr>
    </w:lvl>
  </w:abstractNum>
  <w:abstractNum w:abstractNumId="93" w15:restartNumberingAfterBreak="0">
    <w:nsid w:val="247D1847"/>
    <w:multiLevelType w:val="hybridMultilevel"/>
    <w:tmpl w:val="FEA24BB2"/>
    <w:lvl w:ilvl="0" w:tplc="7FF67B5E">
      <w:numFmt w:val="bullet"/>
      <w:lvlText w:val="•"/>
      <w:lvlJc w:val="left"/>
      <w:pPr>
        <w:ind w:left="26" w:hanging="75"/>
      </w:pPr>
      <w:rPr>
        <w:rFonts w:ascii="Arial" w:eastAsia="Arial" w:hAnsi="Arial" w:cs="Arial" w:hint="default"/>
        <w:color w:val="231F20"/>
        <w:w w:val="78"/>
        <w:sz w:val="15"/>
        <w:szCs w:val="15"/>
        <w:lang w:val="en-US" w:eastAsia="en-US" w:bidi="ar-SA"/>
      </w:rPr>
    </w:lvl>
    <w:lvl w:ilvl="1" w:tplc="33D2550A">
      <w:numFmt w:val="bullet"/>
      <w:lvlText w:val="•"/>
      <w:lvlJc w:val="left"/>
      <w:pPr>
        <w:ind w:left="254" w:hanging="75"/>
      </w:pPr>
      <w:rPr>
        <w:rFonts w:hint="default"/>
        <w:lang w:val="en-US" w:eastAsia="en-US" w:bidi="ar-SA"/>
      </w:rPr>
    </w:lvl>
    <w:lvl w:ilvl="2" w:tplc="CDDE7946">
      <w:numFmt w:val="bullet"/>
      <w:lvlText w:val="•"/>
      <w:lvlJc w:val="left"/>
      <w:pPr>
        <w:ind w:left="488" w:hanging="75"/>
      </w:pPr>
      <w:rPr>
        <w:rFonts w:hint="default"/>
        <w:lang w:val="en-US" w:eastAsia="en-US" w:bidi="ar-SA"/>
      </w:rPr>
    </w:lvl>
    <w:lvl w:ilvl="3" w:tplc="E2D81D0C">
      <w:numFmt w:val="bullet"/>
      <w:lvlText w:val="•"/>
      <w:lvlJc w:val="left"/>
      <w:pPr>
        <w:ind w:left="722" w:hanging="75"/>
      </w:pPr>
      <w:rPr>
        <w:rFonts w:hint="default"/>
        <w:lang w:val="en-US" w:eastAsia="en-US" w:bidi="ar-SA"/>
      </w:rPr>
    </w:lvl>
    <w:lvl w:ilvl="4" w:tplc="B58A047A">
      <w:numFmt w:val="bullet"/>
      <w:lvlText w:val="•"/>
      <w:lvlJc w:val="left"/>
      <w:pPr>
        <w:ind w:left="956" w:hanging="75"/>
      </w:pPr>
      <w:rPr>
        <w:rFonts w:hint="default"/>
        <w:lang w:val="en-US" w:eastAsia="en-US" w:bidi="ar-SA"/>
      </w:rPr>
    </w:lvl>
    <w:lvl w:ilvl="5" w:tplc="0656553A">
      <w:numFmt w:val="bullet"/>
      <w:lvlText w:val="•"/>
      <w:lvlJc w:val="left"/>
      <w:pPr>
        <w:ind w:left="1191" w:hanging="75"/>
      </w:pPr>
      <w:rPr>
        <w:rFonts w:hint="default"/>
        <w:lang w:val="en-US" w:eastAsia="en-US" w:bidi="ar-SA"/>
      </w:rPr>
    </w:lvl>
    <w:lvl w:ilvl="6" w:tplc="EDA43A38">
      <w:numFmt w:val="bullet"/>
      <w:lvlText w:val="•"/>
      <w:lvlJc w:val="left"/>
      <w:pPr>
        <w:ind w:left="1425" w:hanging="75"/>
      </w:pPr>
      <w:rPr>
        <w:rFonts w:hint="default"/>
        <w:lang w:val="en-US" w:eastAsia="en-US" w:bidi="ar-SA"/>
      </w:rPr>
    </w:lvl>
    <w:lvl w:ilvl="7" w:tplc="E3502502">
      <w:numFmt w:val="bullet"/>
      <w:lvlText w:val="•"/>
      <w:lvlJc w:val="left"/>
      <w:pPr>
        <w:ind w:left="1659" w:hanging="75"/>
      </w:pPr>
      <w:rPr>
        <w:rFonts w:hint="default"/>
        <w:lang w:val="en-US" w:eastAsia="en-US" w:bidi="ar-SA"/>
      </w:rPr>
    </w:lvl>
    <w:lvl w:ilvl="8" w:tplc="28525528">
      <w:numFmt w:val="bullet"/>
      <w:lvlText w:val="•"/>
      <w:lvlJc w:val="left"/>
      <w:pPr>
        <w:ind w:left="1893" w:hanging="75"/>
      </w:pPr>
      <w:rPr>
        <w:rFonts w:hint="default"/>
        <w:lang w:val="en-US" w:eastAsia="en-US" w:bidi="ar-SA"/>
      </w:rPr>
    </w:lvl>
  </w:abstractNum>
  <w:abstractNum w:abstractNumId="94" w15:restartNumberingAfterBreak="0">
    <w:nsid w:val="2495275C"/>
    <w:multiLevelType w:val="hybridMultilevel"/>
    <w:tmpl w:val="7A46668E"/>
    <w:lvl w:ilvl="0" w:tplc="B57E31FC">
      <w:numFmt w:val="bullet"/>
      <w:lvlText w:val="•"/>
      <w:lvlJc w:val="left"/>
      <w:pPr>
        <w:ind w:left="23" w:hanging="73"/>
      </w:pPr>
      <w:rPr>
        <w:rFonts w:ascii="Arial" w:eastAsia="Arial" w:hAnsi="Arial" w:cs="Arial" w:hint="default"/>
        <w:color w:val="231F20"/>
        <w:w w:val="115"/>
        <w:sz w:val="10"/>
        <w:szCs w:val="10"/>
        <w:lang w:val="en-US" w:eastAsia="en-US" w:bidi="ar-SA"/>
      </w:rPr>
    </w:lvl>
    <w:lvl w:ilvl="1" w:tplc="F16671B0">
      <w:numFmt w:val="bullet"/>
      <w:lvlText w:val="•"/>
      <w:lvlJc w:val="left"/>
      <w:pPr>
        <w:ind w:left="248" w:hanging="73"/>
      </w:pPr>
      <w:rPr>
        <w:rFonts w:hint="default"/>
        <w:lang w:val="en-US" w:eastAsia="en-US" w:bidi="ar-SA"/>
      </w:rPr>
    </w:lvl>
    <w:lvl w:ilvl="2" w:tplc="FDBE17B0">
      <w:numFmt w:val="bullet"/>
      <w:lvlText w:val="•"/>
      <w:lvlJc w:val="left"/>
      <w:pPr>
        <w:ind w:left="477" w:hanging="73"/>
      </w:pPr>
      <w:rPr>
        <w:rFonts w:hint="default"/>
        <w:lang w:val="en-US" w:eastAsia="en-US" w:bidi="ar-SA"/>
      </w:rPr>
    </w:lvl>
    <w:lvl w:ilvl="3" w:tplc="38F8E3D4">
      <w:numFmt w:val="bullet"/>
      <w:lvlText w:val="•"/>
      <w:lvlJc w:val="left"/>
      <w:pPr>
        <w:ind w:left="706" w:hanging="73"/>
      </w:pPr>
      <w:rPr>
        <w:rFonts w:hint="default"/>
        <w:lang w:val="en-US" w:eastAsia="en-US" w:bidi="ar-SA"/>
      </w:rPr>
    </w:lvl>
    <w:lvl w:ilvl="4" w:tplc="B692A94A">
      <w:numFmt w:val="bullet"/>
      <w:lvlText w:val="•"/>
      <w:lvlJc w:val="left"/>
      <w:pPr>
        <w:ind w:left="935" w:hanging="73"/>
      </w:pPr>
      <w:rPr>
        <w:rFonts w:hint="default"/>
        <w:lang w:val="en-US" w:eastAsia="en-US" w:bidi="ar-SA"/>
      </w:rPr>
    </w:lvl>
    <w:lvl w:ilvl="5" w:tplc="04CAF946">
      <w:numFmt w:val="bullet"/>
      <w:lvlText w:val="•"/>
      <w:lvlJc w:val="left"/>
      <w:pPr>
        <w:ind w:left="1164" w:hanging="73"/>
      </w:pPr>
      <w:rPr>
        <w:rFonts w:hint="default"/>
        <w:lang w:val="en-US" w:eastAsia="en-US" w:bidi="ar-SA"/>
      </w:rPr>
    </w:lvl>
    <w:lvl w:ilvl="6" w:tplc="BD9A4674">
      <w:numFmt w:val="bullet"/>
      <w:lvlText w:val="•"/>
      <w:lvlJc w:val="left"/>
      <w:pPr>
        <w:ind w:left="1393" w:hanging="73"/>
      </w:pPr>
      <w:rPr>
        <w:rFonts w:hint="default"/>
        <w:lang w:val="en-US" w:eastAsia="en-US" w:bidi="ar-SA"/>
      </w:rPr>
    </w:lvl>
    <w:lvl w:ilvl="7" w:tplc="64FEC124">
      <w:numFmt w:val="bullet"/>
      <w:lvlText w:val="•"/>
      <w:lvlJc w:val="left"/>
      <w:pPr>
        <w:ind w:left="1622" w:hanging="73"/>
      </w:pPr>
      <w:rPr>
        <w:rFonts w:hint="default"/>
        <w:lang w:val="en-US" w:eastAsia="en-US" w:bidi="ar-SA"/>
      </w:rPr>
    </w:lvl>
    <w:lvl w:ilvl="8" w:tplc="17A8EA56">
      <w:numFmt w:val="bullet"/>
      <w:lvlText w:val="•"/>
      <w:lvlJc w:val="left"/>
      <w:pPr>
        <w:ind w:left="1851" w:hanging="73"/>
      </w:pPr>
      <w:rPr>
        <w:rFonts w:hint="default"/>
        <w:lang w:val="en-US" w:eastAsia="en-US" w:bidi="ar-SA"/>
      </w:rPr>
    </w:lvl>
  </w:abstractNum>
  <w:abstractNum w:abstractNumId="95" w15:restartNumberingAfterBreak="0">
    <w:nsid w:val="25417825"/>
    <w:multiLevelType w:val="hybridMultilevel"/>
    <w:tmpl w:val="D9EEFAE2"/>
    <w:lvl w:ilvl="0" w:tplc="5A40B896">
      <w:numFmt w:val="bullet"/>
      <w:lvlText w:val="•"/>
      <w:lvlJc w:val="left"/>
      <w:pPr>
        <w:ind w:left="22" w:hanging="74"/>
      </w:pPr>
      <w:rPr>
        <w:rFonts w:ascii="Arial" w:eastAsia="Arial" w:hAnsi="Arial" w:cs="Arial" w:hint="default"/>
        <w:color w:val="231F20"/>
        <w:w w:val="97"/>
        <w:sz w:val="12"/>
        <w:szCs w:val="12"/>
        <w:lang w:val="en-US" w:eastAsia="en-US" w:bidi="ar-SA"/>
      </w:rPr>
    </w:lvl>
    <w:lvl w:ilvl="1" w:tplc="F350CC46">
      <w:numFmt w:val="bullet"/>
      <w:lvlText w:val="•"/>
      <w:lvlJc w:val="left"/>
      <w:pPr>
        <w:ind w:left="250" w:hanging="74"/>
      </w:pPr>
      <w:rPr>
        <w:rFonts w:hint="default"/>
        <w:lang w:val="en-US" w:eastAsia="en-US" w:bidi="ar-SA"/>
      </w:rPr>
    </w:lvl>
    <w:lvl w:ilvl="2" w:tplc="5936CD4E">
      <w:numFmt w:val="bullet"/>
      <w:lvlText w:val="•"/>
      <w:lvlJc w:val="left"/>
      <w:pPr>
        <w:ind w:left="480" w:hanging="74"/>
      </w:pPr>
      <w:rPr>
        <w:rFonts w:hint="default"/>
        <w:lang w:val="en-US" w:eastAsia="en-US" w:bidi="ar-SA"/>
      </w:rPr>
    </w:lvl>
    <w:lvl w:ilvl="3" w:tplc="BAAC0458">
      <w:numFmt w:val="bullet"/>
      <w:lvlText w:val="•"/>
      <w:lvlJc w:val="left"/>
      <w:pPr>
        <w:ind w:left="710" w:hanging="74"/>
      </w:pPr>
      <w:rPr>
        <w:rFonts w:hint="default"/>
        <w:lang w:val="en-US" w:eastAsia="en-US" w:bidi="ar-SA"/>
      </w:rPr>
    </w:lvl>
    <w:lvl w:ilvl="4" w:tplc="F05A473A">
      <w:numFmt w:val="bullet"/>
      <w:lvlText w:val="•"/>
      <w:lvlJc w:val="left"/>
      <w:pPr>
        <w:ind w:left="941" w:hanging="74"/>
      </w:pPr>
      <w:rPr>
        <w:rFonts w:hint="default"/>
        <w:lang w:val="en-US" w:eastAsia="en-US" w:bidi="ar-SA"/>
      </w:rPr>
    </w:lvl>
    <w:lvl w:ilvl="5" w:tplc="03E0E3DC">
      <w:numFmt w:val="bullet"/>
      <w:lvlText w:val="•"/>
      <w:lvlJc w:val="left"/>
      <w:pPr>
        <w:ind w:left="1171" w:hanging="74"/>
      </w:pPr>
      <w:rPr>
        <w:rFonts w:hint="default"/>
        <w:lang w:val="en-US" w:eastAsia="en-US" w:bidi="ar-SA"/>
      </w:rPr>
    </w:lvl>
    <w:lvl w:ilvl="6" w:tplc="1A9AFFB6">
      <w:numFmt w:val="bullet"/>
      <w:lvlText w:val="•"/>
      <w:lvlJc w:val="left"/>
      <w:pPr>
        <w:ind w:left="1401" w:hanging="74"/>
      </w:pPr>
      <w:rPr>
        <w:rFonts w:hint="default"/>
        <w:lang w:val="en-US" w:eastAsia="en-US" w:bidi="ar-SA"/>
      </w:rPr>
    </w:lvl>
    <w:lvl w:ilvl="7" w:tplc="7B5ABD74">
      <w:numFmt w:val="bullet"/>
      <w:lvlText w:val="•"/>
      <w:lvlJc w:val="left"/>
      <w:pPr>
        <w:ind w:left="1632" w:hanging="74"/>
      </w:pPr>
      <w:rPr>
        <w:rFonts w:hint="default"/>
        <w:lang w:val="en-US" w:eastAsia="en-US" w:bidi="ar-SA"/>
      </w:rPr>
    </w:lvl>
    <w:lvl w:ilvl="8" w:tplc="8F02E7DA">
      <w:numFmt w:val="bullet"/>
      <w:lvlText w:val="•"/>
      <w:lvlJc w:val="left"/>
      <w:pPr>
        <w:ind w:left="1862" w:hanging="74"/>
      </w:pPr>
      <w:rPr>
        <w:rFonts w:hint="default"/>
        <w:lang w:val="en-US" w:eastAsia="en-US" w:bidi="ar-SA"/>
      </w:rPr>
    </w:lvl>
  </w:abstractNum>
  <w:abstractNum w:abstractNumId="96" w15:restartNumberingAfterBreak="0">
    <w:nsid w:val="25E62785"/>
    <w:multiLevelType w:val="hybridMultilevel"/>
    <w:tmpl w:val="89AC13BE"/>
    <w:lvl w:ilvl="0" w:tplc="C3A628A2">
      <w:numFmt w:val="bullet"/>
      <w:lvlText w:val="•"/>
      <w:lvlJc w:val="left"/>
      <w:pPr>
        <w:ind w:left="28" w:hanging="79"/>
      </w:pPr>
      <w:rPr>
        <w:rFonts w:ascii="Arial" w:eastAsia="Arial" w:hAnsi="Arial" w:cs="Arial" w:hint="default"/>
        <w:color w:val="231F20"/>
        <w:w w:val="83"/>
        <w:sz w:val="15"/>
        <w:szCs w:val="15"/>
        <w:lang w:val="en-US" w:eastAsia="en-US" w:bidi="ar-SA"/>
      </w:rPr>
    </w:lvl>
    <w:lvl w:ilvl="1" w:tplc="1A7ECBAC">
      <w:numFmt w:val="bullet"/>
      <w:lvlText w:val="•"/>
      <w:lvlJc w:val="left"/>
      <w:pPr>
        <w:ind w:left="267" w:hanging="79"/>
      </w:pPr>
      <w:rPr>
        <w:rFonts w:hint="default"/>
        <w:lang w:val="en-US" w:eastAsia="en-US" w:bidi="ar-SA"/>
      </w:rPr>
    </w:lvl>
    <w:lvl w:ilvl="2" w:tplc="3D205A00">
      <w:numFmt w:val="bullet"/>
      <w:lvlText w:val="•"/>
      <w:lvlJc w:val="left"/>
      <w:pPr>
        <w:ind w:left="515" w:hanging="79"/>
      </w:pPr>
      <w:rPr>
        <w:rFonts w:hint="default"/>
        <w:lang w:val="en-US" w:eastAsia="en-US" w:bidi="ar-SA"/>
      </w:rPr>
    </w:lvl>
    <w:lvl w:ilvl="3" w:tplc="1D800D5C">
      <w:numFmt w:val="bullet"/>
      <w:lvlText w:val="•"/>
      <w:lvlJc w:val="left"/>
      <w:pPr>
        <w:ind w:left="763" w:hanging="79"/>
      </w:pPr>
      <w:rPr>
        <w:rFonts w:hint="default"/>
        <w:lang w:val="en-US" w:eastAsia="en-US" w:bidi="ar-SA"/>
      </w:rPr>
    </w:lvl>
    <w:lvl w:ilvl="4" w:tplc="D304F0FA">
      <w:numFmt w:val="bullet"/>
      <w:lvlText w:val="•"/>
      <w:lvlJc w:val="left"/>
      <w:pPr>
        <w:ind w:left="1010" w:hanging="79"/>
      </w:pPr>
      <w:rPr>
        <w:rFonts w:hint="default"/>
        <w:lang w:val="en-US" w:eastAsia="en-US" w:bidi="ar-SA"/>
      </w:rPr>
    </w:lvl>
    <w:lvl w:ilvl="5" w:tplc="47141D62">
      <w:numFmt w:val="bullet"/>
      <w:lvlText w:val="•"/>
      <w:lvlJc w:val="left"/>
      <w:pPr>
        <w:ind w:left="1258" w:hanging="79"/>
      </w:pPr>
      <w:rPr>
        <w:rFonts w:hint="default"/>
        <w:lang w:val="en-US" w:eastAsia="en-US" w:bidi="ar-SA"/>
      </w:rPr>
    </w:lvl>
    <w:lvl w:ilvl="6" w:tplc="82C07464">
      <w:numFmt w:val="bullet"/>
      <w:lvlText w:val="•"/>
      <w:lvlJc w:val="left"/>
      <w:pPr>
        <w:ind w:left="1506" w:hanging="79"/>
      </w:pPr>
      <w:rPr>
        <w:rFonts w:hint="default"/>
        <w:lang w:val="en-US" w:eastAsia="en-US" w:bidi="ar-SA"/>
      </w:rPr>
    </w:lvl>
    <w:lvl w:ilvl="7" w:tplc="9D8A470A">
      <w:numFmt w:val="bullet"/>
      <w:lvlText w:val="•"/>
      <w:lvlJc w:val="left"/>
      <w:pPr>
        <w:ind w:left="1753" w:hanging="79"/>
      </w:pPr>
      <w:rPr>
        <w:rFonts w:hint="default"/>
        <w:lang w:val="en-US" w:eastAsia="en-US" w:bidi="ar-SA"/>
      </w:rPr>
    </w:lvl>
    <w:lvl w:ilvl="8" w:tplc="CA3E3A50">
      <w:numFmt w:val="bullet"/>
      <w:lvlText w:val="•"/>
      <w:lvlJc w:val="left"/>
      <w:pPr>
        <w:ind w:left="2001" w:hanging="79"/>
      </w:pPr>
      <w:rPr>
        <w:rFonts w:hint="default"/>
        <w:lang w:val="en-US" w:eastAsia="en-US" w:bidi="ar-SA"/>
      </w:rPr>
    </w:lvl>
  </w:abstractNum>
  <w:abstractNum w:abstractNumId="97" w15:restartNumberingAfterBreak="0">
    <w:nsid w:val="264435DA"/>
    <w:multiLevelType w:val="multilevel"/>
    <w:tmpl w:val="EC700D64"/>
    <w:lvl w:ilvl="0">
      <w:start w:val="5"/>
      <w:numFmt w:val="decimal"/>
      <w:lvlText w:val="%1"/>
      <w:lvlJc w:val="left"/>
      <w:pPr>
        <w:ind w:left="289" w:hanging="565"/>
      </w:pPr>
      <w:rPr>
        <w:rFonts w:hint="default"/>
        <w:lang w:val="en-US" w:eastAsia="en-US" w:bidi="ar-SA"/>
      </w:rPr>
    </w:lvl>
    <w:lvl w:ilvl="1">
      <w:start w:val="6"/>
      <w:numFmt w:val="decimal"/>
      <w:lvlText w:val="%1.%2"/>
      <w:lvlJc w:val="left"/>
      <w:pPr>
        <w:ind w:left="289" w:hanging="565"/>
      </w:pPr>
      <w:rPr>
        <w:rFonts w:hint="default"/>
        <w:lang w:val="en-US" w:eastAsia="en-US" w:bidi="ar-SA"/>
      </w:rPr>
    </w:lvl>
    <w:lvl w:ilvl="2">
      <w:start w:val="4"/>
      <w:numFmt w:val="decimal"/>
      <w:lvlText w:val="%1.%2.%3"/>
      <w:lvlJc w:val="left"/>
      <w:pPr>
        <w:ind w:left="289" w:hanging="565"/>
        <w:jc w:val="right"/>
      </w:pPr>
      <w:rPr>
        <w:rFonts w:hint="default"/>
        <w:b/>
        <w:bCs/>
        <w:spacing w:val="-1"/>
        <w:w w:val="112"/>
        <w:lang w:val="en-US" w:eastAsia="en-US" w:bidi="ar-SA"/>
      </w:rPr>
    </w:lvl>
    <w:lvl w:ilvl="3">
      <w:start w:val="1"/>
      <w:numFmt w:val="decimal"/>
      <w:lvlText w:val="%1.%2.%3.%4"/>
      <w:lvlJc w:val="left"/>
      <w:pPr>
        <w:ind w:left="134" w:hanging="753"/>
      </w:pPr>
      <w:rPr>
        <w:rFonts w:ascii="Arial" w:eastAsia="Arial" w:hAnsi="Arial" w:cs="Arial" w:hint="default"/>
        <w:color w:val="231F20"/>
        <w:w w:val="99"/>
        <w:sz w:val="22"/>
        <w:szCs w:val="22"/>
        <w:lang w:val="en-US" w:eastAsia="en-US" w:bidi="ar-SA"/>
      </w:rPr>
    </w:lvl>
    <w:lvl w:ilvl="4">
      <w:numFmt w:val="bullet"/>
      <w:lvlText w:val="•"/>
      <w:lvlJc w:val="left"/>
      <w:pPr>
        <w:ind w:left="3421" w:hanging="753"/>
      </w:pPr>
      <w:rPr>
        <w:rFonts w:hint="default"/>
        <w:lang w:val="en-US" w:eastAsia="en-US" w:bidi="ar-SA"/>
      </w:rPr>
    </w:lvl>
    <w:lvl w:ilvl="5">
      <w:numFmt w:val="bullet"/>
      <w:lvlText w:val="•"/>
      <w:lvlJc w:val="left"/>
      <w:pPr>
        <w:ind w:left="4469" w:hanging="753"/>
      </w:pPr>
      <w:rPr>
        <w:rFonts w:hint="default"/>
        <w:lang w:val="en-US" w:eastAsia="en-US" w:bidi="ar-SA"/>
      </w:rPr>
    </w:lvl>
    <w:lvl w:ilvl="6">
      <w:numFmt w:val="bullet"/>
      <w:lvlText w:val="•"/>
      <w:lvlJc w:val="left"/>
      <w:pPr>
        <w:ind w:left="5516" w:hanging="753"/>
      </w:pPr>
      <w:rPr>
        <w:rFonts w:hint="default"/>
        <w:lang w:val="en-US" w:eastAsia="en-US" w:bidi="ar-SA"/>
      </w:rPr>
    </w:lvl>
    <w:lvl w:ilvl="7">
      <w:numFmt w:val="bullet"/>
      <w:lvlText w:val="•"/>
      <w:lvlJc w:val="left"/>
      <w:pPr>
        <w:ind w:left="6563" w:hanging="753"/>
      </w:pPr>
      <w:rPr>
        <w:rFonts w:hint="default"/>
        <w:lang w:val="en-US" w:eastAsia="en-US" w:bidi="ar-SA"/>
      </w:rPr>
    </w:lvl>
    <w:lvl w:ilvl="8">
      <w:numFmt w:val="bullet"/>
      <w:lvlText w:val="•"/>
      <w:lvlJc w:val="left"/>
      <w:pPr>
        <w:ind w:left="7610" w:hanging="753"/>
      </w:pPr>
      <w:rPr>
        <w:rFonts w:hint="default"/>
        <w:lang w:val="en-US" w:eastAsia="en-US" w:bidi="ar-SA"/>
      </w:rPr>
    </w:lvl>
  </w:abstractNum>
  <w:abstractNum w:abstractNumId="98" w15:restartNumberingAfterBreak="0">
    <w:nsid w:val="26E734C5"/>
    <w:multiLevelType w:val="multilevel"/>
    <w:tmpl w:val="0AD8800E"/>
    <w:lvl w:ilvl="0">
      <w:start w:val="6"/>
      <w:numFmt w:val="decimal"/>
      <w:lvlText w:val="%1"/>
      <w:lvlJc w:val="left"/>
      <w:pPr>
        <w:ind w:left="147" w:hanging="750"/>
      </w:pPr>
      <w:rPr>
        <w:rFonts w:hint="default"/>
        <w:lang w:val="en-US" w:eastAsia="en-US" w:bidi="ar-SA"/>
      </w:rPr>
    </w:lvl>
    <w:lvl w:ilvl="1">
      <w:start w:val="9"/>
      <w:numFmt w:val="decimal"/>
      <w:lvlText w:val="%1.%2"/>
      <w:lvlJc w:val="left"/>
      <w:pPr>
        <w:ind w:left="147" w:hanging="750"/>
      </w:pPr>
      <w:rPr>
        <w:rFonts w:hint="default"/>
        <w:lang w:val="en-US" w:eastAsia="en-US" w:bidi="ar-SA"/>
      </w:rPr>
    </w:lvl>
    <w:lvl w:ilvl="2">
      <w:start w:val="5"/>
      <w:numFmt w:val="decimal"/>
      <w:lvlText w:val="%1.%2.%3"/>
      <w:lvlJc w:val="left"/>
      <w:pPr>
        <w:ind w:left="147" w:hanging="750"/>
      </w:pPr>
      <w:rPr>
        <w:rFonts w:hint="default"/>
        <w:lang w:val="en-US" w:eastAsia="en-US" w:bidi="ar-SA"/>
      </w:rPr>
    </w:lvl>
    <w:lvl w:ilvl="3">
      <w:start w:val="1"/>
      <w:numFmt w:val="decimal"/>
      <w:lvlText w:val="%1.%2.%3.%4"/>
      <w:lvlJc w:val="left"/>
      <w:pPr>
        <w:ind w:left="147" w:hanging="750"/>
      </w:pPr>
      <w:rPr>
        <w:rFonts w:ascii="Arial" w:eastAsia="Arial" w:hAnsi="Arial" w:cs="Arial" w:hint="default"/>
        <w:b/>
        <w:bCs/>
        <w:color w:val="231F20"/>
        <w:w w:val="99"/>
        <w:sz w:val="22"/>
        <w:szCs w:val="22"/>
        <w:lang w:val="en-US" w:eastAsia="en-US" w:bidi="ar-SA"/>
      </w:rPr>
    </w:lvl>
    <w:lvl w:ilvl="4">
      <w:numFmt w:val="bullet"/>
      <w:lvlText w:val="•"/>
      <w:lvlJc w:val="left"/>
      <w:pPr>
        <w:ind w:left="3966" w:hanging="750"/>
      </w:pPr>
      <w:rPr>
        <w:rFonts w:hint="default"/>
        <w:lang w:val="en-US" w:eastAsia="en-US" w:bidi="ar-SA"/>
      </w:rPr>
    </w:lvl>
    <w:lvl w:ilvl="5">
      <w:numFmt w:val="bullet"/>
      <w:lvlText w:val="•"/>
      <w:lvlJc w:val="left"/>
      <w:pPr>
        <w:ind w:left="4922" w:hanging="750"/>
      </w:pPr>
      <w:rPr>
        <w:rFonts w:hint="default"/>
        <w:lang w:val="en-US" w:eastAsia="en-US" w:bidi="ar-SA"/>
      </w:rPr>
    </w:lvl>
    <w:lvl w:ilvl="6">
      <w:numFmt w:val="bullet"/>
      <w:lvlText w:val="•"/>
      <w:lvlJc w:val="left"/>
      <w:pPr>
        <w:ind w:left="5879" w:hanging="750"/>
      </w:pPr>
      <w:rPr>
        <w:rFonts w:hint="default"/>
        <w:lang w:val="en-US" w:eastAsia="en-US" w:bidi="ar-SA"/>
      </w:rPr>
    </w:lvl>
    <w:lvl w:ilvl="7">
      <w:numFmt w:val="bullet"/>
      <w:lvlText w:val="•"/>
      <w:lvlJc w:val="left"/>
      <w:pPr>
        <w:ind w:left="6835" w:hanging="750"/>
      </w:pPr>
      <w:rPr>
        <w:rFonts w:hint="default"/>
        <w:lang w:val="en-US" w:eastAsia="en-US" w:bidi="ar-SA"/>
      </w:rPr>
    </w:lvl>
    <w:lvl w:ilvl="8">
      <w:numFmt w:val="bullet"/>
      <w:lvlText w:val="•"/>
      <w:lvlJc w:val="left"/>
      <w:pPr>
        <w:ind w:left="7792" w:hanging="750"/>
      </w:pPr>
      <w:rPr>
        <w:rFonts w:hint="default"/>
        <w:lang w:val="en-US" w:eastAsia="en-US" w:bidi="ar-SA"/>
      </w:rPr>
    </w:lvl>
  </w:abstractNum>
  <w:abstractNum w:abstractNumId="99" w15:restartNumberingAfterBreak="0">
    <w:nsid w:val="273C6C8F"/>
    <w:multiLevelType w:val="hybridMultilevel"/>
    <w:tmpl w:val="17BE2510"/>
    <w:lvl w:ilvl="0" w:tplc="1856DADA">
      <w:start w:val="1"/>
      <w:numFmt w:val="decimal"/>
      <w:lvlText w:val="%1."/>
      <w:lvlJc w:val="left"/>
      <w:pPr>
        <w:ind w:left="896" w:hanging="391"/>
      </w:pPr>
      <w:rPr>
        <w:rFonts w:ascii="Arial" w:eastAsia="Arial" w:hAnsi="Arial" w:cs="Arial" w:hint="default"/>
        <w:color w:val="231F20"/>
        <w:w w:val="114"/>
        <w:sz w:val="17"/>
        <w:szCs w:val="17"/>
        <w:lang w:val="en-US" w:eastAsia="en-US" w:bidi="ar-SA"/>
      </w:rPr>
    </w:lvl>
    <w:lvl w:ilvl="1" w:tplc="8F7AC0AA">
      <w:numFmt w:val="bullet"/>
      <w:lvlText w:val="•"/>
      <w:lvlJc w:val="left"/>
      <w:pPr>
        <w:ind w:left="1197" w:hanging="391"/>
      </w:pPr>
      <w:rPr>
        <w:rFonts w:hint="default"/>
        <w:lang w:val="en-US" w:eastAsia="en-US" w:bidi="ar-SA"/>
      </w:rPr>
    </w:lvl>
    <w:lvl w:ilvl="2" w:tplc="E3AAAC20">
      <w:numFmt w:val="bullet"/>
      <w:lvlText w:val="•"/>
      <w:lvlJc w:val="left"/>
      <w:pPr>
        <w:ind w:left="1494" w:hanging="391"/>
      </w:pPr>
      <w:rPr>
        <w:rFonts w:hint="default"/>
        <w:lang w:val="en-US" w:eastAsia="en-US" w:bidi="ar-SA"/>
      </w:rPr>
    </w:lvl>
    <w:lvl w:ilvl="3" w:tplc="E252127E">
      <w:numFmt w:val="bullet"/>
      <w:lvlText w:val="•"/>
      <w:lvlJc w:val="left"/>
      <w:pPr>
        <w:ind w:left="1792" w:hanging="391"/>
      </w:pPr>
      <w:rPr>
        <w:rFonts w:hint="default"/>
        <w:lang w:val="en-US" w:eastAsia="en-US" w:bidi="ar-SA"/>
      </w:rPr>
    </w:lvl>
    <w:lvl w:ilvl="4" w:tplc="DA300F04">
      <w:numFmt w:val="bullet"/>
      <w:lvlText w:val="•"/>
      <w:lvlJc w:val="left"/>
      <w:pPr>
        <w:ind w:left="2089" w:hanging="391"/>
      </w:pPr>
      <w:rPr>
        <w:rFonts w:hint="default"/>
        <w:lang w:val="en-US" w:eastAsia="en-US" w:bidi="ar-SA"/>
      </w:rPr>
    </w:lvl>
    <w:lvl w:ilvl="5" w:tplc="68981906">
      <w:numFmt w:val="bullet"/>
      <w:lvlText w:val="•"/>
      <w:lvlJc w:val="left"/>
      <w:pPr>
        <w:ind w:left="2387" w:hanging="391"/>
      </w:pPr>
      <w:rPr>
        <w:rFonts w:hint="default"/>
        <w:lang w:val="en-US" w:eastAsia="en-US" w:bidi="ar-SA"/>
      </w:rPr>
    </w:lvl>
    <w:lvl w:ilvl="6" w:tplc="73261D8C">
      <w:numFmt w:val="bullet"/>
      <w:lvlText w:val="•"/>
      <w:lvlJc w:val="left"/>
      <w:pPr>
        <w:ind w:left="2684" w:hanging="391"/>
      </w:pPr>
      <w:rPr>
        <w:rFonts w:hint="default"/>
        <w:lang w:val="en-US" w:eastAsia="en-US" w:bidi="ar-SA"/>
      </w:rPr>
    </w:lvl>
    <w:lvl w:ilvl="7" w:tplc="073E419C">
      <w:numFmt w:val="bullet"/>
      <w:lvlText w:val="•"/>
      <w:lvlJc w:val="left"/>
      <w:pPr>
        <w:ind w:left="2981" w:hanging="391"/>
      </w:pPr>
      <w:rPr>
        <w:rFonts w:hint="default"/>
        <w:lang w:val="en-US" w:eastAsia="en-US" w:bidi="ar-SA"/>
      </w:rPr>
    </w:lvl>
    <w:lvl w:ilvl="8" w:tplc="4ED6C44E">
      <w:numFmt w:val="bullet"/>
      <w:lvlText w:val="•"/>
      <w:lvlJc w:val="left"/>
      <w:pPr>
        <w:ind w:left="3279" w:hanging="391"/>
      </w:pPr>
      <w:rPr>
        <w:rFonts w:hint="default"/>
        <w:lang w:val="en-US" w:eastAsia="en-US" w:bidi="ar-SA"/>
      </w:rPr>
    </w:lvl>
  </w:abstractNum>
  <w:abstractNum w:abstractNumId="100" w15:restartNumberingAfterBreak="0">
    <w:nsid w:val="27407FB9"/>
    <w:multiLevelType w:val="hybridMultilevel"/>
    <w:tmpl w:val="696CEA66"/>
    <w:lvl w:ilvl="0" w:tplc="D510674E">
      <w:numFmt w:val="bullet"/>
      <w:lvlText w:val="•"/>
      <w:lvlJc w:val="left"/>
      <w:pPr>
        <w:ind w:left="21" w:hanging="67"/>
      </w:pPr>
      <w:rPr>
        <w:rFonts w:ascii="Arial" w:eastAsia="Arial" w:hAnsi="Arial" w:cs="Arial" w:hint="default"/>
        <w:color w:val="231F20"/>
        <w:w w:val="97"/>
        <w:sz w:val="12"/>
        <w:szCs w:val="12"/>
        <w:lang w:val="en-US" w:eastAsia="en-US" w:bidi="ar-SA"/>
      </w:rPr>
    </w:lvl>
    <w:lvl w:ilvl="1" w:tplc="AA12F87C">
      <w:numFmt w:val="bullet"/>
      <w:lvlText w:val="•"/>
      <w:lvlJc w:val="left"/>
      <w:pPr>
        <w:ind w:left="250" w:hanging="67"/>
      </w:pPr>
      <w:rPr>
        <w:rFonts w:hint="default"/>
        <w:lang w:val="en-US" w:eastAsia="en-US" w:bidi="ar-SA"/>
      </w:rPr>
    </w:lvl>
    <w:lvl w:ilvl="2" w:tplc="35381118">
      <w:numFmt w:val="bullet"/>
      <w:lvlText w:val="•"/>
      <w:lvlJc w:val="left"/>
      <w:pPr>
        <w:ind w:left="481" w:hanging="67"/>
      </w:pPr>
      <w:rPr>
        <w:rFonts w:hint="default"/>
        <w:lang w:val="en-US" w:eastAsia="en-US" w:bidi="ar-SA"/>
      </w:rPr>
    </w:lvl>
    <w:lvl w:ilvl="3" w:tplc="0B2E353C">
      <w:numFmt w:val="bullet"/>
      <w:lvlText w:val="•"/>
      <w:lvlJc w:val="left"/>
      <w:pPr>
        <w:ind w:left="712" w:hanging="67"/>
      </w:pPr>
      <w:rPr>
        <w:rFonts w:hint="default"/>
        <w:lang w:val="en-US" w:eastAsia="en-US" w:bidi="ar-SA"/>
      </w:rPr>
    </w:lvl>
    <w:lvl w:ilvl="4" w:tplc="B35A16F4">
      <w:numFmt w:val="bullet"/>
      <w:lvlText w:val="•"/>
      <w:lvlJc w:val="left"/>
      <w:pPr>
        <w:ind w:left="943" w:hanging="67"/>
      </w:pPr>
      <w:rPr>
        <w:rFonts w:hint="default"/>
        <w:lang w:val="en-US" w:eastAsia="en-US" w:bidi="ar-SA"/>
      </w:rPr>
    </w:lvl>
    <w:lvl w:ilvl="5" w:tplc="0104520E">
      <w:numFmt w:val="bullet"/>
      <w:lvlText w:val="•"/>
      <w:lvlJc w:val="left"/>
      <w:pPr>
        <w:ind w:left="1174" w:hanging="67"/>
      </w:pPr>
      <w:rPr>
        <w:rFonts w:hint="default"/>
        <w:lang w:val="en-US" w:eastAsia="en-US" w:bidi="ar-SA"/>
      </w:rPr>
    </w:lvl>
    <w:lvl w:ilvl="6" w:tplc="334C6D44">
      <w:numFmt w:val="bullet"/>
      <w:lvlText w:val="•"/>
      <w:lvlJc w:val="left"/>
      <w:pPr>
        <w:ind w:left="1404" w:hanging="67"/>
      </w:pPr>
      <w:rPr>
        <w:rFonts w:hint="default"/>
        <w:lang w:val="en-US" w:eastAsia="en-US" w:bidi="ar-SA"/>
      </w:rPr>
    </w:lvl>
    <w:lvl w:ilvl="7" w:tplc="4F26C9E0">
      <w:numFmt w:val="bullet"/>
      <w:lvlText w:val="•"/>
      <w:lvlJc w:val="left"/>
      <w:pPr>
        <w:ind w:left="1635" w:hanging="67"/>
      </w:pPr>
      <w:rPr>
        <w:rFonts w:hint="default"/>
        <w:lang w:val="en-US" w:eastAsia="en-US" w:bidi="ar-SA"/>
      </w:rPr>
    </w:lvl>
    <w:lvl w:ilvl="8" w:tplc="423EC008">
      <w:numFmt w:val="bullet"/>
      <w:lvlText w:val="•"/>
      <w:lvlJc w:val="left"/>
      <w:pPr>
        <w:ind w:left="1866" w:hanging="67"/>
      </w:pPr>
      <w:rPr>
        <w:rFonts w:hint="default"/>
        <w:lang w:val="en-US" w:eastAsia="en-US" w:bidi="ar-SA"/>
      </w:rPr>
    </w:lvl>
  </w:abstractNum>
  <w:abstractNum w:abstractNumId="101" w15:restartNumberingAfterBreak="0">
    <w:nsid w:val="27ED6FFB"/>
    <w:multiLevelType w:val="multilevel"/>
    <w:tmpl w:val="2DBE4D14"/>
    <w:lvl w:ilvl="0">
      <w:start w:val="5"/>
      <w:numFmt w:val="decimal"/>
      <w:lvlText w:val="%1"/>
      <w:lvlJc w:val="left"/>
      <w:pPr>
        <w:ind w:left="177" w:hanging="798"/>
      </w:pPr>
      <w:rPr>
        <w:rFonts w:hint="default"/>
        <w:lang w:val="en-US" w:eastAsia="en-US" w:bidi="ar-SA"/>
      </w:rPr>
    </w:lvl>
    <w:lvl w:ilvl="1">
      <w:start w:val="8"/>
      <w:numFmt w:val="decimal"/>
      <w:lvlText w:val="%1.%2"/>
      <w:lvlJc w:val="left"/>
      <w:pPr>
        <w:ind w:left="177" w:hanging="798"/>
      </w:pPr>
      <w:rPr>
        <w:rFonts w:hint="default"/>
        <w:lang w:val="en-US" w:eastAsia="en-US" w:bidi="ar-SA"/>
      </w:rPr>
    </w:lvl>
    <w:lvl w:ilvl="2">
      <w:start w:val="6"/>
      <w:numFmt w:val="decimal"/>
      <w:lvlText w:val="%1.%2.%3"/>
      <w:lvlJc w:val="left"/>
      <w:pPr>
        <w:ind w:left="177" w:hanging="798"/>
      </w:pPr>
      <w:rPr>
        <w:rFonts w:hint="default"/>
        <w:lang w:val="en-US" w:eastAsia="en-US" w:bidi="ar-SA"/>
      </w:rPr>
    </w:lvl>
    <w:lvl w:ilvl="3">
      <w:start w:val="6"/>
      <w:numFmt w:val="decimal"/>
      <w:lvlText w:val="%1.%2.%3.%4"/>
      <w:lvlJc w:val="left"/>
      <w:pPr>
        <w:ind w:left="177" w:hanging="798"/>
      </w:pPr>
      <w:rPr>
        <w:rFonts w:ascii="Arial" w:eastAsia="Arial" w:hAnsi="Arial" w:cs="Arial" w:hint="default"/>
        <w:b/>
        <w:bCs/>
        <w:color w:val="231F20"/>
        <w:spacing w:val="-25"/>
        <w:w w:val="99"/>
        <w:sz w:val="22"/>
        <w:szCs w:val="22"/>
        <w:lang w:val="en-US" w:eastAsia="en-US" w:bidi="ar-SA"/>
      </w:rPr>
    </w:lvl>
    <w:lvl w:ilvl="4">
      <w:numFmt w:val="bullet"/>
      <w:lvlText w:val="•"/>
      <w:lvlJc w:val="left"/>
      <w:pPr>
        <w:ind w:left="3990" w:hanging="798"/>
      </w:pPr>
      <w:rPr>
        <w:rFonts w:hint="default"/>
        <w:lang w:val="en-US" w:eastAsia="en-US" w:bidi="ar-SA"/>
      </w:rPr>
    </w:lvl>
    <w:lvl w:ilvl="5">
      <w:numFmt w:val="bullet"/>
      <w:lvlText w:val="•"/>
      <w:lvlJc w:val="left"/>
      <w:pPr>
        <w:ind w:left="4942" w:hanging="798"/>
      </w:pPr>
      <w:rPr>
        <w:rFonts w:hint="default"/>
        <w:lang w:val="en-US" w:eastAsia="en-US" w:bidi="ar-SA"/>
      </w:rPr>
    </w:lvl>
    <w:lvl w:ilvl="6">
      <w:numFmt w:val="bullet"/>
      <w:lvlText w:val="•"/>
      <w:lvlJc w:val="left"/>
      <w:pPr>
        <w:ind w:left="5895" w:hanging="798"/>
      </w:pPr>
      <w:rPr>
        <w:rFonts w:hint="default"/>
        <w:lang w:val="en-US" w:eastAsia="en-US" w:bidi="ar-SA"/>
      </w:rPr>
    </w:lvl>
    <w:lvl w:ilvl="7">
      <w:numFmt w:val="bullet"/>
      <w:lvlText w:val="•"/>
      <w:lvlJc w:val="left"/>
      <w:pPr>
        <w:ind w:left="6847" w:hanging="798"/>
      </w:pPr>
      <w:rPr>
        <w:rFonts w:hint="default"/>
        <w:lang w:val="en-US" w:eastAsia="en-US" w:bidi="ar-SA"/>
      </w:rPr>
    </w:lvl>
    <w:lvl w:ilvl="8">
      <w:numFmt w:val="bullet"/>
      <w:lvlText w:val="•"/>
      <w:lvlJc w:val="left"/>
      <w:pPr>
        <w:ind w:left="7800" w:hanging="798"/>
      </w:pPr>
      <w:rPr>
        <w:rFonts w:hint="default"/>
        <w:lang w:val="en-US" w:eastAsia="en-US" w:bidi="ar-SA"/>
      </w:rPr>
    </w:lvl>
  </w:abstractNum>
  <w:abstractNum w:abstractNumId="102" w15:restartNumberingAfterBreak="0">
    <w:nsid w:val="28324BA5"/>
    <w:multiLevelType w:val="hybridMultilevel"/>
    <w:tmpl w:val="55BCA8DA"/>
    <w:lvl w:ilvl="0" w:tplc="3816F246">
      <w:start w:val="1"/>
      <w:numFmt w:val="decimal"/>
      <w:lvlText w:val="%1."/>
      <w:lvlJc w:val="left"/>
      <w:pPr>
        <w:ind w:left="859" w:hanging="360"/>
      </w:pPr>
      <w:rPr>
        <w:rFonts w:ascii="Arial" w:eastAsia="Arial" w:hAnsi="Arial" w:cs="Arial" w:hint="default"/>
        <w:color w:val="231F20"/>
        <w:spacing w:val="-31"/>
        <w:w w:val="99"/>
        <w:sz w:val="24"/>
        <w:szCs w:val="24"/>
        <w:lang w:val="en-US" w:eastAsia="en-US" w:bidi="ar-SA"/>
      </w:rPr>
    </w:lvl>
    <w:lvl w:ilvl="1" w:tplc="FFCE26EA">
      <w:numFmt w:val="bullet"/>
      <w:lvlText w:val="•"/>
      <w:lvlJc w:val="left"/>
      <w:pPr>
        <w:ind w:left="1744" w:hanging="360"/>
      </w:pPr>
      <w:rPr>
        <w:rFonts w:hint="default"/>
        <w:lang w:val="en-US" w:eastAsia="en-US" w:bidi="ar-SA"/>
      </w:rPr>
    </w:lvl>
    <w:lvl w:ilvl="2" w:tplc="376459CE">
      <w:numFmt w:val="bullet"/>
      <w:lvlText w:val="•"/>
      <w:lvlJc w:val="left"/>
      <w:pPr>
        <w:ind w:left="2629" w:hanging="360"/>
      </w:pPr>
      <w:rPr>
        <w:rFonts w:hint="default"/>
        <w:lang w:val="en-US" w:eastAsia="en-US" w:bidi="ar-SA"/>
      </w:rPr>
    </w:lvl>
    <w:lvl w:ilvl="3" w:tplc="B298F032">
      <w:numFmt w:val="bullet"/>
      <w:lvlText w:val="•"/>
      <w:lvlJc w:val="left"/>
      <w:pPr>
        <w:ind w:left="3513" w:hanging="360"/>
      </w:pPr>
      <w:rPr>
        <w:rFonts w:hint="default"/>
        <w:lang w:val="en-US" w:eastAsia="en-US" w:bidi="ar-SA"/>
      </w:rPr>
    </w:lvl>
    <w:lvl w:ilvl="4" w:tplc="2E74603E">
      <w:numFmt w:val="bullet"/>
      <w:lvlText w:val="•"/>
      <w:lvlJc w:val="left"/>
      <w:pPr>
        <w:ind w:left="4398" w:hanging="360"/>
      </w:pPr>
      <w:rPr>
        <w:rFonts w:hint="default"/>
        <w:lang w:val="en-US" w:eastAsia="en-US" w:bidi="ar-SA"/>
      </w:rPr>
    </w:lvl>
    <w:lvl w:ilvl="5" w:tplc="9300D96C">
      <w:numFmt w:val="bullet"/>
      <w:lvlText w:val="•"/>
      <w:lvlJc w:val="left"/>
      <w:pPr>
        <w:ind w:left="5282" w:hanging="360"/>
      </w:pPr>
      <w:rPr>
        <w:rFonts w:hint="default"/>
        <w:lang w:val="en-US" w:eastAsia="en-US" w:bidi="ar-SA"/>
      </w:rPr>
    </w:lvl>
    <w:lvl w:ilvl="6" w:tplc="B9EACF30">
      <w:numFmt w:val="bullet"/>
      <w:lvlText w:val="•"/>
      <w:lvlJc w:val="left"/>
      <w:pPr>
        <w:ind w:left="6167" w:hanging="360"/>
      </w:pPr>
      <w:rPr>
        <w:rFonts w:hint="default"/>
        <w:lang w:val="en-US" w:eastAsia="en-US" w:bidi="ar-SA"/>
      </w:rPr>
    </w:lvl>
    <w:lvl w:ilvl="7" w:tplc="167836A8">
      <w:numFmt w:val="bullet"/>
      <w:lvlText w:val="•"/>
      <w:lvlJc w:val="left"/>
      <w:pPr>
        <w:ind w:left="7051" w:hanging="360"/>
      </w:pPr>
      <w:rPr>
        <w:rFonts w:hint="default"/>
        <w:lang w:val="en-US" w:eastAsia="en-US" w:bidi="ar-SA"/>
      </w:rPr>
    </w:lvl>
    <w:lvl w:ilvl="8" w:tplc="56DCBE4C">
      <w:numFmt w:val="bullet"/>
      <w:lvlText w:val="•"/>
      <w:lvlJc w:val="left"/>
      <w:pPr>
        <w:ind w:left="7936" w:hanging="360"/>
      </w:pPr>
      <w:rPr>
        <w:rFonts w:hint="default"/>
        <w:lang w:val="en-US" w:eastAsia="en-US" w:bidi="ar-SA"/>
      </w:rPr>
    </w:lvl>
  </w:abstractNum>
  <w:abstractNum w:abstractNumId="103" w15:restartNumberingAfterBreak="0">
    <w:nsid w:val="285169A6"/>
    <w:multiLevelType w:val="multilevel"/>
    <w:tmpl w:val="5BA8B222"/>
    <w:lvl w:ilvl="0">
      <w:start w:val="9"/>
      <w:numFmt w:val="decimal"/>
      <w:lvlText w:val="%1"/>
      <w:lvlJc w:val="left"/>
      <w:pPr>
        <w:ind w:left="893" w:hanging="720"/>
      </w:pPr>
      <w:rPr>
        <w:rFonts w:hint="default"/>
        <w:lang w:val="en-US" w:eastAsia="en-US" w:bidi="ar-SA"/>
      </w:rPr>
    </w:lvl>
    <w:lvl w:ilvl="1">
      <w:start w:val="1"/>
      <w:numFmt w:val="decimal"/>
      <w:lvlText w:val="%1.%2"/>
      <w:lvlJc w:val="left"/>
      <w:pPr>
        <w:ind w:left="893" w:hanging="720"/>
      </w:pPr>
      <w:rPr>
        <w:rFonts w:ascii="Arial" w:eastAsia="Arial" w:hAnsi="Arial" w:cs="Arial" w:hint="default"/>
        <w:b/>
        <w:bCs/>
        <w:color w:val="231F20"/>
        <w:w w:val="99"/>
        <w:sz w:val="22"/>
        <w:szCs w:val="22"/>
        <w:lang w:val="en-US" w:eastAsia="en-US" w:bidi="ar-SA"/>
      </w:rPr>
    </w:lvl>
    <w:lvl w:ilvl="2">
      <w:start w:val="1"/>
      <w:numFmt w:val="lowerLetter"/>
      <w:lvlText w:val="%3."/>
      <w:lvlJc w:val="left"/>
      <w:pPr>
        <w:ind w:left="893" w:hanging="360"/>
      </w:pPr>
      <w:rPr>
        <w:rFonts w:ascii="Arial" w:eastAsia="Arial" w:hAnsi="Arial" w:cs="Arial" w:hint="default"/>
        <w:color w:val="231F20"/>
        <w:spacing w:val="-25"/>
        <w:w w:val="99"/>
        <w:sz w:val="22"/>
        <w:szCs w:val="22"/>
        <w:lang w:val="en-US" w:eastAsia="en-US" w:bidi="ar-SA"/>
      </w:rPr>
    </w:lvl>
    <w:lvl w:ilvl="3">
      <w:numFmt w:val="bullet"/>
      <w:lvlText w:val="•"/>
      <w:lvlJc w:val="left"/>
      <w:pPr>
        <w:ind w:left="3541" w:hanging="360"/>
      </w:pPr>
      <w:rPr>
        <w:rFonts w:hint="default"/>
        <w:lang w:val="en-US" w:eastAsia="en-US" w:bidi="ar-SA"/>
      </w:rPr>
    </w:lvl>
    <w:lvl w:ilvl="4">
      <w:numFmt w:val="bullet"/>
      <w:lvlText w:val="•"/>
      <w:lvlJc w:val="left"/>
      <w:pPr>
        <w:ind w:left="4422" w:hanging="360"/>
      </w:pPr>
      <w:rPr>
        <w:rFonts w:hint="default"/>
        <w:lang w:val="en-US" w:eastAsia="en-US" w:bidi="ar-SA"/>
      </w:rPr>
    </w:lvl>
    <w:lvl w:ilvl="5">
      <w:numFmt w:val="bullet"/>
      <w:lvlText w:val="•"/>
      <w:lvlJc w:val="left"/>
      <w:pPr>
        <w:ind w:left="5302" w:hanging="360"/>
      </w:pPr>
      <w:rPr>
        <w:rFonts w:hint="default"/>
        <w:lang w:val="en-US" w:eastAsia="en-US" w:bidi="ar-SA"/>
      </w:rPr>
    </w:lvl>
    <w:lvl w:ilvl="6">
      <w:numFmt w:val="bullet"/>
      <w:lvlText w:val="•"/>
      <w:lvlJc w:val="left"/>
      <w:pPr>
        <w:ind w:left="6183" w:hanging="360"/>
      </w:pPr>
      <w:rPr>
        <w:rFonts w:hint="default"/>
        <w:lang w:val="en-US" w:eastAsia="en-US" w:bidi="ar-SA"/>
      </w:rPr>
    </w:lvl>
    <w:lvl w:ilvl="7">
      <w:numFmt w:val="bullet"/>
      <w:lvlText w:val="•"/>
      <w:lvlJc w:val="left"/>
      <w:pPr>
        <w:ind w:left="7063" w:hanging="360"/>
      </w:pPr>
      <w:rPr>
        <w:rFonts w:hint="default"/>
        <w:lang w:val="en-US" w:eastAsia="en-US" w:bidi="ar-SA"/>
      </w:rPr>
    </w:lvl>
    <w:lvl w:ilvl="8">
      <w:numFmt w:val="bullet"/>
      <w:lvlText w:val="•"/>
      <w:lvlJc w:val="left"/>
      <w:pPr>
        <w:ind w:left="7944" w:hanging="360"/>
      </w:pPr>
      <w:rPr>
        <w:rFonts w:hint="default"/>
        <w:lang w:val="en-US" w:eastAsia="en-US" w:bidi="ar-SA"/>
      </w:rPr>
    </w:lvl>
  </w:abstractNum>
  <w:abstractNum w:abstractNumId="104" w15:restartNumberingAfterBreak="0">
    <w:nsid w:val="28865E4B"/>
    <w:multiLevelType w:val="hybridMultilevel"/>
    <w:tmpl w:val="6A666A04"/>
    <w:lvl w:ilvl="0" w:tplc="B29463DE">
      <w:numFmt w:val="bullet"/>
      <w:lvlText w:val="•"/>
      <w:lvlJc w:val="left"/>
      <w:pPr>
        <w:ind w:left="73" w:hanging="74"/>
      </w:pPr>
      <w:rPr>
        <w:rFonts w:ascii="Arial" w:eastAsia="Arial" w:hAnsi="Arial" w:cs="Arial" w:hint="default"/>
        <w:color w:val="231F20"/>
        <w:w w:val="83"/>
        <w:sz w:val="14"/>
        <w:szCs w:val="14"/>
        <w:lang w:val="en-US" w:eastAsia="en-US" w:bidi="ar-SA"/>
      </w:rPr>
    </w:lvl>
    <w:lvl w:ilvl="1" w:tplc="CB4CD2D6">
      <w:numFmt w:val="bullet"/>
      <w:lvlText w:val="•"/>
      <w:lvlJc w:val="left"/>
      <w:pPr>
        <w:ind w:left="306" w:hanging="74"/>
      </w:pPr>
      <w:rPr>
        <w:rFonts w:hint="default"/>
        <w:lang w:val="en-US" w:eastAsia="en-US" w:bidi="ar-SA"/>
      </w:rPr>
    </w:lvl>
    <w:lvl w:ilvl="2" w:tplc="D584EB92">
      <w:numFmt w:val="bullet"/>
      <w:lvlText w:val="•"/>
      <w:lvlJc w:val="left"/>
      <w:pPr>
        <w:ind w:left="532" w:hanging="74"/>
      </w:pPr>
      <w:rPr>
        <w:rFonts w:hint="default"/>
        <w:lang w:val="en-US" w:eastAsia="en-US" w:bidi="ar-SA"/>
      </w:rPr>
    </w:lvl>
    <w:lvl w:ilvl="3" w:tplc="C344A75E">
      <w:numFmt w:val="bullet"/>
      <w:lvlText w:val="•"/>
      <w:lvlJc w:val="left"/>
      <w:pPr>
        <w:ind w:left="758" w:hanging="74"/>
      </w:pPr>
      <w:rPr>
        <w:rFonts w:hint="default"/>
        <w:lang w:val="en-US" w:eastAsia="en-US" w:bidi="ar-SA"/>
      </w:rPr>
    </w:lvl>
    <w:lvl w:ilvl="4" w:tplc="4AAAE54C">
      <w:numFmt w:val="bullet"/>
      <w:lvlText w:val="•"/>
      <w:lvlJc w:val="left"/>
      <w:pPr>
        <w:ind w:left="984" w:hanging="74"/>
      </w:pPr>
      <w:rPr>
        <w:rFonts w:hint="default"/>
        <w:lang w:val="en-US" w:eastAsia="en-US" w:bidi="ar-SA"/>
      </w:rPr>
    </w:lvl>
    <w:lvl w:ilvl="5" w:tplc="1070DB64">
      <w:numFmt w:val="bullet"/>
      <w:lvlText w:val="•"/>
      <w:lvlJc w:val="left"/>
      <w:pPr>
        <w:ind w:left="1211" w:hanging="74"/>
      </w:pPr>
      <w:rPr>
        <w:rFonts w:hint="default"/>
        <w:lang w:val="en-US" w:eastAsia="en-US" w:bidi="ar-SA"/>
      </w:rPr>
    </w:lvl>
    <w:lvl w:ilvl="6" w:tplc="1D303EA6">
      <w:numFmt w:val="bullet"/>
      <w:lvlText w:val="•"/>
      <w:lvlJc w:val="left"/>
      <w:pPr>
        <w:ind w:left="1437" w:hanging="74"/>
      </w:pPr>
      <w:rPr>
        <w:rFonts w:hint="default"/>
        <w:lang w:val="en-US" w:eastAsia="en-US" w:bidi="ar-SA"/>
      </w:rPr>
    </w:lvl>
    <w:lvl w:ilvl="7" w:tplc="F5E01CCA">
      <w:numFmt w:val="bullet"/>
      <w:lvlText w:val="•"/>
      <w:lvlJc w:val="left"/>
      <w:pPr>
        <w:ind w:left="1663" w:hanging="74"/>
      </w:pPr>
      <w:rPr>
        <w:rFonts w:hint="default"/>
        <w:lang w:val="en-US" w:eastAsia="en-US" w:bidi="ar-SA"/>
      </w:rPr>
    </w:lvl>
    <w:lvl w:ilvl="8" w:tplc="BA1C4732">
      <w:numFmt w:val="bullet"/>
      <w:lvlText w:val="•"/>
      <w:lvlJc w:val="left"/>
      <w:pPr>
        <w:ind w:left="1889" w:hanging="74"/>
      </w:pPr>
      <w:rPr>
        <w:rFonts w:hint="default"/>
        <w:lang w:val="en-US" w:eastAsia="en-US" w:bidi="ar-SA"/>
      </w:rPr>
    </w:lvl>
  </w:abstractNum>
  <w:abstractNum w:abstractNumId="105" w15:restartNumberingAfterBreak="0">
    <w:nsid w:val="28A33DB5"/>
    <w:multiLevelType w:val="hybridMultilevel"/>
    <w:tmpl w:val="26DC4FC4"/>
    <w:lvl w:ilvl="0" w:tplc="79B6DF1E">
      <w:numFmt w:val="bullet"/>
      <w:lvlText w:val="•"/>
      <w:lvlJc w:val="left"/>
      <w:pPr>
        <w:ind w:left="22" w:hanging="68"/>
      </w:pPr>
      <w:rPr>
        <w:rFonts w:ascii="Arial" w:eastAsia="Arial" w:hAnsi="Arial" w:cs="Arial" w:hint="default"/>
        <w:color w:val="231F20"/>
        <w:w w:val="74"/>
        <w:sz w:val="16"/>
        <w:szCs w:val="16"/>
        <w:lang w:val="en-US" w:eastAsia="en-US" w:bidi="ar-SA"/>
      </w:rPr>
    </w:lvl>
    <w:lvl w:ilvl="1" w:tplc="0098FF84">
      <w:numFmt w:val="bullet"/>
      <w:lvlText w:val="•"/>
      <w:lvlJc w:val="left"/>
      <w:pPr>
        <w:ind w:left="254" w:hanging="68"/>
      </w:pPr>
      <w:rPr>
        <w:rFonts w:hint="default"/>
        <w:lang w:val="en-US" w:eastAsia="en-US" w:bidi="ar-SA"/>
      </w:rPr>
    </w:lvl>
    <w:lvl w:ilvl="2" w:tplc="09CAE700">
      <w:numFmt w:val="bullet"/>
      <w:lvlText w:val="•"/>
      <w:lvlJc w:val="left"/>
      <w:pPr>
        <w:ind w:left="488" w:hanging="68"/>
      </w:pPr>
      <w:rPr>
        <w:rFonts w:hint="default"/>
        <w:lang w:val="en-US" w:eastAsia="en-US" w:bidi="ar-SA"/>
      </w:rPr>
    </w:lvl>
    <w:lvl w:ilvl="3" w:tplc="6C9E5996">
      <w:numFmt w:val="bullet"/>
      <w:lvlText w:val="•"/>
      <w:lvlJc w:val="left"/>
      <w:pPr>
        <w:ind w:left="723" w:hanging="68"/>
      </w:pPr>
      <w:rPr>
        <w:rFonts w:hint="default"/>
        <w:lang w:val="en-US" w:eastAsia="en-US" w:bidi="ar-SA"/>
      </w:rPr>
    </w:lvl>
    <w:lvl w:ilvl="4" w:tplc="28F6C50C">
      <w:numFmt w:val="bullet"/>
      <w:lvlText w:val="•"/>
      <w:lvlJc w:val="left"/>
      <w:pPr>
        <w:ind w:left="957" w:hanging="68"/>
      </w:pPr>
      <w:rPr>
        <w:rFonts w:hint="default"/>
        <w:lang w:val="en-US" w:eastAsia="en-US" w:bidi="ar-SA"/>
      </w:rPr>
    </w:lvl>
    <w:lvl w:ilvl="5" w:tplc="F12EF518">
      <w:numFmt w:val="bullet"/>
      <w:lvlText w:val="•"/>
      <w:lvlJc w:val="left"/>
      <w:pPr>
        <w:ind w:left="1192" w:hanging="68"/>
      </w:pPr>
      <w:rPr>
        <w:rFonts w:hint="default"/>
        <w:lang w:val="en-US" w:eastAsia="en-US" w:bidi="ar-SA"/>
      </w:rPr>
    </w:lvl>
    <w:lvl w:ilvl="6" w:tplc="52F63330">
      <w:numFmt w:val="bullet"/>
      <w:lvlText w:val="•"/>
      <w:lvlJc w:val="left"/>
      <w:pPr>
        <w:ind w:left="1426" w:hanging="68"/>
      </w:pPr>
      <w:rPr>
        <w:rFonts w:hint="default"/>
        <w:lang w:val="en-US" w:eastAsia="en-US" w:bidi="ar-SA"/>
      </w:rPr>
    </w:lvl>
    <w:lvl w:ilvl="7" w:tplc="1EAC285A">
      <w:numFmt w:val="bullet"/>
      <w:lvlText w:val="•"/>
      <w:lvlJc w:val="left"/>
      <w:pPr>
        <w:ind w:left="1660" w:hanging="68"/>
      </w:pPr>
      <w:rPr>
        <w:rFonts w:hint="default"/>
        <w:lang w:val="en-US" w:eastAsia="en-US" w:bidi="ar-SA"/>
      </w:rPr>
    </w:lvl>
    <w:lvl w:ilvl="8" w:tplc="79089D44">
      <w:numFmt w:val="bullet"/>
      <w:lvlText w:val="•"/>
      <w:lvlJc w:val="left"/>
      <w:pPr>
        <w:ind w:left="1895" w:hanging="68"/>
      </w:pPr>
      <w:rPr>
        <w:rFonts w:hint="default"/>
        <w:lang w:val="en-US" w:eastAsia="en-US" w:bidi="ar-SA"/>
      </w:rPr>
    </w:lvl>
  </w:abstractNum>
  <w:abstractNum w:abstractNumId="106" w15:restartNumberingAfterBreak="0">
    <w:nsid w:val="292530F1"/>
    <w:multiLevelType w:val="hybridMultilevel"/>
    <w:tmpl w:val="8084C580"/>
    <w:lvl w:ilvl="0" w:tplc="68E6C596">
      <w:numFmt w:val="bullet"/>
      <w:lvlText w:val="•"/>
      <w:lvlJc w:val="left"/>
      <w:pPr>
        <w:ind w:left="25" w:hanging="80"/>
      </w:pPr>
      <w:rPr>
        <w:rFonts w:ascii="Arial" w:eastAsia="Arial" w:hAnsi="Arial" w:cs="Arial" w:hint="default"/>
        <w:color w:val="231F20"/>
        <w:w w:val="90"/>
        <w:sz w:val="14"/>
        <w:szCs w:val="14"/>
        <w:lang w:val="en-US" w:eastAsia="en-US" w:bidi="ar-SA"/>
      </w:rPr>
    </w:lvl>
    <w:lvl w:ilvl="1" w:tplc="B0E4C03E">
      <w:numFmt w:val="bullet"/>
      <w:lvlText w:val="•"/>
      <w:lvlJc w:val="left"/>
      <w:pPr>
        <w:ind w:left="270" w:hanging="80"/>
      </w:pPr>
      <w:rPr>
        <w:rFonts w:hint="default"/>
        <w:lang w:val="en-US" w:eastAsia="en-US" w:bidi="ar-SA"/>
      </w:rPr>
    </w:lvl>
    <w:lvl w:ilvl="2" w:tplc="9D06893C">
      <w:numFmt w:val="bullet"/>
      <w:lvlText w:val="•"/>
      <w:lvlJc w:val="left"/>
      <w:pPr>
        <w:ind w:left="520" w:hanging="80"/>
      </w:pPr>
      <w:rPr>
        <w:rFonts w:hint="default"/>
        <w:lang w:val="en-US" w:eastAsia="en-US" w:bidi="ar-SA"/>
      </w:rPr>
    </w:lvl>
    <w:lvl w:ilvl="3" w:tplc="63BCBF12">
      <w:numFmt w:val="bullet"/>
      <w:lvlText w:val="•"/>
      <w:lvlJc w:val="left"/>
      <w:pPr>
        <w:ind w:left="770" w:hanging="80"/>
      </w:pPr>
      <w:rPr>
        <w:rFonts w:hint="default"/>
        <w:lang w:val="en-US" w:eastAsia="en-US" w:bidi="ar-SA"/>
      </w:rPr>
    </w:lvl>
    <w:lvl w:ilvl="4" w:tplc="BC00E0A0">
      <w:numFmt w:val="bullet"/>
      <w:lvlText w:val="•"/>
      <w:lvlJc w:val="left"/>
      <w:pPr>
        <w:ind w:left="1021" w:hanging="80"/>
      </w:pPr>
      <w:rPr>
        <w:rFonts w:hint="default"/>
        <w:lang w:val="en-US" w:eastAsia="en-US" w:bidi="ar-SA"/>
      </w:rPr>
    </w:lvl>
    <w:lvl w:ilvl="5" w:tplc="E45E6580">
      <w:numFmt w:val="bullet"/>
      <w:lvlText w:val="•"/>
      <w:lvlJc w:val="left"/>
      <w:pPr>
        <w:ind w:left="1271" w:hanging="80"/>
      </w:pPr>
      <w:rPr>
        <w:rFonts w:hint="default"/>
        <w:lang w:val="en-US" w:eastAsia="en-US" w:bidi="ar-SA"/>
      </w:rPr>
    </w:lvl>
    <w:lvl w:ilvl="6" w:tplc="4C26B6CE">
      <w:numFmt w:val="bullet"/>
      <w:lvlText w:val="•"/>
      <w:lvlJc w:val="left"/>
      <w:pPr>
        <w:ind w:left="1521" w:hanging="80"/>
      </w:pPr>
      <w:rPr>
        <w:rFonts w:hint="default"/>
        <w:lang w:val="en-US" w:eastAsia="en-US" w:bidi="ar-SA"/>
      </w:rPr>
    </w:lvl>
    <w:lvl w:ilvl="7" w:tplc="AB44B950">
      <w:numFmt w:val="bullet"/>
      <w:lvlText w:val="•"/>
      <w:lvlJc w:val="left"/>
      <w:pPr>
        <w:ind w:left="1772" w:hanging="80"/>
      </w:pPr>
      <w:rPr>
        <w:rFonts w:hint="default"/>
        <w:lang w:val="en-US" w:eastAsia="en-US" w:bidi="ar-SA"/>
      </w:rPr>
    </w:lvl>
    <w:lvl w:ilvl="8" w:tplc="D56C1658">
      <w:numFmt w:val="bullet"/>
      <w:lvlText w:val="•"/>
      <w:lvlJc w:val="left"/>
      <w:pPr>
        <w:ind w:left="2022" w:hanging="80"/>
      </w:pPr>
      <w:rPr>
        <w:rFonts w:hint="default"/>
        <w:lang w:val="en-US" w:eastAsia="en-US" w:bidi="ar-SA"/>
      </w:rPr>
    </w:lvl>
  </w:abstractNum>
  <w:abstractNum w:abstractNumId="107" w15:restartNumberingAfterBreak="0">
    <w:nsid w:val="2947338B"/>
    <w:multiLevelType w:val="hybridMultilevel"/>
    <w:tmpl w:val="30A23EE8"/>
    <w:lvl w:ilvl="0" w:tplc="C68EAC62">
      <w:numFmt w:val="bullet"/>
      <w:lvlText w:val="•"/>
      <w:lvlJc w:val="left"/>
      <w:pPr>
        <w:ind w:left="29" w:hanging="75"/>
      </w:pPr>
      <w:rPr>
        <w:rFonts w:ascii="Arial" w:eastAsia="Arial" w:hAnsi="Arial" w:cs="Arial" w:hint="default"/>
        <w:color w:val="231F20"/>
        <w:w w:val="78"/>
        <w:sz w:val="15"/>
        <w:szCs w:val="15"/>
        <w:lang w:val="en-US" w:eastAsia="en-US" w:bidi="ar-SA"/>
      </w:rPr>
    </w:lvl>
    <w:lvl w:ilvl="1" w:tplc="CC86D948">
      <w:numFmt w:val="bullet"/>
      <w:lvlText w:val="•"/>
      <w:lvlJc w:val="left"/>
      <w:pPr>
        <w:ind w:left="254" w:hanging="75"/>
      </w:pPr>
      <w:rPr>
        <w:rFonts w:hint="default"/>
        <w:lang w:val="en-US" w:eastAsia="en-US" w:bidi="ar-SA"/>
      </w:rPr>
    </w:lvl>
    <w:lvl w:ilvl="2" w:tplc="3EFA8342">
      <w:numFmt w:val="bullet"/>
      <w:lvlText w:val="•"/>
      <w:lvlJc w:val="left"/>
      <w:pPr>
        <w:ind w:left="488" w:hanging="75"/>
      </w:pPr>
      <w:rPr>
        <w:rFonts w:hint="default"/>
        <w:lang w:val="en-US" w:eastAsia="en-US" w:bidi="ar-SA"/>
      </w:rPr>
    </w:lvl>
    <w:lvl w:ilvl="3" w:tplc="11F0827E">
      <w:numFmt w:val="bullet"/>
      <w:lvlText w:val="•"/>
      <w:lvlJc w:val="left"/>
      <w:pPr>
        <w:ind w:left="723" w:hanging="75"/>
      </w:pPr>
      <w:rPr>
        <w:rFonts w:hint="default"/>
        <w:lang w:val="en-US" w:eastAsia="en-US" w:bidi="ar-SA"/>
      </w:rPr>
    </w:lvl>
    <w:lvl w:ilvl="4" w:tplc="9A40203A">
      <w:numFmt w:val="bullet"/>
      <w:lvlText w:val="•"/>
      <w:lvlJc w:val="left"/>
      <w:pPr>
        <w:ind w:left="957" w:hanging="75"/>
      </w:pPr>
      <w:rPr>
        <w:rFonts w:hint="default"/>
        <w:lang w:val="en-US" w:eastAsia="en-US" w:bidi="ar-SA"/>
      </w:rPr>
    </w:lvl>
    <w:lvl w:ilvl="5" w:tplc="BBF2BC26">
      <w:numFmt w:val="bullet"/>
      <w:lvlText w:val="•"/>
      <w:lvlJc w:val="left"/>
      <w:pPr>
        <w:ind w:left="1192" w:hanging="75"/>
      </w:pPr>
      <w:rPr>
        <w:rFonts w:hint="default"/>
        <w:lang w:val="en-US" w:eastAsia="en-US" w:bidi="ar-SA"/>
      </w:rPr>
    </w:lvl>
    <w:lvl w:ilvl="6" w:tplc="954862F0">
      <w:numFmt w:val="bullet"/>
      <w:lvlText w:val="•"/>
      <w:lvlJc w:val="left"/>
      <w:pPr>
        <w:ind w:left="1426" w:hanging="75"/>
      </w:pPr>
      <w:rPr>
        <w:rFonts w:hint="default"/>
        <w:lang w:val="en-US" w:eastAsia="en-US" w:bidi="ar-SA"/>
      </w:rPr>
    </w:lvl>
    <w:lvl w:ilvl="7" w:tplc="FD58BEA0">
      <w:numFmt w:val="bullet"/>
      <w:lvlText w:val="•"/>
      <w:lvlJc w:val="left"/>
      <w:pPr>
        <w:ind w:left="1660" w:hanging="75"/>
      </w:pPr>
      <w:rPr>
        <w:rFonts w:hint="default"/>
        <w:lang w:val="en-US" w:eastAsia="en-US" w:bidi="ar-SA"/>
      </w:rPr>
    </w:lvl>
    <w:lvl w:ilvl="8" w:tplc="88102CF6">
      <w:numFmt w:val="bullet"/>
      <w:lvlText w:val="•"/>
      <w:lvlJc w:val="left"/>
      <w:pPr>
        <w:ind w:left="1895" w:hanging="75"/>
      </w:pPr>
      <w:rPr>
        <w:rFonts w:hint="default"/>
        <w:lang w:val="en-US" w:eastAsia="en-US" w:bidi="ar-SA"/>
      </w:rPr>
    </w:lvl>
  </w:abstractNum>
  <w:abstractNum w:abstractNumId="108" w15:restartNumberingAfterBreak="0">
    <w:nsid w:val="29BC4C1E"/>
    <w:multiLevelType w:val="hybridMultilevel"/>
    <w:tmpl w:val="9C2CDA82"/>
    <w:lvl w:ilvl="0" w:tplc="4E3E2150">
      <w:numFmt w:val="bullet"/>
      <w:lvlText w:val="•"/>
      <w:lvlJc w:val="left"/>
      <w:pPr>
        <w:ind w:left="24" w:hanging="43"/>
      </w:pPr>
      <w:rPr>
        <w:rFonts w:ascii="Arial" w:eastAsia="Arial" w:hAnsi="Arial" w:cs="Arial" w:hint="default"/>
        <w:color w:val="231F20"/>
        <w:w w:val="84"/>
        <w:sz w:val="12"/>
        <w:szCs w:val="12"/>
        <w:lang w:val="en-US" w:eastAsia="en-US" w:bidi="ar-SA"/>
      </w:rPr>
    </w:lvl>
    <w:lvl w:ilvl="1" w:tplc="48207AEE">
      <w:numFmt w:val="bullet"/>
      <w:lvlText w:val="•"/>
      <w:lvlJc w:val="left"/>
      <w:pPr>
        <w:ind w:left="255" w:hanging="43"/>
      </w:pPr>
      <w:rPr>
        <w:rFonts w:hint="default"/>
        <w:lang w:val="en-US" w:eastAsia="en-US" w:bidi="ar-SA"/>
      </w:rPr>
    </w:lvl>
    <w:lvl w:ilvl="2" w:tplc="95066F58">
      <w:numFmt w:val="bullet"/>
      <w:lvlText w:val="•"/>
      <w:lvlJc w:val="left"/>
      <w:pPr>
        <w:ind w:left="490" w:hanging="43"/>
      </w:pPr>
      <w:rPr>
        <w:rFonts w:hint="default"/>
        <w:lang w:val="en-US" w:eastAsia="en-US" w:bidi="ar-SA"/>
      </w:rPr>
    </w:lvl>
    <w:lvl w:ilvl="3" w:tplc="EA5EB3F6">
      <w:numFmt w:val="bullet"/>
      <w:lvlText w:val="•"/>
      <w:lvlJc w:val="left"/>
      <w:pPr>
        <w:ind w:left="726" w:hanging="43"/>
      </w:pPr>
      <w:rPr>
        <w:rFonts w:hint="default"/>
        <w:lang w:val="en-US" w:eastAsia="en-US" w:bidi="ar-SA"/>
      </w:rPr>
    </w:lvl>
    <w:lvl w:ilvl="4" w:tplc="60FE7670">
      <w:numFmt w:val="bullet"/>
      <w:lvlText w:val="•"/>
      <w:lvlJc w:val="left"/>
      <w:pPr>
        <w:ind w:left="961" w:hanging="43"/>
      </w:pPr>
      <w:rPr>
        <w:rFonts w:hint="default"/>
        <w:lang w:val="en-US" w:eastAsia="en-US" w:bidi="ar-SA"/>
      </w:rPr>
    </w:lvl>
    <w:lvl w:ilvl="5" w:tplc="034E2D1C">
      <w:numFmt w:val="bullet"/>
      <w:lvlText w:val="•"/>
      <w:lvlJc w:val="left"/>
      <w:pPr>
        <w:ind w:left="1197" w:hanging="43"/>
      </w:pPr>
      <w:rPr>
        <w:rFonts w:hint="default"/>
        <w:lang w:val="en-US" w:eastAsia="en-US" w:bidi="ar-SA"/>
      </w:rPr>
    </w:lvl>
    <w:lvl w:ilvl="6" w:tplc="DEB0B326">
      <w:numFmt w:val="bullet"/>
      <w:lvlText w:val="•"/>
      <w:lvlJc w:val="left"/>
      <w:pPr>
        <w:ind w:left="1432" w:hanging="43"/>
      </w:pPr>
      <w:rPr>
        <w:rFonts w:hint="default"/>
        <w:lang w:val="en-US" w:eastAsia="en-US" w:bidi="ar-SA"/>
      </w:rPr>
    </w:lvl>
    <w:lvl w:ilvl="7" w:tplc="56EE3FFE">
      <w:numFmt w:val="bullet"/>
      <w:lvlText w:val="•"/>
      <w:lvlJc w:val="left"/>
      <w:pPr>
        <w:ind w:left="1667" w:hanging="43"/>
      </w:pPr>
      <w:rPr>
        <w:rFonts w:hint="default"/>
        <w:lang w:val="en-US" w:eastAsia="en-US" w:bidi="ar-SA"/>
      </w:rPr>
    </w:lvl>
    <w:lvl w:ilvl="8" w:tplc="87FAE416">
      <w:numFmt w:val="bullet"/>
      <w:lvlText w:val="•"/>
      <w:lvlJc w:val="left"/>
      <w:pPr>
        <w:ind w:left="1903" w:hanging="43"/>
      </w:pPr>
      <w:rPr>
        <w:rFonts w:hint="default"/>
        <w:lang w:val="en-US" w:eastAsia="en-US" w:bidi="ar-SA"/>
      </w:rPr>
    </w:lvl>
  </w:abstractNum>
  <w:abstractNum w:abstractNumId="109" w15:restartNumberingAfterBreak="0">
    <w:nsid w:val="29C65C55"/>
    <w:multiLevelType w:val="hybridMultilevel"/>
    <w:tmpl w:val="092C5CA4"/>
    <w:lvl w:ilvl="0" w:tplc="84FAEA6A">
      <w:numFmt w:val="bullet"/>
      <w:lvlText w:val="•"/>
      <w:lvlJc w:val="left"/>
      <w:pPr>
        <w:ind w:left="27" w:hanging="79"/>
      </w:pPr>
      <w:rPr>
        <w:rFonts w:ascii="Arial" w:eastAsia="Arial" w:hAnsi="Arial" w:cs="Arial" w:hint="default"/>
        <w:color w:val="231F20"/>
        <w:w w:val="73"/>
        <w:sz w:val="17"/>
        <w:szCs w:val="17"/>
        <w:lang w:val="en-US" w:eastAsia="en-US" w:bidi="ar-SA"/>
      </w:rPr>
    </w:lvl>
    <w:lvl w:ilvl="1" w:tplc="95E4F70A">
      <w:numFmt w:val="bullet"/>
      <w:lvlText w:val="•"/>
      <w:lvlJc w:val="left"/>
      <w:pPr>
        <w:ind w:left="268" w:hanging="79"/>
      </w:pPr>
      <w:rPr>
        <w:rFonts w:hint="default"/>
        <w:lang w:val="en-US" w:eastAsia="en-US" w:bidi="ar-SA"/>
      </w:rPr>
    </w:lvl>
    <w:lvl w:ilvl="2" w:tplc="BF2EC506">
      <w:numFmt w:val="bullet"/>
      <w:lvlText w:val="•"/>
      <w:lvlJc w:val="left"/>
      <w:pPr>
        <w:ind w:left="517" w:hanging="79"/>
      </w:pPr>
      <w:rPr>
        <w:rFonts w:hint="default"/>
        <w:lang w:val="en-US" w:eastAsia="en-US" w:bidi="ar-SA"/>
      </w:rPr>
    </w:lvl>
    <w:lvl w:ilvl="3" w:tplc="2D28CA26">
      <w:numFmt w:val="bullet"/>
      <w:lvlText w:val="•"/>
      <w:lvlJc w:val="left"/>
      <w:pPr>
        <w:ind w:left="766" w:hanging="79"/>
      </w:pPr>
      <w:rPr>
        <w:rFonts w:hint="default"/>
        <w:lang w:val="en-US" w:eastAsia="en-US" w:bidi="ar-SA"/>
      </w:rPr>
    </w:lvl>
    <w:lvl w:ilvl="4" w:tplc="AC7EE722">
      <w:numFmt w:val="bullet"/>
      <w:lvlText w:val="•"/>
      <w:lvlJc w:val="left"/>
      <w:pPr>
        <w:ind w:left="1014" w:hanging="79"/>
      </w:pPr>
      <w:rPr>
        <w:rFonts w:hint="default"/>
        <w:lang w:val="en-US" w:eastAsia="en-US" w:bidi="ar-SA"/>
      </w:rPr>
    </w:lvl>
    <w:lvl w:ilvl="5" w:tplc="9BA48998">
      <w:numFmt w:val="bullet"/>
      <w:lvlText w:val="•"/>
      <w:lvlJc w:val="left"/>
      <w:pPr>
        <w:ind w:left="1263" w:hanging="79"/>
      </w:pPr>
      <w:rPr>
        <w:rFonts w:hint="default"/>
        <w:lang w:val="en-US" w:eastAsia="en-US" w:bidi="ar-SA"/>
      </w:rPr>
    </w:lvl>
    <w:lvl w:ilvl="6" w:tplc="2CE4A25E">
      <w:numFmt w:val="bullet"/>
      <w:lvlText w:val="•"/>
      <w:lvlJc w:val="left"/>
      <w:pPr>
        <w:ind w:left="1512" w:hanging="79"/>
      </w:pPr>
      <w:rPr>
        <w:rFonts w:hint="default"/>
        <w:lang w:val="en-US" w:eastAsia="en-US" w:bidi="ar-SA"/>
      </w:rPr>
    </w:lvl>
    <w:lvl w:ilvl="7" w:tplc="69460EE6">
      <w:numFmt w:val="bullet"/>
      <w:lvlText w:val="•"/>
      <w:lvlJc w:val="left"/>
      <w:pPr>
        <w:ind w:left="1760" w:hanging="79"/>
      </w:pPr>
      <w:rPr>
        <w:rFonts w:hint="default"/>
        <w:lang w:val="en-US" w:eastAsia="en-US" w:bidi="ar-SA"/>
      </w:rPr>
    </w:lvl>
    <w:lvl w:ilvl="8" w:tplc="0C9C2DDE">
      <w:numFmt w:val="bullet"/>
      <w:lvlText w:val="•"/>
      <w:lvlJc w:val="left"/>
      <w:pPr>
        <w:ind w:left="2009" w:hanging="79"/>
      </w:pPr>
      <w:rPr>
        <w:rFonts w:hint="default"/>
        <w:lang w:val="en-US" w:eastAsia="en-US" w:bidi="ar-SA"/>
      </w:rPr>
    </w:lvl>
  </w:abstractNum>
  <w:abstractNum w:abstractNumId="110" w15:restartNumberingAfterBreak="0">
    <w:nsid w:val="29EA26E5"/>
    <w:multiLevelType w:val="hybridMultilevel"/>
    <w:tmpl w:val="C8C0FC54"/>
    <w:lvl w:ilvl="0" w:tplc="C4F09D0E">
      <w:numFmt w:val="bullet"/>
      <w:lvlText w:val="•"/>
      <w:lvlJc w:val="left"/>
      <w:pPr>
        <w:ind w:left="26" w:hanging="76"/>
      </w:pPr>
      <w:rPr>
        <w:rFonts w:ascii="Arial" w:eastAsia="Arial" w:hAnsi="Arial" w:cs="Arial" w:hint="default"/>
        <w:color w:val="231F20"/>
        <w:w w:val="70"/>
        <w:sz w:val="17"/>
        <w:szCs w:val="17"/>
        <w:lang w:val="en-US" w:eastAsia="en-US" w:bidi="ar-SA"/>
      </w:rPr>
    </w:lvl>
    <w:lvl w:ilvl="1" w:tplc="C8DE7FDE">
      <w:numFmt w:val="bullet"/>
      <w:lvlText w:val="•"/>
      <w:lvlJc w:val="left"/>
      <w:pPr>
        <w:ind w:left="258" w:hanging="76"/>
      </w:pPr>
      <w:rPr>
        <w:rFonts w:hint="default"/>
        <w:lang w:val="en-US" w:eastAsia="en-US" w:bidi="ar-SA"/>
      </w:rPr>
    </w:lvl>
    <w:lvl w:ilvl="2" w:tplc="F31AC6A0">
      <w:numFmt w:val="bullet"/>
      <w:lvlText w:val="•"/>
      <w:lvlJc w:val="left"/>
      <w:pPr>
        <w:ind w:left="497" w:hanging="76"/>
      </w:pPr>
      <w:rPr>
        <w:rFonts w:hint="default"/>
        <w:lang w:val="en-US" w:eastAsia="en-US" w:bidi="ar-SA"/>
      </w:rPr>
    </w:lvl>
    <w:lvl w:ilvl="3" w:tplc="7D2C820E">
      <w:numFmt w:val="bullet"/>
      <w:lvlText w:val="•"/>
      <w:lvlJc w:val="left"/>
      <w:pPr>
        <w:ind w:left="735" w:hanging="76"/>
      </w:pPr>
      <w:rPr>
        <w:rFonts w:hint="default"/>
        <w:lang w:val="en-US" w:eastAsia="en-US" w:bidi="ar-SA"/>
      </w:rPr>
    </w:lvl>
    <w:lvl w:ilvl="4" w:tplc="CEA2A18C">
      <w:numFmt w:val="bullet"/>
      <w:lvlText w:val="•"/>
      <w:lvlJc w:val="left"/>
      <w:pPr>
        <w:ind w:left="974" w:hanging="76"/>
      </w:pPr>
      <w:rPr>
        <w:rFonts w:hint="default"/>
        <w:lang w:val="en-US" w:eastAsia="en-US" w:bidi="ar-SA"/>
      </w:rPr>
    </w:lvl>
    <w:lvl w:ilvl="5" w:tplc="0BBECA24">
      <w:numFmt w:val="bullet"/>
      <w:lvlText w:val="•"/>
      <w:lvlJc w:val="left"/>
      <w:pPr>
        <w:ind w:left="1213" w:hanging="76"/>
      </w:pPr>
      <w:rPr>
        <w:rFonts w:hint="default"/>
        <w:lang w:val="en-US" w:eastAsia="en-US" w:bidi="ar-SA"/>
      </w:rPr>
    </w:lvl>
    <w:lvl w:ilvl="6" w:tplc="7A98757A">
      <w:numFmt w:val="bullet"/>
      <w:lvlText w:val="•"/>
      <w:lvlJc w:val="left"/>
      <w:pPr>
        <w:ind w:left="1451" w:hanging="76"/>
      </w:pPr>
      <w:rPr>
        <w:rFonts w:hint="default"/>
        <w:lang w:val="en-US" w:eastAsia="en-US" w:bidi="ar-SA"/>
      </w:rPr>
    </w:lvl>
    <w:lvl w:ilvl="7" w:tplc="2D94F1AC">
      <w:numFmt w:val="bullet"/>
      <w:lvlText w:val="•"/>
      <w:lvlJc w:val="left"/>
      <w:pPr>
        <w:ind w:left="1690" w:hanging="76"/>
      </w:pPr>
      <w:rPr>
        <w:rFonts w:hint="default"/>
        <w:lang w:val="en-US" w:eastAsia="en-US" w:bidi="ar-SA"/>
      </w:rPr>
    </w:lvl>
    <w:lvl w:ilvl="8" w:tplc="E910945A">
      <w:numFmt w:val="bullet"/>
      <w:lvlText w:val="•"/>
      <w:lvlJc w:val="left"/>
      <w:pPr>
        <w:ind w:left="1928" w:hanging="76"/>
      </w:pPr>
      <w:rPr>
        <w:rFonts w:hint="default"/>
        <w:lang w:val="en-US" w:eastAsia="en-US" w:bidi="ar-SA"/>
      </w:rPr>
    </w:lvl>
  </w:abstractNum>
  <w:abstractNum w:abstractNumId="111" w15:restartNumberingAfterBreak="0">
    <w:nsid w:val="2A14710B"/>
    <w:multiLevelType w:val="hybridMultilevel"/>
    <w:tmpl w:val="1B06FE8E"/>
    <w:lvl w:ilvl="0" w:tplc="44D88FAE">
      <w:start w:val="3"/>
      <w:numFmt w:val="lowerLetter"/>
      <w:lvlText w:val="%1."/>
      <w:lvlJc w:val="left"/>
      <w:pPr>
        <w:ind w:left="863" w:hanging="720"/>
      </w:pPr>
      <w:rPr>
        <w:rFonts w:ascii="Arial" w:eastAsia="Arial" w:hAnsi="Arial" w:cs="Arial" w:hint="default"/>
        <w:b/>
        <w:bCs/>
        <w:color w:val="231F20"/>
        <w:spacing w:val="-25"/>
        <w:w w:val="99"/>
        <w:sz w:val="22"/>
        <w:szCs w:val="22"/>
        <w:lang w:val="en-US" w:eastAsia="en-US" w:bidi="ar-SA"/>
      </w:rPr>
    </w:lvl>
    <w:lvl w:ilvl="1" w:tplc="74963B34">
      <w:numFmt w:val="bullet"/>
      <w:lvlText w:val="•"/>
      <w:lvlJc w:val="left"/>
      <w:pPr>
        <w:ind w:left="1744" w:hanging="720"/>
      </w:pPr>
      <w:rPr>
        <w:rFonts w:hint="default"/>
        <w:lang w:val="en-US" w:eastAsia="en-US" w:bidi="ar-SA"/>
      </w:rPr>
    </w:lvl>
    <w:lvl w:ilvl="2" w:tplc="9CE463A4">
      <w:numFmt w:val="bullet"/>
      <w:lvlText w:val="•"/>
      <w:lvlJc w:val="left"/>
      <w:pPr>
        <w:ind w:left="2629" w:hanging="720"/>
      </w:pPr>
      <w:rPr>
        <w:rFonts w:hint="default"/>
        <w:lang w:val="en-US" w:eastAsia="en-US" w:bidi="ar-SA"/>
      </w:rPr>
    </w:lvl>
    <w:lvl w:ilvl="3" w:tplc="F99C5944">
      <w:numFmt w:val="bullet"/>
      <w:lvlText w:val="•"/>
      <w:lvlJc w:val="left"/>
      <w:pPr>
        <w:ind w:left="3513" w:hanging="720"/>
      </w:pPr>
      <w:rPr>
        <w:rFonts w:hint="default"/>
        <w:lang w:val="en-US" w:eastAsia="en-US" w:bidi="ar-SA"/>
      </w:rPr>
    </w:lvl>
    <w:lvl w:ilvl="4" w:tplc="EEF26814">
      <w:numFmt w:val="bullet"/>
      <w:lvlText w:val="•"/>
      <w:lvlJc w:val="left"/>
      <w:pPr>
        <w:ind w:left="4398" w:hanging="720"/>
      </w:pPr>
      <w:rPr>
        <w:rFonts w:hint="default"/>
        <w:lang w:val="en-US" w:eastAsia="en-US" w:bidi="ar-SA"/>
      </w:rPr>
    </w:lvl>
    <w:lvl w:ilvl="5" w:tplc="60D65A08">
      <w:numFmt w:val="bullet"/>
      <w:lvlText w:val="•"/>
      <w:lvlJc w:val="left"/>
      <w:pPr>
        <w:ind w:left="5282" w:hanging="720"/>
      </w:pPr>
      <w:rPr>
        <w:rFonts w:hint="default"/>
        <w:lang w:val="en-US" w:eastAsia="en-US" w:bidi="ar-SA"/>
      </w:rPr>
    </w:lvl>
    <w:lvl w:ilvl="6" w:tplc="49EA104A">
      <w:numFmt w:val="bullet"/>
      <w:lvlText w:val="•"/>
      <w:lvlJc w:val="left"/>
      <w:pPr>
        <w:ind w:left="6167" w:hanging="720"/>
      </w:pPr>
      <w:rPr>
        <w:rFonts w:hint="default"/>
        <w:lang w:val="en-US" w:eastAsia="en-US" w:bidi="ar-SA"/>
      </w:rPr>
    </w:lvl>
    <w:lvl w:ilvl="7" w:tplc="3FC02752">
      <w:numFmt w:val="bullet"/>
      <w:lvlText w:val="•"/>
      <w:lvlJc w:val="left"/>
      <w:pPr>
        <w:ind w:left="7051" w:hanging="720"/>
      </w:pPr>
      <w:rPr>
        <w:rFonts w:hint="default"/>
        <w:lang w:val="en-US" w:eastAsia="en-US" w:bidi="ar-SA"/>
      </w:rPr>
    </w:lvl>
    <w:lvl w:ilvl="8" w:tplc="C22A655A">
      <w:numFmt w:val="bullet"/>
      <w:lvlText w:val="•"/>
      <w:lvlJc w:val="left"/>
      <w:pPr>
        <w:ind w:left="7936" w:hanging="720"/>
      </w:pPr>
      <w:rPr>
        <w:rFonts w:hint="default"/>
        <w:lang w:val="en-US" w:eastAsia="en-US" w:bidi="ar-SA"/>
      </w:rPr>
    </w:lvl>
  </w:abstractNum>
  <w:abstractNum w:abstractNumId="112" w15:restartNumberingAfterBreak="0">
    <w:nsid w:val="2A3F6212"/>
    <w:multiLevelType w:val="hybridMultilevel"/>
    <w:tmpl w:val="327E5CA4"/>
    <w:lvl w:ilvl="0" w:tplc="5E961E24">
      <w:start w:val="1"/>
      <w:numFmt w:val="decimal"/>
      <w:lvlText w:val="%1."/>
      <w:lvlJc w:val="left"/>
      <w:pPr>
        <w:ind w:left="894" w:hanging="360"/>
      </w:pPr>
      <w:rPr>
        <w:rFonts w:ascii="Arial" w:eastAsia="Arial" w:hAnsi="Arial" w:cs="Arial" w:hint="default"/>
        <w:color w:val="231F20"/>
        <w:spacing w:val="-22"/>
        <w:w w:val="99"/>
        <w:sz w:val="22"/>
        <w:szCs w:val="22"/>
        <w:lang w:val="en-US" w:eastAsia="en-US" w:bidi="ar-SA"/>
      </w:rPr>
    </w:lvl>
    <w:lvl w:ilvl="1" w:tplc="BFD83406">
      <w:numFmt w:val="bullet"/>
      <w:lvlText w:val="•"/>
      <w:lvlJc w:val="left"/>
      <w:pPr>
        <w:ind w:left="1780" w:hanging="360"/>
      </w:pPr>
      <w:rPr>
        <w:rFonts w:hint="default"/>
        <w:lang w:val="en-US" w:eastAsia="en-US" w:bidi="ar-SA"/>
      </w:rPr>
    </w:lvl>
    <w:lvl w:ilvl="2" w:tplc="46D0316E">
      <w:numFmt w:val="bullet"/>
      <w:lvlText w:val="•"/>
      <w:lvlJc w:val="left"/>
      <w:pPr>
        <w:ind w:left="2661" w:hanging="360"/>
      </w:pPr>
      <w:rPr>
        <w:rFonts w:hint="default"/>
        <w:lang w:val="en-US" w:eastAsia="en-US" w:bidi="ar-SA"/>
      </w:rPr>
    </w:lvl>
    <w:lvl w:ilvl="3" w:tplc="B8D0832E">
      <w:numFmt w:val="bullet"/>
      <w:lvlText w:val="•"/>
      <w:lvlJc w:val="left"/>
      <w:pPr>
        <w:ind w:left="3541" w:hanging="360"/>
      </w:pPr>
      <w:rPr>
        <w:rFonts w:hint="default"/>
        <w:lang w:val="en-US" w:eastAsia="en-US" w:bidi="ar-SA"/>
      </w:rPr>
    </w:lvl>
    <w:lvl w:ilvl="4" w:tplc="ED64A428">
      <w:numFmt w:val="bullet"/>
      <w:lvlText w:val="•"/>
      <w:lvlJc w:val="left"/>
      <w:pPr>
        <w:ind w:left="4422" w:hanging="360"/>
      </w:pPr>
      <w:rPr>
        <w:rFonts w:hint="default"/>
        <w:lang w:val="en-US" w:eastAsia="en-US" w:bidi="ar-SA"/>
      </w:rPr>
    </w:lvl>
    <w:lvl w:ilvl="5" w:tplc="2C7CEC96">
      <w:numFmt w:val="bullet"/>
      <w:lvlText w:val="•"/>
      <w:lvlJc w:val="left"/>
      <w:pPr>
        <w:ind w:left="5302" w:hanging="360"/>
      </w:pPr>
      <w:rPr>
        <w:rFonts w:hint="default"/>
        <w:lang w:val="en-US" w:eastAsia="en-US" w:bidi="ar-SA"/>
      </w:rPr>
    </w:lvl>
    <w:lvl w:ilvl="6" w:tplc="E5602DCC">
      <w:numFmt w:val="bullet"/>
      <w:lvlText w:val="•"/>
      <w:lvlJc w:val="left"/>
      <w:pPr>
        <w:ind w:left="6183" w:hanging="360"/>
      </w:pPr>
      <w:rPr>
        <w:rFonts w:hint="default"/>
        <w:lang w:val="en-US" w:eastAsia="en-US" w:bidi="ar-SA"/>
      </w:rPr>
    </w:lvl>
    <w:lvl w:ilvl="7" w:tplc="6C64B1EA">
      <w:numFmt w:val="bullet"/>
      <w:lvlText w:val="•"/>
      <w:lvlJc w:val="left"/>
      <w:pPr>
        <w:ind w:left="7063" w:hanging="360"/>
      </w:pPr>
      <w:rPr>
        <w:rFonts w:hint="default"/>
        <w:lang w:val="en-US" w:eastAsia="en-US" w:bidi="ar-SA"/>
      </w:rPr>
    </w:lvl>
    <w:lvl w:ilvl="8" w:tplc="FB0A4688">
      <w:numFmt w:val="bullet"/>
      <w:lvlText w:val="•"/>
      <w:lvlJc w:val="left"/>
      <w:pPr>
        <w:ind w:left="7944" w:hanging="360"/>
      </w:pPr>
      <w:rPr>
        <w:rFonts w:hint="default"/>
        <w:lang w:val="en-US" w:eastAsia="en-US" w:bidi="ar-SA"/>
      </w:rPr>
    </w:lvl>
  </w:abstractNum>
  <w:abstractNum w:abstractNumId="113" w15:restartNumberingAfterBreak="0">
    <w:nsid w:val="2A733BAF"/>
    <w:multiLevelType w:val="hybridMultilevel"/>
    <w:tmpl w:val="B26C5904"/>
    <w:lvl w:ilvl="0" w:tplc="52FC0370">
      <w:numFmt w:val="bullet"/>
      <w:lvlText w:val="•"/>
      <w:lvlJc w:val="left"/>
      <w:pPr>
        <w:ind w:left="27" w:hanging="79"/>
      </w:pPr>
      <w:rPr>
        <w:rFonts w:ascii="Arial" w:eastAsia="Arial" w:hAnsi="Arial" w:cs="Arial" w:hint="default"/>
        <w:color w:val="231F20"/>
        <w:w w:val="73"/>
        <w:sz w:val="17"/>
        <w:szCs w:val="17"/>
        <w:lang w:val="en-US" w:eastAsia="en-US" w:bidi="ar-SA"/>
      </w:rPr>
    </w:lvl>
    <w:lvl w:ilvl="1" w:tplc="560CA376">
      <w:numFmt w:val="bullet"/>
      <w:lvlText w:val="•"/>
      <w:lvlJc w:val="left"/>
      <w:pPr>
        <w:ind w:left="268" w:hanging="79"/>
      </w:pPr>
      <w:rPr>
        <w:rFonts w:hint="default"/>
        <w:lang w:val="en-US" w:eastAsia="en-US" w:bidi="ar-SA"/>
      </w:rPr>
    </w:lvl>
    <w:lvl w:ilvl="2" w:tplc="6E620E6C">
      <w:numFmt w:val="bullet"/>
      <w:lvlText w:val="•"/>
      <w:lvlJc w:val="left"/>
      <w:pPr>
        <w:ind w:left="517" w:hanging="79"/>
      </w:pPr>
      <w:rPr>
        <w:rFonts w:hint="default"/>
        <w:lang w:val="en-US" w:eastAsia="en-US" w:bidi="ar-SA"/>
      </w:rPr>
    </w:lvl>
    <w:lvl w:ilvl="3" w:tplc="940E7E36">
      <w:numFmt w:val="bullet"/>
      <w:lvlText w:val="•"/>
      <w:lvlJc w:val="left"/>
      <w:pPr>
        <w:ind w:left="766" w:hanging="79"/>
      </w:pPr>
      <w:rPr>
        <w:rFonts w:hint="default"/>
        <w:lang w:val="en-US" w:eastAsia="en-US" w:bidi="ar-SA"/>
      </w:rPr>
    </w:lvl>
    <w:lvl w:ilvl="4" w:tplc="75FE26AC">
      <w:numFmt w:val="bullet"/>
      <w:lvlText w:val="•"/>
      <w:lvlJc w:val="left"/>
      <w:pPr>
        <w:ind w:left="1014" w:hanging="79"/>
      </w:pPr>
      <w:rPr>
        <w:rFonts w:hint="default"/>
        <w:lang w:val="en-US" w:eastAsia="en-US" w:bidi="ar-SA"/>
      </w:rPr>
    </w:lvl>
    <w:lvl w:ilvl="5" w:tplc="1B10737A">
      <w:numFmt w:val="bullet"/>
      <w:lvlText w:val="•"/>
      <w:lvlJc w:val="left"/>
      <w:pPr>
        <w:ind w:left="1263" w:hanging="79"/>
      </w:pPr>
      <w:rPr>
        <w:rFonts w:hint="default"/>
        <w:lang w:val="en-US" w:eastAsia="en-US" w:bidi="ar-SA"/>
      </w:rPr>
    </w:lvl>
    <w:lvl w:ilvl="6" w:tplc="70F4ABE0">
      <w:numFmt w:val="bullet"/>
      <w:lvlText w:val="•"/>
      <w:lvlJc w:val="left"/>
      <w:pPr>
        <w:ind w:left="1512" w:hanging="79"/>
      </w:pPr>
      <w:rPr>
        <w:rFonts w:hint="default"/>
        <w:lang w:val="en-US" w:eastAsia="en-US" w:bidi="ar-SA"/>
      </w:rPr>
    </w:lvl>
    <w:lvl w:ilvl="7" w:tplc="5D201394">
      <w:numFmt w:val="bullet"/>
      <w:lvlText w:val="•"/>
      <w:lvlJc w:val="left"/>
      <w:pPr>
        <w:ind w:left="1760" w:hanging="79"/>
      </w:pPr>
      <w:rPr>
        <w:rFonts w:hint="default"/>
        <w:lang w:val="en-US" w:eastAsia="en-US" w:bidi="ar-SA"/>
      </w:rPr>
    </w:lvl>
    <w:lvl w:ilvl="8" w:tplc="6A2CB026">
      <w:numFmt w:val="bullet"/>
      <w:lvlText w:val="•"/>
      <w:lvlJc w:val="left"/>
      <w:pPr>
        <w:ind w:left="2009" w:hanging="79"/>
      </w:pPr>
      <w:rPr>
        <w:rFonts w:hint="default"/>
        <w:lang w:val="en-US" w:eastAsia="en-US" w:bidi="ar-SA"/>
      </w:rPr>
    </w:lvl>
  </w:abstractNum>
  <w:abstractNum w:abstractNumId="114" w15:restartNumberingAfterBreak="0">
    <w:nsid w:val="2B4D67C5"/>
    <w:multiLevelType w:val="hybridMultilevel"/>
    <w:tmpl w:val="70D4EF54"/>
    <w:lvl w:ilvl="0" w:tplc="08445F92">
      <w:numFmt w:val="bullet"/>
      <w:lvlText w:val="•"/>
      <w:lvlJc w:val="left"/>
      <w:pPr>
        <w:ind w:left="28" w:hanging="79"/>
      </w:pPr>
      <w:rPr>
        <w:rFonts w:ascii="Arial" w:eastAsia="Arial" w:hAnsi="Arial" w:cs="Arial" w:hint="default"/>
        <w:color w:val="231F20"/>
        <w:w w:val="89"/>
        <w:sz w:val="14"/>
        <w:szCs w:val="14"/>
        <w:lang w:val="en-US" w:eastAsia="en-US" w:bidi="ar-SA"/>
      </w:rPr>
    </w:lvl>
    <w:lvl w:ilvl="1" w:tplc="FC3AF34E">
      <w:numFmt w:val="bullet"/>
      <w:lvlText w:val="•"/>
      <w:lvlJc w:val="left"/>
      <w:pPr>
        <w:ind w:left="267" w:hanging="79"/>
      </w:pPr>
      <w:rPr>
        <w:rFonts w:hint="default"/>
        <w:lang w:val="en-US" w:eastAsia="en-US" w:bidi="ar-SA"/>
      </w:rPr>
    </w:lvl>
    <w:lvl w:ilvl="2" w:tplc="B278543C">
      <w:numFmt w:val="bullet"/>
      <w:lvlText w:val="•"/>
      <w:lvlJc w:val="left"/>
      <w:pPr>
        <w:ind w:left="514" w:hanging="79"/>
      </w:pPr>
      <w:rPr>
        <w:rFonts w:hint="default"/>
        <w:lang w:val="en-US" w:eastAsia="en-US" w:bidi="ar-SA"/>
      </w:rPr>
    </w:lvl>
    <w:lvl w:ilvl="3" w:tplc="10607B72">
      <w:numFmt w:val="bullet"/>
      <w:lvlText w:val="•"/>
      <w:lvlJc w:val="left"/>
      <w:pPr>
        <w:ind w:left="761" w:hanging="79"/>
      </w:pPr>
      <w:rPr>
        <w:rFonts w:hint="default"/>
        <w:lang w:val="en-US" w:eastAsia="en-US" w:bidi="ar-SA"/>
      </w:rPr>
    </w:lvl>
    <w:lvl w:ilvl="4" w:tplc="418275AC">
      <w:numFmt w:val="bullet"/>
      <w:lvlText w:val="•"/>
      <w:lvlJc w:val="left"/>
      <w:pPr>
        <w:ind w:left="1009" w:hanging="79"/>
      </w:pPr>
      <w:rPr>
        <w:rFonts w:hint="default"/>
        <w:lang w:val="en-US" w:eastAsia="en-US" w:bidi="ar-SA"/>
      </w:rPr>
    </w:lvl>
    <w:lvl w:ilvl="5" w:tplc="C904388E">
      <w:numFmt w:val="bullet"/>
      <w:lvlText w:val="•"/>
      <w:lvlJc w:val="left"/>
      <w:pPr>
        <w:ind w:left="1256" w:hanging="79"/>
      </w:pPr>
      <w:rPr>
        <w:rFonts w:hint="default"/>
        <w:lang w:val="en-US" w:eastAsia="en-US" w:bidi="ar-SA"/>
      </w:rPr>
    </w:lvl>
    <w:lvl w:ilvl="6" w:tplc="22AC7494">
      <w:numFmt w:val="bullet"/>
      <w:lvlText w:val="•"/>
      <w:lvlJc w:val="left"/>
      <w:pPr>
        <w:ind w:left="1503" w:hanging="79"/>
      </w:pPr>
      <w:rPr>
        <w:rFonts w:hint="default"/>
        <w:lang w:val="en-US" w:eastAsia="en-US" w:bidi="ar-SA"/>
      </w:rPr>
    </w:lvl>
    <w:lvl w:ilvl="7" w:tplc="C97AD344">
      <w:numFmt w:val="bullet"/>
      <w:lvlText w:val="•"/>
      <w:lvlJc w:val="left"/>
      <w:pPr>
        <w:ind w:left="1751" w:hanging="79"/>
      </w:pPr>
      <w:rPr>
        <w:rFonts w:hint="default"/>
        <w:lang w:val="en-US" w:eastAsia="en-US" w:bidi="ar-SA"/>
      </w:rPr>
    </w:lvl>
    <w:lvl w:ilvl="8" w:tplc="8368B310">
      <w:numFmt w:val="bullet"/>
      <w:lvlText w:val="•"/>
      <w:lvlJc w:val="left"/>
      <w:pPr>
        <w:ind w:left="1998" w:hanging="79"/>
      </w:pPr>
      <w:rPr>
        <w:rFonts w:hint="default"/>
        <w:lang w:val="en-US" w:eastAsia="en-US" w:bidi="ar-SA"/>
      </w:rPr>
    </w:lvl>
  </w:abstractNum>
  <w:abstractNum w:abstractNumId="115" w15:restartNumberingAfterBreak="0">
    <w:nsid w:val="2B657F6D"/>
    <w:multiLevelType w:val="hybridMultilevel"/>
    <w:tmpl w:val="97F62EFC"/>
    <w:lvl w:ilvl="0" w:tplc="DC64AB5A">
      <w:numFmt w:val="bullet"/>
      <w:lvlText w:val="•"/>
      <w:lvlJc w:val="left"/>
      <w:pPr>
        <w:ind w:left="27" w:hanging="79"/>
      </w:pPr>
      <w:rPr>
        <w:rFonts w:ascii="Arial" w:eastAsia="Arial" w:hAnsi="Arial" w:cs="Arial" w:hint="default"/>
        <w:color w:val="231F20"/>
        <w:w w:val="104"/>
        <w:sz w:val="12"/>
        <w:szCs w:val="12"/>
        <w:lang w:val="en-US" w:eastAsia="en-US" w:bidi="ar-SA"/>
      </w:rPr>
    </w:lvl>
    <w:lvl w:ilvl="1" w:tplc="0E985F6A">
      <w:numFmt w:val="bullet"/>
      <w:lvlText w:val="•"/>
      <w:lvlJc w:val="left"/>
      <w:pPr>
        <w:ind w:left="267" w:hanging="79"/>
      </w:pPr>
      <w:rPr>
        <w:rFonts w:hint="default"/>
        <w:lang w:val="en-US" w:eastAsia="en-US" w:bidi="ar-SA"/>
      </w:rPr>
    </w:lvl>
    <w:lvl w:ilvl="2" w:tplc="E4E82630">
      <w:numFmt w:val="bullet"/>
      <w:lvlText w:val="•"/>
      <w:lvlJc w:val="left"/>
      <w:pPr>
        <w:ind w:left="515" w:hanging="79"/>
      </w:pPr>
      <w:rPr>
        <w:rFonts w:hint="default"/>
        <w:lang w:val="en-US" w:eastAsia="en-US" w:bidi="ar-SA"/>
      </w:rPr>
    </w:lvl>
    <w:lvl w:ilvl="3" w:tplc="76B6986E">
      <w:numFmt w:val="bullet"/>
      <w:lvlText w:val="•"/>
      <w:lvlJc w:val="left"/>
      <w:pPr>
        <w:ind w:left="763" w:hanging="79"/>
      </w:pPr>
      <w:rPr>
        <w:rFonts w:hint="default"/>
        <w:lang w:val="en-US" w:eastAsia="en-US" w:bidi="ar-SA"/>
      </w:rPr>
    </w:lvl>
    <w:lvl w:ilvl="4" w:tplc="33BE5AEC">
      <w:numFmt w:val="bullet"/>
      <w:lvlText w:val="•"/>
      <w:lvlJc w:val="left"/>
      <w:pPr>
        <w:ind w:left="1010" w:hanging="79"/>
      </w:pPr>
      <w:rPr>
        <w:rFonts w:hint="default"/>
        <w:lang w:val="en-US" w:eastAsia="en-US" w:bidi="ar-SA"/>
      </w:rPr>
    </w:lvl>
    <w:lvl w:ilvl="5" w:tplc="797ADDEA">
      <w:numFmt w:val="bullet"/>
      <w:lvlText w:val="•"/>
      <w:lvlJc w:val="left"/>
      <w:pPr>
        <w:ind w:left="1258" w:hanging="79"/>
      </w:pPr>
      <w:rPr>
        <w:rFonts w:hint="default"/>
        <w:lang w:val="en-US" w:eastAsia="en-US" w:bidi="ar-SA"/>
      </w:rPr>
    </w:lvl>
    <w:lvl w:ilvl="6" w:tplc="D43EDDD6">
      <w:numFmt w:val="bullet"/>
      <w:lvlText w:val="•"/>
      <w:lvlJc w:val="left"/>
      <w:pPr>
        <w:ind w:left="1506" w:hanging="79"/>
      </w:pPr>
      <w:rPr>
        <w:rFonts w:hint="default"/>
        <w:lang w:val="en-US" w:eastAsia="en-US" w:bidi="ar-SA"/>
      </w:rPr>
    </w:lvl>
    <w:lvl w:ilvl="7" w:tplc="002AB872">
      <w:numFmt w:val="bullet"/>
      <w:lvlText w:val="•"/>
      <w:lvlJc w:val="left"/>
      <w:pPr>
        <w:ind w:left="1753" w:hanging="79"/>
      </w:pPr>
      <w:rPr>
        <w:rFonts w:hint="default"/>
        <w:lang w:val="en-US" w:eastAsia="en-US" w:bidi="ar-SA"/>
      </w:rPr>
    </w:lvl>
    <w:lvl w:ilvl="8" w:tplc="7366ABA2">
      <w:numFmt w:val="bullet"/>
      <w:lvlText w:val="•"/>
      <w:lvlJc w:val="left"/>
      <w:pPr>
        <w:ind w:left="2001" w:hanging="79"/>
      </w:pPr>
      <w:rPr>
        <w:rFonts w:hint="default"/>
        <w:lang w:val="en-US" w:eastAsia="en-US" w:bidi="ar-SA"/>
      </w:rPr>
    </w:lvl>
  </w:abstractNum>
  <w:abstractNum w:abstractNumId="116" w15:restartNumberingAfterBreak="0">
    <w:nsid w:val="2B6C7F30"/>
    <w:multiLevelType w:val="hybridMultilevel"/>
    <w:tmpl w:val="3EA6DA26"/>
    <w:lvl w:ilvl="0" w:tplc="7E760F74">
      <w:numFmt w:val="bullet"/>
      <w:lvlText w:val="•"/>
      <w:lvlJc w:val="left"/>
      <w:pPr>
        <w:ind w:left="26" w:hanging="76"/>
      </w:pPr>
      <w:rPr>
        <w:rFonts w:ascii="Arial" w:eastAsia="Arial" w:hAnsi="Arial" w:cs="Arial" w:hint="default"/>
        <w:color w:val="231F20"/>
        <w:w w:val="70"/>
        <w:sz w:val="17"/>
        <w:szCs w:val="17"/>
        <w:lang w:val="en-US" w:eastAsia="en-US" w:bidi="ar-SA"/>
      </w:rPr>
    </w:lvl>
    <w:lvl w:ilvl="1" w:tplc="19FE83FA">
      <w:numFmt w:val="bullet"/>
      <w:lvlText w:val="•"/>
      <w:lvlJc w:val="left"/>
      <w:pPr>
        <w:ind w:left="258" w:hanging="76"/>
      </w:pPr>
      <w:rPr>
        <w:rFonts w:hint="default"/>
        <w:lang w:val="en-US" w:eastAsia="en-US" w:bidi="ar-SA"/>
      </w:rPr>
    </w:lvl>
    <w:lvl w:ilvl="2" w:tplc="756C465A">
      <w:numFmt w:val="bullet"/>
      <w:lvlText w:val="•"/>
      <w:lvlJc w:val="left"/>
      <w:pPr>
        <w:ind w:left="497" w:hanging="76"/>
      </w:pPr>
      <w:rPr>
        <w:rFonts w:hint="default"/>
        <w:lang w:val="en-US" w:eastAsia="en-US" w:bidi="ar-SA"/>
      </w:rPr>
    </w:lvl>
    <w:lvl w:ilvl="3" w:tplc="677ED2A8">
      <w:numFmt w:val="bullet"/>
      <w:lvlText w:val="•"/>
      <w:lvlJc w:val="left"/>
      <w:pPr>
        <w:ind w:left="735" w:hanging="76"/>
      </w:pPr>
      <w:rPr>
        <w:rFonts w:hint="default"/>
        <w:lang w:val="en-US" w:eastAsia="en-US" w:bidi="ar-SA"/>
      </w:rPr>
    </w:lvl>
    <w:lvl w:ilvl="4" w:tplc="196A58C8">
      <w:numFmt w:val="bullet"/>
      <w:lvlText w:val="•"/>
      <w:lvlJc w:val="left"/>
      <w:pPr>
        <w:ind w:left="974" w:hanging="76"/>
      </w:pPr>
      <w:rPr>
        <w:rFonts w:hint="default"/>
        <w:lang w:val="en-US" w:eastAsia="en-US" w:bidi="ar-SA"/>
      </w:rPr>
    </w:lvl>
    <w:lvl w:ilvl="5" w:tplc="847857EA">
      <w:numFmt w:val="bullet"/>
      <w:lvlText w:val="•"/>
      <w:lvlJc w:val="left"/>
      <w:pPr>
        <w:ind w:left="1213" w:hanging="76"/>
      </w:pPr>
      <w:rPr>
        <w:rFonts w:hint="default"/>
        <w:lang w:val="en-US" w:eastAsia="en-US" w:bidi="ar-SA"/>
      </w:rPr>
    </w:lvl>
    <w:lvl w:ilvl="6" w:tplc="1F0C5C06">
      <w:numFmt w:val="bullet"/>
      <w:lvlText w:val="•"/>
      <w:lvlJc w:val="left"/>
      <w:pPr>
        <w:ind w:left="1451" w:hanging="76"/>
      </w:pPr>
      <w:rPr>
        <w:rFonts w:hint="default"/>
        <w:lang w:val="en-US" w:eastAsia="en-US" w:bidi="ar-SA"/>
      </w:rPr>
    </w:lvl>
    <w:lvl w:ilvl="7" w:tplc="BF4425F8">
      <w:numFmt w:val="bullet"/>
      <w:lvlText w:val="•"/>
      <w:lvlJc w:val="left"/>
      <w:pPr>
        <w:ind w:left="1690" w:hanging="76"/>
      </w:pPr>
      <w:rPr>
        <w:rFonts w:hint="default"/>
        <w:lang w:val="en-US" w:eastAsia="en-US" w:bidi="ar-SA"/>
      </w:rPr>
    </w:lvl>
    <w:lvl w:ilvl="8" w:tplc="26501E6A">
      <w:numFmt w:val="bullet"/>
      <w:lvlText w:val="•"/>
      <w:lvlJc w:val="left"/>
      <w:pPr>
        <w:ind w:left="1928" w:hanging="76"/>
      </w:pPr>
      <w:rPr>
        <w:rFonts w:hint="default"/>
        <w:lang w:val="en-US" w:eastAsia="en-US" w:bidi="ar-SA"/>
      </w:rPr>
    </w:lvl>
  </w:abstractNum>
  <w:abstractNum w:abstractNumId="117" w15:restartNumberingAfterBreak="0">
    <w:nsid w:val="2B7571A6"/>
    <w:multiLevelType w:val="hybridMultilevel"/>
    <w:tmpl w:val="88D27AFE"/>
    <w:lvl w:ilvl="0" w:tplc="C084365A">
      <w:numFmt w:val="bullet"/>
      <w:lvlText w:val="•"/>
      <w:lvlJc w:val="left"/>
      <w:pPr>
        <w:ind w:left="21" w:hanging="74"/>
      </w:pPr>
      <w:rPr>
        <w:rFonts w:ascii="Arial" w:eastAsia="Arial" w:hAnsi="Arial" w:cs="Arial" w:hint="default"/>
        <w:color w:val="231F20"/>
        <w:w w:val="97"/>
        <w:sz w:val="12"/>
        <w:szCs w:val="12"/>
        <w:lang w:val="en-US" w:eastAsia="en-US" w:bidi="ar-SA"/>
      </w:rPr>
    </w:lvl>
    <w:lvl w:ilvl="1" w:tplc="935CD8CA">
      <w:numFmt w:val="bullet"/>
      <w:lvlText w:val="•"/>
      <w:lvlJc w:val="left"/>
      <w:pPr>
        <w:ind w:left="250" w:hanging="74"/>
      </w:pPr>
      <w:rPr>
        <w:rFonts w:hint="default"/>
        <w:lang w:val="en-US" w:eastAsia="en-US" w:bidi="ar-SA"/>
      </w:rPr>
    </w:lvl>
    <w:lvl w:ilvl="2" w:tplc="61BE23BE">
      <w:numFmt w:val="bullet"/>
      <w:lvlText w:val="•"/>
      <w:lvlJc w:val="left"/>
      <w:pPr>
        <w:ind w:left="481" w:hanging="74"/>
      </w:pPr>
      <w:rPr>
        <w:rFonts w:hint="default"/>
        <w:lang w:val="en-US" w:eastAsia="en-US" w:bidi="ar-SA"/>
      </w:rPr>
    </w:lvl>
    <w:lvl w:ilvl="3" w:tplc="B4048044">
      <w:numFmt w:val="bullet"/>
      <w:lvlText w:val="•"/>
      <w:lvlJc w:val="left"/>
      <w:pPr>
        <w:ind w:left="712" w:hanging="74"/>
      </w:pPr>
      <w:rPr>
        <w:rFonts w:hint="default"/>
        <w:lang w:val="en-US" w:eastAsia="en-US" w:bidi="ar-SA"/>
      </w:rPr>
    </w:lvl>
    <w:lvl w:ilvl="4" w:tplc="2728A228">
      <w:numFmt w:val="bullet"/>
      <w:lvlText w:val="•"/>
      <w:lvlJc w:val="left"/>
      <w:pPr>
        <w:ind w:left="943" w:hanging="74"/>
      </w:pPr>
      <w:rPr>
        <w:rFonts w:hint="default"/>
        <w:lang w:val="en-US" w:eastAsia="en-US" w:bidi="ar-SA"/>
      </w:rPr>
    </w:lvl>
    <w:lvl w:ilvl="5" w:tplc="58E26002">
      <w:numFmt w:val="bullet"/>
      <w:lvlText w:val="•"/>
      <w:lvlJc w:val="left"/>
      <w:pPr>
        <w:ind w:left="1174" w:hanging="74"/>
      </w:pPr>
      <w:rPr>
        <w:rFonts w:hint="default"/>
        <w:lang w:val="en-US" w:eastAsia="en-US" w:bidi="ar-SA"/>
      </w:rPr>
    </w:lvl>
    <w:lvl w:ilvl="6" w:tplc="88A80572">
      <w:numFmt w:val="bullet"/>
      <w:lvlText w:val="•"/>
      <w:lvlJc w:val="left"/>
      <w:pPr>
        <w:ind w:left="1404" w:hanging="74"/>
      </w:pPr>
      <w:rPr>
        <w:rFonts w:hint="default"/>
        <w:lang w:val="en-US" w:eastAsia="en-US" w:bidi="ar-SA"/>
      </w:rPr>
    </w:lvl>
    <w:lvl w:ilvl="7" w:tplc="3BB86494">
      <w:numFmt w:val="bullet"/>
      <w:lvlText w:val="•"/>
      <w:lvlJc w:val="left"/>
      <w:pPr>
        <w:ind w:left="1635" w:hanging="74"/>
      </w:pPr>
      <w:rPr>
        <w:rFonts w:hint="default"/>
        <w:lang w:val="en-US" w:eastAsia="en-US" w:bidi="ar-SA"/>
      </w:rPr>
    </w:lvl>
    <w:lvl w:ilvl="8" w:tplc="0CE87740">
      <w:numFmt w:val="bullet"/>
      <w:lvlText w:val="•"/>
      <w:lvlJc w:val="left"/>
      <w:pPr>
        <w:ind w:left="1866" w:hanging="74"/>
      </w:pPr>
      <w:rPr>
        <w:rFonts w:hint="default"/>
        <w:lang w:val="en-US" w:eastAsia="en-US" w:bidi="ar-SA"/>
      </w:rPr>
    </w:lvl>
  </w:abstractNum>
  <w:abstractNum w:abstractNumId="118" w15:restartNumberingAfterBreak="0">
    <w:nsid w:val="2B907851"/>
    <w:multiLevelType w:val="multilevel"/>
    <w:tmpl w:val="7186B0D0"/>
    <w:lvl w:ilvl="0">
      <w:start w:val="5"/>
      <w:numFmt w:val="decimal"/>
      <w:lvlText w:val="%1"/>
      <w:lvlJc w:val="left"/>
      <w:pPr>
        <w:ind w:left="134" w:hanging="752"/>
      </w:pPr>
      <w:rPr>
        <w:rFonts w:hint="default"/>
        <w:lang w:val="en-US" w:eastAsia="en-US" w:bidi="ar-SA"/>
      </w:rPr>
    </w:lvl>
    <w:lvl w:ilvl="1">
      <w:start w:val="4"/>
      <w:numFmt w:val="decimal"/>
      <w:lvlText w:val="%1.%2"/>
      <w:lvlJc w:val="left"/>
      <w:pPr>
        <w:ind w:left="134" w:hanging="752"/>
      </w:pPr>
      <w:rPr>
        <w:rFonts w:hint="default"/>
        <w:lang w:val="en-US" w:eastAsia="en-US" w:bidi="ar-SA"/>
      </w:rPr>
    </w:lvl>
    <w:lvl w:ilvl="2">
      <w:start w:val="1"/>
      <w:numFmt w:val="decimal"/>
      <w:lvlText w:val="%1.%2.%3"/>
      <w:lvlJc w:val="left"/>
      <w:pPr>
        <w:ind w:left="134" w:hanging="752"/>
      </w:pPr>
      <w:rPr>
        <w:rFonts w:hint="default"/>
        <w:lang w:val="en-US" w:eastAsia="en-US" w:bidi="ar-SA"/>
      </w:rPr>
    </w:lvl>
    <w:lvl w:ilvl="3">
      <w:start w:val="7"/>
      <w:numFmt w:val="decimal"/>
      <w:lvlText w:val="%1.%2.%3.%4"/>
      <w:lvlJc w:val="left"/>
      <w:pPr>
        <w:ind w:left="134" w:hanging="752"/>
      </w:pPr>
      <w:rPr>
        <w:rFonts w:ascii="Arial" w:eastAsia="Arial" w:hAnsi="Arial" w:cs="Arial" w:hint="default"/>
        <w:color w:val="231F20"/>
        <w:w w:val="99"/>
        <w:sz w:val="22"/>
        <w:szCs w:val="22"/>
        <w:lang w:val="en-US" w:eastAsia="en-US" w:bidi="ar-SA"/>
      </w:rPr>
    </w:lvl>
    <w:lvl w:ilvl="4">
      <w:numFmt w:val="bullet"/>
      <w:lvlText w:val="•"/>
      <w:lvlJc w:val="left"/>
      <w:pPr>
        <w:ind w:left="3966" w:hanging="752"/>
      </w:pPr>
      <w:rPr>
        <w:rFonts w:hint="default"/>
        <w:lang w:val="en-US" w:eastAsia="en-US" w:bidi="ar-SA"/>
      </w:rPr>
    </w:lvl>
    <w:lvl w:ilvl="5">
      <w:numFmt w:val="bullet"/>
      <w:lvlText w:val="•"/>
      <w:lvlJc w:val="left"/>
      <w:pPr>
        <w:ind w:left="4922" w:hanging="752"/>
      </w:pPr>
      <w:rPr>
        <w:rFonts w:hint="default"/>
        <w:lang w:val="en-US" w:eastAsia="en-US" w:bidi="ar-SA"/>
      </w:rPr>
    </w:lvl>
    <w:lvl w:ilvl="6">
      <w:numFmt w:val="bullet"/>
      <w:lvlText w:val="•"/>
      <w:lvlJc w:val="left"/>
      <w:pPr>
        <w:ind w:left="5879" w:hanging="752"/>
      </w:pPr>
      <w:rPr>
        <w:rFonts w:hint="default"/>
        <w:lang w:val="en-US" w:eastAsia="en-US" w:bidi="ar-SA"/>
      </w:rPr>
    </w:lvl>
    <w:lvl w:ilvl="7">
      <w:numFmt w:val="bullet"/>
      <w:lvlText w:val="•"/>
      <w:lvlJc w:val="left"/>
      <w:pPr>
        <w:ind w:left="6835" w:hanging="752"/>
      </w:pPr>
      <w:rPr>
        <w:rFonts w:hint="default"/>
        <w:lang w:val="en-US" w:eastAsia="en-US" w:bidi="ar-SA"/>
      </w:rPr>
    </w:lvl>
    <w:lvl w:ilvl="8">
      <w:numFmt w:val="bullet"/>
      <w:lvlText w:val="•"/>
      <w:lvlJc w:val="left"/>
      <w:pPr>
        <w:ind w:left="7792" w:hanging="752"/>
      </w:pPr>
      <w:rPr>
        <w:rFonts w:hint="default"/>
        <w:lang w:val="en-US" w:eastAsia="en-US" w:bidi="ar-SA"/>
      </w:rPr>
    </w:lvl>
  </w:abstractNum>
  <w:abstractNum w:abstractNumId="119" w15:restartNumberingAfterBreak="0">
    <w:nsid w:val="2C974806"/>
    <w:multiLevelType w:val="hybridMultilevel"/>
    <w:tmpl w:val="809EA612"/>
    <w:lvl w:ilvl="0" w:tplc="9B22CF04">
      <w:numFmt w:val="bullet"/>
      <w:lvlText w:val="•"/>
      <w:lvlJc w:val="left"/>
      <w:pPr>
        <w:ind w:left="22" w:hanging="67"/>
      </w:pPr>
      <w:rPr>
        <w:rFonts w:ascii="Arial" w:eastAsia="Arial" w:hAnsi="Arial" w:cs="Arial" w:hint="default"/>
        <w:color w:val="231F20"/>
        <w:w w:val="97"/>
        <w:sz w:val="12"/>
        <w:szCs w:val="12"/>
        <w:lang w:val="en-US" w:eastAsia="en-US" w:bidi="ar-SA"/>
      </w:rPr>
    </w:lvl>
    <w:lvl w:ilvl="1" w:tplc="5A668B18">
      <w:numFmt w:val="bullet"/>
      <w:lvlText w:val="•"/>
      <w:lvlJc w:val="left"/>
      <w:pPr>
        <w:ind w:left="250" w:hanging="67"/>
      </w:pPr>
      <w:rPr>
        <w:rFonts w:hint="default"/>
        <w:lang w:val="en-US" w:eastAsia="en-US" w:bidi="ar-SA"/>
      </w:rPr>
    </w:lvl>
    <w:lvl w:ilvl="2" w:tplc="B72A75F2">
      <w:numFmt w:val="bullet"/>
      <w:lvlText w:val="•"/>
      <w:lvlJc w:val="left"/>
      <w:pPr>
        <w:ind w:left="480" w:hanging="67"/>
      </w:pPr>
      <w:rPr>
        <w:rFonts w:hint="default"/>
        <w:lang w:val="en-US" w:eastAsia="en-US" w:bidi="ar-SA"/>
      </w:rPr>
    </w:lvl>
    <w:lvl w:ilvl="3" w:tplc="55AE5CCE">
      <w:numFmt w:val="bullet"/>
      <w:lvlText w:val="•"/>
      <w:lvlJc w:val="left"/>
      <w:pPr>
        <w:ind w:left="710" w:hanging="67"/>
      </w:pPr>
      <w:rPr>
        <w:rFonts w:hint="default"/>
        <w:lang w:val="en-US" w:eastAsia="en-US" w:bidi="ar-SA"/>
      </w:rPr>
    </w:lvl>
    <w:lvl w:ilvl="4" w:tplc="B4D252AC">
      <w:numFmt w:val="bullet"/>
      <w:lvlText w:val="•"/>
      <w:lvlJc w:val="left"/>
      <w:pPr>
        <w:ind w:left="941" w:hanging="67"/>
      </w:pPr>
      <w:rPr>
        <w:rFonts w:hint="default"/>
        <w:lang w:val="en-US" w:eastAsia="en-US" w:bidi="ar-SA"/>
      </w:rPr>
    </w:lvl>
    <w:lvl w:ilvl="5" w:tplc="0FFEF0C2">
      <w:numFmt w:val="bullet"/>
      <w:lvlText w:val="•"/>
      <w:lvlJc w:val="left"/>
      <w:pPr>
        <w:ind w:left="1171" w:hanging="67"/>
      </w:pPr>
      <w:rPr>
        <w:rFonts w:hint="default"/>
        <w:lang w:val="en-US" w:eastAsia="en-US" w:bidi="ar-SA"/>
      </w:rPr>
    </w:lvl>
    <w:lvl w:ilvl="6" w:tplc="01E40648">
      <w:numFmt w:val="bullet"/>
      <w:lvlText w:val="•"/>
      <w:lvlJc w:val="left"/>
      <w:pPr>
        <w:ind w:left="1401" w:hanging="67"/>
      </w:pPr>
      <w:rPr>
        <w:rFonts w:hint="default"/>
        <w:lang w:val="en-US" w:eastAsia="en-US" w:bidi="ar-SA"/>
      </w:rPr>
    </w:lvl>
    <w:lvl w:ilvl="7" w:tplc="55EEFD38">
      <w:numFmt w:val="bullet"/>
      <w:lvlText w:val="•"/>
      <w:lvlJc w:val="left"/>
      <w:pPr>
        <w:ind w:left="1632" w:hanging="67"/>
      </w:pPr>
      <w:rPr>
        <w:rFonts w:hint="default"/>
        <w:lang w:val="en-US" w:eastAsia="en-US" w:bidi="ar-SA"/>
      </w:rPr>
    </w:lvl>
    <w:lvl w:ilvl="8" w:tplc="1056F9E4">
      <w:numFmt w:val="bullet"/>
      <w:lvlText w:val="•"/>
      <w:lvlJc w:val="left"/>
      <w:pPr>
        <w:ind w:left="1862" w:hanging="67"/>
      </w:pPr>
      <w:rPr>
        <w:rFonts w:hint="default"/>
        <w:lang w:val="en-US" w:eastAsia="en-US" w:bidi="ar-SA"/>
      </w:rPr>
    </w:lvl>
  </w:abstractNum>
  <w:abstractNum w:abstractNumId="120" w15:restartNumberingAfterBreak="0">
    <w:nsid w:val="2DCE67C6"/>
    <w:multiLevelType w:val="hybridMultilevel"/>
    <w:tmpl w:val="D12648B8"/>
    <w:lvl w:ilvl="0" w:tplc="0D7CC2C4">
      <w:numFmt w:val="bullet"/>
      <w:lvlText w:val="•"/>
      <w:lvlJc w:val="left"/>
      <w:pPr>
        <w:ind w:left="26" w:hanging="80"/>
      </w:pPr>
      <w:rPr>
        <w:rFonts w:ascii="Arial" w:eastAsia="Arial" w:hAnsi="Arial" w:cs="Arial" w:hint="default"/>
        <w:color w:val="231F20"/>
        <w:w w:val="96"/>
        <w:sz w:val="13"/>
        <w:szCs w:val="13"/>
        <w:lang w:val="en-US" w:eastAsia="en-US" w:bidi="ar-SA"/>
      </w:rPr>
    </w:lvl>
    <w:lvl w:ilvl="1" w:tplc="4A3EBD7E">
      <w:numFmt w:val="bullet"/>
      <w:lvlText w:val="•"/>
      <w:lvlJc w:val="left"/>
      <w:pPr>
        <w:ind w:left="269" w:hanging="80"/>
      </w:pPr>
      <w:rPr>
        <w:rFonts w:hint="default"/>
        <w:lang w:val="en-US" w:eastAsia="en-US" w:bidi="ar-SA"/>
      </w:rPr>
    </w:lvl>
    <w:lvl w:ilvl="2" w:tplc="1048E55A">
      <w:numFmt w:val="bullet"/>
      <w:lvlText w:val="•"/>
      <w:lvlJc w:val="left"/>
      <w:pPr>
        <w:ind w:left="518" w:hanging="80"/>
      </w:pPr>
      <w:rPr>
        <w:rFonts w:hint="default"/>
        <w:lang w:val="en-US" w:eastAsia="en-US" w:bidi="ar-SA"/>
      </w:rPr>
    </w:lvl>
    <w:lvl w:ilvl="3" w:tplc="4374176A">
      <w:numFmt w:val="bullet"/>
      <w:lvlText w:val="•"/>
      <w:lvlJc w:val="left"/>
      <w:pPr>
        <w:ind w:left="767" w:hanging="80"/>
      </w:pPr>
      <w:rPr>
        <w:rFonts w:hint="default"/>
        <w:lang w:val="en-US" w:eastAsia="en-US" w:bidi="ar-SA"/>
      </w:rPr>
    </w:lvl>
    <w:lvl w:ilvl="4" w:tplc="99C6ABAE">
      <w:numFmt w:val="bullet"/>
      <w:lvlText w:val="•"/>
      <w:lvlJc w:val="left"/>
      <w:pPr>
        <w:ind w:left="1017" w:hanging="80"/>
      </w:pPr>
      <w:rPr>
        <w:rFonts w:hint="default"/>
        <w:lang w:val="en-US" w:eastAsia="en-US" w:bidi="ar-SA"/>
      </w:rPr>
    </w:lvl>
    <w:lvl w:ilvl="5" w:tplc="E078EC04">
      <w:numFmt w:val="bullet"/>
      <w:lvlText w:val="•"/>
      <w:lvlJc w:val="left"/>
      <w:pPr>
        <w:ind w:left="1266" w:hanging="80"/>
      </w:pPr>
      <w:rPr>
        <w:rFonts w:hint="default"/>
        <w:lang w:val="en-US" w:eastAsia="en-US" w:bidi="ar-SA"/>
      </w:rPr>
    </w:lvl>
    <w:lvl w:ilvl="6" w:tplc="E3A0EC44">
      <w:numFmt w:val="bullet"/>
      <w:lvlText w:val="•"/>
      <w:lvlJc w:val="left"/>
      <w:pPr>
        <w:ind w:left="1515" w:hanging="80"/>
      </w:pPr>
      <w:rPr>
        <w:rFonts w:hint="default"/>
        <w:lang w:val="en-US" w:eastAsia="en-US" w:bidi="ar-SA"/>
      </w:rPr>
    </w:lvl>
    <w:lvl w:ilvl="7" w:tplc="B5B2FEE8">
      <w:numFmt w:val="bullet"/>
      <w:lvlText w:val="•"/>
      <w:lvlJc w:val="left"/>
      <w:pPr>
        <w:ind w:left="1765" w:hanging="80"/>
      </w:pPr>
      <w:rPr>
        <w:rFonts w:hint="default"/>
        <w:lang w:val="en-US" w:eastAsia="en-US" w:bidi="ar-SA"/>
      </w:rPr>
    </w:lvl>
    <w:lvl w:ilvl="8" w:tplc="ABB260B0">
      <w:numFmt w:val="bullet"/>
      <w:lvlText w:val="•"/>
      <w:lvlJc w:val="left"/>
      <w:pPr>
        <w:ind w:left="2014" w:hanging="80"/>
      </w:pPr>
      <w:rPr>
        <w:rFonts w:hint="default"/>
        <w:lang w:val="en-US" w:eastAsia="en-US" w:bidi="ar-SA"/>
      </w:rPr>
    </w:lvl>
  </w:abstractNum>
  <w:abstractNum w:abstractNumId="121" w15:restartNumberingAfterBreak="0">
    <w:nsid w:val="2DCE68BF"/>
    <w:multiLevelType w:val="hybridMultilevel"/>
    <w:tmpl w:val="82A0DC78"/>
    <w:lvl w:ilvl="0" w:tplc="6472E5D6">
      <w:numFmt w:val="bullet"/>
      <w:lvlText w:val="•"/>
      <w:lvlJc w:val="left"/>
      <w:pPr>
        <w:ind w:left="26" w:hanging="68"/>
      </w:pPr>
      <w:rPr>
        <w:rFonts w:ascii="Arial" w:eastAsia="Arial" w:hAnsi="Arial" w:cs="Arial" w:hint="default"/>
        <w:color w:val="231F20"/>
        <w:w w:val="78"/>
        <w:sz w:val="15"/>
        <w:szCs w:val="15"/>
        <w:lang w:val="en-US" w:eastAsia="en-US" w:bidi="ar-SA"/>
      </w:rPr>
    </w:lvl>
    <w:lvl w:ilvl="1" w:tplc="F8C4377E">
      <w:numFmt w:val="bullet"/>
      <w:lvlText w:val="•"/>
      <w:lvlJc w:val="left"/>
      <w:pPr>
        <w:ind w:left="254" w:hanging="68"/>
      </w:pPr>
      <w:rPr>
        <w:rFonts w:hint="default"/>
        <w:lang w:val="en-US" w:eastAsia="en-US" w:bidi="ar-SA"/>
      </w:rPr>
    </w:lvl>
    <w:lvl w:ilvl="2" w:tplc="3402B0AC">
      <w:numFmt w:val="bullet"/>
      <w:lvlText w:val="•"/>
      <w:lvlJc w:val="left"/>
      <w:pPr>
        <w:ind w:left="488" w:hanging="68"/>
      </w:pPr>
      <w:rPr>
        <w:rFonts w:hint="default"/>
        <w:lang w:val="en-US" w:eastAsia="en-US" w:bidi="ar-SA"/>
      </w:rPr>
    </w:lvl>
    <w:lvl w:ilvl="3" w:tplc="39BAE8F4">
      <w:numFmt w:val="bullet"/>
      <w:lvlText w:val="•"/>
      <w:lvlJc w:val="left"/>
      <w:pPr>
        <w:ind w:left="722" w:hanging="68"/>
      </w:pPr>
      <w:rPr>
        <w:rFonts w:hint="default"/>
        <w:lang w:val="en-US" w:eastAsia="en-US" w:bidi="ar-SA"/>
      </w:rPr>
    </w:lvl>
    <w:lvl w:ilvl="4" w:tplc="6B18F6E2">
      <w:numFmt w:val="bullet"/>
      <w:lvlText w:val="•"/>
      <w:lvlJc w:val="left"/>
      <w:pPr>
        <w:ind w:left="956" w:hanging="68"/>
      </w:pPr>
      <w:rPr>
        <w:rFonts w:hint="default"/>
        <w:lang w:val="en-US" w:eastAsia="en-US" w:bidi="ar-SA"/>
      </w:rPr>
    </w:lvl>
    <w:lvl w:ilvl="5" w:tplc="E3A60484">
      <w:numFmt w:val="bullet"/>
      <w:lvlText w:val="•"/>
      <w:lvlJc w:val="left"/>
      <w:pPr>
        <w:ind w:left="1191" w:hanging="68"/>
      </w:pPr>
      <w:rPr>
        <w:rFonts w:hint="default"/>
        <w:lang w:val="en-US" w:eastAsia="en-US" w:bidi="ar-SA"/>
      </w:rPr>
    </w:lvl>
    <w:lvl w:ilvl="6" w:tplc="8F483AAE">
      <w:numFmt w:val="bullet"/>
      <w:lvlText w:val="•"/>
      <w:lvlJc w:val="left"/>
      <w:pPr>
        <w:ind w:left="1425" w:hanging="68"/>
      </w:pPr>
      <w:rPr>
        <w:rFonts w:hint="default"/>
        <w:lang w:val="en-US" w:eastAsia="en-US" w:bidi="ar-SA"/>
      </w:rPr>
    </w:lvl>
    <w:lvl w:ilvl="7" w:tplc="AC723702">
      <w:numFmt w:val="bullet"/>
      <w:lvlText w:val="•"/>
      <w:lvlJc w:val="left"/>
      <w:pPr>
        <w:ind w:left="1659" w:hanging="68"/>
      </w:pPr>
      <w:rPr>
        <w:rFonts w:hint="default"/>
        <w:lang w:val="en-US" w:eastAsia="en-US" w:bidi="ar-SA"/>
      </w:rPr>
    </w:lvl>
    <w:lvl w:ilvl="8" w:tplc="CBF2B99C">
      <w:numFmt w:val="bullet"/>
      <w:lvlText w:val="•"/>
      <w:lvlJc w:val="left"/>
      <w:pPr>
        <w:ind w:left="1893" w:hanging="68"/>
      </w:pPr>
      <w:rPr>
        <w:rFonts w:hint="default"/>
        <w:lang w:val="en-US" w:eastAsia="en-US" w:bidi="ar-SA"/>
      </w:rPr>
    </w:lvl>
  </w:abstractNum>
  <w:abstractNum w:abstractNumId="122" w15:restartNumberingAfterBreak="0">
    <w:nsid w:val="2E227E5A"/>
    <w:multiLevelType w:val="hybridMultilevel"/>
    <w:tmpl w:val="081C89EA"/>
    <w:lvl w:ilvl="0" w:tplc="5752435A">
      <w:numFmt w:val="bullet"/>
      <w:lvlText w:val="•"/>
      <w:lvlJc w:val="left"/>
      <w:pPr>
        <w:ind w:left="67" w:hanging="43"/>
      </w:pPr>
      <w:rPr>
        <w:rFonts w:ascii="Arial" w:eastAsia="Arial" w:hAnsi="Arial" w:cs="Arial" w:hint="default"/>
        <w:color w:val="231F20"/>
        <w:w w:val="73"/>
        <w:sz w:val="14"/>
        <w:szCs w:val="14"/>
        <w:lang w:val="en-US" w:eastAsia="en-US" w:bidi="ar-SA"/>
      </w:rPr>
    </w:lvl>
    <w:lvl w:ilvl="1" w:tplc="639CAD6E">
      <w:numFmt w:val="bullet"/>
      <w:lvlText w:val="•"/>
      <w:lvlJc w:val="left"/>
      <w:pPr>
        <w:ind w:left="289" w:hanging="43"/>
      </w:pPr>
      <w:rPr>
        <w:rFonts w:hint="default"/>
        <w:lang w:val="en-US" w:eastAsia="en-US" w:bidi="ar-SA"/>
      </w:rPr>
    </w:lvl>
    <w:lvl w:ilvl="2" w:tplc="E9B09B04">
      <w:numFmt w:val="bullet"/>
      <w:lvlText w:val="•"/>
      <w:lvlJc w:val="left"/>
      <w:pPr>
        <w:ind w:left="519" w:hanging="43"/>
      </w:pPr>
      <w:rPr>
        <w:rFonts w:hint="default"/>
        <w:lang w:val="en-US" w:eastAsia="en-US" w:bidi="ar-SA"/>
      </w:rPr>
    </w:lvl>
    <w:lvl w:ilvl="3" w:tplc="8416ADD6">
      <w:numFmt w:val="bullet"/>
      <w:lvlText w:val="•"/>
      <w:lvlJc w:val="left"/>
      <w:pPr>
        <w:ind w:left="748" w:hanging="43"/>
      </w:pPr>
      <w:rPr>
        <w:rFonts w:hint="default"/>
        <w:lang w:val="en-US" w:eastAsia="en-US" w:bidi="ar-SA"/>
      </w:rPr>
    </w:lvl>
    <w:lvl w:ilvl="4" w:tplc="73366D94">
      <w:numFmt w:val="bullet"/>
      <w:lvlText w:val="•"/>
      <w:lvlJc w:val="left"/>
      <w:pPr>
        <w:ind w:left="978" w:hanging="43"/>
      </w:pPr>
      <w:rPr>
        <w:rFonts w:hint="default"/>
        <w:lang w:val="en-US" w:eastAsia="en-US" w:bidi="ar-SA"/>
      </w:rPr>
    </w:lvl>
    <w:lvl w:ilvl="5" w:tplc="4562277A">
      <w:numFmt w:val="bullet"/>
      <w:lvlText w:val="•"/>
      <w:lvlJc w:val="left"/>
      <w:pPr>
        <w:ind w:left="1207" w:hanging="43"/>
      </w:pPr>
      <w:rPr>
        <w:rFonts w:hint="default"/>
        <w:lang w:val="en-US" w:eastAsia="en-US" w:bidi="ar-SA"/>
      </w:rPr>
    </w:lvl>
    <w:lvl w:ilvl="6" w:tplc="FC0CED9C">
      <w:numFmt w:val="bullet"/>
      <w:lvlText w:val="•"/>
      <w:lvlJc w:val="left"/>
      <w:pPr>
        <w:ind w:left="1437" w:hanging="43"/>
      </w:pPr>
      <w:rPr>
        <w:rFonts w:hint="default"/>
        <w:lang w:val="en-US" w:eastAsia="en-US" w:bidi="ar-SA"/>
      </w:rPr>
    </w:lvl>
    <w:lvl w:ilvl="7" w:tplc="1706C56E">
      <w:numFmt w:val="bullet"/>
      <w:lvlText w:val="•"/>
      <w:lvlJc w:val="left"/>
      <w:pPr>
        <w:ind w:left="1666" w:hanging="43"/>
      </w:pPr>
      <w:rPr>
        <w:rFonts w:hint="default"/>
        <w:lang w:val="en-US" w:eastAsia="en-US" w:bidi="ar-SA"/>
      </w:rPr>
    </w:lvl>
    <w:lvl w:ilvl="8" w:tplc="BDE0F456">
      <w:numFmt w:val="bullet"/>
      <w:lvlText w:val="•"/>
      <w:lvlJc w:val="left"/>
      <w:pPr>
        <w:ind w:left="1896" w:hanging="43"/>
      </w:pPr>
      <w:rPr>
        <w:rFonts w:hint="default"/>
        <w:lang w:val="en-US" w:eastAsia="en-US" w:bidi="ar-SA"/>
      </w:rPr>
    </w:lvl>
  </w:abstractNum>
  <w:abstractNum w:abstractNumId="123" w15:restartNumberingAfterBreak="0">
    <w:nsid w:val="2E287D1A"/>
    <w:multiLevelType w:val="hybridMultilevel"/>
    <w:tmpl w:val="67B646A4"/>
    <w:lvl w:ilvl="0" w:tplc="87D8EC7C">
      <w:numFmt w:val="bullet"/>
      <w:lvlText w:val="•"/>
      <w:lvlJc w:val="left"/>
      <w:pPr>
        <w:ind w:left="19" w:hanging="69"/>
      </w:pPr>
      <w:rPr>
        <w:rFonts w:ascii="Arial" w:eastAsia="Arial" w:hAnsi="Arial" w:cs="Arial" w:hint="default"/>
        <w:color w:val="231F20"/>
        <w:w w:val="66"/>
        <w:sz w:val="18"/>
        <w:szCs w:val="18"/>
        <w:lang w:val="en-US" w:eastAsia="en-US" w:bidi="ar-SA"/>
      </w:rPr>
    </w:lvl>
    <w:lvl w:ilvl="1" w:tplc="FF8EA56C">
      <w:numFmt w:val="bullet"/>
      <w:lvlText w:val="•"/>
      <w:lvlJc w:val="left"/>
      <w:pPr>
        <w:ind w:left="256" w:hanging="69"/>
      </w:pPr>
      <w:rPr>
        <w:rFonts w:hint="default"/>
        <w:lang w:val="en-US" w:eastAsia="en-US" w:bidi="ar-SA"/>
      </w:rPr>
    </w:lvl>
    <w:lvl w:ilvl="2" w:tplc="C67E738C">
      <w:numFmt w:val="bullet"/>
      <w:lvlText w:val="•"/>
      <w:lvlJc w:val="left"/>
      <w:pPr>
        <w:ind w:left="492" w:hanging="69"/>
      </w:pPr>
      <w:rPr>
        <w:rFonts w:hint="default"/>
        <w:lang w:val="en-US" w:eastAsia="en-US" w:bidi="ar-SA"/>
      </w:rPr>
    </w:lvl>
    <w:lvl w:ilvl="3" w:tplc="58622DFC">
      <w:numFmt w:val="bullet"/>
      <w:lvlText w:val="•"/>
      <w:lvlJc w:val="left"/>
      <w:pPr>
        <w:ind w:left="729" w:hanging="69"/>
      </w:pPr>
      <w:rPr>
        <w:rFonts w:hint="default"/>
        <w:lang w:val="en-US" w:eastAsia="en-US" w:bidi="ar-SA"/>
      </w:rPr>
    </w:lvl>
    <w:lvl w:ilvl="4" w:tplc="91C22E5E">
      <w:numFmt w:val="bullet"/>
      <w:lvlText w:val="•"/>
      <w:lvlJc w:val="left"/>
      <w:pPr>
        <w:ind w:left="965" w:hanging="69"/>
      </w:pPr>
      <w:rPr>
        <w:rFonts w:hint="default"/>
        <w:lang w:val="en-US" w:eastAsia="en-US" w:bidi="ar-SA"/>
      </w:rPr>
    </w:lvl>
    <w:lvl w:ilvl="5" w:tplc="3B6ABCB0">
      <w:numFmt w:val="bullet"/>
      <w:lvlText w:val="•"/>
      <w:lvlJc w:val="left"/>
      <w:pPr>
        <w:ind w:left="1202" w:hanging="69"/>
      </w:pPr>
      <w:rPr>
        <w:rFonts w:hint="default"/>
        <w:lang w:val="en-US" w:eastAsia="en-US" w:bidi="ar-SA"/>
      </w:rPr>
    </w:lvl>
    <w:lvl w:ilvl="6" w:tplc="3370BEE6">
      <w:numFmt w:val="bullet"/>
      <w:lvlText w:val="•"/>
      <w:lvlJc w:val="left"/>
      <w:pPr>
        <w:ind w:left="1438" w:hanging="69"/>
      </w:pPr>
      <w:rPr>
        <w:rFonts w:hint="default"/>
        <w:lang w:val="en-US" w:eastAsia="en-US" w:bidi="ar-SA"/>
      </w:rPr>
    </w:lvl>
    <w:lvl w:ilvl="7" w:tplc="34C26A8C">
      <w:numFmt w:val="bullet"/>
      <w:lvlText w:val="•"/>
      <w:lvlJc w:val="left"/>
      <w:pPr>
        <w:ind w:left="1674" w:hanging="69"/>
      </w:pPr>
      <w:rPr>
        <w:rFonts w:hint="default"/>
        <w:lang w:val="en-US" w:eastAsia="en-US" w:bidi="ar-SA"/>
      </w:rPr>
    </w:lvl>
    <w:lvl w:ilvl="8" w:tplc="1E12F3BA">
      <w:numFmt w:val="bullet"/>
      <w:lvlText w:val="•"/>
      <w:lvlJc w:val="left"/>
      <w:pPr>
        <w:ind w:left="1911" w:hanging="69"/>
      </w:pPr>
      <w:rPr>
        <w:rFonts w:hint="default"/>
        <w:lang w:val="en-US" w:eastAsia="en-US" w:bidi="ar-SA"/>
      </w:rPr>
    </w:lvl>
  </w:abstractNum>
  <w:abstractNum w:abstractNumId="124" w15:restartNumberingAfterBreak="0">
    <w:nsid w:val="2EFF1685"/>
    <w:multiLevelType w:val="multilevel"/>
    <w:tmpl w:val="CD364E30"/>
    <w:lvl w:ilvl="0">
      <w:start w:val="5"/>
      <w:numFmt w:val="decimal"/>
      <w:lvlText w:val="%1"/>
      <w:lvlJc w:val="left"/>
      <w:pPr>
        <w:ind w:left="159" w:hanging="774"/>
      </w:pPr>
      <w:rPr>
        <w:rFonts w:hint="default"/>
        <w:lang w:val="en-US" w:eastAsia="en-US" w:bidi="ar-SA"/>
      </w:rPr>
    </w:lvl>
    <w:lvl w:ilvl="1">
      <w:start w:val="8"/>
      <w:numFmt w:val="decimal"/>
      <w:lvlText w:val="%1.%2"/>
      <w:lvlJc w:val="left"/>
      <w:pPr>
        <w:ind w:left="159" w:hanging="774"/>
      </w:pPr>
      <w:rPr>
        <w:rFonts w:hint="default"/>
        <w:lang w:val="en-US" w:eastAsia="en-US" w:bidi="ar-SA"/>
      </w:rPr>
    </w:lvl>
    <w:lvl w:ilvl="2">
      <w:start w:val="5"/>
      <w:numFmt w:val="decimal"/>
      <w:lvlText w:val="%1.%2.%3"/>
      <w:lvlJc w:val="left"/>
      <w:pPr>
        <w:ind w:left="159" w:hanging="774"/>
      </w:pPr>
      <w:rPr>
        <w:rFonts w:hint="default"/>
        <w:lang w:val="en-US" w:eastAsia="en-US" w:bidi="ar-SA"/>
      </w:rPr>
    </w:lvl>
    <w:lvl w:ilvl="3">
      <w:start w:val="1"/>
      <w:numFmt w:val="decimal"/>
      <w:lvlText w:val="%1.%2.%3.%4"/>
      <w:lvlJc w:val="left"/>
      <w:pPr>
        <w:ind w:left="159" w:hanging="774"/>
      </w:pPr>
      <w:rPr>
        <w:rFonts w:ascii="Arial" w:eastAsia="Arial" w:hAnsi="Arial" w:cs="Arial" w:hint="default"/>
        <w:b/>
        <w:bCs/>
        <w:color w:val="231F20"/>
        <w:spacing w:val="-25"/>
        <w:w w:val="99"/>
        <w:sz w:val="22"/>
        <w:szCs w:val="22"/>
        <w:lang w:val="en-US" w:eastAsia="en-US" w:bidi="ar-SA"/>
      </w:rPr>
    </w:lvl>
    <w:lvl w:ilvl="4">
      <w:numFmt w:val="bullet"/>
      <w:lvlText w:val="•"/>
      <w:lvlJc w:val="left"/>
      <w:pPr>
        <w:ind w:left="3978" w:hanging="774"/>
      </w:pPr>
      <w:rPr>
        <w:rFonts w:hint="default"/>
        <w:lang w:val="en-US" w:eastAsia="en-US" w:bidi="ar-SA"/>
      </w:rPr>
    </w:lvl>
    <w:lvl w:ilvl="5">
      <w:numFmt w:val="bullet"/>
      <w:lvlText w:val="•"/>
      <w:lvlJc w:val="left"/>
      <w:pPr>
        <w:ind w:left="4932" w:hanging="774"/>
      </w:pPr>
      <w:rPr>
        <w:rFonts w:hint="default"/>
        <w:lang w:val="en-US" w:eastAsia="en-US" w:bidi="ar-SA"/>
      </w:rPr>
    </w:lvl>
    <w:lvl w:ilvl="6">
      <w:numFmt w:val="bullet"/>
      <w:lvlText w:val="•"/>
      <w:lvlJc w:val="left"/>
      <w:pPr>
        <w:ind w:left="5887" w:hanging="774"/>
      </w:pPr>
      <w:rPr>
        <w:rFonts w:hint="default"/>
        <w:lang w:val="en-US" w:eastAsia="en-US" w:bidi="ar-SA"/>
      </w:rPr>
    </w:lvl>
    <w:lvl w:ilvl="7">
      <w:numFmt w:val="bullet"/>
      <w:lvlText w:val="•"/>
      <w:lvlJc w:val="left"/>
      <w:pPr>
        <w:ind w:left="6841" w:hanging="774"/>
      </w:pPr>
      <w:rPr>
        <w:rFonts w:hint="default"/>
        <w:lang w:val="en-US" w:eastAsia="en-US" w:bidi="ar-SA"/>
      </w:rPr>
    </w:lvl>
    <w:lvl w:ilvl="8">
      <w:numFmt w:val="bullet"/>
      <w:lvlText w:val="•"/>
      <w:lvlJc w:val="left"/>
      <w:pPr>
        <w:ind w:left="7796" w:hanging="774"/>
      </w:pPr>
      <w:rPr>
        <w:rFonts w:hint="default"/>
        <w:lang w:val="en-US" w:eastAsia="en-US" w:bidi="ar-SA"/>
      </w:rPr>
    </w:lvl>
  </w:abstractNum>
  <w:abstractNum w:abstractNumId="125" w15:restartNumberingAfterBreak="0">
    <w:nsid w:val="2F575E6F"/>
    <w:multiLevelType w:val="hybridMultilevel"/>
    <w:tmpl w:val="2794D062"/>
    <w:lvl w:ilvl="0" w:tplc="F482D6DC">
      <w:numFmt w:val="bullet"/>
      <w:lvlText w:val="•"/>
      <w:lvlJc w:val="left"/>
      <w:pPr>
        <w:ind w:left="25" w:hanging="73"/>
      </w:pPr>
      <w:rPr>
        <w:rFonts w:ascii="Arial" w:eastAsia="Arial" w:hAnsi="Arial" w:cs="Arial" w:hint="default"/>
        <w:color w:val="231F20"/>
        <w:w w:val="90"/>
        <w:sz w:val="14"/>
        <w:szCs w:val="14"/>
        <w:lang w:val="en-US" w:eastAsia="en-US" w:bidi="ar-SA"/>
      </w:rPr>
    </w:lvl>
    <w:lvl w:ilvl="1" w:tplc="5134CAC4">
      <w:numFmt w:val="bullet"/>
      <w:lvlText w:val="•"/>
      <w:lvlJc w:val="left"/>
      <w:pPr>
        <w:ind w:left="270" w:hanging="73"/>
      </w:pPr>
      <w:rPr>
        <w:rFonts w:hint="default"/>
        <w:lang w:val="en-US" w:eastAsia="en-US" w:bidi="ar-SA"/>
      </w:rPr>
    </w:lvl>
    <w:lvl w:ilvl="2" w:tplc="505A0904">
      <w:numFmt w:val="bullet"/>
      <w:lvlText w:val="•"/>
      <w:lvlJc w:val="left"/>
      <w:pPr>
        <w:ind w:left="520" w:hanging="73"/>
      </w:pPr>
      <w:rPr>
        <w:rFonts w:hint="default"/>
        <w:lang w:val="en-US" w:eastAsia="en-US" w:bidi="ar-SA"/>
      </w:rPr>
    </w:lvl>
    <w:lvl w:ilvl="3" w:tplc="28C8C32C">
      <w:numFmt w:val="bullet"/>
      <w:lvlText w:val="•"/>
      <w:lvlJc w:val="left"/>
      <w:pPr>
        <w:ind w:left="770" w:hanging="73"/>
      </w:pPr>
      <w:rPr>
        <w:rFonts w:hint="default"/>
        <w:lang w:val="en-US" w:eastAsia="en-US" w:bidi="ar-SA"/>
      </w:rPr>
    </w:lvl>
    <w:lvl w:ilvl="4" w:tplc="205817FC">
      <w:numFmt w:val="bullet"/>
      <w:lvlText w:val="•"/>
      <w:lvlJc w:val="left"/>
      <w:pPr>
        <w:ind w:left="1021" w:hanging="73"/>
      </w:pPr>
      <w:rPr>
        <w:rFonts w:hint="default"/>
        <w:lang w:val="en-US" w:eastAsia="en-US" w:bidi="ar-SA"/>
      </w:rPr>
    </w:lvl>
    <w:lvl w:ilvl="5" w:tplc="92880270">
      <w:numFmt w:val="bullet"/>
      <w:lvlText w:val="•"/>
      <w:lvlJc w:val="left"/>
      <w:pPr>
        <w:ind w:left="1271" w:hanging="73"/>
      </w:pPr>
      <w:rPr>
        <w:rFonts w:hint="default"/>
        <w:lang w:val="en-US" w:eastAsia="en-US" w:bidi="ar-SA"/>
      </w:rPr>
    </w:lvl>
    <w:lvl w:ilvl="6" w:tplc="C8029220">
      <w:numFmt w:val="bullet"/>
      <w:lvlText w:val="•"/>
      <w:lvlJc w:val="left"/>
      <w:pPr>
        <w:ind w:left="1521" w:hanging="73"/>
      </w:pPr>
      <w:rPr>
        <w:rFonts w:hint="default"/>
        <w:lang w:val="en-US" w:eastAsia="en-US" w:bidi="ar-SA"/>
      </w:rPr>
    </w:lvl>
    <w:lvl w:ilvl="7" w:tplc="65E2003C">
      <w:numFmt w:val="bullet"/>
      <w:lvlText w:val="•"/>
      <w:lvlJc w:val="left"/>
      <w:pPr>
        <w:ind w:left="1772" w:hanging="73"/>
      </w:pPr>
      <w:rPr>
        <w:rFonts w:hint="default"/>
        <w:lang w:val="en-US" w:eastAsia="en-US" w:bidi="ar-SA"/>
      </w:rPr>
    </w:lvl>
    <w:lvl w:ilvl="8" w:tplc="37A873D0">
      <w:numFmt w:val="bullet"/>
      <w:lvlText w:val="•"/>
      <w:lvlJc w:val="left"/>
      <w:pPr>
        <w:ind w:left="2022" w:hanging="73"/>
      </w:pPr>
      <w:rPr>
        <w:rFonts w:hint="default"/>
        <w:lang w:val="en-US" w:eastAsia="en-US" w:bidi="ar-SA"/>
      </w:rPr>
    </w:lvl>
  </w:abstractNum>
  <w:abstractNum w:abstractNumId="126" w15:restartNumberingAfterBreak="0">
    <w:nsid w:val="305D1F8C"/>
    <w:multiLevelType w:val="hybridMultilevel"/>
    <w:tmpl w:val="D7B005F6"/>
    <w:lvl w:ilvl="0" w:tplc="187E12E8">
      <w:numFmt w:val="bullet"/>
      <w:lvlText w:val="•"/>
      <w:lvlJc w:val="left"/>
      <w:pPr>
        <w:ind w:left="23" w:hanging="44"/>
      </w:pPr>
      <w:rPr>
        <w:rFonts w:ascii="Arial" w:eastAsia="Arial" w:hAnsi="Arial" w:cs="Arial" w:hint="default"/>
        <w:color w:val="231F20"/>
        <w:w w:val="100"/>
        <w:sz w:val="10"/>
        <w:szCs w:val="10"/>
        <w:lang w:val="en-US" w:eastAsia="en-US" w:bidi="ar-SA"/>
      </w:rPr>
    </w:lvl>
    <w:lvl w:ilvl="1" w:tplc="93E2E99A">
      <w:numFmt w:val="bullet"/>
      <w:lvlText w:val="•"/>
      <w:lvlJc w:val="left"/>
      <w:pPr>
        <w:ind w:left="257" w:hanging="44"/>
      </w:pPr>
      <w:rPr>
        <w:rFonts w:hint="default"/>
        <w:lang w:val="en-US" w:eastAsia="en-US" w:bidi="ar-SA"/>
      </w:rPr>
    </w:lvl>
    <w:lvl w:ilvl="2" w:tplc="507E7172">
      <w:numFmt w:val="bullet"/>
      <w:lvlText w:val="•"/>
      <w:lvlJc w:val="left"/>
      <w:pPr>
        <w:ind w:left="495" w:hanging="44"/>
      </w:pPr>
      <w:rPr>
        <w:rFonts w:hint="default"/>
        <w:lang w:val="en-US" w:eastAsia="en-US" w:bidi="ar-SA"/>
      </w:rPr>
    </w:lvl>
    <w:lvl w:ilvl="3" w:tplc="C180BF38">
      <w:numFmt w:val="bullet"/>
      <w:lvlText w:val="•"/>
      <w:lvlJc w:val="left"/>
      <w:pPr>
        <w:ind w:left="733" w:hanging="44"/>
      </w:pPr>
      <w:rPr>
        <w:rFonts w:hint="default"/>
        <w:lang w:val="en-US" w:eastAsia="en-US" w:bidi="ar-SA"/>
      </w:rPr>
    </w:lvl>
    <w:lvl w:ilvl="4" w:tplc="57B649A2">
      <w:numFmt w:val="bullet"/>
      <w:lvlText w:val="•"/>
      <w:lvlJc w:val="left"/>
      <w:pPr>
        <w:ind w:left="971" w:hanging="44"/>
      </w:pPr>
      <w:rPr>
        <w:rFonts w:hint="default"/>
        <w:lang w:val="en-US" w:eastAsia="en-US" w:bidi="ar-SA"/>
      </w:rPr>
    </w:lvl>
    <w:lvl w:ilvl="5" w:tplc="4B208364">
      <w:numFmt w:val="bullet"/>
      <w:lvlText w:val="•"/>
      <w:lvlJc w:val="left"/>
      <w:pPr>
        <w:ind w:left="1209" w:hanging="44"/>
      </w:pPr>
      <w:rPr>
        <w:rFonts w:hint="default"/>
        <w:lang w:val="en-US" w:eastAsia="en-US" w:bidi="ar-SA"/>
      </w:rPr>
    </w:lvl>
    <w:lvl w:ilvl="6" w:tplc="08088D58">
      <w:numFmt w:val="bullet"/>
      <w:lvlText w:val="•"/>
      <w:lvlJc w:val="left"/>
      <w:pPr>
        <w:ind w:left="1446" w:hanging="44"/>
      </w:pPr>
      <w:rPr>
        <w:rFonts w:hint="default"/>
        <w:lang w:val="en-US" w:eastAsia="en-US" w:bidi="ar-SA"/>
      </w:rPr>
    </w:lvl>
    <w:lvl w:ilvl="7" w:tplc="EA4033D4">
      <w:numFmt w:val="bullet"/>
      <w:lvlText w:val="•"/>
      <w:lvlJc w:val="left"/>
      <w:pPr>
        <w:ind w:left="1684" w:hanging="44"/>
      </w:pPr>
      <w:rPr>
        <w:rFonts w:hint="default"/>
        <w:lang w:val="en-US" w:eastAsia="en-US" w:bidi="ar-SA"/>
      </w:rPr>
    </w:lvl>
    <w:lvl w:ilvl="8" w:tplc="CCE275AA">
      <w:numFmt w:val="bullet"/>
      <w:lvlText w:val="•"/>
      <w:lvlJc w:val="left"/>
      <w:pPr>
        <w:ind w:left="1922" w:hanging="44"/>
      </w:pPr>
      <w:rPr>
        <w:rFonts w:hint="default"/>
        <w:lang w:val="en-US" w:eastAsia="en-US" w:bidi="ar-SA"/>
      </w:rPr>
    </w:lvl>
  </w:abstractNum>
  <w:abstractNum w:abstractNumId="127" w15:restartNumberingAfterBreak="0">
    <w:nsid w:val="306A1A3D"/>
    <w:multiLevelType w:val="hybridMultilevel"/>
    <w:tmpl w:val="98AA57B8"/>
    <w:lvl w:ilvl="0" w:tplc="BB16EBF4">
      <w:numFmt w:val="bullet"/>
      <w:lvlText w:val="•"/>
      <w:lvlJc w:val="left"/>
      <w:pPr>
        <w:ind w:left="27" w:hanging="71"/>
      </w:pPr>
      <w:rPr>
        <w:rFonts w:ascii="Arial" w:eastAsia="Arial" w:hAnsi="Arial" w:cs="Arial" w:hint="default"/>
        <w:color w:val="231F20"/>
        <w:w w:val="87"/>
        <w:sz w:val="14"/>
        <w:szCs w:val="14"/>
        <w:lang w:val="en-US" w:eastAsia="en-US" w:bidi="ar-SA"/>
      </w:rPr>
    </w:lvl>
    <w:lvl w:ilvl="1" w:tplc="96AE3FBE">
      <w:numFmt w:val="bullet"/>
      <w:lvlText w:val="•"/>
      <w:lvlJc w:val="left"/>
      <w:pPr>
        <w:ind w:left="263" w:hanging="71"/>
      </w:pPr>
      <w:rPr>
        <w:rFonts w:hint="default"/>
        <w:lang w:val="en-US" w:eastAsia="en-US" w:bidi="ar-SA"/>
      </w:rPr>
    </w:lvl>
    <w:lvl w:ilvl="2" w:tplc="E1FAE490">
      <w:numFmt w:val="bullet"/>
      <w:lvlText w:val="•"/>
      <w:lvlJc w:val="left"/>
      <w:pPr>
        <w:ind w:left="507" w:hanging="71"/>
      </w:pPr>
      <w:rPr>
        <w:rFonts w:hint="default"/>
        <w:lang w:val="en-US" w:eastAsia="en-US" w:bidi="ar-SA"/>
      </w:rPr>
    </w:lvl>
    <w:lvl w:ilvl="3" w:tplc="F15298C8">
      <w:numFmt w:val="bullet"/>
      <w:lvlText w:val="•"/>
      <w:lvlJc w:val="left"/>
      <w:pPr>
        <w:ind w:left="750" w:hanging="71"/>
      </w:pPr>
      <w:rPr>
        <w:rFonts w:hint="default"/>
        <w:lang w:val="en-US" w:eastAsia="en-US" w:bidi="ar-SA"/>
      </w:rPr>
    </w:lvl>
    <w:lvl w:ilvl="4" w:tplc="D64A65AA">
      <w:numFmt w:val="bullet"/>
      <w:lvlText w:val="•"/>
      <w:lvlJc w:val="left"/>
      <w:pPr>
        <w:ind w:left="994" w:hanging="71"/>
      </w:pPr>
      <w:rPr>
        <w:rFonts w:hint="default"/>
        <w:lang w:val="en-US" w:eastAsia="en-US" w:bidi="ar-SA"/>
      </w:rPr>
    </w:lvl>
    <w:lvl w:ilvl="5" w:tplc="88466636">
      <w:numFmt w:val="bullet"/>
      <w:lvlText w:val="•"/>
      <w:lvlJc w:val="left"/>
      <w:pPr>
        <w:ind w:left="1238" w:hanging="71"/>
      </w:pPr>
      <w:rPr>
        <w:rFonts w:hint="default"/>
        <w:lang w:val="en-US" w:eastAsia="en-US" w:bidi="ar-SA"/>
      </w:rPr>
    </w:lvl>
    <w:lvl w:ilvl="6" w:tplc="BE683022">
      <w:numFmt w:val="bullet"/>
      <w:lvlText w:val="•"/>
      <w:lvlJc w:val="left"/>
      <w:pPr>
        <w:ind w:left="1481" w:hanging="71"/>
      </w:pPr>
      <w:rPr>
        <w:rFonts w:hint="default"/>
        <w:lang w:val="en-US" w:eastAsia="en-US" w:bidi="ar-SA"/>
      </w:rPr>
    </w:lvl>
    <w:lvl w:ilvl="7" w:tplc="E27C6CEA">
      <w:numFmt w:val="bullet"/>
      <w:lvlText w:val="•"/>
      <w:lvlJc w:val="left"/>
      <w:pPr>
        <w:ind w:left="1725" w:hanging="71"/>
      </w:pPr>
      <w:rPr>
        <w:rFonts w:hint="default"/>
        <w:lang w:val="en-US" w:eastAsia="en-US" w:bidi="ar-SA"/>
      </w:rPr>
    </w:lvl>
    <w:lvl w:ilvl="8" w:tplc="BE0C5A3C">
      <w:numFmt w:val="bullet"/>
      <w:lvlText w:val="•"/>
      <w:lvlJc w:val="left"/>
      <w:pPr>
        <w:ind w:left="1968" w:hanging="71"/>
      </w:pPr>
      <w:rPr>
        <w:rFonts w:hint="default"/>
        <w:lang w:val="en-US" w:eastAsia="en-US" w:bidi="ar-SA"/>
      </w:rPr>
    </w:lvl>
  </w:abstractNum>
  <w:abstractNum w:abstractNumId="128" w15:restartNumberingAfterBreak="0">
    <w:nsid w:val="30975C03"/>
    <w:multiLevelType w:val="hybridMultilevel"/>
    <w:tmpl w:val="3C6A3002"/>
    <w:lvl w:ilvl="0" w:tplc="1D2C79F2">
      <w:numFmt w:val="bullet"/>
      <w:lvlText w:val="•"/>
      <w:lvlJc w:val="left"/>
      <w:pPr>
        <w:ind w:left="25" w:hanging="72"/>
      </w:pPr>
      <w:rPr>
        <w:rFonts w:ascii="Arial" w:eastAsia="Arial" w:hAnsi="Arial" w:cs="Arial" w:hint="default"/>
        <w:color w:val="231F20"/>
        <w:w w:val="88"/>
        <w:sz w:val="14"/>
        <w:szCs w:val="14"/>
        <w:lang w:val="en-US" w:eastAsia="en-US" w:bidi="ar-SA"/>
      </w:rPr>
    </w:lvl>
    <w:lvl w:ilvl="1" w:tplc="DD06A82C">
      <w:numFmt w:val="bullet"/>
      <w:lvlText w:val="•"/>
      <w:lvlJc w:val="left"/>
      <w:pPr>
        <w:ind w:left="266" w:hanging="72"/>
      </w:pPr>
      <w:rPr>
        <w:rFonts w:hint="default"/>
        <w:lang w:val="en-US" w:eastAsia="en-US" w:bidi="ar-SA"/>
      </w:rPr>
    </w:lvl>
    <w:lvl w:ilvl="2" w:tplc="52364F3C">
      <w:numFmt w:val="bullet"/>
      <w:lvlText w:val="•"/>
      <w:lvlJc w:val="left"/>
      <w:pPr>
        <w:ind w:left="512" w:hanging="72"/>
      </w:pPr>
      <w:rPr>
        <w:rFonts w:hint="default"/>
        <w:lang w:val="en-US" w:eastAsia="en-US" w:bidi="ar-SA"/>
      </w:rPr>
    </w:lvl>
    <w:lvl w:ilvl="3" w:tplc="2076D33A">
      <w:numFmt w:val="bullet"/>
      <w:lvlText w:val="•"/>
      <w:lvlJc w:val="left"/>
      <w:pPr>
        <w:ind w:left="758" w:hanging="72"/>
      </w:pPr>
      <w:rPr>
        <w:rFonts w:hint="default"/>
        <w:lang w:val="en-US" w:eastAsia="en-US" w:bidi="ar-SA"/>
      </w:rPr>
    </w:lvl>
    <w:lvl w:ilvl="4" w:tplc="FEDA8020">
      <w:numFmt w:val="bullet"/>
      <w:lvlText w:val="•"/>
      <w:lvlJc w:val="left"/>
      <w:pPr>
        <w:ind w:left="1004" w:hanging="72"/>
      </w:pPr>
      <w:rPr>
        <w:rFonts w:hint="default"/>
        <w:lang w:val="en-US" w:eastAsia="en-US" w:bidi="ar-SA"/>
      </w:rPr>
    </w:lvl>
    <w:lvl w:ilvl="5" w:tplc="D4E4C8B8">
      <w:numFmt w:val="bullet"/>
      <w:lvlText w:val="•"/>
      <w:lvlJc w:val="left"/>
      <w:pPr>
        <w:ind w:left="1251" w:hanging="72"/>
      </w:pPr>
      <w:rPr>
        <w:rFonts w:hint="default"/>
        <w:lang w:val="en-US" w:eastAsia="en-US" w:bidi="ar-SA"/>
      </w:rPr>
    </w:lvl>
    <w:lvl w:ilvl="6" w:tplc="C90090EE">
      <w:numFmt w:val="bullet"/>
      <w:lvlText w:val="•"/>
      <w:lvlJc w:val="left"/>
      <w:pPr>
        <w:ind w:left="1497" w:hanging="72"/>
      </w:pPr>
      <w:rPr>
        <w:rFonts w:hint="default"/>
        <w:lang w:val="en-US" w:eastAsia="en-US" w:bidi="ar-SA"/>
      </w:rPr>
    </w:lvl>
    <w:lvl w:ilvl="7" w:tplc="693EECD4">
      <w:numFmt w:val="bullet"/>
      <w:lvlText w:val="•"/>
      <w:lvlJc w:val="left"/>
      <w:pPr>
        <w:ind w:left="1743" w:hanging="72"/>
      </w:pPr>
      <w:rPr>
        <w:rFonts w:hint="default"/>
        <w:lang w:val="en-US" w:eastAsia="en-US" w:bidi="ar-SA"/>
      </w:rPr>
    </w:lvl>
    <w:lvl w:ilvl="8" w:tplc="23ACDFA8">
      <w:numFmt w:val="bullet"/>
      <w:lvlText w:val="•"/>
      <w:lvlJc w:val="left"/>
      <w:pPr>
        <w:ind w:left="1989" w:hanging="72"/>
      </w:pPr>
      <w:rPr>
        <w:rFonts w:hint="default"/>
        <w:lang w:val="en-US" w:eastAsia="en-US" w:bidi="ar-SA"/>
      </w:rPr>
    </w:lvl>
  </w:abstractNum>
  <w:abstractNum w:abstractNumId="129" w15:restartNumberingAfterBreak="0">
    <w:nsid w:val="309D3B60"/>
    <w:multiLevelType w:val="hybridMultilevel"/>
    <w:tmpl w:val="412C92D4"/>
    <w:lvl w:ilvl="0" w:tplc="561CC52A">
      <w:numFmt w:val="bullet"/>
      <w:lvlText w:val="•"/>
      <w:lvlJc w:val="left"/>
      <w:pPr>
        <w:ind w:left="25" w:hanging="80"/>
      </w:pPr>
      <w:rPr>
        <w:rFonts w:ascii="Arial" w:eastAsia="Arial" w:hAnsi="Arial" w:cs="Arial" w:hint="default"/>
        <w:color w:val="231F20"/>
        <w:w w:val="74"/>
        <w:sz w:val="17"/>
        <w:szCs w:val="17"/>
        <w:lang w:val="en-US" w:eastAsia="en-US" w:bidi="ar-SA"/>
      </w:rPr>
    </w:lvl>
    <w:lvl w:ilvl="1" w:tplc="575CE554">
      <w:numFmt w:val="bullet"/>
      <w:lvlText w:val="•"/>
      <w:lvlJc w:val="left"/>
      <w:pPr>
        <w:ind w:left="270" w:hanging="80"/>
      </w:pPr>
      <w:rPr>
        <w:rFonts w:hint="default"/>
        <w:lang w:val="en-US" w:eastAsia="en-US" w:bidi="ar-SA"/>
      </w:rPr>
    </w:lvl>
    <w:lvl w:ilvl="2" w:tplc="4F469626">
      <w:numFmt w:val="bullet"/>
      <w:lvlText w:val="•"/>
      <w:lvlJc w:val="left"/>
      <w:pPr>
        <w:ind w:left="521" w:hanging="80"/>
      </w:pPr>
      <w:rPr>
        <w:rFonts w:hint="default"/>
        <w:lang w:val="en-US" w:eastAsia="en-US" w:bidi="ar-SA"/>
      </w:rPr>
    </w:lvl>
    <w:lvl w:ilvl="3" w:tplc="CAACCA56">
      <w:numFmt w:val="bullet"/>
      <w:lvlText w:val="•"/>
      <w:lvlJc w:val="left"/>
      <w:pPr>
        <w:ind w:left="771" w:hanging="80"/>
      </w:pPr>
      <w:rPr>
        <w:rFonts w:hint="default"/>
        <w:lang w:val="en-US" w:eastAsia="en-US" w:bidi="ar-SA"/>
      </w:rPr>
    </w:lvl>
    <w:lvl w:ilvl="4" w:tplc="C2688614">
      <w:numFmt w:val="bullet"/>
      <w:lvlText w:val="•"/>
      <w:lvlJc w:val="left"/>
      <w:pPr>
        <w:ind w:left="1022" w:hanging="80"/>
      </w:pPr>
      <w:rPr>
        <w:rFonts w:hint="default"/>
        <w:lang w:val="en-US" w:eastAsia="en-US" w:bidi="ar-SA"/>
      </w:rPr>
    </w:lvl>
    <w:lvl w:ilvl="5" w:tplc="27AA2D2C">
      <w:numFmt w:val="bullet"/>
      <w:lvlText w:val="•"/>
      <w:lvlJc w:val="left"/>
      <w:pPr>
        <w:ind w:left="1273" w:hanging="80"/>
      </w:pPr>
      <w:rPr>
        <w:rFonts w:hint="default"/>
        <w:lang w:val="en-US" w:eastAsia="en-US" w:bidi="ar-SA"/>
      </w:rPr>
    </w:lvl>
    <w:lvl w:ilvl="6" w:tplc="3920D322">
      <w:numFmt w:val="bullet"/>
      <w:lvlText w:val="•"/>
      <w:lvlJc w:val="left"/>
      <w:pPr>
        <w:ind w:left="1523" w:hanging="80"/>
      </w:pPr>
      <w:rPr>
        <w:rFonts w:hint="default"/>
        <w:lang w:val="en-US" w:eastAsia="en-US" w:bidi="ar-SA"/>
      </w:rPr>
    </w:lvl>
    <w:lvl w:ilvl="7" w:tplc="6A7CADE4">
      <w:numFmt w:val="bullet"/>
      <w:lvlText w:val="•"/>
      <w:lvlJc w:val="left"/>
      <w:pPr>
        <w:ind w:left="1774" w:hanging="80"/>
      </w:pPr>
      <w:rPr>
        <w:rFonts w:hint="default"/>
        <w:lang w:val="en-US" w:eastAsia="en-US" w:bidi="ar-SA"/>
      </w:rPr>
    </w:lvl>
    <w:lvl w:ilvl="8" w:tplc="B8A2C8FC">
      <w:numFmt w:val="bullet"/>
      <w:lvlText w:val="•"/>
      <w:lvlJc w:val="left"/>
      <w:pPr>
        <w:ind w:left="2024" w:hanging="80"/>
      </w:pPr>
      <w:rPr>
        <w:rFonts w:hint="default"/>
        <w:lang w:val="en-US" w:eastAsia="en-US" w:bidi="ar-SA"/>
      </w:rPr>
    </w:lvl>
  </w:abstractNum>
  <w:abstractNum w:abstractNumId="130" w15:restartNumberingAfterBreak="0">
    <w:nsid w:val="316659BE"/>
    <w:multiLevelType w:val="hybridMultilevel"/>
    <w:tmpl w:val="2DCC493E"/>
    <w:lvl w:ilvl="0" w:tplc="60A04ECE">
      <w:numFmt w:val="bullet"/>
      <w:lvlText w:val="•"/>
      <w:lvlJc w:val="left"/>
      <w:pPr>
        <w:ind w:left="25" w:hanging="80"/>
      </w:pPr>
      <w:rPr>
        <w:rFonts w:ascii="Arial" w:eastAsia="Arial" w:hAnsi="Arial" w:cs="Arial" w:hint="default"/>
        <w:color w:val="231F20"/>
        <w:w w:val="78"/>
        <w:sz w:val="16"/>
        <w:szCs w:val="16"/>
        <w:lang w:val="en-US" w:eastAsia="en-US" w:bidi="ar-SA"/>
      </w:rPr>
    </w:lvl>
    <w:lvl w:ilvl="1" w:tplc="9F9CB63E">
      <w:numFmt w:val="bullet"/>
      <w:lvlText w:val="•"/>
      <w:lvlJc w:val="left"/>
      <w:pPr>
        <w:ind w:left="270" w:hanging="80"/>
      </w:pPr>
      <w:rPr>
        <w:rFonts w:hint="default"/>
        <w:lang w:val="en-US" w:eastAsia="en-US" w:bidi="ar-SA"/>
      </w:rPr>
    </w:lvl>
    <w:lvl w:ilvl="2" w:tplc="117C3D12">
      <w:numFmt w:val="bullet"/>
      <w:lvlText w:val="•"/>
      <w:lvlJc w:val="left"/>
      <w:pPr>
        <w:ind w:left="520" w:hanging="80"/>
      </w:pPr>
      <w:rPr>
        <w:rFonts w:hint="default"/>
        <w:lang w:val="en-US" w:eastAsia="en-US" w:bidi="ar-SA"/>
      </w:rPr>
    </w:lvl>
    <w:lvl w:ilvl="3" w:tplc="532C3ABE">
      <w:numFmt w:val="bullet"/>
      <w:lvlText w:val="•"/>
      <w:lvlJc w:val="left"/>
      <w:pPr>
        <w:ind w:left="770" w:hanging="80"/>
      </w:pPr>
      <w:rPr>
        <w:rFonts w:hint="default"/>
        <w:lang w:val="en-US" w:eastAsia="en-US" w:bidi="ar-SA"/>
      </w:rPr>
    </w:lvl>
    <w:lvl w:ilvl="4" w:tplc="E92E0B92">
      <w:numFmt w:val="bullet"/>
      <w:lvlText w:val="•"/>
      <w:lvlJc w:val="left"/>
      <w:pPr>
        <w:ind w:left="1021" w:hanging="80"/>
      </w:pPr>
      <w:rPr>
        <w:rFonts w:hint="default"/>
        <w:lang w:val="en-US" w:eastAsia="en-US" w:bidi="ar-SA"/>
      </w:rPr>
    </w:lvl>
    <w:lvl w:ilvl="5" w:tplc="449A2B6A">
      <w:numFmt w:val="bullet"/>
      <w:lvlText w:val="•"/>
      <w:lvlJc w:val="left"/>
      <w:pPr>
        <w:ind w:left="1271" w:hanging="80"/>
      </w:pPr>
      <w:rPr>
        <w:rFonts w:hint="default"/>
        <w:lang w:val="en-US" w:eastAsia="en-US" w:bidi="ar-SA"/>
      </w:rPr>
    </w:lvl>
    <w:lvl w:ilvl="6" w:tplc="E57C8A26">
      <w:numFmt w:val="bullet"/>
      <w:lvlText w:val="•"/>
      <w:lvlJc w:val="left"/>
      <w:pPr>
        <w:ind w:left="1521" w:hanging="80"/>
      </w:pPr>
      <w:rPr>
        <w:rFonts w:hint="default"/>
        <w:lang w:val="en-US" w:eastAsia="en-US" w:bidi="ar-SA"/>
      </w:rPr>
    </w:lvl>
    <w:lvl w:ilvl="7" w:tplc="39C6CE46">
      <w:numFmt w:val="bullet"/>
      <w:lvlText w:val="•"/>
      <w:lvlJc w:val="left"/>
      <w:pPr>
        <w:ind w:left="1772" w:hanging="80"/>
      </w:pPr>
      <w:rPr>
        <w:rFonts w:hint="default"/>
        <w:lang w:val="en-US" w:eastAsia="en-US" w:bidi="ar-SA"/>
      </w:rPr>
    </w:lvl>
    <w:lvl w:ilvl="8" w:tplc="E556C9AA">
      <w:numFmt w:val="bullet"/>
      <w:lvlText w:val="•"/>
      <w:lvlJc w:val="left"/>
      <w:pPr>
        <w:ind w:left="2022" w:hanging="80"/>
      </w:pPr>
      <w:rPr>
        <w:rFonts w:hint="default"/>
        <w:lang w:val="en-US" w:eastAsia="en-US" w:bidi="ar-SA"/>
      </w:rPr>
    </w:lvl>
  </w:abstractNum>
  <w:abstractNum w:abstractNumId="131" w15:restartNumberingAfterBreak="0">
    <w:nsid w:val="319971C1"/>
    <w:multiLevelType w:val="hybridMultilevel"/>
    <w:tmpl w:val="90A6C286"/>
    <w:lvl w:ilvl="0" w:tplc="041ADA8A">
      <w:numFmt w:val="bullet"/>
      <w:lvlText w:val="•"/>
      <w:lvlJc w:val="left"/>
      <w:pPr>
        <w:ind w:left="27" w:hanging="76"/>
      </w:pPr>
      <w:rPr>
        <w:rFonts w:ascii="Arial" w:eastAsia="Arial" w:hAnsi="Arial" w:cs="Arial" w:hint="default"/>
        <w:color w:val="231F20"/>
        <w:w w:val="100"/>
        <w:sz w:val="12"/>
        <w:szCs w:val="12"/>
        <w:lang w:val="en-US" w:eastAsia="en-US" w:bidi="ar-SA"/>
      </w:rPr>
    </w:lvl>
    <w:lvl w:ilvl="1" w:tplc="7E7852E8">
      <w:numFmt w:val="bullet"/>
      <w:lvlText w:val="•"/>
      <w:lvlJc w:val="left"/>
      <w:pPr>
        <w:ind w:left="258" w:hanging="76"/>
      </w:pPr>
      <w:rPr>
        <w:rFonts w:hint="default"/>
        <w:lang w:val="en-US" w:eastAsia="en-US" w:bidi="ar-SA"/>
      </w:rPr>
    </w:lvl>
    <w:lvl w:ilvl="2" w:tplc="0180D436">
      <w:numFmt w:val="bullet"/>
      <w:lvlText w:val="•"/>
      <w:lvlJc w:val="left"/>
      <w:pPr>
        <w:ind w:left="497" w:hanging="76"/>
      </w:pPr>
      <w:rPr>
        <w:rFonts w:hint="default"/>
        <w:lang w:val="en-US" w:eastAsia="en-US" w:bidi="ar-SA"/>
      </w:rPr>
    </w:lvl>
    <w:lvl w:ilvl="3" w:tplc="B9E07ECE">
      <w:numFmt w:val="bullet"/>
      <w:lvlText w:val="•"/>
      <w:lvlJc w:val="left"/>
      <w:pPr>
        <w:ind w:left="736" w:hanging="76"/>
      </w:pPr>
      <w:rPr>
        <w:rFonts w:hint="default"/>
        <w:lang w:val="en-US" w:eastAsia="en-US" w:bidi="ar-SA"/>
      </w:rPr>
    </w:lvl>
    <w:lvl w:ilvl="4" w:tplc="31B8E142">
      <w:numFmt w:val="bullet"/>
      <w:lvlText w:val="•"/>
      <w:lvlJc w:val="left"/>
      <w:pPr>
        <w:ind w:left="975" w:hanging="76"/>
      </w:pPr>
      <w:rPr>
        <w:rFonts w:hint="default"/>
        <w:lang w:val="en-US" w:eastAsia="en-US" w:bidi="ar-SA"/>
      </w:rPr>
    </w:lvl>
    <w:lvl w:ilvl="5" w:tplc="289AE9C0">
      <w:numFmt w:val="bullet"/>
      <w:lvlText w:val="•"/>
      <w:lvlJc w:val="left"/>
      <w:pPr>
        <w:ind w:left="1214" w:hanging="76"/>
      </w:pPr>
      <w:rPr>
        <w:rFonts w:hint="default"/>
        <w:lang w:val="en-US" w:eastAsia="en-US" w:bidi="ar-SA"/>
      </w:rPr>
    </w:lvl>
    <w:lvl w:ilvl="6" w:tplc="193214E4">
      <w:numFmt w:val="bullet"/>
      <w:lvlText w:val="•"/>
      <w:lvlJc w:val="left"/>
      <w:pPr>
        <w:ind w:left="1452" w:hanging="76"/>
      </w:pPr>
      <w:rPr>
        <w:rFonts w:hint="default"/>
        <w:lang w:val="en-US" w:eastAsia="en-US" w:bidi="ar-SA"/>
      </w:rPr>
    </w:lvl>
    <w:lvl w:ilvl="7" w:tplc="F5D6C80A">
      <w:numFmt w:val="bullet"/>
      <w:lvlText w:val="•"/>
      <w:lvlJc w:val="left"/>
      <w:pPr>
        <w:ind w:left="1691" w:hanging="76"/>
      </w:pPr>
      <w:rPr>
        <w:rFonts w:hint="default"/>
        <w:lang w:val="en-US" w:eastAsia="en-US" w:bidi="ar-SA"/>
      </w:rPr>
    </w:lvl>
    <w:lvl w:ilvl="8" w:tplc="CE6CA69C">
      <w:numFmt w:val="bullet"/>
      <w:lvlText w:val="•"/>
      <w:lvlJc w:val="left"/>
      <w:pPr>
        <w:ind w:left="1930" w:hanging="76"/>
      </w:pPr>
      <w:rPr>
        <w:rFonts w:hint="default"/>
        <w:lang w:val="en-US" w:eastAsia="en-US" w:bidi="ar-SA"/>
      </w:rPr>
    </w:lvl>
  </w:abstractNum>
  <w:abstractNum w:abstractNumId="132" w15:restartNumberingAfterBreak="0">
    <w:nsid w:val="32581D11"/>
    <w:multiLevelType w:val="hybridMultilevel"/>
    <w:tmpl w:val="73389DCA"/>
    <w:lvl w:ilvl="0" w:tplc="FA96FEBA">
      <w:numFmt w:val="bullet"/>
      <w:lvlText w:val="•"/>
      <w:lvlJc w:val="left"/>
      <w:pPr>
        <w:ind w:left="26" w:hanging="70"/>
      </w:pPr>
      <w:rPr>
        <w:rFonts w:ascii="Arial" w:eastAsia="Arial" w:hAnsi="Arial" w:cs="Arial" w:hint="default"/>
        <w:color w:val="231F20"/>
        <w:w w:val="80"/>
        <w:sz w:val="15"/>
        <w:szCs w:val="15"/>
        <w:lang w:val="en-US" w:eastAsia="en-US" w:bidi="ar-SA"/>
      </w:rPr>
    </w:lvl>
    <w:lvl w:ilvl="1" w:tplc="E79CD81E">
      <w:numFmt w:val="bullet"/>
      <w:lvlText w:val="•"/>
      <w:lvlJc w:val="left"/>
      <w:pPr>
        <w:ind w:left="258" w:hanging="70"/>
      </w:pPr>
      <w:rPr>
        <w:rFonts w:hint="default"/>
        <w:lang w:val="en-US" w:eastAsia="en-US" w:bidi="ar-SA"/>
      </w:rPr>
    </w:lvl>
    <w:lvl w:ilvl="2" w:tplc="84A89F52">
      <w:numFmt w:val="bullet"/>
      <w:lvlText w:val="•"/>
      <w:lvlJc w:val="left"/>
      <w:pPr>
        <w:ind w:left="497" w:hanging="70"/>
      </w:pPr>
      <w:rPr>
        <w:rFonts w:hint="default"/>
        <w:lang w:val="en-US" w:eastAsia="en-US" w:bidi="ar-SA"/>
      </w:rPr>
    </w:lvl>
    <w:lvl w:ilvl="3" w:tplc="81EE0A20">
      <w:numFmt w:val="bullet"/>
      <w:lvlText w:val="•"/>
      <w:lvlJc w:val="left"/>
      <w:pPr>
        <w:ind w:left="736" w:hanging="70"/>
      </w:pPr>
      <w:rPr>
        <w:rFonts w:hint="default"/>
        <w:lang w:val="en-US" w:eastAsia="en-US" w:bidi="ar-SA"/>
      </w:rPr>
    </w:lvl>
    <w:lvl w:ilvl="4" w:tplc="C6F64014">
      <w:numFmt w:val="bullet"/>
      <w:lvlText w:val="•"/>
      <w:lvlJc w:val="left"/>
      <w:pPr>
        <w:ind w:left="975" w:hanging="70"/>
      </w:pPr>
      <w:rPr>
        <w:rFonts w:hint="default"/>
        <w:lang w:val="en-US" w:eastAsia="en-US" w:bidi="ar-SA"/>
      </w:rPr>
    </w:lvl>
    <w:lvl w:ilvl="5" w:tplc="8F7C2976">
      <w:numFmt w:val="bullet"/>
      <w:lvlText w:val="•"/>
      <w:lvlJc w:val="left"/>
      <w:pPr>
        <w:ind w:left="1214" w:hanging="70"/>
      </w:pPr>
      <w:rPr>
        <w:rFonts w:hint="default"/>
        <w:lang w:val="en-US" w:eastAsia="en-US" w:bidi="ar-SA"/>
      </w:rPr>
    </w:lvl>
    <w:lvl w:ilvl="6" w:tplc="E2A099BC">
      <w:numFmt w:val="bullet"/>
      <w:lvlText w:val="•"/>
      <w:lvlJc w:val="left"/>
      <w:pPr>
        <w:ind w:left="1452" w:hanging="70"/>
      </w:pPr>
      <w:rPr>
        <w:rFonts w:hint="default"/>
        <w:lang w:val="en-US" w:eastAsia="en-US" w:bidi="ar-SA"/>
      </w:rPr>
    </w:lvl>
    <w:lvl w:ilvl="7" w:tplc="674069A6">
      <w:numFmt w:val="bullet"/>
      <w:lvlText w:val="•"/>
      <w:lvlJc w:val="left"/>
      <w:pPr>
        <w:ind w:left="1691" w:hanging="70"/>
      </w:pPr>
      <w:rPr>
        <w:rFonts w:hint="default"/>
        <w:lang w:val="en-US" w:eastAsia="en-US" w:bidi="ar-SA"/>
      </w:rPr>
    </w:lvl>
    <w:lvl w:ilvl="8" w:tplc="82AA3E94">
      <w:numFmt w:val="bullet"/>
      <w:lvlText w:val="•"/>
      <w:lvlJc w:val="left"/>
      <w:pPr>
        <w:ind w:left="1930" w:hanging="70"/>
      </w:pPr>
      <w:rPr>
        <w:rFonts w:hint="default"/>
        <w:lang w:val="en-US" w:eastAsia="en-US" w:bidi="ar-SA"/>
      </w:rPr>
    </w:lvl>
  </w:abstractNum>
  <w:abstractNum w:abstractNumId="133" w15:restartNumberingAfterBreak="0">
    <w:nsid w:val="327F6875"/>
    <w:multiLevelType w:val="hybridMultilevel"/>
    <w:tmpl w:val="4E629C16"/>
    <w:lvl w:ilvl="0" w:tplc="6B66A1A0">
      <w:numFmt w:val="bullet"/>
      <w:lvlText w:val="•"/>
      <w:lvlJc w:val="left"/>
      <w:pPr>
        <w:ind w:left="20" w:hanging="75"/>
      </w:pPr>
      <w:rPr>
        <w:rFonts w:ascii="Arial" w:eastAsia="Arial" w:hAnsi="Arial" w:cs="Arial" w:hint="default"/>
        <w:color w:val="231F20"/>
        <w:w w:val="79"/>
        <w:sz w:val="15"/>
        <w:szCs w:val="15"/>
        <w:lang w:val="en-US" w:eastAsia="en-US" w:bidi="ar-SA"/>
      </w:rPr>
    </w:lvl>
    <w:lvl w:ilvl="1" w:tplc="00749BB2">
      <w:numFmt w:val="bullet"/>
      <w:lvlText w:val="•"/>
      <w:lvlJc w:val="left"/>
      <w:pPr>
        <w:ind w:left="255" w:hanging="75"/>
      </w:pPr>
      <w:rPr>
        <w:rFonts w:hint="default"/>
        <w:lang w:val="en-US" w:eastAsia="en-US" w:bidi="ar-SA"/>
      </w:rPr>
    </w:lvl>
    <w:lvl w:ilvl="2" w:tplc="889A269C">
      <w:numFmt w:val="bullet"/>
      <w:lvlText w:val="•"/>
      <w:lvlJc w:val="left"/>
      <w:pPr>
        <w:ind w:left="490" w:hanging="75"/>
      </w:pPr>
      <w:rPr>
        <w:rFonts w:hint="default"/>
        <w:lang w:val="en-US" w:eastAsia="en-US" w:bidi="ar-SA"/>
      </w:rPr>
    </w:lvl>
    <w:lvl w:ilvl="3" w:tplc="B0403564">
      <w:numFmt w:val="bullet"/>
      <w:lvlText w:val="•"/>
      <w:lvlJc w:val="left"/>
      <w:pPr>
        <w:ind w:left="725" w:hanging="75"/>
      </w:pPr>
      <w:rPr>
        <w:rFonts w:hint="default"/>
        <w:lang w:val="en-US" w:eastAsia="en-US" w:bidi="ar-SA"/>
      </w:rPr>
    </w:lvl>
    <w:lvl w:ilvl="4" w:tplc="CF3CAA60">
      <w:numFmt w:val="bullet"/>
      <w:lvlText w:val="•"/>
      <w:lvlJc w:val="left"/>
      <w:pPr>
        <w:ind w:left="961" w:hanging="75"/>
      </w:pPr>
      <w:rPr>
        <w:rFonts w:hint="default"/>
        <w:lang w:val="en-US" w:eastAsia="en-US" w:bidi="ar-SA"/>
      </w:rPr>
    </w:lvl>
    <w:lvl w:ilvl="5" w:tplc="9844DD22">
      <w:numFmt w:val="bullet"/>
      <w:lvlText w:val="•"/>
      <w:lvlJc w:val="left"/>
      <w:pPr>
        <w:ind w:left="1196" w:hanging="75"/>
      </w:pPr>
      <w:rPr>
        <w:rFonts w:hint="default"/>
        <w:lang w:val="en-US" w:eastAsia="en-US" w:bidi="ar-SA"/>
      </w:rPr>
    </w:lvl>
    <w:lvl w:ilvl="6" w:tplc="030A15C4">
      <w:numFmt w:val="bullet"/>
      <w:lvlText w:val="•"/>
      <w:lvlJc w:val="left"/>
      <w:pPr>
        <w:ind w:left="1431" w:hanging="75"/>
      </w:pPr>
      <w:rPr>
        <w:rFonts w:hint="default"/>
        <w:lang w:val="en-US" w:eastAsia="en-US" w:bidi="ar-SA"/>
      </w:rPr>
    </w:lvl>
    <w:lvl w:ilvl="7" w:tplc="693241E4">
      <w:numFmt w:val="bullet"/>
      <w:lvlText w:val="•"/>
      <w:lvlJc w:val="left"/>
      <w:pPr>
        <w:ind w:left="1667" w:hanging="75"/>
      </w:pPr>
      <w:rPr>
        <w:rFonts w:hint="default"/>
        <w:lang w:val="en-US" w:eastAsia="en-US" w:bidi="ar-SA"/>
      </w:rPr>
    </w:lvl>
    <w:lvl w:ilvl="8" w:tplc="149E31E8">
      <w:numFmt w:val="bullet"/>
      <w:lvlText w:val="•"/>
      <w:lvlJc w:val="left"/>
      <w:pPr>
        <w:ind w:left="1902" w:hanging="75"/>
      </w:pPr>
      <w:rPr>
        <w:rFonts w:hint="default"/>
        <w:lang w:val="en-US" w:eastAsia="en-US" w:bidi="ar-SA"/>
      </w:rPr>
    </w:lvl>
  </w:abstractNum>
  <w:abstractNum w:abstractNumId="134" w15:restartNumberingAfterBreak="0">
    <w:nsid w:val="32A34E9D"/>
    <w:multiLevelType w:val="hybridMultilevel"/>
    <w:tmpl w:val="2A7673F4"/>
    <w:lvl w:ilvl="0" w:tplc="E28004B8">
      <w:numFmt w:val="bullet"/>
      <w:lvlText w:val="•"/>
      <w:lvlJc w:val="left"/>
      <w:pPr>
        <w:ind w:left="25" w:hanging="78"/>
      </w:pPr>
      <w:rPr>
        <w:rFonts w:ascii="Arial" w:eastAsia="Arial" w:hAnsi="Arial" w:cs="Arial" w:hint="default"/>
        <w:color w:val="231F20"/>
        <w:w w:val="95"/>
        <w:sz w:val="13"/>
        <w:szCs w:val="13"/>
        <w:lang w:val="en-US" w:eastAsia="en-US" w:bidi="ar-SA"/>
      </w:rPr>
    </w:lvl>
    <w:lvl w:ilvl="1" w:tplc="81CE23FE">
      <w:numFmt w:val="bullet"/>
      <w:lvlText w:val="•"/>
      <w:lvlJc w:val="left"/>
      <w:pPr>
        <w:ind w:left="265" w:hanging="78"/>
      </w:pPr>
      <w:rPr>
        <w:rFonts w:hint="default"/>
        <w:lang w:val="en-US" w:eastAsia="en-US" w:bidi="ar-SA"/>
      </w:rPr>
    </w:lvl>
    <w:lvl w:ilvl="2" w:tplc="3BD4A168">
      <w:numFmt w:val="bullet"/>
      <w:lvlText w:val="•"/>
      <w:lvlJc w:val="left"/>
      <w:pPr>
        <w:ind w:left="510" w:hanging="78"/>
      </w:pPr>
      <w:rPr>
        <w:rFonts w:hint="default"/>
        <w:lang w:val="en-US" w:eastAsia="en-US" w:bidi="ar-SA"/>
      </w:rPr>
    </w:lvl>
    <w:lvl w:ilvl="3" w:tplc="B352DB3E">
      <w:numFmt w:val="bullet"/>
      <w:lvlText w:val="•"/>
      <w:lvlJc w:val="left"/>
      <w:pPr>
        <w:ind w:left="755" w:hanging="78"/>
      </w:pPr>
      <w:rPr>
        <w:rFonts w:hint="default"/>
        <w:lang w:val="en-US" w:eastAsia="en-US" w:bidi="ar-SA"/>
      </w:rPr>
    </w:lvl>
    <w:lvl w:ilvl="4" w:tplc="6652BB3C">
      <w:numFmt w:val="bullet"/>
      <w:lvlText w:val="•"/>
      <w:lvlJc w:val="left"/>
      <w:pPr>
        <w:ind w:left="1001" w:hanging="78"/>
      </w:pPr>
      <w:rPr>
        <w:rFonts w:hint="default"/>
        <w:lang w:val="en-US" w:eastAsia="en-US" w:bidi="ar-SA"/>
      </w:rPr>
    </w:lvl>
    <w:lvl w:ilvl="5" w:tplc="8A566A12">
      <w:numFmt w:val="bullet"/>
      <w:lvlText w:val="•"/>
      <w:lvlJc w:val="left"/>
      <w:pPr>
        <w:ind w:left="1246" w:hanging="78"/>
      </w:pPr>
      <w:rPr>
        <w:rFonts w:hint="default"/>
        <w:lang w:val="en-US" w:eastAsia="en-US" w:bidi="ar-SA"/>
      </w:rPr>
    </w:lvl>
    <w:lvl w:ilvl="6" w:tplc="B804165A">
      <w:numFmt w:val="bullet"/>
      <w:lvlText w:val="•"/>
      <w:lvlJc w:val="left"/>
      <w:pPr>
        <w:ind w:left="1491" w:hanging="78"/>
      </w:pPr>
      <w:rPr>
        <w:rFonts w:hint="default"/>
        <w:lang w:val="en-US" w:eastAsia="en-US" w:bidi="ar-SA"/>
      </w:rPr>
    </w:lvl>
    <w:lvl w:ilvl="7" w:tplc="C308BD96">
      <w:numFmt w:val="bullet"/>
      <w:lvlText w:val="•"/>
      <w:lvlJc w:val="left"/>
      <w:pPr>
        <w:ind w:left="1737" w:hanging="78"/>
      </w:pPr>
      <w:rPr>
        <w:rFonts w:hint="default"/>
        <w:lang w:val="en-US" w:eastAsia="en-US" w:bidi="ar-SA"/>
      </w:rPr>
    </w:lvl>
    <w:lvl w:ilvl="8" w:tplc="C80AE26A">
      <w:numFmt w:val="bullet"/>
      <w:lvlText w:val="•"/>
      <w:lvlJc w:val="left"/>
      <w:pPr>
        <w:ind w:left="1982" w:hanging="78"/>
      </w:pPr>
      <w:rPr>
        <w:rFonts w:hint="default"/>
        <w:lang w:val="en-US" w:eastAsia="en-US" w:bidi="ar-SA"/>
      </w:rPr>
    </w:lvl>
  </w:abstractNum>
  <w:abstractNum w:abstractNumId="135" w15:restartNumberingAfterBreak="0">
    <w:nsid w:val="3342370E"/>
    <w:multiLevelType w:val="hybridMultilevel"/>
    <w:tmpl w:val="C2C6C642"/>
    <w:lvl w:ilvl="0" w:tplc="863AEEAC">
      <w:numFmt w:val="bullet"/>
      <w:lvlText w:val="•"/>
      <w:lvlJc w:val="left"/>
      <w:pPr>
        <w:ind w:left="29" w:hanging="70"/>
      </w:pPr>
      <w:rPr>
        <w:rFonts w:ascii="Arial" w:eastAsia="Arial" w:hAnsi="Arial" w:cs="Arial" w:hint="default"/>
        <w:color w:val="231F20"/>
        <w:w w:val="120"/>
        <w:sz w:val="10"/>
        <w:szCs w:val="10"/>
        <w:lang w:val="en-US" w:eastAsia="en-US" w:bidi="ar-SA"/>
      </w:rPr>
    </w:lvl>
    <w:lvl w:ilvl="1" w:tplc="D876E87C">
      <w:numFmt w:val="bullet"/>
      <w:lvlText w:val="•"/>
      <w:lvlJc w:val="left"/>
      <w:pPr>
        <w:ind w:left="259" w:hanging="70"/>
      </w:pPr>
      <w:rPr>
        <w:rFonts w:hint="default"/>
        <w:lang w:val="en-US" w:eastAsia="en-US" w:bidi="ar-SA"/>
      </w:rPr>
    </w:lvl>
    <w:lvl w:ilvl="2" w:tplc="8F80A3A8">
      <w:numFmt w:val="bullet"/>
      <w:lvlText w:val="•"/>
      <w:lvlJc w:val="left"/>
      <w:pPr>
        <w:ind w:left="498" w:hanging="70"/>
      </w:pPr>
      <w:rPr>
        <w:rFonts w:hint="default"/>
        <w:lang w:val="en-US" w:eastAsia="en-US" w:bidi="ar-SA"/>
      </w:rPr>
    </w:lvl>
    <w:lvl w:ilvl="3" w:tplc="D27EEA76">
      <w:numFmt w:val="bullet"/>
      <w:lvlText w:val="•"/>
      <w:lvlJc w:val="left"/>
      <w:pPr>
        <w:ind w:left="737" w:hanging="70"/>
      </w:pPr>
      <w:rPr>
        <w:rFonts w:hint="default"/>
        <w:lang w:val="en-US" w:eastAsia="en-US" w:bidi="ar-SA"/>
      </w:rPr>
    </w:lvl>
    <w:lvl w:ilvl="4" w:tplc="73BEA5AE">
      <w:numFmt w:val="bullet"/>
      <w:lvlText w:val="•"/>
      <w:lvlJc w:val="left"/>
      <w:pPr>
        <w:ind w:left="976" w:hanging="70"/>
      </w:pPr>
      <w:rPr>
        <w:rFonts w:hint="default"/>
        <w:lang w:val="en-US" w:eastAsia="en-US" w:bidi="ar-SA"/>
      </w:rPr>
    </w:lvl>
    <w:lvl w:ilvl="5" w:tplc="9704EF20">
      <w:numFmt w:val="bullet"/>
      <w:lvlText w:val="•"/>
      <w:lvlJc w:val="left"/>
      <w:pPr>
        <w:ind w:left="1215" w:hanging="70"/>
      </w:pPr>
      <w:rPr>
        <w:rFonts w:hint="default"/>
        <w:lang w:val="en-US" w:eastAsia="en-US" w:bidi="ar-SA"/>
      </w:rPr>
    </w:lvl>
    <w:lvl w:ilvl="6" w:tplc="4A786C2A">
      <w:numFmt w:val="bullet"/>
      <w:lvlText w:val="•"/>
      <w:lvlJc w:val="left"/>
      <w:pPr>
        <w:ind w:left="1454" w:hanging="70"/>
      </w:pPr>
      <w:rPr>
        <w:rFonts w:hint="default"/>
        <w:lang w:val="en-US" w:eastAsia="en-US" w:bidi="ar-SA"/>
      </w:rPr>
    </w:lvl>
    <w:lvl w:ilvl="7" w:tplc="0BC861C0">
      <w:numFmt w:val="bullet"/>
      <w:lvlText w:val="•"/>
      <w:lvlJc w:val="left"/>
      <w:pPr>
        <w:ind w:left="1693" w:hanging="70"/>
      </w:pPr>
      <w:rPr>
        <w:rFonts w:hint="default"/>
        <w:lang w:val="en-US" w:eastAsia="en-US" w:bidi="ar-SA"/>
      </w:rPr>
    </w:lvl>
    <w:lvl w:ilvl="8" w:tplc="614C1FE8">
      <w:numFmt w:val="bullet"/>
      <w:lvlText w:val="•"/>
      <w:lvlJc w:val="left"/>
      <w:pPr>
        <w:ind w:left="1932" w:hanging="70"/>
      </w:pPr>
      <w:rPr>
        <w:rFonts w:hint="default"/>
        <w:lang w:val="en-US" w:eastAsia="en-US" w:bidi="ar-SA"/>
      </w:rPr>
    </w:lvl>
  </w:abstractNum>
  <w:abstractNum w:abstractNumId="136" w15:restartNumberingAfterBreak="0">
    <w:nsid w:val="33736DE4"/>
    <w:multiLevelType w:val="hybridMultilevel"/>
    <w:tmpl w:val="080AE2B4"/>
    <w:lvl w:ilvl="0" w:tplc="A3768F36">
      <w:numFmt w:val="bullet"/>
      <w:lvlText w:val="•"/>
      <w:lvlJc w:val="left"/>
      <w:pPr>
        <w:ind w:left="24" w:hanging="75"/>
      </w:pPr>
      <w:rPr>
        <w:rFonts w:ascii="Arial" w:eastAsia="Arial" w:hAnsi="Arial" w:cs="Arial" w:hint="default"/>
        <w:color w:val="231F20"/>
        <w:w w:val="91"/>
        <w:sz w:val="13"/>
        <w:szCs w:val="13"/>
        <w:lang w:val="en-US" w:eastAsia="en-US" w:bidi="ar-SA"/>
      </w:rPr>
    </w:lvl>
    <w:lvl w:ilvl="1" w:tplc="93DE3504">
      <w:numFmt w:val="bullet"/>
      <w:lvlText w:val="•"/>
      <w:lvlJc w:val="left"/>
      <w:pPr>
        <w:ind w:left="256" w:hanging="75"/>
      </w:pPr>
      <w:rPr>
        <w:rFonts w:hint="default"/>
        <w:lang w:val="en-US" w:eastAsia="en-US" w:bidi="ar-SA"/>
      </w:rPr>
    </w:lvl>
    <w:lvl w:ilvl="2" w:tplc="64ACB544">
      <w:numFmt w:val="bullet"/>
      <w:lvlText w:val="•"/>
      <w:lvlJc w:val="left"/>
      <w:pPr>
        <w:ind w:left="492" w:hanging="75"/>
      </w:pPr>
      <w:rPr>
        <w:rFonts w:hint="default"/>
        <w:lang w:val="en-US" w:eastAsia="en-US" w:bidi="ar-SA"/>
      </w:rPr>
    </w:lvl>
    <w:lvl w:ilvl="3" w:tplc="959C16FC">
      <w:numFmt w:val="bullet"/>
      <w:lvlText w:val="•"/>
      <w:lvlJc w:val="left"/>
      <w:pPr>
        <w:ind w:left="728" w:hanging="75"/>
      </w:pPr>
      <w:rPr>
        <w:rFonts w:hint="default"/>
        <w:lang w:val="en-US" w:eastAsia="en-US" w:bidi="ar-SA"/>
      </w:rPr>
    </w:lvl>
    <w:lvl w:ilvl="4" w:tplc="09705790">
      <w:numFmt w:val="bullet"/>
      <w:lvlText w:val="•"/>
      <w:lvlJc w:val="left"/>
      <w:pPr>
        <w:ind w:left="964" w:hanging="75"/>
      </w:pPr>
      <w:rPr>
        <w:rFonts w:hint="default"/>
        <w:lang w:val="en-US" w:eastAsia="en-US" w:bidi="ar-SA"/>
      </w:rPr>
    </w:lvl>
    <w:lvl w:ilvl="5" w:tplc="8810444C">
      <w:numFmt w:val="bullet"/>
      <w:lvlText w:val="•"/>
      <w:lvlJc w:val="left"/>
      <w:pPr>
        <w:ind w:left="1200" w:hanging="75"/>
      </w:pPr>
      <w:rPr>
        <w:rFonts w:hint="default"/>
        <w:lang w:val="en-US" w:eastAsia="en-US" w:bidi="ar-SA"/>
      </w:rPr>
    </w:lvl>
    <w:lvl w:ilvl="6" w:tplc="7416F856">
      <w:numFmt w:val="bullet"/>
      <w:lvlText w:val="•"/>
      <w:lvlJc w:val="left"/>
      <w:pPr>
        <w:ind w:left="1436" w:hanging="75"/>
      </w:pPr>
      <w:rPr>
        <w:rFonts w:hint="default"/>
        <w:lang w:val="en-US" w:eastAsia="en-US" w:bidi="ar-SA"/>
      </w:rPr>
    </w:lvl>
    <w:lvl w:ilvl="7" w:tplc="A8265A5A">
      <w:numFmt w:val="bullet"/>
      <w:lvlText w:val="•"/>
      <w:lvlJc w:val="left"/>
      <w:pPr>
        <w:ind w:left="1672" w:hanging="75"/>
      </w:pPr>
      <w:rPr>
        <w:rFonts w:hint="default"/>
        <w:lang w:val="en-US" w:eastAsia="en-US" w:bidi="ar-SA"/>
      </w:rPr>
    </w:lvl>
    <w:lvl w:ilvl="8" w:tplc="955C86E0">
      <w:numFmt w:val="bullet"/>
      <w:lvlText w:val="•"/>
      <w:lvlJc w:val="left"/>
      <w:pPr>
        <w:ind w:left="1908" w:hanging="75"/>
      </w:pPr>
      <w:rPr>
        <w:rFonts w:hint="default"/>
        <w:lang w:val="en-US" w:eastAsia="en-US" w:bidi="ar-SA"/>
      </w:rPr>
    </w:lvl>
  </w:abstractNum>
  <w:abstractNum w:abstractNumId="137" w15:restartNumberingAfterBreak="0">
    <w:nsid w:val="3488130A"/>
    <w:multiLevelType w:val="multilevel"/>
    <w:tmpl w:val="17B62024"/>
    <w:lvl w:ilvl="0">
      <w:start w:val="4"/>
      <w:numFmt w:val="decimal"/>
      <w:lvlText w:val="%1"/>
      <w:lvlJc w:val="left"/>
      <w:pPr>
        <w:ind w:left="671" w:hanging="526"/>
      </w:pPr>
      <w:rPr>
        <w:rFonts w:hint="default"/>
        <w:lang w:val="en-US" w:eastAsia="en-US" w:bidi="ar-SA"/>
      </w:rPr>
    </w:lvl>
    <w:lvl w:ilvl="1">
      <w:start w:val="1"/>
      <w:numFmt w:val="decimal"/>
      <w:lvlText w:val="%1.%2"/>
      <w:lvlJc w:val="left"/>
      <w:pPr>
        <w:ind w:left="671" w:hanging="526"/>
      </w:pPr>
      <w:rPr>
        <w:rFonts w:hint="default"/>
        <w:lang w:val="en-US" w:eastAsia="en-US" w:bidi="ar-SA"/>
      </w:rPr>
    </w:lvl>
    <w:lvl w:ilvl="2">
      <w:numFmt w:val="decimal"/>
      <w:lvlText w:val="%1.%2.%3"/>
      <w:lvlJc w:val="left"/>
      <w:pPr>
        <w:ind w:left="671" w:hanging="526"/>
      </w:pPr>
      <w:rPr>
        <w:rFonts w:ascii="Arial" w:eastAsia="Arial" w:hAnsi="Arial" w:cs="Arial" w:hint="default"/>
        <w:b/>
        <w:bCs/>
        <w:color w:val="231F20"/>
        <w:w w:val="99"/>
        <w:sz w:val="22"/>
        <w:szCs w:val="22"/>
        <w:lang w:val="en-US" w:eastAsia="en-US" w:bidi="ar-SA"/>
      </w:rPr>
    </w:lvl>
    <w:lvl w:ilvl="3">
      <w:start w:val="1"/>
      <w:numFmt w:val="decimal"/>
      <w:lvlText w:val="%1.%2.%3.%4"/>
      <w:lvlJc w:val="left"/>
      <w:pPr>
        <w:ind w:left="151" w:hanging="737"/>
      </w:pPr>
      <w:rPr>
        <w:rFonts w:ascii="Arial" w:eastAsia="Arial" w:hAnsi="Arial" w:cs="Arial" w:hint="default"/>
        <w:color w:val="231F20"/>
        <w:w w:val="99"/>
        <w:sz w:val="22"/>
        <w:szCs w:val="22"/>
        <w:lang w:val="en-US" w:eastAsia="en-US" w:bidi="ar-SA"/>
      </w:rPr>
    </w:lvl>
    <w:lvl w:ilvl="4">
      <w:numFmt w:val="bullet"/>
      <w:lvlText w:val="•"/>
      <w:lvlJc w:val="left"/>
      <w:pPr>
        <w:ind w:left="2936" w:hanging="737"/>
      </w:pPr>
      <w:rPr>
        <w:rFonts w:hint="default"/>
        <w:lang w:val="en-US" w:eastAsia="en-US" w:bidi="ar-SA"/>
      </w:rPr>
    </w:lvl>
    <w:lvl w:ilvl="5">
      <w:numFmt w:val="bullet"/>
      <w:lvlText w:val="•"/>
      <w:lvlJc w:val="left"/>
      <w:pPr>
        <w:ind w:left="4064" w:hanging="737"/>
      </w:pPr>
      <w:rPr>
        <w:rFonts w:hint="default"/>
        <w:lang w:val="en-US" w:eastAsia="en-US" w:bidi="ar-SA"/>
      </w:rPr>
    </w:lvl>
    <w:lvl w:ilvl="6">
      <w:numFmt w:val="bullet"/>
      <w:lvlText w:val="•"/>
      <w:lvlJc w:val="left"/>
      <w:pPr>
        <w:ind w:left="5192" w:hanging="737"/>
      </w:pPr>
      <w:rPr>
        <w:rFonts w:hint="default"/>
        <w:lang w:val="en-US" w:eastAsia="en-US" w:bidi="ar-SA"/>
      </w:rPr>
    </w:lvl>
    <w:lvl w:ilvl="7">
      <w:numFmt w:val="bullet"/>
      <w:lvlText w:val="•"/>
      <w:lvlJc w:val="left"/>
      <w:pPr>
        <w:ind w:left="6320" w:hanging="737"/>
      </w:pPr>
      <w:rPr>
        <w:rFonts w:hint="default"/>
        <w:lang w:val="en-US" w:eastAsia="en-US" w:bidi="ar-SA"/>
      </w:rPr>
    </w:lvl>
    <w:lvl w:ilvl="8">
      <w:numFmt w:val="bullet"/>
      <w:lvlText w:val="•"/>
      <w:lvlJc w:val="left"/>
      <w:pPr>
        <w:ind w:left="7449" w:hanging="737"/>
      </w:pPr>
      <w:rPr>
        <w:rFonts w:hint="default"/>
        <w:lang w:val="en-US" w:eastAsia="en-US" w:bidi="ar-SA"/>
      </w:rPr>
    </w:lvl>
  </w:abstractNum>
  <w:abstractNum w:abstractNumId="138" w15:restartNumberingAfterBreak="0">
    <w:nsid w:val="35EA0369"/>
    <w:multiLevelType w:val="hybridMultilevel"/>
    <w:tmpl w:val="076656E2"/>
    <w:lvl w:ilvl="0" w:tplc="717897A4">
      <w:numFmt w:val="bullet"/>
      <w:lvlText w:val="•"/>
      <w:lvlJc w:val="left"/>
      <w:pPr>
        <w:ind w:left="22" w:hanging="74"/>
      </w:pPr>
      <w:rPr>
        <w:rFonts w:ascii="Arial" w:eastAsia="Arial" w:hAnsi="Arial" w:cs="Arial" w:hint="default"/>
        <w:color w:val="231F20"/>
        <w:w w:val="97"/>
        <w:sz w:val="12"/>
        <w:szCs w:val="12"/>
        <w:lang w:val="en-US" w:eastAsia="en-US" w:bidi="ar-SA"/>
      </w:rPr>
    </w:lvl>
    <w:lvl w:ilvl="1" w:tplc="F58218F6">
      <w:numFmt w:val="bullet"/>
      <w:lvlText w:val="•"/>
      <w:lvlJc w:val="left"/>
      <w:pPr>
        <w:ind w:left="250" w:hanging="74"/>
      </w:pPr>
      <w:rPr>
        <w:rFonts w:hint="default"/>
        <w:lang w:val="en-US" w:eastAsia="en-US" w:bidi="ar-SA"/>
      </w:rPr>
    </w:lvl>
    <w:lvl w:ilvl="2" w:tplc="076C1F70">
      <w:numFmt w:val="bullet"/>
      <w:lvlText w:val="•"/>
      <w:lvlJc w:val="left"/>
      <w:pPr>
        <w:ind w:left="480" w:hanging="74"/>
      </w:pPr>
      <w:rPr>
        <w:rFonts w:hint="default"/>
        <w:lang w:val="en-US" w:eastAsia="en-US" w:bidi="ar-SA"/>
      </w:rPr>
    </w:lvl>
    <w:lvl w:ilvl="3" w:tplc="6950841E">
      <w:numFmt w:val="bullet"/>
      <w:lvlText w:val="•"/>
      <w:lvlJc w:val="left"/>
      <w:pPr>
        <w:ind w:left="710" w:hanging="74"/>
      </w:pPr>
      <w:rPr>
        <w:rFonts w:hint="default"/>
        <w:lang w:val="en-US" w:eastAsia="en-US" w:bidi="ar-SA"/>
      </w:rPr>
    </w:lvl>
    <w:lvl w:ilvl="4" w:tplc="E76CBA80">
      <w:numFmt w:val="bullet"/>
      <w:lvlText w:val="•"/>
      <w:lvlJc w:val="left"/>
      <w:pPr>
        <w:ind w:left="941" w:hanging="74"/>
      </w:pPr>
      <w:rPr>
        <w:rFonts w:hint="default"/>
        <w:lang w:val="en-US" w:eastAsia="en-US" w:bidi="ar-SA"/>
      </w:rPr>
    </w:lvl>
    <w:lvl w:ilvl="5" w:tplc="582E721E">
      <w:numFmt w:val="bullet"/>
      <w:lvlText w:val="•"/>
      <w:lvlJc w:val="left"/>
      <w:pPr>
        <w:ind w:left="1171" w:hanging="74"/>
      </w:pPr>
      <w:rPr>
        <w:rFonts w:hint="default"/>
        <w:lang w:val="en-US" w:eastAsia="en-US" w:bidi="ar-SA"/>
      </w:rPr>
    </w:lvl>
    <w:lvl w:ilvl="6" w:tplc="81C279EA">
      <w:numFmt w:val="bullet"/>
      <w:lvlText w:val="•"/>
      <w:lvlJc w:val="left"/>
      <w:pPr>
        <w:ind w:left="1401" w:hanging="74"/>
      </w:pPr>
      <w:rPr>
        <w:rFonts w:hint="default"/>
        <w:lang w:val="en-US" w:eastAsia="en-US" w:bidi="ar-SA"/>
      </w:rPr>
    </w:lvl>
    <w:lvl w:ilvl="7" w:tplc="6EA66AE0">
      <w:numFmt w:val="bullet"/>
      <w:lvlText w:val="•"/>
      <w:lvlJc w:val="left"/>
      <w:pPr>
        <w:ind w:left="1632" w:hanging="74"/>
      </w:pPr>
      <w:rPr>
        <w:rFonts w:hint="default"/>
        <w:lang w:val="en-US" w:eastAsia="en-US" w:bidi="ar-SA"/>
      </w:rPr>
    </w:lvl>
    <w:lvl w:ilvl="8" w:tplc="9808D96A">
      <w:numFmt w:val="bullet"/>
      <w:lvlText w:val="•"/>
      <w:lvlJc w:val="left"/>
      <w:pPr>
        <w:ind w:left="1862" w:hanging="74"/>
      </w:pPr>
      <w:rPr>
        <w:rFonts w:hint="default"/>
        <w:lang w:val="en-US" w:eastAsia="en-US" w:bidi="ar-SA"/>
      </w:rPr>
    </w:lvl>
  </w:abstractNum>
  <w:abstractNum w:abstractNumId="139" w15:restartNumberingAfterBreak="0">
    <w:nsid w:val="36297408"/>
    <w:multiLevelType w:val="hybridMultilevel"/>
    <w:tmpl w:val="4916286C"/>
    <w:lvl w:ilvl="0" w:tplc="FE84C11E">
      <w:numFmt w:val="bullet"/>
      <w:lvlText w:val="•"/>
      <w:lvlJc w:val="left"/>
      <w:pPr>
        <w:ind w:left="23" w:hanging="44"/>
      </w:pPr>
      <w:rPr>
        <w:rFonts w:ascii="Arial" w:eastAsia="Arial" w:hAnsi="Arial" w:cs="Arial" w:hint="default"/>
        <w:color w:val="231F20"/>
        <w:w w:val="100"/>
        <w:sz w:val="10"/>
        <w:szCs w:val="10"/>
        <w:lang w:val="en-US" w:eastAsia="en-US" w:bidi="ar-SA"/>
      </w:rPr>
    </w:lvl>
    <w:lvl w:ilvl="1" w:tplc="4210C4A4">
      <w:numFmt w:val="bullet"/>
      <w:lvlText w:val="•"/>
      <w:lvlJc w:val="left"/>
      <w:pPr>
        <w:ind w:left="257" w:hanging="44"/>
      </w:pPr>
      <w:rPr>
        <w:rFonts w:hint="default"/>
        <w:lang w:val="en-US" w:eastAsia="en-US" w:bidi="ar-SA"/>
      </w:rPr>
    </w:lvl>
    <w:lvl w:ilvl="2" w:tplc="7B18C9A8">
      <w:numFmt w:val="bullet"/>
      <w:lvlText w:val="•"/>
      <w:lvlJc w:val="left"/>
      <w:pPr>
        <w:ind w:left="495" w:hanging="44"/>
      </w:pPr>
      <w:rPr>
        <w:rFonts w:hint="default"/>
        <w:lang w:val="en-US" w:eastAsia="en-US" w:bidi="ar-SA"/>
      </w:rPr>
    </w:lvl>
    <w:lvl w:ilvl="3" w:tplc="B5283098">
      <w:numFmt w:val="bullet"/>
      <w:lvlText w:val="•"/>
      <w:lvlJc w:val="left"/>
      <w:pPr>
        <w:ind w:left="733" w:hanging="44"/>
      </w:pPr>
      <w:rPr>
        <w:rFonts w:hint="default"/>
        <w:lang w:val="en-US" w:eastAsia="en-US" w:bidi="ar-SA"/>
      </w:rPr>
    </w:lvl>
    <w:lvl w:ilvl="4" w:tplc="B6182770">
      <w:numFmt w:val="bullet"/>
      <w:lvlText w:val="•"/>
      <w:lvlJc w:val="left"/>
      <w:pPr>
        <w:ind w:left="971" w:hanging="44"/>
      </w:pPr>
      <w:rPr>
        <w:rFonts w:hint="default"/>
        <w:lang w:val="en-US" w:eastAsia="en-US" w:bidi="ar-SA"/>
      </w:rPr>
    </w:lvl>
    <w:lvl w:ilvl="5" w:tplc="5B7C251A">
      <w:numFmt w:val="bullet"/>
      <w:lvlText w:val="•"/>
      <w:lvlJc w:val="left"/>
      <w:pPr>
        <w:ind w:left="1209" w:hanging="44"/>
      </w:pPr>
      <w:rPr>
        <w:rFonts w:hint="default"/>
        <w:lang w:val="en-US" w:eastAsia="en-US" w:bidi="ar-SA"/>
      </w:rPr>
    </w:lvl>
    <w:lvl w:ilvl="6" w:tplc="BC246AFA">
      <w:numFmt w:val="bullet"/>
      <w:lvlText w:val="•"/>
      <w:lvlJc w:val="left"/>
      <w:pPr>
        <w:ind w:left="1446" w:hanging="44"/>
      </w:pPr>
      <w:rPr>
        <w:rFonts w:hint="default"/>
        <w:lang w:val="en-US" w:eastAsia="en-US" w:bidi="ar-SA"/>
      </w:rPr>
    </w:lvl>
    <w:lvl w:ilvl="7" w:tplc="99222168">
      <w:numFmt w:val="bullet"/>
      <w:lvlText w:val="•"/>
      <w:lvlJc w:val="left"/>
      <w:pPr>
        <w:ind w:left="1684" w:hanging="44"/>
      </w:pPr>
      <w:rPr>
        <w:rFonts w:hint="default"/>
        <w:lang w:val="en-US" w:eastAsia="en-US" w:bidi="ar-SA"/>
      </w:rPr>
    </w:lvl>
    <w:lvl w:ilvl="8" w:tplc="F40E5C94">
      <w:numFmt w:val="bullet"/>
      <w:lvlText w:val="•"/>
      <w:lvlJc w:val="left"/>
      <w:pPr>
        <w:ind w:left="1922" w:hanging="44"/>
      </w:pPr>
      <w:rPr>
        <w:rFonts w:hint="default"/>
        <w:lang w:val="en-US" w:eastAsia="en-US" w:bidi="ar-SA"/>
      </w:rPr>
    </w:lvl>
  </w:abstractNum>
  <w:abstractNum w:abstractNumId="140" w15:restartNumberingAfterBreak="0">
    <w:nsid w:val="363C5AD7"/>
    <w:multiLevelType w:val="hybridMultilevel"/>
    <w:tmpl w:val="5D32C46A"/>
    <w:lvl w:ilvl="0" w:tplc="9D625A98">
      <w:numFmt w:val="bullet"/>
      <w:lvlText w:val="•"/>
      <w:lvlJc w:val="left"/>
      <w:pPr>
        <w:ind w:left="25" w:hanging="74"/>
      </w:pPr>
      <w:rPr>
        <w:rFonts w:ascii="Arial" w:eastAsia="Arial" w:hAnsi="Arial" w:cs="Arial" w:hint="default"/>
        <w:color w:val="231F20"/>
        <w:w w:val="73"/>
        <w:sz w:val="16"/>
        <w:szCs w:val="16"/>
        <w:lang w:val="en-US" w:eastAsia="en-US" w:bidi="ar-SA"/>
      </w:rPr>
    </w:lvl>
    <w:lvl w:ilvl="1" w:tplc="FBA823EA">
      <w:numFmt w:val="bullet"/>
      <w:lvlText w:val="•"/>
      <w:lvlJc w:val="left"/>
      <w:pPr>
        <w:ind w:left="252" w:hanging="74"/>
      </w:pPr>
      <w:rPr>
        <w:rFonts w:hint="default"/>
        <w:lang w:val="en-US" w:eastAsia="en-US" w:bidi="ar-SA"/>
      </w:rPr>
    </w:lvl>
    <w:lvl w:ilvl="2" w:tplc="11EAB4EE">
      <w:numFmt w:val="bullet"/>
      <w:lvlText w:val="•"/>
      <w:lvlJc w:val="left"/>
      <w:pPr>
        <w:ind w:left="484" w:hanging="74"/>
      </w:pPr>
      <w:rPr>
        <w:rFonts w:hint="default"/>
        <w:lang w:val="en-US" w:eastAsia="en-US" w:bidi="ar-SA"/>
      </w:rPr>
    </w:lvl>
    <w:lvl w:ilvl="3" w:tplc="91C6E89C">
      <w:numFmt w:val="bullet"/>
      <w:lvlText w:val="•"/>
      <w:lvlJc w:val="left"/>
      <w:pPr>
        <w:ind w:left="716" w:hanging="74"/>
      </w:pPr>
      <w:rPr>
        <w:rFonts w:hint="default"/>
        <w:lang w:val="en-US" w:eastAsia="en-US" w:bidi="ar-SA"/>
      </w:rPr>
    </w:lvl>
    <w:lvl w:ilvl="4" w:tplc="587055CE">
      <w:numFmt w:val="bullet"/>
      <w:lvlText w:val="•"/>
      <w:lvlJc w:val="left"/>
      <w:pPr>
        <w:ind w:left="948" w:hanging="74"/>
      </w:pPr>
      <w:rPr>
        <w:rFonts w:hint="default"/>
        <w:lang w:val="en-US" w:eastAsia="en-US" w:bidi="ar-SA"/>
      </w:rPr>
    </w:lvl>
    <w:lvl w:ilvl="5" w:tplc="59B622CA">
      <w:numFmt w:val="bullet"/>
      <w:lvlText w:val="•"/>
      <w:lvlJc w:val="left"/>
      <w:pPr>
        <w:ind w:left="1180" w:hanging="74"/>
      </w:pPr>
      <w:rPr>
        <w:rFonts w:hint="default"/>
        <w:lang w:val="en-US" w:eastAsia="en-US" w:bidi="ar-SA"/>
      </w:rPr>
    </w:lvl>
    <w:lvl w:ilvl="6" w:tplc="1FA44C2A">
      <w:numFmt w:val="bullet"/>
      <w:lvlText w:val="•"/>
      <w:lvlJc w:val="left"/>
      <w:pPr>
        <w:ind w:left="1412" w:hanging="74"/>
      </w:pPr>
      <w:rPr>
        <w:rFonts w:hint="default"/>
        <w:lang w:val="en-US" w:eastAsia="en-US" w:bidi="ar-SA"/>
      </w:rPr>
    </w:lvl>
    <w:lvl w:ilvl="7" w:tplc="502880A2">
      <w:numFmt w:val="bullet"/>
      <w:lvlText w:val="•"/>
      <w:lvlJc w:val="left"/>
      <w:pPr>
        <w:ind w:left="1644" w:hanging="74"/>
      </w:pPr>
      <w:rPr>
        <w:rFonts w:hint="default"/>
        <w:lang w:val="en-US" w:eastAsia="en-US" w:bidi="ar-SA"/>
      </w:rPr>
    </w:lvl>
    <w:lvl w:ilvl="8" w:tplc="5A48CE96">
      <w:numFmt w:val="bullet"/>
      <w:lvlText w:val="•"/>
      <w:lvlJc w:val="left"/>
      <w:pPr>
        <w:ind w:left="1876" w:hanging="74"/>
      </w:pPr>
      <w:rPr>
        <w:rFonts w:hint="default"/>
        <w:lang w:val="en-US" w:eastAsia="en-US" w:bidi="ar-SA"/>
      </w:rPr>
    </w:lvl>
  </w:abstractNum>
  <w:abstractNum w:abstractNumId="141" w15:restartNumberingAfterBreak="0">
    <w:nsid w:val="36E07BA8"/>
    <w:multiLevelType w:val="hybridMultilevel"/>
    <w:tmpl w:val="45F414A8"/>
    <w:lvl w:ilvl="0" w:tplc="B90A4100">
      <w:start w:val="1"/>
      <w:numFmt w:val="decimal"/>
      <w:lvlText w:val="%1."/>
      <w:lvlJc w:val="left"/>
      <w:pPr>
        <w:ind w:left="176" w:hanging="177"/>
      </w:pPr>
      <w:rPr>
        <w:rFonts w:ascii="Carlito" w:eastAsia="Carlito" w:hAnsi="Carlito" w:cs="Carlito" w:hint="default"/>
        <w:b/>
        <w:bCs/>
        <w:color w:val="231F20"/>
        <w:spacing w:val="-1"/>
        <w:w w:val="92"/>
        <w:sz w:val="19"/>
        <w:szCs w:val="19"/>
        <w:lang w:val="en-US" w:eastAsia="en-US" w:bidi="ar-SA"/>
      </w:rPr>
    </w:lvl>
    <w:lvl w:ilvl="1" w:tplc="11B25D96">
      <w:numFmt w:val="bullet"/>
      <w:lvlText w:val="•"/>
      <w:lvlJc w:val="left"/>
      <w:pPr>
        <w:ind w:left="266" w:hanging="177"/>
      </w:pPr>
      <w:rPr>
        <w:rFonts w:hint="default"/>
        <w:lang w:val="en-US" w:eastAsia="en-US" w:bidi="ar-SA"/>
      </w:rPr>
    </w:lvl>
    <w:lvl w:ilvl="2" w:tplc="CB1ECB6A">
      <w:numFmt w:val="bullet"/>
      <w:lvlText w:val="•"/>
      <w:lvlJc w:val="left"/>
      <w:pPr>
        <w:ind w:left="353" w:hanging="177"/>
      </w:pPr>
      <w:rPr>
        <w:rFonts w:hint="default"/>
        <w:lang w:val="en-US" w:eastAsia="en-US" w:bidi="ar-SA"/>
      </w:rPr>
    </w:lvl>
    <w:lvl w:ilvl="3" w:tplc="4B789E54">
      <w:numFmt w:val="bullet"/>
      <w:lvlText w:val="•"/>
      <w:lvlJc w:val="left"/>
      <w:pPr>
        <w:ind w:left="440" w:hanging="177"/>
      </w:pPr>
      <w:rPr>
        <w:rFonts w:hint="default"/>
        <w:lang w:val="en-US" w:eastAsia="en-US" w:bidi="ar-SA"/>
      </w:rPr>
    </w:lvl>
    <w:lvl w:ilvl="4" w:tplc="A1E8C984">
      <w:numFmt w:val="bullet"/>
      <w:lvlText w:val="•"/>
      <w:lvlJc w:val="left"/>
      <w:pPr>
        <w:ind w:left="527" w:hanging="177"/>
      </w:pPr>
      <w:rPr>
        <w:rFonts w:hint="default"/>
        <w:lang w:val="en-US" w:eastAsia="en-US" w:bidi="ar-SA"/>
      </w:rPr>
    </w:lvl>
    <w:lvl w:ilvl="5" w:tplc="56706AB0">
      <w:numFmt w:val="bullet"/>
      <w:lvlText w:val="•"/>
      <w:lvlJc w:val="left"/>
      <w:pPr>
        <w:ind w:left="614" w:hanging="177"/>
      </w:pPr>
      <w:rPr>
        <w:rFonts w:hint="default"/>
        <w:lang w:val="en-US" w:eastAsia="en-US" w:bidi="ar-SA"/>
      </w:rPr>
    </w:lvl>
    <w:lvl w:ilvl="6" w:tplc="5DA4D1F0">
      <w:numFmt w:val="bullet"/>
      <w:lvlText w:val="•"/>
      <w:lvlJc w:val="left"/>
      <w:pPr>
        <w:ind w:left="701" w:hanging="177"/>
      </w:pPr>
      <w:rPr>
        <w:rFonts w:hint="default"/>
        <w:lang w:val="en-US" w:eastAsia="en-US" w:bidi="ar-SA"/>
      </w:rPr>
    </w:lvl>
    <w:lvl w:ilvl="7" w:tplc="6110F692">
      <w:numFmt w:val="bullet"/>
      <w:lvlText w:val="•"/>
      <w:lvlJc w:val="left"/>
      <w:pPr>
        <w:ind w:left="788" w:hanging="177"/>
      </w:pPr>
      <w:rPr>
        <w:rFonts w:hint="default"/>
        <w:lang w:val="en-US" w:eastAsia="en-US" w:bidi="ar-SA"/>
      </w:rPr>
    </w:lvl>
    <w:lvl w:ilvl="8" w:tplc="EA707B38">
      <w:numFmt w:val="bullet"/>
      <w:lvlText w:val="•"/>
      <w:lvlJc w:val="left"/>
      <w:pPr>
        <w:ind w:left="875" w:hanging="177"/>
      </w:pPr>
      <w:rPr>
        <w:rFonts w:hint="default"/>
        <w:lang w:val="en-US" w:eastAsia="en-US" w:bidi="ar-SA"/>
      </w:rPr>
    </w:lvl>
  </w:abstractNum>
  <w:abstractNum w:abstractNumId="142" w15:restartNumberingAfterBreak="0">
    <w:nsid w:val="37044865"/>
    <w:multiLevelType w:val="hybridMultilevel"/>
    <w:tmpl w:val="1CF07EC0"/>
    <w:lvl w:ilvl="0" w:tplc="0846B8C4">
      <w:numFmt w:val="bullet"/>
      <w:lvlText w:val="•"/>
      <w:lvlJc w:val="left"/>
      <w:pPr>
        <w:ind w:left="24" w:hanging="68"/>
      </w:pPr>
      <w:rPr>
        <w:rFonts w:ascii="Arial" w:eastAsia="Arial" w:hAnsi="Arial" w:cs="Arial" w:hint="default"/>
        <w:color w:val="231F20"/>
        <w:w w:val="91"/>
        <w:sz w:val="13"/>
        <w:szCs w:val="13"/>
        <w:lang w:val="en-US" w:eastAsia="en-US" w:bidi="ar-SA"/>
      </w:rPr>
    </w:lvl>
    <w:lvl w:ilvl="1" w:tplc="B6D2421C">
      <w:numFmt w:val="bullet"/>
      <w:lvlText w:val="•"/>
      <w:lvlJc w:val="left"/>
      <w:pPr>
        <w:ind w:left="254" w:hanging="68"/>
      </w:pPr>
      <w:rPr>
        <w:rFonts w:hint="default"/>
        <w:lang w:val="en-US" w:eastAsia="en-US" w:bidi="ar-SA"/>
      </w:rPr>
    </w:lvl>
    <w:lvl w:ilvl="2" w:tplc="C026043E">
      <w:numFmt w:val="bullet"/>
      <w:lvlText w:val="•"/>
      <w:lvlJc w:val="left"/>
      <w:pPr>
        <w:ind w:left="489" w:hanging="68"/>
      </w:pPr>
      <w:rPr>
        <w:rFonts w:hint="default"/>
        <w:lang w:val="en-US" w:eastAsia="en-US" w:bidi="ar-SA"/>
      </w:rPr>
    </w:lvl>
    <w:lvl w:ilvl="3" w:tplc="22BAAC0C">
      <w:numFmt w:val="bullet"/>
      <w:lvlText w:val="•"/>
      <w:lvlJc w:val="left"/>
      <w:pPr>
        <w:ind w:left="723" w:hanging="68"/>
      </w:pPr>
      <w:rPr>
        <w:rFonts w:hint="default"/>
        <w:lang w:val="en-US" w:eastAsia="en-US" w:bidi="ar-SA"/>
      </w:rPr>
    </w:lvl>
    <w:lvl w:ilvl="4" w:tplc="F3EE7984">
      <w:numFmt w:val="bullet"/>
      <w:lvlText w:val="•"/>
      <w:lvlJc w:val="left"/>
      <w:pPr>
        <w:ind w:left="958" w:hanging="68"/>
      </w:pPr>
      <w:rPr>
        <w:rFonts w:hint="default"/>
        <w:lang w:val="en-US" w:eastAsia="en-US" w:bidi="ar-SA"/>
      </w:rPr>
    </w:lvl>
    <w:lvl w:ilvl="5" w:tplc="6292ED9C">
      <w:numFmt w:val="bullet"/>
      <w:lvlText w:val="•"/>
      <w:lvlJc w:val="left"/>
      <w:pPr>
        <w:ind w:left="1193" w:hanging="68"/>
      </w:pPr>
      <w:rPr>
        <w:rFonts w:hint="default"/>
        <w:lang w:val="en-US" w:eastAsia="en-US" w:bidi="ar-SA"/>
      </w:rPr>
    </w:lvl>
    <w:lvl w:ilvl="6" w:tplc="412ECBFE">
      <w:numFmt w:val="bullet"/>
      <w:lvlText w:val="•"/>
      <w:lvlJc w:val="left"/>
      <w:pPr>
        <w:ind w:left="1427" w:hanging="68"/>
      </w:pPr>
      <w:rPr>
        <w:rFonts w:hint="default"/>
        <w:lang w:val="en-US" w:eastAsia="en-US" w:bidi="ar-SA"/>
      </w:rPr>
    </w:lvl>
    <w:lvl w:ilvl="7" w:tplc="603A1980">
      <w:numFmt w:val="bullet"/>
      <w:lvlText w:val="•"/>
      <w:lvlJc w:val="left"/>
      <w:pPr>
        <w:ind w:left="1662" w:hanging="68"/>
      </w:pPr>
      <w:rPr>
        <w:rFonts w:hint="default"/>
        <w:lang w:val="en-US" w:eastAsia="en-US" w:bidi="ar-SA"/>
      </w:rPr>
    </w:lvl>
    <w:lvl w:ilvl="8" w:tplc="A2BEBAE2">
      <w:numFmt w:val="bullet"/>
      <w:lvlText w:val="•"/>
      <w:lvlJc w:val="left"/>
      <w:pPr>
        <w:ind w:left="1896" w:hanging="68"/>
      </w:pPr>
      <w:rPr>
        <w:rFonts w:hint="default"/>
        <w:lang w:val="en-US" w:eastAsia="en-US" w:bidi="ar-SA"/>
      </w:rPr>
    </w:lvl>
  </w:abstractNum>
  <w:abstractNum w:abstractNumId="143" w15:restartNumberingAfterBreak="0">
    <w:nsid w:val="370F79CD"/>
    <w:multiLevelType w:val="hybridMultilevel"/>
    <w:tmpl w:val="00C272CC"/>
    <w:lvl w:ilvl="0" w:tplc="77BE1204">
      <w:numFmt w:val="bullet"/>
      <w:lvlText w:val="•"/>
      <w:lvlJc w:val="left"/>
      <w:pPr>
        <w:ind w:left="23" w:hanging="84"/>
      </w:pPr>
      <w:rPr>
        <w:rFonts w:ascii="Arial" w:eastAsia="Arial" w:hAnsi="Arial" w:cs="Arial" w:hint="default"/>
        <w:color w:val="231F20"/>
        <w:w w:val="69"/>
        <w:sz w:val="19"/>
        <w:szCs w:val="19"/>
        <w:lang w:val="en-US" w:eastAsia="en-US" w:bidi="ar-SA"/>
      </w:rPr>
    </w:lvl>
    <w:lvl w:ilvl="1" w:tplc="960825F0">
      <w:numFmt w:val="bullet"/>
      <w:lvlText w:val="•"/>
      <w:lvlJc w:val="left"/>
      <w:pPr>
        <w:ind w:left="282" w:hanging="84"/>
      </w:pPr>
      <w:rPr>
        <w:rFonts w:hint="default"/>
        <w:lang w:val="en-US" w:eastAsia="en-US" w:bidi="ar-SA"/>
      </w:rPr>
    </w:lvl>
    <w:lvl w:ilvl="2" w:tplc="BC64E1A6">
      <w:numFmt w:val="bullet"/>
      <w:lvlText w:val="•"/>
      <w:lvlJc w:val="left"/>
      <w:pPr>
        <w:ind w:left="545" w:hanging="84"/>
      </w:pPr>
      <w:rPr>
        <w:rFonts w:hint="default"/>
        <w:lang w:val="en-US" w:eastAsia="en-US" w:bidi="ar-SA"/>
      </w:rPr>
    </w:lvl>
    <w:lvl w:ilvl="3" w:tplc="1FCE91C0">
      <w:numFmt w:val="bullet"/>
      <w:lvlText w:val="•"/>
      <w:lvlJc w:val="left"/>
      <w:pPr>
        <w:ind w:left="807" w:hanging="84"/>
      </w:pPr>
      <w:rPr>
        <w:rFonts w:hint="default"/>
        <w:lang w:val="en-US" w:eastAsia="en-US" w:bidi="ar-SA"/>
      </w:rPr>
    </w:lvl>
    <w:lvl w:ilvl="4" w:tplc="1688AB00">
      <w:numFmt w:val="bullet"/>
      <w:lvlText w:val="•"/>
      <w:lvlJc w:val="left"/>
      <w:pPr>
        <w:ind w:left="1070" w:hanging="84"/>
      </w:pPr>
      <w:rPr>
        <w:rFonts w:hint="default"/>
        <w:lang w:val="en-US" w:eastAsia="en-US" w:bidi="ar-SA"/>
      </w:rPr>
    </w:lvl>
    <w:lvl w:ilvl="5" w:tplc="A2482056">
      <w:numFmt w:val="bullet"/>
      <w:lvlText w:val="•"/>
      <w:lvlJc w:val="left"/>
      <w:pPr>
        <w:ind w:left="1332" w:hanging="84"/>
      </w:pPr>
      <w:rPr>
        <w:rFonts w:hint="default"/>
        <w:lang w:val="en-US" w:eastAsia="en-US" w:bidi="ar-SA"/>
      </w:rPr>
    </w:lvl>
    <w:lvl w:ilvl="6" w:tplc="F6FEF4C4">
      <w:numFmt w:val="bullet"/>
      <w:lvlText w:val="•"/>
      <w:lvlJc w:val="left"/>
      <w:pPr>
        <w:ind w:left="1595" w:hanging="84"/>
      </w:pPr>
      <w:rPr>
        <w:rFonts w:hint="default"/>
        <w:lang w:val="en-US" w:eastAsia="en-US" w:bidi="ar-SA"/>
      </w:rPr>
    </w:lvl>
    <w:lvl w:ilvl="7" w:tplc="B412A1C4">
      <w:numFmt w:val="bullet"/>
      <w:lvlText w:val="•"/>
      <w:lvlJc w:val="left"/>
      <w:pPr>
        <w:ind w:left="1857" w:hanging="84"/>
      </w:pPr>
      <w:rPr>
        <w:rFonts w:hint="default"/>
        <w:lang w:val="en-US" w:eastAsia="en-US" w:bidi="ar-SA"/>
      </w:rPr>
    </w:lvl>
    <w:lvl w:ilvl="8" w:tplc="44C48558">
      <w:numFmt w:val="bullet"/>
      <w:lvlText w:val="•"/>
      <w:lvlJc w:val="left"/>
      <w:pPr>
        <w:ind w:left="2120" w:hanging="84"/>
      </w:pPr>
      <w:rPr>
        <w:rFonts w:hint="default"/>
        <w:lang w:val="en-US" w:eastAsia="en-US" w:bidi="ar-SA"/>
      </w:rPr>
    </w:lvl>
  </w:abstractNum>
  <w:abstractNum w:abstractNumId="144" w15:restartNumberingAfterBreak="0">
    <w:nsid w:val="37D348CC"/>
    <w:multiLevelType w:val="hybridMultilevel"/>
    <w:tmpl w:val="E1806C86"/>
    <w:lvl w:ilvl="0" w:tplc="AB06A4F2">
      <w:numFmt w:val="bullet"/>
      <w:lvlText w:val="•"/>
      <w:lvlJc w:val="left"/>
      <w:pPr>
        <w:ind w:left="23" w:hanging="74"/>
      </w:pPr>
      <w:rPr>
        <w:rFonts w:ascii="Arial" w:eastAsia="Arial" w:hAnsi="Arial" w:cs="Arial" w:hint="default"/>
        <w:color w:val="231F20"/>
        <w:w w:val="53"/>
        <w:sz w:val="22"/>
        <w:szCs w:val="22"/>
        <w:lang w:val="en-US" w:eastAsia="en-US" w:bidi="ar-SA"/>
      </w:rPr>
    </w:lvl>
    <w:lvl w:ilvl="1" w:tplc="751642F6">
      <w:numFmt w:val="bullet"/>
      <w:lvlText w:val="•"/>
      <w:lvlJc w:val="left"/>
      <w:pPr>
        <w:ind w:left="252" w:hanging="74"/>
      </w:pPr>
      <w:rPr>
        <w:rFonts w:hint="default"/>
        <w:lang w:val="en-US" w:eastAsia="en-US" w:bidi="ar-SA"/>
      </w:rPr>
    </w:lvl>
    <w:lvl w:ilvl="2" w:tplc="5034356C">
      <w:numFmt w:val="bullet"/>
      <w:lvlText w:val="•"/>
      <w:lvlJc w:val="left"/>
      <w:pPr>
        <w:ind w:left="484" w:hanging="74"/>
      </w:pPr>
      <w:rPr>
        <w:rFonts w:hint="default"/>
        <w:lang w:val="en-US" w:eastAsia="en-US" w:bidi="ar-SA"/>
      </w:rPr>
    </w:lvl>
    <w:lvl w:ilvl="3" w:tplc="E6E09FE0">
      <w:numFmt w:val="bullet"/>
      <w:lvlText w:val="•"/>
      <w:lvlJc w:val="left"/>
      <w:pPr>
        <w:ind w:left="716" w:hanging="74"/>
      </w:pPr>
      <w:rPr>
        <w:rFonts w:hint="default"/>
        <w:lang w:val="en-US" w:eastAsia="en-US" w:bidi="ar-SA"/>
      </w:rPr>
    </w:lvl>
    <w:lvl w:ilvl="4" w:tplc="C36233F0">
      <w:numFmt w:val="bullet"/>
      <w:lvlText w:val="•"/>
      <w:lvlJc w:val="left"/>
      <w:pPr>
        <w:ind w:left="948" w:hanging="74"/>
      </w:pPr>
      <w:rPr>
        <w:rFonts w:hint="default"/>
        <w:lang w:val="en-US" w:eastAsia="en-US" w:bidi="ar-SA"/>
      </w:rPr>
    </w:lvl>
    <w:lvl w:ilvl="5" w:tplc="F02C845A">
      <w:numFmt w:val="bullet"/>
      <w:lvlText w:val="•"/>
      <w:lvlJc w:val="left"/>
      <w:pPr>
        <w:ind w:left="1180" w:hanging="74"/>
      </w:pPr>
      <w:rPr>
        <w:rFonts w:hint="default"/>
        <w:lang w:val="en-US" w:eastAsia="en-US" w:bidi="ar-SA"/>
      </w:rPr>
    </w:lvl>
    <w:lvl w:ilvl="6" w:tplc="D3EED594">
      <w:numFmt w:val="bullet"/>
      <w:lvlText w:val="•"/>
      <w:lvlJc w:val="left"/>
      <w:pPr>
        <w:ind w:left="1412" w:hanging="74"/>
      </w:pPr>
      <w:rPr>
        <w:rFonts w:hint="default"/>
        <w:lang w:val="en-US" w:eastAsia="en-US" w:bidi="ar-SA"/>
      </w:rPr>
    </w:lvl>
    <w:lvl w:ilvl="7" w:tplc="2748639E">
      <w:numFmt w:val="bullet"/>
      <w:lvlText w:val="•"/>
      <w:lvlJc w:val="left"/>
      <w:pPr>
        <w:ind w:left="1644" w:hanging="74"/>
      </w:pPr>
      <w:rPr>
        <w:rFonts w:hint="default"/>
        <w:lang w:val="en-US" w:eastAsia="en-US" w:bidi="ar-SA"/>
      </w:rPr>
    </w:lvl>
    <w:lvl w:ilvl="8" w:tplc="39086384">
      <w:numFmt w:val="bullet"/>
      <w:lvlText w:val="•"/>
      <w:lvlJc w:val="left"/>
      <w:pPr>
        <w:ind w:left="1876" w:hanging="74"/>
      </w:pPr>
      <w:rPr>
        <w:rFonts w:hint="default"/>
        <w:lang w:val="en-US" w:eastAsia="en-US" w:bidi="ar-SA"/>
      </w:rPr>
    </w:lvl>
  </w:abstractNum>
  <w:abstractNum w:abstractNumId="145" w15:restartNumberingAfterBreak="0">
    <w:nsid w:val="38F2569B"/>
    <w:multiLevelType w:val="hybridMultilevel"/>
    <w:tmpl w:val="85CA25A2"/>
    <w:lvl w:ilvl="0" w:tplc="2ECE09F4">
      <w:numFmt w:val="bullet"/>
      <w:lvlText w:val="•"/>
      <w:lvlJc w:val="left"/>
      <w:pPr>
        <w:ind w:left="26" w:hanging="76"/>
      </w:pPr>
      <w:rPr>
        <w:rFonts w:ascii="Arial" w:eastAsia="Arial" w:hAnsi="Arial" w:cs="Arial" w:hint="default"/>
        <w:color w:val="231F20"/>
        <w:w w:val="70"/>
        <w:sz w:val="17"/>
        <w:szCs w:val="17"/>
        <w:lang w:val="en-US" w:eastAsia="en-US" w:bidi="ar-SA"/>
      </w:rPr>
    </w:lvl>
    <w:lvl w:ilvl="1" w:tplc="254C5080">
      <w:numFmt w:val="bullet"/>
      <w:lvlText w:val="•"/>
      <w:lvlJc w:val="left"/>
      <w:pPr>
        <w:ind w:left="258" w:hanging="76"/>
      </w:pPr>
      <w:rPr>
        <w:rFonts w:hint="default"/>
        <w:lang w:val="en-US" w:eastAsia="en-US" w:bidi="ar-SA"/>
      </w:rPr>
    </w:lvl>
    <w:lvl w:ilvl="2" w:tplc="A95013BE">
      <w:numFmt w:val="bullet"/>
      <w:lvlText w:val="•"/>
      <w:lvlJc w:val="left"/>
      <w:pPr>
        <w:ind w:left="497" w:hanging="76"/>
      </w:pPr>
      <w:rPr>
        <w:rFonts w:hint="default"/>
        <w:lang w:val="en-US" w:eastAsia="en-US" w:bidi="ar-SA"/>
      </w:rPr>
    </w:lvl>
    <w:lvl w:ilvl="3" w:tplc="C95417F8">
      <w:numFmt w:val="bullet"/>
      <w:lvlText w:val="•"/>
      <w:lvlJc w:val="left"/>
      <w:pPr>
        <w:ind w:left="735" w:hanging="76"/>
      </w:pPr>
      <w:rPr>
        <w:rFonts w:hint="default"/>
        <w:lang w:val="en-US" w:eastAsia="en-US" w:bidi="ar-SA"/>
      </w:rPr>
    </w:lvl>
    <w:lvl w:ilvl="4" w:tplc="F356E784">
      <w:numFmt w:val="bullet"/>
      <w:lvlText w:val="•"/>
      <w:lvlJc w:val="left"/>
      <w:pPr>
        <w:ind w:left="974" w:hanging="76"/>
      </w:pPr>
      <w:rPr>
        <w:rFonts w:hint="default"/>
        <w:lang w:val="en-US" w:eastAsia="en-US" w:bidi="ar-SA"/>
      </w:rPr>
    </w:lvl>
    <w:lvl w:ilvl="5" w:tplc="44B43A38">
      <w:numFmt w:val="bullet"/>
      <w:lvlText w:val="•"/>
      <w:lvlJc w:val="left"/>
      <w:pPr>
        <w:ind w:left="1213" w:hanging="76"/>
      </w:pPr>
      <w:rPr>
        <w:rFonts w:hint="default"/>
        <w:lang w:val="en-US" w:eastAsia="en-US" w:bidi="ar-SA"/>
      </w:rPr>
    </w:lvl>
    <w:lvl w:ilvl="6" w:tplc="C0786F60">
      <w:numFmt w:val="bullet"/>
      <w:lvlText w:val="•"/>
      <w:lvlJc w:val="left"/>
      <w:pPr>
        <w:ind w:left="1451" w:hanging="76"/>
      </w:pPr>
      <w:rPr>
        <w:rFonts w:hint="default"/>
        <w:lang w:val="en-US" w:eastAsia="en-US" w:bidi="ar-SA"/>
      </w:rPr>
    </w:lvl>
    <w:lvl w:ilvl="7" w:tplc="5A08453C">
      <w:numFmt w:val="bullet"/>
      <w:lvlText w:val="•"/>
      <w:lvlJc w:val="left"/>
      <w:pPr>
        <w:ind w:left="1690" w:hanging="76"/>
      </w:pPr>
      <w:rPr>
        <w:rFonts w:hint="default"/>
        <w:lang w:val="en-US" w:eastAsia="en-US" w:bidi="ar-SA"/>
      </w:rPr>
    </w:lvl>
    <w:lvl w:ilvl="8" w:tplc="79FAD4DE">
      <w:numFmt w:val="bullet"/>
      <w:lvlText w:val="•"/>
      <w:lvlJc w:val="left"/>
      <w:pPr>
        <w:ind w:left="1928" w:hanging="76"/>
      </w:pPr>
      <w:rPr>
        <w:rFonts w:hint="default"/>
        <w:lang w:val="en-US" w:eastAsia="en-US" w:bidi="ar-SA"/>
      </w:rPr>
    </w:lvl>
  </w:abstractNum>
  <w:abstractNum w:abstractNumId="146" w15:restartNumberingAfterBreak="0">
    <w:nsid w:val="392339E1"/>
    <w:multiLevelType w:val="hybridMultilevel"/>
    <w:tmpl w:val="5E184450"/>
    <w:lvl w:ilvl="0" w:tplc="42F870D8">
      <w:numFmt w:val="bullet"/>
      <w:lvlText w:val="•"/>
      <w:lvlJc w:val="left"/>
      <w:pPr>
        <w:ind w:left="25" w:hanging="80"/>
      </w:pPr>
      <w:rPr>
        <w:rFonts w:ascii="Arial" w:eastAsia="Arial" w:hAnsi="Arial" w:cs="Arial" w:hint="default"/>
        <w:color w:val="231F20"/>
        <w:w w:val="74"/>
        <w:sz w:val="17"/>
        <w:szCs w:val="17"/>
        <w:lang w:val="en-US" w:eastAsia="en-US" w:bidi="ar-SA"/>
      </w:rPr>
    </w:lvl>
    <w:lvl w:ilvl="1" w:tplc="A8DC91CC">
      <w:numFmt w:val="bullet"/>
      <w:lvlText w:val="•"/>
      <w:lvlJc w:val="left"/>
      <w:pPr>
        <w:ind w:left="270" w:hanging="80"/>
      </w:pPr>
      <w:rPr>
        <w:rFonts w:hint="default"/>
        <w:lang w:val="en-US" w:eastAsia="en-US" w:bidi="ar-SA"/>
      </w:rPr>
    </w:lvl>
    <w:lvl w:ilvl="2" w:tplc="C766502C">
      <w:numFmt w:val="bullet"/>
      <w:lvlText w:val="•"/>
      <w:lvlJc w:val="left"/>
      <w:pPr>
        <w:ind w:left="521" w:hanging="80"/>
      </w:pPr>
      <w:rPr>
        <w:rFonts w:hint="default"/>
        <w:lang w:val="en-US" w:eastAsia="en-US" w:bidi="ar-SA"/>
      </w:rPr>
    </w:lvl>
    <w:lvl w:ilvl="3" w:tplc="2AFA47DE">
      <w:numFmt w:val="bullet"/>
      <w:lvlText w:val="•"/>
      <w:lvlJc w:val="left"/>
      <w:pPr>
        <w:ind w:left="771" w:hanging="80"/>
      </w:pPr>
      <w:rPr>
        <w:rFonts w:hint="default"/>
        <w:lang w:val="en-US" w:eastAsia="en-US" w:bidi="ar-SA"/>
      </w:rPr>
    </w:lvl>
    <w:lvl w:ilvl="4" w:tplc="91C6EAC6">
      <w:numFmt w:val="bullet"/>
      <w:lvlText w:val="•"/>
      <w:lvlJc w:val="left"/>
      <w:pPr>
        <w:ind w:left="1022" w:hanging="80"/>
      </w:pPr>
      <w:rPr>
        <w:rFonts w:hint="default"/>
        <w:lang w:val="en-US" w:eastAsia="en-US" w:bidi="ar-SA"/>
      </w:rPr>
    </w:lvl>
    <w:lvl w:ilvl="5" w:tplc="44F83FDC">
      <w:numFmt w:val="bullet"/>
      <w:lvlText w:val="•"/>
      <w:lvlJc w:val="left"/>
      <w:pPr>
        <w:ind w:left="1273" w:hanging="80"/>
      </w:pPr>
      <w:rPr>
        <w:rFonts w:hint="default"/>
        <w:lang w:val="en-US" w:eastAsia="en-US" w:bidi="ar-SA"/>
      </w:rPr>
    </w:lvl>
    <w:lvl w:ilvl="6" w:tplc="3F88C596">
      <w:numFmt w:val="bullet"/>
      <w:lvlText w:val="•"/>
      <w:lvlJc w:val="left"/>
      <w:pPr>
        <w:ind w:left="1523" w:hanging="80"/>
      </w:pPr>
      <w:rPr>
        <w:rFonts w:hint="default"/>
        <w:lang w:val="en-US" w:eastAsia="en-US" w:bidi="ar-SA"/>
      </w:rPr>
    </w:lvl>
    <w:lvl w:ilvl="7" w:tplc="C3E84D62">
      <w:numFmt w:val="bullet"/>
      <w:lvlText w:val="•"/>
      <w:lvlJc w:val="left"/>
      <w:pPr>
        <w:ind w:left="1774" w:hanging="80"/>
      </w:pPr>
      <w:rPr>
        <w:rFonts w:hint="default"/>
        <w:lang w:val="en-US" w:eastAsia="en-US" w:bidi="ar-SA"/>
      </w:rPr>
    </w:lvl>
    <w:lvl w:ilvl="8" w:tplc="0C789444">
      <w:numFmt w:val="bullet"/>
      <w:lvlText w:val="•"/>
      <w:lvlJc w:val="left"/>
      <w:pPr>
        <w:ind w:left="2024" w:hanging="80"/>
      </w:pPr>
      <w:rPr>
        <w:rFonts w:hint="default"/>
        <w:lang w:val="en-US" w:eastAsia="en-US" w:bidi="ar-SA"/>
      </w:rPr>
    </w:lvl>
  </w:abstractNum>
  <w:abstractNum w:abstractNumId="147" w15:restartNumberingAfterBreak="0">
    <w:nsid w:val="392D3A74"/>
    <w:multiLevelType w:val="hybridMultilevel"/>
    <w:tmpl w:val="43BE52A0"/>
    <w:lvl w:ilvl="0" w:tplc="3828DB26">
      <w:numFmt w:val="bullet"/>
      <w:lvlText w:val="•"/>
      <w:lvlJc w:val="left"/>
      <w:pPr>
        <w:ind w:left="28" w:hanging="79"/>
      </w:pPr>
      <w:rPr>
        <w:rFonts w:ascii="Arial" w:eastAsia="Arial" w:hAnsi="Arial" w:cs="Arial" w:hint="default"/>
        <w:color w:val="231F20"/>
        <w:w w:val="62"/>
        <w:sz w:val="20"/>
        <w:szCs w:val="20"/>
        <w:lang w:val="en-US" w:eastAsia="en-US" w:bidi="ar-SA"/>
      </w:rPr>
    </w:lvl>
    <w:lvl w:ilvl="1" w:tplc="D74E8330">
      <w:numFmt w:val="bullet"/>
      <w:lvlText w:val="•"/>
      <w:lvlJc w:val="left"/>
      <w:pPr>
        <w:ind w:left="267" w:hanging="79"/>
      </w:pPr>
      <w:rPr>
        <w:rFonts w:hint="default"/>
        <w:lang w:val="en-US" w:eastAsia="en-US" w:bidi="ar-SA"/>
      </w:rPr>
    </w:lvl>
    <w:lvl w:ilvl="2" w:tplc="391A1A9E">
      <w:numFmt w:val="bullet"/>
      <w:lvlText w:val="•"/>
      <w:lvlJc w:val="left"/>
      <w:pPr>
        <w:ind w:left="514" w:hanging="79"/>
      </w:pPr>
      <w:rPr>
        <w:rFonts w:hint="default"/>
        <w:lang w:val="en-US" w:eastAsia="en-US" w:bidi="ar-SA"/>
      </w:rPr>
    </w:lvl>
    <w:lvl w:ilvl="3" w:tplc="73168EF4">
      <w:numFmt w:val="bullet"/>
      <w:lvlText w:val="•"/>
      <w:lvlJc w:val="left"/>
      <w:pPr>
        <w:ind w:left="761" w:hanging="79"/>
      </w:pPr>
      <w:rPr>
        <w:rFonts w:hint="default"/>
        <w:lang w:val="en-US" w:eastAsia="en-US" w:bidi="ar-SA"/>
      </w:rPr>
    </w:lvl>
    <w:lvl w:ilvl="4" w:tplc="A5647068">
      <w:numFmt w:val="bullet"/>
      <w:lvlText w:val="•"/>
      <w:lvlJc w:val="left"/>
      <w:pPr>
        <w:ind w:left="1008" w:hanging="79"/>
      </w:pPr>
      <w:rPr>
        <w:rFonts w:hint="default"/>
        <w:lang w:val="en-US" w:eastAsia="en-US" w:bidi="ar-SA"/>
      </w:rPr>
    </w:lvl>
    <w:lvl w:ilvl="5" w:tplc="BD24BA28">
      <w:numFmt w:val="bullet"/>
      <w:lvlText w:val="•"/>
      <w:lvlJc w:val="left"/>
      <w:pPr>
        <w:ind w:left="1256" w:hanging="79"/>
      </w:pPr>
      <w:rPr>
        <w:rFonts w:hint="default"/>
        <w:lang w:val="en-US" w:eastAsia="en-US" w:bidi="ar-SA"/>
      </w:rPr>
    </w:lvl>
    <w:lvl w:ilvl="6" w:tplc="3766D5E4">
      <w:numFmt w:val="bullet"/>
      <w:lvlText w:val="•"/>
      <w:lvlJc w:val="left"/>
      <w:pPr>
        <w:ind w:left="1503" w:hanging="79"/>
      </w:pPr>
      <w:rPr>
        <w:rFonts w:hint="default"/>
        <w:lang w:val="en-US" w:eastAsia="en-US" w:bidi="ar-SA"/>
      </w:rPr>
    </w:lvl>
    <w:lvl w:ilvl="7" w:tplc="112AC6C8">
      <w:numFmt w:val="bullet"/>
      <w:lvlText w:val="•"/>
      <w:lvlJc w:val="left"/>
      <w:pPr>
        <w:ind w:left="1750" w:hanging="79"/>
      </w:pPr>
      <w:rPr>
        <w:rFonts w:hint="default"/>
        <w:lang w:val="en-US" w:eastAsia="en-US" w:bidi="ar-SA"/>
      </w:rPr>
    </w:lvl>
    <w:lvl w:ilvl="8" w:tplc="7E20FE46">
      <w:numFmt w:val="bullet"/>
      <w:lvlText w:val="•"/>
      <w:lvlJc w:val="left"/>
      <w:pPr>
        <w:ind w:left="1997" w:hanging="79"/>
      </w:pPr>
      <w:rPr>
        <w:rFonts w:hint="default"/>
        <w:lang w:val="en-US" w:eastAsia="en-US" w:bidi="ar-SA"/>
      </w:rPr>
    </w:lvl>
  </w:abstractNum>
  <w:abstractNum w:abstractNumId="148" w15:restartNumberingAfterBreak="0">
    <w:nsid w:val="395250A4"/>
    <w:multiLevelType w:val="hybridMultilevel"/>
    <w:tmpl w:val="AFE695D4"/>
    <w:lvl w:ilvl="0" w:tplc="92A6950C">
      <w:start w:val="1"/>
      <w:numFmt w:val="decimal"/>
      <w:lvlText w:val="%1."/>
      <w:lvlJc w:val="left"/>
      <w:pPr>
        <w:ind w:left="896" w:hanging="391"/>
      </w:pPr>
      <w:rPr>
        <w:rFonts w:ascii="Arial" w:eastAsia="Arial" w:hAnsi="Arial" w:cs="Arial" w:hint="default"/>
        <w:color w:val="231F20"/>
        <w:w w:val="114"/>
        <w:sz w:val="17"/>
        <w:szCs w:val="17"/>
        <w:lang w:val="en-US" w:eastAsia="en-US" w:bidi="ar-SA"/>
      </w:rPr>
    </w:lvl>
    <w:lvl w:ilvl="1" w:tplc="583E9A68">
      <w:numFmt w:val="bullet"/>
      <w:lvlText w:val="•"/>
      <w:lvlJc w:val="left"/>
      <w:pPr>
        <w:ind w:left="1197" w:hanging="391"/>
      </w:pPr>
      <w:rPr>
        <w:rFonts w:hint="default"/>
        <w:lang w:val="en-US" w:eastAsia="en-US" w:bidi="ar-SA"/>
      </w:rPr>
    </w:lvl>
    <w:lvl w:ilvl="2" w:tplc="1FF6A924">
      <w:numFmt w:val="bullet"/>
      <w:lvlText w:val="•"/>
      <w:lvlJc w:val="left"/>
      <w:pPr>
        <w:ind w:left="1494" w:hanging="391"/>
      </w:pPr>
      <w:rPr>
        <w:rFonts w:hint="default"/>
        <w:lang w:val="en-US" w:eastAsia="en-US" w:bidi="ar-SA"/>
      </w:rPr>
    </w:lvl>
    <w:lvl w:ilvl="3" w:tplc="7B864504">
      <w:numFmt w:val="bullet"/>
      <w:lvlText w:val="•"/>
      <w:lvlJc w:val="left"/>
      <w:pPr>
        <w:ind w:left="1792" w:hanging="391"/>
      </w:pPr>
      <w:rPr>
        <w:rFonts w:hint="default"/>
        <w:lang w:val="en-US" w:eastAsia="en-US" w:bidi="ar-SA"/>
      </w:rPr>
    </w:lvl>
    <w:lvl w:ilvl="4" w:tplc="12E8AC4A">
      <w:numFmt w:val="bullet"/>
      <w:lvlText w:val="•"/>
      <w:lvlJc w:val="left"/>
      <w:pPr>
        <w:ind w:left="2089" w:hanging="391"/>
      </w:pPr>
      <w:rPr>
        <w:rFonts w:hint="default"/>
        <w:lang w:val="en-US" w:eastAsia="en-US" w:bidi="ar-SA"/>
      </w:rPr>
    </w:lvl>
    <w:lvl w:ilvl="5" w:tplc="2326B7DE">
      <w:numFmt w:val="bullet"/>
      <w:lvlText w:val="•"/>
      <w:lvlJc w:val="left"/>
      <w:pPr>
        <w:ind w:left="2387" w:hanging="391"/>
      </w:pPr>
      <w:rPr>
        <w:rFonts w:hint="default"/>
        <w:lang w:val="en-US" w:eastAsia="en-US" w:bidi="ar-SA"/>
      </w:rPr>
    </w:lvl>
    <w:lvl w:ilvl="6" w:tplc="6FACAAE2">
      <w:numFmt w:val="bullet"/>
      <w:lvlText w:val="•"/>
      <w:lvlJc w:val="left"/>
      <w:pPr>
        <w:ind w:left="2684" w:hanging="391"/>
      </w:pPr>
      <w:rPr>
        <w:rFonts w:hint="default"/>
        <w:lang w:val="en-US" w:eastAsia="en-US" w:bidi="ar-SA"/>
      </w:rPr>
    </w:lvl>
    <w:lvl w:ilvl="7" w:tplc="0A14DE3C">
      <w:numFmt w:val="bullet"/>
      <w:lvlText w:val="•"/>
      <w:lvlJc w:val="left"/>
      <w:pPr>
        <w:ind w:left="2981" w:hanging="391"/>
      </w:pPr>
      <w:rPr>
        <w:rFonts w:hint="default"/>
        <w:lang w:val="en-US" w:eastAsia="en-US" w:bidi="ar-SA"/>
      </w:rPr>
    </w:lvl>
    <w:lvl w:ilvl="8" w:tplc="5498D400">
      <w:numFmt w:val="bullet"/>
      <w:lvlText w:val="•"/>
      <w:lvlJc w:val="left"/>
      <w:pPr>
        <w:ind w:left="3279" w:hanging="391"/>
      </w:pPr>
      <w:rPr>
        <w:rFonts w:hint="default"/>
        <w:lang w:val="en-US" w:eastAsia="en-US" w:bidi="ar-SA"/>
      </w:rPr>
    </w:lvl>
  </w:abstractNum>
  <w:abstractNum w:abstractNumId="149" w15:restartNumberingAfterBreak="0">
    <w:nsid w:val="39CD30D1"/>
    <w:multiLevelType w:val="hybridMultilevel"/>
    <w:tmpl w:val="21DC520C"/>
    <w:lvl w:ilvl="0" w:tplc="18F82540">
      <w:numFmt w:val="bullet"/>
      <w:lvlText w:val="•"/>
      <w:lvlJc w:val="left"/>
      <w:pPr>
        <w:ind w:left="21" w:hanging="75"/>
      </w:pPr>
      <w:rPr>
        <w:rFonts w:ascii="Arial" w:eastAsia="Arial" w:hAnsi="Arial" w:cs="Arial" w:hint="default"/>
        <w:color w:val="231F20"/>
        <w:w w:val="107"/>
        <w:sz w:val="11"/>
        <w:szCs w:val="11"/>
        <w:lang w:val="en-US" w:eastAsia="en-US" w:bidi="ar-SA"/>
      </w:rPr>
    </w:lvl>
    <w:lvl w:ilvl="1" w:tplc="5CCEDA46">
      <w:numFmt w:val="bullet"/>
      <w:lvlText w:val="•"/>
      <w:lvlJc w:val="left"/>
      <w:pPr>
        <w:ind w:left="254" w:hanging="75"/>
      </w:pPr>
      <w:rPr>
        <w:rFonts w:hint="default"/>
        <w:lang w:val="en-US" w:eastAsia="en-US" w:bidi="ar-SA"/>
      </w:rPr>
    </w:lvl>
    <w:lvl w:ilvl="2" w:tplc="3F8C5D54">
      <w:numFmt w:val="bullet"/>
      <w:lvlText w:val="•"/>
      <w:lvlJc w:val="left"/>
      <w:pPr>
        <w:ind w:left="488" w:hanging="75"/>
      </w:pPr>
      <w:rPr>
        <w:rFonts w:hint="default"/>
        <w:lang w:val="en-US" w:eastAsia="en-US" w:bidi="ar-SA"/>
      </w:rPr>
    </w:lvl>
    <w:lvl w:ilvl="3" w:tplc="F8EE5CCE">
      <w:numFmt w:val="bullet"/>
      <w:lvlText w:val="•"/>
      <w:lvlJc w:val="left"/>
      <w:pPr>
        <w:ind w:left="723" w:hanging="75"/>
      </w:pPr>
      <w:rPr>
        <w:rFonts w:hint="default"/>
        <w:lang w:val="en-US" w:eastAsia="en-US" w:bidi="ar-SA"/>
      </w:rPr>
    </w:lvl>
    <w:lvl w:ilvl="4" w:tplc="C478CD1A">
      <w:numFmt w:val="bullet"/>
      <w:lvlText w:val="•"/>
      <w:lvlJc w:val="left"/>
      <w:pPr>
        <w:ind w:left="957" w:hanging="75"/>
      </w:pPr>
      <w:rPr>
        <w:rFonts w:hint="default"/>
        <w:lang w:val="en-US" w:eastAsia="en-US" w:bidi="ar-SA"/>
      </w:rPr>
    </w:lvl>
    <w:lvl w:ilvl="5" w:tplc="1D56E65C">
      <w:numFmt w:val="bullet"/>
      <w:lvlText w:val="•"/>
      <w:lvlJc w:val="left"/>
      <w:pPr>
        <w:ind w:left="1192" w:hanging="75"/>
      </w:pPr>
      <w:rPr>
        <w:rFonts w:hint="default"/>
        <w:lang w:val="en-US" w:eastAsia="en-US" w:bidi="ar-SA"/>
      </w:rPr>
    </w:lvl>
    <w:lvl w:ilvl="6" w:tplc="F7725A1E">
      <w:numFmt w:val="bullet"/>
      <w:lvlText w:val="•"/>
      <w:lvlJc w:val="left"/>
      <w:pPr>
        <w:ind w:left="1426" w:hanging="75"/>
      </w:pPr>
      <w:rPr>
        <w:rFonts w:hint="default"/>
        <w:lang w:val="en-US" w:eastAsia="en-US" w:bidi="ar-SA"/>
      </w:rPr>
    </w:lvl>
    <w:lvl w:ilvl="7" w:tplc="C220FD2A">
      <w:numFmt w:val="bullet"/>
      <w:lvlText w:val="•"/>
      <w:lvlJc w:val="left"/>
      <w:pPr>
        <w:ind w:left="1660" w:hanging="75"/>
      </w:pPr>
      <w:rPr>
        <w:rFonts w:hint="default"/>
        <w:lang w:val="en-US" w:eastAsia="en-US" w:bidi="ar-SA"/>
      </w:rPr>
    </w:lvl>
    <w:lvl w:ilvl="8" w:tplc="C5C6DDBC">
      <w:numFmt w:val="bullet"/>
      <w:lvlText w:val="•"/>
      <w:lvlJc w:val="left"/>
      <w:pPr>
        <w:ind w:left="1895" w:hanging="75"/>
      </w:pPr>
      <w:rPr>
        <w:rFonts w:hint="default"/>
        <w:lang w:val="en-US" w:eastAsia="en-US" w:bidi="ar-SA"/>
      </w:rPr>
    </w:lvl>
  </w:abstractNum>
  <w:abstractNum w:abstractNumId="150" w15:restartNumberingAfterBreak="0">
    <w:nsid w:val="3AAC2064"/>
    <w:multiLevelType w:val="hybridMultilevel"/>
    <w:tmpl w:val="857EDBBA"/>
    <w:lvl w:ilvl="0" w:tplc="F1FAC172">
      <w:numFmt w:val="bullet"/>
      <w:lvlText w:val="•"/>
      <w:lvlJc w:val="left"/>
      <w:pPr>
        <w:ind w:left="20" w:hanging="75"/>
      </w:pPr>
      <w:rPr>
        <w:rFonts w:ascii="Arial" w:eastAsia="Arial" w:hAnsi="Arial" w:cs="Arial" w:hint="default"/>
        <w:color w:val="231F20"/>
        <w:w w:val="98"/>
        <w:sz w:val="12"/>
        <w:szCs w:val="12"/>
        <w:lang w:val="en-US" w:eastAsia="en-US" w:bidi="ar-SA"/>
      </w:rPr>
    </w:lvl>
    <w:lvl w:ilvl="1" w:tplc="C5C233B4">
      <w:numFmt w:val="bullet"/>
      <w:lvlText w:val="•"/>
      <w:lvlJc w:val="left"/>
      <w:pPr>
        <w:ind w:left="255" w:hanging="75"/>
      </w:pPr>
      <w:rPr>
        <w:rFonts w:hint="default"/>
        <w:lang w:val="en-US" w:eastAsia="en-US" w:bidi="ar-SA"/>
      </w:rPr>
    </w:lvl>
    <w:lvl w:ilvl="2" w:tplc="F642FC20">
      <w:numFmt w:val="bullet"/>
      <w:lvlText w:val="•"/>
      <w:lvlJc w:val="left"/>
      <w:pPr>
        <w:ind w:left="490" w:hanging="75"/>
      </w:pPr>
      <w:rPr>
        <w:rFonts w:hint="default"/>
        <w:lang w:val="en-US" w:eastAsia="en-US" w:bidi="ar-SA"/>
      </w:rPr>
    </w:lvl>
    <w:lvl w:ilvl="3" w:tplc="193C9B7E">
      <w:numFmt w:val="bullet"/>
      <w:lvlText w:val="•"/>
      <w:lvlJc w:val="left"/>
      <w:pPr>
        <w:ind w:left="725" w:hanging="75"/>
      </w:pPr>
      <w:rPr>
        <w:rFonts w:hint="default"/>
        <w:lang w:val="en-US" w:eastAsia="en-US" w:bidi="ar-SA"/>
      </w:rPr>
    </w:lvl>
    <w:lvl w:ilvl="4" w:tplc="BF9C64BA">
      <w:numFmt w:val="bullet"/>
      <w:lvlText w:val="•"/>
      <w:lvlJc w:val="left"/>
      <w:pPr>
        <w:ind w:left="960" w:hanging="75"/>
      </w:pPr>
      <w:rPr>
        <w:rFonts w:hint="default"/>
        <w:lang w:val="en-US" w:eastAsia="en-US" w:bidi="ar-SA"/>
      </w:rPr>
    </w:lvl>
    <w:lvl w:ilvl="5" w:tplc="B4A0D1A8">
      <w:numFmt w:val="bullet"/>
      <w:lvlText w:val="•"/>
      <w:lvlJc w:val="left"/>
      <w:pPr>
        <w:ind w:left="1195" w:hanging="75"/>
      </w:pPr>
      <w:rPr>
        <w:rFonts w:hint="default"/>
        <w:lang w:val="en-US" w:eastAsia="en-US" w:bidi="ar-SA"/>
      </w:rPr>
    </w:lvl>
    <w:lvl w:ilvl="6" w:tplc="BC0EF600">
      <w:numFmt w:val="bullet"/>
      <w:lvlText w:val="•"/>
      <w:lvlJc w:val="left"/>
      <w:pPr>
        <w:ind w:left="1430" w:hanging="75"/>
      </w:pPr>
      <w:rPr>
        <w:rFonts w:hint="default"/>
        <w:lang w:val="en-US" w:eastAsia="en-US" w:bidi="ar-SA"/>
      </w:rPr>
    </w:lvl>
    <w:lvl w:ilvl="7" w:tplc="1DDAA73E">
      <w:numFmt w:val="bullet"/>
      <w:lvlText w:val="•"/>
      <w:lvlJc w:val="left"/>
      <w:pPr>
        <w:ind w:left="1665" w:hanging="75"/>
      </w:pPr>
      <w:rPr>
        <w:rFonts w:hint="default"/>
        <w:lang w:val="en-US" w:eastAsia="en-US" w:bidi="ar-SA"/>
      </w:rPr>
    </w:lvl>
    <w:lvl w:ilvl="8" w:tplc="9486495C">
      <w:numFmt w:val="bullet"/>
      <w:lvlText w:val="•"/>
      <w:lvlJc w:val="left"/>
      <w:pPr>
        <w:ind w:left="1900" w:hanging="75"/>
      </w:pPr>
      <w:rPr>
        <w:rFonts w:hint="default"/>
        <w:lang w:val="en-US" w:eastAsia="en-US" w:bidi="ar-SA"/>
      </w:rPr>
    </w:lvl>
  </w:abstractNum>
  <w:abstractNum w:abstractNumId="151" w15:restartNumberingAfterBreak="0">
    <w:nsid w:val="3ACE2873"/>
    <w:multiLevelType w:val="hybridMultilevel"/>
    <w:tmpl w:val="08BA0CBC"/>
    <w:lvl w:ilvl="0" w:tplc="E95AC54E">
      <w:numFmt w:val="bullet"/>
      <w:lvlText w:val="•"/>
      <w:lvlJc w:val="left"/>
      <w:pPr>
        <w:ind w:left="28" w:hanging="45"/>
      </w:pPr>
      <w:rPr>
        <w:rFonts w:ascii="Arial" w:eastAsia="Arial" w:hAnsi="Arial" w:cs="Arial" w:hint="default"/>
        <w:color w:val="231F20"/>
        <w:spacing w:val="-5"/>
        <w:w w:val="89"/>
        <w:sz w:val="12"/>
        <w:szCs w:val="12"/>
        <w:lang w:val="en-US" w:eastAsia="en-US" w:bidi="ar-SA"/>
      </w:rPr>
    </w:lvl>
    <w:lvl w:ilvl="1" w:tplc="FDD8F57C">
      <w:numFmt w:val="bullet"/>
      <w:lvlText w:val="•"/>
      <w:lvlJc w:val="left"/>
      <w:pPr>
        <w:ind w:left="267" w:hanging="45"/>
      </w:pPr>
      <w:rPr>
        <w:rFonts w:hint="default"/>
        <w:lang w:val="en-US" w:eastAsia="en-US" w:bidi="ar-SA"/>
      </w:rPr>
    </w:lvl>
    <w:lvl w:ilvl="2" w:tplc="4A1A3EEE">
      <w:numFmt w:val="bullet"/>
      <w:lvlText w:val="•"/>
      <w:lvlJc w:val="left"/>
      <w:pPr>
        <w:ind w:left="514" w:hanging="45"/>
      </w:pPr>
      <w:rPr>
        <w:rFonts w:hint="default"/>
        <w:lang w:val="en-US" w:eastAsia="en-US" w:bidi="ar-SA"/>
      </w:rPr>
    </w:lvl>
    <w:lvl w:ilvl="3" w:tplc="BE7626DC">
      <w:numFmt w:val="bullet"/>
      <w:lvlText w:val="•"/>
      <w:lvlJc w:val="left"/>
      <w:pPr>
        <w:ind w:left="761" w:hanging="45"/>
      </w:pPr>
      <w:rPr>
        <w:rFonts w:hint="default"/>
        <w:lang w:val="en-US" w:eastAsia="en-US" w:bidi="ar-SA"/>
      </w:rPr>
    </w:lvl>
    <w:lvl w:ilvl="4" w:tplc="330CBAEE">
      <w:numFmt w:val="bullet"/>
      <w:lvlText w:val="•"/>
      <w:lvlJc w:val="left"/>
      <w:pPr>
        <w:ind w:left="1009" w:hanging="45"/>
      </w:pPr>
      <w:rPr>
        <w:rFonts w:hint="default"/>
        <w:lang w:val="en-US" w:eastAsia="en-US" w:bidi="ar-SA"/>
      </w:rPr>
    </w:lvl>
    <w:lvl w:ilvl="5" w:tplc="F434009A">
      <w:numFmt w:val="bullet"/>
      <w:lvlText w:val="•"/>
      <w:lvlJc w:val="left"/>
      <w:pPr>
        <w:ind w:left="1256" w:hanging="45"/>
      </w:pPr>
      <w:rPr>
        <w:rFonts w:hint="default"/>
        <w:lang w:val="en-US" w:eastAsia="en-US" w:bidi="ar-SA"/>
      </w:rPr>
    </w:lvl>
    <w:lvl w:ilvl="6" w:tplc="713A3DDE">
      <w:numFmt w:val="bullet"/>
      <w:lvlText w:val="•"/>
      <w:lvlJc w:val="left"/>
      <w:pPr>
        <w:ind w:left="1503" w:hanging="45"/>
      </w:pPr>
      <w:rPr>
        <w:rFonts w:hint="default"/>
        <w:lang w:val="en-US" w:eastAsia="en-US" w:bidi="ar-SA"/>
      </w:rPr>
    </w:lvl>
    <w:lvl w:ilvl="7" w:tplc="E4121F16">
      <w:numFmt w:val="bullet"/>
      <w:lvlText w:val="•"/>
      <w:lvlJc w:val="left"/>
      <w:pPr>
        <w:ind w:left="1751" w:hanging="45"/>
      </w:pPr>
      <w:rPr>
        <w:rFonts w:hint="default"/>
        <w:lang w:val="en-US" w:eastAsia="en-US" w:bidi="ar-SA"/>
      </w:rPr>
    </w:lvl>
    <w:lvl w:ilvl="8" w:tplc="00D89E56">
      <w:numFmt w:val="bullet"/>
      <w:lvlText w:val="•"/>
      <w:lvlJc w:val="left"/>
      <w:pPr>
        <w:ind w:left="1998" w:hanging="45"/>
      </w:pPr>
      <w:rPr>
        <w:rFonts w:hint="default"/>
        <w:lang w:val="en-US" w:eastAsia="en-US" w:bidi="ar-SA"/>
      </w:rPr>
    </w:lvl>
  </w:abstractNum>
  <w:abstractNum w:abstractNumId="152" w15:restartNumberingAfterBreak="0">
    <w:nsid w:val="3C5557F6"/>
    <w:multiLevelType w:val="hybridMultilevel"/>
    <w:tmpl w:val="64127E0E"/>
    <w:lvl w:ilvl="0" w:tplc="51CA3E14">
      <w:numFmt w:val="bullet"/>
      <w:lvlText w:val="•"/>
      <w:lvlJc w:val="left"/>
      <w:pPr>
        <w:ind w:left="25" w:hanging="80"/>
      </w:pPr>
      <w:rPr>
        <w:rFonts w:ascii="Arial" w:eastAsia="Arial" w:hAnsi="Arial" w:cs="Arial" w:hint="default"/>
        <w:color w:val="231F20"/>
        <w:w w:val="90"/>
        <w:sz w:val="14"/>
        <w:szCs w:val="14"/>
        <w:lang w:val="en-US" w:eastAsia="en-US" w:bidi="ar-SA"/>
      </w:rPr>
    </w:lvl>
    <w:lvl w:ilvl="1" w:tplc="FFC4A71C">
      <w:numFmt w:val="bullet"/>
      <w:lvlText w:val="•"/>
      <w:lvlJc w:val="left"/>
      <w:pPr>
        <w:ind w:left="270" w:hanging="80"/>
      </w:pPr>
      <w:rPr>
        <w:rFonts w:hint="default"/>
        <w:lang w:val="en-US" w:eastAsia="en-US" w:bidi="ar-SA"/>
      </w:rPr>
    </w:lvl>
    <w:lvl w:ilvl="2" w:tplc="88BC2E78">
      <w:numFmt w:val="bullet"/>
      <w:lvlText w:val="•"/>
      <w:lvlJc w:val="left"/>
      <w:pPr>
        <w:ind w:left="520" w:hanging="80"/>
      </w:pPr>
      <w:rPr>
        <w:rFonts w:hint="default"/>
        <w:lang w:val="en-US" w:eastAsia="en-US" w:bidi="ar-SA"/>
      </w:rPr>
    </w:lvl>
    <w:lvl w:ilvl="3" w:tplc="361A159C">
      <w:numFmt w:val="bullet"/>
      <w:lvlText w:val="•"/>
      <w:lvlJc w:val="left"/>
      <w:pPr>
        <w:ind w:left="770" w:hanging="80"/>
      </w:pPr>
      <w:rPr>
        <w:rFonts w:hint="default"/>
        <w:lang w:val="en-US" w:eastAsia="en-US" w:bidi="ar-SA"/>
      </w:rPr>
    </w:lvl>
    <w:lvl w:ilvl="4" w:tplc="47560B64">
      <w:numFmt w:val="bullet"/>
      <w:lvlText w:val="•"/>
      <w:lvlJc w:val="left"/>
      <w:pPr>
        <w:ind w:left="1021" w:hanging="80"/>
      </w:pPr>
      <w:rPr>
        <w:rFonts w:hint="default"/>
        <w:lang w:val="en-US" w:eastAsia="en-US" w:bidi="ar-SA"/>
      </w:rPr>
    </w:lvl>
    <w:lvl w:ilvl="5" w:tplc="35661662">
      <w:numFmt w:val="bullet"/>
      <w:lvlText w:val="•"/>
      <w:lvlJc w:val="left"/>
      <w:pPr>
        <w:ind w:left="1271" w:hanging="80"/>
      </w:pPr>
      <w:rPr>
        <w:rFonts w:hint="default"/>
        <w:lang w:val="en-US" w:eastAsia="en-US" w:bidi="ar-SA"/>
      </w:rPr>
    </w:lvl>
    <w:lvl w:ilvl="6" w:tplc="ECB6A95C">
      <w:numFmt w:val="bullet"/>
      <w:lvlText w:val="•"/>
      <w:lvlJc w:val="left"/>
      <w:pPr>
        <w:ind w:left="1521" w:hanging="80"/>
      </w:pPr>
      <w:rPr>
        <w:rFonts w:hint="default"/>
        <w:lang w:val="en-US" w:eastAsia="en-US" w:bidi="ar-SA"/>
      </w:rPr>
    </w:lvl>
    <w:lvl w:ilvl="7" w:tplc="B0DA506C">
      <w:numFmt w:val="bullet"/>
      <w:lvlText w:val="•"/>
      <w:lvlJc w:val="left"/>
      <w:pPr>
        <w:ind w:left="1772" w:hanging="80"/>
      </w:pPr>
      <w:rPr>
        <w:rFonts w:hint="default"/>
        <w:lang w:val="en-US" w:eastAsia="en-US" w:bidi="ar-SA"/>
      </w:rPr>
    </w:lvl>
    <w:lvl w:ilvl="8" w:tplc="D77070E0">
      <w:numFmt w:val="bullet"/>
      <w:lvlText w:val="•"/>
      <w:lvlJc w:val="left"/>
      <w:pPr>
        <w:ind w:left="2022" w:hanging="80"/>
      </w:pPr>
      <w:rPr>
        <w:rFonts w:hint="default"/>
        <w:lang w:val="en-US" w:eastAsia="en-US" w:bidi="ar-SA"/>
      </w:rPr>
    </w:lvl>
  </w:abstractNum>
  <w:abstractNum w:abstractNumId="153" w15:restartNumberingAfterBreak="0">
    <w:nsid w:val="3C5A0B94"/>
    <w:multiLevelType w:val="hybridMultilevel"/>
    <w:tmpl w:val="DBD28454"/>
    <w:lvl w:ilvl="0" w:tplc="F90E1534">
      <w:numFmt w:val="bullet"/>
      <w:lvlText w:val="•"/>
      <w:lvlJc w:val="left"/>
      <w:pPr>
        <w:ind w:left="24" w:hanging="75"/>
      </w:pPr>
      <w:rPr>
        <w:rFonts w:ascii="Arial" w:eastAsia="Arial" w:hAnsi="Arial" w:cs="Arial" w:hint="default"/>
        <w:color w:val="231F20"/>
        <w:w w:val="91"/>
        <w:sz w:val="13"/>
        <w:szCs w:val="13"/>
        <w:lang w:val="en-US" w:eastAsia="en-US" w:bidi="ar-SA"/>
      </w:rPr>
    </w:lvl>
    <w:lvl w:ilvl="1" w:tplc="C486D632">
      <w:numFmt w:val="bullet"/>
      <w:lvlText w:val="•"/>
      <w:lvlJc w:val="left"/>
      <w:pPr>
        <w:ind w:left="254" w:hanging="75"/>
      </w:pPr>
      <w:rPr>
        <w:rFonts w:hint="default"/>
        <w:lang w:val="en-US" w:eastAsia="en-US" w:bidi="ar-SA"/>
      </w:rPr>
    </w:lvl>
    <w:lvl w:ilvl="2" w:tplc="F84AB666">
      <w:numFmt w:val="bullet"/>
      <w:lvlText w:val="•"/>
      <w:lvlJc w:val="left"/>
      <w:pPr>
        <w:ind w:left="489" w:hanging="75"/>
      </w:pPr>
      <w:rPr>
        <w:rFonts w:hint="default"/>
        <w:lang w:val="en-US" w:eastAsia="en-US" w:bidi="ar-SA"/>
      </w:rPr>
    </w:lvl>
    <w:lvl w:ilvl="3" w:tplc="F028CFF0">
      <w:numFmt w:val="bullet"/>
      <w:lvlText w:val="•"/>
      <w:lvlJc w:val="left"/>
      <w:pPr>
        <w:ind w:left="723" w:hanging="75"/>
      </w:pPr>
      <w:rPr>
        <w:rFonts w:hint="default"/>
        <w:lang w:val="en-US" w:eastAsia="en-US" w:bidi="ar-SA"/>
      </w:rPr>
    </w:lvl>
    <w:lvl w:ilvl="4" w:tplc="AB10F538">
      <w:numFmt w:val="bullet"/>
      <w:lvlText w:val="•"/>
      <w:lvlJc w:val="left"/>
      <w:pPr>
        <w:ind w:left="958" w:hanging="75"/>
      </w:pPr>
      <w:rPr>
        <w:rFonts w:hint="default"/>
        <w:lang w:val="en-US" w:eastAsia="en-US" w:bidi="ar-SA"/>
      </w:rPr>
    </w:lvl>
    <w:lvl w:ilvl="5" w:tplc="FF2CDBD2">
      <w:numFmt w:val="bullet"/>
      <w:lvlText w:val="•"/>
      <w:lvlJc w:val="left"/>
      <w:pPr>
        <w:ind w:left="1193" w:hanging="75"/>
      </w:pPr>
      <w:rPr>
        <w:rFonts w:hint="default"/>
        <w:lang w:val="en-US" w:eastAsia="en-US" w:bidi="ar-SA"/>
      </w:rPr>
    </w:lvl>
    <w:lvl w:ilvl="6" w:tplc="9438A090">
      <w:numFmt w:val="bullet"/>
      <w:lvlText w:val="•"/>
      <w:lvlJc w:val="left"/>
      <w:pPr>
        <w:ind w:left="1427" w:hanging="75"/>
      </w:pPr>
      <w:rPr>
        <w:rFonts w:hint="default"/>
        <w:lang w:val="en-US" w:eastAsia="en-US" w:bidi="ar-SA"/>
      </w:rPr>
    </w:lvl>
    <w:lvl w:ilvl="7" w:tplc="1D58F82E">
      <w:numFmt w:val="bullet"/>
      <w:lvlText w:val="•"/>
      <w:lvlJc w:val="left"/>
      <w:pPr>
        <w:ind w:left="1662" w:hanging="75"/>
      </w:pPr>
      <w:rPr>
        <w:rFonts w:hint="default"/>
        <w:lang w:val="en-US" w:eastAsia="en-US" w:bidi="ar-SA"/>
      </w:rPr>
    </w:lvl>
    <w:lvl w:ilvl="8" w:tplc="8104ED3A">
      <w:numFmt w:val="bullet"/>
      <w:lvlText w:val="•"/>
      <w:lvlJc w:val="left"/>
      <w:pPr>
        <w:ind w:left="1896" w:hanging="75"/>
      </w:pPr>
      <w:rPr>
        <w:rFonts w:hint="default"/>
        <w:lang w:val="en-US" w:eastAsia="en-US" w:bidi="ar-SA"/>
      </w:rPr>
    </w:lvl>
  </w:abstractNum>
  <w:abstractNum w:abstractNumId="154" w15:restartNumberingAfterBreak="0">
    <w:nsid w:val="3D2A22D1"/>
    <w:multiLevelType w:val="hybridMultilevel"/>
    <w:tmpl w:val="EAA2F7F0"/>
    <w:lvl w:ilvl="0" w:tplc="379836E4">
      <w:numFmt w:val="bullet"/>
      <w:lvlText w:val="•"/>
      <w:lvlJc w:val="left"/>
      <w:pPr>
        <w:ind w:left="23" w:hanging="77"/>
      </w:pPr>
      <w:rPr>
        <w:rFonts w:ascii="Arial" w:eastAsia="Arial" w:hAnsi="Arial" w:cs="Arial" w:hint="default"/>
        <w:color w:val="231F20"/>
        <w:w w:val="67"/>
        <w:sz w:val="18"/>
        <w:szCs w:val="18"/>
        <w:lang w:val="en-US" w:eastAsia="en-US" w:bidi="ar-SA"/>
      </w:rPr>
    </w:lvl>
    <w:lvl w:ilvl="1" w:tplc="4238AF7E">
      <w:numFmt w:val="bullet"/>
      <w:lvlText w:val="•"/>
      <w:lvlJc w:val="left"/>
      <w:pPr>
        <w:ind w:left="260" w:hanging="77"/>
      </w:pPr>
      <w:rPr>
        <w:rFonts w:hint="default"/>
        <w:lang w:val="en-US" w:eastAsia="en-US" w:bidi="ar-SA"/>
      </w:rPr>
    </w:lvl>
    <w:lvl w:ilvl="2" w:tplc="14E024FC">
      <w:numFmt w:val="bullet"/>
      <w:lvlText w:val="•"/>
      <w:lvlJc w:val="left"/>
      <w:pPr>
        <w:ind w:left="500" w:hanging="77"/>
      </w:pPr>
      <w:rPr>
        <w:rFonts w:hint="default"/>
        <w:lang w:val="en-US" w:eastAsia="en-US" w:bidi="ar-SA"/>
      </w:rPr>
    </w:lvl>
    <w:lvl w:ilvl="3" w:tplc="4F96B0AC">
      <w:numFmt w:val="bullet"/>
      <w:lvlText w:val="•"/>
      <w:lvlJc w:val="left"/>
      <w:pPr>
        <w:ind w:left="740" w:hanging="77"/>
      </w:pPr>
      <w:rPr>
        <w:rFonts w:hint="default"/>
        <w:lang w:val="en-US" w:eastAsia="en-US" w:bidi="ar-SA"/>
      </w:rPr>
    </w:lvl>
    <w:lvl w:ilvl="4" w:tplc="546ACB32">
      <w:numFmt w:val="bullet"/>
      <w:lvlText w:val="•"/>
      <w:lvlJc w:val="left"/>
      <w:pPr>
        <w:ind w:left="980" w:hanging="77"/>
      </w:pPr>
      <w:rPr>
        <w:rFonts w:hint="default"/>
        <w:lang w:val="en-US" w:eastAsia="en-US" w:bidi="ar-SA"/>
      </w:rPr>
    </w:lvl>
    <w:lvl w:ilvl="5" w:tplc="F69A0BA4">
      <w:numFmt w:val="bullet"/>
      <w:lvlText w:val="•"/>
      <w:lvlJc w:val="left"/>
      <w:pPr>
        <w:ind w:left="1220" w:hanging="77"/>
      </w:pPr>
      <w:rPr>
        <w:rFonts w:hint="default"/>
        <w:lang w:val="en-US" w:eastAsia="en-US" w:bidi="ar-SA"/>
      </w:rPr>
    </w:lvl>
    <w:lvl w:ilvl="6" w:tplc="187A4FB8">
      <w:numFmt w:val="bullet"/>
      <w:lvlText w:val="•"/>
      <w:lvlJc w:val="left"/>
      <w:pPr>
        <w:ind w:left="1460" w:hanging="77"/>
      </w:pPr>
      <w:rPr>
        <w:rFonts w:hint="default"/>
        <w:lang w:val="en-US" w:eastAsia="en-US" w:bidi="ar-SA"/>
      </w:rPr>
    </w:lvl>
    <w:lvl w:ilvl="7" w:tplc="B3C2AC5C">
      <w:numFmt w:val="bullet"/>
      <w:lvlText w:val="•"/>
      <w:lvlJc w:val="left"/>
      <w:pPr>
        <w:ind w:left="1700" w:hanging="77"/>
      </w:pPr>
      <w:rPr>
        <w:rFonts w:hint="default"/>
        <w:lang w:val="en-US" w:eastAsia="en-US" w:bidi="ar-SA"/>
      </w:rPr>
    </w:lvl>
    <w:lvl w:ilvl="8" w:tplc="B638F1C0">
      <w:numFmt w:val="bullet"/>
      <w:lvlText w:val="•"/>
      <w:lvlJc w:val="left"/>
      <w:pPr>
        <w:ind w:left="1940" w:hanging="77"/>
      </w:pPr>
      <w:rPr>
        <w:rFonts w:hint="default"/>
        <w:lang w:val="en-US" w:eastAsia="en-US" w:bidi="ar-SA"/>
      </w:rPr>
    </w:lvl>
  </w:abstractNum>
  <w:abstractNum w:abstractNumId="155" w15:restartNumberingAfterBreak="0">
    <w:nsid w:val="3D3F6747"/>
    <w:multiLevelType w:val="hybridMultilevel"/>
    <w:tmpl w:val="C45EDA7E"/>
    <w:lvl w:ilvl="0" w:tplc="A43063D0">
      <w:numFmt w:val="bullet"/>
      <w:lvlText w:val="•"/>
      <w:lvlJc w:val="left"/>
      <w:pPr>
        <w:ind w:left="28" w:hanging="79"/>
      </w:pPr>
      <w:rPr>
        <w:rFonts w:ascii="Arial" w:eastAsia="Arial" w:hAnsi="Arial" w:cs="Arial" w:hint="default"/>
        <w:color w:val="231F20"/>
        <w:w w:val="62"/>
        <w:sz w:val="20"/>
        <w:szCs w:val="20"/>
        <w:lang w:val="en-US" w:eastAsia="en-US" w:bidi="ar-SA"/>
      </w:rPr>
    </w:lvl>
    <w:lvl w:ilvl="1" w:tplc="AFD4F144">
      <w:numFmt w:val="bullet"/>
      <w:lvlText w:val="•"/>
      <w:lvlJc w:val="left"/>
      <w:pPr>
        <w:ind w:left="267" w:hanging="79"/>
      </w:pPr>
      <w:rPr>
        <w:rFonts w:hint="default"/>
        <w:lang w:val="en-US" w:eastAsia="en-US" w:bidi="ar-SA"/>
      </w:rPr>
    </w:lvl>
    <w:lvl w:ilvl="2" w:tplc="6CD6ACC6">
      <w:numFmt w:val="bullet"/>
      <w:lvlText w:val="•"/>
      <w:lvlJc w:val="left"/>
      <w:pPr>
        <w:ind w:left="514" w:hanging="79"/>
      </w:pPr>
      <w:rPr>
        <w:rFonts w:hint="default"/>
        <w:lang w:val="en-US" w:eastAsia="en-US" w:bidi="ar-SA"/>
      </w:rPr>
    </w:lvl>
    <w:lvl w:ilvl="3" w:tplc="CD142B0C">
      <w:numFmt w:val="bullet"/>
      <w:lvlText w:val="•"/>
      <w:lvlJc w:val="left"/>
      <w:pPr>
        <w:ind w:left="761" w:hanging="79"/>
      </w:pPr>
      <w:rPr>
        <w:rFonts w:hint="default"/>
        <w:lang w:val="en-US" w:eastAsia="en-US" w:bidi="ar-SA"/>
      </w:rPr>
    </w:lvl>
    <w:lvl w:ilvl="4" w:tplc="F894DB48">
      <w:numFmt w:val="bullet"/>
      <w:lvlText w:val="•"/>
      <w:lvlJc w:val="left"/>
      <w:pPr>
        <w:ind w:left="1008" w:hanging="79"/>
      </w:pPr>
      <w:rPr>
        <w:rFonts w:hint="default"/>
        <w:lang w:val="en-US" w:eastAsia="en-US" w:bidi="ar-SA"/>
      </w:rPr>
    </w:lvl>
    <w:lvl w:ilvl="5" w:tplc="F080FBC2">
      <w:numFmt w:val="bullet"/>
      <w:lvlText w:val="•"/>
      <w:lvlJc w:val="left"/>
      <w:pPr>
        <w:ind w:left="1256" w:hanging="79"/>
      </w:pPr>
      <w:rPr>
        <w:rFonts w:hint="default"/>
        <w:lang w:val="en-US" w:eastAsia="en-US" w:bidi="ar-SA"/>
      </w:rPr>
    </w:lvl>
    <w:lvl w:ilvl="6" w:tplc="03E024AA">
      <w:numFmt w:val="bullet"/>
      <w:lvlText w:val="•"/>
      <w:lvlJc w:val="left"/>
      <w:pPr>
        <w:ind w:left="1503" w:hanging="79"/>
      </w:pPr>
      <w:rPr>
        <w:rFonts w:hint="default"/>
        <w:lang w:val="en-US" w:eastAsia="en-US" w:bidi="ar-SA"/>
      </w:rPr>
    </w:lvl>
    <w:lvl w:ilvl="7" w:tplc="F2AC6A5E">
      <w:numFmt w:val="bullet"/>
      <w:lvlText w:val="•"/>
      <w:lvlJc w:val="left"/>
      <w:pPr>
        <w:ind w:left="1750" w:hanging="79"/>
      </w:pPr>
      <w:rPr>
        <w:rFonts w:hint="default"/>
        <w:lang w:val="en-US" w:eastAsia="en-US" w:bidi="ar-SA"/>
      </w:rPr>
    </w:lvl>
    <w:lvl w:ilvl="8" w:tplc="03E6D362">
      <w:numFmt w:val="bullet"/>
      <w:lvlText w:val="•"/>
      <w:lvlJc w:val="left"/>
      <w:pPr>
        <w:ind w:left="1997" w:hanging="79"/>
      </w:pPr>
      <w:rPr>
        <w:rFonts w:hint="default"/>
        <w:lang w:val="en-US" w:eastAsia="en-US" w:bidi="ar-SA"/>
      </w:rPr>
    </w:lvl>
  </w:abstractNum>
  <w:abstractNum w:abstractNumId="156" w15:restartNumberingAfterBreak="0">
    <w:nsid w:val="3D8D0FF6"/>
    <w:multiLevelType w:val="hybridMultilevel"/>
    <w:tmpl w:val="E954F966"/>
    <w:lvl w:ilvl="0" w:tplc="410E3F66">
      <w:numFmt w:val="bullet"/>
      <w:lvlText w:val="•"/>
      <w:lvlJc w:val="left"/>
      <w:pPr>
        <w:ind w:left="27" w:hanging="72"/>
      </w:pPr>
      <w:rPr>
        <w:rFonts w:ascii="Arial" w:eastAsia="Arial" w:hAnsi="Arial" w:cs="Arial" w:hint="default"/>
        <w:color w:val="231F20"/>
        <w:w w:val="104"/>
        <w:sz w:val="12"/>
        <w:szCs w:val="12"/>
        <w:lang w:val="en-US" w:eastAsia="en-US" w:bidi="ar-SA"/>
      </w:rPr>
    </w:lvl>
    <w:lvl w:ilvl="1" w:tplc="76D2B842">
      <w:numFmt w:val="bullet"/>
      <w:lvlText w:val="•"/>
      <w:lvlJc w:val="left"/>
      <w:pPr>
        <w:ind w:left="268" w:hanging="72"/>
      </w:pPr>
      <w:rPr>
        <w:rFonts w:hint="default"/>
        <w:lang w:val="en-US" w:eastAsia="en-US" w:bidi="ar-SA"/>
      </w:rPr>
    </w:lvl>
    <w:lvl w:ilvl="2" w:tplc="3E48E126">
      <w:numFmt w:val="bullet"/>
      <w:lvlText w:val="•"/>
      <w:lvlJc w:val="left"/>
      <w:pPr>
        <w:ind w:left="516" w:hanging="72"/>
      </w:pPr>
      <w:rPr>
        <w:rFonts w:hint="default"/>
        <w:lang w:val="en-US" w:eastAsia="en-US" w:bidi="ar-SA"/>
      </w:rPr>
    </w:lvl>
    <w:lvl w:ilvl="3" w:tplc="1E7E093E">
      <w:numFmt w:val="bullet"/>
      <w:lvlText w:val="•"/>
      <w:lvlJc w:val="left"/>
      <w:pPr>
        <w:ind w:left="764" w:hanging="72"/>
      </w:pPr>
      <w:rPr>
        <w:rFonts w:hint="default"/>
        <w:lang w:val="en-US" w:eastAsia="en-US" w:bidi="ar-SA"/>
      </w:rPr>
    </w:lvl>
    <w:lvl w:ilvl="4" w:tplc="04581D7C">
      <w:numFmt w:val="bullet"/>
      <w:lvlText w:val="•"/>
      <w:lvlJc w:val="left"/>
      <w:pPr>
        <w:ind w:left="1013" w:hanging="72"/>
      </w:pPr>
      <w:rPr>
        <w:rFonts w:hint="default"/>
        <w:lang w:val="en-US" w:eastAsia="en-US" w:bidi="ar-SA"/>
      </w:rPr>
    </w:lvl>
    <w:lvl w:ilvl="5" w:tplc="7534CF22">
      <w:numFmt w:val="bullet"/>
      <w:lvlText w:val="•"/>
      <w:lvlJc w:val="left"/>
      <w:pPr>
        <w:ind w:left="1261" w:hanging="72"/>
      </w:pPr>
      <w:rPr>
        <w:rFonts w:hint="default"/>
        <w:lang w:val="en-US" w:eastAsia="en-US" w:bidi="ar-SA"/>
      </w:rPr>
    </w:lvl>
    <w:lvl w:ilvl="6" w:tplc="0082D028">
      <w:numFmt w:val="bullet"/>
      <w:lvlText w:val="•"/>
      <w:lvlJc w:val="left"/>
      <w:pPr>
        <w:ind w:left="1509" w:hanging="72"/>
      </w:pPr>
      <w:rPr>
        <w:rFonts w:hint="default"/>
        <w:lang w:val="en-US" w:eastAsia="en-US" w:bidi="ar-SA"/>
      </w:rPr>
    </w:lvl>
    <w:lvl w:ilvl="7" w:tplc="28F0D81A">
      <w:numFmt w:val="bullet"/>
      <w:lvlText w:val="•"/>
      <w:lvlJc w:val="left"/>
      <w:pPr>
        <w:ind w:left="1758" w:hanging="72"/>
      </w:pPr>
      <w:rPr>
        <w:rFonts w:hint="default"/>
        <w:lang w:val="en-US" w:eastAsia="en-US" w:bidi="ar-SA"/>
      </w:rPr>
    </w:lvl>
    <w:lvl w:ilvl="8" w:tplc="201671F8">
      <w:numFmt w:val="bullet"/>
      <w:lvlText w:val="•"/>
      <w:lvlJc w:val="left"/>
      <w:pPr>
        <w:ind w:left="2006" w:hanging="72"/>
      </w:pPr>
      <w:rPr>
        <w:rFonts w:hint="default"/>
        <w:lang w:val="en-US" w:eastAsia="en-US" w:bidi="ar-SA"/>
      </w:rPr>
    </w:lvl>
  </w:abstractNum>
  <w:abstractNum w:abstractNumId="157" w15:restartNumberingAfterBreak="0">
    <w:nsid w:val="3E0A4939"/>
    <w:multiLevelType w:val="multilevel"/>
    <w:tmpl w:val="775C6FBE"/>
    <w:lvl w:ilvl="0">
      <w:start w:val="6"/>
      <w:numFmt w:val="decimal"/>
      <w:lvlText w:val="%1"/>
      <w:lvlJc w:val="left"/>
      <w:pPr>
        <w:ind w:left="156" w:hanging="975"/>
      </w:pPr>
      <w:rPr>
        <w:rFonts w:hint="default"/>
        <w:lang w:val="en-US" w:eastAsia="en-US" w:bidi="ar-SA"/>
      </w:rPr>
    </w:lvl>
    <w:lvl w:ilvl="1">
      <w:start w:val="13"/>
      <w:numFmt w:val="decimal"/>
      <w:lvlText w:val="%1.%2"/>
      <w:lvlJc w:val="left"/>
      <w:pPr>
        <w:ind w:left="156" w:hanging="975"/>
      </w:pPr>
      <w:rPr>
        <w:rFonts w:hint="default"/>
        <w:lang w:val="en-US" w:eastAsia="en-US" w:bidi="ar-SA"/>
      </w:rPr>
    </w:lvl>
    <w:lvl w:ilvl="2">
      <w:start w:val="1"/>
      <w:numFmt w:val="decimal"/>
      <w:lvlText w:val="%1.%2.%3"/>
      <w:lvlJc w:val="left"/>
      <w:pPr>
        <w:ind w:left="156" w:hanging="975"/>
      </w:pPr>
      <w:rPr>
        <w:rFonts w:hint="default"/>
        <w:lang w:val="en-US" w:eastAsia="en-US" w:bidi="ar-SA"/>
      </w:rPr>
    </w:lvl>
    <w:lvl w:ilvl="3">
      <w:start w:val="1"/>
      <w:numFmt w:val="decimal"/>
      <w:lvlText w:val="%1.%2.%3.%4"/>
      <w:lvlJc w:val="left"/>
      <w:pPr>
        <w:ind w:left="156" w:hanging="975"/>
      </w:pPr>
      <w:rPr>
        <w:rFonts w:ascii="Arial" w:eastAsia="Arial" w:hAnsi="Arial" w:cs="Arial" w:hint="default"/>
        <w:color w:val="231F20"/>
        <w:spacing w:val="-25"/>
        <w:w w:val="99"/>
        <w:sz w:val="22"/>
        <w:szCs w:val="22"/>
        <w:lang w:val="en-US" w:eastAsia="en-US" w:bidi="ar-SA"/>
      </w:rPr>
    </w:lvl>
    <w:lvl w:ilvl="4">
      <w:numFmt w:val="bullet"/>
      <w:lvlText w:val="•"/>
      <w:lvlJc w:val="left"/>
      <w:pPr>
        <w:ind w:left="3978" w:hanging="975"/>
      </w:pPr>
      <w:rPr>
        <w:rFonts w:hint="default"/>
        <w:lang w:val="en-US" w:eastAsia="en-US" w:bidi="ar-SA"/>
      </w:rPr>
    </w:lvl>
    <w:lvl w:ilvl="5">
      <w:numFmt w:val="bullet"/>
      <w:lvlText w:val="•"/>
      <w:lvlJc w:val="left"/>
      <w:pPr>
        <w:ind w:left="4932" w:hanging="975"/>
      </w:pPr>
      <w:rPr>
        <w:rFonts w:hint="default"/>
        <w:lang w:val="en-US" w:eastAsia="en-US" w:bidi="ar-SA"/>
      </w:rPr>
    </w:lvl>
    <w:lvl w:ilvl="6">
      <w:numFmt w:val="bullet"/>
      <w:lvlText w:val="•"/>
      <w:lvlJc w:val="left"/>
      <w:pPr>
        <w:ind w:left="5887" w:hanging="975"/>
      </w:pPr>
      <w:rPr>
        <w:rFonts w:hint="default"/>
        <w:lang w:val="en-US" w:eastAsia="en-US" w:bidi="ar-SA"/>
      </w:rPr>
    </w:lvl>
    <w:lvl w:ilvl="7">
      <w:numFmt w:val="bullet"/>
      <w:lvlText w:val="•"/>
      <w:lvlJc w:val="left"/>
      <w:pPr>
        <w:ind w:left="6841" w:hanging="975"/>
      </w:pPr>
      <w:rPr>
        <w:rFonts w:hint="default"/>
        <w:lang w:val="en-US" w:eastAsia="en-US" w:bidi="ar-SA"/>
      </w:rPr>
    </w:lvl>
    <w:lvl w:ilvl="8">
      <w:numFmt w:val="bullet"/>
      <w:lvlText w:val="•"/>
      <w:lvlJc w:val="left"/>
      <w:pPr>
        <w:ind w:left="7796" w:hanging="975"/>
      </w:pPr>
      <w:rPr>
        <w:rFonts w:hint="default"/>
        <w:lang w:val="en-US" w:eastAsia="en-US" w:bidi="ar-SA"/>
      </w:rPr>
    </w:lvl>
  </w:abstractNum>
  <w:abstractNum w:abstractNumId="158" w15:restartNumberingAfterBreak="0">
    <w:nsid w:val="3F474FE2"/>
    <w:multiLevelType w:val="hybridMultilevel"/>
    <w:tmpl w:val="9EACDB56"/>
    <w:lvl w:ilvl="0" w:tplc="FD3C9738">
      <w:start w:val="1"/>
      <w:numFmt w:val="decimal"/>
      <w:lvlText w:val="%1."/>
      <w:lvlJc w:val="left"/>
      <w:pPr>
        <w:ind w:left="176" w:hanging="177"/>
      </w:pPr>
      <w:rPr>
        <w:rFonts w:ascii="Carlito" w:eastAsia="Carlito" w:hAnsi="Carlito" w:cs="Carlito" w:hint="default"/>
        <w:b/>
        <w:bCs/>
        <w:color w:val="231F20"/>
        <w:spacing w:val="-1"/>
        <w:w w:val="92"/>
        <w:sz w:val="19"/>
        <w:szCs w:val="19"/>
        <w:lang w:val="en-US" w:eastAsia="en-US" w:bidi="ar-SA"/>
      </w:rPr>
    </w:lvl>
    <w:lvl w:ilvl="1" w:tplc="D138DEE4">
      <w:numFmt w:val="bullet"/>
      <w:lvlText w:val="•"/>
      <w:lvlJc w:val="left"/>
      <w:pPr>
        <w:ind w:left="266" w:hanging="177"/>
      </w:pPr>
      <w:rPr>
        <w:rFonts w:hint="default"/>
        <w:lang w:val="en-US" w:eastAsia="en-US" w:bidi="ar-SA"/>
      </w:rPr>
    </w:lvl>
    <w:lvl w:ilvl="2" w:tplc="70B2CF98">
      <w:numFmt w:val="bullet"/>
      <w:lvlText w:val="•"/>
      <w:lvlJc w:val="left"/>
      <w:pPr>
        <w:ind w:left="353" w:hanging="177"/>
      </w:pPr>
      <w:rPr>
        <w:rFonts w:hint="default"/>
        <w:lang w:val="en-US" w:eastAsia="en-US" w:bidi="ar-SA"/>
      </w:rPr>
    </w:lvl>
    <w:lvl w:ilvl="3" w:tplc="A11AD040">
      <w:numFmt w:val="bullet"/>
      <w:lvlText w:val="•"/>
      <w:lvlJc w:val="left"/>
      <w:pPr>
        <w:ind w:left="440" w:hanging="177"/>
      </w:pPr>
      <w:rPr>
        <w:rFonts w:hint="default"/>
        <w:lang w:val="en-US" w:eastAsia="en-US" w:bidi="ar-SA"/>
      </w:rPr>
    </w:lvl>
    <w:lvl w:ilvl="4" w:tplc="E4DA12BE">
      <w:numFmt w:val="bullet"/>
      <w:lvlText w:val="•"/>
      <w:lvlJc w:val="left"/>
      <w:pPr>
        <w:ind w:left="527" w:hanging="177"/>
      </w:pPr>
      <w:rPr>
        <w:rFonts w:hint="default"/>
        <w:lang w:val="en-US" w:eastAsia="en-US" w:bidi="ar-SA"/>
      </w:rPr>
    </w:lvl>
    <w:lvl w:ilvl="5" w:tplc="5D68DB38">
      <w:numFmt w:val="bullet"/>
      <w:lvlText w:val="•"/>
      <w:lvlJc w:val="left"/>
      <w:pPr>
        <w:ind w:left="614" w:hanging="177"/>
      </w:pPr>
      <w:rPr>
        <w:rFonts w:hint="default"/>
        <w:lang w:val="en-US" w:eastAsia="en-US" w:bidi="ar-SA"/>
      </w:rPr>
    </w:lvl>
    <w:lvl w:ilvl="6" w:tplc="B05421B4">
      <w:numFmt w:val="bullet"/>
      <w:lvlText w:val="•"/>
      <w:lvlJc w:val="left"/>
      <w:pPr>
        <w:ind w:left="701" w:hanging="177"/>
      </w:pPr>
      <w:rPr>
        <w:rFonts w:hint="default"/>
        <w:lang w:val="en-US" w:eastAsia="en-US" w:bidi="ar-SA"/>
      </w:rPr>
    </w:lvl>
    <w:lvl w:ilvl="7" w:tplc="7B8294A4">
      <w:numFmt w:val="bullet"/>
      <w:lvlText w:val="•"/>
      <w:lvlJc w:val="left"/>
      <w:pPr>
        <w:ind w:left="788" w:hanging="177"/>
      </w:pPr>
      <w:rPr>
        <w:rFonts w:hint="default"/>
        <w:lang w:val="en-US" w:eastAsia="en-US" w:bidi="ar-SA"/>
      </w:rPr>
    </w:lvl>
    <w:lvl w:ilvl="8" w:tplc="CE74C5C6">
      <w:numFmt w:val="bullet"/>
      <w:lvlText w:val="•"/>
      <w:lvlJc w:val="left"/>
      <w:pPr>
        <w:ind w:left="875" w:hanging="177"/>
      </w:pPr>
      <w:rPr>
        <w:rFonts w:hint="default"/>
        <w:lang w:val="en-US" w:eastAsia="en-US" w:bidi="ar-SA"/>
      </w:rPr>
    </w:lvl>
  </w:abstractNum>
  <w:abstractNum w:abstractNumId="159" w15:restartNumberingAfterBreak="0">
    <w:nsid w:val="3FC51E47"/>
    <w:multiLevelType w:val="multilevel"/>
    <w:tmpl w:val="547EE148"/>
    <w:lvl w:ilvl="0">
      <w:start w:val="6"/>
      <w:numFmt w:val="decimal"/>
      <w:lvlText w:val="%1"/>
      <w:lvlJc w:val="left"/>
      <w:pPr>
        <w:ind w:left="146" w:hanging="797"/>
      </w:pPr>
      <w:rPr>
        <w:rFonts w:hint="default"/>
        <w:lang w:val="en-US" w:eastAsia="en-US" w:bidi="ar-SA"/>
      </w:rPr>
    </w:lvl>
    <w:lvl w:ilvl="1">
      <w:start w:val="10"/>
      <w:numFmt w:val="decimal"/>
      <w:lvlText w:val="%1.%2"/>
      <w:lvlJc w:val="left"/>
      <w:pPr>
        <w:ind w:left="146" w:hanging="797"/>
      </w:pPr>
      <w:rPr>
        <w:rFonts w:hint="default"/>
        <w:lang w:val="en-US" w:eastAsia="en-US" w:bidi="ar-SA"/>
      </w:rPr>
    </w:lvl>
    <w:lvl w:ilvl="2">
      <w:start w:val="1"/>
      <w:numFmt w:val="decimal"/>
      <w:lvlText w:val="%1.%2.%3"/>
      <w:lvlJc w:val="left"/>
      <w:pPr>
        <w:ind w:left="146" w:hanging="797"/>
      </w:pPr>
      <w:rPr>
        <w:rFonts w:hint="default"/>
        <w:lang w:val="en-US" w:eastAsia="en-US" w:bidi="ar-SA"/>
      </w:rPr>
    </w:lvl>
    <w:lvl w:ilvl="3">
      <w:start w:val="1"/>
      <w:numFmt w:val="decimal"/>
      <w:lvlText w:val="%1.%2.%3.%4"/>
      <w:lvlJc w:val="left"/>
      <w:pPr>
        <w:ind w:left="146" w:hanging="797"/>
        <w:jc w:val="right"/>
      </w:pPr>
      <w:rPr>
        <w:rFonts w:ascii="Arial" w:eastAsia="Arial" w:hAnsi="Arial" w:cs="Arial" w:hint="default"/>
        <w:color w:val="231F20"/>
        <w:w w:val="99"/>
        <w:sz w:val="20"/>
        <w:szCs w:val="20"/>
        <w:lang w:val="en-US" w:eastAsia="en-US" w:bidi="ar-SA"/>
      </w:rPr>
    </w:lvl>
    <w:lvl w:ilvl="4">
      <w:numFmt w:val="bullet"/>
      <w:lvlText w:val="•"/>
      <w:lvlJc w:val="left"/>
      <w:pPr>
        <w:ind w:left="3966" w:hanging="797"/>
      </w:pPr>
      <w:rPr>
        <w:rFonts w:hint="default"/>
        <w:lang w:val="en-US" w:eastAsia="en-US" w:bidi="ar-SA"/>
      </w:rPr>
    </w:lvl>
    <w:lvl w:ilvl="5">
      <w:numFmt w:val="bullet"/>
      <w:lvlText w:val="•"/>
      <w:lvlJc w:val="left"/>
      <w:pPr>
        <w:ind w:left="4922" w:hanging="797"/>
      </w:pPr>
      <w:rPr>
        <w:rFonts w:hint="default"/>
        <w:lang w:val="en-US" w:eastAsia="en-US" w:bidi="ar-SA"/>
      </w:rPr>
    </w:lvl>
    <w:lvl w:ilvl="6">
      <w:numFmt w:val="bullet"/>
      <w:lvlText w:val="•"/>
      <w:lvlJc w:val="left"/>
      <w:pPr>
        <w:ind w:left="5879" w:hanging="797"/>
      </w:pPr>
      <w:rPr>
        <w:rFonts w:hint="default"/>
        <w:lang w:val="en-US" w:eastAsia="en-US" w:bidi="ar-SA"/>
      </w:rPr>
    </w:lvl>
    <w:lvl w:ilvl="7">
      <w:numFmt w:val="bullet"/>
      <w:lvlText w:val="•"/>
      <w:lvlJc w:val="left"/>
      <w:pPr>
        <w:ind w:left="6835" w:hanging="797"/>
      </w:pPr>
      <w:rPr>
        <w:rFonts w:hint="default"/>
        <w:lang w:val="en-US" w:eastAsia="en-US" w:bidi="ar-SA"/>
      </w:rPr>
    </w:lvl>
    <w:lvl w:ilvl="8">
      <w:numFmt w:val="bullet"/>
      <w:lvlText w:val="•"/>
      <w:lvlJc w:val="left"/>
      <w:pPr>
        <w:ind w:left="7792" w:hanging="797"/>
      </w:pPr>
      <w:rPr>
        <w:rFonts w:hint="default"/>
        <w:lang w:val="en-US" w:eastAsia="en-US" w:bidi="ar-SA"/>
      </w:rPr>
    </w:lvl>
  </w:abstractNum>
  <w:abstractNum w:abstractNumId="160" w15:restartNumberingAfterBreak="0">
    <w:nsid w:val="3FD0473F"/>
    <w:multiLevelType w:val="hybridMultilevel"/>
    <w:tmpl w:val="E2D476A2"/>
    <w:lvl w:ilvl="0" w:tplc="81260872">
      <w:numFmt w:val="bullet"/>
      <w:lvlText w:val="•"/>
      <w:lvlJc w:val="left"/>
      <w:pPr>
        <w:ind w:left="29" w:hanging="76"/>
      </w:pPr>
      <w:rPr>
        <w:rFonts w:ascii="Arial" w:eastAsia="Arial" w:hAnsi="Arial" w:cs="Arial" w:hint="default"/>
        <w:color w:val="231F20"/>
        <w:w w:val="120"/>
        <w:sz w:val="10"/>
        <w:szCs w:val="10"/>
        <w:lang w:val="en-US" w:eastAsia="en-US" w:bidi="ar-SA"/>
      </w:rPr>
    </w:lvl>
    <w:lvl w:ilvl="1" w:tplc="430A65A6">
      <w:numFmt w:val="bullet"/>
      <w:lvlText w:val="•"/>
      <w:lvlJc w:val="left"/>
      <w:pPr>
        <w:ind w:left="259" w:hanging="76"/>
      </w:pPr>
      <w:rPr>
        <w:rFonts w:hint="default"/>
        <w:lang w:val="en-US" w:eastAsia="en-US" w:bidi="ar-SA"/>
      </w:rPr>
    </w:lvl>
    <w:lvl w:ilvl="2" w:tplc="2BE68066">
      <w:numFmt w:val="bullet"/>
      <w:lvlText w:val="•"/>
      <w:lvlJc w:val="left"/>
      <w:pPr>
        <w:ind w:left="498" w:hanging="76"/>
      </w:pPr>
      <w:rPr>
        <w:rFonts w:hint="default"/>
        <w:lang w:val="en-US" w:eastAsia="en-US" w:bidi="ar-SA"/>
      </w:rPr>
    </w:lvl>
    <w:lvl w:ilvl="3" w:tplc="49A8FEC0">
      <w:numFmt w:val="bullet"/>
      <w:lvlText w:val="•"/>
      <w:lvlJc w:val="left"/>
      <w:pPr>
        <w:ind w:left="737" w:hanging="76"/>
      </w:pPr>
      <w:rPr>
        <w:rFonts w:hint="default"/>
        <w:lang w:val="en-US" w:eastAsia="en-US" w:bidi="ar-SA"/>
      </w:rPr>
    </w:lvl>
    <w:lvl w:ilvl="4" w:tplc="C91248E6">
      <w:numFmt w:val="bullet"/>
      <w:lvlText w:val="•"/>
      <w:lvlJc w:val="left"/>
      <w:pPr>
        <w:ind w:left="976" w:hanging="76"/>
      </w:pPr>
      <w:rPr>
        <w:rFonts w:hint="default"/>
        <w:lang w:val="en-US" w:eastAsia="en-US" w:bidi="ar-SA"/>
      </w:rPr>
    </w:lvl>
    <w:lvl w:ilvl="5" w:tplc="FE907750">
      <w:numFmt w:val="bullet"/>
      <w:lvlText w:val="•"/>
      <w:lvlJc w:val="left"/>
      <w:pPr>
        <w:ind w:left="1215" w:hanging="76"/>
      </w:pPr>
      <w:rPr>
        <w:rFonts w:hint="default"/>
        <w:lang w:val="en-US" w:eastAsia="en-US" w:bidi="ar-SA"/>
      </w:rPr>
    </w:lvl>
    <w:lvl w:ilvl="6" w:tplc="9D149C38">
      <w:numFmt w:val="bullet"/>
      <w:lvlText w:val="•"/>
      <w:lvlJc w:val="left"/>
      <w:pPr>
        <w:ind w:left="1454" w:hanging="76"/>
      </w:pPr>
      <w:rPr>
        <w:rFonts w:hint="default"/>
        <w:lang w:val="en-US" w:eastAsia="en-US" w:bidi="ar-SA"/>
      </w:rPr>
    </w:lvl>
    <w:lvl w:ilvl="7" w:tplc="9EA485C2">
      <w:numFmt w:val="bullet"/>
      <w:lvlText w:val="•"/>
      <w:lvlJc w:val="left"/>
      <w:pPr>
        <w:ind w:left="1693" w:hanging="76"/>
      </w:pPr>
      <w:rPr>
        <w:rFonts w:hint="default"/>
        <w:lang w:val="en-US" w:eastAsia="en-US" w:bidi="ar-SA"/>
      </w:rPr>
    </w:lvl>
    <w:lvl w:ilvl="8" w:tplc="DFCAFC72">
      <w:numFmt w:val="bullet"/>
      <w:lvlText w:val="•"/>
      <w:lvlJc w:val="left"/>
      <w:pPr>
        <w:ind w:left="1932" w:hanging="76"/>
      </w:pPr>
      <w:rPr>
        <w:rFonts w:hint="default"/>
        <w:lang w:val="en-US" w:eastAsia="en-US" w:bidi="ar-SA"/>
      </w:rPr>
    </w:lvl>
  </w:abstractNum>
  <w:abstractNum w:abstractNumId="161" w15:restartNumberingAfterBreak="0">
    <w:nsid w:val="3FE872B3"/>
    <w:multiLevelType w:val="hybridMultilevel"/>
    <w:tmpl w:val="3828ABA8"/>
    <w:lvl w:ilvl="0" w:tplc="D1D0CCB2">
      <w:start w:val="1"/>
      <w:numFmt w:val="lowerRoman"/>
      <w:lvlText w:val="%1."/>
      <w:lvlJc w:val="left"/>
      <w:pPr>
        <w:ind w:left="896" w:hanging="360"/>
      </w:pPr>
      <w:rPr>
        <w:rFonts w:ascii="Arial" w:eastAsia="Arial" w:hAnsi="Arial" w:cs="Arial" w:hint="default"/>
        <w:color w:val="231F20"/>
        <w:spacing w:val="-2"/>
        <w:w w:val="99"/>
        <w:sz w:val="22"/>
        <w:szCs w:val="22"/>
        <w:lang w:val="en-US" w:eastAsia="en-US" w:bidi="ar-SA"/>
      </w:rPr>
    </w:lvl>
    <w:lvl w:ilvl="1" w:tplc="833401A4">
      <w:numFmt w:val="bullet"/>
      <w:lvlText w:val="•"/>
      <w:lvlJc w:val="left"/>
      <w:pPr>
        <w:ind w:left="1780" w:hanging="360"/>
      </w:pPr>
      <w:rPr>
        <w:rFonts w:hint="default"/>
        <w:lang w:val="en-US" w:eastAsia="en-US" w:bidi="ar-SA"/>
      </w:rPr>
    </w:lvl>
    <w:lvl w:ilvl="2" w:tplc="3CD2B266">
      <w:numFmt w:val="bullet"/>
      <w:lvlText w:val="•"/>
      <w:lvlJc w:val="left"/>
      <w:pPr>
        <w:ind w:left="2661" w:hanging="360"/>
      </w:pPr>
      <w:rPr>
        <w:rFonts w:hint="default"/>
        <w:lang w:val="en-US" w:eastAsia="en-US" w:bidi="ar-SA"/>
      </w:rPr>
    </w:lvl>
    <w:lvl w:ilvl="3" w:tplc="633EAC9A">
      <w:numFmt w:val="bullet"/>
      <w:lvlText w:val="•"/>
      <w:lvlJc w:val="left"/>
      <w:pPr>
        <w:ind w:left="3541" w:hanging="360"/>
      </w:pPr>
      <w:rPr>
        <w:rFonts w:hint="default"/>
        <w:lang w:val="en-US" w:eastAsia="en-US" w:bidi="ar-SA"/>
      </w:rPr>
    </w:lvl>
    <w:lvl w:ilvl="4" w:tplc="3F82A9E6">
      <w:numFmt w:val="bullet"/>
      <w:lvlText w:val="•"/>
      <w:lvlJc w:val="left"/>
      <w:pPr>
        <w:ind w:left="4422" w:hanging="360"/>
      </w:pPr>
      <w:rPr>
        <w:rFonts w:hint="default"/>
        <w:lang w:val="en-US" w:eastAsia="en-US" w:bidi="ar-SA"/>
      </w:rPr>
    </w:lvl>
    <w:lvl w:ilvl="5" w:tplc="8BBC579E">
      <w:numFmt w:val="bullet"/>
      <w:lvlText w:val="•"/>
      <w:lvlJc w:val="left"/>
      <w:pPr>
        <w:ind w:left="5302" w:hanging="360"/>
      </w:pPr>
      <w:rPr>
        <w:rFonts w:hint="default"/>
        <w:lang w:val="en-US" w:eastAsia="en-US" w:bidi="ar-SA"/>
      </w:rPr>
    </w:lvl>
    <w:lvl w:ilvl="6" w:tplc="B658F4DE">
      <w:numFmt w:val="bullet"/>
      <w:lvlText w:val="•"/>
      <w:lvlJc w:val="left"/>
      <w:pPr>
        <w:ind w:left="6183" w:hanging="360"/>
      </w:pPr>
      <w:rPr>
        <w:rFonts w:hint="default"/>
        <w:lang w:val="en-US" w:eastAsia="en-US" w:bidi="ar-SA"/>
      </w:rPr>
    </w:lvl>
    <w:lvl w:ilvl="7" w:tplc="9E2809FA">
      <w:numFmt w:val="bullet"/>
      <w:lvlText w:val="•"/>
      <w:lvlJc w:val="left"/>
      <w:pPr>
        <w:ind w:left="7063" w:hanging="360"/>
      </w:pPr>
      <w:rPr>
        <w:rFonts w:hint="default"/>
        <w:lang w:val="en-US" w:eastAsia="en-US" w:bidi="ar-SA"/>
      </w:rPr>
    </w:lvl>
    <w:lvl w:ilvl="8" w:tplc="0AFE081C">
      <w:numFmt w:val="bullet"/>
      <w:lvlText w:val="•"/>
      <w:lvlJc w:val="left"/>
      <w:pPr>
        <w:ind w:left="7944" w:hanging="360"/>
      </w:pPr>
      <w:rPr>
        <w:rFonts w:hint="default"/>
        <w:lang w:val="en-US" w:eastAsia="en-US" w:bidi="ar-SA"/>
      </w:rPr>
    </w:lvl>
  </w:abstractNum>
  <w:abstractNum w:abstractNumId="162" w15:restartNumberingAfterBreak="0">
    <w:nsid w:val="408A39AD"/>
    <w:multiLevelType w:val="hybridMultilevel"/>
    <w:tmpl w:val="B616E344"/>
    <w:lvl w:ilvl="0" w:tplc="6B680688">
      <w:numFmt w:val="bullet"/>
      <w:lvlText w:val="•"/>
      <w:lvlJc w:val="left"/>
      <w:pPr>
        <w:ind w:left="21" w:hanging="74"/>
      </w:pPr>
      <w:rPr>
        <w:rFonts w:ascii="Arial" w:eastAsia="Arial" w:hAnsi="Arial" w:cs="Arial" w:hint="default"/>
        <w:color w:val="231F20"/>
        <w:w w:val="97"/>
        <w:sz w:val="12"/>
        <w:szCs w:val="12"/>
        <w:lang w:val="en-US" w:eastAsia="en-US" w:bidi="ar-SA"/>
      </w:rPr>
    </w:lvl>
    <w:lvl w:ilvl="1" w:tplc="0980F11C">
      <w:numFmt w:val="bullet"/>
      <w:lvlText w:val="•"/>
      <w:lvlJc w:val="left"/>
      <w:pPr>
        <w:ind w:left="250" w:hanging="74"/>
      </w:pPr>
      <w:rPr>
        <w:rFonts w:hint="default"/>
        <w:lang w:val="en-US" w:eastAsia="en-US" w:bidi="ar-SA"/>
      </w:rPr>
    </w:lvl>
    <w:lvl w:ilvl="2" w:tplc="7EBEB46C">
      <w:numFmt w:val="bullet"/>
      <w:lvlText w:val="•"/>
      <w:lvlJc w:val="left"/>
      <w:pPr>
        <w:ind w:left="481" w:hanging="74"/>
      </w:pPr>
      <w:rPr>
        <w:rFonts w:hint="default"/>
        <w:lang w:val="en-US" w:eastAsia="en-US" w:bidi="ar-SA"/>
      </w:rPr>
    </w:lvl>
    <w:lvl w:ilvl="3" w:tplc="0046F5BA">
      <w:numFmt w:val="bullet"/>
      <w:lvlText w:val="•"/>
      <w:lvlJc w:val="left"/>
      <w:pPr>
        <w:ind w:left="712" w:hanging="74"/>
      </w:pPr>
      <w:rPr>
        <w:rFonts w:hint="default"/>
        <w:lang w:val="en-US" w:eastAsia="en-US" w:bidi="ar-SA"/>
      </w:rPr>
    </w:lvl>
    <w:lvl w:ilvl="4" w:tplc="67325470">
      <w:numFmt w:val="bullet"/>
      <w:lvlText w:val="•"/>
      <w:lvlJc w:val="left"/>
      <w:pPr>
        <w:ind w:left="943" w:hanging="74"/>
      </w:pPr>
      <w:rPr>
        <w:rFonts w:hint="default"/>
        <w:lang w:val="en-US" w:eastAsia="en-US" w:bidi="ar-SA"/>
      </w:rPr>
    </w:lvl>
    <w:lvl w:ilvl="5" w:tplc="AA3A2408">
      <w:numFmt w:val="bullet"/>
      <w:lvlText w:val="•"/>
      <w:lvlJc w:val="left"/>
      <w:pPr>
        <w:ind w:left="1174" w:hanging="74"/>
      </w:pPr>
      <w:rPr>
        <w:rFonts w:hint="default"/>
        <w:lang w:val="en-US" w:eastAsia="en-US" w:bidi="ar-SA"/>
      </w:rPr>
    </w:lvl>
    <w:lvl w:ilvl="6" w:tplc="AED829A6">
      <w:numFmt w:val="bullet"/>
      <w:lvlText w:val="•"/>
      <w:lvlJc w:val="left"/>
      <w:pPr>
        <w:ind w:left="1404" w:hanging="74"/>
      </w:pPr>
      <w:rPr>
        <w:rFonts w:hint="default"/>
        <w:lang w:val="en-US" w:eastAsia="en-US" w:bidi="ar-SA"/>
      </w:rPr>
    </w:lvl>
    <w:lvl w:ilvl="7" w:tplc="33047CD2">
      <w:numFmt w:val="bullet"/>
      <w:lvlText w:val="•"/>
      <w:lvlJc w:val="left"/>
      <w:pPr>
        <w:ind w:left="1635" w:hanging="74"/>
      </w:pPr>
      <w:rPr>
        <w:rFonts w:hint="default"/>
        <w:lang w:val="en-US" w:eastAsia="en-US" w:bidi="ar-SA"/>
      </w:rPr>
    </w:lvl>
    <w:lvl w:ilvl="8" w:tplc="19B234AA">
      <w:numFmt w:val="bullet"/>
      <w:lvlText w:val="•"/>
      <w:lvlJc w:val="left"/>
      <w:pPr>
        <w:ind w:left="1866" w:hanging="74"/>
      </w:pPr>
      <w:rPr>
        <w:rFonts w:hint="default"/>
        <w:lang w:val="en-US" w:eastAsia="en-US" w:bidi="ar-SA"/>
      </w:rPr>
    </w:lvl>
  </w:abstractNum>
  <w:abstractNum w:abstractNumId="163" w15:restartNumberingAfterBreak="0">
    <w:nsid w:val="409549D1"/>
    <w:multiLevelType w:val="hybridMultilevel"/>
    <w:tmpl w:val="4A70238E"/>
    <w:lvl w:ilvl="0" w:tplc="6E8EB35E">
      <w:numFmt w:val="bullet"/>
      <w:lvlText w:val="•"/>
      <w:lvlJc w:val="left"/>
      <w:pPr>
        <w:ind w:left="27" w:hanging="72"/>
      </w:pPr>
      <w:rPr>
        <w:rFonts w:ascii="Arial" w:eastAsia="Arial" w:hAnsi="Arial" w:cs="Arial" w:hint="default"/>
        <w:color w:val="231F20"/>
        <w:w w:val="96"/>
        <w:sz w:val="13"/>
        <w:szCs w:val="13"/>
        <w:lang w:val="en-US" w:eastAsia="en-US" w:bidi="ar-SA"/>
      </w:rPr>
    </w:lvl>
    <w:lvl w:ilvl="1" w:tplc="8B7A67AE">
      <w:numFmt w:val="bullet"/>
      <w:lvlText w:val="•"/>
      <w:lvlJc w:val="left"/>
      <w:pPr>
        <w:ind w:left="268" w:hanging="72"/>
      </w:pPr>
      <w:rPr>
        <w:rFonts w:hint="default"/>
        <w:lang w:val="en-US" w:eastAsia="en-US" w:bidi="ar-SA"/>
      </w:rPr>
    </w:lvl>
    <w:lvl w:ilvl="2" w:tplc="FFD05374">
      <w:numFmt w:val="bullet"/>
      <w:lvlText w:val="•"/>
      <w:lvlJc w:val="left"/>
      <w:pPr>
        <w:ind w:left="517" w:hanging="72"/>
      </w:pPr>
      <w:rPr>
        <w:rFonts w:hint="default"/>
        <w:lang w:val="en-US" w:eastAsia="en-US" w:bidi="ar-SA"/>
      </w:rPr>
    </w:lvl>
    <w:lvl w:ilvl="3" w:tplc="24A2CDEC">
      <w:numFmt w:val="bullet"/>
      <w:lvlText w:val="•"/>
      <w:lvlJc w:val="left"/>
      <w:pPr>
        <w:ind w:left="766" w:hanging="72"/>
      </w:pPr>
      <w:rPr>
        <w:rFonts w:hint="default"/>
        <w:lang w:val="en-US" w:eastAsia="en-US" w:bidi="ar-SA"/>
      </w:rPr>
    </w:lvl>
    <w:lvl w:ilvl="4" w:tplc="6E927660">
      <w:numFmt w:val="bullet"/>
      <w:lvlText w:val="•"/>
      <w:lvlJc w:val="left"/>
      <w:pPr>
        <w:ind w:left="1015" w:hanging="72"/>
      </w:pPr>
      <w:rPr>
        <w:rFonts w:hint="default"/>
        <w:lang w:val="en-US" w:eastAsia="en-US" w:bidi="ar-SA"/>
      </w:rPr>
    </w:lvl>
    <w:lvl w:ilvl="5" w:tplc="B3E4D7FA">
      <w:numFmt w:val="bullet"/>
      <w:lvlText w:val="•"/>
      <w:lvlJc w:val="left"/>
      <w:pPr>
        <w:ind w:left="1264" w:hanging="72"/>
      </w:pPr>
      <w:rPr>
        <w:rFonts w:hint="default"/>
        <w:lang w:val="en-US" w:eastAsia="en-US" w:bidi="ar-SA"/>
      </w:rPr>
    </w:lvl>
    <w:lvl w:ilvl="6" w:tplc="15281122">
      <w:numFmt w:val="bullet"/>
      <w:lvlText w:val="•"/>
      <w:lvlJc w:val="left"/>
      <w:pPr>
        <w:ind w:left="1513" w:hanging="72"/>
      </w:pPr>
      <w:rPr>
        <w:rFonts w:hint="default"/>
        <w:lang w:val="en-US" w:eastAsia="en-US" w:bidi="ar-SA"/>
      </w:rPr>
    </w:lvl>
    <w:lvl w:ilvl="7" w:tplc="95263746">
      <w:numFmt w:val="bullet"/>
      <w:lvlText w:val="•"/>
      <w:lvlJc w:val="left"/>
      <w:pPr>
        <w:ind w:left="1762" w:hanging="72"/>
      </w:pPr>
      <w:rPr>
        <w:rFonts w:hint="default"/>
        <w:lang w:val="en-US" w:eastAsia="en-US" w:bidi="ar-SA"/>
      </w:rPr>
    </w:lvl>
    <w:lvl w:ilvl="8" w:tplc="06762E04">
      <w:numFmt w:val="bullet"/>
      <w:lvlText w:val="•"/>
      <w:lvlJc w:val="left"/>
      <w:pPr>
        <w:ind w:left="2011" w:hanging="72"/>
      </w:pPr>
      <w:rPr>
        <w:rFonts w:hint="default"/>
        <w:lang w:val="en-US" w:eastAsia="en-US" w:bidi="ar-SA"/>
      </w:rPr>
    </w:lvl>
  </w:abstractNum>
  <w:abstractNum w:abstractNumId="164" w15:restartNumberingAfterBreak="0">
    <w:nsid w:val="41190EB9"/>
    <w:multiLevelType w:val="hybridMultilevel"/>
    <w:tmpl w:val="29E0CBB0"/>
    <w:lvl w:ilvl="0" w:tplc="B99AB886">
      <w:numFmt w:val="bullet"/>
      <w:lvlText w:val="•"/>
      <w:lvlJc w:val="left"/>
      <w:pPr>
        <w:ind w:left="27" w:hanging="72"/>
      </w:pPr>
      <w:rPr>
        <w:rFonts w:ascii="Arial" w:eastAsia="Arial" w:hAnsi="Arial" w:cs="Arial" w:hint="default"/>
        <w:color w:val="231F20"/>
        <w:w w:val="73"/>
        <w:sz w:val="17"/>
        <w:szCs w:val="17"/>
        <w:lang w:val="en-US" w:eastAsia="en-US" w:bidi="ar-SA"/>
      </w:rPr>
    </w:lvl>
    <w:lvl w:ilvl="1" w:tplc="A3E63608">
      <w:numFmt w:val="bullet"/>
      <w:lvlText w:val="•"/>
      <w:lvlJc w:val="left"/>
      <w:pPr>
        <w:ind w:left="268" w:hanging="72"/>
      </w:pPr>
      <w:rPr>
        <w:rFonts w:hint="default"/>
        <w:lang w:val="en-US" w:eastAsia="en-US" w:bidi="ar-SA"/>
      </w:rPr>
    </w:lvl>
    <w:lvl w:ilvl="2" w:tplc="245E724A">
      <w:numFmt w:val="bullet"/>
      <w:lvlText w:val="•"/>
      <w:lvlJc w:val="left"/>
      <w:pPr>
        <w:ind w:left="517" w:hanging="72"/>
      </w:pPr>
      <w:rPr>
        <w:rFonts w:hint="default"/>
        <w:lang w:val="en-US" w:eastAsia="en-US" w:bidi="ar-SA"/>
      </w:rPr>
    </w:lvl>
    <w:lvl w:ilvl="3" w:tplc="F3B40A12">
      <w:numFmt w:val="bullet"/>
      <w:lvlText w:val="•"/>
      <w:lvlJc w:val="left"/>
      <w:pPr>
        <w:ind w:left="766" w:hanging="72"/>
      </w:pPr>
      <w:rPr>
        <w:rFonts w:hint="default"/>
        <w:lang w:val="en-US" w:eastAsia="en-US" w:bidi="ar-SA"/>
      </w:rPr>
    </w:lvl>
    <w:lvl w:ilvl="4" w:tplc="AFA4CE28">
      <w:numFmt w:val="bullet"/>
      <w:lvlText w:val="•"/>
      <w:lvlJc w:val="left"/>
      <w:pPr>
        <w:ind w:left="1014" w:hanging="72"/>
      </w:pPr>
      <w:rPr>
        <w:rFonts w:hint="default"/>
        <w:lang w:val="en-US" w:eastAsia="en-US" w:bidi="ar-SA"/>
      </w:rPr>
    </w:lvl>
    <w:lvl w:ilvl="5" w:tplc="57106B94">
      <w:numFmt w:val="bullet"/>
      <w:lvlText w:val="•"/>
      <w:lvlJc w:val="left"/>
      <w:pPr>
        <w:ind w:left="1263" w:hanging="72"/>
      </w:pPr>
      <w:rPr>
        <w:rFonts w:hint="default"/>
        <w:lang w:val="en-US" w:eastAsia="en-US" w:bidi="ar-SA"/>
      </w:rPr>
    </w:lvl>
    <w:lvl w:ilvl="6" w:tplc="90CC8F24">
      <w:numFmt w:val="bullet"/>
      <w:lvlText w:val="•"/>
      <w:lvlJc w:val="left"/>
      <w:pPr>
        <w:ind w:left="1512" w:hanging="72"/>
      </w:pPr>
      <w:rPr>
        <w:rFonts w:hint="default"/>
        <w:lang w:val="en-US" w:eastAsia="en-US" w:bidi="ar-SA"/>
      </w:rPr>
    </w:lvl>
    <w:lvl w:ilvl="7" w:tplc="D200FD8E">
      <w:numFmt w:val="bullet"/>
      <w:lvlText w:val="•"/>
      <w:lvlJc w:val="left"/>
      <w:pPr>
        <w:ind w:left="1760" w:hanging="72"/>
      </w:pPr>
      <w:rPr>
        <w:rFonts w:hint="default"/>
        <w:lang w:val="en-US" w:eastAsia="en-US" w:bidi="ar-SA"/>
      </w:rPr>
    </w:lvl>
    <w:lvl w:ilvl="8" w:tplc="FA6221C4">
      <w:numFmt w:val="bullet"/>
      <w:lvlText w:val="•"/>
      <w:lvlJc w:val="left"/>
      <w:pPr>
        <w:ind w:left="2009" w:hanging="72"/>
      </w:pPr>
      <w:rPr>
        <w:rFonts w:hint="default"/>
        <w:lang w:val="en-US" w:eastAsia="en-US" w:bidi="ar-SA"/>
      </w:rPr>
    </w:lvl>
  </w:abstractNum>
  <w:abstractNum w:abstractNumId="165" w15:restartNumberingAfterBreak="0">
    <w:nsid w:val="41285DAB"/>
    <w:multiLevelType w:val="hybridMultilevel"/>
    <w:tmpl w:val="40ECFC90"/>
    <w:lvl w:ilvl="0" w:tplc="AFACEECE">
      <w:numFmt w:val="bullet"/>
      <w:lvlText w:val="•"/>
      <w:lvlJc w:val="left"/>
      <w:pPr>
        <w:ind w:left="29" w:hanging="76"/>
      </w:pPr>
      <w:rPr>
        <w:rFonts w:ascii="Arial" w:eastAsia="Arial" w:hAnsi="Arial" w:cs="Arial" w:hint="default"/>
        <w:color w:val="231F20"/>
        <w:w w:val="120"/>
        <w:sz w:val="10"/>
        <w:szCs w:val="10"/>
        <w:lang w:val="en-US" w:eastAsia="en-US" w:bidi="ar-SA"/>
      </w:rPr>
    </w:lvl>
    <w:lvl w:ilvl="1" w:tplc="18CE18EE">
      <w:numFmt w:val="bullet"/>
      <w:lvlText w:val="•"/>
      <w:lvlJc w:val="left"/>
      <w:pPr>
        <w:ind w:left="259" w:hanging="76"/>
      </w:pPr>
      <w:rPr>
        <w:rFonts w:hint="default"/>
        <w:lang w:val="en-US" w:eastAsia="en-US" w:bidi="ar-SA"/>
      </w:rPr>
    </w:lvl>
    <w:lvl w:ilvl="2" w:tplc="A65EEA7A">
      <w:numFmt w:val="bullet"/>
      <w:lvlText w:val="•"/>
      <w:lvlJc w:val="left"/>
      <w:pPr>
        <w:ind w:left="498" w:hanging="76"/>
      </w:pPr>
      <w:rPr>
        <w:rFonts w:hint="default"/>
        <w:lang w:val="en-US" w:eastAsia="en-US" w:bidi="ar-SA"/>
      </w:rPr>
    </w:lvl>
    <w:lvl w:ilvl="3" w:tplc="D4C083CA">
      <w:numFmt w:val="bullet"/>
      <w:lvlText w:val="•"/>
      <w:lvlJc w:val="left"/>
      <w:pPr>
        <w:ind w:left="737" w:hanging="76"/>
      </w:pPr>
      <w:rPr>
        <w:rFonts w:hint="default"/>
        <w:lang w:val="en-US" w:eastAsia="en-US" w:bidi="ar-SA"/>
      </w:rPr>
    </w:lvl>
    <w:lvl w:ilvl="4" w:tplc="68E47A42">
      <w:numFmt w:val="bullet"/>
      <w:lvlText w:val="•"/>
      <w:lvlJc w:val="left"/>
      <w:pPr>
        <w:ind w:left="976" w:hanging="76"/>
      </w:pPr>
      <w:rPr>
        <w:rFonts w:hint="default"/>
        <w:lang w:val="en-US" w:eastAsia="en-US" w:bidi="ar-SA"/>
      </w:rPr>
    </w:lvl>
    <w:lvl w:ilvl="5" w:tplc="B120AAA6">
      <w:numFmt w:val="bullet"/>
      <w:lvlText w:val="•"/>
      <w:lvlJc w:val="left"/>
      <w:pPr>
        <w:ind w:left="1215" w:hanging="76"/>
      </w:pPr>
      <w:rPr>
        <w:rFonts w:hint="default"/>
        <w:lang w:val="en-US" w:eastAsia="en-US" w:bidi="ar-SA"/>
      </w:rPr>
    </w:lvl>
    <w:lvl w:ilvl="6" w:tplc="511CEF18">
      <w:numFmt w:val="bullet"/>
      <w:lvlText w:val="•"/>
      <w:lvlJc w:val="left"/>
      <w:pPr>
        <w:ind w:left="1454" w:hanging="76"/>
      </w:pPr>
      <w:rPr>
        <w:rFonts w:hint="default"/>
        <w:lang w:val="en-US" w:eastAsia="en-US" w:bidi="ar-SA"/>
      </w:rPr>
    </w:lvl>
    <w:lvl w:ilvl="7" w:tplc="17243440">
      <w:numFmt w:val="bullet"/>
      <w:lvlText w:val="•"/>
      <w:lvlJc w:val="left"/>
      <w:pPr>
        <w:ind w:left="1693" w:hanging="76"/>
      </w:pPr>
      <w:rPr>
        <w:rFonts w:hint="default"/>
        <w:lang w:val="en-US" w:eastAsia="en-US" w:bidi="ar-SA"/>
      </w:rPr>
    </w:lvl>
    <w:lvl w:ilvl="8" w:tplc="F03E0A04">
      <w:numFmt w:val="bullet"/>
      <w:lvlText w:val="•"/>
      <w:lvlJc w:val="left"/>
      <w:pPr>
        <w:ind w:left="1932" w:hanging="76"/>
      </w:pPr>
      <w:rPr>
        <w:rFonts w:hint="default"/>
        <w:lang w:val="en-US" w:eastAsia="en-US" w:bidi="ar-SA"/>
      </w:rPr>
    </w:lvl>
  </w:abstractNum>
  <w:abstractNum w:abstractNumId="166" w15:restartNumberingAfterBreak="0">
    <w:nsid w:val="41A21F42"/>
    <w:multiLevelType w:val="hybridMultilevel"/>
    <w:tmpl w:val="C4ACB610"/>
    <w:lvl w:ilvl="0" w:tplc="2F2068D0">
      <w:numFmt w:val="bullet"/>
      <w:lvlText w:val="•"/>
      <w:lvlJc w:val="left"/>
      <w:pPr>
        <w:ind w:left="23" w:hanging="67"/>
      </w:pPr>
      <w:rPr>
        <w:rFonts w:ascii="Arial" w:eastAsia="Arial" w:hAnsi="Arial" w:cs="Arial" w:hint="default"/>
        <w:color w:val="231F20"/>
        <w:w w:val="115"/>
        <w:sz w:val="10"/>
        <w:szCs w:val="10"/>
        <w:lang w:val="en-US" w:eastAsia="en-US" w:bidi="ar-SA"/>
      </w:rPr>
    </w:lvl>
    <w:lvl w:ilvl="1" w:tplc="75800D70">
      <w:numFmt w:val="bullet"/>
      <w:lvlText w:val="•"/>
      <w:lvlJc w:val="left"/>
      <w:pPr>
        <w:ind w:left="248" w:hanging="67"/>
      </w:pPr>
      <w:rPr>
        <w:rFonts w:hint="default"/>
        <w:lang w:val="en-US" w:eastAsia="en-US" w:bidi="ar-SA"/>
      </w:rPr>
    </w:lvl>
    <w:lvl w:ilvl="2" w:tplc="E6362602">
      <w:numFmt w:val="bullet"/>
      <w:lvlText w:val="•"/>
      <w:lvlJc w:val="left"/>
      <w:pPr>
        <w:ind w:left="477" w:hanging="67"/>
      </w:pPr>
      <w:rPr>
        <w:rFonts w:hint="default"/>
        <w:lang w:val="en-US" w:eastAsia="en-US" w:bidi="ar-SA"/>
      </w:rPr>
    </w:lvl>
    <w:lvl w:ilvl="3" w:tplc="99E46778">
      <w:numFmt w:val="bullet"/>
      <w:lvlText w:val="•"/>
      <w:lvlJc w:val="left"/>
      <w:pPr>
        <w:ind w:left="706" w:hanging="67"/>
      </w:pPr>
      <w:rPr>
        <w:rFonts w:hint="default"/>
        <w:lang w:val="en-US" w:eastAsia="en-US" w:bidi="ar-SA"/>
      </w:rPr>
    </w:lvl>
    <w:lvl w:ilvl="4" w:tplc="ED4868AA">
      <w:numFmt w:val="bullet"/>
      <w:lvlText w:val="•"/>
      <w:lvlJc w:val="left"/>
      <w:pPr>
        <w:ind w:left="935" w:hanging="67"/>
      </w:pPr>
      <w:rPr>
        <w:rFonts w:hint="default"/>
        <w:lang w:val="en-US" w:eastAsia="en-US" w:bidi="ar-SA"/>
      </w:rPr>
    </w:lvl>
    <w:lvl w:ilvl="5" w:tplc="993866C0">
      <w:numFmt w:val="bullet"/>
      <w:lvlText w:val="•"/>
      <w:lvlJc w:val="left"/>
      <w:pPr>
        <w:ind w:left="1164" w:hanging="67"/>
      </w:pPr>
      <w:rPr>
        <w:rFonts w:hint="default"/>
        <w:lang w:val="en-US" w:eastAsia="en-US" w:bidi="ar-SA"/>
      </w:rPr>
    </w:lvl>
    <w:lvl w:ilvl="6" w:tplc="72DA75DE">
      <w:numFmt w:val="bullet"/>
      <w:lvlText w:val="•"/>
      <w:lvlJc w:val="left"/>
      <w:pPr>
        <w:ind w:left="1393" w:hanging="67"/>
      </w:pPr>
      <w:rPr>
        <w:rFonts w:hint="default"/>
        <w:lang w:val="en-US" w:eastAsia="en-US" w:bidi="ar-SA"/>
      </w:rPr>
    </w:lvl>
    <w:lvl w:ilvl="7" w:tplc="4A9E268E">
      <w:numFmt w:val="bullet"/>
      <w:lvlText w:val="•"/>
      <w:lvlJc w:val="left"/>
      <w:pPr>
        <w:ind w:left="1622" w:hanging="67"/>
      </w:pPr>
      <w:rPr>
        <w:rFonts w:hint="default"/>
        <w:lang w:val="en-US" w:eastAsia="en-US" w:bidi="ar-SA"/>
      </w:rPr>
    </w:lvl>
    <w:lvl w:ilvl="8" w:tplc="98EC1586">
      <w:numFmt w:val="bullet"/>
      <w:lvlText w:val="•"/>
      <w:lvlJc w:val="left"/>
      <w:pPr>
        <w:ind w:left="1851" w:hanging="67"/>
      </w:pPr>
      <w:rPr>
        <w:rFonts w:hint="default"/>
        <w:lang w:val="en-US" w:eastAsia="en-US" w:bidi="ar-SA"/>
      </w:rPr>
    </w:lvl>
  </w:abstractNum>
  <w:abstractNum w:abstractNumId="167" w15:restartNumberingAfterBreak="0">
    <w:nsid w:val="426F4E5C"/>
    <w:multiLevelType w:val="hybridMultilevel"/>
    <w:tmpl w:val="AF665876"/>
    <w:lvl w:ilvl="0" w:tplc="0DA25580">
      <w:numFmt w:val="bullet"/>
      <w:lvlText w:val="•"/>
      <w:lvlJc w:val="left"/>
      <w:pPr>
        <w:ind w:left="25" w:hanging="78"/>
      </w:pPr>
      <w:rPr>
        <w:rFonts w:ascii="Arial" w:eastAsia="Arial" w:hAnsi="Arial" w:cs="Arial" w:hint="default"/>
        <w:color w:val="231F20"/>
        <w:w w:val="95"/>
        <w:sz w:val="13"/>
        <w:szCs w:val="13"/>
        <w:lang w:val="en-US" w:eastAsia="en-US" w:bidi="ar-SA"/>
      </w:rPr>
    </w:lvl>
    <w:lvl w:ilvl="1" w:tplc="8CD0A2AE">
      <w:numFmt w:val="bullet"/>
      <w:lvlText w:val="•"/>
      <w:lvlJc w:val="left"/>
      <w:pPr>
        <w:ind w:left="265" w:hanging="78"/>
      </w:pPr>
      <w:rPr>
        <w:rFonts w:hint="default"/>
        <w:lang w:val="en-US" w:eastAsia="en-US" w:bidi="ar-SA"/>
      </w:rPr>
    </w:lvl>
    <w:lvl w:ilvl="2" w:tplc="67D49262">
      <w:numFmt w:val="bullet"/>
      <w:lvlText w:val="•"/>
      <w:lvlJc w:val="left"/>
      <w:pPr>
        <w:ind w:left="510" w:hanging="78"/>
      </w:pPr>
      <w:rPr>
        <w:rFonts w:hint="default"/>
        <w:lang w:val="en-US" w:eastAsia="en-US" w:bidi="ar-SA"/>
      </w:rPr>
    </w:lvl>
    <w:lvl w:ilvl="3" w:tplc="5A306E26">
      <w:numFmt w:val="bullet"/>
      <w:lvlText w:val="•"/>
      <w:lvlJc w:val="left"/>
      <w:pPr>
        <w:ind w:left="755" w:hanging="78"/>
      </w:pPr>
      <w:rPr>
        <w:rFonts w:hint="default"/>
        <w:lang w:val="en-US" w:eastAsia="en-US" w:bidi="ar-SA"/>
      </w:rPr>
    </w:lvl>
    <w:lvl w:ilvl="4" w:tplc="22708BF2">
      <w:numFmt w:val="bullet"/>
      <w:lvlText w:val="•"/>
      <w:lvlJc w:val="left"/>
      <w:pPr>
        <w:ind w:left="1001" w:hanging="78"/>
      </w:pPr>
      <w:rPr>
        <w:rFonts w:hint="default"/>
        <w:lang w:val="en-US" w:eastAsia="en-US" w:bidi="ar-SA"/>
      </w:rPr>
    </w:lvl>
    <w:lvl w:ilvl="5" w:tplc="5B4CCBF8">
      <w:numFmt w:val="bullet"/>
      <w:lvlText w:val="•"/>
      <w:lvlJc w:val="left"/>
      <w:pPr>
        <w:ind w:left="1246" w:hanging="78"/>
      </w:pPr>
      <w:rPr>
        <w:rFonts w:hint="default"/>
        <w:lang w:val="en-US" w:eastAsia="en-US" w:bidi="ar-SA"/>
      </w:rPr>
    </w:lvl>
    <w:lvl w:ilvl="6" w:tplc="5C7672EE">
      <w:numFmt w:val="bullet"/>
      <w:lvlText w:val="•"/>
      <w:lvlJc w:val="left"/>
      <w:pPr>
        <w:ind w:left="1491" w:hanging="78"/>
      </w:pPr>
      <w:rPr>
        <w:rFonts w:hint="default"/>
        <w:lang w:val="en-US" w:eastAsia="en-US" w:bidi="ar-SA"/>
      </w:rPr>
    </w:lvl>
    <w:lvl w:ilvl="7" w:tplc="B1A204D6">
      <w:numFmt w:val="bullet"/>
      <w:lvlText w:val="•"/>
      <w:lvlJc w:val="left"/>
      <w:pPr>
        <w:ind w:left="1737" w:hanging="78"/>
      </w:pPr>
      <w:rPr>
        <w:rFonts w:hint="default"/>
        <w:lang w:val="en-US" w:eastAsia="en-US" w:bidi="ar-SA"/>
      </w:rPr>
    </w:lvl>
    <w:lvl w:ilvl="8" w:tplc="F3FE0BCE">
      <w:numFmt w:val="bullet"/>
      <w:lvlText w:val="•"/>
      <w:lvlJc w:val="left"/>
      <w:pPr>
        <w:ind w:left="1982" w:hanging="78"/>
      </w:pPr>
      <w:rPr>
        <w:rFonts w:hint="default"/>
        <w:lang w:val="en-US" w:eastAsia="en-US" w:bidi="ar-SA"/>
      </w:rPr>
    </w:lvl>
  </w:abstractNum>
  <w:abstractNum w:abstractNumId="168" w15:restartNumberingAfterBreak="0">
    <w:nsid w:val="427A7DB6"/>
    <w:multiLevelType w:val="hybridMultilevel"/>
    <w:tmpl w:val="EA406240"/>
    <w:lvl w:ilvl="0" w:tplc="AD5EA3AE">
      <w:numFmt w:val="bullet"/>
      <w:lvlText w:val="•"/>
      <w:lvlJc w:val="left"/>
      <w:pPr>
        <w:ind w:left="23" w:hanging="76"/>
      </w:pPr>
      <w:rPr>
        <w:rFonts w:ascii="Arial" w:eastAsia="Arial" w:hAnsi="Arial" w:cs="Arial" w:hint="default"/>
        <w:color w:val="231F20"/>
        <w:w w:val="80"/>
        <w:sz w:val="15"/>
        <w:szCs w:val="15"/>
        <w:lang w:val="en-US" w:eastAsia="en-US" w:bidi="ar-SA"/>
      </w:rPr>
    </w:lvl>
    <w:lvl w:ilvl="1" w:tplc="EB9C45B4">
      <w:numFmt w:val="bullet"/>
      <w:lvlText w:val="•"/>
      <w:lvlJc w:val="left"/>
      <w:pPr>
        <w:ind w:left="258" w:hanging="76"/>
      </w:pPr>
      <w:rPr>
        <w:rFonts w:hint="default"/>
        <w:lang w:val="en-US" w:eastAsia="en-US" w:bidi="ar-SA"/>
      </w:rPr>
    </w:lvl>
    <w:lvl w:ilvl="2" w:tplc="79A65B7E">
      <w:numFmt w:val="bullet"/>
      <w:lvlText w:val="•"/>
      <w:lvlJc w:val="left"/>
      <w:pPr>
        <w:ind w:left="496" w:hanging="76"/>
      </w:pPr>
      <w:rPr>
        <w:rFonts w:hint="default"/>
        <w:lang w:val="en-US" w:eastAsia="en-US" w:bidi="ar-SA"/>
      </w:rPr>
    </w:lvl>
    <w:lvl w:ilvl="3" w:tplc="6E2E5A22">
      <w:numFmt w:val="bullet"/>
      <w:lvlText w:val="•"/>
      <w:lvlJc w:val="left"/>
      <w:pPr>
        <w:ind w:left="734" w:hanging="76"/>
      </w:pPr>
      <w:rPr>
        <w:rFonts w:hint="default"/>
        <w:lang w:val="en-US" w:eastAsia="en-US" w:bidi="ar-SA"/>
      </w:rPr>
    </w:lvl>
    <w:lvl w:ilvl="4" w:tplc="51524926">
      <w:numFmt w:val="bullet"/>
      <w:lvlText w:val="•"/>
      <w:lvlJc w:val="left"/>
      <w:pPr>
        <w:ind w:left="973" w:hanging="76"/>
      </w:pPr>
      <w:rPr>
        <w:rFonts w:hint="default"/>
        <w:lang w:val="en-US" w:eastAsia="en-US" w:bidi="ar-SA"/>
      </w:rPr>
    </w:lvl>
    <w:lvl w:ilvl="5" w:tplc="A732DDAE">
      <w:numFmt w:val="bullet"/>
      <w:lvlText w:val="•"/>
      <w:lvlJc w:val="left"/>
      <w:pPr>
        <w:ind w:left="1211" w:hanging="76"/>
      </w:pPr>
      <w:rPr>
        <w:rFonts w:hint="default"/>
        <w:lang w:val="en-US" w:eastAsia="en-US" w:bidi="ar-SA"/>
      </w:rPr>
    </w:lvl>
    <w:lvl w:ilvl="6" w:tplc="D4E60AA0">
      <w:numFmt w:val="bullet"/>
      <w:lvlText w:val="•"/>
      <w:lvlJc w:val="left"/>
      <w:pPr>
        <w:ind w:left="1449" w:hanging="76"/>
      </w:pPr>
      <w:rPr>
        <w:rFonts w:hint="default"/>
        <w:lang w:val="en-US" w:eastAsia="en-US" w:bidi="ar-SA"/>
      </w:rPr>
    </w:lvl>
    <w:lvl w:ilvl="7" w:tplc="F50678FC">
      <w:numFmt w:val="bullet"/>
      <w:lvlText w:val="•"/>
      <w:lvlJc w:val="left"/>
      <w:pPr>
        <w:ind w:left="1688" w:hanging="76"/>
      </w:pPr>
      <w:rPr>
        <w:rFonts w:hint="default"/>
        <w:lang w:val="en-US" w:eastAsia="en-US" w:bidi="ar-SA"/>
      </w:rPr>
    </w:lvl>
    <w:lvl w:ilvl="8" w:tplc="BF0A942A">
      <w:numFmt w:val="bullet"/>
      <w:lvlText w:val="•"/>
      <w:lvlJc w:val="left"/>
      <w:pPr>
        <w:ind w:left="1926" w:hanging="76"/>
      </w:pPr>
      <w:rPr>
        <w:rFonts w:hint="default"/>
        <w:lang w:val="en-US" w:eastAsia="en-US" w:bidi="ar-SA"/>
      </w:rPr>
    </w:lvl>
  </w:abstractNum>
  <w:abstractNum w:abstractNumId="169" w15:restartNumberingAfterBreak="0">
    <w:nsid w:val="42A73375"/>
    <w:multiLevelType w:val="hybridMultilevel"/>
    <w:tmpl w:val="76309B78"/>
    <w:lvl w:ilvl="0" w:tplc="D270B638">
      <w:numFmt w:val="bullet"/>
      <w:lvlText w:val="•"/>
      <w:lvlJc w:val="left"/>
      <w:pPr>
        <w:ind w:left="25" w:hanging="76"/>
      </w:pPr>
      <w:rPr>
        <w:rFonts w:ascii="Arial" w:eastAsia="Arial" w:hAnsi="Arial" w:cs="Arial" w:hint="default"/>
        <w:color w:val="231F20"/>
        <w:w w:val="91"/>
        <w:sz w:val="13"/>
        <w:szCs w:val="13"/>
        <w:lang w:val="en-US" w:eastAsia="en-US" w:bidi="ar-SA"/>
      </w:rPr>
    </w:lvl>
    <w:lvl w:ilvl="1" w:tplc="09EE435C">
      <w:numFmt w:val="bullet"/>
      <w:lvlText w:val="•"/>
      <w:lvlJc w:val="left"/>
      <w:pPr>
        <w:ind w:left="256" w:hanging="76"/>
      </w:pPr>
      <w:rPr>
        <w:rFonts w:hint="default"/>
        <w:lang w:val="en-US" w:eastAsia="en-US" w:bidi="ar-SA"/>
      </w:rPr>
    </w:lvl>
    <w:lvl w:ilvl="2" w:tplc="8196DFE6">
      <w:numFmt w:val="bullet"/>
      <w:lvlText w:val="•"/>
      <w:lvlJc w:val="left"/>
      <w:pPr>
        <w:ind w:left="493" w:hanging="76"/>
      </w:pPr>
      <w:rPr>
        <w:rFonts w:hint="default"/>
        <w:lang w:val="en-US" w:eastAsia="en-US" w:bidi="ar-SA"/>
      </w:rPr>
    </w:lvl>
    <w:lvl w:ilvl="3" w:tplc="297E2F6C">
      <w:numFmt w:val="bullet"/>
      <w:lvlText w:val="•"/>
      <w:lvlJc w:val="left"/>
      <w:pPr>
        <w:ind w:left="729" w:hanging="76"/>
      </w:pPr>
      <w:rPr>
        <w:rFonts w:hint="default"/>
        <w:lang w:val="en-US" w:eastAsia="en-US" w:bidi="ar-SA"/>
      </w:rPr>
    </w:lvl>
    <w:lvl w:ilvl="4" w:tplc="B25E38D0">
      <w:numFmt w:val="bullet"/>
      <w:lvlText w:val="•"/>
      <w:lvlJc w:val="left"/>
      <w:pPr>
        <w:ind w:left="966" w:hanging="76"/>
      </w:pPr>
      <w:rPr>
        <w:rFonts w:hint="default"/>
        <w:lang w:val="en-US" w:eastAsia="en-US" w:bidi="ar-SA"/>
      </w:rPr>
    </w:lvl>
    <w:lvl w:ilvl="5" w:tplc="F6D26CD2">
      <w:numFmt w:val="bullet"/>
      <w:lvlText w:val="•"/>
      <w:lvlJc w:val="left"/>
      <w:pPr>
        <w:ind w:left="1203" w:hanging="76"/>
      </w:pPr>
      <w:rPr>
        <w:rFonts w:hint="default"/>
        <w:lang w:val="en-US" w:eastAsia="en-US" w:bidi="ar-SA"/>
      </w:rPr>
    </w:lvl>
    <w:lvl w:ilvl="6" w:tplc="0F02FBE6">
      <w:numFmt w:val="bullet"/>
      <w:lvlText w:val="•"/>
      <w:lvlJc w:val="left"/>
      <w:pPr>
        <w:ind w:left="1439" w:hanging="76"/>
      </w:pPr>
      <w:rPr>
        <w:rFonts w:hint="default"/>
        <w:lang w:val="en-US" w:eastAsia="en-US" w:bidi="ar-SA"/>
      </w:rPr>
    </w:lvl>
    <w:lvl w:ilvl="7" w:tplc="4EAC6B7C">
      <w:numFmt w:val="bullet"/>
      <w:lvlText w:val="•"/>
      <w:lvlJc w:val="left"/>
      <w:pPr>
        <w:ind w:left="1676" w:hanging="76"/>
      </w:pPr>
      <w:rPr>
        <w:rFonts w:hint="default"/>
        <w:lang w:val="en-US" w:eastAsia="en-US" w:bidi="ar-SA"/>
      </w:rPr>
    </w:lvl>
    <w:lvl w:ilvl="8" w:tplc="13D06E28">
      <w:numFmt w:val="bullet"/>
      <w:lvlText w:val="•"/>
      <w:lvlJc w:val="left"/>
      <w:pPr>
        <w:ind w:left="1912" w:hanging="76"/>
      </w:pPr>
      <w:rPr>
        <w:rFonts w:hint="default"/>
        <w:lang w:val="en-US" w:eastAsia="en-US" w:bidi="ar-SA"/>
      </w:rPr>
    </w:lvl>
  </w:abstractNum>
  <w:abstractNum w:abstractNumId="170" w15:restartNumberingAfterBreak="0">
    <w:nsid w:val="42F911D9"/>
    <w:multiLevelType w:val="multilevel"/>
    <w:tmpl w:val="3A867D94"/>
    <w:lvl w:ilvl="0">
      <w:start w:val="5"/>
      <w:numFmt w:val="decimal"/>
      <w:lvlText w:val="%1"/>
      <w:lvlJc w:val="left"/>
      <w:pPr>
        <w:ind w:left="153" w:hanging="739"/>
      </w:pPr>
      <w:rPr>
        <w:rFonts w:hint="default"/>
        <w:lang w:val="en-US" w:eastAsia="en-US" w:bidi="ar-SA"/>
      </w:rPr>
    </w:lvl>
    <w:lvl w:ilvl="1">
      <w:start w:val="7"/>
      <w:numFmt w:val="decimal"/>
      <w:lvlText w:val="%1.%2"/>
      <w:lvlJc w:val="left"/>
      <w:pPr>
        <w:ind w:left="153" w:hanging="739"/>
      </w:pPr>
      <w:rPr>
        <w:rFonts w:hint="default"/>
        <w:lang w:val="en-US" w:eastAsia="en-US" w:bidi="ar-SA"/>
      </w:rPr>
    </w:lvl>
    <w:lvl w:ilvl="2">
      <w:start w:val="6"/>
      <w:numFmt w:val="decimal"/>
      <w:lvlText w:val="%1.%2.%3"/>
      <w:lvlJc w:val="left"/>
      <w:pPr>
        <w:ind w:left="153" w:hanging="739"/>
      </w:pPr>
      <w:rPr>
        <w:rFonts w:hint="default"/>
        <w:lang w:val="en-US" w:eastAsia="en-US" w:bidi="ar-SA"/>
      </w:rPr>
    </w:lvl>
    <w:lvl w:ilvl="3">
      <w:start w:val="1"/>
      <w:numFmt w:val="decimal"/>
      <w:lvlText w:val="%1.%2.%3.%4"/>
      <w:lvlJc w:val="left"/>
      <w:pPr>
        <w:ind w:left="153" w:hanging="739"/>
      </w:pPr>
      <w:rPr>
        <w:rFonts w:ascii="Arial" w:eastAsia="Arial" w:hAnsi="Arial" w:cs="Arial" w:hint="default"/>
        <w:color w:val="231F20"/>
        <w:w w:val="99"/>
        <w:sz w:val="22"/>
        <w:szCs w:val="22"/>
        <w:lang w:val="en-US" w:eastAsia="en-US" w:bidi="ar-SA"/>
      </w:rPr>
    </w:lvl>
    <w:lvl w:ilvl="4">
      <w:numFmt w:val="bullet"/>
      <w:lvlText w:val="•"/>
      <w:lvlJc w:val="left"/>
      <w:pPr>
        <w:ind w:left="3978" w:hanging="739"/>
      </w:pPr>
      <w:rPr>
        <w:rFonts w:hint="default"/>
        <w:lang w:val="en-US" w:eastAsia="en-US" w:bidi="ar-SA"/>
      </w:rPr>
    </w:lvl>
    <w:lvl w:ilvl="5">
      <w:numFmt w:val="bullet"/>
      <w:lvlText w:val="•"/>
      <w:lvlJc w:val="left"/>
      <w:pPr>
        <w:ind w:left="4932" w:hanging="739"/>
      </w:pPr>
      <w:rPr>
        <w:rFonts w:hint="default"/>
        <w:lang w:val="en-US" w:eastAsia="en-US" w:bidi="ar-SA"/>
      </w:rPr>
    </w:lvl>
    <w:lvl w:ilvl="6">
      <w:numFmt w:val="bullet"/>
      <w:lvlText w:val="•"/>
      <w:lvlJc w:val="left"/>
      <w:pPr>
        <w:ind w:left="5887" w:hanging="739"/>
      </w:pPr>
      <w:rPr>
        <w:rFonts w:hint="default"/>
        <w:lang w:val="en-US" w:eastAsia="en-US" w:bidi="ar-SA"/>
      </w:rPr>
    </w:lvl>
    <w:lvl w:ilvl="7">
      <w:numFmt w:val="bullet"/>
      <w:lvlText w:val="•"/>
      <w:lvlJc w:val="left"/>
      <w:pPr>
        <w:ind w:left="6841" w:hanging="739"/>
      </w:pPr>
      <w:rPr>
        <w:rFonts w:hint="default"/>
        <w:lang w:val="en-US" w:eastAsia="en-US" w:bidi="ar-SA"/>
      </w:rPr>
    </w:lvl>
    <w:lvl w:ilvl="8">
      <w:numFmt w:val="bullet"/>
      <w:lvlText w:val="•"/>
      <w:lvlJc w:val="left"/>
      <w:pPr>
        <w:ind w:left="7796" w:hanging="739"/>
      </w:pPr>
      <w:rPr>
        <w:rFonts w:hint="default"/>
        <w:lang w:val="en-US" w:eastAsia="en-US" w:bidi="ar-SA"/>
      </w:rPr>
    </w:lvl>
  </w:abstractNum>
  <w:abstractNum w:abstractNumId="171" w15:restartNumberingAfterBreak="0">
    <w:nsid w:val="439C0287"/>
    <w:multiLevelType w:val="hybridMultilevel"/>
    <w:tmpl w:val="272E7D6A"/>
    <w:lvl w:ilvl="0" w:tplc="DF4ABE30">
      <w:numFmt w:val="bullet"/>
      <w:lvlText w:val="•"/>
      <w:lvlJc w:val="left"/>
      <w:pPr>
        <w:ind w:left="27" w:hanging="79"/>
      </w:pPr>
      <w:rPr>
        <w:rFonts w:ascii="Arial" w:eastAsia="Arial" w:hAnsi="Arial" w:cs="Arial" w:hint="default"/>
        <w:color w:val="231F20"/>
        <w:w w:val="104"/>
        <w:sz w:val="12"/>
        <w:szCs w:val="12"/>
        <w:lang w:val="en-US" w:eastAsia="en-US" w:bidi="ar-SA"/>
      </w:rPr>
    </w:lvl>
    <w:lvl w:ilvl="1" w:tplc="F1C82522">
      <w:numFmt w:val="bullet"/>
      <w:lvlText w:val="•"/>
      <w:lvlJc w:val="left"/>
      <w:pPr>
        <w:ind w:left="267" w:hanging="79"/>
      </w:pPr>
      <w:rPr>
        <w:rFonts w:hint="default"/>
        <w:lang w:val="en-US" w:eastAsia="en-US" w:bidi="ar-SA"/>
      </w:rPr>
    </w:lvl>
    <w:lvl w:ilvl="2" w:tplc="FE5466F0">
      <w:numFmt w:val="bullet"/>
      <w:lvlText w:val="•"/>
      <w:lvlJc w:val="left"/>
      <w:pPr>
        <w:ind w:left="515" w:hanging="79"/>
      </w:pPr>
      <w:rPr>
        <w:rFonts w:hint="default"/>
        <w:lang w:val="en-US" w:eastAsia="en-US" w:bidi="ar-SA"/>
      </w:rPr>
    </w:lvl>
    <w:lvl w:ilvl="3" w:tplc="80C462A2">
      <w:numFmt w:val="bullet"/>
      <w:lvlText w:val="•"/>
      <w:lvlJc w:val="left"/>
      <w:pPr>
        <w:ind w:left="763" w:hanging="79"/>
      </w:pPr>
      <w:rPr>
        <w:rFonts w:hint="default"/>
        <w:lang w:val="en-US" w:eastAsia="en-US" w:bidi="ar-SA"/>
      </w:rPr>
    </w:lvl>
    <w:lvl w:ilvl="4" w:tplc="6B1A42E8">
      <w:numFmt w:val="bullet"/>
      <w:lvlText w:val="•"/>
      <w:lvlJc w:val="left"/>
      <w:pPr>
        <w:ind w:left="1010" w:hanging="79"/>
      </w:pPr>
      <w:rPr>
        <w:rFonts w:hint="default"/>
        <w:lang w:val="en-US" w:eastAsia="en-US" w:bidi="ar-SA"/>
      </w:rPr>
    </w:lvl>
    <w:lvl w:ilvl="5" w:tplc="1DC688CE">
      <w:numFmt w:val="bullet"/>
      <w:lvlText w:val="•"/>
      <w:lvlJc w:val="left"/>
      <w:pPr>
        <w:ind w:left="1258" w:hanging="79"/>
      </w:pPr>
      <w:rPr>
        <w:rFonts w:hint="default"/>
        <w:lang w:val="en-US" w:eastAsia="en-US" w:bidi="ar-SA"/>
      </w:rPr>
    </w:lvl>
    <w:lvl w:ilvl="6" w:tplc="AC7CB28C">
      <w:numFmt w:val="bullet"/>
      <w:lvlText w:val="•"/>
      <w:lvlJc w:val="left"/>
      <w:pPr>
        <w:ind w:left="1506" w:hanging="79"/>
      </w:pPr>
      <w:rPr>
        <w:rFonts w:hint="default"/>
        <w:lang w:val="en-US" w:eastAsia="en-US" w:bidi="ar-SA"/>
      </w:rPr>
    </w:lvl>
    <w:lvl w:ilvl="7" w:tplc="510CC1D6">
      <w:numFmt w:val="bullet"/>
      <w:lvlText w:val="•"/>
      <w:lvlJc w:val="left"/>
      <w:pPr>
        <w:ind w:left="1753" w:hanging="79"/>
      </w:pPr>
      <w:rPr>
        <w:rFonts w:hint="default"/>
        <w:lang w:val="en-US" w:eastAsia="en-US" w:bidi="ar-SA"/>
      </w:rPr>
    </w:lvl>
    <w:lvl w:ilvl="8" w:tplc="A552DBBA">
      <w:numFmt w:val="bullet"/>
      <w:lvlText w:val="•"/>
      <w:lvlJc w:val="left"/>
      <w:pPr>
        <w:ind w:left="2001" w:hanging="79"/>
      </w:pPr>
      <w:rPr>
        <w:rFonts w:hint="default"/>
        <w:lang w:val="en-US" w:eastAsia="en-US" w:bidi="ar-SA"/>
      </w:rPr>
    </w:lvl>
  </w:abstractNum>
  <w:abstractNum w:abstractNumId="172" w15:restartNumberingAfterBreak="0">
    <w:nsid w:val="43C76F6F"/>
    <w:multiLevelType w:val="hybridMultilevel"/>
    <w:tmpl w:val="97DC5422"/>
    <w:lvl w:ilvl="0" w:tplc="FAAACDC0">
      <w:numFmt w:val="bullet"/>
      <w:lvlText w:val="•"/>
      <w:lvlJc w:val="left"/>
      <w:pPr>
        <w:ind w:left="25" w:hanging="45"/>
      </w:pPr>
      <w:rPr>
        <w:rFonts w:ascii="Arial" w:eastAsia="Arial" w:hAnsi="Arial" w:cs="Arial" w:hint="default"/>
        <w:color w:val="231F20"/>
        <w:w w:val="95"/>
        <w:sz w:val="11"/>
        <w:szCs w:val="11"/>
        <w:lang w:val="en-US" w:eastAsia="en-US" w:bidi="ar-SA"/>
      </w:rPr>
    </w:lvl>
    <w:lvl w:ilvl="1" w:tplc="B4BAF500">
      <w:numFmt w:val="bullet"/>
      <w:lvlText w:val="•"/>
      <w:lvlJc w:val="left"/>
      <w:pPr>
        <w:ind w:left="265" w:hanging="45"/>
      </w:pPr>
      <w:rPr>
        <w:rFonts w:hint="default"/>
        <w:lang w:val="en-US" w:eastAsia="en-US" w:bidi="ar-SA"/>
      </w:rPr>
    </w:lvl>
    <w:lvl w:ilvl="2" w:tplc="9EB8A94A">
      <w:numFmt w:val="bullet"/>
      <w:lvlText w:val="•"/>
      <w:lvlJc w:val="left"/>
      <w:pPr>
        <w:ind w:left="510" w:hanging="45"/>
      </w:pPr>
      <w:rPr>
        <w:rFonts w:hint="default"/>
        <w:lang w:val="en-US" w:eastAsia="en-US" w:bidi="ar-SA"/>
      </w:rPr>
    </w:lvl>
    <w:lvl w:ilvl="3" w:tplc="FD8C7FB6">
      <w:numFmt w:val="bullet"/>
      <w:lvlText w:val="•"/>
      <w:lvlJc w:val="left"/>
      <w:pPr>
        <w:ind w:left="755" w:hanging="45"/>
      </w:pPr>
      <w:rPr>
        <w:rFonts w:hint="default"/>
        <w:lang w:val="en-US" w:eastAsia="en-US" w:bidi="ar-SA"/>
      </w:rPr>
    </w:lvl>
    <w:lvl w:ilvl="4" w:tplc="CEF2BD72">
      <w:numFmt w:val="bullet"/>
      <w:lvlText w:val="•"/>
      <w:lvlJc w:val="left"/>
      <w:pPr>
        <w:ind w:left="1001" w:hanging="45"/>
      </w:pPr>
      <w:rPr>
        <w:rFonts w:hint="default"/>
        <w:lang w:val="en-US" w:eastAsia="en-US" w:bidi="ar-SA"/>
      </w:rPr>
    </w:lvl>
    <w:lvl w:ilvl="5" w:tplc="3190C54C">
      <w:numFmt w:val="bullet"/>
      <w:lvlText w:val="•"/>
      <w:lvlJc w:val="left"/>
      <w:pPr>
        <w:ind w:left="1246" w:hanging="45"/>
      </w:pPr>
      <w:rPr>
        <w:rFonts w:hint="default"/>
        <w:lang w:val="en-US" w:eastAsia="en-US" w:bidi="ar-SA"/>
      </w:rPr>
    </w:lvl>
    <w:lvl w:ilvl="6" w:tplc="832EFCC6">
      <w:numFmt w:val="bullet"/>
      <w:lvlText w:val="•"/>
      <w:lvlJc w:val="left"/>
      <w:pPr>
        <w:ind w:left="1491" w:hanging="45"/>
      </w:pPr>
      <w:rPr>
        <w:rFonts w:hint="default"/>
        <w:lang w:val="en-US" w:eastAsia="en-US" w:bidi="ar-SA"/>
      </w:rPr>
    </w:lvl>
    <w:lvl w:ilvl="7" w:tplc="BB2CFC8E">
      <w:numFmt w:val="bullet"/>
      <w:lvlText w:val="•"/>
      <w:lvlJc w:val="left"/>
      <w:pPr>
        <w:ind w:left="1737" w:hanging="45"/>
      </w:pPr>
      <w:rPr>
        <w:rFonts w:hint="default"/>
        <w:lang w:val="en-US" w:eastAsia="en-US" w:bidi="ar-SA"/>
      </w:rPr>
    </w:lvl>
    <w:lvl w:ilvl="8" w:tplc="8CAE7FD8">
      <w:numFmt w:val="bullet"/>
      <w:lvlText w:val="•"/>
      <w:lvlJc w:val="left"/>
      <w:pPr>
        <w:ind w:left="1982" w:hanging="45"/>
      </w:pPr>
      <w:rPr>
        <w:rFonts w:hint="default"/>
        <w:lang w:val="en-US" w:eastAsia="en-US" w:bidi="ar-SA"/>
      </w:rPr>
    </w:lvl>
  </w:abstractNum>
  <w:abstractNum w:abstractNumId="173" w15:restartNumberingAfterBreak="0">
    <w:nsid w:val="43EA1B58"/>
    <w:multiLevelType w:val="hybridMultilevel"/>
    <w:tmpl w:val="76783E26"/>
    <w:lvl w:ilvl="0" w:tplc="BED0A316">
      <w:numFmt w:val="bullet"/>
      <w:lvlText w:val="•"/>
      <w:lvlJc w:val="left"/>
      <w:pPr>
        <w:ind w:left="27" w:hanging="70"/>
      </w:pPr>
      <w:rPr>
        <w:rFonts w:ascii="Arial" w:eastAsia="Arial" w:hAnsi="Arial" w:cs="Arial" w:hint="default"/>
        <w:color w:val="231F20"/>
        <w:w w:val="100"/>
        <w:sz w:val="12"/>
        <w:szCs w:val="12"/>
        <w:lang w:val="en-US" w:eastAsia="en-US" w:bidi="ar-SA"/>
      </w:rPr>
    </w:lvl>
    <w:lvl w:ilvl="1" w:tplc="187E2026">
      <w:numFmt w:val="bullet"/>
      <w:lvlText w:val="•"/>
      <w:lvlJc w:val="left"/>
      <w:pPr>
        <w:ind w:left="258" w:hanging="70"/>
      </w:pPr>
      <w:rPr>
        <w:rFonts w:hint="default"/>
        <w:lang w:val="en-US" w:eastAsia="en-US" w:bidi="ar-SA"/>
      </w:rPr>
    </w:lvl>
    <w:lvl w:ilvl="2" w:tplc="C5861EE4">
      <w:numFmt w:val="bullet"/>
      <w:lvlText w:val="•"/>
      <w:lvlJc w:val="left"/>
      <w:pPr>
        <w:ind w:left="497" w:hanging="70"/>
      </w:pPr>
      <w:rPr>
        <w:rFonts w:hint="default"/>
        <w:lang w:val="en-US" w:eastAsia="en-US" w:bidi="ar-SA"/>
      </w:rPr>
    </w:lvl>
    <w:lvl w:ilvl="3" w:tplc="97B6C9F8">
      <w:numFmt w:val="bullet"/>
      <w:lvlText w:val="•"/>
      <w:lvlJc w:val="left"/>
      <w:pPr>
        <w:ind w:left="736" w:hanging="70"/>
      </w:pPr>
      <w:rPr>
        <w:rFonts w:hint="default"/>
        <w:lang w:val="en-US" w:eastAsia="en-US" w:bidi="ar-SA"/>
      </w:rPr>
    </w:lvl>
    <w:lvl w:ilvl="4" w:tplc="A78AFE8E">
      <w:numFmt w:val="bullet"/>
      <w:lvlText w:val="•"/>
      <w:lvlJc w:val="left"/>
      <w:pPr>
        <w:ind w:left="975" w:hanging="70"/>
      </w:pPr>
      <w:rPr>
        <w:rFonts w:hint="default"/>
        <w:lang w:val="en-US" w:eastAsia="en-US" w:bidi="ar-SA"/>
      </w:rPr>
    </w:lvl>
    <w:lvl w:ilvl="5" w:tplc="29D2E862">
      <w:numFmt w:val="bullet"/>
      <w:lvlText w:val="•"/>
      <w:lvlJc w:val="left"/>
      <w:pPr>
        <w:ind w:left="1214" w:hanging="70"/>
      </w:pPr>
      <w:rPr>
        <w:rFonts w:hint="default"/>
        <w:lang w:val="en-US" w:eastAsia="en-US" w:bidi="ar-SA"/>
      </w:rPr>
    </w:lvl>
    <w:lvl w:ilvl="6" w:tplc="BEAA15AA">
      <w:numFmt w:val="bullet"/>
      <w:lvlText w:val="•"/>
      <w:lvlJc w:val="left"/>
      <w:pPr>
        <w:ind w:left="1452" w:hanging="70"/>
      </w:pPr>
      <w:rPr>
        <w:rFonts w:hint="default"/>
        <w:lang w:val="en-US" w:eastAsia="en-US" w:bidi="ar-SA"/>
      </w:rPr>
    </w:lvl>
    <w:lvl w:ilvl="7" w:tplc="63483600">
      <w:numFmt w:val="bullet"/>
      <w:lvlText w:val="•"/>
      <w:lvlJc w:val="left"/>
      <w:pPr>
        <w:ind w:left="1691" w:hanging="70"/>
      </w:pPr>
      <w:rPr>
        <w:rFonts w:hint="default"/>
        <w:lang w:val="en-US" w:eastAsia="en-US" w:bidi="ar-SA"/>
      </w:rPr>
    </w:lvl>
    <w:lvl w:ilvl="8" w:tplc="F50A3594">
      <w:numFmt w:val="bullet"/>
      <w:lvlText w:val="•"/>
      <w:lvlJc w:val="left"/>
      <w:pPr>
        <w:ind w:left="1930" w:hanging="70"/>
      </w:pPr>
      <w:rPr>
        <w:rFonts w:hint="default"/>
        <w:lang w:val="en-US" w:eastAsia="en-US" w:bidi="ar-SA"/>
      </w:rPr>
    </w:lvl>
  </w:abstractNum>
  <w:abstractNum w:abstractNumId="174" w15:restartNumberingAfterBreak="0">
    <w:nsid w:val="44286B88"/>
    <w:multiLevelType w:val="hybridMultilevel"/>
    <w:tmpl w:val="13CA7AD6"/>
    <w:lvl w:ilvl="0" w:tplc="EB06E38C">
      <w:numFmt w:val="bullet"/>
      <w:lvlText w:val="•"/>
      <w:lvlJc w:val="left"/>
      <w:pPr>
        <w:ind w:left="20" w:hanging="75"/>
      </w:pPr>
      <w:rPr>
        <w:rFonts w:ascii="Arial" w:eastAsia="Arial" w:hAnsi="Arial" w:cs="Arial" w:hint="default"/>
        <w:color w:val="231F20"/>
        <w:w w:val="79"/>
        <w:sz w:val="15"/>
        <w:szCs w:val="15"/>
        <w:lang w:val="en-US" w:eastAsia="en-US" w:bidi="ar-SA"/>
      </w:rPr>
    </w:lvl>
    <w:lvl w:ilvl="1" w:tplc="20C81C5E">
      <w:numFmt w:val="bullet"/>
      <w:lvlText w:val="•"/>
      <w:lvlJc w:val="left"/>
      <w:pPr>
        <w:ind w:left="255" w:hanging="75"/>
      </w:pPr>
      <w:rPr>
        <w:rFonts w:hint="default"/>
        <w:lang w:val="en-US" w:eastAsia="en-US" w:bidi="ar-SA"/>
      </w:rPr>
    </w:lvl>
    <w:lvl w:ilvl="2" w:tplc="CC9CF9EE">
      <w:numFmt w:val="bullet"/>
      <w:lvlText w:val="•"/>
      <w:lvlJc w:val="left"/>
      <w:pPr>
        <w:ind w:left="490" w:hanging="75"/>
      </w:pPr>
      <w:rPr>
        <w:rFonts w:hint="default"/>
        <w:lang w:val="en-US" w:eastAsia="en-US" w:bidi="ar-SA"/>
      </w:rPr>
    </w:lvl>
    <w:lvl w:ilvl="3" w:tplc="CF8257BA">
      <w:numFmt w:val="bullet"/>
      <w:lvlText w:val="•"/>
      <w:lvlJc w:val="left"/>
      <w:pPr>
        <w:ind w:left="725" w:hanging="75"/>
      </w:pPr>
      <w:rPr>
        <w:rFonts w:hint="default"/>
        <w:lang w:val="en-US" w:eastAsia="en-US" w:bidi="ar-SA"/>
      </w:rPr>
    </w:lvl>
    <w:lvl w:ilvl="4" w:tplc="DD48B726">
      <w:numFmt w:val="bullet"/>
      <w:lvlText w:val="•"/>
      <w:lvlJc w:val="left"/>
      <w:pPr>
        <w:ind w:left="961" w:hanging="75"/>
      </w:pPr>
      <w:rPr>
        <w:rFonts w:hint="default"/>
        <w:lang w:val="en-US" w:eastAsia="en-US" w:bidi="ar-SA"/>
      </w:rPr>
    </w:lvl>
    <w:lvl w:ilvl="5" w:tplc="A2C4E83C">
      <w:numFmt w:val="bullet"/>
      <w:lvlText w:val="•"/>
      <w:lvlJc w:val="left"/>
      <w:pPr>
        <w:ind w:left="1196" w:hanging="75"/>
      </w:pPr>
      <w:rPr>
        <w:rFonts w:hint="default"/>
        <w:lang w:val="en-US" w:eastAsia="en-US" w:bidi="ar-SA"/>
      </w:rPr>
    </w:lvl>
    <w:lvl w:ilvl="6" w:tplc="E3FA6DF4">
      <w:numFmt w:val="bullet"/>
      <w:lvlText w:val="•"/>
      <w:lvlJc w:val="left"/>
      <w:pPr>
        <w:ind w:left="1431" w:hanging="75"/>
      </w:pPr>
      <w:rPr>
        <w:rFonts w:hint="default"/>
        <w:lang w:val="en-US" w:eastAsia="en-US" w:bidi="ar-SA"/>
      </w:rPr>
    </w:lvl>
    <w:lvl w:ilvl="7" w:tplc="985EC234">
      <w:numFmt w:val="bullet"/>
      <w:lvlText w:val="•"/>
      <w:lvlJc w:val="left"/>
      <w:pPr>
        <w:ind w:left="1667" w:hanging="75"/>
      </w:pPr>
      <w:rPr>
        <w:rFonts w:hint="default"/>
        <w:lang w:val="en-US" w:eastAsia="en-US" w:bidi="ar-SA"/>
      </w:rPr>
    </w:lvl>
    <w:lvl w:ilvl="8" w:tplc="FDCAE342">
      <w:numFmt w:val="bullet"/>
      <w:lvlText w:val="•"/>
      <w:lvlJc w:val="left"/>
      <w:pPr>
        <w:ind w:left="1902" w:hanging="75"/>
      </w:pPr>
      <w:rPr>
        <w:rFonts w:hint="default"/>
        <w:lang w:val="en-US" w:eastAsia="en-US" w:bidi="ar-SA"/>
      </w:rPr>
    </w:lvl>
  </w:abstractNum>
  <w:abstractNum w:abstractNumId="175" w15:restartNumberingAfterBreak="0">
    <w:nsid w:val="45BC7F13"/>
    <w:multiLevelType w:val="hybridMultilevel"/>
    <w:tmpl w:val="B2E8F906"/>
    <w:lvl w:ilvl="0" w:tplc="DD3CC762">
      <w:numFmt w:val="bullet"/>
      <w:lvlText w:val="•"/>
      <w:lvlJc w:val="left"/>
      <w:pPr>
        <w:ind w:left="27" w:hanging="72"/>
      </w:pPr>
      <w:rPr>
        <w:rFonts w:ascii="Arial" w:eastAsia="Arial" w:hAnsi="Arial" w:cs="Arial" w:hint="default"/>
        <w:color w:val="231F20"/>
        <w:w w:val="104"/>
        <w:sz w:val="12"/>
        <w:szCs w:val="12"/>
        <w:lang w:val="en-US" w:eastAsia="en-US" w:bidi="ar-SA"/>
      </w:rPr>
    </w:lvl>
    <w:lvl w:ilvl="1" w:tplc="788897AE">
      <w:numFmt w:val="bullet"/>
      <w:lvlText w:val="•"/>
      <w:lvlJc w:val="left"/>
      <w:pPr>
        <w:ind w:left="267" w:hanging="72"/>
      </w:pPr>
      <w:rPr>
        <w:rFonts w:hint="default"/>
        <w:lang w:val="en-US" w:eastAsia="en-US" w:bidi="ar-SA"/>
      </w:rPr>
    </w:lvl>
    <w:lvl w:ilvl="2" w:tplc="6E9CBE3E">
      <w:numFmt w:val="bullet"/>
      <w:lvlText w:val="•"/>
      <w:lvlJc w:val="left"/>
      <w:pPr>
        <w:ind w:left="515" w:hanging="72"/>
      </w:pPr>
      <w:rPr>
        <w:rFonts w:hint="default"/>
        <w:lang w:val="en-US" w:eastAsia="en-US" w:bidi="ar-SA"/>
      </w:rPr>
    </w:lvl>
    <w:lvl w:ilvl="3" w:tplc="FC56324E">
      <w:numFmt w:val="bullet"/>
      <w:lvlText w:val="•"/>
      <w:lvlJc w:val="left"/>
      <w:pPr>
        <w:ind w:left="763" w:hanging="72"/>
      </w:pPr>
      <w:rPr>
        <w:rFonts w:hint="default"/>
        <w:lang w:val="en-US" w:eastAsia="en-US" w:bidi="ar-SA"/>
      </w:rPr>
    </w:lvl>
    <w:lvl w:ilvl="4" w:tplc="5336A2F6">
      <w:numFmt w:val="bullet"/>
      <w:lvlText w:val="•"/>
      <w:lvlJc w:val="left"/>
      <w:pPr>
        <w:ind w:left="1010" w:hanging="72"/>
      </w:pPr>
      <w:rPr>
        <w:rFonts w:hint="default"/>
        <w:lang w:val="en-US" w:eastAsia="en-US" w:bidi="ar-SA"/>
      </w:rPr>
    </w:lvl>
    <w:lvl w:ilvl="5" w:tplc="3976DC18">
      <w:numFmt w:val="bullet"/>
      <w:lvlText w:val="•"/>
      <w:lvlJc w:val="left"/>
      <w:pPr>
        <w:ind w:left="1258" w:hanging="72"/>
      </w:pPr>
      <w:rPr>
        <w:rFonts w:hint="default"/>
        <w:lang w:val="en-US" w:eastAsia="en-US" w:bidi="ar-SA"/>
      </w:rPr>
    </w:lvl>
    <w:lvl w:ilvl="6" w:tplc="3702C08C">
      <w:numFmt w:val="bullet"/>
      <w:lvlText w:val="•"/>
      <w:lvlJc w:val="left"/>
      <w:pPr>
        <w:ind w:left="1506" w:hanging="72"/>
      </w:pPr>
      <w:rPr>
        <w:rFonts w:hint="default"/>
        <w:lang w:val="en-US" w:eastAsia="en-US" w:bidi="ar-SA"/>
      </w:rPr>
    </w:lvl>
    <w:lvl w:ilvl="7" w:tplc="72A828D4">
      <w:numFmt w:val="bullet"/>
      <w:lvlText w:val="•"/>
      <w:lvlJc w:val="left"/>
      <w:pPr>
        <w:ind w:left="1753" w:hanging="72"/>
      </w:pPr>
      <w:rPr>
        <w:rFonts w:hint="default"/>
        <w:lang w:val="en-US" w:eastAsia="en-US" w:bidi="ar-SA"/>
      </w:rPr>
    </w:lvl>
    <w:lvl w:ilvl="8" w:tplc="A3DCBAE2">
      <w:numFmt w:val="bullet"/>
      <w:lvlText w:val="•"/>
      <w:lvlJc w:val="left"/>
      <w:pPr>
        <w:ind w:left="2001" w:hanging="72"/>
      </w:pPr>
      <w:rPr>
        <w:rFonts w:hint="default"/>
        <w:lang w:val="en-US" w:eastAsia="en-US" w:bidi="ar-SA"/>
      </w:rPr>
    </w:lvl>
  </w:abstractNum>
  <w:abstractNum w:abstractNumId="176" w15:restartNumberingAfterBreak="0">
    <w:nsid w:val="45E22CAA"/>
    <w:multiLevelType w:val="hybridMultilevel"/>
    <w:tmpl w:val="72163980"/>
    <w:lvl w:ilvl="0" w:tplc="492693C6">
      <w:numFmt w:val="bullet"/>
      <w:lvlText w:val="•"/>
      <w:lvlJc w:val="left"/>
      <w:pPr>
        <w:ind w:left="28" w:hanging="70"/>
      </w:pPr>
      <w:rPr>
        <w:rFonts w:ascii="Arial" w:eastAsia="Arial" w:hAnsi="Arial" w:cs="Arial" w:hint="default"/>
        <w:color w:val="231F20"/>
        <w:w w:val="70"/>
        <w:sz w:val="17"/>
        <w:szCs w:val="17"/>
        <w:lang w:val="en-US" w:eastAsia="en-US" w:bidi="ar-SA"/>
      </w:rPr>
    </w:lvl>
    <w:lvl w:ilvl="1" w:tplc="759AFD8E">
      <w:numFmt w:val="bullet"/>
      <w:lvlText w:val="•"/>
      <w:lvlJc w:val="left"/>
      <w:pPr>
        <w:ind w:left="258" w:hanging="70"/>
      </w:pPr>
      <w:rPr>
        <w:rFonts w:hint="default"/>
        <w:lang w:val="en-US" w:eastAsia="en-US" w:bidi="ar-SA"/>
      </w:rPr>
    </w:lvl>
    <w:lvl w:ilvl="2" w:tplc="E70C76D2">
      <w:numFmt w:val="bullet"/>
      <w:lvlText w:val="•"/>
      <w:lvlJc w:val="left"/>
      <w:pPr>
        <w:ind w:left="497" w:hanging="70"/>
      </w:pPr>
      <w:rPr>
        <w:rFonts w:hint="default"/>
        <w:lang w:val="en-US" w:eastAsia="en-US" w:bidi="ar-SA"/>
      </w:rPr>
    </w:lvl>
    <w:lvl w:ilvl="3" w:tplc="E626E0DE">
      <w:numFmt w:val="bullet"/>
      <w:lvlText w:val="•"/>
      <w:lvlJc w:val="left"/>
      <w:pPr>
        <w:ind w:left="735" w:hanging="70"/>
      </w:pPr>
      <w:rPr>
        <w:rFonts w:hint="default"/>
        <w:lang w:val="en-US" w:eastAsia="en-US" w:bidi="ar-SA"/>
      </w:rPr>
    </w:lvl>
    <w:lvl w:ilvl="4" w:tplc="27321262">
      <w:numFmt w:val="bullet"/>
      <w:lvlText w:val="•"/>
      <w:lvlJc w:val="left"/>
      <w:pPr>
        <w:ind w:left="974" w:hanging="70"/>
      </w:pPr>
      <w:rPr>
        <w:rFonts w:hint="default"/>
        <w:lang w:val="en-US" w:eastAsia="en-US" w:bidi="ar-SA"/>
      </w:rPr>
    </w:lvl>
    <w:lvl w:ilvl="5" w:tplc="774C34F6">
      <w:numFmt w:val="bullet"/>
      <w:lvlText w:val="•"/>
      <w:lvlJc w:val="left"/>
      <w:pPr>
        <w:ind w:left="1213" w:hanging="70"/>
      </w:pPr>
      <w:rPr>
        <w:rFonts w:hint="default"/>
        <w:lang w:val="en-US" w:eastAsia="en-US" w:bidi="ar-SA"/>
      </w:rPr>
    </w:lvl>
    <w:lvl w:ilvl="6" w:tplc="168E9A76">
      <w:numFmt w:val="bullet"/>
      <w:lvlText w:val="•"/>
      <w:lvlJc w:val="left"/>
      <w:pPr>
        <w:ind w:left="1451" w:hanging="70"/>
      </w:pPr>
      <w:rPr>
        <w:rFonts w:hint="default"/>
        <w:lang w:val="en-US" w:eastAsia="en-US" w:bidi="ar-SA"/>
      </w:rPr>
    </w:lvl>
    <w:lvl w:ilvl="7" w:tplc="4EA8F0BC">
      <w:numFmt w:val="bullet"/>
      <w:lvlText w:val="•"/>
      <w:lvlJc w:val="left"/>
      <w:pPr>
        <w:ind w:left="1690" w:hanging="70"/>
      </w:pPr>
      <w:rPr>
        <w:rFonts w:hint="default"/>
        <w:lang w:val="en-US" w:eastAsia="en-US" w:bidi="ar-SA"/>
      </w:rPr>
    </w:lvl>
    <w:lvl w:ilvl="8" w:tplc="F16C7DB0">
      <w:numFmt w:val="bullet"/>
      <w:lvlText w:val="•"/>
      <w:lvlJc w:val="left"/>
      <w:pPr>
        <w:ind w:left="1928" w:hanging="70"/>
      </w:pPr>
      <w:rPr>
        <w:rFonts w:hint="default"/>
        <w:lang w:val="en-US" w:eastAsia="en-US" w:bidi="ar-SA"/>
      </w:rPr>
    </w:lvl>
  </w:abstractNum>
  <w:abstractNum w:abstractNumId="177" w15:restartNumberingAfterBreak="0">
    <w:nsid w:val="464508E9"/>
    <w:multiLevelType w:val="multilevel"/>
    <w:tmpl w:val="07AA65F6"/>
    <w:lvl w:ilvl="0">
      <w:start w:val="12"/>
      <w:numFmt w:val="decimal"/>
      <w:lvlText w:val="%1"/>
      <w:lvlJc w:val="left"/>
      <w:pPr>
        <w:ind w:left="878" w:hanging="720"/>
      </w:pPr>
      <w:rPr>
        <w:rFonts w:hint="default"/>
        <w:lang w:val="en-US" w:eastAsia="en-US" w:bidi="ar-SA"/>
      </w:rPr>
    </w:lvl>
    <w:lvl w:ilvl="1">
      <w:start w:val="1"/>
      <w:numFmt w:val="decimal"/>
      <w:lvlText w:val="%1.%2"/>
      <w:lvlJc w:val="left"/>
      <w:pPr>
        <w:ind w:left="878" w:hanging="720"/>
      </w:pPr>
      <w:rPr>
        <w:rFonts w:hint="default"/>
        <w:b/>
        <w:bCs/>
        <w:w w:val="99"/>
        <w:lang w:val="en-US" w:eastAsia="en-US" w:bidi="ar-SA"/>
      </w:rPr>
    </w:lvl>
    <w:lvl w:ilvl="2">
      <w:start w:val="1"/>
      <w:numFmt w:val="lowerLetter"/>
      <w:lvlText w:val="%3)"/>
      <w:lvlJc w:val="left"/>
      <w:pPr>
        <w:ind w:left="878" w:hanging="360"/>
      </w:pPr>
      <w:rPr>
        <w:rFonts w:ascii="Arial" w:eastAsia="Arial" w:hAnsi="Arial" w:cs="Arial" w:hint="default"/>
        <w:color w:val="231F20"/>
        <w:w w:val="99"/>
        <w:sz w:val="22"/>
        <w:szCs w:val="22"/>
        <w:lang w:val="en-US" w:eastAsia="en-US" w:bidi="ar-SA"/>
      </w:rPr>
    </w:lvl>
    <w:lvl w:ilvl="3">
      <w:numFmt w:val="bullet"/>
      <w:lvlText w:val="•"/>
      <w:lvlJc w:val="left"/>
      <w:pPr>
        <w:ind w:left="3527" w:hanging="360"/>
      </w:pPr>
      <w:rPr>
        <w:rFonts w:hint="default"/>
        <w:lang w:val="en-US" w:eastAsia="en-US" w:bidi="ar-SA"/>
      </w:rPr>
    </w:lvl>
    <w:lvl w:ilvl="4">
      <w:numFmt w:val="bullet"/>
      <w:lvlText w:val="•"/>
      <w:lvlJc w:val="left"/>
      <w:pPr>
        <w:ind w:left="4410" w:hanging="360"/>
      </w:pPr>
      <w:rPr>
        <w:rFonts w:hint="default"/>
        <w:lang w:val="en-US" w:eastAsia="en-US" w:bidi="ar-SA"/>
      </w:rPr>
    </w:lvl>
    <w:lvl w:ilvl="5">
      <w:numFmt w:val="bullet"/>
      <w:lvlText w:val="•"/>
      <w:lvlJc w:val="left"/>
      <w:pPr>
        <w:ind w:left="5292"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7940" w:hanging="360"/>
      </w:pPr>
      <w:rPr>
        <w:rFonts w:hint="default"/>
        <w:lang w:val="en-US" w:eastAsia="en-US" w:bidi="ar-SA"/>
      </w:rPr>
    </w:lvl>
  </w:abstractNum>
  <w:abstractNum w:abstractNumId="178" w15:restartNumberingAfterBreak="0">
    <w:nsid w:val="465A27A6"/>
    <w:multiLevelType w:val="hybridMultilevel"/>
    <w:tmpl w:val="67300A74"/>
    <w:lvl w:ilvl="0" w:tplc="70782090">
      <w:numFmt w:val="bullet"/>
      <w:lvlText w:val="•"/>
      <w:lvlJc w:val="left"/>
      <w:pPr>
        <w:ind w:left="27" w:hanging="71"/>
      </w:pPr>
      <w:rPr>
        <w:rFonts w:ascii="Arial" w:eastAsia="Arial" w:hAnsi="Arial" w:cs="Arial" w:hint="default"/>
        <w:color w:val="231F20"/>
        <w:w w:val="87"/>
        <w:sz w:val="14"/>
        <w:szCs w:val="14"/>
        <w:lang w:val="en-US" w:eastAsia="en-US" w:bidi="ar-SA"/>
      </w:rPr>
    </w:lvl>
    <w:lvl w:ilvl="1" w:tplc="95C4EA56">
      <w:numFmt w:val="bullet"/>
      <w:lvlText w:val="•"/>
      <w:lvlJc w:val="left"/>
      <w:pPr>
        <w:ind w:left="263" w:hanging="71"/>
      </w:pPr>
      <w:rPr>
        <w:rFonts w:hint="default"/>
        <w:lang w:val="en-US" w:eastAsia="en-US" w:bidi="ar-SA"/>
      </w:rPr>
    </w:lvl>
    <w:lvl w:ilvl="2" w:tplc="732032EC">
      <w:numFmt w:val="bullet"/>
      <w:lvlText w:val="•"/>
      <w:lvlJc w:val="left"/>
      <w:pPr>
        <w:ind w:left="507" w:hanging="71"/>
      </w:pPr>
      <w:rPr>
        <w:rFonts w:hint="default"/>
        <w:lang w:val="en-US" w:eastAsia="en-US" w:bidi="ar-SA"/>
      </w:rPr>
    </w:lvl>
    <w:lvl w:ilvl="3" w:tplc="0604003A">
      <w:numFmt w:val="bullet"/>
      <w:lvlText w:val="•"/>
      <w:lvlJc w:val="left"/>
      <w:pPr>
        <w:ind w:left="750" w:hanging="71"/>
      </w:pPr>
      <w:rPr>
        <w:rFonts w:hint="default"/>
        <w:lang w:val="en-US" w:eastAsia="en-US" w:bidi="ar-SA"/>
      </w:rPr>
    </w:lvl>
    <w:lvl w:ilvl="4" w:tplc="F70C1AB2">
      <w:numFmt w:val="bullet"/>
      <w:lvlText w:val="•"/>
      <w:lvlJc w:val="left"/>
      <w:pPr>
        <w:ind w:left="994" w:hanging="71"/>
      </w:pPr>
      <w:rPr>
        <w:rFonts w:hint="default"/>
        <w:lang w:val="en-US" w:eastAsia="en-US" w:bidi="ar-SA"/>
      </w:rPr>
    </w:lvl>
    <w:lvl w:ilvl="5" w:tplc="688C2348">
      <w:numFmt w:val="bullet"/>
      <w:lvlText w:val="•"/>
      <w:lvlJc w:val="left"/>
      <w:pPr>
        <w:ind w:left="1238" w:hanging="71"/>
      </w:pPr>
      <w:rPr>
        <w:rFonts w:hint="default"/>
        <w:lang w:val="en-US" w:eastAsia="en-US" w:bidi="ar-SA"/>
      </w:rPr>
    </w:lvl>
    <w:lvl w:ilvl="6" w:tplc="C5E2ED7A">
      <w:numFmt w:val="bullet"/>
      <w:lvlText w:val="•"/>
      <w:lvlJc w:val="left"/>
      <w:pPr>
        <w:ind w:left="1481" w:hanging="71"/>
      </w:pPr>
      <w:rPr>
        <w:rFonts w:hint="default"/>
        <w:lang w:val="en-US" w:eastAsia="en-US" w:bidi="ar-SA"/>
      </w:rPr>
    </w:lvl>
    <w:lvl w:ilvl="7" w:tplc="04A691EC">
      <w:numFmt w:val="bullet"/>
      <w:lvlText w:val="•"/>
      <w:lvlJc w:val="left"/>
      <w:pPr>
        <w:ind w:left="1725" w:hanging="71"/>
      </w:pPr>
      <w:rPr>
        <w:rFonts w:hint="default"/>
        <w:lang w:val="en-US" w:eastAsia="en-US" w:bidi="ar-SA"/>
      </w:rPr>
    </w:lvl>
    <w:lvl w:ilvl="8" w:tplc="B802BC98">
      <w:numFmt w:val="bullet"/>
      <w:lvlText w:val="•"/>
      <w:lvlJc w:val="left"/>
      <w:pPr>
        <w:ind w:left="1968" w:hanging="71"/>
      </w:pPr>
      <w:rPr>
        <w:rFonts w:hint="default"/>
        <w:lang w:val="en-US" w:eastAsia="en-US" w:bidi="ar-SA"/>
      </w:rPr>
    </w:lvl>
  </w:abstractNum>
  <w:abstractNum w:abstractNumId="179" w15:restartNumberingAfterBreak="0">
    <w:nsid w:val="466B4514"/>
    <w:multiLevelType w:val="multilevel"/>
    <w:tmpl w:val="E542AF80"/>
    <w:lvl w:ilvl="0">
      <w:start w:val="5"/>
      <w:numFmt w:val="decimal"/>
      <w:lvlText w:val="%1"/>
      <w:lvlJc w:val="left"/>
      <w:pPr>
        <w:ind w:left="176" w:hanging="551"/>
      </w:pPr>
      <w:rPr>
        <w:rFonts w:hint="default"/>
        <w:lang w:val="en-US" w:eastAsia="en-US" w:bidi="ar-SA"/>
      </w:rPr>
    </w:lvl>
    <w:lvl w:ilvl="1">
      <w:start w:val="8"/>
      <w:numFmt w:val="decimal"/>
      <w:lvlText w:val="%1.%2"/>
      <w:lvlJc w:val="left"/>
      <w:pPr>
        <w:ind w:left="176" w:hanging="551"/>
      </w:pPr>
      <w:rPr>
        <w:rFonts w:hint="default"/>
        <w:lang w:val="en-US" w:eastAsia="en-US" w:bidi="ar-SA"/>
      </w:rPr>
    </w:lvl>
    <w:lvl w:ilvl="2">
      <w:numFmt w:val="decimal"/>
      <w:lvlText w:val="%1.%2.%3"/>
      <w:lvlJc w:val="left"/>
      <w:pPr>
        <w:ind w:left="176" w:hanging="551"/>
        <w:jc w:val="right"/>
      </w:pPr>
      <w:rPr>
        <w:rFonts w:hint="default"/>
        <w:spacing w:val="-25"/>
        <w:w w:val="99"/>
        <w:lang w:val="en-US" w:eastAsia="en-US" w:bidi="ar-SA"/>
      </w:rPr>
    </w:lvl>
    <w:lvl w:ilvl="3">
      <w:start w:val="1"/>
      <w:numFmt w:val="decimal"/>
      <w:lvlText w:val="%1.%2.%3.%4"/>
      <w:lvlJc w:val="left"/>
      <w:pPr>
        <w:ind w:left="166" w:hanging="755"/>
      </w:pPr>
      <w:rPr>
        <w:rFonts w:ascii="Arial" w:eastAsia="Arial" w:hAnsi="Arial" w:cs="Arial" w:hint="default"/>
        <w:color w:val="231F20"/>
        <w:w w:val="99"/>
        <w:sz w:val="22"/>
        <w:szCs w:val="22"/>
        <w:lang w:val="en-US" w:eastAsia="en-US" w:bidi="ar-SA"/>
      </w:rPr>
    </w:lvl>
    <w:lvl w:ilvl="4">
      <w:numFmt w:val="bullet"/>
      <w:lvlText w:val="•"/>
      <w:lvlJc w:val="left"/>
      <w:pPr>
        <w:ind w:left="3355" w:hanging="755"/>
      </w:pPr>
      <w:rPr>
        <w:rFonts w:hint="default"/>
        <w:lang w:val="en-US" w:eastAsia="en-US" w:bidi="ar-SA"/>
      </w:rPr>
    </w:lvl>
    <w:lvl w:ilvl="5">
      <w:numFmt w:val="bullet"/>
      <w:lvlText w:val="•"/>
      <w:lvlJc w:val="left"/>
      <w:pPr>
        <w:ind w:left="4413" w:hanging="755"/>
      </w:pPr>
      <w:rPr>
        <w:rFonts w:hint="default"/>
        <w:lang w:val="en-US" w:eastAsia="en-US" w:bidi="ar-SA"/>
      </w:rPr>
    </w:lvl>
    <w:lvl w:ilvl="6">
      <w:numFmt w:val="bullet"/>
      <w:lvlText w:val="•"/>
      <w:lvlJc w:val="left"/>
      <w:pPr>
        <w:ind w:left="5471" w:hanging="755"/>
      </w:pPr>
      <w:rPr>
        <w:rFonts w:hint="default"/>
        <w:lang w:val="en-US" w:eastAsia="en-US" w:bidi="ar-SA"/>
      </w:rPr>
    </w:lvl>
    <w:lvl w:ilvl="7">
      <w:numFmt w:val="bullet"/>
      <w:lvlText w:val="•"/>
      <w:lvlJc w:val="left"/>
      <w:pPr>
        <w:ind w:left="6530" w:hanging="755"/>
      </w:pPr>
      <w:rPr>
        <w:rFonts w:hint="default"/>
        <w:lang w:val="en-US" w:eastAsia="en-US" w:bidi="ar-SA"/>
      </w:rPr>
    </w:lvl>
    <w:lvl w:ilvl="8">
      <w:numFmt w:val="bullet"/>
      <w:lvlText w:val="•"/>
      <w:lvlJc w:val="left"/>
      <w:pPr>
        <w:ind w:left="7588" w:hanging="755"/>
      </w:pPr>
      <w:rPr>
        <w:rFonts w:hint="default"/>
        <w:lang w:val="en-US" w:eastAsia="en-US" w:bidi="ar-SA"/>
      </w:rPr>
    </w:lvl>
  </w:abstractNum>
  <w:abstractNum w:abstractNumId="180" w15:restartNumberingAfterBreak="0">
    <w:nsid w:val="46E20DA6"/>
    <w:multiLevelType w:val="hybridMultilevel"/>
    <w:tmpl w:val="930A7142"/>
    <w:lvl w:ilvl="0" w:tplc="4EE06DF8">
      <w:start w:val="1"/>
      <w:numFmt w:val="decimal"/>
      <w:lvlText w:val="%1."/>
      <w:lvlJc w:val="left"/>
      <w:pPr>
        <w:ind w:left="176" w:hanging="177"/>
      </w:pPr>
      <w:rPr>
        <w:rFonts w:ascii="Carlito" w:eastAsia="Carlito" w:hAnsi="Carlito" w:cs="Carlito" w:hint="default"/>
        <w:b/>
        <w:bCs/>
        <w:color w:val="231F20"/>
        <w:spacing w:val="-1"/>
        <w:w w:val="92"/>
        <w:sz w:val="19"/>
        <w:szCs w:val="19"/>
        <w:lang w:val="en-US" w:eastAsia="en-US" w:bidi="ar-SA"/>
      </w:rPr>
    </w:lvl>
    <w:lvl w:ilvl="1" w:tplc="25D81CDE">
      <w:numFmt w:val="bullet"/>
      <w:lvlText w:val="•"/>
      <w:lvlJc w:val="left"/>
      <w:pPr>
        <w:ind w:left="266" w:hanging="177"/>
      </w:pPr>
      <w:rPr>
        <w:rFonts w:hint="default"/>
        <w:lang w:val="en-US" w:eastAsia="en-US" w:bidi="ar-SA"/>
      </w:rPr>
    </w:lvl>
    <w:lvl w:ilvl="2" w:tplc="E23CD2BC">
      <w:numFmt w:val="bullet"/>
      <w:lvlText w:val="•"/>
      <w:lvlJc w:val="left"/>
      <w:pPr>
        <w:ind w:left="353" w:hanging="177"/>
      </w:pPr>
      <w:rPr>
        <w:rFonts w:hint="default"/>
        <w:lang w:val="en-US" w:eastAsia="en-US" w:bidi="ar-SA"/>
      </w:rPr>
    </w:lvl>
    <w:lvl w:ilvl="3" w:tplc="17846ABA">
      <w:numFmt w:val="bullet"/>
      <w:lvlText w:val="•"/>
      <w:lvlJc w:val="left"/>
      <w:pPr>
        <w:ind w:left="440" w:hanging="177"/>
      </w:pPr>
      <w:rPr>
        <w:rFonts w:hint="default"/>
        <w:lang w:val="en-US" w:eastAsia="en-US" w:bidi="ar-SA"/>
      </w:rPr>
    </w:lvl>
    <w:lvl w:ilvl="4" w:tplc="EB8E34DE">
      <w:numFmt w:val="bullet"/>
      <w:lvlText w:val="•"/>
      <w:lvlJc w:val="left"/>
      <w:pPr>
        <w:ind w:left="527" w:hanging="177"/>
      </w:pPr>
      <w:rPr>
        <w:rFonts w:hint="default"/>
        <w:lang w:val="en-US" w:eastAsia="en-US" w:bidi="ar-SA"/>
      </w:rPr>
    </w:lvl>
    <w:lvl w:ilvl="5" w:tplc="7AF0CF6C">
      <w:numFmt w:val="bullet"/>
      <w:lvlText w:val="•"/>
      <w:lvlJc w:val="left"/>
      <w:pPr>
        <w:ind w:left="614" w:hanging="177"/>
      </w:pPr>
      <w:rPr>
        <w:rFonts w:hint="default"/>
        <w:lang w:val="en-US" w:eastAsia="en-US" w:bidi="ar-SA"/>
      </w:rPr>
    </w:lvl>
    <w:lvl w:ilvl="6" w:tplc="DED669F6">
      <w:numFmt w:val="bullet"/>
      <w:lvlText w:val="•"/>
      <w:lvlJc w:val="left"/>
      <w:pPr>
        <w:ind w:left="701" w:hanging="177"/>
      </w:pPr>
      <w:rPr>
        <w:rFonts w:hint="default"/>
        <w:lang w:val="en-US" w:eastAsia="en-US" w:bidi="ar-SA"/>
      </w:rPr>
    </w:lvl>
    <w:lvl w:ilvl="7" w:tplc="6D528528">
      <w:numFmt w:val="bullet"/>
      <w:lvlText w:val="•"/>
      <w:lvlJc w:val="left"/>
      <w:pPr>
        <w:ind w:left="788" w:hanging="177"/>
      </w:pPr>
      <w:rPr>
        <w:rFonts w:hint="default"/>
        <w:lang w:val="en-US" w:eastAsia="en-US" w:bidi="ar-SA"/>
      </w:rPr>
    </w:lvl>
    <w:lvl w:ilvl="8" w:tplc="C4766440">
      <w:numFmt w:val="bullet"/>
      <w:lvlText w:val="•"/>
      <w:lvlJc w:val="left"/>
      <w:pPr>
        <w:ind w:left="875" w:hanging="177"/>
      </w:pPr>
      <w:rPr>
        <w:rFonts w:hint="default"/>
        <w:lang w:val="en-US" w:eastAsia="en-US" w:bidi="ar-SA"/>
      </w:rPr>
    </w:lvl>
  </w:abstractNum>
  <w:abstractNum w:abstractNumId="181" w15:restartNumberingAfterBreak="0">
    <w:nsid w:val="475C5FB3"/>
    <w:multiLevelType w:val="hybridMultilevel"/>
    <w:tmpl w:val="3FC4CE22"/>
    <w:lvl w:ilvl="0" w:tplc="7F1021E0">
      <w:numFmt w:val="bullet"/>
      <w:lvlText w:val="•"/>
      <w:lvlJc w:val="left"/>
      <w:pPr>
        <w:ind w:left="24" w:hanging="75"/>
      </w:pPr>
      <w:rPr>
        <w:rFonts w:ascii="Arial" w:eastAsia="Arial" w:hAnsi="Arial" w:cs="Arial" w:hint="default"/>
        <w:color w:val="231F20"/>
        <w:w w:val="91"/>
        <w:sz w:val="13"/>
        <w:szCs w:val="13"/>
        <w:lang w:val="en-US" w:eastAsia="en-US" w:bidi="ar-SA"/>
      </w:rPr>
    </w:lvl>
    <w:lvl w:ilvl="1" w:tplc="E48A01CC">
      <w:numFmt w:val="bullet"/>
      <w:lvlText w:val="•"/>
      <w:lvlJc w:val="left"/>
      <w:pPr>
        <w:ind w:left="256" w:hanging="75"/>
      </w:pPr>
      <w:rPr>
        <w:rFonts w:hint="default"/>
        <w:lang w:val="en-US" w:eastAsia="en-US" w:bidi="ar-SA"/>
      </w:rPr>
    </w:lvl>
    <w:lvl w:ilvl="2" w:tplc="3FECC6A4">
      <w:numFmt w:val="bullet"/>
      <w:lvlText w:val="•"/>
      <w:lvlJc w:val="left"/>
      <w:pPr>
        <w:ind w:left="492" w:hanging="75"/>
      </w:pPr>
      <w:rPr>
        <w:rFonts w:hint="default"/>
        <w:lang w:val="en-US" w:eastAsia="en-US" w:bidi="ar-SA"/>
      </w:rPr>
    </w:lvl>
    <w:lvl w:ilvl="3" w:tplc="0F1AC9EC">
      <w:numFmt w:val="bullet"/>
      <w:lvlText w:val="•"/>
      <w:lvlJc w:val="left"/>
      <w:pPr>
        <w:ind w:left="728" w:hanging="75"/>
      </w:pPr>
      <w:rPr>
        <w:rFonts w:hint="default"/>
        <w:lang w:val="en-US" w:eastAsia="en-US" w:bidi="ar-SA"/>
      </w:rPr>
    </w:lvl>
    <w:lvl w:ilvl="4" w:tplc="E1E00D0E">
      <w:numFmt w:val="bullet"/>
      <w:lvlText w:val="•"/>
      <w:lvlJc w:val="left"/>
      <w:pPr>
        <w:ind w:left="964" w:hanging="75"/>
      </w:pPr>
      <w:rPr>
        <w:rFonts w:hint="default"/>
        <w:lang w:val="en-US" w:eastAsia="en-US" w:bidi="ar-SA"/>
      </w:rPr>
    </w:lvl>
    <w:lvl w:ilvl="5" w:tplc="3EACB56A">
      <w:numFmt w:val="bullet"/>
      <w:lvlText w:val="•"/>
      <w:lvlJc w:val="left"/>
      <w:pPr>
        <w:ind w:left="1200" w:hanging="75"/>
      </w:pPr>
      <w:rPr>
        <w:rFonts w:hint="default"/>
        <w:lang w:val="en-US" w:eastAsia="en-US" w:bidi="ar-SA"/>
      </w:rPr>
    </w:lvl>
    <w:lvl w:ilvl="6" w:tplc="43544C96">
      <w:numFmt w:val="bullet"/>
      <w:lvlText w:val="•"/>
      <w:lvlJc w:val="left"/>
      <w:pPr>
        <w:ind w:left="1436" w:hanging="75"/>
      </w:pPr>
      <w:rPr>
        <w:rFonts w:hint="default"/>
        <w:lang w:val="en-US" w:eastAsia="en-US" w:bidi="ar-SA"/>
      </w:rPr>
    </w:lvl>
    <w:lvl w:ilvl="7" w:tplc="AE360404">
      <w:numFmt w:val="bullet"/>
      <w:lvlText w:val="•"/>
      <w:lvlJc w:val="left"/>
      <w:pPr>
        <w:ind w:left="1672" w:hanging="75"/>
      </w:pPr>
      <w:rPr>
        <w:rFonts w:hint="default"/>
        <w:lang w:val="en-US" w:eastAsia="en-US" w:bidi="ar-SA"/>
      </w:rPr>
    </w:lvl>
    <w:lvl w:ilvl="8" w:tplc="89C49C88">
      <w:numFmt w:val="bullet"/>
      <w:lvlText w:val="•"/>
      <w:lvlJc w:val="left"/>
      <w:pPr>
        <w:ind w:left="1908" w:hanging="75"/>
      </w:pPr>
      <w:rPr>
        <w:rFonts w:hint="default"/>
        <w:lang w:val="en-US" w:eastAsia="en-US" w:bidi="ar-SA"/>
      </w:rPr>
    </w:lvl>
  </w:abstractNum>
  <w:abstractNum w:abstractNumId="182" w15:restartNumberingAfterBreak="0">
    <w:nsid w:val="477A56D1"/>
    <w:multiLevelType w:val="hybridMultilevel"/>
    <w:tmpl w:val="D578F58E"/>
    <w:lvl w:ilvl="0" w:tplc="0A2E0802">
      <w:numFmt w:val="bullet"/>
      <w:lvlText w:val="•"/>
      <w:lvlJc w:val="left"/>
      <w:pPr>
        <w:ind w:left="25" w:hanging="76"/>
      </w:pPr>
      <w:rPr>
        <w:rFonts w:ascii="Arial" w:eastAsia="Arial" w:hAnsi="Arial" w:cs="Arial" w:hint="default"/>
        <w:color w:val="231F20"/>
        <w:w w:val="91"/>
        <w:sz w:val="13"/>
        <w:szCs w:val="13"/>
        <w:lang w:val="en-US" w:eastAsia="en-US" w:bidi="ar-SA"/>
      </w:rPr>
    </w:lvl>
    <w:lvl w:ilvl="1" w:tplc="7654DC6A">
      <w:numFmt w:val="bullet"/>
      <w:lvlText w:val="•"/>
      <w:lvlJc w:val="left"/>
      <w:pPr>
        <w:ind w:left="256" w:hanging="76"/>
      </w:pPr>
      <w:rPr>
        <w:rFonts w:hint="default"/>
        <w:lang w:val="en-US" w:eastAsia="en-US" w:bidi="ar-SA"/>
      </w:rPr>
    </w:lvl>
    <w:lvl w:ilvl="2" w:tplc="7408F580">
      <w:numFmt w:val="bullet"/>
      <w:lvlText w:val="•"/>
      <w:lvlJc w:val="left"/>
      <w:pPr>
        <w:ind w:left="493" w:hanging="76"/>
      </w:pPr>
      <w:rPr>
        <w:rFonts w:hint="default"/>
        <w:lang w:val="en-US" w:eastAsia="en-US" w:bidi="ar-SA"/>
      </w:rPr>
    </w:lvl>
    <w:lvl w:ilvl="3" w:tplc="D80E2ED0">
      <w:numFmt w:val="bullet"/>
      <w:lvlText w:val="•"/>
      <w:lvlJc w:val="left"/>
      <w:pPr>
        <w:ind w:left="729" w:hanging="76"/>
      </w:pPr>
      <w:rPr>
        <w:rFonts w:hint="default"/>
        <w:lang w:val="en-US" w:eastAsia="en-US" w:bidi="ar-SA"/>
      </w:rPr>
    </w:lvl>
    <w:lvl w:ilvl="4" w:tplc="43D8399E">
      <w:numFmt w:val="bullet"/>
      <w:lvlText w:val="•"/>
      <w:lvlJc w:val="left"/>
      <w:pPr>
        <w:ind w:left="966" w:hanging="76"/>
      </w:pPr>
      <w:rPr>
        <w:rFonts w:hint="default"/>
        <w:lang w:val="en-US" w:eastAsia="en-US" w:bidi="ar-SA"/>
      </w:rPr>
    </w:lvl>
    <w:lvl w:ilvl="5" w:tplc="D9FAFA7C">
      <w:numFmt w:val="bullet"/>
      <w:lvlText w:val="•"/>
      <w:lvlJc w:val="left"/>
      <w:pPr>
        <w:ind w:left="1203" w:hanging="76"/>
      </w:pPr>
      <w:rPr>
        <w:rFonts w:hint="default"/>
        <w:lang w:val="en-US" w:eastAsia="en-US" w:bidi="ar-SA"/>
      </w:rPr>
    </w:lvl>
    <w:lvl w:ilvl="6" w:tplc="16AABCC8">
      <w:numFmt w:val="bullet"/>
      <w:lvlText w:val="•"/>
      <w:lvlJc w:val="left"/>
      <w:pPr>
        <w:ind w:left="1439" w:hanging="76"/>
      </w:pPr>
      <w:rPr>
        <w:rFonts w:hint="default"/>
        <w:lang w:val="en-US" w:eastAsia="en-US" w:bidi="ar-SA"/>
      </w:rPr>
    </w:lvl>
    <w:lvl w:ilvl="7" w:tplc="D2B051DC">
      <w:numFmt w:val="bullet"/>
      <w:lvlText w:val="•"/>
      <w:lvlJc w:val="left"/>
      <w:pPr>
        <w:ind w:left="1676" w:hanging="76"/>
      </w:pPr>
      <w:rPr>
        <w:rFonts w:hint="default"/>
        <w:lang w:val="en-US" w:eastAsia="en-US" w:bidi="ar-SA"/>
      </w:rPr>
    </w:lvl>
    <w:lvl w:ilvl="8" w:tplc="EF6A339E">
      <w:numFmt w:val="bullet"/>
      <w:lvlText w:val="•"/>
      <w:lvlJc w:val="left"/>
      <w:pPr>
        <w:ind w:left="1912" w:hanging="76"/>
      </w:pPr>
      <w:rPr>
        <w:rFonts w:hint="default"/>
        <w:lang w:val="en-US" w:eastAsia="en-US" w:bidi="ar-SA"/>
      </w:rPr>
    </w:lvl>
  </w:abstractNum>
  <w:abstractNum w:abstractNumId="183" w15:restartNumberingAfterBreak="0">
    <w:nsid w:val="477D4D4D"/>
    <w:multiLevelType w:val="hybridMultilevel"/>
    <w:tmpl w:val="A1746A7C"/>
    <w:lvl w:ilvl="0" w:tplc="9BDCC0B4">
      <w:numFmt w:val="bullet"/>
      <w:lvlText w:val="•"/>
      <w:lvlJc w:val="left"/>
      <w:pPr>
        <w:ind w:left="21" w:hanging="42"/>
      </w:pPr>
      <w:rPr>
        <w:rFonts w:ascii="Arial" w:eastAsia="Arial" w:hAnsi="Arial" w:cs="Arial" w:hint="default"/>
        <w:color w:val="231F20"/>
        <w:w w:val="97"/>
        <w:sz w:val="10"/>
        <w:szCs w:val="10"/>
        <w:lang w:val="en-US" w:eastAsia="en-US" w:bidi="ar-SA"/>
      </w:rPr>
    </w:lvl>
    <w:lvl w:ilvl="1" w:tplc="4A98FD50">
      <w:numFmt w:val="bullet"/>
      <w:lvlText w:val="•"/>
      <w:lvlJc w:val="left"/>
      <w:pPr>
        <w:ind w:left="250" w:hanging="42"/>
      </w:pPr>
      <w:rPr>
        <w:rFonts w:hint="default"/>
        <w:lang w:val="en-US" w:eastAsia="en-US" w:bidi="ar-SA"/>
      </w:rPr>
    </w:lvl>
    <w:lvl w:ilvl="2" w:tplc="843EC536">
      <w:numFmt w:val="bullet"/>
      <w:lvlText w:val="•"/>
      <w:lvlJc w:val="left"/>
      <w:pPr>
        <w:ind w:left="481" w:hanging="42"/>
      </w:pPr>
      <w:rPr>
        <w:rFonts w:hint="default"/>
        <w:lang w:val="en-US" w:eastAsia="en-US" w:bidi="ar-SA"/>
      </w:rPr>
    </w:lvl>
    <w:lvl w:ilvl="3" w:tplc="3264899A">
      <w:numFmt w:val="bullet"/>
      <w:lvlText w:val="•"/>
      <w:lvlJc w:val="left"/>
      <w:pPr>
        <w:ind w:left="712" w:hanging="42"/>
      </w:pPr>
      <w:rPr>
        <w:rFonts w:hint="default"/>
        <w:lang w:val="en-US" w:eastAsia="en-US" w:bidi="ar-SA"/>
      </w:rPr>
    </w:lvl>
    <w:lvl w:ilvl="4" w:tplc="73AE54E8">
      <w:numFmt w:val="bullet"/>
      <w:lvlText w:val="•"/>
      <w:lvlJc w:val="left"/>
      <w:pPr>
        <w:ind w:left="943" w:hanging="42"/>
      </w:pPr>
      <w:rPr>
        <w:rFonts w:hint="default"/>
        <w:lang w:val="en-US" w:eastAsia="en-US" w:bidi="ar-SA"/>
      </w:rPr>
    </w:lvl>
    <w:lvl w:ilvl="5" w:tplc="9D0073AA">
      <w:numFmt w:val="bullet"/>
      <w:lvlText w:val="•"/>
      <w:lvlJc w:val="left"/>
      <w:pPr>
        <w:ind w:left="1174" w:hanging="42"/>
      </w:pPr>
      <w:rPr>
        <w:rFonts w:hint="default"/>
        <w:lang w:val="en-US" w:eastAsia="en-US" w:bidi="ar-SA"/>
      </w:rPr>
    </w:lvl>
    <w:lvl w:ilvl="6" w:tplc="BA585F80">
      <w:numFmt w:val="bullet"/>
      <w:lvlText w:val="•"/>
      <w:lvlJc w:val="left"/>
      <w:pPr>
        <w:ind w:left="1404" w:hanging="42"/>
      </w:pPr>
      <w:rPr>
        <w:rFonts w:hint="default"/>
        <w:lang w:val="en-US" w:eastAsia="en-US" w:bidi="ar-SA"/>
      </w:rPr>
    </w:lvl>
    <w:lvl w:ilvl="7" w:tplc="0F00E484">
      <w:numFmt w:val="bullet"/>
      <w:lvlText w:val="•"/>
      <w:lvlJc w:val="left"/>
      <w:pPr>
        <w:ind w:left="1635" w:hanging="42"/>
      </w:pPr>
      <w:rPr>
        <w:rFonts w:hint="default"/>
        <w:lang w:val="en-US" w:eastAsia="en-US" w:bidi="ar-SA"/>
      </w:rPr>
    </w:lvl>
    <w:lvl w:ilvl="8" w:tplc="2EA4AC9C">
      <w:numFmt w:val="bullet"/>
      <w:lvlText w:val="•"/>
      <w:lvlJc w:val="left"/>
      <w:pPr>
        <w:ind w:left="1866" w:hanging="42"/>
      </w:pPr>
      <w:rPr>
        <w:rFonts w:hint="default"/>
        <w:lang w:val="en-US" w:eastAsia="en-US" w:bidi="ar-SA"/>
      </w:rPr>
    </w:lvl>
  </w:abstractNum>
  <w:abstractNum w:abstractNumId="184" w15:restartNumberingAfterBreak="0">
    <w:nsid w:val="48437893"/>
    <w:multiLevelType w:val="hybridMultilevel"/>
    <w:tmpl w:val="FE603698"/>
    <w:lvl w:ilvl="0" w:tplc="F3D4BBAC">
      <w:numFmt w:val="bullet"/>
      <w:lvlText w:val="o"/>
      <w:lvlJc w:val="left"/>
      <w:pPr>
        <w:ind w:left="838" w:hanging="365"/>
      </w:pPr>
      <w:rPr>
        <w:rFonts w:ascii="Courier New" w:eastAsia="Courier New" w:hAnsi="Courier New" w:cs="Courier New" w:hint="default"/>
        <w:color w:val="231F20"/>
        <w:w w:val="140"/>
        <w:sz w:val="13"/>
        <w:szCs w:val="13"/>
        <w:lang w:val="en-US" w:eastAsia="en-US" w:bidi="ar-SA"/>
      </w:rPr>
    </w:lvl>
    <w:lvl w:ilvl="1" w:tplc="6498B19A">
      <w:numFmt w:val="bullet"/>
      <w:lvlText w:val="•"/>
      <w:lvlJc w:val="left"/>
      <w:pPr>
        <w:ind w:left="1247" w:hanging="365"/>
      </w:pPr>
      <w:rPr>
        <w:rFonts w:hint="default"/>
        <w:lang w:val="en-US" w:eastAsia="en-US" w:bidi="ar-SA"/>
      </w:rPr>
    </w:lvl>
    <w:lvl w:ilvl="2" w:tplc="0A8AAA8E">
      <w:numFmt w:val="bullet"/>
      <w:lvlText w:val="•"/>
      <w:lvlJc w:val="left"/>
      <w:pPr>
        <w:ind w:left="1655" w:hanging="365"/>
      </w:pPr>
      <w:rPr>
        <w:rFonts w:hint="default"/>
        <w:lang w:val="en-US" w:eastAsia="en-US" w:bidi="ar-SA"/>
      </w:rPr>
    </w:lvl>
    <w:lvl w:ilvl="3" w:tplc="9872C3DE">
      <w:numFmt w:val="bullet"/>
      <w:lvlText w:val="•"/>
      <w:lvlJc w:val="left"/>
      <w:pPr>
        <w:ind w:left="2063" w:hanging="365"/>
      </w:pPr>
      <w:rPr>
        <w:rFonts w:hint="default"/>
        <w:lang w:val="en-US" w:eastAsia="en-US" w:bidi="ar-SA"/>
      </w:rPr>
    </w:lvl>
    <w:lvl w:ilvl="4" w:tplc="CEFAC7C2">
      <w:numFmt w:val="bullet"/>
      <w:lvlText w:val="•"/>
      <w:lvlJc w:val="left"/>
      <w:pPr>
        <w:ind w:left="2471" w:hanging="365"/>
      </w:pPr>
      <w:rPr>
        <w:rFonts w:hint="default"/>
        <w:lang w:val="en-US" w:eastAsia="en-US" w:bidi="ar-SA"/>
      </w:rPr>
    </w:lvl>
    <w:lvl w:ilvl="5" w:tplc="FA040FEC">
      <w:numFmt w:val="bullet"/>
      <w:lvlText w:val="•"/>
      <w:lvlJc w:val="left"/>
      <w:pPr>
        <w:ind w:left="2879" w:hanging="365"/>
      </w:pPr>
      <w:rPr>
        <w:rFonts w:hint="default"/>
        <w:lang w:val="en-US" w:eastAsia="en-US" w:bidi="ar-SA"/>
      </w:rPr>
    </w:lvl>
    <w:lvl w:ilvl="6" w:tplc="4A4EF54C">
      <w:numFmt w:val="bullet"/>
      <w:lvlText w:val="•"/>
      <w:lvlJc w:val="left"/>
      <w:pPr>
        <w:ind w:left="3287" w:hanging="365"/>
      </w:pPr>
      <w:rPr>
        <w:rFonts w:hint="default"/>
        <w:lang w:val="en-US" w:eastAsia="en-US" w:bidi="ar-SA"/>
      </w:rPr>
    </w:lvl>
    <w:lvl w:ilvl="7" w:tplc="06BCC1B2">
      <w:numFmt w:val="bullet"/>
      <w:lvlText w:val="•"/>
      <w:lvlJc w:val="left"/>
      <w:pPr>
        <w:ind w:left="3695" w:hanging="365"/>
      </w:pPr>
      <w:rPr>
        <w:rFonts w:hint="default"/>
        <w:lang w:val="en-US" w:eastAsia="en-US" w:bidi="ar-SA"/>
      </w:rPr>
    </w:lvl>
    <w:lvl w:ilvl="8" w:tplc="6C766508">
      <w:numFmt w:val="bullet"/>
      <w:lvlText w:val="•"/>
      <w:lvlJc w:val="left"/>
      <w:pPr>
        <w:ind w:left="4103" w:hanging="365"/>
      </w:pPr>
      <w:rPr>
        <w:rFonts w:hint="default"/>
        <w:lang w:val="en-US" w:eastAsia="en-US" w:bidi="ar-SA"/>
      </w:rPr>
    </w:lvl>
  </w:abstractNum>
  <w:abstractNum w:abstractNumId="185" w15:restartNumberingAfterBreak="0">
    <w:nsid w:val="487F7A21"/>
    <w:multiLevelType w:val="multilevel"/>
    <w:tmpl w:val="2F5425DE"/>
    <w:lvl w:ilvl="0">
      <w:start w:val="8"/>
      <w:numFmt w:val="decimal"/>
      <w:lvlText w:val="%1"/>
      <w:lvlJc w:val="left"/>
      <w:pPr>
        <w:ind w:left="157" w:hanging="683"/>
      </w:pPr>
      <w:rPr>
        <w:rFonts w:hint="default"/>
        <w:lang w:val="en-US" w:eastAsia="en-US" w:bidi="ar-SA"/>
      </w:rPr>
    </w:lvl>
    <w:lvl w:ilvl="1">
      <w:start w:val="15"/>
      <w:numFmt w:val="decimal"/>
      <w:lvlText w:val="%1.%2"/>
      <w:lvlJc w:val="left"/>
      <w:pPr>
        <w:ind w:left="157" w:hanging="683"/>
      </w:pPr>
      <w:rPr>
        <w:rFonts w:hint="default"/>
        <w:lang w:val="en-US" w:eastAsia="en-US" w:bidi="ar-SA"/>
      </w:rPr>
    </w:lvl>
    <w:lvl w:ilvl="2">
      <w:numFmt w:val="decimal"/>
      <w:lvlText w:val="%1.%2.%3"/>
      <w:lvlJc w:val="left"/>
      <w:pPr>
        <w:ind w:left="157" w:hanging="683"/>
        <w:jc w:val="right"/>
      </w:pPr>
      <w:rPr>
        <w:rFonts w:ascii="Arial" w:eastAsia="Arial" w:hAnsi="Arial" w:cs="Arial" w:hint="default"/>
        <w:b/>
        <w:bCs/>
        <w:color w:val="231F20"/>
        <w:w w:val="99"/>
        <w:sz w:val="22"/>
        <w:szCs w:val="22"/>
        <w:lang w:val="en-US" w:eastAsia="en-US" w:bidi="ar-SA"/>
      </w:rPr>
    </w:lvl>
    <w:lvl w:ilvl="3">
      <w:start w:val="1"/>
      <w:numFmt w:val="decimal"/>
      <w:lvlText w:val="%1.%2.%3.%4"/>
      <w:lvlJc w:val="left"/>
      <w:pPr>
        <w:ind w:left="191" w:hanging="838"/>
      </w:pPr>
      <w:rPr>
        <w:rFonts w:ascii="Arial" w:eastAsia="Arial" w:hAnsi="Arial" w:cs="Arial" w:hint="default"/>
        <w:color w:val="231F20"/>
        <w:w w:val="99"/>
        <w:sz w:val="22"/>
        <w:szCs w:val="22"/>
        <w:lang w:val="en-US" w:eastAsia="en-US" w:bidi="ar-SA"/>
      </w:rPr>
    </w:lvl>
    <w:lvl w:ilvl="4">
      <w:numFmt w:val="bullet"/>
      <w:lvlText w:val="•"/>
      <w:lvlJc w:val="left"/>
      <w:pPr>
        <w:ind w:left="3368" w:hanging="838"/>
      </w:pPr>
      <w:rPr>
        <w:rFonts w:hint="default"/>
        <w:lang w:val="en-US" w:eastAsia="en-US" w:bidi="ar-SA"/>
      </w:rPr>
    </w:lvl>
    <w:lvl w:ilvl="5">
      <w:numFmt w:val="bullet"/>
      <w:lvlText w:val="•"/>
      <w:lvlJc w:val="left"/>
      <w:pPr>
        <w:ind w:left="4424" w:hanging="838"/>
      </w:pPr>
      <w:rPr>
        <w:rFonts w:hint="default"/>
        <w:lang w:val="en-US" w:eastAsia="en-US" w:bidi="ar-SA"/>
      </w:rPr>
    </w:lvl>
    <w:lvl w:ilvl="6">
      <w:numFmt w:val="bullet"/>
      <w:lvlText w:val="•"/>
      <w:lvlJc w:val="left"/>
      <w:pPr>
        <w:ind w:left="5480" w:hanging="838"/>
      </w:pPr>
      <w:rPr>
        <w:rFonts w:hint="default"/>
        <w:lang w:val="en-US" w:eastAsia="en-US" w:bidi="ar-SA"/>
      </w:rPr>
    </w:lvl>
    <w:lvl w:ilvl="7">
      <w:numFmt w:val="bullet"/>
      <w:lvlText w:val="•"/>
      <w:lvlJc w:val="left"/>
      <w:pPr>
        <w:ind w:left="6537" w:hanging="838"/>
      </w:pPr>
      <w:rPr>
        <w:rFonts w:hint="default"/>
        <w:lang w:val="en-US" w:eastAsia="en-US" w:bidi="ar-SA"/>
      </w:rPr>
    </w:lvl>
    <w:lvl w:ilvl="8">
      <w:numFmt w:val="bullet"/>
      <w:lvlText w:val="•"/>
      <w:lvlJc w:val="left"/>
      <w:pPr>
        <w:ind w:left="7593" w:hanging="838"/>
      </w:pPr>
      <w:rPr>
        <w:rFonts w:hint="default"/>
        <w:lang w:val="en-US" w:eastAsia="en-US" w:bidi="ar-SA"/>
      </w:rPr>
    </w:lvl>
  </w:abstractNum>
  <w:abstractNum w:abstractNumId="186" w15:restartNumberingAfterBreak="0">
    <w:nsid w:val="49493D0E"/>
    <w:multiLevelType w:val="hybridMultilevel"/>
    <w:tmpl w:val="00DAF5A8"/>
    <w:lvl w:ilvl="0" w:tplc="D834FA18">
      <w:numFmt w:val="bullet"/>
      <w:lvlText w:val="•"/>
      <w:lvlJc w:val="left"/>
      <w:pPr>
        <w:ind w:left="24" w:hanging="75"/>
      </w:pPr>
      <w:rPr>
        <w:rFonts w:ascii="Arial" w:eastAsia="Arial" w:hAnsi="Arial" w:cs="Arial" w:hint="default"/>
        <w:color w:val="231F20"/>
        <w:w w:val="108"/>
        <w:sz w:val="11"/>
        <w:szCs w:val="11"/>
        <w:lang w:val="en-US" w:eastAsia="en-US" w:bidi="ar-SA"/>
      </w:rPr>
    </w:lvl>
    <w:lvl w:ilvl="1" w:tplc="0B946D86">
      <w:numFmt w:val="bullet"/>
      <w:lvlText w:val="•"/>
      <w:lvlJc w:val="left"/>
      <w:pPr>
        <w:ind w:left="255" w:hanging="75"/>
      </w:pPr>
      <w:rPr>
        <w:rFonts w:hint="default"/>
        <w:lang w:val="en-US" w:eastAsia="en-US" w:bidi="ar-SA"/>
      </w:rPr>
    </w:lvl>
    <w:lvl w:ilvl="2" w:tplc="3BCEA0B6">
      <w:numFmt w:val="bullet"/>
      <w:lvlText w:val="•"/>
      <w:lvlJc w:val="left"/>
      <w:pPr>
        <w:ind w:left="490" w:hanging="75"/>
      </w:pPr>
      <w:rPr>
        <w:rFonts w:hint="default"/>
        <w:lang w:val="en-US" w:eastAsia="en-US" w:bidi="ar-SA"/>
      </w:rPr>
    </w:lvl>
    <w:lvl w:ilvl="3" w:tplc="D9B0C270">
      <w:numFmt w:val="bullet"/>
      <w:lvlText w:val="•"/>
      <w:lvlJc w:val="left"/>
      <w:pPr>
        <w:ind w:left="726" w:hanging="75"/>
      </w:pPr>
      <w:rPr>
        <w:rFonts w:hint="default"/>
        <w:lang w:val="en-US" w:eastAsia="en-US" w:bidi="ar-SA"/>
      </w:rPr>
    </w:lvl>
    <w:lvl w:ilvl="4" w:tplc="BD1C53C0">
      <w:numFmt w:val="bullet"/>
      <w:lvlText w:val="•"/>
      <w:lvlJc w:val="left"/>
      <w:pPr>
        <w:ind w:left="961" w:hanging="75"/>
      </w:pPr>
      <w:rPr>
        <w:rFonts w:hint="default"/>
        <w:lang w:val="en-US" w:eastAsia="en-US" w:bidi="ar-SA"/>
      </w:rPr>
    </w:lvl>
    <w:lvl w:ilvl="5" w:tplc="85AE0EF4">
      <w:numFmt w:val="bullet"/>
      <w:lvlText w:val="•"/>
      <w:lvlJc w:val="left"/>
      <w:pPr>
        <w:ind w:left="1197" w:hanging="75"/>
      </w:pPr>
      <w:rPr>
        <w:rFonts w:hint="default"/>
        <w:lang w:val="en-US" w:eastAsia="en-US" w:bidi="ar-SA"/>
      </w:rPr>
    </w:lvl>
    <w:lvl w:ilvl="6" w:tplc="21A62C8C">
      <w:numFmt w:val="bullet"/>
      <w:lvlText w:val="•"/>
      <w:lvlJc w:val="left"/>
      <w:pPr>
        <w:ind w:left="1432" w:hanging="75"/>
      </w:pPr>
      <w:rPr>
        <w:rFonts w:hint="default"/>
        <w:lang w:val="en-US" w:eastAsia="en-US" w:bidi="ar-SA"/>
      </w:rPr>
    </w:lvl>
    <w:lvl w:ilvl="7" w:tplc="4190B5C4">
      <w:numFmt w:val="bullet"/>
      <w:lvlText w:val="•"/>
      <w:lvlJc w:val="left"/>
      <w:pPr>
        <w:ind w:left="1667" w:hanging="75"/>
      </w:pPr>
      <w:rPr>
        <w:rFonts w:hint="default"/>
        <w:lang w:val="en-US" w:eastAsia="en-US" w:bidi="ar-SA"/>
      </w:rPr>
    </w:lvl>
    <w:lvl w:ilvl="8" w:tplc="D4EC1512">
      <w:numFmt w:val="bullet"/>
      <w:lvlText w:val="•"/>
      <w:lvlJc w:val="left"/>
      <w:pPr>
        <w:ind w:left="1903" w:hanging="75"/>
      </w:pPr>
      <w:rPr>
        <w:rFonts w:hint="default"/>
        <w:lang w:val="en-US" w:eastAsia="en-US" w:bidi="ar-SA"/>
      </w:rPr>
    </w:lvl>
  </w:abstractNum>
  <w:abstractNum w:abstractNumId="187" w15:restartNumberingAfterBreak="0">
    <w:nsid w:val="4960191F"/>
    <w:multiLevelType w:val="multilevel"/>
    <w:tmpl w:val="12B86328"/>
    <w:lvl w:ilvl="0">
      <w:start w:val="1"/>
      <w:numFmt w:val="decimal"/>
      <w:lvlText w:val="%1"/>
      <w:lvlJc w:val="left"/>
      <w:pPr>
        <w:ind w:left="507" w:hanging="374"/>
      </w:pPr>
      <w:rPr>
        <w:rFonts w:hint="default"/>
        <w:lang w:val="en-US" w:eastAsia="en-US" w:bidi="ar-SA"/>
      </w:rPr>
    </w:lvl>
    <w:lvl w:ilvl="1">
      <w:start w:val="1"/>
      <w:numFmt w:val="decimal"/>
      <w:lvlText w:val="%1.%2"/>
      <w:lvlJc w:val="left"/>
      <w:pPr>
        <w:ind w:left="507" w:hanging="374"/>
      </w:pPr>
      <w:rPr>
        <w:rFonts w:ascii="Arial" w:eastAsia="Arial" w:hAnsi="Arial" w:cs="Arial" w:hint="default"/>
        <w:color w:val="231F20"/>
        <w:w w:val="99"/>
        <w:sz w:val="24"/>
        <w:szCs w:val="24"/>
        <w:lang w:val="en-US" w:eastAsia="en-US" w:bidi="ar-SA"/>
      </w:rPr>
    </w:lvl>
    <w:lvl w:ilvl="2">
      <w:start w:val="2"/>
      <w:numFmt w:val="decimal"/>
      <w:lvlText w:val="%1.%2.%3"/>
      <w:lvlJc w:val="left"/>
      <w:pPr>
        <w:ind w:left="707" w:hanging="574"/>
      </w:pPr>
      <w:rPr>
        <w:rFonts w:ascii="Arial" w:eastAsia="Arial" w:hAnsi="Arial" w:cs="Arial" w:hint="default"/>
        <w:color w:val="231F20"/>
        <w:w w:val="99"/>
        <w:sz w:val="24"/>
        <w:szCs w:val="24"/>
        <w:lang w:val="en-US" w:eastAsia="en-US" w:bidi="ar-SA"/>
      </w:rPr>
    </w:lvl>
    <w:lvl w:ilvl="3">
      <w:numFmt w:val="bullet"/>
      <w:lvlText w:val="•"/>
      <w:lvlJc w:val="left"/>
      <w:pPr>
        <w:ind w:left="2701" w:hanging="574"/>
      </w:pPr>
      <w:rPr>
        <w:rFonts w:hint="default"/>
        <w:lang w:val="en-US" w:eastAsia="en-US" w:bidi="ar-SA"/>
      </w:rPr>
    </w:lvl>
    <w:lvl w:ilvl="4">
      <w:numFmt w:val="bullet"/>
      <w:lvlText w:val="•"/>
      <w:lvlJc w:val="left"/>
      <w:pPr>
        <w:ind w:left="3701" w:hanging="574"/>
      </w:pPr>
      <w:rPr>
        <w:rFonts w:hint="default"/>
        <w:lang w:val="en-US" w:eastAsia="en-US" w:bidi="ar-SA"/>
      </w:rPr>
    </w:lvl>
    <w:lvl w:ilvl="5">
      <w:numFmt w:val="bullet"/>
      <w:lvlText w:val="•"/>
      <w:lvlJc w:val="left"/>
      <w:pPr>
        <w:ind w:left="4702" w:hanging="574"/>
      </w:pPr>
      <w:rPr>
        <w:rFonts w:hint="default"/>
        <w:lang w:val="en-US" w:eastAsia="en-US" w:bidi="ar-SA"/>
      </w:rPr>
    </w:lvl>
    <w:lvl w:ilvl="6">
      <w:numFmt w:val="bullet"/>
      <w:lvlText w:val="•"/>
      <w:lvlJc w:val="left"/>
      <w:pPr>
        <w:ind w:left="5703" w:hanging="574"/>
      </w:pPr>
      <w:rPr>
        <w:rFonts w:hint="default"/>
        <w:lang w:val="en-US" w:eastAsia="en-US" w:bidi="ar-SA"/>
      </w:rPr>
    </w:lvl>
    <w:lvl w:ilvl="7">
      <w:numFmt w:val="bullet"/>
      <w:lvlText w:val="•"/>
      <w:lvlJc w:val="left"/>
      <w:pPr>
        <w:ind w:left="6703" w:hanging="574"/>
      </w:pPr>
      <w:rPr>
        <w:rFonts w:hint="default"/>
        <w:lang w:val="en-US" w:eastAsia="en-US" w:bidi="ar-SA"/>
      </w:rPr>
    </w:lvl>
    <w:lvl w:ilvl="8">
      <w:numFmt w:val="bullet"/>
      <w:lvlText w:val="•"/>
      <w:lvlJc w:val="left"/>
      <w:pPr>
        <w:ind w:left="7704" w:hanging="574"/>
      </w:pPr>
      <w:rPr>
        <w:rFonts w:hint="default"/>
        <w:lang w:val="en-US" w:eastAsia="en-US" w:bidi="ar-SA"/>
      </w:rPr>
    </w:lvl>
  </w:abstractNum>
  <w:abstractNum w:abstractNumId="188" w15:restartNumberingAfterBreak="0">
    <w:nsid w:val="4A833E1E"/>
    <w:multiLevelType w:val="multilevel"/>
    <w:tmpl w:val="63E606FE"/>
    <w:lvl w:ilvl="0">
      <w:start w:val="5"/>
      <w:numFmt w:val="decimal"/>
      <w:lvlText w:val="%1"/>
      <w:lvlJc w:val="left"/>
      <w:pPr>
        <w:ind w:left="143" w:hanging="674"/>
      </w:pPr>
      <w:rPr>
        <w:rFonts w:hint="default"/>
        <w:lang w:val="en-US" w:eastAsia="en-US" w:bidi="ar-SA"/>
      </w:rPr>
    </w:lvl>
    <w:lvl w:ilvl="1">
      <w:start w:val="7"/>
      <w:numFmt w:val="decimal"/>
      <w:lvlText w:val="%1.%2"/>
      <w:lvlJc w:val="left"/>
      <w:pPr>
        <w:ind w:left="143" w:hanging="674"/>
      </w:pPr>
      <w:rPr>
        <w:rFonts w:hint="default"/>
        <w:lang w:val="en-US" w:eastAsia="en-US" w:bidi="ar-SA"/>
      </w:rPr>
    </w:lvl>
    <w:lvl w:ilvl="2">
      <w:start w:val="2"/>
      <w:numFmt w:val="decimal"/>
      <w:lvlText w:val="%1.%2.%3"/>
      <w:lvlJc w:val="left"/>
      <w:pPr>
        <w:ind w:left="143" w:hanging="674"/>
      </w:pPr>
      <w:rPr>
        <w:rFonts w:hint="default"/>
        <w:lang w:val="en-US" w:eastAsia="en-US" w:bidi="ar-SA"/>
      </w:rPr>
    </w:lvl>
    <w:lvl w:ilvl="3">
      <w:start w:val="1"/>
      <w:numFmt w:val="decimal"/>
      <w:lvlText w:val="%1.%2.%3.%4"/>
      <w:lvlJc w:val="left"/>
      <w:pPr>
        <w:ind w:left="143" w:hanging="674"/>
      </w:pPr>
      <w:rPr>
        <w:rFonts w:ascii="Arial" w:eastAsia="Arial" w:hAnsi="Arial" w:cs="Arial" w:hint="default"/>
        <w:color w:val="231F20"/>
        <w:w w:val="99"/>
        <w:sz w:val="20"/>
        <w:szCs w:val="20"/>
        <w:lang w:val="en-US" w:eastAsia="en-US" w:bidi="ar-SA"/>
      </w:rPr>
    </w:lvl>
    <w:lvl w:ilvl="4">
      <w:numFmt w:val="bullet"/>
      <w:lvlText w:val="•"/>
      <w:lvlJc w:val="left"/>
      <w:pPr>
        <w:ind w:left="3966" w:hanging="674"/>
      </w:pPr>
      <w:rPr>
        <w:rFonts w:hint="default"/>
        <w:lang w:val="en-US" w:eastAsia="en-US" w:bidi="ar-SA"/>
      </w:rPr>
    </w:lvl>
    <w:lvl w:ilvl="5">
      <w:numFmt w:val="bullet"/>
      <w:lvlText w:val="•"/>
      <w:lvlJc w:val="left"/>
      <w:pPr>
        <w:ind w:left="4922" w:hanging="674"/>
      </w:pPr>
      <w:rPr>
        <w:rFonts w:hint="default"/>
        <w:lang w:val="en-US" w:eastAsia="en-US" w:bidi="ar-SA"/>
      </w:rPr>
    </w:lvl>
    <w:lvl w:ilvl="6">
      <w:numFmt w:val="bullet"/>
      <w:lvlText w:val="•"/>
      <w:lvlJc w:val="left"/>
      <w:pPr>
        <w:ind w:left="5879" w:hanging="674"/>
      </w:pPr>
      <w:rPr>
        <w:rFonts w:hint="default"/>
        <w:lang w:val="en-US" w:eastAsia="en-US" w:bidi="ar-SA"/>
      </w:rPr>
    </w:lvl>
    <w:lvl w:ilvl="7">
      <w:numFmt w:val="bullet"/>
      <w:lvlText w:val="•"/>
      <w:lvlJc w:val="left"/>
      <w:pPr>
        <w:ind w:left="6835" w:hanging="674"/>
      </w:pPr>
      <w:rPr>
        <w:rFonts w:hint="default"/>
        <w:lang w:val="en-US" w:eastAsia="en-US" w:bidi="ar-SA"/>
      </w:rPr>
    </w:lvl>
    <w:lvl w:ilvl="8">
      <w:numFmt w:val="bullet"/>
      <w:lvlText w:val="•"/>
      <w:lvlJc w:val="left"/>
      <w:pPr>
        <w:ind w:left="7792" w:hanging="674"/>
      </w:pPr>
      <w:rPr>
        <w:rFonts w:hint="default"/>
        <w:lang w:val="en-US" w:eastAsia="en-US" w:bidi="ar-SA"/>
      </w:rPr>
    </w:lvl>
  </w:abstractNum>
  <w:abstractNum w:abstractNumId="189" w15:restartNumberingAfterBreak="0">
    <w:nsid w:val="4A834F92"/>
    <w:multiLevelType w:val="hybridMultilevel"/>
    <w:tmpl w:val="9E8CFE54"/>
    <w:lvl w:ilvl="0" w:tplc="80DC0D10">
      <w:numFmt w:val="bullet"/>
      <w:lvlText w:val="•"/>
      <w:lvlJc w:val="left"/>
      <w:pPr>
        <w:ind w:left="25" w:hanging="80"/>
      </w:pPr>
      <w:rPr>
        <w:rFonts w:ascii="Arial" w:eastAsia="Arial" w:hAnsi="Arial" w:cs="Arial" w:hint="default"/>
        <w:color w:val="231F20"/>
        <w:w w:val="105"/>
        <w:sz w:val="12"/>
        <w:szCs w:val="12"/>
        <w:lang w:val="en-US" w:eastAsia="en-US" w:bidi="ar-SA"/>
      </w:rPr>
    </w:lvl>
    <w:lvl w:ilvl="1" w:tplc="6E3A1B58">
      <w:numFmt w:val="bullet"/>
      <w:lvlText w:val="•"/>
      <w:lvlJc w:val="left"/>
      <w:pPr>
        <w:ind w:left="271" w:hanging="80"/>
      </w:pPr>
      <w:rPr>
        <w:rFonts w:hint="default"/>
        <w:lang w:val="en-US" w:eastAsia="en-US" w:bidi="ar-SA"/>
      </w:rPr>
    </w:lvl>
    <w:lvl w:ilvl="2" w:tplc="3DD8193A">
      <w:numFmt w:val="bullet"/>
      <w:lvlText w:val="•"/>
      <w:lvlJc w:val="left"/>
      <w:pPr>
        <w:ind w:left="522" w:hanging="80"/>
      </w:pPr>
      <w:rPr>
        <w:rFonts w:hint="default"/>
        <w:lang w:val="en-US" w:eastAsia="en-US" w:bidi="ar-SA"/>
      </w:rPr>
    </w:lvl>
    <w:lvl w:ilvl="3" w:tplc="0664AD98">
      <w:numFmt w:val="bullet"/>
      <w:lvlText w:val="•"/>
      <w:lvlJc w:val="left"/>
      <w:pPr>
        <w:ind w:left="773" w:hanging="80"/>
      </w:pPr>
      <w:rPr>
        <w:rFonts w:hint="default"/>
        <w:lang w:val="en-US" w:eastAsia="en-US" w:bidi="ar-SA"/>
      </w:rPr>
    </w:lvl>
    <w:lvl w:ilvl="4" w:tplc="1B6073C4">
      <w:numFmt w:val="bullet"/>
      <w:lvlText w:val="•"/>
      <w:lvlJc w:val="left"/>
      <w:pPr>
        <w:ind w:left="1024" w:hanging="80"/>
      </w:pPr>
      <w:rPr>
        <w:rFonts w:hint="default"/>
        <w:lang w:val="en-US" w:eastAsia="en-US" w:bidi="ar-SA"/>
      </w:rPr>
    </w:lvl>
    <w:lvl w:ilvl="5" w:tplc="95100492">
      <w:numFmt w:val="bullet"/>
      <w:lvlText w:val="•"/>
      <w:lvlJc w:val="left"/>
      <w:pPr>
        <w:ind w:left="1275" w:hanging="80"/>
      </w:pPr>
      <w:rPr>
        <w:rFonts w:hint="default"/>
        <w:lang w:val="en-US" w:eastAsia="en-US" w:bidi="ar-SA"/>
      </w:rPr>
    </w:lvl>
    <w:lvl w:ilvl="6" w:tplc="CFCA03FC">
      <w:numFmt w:val="bullet"/>
      <w:lvlText w:val="•"/>
      <w:lvlJc w:val="left"/>
      <w:pPr>
        <w:ind w:left="1526" w:hanging="80"/>
      </w:pPr>
      <w:rPr>
        <w:rFonts w:hint="default"/>
        <w:lang w:val="en-US" w:eastAsia="en-US" w:bidi="ar-SA"/>
      </w:rPr>
    </w:lvl>
    <w:lvl w:ilvl="7" w:tplc="2CEEFB26">
      <w:numFmt w:val="bullet"/>
      <w:lvlText w:val="•"/>
      <w:lvlJc w:val="left"/>
      <w:pPr>
        <w:ind w:left="1777" w:hanging="80"/>
      </w:pPr>
      <w:rPr>
        <w:rFonts w:hint="default"/>
        <w:lang w:val="en-US" w:eastAsia="en-US" w:bidi="ar-SA"/>
      </w:rPr>
    </w:lvl>
    <w:lvl w:ilvl="8" w:tplc="72B628A4">
      <w:numFmt w:val="bullet"/>
      <w:lvlText w:val="•"/>
      <w:lvlJc w:val="left"/>
      <w:pPr>
        <w:ind w:left="2028" w:hanging="80"/>
      </w:pPr>
      <w:rPr>
        <w:rFonts w:hint="default"/>
        <w:lang w:val="en-US" w:eastAsia="en-US" w:bidi="ar-SA"/>
      </w:rPr>
    </w:lvl>
  </w:abstractNum>
  <w:abstractNum w:abstractNumId="190" w15:restartNumberingAfterBreak="0">
    <w:nsid w:val="4ADA4341"/>
    <w:multiLevelType w:val="hybridMultilevel"/>
    <w:tmpl w:val="A6C0B160"/>
    <w:lvl w:ilvl="0" w:tplc="44B42BD4">
      <w:numFmt w:val="bullet"/>
      <w:lvlText w:val="•"/>
      <w:lvlJc w:val="left"/>
      <w:pPr>
        <w:ind w:left="26" w:hanging="80"/>
      </w:pPr>
      <w:rPr>
        <w:rFonts w:ascii="Arial" w:eastAsia="Arial" w:hAnsi="Arial" w:cs="Arial" w:hint="default"/>
        <w:color w:val="231F20"/>
        <w:w w:val="96"/>
        <w:sz w:val="13"/>
        <w:szCs w:val="13"/>
        <w:lang w:val="en-US" w:eastAsia="en-US" w:bidi="ar-SA"/>
      </w:rPr>
    </w:lvl>
    <w:lvl w:ilvl="1" w:tplc="EA14934C">
      <w:numFmt w:val="bullet"/>
      <w:lvlText w:val="•"/>
      <w:lvlJc w:val="left"/>
      <w:pPr>
        <w:ind w:left="269" w:hanging="80"/>
      </w:pPr>
      <w:rPr>
        <w:rFonts w:hint="default"/>
        <w:lang w:val="en-US" w:eastAsia="en-US" w:bidi="ar-SA"/>
      </w:rPr>
    </w:lvl>
    <w:lvl w:ilvl="2" w:tplc="72746D18">
      <w:numFmt w:val="bullet"/>
      <w:lvlText w:val="•"/>
      <w:lvlJc w:val="left"/>
      <w:pPr>
        <w:ind w:left="518" w:hanging="80"/>
      </w:pPr>
      <w:rPr>
        <w:rFonts w:hint="default"/>
        <w:lang w:val="en-US" w:eastAsia="en-US" w:bidi="ar-SA"/>
      </w:rPr>
    </w:lvl>
    <w:lvl w:ilvl="3" w:tplc="89D40F82">
      <w:numFmt w:val="bullet"/>
      <w:lvlText w:val="•"/>
      <w:lvlJc w:val="left"/>
      <w:pPr>
        <w:ind w:left="767" w:hanging="80"/>
      </w:pPr>
      <w:rPr>
        <w:rFonts w:hint="default"/>
        <w:lang w:val="en-US" w:eastAsia="en-US" w:bidi="ar-SA"/>
      </w:rPr>
    </w:lvl>
    <w:lvl w:ilvl="4" w:tplc="3CD2BD50">
      <w:numFmt w:val="bullet"/>
      <w:lvlText w:val="•"/>
      <w:lvlJc w:val="left"/>
      <w:pPr>
        <w:ind w:left="1017" w:hanging="80"/>
      </w:pPr>
      <w:rPr>
        <w:rFonts w:hint="default"/>
        <w:lang w:val="en-US" w:eastAsia="en-US" w:bidi="ar-SA"/>
      </w:rPr>
    </w:lvl>
    <w:lvl w:ilvl="5" w:tplc="57D4E8F8">
      <w:numFmt w:val="bullet"/>
      <w:lvlText w:val="•"/>
      <w:lvlJc w:val="left"/>
      <w:pPr>
        <w:ind w:left="1266" w:hanging="80"/>
      </w:pPr>
      <w:rPr>
        <w:rFonts w:hint="default"/>
        <w:lang w:val="en-US" w:eastAsia="en-US" w:bidi="ar-SA"/>
      </w:rPr>
    </w:lvl>
    <w:lvl w:ilvl="6" w:tplc="05BAF646">
      <w:numFmt w:val="bullet"/>
      <w:lvlText w:val="•"/>
      <w:lvlJc w:val="left"/>
      <w:pPr>
        <w:ind w:left="1515" w:hanging="80"/>
      </w:pPr>
      <w:rPr>
        <w:rFonts w:hint="default"/>
        <w:lang w:val="en-US" w:eastAsia="en-US" w:bidi="ar-SA"/>
      </w:rPr>
    </w:lvl>
    <w:lvl w:ilvl="7" w:tplc="8FD0C49E">
      <w:numFmt w:val="bullet"/>
      <w:lvlText w:val="•"/>
      <w:lvlJc w:val="left"/>
      <w:pPr>
        <w:ind w:left="1765" w:hanging="80"/>
      </w:pPr>
      <w:rPr>
        <w:rFonts w:hint="default"/>
        <w:lang w:val="en-US" w:eastAsia="en-US" w:bidi="ar-SA"/>
      </w:rPr>
    </w:lvl>
    <w:lvl w:ilvl="8" w:tplc="7CDC65BC">
      <w:numFmt w:val="bullet"/>
      <w:lvlText w:val="•"/>
      <w:lvlJc w:val="left"/>
      <w:pPr>
        <w:ind w:left="2014" w:hanging="80"/>
      </w:pPr>
      <w:rPr>
        <w:rFonts w:hint="default"/>
        <w:lang w:val="en-US" w:eastAsia="en-US" w:bidi="ar-SA"/>
      </w:rPr>
    </w:lvl>
  </w:abstractNum>
  <w:abstractNum w:abstractNumId="191" w15:restartNumberingAfterBreak="0">
    <w:nsid w:val="4B163FBD"/>
    <w:multiLevelType w:val="hybridMultilevel"/>
    <w:tmpl w:val="DBD05678"/>
    <w:lvl w:ilvl="0" w:tplc="BB28647A">
      <w:numFmt w:val="bullet"/>
      <w:lvlText w:val="•"/>
      <w:lvlJc w:val="left"/>
      <w:pPr>
        <w:ind w:left="23" w:hanging="69"/>
      </w:pPr>
      <w:rPr>
        <w:rFonts w:ascii="Arial" w:eastAsia="Arial" w:hAnsi="Arial" w:cs="Arial" w:hint="default"/>
        <w:color w:val="231F20"/>
        <w:w w:val="80"/>
        <w:sz w:val="15"/>
        <w:szCs w:val="15"/>
        <w:lang w:val="en-US" w:eastAsia="en-US" w:bidi="ar-SA"/>
      </w:rPr>
    </w:lvl>
    <w:lvl w:ilvl="1" w:tplc="337EDBB6">
      <w:numFmt w:val="bullet"/>
      <w:lvlText w:val="•"/>
      <w:lvlJc w:val="left"/>
      <w:pPr>
        <w:ind w:left="258" w:hanging="69"/>
      </w:pPr>
      <w:rPr>
        <w:rFonts w:hint="default"/>
        <w:lang w:val="en-US" w:eastAsia="en-US" w:bidi="ar-SA"/>
      </w:rPr>
    </w:lvl>
    <w:lvl w:ilvl="2" w:tplc="58201AE4">
      <w:numFmt w:val="bullet"/>
      <w:lvlText w:val="•"/>
      <w:lvlJc w:val="left"/>
      <w:pPr>
        <w:ind w:left="496" w:hanging="69"/>
      </w:pPr>
      <w:rPr>
        <w:rFonts w:hint="default"/>
        <w:lang w:val="en-US" w:eastAsia="en-US" w:bidi="ar-SA"/>
      </w:rPr>
    </w:lvl>
    <w:lvl w:ilvl="3" w:tplc="DFE847DA">
      <w:numFmt w:val="bullet"/>
      <w:lvlText w:val="•"/>
      <w:lvlJc w:val="left"/>
      <w:pPr>
        <w:ind w:left="734" w:hanging="69"/>
      </w:pPr>
      <w:rPr>
        <w:rFonts w:hint="default"/>
        <w:lang w:val="en-US" w:eastAsia="en-US" w:bidi="ar-SA"/>
      </w:rPr>
    </w:lvl>
    <w:lvl w:ilvl="4" w:tplc="0728F01A">
      <w:numFmt w:val="bullet"/>
      <w:lvlText w:val="•"/>
      <w:lvlJc w:val="left"/>
      <w:pPr>
        <w:ind w:left="973" w:hanging="69"/>
      </w:pPr>
      <w:rPr>
        <w:rFonts w:hint="default"/>
        <w:lang w:val="en-US" w:eastAsia="en-US" w:bidi="ar-SA"/>
      </w:rPr>
    </w:lvl>
    <w:lvl w:ilvl="5" w:tplc="94308DA4">
      <w:numFmt w:val="bullet"/>
      <w:lvlText w:val="•"/>
      <w:lvlJc w:val="left"/>
      <w:pPr>
        <w:ind w:left="1211" w:hanging="69"/>
      </w:pPr>
      <w:rPr>
        <w:rFonts w:hint="default"/>
        <w:lang w:val="en-US" w:eastAsia="en-US" w:bidi="ar-SA"/>
      </w:rPr>
    </w:lvl>
    <w:lvl w:ilvl="6" w:tplc="30DA648C">
      <w:numFmt w:val="bullet"/>
      <w:lvlText w:val="•"/>
      <w:lvlJc w:val="left"/>
      <w:pPr>
        <w:ind w:left="1449" w:hanging="69"/>
      </w:pPr>
      <w:rPr>
        <w:rFonts w:hint="default"/>
        <w:lang w:val="en-US" w:eastAsia="en-US" w:bidi="ar-SA"/>
      </w:rPr>
    </w:lvl>
    <w:lvl w:ilvl="7" w:tplc="DEE6C5BC">
      <w:numFmt w:val="bullet"/>
      <w:lvlText w:val="•"/>
      <w:lvlJc w:val="left"/>
      <w:pPr>
        <w:ind w:left="1688" w:hanging="69"/>
      </w:pPr>
      <w:rPr>
        <w:rFonts w:hint="default"/>
        <w:lang w:val="en-US" w:eastAsia="en-US" w:bidi="ar-SA"/>
      </w:rPr>
    </w:lvl>
    <w:lvl w:ilvl="8" w:tplc="7AAEEEA4">
      <w:numFmt w:val="bullet"/>
      <w:lvlText w:val="•"/>
      <w:lvlJc w:val="left"/>
      <w:pPr>
        <w:ind w:left="1926" w:hanging="69"/>
      </w:pPr>
      <w:rPr>
        <w:rFonts w:hint="default"/>
        <w:lang w:val="en-US" w:eastAsia="en-US" w:bidi="ar-SA"/>
      </w:rPr>
    </w:lvl>
  </w:abstractNum>
  <w:abstractNum w:abstractNumId="192" w15:restartNumberingAfterBreak="0">
    <w:nsid w:val="4CA81577"/>
    <w:multiLevelType w:val="hybridMultilevel"/>
    <w:tmpl w:val="63E83CF4"/>
    <w:lvl w:ilvl="0" w:tplc="C784BBF6">
      <w:numFmt w:val="bullet"/>
      <w:lvlText w:val="•"/>
      <w:lvlJc w:val="left"/>
      <w:pPr>
        <w:ind w:left="21" w:hanging="68"/>
      </w:pPr>
      <w:rPr>
        <w:rFonts w:ascii="Arial" w:eastAsia="Arial" w:hAnsi="Arial" w:cs="Arial" w:hint="default"/>
        <w:color w:val="231F20"/>
        <w:w w:val="84"/>
        <w:sz w:val="14"/>
        <w:szCs w:val="14"/>
        <w:lang w:val="en-US" w:eastAsia="en-US" w:bidi="ar-SA"/>
      </w:rPr>
    </w:lvl>
    <w:lvl w:ilvl="1" w:tplc="83502268">
      <w:numFmt w:val="bullet"/>
      <w:lvlText w:val="•"/>
      <w:lvlJc w:val="left"/>
      <w:pPr>
        <w:ind w:left="254" w:hanging="68"/>
      </w:pPr>
      <w:rPr>
        <w:rFonts w:hint="default"/>
        <w:lang w:val="en-US" w:eastAsia="en-US" w:bidi="ar-SA"/>
      </w:rPr>
    </w:lvl>
    <w:lvl w:ilvl="2" w:tplc="73980742">
      <w:numFmt w:val="bullet"/>
      <w:lvlText w:val="•"/>
      <w:lvlJc w:val="left"/>
      <w:pPr>
        <w:ind w:left="488" w:hanging="68"/>
      </w:pPr>
      <w:rPr>
        <w:rFonts w:hint="default"/>
        <w:lang w:val="en-US" w:eastAsia="en-US" w:bidi="ar-SA"/>
      </w:rPr>
    </w:lvl>
    <w:lvl w:ilvl="3" w:tplc="E8B4F532">
      <w:numFmt w:val="bullet"/>
      <w:lvlText w:val="•"/>
      <w:lvlJc w:val="left"/>
      <w:pPr>
        <w:ind w:left="722" w:hanging="68"/>
      </w:pPr>
      <w:rPr>
        <w:rFonts w:hint="default"/>
        <w:lang w:val="en-US" w:eastAsia="en-US" w:bidi="ar-SA"/>
      </w:rPr>
    </w:lvl>
    <w:lvl w:ilvl="4" w:tplc="2DAEB6A4">
      <w:numFmt w:val="bullet"/>
      <w:lvlText w:val="•"/>
      <w:lvlJc w:val="left"/>
      <w:pPr>
        <w:ind w:left="957" w:hanging="68"/>
      </w:pPr>
      <w:rPr>
        <w:rFonts w:hint="default"/>
        <w:lang w:val="en-US" w:eastAsia="en-US" w:bidi="ar-SA"/>
      </w:rPr>
    </w:lvl>
    <w:lvl w:ilvl="5" w:tplc="2BF4B54E">
      <w:numFmt w:val="bullet"/>
      <w:lvlText w:val="•"/>
      <w:lvlJc w:val="left"/>
      <w:pPr>
        <w:ind w:left="1191" w:hanging="68"/>
      </w:pPr>
      <w:rPr>
        <w:rFonts w:hint="default"/>
        <w:lang w:val="en-US" w:eastAsia="en-US" w:bidi="ar-SA"/>
      </w:rPr>
    </w:lvl>
    <w:lvl w:ilvl="6" w:tplc="F23A28F0">
      <w:numFmt w:val="bullet"/>
      <w:lvlText w:val="•"/>
      <w:lvlJc w:val="left"/>
      <w:pPr>
        <w:ind w:left="1425" w:hanging="68"/>
      </w:pPr>
      <w:rPr>
        <w:rFonts w:hint="default"/>
        <w:lang w:val="en-US" w:eastAsia="en-US" w:bidi="ar-SA"/>
      </w:rPr>
    </w:lvl>
    <w:lvl w:ilvl="7" w:tplc="06A2CD9C">
      <w:numFmt w:val="bullet"/>
      <w:lvlText w:val="•"/>
      <w:lvlJc w:val="left"/>
      <w:pPr>
        <w:ind w:left="1660" w:hanging="68"/>
      </w:pPr>
      <w:rPr>
        <w:rFonts w:hint="default"/>
        <w:lang w:val="en-US" w:eastAsia="en-US" w:bidi="ar-SA"/>
      </w:rPr>
    </w:lvl>
    <w:lvl w:ilvl="8" w:tplc="978E8BF0">
      <w:numFmt w:val="bullet"/>
      <w:lvlText w:val="•"/>
      <w:lvlJc w:val="left"/>
      <w:pPr>
        <w:ind w:left="1894" w:hanging="68"/>
      </w:pPr>
      <w:rPr>
        <w:rFonts w:hint="default"/>
        <w:lang w:val="en-US" w:eastAsia="en-US" w:bidi="ar-SA"/>
      </w:rPr>
    </w:lvl>
  </w:abstractNum>
  <w:abstractNum w:abstractNumId="193" w15:restartNumberingAfterBreak="0">
    <w:nsid w:val="4D6D052A"/>
    <w:multiLevelType w:val="hybridMultilevel"/>
    <w:tmpl w:val="B28ACB84"/>
    <w:lvl w:ilvl="0" w:tplc="17A8D0BA">
      <w:numFmt w:val="bullet"/>
      <w:lvlText w:val="•"/>
      <w:lvlJc w:val="left"/>
      <w:pPr>
        <w:ind w:left="25" w:hanging="74"/>
      </w:pPr>
      <w:rPr>
        <w:rFonts w:ascii="Arial" w:eastAsia="Arial" w:hAnsi="Arial" w:cs="Arial" w:hint="default"/>
        <w:color w:val="231F20"/>
        <w:w w:val="83"/>
        <w:sz w:val="14"/>
        <w:szCs w:val="14"/>
        <w:lang w:val="en-US" w:eastAsia="en-US" w:bidi="ar-SA"/>
      </w:rPr>
    </w:lvl>
    <w:lvl w:ilvl="1" w:tplc="0B761066">
      <w:numFmt w:val="bullet"/>
      <w:lvlText w:val="•"/>
      <w:lvlJc w:val="left"/>
      <w:pPr>
        <w:ind w:left="252" w:hanging="74"/>
      </w:pPr>
      <w:rPr>
        <w:rFonts w:hint="default"/>
        <w:lang w:val="en-US" w:eastAsia="en-US" w:bidi="ar-SA"/>
      </w:rPr>
    </w:lvl>
    <w:lvl w:ilvl="2" w:tplc="91ECA0C4">
      <w:numFmt w:val="bullet"/>
      <w:lvlText w:val="•"/>
      <w:lvlJc w:val="left"/>
      <w:pPr>
        <w:ind w:left="484" w:hanging="74"/>
      </w:pPr>
      <w:rPr>
        <w:rFonts w:hint="default"/>
        <w:lang w:val="en-US" w:eastAsia="en-US" w:bidi="ar-SA"/>
      </w:rPr>
    </w:lvl>
    <w:lvl w:ilvl="3" w:tplc="099ACFDE">
      <w:numFmt w:val="bullet"/>
      <w:lvlText w:val="•"/>
      <w:lvlJc w:val="left"/>
      <w:pPr>
        <w:ind w:left="716" w:hanging="74"/>
      </w:pPr>
      <w:rPr>
        <w:rFonts w:hint="default"/>
        <w:lang w:val="en-US" w:eastAsia="en-US" w:bidi="ar-SA"/>
      </w:rPr>
    </w:lvl>
    <w:lvl w:ilvl="4" w:tplc="1A50EF00">
      <w:numFmt w:val="bullet"/>
      <w:lvlText w:val="•"/>
      <w:lvlJc w:val="left"/>
      <w:pPr>
        <w:ind w:left="948" w:hanging="74"/>
      </w:pPr>
      <w:rPr>
        <w:rFonts w:hint="default"/>
        <w:lang w:val="en-US" w:eastAsia="en-US" w:bidi="ar-SA"/>
      </w:rPr>
    </w:lvl>
    <w:lvl w:ilvl="5" w:tplc="576C2DEC">
      <w:numFmt w:val="bullet"/>
      <w:lvlText w:val="•"/>
      <w:lvlJc w:val="left"/>
      <w:pPr>
        <w:ind w:left="1181" w:hanging="74"/>
      </w:pPr>
      <w:rPr>
        <w:rFonts w:hint="default"/>
        <w:lang w:val="en-US" w:eastAsia="en-US" w:bidi="ar-SA"/>
      </w:rPr>
    </w:lvl>
    <w:lvl w:ilvl="6" w:tplc="25301E8A">
      <w:numFmt w:val="bullet"/>
      <w:lvlText w:val="•"/>
      <w:lvlJc w:val="left"/>
      <w:pPr>
        <w:ind w:left="1413" w:hanging="74"/>
      </w:pPr>
      <w:rPr>
        <w:rFonts w:hint="default"/>
        <w:lang w:val="en-US" w:eastAsia="en-US" w:bidi="ar-SA"/>
      </w:rPr>
    </w:lvl>
    <w:lvl w:ilvl="7" w:tplc="084A7244">
      <w:numFmt w:val="bullet"/>
      <w:lvlText w:val="•"/>
      <w:lvlJc w:val="left"/>
      <w:pPr>
        <w:ind w:left="1645" w:hanging="74"/>
      </w:pPr>
      <w:rPr>
        <w:rFonts w:hint="default"/>
        <w:lang w:val="en-US" w:eastAsia="en-US" w:bidi="ar-SA"/>
      </w:rPr>
    </w:lvl>
    <w:lvl w:ilvl="8" w:tplc="0C86E514">
      <w:numFmt w:val="bullet"/>
      <w:lvlText w:val="•"/>
      <w:lvlJc w:val="left"/>
      <w:pPr>
        <w:ind w:left="1877" w:hanging="74"/>
      </w:pPr>
      <w:rPr>
        <w:rFonts w:hint="default"/>
        <w:lang w:val="en-US" w:eastAsia="en-US" w:bidi="ar-SA"/>
      </w:rPr>
    </w:lvl>
  </w:abstractNum>
  <w:abstractNum w:abstractNumId="194" w15:restartNumberingAfterBreak="0">
    <w:nsid w:val="4D881982"/>
    <w:multiLevelType w:val="hybridMultilevel"/>
    <w:tmpl w:val="AC2CC856"/>
    <w:lvl w:ilvl="0" w:tplc="44EA39EC">
      <w:numFmt w:val="bullet"/>
      <w:lvlText w:val="•"/>
      <w:lvlJc w:val="left"/>
      <w:pPr>
        <w:ind w:left="23" w:hanging="68"/>
      </w:pPr>
      <w:rPr>
        <w:rFonts w:ascii="Arial" w:eastAsia="Arial" w:hAnsi="Arial" w:cs="Arial" w:hint="default"/>
        <w:color w:val="231F20"/>
        <w:w w:val="53"/>
        <w:sz w:val="22"/>
        <w:szCs w:val="22"/>
        <w:lang w:val="en-US" w:eastAsia="en-US" w:bidi="ar-SA"/>
      </w:rPr>
    </w:lvl>
    <w:lvl w:ilvl="1" w:tplc="75EC4294">
      <w:numFmt w:val="bullet"/>
      <w:lvlText w:val="•"/>
      <w:lvlJc w:val="left"/>
      <w:pPr>
        <w:ind w:left="252" w:hanging="68"/>
      </w:pPr>
      <w:rPr>
        <w:rFonts w:hint="default"/>
        <w:lang w:val="en-US" w:eastAsia="en-US" w:bidi="ar-SA"/>
      </w:rPr>
    </w:lvl>
    <w:lvl w:ilvl="2" w:tplc="83722108">
      <w:numFmt w:val="bullet"/>
      <w:lvlText w:val="•"/>
      <w:lvlJc w:val="left"/>
      <w:pPr>
        <w:ind w:left="484" w:hanging="68"/>
      </w:pPr>
      <w:rPr>
        <w:rFonts w:hint="default"/>
        <w:lang w:val="en-US" w:eastAsia="en-US" w:bidi="ar-SA"/>
      </w:rPr>
    </w:lvl>
    <w:lvl w:ilvl="3" w:tplc="8FBEDC62">
      <w:numFmt w:val="bullet"/>
      <w:lvlText w:val="•"/>
      <w:lvlJc w:val="left"/>
      <w:pPr>
        <w:ind w:left="716" w:hanging="68"/>
      </w:pPr>
      <w:rPr>
        <w:rFonts w:hint="default"/>
        <w:lang w:val="en-US" w:eastAsia="en-US" w:bidi="ar-SA"/>
      </w:rPr>
    </w:lvl>
    <w:lvl w:ilvl="4" w:tplc="2AB613A4">
      <w:numFmt w:val="bullet"/>
      <w:lvlText w:val="•"/>
      <w:lvlJc w:val="left"/>
      <w:pPr>
        <w:ind w:left="948" w:hanging="68"/>
      </w:pPr>
      <w:rPr>
        <w:rFonts w:hint="default"/>
        <w:lang w:val="en-US" w:eastAsia="en-US" w:bidi="ar-SA"/>
      </w:rPr>
    </w:lvl>
    <w:lvl w:ilvl="5" w:tplc="C7D0FDF2">
      <w:numFmt w:val="bullet"/>
      <w:lvlText w:val="•"/>
      <w:lvlJc w:val="left"/>
      <w:pPr>
        <w:ind w:left="1180" w:hanging="68"/>
      </w:pPr>
      <w:rPr>
        <w:rFonts w:hint="default"/>
        <w:lang w:val="en-US" w:eastAsia="en-US" w:bidi="ar-SA"/>
      </w:rPr>
    </w:lvl>
    <w:lvl w:ilvl="6" w:tplc="E8489D62">
      <w:numFmt w:val="bullet"/>
      <w:lvlText w:val="•"/>
      <w:lvlJc w:val="left"/>
      <w:pPr>
        <w:ind w:left="1412" w:hanging="68"/>
      </w:pPr>
      <w:rPr>
        <w:rFonts w:hint="default"/>
        <w:lang w:val="en-US" w:eastAsia="en-US" w:bidi="ar-SA"/>
      </w:rPr>
    </w:lvl>
    <w:lvl w:ilvl="7" w:tplc="3EDAA9AA">
      <w:numFmt w:val="bullet"/>
      <w:lvlText w:val="•"/>
      <w:lvlJc w:val="left"/>
      <w:pPr>
        <w:ind w:left="1644" w:hanging="68"/>
      </w:pPr>
      <w:rPr>
        <w:rFonts w:hint="default"/>
        <w:lang w:val="en-US" w:eastAsia="en-US" w:bidi="ar-SA"/>
      </w:rPr>
    </w:lvl>
    <w:lvl w:ilvl="8" w:tplc="6BD8BC82">
      <w:numFmt w:val="bullet"/>
      <w:lvlText w:val="•"/>
      <w:lvlJc w:val="left"/>
      <w:pPr>
        <w:ind w:left="1876" w:hanging="68"/>
      </w:pPr>
      <w:rPr>
        <w:rFonts w:hint="default"/>
        <w:lang w:val="en-US" w:eastAsia="en-US" w:bidi="ar-SA"/>
      </w:rPr>
    </w:lvl>
  </w:abstractNum>
  <w:abstractNum w:abstractNumId="195" w15:restartNumberingAfterBreak="0">
    <w:nsid w:val="4DEE633F"/>
    <w:multiLevelType w:val="hybridMultilevel"/>
    <w:tmpl w:val="746025DA"/>
    <w:lvl w:ilvl="0" w:tplc="9766D0D8">
      <w:numFmt w:val="bullet"/>
      <w:lvlText w:val="•"/>
      <w:lvlJc w:val="left"/>
      <w:pPr>
        <w:ind w:left="21" w:hanging="68"/>
      </w:pPr>
      <w:rPr>
        <w:rFonts w:ascii="Arial" w:eastAsia="Arial" w:hAnsi="Arial" w:cs="Arial" w:hint="default"/>
        <w:color w:val="231F20"/>
        <w:w w:val="84"/>
        <w:sz w:val="14"/>
        <w:szCs w:val="14"/>
        <w:lang w:val="en-US" w:eastAsia="en-US" w:bidi="ar-SA"/>
      </w:rPr>
    </w:lvl>
    <w:lvl w:ilvl="1" w:tplc="8F261F86">
      <w:numFmt w:val="bullet"/>
      <w:lvlText w:val="•"/>
      <w:lvlJc w:val="left"/>
      <w:pPr>
        <w:ind w:left="254" w:hanging="68"/>
      </w:pPr>
      <w:rPr>
        <w:rFonts w:hint="default"/>
        <w:lang w:val="en-US" w:eastAsia="en-US" w:bidi="ar-SA"/>
      </w:rPr>
    </w:lvl>
    <w:lvl w:ilvl="2" w:tplc="C0E2114C">
      <w:numFmt w:val="bullet"/>
      <w:lvlText w:val="•"/>
      <w:lvlJc w:val="left"/>
      <w:pPr>
        <w:ind w:left="488" w:hanging="68"/>
      </w:pPr>
      <w:rPr>
        <w:rFonts w:hint="default"/>
        <w:lang w:val="en-US" w:eastAsia="en-US" w:bidi="ar-SA"/>
      </w:rPr>
    </w:lvl>
    <w:lvl w:ilvl="3" w:tplc="0A14EF74">
      <w:numFmt w:val="bullet"/>
      <w:lvlText w:val="•"/>
      <w:lvlJc w:val="left"/>
      <w:pPr>
        <w:ind w:left="722" w:hanging="68"/>
      </w:pPr>
      <w:rPr>
        <w:rFonts w:hint="default"/>
        <w:lang w:val="en-US" w:eastAsia="en-US" w:bidi="ar-SA"/>
      </w:rPr>
    </w:lvl>
    <w:lvl w:ilvl="4" w:tplc="B33A3AE2">
      <w:numFmt w:val="bullet"/>
      <w:lvlText w:val="•"/>
      <w:lvlJc w:val="left"/>
      <w:pPr>
        <w:ind w:left="957" w:hanging="68"/>
      </w:pPr>
      <w:rPr>
        <w:rFonts w:hint="default"/>
        <w:lang w:val="en-US" w:eastAsia="en-US" w:bidi="ar-SA"/>
      </w:rPr>
    </w:lvl>
    <w:lvl w:ilvl="5" w:tplc="4810DB2A">
      <w:numFmt w:val="bullet"/>
      <w:lvlText w:val="•"/>
      <w:lvlJc w:val="left"/>
      <w:pPr>
        <w:ind w:left="1191" w:hanging="68"/>
      </w:pPr>
      <w:rPr>
        <w:rFonts w:hint="default"/>
        <w:lang w:val="en-US" w:eastAsia="en-US" w:bidi="ar-SA"/>
      </w:rPr>
    </w:lvl>
    <w:lvl w:ilvl="6" w:tplc="7056FA92">
      <w:numFmt w:val="bullet"/>
      <w:lvlText w:val="•"/>
      <w:lvlJc w:val="left"/>
      <w:pPr>
        <w:ind w:left="1425" w:hanging="68"/>
      </w:pPr>
      <w:rPr>
        <w:rFonts w:hint="default"/>
        <w:lang w:val="en-US" w:eastAsia="en-US" w:bidi="ar-SA"/>
      </w:rPr>
    </w:lvl>
    <w:lvl w:ilvl="7" w:tplc="3800CEB8">
      <w:numFmt w:val="bullet"/>
      <w:lvlText w:val="•"/>
      <w:lvlJc w:val="left"/>
      <w:pPr>
        <w:ind w:left="1660" w:hanging="68"/>
      </w:pPr>
      <w:rPr>
        <w:rFonts w:hint="default"/>
        <w:lang w:val="en-US" w:eastAsia="en-US" w:bidi="ar-SA"/>
      </w:rPr>
    </w:lvl>
    <w:lvl w:ilvl="8" w:tplc="F26A5176">
      <w:numFmt w:val="bullet"/>
      <w:lvlText w:val="•"/>
      <w:lvlJc w:val="left"/>
      <w:pPr>
        <w:ind w:left="1894" w:hanging="68"/>
      </w:pPr>
      <w:rPr>
        <w:rFonts w:hint="default"/>
        <w:lang w:val="en-US" w:eastAsia="en-US" w:bidi="ar-SA"/>
      </w:rPr>
    </w:lvl>
  </w:abstractNum>
  <w:abstractNum w:abstractNumId="196" w15:restartNumberingAfterBreak="0">
    <w:nsid w:val="4E415211"/>
    <w:multiLevelType w:val="hybridMultilevel"/>
    <w:tmpl w:val="4A8E78A8"/>
    <w:lvl w:ilvl="0" w:tplc="2472A4BE">
      <w:numFmt w:val="bullet"/>
      <w:lvlText w:val="•"/>
      <w:lvlJc w:val="left"/>
      <w:pPr>
        <w:ind w:left="102" w:hanging="76"/>
      </w:pPr>
      <w:rPr>
        <w:rFonts w:ascii="Arial" w:eastAsia="Arial" w:hAnsi="Arial" w:cs="Arial" w:hint="default"/>
        <w:color w:val="231F20"/>
        <w:w w:val="100"/>
        <w:sz w:val="12"/>
        <w:szCs w:val="12"/>
        <w:lang w:val="en-US" w:eastAsia="en-US" w:bidi="ar-SA"/>
      </w:rPr>
    </w:lvl>
    <w:lvl w:ilvl="1" w:tplc="98D6C422">
      <w:numFmt w:val="bullet"/>
      <w:lvlText w:val="•"/>
      <w:lvlJc w:val="left"/>
      <w:pPr>
        <w:ind w:left="329" w:hanging="76"/>
      </w:pPr>
      <w:rPr>
        <w:rFonts w:hint="default"/>
        <w:lang w:val="en-US" w:eastAsia="en-US" w:bidi="ar-SA"/>
      </w:rPr>
    </w:lvl>
    <w:lvl w:ilvl="2" w:tplc="D38ACD7C">
      <w:numFmt w:val="bullet"/>
      <w:lvlText w:val="•"/>
      <w:lvlJc w:val="left"/>
      <w:pPr>
        <w:ind w:left="559" w:hanging="76"/>
      </w:pPr>
      <w:rPr>
        <w:rFonts w:hint="default"/>
        <w:lang w:val="en-US" w:eastAsia="en-US" w:bidi="ar-SA"/>
      </w:rPr>
    </w:lvl>
    <w:lvl w:ilvl="3" w:tplc="C21E8286">
      <w:numFmt w:val="bullet"/>
      <w:lvlText w:val="•"/>
      <w:lvlJc w:val="left"/>
      <w:pPr>
        <w:ind w:left="789" w:hanging="76"/>
      </w:pPr>
      <w:rPr>
        <w:rFonts w:hint="default"/>
        <w:lang w:val="en-US" w:eastAsia="en-US" w:bidi="ar-SA"/>
      </w:rPr>
    </w:lvl>
    <w:lvl w:ilvl="4" w:tplc="DDCC83DA">
      <w:numFmt w:val="bullet"/>
      <w:lvlText w:val="•"/>
      <w:lvlJc w:val="left"/>
      <w:pPr>
        <w:ind w:left="1018" w:hanging="76"/>
      </w:pPr>
      <w:rPr>
        <w:rFonts w:hint="default"/>
        <w:lang w:val="en-US" w:eastAsia="en-US" w:bidi="ar-SA"/>
      </w:rPr>
    </w:lvl>
    <w:lvl w:ilvl="5" w:tplc="D1EAAE3A">
      <w:numFmt w:val="bullet"/>
      <w:lvlText w:val="•"/>
      <w:lvlJc w:val="left"/>
      <w:pPr>
        <w:ind w:left="1248" w:hanging="76"/>
      </w:pPr>
      <w:rPr>
        <w:rFonts w:hint="default"/>
        <w:lang w:val="en-US" w:eastAsia="en-US" w:bidi="ar-SA"/>
      </w:rPr>
    </w:lvl>
    <w:lvl w:ilvl="6" w:tplc="54ACB6C8">
      <w:numFmt w:val="bullet"/>
      <w:lvlText w:val="•"/>
      <w:lvlJc w:val="left"/>
      <w:pPr>
        <w:ind w:left="1478" w:hanging="76"/>
      </w:pPr>
      <w:rPr>
        <w:rFonts w:hint="default"/>
        <w:lang w:val="en-US" w:eastAsia="en-US" w:bidi="ar-SA"/>
      </w:rPr>
    </w:lvl>
    <w:lvl w:ilvl="7" w:tplc="B9EACCDE">
      <w:numFmt w:val="bullet"/>
      <w:lvlText w:val="•"/>
      <w:lvlJc w:val="left"/>
      <w:pPr>
        <w:ind w:left="1707" w:hanging="76"/>
      </w:pPr>
      <w:rPr>
        <w:rFonts w:hint="default"/>
        <w:lang w:val="en-US" w:eastAsia="en-US" w:bidi="ar-SA"/>
      </w:rPr>
    </w:lvl>
    <w:lvl w:ilvl="8" w:tplc="05305672">
      <w:numFmt w:val="bullet"/>
      <w:lvlText w:val="•"/>
      <w:lvlJc w:val="left"/>
      <w:pPr>
        <w:ind w:left="1937" w:hanging="76"/>
      </w:pPr>
      <w:rPr>
        <w:rFonts w:hint="default"/>
        <w:lang w:val="en-US" w:eastAsia="en-US" w:bidi="ar-SA"/>
      </w:rPr>
    </w:lvl>
  </w:abstractNum>
  <w:abstractNum w:abstractNumId="197" w15:restartNumberingAfterBreak="0">
    <w:nsid w:val="4E597C01"/>
    <w:multiLevelType w:val="hybridMultilevel"/>
    <w:tmpl w:val="13B2FA8C"/>
    <w:lvl w:ilvl="0" w:tplc="6DC248CE">
      <w:numFmt w:val="bullet"/>
      <w:lvlText w:val="•"/>
      <w:lvlJc w:val="left"/>
      <w:pPr>
        <w:ind w:left="120" w:hanging="76"/>
      </w:pPr>
      <w:rPr>
        <w:rFonts w:ascii="Arial" w:eastAsia="Arial" w:hAnsi="Arial" w:cs="Arial" w:hint="default"/>
        <w:color w:val="231F20"/>
        <w:w w:val="99"/>
        <w:sz w:val="12"/>
        <w:szCs w:val="12"/>
        <w:lang w:val="en-US" w:eastAsia="en-US" w:bidi="ar-SA"/>
      </w:rPr>
    </w:lvl>
    <w:lvl w:ilvl="1" w:tplc="7B0E2F3C">
      <w:numFmt w:val="bullet"/>
      <w:lvlText w:val="•"/>
      <w:lvlJc w:val="left"/>
      <w:pPr>
        <w:ind w:left="346" w:hanging="76"/>
      </w:pPr>
      <w:rPr>
        <w:rFonts w:hint="default"/>
        <w:lang w:val="en-US" w:eastAsia="en-US" w:bidi="ar-SA"/>
      </w:rPr>
    </w:lvl>
    <w:lvl w:ilvl="2" w:tplc="801AFD8A">
      <w:numFmt w:val="bullet"/>
      <w:lvlText w:val="•"/>
      <w:lvlJc w:val="left"/>
      <w:pPr>
        <w:ind w:left="573" w:hanging="76"/>
      </w:pPr>
      <w:rPr>
        <w:rFonts w:hint="default"/>
        <w:lang w:val="en-US" w:eastAsia="en-US" w:bidi="ar-SA"/>
      </w:rPr>
    </w:lvl>
    <w:lvl w:ilvl="3" w:tplc="1D767962">
      <w:numFmt w:val="bullet"/>
      <w:lvlText w:val="•"/>
      <w:lvlJc w:val="left"/>
      <w:pPr>
        <w:ind w:left="799" w:hanging="76"/>
      </w:pPr>
      <w:rPr>
        <w:rFonts w:hint="default"/>
        <w:lang w:val="en-US" w:eastAsia="en-US" w:bidi="ar-SA"/>
      </w:rPr>
    </w:lvl>
    <w:lvl w:ilvl="4" w:tplc="39805710">
      <w:numFmt w:val="bullet"/>
      <w:lvlText w:val="•"/>
      <w:lvlJc w:val="left"/>
      <w:pPr>
        <w:ind w:left="1026" w:hanging="76"/>
      </w:pPr>
      <w:rPr>
        <w:rFonts w:hint="default"/>
        <w:lang w:val="en-US" w:eastAsia="en-US" w:bidi="ar-SA"/>
      </w:rPr>
    </w:lvl>
    <w:lvl w:ilvl="5" w:tplc="67187CDA">
      <w:numFmt w:val="bullet"/>
      <w:lvlText w:val="•"/>
      <w:lvlJc w:val="left"/>
      <w:pPr>
        <w:ind w:left="1253" w:hanging="76"/>
      </w:pPr>
      <w:rPr>
        <w:rFonts w:hint="default"/>
        <w:lang w:val="en-US" w:eastAsia="en-US" w:bidi="ar-SA"/>
      </w:rPr>
    </w:lvl>
    <w:lvl w:ilvl="6" w:tplc="4E7A1876">
      <w:numFmt w:val="bullet"/>
      <w:lvlText w:val="•"/>
      <w:lvlJc w:val="left"/>
      <w:pPr>
        <w:ind w:left="1479" w:hanging="76"/>
      </w:pPr>
      <w:rPr>
        <w:rFonts w:hint="default"/>
        <w:lang w:val="en-US" w:eastAsia="en-US" w:bidi="ar-SA"/>
      </w:rPr>
    </w:lvl>
    <w:lvl w:ilvl="7" w:tplc="C7465BF6">
      <w:numFmt w:val="bullet"/>
      <w:lvlText w:val="•"/>
      <w:lvlJc w:val="left"/>
      <w:pPr>
        <w:ind w:left="1706" w:hanging="76"/>
      </w:pPr>
      <w:rPr>
        <w:rFonts w:hint="default"/>
        <w:lang w:val="en-US" w:eastAsia="en-US" w:bidi="ar-SA"/>
      </w:rPr>
    </w:lvl>
    <w:lvl w:ilvl="8" w:tplc="788022EC">
      <w:numFmt w:val="bullet"/>
      <w:lvlText w:val="•"/>
      <w:lvlJc w:val="left"/>
      <w:pPr>
        <w:ind w:left="1932" w:hanging="76"/>
      </w:pPr>
      <w:rPr>
        <w:rFonts w:hint="default"/>
        <w:lang w:val="en-US" w:eastAsia="en-US" w:bidi="ar-SA"/>
      </w:rPr>
    </w:lvl>
  </w:abstractNum>
  <w:abstractNum w:abstractNumId="198" w15:restartNumberingAfterBreak="0">
    <w:nsid w:val="4ED167F3"/>
    <w:multiLevelType w:val="hybridMultilevel"/>
    <w:tmpl w:val="6B82E24E"/>
    <w:lvl w:ilvl="0" w:tplc="45C89100">
      <w:numFmt w:val="bullet"/>
      <w:lvlText w:val="•"/>
      <w:lvlJc w:val="left"/>
      <w:pPr>
        <w:ind w:left="23" w:hanging="74"/>
      </w:pPr>
      <w:rPr>
        <w:rFonts w:ascii="Arial" w:eastAsia="Arial" w:hAnsi="Arial" w:cs="Arial" w:hint="default"/>
        <w:color w:val="231F20"/>
        <w:w w:val="100"/>
        <w:sz w:val="12"/>
        <w:szCs w:val="12"/>
        <w:lang w:val="en-US" w:eastAsia="en-US" w:bidi="ar-SA"/>
      </w:rPr>
    </w:lvl>
    <w:lvl w:ilvl="1" w:tplc="24649496">
      <w:numFmt w:val="bullet"/>
      <w:lvlText w:val="•"/>
      <w:lvlJc w:val="left"/>
      <w:pPr>
        <w:ind w:left="257" w:hanging="74"/>
      </w:pPr>
      <w:rPr>
        <w:rFonts w:hint="default"/>
        <w:lang w:val="en-US" w:eastAsia="en-US" w:bidi="ar-SA"/>
      </w:rPr>
    </w:lvl>
    <w:lvl w:ilvl="2" w:tplc="B4C80A90">
      <w:numFmt w:val="bullet"/>
      <w:lvlText w:val="•"/>
      <w:lvlJc w:val="left"/>
      <w:pPr>
        <w:ind w:left="495" w:hanging="74"/>
      </w:pPr>
      <w:rPr>
        <w:rFonts w:hint="default"/>
        <w:lang w:val="en-US" w:eastAsia="en-US" w:bidi="ar-SA"/>
      </w:rPr>
    </w:lvl>
    <w:lvl w:ilvl="3" w:tplc="BA4A6326">
      <w:numFmt w:val="bullet"/>
      <w:lvlText w:val="•"/>
      <w:lvlJc w:val="left"/>
      <w:pPr>
        <w:ind w:left="733" w:hanging="74"/>
      </w:pPr>
      <w:rPr>
        <w:rFonts w:hint="default"/>
        <w:lang w:val="en-US" w:eastAsia="en-US" w:bidi="ar-SA"/>
      </w:rPr>
    </w:lvl>
    <w:lvl w:ilvl="4" w:tplc="08981FCC">
      <w:numFmt w:val="bullet"/>
      <w:lvlText w:val="•"/>
      <w:lvlJc w:val="left"/>
      <w:pPr>
        <w:ind w:left="971" w:hanging="74"/>
      </w:pPr>
      <w:rPr>
        <w:rFonts w:hint="default"/>
        <w:lang w:val="en-US" w:eastAsia="en-US" w:bidi="ar-SA"/>
      </w:rPr>
    </w:lvl>
    <w:lvl w:ilvl="5" w:tplc="459E2C0A">
      <w:numFmt w:val="bullet"/>
      <w:lvlText w:val="•"/>
      <w:lvlJc w:val="left"/>
      <w:pPr>
        <w:ind w:left="1209" w:hanging="74"/>
      </w:pPr>
      <w:rPr>
        <w:rFonts w:hint="default"/>
        <w:lang w:val="en-US" w:eastAsia="en-US" w:bidi="ar-SA"/>
      </w:rPr>
    </w:lvl>
    <w:lvl w:ilvl="6" w:tplc="FA6A4114">
      <w:numFmt w:val="bullet"/>
      <w:lvlText w:val="•"/>
      <w:lvlJc w:val="left"/>
      <w:pPr>
        <w:ind w:left="1446" w:hanging="74"/>
      </w:pPr>
      <w:rPr>
        <w:rFonts w:hint="default"/>
        <w:lang w:val="en-US" w:eastAsia="en-US" w:bidi="ar-SA"/>
      </w:rPr>
    </w:lvl>
    <w:lvl w:ilvl="7" w:tplc="0108D8F8">
      <w:numFmt w:val="bullet"/>
      <w:lvlText w:val="•"/>
      <w:lvlJc w:val="left"/>
      <w:pPr>
        <w:ind w:left="1684" w:hanging="74"/>
      </w:pPr>
      <w:rPr>
        <w:rFonts w:hint="default"/>
        <w:lang w:val="en-US" w:eastAsia="en-US" w:bidi="ar-SA"/>
      </w:rPr>
    </w:lvl>
    <w:lvl w:ilvl="8" w:tplc="3D2C1B94">
      <w:numFmt w:val="bullet"/>
      <w:lvlText w:val="•"/>
      <w:lvlJc w:val="left"/>
      <w:pPr>
        <w:ind w:left="1922" w:hanging="74"/>
      </w:pPr>
      <w:rPr>
        <w:rFonts w:hint="default"/>
        <w:lang w:val="en-US" w:eastAsia="en-US" w:bidi="ar-SA"/>
      </w:rPr>
    </w:lvl>
  </w:abstractNum>
  <w:abstractNum w:abstractNumId="199" w15:restartNumberingAfterBreak="0">
    <w:nsid w:val="4F036EB8"/>
    <w:multiLevelType w:val="hybridMultilevel"/>
    <w:tmpl w:val="91EEDCB2"/>
    <w:lvl w:ilvl="0" w:tplc="55FE4AFE">
      <w:numFmt w:val="bullet"/>
      <w:lvlText w:val="•"/>
      <w:lvlJc w:val="left"/>
      <w:pPr>
        <w:ind w:left="27" w:hanging="79"/>
      </w:pPr>
      <w:rPr>
        <w:rFonts w:ascii="Arial" w:eastAsia="Arial" w:hAnsi="Arial" w:cs="Arial" w:hint="default"/>
        <w:color w:val="231F20"/>
        <w:w w:val="104"/>
        <w:sz w:val="12"/>
        <w:szCs w:val="12"/>
        <w:lang w:val="en-US" w:eastAsia="en-US" w:bidi="ar-SA"/>
      </w:rPr>
    </w:lvl>
    <w:lvl w:ilvl="1" w:tplc="5CDE1644">
      <w:numFmt w:val="bullet"/>
      <w:lvlText w:val="•"/>
      <w:lvlJc w:val="left"/>
      <w:pPr>
        <w:ind w:left="268" w:hanging="79"/>
      </w:pPr>
      <w:rPr>
        <w:rFonts w:hint="default"/>
        <w:lang w:val="en-US" w:eastAsia="en-US" w:bidi="ar-SA"/>
      </w:rPr>
    </w:lvl>
    <w:lvl w:ilvl="2" w:tplc="74A41446">
      <w:numFmt w:val="bullet"/>
      <w:lvlText w:val="•"/>
      <w:lvlJc w:val="left"/>
      <w:pPr>
        <w:ind w:left="516" w:hanging="79"/>
      </w:pPr>
      <w:rPr>
        <w:rFonts w:hint="default"/>
        <w:lang w:val="en-US" w:eastAsia="en-US" w:bidi="ar-SA"/>
      </w:rPr>
    </w:lvl>
    <w:lvl w:ilvl="3" w:tplc="1FF8DF82">
      <w:numFmt w:val="bullet"/>
      <w:lvlText w:val="•"/>
      <w:lvlJc w:val="left"/>
      <w:pPr>
        <w:ind w:left="764" w:hanging="79"/>
      </w:pPr>
      <w:rPr>
        <w:rFonts w:hint="default"/>
        <w:lang w:val="en-US" w:eastAsia="en-US" w:bidi="ar-SA"/>
      </w:rPr>
    </w:lvl>
    <w:lvl w:ilvl="4" w:tplc="31526910">
      <w:numFmt w:val="bullet"/>
      <w:lvlText w:val="•"/>
      <w:lvlJc w:val="left"/>
      <w:pPr>
        <w:ind w:left="1013" w:hanging="79"/>
      </w:pPr>
      <w:rPr>
        <w:rFonts w:hint="default"/>
        <w:lang w:val="en-US" w:eastAsia="en-US" w:bidi="ar-SA"/>
      </w:rPr>
    </w:lvl>
    <w:lvl w:ilvl="5" w:tplc="F328F208">
      <w:numFmt w:val="bullet"/>
      <w:lvlText w:val="•"/>
      <w:lvlJc w:val="left"/>
      <w:pPr>
        <w:ind w:left="1261" w:hanging="79"/>
      </w:pPr>
      <w:rPr>
        <w:rFonts w:hint="default"/>
        <w:lang w:val="en-US" w:eastAsia="en-US" w:bidi="ar-SA"/>
      </w:rPr>
    </w:lvl>
    <w:lvl w:ilvl="6" w:tplc="D54E9214">
      <w:numFmt w:val="bullet"/>
      <w:lvlText w:val="•"/>
      <w:lvlJc w:val="left"/>
      <w:pPr>
        <w:ind w:left="1509" w:hanging="79"/>
      </w:pPr>
      <w:rPr>
        <w:rFonts w:hint="default"/>
        <w:lang w:val="en-US" w:eastAsia="en-US" w:bidi="ar-SA"/>
      </w:rPr>
    </w:lvl>
    <w:lvl w:ilvl="7" w:tplc="8EB2E59E">
      <w:numFmt w:val="bullet"/>
      <w:lvlText w:val="•"/>
      <w:lvlJc w:val="left"/>
      <w:pPr>
        <w:ind w:left="1758" w:hanging="79"/>
      </w:pPr>
      <w:rPr>
        <w:rFonts w:hint="default"/>
        <w:lang w:val="en-US" w:eastAsia="en-US" w:bidi="ar-SA"/>
      </w:rPr>
    </w:lvl>
    <w:lvl w:ilvl="8" w:tplc="9D425C20">
      <w:numFmt w:val="bullet"/>
      <w:lvlText w:val="•"/>
      <w:lvlJc w:val="left"/>
      <w:pPr>
        <w:ind w:left="2006" w:hanging="79"/>
      </w:pPr>
      <w:rPr>
        <w:rFonts w:hint="default"/>
        <w:lang w:val="en-US" w:eastAsia="en-US" w:bidi="ar-SA"/>
      </w:rPr>
    </w:lvl>
  </w:abstractNum>
  <w:abstractNum w:abstractNumId="200" w15:restartNumberingAfterBreak="0">
    <w:nsid w:val="4F401BC8"/>
    <w:multiLevelType w:val="multilevel"/>
    <w:tmpl w:val="8A0A2FC2"/>
    <w:lvl w:ilvl="0">
      <w:start w:val="6"/>
      <w:numFmt w:val="decimal"/>
      <w:lvlText w:val="%1"/>
      <w:lvlJc w:val="left"/>
      <w:pPr>
        <w:ind w:left="158" w:hanging="417"/>
      </w:pPr>
      <w:rPr>
        <w:rFonts w:hint="default"/>
        <w:lang w:val="en-US" w:eastAsia="en-US" w:bidi="ar-SA"/>
      </w:rPr>
    </w:lvl>
    <w:lvl w:ilvl="1">
      <w:start w:val="9"/>
      <w:numFmt w:val="decimal"/>
      <w:lvlText w:val="%1.%2."/>
      <w:lvlJc w:val="left"/>
      <w:pPr>
        <w:ind w:left="158" w:hanging="417"/>
      </w:pPr>
      <w:rPr>
        <w:rFonts w:ascii="Arial" w:eastAsia="Arial" w:hAnsi="Arial" w:cs="Arial" w:hint="default"/>
        <w:b/>
        <w:bCs/>
        <w:color w:val="231F20"/>
        <w:w w:val="99"/>
        <w:sz w:val="22"/>
        <w:szCs w:val="22"/>
        <w:lang w:val="en-US" w:eastAsia="en-US" w:bidi="ar-SA"/>
      </w:rPr>
    </w:lvl>
    <w:lvl w:ilvl="2">
      <w:start w:val="1"/>
      <w:numFmt w:val="decimal"/>
      <w:lvlText w:val="%1.%2.%3"/>
      <w:lvlJc w:val="left"/>
      <w:pPr>
        <w:ind w:left="158" w:hanging="573"/>
        <w:jc w:val="right"/>
      </w:pPr>
      <w:rPr>
        <w:rFonts w:hint="default"/>
        <w:b/>
        <w:bCs/>
        <w:w w:val="99"/>
        <w:lang w:val="en-US" w:eastAsia="en-US" w:bidi="ar-SA"/>
      </w:rPr>
    </w:lvl>
    <w:lvl w:ilvl="3">
      <w:start w:val="1"/>
      <w:numFmt w:val="decimal"/>
      <w:lvlText w:val="%1.%2.%3.%4"/>
      <w:lvlJc w:val="left"/>
      <w:pPr>
        <w:ind w:left="160" w:hanging="736"/>
      </w:pPr>
      <w:rPr>
        <w:rFonts w:ascii="Arial" w:eastAsia="Arial" w:hAnsi="Arial" w:cs="Arial" w:hint="default"/>
        <w:b/>
        <w:bCs/>
        <w:color w:val="231F20"/>
        <w:w w:val="99"/>
        <w:sz w:val="22"/>
        <w:szCs w:val="22"/>
        <w:lang w:val="en-US" w:eastAsia="en-US" w:bidi="ar-SA"/>
      </w:rPr>
    </w:lvl>
    <w:lvl w:ilvl="4">
      <w:numFmt w:val="bullet"/>
      <w:lvlText w:val="•"/>
      <w:lvlJc w:val="left"/>
      <w:pPr>
        <w:ind w:left="3355" w:hanging="736"/>
      </w:pPr>
      <w:rPr>
        <w:rFonts w:hint="default"/>
        <w:lang w:val="en-US" w:eastAsia="en-US" w:bidi="ar-SA"/>
      </w:rPr>
    </w:lvl>
    <w:lvl w:ilvl="5">
      <w:numFmt w:val="bullet"/>
      <w:lvlText w:val="•"/>
      <w:lvlJc w:val="left"/>
      <w:pPr>
        <w:ind w:left="4413" w:hanging="736"/>
      </w:pPr>
      <w:rPr>
        <w:rFonts w:hint="default"/>
        <w:lang w:val="en-US" w:eastAsia="en-US" w:bidi="ar-SA"/>
      </w:rPr>
    </w:lvl>
    <w:lvl w:ilvl="6">
      <w:numFmt w:val="bullet"/>
      <w:lvlText w:val="•"/>
      <w:lvlJc w:val="left"/>
      <w:pPr>
        <w:ind w:left="5471" w:hanging="736"/>
      </w:pPr>
      <w:rPr>
        <w:rFonts w:hint="default"/>
        <w:lang w:val="en-US" w:eastAsia="en-US" w:bidi="ar-SA"/>
      </w:rPr>
    </w:lvl>
    <w:lvl w:ilvl="7">
      <w:numFmt w:val="bullet"/>
      <w:lvlText w:val="•"/>
      <w:lvlJc w:val="left"/>
      <w:pPr>
        <w:ind w:left="6530" w:hanging="736"/>
      </w:pPr>
      <w:rPr>
        <w:rFonts w:hint="default"/>
        <w:lang w:val="en-US" w:eastAsia="en-US" w:bidi="ar-SA"/>
      </w:rPr>
    </w:lvl>
    <w:lvl w:ilvl="8">
      <w:numFmt w:val="bullet"/>
      <w:lvlText w:val="•"/>
      <w:lvlJc w:val="left"/>
      <w:pPr>
        <w:ind w:left="7588" w:hanging="736"/>
      </w:pPr>
      <w:rPr>
        <w:rFonts w:hint="default"/>
        <w:lang w:val="en-US" w:eastAsia="en-US" w:bidi="ar-SA"/>
      </w:rPr>
    </w:lvl>
  </w:abstractNum>
  <w:abstractNum w:abstractNumId="201" w15:restartNumberingAfterBreak="0">
    <w:nsid w:val="4FD55DCA"/>
    <w:multiLevelType w:val="hybridMultilevel"/>
    <w:tmpl w:val="ADB0CF56"/>
    <w:lvl w:ilvl="0" w:tplc="C914958C">
      <w:numFmt w:val="bullet"/>
      <w:lvlText w:val="•"/>
      <w:lvlJc w:val="left"/>
      <w:pPr>
        <w:ind w:left="20" w:hanging="75"/>
      </w:pPr>
      <w:rPr>
        <w:rFonts w:ascii="Arial" w:eastAsia="Arial" w:hAnsi="Arial" w:cs="Arial" w:hint="default"/>
        <w:color w:val="231F20"/>
        <w:w w:val="79"/>
        <w:sz w:val="15"/>
        <w:szCs w:val="15"/>
        <w:lang w:val="en-US" w:eastAsia="en-US" w:bidi="ar-SA"/>
      </w:rPr>
    </w:lvl>
    <w:lvl w:ilvl="1" w:tplc="9A7E3AF6">
      <w:numFmt w:val="bullet"/>
      <w:lvlText w:val="•"/>
      <w:lvlJc w:val="left"/>
      <w:pPr>
        <w:ind w:left="255" w:hanging="75"/>
      </w:pPr>
      <w:rPr>
        <w:rFonts w:hint="default"/>
        <w:lang w:val="en-US" w:eastAsia="en-US" w:bidi="ar-SA"/>
      </w:rPr>
    </w:lvl>
    <w:lvl w:ilvl="2" w:tplc="5E7AC33E">
      <w:numFmt w:val="bullet"/>
      <w:lvlText w:val="•"/>
      <w:lvlJc w:val="left"/>
      <w:pPr>
        <w:ind w:left="490" w:hanging="75"/>
      </w:pPr>
      <w:rPr>
        <w:rFonts w:hint="default"/>
        <w:lang w:val="en-US" w:eastAsia="en-US" w:bidi="ar-SA"/>
      </w:rPr>
    </w:lvl>
    <w:lvl w:ilvl="3" w:tplc="C75EFACA">
      <w:numFmt w:val="bullet"/>
      <w:lvlText w:val="•"/>
      <w:lvlJc w:val="left"/>
      <w:pPr>
        <w:ind w:left="725" w:hanging="75"/>
      </w:pPr>
      <w:rPr>
        <w:rFonts w:hint="default"/>
        <w:lang w:val="en-US" w:eastAsia="en-US" w:bidi="ar-SA"/>
      </w:rPr>
    </w:lvl>
    <w:lvl w:ilvl="4" w:tplc="B4189E14">
      <w:numFmt w:val="bullet"/>
      <w:lvlText w:val="•"/>
      <w:lvlJc w:val="left"/>
      <w:pPr>
        <w:ind w:left="961" w:hanging="75"/>
      </w:pPr>
      <w:rPr>
        <w:rFonts w:hint="default"/>
        <w:lang w:val="en-US" w:eastAsia="en-US" w:bidi="ar-SA"/>
      </w:rPr>
    </w:lvl>
    <w:lvl w:ilvl="5" w:tplc="165ABCCE">
      <w:numFmt w:val="bullet"/>
      <w:lvlText w:val="•"/>
      <w:lvlJc w:val="left"/>
      <w:pPr>
        <w:ind w:left="1196" w:hanging="75"/>
      </w:pPr>
      <w:rPr>
        <w:rFonts w:hint="default"/>
        <w:lang w:val="en-US" w:eastAsia="en-US" w:bidi="ar-SA"/>
      </w:rPr>
    </w:lvl>
    <w:lvl w:ilvl="6" w:tplc="A2181F22">
      <w:numFmt w:val="bullet"/>
      <w:lvlText w:val="•"/>
      <w:lvlJc w:val="left"/>
      <w:pPr>
        <w:ind w:left="1431" w:hanging="75"/>
      </w:pPr>
      <w:rPr>
        <w:rFonts w:hint="default"/>
        <w:lang w:val="en-US" w:eastAsia="en-US" w:bidi="ar-SA"/>
      </w:rPr>
    </w:lvl>
    <w:lvl w:ilvl="7" w:tplc="E01C3166">
      <w:numFmt w:val="bullet"/>
      <w:lvlText w:val="•"/>
      <w:lvlJc w:val="left"/>
      <w:pPr>
        <w:ind w:left="1667" w:hanging="75"/>
      </w:pPr>
      <w:rPr>
        <w:rFonts w:hint="default"/>
        <w:lang w:val="en-US" w:eastAsia="en-US" w:bidi="ar-SA"/>
      </w:rPr>
    </w:lvl>
    <w:lvl w:ilvl="8" w:tplc="7682FC0E">
      <w:numFmt w:val="bullet"/>
      <w:lvlText w:val="•"/>
      <w:lvlJc w:val="left"/>
      <w:pPr>
        <w:ind w:left="1902" w:hanging="75"/>
      </w:pPr>
      <w:rPr>
        <w:rFonts w:hint="default"/>
        <w:lang w:val="en-US" w:eastAsia="en-US" w:bidi="ar-SA"/>
      </w:rPr>
    </w:lvl>
  </w:abstractNum>
  <w:abstractNum w:abstractNumId="202" w15:restartNumberingAfterBreak="0">
    <w:nsid w:val="52025114"/>
    <w:multiLevelType w:val="hybridMultilevel"/>
    <w:tmpl w:val="72C42C2C"/>
    <w:lvl w:ilvl="0" w:tplc="DEEA43A8">
      <w:numFmt w:val="bullet"/>
      <w:lvlText w:val="•"/>
      <w:lvlJc w:val="left"/>
      <w:pPr>
        <w:ind w:left="25" w:hanging="115"/>
      </w:pPr>
      <w:rPr>
        <w:rFonts w:ascii="Arial" w:eastAsia="Arial" w:hAnsi="Arial" w:cs="Arial" w:hint="default"/>
        <w:color w:val="231F20"/>
        <w:w w:val="90"/>
        <w:sz w:val="14"/>
        <w:szCs w:val="14"/>
        <w:lang w:val="en-US" w:eastAsia="en-US" w:bidi="ar-SA"/>
      </w:rPr>
    </w:lvl>
    <w:lvl w:ilvl="1" w:tplc="ECF28434">
      <w:numFmt w:val="bullet"/>
      <w:lvlText w:val="•"/>
      <w:lvlJc w:val="left"/>
      <w:pPr>
        <w:ind w:left="270" w:hanging="115"/>
      </w:pPr>
      <w:rPr>
        <w:rFonts w:hint="default"/>
        <w:lang w:val="en-US" w:eastAsia="en-US" w:bidi="ar-SA"/>
      </w:rPr>
    </w:lvl>
    <w:lvl w:ilvl="2" w:tplc="40347D3E">
      <w:numFmt w:val="bullet"/>
      <w:lvlText w:val="•"/>
      <w:lvlJc w:val="left"/>
      <w:pPr>
        <w:ind w:left="520" w:hanging="115"/>
      </w:pPr>
      <w:rPr>
        <w:rFonts w:hint="default"/>
        <w:lang w:val="en-US" w:eastAsia="en-US" w:bidi="ar-SA"/>
      </w:rPr>
    </w:lvl>
    <w:lvl w:ilvl="3" w:tplc="17B27D18">
      <w:numFmt w:val="bullet"/>
      <w:lvlText w:val="•"/>
      <w:lvlJc w:val="left"/>
      <w:pPr>
        <w:ind w:left="770" w:hanging="115"/>
      </w:pPr>
      <w:rPr>
        <w:rFonts w:hint="default"/>
        <w:lang w:val="en-US" w:eastAsia="en-US" w:bidi="ar-SA"/>
      </w:rPr>
    </w:lvl>
    <w:lvl w:ilvl="4" w:tplc="973C7C18">
      <w:numFmt w:val="bullet"/>
      <w:lvlText w:val="•"/>
      <w:lvlJc w:val="left"/>
      <w:pPr>
        <w:ind w:left="1021" w:hanging="115"/>
      </w:pPr>
      <w:rPr>
        <w:rFonts w:hint="default"/>
        <w:lang w:val="en-US" w:eastAsia="en-US" w:bidi="ar-SA"/>
      </w:rPr>
    </w:lvl>
    <w:lvl w:ilvl="5" w:tplc="06FA2840">
      <w:numFmt w:val="bullet"/>
      <w:lvlText w:val="•"/>
      <w:lvlJc w:val="left"/>
      <w:pPr>
        <w:ind w:left="1271" w:hanging="115"/>
      </w:pPr>
      <w:rPr>
        <w:rFonts w:hint="default"/>
        <w:lang w:val="en-US" w:eastAsia="en-US" w:bidi="ar-SA"/>
      </w:rPr>
    </w:lvl>
    <w:lvl w:ilvl="6" w:tplc="6C321C2C">
      <w:numFmt w:val="bullet"/>
      <w:lvlText w:val="•"/>
      <w:lvlJc w:val="left"/>
      <w:pPr>
        <w:ind w:left="1521" w:hanging="115"/>
      </w:pPr>
      <w:rPr>
        <w:rFonts w:hint="default"/>
        <w:lang w:val="en-US" w:eastAsia="en-US" w:bidi="ar-SA"/>
      </w:rPr>
    </w:lvl>
    <w:lvl w:ilvl="7" w:tplc="123E125A">
      <w:numFmt w:val="bullet"/>
      <w:lvlText w:val="•"/>
      <w:lvlJc w:val="left"/>
      <w:pPr>
        <w:ind w:left="1772" w:hanging="115"/>
      </w:pPr>
      <w:rPr>
        <w:rFonts w:hint="default"/>
        <w:lang w:val="en-US" w:eastAsia="en-US" w:bidi="ar-SA"/>
      </w:rPr>
    </w:lvl>
    <w:lvl w:ilvl="8" w:tplc="82B8486A">
      <w:numFmt w:val="bullet"/>
      <w:lvlText w:val="•"/>
      <w:lvlJc w:val="left"/>
      <w:pPr>
        <w:ind w:left="2022" w:hanging="115"/>
      </w:pPr>
      <w:rPr>
        <w:rFonts w:hint="default"/>
        <w:lang w:val="en-US" w:eastAsia="en-US" w:bidi="ar-SA"/>
      </w:rPr>
    </w:lvl>
  </w:abstractNum>
  <w:abstractNum w:abstractNumId="203" w15:restartNumberingAfterBreak="0">
    <w:nsid w:val="533B3921"/>
    <w:multiLevelType w:val="hybridMultilevel"/>
    <w:tmpl w:val="AE50E5CC"/>
    <w:lvl w:ilvl="0" w:tplc="425A061C">
      <w:numFmt w:val="bullet"/>
      <w:lvlText w:val="•"/>
      <w:lvlJc w:val="left"/>
      <w:pPr>
        <w:ind w:left="24" w:hanging="69"/>
      </w:pPr>
      <w:rPr>
        <w:rFonts w:ascii="Arial" w:eastAsia="Arial" w:hAnsi="Arial" w:cs="Arial" w:hint="default"/>
        <w:color w:val="231F20"/>
        <w:w w:val="91"/>
        <w:sz w:val="13"/>
        <w:szCs w:val="13"/>
        <w:lang w:val="en-US" w:eastAsia="en-US" w:bidi="ar-SA"/>
      </w:rPr>
    </w:lvl>
    <w:lvl w:ilvl="1" w:tplc="B9A68410">
      <w:numFmt w:val="bullet"/>
      <w:lvlText w:val="•"/>
      <w:lvlJc w:val="left"/>
      <w:pPr>
        <w:ind w:left="256" w:hanging="69"/>
      </w:pPr>
      <w:rPr>
        <w:rFonts w:hint="default"/>
        <w:lang w:val="en-US" w:eastAsia="en-US" w:bidi="ar-SA"/>
      </w:rPr>
    </w:lvl>
    <w:lvl w:ilvl="2" w:tplc="E8A214A6">
      <w:numFmt w:val="bullet"/>
      <w:lvlText w:val="•"/>
      <w:lvlJc w:val="left"/>
      <w:pPr>
        <w:ind w:left="492" w:hanging="69"/>
      </w:pPr>
      <w:rPr>
        <w:rFonts w:hint="default"/>
        <w:lang w:val="en-US" w:eastAsia="en-US" w:bidi="ar-SA"/>
      </w:rPr>
    </w:lvl>
    <w:lvl w:ilvl="3" w:tplc="A0C4174E">
      <w:numFmt w:val="bullet"/>
      <w:lvlText w:val="•"/>
      <w:lvlJc w:val="left"/>
      <w:pPr>
        <w:ind w:left="728" w:hanging="69"/>
      </w:pPr>
      <w:rPr>
        <w:rFonts w:hint="default"/>
        <w:lang w:val="en-US" w:eastAsia="en-US" w:bidi="ar-SA"/>
      </w:rPr>
    </w:lvl>
    <w:lvl w:ilvl="4" w:tplc="48AECC92">
      <w:numFmt w:val="bullet"/>
      <w:lvlText w:val="•"/>
      <w:lvlJc w:val="left"/>
      <w:pPr>
        <w:ind w:left="964" w:hanging="69"/>
      </w:pPr>
      <w:rPr>
        <w:rFonts w:hint="default"/>
        <w:lang w:val="en-US" w:eastAsia="en-US" w:bidi="ar-SA"/>
      </w:rPr>
    </w:lvl>
    <w:lvl w:ilvl="5" w:tplc="97CE5930">
      <w:numFmt w:val="bullet"/>
      <w:lvlText w:val="•"/>
      <w:lvlJc w:val="left"/>
      <w:pPr>
        <w:ind w:left="1200" w:hanging="69"/>
      </w:pPr>
      <w:rPr>
        <w:rFonts w:hint="default"/>
        <w:lang w:val="en-US" w:eastAsia="en-US" w:bidi="ar-SA"/>
      </w:rPr>
    </w:lvl>
    <w:lvl w:ilvl="6" w:tplc="1FEC1B5C">
      <w:numFmt w:val="bullet"/>
      <w:lvlText w:val="•"/>
      <w:lvlJc w:val="left"/>
      <w:pPr>
        <w:ind w:left="1436" w:hanging="69"/>
      </w:pPr>
      <w:rPr>
        <w:rFonts w:hint="default"/>
        <w:lang w:val="en-US" w:eastAsia="en-US" w:bidi="ar-SA"/>
      </w:rPr>
    </w:lvl>
    <w:lvl w:ilvl="7" w:tplc="1640D858">
      <w:numFmt w:val="bullet"/>
      <w:lvlText w:val="•"/>
      <w:lvlJc w:val="left"/>
      <w:pPr>
        <w:ind w:left="1672" w:hanging="69"/>
      </w:pPr>
      <w:rPr>
        <w:rFonts w:hint="default"/>
        <w:lang w:val="en-US" w:eastAsia="en-US" w:bidi="ar-SA"/>
      </w:rPr>
    </w:lvl>
    <w:lvl w:ilvl="8" w:tplc="2788D612">
      <w:numFmt w:val="bullet"/>
      <w:lvlText w:val="•"/>
      <w:lvlJc w:val="left"/>
      <w:pPr>
        <w:ind w:left="1908" w:hanging="69"/>
      </w:pPr>
      <w:rPr>
        <w:rFonts w:hint="default"/>
        <w:lang w:val="en-US" w:eastAsia="en-US" w:bidi="ar-SA"/>
      </w:rPr>
    </w:lvl>
  </w:abstractNum>
  <w:abstractNum w:abstractNumId="204" w15:restartNumberingAfterBreak="0">
    <w:nsid w:val="539C5B75"/>
    <w:multiLevelType w:val="hybridMultilevel"/>
    <w:tmpl w:val="D9F2CBF2"/>
    <w:lvl w:ilvl="0" w:tplc="9294B74C">
      <w:numFmt w:val="bullet"/>
      <w:lvlText w:val="•"/>
      <w:lvlJc w:val="left"/>
      <w:pPr>
        <w:ind w:left="24" w:hanging="75"/>
      </w:pPr>
      <w:rPr>
        <w:rFonts w:ascii="Arial" w:eastAsia="Arial" w:hAnsi="Arial" w:cs="Arial" w:hint="default"/>
        <w:color w:val="231F20"/>
        <w:w w:val="91"/>
        <w:sz w:val="13"/>
        <w:szCs w:val="13"/>
        <w:lang w:val="en-US" w:eastAsia="en-US" w:bidi="ar-SA"/>
      </w:rPr>
    </w:lvl>
    <w:lvl w:ilvl="1" w:tplc="8028232A">
      <w:numFmt w:val="bullet"/>
      <w:lvlText w:val="•"/>
      <w:lvlJc w:val="left"/>
      <w:pPr>
        <w:ind w:left="256" w:hanging="75"/>
      </w:pPr>
      <w:rPr>
        <w:rFonts w:hint="default"/>
        <w:lang w:val="en-US" w:eastAsia="en-US" w:bidi="ar-SA"/>
      </w:rPr>
    </w:lvl>
    <w:lvl w:ilvl="2" w:tplc="5FB2B044">
      <w:numFmt w:val="bullet"/>
      <w:lvlText w:val="•"/>
      <w:lvlJc w:val="left"/>
      <w:pPr>
        <w:ind w:left="492" w:hanging="75"/>
      </w:pPr>
      <w:rPr>
        <w:rFonts w:hint="default"/>
        <w:lang w:val="en-US" w:eastAsia="en-US" w:bidi="ar-SA"/>
      </w:rPr>
    </w:lvl>
    <w:lvl w:ilvl="3" w:tplc="BA90DB2C">
      <w:numFmt w:val="bullet"/>
      <w:lvlText w:val="•"/>
      <w:lvlJc w:val="left"/>
      <w:pPr>
        <w:ind w:left="728" w:hanging="75"/>
      </w:pPr>
      <w:rPr>
        <w:rFonts w:hint="default"/>
        <w:lang w:val="en-US" w:eastAsia="en-US" w:bidi="ar-SA"/>
      </w:rPr>
    </w:lvl>
    <w:lvl w:ilvl="4" w:tplc="ABE2683A">
      <w:numFmt w:val="bullet"/>
      <w:lvlText w:val="•"/>
      <w:lvlJc w:val="left"/>
      <w:pPr>
        <w:ind w:left="964" w:hanging="75"/>
      </w:pPr>
      <w:rPr>
        <w:rFonts w:hint="default"/>
        <w:lang w:val="en-US" w:eastAsia="en-US" w:bidi="ar-SA"/>
      </w:rPr>
    </w:lvl>
    <w:lvl w:ilvl="5" w:tplc="117C3722">
      <w:numFmt w:val="bullet"/>
      <w:lvlText w:val="•"/>
      <w:lvlJc w:val="left"/>
      <w:pPr>
        <w:ind w:left="1200" w:hanging="75"/>
      </w:pPr>
      <w:rPr>
        <w:rFonts w:hint="default"/>
        <w:lang w:val="en-US" w:eastAsia="en-US" w:bidi="ar-SA"/>
      </w:rPr>
    </w:lvl>
    <w:lvl w:ilvl="6" w:tplc="7B0033A8">
      <w:numFmt w:val="bullet"/>
      <w:lvlText w:val="•"/>
      <w:lvlJc w:val="left"/>
      <w:pPr>
        <w:ind w:left="1436" w:hanging="75"/>
      </w:pPr>
      <w:rPr>
        <w:rFonts w:hint="default"/>
        <w:lang w:val="en-US" w:eastAsia="en-US" w:bidi="ar-SA"/>
      </w:rPr>
    </w:lvl>
    <w:lvl w:ilvl="7" w:tplc="207A5886">
      <w:numFmt w:val="bullet"/>
      <w:lvlText w:val="•"/>
      <w:lvlJc w:val="left"/>
      <w:pPr>
        <w:ind w:left="1672" w:hanging="75"/>
      </w:pPr>
      <w:rPr>
        <w:rFonts w:hint="default"/>
        <w:lang w:val="en-US" w:eastAsia="en-US" w:bidi="ar-SA"/>
      </w:rPr>
    </w:lvl>
    <w:lvl w:ilvl="8" w:tplc="9B9083EE">
      <w:numFmt w:val="bullet"/>
      <w:lvlText w:val="•"/>
      <w:lvlJc w:val="left"/>
      <w:pPr>
        <w:ind w:left="1908" w:hanging="75"/>
      </w:pPr>
      <w:rPr>
        <w:rFonts w:hint="default"/>
        <w:lang w:val="en-US" w:eastAsia="en-US" w:bidi="ar-SA"/>
      </w:rPr>
    </w:lvl>
  </w:abstractNum>
  <w:abstractNum w:abstractNumId="205" w15:restartNumberingAfterBreak="0">
    <w:nsid w:val="53FB07A9"/>
    <w:multiLevelType w:val="hybridMultilevel"/>
    <w:tmpl w:val="2312D59A"/>
    <w:lvl w:ilvl="0" w:tplc="0F9C155C">
      <w:numFmt w:val="bullet"/>
      <w:lvlText w:val="•"/>
      <w:lvlJc w:val="left"/>
      <w:pPr>
        <w:ind w:left="24" w:hanging="69"/>
      </w:pPr>
      <w:rPr>
        <w:rFonts w:ascii="Arial" w:eastAsia="Arial" w:hAnsi="Arial" w:cs="Arial" w:hint="default"/>
        <w:color w:val="231F20"/>
        <w:w w:val="91"/>
        <w:sz w:val="13"/>
        <w:szCs w:val="13"/>
        <w:lang w:val="en-US" w:eastAsia="en-US" w:bidi="ar-SA"/>
      </w:rPr>
    </w:lvl>
    <w:lvl w:ilvl="1" w:tplc="B10CC970">
      <w:numFmt w:val="bullet"/>
      <w:lvlText w:val="•"/>
      <w:lvlJc w:val="left"/>
      <w:pPr>
        <w:ind w:left="256" w:hanging="69"/>
      </w:pPr>
      <w:rPr>
        <w:rFonts w:hint="default"/>
        <w:lang w:val="en-US" w:eastAsia="en-US" w:bidi="ar-SA"/>
      </w:rPr>
    </w:lvl>
    <w:lvl w:ilvl="2" w:tplc="51906928">
      <w:numFmt w:val="bullet"/>
      <w:lvlText w:val="•"/>
      <w:lvlJc w:val="left"/>
      <w:pPr>
        <w:ind w:left="492" w:hanging="69"/>
      </w:pPr>
      <w:rPr>
        <w:rFonts w:hint="default"/>
        <w:lang w:val="en-US" w:eastAsia="en-US" w:bidi="ar-SA"/>
      </w:rPr>
    </w:lvl>
    <w:lvl w:ilvl="3" w:tplc="868C13EA">
      <w:numFmt w:val="bullet"/>
      <w:lvlText w:val="•"/>
      <w:lvlJc w:val="left"/>
      <w:pPr>
        <w:ind w:left="728" w:hanging="69"/>
      </w:pPr>
      <w:rPr>
        <w:rFonts w:hint="default"/>
        <w:lang w:val="en-US" w:eastAsia="en-US" w:bidi="ar-SA"/>
      </w:rPr>
    </w:lvl>
    <w:lvl w:ilvl="4" w:tplc="6B725F34">
      <w:numFmt w:val="bullet"/>
      <w:lvlText w:val="•"/>
      <w:lvlJc w:val="left"/>
      <w:pPr>
        <w:ind w:left="964" w:hanging="69"/>
      </w:pPr>
      <w:rPr>
        <w:rFonts w:hint="default"/>
        <w:lang w:val="en-US" w:eastAsia="en-US" w:bidi="ar-SA"/>
      </w:rPr>
    </w:lvl>
    <w:lvl w:ilvl="5" w:tplc="AB5EE71C">
      <w:numFmt w:val="bullet"/>
      <w:lvlText w:val="•"/>
      <w:lvlJc w:val="left"/>
      <w:pPr>
        <w:ind w:left="1200" w:hanging="69"/>
      </w:pPr>
      <w:rPr>
        <w:rFonts w:hint="default"/>
        <w:lang w:val="en-US" w:eastAsia="en-US" w:bidi="ar-SA"/>
      </w:rPr>
    </w:lvl>
    <w:lvl w:ilvl="6" w:tplc="C15EB29E">
      <w:numFmt w:val="bullet"/>
      <w:lvlText w:val="•"/>
      <w:lvlJc w:val="left"/>
      <w:pPr>
        <w:ind w:left="1436" w:hanging="69"/>
      </w:pPr>
      <w:rPr>
        <w:rFonts w:hint="default"/>
        <w:lang w:val="en-US" w:eastAsia="en-US" w:bidi="ar-SA"/>
      </w:rPr>
    </w:lvl>
    <w:lvl w:ilvl="7" w:tplc="091E2120">
      <w:numFmt w:val="bullet"/>
      <w:lvlText w:val="•"/>
      <w:lvlJc w:val="left"/>
      <w:pPr>
        <w:ind w:left="1672" w:hanging="69"/>
      </w:pPr>
      <w:rPr>
        <w:rFonts w:hint="default"/>
        <w:lang w:val="en-US" w:eastAsia="en-US" w:bidi="ar-SA"/>
      </w:rPr>
    </w:lvl>
    <w:lvl w:ilvl="8" w:tplc="20023C1C">
      <w:numFmt w:val="bullet"/>
      <w:lvlText w:val="•"/>
      <w:lvlJc w:val="left"/>
      <w:pPr>
        <w:ind w:left="1908" w:hanging="69"/>
      </w:pPr>
      <w:rPr>
        <w:rFonts w:hint="default"/>
        <w:lang w:val="en-US" w:eastAsia="en-US" w:bidi="ar-SA"/>
      </w:rPr>
    </w:lvl>
  </w:abstractNum>
  <w:abstractNum w:abstractNumId="206" w15:restartNumberingAfterBreak="0">
    <w:nsid w:val="546E54A0"/>
    <w:multiLevelType w:val="hybridMultilevel"/>
    <w:tmpl w:val="7B0ABCC8"/>
    <w:lvl w:ilvl="0" w:tplc="C54CA4FA">
      <w:numFmt w:val="bullet"/>
      <w:lvlText w:val="•"/>
      <w:lvlJc w:val="left"/>
      <w:pPr>
        <w:ind w:left="28" w:hanging="76"/>
      </w:pPr>
      <w:rPr>
        <w:rFonts w:ascii="Arial" w:eastAsia="Arial" w:hAnsi="Arial" w:cs="Arial" w:hint="default"/>
        <w:color w:val="231F20"/>
        <w:w w:val="70"/>
        <w:sz w:val="17"/>
        <w:szCs w:val="17"/>
        <w:lang w:val="en-US" w:eastAsia="en-US" w:bidi="ar-SA"/>
      </w:rPr>
    </w:lvl>
    <w:lvl w:ilvl="1" w:tplc="85488114">
      <w:numFmt w:val="bullet"/>
      <w:lvlText w:val="•"/>
      <w:lvlJc w:val="left"/>
      <w:pPr>
        <w:ind w:left="258" w:hanging="76"/>
      </w:pPr>
      <w:rPr>
        <w:rFonts w:hint="default"/>
        <w:lang w:val="en-US" w:eastAsia="en-US" w:bidi="ar-SA"/>
      </w:rPr>
    </w:lvl>
    <w:lvl w:ilvl="2" w:tplc="3EB64906">
      <w:numFmt w:val="bullet"/>
      <w:lvlText w:val="•"/>
      <w:lvlJc w:val="left"/>
      <w:pPr>
        <w:ind w:left="497" w:hanging="76"/>
      </w:pPr>
      <w:rPr>
        <w:rFonts w:hint="default"/>
        <w:lang w:val="en-US" w:eastAsia="en-US" w:bidi="ar-SA"/>
      </w:rPr>
    </w:lvl>
    <w:lvl w:ilvl="3" w:tplc="C938E402">
      <w:numFmt w:val="bullet"/>
      <w:lvlText w:val="•"/>
      <w:lvlJc w:val="left"/>
      <w:pPr>
        <w:ind w:left="735" w:hanging="76"/>
      </w:pPr>
      <w:rPr>
        <w:rFonts w:hint="default"/>
        <w:lang w:val="en-US" w:eastAsia="en-US" w:bidi="ar-SA"/>
      </w:rPr>
    </w:lvl>
    <w:lvl w:ilvl="4" w:tplc="DF8E0CDC">
      <w:numFmt w:val="bullet"/>
      <w:lvlText w:val="•"/>
      <w:lvlJc w:val="left"/>
      <w:pPr>
        <w:ind w:left="974" w:hanging="76"/>
      </w:pPr>
      <w:rPr>
        <w:rFonts w:hint="default"/>
        <w:lang w:val="en-US" w:eastAsia="en-US" w:bidi="ar-SA"/>
      </w:rPr>
    </w:lvl>
    <w:lvl w:ilvl="5" w:tplc="B56EC5D0">
      <w:numFmt w:val="bullet"/>
      <w:lvlText w:val="•"/>
      <w:lvlJc w:val="left"/>
      <w:pPr>
        <w:ind w:left="1213" w:hanging="76"/>
      </w:pPr>
      <w:rPr>
        <w:rFonts w:hint="default"/>
        <w:lang w:val="en-US" w:eastAsia="en-US" w:bidi="ar-SA"/>
      </w:rPr>
    </w:lvl>
    <w:lvl w:ilvl="6" w:tplc="35822B3C">
      <w:numFmt w:val="bullet"/>
      <w:lvlText w:val="•"/>
      <w:lvlJc w:val="left"/>
      <w:pPr>
        <w:ind w:left="1451" w:hanging="76"/>
      </w:pPr>
      <w:rPr>
        <w:rFonts w:hint="default"/>
        <w:lang w:val="en-US" w:eastAsia="en-US" w:bidi="ar-SA"/>
      </w:rPr>
    </w:lvl>
    <w:lvl w:ilvl="7" w:tplc="E3861EE8">
      <w:numFmt w:val="bullet"/>
      <w:lvlText w:val="•"/>
      <w:lvlJc w:val="left"/>
      <w:pPr>
        <w:ind w:left="1690" w:hanging="76"/>
      </w:pPr>
      <w:rPr>
        <w:rFonts w:hint="default"/>
        <w:lang w:val="en-US" w:eastAsia="en-US" w:bidi="ar-SA"/>
      </w:rPr>
    </w:lvl>
    <w:lvl w:ilvl="8" w:tplc="2196B9A0">
      <w:numFmt w:val="bullet"/>
      <w:lvlText w:val="•"/>
      <w:lvlJc w:val="left"/>
      <w:pPr>
        <w:ind w:left="1928" w:hanging="76"/>
      </w:pPr>
      <w:rPr>
        <w:rFonts w:hint="default"/>
        <w:lang w:val="en-US" w:eastAsia="en-US" w:bidi="ar-SA"/>
      </w:rPr>
    </w:lvl>
  </w:abstractNum>
  <w:abstractNum w:abstractNumId="207" w15:restartNumberingAfterBreak="0">
    <w:nsid w:val="546F7946"/>
    <w:multiLevelType w:val="multilevel"/>
    <w:tmpl w:val="9118EE7C"/>
    <w:lvl w:ilvl="0">
      <w:start w:val="6"/>
      <w:numFmt w:val="decimal"/>
      <w:lvlText w:val="%1"/>
      <w:lvlJc w:val="left"/>
      <w:pPr>
        <w:ind w:left="144" w:hanging="597"/>
      </w:pPr>
      <w:rPr>
        <w:rFonts w:hint="default"/>
        <w:lang w:val="en-US" w:eastAsia="en-US" w:bidi="ar-SA"/>
      </w:rPr>
    </w:lvl>
    <w:lvl w:ilvl="1">
      <w:start w:val="11"/>
      <w:numFmt w:val="decimal"/>
      <w:lvlText w:val="%1.%2"/>
      <w:lvlJc w:val="left"/>
      <w:pPr>
        <w:ind w:left="144" w:hanging="597"/>
      </w:pPr>
      <w:rPr>
        <w:rFonts w:hint="default"/>
        <w:lang w:val="en-US" w:eastAsia="en-US" w:bidi="ar-SA"/>
      </w:rPr>
    </w:lvl>
    <w:lvl w:ilvl="2">
      <w:numFmt w:val="decimal"/>
      <w:lvlText w:val="%1.%2.%3"/>
      <w:lvlJc w:val="left"/>
      <w:pPr>
        <w:ind w:left="144" w:hanging="597"/>
      </w:pPr>
      <w:rPr>
        <w:rFonts w:ascii="Arial" w:eastAsia="Arial" w:hAnsi="Arial" w:cs="Arial" w:hint="default"/>
        <w:color w:val="231F20"/>
        <w:spacing w:val="-17"/>
        <w:w w:val="99"/>
        <w:sz w:val="20"/>
        <w:szCs w:val="20"/>
        <w:lang w:val="en-US" w:eastAsia="en-US" w:bidi="ar-SA"/>
      </w:rPr>
    </w:lvl>
    <w:lvl w:ilvl="3">
      <w:start w:val="1"/>
      <w:numFmt w:val="decimal"/>
      <w:lvlText w:val="%1.%2.%3.%4"/>
      <w:lvlJc w:val="left"/>
      <w:pPr>
        <w:ind w:left="140" w:hanging="780"/>
      </w:pPr>
      <w:rPr>
        <w:rFonts w:ascii="Arial" w:eastAsia="Arial" w:hAnsi="Arial" w:cs="Arial" w:hint="default"/>
        <w:color w:val="231F20"/>
        <w:spacing w:val="-17"/>
        <w:w w:val="99"/>
        <w:sz w:val="20"/>
        <w:szCs w:val="20"/>
        <w:lang w:val="en-US" w:eastAsia="en-US" w:bidi="ar-SA"/>
      </w:rPr>
    </w:lvl>
    <w:lvl w:ilvl="4">
      <w:numFmt w:val="bullet"/>
      <w:lvlText w:val="•"/>
      <w:lvlJc w:val="left"/>
      <w:pPr>
        <w:ind w:left="3966" w:hanging="780"/>
      </w:pPr>
      <w:rPr>
        <w:rFonts w:hint="default"/>
        <w:lang w:val="en-US" w:eastAsia="en-US" w:bidi="ar-SA"/>
      </w:rPr>
    </w:lvl>
    <w:lvl w:ilvl="5">
      <w:numFmt w:val="bullet"/>
      <w:lvlText w:val="•"/>
      <w:lvlJc w:val="left"/>
      <w:pPr>
        <w:ind w:left="4922" w:hanging="780"/>
      </w:pPr>
      <w:rPr>
        <w:rFonts w:hint="default"/>
        <w:lang w:val="en-US" w:eastAsia="en-US" w:bidi="ar-SA"/>
      </w:rPr>
    </w:lvl>
    <w:lvl w:ilvl="6">
      <w:numFmt w:val="bullet"/>
      <w:lvlText w:val="•"/>
      <w:lvlJc w:val="left"/>
      <w:pPr>
        <w:ind w:left="5879" w:hanging="780"/>
      </w:pPr>
      <w:rPr>
        <w:rFonts w:hint="default"/>
        <w:lang w:val="en-US" w:eastAsia="en-US" w:bidi="ar-SA"/>
      </w:rPr>
    </w:lvl>
    <w:lvl w:ilvl="7">
      <w:numFmt w:val="bullet"/>
      <w:lvlText w:val="•"/>
      <w:lvlJc w:val="left"/>
      <w:pPr>
        <w:ind w:left="6835" w:hanging="780"/>
      </w:pPr>
      <w:rPr>
        <w:rFonts w:hint="default"/>
        <w:lang w:val="en-US" w:eastAsia="en-US" w:bidi="ar-SA"/>
      </w:rPr>
    </w:lvl>
    <w:lvl w:ilvl="8">
      <w:numFmt w:val="bullet"/>
      <w:lvlText w:val="•"/>
      <w:lvlJc w:val="left"/>
      <w:pPr>
        <w:ind w:left="7792" w:hanging="780"/>
      </w:pPr>
      <w:rPr>
        <w:rFonts w:hint="default"/>
        <w:lang w:val="en-US" w:eastAsia="en-US" w:bidi="ar-SA"/>
      </w:rPr>
    </w:lvl>
  </w:abstractNum>
  <w:abstractNum w:abstractNumId="208" w15:restartNumberingAfterBreak="0">
    <w:nsid w:val="5489456C"/>
    <w:multiLevelType w:val="hybridMultilevel"/>
    <w:tmpl w:val="F9B2C396"/>
    <w:lvl w:ilvl="0" w:tplc="C5C6D326">
      <w:numFmt w:val="bullet"/>
      <w:lvlText w:val="•"/>
      <w:lvlJc w:val="left"/>
      <w:pPr>
        <w:ind w:left="25" w:hanging="76"/>
      </w:pPr>
      <w:rPr>
        <w:rFonts w:ascii="Arial" w:eastAsia="Arial" w:hAnsi="Arial" w:cs="Arial" w:hint="default"/>
        <w:color w:val="231F20"/>
        <w:w w:val="91"/>
        <w:sz w:val="13"/>
        <w:szCs w:val="13"/>
        <w:lang w:val="en-US" w:eastAsia="en-US" w:bidi="ar-SA"/>
      </w:rPr>
    </w:lvl>
    <w:lvl w:ilvl="1" w:tplc="EF18FA50">
      <w:numFmt w:val="bullet"/>
      <w:lvlText w:val="•"/>
      <w:lvlJc w:val="left"/>
      <w:pPr>
        <w:ind w:left="256" w:hanging="76"/>
      </w:pPr>
      <w:rPr>
        <w:rFonts w:hint="default"/>
        <w:lang w:val="en-US" w:eastAsia="en-US" w:bidi="ar-SA"/>
      </w:rPr>
    </w:lvl>
    <w:lvl w:ilvl="2" w:tplc="98489E3C">
      <w:numFmt w:val="bullet"/>
      <w:lvlText w:val="•"/>
      <w:lvlJc w:val="left"/>
      <w:pPr>
        <w:ind w:left="493" w:hanging="76"/>
      </w:pPr>
      <w:rPr>
        <w:rFonts w:hint="default"/>
        <w:lang w:val="en-US" w:eastAsia="en-US" w:bidi="ar-SA"/>
      </w:rPr>
    </w:lvl>
    <w:lvl w:ilvl="3" w:tplc="14BE144E">
      <w:numFmt w:val="bullet"/>
      <w:lvlText w:val="•"/>
      <w:lvlJc w:val="left"/>
      <w:pPr>
        <w:ind w:left="729" w:hanging="76"/>
      </w:pPr>
      <w:rPr>
        <w:rFonts w:hint="default"/>
        <w:lang w:val="en-US" w:eastAsia="en-US" w:bidi="ar-SA"/>
      </w:rPr>
    </w:lvl>
    <w:lvl w:ilvl="4" w:tplc="72A00874">
      <w:numFmt w:val="bullet"/>
      <w:lvlText w:val="•"/>
      <w:lvlJc w:val="left"/>
      <w:pPr>
        <w:ind w:left="966" w:hanging="76"/>
      </w:pPr>
      <w:rPr>
        <w:rFonts w:hint="default"/>
        <w:lang w:val="en-US" w:eastAsia="en-US" w:bidi="ar-SA"/>
      </w:rPr>
    </w:lvl>
    <w:lvl w:ilvl="5" w:tplc="9822FA18">
      <w:numFmt w:val="bullet"/>
      <w:lvlText w:val="•"/>
      <w:lvlJc w:val="left"/>
      <w:pPr>
        <w:ind w:left="1203" w:hanging="76"/>
      </w:pPr>
      <w:rPr>
        <w:rFonts w:hint="default"/>
        <w:lang w:val="en-US" w:eastAsia="en-US" w:bidi="ar-SA"/>
      </w:rPr>
    </w:lvl>
    <w:lvl w:ilvl="6" w:tplc="F0CED538">
      <w:numFmt w:val="bullet"/>
      <w:lvlText w:val="•"/>
      <w:lvlJc w:val="left"/>
      <w:pPr>
        <w:ind w:left="1439" w:hanging="76"/>
      </w:pPr>
      <w:rPr>
        <w:rFonts w:hint="default"/>
        <w:lang w:val="en-US" w:eastAsia="en-US" w:bidi="ar-SA"/>
      </w:rPr>
    </w:lvl>
    <w:lvl w:ilvl="7" w:tplc="6EAC5958">
      <w:numFmt w:val="bullet"/>
      <w:lvlText w:val="•"/>
      <w:lvlJc w:val="left"/>
      <w:pPr>
        <w:ind w:left="1676" w:hanging="76"/>
      </w:pPr>
      <w:rPr>
        <w:rFonts w:hint="default"/>
        <w:lang w:val="en-US" w:eastAsia="en-US" w:bidi="ar-SA"/>
      </w:rPr>
    </w:lvl>
    <w:lvl w:ilvl="8" w:tplc="0F2C80B8">
      <w:numFmt w:val="bullet"/>
      <w:lvlText w:val="•"/>
      <w:lvlJc w:val="left"/>
      <w:pPr>
        <w:ind w:left="1912" w:hanging="76"/>
      </w:pPr>
      <w:rPr>
        <w:rFonts w:hint="default"/>
        <w:lang w:val="en-US" w:eastAsia="en-US" w:bidi="ar-SA"/>
      </w:rPr>
    </w:lvl>
  </w:abstractNum>
  <w:abstractNum w:abstractNumId="209" w15:restartNumberingAfterBreak="0">
    <w:nsid w:val="551547CD"/>
    <w:multiLevelType w:val="hybridMultilevel"/>
    <w:tmpl w:val="886654D0"/>
    <w:lvl w:ilvl="0" w:tplc="35EC2090">
      <w:numFmt w:val="bullet"/>
      <w:lvlText w:val="•"/>
      <w:lvlJc w:val="left"/>
      <w:pPr>
        <w:ind w:left="26" w:hanging="76"/>
      </w:pPr>
      <w:rPr>
        <w:rFonts w:ascii="Arial" w:eastAsia="Arial" w:hAnsi="Arial" w:cs="Arial" w:hint="default"/>
        <w:color w:val="231F20"/>
        <w:w w:val="80"/>
        <w:sz w:val="15"/>
        <w:szCs w:val="15"/>
        <w:lang w:val="en-US" w:eastAsia="en-US" w:bidi="ar-SA"/>
      </w:rPr>
    </w:lvl>
    <w:lvl w:ilvl="1" w:tplc="9B14F340">
      <w:numFmt w:val="bullet"/>
      <w:lvlText w:val="•"/>
      <w:lvlJc w:val="left"/>
      <w:pPr>
        <w:ind w:left="258" w:hanging="76"/>
      </w:pPr>
      <w:rPr>
        <w:rFonts w:hint="default"/>
        <w:lang w:val="en-US" w:eastAsia="en-US" w:bidi="ar-SA"/>
      </w:rPr>
    </w:lvl>
    <w:lvl w:ilvl="2" w:tplc="88DA7E46">
      <w:numFmt w:val="bullet"/>
      <w:lvlText w:val="•"/>
      <w:lvlJc w:val="left"/>
      <w:pPr>
        <w:ind w:left="497" w:hanging="76"/>
      </w:pPr>
      <w:rPr>
        <w:rFonts w:hint="default"/>
        <w:lang w:val="en-US" w:eastAsia="en-US" w:bidi="ar-SA"/>
      </w:rPr>
    </w:lvl>
    <w:lvl w:ilvl="3" w:tplc="B35E9380">
      <w:numFmt w:val="bullet"/>
      <w:lvlText w:val="•"/>
      <w:lvlJc w:val="left"/>
      <w:pPr>
        <w:ind w:left="736" w:hanging="76"/>
      </w:pPr>
      <w:rPr>
        <w:rFonts w:hint="default"/>
        <w:lang w:val="en-US" w:eastAsia="en-US" w:bidi="ar-SA"/>
      </w:rPr>
    </w:lvl>
    <w:lvl w:ilvl="4" w:tplc="0512052C">
      <w:numFmt w:val="bullet"/>
      <w:lvlText w:val="•"/>
      <w:lvlJc w:val="left"/>
      <w:pPr>
        <w:ind w:left="975" w:hanging="76"/>
      </w:pPr>
      <w:rPr>
        <w:rFonts w:hint="default"/>
        <w:lang w:val="en-US" w:eastAsia="en-US" w:bidi="ar-SA"/>
      </w:rPr>
    </w:lvl>
    <w:lvl w:ilvl="5" w:tplc="BB400D68">
      <w:numFmt w:val="bullet"/>
      <w:lvlText w:val="•"/>
      <w:lvlJc w:val="left"/>
      <w:pPr>
        <w:ind w:left="1214" w:hanging="76"/>
      </w:pPr>
      <w:rPr>
        <w:rFonts w:hint="default"/>
        <w:lang w:val="en-US" w:eastAsia="en-US" w:bidi="ar-SA"/>
      </w:rPr>
    </w:lvl>
    <w:lvl w:ilvl="6" w:tplc="9B383E28">
      <w:numFmt w:val="bullet"/>
      <w:lvlText w:val="•"/>
      <w:lvlJc w:val="left"/>
      <w:pPr>
        <w:ind w:left="1452" w:hanging="76"/>
      </w:pPr>
      <w:rPr>
        <w:rFonts w:hint="default"/>
        <w:lang w:val="en-US" w:eastAsia="en-US" w:bidi="ar-SA"/>
      </w:rPr>
    </w:lvl>
    <w:lvl w:ilvl="7" w:tplc="D474E454">
      <w:numFmt w:val="bullet"/>
      <w:lvlText w:val="•"/>
      <w:lvlJc w:val="left"/>
      <w:pPr>
        <w:ind w:left="1691" w:hanging="76"/>
      </w:pPr>
      <w:rPr>
        <w:rFonts w:hint="default"/>
        <w:lang w:val="en-US" w:eastAsia="en-US" w:bidi="ar-SA"/>
      </w:rPr>
    </w:lvl>
    <w:lvl w:ilvl="8" w:tplc="1992664C">
      <w:numFmt w:val="bullet"/>
      <w:lvlText w:val="•"/>
      <w:lvlJc w:val="left"/>
      <w:pPr>
        <w:ind w:left="1930" w:hanging="76"/>
      </w:pPr>
      <w:rPr>
        <w:rFonts w:hint="default"/>
        <w:lang w:val="en-US" w:eastAsia="en-US" w:bidi="ar-SA"/>
      </w:rPr>
    </w:lvl>
  </w:abstractNum>
  <w:abstractNum w:abstractNumId="210" w15:restartNumberingAfterBreak="0">
    <w:nsid w:val="554F7490"/>
    <w:multiLevelType w:val="hybridMultilevel"/>
    <w:tmpl w:val="0D4426C4"/>
    <w:lvl w:ilvl="0" w:tplc="817A8752">
      <w:numFmt w:val="bullet"/>
      <w:lvlText w:val="•"/>
      <w:lvlJc w:val="left"/>
      <w:pPr>
        <w:ind w:left="25" w:hanging="113"/>
      </w:pPr>
      <w:rPr>
        <w:rFonts w:ascii="Arial" w:eastAsia="Arial" w:hAnsi="Arial" w:cs="Arial" w:hint="default"/>
        <w:color w:val="231F20"/>
        <w:w w:val="88"/>
        <w:sz w:val="14"/>
        <w:szCs w:val="14"/>
        <w:lang w:val="en-US" w:eastAsia="en-US" w:bidi="ar-SA"/>
      </w:rPr>
    </w:lvl>
    <w:lvl w:ilvl="1" w:tplc="D4425EE0">
      <w:numFmt w:val="bullet"/>
      <w:lvlText w:val="•"/>
      <w:lvlJc w:val="left"/>
      <w:pPr>
        <w:ind w:left="266" w:hanging="113"/>
      </w:pPr>
      <w:rPr>
        <w:rFonts w:hint="default"/>
        <w:lang w:val="en-US" w:eastAsia="en-US" w:bidi="ar-SA"/>
      </w:rPr>
    </w:lvl>
    <w:lvl w:ilvl="2" w:tplc="4A286CC4">
      <w:numFmt w:val="bullet"/>
      <w:lvlText w:val="•"/>
      <w:lvlJc w:val="left"/>
      <w:pPr>
        <w:ind w:left="512" w:hanging="113"/>
      </w:pPr>
      <w:rPr>
        <w:rFonts w:hint="default"/>
        <w:lang w:val="en-US" w:eastAsia="en-US" w:bidi="ar-SA"/>
      </w:rPr>
    </w:lvl>
    <w:lvl w:ilvl="3" w:tplc="100AC72E">
      <w:numFmt w:val="bullet"/>
      <w:lvlText w:val="•"/>
      <w:lvlJc w:val="left"/>
      <w:pPr>
        <w:ind w:left="758" w:hanging="113"/>
      </w:pPr>
      <w:rPr>
        <w:rFonts w:hint="default"/>
        <w:lang w:val="en-US" w:eastAsia="en-US" w:bidi="ar-SA"/>
      </w:rPr>
    </w:lvl>
    <w:lvl w:ilvl="4" w:tplc="EDD6CB7C">
      <w:numFmt w:val="bullet"/>
      <w:lvlText w:val="•"/>
      <w:lvlJc w:val="left"/>
      <w:pPr>
        <w:ind w:left="1004" w:hanging="113"/>
      </w:pPr>
      <w:rPr>
        <w:rFonts w:hint="default"/>
        <w:lang w:val="en-US" w:eastAsia="en-US" w:bidi="ar-SA"/>
      </w:rPr>
    </w:lvl>
    <w:lvl w:ilvl="5" w:tplc="D98098E0">
      <w:numFmt w:val="bullet"/>
      <w:lvlText w:val="•"/>
      <w:lvlJc w:val="left"/>
      <w:pPr>
        <w:ind w:left="1251" w:hanging="113"/>
      </w:pPr>
      <w:rPr>
        <w:rFonts w:hint="default"/>
        <w:lang w:val="en-US" w:eastAsia="en-US" w:bidi="ar-SA"/>
      </w:rPr>
    </w:lvl>
    <w:lvl w:ilvl="6" w:tplc="6210965C">
      <w:numFmt w:val="bullet"/>
      <w:lvlText w:val="•"/>
      <w:lvlJc w:val="left"/>
      <w:pPr>
        <w:ind w:left="1497" w:hanging="113"/>
      </w:pPr>
      <w:rPr>
        <w:rFonts w:hint="default"/>
        <w:lang w:val="en-US" w:eastAsia="en-US" w:bidi="ar-SA"/>
      </w:rPr>
    </w:lvl>
    <w:lvl w:ilvl="7" w:tplc="AC30456C">
      <w:numFmt w:val="bullet"/>
      <w:lvlText w:val="•"/>
      <w:lvlJc w:val="left"/>
      <w:pPr>
        <w:ind w:left="1743" w:hanging="113"/>
      </w:pPr>
      <w:rPr>
        <w:rFonts w:hint="default"/>
        <w:lang w:val="en-US" w:eastAsia="en-US" w:bidi="ar-SA"/>
      </w:rPr>
    </w:lvl>
    <w:lvl w:ilvl="8" w:tplc="8CA63E66">
      <w:numFmt w:val="bullet"/>
      <w:lvlText w:val="•"/>
      <w:lvlJc w:val="left"/>
      <w:pPr>
        <w:ind w:left="1989" w:hanging="113"/>
      </w:pPr>
      <w:rPr>
        <w:rFonts w:hint="default"/>
        <w:lang w:val="en-US" w:eastAsia="en-US" w:bidi="ar-SA"/>
      </w:rPr>
    </w:lvl>
  </w:abstractNum>
  <w:abstractNum w:abstractNumId="211" w15:restartNumberingAfterBreak="0">
    <w:nsid w:val="557B1C99"/>
    <w:multiLevelType w:val="multilevel"/>
    <w:tmpl w:val="8B36240E"/>
    <w:lvl w:ilvl="0">
      <w:start w:val="9"/>
      <w:numFmt w:val="decimal"/>
      <w:lvlText w:val="%1"/>
      <w:lvlJc w:val="left"/>
      <w:pPr>
        <w:ind w:left="542" w:hanging="374"/>
      </w:pPr>
      <w:rPr>
        <w:rFonts w:hint="default"/>
        <w:lang w:val="en-US" w:eastAsia="en-US" w:bidi="ar-SA"/>
      </w:rPr>
    </w:lvl>
    <w:lvl w:ilvl="1">
      <w:start w:val="1"/>
      <w:numFmt w:val="decimal"/>
      <w:lvlText w:val="%1.%2"/>
      <w:lvlJc w:val="left"/>
      <w:pPr>
        <w:ind w:left="542" w:hanging="374"/>
      </w:pPr>
      <w:rPr>
        <w:rFonts w:ascii="Arial" w:eastAsia="Arial" w:hAnsi="Arial" w:cs="Arial" w:hint="default"/>
        <w:color w:val="231F20"/>
        <w:w w:val="99"/>
        <w:sz w:val="24"/>
        <w:szCs w:val="24"/>
        <w:lang w:val="en-US" w:eastAsia="en-US" w:bidi="ar-SA"/>
      </w:rPr>
    </w:lvl>
    <w:lvl w:ilvl="2">
      <w:numFmt w:val="bullet"/>
      <w:lvlText w:val="•"/>
      <w:lvlJc w:val="left"/>
      <w:pPr>
        <w:ind w:left="2373" w:hanging="374"/>
      </w:pPr>
      <w:rPr>
        <w:rFonts w:hint="default"/>
        <w:lang w:val="en-US" w:eastAsia="en-US" w:bidi="ar-SA"/>
      </w:rPr>
    </w:lvl>
    <w:lvl w:ilvl="3">
      <w:numFmt w:val="bullet"/>
      <w:lvlText w:val="•"/>
      <w:lvlJc w:val="left"/>
      <w:pPr>
        <w:ind w:left="3289" w:hanging="374"/>
      </w:pPr>
      <w:rPr>
        <w:rFonts w:hint="default"/>
        <w:lang w:val="en-US" w:eastAsia="en-US" w:bidi="ar-SA"/>
      </w:rPr>
    </w:lvl>
    <w:lvl w:ilvl="4">
      <w:numFmt w:val="bullet"/>
      <w:lvlText w:val="•"/>
      <w:lvlJc w:val="left"/>
      <w:pPr>
        <w:ind w:left="4206" w:hanging="374"/>
      </w:pPr>
      <w:rPr>
        <w:rFonts w:hint="default"/>
        <w:lang w:val="en-US" w:eastAsia="en-US" w:bidi="ar-SA"/>
      </w:rPr>
    </w:lvl>
    <w:lvl w:ilvl="5">
      <w:numFmt w:val="bullet"/>
      <w:lvlText w:val="•"/>
      <w:lvlJc w:val="left"/>
      <w:pPr>
        <w:ind w:left="5122" w:hanging="374"/>
      </w:pPr>
      <w:rPr>
        <w:rFonts w:hint="default"/>
        <w:lang w:val="en-US" w:eastAsia="en-US" w:bidi="ar-SA"/>
      </w:rPr>
    </w:lvl>
    <w:lvl w:ilvl="6">
      <w:numFmt w:val="bullet"/>
      <w:lvlText w:val="•"/>
      <w:lvlJc w:val="left"/>
      <w:pPr>
        <w:ind w:left="6039" w:hanging="374"/>
      </w:pPr>
      <w:rPr>
        <w:rFonts w:hint="default"/>
        <w:lang w:val="en-US" w:eastAsia="en-US" w:bidi="ar-SA"/>
      </w:rPr>
    </w:lvl>
    <w:lvl w:ilvl="7">
      <w:numFmt w:val="bullet"/>
      <w:lvlText w:val="•"/>
      <w:lvlJc w:val="left"/>
      <w:pPr>
        <w:ind w:left="6955" w:hanging="374"/>
      </w:pPr>
      <w:rPr>
        <w:rFonts w:hint="default"/>
        <w:lang w:val="en-US" w:eastAsia="en-US" w:bidi="ar-SA"/>
      </w:rPr>
    </w:lvl>
    <w:lvl w:ilvl="8">
      <w:numFmt w:val="bullet"/>
      <w:lvlText w:val="•"/>
      <w:lvlJc w:val="left"/>
      <w:pPr>
        <w:ind w:left="7872" w:hanging="374"/>
      </w:pPr>
      <w:rPr>
        <w:rFonts w:hint="default"/>
        <w:lang w:val="en-US" w:eastAsia="en-US" w:bidi="ar-SA"/>
      </w:rPr>
    </w:lvl>
  </w:abstractNum>
  <w:abstractNum w:abstractNumId="212" w15:restartNumberingAfterBreak="0">
    <w:nsid w:val="55AB4FF4"/>
    <w:multiLevelType w:val="hybridMultilevel"/>
    <w:tmpl w:val="FC200CE2"/>
    <w:lvl w:ilvl="0" w:tplc="7C66DADC">
      <w:numFmt w:val="bullet"/>
      <w:lvlText w:val="•"/>
      <w:lvlJc w:val="left"/>
      <w:pPr>
        <w:ind w:left="23" w:hanging="76"/>
      </w:pPr>
      <w:rPr>
        <w:rFonts w:ascii="Arial" w:eastAsia="Arial" w:hAnsi="Arial" w:cs="Arial" w:hint="default"/>
        <w:color w:val="231F20"/>
        <w:w w:val="80"/>
        <w:sz w:val="15"/>
        <w:szCs w:val="15"/>
        <w:lang w:val="en-US" w:eastAsia="en-US" w:bidi="ar-SA"/>
      </w:rPr>
    </w:lvl>
    <w:lvl w:ilvl="1" w:tplc="AFE45A7E">
      <w:numFmt w:val="bullet"/>
      <w:lvlText w:val="•"/>
      <w:lvlJc w:val="left"/>
      <w:pPr>
        <w:ind w:left="258" w:hanging="76"/>
      </w:pPr>
      <w:rPr>
        <w:rFonts w:hint="default"/>
        <w:lang w:val="en-US" w:eastAsia="en-US" w:bidi="ar-SA"/>
      </w:rPr>
    </w:lvl>
    <w:lvl w:ilvl="2" w:tplc="000631A0">
      <w:numFmt w:val="bullet"/>
      <w:lvlText w:val="•"/>
      <w:lvlJc w:val="left"/>
      <w:pPr>
        <w:ind w:left="496" w:hanging="76"/>
      </w:pPr>
      <w:rPr>
        <w:rFonts w:hint="default"/>
        <w:lang w:val="en-US" w:eastAsia="en-US" w:bidi="ar-SA"/>
      </w:rPr>
    </w:lvl>
    <w:lvl w:ilvl="3" w:tplc="2DE04E72">
      <w:numFmt w:val="bullet"/>
      <w:lvlText w:val="•"/>
      <w:lvlJc w:val="left"/>
      <w:pPr>
        <w:ind w:left="734" w:hanging="76"/>
      </w:pPr>
      <w:rPr>
        <w:rFonts w:hint="default"/>
        <w:lang w:val="en-US" w:eastAsia="en-US" w:bidi="ar-SA"/>
      </w:rPr>
    </w:lvl>
    <w:lvl w:ilvl="4" w:tplc="ED104268">
      <w:numFmt w:val="bullet"/>
      <w:lvlText w:val="•"/>
      <w:lvlJc w:val="left"/>
      <w:pPr>
        <w:ind w:left="973" w:hanging="76"/>
      </w:pPr>
      <w:rPr>
        <w:rFonts w:hint="default"/>
        <w:lang w:val="en-US" w:eastAsia="en-US" w:bidi="ar-SA"/>
      </w:rPr>
    </w:lvl>
    <w:lvl w:ilvl="5" w:tplc="F544B33E">
      <w:numFmt w:val="bullet"/>
      <w:lvlText w:val="•"/>
      <w:lvlJc w:val="left"/>
      <w:pPr>
        <w:ind w:left="1211" w:hanging="76"/>
      </w:pPr>
      <w:rPr>
        <w:rFonts w:hint="default"/>
        <w:lang w:val="en-US" w:eastAsia="en-US" w:bidi="ar-SA"/>
      </w:rPr>
    </w:lvl>
    <w:lvl w:ilvl="6" w:tplc="D4A8DD96">
      <w:numFmt w:val="bullet"/>
      <w:lvlText w:val="•"/>
      <w:lvlJc w:val="left"/>
      <w:pPr>
        <w:ind w:left="1449" w:hanging="76"/>
      </w:pPr>
      <w:rPr>
        <w:rFonts w:hint="default"/>
        <w:lang w:val="en-US" w:eastAsia="en-US" w:bidi="ar-SA"/>
      </w:rPr>
    </w:lvl>
    <w:lvl w:ilvl="7" w:tplc="76F8816E">
      <w:numFmt w:val="bullet"/>
      <w:lvlText w:val="•"/>
      <w:lvlJc w:val="left"/>
      <w:pPr>
        <w:ind w:left="1688" w:hanging="76"/>
      </w:pPr>
      <w:rPr>
        <w:rFonts w:hint="default"/>
        <w:lang w:val="en-US" w:eastAsia="en-US" w:bidi="ar-SA"/>
      </w:rPr>
    </w:lvl>
    <w:lvl w:ilvl="8" w:tplc="E1BEBF86">
      <w:numFmt w:val="bullet"/>
      <w:lvlText w:val="•"/>
      <w:lvlJc w:val="left"/>
      <w:pPr>
        <w:ind w:left="1926" w:hanging="76"/>
      </w:pPr>
      <w:rPr>
        <w:rFonts w:hint="default"/>
        <w:lang w:val="en-US" w:eastAsia="en-US" w:bidi="ar-SA"/>
      </w:rPr>
    </w:lvl>
  </w:abstractNum>
  <w:abstractNum w:abstractNumId="213" w15:restartNumberingAfterBreak="0">
    <w:nsid w:val="55CA67BB"/>
    <w:multiLevelType w:val="multilevel"/>
    <w:tmpl w:val="AD0C3F2A"/>
    <w:lvl w:ilvl="0">
      <w:start w:val="5"/>
      <w:numFmt w:val="decimal"/>
      <w:lvlText w:val="%1"/>
      <w:lvlJc w:val="left"/>
      <w:pPr>
        <w:ind w:left="175" w:hanging="750"/>
      </w:pPr>
      <w:rPr>
        <w:rFonts w:hint="default"/>
        <w:lang w:val="en-US" w:eastAsia="en-US" w:bidi="ar-SA"/>
      </w:rPr>
    </w:lvl>
    <w:lvl w:ilvl="1">
      <w:start w:val="8"/>
      <w:numFmt w:val="decimal"/>
      <w:lvlText w:val="%1.%2"/>
      <w:lvlJc w:val="left"/>
      <w:pPr>
        <w:ind w:left="175" w:hanging="750"/>
      </w:pPr>
      <w:rPr>
        <w:rFonts w:hint="default"/>
        <w:lang w:val="en-US" w:eastAsia="en-US" w:bidi="ar-SA"/>
      </w:rPr>
    </w:lvl>
    <w:lvl w:ilvl="2">
      <w:start w:val="3"/>
      <w:numFmt w:val="decimal"/>
      <w:lvlText w:val="%1.%2.%3"/>
      <w:lvlJc w:val="left"/>
      <w:pPr>
        <w:ind w:left="175" w:hanging="750"/>
      </w:pPr>
      <w:rPr>
        <w:rFonts w:hint="default"/>
        <w:lang w:val="en-US" w:eastAsia="en-US" w:bidi="ar-SA"/>
      </w:rPr>
    </w:lvl>
    <w:lvl w:ilvl="3">
      <w:start w:val="1"/>
      <w:numFmt w:val="decimal"/>
      <w:lvlText w:val="%1.%2.%3.%4"/>
      <w:lvlJc w:val="left"/>
      <w:pPr>
        <w:ind w:left="175" w:hanging="750"/>
      </w:pPr>
      <w:rPr>
        <w:rFonts w:ascii="Arial" w:eastAsia="Arial" w:hAnsi="Arial" w:cs="Arial" w:hint="default"/>
        <w:color w:val="231F20"/>
        <w:w w:val="99"/>
        <w:sz w:val="22"/>
        <w:szCs w:val="22"/>
        <w:lang w:val="en-US" w:eastAsia="en-US" w:bidi="ar-SA"/>
      </w:rPr>
    </w:lvl>
    <w:lvl w:ilvl="4">
      <w:numFmt w:val="bullet"/>
      <w:lvlText w:val="•"/>
      <w:lvlJc w:val="left"/>
      <w:pPr>
        <w:ind w:left="3990" w:hanging="750"/>
      </w:pPr>
      <w:rPr>
        <w:rFonts w:hint="default"/>
        <w:lang w:val="en-US" w:eastAsia="en-US" w:bidi="ar-SA"/>
      </w:rPr>
    </w:lvl>
    <w:lvl w:ilvl="5">
      <w:numFmt w:val="bullet"/>
      <w:lvlText w:val="•"/>
      <w:lvlJc w:val="left"/>
      <w:pPr>
        <w:ind w:left="4942" w:hanging="750"/>
      </w:pPr>
      <w:rPr>
        <w:rFonts w:hint="default"/>
        <w:lang w:val="en-US" w:eastAsia="en-US" w:bidi="ar-SA"/>
      </w:rPr>
    </w:lvl>
    <w:lvl w:ilvl="6">
      <w:numFmt w:val="bullet"/>
      <w:lvlText w:val="•"/>
      <w:lvlJc w:val="left"/>
      <w:pPr>
        <w:ind w:left="5895" w:hanging="750"/>
      </w:pPr>
      <w:rPr>
        <w:rFonts w:hint="default"/>
        <w:lang w:val="en-US" w:eastAsia="en-US" w:bidi="ar-SA"/>
      </w:rPr>
    </w:lvl>
    <w:lvl w:ilvl="7">
      <w:numFmt w:val="bullet"/>
      <w:lvlText w:val="•"/>
      <w:lvlJc w:val="left"/>
      <w:pPr>
        <w:ind w:left="6847" w:hanging="750"/>
      </w:pPr>
      <w:rPr>
        <w:rFonts w:hint="default"/>
        <w:lang w:val="en-US" w:eastAsia="en-US" w:bidi="ar-SA"/>
      </w:rPr>
    </w:lvl>
    <w:lvl w:ilvl="8">
      <w:numFmt w:val="bullet"/>
      <w:lvlText w:val="•"/>
      <w:lvlJc w:val="left"/>
      <w:pPr>
        <w:ind w:left="7800" w:hanging="750"/>
      </w:pPr>
      <w:rPr>
        <w:rFonts w:hint="default"/>
        <w:lang w:val="en-US" w:eastAsia="en-US" w:bidi="ar-SA"/>
      </w:rPr>
    </w:lvl>
  </w:abstractNum>
  <w:abstractNum w:abstractNumId="214" w15:restartNumberingAfterBreak="0">
    <w:nsid w:val="5676276D"/>
    <w:multiLevelType w:val="hybridMultilevel"/>
    <w:tmpl w:val="79D0A27A"/>
    <w:lvl w:ilvl="0" w:tplc="B1465180">
      <w:start w:val="1"/>
      <w:numFmt w:val="decimal"/>
      <w:lvlText w:val="%1."/>
      <w:lvlJc w:val="left"/>
      <w:pPr>
        <w:ind w:left="896" w:hanging="391"/>
      </w:pPr>
      <w:rPr>
        <w:rFonts w:ascii="Arial" w:eastAsia="Arial" w:hAnsi="Arial" w:cs="Arial" w:hint="default"/>
        <w:color w:val="231F20"/>
        <w:w w:val="114"/>
        <w:sz w:val="17"/>
        <w:szCs w:val="17"/>
        <w:lang w:val="en-US" w:eastAsia="en-US" w:bidi="ar-SA"/>
      </w:rPr>
    </w:lvl>
    <w:lvl w:ilvl="1" w:tplc="2B7C9A20">
      <w:numFmt w:val="bullet"/>
      <w:lvlText w:val="•"/>
      <w:lvlJc w:val="left"/>
      <w:pPr>
        <w:ind w:left="1197" w:hanging="391"/>
      </w:pPr>
      <w:rPr>
        <w:rFonts w:hint="default"/>
        <w:lang w:val="en-US" w:eastAsia="en-US" w:bidi="ar-SA"/>
      </w:rPr>
    </w:lvl>
    <w:lvl w:ilvl="2" w:tplc="339677F6">
      <w:numFmt w:val="bullet"/>
      <w:lvlText w:val="•"/>
      <w:lvlJc w:val="left"/>
      <w:pPr>
        <w:ind w:left="1494" w:hanging="391"/>
      </w:pPr>
      <w:rPr>
        <w:rFonts w:hint="default"/>
        <w:lang w:val="en-US" w:eastAsia="en-US" w:bidi="ar-SA"/>
      </w:rPr>
    </w:lvl>
    <w:lvl w:ilvl="3" w:tplc="75246A3C">
      <w:numFmt w:val="bullet"/>
      <w:lvlText w:val="•"/>
      <w:lvlJc w:val="left"/>
      <w:pPr>
        <w:ind w:left="1792" w:hanging="391"/>
      </w:pPr>
      <w:rPr>
        <w:rFonts w:hint="default"/>
        <w:lang w:val="en-US" w:eastAsia="en-US" w:bidi="ar-SA"/>
      </w:rPr>
    </w:lvl>
    <w:lvl w:ilvl="4" w:tplc="E07A6394">
      <w:numFmt w:val="bullet"/>
      <w:lvlText w:val="•"/>
      <w:lvlJc w:val="left"/>
      <w:pPr>
        <w:ind w:left="2089" w:hanging="391"/>
      </w:pPr>
      <w:rPr>
        <w:rFonts w:hint="default"/>
        <w:lang w:val="en-US" w:eastAsia="en-US" w:bidi="ar-SA"/>
      </w:rPr>
    </w:lvl>
    <w:lvl w:ilvl="5" w:tplc="ACCA502C">
      <w:numFmt w:val="bullet"/>
      <w:lvlText w:val="•"/>
      <w:lvlJc w:val="left"/>
      <w:pPr>
        <w:ind w:left="2387" w:hanging="391"/>
      </w:pPr>
      <w:rPr>
        <w:rFonts w:hint="default"/>
        <w:lang w:val="en-US" w:eastAsia="en-US" w:bidi="ar-SA"/>
      </w:rPr>
    </w:lvl>
    <w:lvl w:ilvl="6" w:tplc="0AA6DDBA">
      <w:numFmt w:val="bullet"/>
      <w:lvlText w:val="•"/>
      <w:lvlJc w:val="left"/>
      <w:pPr>
        <w:ind w:left="2684" w:hanging="391"/>
      </w:pPr>
      <w:rPr>
        <w:rFonts w:hint="default"/>
        <w:lang w:val="en-US" w:eastAsia="en-US" w:bidi="ar-SA"/>
      </w:rPr>
    </w:lvl>
    <w:lvl w:ilvl="7" w:tplc="BA6A24EC">
      <w:numFmt w:val="bullet"/>
      <w:lvlText w:val="•"/>
      <w:lvlJc w:val="left"/>
      <w:pPr>
        <w:ind w:left="2981" w:hanging="391"/>
      </w:pPr>
      <w:rPr>
        <w:rFonts w:hint="default"/>
        <w:lang w:val="en-US" w:eastAsia="en-US" w:bidi="ar-SA"/>
      </w:rPr>
    </w:lvl>
    <w:lvl w:ilvl="8" w:tplc="E14467F2">
      <w:numFmt w:val="bullet"/>
      <w:lvlText w:val="•"/>
      <w:lvlJc w:val="left"/>
      <w:pPr>
        <w:ind w:left="3279" w:hanging="391"/>
      </w:pPr>
      <w:rPr>
        <w:rFonts w:hint="default"/>
        <w:lang w:val="en-US" w:eastAsia="en-US" w:bidi="ar-SA"/>
      </w:rPr>
    </w:lvl>
  </w:abstractNum>
  <w:abstractNum w:abstractNumId="215" w15:restartNumberingAfterBreak="0">
    <w:nsid w:val="567B634D"/>
    <w:multiLevelType w:val="hybridMultilevel"/>
    <w:tmpl w:val="A7060228"/>
    <w:lvl w:ilvl="0" w:tplc="FA226D6E">
      <w:numFmt w:val="bullet"/>
      <w:lvlText w:val="•"/>
      <w:lvlJc w:val="left"/>
      <w:pPr>
        <w:ind w:left="18" w:hanging="74"/>
      </w:pPr>
      <w:rPr>
        <w:rFonts w:ascii="Arial" w:eastAsia="Arial" w:hAnsi="Arial" w:cs="Arial" w:hint="default"/>
        <w:color w:val="231F20"/>
        <w:w w:val="106"/>
        <w:sz w:val="11"/>
        <w:szCs w:val="11"/>
        <w:lang w:val="en-US" w:eastAsia="en-US" w:bidi="ar-SA"/>
      </w:rPr>
    </w:lvl>
    <w:lvl w:ilvl="1" w:tplc="7868A968">
      <w:numFmt w:val="bullet"/>
      <w:lvlText w:val="•"/>
      <w:lvlJc w:val="left"/>
      <w:pPr>
        <w:ind w:left="252" w:hanging="74"/>
      </w:pPr>
      <w:rPr>
        <w:rFonts w:hint="default"/>
        <w:lang w:val="en-US" w:eastAsia="en-US" w:bidi="ar-SA"/>
      </w:rPr>
    </w:lvl>
    <w:lvl w:ilvl="2" w:tplc="86F4E19E">
      <w:numFmt w:val="bullet"/>
      <w:lvlText w:val="•"/>
      <w:lvlJc w:val="left"/>
      <w:pPr>
        <w:ind w:left="485" w:hanging="74"/>
      </w:pPr>
      <w:rPr>
        <w:rFonts w:hint="default"/>
        <w:lang w:val="en-US" w:eastAsia="en-US" w:bidi="ar-SA"/>
      </w:rPr>
    </w:lvl>
    <w:lvl w:ilvl="3" w:tplc="09D81E68">
      <w:numFmt w:val="bullet"/>
      <w:lvlText w:val="•"/>
      <w:lvlJc w:val="left"/>
      <w:pPr>
        <w:ind w:left="718" w:hanging="74"/>
      </w:pPr>
      <w:rPr>
        <w:rFonts w:hint="default"/>
        <w:lang w:val="en-US" w:eastAsia="en-US" w:bidi="ar-SA"/>
      </w:rPr>
    </w:lvl>
    <w:lvl w:ilvl="4" w:tplc="FE1C4048">
      <w:numFmt w:val="bullet"/>
      <w:lvlText w:val="•"/>
      <w:lvlJc w:val="left"/>
      <w:pPr>
        <w:ind w:left="951" w:hanging="74"/>
      </w:pPr>
      <w:rPr>
        <w:rFonts w:hint="default"/>
        <w:lang w:val="en-US" w:eastAsia="en-US" w:bidi="ar-SA"/>
      </w:rPr>
    </w:lvl>
    <w:lvl w:ilvl="5" w:tplc="99C80E62">
      <w:numFmt w:val="bullet"/>
      <w:lvlText w:val="•"/>
      <w:lvlJc w:val="left"/>
      <w:pPr>
        <w:ind w:left="1184" w:hanging="74"/>
      </w:pPr>
      <w:rPr>
        <w:rFonts w:hint="default"/>
        <w:lang w:val="en-US" w:eastAsia="en-US" w:bidi="ar-SA"/>
      </w:rPr>
    </w:lvl>
    <w:lvl w:ilvl="6" w:tplc="3588EA20">
      <w:numFmt w:val="bullet"/>
      <w:lvlText w:val="•"/>
      <w:lvlJc w:val="left"/>
      <w:pPr>
        <w:ind w:left="1416" w:hanging="74"/>
      </w:pPr>
      <w:rPr>
        <w:rFonts w:hint="default"/>
        <w:lang w:val="en-US" w:eastAsia="en-US" w:bidi="ar-SA"/>
      </w:rPr>
    </w:lvl>
    <w:lvl w:ilvl="7" w:tplc="5BE2671E">
      <w:numFmt w:val="bullet"/>
      <w:lvlText w:val="•"/>
      <w:lvlJc w:val="left"/>
      <w:pPr>
        <w:ind w:left="1649" w:hanging="74"/>
      </w:pPr>
      <w:rPr>
        <w:rFonts w:hint="default"/>
        <w:lang w:val="en-US" w:eastAsia="en-US" w:bidi="ar-SA"/>
      </w:rPr>
    </w:lvl>
    <w:lvl w:ilvl="8" w:tplc="42D8C83C">
      <w:numFmt w:val="bullet"/>
      <w:lvlText w:val="•"/>
      <w:lvlJc w:val="left"/>
      <w:pPr>
        <w:ind w:left="1882" w:hanging="74"/>
      </w:pPr>
      <w:rPr>
        <w:rFonts w:hint="default"/>
        <w:lang w:val="en-US" w:eastAsia="en-US" w:bidi="ar-SA"/>
      </w:rPr>
    </w:lvl>
  </w:abstractNum>
  <w:abstractNum w:abstractNumId="216" w15:restartNumberingAfterBreak="0">
    <w:nsid w:val="56DB52DC"/>
    <w:multiLevelType w:val="multilevel"/>
    <w:tmpl w:val="98EC2DE4"/>
    <w:lvl w:ilvl="0">
      <w:start w:val="3"/>
      <w:numFmt w:val="decimal"/>
      <w:lvlText w:val="%1"/>
      <w:lvlJc w:val="left"/>
      <w:pPr>
        <w:ind w:left="130" w:hanging="361"/>
      </w:pPr>
      <w:rPr>
        <w:rFonts w:hint="default"/>
        <w:lang w:val="en-US" w:eastAsia="en-US" w:bidi="ar-SA"/>
      </w:rPr>
    </w:lvl>
    <w:lvl w:ilvl="1">
      <w:start w:val="1"/>
      <w:numFmt w:val="decimal"/>
      <w:lvlText w:val="%1.%2"/>
      <w:lvlJc w:val="left"/>
      <w:pPr>
        <w:ind w:left="130" w:hanging="361"/>
      </w:pPr>
      <w:rPr>
        <w:rFonts w:ascii="Arial" w:eastAsia="Arial" w:hAnsi="Arial" w:cs="Arial" w:hint="default"/>
        <w:b/>
        <w:bCs/>
        <w:color w:val="231F20"/>
        <w:w w:val="99"/>
        <w:sz w:val="22"/>
        <w:szCs w:val="22"/>
        <w:lang w:val="en-US" w:eastAsia="en-US" w:bidi="ar-SA"/>
      </w:rPr>
    </w:lvl>
    <w:lvl w:ilvl="2">
      <w:numFmt w:val="bullet"/>
      <w:lvlText w:val="•"/>
      <w:lvlJc w:val="left"/>
      <w:pPr>
        <w:ind w:left="2053" w:hanging="361"/>
      </w:pPr>
      <w:rPr>
        <w:rFonts w:hint="default"/>
        <w:lang w:val="en-US" w:eastAsia="en-US" w:bidi="ar-SA"/>
      </w:rPr>
    </w:lvl>
    <w:lvl w:ilvl="3">
      <w:numFmt w:val="bullet"/>
      <w:lvlText w:val="•"/>
      <w:lvlJc w:val="left"/>
      <w:pPr>
        <w:ind w:left="3009" w:hanging="361"/>
      </w:pPr>
      <w:rPr>
        <w:rFonts w:hint="default"/>
        <w:lang w:val="en-US" w:eastAsia="en-US" w:bidi="ar-SA"/>
      </w:rPr>
    </w:lvl>
    <w:lvl w:ilvl="4">
      <w:numFmt w:val="bullet"/>
      <w:lvlText w:val="•"/>
      <w:lvlJc w:val="left"/>
      <w:pPr>
        <w:ind w:left="3966" w:hanging="361"/>
      </w:pPr>
      <w:rPr>
        <w:rFonts w:hint="default"/>
        <w:lang w:val="en-US" w:eastAsia="en-US" w:bidi="ar-SA"/>
      </w:rPr>
    </w:lvl>
    <w:lvl w:ilvl="5">
      <w:numFmt w:val="bullet"/>
      <w:lvlText w:val="•"/>
      <w:lvlJc w:val="left"/>
      <w:pPr>
        <w:ind w:left="4922" w:hanging="361"/>
      </w:pPr>
      <w:rPr>
        <w:rFonts w:hint="default"/>
        <w:lang w:val="en-US" w:eastAsia="en-US" w:bidi="ar-SA"/>
      </w:rPr>
    </w:lvl>
    <w:lvl w:ilvl="6">
      <w:numFmt w:val="bullet"/>
      <w:lvlText w:val="•"/>
      <w:lvlJc w:val="left"/>
      <w:pPr>
        <w:ind w:left="5879" w:hanging="361"/>
      </w:pPr>
      <w:rPr>
        <w:rFonts w:hint="default"/>
        <w:lang w:val="en-US" w:eastAsia="en-US" w:bidi="ar-SA"/>
      </w:rPr>
    </w:lvl>
    <w:lvl w:ilvl="7">
      <w:numFmt w:val="bullet"/>
      <w:lvlText w:val="•"/>
      <w:lvlJc w:val="left"/>
      <w:pPr>
        <w:ind w:left="6835" w:hanging="361"/>
      </w:pPr>
      <w:rPr>
        <w:rFonts w:hint="default"/>
        <w:lang w:val="en-US" w:eastAsia="en-US" w:bidi="ar-SA"/>
      </w:rPr>
    </w:lvl>
    <w:lvl w:ilvl="8">
      <w:numFmt w:val="bullet"/>
      <w:lvlText w:val="•"/>
      <w:lvlJc w:val="left"/>
      <w:pPr>
        <w:ind w:left="7792" w:hanging="361"/>
      </w:pPr>
      <w:rPr>
        <w:rFonts w:hint="default"/>
        <w:lang w:val="en-US" w:eastAsia="en-US" w:bidi="ar-SA"/>
      </w:rPr>
    </w:lvl>
  </w:abstractNum>
  <w:abstractNum w:abstractNumId="217" w15:restartNumberingAfterBreak="0">
    <w:nsid w:val="572D1125"/>
    <w:multiLevelType w:val="multilevel"/>
    <w:tmpl w:val="E3026AB6"/>
    <w:lvl w:ilvl="0">
      <w:start w:val="1"/>
      <w:numFmt w:val="decimal"/>
      <w:lvlText w:val="%1"/>
      <w:lvlJc w:val="left"/>
      <w:pPr>
        <w:ind w:left="872" w:hanging="720"/>
      </w:pPr>
      <w:rPr>
        <w:rFonts w:hint="default"/>
        <w:lang w:val="en-US" w:eastAsia="en-US" w:bidi="ar-SA"/>
      </w:rPr>
    </w:lvl>
    <w:lvl w:ilvl="1">
      <w:start w:val="1"/>
      <w:numFmt w:val="decimal"/>
      <w:lvlText w:val="%1.%2"/>
      <w:lvlJc w:val="left"/>
      <w:pPr>
        <w:ind w:left="872" w:hanging="720"/>
      </w:pPr>
      <w:rPr>
        <w:rFonts w:ascii="Arial" w:eastAsia="Arial" w:hAnsi="Arial" w:cs="Arial" w:hint="default"/>
        <w:b/>
        <w:bCs/>
        <w:color w:val="231F20"/>
        <w:w w:val="99"/>
        <w:sz w:val="22"/>
        <w:szCs w:val="22"/>
        <w:lang w:val="en-US" w:eastAsia="en-US" w:bidi="ar-SA"/>
      </w:rPr>
    </w:lvl>
    <w:lvl w:ilvl="2">
      <w:start w:val="1"/>
      <w:numFmt w:val="decimal"/>
      <w:lvlText w:val="%1.%2.%3"/>
      <w:lvlJc w:val="left"/>
      <w:pPr>
        <w:ind w:left="860" w:hanging="720"/>
      </w:pPr>
      <w:rPr>
        <w:rFonts w:hint="default"/>
        <w:b/>
        <w:bCs/>
        <w:spacing w:val="-25"/>
        <w:w w:val="99"/>
        <w:lang w:val="en-US" w:eastAsia="en-US" w:bidi="ar-SA"/>
      </w:rPr>
    </w:lvl>
    <w:lvl w:ilvl="3">
      <w:numFmt w:val="bullet"/>
      <w:lvlText w:val="•"/>
      <w:lvlJc w:val="left"/>
      <w:pPr>
        <w:ind w:left="1983" w:hanging="720"/>
      </w:pPr>
      <w:rPr>
        <w:rFonts w:hint="default"/>
        <w:lang w:val="en-US" w:eastAsia="en-US" w:bidi="ar-SA"/>
      </w:rPr>
    </w:lvl>
    <w:lvl w:ilvl="4">
      <w:numFmt w:val="bullet"/>
      <w:lvlText w:val="•"/>
      <w:lvlJc w:val="left"/>
      <w:pPr>
        <w:ind w:left="3086" w:hanging="720"/>
      </w:pPr>
      <w:rPr>
        <w:rFonts w:hint="default"/>
        <w:lang w:val="en-US" w:eastAsia="en-US" w:bidi="ar-SA"/>
      </w:rPr>
    </w:lvl>
    <w:lvl w:ilvl="5">
      <w:numFmt w:val="bullet"/>
      <w:lvlText w:val="•"/>
      <w:lvlJc w:val="left"/>
      <w:pPr>
        <w:ind w:left="4189" w:hanging="720"/>
      </w:pPr>
      <w:rPr>
        <w:rFonts w:hint="default"/>
        <w:lang w:val="en-US" w:eastAsia="en-US" w:bidi="ar-SA"/>
      </w:rPr>
    </w:lvl>
    <w:lvl w:ilvl="6">
      <w:numFmt w:val="bullet"/>
      <w:lvlText w:val="•"/>
      <w:lvlJc w:val="left"/>
      <w:pPr>
        <w:ind w:left="5292" w:hanging="720"/>
      </w:pPr>
      <w:rPr>
        <w:rFonts w:hint="default"/>
        <w:lang w:val="en-US" w:eastAsia="en-US" w:bidi="ar-SA"/>
      </w:rPr>
    </w:lvl>
    <w:lvl w:ilvl="7">
      <w:numFmt w:val="bullet"/>
      <w:lvlText w:val="•"/>
      <w:lvlJc w:val="left"/>
      <w:pPr>
        <w:ind w:left="6395" w:hanging="720"/>
      </w:pPr>
      <w:rPr>
        <w:rFonts w:hint="default"/>
        <w:lang w:val="en-US" w:eastAsia="en-US" w:bidi="ar-SA"/>
      </w:rPr>
    </w:lvl>
    <w:lvl w:ilvl="8">
      <w:numFmt w:val="bullet"/>
      <w:lvlText w:val="•"/>
      <w:lvlJc w:val="left"/>
      <w:pPr>
        <w:ind w:left="7499" w:hanging="720"/>
      </w:pPr>
      <w:rPr>
        <w:rFonts w:hint="default"/>
        <w:lang w:val="en-US" w:eastAsia="en-US" w:bidi="ar-SA"/>
      </w:rPr>
    </w:lvl>
  </w:abstractNum>
  <w:abstractNum w:abstractNumId="218" w15:restartNumberingAfterBreak="0">
    <w:nsid w:val="574C5634"/>
    <w:multiLevelType w:val="multilevel"/>
    <w:tmpl w:val="5798F416"/>
    <w:lvl w:ilvl="0">
      <w:start w:val="10"/>
      <w:numFmt w:val="decimal"/>
      <w:lvlText w:val="%1"/>
      <w:lvlJc w:val="left"/>
      <w:pPr>
        <w:ind w:left="676" w:hanging="508"/>
      </w:pPr>
      <w:rPr>
        <w:rFonts w:hint="default"/>
        <w:lang w:val="en-US" w:eastAsia="en-US" w:bidi="ar-SA"/>
      </w:rPr>
    </w:lvl>
    <w:lvl w:ilvl="1">
      <w:start w:val="1"/>
      <w:numFmt w:val="decimal"/>
      <w:lvlText w:val="%1.%2"/>
      <w:lvlJc w:val="left"/>
      <w:pPr>
        <w:ind w:left="676" w:hanging="508"/>
      </w:pPr>
      <w:rPr>
        <w:rFonts w:ascii="Arial" w:eastAsia="Arial" w:hAnsi="Arial" w:cs="Arial" w:hint="default"/>
        <w:color w:val="231F20"/>
        <w:w w:val="99"/>
        <w:sz w:val="24"/>
        <w:szCs w:val="24"/>
        <w:lang w:val="en-US" w:eastAsia="en-US" w:bidi="ar-SA"/>
      </w:rPr>
    </w:lvl>
    <w:lvl w:ilvl="2">
      <w:numFmt w:val="bullet"/>
      <w:lvlText w:val="•"/>
      <w:lvlJc w:val="left"/>
      <w:pPr>
        <w:ind w:left="2485" w:hanging="508"/>
      </w:pPr>
      <w:rPr>
        <w:rFonts w:hint="default"/>
        <w:lang w:val="en-US" w:eastAsia="en-US" w:bidi="ar-SA"/>
      </w:rPr>
    </w:lvl>
    <w:lvl w:ilvl="3">
      <w:numFmt w:val="bullet"/>
      <w:lvlText w:val="•"/>
      <w:lvlJc w:val="left"/>
      <w:pPr>
        <w:ind w:left="3387" w:hanging="508"/>
      </w:pPr>
      <w:rPr>
        <w:rFonts w:hint="default"/>
        <w:lang w:val="en-US" w:eastAsia="en-US" w:bidi="ar-SA"/>
      </w:rPr>
    </w:lvl>
    <w:lvl w:ilvl="4">
      <w:numFmt w:val="bullet"/>
      <w:lvlText w:val="•"/>
      <w:lvlJc w:val="left"/>
      <w:pPr>
        <w:ind w:left="4290" w:hanging="508"/>
      </w:pPr>
      <w:rPr>
        <w:rFonts w:hint="default"/>
        <w:lang w:val="en-US" w:eastAsia="en-US" w:bidi="ar-SA"/>
      </w:rPr>
    </w:lvl>
    <w:lvl w:ilvl="5">
      <w:numFmt w:val="bullet"/>
      <w:lvlText w:val="•"/>
      <w:lvlJc w:val="left"/>
      <w:pPr>
        <w:ind w:left="5192" w:hanging="508"/>
      </w:pPr>
      <w:rPr>
        <w:rFonts w:hint="default"/>
        <w:lang w:val="en-US" w:eastAsia="en-US" w:bidi="ar-SA"/>
      </w:rPr>
    </w:lvl>
    <w:lvl w:ilvl="6">
      <w:numFmt w:val="bullet"/>
      <w:lvlText w:val="•"/>
      <w:lvlJc w:val="left"/>
      <w:pPr>
        <w:ind w:left="6095" w:hanging="508"/>
      </w:pPr>
      <w:rPr>
        <w:rFonts w:hint="default"/>
        <w:lang w:val="en-US" w:eastAsia="en-US" w:bidi="ar-SA"/>
      </w:rPr>
    </w:lvl>
    <w:lvl w:ilvl="7">
      <w:numFmt w:val="bullet"/>
      <w:lvlText w:val="•"/>
      <w:lvlJc w:val="left"/>
      <w:pPr>
        <w:ind w:left="6997" w:hanging="508"/>
      </w:pPr>
      <w:rPr>
        <w:rFonts w:hint="default"/>
        <w:lang w:val="en-US" w:eastAsia="en-US" w:bidi="ar-SA"/>
      </w:rPr>
    </w:lvl>
    <w:lvl w:ilvl="8">
      <w:numFmt w:val="bullet"/>
      <w:lvlText w:val="•"/>
      <w:lvlJc w:val="left"/>
      <w:pPr>
        <w:ind w:left="7900" w:hanging="508"/>
      </w:pPr>
      <w:rPr>
        <w:rFonts w:hint="default"/>
        <w:lang w:val="en-US" w:eastAsia="en-US" w:bidi="ar-SA"/>
      </w:rPr>
    </w:lvl>
  </w:abstractNum>
  <w:abstractNum w:abstractNumId="219" w15:restartNumberingAfterBreak="0">
    <w:nsid w:val="584516AB"/>
    <w:multiLevelType w:val="hybridMultilevel"/>
    <w:tmpl w:val="9D1CC1C2"/>
    <w:lvl w:ilvl="0" w:tplc="C1EE6D4C">
      <w:numFmt w:val="bullet"/>
      <w:lvlText w:val="•"/>
      <w:lvlJc w:val="left"/>
      <w:pPr>
        <w:ind w:left="25" w:hanging="78"/>
      </w:pPr>
      <w:rPr>
        <w:rFonts w:ascii="Arial" w:eastAsia="Arial" w:hAnsi="Arial" w:cs="Arial" w:hint="default"/>
        <w:color w:val="231F20"/>
        <w:w w:val="95"/>
        <w:sz w:val="13"/>
        <w:szCs w:val="13"/>
        <w:lang w:val="en-US" w:eastAsia="en-US" w:bidi="ar-SA"/>
      </w:rPr>
    </w:lvl>
    <w:lvl w:ilvl="1" w:tplc="9AF068CC">
      <w:numFmt w:val="bullet"/>
      <w:lvlText w:val="•"/>
      <w:lvlJc w:val="left"/>
      <w:pPr>
        <w:ind w:left="265" w:hanging="78"/>
      </w:pPr>
      <w:rPr>
        <w:rFonts w:hint="default"/>
        <w:lang w:val="en-US" w:eastAsia="en-US" w:bidi="ar-SA"/>
      </w:rPr>
    </w:lvl>
    <w:lvl w:ilvl="2" w:tplc="B32A0028">
      <w:numFmt w:val="bullet"/>
      <w:lvlText w:val="•"/>
      <w:lvlJc w:val="left"/>
      <w:pPr>
        <w:ind w:left="510" w:hanging="78"/>
      </w:pPr>
      <w:rPr>
        <w:rFonts w:hint="default"/>
        <w:lang w:val="en-US" w:eastAsia="en-US" w:bidi="ar-SA"/>
      </w:rPr>
    </w:lvl>
    <w:lvl w:ilvl="3" w:tplc="5FF81148">
      <w:numFmt w:val="bullet"/>
      <w:lvlText w:val="•"/>
      <w:lvlJc w:val="left"/>
      <w:pPr>
        <w:ind w:left="755" w:hanging="78"/>
      </w:pPr>
      <w:rPr>
        <w:rFonts w:hint="default"/>
        <w:lang w:val="en-US" w:eastAsia="en-US" w:bidi="ar-SA"/>
      </w:rPr>
    </w:lvl>
    <w:lvl w:ilvl="4" w:tplc="7870064C">
      <w:numFmt w:val="bullet"/>
      <w:lvlText w:val="•"/>
      <w:lvlJc w:val="left"/>
      <w:pPr>
        <w:ind w:left="1001" w:hanging="78"/>
      </w:pPr>
      <w:rPr>
        <w:rFonts w:hint="default"/>
        <w:lang w:val="en-US" w:eastAsia="en-US" w:bidi="ar-SA"/>
      </w:rPr>
    </w:lvl>
    <w:lvl w:ilvl="5" w:tplc="E2AC6350">
      <w:numFmt w:val="bullet"/>
      <w:lvlText w:val="•"/>
      <w:lvlJc w:val="left"/>
      <w:pPr>
        <w:ind w:left="1246" w:hanging="78"/>
      </w:pPr>
      <w:rPr>
        <w:rFonts w:hint="default"/>
        <w:lang w:val="en-US" w:eastAsia="en-US" w:bidi="ar-SA"/>
      </w:rPr>
    </w:lvl>
    <w:lvl w:ilvl="6" w:tplc="61EE8318">
      <w:numFmt w:val="bullet"/>
      <w:lvlText w:val="•"/>
      <w:lvlJc w:val="left"/>
      <w:pPr>
        <w:ind w:left="1491" w:hanging="78"/>
      </w:pPr>
      <w:rPr>
        <w:rFonts w:hint="default"/>
        <w:lang w:val="en-US" w:eastAsia="en-US" w:bidi="ar-SA"/>
      </w:rPr>
    </w:lvl>
    <w:lvl w:ilvl="7" w:tplc="998AEF50">
      <w:numFmt w:val="bullet"/>
      <w:lvlText w:val="•"/>
      <w:lvlJc w:val="left"/>
      <w:pPr>
        <w:ind w:left="1737" w:hanging="78"/>
      </w:pPr>
      <w:rPr>
        <w:rFonts w:hint="default"/>
        <w:lang w:val="en-US" w:eastAsia="en-US" w:bidi="ar-SA"/>
      </w:rPr>
    </w:lvl>
    <w:lvl w:ilvl="8" w:tplc="5BE6FF16">
      <w:numFmt w:val="bullet"/>
      <w:lvlText w:val="•"/>
      <w:lvlJc w:val="left"/>
      <w:pPr>
        <w:ind w:left="1982" w:hanging="78"/>
      </w:pPr>
      <w:rPr>
        <w:rFonts w:hint="default"/>
        <w:lang w:val="en-US" w:eastAsia="en-US" w:bidi="ar-SA"/>
      </w:rPr>
    </w:lvl>
  </w:abstractNum>
  <w:abstractNum w:abstractNumId="220" w15:restartNumberingAfterBreak="0">
    <w:nsid w:val="59A83CE7"/>
    <w:multiLevelType w:val="hybridMultilevel"/>
    <w:tmpl w:val="72B88354"/>
    <w:lvl w:ilvl="0" w:tplc="BA54C9BC">
      <w:numFmt w:val="bullet"/>
      <w:lvlText w:val="•"/>
      <w:lvlJc w:val="left"/>
      <w:pPr>
        <w:ind w:left="27" w:hanging="72"/>
      </w:pPr>
      <w:rPr>
        <w:rFonts w:ascii="Arial" w:eastAsia="Arial" w:hAnsi="Arial" w:cs="Arial" w:hint="default"/>
        <w:color w:val="231F20"/>
        <w:w w:val="104"/>
        <w:sz w:val="12"/>
        <w:szCs w:val="12"/>
        <w:lang w:val="en-US" w:eastAsia="en-US" w:bidi="ar-SA"/>
      </w:rPr>
    </w:lvl>
    <w:lvl w:ilvl="1" w:tplc="DAF0B6E4">
      <w:numFmt w:val="bullet"/>
      <w:lvlText w:val="•"/>
      <w:lvlJc w:val="left"/>
      <w:pPr>
        <w:ind w:left="268" w:hanging="72"/>
      </w:pPr>
      <w:rPr>
        <w:rFonts w:hint="default"/>
        <w:lang w:val="en-US" w:eastAsia="en-US" w:bidi="ar-SA"/>
      </w:rPr>
    </w:lvl>
    <w:lvl w:ilvl="2" w:tplc="BA2E2ED4">
      <w:numFmt w:val="bullet"/>
      <w:lvlText w:val="•"/>
      <w:lvlJc w:val="left"/>
      <w:pPr>
        <w:ind w:left="516" w:hanging="72"/>
      </w:pPr>
      <w:rPr>
        <w:rFonts w:hint="default"/>
        <w:lang w:val="en-US" w:eastAsia="en-US" w:bidi="ar-SA"/>
      </w:rPr>
    </w:lvl>
    <w:lvl w:ilvl="3" w:tplc="C37E5366">
      <w:numFmt w:val="bullet"/>
      <w:lvlText w:val="•"/>
      <w:lvlJc w:val="left"/>
      <w:pPr>
        <w:ind w:left="764" w:hanging="72"/>
      </w:pPr>
      <w:rPr>
        <w:rFonts w:hint="default"/>
        <w:lang w:val="en-US" w:eastAsia="en-US" w:bidi="ar-SA"/>
      </w:rPr>
    </w:lvl>
    <w:lvl w:ilvl="4" w:tplc="F782CE36">
      <w:numFmt w:val="bullet"/>
      <w:lvlText w:val="•"/>
      <w:lvlJc w:val="left"/>
      <w:pPr>
        <w:ind w:left="1013" w:hanging="72"/>
      </w:pPr>
      <w:rPr>
        <w:rFonts w:hint="default"/>
        <w:lang w:val="en-US" w:eastAsia="en-US" w:bidi="ar-SA"/>
      </w:rPr>
    </w:lvl>
    <w:lvl w:ilvl="5" w:tplc="A01E43D4">
      <w:numFmt w:val="bullet"/>
      <w:lvlText w:val="•"/>
      <w:lvlJc w:val="left"/>
      <w:pPr>
        <w:ind w:left="1261" w:hanging="72"/>
      </w:pPr>
      <w:rPr>
        <w:rFonts w:hint="default"/>
        <w:lang w:val="en-US" w:eastAsia="en-US" w:bidi="ar-SA"/>
      </w:rPr>
    </w:lvl>
    <w:lvl w:ilvl="6" w:tplc="7FDC89BC">
      <w:numFmt w:val="bullet"/>
      <w:lvlText w:val="•"/>
      <w:lvlJc w:val="left"/>
      <w:pPr>
        <w:ind w:left="1509" w:hanging="72"/>
      </w:pPr>
      <w:rPr>
        <w:rFonts w:hint="default"/>
        <w:lang w:val="en-US" w:eastAsia="en-US" w:bidi="ar-SA"/>
      </w:rPr>
    </w:lvl>
    <w:lvl w:ilvl="7" w:tplc="6B40F61A">
      <w:numFmt w:val="bullet"/>
      <w:lvlText w:val="•"/>
      <w:lvlJc w:val="left"/>
      <w:pPr>
        <w:ind w:left="1758" w:hanging="72"/>
      </w:pPr>
      <w:rPr>
        <w:rFonts w:hint="default"/>
        <w:lang w:val="en-US" w:eastAsia="en-US" w:bidi="ar-SA"/>
      </w:rPr>
    </w:lvl>
    <w:lvl w:ilvl="8" w:tplc="FAC2AF0C">
      <w:numFmt w:val="bullet"/>
      <w:lvlText w:val="•"/>
      <w:lvlJc w:val="left"/>
      <w:pPr>
        <w:ind w:left="2006" w:hanging="72"/>
      </w:pPr>
      <w:rPr>
        <w:rFonts w:hint="default"/>
        <w:lang w:val="en-US" w:eastAsia="en-US" w:bidi="ar-SA"/>
      </w:rPr>
    </w:lvl>
  </w:abstractNum>
  <w:abstractNum w:abstractNumId="221" w15:restartNumberingAfterBreak="0">
    <w:nsid w:val="59F262EC"/>
    <w:multiLevelType w:val="hybridMultilevel"/>
    <w:tmpl w:val="6826DA20"/>
    <w:lvl w:ilvl="0" w:tplc="A55662D4">
      <w:numFmt w:val="bullet"/>
      <w:lvlText w:val="•"/>
      <w:lvlJc w:val="left"/>
      <w:pPr>
        <w:ind w:left="26" w:hanging="77"/>
      </w:pPr>
      <w:rPr>
        <w:rFonts w:ascii="Arial" w:eastAsia="Arial" w:hAnsi="Arial" w:cs="Arial" w:hint="default"/>
        <w:color w:val="231F20"/>
        <w:w w:val="86"/>
        <w:sz w:val="14"/>
        <w:szCs w:val="14"/>
        <w:lang w:val="en-US" w:eastAsia="en-US" w:bidi="ar-SA"/>
      </w:rPr>
    </w:lvl>
    <w:lvl w:ilvl="1" w:tplc="CAB66718">
      <w:numFmt w:val="bullet"/>
      <w:lvlText w:val="•"/>
      <w:lvlJc w:val="left"/>
      <w:pPr>
        <w:ind w:left="259" w:hanging="77"/>
      </w:pPr>
      <w:rPr>
        <w:rFonts w:hint="default"/>
        <w:lang w:val="en-US" w:eastAsia="en-US" w:bidi="ar-SA"/>
      </w:rPr>
    </w:lvl>
    <w:lvl w:ilvl="2" w:tplc="7990E512">
      <w:numFmt w:val="bullet"/>
      <w:lvlText w:val="•"/>
      <w:lvlJc w:val="left"/>
      <w:pPr>
        <w:ind w:left="499" w:hanging="77"/>
      </w:pPr>
      <w:rPr>
        <w:rFonts w:hint="default"/>
        <w:lang w:val="en-US" w:eastAsia="en-US" w:bidi="ar-SA"/>
      </w:rPr>
    </w:lvl>
    <w:lvl w:ilvl="3" w:tplc="9F80654A">
      <w:numFmt w:val="bullet"/>
      <w:lvlText w:val="•"/>
      <w:lvlJc w:val="left"/>
      <w:pPr>
        <w:ind w:left="739" w:hanging="77"/>
      </w:pPr>
      <w:rPr>
        <w:rFonts w:hint="default"/>
        <w:lang w:val="en-US" w:eastAsia="en-US" w:bidi="ar-SA"/>
      </w:rPr>
    </w:lvl>
    <w:lvl w:ilvl="4" w:tplc="55F89B4C">
      <w:numFmt w:val="bullet"/>
      <w:lvlText w:val="•"/>
      <w:lvlJc w:val="left"/>
      <w:pPr>
        <w:ind w:left="979" w:hanging="77"/>
      </w:pPr>
      <w:rPr>
        <w:rFonts w:hint="default"/>
        <w:lang w:val="en-US" w:eastAsia="en-US" w:bidi="ar-SA"/>
      </w:rPr>
    </w:lvl>
    <w:lvl w:ilvl="5" w:tplc="396418D4">
      <w:numFmt w:val="bullet"/>
      <w:lvlText w:val="•"/>
      <w:lvlJc w:val="left"/>
      <w:pPr>
        <w:ind w:left="1219" w:hanging="77"/>
      </w:pPr>
      <w:rPr>
        <w:rFonts w:hint="default"/>
        <w:lang w:val="en-US" w:eastAsia="en-US" w:bidi="ar-SA"/>
      </w:rPr>
    </w:lvl>
    <w:lvl w:ilvl="6" w:tplc="DB3AFBD0">
      <w:numFmt w:val="bullet"/>
      <w:lvlText w:val="•"/>
      <w:lvlJc w:val="left"/>
      <w:pPr>
        <w:ind w:left="1459" w:hanging="77"/>
      </w:pPr>
      <w:rPr>
        <w:rFonts w:hint="default"/>
        <w:lang w:val="en-US" w:eastAsia="en-US" w:bidi="ar-SA"/>
      </w:rPr>
    </w:lvl>
    <w:lvl w:ilvl="7" w:tplc="018EFD06">
      <w:numFmt w:val="bullet"/>
      <w:lvlText w:val="•"/>
      <w:lvlJc w:val="left"/>
      <w:pPr>
        <w:ind w:left="1699" w:hanging="77"/>
      </w:pPr>
      <w:rPr>
        <w:rFonts w:hint="default"/>
        <w:lang w:val="en-US" w:eastAsia="en-US" w:bidi="ar-SA"/>
      </w:rPr>
    </w:lvl>
    <w:lvl w:ilvl="8" w:tplc="9B848558">
      <w:numFmt w:val="bullet"/>
      <w:lvlText w:val="•"/>
      <w:lvlJc w:val="left"/>
      <w:pPr>
        <w:ind w:left="1939" w:hanging="77"/>
      </w:pPr>
      <w:rPr>
        <w:rFonts w:hint="default"/>
        <w:lang w:val="en-US" w:eastAsia="en-US" w:bidi="ar-SA"/>
      </w:rPr>
    </w:lvl>
  </w:abstractNum>
  <w:abstractNum w:abstractNumId="222" w15:restartNumberingAfterBreak="0">
    <w:nsid w:val="5A244FB4"/>
    <w:multiLevelType w:val="hybridMultilevel"/>
    <w:tmpl w:val="DC566DAA"/>
    <w:lvl w:ilvl="0" w:tplc="B23ACCCE">
      <w:numFmt w:val="bullet"/>
      <w:lvlText w:val="•"/>
      <w:lvlJc w:val="left"/>
      <w:pPr>
        <w:ind w:left="23" w:hanging="77"/>
      </w:pPr>
      <w:rPr>
        <w:rFonts w:ascii="Arial" w:eastAsia="Arial" w:hAnsi="Arial" w:cs="Arial" w:hint="default"/>
        <w:color w:val="231F20"/>
        <w:w w:val="67"/>
        <w:sz w:val="18"/>
        <w:szCs w:val="18"/>
        <w:lang w:val="en-US" w:eastAsia="en-US" w:bidi="ar-SA"/>
      </w:rPr>
    </w:lvl>
    <w:lvl w:ilvl="1" w:tplc="7F60181E">
      <w:numFmt w:val="bullet"/>
      <w:lvlText w:val="•"/>
      <w:lvlJc w:val="left"/>
      <w:pPr>
        <w:ind w:left="260" w:hanging="77"/>
      </w:pPr>
      <w:rPr>
        <w:rFonts w:hint="default"/>
        <w:lang w:val="en-US" w:eastAsia="en-US" w:bidi="ar-SA"/>
      </w:rPr>
    </w:lvl>
    <w:lvl w:ilvl="2" w:tplc="96F8239E">
      <w:numFmt w:val="bullet"/>
      <w:lvlText w:val="•"/>
      <w:lvlJc w:val="left"/>
      <w:pPr>
        <w:ind w:left="500" w:hanging="77"/>
      </w:pPr>
      <w:rPr>
        <w:rFonts w:hint="default"/>
        <w:lang w:val="en-US" w:eastAsia="en-US" w:bidi="ar-SA"/>
      </w:rPr>
    </w:lvl>
    <w:lvl w:ilvl="3" w:tplc="D45C75F8">
      <w:numFmt w:val="bullet"/>
      <w:lvlText w:val="•"/>
      <w:lvlJc w:val="left"/>
      <w:pPr>
        <w:ind w:left="740" w:hanging="77"/>
      </w:pPr>
      <w:rPr>
        <w:rFonts w:hint="default"/>
        <w:lang w:val="en-US" w:eastAsia="en-US" w:bidi="ar-SA"/>
      </w:rPr>
    </w:lvl>
    <w:lvl w:ilvl="4" w:tplc="1FE01B8A">
      <w:numFmt w:val="bullet"/>
      <w:lvlText w:val="•"/>
      <w:lvlJc w:val="left"/>
      <w:pPr>
        <w:ind w:left="980" w:hanging="77"/>
      </w:pPr>
      <w:rPr>
        <w:rFonts w:hint="default"/>
        <w:lang w:val="en-US" w:eastAsia="en-US" w:bidi="ar-SA"/>
      </w:rPr>
    </w:lvl>
    <w:lvl w:ilvl="5" w:tplc="F2067978">
      <w:numFmt w:val="bullet"/>
      <w:lvlText w:val="•"/>
      <w:lvlJc w:val="left"/>
      <w:pPr>
        <w:ind w:left="1220" w:hanging="77"/>
      </w:pPr>
      <w:rPr>
        <w:rFonts w:hint="default"/>
        <w:lang w:val="en-US" w:eastAsia="en-US" w:bidi="ar-SA"/>
      </w:rPr>
    </w:lvl>
    <w:lvl w:ilvl="6" w:tplc="828A726A">
      <w:numFmt w:val="bullet"/>
      <w:lvlText w:val="•"/>
      <w:lvlJc w:val="left"/>
      <w:pPr>
        <w:ind w:left="1460" w:hanging="77"/>
      </w:pPr>
      <w:rPr>
        <w:rFonts w:hint="default"/>
        <w:lang w:val="en-US" w:eastAsia="en-US" w:bidi="ar-SA"/>
      </w:rPr>
    </w:lvl>
    <w:lvl w:ilvl="7" w:tplc="EF66D3E0">
      <w:numFmt w:val="bullet"/>
      <w:lvlText w:val="•"/>
      <w:lvlJc w:val="left"/>
      <w:pPr>
        <w:ind w:left="1700" w:hanging="77"/>
      </w:pPr>
      <w:rPr>
        <w:rFonts w:hint="default"/>
        <w:lang w:val="en-US" w:eastAsia="en-US" w:bidi="ar-SA"/>
      </w:rPr>
    </w:lvl>
    <w:lvl w:ilvl="8" w:tplc="DE784E02">
      <w:numFmt w:val="bullet"/>
      <w:lvlText w:val="•"/>
      <w:lvlJc w:val="left"/>
      <w:pPr>
        <w:ind w:left="1940" w:hanging="77"/>
      </w:pPr>
      <w:rPr>
        <w:rFonts w:hint="default"/>
        <w:lang w:val="en-US" w:eastAsia="en-US" w:bidi="ar-SA"/>
      </w:rPr>
    </w:lvl>
  </w:abstractNum>
  <w:abstractNum w:abstractNumId="223" w15:restartNumberingAfterBreak="0">
    <w:nsid w:val="5A42662B"/>
    <w:multiLevelType w:val="hybridMultilevel"/>
    <w:tmpl w:val="B5F61040"/>
    <w:lvl w:ilvl="0" w:tplc="B6D463CC">
      <w:start w:val="1"/>
      <w:numFmt w:val="decimal"/>
      <w:lvlText w:val="%1."/>
      <w:lvlJc w:val="left"/>
      <w:pPr>
        <w:ind w:left="176" w:hanging="177"/>
      </w:pPr>
      <w:rPr>
        <w:rFonts w:ascii="Carlito" w:eastAsia="Carlito" w:hAnsi="Carlito" w:cs="Carlito" w:hint="default"/>
        <w:b/>
        <w:bCs/>
        <w:color w:val="231F20"/>
        <w:spacing w:val="-1"/>
        <w:w w:val="92"/>
        <w:sz w:val="19"/>
        <w:szCs w:val="19"/>
        <w:lang w:val="en-US" w:eastAsia="en-US" w:bidi="ar-SA"/>
      </w:rPr>
    </w:lvl>
    <w:lvl w:ilvl="1" w:tplc="25CA1412">
      <w:numFmt w:val="bullet"/>
      <w:lvlText w:val="•"/>
      <w:lvlJc w:val="left"/>
      <w:pPr>
        <w:ind w:left="266" w:hanging="177"/>
      </w:pPr>
      <w:rPr>
        <w:rFonts w:hint="default"/>
        <w:lang w:val="en-US" w:eastAsia="en-US" w:bidi="ar-SA"/>
      </w:rPr>
    </w:lvl>
    <w:lvl w:ilvl="2" w:tplc="7B90C3C2">
      <w:numFmt w:val="bullet"/>
      <w:lvlText w:val="•"/>
      <w:lvlJc w:val="left"/>
      <w:pPr>
        <w:ind w:left="353" w:hanging="177"/>
      </w:pPr>
      <w:rPr>
        <w:rFonts w:hint="default"/>
        <w:lang w:val="en-US" w:eastAsia="en-US" w:bidi="ar-SA"/>
      </w:rPr>
    </w:lvl>
    <w:lvl w:ilvl="3" w:tplc="842057E2">
      <w:numFmt w:val="bullet"/>
      <w:lvlText w:val="•"/>
      <w:lvlJc w:val="left"/>
      <w:pPr>
        <w:ind w:left="440" w:hanging="177"/>
      </w:pPr>
      <w:rPr>
        <w:rFonts w:hint="default"/>
        <w:lang w:val="en-US" w:eastAsia="en-US" w:bidi="ar-SA"/>
      </w:rPr>
    </w:lvl>
    <w:lvl w:ilvl="4" w:tplc="F99C949E">
      <w:numFmt w:val="bullet"/>
      <w:lvlText w:val="•"/>
      <w:lvlJc w:val="left"/>
      <w:pPr>
        <w:ind w:left="527" w:hanging="177"/>
      </w:pPr>
      <w:rPr>
        <w:rFonts w:hint="default"/>
        <w:lang w:val="en-US" w:eastAsia="en-US" w:bidi="ar-SA"/>
      </w:rPr>
    </w:lvl>
    <w:lvl w:ilvl="5" w:tplc="F684BFE8">
      <w:numFmt w:val="bullet"/>
      <w:lvlText w:val="•"/>
      <w:lvlJc w:val="left"/>
      <w:pPr>
        <w:ind w:left="614" w:hanging="177"/>
      </w:pPr>
      <w:rPr>
        <w:rFonts w:hint="default"/>
        <w:lang w:val="en-US" w:eastAsia="en-US" w:bidi="ar-SA"/>
      </w:rPr>
    </w:lvl>
    <w:lvl w:ilvl="6" w:tplc="B59A4902">
      <w:numFmt w:val="bullet"/>
      <w:lvlText w:val="•"/>
      <w:lvlJc w:val="left"/>
      <w:pPr>
        <w:ind w:left="701" w:hanging="177"/>
      </w:pPr>
      <w:rPr>
        <w:rFonts w:hint="default"/>
        <w:lang w:val="en-US" w:eastAsia="en-US" w:bidi="ar-SA"/>
      </w:rPr>
    </w:lvl>
    <w:lvl w:ilvl="7" w:tplc="6A025DD8">
      <w:numFmt w:val="bullet"/>
      <w:lvlText w:val="•"/>
      <w:lvlJc w:val="left"/>
      <w:pPr>
        <w:ind w:left="788" w:hanging="177"/>
      </w:pPr>
      <w:rPr>
        <w:rFonts w:hint="default"/>
        <w:lang w:val="en-US" w:eastAsia="en-US" w:bidi="ar-SA"/>
      </w:rPr>
    </w:lvl>
    <w:lvl w:ilvl="8" w:tplc="99327B94">
      <w:numFmt w:val="bullet"/>
      <w:lvlText w:val="•"/>
      <w:lvlJc w:val="left"/>
      <w:pPr>
        <w:ind w:left="875" w:hanging="177"/>
      </w:pPr>
      <w:rPr>
        <w:rFonts w:hint="default"/>
        <w:lang w:val="en-US" w:eastAsia="en-US" w:bidi="ar-SA"/>
      </w:rPr>
    </w:lvl>
  </w:abstractNum>
  <w:abstractNum w:abstractNumId="224" w15:restartNumberingAfterBreak="0">
    <w:nsid w:val="5A9668FB"/>
    <w:multiLevelType w:val="hybridMultilevel"/>
    <w:tmpl w:val="5AFAB996"/>
    <w:lvl w:ilvl="0" w:tplc="3F2A7B2A">
      <w:numFmt w:val="bullet"/>
      <w:lvlText w:val="•"/>
      <w:lvlJc w:val="left"/>
      <w:pPr>
        <w:ind w:left="29" w:hanging="75"/>
      </w:pPr>
      <w:rPr>
        <w:rFonts w:ascii="Arial" w:eastAsia="Arial" w:hAnsi="Arial" w:cs="Arial" w:hint="default"/>
        <w:color w:val="231F20"/>
        <w:w w:val="78"/>
        <w:sz w:val="15"/>
        <w:szCs w:val="15"/>
        <w:lang w:val="en-US" w:eastAsia="en-US" w:bidi="ar-SA"/>
      </w:rPr>
    </w:lvl>
    <w:lvl w:ilvl="1" w:tplc="5B9612D6">
      <w:numFmt w:val="bullet"/>
      <w:lvlText w:val="•"/>
      <w:lvlJc w:val="left"/>
      <w:pPr>
        <w:ind w:left="254" w:hanging="75"/>
      </w:pPr>
      <w:rPr>
        <w:rFonts w:hint="default"/>
        <w:lang w:val="en-US" w:eastAsia="en-US" w:bidi="ar-SA"/>
      </w:rPr>
    </w:lvl>
    <w:lvl w:ilvl="2" w:tplc="FCA865A0">
      <w:numFmt w:val="bullet"/>
      <w:lvlText w:val="•"/>
      <w:lvlJc w:val="left"/>
      <w:pPr>
        <w:ind w:left="488" w:hanging="75"/>
      </w:pPr>
      <w:rPr>
        <w:rFonts w:hint="default"/>
        <w:lang w:val="en-US" w:eastAsia="en-US" w:bidi="ar-SA"/>
      </w:rPr>
    </w:lvl>
    <w:lvl w:ilvl="3" w:tplc="2D6619AA">
      <w:numFmt w:val="bullet"/>
      <w:lvlText w:val="•"/>
      <w:lvlJc w:val="left"/>
      <w:pPr>
        <w:ind w:left="723" w:hanging="75"/>
      </w:pPr>
      <w:rPr>
        <w:rFonts w:hint="default"/>
        <w:lang w:val="en-US" w:eastAsia="en-US" w:bidi="ar-SA"/>
      </w:rPr>
    </w:lvl>
    <w:lvl w:ilvl="4" w:tplc="F964210C">
      <w:numFmt w:val="bullet"/>
      <w:lvlText w:val="•"/>
      <w:lvlJc w:val="left"/>
      <w:pPr>
        <w:ind w:left="957" w:hanging="75"/>
      </w:pPr>
      <w:rPr>
        <w:rFonts w:hint="default"/>
        <w:lang w:val="en-US" w:eastAsia="en-US" w:bidi="ar-SA"/>
      </w:rPr>
    </w:lvl>
    <w:lvl w:ilvl="5" w:tplc="4ED234FE">
      <w:numFmt w:val="bullet"/>
      <w:lvlText w:val="•"/>
      <w:lvlJc w:val="left"/>
      <w:pPr>
        <w:ind w:left="1192" w:hanging="75"/>
      </w:pPr>
      <w:rPr>
        <w:rFonts w:hint="default"/>
        <w:lang w:val="en-US" w:eastAsia="en-US" w:bidi="ar-SA"/>
      </w:rPr>
    </w:lvl>
    <w:lvl w:ilvl="6" w:tplc="45ECDAA0">
      <w:numFmt w:val="bullet"/>
      <w:lvlText w:val="•"/>
      <w:lvlJc w:val="left"/>
      <w:pPr>
        <w:ind w:left="1426" w:hanging="75"/>
      </w:pPr>
      <w:rPr>
        <w:rFonts w:hint="default"/>
        <w:lang w:val="en-US" w:eastAsia="en-US" w:bidi="ar-SA"/>
      </w:rPr>
    </w:lvl>
    <w:lvl w:ilvl="7" w:tplc="EBCA6D6E">
      <w:numFmt w:val="bullet"/>
      <w:lvlText w:val="•"/>
      <w:lvlJc w:val="left"/>
      <w:pPr>
        <w:ind w:left="1660" w:hanging="75"/>
      </w:pPr>
      <w:rPr>
        <w:rFonts w:hint="default"/>
        <w:lang w:val="en-US" w:eastAsia="en-US" w:bidi="ar-SA"/>
      </w:rPr>
    </w:lvl>
    <w:lvl w:ilvl="8" w:tplc="96640A64">
      <w:numFmt w:val="bullet"/>
      <w:lvlText w:val="•"/>
      <w:lvlJc w:val="left"/>
      <w:pPr>
        <w:ind w:left="1895" w:hanging="75"/>
      </w:pPr>
      <w:rPr>
        <w:rFonts w:hint="default"/>
        <w:lang w:val="en-US" w:eastAsia="en-US" w:bidi="ar-SA"/>
      </w:rPr>
    </w:lvl>
  </w:abstractNum>
  <w:abstractNum w:abstractNumId="225" w15:restartNumberingAfterBreak="0">
    <w:nsid w:val="5B0109E1"/>
    <w:multiLevelType w:val="hybridMultilevel"/>
    <w:tmpl w:val="50E010C2"/>
    <w:lvl w:ilvl="0" w:tplc="52AACB0E">
      <w:numFmt w:val="bullet"/>
      <w:lvlText w:val="o"/>
      <w:lvlJc w:val="left"/>
      <w:pPr>
        <w:ind w:left="905" w:hanging="360"/>
      </w:pPr>
      <w:rPr>
        <w:rFonts w:ascii="Courier New" w:eastAsia="Courier New" w:hAnsi="Courier New" w:cs="Courier New" w:hint="default"/>
        <w:color w:val="231F20"/>
        <w:w w:val="99"/>
        <w:sz w:val="24"/>
        <w:szCs w:val="24"/>
        <w:lang w:val="en-US" w:eastAsia="en-US" w:bidi="ar-SA"/>
      </w:rPr>
    </w:lvl>
    <w:lvl w:ilvl="1" w:tplc="7884056A">
      <w:numFmt w:val="bullet"/>
      <w:lvlText w:val="•"/>
      <w:lvlJc w:val="left"/>
      <w:pPr>
        <w:ind w:left="1780" w:hanging="360"/>
      </w:pPr>
      <w:rPr>
        <w:rFonts w:hint="default"/>
        <w:lang w:val="en-US" w:eastAsia="en-US" w:bidi="ar-SA"/>
      </w:rPr>
    </w:lvl>
    <w:lvl w:ilvl="2" w:tplc="0B180912">
      <w:numFmt w:val="bullet"/>
      <w:lvlText w:val="•"/>
      <w:lvlJc w:val="left"/>
      <w:pPr>
        <w:ind w:left="2661" w:hanging="360"/>
      </w:pPr>
      <w:rPr>
        <w:rFonts w:hint="default"/>
        <w:lang w:val="en-US" w:eastAsia="en-US" w:bidi="ar-SA"/>
      </w:rPr>
    </w:lvl>
    <w:lvl w:ilvl="3" w:tplc="56FEC394">
      <w:numFmt w:val="bullet"/>
      <w:lvlText w:val="•"/>
      <w:lvlJc w:val="left"/>
      <w:pPr>
        <w:ind w:left="3541" w:hanging="360"/>
      </w:pPr>
      <w:rPr>
        <w:rFonts w:hint="default"/>
        <w:lang w:val="en-US" w:eastAsia="en-US" w:bidi="ar-SA"/>
      </w:rPr>
    </w:lvl>
    <w:lvl w:ilvl="4" w:tplc="A560F2E8">
      <w:numFmt w:val="bullet"/>
      <w:lvlText w:val="•"/>
      <w:lvlJc w:val="left"/>
      <w:pPr>
        <w:ind w:left="4422" w:hanging="360"/>
      </w:pPr>
      <w:rPr>
        <w:rFonts w:hint="default"/>
        <w:lang w:val="en-US" w:eastAsia="en-US" w:bidi="ar-SA"/>
      </w:rPr>
    </w:lvl>
    <w:lvl w:ilvl="5" w:tplc="74DA405A">
      <w:numFmt w:val="bullet"/>
      <w:lvlText w:val="•"/>
      <w:lvlJc w:val="left"/>
      <w:pPr>
        <w:ind w:left="5302" w:hanging="360"/>
      </w:pPr>
      <w:rPr>
        <w:rFonts w:hint="default"/>
        <w:lang w:val="en-US" w:eastAsia="en-US" w:bidi="ar-SA"/>
      </w:rPr>
    </w:lvl>
    <w:lvl w:ilvl="6" w:tplc="43A6B9C4">
      <w:numFmt w:val="bullet"/>
      <w:lvlText w:val="•"/>
      <w:lvlJc w:val="left"/>
      <w:pPr>
        <w:ind w:left="6183" w:hanging="360"/>
      </w:pPr>
      <w:rPr>
        <w:rFonts w:hint="default"/>
        <w:lang w:val="en-US" w:eastAsia="en-US" w:bidi="ar-SA"/>
      </w:rPr>
    </w:lvl>
    <w:lvl w:ilvl="7" w:tplc="25F20B7A">
      <w:numFmt w:val="bullet"/>
      <w:lvlText w:val="•"/>
      <w:lvlJc w:val="left"/>
      <w:pPr>
        <w:ind w:left="7063" w:hanging="360"/>
      </w:pPr>
      <w:rPr>
        <w:rFonts w:hint="default"/>
        <w:lang w:val="en-US" w:eastAsia="en-US" w:bidi="ar-SA"/>
      </w:rPr>
    </w:lvl>
    <w:lvl w:ilvl="8" w:tplc="96EEAD74">
      <w:numFmt w:val="bullet"/>
      <w:lvlText w:val="•"/>
      <w:lvlJc w:val="left"/>
      <w:pPr>
        <w:ind w:left="7944" w:hanging="360"/>
      </w:pPr>
      <w:rPr>
        <w:rFonts w:hint="default"/>
        <w:lang w:val="en-US" w:eastAsia="en-US" w:bidi="ar-SA"/>
      </w:rPr>
    </w:lvl>
  </w:abstractNum>
  <w:abstractNum w:abstractNumId="226" w15:restartNumberingAfterBreak="0">
    <w:nsid w:val="5B1C1C1A"/>
    <w:multiLevelType w:val="hybridMultilevel"/>
    <w:tmpl w:val="79649554"/>
    <w:lvl w:ilvl="0" w:tplc="2BFCEF9E">
      <w:numFmt w:val="bullet"/>
      <w:lvlText w:val="•"/>
      <w:lvlJc w:val="left"/>
      <w:pPr>
        <w:ind w:left="26" w:hanging="69"/>
      </w:pPr>
      <w:rPr>
        <w:rFonts w:ascii="Arial" w:eastAsia="Arial" w:hAnsi="Arial" w:cs="Arial" w:hint="default"/>
        <w:color w:val="231F20"/>
        <w:w w:val="100"/>
        <w:sz w:val="12"/>
        <w:szCs w:val="12"/>
        <w:lang w:val="en-US" w:eastAsia="en-US" w:bidi="ar-SA"/>
      </w:rPr>
    </w:lvl>
    <w:lvl w:ilvl="1" w:tplc="0F8EF6CA">
      <w:numFmt w:val="bullet"/>
      <w:lvlText w:val="•"/>
      <w:lvlJc w:val="left"/>
      <w:pPr>
        <w:ind w:left="258" w:hanging="69"/>
      </w:pPr>
      <w:rPr>
        <w:rFonts w:hint="default"/>
        <w:lang w:val="en-US" w:eastAsia="en-US" w:bidi="ar-SA"/>
      </w:rPr>
    </w:lvl>
    <w:lvl w:ilvl="2" w:tplc="5E320A38">
      <w:numFmt w:val="bullet"/>
      <w:lvlText w:val="•"/>
      <w:lvlJc w:val="left"/>
      <w:pPr>
        <w:ind w:left="496" w:hanging="69"/>
      </w:pPr>
      <w:rPr>
        <w:rFonts w:hint="default"/>
        <w:lang w:val="en-US" w:eastAsia="en-US" w:bidi="ar-SA"/>
      </w:rPr>
    </w:lvl>
    <w:lvl w:ilvl="3" w:tplc="70666B5E">
      <w:numFmt w:val="bullet"/>
      <w:lvlText w:val="•"/>
      <w:lvlJc w:val="left"/>
      <w:pPr>
        <w:ind w:left="735" w:hanging="69"/>
      </w:pPr>
      <w:rPr>
        <w:rFonts w:hint="default"/>
        <w:lang w:val="en-US" w:eastAsia="en-US" w:bidi="ar-SA"/>
      </w:rPr>
    </w:lvl>
    <w:lvl w:ilvl="4" w:tplc="52B8CADE">
      <w:numFmt w:val="bullet"/>
      <w:lvlText w:val="•"/>
      <w:lvlJc w:val="left"/>
      <w:pPr>
        <w:ind w:left="973" w:hanging="69"/>
      </w:pPr>
      <w:rPr>
        <w:rFonts w:hint="default"/>
        <w:lang w:val="en-US" w:eastAsia="en-US" w:bidi="ar-SA"/>
      </w:rPr>
    </w:lvl>
    <w:lvl w:ilvl="5" w:tplc="4FF0FAEA">
      <w:numFmt w:val="bullet"/>
      <w:lvlText w:val="•"/>
      <w:lvlJc w:val="left"/>
      <w:pPr>
        <w:ind w:left="1212" w:hanging="69"/>
      </w:pPr>
      <w:rPr>
        <w:rFonts w:hint="default"/>
        <w:lang w:val="en-US" w:eastAsia="en-US" w:bidi="ar-SA"/>
      </w:rPr>
    </w:lvl>
    <w:lvl w:ilvl="6" w:tplc="9114534A">
      <w:numFmt w:val="bullet"/>
      <w:lvlText w:val="•"/>
      <w:lvlJc w:val="left"/>
      <w:pPr>
        <w:ind w:left="1450" w:hanging="69"/>
      </w:pPr>
      <w:rPr>
        <w:rFonts w:hint="default"/>
        <w:lang w:val="en-US" w:eastAsia="en-US" w:bidi="ar-SA"/>
      </w:rPr>
    </w:lvl>
    <w:lvl w:ilvl="7" w:tplc="C590E100">
      <w:numFmt w:val="bullet"/>
      <w:lvlText w:val="•"/>
      <w:lvlJc w:val="left"/>
      <w:pPr>
        <w:ind w:left="1688" w:hanging="69"/>
      </w:pPr>
      <w:rPr>
        <w:rFonts w:hint="default"/>
        <w:lang w:val="en-US" w:eastAsia="en-US" w:bidi="ar-SA"/>
      </w:rPr>
    </w:lvl>
    <w:lvl w:ilvl="8" w:tplc="375AD6BA">
      <w:numFmt w:val="bullet"/>
      <w:lvlText w:val="•"/>
      <w:lvlJc w:val="left"/>
      <w:pPr>
        <w:ind w:left="1927" w:hanging="69"/>
      </w:pPr>
      <w:rPr>
        <w:rFonts w:hint="default"/>
        <w:lang w:val="en-US" w:eastAsia="en-US" w:bidi="ar-SA"/>
      </w:rPr>
    </w:lvl>
  </w:abstractNum>
  <w:abstractNum w:abstractNumId="227" w15:restartNumberingAfterBreak="0">
    <w:nsid w:val="5B6E6025"/>
    <w:multiLevelType w:val="hybridMultilevel"/>
    <w:tmpl w:val="8E5CD40E"/>
    <w:lvl w:ilvl="0" w:tplc="B110232E">
      <w:numFmt w:val="bullet"/>
      <w:lvlText w:val="•"/>
      <w:lvlJc w:val="left"/>
      <w:pPr>
        <w:ind w:left="24" w:hanging="75"/>
      </w:pPr>
      <w:rPr>
        <w:rFonts w:ascii="Arial" w:eastAsia="Arial" w:hAnsi="Arial" w:cs="Arial" w:hint="default"/>
        <w:color w:val="231F20"/>
        <w:w w:val="108"/>
        <w:sz w:val="11"/>
        <w:szCs w:val="11"/>
        <w:lang w:val="en-US" w:eastAsia="en-US" w:bidi="ar-SA"/>
      </w:rPr>
    </w:lvl>
    <w:lvl w:ilvl="1" w:tplc="1DF21A32">
      <w:numFmt w:val="bullet"/>
      <w:lvlText w:val="•"/>
      <w:lvlJc w:val="left"/>
      <w:pPr>
        <w:ind w:left="255" w:hanging="75"/>
      </w:pPr>
      <w:rPr>
        <w:rFonts w:hint="default"/>
        <w:lang w:val="en-US" w:eastAsia="en-US" w:bidi="ar-SA"/>
      </w:rPr>
    </w:lvl>
    <w:lvl w:ilvl="2" w:tplc="3AC0474E">
      <w:numFmt w:val="bullet"/>
      <w:lvlText w:val="•"/>
      <w:lvlJc w:val="left"/>
      <w:pPr>
        <w:ind w:left="490" w:hanging="75"/>
      </w:pPr>
      <w:rPr>
        <w:rFonts w:hint="default"/>
        <w:lang w:val="en-US" w:eastAsia="en-US" w:bidi="ar-SA"/>
      </w:rPr>
    </w:lvl>
    <w:lvl w:ilvl="3" w:tplc="D89C6600">
      <w:numFmt w:val="bullet"/>
      <w:lvlText w:val="•"/>
      <w:lvlJc w:val="left"/>
      <w:pPr>
        <w:ind w:left="726" w:hanging="75"/>
      </w:pPr>
      <w:rPr>
        <w:rFonts w:hint="default"/>
        <w:lang w:val="en-US" w:eastAsia="en-US" w:bidi="ar-SA"/>
      </w:rPr>
    </w:lvl>
    <w:lvl w:ilvl="4" w:tplc="9196BE12">
      <w:numFmt w:val="bullet"/>
      <w:lvlText w:val="•"/>
      <w:lvlJc w:val="left"/>
      <w:pPr>
        <w:ind w:left="961" w:hanging="75"/>
      </w:pPr>
      <w:rPr>
        <w:rFonts w:hint="default"/>
        <w:lang w:val="en-US" w:eastAsia="en-US" w:bidi="ar-SA"/>
      </w:rPr>
    </w:lvl>
    <w:lvl w:ilvl="5" w:tplc="3CF63872">
      <w:numFmt w:val="bullet"/>
      <w:lvlText w:val="•"/>
      <w:lvlJc w:val="left"/>
      <w:pPr>
        <w:ind w:left="1197" w:hanging="75"/>
      </w:pPr>
      <w:rPr>
        <w:rFonts w:hint="default"/>
        <w:lang w:val="en-US" w:eastAsia="en-US" w:bidi="ar-SA"/>
      </w:rPr>
    </w:lvl>
    <w:lvl w:ilvl="6" w:tplc="B752558A">
      <w:numFmt w:val="bullet"/>
      <w:lvlText w:val="•"/>
      <w:lvlJc w:val="left"/>
      <w:pPr>
        <w:ind w:left="1432" w:hanging="75"/>
      </w:pPr>
      <w:rPr>
        <w:rFonts w:hint="default"/>
        <w:lang w:val="en-US" w:eastAsia="en-US" w:bidi="ar-SA"/>
      </w:rPr>
    </w:lvl>
    <w:lvl w:ilvl="7" w:tplc="F90C0546">
      <w:numFmt w:val="bullet"/>
      <w:lvlText w:val="•"/>
      <w:lvlJc w:val="left"/>
      <w:pPr>
        <w:ind w:left="1667" w:hanging="75"/>
      </w:pPr>
      <w:rPr>
        <w:rFonts w:hint="default"/>
        <w:lang w:val="en-US" w:eastAsia="en-US" w:bidi="ar-SA"/>
      </w:rPr>
    </w:lvl>
    <w:lvl w:ilvl="8" w:tplc="C7664DD8">
      <w:numFmt w:val="bullet"/>
      <w:lvlText w:val="•"/>
      <w:lvlJc w:val="left"/>
      <w:pPr>
        <w:ind w:left="1903" w:hanging="75"/>
      </w:pPr>
      <w:rPr>
        <w:rFonts w:hint="default"/>
        <w:lang w:val="en-US" w:eastAsia="en-US" w:bidi="ar-SA"/>
      </w:rPr>
    </w:lvl>
  </w:abstractNum>
  <w:abstractNum w:abstractNumId="228" w15:restartNumberingAfterBreak="0">
    <w:nsid w:val="5BD723F8"/>
    <w:multiLevelType w:val="hybridMultilevel"/>
    <w:tmpl w:val="1EF4F39E"/>
    <w:lvl w:ilvl="0" w:tplc="992A814A">
      <w:numFmt w:val="bullet"/>
      <w:lvlText w:val="•"/>
      <w:lvlJc w:val="left"/>
      <w:pPr>
        <w:ind w:left="25" w:hanging="72"/>
      </w:pPr>
      <w:rPr>
        <w:rFonts w:ascii="Arial" w:eastAsia="Arial" w:hAnsi="Arial" w:cs="Arial" w:hint="default"/>
        <w:color w:val="231F20"/>
        <w:w w:val="95"/>
        <w:sz w:val="13"/>
        <w:szCs w:val="13"/>
        <w:lang w:val="en-US" w:eastAsia="en-US" w:bidi="ar-SA"/>
      </w:rPr>
    </w:lvl>
    <w:lvl w:ilvl="1" w:tplc="58BA4FE8">
      <w:numFmt w:val="bullet"/>
      <w:lvlText w:val="•"/>
      <w:lvlJc w:val="left"/>
      <w:pPr>
        <w:ind w:left="266" w:hanging="72"/>
      </w:pPr>
      <w:rPr>
        <w:rFonts w:hint="default"/>
        <w:lang w:val="en-US" w:eastAsia="en-US" w:bidi="ar-SA"/>
      </w:rPr>
    </w:lvl>
    <w:lvl w:ilvl="2" w:tplc="0324D458">
      <w:numFmt w:val="bullet"/>
      <w:lvlText w:val="•"/>
      <w:lvlJc w:val="left"/>
      <w:pPr>
        <w:ind w:left="512" w:hanging="72"/>
      </w:pPr>
      <w:rPr>
        <w:rFonts w:hint="default"/>
        <w:lang w:val="en-US" w:eastAsia="en-US" w:bidi="ar-SA"/>
      </w:rPr>
    </w:lvl>
    <w:lvl w:ilvl="3" w:tplc="B4607C9C">
      <w:numFmt w:val="bullet"/>
      <w:lvlText w:val="•"/>
      <w:lvlJc w:val="left"/>
      <w:pPr>
        <w:ind w:left="758" w:hanging="72"/>
      </w:pPr>
      <w:rPr>
        <w:rFonts w:hint="default"/>
        <w:lang w:val="en-US" w:eastAsia="en-US" w:bidi="ar-SA"/>
      </w:rPr>
    </w:lvl>
    <w:lvl w:ilvl="4" w:tplc="ED2EA53C">
      <w:numFmt w:val="bullet"/>
      <w:lvlText w:val="•"/>
      <w:lvlJc w:val="left"/>
      <w:pPr>
        <w:ind w:left="1004" w:hanging="72"/>
      </w:pPr>
      <w:rPr>
        <w:rFonts w:hint="default"/>
        <w:lang w:val="en-US" w:eastAsia="en-US" w:bidi="ar-SA"/>
      </w:rPr>
    </w:lvl>
    <w:lvl w:ilvl="5" w:tplc="6C64B1E6">
      <w:numFmt w:val="bullet"/>
      <w:lvlText w:val="•"/>
      <w:lvlJc w:val="left"/>
      <w:pPr>
        <w:ind w:left="1251" w:hanging="72"/>
      </w:pPr>
      <w:rPr>
        <w:rFonts w:hint="default"/>
        <w:lang w:val="en-US" w:eastAsia="en-US" w:bidi="ar-SA"/>
      </w:rPr>
    </w:lvl>
    <w:lvl w:ilvl="6" w:tplc="6EA40744">
      <w:numFmt w:val="bullet"/>
      <w:lvlText w:val="•"/>
      <w:lvlJc w:val="left"/>
      <w:pPr>
        <w:ind w:left="1497" w:hanging="72"/>
      </w:pPr>
      <w:rPr>
        <w:rFonts w:hint="default"/>
        <w:lang w:val="en-US" w:eastAsia="en-US" w:bidi="ar-SA"/>
      </w:rPr>
    </w:lvl>
    <w:lvl w:ilvl="7" w:tplc="21D4271A">
      <w:numFmt w:val="bullet"/>
      <w:lvlText w:val="•"/>
      <w:lvlJc w:val="left"/>
      <w:pPr>
        <w:ind w:left="1743" w:hanging="72"/>
      </w:pPr>
      <w:rPr>
        <w:rFonts w:hint="default"/>
        <w:lang w:val="en-US" w:eastAsia="en-US" w:bidi="ar-SA"/>
      </w:rPr>
    </w:lvl>
    <w:lvl w:ilvl="8" w:tplc="625E3122">
      <w:numFmt w:val="bullet"/>
      <w:lvlText w:val="•"/>
      <w:lvlJc w:val="left"/>
      <w:pPr>
        <w:ind w:left="1989" w:hanging="72"/>
      </w:pPr>
      <w:rPr>
        <w:rFonts w:hint="default"/>
        <w:lang w:val="en-US" w:eastAsia="en-US" w:bidi="ar-SA"/>
      </w:rPr>
    </w:lvl>
  </w:abstractNum>
  <w:abstractNum w:abstractNumId="229" w15:restartNumberingAfterBreak="0">
    <w:nsid w:val="5C9A5C76"/>
    <w:multiLevelType w:val="hybridMultilevel"/>
    <w:tmpl w:val="C736139A"/>
    <w:lvl w:ilvl="0" w:tplc="42DEB0B4">
      <w:numFmt w:val="bullet"/>
      <w:lvlText w:val="•"/>
      <w:lvlJc w:val="left"/>
      <w:pPr>
        <w:ind w:left="26" w:hanging="69"/>
      </w:pPr>
      <w:rPr>
        <w:rFonts w:ascii="Arial" w:eastAsia="Arial" w:hAnsi="Arial" w:cs="Arial" w:hint="default"/>
        <w:color w:val="231F20"/>
        <w:w w:val="100"/>
        <w:sz w:val="12"/>
        <w:szCs w:val="12"/>
        <w:lang w:val="en-US" w:eastAsia="en-US" w:bidi="ar-SA"/>
      </w:rPr>
    </w:lvl>
    <w:lvl w:ilvl="1" w:tplc="9D98521E">
      <w:numFmt w:val="bullet"/>
      <w:lvlText w:val="•"/>
      <w:lvlJc w:val="left"/>
      <w:pPr>
        <w:ind w:left="258" w:hanging="69"/>
      </w:pPr>
      <w:rPr>
        <w:rFonts w:hint="default"/>
        <w:lang w:val="en-US" w:eastAsia="en-US" w:bidi="ar-SA"/>
      </w:rPr>
    </w:lvl>
    <w:lvl w:ilvl="2" w:tplc="B7F23FD4">
      <w:numFmt w:val="bullet"/>
      <w:lvlText w:val="•"/>
      <w:lvlJc w:val="left"/>
      <w:pPr>
        <w:ind w:left="496" w:hanging="69"/>
      </w:pPr>
      <w:rPr>
        <w:rFonts w:hint="default"/>
        <w:lang w:val="en-US" w:eastAsia="en-US" w:bidi="ar-SA"/>
      </w:rPr>
    </w:lvl>
    <w:lvl w:ilvl="3" w:tplc="2CC02E88">
      <w:numFmt w:val="bullet"/>
      <w:lvlText w:val="•"/>
      <w:lvlJc w:val="left"/>
      <w:pPr>
        <w:ind w:left="735" w:hanging="69"/>
      </w:pPr>
      <w:rPr>
        <w:rFonts w:hint="default"/>
        <w:lang w:val="en-US" w:eastAsia="en-US" w:bidi="ar-SA"/>
      </w:rPr>
    </w:lvl>
    <w:lvl w:ilvl="4" w:tplc="8FDC5146">
      <w:numFmt w:val="bullet"/>
      <w:lvlText w:val="•"/>
      <w:lvlJc w:val="left"/>
      <w:pPr>
        <w:ind w:left="973" w:hanging="69"/>
      </w:pPr>
      <w:rPr>
        <w:rFonts w:hint="default"/>
        <w:lang w:val="en-US" w:eastAsia="en-US" w:bidi="ar-SA"/>
      </w:rPr>
    </w:lvl>
    <w:lvl w:ilvl="5" w:tplc="6F1A9C70">
      <w:numFmt w:val="bullet"/>
      <w:lvlText w:val="•"/>
      <w:lvlJc w:val="left"/>
      <w:pPr>
        <w:ind w:left="1212" w:hanging="69"/>
      </w:pPr>
      <w:rPr>
        <w:rFonts w:hint="default"/>
        <w:lang w:val="en-US" w:eastAsia="en-US" w:bidi="ar-SA"/>
      </w:rPr>
    </w:lvl>
    <w:lvl w:ilvl="6" w:tplc="13EE145E">
      <w:numFmt w:val="bullet"/>
      <w:lvlText w:val="•"/>
      <w:lvlJc w:val="left"/>
      <w:pPr>
        <w:ind w:left="1450" w:hanging="69"/>
      </w:pPr>
      <w:rPr>
        <w:rFonts w:hint="default"/>
        <w:lang w:val="en-US" w:eastAsia="en-US" w:bidi="ar-SA"/>
      </w:rPr>
    </w:lvl>
    <w:lvl w:ilvl="7" w:tplc="A86CAB66">
      <w:numFmt w:val="bullet"/>
      <w:lvlText w:val="•"/>
      <w:lvlJc w:val="left"/>
      <w:pPr>
        <w:ind w:left="1688" w:hanging="69"/>
      </w:pPr>
      <w:rPr>
        <w:rFonts w:hint="default"/>
        <w:lang w:val="en-US" w:eastAsia="en-US" w:bidi="ar-SA"/>
      </w:rPr>
    </w:lvl>
    <w:lvl w:ilvl="8" w:tplc="19D671D8">
      <w:numFmt w:val="bullet"/>
      <w:lvlText w:val="•"/>
      <w:lvlJc w:val="left"/>
      <w:pPr>
        <w:ind w:left="1927" w:hanging="69"/>
      </w:pPr>
      <w:rPr>
        <w:rFonts w:hint="default"/>
        <w:lang w:val="en-US" w:eastAsia="en-US" w:bidi="ar-SA"/>
      </w:rPr>
    </w:lvl>
  </w:abstractNum>
  <w:abstractNum w:abstractNumId="230" w15:restartNumberingAfterBreak="0">
    <w:nsid w:val="5CC71882"/>
    <w:multiLevelType w:val="multilevel"/>
    <w:tmpl w:val="7F3ED8A8"/>
    <w:lvl w:ilvl="0">
      <w:start w:val="6"/>
      <w:numFmt w:val="decimal"/>
      <w:lvlText w:val="%1"/>
      <w:lvlJc w:val="left"/>
      <w:pPr>
        <w:ind w:left="176" w:hanging="680"/>
      </w:pPr>
      <w:rPr>
        <w:rFonts w:hint="default"/>
        <w:lang w:val="en-US" w:eastAsia="en-US" w:bidi="ar-SA"/>
      </w:rPr>
    </w:lvl>
    <w:lvl w:ilvl="1">
      <w:start w:val="12"/>
      <w:numFmt w:val="decimal"/>
      <w:lvlText w:val="%1.%2"/>
      <w:lvlJc w:val="left"/>
      <w:pPr>
        <w:ind w:left="176" w:hanging="680"/>
      </w:pPr>
      <w:rPr>
        <w:rFonts w:hint="default"/>
        <w:lang w:val="en-US" w:eastAsia="en-US" w:bidi="ar-SA"/>
      </w:rPr>
    </w:lvl>
    <w:lvl w:ilvl="2">
      <w:numFmt w:val="decimal"/>
      <w:lvlText w:val="%1.%2.%3"/>
      <w:lvlJc w:val="left"/>
      <w:pPr>
        <w:ind w:left="176" w:hanging="680"/>
      </w:pPr>
      <w:rPr>
        <w:rFonts w:ascii="Arial" w:eastAsia="Arial" w:hAnsi="Arial" w:cs="Arial" w:hint="default"/>
        <w:color w:val="231F20"/>
        <w:w w:val="99"/>
        <w:sz w:val="22"/>
        <w:szCs w:val="22"/>
        <w:lang w:val="en-US" w:eastAsia="en-US" w:bidi="ar-SA"/>
      </w:rPr>
    </w:lvl>
    <w:lvl w:ilvl="3">
      <w:start w:val="1"/>
      <w:numFmt w:val="decimal"/>
      <w:lvlText w:val="%1.%2.%3.%4"/>
      <w:lvlJc w:val="left"/>
      <w:pPr>
        <w:ind w:left="137" w:hanging="845"/>
      </w:pPr>
      <w:rPr>
        <w:rFonts w:ascii="Arial" w:eastAsia="Arial" w:hAnsi="Arial" w:cs="Arial" w:hint="default"/>
        <w:color w:val="231F20"/>
        <w:w w:val="99"/>
        <w:sz w:val="22"/>
        <w:szCs w:val="22"/>
        <w:lang w:val="en-US" w:eastAsia="en-US" w:bidi="ar-SA"/>
      </w:rPr>
    </w:lvl>
    <w:lvl w:ilvl="4">
      <w:numFmt w:val="bullet"/>
      <w:lvlText w:val="•"/>
      <w:lvlJc w:val="left"/>
      <w:pPr>
        <w:ind w:left="3355" w:hanging="845"/>
      </w:pPr>
      <w:rPr>
        <w:rFonts w:hint="default"/>
        <w:lang w:val="en-US" w:eastAsia="en-US" w:bidi="ar-SA"/>
      </w:rPr>
    </w:lvl>
    <w:lvl w:ilvl="5">
      <w:numFmt w:val="bullet"/>
      <w:lvlText w:val="•"/>
      <w:lvlJc w:val="left"/>
      <w:pPr>
        <w:ind w:left="4413" w:hanging="845"/>
      </w:pPr>
      <w:rPr>
        <w:rFonts w:hint="default"/>
        <w:lang w:val="en-US" w:eastAsia="en-US" w:bidi="ar-SA"/>
      </w:rPr>
    </w:lvl>
    <w:lvl w:ilvl="6">
      <w:numFmt w:val="bullet"/>
      <w:lvlText w:val="•"/>
      <w:lvlJc w:val="left"/>
      <w:pPr>
        <w:ind w:left="5471" w:hanging="845"/>
      </w:pPr>
      <w:rPr>
        <w:rFonts w:hint="default"/>
        <w:lang w:val="en-US" w:eastAsia="en-US" w:bidi="ar-SA"/>
      </w:rPr>
    </w:lvl>
    <w:lvl w:ilvl="7">
      <w:numFmt w:val="bullet"/>
      <w:lvlText w:val="•"/>
      <w:lvlJc w:val="left"/>
      <w:pPr>
        <w:ind w:left="6530" w:hanging="845"/>
      </w:pPr>
      <w:rPr>
        <w:rFonts w:hint="default"/>
        <w:lang w:val="en-US" w:eastAsia="en-US" w:bidi="ar-SA"/>
      </w:rPr>
    </w:lvl>
    <w:lvl w:ilvl="8">
      <w:numFmt w:val="bullet"/>
      <w:lvlText w:val="•"/>
      <w:lvlJc w:val="left"/>
      <w:pPr>
        <w:ind w:left="7588" w:hanging="845"/>
      </w:pPr>
      <w:rPr>
        <w:rFonts w:hint="default"/>
        <w:lang w:val="en-US" w:eastAsia="en-US" w:bidi="ar-SA"/>
      </w:rPr>
    </w:lvl>
  </w:abstractNum>
  <w:abstractNum w:abstractNumId="231" w15:restartNumberingAfterBreak="0">
    <w:nsid w:val="5D141B31"/>
    <w:multiLevelType w:val="multilevel"/>
    <w:tmpl w:val="681A144C"/>
    <w:lvl w:ilvl="0">
      <w:start w:val="3"/>
      <w:numFmt w:val="decimal"/>
      <w:lvlText w:val="%1"/>
      <w:lvlJc w:val="left"/>
      <w:pPr>
        <w:ind w:left="533" w:hanging="404"/>
      </w:pPr>
      <w:rPr>
        <w:rFonts w:hint="default"/>
        <w:lang w:val="en-US" w:eastAsia="en-US" w:bidi="ar-SA"/>
      </w:rPr>
    </w:lvl>
    <w:lvl w:ilvl="1">
      <w:start w:val="4"/>
      <w:numFmt w:val="decimal"/>
      <w:lvlText w:val="%1.%2."/>
      <w:lvlJc w:val="left"/>
      <w:pPr>
        <w:ind w:left="533" w:hanging="404"/>
      </w:pPr>
      <w:rPr>
        <w:rFonts w:ascii="Arial" w:eastAsia="Arial" w:hAnsi="Arial" w:cs="Arial" w:hint="default"/>
        <w:b/>
        <w:bCs/>
        <w:color w:val="231F20"/>
        <w:w w:val="100"/>
        <w:sz w:val="22"/>
        <w:szCs w:val="22"/>
        <w:lang w:val="en-US" w:eastAsia="en-US" w:bidi="ar-SA"/>
      </w:rPr>
    </w:lvl>
    <w:lvl w:ilvl="2">
      <w:start w:val="1"/>
      <w:numFmt w:val="decimal"/>
      <w:lvlText w:val="%1.%2.%3"/>
      <w:lvlJc w:val="left"/>
      <w:pPr>
        <w:ind w:left="717" w:hanging="588"/>
      </w:pPr>
      <w:rPr>
        <w:rFonts w:ascii="Arial" w:eastAsia="Arial" w:hAnsi="Arial" w:cs="Arial" w:hint="default"/>
        <w:b/>
        <w:bCs/>
        <w:color w:val="231F20"/>
        <w:spacing w:val="-29"/>
        <w:w w:val="99"/>
        <w:sz w:val="22"/>
        <w:szCs w:val="22"/>
        <w:lang w:val="en-US" w:eastAsia="en-US" w:bidi="ar-SA"/>
      </w:rPr>
    </w:lvl>
    <w:lvl w:ilvl="3">
      <w:numFmt w:val="bullet"/>
      <w:lvlText w:val="•"/>
      <w:lvlJc w:val="left"/>
      <w:pPr>
        <w:ind w:left="2716" w:hanging="588"/>
      </w:pPr>
      <w:rPr>
        <w:rFonts w:hint="default"/>
        <w:lang w:val="en-US" w:eastAsia="en-US" w:bidi="ar-SA"/>
      </w:rPr>
    </w:lvl>
    <w:lvl w:ilvl="4">
      <w:numFmt w:val="bullet"/>
      <w:lvlText w:val="•"/>
      <w:lvlJc w:val="left"/>
      <w:pPr>
        <w:ind w:left="3715" w:hanging="588"/>
      </w:pPr>
      <w:rPr>
        <w:rFonts w:hint="default"/>
        <w:lang w:val="en-US" w:eastAsia="en-US" w:bidi="ar-SA"/>
      </w:rPr>
    </w:lvl>
    <w:lvl w:ilvl="5">
      <w:numFmt w:val="bullet"/>
      <w:lvlText w:val="•"/>
      <w:lvlJc w:val="left"/>
      <w:pPr>
        <w:ind w:left="4713" w:hanging="588"/>
      </w:pPr>
      <w:rPr>
        <w:rFonts w:hint="default"/>
        <w:lang w:val="en-US" w:eastAsia="en-US" w:bidi="ar-SA"/>
      </w:rPr>
    </w:lvl>
    <w:lvl w:ilvl="6">
      <w:numFmt w:val="bullet"/>
      <w:lvlText w:val="•"/>
      <w:lvlJc w:val="left"/>
      <w:pPr>
        <w:ind w:left="5711" w:hanging="588"/>
      </w:pPr>
      <w:rPr>
        <w:rFonts w:hint="default"/>
        <w:lang w:val="en-US" w:eastAsia="en-US" w:bidi="ar-SA"/>
      </w:rPr>
    </w:lvl>
    <w:lvl w:ilvl="7">
      <w:numFmt w:val="bullet"/>
      <w:lvlText w:val="•"/>
      <w:lvlJc w:val="left"/>
      <w:pPr>
        <w:ind w:left="6710" w:hanging="588"/>
      </w:pPr>
      <w:rPr>
        <w:rFonts w:hint="default"/>
        <w:lang w:val="en-US" w:eastAsia="en-US" w:bidi="ar-SA"/>
      </w:rPr>
    </w:lvl>
    <w:lvl w:ilvl="8">
      <w:numFmt w:val="bullet"/>
      <w:lvlText w:val="•"/>
      <w:lvlJc w:val="left"/>
      <w:pPr>
        <w:ind w:left="7708" w:hanging="588"/>
      </w:pPr>
      <w:rPr>
        <w:rFonts w:hint="default"/>
        <w:lang w:val="en-US" w:eastAsia="en-US" w:bidi="ar-SA"/>
      </w:rPr>
    </w:lvl>
  </w:abstractNum>
  <w:abstractNum w:abstractNumId="232" w15:restartNumberingAfterBreak="0">
    <w:nsid w:val="5DB369F3"/>
    <w:multiLevelType w:val="hybridMultilevel"/>
    <w:tmpl w:val="94FE760C"/>
    <w:lvl w:ilvl="0" w:tplc="0FF8F9AC">
      <w:numFmt w:val="bullet"/>
      <w:lvlText w:val="•"/>
      <w:lvlJc w:val="left"/>
      <w:pPr>
        <w:ind w:left="27" w:hanging="79"/>
      </w:pPr>
      <w:rPr>
        <w:rFonts w:ascii="Arial" w:eastAsia="Arial" w:hAnsi="Arial" w:cs="Arial" w:hint="default"/>
        <w:color w:val="231F20"/>
        <w:w w:val="73"/>
        <w:sz w:val="17"/>
        <w:szCs w:val="17"/>
        <w:lang w:val="en-US" w:eastAsia="en-US" w:bidi="ar-SA"/>
      </w:rPr>
    </w:lvl>
    <w:lvl w:ilvl="1" w:tplc="F58224E2">
      <w:numFmt w:val="bullet"/>
      <w:lvlText w:val="•"/>
      <w:lvlJc w:val="left"/>
      <w:pPr>
        <w:ind w:left="268" w:hanging="79"/>
      </w:pPr>
      <w:rPr>
        <w:rFonts w:hint="default"/>
        <w:lang w:val="en-US" w:eastAsia="en-US" w:bidi="ar-SA"/>
      </w:rPr>
    </w:lvl>
    <w:lvl w:ilvl="2" w:tplc="454CDF96">
      <w:numFmt w:val="bullet"/>
      <w:lvlText w:val="•"/>
      <w:lvlJc w:val="left"/>
      <w:pPr>
        <w:ind w:left="517" w:hanging="79"/>
      </w:pPr>
      <w:rPr>
        <w:rFonts w:hint="default"/>
        <w:lang w:val="en-US" w:eastAsia="en-US" w:bidi="ar-SA"/>
      </w:rPr>
    </w:lvl>
    <w:lvl w:ilvl="3" w:tplc="189C960C">
      <w:numFmt w:val="bullet"/>
      <w:lvlText w:val="•"/>
      <w:lvlJc w:val="left"/>
      <w:pPr>
        <w:ind w:left="766" w:hanging="79"/>
      </w:pPr>
      <w:rPr>
        <w:rFonts w:hint="default"/>
        <w:lang w:val="en-US" w:eastAsia="en-US" w:bidi="ar-SA"/>
      </w:rPr>
    </w:lvl>
    <w:lvl w:ilvl="4" w:tplc="D7F09FB8">
      <w:numFmt w:val="bullet"/>
      <w:lvlText w:val="•"/>
      <w:lvlJc w:val="left"/>
      <w:pPr>
        <w:ind w:left="1014" w:hanging="79"/>
      </w:pPr>
      <w:rPr>
        <w:rFonts w:hint="default"/>
        <w:lang w:val="en-US" w:eastAsia="en-US" w:bidi="ar-SA"/>
      </w:rPr>
    </w:lvl>
    <w:lvl w:ilvl="5" w:tplc="DC9AB750">
      <w:numFmt w:val="bullet"/>
      <w:lvlText w:val="•"/>
      <w:lvlJc w:val="left"/>
      <w:pPr>
        <w:ind w:left="1263" w:hanging="79"/>
      </w:pPr>
      <w:rPr>
        <w:rFonts w:hint="default"/>
        <w:lang w:val="en-US" w:eastAsia="en-US" w:bidi="ar-SA"/>
      </w:rPr>
    </w:lvl>
    <w:lvl w:ilvl="6" w:tplc="237C97AE">
      <w:numFmt w:val="bullet"/>
      <w:lvlText w:val="•"/>
      <w:lvlJc w:val="left"/>
      <w:pPr>
        <w:ind w:left="1512" w:hanging="79"/>
      </w:pPr>
      <w:rPr>
        <w:rFonts w:hint="default"/>
        <w:lang w:val="en-US" w:eastAsia="en-US" w:bidi="ar-SA"/>
      </w:rPr>
    </w:lvl>
    <w:lvl w:ilvl="7" w:tplc="8C668598">
      <w:numFmt w:val="bullet"/>
      <w:lvlText w:val="•"/>
      <w:lvlJc w:val="left"/>
      <w:pPr>
        <w:ind w:left="1760" w:hanging="79"/>
      </w:pPr>
      <w:rPr>
        <w:rFonts w:hint="default"/>
        <w:lang w:val="en-US" w:eastAsia="en-US" w:bidi="ar-SA"/>
      </w:rPr>
    </w:lvl>
    <w:lvl w:ilvl="8" w:tplc="BF48CA10">
      <w:numFmt w:val="bullet"/>
      <w:lvlText w:val="•"/>
      <w:lvlJc w:val="left"/>
      <w:pPr>
        <w:ind w:left="2009" w:hanging="79"/>
      </w:pPr>
      <w:rPr>
        <w:rFonts w:hint="default"/>
        <w:lang w:val="en-US" w:eastAsia="en-US" w:bidi="ar-SA"/>
      </w:rPr>
    </w:lvl>
  </w:abstractNum>
  <w:abstractNum w:abstractNumId="233" w15:restartNumberingAfterBreak="0">
    <w:nsid w:val="5DC75755"/>
    <w:multiLevelType w:val="hybridMultilevel"/>
    <w:tmpl w:val="1F7ACDCA"/>
    <w:lvl w:ilvl="0" w:tplc="4A564C5A">
      <w:numFmt w:val="bullet"/>
      <w:lvlText w:val="•"/>
      <w:lvlJc w:val="left"/>
      <w:pPr>
        <w:ind w:left="29" w:hanging="70"/>
      </w:pPr>
      <w:rPr>
        <w:rFonts w:ascii="Arial" w:eastAsia="Arial" w:hAnsi="Arial" w:cs="Arial" w:hint="default"/>
        <w:color w:val="231F20"/>
        <w:w w:val="120"/>
        <w:sz w:val="10"/>
        <w:szCs w:val="10"/>
        <w:lang w:val="en-US" w:eastAsia="en-US" w:bidi="ar-SA"/>
      </w:rPr>
    </w:lvl>
    <w:lvl w:ilvl="1" w:tplc="7B22554A">
      <w:numFmt w:val="bullet"/>
      <w:lvlText w:val="•"/>
      <w:lvlJc w:val="left"/>
      <w:pPr>
        <w:ind w:left="259" w:hanging="70"/>
      </w:pPr>
      <w:rPr>
        <w:rFonts w:hint="default"/>
        <w:lang w:val="en-US" w:eastAsia="en-US" w:bidi="ar-SA"/>
      </w:rPr>
    </w:lvl>
    <w:lvl w:ilvl="2" w:tplc="83668578">
      <w:numFmt w:val="bullet"/>
      <w:lvlText w:val="•"/>
      <w:lvlJc w:val="left"/>
      <w:pPr>
        <w:ind w:left="498" w:hanging="70"/>
      </w:pPr>
      <w:rPr>
        <w:rFonts w:hint="default"/>
        <w:lang w:val="en-US" w:eastAsia="en-US" w:bidi="ar-SA"/>
      </w:rPr>
    </w:lvl>
    <w:lvl w:ilvl="3" w:tplc="D3645B2C">
      <w:numFmt w:val="bullet"/>
      <w:lvlText w:val="•"/>
      <w:lvlJc w:val="left"/>
      <w:pPr>
        <w:ind w:left="737" w:hanging="70"/>
      </w:pPr>
      <w:rPr>
        <w:rFonts w:hint="default"/>
        <w:lang w:val="en-US" w:eastAsia="en-US" w:bidi="ar-SA"/>
      </w:rPr>
    </w:lvl>
    <w:lvl w:ilvl="4" w:tplc="21401EC2">
      <w:numFmt w:val="bullet"/>
      <w:lvlText w:val="•"/>
      <w:lvlJc w:val="left"/>
      <w:pPr>
        <w:ind w:left="976" w:hanging="70"/>
      </w:pPr>
      <w:rPr>
        <w:rFonts w:hint="default"/>
        <w:lang w:val="en-US" w:eastAsia="en-US" w:bidi="ar-SA"/>
      </w:rPr>
    </w:lvl>
    <w:lvl w:ilvl="5" w:tplc="3A7648D4">
      <w:numFmt w:val="bullet"/>
      <w:lvlText w:val="•"/>
      <w:lvlJc w:val="left"/>
      <w:pPr>
        <w:ind w:left="1215" w:hanging="70"/>
      </w:pPr>
      <w:rPr>
        <w:rFonts w:hint="default"/>
        <w:lang w:val="en-US" w:eastAsia="en-US" w:bidi="ar-SA"/>
      </w:rPr>
    </w:lvl>
    <w:lvl w:ilvl="6" w:tplc="725234DA">
      <w:numFmt w:val="bullet"/>
      <w:lvlText w:val="•"/>
      <w:lvlJc w:val="left"/>
      <w:pPr>
        <w:ind w:left="1454" w:hanging="70"/>
      </w:pPr>
      <w:rPr>
        <w:rFonts w:hint="default"/>
        <w:lang w:val="en-US" w:eastAsia="en-US" w:bidi="ar-SA"/>
      </w:rPr>
    </w:lvl>
    <w:lvl w:ilvl="7" w:tplc="14C6617A">
      <w:numFmt w:val="bullet"/>
      <w:lvlText w:val="•"/>
      <w:lvlJc w:val="left"/>
      <w:pPr>
        <w:ind w:left="1693" w:hanging="70"/>
      </w:pPr>
      <w:rPr>
        <w:rFonts w:hint="default"/>
        <w:lang w:val="en-US" w:eastAsia="en-US" w:bidi="ar-SA"/>
      </w:rPr>
    </w:lvl>
    <w:lvl w:ilvl="8" w:tplc="F30CDA4E">
      <w:numFmt w:val="bullet"/>
      <w:lvlText w:val="•"/>
      <w:lvlJc w:val="left"/>
      <w:pPr>
        <w:ind w:left="1932" w:hanging="70"/>
      </w:pPr>
      <w:rPr>
        <w:rFonts w:hint="default"/>
        <w:lang w:val="en-US" w:eastAsia="en-US" w:bidi="ar-SA"/>
      </w:rPr>
    </w:lvl>
  </w:abstractNum>
  <w:abstractNum w:abstractNumId="234" w15:restartNumberingAfterBreak="0">
    <w:nsid w:val="5EEB2FDC"/>
    <w:multiLevelType w:val="hybridMultilevel"/>
    <w:tmpl w:val="98B4DF34"/>
    <w:lvl w:ilvl="0" w:tplc="81DEAC84">
      <w:numFmt w:val="bullet"/>
      <w:lvlText w:val="•"/>
      <w:lvlJc w:val="left"/>
      <w:pPr>
        <w:ind w:left="24" w:hanging="43"/>
      </w:pPr>
      <w:rPr>
        <w:rFonts w:ascii="Arial" w:eastAsia="Arial" w:hAnsi="Arial" w:cs="Arial" w:hint="default"/>
        <w:color w:val="231F20"/>
        <w:w w:val="69"/>
        <w:sz w:val="15"/>
        <w:szCs w:val="15"/>
        <w:lang w:val="en-US" w:eastAsia="en-US" w:bidi="ar-SA"/>
      </w:rPr>
    </w:lvl>
    <w:lvl w:ilvl="1" w:tplc="BAD4085C">
      <w:numFmt w:val="bullet"/>
      <w:lvlText w:val="•"/>
      <w:lvlJc w:val="left"/>
      <w:pPr>
        <w:ind w:left="253" w:hanging="43"/>
      </w:pPr>
      <w:rPr>
        <w:rFonts w:hint="default"/>
        <w:lang w:val="en-US" w:eastAsia="en-US" w:bidi="ar-SA"/>
      </w:rPr>
    </w:lvl>
    <w:lvl w:ilvl="2" w:tplc="20282252">
      <w:numFmt w:val="bullet"/>
      <w:lvlText w:val="•"/>
      <w:lvlJc w:val="left"/>
      <w:pPr>
        <w:ind w:left="486" w:hanging="43"/>
      </w:pPr>
      <w:rPr>
        <w:rFonts w:hint="default"/>
        <w:lang w:val="en-US" w:eastAsia="en-US" w:bidi="ar-SA"/>
      </w:rPr>
    </w:lvl>
    <w:lvl w:ilvl="3" w:tplc="269EDEB6">
      <w:numFmt w:val="bullet"/>
      <w:lvlText w:val="•"/>
      <w:lvlJc w:val="left"/>
      <w:pPr>
        <w:ind w:left="719" w:hanging="43"/>
      </w:pPr>
      <w:rPr>
        <w:rFonts w:hint="default"/>
        <w:lang w:val="en-US" w:eastAsia="en-US" w:bidi="ar-SA"/>
      </w:rPr>
    </w:lvl>
    <w:lvl w:ilvl="4" w:tplc="7FDEE46A">
      <w:numFmt w:val="bullet"/>
      <w:lvlText w:val="•"/>
      <w:lvlJc w:val="left"/>
      <w:pPr>
        <w:ind w:left="953" w:hanging="43"/>
      </w:pPr>
      <w:rPr>
        <w:rFonts w:hint="default"/>
        <w:lang w:val="en-US" w:eastAsia="en-US" w:bidi="ar-SA"/>
      </w:rPr>
    </w:lvl>
    <w:lvl w:ilvl="5" w:tplc="7DC6A898">
      <w:numFmt w:val="bullet"/>
      <w:lvlText w:val="•"/>
      <w:lvlJc w:val="left"/>
      <w:pPr>
        <w:ind w:left="1186" w:hanging="43"/>
      </w:pPr>
      <w:rPr>
        <w:rFonts w:hint="default"/>
        <w:lang w:val="en-US" w:eastAsia="en-US" w:bidi="ar-SA"/>
      </w:rPr>
    </w:lvl>
    <w:lvl w:ilvl="6" w:tplc="4B7E7E54">
      <w:numFmt w:val="bullet"/>
      <w:lvlText w:val="•"/>
      <w:lvlJc w:val="left"/>
      <w:pPr>
        <w:ind w:left="1419" w:hanging="43"/>
      </w:pPr>
      <w:rPr>
        <w:rFonts w:hint="default"/>
        <w:lang w:val="en-US" w:eastAsia="en-US" w:bidi="ar-SA"/>
      </w:rPr>
    </w:lvl>
    <w:lvl w:ilvl="7" w:tplc="02A6FBD8">
      <w:numFmt w:val="bullet"/>
      <w:lvlText w:val="•"/>
      <w:lvlJc w:val="left"/>
      <w:pPr>
        <w:ind w:left="1653" w:hanging="43"/>
      </w:pPr>
      <w:rPr>
        <w:rFonts w:hint="default"/>
        <w:lang w:val="en-US" w:eastAsia="en-US" w:bidi="ar-SA"/>
      </w:rPr>
    </w:lvl>
    <w:lvl w:ilvl="8" w:tplc="22881378">
      <w:numFmt w:val="bullet"/>
      <w:lvlText w:val="•"/>
      <w:lvlJc w:val="left"/>
      <w:pPr>
        <w:ind w:left="1886" w:hanging="43"/>
      </w:pPr>
      <w:rPr>
        <w:rFonts w:hint="default"/>
        <w:lang w:val="en-US" w:eastAsia="en-US" w:bidi="ar-SA"/>
      </w:rPr>
    </w:lvl>
  </w:abstractNum>
  <w:abstractNum w:abstractNumId="235" w15:restartNumberingAfterBreak="0">
    <w:nsid w:val="5EFA7060"/>
    <w:multiLevelType w:val="hybridMultilevel"/>
    <w:tmpl w:val="C602E9D8"/>
    <w:lvl w:ilvl="0" w:tplc="8B62931C">
      <w:numFmt w:val="bullet"/>
      <w:lvlText w:val="•"/>
      <w:lvlJc w:val="left"/>
      <w:pPr>
        <w:ind w:left="23" w:hanging="73"/>
      </w:pPr>
      <w:rPr>
        <w:rFonts w:ascii="Arial" w:eastAsia="Arial" w:hAnsi="Arial" w:cs="Arial" w:hint="default"/>
        <w:color w:val="231F20"/>
        <w:w w:val="115"/>
        <w:sz w:val="10"/>
        <w:szCs w:val="10"/>
        <w:lang w:val="en-US" w:eastAsia="en-US" w:bidi="ar-SA"/>
      </w:rPr>
    </w:lvl>
    <w:lvl w:ilvl="1" w:tplc="217A9662">
      <w:numFmt w:val="bullet"/>
      <w:lvlText w:val="•"/>
      <w:lvlJc w:val="left"/>
      <w:pPr>
        <w:ind w:left="248" w:hanging="73"/>
      </w:pPr>
      <w:rPr>
        <w:rFonts w:hint="default"/>
        <w:lang w:val="en-US" w:eastAsia="en-US" w:bidi="ar-SA"/>
      </w:rPr>
    </w:lvl>
    <w:lvl w:ilvl="2" w:tplc="9A10C5EC">
      <w:numFmt w:val="bullet"/>
      <w:lvlText w:val="•"/>
      <w:lvlJc w:val="left"/>
      <w:pPr>
        <w:ind w:left="477" w:hanging="73"/>
      </w:pPr>
      <w:rPr>
        <w:rFonts w:hint="default"/>
        <w:lang w:val="en-US" w:eastAsia="en-US" w:bidi="ar-SA"/>
      </w:rPr>
    </w:lvl>
    <w:lvl w:ilvl="3" w:tplc="84EA9E26">
      <w:numFmt w:val="bullet"/>
      <w:lvlText w:val="•"/>
      <w:lvlJc w:val="left"/>
      <w:pPr>
        <w:ind w:left="706" w:hanging="73"/>
      </w:pPr>
      <w:rPr>
        <w:rFonts w:hint="default"/>
        <w:lang w:val="en-US" w:eastAsia="en-US" w:bidi="ar-SA"/>
      </w:rPr>
    </w:lvl>
    <w:lvl w:ilvl="4" w:tplc="AB741C30">
      <w:numFmt w:val="bullet"/>
      <w:lvlText w:val="•"/>
      <w:lvlJc w:val="left"/>
      <w:pPr>
        <w:ind w:left="935" w:hanging="73"/>
      </w:pPr>
      <w:rPr>
        <w:rFonts w:hint="default"/>
        <w:lang w:val="en-US" w:eastAsia="en-US" w:bidi="ar-SA"/>
      </w:rPr>
    </w:lvl>
    <w:lvl w:ilvl="5" w:tplc="9EFA4DFE">
      <w:numFmt w:val="bullet"/>
      <w:lvlText w:val="•"/>
      <w:lvlJc w:val="left"/>
      <w:pPr>
        <w:ind w:left="1164" w:hanging="73"/>
      </w:pPr>
      <w:rPr>
        <w:rFonts w:hint="default"/>
        <w:lang w:val="en-US" w:eastAsia="en-US" w:bidi="ar-SA"/>
      </w:rPr>
    </w:lvl>
    <w:lvl w:ilvl="6" w:tplc="90104F6C">
      <w:numFmt w:val="bullet"/>
      <w:lvlText w:val="•"/>
      <w:lvlJc w:val="left"/>
      <w:pPr>
        <w:ind w:left="1393" w:hanging="73"/>
      </w:pPr>
      <w:rPr>
        <w:rFonts w:hint="default"/>
        <w:lang w:val="en-US" w:eastAsia="en-US" w:bidi="ar-SA"/>
      </w:rPr>
    </w:lvl>
    <w:lvl w:ilvl="7" w:tplc="4BB60476">
      <w:numFmt w:val="bullet"/>
      <w:lvlText w:val="•"/>
      <w:lvlJc w:val="left"/>
      <w:pPr>
        <w:ind w:left="1622" w:hanging="73"/>
      </w:pPr>
      <w:rPr>
        <w:rFonts w:hint="default"/>
        <w:lang w:val="en-US" w:eastAsia="en-US" w:bidi="ar-SA"/>
      </w:rPr>
    </w:lvl>
    <w:lvl w:ilvl="8" w:tplc="A176B0AC">
      <w:numFmt w:val="bullet"/>
      <w:lvlText w:val="•"/>
      <w:lvlJc w:val="left"/>
      <w:pPr>
        <w:ind w:left="1851" w:hanging="73"/>
      </w:pPr>
      <w:rPr>
        <w:rFonts w:hint="default"/>
        <w:lang w:val="en-US" w:eastAsia="en-US" w:bidi="ar-SA"/>
      </w:rPr>
    </w:lvl>
  </w:abstractNum>
  <w:abstractNum w:abstractNumId="236" w15:restartNumberingAfterBreak="0">
    <w:nsid w:val="5F7E40AD"/>
    <w:multiLevelType w:val="hybridMultilevel"/>
    <w:tmpl w:val="C81A2CCC"/>
    <w:lvl w:ilvl="0" w:tplc="F3EA0F0E">
      <w:start w:val="1"/>
      <w:numFmt w:val="lowerRoman"/>
      <w:lvlText w:val="%1."/>
      <w:lvlJc w:val="left"/>
      <w:pPr>
        <w:ind w:left="863" w:hanging="720"/>
      </w:pPr>
      <w:rPr>
        <w:rFonts w:ascii="Arial" w:eastAsia="Arial" w:hAnsi="Arial" w:cs="Arial" w:hint="default"/>
        <w:color w:val="231F20"/>
        <w:spacing w:val="-25"/>
        <w:w w:val="99"/>
        <w:sz w:val="22"/>
        <w:szCs w:val="22"/>
        <w:lang w:val="en-US" w:eastAsia="en-US" w:bidi="ar-SA"/>
      </w:rPr>
    </w:lvl>
    <w:lvl w:ilvl="1" w:tplc="CE70375A">
      <w:numFmt w:val="bullet"/>
      <w:lvlText w:val="•"/>
      <w:lvlJc w:val="left"/>
      <w:pPr>
        <w:ind w:left="1744" w:hanging="720"/>
      </w:pPr>
      <w:rPr>
        <w:rFonts w:hint="default"/>
        <w:lang w:val="en-US" w:eastAsia="en-US" w:bidi="ar-SA"/>
      </w:rPr>
    </w:lvl>
    <w:lvl w:ilvl="2" w:tplc="FD30B3E0">
      <w:numFmt w:val="bullet"/>
      <w:lvlText w:val="•"/>
      <w:lvlJc w:val="left"/>
      <w:pPr>
        <w:ind w:left="2629" w:hanging="720"/>
      </w:pPr>
      <w:rPr>
        <w:rFonts w:hint="default"/>
        <w:lang w:val="en-US" w:eastAsia="en-US" w:bidi="ar-SA"/>
      </w:rPr>
    </w:lvl>
    <w:lvl w:ilvl="3" w:tplc="4670CD5A">
      <w:numFmt w:val="bullet"/>
      <w:lvlText w:val="•"/>
      <w:lvlJc w:val="left"/>
      <w:pPr>
        <w:ind w:left="3513" w:hanging="720"/>
      </w:pPr>
      <w:rPr>
        <w:rFonts w:hint="default"/>
        <w:lang w:val="en-US" w:eastAsia="en-US" w:bidi="ar-SA"/>
      </w:rPr>
    </w:lvl>
    <w:lvl w:ilvl="4" w:tplc="8E2E0E9A">
      <w:numFmt w:val="bullet"/>
      <w:lvlText w:val="•"/>
      <w:lvlJc w:val="left"/>
      <w:pPr>
        <w:ind w:left="4398" w:hanging="720"/>
      </w:pPr>
      <w:rPr>
        <w:rFonts w:hint="default"/>
        <w:lang w:val="en-US" w:eastAsia="en-US" w:bidi="ar-SA"/>
      </w:rPr>
    </w:lvl>
    <w:lvl w:ilvl="5" w:tplc="7698473E">
      <w:numFmt w:val="bullet"/>
      <w:lvlText w:val="•"/>
      <w:lvlJc w:val="left"/>
      <w:pPr>
        <w:ind w:left="5282" w:hanging="720"/>
      </w:pPr>
      <w:rPr>
        <w:rFonts w:hint="default"/>
        <w:lang w:val="en-US" w:eastAsia="en-US" w:bidi="ar-SA"/>
      </w:rPr>
    </w:lvl>
    <w:lvl w:ilvl="6" w:tplc="957886A8">
      <w:numFmt w:val="bullet"/>
      <w:lvlText w:val="•"/>
      <w:lvlJc w:val="left"/>
      <w:pPr>
        <w:ind w:left="6167" w:hanging="720"/>
      </w:pPr>
      <w:rPr>
        <w:rFonts w:hint="default"/>
        <w:lang w:val="en-US" w:eastAsia="en-US" w:bidi="ar-SA"/>
      </w:rPr>
    </w:lvl>
    <w:lvl w:ilvl="7" w:tplc="647660BE">
      <w:numFmt w:val="bullet"/>
      <w:lvlText w:val="•"/>
      <w:lvlJc w:val="left"/>
      <w:pPr>
        <w:ind w:left="7051" w:hanging="720"/>
      </w:pPr>
      <w:rPr>
        <w:rFonts w:hint="default"/>
        <w:lang w:val="en-US" w:eastAsia="en-US" w:bidi="ar-SA"/>
      </w:rPr>
    </w:lvl>
    <w:lvl w:ilvl="8" w:tplc="C8D074E8">
      <w:numFmt w:val="bullet"/>
      <w:lvlText w:val="•"/>
      <w:lvlJc w:val="left"/>
      <w:pPr>
        <w:ind w:left="7936" w:hanging="720"/>
      </w:pPr>
      <w:rPr>
        <w:rFonts w:hint="default"/>
        <w:lang w:val="en-US" w:eastAsia="en-US" w:bidi="ar-SA"/>
      </w:rPr>
    </w:lvl>
  </w:abstractNum>
  <w:abstractNum w:abstractNumId="237" w15:restartNumberingAfterBreak="0">
    <w:nsid w:val="5FD23D12"/>
    <w:multiLevelType w:val="hybridMultilevel"/>
    <w:tmpl w:val="14D6D6CE"/>
    <w:lvl w:ilvl="0" w:tplc="17EE5928">
      <w:numFmt w:val="bullet"/>
      <w:lvlText w:val="•"/>
      <w:lvlJc w:val="left"/>
      <w:pPr>
        <w:ind w:left="27" w:hanging="71"/>
      </w:pPr>
      <w:rPr>
        <w:rFonts w:ascii="Arial" w:eastAsia="Arial" w:hAnsi="Arial" w:cs="Arial" w:hint="default"/>
        <w:color w:val="231F20"/>
        <w:w w:val="87"/>
        <w:sz w:val="14"/>
        <w:szCs w:val="14"/>
        <w:lang w:val="en-US" w:eastAsia="en-US" w:bidi="ar-SA"/>
      </w:rPr>
    </w:lvl>
    <w:lvl w:ilvl="1" w:tplc="B4640FB2">
      <w:numFmt w:val="bullet"/>
      <w:lvlText w:val="•"/>
      <w:lvlJc w:val="left"/>
      <w:pPr>
        <w:ind w:left="263" w:hanging="71"/>
      </w:pPr>
      <w:rPr>
        <w:rFonts w:hint="default"/>
        <w:lang w:val="en-US" w:eastAsia="en-US" w:bidi="ar-SA"/>
      </w:rPr>
    </w:lvl>
    <w:lvl w:ilvl="2" w:tplc="6050713C">
      <w:numFmt w:val="bullet"/>
      <w:lvlText w:val="•"/>
      <w:lvlJc w:val="left"/>
      <w:pPr>
        <w:ind w:left="507" w:hanging="71"/>
      </w:pPr>
      <w:rPr>
        <w:rFonts w:hint="default"/>
        <w:lang w:val="en-US" w:eastAsia="en-US" w:bidi="ar-SA"/>
      </w:rPr>
    </w:lvl>
    <w:lvl w:ilvl="3" w:tplc="7C94C13C">
      <w:numFmt w:val="bullet"/>
      <w:lvlText w:val="•"/>
      <w:lvlJc w:val="left"/>
      <w:pPr>
        <w:ind w:left="750" w:hanging="71"/>
      </w:pPr>
      <w:rPr>
        <w:rFonts w:hint="default"/>
        <w:lang w:val="en-US" w:eastAsia="en-US" w:bidi="ar-SA"/>
      </w:rPr>
    </w:lvl>
    <w:lvl w:ilvl="4" w:tplc="9FDAE528">
      <w:numFmt w:val="bullet"/>
      <w:lvlText w:val="•"/>
      <w:lvlJc w:val="left"/>
      <w:pPr>
        <w:ind w:left="994" w:hanging="71"/>
      </w:pPr>
      <w:rPr>
        <w:rFonts w:hint="default"/>
        <w:lang w:val="en-US" w:eastAsia="en-US" w:bidi="ar-SA"/>
      </w:rPr>
    </w:lvl>
    <w:lvl w:ilvl="5" w:tplc="BB8EDD36">
      <w:numFmt w:val="bullet"/>
      <w:lvlText w:val="•"/>
      <w:lvlJc w:val="left"/>
      <w:pPr>
        <w:ind w:left="1238" w:hanging="71"/>
      </w:pPr>
      <w:rPr>
        <w:rFonts w:hint="default"/>
        <w:lang w:val="en-US" w:eastAsia="en-US" w:bidi="ar-SA"/>
      </w:rPr>
    </w:lvl>
    <w:lvl w:ilvl="6" w:tplc="F3966BAC">
      <w:numFmt w:val="bullet"/>
      <w:lvlText w:val="•"/>
      <w:lvlJc w:val="left"/>
      <w:pPr>
        <w:ind w:left="1481" w:hanging="71"/>
      </w:pPr>
      <w:rPr>
        <w:rFonts w:hint="default"/>
        <w:lang w:val="en-US" w:eastAsia="en-US" w:bidi="ar-SA"/>
      </w:rPr>
    </w:lvl>
    <w:lvl w:ilvl="7" w:tplc="393E68DC">
      <w:numFmt w:val="bullet"/>
      <w:lvlText w:val="•"/>
      <w:lvlJc w:val="left"/>
      <w:pPr>
        <w:ind w:left="1725" w:hanging="71"/>
      </w:pPr>
      <w:rPr>
        <w:rFonts w:hint="default"/>
        <w:lang w:val="en-US" w:eastAsia="en-US" w:bidi="ar-SA"/>
      </w:rPr>
    </w:lvl>
    <w:lvl w:ilvl="8" w:tplc="2DE87254">
      <w:numFmt w:val="bullet"/>
      <w:lvlText w:val="•"/>
      <w:lvlJc w:val="left"/>
      <w:pPr>
        <w:ind w:left="1968" w:hanging="71"/>
      </w:pPr>
      <w:rPr>
        <w:rFonts w:hint="default"/>
        <w:lang w:val="en-US" w:eastAsia="en-US" w:bidi="ar-SA"/>
      </w:rPr>
    </w:lvl>
  </w:abstractNum>
  <w:abstractNum w:abstractNumId="238" w15:restartNumberingAfterBreak="0">
    <w:nsid w:val="5FF453B2"/>
    <w:multiLevelType w:val="hybridMultilevel"/>
    <w:tmpl w:val="42506F80"/>
    <w:lvl w:ilvl="0" w:tplc="1EA288D6">
      <w:numFmt w:val="bullet"/>
      <w:lvlText w:val="•"/>
      <w:lvlJc w:val="left"/>
      <w:pPr>
        <w:ind w:left="27" w:hanging="76"/>
      </w:pPr>
      <w:rPr>
        <w:rFonts w:ascii="Arial" w:eastAsia="Arial" w:hAnsi="Arial" w:cs="Arial" w:hint="default"/>
        <w:color w:val="231F20"/>
        <w:w w:val="87"/>
        <w:sz w:val="14"/>
        <w:szCs w:val="14"/>
        <w:lang w:val="en-US" w:eastAsia="en-US" w:bidi="ar-SA"/>
      </w:rPr>
    </w:lvl>
    <w:lvl w:ilvl="1" w:tplc="0308BAB4">
      <w:numFmt w:val="bullet"/>
      <w:lvlText w:val="•"/>
      <w:lvlJc w:val="left"/>
      <w:pPr>
        <w:ind w:left="263" w:hanging="76"/>
      </w:pPr>
      <w:rPr>
        <w:rFonts w:hint="default"/>
        <w:lang w:val="en-US" w:eastAsia="en-US" w:bidi="ar-SA"/>
      </w:rPr>
    </w:lvl>
    <w:lvl w:ilvl="2" w:tplc="2C74DB7E">
      <w:numFmt w:val="bullet"/>
      <w:lvlText w:val="•"/>
      <w:lvlJc w:val="left"/>
      <w:pPr>
        <w:ind w:left="507" w:hanging="76"/>
      </w:pPr>
      <w:rPr>
        <w:rFonts w:hint="default"/>
        <w:lang w:val="en-US" w:eastAsia="en-US" w:bidi="ar-SA"/>
      </w:rPr>
    </w:lvl>
    <w:lvl w:ilvl="3" w:tplc="2984FDA6">
      <w:numFmt w:val="bullet"/>
      <w:lvlText w:val="•"/>
      <w:lvlJc w:val="left"/>
      <w:pPr>
        <w:ind w:left="750" w:hanging="76"/>
      </w:pPr>
      <w:rPr>
        <w:rFonts w:hint="default"/>
        <w:lang w:val="en-US" w:eastAsia="en-US" w:bidi="ar-SA"/>
      </w:rPr>
    </w:lvl>
    <w:lvl w:ilvl="4" w:tplc="62D27586">
      <w:numFmt w:val="bullet"/>
      <w:lvlText w:val="•"/>
      <w:lvlJc w:val="left"/>
      <w:pPr>
        <w:ind w:left="994" w:hanging="76"/>
      </w:pPr>
      <w:rPr>
        <w:rFonts w:hint="default"/>
        <w:lang w:val="en-US" w:eastAsia="en-US" w:bidi="ar-SA"/>
      </w:rPr>
    </w:lvl>
    <w:lvl w:ilvl="5" w:tplc="39B09CC6">
      <w:numFmt w:val="bullet"/>
      <w:lvlText w:val="•"/>
      <w:lvlJc w:val="left"/>
      <w:pPr>
        <w:ind w:left="1238" w:hanging="76"/>
      </w:pPr>
      <w:rPr>
        <w:rFonts w:hint="default"/>
        <w:lang w:val="en-US" w:eastAsia="en-US" w:bidi="ar-SA"/>
      </w:rPr>
    </w:lvl>
    <w:lvl w:ilvl="6" w:tplc="E230D66E">
      <w:numFmt w:val="bullet"/>
      <w:lvlText w:val="•"/>
      <w:lvlJc w:val="left"/>
      <w:pPr>
        <w:ind w:left="1481" w:hanging="76"/>
      </w:pPr>
      <w:rPr>
        <w:rFonts w:hint="default"/>
        <w:lang w:val="en-US" w:eastAsia="en-US" w:bidi="ar-SA"/>
      </w:rPr>
    </w:lvl>
    <w:lvl w:ilvl="7" w:tplc="EF24E818">
      <w:numFmt w:val="bullet"/>
      <w:lvlText w:val="•"/>
      <w:lvlJc w:val="left"/>
      <w:pPr>
        <w:ind w:left="1725" w:hanging="76"/>
      </w:pPr>
      <w:rPr>
        <w:rFonts w:hint="default"/>
        <w:lang w:val="en-US" w:eastAsia="en-US" w:bidi="ar-SA"/>
      </w:rPr>
    </w:lvl>
    <w:lvl w:ilvl="8" w:tplc="A344DAEE">
      <w:numFmt w:val="bullet"/>
      <w:lvlText w:val="•"/>
      <w:lvlJc w:val="left"/>
      <w:pPr>
        <w:ind w:left="1968" w:hanging="76"/>
      </w:pPr>
      <w:rPr>
        <w:rFonts w:hint="default"/>
        <w:lang w:val="en-US" w:eastAsia="en-US" w:bidi="ar-SA"/>
      </w:rPr>
    </w:lvl>
  </w:abstractNum>
  <w:abstractNum w:abstractNumId="239" w15:restartNumberingAfterBreak="0">
    <w:nsid w:val="60130070"/>
    <w:multiLevelType w:val="hybridMultilevel"/>
    <w:tmpl w:val="D8F6D518"/>
    <w:lvl w:ilvl="0" w:tplc="B0A07508">
      <w:numFmt w:val="bullet"/>
      <w:lvlText w:val="•"/>
      <w:lvlJc w:val="left"/>
      <w:pPr>
        <w:ind w:left="28" w:hanging="44"/>
      </w:pPr>
      <w:rPr>
        <w:rFonts w:ascii="Arial" w:eastAsia="Arial" w:hAnsi="Arial" w:cs="Arial" w:hint="default"/>
        <w:color w:val="231F20"/>
        <w:w w:val="70"/>
        <w:sz w:val="15"/>
        <w:szCs w:val="15"/>
        <w:lang w:val="en-US" w:eastAsia="en-US" w:bidi="ar-SA"/>
      </w:rPr>
    </w:lvl>
    <w:lvl w:ilvl="1" w:tplc="47A01DF4">
      <w:numFmt w:val="bullet"/>
      <w:lvlText w:val="•"/>
      <w:lvlJc w:val="left"/>
      <w:pPr>
        <w:ind w:left="258" w:hanging="44"/>
      </w:pPr>
      <w:rPr>
        <w:rFonts w:hint="default"/>
        <w:lang w:val="en-US" w:eastAsia="en-US" w:bidi="ar-SA"/>
      </w:rPr>
    </w:lvl>
    <w:lvl w:ilvl="2" w:tplc="9AE6FF62">
      <w:numFmt w:val="bullet"/>
      <w:lvlText w:val="•"/>
      <w:lvlJc w:val="left"/>
      <w:pPr>
        <w:ind w:left="497" w:hanging="44"/>
      </w:pPr>
      <w:rPr>
        <w:rFonts w:hint="default"/>
        <w:lang w:val="en-US" w:eastAsia="en-US" w:bidi="ar-SA"/>
      </w:rPr>
    </w:lvl>
    <w:lvl w:ilvl="3" w:tplc="1944BE2C">
      <w:numFmt w:val="bullet"/>
      <w:lvlText w:val="•"/>
      <w:lvlJc w:val="left"/>
      <w:pPr>
        <w:ind w:left="735" w:hanging="44"/>
      </w:pPr>
      <w:rPr>
        <w:rFonts w:hint="default"/>
        <w:lang w:val="en-US" w:eastAsia="en-US" w:bidi="ar-SA"/>
      </w:rPr>
    </w:lvl>
    <w:lvl w:ilvl="4" w:tplc="4B36A7C8">
      <w:numFmt w:val="bullet"/>
      <w:lvlText w:val="•"/>
      <w:lvlJc w:val="left"/>
      <w:pPr>
        <w:ind w:left="974" w:hanging="44"/>
      </w:pPr>
      <w:rPr>
        <w:rFonts w:hint="default"/>
        <w:lang w:val="en-US" w:eastAsia="en-US" w:bidi="ar-SA"/>
      </w:rPr>
    </w:lvl>
    <w:lvl w:ilvl="5" w:tplc="4558B7E0">
      <w:numFmt w:val="bullet"/>
      <w:lvlText w:val="•"/>
      <w:lvlJc w:val="left"/>
      <w:pPr>
        <w:ind w:left="1213" w:hanging="44"/>
      </w:pPr>
      <w:rPr>
        <w:rFonts w:hint="default"/>
        <w:lang w:val="en-US" w:eastAsia="en-US" w:bidi="ar-SA"/>
      </w:rPr>
    </w:lvl>
    <w:lvl w:ilvl="6" w:tplc="BD1A0F34">
      <w:numFmt w:val="bullet"/>
      <w:lvlText w:val="•"/>
      <w:lvlJc w:val="left"/>
      <w:pPr>
        <w:ind w:left="1451" w:hanging="44"/>
      </w:pPr>
      <w:rPr>
        <w:rFonts w:hint="default"/>
        <w:lang w:val="en-US" w:eastAsia="en-US" w:bidi="ar-SA"/>
      </w:rPr>
    </w:lvl>
    <w:lvl w:ilvl="7" w:tplc="A0F09946">
      <w:numFmt w:val="bullet"/>
      <w:lvlText w:val="•"/>
      <w:lvlJc w:val="left"/>
      <w:pPr>
        <w:ind w:left="1690" w:hanging="44"/>
      </w:pPr>
      <w:rPr>
        <w:rFonts w:hint="default"/>
        <w:lang w:val="en-US" w:eastAsia="en-US" w:bidi="ar-SA"/>
      </w:rPr>
    </w:lvl>
    <w:lvl w:ilvl="8" w:tplc="8BD85256">
      <w:numFmt w:val="bullet"/>
      <w:lvlText w:val="•"/>
      <w:lvlJc w:val="left"/>
      <w:pPr>
        <w:ind w:left="1928" w:hanging="44"/>
      </w:pPr>
      <w:rPr>
        <w:rFonts w:hint="default"/>
        <w:lang w:val="en-US" w:eastAsia="en-US" w:bidi="ar-SA"/>
      </w:rPr>
    </w:lvl>
  </w:abstractNum>
  <w:abstractNum w:abstractNumId="240" w15:restartNumberingAfterBreak="0">
    <w:nsid w:val="60FA1A35"/>
    <w:multiLevelType w:val="hybridMultilevel"/>
    <w:tmpl w:val="1F1CD814"/>
    <w:lvl w:ilvl="0" w:tplc="027EE444">
      <w:numFmt w:val="bullet"/>
      <w:lvlText w:val="•"/>
      <w:lvlJc w:val="left"/>
      <w:pPr>
        <w:ind w:left="894" w:hanging="439"/>
      </w:pPr>
      <w:rPr>
        <w:rFonts w:ascii="Arial" w:eastAsia="Arial" w:hAnsi="Arial" w:cs="Arial" w:hint="default"/>
        <w:color w:val="231F20"/>
        <w:w w:val="99"/>
        <w:sz w:val="22"/>
        <w:szCs w:val="22"/>
        <w:lang w:val="en-US" w:eastAsia="en-US" w:bidi="ar-SA"/>
      </w:rPr>
    </w:lvl>
    <w:lvl w:ilvl="1" w:tplc="87DC69DA">
      <w:numFmt w:val="bullet"/>
      <w:lvlText w:val="•"/>
      <w:lvlJc w:val="left"/>
      <w:pPr>
        <w:ind w:left="1780" w:hanging="439"/>
      </w:pPr>
      <w:rPr>
        <w:rFonts w:hint="default"/>
        <w:lang w:val="en-US" w:eastAsia="en-US" w:bidi="ar-SA"/>
      </w:rPr>
    </w:lvl>
    <w:lvl w:ilvl="2" w:tplc="2842D242">
      <w:numFmt w:val="bullet"/>
      <w:lvlText w:val="•"/>
      <w:lvlJc w:val="left"/>
      <w:pPr>
        <w:ind w:left="2661" w:hanging="439"/>
      </w:pPr>
      <w:rPr>
        <w:rFonts w:hint="default"/>
        <w:lang w:val="en-US" w:eastAsia="en-US" w:bidi="ar-SA"/>
      </w:rPr>
    </w:lvl>
    <w:lvl w:ilvl="3" w:tplc="D7522588">
      <w:numFmt w:val="bullet"/>
      <w:lvlText w:val="•"/>
      <w:lvlJc w:val="left"/>
      <w:pPr>
        <w:ind w:left="3541" w:hanging="439"/>
      </w:pPr>
      <w:rPr>
        <w:rFonts w:hint="default"/>
        <w:lang w:val="en-US" w:eastAsia="en-US" w:bidi="ar-SA"/>
      </w:rPr>
    </w:lvl>
    <w:lvl w:ilvl="4" w:tplc="52505872">
      <w:numFmt w:val="bullet"/>
      <w:lvlText w:val="•"/>
      <w:lvlJc w:val="left"/>
      <w:pPr>
        <w:ind w:left="4422" w:hanging="439"/>
      </w:pPr>
      <w:rPr>
        <w:rFonts w:hint="default"/>
        <w:lang w:val="en-US" w:eastAsia="en-US" w:bidi="ar-SA"/>
      </w:rPr>
    </w:lvl>
    <w:lvl w:ilvl="5" w:tplc="A9AA9440">
      <w:numFmt w:val="bullet"/>
      <w:lvlText w:val="•"/>
      <w:lvlJc w:val="left"/>
      <w:pPr>
        <w:ind w:left="5302" w:hanging="439"/>
      </w:pPr>
      <w:rPr>
        <w:rFonts w:hint="default"/>
        <w:lang w:val="en-US" w:eastAsia="en-US" w:bidi="ar-SA"/>
      </w:rPr>
    </w:lvl>
    <w:lvl w:ilvl="6" w:tplc="F98C3124">
      <w:numFmt w:val="bullet"/>
      <w:lvlText w:val="•"/>
      <w:lvlJc w:val="left"/>
      <w:pPr>
        <w:ind w:left="6183" w:hanging="439"/>
      </w:pPr>
      <w:rPr>
        <w:rFonts w:hint="default"/>
        <w:lang w:val="en-US" w:eastAsia="en-US" w:bidi="ar-SA"/>
      </w:rPr>
    </w:lvl>
    <w:lvl w:ilvl="7" w:tplc="98B03100">
      <w:numFmt w:val="bullet"/>
      <w:lvlText w:val="•"/>
      <w:lvlJc w:val="left"/>
      <w:pPr>
        <w:ind w:left="7063" w:hanging="439"/>
      </w:pPr>
      <w:rPr>
        <w:rFonts w:hint="default"/>
        <w:lang w:val="en-US" w:eastAsia="en-US" w:bidi="ar-SA"/>
      </w:rPr>
    </w:lvl>
    <w:lvl w:ilvl="8" w:tplc="5DC23926">
      <w:numFmt w:val="bullet"/>
      <w:lvlText w:val="•"/>
      <w:lvlJc w:val="left"/>
      <w:pPr>
        <w:ind w:left="7944" w:hanging="439"/>
      </w:pPr>
      <w:rPr>
        <w:rFonts w:hint="default"/>
        <w:lang w:val="en-US" w:eastAsia="en-US" w:bidi="ar-SA"/>
      </w:rPr>
    </w:lvl>
  </w:abstractNum>
  <w:abstractNum w:abstractNumId="241" w15:restartNumberingAfterBreak="0">
    <w:nsid w:val="616651E8"/>
    <w:multiLevelType w:val="hybridMultilevel"/>
    <w:tmpl w:val="D71E4108"/>
    <w:lvl w:ilvl="0" w:tplc="3CC0F282">
      <w:start w:val="2"/>
      <w:numFmt w:val="lowerRoman"/>
      <w:lvlText w:val="%1."/>
      <w:lvlJc w:val="left"/>
      <w:pPr>
        <w:ind w:left="849" w:hanging="720"/>
      </w:pPr>
      <w:rPr>
        <w:rFonts w:ascii="Arial" w:eastAsia="Arial" w:hAnsi="Arial" w:cs="Arial" w:hint="default"/>
        <w:color w:val="231F20"/>
        <w:w w:val="99"/>
        <w:sz w:val="22"/>
        <w:szCs w:val="22"/>
        <w:lang w:val="en-US" w:eastAsia="en-US" w:bidi="ar-SA"/>
      </w:rPr>
    </w:lvl>
    <w:lvl w:ilvl="1" w:tplc="16620CC4">
      <w:numFmt w:val="bullet"/>
      <w:lvlText w:val="•"/>
      <w:lvlJc w:val="left"/>
      <w:pPr>
        <w:ind w:left="1726" w:hanging="720"/>
      </w:pPr>
      <w:rPr>
        <w:rFonts w:hint="default"/>
        <w:lang w:val="en-US" w:eastAsia="en-US" w:bidi="ar-SA"/>
      </w:rPr>
    </w:lvl>
    <w:lvl w:ilvl="2" w:tplc="0756CD72">
      <w:numFmt w:val="bullet"/>
      <w:lvlText w:val="•"/>
      <w:lvlJc w:val="left"/>
      <w:pPr>
        <w:ind w:left="2613" w:hanging="720"/>
      </w:pPr>
      <w:rPr>
        <w:rFonts w:hint="default"/>
        <w:lang w:val="en-US" w:eastAsia="en-US" w:bidi="ar-SA"/>
      </w:rPr>
    </w:lvl>
    <w:lvl w:ilvl="3" w:tplc="24E60D16">
      <w:numFmt w:val="bullet"/>
      <w:lvlText w:val="•"/>
      <w:lvlJc w:val="left"/>
      <w:pPr>
        <w:ind w:left="3499" w:hanging="720"/>
      </w:pPr>
      <w:rPr>
        <w:rFonts w:hint="default"/>
        <w:lang w:val="en-US" w:eastAsia="en-US" w:bidi="ar-SA"/>
      </w:rPr>
    </w:lvl>
    <w:lvl w:ilvl="4" w:tplc="82F46184">
      <w:numFmt w:val="bullet"/>
      <w:lvlText w:val="•"/>
      <w:lvlJc w:val="left"/>
      <w:pPr>
        <w:ind w:left="4386" w:hanging="720"/>
      </w:pPr>
      <w:rPr>
        <w:rFonts w:hint="default"/>
        <w:lang w:val="en-US" w:eastAsia="en-US" w:bidi="ar-SA"/>
      </w:rPr>
    </w:lvl>
    <w:lvl w:ilvl="5" w:tplc="8FE4B7B0">
      <w:numFmt w:val="bullet"/>
      <w:lvlText w:val="•"/>
      <w:lvlJc w:val="left"/>
      <w:pPr>
        <w:ind w:left="5272" w:hanging="720"/>
      </w:pPr>
      <w:rPr>
        <w:rFonts w:hint="default"/>
        <w:lang w:val="en-US" w:eastAsia="en-US" w:bidi="ar-SA"/>
      </w:rPr>
    </w:lvl>
    <w:lvl w:ilvl="6" w:tplc="56E4F008">
      <w:numFmt w:val="bullet"/>
      <w:lvlText w:val="•"/>
      <w:lvlJc w:val="left"/>
      <w:pPr>
        <w:ind w:left="6159" w:hanging="720"/>
      </w:pPr>
      <w:rPr>
        <w:rFonts w:hint="default"/>
        <w:lang w:val="en-US" w:eastAsia="en-US" w:bidi="ar-SA"/>
      </w:rPr>
    </w:lvl>
    <w:lvl w:ilvl="7" w:tplc="0F18606E">
      <w:numFmt w:val="bullet"/>
      <w:lvlText w:val="•"/>
      <w:lvlJc w:val="left"/>
      <w:pPr>
        <w:ind w:left="7045" w:hanging="720"/>
      </w:pPr>
      <w:rPr>
        <w:rFonts w:hint="default"/>
        <w:lang w:val="en-US" w:eastAsia="en-US" w:bidi="ar-SA"/>
      </w:rPr>
    </w:lvl>
    <w:lvl w:ilvl="8" w:tplc="E8CA46D6">
      <w:numFmt w:val="bullet"/>
      <w:lvlText w:val="•"/>
      <w:lvlJc w:val="left"/>
      <w:pPr>
        <w:ind w:left="7932" w:hanging="720"/>
      </w:pPr>
      <w:rPr>
        <w:rFonts w:hint="default"/>
        <w:lang w:val="en-US" w:eastAsia="en-US" w:bidi="ar-SA"/>
      </w:rPr>
    </w:lvl>
  </w:abstractNum>
  <w:abstractNum w:abstractNumId="242" w15:restartNumberingAfterBreak="0">
    <w:nsid w:val="624A7518"/>
    <w:multiLevelType w:val="hybridMultilevel"/>
    <w:tmpl w:val="B76E7D74"/>
    <w:lvl w:ilvl="0" w:tplc="61A6761A">
      <w:numFmt w:val="bullet"/>
      <w:lvlText w:val="•"/>
      <w:lvlJc w:val="left"/>
      <w:pPr>
        <w:ind w:left="26" w:hanging="44"/>
      </w:pPr>
      <w:rPr>
        <w:rFonts w:ascii="Arial" w:eastAsia="Arial" w:hAnsi="Arial" w:cs="Arial" w:hint="default"/>
        <w:color w:val="231F20"/>
        <w:w w:val="100"/>
        <w:sz w:val="10"/>
        <w:szCs w:val="10"/>
        <w:lang w:val="en-US" w:eastAsia="en-US" w:bidi="ar-SA"/>
      </w:rPr>
    </w:lvl>
    <w:lvl w:ilvl="1" w:tplc="53B23EAC">
      <w:numFmt w:val="bullet"/>
      <w:lvlText w:val="•"/>
      <w:lvlJc w:val="left"/>
      <w:pPr>
        <w:ind w:left="257" w:hanging="44"/>
      </w:pPr>
      <w:rPr>
        <w:rFonts w:hint="default"/>
        <w:lang w:val="en-US" w:eastAsia="en-US" w:bidi="ar-SA"/>
      </w:rPr>
    </w:lvl>
    <w:lvl w:ilvl="2" w:tplc="D2301B8C">
      <w:numFmt w:val="bullet"/>
      <w:lvlText w:val="•"/>
      <w:lvlJc w:val="left"/>
      <w:pPr>
        <w:ind w:left="495" w:hanging="44"/>
      </w:pPr>
      <w:rPr>
        <w:rFonts w:hint="default"/>
        <w:lang w:val="en-US" w:eastAsia="en-US" w:bidi="ar-SA"/>
      </w:rPr>
    </w:lvl>
    <w:lvl w:ilvl="3" w:tplc="34A65268">
      <w:numFmt w:val="bullet"/>
      <w:lvlText w:val="•"/>
      <w:lvlJc w:val="left"/>
      <w:pPr>
        <w:ind w:left="733" w:hanging="44"/>
      </w:pPr>
      <w:rPr>
        <w:rFonts w:hint="default"/>
        <w:lang w:val="en-US" w:eastAsia="en-US" w:bidi="ar-SA"/>
      </w:rPr>
    </w:lvl>
    <w:lvl w:ilvl="4" w:tplc="DA9AC55C">
      <w:numFmt w:val="bullet"/>
      <w:lvlText w:val="•"/>
      <w:lvlJc w:val="left"/>
      <w:pPr>
        <w:ind w:left="970" w:hanging="44"/>
      </w:pPr>
      <w:rPr>
        <w:rFonts w:hint="default"/>
        <w:lang w:val="en-US" w:eastAsia="en-US" w:bidi="ar-SA"/>
      </w:rPr>
    </w:lvl>
    <w:lvl w:ilvl="5" w:tplc="EF2CED54">
      <w:numFmt w:val="bullet"/>
      <w:lvlText w:val="•"/>
      <w:lvlJc w:val="left"/>
      <w:pPr>
        <w:ind w:left="1208" w:hanging="44"/>
      </w:pPr>
      <w:rPr>
        <w:rFonts w:hint="default"/>
        <w:lang w:val="en-US" w:eastAsia="en-US" w:bidi="ar-SA"/>
      </w:rPr>
    </w:lvl>
    <w:lvl w:ilvl="6" w:tplc="42C86E16">
      <w:numFmt w:val="bullet"/>
      <w:lvlText w:val="•"/>
      <w:lvlJc w:val="left"/>
      <w:pPr>
        <w:ind w:left="1446" w:hanging="44"/>
      </w:pPr>
      <w:rPr>
        <w:rFonts w:hint="default"/>
        <w:lang w:val="en-US" w:eastAsia="en-US" w:bidi="ar-SA"/>
      </w:rPr>
    </w:lvl>
    <w:lvl w:ilvl="7" w:tplc="C95C686C">
      <w:numFmt w:val="bullet"/>
      <w:lvlText w:val="•"/>
      <w:lvlJc w:val="left"/>
      <w:pPr>
        <w:ind w:left="1683" w:hanging="44"/>
      </w:pPr>
      <w:rPr>
        <w:rFonts w:hint="default"/>
        <w:lang w:val="en-US" w:eastAsia="en-US" w:bidi="ar-SA"/>
      </w:rPr>
    </w:lvl>
    <w:lvl w:ilvl="8" w:tplc="886ACE3A">
      <w:numFmt w:val="bullet"/>
      <w:lvlText w:val="•"/>
      <w:lvlJc w:val="left"/>
      <w:pPr>
        <w:ind w:left="1921" w:hanging="44"/>
      </w:pPr>
      <w:rPr>
        <w:rFonts w:hint="default"/>
        <w:lang w:val="en-US" w:eastAsia="en-US" w:bidi="ar-SA"/>
      </w:rPr>
    </w:lvl>
  </w:abstractNum>
  <w:abstractNum w:abstractNumId="243" w15:restartNumberingAfterBreak="0">
    <w:nsid w:val="62830D13"/>
    <w:multiLevelType w:val="hybridMultilevel"/>
    <w:tmpl w:val="678CF6F4"/>
    <w:lvl w:ilvl="0" w:tplc="A94EB21A">
      <w:numFmt w:val="bullet"/>
      <w:lvlText w:val="•"/>
      <w:lvlJc w:val="left"/>
      <w:pPr>
        <w:ind w:left="894" w:hanging="360"/>
      </w:pPr>
      <w:rPr>
        <w:rFonts w:ascii="Arial" w:eastAsia="Arial" w:hAnsi="Arial" w:cs="Arial" w:hint="default"/>
        <w:color w:val="231F20"/>
        <w:w w:val="99"/>
        <w:sz w:val="22"/>
        <w:szCs w:val="22"/>
        <w:lang w:val="en-US" w:eastAsia="en-US" w:bidi="ar-SA"/>
      </w:rPr>
    </w:lvl>
    <w:lvl w:ilvl="1" w:tplc="1B18BB46">
      <w:numFmt w:val="bullet"/>
      <w:lvlText w:val="•"/>
      <w:lvlJc w:val="left"/>
      <w:pPr>
        <w:ind w:left="1780" w:hanging="360"/>
      </w:pPr>
      <w:rPr>
        <w:rFonts w:hint="default"/>
        <w:lang w:val="en-US" w:eastAsia="en-US" w:bidi="ar-SA"/>
      </w:rPr>
    </w:lvl>
    <w:lvl w:ilvl="2" w:tplc="E99A7632">
      <w:numFmt w:val="bullet"/>
      <w:lvlText w:val="•"/>
      <w:lvlJc w:val="left"/>
      <w:pPr>
        <w:ind w:left="2661" w:hanging="360"/>
      </w:pPr>
      <w:rPr>
        <w:rFonts w:hint="default"/>
        <w:lang w:val="en-US" w:eastAsia="en-US" w:bidi="ar-SA"/>
      </w:rPr>
    </w:lvl>
    <w:lvl w:ilvl="3" w:tplc="BDDAE1B8">
      <w:numFmt w:val="bullet"/>
      <w:lvlText w:val="•"/>
      <w:lvlJc w:val="left"/>
      <w:pPr>
        <w:ind w:left="3541" w:hanging="360"/>
      </w:pPr>
      <w:rPr>
        <w:rFonts w:hint="default"/>
        <w:lang w:val="en-US" w:eastAsia="en-US" w:bidi="ar-SA"/>
      </w:rPr>
    </w:lvl>
    <w:lvl w:ilvl="4" w:tplc="EB14E6D8">
      <w:numFmt w:val="bullet"/>
      <w:lvlText w:val="•"/>
      <w:lvlJc w:val="left"/>
      <w:pPr>
        <w:ind w:left="4422" w:hanging="360"/>
      </w:pPr>
      <w:rPr>
        <w:rFonts w:hint="default"/>
        <w:lang w:val="en-US" w:eastAsia="en-US" w:bidi="ar-SA"/>
      </w:rPr>
    </w:lvl>
    <w:lvl w:ilvl="5" w:tplc="95846788">
      <w:numFmt w:val="bullet"/>
      <w:lvlText w:val="•"/>
      <w:lvlJc w:val="left"/>
      <w:pPr>
        <w:ind w:left="5302" w:hanging="360"/>
      </w:pPr>
      <w:rPr>
        <w:rFonts w:hint="default"/>
        <w:lang w:val="en-US" w:eastAsia="en-US" w:bidi="ar-SA"/>
      </w:rPr>
    </w:lvl>
    <w:lvl w:ilvl="6" w:tplc="5BC62E1C">
      <w:numFmt w:val="bullet"/>
      <w:lvlText w:val="•"/>
      <w:lvlJc w:val="left"/>
      <w:pPr>
        <w:ind w:left="6183" w:hanging="360"/>
      </w:pPr>
      <w:rPr>
        <w:rFonts w:hint="default"/>
        <w:lang w:val="en-US" w:eastAsia="en-US" w:bidi="ar-SA"/>
      </w:rPr>
    </w:lvl>
    <w:lvl w:ilvl="7" w:tplc="62A60FCA">
      <w:numFmt w:val="bullet"/>
      <w:lvlText w:val="•"/>
      <w:lvlJc w:val="left"/>
      <w:pPr>
        <w:ind w:left="7063" w:hanging="360"/>
      </w:pPr>
      <w:rPr>
        <w:rFonts w:hint="default"/>
        <w:lang w:val="en-US" w:eastAsia="en-US" w:bidi="ar-SA"/>
      </w:rPr>
    </w:lvl>
    <w:lvl w:ilvl="8" w:tplc="FC608E58">
      <w:numFmt w:val="bullet"/>
      <w:lvlText w:val="•"/>
      <w:lvlJc w:val="left"/>
      <w:pPr>
        <w:ind w:left="7944" w:hanging="360"/>
      </w:pPr>
      <w:rPr>
        <w:rFonts w:hint="default"/>
        <w:lang w:val="en-US" w:eastAsia="en-US" w:bidi="ar-SA"/>
      </w:rPr>
    </w:lvl>
  </w:abstractNum>
  <w:abstractNum w:abstractNumId="244" w15:restartNumberingAfterBreak="0">
    <w:nsid w:val="63086361"/>
    <w:multiLevelType w:val="hybridMultilevel"/>
    <w:tmpl w:val="820EB83E"/>
    <w:lvl w:ilvl="0" w:tplc="AC20F5C0">
      <w:numFmt w:val="bullet"/>
      <w:lvlText w:val="•"/>
      <w:lvlJc w:val="left"/>
      <w:pPr>
        <w:ind w:left="26" w:hanging="76"/>
      </w:pPr>
      <w:rPr>
        <w:rFonts w:ascii="Arial" w:eastAsia="Arial" w:hAnsi="Arial" w:cs="Arial" w:hint="default"/>
        <w:color w:val="231F20"/>
        <w:w w:val="70"/>
        <w:sz w:val="17"/>
        <w:szCs w:val="17"/>
        <w:lang w:val="en-US" w:eastAsia="en-US" w:bidi="ar-SA"/>
      </w:rPr>
    </w:lvl>
    <w:lvl w:ilvl="1" w:tplc="77961C5E">
      <w:numFmt w:val="bullet"/>
      <w:lvlText w:val="•"/>
      <w:lvlJc w:val="left"/>
      <w:pPr>
        <w:ind w:left="258" w:hanging="76"/>
      </w:pPr>
      <w:rPr>
        <w:rFonts w:hint="default"/>
        <w:lang w:val="en-US" w:eastAsia="en-US" w:bidi="ar-SA"/>
      </w:rPr>
    </w:lvl>
    <w:lvl w:ilvl="2" w:tplc="C54803A8">
      <w:numFmt w:val="bullet"/>
      <w:lvlText w:val="•"/>
      <w:lvlJc w:val="left"/>
      <w:pPr>
        <w:ind w:left="497" w:hanging="76"/>
      </w:pPr>
      <w:rPr>
        <w:rFonts w:hint="default"/>
        <w:lang w:val="en-US" w:eastAsia="en-US" w:bidi="ar-SA"/>
      </w:rPr>
    </w:lvl>
    <w:lvl w:ilvl="3" w:tplc="95068AA4">
      <w:numFmt w:val="bullet"/>
      <w:lvlText w:val="•"/>
      <w:lvlJc w:val="left"/>
      <w:pPr>
        <w:ind w:left="735" w:hanging="76"/>
      </w:pPr>
      <w:rPr>
        <w:rFonts w:hint="default"/>
        <w:lang w:val="en-US" w:eastAsia="en-US" w:bidi="ar-SA"/>
      </w:rPr>
    </w:lvl>
    <w:lvl w:ilvl="4" w:tplc="54E8CD64">
      <w:numFmt w:val="bullet"/>
      <w:lvlText w:val="•"/>
      <w:lvlJc w:val="left"/>
      <w:pPr>
        <w:ind w:left="974" w:hanging="76"/>
      </w:pPr>
      <w:rPr>
        <w:rFonts w:hint="default"/>
        <w:lang w:val="en-US" w:eastAsia="en-US" w:bidi="ar-SA"/>
      </w:rPr>
    </w:lvl>
    <w:lvl w:ilvl="5" w:tplc="0400F72C">
      <w:numFmt w:val="bullet"/>
      <w:lvlText w:val="•"/>
      <w:lvlJc w:val="left"/>
      <w:pPr>
        <w:ind w:left="1213" w:hanging="76"/>
      </w:pPr>
      <w:rPr>
        <w:rFonts w:hint="default"/>
        <w:lang w:val="en-US" w:eastAsia="en-US" w:bidi="ar-SA"/>
      </w:rPr>
    </w:lvl>
    <w:lvl w:ilvl="6" w:tplc="10E21CEA">
      <w:numFmt w:val="bullet"/>
      <w:lvlText w:val="•"/>
      <w:lvlJc w:val="left"/>
      <w:pPr>
        <w:ind w:left="1451" w:hanging="76"/>
      </w:pPr>
      <w:rPr>
        <w:rFonts w:hint="default"/>
        <w:lang w:val="en-US" w:eastAsia="en-US" w:bidi="ar-SA"/>
      </w:rPr>
    </w:lvl>
    <w:lvl w:ilvl="7" w:tplc="93D03250">
      <w:numFmt w:val="bullet"/>
      <w:lvlText w:val="•"/>
      <w:lvlJc w:val="left"/>
      <w:pPr>
        <w:ind w:left="1690" w:hanging="76"/>
      </w:pPr>
      <w:rPr>
        <w:rFonts w:hint="default"/>
        <w:lang w:val="en-US" w:eastAsia="en-US" w:bidi="ar-SA"/>
      </w:rPr>
    </w:lvl>
    <w:lvl w:ilvl="8" w:tplc="779E4F10">
      <w:numFmt w:val="bullet"/>
      <w:lvlText w:val="•"/>
      <w:lvlJc w:val="left"/>
      <w:pPr>
        <w:ind w:left="1928" w:hanging="76"/>
      </w:pPr>
      <w:rPr>
        <w:rFonts w:hint="default"/>
        <w:lang w:val="en-US" w:eastAsia="en-US" w:bidi="ar-SA"/>
      </w:rPr>
    </w:lvl>
  </w:abstractNum>
  <w:abstractNum w:abstractNumId="245" w15:restartNumberingAfterBreak="0">
    <w:nsid w:val="63533216"/>
    <w:multiLevelType w:val="hybridMultilevel"/>
    <w:tmpl w:val="78BC23AC"/>
    <w:lvl w:ilvl="0" w:tplc="FA2E5D50">
      <w:numFmt w:val="bullet"/>
      <w:lvlText w:val="•"/>
      <w:lvlJc w:val="left"/>
      <w:pPr>
        <w:ind w:left="25" w:hanging="68"/>
      </w:pPr>
      <w:rPr>
        <w:rFonts w:ascii="Arial" w:eastAsia="Arial" w:hAnsi="Arial" w:cs="Arial" w:hint="default"/>
        <w:color w:val="231F20"/>
        <w:w w:val="83"/>
        <w:sz w:val="14"/>
        <w:szCs w:val="14"/>
        <w:lang w:val="en-US" w:eastAsia="en-US" w:bidi="ar-SA"/>
      </w:rPr>
    </w:lvl>
    <w:lvl w:ilvl="1" w:tplc="47FC20BA">
      <w:numFmt w:val="bullet"/>
      <w:lvlText w:val="•"/>
      <w:lvlJc w:val="left"/>
      <w:pPr>
        <w:ind w:left="252" w:hanging="68"/>
      </w:pPr>
      <w:rPr>
        <w:rFonts w:hint="default"/>
        <w:lang w:val="en-US" w:eastAsia="en-US" w:bidi="ar-SA"/>
      </w:rPr>
    </w:lvl>
    <w:lvl w:ilvl="2" w:tplc="C9602172">
      <w:numFmt w:val="bullet"/>
      <w:lvlText w:val="•"/>
      <w:lvlJc w:val="left"/>
      <w:pPr>
        <w:ind w:left="484" w:hanging="68"/>
      </w:pPr>
      <w:rPr>
        <w:rFonts w:hint="default"/>
        <w:lang w:val="en-US" w:eastAsia="en-US" w:bidi="ar-SA"/>
      </w:rPr>
    </w:lvl>
    <w:lvl w:ilvl="3" w:tplc="9106073C">
      <w:numFmt w:val="bullet"/>
      <w:lvlText w:val="•"/>
      <w:lvlJc w:val="left"/>
      <w:pPr>
        <w:ind w:left="716" w:hanging="68"/>
      </w:pPr>
      <w:rPr>
        <w:rFonts w:hint="default"/>
        <w:lang w:val="en-US" w:eastAsia="en-US" w:bidi="ar-SA"/>
      </w:rPr>
    </w:lvl>
    <w:lvl w:ilvl="4" w:tplc="D2942C9E">
      <w:numFmt w:val="bullet"/>
      <w:lvlText w:val="•"/>
      <w:lvlJc w:val="left"/>
      <w:pPr>
        <w:ind w:left="948" w:hanging="68"/>
      </w:pPr>
      <w:rPr>
        <w:rFonts w:hint="default"/>
        <w:lang w:val="en-US" w:eastAsia="en-US" w:bidi="ar-SA"/>
      </w:rPr>
    </w:lvl>
    <w:lvl w:ilvl="5" w:tplc="17740124">
      <w:numFmt w:val="bullet"/>
      <w:lvlText w:val="•"/>
      <w:lvlJc w:val="left"/>
      <w:pPr>
        <w:ind w:left="1181" w:hanging="68"/>
      </w:pPr>
      <w:rPr>
        <w:rFonts w:hint="default"/>
        <w:lang w:val="en-US" w:eastAsia="en-US" w:bidi="ar-SA"/>
      </w:rPr>
    </w:lvl>
    <w:lvl w:ilvl="6" w:tplc="0930EAA4">
      <w:numFmt w:val="bullet"/>
      <w:lvlText w:val="•"/>
      <w:lvlJc w:val="left"/>
      <w:pPr>
        <w:ind w:left="1413" w:hanging="68"/>
      </w:pPr>
      <w:rPr>
        <w:rFonts w:hint="default"/>
        <w:lang w:val="en-US" w:eastAsia="en-US" w:bidi="ar-SA"/>
      </w:rPr>
    </w:lvl>
    <w:lvl w:ilvl="7" w:tplc="1666C35A">
      <w:numFmt w:val="bullet"/>
      <w:lvlText w:val="•"/>
      <w:lvlJc w:val="left"/>
      <w:pPr>
        <w:ind w:left="1645" w:hanging="68"/>
      </w:pPr>
      <w:rPr>
        <w:rFonts w:hint="default"/>
        <w:lang w:val="en-US" w:eastAsia="en-US" w:bidi="ar-SA"/>
      </w:rPr>
    </w:lvl>
    <w:lvl w:ilvl="8" w:tplc="0FE04FDC">
      <w:numFmt w:val="bullet"/>
      <w:lvlText w:val="•"/>
      <w:lvlJc w:val="left"/>
      <w:pPr>
        <w:ind w:left="1877" w:hanging="68"/>
      </w:pPr>
      <w:rPr>
        <w:rFonts w:hint="default"/>
        <w:lang w:val="en-US" w:eastAsia="en-US" w:bidi="ar-SA"/>
      </w:rPr>
    </w:lvl>
  </w:abstractNum>
  <w:abstractNum w:abstractNumId="246" w15:restartNumberingAfterBreak="0">
    <w:nsid w:val="635F0A17"/>
    <w:multiLevelType w:val="hybridMultilevel"/>
    <w:tmpl w:val="9FC00874"/>
    <w:lvl w:ilvl="0" w:tplc="9BC8E87E">
      <w:numFmt w:val="bullet"/>
      <w:lvlText w:val="•"/>
      <w:lvlJc w:val="left"/>
      <w:pPr>
        <w:ind w:left="23" w:hanging="75"/>
      </w:pPr>
      <w:rPr>
        <w:rFonts w:ascii="Arial" w:eastAsia="Arial" w:hAnsi="Arial" w:cs="Arial" w:hint="default"/>
        <w:color w:val="231F20"/>
        <w:w w:val="74"/>
        <w:sz w:val="16"/>
        <w:szCs w:val="16"/>
        <w:lang w:val="en-US" w:eastAsia="en-US" w:bidi="ar-SA"/>
      </w:rPr>
    </w:lvl>
    <w:lvl w:ilvl="1" w:tplc="E2884164">
      <w:numFmt w:val="bullet"/>
      <w:lvlText w:val="•"/>
      <w:lvlJc w:val="left"/>
      <w:pPr>
        <w:ind w:left="255" w:hanging="75"/>
      </w:pPr>
      <w:rPr>
        <w:rFonts w:hint="default"/>
        <w:lang w:val="en-US" w:eastAsia="en-US" w:bidi="ar-SA"/>
      </w:rPr>
    </w:lvl>
    <w:lvl w:ilvl="2" w:tplc="2BE8B64E">
      <w:numFmt w:val="bullet"/>
      <w:lvlText w:val="•"/>
      <w:lvlJc w:val="left"/>
      <w:pPr>
        <w:ind w:left="491" w:hanging="75"/>
      </w:pPr>
      <w:rPr>
        <w:rFonts w:hint="default"/>
        <w:lang w:val="en-US" w:eastAsia="en-US" w:bidi="ar-SA"/>
      </w:rPr>
    </w:lvl>
    <w:lvl w:ilvl="3" w:tplc="6C6E4F04">
      <w:numFmt w:val="bullet"/>
      <w:lvlText w:val="•"/>
      <w:lvlJc w:val="left"/>
      <w:pPr>
        <w:ind w:left="726" w:hanging="75"/>
      </w:pPr>
      <w:rPr>
        <w:rFonts w:hint="default"/>
        <w:lang w:val="en-US" w:eastAsia="en-US" w:bidi="ar-SA"/>
      </w:rPr>
    </w:lvl>
    <w:lvl w:ilvl="4" w:tplc="A5B24E28">
      <w:numFmt w:val="bullet"/>
      <w:lvlText w:val="•"/>
      <w:lvlJc w:val="left"/>
      <w:pPr>
        <w:ind w:left="962" w:hanging="75"/>
      </w:pPr>
      <w:rPr>
        <w:rFonts w:hint="default"/>
        <w:lang w:val="en-US" w:eastAsia="en-US" w:bidi="ar-SA"/>
      </w:rPr>
    </w:lvl>
    <w:lvl w:ilvl="5" w:tplc="CA82552C">
      <w:numFmt w:val="bullet"/>
      <w:lvlText w:val="•"/>
      <w:lvlJc w:val="left"/>
      <w:pPr>
        <w:ind w:left="1198" w:hanging="75"/>
      </w:pPr>
      <w:rPr>
        <w:rFonts w:hint="default"/>
        <w:lang w:val="en-US" w:eastAsia="en-US" w:bidi="ar-SA"/>
      </w:rPr>
    </w:lvl>
    <w:lvl w:ilvl="6" w:tplc="E07A5FEE">
      <w:numFmt w:val="bullet"/>
      <w:lvlText w:val="•"/>
      <w:lvlJc w:val="left"/>
      <w:pPr>
        <w:ind w:left="1433" w:hanging="75"/>
      </w:pPr>
      <w:rPr>
        <w:rFonts w:hint="default"/>
        <w:lang w:val="en-US" w:eastAsia="en-US" w:bidi="ar-SA"/>
      </w:rPr>
    </w:lvl>
    <w:lvl w:ilvl="7" w:tplc="ACFCB022">
      <w:numFmt w:val="bullet"/>
      <w:lvlText w:val="•"/>
      <w:lvlJc w:val="left"/>
      <w:pPr>
        <w:ind w:left="1669" w:hanging="75"/>
      </w:pPr>
      <w:rPr>
        <w:rFonts w:hint="default"/>
        <w:lang w:val="en-US" w:eastAsia="en-US" w:bidi="ar-SA"/>
      </w:rPr>
    </w:lvl>
    <w:lvl w:ilvl="8" w:tplc="82F80542">
      <w:numFmt w:val="bullet"/>
      <w:lvlText w:val="•"/>
      <w:lvlJc w:val="left"/>
      <w:pPr>
        <w:ind w:left="1904" w:hanging="75"/>
      </w:pPr>
      <w:rPr>
        <w:rFonts w:hint="default"/>
        <w:lang w:val="en-US" w:eastAsia="en-US" w:bidi="ar-SA"/>
      </w:rPr>
    </w:lvl>
  </w:abstractNum>
  <w:abstractNum w:abstractNumId="247" w15:restartNumberingAfterBreak="0">
    <w:nsid w:val="63D77440"/>
    <w:multiLevelType w:val="hybridMultilevel"/>
    <w:tmpl w:val="27E4D01C"/>
    <w:lvl w:ilvl="0" w:tplc="76A4F514">
      <w:numFmt w:val="bullet"/>
      <w:lvlText w:val="o"/>
      <w:lvlJc w:val="left"/>
      <w:pPr>
        <w:ind w:left="838" w:hanging="365"/>
      </w:pPr>
      <w:rPr>
        <w:rFonts w:ascii="Courier New" w:eastAsia="Courier New" w:hAnsi="Courier New" w:cs="Courier New" w:hint="default"/>
        <w:color w:val="231F20"/>
        <w:w w:val="140"/>
        <w:sz w:val="13"/>
        <w:szCs w:val="13"/>
        <w:lang w:val="en-US" w:eastAsia="en-US" w:bidi="ar-SA"/>
      </w:rPr>
    </w:lvl>
    <w:lvl w:ilvl="1" w:tplc="AB28B75C">
      <w:numFmt w:val="bullet"/>
      <w:lvlText w:val="•"/>
      <w:lvlJc w:val="left"/>
      <w:pPr>
        <w:ind w:left="1186" w:hanging="365"/>
      </w:pPr>
      <w:rPr>
        <w:rFonts w:hint="default"/>
        <w:lang w:val="en-US" w:eastAsia="en-US" w:bidi="ar-SA"/>
      </w:rPr>
    </w:lvl>
    <w:lvl w:ilvl="2" w:tplc="BAFE3E96">
      <w:numFmt w:val="bullet"/>
      <w:lvlText w:val="•"/>
      <w:lvlJc w:val="left"/>
      <w:pPr>
        <w:ind w:left="1533" w:hanging="365"/>
      </w:pPr>
      <w:rPr>
        <w:rFonts w:hint="default"/>
        <w:lang w:val="en-US" w:eastAsia="en-US" w:bidi="ar-SA"/>
      </w:rPr>
    </w:lvl>
    <w:lvl w:ilvl="3" w:tplc="5EE2747C">
      <w:numFmt w:val="bullet"/>
      <w:lvlText w:val="•"/>
      <w:lvlJc w:val="left"/>
      <w:pPr>
        <w:ind w:left="1880" w:hanging="365"/>
      </w:pPr>
      <w:rPr>
        <w:rFonts w:hint="default"/>
        <w:lang w:val="en-US" w:eastAsia="en-US" w:bidi="ar-SA"/>
      </w:rPr>
    </w:lvl>
    <w:lvl w:ilvl="4" w:tplc="4CA82BF4">
      <w:numFmt w:val="bullet"/>
      <w:lvlText w:val="•"/>
      <w:lvlJc w:val="left"/>
      <w:pPr>
        <w:ind w:left="2226" w:hanging="365"/>
      </w:pPr>
      <w:rPr>
        <w:rFonts w:hint="default"/>
        <w:lang w:val="en-US" w:eastAsia="en-US" w:bidi="ar-SA"/>
      </w:rPr>
    </w:lvl>
    <w:lvl w:ilvl="5" w:tplc="A2785576">
      <w:numFmt w:val="bullet"/>
      <w:lvlText w:val="•"/>
      <w:lvlJc w:val="left"/>
      <w:pPr>
        <w:ind w:left="2573" w:hanging="365"/>
      </w:pPr>
      <w:rPr>
        <w:rFonts w:hint="default"/>
        <w:lang w:val="en-US" w:eastAsia="en-US" w:bidi="ar-SA"/>
      </w:rPr>
    </w:lvl>
    <w:lvl w:ilvl="6" w:tplc="1F7C216E">
      <w:numFmt w:val="bullet"/>
      <w:lvlText w:val="•"/>
      <w:lvlJc w:val="left"/>
      <w:pPr>
        <w:ind w:left="2920" w:hanging="365"/>
      </w:pPr>
      <w:rPr>
        <w:rFonts w:hint="default"/>
        <w:lang w:val="en-US" w:eastAsia="en-US" w:bidi="ar-SA"/>
      </w:rPr>
    </w:lvl>
    <w:lvl w:ilvl="7" w:tplc="F03E2E72">
      <w:numFmt w:val="bullet"/>
      <w:lvlText w:val="•"/>
      <w:lvlJc w:val="left"/>
      <w:pPr>
        <w:ind w:left="3266" w:hanging="365"/>
      </w:pPr>
      <w:rPr>
        <w:rFonts w:hint="default"/>
        <w:lang w:val="en-US" w:eastAsia="en-US" w:bidi="ar-SA"/>
      </w:rPr>
    </w:lvl>
    <w:lvl w:ilvl="8" w:tplc="35926E32">
      <w:numFmt w:val="bullet"/>
      <w:lvlText w:val="•"/>
      <w:lvlJc w:val="left"/>
      <w:pPr>
        <w:ind w:left="3613" w:hanging="365"/>
      </w:pPr>
      <w:rPr>
        <w:rFonts w:hint="default"/>
        <w:lang w:val="en-US" w:eastAsia="en-US" w:bidi="ar-SA"/>
      </w:rPr>
    </w:lvl>
  </w:abstractNum>
  <w:abstractNum w:abstractNumId="248" w15:restartNumberingAfterBreak="0">
    <w:nsid w:val="64184571"/>
    <w:multiLevelType w:val="hybridMultilevel"/>
    <w:tmpl w:val="68D8AFC4"/>
    <w:lvl w:ilvl="0" w:tplc="A240FD4E">
      <w:numFmt w:val="bullet"/>
      <w:lvlText w:val="o"/>
      <w:lvlJc w:val="left"/>
      <w:pPr>
        <w:ind w:left="460" w:hanging="356"/>
      </w:pPr>
      <w:rPr>
        <w:rFonts w:ascii="Courier New" w:eastAsia="Courier New" w:hAnsi="Courier New" w:cs="Courier New" w:hint="default"/>
        <w:color w:val="231F20"/>
        <w:w w:val="109"/>
        <w:sz w:val="18"/>
        <w:szCs w:val="18"/>
        <w:lang w:val="en-US" w:eastAsia="en-US" w:bidi="ar-SA"/>
      </w:rPr>
    </w:lvl>
    <w:lvl w:ilvl="1" w:tplc="253CC424">
      <w:numFmt w:val="bullet"/>
      <w:lvlText w:val="•"/>
      <w:lvlJc w:val="left"/>
      <w:pPr>
        <w:ind w:left="962" w:hanging="356"/>
      </w:pPr>
      <w:rPr>
        <w:rFonts w:hint="default"/>
        <w:lang w:val="en-US" w:eastAsia="en-US" w:bidi="ar-SA"/>
      </w:rPr>
    </w:lvl>
    <w:lvl w:ilvl="2" w:tplc="315AC4C4">
      <w:numFmt w:val="bullet"/>
      <w:lvlText w:val="•"/>
      <w:lvlJc w:val="left"/>
      <w:pPr>
        <w:ind w:left="1465" w:hanging="356"/>
      </w:pPr>
      <w:rPr>
        <w:rFonts w:hint="default"/>
        <w:lang w:val="en-US" w:eastAsia="en-US" w:bidi="ar-SA"/>
      </w:rPr>
    </w:lvl>
    <w:lvl w:ilvl="3" w:tplc="4274A952">
      <w:numFmt w:val="bullet"/>
      <w:lvlText w:val="•"/>
      <w:lvlJc w:val="left"/>
      <w:pPr>
        <w:ind w:left="1968" w:hanging="356"/>
      </w:pPr>
      <w:rPr>
        <w:rFonts w:hint="default"/>
        <w:lang w:val="en-US" w:eastAsia="en-US" w:bidi="ar-SA"/>
      </w:rPr>
    </w:lvl>
    <w:lvl w:ilvl="4" w:tplc="41A85B1A">
      <w:numFmt w:val="bullet"/>
      <w:lvlText w:val="•"/>
      <w:lvlJc w:val="left"/>
      <w:pPr>
        <w:ind w:left="2471" w:hanging="356"/>
      </w:pPr>
      <w:rPr>
        <w:rFonts w:hint="default"/>
        <w:lang w:val="en-US" w:eastAsia="en-US" w:bidi="ar-SA"/>
      </w:rPr>
    </w:lvl>
    <w:lvl w:ilvl="5" w:tplc="75305756">
      <w:numFmt w:val="bullet"/>
      <w:lvlText w:val="•"/>
      <w:lvlJc w:val="left"/>
      <w:pPr>
        <w:ind w:left="2974" w:hanging="356"/>
      </w:pPr>
      <w:rPr>
        <w:rFonts w:hint="default"/>
        <w:lang w:val="en-US" w:eastAsia="en-US" w:bidi="ar-SA"/>
      </w:rPr>
    </w:lvl>
    <w:lvl w:ilvl="6" w:tplc="E14E0614">
      <w:numFmt w:val="bullet"/>
      <w:lvlText w:val="•"/>
      <w:lvlJc w:val="left"/>
      <w:pPr>
        <w:ind w:left="3476" w:hanging="356"/>
      </w:pPr>
      <w:rPr>
        <w:rFonts w:hint="default"/>
        <w:lang w:val="en-US" w:eastAsia="en-US" w:bidi="ar-SA"/>
      </w:rPr>
    </w:lvl>
    <w:lvl w:ilvl="7" w:tplc="9670F37E">
      <w:numFmt w:val="bullet"/>
      <w:lvlText w:val="•"/>
      <w:lvlJc w:val="left"/>
      <w:pPr>
        <w:ind w:left="3979" w:hanging="356"/>
      </w:pPr>
      <w:rPr>
        <w:rFonts w:hint="default"/>
        <w:lang w:val="en-US" w:eastAsia="en-US" w:bidi="ar-SA"/>
      </w:rPr>
    </w:lvl>
    <w:lvl w:ilvl="8" w:tplc="B41C49E4">
      <w:numFmt w:val="bullet"/>
      <w:lvlText w:val="•"/>
      <w:lvlJc w:val="left"/>
      <w:pPr>
        <w:ind w:left="4482" w:hanging="356"/>
      </w:pPr>
      <w:rPr>
        <w:rFonts w:hint="default"/>
        <w:lang w:val="en-US" w:eastAsia="en-US" w:bidi="ar-SA"/>
      </w:rPr>
    </w:lvl>
  </w:abstractNum>
  <w:abstractNum w:abstractNumId="249" w15:restartNumberingAfterBreak="0">
    <w:nsid w:val="64880A09"/>
    <w:multiLevelType w:val="hybridMultilevel"/>
    <w:tmpl w:val="78028408"/>
    <w:lvl w:ilvl="0" w:tplc="C238844C">
      <w:numFmt w:val="bullet"/>
      <w:lvlText w:val="•"/>
      <w:lvlJc w:val="left"/>
      <w:pPr>
        <w:ind w:left="26" w:hanging="68"/>
      </w:pPr>
      <w:rPr>
        <w:rFonts w:ascii="Arial" w:eastAsia="Arial" w:hAnsi="Arial" w:cs="Arial" w:hint="default"/>
        <w:color w:val="231F20"/>
        <w:w w:val="78"/>
        <w:sz w:val="15"/>
        <w:szCs w:val="15"/>
        <w:lang w:val="en-US" w:eastAsia="en-US" w:bidi="ar-SA"/>
      </w:rPr>
    </w:lvl>
    <w:lvl w:ilvl="1" w:tplc="F38847CA">
      <w:numFmt w:val="bullet"/>
      <w:lvlText w:val="•"/>
      <w:lvlJc w:val="left"/>
      <w:pPr>
        <w:ind w:left="254" w:hanging="68"/>
      </w:pPr>
      <w:rPr>
        <w:rFonts w:hint="default"/>
        <w:lang w:val="en-US" w:eastAsia="en-US" w:bidi="ar-SA"/>
      </w:rPr>
    </w:lvl>
    <w:lvl w:ilvl="2" w:tplc="7452EC4A">
      <w:numFmt w:val="bullet"/>
      <w:lvlText w:val="•"/>
      <w:lvlJc w:val="left"/>
      <w:pPr>
        <w:ind w:left="488" w:hanging="68"/>
      </w:pPr>
      <w:rPr>
        <w:rFonts w:hint="default"/>
        <w:lang w:val="en-US" w:eastAsia="en-US" w:bidi="ar-SA"/>
      </w:rPr>
    </w:lvl>
    <w:lvl w:ilvl="3" w:tplc="81669430">
      <w:numFmt w:val="bullet"/>
      <w:lvlText w:val="•"/>
      <w:lvlJc w:val="left"/>
      <w:pPr>
        <w:ind w:left="722" w:hanging="68"/>
      </w:pPr>
      <w:rPr>
        <w:rFonts w:hint="default"/>
        <w:lang w:val="en-US" w:eastAsia="en-US" w:bidi="ar-SA"/>
      </w:rPr>
    </w:lvl>
    <w:lvl w:ilvl="4" w:tplc="92180FDC">
      <w:numFmt w:val="bullet"/>
      <w:lvlText w:val="•"/>
      <w:lvlJc w:val="left"/>
      <w:pPr>
        <w:ind w:left="956" w:hanging="68"/>
      </w:pPr>
      <w:rPr>
        <w:rFonts w:hint="default"/>
        <w:lang w:val="en-US" w:eastAsia="en-US" w:bidi="ar-SA"/>
      </w:rPr>
    </w:lvl>
    <w:lvl w:ilvl="5" w:tplc="A9662090">
      <w:numFmt w:val="bullet"/>
      <w:lvlText w:val="•"/>
      <w:lvlJc w:val="left"/>
      <w:pPr>
        <w:ind w:left="1191" w:hanging="68"/>
      </w:pPr>
      <w:rPr>
        <w:rFonts w:hint="default"/>
        <w:lang w:val="en-US" w:eastAsia="en-US" w:bidi="ar-SA"/>
      </w:rPr>
    </w:lvl>
    <w:lvl w:ilvl="6" w:tplc="995CDA68">
      <w:numFmt w:val="bullet"/>
      <w:lvlText w:val="•"/>
      <w:lvlJc w:val="left"/>
      <w:pPr>
        <w:ind w:left="1425" w:hanging="68"/>
      </w:pPr>
      <w:rPr>
        <w:rFonts w:hint="default"/>
        <w:lang w:val="en-US" w:eastAsia="en-US" w:bidi="ar-SA"/>
      </w:rPr>
    </w:lvl>
    <w:lvl w:ilvl="7" w:tplc="43B01482">
      <w:numFmt w:val="bullet"/>
      <w:lvlText w:val="•"/>
      <w:lvlJc w:val="left"/>
      <w:pPr>
        <w:ind w:left="1659" w:hanging="68"/>
      </w:pPr>
      <w:rPr>
        <w:rFonts w:hint="default"/>
        <w:lang w:val="en-US" w:eastAsia="en-US" w:bidi="ar-SA"/>
      </w:rPr>
    </w:lvl>
    <w:lvl w:ilvl="8" w:tplc="FBA47E5A">
      <w:numFmt w:val="bullet"/>
      <w:lvlText w:val="•"/>
      <w:lvlJc w:val="left"/>
      <w:pPr>
        <w:ind w:left="1893" w:hanging="68"/>
      </w:pPr>
      <w:rPr>
        <w:rFonts w:hint="default"/>
        <w:lang w:val="en-US" w:eastAsia="en-US" w:bidi="ar-SA"/>
      </w:rPr>
    </w:lvl>
  </w:abstractNum>
  <w:abstractNum w:abstractNumId="250" w15:restartNumberingAfterBreak="0">
    <w:nsid w:val="64AA1C1E"/>
    <w:multiLevelType w:val="hybridMultilevel"/>
    <w:tmpl w:val="D9C606A0"/>
    <w:lvl w:ilvl="0" w:tplc="79264B86">
      <w:numFmt w:val="bullet"/>
      <w:lvlText w:val="•"/>
      <w:lvlJc w:val="left"/>
      <w:pPr>
        <w:ind w:left="102" w:hanging="77"/>
      </w:pPr>
      <w:rPr>
        <w:rFonts w:ascii="Arial" w:eastAsia="Arial" w:hAnsi="Arial" w:cs="Arial" w:hint="default"/>
        <w:color w:val="231F20"/>
        <w:w w:val="86"/>
        <w:sz w:val="14"/>
        <w:szCs w:val="14"/>
        <w:lang w:val="en-US" w:eastAsia="en-US" w:bidi="ar-SA"/>
      </w:rPr>
    </w:lvl>
    <w:lvl w:ilvl="1" w:tplc="A4364A78">
      <w:numFmt w:val="bullet"/>
      <w:lvlText w:val="•"/>
      <w:lvlJc w:val="left"/>
      <w:pPr>
        <w:ind w:left="331" w:hanging="77"/>
      </w:pPr>
      <w:rPr>
        <w:rFonts w:hint="default"/>
        <w:lang w:val="en-US" w:eastAsia="en-US" w:bidi="ar-SA"/>
      </w:rPr>
    </w:lvl>
    <w:lvl w:ilvl="2" w:tplc="40E63698">
      <w:numFmt w:val="bullet"/>
      <w:lvlText w:val="•"/>
      <w:lvlJc w:val="left"/>
      <w:pPr>
        <w:ind w:left="563" w:hanging="77"/>
      </w:pPr>
      <w:rPr>
        <w:rFonts w:hint="default"/>
        <w:lang w:val="en-US" w:eastAsia="en-US" w:bidi="ar-SA"/>
      </w:rPr>
    </w:lvl>
    <w:lvl w:ilvl="3" w:tplc="C0C4ABDA">
      <w:numFmt w:val="bullet"/>
      <w:lvlText w:val="•"/>
      <w:lvlJc w:val="left"/>
      <w:pPr>
        <w:ind w:left="795" w:hanging="77"/>
      </w:pPr>
      <w:rPr>
        <w:rFonts w:hint="default"/>
        <w:lang w:val="en-US" w:eastAsia="en-US" w:bidi="ar-SA"/>
      </w:rPr>
    </w:lvl>
    <w:lvl w:ilvl="4" w:tplc="4126B13C">
      <w:numFmt w:val="bullet"/>
      <w:lvlText w:val="•"/>
      <w:lvlJc w:val="left"/>
      <w:pPr>
        <w:ind w:left="1027" w:hanging="77"/>
      </w:pPr>
      <w:rPr>
        <w:rFonts w:hint="default"/>
        <w:lang w:val="en-US" w:eastAsia="en-US" w:bidi="ar-SA"/>
      </w:rPr>
    </w:lvl>
    <w:lvl w:ilvl="5" w:tplc="BAB4FC2E">
      <w:numFmt w:val="bullet"/>
      <w:lvlText w:val="•"/>
      <w:lvlJc w:val="left"/>
      <w:pPr>
        <w:ind w:left="1259" w:hanging="77"/>
      </w:pPr>
      <w:rPr>
        <w:rFonts w:hint="default"/>
        <w:lang w:val="en-US" w:eastAsia="en-US" w:bidi="ar-SA"/>
      </w:rPr>
    </w:lvl>
    <w:lvl w:ilvl="6" w:tplc="F5B01684">
      <w:numFmt w:val="bullet"/>
      <w:lvlText w:val="•"/>
      <w:lvlJc w:val="left"/>
      <w:pPr>
        <w:ind w:left="1491" w:hanging="77"/>
      </w:pPr>
      <w:rPr>
        <w:rFonts w:hint="default"/>
        <w:lang w:val="en-US" w:eastAsia="en-US" w:bidi="ar-SA"/>
      </w:rPr>
    </w:lvl>
    <w:lvl w:ilvl="7" w:tplc="0D18946A">
      <w:numFmt w:val="bullet"/>
      <w:lvlText w:val="•"/>
      <w:lvlJc w:val="left"/>
      <w:pPr>
        <w:ind w:left="1723" w:hanging="77"/>
      </w:pPr>
      <w:rPr>
        <w:rFonts w:hint="default"/>
        <w:lang w:val="en-US" w:eastAsia="en-US" w:bidi="ar-SA"/>
      </w:rPr>
    </w:lvl>
    <w:lvl w:ilvl="8" w:tplc="4A9828E8">
      <w:numFmt w:val="bullet"/>
      <w:lvlText w:val="•"/>
      <w:lvlJc w:val="left"/>
      <w:pPr>
        <w:ind w:left="1955" w:hanging="77"/>
      </w:pPr>
      <w:rPr>
        <w:rFonts w:hint="default"/>
        <w:lang w:val="en-US" w:eastAsia="en-US" w:bidi="ar-SA"/>
      </w:rPr>
    </w:lvl>
  </w:abstractNum>
  <w:abstractNum w:abstractNumId="251" w15:restartNumberingAfterBreak="0">
    <w:nsid w:val="64D171AD"/>
    <w:multiLevelType w:val="hybridMultilevel"/>
    <w:tmpl w:val="7820C912"/>
    <w:lvl w:ilvl="0" w:tplc="418C032E">
      <w:numFmt w:val="bullet"/>
      <w:lvlText w:val="•"/>
      <w:lvlJc w:val="left"/>
      <w:pPr>
        <w:ind w:left="20" w:hanging="72"/>
      </w:pPr>
      <w:rPr>
        <w:rFonts w:ascii="Georgia" w:eastAsia="Georgia" w:hAnsi="Georgia" w:cs="Georgia" w:hint="default"/>
        <w:color w:val="231F20"/>
        <w:w w:val="110"/>
        <w:sz w:val="11"/>
        <w:szCs w:val="11"/>
        <w:lang w:val="en-US" w:eastAsia="en-US" w:bidi="ar-SA"/>
      </w:rPr>
    </w:lvl>
    <w:lvl w:ilvl="1" w:tplc="4CBC3A04">
      <w:numFmt w:val="bullet"/>
      <w:lvlText w:val="•"/>
      <w:lvlJc w:val="left"/>
      <w:pPr>
        <w:ind w:left="250" w:hanging="72"/>
      </w:pPr>
      <w:rPr>
        <w:rFonts w:hint="default"/>
        <w:lang w:val="en-US" w:eastAsia="en-US" w:bidi="ar-SA"/>
      </w:rPr>
    </w:lvl>
    <w:lvl w:ilvl="2" w:tplc="FDB014FC">
      <w:numFmt w:val="bullet"/>
      <w:lvlText w:val="•"/>
      <w:lvlJc w:val="left"/>
      <w:pPr>
        <w:ind w:left="481" w:hanging="72"/>
      </w:pPr>
      <w:rPr>
        <w:rFonts w:hint="default"/>
        <w:lang w:val="en-US" w:eastAsia="en-US" w:bidi="ar-SA"/>
      </w:rPr>
    </w:lvl>
    <w:lvl w:ilvl="3" w:tplc="803E45A2">
      <w:numFmt w:val="bullet"/>
      <w:lvlText w:val="•"/>
      <w:lvlJc w:val="left"/>
      <w:pPr>
        <w:ind w:left="712" w:hanging="72"/>
      </w:pPr>
      <w:rPr>
        <w:rFonts w:hint="default"/>
        <w:lang w:val="en-US" w:eastAsia="en-US" w:bidi="ar-SA"/>
      </w:rPr>
    </w:lvl>
    <w:lvl w:ilvl="4" w:tplc="E832484C">
      <w:numFmt w:val="bullet"/>
      <w:lvlText w:val="•"/>
      <w:lvlJc w:val="left"/>
      <w:pPr>
        <w:ind w:left="943" w:hanging="72"/>
      </w:pPr>
      <w:rPr>
        <w:rFonts w:hint="default"/>
        <w:lang w:val="en-US" w:eastAsia="en-US" w:bidi="ar-SA"/>
      </w:rPr>
    </w:lvl>
    <w:lvl w:ilvl="5" w:tplc="1C46312A">
      <w:numFmt w:val="bullet"/>
      <w:lvlText w:val="•"/>
      <w:lvlJc w:val="left"/>
      <w:pPr>
        <w:ind w:left="1174" w:hanging="72"/>
      </w:pPr>
      <w:rPr>
        <w:rFonts w:hint="default"/>
        <w:lang w:val="en-US" w:eastAsia="en-US" w:bidi="ar-SA"/>
      </w:rPr>
    </w:lvl>
    <w:lvl w:ilvl="6" w:tplc="9E0A905C">
      <w:numFmt w:val="bullet"/>
      <w:lvlText w:val="•"/>
      <w:lvlJc w:val="left"/>
      <w:pPr>
        <w:ind w:left="1404" w:hanging="72"/>
      </w:pPr>
      <w:rPr>
        <w:rFonts w:hint="default"/>
        <w:lang w:val="en-US" w:eastAsia="en-US" w:bidi="ar-SA"/>
      </w:rPr>
    </w:lvl>
    <w:lvl w:ilvl="7" w:tplc="B44082F6">
      <w:numFmt w:val="bullet"/>
      <w:lvlText w:val="•"/>
      <w:lvlJc w:val="left"/>
      <w:pPr>
        <w:ind w:left="1635" w:hanging="72"/>
      </w:pPr>
      <w:rPr>
        <w:rFonts w:hint="default"/>
        <w:lang w:val="en-US" w:eastAsia="en-US" w:bidi="ar-SA"/>
      </w:rPr>
    </w:lvl>
    <w:lvl w:ilvl="8" w:tplc="9BAA5D58">
      <w:numFmt w:val="bullet"/>
      <w:lvlText w:val="•"/>
      <w:lvlJc w:val="left"/>
      <w:pPr>
        <w:ind w:left="1866" w:hanging="72"/>
      </w:pPr>
      <w:rPr>
        <w:rFonts w:hint="default"/>
        <w:lang w:val="en-US" w:eastAsia="en-US" w:bidi="ar-SA"/>
      </w:rPr>
    </w:lvl>
  </w:abstractNum>
  <w:abstractNum w:abstractNumId="252" w15:restartNumberingAfterBreak="0">
    <w:nsid w:val="65083601"/>
    <w:multiLevelType w:val="hybridMultilevel"/>
    <w:tmpl w:val="E0DAB418"/>
    <w:lvl w:ilvl="0" w:tplc="71CAB26C">
      <w:numFmt w:val="bullet"/>
      <w:lvlText w:val="•"/>
      <w:lvlJc w:val="left"/>
      <w:pPr>
        <w:ind w:left="64" w:hanging="43"/>
      </w:pPr>
      <w:rPr>
        <w:rFonts w:ascii="Arial" w:eastAsia="Arial" w:hAnsi="Arial" w:cs="Arial" w:hint="default"/>
        <w:color w:val="231F20"/>
        <w:w w:val="74"/>
        <w:sz w:val="14"/>
        <w:szCs w:val="14"/>
        <w:lang w:val="en-US" w:eastAsia="en-US" w:bidi="ar-SA"/>
      </w:rPr>
    </w:lvl>
    <w:lvl w:ilvl="1" w:tplc="6756D9E6">
      <w:numFmt w:val="bullet"/>
      <w:lvlText w:val="•"/>
      <w:lvlJc w:val="left"/>
      <w:pPr>
        <w:ind w:left="290" w:hanging="43"/>
      </w:pPr>
      <w:rPr>
        <w:rFonts w:hint="default"/>
        <w:lang w:val="en-US" w:eastAsia="en-US" w:bidi="ar-SA"/>
      </w:rPr>
    </w:lvl>
    <w:lvl w:ilvl="2" w:tplc="0ED09AF8">
      <w:numFmt w:val="bullet"/>
      <w:lvlText w:val="•"/>
      <w:lvlJc w:val="left"/>
      <w:pPr>
        <w:ind w:left="520" w:hanging="43"/>
      </w:pPr>
      <w:rPr>
        <w:rFonts w:hint="default"/>
        <w:lang w:val="en-US" w:eastAsia="en-US" w:bidi="ar-SA"/>
      </w:rPr>
    </w:lvl>
    <w:lvl w:ilvl="3" w:tplc="9C10A24E">
      <w:numFmt w:val="bullet"/>
      <w:lvlText w:val="•"/>
      <w:lvlJc w:val="left"/>
      <w:pPr>
        <w:ind w:left="751" w:hanging="43"/>
      </w:pPr>
      <w:rPr>
        <w:rFonts w:hint="default"/>
        <w:lang w:val="en-US" w:eastAsia="en-US" w:bidi="ar-SA"/>
      </w:rPr>
    </w:lvl>
    <w:lvl w:ilvl="4" w:tplc="06EAC2B6">
      <w:numFmt w:val="bullet"/>
      <w:lvlText w:val="•"/>
      <w:lvlJc w:val="left"/>
      <w:pPr>
        <w:ind w:left="981" w:hanging="43"/>
      </w:pPr>
      <w:rPr>
        <w:rFonts w:hint="default"/>
        <w:lang w:val="en-US" w:eastAsia="en-US" w:bidi="ar-SA"/>
      </w:rPr>
    </w:lvl>
    <w:lvl w:ilvl="5" w:tplc="45E025EA">
      <w:numFmt w:val="bullet"/>
      <w:lvlText w:val="•"/>
      <w:lvlJc w:val="left"/>
      <w:pPr>
        <w:ind w:left="1212" w:hanging="43"/>
      </w:pPr>
      <w:rPr>
        <w:rFonts w:hint="default"/>
        <w:lang w:val="en-US" w:eastAsia="en-US" w:bidi="ar-SA"/>
      </w:rPr>
    </w:lvl>
    <w:lvl w:ilvl="6" w:tplc="F17498DE">
      <w:numFmt w:val="bullet"/>
      <w:lvlText w:val="•"/>
      <w:lvlJc w:val="left"/>
      <w:pPr>
        <w:ind w:left="1442" w:hanging="43"/>
      </w:pPr>
      <w:rPr>
        <w:rFonts w:hint="default"/>
        <w:lang w:val="en-US" w:eastAsia="en-US" w:bidi="ar-SA"/>
      </w:rPr>
    </w:lvl>
    <w:lvl w:ilvl="7" w:tplc="05B0B508">
      <w:numFmt w:val="bullet"/>
      <w:lvlText w:val="•"/>
      <w:lvlJc w:val="left"/>
      <w:pPr>
        <w:ind w:left="1672" w:hanging="43"/>
      </w:pPr>
      <w:rPr>
        <w:rFonts w:hint="default"/>
        <w:lang w:val="en-US" w:eastAsia="en-US" w:bidi="ar-SA"/>
      </w:rPr>
    </w:lvl>
    <w:lvl w:ilvl="8" w:tplc="85743B4A">
      <w:numFmt w:val="bullet"/>
      <w:lvlText w:val="•"/>
      <w:lvlJc w:val="left"/>
      <w:pPr>
        <w:ind w:left="1903" w:hanging="43"/>
      </w:pPr>
      <w:rPr>
        <w:rFonts w:hint="default"/>
        <w:lang w:val="en-US" w:eastAsia="en-US" w:bidi="ar-SA"/>
      </w:rPr>
    </w:lvl>
  </w:abstractNum>
  <w:abstractNum w:abstractNumId="253" w15:restartNumberingAfterBreak="0">
    <w:nsid w:val="654C57F8"/>
    <w:multiLevelType w:val="hybridMultilevel"/>
    <w:tmpl w:val="FE34DA9C"/>
    <w:lvl w:ilvl="0" w:tplc="47AC1A34">
      <w:numFmt w:val="bullet"/>
      <w:lvlText w:val="•"/>
      <w:lvlJc w:val="left"/>
      <w:pPr>
        <w:ind w:left="28" w:hanging="79"/>
      </w:pPr>
      <w:rPr>
        <w:rFonts w:ascii="Arial" w:eastAsia="Arial" w:hAnsi="Arial" w:cs="Arial" w:hint="default"/>
        <w:color w:val="231F20"/>
        <w:w w:val="89"/>
        <w:sz w:val="14"/>
        <w:szCs w:val="14"/>
        <w:lang w:val="en-US" w:eastAsia="en-US" w:bidi="ar-SA"/>
      </w:rPr>
    </w:lvl>
    <w:lvl w:ilvl="1" w:tplc="B900E8B6">
      <w:numFmt w:val="bullet"/>
      <w:lvlText w:val="•"/>
      <w:lvlJc w:val="left"/>
      <w:pPr>
        <w:ind w:left="267" w:hanging="79"/>
      </w:pPr>
      <w:rPr>
        <w:rFonts w:hint="default"/>
        <w:lang w:val="en-US" w:eastAsia="en-US" w:bidi="ar-SA"/>
      </w:rPr>
    </w:lvl>
    <w:lvl w:ilvl="2" w:tplc="4BDCA73C">
      <w:numFmt w:val="bullet"/>
      <w:lvlText w:val="•"/>
      <w:lvlJc w:val="left"/>
      <w:pPr>
        <w:ind w:left="514" w:hanging="79"/>
      </w:pPr>
      <w:rPr>
        <w:rFonts w:hint="default"/>
        <w:lang w:val="en-US" w:eastAsia="en-US" w:bidi="ar-SA"/>
      </w:rPr>
    </w:lvl>
    <w:lvl w:ilvl="3" w:tplc="27987BA8">
      <w:numFmt w:val="bullet"/>
      <w:lvlText w:val="•"/>
      <w:lvlJc w:val="left"/>
      <w:pPr>
        <w:ind w:left="761" w:hanging="79"/>
      </w:pPr>
      <w:rPr>
        <w:rFonts w:hint="default"/>
        <w:lang w:val="en-US" w:eastAsia="en-US" w:bidi="ar-SA"/>
      </w:rPr>
    </w:lvl>
    <w:lvl w:ilvl="4" w:tplc="836A05B8">
      <w:numFmt w:val="bullet"/>
      <w:lvlText w:val="•"/>
      <w:lvlJc w:val="left"/>
      <w:pPr>
        <w:ind w:left="1009" w:hanging="79"/>
      </w:pPr>
      <w:rPr>
        <w:rFonts w:hint="default"/>
        <w:lang w:val="en-US" w:eastAsia="en-US" w:bidi="ar-SA"/>
      </w:rPr>
    </w:lvl>
    <w:lvl w:ilvl="5" w:tplc="C96600D0">
      <w:numFmt w:val="bullet"/>
      <w:lvlText w:val="•"/>
      <w:lvlJc w:val="left"/>
      <w:pPr>
        <w:ind w:left="1256" w:hanging="79"/>
      </w:pPr>
      <w:rPr>
        <w:rFonts w:hint="default"/>
        <w:lang w:val="en-US" w:eastAsia="en-US" w:bidi="ar-SA"/>
      </w:rPr>
    </w:lvl>
    <w:lvl w:ilvl="6" w:tplc="9A484E24">
      <w:numFmt w:val="bullet"/>
      <w:lvlText w:val="•"/>
      <w:lvlJc w:val="left"/>
      <w:pPr>
        <w:ind w:left="1503" w:hanging="79"/>
      </w:pPr>
      <w:rPr>
        <w:rFonts w:hint="default"/>
        <w:lang w:val="en-US" w:eastAsia="en-US" w:bidi="ar-SA"/>
      </w:rPr>
    </w:lvl>
    <w:lvl w:ilvl="7" w:tplc="51AC9EB4">
      <w:numFmt w:val="bullet"/>
      <w:lvlText w:val="•"/>
      <w:lvlJc w:val="left"/>
      <w:pPr>
        <w:ind w:left="1751" w:hanging="79"/>
      </w:pPr>
      <w:rPr>
        <w:rFonts w:hint="default"/>
        <w:lang w:val="en-US" w:eastAsia="en-US" w:bidi="ar-SA"/>
      </w:rPr>
    </w:lvl>
    <w:lvl w:ilvl="8" w:tplc="00E0F022">
      <w:numFmt w:val="bullet"/>
      <w:lvlText w:val="•"/>
      <w:lvlJc w:val="left"/>
      <w:pPr>
        <w:ind w:left="1998" w:hanging="79"/>
      </w:pPr>
      <w:rPr>
        <w:rFonts w:hint="default"/>
        <w:lang w:val="en-US" w:eastAsia="en-US" w:bidi="ar-SA"/>
      </w:rPr>
    </w:lvl>
  </w:abstractNum>
  <w:abstractNum w:abstractNumId="254" w15:restartNumberingAfterBreak="0">
    <w:nsid w:val="657D3AD6"/>
    <w:multiLevelType w:val="hybridMultilevel"/>
    <w:tmpl w:val="ECF62AEA"/>
    <w:lvl w:ilvl="0" w:tplc="9D8CAD4C">
      <w:numFmt w:val="bullet"/>
      <w:lvlText w:val="•"/>
      <w:lvlJc w:val="left"/>
      <w:pPr>
        <w:ind w:left="26" w:hanging="76"/>
      </w:pPr>
      <w:rPr>
        <w:rFonts w:ascii="Arial" w:eastAsia="Arial" w:hAnsi="Arial" w:cs="Arial" w:hint="default"/>
        <w:color w:val="231F20"/>
        <w:w w:val="70"/>
        <w:sz w:val="17"/>
        <w:szCs w:val="17"/>
        <w:lang w:val="en-US" w:eastAsia="en-US" w:bidi="ar-SA"/>
      </w:rPr>
    </w:lvl>
    <w:lvl w:ilvl="1" w:tplc="B1324B2A">
      <w:numFmt w:val="bullet"/>
      <w:lvlText w:val="•"/>
      <w:lvlJc w:val="left"/>
      <w:pPr>
        <w:ind w:left="258" w:hanging="76"/>
      </w:pPr>
      <w:rPr>
        <w:rFonts w:hint="default"/>
        <w:lang w:val="en-US" w:eastAsia="en-US" w:bidi="ar-SA"/>
      </w:rPr>
    </w:lvl>
    <w:lvl w:ilvl="2" w:tplc="1BA4D1CE">
      <w:numFmt w:val="bullet"/>
      <w:lvlText w:val="•"/>
      <w:lvlJc w:val="left"/>
      <w:pPr>
        <w:ind w:left="497" w:hanging="76"/>
      </w:pPr>
      <w:rPr>
        <w:rFonts w:hint="default"/>
        <w:lang w:val="en-US" w:eastAsia="en-US" w:bidi="ar-SA"/>
      </w:rPr>
    </w:lvl>
    <w:lvl w:ilvl="3" w:tplc="658C3028">
      <w:numFmt w:val="bullet"/>
      <w:lvlText w:val="•"/>
      <w:lvlJc w:val="left"/>
      <w:pPr>
        <w:ind w:left="735" w:hanging="76"/>
      </w:pPr>
      <w:rPr>
        <w:rFonts w:hint="default"/>
        <w:lang w:val="en-US" w:eastAsia="en-US" w:bidi="ar-SA"/>
      </w:rPr>
    </w:lvl>
    <w:lvl w:ilvl="4" w:tplc="D788F426">
      <w:numFmt w:val="bullet"/>
      <w:lvlText w:val="•"/>
      <w:lvlJc w:val="left"/>
      <w:pPr>
        <w:ind w:left="974" w:hanging="76"/>
      </w:pPr>
      <w:rPr>
        <w:rFonts w:hint="default"/>
        <w:lang w:val="en-US" w:eastAsia="en-US" w:bidi="ar-SA"/>
      </w:rPr>
    </w:lvl>
    <w:lvl w:ilvl="5" w:tplc="EDD80B5C">
      <w:numFmt w:val="bullet"/>
      <w:lvlText w:val="•"/>
      <w:lvlJc w:val="left"/>
      <w:pPr>
        <w:ind w:left="1213" w:hanging="76"/>
      </w:pPr>
      <w:rPr>
        <w:rFonts w:hint="default"/>
        <w:lang w:val="en-US" w:eastAsia="en-US" w:bidi="ar-SA"/>
      </w:rPr>
    </w:lvl>
    <w:lvl w:ilvl="6" w:tplc="4590FD42">
      <w:numFmt w:val="bullet"/>
      <w:lvlText w:val="•"/>
      <w:lvlJc w:val="left"/>
      <w:pPr>
        <w:ind w:left="1451" w:hanging="76"/>
      </w:pPr>
      <w:rPr>
        <w:rFonts w:hint="default"/>
        <w:lang w:val="en-US" w:eastAsia="en-US" w:bidi="ar-SA"/>
      </w:rPr>
    </w:lvl>
    <w:lvl w:ilvl="7" w:tplc="92FEC292">
      <w:numFmt w:val="bullet"/>
      <w:lvlText w:val="•"/>
      <w:lvlJc w:val="left"/>
      <w:pPr>
        <w:ind w:left="1690" w:hanging="76"/>
      </w:pPr>
      <w:rPr>
        <w:rFonts w:hint="default"/>
        <w:lang w:val="en-US" w:eastAsia="en-US" w:bidi="ar-SA"/>
      </w:rPr>
    </w:lvl>
    <w:lvl w:ilvl="8" w:tplc="1634250A">
      <w:numFmt w:val="bullet"/>
      <w:lvlText w:val="•"/>
      <w:lvlJc w:val="left"/>
      <w:pPr>
        <w:ind w:left="1928" w:hanging="76"/>
      </w:pPr>
      <w:rPr>
        <w:rFonts w:hint="default"/>
        <w:lang w:val="en-US" w:eastAsia="en-US" w:bidi="ar-SA"/>
      </w:rPr>
    </w:lvl>
  </w:abstractNum>
  <w:abstractNum w:abstractNumId="255" w15:restartNumberingAfterBreak="0">
    <w:nsid w:val="65DC79AD"/>
    <w:multiLevelType w:val="multilevel"/>
    <w:tmpl w:val="0680B7C4"/>
    <w:lvl w:ilvl="0">
      <w:start w:val="8"/>
      <w:numFmt w:val="decimal"/>
      <w:lvlText w:val="%1"/>
      <w:lvlJc w:val="left"/>
      <w:pPr>
        <w:ind w:left="155" w:hanging="865"/>
      </w:pPr>
      <w:rPr>
        <w:rFonts w:hint="default"/>
        <w:lang w:val="en-US" w:eastAsia="en-US" w:bidi="ar-SA"/>
      </w:rPr>
    </w:lvl>
    <w:lvl w:ilvl="1">
      <w:start w:val="15"/>
      <w:numFmt w:val="decimal"/>
      <w:lvlText w:val="%1.%2"/>
      <w:lvlJc w:val="left"/>
      <w:pPr>
        <w:ind w:left="155" w:hanging="865"/>
      </w:pPr>
      <w:rPr>
        <w:rFonts w:hint="default"/>
        <w:lang w:val="en-US" w:eastAsia="en-US" w:bidi="ar-SA"/>
      </w:rPr>
    </w:lvl>
    <w:lvl w:ilvl="2">
      <w:start w:val="3"/>
      <w:numFmt w:val="decimal"/>
      <w:lvlText w:val="%1.%2.%3"/>
      <w:lvlJc w:val="left"/>
      <w:pPr>
        <w:ind w:left="155" w:hanging="865"/>
      </w:pPr>
      <w:rPr>
        <w:rFonts w:hint="default"/>
        <w:lang w:val="en-US" w:eastAsia="en-US" w:bidi="ar-SA"/>
      </w:rPr>
    </w:lvl>
    <w:lvl w:ilvl="3">
      <w:start w:val="1"/>
      <w:numFmt w:val="decimal"/>
      <w:lvlText w:val="%1.%2.%3.%4"/>
      <w:lvlJc w:val="left"/>
      <w:pPr>
        <w:ind w:left="155" w:hanging="865"/>
      </w:pPr>
      <w:rPr>
        <w:rFonts w:ascii="Arial" w:eastAsia="Arial" w:hAnsi="Arial" w:cs="Arial" w:hint="default"/>
        <w:b/>
        <w:bCs/>
        <w:color w:val="231F20"/>
        <w:w w:val="99"/>
        <w:sz w:val="22"/>
        <w:szCs w:val="22"/>
        <w:lang w:val="en-US" w:eastAsia="en-US" w:bidi="ar-SA"/>
      </w:rPr>
    </w:lvl>
    <w:lvl w:ilvl="4">
      <w:numFmt w:val="bullet"/>
      <w:lvlText w:val="•"/>
      <w:lvlJc w:val="left"/>
      <w:pPr>
        <w:ind w:left="3978" w:hanging="865"/>
      </w:pPr>
      <w:rPr>
        <w:rFonts w:hint="default"/>
        <w:lang w:val="en-US" w:eastAsia="en-US" w:bidi="ar-SA"/>
      </w:rPr>
    </w:lvl>
    <w:lvl w:ilvl="5">
      <w:numFmt w:val="bullet"/>
      <w:lvlText w:val="•"/>
      <w:lvlJc w:val="left"/>
      <w:pPr>
        <w:ind w:left="4932" w:hanging="865"/>
      </w:pPr>
      <w:rPr>
        <w:rFonts w:hint="default"/>
        <w:lang w:val="en-US" w:eastAsia="en-US" w:bidi="ar-SA"/>
      </w:rPr>
    </w:lvl>
    <w:lvl w:ilvl="6">
      <w:numFmt w:val="bullet"/>
      <w:lvlText w:val="•"/>
      <w:lvlJc w:val="left"/>
      <w:pPr>
        <w:ind w:left="5887" w:hanging="865"/>
      </w:pPr>
      <w:rPr>
        <w:rFonts w:hint="default"/>
        <w:lang w:val="en-US" w:eastAsia="en-US" w:bidi="ar-SA"/>
      </w:rPr>
    </w:lvl>
    <w:lvl w:ilvl="7">
      <w:numFmt w:val="bullet"/>
      <w:lvlText w:val="•"/>
      <w:lvlJc w:val="left"/>
      <w:pPr>
        <w:ind w:left="6841" w:hanging="865"/>
      </w:pPr>
      <w:rPr>
        <w:rFonts w:hint="default"/>
        <w:lang w:val="en-US" w:eastAsia="en-US" w:bidi="ar-SA"/>
      </w:rPr>
    </w:lvl>
    <w:lvl w:ilvl="8">
      <w:numFmt w:val="bullet"/>
      <w:lvlText w:val="•"/>
      <w:lvlJc w:val="left"/>
      <w:pPr>
        <w:ind w:left="7796" w:hanging="865"/>
      </w:pPr>
      <w:rPr>
        <w:rFonts w:hint="default"/>
        <w:lang w:val="en-US" w:eastAsia="en-US" w:bidi="ar-SA"/>
      </w:rPr>
    </w:lvl>
  </w:abstractNum>
  <w:abstractNum w:abstractNumId="256" w15:restartNumberingAfterBreak="0">
    <w:nsid w:val="666D2470"/>
    <w:multiLevelType w:val="hybridMultilevel"/>
    <w:tmpl w:val="280A68D4"/>
    <w:lvl w:ilvl="0" w:tplc="EE40A742">
      <w:numFmt w:val="bullet"/>
      <w:lvlText w:val="•"/>
      <w:lvlJc w:val="left"/>
      <w:pPr>
        <w:ind w:left="21" w:hanging="75"/>
      </w:pPr>
      <w:rPr>
        <w:rFonts w:ascii="Arial" w:eastAsia="Arial" w:hAnsi="Arial" w:cs="Arial" w:hint="default"/>
        <w:color w:val="231F20"/>
        <w:w w:val="107"/>
        <w:sz w:val="11"/>
        <w:szCs w:val="11"/>
        <w:lang w:val="en-US" w:eastAsia="en-US" w:bidi="ar-SA"/>
      </w:rPr>
    </w:lvl>
    <w:lvl w:ilvl="1" w:tplc="13588C50">
      <w:numFmt w:val="bullet"/>
      <w:lvlText w:val="•"/>
      <w:lvlJc w:val="left"/>
      <w:pPr>
        <w:ind w:left="254" w:hanging="75"/>
      </w:pPr>
      <w:rPr>
        <w:rFonts w:hint="default"/>
        <w:lang w:val="en-US" w:eastAsia="en-US" w:bidi="ar-SA"/>
      </w:rPr>
    </w:lvl>
    <w:lvl w:ilvl="2" w:tplc="427E43D2">
      <w:numFmt w:val="bullet"/>
      <w:lvlText w:val="•"/>
      <w:lvlJc w:val="left"/>
      <w:pPr>
        <w:ind w:left="488" w:hanging="75"/>
      </w:pPr>
      <w:rPr>
        <w:rFonts w:hint="default"/>
        <w:lang w:val="en-US" w:eastAsia="en-US" w:bidi="ar-SA"/>
      </w:rPr>
    </w:lvl>
    <w:lvl w:ilvl="3" w:tplc="4E463482">
      <w:numFmt w:val="bullet"/>
      <w:lvlText w:val="•"/>
      <w:lvlJc w:val="left"/>
      <w:pPr>
        <w:ind w:left="723" w:hanging="75"/>
      </w:pPr>
      <w:rPr>
        <w:rFonts w:hint="default"/>
        <w:lang w:val="en-US" w:eastAsia="en-US" w:bidi="ar-SA"/>
      </w:rPr>
    </w:lvl>
    <w:lvl w:ilvl="4" w:tplc="D570B3D2">
      <w:numFmt w:val="bullet"/>
      <w:lvlText w:val="•"/>
      <w:lvlJc w:val="left"/>
      <w:pPr>
        <w:ind w:left="957" w:hanging="75"/>
      </w:pPr>
      <w:rPr>
        <w:rFonts w:hint="default"/>
        <w:lang w:val="en-US" w:eastAsia="en-US" w:bidi="ar-SA"/>
      </w:rPr>
    </w:lvl>
    <w:lvl w:ilvl="5" w:tplc="FEA48564">
      <w:numFmt w:val="bullet"/>
      <w:lvlText w:val="•"/>
      <w:lvlJc w:val="left"/>
      <w:pPr>
        <w:ind w:left="1192" w:hanging="75"/>
      </w:pPr>
      <w:rPr>
        <w:rFonts w:hint="default"/>
        <w:lang w:val="en-US" w:eastAsia="en-US" w:bidi="ar-SA"/>
      </w:rPr>
    </w:lvl>
    <w:lvl w:ilvl="6" w:tplc="AC4C756C">
      <w:numFmt w:val="bullet"/>
      <w:lvlText w:val="•"/>
      <w:lvlJc w:val="left"/>
      <w:pPr>
        <w:ind w:left="1426" w:hanging="75"/>
      </w:pPr>
      <w:rPr>
        <w:rFonts w:hint="default"/>
        <w:lang w:val="en-US" w:eastAsia="en-US" w:bidi="ar-SA"/>
      </w:rPr>
    </w:lvl>
    <w:lvl w:ilvl="7" w:tplc="220A4770">
      <w:numFmt w:val="bullet"/>
      <w:lvlText w:val="•"/>
      <w:lvlJc w:val="left"/>
      <w:pPr>
        <w:ind w:left="1660" w:hanging="75"/>
      </w:pPr>
      <w:rPr>
        <w:rFonts w:hint="default"/>
        <w:lang w:val="en-US" w:eastAsia="en-US" w:bidi="ar-SA"/>
      </w:rPr>
    </w:lvl>
    <w:lvl w:ilvl="8" w:tplc="1A9C47EA">
      <w:numFmt w:val="bullet"/>
      <w:lvlText w:val="•"/>
      <w:lvlJc w:val="left"/>
      <w:pPr>
        <w:ind w:left="1895" w:hanging="75"/>
      </w:pPr>
      <w:rPr>
        <w:rFonts w:hint="default"/>
        <w:lang w:val="en-US" w:eastAsia="en-US" w:bidi="ar-SA"/>
      </w:rPr>
    </w:lvl>
  </w:abstractNum>
  <w:abstractNum w:abstractNumId="257" w15:restartNumberingAfterBreak="0">
    <w:nsid w:val="66720206"/>
    <w:multiLevelType w:val="hybridMultilevel"/>
    <w:tmpl w:val="9BFEEFDC"/>
    <w:lvl w:ilvl="0" w:tplc="4F560310">
      <w:numFmt w:val="bullet"/>
      <w:lvlText w:val="•"/>
      <w:lvlJc w:val="left"/>
      <w:pPr>
        <w:ind w:left="26" w:hanging="76"/>
      </w:pPr>
      <w:rPr>
        <w:rFonts w:ascii="Arial" w:eastAsia="Arial" w:hAnsi="Arial" w:cs="Arial" w:hint="default"/>
        <w:color w:val="231F20"/>
        <w:w w:val="100"/>
        <w:sz w:val="12"/>
        <w:szCs w:val="12"/>
        <w:lang w:val="en-US" w:eastAsia="en-US" w:bidi="ar-SA"/>
      </w:rPr>
    </w:lvl>
    <w:lvl w:ilvl="1" w:tplc="D9AAC798">
      <w:numFmt w:val="bullet"/>
      <w:lvlText w:val="•"/>
      <w:lvlJc w:val="left"/>
      <w:pPr>
        <w:ind w:left="257" w:hanging="76"/>
      </w:pPr>
      <w:rPr>
        <w:rFonts w:hint="default"/>
        <w:lang w:val="en-US" w:eastAsia="en-US" w:bidi="ar-SA"/>
      </w:rPr>
    </w:lvl>
    <w:lvl w:ilvl="2" w:tplc="85AEC67C">
      <w:numFmt w:val="bullet"/>
      <w:lvlText w:val="•"/>
      <w:lvlJc w:val="left"/>
      <w:pPr>
        <w:ind w:left="495" w:hanging="76"/>
      </w:pPr>
      <w:rPr>
        <w:rFonts w:hint="default"/>
        <w:lang w:val="en-US" w:eastAsia="en-US" w:bidi="ar-SA"/>
      </w:rPr>
    </w:lvl>
    <w:lvl w:ilvl="3" w:tplc="37E0F13A">
      <w:numFmt w:val="bullet"/>
      <w:lvlText w:val="•"/>
      <w:lvlJc w:val="left"/>
      <w:pPr>
        <w:ind w:left="733" w:hanging="76"/>
      </w:pPr>
      <w:rPr>
        <w:rFonts w:hint="default"/>
        <w:lang w:val="en-US" w:eastAsia="en-US" w:bidi="ar-SA"/>
      </w:rPr>
    </w:lvl>
    <w:lvl w:ilvl="4" w:tplc="0916DCB8">
      <w:numFmt w:val="bullet"/>
      <w:lvlText w:val="•"/>
      <w:lvlJc w:val="left"/>
      <w:pPr>
        <w:ind w:left="970" w:hanging="76"/>
      </w:pPr>
      <w:rPr>
        <w:rFonts w:hint="default"/>
        <w:lang w:val="en-US" w:eastAsia="en-US" w:bidi="ar-SA"/>
      </w:rPr>
    </w:lvl>
    <w:lvl w:ilvl="5" w:tplc="22A450F4">
      <w:numFmt w:val="bullet"/>
      <w:lvlText w:val="•"/>
      <w:lvlJc w:val="left"/>
      <w:pPr>
        <w:ind w:left="1208" w:hanging="76"/>
      </w:pPr>
      <w:rPr>
        <w:rFonts w:hint="default"/>
        <w:lang w:val="en-US" w:eastAsia="en-US" w:bidi="ar-SA"/>
      </w:rPr>
    </w:lvl>
    <w:lvl w:ilvl="6" w:tplc="FE9C2F18">
      <w:numFmt w:val="bullet"/>
      <w:lvlText w:val="•"/>
      <w:lvlJc w:val="left"/>
      <w:pPr>
        <w:ind w:left="1446" w:hanging="76"/>
      </w:pPr>
      <w:rPr>
        <w:rFonts w:hint="default"/>
        <w:lang w:val="en-US" w:eastAsia="en-US" w:bidi="ar-SA"/>
      </w:rPr>
    </w:lvl>
    <w:lvl w:ilvl="7" w:tplc="38A6C292">
      <w:numFmt w:val="bullet"/>
      <w:lvlText w:val="•"/>
      <w:lvlJc w:val="left"/>
      <w:pPr>
        <w:ind w:left="1683" w:hanging="76"/>
      </w:pPr>
      <w:rPr>
        <w:rFonts w:hint="default"/>
        <w:lang w:val="en-US" w:eastAsia="en-US" w:bidi="ar-SA"/>
      </w:rPr>
    </w:lvl>
    <w:lvl w:ilvl="8" w:tplc="17F8F91E">
      <w:numFmt w:val="bullet"/>
      <w:lvlText w:val="•"/>
      <w:lvlJc w:val="left"/>
      <w:pPr>
        <w:ind w:left="1921" w:hanging="76"/>
      </w:pPr>
      <w:rPr>
        <w:rFonts w:hint="default"/>
        <w:lang w:val="en-US" w:eastAsia="en-US" w:bidi="ar-SA"/>
      </w:rPr>
    </w:lvl>
  </w:abstractNum>
  <w:abstractNum w:abstractNumId="258" w15:restartNumberingAfterBreak="0">
    <w:nsid w:val="66E950AB"/>
    <w:multiLevelType w:val="multilevel"/>
    <w:tmpl w:val="5B80C8DE"/>
    <w:lvl w:ilvl="0">
      <w:start w:val="5"/>
      <w:numFmt w:val="decimal"/>
      <w:lvlText w:val="%1"/>
      <w:lvlJc w:val="left"/>
      <w:pPr>
        <w:ind w:left="198" w:hanging="737"/>
      </w:pPr>
      <w:rPr>
        <w:rFonts w:hint="default"/>
        <w:lang w:val="en-US" w:eastAsia="en-US" w:bidi="ar-SA"/>
      </w:rPr>
    </w:lvl>
    <w:lvl w:ilvl="1">
      <w:start w:val="5"/>
      <w:numFmt w:val="decimal"/>
      <w:lvlText w:val="%1.%2"/>
      <w:lvlJc w:val="left"/>
      <w:pPr>
        <w:ind w:left="198" w:hanging="737"/>
      </w:pPr>
      <w:rPr>
        <w:rFonts w:hint="default"/>
        <w:lang w:val="en-US" w:eastAsia="en-US" w:bidi="ar-SA"/>
      </w:rPr>
    </w:lvl>
    <w:lvl w:ilvl="2">
      <w:start w:val="1"/>
      <w:numFmt w:val="decimal"/>
      <w:lvlText w:val="%1.%2.%3"/>
      <w:lvlJc w:val="left"/>
      <w:pPr>
        <w:ind w:left="198" w:hanging="737"/>
      </w:pPr>
      <w:rPr>
        <w:rFonts w:hint="default"/>
        <w:lang w:val="en-US" w:eastAsia="en-US" w:bidi="ar-SA"/>
      </w:rPr>
    </w:lvl>
    <w:lvl w:ilvl="3">
      <w:start w:val="1"/>
      <w:numFmt w:val="decimal"/>
      <w:lvlText w:val="%1.%2.%3.%4"/>
      <w:lvlJc w:val="left"/>
      <w:pPr>
        <w:ind w:left="198" w:hanging="737"/>
      </w:pPr>
      <w:rPr>
        <w:rFonts w:ascii="Arial" w:eastAsia="Arial" w:hAnsi="Arial" w:cs="Arial" w:hint="default"/>
        <w:color w:val="231F20"/>
        <w:w w:val="99"/>
        <w:sz w:val="22"/>
        <w:szCs w:val="22"/>
        <w:lang w:val="en-US" w:eastAsia="en-US" w:bidi="ar-SA"/>
      </w:rPr>
    </w:lvl>
    <w:lvl w:ilvl="4">
      <w:numFmt w:val="bullet"/>
      <w:lvlText w:val="•"/>
      <w:lvlJc w:val="left"/>
      <w:pPr>
        <w:ind w:left="4002" w:hanging="737"/>
      </w:pPr>
      <w:rPr>
        <w:rFonts w:hint="default"/>
        <w:lang w:val="en-US" w:eastAsia="en-US" w:bidi="ar-SA"/>
      </w:rPr>
    </w:lvl>
    <w:lvl w:ilvl="5">
      <w:numFmt w:val="bullet"/>
      <w:lvlText w:val="•"/>
      <w:lvlJc w:val="left"/>
      <w:pPr>
        <w:ind w:left="4952" w:hanging="737"/>
      </w:pPr>
      <w:rPr>
        <w:rFonts w:hint="default"/>
        <w:lang w:val="en-US" w:eastAsia="en-US" w:bidi="ar-SA"/>
      </w:rPr>
    </w:lvl>
    <w:lvl w:ilvl="6">
      <w:numFmt w:val="bullet"/>
      <w:lvlText w:val="•"/>
      <w:lvlJc w:val="left"/>
      <w:pPr>
        <w:ind w:left="5903" w:hanging="737"/>
      </w:pPr>
      <w:rPr>
        <w:rFonts w:hint="default"/>
        <w:lang w:val="en-US" w:eastAsia="en-US" w:bidi="ar-SA"/>
      </w:rPr>
    </w:lvl>
    <w:lvl w:ilvl="7">
      <w:numFmt w:val="bullet"/>
      <w:lvlText w:val="•"/>
      <w:lvlJc w:val="left"/>
      <w:pPr>
        <w:ind w:left="6853" w:hanging="737"/>
      </w:pPr>
      <w:rPr>
        <w:rFonts w:hint="default"/>
        <w:lang w:val="en-US" w:eastAsia="en-US" w:bidi="ar-SA"/>
      </w:rPr>
    </w:lvl>
    <w:lvl w:ilvl="8">
      <w:numFmt w:val="bullet"/>
      <w:lvlText w:val="•"/>
      <w:lvlJc w:val="left"/>
      <w:pPr>
        <w:ind w:left="7804" w:hanging="737"/>
      </w:pPr>
      <w:rPr>
        <w:rFonts w:hint="default"/>
        <w:lang w:val="en-US" w:eastAsia="en-US" w:bidi="ar-SA"/>
      </w:rPr>
    </w:lvl>
  </w:abstractNum>
  <w:abstractNum w:abstractNumId="259" w15:restartNumberingAfterBreak="0">
    <w:nsid w:val="673D5C9E"/>
    <w:multiLevelType w:val="multilevel"/>
    <w:tmpl w:val="9258A6E2"/>
    <w:lvl w:ilvl="0">
      <w:start w:val="5"/>
      <w:numFmt w:val="decimal"/>
      <w:lvlText w:val="%1"/>
      <w:lvlJc w:val="left"/>
      <w:pPr>
        <w:ind w:left="141" w:hanging="540"/>
      </w:pPr>
      <w:rPr>
        <w:rFonts w:hint="default"/>
        <w:lang w:val="en-US" w:eastAsia="en-US" w:bidi="ar-SA"/>
      </w:rPr>
    </w:lvl>
    <w:lvl w:ilvl="1">
      <w:start w:val="4"/>
      <w:numFmt w:val="decimal"/>
      <w:lvlText w:val="%1.%2"/>
      <w:lvlJc w:val="left"/>
      <w:pPr>
        <w:ind w:left="141" w:hanging="540"/>
      </w:pPr>
      <w:rPr>
        <w:rFonts w:hint="default"/>
        <w:lang w:val="en-US" w:eastAsia="en-US" w:bidi="ar-SA"/>
      </w:rPr>
    </w:lvl>
    <w:lvl w:ilvl="2">
      <w:numFmt w:val="decimal"/>
      <w:lvlText w:val="%1.%2.%3"/>
      <w:lvlJc w:val="left"/>
      <w:pPr>
        <w:ind w:left="141" w:hanging="540"/>
        <w:jc w:val="right"/>
      </w:pPr>
      <w:rPr>
        <w:rFonts w:hint="default"/>
        <w:w w:val="99"/>
        <w:lang w:val="en-US" w:eastAsia="en-US" w:bidi="ar-SA"/>
      </w:rPr>
    </w:lvl>
    <w:lvl w:ilvl="3">
      <w:start w:val="1"/>
      <w:numFmt w:val="decimal"/>
      <w:lvlText w:val="%1.%2.%3.%4"/>
      <w:lvlJc w:val="left"/>
      <w:pPr>
        <w:ind w:left="149" w:hanging="905"/>
      </w:pPr>
      <w:rPr>
        <w:rFonts w:ascii="Arial" w:eastAsia="Arial" w:hAnsi="Arial" w:cs="Arial" w:hint="default"/>
        <w:color w:val="231F20"/>
        <w:spacing w:val="0"/>
        <w:w w:val="99"/>
        <w:sz w:val="22"/>
        <w:szCs w:val="22"/>
        <w:lang w:val="en-US" w:eastAsia="en-US" w:bidi="ar-SA"/>
      </w:rPr>
    </w:lvl>
    <w:lvl w:ilvl="4">
      <w:numFmt w:val="bullet"/>
      <w:lvlText w:val="•"/>
      <w:lvlJc w:val="left"/>
      <w:pPr>
        <w:ind w:left="2546" w:hanging="905"/>
      </w:pPr>
      <w:rPr>
        <w:rFonts w:hint="default"/>
        <w:lang w:val="en-US" w:eastAsia="en-US" w:bidi="ar-SA"/>
      </w:rPr>
    </w:lvl>
    <w:lvl w:ilvl="5">
      <w:numFmt w:val="bullet"/>
      <w:lvlText w:val="•"/>
      <w:lvlJc w:val="left"/>
      <w:pPr>
        <w:ind w:left="3739" w:hanging="905"/>
      </w:pPr>
      <w:rPr>
        <w:rFonts w:hint="default"/>
        <w:lang w:val="en-US" w:eastAsia="en-US" w:bidi="ar-SA"/>
      </w:rPr>
    </w:lvl>
    <w:lvl w:ilvl="6">
      <w:numFmt w:val="bullet"/>
      <w:lvlText w:val="•"/>
      <w:lvlJc w:val="left"/>
      <w:pPr>
        <w:ind w:left="4932" w:hanging="905"/>
      </w:pPr>
      <w:rPr>
        <w:rFonts w:hint="default"/>
        <w:lang w:val="en-US" w:eastAsia="en-US" w:bidi="ar-SA"/>
      </w:rPr>
    </w:lvl>
    <w:lvl w:ilvl="7">
      <w:numFmt w:val="bullet"/>
      <w:lvlText w:val="•"/>
      <w:lvlJc w:val="left"/>
      <w:pPr>
        <w:ind w:left="6125" w:hanging="905"/>
      </w:pPr>
      <w:rPr>
        <w:rFonts w:hint="default"/>
        <w:lang w:val="en-US" w:eastAsia="en-US" w:bidi="ar-SA"/>
      </w:rPr>
    </w:lvl>
    <w:lvl w:ilvl="8">
      <w:numFmt w:val="bullet"/>
      <w:lvlText w:val="•"/>
      <w:lvlJc w:val="left"/>
      <w:pPr>
        <w:ind w:left="7319" w:hanging="905"/>
      </w:pPr>
      <w:rPr>
        <w:rFonts w:hint="default"/>
        <w:lang w:val="en-US" w:eastAsia="en-US" w:bidi="ar-SA"/>
      </w:rPr>
    </w:lvl>
  </w:abstractNum>
  <w:abstractNum w:abstractNumId="260" w15:restartNumberingAfterBreak="0">
    <w:nsid w:val="677660F1"/>
    <w:multiLevelType w:val="hybridMultilevel"/>
    <w:tmpl w:val="9DDC8000"/>
    <w:lvl w:ilvl="0" w:tplc="126ACA08">
      <w:numFmt w:val="bullet"/>
      <w:lvlText w:val="•"/>
      <w:lvlJc w:val="left"/>
      <w:pPr>
        <w:ind w:left="24" w:hanging="75"/>
      </w:pPr>
      <w:rPr>
        <w:rFonts w:ascii="Arial" w:eastAsia="Arial" w:hAnsi="Arial" w:cs="Arial" w:hint="default"/>
        <w:color w:val="231F20"/>
        <w:w w:val="84"/>
        <w:sz w:val="14"/>
        <w:szCs w:val="14"/>
        <w:lang w:val="en-US" w:eastAsia="en-US" w:bidi="ar-SA"/>
      </w:rPr>
    </w:lvl>
    <w:lvl w:ilvl="1" w:tplc="3D5688D0">
      <w:numFmt w:val="bullet"/>
      <w:lvlText w:val="•"/>
      <w:lvlJc w:val="left"/>
      <w:pPr>
        <w:ind w:left="255" w:hanging="75"/>
      </w:pPr>
      <w:rPr>
        <w:rFonts w:hint="default"/>
        <w:lang w:val="en-US" w:eastAsia="en-US" w:bidi="ar-SA"/>
      </w:rPr>
    </w:lvl>
    <w:lvl w:ilvl="2" w:tplc="FE5E27CE">
      <w:numFmt w:val="bullet"/>
      <w:lvlText w:val="•"/>
      <w:lvlJc w:val="left"/>
      <w:pPr>
        <w:ind w:left="490" w:hanging="75"/>
      </w:pPr>
      <w:rPr>
        <w:rFonts w:hint="default"/>
        <w:lang w:val="en-US" w:eastAsia="en-US" w:bidi="ar-SA"/>
      </w:rPr>
    </w:lvl>
    <w:lvl w:ilvl="3" w:tplc="57A605E6">
      <w:numFmt w:val="bullet"/>
      <w:lvlText w:val="•"/>
      <w:lvlJc w:val="left"/>
      <w:pPr>
        <w:ind w:left="726" w:hanging="75"/>
      </w:pPr>
      <w:rPr>
        <w:rFonts w:hint="default"/>
        <w:lang w:val="en-US" w:eastAsia="en-US" w:bidi="ar-SA"/>
      </w:rPr>
    </w:lvl>
    <w:lvl w:ilvl="4" w:tplc="AA1A2060">
      <w:numFmt w:val="bullet"/>
      <w:lvlText w:val="•"/>
      <w:lvlJc w:val="left"/>
      <w:pPr>
        <w:ind w:left="961" w:hanging="75"/>
      </w:pPr>
      <w:rPr>
        <w:rFonts w:hint="default"/>
        <w:lang w:val="en-US" w:eastAsia="en-US" w:bidi="ar-SA"/>
      </w:rPr>
    </w:lvl>
    <w:lvl w:ilvl="5" w:tplc="7A266F6E">
      <w:numFmt w:val="bullet"/>
      <w:lvlText w:val="•"/>
      <w:lvlJc w:val="left"/>
      <w:pPr>
        <w:ind w:left="1197" w:hanging="75"/>
      </w:pPr>
      <w:rPr>
        <w:rFonts w:hint="default"/>
        <w:lang w:val="en-US" w:eastAsia="en-US" w:bidi="ar-SA"/>
      </w:rPr>
    </w:lvl>
    <w:lvl w:ilvl="6" w:tplc="2DCAF360">
      <w:numFmt w:val="bullet"/>
      <w:lvlText w:val="•"/>
      <w:lvlJc w:val="left"/>
      <w:pPr>
        <w:ind w:left="1432" w:hanging="75"/>
      </w:pPr>
      <w:rPr>
        <w:rFonts w:hint="default"/>
        <w:lang w:val="en-US" w:eastAsia="en-US" w:bidi="ar-SA"/>
      </w:rPr>
    </w:lvl>
    <w:lvl w:ilvl="7" w:tplc="4DA0676C">
      <w:numFmt w:val="bullet"/>
      <w:lvlText w:val="•"/>
      <w:lvlJc w:val="left"/>
      <w:pPr>
        <w:ind w:left="1667" w:hanging="75"/>
      </w:pPr>
      <w:rPr>
        <w:rFonts w:hint="default"/>
        <w:lang w:val="en-US" w:eastAsia="en-US" w:bidi="ar-SA"/>
      </w:rPr>
    </w:lvl>
    <w:lvl w:ilvl="8" w:tplc="0972C4A2">
      <w:numFmt w:val="bullet"/>
      <w:lvlText w:val="•"/>
      <w:lvlJc w:val="left"/>
      <w:pPr>
        <w:ind w:left="1903" w:hanging="75"/>
      </w:pPr>
      <w:rPr>
        <w:rFonts w:hint="default"/>
        <w:lang w:val="en-US" w:eastAsia="en-US" w:bidi="ar-SA"/>
      </w:rPr>
    </w:lvl>
  </w:abstractNum>
  <w:abstractNum w:abstractNumId="261" w15:restartNumberingAfterBreak="0">
    <w:nsid w:val="67A32BC0"/>
    <w:multiLevelType w:val="hybridMultilevel"/>
    <w:tmpl w:val="3EF6D678"/>
    <w:lvl w:ilvl="0" w:tplc="661CA66A">
      <w:numFmt w:val="bullet"/>
      <w:lvlText w:val="•"/>
      <w:lvlJc w:val="left"/>
      <w:pPr>
        <w:ind w:left="24" w:hanging="69"/>
      </w:pPr>
      <w:rPr>
        <w:rFonts w:ascii="Arial" w:eastAsia="Arial" w:hAnsi="Arial" w:cs="Arial" w:hint="default"/>
        <w:color w:val="231F20"/>
        <w:w w:val="108"/>
        <w:sz w:val="11"/>
        <w:szCs w:val="11"/>
        <w:lang w:val="en-US" w:eastAsia="en-US" w:bidi="ar-SA"/>
      </w:rPr>
    </w:lvl>
    <w:lvl w:ilvl="1" w:tplc="D934455E">
      <w:numFmt w:val="bullet"/>
      <w:lvlText w:val="•"/>
      <w:lvlJc w:val="left"/>
      <w:pPr>
        <w:ind w:left="255" w:hanging="69"/>
      </w:pPr>
      <w:rPr>
        <w:rFonts w:hint="default"/>
        <w:lang w:val="en-US" w:eastAsia="en-US" w:bidi="ar-SA"/>
      </w:rPr>
    </w:lvl>
    <w:lvl w:ilvl="2" w:tplc="9D2894CC">
      <w:numFmt w:val="bullet"/>
      <w:lvlText w:val="•"/>
      <w:lvlJc w:val="left"/>
      <w:pPr>
        <w:ind w:left="490" w:hanging="69"/>
      </w:pPr>
      <w:rPr>
        <w:rFonts w:hint="default"/>
        <w:lang w:val="en-US" w:eastAsia="en-US" w:bidi="ar-SA"/>
      </w:rPr>
    </w:lvl>
    <w:lvl w:ilvl="3" w:tplc="ECE4870A">
      <w:numFmt w:val="bullet"/>
      <w:lvlText w:val="•"/>
      <w:lvlJc w:val="left"/>
      <w:pPr>
        <w:ind w:left="726" w:hanging="69"/>
      </w:pPr>
      <w:rPr>
        <w:rFonts w:hint="default"/>
        <w:lang w:val="en-US" w:eastAsia="en-US" w:bidi="ar-SA"/>
      </w:rPr>
    </w:lvl>
    <w:lvl w:ilvl="4" w:tplc="100AD160">
      <w:numFmt w:val="bullet"/>
      <w:lvlText w:val="•"/>
      <w:lvlJc w:val="left"/>
      <w:pPr>
        <w:ind w:left="961" w:hanging="69"/>
      </w:pPr>
      <w:rPr>
        <w:rFonts w:hint="default"/>
        <w:lang w:val="en-US" w:eastAsia="en-US" w:bidi="ar-SA"/>
      </w:rPr>
    </w:lvl>
    <w:lvl w:ilvl="5" w:tplc="C5DC1C2A">
      <w:numFmt w:val="bullet"/>
      <w:lvlText w:val="•"/>
      <w:lvlJc w:val="left"/>
      <w:pPr>
        <w:ind w:left="1197" w:hanging="69"/>
      </w:pPr>
      <w:rPr>
        <w:rFonts w:hint="default"/>
        <w:lang w:val="en-US" w:eastAsia="en-US" w:bidi="ar-SA"/>
      </w:rPr>
    </w:lvl>
    <w:lvl w:ilvl="6" w:tplc="C4AA623C">
      <w:numFmt w:val="bullet"/>
      <w:lvlText w:val="•"/>
      <w:lvlJc w:val="left"/>
      <w:pPr>
        <w:ind w:left="1432" w:hanging="69"/>
      </w:pPr>
      <w:rPr>
        <w:rFonts w:hint="default"/>
        <w:lang w:val="en-US" w:eastAsia="en-US" w:bidi="ar-SA"/>
      </w:rPr>
    </w:lvl>
    <w:lvl w:ilvl="7" w:tplc="2446F522">
      <w:numFmt w:val="bullet"/>
      <w:lvlText w:val="•"/>
      <w:lvlJc w:val="left"/>
      <w:pPr>
        <w:ind w:left="1667" w:hanging="69"/>
      </w:pPr>
      <w:rPr>
        <w:rFonts w:hint="default"/>
        <w:lang w:val="en-US" w:eastAsia="en-US" w:bidi="ar-SA"/>
      </w:rPr>
    </w:lvl>
    <w:lvl w:ilvl="8" w:tplc="D460058A">
      <w:numFmt w:val="bullet"/>
      <w:lvlText w:val="•"/>
      <w:lvlJc w:val="left"/>
      <w:pPr>
        <w:ind w:left="1903" w:hanging="69"/>
      </w:pPr>
      <w:rPr>
        <w:rFonts w:hint="default"/>
        <w:lang w:val="en-US" w:eastAsia="en-US" w:bidi="ar-SA"/>
      </w:rPr>
    </w:lvl>
  </w:abstractNum>
  <w:abstractNum w:abstractNumId="262" w15:restartNumberingAfterBreak="0">
    <w:nsid w:val="67AA2802"/>
    <w:multiLevelType w:val="hybridMultilevel"/>
    <w:tmpl w:val="25348196"/>
    <w:lvl w:ilvl="0" w:tplc="B5027E7A">
      <w:start w:val="1"/>
      <w:numFmt w:val="lowerLetter"/>
      <w:lvlText w:val="%1."/>
      <w:lvlJc w:val="left"/>
      <w:pPr>
        <w:ind w:left="850" w:hanging="720"/>
      </w:pPr>
      <w:rPr>
        <w:rFonts w:ascii="Arial" w:eastAsia="Arial" w:hAnsi="Arial" w:cs="Arial" w:hint="default"/>
        <w:b/>
        <w:bCs/>
        <w:color w:val="231F20"/>
        <w:spacing w:val="-25"/>
        <w:w w:val="99"/>
        <w:sz w:val="22"/>
        <w:szCs w:val="22"/>
        <w:lang w:val="en-US" w:eastAsia="en-US" w:bidi="ar-SA"/>
      </w:rPr>
    </w:lvl>
    <w:lvl w:ilvl="1" w:tplc="893E8A1E">
      <w:numFmt w:val="bullet"/>
      <w:lvlText w:val="•"/>
      <w:lvlJc w:val="left"/>
      <w:pPr>
        <w:ind w:left="1744" w:hanging="720"/>
      </w:pPr>
      <w:rPr>
        <w:rFonts w:hint="default"/>
        <w:lang w:val="en-US" w:eastAsia="en-US" w:bidi="ar-SA"/>
      </w:rPr>
    </w:lvl>
    <w:lvl w:ilvl="2" w:tplc="12CA0C8A">
      <w:numFmt w:val="bullet"/>
      <w:lvlText w:val="•"/>
      <w:lvlJc w:val="left"/>
      <w:pPr>
        <w:ind w:left="2629" w:hanging="720"/>
      </w:pPr>
      <w:rPr>
        <w:rFonts w:hint="default"/>
        <w:lang w:val="en-US" w:eastAsia="en-US" w:bidi="ar-SA"/>
      </w:rPr>
    </w:lvl>
    <w:lvl w:ilvl="3" w:tplc="4CA8562C">
      <w:numFmt w:val="bullet"/>
      <w:lvlText w:val="•"/>
      <w:lvlJc w:val="left"/>
      <w:pPr>
        <w:ind w:left="3513" w:hanging="720"/>
      </w:pPr>
      <w:rPr>
        <w:rFonts w:hint="default"/>
        <w:lang w:val="en-US" w:eastAsia="en-US" w:bidi="ar-SA"/>
      </w:rPr>
    </w:lvl>
    <w:lvl w:ilvl="4" w:tplc="4B2A0D76">
      <w:numFmt w:val="bullet"/>
      <w:lvlText w:val="•"/>
      <w:lvlJc w:val="left"/>
      <w:pPr>
        <w:ind w:left="4398" w:hanging="720"/>
      </w:pPr>
      <w:rPr>
        <w:rFonts w:hint="default"/>
        <w:lang w:val="en-US" w:eastAsia="en-US" w:bidi="ar-SA"/>
      </w:rPr>
    </w:lvl>
    <w:lvl w:ilvl="5" w:tplc="BFE40734">
      <w:numFmt w:val="bullet"/>
      <w:lvlText w:val="•"/>
      <w:lvlJc w:val="left"/>
      <w:pPr>
        <w:ind w:left="5282" w:hanging="720"/>
      </w:pPr>
      <w:rPr>
        <w:rFonts w:hint="default"/>
        <w:lang w:val="en-US" w:eastAsia="en-US" w:bidi="ar-SA"/>
      </w:rPr>
    </w:lvl>
    <w:lvl w:ilvl="6" w:tplc="CB7E37D2">
      <w:numFmt w:val="bullet"/>
      <w:lvlText w:val="•"/>
      <w:lvlJc w:val="left"/>
      <w:pPr>
        <w:ind w:left="6167" w:hanging="720"/>
      </w:pPr>
      <w:rPr>
        <w:rFonts w:hint="default"/>
        <w:lang w:val="en-US" w:eastAsia="en-US" w:bidi="ar-SA"/>
      </w:rPr>
    </w:lvl>
    <w:lvl w:ilvl="7" w:tplc="BFCA59D8">
      <w:numFmt w:val="bullet"/>
      <w:lvlText w:val="•"/>
      <w:lvlJc w:val="left"/>
      <w:pPr>
        <w:ind w:left="7051" w:hanging="720"/>
      </w:pPr>
      <w:rPr>
        <w:rFonts w:hint="default"/>
        <w:lang w:val="en-US" w:eastAsia="en-US" w:bidi="ar-SA"/>
      </w:rPr>
    </w:lvl>
    <w:lvl w:ilvl="8" w:tplc="2F52C8CC">
      <w:numFmt w:val="bullet"/>
      <w:lvlText w:val="•"/>
      <w:lvlJc w:val="left"/>
      <w:pPr>
        <w:ind w:left="7936" w:hanging="720"/>
      </w:pPr>
      <w:rPr>
        <w:rFonts w:hint="default"/>
        <w:lang w:val="en-US" w:eastAsia="en-US" w:bidi="ar-SA"/>
      </w:rPr>
    </w:lvl>
  </w:abstractNum>
  <w:abstractNum w:abstractNumId="263" w15:restartNumberingAfterBreak="0">
    <w:nsid w:val="67C95457"/>
    <w:multiLevelType w:val="hybridMultilevel"/>
    <w:tmpl w:val="C6D6B83C"/>
    <w:lvl w:ilvl="0" w:tplc="64AA2A8A">
      <w:numFmt w:val="bullet"/>
      <w:lvlText w:val="•"/>
      <w:lvlJc w:val="left"/>
      <w:pPr>
        <w:ind w:left="28" w:hanging="79"/>
      </w:pPr>
      <w:rPr>
        <w:rFonts w:ascii="Arial" w:eastAsia="Arial" w:hAnsi="Arial" w:cs="Arial" w:hint="default"/>
        <w:color w:val="231F20"/>
        <w:w w:val="62"/>
        <w:sz w:val="20"/>
        <w:szCs w:val="20"/>
        <w:lang w:val="en-US" w:eastAsia="en-US" w:bidi="ar-SA"/>
      </w:rPr>
    </w:lvl>
    <w:lvl w:ilvl="1" w:tplc="41C485F8">
      <w:numFmt w:val="bullet"/>
      <w:lvlText w:val="•"/>
      <w:lvlJc w:val="left"/>
      <w:pPr>
        <w:ind w:left="267" w:hanging="79"/>
      </w:pPr>
      <w:rPr>
        <w:rFonts w:hint="default"/>
        <w:lang w:val="en-US" w:eastAsia="en-US" w:bidi="ar-SA"/>
      </w:rPr>
    </w:lvl>
    <w:lvl w:ilvl="2" w:tplc="204C6DDA">
      <w:numFmt w:val="bullet"/>
      <w:lvlText w:val="•"/>
      <w:lvlJc w:val="left"/>
      <w:pPr>
        <w:ind w:left="514" w:hanging="79"/>
      </w:pPr>
      <w:rPr>
        <w:rFonts w:hint="default"/>
        <w:lang w:val="en-US" w:eastAsia="en-US" w:bidi="ar-SA"/>
      </w:rPr>
    </w:lvl>
    <w:lvl w:ilvl="3" w:tplc="C20E4C0C">
      <w:numFmt w:val="bullet"/>
      <w:lvlText w:val="•"/>
      <w:lvlJc w:val="left"/>
      <w:pPr>
        <w:ind w:left="761" w:hanging="79"/>
      </w:pPr>
      <w:rPr>
        <w:rFonts w:hint="default"/>
        <w:lang w:val="en-US" w:eastAsia="en-US" w:bidi="ar-SA"/>
      </w:rPr>
    </w:lvl>
    <w:lvl w:ilvl="4" w:tplc="ED404006">
      <w:numFmt w:val="bullet"/>
      <w:lvlText w:val="•"/>
      <w:lvlJc w:val="left"/>
      <w:pPr>
        <w:ind w:left="1008" w:hanging="79"/>
      </w:pPr>
      <w:rPr>
        <w:rFonts w:hint="default"/>
        <w:lang w:val="en-US" w:eastAsia="en-US" w:bidi="ar-SA"/>
      </w:rPr>
    </w:lvl>
    <w:lvl w:ilvl="5" w:tplc="73E6A344">
      <w:numFmt w:val="bullet"/>
      <w:lvlText w:val="•"/>
      <w:lvlJc w:val="left"/>
      <w:pPr>
        <w:ind w:left="1256" w:hanging="79"/>
      </w:pPr>
      <w:rPr>
        <w:rFonts w:hint="default"/>
        <w:lang w:val="en-US" w:eastAsia="en-US" w:bidi="ar-SA"/>
      </w:rPr>
    </w:lvl>
    <w:lvl w:ilvl="6" w:tplc="E15890CE">
      <w:numFmt w:val="bullet"/>
      <w:lvlText w:val="•"/>
      <w:lvlJc w:val="left"/>
      <w:pPr>
        <w:ind w:left="1503" w:hanging="79"/>
      </w:pPr>
      <w:rPr>
        <w:rFonts w:hint="default"/>
        <w:lang w:val="en-US" w:eastAsia="en-US" w:bidi="ar-SA"/>
      </w:rPr>
    </w:lvl>
    <w:lvl w:ilvl="7" w:tplc="97EE2F70">
      <w:numFmt w:val="bullet"/>
      <w:lvlText w:val="•"/>
      <w:lvlJc w:val="left"/>
      <w:pPr>
        <w:ind w:left="1750" w:hanging="79"/>
      </w:pPr>
      <w:rPr>
        <w:rFonts w:hint="default"/>
        <w:lang w:val="en-US" w:eastAsia="en-US" w:bidi="ar-SA"/>
      </w:rPr>
    </w:lvl>
    <w:lvl w:ilvl="8" w:tplc="597EC608">
      <w:numFmt w:val="bullet"/>
      <w:lvlText w:val="•"/>
      <w:lvlJc w:val="left"/>
      <w:pPr>
        <w:ind w:left="1997" w:hanging="79"/>
      </w:pPr>
      <w:rPr>
        <w:rFonts w:hint="default"/>
        <w:lang w:val="en-US" w:eastAsia="en-US" w:bidi="ar-SA"/>
      </w:rPr>
    </w:lvl>
  </w:abstractNum>
  <w:abstractNum w:abstractNumId="264" w15:restartNumberingAfterBreak="0">
    <w:nsid w:val="67E336E6"/>
    <w:multiLevelType w:val="hybridMultilevel"/>
    <w:tmpl w:val="BD946EC4"/>
    <w:lvl w:ilvl="0" w:tplc="DF241386">
      <w:numFmt w:val="bullet"/>
      <w:lvlText w:val="•"/>
      <w:lvlJc w:val="left"/>
      <w:pPr>
        <w:ind w:left="20" w:hanging="75"/>
      </w:pPr>
      <w:rPr>
        <w:rFonts w:ascii="Arial" w:eastAsia="Arial" w:hAnsi="Arial" w:cs="Arial" w:hint="default"/>
        <w:color w:val="231F20"/>
        <w:w w:val="98"/>
        <w:sz w:val="12"/>
        <w:szCs w:val="12"/>
        <w:lang w:val="en-US" w:eastAsia="en-US" w:bidi="ar-SA"/>
      </w:rPr>
    </w:lvl>
    <w:lvl w:ilvl="1" w:tplc="408A6404">
      <w:numFmt w:val="bullet"/>
      <w:lvlText w:val="•"/>
      <w:lvlJc w:val="left"/>
      <w:pPr>
        <w:ind w:left="255" w:hanging="75"/>
      </w:pPr>
      <w:rPr>
        <w:rFonts w:hint="default"/>
        <w:lang w:val="en-US" w:eastAsia="en-US" w:bidi="ar-SA"/>
      </w:rPr>
    </w:lvl>
    <w:lvl w:ilvl="2" w:tplc="85327988">
      <w:numFmt w:val="bullet"/>
      <w:lvlText w:val="•"/>
      <w:lvlJc w:val="left"/>
      <w:pPr>
        <w:ind w:left="490" w:hanging="75"/>
      </w:pPr>
      <w:rPr>
        <w:rFonts w:hint="default"/>
        <w:lang w:val="en-US" w:eastAsia="en-US" w:bidi="ar-SA"/>
      </w:rPr>
    </w:lvl>
    <w:lvl w:ilvl="3" w:tplc="C6A64ACC">
      <w:numFmt w:val="bullet"/>
      <w:lvlText w:val="•"/>
      <w:lvlJc w:val="left"/>
      <w:pPr>
        <w:ind w:left="725" w:hanging="75"/>
      </w:pPr>
      <w:rPr>
        <w:rFonts w:hint="default"/>
        <w:lang w:val="en-US" w:eastAsia="en-US" w:bidi="ar-SA"/>
      </w:rPr>
    </w:lvl>
    <w:lvl w:ilvl="4" w:tplc="04220EF4">
      <w:numFmt w:val="bullet"/>
      <w:lvlText w:val="•"/>
      <w:lvlJc w:val="left"/>
      <w:pPr>
        <w:ind w:left="960" w:hanging="75"/>
      </w:pPr>
      <w:rPr>
        <w:rFonts w:hint="default"/>
        <w:lang w:val="en-US" w:eastAsia="en-US" w:bidi="ar-SA"/>
      </w:rPr>
    </w:lvl>
    <w:lvl w:ilvl="5" w:tplc="FE2C7704">
      <w:numFmt w:val="bullet"/>
      <w:lvlText w:val="•"/>
      <w:lvlJc w:val="left"/>
      <w:pPr>
        <w:ind w:left="1195" w:hanging="75"/>
      </w:pPr>
      <w:rPr>
        <w:rFonts w:hint="default"/>
        <w:lang w:val="en-US" w:eastAsia="en-US" w:bidi="ar-SA"/>
      </w:rPr>
    </w:lvl>
    <w:lvl w:ilvl="6" w:tplc="7944BA80">
      <w:numFmt w:val="bullet"/>
      <w:lvlText w:val="•"/>
      <w:lvlJc w:val="left"/>
      <w:pPr>
        <w:ind w:left="1430" w:hanging="75"/>
      </w:pPr>
      <w:rPr>
        <w:rFonts w:hint="default"/>
        <w:lang w:val="en-US" w:eastAsia="en-US" w:bidi="ar-SA"/>
      </w:rPr>
    </w:lvl>
    <w:lvl w:ilvl="7" w:tplc="4F0C1234">
      <w:numFmt w:val="bullet"/>
      <w:lvlText w:val="•"/>
      <w:lvlJc w:val="left"/>
      <w:pPr>
        <w:ind w:left="1665" w:hanging="75"/>
      </w:pPr>
      <w:rPr>
        <w:rFonts w:hint="default"/>
        <w:lang w:val="en-US" w:eastAsia="en-US" w:bidi="ar-SA"/>
      </w:rPr>
    </w:lvl>
    <w:lvl w:ilvl="8" w:tplc="DA46652E">
      <w:numFmt w:val="bullet"/>
      <w:lvlText w:val="•"/>
      <w:lvlJc w:val="left"/>
      <w:pPr>
        <w:ind w:left="1900" w:hanging="75"/>
      </w:pPr>
      <w:rPr>
        <w:rFonts w:hint="default"/>
        <w:lang w:val="en-US" w:eastAsia="en-US" w:bidi="ar-SA"/>
      </w:rPr>
    </w:lvl>
  </w:abstractNum>
  <w:abstractNum w:abstractNumId="265" w15:restartNumberingAfterBreak="0">
    <w:nsid w:val="67FC089E"/>
    <w:multiLevelType w:val="hybridMultilevel"/>
    <w:tmpl w:val="845643AC"/>
    <w:lvl w:ilvl="0" w:tplc="8F1C9ABE">
      <w:numFmt w:val="bullet"/>
      <w:lvlText w:val="•"/>
      <w:lvlJc w:val="left"/>
      <w:pPr>
        <w:ind w:left="26" w:hanging="76"/>
      </w:pPr>
      <w:rPr>
        <w:rFonts w:ascii="Arial" w:eastAsia="Arial" w:hAnsi="Arial" w:cs="Arial" w:hint="default"/>
        <w:color w:val="231F20"/>
        <w:w w:val="80"/>
        <w:sz w:val="15"/>
        <w:szCs w:val="15"/>
        <w:lang w:val="en-US" w:eastAsia="en-US" w:bidi="ar-SA"/>
      </w:rPr>
    </w:lvl>
    <w:lvl w:ilvl="1" w:tplc="F3B88E0C">
      <w:numFmt w:val="bullet"/>
      <w:lvlText w:val="•"/>
      <w:lvlJc w:val="left"/>
      <w:pPr>
        <w:ind w:left="258" w:hanging="76"/>
      </w:pPr>
      <w:rPr>
        <w:rFonts w:hint="default"/>
        <w:lang w:val="en-US" w:eastAsia="en-US" w:bidi="ar-SA"/>
      </w:rPr>
    </w:lvl>
    <w:lvl w:ilvl="2" w:tplc="0FA69DE0">
      <w:numFmt w:val="bullet"/>
      <w:lvlText w:val="•"/>
      <w:lvlJc w:val="left"/>
      <w:pPr>
        <w:ind w:left="497" w:hanging="76"/>
      </w:pPr>
      <w:rPr>
        <w:rFonts w:hint="default"/>
        <w:lang w:val="en-US" w:eastAsia="en-US" w:bidi="ar-SA"/>
      </w:rPr>
    </w:lvl>
    <w:lvl w:ilvl="3" w:tplc="130E4058">
      <w:numFmt w:val="bullet"/>
      <w:lvlText w:val="•"/>
      <w:lvlJc w:val="left"/>
      <w:pPr>
        <w:ind w:left="736" w:hanging="76"/>
      </w:pPr>
      <w:rPr>
        <w:rFonts w:hint="default"/>
        <w:lang w:val="en-US" w:eastAsia="en-US" w:bidi="ar-SA"/>
      </w:rPr>
    </w:lvl>
    <w:lvl w:ilvl="4" w:tplc="DBF02DFE">
      <w:numFmt w:val="bullet"/>
      <w:lvlText w:val="•"/>
      <w:lvlJc w:val="left"/>
      <w:pPr>
        <w:ind w:left="975" w:hanging="76"/>
      </w:pPr>
      <w:rPr>
        <w:rFonts w:hint="default"/>
        <w:lang w:val="en-US" w:eastAsia="en-US" w:bidi="ar-SA"/>
      </w:rPr>
    </w:lvl>
    <w:lvl w:ilvl="5" w:tplc="B7B66E84">
      <w:numFmt w:val="bullet"/>
      <w:lvlText w:val="•"/>
      <w:lvlJc w:val="left"/>
      <w:pPr>
        <w:ind w:left="1214" w:hanging="76"/>
      </w:pPr>
      <w:rPr>
        <w:rFonts w:hint="default"/>
        <w:lang w:val="en-US" w:eastAsia="en-US" w:bidi="ar-SA"/>
      </w:rPr>
    </w:lvl>
    <w:lvl w:ilvl="6" w:tplc="3D381B2A">
      <w:numFmt w:val="bullet"/>
      <w:lvlText w:val="•"/>
      <w:lvlJc w:val="left"/>
      <w:pPr>
        <w:ind w:left="1452" w:hanging="76"/>
      </w:pPr>
      <w:rPr>
        <w:rFonts w:hint="default"/>
        <w:lang w:val="en-US" w:eastAsia="en-US" w:bidi="ar-SA"/>
      </w:rPr>
    </w:lvl>
    <w:lvl w:ilvl="7" w:tplc="98BAB7E0">
      <w:numFmt w:val="bullet"/>
      <w:lvlText w:val="•"/>
      <w:lvlJc w:val="left"/>
      <w:pPr>
        <w:ind w:left="1691" w:hanging="76"/>
      </w:pPr>
      <w:rPr>
        <w:rFonts w:hint="default"/>
        <w:lang w:val="en-US" w:eastAsia="en-US" w:bidi="ar-SA"/>
      </w:rPr>
    </w:lvl>
    <w:lvl w:ilvl="8" w:tplc="A8704162">
      <w:numFmt w:val="bullet"/>
      <w:lvlText w:val="•"/>
      <w:lvlJc w:val="left"/>
      <w:pPr>
        <w:ind w:left="1930" w:hanging="76"/>
      </w:pPr>
      <w:rPr>
        <w:rFonts w:hint="default"/>
        <w:lang w:val="en-US" w:eastAsia="en-US" w:bidi="ar-SA"/>
      </w:rPr>
    </w:lvl>
  </w:abstractNum>
  <w:abstractNum w:abstractNumId="266" w15:restartNumberingAfterBreak="0">
    <w:nsid w:val="6840375C"/>
    <w:multiLevelType w:val="hybridMultilevel"/>
    <w:tmpl w:val="180AB6AC"/>
    <w:lvl w:ilvl="0" w:tplc="784A1D92">
      <w:numFmt w:val="bullet"/>
      <w:lvlText w:val="o"/>
      <w:lvlJc w:val="left"/>
      <w:pPr>
        <w:ind w:left="838" w:hanging="365"/>
      </w:pPr>
      <w:rPr>
        <w:rFonts w:ascii="Courier New" w:eastAsia="Courier New" w:hAnsi="Courier New" w:cs="Courier New" w:hint="default"/>
        <w:color w:val="231F20"/>
        <w:w w:val="140"/>
        <w:sz w:val="13"/>
        <w:szCs w:val="13"/>
        <w:lang w:val="en-US" w:eastAsia="en-US" w:bidi="ar-SA"/>
      </w:rPr>
    </w:lvl>
    <w:lvl w:ilvl="1" w:tplc="ED020548">
      <w:numFmt w:val="bullet"/>
      <w:lvlText w:val="•"/>
      <w:lvlJc w:val="left"/>
      <w:pPr>
        <w:ind w:left="1186" w:hanging="365"/>
      </w:pPr>
      <w:rPr>
        <w:rFonts w:hint="default"/>
        <w:lang w:val="en-US" w:eastAsia="en-US" w:bidi="ar-SA"/>
      </w:rPr>
    </w:lvl>
    <w:lvl w:ilvl="2" w:tplc="DE807A46">
      <w:numFmt w:val="bullet"/>
      <w:lvlText w:val="•"/>
      <w:lvlJc w:val="left"/>
      <w:pPr>
        <w:ind w:left="1533" w:hanging="365"/>
      </w:pPr>
      <w:rPr>
        <w:rFonts w:hint="default"/>
        <w:lang w:val="en-US" w:eastAsia="en-US" w:bidi="ar-SA"/>
      </w:rPr>
    </w:lvl>
    <w:lvl w:ilvl="3" w:tplc="5536613C">
      <w:numFmt w:val="bullet"/>
      <w:lvlText w:val="•"/>
      <w:lvlJc w:val="left"/>
      <w:pPr>
        <w:ind w:left="1880" w:hanging="365"/>
      </w:pPr>
      <w:rPr>
        <w:rFonts w:hint="default"/>
        <w:lang w:val="en-US" w:eastAsia="en-US" w:bidi="ar-SA"/>
      </w:rPr>
    </w:lvl>
    <w:lvl w:ilvl="4" w:tplc="AE489B9E">
      <w:numFmt w:val="bullet"/>
      <w:lvlText w:val="•"/>
      <w:lvlJc w:val="left"/>
      <w:pPr>
        <w:ind w:left="2226" w:hanging="365"/>
      </w:pPr>
      <w:rPr>
        <w:rFonts w:hint="default"/>
        <w:lang w:val="en-US" w:eastAsia="en-US" w:bidi="ar-SA"/>
      </w:rPr>
    </w:lvl>
    <w:lvl w:ilvl="5" w:tplc="673E1112">
      <w:numFmt w:val="bullet"/>
      <w:lvlText w:val="•"/>
      <w:lvlJc w:val="left"/>
      <w:pPr>
        <w:ind w:left="2573" w:hanging="365"/>
      </w:pPr>
      <w:rPr>
        <w:rFonts w:hint="default"/>
        <w:lang w:val="en-US" w:eastAsia="en-US" w:bidi="ar-SA"/>
      </w:rPr>
    </w:lvl>
    <w:lvl w:ilvl="6" w:tplc="5504CCAC">
      <w:numFmt w:val="bullet"/>
      <w:lvlText w:val="•"/>
      <w:lvlJc w:val="left"/>
      <w:pPr>
        <w:ind w:left="2920" w:hanging="365"/>
      </w:pPr>
      <w:rPr>
        <w:rFonts w:hint="default"/>
        <w:lang w:val="en-US" w:eastAsia="en-US" w:bidi="ar-SA"/>
      </w:rPr>
    </w:lvl>
    <w:lvl w:ilvl="7" w:tplc="9B7A3B9A">
      <w:numFmt w:val="bullet"/>
      <w:lvlText w:val="•"/>
      <w:lvlJc w:val="left"/>
      <w:pPr>
        <w:ind w:left="3266" w:hanging="365"/>
      </w:pPr>
      <w:rPr>
        <w:rFonts w:hint="default"/>
        <w:lang w:val="en-US" w:eastAsia="en-US" w:bidi="ar-SA"/>
      </w:rPr>
    </w:lvl>
    <w:lvl w:ilvl="8" w:tplc="E3E8D602">
      <w:numFmt w:val="bullet"/>
      <w:lvlText w:val="•"/>
      <w:lvlJc w:val="left"/>
      <w:pPr>
        <w:ind w:left="3613" w:hanging="365"/>
      </w:pPr>
      <w:rPr>
        <w:rFonts w:hint="default"/>
        <w:lang w:val="en-US" w:eastAsia="en-US" w:bidi="ar-SA"/>
      </w:rPr>
    </w:lvl>
  </w:abstractNum>
  <w:abstractNum w:abstractNumId="267" w15:restartNumberingAfterBreak="0">
    <w:nsid w:val="68B1244E"/>
    <w:multiLevelType w:val="hybridMultilevel"/>
    <w:tmpl w:val="FA80C086"/>
    <w:lvl w:ilvl="0" w:tplc="631471D4">
      <w:numFmt w:val="bullet"/>
      <w:lvlText w:val="•"/>
      <w:lvlJc w:val="left"/>
      <w:pPr>
        <w:ind w:left="28" w:hanging="72"/>
      </w:pPr>
      <w:rPr>
        <w:rFonts w:ascii="Arial" w:eastAsia="Arial" w:hAnsi="Arial" w:cs="Arial" w:hint="default"/>
        <w:color w:val="231F20"/>
        <w:w w:val="83"/>
        <w:sz w:val="15"/>
        <w:szCs w:val="15"/>
        <w:lang w:val="en-US" w:eastAsia="en-US" w:bidi="ar-SA"/>
      </w:rPr>
    </w:lvl>
    <w:lvl w:ilvl="1" w:tplc="6FC661A6">
      <w:numFmt w:val="bullet"/>
      <w:lvlText w:val="•"/>
      <w:lvlJc w:val="left"/>
      <w:pPr>
        <w:ind w:left="267" w:hanging="72"/>
      </w:pPr>
      <w:rPr>
        <w:rFonts w:hint="default"/>
        <w:lang w:val="en-US" w:eastAsia="en-US" w:bidi="ar-SA"/>
      </w:rPr>
    </w:lvl>
    <w:lvl w:ilvl="2" w:tplc="BB38D5A4">
      <w:numFmt w:val="bullet"/>
      <w:lvlText w:val="•"/>
      <w:lvlJc w:val="left"/>
      <w:pPr>
        <w:ind w:left="515" w:hanging="72"/>
      </w:pPr>
      <w:rPr>
        <w:rFonts w:hint="default"/>
        <w:lang w:val="en-US" w:eastAsia="en-US" w:bidi="ar-SA"/>
      </w:rPr>
    </w:lvl>
    <w:lvl w:ilvl="3" w:tplc="6DA603B8">
      <w:numFmt w:val="bullet"/>
      <w:lvlText w:val="•"/>
      <w:lvlJc w:val="left"/>
      <w:pPr>
        <w:ind w:left="763" w:hanging="72"/>
      </w:pPr>
      <w:rPr>
        <w:rFonts w:hint="default"/>
        <w:lang w:val="en-US" w:eastAsia="en-US" w:bidi="ar-SA"/>
      </w:rPr>
    </w:lvl>
    <w:lvl w:ilvl="4" w:tplc="F1F02EA2">
      <w:numFmt w:val="bullet"/>
      <w:lvlText w:val="•"/>
      <w:lvlJc w:val="left"/>
      <w:pPr>
        <w:ind w:left="1010" w:hanging="72"/>
      </w:pPr>
      <w:rPr>
        <w:rFonts w:hint="default"/>
        <w:lang w:val="en-US" w:eastAsia="en-US" w:bidi="ar-SA"/>
      </w:rPr>
    </w:lvl>
    <w:lvl w:ilvl="5" w:tplc="7842E1BE">
      <w:numFmt w:val="bullet"/>
      <w:lvlText w:val="•"/>
      <w:lvlJc w:val="left"/>
      <w:pPr>
        <w:ind w:left="1258" w:hanging="72"/>
      </w:pPr>
      <w:rPr>
        <w:rFonts w:hint="default"/>
        <w:lang w:val="en-US" w:eastAsia="en-US" w:bidi="ar-SA"/>
      </w:rPr>
    </w:lvl>
    <w:lvl w:ilvl="6" w:tplc="DE202474">
      <w:numFmt w:val="bullet"/>
      <w:lvlText w:val="•"/>
      <w:lvlJc w:val="left"/>
      <w:pPr>
        <w:ind w:left="1506" w:hanging="72"/>
      </w:pPr>
      <w:rPr>
        <w:rFonts w:hint="default"/>
        <w:lang w:val="en-US" w:eastAsia="en-US" w:bidi="ar-SA"/>
      </w:rPr>
    </w:lvl>
    <w:lvl w:ilvl="7" w:tplc="FF5E73CE">
      <w:numFmt w:val="bullet"/>
      <w:lvlText w:val="•"/>
      <w:lvlJc w:val="left"/>
      <w:pPr>
        <w:ind w:left="1753" w:hanging="72"/>
      </w:pPr>
      <w:rPr>
        <w:rFonts w:hint="default"/>
        <w:lang w:val="en-US" w:eastAsia="en-US" w:bidi="ar-SA"/>
      </w:rPr>
    </w:lvl>
    <w:lvl w:ilvl="8" w:tplc="2BC8F28E">
      <w:numFmt w:val="bullet"/>
      <w:lvlText w:val="•"/>
      <w:lvlJc w:val="left"/>
      <w:pPr>
        <w:ind w:left="2001" w:hanging="72"/>
      </w:pPr>
      <w:rPr>
        <w:rFonts w:hint="default"/>
        <w:lang w:val="en-US" w:eastAsia="en-US" w:bidi="ar-SA"/>
      </w:rPr>
    </w:lvl>
  </w:abstractNum>
  <w:abstractNum w:abstractNumId="268" w15:restartNumberingAfterBreak="0">
    <w:nsid w:val="68E741D1"/>
    <w:multiLevelType w:val="hybridMultilevel"/>
    <w:tmpl w:val="55BA5754"/>
    <w:lvl w:ilvl="0" w:tplc="A3C09C06">
      <w:numFmt w:val="bullet"/>
      <w:lvlText w:val="•"/>
      <w:lvlJc w:val="left"/>
      <w:pPr>
        <w:ind w:left="18" w:hanging="74"/>
      </w:pPr>
      <w:rPr>
        <w:rFonts w:ascii="Arial" w:eastAsia="Arial" w:hAnsi="Arial" w:cs="Arial" w:hint="default"/>
        <w:color w:val="231F20"/>
        <w:w w:val="106"/>
        <w:sz w:val="11"/>
        <w:szCs w:val="11"/>
        <w:lang w:val="en-US" w:eastAsia="en-US" w:bidi="ar-SA"/>
      </w:rPr>
    </w:lvl>
    <w:lvl w:ilvl="1" w:tplc="3C32A906">
      <w:numFmt w:val="bullet"/>
      <w:lvlText w:val="•"/>
      <w:lvlJc w:val="left"/>
      <w:pPr>
        <w:ind w:left="252" w:hanging="74"/>
      </w:pPr>
      <w:rPr>
        <w:rFonts w:hint="default"/>
        <w:lang w:val="en-US" w:eastAsia="en-US" w:bidi="ar-SA"/>
      </w:rPr>
    </w:lvl>
    <w:lvl w:ilvl="2" w:tplc="D5EC802A">
      <w:numFmt w:val="bullet"/>
      <w:lvlText w:val="•"/>
      <w:lvlJc w:val="left"/>
      <w:pPr>
        <w:ind w:left="485" w:hanging="74"/>
      </w:pPr>
      <w:rPr>
        <w:rFonts w:hint="default"/>
        <w:lang w:val="en-US" w:eastAsia="en-US" w:bidi="ar-SA"/>
      </w:rPr>
    </w:lvl>
    <w:lvl w:ilvl="3" w:tplc="3E5E2F74">
      <w:numFmt w:val="bullet"/>
      <w:lvlText w:val="•"/>
      <w:lvlJc w:val="left"/>
      <w:pPr>
        <w:ind w:left="718" w:hanging="74"/>
      </w:pPr>
      <w:rPr>
        <w:rFonts w:hint="default"/>
        <w:lang w:val="en-US" w:eastAsia="en-US" w:bidi="ar-SA"/>
      </w:rPr>
    </w:lvl>
    <w:lvl w:ilvl="4" w:tplc="E2601C58">
      <w:numFmt w:val="bullet"/>
      <w:lvlText w:val="•"/>
      <w:lvlJc w:val="left"/>
      <w:pPr>
        <w:ind w:left="951" w:hanging="74"/>
      </w:pPr>
      <w:rPr>
        <w:rFonts w:hint="default"/>
        <w:lang w:val="en-US" w:eastAsia="en-US" w:bidi="ar-SA"/>
      </w:rPr>
    </w:lvl>
    <w:lvl w:ilvl="5" w:tplc="9D16C3F2">
      <w:numFmt w:val="bullet"/>
      <w:lvlText w:val="•"/>
      <w:lvlJc w:val="left"/>
      <w:pPr>
        <w:ind w:left="1184" w:hanging="74"/>
      </w:pPr>
      <w:rPr>
        <w:rFonts w:hint="default"/>
        <w:lang w:val="en-US" w:eastAsia="en-US" w:bidi="ar-SA"/>
      </w:rPr>
    </w:lvl>
    <w:lvl w:ilvl="6" w:tplc="D1EE2EFC">
      <w:numFmt w:val="bullet"/>
      <w:lvlText w:val="•"/>
      <w:lvlJc w:val="left"/>
      <w:pPr>
        <w:ind w:left="1416" w:hanging="74"/>
      </w:pPr>
      <w:rPr>
        <w:rFonts w:hint="default"/>
        <w:lang w:val="en-US" w:eastAsia="en-US" w:bidi="ar-SA"/>
      </w:rPr>
    </w:lvl>
    <w:lvl w:ilvl="7" w:tplc="D7BCC450">
      <w:numFmt w:val="bullet"/>
      <w:lvlText w:val="•"/>
      <w:lvlJc w:val="left"/>
      <w:pPr>
        <w:ind w:left="1649" w:hanging="74"/>
      </w:pPr>
      <w:rPr>
        <w:rFonts w:hint="default"/>
        <w:lang w:val="en-US" w:eastAsia="en-US" w:bidi="ar-SA"/>
      </w:rPr>
    </w:lvl>
    <w:lvl w:ilvl="8" w:tplc="D54A1982">
      <w:numFmt w:val="bullet"/>
      <w:lvlText w:val="•"/>
      <w:lvlJc w:val="left"/>
      <w:pPr>
        <w:ind w:left="1882" w:hanging="74"/>
      </w:pPr>
      <w:rPr>
        <w:rFonts w:hint="default"/>
        <w:lang w:val="en-US" w:eastAsia="en-US" w:bidi="ar-SA"/>
      </w:rPr>
    </w:lvl>
  </w:abstractNum>
  <w:abstractNum w:abstractNumId="269" w15:restartNumberingAfterBreak="0">
    <w:nsid w:val="693B5161"/>
    <w:multiLevelType w:val="hybridMultilevel"/>
    <w:tmpl w:val="83909776"/>
    <w:lvl w:ilvl="0" w:tplc="FABCC2B8">
      <w:numFmt w:val="bullet"/>
      <w:lvlText w:val="•"/>
      <w:lvlJc w:val="left"/>
      <w:pPr>
        <w:ind w:left="22" w:hanging="75"/>
      </w:pPr>
      <w:rPr>
        <w:rFonts w:ascii="Arial" w:eastAsia="Arial" w:hAnsi="Arial" w:cs="Arial" w:hint="default"/>
        <w:color w:val="231F20"/>
        <w:w w:val="74"/>
        <w:sz w:val="16"/>
        <w:szCs w:val="16"/>
        <w:lang w:val="en-US" w:eastAsia="en-US" w:bidi="ar-SA"/>
      </w:rPr>
    </w:lvl>
    <w:lvl w:ilvl="1" w:tplc="974A7564">
      <w:numFmt w:val="bullet"/>
      <w:lvlText w:val="•"/>
      <w:lvlJc w:val="left"/>
      <w:pPr>
        <w:ind w:left="254" w:hanging="75"/>
      </w:pPr>
      <w:rPr>
        <w:rFonts w:hint="default"/>
        <w:lang w:val="en-US" w:eastAsia="en-US" w:bidi="ar-SA"/>
      </w:rPr>
    </w:lvl>
    <w:lvl w:ilvl="2" w:tplc="15547720">
      <w:numFmt w:val="bullet"/>
      <w:lvlText w:val="•"/>
      <w:lvlJc w:val="left"/>
      <w:pPr>
        <w:ind w:left="488" w:hanging="75"/>
      </w:pPr>
      <w:rPr>
        <w:rFonts w:hint="default"/>
        <w:lang w:val="en-US" w:eastAsia="en-US" w:bidi="ar-SA"/>
      </w:rPr>
    </w:lvl>
    <w:lvl w:ilvl="3" w:tplc="85BAB7F0">
      <w:numFmt w:val="bullet"/>
      <w:lvlText w:val="•"/>
      <w:lvlJc w:val="left"/>
      <w:pPr>
        <w:ind w:left="723" w:hanging="75"/>
      </w:pPr>
      <w:rPr>
        <w:rFonts w:hint="default"/>
        <w:lang w:val="en-US" w:eastAsia="en-US" w:bidi="ar-SA"/>
      </w:rPr>
    </w:lvl>
    <w:lvl w:ilvl="4" w:tplc="E84C678C">
      <w:numFmt w:val="bullet"/>
      <w:lvlText w:val="•"/>
      <w:lvlJc w:val="left"/>
      <w:pPr>
        <w:ind w:left="957" w:hanging="75"/>
      </w:pPr>
      <w:rPr>
        <w:rFonts w:hint="default"/>
        <w:lang w:val="en-US" w:eastAsia="en-US" w:bidi="ar-SA"/>
      </w:rPr>
    </w:lvl>
    <w:lvl w:ilvl="5" w:tplc="EA66C9E4">
      <w:numFmt w:val="bullet"/>
      <w:lvlText w:val="•"/>
      <w:lvlJc w:val="left"/>
      <w:pPr>
        <w:ind w:left="1192" w:hanging="75"/>
      </w:pPr>
      <w:rPr>
        <w:rFonts w:hint="default"/>
        <w:lang w:val="en-US" w:eastAsia="en-US" w:bidi="ar-SA"/>
      </w:rPr>
    </w:lvl>
    <w:lvl w:ilvl="6" w:tplc="B162A7AA">
      <w:numFmt w:val="bullet"/>
      <w:lvlText w:val="•"/>
      <w:lvlJc w:val="left"/>
      <w:pPr>
        <w:ind w:left="1426" w:hanging="75"/>
      </w:pPr>
      <w:rPr>
        <w:rFonts w:hint="default"/>
        <w:lang w:val="en-US" w:eastAsia="en-US" w:bidi="ar-SA"/>
      </w:rPr>
    </w:lvl>
    <w:lvl w:ilvl="7" w:tplc="99AE4D74">
      <w:numFmt w:val="bullet"/>
      <w:lvlText w:val="•"/>
      <w:lvlJc w:val="left"/>
      <w:pPr>
        <w:ind w:left="1660" w:hanging="75"/>
      </w:pPr>
      <w:rPr>
        <w:rFonts w:hint="default"/>
        <w:lang w:val="en-US" w:eastAsia="en-US" w:bidi="ar-SA"/>
      </w:rPr>
    </w:lvl>
    <w:lvl w:ilvl="8" w:tplc="C1E634D2">
      <w:numFmt w:val="bullet"/>
      <w:lvlText w:val="•"/>
      <w:lvlJc w:val="left"/>
      <w:pPr>
        <w:ind w:left="1895" w:hanging="75"/>
      </w:pPr>
      <w:rPr>
        <w:rFonts w:hint="default"/>
        <w:lang w:val="en-US" w:eastAsia="en-US" w:bidi="ar-SA"/>
      </w:rPr>
    </w:lvl>
  </w:abstractNum>
  <w:abstractNum w:abstractNumId="270" w15:restartNumberingAfterBreak="0">
    <w:nsid w:val="69552058"/>
    <w:multiLevelType w:val="hybridMultilevel"/>
    <w:tmpl w:val="0CA0BD0A"/>
    <w:lvl w:ilvl="0" w:tplc="BD82C0E6">
      <w:numFmt w:val="bullet"/>
      <w:lvlText w:val="•"/>
      <w:lvlJc w:val="left"/>
      <w:pPr>
        <w:ind w:left="27" w:hanging="79"/>
      </w:pPr>
      <w:rPr>
        <w:rFonts w:ascii="Arial" w:eastAsia="Arial" w:hAnsi="Arial" w:cs="Arial" w:hint="default"/>
        <w:color w:val="231F20"/>
        <w:w w:val="83"/>
        <w:sz w:val="15"/>
        <w:szCs w:val="15"/>
        <w:lang w:val="en-US" w:eastAsia="en-US" w:bidi="ar-SA"/>
      </w:rPr>
    </w:lvl>
    <w:lvl w:ilvl="1" w:tplc="CE0663A0">
      <w:numFmt w:val="bullet"/>
      <w:lvlText w:val="•"/>
      <w:lvlJc w:val="left"/>
      <w:pPr>
        <w:ind w:left="268" w:hanging="79"/>
      </w:pPr>
      <w:rPr>
        <w:rFonts w:hint="default"/>
        <w:lang w:val="en-US" w:eastAsia="en-US" w:bidi="ar-SA"/>
      </w:rPr>
    </w:lvl>
    <w:lvl w:ilvl="2" w:tplc="59EC3DC8">
      <w:numFmt w:val="bullet"/>
      <w:lvlText w:val="•"/>
      <w:lvlJc w:val="left"/>
      <w:pPr>
        <w:ind w:left="517" w:hanging="79"/>
      </w:pPr>
      <w:rPr>
        <w:rFonts w:hint="default"/>
        <w:lang w:val="en-US" w:eastAsia="en-US" w:bidi="ar-SA"/>
      </w:rPr>
    </w:lvl>
    <w:lvl w:ilvl="3" w:tplc="B5389F96">
      <w:numFmt w:val="bullet"/>
      <w:lvlText w:val="•"/>
      <w:lvlJc w:val="left"/>
      <w:pPr>
        <w:ind w:left="766" w:hanging="79"/>
      </w:pPr>
      <w:rPr>
        <w:rFonts w:hint="default"/>
        <w:lang w:val="en-US" w:eastAsia="en-US" w:bidi="ar-SA"/>
      </w:rPr>
    </w:lvl>
    <w:lvl w:ilvl="4" w:tplc="D354CFE8">
      <w:numFmt w:val="bullet"/>
      <w:lvlText w:val="•"/>
      <w:lvlJc w:val="left"/>
      <w:pPr>
        <w:ind w:left="1015" w:hanging="79"/>
      </w:pPr>
      <w:rPr>
        <w:rFonts w:hint="default"/>
        <w:lang w:val="en-US" w:eastAsia="en-US" w:bidi="ar-SA"/>
      </w:rPr>
    </w:lvl>
    <w:lvl w:ilvl="5" w:tplc="88AEFE20">
      <w:numFmt w:val="bullet"/>
      <w:lvlText w:val="•"/>
      <w:lvlJc w:val="left"/>
      <w:pPr>
        <w:ind w:left="1264" w:hanging="79"/>
      </w:pPr>
      <w:rPr>
        <w:rFonts w:hint="default"/>
        <w:lang w:val="en-US" w:eastAsia="en-US" w:bidi="ar-SA"/>
      </w:rPr>
    </w:lvl>
    <w:lvl w:ilvl="6" w:tplc="C694A9F4">
      <w:numFmt w:val="bullet"/>
      <w:lvlText w:val="•"/>
      <w:lvlJc w:val="left"/>
      <w:pPr>
        <w:ind w:left="1513" w:hanging="79"/>
      </w:pPr>
      <w:rPr>
        <w:rFonts w:hint="default"/>
        <w:lang w:val="en-US" w:eastAsia="en-US" w:bidi="ar-SA"/>
      </w:rPr>
    </w:lvl>
    <w:lvl w:ilvl="7" w:tplc="83A016E8">
      <w:numFmt w:val="bullet"/>
      <w:lvlText w:val="•"/>
      <w:lvlJc w:val="left"/>
      <w:pPr>
        <w:ind w:left="1762" w:hanging="79"/>
      </w:pPr>
      <w:rPr>
        <w:rFonts w:hint="default"/>
        <w:lang w:val="en-US" w:eastAsia="en-US" w:bidi="ar-SA"/>
      </w:rPr>
    </w:lvl>
    <w:lvl w:ilvl="8" w:tplc="2FEE2844">
      <w:numFmt w:val="bullet"/>
      <w:lvlText w:val="•"/>
      <w:lvlJc w:val="left"/>
      <w:pPr>
        <w:ind w:left="2011" w:hanging="79"/>
      </w:pPr>
      <w:rPr>
        <w:rFonts w:hint="default"/>
        <w:lang w:val="en-US" w:eastAsia="en-US" w:bidi="ar-SA"/>
      </w:rPr>
    </w:lvl>
  </w:abstractNum>
  <w:abstractNum w:abstractNumId="271" w15:restartNumberingAfterBreak="0">
    <w:nsid w:val="69B64995"/>
    <w:multiLevelType w:val="hybridMultilevel"/>
    <w:tmpl w:val="4A9479BC"/>
    <w:lvl w:ilvl="0" w:tplc="BF90AAF8">
      <w:numFmt w:val="bullet"/>
      <w:lvlText w:val="•"/>
      <w:lvlJc w:val="left"/>
      <w:pPr>
        <w:ind w:left="25" w:hanging="109"/>
      </w:pPr>
      <w:rPr>
        <w:rFonts w:ascii="Arial" w:eastAsia="Arial" w:hAnsi="Arial" w:cs="Arial" w:hint="default"/>
        <w:color w:val="231F20"/>
        <w:w w:val="91"/>
        <w:sz w:val="13"/>
        <w:szCs w:val="13"/>
        <w:lang w:val="en-US" w:eastAsia="en-US" w:bidi="ar-SA"/>
      </w:rPr>
    </w:lvl>
    <w:lvl w:ilvl="1" w:tplc="6C72ABB4">
      <w:numFmt w:val="bullet"/>
      <w:lvlText w:val="•"/>
      <w:lvlJc w:val="left"/>
      <w:pPr>
        <w:ind w:left="256" w:hanging="109"/>
      </w:pPr>
      <w:rPr>
        <w:rFonts w:hint="default"/>
        <w:lang w:val="en-US" w:eastAsia="en-US" w:bidi="ar-SA"/>
      </w:rPr>
    </w:lvl>
    <w:lvl w:ilvl="2" w:tplc="C67E4750">
      <w:numFmt w:val="bullet"/>
      <w:lvlText w:val="•"/>
      <w:lvlJc w:val="left"/>
      <w:pPr>
        <w:ind w:left="493" w:hanging="109"/>
      </w:pPr>
      <w:rPr>
        <w:rFonts w:hint="default"/>
        <w:lang w:val="en-US" w:eastAsia="en-US" w:bidi="ar-SA"/>
      </w:rPr>
    </w:lvl>
    <w:lvl w:ilvl="3" w:tplc="5C582330">
      <w:numFmt w:val="bullet"/>
      <w:lvlText w:val="•"/>
      <w:lvlJc w:val="left"/>
      <w:pPr>
        <w:ind w:left="729" w:hanging="109"/>
      </w:pPr>
      <w:rPr>
        <w:rFonts w:hint="default"/>
        <w:lang w:val="en-US" w:eastAsia="en-US" w:bidi="ar-SA"/>
      </w:rPr>
    </w:lvl>
    <w:lvl w:ilvl="4" w:tplc="6E48478C">
      <w:numFmt w:val="bullet"/>
      <w:lvlText w:val="•"/>
      <w:lvlJc w:val="left"/>
      <w:pPr>
        <w:ind w:left="966" w:hanging="109"/>
      </w:pPr>
      <w:rPr>
        <w:rFonts w:hint="default"/>
        <w:lang w:val="en-US" w:eastAsia="en-US" w:bidi="ar-SA"/>
      </w:rPr>
    </w:lvl>
    <w:lvl w:ilvl="5" w:tplc="1C903B50">
      <w:numFmt w:val="bullet"/>
      <w:lvlText w:val="•"/>
      <w:lvlJc w:val="left"/>
      <w:pPr>
        <w:ind w:left="1203" w:hanging="109"/>
      </w:pPr>
      <w:rPr>
        <w:rFonts w:hint="default"/>
        <w:lang w:val="en-US" w:eastAsia="en-US" w:bidi="ar-SA"/>
      </w:rPr>
    </w:lvl>
    <w:lvl w:ilvl="6" w:tplc="F744B33A">
      <w:numFmt w:val="bullet"/>
      <w:lvlText w:val="•"/>
      <w:lvlJc w:val="left"/>
      <w:pPr>
        <w:ind w:left="1439" w:hanging="109"/>
      </w:pPr>
      <w:rPr>
        <w:rFonts w:hint="default"/>
        <w:lang w:val="en-US" w:eastAsia="en-US" w:bidi="ar-SA"/>
      </w:rPr>
    </w:lvl>
    <w:lvl w:ilvl="7" w:tplc="5D5E5CF8">
      <w:numFmt w:val="bullet"/>
      <w:lvlText w:val="•"/>
      <w:lvlJc w:val="left"/>
      <w:pPr>
        <w:ind w:left="1676" w:hanging="109"/>
      </w:pPr>
      <w:rPr>
        <w:rFonts w:hint="default"/>
        <w:lang w:val="en-US" w:eastAsia="en-US" w:bidi="ar-SA"/>
      </w:rPr>
    </w:lvl>
    <w:lvl w:ilvl="8" w:tplc="11DCAA52">
      <w:numFmt w:val="bullet"/>
      <w:lvlText w:val="•"/>
      <w:lvlJc w:val="left"/>
      <w:pPr>
        <w:ind w:left="1912" w:hanging="109"/>
      </w:pPr>
      <w:rPr>
        <w:rFonts w:hint="default"/>
        <w:lang w:val="en-US" w:eastAsia="en-US" w:bidi="ar-SA"/>
      </w:rPr>
    </w:lvl>
  </w:abstractNum>
  <w:abstractNum w:abstractNumId="272" w15:restartNumberingAfterBreak="0">
    <w:nsid w:val="69ED7562"/>
    <w:multiLevelType w:val="hybridMultilevel"/>
    <w:tmpl w:val="F58A78C0"/>
    <w:lvl w:ilvl="0" w:tplc="FA94AD70">
      <w:numFmt w:val="bullet"/>
      <w:lvlText w:val="•"/>
      <w:lvlJc w:val="left"/>
      <w:pPr>
        <w:ind w:left="23" w:hanging="69"/>
      </w:pPr>
      <w:rPr>
        <w:rFonts w:ascii="Arial" w:eastAsia="Arial" w:hAnsi="Arial" w:cs="Arial" w:hint="default"/>
        <w:color w:val="231F20"/>
        <w:w w:val="100"/>
        <w:sz w:val="12"/>
        <w:szCs w:val="12"/>
        <w:lang w:val="en-US" w:eastAsia="en-US" w:bidi="ar-SA"/>
      </w:rPr>
    </w:lvl>
    <w:lvl w:ilvl="1" w:tplc="15FA72D4">
      <w:numFmt w:val="bullet"/>
      <w:lvlText w:val="•"/>
      <w:lvlJc w:val="left"/>
      <w:pPr>
        <w:ind w:left="257" w:hanging="69"/>
      </w:pPr>
      <w:rPr>
        <w:rFonts w:hint="default"/>
        <w:lang w:val="en-US" w:eastAsia="en-US" w:bidi="ar-SA"/>
      </w:rPr>
    </w:lvl>
    <w:lvl w:ilvl="2" w:tplc="CD6EB454">
      <w:numFmt w:val="bullet"/>
      <w:lvlText w:val="•"/>
      <w:lvlJc w:val="left"/>
      <w:pPr>
        <w:ind w:left="495" w:hanging="69"/>
      </w:pPr>
      <w:rPr>
        <w:rFonts w:hint="default"/>
        <w:lang w:val="en-US" w:eastAsia="en-US" w:bidi="ar-SA"/>
      </w:rPr>
    </w:lvl>
    <w:lvl w:ilvl="3" w:tplc="933AC3AE">
      <w:numFmt w:val="bullet"/>
      <w:lvlText w:val="•"/>
      <w:lvlJc w:val="left"/>
      <w:pPr>
        <w:ind w:left="733" w:hanging="69"/>
      </w:pPr>
      <w:rPr>
        <w:rFonts w:hint="default"/>
        <w:lang w:val="en-US" w:eastAsia="en-US" w:bidi="ar-SA"/>
      </w:rPr>
    </w:lvl>
    <w:lvl w:ilvl="4" w:tplc="900CA160">
      <w:numFmt w:val="bullet"/>
      <w:lvlText w:val="•"/>
      <w:lvlJc w:val="left"/>
      <w:pPr>
        <w:ind w:left="971" w:hanging="69"/>
      </w:pPr>
      <w:rPr>
        <w:rFonts w:hint="default"/>
        <w:lang w:val="en-US" w:eastAsia="en-US" w:bidi="ar-SA"/>
      </w:rPr>
    </w:lvl>
    <w:lvl w:ilvl="5" w:tplc="81925702">
      <w:numFmt w:val="bullet"/>
      <w:lvlText w:val="•"/>
      <w:lvlJc w:val="left"/>
      <w:pPr>
        <w:ind w:left="1209" w:hanging="69"/>
      </w:pPr>
      <w:rPr>
        <w:rFonts w:hint="default"/>
        <w:lang w:val="en-US" w:eastAsia="en-US" w:bidi="ar-SA"/>
      </w:rPr>
    </w:lvl>
    <w:lvl w:ilvl="6" w:tplc="42C01756">
      <w:numFmt w:val="bullet"/>
      <w:lvlText w:val="•"/>
      <w:lvlJc w:val="left"/>
      <w:pPr>
        <w:ind w:left="1446" w:hanging="69"/>
      </w:pPr>
      <w:rPr>
        <w:rFonts w:hint="default"/>
        <w:lang w:val="en-US" w:eastAsia="en-US" w:bidi="ar-SA"/>
      </w:rPr>
    </w:lvl>
    <w:lvl w:ilvl="7" w:tplc="C554AE2C">
      <w:numFmt w:val="bullet"/>
      <w:lvlText w:val="•"/>
      <w:lvlJc w:val="left"/>
      <w:pPr>
        <w:ind w:left="1684" w:hanging="69"/>
      </w:pPr>
      <w:rPr>
        <w:rFonts w:hint="default"/>
        <w:lang w:val="en-US" w:eastAsia="en-US" w:bidi="ar-SA"/>
      </w:rPr>
    </w:lvl>
    <w:lvl w:ilvl="8" w:tplc="5B06550C">
      <w:numFmt w:val="bullet"/>
      <w:lvlText w:val="•"/>
      <w:lvlJc w:val="left"/>
      <w:pPr>
        <w:ind w:left="1922" w:hanging="69"/>
      </w:pPr>
      <w:rPr>
        <w:rFonts w:hint="default"/>
        <w:lang w:val="en-US" w:eastAsia="en-US" w:bidi="ar-SA"/>
      </w:rPr>
    </w:lvl>
  </w:abstractNum>
  <w:abstractNum w:abstractNumId="273" w15:restartNumberingAfterBreak="0">
    <w:nsid w:val="6A46503A"/>
    <w:multiLevelType w:val="hybridMultilevel"/>
    <w:tmpl w:val="EE803490"/>
    <w:lvl w:ilvl="0" w:tplc="F57E999C">
      <w:numFmt w:val="bullet"/>
      <w:lvlText w:val="•"/>
      <w:lvlJc w:val="left"/>
      <w:pPr>
        <w:ind w:left="27" w:hanging="79"/>
      </w:pPr>
      <w:rPr>
        <w:rFonts w:ascii="Arial" w:eastAsia="Arial" w:hAnsi="Arial" w:cs="Arial" w:hint="default"/>
        <w:color w:val="231F20"/>
        <w:w w:val="96"/>
        <w:sz w:val="13"/>
        <w:szCs w:val="13"/>
        <w:lang w:val="en-US" w:eastAsia="en-US" w:bidi="ar-SA"/>
      </w:rPr>
    </w:lvl>
    <w:lvl w:ilvl="1" w:tplc="5AAE59DA">
      <w:numFmt w:val="bullet"/>
      <w:lvlText w:val="•"/>
      <w:lvlJc w:val="left"/>
      <w:pPr>
        <w:ind w:left="268" w:hanging="79"/>
      </w:pPr>
      <w:rPr>
        <w:rFonts w:hint="default"/>
        <w:lang w:val="en-US" w:eastAsia="en-US" w:bidi="ar-SA"/>
      </w:rPr>
    </w:lvl>
    <w:lvl w:ilvl="2" w:tplc="8B78DB14">
      <w:numFmt w:val="bullet"/>
      <w:lvlText w:val="•"/>
      <w:lvlJc w:val="left"/>
      <w:pPr>
        <w:ind w:left="517" w:hanging="79"/>
      </w:pPr>
      <w:rPr>
        <w:rFonts w:hint="default"/>
        <w:lang w:val="en-US" w:eastAsia="en-US" w:bidi="ar-SA"/>
      </w:rPr>
    </w:lvl>
    <w:lvl w:ilvl="3" w:tplc="1966E4BC">
      <w:numFmt w:val="bullet"/>
      <w:lvlText w:val="•"/>
      <w:lvlJc w:val="left"/>
      <w:pPr>
        <w:ind w:left="766" w:hanging="79"/>
      </w:pPr>
      <w:rPr>
        <w:rFonts w:hint="default"/>
        <w:lang w:val="en-US" w:eastAsia="en-US" w:bidi="ar-SA"/>
      </w:rPr>
    </w:lvl>
    <w:lvl w:ilvl="4" w:tplc="8848D036">
      <w:numFmt w:val="bullet"/>
      <w:lvlText w:val="•"/>
      <w:lvlJc w:val="left"/>
      <w:pPr>
        <w:ind w:left="1015" w:hanging="79"/>
      </w:pPr>
      <w:rPr>
        <w:rFonts w:hint="default"/>
        <w:lang w:val="en-US" w:eastAsia="en-US" w:bidi="ar-SA"/>
      </w:rPr>
    </w:lvl>
    <w:lvl w:ilvl="5" w:tplc="3D147B0E">
      <w:numFmt w:val="bullet"/>
      <w:lvlText w:val="•"/>
      <w:lvlJc w:val="left"/>
      <w:pPr>
        <w:ind w:left="1264" w:hanging="79"/>
      </w:pPr>
      <w:rPr>
        <w:rFonts w:hint="default"/>
        <w:lang w:val="en-US" w:eastAsia="en-US" w:bidi="ar-SA"/>
      </w:rPr>
    </w:lvl>
    <w:lvl w:ilvl="6" w:tplc="52167BB4">
      <w:numFmt w:val="bullet"/>
      <w:lvlText w:val="•"/>
      <w:lvlJc w:val="left"/>
      <w:pPr>
        <w:ind w:left="1513" w:hanging="79"/>
      </w:pPr>
      <w:rPr>
        <w:rFonts w:hint="default"/>
        <w:lang w:val="en-US" w:eastAsia="en-US" w:bidi="ar-SA"/>
      </w:rPr>
    </w:lvl>
    <w:lvl w:ilvl="7" w:tplc="4DF87716">
      <w:numFmt w:val="bullet"/>
      <w:lvlText w:val="•"/>
      <w:lvlJc w:val="left"/>
      <w:pPr>
        <w:ind w:left="1762" w:hanging="79"/>
      </w:pPr>
      <w:rPr>
        <w:rFonts w:hint="default"/>
        <w:lang w:val="en-US" w:eastAsia="en-US" w:bidi="ar-SA"/>
      </w:rPr>
    </w:lvl>
    <w:lvl w:ilvl="8" w:tplc="FD64A250">
      <w:numFmt w:val="bullet"/>
      <w:lvlText w:val="•"/>
      <w:lvlJc w:val="left"/>
      <w:pPr>
        <w:ind w:left="2011" w:hanging="79"/>
      </w:pPr>
      <w:rPr>
        <w:rFonts w:hint="default"/>
        <w:lang w:val="en-US" w:eastAsia="en-US" w:bidi="ar-SA"/>
      </w:rPr>
    </w:lvl>
  </w:abstractNum>
  <w:abstractNum w:abstractNumId="274" w15:restartNumberingAfterBreak="0">
    <w:nsid w:val="6AB27099"/>
    <w:multiLevelType w:val="multilevel"/>
    <w:tmpl w:val="D63EA1EA"/>
    <w:lvl w:ilvl="0">
      <w:start w:val="4"/>
      <w:numFmt w:val="decimal"/>
      <w:lvlText w:val="%1"/>
      <w:lvlJc w:val="left"/>
      <w:pPr>
        <w:ind w:left="690" w:hanging="526"/>
      </w:pPr>
      <w:rPr>
        <w:rFonts w:hint="default"/>
        <w:lang w:val="en-US" w:eastAsia="en-US" w:bidi="ar-SA"/>
      </w:rPr>
    </w:lvl>
    <w:lvl w:ilvl="1">
      <w:start w:val="2"/>
      <w:numFmt w:val="decimal"/>
      <w:lvlText w:val="%1.%2"/>
      <w:lvlJc w:val="left"/>
      <w:pPr>
        <w:ind w:left="690" w:hanging="526"/>
      </w:pPr>
      <w:rPr>
        <w:rFonts w:hint="default"/>
        <w:lang w:val="en-US" w:eastAsia="en-US" w:bidi="ar-SA"/>
      </w:rPr>
    </w:lvl>
    <w:lvl w:ilvl="2">
      <w:numFmt w:val="decimal"/>
      <w:lvlText w:val="%1.%2.%3"/>
      <w:lvlJc w:val="left"/>
      <w:pPr>
        <w:ind w:left="690" w:hanging="526"/>
      </w:pPr>
      <w:rPr>
        <w:rFonts w:ascii="Arial" w:eastAsia="Arial" w:hAnsi="Arial" w:cs="Arial" w:hint="default"/>
        <w:b/>
        <w:bCs/>
        <w:color w:val="231F20"/>
        <w:w w:val="99"/>
        <w:sz w:val="22"/>
        <w:szCs w:val="22"/>
        <w:lang w:val="en-US" w:eastAsia="en-US" w:bidi="ar-SA"/>
      </w:rPr>
    </w:lvl>
    <w:lvl w:ilvl="3">
      <w:start w:val="1"/>
      <w:numFmt w:val="decimal"/>
      <w:lvlText w:val="%1.%2.%3.%4"/>
      <w:lvlJc w:val="left"/>
      <w:pPr>
        <w:ind w:left="169" w:hanging="804"/>
      </w:pPr>
      <w:rPr>
        <w:rFonts w:ascii="Arial" w:eastAsia="Arial" w:hAnsi="Arial" w:cs="Arial" w:hint="default"/>
        <w:color w:val="231F20"/>
        <w:spacing w:val="-29"/>
        <w:w w:val="99"/>
        <w:sz w:val="22"/>
        <w:szCs w:val="22"/>
        <w:lang w:val="en-US" w:eastAsia="en-US" w:bidi="ar-SA"/>
      </w:rPr>
    </w:lvl>
    <w:lvl w:ilvl="4">
      <w:numFmt w:val="bullet"/>
      <w:lvlText w:val="•"/>
      <w:lvlJc w:val="left"/>
      <w:pPr>
        <w:ind w:left="3701" w:hanging="804"/>
      </w:pPr>
      <w:rPr>
        <w:rFonts w:hint="default"/>
        <w:lang w:val="en-US" w:eastAsia="en-US" w:bidi="ar-SA"/>
      </w:rPr>
    </w:lvl>
    <w:lvl w:ilvl="5">
      <w:numFmt w:val="bullet"/>
      <w:lvlText w:val="•"/>
      <w:lvlJc w:val="left"/>
      <w:pPr>
        <w:ind w:left="4702" w:hanging="804"/>
      </w:pPr>
      <w:rPr>
        <w:rFonts w:hint="default"/>
        <w:lang w:val="en-US" w:eastAsia="en-US" w:bidi="ar-SA"/>
      </w:rPr>
    </w:lvl>
    <w:lvl w:ilvl="6">
      <w:numFmt w:val="bullet"/>
      <w:lvlText w:val="•"/>
      <w:lvlJc w:val="left"/>
      <w:pPr>
        <w:ind w:left="5703" w:hanging="804"/>
      </w:pPr>
      <w:rPr>
        <w:rFonts w:hint="default"/>
        <w:lang w:val="en-US" w:eastAsia="en-US" w:bidi="ar-SA"/>
      </w:rPr>
    </w:lvl>
    <w:lvl w:ilvl="7">
      <w:numFmt w:val="bullet"/>
      <w:lvlText w:val="•"/>
      <w:lvlJc w:val="left"/>
      <w:pPr>
        <w:ind w:left="6703" w:hanging="804"/>
      </w:pPr>
      <w:rPr>
        <w:rFonts w:hint="default"/>
        <w:lang w:val="en-US" w:eastAsia="en-US" w:bidi="ar-SA"/>
      </w:rPr>
    </w:lvl>
    <w:lvl w:ilvl="8">
      <w:numFmt w:val="bullet"/>
      <w:lvlText w:val="•"/>
      <w:lvlJc w:val="left"/>
      <w:pPr>
        <w:ind w:left="7704" w:hanging="804"/>
      </w:pPr>
      <w:rPr>
        <w:rFonts w:hint="default"/>
        <w:lang w:val="en-US" w:eastAsia="en-US" w:bidi="ar-SA"/>
      </w:rPr>
    </w:lvl>
  </w:abstractNum>
  <w:abstractNum w:abstractNumId="275" w15:restartNumberingAfterBreak="0">
    <w:nsid w:val="6AB85B85"/>
    <w:multiLevelType w:val="hybridMultilevel"/>
    <w:tmpl w:val="A2729014"/>
    <w:lvl w:ilvl="0" w:tplc="E3A23A3C">
      <w:numFmt w:val="bullet"/>
      <w:lvlText w:val="•"/>
      <w:lvlJc w:val="left"/>
      <w:pPr>
        <w:ind w:left="22" w:hanging="68"/>
      </w:pPr>
      <w:rPr>
        <w:rFonts w:ascii="Arial" w:eastAsia="Arial" w:hAnsi="Arial" w:cs="Arial" w:hint="default"/>
        <w:color w:val="231F20"/>
        <w:w w:val="74"/>
        <w:sz w:val="16"/>
        <w:szCs w:val="16"/>
        <w:lang w:val="en-US" w:eastAsia="en-US" w:bidi="ar-SA"/>
      </w:rPr>
    </w:lvl>
    <w:lvl w:ilvl="1" w:tplc="83107A82">
      <w:numFmt w:val="bullet"/>
      <w:lvlText w:val="•"/>
      <w:lvlJc w:val="left"/>
      <w:pPr>
        <w:ind w:left="254" w:hanging="68"/>
      </w:pPr>
      <w:rPr>
        <w:rFonts w:hint="default"/>
        <w:lang w:val="en-US" w:eastAsia="en-US" w:bidi="ar-SA"/>
      </w:rPr>
    </w:lvl>
    <w:lvl w:ilvl="2" w:tplc="716824DE">
      <w:numFmt w:val="bullet"/>
      <w:lvlText w:val="•"/>
      <w:lvlJc w:val="left"/>
      <w:pPr>
        <w:ind w:left="488" w:hanging="68"/>
      </w:pPr>
      <w:rPr>
        <w:rFonts w:hint="default"/>
        <w:lang w:val="en-US" w:eastAsia="en-US" w:bidi="ar-SA"/>
      </w:rPr>
    </w:lvl>
    <w:lvl w:ilvl="3" w:tplc="BF0A6EBC">
      <w:numFmt w:val="bullet"/>
      <w:lvlText w:val="•"/>
      <w:lvlJc w:val="left"/>
      <w:pPr>
        <w:ind w:left="723" w:hanging="68"/>
      </w:pPr>
      <w:rPr>
        <w:rFonts w:hint="default"/>
        <w:lang w:val="en-US" w:eastAsia="en-US" w:bidi="ar-SA"/>
      </w:rPr>
    </w:lvl>
    <w:lvl w:ilvl="4" w:tplc="A9083AC0">
      <w:numFmt w:val="bullet"/>
      <w:lvlText w:val="•"/>
      <w:lvlJc w:val="left"/>
      <w:pPr>
        <w:ind w:left="957" w:hanging="68"/>
      </w:pPr>
      <w:rPr>
        <w:rFonts w:hint="default"/>
        <w:lang w:val="en-US" w:eastAsia="en-US" w:bidi="ar-SA"/>
      </w:rPr>
    </w:lvl>
    <w:lvl w:ilvl="5" w:tplc="412C8DF4">
      <w:numFmt w:val="bullet"/>
      <w:lvlText w:val="•"/>
      <w:lvlJc w:val="left"/>
      <w:pPr>
        <w:ind w:left="1192" w:hanging="68"/>
      </w:pPr>
      <w:rPr>
        <w:rFonts w:hint="default"/>
        <w:lang w:val="en-US" w:eastAsia="en-US" w:bidi="ar-SA"/>
      </w:rPr>
    </w:lvl>
    <w:lvl w:ilvl="6" w:tplc="4DA058B0">
      <w:numFmt w:val="bullet"/>
      <w:lvlText w:val="•"/>
      <w:lvlJc w:val="left"/>
      <w:pPr>
        <w:ind w:left="1426" w:hanging="68"/>
      </w:pPr>
      <w:rPr>
        <w:rFonts w:hint="default"/>
        <w:lang w:val="en-US" w:eastAsia="en-US" w:bidi="ar-SA"/>
      </w:rPr>
    </w:lvl>
    <w:lvl w:ilvl="7" w:tplc="E2427ACA">
      <w:numFmt w:val="bullet"/>
      <w:lvlText w:val="•"/>
      <w:lvlJc w:val="left"/>
      <w:pPr>
        <w:ind w:left="1660" w:hanging="68"/>
      </w:pPr>
      <w:rPr>
        <w:rFonts w:hint="default"/>
        <w:lang w:val="en-US" w:eastAsia="en-US" w:bidi="ar-SA"/>
      </w:rPr>
    </w:lvl>
    <w:lvl w:ilvl="8" w:tplc="F71C7530">
      <w:numFmt w:val="bullet"/>
      <w:lvlText w:val="•"/>
      <w:lvlJc w:val="left"/>
      <w:pPr>
        <w:ind w:left="1895" w:hanging="68"/>
      </w:pPr>
      <w:rPr>
        <w:rFonts w:hint="default"/>
        <w:lang w:val="en-US" w:eastAsia="en-US" w:bidi="ar-SA"/>
      </w:rPr>
    </w:lvl>
  </w:abstractNum>
  <w:abstractNum w:abstractNumId="276" w15:restartNumberingAfterBreak="0">
    <w:nsid w:val="6AC54F17"/>
    <w:multiLevelType w:val="hybridMultilevel"/>
    <w:tmpl w:val="EAF20D54"/>
    <w:lvl w:ilvl="0" w:tplc="BB206578">
      <w:numFmt w:val="bullet"/>
      <w:lvlText w:val="•"/>
      <w:lvlJc w:val="left"/>
      <w:pPr>
        <w:ind w:left="26" w:hanging="76"/>
      </w:pPr>
      <w:rPr>
        <w:rFonts w:ascii="Arial" w:eastAsia="Arial" w:hAnsi="Arial" w:cs="Arial" w:hint="default"/>
        <w:color w:val="231F20"/>
        <w:w w:val="80"/>
        <w:sz w:val="15"/>
        <w:szCs w:val="15"/>
        <w:lang w:val="en-US" w:eastAsia="en-US" w:bidi="ar-SA"/>
      </w:rPr>
    </w:lvl>
    <w:lvl w:ilvl="1" w:tplc="3A82207E">
      <w:numFmt w:val="bullet"/>
      <w:lvlText w:val="•"/>
      <w:lvlJc w:val="left"/>
      <w:pPr>
        <w:ind w:left="258" w:hanging="76"/>
      </w:pPr>
      <w:rPr>
        <w:rFonts w:hint="default"/>
        <w:lang w:val="en-US" w:eastAsia="en-US" w:bidi="ar-SA"/>
      </w:rPr>
    </w:lvl>
    <w:lvl w:ilvl="2" w:tplc="E4588646">
      <w:numFmt w:val="bullet"/>
      <w:lvlText w:val="•"/>
      <w:lvlJc w:val="left"/>
      <w:pPr>
        <w:ind w:left="497" w:hanging="76"/>
      </w:pPr>
      <w:rPr>
        <w:rFonts w:hint="default"/>
        <w:lang w:val="en-US" w:eastAsia="en-US" w:bidi="ar-SA"/>
      </w:rPr>
    </w:lvl>
    <w:lvl w:ilvl="3" w:tplc="8A706A6C">
      <w:numFmt w:val="bullet"/>
      <w:lvlText w:val="•"/>
      <w:lvlJc w:val="left"/>
      <w:pPr>
        <w:ind w:left="736" w:hanging="76"/>
      </w:pPr>
      <w:rPr>
        <w:rFonts w:hint="default"/>
        <w:lang w:val="en-US" w:eastAsia="en-US" w:bidi="ar-SA"/>
      </w:rPr>
    </w:lvl>
    <w:lvl w:ilvl="4" w:tplc="3F2CC4BA">
      <w:numFmt w:val="bullet"/>
      <w:lvlText w:val="•"/>
      <w:lvlJc w:val="left"/>
      <w:pPr>
        <w:ind w:left="975" w:hanging="76"/>
      </w:pPr>
      <w:rPr>
        <w:rFonts w:hint="default"/>
        <w:lang w:val="en-US" w:eastAsia="en-US" w:bidi="ar-SA"/>
      </w:rPr>
    </w:lvl>
    <w:lvl w:ilvl="5" w:tplc="9AA67C8C">
      <w:numFmt w:val="bullet"/>
      <w:lvlText w:val="•"/>
      <w:lvlJc w:val="left"/>
      <w:pPr>
        <w:ind w:left="1214" w:hanging="76"/>
      </w:pPr>
      <w:rPr>
        <w:rFonts w:hint="default"/>
        <w:lang w:val="en-US" w:eastAsia="en-US" w:bidi="ar-SA"/>
      </w:rPr>
    </w:lvl>
    <w:lvl w:ilvl="6" w:tplc="8E2EEB72">
      <w:numFmt w:val="bullet"/>
      <w:lvlText w:val="•"/>
      <w:lvlJc w:val="left"/>
      <w:pPr>
        <w:ind w:left="1452" w:hanging="76"/>
      </w:pPr>
      <w:rPr>
        <w:rFonts w:hint="default"/>
        <w:lang w:val="en-US" w:eastAsia="en-US" w:bidi="ar-SA"/>
      </w:rPr>
    </w:lvl>
    <w:lvl w:ilvl="7" w:tplc="24FE8B4E">
      <w:numFmt w:val="bullet"/>
      <w:lvlText w:val="•"/>
      <w:lvlJc w:val="left"/>
      <w:pPr>
        <w:ind w:left="1691" w:hanging="76"/>
      </w:pPr>
      <w:rPr>
        <w:rFonts w:hint="default"/>
        <w:lang w:val="en-US" w:eastAsia="en-US" w:bidi="ar-SA"/>
      </w:rPr>
    </w:lvl>
    <w:lvl w:ilvl="8" w:tplc="923A269C">
      <w:numFmt w:val="bullet"/>
      <w:lvlText w:val="•"/>
      <w:lvlJc w:val="left"/>
      <w:pPr>
        <w:ind w:left="1930" w:hanging="76"/>
      </w:pPr>
      <w:rPr>
        <w:rFonts w:hint="default"/>
        <w:lang w:val="en-US" w:eastAsia="en-US" w:bidi="ar-SA"/>
      </w:rPr>
    </w:lvl>
  </w:abstractNum>
  <w:abstractNum w:abstractNumId="277" w15:restartNumberingAfterBreak="0">
    <w:nsid w:val="6B0E463F"/>
    <w:multiLevelType w:val="hybridMultilevel"/>
    <w:tmpl w:val="364A3396"/>
    <w:lvl w:ilvl="0" w:tplc="6148806C">
      <w:start w:val="1"/>
      <w:numFmt w:val="lowerLetter"/>
      <w:lvlText w:val="%1."/>
      <w:lvlJc w:val="left"/>
      <w:pPr>
        <w:ind w:left="862" w:hanging="720"/>
      </w:pPr>
      <w:rPr>
        <w:rFonts w:ascii="Arial" w:eastAsia="Arial" w:hAnsi="Arial" w:cs="Arial" w:hint="default"/>
        <w:color w:val="231F20"/>
        <w:spacing w:val="-25"/>
        <w:w w:val="99"/>
        <w:sz w:val="22"/>
        <w:szCs w:val="22"/>
        <w:lang w:val="en-US" w:eastAsia="en-US" w:bidi="ar-SA"/>
      </w:rPr>
    </w:lvl>
    <w:lvl w:ilvl="1" w:tplc="40B26034">
      <w:numFmt w:val="bullet"/>
      <w:lvlText w:val="•"/>
      <w:lvlJc w:val="left"/>
      <w:pPr>
        <w:ind w:left="1744" w:hanging="720"/>
      </w:pPr>
      <w:rPr>
        <w:rFonts w:hint="default"/>
        <w:lang w:val="en-US" w:eastAsia="en-US" w:bidi="ar-SA"/>
      </w:rPr>
    </w:lvl>
    <w:lvl w:ilvl="2" w:tplc="3C668132">
      <w:numFmt w:val="bullet"/>
      <w:lvlText w:val="•"/>
      <w:lvlJc w:val="left"/>
      <w:pPr>
        <w:ind w:left="2629" w:hanging="720"/>
      </w:pPr>
      <w:rPr>
        <w:rFonts w:hint="default"/>
        <w:lang w:val="en-US" w:eastAsia="en-US" w:bidi="ar-SA"/>
      </w:rPr>
    </w:lvl>
    <w:lvl w:ilvl="3" w:tplc="CAF260C8">
      <w:numFmt w:val="bullet"/>
      <w:lvlText w:val="•"/>
      <w:lvlJc w:val="left"/>
      <w:pPr>
        <w:ind w:left="3513" w:hanging="720"/>
      </w:pPr>
      <w:rPr>
        <w:rFonts w:hint="default"/>
        <w:lang w:val="en-US" w:eastAsia="en-US" w:bidi="ar-SA"/>
      </w:rPr>
    </w:lvl>
    <w:lvl w:ilvl="4" w:tplc="502E4D78">
      <w:numFmt w:val="bullet"/>
      <w:lvlText w:val="•"/>
      <w:lvlJc w:val="left"/>
      <w:pPr>
        <w:ind w:left="4398" w:hanging="720"/>
      </w:pPr>
      <w:rPr>
        <w:rFonts w:hint="default"/>
        <w:lang w:val="en-US" w:eastAsia="en-US" w:bidi="ar-SA"/>
      </w:rPr>
    </w:lvl>
    <w:lvl w:ilvl="5" w:tplc="456CCC5A">
      <w:numFmt w:val="bullet"/>
      <w:lvlText w:val="•"/>
      <w:lvlJc w:val="left"/>
      <w:pPr>
        <w:ind w:left="5282" w:hanging="720"/>
      </w:pPr>
      <w:rPr>
        <w:rFonts w:hint="default"/>
        <w:lang w:val="en-US" w:eastAsia="en-US" w:bidi="ar-SA"/>
      </w:rPr>
    </w:lvl>
    <w:lvl w:ilvl="6" w:tplc="58B8F4DC">
      <w:numFmt w:val="bullet"/>
      <w:lvlText w:val="•"/>
      <w:lvlJc w:val="left"/>
      <w:pPr>
        <w:ind w:left="6167" w:hanging="720"/>
      </w:pPr>
      <w:rPr>
        <w:rFonts w:hint="default"/>
        <w:lang w:val="en-US" w:eastAsia="en-US" w:bidi="ar-SA"/>
      </w:rPr>
    </w:lvl>
    <w:lvl w:ilvl="7" w:tplc="2FE6DE5A">
      <w:numFmt w:val="bullet"/>
      <w:lvlText w:val="•"/>
      <w:lvlJc w:val="left"/>
      <w:pPr>
        <w:ind w:left="7051" w:hanging="720"/>
      </w:pPr>
      <w:rPr>
        <w:rFonts w:hint="default"/>
        <w:lang w:val="en-US" w:eastAsia="en-US" w:bidi="ar-SA"/>
      </w:rPr>
    </w:lvl>
    <w:lvl w:ilvl="8" w:tplc="D640DA8E">
      <w:numFmt w:val="bullet"/>
      <w:lvlText w:val="•"/>
      <w:lvlJc w:val="left"/>
      <w:pPr>
        <w:ind w:left="7936" w:hanging="720"/>
      </w:pPr>
      <w:rPr>
        <w:rFonts w:hint="default"/>
        <w:lang w:val="en-US" w:eastAsia="en-US" w:bidi="ar-SA"/>
      </w:rPr>
    </w:lvl>
  </w:abstractNum>
  <w:abstractNum w:abstractNumId="278" w15:restartNumberingAfterBreak="0">
    <w:nsid w:val="6B212B63"/>
    <w:multiLevelType w:val="hybridMultilevel"/>
    <w:tmpl w:val="7BC8141A"/>
    <w:lvl w:ilvl="0" w:tplc="9D043EB6">
      <w:numFmt w:val="bullet"/>
      <w:lvlText w:val="•"/>
      <w:lvlJc w:val="left"/>
      <w:pPr>
        <w:ind w:left="21" w:hanging="75"/>
      </w:pPr>
      <w:rPr>
        <w:rFonts w:ascii="Arial" w:eastAsia="Arial" w:hAnsi="Arial" w:cs="Arial" w:hint="default"/>
        <w:color w:val="231F20"/>
        <w:w w:val="84"/>
        <w:sz w:val="14"/>
        <w:szCs w:val="14"/>
        <w:lang w:val="en-US" w:eastAsia="en-US" w:bidi="ar-SA"/>
      </w:rPr>
    </w:lvl>
    <w:lvl w:ilvl="1" w:tplc="237CB212">
      <w:numFmt w:val="bullet"/>
      <w:lvlText w:val="•"/>
      <w:lvlJc w:val="left"/>
      <w:pPr>
        <w:ind w:left="254" w:hanging="75"/>
      </w:pPr>
      <w:rPr>
        <w:rFonts w:hint="default"/>
        <w:lang w:val="en-US" w:eastAsia="en-US" w:bidi="ar-SA"/>
      </w:rPr>
    </w:lvl>
    <w:lvl w:ilvl="2" w:tplc="F2462A04">
      <w:numFmt w:val="bullet"/>
      <w:lvlText w:val="•"/>
      <w:lvlJc w:val="left"/>
      <w:pPr>
        <w:ind w:left="488" w:hanging="75"/>
      </w:pPr>
      <w:rPr>
        <w:rFonts w:hint="default"/>
        <w:lang w:val="en-US" w:eastAsia="en-US" w:bidi="ar-SA"/>
      </w:rPr>
    </w:lvl>
    <w:lvl w:ilvl="3" w:tplc="281AD416">
      <w:numFmt w:val="bullet"/>
      <w:lvlText w:val="•"/>
      <w:lvlJc w:val="left"/>
      <w:pPr>
        <w:ind w:left="722" w:hanging="75"/>
      </w:pPr>
      <w:rPr>
        <w:rFonts w:hint="default"/>
        <w:lang w:val="en-US" w:eastAsia="en-US" w:bidi="ar-SA"/>
      </w:rPr>
    </w:lvl>
    <w:lvl w:ilvl="4" w:tplc="100E6DDA">
      <w:numFmt w:val="bullet"/>
      <w:lvlText w:val="•"/>
      <w:lvlJc w:val="left"/>
      <w:pPr>
        <w:ind w:left="957" w:hanging="75"/>
      </w:pPr>
      <w:rPr>
        <w:rFonts w:hint="default"/>
        <w:lang w:val="en-US" w:eastAsia="en-US" w:bidi="ar-SA"/>
      </w:rPr>
    </w:lvl>
    <w:lvl w:ilvl="5" w:tplc="B336ADC2">
      <w:numFmt w:val="bullet"/>
      <w:lvlText w:val="•"/>
      <w:lvlJc w:val="left"/>
      <w:pPr>
        <w:ind w:left="1191" w:hanging="75"/>
      </w:pPr>
      <w:rPr>
        <w:rFonts w:hint="default"/>
        <w:lang w:val="en-US" w:eastAsia="en-US" w:bidi="ar-SA"/>
      </w:rPr>
    </w:lvl>
    <w:lvl w:ilvl="6" w:tplc="59E2A6C6">
      <w:numFmt w:val="bullet"/>
      <w:lvlText w:val="•"/>
      <w:lvlJc w:val="left"/>
      <w:pPr>
        <w:ind w:left="1425" w:hanging="75"/>
      </w:pPr>
      <w:rPr>
        <w:rFonts w:hint="default"/>
        <w:lang w:val="en-US" w:eastAsia="en-US" w:bidi="ar-SA"/>
      </w:rPr>
    </w:lvl>
    <w:lvl w:ilvl="7" w:tplc="67FE0A5A">
      <w:numFmt w:val="bullet"/>
      <w:lvlText w:val="•"/>
      <w:lvlJc w:val="left"/>
      <w:pPr>
        <w:ind w:left="1660" w:hanging="75"/>
      </w:pPr>
      <w:rPr>
        <w:rFonts w:hint="default"/>
        <w:lang w:val="en-US" w:eastAsia="en-US" w:bidi="ar-SA"/>
      </w:rPr>
    </w:lvl>
    <w:lvl w:ilvl="8" w:tplc="92B0EB96">
      <w:numFmt w:val="bullet"/>
      <w:lvlText w:val="•"/>
      <w:lvlJc w:val="left"/>
      <w:pPr>
        <w:ind w:left="1894" w:hanging="75"/>
      </w:pPr>
      <w:rPr>
        <w:rFonts w:hint="default"/>
        <w:lang w:val="en-US" w:eastAsia="en-US" w:bidi="ar-SA"/>
      </w:rPr>
    </w:lvl>
  </w:abstractNum>
  <w:abstractNum w:abstractNumId="279" w15:restartNumberingAfterBreak="0">
    <w:nsid w:val="6BA448D7"/>
    <w:multiLevelType w:val="hybridMultilevel"/>
    <w:tmpl w:val="361EAC74"/>
    <w:lvl w:ilvl="0" w:tplc="590A3474">
      <w:numFmt w:val="bullet"/>
      <w:lvlText w:val="•"/>
      <w:lvlJc w:val="left"/>
      <w:pPr>
        <w:ind w:left="22" w:hanging="74"/>
      </w:pPr>
      <w:rPr>
        <w:rFonts w:ascii="Arial" w:eastAsia="Arial" w:hAnsi="Arial" w:cs="Arial" w:hint="default"/>
        <w:color w:val="231F20"/>
        <w:w w:val="97"/>
        <w:sz w:val="12"/>
        <w:szCs w:val="12"/>
        <w:lang w:val="en-US" w:eastAsia="en-US" w:bidi="ar-SA"/>
      </w:rPr>
    </w:lvl>
    <w:lvl w:ilvl="1" w:tplc="BA5859F2">
      <w:numFmt w:val="bullet"/>
      <w:lvlText w:val="•"/>
      <w:lvlJc w:val="left"/>
      <w:pPr>
        <w:ind w:left="250" w:hanging="74"/>
      </w:pPr>
      <w:rPr>
        <w:rFonts w:hint="default"/>
        <w:lang w:val="en-US" w:eastAsia="en-US" w:bidi="ar-SA"/>
      </w:rPr>
    </w:lvl>
    <w:lvl w:ilvl="2" w:tplc="F3661E62">
      <w:numFmt w:val="bullet"/>
      <w:lvlText w:val="•"/>
      <w:lvlJc w:val="left"/>
      <w:pPr>
        <w:ind w:left="480" w:hanging="74"/>
      </w:pPr>
      <w:rPr>
        <w:rFonts w:hint="default"/>
        <w:lang w:val="en-US" w:eastAsia="en-US" w:bidi="ar-SA"/>
      </w:rPr>
    </w:lvl>
    <w:lvl w:ilvl="3" w:tplc="EBC22272">
      <w:numFmt w:val="bullet"/>
      <w:lvlText w:val="•"/>
      <w:lvlJc w:val="left"/>
      <w:pPr>
        <w:ind w:left="710" w:hanging="74"/>
      </w:pPr>
      <w:rPr>
        <w:rFonts w:hint="default"/>
        <w:lang w:val="en-US" w:eastAsia="en-US" w:bidi="ar-SA"/>
      </w:rPr>
    </w:lvl>
    <w:lvl w:ilvl="4" w:tplc="D2C8C4D6">
      <w:numFmt w:val="bullet"/>
      <w:lvlText w:val="•"/>
      <w:lvlJc w:val="left"/>
      <w:pPr>
        <w:ind w:left="941" w:hanging="74"/>
      </w:pPr>
      <w:rPr>
        <w:rFonts w:hint="default"/>
        <w:lang w:val="en-US" w:eastAsia="en-US" w:bidi="ar-SA"/>
      </w:rPr>
    </w:lvl>
    <w:lvl w:ilvl="5" w:tplc="EDBA764A">
      <w:numFmt w:val="bullet"/>
      <w:lvlText w:val="•"/>
      <w:lvlJc w:val="left"/>
      <w:pPr>
        <w:ind w:left="1171" w:hanging="74"/>
      </w:pPr>
      <w:rPr>
        <w:rFonts w:hint="default"/>
        <w:lang w:val="en-US" w:eastAsia="en-US" w:bidi="ar-SA"/>
      </w:rPr>
    </w:lvl>
    <w:lvl w:ilvl="6" w:tplc="7168354A">
      <w:numFmt w:val="bullet"/>
      <w:lvlText w:val="•"/>
      <w:lvlJc w:val="left"/>
      <w:pPr>
        <w:ind w:left="1401" w:hanging="74"/>
      </w:pPr>
      <w:rPr>
        <w:rFonts w:hint="default"/>
        <w:lang w:val="en-US" w:eastAsia="en-US" w:bidi="ar-SA"/>
      </w:rPr>
    </w:lvl>
    <w:lvl w:ilvl="7" w:tplc="D3F85AE2">
      <w:numFmt w:val="bullet"/>
      <w:lvlText w:val="•"/>
      <w:lvlJc w:val="left"/>
      <w:pPr>
        <w:ind w:left="1632" w:hanging="74"/>
      </w:pPr>
      <w:rPr>
        <w:rFonts w:hint="default"/>
        <w:lang w:val="en-US" w:eastAsia="en-US" w:bidi="ar-SA"/>
      </w:rPr>
    </w:lvl>
    <w:lvl w:ilvl="8" w:tplc="EDA46812">
      <w:numFmt w:val="bullet"/>
      <w:lvlText w:val="•"/>
      <w:lvlJc w:val="left"/>
      <w:pPr>
        <w:ind w:left="1862" w:hanging="74"/>
      </w:pPr>
      <w:rPr>
        <w:rFonts w:hint="default"/>
        <w:lang w:val="en-US" w:eastAsia="en-US" w:bidi="ar-SA"/>
      </w:rPr>
    </w:lvl>
  </w:abstractNum>
  <w:abstractNum w:abstractNumId="280" w15:restartNumberingAfterBreak="0">
    <w:nsid w:val="6BF203C6"/>
    <w:multiLevelType w:val="hybridMultilevel"/>
    <w:tmpl w:val="00FC36E0"/>
    <w:lvl w:ilvl="0" w:tplc="90F6BA7C">
      <w:numFmt w:val="bullet"/>
      <w:lvlText w:val="•"/>
      <w:lvlJc w:val="left"/>
      <w:pPr>
        <w:ind w:left="24" w:hanging="68"/>
      </w:pPr>
      <w:rPr>
        <w:rFonts w:ascii="Arial" w:eastAsia="Arial" w:hAnsi="Arial" w:cs="Arial" w:hint="default"/>
        <w:color w:val="231F20"/>
        <w:w w:val="69"/>
        <w:sz w:val="17"/>
        <w:szCs w:val="17"/>
        <w:lang w:val="en-US" w:eastAsia="en-US" w:bidi="ar-SA"/>
      </w:rPr>
    </w:lvl>
    <w:lvl w:ilvl="1" w:tplc="AE7E8DE4">
      <w:numFmt w:val="bullet"/>
      <w:lvlText w:val="•"/>
      <w:lvlJc w:val="left"/>
      <w:pPr>
        <w:ind w:left="253" w:hanging="68"/>
      </w:pPr>
      <w:rPr>
        <w:rFonts w:hint="default"/>
        <w:lang w:val="en-US" w:eastAsia="en-US" w:bidi="ar-SA"/>
      </w:rPr>
    </w:lvl>
    <w:lvl w:ilvl="2" w:tplc="D2466078">
      <w:numFmt w:val="bullet"/>
      <w:lvlText w:val="•"/>
      <w:lvlJc w:val="left"/>
      <w:pPr>
        <w:ind w:left="486" w:hanging="68"/>
      </w:pPr>
      <w:rPr>
        <w:rFonts w:hint="default"/>
        <w:lang w:val="en-US" w:eastAsia="en-US" w:bidi="ar-SA"/>
      </w:rPr>
    </w:lvl>
    <w:lvl w:ilvl="3" w:tplc="5582BF06">
      <w:numFmt w:val="bullet"/>
      <w:lvlText w:val="•"/>
      <w:lvlJc w:val="left"/>
      <w:pPr>
        <w:ind w:left="719" w:hanging="68"/>
      </w:pPr>
      <w:rPr>
        <w:rFonts w:hint="default"/>
        <w:lang w:val="en-US" w:eastAsia="en-US" w:bidi="ar-SA"/>
      </w:rPr>
    </w:lvl>
    <w:lvl w:ilvl="4" w:tplc="D3202036">
      <w:numFmt w:val="bullet"/>
      <w:lvlText w:val="•"/>
      <w:lvlJc w:val="left"/>
      <w:pPr>
        <w:ind w:left="953" w:hanging="68"/>
      </w:pPr>
      <w:rPr>
        <w:rFonts w:hint="default"/>
        <w:lang w:val="en-US" w:eastAsia="en-US" w:bidi="ar-SA"/>
      </w:rPr>
    </w:lvl>
    <w:lvl w:ilvl="5" w:tplc="0DCEF5B8">
      <w:numFmt w:val="bullet"/>
      <w:lvlText w:val="•"/>
      <w:lvlJc w:val="left"/>
      <w:pPr>
        <w:ind w:left="1186" w:hanging="68"/>
      </w:pPr>
      <w:rPr>
        <w:rFonts w:hint="default"/>
        <w:lang w:val="en-US" w:eastAsia="en-US" w:bidi="ar-SA"/>
      </w:rPr>
    </w:lvl>
    <w:lvl w:ilvl="6" w:tplc="4AD65F2C">
      <w:numFmt w:val="bullet"/>
      <w:lvlText w:val="•"/>
      <w:lvlJc w:val="left"/>
      <w:pPr>
        <w:ind w:left="1419" w:hanging="68"/>
      </w:pPr>
      <w:rPr>
        <w:rFonts w:hint="default"/>
        <w:lang w:val="en-US" w:eastAsia="en-US" w:bidi="ar-SA"/>
      </w:rPr>
    </w:lvl>
    <w:lvl w:ilvl="7" w:tplc="B626619A">
      <w:numFmt w:val="bullet"/>
      <w:lvlText w:val="•"/>
      <w:lvlJc w:val="left"/>
      <w:pPr>
        <w:ind w:left="1653" w:hanging="68"/>
      </w:pPr>
      <w:rPr>
        <w:rFonts w:hint="default"/>
        <w:lang w:val="en-US" w:eastAsia="en-US" w:bidi="ar-SA"/>
      </w:rPr>
    </w:lvl>
    <w:lvl w:ilvl="8" w:tplc="E312E89E">
      <w:numFmt w:val="bullet"/>
      <w:lvlText w:val="•"/>
      <w:lvlJc w:val="left"/>
      <w:pPr>
        <w:ind w:left="1886" w:hanging="68"/>
      </w:pPr>
      <w:rPr>
        <w:rFonts w:hint="default"/>
        <w:lang w:val="en-US" w:eastAsia="en-US" w:bidi="ar-SA"/>
      </w:rPr>
    </w:lvl>
  </w:abstractNum>
  <w:abstractNum w:abstractNumId="281" w15:restartNumberingAfterBreak="0">
    <w:nsid w:val="6C0C6975"/>
    <w:multiLevelType w:val="hybridMultilevel"/>
    <w:tmpl w:val="1AC66E58"/>
    <w:lvl w:ilvl="0" w:tplc="962CAE2A">
      <w:numFmt w:val="bullet"/>
      <w:lvlText w:val="•"/>
      <w:lvlJc w:val="left"/>
      <w:pPr>
        <w:ind w:left="25" w:hanging="68"/>
      </w:pPr>
      <w:rPr>
        <w:rFonts w:ascii="Arial" w:eastAsia="Arial" w:hAnsi="Arial" w:cs="Arial" w:hint="default"/>
        <w:color w:val="231F20"/>
        <w:w w:val="73"/>
        <w:sz w:val="16"/>
        <w:szCs w:val="16"/>
        <w:lang w:val="en-US" w:eastAsia="en-US" w:bidi="ar-SA"/>
      </w:rPr>
    </w:lvl>
    <w:lvl w:ilvl="1" w:tplc="25023708">
      <w:numFmt w:val="bullet"/>
      <w:lvlText w:val="•"/>
      <w:lvlJc w:val="left"/>
      <w:pPr>
        <w:ind w:left="252" w:hanging="68"/>
      </w:pPr>
      <w:rPr>
        <w:rFonts w:hint="default"/>
        <w:lang w:val="en-US" w:eastAsia="en-US" w:bidi="ar-SA"/>
      </w:rPr>
    </w:lvl>
    <w:lvl w:ilvl="2" w:tplc="9E104880">
      <w:numFmt w:val="bullet"/>
      <w:lvlText w:val="•"/>
      <w:lvlJc w:val="left"/>
      <w:pPr>
        <w:ind w:left="484" w:hanging="68"/>
      </w:pPr>
      <w:rPr>
        <w:rFonts w:hint="default"/>
        <w:lang w:val="en-US" w:eastAsia="en-US" w:bidi="ar-SA"/>
      </w:rPr>
    </w:lvl>
    <w:lvl w:ilvl="3" w:tplc="D1EE1EEC">
      <w:numFmt w:val="bullet"/>
      <w:lvlText w:val="•"/>
      <w:lvlJc w:val="left"/>
      <w:pPr>
        <w:ind w:left="716" w:hanging="68"/>
      </w:pPr>
      <w:rPr>
        <w:rFonts w:hint="default"/>
        <w:lang w:val="en-US" w:eastAsia="en-US" w:bidi="ar-SA"/>
      </w:rPr>
    </w:lvl>
    <w:lvl w:ilvl="4" w:tplc="B7385604">
      <w:numFmt w:val="bullet"/>
      <w:lvlText w:val="•"/>
      <w:lvlJc w:val="left"/>
      <w:pPr>
        <w:ind w:left="948" w:hanging="68"/>
      </w:pPr>
      <w:rPr>
        <w:rFonts w:hint="default"/>
        <w:lang w:val="en-US" w:eastAsia="en-US" w:bidi="ar-SA"/>
      </w:rPr>
    </w:lvl>
    <w:lvl w:ilvl="5" w:tplc="6E9A8930">
      <w:numFmt w:val="bullet"/>
      <w:lvlText w:val="•"/>
      <w:lvlJc w:val="left"/>
      <w:pPr>
        <w:ind w:left="1180" w:hanging="68"/>
      </w:pPr>
      <w:rPr>
        <w:rFonts w:hint="default"/>
        <w:lang w:val="en-US" w:eastAsia="en-US" w:bidi="ar-SA"/>
      </w:rPr>
    </w:lvl>
    <w:lvl w:ilvl="6" w:tplc="5EAED63C">
      <w:numFmt w:val="bullet"/>
      <w:lvlText w:val="•"/>
      <w:lvlJc w:val="left"/>
      <w:pPr>
        <w:ind w:left="1412" w:hanging="68"/>
      </w:pPr>
      <w:rPr>
        <w:rFonts w:hint="default"/>
        <w:lang w:val="en-US" w:eastAsia="en-US" w:bidi="ar-SA"/>
      </w:rPr>
    </w:lvl>
    <w:lvl w:ilvl="7" w:tplc="6D607AB0">
      <w:numFmt w:val="bullet"/>
      <w:lvlText w:val="•"/>
      <w:lvlJc w:val="left"/>
      <w:pPr>
        <w:ind w:left="1644" w:hanging="68"/>
      </w:pPr>
      <w:rPr>
        <w:rFonts w:hint="default"/>
        <w:lang w:val="en-US" w:eastAsia="en-US" w:bidi="ar-SA"/>
      </w:rPr>
    </w:lvl>
    <w:lvl w:ilvl="8" w:tplc="3E12AF02">
      <w:numFmt w:val="bullet"/>
      <w:lvlText w:val="•"/>
      <w:lvlJc w:val="left"/>
      <w:pPr>
        <w:ind w:left="1876" w:hanging="68"/>
      </w:pPr>
      <w:rPr>
        <w:rFonts w:hint="default"/>
        <w:lang w:val="en-US" w:eastAsia="en-US" w:bidi="ar-SA"/>
      </w:rPr>
    </w:lvl>
  </w:abstractNum>
  <w:abstractNum w:abstractNumId="282" w15:restartNumberingAfterBreak="0">
    <w:nsid w:val="6C6B028A"/>
    <w:multiLevelType w:val="multilevel"/>
    <w:tmpl w:val="1DEE933E"/>
    <w:lvl w:ilvl="0">
      <w:start w:val="5"/>
      <w:numFmt w:val="decimal"/>
      <w:lvlText w:val="%1"/>
      <w:lvlJc w:val="left"/>
      <w:pPr>
        <w:ind w:left="196" w:hanging="734"/>
      </w:pPr>
      <w:rPr>
        <w:rFonts w:hint="default"/>
        <w:lang w:val="en-US" w:eastAsia="en-US" w:bidi="ar-SA"/>
      </w:rPr>
    </w:lvl>
    <w:lvl w:ilvl="1">
      <w:start w:val="4"/>
      <w:numFmt w:val="decimal"/>
      <w:lvlText w:val="%1.%2"/>
      <w:lvlJc w:val="left"/>
      <w:pPr>
        <w:ind w:left="196" w:hanging="734"/>
      </w:pPr>
      <w:rPr>
        <w:rFonts w:hint="default"/>
        <w:lang w:val="en-US" w:eastAsia="en-US" w:bidi="ar-SA"/>
      </w:rPr>
    </w:lvl>
    <w:lvl w:ilvl="2">
      <w:start w:val="2"/>
      <w:numFmt w:val="decimal"/>
      <w:lvlText w:val="%1.%2.%3"/>
      <w:lvlJc w:val="left"/>
      <w:pPr>
        <w:ind w:left="196" w:hanging="734"/>
      </w:pPr>
      <w:rPr>
        <w:rFonts w:hint="default"/>
        <w:lang w:val="en-US" w:eastAsia="en-US" w:bidi="ar-SA"/>
      </w:rPr>
    </w:lvl>
    <w:lvl w:ilvl="3">
      <w:start w:val="1"/>
      <w:numFmt w:val="decimal"/>
      <w:lvlText w:val="%1.%2.%3.%4"/>
      <w:lvlJc w:val="left"/>
      <w:pPr>
        <w:ind w:left="196" w:hanging="734"/>
      </w:pPr>
      <w:rPr>
        <w:rFonts w:ascii="Arial" w:eastAsia="Arial" w:hAnsi="Arial" w:cs="Arial" w:hint="default"/>
        <w:color w:val="231F20"/>
        <w:spacing w:val="-27"/>
        <w:w w:val="99"/>
        <w:sz w:val="22"/>
        <w:szCs w:val="22"/>
        <w:lang w:val="en-US" w:eastAsia="en-US" w:bidi="ar-SA"/>
      </w:rPr>
    </w:lvl>
    <w:lvl w:ilvl="4">
      <w:numFmt w:val="bullet"/>
      <w:lvlText w:val="•"/>
      <w:lvlJc w:val="left"/>
      <w:pPr>
        <w:ind w:left="4002" w:hanging="734"/>
      </w:pPr>
      <w:rPr>
        <w:rFonts w:hint="default"/>
        <w:lang w:val="en-US" w:eastAsia="en-US" w:bidi="ar-SA"/>
      </w:rPr>
    </w:lvl>
    <w:lvl w:ilvl="5">
      <w:numFmt w:val="bullet"/>
      <w:lvlText w:val="•"/>
      <w:lvlJc w:val="left"/>
      <w:pPr>
        <w:ind w:left="4952" w:hanging="734"/>
      </w:pPr>
      <w:rPr>
        <w:rFonts w:hint="default"/>
        <w:lang w:val="en-US" w:eastAsia="en-US" w:bidi="ar-SA"/>
      </w:rPr>
    </w:lvl>
    <w:lvl w:ilvl="6">
      <w:numFmt w:val="bullet"/>
      <w:lvlText w:val="•"/>
      <w:lvlJc w:val="left"/>
      <w:pPr>
        <w:ind w:left="5903" w:hanging="734"/>
      </w:pPr>
      <w:rPr>
        <w:rFonts w:hint="default"/>
        <w:lang w:val="en-US" w:eastAsia="en-US" w:bidi="ar-SA"/>
      </w:rPr>
    </w:lvl>
    <w:lvl w:ilvl="7">
      <w:numFmt w:val="bullet"/>
      <w:lvlText w:val="•"/>
      <w:lvlJc w:val="left"/>
      <w:pPr>
        <w:ind w:left="6853" w:hanging="734"/>
      </w:pPr>
      <w:rPr>
        <w:rFonts w:hint="default"/>
        <w:lang w:val="en-US" w:eastAsia="en-US" w:bidi="ar-SA"/>
      </w:rPr>
    </w:lvl>
    <w:lvl w:ilvl="8">
      <w:numFmt w:val="bullet"/>
      <w:lvlText w:val="•"/>
      <w:lvlJc w:val="left"/>
      <w:pPr>
        <w:ind w:left="7804" w:hanging="734"/>
      </w:pPr>
      <w:rPr>
        <w:rFonts w:hint="default"/>
        <w:lang w:val="en-US" w:eastAsia="en-US" w:bidi="ar-SA"/>
      </w:rPr>
    </w:lvl>
  </w:abstractNum>
  <w:abstractNum w:abstractNumId="283" w15:restartNumberingAfterBreak="0">
    <w:nsid w:val="6C891E36"/>
    <w:multiLevelType w:val="hybridMultilevel"/>
    <w:tmpl w:val="713A2218"/>
    <w:lvl w:ilvl="0" w:tplc="46BE7670">
      <w:numFmt w:val="bullet"/>
      <w:lvlText w:val="•"/>
      <w:lvlJc w:val="left"/>
      <w:pPr>
        <w:ind w:left="20" w:hanging="75"/>
      </w:pPr>
      <w:rPr>
        <w:rFonts w:ascii="Arial" w:eastAsia="Arial" w:hAnsi="Arial" w:cs="Arial" w:hint="default"/>
        <w:color w:val="231F20"/>
        <w:w w:val="79"/>
        <w:sz w:val="15"/>
        <w:szCs w:val="15"/>
        <w:lang w:val="en-US" w:eastAsia="en-US" w:bidi="ar-SA"/>
      </w:rPr>
    </w:lvl>
    <w:lvl w:ilvl="1" w:tplc="19846316">
      <w:numFmt w:val="bullet"/>
      <w:lvlText w:val="•"/>
      <w:lvlJc w:val="left"/>
      <w:pPr>
        <w:ind w:left="255" w:hanging="75"/>
      </w:pPr>
      <w:rPr>
        <w:rFonts w:hint="default"/>
        <w:lang w:val="en-US" w:eastAsia="en-US" w:bidi="ar-SA"/>
      </w:rPr>
    </w:lvl>
    <w:lvl w:ilvl="2" w:tplc="D1600502">
      <w:numFmt w:val="bullet"/>
      <w:lvlText w:val="•"/>
      <w:lvlJc w:val="left"/>
      <w:pPr>
        <w:ind w:left="490" w:hanging="75"/>
      </w:pPr>
      <w:rPr>
        <w:rFonts w:hint="default"/>
        <w:lang w:val="en-US" w:eastAsia="en-US" w:bidi="ar-SA"/>
      </w:rPr>
    </w:lvl>
    <w:lvl w:ilvl="3" w:tplc="67A00374">
      <w:numFmt w:val="bullet"/>
      <w:lvlText w:val="•"/>
      <w:lvlJc w:val="left"/>
      <w:pPr>
        <w:ind w:left="725" w:hanging="75"/>
      </w:pPr>
      <w:rPr>
        <w:rFonts w:hint="default"/>
        <w:lang w:val="en-US" w:eastAsia="en-US" w:bidi="ar-SA"/>
      </w:rPr>
    </w:lvl>
    <w:lvl w:ilvl="4" w:tplc="DCF68938">
      <w:numFmt w:val="bullet"/>
      <w:lvlText w:val="•"/>
      <w:lvlJc w:val="left"/>
      <w:pPr>
        <w:ind w:left="961" w:hanging="75"/>
      </w:pPr>
      <w:rPr>
        <w:rFonts w:hint="default"/>
        <w:lang w:val="en-US" w:eastAsia="en-US" w:bidi="ar-SA"/>
      </w:rPr>
    </w:lvl>
    <w:lvl w:ilvl="5" w:tplc="C81EB146">
      <w:numFmt w:val="bullet"/>
      <w:lvlText w:val="•"/>
      <w:lvlJc w:val="left"/>
      <w:pPr>
        <w:ind w:left="1196" w:hanging="75"/>
      </w:pPr>
      <w:rPr>
        <w:rFonts w:hint="default"/>
        <w:lang w:val="en-US" w:eastAsia="en-US" w:bidi="ar-SA"/>
      </w:rPr>
    </w:lvl>
    <w:lvl w:ilvl="6" w:tplc="79E0051A">
      <w:numFmt w:val="bullet"/>
      <w:lvlText w:val="•"/>
      <w:lvlJc w:val="left"/>
      <w:pPr>
        <w:ind w:left="1431" w:hanging="75"/>
      </w:pPr>
      <w:rPr>
        <w:rFonts w:hint="default"/>
        <w:lang w:val="en-US" w:eastAsia="en-US" w:bidi="ar-SA"/>
      </w:rPr>
    </w:lvl>
    <w:lvl w:ilvl="7" w:tplc="05166CAA">
      <w:numFmt w:val="bullet"/>
      <w:lvlText w:val="•"/>
      <w:lvlJc w:val="left"/>
      <w:pPr>
        <w:ind w:left="1667" w:hanging="75"/>
      </w:pPr>
      <w:rPr>
        <w:rFonts w:hint="default"/>
        <w:lang w:val="en-US" w:eastAsia="en-US" w:bidi="ar-SA"/>
      </w:rPr>
    </w:lvl>
    <w:lvl w:ilvl="8" w:tplc="33B058D0">
      <w:numFmt w:val="bullet"/>
      <w:lvlText w:val="•"/>
      <w:lvlJc w:val="left"/>
      <w:pPr>
        <w:ind w:left="1902" w:hanging="75"/>
      </w:pPr>
      <w:rPr>
        <w:rFonts w:hint="default"/>
        <w:lang w:val="en-US" w:eastAsia="en-US" w:bidi="ar-SA"/>
      </w:rPr>
    </w:lvl>
  </w:abstractNum>
  <w:abstractNum w:abstractNumId="284" w15:restartNumberingAfterBreak="0">
    <w:nsid w:val="6DFF306F"/>
    <w:multiLevelType w:val="hybridMultilevel"/>
    <w:tmpl w:val="863044B6"/>
    <w:lvl w:ilvl="0" w:tplc="57EEDE1E">
      <w:numFmt w:val="bullet"/>
      <w:lvlText w:val="•"/>
      <w:lvlJc w:val="left"/>
      <w:pPr>
        <w:ind w:left="98" w:hanging="73"/>
      </w:pPr>
      <w:rPr>
        <w:rFonts w:ascii="Arial" w:eastAsia="Arial" w:hAnsi="Arial" w:cs="Arial" w:hint="default"/>
        <w:color w:val="231F20"/>
        <w:w w:val="105"/>
        <w:sz w:val="12"/>
        <w:szCs w:val="12"/>
        <w:lang w:val="en-US" w:eastAsia="en-US" w:bidi="ar-SA"/>
      </w:rPr>
    </w:lvl>
    <w:lvl w:ilvl="1" w:tplc="C748C79C">
      <w:numFmt w:val="bullet"/>
      <w:lvlText w:val="•"/>
      <w:lvlJc w:val="left"/>
      <w:pPr>
        <w:ind w:left="343" w:hanging="73"/>
      </w:pPr>
      <w:rPr>
        <w:rFonts w:hint="default"/>
        <w:lang w:val="en-US" w:eastAsia="en-US" w:bidi="ar-SA"/>
      </w:rPr>
    </w:lvl>
    <w:lvl w:ilvl="2" w:tplc="566E2F0E">
      <w:numFmt w:val="bullet"/>
      <w:lvlText w:val="•"/>
      <w:lvlJc w:val="left"/>
      <w:pPr>
        <w:ind w:left="586" w:hanging="73"/>
      </w:pPr>
      <w:rPr>
        <w:rFonts w:hint="default"/>
        <w:lang w:val="en-US" w:eastAsia="en-US" w:bidi="ar-SA"/>
      </w:rPr>
    </w:lvl>
    <w:lvl w:ilvl="3" w:tplc="9C641FE4">
      <w:numFmt w:val="bullet"/>
      <w:lvlText w:val="•"/>
      <w:lvlJc w:val="left"/>
      <w:pPr>
        <w:ind w:left="829" w:hanging="73"/>
      </w:pPr>
      <w:rPr>
        <w:rFonts w:hint="default"/>
        <w:lang w:val="en-US" w:eastAsia="en-US" w:bidi="ar-SA"/>
      </w:rPr>
    </w:lvl>
    <w:lvl w:ilvl="4" w:tplc="BECAC60C">
      <w:numFmt w:val="bullet"/>
      <w:lvlText w:val="•"/>
      <w:lvlJc w:val="left"/>
      <w:pPr>
        <w:ind w:left="1072" w:hanging="73"/>
      </w:pPr>
      <w:rPr>
        <w:rFonts w:hint="default"/>
        <w:lang w:val="en-US" w:eastAsia="en-US" w:bidi="ar-SA"/>
      </w:rPr>
    </w:lvl>
    <w:lvl w:ilvl="5" w:tplc="74AEBE22">
      <w:numFmt w:val="bullet"/>
      <w:lvlText w:val="•"/>
      <w:lvlJc w:val="left"/>
      <w:pPr>
        <w:ind w:left="1315" w:hanging="73"/>
      </w:pPr>
      <w:rPr>
        <w:rFonts w:hint="default"/>
        <w:lang w:val="en-US" w:eastAsia="en-US" w:bidi="ar-SA"/>
      </w:rPr>
    </w:lvl>
    <w:lvl w:ilvl="6" w:tplc="C1C410D6">
      <w:numFmt w:val="bullet"/>
      <w:lvlText w:val="•"/>
      <w:lvlJc w:val="left"/>
      <w:pPr>
        <w:ind w:left="1558" w:hanging="73"/>
      </w:pPr>
      <w:rPr>
        <w:rFonts w:hint="default"/>
        <w:lang w:val="en-US" w:eastAsia="en-US" w:bidi="ar-SA"/>
      </w:rPr>
    </w:lvl>
    <w:lvl w:ilvl="7" w:tplc="3D0A03C6">
      <w:numFmt w:val="bullet"/>
      <w:lvlText w:val="•"/>
      <w:lvlJc w:val="left"/>
      <w:pPr>
        <w:ind w:left="1801" w:hanging="73"/>
      </w:pPr>
      <w:rPr>
        <w:rFonts w:hint="default"/>
        <w:lang w:val="en-US" w:eastAsia="en-US" w:bidi="ar-SA"/>
      </w:rPr>
    </w:lvl>
    <w:lvl w:ilvl="8" w:tplc="07AEEE5A">
      <w:numFmt w:val="bullet"/>
      <w:lvlText w:val="•"/>
      <w:lvlJc w:val="left"/>
      <w:pPr>
        <w:ind w:left="2044" w:hanging="73"/>
      </w:pPr>
      <w:rPr>
        <w:rFonts w:hint="default"/>
        <w:lang w:val="en-US" w:eastAsia="en-US" w:bidi="ar-SA"/>
      </w:rPr>
    </w:lvl>
  </w:abstractNum>
  <w:abstractNum w:abstractNumId="285" w15:restartNumberingAfterBreak="0">
    <w:nsid w:val="6E161583"/>
    <w:multiLevelType w:val="hybridMultilevel"/>
    <w:tmpl w:val="F59E3602"/>
    <w:lvl w:ilvl="0" w:tplc="6F3E4028">
      <w:numFmt w:val="bullet"/>
      <w:lvlText w:val="•"/>
      <w:lvlJc w:val="left"/>
      <w:pPr>
        <w:ind w:left="26" w:hanging="80"/>
      </w:pPr>
      <w:rPr>
        <w:rFonts w:ascii="Arial" w:eastAsia="Arial" w:hAnsi="Arial" w:cs="Arial" w:hint="default"/>
        <w:color w:val="231F20"/>
        <w:w w:val="96"/>
        <w:sz w:val="13"/>
        <w:szCs w:val="13"/>
        <w:lang w:val="en-US" w:eastAsia="en-US" w:bidi="ar-SA"/>
      </w:rPr>
    </w:lvl>
    <w:lvl w:ilvl="1" w:tplc="8FF8A744">
      <w:numFmt w:val="bullet"/>
      <w:lvlText w:val="•"/>
      <w:lvlJc w:val="left"/>
      <w:pPr>
        <w:ind w:left="269" w:hanging="80"/>
      </w:pPr>
      <w:rPr>
        <w:rFonts w:hint="default"/>
        <w:lang w:val="en-US" w:eastAsia="en-US" w:bidi="ar-SA"/>
      </w:rPr>
    </w:lvl>
    <w:lvl w:ilvl="2" w:tplc="6EF0465C">
      <w:numFmt w:val="bullet"/>
      <w:lvlText w:val="•"/>
      <w:lvlJc w:val="left"/>
      <w:pPr>
        <w:ind w:left="518" w:hanging="80"/>
      </w:pPr>
      <w:rPr>
        <w:rFonts w:hint="default"/>
        <w:lang w:val="en-US" w:eastAsia="en-US" w:bidi="ar-SA"/>
      </w:rPr>
    </w:lvl>
    <w:lvl w:ilvl="3" w:tplc="A5CE7760">
      <w:numFmt w:val="bullet"/>
      <w:lvlText w:val="•"/>
      <w:lvlJc w:val="left"/>
      <w:pPr>
        <w:ind w:left="767" w:hanging="80"/>
      </w:pPr>
      <w:rPr>
        <w:rFonts w:hint="default"/>
        <w:lang w:val="en-US" w:eastAsia="en-US" w:bidi="ar-SA"/>
      </w:rPr>
    </w:lvl>
    <w:lvl w:ilvl="4" w:tplc="33280046">
      <w:numFmt w:val="bullet"/>
      <w:lvlText w:val="•"/>
      <w:lvlJc w:val="left"/>
      <w:pPr>
        <w:ind w:left="1017" w:hanging="80"/>
      </w:pPr>
      <w:rPr>
        <w:rFonts w:hint="default"/>
        <w:lang w:val="en-US" w:eastAsia="en-US" w:bidi="ar-SA"/>
      </w:rPr>
    </w:lvl>
    <w:lvl w:ilvl="5" w:tplc="C812EB3A">
      <w:numFmt w:val="bullet"/>
      <w:lvlText w:val="•"/>
      <w:lvlJc w:val="left"/>
      <w:pPr>
        <w:ind w:left="1266" w:hanging="80"/>
      </w:pPr>
      <w:rPr>
        <w:rFonts w:hint="default"/>
        <w:lang w:val="en-US" w:eastAsia="en-US" w:bidi="ar-SA"/>
      </w:rPr>
    </w:lvl>
    <w:lvl w:ilvl="6" w:tplc="C74E8F4A">
      <w:numFmt w:val="bullet"/>
      <w:lvlText w:val="•"/>
      <w:lvlJc w:val="left"/>
      <w:pPr>
        <w:ind w:left="1515" w:hanging="80"/>
      </w:pPr>
      <w:rPr>
        <w:rFonts w:hint="default"/>
        <w:lang w:val="en-US" w:eastAsia="en-US" w:bidi="ar-SA"/>
      </w:rPr>
    </w:lvl>
    <w:lvl w:ilvl="7" w:tplc="8EA28318">
      <w:numFmt w:val="bullet"/>
      <w:lvlText w:val="•"/>
      <w:lvlJc w:val="left"/>
      <w:pPr>
        <w:ind w:left="1765" w:hanging="80"/>
      </w:pPr>
      <w:rPr>
        <w:rFonts w:hint="default"/>
        <w:lang w:val="en-US" w:eastAsia="en-US" w:bidi="ar-SA"/>
      </w:rPr>
    </w:lvl>
    <w:lvl w:ilvl="8" w:tplc="BBC2AA18">
      <w:numFmt w:val="bullet"/>
      <w:lvlText w:val="•"/>
      <w:lvlJc w:val="left"/>
      <w:pPr>
        <w:ind w:left="2014" w:hanging="80"/>
      </w:pPr>
      <w:rPr>
        <w:rFonts w:hint="default"/>
        <w:lang w:val="en-US" w:eastAsia="en-US" w:bidi="ar-SA"/>
      </w:rPr>
    </w:lvl>
  </w:abstractNum>
  <w:abstractNum w:abstractNumId="286" w15:restartNumberingAfterBreak="0">
    <w:nsid w:val="6E714620"/>
    <w:multiLevelType w:val="hybridMultilevel"/>
    <w:tmpl w:val="15D01DF8"/>
    <w:lvl w:ilvl="0" w:tplc="0FFC93E4">
      <w:start w:val="2"/>
      <w:numFmt w:val="lowerRoman"/>
      <w:lvlText w:val="%1."/>
      <w:lvlJc w:val="left"/>
      <w:pPr>
        <w:ind w:left="850" w:hanging="720"/>
      </w:pPr>
      <w:rPr>
        <w:rFonts w:ascii="Arial" w:eastAsia="Arial" w:hAnsi="Arial" w:cs="Arial" w:hint="default"/>
        <w:color w:val="231F20"/>
        <w:w w:val="99"/>
        <w:sz w:val="22"/>
        <w:szCs w:val="22"/>
        <w:lang w:val="en-US" w:eastAsia="en-US" w:bidi="ar-SA"/>
      </w:rPr>
    </w:lvl>
    <w:lvl w:ilvl="1" w:tplc="345AB382">
      <w:numFmt w:val="bullet"/>
      <w:lvlText w:val="•"/>
      <w:lvlJc w:val="left"/>
      <w:pPr>
        <w:ind w:left="1744" w:hanging="720"/>
      </w:pPr>
      <w:rPr>
        <w:rFonts w:hint="default"/>
        <w:lang w:val="en-US" w:eastAsia="en-US" w:bidi="ar-SA"/>
      </w:rPr>
    </w:lvl>
    <w:lvl w:ilvl="2" w:tplc="33604180">
      <w:numFmt w:val="bullet"/>
      <w:lvlText w:val="•"/>
      <w:lvlJc w:val="left"/>
      <w:pPr>
        <w:ind w:left="2629" w:hanging="720"/>
      </w:pPr>
      <w:rPr>
        <w:rFonts w:hint="default"/>
        <w:lang w:val="en-US" w:eastAsia="en-US" w:bidi="ar-SA"/>
      </w:rPr>
    </w:lvl>
    <w:lvl w:ilvl="3" w:tplc="5C50D4F6">
      <w:numFmt w:val="bullet"/>
      <w:lvlText w:val="•"/>
      <w:lvlJc w:val="left"/>
      <w:pPr>
        <w:ind w:left="3513" w:hanging="720"/>
      </w:pPr>
      <w:rPr>
        <w:rFonts w:hint="default"/>
        <w:lang w:val="en-US" w:eastAsia="en-US" w:bidi="ar-SA"/>
      </w:rPr>
    </w:lvl>
    <w:lvl w:ilvl="4" w:tplc="80A4A34A">
      <w:numFmt w:val="bullet"/>
      <w:lvlText w:val="•"/>
      <w:lvlJc w:val="left"/>
      <w:pPr>
        <w:ind w:left="4398" w:hanging="720"/>
      </w:pPr>
      <w:rPr>
        <w:rFonts w:hint="default"/>
        <w:lang w:val="en-US" w:eastAsia="en-US" w:bidi="ar-SA"/>
      </w:rPr>
    </w:lvl>
    <w:lvl w:ilvl="5" w:tplc="F6E690DE">
      <w:numFmt w:val="bullet"/>
      <w:lvlText w:val="•"/>
      <w:lvlJc w:val="left"/>
      <w:pPr>
        <w:ind w:left="5282" w:hanging="720"/>
      </w:pPr>
      <w:rPr>
        <w:rFonts w:hint="default"/>
        <w:lang w:val="en-US" w:eastAsia="en-US" w:bidi="ar-SA"/>
      </w:rPr>
    </w:lvl>
    <w:lvl w:ilvl="6" w:tplc="13B69528">
      <w:numFmt w:val="bullet"/>
      <w:lvlText w:val="•"/>
      <w:lvlJc w:val="left"/>
      <w:pPr>
        <w:ind w:left="6167" w:hanging="720"/>
      </w:pPr>
      <w:rPr>
        <w:rFonts w:hint="default"/>
        <w:lang w:val="en-US" w:eastAsia="en-US" w:bidi="ar-SA"/>
      </w:rPr>
    </w:lvl>
    <w:lvl w:ilvl="7" w:tplc="9C24C120">
      <w:numFmt w:val="bullet"/>
      <w:lvlText w:val="•"/>
      <w:lvlJc w:val="left"/>
      <w:pPr>
        <w:ind w:left="7051" w:hanging="720"/>
      </w:pPr>
      <w:rPr>
        <w:rFonts w:hint="default"/>
        <w:lang w:val="en-US" w:eastAsia="en-US" w:bidi="ar-SA"/>
      </w:rPr>
    </w:lvl>
    <w:lvl w:ilvl="8" w:tplc="6C5A2304">
      <w:numFmt w:val="bullet"/>
      <w:lvlText w:val="•"/>
      <w:lvlJc w:val="left"/>
      <w:pPr>
        <w:ind w:left="7936" w:hanging="720"/>
      </w:pPr>
      <w:rPr>
        <w:rFonts w:hint="default"/>
        <w:lang w:val="en-US" w:eastAsia="en-US" w:bidi="ar-SA"/>
      </w:rPr>
    </w:lvl>
  </w:abstractNum>
  <w:abstractNum w:abstractNumId="287" w15:restartNumberingAfterBreak="0">
    <w:nsid w:val="6F0314AA"/>
    <w:multiLevelType w:val="multilevel"/>
    <w:tmpl w:val="539047B2"/>
    <w:lvl w:ilvl="0">
      <w:start w:val="5"/>
      <w:numFmt w:val="decimal"/>
      <w:lvlText w:val="%1"/>
      <w:lvlJc w:val="left"/>
      <w:pPr>
        <w:ind w:left="176" w:hanging="777"/>
      </w:pPr>
      <w:rPr>
        <w:rFonts w:hint="default"/>
        <w:lang w:val="en-US" w:eastAsia="en-US" w:bidi="ar-SA"/>
      </w:rPr>
    </w:lvl>
    <w:lvl w:ilvl="1">
      <w:start w:val="8"/>
      <w:numFmt w:val="decimal"/>
      <w:lvlText w:val="%1.%2"/>
      <w:lvlJc w:val="left"/>
      <w:pPr>
        <w:ind w:left="176" w:hanging="777"/>
      </w:pPr>
      <w:rPr>
        <w:rFonts w:hint="default"/>
        <w:lang w:val="en-US" w:eastAsia="en-US" w:bidi="ar-SA"/>
      </w:rPr>
    </w:lvl>
    <w:lvl w:ilvl="2">
      <w:start w:val="4"/>
      <w:numFmt w:val="decimal"/>
      <w:lvlText w:val="%1.%2.%3"/>
      <w:lvlJc w:val="left"/>
      <w:pPr>
        <w:ind w:left="176" w:hanging="777"/>
      </w:pPr>
      <w:rPr>
        <w:rFonts w:hint="default"/>
        <w:lang w:val="en-US" w:eastAsia="en-US" w:bidi="ar-SA"/>
      </w:rPr>
    </w:lvl>
    <w:lvl w:ilvl="3">
      <w:start w:val="1"/>
      <w:numFmt w:val="decimal"/>
      <w:lvlText w:val="%1.%2.%3.%4"/>
      <w:lvlJc w:val="left"/>
      <w:pPr>
        <w:ind w:left="176" w:hanging="777"/>
      </w:pPr>
      <w:rPr>
        <w:rFonts w:ascii="Arial" w:eastAsia="Arial" w:hAnsi="Arial" w:cs="Arial" w:hint="default"/>
        <w:color w:val="231F20"/>
        <w:spacing w:val="-25"/>
        <w:w w:val="99"/>
        <w:sz w:val="22"/>
        <w:szCs w:val="22"/>
        <w:lang w:val="en-US" w:eastAsia="en-US" w:bidi="ar-SA"/>
      </w:rPr>
    </w:lvl>
    <w:lvl w:ilvl="4">
      <w:numFmt w:val="bullet"/>
      <w:lvlText w:val="•"/>
      <w:lvlJc w:val="left"/>
      <w:pPr>
        <w:ind w:left="3990" w:hanging="777"/>
      </w:pPr>
      <w:rPr>
        <w:rFonts w:hint="default"/>
        <w:lang w:val="en-US" w:eastAsia="en-US" w:bidi="ar-SA"/>
      </w:rPr>
    </w:lvl>
    <w:lvl w:ilvl="5">
      <w:numFmt w:val="bullet"/>
      <w:lvlText w:val="•"/>
      <w:lvlJc w:val="left"/>
      <w:pPr>
        <w:ind w:left="4942" w:hanging="777"/>
      </w:pPr>
      <w:rPr>
        <w:rFonts w:hint="default"/>
        <w:lang w:val="en-US" w:eastAsia="en-US" w:bidi="ar-SA"/>
      </w:rPr>
    </w:lvl>
    <w:lvl w:ilvl="6">
      <w:numFmt w:val="bullet"/>
      <w:lvlText w:val="•"/>
      <w:lvlJc w:val="left"/>
      <w:pPr>
        <w:ind w:left="5895" w:hanging="777"/>
      </w:pPr>
      <w:rPr>
        <w:rFonts w:hint="default"/>
        <w:lang w:val="en-US" w:eastAsia="en-US" w:bidi="ar-SA"/>
      </w:rPr>
    </w:lvl>
    <w:lvl w:ilvl="7">
      <w:numFmt w:val="bullet"/>
      <w:lvlText w:val="•"/>
      <w:lvlJc w:val="left"/>
      <w:pPr>
        <w:ind w:left="6847" w:hanging="777"/>
      </w:pPr>
      <w:rPr>
        <w:rFonts w:hint="default"/>
        <w:lang w:val="en-US" w:eastAsia="en-US" w:bidi="ar-SA"/>
      </w:rPr>
    </w:lvl>
    <w:lvl w:ilvl="8">
      <w:numFmt w:val="bullet"/>
      <w:lvlText w:val="•"/>
      <w:lvlJc w:val="left"/>
      <w:pPr>
        <w:ind w:left="7800" w:hanging="777"/>
      </w:pPr>
      <w:rPr>
        <w:rFonts w:hint="default"/>
        <w:lang w:val="en-US" w:eastAsia="en-US" w:bidi="ar-SA"/>
      </w:rPr>
    </w:lvl>
  </w:abstractNum>
  <w:abstractNum w:abstractNumId="288" w15:restartNumberingAfterBreak="0">
    <w:nsid w:val="6F3F00CB"/>
    <w:multiLevelType w:val="hybridMultilevel"/>
    <w:tmpl w:val="4900D40E"/>
    <w:lvl w:ilvl="0" w:tplc="B9741288">
      <w:numFmt w:val="bullet"/>
      <w:lvlText w:val="•"/>
      <w:lvlJc w:val="left"/>
      <w:pPr>
        <w:ind w:left="24" w:hanging="69"/>
      </w:pPr>
      <w:rPr>
        <w:rFonts w:ascii="Arial" w:eastAsia="Arial" w:hAnsi="Arial" w:cs="Arial" w:hint="default"/>
        <w:color w:val="231F20"/>
        <w:w w:val="84"/>
        <w:sz w:val="14"/>
        <w:szCs w:val="14"/>
        <w:lang w:val="en-US" w:eastAsia="en-US" w:bidi="ar-SA"/>
      </w:rPr>
    </w:lvl>
    <w:lvl w:ilvl="1" w:tplc="4EA0A2A4">
      <w:numFmt w:val="bullet"/>
      <w:lvlText w:val="•"/>
      <w:lvlJc w:val="left"/>
      <w:pPr>
        <w:ind w:left="255" w:hanging="69"/>
      </w:pPr>
      <w:rPr>
        <w:rFonts w:hint="default"/>
        <w:lang w:val="en-US" w:eastAsia="en-US" w:bidi="ar-SA"/>
      </w:rPr>
    </w:lvl>
    <w:lvl w:ilvl="2" w:tplc="F81CFE5A">
      <w:numFmt w:val="bullet"/>
      <w:lvlText w:val="•"/>
      <w:lvlJc w:val="left"/>
      <w:pPr>
        <w:ind w:left="490" w:hanging="69"/>
      </w:pPr>
      <w:rPr>
        <w:rFonts w:hint="default"/>
        <w:lang w:val="en-US" w:eastAsia="en-US" w:bidi="ar-SA"/>
      </w:rPr>
    </w:lvl>
    <w:lvl w:ilvl="3" w:tplc="67AA71B2">
      <w:numFmt w:val="bullet"/>
      <w:lvlText w:val="•"/>
      <w:lvlJc w:val="left"/>
      <w:pPr>
        <w:ind w:left="726" w:hanging="69"/>
      </w:pPr>
      <w:rPr>
        <w:rFonts w:hint="default"/>
        <w:lang w:val="en-US" w:eastAsia="en-US" w:bidi="ar-SA"/>
      </w:rPr>
    </w:lvl>
    <w:lvl w:ilvl="4" w:tplc="4118ACAA">
      <w:numFmt w:val="bullet"/>
      <w:lvlText w:val="•"/>
      <w:lvlJc w:val="left"/>
      <w:pPr>
        <w:ind w:left="961" w:hanging="69"/>
      </w:pPr>
      <w:rPr>
        <w:rFonts w:hint="default"/>
        <w:lang w:val="en-US" w:eastAsia="en-US" w:bidi="ar-SA"/>
      </w:rPr>
    </w:lvl>
    <w:lvl w:ilvl="5" w:tplc="ABCE91CC">
      <w:numFmt w:val="bullet"/>
      <w:lvlText w:val="•"/>
      <w:lvlJc w:val="left"/>
      <w:pPr>
        <w:ind w:left="1197" w:hanging="69"/>
      </w:pPr>
      <w:rPr>
        <w:rFonts w:hint="default"/>
        <w:lang w:val="en-US" w:eastAsia="en-US" w:bidi="ar-SA"/>
      </w:rPr>
    </w:lvl>
    <w:lvl w:ilvl="6" w:tplc="AED48DDC">
      <w:numFmt w:val="bullet"/>
      <w:lvlText w:val="•"/>
      <w:lvlJc w:val="left"/>
      <w:pPr>
        <w:ind w:left="1432" w:hanging="69"/>
      </w:pPr>
      <w:rPr>
        <w:rFonts w:hint="default"/>
        <w:lang w:val="en-US" w:eastAsia="en-US" w:bidi="ar-SA"/>
      </w:rPr>
    </w:lvl>
    <w:lvl w:ilvl="7" w:tplc="AED4A0E6">
      <w:numFmt w:val="bullet"/>
      <w:lvlText w:val="•"/>
      <w:lvlJc w:val="left"/>
      <w:pPr>
        <w:ind w:left="1667" w:hanging="69"/>
      </w:pPr>
      <w:rPr>
        <w:rFonts w:hint="default"/>
        <w:lang w:val="en-US" w:eastAsia="en-US" w:bidi="ar-SA"/>
      </w:rPr>
    </w:lvl>
    <w:lvl w:ilvl="8" w:tplc="0EE47EF0">
      <w:numFmt w:val="bullet"/>
      <w:lvlText w:val="•"/>
      <w:lvlJc w:val="left"/>
      <w:pPr>
        <w:ind w:left="1903" w:hanging="69"/>
      </w:pPr>
      <w:rPr>
        <w:rFonts w:hint="default"/>
        <w:lang w:val="en-US" w:eastAsia="en-US" w:bidi="ar-SA"/>
      </w:rPr>
    </w:lvl>
  </w:abstractNum>
  <w:abstractNum w:abstractNumId="289" w15:restartNumberingAfterBreak="0">
    <w:nsid w:val="6FA44298"/>
    <w:multiLevelType w:val="hybridMultilevel"/>
    <w:tmpl w:val="11E0209E"/>
    <w:lvl w:ilvl="0" w:tplc="9F60BAE2">
      <w:numFmt w:val="bullet"/>
      <w:lvlText w:val="•"/>
      <w:lvlJc w:val="left"/>
      <w:pPr>
        <w:ind w:left="23" w:hanging="67"/>
      </w:pPr>
      <w:rPr>
        <w:rFonts w:ascii="Arial" w:eastAsia="Arial" w:hAnsi="Arial" w:cs="Arial" w:hint="default"/>
        <w:color w:val="231F20"/>
        <w:w w:val="115"/>
        <w:sz w:val="10"/>
        <w:szCs w:val="10"/>
        <w:lang w:val="en-US" w:eastAsia="en-US" w:bidi="ar-SA"/>
      </w:rPr>
    </w:lvl>
    <w:lvl w:ilvl="1" w:tplc="0FCEBF42">
      <w:numFmt w:val="bullet"/>
      <w:lvlText w:val="•"/>
      <w:lvlJc w:val="left"/>
      <w:pPr>
        <w:ind w:left="248" w:hanging="67"/>
      </w:pPr>
      <w:rPr>
        <w:rFonts w:hint="default"/>
        <w:lang w:val="en-US" w:eastAsia="en-US" w:bidi="ar-SA"/>
      </w:rPr>
    </w:lvl>
    <w:lvl w:ilvl="2" w:tplc="D0AAB96C">
      <w:numFmt w:val="bullet"/>
      <w:lvlText w:val="•"/>
      <w:lvlJc w:val="left"/>
      <w:pPr>
        <w:ind w:left="477" w:hanging="67"/>
      </w:pPr>
      <w:rPr>
        <w:rFonts w:hint="default"/>
        <w:lang w:val="en-US" w:eastAsia="en-US" w:bidi="ar-SA"/>
      </w:rPr>
    </w:lvl>
    <w:lvl w:ilvl="3" w:tplc="F6B89412">
      <w:numFmt w:val="bullet"/>
      <w:lvlText w:val="•"/>
      <w:lvlJc w:val="left"/>
      <w:pPr>
        <w:ind w:left="706" w:hanging="67"/>
      </w:pPr>
      <w:rPr>
        <w:rFonts w:hint="default"/>
        <w:lang w:val="en-US" w:eastAsia="en-US" w:bidi="ar-SA"/>
      </w:rPr>
    </w:lvl>
    <w:lvl w:ilvl="4" w:tplc="E732231C">
      <w:numFmt w:val="bullet"/>
      <w:lvlText w:val="•"/>
      <w:lvlJc w:val="left"/>
      <w:pPr>
        <w:ind w:left="935" w:hanging="67"/>
      </w:pPr>
      <w:rPr>
        <w:rFonts w:hint="default"/>
        <w:lang w:val="en-US" w:eastAsia="en-US" w:bidi="ar-SA"/>
      </w:rPr>
    </w:lvl>
    <w:lvl w:ilvl="5" w:tplc="37368650">
      <w:numFmt w:val="bullet"/>
      <w:lvlText w:val="•"/>
      <w:lvlJc w:val="left"/>
      <w:pPr>
        <w:ind w:left="1164" w:hanging="67"/>
      </w:pPr>
      <w:rPr>
        <w:rFonts w:hint="default"/>
        <w:lang w:val="en-US" w:eastAsia="en-US" w:bidi="ar-SA"/>
      </w:rPr>
    </w:lvl>
    <w:lvl w:ilvl="6" w:tplc="432C6162">
      <w:numFmt w:val="bullet"/>
      <w:lvlText w:val="•"/>
      <w:lvlJc w:val="left"/>
      <w:pPr>
        <w:ind w:left="1393" w:hanging="67"/>
      </w:pPr>
      <w:rPr>
        <w:rFonts w:hint="default"/>
        <w:lang w:val="en-US" w:eastAsia="en-US" w:bidi="ar-SA"/>
      </w:rPr>
    </w:lvl>
    <w:lvl w:ilvl="7" w:tplc="67603A88">
      <w:numFmt w:val="bullet"/>
      <w:lvlText w:val="•"/>
      <w:lvlJc w:val="left"/>
      <w:pPr>
        <w:ind w:left="1622" w:hanging="67"/>
      </w:pPr>
      <w:rPr>
        <w:rFonts w:hint="default"/>
        <w:lang w:val="en-US" w:eastAsia="en-US" w:bidi="ar-SA"/>
      </w:rPr>
    </w:lvl>
    <w:lvl w:ilvl="8" w:tplc="ED88038A">
      <w:numFmt w:val="bullet"/>
      <w:lvlText w:val="•"/>
      <w:lvlJc w:val="left"/>
      <w:pPr>
        <w:ind w:left="1851" w:hanging="67"/>
      </w:pPr>
      <w:rPr>
        <w:rFonts w:hint="default"/>
        <w:lang w:val="en-US" w:eastAsia="en-US" w:bidi="ar-SA"/>
      </w:rPr>
    </w:lvl>
  </w:abstractNum>
  <w:abstractNum w:abstractNumId="290" w15:restartNumberingAfterBreak="0">
    <w:nsid w:val="6FB71FAE"/>
    <w:multiLevelType w:val="hybridMultilevel"/>
    <w:tmpl w:val="373679BC"/>
    <w:lvl w:ilvl="0" w:tplc="8EB419D0">
      <w:numFmt w:val="bullet"/>
      <w:lvlText w:val="•"/>
      <w:lvlJc w:val="left"/>
      <w:pPr>
        <w:ind w:left="25" w:hanging="74"/>
      </w:pPr>
      <w:rPr>
        <w:rFonts w:ascii="Arial" w:eastAsia="Arial" w:hAnsi="Arial" w:cs="Arial" w:hint="default"/>
        <w:color w:val="231F20"/>
        <w:w w:val="83"/>
        <w:sz w:val="14"/>
        <w:szCs w:val="14"/>
        <w:lang w:val="en-US" w:eastAsia="en-US" w:bidi="ar-SA"/>
      </w:rPr>
    </w:lvl>
    <w:lvl w:ilvl="1" w:tplc="81CCF748">
      <w:numFmt w:val="bullet"/>
      <w:lvlText w:val="•"/>
      <w:lvlJc w:val="left"/>
      <w:pPr>
        <w:ind w:left="252" w:hanging="74"/>
      </w:pPr>
      <w:rPr>
        <w:rFonts w:hint="default"/>
        <w:lang w:val="en-US" w:eastAsia="en-US" w:bidi="ar-SA"/>
      </w:rPr>
    </w:lvl>
    <w:lvl w:ilvl="2" w:tplc="3F74D602">
      <w:numFmt w:val="bullet"/>
      <w:lvlText w:val="•"/>
      <w:lvlJc w:val="left"/>
      <w:pPr>
        <w:ind w:left="484" w:hanging="74"/>
      </w:pPr>
      <w:rPr>
        <w:rFonts w:hint="default"/>
        <w:lang w:val="en-US" w:eastAsia="en-US" w:bidi="ar-SA"/>
      </w:rPr>
    </w:lvl>
    <w:lvl w:ilvl="3" w:tplc="A1109274">
      <w:numFmt w:val="bullet"/>
      <w:lvlText w:val="•"/>
      <w:lvlJc w:val="left"/>
      <w:pPr>
        <w:ind w:left="716" w:hanging="74"/>
      </w:pPr>
      <w:rPr>
        <w:rFonts w:hint="default"/>
        <w:lang w:val="en-US" w:eastAsia="en-US" w:bidi="ar-SA"/>
      </w:rPr>
    </w:lvl>
    <w:lvl w:ilvl="4" w:tplc="10FA94E8">
      <w:numFmt w:val="bullet"/>
      <w:lvlText w:val="•"/>
      <w:lvlJc w:val="left"/>
      <w:pPr>
        <w:ind w:left="948" w:hanging="74"/>
      </w:pPr>
      <w:rPr>
        <w:rFonts w:hint="default"/>
        <w:lang w:val="en-US" w:eastAsia="en-US" w:bidi="ar-SA"/>
      </w:rPr>
    </w:lvl>
    <w:lvl w:ilvl="5" w:tplc="068C803E">
      <w:numFmt w:val="bullet"/>
      <w:lvlText w:val="•"/>
      <w:lvlJc w:val="left"/>
      <w:pPr>
        <w:ind w:left="1181" w:hanging="74"/>
      </w:pPr>
      <w:rPr>
        <w:rFonts w:hint="default"/>
        <w:lang w:val="en-US" w:eastAsia="en-US" w:bidi="ar-SA"/>
      </w:rPr>
    </w:lvl>
    <w:lvl w:ilvl="6" w:tplc="37E48C3A">
      <w:numFmt w:val="bullet"/>
      <w:lvlText w:val="•"/>
      <w:lvlJc w:val="left"/>
      <w:pPr>
        <w:ind w:left="1413" w:hanging="74"/>
      </w:pPr>
      <w:rPr>
        <w:rFonts w:hint="default"/>
        <w:lang w:val="en-US" w:eastAsia="en-US" w:bidi="ar-SA"/>
      </w:rPr>
    </w:lvl>
    <w:lvl w:ilvl="7" w:tplc="ED649328">
      <w:numFmt w:val="bullet"/>
      <w:lvlText w:val="•"/>
      <w:lvlJc w:val="left"/>
      <w:pPr>
        <w:ind w:left="1645" w:hanging="74"/>
      </w:pPr>
      <w:rPr>
        <w:rFonts w:hint="default"/>
        <w:lang w:val="en-US" w:eastAsia="en-US" w:bidi="ar-SA"/>
      </w:rPr>
    </w:lvl>
    <w:lvl w:ilvl="8" w:tplc="F9443D2A">
      <w:numFmt w:val="bullet"/>
      <w:lvlText w:val="•"/>
      <w:lvlJc w:val="left"/>
      <w:pPr>
        <w:ind w:left="1877" w:hanging="74"/>
      </w:pPr>
      <w:rPr>
        <w:rFonts w:hint="default"/>
        <w:lang w:val="en-US" w:eastAsia="en-US" w:bidi="ar-SA"/>
      </w:rPr>
    </w:lvl>
  </w:abstractNum>
  <w:abstractNum w:abstractNumId="291" w15:restartNumberingAfterBreak="0">
    <w:nsid w:val="717C791A"/>
    <w:multiLevelType w:val="hybridMultilevel"/>
    <w:tmpl w:val="5C40939C"/>
    <w:lvl w:ilvl="0" w:tplc="3D58A2EE">
      <w:numFmt w:val="bullet"/>
      <w:lvlText w:val="•"/>
      <w:lvlJc w:val="left"/>
      <w:pPr>
        <w:ind w:left="26" w:hanging="79"/>
      </w:pPr>
      <w:rPr>
        <w:rFonts w:ascii="Arial" w:eastAsia="Arial" w:hAnsi="Arial" w:cs="Arial" w:hint="default"/>
        <w:color w:val="231F20"/>
        <w:w w:val="82"/>
        <w:sz w:val="15"/>
        <w:szCs w:val="15"/>
        <w:lang w:val="en-US" w:eastAsia="en-US" w:bidi="ar-SA"/>
      </w:rPr>
    </w:lvl>
    <w:lvl w:ilvl="1" w:tplc="FD14AF14">
      <w:numFmt w:val="bullet"/>
      <w:lvlText w:val="•"/>
      <w:lvlJc w:val="left"/>
      <w:pPr>
        <w:ind w:left="266" w:hanging="79"/>
      </w:pPr>
      <w:rPr>
        <w:rFonts w:hint="default"/>
        <w:lang w:val="en-US" w:eastAsia="en-US" w:bidi="ar-SA"/>
      </w:rPr>
    </w:lvl>
    <w:lvl w:ilvl="2" w:tplc="1D640EFE">
      <w:numFmt w:val="bullet"/>
      <w:lvlText w:val="•"/>
      <w:lvlJc w:val="left"/>
      <w:pPr>
        <w:ind w:left="512" w:hanging="79"/>
      </w:pPr>
      <w:rPr>
        <w:rFonts w:hint="default"/>
        <w:lang w:val="en-US" w:eastAsia="en-US" w:bidi="ar-SA"/>
      </w:rPr>
    </w:lvl>
    <w:lvl w:ilvl="3" w:tplc="6DB669C0">
      <w:numFmt w:val="bullet"/>
      <w:lvlText w:val="•"/>
      <w:lvlJc w:val="left"/>
      <w:pPr>
        <w:ind w:left="758" w:hanging="79"/>
      </w:pPr>
      <w:rPr>
        <w:rFonts w:hint="default"/>
        <w:lang w:val="en-US" w:eastAsia="en-US" w:bidi="ar-SA"/>
      </w:rPr>
    </w:lvl>
    <w:lvl w:ilvl="4" w:tplc="6BDAE90E">
      <w:numFmt w:val="bullet"/>
      <w:lvlText w:val="•"/>
      <w:lvlJc w:val="left"/>
      <w:pPr>
        <w:ind w:left="1005" w:hanging="79"/>
      </w:pPr>
      <w:rPr>
        <w:rFonts w:hint="default"/>
        <w:lang w:val="en-US" w:eastAsia="en-US" w:bidi="ar-SA"/>
      </w:rPr>
    </w:lvl>
    <w:lvl w:ilvl="5" w:tplc="4BB6F4DA">
      <w:numFmt w:val="bullet"/>
      <w:lvlText w:val="•"/>
      <w:lvlJc w:val="left"/>
      <w:pPr>
        <w:ind w:left="1251" w:hanging="79"/>
      </w:pPr>
      <w:rPr>
        <w:rFonts w:hint="default"/>
        <w:lang w:val="en-US" w:eastAsia="en-US" w:bidi="ar-SA"/>
      </w:rPr>
    </w:lvl>
    <w:lvl w:ilvl="6" w:tplc="0ADE2B60">
      <w:numFmt w:val="bullet"/>
      <w:lvlText w:val="•"/>
      <w:lvlJc w:val="left"/>
      <w:pPr>
        <w:ind w:left="1497" w:hanging="79"/>
      </w:pPr>
      <w:rPr>
        <w:rFonts w:hint="default"/>
        <w:lang w:val="en-US" w:eastAsia="en-US" w:bidi="ar-SA"/>
      </w:rPr>
    </w:lvl>
    <w:lvl w:ilvl="7" w:tplc="76A4FF20">
      <w:numFmt w:val="bullet"/>
      <w:lvlText w:val="•"/>
      <w:lvlJc w:val="left"/>
      <w:pPr>
        <w:ind w:left="1744" w:hanging="79"/>
      </w:pPr>
      <w:rPr>
        <w:rFonts w:hint="default"/>
        <w:lang w:val="en-US" w:eastAsia="en-US" w:bidi="ar-SA"/>
      </w:rPr>
    </w:lvl>
    <w:lvl w:ilvl="8" w:tplc="F6361C0C">
      <w:numFmt w:val="bullet"/>
      <w:lvlText w:val="•"/>
      <w:lvlJc w:val="left"/>
      <w:pPr>
        <w:ind w:left="1990" w:hanging="79"/>
      </w:pPr>
      <w:rPr>
        <w:rFonts w:hint="default"/>
        <w:lang w:val="en-US" w:eastAsia="en-US" w:bidi="ar-SA"/>
      </w:rPr>
    </w:lvl>
  </w:abstractNum>
  <w:abstractNum w:abstractNumId="292" w15:restartNumberingAfterBreak="0">
    <w:nsid w:val="71B501FA"/>
    <w:multiLevelType w:val="hybridMultilevel"/>
    <w:tmpl w:val="103AED44"/>
    <w:lvl w:ilvl="0" w:tplc="E0C809DA">
      <w:numFmt w:val="bullet"/>
      <w:lvlText w:val="•"/>
      <w:lvlJc w:val="left"/>
      <w:pPr>
        <w:ind w:left="28" w:hanging="45"/>
      </w:pPr>
      <w:rPr>
        <w:rFonts w:ascii="Arial" w:eastAsia="Arial" w:hAnsi="Arial" w:cs="Arial" w:hint="default"/>
        <w:color w:val="231F20"/>
        <w:w w:val="83"/>
        <w:sz w:val="13"/>
        <w:szCs w:val="13"/>
        <w:lang w:val="en-US" w:eastAsia="en-US" w:bidi="ar-SA"/>
      </w:rPr>
    </w:lvl>
    <w:lvl w:ilvl="1" w:tplc="3F9EDA8A">
      <w:numFmt w:val="bullet"/>
      <w:lvlText w:val="•"/>
      <w:lvlJc w:val="left"/>
      <w:pPr>
        <w:ind w:left="267" w:hanging="45"/>
      </w:pPr>
      <w:rPr>
        <w:rFonts w:hint="default"/>
        <w:lang w:val="en-US" w:eastAsia="en-US" w:bidi="ar-SA"/>
      </w:rPr>
    </w:lvl>
    <w:lvl w:ilvl="2" w:tplc="998274E0">
      <w:numFmt w:val="bullet"/>
      <w:lvlText w:val="•"/>
      <w:lvlJc w:val="left"/>
      <w:pPr>
        <w:ind w:left="515" w:hanging="45"/>
      </w:pPr>
      <w:rPr>
        <w:rFonts w:hint="default"/>
        <w:lang w:val="en-US" w:eastAsia="en-US" w:bidi="ar-SA"/>
      </w:rPr>
    </w:lvl>
    <w:lvl w:ilvl="3" w:tplc="31CEF900">
      <w:numFmt w:val="bullet"/>
      <w:lvlText w:val="•"/>
      <w:lvlJc w:val="left"/>
      <w:pPr>
        <w:ind w:left="763" w:hanging="45"/>
      </w:pPr>
      <w:rPr>
        <w:rFonts w:hint="default"/>
        <w:lang w:val="en-US" w:eastAsia="en-US" w:bidi="ar-SA"/>
      </w:rPr>
    </w:lvl>
    <w:lvl w:ilvl="4" w:tplc="FC5A96C6">
      <w:numFmt w:val="bullet"/>
      <w:lvlText w:val="•"/>
      <w:lvlJc w:val="left"/>
      <w:pPr>
        <w:ind w:left="1010" w:hanging="45"/>
      </w:pPr>
      <w:rPr>
        <w:rFonts w:hint="default"/>
        <w:lang w:val="en-US" w:eastAsia="en-US" w:bidi="ar-SA"/>
      </w:rPr>
    </w:lvl>
    <w:lvl w:ilvl="5" w:tplc="CC0A57FE">
      <w:numFmt w:val="bullet"/>
      <w:lvlText w:val="•"/>
      <w:lvlJc w:val="left"/>
      <w:pPr>
        <w:ind w:left="1258" w:hanging="45"/>
      </w:pPr>
      <w:rPr>
        <w:rFonts w:hint="default"/>
        <w:lang w:val="en-US" w:eastAsia="en-US" w:bidi="ar-SA"/>
      </w:rPr>
    </w:lvl>
    <w:lvl w:ilvl="6" w:tplc="3E00DCAC">
      <w:numFmt w:val="bullet"/>
      <w:lvlText w:val="•"/>
      <w:lvlJc w:val="left"/>
      <w:pPr>
        <w:ind w:left="1506" w:hanging="45"/>
      </w:pPr>
      <w:rPr>
        <w:rFonts w:hint="default"/>
        <w:lang w:val="en-US" w:eastAsia="en-US" w:bidi="ar-SA"/>
      </w:rPr>
    </w:lvl>
    <w:lvl w:ilvl="7" w:tplc="6D468C16">
      <w:numFmt w:val="bullet"/>
      <w:lvlText w:val="•"/>
      <w:lvlJc w:val="left"/>
      <w:pPr>
        <w:ind w:left="1753" w:hanging="45"/>
      </w:pPr>
      <w:rPr>
        <w:rFonts w:hint="default"/>
        <w:lang w:val="en-US" w:eastAsia="en-US" w:bidi="ar-SA"/>
      </w:rPr>
    </w:lvl>
    <w:lvl w:ilvl="8" w:tplc="A184F7A6">
      <w:numFmt w:val="bullet"/>
      <w:lvlText w:val="•"/>
      <w:lvlJc w:val="left"/>
      <w:pPr>
        <w:ind w:left="2001" w:hanging="45"/>
      </w:pPr>
      <w:rPr>
        <w:rFonts w:hint="default"/>
        <w:lang w:val="en-US" w:eastAsia="en-US" w:bidi="ar-SA"/>
      </w:rPr>
    </w:lvl>
  </w:abstractNum>
  <w:abstractNum w:abstractNumId="293" w15:restartNumberingAfterBreak="0">
    <w:nsid w:val="72957BF5"/>
    <w:multiLevelType w:val="hybridMultilevel"/>
    <w:tmpl w:val="7D5CD630"/>
    <w:lvl w:ilvl="0" w:tplc="664A9CF4">
      <w:numFmt w:val="bullet"/>
      <w:lvlText w:val="•"/>
      <w:lvlJc w:val="left"/>
      <w:pPr>
        <w:ind w:left="27" w:hanging="76"/>
      </w:pPr>
      <w:rPr>
        <w:rFonts w:ascii="Arial" w:eastAsia="Arial" w:hAnsi="Arial" w:cs="Arial" w:hint="default"/>
        <w:color w:val="231F20"/>
        <w:w w:val="100"/>
        <w:sz w:val="12"/>
        <w:szCs w:val="12"/>
        <w:lang w:val="en-US" w:eastAsia="en-US" w:bidi="ar-SA"/>
      </w:rPr>
    </w:lvl>
    <w:lvl w:ilvl="1" w:tplc="CF324584">
      <w:numFmt w:val="bullet"/>
      <w:lvlText w:val="•"/>
      <w:lvlJc w:val="left"/>
      <w:pPr>
        <w:ind w:left="258" w:hanging="76"/>
      </w:pPr>
      <w:rPr>
        <w:rFonts w:hint="default"/>
        <w:lang w:val="en-US" w:eastAsia="en-US" w:bidi="ar-SA"/>
      </w:rPr>
    </w:lvl>
    <w:lvl w:ilvl="2" w:tplc="43EAD8E2">
      <w:numFmt w:val="bullet"/>
      <w:lvlText w:val="•"/>
      <w:lvlJc w:val="left"/>
      <w:pPr>
        <w:ind w:left="497" w:hanging="76"/>
      </w:pPr>
      <w:rPr>
        <w:rFonts w:hint="default"/>
        <w:lang w:val="en-US" w:eastAsia="en-US" w:bidi="ar-SA"/>
      </w:rPr>
    </w:lvl>
    <w:lvl w:ilvl="3" w:tplc="05840660">
      <w:numFmt w:val="bullet"/>
      <w:lvlText w:val="•"/>
      <w:lvlJc w:val="left"/>
      <w:pPr>
        <w:ind w:left="736" w:hanging="76"/>
      </w:pPr>
      <w:rPr>
        <w:rFonts w:hint="default"/>
        <w:lang w:val="en-US" w:eastAsia="en-US" w:bidi="ar-SA"/>
      </w:rPr>
    </w:lvl>
    <w:lvl w:ilvl="4" w:tplc="D94842D2">
      <w:numFmt w:val="bullet"/>
      <w:lvlText w:val="•"/>
      <w:lvlJc w:val="left"/>
      <w:pPr>
        <w:ind w:left="975" w:hanging="76"/>
      </w:pPr>
      <w:rPr>
        <w:rFonts w:hint="default"/>
        <w:lang w:val="en-US" w:eastAsia="en-US" w:bidi="ar-SA"/>
      </w:rPr>
    </w:lvl>
    <w:lvl w:ilvl="5" w:tplc="EA0E9BD8">
      <w:numFmt w:val="bullet"/>
      <w:lvlText w:val="•"/>
      <w:lvlJc w:val="left"/>
      <w:pPr>
        <w:ind w:left="1214" w:hanging="76"/>
      </w:pPr>
      <w:rPr>
        <w:rFonts w:hint="default"/>
        <w:lang w:val="en-US" w:eastAsia="en-US" w:bidi="ar-SA"/>
      </w:rPr>
    </w:lvl>
    <w:lvl w:ilvl="6" w:tplc="2BE44CAA">
      <w:numFmt w:val="bullet"/>
      <w:lvlText w:val="•"/>
      <w:lvlJc w:val="left"/>
      <w:pPr>
        <w:ind w:left="1452" w:hanging="76"/>
      </w:pPr>
      <w:rPr>
        <w:rFonts w:hint="default"/>
        <w:lang w:val="en-US" w:eastAsia="en-US" w:bidi="ar-SA"/>
      </w:rPr>
    </w:lvl>
    <w:lvl w:ilvl="7" w:tplc="8CE84D2E">
      <w:numFmt w:val="bullet"/>
      <w:lvlText w:val="•"/>
      <w:lvlJc w:val="left"/>
      <w:pPr>
        <w:ind w:left="1691" w:hanging="76"/>
      </w:pPr>
      <w:rPr>
        <w:rFonts w:hint="default"/>
        <w:lang w:val="en-US" w:eastAsia="en-US" w:bidi="ar-SA"/>
      </w:rPr>
    </w:lvl>
    <w:lvl w:ilvl="8" w:tplc="3E443D34">
      <w:numFmt w:val="bullet"/>
      <w:lvlText w:val="•"/>
      <w:lvlJc w:val="left"/>
      <w:pPr>
        <w:ind w:left="1930" w:hanging="76"/>
      </w:pPr>
      <w:rPr>
        <w:rFonts w:hint="default"/>
        <w:lang w:val="en-US" w:eastAsia="en-US" w:bidi="ar-SA"/>
      </w:rPr>
    </w:lvl>
  </w:abstractNum>
  <w:abstractNum w:abstractNumId="294" w15:restartNumberingAfterBreak="0">
    <w:nsid w:val="72FD164B"/>
    <w:multiLevelType w:val="hybridMultilevel"/>
    <w:tmpl w:val="D1CAD06A"/>
    <w:lvl w:ilvl="0" w:tplc="0D32982E">
      <w:numFmt w:val="bullet"/>
      <w:lvlText w:val="•"/>
      <w:lvlJc w:val="left"/>
      <w:pPr>
        <w:ind w:left="27" w:hanging="77"/>
      </w:pPr>
      <w:rPr>
        <w:rFonts w:ascii="Arial" w:eastAsia="Arial" w:hAnsi="Arial" w:cs="Arial" w:hint="default"/>
        <w:color w:val="231F20"/>
        <w:w w:val="80"/>
        <w:sz w:val="15"/>
        <w:szCs w:val="15"/>
        <w:lang w:val="en-US" w:eastAsia="en-US" w:bidi="ar-SA"/>
      </w:rPr>
    </w:lvl>
    <w:lvl w:ilvl="1" w:tplc="891A49FA">
      <w:numFmt w:val="bullet"/>
      <w:lvlText w:val="•"/>
      <w:lvlJc w:val="left"/>
      <w:pPr>
        <w:ind w:left="260" w:hanging="77"/>
      </w:pPr>
      <w:rPr>
        <w:rFonts w:hint="default"/>
        <w:lang w:val="en-US" w:eastAsia="en-US" w:bidi="ar-SA"/>
      </w:rPr>
    </w:lvl>
    <w:lvl w:ilvl="2" w:tplc="48EA8EDA">
      <w:numFmt w:val="bullet"/>
      <w:lvlText w:val="•"/>
      <w:lvlJc w:val="left"/>
      <w:pPr>
        <w:ind w:left="500" w:hanging="77"/>
      </w:pPr>
      <w:rPr>
        <w:rFonts w:hint="default"/>
        <w:lang w:val="en-US" w:eastAsia="en-US" w:bidi="ar-SA"/>
      </w:rPr>
    </w:lvl>
    <w:lvl w:ilvl="3" w:tplc="C76C20D4">
      <w:numFmt w:val="bullet"/>
      <w:lvlText w:val="•"/>
      <w:lvlJc w:val="left"/>
      <w:pPr>
        <w:ind w:left="740" w:hanging="77"/>
      </w:pPr>
      <w:rPr>
        <w:rFonts w:hint="default"/>
        <w:lang w:val="en-US" w:eastAsia="en-US" w:bidi="ar-SA"/>
      </w:rPr>
    </w:lvl>
    <w:lvl w:ilvl="4" w:tplc="D682F90A">
      <w:numFmt w:val="bullet"/>
      <w:lvlText w:val="•"/>
      <w:lvlJc w:val="left"/>
      <w:pPr>
        <w:ind w:left="980" w:hanging="77"/>
      </w:pPr>
      <w:rPr>
        <w:rFonts w:hint="default"/>
        <w:lang w:val="en-US" w:eastAsia="en-US" w:bidi="ar-SA"/>
      </w:rPr>
    </w:lvl>
    <w:lvl w:ilvl="5" w:tplc="B0DED262">
      <w:numFmt w:val="bullet"/>
      <w:lvlText w:val="•"/>
      <w:lvlJc w:val="left"/>
      <w:pPr>
        <w:ind w:left="1220" w:hanging="77"/>
      </w:pPr>
      <w:rPr>
        <w:rFonts w:hint="default"/>
        <w:lang w:val="en-US" w:eastAsia="en-US" w:bidi="ar-SA"/>
      </w:rPr>
    </w:lvl>
    <w:lvl w:ilvl="6" w:tplc="AFAE21D2">
      <w:numFmt w:val="bullet"/>
      <w:lvlText w:val="•"/>
      <w:lvlJc w:val="left"/>
      <w:pPr>
        <w:ind w:left="1460" w:hanging="77"/>
      </w:pPr>
      <w:rPr>
        <w:rFonts w:hint="default"/>
        <w:lang w:val="en-US" w:eastAsia="en-US" w:bidi="ar-SA"/>
      </w:rPr>
    </w:lvl>
    <w:lvl w:ilvl="7" w:tplc="DCDC9270">
      <w:numFmt w:val="bullet"/>
      <w:lvlText w:val="•"/>
      <w:lvlJc w:val="left"/>
      <w:pPr>
        <w:ind w:left="1700" w:hanging="77"/>
      </w:pPr>
      <w:rPr>
        <w:rFonts w:hint="default"/>
        <w:lang w:val="en-US" w:eastAsia="en-US" w:bidi="ar-SA"/>
      </w:rPr>
    </w:lvl>
    <w:lvl w:ilvl="8" w:tplc="446073DC">
      <w:numFmt w:val="bullet"/>
      <w:lvlText w:val="•"/>
      <w:lvlJc w:val="left"/>
      <w:pPr>
        <w:ind w:left="1940" w:hanging="77"/>
      </w:pPr>
      <w:rPr>
        <w:rFonts w:hint="default"/>
        <w:lang w:val="en-US" w:eastAsia="en-US" w:bidi="ar-SA"/>
      </w:rPr>
    </w:lvl>
  </w:abstractNum>
  <w:abstractNum w:abstractNumId="295" w15:restartNumberingAfterBreak="0">
    <w:nsid w:val="73665A72"/>
    <w:multiLevelType w:val="hybridMultilevel"/>
    <w:tmpl w:val="1548A870"/>
    <w:lvl w:ilvl="0" w:tplc="5A5E317E">
      <w:numFmt w:val="bullet"/>
      <w:lvlText w:val="•"/>
      <w:lvlJc w:val="left"/>
      <w:pPr>
        <w:ind w:left="29" w:hanging="76"/>
      </w:pPr>
      <w:rPr>
        <w:rFonts w:ascii="Arial" w:eastAsia="Arial" w:hAnsi="Arial" w:cs="Arial" w:hint="default"/>
        <w:color w:val="231F20"/>
        <w:w w:val="120"/>
        <w:sz w:val="10"/>
        <w:szCs w:val="10"/>
        <w:lang w:val="en-US" w:eastAsia="en-US" w:bidi="ar-SA"/>
      </w:rPr>
    </w:lvl>
    <w:lvl w:ilvl="1" w:tplc="3286BCB8">
      <w:numFmt w:val="bullet"/>
      <w:lvlText w:val="•"/>
      <w:lvlJc w:val="left"/>
      <w:pPr>
        <w:ind w:left="259" w:hanging="76"/>
      </w:pPr>
      <w:rPr>
        <w:rFonts w:hint="default"/>
        <w:lang w:val="en-US" w:eastAsia="en-US" w:bidi="ar-SA"/>
      </w:rPr>
    </w:lvl>
    <w:lvl w:ilvl="2" w:tplc="7AC0993E">
      <w:numFmt w:val="bullet"/>
      <w:lvlText w:val="•"/>
      <w:lvlJc w:val="left"/>
      <w:pPr>
        <w:ind w:left="498" w:hanging="76"/>
      </w:pPr>
      <w:rPr>
        <w:rFonts w:hint="default"/>
        <w:lang w:val="en-US" w:eastAsia="en-US" w:bidi="ar-SA"/>
      </w:rPr>
    </w:lvl>
    <w:lvl w:ilvl="3" w:tplc="735C151C">
      <w:numFmt w:val="bullet"/>
      <w:lvlText w:val="•"/>
      <w:lvlJc w:val="left"/>
      <w:pPr>
        <w:ind w:left="737" w:hanging="76"/>
      </w:pPr>
      <w:rPr>
        <w:rFonts w:hint="default"/>
        <w:lang w:val="en-US" w:eastAsia="en-US" w:bidi="ar-SA"/>
      </w:rPr>
    </w:lvl>
    <w:lvl w:ilvl="4" w:tplc="4ABA1C62">
      <w:numFmt w:val="bullet"/>
      <w:lvlText w:val="•"/>
      <w:lvlJc w:val="left"/>
      <w:pPr>
        <w:ind w:left="976" w:hanging="76"/>
      </w:pPr>
      <w:rPr>
        <w:rFonts w:hint="default"/>
        <w:lang w:val="en-US" w:eastAsia="en-US" w:bidi="ar-SA"/>
      </w:rPr>
    </w:lvl>
    <w:lvl w:ilvl="5" w:tplc="436E4F6C">
      <w:numFmt w:val="bullet"/>
      <w:lvlText w:val="•"/>
      <w:lvlJc w:val="left"/>
      <w:pPr>
        <w:ind w:left="1215" w:hanging="76"/>
      </w:pPr>
      <w:rPr>
        <w:rFonts w:hint="default"/>
        <w:lang w:val="en-US" w:eastAsia="en-US" w:bidi="ar-SA"/>
      </w:rPr>
    </w:lvl>
    <w:lvl w:ilvl="6" w:tplc="6A68A090">
      <w:numFmt w:val="bullet"/>
      <w:lvlText w:val="•"/>
      <w:lvlJc w:val="left"/>
      <w:pPr>
        <w:ind w:left="1454" w:hanging="76"/>
      </w:pPr>
      <w:rPr>
        <w:rFonts w:hint="default"/>
        <w:lang w:val="en-US" w:eastAsia="en-US" w:bidi="ar-SA"/>
      </w:rPr>
    </w:lvl>
    <w:lvl w:ilvl="7" w:tplc="3126100E">
      <w:numFmt w:val="bullet"/>
      <w:lvlText w:val="•"/>
      <w:lvlJc w:val="left"/>
      <w:pPr>
        <w:ind w:left="1693" w:hanging="76"/>
      </w:pPr>
      <w:rPr>
        <w:rFonts w:hint="default"/>
        <w:lang w:val="en-US" w:eastAsia="en-US" w:bidi="ar-SA"/>
      </w:rPr>
    </w:lvl>
    <w:lvl w:ilvl="8" w:tplc="644AED62">
      <w:numFmt w:val="bullet"/>
      <w:lvlText w:val="•"/>
      <w:lvlJc w:val="left"/>
      <w:pPr>
        <w:ind w:left="1932" w:hanging="76"/>
      </w:pPr>
      <w:rPr>
        <w:rFonts w:hint="default"/>
        <w:lang w:val="en-US" w:eastAsia="en-US" w:bidi="ar-SA"/>
      </w:rPr>
    </w:lvl>
  </w:abstractNum>
  <w:abstractNum w:abstractNumId="296" w15:restartNumberingAfterBreak="0">
    <w:nsid w:val="7373573E"/>
    <w:multiLevelType w:val="multilevel"/>
    <w:tmpl w:val="D988E816"/>
    <w:lvl w:ilvl="0">
      <w:start w:val="2"/>
      <w:numFmt w:val="decimal"/>
      <w:lvlText w:val="%1"/>
      <w:lvlJc w:val="left"/>
      <w:pPr>
        <w:ind w:left="872" w:hanging="720"/>
      </w:pPr>
      <w:rPr>
        <w:rFonts w:hint="default"/>
        <w:lang w:val="en-US" w:eastAsia="en-US" w:bidi="ar-SA"/>
      </w:rPr>
    </w:lvl>
    <w:lvl w:ilvl="1">
      <w:start w:val="1"/>
      <w:numFmt w:val="decimal"/>
      <w:lvlText w:val="%1.%2"/>
      <w:lvlJc w:val="left"/>
      <w:pPr>
        <w:ind w:left="872" w:hanging="720"/>
        <w:jc w:val="right"/>
      </w:pPr>
      <w:rPr>
        <w:rFonts w:hint="default"/>
        <w:b/>
        <w:bCs/>
        <w:w w:val="99"/>
        <w:lang w:val="en-US" w:eastAsia="en-US" w:bidi="ar-SA"/>
      </w:rPr>
    </w:lvl>
    <w:lvl w:ilvl="2">
      <w:start w:val="1"/>
      <w:numFmt w:val="decimal"/>
      <w:lvlText w:val="%1.%2.%3"/>
      <w:lvlJc w:val="left"/>
      <w:pPr>
        <w:ind w:left="871" w:hanging="720"/>
      </w:pPr>
      <w:rPr>
        <w:rFonts w:ascii="Arial" w:eastAsia="Arial" w:hAnsi="Arial" w:cs="Arial" w:hint="default"/>
        <w:b/>
        <w:bCs/>
        <w:color w:val="231F20"/>
        <w:spacing w:val="-25"/>
        <w:w w:val="99"/>
        <w:sz w:val="22"/>
        <w:szCs w:val="22"/>
        <w:lang w:val="en-US" w:eastAsia="en-US" w:bidi="ar-SA"/>
      </w:rPr>
    </w:lvl>
    <w:lvl w:ilvl="3">
      <w:numFmt w:val="bullet"/>
      <w:lvlText w:val="•"/>
      <w:lvlJc w:val="left"/>
      <w:pPr>
        <w:ind w:left="2841" w:hanging="720"/>
      </w:pPr>
      <w:rPr>
        <w:rFonts w:hint="default"/>
        <w:lang w:val="en-US" w:eastAsia="en-US" w:bidi="ar-SA"/>
      </w:rPr>
    </w:lvl>
    <w:lvl w:ilvl="4">
      <w:numFmt w:val="bullet"/>
      <w:lvlText w:val="•"/>
      <w:lvlJc w:val="left"/>
      <w:pPr>
        <w:ind w:left="3821" w:hanging="720"/>
      </w:pPr>
      <w:rPr>
        <w:rFonts w:hint="default"/>
        <w:lang w:val="en-US" w:eastAsia="en-US" w:bidi="ar-SA"/>
      </w:rPr>
    </w:lvl>
    <w:lvl w:ilvl="5">
      <w:numFmt w:val="bullet"/>
      <w:lvlText w:val="•"/>
      <w:lvlJc w:val="left"/>
      <w:pPr>
        <w:ind w:left="4802" w:hanging="720"/>
      </w:pPr>
      <w:rPr>
        <w:rFonts w:hint="default"/>
        <w:lang w:val="en-US" w:eastAsia="en-US" w:bidi="ar-SA"/>
      </w:rPr>
    </w:lvl>
    <w:lvl w:ilvl="6">
      <w:numFmt w:val="bullet"/>
      <w:lvlText w:val="•"/>
      <w:lvlJc w:val="left"/>
      <w:pPr>
        <w:ind w:left="5783" w:hanging="720"/>
      </w:pPr>
      <w:rPr>
        <w:rFonts w:hint="default"/>
        <w:lang w:val="en-US" w:eastAsia="en-US" w:bidi="ar-SA"/>
      </w:rPr>
    </w:lvl>
    <w:lvl w:ilvl="7">
      <w:numFmt w:val="bullet"/>
      <w:lvlText w:val="•"/>
      <w:lvlJc w:val="left"/>
      <w:pPr>
        <w:ind w:left="6763" w:hanging="720"/>
      </w:pPr>
      <w:rPr>
        <w:rFonts w:hint="default"/>
        <w:lang w:val="en-US" w:eastAsia="en-US" w:bidi="ar-SA"/>
      </w:rPr>
    </w:lvl>
    <w:lvl w:ilvl="8">
      <w:numFmt w:val="bullet"/>
      <w:lvlText w:val="•"/>
      <w:lvlJc w:val="left"/>
      <w:pPr>
        <w:ind w:left="7744" w:hanging="720"/>
      </w:pPr>
      <w:rPr>
        <w:rFonts w:hint="default"/>
        <w:lang w:val="en-US" w:eastAsia="en-US" w:bidi="ar-SA"/>
      </w:rPr>
    </w:lvl>
  </w:abstractNum>
  <w:abstractNum w:abstractNumId="297" w15:restartNumberingAfterBreak="0">
    <w:nsid w:val="73B65821"/>
    <w:multiLevelType w:val="multilevel"/>
    <w:tmpl w:val="54B8B2AC"/>
    <w:lvl w:ilvl="0">
      <w:start w:val="5"/>
      <w:numFmt w:val="decimal"/>
      <w:lvlText w:val="%1"/>
      <w:lvlJc w:val="left"/>
      <w:pPr>
        <w:ind w:left="160" w:hanging="538"/>
      </w:pPr>
      <w:rPr>
        <w:rFonts w:hint="default"/>
        <w:lang w:val="en-US" w:eastAsia="en-US" w:bidi="ar-SA"/>
      </w:rPr>
    </w:lvl>
    <w:lvl w:ilvl="1">
      <w:start w:val="5"/>
      <w:numFmt w:val="decimal"/>
      <w:lvlText w:val="%1.%2"/>
      <w:lvlJc w:val="left"/>
      <w:pPr>
        <w:ind w:left="160" w:hanging="538"/>
      </w:pPr>
      <w:rPr>
        <w:rFonts w:hint="default"/>
        <w:lang w:val="en-US" w:eastAsia="en-US" w:bidi="ar-SA"/>
      </w:rPr>
    </w:lvl>
    <w:lvl w:ilvl="2">
      <w:numFmt w:val="decimal"/>
      <w:lvlText w:val="%1.%2.%3"/>
      <w:lvlJc w:val="left"/>
      <w:pPr>
        <w:ind w:left="160" w:hanging="538"/>
        <w:jc w:val="right"/>
      </w:pPr>
      <w:rPr>
        <w:rFonts w:hint="default"/>
        <w:w w:val="99"/>
        <w:lang w:val="en-US" w:eastAsia="en-US" w:bidi="ar-SA"/>
      </w:rPr>
    </w:lvl>
    <w:lvl w:ilvl="3">
      <w:numFmt w:val="bullet"/>
      <w:lvlText w:val="•"/>
      <w:lvlJc w:val="left"/>
      <w:pPr>
        <w:ind w:left="3023" w:hanging="538"/>
      </w:pPr>
      <w:rPr>
        <w:rFonts w:hint="default"/>
        <w:lang w:val="en-US" w:eastAsia="en-US" w:bidi="ar-SA"/>
      </w:rPr>
    </w:lvl>
    <w:lvl w:ilvl="4">
      <w:numFmt w:val="bullet"/>
      <w:lvlText w:val="•"/>
      <w:lvlJc w:val="left"/>
      <w:pPr>
        <w:ind w:left="3978" w:hanging="538"/>
      </w:pPr>
      <w:rPr>
        <w:rFonts w:hint="default"/>
        <w:lang w:val="en-US" w:eastAsia="en-US" w:bidi="ar-SA"/>
      </w:rPr>
    </w:lvl>
    <w:lvl w:ilvl="5">
      <w:numFmt w:val="bullet"/>
      <w:lvlText w:val="•"/>
      <w:lvlJc w:val="left"/>
      <w:pPr>
        <w:ind w:left="4932" w:hanging="538"/>
      </w:pPr>
      <w:rPr>
        <w:rFonts w:hint="default"/>
        <w:lang w:val="en-US" w:eastAsia="en-US" w:bidi="ar-SA"/>
      </w:rPr>
    </w:lvl>
    <w:lvl w:ilvl="6">
      <w:numFmt w:val="bullet"/>
      <w:lvlText w:val="•"/>
      <w:lvlJc w:val="left"/>
      <w:pPr>
        <w:ind w:left="5887" w:hanging="538"/>
      </w:pPr>
      <w:rPr>
        <w:rFonts w:hint="default"/>
        <w:lang w:val="en-US" w:eastAsia="en-US" w:bidi="ar-SA"/>
      </w:rPr>
    </w:lvl>
    <w:lvl w:ilvl="7">
      <w:numFmt w:val="bullet"/>
      <w:lvlText w:val="•"/>
      <w:lvlJc w:val="left"/>
      <w:pPr>
        <w:ind w:left="6841" w:hanging="538"/>
      </w:pPr>
      <w:rPr>
        <w:rFonts w:hint="default"/>
        <w:lang w:val="en-US" w:eastAsia="en-US" w:bidi="ar-SA"/>
      </w:rPr>
    </w:lvl>
    <w:lvl w:ilvl="8">
      <w:numFmt w:val="bullet"/>
      <w:lvlText w:val="•"/>
      <w:lvlJc w:val="left"/>
      <w:pPr>
        <w:ind w:left="7796" w:hanging="538"/>
      </w:pPr>
      <w:rPr>
        <w:rFonts w:hint="default"/>
        <w:lang w:val="en-US" w:eastAsia="en-US" w:bidi="ar-SA"/>
      </w:rPr>
    </w:lvl>
  </w:abstractNum>
  <w:abstractNum w:abstractNumId="298" w15:restartNumberingAfterBreak="0">
    <w:nsid w:val="74913BDB"/>
    <w:multiLevelType w:val="hybridMultilevel"/>
    <w:tmpl w:val="DBB66BA6"/>
    <w:lvl w:ilvl="0" w:tplc="5AA02F0A">
      <w:numFmt w:val="bullet"/>
      <w:lvlText w:val="•"/>
      <w:lvlJc w:val="left"/>
      <w:pPr>
        <w:ind w:left="24" w:hanging="69"/>
      </w:pPr>
      <w:rPr>
        <w:rFonts w:ascii="Arial" w:eastAsia="Arial" w:hAnsi="Arial" w:cs="Arial" w:hint="default"/>
        <w:color w:val="231F20"/>
        <w:w w:val="108"/>
        <w:sz w:val="11"/>
        <w:szCs w:val="11"/>
        <w:lang w:val="en-US" w:eastAsia="en-US" w:bidi="ar-SA"/>
      </w:rPr>
    </w:lvl>
    <w:lvl w:ilvl="1" w:tplc="E69EC452">
      <w:numFmt w:val="bullet"/>
      <w:lvlText w:val="•"/>
      <w:lvlJc w:val="left"/>
      <w:pPr>
        <w:ind w:left="255" w:hanging="69"/>
      </w:pPr>
      <w:rPr>
        <w:rFonts w:hint="default"/>
        <w:lang w:val="en-US" w:eastAsia="en-US" w:bidi="ar-SA"/>
      </w:rPr>
    </w:lvl>
    <w:lvl w:ilvl="2" w:tplc="05CCB582">
      <w:numFmt w:val="bullet"/>
      <w:lvlText w:val="•"/>
      <w:lvlJc w:val="left"/>
      <w:pPr>
        <w:ind w:left="490" w:hanging="69"/>
      </w:pPr>
      <w:rPr>
        <w:rFonts w:hint="default"/>
        <w:lang w:val="en-US" w:eastAsia="en-US" w:bidi="ar-SA"/>
      </w:rPr>
    </w:lvl>
    <w:lvl w:ilvl="3" w:tplc="F03CF1DA">
      <w:numFmt w:val="bullet"/>
      <w:lvlText w:val="•"/>
      <w:lvlJc w:val="left"/>
      <w:pPr>
        <w:ind w:left="726" w:hanging="69"/>
      </w:pPr>
      <w:rPr>
        <w:rFonts w:hint="default"/>
        <w:lang w:val="en-US" w:eastAsia="en-US" w:bidi="ar-SA"/>
      </w:rPr>
    </w:lvl>
    <w:lvl w:ilvl="4" w:tplc="C4209D18">
      <w:numFmt w:val="bullet"/>
      <w:lvlText w:val="•"/>
      <w:lvlJc w:val="left"/>
      <w:pPr>
        <w:ind w:left="961" w:hanging="69"/>
      </w:pPr>
      <w:rPr>
        <w:rFonts w:hint="default"/>
        <w:lang w:val="en-US" w:eastAsia="en-US" w:bidi="ar-SA"/>
      </w:rPr>
    </w:lvl>
    <w:lvl w:ilvl="5" w:tplc="24CAA1B0">
      <w:numFmt w:val="bullet"/>
      <w:lvlText w:val="•"/>
      <w:lvlJc w:val="left"/>
      <w:pPr>
        <w:ind w:left="1197" w:hanging="69"/>
      </w:pPr>
      <w:rPr>
        <w:rFonts w:hint="default"/>
        <w:lang w:val="en-US" w:eastAsia="en-US" w:bidi="ar-SA"/>
      </w:rPr>
    </w:lvl>
    <w:lvl w:ilvl="6" w:tplc="787ED71C">
      <w:numFmt w:val="bullet"/>
      <w:lvlText w:val="•"/>
      <w:lvlJc w:val="left"/>
      <w:pPr>
        <w:ind w:left="1432" w:hanging="69"/>
      </w:pPr>
      <w:rPr>
        <w:rFonts w:hint="default"/>
        <w:lang w:val="en-US" w:eastAsia="en-US" w:bidi="ar-SA"/>
      </w:rPr>
    </w:lvl>
    <w:lvl w:ilvl="7" w:tplc="E94CCE1A">
      <w:numFmt w:val="bullet"/>
      <w:lvlText w:val="•"/>
      <w:lvlJc w:val="left"/>
      <w:pPr>
        <w:ind w:left="1667" w:hanging="69"/>
      </w:pPr>
      <w:rPr>
        <w:rFonts w:hint="default"/>
        <w:lang w:val="en-US" w:eastAsia="en-US" w:bidi="ar-SA"/>
      </w:rPr>
    </w:lvl>
    <w:lvl w:ilvl="8" w:tplc="77068C66">
      <w:numFmt w:val="bullet"/>
      <w:lvlText w:val="•"/>
      <w:lvlJc w:val="left"/>
      <w:pPr>
        <w:ind w:left="1903" w:hanging="69"/>
      </w:pPr>
      <w:rPr>
        <w:rFonts w:hint="default"/>
        <w:lang w:val="en-US" w:eastAsia="en-US" w:bidi="ar-SA"/>
      </w:rPr>
    </w:lvl>
  </w:abstractNum>
  <w:abstractNum w:abstractNumId="299" w15:restartNumberingAfterBreak="0">
    <w:nsid w:val="74A402C5"/>
    <w:multiLevelType w:val="hybridMultilevel"/>
    <w:tmpl w:val="DA3CBB64"/>
    <w:lvl w:ilvl="0" w:tplc="8AF8EC9A">
      <w:numFmt w:val="bullet"/>
      <w:lvlText w:val="•"/>
      <w:lvlJc w:val="left"/>
      <w:pPr>
        <w:ind w:left="28" w:hanging="45"/>
      </w:pPr>
      <w:rPr>
        <w:rFonts w:ascii="Arial" w:eastAsia="Arial" w:hAnsi="Arial" w:cs="Arial" w:hint="default"/>
        <w:color w:val="231F20"/>
        <w:w w:val="89"/>
        <w:sz w:val="12"/>
        <w:szCs w:val="12"/>
        <w:lang w:val="en-US" w:eastAsia="en-US" w:bidi="ar-SA"/>
      </w:rPr>
    </w:lvl>
    <w:lvl w:ilvl="1" w:tplc="52A4CA08">
      <w:numFmt w:val="bullet"/>
      <w:lvlText w:val="•"/>
      <w:lvlJc w:val="left"/>
      <w:pPr>
        <w:ind w:left="267" w:hanging="45"/>
      </w:pPr>
      <w:rPr>
        <w:rFonts w:hint="default"/>
        <w:lang w:val="en-US" w:eastAsia="en-US" w:bidi="ar-SA"/>
      </w:rPr>
    </w:lvl>
    <w:lvl w:ilvl="2" w:tplc="4FE8CA0E">
      <w:numFmt w:val="bullet"/>
      <w:lvlText w:val="•"/>
      <w:lvlJc w:val="left"/>
      <w:pPr>
        <w:ind w:left="514" w:hanging="45"/>
      </w:pPr>
      <w:rPr>
        <w:rFonts w:hint="default"/>
        <w:lang w:val="en-US" w:eastAsia="en-US" w:bidi="ar-SA"/>
      </w:rPr>
    </w:lvl>
    <w:lvl w:ilvl="3" w:tplc="0C36C95A">
      <w:numFmt w:val="bullet"/>
      <w:lvlText w:val="•"/>
      <w:lvlJc w:val="left"/>
      <w:pPr>
        <w:ind w:left="761" w:hanging="45"/>
      </w:pPr>
      <w:rPr>
        <w:rFonts w:hint="default"/>
        <w:lang w:val="en-US" w:eastAsia="en-US" w:bidi="ar-SA"/>
      </w:rPr>
    </w:lvl>
    <w:lvl w:ilvl="4" w:tplc="14382986">
      <w:numFmt w:val="bullet"/>
      <w:lvlText w:val="•"/>
      <w:lvlJc w:val="left"/>
      <w:pPr>
        <w:ind w:left="1009" w:hanging="45"/>
      </w:pPr>
      <w:rPr>
        <w:rFonts w:hint="default"/>
        <w:lang w:val="en-US" w:eastAsia="en-US" w:bidi="ar-SA"/>
      </w:rPr>
    </w:lvl>
    <w:lvl w:ilvl="5" w:tplc="7E5C0160">
      <w:numFmt w:val="bullet"/>
      <w:lvlText w:val="•"/>
      <w:lvlJc w:val="left"/>
      <w:pPr>
        <w:ind w:left="1256" w:hanging="45"/>
      </w:pPr>
      <w:rPr>
        <w:rFonts w:hint="default"/>
        <w:lang w:val="en-US" w:eastAsia="en-US" w:bidi="ar-SA"/>
      </w:rPr>
    </w:lvl>
    <w:lvl w:ilvl="6" w:tplc="22846C0E">
      <w:numFmt w:val="bullet"/>
      <w:lvlText w:val="•"/>
      <w:lvlJc w:val="left"/>
      <w:pPr>
        <w:ind w:left="1503" w:hanging="45"/>
      </w:pPr>
      <w:rPr>
        <w:rFonts w:hint="default"/>
        <w:lang w:val="en-US" w:eastAsia="en-US" w:bidi="ar-SA"/>
      </w:rPr>
    </w:lvl>
    <w:lvl w:ilvl="7" w:tplc="F5B6C720">
      <w:numFmt w:val="bullet"/>
      <w:lvlText w:val="•"/>
      <w:lvlJc w:val="left"/>
      <w:pPr>
        <w:ind w:left="1751" w:hanging="45"/>
      </w:pPr>
      <w:rPr>
        <w:rFonts w:hint="default"/>
        <w:lang w:val="en-US" w:eastAsia="en-US" w:bidi="ar-SA"/>
      </w:rPr>
    </w:lvl>
    <w:lvl w:ilvl="8" w:tplc="A8206AE6">
      <w:numFmt w:val="bullet"/>
      <w:lvlText w:val="•"/>
      <w:lvlJc w:val="left"/>
      <w:pPr>
        <w:ind w:left="1998" w:hanging="45"/>
      </w:pPr>
      <w:rPr>
        <w:rFonts w:hint="default"/>
        <w:lang w:val="en-US" w:eastAsia="en-US" w:bidi="ar-SA"/>
      </w:rPr>
    </w:lvl>
  </w:abstractNum>
  <w:abstractNum w:abstractNumId="300" w15:restartNumberingAfterBreak="0">
    <w:nsid w:val="75503E63"/>
    <w:multiLevelType w:val="hybridMultilevel"/>
    <w:tmpl w:val="14EC27B0"/>
    <w:lvl w:ilvl="0" w:tplc="12800256">
      <w:numFmt w:val="bullet"/>
      <w:lvlText w:val="•"/>
      <w:lvlJc w:val="left"/>
      <w:pPr>
        <w:ind w:left="25" w:hanging="80"/>
      </w:pPr>
      <w:rPr>
        <w:rFonts w:ascii="Arial" w:eastAsia="Arial" w:hAnsi="Arial" w:cs="Arial" w:hint="default"/>
        <w:color w:val="231F20"/>
        <w:w w:val="74"/>
        <w:sz w:val="17"/>
        <w:szCs w:val="17"/>
        <w:lang w:val="en-US" w:eastAsia="en-US" w:bidi="ar-SA"/>
      </w:rPr>
    </w:lvl>
    <w:lvl w:ilvl="1" w:tplc="E3E424C0">
      <w:numFmt w:val="bullet"/>
      <w:lvlText w:val="•"/>
      <w:lvlJc w:val="left"/>
      <w:pPr>
        <w:ind w:left="270" w:hanging="80"/>
      </w:pPr>
      <w:rPr>
        <w:rFonts w:hint="default"/>
        <w:lang w:val="en-US" w:eastAsia="en-US" w:bidi="ar-SA"/>
      </w:rPr>
    </w:lvl>
    <w:lvl w:ilvl="2" w:tplc="5AC6C4C8">
      <w:numFmt w:val="bullet"/>
      <w:lvlText w:val="•"/>
      <w:lvlJc w:val="left"/>
      <w:pPr>
        <w:ind w:left="521" w:hanging="80"/>
      </w:pPr>
      <w:rPr>
        <w:rFonts w:hint="default"/>
        <w:lang w:val="en-US" w:eastAsia="en-US" w:bidi="ar-SA"/>
      </w:rPr>
    </w:lvl>
    <w:lvl w:ilvl="3" w:tplc="D39A766A">
      <w:numFmt w:val="bullet"/>
      <w:lvlText w:val="•"/>
      <w:lvlJc w:val="left"/>
      <w:pPr>
        <w:ind w:left="771" w:hanging="80"/>
      </w:pPr>
      <w:rPr>
        <w:rFonts w:hint="default"/>
        <w:lang w:val="en-US" w:eastAsia="en-US" w:bidi="ar-SA"/>
      </w:rPr>
    </w:lvl>
    <w:lvl w:ilvl="4" w:tplc="5D20EE72">
      <w:numFmt w:val="bullet"/>
      <w:lvlText w:val="•"/>
      <w:lvlJc w:val="left"/>
      <w:pPr>
        <w:ind w:left="1022" w:hanging="80"/>
      </w:pPr>
      <w:rPr>
        <w:rFonts w:hint="default"/>
        <w:lang w:val="en-US" w:eastAsia="en-US" w:bidi="ar-SA"/>
      </w:rPr>
    </w:lvl>
    <w:lvl w:ilvl="5" w:tplc="11F8D456">
      <w:numFmt w:val="bullet"/>
      <w:lvlText w:val="•"/>
      <w:lvlJc w:val="left"/>
      <w:pPr>
        <w:ind w:left="1273" w:hanging="80"/>
      </w:pPr>
      <w:rPr>
        <w:rFonts w:hint="default"/>
        <w:lang w:val="en-US" w:eastAsia="en-US" w:bidi="ar-SA"/>
      </w:rPr>
    </w:lvl>
    <w:lvl w:ilvl="6" w:tplc="7A66FFA6">
      <w:numFmt w:val="bullet"/>
      <w:lvlText w:val="•"/>
      <w:lvlJc w:val="left"/>
      <w:pPr>
        <w:ind w:left="1523" w:hanging="80"/>
      </w:pPr>
      <w:rPr>
        <w:rFonts w:hint="default"/>
        <w:lang w:val="en-US" w:eastAsia="en-US" w:bidi="ar-SA"/>
      </w:rPr>
    </w:lvl>
    <w:lvl w:ilvl="7" w:tplc="483A48DA">
      <w:numFmt w:val="bullet"/>
      <w:lvlText w:val="•"/>
      <w:lvlJc w:val="left"/>
      <w:pPr>
        <w:ind w:left="1774" w:hanging="80"/>
      </w:pPr>
      <w:rPr>
        <w:rFonts w:hint="default"/>
        <w:lang w:val="en-US" w:eastAsia="en-US" w:bidi="ar-SA"/>
      </w:rPr>
    </w:lvl>
    <w:lvl w:ilvl="8" w:tplc="445CEDE0">
      <w:numFmt w:val="bullet"/>
      <w:lvlText w:val="•"/>
      <w:lvlJc w:val="left"/>
      <w:pPr>
        <w:ind w:left="2024" w:hanging="80"/>
      </w:pPr>
      <w:rPr>
        <w:rFonts w:hint="default"/>
        <w:lang w:val="en-US" w:eastAsia="en-US" w:bidi="ar-SA"/>
      </w:rPr>
    </w:lvl>
  </w:abstractNum>
  <w:abstractNum w:abstractNumId="301" w15:restartNumberingAfterBreak="0">
    <w:nsid w:val="757B2EA0"/>
    <w:multiLevelType w:val="hybridMultilevel"/>
    <w:tmpl w:val="BC94143A"/>
    <w:lvl w:ilvl="0" w:tplc="562409EC">
      <w:numFmt w:val="bullet"/>
      <w:lvlText w:val="•"/>
      <w:lvlJc w:val="left"/>
      <w:pPr>
        <w:ind w:left="29" w:hanging="76"/>
      </w:pPr>
      <w:rPr>
        <w:rFonts w:ascii="Arial" w:eastAsia="Arial" w:hAnsi="Arial" w:cs="Arial" w:hint="default"/>
        <w:color w:val="231F20"/>
        <w:w w:val="120"/>
        <w:sz w:val="10"/>
        <w:szCs w:val="10"/>
        <w:lang w:val="en-US" w:eastAsia="en-US" w:bidi="ar-SA"/>
      </w:rPr>
    </w:lvl>
    <w:lvl w:ilvl="1" w:tplc="159A1BD8">
      <w:numFmt w:val="bullet"/>
      <w:lvlText w:val="•"/>
      <w:lvlJc w:val="left"/>
      <w:pPr>
        <w:ind w:left="259" w:hanging="76"/>
      </w:pPr>
      <w:rPr>
        <w:rFonts w:hint="default"/>
        <w:lang w:val="en-US" w:eastAsia="en-US" w:bidi="ar-SA"/>
      </w:rPr>
    </w:lvl>
    <w:lvl w:ilvl="2" w:tplc="9B12A4C4">
      <w:numFmt w:val="bullet"/>
      <w:lvlText w:val="•"/>
      <w:lvlJc w:val="left"/>
      <w:pPr>
        <w:ind w:left="498" w:hanging="76"/>
      </w:pPr>
      <w:rPr>
        <w:rFonts w:hint="default"/>
        <w:lang w:val="en-US" w:eastAsia="en-US" w:bidi="ar-SA"/>
      </w:rPr>
    </w:lvl>
    <w:lvl w:ilvl="3" w:tplc="9790E328">
      <w:numFmt w:val="bullet"/>
      <w:lvlText w:val="•"/>
      <w:lvlJc w:val="left"/>
      <w:pPr>
        <w:ind w:left="737" w:hanging="76"/>
      </w:pPr>
      <w:rPr>
        <w:rFonts w:hint="default"/>
        <w:lang w:val="en-US" w:eastAsia="en-US" w:bidi="ar-SA"/>
      </w:rPr>
    </w:lvl>
    <w:lvl w:ilvl="4" w:tplc="3208ED06">
      <w:numFmt w:val="bullet"/>
      <w:lvlText w:val="•"/>
      <w:lvlJc w:val="left"/>
      <w:pPr>
        <w:ind w:left="976" w:hanging="76"/>
      </w:pPr>
      <w:rPr>
        <w:rFonts w:hint="default"/>
        <w:lang w:val="en-US" w:eastAsia="en-US" w:bidi="ar-SA"/>
      </w:rPr>
    </w:lvl>
    <w:lvl w:ilvl="5" w:tplc="AB7AD9B6">
      <w:numFmt w:val="bullet"/>
      <w:lvlText w:val="•"/>
      <w:lvlJc w:val="left"/>
      <w:pPr>
        <w:ind w:left="1215" w:hanging="76"/>
      </w:pPr>
      <w:rPr>
        <w:rFonts w:hint="default"/>
        <w:lang w:val="en-US" w:eastAsia="en-US" w:bidi="ar-SA"/>
      </w:rPr>
    </w:lvl>
    <w:lvl w:ilvl="6" w:tplc="A1A6D098">
      <w:numFmt w:val="bullet"/>
      <w:lvlText w:val="•"/>
      <w:lvlJc w:val="left"/>
      <w:pPr>
        <w:ind w:left="1454" w:hanging="76"/>
      </w:pPr>
      <w:rPr>
        <w:rFonts w:hint="default"/>
        <w:lang w:val="en-US" w:eastAsia="en-US" w:bidi="ar-SA"/>
      </w:rPr>
    </w:lvl>
    <w:lvl w:ilvl="7" w:tplc="EC74C594">
      <w:numFmt w:val="bullet"/>
      <w:lvlText w:val="•"/>
      <w:lvlJc w:val="left"/>
      <w:pPr>
        <w:ind w:left="1693" w:hanging="76"/>
      </w:pPr>
      <w:rPr>
        <w:rFonts w:hint="default"/>
        <w:lang w:val="en-US" w:eastAsia="en-US" w:bidi="ar-SA"/>
      </w:rPr>
    </w:lvl>
    <w:lvl w:ilvl="8" w:tplc="543E60F4">
      <w:numFmt w:val="bullet"/>
      <w:lvlText w:val="•"/>
      <w:lvlJc w:val="left"/>
      <w:pPr>
        <w:ind w:left="1932" w:hanging="76"/>
      </w:pPr>
      <w:rPr>
        <w:rFonts w:hint="default"/>
        <w:lang w:val="en-US" w:eastAsia="en-US" w:bidi="ar-SA"/>
      </w:rPr>
    </w:lvl>
  </w:abstractNum>
  <w:abstractNum w:abstractNumId="302" w15:restartNumberingAfterBreak="0">
    <w:nsid w:val="758C3E12"/>
    <w:multiLevelType w:val="hybridMultilevel"/>
    <w:tmpl w:val="10D288A4"/>
    <w:lvl w:ilvl="0" w:tplc="7C5E8294">
      <w:numFmt w:val="bullet"/>
      <w:lvlText w:val="-"/>
      <w:lvlJc w:val="left"/>
      <w:pPr>
        <w:ind w:left="882" w:hanging="360"/>
      </w:pPr>
      <w:rPr>
        <w:rFonts w:ascii="Times New Roman" w:eastAsia="Times New Roman" w:hAnsi="Times New Roman" w:cs="Times New Roman" w:hint="default"/>
        <w:color w:val="231F20"/>
        <w:spacing w:val="-25"/>
        <w:w w:val="99"/>
        <w:sz w:val="22"/>
        <w:szCs w:val="22"/>
        <w:lang w:val="en-US" w:eastAsia="en-US" w:bidi="ar-SA"/>
      </w:rPr>
    </w:lvl>
    <w:lvl w:ilvl="1" w:tplc="08EA5FFC">
      <w:numFmt w:val="bullet"/>
      <w:lvlText w:val="o"/>
      <w:lvlJc w:val="left"/>
      <w:pPr>
        <w:ind w:left="1602" w:hanging="360"/>
      </w:pPr>
      <w:rPr>
        <w:rFonts w:ascii="Courier New" w:eastAsia="Courier New" w:hAnsi="Courier New" w:cs="Courier New" w:hint="default"/>
        <w:color w:val="231F20"/>
        <w:w w:val="99"/>
        <w:sz w:val="22"/>
        <w:szCs w:val="22"/>
        <w:lang w:val="en-US" w:eastAsia="en-US" w:bidi="ar-SA"/>
      </w:rPr>
    </w:lvl>
    <w:lvl w:ilvl="2" w:tplc="C3A62BD8">
      <w:numFmt w:val="bullet"/>
      <w:lvlText w:val="•"/>
      <w:lvlJc w:val="left"/>
      <w:pPr>
        <w:ind w:left="2500" w:hanging="360"/>
      </w:pPr>
      <w:rPr>
        <w:rFonts w:hint="default"/>
        <w:lang w:val="en-US" w:eastAsia="en-US" w:bidi="ar-SA"/>
      </w:rPr>
    </w:lvl>
    <w:lvl w:ilvl="3" w:tplc="88F0DB50">
      <w:numFmt w:val="bullet"/>
      <w:lvlText w:val="•"/>
      <w:lvlJc w:val="left"/>
      <w:pPr>
        <w:ind w:left="3401" w:hanging="360"/>
      </w:pPr>
      <w:rPr>
        <w:rFonts w:hint="default"/>
        <w:lang w:val="en-US" w:eastAsia="en-US" w:bidi="ar-SA"/>
      </w:rPr>
    </w:lvl>
    <w:lvl w:ilvl="4" w:tplc="3BE4153E">
      <w:numFmt w:val="bullet"/>
      <w:lvlText w:val="•"/>
      <w:lvlJc w:val="left"/>
      <w:pPr>
        <w:ind w:left="4301" w:hanging="360"/>
      </w:pPr>
      <w:rPr>
        <w:rFonts w:hint="default"/>
        <w:lang w:val="en-US" w:eastAsia="en-US" w:bidi="ar-SA"/>
      </w:rPr>
    </w:lvl>
    <w:lvl w:ilvl="5" w:tplc="4D6C78F6">
      <w:numFmt w:val="bullet"/>
      <w:lvlText w:val="•"/>
      <w:lvlJc w:val="left"/>
      <w:pPr>
        <w:ind w:left="5202" w:hanging="360"/>
      </w:pPr>
      <w:rPr>
        <w:rFonts w:hint="default"/>
        <w:lang w:val="en-US" w:eastAsia="en-US" w:bidi="ar-SA"/>
      </w:rPr>
    </w:lvl>
    <w:lvl w:ilvl="6" w:tplc="1B68B9C6">
      <w:numFmt w:val="bullet"/>
      <w:lvlText w:val="•"/>
      <w:lvlJc w:val="left"/>
      <w:pPr>
        <w:ind w:left="6103" w:hanging="360"/>
      </w:pPr>
      <w:rPr>
        <w:rFonts w:hint="default"/>
        <w:lang w:val="en-US" w:eastAsia="en-US" w:bidi="ar-SA"/>
      </w:rPr>
    </w:lvl>
    <w:lvl w:ilvl="7" w:tplc="625E12F2">
      <w:numFmt w:val="bullet"/>
      <w:lvlText w:val="•"/>
      <w:lvlJc w:val="left"/>
      <w:pPr>
        <w:ind w:left="7003" w:hanging="360"/>
      </w:pPr>
      <w:rPr>
        <w:rFonts w:hint="default"/>
        <w:lang w:val="en-US" w:eastAsia="en-US" w:bidi="ar-SA"/>
      </w:rPr>
    </w:lvl>
    <w:lvl w:ilvl="8" w:tplc="3A72A7DC">
      <w:numFmt w:val="bullet"/>
      <w:lvlText w:val="•"/>
      <w:lvlJc w:val="left"/>
      <w:pPr>
        <w:ind w:left="7904" w:hanging="360"/>
      </w:pPr>
      <w:rPr>
        <w:rFonts w:hint="default"/>
        <w:lang w:val="en-US" w:eastAsia="en-US" w:bidi="ar-SA"/>
      </w:rPr>
    </w:lvl>
  </w:abstractNum>
  <w:abstractNum w:abstractNumId="303" w15:restartNumberingAfterBreak="0">
    <w:nsid w:val="75F03FAB"/>
    <w:multiLevelType w:val="multilevel"/>
    <w:tmpl w:val="E12E2CF2"/>
    <w:lvl w:ilvl="0">
      <w:start w:val="8"/>
      <w:numFmt w:val="decimal"/>
      <w:lvlText w:val="%1"/>
      <w:lvlJc w:val="left"/>
      <w:pPr>
        <w:ind w:left="149" w:hanging="846"/>
      </w:pPr>
      <w:rPr>
        <w:rFonts w:hint="default"/>
        <w:lang w:val="en-US" w:eastAsia="en-US" w:bidi="ar-SA"/>
      </w:rPr>
    </w:lvl>
    <w:lvl w:ilvl="1">
      <w:start w:val="15"/>
      <w:numFmt w:val="decimal"/>
      <w:lvlText w:val="%1.%2"/>
      <w:lvlJc w:val="left"/>
      <w:pPr>
        <w:ind w:left="149" w:hanging="846"/>
      </w:pPr>
      <w:rPr>
        <w:rFonts w:hint="default"/>
        <w:lang w:val="en-US" w:eastAsia="en-US" w:bidi="ar-SA"/>
      </w:rPr>
    </w:lvl>
    <w:lvl w:ilvl="2">
      <w:start w:val="2"/>
      <w:numFmt w:val="decimal"/>
      <w:lvlText w:val="%1.%2.%3"/>
      <w:lvlJc w:val="left"/>
      <w:pPr>
        <w:ind w:left="149" w:hanging="846"/>
      </w:pPr>
      <w:rPr>
        <w:rFonts w:hint="default"/>
        <w:lang w:val="en-US" w:eastAsia="en-US" w:bidi="ar-SA"/>
      </w:rPr>
    </w:lvl>
    <w:lvl w:ilvl="3">
      <w:start w:val="3"/>
      <w:numFmt w:val="decimal"/>
      <w:lvlText w:val="%1.%2.%3.%4"/>
      <w:lvlJc w:val="left"/>
      <w:pPr>
        <w:ind w:left="149" w:hanging="846"/>
      </w:pPr>
      <w:rPr>
        <w:rFonts w:ascii="Arial" w:eastAsia="Arial" w:hAnsi="Arial" w:cs="Arial" w:hint="default"/>
        <w:b/>
        <w:bCs/>
        <w:color w:val="231F20"/>
        <w:w w:val="99"/>
        <w:sz w:val="22"/>
        <w:szCs w:val="22"/>
        <w:lang w:val="en-US" w:eastAsia="en-US" w:bidi="ar-SA"/>
      </w:rPr>
    </w:lvl>
    <w:lvl w:ilvl="4">
      <w:numFmt w:val="bullet"/>
      <w:lvlText w:val="•"/>
      <w:lvlJc w:val="left"/>
      <w:pPr>
        <w:ind w:left="3966" w:hanging="846"/>
      </w:pPr>
      <w:rPr>
        <w:rFonts w:hint="default"/>
        <w:lang w:val="en-US" w:eastAsia="en-US" w:bidi="ar-SA"/>
      </w:rPr>
    </w:lvl>
    <w:lvl w:ilvl="5">
      <w:numFmt w:val="bullet"/>
      <w:lvlText w:val="•"/>
      <w:lvlJc w:val="left"/>
      <w:pPr>
        <w:ind w:left="4922" w:hanging="846"/>
      </w:pPr>
      <w:rPr>
        <w:rFonts w:hint="default"/>
        <w:lang w:val="en-US" w:eastAsia="en-US" w:bidi="ar-SA"/>
      </w:rPr>
    </w:lvl>
    <w:lvl w:ilvl="6">
      <w:numFmt w:val="bullet"/>
      <w:lvlText w:val="•"/>
      <w:lvlJc w:val="left"/>
      <w:pPr>
        <w:ind w:left="5879" w:hanging="846"/>
      </w:pPr>
      <w:rPr>
        <w:rFonts w:hint="default"/>
        <w:lang w:val="en-US" w:eastAsia="en-US" w:bidi="ar-SA"/>
      </w:rPr>
    </w:lvl>
    <w:lvl w:ilvl="7">
      <w:numFmt w:val="bullet"/>
      <w:lvlText w:val="•"/>
      <w:lvlJc w:val="left"/>
      <w:pPr>
        <w:ind w:left="6835" w:hanging="846"/>
      </w:pPr>
      <w:rPr>
        <w:rFonts w:hint="default"/>
        <w:lang w:val="en-US" w:eastAsia="en-US" w:bidi="ar-SA"/>
      </w:rPr>
    </w:lvl>
    <w:lvl w:ilvl="8">
      <w:numFmt w:val="bullet"/>
      <w:lvlText w:val="•"/>
      <w:lvlJc w:val="left"/>
      <w:pPr>
        <w:ind w:left="7792" w:hanging="846"/>
      </w:pPr>
      <w:rPr>
        <w:rFonts w:hint="default"/>
        <w:lang w:val="en-US" w:eastAsia="en-US" w:bidi="ar-SA"/>
      </w:rPr>
    </w:lvl>
  </w:abstractNum>
  <w:abstractNum w:abstractNumId="304" w15:restartNumberingAfterBreak="0">
    <w:nsid w:val="75FC28CB"/>
    <w:multiLevelType w:val="hybridMultilevel"/>
    <w:tmpl w:val="432A2A44"/>
    <w:lvl w:ilvl="0" w:tplc="F25A22EE">
      <w:numFmt w:val="bullet"/>
      <w:lvlText w:val="•"/>
      <w:lvlJc w:val="left"/>
      <w:pPr>
        <w:ind w:left="26" w:hanging="77"/>
      </w:pPr>
      <w:rPr>
        <w:rFonts w:ascii="Arial" w:eastAsia="Arial" w:hAnsi="Arial" w:cs="Arial" w:hint="default"/>
        <w:color w:val="231F20"/>
        <w:w w:val="86"/>
        <w:sz w:val="14"/>
        <w:szCs w:val="14"/>
        <w:lang w:val="en-US" w:eastAsia="en-US" w:bidi="ar-SA"/>
      </w:rPr>
    </w:lvl>
    <w:lvl w:ilvl="1" w:tplc="53882332">
      <w:numFmt w:val="bullet"/>
      <w:lvlText w:val="•"/>
      <w:lvlJc w:val="left"/>
      <w:pPr>
        <w:ind w:left="259" w:hanging="77"/>
      </w:pPr>
      <w:rPr>
        <w:rFonts w:hint="default"/>
        <w:lang w:val="en-US" w:eastAsia="en-US" w:bidi="ar-SA"/>
      </w:rPr>
    </w:lvl>
    <w:lvl w:ilvl="2" w:tplc="BD1AFF8E">
      <w:numFmt w:val="bullet"/>
      <w:lvlText w:val="•"/>
      <w:lvlJc w:val="left"/>
      <w:pPr>
        <w:ind w:left="499" w:hanging="77"/>
      </w:pPr>
      <w:rPr>
        <w:rFonts w:hint="default"/>
        <w:lang w:val="en-US" w:eastAsia="en-US" w:bidi="ar-SA"/>
      </w:rPr>
    </w:lvl>
    <w:lvl w:ilvl="3" w:tplc="7F627540">
      <w:numFmt w:val="bullet"/>
      <w:lvlText w:val="•"/>
      <w:lvlJc w:val="left"/>
      <w:pPr>
        <w:ind w:left="739" w:hanging="77"/>
      </w:pPr>
      <w:rPr>
        <w:rFonts w:hint="default"/>
        <w:lang w:val="en-US" w:eastAsia="en-US" w:bidi="ar-SA"/>
      </w:rPr>
    </w:lvl>
    <w:lvl w:ilvl="4" w:tplc="92042ED8">
      <w:numFmt w:val="bullet"/>
      <w:lvlText w:val="•"/>
      <w:lvlJc w:val="left"/>
      <w:pPr>
        <w:ind w:left="979" w:hanging="77"/>
      </w:pPr>
      <w:rPr>
        <w:rFonts w:hint="default"/>
        <w:lang w:val="en-US" w:eastAsia="en-US" w:bidi="ar-SA"/>
      </w:rPr>
    </w:lvl>
    <w:lvl w:ilvl="5" w:tplc="6EEA7EA6">
      <w:numFmt w:val="bullet"/>
      <w:lvlText w:val="•"/>
      <w:lvlJc w:val="left"/>
      <w:pPr>
        <w:ind w:left="1219" w:hanging="77"/>
      </w:pPr>
      <w:rPr>
        <w:rFonts w:hint="default"/>
        <w:lang w:val="en-US" w:eastAsia="en-US" w:bidi="ar-SA"/>
      </w:rPr>
    </w:lvl>
    <w:lvl w:ilvl="6" w:tplc="372E4B36">
      <w:numFmt w:val="bullet"/>
      <w:lvlText w:val="•"/>
      <w:lvlJc w:val="left"/>
      <w:pPr>
        <w:ind w:left="1459" w:hanging="77"/>
      </w:pPr>
      <w:rPr>
        <w:rFonts w:hint="default"/>
        <w:lang w:val="en-US" w:eastAsia="en-US" w:bidi="ar-SA"/>
      </w:rPr>
    </w:lvl>
    <w:lvl w:ilvl="7" w:tplc="E88AA874">
      <w:numFmt w:val="bullet"/>
      <w:lvlText w:val="•"/>
      <w:lvlJc w:val="left"/>
      <w:pPr>
        <w:ind w:left="1699" w:hanging="77"/>
      </w:pPr>
      <w:rPr>
        <w:rFonts w:hint="default"/>
        <w:lang w:val="en-US" w:eastAsia="en-US" w:bidi="ar-SA"/>
      </w:rPr>
    </w:lvl>
    <w:lvl w:ilvl="8" w:tplc="F25C5804">
      <w:numFmt w:val="bullet"/>
      <w:lvlText w:val="•"/>
      <w:lvlJc w:val="left"/>
      <w:pPr>
        <w:ind w:left="1939" w:hanging="77"/>
      </w:pPr>
      <w:rPr>
        <w:rFonts w:hint="default"/>
        <w:lang w:val="en-US" w:eastAsia="en-US" w:bidi="ar-SA"/>
      </w:rPr>
    </w:lvl>
  </w:abstractNum>
  <w:abstractNum w:abstractNumId="305" w15:restartNumberingAfterBreak="0">
    <w:nsid w:val="76015359"/>
    <w:multiLevelType w:val="hybridMultilevel"/>
    <w:tmpl w:val="87B004C6"/>
    <w:lvl w:ilvl="0" w:tplc="6504D484">
      <w:numFmt w:val="bullet"/>
      <w:lvlText w:val="•"/>
      <w:lvlJc w:val="left"/>
      <w:pPr>
        <w:ind w:left="27" w:hanging="72"/>
      </w:pPr>
      <w:rPr>
        <w:rFonts w:ascii="Arial" w:eastAsia="Arial" w:hAnsi="Arial" w:cs="Arial" w:hint="default"/>
        <w:color w:val="231F20"/>
        <w:w w:val="104"/>
        <w:sz w:val="12"/>
        <w:szCs w:val="12"/>
        <w:lang w:val="en-US" w:eastAsia="en-US" w:bidi="ar-SA"/>
      </w:rPr>
    </w:lvl>
    <w:lvl w:ilvl="1" w:tplc="631A5582">
      <w:numFmt w:val="bullet"/>
      <w:lvlText w:val="•"/>
      <w:lvlJc w:val="left"/>
      <w:pPr>
        <w:ind w:left="267" w:hanging="72"/>
      </w:pPr>
      <w:rPr>
        <w:rFonts w:hint="default"/>
        <w:lang w:val="en-US" w:eastAsia="en-US" w:bidi="ar-SA"/>
      </w:rPr>
    </w:lvl>
    <w:lvl w:ilvl="2" w:tplc="EBE686C8">
      <w:numFmt w:val="bullet"/>
      <w:lvlText w:val="•"/>
      <w:lvlJc w:val="left"/>
      <w:pPr>
        <w:ind w:left="515" w:hanging="72"/>
      </w:pPr>
      <w:rPr>
        <w:rFonts w:hint="default"/>
        <w:lang w:val="en-US" w:eastAsia="en-US" w:bidi="ar-SA"/>
      </w:rPr>
    </w:lvl>
    <w:lvl w:ilvl="3" w:tplc="4C524982">
      <w:numFmt w:val="bullet"/>
      <w:lvlText w:val="•"/>
      <w:lvlJc w:val="left"/>
      <w:pPr>
        <w:ind w:left="763" w:hanging="72"/>
      </w:pPr>
      <w:rPr>
        <w:rFonts w:hint="default"/>
        <w:lang w:val="en-US" w:eastAsia="en-US" w:bidi="ar-SA"/>
      </w:rPr>
    </w:lvl>
    <w:lvl w:ilvl="4" w:tplc="8C8423E2">
      <w:numFmt w:val="bullet"/>
      <w:lvlText w:val="•"/>
      <w:lvlJc w:val="left"/>
      <w:pPr>
        <w:ind w:left="1010" w:hanging="72"/>
      </w:pPr>
      <w:rPr>
        <w:rFonts w:hint="default"/>
        <w:lang w:val="en-US" w:eastAsia="en-US" w:bidi="ar-SA"/>
      </w:rPr>
    </w:lvl>
    <w:lvl w:ilvl="5" w:tplc="E00A9180">
      <w:numFmt w:val="bullet"/>
      <w:lvlText w:val="•"/>
      <w:lvlJc w:val="left"/>
      <w:pPr>
        <w:ind w:left="1258" w:hanging="72"/>
      </w:pPr>
      <w:rPr>
        <w:rFonts w:hint="default"/>
        <w:lang w:val="en-US" w:eastAsia="en-US" w:bidi="ar-SA"/>
      </w:rPr>
    </w:lvl>
    <w:lvl w:ilvl="6" w:tplc="52BEB6DA">
      <w:numFmt w:val="bullet"/>
      <w:lvlText w:val="•"/>
      <w:lvlJc w:val="left"/>
      <w:pPr>
        <w:ind w:left="1506" w:hanging="72"/>
      </w:pPr>
      <w:rPr>
        <w:rFonts w:hint="default"/>
        <w:lang w:val="en-US" w:eastAsia="en-US" w:bidi="ar-SA"/>
      </w:rPr>
    </w:lvl>
    <w:lvl w:ilvl="7" w:tplc="4272767A">
      <w:numFmt w:val="bullet"/>
      <w:lvlText w:val="•"/>
      <w:lvlJc w:val="left"/>
      <w:pPr>
        <w:ind w:left="1753" w:hanging="72"/>
      </w:pPr>
      <w:rPr>
        <w:rFonts w:hint="default"/>
        <w:lang w:val="en-US" w:eastAsia="en-US" w:bidi="ar-SA"/>
      </w:rPr>
    </w:lvl>
    <w:lvl w:ilvl="8" w:tplc="C2942128">
      <w:numFmt w:val="bullet"/>
      <w:lvlText w:val="•"/>
      <w:lvlJc w:val="left"/>
      <w:pPr>
        <w:ind w:left="2001" w:hanging="72"/>
      </w:pPr>
      <w:rPr>
        <w:rFonts w:hint="default"/>
        <w:lang w:val="en-US" w:eastAsia="en-US" w:bidi="ar-SA"/>
      </w:rPr>
    </w:lvl>
  </w:abstractNum>
  <w:abstractNum w:abstractNumId="306" w15:restartNumberingAfterBreak="0">
    <w:nsid w:val="76893031"/>
    <w:multiLevelType w:val="hybridMultilevel"/>
    <w:tmpl w:val="E4FA11E4"/>
    <w:lvl w:ilvl="0" w:tplc="9CB0A8A0">
      <w:numFmt w:val="bullet"/>
      <w:lvlText w:val="•"/>
      <w:lvlJc w:val="left"/>
      <w:pPr>
        <w:ind w:left="22" w:hanging="67"/>
      </w:pPr>
      <w:rPr>
        <w:rFonts w:ascii="Arial" w:eastAsia="Arial" w:hAnsi="Arial" w:cs="Arial" w:hint="default"/>
        <w:color w:val="231F20"/>
        <w:w w:val="97"/>
        <w:sz w:val="12"/>
        <w:szCs w:val="12"/>
        <w:lang w:val="en-US" w:eastAsia="en-US" w:bidi="ar-SA"/>
      </w:rPr>
    </w:lvl>
    <w:lvl w:ilvl="1" w:tplc="A39E7C80">
      <w:numFmt w:val="bullet"/>
      <w:lvlText w:val="•"/>
      <w:lvlJc w:val="left"/>
      <w:pPr>
        <w:ind w:left="250" w:hanging="67"/>
      </w:pPr>
      <w:rPr>
        <w:rFonts w:hint="default"/>
        <w:lang w:val="en-US" w:eastAsia="en-US" w:bidi="ar-SA"/>
      </w:rPr>
    </w:lvl>
    <w:lvl w:ilvl="2" w:tplc="C706E680">
      <w:numFmt w:val="bullet"/>
      <w:lvlText w:val="•"/>
      <w:lvlJc w:val="left"/>
      <w:pPr>
        <w:ind w:left="480" w:hanging="67"/>
      </w:pPr>
      <w:rPr>
        <w:rFonts w:hint="default"/>
        <w:lang w:val="en-US" w:eastAsia="en-US" w:bidi="ar-SA"/>
      </w:rPr>
    </w:lvl>
    <w:lvl w:ilvl="3" w:tplc="7BFAABAE">
      <w:numFmt w:val="bullet"/>
      <w:lvlText w:val="•"/>
      <w:lvlJc w:val="left"/>
      <w:pPr>
        <w:ind w:left="710" w:hanging="67"/>
      </w:pPr>
      <w:rPr>
        <w:rFonts w:hint="default"/>
        <w:lang w:val="en-US" w:eastAsia="en-US" w:bidi="ar-SA"/>
      </w:rPr>
    </w:lvl>
    <w:lvl w:ilvl="4" w:tplc="E836F968">
      <w:numFmt w:val="bullet"/>
      <w:lvlText w:val="•"/>
      <w:lvlJc w:val="left"/>
      <w:pPr>
        <w:ind w:left="941" w:hanging="67"/>
      </w:pPr>
      <w:rPr>
        <w:rFonts w:hint="default"/>
        <w:lang w:val="en-US" w:eastAsia="en-US" w:bidi="ar-SA"/>
      </w:rPr>
    </w:lvl>
    <w:lvl w:ilvl="5" w:tplc="8BC0D91A">
      <w:numFmt w:val="bullet"/>
      <w:lvlText w:val="•"/>
      <w:lvlJc w:val="left"/>
      <w:pPr>
        <w:ind w:left="1171" w:hanging="67"/>
      </w:pPr>
      <w:rPr>
        <w:rFonts w:hint="default"/>
        <w:lang w:val="en-US" w:eastAsia="en-US" w:bidi="ar-SA"/>
      </w:rPr>
    </w:lvl>
    <w:lvl w:ilvl="6" w:tplc="7914815C">
      <w:numFmt w:val="bullet"/>
      <w:lvlText w:val="•"/>
      <w:lvlJc w:val="left"/>
      <w:pPr>
        <w:ind w:left="1401" w:hanging="67"/>
      </w:pPr>
      <w:rPr>
        <w:rFonts w:hint="default"/>
        <w:lang w:val="en-US" w:eastAsia="en-US" w:bidi="ar-SA"/>
      </w:rPr>
    </w:lvl>
    <w:lvl w:ilvl="7" w:tplc="18EC88EC">
      <w:numFmt w:val="bullet"/>
      <w:lvlText w:val="•"/>
      <w:lvlJc w:val="left"/>
      <w:pPr>
        <w:ind w:left="1632" w:hanging="67"/>
      </w:pPr>
      <w:rPr>
        <w:rFonts w:hint="default"/>
        <w:lang w:val="en-US" w:eastAsia="en-US" w:bidi="ar-SA"/>
      </w:rPr>
    </w:lvl>
    <w:lvl w:ilvl="8" w:tplc="3110BDEA">
      <w:numFmt w:val="bullet"/>
      <w:lvlText w:val="•"/>
      <w:lvlJc w:val="left"/>
      <w:pPr>
        <w:ind w:left="1862" w:hanging="67"/>
      </w:pPr>
      <w:rPr>
        <w:rFonts w:hint="default"/>
        <w:lang w:val="en-US" w:eastAsia="en-US" w:bidi="ar-SA"/>
      </w:rPr>
    </w:lvl>
  </w:abstractNum>
  <w:abstractNum w:abstractNumId="307" w15:restartNumberingAfterBreak="0">
    <w:nsid w:val="76D04FDC"/>
    <w:multiLevelType w:val="hybridMultilevel"/>
    <w:tmpl w:val="06344B48"/>
    <w:lvl w:ilvl="0" w:tplc="5C140210">
      <w:numFmt w:val="bullet"/>
      <w:lvlText w:val="o"/>
      <w:lvlJc w:val="left"/>
      <w:pPr>
        <w:ind w:left="1600" w:hanging="377"/>
      </w:pPr>
      <w:rPr>
        <w:rFonts w:ascii="Courier New" w:eastAsia="Courier New" w:hAnsi="Courier New" w:cs="Courier New" w:hint="default"/>
        <w:color w:val="231F20"/>
        <w:w w:val="99"/>
        <w:sz w:val="22"/>
        <w:szCs w:val="22"/>
        <w:lang w:val="en-US" w:eastAsia="en-US" w:bidi="ar-SA"/>
      </w:rPr>
    </w:lvl>
    <w:lvl w:ilvl="1" w:tplc="82768F7C">
      <w:numFmt w:val="bullet"/>
      <w:lvlText w:val="•"/>
      <w:lvlJc w:val="left"/>
      <w:pPr>
        <w:ind w:left="2410" w:hanging="377"/>
      </w:pPr>
      <w:rPr>
        <w:rFonts w:hint="default"/>
        <w:lang w:val="en-US" w:eastAsia="en-US" w:bidi="ar-SA"/>
      </w:rPr>
    </w:lvl>
    <w:lvl w:ilvl="2" w:tplc="EAC053C0">
      <w:numFmt w:val="bullet"/>
      <w:lvlText w:val="•"/>
      <w:lvlJc w:val="left"/>
      <w:pPr>
        <w:ind w:left="3221" w:hanging="377"/>
      </w:pPr>
      <w:rPr>
        <w:rFonts w:hint="default"/>
        <w:lang w:val="en-US" w:eastAsia="en-US" w:bidi="ar-SA"/>
      </w:rPr>
    </w:lvl>
    <w:lvl w:ilvl="3" w:tplc="5A56EBA6">
      <w:numFmt w:val="bullet"/>
      <w:lvlText w:val="•"/>
      <w:lvlJc w:val="left"/>
      <w:pPr>
        <w:ind w:left="4031" w:hanging="377"/>
      </w:pPr>
      <w:rPr>
        <w:rFonts w:hint="default"/>
        <w:lang w:val="en-US" w:eastAsia="en-US" w:bidi="ar-SA"/>
      </w:rPr>
    </w:lvl>
    <w:lvl w:ilvl="4" w:tplc="DE4CAA28">
      <w:numFmt w:val="bullet"/>
      <w:lvlText w:val="•"/>
      <w:lvlJc w:val="left"/>
      <w:pPr>
        <w:ind w:left="4842" w:hanging="377"/>
      </w:pPr>
      <w:rPr>
        <w:rFonts w:hint="default"/>
        <w:lang w:val="en-US" w:eastAsia="en-US" w:bidi="ar-SA"/>
      </w:rPr>
    </w:lvl>
    <w:lvl w:ilvl="5" w:tplc="56F2DF2A">
      <w:numFmt w:val="bullet"/>
      <w:lvlText w:val="•"/>
      <w:lvlJc w:val="left"/>
      <w:pPr>
        <w:ind w:left="5652" w:hanging="377"/>
      </w:pPr>
      <w:rPr>
        <w:rFonts w:hint="default"/>
        <w:lang w:val="en-US" w:eastAsia="en-US" w:bidi="ar-SA"/>
      </w:rPr>
    </w:lvl>
    <w:lvl w:ilvl="6" w:tplc="CA50DE2A">
      <w:numFmt w:val="bullet"/>
      <w:lvlText w:val="•"/>
      <w:lvlJc w:val="left"/>
      <w:pPr>
        <w:ind w:left="6463" w:hanging="377"/>
      </w:pPr>
      <w:rPr>
        <w:rFonts w:hint="default"/>
        <w:lang w:val="en-US" w:eastAsia="en-US" w:bidi="ar-SA"/>
      </w:rPr>
    </w:lvl>
    <w:lvl w:ilvl="7" w:tplc="9370B110">
      <w:numFmt w:val="bullet"/>
      <w:lvlText w:val="•"/>
      <w:lvlJc w:val="left"/>
      <w:pPr>
        <w:ind w:left="7273" w:hanging="377"/>
      </w:pPr>
      <w:rPr>
        <w:rFonts w:hint="default"/>
        <w:lang w:val="en-US" w:eastAsia="en-US" w:bidi="ar-SA"/>
      </w:rPr>
    </w:lvl>
    <w:lvl w:ilvl="8" w:tplc="65A4BB48">
      <w:numFmt w:val="bullet"/>
      <w:lvlText w:val="•"/>
      <w:lvlJc w:val="left"/>
      <w:pPr>
        <w:ind w:left="8084" w:hanging="377"/>
      </w:pPr>
      <w:rPr>
        <w:rFonts w:hint="default"/>
        <w:lang w:val="en-US" w:eastAsia="en-US" w:bidi="ar-SA"/>
      </w:rPr>
    </w:lvl>
  </w:abstractNum>
  <w:abstractNum w:abstractNumId="308" w15:restartNumberingAfterBreak="0">
    <w:nsid w:val="76EA3BEF"/>
    <w:multiLevelType w:val="hybridMultilevel"/>
    <w:tmpl w:val="0E76201A"/>
    <w:lvl w:ilvl="0" w:tplc="E9A0256E">
      <w:numFmt w:val="bullet"/>
      <w:lvlText w:val="•"/>
      <w:lvlJc w:val="left"/>
      <w:pPr>
        <w:ind w:left="26" w:hanging="79"/>
      </w:pPr>
      <w:rPr>
        <w:rFonts w:ascii="Arial" w:eastAsia="Arial" w:hAnsi="Arial" w:cs="Arial" w:hint="default"/>
        <w:color w:val="231F20"/>
        <w:w w:val="82"/>
        <w:sz w:val="15"/>
        <w:szCs w:val="15"/>
        <w:lang w:val="en-US" w:eastAsia="en-US" w:bidi="ar-SA"/>
      </w:rPr>
    </w:lvl>
    <w:lvl w:ilvl="1" w:tplc="7A605AA8">
      <w:numFmt w:val="bullet"/>
      <w:lvlText w:val="•"/>
      <w:lvlJc w:val="left"/>
      <w:pPr>
        <w:ind w:left="266" w:hanging="79"/>
      </w:pPr>
      <w:rPr>
        <w:rFonts w:hint="default"/>
        <w:lang w:val="en-US" w:eastAsia="en-US" w:bidi="ar-SA"/>
      </w:rPr>
    </w:lvl>
    <w:lvl w:ilvl="2" w:tplc="320C519E">
      <w:numFmt w:val="bullet"/>
      <w:lvlText w:val="•"/>
      <w:lvlJc w:val="left"/>
      <w:pPr>
        <w:ind w:left="512" w:hanging="79"/>
      </w:pPr>
      <w:rPr>
        <w:rFonts w:hint="default"/>
        <w:lang w:val="en-US" w:eastAsia="en-US" w:bidi="ar-SA"/>
      </w:rPr>
    </w:lvl>
    <w:lvl w:ilvl="3" w:tplc="7FEE56F6">
      <w:numFmt w:val="bullet"/>
      <w:lvlText w:val="•"/>
      <w:lvlJc w:val="left"/>
      <w:pPr>
        <w:ind w:left="758" w:hanging="79"/>
      </w:pPr>
      <w:rPr>
        <w:rFonts w:hint="default"/>
        <w:lang w:val="en-US" w:eastAsia="en-US" w:bidi="ar-SA"/>
      </w:rPr>
    </w:lvl>
    <w:lvl w:ilvl="4" w:tplc="88A257C8">
      <w:numFmt w:val="bullet"/>
      <w:lvlText w:val="•"/>
      <w:lvlJc w:val="left"/>
      <w:pPr>
        <w:ind w:left="1005" w:hanging="79"/>
      </w:pPr>
      <w:rPr>
        <w:rFonts w:hint="default"/>
        <w:lang w:val="en-US" w:eastAsia="en-US" w:bidi="ar-SA"/>
      </w:rPr>
    </w:lvl>
    <w:lvl w:ilvl="5" w:tplc="18865252">
      <w:numFmt w:val="bullet"/>
      <w:lvlText w:val="•"/>
      <w:lvlJc w:val="left"/>
      <w:pPr>
        <w:ind w:left="1251" w:hanging="79"/>
      </w:pPr>
      <w:rPr>
        <w:rFonts w:hint="default"/>
        <w:lang w:val="en-US" w:eastAsia="en-US" w:bidi="ar-SA"/>
      </w:rPr>
    </w:lvl>
    <w:lvl w:ilvl="6" w:tplc="63E021D2">
      <w:numFmt w:val="bullet"/>
      <w:lvlText w:val="•"/>
      <w:lvlJc w:val="left"/>
      <w:pPr>
        <w:ind w:left="1497" w:hanging="79"/>
      </w:pPr>
      <w:rPr>
        <w:rFonts w:hint="default"/>
        <w:lang w:val="en-US" w:eastAsia="en-US" w:bidi="ar-SA"/>
      </w:rPr>
    </w:lvl>
    <w:lvl w:ilvl="7" w:tplc="CF42BA5A">
      <w:numFmt w:val="bullet"/>
      <w:lvlText w:val="•"/>
      <w:lvlJc w:val="left"/>
      <w:pPr>
        <w:ind w:left="1744" w:hanging="79"/>
      </w:pPr>
      <w:rPr>
        <w:rFonts w:hint="default"/>
        <w:lang w:val="en-US" w:eastAsia="en-US" w:bidi="ar-SA"/>
      </w:rPr>
    </w:lvl>
    <w:lvl w:ilvl="8" w:tplc="C0506360">
      <w:numFmt w:val="bullet"/>
      <w:lvlText w:val="•"/>
      <w:lvlJc w:val="left"/>
      <w:pPr>
        <w:ind w:left="1990" w:hanging="79"/>
      </w:pPr>
      <w:rPr>
        <w:rFonts w:hint="default"/>
        <w:lang w:val="en-US" w:eastAsia="en-US" w:bidi="ar-SA"/>
      </w:rPr>
    </w:lvl>
  </w:abstractNum>
  <w:abstractNum w:abstractNumId="309" w15:restartNumberingAfterBreak="0">
    <w:nsid w:val="76F61EBD"/>
    <w:multiLevelType w:val="hybridMultilevel"/>
    <w:tmpl w:val="F0B013C0"/>
    <w:lvl w:ilvl="0" w:tplc="07B89B90">
      <w:numFmt w:val="bullet"/>
      <w:lvlText w:val="•"/>
      <w:lvlJc w:val="left"/>
      <w:pPr>
        <w:ind w:left="23" w:hanging="76"/>
      </w:pPr>
      <w:rPr>
        <w:rFonts w:ascii="Arial" w:eastAsia="Arial" w:hAnsi="Arial" w:cs="Arial" w:hint="default"/>
        <w:color w:val="231F20"/>
        <w:w w:val="100"/>
        <w:sz w:val="12"/>
        <w:szCs w:val="12"/>
        <w:lang w:val="en-US" w:eastAsia="en-US" w:bidi="ar-SA"/>
      </w:rPr>
    </w:lvl>
    <w:lvl w:ilvl="1" w:tplc="8EC6BCF8">
      <w:numFmt w:val="bullet"/>
      <w:lvlText w:val="•"/>
      <w:lvlJc w:val="left"/>
      <w:pPr>
        <w:ind w:left="257" w:hanging="76"/>
      </w:pPr>
      <w:rPr>
        <w:rFonts w:hint="default"/>
        <w:lang w:val="en-US" w:eastAsia="en-US" w:bidi="ar-SA"/>
      </w:rPr>
    </w:lvl>
    <w:lvl w:ilvl="2" w:tplc="18642D44">
      <w:numFmt w:val="bullet"/>
      <w:lvlText w:val="•"/>
      <w:lvlJc w:val="left"/>
      <w:pPr>
        <w:ind w:left="495" w:hanging="76"/>
      </w:pPr>
      <w:rPr>
        <w:rFonts w:hint="default"/>
        <w:lang w:val="en-US" w:eastAsia="en-US" w:bidi="ar-SA"/>
      </w:rPr>
    </w:lvl>
    <w:lvl w:ilvl="3" w:tplc="FD2E9AB8">
      <w:numFmt w:val="bullet"/>
      <w:lvlText w:val="•"/>
      <w:lvlJc w:val="left"/>
      <w:pPr>
        <w:ind w:left="733" w:hanging="76"/>
      </w:pPr>
      <w:rPr>
        <w:rFonts w:hint="default"/>
        <w:lang w:val="en-US" w:eastAsia="en-US" w:bidi="ar-SA"/>
      </w:rPr>
    </w:lvl>
    <w:lvl w:ilvl="4" w:tplc="31C4AE34">
      <w:numFmt w:val="bullet"/>
      <w:lvlText w:val="•"/>
      <w:lvlJc w:val="left"/>
      <w:pPr>
        <w:ind w:left="971" w:hanging="76"/>
      </w:pPr>
      <w:rPr>
        <w:rFonts w:hint="default"/>
        <w:lang w:val="en-US" w:eastAsia="en-US" w:bidi="ar-SA"/>
      </w:rPr>
    </w:lvl>
    <w:lvl w:ilvl="5" w:tplc="6FF6D2C4">
      <w:numFmt w:val="bullet"/>
      <w:lvlText w:val="•"/>
      <w:lvlJc w:val="left"/>
      <w:pPr>
        <w:ind w:left="1209" w:hanging="76"/>
      </w:pPr>
      <w:rPr>
        <w:rFonts w:hint="default"/>
        <w:lang w:val="en-US" w:eastAsia="en-US" w:bidi="ar-SA"/>
      </w:rPr>
    </w:lvl>
    <w:lvl w:ilvl="6" w:tplc="4FFABC72">
      <w:numFmt w:val="bullet"/>
      <w:lvlText w:val="•"/>
      <w:lvlJc w:val="left"/>
      <w:pPr>
        <w:ind w:left="1446" w:hanging="76"/>
      </w:pPr>
      <w:rPr>
        <w:rFonts w:hint="default"/>
        <w:lang w:val="en-US" w:eastAsia="en-US" w:bidi="ar-SA"/>
      </w:rPr>
    </w:lvl>
    <w:lvl w:ilvl="7" w:tplc="F5A42382">
      <w:numFmt w:val="bullet"/>
      <w:lvlText w:val="•"/>
      <w:lvlJc w:val="left"/>
      <w:pPr>
        <w:ind w:left="1684" w:hanging="76"/>
      </w:pPr>
      <w:rPr>
        <w:rFonts w:hint="default"/>
        <w:lang w:val="en-US" w:eastAsia="en-US" w:bidi="ar-SA"/>
      </w:rPr>
    </w:lvl>
    <w:lvl w:ilvl="8" w:tplc="94483222">
      <w:numFmt w:val="bullet"/>
      <w:lvlText w:val="•"/>
      <w:lvlJc w:val="left"/>
      <w:pPr>
        <w:ind w:left="1922" w:hanging="76"/>
      </w:pPr>
      <w:rPr>
        <w:rFonts w:hint="default"/>
        <w:lang w:val="en-US" w:eastAsia="en-US" w:bidi="ar-SA"/>
      </w:rPr>
    </w:lvl>
  </w:abstractNum>
  <w:abstractNum w:abstractNumId="310" w15:restartNumberingAfterBreak="0">
    <w:nsid w:val="777B6D3D"/>
    <w:multiLevelType w:val="hybridMultilevel"/>
    <w:tmpl w:val="045A6A46"/>
    <w:lvl w:ilvl="0" w:tplc="93B29C14">
      <w:numFmt w:val="bullet"/>
      <w:lvlText w:val="•"/>
      <w:lvlJc w:val="left"/>
      <w:pPr>
        <w:ind w:left="105" w:hanging="79"/>
      </w:pPr>
      <w:rPr>
        <w:rFonts w:ascii="Arial" w:eastAsia="Arial" w:hAnsi="Arial" w:cs="Arial" w:hint="default"/>
        <w:color w:val="231F20"/>
        <w:w w:val="62"/>
        <w:sz w:val="20"/>
        <w:szCs w:val="20"/>
        <w:lang w:val="en-US" w:eastAsia="en-US" w:bidi="ar-SA"/>
      </w:rPr>
    </w:lvl>
    <w:lvl w:ilvl="1" w:tplc="3242970A">
      <w:numFmt w:val="bullet"/>
      <w:lvlText w:val="•"/>
      <w:lvlJc w:val="left"/>
      <w:pPr>
        <w:ind w:left="341" w:hanging="79"/>
      </w:pPr>
      <w:rPr>
        <w:rFonts w:hint="default"/>
        <w:lang w:val="en-US" w:eastAsia="en-US" w:bidi="ar-SA"/>
      </w:rPr>
    </w:lvl>
    <w:lvl w:ilvl="2" w:tplc="F3C68272">
      <w:numFmt w:val="bullet"/>
      <w:lvlText w:val="•"/>
      <w:lvlJc w:val="left"/>
      <w:pPr>
        <w:ind w:left="582" w:hanging="79"/>
      </w:pPr>
      <w:rPr>
        <w:rFonts w:hint="default"/>
        <w:lang w:val="en-US" w:eastAsia="en-US" w:bidi="ar-SA"/>
      </w:rPr>
    </w:lvl>
    <w:lvl w:ilvl="3" w:tplc="F1968D66">
      <w:numFmt w:val="bullet"/>
      <w:lvlText w:val="•"/>
      <w:lvlJc w:val="left"/>
      <w:pPr>
        <w:ind w:left="823" w:hanging="79"/>
      </w:pPr>
      <w:rPr>
        <w:rFonts w:hint="default"/>
        <w:lang w:val="en-US" w:eastAsia="en-US" w:bidi="ar-SA"/>
      </w:rPr>
    </w:lvl>
    <w:lvl w:ilvl="4" w:tplc="0E6A423C">
      <w:numFmt w:val="bullet"/>
      <w:lvlText w:val="•"/>
      <w:lvlJc w:val="left"/>
      <w:pPr>
        <w:ind w:left="1064" w:hanging="79"/>
      </w:pPr>
      <w:rPr>
        <w:rFonts w:hint="default"/>
        <w:lang w:val="en-US" w:eastAsia="en-US" w:bidi="ar-SA"/>
      </w:rPr>
    </w:lvl>
    <w:lvl w:ilvl="5" w:tplc="7750D87E">
      <w:numFmt w:val="bullet"/>
      <w:lvlText w:val="•"/>
      <w:lvlJc w:val="left"/>
      <w:pPr>
        <w:ind w:left="1305" w:hanging="79"/>
      </w:pPr>
      <w:rPr>
        <w:rFonts w:hint="default"/>
        <w:lang w:val="en-US" w:eastAsia="en-US" w:bidi="ar-SA"/>
      </w:rPr>
    </w:lvl>
    <w:lvl w:ilvl="6" w:tplc="F30E063A">
      <w:numFmt w:val="bullet"/>
      <w:lvlText w:val="•"/>
      <w:lvlJc w:val="left"/>
      <w:pPr>
        <w:ind w:left="1546" w:hanging="79"/>
      </w:pPr>
      <w:rPr>
        <w:rFonts w:hint="default"/>
        <w:lang w:val="en-US" w:eastAsia="en-US" w:bidi="ar-SA"/>
      </w:rPr>
    </w:lvl>
    <w:lvl w:ilvl="7" w:tplc="41D6139A">
      <w:numFmt w:val="bullet"/>
      <w:lvlText w:val="•"/>
      <w:lvlJc w:val="left"/>
      <w:pPr>
        <w:ind w:left="1787" w:hanging="79"/>
      </w:pPr>
      <w:rPr>
        <w:rFonts w:hint="default"/>
        <w:lang w:val="en-US" w:eastAsia="en-US" w:bidi="ar-SA"/>
      </w:rPr>
    </w:lvl>
    <w:lvl w:ilvl="8" w:tplc="8144B25C">
      <w:numFmt w:val="bullet"/>
      <w:lvlText w:val="•"/>
      <w:lvlJc w:val="left"/>
      <w:pPr>
        <w:ind w:left="2028" w:hanging="79"/>
      </w:pPr>
      <w:rPr>
        <w:rFonts w:hint="default"/>
        <w:lang w:val="en-US" w:eastAsia="en-US" w:bidi="ar-SA"/>
      </w:rPr>
    </w:lvl>
  </w:abstractNum>
  <w:abstractNum w:abstractNumId="311" w15:restartNumberingAfterBreak="0">
    <w:nsid w:val="77A83D4F"/>
    <w:multiLevelType w:val="hybridMultilevel"/>
    <w:tmpl w:val="64E05D8A"/>
    <w:lvl w:ilvl="0" w:tplc="089CB1DA">
      <w:numFmt w:val="bullet"/>
      <w:lvlText w:val="•"/>
      <w:lvlJc w:val="left"/>
      <w:pPr>
        <w:ind w:left="21" w:hanging="75"/>
      </w:pPr>
      <w:rPr>
        <w:rFonts w:ascii="Arial" w:eastAsia="Arial" w:hAnsi="Arial" w:cs="Arial" w:hint="default"/>
        <w:color w:val="231F20"/>
        <w:w w:val="107"/>
        <w:sz w:val="11"/>
        <w:szCs w:val="11"/>
        <w:lang w:val="en-US" w:eastAsia="en-US" w:bidi="ar-SA"/>
      </w:rPr>
    </w:lvl>
    <w:lvl w:ilvl="1" w:tplc="9F4247A8">
      <w:numFmt w:val="bullet"/>
      <w:lvlText w:val="•"/>
      <w:lvlJc w:val="left"/>
      <w:pPr>
        <w:ind w:left="254" w:hanging="75"/>
      </w:pPr>
      <w:rPr>
        <w:rFonts w:hint="default"/>
        <w:lang w:val="en-US" w:eastAsia="en-US" w:bidi="ar-SA"/>
      </w:rPr>
    </w:lvl>
    <w:lvl w:ilvl="2" w:tplc="7E9A7B68">
      <w:numFmt w:val="bullet"/>
      <w:lvlText w:val="•"/>
      <w:lvlJc w:val="left"/>
      <w:pPr>
        <w:ind w:left="488" w:hanging="75"/>
      </w:pPr>
      <w:rPr>
        <w:rFonts w:hint="default"/>
        <w:lang w:val="en-US" w:eastAsia="en-US" w:bidi="ar-SA"/>
      </w:rPr>
    </w:lvl>
    <w:lvl w:ilvl="3" w:tplc="D6A051AE">
      <w:numFmt w:val="bullet"/>
      <w:lvlText w:val="•"/>
      <w:lvlJc w:val="left"/>
      <w:pPr>
        <w:ind w:left="723" w:hanging="75"/>
      </w:pPr>
      <w:rPr>
        <w:rFonts w:hint="default"/>
        <w:lang w:val="en-US" w:eastAsia="en-US" w:bidi="ar-SA"/>
      </w:rPr>
    </w:lvl>
    <w:lvl w:ilvl="4" w:tplc="DDA20D92">
      <w:numFmt w:val="bullet"/>
      <w:lvlText w:val="•"/>
      <w:lvlJc w:val="left"/>
      <w:pPr>
        <w:ind w:left="957" w:hanging="75"/>
      </w:pPr>
      <w:rPr>
        <w:rFonts w:hint="default"/>
        <w:lang w:val="en-US" w:eastAsia="en-US" w:bidi="ar-SA"/>
      </w:rPr>
    </w:lvl>
    <w:lvl w:ilvl="5" w:tplc="D54E8E42">
      <w:numFmt w:val="bullet"/>
      <w:lvlText w:val="•"/>
      <w:lvlJc w:val="left"/>
      <w:pPr>
        <w:ind w:left="1192" w:hanging="75"/>
      </w:pPr>
      <w:rPr>
        <w:rFonts w:hint="default"/>
        <w:lang w:val="en-US" w:eastAsia="en-US" w:bidi="ar-SA"/>
      </w:rPr>
    </w:lvl>
    <w:lvl w:ilvl="6" w:tplc="E0EC6640">
      <w:numFmt w:val="bullet"/>
      <w:lvlText w:val="•"/>
      <w:lvlJc w:val="left"/>
      <w:pPr>
        <w:ind w:left="1426" w:hanging="75"/>
      </w:pPr>
      <w:rPr>
        <w:rFonts w:hint="default"/>
        <w:lang w:val="en-US" w:eastAsia="en-US" w:bidi="ar-SA"/>
      </w:rPr>
    </w:lvl>
    <w:lvl w:ilvl="7" w:tplc="442A7C98">
      <w:numFmt w:val="bullet"/>
      <w:lvlText w:val="•"/>
      <w:lvlJc w:val="left"/>
      <w:pPr>
        <w:ind w:left="1660" w:hanging="75"/>
      </w:pPr>
      <w:rPr>
        <w:rFonts w:hint="default"/>
        <w:lang w:val="en-US" w:eastAsia="en-US" w:bidi="ar-SA"/>
      </w:rPr>
    </w:lvl>
    <w:lvl w:ilvl="8" w:tplc="5A6C53CC">
      <w:numFmt w:val="bullet"/>
      <w:lvlText w:val="•"/>
      <w:lvlJc w:val="left"/>
      <w:pPr>
        <w:ind w:left="1895" w:hanging="75"/>
      </w:pPr>
      <w:rPr>
        <w:rFonts w:hint="default"/>
        <w:lang w:val="en-US" w:eastAsia="en-US" w:bidi="ar-SA"/>
      </w:rPr>
    </w:lvl>
  </w:abstractNum>
  <w:abstractNum w:abstractNumId="312" w15:restartNumberingAfterBreak="0">
    <w:nsid w:val="78940EB4"/>
    <w:multiLevelType w:val="hybridMultilevel"/>
    <w:tmpl w:val="7A2430E6"/>
    <w:lvl w:ilvl="0" w:tplc="360A67D4">
      <w:numFmt w:val="bullet"/>
      <w:lvlText w:val="•"/>
      <w:lvlJc w:val="left"/>
      <w:pPr>
        <w:ind w:left="27" w:hanging="76"/>
      </w:pPr>
      <w:rPr>
        <w:rFonts w:ascii="Arial" w:eastAsia="Arial" w:hAnsi="Arial" w:cs="Arial" w:hint="default"/>
        <w:color w:val="231F20"/>
        <w:w w:val="100"/>
        <w:sz w:val="12"/>
        <w:szCs w:val="12"/>
        <w:lang w:val="en-US" w:eastAsia="en-US" w:bidi="ar-SA"/>
      </w:rPr>
    </w:lvl>
    <w:lvl w:ilvl="1" w:tplc="929032A0">
      <w:numFmt w:val="bullet"/>
      <w:lvlText w:val="•"/>
      <w:lvlJc w:val="left"/>
      <w:pPr>
        <w:ind w:left="258" w:hanging="76"/>
      </w:pPr>
      <w:rPr>
        <w:rFonts w:hint="default"/>
        <w:lang w:val="en-US" w:eastAsia="en-US" w:bidi="ar-SA"/>
      </w:rPr>
    </w:lvl>
    <w:lvl w:ilvl="2" w:tplc="71B6D0B6">
      <w:numFmt w:val="bullet"/>
      <w:lvlText w:val="•"/>
      <w:lvlJc w:val="left"/>
      <w:pPr>
        <w:ind w:left="497" w:hanging="76"/>
      </w:pPr>
      <w:rPr>
        <w:rFonts w:hint="default"/>
        <w:lang w:val="en-US" w:eastAsia="en-US" w:bidi="ar-SA"/>
      </w:rPr>
    </w:lvl>
    <w:lvl w:ilvl="3" w:tplc="789692C4">
      <w:numFmt w:val="bullet"/>
      <w:lvlText w:val="•"/>
      <w:lvlJc w:val="left"/>
      <w:pPr>
        <w:ind w:left="736" w:hanging="76"/>
      </w:pPr>
      <w:rPr>
        <w:rFonts w:hint="default"/>
        <w:lang w:val="en-US" w:eastAsia="en-US" w:bidi="ar-SA"/>
      </w:rPr>
    </w:lvl>
    <w:lvl w:ilvl="4" w:tplc="F88A52FE">
      <w:numFmt w:val="bullet"/>
      <w:lvlText w:val="•"/>
      <w:lvlJc w:val="left"/>
      <w:pPr>
        <w:ind w:left="975" w:hanging="76"/>
      </w:pPr>
      <w:rPr>
        <w:rFonts w:hint="default"/>
        <w:lang w:val="en-US" w:eastAsia="en-US" w:bidi="ar-SA"/>
      </w:rPr>
    </w:lvl>
    <w:lvl w:ilvl="5" w:tplc="3DD8D394">
      <w:numFmt w:val="bullet"/>
      <w:lvlText w:val="•"/>
      <w:lvlJc w:val="left"/>
      <w:pPr>
        <w:ind w:left="1214" w:hanging="76"/>
      </w:pPr>
      <w:rPr>
        <w:rFonts w:hint="default"/>
        <w:lang w:val="en-US" w:eastAsia="en-US" w:bidi="ar-SA"/>
      </w:rPr>
    </w:lvl>
    <w:lvl w:ilvl="6" w:tplc="96DE425E">
      <w:numFmt w:val="bullet"/>
      <w:lvlText w:val="•"/>
      <w:lvlJc w:val="left"/>
      <w:pPr>
        <w:ind w:left="1452" w:hanging="76"/>
      </w:pPr>
      <w:rPr>
        <w:rFonts w:hint="default"/>
        <w:lang w:val="en-US" w:eastAsia="en-US" w:bidi="ar-SA"/>
      </w:rPr>
    </w:lvl>
    <w:lvl w:ilvl="7" w:tplc="890AE88C">
      <w:numFmt w:val="bullet"/>
      <w:lvlText w:val="•"/>
      <w:lvlJc w:val="left"/>
      <w:pPr>
        <w:ind w:left="1691" w:hanging="76"/>
      </w:pPr>
      <w:rPr>
        <w:rFonts w:hint="default"/>
        <w:lang w:val="en-US" w:eastAsia="en-US" w:bidi="ar-SA"/>
      </w:rPr>
    </w:lvl>
    <w:lvl w:ilvl="8" w:tplc="CE006AD0">
      <w:numFmt w:val="bullet"/>
      <w:lvlText w:val="•"/>
      <w:lvlJc w:val="left"/>
      <w:pPr>
        <w:ind w:left="1930" w:hanging="76"/>
      </w:pPr>
      <w:rPr>
        <w:rFonts w:hint="default"/>
        <w:lang w:val="en-US" w:eastAsia="en-US" w:bidi="ar-SA"/>
      </w:rPr>
    </w:lvl>
  </w:abstractNum>
  <w:abstractNum w:abstractNumId="313" w15:restartNumberingAfterBreak="0">
    <w:nsid w:val="78CC7A83"/>
    <w:multiLevelType w:val="hybridMultilevel"/>
    <w:tmpl w:val="88B62B58"/>
    <w:lvl w:ilvl="0" w:tplc="200A7F86">
      <w:numFmt w:val="bullet"/>
      <w:lvlText w:val="•"/>
      <w:lvlJc w:val="left"/>
      <w:pPr>
        <w:ind w:left="18" w:hanging="74"/>
      </w:pPr>
      <w:rPr>
        <w:rFonts w:ascii="Arial" w:eastAsia="Arial" w:hAnsi="Arial" w:cs="Arial" w:hint="default"/>
        <w:color w:val="231F20"/>
        <w:w w:val="106"/>
        <w:sz w:val="11"/>
        <w:szCs w:val="11"/>
        <w:lang w:val="en-US" w:eastAsia="en-US" w:bidi="ar-SA"/>
      </w:rPr>
    </w:lvl>
    <w:lvl w:ilvl="1" w:tplc="C6EA827E">
      <w:numFmt w:val="bullet"/>
      <w:lvlText w:val="•"/>
      <w:lvlJc w:val="left"/>
      <w:pPr>
        <w:ind w:left="252" w:hanging="74"/>
      </w:pPr>
      <w:rPr>
        <w:rFonts w:hint="default"/>
        <w:lang w:val="en-US" w:eastAsia="en-US" w:bidi="ar-SA"/>
      </w:rPr>
    </w:lvl>
    <w:lvl w:ilvl="2" w:tplc="BAB4FCA4">
      <w:numFmt w:val="bullet"/>
      <w:lvlText w:val="•"/>
      <w:lvlJc w:val="left"/>
      <w:pPr>
        <w:ind w:left="485" w:hanging="74"/>
      </w:pPr>
      <w:rPr>
        <w:rFonts w:hint="default"/>
        <w:lang w:val="en-US" w:eastAsia="en-US" w:bidi="ar-SA"/>
      </w:rPr>
    </w:lvl>
    <w:lvl w:ilvl="3" w:tplc="A28C877A">
      <w:numFmt w:val="bullet"/>
      <w:lvlText w:val="•"/>
      <w:lvlJc w:val="left"/>
      <w:pPr>
        <w:ind w:left="718" w:hanging="74"/>
      </w:pPr>
      <w:rPr>
        <w:rFonts w:hint="default"/>
        <w:lang w:val="en-US" w:eastAsia="en-US" w:bidi="ar-SA"/>
      </w:rPr>
    </w:lvl>
    <w:lvl w:ilvl="4" w:tplc="B8E4B618">
      <w:numFmt w:val="bullet"/>
      <w:lvlText w:val="•"/>
      <w:lvlJc w:val="left"/>
      <w:pPr>
        <w:ind w:left="951" w:hanging="74"/>
      </w:pPr>
      <w:rPr>
        <w:rFonts w:hint="default"/>
        <w:lang w:val="en-US" w:eastAsia="en-US" w:bidi="ar-SA"/>
      </w:rPr>
    </w:lvl>
    <w:lvl w:ilvl="5" w:tplc="4E9AEC28">
      <w:numFmt w:val="bullet"/>
      <w:lvlText w:val="•"/>
      <w:lvlJc w:val="left"/>
      <w:pPr>
        <w:ind w:left="1184" w:hanging="74"/>
      </w:pPr>
      <w:rPr>
        <w:rFonts w:hint="default"/>
        <w:lang w:val="en-US" w:eastAsia="en-US" w:bidi="ar-SA"/>
      </w:rPr>
    </w:lvl>
    <w:lvl w:ilvl="6" w:tplc="7474E2AE">
      <w:numFmt w:val="bullet"/>
      <w:lvlText w:val="•"/>
      <w:lvlJc w:val="left"/>
      <w:pPr>
        <w:ind w:left="1416" w:hanging="74"/>
      </w:pPr>
      <w:rPr>
        <w:rFonts w:hint="default"/>
        <w:lang w:val="en-US" w:eastAsia="en-US" w:bidi="ar-SA"/>
      </w:rPr>
    </w:lvl>
    <w:lvl w:ilvl="7" w:tplc="BBE4D420">
      <w:numFmt w:val="bullet"/>
      <w:lvlText w:val="•"/>
      <w:lvlJc w:val="left"/>
      <w:pPr>
        <w:ind w:left="1649" w:hanging="74"/>
      </w:pPr>
      <w:rPr>
        <w:rFonts w:hint="default"/>
        <w:lang w:val="en-US" w:eastAsia="en-US" w:bidi="ar-SA"/>
      </w:rPr>
    </w:lvl>
    <w:lvl w:ilvl="8" w:tplc="4D0C43B4">
      <w:numFmt w:val="bullet"/>
      <w:lvlText w:val="•"/>
      <w:lvlJc w:val="left"/>
      <w:pPr>
        <w:ind w:left="1882" w:hanging="74"/>
      </w:pPr>
      <w:rPr>
        <w:rFonts w:hint="default"/>
        <w:lang w:val="en-US" w:eastAsia="en-US" w:bidi="ar-SA"/>
      </w:rPr>
    </w:lvl>
  </w:abstractNum>
  <w:abstractNum w:abstractNumId="314" w15:restartNumberingAfterBreak="0">
    <w:nsid w:val="7A626403"/>
    <w:multiLevelType w:val="hybridMultilevel"/>
    <w:tmpl w:val="34C60740"/>
    <w:lvl w:ilvl="0" w:tplc="6E88D102">
      <w:numFmt w:val="bullet"/>
      <w:lvlText w:val="•"/>
      <w:lvlJc w:val="left"/>
      <w:pPr>
        <w:ind w:left="26" w:hanging="73"/>
      </w:pPr>
      <w:rPr>
        <w:rFonts w:ascii="Arial" w:eastAsia="Arial" w:hAnsi="Arial" w:cs="Arial" w:hint="default"/>
        <w:color w:val="231F20"/>
        <w:w w:val="62"/>
        <w:sz w:val="20"/>
        <w:szCs w:val="20"/>
        <w:lang w:val="en-US" w:eastAsia="en-US" w:bidi="ar-SA"/>
      </w:rPr>
    </w:lvl>
    <w:lvl w:ilvl="1" w:tplc="E2685D9E">
      <w:numFmt w:val="bullet"/>
      <w:lvlText w:val="•"/>
      <w:lvlJc w:val="left"/>
      <w:pPr>
        <w:ind w:left="269" w:hanging="73"/>
      </w:pPr>
      <w:rPr>
        <w:rFonts w:hint="default"/>
        <w:lang w:val="en-US" w:eastAsia="en-US" w:bidi="ar-SA"/>
      </w:rPr>
    </w:lvl>
    <w:lvl w:ilvl="2" w:tplc="E3E208D8">
      <w:numFmt w:val="bullet"/>
      <w:lvlText w:val="•"/>
      <w:lvlJc w:val="left"/>
      <w:pPr>
        <w:ind w:left="518" w:hanging="73"/>
      </w:pPr>
      <w:rPr>
        <w:rFonts w:hint="default"/>
        <w:lang w:val="en-US" w:eastAsia="en-US" w:bidi="ar-SA"/>
      </w:rPr>
    </w:lvl>
    <w:lvl w:ilvl="3" w:tplc="8C58AF88">
      <w:numFmt w:val="bullet"/>
      <w:lvlText w:val="•"/>
      <w:lvlJc w:val="left"/>
      <w:pPr>
        <w:ind w:left="767" w:hanging="73"/>
      </w:pPr>
      <w:rPr>
        <w:rFonts w:hint="default"/>
        <w:lang w:val="en-US" w:eastAsia="en-US" w:bidi="ar-SA"/>
      </w:rPr>
    </w:lvl>
    <w:lvl w:ilvl="4" w:tplc="6CEE8212">
      <w:numFmt w:val="bullet"/>
      <w:lvlText w:val="•"/>
      <w:lvlJc w:val="left"/>
      <w:pPr>
        <w:ind w:left="1016" w:hanging="73"/>
      </w:pPr>
      <w:rPr>
        <w:rFonts w:hint="default"/>
        <w:lang w:val="en-US" w:eastAsia="en-US" w:bidi="ar-SA"/>
      </w:rPr>
    </w:lvl>
    <w:lvl w:ilvl="5" w:tplc="7C2E561A">
      <w:numFmt w:val="bullet"/>
      <w:lvlText w:val="•"/>
      <w:lvlJc w:val="left"/>
      <w:pPr>
        <w:ind w:left="1265" w:hanging="73"/>
      </w:pPr>
      <w:rPr>
        <w:rFonts w:hint="default"/>
        <w:lang w:val="en-US" w:eastAsia="en-US" w:bidi="ar-SA"/>
      </w:rPr>
    </w:lvl>
    <w:lvl w:ilvl="6" w:tplc="9FDE9A48">
      <w:numFmt w:val="bullet"/>
      <w:lvlText w:val="•"/>
      <w:lvlJc w:val="left"/>
      <w:pPr>
        <w:ind w:left="1514" w:hanging="73"/>
      </w:pPr>
      <w:rPr>
        <w:rFonts w:hint="default"/>
        <w:lang w:val="en-US" w:eastAsia="en-US" w:bidi="ar-SA"/>
      </w:rPr>
    </w:lvl>
    <w:lvl w:ilvl="7" w:tplc="6CCE7A8E">
      <w:numFmt w:val="bullet"/>
      <w:lvlText w:val="•"/>
      <w:lvlJc w:val="left"/>
      <w:pPr>
        <w:ind w:left="1763" w:hanging="73"/>
      </w:pPr>
      <w:rPr>
        <w:rFonts w:hint="default"/>
        <w:lang w:val="en-US" w:eastAsia="en-US" w:bidi="ar-SA"/>
      </w:rPr>
    </w:lvl>
    <w:lvl w:ilvl="8" w:tplc="2CD40B7E">
      <w:numFmt w:val="bullet"/>
      <w:lvlText w:val="•"/>
      <w:lvlJc w:val="left"/>
      <w:pPr>
        <w:ind w:left="2012" w:hanging="73"/>
      </w:pPr>
      <w:rPr>
        <w:rFonts w:hint="default"/>
        <w:lang w:val="en-US" w:eastAsia="en-US" w:bidi="ar-SA"/>
      </w:rPr>
    </w:lvl>
  </w:abstractNum>
  <w:abstractNum w:abstractNumId="315" w15:restartNumberingAfterBreak="0">
    <w:nsid w:val="7AED1BBB"/>
    <w:multiLevelType w:val="hybridMultilevel"/>
    <w:tmpl w:val="21FE80F8"/>
    <w:lvl w:ilvl="0" w:tplc="33E09052">
      <w:numFmt w:val="bullet"/>
      <w:lvlText w:val="•"/>
      <w:lvlJc w:val="left"/>
      <w:pPr>
        <w:ind w:left="26" w:hanging="77"/>
      </w:pPr>
      <w:rPr>
        <w:rFonts w:ascii="Arial" w:eastAsia="Arial" w:hAnsi="Arial" w:cs="Arial" w:hint="default"/>
        <w:color w:val="231F20"/>
        <w:w w:val="86"/>
        <w:sz w:val="14"/>
        <w:szCs w:val="14"/>
        <w:lang w:val="en-US" w:eastAsia="en-US" w:bidi="ar-SA"/>
      </w:rPr>
    </w:lvl>
    <w:lvl w:ilvl="1" w:tplc="1C486BFE">
      <w:numFmt w:val="bullet"/>
      <w:lvlText w:val="•"/>
      <w:lvlJc w:val="left"/>
      <w:pPr>
        <w:ind w:left="259" w:hanging="77"/>
      </w:pPr>
      <w:rPr>
        <w:rFonts w:hint="default"/>
        <w:lang w:val="en-US" w:eastAsia="en-US" w:bidi="ar-SA"/>
      </w:rPr>
    </w:lvl>
    <w:lvl w:ilvl="2" w:tplc="7D5A8282">
      <w:numFmt w:val="bullet"/>
      <w:lvlText w:val="•"/>
      <w:lvlJc w:val="left"/>
      <w:pPr>
        <w:ind w:left="499" w:hanging="77"/>
      </w:pPr>
      <w:rPr>
        <w:rFonts w:hint="default"/>
        <w:lang w:val="en-US" w:eastAsia="en-US" w:bidi="ar-SA"/>
      </w:rPr>
    </w:lvl>
    <w:lvl w:ilvl="3" w:tplc="545A6DA2">
      <w:numFmt w:val="bullet"/>
      <w:lvlText w:val="•"/>
      <w:lvlJc w:val="left"/>
      <w:pPr>
        <w:ind w:left="739" w:hanging="77"/>
      </w:pPr>
      <w:rPr>
        <w:rFonts w:hint="default"/>
        <w:lang w:val="en-US" w:eastAsia="en-US" w:bidi="ar-SA"/>
      </w:rPr>
    </w:lvl>
    <w:lvl w:ilvl="4" w:tplc="685C0A7E">
      <w:numFmt w:val="bullet"/>
      <w:lvlText w:val="•"/>
      <w:lvlJc w:val="left"/>
      <w:pPr>
        <w:ind w:left="979" w:hanging="77"/>
      </w:pPr>
      <w:rPr>
        <w:rFonts w:hint="default"/>
        <w:lang w:val="en-US" w:eastAsia="en-US" w:bidi="ar-SA"/>
      </w:rPr>
    </w:lvl>
    <w:lvl w:ilvl="5" w:tplc="D17ADC92">
      <w:numFmt w:val="bullet"/>
      <w:lvlText w:val="•"/>
      <w:lvlJc w:val="left"/>
      <w:pPr>
        <w:ind w:left="1219" w:hanging="77"/>
      </w:pPr>
      <w:rPr>
        <w:rFonts w:hint="default"/>
        <w:lang w:val="en-US" w:eastAsia="en-US" w:bidi="ar-SA"/>
      </w:rPr>
    </w:lvl>
    <w:lvl w:ilvl="6" w:tplc="7CC86D7C">
      <w:numFmt w:val="bullet"/>
      <w:lvlText w:val="•"/>
      <w:lvlJc w:val="left"/>
      <w:pPr>
        <w:ind w:left="1459" w:hanging="77"/>
      </w:pPr>
      <w:rPr>
        <w:rFonts w:hint="default"/>
        <w:lang w:val="en-US" w:eastAsia="en-US" w:bidi="ar-SA"/>
      </w:rPr>
    </w:lvl>
    <w:lvl w:ilvl="7" w:tplc="C21C5DE6">
      <w:numFmt w:val="bullet"/>
      <w:lvlText w:val="•"/>
      <w:lvlJc w:val="left"/>
      <w:pPr>
        <w:ind w:left="1699" w:hanging="77"/>
      </w:pPr>
      <w:rPr>
        <w:rFonts w:hint="default"/>
        <w:lang w:val="en-US" w:eastAsia="en-US" w:bidi="ar-SA"/>
      </w:rPr>
    </w:lvl>
    <w:lvl w:ilvl="8" w:tplc="BC8CFAD2">
      <w:numFmt w:val="bullet"/>
      <w:lvlText w:val="•"/>
      <w:lvlJc w:val="left"/>
      <w:pPr>
        <w:ind w:left="1939" w:hanging="77"/>
      </w:pPr>
      <w:rPr>
        <w:rFonts w:hint="default"/>
        <w:lang w:val="en-US" w:eastAsia="en-US" w:bidi="ar-SA"/>
      </w:rPr>
    </w:lvl>
  </w:abstractNum>
  <w:abstractNum w:abstractNumId="316" w15:restartNumberingAfterBreak="0">
    <w:nsid w:val="7BDE4F41"/>
    <w:multiLevelType w:val="hybridMultilevel"/>
    <w:tmpl w:val="51FCBC96"/>
    <w:lvl w:ilvl="0" w:tplc="6882E1CA">
      <w:numFmt w:val="bullet"/>
      <w:lvlText w:val="•"/>
      <w:lvlJc w:val="left"/>
      <w:pPr>
        <w:ind w:left="26" w:hanging="45"/>
      </w:pPr>
      <w:rPr>
        <w:rFonts w:ascii="Arial" w:eastAsia="Arial" w:hAnsi="Arial" w:cs="Arial" w:hint="default"/>
        <w:color w:val="231F20"/>
        <w:w w:val="82"/>
        <w:sz w:val="13"/>
        <w:szCs w:val="13"/>
        <w:lang w:val="en-US" w:eastAsia="en-US" w:bidi="ar-SA"/>
      </w:rPr>
    </w:lvl>
    <w:lvl w:ilvl="1" w:tplc="9F40D4D4">
      <w:numFmt w:val="bullet"/>
      <w:lvlText w:val="•"/>
      <w:lvlJc w:val="left"/>
      <w:pPr>
        <w:ind w:left="266" w:hanging="45"/>
      </w:pPr>
      <w:rPr>
        <w:rFonts w:hint="default"/>
        <w:lang w:val="en-US" w:eastAsia="en-US" w:bidi="ar-SA"/>
      </w:rPr>
    </w:lvl>
    <w:lvl w:ilvl="2" w:tplc="652CA2FE">
      <w:numFmt w:val="bullet"/>
      <w:lvlText w:val="•"/>
      <w:lvlJc w:val="left"/>
      <w:pPr>
        <w:ind w:left="512" w:hanging="45"/>
      </w:pPr>
      <w:rPr>
        <w:rFonts w:hint="default"/>
        <w:lang w:val="en-US" w:eastAsia="en-US" w:bidi="ar-SA"/>
      </w:rPr>
    </w:lvl>
    <w:lvl w:ilvl="3" w:tplc="8084CCBA">
      <w:numFmt w:val="bullet"/>
      <w:lvlText w:val="•"/>
      <w:lvlJc w:val="left"/>
      <w:pPr>
        <w:ind w:left="758" w:hanging="45"/>
      </w:pPr>
      <w:rPr>
        <w:rFonts w:hint="default"/>
        <w:lang w:val="en-US" w:eastAsia="en-US" w:bidi="ar-SA"/>
      </w:rPr>
    </w:lvl>
    <w:lvl w:ilvl="4" w:tplc="ADECBCFE">
      <w:numFmt w:val="bullet"/>
      <w:lvlText w:val="•"/>
      <w:lvlJc w:val="left"/>
      <w:pPr>
        <w:ind w:left="1005" w:hanging="45"/>
      </w:pPr>
      <w:rPr>
        <w:rFonts w:hint="default"/>
        <w:lang w:val="en-US" w:eastAsia="en-US" w:bidi="ar-SA"/>
      </w:rPr>
    </w:lvl>
    <w:lvl w:ilvl="5" w:tplc="EED29CEC">
      <w:numFmt w:val="bullet"/>
      <w:lvlText w:val="•"/>
      <w:lvlJc w:val="left"/>
      <w:pPr>
        <w:ind w:left="1251" w:hanging="45"/>
      </w:pPr>
      <w:rPr>
        <w:rFonts w:hint="default"/>
        <w:lang w:val="en-US" w:eastAsia="en-US" w:bidi="ar-SA"/>
      </w:rPr>
    </w:lvl>
    <w:lvl w:ilvl="6" w:tplc="B8922804">
      <w:numFmt w:val="bullet"/>
      <w:lvlText w:val="•"/>
      <w:lvlJc w:val="left"/>
      <w:pPr>
        <w:ind w:left="1497" w:hanging="45"/>
      </w:pPr>
      <w:rPr>
        <w:rFonts w:hint="default"/>
        <w:lang w:val="en-US" w:eastAsia="en-US" w:bidi="ar-SA"/>
      </w:rPr>
    </w:lvl>
    <w:lvl w:ilvl="7" w:tplc="9510EB92">
      <w:numFmt w:val="bullet"/>
      <w:lvlText w:val="•"/>
      <w:lvlJc w:val="left"/>
      <w:pPr>
        <w:ind w:left="1744" w:hanging="45"/>
      </w:pPr>
      <w:rPr>
        <w:rFonts w:hint="default"/>
        <w:lang w:val="en-US" w:eastAsia="en-US" w:bidi="ar-SA"/>
      </w:rPr>
    </w:lvl>
    <w:lvl w:ilvl="8" w:tplc="ED3499C0">
      <w:numFmt w:val="bullet"/>
      <w:lvlText w:val="•"/>
      <w:lvlJc w:val="left"/>
      <w:pPr>
        <w:ind w:left="1990" w:hanging="45"/>
      </w:pPr>
      <w:rPr>
        <w:rFonts w:hint="default"/>
        <w:lang w:val="en-US" w:eastAsia="en-US" w:bidi="ar-SA"/>
      </w:rPr>
    </w:lvl>
  </w:abstractNum>
  <w:abstractNum w:abstractNumId="317" w15:restartNumberingAfterBreak="0">
    <w:nsid w:val="7C3E1AED"/>
    <w:multiLevelType w:val="hybridMultilevel"/>
    <w:tmpl w:val="7D7EEE34"/>
    <w:lvl w:ilvl="0" w:tplc="DF54211C">
      <w:numFmt w:val="bullet"/>
      <w:lvlText w:val="•"/>
      <w:lvlJc w:val="left"/>
      <w:pPr>
        <w:ind w:left="27" w:hanging="107"/>
      </w:pPr>
      <w:rPr>
        <w:rFonts w:ascii="Arial" w:eastAsia="Arial" w:hAnsi="Arial" w:cs="Arial" w:hint="default"/>
        <w:color w:val="231F20"/>
        <w:w w:val="83"/>
        <w:sz w:val="15"/>
        <w:szCs w:val="15"/>
        <w:lang w:val="en-US" w:eastAsia="en-US" w:bidi="ar-SA"/>
      </w:rPr>
    </w:lvl>
    <w:lvl w:ilvl="1" w:tplc="944213B4">
      <w:numFmt w:val="bullet"/>
      <w:lvlText w:val="•"/>
      <w:lvlJc w:val="left"/>
      <w:pPr>
        <w:ind w:left="268" w:hanging="107"/>
      </w:pPr>
      <w:rPr>
        <w:rFonts w:hint="default"/>
        <w:lang w:val="en-US" w:eastAsia="en-US" w:bidi="ar-SA"/>
      </w:rPr>
    </w:lvl>
    <w:lvl w:ilvl="2" w:tplc="519C5DFE">
      <w:numFmt w:val="bullet"/>
      <w:lvlText w:val="•"/>
      <w:lvlJc w:val="left"/>
      <w:pPr>
        <w:ind w:left="517" w:hanging="107"/>
      </w:pPr>
      <w:rPr>
        <w:rFonts w:hint="default"/>
        <w:lang w:val="en-US" w:eastAsia="en-US" w:bidi="ar-SA"/>
      </w:rPr>
    </w:lvl>
    <w:lvl w:ilvl="3" w:tplc="6D7C9066">
      <w:numFmt w:val="bullet"/>
      <w:lvlText w:val="•"/>
      <w:lvlJc w:val="left"/>
      <w:pPr>
        <w:ind w:left="766" w:hanging="107"/>
      </w:pPr>
      <w:rPr>
        <w:rFonts w:hint="default"/>
        <w:lang w:val="en-US" w:eastAsia="en-US" w:bidi="ar-SA"/>
      </w:rPr>
    </w:lvl>
    <w:lvl w:ilvl="4" w:tplc="312E342A">
      <w:numFmt w:val="bullet"/>
      <w:lvlText w:val="•"/>
      <w:lvlJc w:val="left"/>
      <w:pPr>
        <w:ind w:left="1015" w:hanging="107"/>
      </w:pPr>
      <w:rPr>
        <w:rFonts w:hint="default"/>
        <w:lang w:val="en-US" w:eastAsia="en-US" w:bidi="ar-SA"/>
      </w:rPr>
    </w:lvl>
    <w:lvl w:ilvl="5" w:tplc="9202CC96">
      <w:numFmt w:val="bullet"/>
      <w:lvlText w:val="•"/>
      <w:lvlJc w:val="left"/>
      <w:pPr>
        <w:ind w:left="1264" w:hanging="107"/>
      </w:pPr>
      <w:rPr>
        <w:rFonts w:hint="default"/>
        <w:lang w:val="en-US" w:eastAsia="en-US" w:bidi="ar-SA"/>
      </w:rPr>
    </w:lvl>
    <w:lvl w:ilvl="6" w:tplc="48822DE8">
      <w:numFmt w:val="bullet"/>
      <w:lvlText w:val="•"/>
      <w:lvlJc w:val="left"/>
      <w:pPr>
        <w:ind w:left="1513" w:hanging="107"/>
      </w:pPr>
      <w:rPr>
        <w:rFonts w:hint="default"/>
        <w:lang w:val="en-US" w:eastAsia="en-US" w:bidi="ar-SA"/>
      </w:rPr>
    </w:lvl>
    <w:lvl w:ilvl="7" w:tplc="9C24A536">
      <w:numFmt w:val="bullet"/>
      <w:lvlText w:val="•"/>
      <w:lvlJc w:val="left"/>
      <w:pPr>
        <w:ind w:left="1762" w:hanging="107"/>
      </w:pPr>
      <w:rPr>
        <w:rFonts w:hint="default"/>
        <w:lang w:val="en-US" w:eastAsia="en-US" w:bidi="ar-SA"/>
      </w:rPr>
    </w:lvl>
    <w:lvl w:ilvl="8" w:tplc="A2B0B5CC">
      <w:numFmt w:val="bullet"/>
      <w:lvlText w:val="•"/>
      <w:lvlJc w:val="left"/>
      <w:pPr>
        <w:ind w:left="2011" w:hanging="107"/>
      </w:pPr>
      <w:rPr>
        <w:rFonts w:hint="default"/>
        <w:lang w:val="en-US" w:eastAsia="en-US" w:bidi="ar-SA"/>
      </w:rPr>
    </w:lvl>
  </w:abstractNum>
  <w:abstractNum w:abstractNumId="318" w15:restartNumberingAfterBreak="0">
    <w:nsid w:val="7C5B7F04"/>
    <w:multiLevelType w:val="hybridMultilevel"/>
    <w:tmpl w:val="1C2892A4"/>
    <w:lvl w:ilvl="0" w:tplc="28A6CCD8">
      <w:numFmt w:val="bullet"/>
      <w:lvlText w:val="•"/>
      <w:lvlJc w:val="left"/>
      <w:pPr>
        <w:ind w:left="25" w:hanging="77"/>
      </w:pPr>
      <w:rPr>
        <w:rFonts w:ascii="Arial" w:eastAsia="Arial" w:hAnsi="Arial" w:cs="Arial" w:hint="default"/>
        <w:color w:val="231F20"/>
        <w:w w:val="76"/>
        <w:sz w:val="16"/>
        <w:szCs w:val="16"/>
        <w:lang w:val="en-US" w:eastAsia="en-US" w:bidi="ar-SA"/>
      </w:rPr>
    </w:lvl>
    <w:lvl w:ilvl="1" w:tplc="11DA5024">
      <w:numFmt w:val="bullet"/>
      <w:lvlText w:val="•"/>
      <w:lvlJc w:val="left"/>
      <w:pPr>
        <w:ind w:left="262" w:hanging="77"/>
      </w:pPr>
      <w:rPr>
        <w:rFonts w:hint="default"/>
        <w:lang w:val="en-US" w:eastAsia="en-US" w:bidi="ar-SA"/>
      </w:rPr>
    </w:lvl>
    <w:lvl w:ilvl="2" w:tplc="CADAC69C">
      <w:numFmt w:val="bullet"/>
      <w:lvlText w:val="•"/>
      <w:lvlJc w:val="left"/>
      <w:pPr>
        <w:ind w:left="505" w:hanging="77"/>
      </w:pPr>
      <w:rPr>
        <w:rFonts w:hint="default"/>
        <w:lang w:val="en-US" w:eastAsia="en-US" w:bidi="ar-SA"/>
      </w:rPr>
    </w:lvl>
    <w:lvl w:ilvl="3" w:tplc="FF6C811E">
      <w:numFmt w:val="bullet"/>
      <w:lvlText w:val="•"/>
      <w:lvlJc w:val="left"/>
      <w:pPr>
        <w:ind w:left="747" w:hanging="77"/>
      </w:pPr>
      <w:rPr>
        <w:rFonts w:hint="default"/>
        <w:lang w:val="en-US" w:eastAsia="en-US" w:bidi="ar-SA"/>
      </w:rPr>
    </w:lvl>
    <w:lvl w:ilvl="4" w:tplc="FB1E4C66">
      <w:numFmt w:val="bullet"/>
      <w:lvlText w:val="•"/>
      <w:lvlJc w:val="left"/>
      <w:pPr>
        <w:ind w:left="990" w:hanging="77"/>
      </w:pPr>
      <w:rPr>
        <w:rFonts w:hint="default"/>
        <w:lang w:val="en-US" w:eastAsia="en-US" w:bidi="ar-SA"/>
      </w:rPr>
    </w:lvl>
    <w:lvl w:ilvl="5" w:tplc="4150EF34">
      <w:numFmt w:val="bullet"/>
      <w:lvlText w:val="•"/>
      <w:lvlJc w:val="left"/>
      <w:pPr>
        <w:ind w:left="1233" w:hanging="77"/>
      </w:pPr>
      <w:rPr>
        <w:rFonts w:hint="default"/>
        <w:lang w:val="en-US" w:eastAsia="en-US" w:bidi="ar-SA"/>
      </w:rPr>
    </w:lvl>
    <w:lvl w:ilvl="6" w:tplc="2C7ABD00">
      <w:numFmt w:val="bullet"/>
      <w:lvlText w:val="•"/>
      <w:lvlJc w:val="left"/>
      <w:pPr>
        <w:ind w:left="1475" w:hanging="77"/>
      </w:pPr>
      <w:rPr>
        <w:rFonts w:hint="default"/>
        <w:lang w:val="en-US" w:eastAsia="en-US" w:bidi="ar-SA"/>
      </w:rPr>
    </w:lvl>
    <w:lvl w:ilvl="7" w:tplc="3E6ADAF4">
      <w:numFmt w:val="bullet"/>
      <w:lvlText w:val="•"/>
      <w:lvlJc w:val="left"/>
      <w:pPr>
        <w:ind w:left="1718" w:hanging="77"/>
      </w:pPr>
      <w:rPr>
        <w:rFonts w:hint="default"/>
        <w:lang w:val="en-US" w:eastAsia="en-US" w:bidi="ar-SA"/>
      </w:rPr>
    </w:lvl>
    <w:lvl w:ilvl="8" w:tplc="44803136">
      <w:numFmt w:val="bullet"/>
      <w:lvlText w:val="•"/>
      <w:lvlJc w:val="left"/>
      <w:pPr>
        <w:ind w:left="1960" w:hanging="77"/>
      </w:pPr>
      <w:rPr>
        <w:rFonts w:hint="default"/>
        <w:lang w:val="en-US" w:eastAsia="en-US" w:bidi="ar-SA"/>
      </w:rPr>
    </w:lvl>
  </w:abstractNum>
  <w:abstractNum w:abstractNumId="319" w15:restartNumberingAfterBreak="0">
    <w:nsid w:val="7C6F6ED2"/>
    <w:multiLevelType w:val="hybridMultilevel"/>
    <w:tmpl w:val="9ADEBC00"/>
    <w:lvl w:ilvl="0" w:tplc="E44A8CF6">
      <w:numFmt w:val="bullet"/>
      <w:lvlText w:val="•"/>
      <w:lvlJc w:val="left"/>
      <w:pPr>
        <w:ind w:left="25" w:hanging="113"/>
      </w:pPr>
      <w:rPr>
        <w:rFonts w:ascii="Arial" w:eastAsia="Arial" w:hAnsi="Arial" w:cs="Arial" w:hint="default"/>
        <w:color w:val="231F20"/>
        <w:w w:val="95"/>
        <w:sz w:val="13"/>
        <w:szCs w:val="13"/>
        <w:lang w:val="en-US" w:eastAsia="en-US" w:bidi="ar-SA"/>
      </w:rPr>
    </w:lvl>
    <w:lvl w:ilvl="1" w:tplc="3C28595E">
      <w:numFmt w:val="bullet"/>
      <w:lvlText w:val="•"/>
      <w:lvlJc w:val="left"/>
      <w:pPr>
        <w:ind w:left="265" w:hanging="113"/>
      </w:pPr>
      <w:rPr>
        <w:rFonts w:hint="default"/>
        <w:lang w:val="en-US" w:eastAsia="en-US" w:bidi="ar-SA"/>
      </w:rPr>
    </w:lvl>
    <w:lvl w:ilvl="2" w:tplc="EDB4B4E6">
      <w:numFmt w:val="bullet"/>
      <w:lvlText w:val="•"/>
      <w:lvlJc w:val="left"/>
      <w:pPr>
        <w:ind w:left="510" w:hanging="113"/>
      </w:pPr>
      <w:rPr>
        <w:rFonts w:hint="default"/>
        <w:lang w:val="en-US" w:eastAsia="en-US" w:bidi="ar-SA"/>
      </w:rPr>
    </w:lvl>
    <w:lvl w:ilvl="3" w:tplc="64D0FF0E">
      <w:numFmt w:val="bullet"/>
      <w:lvlText w:val="•"/>
      <w:lvlJc w:val="left"/>
      <w:pPr>
        <w:ind w:left="755" w:hanging="113"/>
      </w:pPr>
      <w:rPr>
        <w:rFonts w:hint="default"/>
        <w:lang w:val="en-US" w:eastAsia="en-US" w:bidi="ar-SA"/>
      </w:rPr>
    </w:lvl>
    <w:lvl w:ilvl="4" w:tplc="62C8FED6">
      <w:numFmt w:val="bullet"/>
      <w:lvlText w:val="•"/>
      <w:lvlJc w:val="left"/>
      <w:pPr>
        <w:ind w:left="1001" w:hanging="113"/>
      </w:pPr>
      <w:rPr>
        <w:rFonts w:hint="default"/>
        <w:lang w:val="en-US" w:eastAsia="en-US" w:bidi="ar-SA"/>
      </w:rPr>
    </w:lvl>
    <w:lvl w:ilvl="5" w:tplc="E2627C18">
      <w:numFmt w:val="bullet"/>
      <w:lvlText w:val="•"/>
      <w:lvlJc w:val="left"/>
      <w:pPr>
        <w:ind w:left="1246" w:hanging="113"/>
      </w:pPr>
      <w:rPr>
        <w:rFonts w:hint="default"/>
        <w:lang w:val="en-US" w:eastAsia="en-US" w:bidi="ar-SA"/>
      </w:rPr>
    </w:lvl>
    <w:lvl w:ilvl="6" w:tplc="10165B1A">
      <w:numFmt w:val="bullet"/>
      <w:lvlText w:val="•"/>
      <w:lvlJc w:val="left"/>
      <w:pPr>
        <w:ind w:left="1491" w:hanging="113"/>
      </w:pPr>
      <w:rPr>
        <w:rFonts w:hint="default"/>
        <w:lang w:val="en-US" w:eastAsia="en-US" w:bidi="ar-SA"/>
      </w:rPr>
    </w:lvl>
    <w:lvl w:ilvl="7" w:tplc="7CF2C446">
      <w:numFmt w:val="bullet"/>
      <w:lvlText w:val="•"/>
      <w:lvlJc w:val="left"/>
      <w:pPr>
        <w:ind w:left="1737" w:hanging="113"/>
      </w:pPr>
      <w:rPr>
        <w:rFonts w:hint="default"/>
        <w:lang w:val="en-US" w:eastAsia="en-US" w:bidi="ar-SA"/>
      </w:rPr>
    </w:lvl>
    <w:lvl w:ilvl="8" w:tplc="522495BC">
      <w:numFmt w:val="bullet"/>
      <w:lvlText w:val="•"/>
      <w:lvlJc w:val="left"/>
      <w:pPr>
        <w:ind w:left="1982" w:hanging="113"/>
      </w:pPr>
      <w:rPr>
        <w:rFonts w:hint="default"/>
        <w:lang w:val="en-US" w:eastAsia="en-US" w:bidi="ar-SA"/>
      </w:rPr>
    </w:lvl>
  </w:abstractNum>
  <w:abstractNum w:abstractNumId="320" w15:restartNumberingAfterBreak="0">
    <w:nsid w:val="7C91189C"/>
    <w:multiLevelType w:val="hybridMultilevel"/>
    <w:tmpl w:val="98E876C6"/>
    <w:lvl w:ilvl="0" w:tplc="239A581C">
      <w:numFmt w:val="bullet"/>
      <w:lvlText w:val="•"/>
      <w:lvlJc w:val="left"/>
      <w:pPr>
        <w:ind w:left="20" w:hanging="75"/>
      </w:pPr>
      <w:rPr>
        <w:rFonts w:ascii="Arial" w:eastAsia="Arial" w:hAnsi="Arial" w:cs="Arial" w:hint="default"/>
        <w:color w:val="231F20"/>
        <w:w w:val="98"/>
        <w:sz w:val="12"/>
        <w:szCs w:val="12"/>
        <w:lang w:val="en-US" w:eastAsia="en-US" w:bidi="ar-SA"/>
      </w:rPr>
    </w:lvl>
    <w:lvl w:ilvl="1" w:tplc="B4326D46">
      <w:numFmt w:val="bullet"/>
      <w:lvlText w:val="•"/>
      <w:lvlJc w:val="left"/>
      <w:pPr>
        <w:ind w:left="255" w:hanging="75"/>
      </w:pPr>
      <w:rPr>
        <w:rFonts w:hint="default"/>
        <w:lang w:val="en-US" w:eastAsia="en-US" w:bidi="ar-SA"/>
      </w:rPr>
    </w:lvl>
    <w:lvl w:ilvl="2" w:tplc="9DC29336">
      <w:numFmt w:val="bullet"/>
      <w:lvlText w:val="•"/>
      <w:lvlJc w:val="left"/>
      <w:pPr>
        <w:ind w:left="490" w:hanging="75"/>
      </w:pPr>
      <w:rPr>
        <w:rFonts w:hint="default"/>
        <w:lang w:val="en-US" w:eastAsia="en-US" w:bidi="ar-SA"/>
      </w:rPr>
    </w:lvl>
    <w:lvl w:ilvl="3" w:tplc="EB6AF7C6">
      <w:numFmt w:val="bullet"/>
      <w:lvlText w:val="•"/>
      <w:lvlJc w:val="left"/>
      <w:pPr>
        <w:ind w:left="725" w:hanging="75"/>
      </w:pPr>
      <w:rPr>
        <w:rFonts w:hint="default"/>
        <w:lang w:val="en-US" w:eastAsia="en-US" w:bidi="ar-SA"/>
      </w:rPr>
    </w:lvl>
    <w:lvl w:ilvl="4" w:tplc="12E88EA2">
      <w:numFmt w:val="bullet"/>
      <w:lvlText w:val="•"/>
      <w:lvlJc w:val="left"/>
      <w:pPr>
        <w:ind w:left="960" w:hanging="75"/>
      </w:pPr>
      <w:rPr>
        <w:rFonts w:hint="default"/>
        <w:lang w:val="en-US" w:eastAsia="en-US" w:bidi="ar-SA"/>
      </w:rPr>
    </w:lvl>
    <w:lvl w:ilvl="5" w:tplc="3E50E99C">
      <w:numFmt w:val="bullet"/>
      <w:lvlText w:val="•"/>
      <w:lvlJc w:val="left"/>
      <w:pPr>
        <w:ind w:left="1195" w:hanging="75"/>
      </w:pPr>
      <w:rPr>
        <w:rFonts w:hint="default"/>
        <w:lang w:val="en-US" w:eastAsia="en-US" w:bidi="ar-SA"/>
      </w:rPr>
    </w:lvl>
    <w:lvl w:ilvl="6" w:tplc="A52C3970">
      <w:numFmt w:val="bullet"/>
      <w:lvlText w:val="•"/>
      <w:lvlJc w:val="left"/>
      <w:pPr>
        <w:ind w:left="1430" w:hanging="75"/>
      </w:pPr>
      <w:rPr>
        <w:rFonts w:hint="default"/>
        <w:lang w:val="en-US" w:eastAsia="en-US" w:bidi="ar-SA"/>
      </w:rPr>
    </w:lvl>
    <w:lvl w:ilvl="7" w:tplc="CD4EBD80">
      <w:numFmt w:val="bullet"/>
      <w:lvlText w:val="•"/>
      <w:lvlJc w:val="left"/>
      <w:pPr>
        <w:ind w:left="1665" w:hanging="75"/>
      </w:pPr>
      <w:rPr>
        <w:rFonts w:hint="default"/>
        <w:lang w:val="en-US" w:eastAsia="en-US" w:bidi="ar-SA"/>
      </w:rPr>
    </w:lvl>
    <w:lvl w:ilvl="8" w:tplc="5BF06B9E">
      <w:numFmt w:val="bullet"/>
      <w:lvlText w:val="•"/>
      <w:lvlJc w:val="left"/>
      <w:pPr>
        <w:ind w:left="1900" w:hanging="75"/>
      </w:pPr>
      <w:rPr>
        <w:rFonts w:hint="default"/>
        <w:lang w:val="en-US" w:eastAsia="en-US" w:bidi="ar-SA"/>
      </w:rPr>
    </w:lvl>
  </w:abstractNum>
  <w:abstractNum w:abstractNumId="321" w15:restartNumberingAfterBreak="0">
    <w:nsid w:val="7D075377"/>
    <w:multiLevelType w:val="hybridMultilevel"/>
    <w:tmpl w:val="A4828080"/>
    <w:lvl w:ilvl="0" w:tplc="2BFA9450">
      <w:numFmt w:val="bullet"/>
      <w:lvlText w:val="•"/>
      <w:lvlJc w:val="left"/>
      <w:pPr>
        <w:ind w:left="26" w:hanging="69"/>
      </w:pPr>
      <w:rPr>
        <w:rFonts w:ascii="Arial" w:eastAsia="Arial" w:hAnsi="Arial" w:cs="Arial" w:hint="default"/>
        <w:color w:val="231F20"/>
        <w:w w:val="100"/>
        <w:sz w:val="12"/>
        <w:szCs w:val="12"/>
        <w:lang w:val="en-US" w:eastAsia="en-US" w:bidi="ar-SA"/>
      </w:rPr>
    </w:lvl>
    <w:lvl w:ilvl="1" w:tplc="470889D0">
      <w:numFmt w:val="bullet"/>
      <w:lvlText w:val="•"/>
      <w:lvlJc w:val="left"/>
      <w:pPr>
        <w:ind w:left="258" w:hanging="69"/>
      </w:pPr>
      <w:rPr>
        <w:rFonts w:hint="default"/>
        <w:lang w:val="en-US" w:eastAsia="en-US" w:bidi="ar-SA"/>
      </w:rPr>
    </w:lvl>
    <w:lvl w:ilvl="2" w:tplc="8CE23004">
      <w:numFmt w:val="bullet"/>
      <w:lvlText w:val="•"/>
      <w:lvlJc w:val="left"/>
      <w:pPr>
        <w:ind w:left="496" w:hanging="69"/>
      </w:pPr>
      <w:rPr>
        <w:rFonts w:hint="default"/>
        <w:lang w:val="en-US" w:eastAsia="en-US" w:bidi="ar-SA"/>
      </w:rPr>
    </w:lvl>
    <w:lvl w:ilvl="3" w:tplc="6644A986">
      <w:numFmt w:val="bullet"/>
      <w:lvlText w:val="•"/>
      <w:lvlJc w:val="left"/>
      <w:pPr>
        <w:ind w:left="735" w:hanging="69"/>
      </w:pPr>
      <w:rPr>
        <w:rFonts w:hint="default"/>
        <w:lang w:val="en-US" w:eastAsia="en-US" w:bidi="ar-SA"/>
      </w:rPr>
    </w:lvl>
    <w:lvl w:ilvl="4" w:tplc="05B66358">
      <w:numFmt w:val="bullet"/>
      <w:lvlText w:val="•"/>
      <w:lvlJc w:val="left"/>
      <w:pPr>
        <w:ind w:left="973" w:hanging="69"/>
      </w:pPr>
      <w:rPr>
        <w:rFonts w:hint="default"/>
        <w:lang w:val="en-US" w:eastAsia="en-US" w:bidi="ar-SA"/>
      </w:rPr>
    </w:lvl>
    <w:lvl w:ilvl="5" w:tplc="8E5E243C">
      <w:numFmt w:val="bullet"/>
      <w:lvlText w:val="•"/>
      <w:lvlJc w:val="left"/>
      <w:pPr>
        <w:ind w:left="1212" w:hanging="69"/>
      </w:pPr>
      <w:rPr>
        <w:rFonts w:hint="default"/>
        <w:lang w:val="en-US" w:eastAsia="en-US" w:bidi="ar-SA"/>
      </w:rPr>
    </w:lvl>
    <w:lvl w:ilvl="6" w:tplc="7CAA28C0">
      <w:numFmt w:val="bullet"/>
      <w:lvlText w:val="•"/>
      <w:lvlJc w:val="left"/>
      <w:pPr>
        <w:ind w:left="1450" w:hanging="69"/>
      </w:pPr>
      <w:rPr>
        <w:rFonts w:hint="default"/>
        <w:lang w:val="en-US" w:eastAsia="en-US" w:bidi="ar-SA"/>
      </w:rPr>
    </w:lvl>
    <w:lvl w:ilvl="7" w:tplc="9094F932">
      <w:numFmt w:val="bullet"/>
      <w:lvlText w:val="•"/>
      <w:lvlJc w:val="left"/>
      <w:pPr>
        <w:ind w:left="1688" w:hanging="69"/>
      </w:pPr>
      <w:rPr>
        <w:rFonts w:hint="default"/>
        <w:lang w:val="en-US" w:eastAsia="en-US" w:bidi="ar-SA"/>
      </w:rPr>
    </w:lvl>
    <w:lvl w:ilvl="8" w:tplc="9EC8CD46">
      <w:numFmt w:val="bullet"/>
      <w:lvlText w:val="•"/>
      <w:lvlJc w:val="left"/>
      <w:pPr>
        <w:ind w:left="1927" w:hanging="69"/>
      </w:pPr>
      <w:rPr>
        <w:rFonts w:hint="default"/>
        <w:lang w:val="en-US" w:eastAsia="en-US" w:bidi="ar-SA"/>
      </w:rPr>
    </w:lvl>
  </w:abstractNum>
  <w:abstractNum w:abstractNumId="322" w15:restartNumberingAfterBreak="0">
    <w:nsid w:val="7E235390"/>
    <w:multiLevelType w:val="hybridMultilevel"/>
    <w:tmpl w:val="F1D66392"/>
    <w:lvl w:ilvl="0" w:tplc="6DD870DA">
      <w:numFmt w:val="bullet"/>
      <w:lvlText w:val="•"/>
      <w:lvlJc w:val="left"/>
      <w:pPr>
        <w:ind w:left="20" w:hanging="75"/>
      </w:pPr>
      <w:rPr>
        <w:rFonts w:ascii="Arial" w:eastAsia="Arial" w:hAnsi="Arial" w:cs="Arial" w:hint="default"/>
        <w:color w:val="231F20"/>
        <w:w w:val="79"/>
        <w:sz w:val="15"/>
        <w:szCs w:val="15"/>
        <w:lang w:val="en-US" w:eastAsia="en-US" w:bidi="ar-SA"/>
      </w:rPr>
    </w:lvl>
    <w:lvl w:ilvl="1" w:tplc="EA068F10">
      <w:numFmt w:val="bullet"/>
      <w:lvlText w:val="•"/>
      <w:lvlJc w:val="left"/>
      <w:pPr>
        <w:ind w:left="255" w:hanging="75"/>
      </w:pPr>
      <w:rPr>
        <w:rFonts w:hint="default"/>
        <w:lang w:val="en-US" w:eastAsia="en-US" w:bidi="ar-SA"/>
      </w:rPr>
    </w:lvl>
    <w:lvl w:ilvl="2" w:tplc="EABCAD92">
      <w:numFmt w:val="bullet"/>
      <w:lvlText w:val="•"/>
      <w:lvlJc w:val="left"/>
      <w:pPr>
        <w:ind w:left="490" w:hanging="75"/>
      </w:pPr>
      <w:rPr>
        <w:rFonts w:hint="default"/>
        <w:lang w:val="en-US" w:eastAsia="en-US" w:bidi="ar-SA"/>
      </w:rPr>
    </w:lvl>
    <w:lvl w:ilvl="3" w:tplc="573AE1DA">
      <w:numFmt w:val="bullet"/>
      <w:lvlText w:val="•"/>
      <w:lvlJc w:val="left"/>
      <w:pPr>
        <w:ind w:left="725" w:hanging="75"/>
      </w:pPr>
      <w:rPr>
        <w:rFonts w:hint="default"/>
        <w:lang w:val="en-US" w:eastAsia="en-US" w:bidi="ar-SA"/>
      </w:rPr>
    </w:lvl>
    <w:lvl w:ilvl="4" w:tplc="0DB432AE">
      <w:numFmt w:val="bullet"/>
      <w:lvlText w:val="•"/>
      <w:lvlJc w:val="left"/>
      <w:pPr>
        <w:ind w:left="961" w:hanging="75"/>
      </w:pPr>
      <w:rPr>
        <w:rFonts w:hint="default"/>
        <w:lang w:val="en-US" w:eastAsia="en-US" w:bidi="ar-SA"/>
      </w:rPr>
    </w:lvl>
    <w:lvl w:ilvl="5" w:tplc="99BEB31C">
      <w:numFmt w:val="bullet"/>
      <w:lvlText w:val="•"/>
      <w:lvlJc w:val="left"/>
      <w:pPr>
        <w:ind w:left="1196" w:hanging="75"/>
      </w:pPr>
      <w:rPr>
        <w:rFonts w:hint="default"/>
        <w:lang w:val="en-US" w:eastAsia="en-US" w:bidi="ar-SA"/>
      </w:rPr>
    </w:lvl>
    <w:lvl w:ilvl="6" w:tplc="D48C9C26">
      <w:numFmt w:val="bullet"/>
      <w:lvlText w:val="•"/>
      <w:lvlJc w:val="left"/>
      <w:pPr>
        <w:ind w:left="1431" w:hanging="75"/>
      </w:pPr>
      <w:rPr>
        <w:rFonts w:hint="default"/>
        <w:lang w:val="en-US" w:eastAsia="en-US" w:bidi="ar-SA"/>
      </w:rPr>
    </w:lvl>
    <w:lvl w:ilvl="7" w:tplc="FAA416DA">
      <w:numFmt w:val="bullet"/>
      <w:lvlText w:val="•"/>
      <w:lvlJc w:val="left"/>
      <w:pPr>
        <w:ind w:left="1667" w:hanging="75"/>
      </w:pPr>
      <w:rPr>
        <w:rFonts w:hint="default"/>
        <w:lang w:val="en-US" w:eastAsia="en-US" w:bidi="ar-SA"/>
      </w:rPr>
    </w:lvl>
    <w:lvl w:ilvl="8" w:tplc="22B28DAE">
      <w:numFmt w:val="bullet"/>
      <w:lvlText w:val="•"/>
      <w:lvlJc w:val="left"/>
      <w:pPr>
        <w:ind w:left="1902" w:hanging="75"/>
      </w:pPr>
      <w:rPr>
        <w:rFonts w:hint="default"/>
        <w:lang w:val="en-US" w:eastAsia="en-US" w:bidi="ar-SA"/>
      </w:rPr>
    </w:lvl>
  </w:abstractNum>
  <w:abstractNum w:abstractNumId="323" w15:restartNumberingAfterBreak="0">
    <w:nsid w:val="7E4209E3"/>
    <w:multiLevelType w:val="hybridMultilevel"/>
    <w:tmpl w:val="152CA342"/>
    <w:lvl w:ilvl="0" w:tplc="BB9E2A4C">
      <w:numFmt w:val="bullet"/>
      <w:lvlText w:val="•"/>
      <w:lvlJc w:val="left"/>
      <w:pPr>
        <w:ind w:left="26" w:hanging="44"/>
      </w:pPr>
      <w:rPr>
        <w:rFonts w:ascii="Arial" w:eastAsia="Arial" w:hAnsi="Arial" w:cs="Arial" w:hint="default"/>
        <w:color w:val="231F20"/>
        <w:spacing w:val="-6"/>
        <w:w w:val="86"/>
        <w:sz w:val="12"/>
        <w:szCs w:val="12"/>
        <w:lang w:val="en-US" w:eastAsia="en-US" w:bidi="ar-SA"/>
      </w:rPr>
    </w:lvl>
    <w:lvl w:ilvl="1" w:tplc="01465626">
      <w:numFmt w:val="bullet"/>
      <w:lvlText w:val="•"/>
      <w:lvlJc w:val="left"/>
      <w:pPr>
        <w:ind w:left="259" w:hanging="44"/>
      </w:pPr>
      <w:rPr>
        <w:rFonts w:hint="default"/>
        <w:lang w:val="en-US" w:eastAsia="en-US" w:bidi="ar-SA"/>
      </w:rPr>
    </w:lvl>
    <w:lvl w:ilvl="2" w:tplc="494A2630">
      <w:numFmt w:val="bullet"/>
      <w:lvlText w:val="•"/>
      <w:lvlJc w:val="left"/>
      <w:pPr>
        <w:ind w:left="499" w:hanging="44"/>
      </w:pPr>
      <w:rPr>
        <w:rFonts w:hint="default"/>
        <w:lang w:val="en-US" w:eastAsia="en-US" w:bidi="ar-SA"/>
      </w:rPr>
    </w:lvl>
    <w:lvl w:ilvl="3" w:tplc="5A6C4C82">
      <w:numFmt w:val="bullet"/>
      <w:lvlText w:val="•"/>
      <w:lvlJc w:val="left"/>
      <w:pPr>
        <w:ind w:left="739" w:hanging="44"/>
      </w:pPr>
      <w:rPr>
        <w:rFonts w:hint="default"/>
        <w:lang w:val="en-US" w:eastAsia="en-US" w:bidi="ar-SA"/>
      </w:rPr>
    </w:lvl>
    <w:lvl w:ilvl="4" w:tplc="77EC3F74">
      <w:numFmt w:val="bullet"/>
      <w:lvlText w:val="•"/>
      <w:lvlJc w:val="left"/>
      <w:pPr>
        <w:ind w:left="979" w:hanging="44"/>
      </w:pPr>
      <w:rPr>
        <w:rFonts w:hint="default"/>
        <w:lang w:val="en-US" w:eastAsia="en-US" w:bidi="ar-SA"/>
      </w:rPr>
    </w:lvl>
    <w:lvl w:ilvl="5" w:tplc="B5F634E2">
      <w:numFmt w:val="bullet"/>
      <w:lvlText w:val="•"/>
      <w:lvlJc w:val="left"/>
      <w:pPr>
        <w:ind w:left="1219" w:hanging="44"/>
      </w:pPr>
      <w:rPr>
        <w:rFonts w:hint="default"/>
        <w:lang w:val="en-US" w:eastAsia="en-US" w:bidi="ar-SA"/>
      </w:rPr>
    </w:lvl>
    <w:lvl w:ilvl="6" w:tplc="1DA6ED0E">
      <w:numFmt w:val="bullet"/>
      <w:lvlText w:val="•"/>
      <w:lvlJc w:val="left"/>
      <w:pPr>
        <w:ind w:left="1459" w:hanging="44"/>
      </w:pPr>
      <w:rPr>
        <w:rFonts w:hint="default"/>
        <w:lang w:val="en-US" w:eastAsia="en-US" w:bidi="ar-SA"/>
      </w:rPr>
    </w:lvl>
    <w:lvl w:ilvl="7" w:tplc="DEBEDD8C">
      <w:numFmt w:val="bullet"/>
      <w:lvlText w:val="•"/>
      <w:lvlJc w:val="left"/>
      <w:pPr>
        <w:ind w:left="1699" w:hanging="44"/>
      </w:pPr>
      <w:rPr>
        <w:rFonts w:hint="default"/>
        <w:lang w:val="en-US" w:eastAsia="en-US" w:bidi="ar-SA"/>
      </w:rPr>
    </w:lvl>
    <w:lvl w:ilvl="8" w:tplc="FBA6AE28">
      <w:numFmt w:val="bullet"/>
      <w:lvlText w:val="•"/>
      <w:lvlJc w:val="left"/>
      <w:pPr>
        <w:ind w:left="1939" w:hanging="44"/>
      </w:pPr>
      <w:rPr>
        <w:rFonts w:hint="default"/>
        <w:lang w:val="en-US" w:eastAsia="en-US" w:bidi="ar-SA"/>
      </w:rPr>
    </w:lvl>
  </w:abstractNum>
  <w:abstractNum w:abstractNumId="324" w15:restartNumberingAfterBreak="0">
    <w:nsid w:val="7E4C0170"/>
    <w:multiLevelType w:val="hybridMultilevel"/>
    <w:tmpl w:val="B68EE156"/>
    <w:lvl w:ilvl="0" w:tplc="40820FB8">
      <w:numFmt w:val="bullet"/>
      <w:lvlText w:val="•"/>
      <w:lvlJc w:val="left"/>
      <w:pPr>
        <w:ind w:left="25" w:hanging="80"/>
      </w:pPr>
      <w:rPr>
        <w:rFonts w:ascii="Arial" w:eastAsia="Arial" w:hAnsi="Arial" w:cs="Arial" w:hint="default"/>
        <w:color w:val="231F20"/>
        <w:w w:val="74"/>
        <w:sz w:val="17"/>
        <w:szCs w:val="17"/>
        <w:lang w:val="en-US" w:eastAsia="en-US" w:bidi="ar-SA"/>
      </w:rPr>
    </w:lvl>
    <w:lvl w:ilvl="1" w:tplc="75C697FA">
      <w:numFmt w:val="bullet"/>
      <w:lvlText w:val="•"/>
      <w:lvlJc w:val="left"/>
      <w:pPr>
        <w:ind w:left="270" w:hanging="80"/>
      </w:pPr>
      <w:rPr>
        <w:rFonts w:hint="default"/>
        <w:lang w:val="en-US" w:eastAsia="en-US" w:bidi="ar-SA"/>
      </w:rPr>
    </w:lvl>
    <w:lvl w:ilvl="2" w:tplc="BFE0A024">
      <w:numFmt w:val="bullet"/>
      <w:lvlText w:val="•"/>
      <w:lvlJc w:val="left"/>
      <w:pPr>
        <w:ind w:left="521" w:hanging="80"/>
      </w:pPr>
      <w:rPr>
        <w:rFonts w:hint="default"/>
        <w:lang w:val="en-US" w:eastAsia="en-US" w:bidi="ar-SA"/>
      </w:rPr>
    </w:lvl>
    <w:lvl w:ilvl="3" w:tplc="1C08A5C8">
      <w:numFmt w:val="bullet"/>
      <w:lvlText w:val="•"/>
      <w:lvlJc w:val="left"/>
      <w:pPr>
        <w:ind w:left="771" w:hanging="80"/>
      </w:pPr>
      <w:rPr>
        <w:rFonts w:hint="default"/>
        <w:lang w:val="en-US" w:eastAsia="en-US" w:bidi="ar-SA"/>
      </w:rPr>
    </w:lvl>
    <w:lvl w:ilvl="4" w:tplc="5532B7B0">
      <w:numFmt w:val="bullet"/>
      <w:lvlText w:val="•"/>
      <w:lvlJc w:val="left"/>
      <w:pPr>
        <w:ind w:left="1022" w:hanging="80"/>
      </w:pPr>
      <w:rPr>
        <w:rFonts w:hint="default"/>
        <w:lang w:val="en-US" w:eastAsia="en-US" w:bidi="ar-SA"/>
      </w:rPr>
    </w:lvl>
    <w:lvl w:ilvl="5" w:tplc="7CDC830E">
      <w:numFmt w:val="bullet"/>
      <w:lvlText w:val="•"/>
      <w:lvlJc w:val="left"/>
      <w:pPr>
        <w:ind w:left="1273" w:hanging="80"/>
      </w:pPr>
      <w:rPr>
        <w:rFonts w:hint="default"/>
        <w:lang w:val="en-US" w:eastAsia="en-US" w:bidi="ar-SA"/>
      </w:rPr>
    </w:lvl>
    <w:lvl w:ilvl="6" w:tplc="16CCD2E0">
      <w:numFmt w:val="bullet"/>
      <w:lvlText w:val="•"/>
      <w:lvlJc w:val="left"/>
      <w:pPr>
        <w:ind w:left="1523" w:hanging="80"/>
      </w:pPr>
      <w:rPr>
        <w:rFonts w:hint="default"/>
        <w:lang w:val="en-US" w:eastAsia="en-US" w:bidi="ar-SA"/>
      </w:rPr>
    </w:lvl>
    <w:lvl w:ilvl="7" w:tplc="62CCAAB6">
      <w:numFmt w:val="bullet"/>
      <w:lvlText w:val="•"/>
      <w:lvlJc w:val="left"/>
      <w:pPr>
        <w:ind w:left="1774" w:hanging="80"/>
      </w:pPr>
      <w:rPr>
        <w:rFonts w:hint="default"/>
        <w:lang w:val="en-US" w:eastAsia="en-US" w:bidi="ar-SA"/>
      </w:rPr>
    </w:lvl>
    <w:lvl w:ilvl="8" w:tplc="75942872">
      <w:numFmt w:val="bullet"/>
      <w:lvlText w:val="•"/>
      <w:lvlJc w:val="left"/>
      <w:pPr>
        <w:ind w:left="2024" w:hanging="80"/>
      </w:pPr>
      <w:rPr>
        <w:rFonts w:hint="default"/>
        <w:lang w:val="en-US" w:eastAsia="en-US" w:bidi="ar-SA"/>
      </w:rPr>
    </w:lvl>
  </w:abstractNum>
  <w:abstractNum w:abstractNumId="325" w15:restartNumberingAfterBreak="0">
    <w:nsid w:val="7F03695F"/>
    <w:multiLevelType w:val="hybridMultilevel"/>
    <w:tmpl w:val="7678336A"/>
    <w:lvl w:ilvl="0" w:tplc="C164D3EE">
      <w:numFmt w:val="bullet"/>
      <w:lvlText w:val="•"/>
      <w:lvlJc w:val="left"/>
      <w:pPr>
        <w:ind w:left="29" w:hanging="68"/>
      </w:pPr>
      <w:rPr>
        <w:rFonts w:ascii="Arial" w:eastAsia="Arial" w:hAnsi="Arial" w:cs="Arial" w:hint="default"/>
        <w:color w:val="231F20"/>
        <w:w w:val="78"/>
        <w:sz w:val="15"/>
        <w:szCs w:val="15"/>
        <w:lang w:val="en-US" w:eastAsia="en-US" w:bidi="ar-SA"/>
      </w:rPr>
    </w:lvl>
    <w:lvl w:ilvl="1" w:tplc="08529E6A">
      <w:numFmt w:val="bullet"/>
      <w:lvlText w:val="•"/>
      <w:lvlJc w:val="left"/>
      <w:pPr>
        <w:ind w:left="254" w:hanging="68"/>
      </w:pPr>
      <w:rPr>
        <w:rFonts w:hint="default"/>
        <w:lang w:val="en-US" w:eastAsia="en-US" w:bidi="ar-SA"/>
      </w:rPr>
    </w:lvl>
    <w:lvl w:ilvl="2" w:tplc="DF1252F0">
      <w:numFmt w:val="bullet"/>
      <w:lvlText w:val="•"/>
      <w:lvlJc w:val="left"/>
      <w:pPr>
        <w:ind w:left="488" w:hanging="68"/>
      </w:pPr>
      <w:rPr>
        <w:rFonts w:hint="default"/>
        <w:lang w:val="en-US" w:eastAsia="en-US" w:bidi="ar-SA"/>
      </w:rPr>
    </w:lvl>
    <w:lvl w:ilvl="3" w:tplc="516C138E">
      <w:numFmt w:val="bullet"/>
      <w:lvlText w:val="•"/>
      <w:lvlJc w:val="left"/>
      <w:pPr>
        <w:ind w:left="723" w:hanging="68"/>
      </w:pPr>
      <w:rPr>
        <w:rFonts w:hint="default"/>
        <w:lang w:val="en-US" w:eastAsia="en-US" w:bidi="ar-SA"/>
      </w:rPr>
    </w:lvl>
    <w:lvl w:ilvl="4" w:tplc="A4F48F28">
      <w:numFmt w:val="bullet"/>
      <w:lvlText w:val="•"/>
      <w:lvlJc w:val="left"/>
      <w:pPr>
        <w:ind w:left="957" w:hanging="68"/>
      </w:pPr>
      <w:rPr>
        <w:rFonts w:hint="default"/>
        <w:lang w:val="en-US" w:eastAsia="en-US" w:bidi="ar-SA"/>
      </w:rPr>
    </w:lvl>
    <w:lvl w:ilvl="5" w:tplc="5936D61C">
      <w:numFmt w:val="bullet"/>
      <w:lvlText w:val="•"/>
      <w:lvlJc w:val="left"/>
      <w:pPr>
        <w:ind w:left="1192" w:hanging="68"/>
      </w:pPr>
      <w:rPr>
        <w:rFonts w:hint="default"/>
        <w:lang w:val="en-US" w:eastAsia="en-US" w:bidi="ar-SA"/>
      </w:rPr>
    </w:lvl>
    <w:lvl w:ilvl="6" w:tplc="89449842">
      <w:numFmt w:val="bullet"/>
      <w:lvlText w:val="•"/>
      <w:lvlJc w:val="left"/>
      <w:pPr>
        <w:ind w:left="1426" w:hanging="68"/>
      </w:pPr>
      <w:rPr>
        <w:rFonts w:hint="default"/>
        <w:lang w:val="en-US" w:eastAsia="en-US" w:bidi="ar-SA"/>
      </w:rPr>
    </w:lvl>
    <w:lvl w:ilvl="7" w:tplc="9244C92A">
      <w:numFmt w:val="bullet"/>
      <w:lvlText w:val="•"/>
      <w:lvlJc w:val="left"/>
      <w:pPr>
        <w:ind w:left="1660" w:hanging="68"/>
      </w:pPr>
      <w:rPr>
        <w:rFonts w:hint="default"/>
        <w:lang w:val="en-US" w:eastAsia="en-US" w:bidi="ar-SA"/>
      </w:rPr>
    </w:lvl>
    <w:lvl w:ilvl="8" w:tplc="0A8283E4">
      <w:numFmt w:val="bullet"/>
      <w:lvlText w:val="•"/>
      <w:lvlJc w:val="left"/>
      <w:pPr>
        <w:ind w:left="1895" w:hanging="68"/>
      </w:pPr>
      <w:rPr>
        <w:rFonts w:hint="default"/>
        <w:lang w:val="en-US" w:eastAsia="en-US" w:bidi="ar-SA"/>
      </w:rPr>
    </w:lvl>
  </w:abstractNum>
  <w:abstractNum w:abstractNumId="326" w15:restartNumberingAfterBreak="0">
    <w:nsid w:val="7F0E200E"/>
    <w:multiLevelType w:val="hybridMultilevel"/>
    <w:tmpl w:val="CD9692A0"/>
    <w:lvl w:ilvl="0" w:tplc="922C3652">
      <w:numFmt w:val="bullet"/>
      <w:lvlText w:val="•"/>
      <w:lvlJc w:val="left"/>
      <w:pPr>
        <w:ind w:left="25" w:hanging="78"/>
      </w:pPr>
      <w:rPr>
        <w:rFonts w:ascii="Arial" w:eastAsia="Arial" w:hAnsi="Arial" w:cs="Arial" w:hint="default"/>
        <w:color w:val="231F20"/>
        <w:w w:val="78"/>
        <w:sz w:val="16"/>
        <w:szCs w:val="16"/>
        <w:lang w:val="en-US" w:eastAsia="en-US" w:bidi="ar-SA"/>
      </w:rPr>
    </w:lvl>
    <w:lvl w:ilvl="1" w:tplc="67D248E4">
      <w:numFmt w:val="bullet"/>
      <w:lvlText w:val="•"/>
      <w:lvlJc w:val="left"/>
      <w:pPr>
        <w:ind w:left="270" w:hanging="78"/>
      </w:pPr>
      <w:rPr>
        <w:rFonts w:hint="default"/>
        <w:lang w:val="en-US" w:eastAsia="en-US" w:bidi="ar-SA"/>
      </w:rPr>
    </w:lvl>
    <w:lvl w:ilvl="2" w:tplc="E506DC52">
      <w:numFmt w:val="bullet"/>
      <w:lvlText w:val="•"/>
      <w:lvlJc w:val="left"/>
      <w:pPr>
        <w:ind w:left="520" w:hanging="78"/>
      </w:pPr>
      <w:rPr>
        <w:rFonts w:hint="default"/>
        <w:lang w:val="en-US" w:eastAsia="en-US" w:bidi="ar-SA"/>
      </w:rPr>
    </w:lvl>
    <w:lvl w:ilvl="3" w:tplc="AE0A389C">
      <w:numFmt w:val="bullet"/>
      <w:lvlText w:val="•"/>
      <w:lvlJc w:val="left"/>
      <w:pPr>
        <w:ind w:left="770" w:hanging="78"/>
      </w:pPr>
      <w:rPr>
        <w:rFonts w:hint="default"/>
        <w:lang w:val="en-US" w:eastAsia="en-US" w:bidi="ar-SA"/>
      </w:rPr>
    </w:lvl>
    <w:lvl w:ilvl="4" w:tplc="326499A2">
      <w:numFmt w:val="bullet"/>
      <w:lvlText w:val="•"/>
      <w:lvlJc w:val="left"/>
      <w:pPr>
        <w:ind w:left="1021" w:hanging="78"/>
      </w:pPr>
      <w:rPr>
        <w:rFonts w:hint="default"/>
        <w:lang w:val="en-US" w:eastAsia="en-US" w:bidi="ar-SA"/>
      </w:rPr>
    </w:lvl>
    <w:lvl w:ilvl="5" w:tplc="54D02B96">
      <w:numFmt w:val="bullet"/>
      <w:lvlText w:val="•"/>
      <w:lvlJc w:val="left"/>
      <w:pPr>
        <w:ind w:left="1271" w:hanging="78"/>
      </w:pPr>
      <w:rPr>
        <w:rFonts w:hint="default"/>
        <w:lang w:val="en-US" w:eastAsia="en-US" w:bidi="ar-SA"/>
      </w:rPr>
    </w:lvl>
    <w:lvl w:ilvl="6" w:tplc="90908CF6">
      <w:numFmt w:val="bullet"/>
      <w:lvlText w:val="•"/>
      <w:lvlJc w:val="left"/>
      <w:pPr>
        <w:ind w:left="1521" w:hanging="78"/>
      </w:pPr>
      <w:rPr>
        <w:rFonts w:hint="default"/>
        <w:lang w:val="en-US" w:eastAsia="en-US" w:bidi="ar-SA"/>
      </w:rPr>
    </w:lvl>
    <w:lvl w:ilvl="7" w:tplc="51F8FB80">
      <w:numFmt w:val="bullet"/>
      <w:lvlText w:val="•"/>
      <w:lvlJc w:val="left"/>
      <w:pPr>
        <w:ind w:left="1772" w:hanging="78"/>
      </w:pPr>
      <w:rPr>
        <w:rFonts w:hint="default"/>
        <w:lang w:val="en-US" w:eastAsia="en-US" w:bidi="ar-SA"/>
      </w:rPr>
    </w:lvl>
    <w:lvl w:ilvl="8" w:tplc="0E2281C6">
      <w:numFmt w:val="bullet"/>
      <w:lvlText w:val="•"/>
      <w:lvlJc w:val="left"/>
      <w:pPr>
        <w:ind w:left="2022" w:hanging="78"/>
      </w:pPr>
      <w:rPr>
        <w:rFonts w:hint="default"/>
        <w:lang w:val="en-US" w:eastAsia="en-US" w:bidi="ar-SA"/>
      </w:rPr>
    </w:lvl>
  </w:abstractNum>
  <w:abstractNum w:abstractNumId="327" w15:restartNumberingAfterBreak="0">
    <w:nsid w:val="7F832AD9"/>
    <w:multiLevelType w:val="hybridMultilevel"/>
    <w:tmpl w:val="28BCFDE0"/>
    <w:lvl w:ilvl="0" w:tplc="1CBCD324">
      <w:numFmt w:val="bullet"/>
      <w:lvlText w:val="•"/>
      <w:lvlJc w:val="left"/>
      <w:pPr>
        <w:ind w:left="27" w:hanging="79"/>
      </w:pPr>
      <w:rPr>
        <w:rFonts w:ascii="Arial" w:eastAsia="Arial" w:hAnsi="Arial" w:cs="Arial" w:hint="default"/>
        <w:color w:val="231F20"/>
        <w:w w:val="73"/>
        <w:sz w:val="17"/>
        <w:szCs w:val="17"/>
        <w:lang w:val="en-US" w:eastAsia="en-US" w:bidi="ar-SA"/>
      </w:rPr>
    </w:lvl>
    <w:lvl w:ilvl="1" w:tplc="C490433A">
      <w:numFmt w:val="bullet"/>
      <w:lvlText w:val="•"/>
      <w:lvlJc w:val="left"/>
      <w:pPr>
        <w:ind w:left="268" w:hanging="79"/>
      </w:pPr>
      <w:rPr>
        <w:rFonts w:hint="default"/>
        <w:lang w:val="en-US" w:eastAsia="en-US" w:bidi="ar-SA"/>
      </w:rPr>
    </w:lvl>
    <w:lvl w:ilvl="2" w:tplc="7BDAC2D0">
      <w:numFmt w:val="bullet"/>
      <w:lvlText w:val="•"/>
      <w:lvlJc w:val="left"/>
      <w:pPr>
        <w:ind w:left="517" w:hanging="79"/>
      </w:pPr>
      <w:rPr>
        <w:rFonts w:hint="default"/>
        <w:lang w:val="en-US" w:eastAsia="en-US" w:bidi="ar-SA"/>
      </w:rPr>
    </w:lvl>
    <w:lvl w:ilvl="3" w:tplc="44A4B492">
      <w:numFmt w:val="bullet"/>
      <w:lvlText w:val="•"/>
      <w:lvlJc w:val="left"/>
      <w:pPr>
        <w:ind w:left="766" w:hanging="79"/>
      </w:pPr>
      <w:rPr>
        <w:rFonts w:hint="default"/>
        <w:lang w:val="en-US" w:eastAsia="en-US" w:bidi="ar-SA"/>
      </w:rPr>
    </w:lvl>
    <w:lvl w:ilvl="4" w:tplc="F258C9E6">
      <w:numFmt w:val="bullet"/>
      <w:lvlText w:val="•"/>
      <w:lvlJc w:val="left"/>
      <w:pPr>
        <w:ind w:left="1014" w:hanging="79"/>
      </w:pPr>
      <w:rPr>
        <w:rFonts w:hint="default"/>
        <w:lang w:val="en-US" w:eastAsia="en-US" w:bidi="ar-SA"/>
      </w:rPr>
    </w:lvl>
    <w:lvl w:ilvl="5" w:tplc="39BAFCD0">
      <w:numFmt w:val="bullet"/>
      <w:lvlText w:val="•"/>
      <w:lvlJc w:val="left"/>
      <w:pPr>
        <w:ind w:left="1263" w:hanging="79"/>
      </w:pPr>
      <w:rPr>
        <w:rFonts w:hint="default"/>
        <w:lang w:val="en-US" w:eastAsia="en-US" w:bidi="ar-SA"/>
      </w:rPr>
    </w:lvl>
    <w:lvl w:ilvl="6" w:tplc="60E0F0FA">
      <w:numFmt w:val="bullet"/>
      <w:lvlText w:val="•"/>
      <w:lvlJc w:val="left"/>
      <w:pPr>
        <w:ind w:left="1512" w:hanging="79"/>
      </w:pPr>
      <w:rPr>
        <w:rFonts w:hint="default"/>
        <w:lang w:val="en-US" w:eastAsia="en-US" w:bidi="ar-SA"/>
      </w:rPr>
    </w:lvl>
    <w:lvl w:ilvl="7" w:tplc="398035B4">
      <w:numFmt w:val="bullet"/>
      <w:lvlText w:val="•"/>
      <w:lvlJc w:val="left"/>
      <w:pPr>
        <w:ind w:left="1760" w:hanging="79"/>
      </w:pPr>
      <w:rPr>
        <w:rFonts w:hint="default"/>
        <w:lang w:val="en-US" w:eastAsia="en-US" w:bidi="ar-SA"/>
      </w:rPr>
    </w:lvl>
    <w:lvl w:ilvl="8" w:tplc="9B96383A">
      <w:numFmt w:val="bullet"/>
      <w:lvlText w:val="•"/>
      <w:lvlJc w:val="left"/>
      <w:pPr>
        <w:ind w:left="2009" w:hanging="79"/>
      </w:pPr>
      <w:rPr>
        <w:rFonts w:hint="default"/>
        <w:lang w:val="en-US" w:eastAsia="en-US" w:bidi="ar-SA"/>
      </w:rPr>
    </w:lvl>
  </w:abstractNum>
  <w:abstractNum w:abstractNumId="328" w15:restartNumberingAfterBreak="0">
    <w:nsid w:val="7F9D03FE"/>
    <w:multiLevelType w:val="hybridMultilevel"/>
    <w:tmpl w:val="CCA0CDEC"/>
    <w:lvl w:ilvl="0" w:tplc="61405E04">
      <w:numFmt w:val="bullet"/>
      <w:lvlText w:val="•"/>
      <w:lvlJc w:val="left"/>
      <w:pPr>
        <w:ind w:left="25" w:hanging="43"/>
      </w:pPr>
      <w:rPr>
        <w:rFonts w:ascii="Arial" w:eastAsia="Arial" w:hAnsi="Arial" w:cs="Arial" w:hint="default"/>
        <w:color w:val="231F20"/>
        <w:w w:val="73"/>
        <w:sz w:val="14"/>
        <w:szCs w:val="14"/>
        <w:lang w:val="en-US" w:eastAsia="en-US" w:bidi="ar-SA"/>
      </w:rPr>
    </w:lvl>
    <w:lvl w:ilvl="1" w:tplc="4A0C0366">
      <w:numFmt w:val="bullet"/>
      <w:lvlText w:val="•"/>
      <w:lvlJc w:val="left"/>
      <w:pPr>
        <w:ind w:left="253" w:hanging="43"/>
      </w:pPr>
      <w:rPr>
        <w:rFonts w:hint="default"/>
        <w:lang w:val="en-US" w:eastAsia="en-US" w:bidi="ar-SA"/>
      </w:rPr>
    </w:lvl>
    <w:lvl w:ilvl="2" w:tplc="D1CC24CE">
      <w:numFmt w:val="bullet"/>
      <w:lvlText w:val="•"/>
      <w:lvlJc w:val="left"/>
      <w:pPr>
        <w:ind w:left="487" w:hanging="43"/>
      </w:pPr>
      <w:rPr>
        <w:rFonts w:hint="default"/>
        <w:lang w:val="en-US" w:eastAsia="en-US" w:bidi="ar-SA"/>
      </w:rPr>
    </w:lvl>
    <w:lvl w:ilvl="3" w:tplc="7DA6A9FA">
      <w:numFmt w:val="bullet"/>
      <w:lvlText w:val="•"/>
      <w:lvlJc w:val="left"/>
      <w:pPr>
        <w:ind w:left="720" w:hanging="43"/>
      </w:pPr>
      <w:rPr>
        <w:rFonts w:hint="default"/>
        <w:lang w:val="en-US" w:eastAsia="en-US" w:bidi="ar-SA"/>
      </w:rPr>
    </w:lvl>
    <w:lvl w:ilvl="4" w:tplc="76A4FFCA">
      <w:numFmt w:val="bullet"/>
      <w:lvlText w:val="•"/>
      <w:lvlJc w:val="left"/>
      <w:pPr>
        <w:ind w:left="954" w:hanging="43"/>
      </w:pPr>
      <w:rPr>
        <w:rFonts w:hint="default"/>
        <w:lang w:val="en-US" w:eastAsia="en-US" w:bidi="ar-SA"/>
      </w:rPr>
    </w:lvl>
    <w:lvl w:ilvl="5" w:tplc="8F924708">
      <w:numFmt w:val="bullet"/>
      <w:lvlText w:val="•"/>
      <w:lvlJc w:val="left"/>
      <w:pPr>
        <w:ind w:left="1187" w:hanging="43"/>
      </w:pPr>
      <w:rPr>
        <w:rFonts w:hint="default"/>
        <w:lang w:val="en-US" w:eastAsia="en-US" w:bidi="ar-SA"/>
      </w:rPr>
    </w:lvl>
    <w:lvl w:ilvl="6" w:tplc="60FE81EC">
      <w:numFmt w:val="bullet"/>
      <w:lvlText w:val="•"/>
      <w:lvlJc w:val="left"/>
      <w:pPr>
        <w:ind w:left="1421" w:hanging="43"/>
      </w:pPr>
      <w:rPr>
        <w:rFonts w:hint="default"/>
        <w:lang w:val="en-US" w:eastAsia="en-US" w:bidi="ar-SA"/>
      </w:rPr>
    </w:lvl>
    <w:lvl w:ilvl="7" w:tplc="B5AC386C">
      <w:numFmt w:val="bullet"/>
      <w:lvlText w:val="•"/>
      <w:lvlJc w:val="left"/>
      <w:pPr>
        <w:ind w:left="1654" w:hanging="43"/>
      </w:pPr>
      <w:rPr>
        <w:rFonts w:hint="default"/>
        <w:lang w:val="en-US" w:eastAsia="en-US" w:bidi="ar-SA"/>
      </w:rPr>
    </w:lvl>
    <w:lvl w:ilvl="8" w:tplc="E2242538">
      <w:numFmt w:val="bullet"/>
      <w:lvlText w:val="•"/>
      <w:lvlJc w:val="left"/>
      <w:pPr>
        <w:ind w:left="1888" w:hanging="43"/>
      </w:pPr>
      <w:rPr>
        <w:rFonts w:hint="default"/>
        <w:lang w:val="en-US" w:eastAsia="en-US" w:bidi="ar-SA"/>
      </w:rPr>
    </w:lvl>
  </w:abstractNum>
  <w:abstractNum w:abstractNumId="329" w15:restartNumberingAfterBreak="0">
    <w:nsid w:val="7FC73CD4"/>
    <w:multiLevelType w:val="hybridMultilevel"/>
    <w:tmpl w:val="9E5E0A5C"/>
    <w:lvl w:ilvl="0" w:tplc="AF8C2F24">
      <w:numFmt w:val="bullet"/>
      <w:lvlText w:val="•"/>
      <w:lvlJc w:val="left"/>
      <w:pPr>
        <w:ind w:left="25" w:hanging="78"/>
      </w:pPr>
      <w:rPr>
        <w:rFonts w:ascii="Arial" w:eastAsia="Arial" w:hAnsi="Arial" w:cs="Arial" w:hint="default"/>
        <w:color w:val="231F20"/>
        <w:w w:val="95"/>
        <w:sz w:val="13"/>
        <w:szCs w:val="13"/>
        <w:lang w:val="en-US" w:eastAsia="en-US" w:bidi="ar-SA"/>
      </w:rPr>
    </w:lvl>
    <w:lvl w:ilvl="1" w:tplc="FDF8BD46">
      <w:numFmt w:val="bullet"/>
      <w:lvlText w:val="•"/>
      <w:lvlJc w:val="left"/>
      <w:pPr>
        <w:ind w:left="265" w:hanging="78"/>
      </w:pPr>
      <w:rPr>
        <w:rFonts w:hint="default"/>
        <w:lang w:val="en-US" w:eastAsia="en-US" w:bidi="ar-SA"/>
      </w:rPr>
    </w:lvl>
    <w:lvl w:ilvl="2" w:tplc="B5A04914">
      <w:numFmt w:val="bullet"/>
      <w:lvlText w:val="•"/>
      <w:lvlJc w:val="left"/>
      <w:pPr>
        <w:ind w:left="510" w:hanging="78"/>
      </w:pPr>
      <w:rPr>
        <w:rFonts w:hint="default"/>
        <w:lang w:val="en-US" w:eastAsia="en-US" w:bidi="ar-SA"/>
      </w:rPr>
    </w:lvl>
    <w:lvl w:ilvl="3" w:tplc="FE547D60">
      <w:numFmt w:val="bullet"/>
      <w:lvlText w:val="•"/>
      <w:lvlJc w:val="left"/>
      <w:pPr>
        <w:ind w:left="755" w:hanging="78"/>
      </w:pPr>
      <w:rPr>
        <w:rFonts w:hint="default"/>
        <w:lang w:val="en-US" w:eastAsia="en-US" w:bidi="ar-SA"/>
      </w:rPr>
    </w:lvl>
    <w:lvl w:ilvl="4" w:tplc="50D6A3A0">
      <w:numFmt w:val="bullet"/>
      <w:lvlText w:val="•"/>
      <w:lvlJc w:val="left"/>
      <w:pPr>
        <w:ind w:left="1000" w:hanging="78"/>
      </w:pPr>
      <w:rPr>
        <w:rFonts w:hint="default"/>
        <w:lang w:val="en-US" w:eastAsia="en-US" w:bidi="ar-SA"/>
      </w:rPr>
    </w:lvl>
    <w:lvl w:ilvl="5" w:tplc="9DCC12DA">
      <w:numFmt w:val="bullet"/>
      <w:lvlText w:val="•"/>
      <w:lvlJc w:val="left"/>
      <w:pPr>
        <w:ind w:left="1245" w:hanging="78"/>
      </w:pPr>
      <w:rPr>
        <w:rFonts w:hint="default"/>
        <w:lang w:val="en-US" w:eastAsia="en-US" w:bidi="ar-SA"/>
      </w:rPr>
    </w:lvl>
    <w:lvl w:ilvl="6" w:tplc="A95A5392">
      <w:numFmt w:val="bullet"/>
      <w:lvlText w:val="•"/>
      <w:lvlJc w:val="left"/>
      <w:pPr>
        <w:ind w:left="1490" w:hanging="78"/>
      </w:pPr>
      <w:rPr>
        <w:rFonts w:hint="default"/>
        <w:lang w:val="en-US" w:eastAsia="en-US" w:bidi="ar-SA"/>
      </w:rPr>
    </w:lvl>
    <w:lvl w:ilvl="7" w:tplc="993AD072">
      <w:numFmt w:val="bullet"/>
      <w:lvlText w:val="•"/>
      <w:lvlJc w:val="left"/>
      <w:pPr>
        <w:ind w:left="1735" w:hanging="78"/>
      </w:pPr>
      <w:rPr>
        <w:rFonts w:hint="default"/>
        <w:lang w:val="en-US" w:eastAsia="en-US" w:bidi="ar-SA"/>
      </w:rPr>
    </w:lvl>
    <w:lvl w:ilvl="8" w:tplc="555035A6">
      <w:numFmt w:val="bullet"/>
      <w:lvlText w:val="•"/>
      <w:lvlJc w:val="left"/>
      <w:pPr>
        <w:ind w:left="1980" w:hanging="78"/>
      </w:pPr>
      <w:rPr>
        <w:rFonts w:hint="default"/>
        <w:lang w:val="en-US" w:eastAsia="en-US" w:bidi="ar-SA"/>
      </w:rPr>
    </w:lvl>
  </w:abstractNum>
  <w:num w:numId="1" w16cid:durableId="607352657">
    <w:abstractNumId w:val="294"/>
  </w:num>
  <w:num w:numId="2" w16cid:durableId="549070349">
    <w:abstractNumId w:val="89"/>
  </w:num>
  <w:num w:numId="3" w16cid:durableId="613828593">
    <w:abstractNumId w:val="312"/>
  </w:num>
  <w:num w:numId="4" w16cid:durableId="1874682506">
    <w:abstractNumId w:val="88"/>
  </w:num>
  <w:num w:numId="5" w16cid:durableId="712970174">
    <w:abstractNumId w:val="173"/>
  </w:num>
  <w:num w:numId="6" w16cid:durableId="823591070">
    <w:abstractNumId w:val="293"/>
  </w:num>
  <w:num w:numId="7" w16cid:durableId="626280777">
    <w:abstractNumId w:val="131"/>
  </w:num>
  <w:num w:numId="8" w16cid:durableId="403531292">
    <w:abstractNumId w:val="81"/>
  </w:num>
  <w:num w:numId="9" w16cid:durableId="1609772123">
    <w:abstractNumId w:val="186"/>
  </w:num>
  <w:num w:numId="10" w16cid:durableId="460002409">
    <w:abstractNumId w:val="227"/>
  </w:num>
  <w:num w:numId="11" w16cid:durableId="101607660">
    <w:abstractNumId w:val="261"/>
  </w:num>
  <w:num w:numId="12" w16cid:durableId="1316839786">
    <w:abstractNumId w:val="298"/>
  </w:num>
  <w:num w:numId="13" w16cid:durableId="1934317653">
    <w:abstractNumId w:val="235"/>
  </w:num>
  <w:num w:numId="14" w16cid:durableId="1197545258">
    <w:abstractNumId w:val="94"/>
  </w:num>
  <w:num w:numId="15" w16cid:durableId="1890458509">
    <w:abstractNumId w:val="166"/>
  </w:num>
  <w:num w:numId="16" w16cid:durableId="254703599">
    <w:abstractNumId w:val="73"/>
  </w:num>
  <w:num w:numId="17" w16cid:durableId="945312791">
    <w:abstractNumId w:val="289"/>
  </w:num>
  <w:num w:numId="18" w16cid:durableId="865602552">
    <w:abstractNumId w:val="16"/>
  </w:num>
  <w:num w:numId="19" w16cid:durableId="120732256">
    <w:abstractNumId w:val="156"/>
  </w:num>
  <w:num w:numId="20" w16cid:durableId="1298148948">
    <w:abstractNumId w:val="199"/>
  </w:num>
  <w:num w:numId="21" w16cid:durableId="900478159">
    <w:abstractNumId w:val="220"/>
  </w:num>
  <w:num w:numId="22" w16cid:durableId="413628453">
    <w:abstractNumId w:val="268"/>
  </w:num>
  <w:num w:numId="23" w16cid:durableId="549879358">
    <w:abstractNumId w:val="313"/>
  </w:num>
  <w:num w:numId="24" w16cid:durableId="1556239176">
    <w:abstractNumId w:val="215"/>
  </w:num>
  <w:num w:numId="25" w16cid:durableId="2013944814">
    <w:abstractNumId w:val="53"/>
  </w:num>
  <w:num w:numId="26" w16cid:durableId="1480882711">
    <w:abstractNumId w:val="147"/>
  </w:num>
  <w:num w:numId="27" w16cid:durableId="612371686">
    <w:abstractNumId w:val="155"/>
  </w:num>
  <w:num w:numId="28" w16cid:durableId="411972954">
    <w:abstractNumId w:val="263"/>
  </w:num>
  <w:num w:numId="29" w16cid:durableId="1388143823">
    <w:abstractNumId w:val="279"/>
  </w:num>
  <w:num w:numId="30" w16cid:durableId="144469512">
    <w:abstractNumId w:val="306"/>
  </w:num>
  <w:num w:numId="31" w16cid:durableId="1108811164">
    <w:abstractNumId w:val="119"/>
  </w:num>
  <w:num w:numId="32" w16cid:durableId="599022808">
    <w:abstractNumId w:val="138"/>
  </w:num>
  <w:num w:numId="33" w16cid:durableId="128590714">
    <w:abstractNumId w:val="95"/>
  </w:num>
  <w:num w:numId="34" w16cid:durableId="431975466">
    <w:abstractNumId w:val="43"/>
  </w:num>
  <w:num w:numId="35" w16cid:durableId="50663075">
    <w:abstractNumId w:val="256"/>
  </w:num>
  <w:num w:numId="36" w16cid:durableId="1697348047">
    <w:abstractNumId w:val="149"/>
  </w:num>
  <w:num w:numId="37" w16cid:durableId="877009308">
    <w:abstractNumId w:val="50"/>
  </w:num>
  <w:num w:numId="38" w16cid:durableId="150217599">
    <w:abstractNumId w:val="311"/>
  </w:num>
  <w:num w:numId="39" w16cid:durableId="1423407189">
    <w:abstractNumId w:val="22"/>
  </w:num>
  <w:num w:numId="40" w16cid:durableId="979307379">
    <w:abstractNumId w:val="87"/>
  </w:num>
  <w:num w:numId="41" w16cid:durableId="539635971">
    <w:abstractNumId w:val="318"/>
  </w:num>
  <w:num w:numId="42" w16cid:durableId="484588509">
    <w:abstractNumId w:val="104"/>
  </w:num>
  <w:num w:numId="43" w16cid:durableId="606735493">
    <w:abstractNumId w:val="193"/>
  </w:num>
  <w:num w:numId="44" w16cid:durableId="1147741086">
    <w:abstractNumId w:val="290"/>
  </w:num>
  <w:num w:numId="45" w16cid:durableId="1733232236">
    <w:abstractNumId w:val="245"/>
  </w:num>
  <w:num w:numId="46" w16cid:durableId="900824697">
    <w:abstractNumId w:val="56"/>
  </w:num>
  <w:num w:numId="47" w16cid:durableId="2055234617">
    <w:abstractNumId w:val="83"/>
  </w:num>
  <w:num w:numId="48" w16cid:durableId="226114997">
    <w:abstractNumId w:val="267"/>
  </w:num>
  <w:num w:numId="49" w16cid:durableId="620964203">
    <w:abstractNumId w:val="292"/>
  </w:num>
  <w:num w:numId="50" w16cid:durableId="487672867">
    <w:abstractNumId w:val="96"/>
  </w:num>
  <w:num w:numId="51" w16cid:durableId="35929093">
    <w:abstractNumId w:val="174"/>
  </w:num>
  <w:num w:numId="52" w16cid:durableId="1837845786">
    <w:abstractNumId w:val="322"/>
  </w:num>
  <w:num w:numId="53" w16cid:durableId="559248919">
    <w:abstractNumId w:val="283"/>
  </w:num>
  <w:num w:numId="54" w16cid:durableId="799112303">
    <w:abstractNumId w:val="201"/>
  </w:num>
  <w:num w:numId="55" w16cid:durableId="793139389">
    <w:abstractNumId w:val="133"/>
  </w:num>
  <w:num w:numId="56" w16cid:durableId="1670478591">
    <w:abstractNumId w:val="26"/>
  </w:num>
  <w:num w:numId="57" w16cid:durableId="1330406514">
    <w:abstractNumId w:val="222"/>
  </w:num>
  <w:num w:numId="58" w16cid:durableId="828518650">
    <w:abstractNumId w:val="27"/>
  </w:num>
  <w:num w:numId="59" w16cid:durableId="342171662">
    <w:abstractNumId w:val="9"/>
  </w:num>
  <w:num w:numId="60" w16cid:durableId="2045980930">
    <w:abstractNumId w:val="154"/>
  </w:num>
  <w:num w:numId="61" w16cid:durableId="293486119">
    <w:abstractNumId w:val="315"/>
  </w:num>
  <w:num w:numId="62" w16cid:durableId="1856573984">
    <w:abstractNumId w:val="304"/>
  </w:num>
  <w:num w:numId="63" w16cid:durableId="1479348476">
    <w:abstractNumId w:val="323"/>
  </w:num>
  <w:num w:numId="64" w16cid:durableId="462237952">
    <w:abstractNumId w:val="250"/>
  </w:num>
  <w:num w:numId="65" w16cid:durableId="947660234">
    <w:abstractNumId w:val="221"/>
  </w:num>
  <w:num w:numId="66" w16cid:durableId="828178506">
    <w:abstractNumId w:val="41"/>
  </w:num>
  <w:num w:numId="67" w16cid:durableId="960069214">
    <w:abstractNumId w:val="280"/>
  </w:num>
  <w:num w:numId="68" w16cid:durableId="2033065506">
    <w:abstractNumId w:val="234"/>
  </w:num>
  <w:num w:numId="69" w16cid:durableId="799104727">
    <w:abstractNumId w:val="86"/>
  </w:num>
  <w:num w:numId="70" w16cid:durableId="741681343">
    <w:abstractNumId w:val="116"/>
  </w:num>
  <w:num w:numId="71" w16cid:durableId="2053454524">
    <w:abstractNumId w:val="110"/>
  </w:num>
  <w:num w:numId="72" w16cid:durableId="1943340528">
    <w:abstractNumId w:val="254"/>
  </w:num>
  <w:num w:numId="73" w16cid:durableId="1085997350">
    <w:abstractNumId w:val="145"/>
  </w:num>
  <w:num w:numId="74" w16cid:durableId="1478065592">
    <w:abstractNumId w:val="244"/>
  </w:num>
  <w:num w:numId="75" w16cid:durableId="1115294234">
    <w:abstractNumId w:val="208"/>
  </w:num>
  <w:num w:numId="76" w16cid:durableId="2098480994">
    <w:abstractNumId w:val="197"/>
  </w:num>
  <w:num w:numId="77" w16cid:durableId="1723628610">
    <w:abstractNumId w:val="46"/>
  </w:num>
  <w:num w:numId="78" w16cid:durableId="1168669710">
    <w:abstractNumId w:val="271"/>
  </w:num>
  <w:num w:numId="79" w16cid:durableId="1997027341">
    <w:abstractNumId w:val="169"/>
  </w:num>
  <w:num w:numId="80" w16cid:durableId="596404141">
    <w:abstractNumId w:val="182"/>
  </w:num>
  <w:num w:numId="81" w16cid:durableId="1276641655">
    <w:abstractNumId w:val="198"/>
  </w:num>
  <w:num w:numId="82" w16cid:durableId="1777556234">
    <w:abstractNumId w:val="126"/>
  </w:num>
  <w:num w:numId="83" w16cid:durableId="513690120">
    <w:abstractNumId w:val="139"/>
  </w:num>
  <w:num w:numId="84" w16cid:durableId="47386226">
    <w:abstractNumId w:val="309"/>
  </w:num>
  <w:num w:numId="85" w16cid:durableId="1762600322">
    <w:abstractNumId w:val="272"/>
  </w:num>
  <w:num w:numId="86" w16cid:durableId="1227180974">
    <w:abstractNumId w:val="15"/>
  </w:num>
  <w:num w:numId="87" w16cid:durableId="1053574687">
    <w:abstractNumId w:val="242"/>
  </w:num>
  <w:num w:numId="88" w16cid:durableId="976570378">
    <w:abstractNumId w:val="67"/>
  </w:num>
  <w:num w:numId="89" w16cid:durableId="284117479">
    <w:abstractNumId w:val="257"/>
  </w:num>
  <w:num w:numId="90" w16cid:durableId="1123227065">
    <w:abstractNumId w:val="196"/>
  </w:num>
  <w:num w:numId="91" w16cid:durableId="251940478">
    <w:abstractNumId w:val="301"/>
  </w:num>
  <w:num w:numId="92" w16cid:durableId="1799102876">
    <w:abstractNumId w:val="295"/>
  </w:num>
  <w:num w:numId="93" w16cid:durableId="514612365">
    <w:abstractNumId w:val="165"/>
  </w:num>
  <w:num w:numId="94" w16cid:durableId="1449398282">
    <w:abstractNumId w:val="233"/>
  </w:num>
  <w:num w:numId="95" w16cid:durableId="623534739">
    <w:abstractNumId w:val="135"/>
  </w:num>
  <w:num w:numId="96" w16cid:durableId="462500428">
    <w:abstractNumId w:val="160"/>
  </w:num>
  <w:num w:numId="97" w16cid:durableId="863639680">
    <w:abstractNumId w:val="47"/>
  </w:num>
  <w:num w:numId="98" w16cid:durableId="339233824">
    <w:abstractNumId w:val="117"/>
  </w:num>
  <w:num w:numId="99" w16cid:durableId="916593853">
    <w:abstractNumId w:val="100"/>
  </w:num>
  <w:num w:numId="100" w16cid:durableId="409422322">
    <w:abstractNumId w:val="162"/>
  </w:num>
  <w:num w:numId="101" w16cid:durableId="1657997327">
    <w:abstractNumId w:val="251"/>
  </w:num>
  <w:num w:numId="102" w16cid:durableId="682438983">
    <w:abstractNumId w:val="183"/>
  </w:num>
  <w:num w:numId="103" w16cid:durableId="1201279824">
    <w:abstractNumId w:val="93"/>
  </w:num>
  <w:num w:numId="104" w16cid:durableId="753474582">
    <w:abstractNumId w:val="121"/>
  </w:num>
  <w:num w:numId="105" w16cid:durableId="1518697631">
    <w:abstractNumId w:val="92"/>
  </w:num>
  <w:num w:numId="106" w16cid:durableId="862279335">
    <w:abstractNumId w:val="249"/>
  </w:num>
  <w:num w:numId="107" w16cid:durableId="521089680">
    <w:abstractNumId w:val="206"/>
  </w:num>
  <w:num w:numId="108" w16cid:durableId="1899197281">
    <w:abstractNumId w:val="239"/>
  </w:num>
  <w:num w:numId="109" w16cid:durableId="990980282">
    <w:abstractNumId w:val="2"/>
  </w:num>
  <w:num w:numId="110" w16cid:durableId="88042384">
    <w:abstractNumId w:val="176"/>
  </w:num>
  <w:num w:numId="111" w16cid:durableId="1260140876">
    <w:abstractNumId w:val="105"/>
  </w:num>
  <w:num w:numId="112" w16cid:durableId="405618379">
    <w:abstractNumId w:val="269"/>
  </w:num>
  <w:num w:numId="113" w16cid:durableId="2052802421">
    <w:abstractNumId w:val="252"/>
  </w:num>
  <w:num w:numId="114" w16cid:durableId="543835671">
    <w:abstractNumId w:val="275"/>
  </w:num>
  <w:num w:numId="115" w16cid:durableId="1143693240">
    <w:abstractNumId w:val="84"/>
  </w:num>
  <w:num w:numId="116" w16cid:durableId="1579366563">
    <w:abstractNumId w:val="39"/>
  </w:num>
  <w:num w:numId="117" w16cid:durableId="1439446038">
    <w:abstractNumId w:val="328"/>
  </w:num>
  <w:num w:numId="118" w16cid:durableId="394399740">
    <w:abstractNumId w:val="122"/>
  </w:num>
  <w:num w:numId="119" w16cid:durableId="571084632">
    <w:abstractNumId w:val="74"/>
  </w:num>
  <w:num w:numId="120" w16cid:durableId="652099475">
    <w:abstractNumId w:val="203"/>
  </w:num>
  <w:num w:numId="121" w16cid:durableId="1621761849">
    <w:abstractNumId w:val="21"/>
  </w:num>
  <w:num w:numId="122" w16cid:durableId="98838238">
    <w:abstractNumId w:val="136"/>
  </w:num>
  <w:num w:numId="123" w16cid:durableId="240481279">
    <w:abstractNumId w:val="204"/>
  </w:num>
  <w:num w:numId="124" w16cid:durableId="1854372782">
    <w:abstractNumId w:val="205"/>
  </w:num>
  <w:num w:numId="125" w16cid:durableId="2092465165">
    <w:abstractNumId w:val="181"/>
  </w:num>
  <w:num w:numId="126" w16cid:durableId="1827700591">
    <w:abstractNumId w:val="168"/>
  </w:num>
  <w:num w:numId="127" w16cid:durableId="1078748054">
    <w:abstractNumId w:val="191"/>
  </w:num>
  <w:num w:numId="128" w16cid:durableId="1571118021">
    <w:abstractNumId w:val="212"/>
  </w:num>
  <w:num w:numId="129" w16cid:durableId="2032488943">
    <w:abstractNumId w:val="33"/>
  </w:num>
  <w:num w:numId="130" w16cid:durableId="1353339988">
    <w:abstractNumId w:val="308"/>
  </w:num>
  <w:num w:numId="131" w16cid:durableId="1486706215">
    <w:abstractNumId w:val="316"/>
  </w:num>
  <w:num w:numId="132" w16cid:durableId="1319573510">
    <w:abstractNumId w:val="291"/>
  </w:num>
  <w:num w:numId="133" w16cid:durableId="576209126">
    <w:abstractNumId w:val="91"/>
  </w:num>
  <w:num w:numId="134" w16cid:durableId="1390956962">
    <w:abstractNumId w:val="62"/>
  </w:num>
  <w:num w:numId="135" w16cid:durableId="642319526">
    <w:abstractNumId w:val="281"/>
  </w:num>
  <w:num w:numId="136" w16cid:durableId="550119664">
    <w:abstractNumId w:val="140"/>
  </w:num>
  <w:num w:numId="137" w16cid:durableId="1124008225">
    <w:abstractNumId w:val="310"/>
  </w:num>
  <w:num w:numId="138" w16cid:durableId="328873013">
    <w:abstractNumId w:val="314"/>
  </w:num>
  <w:num w:numId="139" w16cid:durableId="239995672">
    <w:abstractNumId w:val="37"/>
  </w:num>
  <w:num w:numId="140" w16cid:durableId="560480600">
    <w:abstractNumId w:val="7"/>
  </w:num>
  <w:num w:numId="141" w16cid:durableId="875778334">
    <w:abstractNumId w:val="210"/>
  </w:num>
  <w:num w:numId="142" w16cid:durableId="599918216">
    <w:abstractNumId w:val="52"/>
  </w:num>
  <w:num w:numId="143" w16cid:durableId="347298038">
    <w:abstractNumId w:val="228"/>
  </w:num>
  <w:num w:numId="144" w16cid:durableId="1599554686">
    <w:abstractNumId w:val="128"/>
  </w:num>
  <w:num w:numId="145" w16cid:durableId="1396314744">
    <w:abstractNumId w:val="237"/>
  </w:num>
  <w:num w:numId="146" w16cid:durableId="1464688732">
    <w:abstractNumId w:val="178"/>
  </w:num>
  <w:num w:numId="147" w16cid:durableId="1115253813">
    <w:abstractNumId w:val="238"/>
  </w:num>
  <w:num w:numId="148" w16cid:durableId="1629240464">
    <w:abstractNumId w:val="127"/>
  </w:num>
  <w:num w:numId="149" w16cid:durableId="822699737">
    <w:abstractNumId w:val="51"/>
  </w:num>
  <w:num w:numId="150" w16cid:durableId="810630601">
    <w:abstractNumId w:val="8"/>
  </w:num>
  <w:num w:numId="151" w16cid:durableId="1381322510">
    <w:abstractNumId w:val="109"/>
  </w:num>
  <w:num w:numId="152" w16cid:durableId="369455814">
    <w:abstractNumId w:val="327"/>
  </w:num>
  <w:num w:numId="153" w16cid:durableId="1163088122">
    <w:abstractNumId w:val="164"/>
  </w:num>
  <w:num w:numId="154" w16cid:durableId="2047946631">
    <w:abstractNumId w:val="232"/>
  </w:num>
  <w:num w:numId="155" w16cid:durableId="886601905">
    <w:abstractNumId w:val="113"/>
  </w:num>
  <w:num w:numId="156" w16cid:durableId="1329792007">
    <w:abstractNumId w:val="69"/>
  </w:num>
  <w:num w:numId="157" w16cid:durableId="384183650">
    <w:abstractNumId w:val="130"/>
  </w:num>
  <w:num w:numId="158" w16cid:durableId="776873069">
    <w:abstractNumId w:val="34"/>
  </w:num>
  <w:num w:numId="159" w16cid:durableId="1283222148">
    <w:abstractNumId w:val="326"/>
  </w:num>
  <w:num w:numId="160" w16cid:durableId="372659209">
    <w:abstractNumId w:val="300"/>
  </w:num>
  <w:num w:numId="161" w16cid:durableId="480729999">
    <w:abstractNumId w:val="146"/>
  </w:num>
  <w:num w:numId="162" w16cid:durableId="647707097">
    <w:abstractNumId w:val="129"/>
  </w:num>
  <w:num w:numId="163" w16cid:durableId="691104515">
    <w:abstractNumId w:val="324"/>
  </w:num>
  <w:num w:numId="164" w16cid:durableId="686369968">
    <w:abstractNumId w:val="49"/>
  </w:num>
  <w:num w:numId="165" w16cid:durableId="1523933467">
    <w:abstractNumId w:val="142"/>
  </w:num>
  <w:num w:numId="166" w16cid:durableId="583340751">
    <w:abstractNumId w:val="35"/>
  </w:num>
  <w:num w:numId="167" w16cid:durableId="580257648">
    <w:abstractNumId w:val="153"/>
  </w:num>
  <w:num w:numId="168" w16cid:durableId="241843337">
    <w:abstractNumId w:val="106"/>
  </w:num>
  <w:num w:numId="169" w16cid:durableId="1316834284">
    <w:abstractNumId w:val="152"/>
  </w:num>
  <w:num w:numId="170" w16cid:durableId="1701857518">
    <w:abstractNumId w:val="202"/>
  </w:num>
  <w:num w:numId="171" w16cid:durableId="1588997581">
    <w:abstractNumId w:val="125"/>
  </w:num>
  <w:num w:numId="172" w16cid:durableId="5250454">
    <w:abstractNumId w:val="190"/>
  </w:num>
  <w:num w:numId="173" w16cid:durableId="1654605371">
    <w:abstractNumId w:val="120"/>
  </w:num>
  <w:num w:numId="174" w16cid:durableId="518392130">
    <w:abstractNumId w:val="285"/>
  </w:num>
  <w:num w:numId="175" w16cid:durableId="610824513">
    <w:abstractNumId w:val="1"/>
  </w:num>
  <w:num w:numId="176" w16cid:durableId="86922471">
    <w:abstractNumId w:val="12"/>
  </w:num>
  <w:num w:numId="177" w16cid:durableId="1413087945">
    <w:abstractNumId w:val="284"/>
  </w:num>
  <w:num w:numId="178" w16cid:durableId="3364210">
    <w:abstractNumId w:val="189"/>
  </w:num>
  <w:num w:numId="179" w16cid:durableId="276564152">
    <w:abstractNumId w:val="171"/>
  </w:num>
  <w:num w:numId="180" w16cid:durableId="581640539">
    <w:abstractNumId w:val="60"/>
  </w:num>
  <w:num w:numId="181" w16cid:durableId="364184341">
    <w:abstractNumId w:val="175"/>
  </w:num>
  <w:num w:numId="182" w16cid:durableId="1759206728">
    <w:abstractNumId w:val="305"/>
  </w:num>
  <w:num w:numId="183" w16cid:durableId="269558019">
    <w:abstractNumId w:val="115"/>
  </w:num>
  <w:num w:numId="184" w16cid:durableId="1827014717">
    <w:abstractNumId w:val="317"/>
  </w:num>
  <w:num w:numId="185" w16cid:durableId="1428886903">
    <w:abstractNumId w:val="270"/>
  </w:num>
  <w:num w:numId="186" w16cid:durableId="1293361394">
    <w:abstractNumId w:val="72"/>
  </w:num>
  <w:num w:numId="187" w16cid:durableId="654605830">
    <w:abstractNumId w:val="151"/>
  </w:num>
  <w:num w:numId="188" w16cid:durableId="2109500096">
    <w:abstractNumId w:val="253"/>
  </w:num>
  <w:num w:numId="189" w16cid:durableId="1689021467">
    <w:abstractNumId w:val="299"/>
  </w:num>
  <w:num w:numId="190" w16cid:durableId="563877924">
    <w:abstractNumId w:val="114"/>
  </w:num>
  <w:num w:numId="191" w16cid:durableId="263193401">
    <w:abstractNumId w:val="288"/>
  </w:num>
  <w:num w:numId="192" w16cid:durableId="1120296267">
    <w:abstractNumId w:val="32"/>
  </w:num>
  <w:num w:numId="193" w16cid:durableId="891965728">
    <w:abstractNumId w:val="260"/>
  </w:num>
  <w:num w:numId="194" w16cid:durableId="143477034">
    <w:abstractNumId w:val="0"/>
  </w:num>
  <w:num w:numId="195" w16cid:durableId="63995387">
    <w:abstractNumId w:val="108"/>
  </w:num>
  <w:num w:numId="196" w16cid:durableId="929703046">
    <w:abstractNumId w:val="229"/>
  </w:num>
  <w:num w:numId="197" w16cid:durableId="1810241356">
    <w:abstractNumId w:val="5"/>
  </w:num>
  <w:num w:numId="198" w16cid:durableId="1620449632">
    <w:abstractNumId w:val="61"/>
  </w:num>
  <w:num w:numId="199" w16cid:durableId="79835427">
    <w:abstractNumId w:val="321"/>
  </w:num>
  <w:num w:numId="200" w16cid:durableId="1301811590">
    <w:abstractNumId w:val="226"/>
  </w:num>
  <w:num w:numId="201" w16cid:durableId="364449208">
    <w:abstractNumId w:val="64"/>
  </w:num>
  <w:num w:numId="202" w16cid:durableId="1331102127">
    <w:abstractNumId w:val="75"/>
  </w:num>
  <w:num w:numId="203" w16cid:durableId="1533109195">
    <w:abstractNumId w:val="273"/>
  </w:num>
  <w:num w:numId="204" w16cid:durableId="391849617">
    <w:abstractNumId w:val="163"/>
  </w:num>
  <w:num w:numId="205" w16cid:durableId="1422868316">
    <w:abstractNumId w:val="278"/>
  </w:num>
  <w:num w:numId="206" w16cid:durableId="1955089425">
    <w:abstractNumId w:val="195"/>
  </w:num>
  <w:num w:numId="207" w16cid:durableId="1881670676">
    <w:abstractNumId w:val="192"/>
  </w:num>
  <w:num w:numId="208" w16cid:durableId="1441099069">
    <w:abstractNumId w:val="38"/>
  </w:num>
  <w:num w:numId="209" w16cid:durableId="93289269">
    <w:abstractNumId w:val="79"/>
  </w:num>
  <w:num w:numId="210" w16cid:durableId="508065866">
    <w:abstractNumId w:val="143"/>
  </w:num>
  <w:num w:numId="211" w16cid:durableId="366564985">
    <w:abstractNumId w:val="48"/>
  </w:num>
  <w:num w:numId="212" w16cid:durableId="1544905405">
    <w:abstractNumId w:val="134"/>
  </w:num>
  <w:num w:numId="213" w16cid:durableId="1673874427">
    <w:abstractNumId w:val="172"/>
  </w:num>
  <w:num w:numId="214" w16cid:durableId="1283850801">
    <w:abstractNumId w:val="329"/>
  </w:num>
  <w:num w:numId="215" w16cid:durableId="1065640272">
    <w:abstractNumId w:val="167"/>
  </w:num>
  <w:num w:numId="216" w16cid:durableId="1510563988">
    <w:abstractNumId w:val="54"/>
  </w:num>
  <w:num w:numId="217" w16cid:durableId="1306348338">
    <w:abstractNumId w:val="319"/>
  </w:num>
  <w:num w:numId="218" w16cid:durableId="2054495860">
    <w:abstractNumId w:val="219"/>
  </w:num>
  <w:num w:numId="219" w16cid:durableId="1905599687">
    <w:abstractNumId w:val="150"/>
  </w:num>
  <w:num w:numId="220" w16cid:durableId="1039166987">
    <w:abstractNumId w:val="264"/>
  </w:num>
  <w:num w:numId="221" w16cid:durableId="840588750">
    <w:abstractNumId w:val="320"/>
  </w:num>
  <w:num w:numId="222" w16cid:durableId="1154417978">
    <w:abstractNumId w:val="55"/>
  </w:num>
  <w:num w:numId="223" w16cid:durableId="1901860945">
    <w:abstractNumId w:val="58"/>
  </w:num>
  <w:num w:numId="224" w16cid:durableId="1546066346">
    <w:abstractNumId w:val="40"/>
  </w:num>
  <w:num w:numId="225" w16cid:durableId="1855731329">
    <w:abstractNumId w:val="194"/>
  </w:num>
  <w:num w:numId="226" w16cid:durableId="1916279109">
    <w:abstractNumId w:val="144"/>
  </w:num>
  <w:num w:numId="227" w16cid:durableId="1735539671">
    <w:abstractNumId w:val="68"/>
  </w:num>
  <w:num w:numId="228" w16cid:durableId="1138917273">
    <w:abstractNumId w:val="90"/>
  </w:num>
  <w:num w:numId="229" w16cid:durableId="1177229177">
    <w:abstractNumId w:val="265"/>
  </w:num>
  <w:num w:numId="230" w16cid:durableId="1473135289">
    <w:abstractNumId w:val="276"/>
  </w:num>
  <w:num w:numId="231" w16cid:durableId="1081028432">
    <w:abstractNumId w:val="209"/>
  </w:num>
  <w:num w:numId="232" w16cid:durableId="863020">
    <w:abstractNumId w:val="4"/>
  </w:num>
  <w:num w:numId="233" w16cid:durableId="1426654854">
    <w:abstractNumId w:val="132"/>
  </w:num>
  <w:num w:numId="234" w16cid:durableId="927008598">
    <w:abstractNumId w:val="85"/>
  </w:num>
  <w:num w:numId="235" w16cid:durableId="513807572">
    <w:abstractNumId w:val="107"/>
  </w:num>
  <w:num w:numId="236" w16cid:durableId="1244797275">
    <w:abstractNumId w:val="82"/>
  </w:num>
  <w:num w:numId="237" w16cid:durableId="547954967">
    <w:abstractNumId w:val="224"/>
  </w:num>
  <w:num w:numId="238" w16cid:durableId="722799058">
    <w:abstractNumId w:val="325"/>
  </w:num>
  <w:num w:numId="239" w16cid:durableId="122581332">
    <w:abstractNumId w:val="80"/>
  </w:num>
  <w:num w:numId="240" w16cid:durableId="1232740124">
    <w:abstractNumId w:val="13"/>
  </w:num>
  <w:num w:numId="241" w16cid:durableId="1255165620">
    <w:abstractNumId w:val="123"/>
  </w:num>
  <w:num w:numId="242" w16cid:durableId="267398725">
    <w:abstractNumId w:val="246"/>
  </w:num>
  <w:num w:numId="243" w16cid:durableId="1805805003">
    <w:abstractNumId w:val="18"/>
  </w:num>
  <w:num w:numId="244" w16cid:durableId="153029891">
    <w:abstractNumId w:val="225"/>
  </w:num>
  <w:num w:numId="245" w16cid:durableId="1041829375">
    <w:abstractNumId w:val="302"/>
  </w:num>
  <w:num w:numId="246" w16cid:durableId="509492686">
    <w:abstractNumId w:val="102"/>
  </w:num>
  <w:num w:numId="247" w16cid:durableId="1431127175">
    <w:abstractNumId w:val="3"/>
  </w:num>
  <w:num w:numId="248" w16cid:durableId="232469442">
    <w:abstractNumId w:val="177"/>
  </w:num>
  <w:num w:numId="249" w16cid:durableId="1014115211">
    <w:abstractNumId w:val="161"/>
  </w:num>
  <w:num w:numId="250" w16cid:durableId="1012806495">
    <w:abstractNumId w:val="112"/>
  </w:num>
  <w:num w:numId="251" w16cid:durableId="2013948689">
    <w:abstractNumId w:val="70"/>
  </w:num>
  <w:num w:numId="252" w16cid:durableId="403644208">
    <w:abstractNumId w:val="20"/>
  </w:num>
  <w:num w:numId="253" w16cid:durableId="1252471861">
    <w:abstractNumId w:val="240"/>
  </w:num>
  <w:num w:numId="254" w16cid:durableId="1529291499">
    <w:abstractNumId w:val="243"/>
  </w:num>
  <w:num w:numId="255" w16cid:durableId="186217542">
    <w:abstractNumId w:val="71"/>
  </w:num>
  <w:num w:numId="256" w16cid:durableId="179322837">
    <w:abstractNumId w:val="307"/>
  </w:num>
  <w:num w:numId="257" w16cid:durableId="211501347">
    <w:abstractNumId w:val="103"/>
  </w:num>
  <w:num w:numId="258" w16cid:durableId="474032317">
    <w:abstractNumId w:val="66"/>
  </w:num>
  <w:num w:numId="259" w16cid:durableId="1078819612">
    <w:abstractNumId w:val="255"/>
  </w:num>
  <w:num w:numId="260" w16cid:durableId="911113200">
    <w:abstractNumId w:val="303"/>
  </w:num>
  <w:num w:numId="261" w16cid:durableId="2051760182">
    <w:abstractNumId w:val="36"/>
  </w:num>
  <w:num w:numId="262" w16cid:durableId="1307512231">
    <w:abstractNumId w:val="185"/>
  </w:num>
  <w:num w:numId="263" w16cid:durableId="295649891">
    <w:abstractNumId w:val="31"/>
  </w:num>
  <w:num w:numId="264" w16cid:durableId="1235505448">
    <w:abstractNumId w:val="157"/>
  </w:num>
  <w:num w:numId="265" w16cid:durableId="1964850599">
    <w:abstractNumId w:val="230"/>
  </w:num>
  <w:num w:numId="266" w16cid:durableId="581186524">
    <w:abstractNumId w:val="207"/>
  </w:num>
  <w:num w:numId="267" w16cid:durableId="1585259388">
    <w:abstractNumId w:val="159"/>
  </w:num>
  <w:num w:numId="268" w16cid:durableId="1718817479">
    <w:abstractNumId w:val="98"/>
  </w:num>
  <w:num w:numId="269" w16cid:durableId="967779354">
    <w:abstractNumId w:val="23"/>
  </w:num>
  <w:num w:numId="270" w16cid:durableId="373434110">
    <w:abstractNumId w:val="24"/>
  </w:num>
  <w:num w:numId="271" w16cid:durableId="1180701637">
    <w:abstractNumId w:val="200"/>
  </w:num>
  <w:num w:numId="272" w16cid:durableId="561213629">
    <w:abstractNumId w:val="101"/>
  </w:num>
  <w:num w:numId="273" w16cid:durableId="739795011">
    <w:abstractNumId w:val="124"/>
  </w:num>
  <w:num w:numId="274" w16cid:durableId="1941797678">
    <w:abstractNumId w:val="287"/>
  </w:num>
  <w:num w:numId="275" w16cid:durableId="1004090037">
    <w:abstractNumId w:val="213"/>
  </w:num>
  <w:num w:numId="276" w16cid:durableId="127937826">
    <w:abstractNumId w:val="59"/>
  </w:num>
  <w:num w:numId="277" w16cid:durableId="853038795">
    <w:abstractNumId w:val="179"/>
  </w:num>
  <w:num w:numId="278" w16cid:durableId="555433712">
    <w:abstractNumId w:val="170"/>
  </w:num>
  <w:num w:numId="279" w16cid:durableId="1352682944">
    <w:abstractNumId w:val="188"/>
  </w:num>
  <w:num w:numId="280" w16cid:durableId="1510365644">
    <w:abstractNumId w:val="76"/>
  </w:num>
  <w:num w:numId="281" w16cid:durableId="278731747">
    <w:abstractNumId w:val="29"/>
  </w:num>
  <w:num w:numId="282" w16cid:durableId="664360456">
    <w:abstractNumId w:val="97"/>
  </w:num>
  <w:num w:numId="283" w16cid:durableId="1181043118">
    <w:abstractNumId w:val="42"/>
  </w:num>
  <w:num w:numId="284" w16cid:durableId="394668051">
    <w:abstractNumId w:val="14"/>
  </w:num>
  <w:num w:numId="285" w16cid:durableId="175191475">
    <w:abstractNumId w:val="11"/>
  </w:num>
  <w:num w:numId="286" w16cid:durableId="2071224413">
    <w:abstractNumId w:val="78"/>
  </w:num>
  <w:num w:numId="287" w16cid:durableId="1917007311">
    <w:abstractNumId w:val="6"/>
  </w:num>
  <w:num w:numId="288" w16cid:durableId="1528979786">
    <w:abstractNumId w:val="258"/>
  </w:num>
  <w:num w:numId="289" w16cid:durableId="1709799784">
    <w:abstractNumId w:val="297"/>
  </w:num>
  <w:num w:numId="290" w16cid:durableId="293877165">
    <w:abstractNumId w:val="282"/>
  </w:num>
  <w:num w:numId="291" w16cid:durableId="368336067">
    <w:abstractNumId w:val="118"/>
  </w:num>
  <w:num w:numId="292" w16cid:durableId="1192651726">
    <w:abstractNumId w:val="77"/>
  </w:num>
  <w:num w:numId="293" w16cid:durableId="1362052765">
    <w:abstractNumId w:val="259"/>
  </w:num>
  <w:num w:numId="294" w16cid:durableId="1142892706">
    <w:abstractNumId w:val="65"/>
  </w:num>
  <w:num w:numId="295" w16cid:durableId="1731228240">
    <w:abstractNumId w:val="274"/>
  </w:num>
  <w:num w:numId="296" w16cid:durableId="119308067">
    <w:abstractNumId w:val="137"/>
  </w:num>
  <w:num w:numId="297" w16cid:durableId="1790780200">
    <w:abstractNumId w:val="25"/>
  </w:num>
  <w:num w:numId="298" w16cid:durableId="1441754055">
    <w:abstractNumId w:val="223"/>
  </w:num>
  <w:num w:numId="299" w16cid:durableId="1156267109">
    <w:abstractNumId w:val="141"/>
  </w:num>
  <w:num w:numId="300" w16cid:durableId="1442336118">
    <w:abstractNumId w:val="180"/>
  </w:num>
  <w:num w:numId="301" w16cid:durableId="1976181833">
    <w:abstractNumId w:val="158"/>
  </w:num>
  <w:num w:numId="302" w16cid:durableId="173231061">
    <w:abstractNumId w:val="277"/>
  </w:num>
  <w:num w:numId="303" w16cid:durableId="324481212">
    <w:abstractNumId w:val="10"/>
  </w:num>
  <w:num w:numId="304" w16cid:durableId="1541942639">
    <w:abstractNumId w:val="44"/>
  </w:num>
  <w:num w:numId="305" w16cid:durableId="2008366244">
    <w:abstractNumId w:val="63"/>
  </w:num>
  <w:num w:numId="306" w16cid:durableId="1779179921">
    <w:abstractNumId w:val="236"/>
  </w:num>
  <w:num w:numId="307" w16cid:durableId="1541043339">
    <w:abstractNumId w:val="111"/>
  </w:num>
  <w:num w:numId="308" w16cid:durableId="566956707">
    <w:abstractNumId w:val="241"/>
  </w:num>
  <w:num w:numId="309" w16cid:durableId="730736284">
    <w:abstractNumId w:val="286"/>
  </w:num>
  <w:num w:numId="310" w16cid:durableId="1065951691">
    <w:abstractNumId w:val="262"/>
  </w:num>
  <w:num w:numId="311" w16cid:durableId="643853837">
    <w:abstractNumId w:val="231"/>
  </w:num>
  <w:num w:numId="312" w16cid:durableId="1685746376">
    <w:abstractNumId w:val="216"/>
  </w:num>
  <w:num w:numId="313" w16cid:durableId="1324351810">
    <w:abstractNumId w:val="247"/>
  </w:num>
  <w:num w:numId="314" w16cid:durableId="616529316">
    <w:abstractNumId w:val="17"/>
  </w:num>
  <w:num w:numId="315" w16cid:durableId="389115595">
    <w:abstractNumId w:val="266"/>
  </w:num>
  <w:num w:numId="316" w16cid:durableId="1120226964">
    <w:abstractNumId w:val="184"/>
  </w:num>
  <w:num w:numId="317" w16cid:durableId="592015966">
    <w:abstractNumId w:val="99"/>
  </w:num>
  <w:num w:numId="318" w16cid:durableId="1726373356">
    <w:abstractNumId w:val="148"/>
  </w:num>
  <w:num w:numId="319" w16cid:durableId="1688216245">
    <w:abstractNumId w:val="214"/>
  </w:num>
  <w:num w:numId="320" w16cid:durableId="1637565282">
    <w:abstractNumId w:val="30"/>
  </w:num>
  <w:num w:numId="321" w16cid:durableId="656153305">
    <w:abstractNumId w:val="296"/>
  </w:num>
  <w:num w:numId="322" w16cid:durableId="1594632442">
    <w:abstractNumId w:val="57"/>
  </w:num>
  <w:num w:numId="323" w16cid:durableId="1154832697">
    <w:abstractNumId w:val="28"/>
  </w:num>
  <w:num w:numId="324" w16cid:durableId="2098475910">
    <w:abstractNumId w:val="248"/>
  </w:num>
  <w:num w:numId="325" w16cid:durableId="19597536">
    <w:abstractNumId w:val="19"/>
  </w:num>
  <w:num w:numId="326" w16cid:durableId="621037467">
    <w:abstractNumId w:val="217"/>
  </w:num>
  <w:num w:numId="327" w16cid:durableId="1970502492">
    <w:abstractNumId w:val="218"/>
  </w:num>
  <w:num w:numId="328" w16cid:durableId="1597134439">
    <w:abstractNumId w:val="211"/>
  </w:num>
  <w:num w:numId="329" w16cid:durableId="783040929">
    <w:abstractNumId w:val="45"/>
  </w:num>
  <w:num w:numId="330" w16cid:durableId="2136024044">
    <w:abstractNumId w:val="18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11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48F1"/>
    <w:rsid w:val="00012FF6"/>
    <w:rsid w:val="000225DB"/>
    <w:rsid w:val="0006081A"/>
    <w:rsid w:val="000624A4"/>
    <w:rsid w:val="00080B77"/>
    <w:rsid w:val="000B5AAD"/>
    <w:rsid w:val="000C385C"/>
    <w:rsid w:val="000F74C4"/>
    <w:rsid w:val="00131955"/>
    <w:rsid w:val="00191746"/>
    <w:rsid w:val="001D6C4A"/>
    <w:rsid w:val="001D7055"/>
    <w:rsid w:val="001E197A"/>
    <w:rsid w:val="002049E3"/>
    <w:rsid w:val="00225295"/>
    <w:rsid w:val="00244DD0"/>
    <w:rsid w:val="002536D6"/>
    <w:rsid w:val="00303199"/>
    <w:rsid w:val="00305EAC"/>
    <w:rsid w:val="00311DCA"/>
    <w:rsid w:val="00365548"/>
    <w:rsid w:val="0036682E"/>
    <w:rsid w:val="00380720"/>
    <w:rsid w:val="003814E1"/>
    <w:rsid w:val="003B1182"/>
    <w:rsid w:val="003B11CF"/>
    <w:rsid w:val="00407C6C"/>
    <w:rsid w:val="004979EA"/>
    <w:rsid w:val="004F3C40"/>
    <w:rsid w:val="005140BF"/>
    <w:rsid w:val="00523414"/>
    <w:rsid w:val="00540EE2"/>
    <w:rsid w:val="005630E3"/>
    <w:rsid w:val="00582DC8"/>
    <w:rsid w:val="005979DF"/>
    <w:rsid w:val="005C5817"/>
    <w:rsid w:val="005E1F61"/>
    <w:rsid w:val="005F489E"/>
    <w:rsid w:val="00660323"/>
    <w:rsid w:val="00661EED"/>
    <w:rsid w:val="0068304C"/>
    <w:rsid w:val="00683F0D"/>
    <w:rsid w:val="00687BDF"/>
    <w:rsid w:val="006A2ECE"/>
    <w:rsid w:val="006B6E83"/>
    <w:rsid w:val="00730BE1"/>
    <w:rsid w:val="00760CC0"/>
    <w:rsid w:val="00764F74"/>
    <w:rsid w:val="00765AD2"/>
    <w:rsid w:val="00777DF0"/>
    <w:rsid w:val="007A04B2"/>
    <w:rsid w:val="007A3789"/>
    <w:rsid w:val="007B27E5"/>
    <w:rsid w:val="007E674B"/>
    <w:rsid w:val="007F4F48"/>
    <w:rsid w:val="008A3DAE"/>
    <w:rsid w:val="008A4D7A"/>
    <w:rsid w:val="008B4322"/>
    <w:rsid w:val="008D6677"/>
    <w:rsid w:val="008E3E06"/>
    <w:rsid w:val="00922ECA"/>
    <w:rsid w:val="00951C85"/>
    <w:rsid w:val="009948F1"/>
    <w:rsid w:val="009A2102"/>
    <w:rsid w:val="009B6708"/>
    <w:rsid w:val="009C0137"/>
    <w:rsid w:val="009C7D73"/>
    <w:rsid w:val="00A6697A"/>
    <w:rsid w:val="00A92FAB"/>
    <w:rsid w:val="00A93E69"/>
    <w:rsid w:val="00AA39D5"/>
    <w:rsid w:val="00AD5763"/>
    <w:rsid w:val="00AE4069"/>
    <w:rsid w:val="00AF7F4E"/>
    <w:rsid w:val="00B03233"/>
    <w:rsid w:val="00B259D4"/>
    <w:rsid w:val="00B26A62"/>
    <w:rsid w:val="00B62AE0"/>
    <w:rsid w:val="00B91F17"/>
    <w:rsid w:val="00B94D6C"/>
    <w:rsid w:val="00BC0563"/>
    <w:rsid w:val="00C14694"/>
    <w:rsid w:val="00C40945"/>
    <w:rsid w:val="00C54568"/>
    <w:rsid w:val="00C72754"/>
    <w:rsid w:val="00C84576"/>
    <w:rsid w:val="00CA74D9"/>
    <w:rsid w:val="00CD5963"/>
    <w:rsid w:val="00CF6942"/>
    <w:rsid w:val="00CF6E75"/>
    <w:rsid w:val="00D20030"/>
    <w:rsid w:val="00D238BC"/>
    <w:rsid w:val="00DA4239"/>
    <w:rsid w:val="00DA56D4"/>
    <w:rsid w:val="00DE6DF0"/>
    <w:rsid w:val="00DF6F14"/>
    <w:rsid w:val="00E47D1B"/>
    <w:rsid w:val="00E62884"/>
    <w:rsid w:val="00EA60BB"/>
    <w:rsid w:val="00ED4AE7"/>
    <w:rsid w:val="00EF17A7"/>
    <w:rsid w:val="00EF732F"/>
    <w:rsid w:val="00F15FE3"/>
    <w:rsid w:val="00F53DD2"/>
    <w:rsid w:val="00F84A0F"/>
    <w:rsid w:val="00FB089D"/>
    <w:rsid w:val="00FC31BA"/>
    <w:rsid w:val="00FD6A79"/>
    <w:rsid w:val="00FE4E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6BCDC1D9"/>
  <w15:docId w15:val="{51BF8CB1-E6A4-4968-B3B3-BD411EB0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472" w:lineRule="exact"/>
      <w:ind w:left="1065" w:right="1225"/>
      <w:jc w:val="center"/>
      <w:outlineLvl w:val="0"/>
    </w:pPr>
    <w:rPr>
      <w:rFonts w:ascii="Tahoma" w:eastAsia="Tahoma" w:hAnsi="Tahoma" w:cs="Tahoma"/>
      <w:b/>
      <w:bCs/>
      <w:sz w:val="40"/>
      <w:szCs w:val="40"/>
    </w:rPr>
  </w:style>
  <w:style w:type="paragraph" w:styleId="Heading2">
    <w:name w:val="heading 2"/>
    <w:basedOn w:val="Normal"/>
    <w:uiPriority w:val="1"/>
    <w:qFormat/>
    <w:pPr>
      <w:ind w:left="1065"/>
      <w:jc w:val="center"/>
      <w:outlineLvl w:val="1"/>
    </w:pPr>
    <w:rPr>
      <w:b/>
      <w:bCs/>
      <w:sz w:val="32"/>
      <w:szCs w:val="32"/>
    </w:rPr>
  </w:style>
  <w:style w:type="paragraph" w:styleId="Heading3">
    <w:name w:val="heading 3"/>
    <w:basedOn w:val="Normal"/>
    <w:uiPriority w:val="1"/>
    <w:qFormat/>
    <w:pPr>
      <w:ind w:left="1065"/>
      <w:jc w:val="center"/>
      <w:outlineLvl w:val="2"/>
    </w:pPr>
    <w:rPr>
      <w:rFonts w:ascii="Tahoma" w:eastAsia="Tahoma" w:hAnsi="Tahoma" w:cs="Tahoma"/>
      <w:b/>
      <w:bCs/>
      <w:sz w:val="30"/>
      <w:szCs w:val="30"/>
    </w:rPr>
  </w:style>
  <w:style w:type="paragraph" w:styleId="Heading4">
    <w:name w:val="heading 4"/>
    <w:basedOn w:val="Normal"/>
    <w:uiPriority w:val="1"/>
    <w:qFormat/>
    <w:pPr>
      <w:ind w:left="60"/>
      <w:outlineLvl w:val="3"/>
    </w:pPr>
    <w:rPr>
      <w:b/>
      <w:bCs/>
      <w:sz w:val="24"/>
      <w:szCs w:val="24"/>
    </w:rPr>
  </w:style>
  <w:style w:type="paragraph" w:styleId="Heading5">
    <w:name w:val="heading 5"/>
    <w:basedOn w:val="Normal"/>
    <w:uiPriority w:val="1"/>
    <w:qFormat/>
    <w:pPr>
      <w:ind w:left="147"/>
      <w:outlineLvl w:val="4"/>
    </w:pPr>
    <w:rPr>
      <w:sz w:val="24"/>
      <w:szCs w:val="24"/>
    </w:rPr>
  </w:style>
  <w:style w:type="paragraph" w:styleId="Heading6">
    <w:name w:val="heading 6"/>
    <w:basedOn w:val="Normal"/>
    <w:uiPriority w:val="1"/>
    <w:qFormat/>
    <w:pPr>
      <w:ind w:left="251"/>
      <w:outlineLvl w:val="5"/>
    </w:pPr>
    <w:rPr>
      <w:b/>
      <w:bCs/>
      <w:sz w:val="23"/>
      <w:szCs w:val="23"/>
    </w:rPr>
  </w:style>
  <w:style w:type="paragraph" w:styleId="Heading7">
    <w:name w:val="heading 7"/>
    <w:basedOn w:val="Normal"/>
    <w:uiPriority w:val="1"/>
    <w:qFormat/>
    <w:pPr>
      <w:ind w:left="871"/>
      <w:outlineLvl w:val="6"/>
    </w:pPr>
    <w:rPr>
      <w:b/>
      <w:bCs/>
    </w:rPr>
  </w:style>
  <w:style w:type="paragraph" w:styleId="Heading8">
    <w:name w:val="heading 8"/>
    <w:basedOn w:val="Normal"/>
    <w:uiPriority w:val="1"/>
    <w:qFormat/>
    <w:pPr>
      <w:ind w:left="165"/>
      <w:outlineLvl w:val="7"/>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9"/>
      <w:ind w:left="134"/>
    </w:pPr>
    <w:rPr>
      <w:b/>
      <w:bCs/>
      <w:sz w:val="24"/>
      <w:szCs w:val="24"/>
    </w:rPr>
  </w:style>
  <w:style w:type="paragraph" w:styleId="TOC2">
    <w:name w:val="toc 2"/>
    <w:basedOn w:val="Normal"/>
    <w:uiPriority w:val="1"/>
    <w:qFormat/>
    <w:pPr>
      <w:spacing w:before="51"/>
      <w:ind w:left="507" w:hanging="374"/>
    </w:pPr>
    <w:rPr>
      <w:sz w:val="24"/>
      <w:szCs w:val="24"/>
    </w:rPr>
  </w:style>
  <w:style w:type="paragraph" w:styleId="TOC3">
    <w:name w:val="toc 3"/>
    <w:basedOn w:val="Normal"/>
    <w:uiPriority w:val="1"/>
    <w:qFormat/>
    <w:pPr>
      <w:spacing w:before="379"/>
      <w:ind w:left="168"/>
    </w:pPr>
    <w:rPr>
      <w:b/>
      <w:bCs/>
      <w:sz w:val="24"/>
      <w:szCs w:val="24"/>
    </w:rPr>
  </w:style>
  <w:style w:type="paragraph" w:styleId="TOC4">
    <w:name w:val="toc 4"/>
    <w:basedOn w:val="Normal"/>
    <w:uiPriority w:val="1"/>
    <w:qFormat/>
    <w:pPr>
      <w:spacing w:before="51"/>
      <w:ind w:left="168"/>
    </w:pPr>
    <w:rPr>
      <w:sz w:val="24"/>
      <w:szCs w:val="24"/>
    </w:rPr>
  </w:style>
  <w:style w:type="paragraph" w:styleId="TOC5">
    <w:name w:val="toc 5"/>
    <w:basedOn w:val="Normal"/>
    <w:uiPriority w:val="1"/>
    <w:qFormat/>
    <w:pPr>
      <w:spacing w:before="379"/>
      <w:ind w:left="168"/>
    </w:pPr>
    <w:rPr>
      <w:b/>
      <w:bCs/>
      <w:i/>
    </w:rPr>
  </w:style>
  <w:style w:type="paragraph" w:styleId="BodyText">
    <w:name w:val="Body Text"/>
    <w:basedOn w:val="Normal"/>
    <w:uiPriority w:val="1"/>
    <w:qFormat/>
  </w:style>
  <w:style w:type="paragraph" w:styleId="ListParagraph">
    <w:name w:val="List Paragraph"/>
    <w:basedOn w:val="Normal"/>
    <w:uiPriority w:val="1"/>
    <w:qFormat/>
    <w:pPr>
      <w:ind w:left="905"/>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C0563"/>
    <w:rPr>
      <w:sz w:val="16"/>
      <w:szCs w:val="16"/>
    </w:rPr>
  </w:style>
  <w:style w:type="paragraph" w:styleId="CommentText">
    <w:name w:val="annotation text"/>
    <w:basedOn w:val="Normal"/>
    <w:link w:val="CommentTextChar"/>
    <w:uiPriority w:val="99"/>
    <w:semiHidden/>
    <w:unhideWhenUsed/>
    <w:rsid w:val="00BC0563"/>
    <w:rPr>
      <w:sz w:val="20"/>
      <w:szCs w:val="20"/>
    </w:rPr>
  </w:style>
  <w:style w:type="character" w:customStyle="1" w:styleId="CommentTextChar">
    <w:name w:val="Comment Text Char"/>
    <w:basedOn w:val="DefaultParagraphFont"/>
    <w:link w:val="CommentText"/>
    <w:uiPriority w:val="99"/>
    <w:semiHidden/>
    <w:rsid w:val="00BC056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C0563"/>
    <w:rPr>
      <w:b/>
      <w:bCs/>
    </w:rPr>
  </w:style>
  <w:style w:type="character" w:customStyle="1" w:styleId="CommentSubjectChar">
    <w:name w:val="Comment Subject Char"/>
    <w:basedOn w:val="CommentTextChar"/>
    <w:link w:val="CommentSubject"/>
    <w:uiPriority w:val="99"/>
    <w:semiHidden/>
    <w:rsid w:val="00BC0563"/>
    <w:rPr>
      <w:rFonts w:ascii="Arial" w:eastAsia="Arial" w:hAnsi="Arial" w:cs="Arial"/>
      <w:b/>
      <w:bCs/>
      <w:sz w:val="20"/>
      <w:szCs w:val="20"/>
    </w:rPr>
  </w:style>
  <w:style w:type="paragraph" w:styleId="BalloonText">
    <w:name w:val="Balloon Text"/>
    <w:basedOn w:val="Normal"/>
    <w:link w:val="BalloonTextChar"/>
    <w:uiPriority w:val="99"/>
    <w:semiHidden/>
    <w:unhideWhenUsed/>
    <w:rsid w:val="00BC05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563"/>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iversstatemoh.gov.ng/" TargetMode="Externa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nigerianstat.gov.ng/pdfuploads/Abridged_Version_of_Nigeria"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igerianstat.gov.ng/pdfuploads/Abridged_Version_of_Nigeria"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igerianstat.gov.ng/pdfuploads/Abridged_Version_of_Nigeria"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D1D0A-6A49-4326-9459-8B07F272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Pages>
  <Words>74274</Words>
  <Characters>423365</Characters>
  <Application>Microsoft Office Word</Application>
  <DocSecurity>0</DocSecurity>
  <Lines>3528</Lines>
  <Paragraphs>993</Paragraphs>
  <ScaleCrop>false</ScaleCrop>
  <HeadingPairs>
    <vt:vector size="2" baseType="variant">
      <vt:variant>
        <vt:lpstr>Title</vt:lpstr>
      </vt:variant>
      <vt:variant>
        <vt:i4>1</vt:i4>
      </vt:variant>
    </vt:vector>
  </HeadingPairs>
  <TitlesOfParts>
    <vt:vector size="1" baseType="lpstr">
      <vt:lpstr>bookwork._wikina._1._P</vt:lpstr>
    </vt:vector>
  </TitlesOfParts>
  <Company>HP</Company>
  <LinksUpToDate>false</LinksUpToDate>
  <CharactersWithSpaces>496646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bookwork._wikina._1._P</dc:title>
  <dc:subject/>
  <dc:creator>Design Pc</dc:creator>
  <cp:keywords/>
  <dc:description/>
  <cp:lastModifiedBy>Chinwe Atata</cp:lastModifiedBy>
  <cp:revision>2</cp:revision>
  <dcterms:created xsi:type="dcterms:W3CDTF">2020-08-20T16:02:00Z</dcterms:created>
  <dcterms:modified xsi:type="dcterms:W3CDTF">2022-08-29T06:00:00Z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CorelDRAW</vt:lpwstr>
  </property>
  <property fmtid="{D5CDD505-2E9C-101B-9397-08002B2CF9AE}" pid="4" name="LastSaved">
    <vt:filetime>2020-08-20T00:00:00Z</vt:filetime>
  </property>
</Properties>
</file>